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Aldo Moro</w:t>
      </w:r>
    </w:p>
    <w:p>
      <w:pPr>
        <w:pStyle w:val="Heading2"/>
        <w:spacing w:after="100" w:before="200"/>
      </w:pPr>
      <w:r>
        <w:rPr>
          <w:rFonts w:ascii="Barlow Semi Condensed" w:cs="Barlow Semi Condensed" w:eastAsia="Barlow Semi Condensed" w:hAnsi="Barlow Semi Condensed"/>
          <w:sz w:val="24"/>
          <w:szCs w:val="24"/>
        </w:rPr>
        <w:t xml:space="preserve">Ottanta anni di Pace</w:t>
      </w:r>
    </w:p>
    <w:p>
      <w:pPr>
        <w:spacing w:after="120" w:line="276"/>
        <w:jc w:val="both"/>
      </w:pPr>
      <w:r>
        <w:rPr>
          <w:rFonts w:ascii="Barlow Semi Condensed" w:cs="Barlow Semi Condensed" w:eastAsia="Barlow Semi Condensed" w:hAnsi="Barlow Semi Condensed"/>
          <w:b/>
          <w:bCs/>
          <w:sz w:val="24"/>
          <w:szCs w:val="24"/>
        </w:rPr>
        <w:t xml:space="preserve">L'opera integrale «Una guerra senza fine» — il corpus storico completo del branch, in tredici Libri e cinque Appendici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Il titolo.</w:t>
      </w:r>
      <w:r>
        <w:rPr>
          <w:rFonts w:ascii="Barlow Semi Condensed" w:cs="Barlow Semi Condensed" w:eastAsia="Barlow Semi Condensed" w:hAnsi="Barlow Semi Condensed"/>
          <w:i w:val="false"/>
          <w:iCs w:val="false"/>
          <w:sz w:val="24"/>
          <w:szCs w:val="24"/>
        </w:rPr>
        <w:t xml:space="preserve"> «Ottanta anni di Pace» è la chiave interpretativa scelta dall'autore per questa edizione, e come ogni chiave del corpus si dichiara e non giudica. La Pace che il titolo conta è quella dei calendari e delle ricorrenze: proclamata nel maggio del 1945 e misurata da allora in anni. L'opera non la nega e non la irride — chiede che cosa quegli anni abbiano contenuto, e trova, nei documenti che raccoglie, che la pace dichiarata e la violenza praticata hanno convissuto a lungo. Il titolo si presta perciò a due letture che l'opera non scioglie: gli ottant'anni dal 1945, e il decennio Ottanta che il 1978 apre e a cui sopravvive. Ciò che dichiara è una continuità, non una responsabilità: è una lente, non una sentenza, e nessuna pagina che segue attribuisce a chicchessia ciò che una lente lascia vedere. L'opera resta, nel suo nome proprio, «Una guerra senza fine», e il Libro quarto porta il proprio: «Una Pace senza Pace».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Settima edizione integrale rilegata — 28 agosto 2026 · Branch pubblico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rimozione del 27 agosto 2026, e perché i numeri non si toccano.</w:t>
      </w:r>
      <w:r>
        <w:rPr>
          <w:rFonts w:ascii="Barlow Semi Condensed" w:cs="Barlow Semi Condensed" w:eastAsia="Barlow Semi Condensed" w:hAnsi="Barlow Semi Condensed"/>
          <w:i w:val="false"/>
          <w:iCs w:val="false"/>
          <w:sz w:val="24"/>
          <w:szCs w:val="24"/>
        </w:rPr>
        <w:t xml:space="preserve"> Questa</w:t>
      </w:r>
    </w:p>
    <w:p>
      <w:pPr>
        <w:spacing w:after="120" w:line="276"/>
        <w:jc w:val="both"/>
      </w:pPr>
      <w:r>
        <w:rPr>
          <w:rFonts w:ascii="Barlow Semi Condensed" w:cs="Barlow Semi Condensed" w:eastAsia="Barlow Semi Condensed" w:hAnsi="Barlow Semi Condensed"/>
          <w:sz w:val="24"/>
          <w:szCs w:val="24"/>
        </w:rPr>
        <w:t xml:space="preserve">edizione è </w:t>
      </w:r>
      <w:r>
        <w:rPr>
          <w:rFonts w:ascii="Barlow Semi Condensed" w:cs="Barlow Semi Condensed" w:eastAsia="Barlow Semi Condensed" w:hAnsi="Barlow Semi Condensed"/>
          <w:b/>
          <w:bCs/>
          <w:sz w:val="24"/>
          <w:szCs w:val="24"/>
        </w:rPr>
        <w:t xml:space="preserve">priva del Libro secondo e del Libro terzo</w:t>
      </w:r>
      <w:r>
        <w:rPr>
          <w:rFonts w:ascii="Barlow Semi Condensed" w:cs="Barlow Semi Condensed" w:eastAsia="Barlow Semi Condensed" w:hAnsi="Barlow Semi Condensed"/>
          <w:sz w:val="24"/>
          <w:szCs w:val="24"/>
        </w:rPr>
        <w:t xml:space="preserve">, che portavano il</w:t>
      </w:r>
    </w:p>
    <w:p>
      <w:pPr>
        <w:spacing w:after="120" w:line="276"/>
        <w:jc w:val="both"/>
      </w:pPr>
      <w:r>
        <w:rPr>
          <w:rFonts w:ascii="Barlow Semi Condensed" w:cs="Barlow Semi Condensed" w:eastAsia="Barlow Semi Condensed" w:hAnsi="Barlow Semi Condensed"/>
          <w:sz w:val="24"/>
          <w:szCs w:val="24"/>
        </w:rPr>
        <w:t xml:space="preserve">saggio-cerniera «Dal Che a Moro» e la parabola di Ernesto Guevara in sei parti:</w:t>
      </w:r>
    </w:p>
    <w:p>
      <w:pPr>
        <w:spacing w:after="120" w:line="276"/>
        <w:jc w:val="both"/>
      </w:pPr>
      <w:r>
        <w:rPr>
          <w:rFonts w:ascii="Barlow Semi Condensed" w:cs="Barlow Semi Condensed" w:eastAsia="Barlow Semi Condensed" w:hAnsi="Barlow Semi Condensed"/>
          <w:sz w:val="24"/>
          <w:szCs w:val="24"/>
        </w:rPr>
        <w:t xml:space="preserve">sette documenti, 17.769 parole, rimossi per decisione dell'autore insieme al</w:t>
      </w:r>
    </w:p>
    <w:p>
      <w:pPr>
        <w:spacing w:after="120" w:line="276"/>
        <w:jc w:val="both"/>
      </w:pPr>
      <w:r>
        <w:rPr>
          <w:rFonts w:ascii="Barlow Semi Condensed" w:cs="Barlow Semi Condensed" w:eastAsia="Barlow Semi Condensed" w:hAnsi="Barlow Semi Condensed"/>
          <w:sz w:val="24"/>
          <w:szCs w:val="24"/>
        </w:rPr>
        <w:t xml:space="preserve">volume tematico che li rilegava a parte. **La numerazione dei Libri superstiti non</w:t>
      </w:r>
    </w:p>
    <w:p>
      <w:pPr>
        <w:spacing w:after="120" w:line="276"/>
        <w:jc w:val="both"/>
      </w:pPr>
      <w:r>
        <w:rPr>
          <w:rFonts w:ascii="Barlow Semi Condensed" w:cs="Barlow Semi Condensed" w:eastAsia="Barlow Semi Condensed" w:hAnsi="Barlow Semi Condensed"/>
          <w:sz w:val="24"/>
          <w:szCs w:val="24"/>
        </w:rPr>
        <w:t xml:space="preserve">è stata rifatta**: dopo il Libro primo viene il Libro quarto, e il salto è</w:t>
      </w:r>
    </w:p>
    <w:p>
      <w:pPr>
        <w:spacing w:after="120" w:line="276"/>
        <w:jc w:val="both"/>
      </w:pPr>
      <w:r>
        <w:rPr>
          <w:rFonts w:ascii="Barlow Semi Condensed" w:cs="Barlow Semi Condensed" w:eastAsia="Barlow Semi Condensed" w:hAnsi="Barlow Semi Condensed"/>
          <w:sz w:val="24"/>
          <w:szCs w:val="24"/>
        </w:rPr>
        <w:t xml:space="preserve">voluto. Rinumerare avrebbe reso invisibile la rimozione e falsificato ogni</w:t>
      </w:r>
    </w:p>
    <w:p>
      <w:pPr>
        <w:spacing w:after="120" w:line="276"/>
        <w:jc w:val="both"/>
      </w:pPr>
      <w:r>
        <w:rPr>
          <w:rFonts w:ascii="Barlow Semi Condensed" w:cs="Barlow Semi Condensed" w:eastAsia="Barlow Semi Condensed" w:hAnsi="Barlow Semi Condensed"/>
          <w:sz w:val="24"/>
          <w:szCs w:val="24"/>
        </w:rPr>
        <w:t xml:space="preserve">citazione anteriore; il salto la rende leggibile a chiunque apra l'indice. È la</w:t>
      </w:r>
    </w:p>
    <w:p>
      <w:pPr>
        <w:spacing w:after="120" w:line="276"/>
        <w:jc w:val="both"/>
      </w:pPr>
      <w:r>
        <w:rPr>
          <w:rFonts w:ascii="Barlow Semi Condensed" w:cs="Barlow Semi Condensed" w:eastAsia="Barlow Semi Condensed" w:hAnsi="Barlow Semi Condensed"/>
          <w:sz w:val="24"/>
          <w:szCs w:val="24"/>
        </w:rPr>
        <w:t xml:space="preserve">stessa ragione per cui in quest'opera le correzioni si annotano accanto</w:t>
      </w:r>
    </w:p>
    <w:p>
      <w:pPr>
        <w:spacing w:after="120" w:line="276"/>
        <w:jc w:val="both"/>
      </w:pPr>
      <w:r>
        <w:rPr>
          <w:rFonts w:ascii="Barlow Semi Condensed" w:cs="Barlow Semi Condensed" w:eastAsia="Barlow Semi Condensed" w:hAnsi="Barlow Semi Condensed"/>
          <w:sz w:val="24"/>
          <w:szCs w:val="24"/>
        </w:rPr>
        <w:t xml:space="preserve">all'errore e non al suo posto.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 edizioni anteriori.</w:t>
      </w:r>
      <w:r>
        <w:rPr>
          <w:rFonts w:ascii="Barlow Semi Condensed" w:cs="Barlow Semi Condensed" w:eastAsia="Barlow Semi Condensed" w:hAnsi="Barlow Semi Condensed"/>
          <w:i w:val="false"/>
          <w:iCs w:val="false"/>
          <w:sz w:val="24"/>
          <w:szCs w:val="24"/>
        </w:rPr>
        <w:t xml:space="preserve"> La quarta è del 26 agosto 2026 e portava quattordici Libri e due Appendici; la terza, del 25 agosto, la precedeva col medesimo impianto. Non sono ritirate né smentite: sono superate dalla crescita del corpus, e chi ne possiede un esemplare ha in mano un'edizione esatta alla propria data. La quinta, del 27 agosto, aggiungeva la terza campagna Farnesina nel Libro dodicesimo, il </w:t>
      </w:r>
      <w:r>
        <w:rPr>
          <w:rFonts w:ascii="Barlow Semi Condensed" w:cs="Barlow Semi Condensed" w:eastAsia="Barlow Semi Condensed" w:hAnsi="Barlow Semi Condensed"/>
          <w:b/>
          <w:bCs/>
          <w:i w:val="false"/>
          <w:iCs w:val="false"/>
          <w:sz w:val="24"/>
          <w:szCs w:val="24"/>
        </w:rPr>
        <w:t xml:space="preserve">Libro quindicesimo</w:t>
      </w:r>
      <w:r>
        <w:rPr>
          <w:rFonts w:ascii="Barlow Semi Condensed" w:cs="Barlow Semi Condensed" w:eastAsia="Barlow Semi Condensed" w:hAnsi="Barlow Semi Condensed"/>
          <w:i w:val="false"/>
          <w:iCs w:val="false"/>
          <w:sz w:val="24"/>
          <w:szCs w:val="24"/>
        </w:rPr>
        <w:t xml:space="preserve"> (il Registro dei cinquantacinque giorni, opera seconda), le </w:t>
      </w:r>
      <w:r>
        <w:rPr>
          <w:rFonts w:ascii="Barlow Semi Condensed" w:cs="Barlow Semi Condensed" w:eastAsia="Barlow Semi Condensed" w:hAnsi="Barlow Semi Condensed"/>
          <w:b/>
          <w:bCs/>
          <w:i w:val="false"/>
          <w:iCs w:val="false"/>
          <w:sz w:val="24"/>
          <w:szCs w:val="24"/>
        </w:rPr>
        <w:t xml:space="preserve">undici appendici alla Fase settima</w:t>
      </w:r>
      <w:r>
        <w:rPr>
          <w:rFonts w:ascii="Barlow Semi Condensed" w:cs="Barlow Semi Condensed" w:eastAsia="Barlow Semi Condensed" w:hAnsi="Barlow Semi Condensed"/>
          <w:i w:val="false"/>
          <w:iCs w:val="false"/>
          <w:sz w:val="24"/>
          <w:szCs w:val="24"/>
        </w:rPr>
        <w:t xml:space="preserve"> nel Libro nono e le </w:t>
      </w:r>
      <w:r>
        <w:rPr>
          <w:rFonts w:ascii="Barlow Semi Condensed" w:cs="Barlow Semi Condensed" w:eastAsia="Barlow Semi Condensed" w:hAnsi="Barlow Semi Condensed"/>
          <w:b/>
          <w:bCs/>
          <w:i w:val="false"/>
          <w:iCs w:val="false"/>
          <w:sz w:val="24"/>
          <w:szCs w:val="24"/>
        </w:rPr>
        <w:t xml:space="preserve">Appendici terza e quarta</w:t>
      </w:r>
      <w:r>
        <w:rPr>
          <w:rFonts w:ascii="Barlow Semi Condensed" w:cs="Barlow Semi Condensed" w:eastAsia="Barlow Semi Condensed" w:hAnsi="Barlow Semi Condensed"/>
          <w:i w:val="false"/>
          <w:iCs w:val="false"/>
          <w:sz w:val="24"/>
          <w:szCs w:val="24"/>
        </w:rPr>
        <w:t xml:space="preserve">; la sesta rimuoveva il materiale su Guevara. </w:t>
      </w:r>
      <w:r>
        <w:rPr>
          <w:rFonts w:ascii="Barlow Semi Condensed" w:cs="Barlow Semi Condensed" w:eastAsia="Barlow Semi Condensed" w:hAnsi="Barlow Semi Condensed"/>
          <w:b/>
          <w:bCs/>
          <w:i w:val="false"/>
          <w:iCs w:val="false"/>
          <w:sz w:val="24"/>
          <w:szCs w:val="24"/>
        </w:rPr>
        <w:t xml:space="preserve">Questa settima aggiunge il Libro sedicesimo, «Le tavole della custodia»</w:t>
      </w:r>
      <w:r>
        <w:rPr>
          <w:rFonts w:ascii="Barlow Semi Condensed" w:cs="Barlow Semi Condensed" w:eastAsia="Barlow Semi Condensed" w:hAnsi="Barlow Semi Condensed"/>
          <w:i w:val="false"/>
          <w:iCs w:val="false"/>
          <w:sz w:val="24"/>
          <w:szCs w:val="24"/>
        </w:rPr>
        <w:t xml:space="preserve">, in cinque parti: il fascicolo su vita, prigionia, mandanti ed esecutori con le quattordici piste in ordine di priorità istruttoria; le tre matrici delle ipotesi concorrenti — la custodia, via Fani, le omissioni — che il corpus prescriveva in più luoghi e non aveva mai costruito; e il quesito peritale sulla sola cella che quelle matrici dichiarano riempibile. Il loro risultato comune, che si annuncia qui perché muta la lettura di tutto ciò che precede: </w:t>
      </w:r>
      <w:r>
        <w:rPr>
          <w:rFonts w:ascii="Barlow Semi Condensed" w:cs="Barlow Semi Condensed" w:eastAsia="Barlow Semi Condensed" w:hAnsi="Barlow Semi Condensed"/>
          <w:b/>
          <w:bCs/>
          <w:i w:val="false"/>
          <w:iCs w:val="false"/>
          <w:sz w:val="24"/>
          <w:szCs w:val="24"/>
        </w:rPr>
        <w:t xml:space="preserve">in ciascuna delle tre tavole la maggioranza delle evidenze più citate ha diagnosticità nulla</w:t>
      </w:r>
      <w:r>
        <w:rPr>
          <w:rFonts w:ascii="Barlow Semi Condensed" w:cs="Barlow Semi Condensed" w:eastAsia="Barlow Semi Condensed" w:hAnsi="Barlow Semi Condensed"/>
          <w:i w:val="false"/>
          <w:iCs w:val="false"/>
          <w:sz w:val="24"/>
          <w:szCs w:val="24"/>
        </w:rPr>
        <w:t xml:space="preserve"> — cinque su undici, tre su undici, sei su nove — e ciò che discrimina è ogni volta poco, tecnico, e ancora da leggere.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Ordine dell'opera.</w:t>
      </w:r>
      <w:r>
        <w:rPr>
          <w:rFonts w:ascii="Barlow Semi Condensed" w:cs="Barlow Semi Condensed" w:eastAsia="Barlow Semi Condensed" w:hAnsi="Barlow Semi Condensed"/>
          <w:i w:val="false"/>
          <w:iCs w:val="false"/>
          <w:sz w:val="24"/>
          <w:szCs w:val="24"/>
        </w:rPr>
        <w:t xml:space="preserve"> Il volume raccoglie l'intero corpus nell'ordine di lettura: il </w:t>
      </w:r>
      <w:r>
        <w:rPr>
          <w:rFonts w:ascii="Barlow Semi Condensed" w:cs="Barlow Semi Condensed" w:eastAsia="Barlow Semi Condensed" w:hAnsi="Barlow Semi Condensed"/>
          <w:b/>
          <w:bCs/>
          <w:i w:val="false"/>
          <w:iCs w:val="false"/>
          <w:sz w:val="24"/>
          <w:szCs w:val="24"/>
        </w:rPr>
        <w:t xml:space="preserve">Portale</w:t>
      </w:r>
      <w:r>
        <w:rPr>
          <w:rFonts w:ascii="Barlow Semi Condensed" w:cs="Barlow Semi Condensed" w:eastAsia="Barlow Semi Condensed" w:hAnsi="Barlow Semi Condensed"/>
          <w:i w:val="false"/>
          <w:iCs w:val="false"/>
          <w:sz w:val="24"/>
          <w:szCs w:val="24"/>
        </w:rPr>
        <w:t xml:space="preserve"> (l'edizione strutturata secondo l'architettura del Dossier maggiore); il </w:t>
      </w:r>
      <w:r>
        <w:rPr>
          <w:rFonts w:ascii="Barlow Semi Condensed" w:cs="Barlow Semi Condensed" w:eastAsia="Barlow Semi Condensed" w:hAnsi="Barlow Semi Condensed"/>
          <w:b/>
          <w:bCs/>
          <w:i w:val="false"/>
          <w:iCs w:val="false"/>
          <w:sz w:val="24"/>
          <w:szCs w:val="24"/>
        </w:rPr>
        <w:t xml:space="preserve">ritratto</w:t>
      </w:r>
      <w:r>
        <w:rPr>
          <w:rFonts w:ascii="Barlow Semi Condensed" w:cs="Barlow Semi Condensed" w:eastAsia="Barlow Semi Condensed" w:hAnsi="Barlow Semi Condensed"/>
          <w:i w:val="false"/>
          <w:iCs w:val="false"/>
          <w:sz w:val="24"/>
          <w:szCs w:val="24"/>
        </w:rPr>
        <w:t xml:space="preserve"> dell'uomo; il </w:t>
      </w:r>
      <w:r>
        <w:rPr>
          <w:rFonts w:ascii="Barlow Semi Condensed" w:cs="Barlow Semi Condensed" w:eastAsia="Barlow Semi Condensed" w:hAnsi="Barlow Semi Condensed"/>
          <w:b/>
          <w:bCs/>
          <w:i w:val="false"/>
          <w:iCs w:val="false"/>
          <w:sz w:val="24"/>
          <w:szCs w:val="24"/>
        </w:rPr>
        <w:t xml:space="preserve">Dossier maggiore</w:t>
      </w:r>
      <w:r>
        <w:rPr>
          <w:rFonts w:ascii="Barlow Semi Condensed" w:cs="Barlow Semi Condensed" w:eastAsia="Barlow Semi Condensed" w:hAnsi="Barlow Semi Condensed"/>
          <w:i w:val="false"/>
          <w:iCs w:val="false"/>
          <w:sz w:val="24"/>
          <w:szCs w:val="24"/>
        </w:rPr>
        <w:t xml:space="preserve"> dell'autore, «Una Pace senza Pace · Tutta la verità», qui conservato per intero come volume nel volume e con la divergenza di regime dichiarata in sua apertura; </w:t>
      </w:r>
      <w:r>
        <w:rPr>
          <w:rFonts w:ascii="Barlow Semi Condensed" w:cs="Barlow Semi Condensed" w:eastAsia="Barlow Semi Condensed" w:hAnsi="Barlow Semi Condensed"/>
          <w:b/>
          <w:bCs/>
          <w:i w:val="false"/>
          <w:iCs w:val="false"/>
          <w:sz w:val="24"/>
          <w:szCs w:val="24"/>
        </w:rPr>
        <w:t xml:space="preserve">il vettore e il ceppo</w:t>
      </w:r>
      <w:r>
        <w:rPr>
          <w:rFonts w:ascii="Barlow Semi Condensed" w:cs="Barlow Semi Condensed" w:eastAsia="Barlow Semi Condensed" w:hAnsi="Barlow Semi Condensed"/>
          <w:i w:val="false"/>
          <w:iCs w:val="false"/>
          <w:sz w:val="24"/>
          <w:szCs w:val="24"/>
        </w:rPr>
        <w:t xml:space="preserve"> (Feltrinelli, Hyperion, la terza strada di Simioni); il </w:t>
      </w:r>
      <w:r>
        <w:rPr>
          <w:rFonts w:ascii="Barlow Semi Condensed" w:cs="Barlow Semi Condensed" w:eastAsia="Barlow Semi Condensed" w:hAnsi="Barlow Semi Condensed"/>
          <w:b/>
          <w:bCs/>
          <w:i w:val="false"/>
          <w:iCs w:val="false"/>
          <w:sz w:val="24"/>
          <w:szCs w:val="24"/>
        </w:rPr>
        <w:t xml:space="preserve">filo del 1926</w:t>
      </w:r>
      <w:r>
        <w:rPr>
          <w:rFonts w:ascii="Barlow Semi Condensed" w:cs="Barlow Semi Condensed" w:eastAsia="Barlow Semi Condensed" w:hAnsi="Barlow Semi Condensed"/>
          <w:i w:val="false"/>
          <w:iCs w:val="false"/>
          <w:sz w:val="24"/>
          <w:szCs w:val="24"/>
        </w:rPr>
        <w:t xml:space="preserve"> (il Tribunale Speciale); le </w:t>
      </w:r>
      <w:r>
        <w:rPr>
          <w:rFonts w:ascii="Barlow Semi Condensed" w:cs="Barlow Semi Condensed" w:eastAsia="Barlow Semi Condensed" w:hAnsi="Barlow Semi Condensed"/>
          <w:b/>
          <w:bCs/>
          <w:i w:val="false"/>
          <w:iCs w:val="false"/>
          <w:sz w:val="24"/>
          <w:szCs w:val="24"/>
        </w:rPr>
        <w:t xml:space="preserve">questioni aperte</w:t>
      </w:r>
      <w:r>
        <w:rPr>
          <w:rFonts w:ascii="Barlow Semi Condensed" w:cs="Barlow Semi Condensed" w:eastAsia="Barlow Semi Condensed" w:hAnsi="Barlow Semi Condensed"/>
          <w:i w:val="false"/>
          <w:iCs w:val="false"/>
          <w:sz w:val="24"/>
          <w:szCs w:val="24"/>
        </w:rPr>
        <w:t xml:space="preserve">; il </w:t>
      </w:r>
      <w:r>
        <w:rPr>
          <w:rFonts w:ascii="Barlow Semi Condensed" w:cs="Barlow Semi Condensed" w:eastAsia="Barlow Semi Condensed" w:hAnsi="Barlow Semi Condensed"/>
          <w:b/>
          <w:bCs/>
          <w:i w:val="false"/>
          <w:iCs w:val="false"/>
          <w:sz w:val="24"/>
          <w:szCs w:val="24"/>
        </w:rPr>
        <w:t xml:space="preserve">metodo</w:t>
      </w:r>
      <w:r>
        <w:rPr>
          <w:rFonts w:ascii="Barlow Semi Condensed" w:cs="Barlow Semi Condensed" w:eastAsia="Barlow Semi Condensed" w:hAnsi="Barlow Semi Condensed"/>
          <w:i w:val="false"/>
          <w:iCs w:val="false"/>
          <w:sz w:val="24"/>
          <w:szCs w:val="24"/>
        </w:rPr>
        <w:t xml:space="preserve"> (il presidio del garante e le metodologie calcolate); il </w:t>
      </w:r>
      <w:r>
        <w:rPr>
          <w:rFonts w:ascii="Barlow Semi Condensed" w:cs="Barlow Semi Condensed" w:eastAsia="Barlow Semi Condensed" w:hAnsi="Barlow Semi Condensed"/>
          <w:b/>
          <w:bCs/>
          <w:i w:val="false"/>
          <w:iCs w:val="false"/>
          <w:sz w:val="24"/>
          <w:szCs w:val="24"/>
        </w:rPr>
        <w:t xml:space="preserve">registro giudiziario</w:t>
      </w:r>
      <w:r>
        <w:rPr>
          <w:rFonts w:ascii="Barlow Semi Condensed" w:cs="Barlow Semi Condensed" w:eastAsia="Barlow Semi Condensed" w:hAnsi="Barlow Semi Condensed"/>
          <w:i w:val="false"/>
          <w:iCs w:val="false"/>
          <w:sz w:val="24"/>
          <w:szCs w:val="24"/>
        </w:rPr>
        <w:t xml:space="preserve"> con le sue </w:t>
      </w:r>
      <w:r>
        <w:rPr>
          <w:rFonts w:ascii="Barlow Semi Condensed" w:cs="Barlow Semi Condensed" w:eastAsia="Barlow Semi Condensed" w:hAnsi="Barlow Semi Condensed"/>
          <w:b/>
          <w:bCs/>
          <w:i w:val="false"/>
          <w:iCs w:val="false"/>
          <w:sz w:val="24"/>
          <w:szCs w:val="24"/>
        </w:rPr>
        <w:t xml:space="preserve">undici appendici</w:t>
      </w:r>
      <w:r>
        <w:rPr>
          <w:rFonts w:ascii="Barlow Semi Condensed" w:cs="Barlow Semi Condensed" w:eastAsia="Barlow Semi Condensed" w:hAnsi="Barlow Semi Condensed"/>
          <w:i w:val="false"/>
          <w:iCs w:val="false"/>
          <w:sz w:val="24"/>
          <w:szCs w:val="24"/>
        </w:rPr>
        <w:t xml:space="preserve">, dalla quinta alla quindicesima; il </w:t>
      </w:r>
      <w:r>
        <w:rPr>
          <w:rFonts w:ascii="Barlow Semi Condensed" w:cs="Barlow Semi Condensed" w:eastAsia="Barlow Semi Condensed" w:hAnsi="Barlow Semi Condensed"/>
          <w:b/>
          <w:bCs/>
          <w:i w:val="false"/>
          <w:iCs w:val="false"/>
          <w:sz w:val="24"/>
          <w:szCs w:val="24"/>
        </w:rPr>
        <w:t xml:space="preserve">repertorio</w:t>
      </w:r>
      <w:r>
        <w:rPr>
          <w:rFonts w:ascii="Barlow Semi Condensed" w:cs="Barlow Semi Condensed" w:eastAsia="Barlow Semi Condensed" w:hAnsi="Barlow Semi Condensed"/>
          <w:i w:val="false"/>
          <w:iCs w:val="false"/>
          <w:sz w:val="24"/>
          <w:szCs w:val="24"/>
        </w:rPr>
        <w:t xml:space="preserve">; le </w:t>
      </w:r>
      <w:r>
        <w:rPr>
          <w:rFonts w:ascii="Barlow Semi Condensed" w:cs="Barlow Semi Condensed" w:eastAsia="Barlow Semi Condensed" w:hAnsi="Barlow Semi Condensed"/>
          <w:b/>
          <w:bCs/>
          <w:i w:val="false"/>
          <w:iCs w:val="false"/>
          <w:sz w:val="24"/>
          <w:szCs w:val="24"/>
        </w:rPr>
        <w:t xml:space="preserve">responsabilità personali</w:t>
      </w:r>
      <w:r>
        <w:rPr>
          <w:rFonts w:ascii="Barlow Semi Condensed" w:cs="Barlow Semi Condensed" w:eastAsia="Barlow Semi Condensed" w:hAnsi="Barlow Semi Condensed"/>
          <w:i w:val="false"/>
          <w:iCs w:val="false"/>
          <w:sz w:val="24"/>
          <w:szCs w:val="24"/>
        </w:rPr>
        <w:t xml:space="preserve"> (il principio personalistico e la prosopografia dei tredici); la </w:t>
      </w:r>
      <w:r>
        <w:rPr>
          <w:rFonts w:ascii="Barlow Semi Condensed" w:cs="Barlow Semi Condensed" w:eastAsia="Barlow Semi Condensed" w:hAnsi="Barlow Semi Condensed"/>
          <w:b/>
          <w:bCs/>
          <w:i w:val="false"/>
          <w:iCs w:val="false"/>
          <w:sz w:val="24"/>
          <w:szCs w:val="24"/>
        </w:rPr>
        <w:t xml:space="preserve">dimensione diplomatica</w:t>
      </w:r>
      <w:r>
        <w:rPr>
          <w:rFonts w:ascii="Barlow Semi Condensed" w:cs="Barlow Semi Condensed" w:eastAsia="Barlow Semi Condensed" w:hAnsi="Barlow Semi Condensed"/>
          <w:i w:val="false"/>
          <w:iCs w:val="false"/>
          <w:sz w:val="24"/>
          <w:szCs w:val="24"/>
        </w:rPr>
        <w:t xml:space="preserve"> (Moro alla Farnesina in tre campagne — la ricognizione-madre, le nove ricognizioni originali, le sedici della terza campagna coi sette registri analitici — e le pene oltre confine); il </w:t>
      </w:r>
      <w:r>
        <w:rPr>
          <w:rFonts w:ascii="Barlow Semi Condensed" w:cs="Barlow Semi Condensed" w:eastAsia="Barlow Semi Condensed" w:hAnsi="Barlow Semi Condensed"/>
          <w:b/>
          <w:bCs/>
          <w:i w:val="false"/>
          <w:iCs w:val="false"/>
          <w:sz w:val="24"/>
          <w:szCs w:val="24"/>
        </w:rPr>
        <w:t xml:space="preserve">fascicolo aperto</w:t>
      </w:r>
      <w:r>
        <w:rPr>
          <w:rFonts w:ascii="Barlow Semi Condensed" w:cs="Barlow Semi Condensed" w:eastAsia="Barlow Semi Condensed" w:hAnsi="Barlow Semi Condensed"/>
          <w:i w:val="false"/>
          <w:iCs w:val="false"/>
          <w:sz w:val="24"/>
          <w:szCs w:val="24"/>
        </w:rPr>
        <w:t xml:space="preserve"> (il programma investigativo con le graduatorie e le schede, la quadriga a blocchi mirati e la triangolazione di un solo nome contro tutto il corpus in 4.999 blocchi: «Il codice e la sua trasmissione»); </w:t>
      </w:r>
      <w:r>
        <w:rPr>
          <w:rFonts w:ascii="Barlow Semi Condensed" w:cs="Barlow Semi Condensed" w:eastAsia="Barlow Semi Condensed" w:hAnsi="Barlow Semi Condensed"/>
          <w:b/>
          <w:bCs/>
          <w:i w:val="false"/>
          <w:iCs w:val="false"/>
          <w:sz w:val="24"/>
          <w:szCs w:val="24"/>
        </w:rPr>
        <w:t xml:space="preserve">il meridiano e la valle</w:t>
      </w:r>
      <w:r>
        <w:rPr>
          <w:rFonts w:ascii="Barlow Semi Condensed" w:cs="Barlow Semi Condensed" w:eastAsia="Barlow Semi Condensed" w:hAnsi="Barlow Semi Condensed"/>
          <w:i w:val="false"/>
          <w:iCs w:val="false"/>
          <w:sz w:val="24"/>
          <w:szCs w:val="24"/>
        </w:rPr>
        <w:t xml:space="preserve"> (dal Sud Africa dell'apartheid alle imprese tecnologiche californiane, in mille blocchi); il </w:t>
      </w:r>
      <w:r>
        <w:rPr>
          <w:rFonts w:ascii="Barlow Semi Condensed" w:cs="Barlow Semi Condensed" w:eastAsia="Barlow Semi Condensed" w:hAnsi="Barlow Semi Condensed"/>
          <w:b/>
          <w:bCs/>
          <w:i w:val="false"/>
          <w:iCs w:val="false"/>
          <w:sz w:val="24"/>
          <w:szCs w:val="24"/>
        </w:rPr>
        <w:t xml:space="preserve">Registro dei cinquantacinque giorni</w:t>
      </w:r>
      <w:r>
        <w:rPr>
          <w:rFonts w:ascii="Barlow Semi Condensed" w:cs="Barlow Semi Condensed" w:eastAsia="Barlow Semi Condensed" w:hAnsi="Barlow Semi Condensed"/>
          <w:i w:val="false"/>
          <w:iCs w:val="false"/>
          <w:sz w:val="24"/>
          <w:szCs w:val="24"/>
        </w:rPr>
        <w:t xml:space="preserve">, opera seconda in sette Fasi e settanta Capitoli; e le cinque </w:t>
      </w:r>
      <w:r>
        <w:rPr>
          <w:rFonts w:ascii="Barlow Semi Condensed" w:cs="Barlow Semi Condensed" w:eastAsia="Barlow Semi Condensed" w:hAnsi="Barlow Semi Condensed"/>
          <w:b/>
          <w:bCs/>
          <w:i w:val="false"/>
          <w:iCs w:val="false"/>
          <w:sz w:val="24"/>
          <w:szCs w:val="24"/>
        </w:rPr>
        <w:t xml:space="preserve">Appendici</w:t>
      </w:r>
      <w:r>
        <w:rPr>
          <w:rFonts w:ascii="Barlow Semi Condensed" w:cs="Barlow Semi Condensed" w:eastAsia="Barlow Semi Condensed" w:hAnsi="Barlow Semi Condensed"/>
          <w:i w:val="false"/>
          <w:iCs w:val="false"/>
          <w:sz w:val="24"/>
          <w:szCs w:val="24"/>
        </w:rPr>
        <w:t xml:space="preserve"> (l'apparato dei gradi; il pastiche dichiarato; la verifica di un elenco esterno; l'apparato di navigazione col dossier di invio; e l'apparato della verifica, con la certificazione dei numeri P2, la relazione della campagna di ricerca e il registro degli ingressi). </w:t>
      </w:r>
      <w:r>
        <w:rPr>
          <w:rFonts w:ascii="Barlow Semi Condensed" w:cs="Barlow Semi Condensed" w:eastAsia="Barlow Semi Condensed" w:hAnsi="Barlow Semi Condensed"/>
          <w:b/>
          <w:bCs/>
          <w:i w:val="false"/>
          <w:iCs w:val="false"/>
          <w:sz w:val="24"/>
          <w:szCs w:val="24"/>
        </w:rPr>
        <w:t xml:space="preserve">Questa edizione è integrale in senso stretto</w:t>
      </w:r>
      <w:r>
        <w:rPr>
          <w:rFonts w:ascii="Barlow Semi Condensed" w:cs="Barlow Semi Condensed" w:eastAsia="Barlow Semi Condensed" w:hAnsi="Barlow Semi Condensed"/>
          <w:i w:val="false"/>
          <w:iCs w:val="false"/>
          <w:sz w:val="24"/>
          <w:szCs w:val="24"/>
        </w:rPr>
        <w:t xml:space="preserve">, e lo è alla lettera: dei centonove documenti del perimetro moroteano ne entrano centosette, e i due che restano fuori sono nominati qui sotto con la propria ragione. Ne resta fuori, e per dichiarazione, l'opera «Italia Nera», che è un lavoro distinto e non una parte di questo.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 due documenti che restano fuori, e perché.</w:t>
      </w:r>
      <w:r>
        <w:rPr>
          <w:rFonts w:ascii="Barlow Semi Condensed" w:cs="Barlow Semi Condensed" w:eastAsia="Barlow Semi Condensed" w:hAnsi="Barlow Semi Condensed"/>
          <w:i w:val="false"/>
          <w:iCs w:val="false"/>
          <w:sz w:val="24"/>
          <w:szCs w:val="24"/>
        </w:rPr>
        <w:t xml:space="preserve"> Il </w:t>
      </w:r>
      <w:r>
        <w:rPr>
          <w:rFonts w:ascii="Barlow Semi Condensed" w:cs="Barlow Semi Condensed" w:eastAsia="Barlow Semi Condensed" w:hAnsi="Barlow Semi Condensed"/>
          <w:b/>
          <w:bCs/>
          <w:i w:val="false"/>
          <w:iCs w:val="false"/>
          <w:sz w:val="24"/>
          <w:szCs w:val="24"/>
        </w:rPr>
        <w:t xml:space="preserve">registro delle impronte</w:t>
      </w:r>
      <w:r>
        <w:rPr>
          <w:rFonts w:ascii="Barlow Semi Condensed" w:cs="Barlow Semi Condensed" w:eastAsia="Barlow Semi Condensed" w:hAnsi="Barlow Semi Condensed"/>
          <w:i w:val="false"/>
          <w:iCs w:val="false"/>
          <w:sz w:val="24"/>
          <w:szCs w:val="24"/>
        </w:rPr>
        <w:t xml:space="preserve"> non entra, e non può: misura questo volume, e rilegarlo dentro il volume che misura cambierebbe il volume e quindi la misura — è la stessa regola per cui il registro non certifica sé stesso. Il </w:t>
      </w:r>
      <w:r>
        <w:rPr>
          <w:rFonts w:ascii="Barlow Semi Condensed" w:cs="Barlow Semi Condensed" w:eastAsia="Barlow Semi Condensed" w:hAnsi="Barlow Semi Condensed"/>
          <w:b/>
          <w:bCs/>
          <w:i w:val="false"/>
          <w:iCs w:val="false"/>
          <w:sz w:val="24"/>
          <w:szCs w:val="24"/>
        </w:rPr>
        <w:t xml:space="preserve">memorandum operativo sulla riapertura delle verifiche</w:t>
      </w:r>
      <w:r>
        <w:rPr>
          <w:rFonts w:ascii="Barlow Semi Condensed" w:cs="Barlow Semi Condensed" w:eastAsia="Barlow Semi Condensed" w:hAnsi="Barlow Semi Condensed"/>
          <w:i w:val="false"/>
          <w:iCs w:val="false"/>
          <w:sz w:val="24"/>
          <w:szCs w:val="24"/>
        </w:rPr>
        <w:t xml:space="preserve"> non entra per statuto proprio: è un documento di lavoro che dichiara da sé di non appartenere all'opera. Tutto il resto del perimetro moroteano è qui. Ne resta fuori per dichiarazione, e non per dimenticanza, anche </w:t>
      </w:r>
      <w:r>
        <w:rPr>
          <w:rFonts w:ascii="Barlow Semi Condensed" w:cs="Barlow Semi Condensed" w:eastAsia="Barlow Semi Condensed" w:hAnsi="Barlow Semi Condensed"/>
          <w:b/>
          <w:bCs/>
          <w:i w:val="false"/>
          <w:iCs w:val="false"/>
          <w:sz w:val="24"/>
          <w:szCs w:val="24"/>
        </w:rPr>
        <w:t xml:space="preserve">il romanzo che dal corpus si ricava</w:t>
      </w:r>
      <w:r>
        <w:rPr>
          <w:rFonts w:ascii="Barlow Semi Condensed" w:cs="Barlow Semi Condensed" w:eastAsia="Barlow Semi Condensed" w:hAnsi="Barlow Semi Condensed"/>
          <w:i w:val="false"/>
          <w:iCs w:val="false"/>
          <w:sz w:val="24"/>
          <w:szCs w:val="24"/>
        </w:rPr>
        <w:t xml:space="preserve">: è opera derivata, ha un proprio manifesto di impronte, e contare dentro l'opera ciò che l'opera ha prodotto sarebbe contarlo due volte.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In ogni pagina vale la Regola di Ferro: gradi dichiarati (A giudicato · B accertamento · C congettura · F fatto pubblico · Stato Zero), criteri di smentita, esiti negativi come acquisizioni. Nessuna imputazione oltre il giudicato; nessuna graduatoria di persone — con l'unica eccezione, dichiarata in apertura del Libro quarto e valida soltanto entro di esso, della bilancia probabilistica che il Dossier maggiore porta con sé come volume nel volume: essa ordina per plausibilità e non per colpa, lavora per categorie di soggetti e non per nomi individuali, muove dai condannati in via definitiva e rifiuta di nominare un mandante esterno determinato; la colpa non è mai del gruppo ed è sempre della persona; gli assolti restano assolti; le sei vittime stanno in testa, non in fondo. I pastiche sono dichiarati e non sono parole di Aldo Moro. Un'indagine produce atti, non colpevoli.</w:t>
      </w:r>
    </w:p>
    <w:p>
      <w:r>
        <w:br w:type="page"/>
      </w:r>
    </w:p>
    <w:p>
      <w:pPr>
        <w:pStyle w:val="Heading1"/>
        <w:spacing w:after="120" w:before="240"/>
      </w:pPr>
      <w:r>
        <w:rPr>
          <w:rFonts w:ascii="Barlow Semi Condensed" w:cs="Barlow Semi Condensed" w:eastAsia="Barlow Semi Condensed" w:hAnsi="Barlow Semi Condensed"/>
          <w:sz w:val="24"/>
          <w:szCs w:val="24"/>
        </w:rPr>
        <w:t xml:space="preserve">Portale — L'edizione strutturata: la mappa dell'opera</w:t>
      </w:r>
    </w:p>
    <w:p>
      <w:pPr>
        <w:pStyle w:val="Heading2"/>
        <w:spacing w:after="100" w:before="200"/>
      </w:pPr>
      <w:r>
        <w:rPr>
          <w:rFonts w:ascii="Barlow Semi Condensed" w:cs="Barlow Semi Condensed" w:eastAsia="Barlow Semi Condensed" w:hAnsi="Barlow Semi Condensed"/>
          <w:sz w:val="24"/>
          <w:szCs w:val="24"/>
        </w:rPr>
        <w:t xml:space="preserve">Una guerra senza fine — Edizione strutturata del corpus</w:t>
      </w:r>
    </w:p>
    <w:p>
      <w:pPr>
        <w:spacing w:after="120" w:line="276"/>
        <w:jc w:val="both"/>
      </w:pPr>
      <w:r>
        <w:rPr>
          <w:rFonts w:ascii="Barlow Semi Condensed" w:cs="Barlow Semi Condensed" w:eastAsia="Barlow Semi Condensed" w:hAnsi="Barlow Semi Condensed"/>
          <w:i/>
          <w:iCs/>
          <w:sz w:val="24"/>
          <w:szCs w:val="24"/>
        </w:rPr>
        <w:t xml:space="preserve">«È l'ignoranza che crea la violenza» — Sud Sound System</w:t>
      </w:r>
    </w:p>
    <w:p>
      <w:pPr>
        <w:spacing w:after="120" w:line="276"/>
        <w:jc w:val="both"/>
      </w:pPr>
      <w:r>
        <w:rPr>
          <w:rFonts w:ascii="Barlow Semi Condensed" w:cs="Barlow Semi Condensed" w:eastAsia="Barlow Semi Condensed" w:hAnsi="Barlow Semi Condensed"/>
          <w:i/>
          <w:iCs/>
          <w:sz w:val="24"/>
          <w:szCs w:val="24"/>
        </w:rPr>
        <w:t xml:space="preserve">AI generated · Edizione del branch pubblico, strutturata secondo l'architettura del Dossier «Aldo Moro — Tutta la verità» — 25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di questa edizione.</w:t>
      </w:r>
      <w:r>
        <w:rPr>
          <w:rFonts w:ascii="Barlow Semi Condensed" w:cs="Barlow Semi Condensed" w:eastAsia="Barlow Semi Condensed" w:hAnsi="Barlow Semi Condensed"/>
          <w:i w:val="false"/>
          <w:iCs w:val="false"/>
          <w:sz w:val="24"/>
          <w:szCs w:val="24"/>
        </w:rPr>
        <w:t xml:space="preserve"> Il Dossier maggiore dell'autore — «Aldo Moro. Tutta la verità» — organizza l'intera materia in </w:t>
      </w:r>
      <w:r>
        <w:rPr>
          <w:rFonts w:ascii="Barlow Semi Condensed" w:cs="Barlow Semi Condensed" w:eastAsia="Barlow Semi Condensed" w:hAnsi="Barlow Semi Condensed"/>
          <w:b/>
          <w:bCs/>
          <w:i w:val="false"/>
          <w:iCs w:val="false"/>
          <w:sz w:val="24"/>
          <w:szCs w:val="24"/>
        </w:rPr>
        <w:t xml:space="preserve">cinque Fasi e cinquanta capitoli</w:t>
      </w:r>
      <w:r>
        <w:rPr>
          <w:rFonts w:ascii="Barlow Semi Condensed" w:cs="Barlow Semi Condensed" w:eastAsia="Barlow Semi Condensed" w:hAnsi="Barlow Semi Condensed"/>
          <w:i w:val="false"/>
          <w:iCs w:val="false"/>
          <w:sz w:val="24"/>
          <w:szCs w:val="24"/>
        </w:rPr>
        <w:t xml:space="preserve">, tessuti da serie numerate di </w:t>
      </w:r>
      <w:r>
        <w:rPr>
          <w:rFonts w:ascii="Barlow Semi Condensed" w:cs="Barlow Semi Condensed" w:eastAsia="Barlow Semi Condensed" w:hAnsi="Barlow Semi Condensed"/>
          <w:b/>
          <w:bCs/>
          <w:i w:val="false"/>
          <w:iCs w:val="false"/>
          <w:sz w:val="24"/>
          <w:szCs w:val="24"/>
        </w:rPr>
        <w:t xml:space="preserve">blocchi mirati</w:t>
      </w:r>
      <w:r>
        <w:rPr>
          <w:rFonts w:ascii="Barlow Semi Condensed" w:cs="Barlow Semi Condensed" w:eastAsia="Barlow Semi Condensed" w:hAnsi="Barlow Semi Condensed"/>
          <w:i w:val="false"/>
          <w:iCs w:val="false"/>
          <w:sz w:val="24"/>
          <w:szCs w:val="24"/>
        </w:rPr>
        <w:t xml:space="preserve"> e chiusi da una bibliografia in sei sezioni. Questa edizione ristruttura </w:t>
      </w:r>
      <w:r>
        <w:rPr>
          <w:rFonts w:ascii="Barlow Semi Condensed" w:cs="Barlow Semi Condensed" w:eastAsia="Barlow Semi Condensed" w:hAnsi="Barlow Semi Condensed"/>
          <w:b/>
          <w:bCs/>
          <w:i w:val="false"/>
          <w:iCs w:val="false"/>
          <w:sz w:val="24"/>
          <w:szCs w:val="24"/>
        </w:rPr>
        <w:t xml:space="preserve">tutto il corpus del branch pubblico</w:t>
      </w:r>
      <w:r>
        <w:rPr>
          <w:rFonts w:ascii="Barlow Semi Condensed" w:cs="Barlow Semi Condensed" w:eastAsia="Barlow Semi Condensed" w:hAnsi="Barlow Semi Condensed"/>
          <w:i w:val="false"/>
          <w:iCs w:val="false"/>
          <w:sz w:val="24"/>
          <w:szCs w:val="24"/>
        </w:rPr>
        <w:t xml:space="preserve"> secondo quella medesima architettura: stesse cinque Fasi, stessi sottotitoli di regime, stessa scansione dei capitoli, stesso tessuto a blocchi, stessa griglia di autocritica a cinque voci. Con </w:t>
      </w:r>
      <w:r>
        <w:rPr>
          <w:rFonts w:ascii="Barlow Semi Condensed" w:cs="Barlow Semi Condensed" w:eastAsia="Barlow Semi Condensed" w:hAnsi="Barlow Semi Condensed"/>
          <w:b/>
          <w:bCs/>
          <w:i w:val="false"/>
          <w:iCs w:val="false"/>
          <w:sz w:val="24"/>
          <w:szCs w:val="24"/>
        </w:rPr>
        <w:t xml:space="preserve">una divergenza, dichiarata e costitutiva</w:t>
      </w:r>
      <w:r>
        <w:rPr>
          <w:rFonts w:ascii="Barlow Semi Condensed" w:cs="Barlow Semi Condensed" w:eastAsia="Barlow Semi Condensed" w:hAnsi="Barlow Semi Condensed"/>
          <w:i w:val="false"/>
          <w:iCs w:val="false"/>
          <w:sz w:val="24"/>
          <w:szCs w:val="24"/>
        </w:rPr>
        <w:t xml:space="preserve">: nel Dossier maggiore la Fase quinta congeda il Pollo di Popper e adotta il giudizio probabilistico su architetti, mandanti ed esecutori, fino alla graduatoria secondo dieci metodi; </w:t>
      </w:r>
      <w:r>
        <w:rPr>
          <w:rFonts w:ascii="Barlow Semi Condensed" w:cs="Barlow Semi Condensed" w:eastAsia="Barlow Semi Condensed" w:hAnsi="Barlow Semi Condensed"/>
          <w:b/>
          <w:bCs/>
          <w:i w:val="false"/>
          <w:iCs w:val="false"/>
          <w:sz w:val="24"/>
          <w:szCs w:val="24"/>
        </w:rPr>
        <w:t xml:space="preserve">il branch pubblico, per la disciplina che si è dato, non riproduce quella graduatoria né quel congedo</w:t>
      </w:r>
      <w:r>
        <w:rPr>
          <w:rFonts w:ascii="Barlow Semi Condensed" w:cs="Barlow Semi Condensed" w:eastAsia="Barlow Semi Condensed" w:hAnsi="Barlow Semi Condensed"/>
          <w:i w:val="false"/>
          <w:iCs w:val="false"/>
          <w:sz w:val="24"/>
          <w:szCs w:val="24"/>
        </w:rPr>
        <w:t xml:space="preserve">. Qui la Fase quinta si ferma dove si ferma il giudicato: gli esecutori sono i tredici del registro personalistico, i piani superiori restano al grado che le prove consentono, e il lettore che voglia l'esercizio probabilistico sa che esso esiste — nell'edizione maggiore, sotto la responsabilità dell'autore — e sa perché qui non c'è. Questa non è una mutilazione: è la stessa opera, letta col regime di prova del versante pubblico.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Annotazione del 27 agosto 2026 — la rimozione del materiale su Guevara.</w:t>
      </w:r>
      <w:r>
        <w:rPr>
          <w:rFonts w:ascii="Barlow Semi Condensed" w:cs="Barlow Semi Condensed" w:eastAsia="Barlow Semi Condensed" w:hAnsi="Barlow Semi Condensed"/>
          <w:i w:val="false"/>
          <w:iCs w:val="false"/>
          <w:sz w:val="24"/>
          <w:szCs w:val="24"/>
        </w:rPr>
        <w:t xml:space="preserve"> Per decisione dell'autore sono stati rimossi dall'opera il saggio-cerniera «Dal Che a Moro» e la parabola di Ernesto Guevara in sei parti — sette documenti, 17.769 parole — insieme al volume tematico che li rilegava. </w:t>
      </w:r>
      <w:r>
        <w:rPr>
          <w:rFonts w:ascii="Barlow Semi Condensed" w:cs="Barlow Semi Condensed" w:eastAsia="Barlow Semi Condensed" w:hAnsi="Barlow Semi Condensed"/>
          <w:b/>
          <w:bCs/>
          <w:i w:val="false"/>
          <w:iCs w:val="false"/>
          <w:sz w:val="24"/>
          <w:szCs w:val="24"/>
        </w:rPr>
        <w:t xml:space="preserve">I riferimenti che restano in questa pagina non sono stati cancellati</w:t>
      </w:r>
      <w:r>
        <w:rPr>
          <w:rFonts w:ascii="Barlow Semi Condensed" w:cs="Barlow Semi Condensed" w:eastAsia="Barlow Semi Condensed" w:hAnsi="Barlow Semi Condensed"/>
          <w:i w:val="false"/>
          <w:iCs w:val="false"/>
          <w:sz w:val="24"/>
          <w:szCs w:val="24"/>
        </w:rPr>
        <w:t xml:space="preserve">: rinviano a documenti che non ci sono più, e questo è ciò che deve risultare a chi legge. Cancellarli avrebbe reso la rimozione invisibile; la numerazione dei Libri, per la stessa ragione, non è stata rifatta, e dopo il Libro primo viene il Libro quarto.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FASE PRIMA — IL METODO E L'UOMO</w:t>
      </w:r>
    </w:p>
    <w:p>
      <w:pPr>
        <w:spacing w:after="120" w:line="276"/>
        <w:jc w:val="both"/>
      </w:pPr>
      <w:r>
        <w:rPr>
          <w:rFonts w:ascii="Barlow Semi Condensed" w:cs="Barlow Semi Condensed" w:eastAsia="Barlow Semi Condensed" w:hAnsi="Barlow Semi Condensed"/>
          <w:i/>
          <w:iCs/>
          <w:sz w:val="24"/>
          <w:szCs w:val="24"/>
        </w:rPr>
        <w:t xml:space="preserve">dove vige la disciplina del Pollo di Popper</w:t>
      </w:r>
    </w:p>
    <w:p>
      <w:pPr>
        <w:spacing w:after="120" w:line="276"/>
        <w:jc w:val="both"/>
      </w:pPr>
      <w:r>
        <w:rPr>
          <w:rFonts w:ascii="Barlow Semi Condensed" w:cs="Barlow Semi Condensed" w:eastAsia="Barlow Semi Condensed" w:hAnsi="Barlow Semi Condensed"/>
          <w:b/>
          <w:bCs/>
          <w:sz w:val="24"/>
          <w:szCs w:val="24"/>
        </w:rPr>
        <w:t xml:space="preserve">Blocco mirato numero uno — Statuto dell'edizione.</w:t>
      </w:r>
      <w:r>
        <w:rPr>
          <w:rFonts w:ascii="Barlow Semi Condensed" w:cs="Barlow Semi Condensed" w:eastAsia="Barlow Semi Condensed" w:hAnsi="Barlow Semi Condensed"/>
          <w:sz w:val="24"/>
          <w:szCs w:val="24"/>
        </w:rPr>
        <w:t xml:space="preserve"> Questa edizione non aggiunge fatti al corpus: lo </w:t>
      </w:r>
      <w:r>
        <w:rPr>
          <w:rFonts w:ascii="Barlow Semi Condensed" w:cs="Barlow Semi Condensed" w:eastAsia="Barlow Semi Condensed" w:hAnsi="Barlow Semi Condensed"/>
          <w:b/>
          <w:bCs/>
          <w:sz w:val="24"/>
          <w:szCs w:val="24"/>
        </w:rPr>
        <w:t xml:space="preserve">riordina</w:t>
      </w:r>
      <w:r>
        <w:rPr>
          <w:rFonts w:ascii="Barlow Semi Condensed" w:cs="Barlow Semi Condensed" w:eastAsia="Barlow Semi Condensed" w:hAnsi="Barlow Semi Condensed"/>
          <w:sz w:val="24"/>
          <w:szCs w:val="24"/>
        </w:rPr>
        <w:t xml:space="preserve">. Ogni capitolo dichiara da quali documenti del branch la sua materia proviene, sicché il lettore possa sempre risalire dal sommario al testo pieno e dal testo pieno alle fonti con indirizzo. L'edizione è perciò un portale, non un sostituto: chi legge solo queste pagine ha la mappa; chi apre i documenti richiamati ha il territorio.</w:t>
      </w:r>
    </w:p>
    <w:p>
      <w:pPr>
        <w:spacing w:after="120" w:line="276"/>
        <w:jc w:val="both"/>
      </w:pPr>
      <w:r>
        <w:rPr>
          <w:rFonts w:ascii="Barlow Semi Condensed" w:cs="Barlow Semi Condensed" w:eastAsia="Barlow Semi Condensed" w:hAnsi="Barlow Semi Condensed"/>
          <w:b/>
          <w:bCs/>
          <w:sz w:val="24"/>
          <w:szCs w:val="24"/>
        </w:rPr>
        <w:t xml:space="preserve">Blocco mirato numero due — Il Pollo di Popper.</w:t>
      </w:r>
      <w:r>
        <w:rPr>
          <w:rFonts w:ascii="Barlow Semi Condensed" w:cs="Barlow Semi Condensed" w:eastAsia="Barlow Semi Condensed" w:hAnsi="Barlow Semi Condensed"/>
          <w:sz w:val="24"/>
          <w:szCs w:val="24"/>
        </w:rPr>
        <w:t xml:space="preserve"> La disciplina che governa le prime quattro Fasi ha il nome che l'autore le ha dato: dove la fonte documenta, si certifica; dove la fonte tace, si indaga e non si afferma; la congettura non è vietata, è </w:t>
      </w:r>
      <w:r>
        <w:rPr>
          <w:rFonts w:ascii="Barlow Semi Condensed" w:cs="Barlow Semi Condensed" w:eastAsia="Barlow Semi Condensed" w:hAnsi="Barlow Semi Condensed"/>
          <w:b/>
          <w:bCs/>
          <w:sz w:val="24"/>
          <w:szCs w:val="24"/>
        </w:rPr>
        <w:t xml:space="preserve">marcata</w:t>
      </w:r>
      <w:r>
        <w:rPr>
          <w:rFonts w:ascii="Barlow Semi Condensed" w:cs="Barlow Semi Condensed" w:eastAsia="Barlow Semi Condensed" w:hAnsi="Barlow Semi Condensed"/>
          <w:sz w:val="24"/>
          <w:szCs w:val="24"/>
        </w:rPr>
        <w:t xml:space="preserve">; e ogni asserzione portante espone il proprio criterio di smentita, perché un'affermazione che non può essere smentita da nulla non sta affermando nulla.</w:t>
      </w:r>
    </w:p>
    <w:p>
      <w:pPr>
        <w:spacing w:after="120" w:line="276"/>
        <w:jc w:val="both"/>
      </w:pPr>
      <w:r>
        <w:rPr>
          <w:rFonts w:ascii="Barlow Semi Condensed" w:cs="Barlow Semi Condensed" w:eastAsia="Barlow Semi Condensed" w:hAnsi="Barlow Semi Condensed"/>
          <w:b/>
          <w:bCs/>
          <w:sz w:val="24"/>
          <w:szCs w:val="24"/>
        </w:rPr>
        <w:t xml:space="preserve">Blocco mirato numero tre — Lo standard probatorio.</w:t>
      </w:r>
      <w:r>
        <w:rPr>
          <w:rFonts w:ascii="Barlow Semi Condensed" w:cs="Barlow Semi Condensed" w:eastAsia="Barlow Semi Condensed" w:hAnsi="Barlow Semi Condensed"/>
          <w:sz w:val="24"/>
          <w:szCs w:val="24"/>
        </w:rPr>
        <w:t xml:space="preserve"> I gradi del corpus: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il giudicato;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l'accertamento parlamentare o istruttorio;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la congettura ordinata;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il fatto pubblico; </w:t>
      </w: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l'assenza documentata, che è un risultato e non un vuoto. Nessuna voce sale di grado per suggestione; nessuna scende per scetticismo di maniera.</w:t>
      </w:r>
    </w:p>
    <w:p>
      <w:pPr>
        <w:spacing w:after="120" w:line="276"/>
        <w:jc w:val="both"/>
      </w:pPr>
      <w:r>
        <w:rPr>
          <w:rFonts w:ascii="Barlow Semi Condensed" w:cs="Barlow Semi Condensed" w:eastAsia="Barlow Semi Condensed" w:hAnsi="Barlow Semi Condensed"/>
          <w:b/>
          <w:bCs/>
          <w:sz w:val="24"/>
          <w:szCs w:val="24"/>
        </w:rPr>
        <w:t xml:space="preserve">Blocco mirato numero quattro — La regola personalistica.</w:t>
      </w:r>
      <w:r>
        <w:rPr>
          <w:rFonts w:ascii="Barlow Semi Condensed" w:cs="Barlow Semi Condensed" w:eastAsia="Barlow Semi Condensed" w:hAnsi="Barlow Semi Condensed"/>
          <w:sz w:val="24"/>
          <w:szCs w:val="24"/>
        </w:rPr>
        <w:t xml:space="preserve"> La colpa non è mai del gruppo ed è sempre della persona (art. 27 Cost.); l'appartenenza — a uno o più gruppi — non è condotta; la parentela non è canale; la contemporaneità non è nesso; gli assolti restano assolti, e il «fu assolto, ma» è bandito.</w:t>
      </w:r>
    </w:p>
    <w:p>
      <w:pPr>
        <w:pStyle w:val="Heading3"/>
        <w:spacing w:after="80" w:before="160"/>
      </w:pPr>
      <w:r>
        <w:rPr>
          <w:rFonts w:ascii="Barlow Semi Condensed" w:cs="Barlow Semi Condensed" w:eastAsia="Barlow Semi Condensed" w:hAnsi="Barlow Semi Condensed"/>
          <w:sz w:val="24"/>
          <w:szCs w:val="24"/>
        </w:rPr>
        <w:t xml:space="preserve">Capitolo I — Avvertenza dell'autore e statuto dell'opera</w:t>
      </w:r>
    </w:p>
    <w:p>
      <w:pPr>
        <w:spacing w:after="120" w:line="276"/>
        <w:jc w:val="both"/>
      </w:pPr>
      <w:r>
        <w:rPr>
          <w:rFonts w:ascii="Barlow Semi Condensed" w:cs="Barlow Semi Condensed" w:eastAsia="Barlow Semi Condensed" w:hAnsi="Barlow Semi Condensed"/>
          <w:sz w:val="24"/>
          <w:szCs w:val="24"/>
        </w:rPr>
        <w:t xml:space="preserve">Quest'opera è generata da un'intelligenza artificiale su comando e responsabilità di un autore umano, e non lo nasconde. L'avvertenza integrale, con le tre rinunce chieste al lettore e le tre garanzie rese in cambio, è nel Dossier maggiore; il suo equivalente pubblico è la disciplina dichiarata in testa a ogni documento del branch. → </w:t>
      </w:r>
      <w:r>
        <w:rPr>
          <w:rFonts w:ascii="Barlow Semi Condensed" w:cs="Barlow Semi Condensed" w:eastAsia="Barlow Semi Condensed" w:hAnsi="Barlow Semi Condensed"/>
          <w:i/>
          <w:iCs/>
          <w:sz w:val="24"/>
          <w:szCs w:val="24"/>
        </w:rPr>
        <w:t xml:space="preserve">Documenti: `GUIDA-ALLA-LETTURA.md` (la porta d'ingresso), `aldo-moro-una-guerra-senza-fine-apparato-dei-gradi.md`.</w:t>
      </w:r>
    </w:p>
    <w:p>
      <w:pPr>
        <w:pStyle w:val="Heading3"/>
        <w:spacing w:after="80" w:before="160"/>
      </w:pPr>
      <w:r>
        <w:rPr>
          <w:rFonts w:ascii="Barlow Semi Condensed" w:cs="Barlow Semi Condensed" w:eastAsia="Barlow Semi Condensed" w:hAnsi="Barlow Semi Condensed"/>
          <w:sz w:val="24"/>
          <w:szCs w:val="24"/>
        </w:rPr>
        <w:t xml:space="preserve">Capitolo II — Il metodo: il Pollo di Popper e la sua sfera d'azione</w:t>
      </w:r>
    </w:p>
    <w:p>
      <w:pPr>
        <w:spacing w:after="120" w:line="276"/>
        <w:jc w:val="both"/>
      </w:pPr>
      <w:r>
        <w:rPr>
          <w:rFonts w:ascii="Barlow Semi Condensed" w:cs="Barlow Semi Condensed" w:eastAsia="Barlow Semi Condensed" w:hAnsi="Barlow Semi Condensed"/>
          <w:sz w:val="24"/>
          <w:szCs w:val="24"/>
        </w:rPr>
        <w:t xml:space="preserve">Il falsificazionismo applicato a un caso di storia repubblicana: ogni capitolo del corpus espone l'asserzione portante, il grado e il criterio di smentita. → </w:t>
      </w:r>
      <w:r>
        <w:rPr>
          <w:rFonts w:ascii="Barlow Semi Condensed" w:cs="Barlow Semi Condensed" w:eastAsia="Barlow Semi Condensed" w:hAnsi="Barlow Semi Condensed"/>
          <w:i/>
          <w:iCs/>
          <w:sz w:val="24"/>
          <w:szCs w:val="24"/>
        </w:rPr>
        <w:t xml:space="preserve">Documenti: `aldo-moro-una-guerra-senza-fine-fase-sesta.md` (il presidio del garante e le quattro discipline), `aldo-moro-una-guerra-senza-fine-apparato-dei-gradi.md` (l'indice analitico dei cinquanta capitoli).</w:t>
      </w:r>
    </w:p>
    <w:p>
      <w:pPr>
        <w:pStyle w:val="Heading3"/>
        <w:spacing w:after="80" w:before="160"/>
      </w:pPr>
      <w:r>
        <w:rPr>
          <w:rFonts w:ascii="Barlow Semi Condensed" w:cs="Barlow Semi Condensed" w:eastAsia="Barlow Semi Condensed" w:hAnsi="Barlow Semi Condensed"/>
          <w:sz w:val="24"/>
          <w:szCs w:val="24"/>
        </w:rPr>
        <w:t xml:space="preserve">Capitolo II-bis — La sinaptogenesi e gli strumenti: le metodologie del Dossier applicate</w:t>
      </w:r>
    </w:p>
    <w:p>
      <w:pPr>
        <w:spacing w:after="120" w:line="276"/>
        <w:jc w:val="both"/>
      </w:pPr>
      <w:r>
        <w:rPr>
          <w:rFonts w:ascii="Barlow Semi Condensed" w:cs="Barlow Semi Condensed" w:eastAsia="Barlow Semi Condensed" w:hAnsi="Barlow Semi Condensed"/>
          <w:sz w:val="24"/>
          <w:szCs w:val="24"/>
        </w:rPr>
        <w:t xml:space="preserve">La cassetta degli attrezzi del Dossier maggiore, adottata e calcolata sul corpus: la </w:t>
      </w:r>
      <w:r>
        <w:rPr>
          <w:rFonts w:ascii="Barlow Semi Condensed" w:cs="Barlow Semi Condensed" w:eastAsia="Barlow Semi Condensed" w:hAnsi="Barlow Semi Condensed"/>
          <w:b/>
          <w:bCs/>
          <w:sz w:val="24"/>
          <w:szCs w:val="24"/>
        </w:rPr>
        <w:t xml:space="preserve">rete documentata</w:t>
      </w:r>
      <w:r>
        <w:rPr>
          <w:rFonts w:ascii="Barlow Semi Condensed" w:cs="Barlow Semi Condensed" w:eastAsia="Barlow Semi Condensed" w:hAnsi="Barlow Semi Condensed"/>
          <w:sz w:val="24"/>
          <w:szCs w:val="24"/>
        </w:rPr>
        <w:t xml:space="preserve"> (39 nodi, 59 archi con grado; centralità di Freeman calcolate; il CPM come ponte quantitativo fra i mondi), la </w:t>
      </w:r>
      <w:r>
        <w:rPr>
          <w:rFonts w:ascii="Barlow Semi Condensed" w:cs="Barlow Semi Condensed" w:eastAsia="Barlow Semi Condensed" w:hAnsi="Barlow Semi Condensed"/>
          <w:b/>
          <w:bCs/>
          <w:sz w:val="24"/>
          <w:szCs w:val="24"/>
        </w:rPr>
        <w:t xml:space="preserve">regola dell'anello debole</w:t>
      </w:r>
      <w:r>
        <w:rPr>
          <w:rFonts w:ascii="Barlow Semi Condensed" w:cs="Barlow Semi Condensed" w:eastAsia="Barlow Semi Condensed" w:hAnsi="Barlow Semi Condensed"/>
          <w:sz w:val="24"/>
          <w:szCs w:val="24"/>
        </w:rPr>
        <w:t xml:space="preserve"> (il grado di un cammino è il minimo dei suoi archi: il cammino Hyperion→via Fani è di grado F), la </w:t>
      </w:r>
      <w:r>
        <w:rPr>
          <w:rFonts w:ascii="Barlow Semi Condensed" w:cs="Barlow Semi Condensed" w:eastAsia="Barlow Semi Condensed" w:hAnsi="Barlow Semi Condensed"/>
          <w:b/>
          <w:bCs/>
          <w:sz w:val="24"/>
          <w:szCs w:val="24"/>
        </w:rPr>
        <w:t xml:space="preserve">regola dei buchi</w:t>
      </w:r>
      <w:r>
        <w:rPr>
          <w:rFonts w:ascii="Barlow Semi Condensed" w:cs="Barlow Semi Condensed" w:eastAsia="Barlow Semi Condensed" w:hAnsi="Barlow Semi Condensed"/>
          <w:sz w:val="24"/>
          <w:szCs w:val="24"/>
        </w:rPr>
        <w:t xml:space="preserve"> (Burt: i buchi si misurano, non si riempiono), i </w:t>
      </w:r>
      <w:r>
        <w:rPr>
          <w:rFonts w:ascii="Barlow Semi Condensed" w:cs="Barlow Semi Condensed" w:eastAsia="Barlow Semi Condensed" w:hAnsi="Barlow Semi Condensed"/>
          <w:b/>
          <w:bCs/>
          <w:sz w:val="24"/>
          <w:szCs w:val="24"/>
        </w:rPr>
        <w:t xml:space="preserve">dieci mondi</w:t>
      </w:r>
      <w:r>
        <w:rPr>
          <w:rFonts w:ascii="Barlow Semi Condensed" w:cs="Barlow Semi Condensed" w:eastAsia="Barlow Semi Condensed" w:hAnsi="Barlow Semi Condensed"/>
          <w:sz w:val="24"/>
          <w:szCs w:val="24"/>
        </w:rPr>
        <w:t xml:space="preserve"> multistrato (Kivelä), l'</w:t>
      </w:r>
      <w:r>
        <w:rPr>
          <w:rFonts w:ascii="Barlow Semi Condensed" w:cs="Barlow Semi Condensed" w:eastAsia="Barlow Semi Condensed" w:hAnsi="Barlow Semi Condensed"/>
          <w:b/>
          <w:bCs/>
          <w:sz w:val="24"/>
          <w:szCs w:val="24"/>
        </w:rPr>
        <w:t xml:space="preserve">ACH di Heuer</w:t>
      </w:r>
      <w:r>
        <w:rPr>
          <w:rFonts w:ascii="Barlow Semi Condensed" w:cs="Barlow Semi Condensed" w:eastAsia="Barlow Semi Condensed" w:hAnsi="Barlow Semi Condensed"/>
          <w:sz w:val="24"/>
          <w:szCs w:val="24"/>
        </w:rPr>
        <w:t xml:space="preserve"> su due quesiti impersonali (Gradoli; le due moto) con l'evidenza discriminante nominata, il paradigma indiziario e la consilienza col loro guardrail, e l'</w:t>
      </w:r>
      <w:r>
        <w:rPr>
          <w:rFonts w:ascii="Barlow Semi Condensed" w:cs="Barlow Semi Condensed" w:eastAsia="Barlow Semi Condensed" w:hAnsi="Barlow Semi Condensed"/>
          <w:b/>
          <w:bCs/>
          <w:sz w:val="24"/>
          <w:szCs w:val="24"/>
        </w:rPr>
        <w:t xml:space="preserve">auto-misurazione statistica</w:t>
      </w:r>
      <w:r>
        <w:rPr>
          <w:rFonts w:ascii="Barlow Semi Condensed" w:cs="Barlow Semi Condensed" w:eastAsia="Barlow Semi Condensed" w:hAnsi="Barlow Semi Condensed"/>
          <w:sz w:val="24"/>
          <w:szCs w:val="24"/>
        </w:rPr>
        <w:t xml:space="preserve"> del branch. → </w:t>
      </w:r>
      <w:r>
        <w:rPr>
          <w:rFonts w:ascii="Barlow Semi Condensed" w:cs="Barlow Semi Condensed" w:eastAsia="Barlow Semi Condensed" w:hAnsi="Barlow Semi Condensed"/>
          <w:i/>
          <w:iCs/>
          <w:sz w:val="24"/>
          <w:szCs w:val="24"/>
        </w:rPr>
        <w:t xml:space="preserve">Documenti: `metodologie-del-dossier-sinaptogenesi-e-strumenti.md`.</w:t>
      </w:r>
    </w:p>
    <w:p>
      <w:pPr>
        <w:pStyle w:val="Heading3"/>
        <w:spacing w:after="80" w:before="160"/>
      </w:pPr>
      <w:r>
        <w:rPr>
          <w:rFonts w:ascii="Barlow Semi Condensed" w:cs="Barlow Semi Condensed" w:eastAsia="Barlow Semi Condensed" w:hAnsi="Barlow Semi Condensed"/>
          <w:sz w:val="24"/>
          <w:szCs w:val="24"/>
        </w:rPr>
        <w:t xml:space="preserve">Capitolo III — Lo standard probatorio: i livelli della certezza</w:t>
      </w:r>
    </w:p>
    <w:p>
      <w:pPr>
        <w:spacing w:after="120" w:line="276"/>
        <w:jc w:val="both"/>
      </w:pPr>
      <w:r>
        <w:rPr>
          <w:rFonts w:ascii="Barlow Semi Condensed" w:cs="Barlow Semi Condensed" w:eastAsia="Barlow Semi Condensed" w:hAnsi="Barlow Semi Condensed"/>
          <w:sz w:val="24"/>
          <w:szCs w:val="24"/>
        </w:rPr>
        <w:t xml:space="preserve">La scala A/B/C/F/Stato Zero, la distinzione fra il documento e il documentato, il divieto di promuovere convergenze a nessi. → </w:t>
      </w:r>
      <w:r>
        <w:rPr>
          <w:rFonts w:ascii="Barlow Semi Condensed" w:cs="Barlow Semi Condensed" w:eastAsia="Barlow Semi Condensed" w:hAnsi="Barlow Semi Condensed"/>
          <w:i/>
          <w:iCs/>
          <w:sz w:val="24"/>
          <w:szCs w:val="24"/>
        </w:rPr>
        <w:t xml:space="preserve">Documenti: Fase sesta; Fase settima, capp. 56-57 (che cosa pesa un giudicato, che cosa pesa una Commissione).</w:t>
      </w:r>
    </w:p>
    <w:p>
      <w:pPr>
        <w:pStyle w:val="Heading3"/>
        <w:spacing w:after="80" w:before="160"/>
      </w:pPr>
      <w:r>
        <w:rPr>
          <w:rFonts w:ascii="Barlow Semi Condensed" w:cs="Barlow Semi Condensed" w:eastAsia="Barlow Semi Condensed" w:hAnsi="Barlow Semi Condensed"/>
          <w:sz w:val="24"/>
          <w:szCs w:val="24"/>
        </w:rPr>
        <w:t xml:space="preserve">Capitolo IV — Maglie e la formazione: le radici dell'uomo</w:t>
      </w:r>
    </w:p>
    <w:p>
      <w:pPr>
        <w:spacing w:after="120" w:line="276"/>
        <w:jc w:val="both"/>
      </w:pPr>
      <w:r>
        <w:rPr>
          <w:rFonts w:ascii="Barlow Semi Condensed" w:cs="Barlow Semi Condensed" w:eastAsia="Barlow Semi Condensed" w:hAnsi="Barlow Semi Condensed"/>
          <w:sz w:val="24"/>
          <w:szCs w:val="24"/>
        </w:rPr>
        <w:t xml:space="preserve">Maglie 1916, la famiglia, gli studi, il diritto penale a Bari: l'uomo prima della politica. → </w:t>
      </w:r>
      <w:r>
        <w:rPr>
          <w:rFonts w:ascii="Barlow Semi Condensed" w:cs="Barlow Semi Condensed" w:eastAsia="Barlow Semi Condensed" w:hAnsi="Barlow Semi Condensed"/>
          <w:i/>
          <w:iCs/>
          <w:sz w:val="24"/>
          <w:szCs w:val="24"/>
        </w:rPr>
        <w:t xml:space="preserve">Documenti: `aldo-moro-una-guerra-senza-fine-fase-ottava-il-ritratto.md`, cap. 62.</w:t>
      </w:r>
    </w:p>
    <w:p>
      <w:pPr>
        <w:pStyle w:val="Heading3"/>
        <w:spacing w:after="80" w:before="160"/>
      </w:pPr>
      <w:r>
        <w:rPr>
          <w:rFonts w:ascii="Barlow Semi Condensed" w:cs="Barlow Semi Condensed" w:eastAsia="Barlow Semi Condensed" w:hAnsi="Barlow Semi Condensed"/>
          <w:sz w:val="24"/>
          <w:szCs w:val="24"/>
        </w:rPr>
        <w:t xml:space="preserve">Capitolo V — Dalla FUCI alla Costituente: la generazione dei costruttori</w:t>
      </w:r>
    </w:p>
    <w:p>
      <w:pPr>
        <w:spacing w:after="120" w:line="276"/>
        <w:jc w:val="both"/>
      </w:pPr>
      <w:r>
        <w:rPr>
          <w:rFonts w:ascii="Barlow Semi Condensed" w:cs="Barlow Semi Condensed" w:eastAsia="Barlow Semi Condensed" w:hAnsi="Barlow Semi Condensed"/>
          <w:sz w:val="24"/>
          <w:szCs w:val="24"/>
        </w:rPr>
        <w:t xml:space="preserve">La FUCI negli anni del regime, la guerra, la Costituente: la Repubblica come opera di una generazione. → </w:t>
      </w:r>
      <w:r>
        <w:rPr>
          <w:rFonts w:ascii="Barlow Semi Condensed" w:cs="Barlow Semi Condensed" w:eastAsia="Barlow Semi Condensed" w:hAnsi="Barlow Semi Condensed"/>
          <w:i/>
          <w:iCs/>
          <w:sz w:val="24"/>
          <w:szCs w:val="24"/>
        </w:rPr>
        <w:t xml:space="preserve">Documenti: Fase ottava, capp. 63-64.</w:t>
      </w:r>
    </w:p>
    <w:p>
      <w:pPr>
        <w:pStyle w:val="Heading3"/>
        <w:spacing w:after="80" w:before="160"/>
      </w:pPr>
      <w:r>
        <w:rPr>
          <w:rFonts w:ascii="Barlow Semi Condensed" w:cs="Barlow Semi Condensed" w:eastAsia="Barlow Semi Condensed" w:hAnsi="Barlow Semi Condensed"/>
          <w:sz w:val="24"/>
          <w:szCs w:val="24"/>
        </w:rPr>
        <w:t xml:space="preserve">Capitolo VI — Lo statista: il segretario, il presidente, il ministro</w:t>
      </w:r>
    </w:p>
    <w:p>
      <w:pPr>
        <w:spacing w:after="120" w:line="276"/>
        <w:jc w:val="both"/>
      </w:pPr>
      <w:r>
        <w:rPr>
          <w:rFonts w:ascii="Barlow Semi Condensed" w:cs="Barlow Semi Condensed" w:eastAsia="Barlow Semi Condensed" w:hAnsi="Barlow Semi Condensed"/>
          <w:sz w:val="24"/>
          <w:szCs w:val="24"/>
        </w:rPr>
        <w:t xml:space="preserve">I governi, la segreteria DC, l'apertura a sinistra e i suoi anticorpi; e la dimensione che il corpus ha documentato per intero: </w:t>
      </w:r>
      <w:r>
        <w:rPr>
          <w:rFonts w:ascii="Barlow Semi Condensed" w:cs="Barlow Semi Condensed" w:eastAsia="Barlow Semi Condensed" w:hAnsi="Barlow Semi Condensed"/>
          <w:b/>
          <w:bCs/>
          <w:sz w:val="24"/>
          <w:szCs w:val="24"/>
        </w:rPr>
        <w:t xml:space="preserve">Moro alla Farnesina</w:t>
      </w:r>
      <w:r>
        <w:rPr>
          <w:rFonts w:ascii="Barlow Semi Condensed" w:cs="Barlow Semi Condensed" w:eastAsia="Barlow Semi Condensed" w:hAnsi="Barlow Semi Condensed"/>
          <w:sz w:val="24"/>
          <w:szCs w:val="24"/>
        </w:rPr>
        <w:t xml:space="preserve">, i due mandati 1969-1974, le firme comunitarie, Helsinki. → </w:t>
      </w:r>
      <w:r>
        <w:rPr>
          <w:rFonts w:ascii="Barlow Semi Condensed" w:cs="Barlow Semi Condensed" w:eastAsia="Barlow Semi Condensed" w:hAnsi="Barlow Semi Condensed"/>
          <w:i/>
          <w:iCs/>
          <w:sz w:val="24"/>
          <w:szCs w:val="24"/>
        </w:rPr>
        <w:t xml:space="preserve">Documenti: Fase ottava, cap. 65; cartella `moro-ministro-esteri/` (la ricognizione-madre e i quattro versanti).</w:t>
      </w:r>
    </w:p>
    <w:p>
      <w:pPr>
        <w:pStyle w:val="Heading3"/>
        <w:spacing w:after="80" w:before="160"/>
      </w:pPr>
      <w:r>
        <w:rPr>
          <w:rFonts w:ascii="Barlow Semi Condensed" w:cs="Barlow Semi Condensed" w:eastAsia="Barlow Semi Condensed" w:hAnsi="Barlow Semi Condensed"/>
          <w:sz w:val="24"/>
          <w:szCs w:val="24"/>
        </w:rPr>
        <w:t xml:space="preserve">Capitolo VII — Lo stile dell'uomo: la lingua come forma del pensiero</w:t>
      </w:r>
    </w:p>
    <w:p>
      <w:pPr>
        <w:spacing w:after="120" w:line="276"/>
        <w:jc w:val="both"/>
      </w:pPr>
      <w:r>
        <w:rPr>
          <w:rFonts w:ascii="Barlow Semi Condensed" w:cs="Barlow Semi Condensed" w:eastAsia="Barlow Semi Condensed" w:hAnsi="Barlow Semi Condensed"/>
          <w:sz w:val="24"/>
          <w:szCs w:val="24"/>
        </w:rPr>
        <w:t xml:space="preserve">La prosa moroteo, le lettere come scrittura di un uomo e non solo come atti del caso. → </w:t>
      </w:r>
      <w:r>
        <w:rPr>
          <w:rFonts w:ascii="Barlow Semi Condensed" w:cs="Barlow Semi Condensed" w:eastAsia="Barlow Semi Condensed" w:hAnsi="Barlow Semi Condensed"/>
          <w:i/>
          <w:iCs/>
          <w:sz w:val="24"/>
          <w:szCs w:val="24"/>
        </w:rPr>
        <w:t xml:space="preserve">Documenti: Fase ottava, cap. 66; per il pastiche dichiarato (voce prestata, mai parole sue): `relazione-stato-lavori-stile-moro.md` e la Parte quarta di `dal-che-a-moro-una-guerra-senza-fine.md`.</w:t>
      </w:r>
    </w:p>
    <w:p>
      <w:pPr>
        <w:spacing w:after="120" w:line="276"/>
        <w:jc w:val="both"/>
      </w:pPr>
      <w:r>
        <w:rPr>
          <w:rFonts w:ascii="Barlow Semi Condensed" w:cs="Barlow Semi Condensed" w:eastAsia="Barlow Semi Condensed" w:hAnsi="Barlow Semi Condensed"/>
          <w:b/>
          <w:bCs/>
          <w:sz w:val="24"/>
          <w:szCs w:val="24"/>
        </w:rPr>
        <w:t xml:space="preserve">Blocco mirato numero centouno — Griglia della Fase prima · Fonte.</w:t>
      </w:r>
      <w:r>
        <w:rPr>
          <w:rFonts w:ascii="Barlow Semi Condensed" w:cs="Barlow Semi Condensed" w:eastAsia="Barlow Semi Condensed" w:hAnsi="Barlow Semi Condensed"/>
          <w:sz w:val="24"/>
          <w:szCs w:val="24"/>
        </w:rPr>
        <w:t xml:space="preserve"> La Fase poggia su fonti biografiche pubbliche e sull'edizione digitale delle carte Moro (aldomorodigitale.unibo.it), incrociate nel ritratto della Fase ottava.</w:t>
      </w:r>
    </w:p>
    <w:p>
      <w:pPr>
        <w:spacing w:after="120" w:line="276"/>
        <w:jc w:val="both"/>
      </w:pPr>
      <w:r>
        <w:rPr>
          <w:rFonts w:ascii="Barlow Semi Condensed" w:cs="Barlow Semi Condensed" w:eastAsia="Barlow Semi Condensed" w:hAnsi="Barlow Semi Condensed"/>
          <w:b/>
          <w:bCs/>
          <w:sz w:val="24"/>
          <w:szCs w:val="24"/>
        </w:rPr>
        <w:t xml:space="preserve">Blocco mirato numero centodue — Falsificatore.</w:t>
      </w:r>
      <w:r>
        <w:rPr>
          <w:rFonts w:ascii="Barlow Semi Condensed" w:cs="Barlow Semi Condensed" w:eastAsia="Barlow Semi Condensed" w:hAnsi="Barlow Semi Condensed"/>
          <w:sz w:val="24"/>
          <w:szCs w:val="24"/>
        </w:rPr>
        <w:t xml:space="preserve"> Il ritratto cadrebbe se documenti primari mostrassero un Moro sostanzialmente diverso dall'uomo delle fonti pubbliche: nessun documento simile è emerso.</w:t>
      </w:r>
    </w:p>
    <w:p>
      <w:pPr>
        <w:spacing w:after="120" w:line="276"/>
        <w:jc w:val="both"/>
      </w:pPr>
      <w:r>
        <w:rPr>
          <w:rFonts w:ascii="Barlow Semi Condensed" w:cs="Barlow Semi Condensed" w:eastAsia="Barlow Semi Condensed" w:hAnsi="Barlow Semi Condensed"/>
          <w:b/>
          <w:bCs/>
          <w:sz w:val="24"/>
          <w:szCs w:val="24"/>
        </w:rPr>
        <w:t xml:space="preserve">Blocco mirato numero centotré — Obiezione.</w:t>
      </w:r>
      <w:r>
        <w:rPr>
          <w:rFonts w:ascii="Barlow Semi Condensed" w:cs="Barlow Semi Condensed" w:eastAsia="Barlow Semi Condensed" w:hAnsi="Barlow Semi Condensed"/>
          <w:sz w:val="24"/>
          <w:szCs w:val="24"/>
        </w:rPr>
        <w:t xml:space="preserve"> La più forte: che ogni ritratto postumo sia agiografia. Risposta: il ritratto del corpus dichiara le fonti di ogni tratto e non tace i giudizi critici coevi.</w:t>
      </w:r>
    </w:p>
    <w:p>
      <w:pPr>
        <w:spacing w:after="120" w:line="276"/>
        <w:jc w:val="both"/>
      </w:pPr>
      <w:r>
        <w:rPr>
          <w:rFonts w:ascii="Barlow Semi Condensed" w:cs="Barlow Semi Condensed" w:eastAsia="Barlow Semi Condensed" w:hAnsi="Barlow Semi Condensed"/>
          <w:b/>
          <w:bCs/>
          <w:sz w:val="24"/>
          <w:szCs w:val="24"/>
        </w:rPr>
        <w:t xml:space="preserve">Blocco mirato numero centoquattro — Comparazione.</w:t>
      </w:r>
      <w:r>
        <w:rPr>
          <w:rFonts w:ascii="Barlow Semi Condensed" w:cs="Barlow Semi Condensed" w:eastAsia="Barlow Semi Condensed" w:hAnsi="Barlow Semi Condensed"/>
          <w:sz w:val="24"/>
          <w:szCs w:val="24"/>
        </w:rPr>
        <w:t xml:space="preserve"> Il metodo del ritratto è lo stesso applicato a Guevara nel fronte parallelo del corpus: biografia documentata, mito separato dalla persona.</w:t>
      </w:r>
    </w:p>
    <w:p>
      <w:pPr>
        <w:spacing w:after="120" w:line="276"/>
        <w:jc w:val="both"/>
      </w:pPr>
      <w:r>
        <w:rPr>
          <w:rFonts w:ascii="Barlow Semi Condensed" w:cs="Barlow Semi Condensed" w:eastAsia="Barlow Semi Condensed" w:hAnsi="Barlow Semi Condensed"/>
          <w:b/>
          <w:bCs/>
          <w:sz w:val="24"/>
          <w:szCs w:val="24"/>
        </w:rPr>
        <w:t xml:space="preserve">Blocco mirato numero centocinque — Domanda aperta.</w:t>
      </w:r>
      <w:r>
        <w:rPr>
          <w:rFonts w:ascii="Barlow Semi Condensed" w:cs="Barlow Semi Condensed" w:eastAsia="Barlow Semi Condensed" w:hAnsi="Barlow Semi Condensed"/>
          <w:sz w:val="24"/>
          <w:szCs w:val="24"/>
        </w:rPr>
        <w:t xml:space="preserve"> Quanto del pensiero della «terza fase» restava da scrivere il 16 marzo 1978? La domanda è irrisolvibile, e si dichiara tale.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FASE SECONDA — IL PERCHÉ</w:t>
      </w:r>
    </w:p>
    <w:p>
      <w:pPr>
        <w:spacing w:after="120" w:line="276"/>
        <w:jc w:val="both"/>
      </w:pPr>
      <w:r>
        <w:rPr>
          <w:rFonts w:ascii="Barlow Semi Condensed" w:cs="Barlow Semi Condensed" w:eastAsia="Barlow Semi Condensed" w:hAnsi="Barlow Semi Condensed"/>
          <w:i/>
          <w:iCs/>
          <w:sz w:val="24"/>
          <w:szCs w:val="24"/>
        </w:rPr>
        <w:t xml:space="preserve">il progetto, i nemici, il bersaglio, sotto la medesima disciplina</w:t>
      </w:r>
    </w:p>
    <w:p>
      <w:pPr>
        <w:pStyle w:val="Heading3"/>
        <w:spacing w:after="80" w:before="160"/>
      </w:pPr>
      <w:r>
        <w:rPr>
          <w:rFonts w:ascii="Barlow Semi Condensed" w:cs="Barlow Semi Condensed" w:eastAsia="Barlow Semi Condensed" w:hAnsi="Barlow Semi Condensed"/>
          <w:sz w:val="24"/>
          <w:szCs w:val="24"/>
        </w:rPr>
        <w:t xml:space="preserve">Capitolo VIII — Il quadro internazionale: perché la sua manovra faceva paura</w:t>
      </w:r>
    </w:p>
    <w:p>
      <w:pPr>
        <w:spacing w:after="120" w:line="276"/>
        <w:jc w:val="both"/>
      </w:pPr>
      <w:r>
        <w:rPr>
          <w:rFonts w:ascii="Barlow Semi Condensed" w:cs="Barlow Semi Condensed" w:eastAsia="Barlow Semi Condensed" w:hAnsi="Barlow Semi Condensed"/>
          <w:sz w:val="24"/>
          <w:szCs w:val="24"/>
        </w:rPr>
        <w:t xml:space="preserve">La guerra fredda mediterranea, i blocchi, l'anomalia italiana. → </w:t>
      </w:r>
      <w:r>
        <w:rPr>
          <w:rFonts w:ascii="Barlow Semi Condensed" w:cs="Barlow Semi Condensed" w:eastAsia="Barlow Semi Condensed" w:hAnsi="Barlow Semi Condensed"/>
          <w:i/>
          <w:iCs/>
          <w:sz w:val="24"/>
          <w:szCs w:val="24"/>
        </w:rPr>
        <w:t xml:space="preserve">Documenti: `dal-che-a-moro-una-guerra-senza-fine.md` (la cornice); `cronologia-guevara-moro.html` (i tre fili sull'asse del tempo).</w:t>
      </w:r>
    </w:p>
    <w:p>
      <w:pPr>
        <w:pStyle w:val="Heading3"/>
        <w:spacing w:after="80" w:before="160"/>
      </w:pPr>
      <w:r>
        <w:rPr>
          <w:rFonts w:ascii="Barlow Semi Condensed" w:cs="Barlow Semi Condensed" w:eastAsia="Barlow Semi Condensed" w:hAnsi="Barlow Semi Condensed"/>
          <w:sz w:val="24"/>
          <w:szCs w:val="24"/>
        </w:rPr>
        <w:t xml:space="preserve">Capitolo IX — La strategia dell'attenzione e i suoi nemici</w:t>
      </w:r>
    </w:p>
    <w:p>
      <w:pPr>
        <w:spacing w:after="120" w:line="276"/>
        <w:jc w:val="both"/>
      </w:pPr>
      <w:r>
        <w:rPr>
          <w:rFonts w:ascii="Barlow Semi Condensed" w:cs="Barlow Semi Condensed" w:eastAsia="Barlow Semi Condensed" w:hAnsi="Barlow Semi Condensed"/>
          <w:sz w:val="24"/>
          <w:szCs w:val="24"/>
        </w:rPr>
        <w:t xml:space="preserve">Bari, 15 giugno 1969: la democrazia che amplia il proprio perimetro senza abdicare. Il primo tempo dell'inclusione e chi lo avversò. → </w:t>
      </w:r>
      <w:r>
        <w:rPr>
          <w:rFonts w:ascii="Barlow Semi Condensed" w:cs="Barlow Semi Condensed" w:eastAsia="Barlow Semi Condensed" w:hAnsi="Barlow Semi Condensed"/>
          <w:i/>
          <w:iCs/>
          <w:sz w:val="24"/>
          <w:szCs w:val="24"/>
        </w:rPr>
        <w:t xml:space="preserve">Documenti: Fase ottava, cap. 65.</w:t>
      </w:r>
    </w:p>
    <w:p>
      <w:pPr>
        <w:pStyle w:val="Heading3"/>
        <w:spacing w:after="80" w:before="160"/>
      </w:pPr>
      <w:r>
        <w:rPr>
          <w:rFonts w:ascii="Barlow Semi Condensed" w:cs="Barlow Semi Condensed" w:eastAsia="Barlow Semi Condensed" w:hAnsi="Barlow Semi Condensed"/>
          <w:sz w:val="24"/>
          <w:szCs w:val="24"/>
        </w:rPr>
        <w:t xml:space="preserve">Capitolo X — La solidarietà nazionale: capolavoro tattico, rischio strategico</w:t>
      </w:r>
    </w:p>
    <w:p>
      <w:pPr>
        <w:spacing w:after="120" w:line="276"/>
        <w:jc w:val="both"/>
      </w:pPr>
      <w:r>
        <w:rPr>
          <w:rFonts w:ascii="Barlow Semi Condensed" w:cs="Barlow Semi Condensed" w:eastAsia="Barlow Semi Condensed" w:hAnsi="Barlow Semi Condensed"/>
          <w:sz w:val="24"/>
          <w:szCs w:val="24"/>
        </w:rPr>
        <w:t xml:space="preserve">Il dicembre 1976, la «terza fase», il governo che Moro andava a votare la mattina del 16 marzo. → </w:t>
      </w:r>
      <w:r>
        <w:rPr>
          <w:rFonts w:ascii="Barlow Semi Condensed" w:cs="Barlow Semi Condensed" w:eastAsia="Barlow Semi Condensed" w:hAnsi="Barlow Semi Condensed"/>
          <w:i/>
          <w:iCs/>
          <w:sz w:val="24"/>
          <w:szCs w:val="24"/>
        </w:rPr>
        <w:t xml:space="preserve">Documenti: Fase ottava, capp. 65 e 67; Fase nona, cap. 68 (la cronologia).</w:t>
      </w:r>
    </w:p>
    <w:p>
      <w:pPr>
        <w:pStyle w:val="Heading3"/>
        <w:spacing w:after="80" w:before="160"/>
      </w:pPr>
      <w:r>
        <w:rPr>
          <w:rFonts w:ascii="Barlow Semi Condensed" w:cs="Barlow Semi Condensed" w:eastAsia="Barlow Semi Condensed" w:hAnsi="Barlow Semi Condensed"/>
          <w:sz w:val="24"/>
          <w:szCs w:val="24"/>
        </w:rPr>
        <w:t xml:space="preserve">Capitolo XI — La politica mediterranea e il lodo: il nodo multistrato</w:t>
      </w:r>
    </w:p>
    <w:p>
      <w:pPr>
        <w:spacing w:after="120" w:line="276"/>
        <w:jc w:val="both"/>
      </w:pPr>
      <w:r>
        <w:rPr>
          <w:rFonts w:ascii="Barlow Semi Condensed" w:cs="Barlow Semi Condensed" w:eastAsia="Barlow Semi Condensed" w:hAnsi="Barlow Semi Condensed"/>
          <w:sz w:val="24"/>
          <w:szCs w:val="24"/>
        </w:rPr>
        <w:t xml:space="preserve">La dimensione diplomatica documentata per intero dal corpus: la dottrina dell'equilibrio, il </w:t>
      </w:r>
      <w:r>
        <w:rPr>
          <w:rFonts w:ascii="Barlow Semi Condensed" w:cs="Barlow Semi Condensed" w:eastAsia="Barlow Semi Condensed" w:hAnsi="Barlow Semi Condensed"/>
          <w:b/>
          <w:bCs/>
          <w:sz w:val="24"/>
          <w:szCs w:val="24"/>
        </w:rPr>
        <w:t xml:space="preserve">lodo Moro</w:t>
      </w:r>
      <w:r>
        <w:rPr>
          <w:rFonts w:ascii="Barlow Semi Condensed" w:cs="Barlow Semi Condensed" w:eastAsia="Barlow Semi Condensed" w:hAnsi="Barlow Semi Condensed"/>
          <w:sz w:val="24"/>
          <w:szCs w:val="24"/>
        </w:rPr>
        <w:t xml:space="preserve">, il versante libico, la CSCE e le tre firme convergenti di Helsinki (Moro, Santa Sede, Turchia), i quattro versanti nazionali con l'Opus Dei in presenza (Germania, Portogallo) o in Stato Zero (Grecia, Turchia). → </w:t>
      </w:r>
      <w:r>
        <w:rPr>
          <w:rFonts w:ascii="Barlow Semi Condensed" w:cs="Barlow Semi Condensed" w:eastAsia="Barlow Semi Condensed" w:hAnsi="Barlow Semi Condensed"/>
          <w:i/>
          <w:iCs/>
          <w:sz w:val="24"/>
          <w:szCs w:val="24"/>
        </w:rPr>
        <w:t xml:space="preserve">Documenti: cartella `moro-ministro-esteri/` integrale, col suo volume rilegato.</w:t>
      </w:r>
    </w:p>
    <w:p>
      <w:pPr>
        <w:pStyle w:val="Heading3"/>
        <w:spacing w:after="80" w:before="160"/>
      </w:pPr>
      <w:r>
        <w:rPr>
          <w:rFonts w:ascii="Barlow Semi Condensed" w:cs="Barlow Semi Condensed" w:eastAsia="Barlow Semi Condensed" w:hAnsi="Barlow Semi Condensed"/>
          <w:sz w:val="24"/>
          <w:szCs w:val="24"/>
        </w:rPr>
        <w:t xml:space="preserve">Capitolo XII — Le Brigate Rosse: autonomia accertata di un'organizzazione armata</w:t>
      </w:r>
    </w:p>
    <w:p>
      <w:pPr>
        <w:spacing w:after="120" w:line="276"/>
        <w:jc w:val="both"/>
      </w:pPr>
      <w:r>
        <w:rPr>
          <w:rFonts w:ascii="Barlow Semi Condensed" w:cs="Barlow Semi Condensed" w:eastAsia="Barlow Semi Condensed" w:hAnsi="Barlow Semi Condensed"/>
          <w:sz w:val="24"/>
          <w:szCs w:val="24"/>
        </w:rPr>
        <w:t xml:space="preserve">La genealogia documentata: il CPM dell'8 settembre 1969, la scissione, il nucleo storico; e la regola che governa ogni riga — l'organizzazione è un fatto storico, la colpa è delle persone giudicate. → </w:t>
      </w:r>
      <w:r>
        <w:rPr>
          <w:rFonts w:ascii="Barlow Semi Condensed" w:cs="Barlow Semi Condensed" w:eastAsia="Barlow Semi Condensed" w:hAnsi="Barlow Semi Condensed"/>
          <w:i/>
          <w:iCs/>
          <w:sz w:val="24"/>
          <w:szCs w:val="24"/>
        </w:rPr>
        <w:t xml:space="preserve">Documenti: `triangolazione-condannati-corpus.md` (T-1, T-4); `ceppo-simioni-cpm-superclan-hyperion.md` (capp. III-IV); Fase decima, cap. 78.</w:t>
      </w:r>
    </w:p>
    <w:p>
      <w:pPr>
        <w:pStyle w:val="Heading3"/>
        <w:spacing w:after="80" w:before="160"/>
      </w:pPr>
      <w:r>
        <w:rPr>
          <w:rFonts w:ascii="Barlow Semi Condensed" w:cs="Barlow Semi Condensed" w:eastAsia="Barlow Semi Condensed" w:hAnsi="Barlow Semi Condensed"/>
          <w:sz w:val="24"/>
          <w:szCs w:val="24"/>
        </w:rPr>
        <w:t xml:space="preserve">Capitolo XIII — Il bersaglio: perché Moro</w:t>
      </w:r>
    </w:p>
    <w:p>
      <w:pPr>
        <w:spacing w:after="120" w:line="276"/>
        <w:jc w:val="both"/>
      </w:pPr>
      <w:r>
        <w:rPr>
          <w:rFonts w:ascii="Barlow Semi Condensed" w:cs="Barlow Semi Condensed" w:eastAsia="Barlow Semi Condensed" w:hAnsi="Barlow Semi Condensed"/>
          <w:sz w:val="24"/>
          <w:szCs w:val="24"/>
        </w:rPr>
        <w:t xml:space="preserve">La ragione umana e politica per cui fu colpito: l'ostacolo alla guerra che altri volevano. Grado dichiarato: la lettura è </w:t>
      </w:r>
      <w:r>
        <w:rPr>
          <w:rFonts w:ascii="Barlow Semi Condensed" w:cs="Barlow Semi Condensed" w:eastAsia="Barlow Semi Condensed" w:hAnsi="Barlow Semi Condensed"/>
          <w:b/>
          <w:bCs/>
          <w:sz w:val="24"/>
          <w:szCs w:val="24"/>
        </w:rPr>
        <w:t xml:space="preserve">convergenza documentata</w:t>
      </w:r>
      <w:r>
        <w:rPr>
          <w:rFonts w:ascii="Barlow Semi Condensed" w:cs="Barlow Semi Condensed" w:eastAsia="Barlow Semi Condensed" w:hAnsi="Barlow Semi Condensed"/>
          <w:sz w:val="24"/>
          <w:szCs w:val="24"/>
        </w:rPr>
        <w:t xml:space="preserve">, non nesso causale provato oltre il giudicato. → </w:t>
      </w:r>
      <w:r>
        <w:rPr>
          <w:rFonts w:ascii="Barlow Semi Condensed" w:cs="Barlow Semi Condensed" w:eastAsia="Barlow Semi Condensed" w:hAnsi="Barlow Semi Condensed"/>
          <w:i/>
          <w:iCs/>
          <w:sz w:val="24"/>
          <w:szCs w:val="24"/>
        </w:rPr>
        <w:t xml:space="preserve">Documenti: Fase ottava, cap. 67; Dal Che a Moro, bilancio finale.</w:t>
      </w:r>
    </w:p>
    <w:p>
      <w:pPr>
        <w:spacing w:after="120" w:line="276"/>
        <w:jc w:val="both"/>
      </w:pPr>
      <w:r>
        <w:rPr>
          <w:rFonts w:ascii="Barlow Semi Condensed" w:cs="Barlow Semi Condensed" w:eastAsia="Barlow Semi Condensed" w:hAnsi="Barlow Semi Condensed"/>
          <w:b/>
          <w:bCs/>
          <w:sz w:val="24"/>
          <w:szCs w:val="24"/>
        </w:rPr>
        <w:t xml:space="preserve">Blocco mirato numero duecentouno — Griglia della Fase seconda · Fonte.</w:t>
      </w:r>
      <w:r>
        <w:rPr>
          <w:rFonts w:ascii="Barlow Semi Condensed" w:cs="Barlow Semi Condensed" w:eastAsia="Barlow Semi Condensed" w:hAnsi="Barlow Semi Condensed"/>
          <w:sz w:val="24"/>
          <w:szCs w:val="24"/>
        </w:rPr>
        <w:t xml:space="preserve"> Atti comunitari con Gazzetta ufficiale, FRUS desecretati, edizione digitale delle carte Moro, storiografia accademica (Imperato/Milano/Monzali) — tutte con indirizzo nella cartella Farnesina.</w:t>
      </w:r>
    </w:p>
    <w:p>
      <w:pPr>
        <w:spacing w:after="120" w:line="276"/>
        <w:jc w:val="both"/>
      </w:pPr>
      <w:r>
        <w:rPr>
          <w:rFonts w:ascii="Barlow Semi Condensed" w:cs="Barlow Semi Condensed" w:eastAsia="Barlow Semi Condensed" w:hAnsi="Barlow Semi Condensed"/>
          <w:b/>
          <w:bCs/>
          <w:sz w:val="24"/>
          <w:szCs w:val="24"/>
        </w:rPr>
        <w:t xml:space="preserve">Blocco mirato numero duecentodue — Falsificatore.</w:t>
      </w:r>
      <w:r>
        <w:rPr>
          <w:rFonts w:ascii="Barlow Semi Condensed" w:cs="Barlow Semi Condensed" w:eastAsia="Barlow Semi Condensed" w:hAnsi="Barlow Semi Condensed"/>
          <w:sz w:val="24"/>
          <w:szCs w:val="24"/>
        </w:rPr>
        <w:t xml:space="preserve"> La lettura del «bersaglio» cadrebbe se emergesse un giudicato o un documento primario che attribuisse il movente ad altro disegno: non è emerso; la lettura resta convergenza.</w:t>
      </w:r>
    </w:p>
    <w:p>
      <w:pPr>
        <w:spacing w:after="120" w:line="276"/>
        <w:jc w:val="both"/>
      </w:pPr>
      <w:r>
        <w:rPr>
          <w:rFonts w:ascii="Barlow Semi Condensed" w:cs="Barlow Semi Condensed" w:eastAsia="Barlow Semi Condensed" w:hAnsi="Barlow Semi Condensed"/>
          <w:b/>
          <w:bCs/>
          <w:sz w:val="24"/>
          <w:szCs w:val="24"/>
        </w:rPr>
        <w:t xml:space="preserve">Blocco mirato numero duecentotré — Obiezione.</w:t>
      </w:r>
      <w:r>
        <w:rPr>
          <w:rFonts w:ascii="Barlow Semi Condensed" w:cs="Barlow Semi Condensed" w:eastAsia="Barlow Semi Condensed" w:hAnsi="Barlow Semi Condensed"/>
          <w:sz w:val="24"/>
          <w:szCs w:val="24"/>
        </w:rPr>
        <w:t xml:space="preserve"> Che il «perché» sia inconoscibile per principio. Risposta: il corpus non afferma il perché; documenta il campo di forze e dichiara il grado.</w:t>
      </w:r>
    </w:p>
    <w:p>
      <w:pPr>
        <w:spacing w:after="120" w:line="276"/>
        <w:jc w:val="both"/>
      </w:pPr>
      <w:r>
        <w:rPr>
          <w:rFonts w:ascii="Barlow Semi Condensed" w:cs="Barlow Semi Condensed" w:eastAsia="Barlow Semi Condensed" w:hAnsi="Barlow Semi Condensed"/>
          <w:b/>
          <w:bCs/>
          <w:sz w:val="24"/>
          <w:szCs w:val="24"/>
        </w:rPr>
        <w:t xml:space="preserve">Blocco mirato numero duecentoquattro — Comparazione.</w:t>
      </w:r>
      <w:r>
        <w:rPr>
          <w:rFonts w:ascii="Barlow Semi Condensed" w:cs="Barlow Semi Condensed" w:eastAsia="Barlow Semi Condensed" w:hAnsi="Barlow Semi Condensed"/>
          <w:sz w:val="24"/>
          <w:szCs w:val="24"/>
        </w:rPr>
        <w:t xml:space="preserve"> Il campo di forze attorno a Moro è trattato col metodo usato per il campo attorno a Guevara nel 1967: ambienti documentati, regia non affermata.</w:t>
      </w:r>
    </w:p>
    <w:p>
      <w:pPr>
        <w:spacing w:after="120" w:line="276"/>
        <w:jc w:val="both"/>
      </w:pPr>
      <w:r>
        <w:rPr>
          <w:rFonts w:ascii="Barlow Semi Condensed" w:cs="Barlow Semi Condensed" w:eastAsia="Barlow Semi Condensed" w:hAnsi="Barlow Semi Condensed"/>
          <w:b/>
          <w:bCs/>
          <w:sz w:val="24"/>
          <w:szCs w:val="24"/>
        </w:rPr>
        <w:t xml:space="preserve">Blocco mirato numero duecentocinque — Domanda aperta.</w:t>
      </w:r>
      <w:r>
        <w:rPr>
          <w:rFonts w:ascii="Barlow Semi Condensed" w:cs="Barlow Semi Condensed" w:eastAsia="Barlow Semi Condensed" w:hAnsi="Barlow Semi Condensed"/>
          <w:sz w:val="24"/>
          <w:szCs w:val="24"/>
        </w:rPr>
        <w:t xml:space="preserve"> Se la politica mediterranea (il lodo) abbia pesato sul caso: i documenti mancanti sono censiti nella cartella Farnesina, con le sedi di chiusura.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FASE TERZA — IL CASO</w:t>
      </w:r>
    </w:p>
    <w:p>
      <w:pPr>
        <w:spacing w:after="120" w:line="276"/>
        <w:jc w:val="both"/>
      </w:pPr>
      <w:r>
        <w:rPr>
          <w:rFonts w:ascii="Barlow Semi Condensed" w:cs="Barlow Semi Condensed" w:eastAsia="Barlow Semi Condensed" w:hAnsi="Barlow Semi Condensed"/>
          <w:i/>
          <w:iCs/>
          <w:sz w:val="24"/>
          <w:szCs w:val="24"/>
        </w:rPr>
        <w:t xml:space="preserve">l'agguato, la prigionia, il nove maggio, sotto la medesima disciplina</w:t>
      </w:r>
    </w:p>
    <w:p>
      <w:pPr>
        <w:pStyle w:val="Heading3"/>
        <w:spacing w:after="80" w:before="160"/>
      </w:pPr>
      <w:r>
        <w:rPr>
          <w:rFonts w:ascii="Barlow Semi Condensed" w:cs="Barlow Semi Condensed" w:eastAsia="Barlow Semi Condensed" w:hAnsi="Barlow Semi Condensed"/>
          <w:sz w:val="24"/>
          <w:szCs w:val="24"/>
        </w:rPr>
        <w:t xml:space="preserve">Capitolo XIV — La mattina del sedici marzo e la meccanica di via Fani</w:t>
      </w:r>
    </w:p>
    <w:p>
      <w:pPr>
        <w:spacing w:after="120" w:line="276"/>
        <w:jc w:val="both"/>
      </w:pPr>
      <w:r>
        <w:rPr>
          <w:rFonts w:ascii="Barlow Semi Condensed" w:cs="Barlow Semi Condensed" w:eastAsia="Barlow Semi Condensed" w:hAnsi="Barlow Semi Condensed"/>
          <w:sz w:val="24"/>
          <w:szCs w:val="24"/>
        </w:rPr>
        <w:t xml:space="preserve">L'agguato, il rapimento, lo sterminio della scorta: il giudicato come pavimento. → </w:t>
      </w:r>
      <w:r>
        <w:rPr>
          <w:rFonts w:ascii="Barlow Semi Condensed" w:cs="Barlow Semi Condensed" w:eastAsia="Barlow Semi Condensed" w:hAnsi="Barlow Semi Condensed"/>
          <w:i/>
          <w:iCs/>
          <w:sz w:val="24"/>
          <w:szCs w:val="24"/>
        </w:rPr>
        <w:t xml:space="preserve">Documenti: Fase nona, capp. 68 e 71; Fase settima, cap. 56.</w:t>
      </w:r>
    </w:p>
    <w:p>
      <w:pPr>
        <w:pStyle w:val="Heading3"/>
        <w:spacing w:after="80" w:before="160"/>
      </w:pPr>
      <w:r>
        <w:rPr>
          <w:rFonts w:ascii="Barlow Semi Condensed" w:cs="Barlow Semi Condensed" w:eastAsia="Barlow Semi Condensed" w:hAnsi="Barlow Semi Condensed"/>
          <w:sz w:val="24"/>
          <w:szCs w:val="24"/>
        </w:rPr>
        <w:t xml:space="preserve">Capitolo XV — I cinque della scorta: nomi, vite, memoria</w:t>
      </w:r>
    </w:p>
    <w:p>
      <w:pPr>
        <w:spacing w:after="120" w:line="276"/>
        <w:jc w:val="both"/>
      </w:pPr>
      <w:r>
        <w:rPr>
          <w:rFonts w:ascii="Barlow Semi Condensed" w:cs="Barlow Semi Condensed" w:eastAsia="Barlow Semi Condensed" w:hAnsi="Barlow Semi Condensed"/>
          <w:b/>
          <w:bCs/>
          <w:sz w:val="24"/>
          <w:szCs w:val="24"/>
        </w:rPr>
        <w:t xml:space="preserve">Oreste Leonardi, Domenico Ricci, Giulio Rivera, Francesco Zizzi, Raffaele Iozzino</w:t>
      </w:r>
      <w:r>
        <w:rPr>
          <w:rFonts w:ascii="Barlow Semi Condensed" w:cs="Barlow Semi Condensed" w:eastAsia="Barlow Semi Condensed" w:hAnsi="Barlow Semi Condensed"/>
          <w:sz w:val="24"/>
          <w:szCs w:val="24"/>
        </w:rPr>
        <w:t xml:space="preserve">: in testa al repertorio, non in fondo — con Moro, le sei vittime del caso. → </w:t>
      </w:r>
      <w:r>
        <w:rPr>
          <w:rFonts w:ascii="Barlow Semi Condensed" w:cs="Barlow Semi Condensed" w:eastAsia="Barlow Semi Condensed" w:hAnsi="Barlow Semi Condensed"/>
          <w:i/>
          <w:iCs/>
          <w:sz w:val="24"/>
          <w:szCs w:val="24"/>
        </w:rPr>
        <w:t xml:space="preserve">Documenti: Fase nona, cap. 69.</w:t>
      </w:r>
    </w:p>
    <w:p>
      <w:pPr>
        <w:pStyle w:val="Heading3"/>
        <w:spacing w:after="80" w:before="160"/>
      </w:pPr>
      <w:r>
        <w:rPr>
          <w:rFonts w:ascii="Barlow Semi Condensed" w:cs="Barlow Semi Condensed" w:eastAsia="Barlow Semi Condensed" w:hAnsi="Barlow Semi Condensed"/>
          <w:sz w:val="24"/>
          <w:szCs w:val="24"/>
        </w:rPr>
        <w:t xml:space="preserve">Capitolo XVI — Le questioni aperte di via Fani</w:t>
      </w:r>
    </w:p>
    <w:p>
      <w:pPr>
        <w:spacing w:after="120" w:line="276"/>
        <w:jc w:val="both"/>
      </w:pPr>
      <w:r>
        <w:rPr>
          <w:rFonts w:ascii="Barlow Semi Condensed" w:cs="Barlow Semi Condensed" w:eastAsia="Barlow Semi Condensed" w:hAnsi="Barlow Semi Condensed"/>
          <w:sz w:val="24"/>
          <w:szCs w:val="24"/>
        </w:rPr>
        <w:t xml:space="preserve">Le due moto e i quattro «centauri» (grado B, Commissione Moro 2), i testimoni De Chiara e Marini uditi per la prima volta dopo quarant'anni. → </w:t>
      </w:r>
      <w:r>
        <w:rPr>
          <w:rFonts w:ascii="Barlow Semi Condensed" w:cs="Barlow Semi Condensed" w:eastAsia="Barlow Semi Condensed" w:hAnsi="Barlow Semi Condensed"/>
          <w:i/>
          <w:iCs/>
          <w:sz w:val="24"/>
          <w:szCs w:val="24"/>
        </w:rPr>
        <w:t xml:space="preserve">Documenti: Fase settima, cap. 58; Fase nona, cap. 75.</w:t>
      </w:r>
    </w:p>
    <w:p>
      <w:pPr>
        <w:pStyle w:val="Heading3"/>
        <w:spacing w:after="80" w:before="160"/>
      </w:pPr>
      <w:r>
        <w:rPr>
          <w:rFonts w:ascii="Barlow Semi Condensed" w:cs="Barlow Semi Condensed" w:eastAsia="Barlow Semi Condensed" w:hAnsi="Barlow Semi Condensed"/>
          <w:sz w:val="24"/>
          <w:szCs w:val="24"/>
        </w:rPr>
        <w:t xml:space="preserve">Capitolo XVII — La prigionia: cinquantacinque giorni</w:t>
      </w:r>
    </w:p>
    <w:p>
      <w:pPr>
        <w:spacing w:after="120" w:line="276"/>
        <w:jc w:val="both"/>
      </w:pPr>
      <w:r>
        <w:rPr>
          <w:rFonts w:ascii="Barlow Semi Condensed" w:cs="Barlow Semi Condensed" w:eastAsia="Barlow Semi Condensed" w:hAnsi="Barlow Semi Condensed"/>
          <w:sz w:val="24"/>
          <w:szCs w:val="24"/>
        </w:rPr>
        <w:t xml:space="preserve">Via Montalcini unica prigione accertata; la «seconda prigione» al grado C; la cronologia dei comunicati. → </w:t>
      </w:r>
      <w:r>
        <w:rPr>
          <w:rFonts w:ascii="Barlow Semi Condensed" w:cs="Barlow Semi Condensed" w:eastAsia="Barlow Semi Condensed" w:hAnsi="Barlow Semi Condensed"/>
          <w:i/>
          <w:iCs/>
          <w:sz w:val="24"/>
          <w:szCs w:val="24"/>
        </w:rPr>
        <w:t xml:space="preserve">Documenti: Fase nona, capp. 68 e 71; Fase settima.</w:t>
      </w:r>
    </w:p>
    <w:p>
      <w:pPr>
        <w:pStyle w:val="Heading3"/>
        <w:spacing w:after="80" w:before="160"/>
      </w:pPr>
      <w:r>
        <w:rPr>
          <w:rFonts w:ascii="Barlow Semi Condensed" w:cs="Barlow Semi Condensed" w:eastAsia="Barlow Semi Condensed" w:hAnsi="Barlow Semi Condensed"/>
          <w:sz w:val="24"/>
          <w:szCs w:val="24"/>
        </w:rPr>
        <w:t xml:space="preserve">Capitolo XVIII — Le lettere: il registro politico e il registro umano</w:t>
      </w:r>
    </w:p>
    <w:p>
      <w:pPr>
        <w:spacing w:after="120" w:line="276"/>
        <w:jc w:val="both"/>
      </w:pPr>
      <w:r>
        <w:rPr>
          <w:rFonts w:ascii="Barlow Semi Condensed" w:cs="Barlow Semi Condensed" w:eastAsia="Barlow Semi Condensed" w:hAnsi="Barlow Semi Condensed"/>
          <w:sz w:val="24"/>
          <w:szCs w:val="24"/>
        </w:rPr>
        <w:t xml:space="preserve">Le circa novanta-novantasette lettere: esistenza e mano al grado A, condizioni di scrittura al grado B, statuto umano nel ritratto. → </w:t>
      </w:r>
      <w:r>
        <w:rPr>
          <w:rFonts w:ascii="Barlow Semi Condensed" w:cs="Barlow Semi Condensed" w:eastAsia="Barlow Semi Condensed" w:hAnsi="Barlow Semi Condensed"/>
          <w:i/>
          <w:iCs/>
          <w:sz w:val="24"/>
          <w:szCs w:val="24"/>
        </w:rPr>
        <w:t xml:space="preserve">Documenti: Fase nona, cap. 72; Fase ottava, cap. 66.</w:t>
      </w:r>
    </w:p>
    <w:p>
      <w:pPr>
        <w:pStyle w:val="Heading3"/>
        <w:spacing w:after="80" w:before="160"/>
      </w:pPr>
      <w:r>
        <w:rPr>
          <w:rFonts w:ascii="Barlow Semi Condensed" w:cs="Barlow Semi Condensed" w:eastAsia="Barlow Semi Condensed" w:hAnsi="Barlow Semi Condensed"/>
          <w:sz w:val="24"/>
          <w:szCs w:val="24"/>
        </w:rPr>
        <w:t xml:space="preserve">Capitolo XIX — Il memoriale e la sua sorte</w:t>
      </w:r>
    </w:p>
    <w:p>
      <w:pPr>
        <w:spacing w:after="120" w:line="276"/>
        <w:jc w:val="both"/>
      </w:pPr>
      <w:r>
        <w:rPr>
          <w:rFonts w:ascii="Barlow Semi Condensed" w:cs="Barlow Semi Condensed" w:eastAsia="Barlow Semi Condensed" w:hAnsi="Barlow Semi Condensed"/>
          <w:sz w:val="24"/>
          <w:szCs w:val="24"/>
        </w:rPr>
        <w:t xml:space="preserve">I due tempi di via Monte Nevoso (1978 e 1990); il Memoriale Morucci come </w:t>
      </w:r>
      <w:r>
        <w:rPr>
          <w:rFonts w:ascii="Barlow Semi Condensed" w:cs="Barlow Semi Condensed" w:eastAsia="Barlow Semi Condensed" w:hAnsi="Barlow Semi Condensed"/>
          <w:b/>
          <w:bCs/>
          <w:sz w:val="24"/>
          <w:szCs w:val="24"/>
        </w:rPr>
        <w:t xml:space="preserve">testo negoziato</w:t>
      </w:r>
      <w:r>
        <w:rPr>
          <w:rFonts w:ascii="Barlow Semi Condensed" w:cs="Barlow Semi Condensed" w:eastAsia="Barlow Semi Condensed" w:hAnsi="Barlow Semi Condensed"/>
          <w:sz w:val="24"/>
          <w:szCs w:val="24"/>
        </w:rPr>
        <w:t xml:space="preserve"> degli anni Ottanta (grado B); la completezza aperta (C); e la persona del registro che ve lo depositò. → </w:t>
      </w:r>
      <w:r>
        <w:rPr>
          <w:rFonts w:ascii="Barlow Semi Condensed" w:cs="Barlow Semi Condensed" w:eastAsia="Barlow Semi Condensed" w:hAnsi="Barlow Semi Condensed"/>
          <w:i/>
          <w:iCs/>
          <w:sz w:val="24"/>
          <w:szCs w:val="24"/>
        </w:rPr>
        <w:t xml:space="preserve">Documenti: Fase settima, cap. 59; Fase nona, cap. 72; `triangolazione-condannati-corpus.md`, T-3.</w:t>
      </w:r>
    </w:p>
    <w:p>
      <w:pPr>
        <w:pStyle w:val="Heading3"/>
        <w:spacing w:after="80" w:before="160"/>
      </w:pPr>
      <w:r>
        <w:rPr>
          <w:rFonts w:ascii="Barlow Semi Condensed" w:cs="Barlow Semi Condensed" w:eastAsia="Barlow Semi Condensed" w:hAnsi="Barlow Semi Condensed"/>
          <w:sz w:val="24"/>
          <w:szCs w:val="24"/>
        </w:rPr>
        <w:t xml:space="preserve">Capitolo XX — Fermezza e trattativa; il nove maggio</w:t>
      </w:r>
    </w:p>
    <w:p>
      <w:pPr>
        <w:spacing w:after="120" w:line="276"/>
        <w:jc w:val="both"/>
      </w:pPr>
      <w:r>
        <w:rPr>
          <w:rFonts w:ascii="Barlow Semi Condensed" w:cs="Barlow Semi Condensed" w:eastAsia="Barlow Semi Condensed" w:hAnsi="Barlow Semi Condensed"/>
          <w:sz w:val="24"/>
          <w:szCs w:val="24"/>
        </w:rPr>
        <w:t xml:space="preserve">Le due linee, i canali documentati (il PSI, Pace-Piperno verso Morucci e Faranda), la lettera di Paolo VI; via Caetani. → </w:t>
      </w:r>
      <w:r>
        <w:rPr>
          <w:rFonts w:ascii="Barlow Semi Condensed" w:cs="Barlow Semi Condensed" w:eastAsia="Barlow Semi Condensed" w:hAnsi="Barlow Semi Condensed"/>
          <w:i/>
          <w:iCs/>
          <w:sz w:val="24"/>
          <w:szCs w:val="24"/>
        </w:rPr>
        <w:t xml:space="preserve">Documenti: Parte terza, cap. VI; Fase nona, capp. 68 e 74; `triangolazione-condannati-corpus.md`, T-2.</w:t>
      </w:r>
    </w:p>
    <w:p>
      <w:pPr>
        <w:spacing w:after="120" w:line="276"/>
        <w:jc w:val="both"/>
      </w:pPr>
      <w:r>
        <w:rPr>
          <w:rFonts w:ascii="Barlow Semi Condensed" w:cs="Barlow Semi Condensed" w:eastAsia="Barlow Semi Condensed" w:hAnsi="Barlow Semi Condensed"/>
          <w:b/>
          <w:bCs/>
          <w:sz w:val="24"/>
          <w:szCs w:val="24"/>
        </w:rPr>
        <w:t xml:space="preserve">Blocco mirato numero trecentouno — Griglia della Fase terza · Fonte.</w:t>
      </w:r>
      <w:r>
        <w:rPr>
          <w:rFonts w:ascii="Barlow Semi Condensed" w:cs="Barlow Semi Condensed" w:eastAsia="Barlow Semi Condensed" w:hAnsi="Barlow Semi Condensed"/>
          <w:sz w:val="24"/>
          <w:szCs w:val="24"/>
        </w:rPr>
        <w:t xml:space="preserve"> Sentenze dei cinque processi (Questione Giustizia), relazione della Commissione Moro 2 (6/12/2017), Ministero dell'Interno per le vittime.</w:t>
      </w:r>
    </w:p>
    <w:p>
      <w:pPr>
        <w:spacing w:after="120" w:line="276"/>
        <w:jc w:val="both"/>
      </w:pPr>
      <w:r>
        <w:rPr>
          <w:rFonts w:ascii="Barlow Semi Condensed" w:cs="Barlow Semi Condensed" w:eastAsia="Barlow Semi Condensed" w:hAnsi="Barlow Semi Condensed"/>
          <w:b/>
          <w:bCs/>
          <w:sz w:val="24"/>
          <w:szCs w:val="24"/>
        </w:rPr>
        <w:t xml:space="preserve">Blocco mirato numero trecentodue — Falsificatore.</w:t>
      </w:r>
      <w:r>
        <w:rPr>
          <w:rFonts w:ascii="Barlow Semi Condensed" w:cs="Barlow Semi Condensed" w:eastAsia="Barlow Semi Condensed" w:hAnsi="Barlow Semi Condensed"/>
          <w:sz w:val="24"/>
          <w:szCs w:val="24"/>
        </w:rPr>
        <w:t xml:space="preserve"> La ricostruzione cadrebbe punto per punto solo contro documenti di pari rango del giudicato; le questioni aperte hanno ciascuna il proprio criterio dichiarato nei capitoli d'origine.</w:t>
      </w:r>
    </w:p>
    <w:p>
      <w:pPr>
        <w:spacing w:after="120" w:line="276"/>
        <w:jc w:val="both"/>
      </w:pPr>
      <w:r>
        <w:rPr>
          <w:rFonts w:ascii="Barlow Semi Condensed" w:cs="Barlow Semi Condensed" w:eastAsia="Barlow Semi Condensed" w:hAnsi="Barlow Semi Condensed"/>
          <w:b/>
          <w:bCs/>
          <w:sz w:val="24"/>
          <w:szCs w:val="24"/>
        </w:rPr>
        <w:t xml:space="preserve">Blocco mirato numero trecentotré — Obiezione.</w:t>
      </w:r>
      <w:r>
        <w:rPr>
          <w:rFonts w:ascii="Barlow Semi Condensed" w:cs="Barlow Semi Condensed" w:eastAsia="Barlow Semi Condensed" w:hAnsi="Barlow Semi Condensed"/>
          <w:sz w:val="24"/>
          <w:szCs w:val="24"/>
        </w:rPr>
        <w:t xml:space="preserve"> Che il pavimento giudiziario sia esso stesso «verità dicibile». Risposta: la formula è della Commissione (grado B) e il corpus la registra senza usarla per sciogliere ciò che essa non scioglie.</w:t>
      </w:r>
    </w:p>
    <w:p>
      <w:pPr>
        <w:spacing w:after="120" w:line="276"/>
        <w:jc w:val="both"/>
      </w:pPr>
      <w:r>
        <w:rPr>
          <w:rFonts w:ascii="Barlow Semi Condensed" w:cs="Barlow Semi Condensed" w:eastAsia="Barlow Semi Condensed" w:hAnsi="Barlow Semi Condensed"/>
          <w:b/>
          <w:bCs/>
          <w:sz w:val="24"/>
          <w:szCs w:val="24"/>
        </w:rPr>
        <w:t xml:space="preserve">Blocco mirato numero trecentoquattro — Comparazione.</w:t>
      </w:r>
      <w:r>
        <w:rPr>
          <w:rFonts w:ascii="Barlow Semi Condensed" w:cs="Barlow Semi Condensed" w:eastAsia="Barlow Semi Condensed" w:hAnsi="Barlow Semi Condensed"/>
          <w:sz w:val="24"/>
          <w:szCs w:val="24"/>
        </w:rPr>
        <w:t xml:space="preserve"> I cinquantacinque giorni sono trattati con la disciplina del registro, come la campagna boliviana nel fronte guevariano: cronologia prima, interpretazione poi.</w:t>
      </w:r>
    </w:p>
    <w:p>
      <w:pPr>
        <w:spacing w:after="120" w:line="276"/>
        <w:jc w:val="both"/>
      </w:pPr>
      <w:r>
        <w:rPr>
          <w:rFonts w:ascii="Barlow Semi Condensed" w:cs="Barlow Semi Condensed" w:eastAsia="Barlow Semi Condensed" w:hAnsi="Barlow Semi Condensed"/>
          <w:b/>
          <w:bCs/>
          <w:sz w:val="24"/>
          <w:szCs w:val="24"/>
        </w:rPr>
        <w:t xml:space="preserve">Blocco mirato numero trecentocinque — Domanda aperta.</w:t>
      </w:r>
      <w:r>
        <w:rPr>
          <w:rFonts w:ascii="Barlow Semi Condensed" w:cs="Barlow Semi Condensed" w:eastAsia="Barlow Semi Condensed" w:hAnsi="Barlow Semi Condensed"/>
          <w:sz w:val="24"/>
          <w:szCs w:val="24"/>
        </w:rPr>
        <w:t xml:space="preserve"> La completezza del memoriale: che cosa manchi, e se manchi, resta indeterminato — grado C, dichiarato.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FASE QUARTA — OMISSIONI, COLLUSIONI, INSABBIAMENTI</w:t>
      </w:r>
    </w:p>
    <w:p>
      <w:pPr>
        <w:spacing w:after="120" w:line="276"/>
        <w:jc w:val="both"/>
      </w:pPr>
      <w:r>
        <w:rPr>
          <w:rFonts w:ascii="Barlow Semi Condensed" w:cs="Barlow Semi Condensed" w:eastAsia="Barlow Semi Condensed" w:hAnsi="Barlow Semi Condensed"/>
          <w:i/>
          <w:iCs/>
          <w:sz w:val="24"/>
          <w:szCs w:val="24"/>
        </w:rPr>
        <w:t xml:space="preserve">l'inventario delle ombre, ultimo territorio del Pollo di Popper</w:t>
      </w:r>
    </w:p>
    <w:p>
      <w:pPr>
        <w:pStyle w:val="Heading3"/>
        <w:spacing w:after="80" w:before="160"/>
      </w:pPr>
      <w:r>
        <w:rPr>
          <w:rFonts w:ascii="Barlow Semi Condensed" w:cs="Barlow Semi Condensed" w:eastAsia="Barlow Semi Condensed" w:hAnsi="Barlow Semi Condensed"/>
          <w:sz w:val="24"/>
          <w:szCs w:val="24"/>
        </w:rPr>
        <w:t xml:space="preserve">Capitolo XXI — La macchina delle ricerche e il suo fallimento</w:t>
      </w:r>
    </w:p>
    <w:p>
      <w:pPr>
        <w:spacing w:after="120" w:line="276"/>
        <w:jc w:val="both"/>
      </w:pPr>
      <w:r>
        <w:rPr>
          <w:rFonts w:ascii="Barlow Semi Condensed" w:cs="Barlow Semi Condensed" w:eastAsia="Barlow Semi Condensed" w:hAnsi="Barlow Semi Condensed"/>
          <w:sz w:val="24"/>
          <w:szCs w:val="24"/>
        </w:rPr>
        <w:t xml:space="preserve">La cronologia dei mancati rinvenimenti (grado A); dolo contro inefficienza: non deciso (C). → </w:t>
      </w:r>
      <w:r>
        <w:rPr>
          <w:rFonts w:ascii="Barlow Semi Condensed" w:cs="Barlow Semi Condensed" w:eastAsia="Barlow Semi Condensed" w:hAnsi="Barlow Semi Condensed"/>
          <w:i/>
          <w:iCs/>
          <w:sz w:val="24"/>
          <w:szCs w:val="24"/>
        </w:rPr>
        <w:t xml:space="preserve">Documenti: Parte terza, cap. VII; Fase settima, tavola di raccordo.</w:t>
      </w:r>
    </w:p>
    <w:p>
      <w:pPr>
        <w:pStyle w:val="Heading3"/>
        <w:spacing w:after="80" w:before="160"/>
      </w:pPr>
      <w:r>
        <w:rPr>
          <w:rFonts w:ascii="Barlow Semi Condensed" w:cs="Barlow Semi Condensed" w:eastAsia="Barlow Semi Condensed" w:hAnsi="Barlow Semi Condensed"/>
          <w:sz w:val="24"/>
          <w:szCs w:val="24"/>
        </w:rPr>
        <w:t xml:space="preserve">Capitolo XXII — Via Gradoli</w:t>
      </w:r>
    </w:p>
    <w:p>
      <w:pPr>
        <w:spacing w:after="120" w:line="276"/>
        <w:jc w:val="both"/>
      </w:pPr>
      <w:r>
        <w:rPr>
          <w:rFonts w:ascii="Barlow Semi Condensed" w:cs="Barlow Semi Condensed" w:eastAsia="Barlow Semi Condensed" w:hAnsi="Barlow Semi Condensed"/>
          <w:sz w:val="24"/>
          <w:szCs w:val="24"/>
        </w:rPr>
        <w:t xml:space="preserve">Il covo, la scoperta del 18 aprile, la «seduta spiritica»: la coincidenza che né i processi né due Commissioni hanno spiegato. → </w:t>
      </w:r>
      <w:r>
        <w:rPr>
          <w:rFonts w:ascii="Barlow Semi Condensed" w:cs="Barlow Semi Condensed" w:eastAsia="Barlow Semi Condensed" w:hAnsi="Barlow Semi Condensed"/>
          <w:i/>
          <w:iCs/>
          <w:sz w:val="24"/>
          <w:szCs w:val="24"/>
        </w:rPr>
        <w:t xml:space="preserve">Documenti: Parte terza, cap. V; Fase settima, cap. 60.</w:t>
      </w:r>
    </w:p>
    <w:p>
      <w:pPr>
        <w:pStyle w:val="Heading3"/>
        <w:spacing w:after="80" w:before="160"/>
      </w:pPr>
      <w:r>
        <w:rPr>
          <w:rFonts w:ascii="Barlow Semi Condensed" w:cs="Barlow Semi Condensed" w:eastAsia="Barlow Semi Condensed" w:hAnsi="Barlow Semi Condensed"/>
          <w:sz w:val="24"/>
          <w:szCs w:val="24"/>
        </w:rPr>
        <w:t xml:space="preserve">Capitolo XXIII — Il falso comunicato del lago della Duchessa</w:t>
      </w:r>
    </w:p>
    <w:p>
      <w:pPr>
        <w:spacing w:after="120" w:line="276"/>
        <w:jc w:val="both"/>
      </w:pPr>
      <w:r>
        <w:rPr>
          <w:rFonts w:ascii="Barlow Semi Condensed" w:cs="Barlow Semi Condensed" w:eastAsia="Barlow Semi Condensed" w:hAnsi="Barlow Semi Condensed"/>
          <w:sz w:val="24"/>
          <w:szCs w:val="24"/>
        </w:rPr>
        <w:t xml:space="preserve">Il falso è accertato (A); la sua funzione — chi e perché — resta C. → </w:t>
      </w:r>
      <w:r>
        <w:rPr>
          <w:rFonts w:ascii="Barlow Semi Condensed" w:cs="Barlow Semi Condensed" w:eastAsia="Barlow Semi Condensed" w:hAnsi="Barlow Semi Condensed"/>
          <w:i/>
          <w:iCs/>
          <w:sz w:val="24"/>
          <w:szCs w:val="24"/>
        </w:rPr>
        <w:t xml:space="preserve">Documenti: Parte terza; Fase nona, cap. 75.</w:t>
      </w:r>
    </w:p>
    <w:p>
      <w:pPr>
        <w:pStyle w:val="Heading3"/>
        <w:spacing w:after="80" w:before="160"/>
      </w:pPr>
      <w:r>
        <w:rPr>
          <w:rFonts w:ascii="Barlow Semi Condensed" w:cs="Barlow Semi Condensed" w:eastAsia="Barlow Semi Condensed" w:hAnsi="Barlow Semi Condensed"/>
          <w:sz w:val="24"/>
          <w:szCs w:val="24"/>
        </w:rPr>
        <w:t xml:space="preserve">Capitolo XXIV — Le commissioni d'inchiesta e la non unanimità</w:t>
      </w:r>
    </w:p>
    <w:p>
      <w:pPr>
        <w:spacing w:after="120" w:line="276"/>
        <w:jc w:val="both"/>
      </w:pPr>
      <w:r>
        <w:rPr>
          <w:rFonts w:ascii="Barlow Semi Condensed" w:cs="Barlow Semi Condensed" w:eastAsia="Barlow Semi Condensed" w:hAnsi="Barlow Semi Condensed"/>
          <w:sz w:val="24"/>
          <w:szCs w:val="24"/>
        </w:rPr>
        <w:t xml:space="preserve">Che cosa pesa un accertamento parlamentare; la Moro 2, le due moto, il nodo del 18 aprile non sciolto, la «verità dicibile». → </w:t>
      </w:r>
      <w:r>
        <w:rPr>
          <w:rFonts w:ascii="Barlow Semi Condensed" w:cs="Barlow Semi Condensed" w:eastAsia="Barlow Semi Condensed" w:hAnsi="Barlow Semi Condensed"/>
          <w:i/>
          <w:iCs/>
          <w:sz w:val="24"/>
          <w:szCs w:val="24"/>
        </w:rPr>
        <w:t xml:space="preserve">Documenti: Fase settima, capp. 57-61.</w:t>
      </w:r>
    </w:p>
    <w:p>
      <w:pPr>
        <w:pStyle w:val="Heading3"/>
        <w:spacing w:after="80" w:before="160"/>
      </w:pPr>
      <w:r>
        <w:rPr>
          <w:rFonts w:ascii="Barlow Semi Condensed" w:cs="Barlow Semi Condensed" w:eastAsia="Barlow Semi Condensed" w:hAnsi="Barlow Semi Condensed"/>
          <w:sz w:val="24"/>
          <w:szCs w:val="24"/>
        </w:rPr>
        <w:t xml:space="preserve">Capitolo XXV — Gli Stati Zero del caso: il perimetro negativo</w:t>
      </w:r>
    </w:p>
    <w:p>
      <w:pPr>
        <w:spacing w:after="120" w:line="276"/>
        <w:jc w:val="both"/>
      </w:pPr>
      <w:r>
        <w:rPr>
          <w:rFonts w:ascii="Barlow Semi Condensed" w:cs="Barlow Semi Condensed" w:eastAsia="Barlow Semi Condensed" w:hAnsi="Barlow Semi Condensed"/>
          <w:sz w:val="24"/>
          <w:szCs w:val="24"/>
        </w:rPr>
        <w:t xml:space="preserve">Gli esiti negativi come acquisizioni: le assenze documentate del corpus (dall'Opus Dei nei versanti orientali della cartella Farnesina alle triangolazioni vuote della prosopografia) e il loro valore di metodo. → </w:t>
      </w:r>
      <w:r>
        <w:rPr>
          <w:rFonts w:ascii="Barlow Semi Condensed" w:cs="Barlow Semi Condensed" w:eastAsia="Barlow Semi Condensed" w:hAnsi="Barlow Semi Condensed"/>
          <w:i/>
          <w:iCs/>
          <w:sz w:val="24"/>
          <w:szCs w:val="24"/>
        </w:rPr>
        <w:t xml:space="preserve">Documenti: cartella `moro-ministro-esteri/`; `triangolazione-condannati-corpus.md`, esiti negativi.</w:t>
      </w:r>
    </w:p>
    <w:p>
      <w:pPr>
        <w:pStyle w:val="Heading3"/>
        <w:spacing w:after="80" w:before="160"/>
      </w:pPr>
      <w:r>
        <w:rPr>
          <w:rFonts w:ascii="Barlow Semi Condensed" w:cs="Barlow Semi Condensed" w:eastAsia="Barlow Semi Condensed" w:hAnsi="Barlow Semi Condensed"/>
          <w:sz w:val="24"/>
          <w:szCs w:val="24"/>
        </w:rPr>
        <w:t xml:space="preserve">Capitolo XXVI — Il confine del metodo</w:t>
      </w:r>
    </w:p>
    <w:p>
      <w:pPr>
        <w:spacing w:after="120" w:line="276"/>
        <w:jc w:val="both"/>
      </w:pPr>
      <w:r>
        <w:rPr>
          <w:rFonts w:ascii="Barlow Semi Condensed" w:cs="Barlow Semi Condensed" w:eastAsia="Barlow Semi Condensed" w:hAnsi="Barlow Semi Condensed"/>
          <w:sz w:val="24"/>
          <w:szCs w:val="24"/>
        </w:rPr>
        <w:t xml:space="preserve">Dove il Pollo di Popper si arresta: l'inventario delle ombre non autorizza il salto al colpevole; il quadro internazionale (Hyperion) con il suo esito liberatorio è il caso di scuola. → </w:t>
      </w:r>
      <w:r>
        <w:rPr>
          <w:rFonts w:ascii="Barlow Semi Condensed" w:cs="Barlow Semi Condensed" w:eastAsia="Barlow Semi Condensed" w:hAnsi="Barlow Semi Condensed"/>
          <w:i/>
          <w:iCs/>
          <w:sz w:val="24"/>
          <w:szCs w:val="24"/>
        </w:rPr>
        <w:t xml:space="preserve">Documenti: `triangolazione-hyperion-corpus.md`; `ceppo-simioni-cpm-superclan-hyperion.md`.</w:t>
      </w:r>
    </w:p>
    <w:p>
      <w:pPr>
        <w:spacing w:after="120" w:line="276"/>
        <w:jc w:val="both"/>
      </w:pPr>
      <w:r>
        <w:rPr>
          <w:rFonts w:ascii="Barlow Semi Condensed" w:cs="Barlow Semi Condensed" w:eastAsia="Barlow Semi Condensed" w:hAnsi="Barlow Semi Condensed"/>
          <w:b/>
          <w:bCs/>
          <w:sz w:val="24"/>
          <w:szCs w:val="24"/>
        </w:rPr>
        <w:t xml:space="preserve">Blocco mirato numero quattrocentouno — Griglia della Fase quarta · Fonte.</w:t>
      </w:r>
      <w:r>
        <w:rPr>
          <w:rFonts w:ascii="Barlow Semi Condensed" w:cs="Barlow Semi Condensed" w:eastAsia="Barlow Semi Condensed" w:hAnsi="Barlow Semi Condensed"/>
          <w:sz w:val="24"/>
          <w:szCs w:val="24"/>
        </w:rPr>
        <w:t xml:space="preserve"> Atti delle Commissioni, sentenze, e per Hyperion i nove nodi HY-1…HY-9 con indirizzo.</w:t>
      </w:r>
    </w:p>
    <w:p>
      <w:pPr>
        <w:spacing w:after="120" w:line="276"/>
        <w:jc w:val="both"/>
      </w:pPr>
      <w:r>
        <w:rPr>
          <w:rFonts w:ascii="Barlow Semi Condensed" w:cs="Barlow Semi Condensed" w:eastAsia="Barlow Semi Condensed" w:hAnsi="Barlow Semi Condensed"/>
          <w:b/>
          <w:bCs/>
          <w:sz w:val="24"/>
          <w:szCs w:val="24"/>
        </w:rPr>
        <w:t xml:space="preserve">Blocco mirato numero quattrocentodue — Falsificatore.</w:t>
      </w:r>
      <w:r>
        <w:rPr>
          <w:rFonts w:ascii="Barlow Semi Condensed" w:cs="Barlow Semi Condensed" w:eastAsia="Barlow Semi Condensed" w:hAnsi="Barlow Semi Condensed"/>
          <w:sz w:val="24"/>
          <w:szCs w:val="24"/>
        </w:rPr>
        <w:t xml:space="preserve"> Ogni ombra dell'inventario cadrebbe con la spiegazione documentale che ancora manca; il corpus censisce per ciascuna la sede dove cercarla.</w:t>
      </w:r>
    </w:p>
    <w:p>
      <w:pPr>
        <w:spacing w:after="120" w:line="276"/>
        <w:jc w:val="both"/>
      </w:pPr>
      <w:r>
        <w:rPr>
          <w:rFonts w:ascii="Barlow Semi Condensed" w:cs="Barlow Semi Condensed" w:eastAsia="Barlow Semi Condensed" w:hAnsi="Barlow Semi Condensed"/>
          <w:b/>
          <w:bCs/>
          <w:sz w:val="24"/>
          <w:szCs w:val="24"/>
        </w:rPr>
        <w:t xml:space="preserve">Blocco mirato numero quattrocentotré — Obiezione.</w:t>
      </w:r>
      <w:r>
        <w:rPr>
          <w:rFonts w:ascii="Barlow Semi Condensed" w:cs="Barlow Semi Condensed" w:eastAsia="Barlow Semi Condensed" w:hAnsi="Barlow Semi Condensed"/>
          <w:sz w:val="24"/>
          <w:szCs w:val="24"/>
        </w:rPr>
        <w:t xml:space="preserve"> Che l'inventario delle ombre alimenti la dietrologia. Risposta: l'inventario è ciò che la sostituisce — ombre censite col grado, non romanzate.</w:t>
      </w:r>
    </w:p>
    <w:p>
      <w:pPr>
        <w:spacing w:after="120" w:line="276"/>
        <w:jc w:val="both"/>
      </w:pPr>
      <w:r>
        <w:rPr>
          <w:rFonts w:ascii="Barlow Semi Condensed" w:cs="Barlow Semi Condensed" w:eastAsia="Barlow Semi Condensed" w:hAnsi="Barlow Semi Condensed"/>
          <w:b/>
          <w:bCs/>
          <w:sz w:val="24"/>
          <w:szCs w:val="24"/>
        </w:rPr>
        <w:t xml:space="preserve">Blocco mirato numero quattrocentoquattro — Comparazione.</w:t>
      </w:r>
      <w:r>
        <w:rPr>
          <w:rFonts w:ascii="Barlow Semi Condensed" w:cs="Barlow Semi Condensed" w:eastAsia="Barlow Semi Condensed" w:hAnsi="Barlow Semi Condensed"/>
          <w:sz w:val="24"/>
          <w:szCs w:val="24"/>
        </w:rPr>
        <w:t xml:space="preserve"> Il perimetro negativo è costruito come le tavole delle «acquisizioni non conseguite» delle ricognizioni diplomatiche: ogni mancanza con la sua sede di chiusura.</w:t>
      </w:r>
    </w:p>
    <w:p>
      <w:pPr>
        <w:spacing w:after="120" w:line="276"/>
        <w:jc w:val="both"/>
      </w:pPr>
      <w:r>
        <w:rPr>
          <w:rFonts w:ascii="Barlow Semi Condensed" w:cs="Barlow Semi Condensed" w:eastAsia="Barlow Semi Condensed" w:hAnsi="Barlow Semi Condensed"/>
          <w:b/>
          <w:bCs/>
          <w:sz w:val="24"/>
          <w:szCs w:val="24"/>
        </w:rPr>
        <w:t xml:space="preserve">Blocco mirato numero quattrocentocinque — Domanda aperta.</w:t>
      </w:r>
      <w:r>
        <w:rPr>
          <w:rFonts w:ascii="Barlow Semi Condensed" w:cs="Barlow Semi Condensed" w:eastAsia="Barlow Semi Condensed" w:hAnsi="Barlow Semi Condensed"/>
          <w:sz w:val="24"/>
          <w:szCs w:val="24"/>
        </w:rPr>
        <w:t xml:space="preserve"> L'ampiezza dell'indicibile: per definizione non misurabile; si dichiara e non si stima.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FASE QUINTA — ARCHITETTI, MANDANTI, ESECUTORI</w:t>
      </w:r>
    </w:p>
    <w:p>
      <w:pPr>
        <w:spacing w:after="120" w:line="276"/>
        <w:jc w:val="both"/>
      </w:pPr>
      <w:r>
        <w:rPr>
          <w:rFonts w:ascii="Barlow Semi Condensed" w:cs="Barlow Semi Condensed" w:eastAsia="Barlow Semi Condensed" w:hAnsi="Barlow Semi Condensed"/>
          <w:i/>
          <w:iCs/>
          <w:sz w:val="24"/>
          <w:szCs w:val="24"/>
        </w:rPr>
        <w:t xml:space="preserve">dove il Dossier maggiore congeda il Pollo di Popper — e il branch pubblico, per statuto, non lo congeda</w:t>
      </w:r>
    </w:p>
    <w:p>
      <w:pPr>
        <w:spacing w:after="120" w:line="276"/>
        <w:jc w:val="both"/>
      </w:pPr>
      <w:r>
        <w:rPr>
          <w:rFonts w:ascii="Barlow Semi Condensed" w:cs="Barlow Semi Condensed" w:eastAsia="Barlow Semi Condensed" w:hAnsi="Barlow Semi Condensed"/>
          <w:b/>
          <w:bCs/>
          <w:sz w:val="24"/>
          <w:szCs w:val="24"/>
        </w:rPr>
        <w:t xml:space="preserve">Blocco mirato numero cinquecentouno — La divergenza costitutiva.</w:t>
      </w:r>
      <w:r>
        <w:rPr>
          <w:rFonts w:ascii="Barlow Semi Condensed" w:cs="Barlow Semi Condensed" w:eastAsia="Barlow Semi Condensed" w:hAnsi="Barlow Semi Condensed"/>
          <w:sz w:val="24"/>
          <w:szCs w:val="24"/>
        </w:rPr>
        <w:t xml:space="preserve"> Nel Dossier maggiore questa Fase muta metodo: dalla sospensione alla probabilità, dieci strumenti di calcolo, la sintesi dei tre piani, la graduatoria con premessa garantista. Il branch pubblico </w:t>
      </w:r>
      <w:r>
        <w:rPr>
          <w:rFonts w:ascii="Barlow Semi Condensed" w:cs="Barlow Semi Condensed" w:eastAsia="Barlow Semi Condensed" w:hAnsi="Barlow Semi Condensed"/>
          <w:b/>
          <w:bCs/>
          <w:sz w:val="24"/>
          <w:szCs w:val="24"/>
        </w:rPr>
        <w:t xml:space="preserve">non riproduce quel congedo</w:t>
      </w:r>
      <w:r>
        <w:rPr>
          <w:rFonts w:ascii="Barlow Semi Condensed" w:cs="Barlow Semi Condensed" w:eastAsia="Barlow Semi Condensed" w:hAnsi="Barlow Semi Condensed"/>
          <w:sz w:val="24"/>
          <w:szCs w:val="24"/>
        </w:rPr>
        <w:t xml:space="preserve">: qui il Pollo di Popper non è licenziato, e la Fase quinta è riscritta col solo materiale che il regime pubblico consente — il giudicato, gli accertamenti, le congetture marcate. Chi cerca la graduatoria sa dove essa vive e sotto quale responsabilità; chi resta qui sa che cosa è provato.</w:t>
      </w:r>
    </w:p>
    <w:p>
      <w:pPr>
        <w:pStyle w:val="Heading3"/>
        <w:spacing w:after="80" w:before="160"/>
      </w:pPr>
      <w:r>
        <w:rPr>
          <w:rFonts w:ascii="Barlow Semi Condensed" w:cs="Barlow Semi Condensed" w:eastAsia="Barlow Semi Condensed" w:hAnsi="Barlow Semi Condensed"/>
          <w:sz w:val="24"/>
          <w:szCs w:val="24"/>
        </w:rPr>
        <w:t xml:space="preserve">Capitolo XXVII — Gli esecutori: il registro personalistico del giudicato</w:t>
      </w:r>
    </w:p>
    <w:p>
      <w:pPr>
        <w:spacing w:after="120" w:line="276"/>
        <w:jc w:val="both"/>
      </w:pPr>
      <w:r>
        <w:rPr>
          <w:rFonts w:ascii="Barlow Semi Condensed" w:cs="Barlow Semi Condensed" w:eastAsia="Barlow Semi Condensed" w:hAnsi="Barlow Semi Condensed"/>
          <w:sz w:val="24"/>
          <w:szCs w:val="24"/>
        </w:rPr>
        <w:t xml:space="preserve">I </w:t>
      </w:r>
      <w:r>
        <w:rPr>
          <w:rFonts w:ascii="Barlow Semi Condensed" w:cs="Barlow Semi Condensed" w:eastAsia="Barlow Semi Condensed" w:hAnsi="Barlow Semi Condensed"/>
          <w:b/>
          <w:bCs/>
          <w:sz w:val="24"/>
          <w:szCs w:val="24"/>
        </w:rPr>
        <w:t xml:space="preserve">tredici</w:t>
      </w:r>
      <w:r>
        <w:rPr>
          <w:rFonts w:ascii="Barlow Semi Condensed" w:cs="Barlow Semi Condensed" w:eastAsia="Barlow Semi Condensed" w:hAnsi="Barlow Semi Condensed"/>
          <w:sz w:val="24"/>
          <w:szCs w:val="24"/>
        </w:rPr>
        <w:t xml:space="preserve"> — Moretti, Gallinari, Morucci, Faranda, Fiore, Bonisoli, Balzerani, Seghetti, Braghetti, Casimirri, Lojacono, Maccari, Etro — ciascuno con la propria condotta e la propria sentenza; il caso Algranati (l'assoluzione che resta assoluzione); i trentadue ergastoli del processone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travasati nel caso. → </w:t>
      </w:r>
      <w:r>
        <w:rPr>
          <w:rFonts w:ascii="Barlow Semi Condensed" w:cs="Barlow Semi Condensed" w:eastAsia="Barlow Semi Condensed" w:hAnsi="Barlow Semi Condensed"/>
          <w:i/>
          <w:iCs/>
          <w:sz w:val="24"/>
          <w:szCs w:val="24"/>
        </w:rPr>
        <w:t xml:space="preserve">Documenti: `aldo-moro-una-guerra-senza-fine-fase-decima-responsabilita-personali.md` (il registro, cap. 79); Fase settima (i cinque processi).</w:t>
      </w:r>
    </w:p>
    <w:p>
      <w:pPr>
        <w:pStyle w:val="Heading3"/>
        <w:spacing w:after="80" w:before="160"/>
      </w:pPr>
      <w:r>
        <w:rPr>
          <w:rFonts w:ascii="Barlow Semi Condensed" w:cs="Barlow Semi Condensed" w:eastAsia="Barlow Semi Condensed" w:hAnsi="Barlow Semi Condensed"/>
          <w:sz w:val="24"/>
          <w:szCs w:val="24"/>
        </w:rPr>
        <w:t xml:space="preserve">Capitolo XXVIII — I «mandanti materiali»: ciò che il giudicato contiene, e nulla oltre</w:t>
      </w:r>
    </w:p>
    <w:p>
      <w:pPr>
        <w:spacing w:after="120" w:line="276"/>
        <w:jc w:val="both"/>
      </w:pPr>
      <w:r>
        <w:rPr>
          <w:rFonts w:ascii="Barlow Semi Condensed" w:cs="Barlow Semi Condensed" w:eastAsia="Barlow Semi Condensed" w:hAnsi="Barlow Semi Condensed"/>
          <w:sz w:val="24"/>
          <w:szCs w:val="24"/>
        </w:rPr>
        <w:t xml:space="preserve">Dentro il giudicato: la </w:t>
      </w:r>
      <w:r>
        <w:rPr>
          <w:rFonts w:ascii="Barlow Semi Condensed" w:cs="Barlow Semi Condensed" w:eastAsia="Barlow Semi Condensed" w:hAnsi="Barlow Semi Condensed"/>
          <w:b/>
          <w:bCs/>
          <w:sz w:val="24"/>
          <w:szCs w:val="24"/>
        </w:rPr>
        <w:t xml:space="preserve">direzione dell'operazione</w:t>
      </w:r>
      <w:r>
        <w:rPr>
          <w:rFonts w:ascii="Barlow Semi Condensed" w:cs="Barlow Semi Condensed" w:eastAsia="Barlow Semi Condensed" w:hAnsi="Barlow Semi Condensed"/>
          <w:sz w:val="24"/>
          <w:szCs w:val="24"/>
        </w:rPr>
        <w:t xml:space="preserve"> è accertata (Moretti, per ammissione recepita), e con essa l'autonomia decisionale dell'organizzazione quale i processi l'hanno stabilita. Oltre il giudicato: </w:t>
      </w:r>
      <w:r>
        <w:rPr>
          <w:rFonts w:ascii="Barlow Semi Condensed" w:cs="Barlow Semi Condensed" w:eastAsia="Barlow Semi Condensed" w:hAnsi="Barlow Semi Condensed"/>
          <w:b/>
          <w:bCs/>
          <w:sz w:val="24"/>
          <w:szCs w:val="24"/>
        </w:rPr>
        <w:t xml:space="preserve">nessun mandante è accertato</w:t>
      </w:r>
      <w:r>
        <w:rPr>
          <w:rFonts w:ascii="Barlow Semi Condensed" w:cs="Barlow Semi Condensed" w:eastAsia="Barlow Semi Condensed" w:hAnsi="Barlow Semi Condensed"/>
          <w:sz w:val="24"/>
          <w:szCs w:val="24"/>
        </w:rPr>
        <w:t xml:space="preserve">, e il corpus non ne nomina. → </w:t>
      </w:r>
      <w:r>
        <w:rPr>
          <w:rFonts w:ascii="Barlow Semi Condensed" w:cs="Barlow Semi Condensed" w:eastAsia="Barlow Semi Condensed" w:hAnsi="Barlow Semi Condensed"/>
          <w:i/>
          <w:iCs/>
          <w:sz w:val="24"/>
          <w:szCs w:val="24"/>
        </w:rPr>
        <w:t xml:space="preserve">Documenti: Fase settima, cap. 56; Fase decima, capp. 77-78.</w:t>
      </w:r>
    </w:p>
    <w:p>
      <w:pPr>
        <w:pStyle w:val="Heading3"/>
        <w:spacing w:after="80" w:before="160"/>
      </w:pPr>
      <w:r>
        <w:rPr>
          <w:rFonts w:ascii="Barlow Semi Condensed" w:cs="Barlow Semi Condensed" w:eastAsia="Barlow Semi Condensed" w:hAnsi="Barlow Semi Condensed"/>
          <w:sz w:val="24"/>
          <w:szCs w:val="24"/>
        </w:rPr>
        <w:t xml:space="preserve">Capitolo XXIX — Gli «architetti»: lo stato reale delle prove</w:t>
      </w:r>
    </w:p>
    <w:p>
      <w:pPr>
        <w:spacing w:after="120" w:line="276"/>
        <w:jc w:val="both"/>
      </w:pPr>
      <w:r>
        <w:rPr>
          <w:rFonts w:ascii="Barlow Semi Condensed" w:cs="Barlow Semi Condensed" w:eastAsia="Barlow Semi Condensed" w:hAnsi="Barlow Semi Condensed"/>
          <w:sz w:val="24"/>
          <w:szCs w:val="24"/>
        </w:rPr>
        <w:t xml:space="preserve">Il piano più alto è, allo stato degli atti, </w:t>
      </w:r>
      <w:r>
        <w:rPr>
          <w:rFonts w:ascii="Barlow Semi Condensed" w:cs="Barlow Semi Condensed" w:eastAsia="Barlow Semi Condensed" w:hAnsi="Barlow Semi Condensed"/>
          <w:b/>
          <w:bCs/>
          <w:sz w:val="24"/>
          <w:szCs w:val="24"/>
        </w:rPr>
        <w:t xml:space="preserve">territorio di congettura</w:t>
      </w:r>
      <w:r>
        <w:rPr>
          <w:rFonts w:ascii="Barlow Semi Condensed" w:cs="Barlow Semi Condensed" w:eastAsia="Barlow Semi Condensed" w:hAnsi="Barlow Semi Condensed"/>
          <w:sz w:val="24"/>
          <w:szCs w:val="24"/>
        </w:rPr>
        <w:t xml:space="preserve">: il quadro internazionale è documentato per fatti singoli (B) e vuoto di nessi provati; Hyperion e il ceppo Simioni si chiudono con proscioglimenti, assoluzioni con formula piena e risarcimenti; la prosopografia dei condannati mostra ponti biografici, mai catene di comando. → </w:t>
      </w:r>
      <w:r>
        <w:rPr>
          <w:rFonts w:ascii="Barlow Semi Condensed" w:cs="Barlow Semi Condensed" w:eastAsia="Barlow Semi Condensed" w:hAnsi="Barlow Semi Condensed"/>
          <w:i/>
          <w:iCs/>
          <w:sz w:val="24"/>
          <w:szCs w:val="24"/>
        </w:rPr>
        <w:t xml:space="preserve">Documenti: `triangolazione-hyperion-corpus.md`; `ceppo-simioni-cpm-superclan-hyperion.md`; `triangolazione-condannati-corpus.md`.</w:t>
      </w:r>
    </w:p>
    <w:p>
      <w:pPr>
        <w:pStyle w:val="Heading3"/>
        <w:spacing w:after="80" w:before="160"/>
      </w:pPr>
      <w:r>
        <w:rPr>
          <w:rFonts w:ascii="Barlow Semi Condensed" w:cs="Barlow Semi Condensed" w:eastAsia="Barlow Semi Condensed" w:hAnsi="Barlow Semi Condensed"/>
          <w:sz w:val="24"/>
          <w:szCs w:val="24"/>
        </w:rPr>
        <w:t xml:space="preserve">Capitolo XXX — Le pene oltre confine: l'esecuzione del giudicato come funzione diplomatica</w:t>
      </w:r>
    </w:p>
    <w:p>
      <w:pPr>
        <w:spacing w:after="120" w:line="276"/>
        <w:jc w:val="both"/>
      </w:pPr>
      <w:r>
        <w:rPr>
          <w:rFonts w:ascii="Barlow Semi Condensed" w:cs="Barlow Semi Condensed" w:eastAsia="Barlow Semi Condensed" w:hAnsi="Barlow Semi Condensed"/>
          <w:sz w:val="24"/>
          <w:szCs w:val="24"/>
        </w:rPr>
        <w:t xml:space="preserve">L'epilogo che il registro impone di scrivere: una sentenza definitiva </w:t>
      </w:r>
      <w:r>
        <w:rPr>
          <w:rFonts w:ascii="Barlow Semi Condensed" w:cs="Barlow Semi Condensed" w:eastAsia="Barlow Semi Condensed" w:hAnsi="Barlow Semi Condensed"/>
          <w:i/>
          <w:iCs/>
          <w:sz w:val="24"/>
          <w:szCs w:val="24"/>
        </w:rPr>
        <w:t xml:space="preserve">accerta</w:t>
      </w:r>
      <w:r>
        <w:rPr>
          <w:rFonts w:ascii="Barlow Semi Condensed" w:cs="Barlow Semi Condensed" w:eastAsia="Barlow Semi Condensed" w:hAnsi="Barlow Semi Condensed"/>
          <w:sz w:val="24"/>
          <w:szCs w:val="24"/>
        </w:rPr>
        <w:t xml:space="preserve"> ovunque, ma </w:t>
      </w:r>
      <w:r>
        <w:rPr>
          <w:rFonts w:ascii="Barlow Semi Condensed" w:cs="Barlow Semi Condensed" w:eastAsia="Barlow Semi Condensed" w:hAnsi="Barlow Semi Condensed"/>
          <w:i/>
          <w:iCs/>
          <w:sz w:val="24"/>
          <w:szCs w:val="24"/>
        </w:rPr>
        <w:t xml:space="preserve">dispone</w:t>
      </w:r>
      <w:r>
        <w:rPr>
          <w:rFonts w:ascii="Barlow Semi Condensed" w:cs="Barlow Semi Condensed" w:eastAsia="Barlow Semi Condensed" w:hAnsi="Barlow Semi Condensed"/>
          <w:sz w:val="24"/>
          <w:szCs w:val="24"/>
        </w:rPr>
        <w:t xml:space="preserve"> solo fino alla frontiera. Due dei tredici non sono mai stati raggiunti dalla pena — Casimirri (Nicaragua, protezione politica) e Lojacono (Svizzera, regola di cittadinanza) — mentre il contro-caso Algranati (Cairo, 2004) mostra che la latitanza è variabile diplomatica, non destino. Attorno, la cornice intera: l'</w:t>
      </w:r>
      <w:r>
        <w:rPr>
          <w:rFonts w:ascii="Barlow Semi Condensed" w:cs="Barlow Semi Condensed" w:eastAsia="Barlow Semi Condensed" w:hAnsi="Barlow Semi Condensed"/>
          <w:b/>
          <w:bCs/>
          <w:sz w:val="24"/>
          <w:szCs w:val="24"/>
        </w:rPr>
        <w:t xml:space="preserve">affaire Mulinaris</w:t>
      </w:r>
      <w:r>
        <w:rPr>
          <w:rFonts w:ascii="Barlow Semi Condensed" w:cs="Barlow Semi Condensed" w:eastAsia="Barlow Semi Condensed" w:hAnsi="Barlow Semi Condensed"/>
          <w:sz w:val="24"/>
          <w:szCs w:val="24"/>
        </w:rPr>
        <w:t xml:space="preserve"> (1982-1986) come rovescio della macchina — l'innocente assolto con formula piena e risarcito; la </w:t>
      </w:r>
      <w:r>
        <w:rPr>
          <w:rFonts w:ascii="Barlow Semi Condensed" w:cs="Barlow Semi Condensed" w:eastAsia="Barlow Semi Condensed" w:hAnsi="Barlow Semi Condensed"/>
          <w:b/>
          <w:bCs/>
          <w:sz w:val="24"/>
          <w:szCs w:val="24"/>
        </w:rPr>
        <w:t xml:space="preserve">dottrina Mitterrand</w:t>
      </w:r>
      <w:r>
        <w:rPr>
          <w:rFonts w:ascii="Barlow Semi Condensed" w:cs="Barlow Semi Condensed" w:eastAsia="Barlow Semi Condensed" w:hAnsi="Barlow Semi Condensed"/>
          <w:sz w:val="24"/>
          <w:szCs w:val="24"/>
        </w:rPr>
        <w:t xml:space="preserve"> (21 aprile 1985) nei suoi tre caratteri — parola mai scritta, condizioni giudicate dal protettore, scudo sull'esecuzione e non sull'accertamento; e l'epilogo </w:t>
      </w:r>
      <w:r>
        <w:rPr>
          <w:rFonts w:ascii="Barlow Semi Condensed" w:cs="Barlow Semi Condensed" w:eastAsia="Barlow Semi Condensed" w:hAnsi="Barlow Semi Condensed"/>
          <w:b/>
          <w:bCs/>
          <w:sz w:val="24"/>
          <w:szCs w:val="24"/>
        </w:rPr>
        <w:t xml:space="preserve">«Ombre rosse»</w:t>
      </w:r>
      <w:r>
        <w:rPr>
          <w:rFonts w:ascii="Barlow Semi Condensed" w:cs="Barlow Semi Condensed" w:eastAsia="Barlow Semi Condensed" w:hAnsi="Barlow Semi Condensed"/>
          <w:sz w:val="24"/>
          <w:szCs w:val="24"/>
        </w:rPr>
        <w:t xml:space="preserve"> (2021) col no definitivo della Cassazione francese (2023), che non tocca il registro del caso. Cinque presidi: l'asilo è atto di chi lo concede; la dottrina non è prova; le sentenze non hanno passaporto, l'esecuzione sì; la geografia non è gerarchia morale; nessun nome oltre il necessario. → </w:t>
      </w:r>
      <w:r>
        <w:rPr>
          <w:rFonts w:ascii="Barlow Semi Condensed" w:cs="Barlow Semi Condensed" w:eastAsia="Barlow Semi Condensed" w:hAnsi="Barlow Semi Condensed"/>
          <w:i/>
          <w:iCs/>
          <w:sz w:val="24"/>
          <w:szCs w:val="24"/>
        </w:rPr>
        <w:t xml:space="preserve">Documenti: `le-pene-oltre-confine-mitterrand-mulinaris.md`; `triangolazione-condannati-corpus.md`, T-5 e T-6; cartella `moro-ministro-esteri/` (la cornice diplomatica).</w:t>
      </w:r>
    </w:p>
    <w:p>
      <w:pPr>
        <w:pStyle w:val="Heading3"/>
        <w:spacing w:after="80" w:before="160"/>
      </w:pPr>
      <w:r>
        <w:rPr>
          <w:rFonts w:ascii="Barlow Semi Condensed" w:cs="Barlow Semi Condensed" w:eastAsia="Barlow Semi Condensed" w:hAnsi="Barlow Semi Condensed"/>
          <w:sz w:val="24"/>
          <w:szCs w:val="24"/>
        </w:rPr>
        <w:t xml:space="preserve">Capitolo XXXI — Congedo</w:t>
      </w:r>
    </w:p>
    <w:p>
      <w:pPr>
        <w:spacing w:after="120" w:line="276"/>
        <w:jc w:val="both"/>
      </w:pPr>
      <w:r>
        <w:rPr>
          <w:rFonts w:ascii="Barlow Semi Condensed" w:cs="Barlow Semi Condensed" w:eastAsia="Barlow Semi Condensed" w:hAnsi="Barlow Semi Condensed"/>
          <w:sz w:val="24"/>
          <w:szCs w:val="24"/>
        </w:rPr>
        <w:t xml:space="preserve">Il congedo del branch pubblico non è una sentenza: è una linea. Sotto la linea, tredici nomi scritti dai giudici e sei vittime scritte per prime; sopra la linea, domande censite col loro grado e i criteri per chiuderle. E oltre la linea delle frontiere, pene ineseguite che non spostano di un grammo l'accertato: la Repubblica chiede nelle forme del diritto, e quando perde, perde nelle forme del diritto — il che la distingue, ancora una volta, dal tribunale del 1926 da cui questo branch è partito. La guerra senza fine continua sopra la linea; l'opera custodisce la linea. → </w:t>
      </w:r>
      <w:r>
        <w:rPr>
          <w:rFonts w:ascii="Barlow Semi Condensed" w:cs="Barlow Semi Condensed" w:eastAsia="Barlow Semi Condensed" w:hAnsi="Barlow Semi Condensed"/>
          <w:i/>
          <w:iCs/>
          <w:sz w:val="24"/>
          <w:szCs w:val="24"/>
        </w:rPr>
        <w:t xml:space="preserve">Documenti: Fase decima, congedo; Fase sesta; `le-pene-oltre-confine-mitterrand-mulinaris.md`, cap. VI.</w:t>
      </w:r>
    </w:p>
    <w:p>
      <w:pPr>
        <w:spacing w:after="120" w:line="276"/>
        <w:jc w:val="both"/>
      </w:pPr>
      <w:r>
        <w:rPr>
          <w:rFonts w:ascii="Barlow Semi Condensed" w:cs="Barlow Semi Condensed" w:eastAsia="Barlow Semi Condensed" w:hAnsi="Barlow Semi Condensed"/>
          <w:b/>
          <w:bCs/>
          <w:sz w:val="24"/>
          <w:szCs w:val="24"/>
        </w:rPr>
        <w:t xml:space="preserve">Blocco mirato numero cinquecentocinquantuno — Griglia della Fase quinta · Fonte.</w:t>
      </w:r>
      <w:r>
        <w:rPr>
          <w:rFonts w:ascii="Barlow Semi Condensed" w:cs="Barlow Semi Condensed" w:eastAsia="Barlow Semi Condensed" w:hAnsi="Barlow Semi Condensed"/>
          <w:sz w:val="24"/>
          <w:szCs w:val="24"/>
        </w:rPr>
        <w:t xml:space="preserve"> Le sentenze dei cinque processi e gli atti richiamati nel registro personalistico, tutti con indirizzo; per l'epilogo delle pene oltre confine, le fonti diplomatiche e giudiziarie verificate nello studio dedicato (dalla dottrina Mitterrand del 21/4/1985 alla Cassazione francese del 2023).</w:t>
      </w:r>
    </w:p>
    <w:p>
      <w:pPr>
        <w:spacing w:after="120" w:line="276"/>
        <w:jc w:val="both"/>
      </w:pPr>
      <w:r>
        <w:rPr>
          <w:rFonts w:ascii="Barlow Semi Condensed" w:cs="Barlow Semi Condensed" w:eastAsia="Barlow Semi Condensed" w:hAnsi="Barlow Semi Condensed"/>
          <w:b/>
          <w:bCs/>
          <w:sz w:val="24"/>
          <w:szCs w:val="24"/>
        </w:rPr>
        <w:t xml:space="preserve">Blocco mirato numero cinquecentocinquantadue — Falsificatore.</w:t>
      </w:r>
      <w:r>
        <w:rPr>
          <w:rFonts w:ascii="Barlow Semi Condensed" w:cs="Barlow Semi Condensed" w:eastAsia="Barlow Semi Condensed" w:hAnsi="Barlow Semi Condensed"/>
          <w:sz w:val="24"/>
          <w:szCs w:val="24"/>
        </w:rPr>
        <w:t xml:space="preserve"> Il registro si amplierebbe solo per nuovo giudicato; i piani superiori cambierebbero grado solo per i documenti primari che i criteri di smentita esigono — in quarant'anni non emersi.</w:t>
      </w:r>
    </w:p>
    <w:p>
      <w:pPr>
        <w:spacing w:after="120" w:line="276"/>
        <w:jc w:val="both"/>
      </w:pPr>
      <w:r>
        <w:rPr>
          <w:rFonts w:ascii="Barlow Semi Condensed" w:cs="Barlow Semi Condensed" w:eastAsia="Barlow Semi Condensed" w:hAnsi="Barlow Semi Condensed"/>
          <w:b/>
          <w:bCs/>
          <w:sz w:val="24"/>
          <w:szCs w:val="24"/>
        </w:rPr>
        <w:t xml:space="preserve">Blocco mirato numero cinquecentocinquantatré — Obiezione.</w:t>
      </w:r>
      <w:r>
        <w:rPr>
          <w:rFonts w:ascii="Barlow Semi Condensed" w:cs="Barlow Semi Condensed" w:eastAsia="Barlow Semi Condensed" w:hAnsi="Barlow Semi Condensed"/>
          <w:sz w:val="24"/>
          <w:szCs w:val="24"/>
        </w:rPr>
        <w:t xml:space="preserve"> Che fermarsi al giudicato sia reticenza. Risposta: è il contrario della reticenza — è dire esattamente fin dove arriva la prova, e dichiarare dove vive ciò che la oltrepassa.</w:t>
      </w:r>
    </w:p>
    <w:p>
      <w:pPr>
        <w:spacing w:after="120" w:line="276"/>
        <w:jc w:val="both"/>
      </w:pPr>
      <w:r>
        <w:rPr>
          <w:rFonts w:ascii="Barlow Semi Condensed" w:cs="Barlow Semi Condensed" w:eastAsia="Barlow Semi Condensed" w:hAnsi="Barlow Semi Condensed"/>
          <w:b/>
          <w:bCs/>
          <w:sz w:val="24"/>
          <w:szCs w:val="24"/>
        </w:rPr>
        <w:t xml:space="preserve">Blocco mirato numero cinquecentocinquantaquattro — Comparazione.</w:t>
      </w:r>
      <w:r>
        <w:rPr>
          <w:rFonts w:ascii="Barlow Semi Condensed" w:cs="Barlow Semi Condensed" w:eastAsia="Barlow Semi Condensed" w:hAnsi="Barlow Semi Condensed"/>
          <w:sz w:val="24"/>
          <w:szCs w:val="24"/>
        </w:rPr>
        <w:t xml:space="preserve"> La Fase quinta pubblica sta al Dossier maggiore come l'edizione critica sta al manoscritto: stessa opera, regimi di prova dichiarati e diversi.</w:t>
      </w:r>
    </w:p>
    <w:p>
      <w:pPr>
        <w:spacing w:after="120" w:line="276"/>
        <w:jc w:val="both"/>
      </w:pPr>
      <w:r>
        <w:rPr>
          <w:rFonts w:ascii="Barlow Semi Condensed" w:cs="Barlow Semi Condensed" w:eastAsia="Barlow Semi Condensed" w:hAnsi="Barlow Semi Condensed"/>
          <w:b/>
          <w:bCs/>
          <w:sz w:val="24"/>
          <w:szCs w:val="24"/>
        </w:rPr>
        <w:t xml:space="preserve">Blocco mirato numero cinquecentocinquantacinque — Domanda aperta.</w:t>
      </w:r>
      <w:r>
        <w:rPr>
          <w:rFonts w:ascii="Barlow Semi Condensed" w:cs="Barlow Semi Condensed" w:eastAsia="Barlow Semi Condensed" w:hAnsi="Barlow Semi Condensed"/>
          <w:sz w:val="24"/>
          <w:szCs w:val="24"/>
        </w:rPr>
        <w:t xml:space="preserve"> Se mai un documento primario scioglierà i piani superiori: la sede è negli archivi censiti dal corpus, non nella somma delle suggestioni.</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Le serie di servizio</w:t>
      </w:r>
    </w:p>
    <w:p>
      <w:pPr>
        <w:pStyle w:val="Heading2"/>
        <w:spacing w:after="100" w:before="200"/>
      </w:pPr>
      <w:r>
        <w:rPr>
          <w:rFonts w:ascii="Barlow Semi Condensed" w:cs="Barlow Semi Condensed" w:eastAsia="Barlow Semi Condensed" w:hAnsi="Barlow Semi Condensed"/>
          <w:sz w:val="24"/>
          <w:szCs w:val="24"/>
        </w:rPr>
        <w:t xml:space="preserve">Serie sesta — Registro cronologico essenziale (blocchi 801-812)</w:t>
      </w:r>
    </w:p>
    <w:p>
      <w:pPr>
        <w:spacing w:after="120" w:line="276"/>
        <w:jc w:val="both"/>
      </w:pPr>
      <w:r>
        <w:rPr>
          <w:rFonts w:ascii="Barlow Semi Condensed" w:cs="Barlow Semi Condensed" w:eastAsia="Barlow Semi Condensed" w:hAnsi="Barlow Semi Condensed"/>
          <w:b/>
          <w:bCs/>
          <w:sz w:val="24"/>
          <w:szCs w:val="24"/>
        </w:rPr>
        <w:t xml:space="preserve">801.</w:t>
      </w:r>
      <w:r>
        <w:rPr>
          <w:rFonts w:ascii="Barlow Semi Condensed" w:cs="Barlow Semi Condensed" w:eastAsia="Barlow Semi Condensed" w:hAnsi="Barlow Semi Condensed"/>
          <w:sz w:val="24"/>
          <w:szCs w:val="24"/>
        </w:rPr>
        <w:t xml:space="preserve"> 23 settembre 1916 — nasce Aldo Moro a Maglie (F). </w:t>
      </w:r>
      <w:r>
        <w:rPr>
          <w:rFonts w:ascii="Barlow Semi Condensed" w:cs="Barlow Semi Condensed" w:eastAsia="Barlow Semi Condensed" w:hAnsi="Barlow Semi Condensed"/>
          <w:b/>
          <w:bCs/>
          <w:sz w:val="24"/>
          <w:szCs w:val="24"/>
        </w:rPr>
        <w:t xml:space="preserve">802.</w:t>
      </w:r>
      <w:r>
        <w:rPr>
          <w:rFonts w:ascii="Barlow Semi Condensed" w:cs="Barlow Semi Condensed" w:eastAsia="Barlow Semi Condensed" w:hAnsi="Barlow Semi Condensed"/>
          <w:sz w:val="24"/>
          <w:szCs w:val="24"/>
        </w:rPr>
        <w:t xml:space="preserve"> 15 giugno 1969 — Bari, la «strategia dell'attenzione» (F). </w:t>
      </w:r>
      <w:r>
        <w:rPr>
          <w:rFonts w:ascii="Barlow Semi Condensed" w:cs="Barlow Semi Condensed" w:eastAsia="Barlow Semi Condensed" w:hAnsi="Barlow Semi Condensed"/>
          <w:b/>
          <w:bCs/>
          <w:sz w:val="24"/>
          <w:szCs w:val="24"/>
        </w:rPr>
        <w:t xml:space="preserve">803.</w:t>
      </w:r>
      <w:r>
        <w:rPr>
          <w:rFonts w:ascii="Barlow Semi Condensed" w:cs="Barlow Semi Condensed" w:eastAsia="Barlow Semi Condensed" w:hAnsi="Barlow Semi Condensed"/>
          <w:sz w:val="24"/>
          <w:szCs w:val="24"/>
        </w:rPr>
        <w:t xml:space="preserve"> 8 settembre 1969 — Milano, fondazione del CPM (F). </w:t>
      </w:r>
      <w:r>
        <w:rPr>
          <w:rFonts w:ascii="Barlow Semi Condensed" w:cs="Barlow Semi Condensed" w:eastAsia="Barlow Semi Condensed" w:hAnsi="Barlow Semi Condensed"/>
          <w:b/>
          <w:bCs/>
          <w:sz w:val="24"/>
          <w:szCs w:val="24"/>
        </w:rPr>
        <w:t xml:space="preserve">804.</w:t>
      </w:r>
      <w:r>
        <w:rPr>
          <w:rFonts w:ascii="Barlow Semi Condensed" w:cs="Barlow Semi Condensed" w:eastAsia="Barlow Semi Condensed" w:hAnsi="Barlow Semi Condensed"/>
          <w:sz w:val="24"/>
          <w:szCs w:val="24"/>
        </w:rPr>
        <w:t xml:space="preserve"> 5 agosto 1969 – 23 novembre 1974 — i due mandati di Moro alla Farnesina (F). </w:t>
      </w:r>
      <w:r>
        <w:rPr>
          <w:rFonts w:ascii="Barlow Semi Condensed" w:cs="Barlow Semi Condensed" w:eastAsia="Barlow Semi Condensed" w:hAnsi="Barlow Semi Condensed"/>
          <w:b/>
          <w:bCs/>
          <w:sz w:val="24"/>
          <w:szCs w:val="24"/>
        </w:rPr>
        <w:t xml:space="preserve">805.</w:t>
      </w:r>
      <w:r>
        <w:rPr>
          <w:rFonts w:ascii="Barlow Semi Condensed" w:cs="Barlow Semi Condensed" w:eastAsia="Barlow Semi Condensed" w:hAnsi="Barlow Semi Condensed"/>
          <w:sz w:val="24"/>
          <w:szCs w:val="24"/>
        </w:rPr>
        <w:t xml:space="preserve"> 27 luglio 1971 — firma dell'Accordo provvisorio CEE-Turchia (A/F). </w:t>
      </w:r>
      <w:r>
        <w:rPr>
          <w:rFonts w:ascii="Barlow Semi Condensed" w:cs="Barlow Semi Condensed" w:eastAsia="Barlow Semi Condensed" w:hAnsi="Barlow Semi Condensed"/>
          <w:b/>
          <w:bCs/>
          <w:sz w:val="24"/>
          <w:szCs w:val="24"/>
        </w:rPr>
        <w:t xml:space="preserve">806.</w:t>
      </w:r>
      <w:r>
        <w:rPr>
          <w:rFonts w:ascii="Barlow Semi Condensed" w:cs="Barlow Semi Condensed" w:eastAsia="Barlow Semi Condensed" w:hAnsi="Barlow Semi Condensed"/>
          <w:sz w:val="24"/>
          <w:szCs w:val="24"/>
        </w:rPr>
        <w:t xml:space="preserve"> 1° agosto 1975 — Atto finale di Helsinki: le tre firme convergenti (F). </w:t>
      </w:r>
      <w:r>
        <w:rPr>
          <w:rFonts w:ascii="Barlow Semi Condensed" w:cs="Barlow Semi Condensed" w:eastAsia="Barlow Semi Condensed" w:hAnsi="Barlow Semi Condensed"/>
          <w:b/>
          <w:bCs/>
          <w:sz w:val="24"/>
          <w:szCs w:val="24"/>
        </w:rPr>
        <w:t xml:space="preserve">807.</w:t>
      </w:r>
      <w:r>
        <w:rPr>
          <w:rFonts w:ascii="Barlow Semi Condensed" w:cs="Barlow Semi Condensed" w:eastAsia="Barlow Semi Condensed" w:hAnsi="Barlow Semi Condensed"/>
          <w:sz w:val="24"/>
          <w:szCs w:val="24"/>
        </w:rPr>
        <w:t xml:space="preserve"> 16 marzo 1978 — via Fani (A). </w:t>
      </w:r>
      <w:r>
        <w:rPr>
          <w:rFonts w:ascii="Barlow Semi Condensed" w:cs="Barlow Semi Condensed" w:eastAsia="Barlow Semi Condensed" w:hAnsi="Barlow Semi Condensed"/>
          <w:b/>
          <w:bCs/>
          <w:sz w:val="24"/>
          <w:szCs w:val="24"/>
        </w:rPr>
        <w:t xml:space="preserve">808.</w:t>
      </w:r>
      <w:r>
        <w:rPr>
          <w:rFonts w:ascii="Barlow Semi Condensed" w:cs="Barlow Semi Condensed" w:eastAsia="Barlow Semi Condensed" w:hAnsi="Barlow Semi Condensed"/>
          <w:sz w:val="24"/>
          <w:szCs w:val="24"/>
        </w:rPr>
        <w:t xml:space="preserve"> 18 aprile 1978 — il falso della Duchessa; via Gradoli (A/B). </w:t>
      </w:r>
      <w:r>
        <w:rPr>
          <w:rFonts w:ascii="Barlow Semi Condensed" w:cs="Barlow Semi Condensed" w:eastAsia="Barlow Semi Condensed" w:hAnsi="Barlow Semi Condensed"/>
          <w:b/>
          <w:bCs/>
          <w:sz w:val="24"/>
          <w:szCs w:val="24"/>
        </w:rPr>
        <w:t xml:space="preserve">809.</w:t>
      </w:r>
      <w:r>
        <w:rPr>
          <w:rFonts w:ascii="Barlow Semi Condensed" w:cs="Barlow Semi Condensed" w:eastAsia="Barlow Semi Condensed" w:hAnsi="Barlow Semi Condensed"/>
          <w:sz w:val="24"/>
          <w:szCs w:val="24"/>
        </w:rPr>
        <w:t xml:space="preserve"> 9 maggio 1978 — via Caetani (A). </w:t>
      </w:r>
      <w:r>
        <w:rPr>
          <w:rFonts w:ascii="Barlow Semi Condensed" w:cs="Barlow Semi Condensed" w:eastAsia="Barlow Semi Condensed" w:hAnsi="Barlow Semi Condensed"/>
          <w:b/>
          <w:bCs/>
          <w:sz w:val="24"/>
          <w:szCs w:val="24"/>
        </w:rPr>
        <w:t xml:space="preserve">810.</w:t>
      </w:r>
      <w:r>
        <w:rPr>
          <w:rFonts w:ascii="Barlow Semi Condensed" w:cs="Barlow Semi Condensed" w:eastAsia="Barlow Semi Condensed" w:hAnsi="Barlow Semi Condensed"/>
          <w:sz w:val="24"/>
          <w:szCs w:val="24"/>
        </w:rPr>
        <w:t xml:space="preserve"> 1° ottobre 1978 — via Monte Nevoso, primo ritrovamento (A). </w:t>
      </w:r>
      <w:r>
        <w:rPr>
          <w:rFonts w:ascii="Barlow Semi Condensed" w:cs="Barlow Semi Condensed" w:eastAsia="Barlow Semi Condensed" w:hAnsi="Barlow Semi Condensed"/>
          <w:b/>
          <w:bCs/>
          <w:sz w:val="24"/>
          <w:szCs w:val="24"/>
        </w:rPr>
        <w:t xml:space="preserve">811.</w:t>
      </w:r>
      <w:r>
        <w:rPr>
          <w:rFonts w:ascii="Barlow Semi Condensed" w:cs="Barlow Semi Condensed" w:eastAsia="Barlow Semi Condensed" w:hAnsi="Barlow Semi Condensed"/>
          <w:sz w:val="24"/>
          <w:szCs w:val="24"/>
        </w:rPr>
        <w:t xml:space="preserve"> 9 ottobre 1990 — Monte Nevoso, i fogli dietro il pannello (A). </w:t>
      </w:r>
      <w:r>
        <w:rPr>
          <w:rFonts w:ascii="Barlow Semi Condensed" w:cs="Barlow Semi Condensed" w:eastAsia="Barlow Semi Condensed" w:hAnsi="Barlow Semi Condensed"/>
          <w:b/>
          <w:bCs/>
          <w:sz w:val="24"/>
          <w:szCs w:val="24"/>
        </w:rPr>
        <w:t xml:space="preserve">812.</w:t>
      </w:r>
      <w:r>
        <w:rPr>
          <w:rFonts w:ascii="Barlow Semi Condensed" w:cs="Barlow Semi Condensed" w:eastAsia="Barlow Semi Condensed" w:hAnsi="Barlow Semi Condensed"/>
          <w:sz w:val="24"/>
          <w:szCs w:val="24"/>
        </w:rPr>
        <w:t xml:space="preserve"> 6 dicembre 2017 — relazione finale della Commissione Moro 2 (B). </w:t>
      </w:r>
      <w:r>
        <w:rPr>
          <w:rFonts w:ascii="Barlow Semi Condensed" w:cs="Barlow Semi Condensed" w:eastAsia="Barlow Semi Condensed" w:hAnsi="Barlow Semi Condensed"/>
          <w:i/>
          <w:iCs/>
          <w:sz w:val="24"/>
          <w:szCs w:val="24"/>
        </w:rPr>
        <w:t xml:space="preserve">Il registro non stabilisce alcun nesso fra le date che elenca.</w:t>
      </w:r>
    </w:p>
    <w:p>
      <w:pPr>
        <w:pStyle w:val="Heading2"/>
        <w:spacing w:after="100" w:before="200"/>
      </w:pPr>
      <w:r>
        <w:rPr>
          <w:rFonts w:ascii="Barlow Semi Condensed" w:cs="Barlow Semi Condensed" w:eastAsia="Barlow Semi Condensed" w:hAnsi="Barlow Semi Condensed"/>
          <w:sz w:val="24"/>
          <w:szCs w:val="24"/>
        </w:rPr>
        <w:t xml:space="preserve">Serie settima — Repertorio delle classi di fonti (blocchi 1051-1056)</w:t>
      </w:r>
    </w:p>
    <w:p>
      <w:pPr>
        <w:spacing w:after="120" w:line="276"/>
        <w:jc w:val="both"/>
      </w:pPr>
      <w:r>
        <w:rPr>
          <w:rFonts w:ascii="Barlow Semi Condensed" w:cs="Barlow Semi Condensed" w:eastAsia="Barlow Semi Condensed" w:hAnsi="Barlow Semi Condensed"/>
          <w:b/>
          <w:bCs/>
          <w:sz w:val="24"/>
          <w:szCs w:val="24"/>
        </w:rPr>
        <w:t xml:space="preserve">1051.</w:t>
      </w:r>
      <w:r>
        <w:rPr>
          <w:rFonts w:ascii="Barlow Semi Condensed" w:cs="Barlow Semi Condensed" w:eastAsia="Barlow Semi Condensed" w:hAnsi="Barlow Semi Condensed"/>
          <w:sz w:val="24"/>
          <w:szCs w:val="24"/>
        </w:rPr>
        <w:t xml:space="preserve"> Gli </w:t>
      </w:r>
      <w:r>
        <w:rPr>
          <w:rFonts w:ascii="Barlow Semi Condensed" w:cs="Barlow Semi Condensed" w:eastAsia="Barlow Semi Condensed" w:hAnsi="Barlow Semi Condensed"/>
          <w:b/>
          <w:bCs/>
          <w:sz w:val="24"/>
          <w:szCs w:val="24"/>
        </w:rPr>
        <w:t xml:space="preserve">atti giudiziari</w:t>
      </w:r>
      <w:r>
        <w:rPr>
          <w:rFonts w:ascii="Barlow Semi Condensed" w:cs="Barlow Semi Condensed" w:eastAsia="Barlow Semi Condensed" w:hAnsi="Barlow Semi Condensed"/>
          <w:sz w:val="24"/>
          <w:szCs w:val="24"/>
        </w:rPr>
        <w:t xml:space="preserve">: accertano; tetto di grado A. </w:t>
      </w:r>
      <w:r>
        <w:rPr>
          <w:rFonts w:ascii="Barlow Semi Condensed" w:cs="Barlow Semi Condensed" w:eastAsia="Barlow Semi Condensed" w:hAnsi="Barlow Semi Condensed"/>
          <w:b/>
          <w:bCs/>
          <w:sz w:val="24"/>
          <w:szCs w:val="24"/>
        </w:rPr>
        <w:t xml:space="preserve">1052.</w:t>
      </w:r>
      <w:r>
        <w:rPr>
          <w:rFonts w:ascii="Barlow Semi Condensed" w:cs="Barlow Semi Condensed" w:eastAsia="Barlow Semi Condensed" w:hAnsi="Barlow Semi Condensed"/>
          <w:sz w:val="24"/>
          <w:szCs w:val="24"/>
        </w:rPr>
        <w:t xml:space="preserve"> Gli </w:t>
      </w:r>
      <w:r>
        <w:rPr>
          <w:rFonts w:ascii="Barlow Semi Condensed" w:cs="Barlow Semi Condensed" w:eastAsia="Barlow Semi Condensed" w:hAnsi="Barlow Semi Condensed"/>
          <w:b/>
          <w:bCs/>
          <w:sz w:val="24"/>
          <w:szCs w:val="24"/>
        </w:rPr>
        <w:t xml:space="preserve">atti parlamentari</w:t>
      </w:r>
      <w:r>
        <w:rPr>
          <w:rFonts w:ascii="Barlow Semi Condensed" w:cs="Barlow Semi Condensed" w:eastAsia="Barlow Semi Condensed" w:hAnsi="Barlow Semi Condensed"/>
          <w:sz w:val="24"/>
          <w:szCs w:val="24"/>
        </w:rPr>
        <w:t xml:space="preserve">: documentano; tetto B. </w:t>
      </w:r>
      <w:r>
        <w:rPr>
          <w:rFonts w:ascii="Barlow Semi Condensed" w:cs="Barlow Semi Condensed" w:eastAsia="Barlow Semi Condensed" w:hAnsi="Barlow Semi Condensed"/>
          <w:b/>
          <w:bCs/>
          <w:sz w:val="24"/>
          <w:szCs w:val="24"/>
        </w:rPr>
        <w:t xml:space="preserve">1053.</w:t>
      </w:r>
      <w:r>
        <w:rPr>
          <w:rFonts w:ascii="Barlow Semi Condensed" w:cs="Barlow Semi Condensed" w:eastAsia="Barlow Semi Condensed" w:hAnsi="Barlow Semi Condensed"/>
          <w:sz w:val="24"/>
          <w:szCs w:val="24"/>
        </w:rPr>
        <w:t xml:space="preserve"> I </w:t>
      </w:r>
      <w:r>
        <w:rPr>
          <w:rFonts w:ascii="Barlow Semi Condensed" w:cs="Barlow Semi Condensed" w:eastAsia="Barlow Semi Condensed" w:hAnsi="Barlow Semi Condensed"/>
          <w:b/>
          <w:bCs/>
          <w:sz w:val="24"/>
          <w:szCs w:val="24"/>
        </w:rPr>
        <w:t xml:space="preserve">documenti desecretati</w:t>
      </w:r>
      <w:r>
        <w:rPr>
          <w:rFonts w:ascii="Barlow Semi Condensed" w:cs="Barlow Semi Condensed" w:eastAsia="Barlow Semi Condensed" w:hAnsi="Barlow Semi Condensed"/>
          <w:sz w:val="24"/>
          <w:szCs w:val="24"/>
        </w:rPr>
        <w:t xml:space="preserve"> (FRUS, CIA FOIA): attestano ciò che dicono, con protocollo; tetto B. </w:t>
      </w:r>
      <w:r>
        <w:rPr>
          <w:rFonts w:ascii="Barlow Semi Condensed" w:cs="Barlow Semi Condensed" w:eastAsia="Barlow Semi Condensed" w:hAnsi="Barlow Semi Condensed"/>
          <w:b/>
          <w:bCs/>
          <w:sz w:val="24"/>
          <w:szCs w:val="24"/>
        </w:rPr>
        <w:t xml:space="preserve">1054.</w:t>
      </w:r>
      <w:r>
        <w:rPr>
          <w:rFonts w:ascii="Barlow Semi Condensed" w:cs="Barlow Semi Condensed" w:eastAsia="Barlow Semi Condensed" w:hAnsi="Barlow Semi Condensed"/>
          <w:sz w:val="24"/>
          <w:szCs w:val="24"/>
        </w:rPr>
        <w:t xml:space="preserve"> Gli </w:t>
      </w:r>
      <w:r>
        <w:rPr>
          <w:rFonts w:ascii="Barlow Semi Condensed" w:cs="Barlow Semi Condensed" w:eastAsia="Barlow Semi Condensed" w:hAnsi="Barlow Semi Condensed"/>
          <w:b/>
          <w:bCs/>
          <w:sz w:val="24"/>
          <w:szCs w:val="24"/>
        </w:rPr>
        <w:t xml:space="preserve">atti normativi e comunitari</w:t>
      </w:r>
      <w:r>
        <w:rPr>
          <w:rFonts w:ascii="Barlow Semi Condensed" w:cs="Barlow Semi Condensed" w:eastAsia="Barlow Semi Condensed" w:hAnsi="Barlow Semi Condensed"/>
          <w:sz w:val="24"/>
          <w:szCs w:val="24"/>
        </w:rPr>
        <w:t xml:space="preserve"> (EUR-Lex, Gazzette): fanno fede del testo; tetto A/F. </w:t>
      </w:r>
      <w:r>
        <w:rPr>
          <w:rFonts w:ascii="Barlow Semi Condensed" w:cs="Barlow Semi Condensed" w:eastAsia="Barlow Semi Condensed" w:hAnsi="Barlow Semi Condensed"/>
          <w:b/>
          <w:bCs/>
          <w:sz w:val="24"/>
          <w:szCs w:val="24"/>
        </w:rPr>
        <w:t xml:space="preserve">1055.</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memorialistica</w:t>
      </w:r>
      <w:r>
        <w:rPr>
          <w:rFonts w:ascii="Barlow Semi Condensed" w:cs="Barlow Semi Condensed" w:eastAsia="Barlow Semi Condensed" w:hAnsi="Barlow Semi Condensed"/>
          <w:sz w:val="24"/>
          <w:szCs w:val="24"/>
        </w:rPr>
        <w:t xml:space="preserve"> (dei condannati, dei prosciolti, delle parti): fonte di parte; tetto C, salvo riscontri. </w:t>
      </w:r>
      <w:r>
        <w:rPr>
          <w:rFonts w:ascii="Barlow Semi Condensed" w:cs="Barlow Semi Condensed" w:eastAsia="Barlow Semi Condensed" w:hAnsi="Barlow Semi Condensed"/>
          <w:b/>
          <w:bCs/>
          <w:sz w:val="24"/>
          <w:szCs w:val="24"/>
        </w:rPr>
        <w:t xml:space="preserve">1056.</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pubblicistica</w:t>
      </w:r>
      <w:r>
        <w:rPr>
          <w:rFonts w:ascii="Barlow Semi Condensed" w:cs="Barlow Semi Condensed" w:eastAsia="Barlow Semi Condensed" w:hAnsi="Barlow Semi Condensed"/>
          <w:sz w:val="24"/>
          <w:szCs w:val="24"/>
        </w:rPr>
        <w:t xml:space="preserve">: indizio di piste, mai fonte di accertamento; tetto C.</w:t>
      </w:r>
    </w:p>
    <w:p>
      <w:pPr>
        <w:pStyle w:val="Heading2"/>
        <w:spacing w:after="100" w:before="200"/>
      </w:pPr>
      <w:r>
        <w:rPr>
          <w:rFonts w:ascii="Barlow Semi Condensed" w:cs="Barlow Semi Condensed" w:eastAsia="Barlow Semi Condensed" w:hAnsi="Barlow Semi Condensed"/>
          <w:sz w:val="24"/>
          <w:szCs w:val="24"/>
        </w:rPr>
        <w:t xml:space="preserve">Serie ottava — Tavola di corrispondenza col Dossier maggiore (blocchi 1301-1305)</w:t>
      </w:r>
    </w:p>
    <w:p>
      <w:pPr>
        <w:spacing w:after="120" w:line="276"/>
        <w:jc w:val="both"/>
      </w:pPr>
      <w:r>
        <w:rPr>
          <w:rFonts w:ascii="Barlow Semi Condensed" w:cs="Barlow Semi Condensed" w:eastAsia="Barlow Semi Condensed" w:hAnsi="Barlow Semi Condensed"/>
          <w:b/>
          <w:bCs/>
          <w:sz w:val="24"/>
          <w:szCs w:val="24"/>
        </w:rPr>
        <w:t xml:space="preserve">1301.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Fasi prima-quarta del Dossier</w:t>
      </w:r>
      <w:r>
        <w:rPr>
          <w:rFonts w:ascii="Barlow Semi Condensed" w:cs="Barlow Semi Condensed" w:eastAsia="Barlow Semi Condensed" w:hAnsi="Barlow Semi Condensed"/>
          <w:sz w:val="24"/>
          <w:szCs w:val="24"/>
        </w:rPr>
        <w:t xml:space="preserve"> ↔ integralmente coperte dal corpus pubblico, coi documenti dichiarati capitolo per capitolo in questa edizione. </w:t>
      </w:r>
      <w:r>
        <w:rPr>
          <w:rFonts w:ascii="Barlow Semi Condensed" w:cs="Barlow Semi Condensed" w:eastAsia="Barlow Semi Condensed" w:hAnsi="Barlow Semi Condensed"/>
          <w:b/>
          <w:bCs/>
          <w:sz w:val="24"/>
          <w:szCs w:val="24"/>
        </w:rPr>
        <w:t xml:space="preserve">1302.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Capitolo quarantaquattresimo del Dossier (esecutori)</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fase-decima</w:t>
      </w:r>
      <w:r>
        <w:rPr>
          <w:rFonts w:ascii="Barlow Semi Condensed" w:cs="Barlow Semi Condensed" w:eastAsia="Barlow Semi Condensed" w:hAnsi="Barlow Semi Condensed"/>
          <w:sz w:val="24"/>
          <w:szCs w:val="24"/>
        </w:rPr>
        <w:t xml:space="preserve"> (registro personalistico): coperto e </w:t>
      </w:r>
      <w:r>
        <w:rPr>
          <w:rFonts w:ascii="Barlow Semi Condensed" w:cs="Barlow Semi Condensed" w:eastAsia="Barlow Semi Condensed" w:hAnsi="Barlow Semi Condensed"/>
          <w:b/>
          <w:bCs/>
          <w:sz w:val="24"/>
          <w:szCs w:val="24"/>
        </w:rPr>
        <w:t xml:space="preserve">rafforzato</w:t>
      </w:r>
      <w:r>
        <w:rPr>
          <w:rFonts w:ascii="Barlow Semi Condensed" w:cs="Barlow Semi Condensed" w:eastAsia="Barlow Semi Condensed" w:hAnsi="Barlow Semi Condensed"/>
          <w:sz w:val="24"/>
          <w:szCs w:val="24"/>
        </w:rPr>
        <w:t xml:space="preserve"> dal vaglio nominativo del giudicato. </w:t>
      </w:r>
      <w:r>
        <w:rPr>
          <w:rFonts w:ascii="Barlow Semi Condensed" w:cs="Barlow Semi Condensed" w:eastAsia="Barlow Semi Condensed" w:hAnsi="Barlow Semi Condensed"/>
          <w:b/>
          <w:bCs/>
          <w:sz w:val="24"/>
          <w:szCs w:val="24"/>
        </w:rPr>
        <w:t xml:space="preserve">1303.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Capitoli quarantacinquesimo-quarantanovesimo (mandanti, architetti, graduatoria probabilistica)</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non riprodotti</w:t>
      </w:r>
      <w:r>
        <w:rPr>
          <w:rFonts w:ascii="Barlow Semi Condensed" w:cs="Barlow Semi Condensed" w:eastAsia="Barlow Semi Condensed" w:hAnsi="Barlow Semi Condensed"/>
          <w:sz w:val="24"/>
          <w:szCs w:val="24"/>
        </w:rPr>
        <w:t xml:space="preserve"> sul branch pubblico, per statuto; il loro stato probatorio è censito al capitolo XXIX di questa edizione. </w:t>
      </w:r>
      <w:r>
        <w:rPr>
          <w:rFonts w:ascii="Barlow Semi Condensed" w:cs="Barlow Semi Condensed" w:eastAsia="Barlow Semi Condensed" w:hAnsi="Barlow Semi Condensed"/>
          <w:b/>
          <w:bCs/>
          <w:sz w:val="24"/>
          <w:szCs w:val="24"/>
        </w:rPr>
        <w:t xml:space="preserve">1304.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 blocchi mirati del Dossier (3.211)</w:t>
      </w:r>
      <w:r>
        <w:rPr>
          <w:rFonts w:ascii="Barlow Semi Condensed" w:cs="Barlow Semi Condensed" w:eastAsia="Barlow Semi Condensed" w:hAnsi="Barlow Semi Condensed"/>
          <w:sz w:val="24"/>
          <w:szCs w:val="24"/>
        </w:rPr>
        <w:t xml:space="preserve"> ↔ qui rappresentati da serie ridotte e dichiarate: l'edizione pubblica non simula la densità del maggiore, la indica. </w:t>
      </w:r>
      <w:r>
        <w:rPr>
          <w:rFonts w:ascii="Barlow Semi Condensed" w:cs="Barlow Semi Condensed" w:eastAsia="Barlow Semi Condensed" w:hAnsi="Barlow Semi Condensed"/>
          <w:b/>
          <w:bCs/>
          <w:sz w:val="24"/>
          <w:szCs w:val="24"/>
        </w:rPr>
        <w:t xml:space="preserve">1305.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 bibliografia in sei sezioni</w:t>
      </w:r>
      <w:r>
        <w:rPr>
          <w:rFonts w:ascii="Barlow Semi Condensed" w:cs="Barlow Semi Condensed" w:eastAsia="Barlow Semi Condensed" w:hAnsi="Barlow Semi Condensed"/>
          <w:sz w:val="24"/>
          <w:szCs w:val="24"/>
        </w:rPr>
        <w:t xml:space="preserve"> ↔ ricostruita qui sotto con le fonti effettivamente usate dal branch. </w:t>
      </w:r>
      <w:r>
        <w:rPr>
          <w:rFonts w:ascii="Barlow Semi Condensed" w:cs="Barlow Semi Condensed" w:eastAsia="Barlow Semi Condensed" w:hAnsi="Barlow Semi Condensed"/>
          <w:b/>
          <w:bCs/>
          <w:sz w:val="24"/>
          <w:szCs w:val="24"/>
        </w:rPr>
        <w:t xml:space="preserve">1306.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Capitoli propri dell'edizione pubblica, senza corrispettivo nel Dossier maggiore</w:t>
      </w:r>
      <w:r>
        <w:rPr>
          <w:rFonts w:ascii="Barlow Semi Condensed" w:cs="Barlow Semi Condensed" w:eastAsia="Barlow Semi Condensed" w:hAnsi="Barlow Semi Condensed"/>
          <w:sz w:val="24"/>
          <w:szCs w:val="24"/>
        </w:rPr>
        <w:t xml:space="preserve"> ↔ il Capitolo II-bis (le metodologie calcolate sul corpus) e il Capitolo XXX (le pene oltre confine): sono le due aggiunte che il lavoro del branch ha prodotto oltre l'architettura ricevuta, e si dichiarano come tali.</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Bibliografia del branch, in sei sezioni</w:t>
      </w:r>
    </w:p>
    <w:p>
      <w:pPr>
        <w:spacing w:after="120" w:line="276"/>
        <w:jc w:val="both"/>
      </w:pPr>
      <w:r>
        <w:rPr>
          <w:rFonts w:ascii="Barlow Semi Condensed" w:cs="Barlow Semi Condensed" w:eastAsia="Barlow Semi Condensed" w:hAnsi="Barlow Semi Condensed"/>
          <w:b/>
          <w:bCs/>
          <w:sz w:val="24"/>
          <w:szCs w:val="24"/>
        </w:rPr>
        <w:t xml:space="preserve">I. Archivi e fondi documentali.</w:t>
      </w:r>
      <w:r>
        <w:rPr>
          <w:rFonts w:ascii="Barlow Semi Condensed" w:cs="Barlow Semi Condensed" w:eastAsia="Barlow Semi Condensed" w:hAnsi="Barlow Semi Condensed"/>
          <w:sz w:val="24"/>
          <w:szCs w:val="24"/>
        </w:rPr>
        <w:t xml:space="preserve"> Edizione digitale delle carte Moro (aldomorodigitale.unibo.it); Archivio Storico Diplomatico del MAECI (serie censite nella cartella Farnesina); Archivio storico del Senato; EUR-Lex e Gazzette ufficiali; history.state.gov (FRUS); CIA FOIA Electronic Reading Room.</w:t>
      </w:r>
    </w:p>
    <w:p>
      <w:pPr>
        <w:spacing w:after="120" w:line="276"/>
        <w:jc w:val="both"/>
      </w:pPr>
      <w:r>
        <w:rPr>
          <w:rFonts w:ascii="Barlow Semi Condensed" w:cs="Barlow Semi Condensed" w:eastAsia="Barlow Semi Condensed" w:hAnsi="Barlow Semi Condensed"/>
          <w:b/>
          <w:bCs/>
          <w:sz w:val="24"/>
          <w:szCs w:val="24"/>
        </w:rPr>
        <w:t xml:space="preserve">II. Atti parlamentari e Commissioni.</w:t>
      </w:r>
      <w:r>
        <w:rPr>
          <w:rFonts w:ascii="Barlow Semi Condensed" w:cs="Barlow Semi Condensed" w:eastAsia="Barlow Semi Condensed" w:hAnsi="Barlow Semi Condensed"/>
          <w:sz w:val="24"/>
          <w:szCs w:val="24"/>
        </w:rPr>
        <w:t xml:space="preserve"> Relazione finale della Commissione Moro 2 (Doc. XXIII n. 29, 6 dicembre 2017) e stenografici delle audizioni (Berio, 28 ottobre 2015); atti della prima Commissione Moro e della Commissione Stragi; relazione di minoranza della Commissione Mitrokhin (2006).</w:t>
      </w:r>
    </w:p>
    <w:p>
      <w:pPr>
        <w:spacing w:after="120" w:line="276"/>
        <w:jc w:val="both"/>
      </w:pPr>
      <w:r>
        <w:rPr>
          <w:rFonts w:ascii="Barlow Semi Condensed" w:cs="Barlow Semi Condensed" w:eastAsia="Barlow Semi Condensed" w:hAnsi="Barlow Semi Condensed"/>
          <w:b/>
          <w:bCs/>
          <w:sz w:val="24"/>
          <w:szCs w:val="24"/>
        </w:rPr>
        <w:t xml:space="preserve">III. Scritti e testimonianze di e su Aldo Moro.</w:t>
      </w:r>
      <w:r>
        <w:rPr>
          <w:rFonts w:ascii="Barlow Semi Condensed" w:cs="Barlow Semi Condensed" w:eastAsia="Barlow Semi Condensed" w:hAnsi="Barlow Semi Condensed"/>
          <w:sz w:val="24"/>
          <w:szCs w:val="24"/>
        </w:rPr>
        <w:t xml:space="preserve"> Gli scritti pubblici di Moro citati nel ritratto (Fase ottava); la scheda ministeriale (esteri.it); Formigoni, introduzione all'edizione digitale; Imperato-Milano-Monzali (a cura di), </w:t>
      </w:r>
      <w:r>
        <w:rPr>
          <w:rFonts w:ascii="Barlow Semi Condensed" w:cs="Barlow Semi Condensed" w:eastAsia="Barlow Semi Condensed" w:hAnsi="Barlow Semi Condensed"/>
          <w:i/>
          <w:iCs/>
          <w:sz w:val="24"/>
          <w:szCs w:val="24"/>
        </w:rPr>
        <w:t xml:space="preserve">Fra diplomazia e petrolio. Aldo Moro e la politica italiana in Medio Oriente (1963-1978)</w:t>
      </w:r>
      <w:r>
        <w:rPr>
          <w:rFonts w:ascii="Barlow Semi Condensed" w:cs="Barlow Semi Condensed" w:eastAsia="Barlow Semi Condensed" w:hAnsi="Barlow Semi Condensed"/>
          <w:sz w:val="24"/>
          <w:szCs w:val="24"/>
        </w:rPr>
        <w:t xml:space="preserve">, Cacucci, 2018.</w:t>
      </w:r>
    </w:p>
    <w:p>
      <w:pPr>
        <w:spacing w:after="120" w:line="276"/>
        <w:jc w:val="both"/>
      </w:pPr>
      <w:r>
        <w:rPr>
          <w:rFonts w:ascii="Barlow Semi Condensed" w:cs="Barlow Semi Condensed" w:eastAsia="Barlow Semi Condensed" w:hAnsi="Barlow Semi Condensed"/>
          <w:b/>
          <w:bCs/>
          <w:sz w:val="24"/>
          <w:szCs w:val="24"/>
        </w:rPr>
        <w:t xml:space="preserve">IV. Il sequestro, la prigionia e le indagini.</w:t>
      </w:r>
      <w:r>
        <w:rPr>
          <w:rFonts w:ascii="Barlow Semi Condensed" w:cs="Barlow Semi Condensed" w:eastAsia="Barlow Semi Condensed" w:hAnsi="Barlow Semi Condensed"/>
          <w:sz w:val="24"/>
          <w:szCs w:val="24"/>
        </w:rPr>
        <w:t xml:space="preserve"> Le sentenze dei cinque processi Moro nell'analisi di Questione Giustizia (parti prima e seconda); Ministero dell'Interno (le vittime di via Fani); Braghetti-Tavella, </w:t>
      </w:r>
      <w:r>
        <w:rPr>
          <w:rFonts w:ascii="Barlow Semi Condensed" w:cs="Barlow Semi Condensed" w:eastAsia="Barlow Semi Condensed" w:hAnsi="Barlow Semi Condensed"/>
          <w:i/>
          <w:iCs/>
          <w:sz w:val="24"/>
          <w:szCs w:val="24"/>
        </w:rPr>
        <w:t xml:space="preserve">Il prigioniero</w:t>
      </w:r>
      <w:r>
        <w:rPr>
          <w:rFonts w:ascii="Barlow Semi Condensed" w:cs="Barlow Semi Condensed" w:eastAsia="Barlow Semi Condensed" w:hAnsi="Barlow Semi Condensed"/>
          <w:sz w:val="24"/>
          <w:szCs w:val="24"/>
        </w:rPr>
        <w:t xml:space="preserve">, Feltrinelli, 1998 (memorialistica, C); il Memoriale Morucci quale accertato dalla Moro 2 (testo negoziato, B).</w:t>
      </w:r>
    </w:p>
    <w:p>
      <w:pPr>
        <w:spacing w:after="120" w:line="276"/>
        <w:jc w:val="both"/>
      </w:pPr>
      <w:r>
        <w:rPr>
          <w:rFonts w:ascii="Barlow Semi Condensed" w:cs="Barlow Semi Condensed" w:eastAsia="Barlow Semi Condensed" w:hAnsi="Barlow Semi Condensed"/>
          <w:b/>
          <w:bCs/>
          <w:sz w:val="24"/>
          <w:szCs w:val="24"/>
        </w:rPr>
        <w:t xml:space="preserve">V. Metodologia.</w:t>
      </w:r>
      <w:r>
        <w:rPr>
          <w:rFonts w:ascii="Barlow Semi Condensed" w:cs="Barlow Semi Condensed" w:eastAsia="Barlow Semi Condensed" w:hAnsi="Barlow Semi Condensed"/>
          <w:sz w:val="24"/>
          <w:szCs w:val="24"/>
        </w:rPr>
        <w:t xml:space="preserve"> Popper, </w:t>
      </w:r>
      <w:r>
        <w:rPr>
          <w:rFonts w:ascii="Barlow Semi Condensed" w:cs="Barlow Semi Condensed" w:eastAsia="Barlow Semi Condensed" w:hAnsi="Barlow Semi Condensed"/>
          <w:i/>
          <w:iCs/>
          <w:sz w:val="24"/>
          <w:szCs w:val="24"/>
        </w:rPr>
        <w:t xml:space="preserve">Logik der Forschung</w:t>
      </w:r>
      <w:r>
        <w:rPr>
          <w:rFonts w:ascii="Barlow Semi Condensed" w:cs="Barlow Semi Condensed" w:eastAsia="Barlow Semi Condensed" w:hAnsi="Barlow Semi Condensed"/>
          <w:sz w:val="24"/>
          <w:szCs w:val="24"/>
        </w:rPr>
        <w:t xml:space="preserve"> (1934); Ginzburg, «Spie: radici di un paradigma indiziario» (1986); Heuer, </w:t>
      </w:r>
      <w:r>
        <w:rPr>
          <w:rFonts w:ascii="Barlow Semi Condensed" w:cs="Barlow Semi Condensed" w:eastAsia="Barlow Semi Condensed" w:hAnsi="Barlow Semi Condensed"/>
          <w:i/>
          <w:iCs/>
          <w:sz w:val="24"/>
          <w:szCs w:val="24"/>
        </w:rPr>
        <w:t xml:space="preserve">Psychology of Intelligence Analysis</w:t>
      </w:r>
      <w:r>
        <w:rPr>
          <w:rFonts w:ascii="Barlow Semi Condensed" w:cs="Barlow Semi Condensed" w:eastAsia="Barlow Semi Condensed" w:hAnsi="Barlow Semi Condensed"/>
          <w:sz w:val="24"/>
          <w:szCs w:val="24"/>
        </w:rPr>
        <w:t xml:space="preserve"> (CIA, 1999) — la triade metodologica condivisa col Dossier maggiore.</w:t>
      </w:r>
    </w:p>
    <w:p>
      <w:pPr>
        <w:spacing w:after="120" w:line="276"/>
        <w:jc w:val="both"/>
      </w:pPr>
      <w:r>
        <w:rPr>
          <w:rFonts w:ascii="Barlow Semi Condensed" w:cs="Barlow Semi Condensed" w:eastAsia="Barlow Semi Condensed" w:hAnsi="Barlow Semi Condensed"/>
          <w:b/>
          <w:bCs/>
          <w:sz w:val="24"/>
          <w:szCs w:val="24"/>
        </w:rPr>
        <w:t xml:space="preserve">VI. Contesto: intelligence, eversione e reti.</w:t>
      </w:r>
      <w:r>
        <w:rPr>
          <w:rFonts w:ascii="Barlow Semi Condensed" w:cs="Barlow Semi Condensed" w:eastAsia="Barlow Semi Condensed" w:hAnsi="Barlow Semi Condensed"/>
          <w:sz w:val="24"/>
          <w:szCs w:val="24"/>
        </w:rPr>
        <w:t xml:space="preserve"> I documenti FRUS citati nelle ricognizioni della cartella Farnesina; gli atti su Hyperion censiti in HY-1…HY-9; la storiografia sul ceppo milanese richiamata negli studi Feltrinelli, Hyperion e Simioni — tutte le voci con indirizzo nei rispettivi documenti.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Edizione strutturata del corpus pubblico secondo l'architettura del Dossier «Aldo Moro — Tutta la verità» (cinque Fasi, capitoli, blocchi mirati in serie con statuto, griglia a cinque voci, bibliografia in sei sezioni). La divergenza sulla Fase quinta è dichiarata in testa e ribadita in corpo: il branch pubblico si ferma al giudicato, non riproduce la graduatoria probabilistica né i nomi oltre le sentenze, e rinvia per tutto il resto ai documenti del corpus, ciascuno con le proprie fonti e i propri gradi. Il Dossier maggiore caricato dall'autore non è archiviato su questo branch, perché contiene la parte che il versante pubblico per statuto non pubblica.</w:t>
      </w:r>
    </w:p>
    <w:p>
      <w:pPr>
        <w:pStyle w:val="Heading3"/>
        <w:spacing w:after="80" w:before="240"/>
      </w:pPr>
      <w:r>
        <w:rPr>
          <w:rFonts w:ascii="Barlow Semi Condensed" w:cs="Barlow Semi Condensed" w:eastAsia="Barlow Semi Condensed" w:hAnsi="Barlow Semi Condensed"/>
          <w:sz w:val="24"/>
          <w:szCs w:val="24"/>
        </w:rPr>
        <w:t xml:space="preserve">Apparato grafico — Portale · L'edizione strutturata: la mappa dell'opera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Portale: 4.031 parole in 4 sezioni; la più ampia è §1 Una guerra senza fine, con 3.299.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Portale: 71 paragrafi in 4 sezioni, 18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cinque opere a blocchi (il programma ne è il telaio): 3.700 blocchi mirati coordinati.</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primo — Il ritratto: l'uomo prima del caso</w:t>
      </w:r>
    </w:p>
    <w:p>
      <w:pPr>
        <w:pStyle w:val="Heading2"/>
        <w:spacing w:after="100" w:before="200"/>
      </w:pPr>
      <w:r>
        <w:rPr>
          <w:rFonts w:ascii="Barlow Semi Condensed" w:cs="Barlow Semi Condensed" w:eastAsia="Barlow Semi Condensed" w:hAnsi="Barlow Semi Condensed"/>
          <w:sz w:val="24"/>
          <w:szCs w:val="24"/>
        </w:rPr>
        <w:t xml:space="preserve">Fase ottava — Il ritratto: l'uomo prima del caso</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62-67</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ragione della Fase ottava.</w:t>
      </w:r>
      <w:r>
        <w:rPr>
          <w:rFonts w:ascii="Barlow Semi Condensed" w:cs="Barlow Semi Condensed" w:eastAsia="Barlow Semi Condensed" w:hAnsi="Barlow Semi Condensed"/>
          <w:i w:val="false"/>
          <w:iCs w:val="false"/>
          <w:sz w:val="24"/>
          <w:szCs w:val="24"/>
        </w:rPr>
        <w:t xml:space="preserve"> L'opera ha rischiato, come rischia sempre chi studia il caso Moro, di </w:t>
      </w:r>
      <w:r>
        <w:rPr>
          <w:rFonts w:ascii="Barlow Semi Condensed" w:cs="Barlow Semi Condensed" w:eastAsia="Barlow Semi Condensed" w:hAnsi="Barlow Semi Condensed"/>
          <w:b/>
          <w:bCs/>
          <w:i w:val="false"/>
          <w:iCs w:val="false"/>
          <w:sz w:val="24"/>
          <w:szCs w:val="24"/>
        </w:rPr>
        <w:t xml:space="preserve">perdere Moro</w:t>
      </w:r>
      <w:r>
        <w:rPr>
          <w:rFonts w:ascii="Barlow Semi Condensed" w:cs="Barlow Semi Condensed" w:eastAsia="Barlow Semi Condensed" w:hAnsi="Barlow Semi Condensed"/>
          <w:i w:val="false"/>
          <w:iCs w:val="false"/>
          <w:sz w:val="24"/>
          <w:szCs w:val="24"/>
        </w:rPr>
        <w:t xml:space="preserve">. A furia di seguire i fili — le Brigate Rosse, il quadro internazionale, i processi, gli apparati — l'uomo che di tutto questo è il centro finisce per diventare un pretesto, una casella vuota attorno a cui ruota la macchina del sospetto. Questa Fase corregge la rotta e rimette Aldo Moro </w:t>
      </w:r>
      <w:r>
        <w:rPr>
          <w:rFonts w:ascii="Barlow Semi Condensed" w:cs="Barlow Semi Condensed" w:eastAsia="Barlow Semi Condensed" w:hAnsi="Barlow Semi Condensed"/>
          <w:b/>
          <w:bCs/>
          <w:i w:val="false"/>
          <w:iCs w:val="false"/>
          <w:sz w:val="24"/>
          <w:szCs w:val="24"/>
        </w:rPr>
        <w:t xml:space="preserve">al principio</w:t>
      </w:r>
      <w:r>
        <w:rPr>
          <w:rFonts w:ascii="Barlow Semi Condensed" w:cs="Barlow Semi Condensed" w:eastAsia="Barlow Semi Condensed" w:hAnsi="Barlow Semi Condensed"/>
          <w:i w:val="false"/>
          <w:iCs w:val="false"/>
          <w:sz w:val="24"/>
          <w:szCs w:val="24"/>
        </w:rPr>
        <w:t xml:space="preserve">: non la vittima di un sequestro, non l'oggetto di un'inchiesta, ma </w:t>
      </w:r>
      <w:r>
        <w:rPr>
          <w:rFonts w:ascii="Barlow Semi Condensed" w:cs="Barlow Semi Condensed" w:eastAsia="Barlow Semi Condensed" w:hAnsi="Barlow Semi Condensed"/>
          <w:b/>
          <w:bCs/>
          <w:i w:val="false"/>
          <w:iCs w:val="false"/>
          <w:sz w:val="24"/>
          <w:szCs w:val="24"/>
        </w:rPr>
        <w:t xml:space="preserve">l'uomo, il giurista, lo statista, il pensatore politico</w:t>
      </w:r>
      <w:r>
        <w:rPr>
          <w:rFonts w:ascii="Barlow Semi Condensed" w:cs="Barlow Semi Condensed" w:eastAsia="Barlow Semi Condensed" w:hAnsi="Barlow Semi Condensed"/>
          <w:i w:val="false"/>
          <w:iCs w:val="false"/>
          <w:sz w:val="24"/>
          <w:szCs w:val="24"/>
        </w:rPr>
        <w:t xml:space="preserve"> che fu prima di essere un caso. Perché il senso della sua morte non si capisce se non si capisce la sua vita; e la sua vita non fu il preludio alla prigionia di via Montalcini, ma </w:t>
      </w:r>
      <w:r>
        <w:rPr>
          <w:rFonts w:ascii="Barlow Semi Condensed" w:cs="Barlow Semi Condensed" w:eastAsia="Barlow Semi Condensed" w:hAnsi="Barlow Semi Condensed"/>
          <w:b/>
          <w:bCs/>
          <w:i w:val="false"/>
          <w:iCs w:val="false"/>
          <w:sz w:val="24"/>
          <w:szCs w:val="24"/>
        </w:rPr>
        <w:t xml:space="preserve">un'opera compiuta di intelligenza politica</w:t>
      </w:r>
      <w:r>
        <w:rPr>
          <w:rFonts w:ascii="Barlow Semi Condensed" w:cs="Barlow Semi Condensed" w:eastAsia="Barlow Semi Condensed" w:hAnsi="Barlow Semi Condensed"/>
          <w:i w:val="false"/>
          <w:iCs w:val="false"/>
          <w:sz w:val="24"/>
          <w:szCs w:val="24"/>
        </w:rPr>
        <w:t xml:space="preserve">, di cui la prigionia fu l'interruzione violenta, non il compimento.  Vale qui la disciplina di tutta l'opera, con un'avvertenza in più. Si riportano i </w:t>
      </w:r>
      <w:r>
        <w:rPr>
          <w:rFonts w:ascii="Barlow Semi Condensed" w:cs="Barlow Semi Condensed" w:eastAsia="Barlow Semi Condensed" w:hAnsi="Barlow Semi Condensed"/>
          <w:b/>
          <w:bCs/>
          <w:i w:val="false"/>
          <w:iCs w:val="false"/>
          <w:sz w:val="24"/>
          <w:szCs w:val="24"/>
        </w:rPr>
        <w:t xml:space="preserve">fatti documentati</w:t>
      </w:r>
      <w:r>
        <w:rPr>
          <w:rFonts w:ascii="Barlow Semi Condensed" w:cs="Barlow Semi Condensed" w:eastAsia="Barlow Semi Condensed" w:hAnsi="Barlow Semi Condensed"/>
          <w:i w:val="false"/>
          <w:iCs w:val="false"/>
          <w:sz w:val="24"/>
          <w:szCs w:val="24"/>
        </w:rPr>
        <w:t xml:space="preserve"> della biografia e le </w:t>
      </w:r>
      <w:r>
        <w:rPr>
          <w:rFonts w:ascii="Barlow Semi Condensed" w:cs="Barlow Semi Condensed" w:eastAsia="Barlow Semi Condensed" w:hAnsi="Barlow Semi Condensed"/>
          <w:b/>
          <w:bCs/>
          <w:i w:val="false"/>
          <w:iCs w:val="false"/>
          <w:sz w:val="24"/>
          <w:szCs w:val="24"/>
        </w:rPr>
        <w:t xml:space="preserve">idee</w:t>
      </w:r>
      <w:r>
        <w:rPr>
          <w:rFonts w:ascii="Barlow Semi Condensed" w:cs="Barlow Semi Condensed" w:eastAsia="Barlow Semi Condensed" w:hAnsi="Barlow Semi Condensed"/>
          <w:i w:val="false"/>
          <w:iCs w:val="false"/>
          <w:sz w:val="24"/>
          <w:szCs w:val="24"/>
        </w:rPr>
        <w:t xml:space="preserve"> che Moro espresse in scritti e discorsi pubblici, citati come tali; non gli si attribuiscono parole che non disse. Dove l'opera, altrove, ha usato il pastiche dichiarato, qui non ce n'è: questa è </w:t>
      </w:r>
      <w:r>
        <w:rPr>
          <w:rFonts w:ascii="Barlow Semi Condensed" w:cs="Barlow Semi Condensed" w:eastAsia="Barlow Semi Condensed" w:hAnsi="Barlow Semi Condensed"/>
          <w:b/>
          <w:bCs/>
          <w:i w:val="false"/>
          <w:iCs w:val="false"/>
          <w:sz w:val="24"/>
          <w:szCs w:val="24"/>
        </w:rPr>
        <w:t xml:space="preserve">prosa piana su un uomo reale</w:t>
      </w:r>
      <w:r>
        <w:rPr>
          <w:rFonts w:ascii="Barlow Semi Condensed" w:cs="Barlow Semi Condensed" w:eastAsia="Barlow Semi Condensed" w:hAnsi="Barlow Semi Condensed"/>
          <w:i w:val="false"/>
          <w:iCs w:val="false"/>
          <w:sz w:val="24"/>
          <w:szCs w:val="24"/>
        </w:rPr>
        <w:t xml:space="preserve">, e l'unico omaggio che gli si deve è l'esattezza.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sessantaduesimo — Maglie, la fede, il diritto: la formazione di un'intelligenza</w:t>
      </w:r>
    </w:p>
    <w:p>
      <w:pPr>
        <w:spacing w:after="120" w:line="276"/>
        <w:jc w:val="both"/>
      </w:pPr>
      <w:r>
        <w:rPr>
          <w:rFonts w:ascii="Barlow Semi Condensed" w:cs="Barlow Semi Condensed" w:eastAsia="Barlow Semi Condensed" w:hAnsi="Barlow Semi Condensed"/>
          <w:sz w:val="24"/>
          <w:szCs w:val="24"/>
        </w:rPr>
        <w:t xml:space="preserve">Aldo Moro nacque a </w:t>
      </w:r>
      <w:r>
        <w:rPr>
          <w:rFonts w:ascii="Barlow Semi Condensed" w:cs="Barlow Semi Condensed" w:eastAsia="Barlow Semi Condensed" w:hAnsi="Barlow Semi Condensed"/>
          <w:b/>
          <w:bCs/>
          <w:sz w:val="24"/>
          <w:szCs w:val="24"/>
        </w:rPr>
        <w:t xml:space="preserve">Maglie, in provincia di Lecce, il 23 settembre 1916</w:t>
      </w:r>
      <w:r>
        <w:rPr>
          <w:rFonts w:ascii="Barlow Semi Condensed" w:cs="Barlow Semi Condensed" w:eastAsia="Barlow Semi Condensed" w:hAnsi="Barlow Semi Condensed"/>
          <w:sz w:val="24"/>
          <w:szCs w:val="24"/>
        </w:rPr>
        <w:t xml:space="preserve">, in quel Salento che gli restò dentro come misura delle cose — la lentezza, la pazienza, il senso antico della mediazione fra opposti. La famiglia era cattolica e di funzionari della scuola; l'educazione, rigorosa e religiosa. Fu </w:t>
      </w:r>
      <w:r>
        <w:rPr>
          <w:rFonts w:ascii="Barlow Semi Condensed" w:cs="Barlow Semi Condensed" w:eastAsia="Barlow Semi Condensed" w:hAnsi="Barlow Semi Condensed"/>
          <w:b/>
          <w:bCs/>
          <w:sz w:val="24"/>
          <w:szCs w:val="24"/>
        </w:rPr>
        <w:t xml:space="preserve">presidente della FUCI</w:t>
      </w:r>
      <w:r>
        <w:rPr>
          <w:rFonts w:ascii="Barlow Semi Condensed" w:cs="Barlow Semi Condensed" w:eastAsia="Barlow Semi Condensed" w:hAnsi="Barlow Semi Condensed"/>
          <w:sz w:val="24"/>
          <w:szCs w:val="24"/>
        </w:rPr>
        <w:t xml:space="preserve">, la Federazione Universitaria Cattolica Italiana, dal 1939 al 1943, e poi del Movimento dei Laureati Cattolici (1945-46): in quegli anni, sotto la guida spirituale di Giovanni Battista Montini — il futuro Paolo VI, che nel 1978 avrebbe scritto la lettera «agli uomini delle Brigate Rosse» —, Moro formò la propria idea dell'impegno del cattolico nella cosa pubblica: non come conquista, ma come </w:t>
      </w:r>
      <w:r>
        <w:rPr>
          <w:rFonts w:ascii="Barlow Semi Condensed" w:cs="Barlow Semi Condensed" w:eastAsia="Barlow Semi Condensed" w:hAnsi="Barlow Semi Condensed"/>
          <w:b/>
          <w:bCs/>
          <w:sz w:val="24"/>
          <w:szCs w:val="24"/>
        </w:rPr>
        <w:t xml:space="preserve">servizio e presenza</w:t>
      </w:r>
      <w:r>
        <w:rPr>
          <w:rFonts w:ascii="Barlow Semi Condensed" w:cs="Barlow Semi Condensed" w:eastAsia="Barlow Semi Condensed" w:hAnsi="Barlow Semi Condensed"/>
          <w:sz w:val="24"/>
          <w:szCs w:val="24"/>
        </w:rPr>
        <w:t xml:space="preserve"> (Treccani, «Aldo Moro» (https://www.treccani.it/enciclopedia/aldo-moro/)).</w:t>
      </w:r>
    </w:p>
    <w:p>
      <w:pPr>
        <w:spacing w:after="120" w:line="276"/>
        <w:jc w:val="both"/>
      </w:pPr>
      <w:r>
        <w:rPr>
          <w:rFonts w:ascii="Barlow Semi Condensed" w:cs="Barlow Semi Condensed" w:eastAsia="Barlow Semi Condensed" w:hAnsi="Barlow Semi Condensed"/>
          <w:sz w:val="24"/>
          <w:szCs w:val="24"/>
        </w:rPr>
        <w:t xml:space="preserve">Dal 1948 fu </w:t>
      </w:r>
      <w:r>
        <w:rPr>
          <w:rFonts w:ascii="Barlow Semi Condensed" w:cs="Barlow Semi Condensed" w:eastAsia="Barlow Semi Condensed" w:hAnsi="Barlow Semi Condensed"/>
          <w:b/>
          <w:bCs/>
          <w:sz w:val="24"/>
          <w:szCs w:val="24"/>
        </w:rPr>
        <w:t xml:space="preserve">professore di diritto penale all'Università di Bari</w:t>
      </w:r>
      <w:r>
        <w:rPr>
          <w:rFonts w:ascii="Barlow Semi Condensed" w:cs="Barlow Semi Condensed" w:eastAsia="Barlow Semi Condensed" w:hAnsi="Barlow Semi Condensed"/>
          <w:sz w:val="24"/>
          <w:szCs w:val="24"/>
        </w:rPr>
        <w:t xml:space="preserve"> — cattedra che non lasciò mai, nemmeno da uomo di governo, e a cui teneva più che a molte cariche. Non è dettaglio secondario: Moro fu, prima e sotto tutto, un </w:t>
      </w:r>
      <w:r>
        <w:rPr>
          <w:rFonts w:ascii="Barlow Semi Condensed" w:cs="Barlow Semi Condensed" w:eastAsia="Barlow Semi Condensed" w:hAnsi="Barlow Semi Condensed"/>
          <w:b/>
          <w:bCs/>
          <w:sz w:val="24"/>
          <w:szCs w:val="24"/>
        </w:rPr>
        <w:t xml:space="preserve">giurista</w:t>
      </w:r>
      <w:r>
        <w:rPr>
          <w:rFonts w:ascii="Barlow Semi Condensed" w:cs="Barlow Semi Condensed" w:eastAsia="Barlow Semi Condensed" w:hAnsi="Barlow Semi Condensed"/>
          <w:sz w:val="24"/>
          <w:szCs w:val="24"/>
        </w:rPr>
        <w:t xml:space="preserve">, un uomo per cui la prova, il procedimento, la garanzia non erano tecnicismi ma la sostanza stessa della civiltà. Chi ha letto le sue lettere dalla prigionia riconosce, sotto l'angoscia, la mente del penalista: la richiesta ostinata che si distingua, che si provi, che non si condanni sul sospetto. </w:t>
      </w:r>
      <w:r>
        <w:rPr>
          <w:rFonts w:ascii="Barlow Semi Condensed" w:cs="Barlow Semi Condensed" w:eastAsia="Barlow Semi Condensed" w:hAnsi="Barlow Semi Condensed"/>
          <w:b/>
          <w:bCs/>
          <w:sz w:val="24"/>
          <w:szCs w:val="24"/>
        </w:rPr>
        <w:t xml:space="preserve">Il modo in cui questo corpus lavora — i gradi di prova, il divieto di imputare oltre il giudicato — è, senza forzatura, moroteo nel metodo prima che nell'oggetto.</w:t>
      </w:r>
      <w:r>
        <w:rPr>
          <w:rFonts w:ascii="Barlow Semi Condensed" w:cs="Barlow Semi Condensed" w:eastAsia="Barlow Semi Condensed" w:hAnsi="Barlow Semi Condensed"/>
          <w:sz w:val="24"/>
          <w:szCs w:val="24"/>
        </w:rPr>
        <w:t xml:space="preserve"> L'uomo di cui si scrive avrebbe riconosciuto la disciplina con cui lo si scrive.</w:t>
      </w:r>
    </w:p>
    <w:p>
      <w:pPr>
        <w:pStyle w:val="Heading1"/>
        <w:spacing w:after="120" w:before="240"/>
      </w:pPr>
      <w:r>
        <w:rPr>
          <w:rFonts w:ascii="Barlow Semi Condensed" w:cs="Barlow Semi Condensed" w:eastAsia="Barlow Semi Condensed" w:hAnsi="Barlow Semi Condensed"/>
          <w:sz w:val="24"/>
          <w:szCs w:val="24"/>
        </w:rPr>
        <w:t xml:space="preserve">Capitolo sessantatreesimo — Il costituente e l'artefice paziente</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2 giugno 1946</w:t>
      </w:r>
      <w:r>
        <w:rPr>
          <w:rFonts w:ascii="Barlow Semi Condensed" w:cs="Barlow Semi Condensed" w:eastAsia="Barlow Semi Condensed" w:hAnsi="Barlow Semi Condensed"/>
          <w:sz w:val="24"/>
          <w:szCs w:val="24"/>
        </w:rPr>
        <w:t xml:space="preserve"> Moro fu eletto all'</w:t>
      </w:r>
      <w:r>
        <w:rPr>
          <w:rFonts w:ascii="Barlow Semi Condensed" w:cs="Barlow Semi Condensed" w:eastAsia="Barlow Semi Condensed" w:hAnsi="Barlow Semi Condensed"/>
          <w:b/>
          <w:bCs/>
          <w:sz w:val="24"/>
          <w:szCs w:val="24"/>
        </w:rPr>
        <w:t xml:space="preserve">Assemblea Costituente</w:t>
      </w:r>
      <w:r>
        <w:rPr>
          <w:rFonts w:ascii="Barlow Semi Condensed" w:cs="Barlow Semi Condensed" w:eastAsia="Barlow Semi Condensed" w:hAnsi="Barlow Semi Condensed"/>
          <w:sz w:val="24"/>
          <w:szCs w:val="24"/>
        </w:rPr>
        <w:t xml:space="preserve">, a ventinove anni, fra i più giovani. Vi lasciò un segno preciso: lavorò alla prima parte della Costituzione, quella dei princìpi e dei diritti, e alla formulazione dei rapporti fra cittadino e Stato. Il costituente Moro non fu un massimalista né un tattico: fu l'uomo che cerca la </w:t>
      </w:r>
      <w:r>
        <w:rPr>
          <w:rFonts w:ascii="Barlow Semi Condensed" w:cs="Barlow Semi Condensed" w:eastAsia="Barlow Semi Condensed" w:hAnsi="Barlow Semi Condensed"/>
          <w:b/>
          <w:bCs/>
          <w:sz w:val="24"/>
          <w:szCs w:val="24"/>
        </w:rPr>
        <w:t xml:space="preserve">formula che tiene insieme</w:t>
      </w:r>
      <w:r>
        <w:rPr>
          <w:rFonts w:ascii="Barlow Semi Condensed" w:cs="Barlow Semi Condensed" w:eastAsia="Barlow Semi Condensed" w:hAnsi="Barlow Semi Condensed"/>
          <w:sz w:val="24"/>
          <w:szCs w:val="24"/>
        </w:rPr>
        <w:t xml:space="preserve"> — il cattolico e il laico, il diritto individuale e la solidarietà sociale — senza che nessuno dei due debba sconfiggere l'altro. È già tutto Moro: la persuasione che la democrazia non sia il campo di battaglia dove una parte vince, ma </w:t>
      </w:r>
      <w:r>
        <w:rPr>
          <w:rFonts w:ascii="Barlow Semi Condensed" w:cs="Barlow Semi Condensed" w:eastAsia="Barlow Semi Condensed" w:hAnsi="Barlow Semi Condensed"/>
          <w:b/>
          <w:bCs/>
          <w:sz w:val="24"/>
          <w:szCs w:val="24"/>
        </w:rPr>
        <w:t xml:space="preserve">l'arte di far coesistere ciò che diverge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Da qui la carriera nella Democrazia Cristiana, di cui fu fra i fondatori: segretario del partito, più volte ministro, cinque volte Presidente del Consiglio fra il 1963 e il 1976. Ma le cariche dicono poco di lui. Moro non fu un uomo di potere nel senso corrente — non amava il comando, amava il </w:t>
      </w:r>
      <w:r>
        <w:rPr>
          <w:rFonts w:ascii="Barlow Semi Condensed" w:cs="Barlow Semi Condensed" w:eastAsia="Barlow Semi Condensed" w:hAnsi="Barlow Semi Condensed"/>
          <w:b/>
          <w:bCs/>
          <w:sz w:val="24"/>
          <w:szCs w:val="24"/>
        </w:rPr>
        <w:t xml:space="preserve">processo</w:t>
      </w:r>
      <w:r>
        <w:rPr>
          <w:rFonts w:ascii="Barlow Semi Condensed" w:cs="Barlow Semi Condensed" w:eastAsia="Barlow Semi Condensed" w:hAnsi="Barlow Semi Condensed"/>
          <w:sz w:val="24"/>
          <w:szCs w:val="24"/>
        </w:rPr>
        <w:t xml:space="preserve">: la trattativa lunga, la mediazione sfibrante, la sintesi trovata all'alba dopo notti di riunioni. I suoi discorsi erano lunghi, avvolgenti, spesso oscuri per scelta: perché tenevano aperte più strade finché una non diventava percorribile. Lo si derideva per questo («il modo di dire di Moro»); era invece il suo strumento. </w:t>
      </w:r>
      <w:r>
        <w:rPr>
          <w:rFonts w:ascii="Barlow Semi Condensed" w:cs="Barlow Semi Condensed" w:eastAsia="Barlow Semi Condensed" w:hAnsi="Barlow Semi Condensed"/>
          <w:b/>
          <w:bCs/>
          <w:sz w:val="24"/>
          <w:szCs w:val="24"/>
        </w:rPr>
        <w:t xml:space="preserve">La sua oscurità era una forma di rispetto per la complessità del reale</w:t>
      </w:r>
      <w:r>
        <w:rPr>
          <w:rFonts w:ascii="Barlow Semi Condensed" w:cs="Barlow Semi Condensed" w:eastAsia="Barlow Semi Condensed" w:hAnsi="Barlow Semi Condensed"/>
          <w:sz w:val="24"/>
          <w:szCs w:val="24"/>
        </w:rPr>
        <w:t xml:space="preserve"> — l'esatto contrario della semplificazione che, in quegli stessi anni, armava le pistole.</w:t>
      </w:r>
    </w:p>
    <w:p>
      <w:pPr>
        <w:pStyle w:val="Heading1"/>
        <w:spacing w:after="120" w:before="240"/>
      </w:pPr>
      <w:r>
        <w:rPr>
          <w:rFonts w:ascii="Barlow Semi Condensed" w:cs="Barlow Semi Condensed" w:eastAsia="Barlow Semi Condensed" w:hAnsi="Barlow Semi Condensed"/>
          <w:sz w:val="24"/>
          <w:szCs w:val="24"/>
        </w:rPr>
        <w:t xml:space="preserve">Capitolo sessantaquattresimo — La strategia dell'attenzione</w:t>
      </w:r>
    </w:p>
    <w:p>
      <w:pPr>
        <w:spacing w:after="120" w:line="276"/>
        <w:jc w:val="both"/>
      </w:pPr>
      <w:r>
        <w:rPr>
          <w:rFonts w:ascii="Barlow Semi Condensed" w:cs="Barlow Semi Condensed" w:eastAsia="Barlow Semi Condensed" w:hAnsi="Barlow Semi Condensed"/>
          <w:sz w:val="24"/>
          <w:szCs w:val="24"/>
        </w:rPr>
        <w:t xml:space="preserve">Il cuore del pensiero politico di Moro ha un nome che egli stesso coniò: la </w:t>
      </w:r>
      <w:r>
        <w:rPr>
          <w:rFonts w:ascii="Barlow Semi Condensed" w:cs="Barlow Semi Condensed" w:eastAsia="Barlow Semi Condensed" w:hAnsi="Barlow Semi Condensed"/>
          <w:b/>
          <w:bCs/>
          <w:sz w:val="24"/>
          <w:szCs w:val="24"/>
        </w:rPr>
        <w:t xml:space="preserve">«strategia dell'attenzione»</w:t>
      </w:r>
      <w:r>
        <w:rPr>
          <w:rFonts w:ascii="Barlow Semi Condensed" w:cs="Barlow Semi Condensed" w:eastAsia="Barlow Semi Condensed" w:hAnsi="Barlow Semi Condensed"/>
          <w:sz w:val="24"/>
          <w:szCs w:val="24"/>
        </w:rPr>
        <w:t xml:space="preserve">. La formulò compiutamente nel discorso al primo congresso regionale pugliese della DC, a Bari, il </w:t>
      </w:r>
      <w:r>
        <w:rPr>
          <w:rFonts w:ascii="Barlow Semi Condensed" w:cs="Barlow Semi Condensed" w:eastAsia="Barlow Semi Condensed" w:hAnsi="Barlow Semi Condensed"/>
          <w:b/>
          <w:bCs/>
          <w:sz w:val="24"/>
          <w:szCs w:val="24"/>
        </w:rPr>
        <w:t xml:space="preserve">15 giugno 1969</w:t>
      </w:r>
      <w:r>
        <w:rPr>
          <w:rFonts w:ascii="Barlow Semi Condensed" w:cs="Barlow Semi Condensed" w:eastAsia="Barlow Semi Condensed" w:hAnsi="Barlow Semi Condensed"/>
          <w:sz w:val="24"/>
          <w:szCs w:val="24"/>
        </w:rPr>
        <w:t xml:space="preserve"> (Treccani (https://www.treccani.it/enciclopedia/aldo-moro/); Il progetto politico di Aldo Moro dalla Costituente alla Terza Fase, Piretti (http://www.accademiaaldomoro.org/attivita/trentennale/ConvegnoVarie/Relazioni/Piretti.pdf)). Attenzione a che cosa? All'orizzonte italiano e internazionale che cambiava: il mondo cattolico dopo il Concilio, la sinistra dopo il 1968, un Partito Comunista che si allontanava da Mosca. Moro non proponeva alleanze: proponeva di </w:t>
      </w:r>
      <w:r>
        <w:rPr>
          <w:rFonts w:ascii="Barlow Semi Condensed" w:cs="Barlow Semi Condensed" w:eastAsia="Barlow Semi Condensed" w:hAnsi="Barlow Semi Condensed"/>
          <w:b/>
          <w:bCs/>
          <w:sz w:val="24"/>
          <w:szCs w:val="24"/>
        </w:rPr>
        <w:t xml:space="preserve">guardare</w:t>
      </w:r>
      <w:r>
        <w:rPr>
          <w:rFonts w:ascii="Barlow Semi Condensed" w:cs="Barlow Semi Condensed" w:eastAsia="Barlow Semi Condensed" w:hAnsi="Barlow Semi Condensed"/>
          <w:sz w:val="24"/>
          <w:szCs w:val="24"/>
        </w:rPr>
        <w:t xml:space="preserve"> — di non chiudere pregiudizialmente la porta a forze che la storia aveva radicato nel popolo italiano, e che escludere per sempre avrebbe significato mantenere metà del paese fuori dallo Stato.</w:t>
      </w:r>
    </w:p>
    <w:p>
      <w:pPr>
        <w:spacing w:after="120" w:line="276"/>
        <w:jc w:val="both"/>
      </w:pPr>
      <w:r>
        <w:rPr>
          <w:rFonts w:ascii="Barlow Semi Condensed" w:cs="Barlow Semi Condensed" w:eastAsia="Barlow Semi Condensed" w:hAnsi="Barlow Semi Condensed"/>
          <w:sz w:val="24"/>
          <w:szCs w:val="24"/>
        </w:rPr>
        <w:t xml:space="preserve">La sua tesi, che è la chiave di tutto, la disse così: </w:t>
      </w:r>
      <w:r>
        <w:rPr>
          <w:rFonts w:ascii="Barlow Semi Condensed" w:cs="Barlow Semi Condensed" w:eastAsia="Barlow Semi Condensed" w:hAnsi="Barlow Semi Condensed"/>
          <w:i/>
          <w:iCs/>
          <w:sz w:val="24"/>
          <w:szCs w:val="24"/>
        </w:rPr>
        <w:t xml:space="preserve">quanto più le masse popolari hanno il senso dello Stato attraverso la propria integrazione, tanto più la democrazia sarà forte e si eviteranno le tentazioni autoritarie.</w:t>
      </w:r>
      <w:r>
        <w:rPr>
          <w:rFonts w:ascii="Barlow Semi Condensed" w:cs="Barlow Semi Condensed" w:eastAsia="Barlow Semi Condensed" w:hAnsi="Barlow Semi Condensed"/>
          <w:sz w:val="24"/>
          <w:szCs w:val="24"/>
        </w:rPr>
        <w:t xml:space="preserve"> Si legga con attenzione, perché è il contrario esatto della vulgata che ne fa un cedimento: Moro voleva </w:t>
      </w:r>
      <w:r>
        <w:rPr>
          <w:rFonts w:ascii="Barlow Semi Condensed" w:cs="Barlow Semi Condensed" w:eastAsia="Barlow Semi Condensed" w:hAnsi="Barlow Semi Condensed"/>
          <w:b/>
          <w:bCs/>
          <w:sz w:val="24"/>
          <w:szCs w:val="24"/>
        </w:rPr>
        <w:t xml:space="preserve">integrare per rafforzare lo Stato</w:t>
      </w:r>
      <w:r>
        <w:rPr>
          <w:rFonts w:ascii="Barlow Semi Condensed" w:cs="Barlow Semi Condensed" w:eastAsia="Barlow Semi Condensed" w:hAnsi="Barlow Semi Condensed"/>
          <w:sz w:val="24"/>
          <w:szCs w:val="24"/>
        </w:rPr>
        <w:t xml:space="preserve">, non per indebolirlo. La sua era una strategia di </w:t>
      </w:r>
      <w:r>
        <w:rPr>
          <w:rFonts w:ascii="Barlow Semi Condensed" w:cs="Barlow Semi Condensed" w:eastAsia="Barlow Semi Condensed" w:hAnsi="Barlow Semi Condensed"/>
          <w:b/>
          <w:bCs/>
          <w:sz w:val="24"/>
          <w:szCs w:val="24"/>
        </w:rPr>
        <w:t xml:space="preserve">inclusione come sicurezza</w:t>
      </w:r>
      <w:r>
        <w:rPr>
          <w:rFonts w:ascii="Barlow Semi Condensed" w:cs="Barlow Semi Condensed" w:eastAsia="Barlow Semi Condensed" w:hAnsi="Barlow Semi Condensed"/>
          <w:sz w:val="24"/>
          <w:szCs w:val="24"/>
        </w:rPr>
        <w:t xml:space="preserve">: una democrazia che tiene dentro anche chi la contesta è più solida di una che lo lascia fuori a marcire nel rancore. Chi, a destra, lo accusava di aprire ai comunisti, e chi, nell'estremismo di sinistra, lo odiava come puntello del sistema, condividevano lo stesso errore: non capivano che Moro stava </w:t>
      </w:r>
      <w:r>
        <w:rPr>
          <w:rFonts w:ascii="Barlow Semi Condensed" w:cs="Barlow Semi Condensed" w:eastAsia="Barlow Semi Condensed" w:hAnsi="Barlow Semi Condensed"/>
          <w:b/>
          <w:bCs/>
          <w:sz w:val="24"/>
          <w:szCs w:val="24"/>
        </w:rPr>
        <w:t xml:space="preserve">togliendo ossigeno alla guerra civile</w:t>
      </w:r>
      <w:r>
        <w:rPr>
          <w:rFonts w:ascii="Barlow Semi Condensed" w:cs="Barlow Semi Condensed" w:eastAsia="Barlow Semi Condensed" w:hAnsi="Barlow Semi Condensed"/>
          <w:sz w:val="24"/>
          <w:szCs w:val="24"/>
        </w:rPr>
        <w:t xml:space="preserve"> prima che divampasse. Che sia stato colpito proprio mentre ci riusciva è la tragedia, e non è un caso: era d'ostacolo a chi la guerra civile la voleva.</w:t>
      </w:r>
    </w:p>
    <w:p>
      <w:pPr>
        <w:pStyle w:val="Heading1"/>
        <w:spacing w:after="120" w:before="240"/>
      </w:pPr>
      <w:r>
        <w:rPr>
          <w:rFonts w:ascii="Barlow Semi Condensed" w:cs="Barlow Semi Condensed" w:eastAsia="Barlow Semi Condensed" w:hAnsi="Barlow Semi Condensed"/>
          <w:sz w:val="24"/>
          <w:szCs w:val="24"/>
        </w:rPr>
        <w:t xml:space="preserve">Capitolo sessantacinquesimo — La solidarietà nazionale e la «terza fase»</w:t>
      </w:r>
    </w:p>
    <w:p>
      <w:pPr>
        <w:spacing w:after="120" w:line="276"/>
        <w:jc w:val="both"/>
      </w:pPr>
      <w:r>
        <w:rPr>
          <w:rFonts w:ascii="Barlow Semi Condensed" w:cs="Barlow Semi Condensed" w:eastAsia="Barlow Semi Condensed" w:hAnsi="Barlow Semi Condensed"/>
          <w:sz w:val="24"/>
          <w:szCs w:val="24"/>
        </w:rPr>
        <w:t xml:space="preserve">Dalla strategia dell'attenzione nacque, negli anni Settanta, il disegno della </w:t>
      </w:r>
      <w:r>
        <w:rPr>
          <w:rFonts w:ascii="Barlow Semi Condensed" w:cs="Barlow Semi Condensed" w:eastAsia="Barlow Semi Condensed" w:hAnsi="Barlow Semi Condensed"/>
          <w:b/>
          <w:bCs/>
          <w:sz w:val="24"/>
          <w:szCs w:val="24"/>
        </w:rPr>
        <w:t xml:space="preserve">solidarietà nazionale</w:t>
      </w:r>
      <w:r>
        <w:rPr>
          <w:rFonts w:ascii="Barlow Semi Condensed" w:cs="Barlow Semi Condensed" w:eastAsia="Barlow Semi Condensed" w:hAnsi="Barlow Semi Condensed"/>
          <w:sz w:val="24"/>
          <w:szCs w:val="24"/>
        </w:rPr>
        <w:t xml:space="preserve">: il coinvolgimento del PCI di Enrico Berlinguer — che dal Cile del 1973 aveva tratto la lezione del </w:t>
      </w:r>
      <w:r>
        <w:rPr>
          <w:rFonts w:ascii="Barlow Semi Condensed" w:cs="Barlow Semi Condensed" w:eastAsia="Barlow Semi Condensed" w:hAnsi="Barlow Semi Condensed"/>
          <w:b/>
          <w:bCs/>
          <w:sz w:val="24"/>
          <w:szCs w:val="24"/>
        </w:rPr>
        <w:t xml:space="preserve">compromesso storico</w:t>
      </w:r>
      <w:r>
        <w:rPr>
          <w:rFonts w:ascii="Barlow Semi Condensed" w:cs="Barlow Semi Condensed" w:eastAsia="Barlow Semi Condensed" w:hAnsi="Barlow Semi Condensed"/>
          <w:sz w:val="24"/>
          <w:szCs w:val="24"/>
        </w:rPr>
        <w:t xml:space="preserve"> — nella responsabilità di governo, in una fase di emergenza economica e terroristica. Moro ne fu l'architetto democristiano: non per amore del comunismo, che gli era estraneo, ma per la convinzione che nessuna delle due grandi culture popolari italiane potesse governare da sola il paese in crisi, e che tenerle contrapposte per sempre fosse la ricetta della paralisi o della violenza.</w:t>
      </w:r>
    </w:p>
    <w:p>
      <w:pPr>
        <w:spacing w:after="120" w:line="276"/>
        <w:jc w:val="both"/>
      </w:pPr>
      <w:r>
        <w:rPr>
          <w:rFonts w:ascii="Barlow Semi Condensed" w:cs="Barlow Semi Condensed" w:eastAsia="Barlow Semi Condensed" w:hAnsi="Barlow Semi Condensed"/>
          <w:sz w:val="24"/>
          <w:szCs w:val="24"/>
        </w:rPr>
        <w:t xml:space="preserve">Oltre la solidarietà nazionale, Moro guardava già a una </w:t>
      </w:r>
      <w:r>
        <w:rPr>
          <w:rFonts w:ascii="Barlow Semi Condensed" w:cs="Barlow Semi Condensed" w:eastAsia="Barlow Semi Condensed" w:hAnsi="Barlow Semi Condensed"/>
          <w:b/>
          <w:bCs/>
          <w:sz w:val="24"/>
          <w:szCs w:val="24"/>
        </w:rPr>
        <w:t xml:space="preserve">«terza fase»</w:t>
      </w:r>
      <w:r>
        <w:rPr>
          <w:rFonts w:ascii="Barlow Semi Condensed" w:cs="Barlow Semi Condensed" w:eastAsia="Barlow Semi Condensed" w:hAnsi="Barlow Semi Condensed"/>
          <w:sz w:val="24"/>
          <w:szCs w:val="24"/>
        </w:rPr>
        <w:t xml:space="preserve"> — l'espressione è sua, in un articolo per </w:t>
      </w:r>
      <w:r>
        <w:rPr>
          <w:rFonts w:ascii="Barlow Semi Condensed" w:cs="Barlow Semi Condensed" w:eastAsia="Barlow Semi Condensed" w:hAnsi="Barlow Semi Condensed"/>
          <w:i/>
          <w:iCs/>
          <w:sz w:val="24"/>
          <w:szCs w:val="24"/>
        </w:rPr>
        <w:t xml:space="preserve">Il Giorno</w:t>
      </w:r>
      <w:r>
        <w:rPr>
          <w:rFonts w:ascii="Barlow Semi Condensed" w:cs="Barlow Semi Condensed" w:eastAsia="Barlow Semi Condensed" w:hAnsi="Barlow Semi Condensed"/>
          <w:sz w:val="24"/>
          <w:szCs w:val="24"/>
        </w:rPr>
        <w:t xml:space="preserve"> del dicembre 1976 (Piretti (http://www.accademiaaldomoro.org/attivita/trentennale/ConvegnoVarie/Relazioni/Piretti.pdf)). La prima fase era stata il centrismo degasperiano; la seconda, il centro-sinistra; la terza avrebbe dovuto stabilizzare una </w:t>
      </w:r>
      <w:r>
        <w:rPr>
          <w:rFonts w:ascii="Barlow Semi Condensed" w:cs="Barlow Semi Condensed" w:eastAsia="Barlow Semi Condensed" w:hAnsi="Barlow Semi Condensed"/>
          <w:b/>
          <w:bCs/>
          <w:sz w:val="24"/>
          <w:szCs w:val="24"/>
        </w:rPr>
        <w:t xml:space="preserve">democrazia dell'alternanza</w:t>
      </w:r>
      <w:r>
        <w:rPr>
          <w:rFonts w:ascii="Barlow Semi Condensed" w:cs="Barlow Semi Condensed" w:eastAsia="Barlow Semi Condensed" w:hAnsi="Barlow Semi Condensed"/>
          <w:sz w:val="24"/>
          <w:szCs w:val="24"/>
        </w:rPr>
        <w:t xml:space="preserve">, in cui l'integrazione delle masse nello Stato fosse compiuta e il pluralismo, finalmente, potesse funzionare senza il blocco della «democrazia bloccata» — un sistema in cui la maggioranza non poteva mai cambiare perché una parte era pregiudizialmente esclusa. Era il progetto più ambizioso della Repubblica: </w:t>
      </w:r>
      <w:r>
        <w:rPr>
          <w:rFonts w:ascii="Barlow Semi Condensed" w:cs="Barlow Semi Condensed" w:eastAsia="Barlow Semi Condensed" w:hAnsi="Barlow Semi Condensed"/>
          <w:b/>
          <w:bCs/>
          <w:sz w:val="24"/>
          <w:szCs w:val="24"/>
        </w:rPr>
        <w:t xml:space="preserve">portare a compimento la democrazia italiana</w:t>
      </w:r>
      <w:r>
        <w:rPr>
          <w:rFonts w:ascii="Barlow Semi Condensed" w:cs="Barlow Semi Condensed" w:eastAsia="Barlow Semi Condensed" w:hAnsi="Barlow Semi Condensed"/>
          <w:sz w:val="24"/>
          <w:szCs w:val="24"/>
        </w:rPr>
        <w:t xml:space="preserve">, renderla capace di ricambio senza rivoluzione. Il 16 marzo 1978 Moro andava in Parlamento a vararne il primo passo. Non vi arrivò.</w:t>
      </w:r>
    </w:p>
    <w:p>
      <w:pPr>
        <w:pStyle w:val="Heading1"/>
        <w:spacing w:after="120" w:before="240"/>
      </w:pPr>
      <w:r>
        <w:rPr>
          <w:rFonts w:ascii="Barlow Semi Condensed" w:cs="Barlow Semi Condensed" w:eastAsia="Barlow Semi Condensed" w:hAnsi="Barlow Semi Condensed"/>
          <w:sz w:val="24"/>
          <w:szCs w:val="24"/>
        </w:rPr>
        <w:t xml:space="preserve">Capitolo sessantaseiesimo — Le lettere: la scrittura di un uomo, non di un caso</w:t>
      </w:r>
    </w:p>
    <w:p>
      <w:pPr>
        <w:spacing w:after="120" w:line="276"/>
        <w:jc w:val="both"/>
      </w:pPr>
      <w:r>
        <w:rPr>
          <w:rFonts w:ascii="Barlow Semi Condensed" w:cs="Barlow Semi Condensed" w:eastAsia="Barlow Semi Condensed" w:hAnsi="Barlow Semi Condensed"/>
          <w:sz w:val="24"/>
          <w:szCs w:val="24"/>
        </w:rPr>
        <w:t xml:space="preserve">Delle circa </w:t>
      </w:r>
      <w:r>
        <w:rPr>
          <w:rFonts w:ascii="Barlow Semi Condensed" w:cs="Barlow Semi Condensed" w:eastAsia="Barlow Semi Condensed" w:hAnsi="Barlow Semi Condensed"/>
          <w:b/>
          <w:bCs/>
          <w:sz w:val="24"/>
          <w:szCs w:val="24"/>
        </w:rPr>
        <w:t xml:space="preserve">novanta lettere</w:t>
      </w:r>
      <w:r>
        <w:rPr>
          <w:rFonts w:ascii="Barlow Semi Condensed" w:cs="Barlow Semi Condensed" w:eastAsia="Barlow Semi Condensed" w:hAnsi="Barlow Semi Condensed"/>
          <w:sz w:val="24"/>
          <w:szCs w:val="24"/>
        </w:rPr>
        <w:t xml:space="preserve"> che Moro scrisse dalla «prigione del popolo» fra il marzo e il maggio 1978 il corpus ha già trattato lo statuto documentale (Parte terza, cap. IV; Fase settima, sul Memoriale). Qui se ne rivendica un'altra cosa, che l'analisi giudiziaria non coglie: sono la </w:t>
      </w:r>
      <w:r>
        <w:rPr>
          <w:rFonts w:ascii="Barlow Semi Condensed" w:cs="Barlow Semi Condensed" w:eastAsia="Barlow Semi Condensed" w:hAnsi="Barlow Semi Condensed"/>
          <w:b/>
          <w:bCs/>
          <w:sz w:val="24"/>
          <w:szCs w:val="24"/>
        </w:rPr>
        <w:t xml:space="preserve">scrittura di un uomo</w:t>
      </w:r>
      <w:r>
        <w:rPr>
          <w:rFonts w:ascii="Barlow Semi Condensed" w:cs="Barlow Semi Condensed" w:eastAsia="Barlow Semi Condensed" w:hAnsi="Barlow Semi Condensed"/>
          <w:sz w:val="24"/>
          <w:szCs w:val="24"/>
        </w:rPr>
        <w:t xml:space="preserve">. Non atti, non prove, non pedine: parole di un padre, di un marito, di un cattolico, di un giurista che, sapendo di morire, continua a ragionare, a pregare, a chiedere ai suoi che si distingua e non si condanni.</w:t>
      </w:r>
    </w:p>
    <w:p>
      <w:pPr>
        <w:spacing w:after="120" w:line="276"/>
        <w:jc w:val="both"/>
      </w:pPr>
      <w:r>
        <w:rPr>
          <w:rFonts w:ascii="Barlow Semi Condensed" w:cs="Barlow Semi Condensed" w:eastAsia="Barlow Semi Condensed" w:hAnsi="Barlow Semi Condensed"/>
          <w:sz w:val="24"/>
          <w:szCs w:val="24"/>
        </w:rPr>
        <w:t xml:space="preserve">Su quelle lettere si è consumata una violenza seconda, dopo quella dei sequestratori: la si è dichiarata «non autentica», scritta «sotto costrizione», il Moro prigioniero «non più lui». Fu una tesi comoda — il </w:t>
      </w:r>
      <w:r>
        <w:rPr>
          <w:rFonts w:ascii="Barlow Semi Condensed" w:cs="Barlow Semi Condensed" w:eastAsia="Barlow Semi Condensed" w:hAnsi="Barlow Semi Condensed"/>
          <w:b/>
          <w:bCs/>
          <w:sz w:val="24"/>
          <w:szCs w:val="24"/>
        </w:rPr>
        <w:t xml:space="preserve">partito della fermezza</w:t>
      </w:r>
      <w:r>
        <w:rPr>
          <w:rFonts w:ascii="Barlow Semi Condensed" w:cs="Barlow Semi Condensed" w:eastAsia="Barlow Semi Condensed" w:hAnsi="Barlow Semi Condensed"/>
          <w:sz w:val="24"/>
          <w:szCs w:val="24"/>
        </w:rPr>
        <w:t xml:space="preserve"> aveva bisogno che quelle lettere non contassero, per non trattare — ed è una tesi che offende l'uomo due volte: gli nega la lucidità nel momento della prova, e riduce il suo tormento a un artefatto. Questo corpus la respinge nel merito e nel metodo. </w:t>
      </w:r>
      <w:r>
        <w:rPr>
          <w:rFonts w:ascii="Barlow Semi Condensed" w:cs="Barlow Semi Condensed" w:eastAsia="Barlow Semi Condensed" w:hAnsi="Barlow Semi Condensed"/>
          <w:b/>
          <w:bCs/>
          <w:sz w:val="24"/>
          <w:szCs w:val="24"/>
        </w:rPr>
        <w:t xml:space="preserve">Nel merito</w:t>
      </w:r>
      <w:r>
        <w:rPr>
          <w:rFonts w:ascii="Barlow Semi Condensed" w:cs="Barlow Semi Condensed" w:eastAsia="Barlow Semi Condensed" w:hAnsi="Barlow Semi Condensed"/>
          <w:sz w:val="24"/>
          <w:szCs w:val="24"/>
        </w:rPr>
        <w:t xml:space="preserve">: le perizie e la stessa Commissione non hanno mai stabilito che Moro non fosse padrone delle proprie parole; scriveva sorvegliato, non dettato. </w:t>
      </w:r>
      <w:r>
        <w:rPr>
          <w:rFonts w:ascii="Barlow Semi Condensed" w:cs="Barlow Semi Condensed" w:eastAsia="Barlow Semi Condensed" w:hAnsi="Barlow Semi Condensed"/>
          <w:b/>
          <w:bCs/>
          <w:sz w:val="24"/>
          <w:szCs w:val="24"/>
        </w:rPr>
        <w:t xml:space="preserve">Nel metodo</w:t>
      </w:r>
      <w:r>
        <w:rPr>
          <w:rFonts w:ascii="Barlow Semi Condensed" w:cs="Barlow Semi Condensed" w:eastAsia="Barlow Semi Condensed" w:hAnsi="Barlow Semi Condensed"/>
          <w:sz w:val="24"/>
          <w:szCs w:val="24"/>
        </w:rPr>
        <w:t xml:space="preserve">: dichiarare non-uomo il prigioniero per non doverne ascoltare le ragioni è la mossa che il garante della Fase sesta ha il compito di impedire. Moro nella prigione fu </w:t>
      </w:r>
      <w:r>
        <w:rPr>
          <w:rFonts w:ascii="Barlow Semi Condensed" w:cs="Barlow Semi Condensed" w:eastAsia="Barlow Semi Condensed" w:hAnsi="Barlow Semi Condensed"/>
          <w:b/>
          <w:bCs/>
          <w:sz w:val="24"/>
          <w:szCs w:val="24"/>
        </w:rPr>
        <w:t xml:space="preserve">interamente Moro</w:t>
      </w:r>
      <w:r>
        <w:rPr>
          <w:rFonts w:ascii="Barlow Semi Condensed" w:cs="Barlow Semi Condensed" w:eastAsia="Barlow Semi Condensed" w:hAnsi="Barlow Semi Condensed"/>
          <w:sz w:val="24"/>
          <w:szCs w:val="24"/>
        </w:rPr>
        <w:t xml:space="preserve"> — più solo, più esposto, ma lui. Le sue lettere sono l'ultimo atto della sua intelligenza politica, non la sua smentita.</w:t>
      </w:r>
    </w:p>
    <w:p>
      <w:pPr>
        <w:spacing w:after="120" w:line="276"/>
        <w:jc w:val="both"/>
      </w:pPr>
      <w:r>
        <w:rPr>
          <w:rFonts w:ascii="Barlow Semi Condensed" w:cs="Barlow Semi Condensed" w:eastAsia="Barlow Semi Condensed" w:hAnsi="Barlow Semi Condensed"/>
          <w:sz w:val="24"/>
          <w:szCs w:val="24"/>
        </w:rPr>
        <w:t xml:space="preserve">E in quelle lettere c'è il congedo che gli spetta, e che non gli si può togliere: la richiesta che al suo funerale non venissero «né autorità dello Stato né uomini di partito», ma solo «chi mi ha veramente voluto bene». La famiglia la rispettò. Lo Stato celebrò le esequie senza la salma. È l'ultima, terribile coerenza dell'uomo della mediazione: rifiutare, da morto, la finzione di una solidarietà che da vivo gli era mancata quando contava.</w:t>
      </w:r>
    </w:p>
    <w:p>
      <w:pPr>
        <w:pStyle w:val="Heading1"/>
        <w:spacing w:after="120" w:before="240"/>
      </w:pPr>
      <w:r>
        <w:rPr>
          <w:rFonts w:ascii="Barlow Semi Condensed" w:cs="Barlow Semi Condensed" w:eastAsia="Barlow Semi Condensed" w:hAnsi="Barlow Semi Condensed"/>
          <w:sz w:val="24"/>
          <w:szCs w:val="24"/>
        </w:rPr>
        <w:t xml:space="preserve">Capitolo sessantasettesimo — Perché fu colpito lui: l'ostacolo e la sua grandezza</w:t>
      </w:r>
    </w:p>
    <w:p>
      <w:pPr>
        <w:spacing w:after="120" w:line="276"/>
        <w:jc w:val="both"/>
      </w:pPr>
      <w:r>
        <w:rPr>
          <w:rFonts w:ascii="Barlow Semi Condensed" w:cs="Barlow Semi Condensed" w:eastAsia="Barlow Semi Condensed" w:hAnsi="Barlow Semi Condensed"/>
          <w:sz w:val="24"/>
          <w:szCs w:val="24"/>
        </w:rPr>
        <w:t xml:space="preserve">Si torna, alla fine, alla domanda che apre l'intera opera — </w:t>
      </w:r>
      <w:r>
        <w:rPr>
          <w:rFonts w:ascii="Barlow Semi Condensed" w:cs="Barlow Semi Condensed" w:eastAsia="Barlow Semi Condensed" w:hAnsi="Barlow Semi Condensed"/>
          <w:i/>
          <w:iCs/>
          <w:sz w:val="24"/>
          <w:szCs w:val="24"/>
        </w:rPr>
        <w:t xml:space="preserve">perché lui?</w:t>
      </w:r>
      <w:r>
        <w:rPr>
          <w:rFonts w:ascii="Barlow Semi Condensed" w:cs="Barlow Semi Condensed" w:eastAsia="Barlow Semi Condensed" w:hAnsi="Barlow Semi Condensed"/>
          <w:sz w:val="24"/>
          <w:szCs w:val="24"/>
        </w:rPr>
        <w:t xml:space="preserve"> — ma la si può ora rispondere dal lato giusto, dal lato dell'uomo e non della trama. Moro fu colpito </w:t>
      </w:r>
      <w:r>
        <w:rPr>
          <w:rFonts w:ascii="Barlow Semi Condensed" w:cs="Barlow Semi Condensed" w:eastAsia="Barlow Semi Condensed" w:hAnsi="Barlow Semi Condensed"/>
          <w:b/>
          <w:bCs/>
          <w:sz w:val="24"/>
          <w:szCs w:val="24"/>
        </w:rPr>
        <w:t xml:space="preserve">per ciò che era</w:t>
      </w:r>
      <w:r>
        <w:rPr>
          <w:rFonts w:ascii="Barlow Semi Condensed" w:cs="Barlow Semi Condensed" w:eastAsia="Barlow Semi Condensed" w:hAnsi="Barlow Semi Condensed"/>
          <w:sz w:val="24"/>
          <w:szCs w:val="24"/>
        </w:rPr>
        <w:t xml:space="preserve">, non solo per ciò che rappresentava. Era l'uomo che stava riuscendo nella cosa più difficile: </w:t>
      </w:r>
      <w:r>
        <w:rPr>
          <w:rFonts w:ascii="Barlow Semi Condensed" w:cs="Barlow Semi Condensed" w:eastAsia="Barlow Semi Condensed" w:hAnsi="Barlow Semi Condensed"/>
          <w:b/>
          <w:bCs/>
          <w:sz w:val="24"/>
          <w:szCs w:val="24"/>
        </w:rPr>
        <w:t xml:space="preserve">spegnere con la politica la guerra che altri volevano combattere con le armi.</w:t>
      </w:r>
      <w:r>
        <w:rPr>
          <w:rFonts w:ascii="Barlow Semi Condensed" w:cs="Barlow Semi Condensed" w:eastAsia="Barlow Semi Condensed" w:hAnsi="Barlow Semi Condensed"/>
          <w:sz w:val="24"/>
          <w:szCs w:val="24"/>
        </w:rPr>
        <w:t xml:space="preserve"> Alle Brigate Rosse, che dal mito del Che avevano ereditato il disprezzo per la mediazione parlamentare (è il filo del saggio «Dal Che a Moro» di questo stesso corpus), Moro era il nemico perfetto: non un reazionario da abbattere, ma il </w:t>
      </w:r>
      <w:r>
        <w:rPr>
          <w:rFonts w:ascii="Barlow Semi Condensed" w:cs="Barlow Semi Condensed" w:eastAsia="Barlow Semi Condensed" w:hAnsi="Barlow Semi Condensed"/>
          <w:b/>
          <w:bCs/>
          <w:sz w:val="24"/>
          <w:szCs w:val="24"/>
        </w:rPr>
        <w:t xml:space="preserve">riformatore paziente</w:t>
      </w:r>
      <w:r>
        <w:rPr>
          <w:rFonts w:ascii="Barlow Semi Condensed" w:cs="Barlow Semi Condensed" w:eastAsia="Barlow Semi Condensed" w:hAnsi="Barlow Semi Condensed"/>
          <w:sz w:val="24"/>
          <w:szCs w:val="24"/>
        </w:rPr>
        <w:t xml:space="preserve"> la cui riuscita avrebbe tolto ogni ragione alla lotta armata. Uccidendo lui, colpivano l'idea che la democrazia possa includere senza spezzarsi.</w:t>
      </w:r>
    </w:p>
    <w:p>
      <w:pPr>
        <w:spacing w:after="120" w:line="276"/>
        <w:jc w:val="both"/>
      </w:pPr>
      <w:r>
        <w:rPr>
          <w:rFonts w:ascii="Barlow Semi Condensed" w:cs="Barlow Semi Condensed" w:eastAsia="Barlow Semi Condensed" w:hAnsi="Barlow Semi Condensed"/>
          <w:sz w:val="24"/>
          <w:szCs w:val="24"/>
        </w:rPr>
        <w:t xml:space="preserve">Qui il ritratto e la tesi dell'opera coincidono, e conviene dirlo con l'esattezza che a Moro si deve. </w:t>
      </w:r>
      <w:r>
        <w:rPr>
          <w:rFonts w:ascii="Barlow Semi Condensed" w:cs="Barlow Semi Condensed" w:eastAsia="Barlow Semi Condensed" w:hAnsi="Barlow Semi Condensed"/>
          <w:b/>
          <w:bCs/>
          <w:sz w:val="24"/>
          <w:szCs w:val="24"/>
        </w:rPr>
        <w:t xml:space="preserve">Non che esista un mandante unico</w:t>
      </w:r>
      <w:r>
        <w:rPr>
          <w:rFonts w:ascii="Barlow Semi Condensed" w:cs="Barlow Semi Condensed" w:eastAsia="Barlow Semi Condensed" w:hAnsi="Barlow Semi Condensed"/>
          <w:sz w:val="24"/>
          <w:szCs w:val="24"/>
        </w:rPr>
        <w:t xml:space="preserve">: il corpus lo ha negato pezzo per pezzo, e continua a negarlo. Ma che Moro fosse, per una pluralità di forze diverse e in parte avverse — i terroristi che lo processarono, chi non lo volle salvare, chi temeva il suo disegno —, </w:t>
      </w:r>
      <w:r>
        <w:rPr>
          <w:rFonts w:ascii="Barlow Semi Condensed" w:cs="Barlow Semi Condensed" w:eastAsia="Barlow Semi Condensed" w:hAnsi="Barlow Semi Condensed"/>
          <w:b/>
          <w:bCs/>
          <w:sz w:val="24"/>
          <w:szCs w:val="24"/>
        </w:rPr>
        <w:t xml:space="preserve">un ostacolo che conveniva rimuovere</w:t>
      </w:r>
      <w:r>
        <w:rPr>
          <w:rFonts w:ascii="Barlow Semi Condensed" w:cs="Barlow Semi Condensed" w:eastAsia="Barlow Semi Condensed" w:hAnsi="Barlow Semi Condensed"/>
          <w:sz w:val="24"/>
          <w:szCs w:val="24"/>
        </w:rPr>
        <w:t xml:space="preserve">: questo sì, ed è la sola continuità vera fra i due nomi del corpus. La grandezza di Moro è tutta in questo: fu ucciso non per ciò che aveva fatto di male, ma per ciò che stava per fare di bene. La solitudine dell'uomo di mediazione — odiato da chi la crede tradimento e temuto da chi la crede minaccia — è il vero luogo della tragedia. E in quella solitudine, fino all'ultima lettera, Moro rimase ciò che era sempre stato: </w:t>
      </w:r>
      <w:r>
        <w:rPr>
          <w:rFonts w:ascii="Barlow Semi Condensed" w:cs="Barlow Semi Condensed" w:eastAsia="Barlow Semi Condensed" w:hAnsi="Barlow Semi Condensed"/>
          <w:b/>
          <w:bCs/>
          <w:sz w:val="24"/>
          <w:szCs w:val="24"/>
        </w:rPr>
        <w:t xml:space="preserve">un uomo che credeva che gli uomini, anche i più lontani, potessero essere tenuti insieme.</w:t>
      </w:r>
      <w:r>
        <w:rPr>
          <w:rFonts w:ascii="Barlow Semi Condensed" w:cs="Barlow Semi Condensed" w:eastAsia="Barlow Semi Condensed" w:hAnsi="Barlow Semi Condensed"/>
          <w:sz w:val="24"/>
          <w:szCs w:val="24"/>
        </w:rPr>
        <w:t xml:space="preserve"> È morto di questa fede. È la ragione per cui vale la pena scriverne senza mentire.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ottava.</w:t>
      </w:r>
      <w:r>
        <w:rPr>
          <w:rFonts w:ascii="Barlow Semi Condensed" w:cs="Barlow Semi Condensed" w:eastAsia="Barlow Semi Condensed" w:hAnsi="Barlow Semi Condensed"/>
          <w:sz w:val="24"/>
          <w:szCs w:val="24"/>
        </w:rPr>
        <w:t xml:space="preserve"> Questa Fase non aggiunge un tassello all'inchiesta: </w:t>
      </w:r>
      <w:r>
        <w:rPr>
          <w:rFonts w:ascii="Barlow Semi Condensed" w:cs="Barlow Semi Condensed" w:eastAsia="Barlow Semi Condensed" w:hAnsi="Barlow Semi Condensed"/>
          <w:b/>
          <w:bCs/>
          <w:sz w:val="24"/>
          <w:szCs w:val="24"/>
        </w:rPr>
        <w:t xml:space="preserve">restituisce il soggetto all'opera.</w:t>
      </w:r>
      <w:r>
        <w:rPr>
          <w:rFonts w:ascii="Barlow Semi Condensed" w:cs="Barlow Semi Condensed" w:eastAsia="Barlow Semi Condensed" w:hAnsi="Barlow Semi Condensed"/>
          <w:sz w:val="24"/>
          <w:szCs w:val="24"/>
        </w:rPr>
        <w:t xml:space="preserve"> Prima del caso, prima dei processi, prima delle reti, c'è un uomo di Maglie che insegnava diritto penale e credeva nella pazienza come forma della politica. Tutto il resto — la macchina del sospetto, i gradi di prova, il divieto di imputare — ha senso solo se serve a lui: a non lasciare che l'assassinio di Aldo Moro diventi, una seconda volta, il pretesto per dimenticare Aldo Moro. La guerra senza fine ha molti nomi; ma ne ha uno che viene prima di tutti, ed è il suo. </w:t>
      </w:r>
      <w:r>
        <w:rPr>
          <w:rFonts w:ascii="Barlow Semi Condensed" w:cs="Barlow Semi Condensed" w:eastAsia="Barlow Semi Condensed" w:hAnsi="Barlow Semi Condensed"/>
          <w:i/>
          <w:iCs/>
          <w:sz w:val="24"/>
          <w:szCs w:val="24"/>
        </w:rPr>
        <w:t xml:space="preserve">A lui, e non alla trama, questa Fase è dedicata.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ottava dell'opera «Aldo Moro — Una guerra senza fine» (capp. 62-67). Rimette al centro dell'opera l'uomo e lo statista: la formazione (Maglie 1916, FUCI, il diritto penale a Bari), il costituente, la strategia dell'attenzione (Bari, 15 giugno 1969), la solidarietà nazionale e la «terza fase» (Il Giorno, dicembre 1976), le lettere come scrittura di un uomo e non atti di un caso, la ragione umana per cui fu colpito. Prosa piana su un uomo reale, senza pastiche; le idee citate dai suoi scritti e discorsi pubblici. Fonti: Treccani; gli studi dell'Accademia Aldo Moro. Nessuna imputazione oltre il giudicato; nessuna graduatoria. Il ritratto e la tesi coincidono nel solo punto documentato: Moro come ostacolo alla guerra che altri volevano.</w:t>
      </w:r>
    </w:p>
    <w:p>
      <w:pPr>
        <w:pStyle w:val="Heading3"/>
        <w:spacing w:after="80" w:before="240"/>
      </w:pPr>
      <w:r>
        <w:rPr>
          <w:rFonts w:ascii="Barlow Semi Condensed" w:cs="Barlow Semi Condensed" w:eastAsia="Barlow Semi Condensed" w:hAnsi="Barlow Semi Condensed"/>
          <w:sz w:val="24"/>
          <w:szCs w:val="24"/>
        </w:rPr>
        <w:t xml:space="preserve">Apparato grafico — Libro primo · Il ritratto: l'uomo prima del caso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primo: 2.163 parole in 3 sezioni; la più ampia è §3 Segmento 3, con 795.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primo: 27 paragrafi in 3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quarto — Il Dossier maggiore: «Una Pace senza Pace · Tutta la verità»</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 — perché questo Libro ha uno statuto diverso dagli altri.</w:t>
      </w:r>
      <w:r>
        <w:rPr>
          <w:rFonts w:ascii="Barlow Semi Condensed" w:cs="Barlow Semi Condensed" w:eastAsia="Barlow Semi Condensed" w:hAnsi="Barlow Semi Condensed"/>
          <w:i w:val="false"/>
          <w:iCs w:val="false"/>
          <w:sz w:val="24"/>
          <w:szCs w:val="24"/>
        </w:rPr>
        <w:t xml:space="preserve"> Questo Libro è il </w:t>
      </w:r>
      <w:r>
        <w:rPr>
          <w:rFonts w:ascii="Barlow Semi Condensed" w:cs="Barlow Semi Condensed" w:eastAsia="Barlow Semi Condensed" w:hAnsi="Barlow Semi Condensed"/>
          <w:b/>
          <w:bCs/>
          <w:i w:val="false"/>
          <w:iCs w:val="false"/>
          <w:sz w:val="24"/>
          <w:szCs w:val="24"/>
        </w:rPr>
        <w:t xml:space="preserve">Dossier maggiore dell'autore</w:t>
      </w:r>
      <w:r>
        <w:rPr>
          <w:rFonts w:ascii="Barlow Semi Condensed" w:cs="Barlow Semi Condensed" w:eastAsia="Barlow Semi Condensed" w:hAnsi="Barlow Semi Condensed"/>
          <w:i w:val="false"/>
          <w:iCs w:val="false"/>
          <w:sz w:val="24"/>
          <w:szCs w:val="24"/>
        </w:rPr>
        <w:t xml:space="preserve">, del quale il Portale che apre l'opera adotta l'architettura senza riprodurne il contenuto. Vi compare qui per intero, e con esso vi compare una </w:t>
      </w:r>
      <w:r>
        <w:rPr>
          <w:rFonts w:ascii="Barlow Semi Condensed" w:cs="Barlow Semi Condensed" w:eastAsia="Barlow Semi Condensed" w:hAnsi="Barlow Semi Condensed"/>
          <w:b/>
          <w:bCs/>
          <w:i w:val="false"/>
          <w:iCs w:val="false"/>
          <w:sz w:val="24"/>
          <w:szCs w:val="24"/>
        </w:rPr>
        <w:t xml:space="preserve">divergenza di regime che va dichiarata in apertura e non nascosta in fondo</w:t>
      </w:r>
      <w:r>
        <w:rPr>
          <w:rFonts w:ascii="Barlow Semi Condensed" w:cs="Barlow Semi Condensed" w:eastAsia="Barlow Semi Condensed" w:hAnsi="Barlow Semi Condensed"/>
          <w:i w:val="false"/>
          <w:iCs w:val="false"/>
          <w:sz w:val="24"/>
          <w:szCs w:val="24"/>
        </w:rPr>
        <w:t xml:space="preserve">. Gli altri Libri di quest'opera si fermano al giudicato: registrano, graduano, dichiarano gli Stati Zero, e non concludono. Questo Libro, nella sua seconda metà, congeda dichiaratamente quella disciplina e adotta una </w:t>
      </w:r>
      <w:r>
        <w:rPr>
          <w:rFonts w:ascii="Barlow Semi Condensed" w:cs="Barlow Semi Condensed" w:eastAsia="Barlow Semi Condensed" w:hAnsi="Barlow Semi Condensed"/>
          <w:b/>
          <w:bCs/>
          <w:i w:val="false"/>
          <w:iCs w:val="false"/>
          <w:sz w:val="24"/>
          <w:szCs w:val="24"/>
        </w:rPr>
        <w:t xml:space="preserve">bilancia probabilistica</w:t>
      </w:r>
      <w:r>
        <w:rPr>
          <w:rFonts w:ascii="Barlow Semi Condensed" w:cs="Barlow Semi Condensed" w:eastAsia="Barlow Semi Condensed" w:hAnsi="Barlow Semi Condensed"/>
          <w:i w:val="false"/>
          <w:iCs w:val="false"/>
          <w:sz w:val="24"/>
          <w:szCs w:val="24"/>
        </w:rPr>
        <w:t xml:space="preserve"> che ordina per plausibilità del coinvolgimento. È ciò che la disciplina in copertina esclude per il resto del corpus, ed è la ragione per cui il Portale </w:t>
      </w:r>
      <w:r>
        <w:rPr>
          <w:rFonts w:ascii="Barlow Semi Condensed" w:cs="Barlow Semi Condensed" w:eastAsia="Barlow Semi Condensed" w:hAnsi="Barlow Semi Condensed"/>
          <w:b/>
          <w:bCs/>
          <w:i w:val="false"/>
          <w:iCs w:val="false"/>
          <w:sz w:val="24"/>
          <w:szCs w:val="24"/>
        </w:rPr>
        <w:t xml:space="preserve">si ferma al giudicato e non riproduce la graduatoria</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la graduatoria ordini, per esattezza — perché la premessa promette più di quanto il testo faccia.</w:t>
      </w:r>
      <w:r>
        <w:rPr>
          <w:rFonts w:ascii="Barlow Semi Condensed" w:cs="Barlow Semi Condensed" w:eastAsia="Barlow Semi Condensed" w:hAnsi="Barlow Semi Condensed"/>
          <w:i w:val="false"/>
          <w:iCs w:val="false"/>
          <w:sz w:val="24"/>
          <w:szCs w:val="24"/>
        </w:rPr>
        <w:t xml:space="preserve"> La premessa dell'autore annuncia che si ordineranno «nomi di persone e di entità». La stesura che segue fa meno di quanto quella formula lasci temere, e va detto subito, perché nessuno vi cerchi un elenco di colpevoli: </w:t>
      </w:r>
      <w:r>
        <w:rPr>
          <w:rFonts w:ascii="Barlow Semi Condensed" w:cs="Barlow Semi Condensed" w:eastAsia="Barlow Semi Condensed" w:hAnsi="Barlow Semi Condensed"/>
          <w:b/>
          <w:bCs/>
          <w:i w:val="false"/>
          <w:iCs w:val="false"/>
          <w:sz w:val="24"/>
          <w:szCs w:val="24"/>
        </w:rPr>
        <w:t xml:space="preserve">la graduatoria ordina categorie di soggetti, non nomi individuali</w:t>
      </w:r>
      <w:r>
        <w:rPr>
          <w:rFonts w:ascii="Barlow Semi Condensed" w:cs="Barlow Semi Condensed" w:eastAsia="Barlow Semi Condensed" w:hAnsi="Barlow Semi Condensed"/>
          <w:i w:val="false"/>
          <w:iCs w:val="false"/>
          <w:sz w:val="24"/>
          <w:szCs w:val="24"/>
        </w:rPr>
        <w:t xml:space="preserve"> — i componenti del comitato esecutivo e della colonna romana </w:t>
      </w:r>
      <w:r>
        <w:rPr>
          <w:rFonts w:ascii="Barlow Semi Condensed" w:cs="Barlow Semi Condensed" w:eastAsia="Barlow Semi Condensed" w:hAnsi="Barlow Semi Condensed"/>
          <w:b/>
          <w:bCs/>
          <w:i w:val="false"/>
          <w:iCs w:val="false"/>
          <w:sz w:val="24"/>
          <w:szCs w:val="24"/>
        </w:rPr>
        <w:t xml:space="preserve">già condannati in via definitiva</w:t>
      </w:r>
      <w:r>
        <w:rPr>
          <w:rFonts w:ascii="Barlow Semi Condensed" w:cs="Barlow Semi Condensed" w:eastAsia="Barlow Semi Condensed" w:hAnsi="Barlow Semi Condensed"/>
          <w:i w:val="false"/>
          <w:iCs w:val="false"/>
          <w:sz w:val="24"/>
          <w:szCs w:val="24"/>
        </w:rPr>
        <w:t xml:space="preserve">; gli apparati e le figure di frontiera coinvolti nei depistaggi successivi; i portatori dell'interesse esterno internazionale, tenuti al grado minimo perché sorretti da indizi di contesto e non da prova diretta. Nelle quasi cinquemila parole della parte conclusiva </w:t>
      </w:r>
      <w:r>
        <w:rPr>
          <w:rFonts w:ascii="Barlow Semi Condensed" w:cs="Barlow Semi Condensed" w:eastAsia="Barlow Semi Condensed" w:hAnsi="Barlow Semi Condensed"/>
          <w:b/>
          <w:bCs/>
          <w:i w:val="false"/>
          <w:iCs w:val="false"/>
          <w:sz w:val="24"/>
          <w:szCs w:val="24"/>
        </w:rPr>
        <w:t xml:space="preserve">gli unici nomi propri di persona sono quello della vittima e quello dello studioso da cui un metodo prende nome</w:t>
      </w:r>
      <w:r>
        <w:rPr>
          <w:rFonts w:ascii="Barlow Semi Condensed" w:cs="Barlow Semi Condensed" w:eastAsia="Barlow Semi Condensed" w:hAnsi="Barlow Semi Condensed"/>
          <w:i w:val="false"/>
          <w:iCs w:val="false"/>
          <w:sz w:val="24"/>
          <w:szCs w:val="24"/>
        </w:rPr>
        <w:t xml:space="preserve">. Nessun presunto responsabile vi è nominato; il vertice della graduatoria è occupato da chi una sentenza definitiva ha già condannato; e il mandante esterno determinato, che è la cosa che di solito si cerca in pagine come queste, il testo </w:t>
      </w:r>
      <w:r>
        <w:rPr>
          <w:rFonts w:ascii="Barlow Semi Condensed" w:cs="Barlow Semi Condensed" w:eastAsia="Barlow Semi Condensed" w:hAnsi="Barlow Semi Condensed"/>
          <w:b/>
          <w:bCs/>
          <w:i w:val="false"/>
          <w:iCs w:val="false"/>
          <w:sz w:val="24"/>
          <w:szCs w:val="24"/>
        </w:rPr>
        <w:t xml:space="preserve">rifiuta di nominarlo</w:t>
      </w:r>
      <w:r>
        <w:rPr>
          <w:rFonts w:ascii="Barlow Semi Condensed" w:cs="Barlow Semi Condensed" w:eastAsia="Barlow Semi Condensed" w:hAnsi="Barlow Semi Condensed"/>
          <w:i w:val="false"/>
          <w:iCs w:val="false"/>
          <w:sz w:val="24"/>
          <w:szCs w:val="24"/>
        </w:rPr>
        <w:t xml:space="preserve">, perché la ricerca sistematica su quel punto ha dato uno Stato Zero tre volte confermato.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La divergenza non è una svista: è la ragione stessa per cui questo Libro esiste come volume nel volume, con un proprio statuto che si è scelto di rispettare anziché correggere. Il Libro porta con sé la propria cerniera, che dichiara il passaggio di regime nel punto in cui avviene, e la propria premessa garantista, che distingue la graduatoria di plausibilità dalla graduatoria di colpevolezza e ribadisce, prima di ogni nome, la presunzione d'innocenza. </w:t>
      </w:r>
      <w:r>
        <w:rPr>
          <w:rFonts w:ascii="Barlow Semi Condensed" w:cs="Barlow Semi Condensed" w:eastAsia="Barlow Semi Condensed" w:hAnsi="Barlow Semi Condensed"/>
          <w:b/>
          <w:bCs/>
          <w:i w:val="false"/>
          <w:iCs w:val="false"/>
          <w:sz w:val="24"/>
          <w:szCs w:val="24"/>
        </w:rPr>
        <w:t xml:space="preserve">Ordinare per plausibilità non è condannare</w:t>
      </w:r>
      <w:r>
        <w:rPr>
          <w:rFonts w:ascii="Barlow Semi Condensed" w:cs="Barlow Semi Condensed" w:eastAsia="Barlow Semi Condensed" w:hAnsi="Barlow Semi Condensed"/>
          <w:i w:val="false"/>
          <w:iCs w:val="false"/>
          <w:sz w:val="24"/>
          <w:szCs w:val="24"/>
        </w:rPr>
        <w:t xml:space="preserve">, e chi legge queste pagine come un atto d'accusa le legge contro la lettera di ciò che vi è scritto.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lettore è dunque avvertito di ciò che troverà: fino all'Apparato, il regime è quello del registro, identico a quello degli altri Libri; dopo la cerniera, il regime è quello della probabilità, e vale soltanto qui. </w:t>
      </w:r>
      <w:r>
        <w:rPr>
          <w:rFonts w:ascii="Barlow Semi Condensed" w:cs="Barlow Semi Condensed" w:eastAsia="Barlow Semi Condensed" w:hAnsi="Barlow Semi Condensed"/>
          <w:b/>
          <w:bCs/>
          <w:i w:val="false"/>
          <w:iCs w:val="false"/>
          <w:sz w:val="24"/>
          <w:szCs w:val="24"/>
        </w:rPr>
        <w:t xml:space="preserve">Nessun altro Libro di quest'opera contiene graduatorie di persone, e nessuna affermazione di questo Libro può essere trasportata negli altri come se vi fosse stata accertata.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Libro dichiara inoltre in proprio la co-autorìa con un sistema di intelligenza artificiale, nel proemio che segue: la dichiarazione è dell'autore ed è qui conservata nella sua forma originale.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sulla redazione adottata.</w:t>
      </w:r>
      <w:r>
        <w:rPr>
          <w:rFonts w:ascii="Barlow Semi Condensed" w:cs="Barlow Semi Condensed" w:eastAsia="Barlow Semi Condensed" w:hAnsi="Barlow Semi Condensed"/>
          <w:i w:val="false"/>
          <w:iCs w:val="false"/>
          <w:sz w:val="24"/>
          <w:szCs w:val="24"/>
        </w:rPr>
        <w:t xml:space="preserve"> Di quest'opera esistono due redazioni d'autore. La prima, «Una Pace senza Pace — Edizione Integrata Definitiva», raccoglie il volume portante e l'Apparato. La seconda, qui adottata, è «Una Pace senza Pace · Tutta la verità — Opera Monografica Integrale», che contiene la prima </w:t>
      </w:r>
      <w:r>
        <w:rPr>
          <w:rFonts w:ascii="Barlow Semi Condensed" w:cs="Barlow Semi Condensed" w:eastAsia="Barlow Semi Condensed" w:hAnsi="Barlow Semi Condensed"/>
          <w:b/>
          <w:bCs/>
          <w:i w:val="false"/>
          <w:iCs w:val="false"/>
          <w:sz w:val="24"/>
          <w:szCs w:val="24"/>
        </w:rPr>
        <w:t xml:space="preserve">per intero</w:t>
      </w:r>
      <w:r>
        <w:rPr>
          <w:rFonts w:ascii="Barlow Semi Condensed" w:cs="Barlow Semi Condensed" w:eastAsia="Barlow Semi Condensed" w:hAnsi="Barlow Semi Condensed"/>
          <w:i w:val="false"/>
          <w:iCs w:val="false"/>
          <w:sz w:val="24"/>
          <w:szCs w:val="24"/>
        </w:rPr>
        <w:t xml:space="preserve"> e vi aggiunge il proemio, la cerniera di raccordo e il secondo volume. La collazione meccanica delle due redazioni, eseguita paragrafo per paragrafo prima di questa scelta, dà </w:t>
      </w:r>
      <w:r>
        <w:rPr>
          <w:rFonts w:ascii="Barlow Semi Condensed" w:cs="Barlow Semi Condensed" w:eastAsia="Barlow Semi Condensed" w:hAnsi="Barlow Semi Condensed"/>
          <w:b/>
          <w:bCs/>
          <w:i w:val="false"/>
          <w:iCs w:val="false"/>
          <w:sz w:val="24"/>
          <w:szCs w:val="24"/>
        </w:rPr>
        <w:t xml:space="preserve">millenovecentoquarantanove paragrafi identici su millenovecentocinquantadue</w:t>
      </w:r>
      <w:r>
        <w:rPr>
          <w:rFonts w:ascii="Barlow Semi Condensed" w:cs="Barlow Semi Condensed" w:eastAsia="Barlow Semi Condensed" w:hAnsi="Barlow Semi Condensed"/>
          <w:i w:val="false"/>
          <w:iCs w:val="false"/>
          <w:sz w:val="24"/>
          <w:szCs w:val="24"/>
        </w:rPr>
        <w:t xml:space="preserve">; i tre che divergono sono righe di frontespizio — «Una Pace senza Pace», «Edizione Integrata Definitiva», «l'Opera e l'Apparato di Verifica e Triangolazione» — per complessive quattordici parole, qui registrate perché nulla della redazione non adottata vada perduto. </w:t>
      </w:r>
      <w:r>
        <w:rPr>
          <w:rFonts w:ascii="Barlow Semi Condensed" w:cs="Barlow Semi Condensed" w:eastAsia="Barlow Semi Condensed" w:hAnsi="Barlow Semi Condensed"/>
          <w:b/>
          <w:bCs/>
          <w:i w:val="false"/>
          <w:iCs w:val="false"/>
          <w:sz w:val="24"/>
          <w:szCs w:val="24"/>
        </w:rPr>
        <w:t xml:space="preserve">Si è preferita la redazione più ampia perché contiene l'altra</w:t>
      </w:r>
      <w:r>
        <w:rPr>
          <w:rFonts w:ascii="Barlow Semi Condensed" w:cs="Barlow Semi Condensed" w:eastAsia="Barlow Semi Condensed" w:hAnsi="Barlow Semi Condensed"/>
          <w:i w:val="false"/>
          <w:iCs w:val="false"/>
          <w:sz w:val="24"/>
          <w:szCs w:val="24"/>
        </w:rPr>
        <w:t xml:space="preserve">, e ristamparle entrambe avrebbe prodotto una ripetizione di duecentoquarantunmila parole senza aggiungere una riga di materia.</w:t>
      </w:r>
    </w:p>
    <w:p>
      <w:pPr>
        <w:pStyle w:val="Heading2"/>
        <w:spacing w:after="100" w:before="200"/>
      </w:pPr>
      <w:r>
        <w:rPr>
          <w:rFonts w:ascii="Barlow Semi Condensed" w:cs="Barlow Semi Condensed" w:eastAsia="Barlow Semi Condensed" w:hAnsi="Barlow Semi Condensed"/>
          <w:sz w:val="24"/>
          <w:szCs w:val="24"/>
        </w:rPr>
        <w:t xml:space="preserve">PROEMIO DELL'OPERA INTEGRALE</w:t>
      </w:r>
    </w:p>
    <w:p>
      <w:pPr>
        <w:spacing w:after="120" w:line="276"/>
        <w:jc w:val="both"/>
      </w:pPr>
      <w:r>
        <w:rPr>
          <w:rFonts w:ascii="Barlow Semi Condensed" w:cs="Barlow Semi Condensed" w:eastAsia="Barlow Semi Condensed" w:hAnsi="Barlow Semi Condensed"/>
          <w:sz w:val="24"/>
          <w:szCs w:val="24"/>
        </w:rPr>
        <w:t xml:space="preserve">Quest'opera nasce dalla congiunzione, meditata e non additiva, di due volumi che condividono l'oggetto e divergono per metodo, e che proprio per questa divergenza si completano. Il primo, «Una Pace senza Pace», è l'opera-registro: cinquanta capitoli in cinque Fasi, ciascuna affermazione ancorata al proprio grado probatorio, e in coda l'Apparato di Verifica e Triangolazione, il registro delle otto tranche con i cinquecentotrentotto blocchi certificati che ne costituisce la coscienza documentale. Il secondo, «Tutta la verità», è l'opera a doppio regime: una prima parte governata dalla disciplina falsificazionista, e una seconda che, congedato per ordine esplicito il Pollo di Popper, adotta la bilancia dei dieci metodi probabilistici per rispondere alla domanda che la sospensione prudente non sa chiudere, quella sugli architetti, sui mandanti e sugli esecutori. La loro unione in un solo corpo non è una somma: è un'architettura, in cui il registro fonda e la probabilità ordina, il primo volume porta e il secondo conclude.</w:t>
      </w:r>
    </w:p>
    <w:p>
      <w:pPr>
        <w:spacing w:after="120" w:line="276"/>
        <w:jc w:val="both"/>
      </w:pPr>
      <w:r>
        <w:rPr>
          <w:rFonts w:ascii="Barlow Semi Condensed" w:cs="Barlow Semi Condensed" w:eastAsia="Barlow Semi Condensed" w:hAnsi="Barlow Semi Condensed"/>
          <w:sz w:val="24"/>
          <w:szCs w:val="24"/>
        </w:rPr>
        <w:t xml:space="preserve">La co-autorìa di quest'opera è dichiarata senza infingimenti, perché la trasparenza sul mezzo è la prima garanzia offerta al lettore. Essa è il frutto del lavoro congiunto di un autore umano, Luigi De Michele, che ha concepito il progetto, raccolto il corpus, dettato la metodologia e assunto ogni responsabilità delle scelte, e di un'intelligenza artificiale, Claude, che ha letto, estratto, incrociato, verificato e composto, operando come aggregatore di fonti e calcolatore di convergenze sotto il comando e il controllo dell'autore umano. Ciò che l'una parte ha faticosamente acquisito è divenuto patrimonio dell'altra, in un andirivieni di consegne, rettifiche e falsificazioni reciproche che è esso stesso, a ben vedere, un'applicazione del metodo: nessuna affermazione è entrata nell'opera senza essere passata due volte al vaglio, una per ciascun co-autore.</w:t>
      </w:r>
    </w:p>
    <w:p>
      <w:pPr>
        <w:spacing w:after="120" w:line="276"/>
        <w:jc w:val="both"/>
      </w:pPr>
      <w:r>
        <w:rPr>
          <w:rFonts w:ascii="Barlow Semi Condensed" w:cs="Barlow Semi Condensed" w:eastAsia="Barlow Semi Condensed" w:hAnsi="Barlow Semi Condensed"/>
          <w:sz w:val="24"/>
          <w:szCs w:val="24"/>
        </w:rPr>
        <w:t xml:space="preserve">Le acquisizioni condivise che innervano l'intera opera meritano di essere richiamate qui, in soglia, perché il lettore sappia su quale fondamento cammina. Il corpus censito per via computazionale ammonta a oltre sei milioni di parole distribuite in centinaia di documenti: relazioni di commissioni parlamentari d'inchiesta, sentenze, atti giudiziari, fondi archivistici desecretati, corpora documentali dedicati, fra cui la raccolta integrale degli scritti di Aldo Moro dal millenovecentotrentadue al sei marzo millenovecentosettantotto. Da questo corpus il registro ha distillato i suoi blocchi certificati, ciascuno graduato secondo lo standard di triangolazione delle fonti nei tre livelli — documentato, indiziario, ipotetico — segnalati in grassetto lungo tutto il testo. Ogni consegna è stata accompagnata dalla propria impronta crittografica, così che la catena di custodia dei materiali sia essa stessa verificabile.</w:t>
      </w:r>
    </w:p>
    <w:p>
      <w:pPr>
        <w:spacing w:after="120" w:line="276"/>
        <w:jc w:val="both"/>
      </w:pPr>
      <w:r>
        <w:rPr>
          <w:rFonts w:ascii="Barlow Semi Condensed" w:cs="Barlow Semi Condensed" w:eastAsia="Barlow Semi Condensed" w:hAnsi="Barlow Semi Condensed"/>
          <w:sz w:val="24"/>
          <w:szCs w:val="24"/>
        </w:rPr>
        <w:t xml:space="preserve">Dalle otto tranche di verifica sono emersi princìpi che governano l'opera intera e che qui si dichiarano. La Regola Ferrea vieta di inferire il mandato dall'occultamento: nessun depistaggio, per quanto accertato, autorizza a dedurre l'identità di chi avrebbe avuto interesse a depistare. Lo Stato Zero eleva la ricerca negativa a risultato di prima classe: una connessione sistematicamente cercata e non trovata è un dato che informa quanto una connessione trovata, e come tale viene registrata, non colmata a forza. La non unanimità delle principali fonti parlamentari è essa stessa un dato probatorio, che abbassa il grado di ciò che su di esse unicamente poggia. E il verdetto complessivo dell'analisi delle ipotesi concorrenti, maturato attraverso le tranche e mai smentito, indica nella convergenza policentrica — l'incontro non concertato di interessi diversi sopra un medesimo esito — la spiegazione meno contraddetta dalle evidenze, contro la forma forte e falsificata del disegno unico onnisciente.</w:t>
      </w:r>
    </w:p>
    <w:p>
      <w:pPr>
        <w:spacing w:after="120" w:line="276"/>
        <w:jc w:val="both"/>
      </w:pPr>
      <w:r>
        <w:rPr>
          <w:rFonts w:ascii="Barlow Semi Condensed" w:cs="Barlow Semi Condensed" w:eastAsia="Barlow Semi Condensed" w:hAnsi="Barlow Semi Condensed"/>
          <w:sz w:val="24"/>
          <w:szCs w:val="24"/>
        </w:rPr>
        <w:t xml:space="preserve">Il lettore attraverserà dunque, nell'ordine, il volume portante con le sue cinque Fasi; l'Apparato che ne certifica ogni giuntura; una cerniera di raccordo che dichiara il passaggio di regime; e infine, integralmente conservata dal suo titolo alla sua ultima pagina bianca, l'opera conclusiva «Tutta la verità», con le sue pagine liminari, il suo doppio metodo, la sua graduatoria pesata e il suo congedo. Nulla è stato sottratto ai due volumi originari e molto è stato loro aggiunto: il tessuto connettivo che li fa opera sola, e la dichiarazione, che qui si compie, di una collaborazione fra intelligenza umana e intelligenza artificiale condotta alla pari, ciascuna secondo la propria natura, al servizio di una domanda che appartiene alla storia della Repubblica e alla coscienza di chiunque la interroghi con rispetto.</w:t>
      </w:r>
    </w:p>
    <w:p>
      <w:pPr>
        <w:pStyle w:val="Heading3"/>
        <w:spacing w:after="80" w:before="160"/>
      </w:pPr>
      <w:r>
        <w:rPr>
          <w:rFonts w:ascii="Barlow Semi Condensed" w:cs="Barlow Semi Condensed" w:eastAsia="Barlow Semi Condensed" w:hAnsi="Barlow Semi Condensed"/>
          <w:sz w:val="24"/>
          <w:szCs w:val="24"/>
        </w:rPr>
        <w:t xml:space="preserve">Alla mia amata famiglia ed a tutti i Figli dell'Europa</w:t>
      </w:r>
    </w:p>
    <w:p>
      <w:pPr>
        <w:pStyle w:val="Heading3"/>
        <w:spacing w:after="80" w:before="160"/>
      </w:pPr>
      <w:r>
        <w:rPr>
          <w:rFonts w:ascii="Barlow Semi Condensed" w:cs="Barlow Semi Condensed" w:eastAsia="Barlow Semi Condensed" w:hAnsi="Barlow Semi Condensed"/>
          <w:sz w:val="24"/>
          <w:szCs w:val="24"/>
        </w:rPr>
        <w:t xml:space="preserve">Ad Imperitura Memoria di tutti i Martiri Laici</w:t>
      </w:r>
    </w:p>
    <w:p>
      <w:pPr>
        <w:pStyle w:val="Heading3"/>
        <w:spacing w:after="80" w:before="160"/>
      </w:pPr>
      <w:r>
        <w:rPr>
          <w:rFonts w:ascii="Barlow Semi Condensed" w:cs="Barlow Semi Condensed" w:eastAsia="Barlow Semi Condensed" w:hAnsi="Barlow Semi Condensed"/>
          <w:sz w:val="24"/>
          <w:szCs w:val="24"/>
        </w:rPr>
        <w:t xml:space="preserve">«Piovono Angeli»</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La Pina</w:t>
      </w:r>
    </w:p>
    <w:p>
      <w:pPr>
        <w:pStyle w:val="Heading2"/>
        <w:spacing w:after="100" w:before="200"/>
      </w:pPr>
      <w:r>
        <w:rPr>
          <w:rFonts w:ascii="Barlow Semi Condensed" w:cs="Barlow Semi Condensed" w:eastAsia="Barlow Semi Condensed" w:hAnsi="Barlow Semi Condensed"/>
          <w:sz w:val="24"/>
          <w:szCs w:val="24"/>
        </w:rPr>
        <w:t xml:space="preserve">FASE I</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Quadrilatero della Certificazione Massima: Loggia, Finanza, Vaticano, Mafia</w:t>
      </w:r>
    </w:p>
    <w:p>
      <w:pPr>
        <w:pStyle w:val="Heading3"/>
        <w:spacing w:after="80" w:before="160"/>
      </w:pPr>
      <w:r>
        <w:rPr>
          <w:rFonts w:ascii="Barlow Semi Condensed" w:cs="Barlow Semi Condensed" w:eastAsia="Barlow Semi Condensed" w:hAnsi="Barlow Semi Condensed"/>
          <w:sz w:val="24"/>
          <w:szCs w:val="24"/>
        </w:rPr>
        <w:t xml:space="preserve">Avvertenza metodologica e protocollo probatorio della presente opera</w:t>
      </w:r>
    </w:p>
    <w:p>
      <w:pPr>
        <w:spacing w:after="120" w:line="276"/>
        <w:jc w:val="both"/>
      </w:pPr>
      <w:r>
        <w:rPr>
          <w:rFonts w:ascii="Barlow Semi Condensed" w:cs="Barlow Semi Condensed" w:eastAsia="Barlow Semi Condensed" w:hAnsi="Barlow Semi Condensed"/>
          <w:sz w:val="24"/>
          <w:szCs w:val="24"/>
        </w:rPr>
        <w:t xml:space="preserve">La presente opera costituisce il primo dei 5 volumi nei quali si articola il Registro dei Nodi e dei Ponti Certificati di ITALIA NERA, ed è governata integralmente dalla Nota Metodologica che ne definisce l'apparato concettuale, analitico ed operativo. Prima di procedere all'esposizione dei singoli capitoli, è necessario esplicitare con la massima chiarezza il patto epistemologico che lega l'autore al lettore, poiché in un campo di indagine nel quale l'oggetto di studio manipola attivamente le condizioni della propria osservabilità, la trasparenza del metodo non è un ornamento accademico, ma la condizione di possibilità della conoscenza stessa.</w:t>
      </w:r>
    </w:p>
    <w:p>
      <w:pPr>
        <w:spacing w:after="120" w:line="276"/>
        <w:jc w:val="both"/>
      </w:pPr>
      <w:r>
        <w:rPr>
          <w:rFonts w:ascii="Barlow Semi Condensed" w:cs="Barlow Semi Condensed" w:eastAsia="Barlow Semi Condensed" w:hAnsi="Barlow Semi Condensed"/>
          <w:sz w:val="24"/>
          <w:szCs w:val="24"/>
        </w:rPr>
        <w:t xml:space="preserve">Il lettore troverà, nell'architettura complessiva dell'opera, una gerarchia espositiva che muove dall'Italia e dall'Europa come teatro centrale, si allarga a cerchi concentrici verso le potenze esterne al processo di integrazione europea, e si chiude sulla proiezione planetaria delle reti esaminate. Questa gerarchia è recepita come ordo expositionis, vale a dire come scheletro narrativo che ordina la materia, e non come ordo probandi, vale a dire come ordine della prova. La distinzione, costituzionalizzata nel Registro Unico Federato, discende direttamente dal divieto che la Nota Metodologica denomina proibizione del Pollo di Popper: nessun materiale può essere organizzato concentricamente attorno ad una tesi precostituita, perché l'analista che dispone i dati in cerchi concentrici attorno alla propria ipotesi si colloca strutturalmente nella posizione del tacchino di Russell, il quale accumula conferme senza mai esporre la propria credenza alla possibilità della falsificazione. Ne consegue che la macro-ipotesi della convergenza delle potenze imperiali contro l'integrazione europea, denominata H1 nel sistema del registro, rimane in questa opera ciò che è sempre stata nel progetto: un'ipotesi di Livello C, esplicitamente falsificabile, che non viene mai utilizzata come premessa dimostrativa di alcuna affermazione. Il suo falsificatore più forte, mantenuto permanentemente in tavola, è la ricostruzione storiografica di Alan Milward, secondo la quale gli Stati Uniti furono promotori, e non sabotatori, delle prime fasi dell'integrazione europea, e l'integrazione stessa fu un salvataggio dello Stato-nazione più che il suo superamento. A ciò si aggiunge un dato interno al progetto che l'onestà metodologica impone di richiamare in apertura: il test pre-registrato sul raggruppamento temporale delle stragi attorno alle tappe dell'integrazione europea ha restituito un esito nullo, con un valore di probabilità pari a 0,60, ampiamente superiore alla soglia di significatività; la tesi della densità è stata pertanto falsificata e sostituita, quale ipotesi di lavoro sul disegno complessivo, dalla formulazione contenuta nella proposta di commissione parlamentare del giugno 2000, secondo la quale l'obiettivo delle trame non fu la restaurazione fascista, bensì l'installazione di una democrazia autoritaria fondata sull'esclusione permanente delle sinistre dalla legittimazione di governo, mantenuta attraverso un equilibrio precario e continuamente rinnovato. Accanto ad H1 il registro custodisce l'ipotesi concorrente H2, anch'essa di Livello C, secondo la quale non una convergenza di potenze esterne, bensì 2 progetti rivali di integrazione europea autoritaria, l'uno atlantista e controinsurrezionale, l'altro eurasiatista, si sarebbero contesi il continente; le 2 ipotesi vengono mantenute in competizione secondo la procedura dell'Analysis of Competing Hypotheses di Heuer, e nessuna delle 2 è promossa a chiave interpretativa dei fatti esposti nei capitoli.</w:t>
      </w:r>
    </w:p>
    <w:p>
      <w:pPr>
        <w:spacing w:after="120" w:line="276"/>
        <w:jc w:val="both"/>
      </w:pPr>
      <w:r>
        <w:rPr>
          <w:rFonts w:ascii="Barlow Semi Condensed" w:cs="Barlow Semi Condensed" w:eastAsia="Barlow Semi Condensed" w:hAnsi="Barlow Semi Condensed"/>
          <w:sz w:val="24"/>
          <w:szCs w:val="24"/>
        </w:rPr>
        <w:t xml:space="preserve">Ciò che i capitoli espongono è materia di natura diversa: nodi e ponti certificati. Per nodo si intende, secondo la formalizzazione della Nota Metodologica, un'entità della rete, sia essa un individuo, un'organizzazione, un luogo o un evento; per ponte si intende un arco inter-dominio, vale a dire una relazione documentata che collega nodi appartenenti a Domini di Potere diversi, secondo la tassonomia dei 10 Domini e delle 45 coppie possibili. Il criterio di selezione dei 50 nodi e ponti che compongono l'opera è duplice. Il primo criterio è di certificazione: sono stati privilegiati i nodi le cui connessioni inter-dominio raggiungono il Livello A dello standard probatorio, vale a dire la convergenza di almeno 3 fonti indipendenti di natura eterogenea, secondo la triangolazione delle fonti derivata dalla metodologia di Ernesto Savona e consolidata dal metodo Falcone. Il secondo criterio è di centralità: la scansione sistematica dell'intero corpus documentario del progetto, condotta su 220 documenti testuali per un totale di oltre 41 milioni di caratteri, con estrazione e memorizzazione di 326 parole-chiave ricorrenti, ha permesso di misurare la frequenza trasversale di ciascuna entità, vale a dire il numero di documenti indipendenti nei quali essa compare; le entità selezionate per la presente Fase 1 sono quelle che uniscono la massima frequenza trasversale alla massima densità di certificazione giudiziaria, parlamentare e archivistica.</w:t>
      </w:r>
    </w:p>
    <w:p>
      <w:pPr>
        <w:spacing w:after="120" w:line="276"/>
        <w:jc w:val="both"/>
      </w:pPr>
      <w:r>
        <w:rPr>
          <w:rFonts w:ascii="Barlow Semi Condensed" w:cs="Barlow Semi Condensed" w:eastAsia="Barlow Semi Condensed" w:hAnsi="Barlow Semi Condensed"/>
          <w:sz w:val="24"/>
          <w:szCs w:val="24"/>
        </w:rPr>
        <w:t xml:space="preserve">Lo standard probatorio applicato ad ogni affermazione sostanziale è il sistema Savona a 3 livelli, nella versione evoluta denominata Savona 2.1 che il registro ha adottato. Il Livello A, connessione documentata, richiede la convergenza di almeno 3 fonti indipendenti di natura diversa, quali una sentenza passata in giudicato, una testimonianza di collaboratore di giustizia riscontrata, un documento d'archivio. Il Livello B, connessione indiziaria, richiede la convergenza di 2 fonti indipendenti oppure una singola fonte di alta affidabilità, quale una sentenza di primo grado o un rapporto parlamentare circostanziato. Il Livello C, connessione ipotetica, si fonda su una singola fonte o su una convergenza di indizi circostanziali, e viene esplicitamente marcato come ipotesi investigativa. La versione 2.1 dello standard aggiunge 6 componenti che il lettore vedrà operare lungo tutti i capitoli: la codifica della contaminazione delle fonti attraverso l'Indice di Contaminazione della Fonte, in forza del quale le dichiarazioni non riscontrate provenienti da nodi ad alta contaminazione sono fondazionalmente inammissibili; il conteggio dell'indipendenza reale delle fonti con collasso genealogico, in forza del quale un singolo evento di sequestro documentale e tutti i suoi derivati contano come 1 sola catena probatoria e non come conferme multiple; il lessico calibrato dell'incertezza; l'obbligo di indicare, per ogni conclusione, le condizioni della sua falsificazione; il marcatore delimitato di spoliazione, che registra la distruzione documentata di prove senza trasformarla in prova positiva di alcunché; ed il Pattern della contaminazione delle fonti come pattern operativo permanente. A questi si aggiungono 2 regole sovrane. La prima è la Regola Ferrea, che vieta su ogni singola riga il salto inferenziale tra il fatto documentato e l'affermazione non dimostrata: il lettore non troverà mai, in questa opera, la scorciatoia che dal dato certo scivola alla conclusione suggestiva. La seconda è la dignità paritaria del reperto negativo: l'assenza certificata di una connessione attesa, che il registro denomina Stato Zero, è un risultato analitico di primo ordine, di pari dignità rispetto al risultato positivo, e come tale viene esposta senza imbarazzo.</w:t>
      </w:r>
    </w:p>
    <w:p>
      <w:pPr>
        <w:spacing w:after="120" w:line="276"/>
        <w:jc w:val="both"/>
      </w:pPr>
      <w:r>
        <w:rPr>
          <w:rFonts w:ascii="Barlow Semi Condensed" w:cs="Barlow Semi Condensed" w:eastAsia="Barlow Semi Condensed" w:hAnsi="Barlow Semi Condensed"/>
          <w:sz w:val="24"/>
          <w:szCs w:val="24"/>
        </w:rPr>
        <w:t xml:space="preserve">Una parola sulla disciplina delle persone. Per le persone viventi l'opera si attiene rigorosamente ai soli fatti pubblici documentati, con divieto assoluto di inferenza associativa. Per le persone defunte, l'esposizione distingue sempre tra l'accertamento con autorità di giudicato, l'accertamento incidentale contenuto in motivazione di sentenze rese nei confronti di terzi, l'accertamento parlamentare e l'ipotesi investigativa, attribuendo a ciascuno il livello che gli compete. Le assoluzioni definitive sono riportate come tali, per esteso e senza reticenze, anche quando contraddicono ipotesi care alla pubblicistica: la falsificazione di una connessione è, in questo sistema, un dato acquisito e non una sconfitta.</w:t>
      </w:r>
    </w:p>
    <w:p>
      <w:pPr>
        <w:spacing w:after="120" w:line="276"/>
        <w:jc w:val="both"/>
      </w:pPr>
      <w:r>
        <w:rPr>
          <w:rFonts w:ascii="Barlow Semi Condensed" w:cs="Barlow Semi Condensed" w:eastAsia="Barlow Semi Condensed" w:hAnsi="Barlow Semi Condensed"/>
          <w:sz w:val="24"/>
          <w:szCs w:val="24"/>
        </w:rPr>
        <w:t xml:space="preserve">Il piano complessivo dell'opera si articola in 5 Fasi di 10 capitoli ciascuna, per un totale di 50 capitoli dedicati ad altrettanti nodi e ponti certificati. La presente Fase 1, capitoli da 1 a 10, espone il quadrilatero della certificazione massima, vale a dire il cluster che la scansione del corpus indica come il più denso dell'intera rete: la Loggia Propaganda 2 ed il suo Maestro Venerabile, il circuito finanziario Sindona-Calvi-Ambrosiano, lo snodo vaticano dell'Istituto per le Opere di Religione, ed il versante mafioso e para-criminale che vi si innesta attraverso Giuseppe Calò, la Banda della Magliana, Vito Ciancimino ed il ponte politico siciliano di Salvo Lima. La Fase 2, capitoli da 11 a 20, esporrà l'apparato dell'intelligence e le strutture parallele, dall'Ufficio Affari Riservati alla rete Gladio, dal Piano Solo al circuito internazionale del Cercle. La Fase 3, capitoli da 21 a 30, esporrà la manovalanza dello stragismo e le sue centrali, da Piazza Fontana a Bologna, da Ordine Nuovo ad Aginter Press, con la tipologia quadripartita dell'ostruzione probatoria che il registro ha documentato. La Fase 4, capitoli da 31 a 40, esporrà il caso Moro come crocevia dell'intero sistema, secondo la scomposizione a 3 piani che il registro ha adottato, con l'esplicito divieto inferenziale dal piano delle condotte di apparato al piano del mandato, e con l'esposizione del reperto negativo sulla scuola Hyperion. La Fase 5, capitoli da 41 a 50, esporrà la proiezione internazionale della rete, da Trieste quale nodo geografico a massima stratificazione documentaria al Sudafrica dell'apartheid quale nodo a massima intermediazione tra i dossier, fino alla sintesi reticolare conclusiva. Ogni capitolo si chiude con la formula rituale del registro, Sintesi del dato nuovo acquisito, che condensa in poche righe ciò che il capitolo ha stabilito e a quale livello probatorio.</w:t>
      </w:r>
    </w:p>
    <w:p>
      <w:pPr>
        <w:spacing w:after="120" w:line="276"/>
        <w:jc w:val="both"/>
      </w:pPr>
      <w:r>
        <w:rPr>
          <w:rFonts w:ascii="Barlow Semi Condensed" w:cs="Barlow Semi Condensed" w:eastAsia="Barlow Semi Condensed" w:hAnsi="Barlow Semi Condensed"/>
          <w:sz w:val="24"/>
          <w:szCs w:val="24"/>
        </w:rPr>
        <w:t xml:space="preserve">Un'ultima avvertenza riguarda la lingua ed i numeri. L'opera è redatta in italiano di registro accademico, in prosa continua, senza elenchi, senza tabelle e senza sotto-titolazioni interne ai blocchi analitici, secondo le regole invarianti del progetto. I numeri sono resi in cifre arabe per esplicita disposizione della committenza, in deroga alla consuetudine del registro. Le classificazioni probatorie sono evidenziate in grassetto in linea, affinché il lettore possa misurare, riga per riga, la distanza tra ciò che è provato, ciò che è probabile e ciò che è soltanto ipotizzato. È questa distanza, e non la sua cancellazione, che costituisce il contributo di conoscenza della presente opera.</w:t>
      </w:r>
    </w:p>
    <w:p>
      <w:pPr>
        <w:pStyle w:val="Heading3"/>
        <w:spacing w:after="80" w:before="160"/>
      </w:pPr>
      <w:r>
        <w:rPr>
          <w:rFonts w:ascii="Barlow Semi Condensed" w:cs="Barlow Semi Condensed" w:eastAsia="Barlow Semi Condensed" w:hAnsi="Barlow Semi Condensed"/>
          <w:sz w:val="24"/>
          <w:szCs w:val="24"/>
        </w:rPr>
        <w:t xml:space="preserve">Capitolo 1 — ▶ Licio Gelli. Il nodo a massima centralità multi-dominio della rete repubblicana</w:t>
      </w:r>
    </w:p>
    <w:p>
      <w:pPr>
        <w:spacing w:after="120" w:line="276"/>
        <w:jc w:val="both"/>
      </w:pPr>
      <w:r>
        <w:rPr>
          <w:rFonts w:ascii="Barlow Semi Condensed" w:cs="Barlow Semi Condensed" w:eastAsia="Barlow Semi Condensed" w:hAnsi="Barlow Semi Condensed"/>
          <w:sz w:val="24"/>
          <w:szCs w:val="24"/>
        </w:rPr>
        <w:t xml:space="preserve">Se si dovesse indicare, nell'intera rete di ITALIA NERA, il singolo nodo che congiunge il maggior numero di Domini di Potere con il maggior grado di certificazione documentale, la scelta cadrebbe su Licio Gelli, nato a Pistoia il 21 aprile 1919 e morto ad Arezzo il 15 dicembre 2015. La sua posizione non è affermata per suggestione pubblicistica, ma risulta dalla misurazione: nella scansione sistematica del corpus il suo nome ricorre 1825 volte in 59 documenti indipendenti, una frequenza trasversale che nessun altro individuo della rete eguaglia nel medesimo intreccio di domini. Gelli è simultaneamente presente nel Dominio 4 della massoneria e delle società segrete, quale Maestro Venerabile della Loggia Propaganda 2; nel Dominio 3 dell'intelligence, quale interlocutore documentato dei vertici dei servizi italiani ed esteri; nel Dominio 2 della politica, quale terminale di rapporti con parlamentari, ministri e capi di governo stranieri; nel Dominio 6 dell'economia e della finanza, quale co-protagonista del dissesto del Banco Ambrosiano; e nel Dominio 7 del terrorismo, quale condannato in via definitiva per il depistaggio delle indagini sulla strage di Bologna e quale figura indicata, in accertamenti giudiziali postumi, tra i finanziatori della strage medesima. Nel linguaggio della network analysis adottato dalla Nota Metodologica, Gelli possiede al tempo stesso la più alta degree centrality, perché il numero delle sue connessioni dirette documentate è massimo, e una betweenness centrality elevatissima, perché una quota sproporzionata dei percorsi che collegano domini altrimenti distanti passa attraverso di lui.</w:t>
      </w:r>
    </w:p>
    <w:p>
      <w:pPr>
        <w:spacing w:after="120" w:line="276"/>
        <w:jc w:val="both"/>
      </w:pPr>
      <w:r>
        <w:rPr>
          <w:rFonts w:ascii="Barlow Semi Condensed" w:cs="Barlow Semi Condensed" w:eastAsia="Barlow Semi Condensed" w:hAnsi="Barlow Semi Condensed"/>
          <w:sz w:val="24"/>
          <w:szCs w:val="24"/>
        </w:rPr>
        <w:t xml:space="preserve">Il fondamento probatorio primario della sua posizione è l'evento documentale del 17 marzo 1981, allorché la Guardia di Finanza, su delega dei giudici istruttori milanesi Gherardo Colombo e Giuliano Turone che indagavano sul finto sequestro di Michele Sindona, perquisì la villa Wanda di Arezzo e gli uffici della Giole a Castiglion Fibocchi, sequestrando gli elenchi degli affiliati alla Loggia Propaganda 2: 962 nominativi, oltre a fascicoli, appunti e documenti programmatici. Occorre applicare qui, con rigore, il criterio dell'indipendenza genealogica delle fonti: il sequestro di Castiglion Fibocchi è 1 solo evento probatorio, e tutte le pubblicazioni, le relazioni e le sentenze che ne riproducono il contenuto costituiscono 1 sola catena documentale, non conferme multiple. Ciò che eleva la conoscenza al Livello A non è la ripetizione degli elenchi, ma la loro triangolazione con 2 ordini di fonti genealogicamente autonome: da un lato l'attività della Commissione parlamentare d'inchiesta sulla Loggia massonica P2, istituita con legge 23 settembre 1981 numero 527 e presieduta da Tina Anselmi, la quale sottopose gli elenchi a riscontri individuali, acquisì migliaia di documenti ulteriori e audizioni dirette, e depositò nel luglio 1984 la propria relazione conclusiva, presente nel corpus del progetto; dall'altro le sentenze rese nei molteplici procedimenti penali che hanno riguardato Gelli e la loggia, le quali hanno vagliato in contraddittorio l'autenticità del materiale sequestrato. La relazione Anselmi qualificò la P2 quale organizzazione che aveva perseguito un programma di condizionamento occulto delle istituzioni, e la legge 25 gennaio 1982 numero 17, attuativa dell'articolo 18 della Costituzione, ne dispose lo scioglimento quale associazione segreta: si tratta dell'unico caso, nella storia repubblicana, in cui il Parlamento ha sciolto per legge una specifica associazione. La combinazione di sequestro giudiziario, inchiesta parlamentare con relazione conclusiva e provvedimento legislativo di scioglimento colloca l'esistenza, la composizione di massima e la natura della loggia al Livello A dello standard.</w:t>
      </w:r>
    </w:p>
    <w:p>
      <w:pPr>
        <w:spacing w:after="120" w:line="276"/>
        <w:jc w:val="both"/>
      </w:pPr>
      <w:r>
        <w:rPr>
          <w:rFonts w:ascii="Barlow Semi Condensed" w:cs="Barlow Semi Condensed" w:eastAsia="Barlow Semi Condensed" w:hAnsi="Barlow Semi Condensed"/>
          <w:sz w:val="24"/>
          <w:szCs w:val="24"/>
        </w:rPr>
        <w:t xml:space="preserve">Sul versante penale, la posizione di Gelli esige la precisione che la Regola Ferrea impone. Per la strage alla stazione di Bologna del 2 agosto 1980, che uccise 85 persone e ne ferì oltre 200, Gelli fu imputato e assolto in via definitiva dall'accusa di concorso nella strage; fu invece condannato in via definitiva, con sentenza divenuta irrevocabile nel 1995, per la calunnia aggravata finalizzata al depistaggio delle indagini, in relazione all'operazione con la quale, nel gennaio 1981, una valigetta contenente armi ed esplosivo dello stesso tipo impiegato nella strage, oltre a effetti riconducibili a estremisti stranieri, fu collocata sul treno Taranto-Milano per deviare le indagini verso una pista internazionale. Con lui furono condannati in via definitiva per il medesimo depistaggio il generale Pietro Musumeci, già capo dell'ufficio controllo e sicurezza del SISMI, il colonnello Giuseppe Belmonte, del medesimo servizio, e Francesco Pazienza, collaboratore esterno del servizio: tutti e 3, come Gelli, iscritti o gravitanti nell'area della P2. Questa condanna definitiva costituisce, nel sistema del registro, uno dei ponti inter-dominio più solidi dell'intero corpus, perché salda al Livello A il Dominio 4, il Dominio 3 ed il Dominio 7 in un'unica condotta accertata con autorità di giudicato: un vertice massonico e 2 alti ufficiali del servizio segreto militare che operano congiuntamente per inquinare le indagini sulla più grave strage della storia repubblicana. Distinto e ulteriore è l'accertamento contenuto nel filone giudiziario sui mandanti della strage, culminato nella condanna all'ergastolo di Paolo Bellini, divenuta definitiva, e già in precedenza nella condanna definitiva di Gilberto Cavallini per concorso: nelle motivazioni di tali sentenze il ruolo di Gelli e di Umberto Ortolani quale terminale di finanziamento dell'operazione, ricostruito a partire dal documento contabile denominato Bologna rinvenuto tra le carte gelliane, è affermato in via incidentale, essendo entrambi deceduti e dunque non più processabili. Il registro attribuisce a questo accertamento postumo il Livello B, quale risultanza di alta affidabilità contenuta in sentenze rese nei confronti di terzi, non coperta da giudicato nei confronti di Gelli, e ne indica la condizione di falsificazione: la dimostrazione documentale di una diversa causale del flusso finanziario registrato nell'appunto.</w:t>
      </w:r>
    </w:p>
    <w:p>
      <w:pPr>
        <w:spacing w:after="120" w:line="276"/>
        <w:jc w:val="both"/>
      </w:pPr>
      <w:r>
        <w:rPr>
          <w:rFonts w:ascii="Barlow Semi Condensed" w:cs="Barlow Semi Condensed" w:eastAsia="Barlow Semi Condensed" w:hAnsi="Barlow Semi Condensed"/>
          <w:sz w:val="24"/>
          <w:szCs w:val="24"/>
        </w:rPr>
        <w:t xml:space="preserve">Sul versante finanziario, Gelli fu condannato in via definitiva per la bancarotta fraudolenta del Banco Ambrosiano, a conclusione del processo milanese sul più grande crack bancario privato della storia italiana, del quale si dirà nei capitoli 5 e 6; la condanna, unita alle risultanze della Commissione Anselmi sul cosiddetto conto Protezione e sui flussi tra Ambrosiano, consociate estere e beneficiari politici, certifica al Livello A il ponte tra il Dominio 4 ed il Dominio 6. Sul versante politico-programmatico, tra le carte sequestrate alla figlia Maria Grazia Gelli all'aeroporto di Fiumicino il 4 luglio 1982 fu rinvenuto, occultato nel doppiofondo di una valigia, il Piano di Rinascita Democratica, documento programmatico che delineava il controllo dei partiti, della stampa e della magistratura attraverso disponibilità finanziarie e cooptazioni mirate; la Commissione Anselmi lo esaminò e lo pubblicò tra i propri atti. Il registro tratta il Piano quale documento autentico nella sua materialità, sequestrato e acquisito agli atti parlamentari, e dunque di Livello A quanto all'esistenza ed al contenuto testuale; quanto invece al grado di attuazione del programma, la Regola Ferrea vieta di inferire dall'esistenza del progetto la sua esecuzione, e ogni singola convergenza tra il testo e gli sviluppi istituzionali successivi va dimostrata autonomamente, caso per caso, o marcata come ipotesi di Livello C.</w:t>
      </w:r>
    </w:p>
    <w:p>
      <w:pPr>
        <w:spacing w:after="120" w:line="276"/>
        <w:jc w:val="both"/>
      </w:pPr>
      <w:r>
        <w:rPr>
          <w:rFonts w:ascii="Barlow Semi Condensed" w:cs="Barlow Semi Condensed" w:eastAsia="Barlow Semi Condensed" w:hAnsi="Barlow Semi Condensed"/>
          <w:sz w:val="24"/>
          <w:szCs w:val="24"/>
        </w:rPr>
        <w:t xml:space="preserve">Le triangolazioni che si dipartono dal nodo Gelli e che i capitoli successivi svilupperanno sono almeno 4. La prima è la triangolazione Gelli-Ortolani-Vaticano, fondata sulla comune regia della loggia e sulla posizione di Ortolani quale gentiluomo pontificio e banchiere, che apre il ponte verso il Dominio 5. La seconda è la triangolazione Gelli-Sindona-Calvi, il triangolo finanziario della loggia, nel quale i 2 banchieri piduisti costituiscono i terminali operativi del medesimo circuito e ne condividono la traiettoria catastrofica. La terza è la triangolazione Gelli-vertici dei servizi, certificata al Livello A dalla presenza negli elenchi sequestrati dei direttori pro tempore di tutti e 3 gli organismi informativi dell'epoca, il generale Giuseppe Santovito per il SISMI, il generale Giulio Grassini per il SISDE ed il prefetto Walter Pelosi per il CESIS, oltre al generale Vito Miceli, già direttore del SID; il corpus registra inoltre al Livello A, attraverso la corrispondenza formale acquisita agli allegati della relazione parlamentare, il canale istituzionale tra la presidenza della Commissione, la Presidenza del Consiglio ed il CESIS in ordine alla posizione di Gelli. La quarta è la triangolazione Gelli-America Latina, fondata sui rapporti documentati con ambienti argentini ed uruguaiani, che la Fase 5 svilupperà. Ciascuna di queste triangolazioni è un fascio di archi tipizzati: archi di affiliazione, archi di collusione, archi di transito finanziario, secondo la tassonomia della Parte III della Nota Metodologica.</w:t>
      </w:r>
    </w:p>
    <w:p>
      <w:pPr>
        <w:spacing w:after="120" w:line="276"/>
        <w:jc w:val="both"/>
      </w:pPr>
      <w:r>
        <w:rPr>
          <w:rFonts w:ascii="Barlow Semi Condensed" w:cs="Barlow Semi Condensed" w:eastAsia="Barlow Semi Condensed" w:hAnsi="Barlow Semi Condensed"/>
          <w:sz w:val="24"/>
          <w:szCs w:val="24"/>
        </w:rPr>
        <w:t xml:space="preserve">Resta da dire ciò che il nodo Gelli non è, perché la disciplina del reperto negativo lo esige. Gelli non è stato condannato quale mandante o esecutore di alcuna strage: le assoluzioni definitive dall'accusa di concorso nella strage di Bologna sono un dato acquisito del registro, e la successiva emersione del suo ruolo finanziario in sede di accertamento postumo non le sovrascrive, ma si colloca su un piano probatorio distinto, che il registro mantiene separato. Né la documentazione consente di attribuire a Gelli la qualità di dominus unico di un disegno unitario: la teoria del contenitore, che il progetto ha adottato, insegna che le istituzioni e le stesse strutture occulte sono contenitori occupabili, e che la cattura ricorsiva, per cui i contenitori che catturano possono a loro volta essere catturati, è un fenomeno strutturale; la questione, dibattuta già dalla Commissione Anselmi, se Gelli fosse il vertice reale della piramide o l'intermediario visibile di livelli ulteriori, resta nel registro un'ipotesi aperta di Livello C, con l'indicazione delle evidenze che la deciderebbero: documentazione autonoma e genealogicamente indipendente di direttive impartite a Gelli da soggetti terzi identificati.</w:t>
      </w:r>
    </w:p>
    <w:p>
      <w:pPr>
        <w:spacing w:after="120" w:line="276"/>
        <w:jc w:val="both"/>
      </w:pPr>
      <w:r>
        <w:rPr>
          <w:rFonts w:ascii="Barlow Semi Condensed" w:cs="Barlow Semi Condensed" w:eastAsia="Barlow Semi Condensed" w:hAnsi="Barlow Semi Condensed"/>
          <w:sz w:val="24"/>
          <w:szCs w:val="24"/>
        </w:rPr>
        <w:t xml:space="preserve">Alla certificazione della posizione reticolare giova ora aggiungere la profondità biografica, perché il nodo Gelli non nasce con la loggia ma vi approda al termine di un itinerario che il registro restituisce nei suoi punti documentalmente fermi. Nato a Pistoia il 21 aprile 1919, Gelli partecipò diciassettenne, volontario, alla guerra civile spagnola nelle formazioni inviate dal regime fascista, esperienza nella quale perse il fratello; nel secondo conflitto mondiale operò nella Repubblica Sociale e, secondo le informative raccolte e vagliate dalla Commissione Anselmi, intrattenne simultaneamente rapporti con ambienti della Resistenza e con i comandi occupanti, secondo quella tecnica del doppio canale che costituirà la cifra permanente della sua biografia relazionale, Livello B sulla base della convergenza delle informative d'epoca richiamate negli atti parlamentari. Il dopoguerra lo consegna alla provincia laziale quale dirigente d'azienda del materassificio di Frosinone, posizione modesta dalla quale, tra la fine degli anni 50 ed i primi 60, muove la scalata relazionale che lo porta all'iniziazione massonica nel 1963 ed alla segreteria organizzativa della loggia Propaganda nel decennio successivo, Livello A quanto alle scansioni massoniche, documentate dagli atti del Grande Oriente acquisiti dalla Commissione. Appartiene al medesimo strato biografico il canale argentino: i rapporti di Gelli con l'entourage di Juan Domingo Perón, culminati in un ruolo di facilitazione nel rientro del generale a Buenos Aires nel 1972 e nel conferimento di incarichi onorifici e consolari, sono documentati dalla relazione parlamentare e dalla corrispondenza sequestrata, Livello A quanto alla loro esistenza, fermo il divieto, che la Regola Ferrea impone, di trarne alcuna inferenza operativa ulteriore.</w:t>
      </w:r>
    </w:p>
    <w:p>
      <w:pPr>
        <w:spacing w:after="120" w:line="276"/>
        <w:jc w:val="both"/>
      </w:pPr>
      <w:r>
        <w:rPr>
          <w:rFonts w:ascii="Barlow Semi Condensed" w:cs="Barlow Semi Condensed" w:eastAsia="Barlow Semi Condensed" w:hAnsi="Barlow Semi Condensed"/>
          <w:sz w:val="24"/>
          <w:szCs w:val="24"/>
        </w:rPr>
        <w:t xml:space="preserve">Un secondo pilastro documentale, che il presente capitolo deve al lettore per completezza d'inventario, è il cosiddetto Piano di Rinascita Democratica. Il 4 luglio 1982, nel doppiofondo di una valigia in transito all'aeroporto di Fiumicino nella disponibilità della figlia di Gelli, la Guardia di Finanza rinvenne un fascicolo di documenti programmatici, tra i quali il piano medesimo ed il memorandum sulla situazione italiana, che la Commissione Anselmi acquisì e pubblicò negli allegati alla propria relazione, Livello A quanto al rinvenimento ed al contenuto testuale. Il documento delinea, in prosa asciutta da consiglio d'amministrazione, un programma di ricomposizione del sistema attraverso la selezione ed il finanziamento di uomini nei partiti, il controllo degli organi di informazione, la riforma degli assetti giudiziari e sindacali: un progetto, va detto con la voce piana dell'inventario, di cui il sequestro certifica l'esistenza quale testo e non l'attuazione quale condotta, giacché tra il programma scritto e la sua esecuzione corre esattamente quel salto inferenziale che il registro si vieta, Livello A il documento, non certificata la sua traduzione operativa. E tuttavia il testo resta, nella morfologia del nodo, un reperto di prima grandezza: rare volte una rete occulta consegna agli inquirenti la propria autodescrizione programmatica, ed il paradigma indiziario insegna che l'autodescrizione, quand'anche velleitaria, rivela la grammatica delle intenzioni assai più di mille testimonianze postume.</w:t>
      </w:r>
    </w:p>
    <w:p>
      <w:pPr>
        <w:spacing w:after="120" w:line="276"/>
        <w:jc w:val="both"/>
      </w:pPr>
      <w:r>
        <w:rPr>
          <w:rFonts w:ascii="Barlow Semi Condensed" w:cs="Barlow Semi Condensed" w:eastAsia="Barlow Semi Condensed" w:hAnsi="Barlow Semi Condensed"/>
          <w:sz w:val="24"/>
          <w:szCs w:val="24"/>
        </w:rPr>
        <w:t xml:space="preserve">La parabola terminale del nodo si lascia infine ordinare in 3 tempi, ciascuno assistito dal proprio grado. Il tempo delle condanne: la pena definitiva per la bancarotta fraudolenta dell'Ambrosiano, divenuta irrevocabile nell'aprile 1998, e quella, parimenti irrevocabile dal 23 novembre 1995, per il depistaggio delle indagini sulla strage di Bologna, delimitano il perimetro esatto della responsabilità penale accertata, Livello A. Il tempo della fuga senile: nella primavera del 1998, a condanna ormai definitiva, Gelli si sottrasse alla detenzione domiciliare e fu rintracciato ed arrestato a Cannes nel settembre dello stesso anno, mentre nelle pertinenze di villa Wanda ad Arezzo venivano rinvenuti, occultati in fioriere, lingotti d'oro per oltre 100 chilogrammi, la cui provenienza rimase oggetto di procedimenti senza approdare ad una ricostruzione unitaria definitiva, Livello A quanto al rinvenimento, Livello C quanto alla genealogia del metallo. Il tempo dell'estinzione: la detenzione domiciliare per ragioni d'età, il lungo epilogo aretino e la morte, il 15 dicembre 2015, che chiude anagraficamente un nodo la cui centralità reticolare era già stata smontata, arco dopo arco, dalle inchieste del quindicennio precedente. Chi volesse leggere in questa parabola la conferma della sentenza falconiana sul carattere umano, e perciò mortale, di ogni potere organizzato, troverebbe nel fascicolo Gelli il suo documento più eloquente: l'archivio, che era stato la sua arma, divenne la sua condanna, ed il collezionista di segreti fu infine collezionato dal più implacabile degli archivisti, il tempo.</w:t>
      </w:r>
    </w:p>
    <w:p>
      <w:pPr>
        <w:spacing w:after="120" w:line="276"/>
        <w:jc w:val="both"/>
      </w:pPr>
      <w:r>
        <w:rPr>
          <w:rFonts w:ascii="Barlow Semi Condensed" w:cs="Barlow Semi Condensed" w:eastAsia="Barlow Semi Condensed" w:hAnsi="Barlow Semi Condensed"/>
          <w:sz w:val="24"/>
          <w:szCs w:val="24"/>
        </w:rPr>
        <w:t xml:space="preserve">Un ultimo strato documentale riguarda il rapporto tra la loggia coperta e l'obbedienza madre, perché la genealogia massonica del nodo non fu lineare e la sua tortuosità è essa stessa un reperto. Gli atti acquisiti dalla Commissione documentano che la comunione del Grande Oriente deliberò già nel 1974 la demolizione della loggia Propaganda 2 quale entità anomala, e che la struttura sopravvisse alla propria soppressione formale trasformandosi in organismo di fatto nella esclusiva disponibilità del suo segretario organizzativo, sino ai provvedimenti espulsivi assunti dall'obbedienza a scandalo esploso, Livello A quanto alle delibere. La circostanza consegna al registro un teorema morfologico di validità generale: una rete coperta non muore per decreto del proprio contenitore, ma per sottrazione del proprio archivio; e difatti la P2 sopravvisse alla demolizione del 1974 e non sopravvisse al sequestro del 1981. Nel medesimo sequestro rientra l'ultimo reperto che il capitolo consegna: accanto agli elenchi, i fascicoli personali e le agende nei quali il Venerabile custodiva informazioni riservate su personalità pubbliche, materiale che la Commissione esaminò e che certifica, al di là di ogni ipotesi sull'uso, la funzione di raccolta sistematica di leve reputazionali quale tecnologia costitutiva del nodo, Livello A quanto all'esistenza ed alla natura del materiale. L'arma dell'archivio, si è detto: qui se ne vede il calibro.</w:t>
      </w:r>
    </w:p>
    <w:p>
      <w:pPr>
        <w:spacing w:after="120" w:line="276"/>
        <w:jc w:val="both"/>
      </w:pPr>
      <w:r>
        <w:rPr>
          <w:rFonts w:ascii="Barlow Semi Condensed" w:cs="Barlow Semi Condensed" w:eastAsia="Barlow Semi Condensed" w:hAnsi="Barlow Semi Condensed"/>
          <w:sz w:val="24"/>
          <w:szCs w:val="24"/>
        </w:rPr>
        <w:t xml:space="preserve">Merita infine un posto nell'inventario un reperto di natura semiotica prima che documentale: l'intervista che Gelli concesse al Corriere della Sera il 5 ottobre 1980, raccolta da Maurizio Costanzo, giornalista che gli elenchi di Castiglion Fibocchi avrebbero rivelato, 6 mesi più tardi, iscritto alla medesima loggia, Livello A quanto alla pubblicazione ed all'iscrizione dell'intervistatore. Nel colloquio, il Venerabile ancora ignoto al grande pubblico si concedeva massime sul potere, sul valore degli archivi e sulla preferibilità di governare dietro le quinte anziché sul proscenio: sicché il registro si trova dinanzi al caso, raro sino al paradosso, di una rete coperta che si autorappresenta sul primo giornale del Paese, per il tramite di un proprio affiliato, mentre il giornale medesimo appartiene al perimetro finanziario della rete. La circostanza, che parrebbe congegnata da un romanziere con scarso senso della misura, è invece cronaca documentata, e vale al metodo quale ammonimento permanente: la copertura perfetta non è il silenzio, è la parola amministrata, e le reti mature non temono la stampa, la posseggono. Il Pattern 4 vi riconosce un arco di transito compiuto tra il Dominio 4 ed il Dominio 8, percorso non dal denaro ma dal suo equivalente simbolico, la rappresentazione di sé.</w:t>
      </w:r>
    </w:p>
    <w:p>
      <w:pPr>
        <w:spacing w:after="120" w:line="276"/>
        <w:jc w:val="both"/>
      </w:pPr>
      <w:r>
        <w:rPr>
          <w:rFonts w:ascii="Barlow Semi Condensed" w:cs="Barlow Semi Condensed" w:eastAsia="Barlow Semi Condensed" w:hAnsi="Barlow Semi Condensed"/>
          <w:sz w:val="24"/>
          <w:szCs w:val="24"/>
        </w:rPr>
        <w:t xml:space="preserve">Un ultimo strato documentale riguarda il rapporto tra la loggia coperta e l'obbedienza madre, perché la genealogia massonica del nodo non fu lineare e la sua tortuosità è essa stessa un reperto. Gli atti acquisiti dalla Commissione documentano che la comunione del Grande Oriente deliberò già nel 1974 la demolizione della loggia Propaganda 2 quale entità anomala, e che la struttura sopravvisse alla propria soppressione formale trasformandosi in organismo di fatto nella esclusiva disponibilità del suo segretario organizzativo, sino ai provvedimenti espulsivi assunti dall'obbedienza a scandalo esploso, Livello A quanto alle delibere. La circostanza consegna al registro un teorema morfologico di validità generale: una rete coperta non muore per decreto del proprio contenitore, ma per sottrazione del proprio archivio; e difatti la P2 sopravvisse alla demolizione del 1974 e non sopravvisse al sequestro del 1981. Nel medesimo sequestro rientra l'ultimo reperto che il capitolo consegna: accanto agli elenchi, i fascicoli personali e le agende nei quali il Venerabile custodiva informazioni riservate su personalità pubbliche, materiale che la Commissione esaminò e che certifica, al di là di ogni ipotesi sull'uso, la funzione di raccolta sistematica di leve reputazionali quale tecnologia costitutiva del nodo, Livello A quanto all'esistenza ed alla natura del materiale. L'arma dell'archivio, si è detto: qui se ne vede il calibro.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Gelli è certificato al Livello A quale punto di massima intermediazione tra i Domini 4, 3, 2 e 6, sulla base della catena sequestro di Castiglion Fibocchi, inchiesta parlamentare Anselmi e legge di scioglimento; il ponte verso il Dominio 7 è certificato al Livello A limitatamente al depistaggio di Bologna, coperto da giudicato, ed al Livello B quanto al finanziamento della strage, fondato su accertamento giudiziale postumo; la questione del livello superiore alla posizione di Gelli resta ipotesi di Livello C con condizioni di falsificazione esplicitate.</w:t>
      </w:r>
    </w:p>
    <w:p>
      <w:pPr>
        <w:pStyle w:val="Heading3"/>
        <w:spacing w:after="80" w:before="160"/>
      </w:pPr>
      <w:r>
        <w:rPr>
          <w:rFonts w:ascii="Barlow Semi Condensed" w:cs="Barlow Semi Condensed" w:eastAsia="Barlow Semi Condensed" w:hAnsi="Barlow Semi Condensed"/>
          <w:sz w:val="24"/>
          <w:szCs w:val="24"/>
        </w:rPr>
        <w:t xml:space="preserve">Capitolo 2 — ◆ La Loggia Propaganda 2. L'organizzazione-ponte e l'anatomia di una struttura trasversale</w:t>
      </w:r>
    </w:p>
    <w:p>
      <w:pPr>
        <w:spacing w:after="120" w:line="276"/>
        <w:jc w:val="both"/>
      </w:pPr>
      <w:r>
        <w:rPr>
          <w:rFonts w:ascii="Barlow Semi Condensed" w:cs="Barlow Semi Condensed" w:eastAsia="Barlow Semi Condensed" w:hAnsi="Barlow Semi Condensed"/>
          <w:sz w:val="24"/>
          <w:szCs w:val="24"/>
        </w:rPr>
        <w:t xml:space="preserve">Se Gelli è il nodo individuale a massima centralità, la Loggia Propaganda 2 è il nodo organizzativo che ne costituisce l'infrastruttura, e merita un capitolo autonomo perché la sua morfologia è, essa stessa, un reperto analitico. Nella teoria delle reti multilivello adottata dalla Nota Metodologica, la P2 si presenta come un oggetto raro: non un attore interno ad 1 solo dominio, ma un connettore progettato per attraversarli tutti, un fascio ordinato di archi inter-layer mascherato da associazione di 1 solo layer, quello massonico. La scansione del corpus ne misura la pervasività documentale: la sigla ricorre 3239 volte in 67 documenti, seconda per frequenza assoluta soltanto a poche macro-entità istituzionali.</w:t>
      </w:r>
    </w:p>
    <w:p>
      <w:pPr>
        <w:spacing w:after="120" w:line="276"/>
        <w:jc w:val="both"/>
      </w:pPr>
      <w:r>
        <w:rPr>
          <w:rFonts w:ascii="Barlow Semi Condensed" w:cs="Barlow Semi Condensed" w:eastAsia="Barlow Semi Condensed" w:hAnsi="Barlow Semi Condensed"/>
          <w:sz w:val="24"/>
          <w:szCs w:val="24"/>
        </w:rPr>
        <w:t xml:space="preserve">La genealogia della loggia va restituita con precisione storica. La Loggia Propaganda nasce nell'Ottocento in seno al Grande Oriente d'Italia quale loggia di vertice riservata a personalità che non potevano frequentare le officine ordinarie; rifondata dopo la Seconda Guerra Mondiale con il numero 2, essa conserva formalmente lo statuto di loggia coperta, i cui iscritti sono noti al solo Gran Maestro, fino a quando, tra la fine degli anni 60 ed i primi anni 70, la gestione di fatto passa a Gelli, che ne fa uno strumento di reclutamento sistematico entro i vertici dello Stato e dell'economia. La sospensione e la successiva espulsione di Gelli dalla comunione del Grande Oriente, nonché i provvedimenti con cui l'obbedienza tentò di demolire e poi ricostituire la loggia, sono documentati negli atti della Commissione Anselmi e nella pubblicistica specialistica acquisita al corpus, tra cui il censimento sistematico delle fonti sulla P2 che il progetto ha integrato: la questione dei rapporti tra la loggia coperta ed il vertice dell'obbedienza, in particolare la posizione della Gran Maestranza dell'epoca, fu oggetto di valutazioni divergenti nella stessa Commissione, e viene mantenuta nel registro al Livello B, quale connessione indiziaria fondata su atti parlamentari circostanziati ma non su accertamento giudiziale univoco.</w:t>
      </w:r>
    </w:p>
    <w:p>
      <w:pPr>
        <w:spacing w:after="120" w:line="276"/>
        <w:jc w:val="both"/>
      </w:pPr>
      <w:r>
        <w:rPr>
          <w:rFonts w:ascii="Barlow Semi Condensed" w:cs="Barlow Semi Condensed" w:eastAsia="Barlow Semi Condensed" w:hAnsi="Barlow Semi Condensed"/>
          <w:sz w:val="24"/>
          <w:szCs w:val="24"/>
        </w:rPr>
        <w:t xml:space="preserve">L'anatomia quantitativa della loggia, quale risulta dagli elenchi sequestrati e dai riscontri della Commissione, è la seguente, e va letta con la cautela genealogica già enunciata: 962 nominativi, tra i quali 44 parlamentari in carica, 3 ministri del governo in carica al momento del sequestro, i vertici pro tempore dei 3 organismi informativi, numerosi ufficiali generali e superiori delle forze armate e dei corpi di polizia, magistrati, prefetti, alti dirigenti ministeriali, banchieri, imprenditori, editori e giornalisti, tra i quali il direttore del principale quotidiano nazionale. La Commissione Anselmi, consapevole che l'elenco sequestrato poteva essere incompleto per difetto ed inquinato per eccesso, adottò criteri di riscontro individuali, distinguendo le posizioni provate da quelle dubbie; il registro recepisce questa disciplina e tratta l'iscrizione di ciascun singolo nominativo come affermazione autonoma, da certificare caso per caso, di regola al Livello A quando concorrono elenco, riscontro della Commissione e ammissione o accertamento giudiziale, ed al Livello B quando il riscontro parlamentare non è accompagnato da fonte genealogicamente autonoma. È questa la ragione per cui l'opera evita la formula giornalistica della lista come blocco unico: la loggia è un insieme di 962 affermazioni probatorie distinte, non 1 sola affermazione ripetuta 962 volte.</w:t>
      </w:r>
    </w:p>
    <w:p>
      <w:pPr>
        <w:spacing w:after="120" w:line="276"/>
        <w:jc w:val="both"/>
      </w:pPr>
      <w:r>
        <w:rPr>
          <w:rFonts w:ascii="Barlow Semi Condensed" w:cs="Barlow Semi Condensed" w:eastAsia="Barlow Semi Condensed" w:hAnsi="Barlow Semi Condensed"/>
          <w:sz w:val="24"/>
          <w:szCs w:val="24"/>
        </w:rPr>
        <w:t xml:space="preserve">La funzione della loggia nella rete è descritta con esattezza dalla tipologia degli archi della Parte III della Nota Metodologica. La P2 genera anzitutto archi di affiliazione, che collegano tra loro, entro il perimetro coperto, individui che nei rispettivi domini occupano posizioni apicali e che nulla, formalmente, avrebbe dovuto connettere: il capo di un servizio segreto ed un editore, un generale ed un banchiere, un magistrato ed un armatore. In secondo luogo genera archi di collusione, documentati nei procedimenti penali sulle singole vicende, nei quali l'appartenenza comune fa da matrice a scambi specifici: protezioni, promozioni, informazioni, finanziamenti. In terzo luogo genera archi di infiltrazione, secondo la definizione della Nota: l'iscritto che entra o permane in un'istituzione mantenendo una lealtà esterna ad essa, sicché il nodo sembra appartenere al dominio istituzionale ma opera, almeno in parte, nel codice della loggia. La relazione Anselmi colse questo tratto quando descrisse il sistema gelliano come un condizionamento che non abbatte le istituzioni ma le svuota, occupandone i gangli: è la formulazione storica di ciò che il progetto denomina teoria del contenitore. In quarto luogo, la loggia funge da piattaforma per archi di transito: il corpus documenta, al livello che il processo Ambrosiano ha consolidato, il passaggio di flussi finanziari attraverso conti riconducibili alla loggia ed ai suoi vertici, tra i quali il conto denominato Protezione presso l'Union de Banques Suisses di Lugano, sul quale transitarono fondi provenienti dal circuito Ambrosiano; la destinazione politica di una parte di tali flussi è stata oggetto di accertamenti giudiziari e parlamentari che il registro classifica al Livello A quanto all'esistenza del transito ed al Livello B quanto alle singole destinazioni contestate, ciascuna delle quali va trattata come affermazione autonoma.</w:t>
      </w:r>
    </w:p>
    <w:p>
      <w:pPr>
        <w:spacing w:after="120" w:line="276"/>
        <w:jc w:val="both"/>
      </w:pPr>
      <w:r>
        <w:rPr>
          <w:rFonts w:ascii="Barlow Semi Condensed" w:cs="Barlow Semi Condensed" w:eastAsia="Barlow Semi Condensed" w:hAnsi="Barlow Semi Condensed"/>
          <w:sz w:val="24"/>
          <w:szCs w:val="24"/>
        </w:rPr>
        <w:t xml:space="preserve">Il Pattern 11 della Nota Metodologica, l'analisi dell'isomorfismo strutturale, trova nella P2 il suo caso paradigmatico. La topologia della loggia, un nucleo centrale ristretto che irradia verso i vertici di molteplici domini mantenendo la segretezza dei collegamenti orizzontali tra gli affiliati, presenta una somiglianza formale con la topologia della rete stay-behind Gladio, della quale la Fase 2 tratterà: anche lì un centro ristretto, compartimentazione, proiezione trasversale su militari, intelligence e società civile selezionata. La Nota Metodologica prescrive di discriminare tra le 3 spiegazioni possibili dell'isomorfismo: origine comune, necessità funzionale, convergenza indipendente. Il registro, allo stato delle fonti, esclude che sia dimostrata un'origine comune delle 2 strutture, non essendovi documento genealogicamente autonomo che attesti un progettista unico; rileva che la spiegazione per necessità funzionale, secondo la quale la forma a stella coperta è semplicemente la più efficiente per collegare trasversalmente i domini eludendo il controllo democratico, rende conto dei dati senza ipotesi aggiuntive; e mantiene la terza spiegazione sullo sfondo. La conclusione, di metodo prima che di merito, è che l'isomorfismo P2-Gladio è certificato al Livello A quale somiglianza formale misurabile, mentre ogni inferenza da tale somiglianza ad una regia unitaria resta al Livello C, con condizione di falsificazione esplicita: l'eventuale documento di pianificazione congiunta, mai emerso, che collegasse le 2 strutture in origine. Il corpus registra peraltro, quale intersezione empirica e non strutturale, la presenza di singoli individui in entrambi i perimetri, da vagliare nominativamente nella Fase 2.</w:t>
      </w:r>
    </w:p>
    <w:p>
      <w:pPr>
        <w:spacing w:after="120" w:line="276"/>
        <w:jc w:val="both"/>
      </w:pPr>
      <w:r>
        <w:rPr>
          <w:rFonts w:ascii="Barlow Semi Condensed" w:cs="Barlow Semi Condensed" w:eastAsia="Barlow Semi Condensed" w:hAnsi="Barlow Semi Condensed"/>
          <w:sz w:val="24"/>
          <w:szCs w:val="24"/>
        </w:rPr>
        <w:t xml:space="preserve">Un ultimo profilo riguarda la persistenza. Lo scioglimento legislativo del 1982 chiude la forma giuridica, non necessariamente la funzione: le inchieste successive su logge coperte e comitati d'affari, dalla vicenda giudiziaria detta P3 del 2010 a quella detta P4 del 2011, hanno riproposto la domanda sulla riproducibilità del modello. Il registro tratta tali vicende come fenomeni distinti, ciascuno con il proprio corredo probatorio, e vieta l'inferenza di continuità organizzativa diretta con la P2 in assenza di catene documentali autonome: la continuità che può dirsi certificata è quella morfologica, l'isomorfismo del modello, non quella genealogica delle persone e delle strutture, che resta al Livello C salvo prova specifica. È un esempio ulteriore della distinzione, cardinale nell'intera opera, tra la ripetizione di una forma e la persistenza di un soggetto.</w:t>
      </w:r>
    </w:p>
    <w:p>
      <w:pPr>
        <w:spacing w:after="120" w:line="276"/>
        <w:jc w:val="both"/>
      </w:pPr>
      <w:r>
        <w:rPr>
          <w:rFonts w:ascii="Barlow Semi Condensed" w:cs="Barlow Semi Condensed" w:eastAsia="Barlow Semi Condensed" w:hAnsi="Barlow Semi Condensed"/>
          <w:sz w:val="24"/>
          <w:szCs w:val="24"/>
        </w:rPr>
        <w:t xml:space="preserve">Il capitolo deve ora adempiere all'obbligo che la disciplina delle assoluzioni impone, riportando per esteso l'esito del processo penale romano sulla natura eversiva della loggia, che costituisce il contrappunto giudiziario della certificazione parlamentare. Imputati Licio Gelli ed i principali dirigenti della struttura del delitto di cospirazione politica mediante associazione, la Corte d'Assise di Roma, con sentenza del 16 aprile 1994, li assolse da tale imputazione perché il fatto non sussiste, pronunciando condanne soltanto per fattispecie minori e satellitari; la pronuncia fu confermata nel successivo grado di giudizio e l'assoluzione dal reato associativo eversivo è divenuta irrevocabile, Livello A. Il registro annota il dato con la medesima cura con cui ha annotato lo scioglimento legislativo, perché la coesistenza dei 2 esiti è essa stessa un reperto: il Parlamento, con la legge 25 gennaio 1982 numero 17, qualificò la loggia associazione segreta vietata dall'articolo 18 della Costituzione e la sciolse; il giudice penale, chiamato ad accertare il diverso e più grave delitto di cospirazione contro i poteri dello Stato, escluse che quel delitto fosse provato. Non v'è contraddizione, v'è complementarità di codici nel senso rigorosamente luhmanniano: l'ordinamento parlamentare opera secondo il codice della compatibilità costituzionale, quello penale secondo il codice della responsabilità individuale oltre ogni ragionevole dubbio, e la loggia attraversò il primo codice da condannata ed il secondo, quanto all'imputazione capitale, da assolta. Chi pretendesse di ridurre l'una pronuncia all'altra ripeterebbe l'errore categoriale che la Nota metodologica addita quale peccato originario di tutta la pubblicistica sul potere occulto.</w:t>
      </w:r>
    </w:p>
    <w:p>
      <w:pPr>
        <w:spacing w:after="120" w:line="276"/>
        <w:jc w:val="both"/>
      </w:pPr>
      <w:r>
        <w:rPr>
          <w:rFonts w:ascii="Barlow Semi Condensed" w:cs="Barlow Semi Condensed" w:eastAsia="Barlow Semi Condensed" w:hAnsi="Barlow Semi Condensed"/>
          <w:sz w:val="24"/>
          <w:szCs w:val="24"/>
        </w:rPr>
        <w:t xml:space="preserve">Merita parimenti registrazione il corpus documentale prodotto dall'inchiesta parlamentare, perché la sua stessa mole è un dato morfologico. La Commissione presieduta da Tina Anselmi, istituita con legge 23 settembre 1981 numero 527, lavorò per un triennio, tenne decine di audizioni, acquisì gli archivi sequestrati e consegnò nel luglio 1984 una relazione di maggioranza accompagnata da relazioni di minoranza di segno diverso e da una collana di volumi di allegati che pubblicano, in migliaia di pagine, elenchi, corrispondenze, assegni, agende e memorandum, Livello A quanto all'intero corpus. Alle relazioni di minoranza il registro riserva un'annotazione non rituale: la loro esistenza documenta che perfino sull'oggetto meglio documentato della storia repubblicana l'interpretazione istituzionale non fu unanime, oscillando tra la lettura della loggia quale centrale di condizionamento eversivo e quella, riduttiva, di un comitato d'affari e di carriere; il registro non compone la divergenza, la censisce, giacché la pluralità certificata delle letture è essa stessa la miglior profilassi contro la tentazione monocausale. Quanto alla completezza degli elenchi, la Commissione ne certificò l'autenticità senza poterne garantire l'esaustività, e questa asimmetria, autentico ma forse non completo, governa da allora ogni uso corretto della lista: essa prova la presenza di chi vi figura, non l'assenza di chi non vi figura, Livello A quanto alla formula certificativa della Commissione.</w:t>
      </w:r>
    </w:p>
    <w:p>
      <w:pPr>
        <w:spacing w:after="120" w:line="276"/>
        <w:jc w:val="both"/>
      </w:pPr>
      <w:r>
        <w:rPr>
          <w:rFonts w:ascii="Barlow Semi Condensed" w:cs="Barlow Semi Condensed" w:eastAsia="Barlow Semi Condensed" w:hAnsi="Barlow Semi Condensed"/>
          <w:sz w:val="24"/>
          <w:szCs w:val="24"/>
        </w:rPr>
        <w:t xml:space="preserve">Resta da consegnare al lettore, con la sobrietà che si deve alle liste, un supplemento di anatomia nominale, limitato a categorie e casi il cui rilievo sistemico è stato certificato dagli atti. Negli elenchi di Castiglion Fibocchi figurano i vertici pro tempore dei 3 servizi di informazione, il comandante generale della Guardia di Finanza, decine di ufficiali generali delle forze armate, magistrati, prefetti, diplomatici, ed il gruppo dirigente del maggior quotidiano nazionale nel pieno dell'operazione di cattura editoriale che il capitolo 5 documenta; vi figura altresì, con la tessera 1816, l'editore milanese Silvio Berlusconi, allora imprenditore delle costruzioni e della nascente televisione commerciale, poi 3 volte presidente del Consiglio, la cui iscrizione, accertata documentalmente dalla Commissione, il registro riporta quale puro dato di appartenenza senza inferenza ulteriore, Livello A quanto all'iscrizione. La lista, insegna la semiotica, è la più antica macchina per produrre vertigine: l'elenco piduista produsse nel Paese esattamente quella vertigine, e parte non piccola del lavoro della Commissione consistette nel convertire la vertigine in tassonomia, distinguendo gli iscritti operosi dai dormienti, i reclutati dai reclutatori, il nucleo dal contorno. Il registro eredita quella tassonomia e la traduce nel proprio linguaggio: non tutti i nodi di un elenco sono nodi della rete, e la betweenness non si eredita per contiguità alfabetica.</w:t>
      </w:r>
    </w:p>
    <w:p>
      <w:pPr>
        <w:spacing w:after="120" w:line="276"/>
        <w:jc w:val="both"/>
      </w:pPr>
      <w:r>
        <w:rPr>
          <w:rFonts w:ascii="Barlow Semi Condensed" w:cs="Barlow Semi Condensed" w:eastAsia="Barlow Semi Condensed" w:hAnsi="Barlow Semi Condensed"/>
          <w:sz w:val="24"/>
          <w:szCs w:val="24"/>
        </w:rPr>
        <w:t xml:space="preserve">Alla certificazione parlamentare e penale il capitolo aggiunge infine il lascito normativo, che è la traccia più duratura della loggia nell'ordinamento. La legge di scioglimento non si limitò a sopprimere un'associazione: dettò, all'articolo 1, la prima definizione legislativa di associazione segreta della storia repubblicana, individuandola in quella che, occultando la propria esistenza ovvero tenendo segrete congiuntamente finalità ed attività sociali ovvero rendendo sconosciuti in tutto od in parte i propri aderenti, svolge attività diretta ad interferire sull'esercizio delle funzioni di organi costituzionali e di pubbliche amministrazioni, Livello A quanto al testo normativo. Con ciò il legislatore del 1982 diede finalmente attuazione, a 34 anni di distanza, al secondo comma dell'articolo 18 della Costituzione, il cui divieto delle associazioni segrete era rimasto sino ad allora privo di norma di dettaglio: sicché la P2 occupa nella storia costituzionale la posizione paradossale dell'illecito che genera la propria fattispecie, il caso che costringe l'ordinamento a scrivere la regola di cui esso stesso è la violazione retrospettiva. Il registro annota il paradosso senza compiacimento, perché esso illumina un dato strutturale dell'intero campo di indagine: le reti coperte prosperano negli interstizi che separano il divieto costituzionale dalla sua attuazione legislativa, e la misura di quegli interstizi, 34 anni nel caso di specie, è una variabile che il Pattern 8, l'analisi dello sfruttamento delle finestre, deve incorporare quale condizione ambientale permanente della Repubblica.</w:t>
      </w:r>
    </w:p>
    <w:p>
      <w:pPr>
        <w:spacing w:after="120" w:line="276"/>
        <w:jc w:val="both"/>
      </w:pPr>
      <w:r>
        <w:rPr>
          <w:rFonts w:ascii="Barlow Semi Condensed" w:cs="Barlow Semi Condensed" w:eastAsia="Barlow Semi Condensed" w:hAnsi="Barlow Semi Condensed"/>
          <w:sz w:val="24"/>
          <w:szCs w:val="24"/>
        </w:rPr>
        <w:t xml:space="preserve">Va da ultimo censito l'effetto istituzionale immediato della pubblicazione degli elenchi, perché esso misura, meglio di ogni aggettivo, il peso sistemico dell'organizzazione. Il 21 maggio 1981 il governo rese pubbliche le liste sequestrate 2 mesi prima; la deflagrazione politica che ne seguì travolse il gabinetto presieduto da Arnaldo Forlani, costretto alle dimissioni, ed aprì la crisi dalla quale nacque, nel giugno 1981, il governo di Giovanni Spadolini, il primo della storia repubblicana guidato da un presidente del Consiglio non democristiano, Livello A sull'intera scansione. Il registro annota la conseguenza con la freddezza della cronologia: un elenco di nomi rinvenuto in una cassaforte toscana produsse, nel giro di 60 giorni, la caduta di un governo e la fine di un monopolio di guida durato 35 anni. Nessuna valutazione sulla natura della loggia, per quanto severa, restituisce la sua rilevanza quanto questo semplice rapporto di causa ed effetto istituzionale, che appartiene al novero ristretto dei fatti sui quali maggioranza e minoranze della Commissione, pur divise su tutto il resto, non ebbero occasione di dividersi.</w:t>
      </w:r>
    </w:p>
    <w:p>
      <w:pPr>
        <w:spacing w:after="120" w:line="276"/>
        <w:jc w:val="both"/>
      </w:pPr>
      <w:r>
        <w:rPr>
          <w:rFonts w:ascii="Barlow Semi Condensed" w:cs="Barlow Semi Condensed" w:eastAsia="Barlow Semi Condensed" w:hAnsi="Barlow Semi Condensed"/>
          <w:sz w:val="24"/>
          <w:szCs w:val="24"/>
        </w:rPr>
        <w:t xml:space="preserve">Alla certificazione parlamentare e penale il capitolo aggiunge infine il lascito normativo, che è la traccia più duratura della loggia nell'ordinamento. La legge di scioglimento non si limitò a sopprimere un'associazione: dettò, all'articolo 1, la prima definizione legislativa di associazione segreta della storia repubblicana, individuandola in quella che, occultando la propria esistenza ovvero tenendo segrete congiuntamente finalità ed attività sociali ovvero rendendo sconosciuti in tutto od in parte i propri aderenti, svolge attività diretta ad interferire sull'esercizio delle funzioni di organi costituzionali e di pubbliche amministrazioni, Livello A quanto al testo normativo. Con ciò il legislatore del 1982 diede finalmente attuazione, a 34 anni di distanza, al secondo comma dell'articolo 18 della Costituzione, il cui divieto delle associazioni segrete era rimasto sino ad allora privo di norma di dettaglio: sicché la P2 occupa nella storia costituzionale la posizione paradossale dell'illecito che genera la propria fattispecie, il caso che costringe l'ordinamento a scrivere la regola di cui esso stesso è la violazione retrospettiva. Il registro annota il paradosso senza compiacimento, perché esso illumina un dato strutturale dell'intero campo di indagine: le reti coperte prosperano negli interstizi che separano il divieto costituzionale dalla sua attuazione legislativa, e la misura di quegli interstizi, 34 anni nel caso di specie, è una variabile che il Pattern 8, l'analisi dello sfruttamento delle finestre, deve incorporare quale condizione ambientale permanente della Repubblica.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Loggia P2 è certificata al Livello A quale organizzazione-ponte trasversale ai Domini 2, 3, 4, 6, 8 e 9, sulla base della catena probatoria sequestro-inchiesta parlamentare-legge di scioglimento, con la precisazione metodologica che le 962 iscrizioni costituiscono altrettante affermazioni autonome; l'isomorfismo strutturale con la rete Gladio è certificato al Livello A quale somiglianza formale, mentre ogni ipotesi di origine comune o di continuità organizzativa postuma resta al Livello C con condizioni di falsificazione esplicitate.</w:t>
      </w:r>
    </w:p>
    <w:p>
      <w:pPr>
        <w:pStyle w:val="Heading3"/>
        <w:spacing w:after="80" w:before="160"/>
      </w:pPr>
      <w:r>
        <w:rPr>
          <w:rFonts w:ascii="Barlow Semi Condensed" w:cs="Barlow Semi Condensed" w:eastAsia="Barlow Semi Condensed" w:hAnsi="Barlow Semi Condensed"/>
          <w:sz w:val="24"/>
          <w:szCs w:val="24"/>
        </w:rPr>
        <w:t xml:space="preserve">Capitolo 3 — ▶ Umberto Ortolani. Il ponte silenzioso tra loggia, finanza e Vaticano</w:t>
      </w:r>
    </w:p>
    <w:p>
      <w:pPr>
        <w:spacing w:after="120" w:line="276"/>
        <w:jc w:val="both"/>
      </w:pPr>
      <w:r>
        <w:rPr>
          <w:rFonts w:ascii="Barlow Semi Condensed" w:cs="Barlow Semi Condensed" w:eastAsia="Barlow Semi Condensed" w:hAnsi="Barlow Semi Condensed"/>
          <w:sz w:val="24"/>
          <w:szCs w:val="24"/>
        </w:rPr>
        <w:t xml:space="preserve">Nella coppia di vertice della Loggia Propaganda 2, la pubblicistica ha consegnato a Licio Gelli la luce ed a Umberto Ortolani l'ombra, ma la network analysis rovescia sovente le gerarchie della visibilità: come la Nota Metodologica avverte a proposito della eigenvector centrality, il potere di un nodo si misura non dal numero delle sue connessioni, bensì dall'importanza dei nodi cui è connesso, e sotto questo profilo Ortolani, nato a Viterbo nel 1913 e morto a Roma il 17 gennaio 2002, è uno dei nodi a più alta centralità di autovettore dell'intera rete. La scansione del corpus lo registra 326 volte in 15 documenti: una frequenza inferiore a quella di Gelli, ma concentrata nei documenti a più alta densità probatoria, gli atti della Commissione Anselmi, le sentenze del processo Ambrosiano ed i materiali del filone sui mandanti della strage di Bologna.</w:t>
      </w:r>
    </w:p>
    <w:p>
      <w:pPr>
        <w:spacing w:after="120" w:line="276"/>
        <w:jc w:val="both"/>
      </w:pPr>
      <w:r>
        <w:rPr>
          <w:rFonts w:ascii="Barlow Semi Condensed" w:cs="Barlow Semi Condensed" w:eastAsia="Barlow Semi Condensed" w:hAnsi="Barlow Semi Condensed"/>
          <w:sz w:val="24"/>
          <w:szCs w:val="24"/>
        </w:rPr>
        <w:t xml:space="preserve">La biografia rilevante per il registro si lascia ordinare per domini. Nel Dominio 4, Ortolani è documentato quale figura di vertice sostanziale della P2 accanto a Gelli, presente negli elenchi sequestrati e qualificato dalla relazione Anselmi quale mente organizzativa e finanziaria del sodalizio: la relazione parlamentare, che gli dedica ampio spazio, ne colloca il ruolo al di sopra della semplice affiliazione, e questa qualificazione, sorretta dagli atti della Commissione e riscontrata nelle successive sentenze sul crack Ambrosiano, è recepita dal registro al Livello A. Nel Dominio 5, Ortolani è titolare di una posizione che nessun altro vertice della loggia possiede: gentiluomo di Sua Santità, insignito di onorificenze pontificie, con relazioni personali documentate entro la Curia romana maturate sin dagli anni del Concilio; gli atti parlamentari ed una vasta letteratura acquisita al corpus attestano il suo rapporto con il cardinale Giacomo Lercaro e la sua funzione di cerniera tra ambienti curiali e ambienti finanziari, funzione che il registro certifica al Livello A quanto ai titoli formali ed alle relazioni documentate, ed al Livello B quanto alle attività di mediazione specifiche narrate da fonti singole. Nel Dominio 6, Ortolani è banchiere in proprio: fondatore e dominus del Banco Financiero Sudamericano, Bafisud, con sede a Montevideo, snodo sudamericano del circuito finanziario della loggia, ed azionista o amministratore di società editoriali e finanziarie italiane. Nel Dominio 8, infine, Ortolani siede nel consiglio del gruppo Rizzoli negli anni dell'acquisizione piduista del Corriere della Sera, di cui si dirà nel capitolo 5.</w:t>
      </w:r>
    </w:p>
    <w:p>
      <w:pPr>
        <w:spacing w:after="120" w:line="276"/>
        <w:jc w:val="both"/>
      </w:pPr>
      <w:r>
        <w:rPr>
          <w:rFonts w:ascii="Barlow Semi Condensed" w:cs="Barlow Semi Condensed" w:eastAsia="Barlow Semi Condensed" w:hAnsi="Barlow Semi Condensed"/>
          <w:sz w:val="24"/>
          <w:szCs w:val="24"/>
        </w:rPr>
        <w:t xml:space="preserve">Il perno probatorio della sua posizione è la condanna definitiva per la bancarotta fraudolenta del Banco Ambrosiano, pronunciata dalla giustizia milanese all'esito del processo sul dissesto e divenuta irrevocabile negli anni 90, con pena tra le più severe irrogate nel processo: l'accertamento giudiziale, convergente con le risultanze della commissione amministrativa di liquidazione e con gli atti parlamentari, certifica al Livello A che una parte cospicua dei fondi distratti dal circuito Ambrosiano affluì a conti e società riconducibili ad Ortolani, tra cui il già menzionato conto Protezione. La latitanza sudamericana, protrattasi per anni tra Brasile ed Uruguay sotto la protezione di fatto offerta dalle relazioni locali, l'arresto in Brasile e la consegna all'Italia nel 1994, chiudono il profilo giudiziario del Dominio 6.</w:t>
      </w:r>
    </w:p>
    <w:p>
      <w:pPr>
        <w:spacing w:after="120" w:line="276"/>
        <w:jc w:val="both"/>
      </w:pPr>
      <w:r>
        <w:rPr>
          <w:rFonts w:ascii="Barlow Semi Condensed" w:cs="Barlow Semi Condensed" w:eastAsia="Barlow Semi Condensed" w:hAnsi="Barlow Semi Condensed"/>
          <w:sz w:val="24"/>
          <w:szCs w:val="24"/>
        </w:rPr>
        <w:t xml:space="preserve">Il secondo perno, più recente, appartiene al Dominio 7 e va enunciato con la stessa disciplina applicata a Gelli: nelle motivazioni delle sentenze del filone sui mandanti della strage di Bologna, il nome di Ortolani compare accanto a quello di Gelli quale co-terminale del flusso di finanziamento ricostruito a partire dal documento contabile denominato Bologna, con la ripartizione di somme ingenti verso i soggetti indicati nell'appunto; trattandosi di accertamento incidentale postumo, non coperto da giudicato nei suoi confronti, il registro lo classifica al Livello B, con la medesima condizione di falsificazione già enunciata, vale a dire la dimostrazione di una causale alternativa del flusso. È significativo, sul piano del metodo, che il ponte di Ortolani verso il Dominio 7 non passi per alcuna militanza, per alcun contatto operativo con la manovalanza eversiva, ma esclusivamente per la contabilità: è l'esempio più puro, nell'intero registro, di arco di transito quale unico connettore tra un nodo finanziario ed un evento stragista, e conferma l'insegnamento del metodo Falcone secondo cui la struttura si legge nelle tracce che il denaro lascia, prima e più che nelle dichiarazioni degli uomini.</w:t>
      </w:r>
    </w:p>
    <w:p>
      <w:pPr>
        <w:spacing w:after="120" w:line="276"/>
        <w:jc w:val="both"/>
      </w:pPr>
      <w:r>
        <w:rPr>
          <w:rFonts w:ascii="Barlow Semi Condensed" w:cs="Barlow Semi Condensed" w:eastAsia="Barlow Semi Condensed" w:hAnsi="Barlow Semi Condensed"/>
          <w:sz w:val="24"/>
          <w:szCs w:val="24"/>
        </w:rPr>
        <w:t xml:space="preserve">Le triangolazioni del nodo Ortolani sono 3, e tutte attraversano il Dominio 5. La prima, Ortolani-Gelli-P2, è la diarchia di vertice della loggia, certificata al Livello A. La seconda, Ortolani-Marcinkus-IOR, congiunge il gentiluomo pontificio al vertice dell'Istituto per le Opere di Religione lungo il canale finanziario che il capitolo 6 ricostruirà: il registro certifica al Livello A l'esistenza di rapporti d'affari tra il circuito Ambrosiano, nel quale Ortolani era co-protagonista, e l'Istituto, mentre le interlocuzioni personali dirette tra i 2 uomini, riferite da fonti singole, restano al Livello B. La terza, Ortolani-Sudamerica, salda il Bafisud di Montevideo alla latitanza brasiliana ed alle relazioni con ambienti politici e militari locali, e costituisce uno dei corridoi che la Fase 5 percorrerà nell'analisi della proiezione atlantica meridionale della rete, ove il registro ha già documentato l'asse tra la P2 e l'area rioplatense.</w:t>
      </w:r>
    </w:p>
    <w:p>
      <w:pPr>
        <w:spacing w:after="120" w:line="276"/>
        <w:jc w:val="both"/>
      </w:pPr>
      <w:r>
        <w:rPr>
          <w:rFonts w:ascii="Barlow Semi Condensed" w:cs="Barlow Semi Condensed" w:eastAsia="Barlow Semi Condensed" w:hAnsi="Barlow Semi Condensed"/>
          <w:sz w:val="24"/>
          <w:szCs w:val="24"/>
        </w:rPr>
        <w:t xml:space="preserve">Va infine registrato, per la dignità paritaria del reperto negativo, ciò che il corpus non contiene: non risulta a carico di Ortolani alcun accertamento di rapporti operativi con organizzazioni mafiose, né alcuna condanna per fatti di sangue; il suo perimetro certificato è finanziario, massonico e curiale. Chi volesse estendere il nodo oltre questo perimetro dovrebbe produrre catene documentali che allo stato non esistono, e l'opera si rifiuta di supplirvi con la suggestione.</w:t>
      </w:r>
    </w:p>
    <w:p>
      <w:pPr>
        <w:spacing w:after="120" w:line="276"/>
        <w:jc w:val="both"/>
      </w:pPr>
      <w:r>
        <w:rPr>
          <w:rFonts w:ascii="Barlow Semi Condensed" w:cs="Barlow Semi Condensed" w:eastAsia="Barlow Semi Condensed" w:hAnsi="Barlow Semi Condensed"/>
          <w:sz w:val="24"/>
          <w:szCs w:val="24"/>
        </w:rPr>
        <w:t xml:space="preserve">Alla figura dell'ombra il registro deve ora restituire lo spessore dei titoli e dei canali, perché l'invisibilità di Ortolani non fu assenza ma tecnica, e le tecniche lasciano documenti. Il canale vaticano anzitutto: Ortolani fu insignito di dignità pontificie, tra cui quella di gentiluomo di Sua Santità, ed ebbe accesso documentato agli ambienti della Curia sin dagli anni del pontificato montiniano, Livello A quanto ai titoli, attestati negli atti della Commissione Anselmi. La memorialistica colloca inoltre nella sua casa romana, alla vigilia del conclave del 1963, incontri preparatori tra porporati dell'area che avrebbe sostenuto l'elezione di Giovanni Battista Montini: il registro riporta la circostanza per ciò che essa è, una tradizione memorialistica convergente ma priva di riscontro documentale diretto, e la marca di conseguenza, Livello C, annotando tuttavia che perfino la sua persistenza quale racconto è un indizio della reputazione di accesso di cui Ortolani godette, giacché le leggende di potere non si depositano sui nodi periferici. Appartiene invece al piano documentale pieno l'appartenenza al Sovrano Militare Ordine di Malta, ulteriore affiliazione d'alta soglia che, nella tassonomia dei domini, colloca il nodo in un secondo circuito relazionale riservato, distinto e complementare rispetto a quello massonico, Livello A.</w:t>
      </w:r>
    </w:p>
    <w:p>
      <w:pPr>
        <w:spacing w:after="120" w:line="276"/>
        <w:jc w:val="both"/>
      </w:pPr>
      <w:r>
        <w:rPr>
          <w:rFonts w:ascii="Barlow Semi Condensed" w:cs="Barlow Semi Condensed" w:eastAsia="Barlow Semi Condensed" w:hAnsi="Barlow Semi Condensed"/>
          <w:sz w:val="24"/>
          <w:szCs w:val="24"/>
        </w:rPr>
        <w:t xml:space="preserve">Il canale finanziario sudamericano esige a sua volta il dettaglio che il capitolo ha sin qui soltanto evocato. Il Banco Financiero Sudamericano di Montevideo, la banca uruguaiana del gruppo Ortolani nota come Bafisud, fu ad un tempo strumento d'affari, terminale di flussi del circuito Ambrosiano ed avamposto della proiezione latinoamericana della loggia, secondo la ricostruzione consegnata agli atti parlamentari ed ai processi milanesi sul crack, Livello A quanto alla titolarità ed alla funzione di snodo, Livello B quanto alla qualificazione dei singoli flussi. Quando il dissesto travolse il gruppo, Ortolani riparò in Sudamerica, ed il registro annota la latitanza brasiliana ed il successivo rientro in Italia con la neutralità del verbale; la vicenda processuale si chiuse con la condanna definitiva per la bancarotta fraudolenta dell'Ambrosiano, resa irrevocabile dalla Corte di cassazione nell'aprile 1998 nel medesimo torno di tempo della posizione di Gelli, Livello A. La morte, a Roma, il 17 gennaio 2002, spense un nodo che aveva attraversato mezzo secolo di storia finanziaria e curiale senza quasi mai comparire in una fotografia di gruppo: ed è questa, per la network analysis, la sua lezione permanente. La visibilità è un costo, l'invisibilità un investimento; Gelli pagò il costo e ne ricavò la centralità apparente, Ortolani sostenne l'investimento e ne ricavò la centralità reale. Se il lettore cercasse una verifica sperimentale del teorema di Burt sui buchi strutturali, la troverebbe qui: il broker perfetto è quello che i 2 lati del buco non possono aggirare e che il pubblico non sa nominare, e per quasi 30 anni l'Italia seppe nominare il Venerabile senza saper nominare l'uomo che ne custodiva i canali romani e ne moltiplicava quelli atlantici.</w:t>
      </w:r>
    </w:p>
    <w:p>
      <w:pPr>
        <w:spacing w:after="120" w:line="276"/>
        <w:jc w:val="both"/>
      </w:pPr>
      <w:r>
        <w:rPr>
          <w:rFonts w:ascii="Barlow Semi Condensed" w:cs="Barlow Semi Condensed" w:eastAsia="Barlow Semi Condensed" w:hAnsi="Barlow Semi Condensed"/>
          <w:sz w:val="24"/>
          <w:szCs w:val="24"/>
        </w:rPr>
        <w:t xml:space="preserve">Va infine restituito ad Ortolani il ruolo che gli atti gli assegnano nell'operazione editoriale che il capitolo 5 esaminerà dal versante dei flussi: la scalata al gruppo Rizzoli ed al Corriere della Sera. La ricostruzione consegnata alla relazione parlamentare indica in Ortolani il regista finanziario dell'acquisizione, l'uomo che congegnò l'architettura societaria e creditizia mediante la quale, tra il 1974 ed il 1977, il primo gruppo editoriale del Paese passò sotto il controllo di una proprietà sottocapitalizzata e perciò strutturalmente dipendente dal credito del circuito Ambrosiano e dalla mediazione della loggia, Livello A quanto alla ricostruzione parlamentare della regia. Nella tassonomia della Nota metodologica l'operazione è l'arco di transito perfetto tra il Dominio 6 e il Dominio 8, ma osservata dal lato di Ortolani essa rivela qualcosa di più sottile: il broker non comprò un giornale, comprò un debito, sapendo che nel sistema italiano il controllo di un debitore strategico vale più della proprietà di un attivo, perché il debitore obbedisce e l'attivo no. È la medesima grammatica che il nodo aveva appreso nei corridoi curiali e che trasferì, identica, dalla teologia del favore alla contabilità dell'editoria: e non è l'ultima delle ragioni per cui il registro, dovendo scegliere l'aggettivo per questo ponte, ha scelto silenzioso e non minore.</w:t>
      </w:r>
    </w:p>
    <w:p>
      <w:pPr>
        <w:spacing w:after="120" w:line="276"/>
        <w:jc w:val="both"/>
      </w:pPr>
      <w:r>
        <w:rPr>
          <w:rFonts w:ascii="Barlow Semi Condensed" w:cs="Barlow Semi Condensed" w:eastAsia="Barlow Semi Condensed" w:hAnsi="Barlow Semi Condensed"/>
          <w:sz w:val="24"/>
          <w:szCs w:val="24"/>
        </w:rPr>
        <w:t xml:space="preserve">A sigillo del profilo va riportato il giudizio che l'inchiesta parlamentare consegnò del personaggio, perché esso costituisce la certificazione istituzionale della tesi che questo capitolo ha argomentato per via reticolare. La relazione Anselmi colloca Ortolani al vertice sostanziale della struttura, accanto e non sotto Gelli, attribuendogli la regia dei canali finanziari e vaticani e qualificandone il ruolo in termini di piena diarchia, Livello A quanto alla valutazione parlamentare. Che l'organo d'inchiesta della Repubblica, all'esito di un triennio di lavori, abbia riservato al più sconosciuto dei 2 uomini la qualifica di mente organizzativa, conferma per via documentale ciò che le misure di centralità suggeriscono per via formale: nella coppia di vertice, la funzione di comando relazionale apparteneva all'uomo senza fotografie. Il registro chiude perciò il capitolo con una regola d'esperienza che le fasi successive verificheranno più volte: quando una rete coperta esibisce un capo, conviene sempre domandarsi per conto di quale socio silenzioso il capo venga esibito.</w:t>
      </w:r>
    </w:p>
    <w:p>
      <w:pPr>
        <w:spacing w:after="120" w:line="276"/>
        <w:jc w:val="both"/>
      </w:pPr>
      <w:r>
        <w:rPr>
          <w:rFonts w:ascii="Barlow Semi Condensed" w:cs="Barlow Semi Condensed" w:eastAsia="Barlow Semi Condensed" w:hAnsi="Barlow Semi Condensed"/>
          <w:sz w:val="24"/>
          <w:szCs w:val="24"/>
        </w:rPr>
        <w:t xml:space="preserve">Va infine restituito ad Ortolani il ruolo che gli atti gli assegnano nell'operazione editoriale che il capitolo 5 esaminerà dal versante dei flussi: la scalata al gruppo Rizzoli ed al Corriere della Sera. La ricostruzione consegnata alla relazione parlamentare indica in Ortolani il regista finanziario dell'acquisizione, l'uomo che congegnò l'architettura societaria e creditizia mediante la quale, tra il 1974 ed il 1977, il primo gruppo editoriale del Paese passò sotto il controllo di una proprietà sottocapitalizzata e perciò strutturalmente dipendente dal credito del circuito Ambrosiano e dalla mediazione della loggia, Livello A quanto alla ricostruzione parlamentare della regia. Nella tassonomia della Nota metodologica l'operazione è l'arco di transito perfetto tra il Dominio 6 e il Dominio 8, ma osservata dal lato di Ortolani essa rivela qualcosa di più sottile: il broker non comprò un giornale, comprò un debito, sapendo che nel sistema italiano il controllo di un debitore strategico vale più della proprietà di un attivo, perché il debitore obbedisce e l'attivo no. È la medesima grammatica che il nodo aveva appreso nei corridoi curiali e che trasferì, identica, dalla teologia del favore alla contabilità dell'editoria: e non è l'ultima delle ragioni per cui il registro, dovendo scegliere l'aggettivo per questo ponte, ha scelto silenzioso e non minore.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Ortolani è certificato al Livello A quale ponte tra i Domini 4, 5 e 6, sul fondamento congiunto della relazione Anselmi, della condanna definitiva per la bancarotta Ambrosiano e dei titoli pontifici documentati; il ponte verso il Dominio 7 è certificato al Livello B quale terminale di finanziamento della strage di Bologna in forza di accertamento giudiziale postumo; il registro certifica altresì, quale reperto negativo, l'assenza di connessioni documentate con il Dominio 1.</w:t>
      </w:r>
    </w:p>
    <w:p>
      <w:pPr>
        <w:pStyle w:val="Heading3"/>
        <w:spacing w:after="80" w:before="160"/>
      </w:pPr>
      <w:r>
        <w:rPr>
          <w:rFonts w:ascii="Barlow Semi Condensed" w:cs="Barlow Semi Condensed" w:eastAsia="Barlow Semi Condensed" w:hAnsi="Barlow Semi Condensed"/>
          <w:sz w:val="24"/>
          <w:szCs w:val="24"/>
        </w:rPr>
        <w:t xml:space="preserve">Capitolo 4 — ▶ Michele Sindona. Il nodo pentadominio e la parabola della finanza come arma</w:t>
      </w:r>
    </w:p>
    <w:p>
      <w:pPr>
        <w:spacing w:after="120" w:line="276"/>
        <w:jc w:val="both"/>
      </w:pPr>
      <w:r>
        <w:rPr>
          <w:rFonts w:ascii="Barlow Semi Condensed" w:cs="Barlow Semi Condensed" w:eastAsia="Barlow Semi Condensed" w:hAnsi="Barlow Semi Condensed"/>
          <w:sz w:val="24"/>
          <w:szCs w:val="24"/>
        </w:rPr>
        <w:t xml:space="preserve">Michele Sindona, nato a Patti l'8 maggio 1920 e morto a Voghera il 22 marzo 1986, è il primo nodo del registro a raggiungere la soglia dei 5 domini con certificazione di massimo livello su ciascun ponte, ed è insieme il nodo la cui traiettoria dimostra, con la nettezza di un esperimento, la tesi centrale della Sezione Beta dell'opera: che i domini comunicano attraverso individui-cerniera, e che la rimozione violenta di tali individui è essa stessa un dato strutturale della rete. La scansione del corpus lo registra 983 volte in 27 documenti, con presenza massiccia negli atti della Commissione parlamentare d'inchiesta sul caso Sindona, istituita con legge 22 maggio 1980 numero 204, nelle sentenze italiane e statunitensi, e nei materiali sulla trilogia golpista dei primi anni 70 che il Registro Unico Federato ha schedato sotto lo snodo Borghese-Sindona.</w:t>
      </w:r>
    </w:p>
    <w:p>
      <w:pPr>
        <w:spacing w:after="120" w:line="276"/>
        <w:jc w:val="both"/>
      </w:pPr>
      <w:r>
        <w:rPr>
          <w:rFonts w:ascii="Barlow Semi Condensed" w:cs="Barlow Semi Condensed" w:eastAsia="Barlow Semi Condensed" w:hAnsi="Barlow Semi Condensed"/>
          <w:sz w:val="24"/>
          <w:szCs w:val="24"/>
        </w:rPr>
        <w:t xml:space="preserve">Il Dominio 6 è la matrice. Avvocato tributarista trasferitosi a Milano, Sindona costruisce tra gli anni 50 ed i primi 70 un impero bancario e fiduciario articolato su 2 versanti: quello italiano, con la Banca Privata Finanziaria e la Banca Unione, poi fuse nella Banca Privata Italiana, e quello internazionale, con la Fasco AG di Vaduz quale holding di vertice, la Finabank di Ginevra, partecipata dallo IOR, e, dal 1972, il controllo della Franklin National Bank di New York, all'epoca tra le maggiori banche degli Stati Uniti. Il crollo simultaneo dei 2 versanti nell'autunno 1974, con il dissesto della Banca Privata Italiana e la bancarotta della Franklin, la più grave insolvenza bancaria americana fino a quel momento, genera i 2 procedimenti che definiscono il nodo: negli Stati Uniti la condanna del 1980 a 25 anni per la frode della Franklin, in Italia la condanna per la bancarotta della Banca Privata. Su questo versante la certificazione è al Livello A per convergenza di sentenze definitive in 2 giurisdizioni, atti parlamentari e documentazione della liquidazione coatta.</w:t>
      </w:r>
    </w:p>
    <w:p>
      <w:pPr>
        <w:spacing w:after="120" w:line="276"/>
        <w:jc w:val="both"/>
      </w:pPr>
      <w:r>
        <w:rPr>
          <w:rFonts w:ascii="Barlow Semi Condensed" w:cs="Barlow Semi Condensed" w:eastAsia="Barlow Semi Condensed" w:hAnsi="Barlow Semi Condensed"/>
          <w:sz w:val="24"/>
          <w:szCs w:val="24"/>
        </w:rPr>
        <w:t xml:space="preserve">Il Dominio 1 si innesta sulla matrice finanziaria attraverso 2 canali distinti, che il registro mantiene separati perché diversa è la loro genealogia probatoria. Il primo canale è il riciclaggio: le risultanze della Commissione Sindona, le dichiarazioni riscontrate di collaboratori di giustizia, tra cui Tommaso Buscetta e Francesco Marino Mannoia, e gli accertamenti dei processi di Palermo convergono nell'attribuire al circuito sindoniano la funzione di terminale finanziario di capitali riconducibili a famiglie di Cosa Nostra, in particolare all'area Gambino-Inzerillo-Spatola, lungo l'asse transatlantico tra la Sicilia e New York; la convergenza di fonte parlamentare, fonti dichiarative riscontrate e accertamenti giudiziari colloca il canale al Livello A quanto alla sua esistenza, mentre la quantificazione dei flussi resta materia di stime e come tale al Livello B. Il secondo canale è il finto sequestro dell'estate 1979: scomparso da New York il 2 agosto 1979, Sindona ricompare il 16 ottobre; le indagini dei giudici istruttori milanesi Colombo e Turone, quelle statunitensi ed il successivo processo accertano che il sequestro fu una messinscena organizzata con l'apporto logistico di uomini dell'area mafiosa siculo-americana, tra cui John Gambino, e di ambienti massonici siciliani, con un soggiorno clandestino in Sicilia durante il quale Sindona tentò di esercitare pressioni ricattatorie, facendo balenare la divulgazione di una lista di 500 esportatori di capitali; nel corso della messinscena Sindona si fece persino ferire alla gamba per accreditarla. L'episodio è certificato al Livello A ed è, nel sistema del registro, un reperto di valore eccezionale, perché in 1 solo evento si osservano congiunti il Dominio 6, il Dominio 1 ed il Dominio 4, con l'aggiunta del ricatto come tecnologia di potere. La lista dei 500, evocata e mai rinvenuta, è trattata dal registro secondo la disciplina dell'assenza: la sua esistenza materiale non è certificata, la sua funzione ricattatoria quale minaccia è certificata al Livello A dagli atti, e la distanza tra i 2 piani è essa stessa il dato.</w:t>
      </w:r>
    </w:p>
    <w:p>
      <w:pPr>
        <w:spacing w:after="120" w:line="276"/>
        <w:jc w:val="both"/>
      </w:pPr>
      <w:r>
        <w:rPr>
          <w:rFonts w:ascii="Barlow Semi Condensed" w:cs="Barlow Semi Condensed" w:eastAsia="Barlow Semi Condensed" w:hAnsi="Barlow Semi Condensed"/>
          <w:sz w:val="24"/>
          <w:szCs w:val="24"/>
        </w:rPr>
        <w:t xml:space="preserve">Il Dominio 4 è documentato dalla tessera piduista di Sindona, presente negli elenchi di Castiglion Fibocchi e riscontrata dalla Commissione Anselmi, nonché dal ruolo di Gelli quale suo sponsor e protettore negli anni della crisi; la saldatura tra il capitolo massonico e quello finanziario è certificata al Livello A. Il Dominio 5 è documentato dal rapporto organico con lo IOR: la partecipazione dell'Istituto nella Finabank, le operazioni congiunte degli anni 60, la fama di banchiere di fiducia d'Oltretevere che gli valse la vendita, nel 1969, di partecipazioni industriali vaticane di primo rilievo; gli atti parlamentari ed i documenti della liquidazione certificano il rapporto al Livello A, mentre le singole qualificazioni personali, come la presentazione a Paul Marcinkus, riferita da più fonti ma di genealogia in parte comune, restano al Livello B. Il Dominio 2, infine, è documentato su 2 versanti: quello italiano, con l'appoggio prestato da ambienti politici al progetto di salvataggio delle banche sindoniane tra il 1974 ed il 1979, oggetto centrale dell'inchiesta parlamentare, nella quale è agli atti la celebre qualificazione di Sindona quale salvatore della lira attribuita ad ambienti di governo, ed il connesso scontro istituzionale che investì la Banca d'Italia, culminato nell'incriminazione del governatore Paolo Baffi e nell'arresto del vice direttore Mario Sarcinelli nel marzo 1979, vicenda dalla quale entrambi uscirono pienamente prosciolti e che il registro classifica al Livello A quale episodio di aggressione giudiziaria ad un organo di vigilanza ostile al salvataggio; e quello americano, con le relazioni negli ambienti repubblicani ed atlantici documentate dagli atti statunitensi. Al perimetro politico appartiene infine la schedatura, già operata dal Registro Unico Federato, dello snodo Borghese-Sindona entro la trilogia golpista dei primi anni 70: la disponibilità di ambienti sindoniani a sostenere finanziariamente progetti eversivi è riferita da fonti dichiarative, tra cui la testimonianza parlamentare di Buscetta su 3 distinti tentativi di colpo di Stato a mediazione massonica, e resta classificata al Livello B, quale convergenza di fonti dichiarative riscontrate e atti parlamentari, priva di giudicato specifico.</w:t>
      </w:r>
    </w:p>
    <w:p>
      <w:pPr>
        <w:spacing w:after="120" w:line="276"/>
        <w:jc w:val="both"/>
      </w:pPr>
      <w:r>
        <w:rPr>
          <w:rFonts w:ascii="Barlow Semi Condensed" w:cs="Barlow Semi Condensed" w:eastAsia="Barlow Semi Condensed" w:hAnsi="Barlow Semi Condensed"/>
          <w:sz w:val="24"/>
          <w:szCs w:val="24"/>
        </w:rPr>
        <w:t xml:space="preserve">Il vertice tragico del nodo è l'omicidio di Giorgio Ambrosoli, avvocato milanese nominato commissario liquidatore unico della Banca Privata Italiana, assassinato sotto casa la notte dell'11 luglio 1979 da William Joseph Aricò, sicario italoamericano. La catena giudiziaria è completa e definitiva: Aricò quale esecutore, Sindona quale mandante, condannato all'ergastolo con sentenza divenuta irrevocabile il 18 marzo 1986. L'omicidio Ambrosoli è, nel registro, il ponte perfetto e terribile tra il Dominio 6 ed il Dominio 1: un banchiere che compra dalla criminalità organizzata italoamericana il servizio della morte per eliminare il servitore dello Stato che ne stava documentando il dissesto. La certificazione è al Livello A senza residui. Ed è qui che la traiettoria si chiude su se stessa con una simmetria che il registro si limita a constatare: 4 giorni dopo la definitività dell'ergastolo, il 20 marzo 1986, Sindona ingerisce nel carcere di massima sicurezza di Voghera un caffè avvelenato con cianuro di potassio, e muore il 22 marzo. Le inchieste conclusero nel senso del suicidio, pur nel quadro di un regime di sorveglianza che avrebbe dovuto escludere ogni accesso al veleno; il registro recepisce l'esito ufficiale e lo classifica al Livello B, connessione indiziaria fondata su accertamento giudiziario singolo, mantenendo aperta, al Livello C, l'ipotesi alternativa dell'avvelenamento eterodiretto, con l'indicazione della evidenza che la deciderebbe: la ricostruzione documentale della catena di custodia del veleno entro il carcere, mai compiutamente raggiunta. La morte di Sindona, qualunque ne sia stata la mano, produce nella rete l'effetto che il Pattern 1 della Nota Metodologica consente di misurare: la scomparsa simultanea del più alto detentore di informazioni sui ponti tra 5 domini, secondo la regolarità, che l'opera verificherà sistematicamente, per cui gli individui a massima betweenness muoiono di morte violenta o anomala con frequenza superiore ad ogni attesa statistica.</w:t>
      </w:r>
    </w:p>
    <w:p>
      <w:pPr>
        <w:spacing w:after="120" w:line="276"/>
        <w:jc w:val="both"/>
      </w:pPr>
      <w:r>
        <w:rPr>
          <w:rFonts w:ascii="Barlow Semi Condensed" w:cs="Barlow Semi Condensed" w:eastAsia="Barlow Semi Condensed" w:hAnsi="Barlow Semi Condensed"/>
          <w:sz w:val="24"/>
          <w:szCs w:val="24"/>
        </w:rPr>
        <w:t xml:space="preserve">Le triangolazioni del nodo sono 4: Sindona-Gelli-Calvi, il triangolo finanziario della loggia, nel quale Calvi eredita da Sindona clientele, tecniche e destino; Sindona-Gambino-Inzerillo, l'asse transatlantico del riciclaggio, che la Fase 5 riprenderà sul versante americano; Sindona-IOR-Marcinkus, il ponte vaticano che il capitolo 6 completa; e Sindona-Baffi-Sarcinelli, la triangolazione negativa, nella quale il nodo si misura con l'istituzione che gli resiste e la risposta del sistema è l'aggressione giudiziaria ai vigilanti: un arco di strumentalizzazione della magistratura, secondo la tassonomia della Parte III, che il registro certifica al Livello A nei suoi fatti e mantiene al Livello C quanto alla regia unitaria.</w:t>
      </w:r>
    </w:p>
    <w:p>
      <w:pPr>
        <w:spacing w:after="120" w:line="276"/>
        <w:jc w:val="both"/>
      </w:pPr>
      <w:r>
        <w:rPr>
          <w:rFonts w:ascii="Barlow Semi Condensed" w:cs="Barlow Semi Condensed" w:eastAsia="Barlow Semi Condensed" w:hAnsi="Barlow Semi Condensed"/>
          <w:sz w:val="24"/>
          <w:szCs w:val="24"/>
        </w:rPr>
        <w:t xml:space="preserve">La sequenza del crollo merita la precisione del cronografo, perché in essa si misura la trasformazione della finanza in arma e dell'arma in rovina. Nel luglio 1974 la fusione delle 2 banche italiane del gruppo genera la Banca Privata Italiana, creatura già esangue; il 27 settembre 1974 il Tribunale ne dichiara lo stato e la Banca d'Italia ne promuove la liquidazione coatta amministrativa, con la nomina a commissario liquidatore unico dell'avvocato Giorgio Ambrosoli; l'8 ottobre 1974 la Franklin National Bank di New York, perno del versante americano, è dichiarata insolvente, all'epoca il maggior dissesto bancario della storia degli Stati Uniti, Livello A su tutta la scansione. Segue il quinquennio della resistenza: Sindona, riparato negli Stati Uniti, muove le sue relazioni per ottenere il salvataggio italiano della banca liquidata, e la pressione si abbatte sulla Banca d'Italia che quel salvataggio nega. Il registro consegna qui un pilastro che la memoria pubblica ha lasciato sbiadire: nel marzo 1979 il governatore Paolo Baffi fu incriminato ed il capo della Vigilanza Mario Sarcinelli arrestato, in un procedimento che si sarebbe concluso anni dopo con il proscioglimento pieno di entrambi, e che gli atti parlamentari e la storiografia collocano nel contesto delle pressioni convergenti sull'istituto di emissione nella stagione dei salvataggi negati, Livello A quanto ai provvedimenti ed ai proscioglimenti, Livello B quanto al nesso di contesto. Che l'organo di vigilanza monetaria della Repubblica sia stato colpito nei suoi vertici mentre resisteva al salvataggio di un bancarottiere è un fatto la cui sola cronologia costituisce, nel linguaggio del Pattern 3, una coincidenza temporale ad altissima densità.</w:t>
      </w:r>
    </w:p>
    <w:p>
      <w:pPr>
        <w:spacing w:after="120" w:line="276"/>
        <w:jc w:val="both"/>
      </w:pPr>
      <w:r>
        <w:rPr>
          <w:rFonts w:ascii="Barlow Semi Condensed" w:cs="Barlow Semi Condensed" w:eastAsia="Barlow Semi Condensed" w:hAnsi="Barlow Semi Condensed"/>
          <w:sz w:val="24"/>
          <w:szCs w:val="24"/>
        </w:rPr>
        <w:t xml:space="preserve">Sul versante penale americano ed italiano, la scansione è la seguente. Nel 1980 la giustizia federale statunitense condanna Sindona a 25 anni per il dissesto della Franklin, all'esito di un processo fondato su decine di capi d'imputazione, Livello A; nell'estate del 1979, tra il 2 agosto ed il 16 ottobre, si era consumata la messinscena dell'autosequestro, con la sparizione da New York, il soggiorno clandestino in Sicilia sotto la protezione di ambienti del circuito Gambino ed il ritorno a Manhattan con una ferita d'arma da fuoco alla gamba, episodio che le sentenze italiane hanno accertato quale simulazione strumentale, ordita anche per esercitare pressione ricattatoria sugli ambienti finanziari e politici italiani, Livello A quanto alla simulazione, mentre la famosa lista dei 500 esportatori di valuta, agitata in quella stagione quale strumento di minaccia, non è mai stata rinvenuta quale documento e resta perciò consegnata al Livello C. L'estradizione in Italia nel settembre 1984 apre l'ultimo atto: il processo milanese per l'omicidio di Giorgio Ambrosoli, ucciso sotto casa la notte dell'11 luglio 1979 da William Joseph Aricò, sicario italoamericano ingaggiato per conto del banchiere, il quale Aricò, detenuto a New York, morì il 19 febbraio 1984 precipitando dal Metropolitan Correctional Center durante un tentativo di evasione, sicché il giudizio italiano si celebrò contro il mandante e gli intermediari, Livello A. Giova qui una precisazione di scrupolo processuale, che nulla toglie e molto aggiunge alla nettezza del quadro: la condanna all'ergastolo pronunciata dalla Corte d'Assise di Milano il 18 marzo 1986 nei confronti di Sindona quale mandante precedette di 4 giorni la sua morte, sicché nei suoi confronti il rapporto processuale si estinse, mentre il giudizio proseguito verso gli intermediari del reclutamento approdò negli anni successivi a condanne irrevocabili, che consegnano al registro, con la forza del giudicato, la ricostruzione dell'intera catena omicidiaria, Livello A.</w:t>
      </w:r>
    </w:p>
    <w:p>
      <w:pPr>
        <w:spacing w:after="120" w:line="276"/>
        <w:jc w:val="both"/>
      </w:pPr>
      <w:r>
        <w:rPr>
          <w:rFonts w:ascii="Barlow Semi Condensed" w:cs="Barlow Semi Condensed" w:eastAsia="Barlow Semi Condensed" w:hAnsi="Barlow Semi Condensed"/>
          <w:sz w:val="24"/>
          <w:szCs w:val="24"/>
        </w:rPr>
        <w:t xml:space="preserve">Resta Ambrosoli, ed il registro gli deve più di una riga, perché il metodo che questa opera pratica è, in ultima istanza, il suo. Nominato liquidatore nel 1974, l'avvocato milanese ricostruì per 5 anni, carta su carta, l'architettura del dissesto, respinse le lusinghe e le minacce, e nel febbraio 1975 consegnò alla moglie una lettera da leggersi in caso di morte, nella quale rivendicava, con understatement borghese, di aver soltanto fatto il proprio dovere: la lettera, pubblicata dopo l'omicidio, è divenuta il testamento civile di quella stagione, ed il titolo con cui Corrado Stajano ne raccontò la vita, Un eroe borghese, appartiene ormai al lessico della Repubblica, Livello A quanto ai documenti. Nella morfologia della rete, Ambrosoli è il nodo che il registro definisce anticorpo: un attore che, collocato dal caso in posizione di massima esposizione su un arco critico, sceglie di esercitare la funzione di controllo fino alle estreme conseguenze, e la cui eliminazione, lungi dal chiudere il varco, consegna agli inquirenti la mappa che la sua contabilità aveva disegnato. La finanza come arma trovò in lui la dimostrazione che esiste anche la contabilità come trincea.</w:t>
      </w:r>
    </w:p>
    <w:p>
      <w:pPr>
        <w:spacing w:after="120" w:line="276"/>
        <w:jc w:val="both"/>
      </w:pPr>
      <w:r>
        <w:rPr>
          <w:rFonts w:ascii="Barlow Semi Condensed" w:cs="Barlow Semi Condensed" w:eastAsia="Barlow Semi Condensed" w:hAnsi="Barlow Semi Condensed"/>
          <w:sz w:val="24"/>
          <w:szCs w:val="24"/>
        </w:rPr>
        <w:t xml:space="preserve">Alla catena omicidiaria va aggiunto il capitolo delle pressioni sul vertice della finanza privata, che le motivazioni del processo milanese consegnarono al giudicato. Gli atti documentano che nella primavera del 1979 Sindona convocò a New York Enrico Cuccia, l'amministratore delegato di Mediobanca che al salvataggio si opponeva, e che all'incontro seguirono minacce esplicite alla persona ed alla famiglia del banchiere, inserite dai giudici nella medesima strategia intimidatoria culminata nell'omicidio del liquidatore, Livello A nei limiti delle motivazioni. Il registro isola il reperto perché esso completa la fenomenologia della finanza come arma: il medesimo nodo esercitò, nell'ordine, la corruzione sui permeabili, la pressione istituzionale sui vigilanti, la minaccia sui resistenti e l'omicidio sull'irriducibile, disegnando una scala di escalation che il Pattern 4 può leggere quale flusso unitario di coercizione crescente lungo archi di natura diversa. Che ai 2 estremi della scala si trovino un governatore incriminato ingiustamente ed un avvocato assassinato è la misura esatta di quanto la posta eccedesse la contabilità di una banca decotta: in gioco era la giurisdizione stessa del sistema legale sul denaro, e la Repubblica, va detto a suo credito, quella giurisdizione la difese, al prezzo che questo capitolo ha censito.</w:t>
      </w:r>
    </w:p>
    <w:p>
      <w:pPr>
        <w:spacing w:after="120" w:line="276"/>
        <w:jc w:val="both"/>
      </w:pPr>
      <w:r>
        <w:rPr>
          <w:rFonts w:ascii="Barlow Semi Condensed" w:cs="Barlow Semi Condensed" w:eastAsia="Barlow Semi Condensed" w:hAnsi="Barlow Semi Condensed"/>
          <w:sz w:val="24"/>
          <w:szCs w:val="24"/>
        </w:rPr>
        <w:t xml:space="preserve">Il quadro istituzionale del caso si completa con l'inchiesta parlamentare dedicata, che il registro censisce quale quarta gamba probatoria accanto ai giudicati italiani, a quelli statunitensi ed agli atti della Commissione P2. Con legge del 22 maggio 1980 il Parlamento istituì la Commissione d'inchiesta sul caso Sindona e sulle responsabilità politiche ed amministrative ad esso connesse, i cui lavori si conclusero nel marzo 1982 con una relazione di maggioranza e con più relazioni di minoranza, ed i cui atti ricostruirono la trama dei salvataggi tentati, delle protezioni politiche invocate e delle pressioni esercitate sugli organi di vigilanza, Livello A quanto all'istituzione ed alle risultanze documentali. La compresenza, sul medesimo nodo, di 2 inchieste parlamentari, 2 giurisdizioni penali nazionali ed 1 straniera è un unicum che fa di Sindona il nodo più densamente osservato dell'intera rete: ed è appunto per questa densità di osservazione, non per pregiudizio narrativo, che il registro ha potuto certificarne i 5 ponti al massimo livello, a conferma della regola per cui la conoscibilità di una rete è funzione diretta della quantità di istituzioni che hanno avuto interesse ad illuminarla.</w:t>
      </w:r>
    </w:p>
    <w:p>
      <w:pPr>
        <w:spacing w:after="120" w:line="276"/>
        <w:jc w:val="both"/>
      </w:pPr>
      <w:r>
        <w:rPr>
          <w:rFonts w:ascii="Barlow Semi Condensed" w:cs="Barlow Semi Condensed" w:eastAsia="Barlow Semi Condensed" w:hAnsi="Barlow Semi Condensed"/>
          <w:sz w:val="24"/>
          <w:szCs w:val="24"/>
        </w:rPr>
        <w:t xml:space="preserve">Alla catena omicidiaria va aggiunto il capitolo delle pressioni sul vertice della finanza privata, che le motivazioni del processo milanese consegnarono al giudicato. Gli atti documentano che nella primavera del 1979 Sindona convocò a New York Enrico Cuccia, l'amministratore delegato di Mediobanca che al salvataggio si opponeva, e che all'incontro seguirono minacce esplicite alla persona ed alla famiglia del banchiere, inserite dai giudici nella medesima strategia intimidatoria culminata nell'omicidio del liquidatore, Livello A nei limiti delle motivazioni. Il registro isola il reperto perché esso completa la fenomenologia della finanza come arma: il medesimo nodo esercitò, nell'ordine, la corruzione sui permeabili, la pressione istituzionale sui vigilanti, la minaccia sui resistenti e l'omicidio sull'irriducibile, disegnando una scala di escalation che il Pattern 4 può leggere quale flusso unitario di coercizione crescente lungo archi di natura diversa. Che ai 2 estremi della scala si trovino un governatore incriminato ingiustamente ed un avvocato assassinato è la misura esatta di quanto la posta eccedesse la contabilità di una banca decotta: in gioco era la giurisdizione stessa del sistema legale sul denaro, e la Repubblica, va detto a suo credito, quella giurisdizione la difese, al prezzo che questo capitolo ha censito.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Sindona è certificato quale cerniera pentadominio con ponti di Livello A verso i Domini 1, 2, 4, 5 e 6, culminanti nell'ergastolo definitivo quale mandante dell'omicidio Ambrosoli; la morte per avvelenamento in regime di massima sicurezza è recepita quale suicidio al Livello B, con ipotesi alternativa mantenuta al Livello C; la disponibilità eversiva dello snodo Borghese-Sindona resta certificata al Livello B su base parlamentare e dichiarativa riscontrata.</w:t>
      </w:r>
    </w:p>
    <w:p>
      <w:pPr>
        <w:pStyle w:val="Heading3"/>
        <w:spacing w:after="80" w:before="160"/>
      </w:pPr>
      <w:r>
        <w:rPr>
          <w:rFonts w:ascii="Barlow Semi Condensed" w:cs="Barlow Semi Condensed" w:eastAsia="Barlow Semi Condensed" w:hAnsi="Barlow Semi Condensed"/>
          <w:sz w:val="24"/>
          <w:szCs w:val="24"/>
        </w:rPr>
        <w:t xml:space="preserve">Capitolo 5 — ▶ Roberto Calvi. Il banchiere-ponte e la morte come reperto conteso</w:t>
      </w:r>
    </w:p>
    <w:p>
      <w:pPr>
        <w:spacing w:after="120" w:line="276"/>
        <w:jc w:val="both"/>
      </w:pPr>
      <w:r>
        <w:rPr>
          <w:rFonts w:ascii="Barlow Semi Condensed" w:cs="Barlow Semi Condensed" w:eastAsia="Barlow Semi Condensed" w:hAnsi="Barlow Semi Condensed"/>
          <w:sz w:val="24"/>
          <w:szCs w:val="24"/>
        </w:rPr>
        <w:t xml:space="preserve">Roberto Calvi, nato a Milano il 13 aprile 1920 e trovato morto a Londra il 18 giugno 1982, è il secondo vertice del triangolo finanziario della loggia, e nel registro occupa una posizione peculiare: è il nodo nel quale la certificazione massima riguarda non soltanto le connessioni in vita, ma la morte stessa, divenuta essa stessa un ponte conteso tra domini. La scansione del corpus lo registra 953 volte in 33 documenti, in prevalenza atti giudiziari, materiali della Commissione P2 e documentazione sul dissesto dell'Ambrosiano.</w:t>
      </w:r>
    </w:p>
    <w:p>
      <w:pPr>
        <w:spacing w:after="120" w:line="276"/>
        <w:jc w:val="both"/>
      </w:pPr>
      <w:r>
        <w:rPr>
          <w:rFonts w:ascii="Barlow Semi Condensed" w:cs="Barlow Semi Condensed" w:eastAsia="Barlow Semi Condensed" w:hAnsi="Barlow Semi Condensed"/>
          <w:sz w:val="24"/>
          <w:szCs w:val="24"/>
        </w:rPr>
        <w:t xml:space="preserve">La matrice è, come per Sindona, il Dominio 6, ma con una differenza strutturale che va colta subito: Sindona costruisce banche proprie, Calvi cattura una banca altrui, ed il suo caso è perciò l'illustrazione più compiuta della teoria del contenitore. Il Banco Ambrosiano, fondato a Milano nel 1896 quale banca cattolica dei ceti lombardi, è il contenitore; Calvi, entratovi nel 1947 e salitone tutti i gradini fino alla presidenza nel 1975, è l'occupante; e l'architettura di controllo che egli edifica, una catena di holding e consociate estere, dalla Banco Ambrosiano Holding di Lussemburgo alle società di Panama e delle Bahamas, fino al Banco Ambrosiano Andino di Lima, è lo strumento della cattura, perché consente di finanziare occultamente, con il denaro della banca, l'acquisto delle azioni della banca medesima, sottraendo il controllo ai soci ed alla vigilanza. Il dissesto che ne segue, con un ammanco accertato nell'ordine di 1200 milioni di dollari dell'epoca verso le consociate estere, è il più grande crack bancario privato della storia italiana; la liquidazione coatta dell'agosto 1982, il processo milanese e le condanne definitive che ne derivarono, tra le quali quelle di Gelli e di Ortolani già richiamate, certificano l'intero impianto al Livello A.</w:t>
      </w:r>
    </w:p>
    <w:p>
      <w:pPr>
        <w:spacing w:after="120" w:line="276"/>
        <w:jc w:val="both"/>
      </w:pPr>
      <w:r>
        <w:rPr>
          <w:rFonts w:ascii="Barlow Semi Condensed" w:cs="Barlow Semi Condensed" w:eastAsia="Barlow Semi Condensed" w:hAnsi="Barlow Semi Condensed"/>
          <w:sz w:val="24"/>
          <w:szCs w:val="24"/>
        </w:rPr>
        <w:t xml:space="preserve">I ponti del nodo si dispongono su 4 domini oltre al proprio. Verso il Dominio 4, la tessera piduista di Calvi è negli elenchi di Castiglion Fibocchi ed il suo rapporto di dipendenza protettiva da Gelli è documentato dagli atti parlamentari e giudiziari, ivi comprese le lettere e le annotazioni sequestrate: certificazione al Livello A. Su questo ponte si innesta l'operazione che congiunge il Dominio 6 al Dominio 8 e che il registro considera uno degli archi di transito più gravidi di conseguenze dell'intera rete: il finanziamento occulto, attraverso il circuito Ambrosiano, della scalata del gruppo Rizzoli, gravato da debiti, e con esso del Corriere della Sera, il principale quotidiano nazionale, il cui assetto proprietario e la cui direzione entrarono nell'orbita della loggia negli anni tra il 1977 ed il 1981, come la relazione Anselmi documentò analiticamente e come le sentenze sul crack confermarono; la certificazione del ponte finanza-informazione è al Livello A, e costituisce il caso paradigmatico, per l'intera opera, della conquista di un organo di formazione dell'opinione pubblica per via debitoria anziché per via editoriale. Verso il Dominio 5, il ponte è costituito dall'intreccio organico con l'Istituto per le Opere di Religione, del quale il capitolo seguente tratta funditus: qui basti certificare al Livello A, sul fondamento della documentazione della liquidazione e dell'accordo di Ginevra del 1984, che lo IOR fu azionista dell'Ambrosiano, controparte di operazioni incrociate e soprattutto emittente, il 1 settembre 1981, delle cosiddette lettere di patronage con le quali dichiarava alle banche creditrici il proprio controllo su alcune delle società estere debitrici, ricevendone in cambio, con contro-lettera riservata di Calvi, la manleva da ogni conseguenza. Verso il Dominio 1, infine, i ponti in vita sono 2: il canale di riciclaggio che le dichiarazioni riscontrate di collaboratori, in primis Francesco Marino Mannoia, attribuiscono al circuito Ambrosiano quale collettore di capitali mafiosi, canale che il registro certifica al Livello B, per convergenza di fonti dichiarative riscontrate e risultanze processuali prive tuttavia di giudicato contabile specifico; ed il rapporto personale, nell'ultimo anno di vita, con Flavio Carboni, faccendiere sardo con relazioni trasversali che spaziavano dalla Banda della Magliana ad ambienti massonici e d'affari, rapporto documentato al Livello A dagli atti dei processi romani, essendo Carboni l'organizzatore della fuga finale di Calvi.</w:t>
      </w:r>
    </w:p>
    <w:p>
      <w:pPr>
        <w:spacing w:after="120" w:line="276"/>
        <w:jc w:val="both"/>
      </w:pPr>
      <w:r>
        <w:rPr>
          <w:rFonts w:ascii="Barlow Semi Condensed" w:cs="Barlow Semi Condensed" w:eastAsia="Barlow Semi Condensed" w:hAnsi="Barlow Semi Condensed"/>
          <w:sz w:val="24"/>
          <w:szCs w:val="24"/>
        </w:rPr>
        <w:t xml:space="preserve">La sequenza terminale va restituita con la precisione del verbale, perché su di essa il registro esercita la sua disciplina più severa. Nel maggio 1981 Calvi è arrestato nell'ambito dell'inchiesta valutaria milanese; nel luglio è condannato in primo grado a 4 anni per esportazione illecita di capitali, primo banchiere di tale rango a subire simile condanna, e tenta in carcere un gesto suicidario; scarcerato in pendenza d'appello, conserva la presidenza della banca. Il 31 maggio 1982 la Banca d'Italia chiede formalmente conto dell'esposizione verso le consociate estere; l'11 giugno Calvi scompare da Roma, con passaporto falso a nome Gian Roberto Calvini, e attraverso un itinerario che tocca Trieste, la Jugoslavia, l'Austria e Londra, organizzato da Carboni con l'apporto di contrabbandieri giuliani, giunge in un appartamento londinese; il 17 giugno il consiglio dell'Ambrosiano lo esautora e la segretaria personale Graziella Corrocher precipita da una finestra della sede milanese, lasciando uno scritto di accusa verso il presidente, morte archiviata quale suicidio e classificata dal registro al Livello B; all'alba del 18 giugno il corpo di Calvi è rinvenuto appeso ad un'impalcatura sotto il ponte dei Frati Neri, Blackfriars Bridge, con mattoni nelle tasche e negli indumenti e circa 15000 dollari in contanti, senza che sul ponte o sul corpo si rinvengano tracce coerenti con un'ascensione autonoma sull'impalcatura. La prima inchiesta del coroner londinese, nel luglio 1982, concluse per il suicidio; la seconda, nel giugno 1983, pronunciò un verdetto aperto; l'esumazione del 1998 e la perizia collegiale disposta dalla giustizia italiana, depositata nel 2002, conclusero per l'incompatibilità del quadro con il suicidio e per la morte per mano altrui; il processo celebrato a Roma contro Giuseppe Calò, Flavio Carboni, Ernesto Diotallevi ed altri quali mandanti od organizzatori si chiuse in primo grado nel 2007 con l'assoluzione di tutti gli imputati per insufficienza di prove, confermata in appello nel 2010 ed in cassazione nel 2011, ma con il riconoscimento, in motivazione, della natura omicidiaria del fatto. Il registro ne trae la doppia classificazione che costituisce il modello per tutti i casi analoghi: la natura omicidiaria della morte di Calvi è certificata al Livello A, per convergenza di perizia collegiale, verdetto aperto del secondo coroner e qualificazione contenuta nelle sentenze italiane, 3 fonti eterogenee e genealogicamente distinte; l'attribuzione dell'omicidio a mandanti ed esecutori determinati resta al Livello C, ipotesi investigativa non sorretta da giudicato, essendo intervenuta assoluzione definitiva degli unici imputati. Tra il fatto certo e la responsabilità incerta corre esattamente quella distanza che la Regola Ferrea vieta di colmare con l'inferenza.</w:t>
      </w:r>
    </w:p>
    <w:p>
      <w:pPr>
        <w:spacing w:after="120" w:line="276"/>
        <w:jc w:val="both"/>
      </w:pPr>
      <w:r>
        <w:rPr>
          <w:rFonts w:ascii="Barlow Semi Condensed" w:cs="Barlow Semi Condensed" w:eastAsia="Barlow Semi Condensed" w:hAnsi="Barlow Semi Condensed"/>
          <w:sz w:val="24"/>
          <w:szCs w:val="24"/>
        </w:rPr>
        <w:t xml:space="preserve">Alla morte si accompagna un reperto materiale che il registro tratta con la disciplina della spoliazione delimitata: la borsa nera di Calvi, contenente documenti che il banchiere portava con sé quale strumento di negoziazione, seguì un percorso autonomo dal corpo, transitando per le mani dell'entourage della fuga, e ricomparve solo anni dopo, in parte, attraverso passaggi onerosi; l'integrità del suo contenuto originario non è ricostruibile. Il registro marca la spoliazione quale fatto documentato al Livello A e si vieta di dedurre dal contenuto ignoto qualsivoglia contenuto determinato: l'assenza di documenti non è un documento.</w:t>
      </w:r>
    </w:p>
    <w:p>
      <w:pPr>
        <w:spacing w:after="120" w:line="276"/>
        <w:jc w:val="both"/>
      </w:pPr>
      <w:r>
        <w:rPr>
          <w:rFonts w:ascii="Barlow Semi Condensed" w:cs="Barlow Semi Condensed" w:eastAsia="Barlow Semi Condensed" w:hAnsi="Barlow Semi Condensed"/>
          <w:sz w:val="24"/>
          <w:szCs w:val="24"/>
        </w:rPr>
        <w:t xml:space="preserve">Le triangolazioni del nodo sono 4: Calvi-Gelli-Ortolani, il vertice della loggia quale creditore e protettore divenuto, negli ultimi mesi, controparte esosa, secondo la documentazione dei flussi verso i conti riferibili ai 2, certificata al Livello A; Calvi-IOR-Marcinkus, l'asse vaticano delle lettere di patronage; Calvi-Carboni-Calò, il triangolo dell'ultima stagione, nel quale la certificazione si sdoppia tra i rapporti in vita, di Livello A, e la responsabilità nella morte, ferma al Livello C per intervenuta assoluzione; e Calvi-Rizzoli-Corriere, il ponte verso il Dominio 8. La lettera inviata da Calvi al pontefice Giovanni Paolo II il 5 giugno 1982, 13 giorni prima della morte, nella quale il banchiere si dichiarava ultimo baluardo contro la divulgazione di operazioni compiute anche per conto di ambienti ecclesiastici, è documento autentico acquisito agli atti e certificato al Livello A quanto all'esistenza ed al tenore; il suo contenuto assertivo, provenendo da un dichiarante in stato di massima pressione e con evidente interesse negoziale, è sottoposto dal registro all'Indice di Contaminazione della Fonte e non è utilizzato quale prova dei fatti ivi affermati.</w:t>
      </w:r>
    </w:p>
    <w:p>
      <w:pPr>
        <w:spacing w:after="120" w:line="276"/>
        <w:jc w:val="both"/>
      </w:pPr>
      <w:r>
        <w:rPr>
          <w:rFonts w:ascii="Barlow Semi Condensed" w:cs="Barlow Semi Condensed" w:eastAsia="Barlow Semi Condensed" w:hAnsi="Barlow Semi Condensed"/>
          <w:sz w:val="24"/>
          <w:szCs w:val="24"/>
        </w:rPr>
        <w:t xml:space="preserve">La sequenza terminale già esposta va ora corredata dei suoi anelli documentali intermedi, che ne fanno il caso più fitto di reperti dell'intero quadrilatero. Primo anello: la condanna del 20 luglio 1981 per le violazioni valutarie, 4 anni di reclusione e 16 miliardi di lire di multa, cui segue, in pendenza d'appello, la scarcerazione, ed insieme un fatto societario che il registro isola quale anomalia certificata, la riconferma di Calvi alla presidenza del Banco da parte degli organi sociali: un istituto di credito cattolico mantenne al vertice un presidente appena condannato in primo grado per reati valutari, e nessuna assemblea ritenne di trarne conseguenze, Livello A. Nel medesimo torno di tempo si colloca il tentato suicidio in carcere, che la documentazione clinica e processuale attesta, Livello B, e che il registro annota senza psicologizzare, giacché la psicologia dei nodi non è materia di certificazione. Secondo anello: la contro-lettera. Alle lettere di patronage rilasciate dallo IOR il 1° settembre 1981 a copertura delle consociate estere fece riscontro una dichiarazione di manleva di segno inverso, con la quale il gruppo si obbligava a tenere indenne l'Istituto: il chiasmo documentale delle 2 lettere, l'una pubblica per i creditori e l'altra riservata per il garante, è il reperto che meglio fotografa la natura del ponte tra i Domini 5 e 6, Livello A.</w:t>
      </w:r>
    </w:p>
    <w:p>
      <w:pPr>
        <w:spacing w:after="120" w:line="276"/>
        <w:jc w:val="both"/>
      </w:pPr>
      <w:r>
        <w:rPr>
          <w:rFonts w:ascii="Barlow Semi Condensed" w:cs="Barlow Semi Condensed" w:eastAsia="Barlow Semi Condensed" w:hAnsi="Barlow Semi Condensed"/>
          <w:sz w:val="24"/>
          <w:szCs w:val="24"/>
        </w:rPr>
        <w:t xml:space="preserve">Terzo anello: la fuga, che le ricostruzioni giudiziarie romane e londinesi hanno restituito passo per passo. L'11 giugno 1982 Calvi lascia Roma; munito di un passaporto falso intestato a Gian Roberto Calvini, attraversa il confine e raggiunge Londra con scali ed appoggi tra Trieste, l'Austria ed un volo charter, accompagnato e assistito da faccendieri e contrabbandieri il cui novero è consegnato agli atti del processo romano; alloggia in un residence di Chelsea; la sera del 17 giugno, a Milano, la sua segretaria personale Graziella Corrocher precipita da una finestra della sede del Banco lasciando uno scritto di accusa verso il presidente, e l'inchiesta ne qualifica la morte quale suicidio; all'alba del 18 giugno il corpo di Calvi pende dal ponteggio dei Blackfriars, i tasconi appesantiti di mattoni e di valuta, Livello A sull'intera sequenza materiale. Quarto anello: il doppio verdetto inglese, prima il suicidio, poi, nel giugno 1983, il verdetto aperto che lo revoca senza sostituirlo; indi, 15 anni dopo, l'esumazione e la perizia collegiale del 1998, che giudica il quadro lesivo e le tracce incompatibili con l'impiccagione autoinflitta dal ponteggio e compatibili con l'omicidio, elevando la qualificazione omicidiaria al grado che il capitolo ha già dichiarato, Livello B tecnico convergente. Quinto anello: il processo. Chiamati a rispondere dell'omicidio quali mandanti od organizzatori Giuseppe Calò, Flavio Carboni ed Ernesto Diotallevi, con altri, la Corte d'Assise di Roma, il 6 giugno 2007, li assolse, per i 3 predetti ai sensi del capoverso dell'articolo 530 del codice di rito, per insufficienza e contraddittorietà della prova, con formule pienamente liberatorie per i restanti; la Corte d'Assise d'appello confermò nel 2010 e la Corte di cassazione rese irrevocabili le assoluzioni nel novembre 2011, Livello A, che il registro riporta per esteso in ossequio alla propria regola: nessuno è stato condannato per la morte di Roberto Calvi.</w:t>
      </w:r>
    </w:p>
    <w:p>
      <w:pPr>
        <w:spacing w:after="120" w:line="276"/>
        <w:jc w:val="both"/>
      </w:pPr>
      <w:r>
        <w:rPr>
          <w:rFonts w:ascii="Barlow Semi Condensed" w:cs="Barlow Semi Condensed" w:eastAsia="Barlow Semi Condensed" w:hAnsi="Barlow Semi Condensed"/>
          <w:sz w:val="24"/>
          <w:szCs w:val="24"/>
        </w:rPr>
        <w:t xml:space="preserve">Chiude il capitolo una digressione che non è ornamento ma profilassi. Il ponte dei Frati Neri, con il suo nome da romanzo gotico, la loggia che nei rituali si dice frate nero, i mattoni nelle tasche: raramente una morte ha offerto alla sovrainterpretazione un apparecchio simbolico così completo, e la pubblicistica non ha resistito. Il registro sì, e dichiara perché con le parole di un semiologo che di complotti fu il più grande anatomista: chi ha letto Il pendolo di Foucault sa che il delirio ermeneutico comincia esattamente dove il dettaglio smette di essere indizio e diventa simbolo, dove la ruggine sulle scarpe conta meno del nome del ponte. Il paradigma indiziario di Ginzburg lavora sulla ruggine, non sull'araldica: e infatti fu l'assenza di ruggine e di tracce del ponteggio sulle suole, accertata dalla perizia del 1998, non la suggestione dei frati neri, a spostare il grado della qualificazione omicidiaria. La lezione vale per l'intero registro: ogni volta che un nome evocativo, una data cabalistica, una coincidenza scenografica sollecitano l'interpretazione, il metodo prescrive di tornare alla domanda del perito, che cosa dicono le suole, e di lasciare l'araldica ai romanzieri, che ne fanno miglior uso.</w:t>
      </w:r>
    </w:p>
    <w:p>
      <w:pPr>
        <w:spacing w:after="120" w:line="276"/>
        <w:jc w:val="both"/>
      </w:pPr>
      <w:r>
        <w:rPr>
          <w:rFonts w:ascii="Barlow Semi Condensed" w:cs="Barlow Semi Condensed" w:eastAsia="Barlow Semi Condensed" w:hAnsi="Barlow Semi Condensed"/>
          <w:sz w:val="24"/>
          <w:szCs w:val="24"/>
        </w:rPr>
        <w:t xml:space="preserve">Un reperto documentale terminale merita registrazione autonoma: la lettera che Calvi indirizzò a Giovanni Paolo II il 5 giugno 1982, 2 settimane prima della morte, resa nota dalla famiglia negli anni successivi. Nel testo, il banchiere invoca un intervento del vertice della Chiesa, rivendica di aver operato quale terminale finanziario di operazioni riservate condotte nell'interesse di ambienti ecclesiali su più scacchieri, ed avverte che il crollo del gruppo avrebbe provocato alla Chiesa un danno incalcolabile, Livello B quanto all'esistenza ed al tenore del documento, la cui natura di ultima difesa impone di leggerlo quale atto di parte e non quale accertamento. Il registro lo censisce con questa doppia marcatura perché esso è, nella morfologia del nodo, l'unico documento nel quale Calvi descrive sé stesso: e la descrizione che l'uomo consegna, un esecutore per conto di potenti reticenti, coincide sinistramente con la posizione reticolare che l'analisi delle centralità gli assegna, quella del ponte ad altissimo carico e nulla protezione, il vertice apparente che è in realtà il punto di massima fragilità del grafo. Quando un nodo simile cade, la teoria prevede che la rete si richiuda rapidamente attorno al vuoto, ridistribuendo i flussi su percorsi meno esposti: la storia successiva dell'Ambrosiano, spartito, rifondato e dimenticato con velocità esemplare, ne è la verifica empirica.</w:t>
      </w:r>
    </w:p>
    <w:p>
      <w:pPr>
        <w:spacing w:after="120" w:line="276"/>
        <w:jc w:val="both"/>
      </w:pPr>
      <w:r>
        <w:rPr>
          <w:rFonts w:ascii="Barlow Semi Condensed" w:cs="Barlow Semi Condensed" w:eastAsia="Barlow Semi Condensed" w:hAnsi="Barlow Semi Condensed"/>
          <w:sz w:val="24"/>
          <w:szCs w:val="24"/>
        </w:rPr>
        <w:t xml:space="preserve">La coda patrimoniale della vicenda chiude il quadro con 2 date. Il 6 agosto 1982 il Banco Ambrosiano fu posto in liquidazione coatta amministrativa, con un'esposizione verso le consociate estere dell'ordine di 1,2 miliardi di dollari che i commissari accertarono irrecuperabile nella sua parte maggiore; contestualmente nacque, per conferimento delle attività sane, il Nuovo Banco Ambrosiano, affidato alla presidenza del giurista e banchiere Giovanni Bazoli, che ne guidò la ricostruzione, Livello A sull'intera operazione. La velocità della transizione, 7 settimane dalla morte del presidente alla rifondazione dell'istituto, è essa stessa un dato morfologico: il sistema bancario italiano espulse il corpo malato e ne riassorbì le funzioni con un'efficienza che nulla, nella gestione del quinquennio precedente, aveva lasciato presagire, a dimostrazione che la lentezza dei controlli non era stata incapacità del sistema, ma sospensione localizzata dei suoi anticorpi. Dove la rete di protezione venne meno, la fisiologia istituzionale riprese immediatamente il proprio corso: ed il contrasto tra i 2 tempi, il quinquennio dell'anomalia tollerata ed il bimestre della normalizzazione compiuta, resta la misura più esatta di quanto la protezione fosse valsa.</w:t>
      </w:r>
    </w:p>
    <w:p>
      <w:pPr>
        <w:spacing w:after="120" w:line="276"/>
        <w:jc w:val="both"/>
      </w:pPr>
      <w:r>
        <w:rPr>
          <w:rFonts w:ascii="Barlow Semi Condensed" w:cs="Barlow Semi Condensed" w:eastAsia="Barlow Semi Condensed" w:hAnsi="Barlow Semi Condensed"/>
          <w:sz w:val="24"/>
          <w:szCs w:val="24"/>
        </w:rPr>
        <w:t xml:space="preserve">Un reperto documentale terminale merita registrazione autonoma: la lettera che Calvi indirizzò a Giovanni Paolo II il 5 giugno 1982, 2 settimane prima della morte, resa nota dalla famiglia negli anni successivi. Nel testo, il banchiere invoca un intervento del vertice della Chiesa, rivendica di aver operato quale terminale finanziario di operazioni riservate condotte nell'interesse di ambienti ecclesiali su più scacchieri, ed avverte che il crollo del gruppo avrebbe provocato alla Chiesa un danno incalcolabile, Livello B quanto all'esistenza ed al tenore del documento, la cui natura di ultima difesa impone di leggerlo quale atto di parte e non quale accertamento. Il registro lo censisce con questa doppia marcatura perché esso è, nella morfologia del nodo, l'unico documento nel quale Calvi descrive sé stesso: e la descrizione che l'uomo consegna, un esecutore per conto di potenti reticenti, coincide sinistramente con la posizione reticolare che l'analisi delle centralità gli assegna, quella del ponte ad altissimo carico e nulla protezione, il vertice apparente che è in realtà il punto di massima fragilità del grafo. Quando un nodo simile cade, la teoria prevede che la rete si richiuda rapidamente attorno al vuoto, ridistribuendo i flussi su percorsi meno esposti: la storia successiva dell'Ambrosiano, spartito, rifondato e dimenticato con velocità esemplare, ne è la verifica empirica.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Calvi è certificato al Livello A quale ponte tra i Domini 4, 5, 6 e 8, con l'operazione Rizzoli-Corriere quale arco di transito paradigmatico tra finanza e informazione; la natura omicidiaria della morte è elevata al Livello A per triangolazione peritale-giudiziaria, mentre l'attribuzione soggettiva dell'omicidio resta al Livello C in forza delle assoluzioni definitive; la spoliazione della borsa è marcata quale fatto certo dal contenuto indeducibile.</w:t>
      </w:r>
    </w:p>
    <w:p>
      <w:pPr>
        <w:pStyle w:val="Heading3"/>
        <w:spacing w:after="80" w:before="160"/>
      </w:pPr>
      <w:r>
        <w:rPr>
          <w:rFonts w:ascii="Barlow Semi Condensed" w:cs="Barlow Semi Condensed" w:eastAsia="Barlow Semi Condensed" w:hAnsi="Barlow Semi Condensed"/>
          <w:sz w:val="24"/>
          <w:szCs w:val="24"/>
        </w:rPr>
        <w:t xml:space="preserve">Capitolo 6 — ◆ L'Istituto per le Opere di Religione e ▶ Paul Marcinkus. Il ponte istituzionale tra il Dominio della fede ed il Dominio del denaro</w:t>
      </w:r>
    </w:p>
    <w:p>
      <w:pPr>
        <w:spacing w:after="120" w:line="276"/>
        <w:jc w:val="both"/>
      </w:pPr>
      <w:r>
        <w:rPr>
          <w:rFonts w:ascii="Barlow Semi Condensed" w:cs="Barlow Semi Condensed" w:eastAsia="Barlow Semi Condensed" w:hAnsi="Barlow Semi Condensed"/>
          <w:sz w:val="24"/>
          <w:szCs w:val="24"/>
        </w:rPr>
        <w:t xml:space="preserve">Con il presente capitolo il registro passa da un nodo individuale ad un nodo istituzionale, e la differenza di natura impone una differenza di disciplina: un'istituzione non delinque, non testimonia e non muore; agiscono, testimoniano e muoiono gli uomini che la occupano; e tuttavia la rete registra l'istituzione quale nodo autonomo, perché la sua persistenza eccede le biografie e perché gli archi che la toccano sopravvivono al ricambio degli occupanti. L'Istituto per le Opere di Religione, fondato con chirografo di Pio XII il 27 giugno 1942 sulle strutture della preesistente Amministrazione per le Opere di Religione, è l'ente centrale del Dominio 5 sul versante finanziario: non una banca in senso tecnico, ma un istituto con sede nello Stato della Città del Vaticano, sottratto alla vigilanza italiana, destinato alla custodia ed all'amministrazione di beni finalizzati ad opere di religione. La scansione del corpus registra la sigla 1746 volte in 40 documenti, ed il nome del suo presidente dell'epoca, l'arcivescovo statunitense Paul Casimir Marcinkus, nato a Cicero, Illinois, il 15 gennaio 1922 e morto a Sun City, Arizona, il 20 febbraio 2006, 408 volte in 10 documenti.</w:t>
      </w:r>
    </w:p>
    <w:p>
      <w:pPr>
        <w:spacing w:after="120" w:line="276"/>
        <w:jc w:val="both"/>
      </w:pPr>
      <w:r>
        <w:rPr>
          <w:rFonts w:ascii="Barlow Semi Condensed" w:cs="Barlow Semi Condensed" w:eastAsia="Barlow Semi Condensed" w:hAnsi="Barlow Semi Condensed"/>
          <w:sz w:val="24"/>
          <w:szCs w:val="24"/>
        </w:rPr>
        <w:t xml:space="preserve">Il perimetro certificato del nodo si costruisce per sottrazione dalle molte leggende che lo circondano, ed il registro procede perciò dai documenti più solidi verso l'esterno. Il primo cerchio, di Livello A, comprende i fatti coperti da documentazione negoziale e da convergenza istituzionale bilaterale. Lo IOR fu azionista del Banco Ambrosiano e controparte stabile del suo circuito estero; emise, il 1 settembre 1981, a firma dei propri vertici, le lettere di patronage indirizzate alle banche creditrici, dichiaranti il controllo diretto o indiretto dell'Istituto su un gruppo di società estere, panamensi e lussemburghesi, debitrici verso il circuito Ambrosiano per centinaia di milioni di dollari, e ricevette contestualmente da Calvi la contro-lettera riservata che sollevava l'Istituto da ogni responsabilità e fissava al 30 giugno 1982 il termine dell'impegno; a dissesto conclamato, il negoziato tra la parte italiana, le banche creditrici e la Santa Sede condusse all'accordo sottoscritto a Ginevra il 25 maggio 1984, in forza del quale lo IOR versò ai creditori dell'Ambrosiano la somma di circa 244 milioni di dollari, espressamente qualificata quale contributo volontario, senza riconoscimento di responsabilità. A questo cerchio appartiene altresì l'istituzione, nel 1982, della commissione mista italo-vaticana di studio sul dissesto, i cui lavori si chiusero senza conclusioni condivise: le 2 delegazioni depositarono valutazioni divergenti, e la divergenza stessa è un dato certificato al Livello A. Il pagamento di 244 milioni a titolo volontario da parte di un ente che nega ogni responsabilità è, nel lessico del registro, un reperto anfibologico: prova con certezza l'esistenza di un coinvolgimento che le parti stesse giudicarono meritevole di composizione onerosa, e non prova, da solo, la qualificazione giuridica di tale coinvolgimento.</w:t>
      </w:r>
    </w:p>
    <w:p>
      <w:pPr>
        <w:spacing w:after="120" w:line="276"/>
        <w:jc w:val="both"/>
      </w:pPr>
      <w:r>
        <w:rPr>
          <w:rFonts w:ascii="Barlow Semi Condensed" w:cs="Barlow Semi Condensed" w:eastAsia="Barlow Semi Condensed" w:hAnsi="Barlow Semi Condensed"/>
          <w:sz w:val="24"/>
          <w:szCs w:val="24"/>
        </w:rPr>
        <w:t xml:space="preserve">Il secondo cerchio, di Livello A sul piano dei fatti processuali e proprio per questo negativo sul piano delle responsabilità, è il capitolo giudiziario di Marcinkus. Nel febbraio 1987 la magistratura milanese emise mandati di cattura per concorso in bancarotta fraudolenta nei confronti di Marcinkus e dei dirigenti dello IOR Luigi Mennini e Pellegrino de Strobel; il 17 luglio 1987 la Corte di cassazione annullò i provvedimenti per difetto di giurisdizione, in applicazione dell'articolo 11 del Trattato lateranense, che sottrae gli enti centrali della Chiesa ad ogni ingerenza dello Stato italiano; Marcinkus, che nel frattempo non lasciava lo Stato vaticano, non fu mai processato, lasciò la presidenza dell'Istituto nel 1989 e si ritirò negli Stati Uniti. Il registro certifica dunque al Livello A il fatto che nessuna responsabilità penale individuale dei vertici IOR è mai stata accertata in giudizio, e certifica al medesimo livello che tale mancato accertamento discende non da una valutazione di merito, ma da una barriera giurisdizionale di rango pattizio: la distinzione è essenziale, perché consegna al registro un caso puro di ciò che la Parte V della Nota Metodologica considera lacuna strutturale della conoscenza, un punto della rete in cui l'accertamento non è mancato per difetto di indizi, ma è stato reso impossibile per architettura istituzionale. Nel linguaggio dei pattern, è un buco strutturale di natura normativa, e come tale viene registrato senza essere colmato.</w:t>
      </w:r>
    </w:p>
    <w:p>
      <w:pPr>
        <w:spacing w:after="120" w:line="276"/>
        <w:jc w:val="both"/>
      </w:pPr>
      <w:r>
        <w:rPr>
          <w:rFonts w:ascii="Barlow Semi Condensed" w:cs="Barlow Semi Condensed" w:eastAsia="Barlow Semi Condensed" w:hAnsi="Barlow Semi Condensed"/>
          <w:sz w:val="24"/>
          <w:szCs w:val="24"/>
        </w:rPr>
        <w:t xml:space="preserve">Il terzo cerchio comprende le connessioni di Livello B: il rapporto storico con il circuito Sindona, documentato dalla partecipazione dell'Istituto nella Finabank ginevrina e dalle operazioni degli anni 60, certificato al Livello A quanto ai rapporti societari ed al Livello B quanto al ruolo personale di Marcinkus, la cui presidenza inizia nel 1971, dopo la stagione principale degli affari sindoniani con l'Istituto; le operazioni incrociate di azioni, i cosiddetti depositi back-to-back e le partite fiduciarie tra IOR e consociate Ambrosiano, ricostruite dalla liquidazione e dalla commissione mista con esiti valutativi divergenti; e le dichiarazioni di collaboratori di giustizia che negli anni 90 indicarono l'Istituto quale terminale di capitali mafiosi, in particolare le dichiarazioni di Francesco Marino Mannoia sul riciclaggio di fondi di Cosa Nostra attraverso il canale Calvi-IOR, che il registro, in applicazione rigorosa del criterio di indipendenza genealogica, mantiene al Livello B, trattandosi di fonte dichiarativa riscontrata su elementi di contorno ma priva di riscontro contabile individualizzante sull'ultimo segmento del flusso.</w:t>
      </w:r>
    </w:p>
    <w:p>
      <w:pPr>
        <w:spacing w:after="120" w:line="276"/>
        <w:jc w:val="both"/>
      </w:pPr>
      <w:r>
        <w:rPr>
          <w:rFonts w:ascii="Barlow Semi Condensed" w:cs="Barlow Semi Condensed" w:eastAsia="Barlow Semi Condensed" w:hAnsi="Barlow Semi Condensed"/>
          <w:sz w:val="24"/>
          <w:szCs w:val="24"/>
        </w:rPr>
        <w:t xml:space="preserve">Il quarto cerchio, di Livello C, raccoglie le ipotesi investigative che la pubblicistica ha stratificato sul nodo e che il registro espone al solo fine di marcarne il livello: l'ipotesi di un ruolo dell'Istituto nel finanziamento di movimenti sindacali e politici nell'Europa orientale nei primi anni 80, fondata su fonti giornalistiche e memorialistiche prive di catena documentale autonoma; l'ipotesi di collegamenti tra il dissesto Ambrosiano e forniture d'armi sudamericane, di analoga consistenza; e le ipotesi sul movente vaticano nella morte di Calvi, che la lettera del 5 giugno 1982, già esaminata, suggerisce e non prova. Per ciascuna di esse il registro indica la condizione di promozione: l'emersione di documentazione contabile o archivistica genealogicamente indipendente dalle narrazioni che le hanno generate.</w:t>
      </w:r>
    </w:p>
    <w:p>
      <w:pPr>
        <w:spacing w:after="120" w:line="276"/>
        <w:jc w:val="both"/>
      </w:pPr>
      <w:r>
        <w:rPr>
          <w:rFonts w:ascii="Barlow Semi Condensed" w:cs="Barlow Semi Condensed" w:eastAsia="Barlow Semi Condensed" w:hAnsi="Barlow Semi Condensed"/>
          <w:sz w:val="24"/>
          <w:szCs w:val="24"/>
        </w:rPr>
        <w:t xml:space="preserve">Il nodo istituzionale va infine collocato nella morfologia complessiva della rete. Lo IOR è, per costruzione, un condensatore di buchi strutturali nel senso di Burt: situato entro un ordinamento sovrano distinto, esente da vigilanza esterna, dotato di segreto proprio, esso occupa la posizione dell'intermediario che connette senza poter essere attraversato dallo sguardo, e questa posizione, prima ed indipendentemente da ogni condotta, genera rendita di intermediazione ed attrattività per ogni flusso bisognoso di opacità. È la lezione strutturale del capitolo: la rete non richiede che il contenitore sia complice; le basta che sia impermeabile. Le riforme della vigilanza vaticana intervenute nei decenni successivi, dalla legge antiriciclaggio vaticana del 2010 all'istituzione dell'Autorità di Informazione Finanziaria, modificano precisamente questo parametro strutturale, e la loro esistenza conferma, per implicito riconoscimento dell'ordinamento interessato, la diagnosi che precede.</w:t>
      </w:r>
    </w:p>
    <w:p>
      <w:pPr>
        <w:spacing w:after="120" w:line="276"/>
        <w:jc w:val="both"/>
      </w:pPr>
      <w:r>
        <w:rPr>
          <w:rFonts w:ascii="Barlow Semi Condensed" w:cs="Barlow Semi Condensed" w:eastAsia="Barlow Semi Condensed" w:hAnsi="Barlow Semi Condensed"/>
          <w:sz w:val="24"/>
          <w:szCs w:val="24"/>
        </w:rPr>
        <w:t xml:space="preserve">Al perimetro per cerchi il capitolo aggiunge ora la persona del presidente, perché il nodo istituzionale ebbe per 2 decenni un volto, e quel volto ha una biografia documentale. Paul Casimir Marcinkus, nato a Cicero, nell'Illinois, il 15 gennaio 1922 da immigrati lituani, cresciuto nel sobborgo che la cronaca americana associa al dominio di Al Capone, circostanza che il registro annota quale pura geografia e non quale genealogia, salì la carriera curiale per la via del servizio diplomatico e della prossimità fisica ai pontefici: organizzatore dei viaggi papali, ne divenne l'ombra protettiva, e la cronaca gli attribuì un ruolo nel neutralizzare l'aggressione portata a Paolo VI a Manila il 27 novembre 1970, Livello B quanto alla dinamica, convergente nelle fonti. Presidente dell'Istituto dal 1971, Marcinkus cumulò a quella carica la presenza nel consiglio di amministrazione della banca di Nassau del gruppo Calvi, la consociata delle Bahamas nella quale l'Istituto deteneva una partecipazione: la compresenza del medesimo ecclesiastico al vertice del garante e nel consiglio del garantito è il fatto documentale che meglio spiega, senza bisogno di alcuna ipotesi ulteriore, la genesi delle lettere di patronage, Livello A quanto alle cariche.</w:t>
      </w:r>
    </w:p>
    <w:p>
      <w:pPr>
        <w:spacing w:after="120" w:line="276"/>
        <w:jc w:val="both"/>
      </w:pPr>
      <w:r>
        <w:rPr>
          <w:rFonts w:ascii="Barlow Semi Condensed" w:cs="Barlow Semi Condensed" w:eastAsia="Barlow Semi Condensed" w:hAnsi="Barlow Semi Condensed"/>
          <w:sz w:val="24"/>
          <w:szCs w:val="24"/>
        </w:rPr>
        <w:t xml:space="preserve">La vicenda giudiziaria del 1987 va a sua volta restituita con i nomi e con la ratio. Il 20 febbraio 1987 la magistratura milanese emise mandati di cattura nei confronti di Marcinkus, del delegato Luigi Mennini e del capo contabile Pellegrino de Strobel per concorso nella bancarotta dell'Ambrosiano; il 17 luglio 1987 la Corte di cassazione annullò i provvedimenti dichiarando il difetto di giurisdizione dello Stato italiano, sul fondamento dell'articolo 11 del Trattato lateranense, che sottrae ad ogni ingerenza gli enti centrali della Chiesa cattolica, categoria nella quale l'Istituto fu ricondotto; ne seguì l'improcedibilità, sicché nessuno dei 3 fu mai processato in Italia, Livello A. Il registro segnala al lettore la portata sistemica del precedente: esso non afferma l'innocenza, afferma l'ingiudicabilità, e disegna attorno al nodo un confine che non è probatorio ma ordinamentale. Nel linguaggio della Nota metodologica, l'arco tra il Dominio 10 e la componente vaticana del Dominio 5 risulta qui interrotto non da un'assenza di prova ma da una norma di sbarramento: un buco strutturale di diritto positivo, caso unico nell'intero registro, che ogni analisi della impermeabilità dell'Istituto deve assumere quale variabile indipendente.</w:t>
      </w:r>
    </w:p>
    <w:p>
      <w:pPr>
        <w:spacing w:after="120" w:line="276"/>
        <w:jc w:val="both"/>
      </w:pPr>
      <w:r>
        <w:rPr>
          <w:rFonts w:ascii="Barlow Semi Condensed" w:cs="Barlow Semi Condensed" w:eastAsia="Barlow Semi Condensed" w:hAnsi="Barlow Semi Condensed"/>
          <w:sz w:val="24"/>
          <w:szCs w:val="24"/>
        </w:rPr>
        <w:t xml:space="preserve">Il decennio successivo consegna infine la trasformazione. Nel 1989 Marcinkus lasciò la presidenza; il 1° marzo 1990 il chirografo pontificio rifondò l'Istituto affidandone la gestione ad un consiglio di sovrintendenza laico presieduto dal banchiere Angelo Caloia, primo esperimento di normalizzazione tecnica di un organismo sino ad allora governato per via ecclesiastica, Livello A. L'accordo di Ginevra del 25 maggio 1984, già certificato, va qui riletto nella sua formula esatta, che è un piccolo capolavoro di diplomazia dell'ambiguità: l'Istituto versò 244 milioni di dollari alle banche creditrici a titolo di contributo volontario e con espressa esclusione di ogni riconoscimento di responsabilità, sicché il medesimo atto che chiuse la partita patrimoniale lasciò intatta, per volontà bilaterale delle parti, la partita della qualificazione, Livello A. Marcinkus tornò negli Stati Uniti alla metà degli anni 90 e morì a Sun City, in Arizona, il 20 febbraio 2006, senza essere mai stato giudicato da alcuna corte: il nodo umano si spense lasciando al registro il nodo istituzionale, che è, per costruzione luhmanniana, la vera unità di analisi di questo capitolo. Un sistema che comunica nel codice della salvezza non può essere interrogato nel codice della colpevolezza se l'ordinamento non predispone l'accoppiamento strutturale, ed il 1987 certificò che quell'accoppiamento, per gli enti centrali, non esiste: tutto il resto, comprese le leggende, discende da questo teorema.</w:t>
      </w:r>
    </w:p>
    <w:p>
      <w:pPr>
        <w:spacing w:after="120" w:line="276"/>
        <w:jc w:val="both"/>
      </w:pPr>
      <w:r>
        <w:rPr>
          <w:rFonts w:ascii="Barlow Semi Condensed" w:cs="Barlow Semi Condensed" w:eastAsia="Barlow Semi Condensed" w:hAnsi="Barlow Semi Condensed"/>
          <w:sz w:val="24"/>
          <w:szCs w:val="24"/>
        </w:rPr>
        <w:t xml:space="preserve">La genealogia del sodalizio tra l'Istituto ed il Banco esige infine il suo atto fondativo, che precede di un decennio le lettere di patronage: la cessione della Banca Cattolica del Veneto. Nel 1972 l'Istituto cedette al gruppo di Calvi il pacchetto di controllo della banca veneta, storico presidio creditizio dell'episcopato regionale, con un'operazione condotta senza consultare i vescovi interessati, che ne rimasero pubblicamente feriti, e che la ricostruzione parlamentare e storiografica indica quale prima grande transazione della coppia Marcinkus-Calvi nonché matrice della loro ventennale associazione d'affari, Livello A quanto all'operazione ed alla sua collocazione genetica. Il registro vi legge il momento in cui il ponte tra i Domini 5 e 6 cessò di essere un rapporto di servizio, la banca che custodisce i depositi dell'ente, e divenne un rapporto di società, l'ente che partecipa alle avventure della banca: mutamento di natura che tutta la successiva catena documentale, dalla Cisalpine di Nassau alle lettere del 1981 all'accordo di Ginevra, non fece che svolgere sino alle sue conseguenze. Se il capitolo dovesse indicare la singola data in cui l'accoppiamento strutturale si strinse in nodo, sceglierebbe questa: il 1972, l'anno in cui il denaro della fede cambiò mestiere.</w:t>
      </w:r>
    </w:p>
    <w:p>
      <w:pPr>
        <w:spacing w:after="120" w:line="276"/>
        <w:jc w:val="both"/>
      </w:pPr>
      <w:r>
        <w:rPr>
          <w:rFonts w:ascii="Barlow Semi Condensed" w:cs="Barlow Semi Condensed" w:eastAsia="Barlow Semi Condensed" w:hAnsi="Barlow Semi Condensed"/>
          <w:sz w:val="24"/>
          <w:szCs w:val="24"/>
        </w:rPr>
        <w:t xml:space="preserve">Un ultimo tassello istituzionale merita registrazione: la commissione internazionale di esperti che la Santa Sede nominò nell'estate del 1982, all'indomani del crollo, affidando a 4 personalità indipendenti della finanza internazionale l'esame dei rapporti tra l'Istituto ed il gruppo Ambrosiano, Livello A quanto all'istituzione dell'organo. Fu l'unico procedimento di accertamento interno che l'ordinamento vaticano abbia attivato sulla vicenda, e la sua natura, tecnica e non giurisdizionale, riservata e non pubblica, conferma per l'ennesima via il teorema che questo capitolo ha posto a proprio fondamento: l'Istituto può essere esaminato soltanto nel codice che il proprio ordinamento predispone, ed il codice predisposto fu quello della due diligence, non quello del processo. Il registro ne trae la conseguenza metodologica dovuta: sul nodo IOR, l'asimmetria informativa non è un accidente della ricerca ma una proprietà strutturale dell'oggetto, e ogni futura apertura degli archivi vaticani sul punto andrà trattata, quando avvenga, con la disciplina che la Fase 5 riserva alle aperture archivistiche tardive, le quali illuminano sempre, insieme al contenuto, le ragioni della loro tempistica.</w:t>
      </w:r>
    </w:p>
    <w:p>
      <w:pPr>
        <w:spacing w:after="120" w:line="276"/>
        <w:jc w:val="both"/>
      </w:pPr>
      <w:r>
        <w:rPr>
          <w:rFonts w:ascii="Barlow Semi Condensed" w:cs="Barlow Semi Condensed" w:eastAsia="Barlow Semi Condensed" w:hAnsi="Barlow Semi Condensed"/>
          <w:sz w:val="24"/>
          <w:szCs w:val="24"/>
        </w:rPr>
        <w:t xml:space="preserve">La genealogia del sodalizio tra l'Istituto ed il Banco esige infine il suo atto fondativo, che precede di un decennio le lettere di patronage: la cessione della Banca Cattolica del Veneto. Nel 1972 l'Istituto cedette al gruppo di Calvi il pacchetto di controllo della banca veneta, storico presidio creditizio dell'episcopato regionale, con un'operazione condotta senza consultare i vescovi interessati, che ne rimasero pubblicamente feriti, e che la ricostruzione parlamentare e storiografica indica quale prima grande transazione della coppia Marcinkus-Calvi nonché matrice della loro ventennale associazione d'affari, Livello A quanto all'operazione ed alla sua collocazione genetica. Il registro vi legge il momento in cui il ponte tra i Domini 5 e 6 cessò di essere un rapporto di servizio, la banca che custodisce i depositi dell'ente, e divenne un rapporto di società, l'ente che partecipa alle avventure della banca: mutamento di natura che tutta la successiva catena documentale, dalla Cisalpine di Nassau alle lettere del 1981 all'accordo di Ginevra, non fece che svolgere sino alle sue conseguenze. Se il capitolo dovesse indicare la singola data in cui l'accoppiamento strutturale si strinse in nodo, sceglierebbe questa: il 1972, l'anno in cui il denaro della fede cambiò mestiere.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IOR è certificato al Livello A quale ponte istituzionale tra i Domini 5 e 6 sul fondamento delle lettere di patronage, della contro-lettera di manleva e dell'accordo di Ginevra del 1984 con versamento di 244 milioni di dollari a titolo volontario; è certificata al Livello A l'assenza di ogni accertamento penale individuale, determinata dalla barriera giurisdizionale dell'articolo 11 del Trattato lateranense e registrata quale buco strutturale normativo; le connessioni con il riciclaggio mafioso restano al Livello B e le ipotesi ulteriori al Livello C, con condizioni di promozione esplicitate.</w:t>
      </w:r>
    </w:p>
    <w:p>
      <w:pPr>
        <w:pStyle w:val="Heading3"/>
        <w:spacing w:after="80" w:before="160"/>
      </w:pPr>
      <w:r>
        <w:rPr>
          <w:rFonts w:ascii="Barlow Semi Condensed" w:cs="Barlow Semi Condensed" w:eastAsia="Barlow Semi Condensed" w:hAnsi="Barlow Semi Condensed"/>
          <w:sz w:val="24"/>
          <w:szCs w:val="24"/>
        </w:rPr>
        <w:t xml:space="preserve">Capitolo 7 — ▶ Giuseppe Calò. Il cassiere di Cosa Nostra e l'arco certificato tra mafia e strage</w:t>
      </w:r>
    </w:p>
    <w:p>
      <w:pPr>
        <w:spacing w:after="120" w:line="276"/>
        <w:jc w:val="both"/>
      </w:pPr>
      <w:r>
        <w:rPr>
          <w:rFonts w:ascii="Barlow Semi Condensed" w:cs="Barlow Semi Condensed" w:eastAsia="Barlow Semi Condensed" w:hAnsi="Barlow Semi Condensed"/>
          <w:sz w:val="24"/>
          <w:szCs w:val="24"/>
        </w:rPr>
        <w:t xml:space="preserve">Giuseppe Calò, detto Pippo, nato a Palermo il 30 settembre 1931, capo della famiglia mafiosa di Porta Nuova, è il nodo attraverso il quale il registro certifica al massimo livello il ponte più controverso dell'intera tassonomia: l'arco che collega il Dominio 1 della criminalità organizzata al Dominio 7 del terrorismo stragista. La scansione del corpus lo registra 402 volte in 15 documenti, ed il suo profilo riunisce in 1 sola biografia le 3 funzioni che la letteratura criminologica attribuisce di norma a nodi distinti: il comando militare-territoriale, la gestione finanziaria e la proiezione extra-regionale.</w:t>
      </w:r>
    </w:p>
    <w:p>
      <w:pPr>
        <w:spacing w:after="120" w:line="276"/>
        <w:jc w:val="both"/>
      </w:pPr>
      <w:r>
        <w:rPr>
          <w:rFonts w:ascii="Barlow Semi Condensed" w:cs="Barlow Semi Condensed" w:eastAsia="Barlow Semi Condensed" w:hAnsi="Barlow Semi Condensed"/>
          <w:sz w:val="24"/>
          <w:szCs w:val="24"/>
        </w:rPr>
        <w:t xml:space="preserve">Il primo pilastro probatorio è il maxiprocesso di Palermo. Istruito dal pool antimafia sulla base del teorema Buscetta, vale a dire della ricostruzione unitaria di Cosa Nostra quale organizzazione verticistica dotata di una Commissione deliberante, il maxiprocesso si aprì il 10 febbraio 1986 nell'aula bunker dell'Ucciardone e si chiuse in primo grado l'11 dicembre 1987 con 342 condanne; la sentenza della Corte di cassazione del 30 gennaio 1992, che respinse l'impostazione riduttiva dell'appello e consacrò definitivamente il teorema accusatorio, è l'atto giudiziario fondativo dell'intera conoscenza contemporanea sul Dominio 1, e per Calò, membro della Commissione, comportò la condanna definitiva quale capo-mandamento, con le responsabilità deliberative che a tale posizione la sentenza ricollega. Il registro assume la sentenza del 30 gennaio 1992 quale fonte di Livello A per eccellenza, e ne trae, per il nodo Calò, la certificazione della posizione apicale nel Dominio 1.</w:t>
      </w:r>
    </w:p>
    <w:p>
      <w:pPr>
        <w:spacing w:after="120" w:line="276"/>
        <w:jc w:val="both"/>
      </w:pPr>
      <w:r>
        <w:rPr>
          <w:rFonts w:ascii="Barlow Semi Condensed" w:cs="Barlow Semi Condensed" w:eastAsia="Barlow Semi Condensed" w:hAnsi="Barlow Semi Condensed"/>
          <w:sz w:val="24"/>
          <w:szCs w:val="24"/>
        </w:rPr>
        <w:t xml:space="preserve">Il secondo pilastro è la funzione finanziaria, che vale a Calò l'appellativo, riscontrato nelle fonti dichiarative convergenti di Tommaso Buscetta e di altri collaboratori, di cassiere di Cosa Nostra. Trasferitosi stabilmente a Roma sotto false identità sin dagli anni 70, Calò vi opera quale terminale di investimento dei capitali dell'organizzazione, in immobili, società ed operazioni finanziarie, avvalendosi di una rete di prestanome e faccendieri della quale fanno parte, per quanto qui rileva, Ernesto Diotallevi e Danilo Abbruciati, esponenti di vertice della Banda della Magliana, ed il costruttore e faccendiere Flavio Carboni. La convergenza tra le dichiarazioni riscontrate dei collaboratori, gli accertamenti patrimoniali dei processi romani e palermitani ed il sequestro di beni riconducibili al circuito certifica la funzione al Livello A, e disegna il primo dei 2 archi inter-dominio del nodo: l'arco di transito e collusione tra il Dominio 1 ed il Dominio 6 sul teatro romano, che fa di Calò il perno meridionale del sistema che il capitolo 8 osserverà dal versante della Magliana.</w:t>
      </w:r>
    </w:p>
    <w:p>
      <w:pPr>
        <w:spacing w:after="120" w:line="276"/>
        <w:jc w:val="both"/>
      </w:pPr>
      <w:r>
        <w:rPr>
          <w:rFonts w:ascii="Barlow Semi Condensed" w:cs="Barlow Semi Condensed" w:eastAsia="Barlow Semi Condensed" w:hAnsi="Barlow Semi Condensed"/>
          <w:sz w:val="24"/>
          <w:szCs w:val="24"/>
        </w:rPr>
        <w:t xml:space="preserve">Il terzo pilastro, quello che conferisce al nodo il suo valore unico nel registro, è la strage del rapido 904. La sera del 23 dicembre 1984, nella grande galleria dell'Appennino tra Firenze e Bologna, presso San Benedetto Val di Sambro, una carica di esplosivo collocata a bordo del treno rapido 904 Napoli-Milano ed innescata a distanza uccise 16 persone e ne ferì oltre 260: fu la strage detta di Natale, ultimo anello, per collocazione e modalità, della sequenza stragista inaugurata a Piazza Fontana, ma primo anello di una specie nuova, perché l'istruttoria e le sentenze ne attribuirono l'ideazione non ad ambienti neofascisti o ad apparati, bensì al vertice di Cosa Nostra, quale operazione di depistaggio strategico intesa a distogliere la pressione investigativa e normativa che, all'indomani delle rivelazioni di Buscetta e dell'istruttoria del maxiprocesso, si andava abbattendo sull'organizzazione. Per tale strage Giuseppe Calò è stato condannato all'ergastolo con sentenza divenuta irrevocabile, insieme al suo uomo Guido Cercola ed al tecnico tedesco Friedrich Schaudinn, fornitore dei congegni; nel medesimo contesto processuale emersero e furono giudicati i collegamenti con esponenti della camorra e con ambienti dell'estremismo romano. La condanna definitiva di un componente della Commissione di Cosa Nostra per una strage con finalità di terrorismo è, nel sistema del registro, l'arco Dominio 1-Dominio 7 a certificazione piena: non una convergenza indiziaria, non una dichiarazione da vagliare, ma un giudicato. Il registro vi aggiunge una notazione di metodo: la strage del 904 dimostra che la tecnologia stragista, in quanto tecnologia, è trasferibile tra domini, e che l'attribuzione di una strage ad un ambiente non può mai fondarsi sulla sola firma modale, giacché la modalità, qui, fu mutuata deliberatamente da un repertorio altrui proprio per depistare; è la conferma sperimentale del principio, sancito dalla tipologia quadripartita dell'ostruzione che il registro ha documentato, secondo cui il depistaggio è parte integrante dell'evento e non suo accidente.</w:t>
      </w:r>
    </w:p>
    <w:p>
      <w:pPr>
        <w:spacing w:after="120" w:line="276"/>
        <w:jc w:val="both"/>
      </w:pPr>
      <w:r>
        <w:rPr>
          <w:rFonts w:ascii="Barlow Semi Condensed" w:cs="Barlow Semi Condensed" w:eastAsia="Barlow Semi Condensed" w:hAnsi="Barlow Semi Condensed"/>
          <w:sz w:val="24"/>
          <w:szCs w:val="24"/>
        </w:rPr>
        <w:t xml:space="preserve">Il quarto pilastro è negativo, e va esposto con il medesimo rilievo dei positivi: nel processo romano per l'omicidio di Roberto Calvi, Calò, imputato quale mandante, è stato assolto per insufficienza di prove con pronuncia divenuta definitiva nel 2011, come già esposto nel capitolo 5. Il registro certifica dunque al Livello A l'esistenza dei rapporti tra il circuito di Calò e l'entourage dell'ultimo Calvi, attraverso Diotallevi e Carboni, e mantiene al Livello C, quale ipotesi non provata e giudizialmente respinta, la responsabilità nella morte del banchiere. La distinzione, ancora una volta, non è una cautela di stile ma la sostanza stessa del metodo.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Calò-Diotallevi-Abbruciati, salda la famiglia di Porta Nuova al vertice della Magliana e costituisce il segmento romano dell'arco 1-6, certificato al Livello A dagli accertamenti convergenti dei processi romani e palermitani. La seconda, Calò-Carboni-Calvi, è il triangolo dell'ultima stagione del banchiere, certificato al Livello A quanto ai rapporti ed al Livello C quanto alla morte. La terza, Calò-camorra-estremismo romano, emersa nel processo per il 904, documenta la disponibilità di canali inter-organizzativi per l'approvvigionamento e l'esecuzione, certificata al Livello A nei limiti del giudicato. Sul piano dei pattern, il nodo Calò è il caso di scuola del Pattern 7, l'analisi delle migrazioni: un capo militare palermitano che migra funzionalmente nel dominio finanziario romano senza dismettere la posizione d'origine, e che da tale doppia posizione attinge la capacità, unica, di deliberare una strage come atto di politica criminale.</w:t>
      </w:r>
    </w:p>
    <w:p>
      <w:pPr>
        <w:spacing w:after="120" w:line="276"/>
        <w:jc w:val="both"/>
      </w:pPr>
      <w:r>
        <w:rPr>
          <w:rFonts w:ascii="Barlow Semi Condensed" w:cs="Barlow Semi Condensed" w:eastAsia="Barlow Semi Condensed" w:hAnsi="Barlow Semi Condensed"/>
          <w:sz w:val="24"/>
          <w:szCs w:val="24"/>
        </w:rPr>
        <w:t xml:space="preserve">Alla certificazione dei pilastri il capitolo aggiunge la scansione biografico-processuale che li salda. Il trasferimento romano di Calò, databile alla metà degli anni 70, si svolse sotto l'identità di copertura di Mario Aglialoro, sedicente commerciante, nella quale veste il capo di Porta Nuova visse per un decennio nella capitale intrecciando affari immobiliari e relazioni con il ceto dei faccendieri e con la manovalanza della Magliana, secondo la ricostruzione consegnata alle sentenze romane e palermitane, Livello A. L'arresto giunse il 30 marzo 1985 nella villa di Poggio San Lorenzo, nel Reatino: la perquisizione restituì armi, valori ed esplosivo, e le indagini tecniche stabilirono la compatibilità di quell'esplosivo con la miscela impiegata nell'attentato al rapido 904, saldando il reperto materiale alla strage che il capitolo ha già esposto, Livello A quanto al rinvenimento, Livello B quanto al giudizio di compatibilità nelle sue articolazioni peritali. Il percorso processuale della strage merita a sua volta la sua cronologia: condanna all'ergastolo in primo grado dalla Corte d'Assise di Firenze nel febbraio 1989, giudizio d'appello nel 1990, annullamento parziale con rinvio della Cassazione nel marzo 1991 e, all'esito del giudizio di rinvio, irrevocabilità dell'ergastolo di Calò nel novembre 1992, Livello A; accanto a lui, la condanna definitiva del sodale Guido Cercola, morto poi in carcere, e del tecnico tedesco reclutato per i congegni, Friedrich Schaudinn, Livello A quanto alle condanne. La qualificazione giuridica consegnata dalle motivazioni, strage aggravata dalla finalità di terrorismo commessa da un vertice mafioso in concorso con manovalanza camorristica ed apporti esterni, resta l'unico giudicato della storia repubblicana che saldi formalmente il Dominio 1 al Dominio 7, ed è la ragione per cui questo nodo, e non altri di maggior fama, custodisce l'arco più prezioso dell'intera fase.</w:t>
      </w:r>
    </w:p>
    <w:p>
      <w:pPr>
        <w:spacing w:after="120" w:line="276"/>
        <w:jc w:val="both"/>
      </w:pPr>
      <w:r>
        <w:rPr>
          <w:rFonts w:ascii="Barlow Semi Condensed" w:cs="Barlow Semi Condensed" w:eastAsia="Barlow Semi Condensed" w:hAnsi="Barlow Semi Condensed"/>
          <w:sz w:val="24"/>
          <w:szCs w:val="24"/>
        </w:rPr>
        <w:t xml:space="preserve">Un supplemento è dovuto sul versante romano dei patrimoni, perché il cassiere si certifica dai flussi. Le indagini patrimoniali degli anni 80 ricostruirono un portafoglio immobiliare e societario nella capitale gestito attraverso prestanome e faccendieri, nel quale compaiono figure che il registro ha già incontrato o incontrerà: l'imprenditore sardo Flavio Carboni, il finanziere di borgata Domenico Balducci, ucciso a Roma il 16 ottobre 1981 in un delitto che le sentenze sulla Magliana ricondussero al medesimo circuito d'affari, ed i vertici della banda romana quali soci di servizio, Livello A quanto agli accertamenti patrimoniali e all'omicidio Balducci, nei limiti dei rispettivi giudicati. In questa contabilità sta la funzione semiotica del cassiere, che una digressione può finalmente nominare: nel lessico di Cosa Nostra il cassiere non è un ragioniere, è un convertitore, l'operatore che trasforma la violenza accumulata in capitale relazionale e il capitale in protezione, e la traiettoria romana di Calò, dall'identità fittizia di commerciante all'esplosivo di Poggio San Lorenzo, descrive per intero il ciclo di quella conversione, fino al punto in cui la moneta della violenza tornò ad essere spesa nella sua forma primaria, dentro una galleria ferroviaria, la notte del 23 dicembre 1984.</w:t>
      </w:r>
    </w:p>
    <w:p>
      <w:pPr>
        <w:spacing w:after="120" w:line="276"/>
        <w:jc w:val="both"/>
      </w:pPr>
      <w:r>
        <w:rPr>
          <w:rFonts w:ascii="Barlow Semi Condensed" w:cs="Barlow Semi Condensed" w:eastAsia="Barlow Semi Condensed" w:hAnsi="Barlow Semi Condensed"/>
          <w:sz w:val="24"/>
          <w:szCs w:val="24"/>
        </w:rPr>
        <w:t xml:space="preserve">La disciplina delle assoluzioni impone di completare il quadro giudiziario del nodo con l'esito del processo per l'omicidio di Carmine Pecorelli, nel quale Calò figurò tra gli imputati quali presunti concorrenti nel delitto: la Corte d'Assise d'appello di Perugia, il 17 novembre 2002, lo assolse insieme agli altri imputati, e la Corte di cassazione, il 30 ottobre 2003, rese irrevocabile l'assoluzione, Livello A, che il registro riporta per esteso rinviando alla Fase 4 la trattazione del contesto. Il fascicolo personale del nodo si chiude così su una simmetria che merita d'essere nominata: 2 ergastoli irrevocabili, per il maxiprocesso e per la strage del rapido 904, e 2 assoluzioni irrevocabili, per l'omicidio Calvi e per l'omicidio Pecorelli; la giustizia repubblicana, interrogata 4 volte sul medesimo uomo, rispose 2 volte sì e 2 volte no, e la nettezza divaricata delle risposte è la miglior confutazione empirica di chi descrive i giudicati italiani come un continuum indistinto di impunità. Il registro consegna la simmetria al lettore senza commento ulteriore, se non questo: essa dimostra che il metodo qui praticato, riportare tutto, condanne ed assoluzioni, con eguale rilievo, non è un vezzo garantista ma l'unica contabilità capace di restituire la figura reale di un nodo, che è sempre, nella rete come nel diritto, la somma algebrica dei suoi archi provati e dei suoi archi esclusi.</w:t>
      </w:r>
    </w:p>
    <w:p>
      <w:pPr>
        <w:spacing w:after="120" w:line="276"/>
        <w:jc w:val="both"/>
      </w:pPr>
      <w:r>
        <w:rPr>
          <w:rFonts w:ascii="Barlow Semi Condensed" w:cs="Barlow Semi Condensed" w:eastAsia="Barlow Semi Condensed" w:hAnsi="Barlow Semi Condensed"/>
          <w:sz w:val="24"/>
          <w:szCs w:val="24"/>
        </w:rPr>
        <w:t xml:space="preserve">Alle motivazioni della strage il registro deve un'ultima annotazione, perché esse consegnano il movente accertato e la sua geometria. I giudici collocarono l'attentato del 23 dicembre 1984 nella stagione immediatamente successiva alle rivelazioni di Tommaso Buscetta ed all'ondata di mandati di cattura che ne era seguita, leggendovi una manovra di diversione strategica: colpire nel mucchio per costringere lo Stato a distogliere uomini e risorse dal fronte palermitano, secondo una logica di risposta terroristica alla pressione giudiziaria, Livello A nei limiti delle motivazioni definitive. La geografia rafforza la lettura: l'ordigno esplose nella medesima grande galleria appenninica presso San Benedetto Val di Sambro dove 10 anni prima, il 4 agosto 1974, era stato colpito il treno Italicus, sicché il luogo stesso funzionò da citazione, un richiamo topografico alla stagione stragista che il mittente, quale che ne fosse il calcolo, non poteva ignorare, Livello A quanto alla coincidenza dei luoghi, Livello C quanto ad ogni inferenza sulla intenzionalità della citazione. Il Pattern 10 registra la sovrapposizione spaziale; la Regola Ferrea impedisce di trasformarla in messaggio: ed il registro consegna al lettore entrambe le discipline, l'una accanto all'altra, come il metodo esige.</w:t>
      </w:r>
    </w:p>
    <w:p>
      <w:pPr>
        <w:spacing w:after="120" w:line="276"/>
        <w:jc w:val="both"/>
      </w:pPr>
      <w:r>
        <w:rPr>
          <w:rFonts w:ascii="Barlow Semi Condensed" w:cs="Barlow Semi Condensed" w:eastAsia="Barlow Semi Condensed" w:hAnsi="Barlow Semi Condensed"/>
          <w:sz w:val="24"/>
          <w:szCs w:val="24"/>
        </w:rPr>
        <w:t xml:space="preserve">La disciplina delle assoluzioni impone di completare il quadro giudiziario del nodo con l'esito del processo per l'omicidio di Carmine Pecorelli, nel quale Calò figurò tra gli imputati quali presunti concorrenti nel delitto: la Corte d'Assise d'appello di Perugia, il 17 novembre 2002, lo assolse insieme agli altri imputati, e la Corte di cassazione, il 30 ottobre 2003, rese irrevocabile l'assoluzione, Livello A, che il registro riporta per esteso rinviando alla Fase 4 la trattazione del contesto. Il fascicolo personale del nodo si chiude così su una simmetria che merita d'essere nominata: 2 ergastoli irrevocabili, per il maxiprocesso e per la strage del rapido 904, e 2 assoluzioni irrevocabili, per l'omicidio Calvi e per l'omicidio Pecorelli; la giustizia repubblicana, interrogata 4 volte sul medesimo uomo, rispose 2 volte sì e 2 volte no, e la nettezza divaricata delle risposte è la miglior confutazione empirica di chi descrive i giudicati italiani come un continuum indistinto di impunità. Il registro consegna la simmetria al lettore senza commento ulteriore, se non questo: essa dimostra che il metodo qui praticato, riportare tutto, condanne ed assoluzioni, con eguale rilievo, non è un vezzo garantista ma l'unica contabilità capace di restituire la figura reale di un nodo, che è sempre, nella rete come nel diritto, la somma algebrica dei suoi archi provati e dei suoi archi esclusi.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Calò è certificato al Livello A quale cerniera tra i Domini 1, 6 e 7, sul fondamento congiunto della sentenza definitiva del maxiprocesso, degli accertamenti patrimoniali romani e dell'ergastolo irrevocabile per la strage del rapido 904, che costituisce l'arco mafia-strage a più alta certificazione dell'intero registro; la responsabilità nella morte di Calvi resta al Livello C in forza dell'assoluzione definitiva, ferma al Livello A l'esistenza dei rapporti con l'entourage del banchiere.</w:t>
      </w:r>
    </w:p>
    <w:p>
      <w:pPr>
        <w:pStyle w:val="Heading3"/>
        <w:spacing w:after="80" w:before="160"/>
      </w:pPr>
      <w:r>
        <w:rPr>
          <w:rFonts w:ascii="Barlow Semi Condensed" w:cs="Barlow Semi Condensed" w:eastAsia="Barlow Semi Condensed" w:hAnsi="Barlow Semi Condensed"/>
          <w:sz w:val="24"/>
          <w:szCs w:val="24"/>
        </w:rPr>
        <w:t xml:space="preserve">Capitolo 8 — ◆ La Banda della Magliana. La piattaforma di servizio inter-dominio della capitale</w:t>
      </w:r>
    </w:p>
    <w:p>
      <w:pPr>
        <w:spacing w:after="120" w:line="276"/>
        <w:jc w:val="both"/>
      </w:pPr>
      <w:r>
        <w:rPr>
          <w:rFonts w:ascii="Barlow Semi Condensed" w:cs="Barlow Semi Condensed" w:eastAsia="Barlow Semi Condensed" w:hAnsi="Barlow Semi Condensed"/>
          <w:sz w:val="24"/>
          <w:szCs w:val="24"/>
        </w:rPr>
        <w:t xml:space="preserve">La Banda della Magliana, denominazione giudiziaria e giornalistica dell'organizzazione criminale romana attiva dalla seconda metà degli anni 70 alla fine degli anni 80, occupa nel registro una posizione che nessuna organizzazione meridionale può occupare: non un'organizzazione territoriale a fini propri, ma una piattaforma di servizio, un fornitore trasversale di prestazioni criminali, armi, denaro, custodia, esecuzioni, disponibile a committenti appartenenti a domini diversi. La scansione del corpus la registra 561 volte in 28 documenti, ed il suo interesse per l'opera risiede meno nella sua storia interna, pur documentata da un ciclo processuale ventennale, che nella mappa dei suoi archi esterni, i quali toccano, con gradi diversi di certificazione, i Domini 1, 3, 4, 5, 6 e 7: nessun altro nodo criminale italiano presenta un ventaglio comparabile.</w:t>
      </w:r>
    </w:p>
    <w:p>
      <w:pPr>
        <w:spacing w:after="120" w:line="276"/>
        <w:jc w:val="both"/>
      </w:pPr>
      <w:r>
        <w:rPr>
          <w:rFonts w:ascii="Barlow Semi Condensed" w:cs="Barlow Semi Condensed" w:eastAsia="Barlow Semi Condensed" w:hAnsi="Barlow Semi Condensed"/>
          <w:sz w:val="24"/>
          <w:szCs w:val="24"/>
        </w:rPr>
        <w:t xml:space="preserve">La struttura interna, quale risulta dal processo principale celebrato a Roma negli anni 90 sulla base delle dichiarazioni riscontrate dei collaboratori interni, primo fra tutti Maurizio Abbatino, e chiusosi con condanne definitive per associazione ed una lunga serie di fatti di sangue, era orizzontale e batteriale: batterie territoriali, quella della Magliana propriamente detta, quella di Testaccio ed Ostiense facente capo a Danilo Abbruciati ed Enrico De Pedis, quella dell'Acilia, federate attorno alla cassa comune, alla stanza di compensazione delle armi ed alla regola della spartizione. Il registro certifica al Livello A l'esistenza, la struttura e l'operatività dell'organizzazione, sul fondamento della convergenza tra giudicati, dichiarazioni riscontrate e riscontri materiali, tra i quali spicca, per il suo valore di ponte, il rinvenimento, nel 1981, dell'arsenale della banda occultato nei sotterranei del Ministero della Sanità: un deposito di armi comuni e da guerra custodito, per il tramite di un dipendente compiacente, entro un edificio dello Stato, circostanza che il registro classifica quale arco di infiltrazione logistica di Livello A e quale emblema materiale della porosità tra il dominio criminale e l'apparato pubblico capitolino. Dal medesimo arsenale, secondo gli accertamenti balistici e processuali del ciclo romano, provennero armi utilizzate in delitti eccellenti, e su 1 di tali tracciati balistici, quello relativo all'arma riferibile all'omicidio di Carmine Pecorelli, si tornerà tra breve con la cautela dovuta.</w:t>
      </w:r>
    </w:p>
    <w:p>
      <w:pPr>
        <w:spacing w:after="120" w:line="276"/>
        <w:jc w:val="both"/>
      </w:pPr>
      <w:r>
        <w:rPr>
          <w:rFonts w:ascii="Barlow Semi Condensed" w:cs="Barlow Semi Condensed" w:eastAsia="Barlow Semi Condensed" w:hAnsi="Barlow Semi Condensed"/>
          <w:sz w:val="24"/>
          <w:szCs w:val="24"/>
        </w:rPr>
        <w:t xml:space="preserve">Gli archi esterni vanno esposti dominio per dominio, ciascuno con il proprio livello. Verso il Dominio 1, l'arco è la giuntura con Cosa Nostra attraverso Giuseppe Calò, già certificata al Livello A nel capitolo 7: la Magliana offre al cassiere palermitano custodia di latitanti, disponibilità immobiliari, canali di investimento; riceve credito, droga, peso criminale. Verso il Dominio 7, gli archi sono 2 e di segno diverso. Il primo è il rapporto organico con l'estremismo nero romano dei Nuclei Armati Rivoluzionari: la contiguità tra la batteria di Testaccio ed esponenti dei NAR, primo fra tutti Massimo Carminati, è certificata al Livello A da giudicati che hanno accertato lo scambio di armi, la comune frequentazione dell'arsenale ministeriale e singoli fatti esecutivi in concorso; è questo l'arco che rese materialmente comunicanti, nella Roma a cavallo del 1980, la criminalità comune organizzata e l'eversione armata, e che costituisce uno dei reperti strutturali maggiori dell'intera rete. Il secondo arco verso il Dominio 7 è quello, già menzionato nel capitolo 1, che passa per il depistaggio della strage di Bologna: la vicenda della valigetta collocata sul treno Taranto-Milano nel gennaio 1981, per la quale sono intervenute le condanne definitive di Musumeci, Belmonte, Pazienza e Gelli, vide accertato l'apporto di manovalanza dell'area Magliana-estremismo romano nella fase materiale, e salda dunque, al Livello A nei limiti dei giudicati, la piattaforma criminale romana all'operazione di inquinamento condotta da uomini del servizio militare e dal vertice della loggia: è il quadrilatero Dominio 1-Dominio 3-Dominio 4-Dominio 7 condensato in 1 solo fatto storico.</w:t>
      </w:r>
    </w:p>
    <w:p>
      <w:pPr>
        <w:spacing w:after="120" w:line="276"/>
        <w:jc w:val="both"/>
      </w:pPr>
      <w:r>
        <w:rPr>
          <w:rFonts w:ascii="Barlow Semi Condensed" w:cs="Barlow Semi Condensed" w:eastAsia="Barlow Semi Condensed" w:hAnsi="Barlow Semi Condensed"/>
          <w:sz w:val="24"/>
          <w:szCs w:val="24"/>
        </w:rPr>
        <w:t xml:space="preserve">Verso il Dominio 3, oltre al segmento bolognese appena detto, il registro annota i rapporti tra singoli esponenti della banda ed uomini o collaboratori dei servizi, emersi in plurimi procedimenti: per la parte coperta da giudicato o da convergenza documentale piena vale il Livello A dei singoli episodi; per la parte affidata a dichiarazioni non riscontrate di collaboratori tardivi, il registro applica l'Indice di Contaminazione della Fonte e mantiene il Livello C, rifiutando la scorciatoia, frequentissima nella pubblicistica, che dalla contiguità episodica inferisce l'organicità. Verso il Dominio 6, l'arco è il riciclaggio e l'usura di alto livello sul mercato romano, con la penetrazione in società, esercizi e circuiti finanziari capitolini, certificata al Livello A dal ciclo processuale patrimoniale. Verso il Dominio 2, gli atti registrano contiguità ambientali e protezioni episodiche emerse nei processi, che il registro mantiene al Livello B, non essendo intervenuto alcun giudicato su rapporti organici tra la banda e personale politico.</w:t>
      </w:r>
    </w:p>
    <w:p>
      <w:pPr>
        <w:spacing w:after="120" w:line="276"/>
        <w:jc w:val="both"/>
      </w:pPr>
      <w:r>
        <w:rPr>
          <w:rFonts w:ascii="Barlow Semi Condensed" w:cs="Barlow Semi Condensed" w:eastAsia="Barlow Semi Condensed" w:hAnsi="Barlow Semi Condensed"/>
          <w:sz w:val="24"/>
          <w:szCs w:val="24"/>
        </w:rPr>
        <w:t xml:space="preserve">Il ponte verso il Dominio 5 esige il massimo della disciplina, perché è il più esposto alla suggestione. Il fatto certo è il seguente: Enrico De Pedis, detto Renatino, capo della batteria di Testaccio, ucciso a Roma il 2 febbraio 1990, fu sepolto nella basilica di Sant'Apollinare, adiacente alla scuola frequentata da Emanuela Orlandi, la cittadina vaticana quindicenne scomparsa il 22 giugno 1983, e vi rimase fino alla riesumazione del 2012, in forza di autorizzazioni ecclesiastiche la cui concessione ad un capo criminale è essa stessa il reperto. Il registro certifica al Livello A la sepoltura, la sua anomalia e la sua durata; certifica al Livello B, quale risultanza di atti d'indagine e di dichiarazioni parzialmente riscontrate, l'esistenza di cointeressenze finanziarie tra ambienti della banda ed ambienti romani prossimi ad istituzioni ecclesiastiche; e mantiene rigorosamente al Livello C ogni ipotesi sul nesso tra la banda e la scomparsa della Orlandi, ipotesi alimentata da fonti ad altissimo Indice di Contaminazione, la cui inammissibilità fondativa il registro ha già sancito. Qui più che altrove la Regola Ferrea mostra la sua funzione: tra una sepoltura anomala certificata ed un sequestro di persona attribuito corre un abisso probatorio che nessuna verosimiglianza narrativa autorizza a colmare.</w:t>
      </w:r>
    </w:p>
    <w:p>
      <w:pPr>
        <w:spacing w:after="120" w:line="276"/>
        <w:jc w:val="both"/>
      </w:pPr>
      <w:r>
        <w:rPr>
          <w:rFonts w:ascii="Barlow Semi Condensed" w:cs="Barlow Semi Condensed" w:eastAsia="Barlow Semi Condensed" w:hAnsi="Barlow Semi Condensed"/>
          <w:sz w:val="24"/>
          <w:szCs w:val="24"/>
        </w:rPr>
        <w:t xml:space="preserve">Un cenno, infine, all'omicidio di Carmine Pecorelli, il giornalista direttore dell'agenzia OP assassinato a Roma il 20 marzo 1979, che la Fase 4 tratterà nel suo contesto: per quel delitto furono processati, tra gli altri, Massimo Carminati quale esecutore e Giuseppe Calò quale anello mafioso, entro un'imputazione che saliva fino a Giulio Andreotti quale mandante; tutti gli imputati sono stati assolti in via definitiva, con l'annullamento senza rinvio, pronunciato dalla cassazione nel 2003, della condanna che la corte d'appello di Perugia aveva inflitto nel 2002 ad Andreotti e Gaetano Badalamenti. Il registro ne trae, per il presente capitolo, 2 dati: la certificazione al Livello A dell'esito assolutorio, che chiude giudizialmente l'ipotesi dell'esecuzione maglianese; e la permanenza dell'omicidio Pecorelli, tuttora privo di colpevoli accertati, nell'elenco dei delitti eccellenti insoluti, con le convergenze indiziarie di contesto, l'arma di provenienza compatibile con il circuito dell'arsenale, la materia dei ricatti pecorelliani, degradate per legge di metodo al Livello C.</w:t>
      </w:r>
    </w:p>
    <w:p>
      <w:pPr>
        <w:spacing w:after="120" w:line="276"/>
        <w:jc w:val="both"/>
      </w:pPr>
      <w:r>
        <w:rPr>
          <w:rFonts w:ascii="Barlow Semi Condensed" w:cs="Barlow Semi Condensed" w:eastAsia="Barlow Semi Condensed" w:hAnsi="Barlow Semi Condensed"/>
          <w:sz w:val="24"/>
          <w:szCs w:val="24"/>
        </w:rPr>
        <w:t xml:space="preserve">La lettura strutturale conclusiva è la seguente. La Magliana realizza, sul teatro romano, la funzione che la teoria delle reti denomina hub di servizio: un nodo la cui centralità non deriva dal comando su un territorio o su un dominio, ma dall'offerta di prestazioni interoperabili tra domini; ed è precisamente questa natura di piattaforma, e non una presunta regia superiore, che spiega, senza ipotesi aggiuntive, la sua ricorrenza in tanti fascicoli eterogenei. Il registro assume questa spiegazione minimale quale ipotesi prevalente ai sensi della procedura di Heuer, perché è quella meno contraddetta dalle evidenze, e relega al Livello C la spiegazione concorrente della banda quale braccio stabile di un'unica centrale, indicandone la condizione di promozione: la prova documentale di una direzione esterna unitaria e continuativa, che 30 anni di processi non hanno prodotto.</w:t>
      </w:r>
    </w:p>
    <w:p>
      <w:pPr>
        <w:spacing w:after="120" w:line="276"/>
        <w:jc w:val="both"/>
      </w:pPr>
      <w:r>
        <w:rPr>
          <w:rFonts w:ascii="Barlow Semi Condensed" w:cs="Barlow Semi Condensed" w:eastAsia="Barlow Semi Condensed" w:hAnsi="Barlow Semi Condensed"/>
          <w:sz w:val="24"/>
          <w:szCs w:val="24"/>
        </w:rPr>
        <w:t xml:space="preserve">La piattaforma va ora datata nei suoi atti costitutivi, perché anche le reti orizzontali hanno un certificato di nascita. Le sentenze collocano il salto di qualità nell'autunno del 1977, con il sequestro del duca Massimiliano Grazioli Lante della Rovere, prelevato il 7 novembre: il riscatto incassato e l'ostaggio ucciso, in spregio alla parola data, fornirono alle batterie nascenti il capitale iniziale e, insieme, la reputazione di spietatezza che è, nei mercati illegali, la forma prima del credito, Livello A quanto al fatto ed alla sua funzione genetica nelle ricostruzioni giudiziarie. La cronologia interna del comando è scandita da 2 morti: Franco Giuseppucci, detto il Negro, fondatore e baricentro carismatico, ucciso il 13 settembre 1980 nella faida con il clan dei Proietti, evento che innescò la stagione delle vendette incrociate e ridistribuì i pesi tra le batterie; ed Enrico De Pedis, detto Renatino, capo della componente testaccina ed uomo della proiezione finanziaria, ucciso in via del Pellegrino il 2 febbraio 1990, quando la parabola militare dell'organizzazione era già declinante e quella patrimoniale no, Livello A su entrambi. Alla vicenda della sepoltura di De Pedis nella basilica di Sant'Apollinare, che il capitolo ha già trattato con la disciplina dovuta, va aggiunto il solo epilogo documentale: il nulla osta e l'esumazione del giugno 2012, che chiusero materialmente l'anomalia senza scioglierne il significato, Livello A quanto ai provvedimenti.</w:t>
      </w:r>
    </w:p>
    <w:p>
      <w:pPr>
        <w:spacing w:after="120" w:line="276"/>
        <w:jc w:val="both"/>
      </w:pPr>
      <w:r>
        <w:rPr>
          <w:rFonts w:ascii="Barlow Semi Condensed" w:cs="Barlow Semi Condensed" w:eastAsia="Barlow Semi Condensed" w:hAnsi="Barlow Semi Condensed"/>
          <w:sz w:val="24"/>
          <w:szCs w:val="24"/>
        </w:rPr>
        <w:t xml:space="preserve">Il consolidamento giudiziario della piattaforma ha una data ed un perno. La data è il 23 luglio 1996, allorché la Corte d'Assise di Roma, a conclusione del processo principale, riconobbe l'esistenza dell'organizzazione e ne condannò i quadri superstiti, con esiti poi consolidati nei gradi successivi, Livello A. Il perno è il sistema dei collaboratori interni: Maurizio Abbatino, catturato in Venezuela nel 1992 dopo la latitanza, ed accanto a lui Antonio Mancini e Vittorio Carnovale, le cui dichiarazioni incrociate, riscontrate documentalmente, fornirono al processo la mappa delle batterie, dei caveau e degli omicidi, secondo il modello dichiarativo-riscontrale che il maxiprocesso palermitano aveva collaudato, Livello A quanto al ruolo processuale delle fonti. Su questo telaio il registro fissa 2 archi ulteriori, entrambi certificati. Il primo corre verso il Dominio 7 nella sua declinazione nera: le sentenze sui Nuclei Armati Rivoluzionari accertarono la circolazione di armi tra l'arsenale comune della banda e la manovalanza neofascista romana, con reperti balistici che ricorrono in delitti dell'una e dell'altra matrice, sicché il deposito custodito nei sotterranei del Ministero della Sanità funzionò, alla lettera, da armeria interdominio, Livello A nei limiti dei giudicati sui singoli reperti. Il secondo è un omicidio che condensa l'intera ambiguità del teatro romano: Aldo Semerari, cattedratico di psichiatria forense, perito di tribunali e insieme frequentatore documentato dell'eversione nera, dei clan campani e del sottobosco dei servizi, trovato decapitato ad Ottaviano il 1° aprile 1982; il fatto è certo, le attribuzioni processuali non approdarono a condanne, e le molte letture del movente restano consegnate al Livello C, ma la sola biografia relazionale della vittima, un uomo che attraversava in vita 4 domini, vale al registro quale reperto morfologico di prima grandezza sulla porosità della capitale in quegli anni.</w:t>
      </w:r>
    </w:p>
    <w:p>
      <w:pPr>
        <w:spacing w:after="120" w:line="276"/>
        <w:jc w:val="both"/>
      </w:pPr>
      <w:r>
        <w:rPr>
          <w:rFonts w:ascii="Barlow Semi Condensed" w:cs="Barlow Semi Condensed" w:eastAsia="Barlow Semi Condensed" w:hAnsi="Barlow Semi Condensed"/>
          <w:sz w:val="24"/>
          <w:szCs w:val="24"/>
        </w:rPr>
        <w:t xml:space="preserve">Chiude il capitolo la digressione che il teatro esige. Roma, negli anni della Magliana, funziona come ciò che la semiotica urbana chiamerebbe un porto franco dei codici: la città in cui il codice mafioso, il codice eversivo, il codice affaristico ed il codice degli apparati non si fondono, si scambiano, ciascuno pagando nella propria moneta. La banda ne fu il banco di cambio, non il sovrano; ed è per questo che la sua eredità processuale, diversamente da quella delle mafie territoriali, non è una geografia di mandamenti ma un registro di servizi resi. Chi cerchi il potere della Magliana non deve chiedersi che cosa comandava, ma che cosa faceva funzionare: domanda che, trasferita dal registro criminale a quello analitico, è esattamente la definizione di hub di servizio con cui questo capitolo l'ha consegnata alla rete.</w:t>
      </w:r>
    </w:p>
    <w:p>
      <w:pPr>
        <w:spacing w:after="120" w:line="276"/>
        <w:jc w:val="both"/>
      </w:pPr>
      <w:r>
        <w:rPr>
          <w:rFonts w:ascii="Barlow Semi Condensed" w:cs="Barlow Semi Condensed" w:eastAsia="Barlow Semi Condensed" w:hAnsi="Barlow Semi Condensed"/>
          <w:sz w:val="24"/>
          <w:szCs w:val="24"/>
        </w:rPr>
        <w:t xml:space="preserve">All'inventario degli archi finanziari appartiene infine l'operazione che saldò materialmente la piattaforma romana al crack bancario del capitolo 5: l'attentato a Roberto Rosone, vicepresidente e direttore generale del Banco Ambrosiano, ferito a Milano la mattina del 27 aprile 1982 da un sicario che la guardia giurata dell'istituto uccise sul posto, e che risultò essere Danilo Abbruciati, dirigente di vertice della batteria testaccina, Livello A quanto al fatto ed all'identificazione. Che il numero 2 di una banda di borgata romana morisse a Milano sparando al numero 2 della più compromessa banca del Paese, 7 settimane prima che il presidente di quella banca pendesse da un ponte di Londra, è una di quelle congiunzioni che il Pattern 3 registra alla massima densità; le ricostruzioni processuali consegnarono l'operazione al circuito degli interessi e dei crediti che legavano ambienti della banda al gruppo in disfacimento, nei limiti dei giudicati formatisi sui diversi filoni, Livello A quanto alla riconduzione al circuito, ferma la Regola Ferrea sulle attribuzioni ulteriori. Per la morfologia della rete il reperto è decisivo: esso certifica che la piattaforma di servizio non operava soltanto nel mercato romano della droga e dell'usura, ma era ingaggiabile sul teatro finanziario nazionale al livello più alto, ed è questo salto di scala, non la contabilità delle batterie, a giustificare la collocazione della Magliana entro il quadrilatero della Fase 1.</w:t>
      </w:r>
    </w:p>
    <w:p>
      <w:pPr>
        <w:spacing w:after="120" w:line="276"/>
        <w:jc w:val="both"/>
      </w:pPr>
      <w:r>
        <w:rPr>
          <w:rFonts w:ascii="Barlow Semi Condensed" w:cs="Barlow Semi Condensed" w:eastAsia="Barlow Semi Condensed" w:hAnsi="Barlow Semi Condensed"/>
          <w:sz w:val="24"/>
          <w:szCs w:val="24"/>
        </w:rPr>
        <w:t xml:space="preserve">Sul piano organizzativo interno, un tratto distintivo certificato dai collaboratori merita menzione autonoma, perché distingue la piattaforma romana da ogni consorteria tradizionale: la cassa comune. Le dichiarazioni convergenti dei collaboratori, riscontrate nel processo principale, descrivono un sistema di contabilità unitaria dei proventi, la stecca paro, con ripartizione tendenzialmente egualitaria tra gli associati e mantenimento garantito ai detenuti ed alle loro famiglie, Livello A quanto agli accertamenti processuali sul modello. La regola, che parrebbe dettaglio di costume, è in realtà la chiave della morfologia: dove le mafie storiche distribuiscono secondo gerarchia, la banda distribuiva secondo appartenenza, e questa mutualità orizzontale spiega tanto la coesione della fase ascendente quanto la ferocia delle faide quando la cassa divenne oggetto di appropriazioni individuali. La sociologia organizzativa di Catino vi leggerebbe la conferma che le reti criminali oscillano tra il modello federale e quello consortile secondo la struttura degli incentivi: la Magliana nacque consorzio e morì per fallimento del proprio patto mutualistico, prima ancora che per l'azione repressiva, ed i collaboratori che ne smontarono l'edificio furono, non a caso, i creditori delusi di quel patto.</w:t>
      </w:r>
    </w:p>
    <w:p>
      <w:pPr>
        <w:spacing w:after="120" w:line="276"/>
        <w:jc w:val="both"/>
      </w:pPr>
      <w:r>
        <w:rPr>
          <w:rFonts w:ascii="Barlow Semi Condensed" w:cs="Barlow Semi Condensed" w:eastAsia="Barlow Semi Condensed" w:hAnsi="Barlow Semi Condensed"/>
          <w:sz w:val="24"/>
          <w:szCs w:val="24"/>
        </w:rPr>
        <w:t xml:space="preserve">All'inventario degli archi finanziari appartiene infine l'operazione che saldò materialmente la piattaforma romana al crack bancario del capitolo 5: l'attentato a Roberto Rosone, vicepresidente e direttore generale del Banco Ambrosiano, ferito a Milano la mattina del 27 aprile 1982 da un sicario che la guardia giurata dell'istituto uccise sul posto, e che risultò essere Danilo Abbruciati, dirigente di vertice della batteria testaccina, Livello A quanto al fatto ed all'identificazione. Che il numero 2 di una banda di borgata romana morisse a Milano sparando al numero 2 della più compromessa banca del Paese, 7 settimane prima che il presidente di quella banca pendesse da un ponte di Londra, è una di quelle congiunzioni che il Pattern 3 registra alla massima densità; le ricostruzioni processuali consegnarono l'operazione al circuito degli interessi e dei crediti che legavano ambienti della banda al gruppo in disfacimento, nei limiti dei giudicati formatisi sui diversi filoni, Livello A quanto alla riconduzione al circuito, ferma la Regola Ferrea sulle attribuzioni ulteriori. Per la morfologia della rete il reperto è decisivo: esso certifica che la piattaforma di servizio non operava soltanto nel mercato romano della droga e dell'usura, ma era ingaggiabile sul teatro finanziario nazionale al livello più alto, ed è questo salto di scala, non la contabilità delle batterie, a giustificare la collocazione della Magliana entro il quadrilatero della Fase 1.</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Banda della Magliana è certificata al Livello A quale piattaforma di servizio inter-dominio con archi documentati verso i Domini 1, 3, 6 e 7, culminanti nell'arsenale custodito entro il Ministero della Sanità e nell'apporto al depistaggio di Bologna; il ponte verso il Dominio 5 è certificato al Livello A limitatamente alla sepoltura anomala di De Pedis ed al Livello B per le cointeressenze finanziarie, con degradazione al Livello C di ogni ipotesi sul caso Orlandi; l'esito assolutorio definitivo del processo Pecorelli è recepito quale dato acquisito.</w:t>
      </w:r>
    </w:p>
    <w:p>
      <w:pPr>
        <w:pStyle w:val="Heading3"/>
        <w:spacing w:after="80" w:before="160"/>
      </w:pPr>
      <w:r>
        <w:rPr>
          <w:rFonts w:ascii="Barlow Semi Condensed" w:cs="Barlow Semi Condensed" w:eastAsia="Barlow Semi Condensed" w:hAnsi="Barlow Semi Condensed"/>
          <w:sz w:val="24"/>
          <w:szCs w:val="24"/>
        </w:rPr>
        <w:t xml:space="preserve">Capitolo 9 — ▶ Vito Ciancimino. L'infiltrazione compiuta: il Dominio 1 dentro il Dominio 2</w:t>
      </w:r>
    </w:p>
    <w:p>
      <w:pPr>
        <w:spacing w:after="120" w:line="276"/>
        <w:jc w:val="both"/>
      </w:pPr>
      <w:r>
        <w:rPr>
          <w:rFonts w:ascii="Barlow Semi Condensed" w:cs="Barlow Semi Condensed" w:eastAsia="Barlow Semi Condensed" w:hAnsi="Barlow Semi Condensed"/>
          <w:sz w:val="24"/>
          <w:szCs w:val="24"/>
        </w:rPr>
        <w:t xml:space="preserve">Vito Ciancimino, nato a Corleone il 2 aprile 1924 e morto a Roma il 19 novembre 2002, è il caso di scuola dell'intera tassonomia degli archi inter-dominio: l'unico sindaco di Palermo condannato con sentenza divenuta irrevocabile per concorso in associazione mafiosa, oltre che per corruzione, e dunque l'unico nodo del registro per il quale l'arco di infiltrazione del Dominio 1 nel Dominio 2 non è una ricostruzione analitica ma una statuizione giudiziale definitiva. La scansione del corpus lo registra 355 volte in 12 documenti, con una distribuzione che attraversa gli atti della Commissione parlamentare antimafia di 3 legislature, le sentenze del ciclo palermitano e la memorialistica di contesto. Se Gelli è il nodo della loggia, Sindona il nodo pentadominio della finanza e Calò il nodo dell'arco mafia-strage, Ciancimino è il nodo nel quale l'infiltrazione si fa carica pubblica: non un politico che colluse con la mafia, ma, secondo l'accertamento dei giudici, un uomo organico al sodalizio che esercitò per decenni funzioni di governo cittadino.</w:t>
      </w:r>
    </w:p>
    <w:p>
      <w:pPr>
        <w:spacing w:after="120" w:line="276"/>
        <w:jc w:val="both"/>
      </w:pPr>
      <w:r>
        <w:rPr>
          <w:rFonts w:ascii="Barlow Semi Condensed" w:cs="Barlow Semi Condensed" w:eastAsia="Barlow Semi Condensed" w:hAnsi="Barlow Semi Condensed"/>
          <w:sz w:val="24"/>
          <w:szCs w:val="24"/>
        </w:rPr>
        <w:t xml:space="preserve">La biografia amministrativa è nota nelle sue scansioni. Figlio di un barbiere di Corleone, trasferitosi a Palermo, Ciancimino costruì la prima fortuna con la concessione del trasporto ferroviario su gomma, quindi entrò nella Democrazia Cristiana palermitana nella corrente fanfaniana che faceva capo a Giovanni Gioia, e nel 1959 divenne assessore ai lavori pubblici del comune di Palermo, nella giunta guidata dal giovane sindaco Salvatore Lima, detto Salvo. La coppia Lima-Ciancimino, sindaco l'uno ed assessore ai lavori pubblici l'altro, governò la stagione che gli atti parlamentari e la storiografia designano come sacco di Palermo: la distruzione pianificata del tessuto liberty e del verde storico della città, sostituiti da un'edilizia intensiva di qualità infima, realizzata in violazione sistematica degli strumenti urbanistici. Gli accertamenti condotti dalla Commissione parlamentare antimafia documentarono il meccanismo nel suo dato quantitativo, divenuto emblematico: 4.205 licenze edilizie rilasciate nel quinquennio, delle quali una quota superiore ai 4 quinti risultò formalmente intestata a 5 prestanome, pensionati e nullatenenti privi di qualsiasi capacità imprenditoriale, dietro i quali operavano i costruttori dell'area mafiosa. Il registro certifica al Livello A, sul fondamento degli atti parlamentari e delle sentenze successive che li recepirono, il dato delle licenze ed il suo significato strutturale: l'assessorato ai lavori pubblici di Palermo funzionò, in quegli anni, come lo sportello attraverso il quale il Dominio 1 convertì il controllo territoriale in rendita urbana, ed il ciclo edilizio fu il primo grande apparato di riciclaggio e di accumulazione della mafia siciliana del dopoguerra, prima ancora che l'eroina moltiplicasse gli ordini di grandezza.</w:t>
      </w:r>
    </w:p>
    <w:p>
      <w:pPr>
        <w:spacing w:after="120" w:line="276"/>
        <w:jc w:val="both"/>
      </w:pPr>
      <w:r>
        <w:rPr>
          <w:rFonts w:ascii="Barlow Semi Condensed" w:cs="Barlow Semi Condensed" w:eastAsia="Barlow Semi Condensed" w:hAnsi="Barlow Semi Condensed"/>
          <w:sz w:val="24"/>
          <w:szCs w:val="24"/>
        </w:rPr>
        <w:t xml:space="preserve">La carriera di Ciancimino culminò e precipitò nello stesso anno. Nell'autunno del 1970 fu eletto sindaco di Palermo, ma la carica durò poche settimane: l'ondata di reazioni nazionali, alimentata dai lavori della Commissione antimafia che già lo aveva indicato quale figura centrale del sistema di potere mafioso-amministrativo, lo costrinse alle dimissioni entro la fine dell'anno. Il registro annota il dato con una notazione di metodo: il 1970 è l'anno in cui, per la prima volta nella storia repubblicana, un organo parlamentare rese politicamente insostenibile un uomo di governo locale per ragioni di contiguità mafiosa, e ciò accadde 12 anni prima che il reato di associazione di tipo mafioso entrasse nel codice penale con la legge Rognoni-La Torre del 1982. Ciancimino, tuttavia, non uscì dal sistema: privato della carica, conservò per oltre un decennio il controllo di fatto su settori decisivi dell'amministrazione, dagli appalti alle esattorie, quale capo occulto di una corrente e terminale di pacchetti di tessere, secondo il modello che la teoria del contenitore, adottata dal registro, descrive come occupazione senza titolarità: il potere non risiede nella carica ma nella rete, e la perdita della carica non estingue la rete.</w:t>
      </w:r>
    </w:p>
    <w:p>
      <w:pPr>
        <w:spacing w:after="120" w:line="276"/>
        <w:jc w:val="both"/>
      </w:pPr>
      <w:r>
        <w:rPr>
          <w:rFonts w:ascii="Barlow Semi Condensed" w:cs="Barlow Semi Condensed" w:eastAsia="Barlow Semi Condensed" w:hAnsi="Barlow Semi Condensed"/>
          <w:sz w:val="24"/>
          <w:szCs w:val="24"/>
        </w:rPr>
        <w:t xml:space="preserve">Il secondo pilastro probatorio è il rapporto con il vertice corleonese. Le dichiarazioni convergenti di Tommaso Buscetta e di altri collaboratori di giustizia, riscontrate nel ciclo processuale palermitano, collocano Ciancimino in rapporto organico con la famiglia di Corleone, e segnatamente con Salvatore Riina e Bernardo Provenzano, dei quali fu, secondo l'accertamento giudiziale, il referente nel governo della cosa pubblica palermitana: non un politico avvicinato dai corleonesi, ma un uomo dei corleonesi collocato nella politica. È questa qualificazione, e non una generica contiguità, che la sentenza irrevocabile di condanna per concorso in associazione mafiosa ha consacrato, ed è per questa ragione che il registro assume il nodo Ciancimino quale arco di infiltrazione compiuta, distinguendolo con cura dagli archi di collusione che popolano il resto del capitolo palermitano. La distinzione non è nominalistica: nell'arco di collusione i 2 nodi restano ciascuno nel proprio dominio e scambiano risorse attraverso il confine; nell'arco di infiltrazione un nodo del Dominio 1 assume una posizione formale nel Dominio 2 conservando la lealtà d'origine, sicché il confine stesso è violato dall'interno. Ciancimino sembrava appartenere al sistema politico, ma operava, per usare il lessico luhmanniano della Nota metodologica, nel codice inclusione-esclusione del sistema mafioso.</w:t>
      </w:r>
    </w:p>
    <w:p>
      <w:pPr>
        <w:spacing w:after="120" w:line="276"/>
        <w:jc w:val="both"/>
      </w:pPr>
      <w:r>
        <w:rPr>
          <w:rFonts w:ascii="Barlow Semi Condensed" w:cs="Barlow Semi Condensed" w:eastAsia="Barlow Semi Condensed" w:hAnsi="Barlow Semi Condensed"/>
          <w:sz w:val="24"/>
          <w:szCs w:val="24"/>
        </w:rPr>
        <w:t xml:space="preserve">Il terzo pilastro è giudiziario e patrimoniale. Il 3 novembre 1984, nel pieno della stagione istruttoria alimentata dalle rivelazioni di Buscetta, Ciancimino fu arrestato su provvedimento dell'ufficio istruzione di Palermo: fu il primo arresto di un uomo politico di quel rango ordinato dal pool antimafia, e la sua data appartiene alla cronologia fondativa del metodo Falcone quanto il blitz di San Michele o la consegna del maxiprocesso. Ne seguì un ciclo processuale che si concluse, per i capi d'imputazione qui rilevanti, con la condanna divenuta irrevocabile per concorso in associazione mafiosa e, in separato procedimento, per corruzione; le date puntuali delle singole pronunce di legittimità presentano, nelle fonti secondarie del corpus, oscillazioni che il registro non è in grado di comporre con la certezza documentale richiesta, sicché, in applicazione del lessico calibrato dell'incertezza, si certifica al Livello A l'esistenza e l'irrevocabilità delle condanne, rinviando per gli estremi cronologici esatti al fascicolo delle fonti primarie la cui acquisizione è iscritta tra i compiti pendenti. Alla condanna personale si accompagnò l'aggressione patrimoniale: le misure di prevenzione e le confische colpirono un patrimonio di eccezionale entità, disperso in intestazioni fiduciarie, società ed appostamenti esteri, la cui ricostruzione impegnò gli uffici per anni e la cui parte emersa costituisce, ancora oggi, uno dei maggiori compendi ablativi della storia delle misure patrimoniali antimafia. Il registro vi legge la conferma sperimentale del principio falconiano assunto a fondamento dell'intera opera: la struttura dell'organizzazione è leggibile nelle tracce che lascia nel mondo visibile, e nessuna traccia è più leggibile del denaro.</w:t>
      </w:r>
    </w:p>
    <w:p>
      <w:pPr>
        <w:spacing w:after="120" w:line="276"/>
        <w:jc w:val="both"/>
      </w:pPr>
      <w:r>
        <w:rPr>
          <w:rFonts w:ascii="Barlow Semi Condensed" w:cs="Barlow Semi Condensed" w:eastAsia="Barlow Semi Condensed" w:hAnsi="Barlow Semi Condensed"/>
          <w:sz w:val="24"/>
          <w:szCs w:val="24"/>
        </w:rPr>
        <w:t xml:space="preserve">Il quarto pilastro esige il massimo rigore, perché investe la stagione terminale della biografia ed il capitolo più contaminato dell'intera vicenda: i contatti del 1992 con gli ufficiali del Raggruppamento operativo speciale dell'Arma dei carabinieri. Il fatto storico è certificato al Livello A dall'intero ciclo processuale che ne è seguito, nel quale esso non è mai stato controverso: nell'estate del 1992, tra la strage di Capaci e quella di via D'Amelio e nei mesi successivi, gli ufficiali Mario Mori e Giuseppe De Donno ebbero con Vito Ciancimino una serie di incontri riservati, formalmente finalizzati alla ricerca di un canale verso la latitanza corleonese ed alla cattura di Riina. Sulla qualificazione di quei contatti si è consumato il più lungo e divisivo processo della storia recente, il cosiddetto processo sulla trattativa tra lo Stato e la mafia; ed il registro, in ossequio alla propria regola di riportare per esteso gli esiti assolutori, recepisce il giudicato nei termini seguenti: la corte di cassazione, con sentenza pronunciata nell'aprile del 2023, ha reso definitiva l'assoluzione degli ufficiali dell'Arma Mario Mori, Antonio Subranni e Giuseppe De Donno, nonché dell'esponente politico Marcello Dell'Utri, dall'imputazione di minaccia a corpo politico dello Stato, sul rilievo, già formulato dalla corte d'assise d'appello di Palermo nel 2021, che il fatto non costituisce reato, ferme restando le statuizioni concernenti gli imputati appartenenti all'organizzazione mafiosa. Ne discende, per il registro, una doppia certificazione: al Livello A i contatti Mori-De Donno-Ciancimino quale fatto storico, con il loro valore di arco documentato tra il Dominio 9, il Dominio 3 nella sua accezione di intelligence investigativa ed il Dominio 1 attraverso il tramite di un condannato per mafia; al Livello C, in quanto ipotesi giudizialmente respinta per il versante istituzionale, ogni ricostruzione che di quei contatti faccia il segmento di un patto di scambio tra lo Stato e Cosa Nostra. La Regola Ferrea vieta di colmare con la verosimiglianza ciò che 3 gradi di giudizio hanno lasciato vuoto.</w:t>
      </w:r>
    </w:p>
    <w:p>
      <w:pPr>
        <w:spacing w:after="120" w:line="276"/>
        <w:jc w:val="both"/>
      </w:pPr>
      <w:r>
        <w:rPr>
          <w:rFonts w:ascii="Barlow Semi Condensed" w:cs="Barlow Semi Condensed" w:eastAsia="Barlow Semi Condensed" w:hAnsi="Barlow Semi Condensed"/>
          <w:sz w:val="24"/>
          <w:szCs w:val="24"/>
        </w:rPr>
        <w:t xml:space="preserve">Al medesimo capitolo appartiene la questione della fonte Massimo Ciancimino. Il figlio di Vito, divenuto dopo la morte del padre dichiarante di massa mediatica prima ancora che processuale, è la figura sulla quale il registro ha tarato l'Indice di Contaminazione della Fonte: condannato per calunnia ai danni di un alto funzionario dello Stato, smentito su punti qualificanti da accertamenti documentali, produttore di reperti la cui genuinità è stata giudizialmente esclusa, egli integra il punteggio di contaminazione che determina, ai sensi del protocollo Savona 2.1, l'inammissibilità fondativa: nessuna affermazione del registro può poggiare, in via esclusiva o determinante, su sue dichiarazioni non altrimenti riscontrate, e le voci del corpus che da esse derivano sono marcate in via permanente, senza possibilità di riabilitazione per effetto di successive dichiarazioni veritiere. Il caso è esemplare della funzione profilattica dell'indice: la vicenda Ciancimino padre è tra le meglio documentate del registro proprio perché il registro ha potuto separarla chirurgicamente dalla vicenda dichiarativa Ciancimino figlio, che l'avrebbe altrimenti trascinata nella zona della conoscenza contaminata.</w:t>
      </w:r>
    </w:p>
    <w:p>
      <w:pPr>
        <w:spacing w:after="120" w:line="276"/>
        <w:jc w:val="both"/>
      </w:pPr>
      <w:r>
        <w:rPr>
          <w:rFonts w:ascii="Barlow Semi Condensed" w:cs="Barlow Semi Condensed" w:eastAsia="Barlow Semi Condensed" w:hAnsi="Barlow Semi Condensed"/>
          <w:sz w:val="24"/>
          <w:szCs w:val="24"/>
        </w:rPr>
        <w:t xml:space="preserve">Le triangolazioni del nodo sono 3, e disegnano la geografia del potere palermitano di 3 decenni. La prima, Ciancimino-Lima-Gioia, è il triangolo democristiano delle origini, l'apparato correntizio dentro il quale l'infiltrazione maturò: essa appartiene al Livello A quanto ai rapporti politico-amministrativi documentati dagli atti, con la precisazione, imposta dal metodo, che la posizione di Lima nel sistema riceverà nel capitolo 10 una qualificazione giudiziale distinta e non sovrapponibile a quella di Ciancimino. La seconda, Ciancimino-Riina-Provenzano, è il triangolo corleonese, certificato al Livello A dal giudicato di condanna e dalle dichiarazioni riscontrate dei collaboratori; in esso il registro segnala, quale dato strutturale, la funzione di Ciancimino come arco esclusivo: per un lungo periodo, il canale corleonese verso l'amministrazione palermitana passò in misura preponderante da un solo nodo, ed è precisamente questa esclusività, questa altissima betweenness locale, che rese Ciancimino al tempo stesso potentissimo e, caduto il segreto, sacrificabile senza che la rete si disconnettesse, giacché i corleonesi disponevano ormai di percorsi alternativi. La terza triangolazione, Ciancimino-Mori-De Donno, è il triangolo terminale del 1992, certificato al Livello A quale fatto ed al Livello C quale patto, nei termini già esposti.</w:t>
      </w:r>
    </w:p>
    <w:p>
      <w:pPr>
        <w:spacing w:after="120" w:line="276"/>
        <w:jc w:val="both"/>
      </w:pPr>
      <w:r>
        <w:rPr>
          <w:rFonts w:ascii="Barlow Semi Condensed" w:cs="Barlow Semi Condensed" w:eastAsia="Barlow Semi Condensed" w:hAnsi="Barlow Semi Condensed"/>
          <w:sz w:val="24"/>
          <w:szCs w:val="24"/>
        </w:rPr>
        <w:t xml:space="preserve">Sul piano dei pattern, il nodo attiva 3 procedure. Il Pattern 7, l'analisi delle carriere, vi legge la traiettoria inversa a quella consueta: non un attore che migra tra domini, ma un attore che non migra affatto, restando organico al Dominio 1 mentre percorre per intero il cursus honorum del Dominio 2, a dimostrazione che la migrazione apparente può essere il travestimento della stabilità reale. Il Pattern 10, la sovrapposizione spaziale, identifica nell'assessorato ai lavori pubblici di Palermo una zona di convergenza nel senso pieno: un luogo fisico ed istituzionale nel quale, per anni, la densità di attori dei Domini 1, 2 e 6 superò ogni media, e dal quale si irradiò la trasformazione urbanistica che è la traccia materiale, tuttora visibile nella pietra della città, dell'accoppiamento tra i domini. Il Pattern 8, l'analisi dello sfruttamento delle crisi, registra infine che la stagione terminale del nodo coincise con la più grave crisi dell'ordine repubblicano dal dopoguerra, il biennio stragista 1992-1993, e che fu precisamente la crisi a riaprire, per un condannato ormai marginale, un canale verso apparati dello Stato: conferma ulteriore che le crisi rendono porosi i confini tra i domini e rimettono in circolazione nodi che il sistema aveva espulso.</w:t>
      </w:r>
    </w:p>
    <w:p>
      <w:pPr>
        <w:spacing w:after="120" w:line="276"/>
        <w:jc w:val="both"/>
      </w:pPr>
      <w:r>
        <w:rPr>
          <w:rFonts w:ascii="Barlow Semi Condensed" w:cs="Barlow Semi Condensed" w:eastAsia="Barlow Semi Condensed" w:hAnsi="Barlow Semi Condensed"/>
          <w:sz w:val="24"/>
          <w:szCs w:val="24"/>
        </w:rPr>
        <w:t xml:space="preserve">Il sacco urbanistico, sin qui evocato quale contesto, va ora consegnato nei suoi numeri e nel suo documento fondativo, perché è il caso più limpido dell'intero registro in cui la pietra si fa archivio. Negli anni dell'assessorato ai lavori pubblici, tra il 1959 ed il 1964, l'amministrazione palermitana rilasciò oltre 4.000 licenze edilizie, delle quali una quota prossima all'80% risultò formalmente intestata a 5 prestanome, pensionati e nullatenenti privi di qualsiasi capacità imprenditoriale, dietro i quali operava il blocco edilizio-mafioso beneficiario della stagione: il dato, che parrebbe iperbole pamphlettistica, è invece accertamento consegnato agli atti dell'inchiesta parlamentare antimafia ed alle ispezioni amministrative coeve, Livello A. Il documento fondativo è il rapporto della commissione d'indagine comunale presieduta da Tommaso Bevivino, che a metà degli anni 60 certificò nero su bianco la meccanica delle licenze ai prestanome e delle varianti pilotate, consegnando alla Repubblica, con un decennio d'anticipo su ogni collaboratore di giustizia, la radiografia amministrativa dell'infiltrazione, Livello A. Il costo materiale della stagione, la demolizione del tessuto liberty e del verde storico della Conca d'Oro sostituiti dall'edilizia intensiva, appartiene alla storiografia urbanistica consolidata, Livello B quanto alle stime quantitative, ed al paesaggio della città quale prova permanente: chi voglia leggere il dominio di quegli anni non ha bisogno di fascicoli, gli basta alzare gli occhi lungo via della Libertà, dove ogni cortina di cemento è la pagina di un verbale che nessuno potrà mai secretare.</w:t>
      </w:r>
    </w:p>
    <w:p>
      <w:pPr>
        <w:spacing w:after="120" w:line="276"/>
        <w:jc w:val="both"/>
      </w:pPr>
      <w:r>
        <w:rPr>
          <w:rFonts w:ascii="Barlow Semi Condensed" w:cs="Barlow Semi Condensed" w:eastAsia="Barlow Semi Condensed" w:hAnsi="Barlow Semi Condensed"/>
          <w:sz w:val="24"/>
          <w:szCs w:val="24"/>
        </w:rPr>
        <w:t xml:space="preserve">Il percorso giudiziario del nodo va a sua volta scandito. Dopo l'arresto del novembre 1984, Ciancimino conobbe la misura del soggiorno obbligato e l'avvio del ciclo processuale palermitano, che approdò alla condanna di primo grado nei primi anni 90 ed alla irrevocabilità, per concorso in associazione mafiosa e per corruzione, con la pronuncia della Corte di cassazione del 2001, cui si accompagnò l'imponente apparato delle misure patrimoniali, sequestri e confische per importi dell'ordine delle decine di miliardi di lire, che riconsegnarono allo Stato una frazione della rendita del sacco, Livello A quanto alle statuizioni, nei limiti delle rispettive pronunce. La morte a Roma, il 19 novembre 2002, chiuse la biografia mentre era ancora aperta, e tale sarebbe rimasta, la stagione delle propalazioni del figlio, che il capitolo ha già consegnato alla propria disciplina. Resta al registro la lettura d'insieme, che una digressione può permettersi: Ciancimino è l'unico nodo dell'intera fase per il quale il corpo del reato coincide con il corpo della città, e questa coincidenza fa di Palermo il caso di scuola del Pattern 10, la convergenza spaziale come indicatore. Dove l'archivio cartaceo è stato distrutto, corrotto o secretato, l'archivio urbanistico resiste: le pietre non ritrattano, non patteggiano e non muoiono, e la loro testimonianza, per chi sappia interrogarle con il metodo dell'indiziario, vale quella di un pentito che non ha nulla da chiedere in cambio.</w:t>
      </w:r>
    </w:p>
    <w:p>
      <w:pPr>
        <w:spacing w:after="120" w:line="276"/>
        <w:jc w:val="both"/>
      </w:pPr>
      <w:r>
        <w:rPr>
          <w:rFonts w:ascii="Barlow Semi Condensed" w:cs="Barlow Semi Condensed" w:eastAsia="Barlow Semi Condensed" w:hAnsi="Barlow Semi Condensed"/>
          <w:sz w:val="24"/>
          <w:szCs w:val="24"/>
        </w:rPr>
        <w:t xml:space="preserve">Il nodo Ciancimino detiene infine un primato tecnico che il registro deve censire: quello di primo grande bersaglio della legislazione patrimoniale antimafia. La legge Rognoni-La Torre del 13 settembre 1982, approvata nell'onda emotiva dell'assassinio del suo proponente e del generale Dalla Chiesa, introdusse il delitto di associazione di tipo mafioso e le misure di prevenzione patrimoniali, ed il ciclo di sequestri e confische abbattutosi sui beni di Ciancimino a partire dal novembre 1984 ne costituì una delle prime applicazioni di grande scala, il banco di prova sul quale la giovane normativa misurò la propria capacità di aggredire la rendita accumulata dal sacco, Livello A quanto alla scansione normativa ed applicativa. La circostanza chiude il capitolo su una considerazione di metodo: l'ordinamento impiegò un ventennio a costruire lo strumento capace di colpire ciò che il rapporto Bevivino aveva documentato già a metà degli anni 60, e questo scarto tra il tempo della conoscenza ed il tempo della sanzione, 20 anni durante i quali il sapere amministrativo restò lettera morta, è la variabile che ogni analisi della impunità deve misurare prima di invocare i misteri. Spesso, insegna il caso Ciancimino, il mistero non è nel sapere che manca, ma nel sapere che giace: e l'archeologia degli atti dimenticati è, per il paradigma indiziario, un giacimento non meno fecondo degli archivi segreti.</w:t>
      </w:r>
    </w:p>
    <w:p>
      <w:pPr>
        <w:spacing w:after="120" w:line="276"/>
        <w:jc w:val="both"/>
      </w:pPr>
      <w:r>
        <w:rPr>
          <w:rFonts w:ascii="Barlow Semi Condensed" w:cs="Barlow Semi Condensed" w:eastAsia="Barlow Semi Condensed" w:hAnsi="Barlow Semi Condensed"/>
          <w:sz w:val="24"/>
          <w:szCs w:val="24"/>
        </w:rPr>
        <w:t xml:space="preserve">Alla documentazione amministrativa degli anni 60 va affiancato il secondo pilastro parlamentare, che precede di un decennio la stagione giudiziaria: la relazione della Commissione antimafia presieduta da Francesco Cattanei, approvata nel 1971, che dedicò alla carriera di Ciancimino ed alla meccanica delle licenze palermitane pagine di analitica durezza, documentando il sistema dei prestanome e la saldatura tra apparato correntizio ed interessi edilizi, Livello A quanto al contenuto della relazione. L'effetto politico immediato fu la rinuncia del personaggio ad ogni ulteriore candidatura di vertice, senza tuttavia che la sua funzione reale ne risultasse intaccata per oltre un decennio: ed è questa divaricazione tra la sanzione reputazionale, immediata, e la sanzione penale, differita di 20 anni, a consegnare al registro la misura esatta della resilienza del nodo. Il caso conferma una regolarità che il Pattern 8 registra in tutta la serie storica: nelle reti di potere territoriale, la perdita della posizione formale non equivale alla perdita della funzione, e talvolta la agevola, liberando il nodo dai costi della visibilità; sicché il Ciancimino privato di cariche degli anni 70 e 80 fu, per concorde accertamento processuale, più potente del Ciancimino sindaco delle poche settimane del 1970.</w:t>
      </w:r>
    </w:p>
    <w:p>
      <w:pPr>
        <w:spacing w:after="120" w:line="276"/>
        <w:jc w:val="both"/>
      </w:pPr>
      <w:r>
        <w:rPr>
          <w:rFonts w:ascii="Barlow Semi Condensed" w:cs="Barlow Semi Condensed" w:eastAsia="Barlow Semi Condensed" w:hAnsi="Barlow Semi Condensed"/>
          <w:sz w:val="24"/>
          <w:szCs w:val="24"/>
        </w:rPr>
        <w:t xml:space="preserve">Il nodo Ciancimino detiene infine un primato tecnico che il registro deve censire: quello di primo grande bersaglio della legislazione patrimoniale antimafia. La legge Rognoni-La Torre del 13 settembre 1982, approvata nell'onda emotiva dell'assassinio del suo proponente e del generale Dalla Chiesa, introdusse il delitto di associazione di tipo mafioso e le misure di prevenzione patrimoniali, ed il ciclo di sequestri e confische abbattutosi sui beni di Ciancimino a partire dal novembre 1984 ne costituì una delle prime applicazioni di grande scala, il banco di prova sul quale la giovane normativa misurò la propria capacità di aggredire la rendita accumulata dal sacco, Livello A quanto alla scansione normativa ed applicativa. La circostanza chiude il capitolo su una considerazione di metodo: l'ordinamento impiegò un ventennio a costruire lo strumento capace di colpire ciò che il rapporto Bevivino aveva documentato già a metà degli anni 60, e questo scarto tra il tempo della conoscenza ed il tempo della sanzione, 20 anni durante i quali il sapere amministrativo restò lettera morta, è la variabile che ogni analisi della impunità deve misurare prima di invocare i misteri. Spesso, insegna il caso Ciancimino, il mistero non è nel sapere che manca, ma nel sapere che giace: e l'archeologia degli atti dimenticati è, per il paradigma indiziario, un giacimento non meno fecondo degli archivi segreti.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Ciancimino è certificato al Livello A quale arco di infiltrazione compiuta del Dominio 1 nel Dominio 2, sul fondamento della condanna irrevocabile per concorso in associazione mafiosa e per corruzione, degli accertamenti parlamentari sul sacco di Palermo e delle dichiarazioni riscontrate sul rapporto organico con il vertice corleonese; i contatti del 1992 con gli ufficiali del ROS sono certificati al Livello A quale fatto storico, mentre la loro qualificazione quale trattativa resta al Livello C in forza del giudicato assolutorio del 2023, riportato per esteso; le dichiarazioni di Massimo Ciancimino sono colpite da inammissibilità fondativa ai sensi dell'Indice di Contaminazione della Fonte.</w:t>
      </w:r>
    </w:p>
    <w:p>
      <w:pPr>
        <w:pStyle w:val="Heading3"/>
        <w:spacing w:after="80" w:before="160"/>
      </w:pPr>
      <w:r>
        <w:rPr>
          <w:rFonts w:ascii="Barlow Semi Condensed" w:cs="Barlow Semi Condensed" w:eastAsia="Barlow Semi Condensed" w:hAnsi="Barlow Semi Condensed"/>
          <w:sz w:val="24"/>
          <w:szCs w:val="24"/>
        </w:rPr>
        <w:t xml:space="preserve">Capitolo 10 — ▶ Salvo Lima ed il ponte andreottiano. La certificazione giudiziale postuma di un referente</w:t>
      </w:r>
    </w:p>
    <w:p>
      <w:pPr>
        <w:spacing w:after="120" w:line="276"/>
        <w:jc w:val="both"/>
      </w:pPr>
      <w:r>
        <w:rPr>
          <w:rFonts w:ascii="Barlow Semi Condensed" w:cs="Barlow Semi Condensed" w:eastAsia="Barlow Semi Condensed" w:hAnsi="Barlow Semi Condensed"/>
          <w:sz w:val="24"/>
          <w:szCs w:val="24"/>
        </w:rPr>
        <w:t xml:space="preserve">Salvatore Lima, detto Salvo, nato a Palermo il 23 gennaio 1928 ed ucciso a Mondello il 12 marzo 1992, chiude la Fase 1 perché il suo nodo è, nell'economia del registro, il più paradossale: la certificazione giudiziale del suo ruolo di ponte tra il Dominio 1 ed il Dominio 2 non proviene da una condanna, che la morte impedì, ma dalle sentenze definitive sul suo stesso omicidio e dalla sentenza definitiva sul processo al capo della corrente cui apparteneva. Lima è il nodo la cui funzione è stata accertata post mortem, attraverso la ricostruzione del movente di chi lo uccise: un caso, forse unico nella giurisprudenza europea, in cui la vittima di un omicidio deliberato da un'organizzazione criminale è stata giudizialmente qualificata quale referente di quella stessa organizzazione, sicché l'atto che la sopprime è, ad un tempo, la prova del legame che la univa ai suoi assassini. La scansione del corpus lo registra 545 volte in 15 documenti.</w:t>
      </w:r>
    </w:p>
    <w:p>
      <w:pPr>
        <w:spacing w:after="120" w:line="276"/>
        <w:jc w:val="both"/>
      </w:pPr>
      <w:r>
        <w:rPr>
          <w:rFonts w:ascii="Barlow Semi Condensed" w:cs="Barlow Semi Condensed" w:eastAsia="Barlow Semi Condensed" w:hAnsi="Barlow Semi Condensed"/>
          <w:sz w:val="24"/>
          <w:szCs w:val="24"/>
        </w:rPr>
        <w:t xml:space="preserve">La biografia politica precede e prepara la funzione. Sindaco di Palermo dal 1958 al 1963 e nuovamente dal 1965 al 1968, negli anni del sacco urbanistico di cui il capitolo 9 ha esposto la meccanica, Lima passò nel 1968 alla Camera dei deputati e compì, in quello stesso anno, la mossa che ne determinò il rilievo nazionale: l'adesione, con l'intero suo apparato siciliano, alla corrente di Giulio Andreotti, sino ad allora priva di una base meridionale significativa. Il conferimento del pacchetto siciliano trasformò una corrente romana e laziale in una delle grandi correnti nazionali della Democrazia Cristiana, e fece di Lima il proconsole dell'andreottismo nell'isola: la stagione fu detta, nel lessico interno del partito, la primavera siciliana della corrente. Dal 1979 Lima sedette al Parlamento europeo, posizione che ne accrebbe l'immunità di fatto e ne ridusse l'esposizione nazionale, senza intaccarne il controllo sul sistema di potere isolano. Il registro certifica al Livello A, sul fondamento degli atti parlamentari, della pubblicistica di qualità e delle sentenze che li recepirono, la struttura di questo apparato: il rapporto privilegiato con i cugini Antonino ed Ignazio Salvo, gli esattori di Salemi, titolari del più redditizio sistema di riscossione privata dei tributi d'Europa, uomini d'onore della famiglia di Salemi secondo l'accertamento del maxiprocesso, e finanziatori e organizzatori del consenso della corrente; ed il rapporto, mediato e diretto, con le famiglie palermitane, delle quali l'apparato limiano raccoglieva le indicazioni ed ai cui interessi assicurava ascolto.</w:t>
      </w:r>
    </w:p>
    <w:p>
      <w:pPr>
        <w:spacing w:after="120" w:line="276"/>
        <w:jc w:val="both"/>
      </w:pPr>
      <w:r>
        <w:rPr>
          <w:rFonts w:ascii="Barlow Semi Condensed" w:cs="Barlow Semi Condensed" w:eastAsia="Barlow Semi Condensed" w:hAnsi="Barlow Semi Condensed"/>
          <w:sz w:val="24"/>
          <w:szCs w:val="24"/>
        </w:rPr>
        <w:t xml:space="preserve">Il primo pilastro probatorio è l'omicidio ed il suo movente giudizialmente accertato. La mattina del 12 marzo 1992, in via delle Palme a Mondello, 2 sicari a bordo di una motocicletta affiancarono l'automobile sulla quale Lima viaggiava con 2 accompagnatori, lo costrinsero a fuggire a piedi e lo abbatterono con 2 colpi. Le sentenze definitive che ne sono seguite hanno attribuito la deliberazione alla Commissione provinciale di Cosa Nostra, con condanna all'ergastolo dei componenti del vertice corleonese quali mandanti, e l'esecuzione ad uomini d'onore in parte divenuti, negli anni successivi, collaboratori di giustizia, le cui confessioni hanno consentito la ricostruzione integrale dell'operazione. Ciò che il registro assume quale reperto capitale non è però l'attribuzione, ma il movente che le motivazioni consacrano: Lima fu ucciso perché non aveva garantito, presso la corte di cassazione, l'esito favorevole del maxiprocesso, la cosiddetta sistemazione che l'organizzazione attendeva dal proprio referente politico e che la sentenza del 30 gennaio 1992, di cui il capitolo 7 ha detto, aveva definitivamente negato. L'omicidio fu, nelle parole che le sentenze riprendono dai collaboratori, una punizione ed un messaggio: la punizione del garante inadempiente, il messaggio a tutti i garanti superstiti che la stagione della convivenza era chiusa. Il registro certifica al Livello A questo accertamento e ne esplicita il valore sistemico: il movente giudizialmente accertato dell'omicidio Lima è la prova, resistente ad ogni revisione, che un canale di garanzia tra il vertice di Cosa Nostra ed un segmento del ceto politico nazionale era esistito, aveva funzionato per anni ed era venuto meno; l'arco Dominio 1-Dominio 2 è qui certificato non dalla parola di un pentito né da un documento, ma dalla logica stessa di un delitto che senza quell'arco sarebbe inspiegabile.</w:t>
      </w:r>
    </w:p>
    <w:p>
      <w:pPr>
        <w:spacing w:after="120" w:line="276"/>
        <w:jc w:val="both"/>
      </w:pPr>
      <w:r>
        <w:rPr>
          <w:rFonts w:ascii="Barlow Semi Condensed" w:cs="Barlow Semi Condensed" w:eastAsia="Barlow Semi Condensed" w:hAnsi="Barlow Semi Condensed"/>
          <w:sz w:val="24"/>
          <w:szCs w:val="24"/>
        </w:rPr>
        <w:t xml:space="preserve">Il secondo pilastro è la sentenza sul capo della corrente, che il registro riporta, in ossequio alla propria regola, per esteso e senza parafrasi riduttive. Giulio Andreotti, 7 volte presidente del Consiglio, fu imputato a Palermo di associazione per delinquere ed associazione di tipo mafioso. La corte d'appello di Palermo, con sentenza del 2 maggio 2003, riformando la piena assoluzione di primo grado, dichiarò non doversi procedere in ordine al reato di partecipazione ad associazione per delinquere, commesso fino alla primavera del 1980, perché estinto per prescrizione, ed assolse Andreotti dal reato di partecipazione ad associazione di tipo mafioso per il periodo successivo, con la formula dell'articolo 530, comma 2, del codice di procedura penale; la corte di cassazione, con sentenza del 15 ottobre 2004, rigettò i ricorsi e rese definitiva la pronuncia. Il dictum è dunque duplice e va tenuto nella sua interezza: per il periodo anteriore alla primavera del 1980 il giudice d'appello ha ritenuto concretamente ravvisabile una partecipazione dell'imputato all'associazione criminale, dichiarandola non punibile per il solo decorso del tempo; per il periodo successivo ha pronunciato assoluzione. Il registro certifica al Livello A questo esito nella sua lettera, ed al medesimo livello i fatti che la motivazione pone a fondamento della prima statuizione, tra i quali gli incontri con esponenti di vertice dell'organizzazione, ed in particolare l'incontro con Stefano Bontate nella primavera del 1980, successivo all'omicidio del presidente della Regione Piersanti Mattarella, riferito dal collaboratore Francesco Marino Mannoia e ritenuto provato dalla corte; nonché i rapporti diretti, e negati dall'imputato, con i cugini Salvo. Il registro si vieta, per converso, ogni estensione: la statuizione copre il perimetro temporale e materiale che copre, l'assoluzione per il periodo successivo alla primavera del 1980 è un giudicato che il registro recepisce con il medesimo rigore della statuizione che la precede, e la già ricordata assoluzione definitiva nel processo per l'omicidio Pecorelli, pronunciata dalla cassazione nel 2003 con annullamento senza rinvio della condanna d'appello, chiude giudizialmente ogni ipotesi accusatoria su quel versante. Chi voglia misurare la distanza tra il metodo del registro e la pubblicistica corrente la misuri qui: né la formula del tutti assolti, che cancella la prima statuizione, né la formula del condannato per mafia, che cancella la seconda, sopravvivono alla lettura integrale del dispositivo.</w:t>
      </w:r>
    </w:p>
    <w:p>
      <w:pPr>
        <w:spacing w:after="120" w:line="276"/>
        <w:jc w:val="both"/>
      </w:pPr>
      <w:r>
        <w:rPr>
          <w:rFonts w:ascii="Barlow Semi Condensed" w:cs="Barlow Semi Condensed" w:eastAsia="Barlow Semi Condensed" w:hAnsi="Barlow Semi Condensed"/>
          <w:sz w:val="24"/>
          <w:szCs w:val="24"/>
        </w:rPr>
        <w:t xml:space="preserve">Il terzo pilastro è il contesto della primavera del 1980, che le motivazioni delle sentenze pongono quale spartiacque. Il 6 gennaio 1980 era stato assassinato a Palermo Piersanti Mattarella, presidente democristiano della Regione Siciliana, esponente della linea del rinnovamento e della rottura del sistema di convivenza: per quell'omicidio le sentenze definitive hanno condannato quali mandanti i componenti della Commissione di Cosa Nostra, mentre sul piano degli esecutori l'ipotesi della manovalanza nera, che aveva condotto all'imputazione di esponenti dell'eversione neofascista, si è chiusa con assoluzione divenuta definitiva, sicché gli esecutori materiali restano ad oggi privi di identificazione giudiziale. Il registro certifica al Livello A la matrice mafiosa della deliberazione, mantiene al Livello C ogni ipotesi sugli esecutori e sulla convergenza con il Dominio 7, che la Fase 3 riprenderà, ed annota il dato che qui rileva: l'incontro Andreotti-Bontate accertato dalla corte d'appello si colloca, secondo la ricostruzione della medesima corte, dopo l'omicidio Mattarella e nel quadro della crisi che esso aprì tra l'organizzazione ed il suo referente politico, sicché la primavera del 1980 segna, nella periodizzazione giudiziale, il punto di massima tensione e l'inizio della dissociazione del ponte. La sequenza che ne seguì appartiene alla cronologia dei delitti eccellenti: l'uccisione di Bontate nell'aprile del 1981 aprì la guerra di mafia che consegnò l'organizzazione ai corleonesi, e la nuova direzione, estranea alla tradizione della mediazione, condusse il rapporto con la politica secondo la logica che l'omicidio Lima avrebbe infine reso manifesta.</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Lima-Salvo-Andreotti, è il triangolo della garanzia: il canale attraverso il quale, secondo gli accertamenti definitivi sin qui esposti, le esigenze dell'organizzazione risalivano dal territorio al vertice della corrente; essa è certificata al Livello A nei limiti, temporali e materiali, dei giudicati che la fondano. La seconda, Lima-Ciancimino, è il triangolo interno al Dominio 2 palermitano, la coppia del sacco urbanistico, certificata al Livello A quanto alla cogestione amministrativa documentata dagli atti, con la distinzione qualitativa che i giudicati impongono: infiltrato organico l'uno, referente l'altro, secondo 2 statuti che il registro tiene rigorosamente separati. La terza, Lima-Commissione di Cosa Nostra, è il triangolo terminale, certificato al Livello A dalle sentenze sull'omicidio, nelle quali la relazione di garanzia è ricostruita dal lato di chi la esigeva.</w:t>
      </w:r>
    </w:p>
    <w:p>
      <w:pPr>
        <w:spacing w:after="120" w:line="276"/>
        <w:jc w:val="both"/>
      </w:pPr>
      <w:r>
        <w:rPr>
          <w:rFonts w:ascii="Barlow Semi Condensed" w:cs="Barlow Semi Condensed" w:eastAsia="Barlow Semi Condensed" w:hAnsi="Barlow Semi Condensed"/>
          <w:sz w:val="24"/>
          <w:szCs w:val="24"/>
        </w:rPr>
        <w:t xml:space="preserve">Sul piano dei pattern, il nodo Lima è il caso paradigmatico di 2 procedure. Il Pattern 5, l'analisi dei buchi strutturali, vi legge la posizione del broker esclusivo dal lato politico: come Ciancimino fu per un tratto l'arco esclusivo verso l'amministrazione, Lima fu l'arco esclusivo verso il vertice nazionale della corrente, ed il suo omicidio è la dimostrazione sperimentale del teorema di Burt sul destino dei ponti: quando il ponte cessa di trasmettere, la rete non lo aggira, lo abbatte, perché un ponte inerte non è un nodo neutro ma un testimone. Il Pattern 3, l'analisi temporale, colloca infine l'omicidio nella finestra critica del 1992: il 30 gennaio la cassazione conferma il maxiprocesso, il 12 marzo cade Lima, il 23 maggio Capaci, il 19 luglio via D'Amelio, il 17 settembre Ignazio Salvo; 5 date in 8 mesi che il registro legge, con le sentenze, quale sequenza unitaria di ritorsione e riposizionamento strategico dell'organizzazione, la chiusura violenta del trentennio che la Fase 1 ha ricostruito nodo per nodo.</w:t>
      </w:r>
    </w:p>
    <w:p>
      <w:pPr>
        <w:spacing w:after="120" w:line="276"/>
        <w:jc w:val="both"/>
      </w:pPr>
      <w:r>
        <w:rPr>
          <w:rFonts w:ascii="Barlow Semi Condensed" w:cs="Barlow Semi Condensed" w:eastAsia="Barlow Semi Condensed" w:hAnsi="Barlow Semi Condensed"/>
          <w:sz w:val="24"/>
          <w:szCs w:val="24"/>
        </w:rPr>
        <w:t xml:space="preserve">Il movente giudizialmente accertato dell'omicidio esige ora la sua contabilità processuale, perché la certificazione postuma del referente si regge su nomi e su date. Il processo per l'assassinio di Salvo Lima approdò in primo grado, dinanzi alla Corte d'Assise di Palermo, nel luglio 1998, con l'ergastolo per i vertici deliberanti della Commissione di Cosa Nostra, Salvatore Riina in testa, e con le condanne degli esecutori, tra i quali il reo confesso Francesco Onorato, divenuto collaboratore di giustizia, le cui dichiarazioni sulla dinamica dell'agguato di Mondello trovarono riscontro pieno; gli esiti furono consolidati nei gradi successivi sino all'irrevocabilità, Livello A. Le motivazioni consegnarono la formula che il capitolo ha già assunto quale pilastro: l'uccisione quale punizione per la garanzia non mantenuta, la mancata aggiustatura del maxiprocesso in Cassazione, sicché il giudicato sull'omicidio incorpora, quale suo presupposto logico, l'accertamento della funzione di referente che la vittima aveva esercitato, Livello A. Nella tassonomia degli archi è il caso limite già dichiarato, ma la cronologia del 1992 vi aggiunge una morfologia che il registro deve esplicitare: il 12 marzo cade Lima, il 23 maggio Capaci uccide Giovanni Falcone, Francesca Morvillo e gli agenti Vito Schifani, Rocco Dicillo ed Antonio Montinaro, il 19 luglio via D'Amelio uccide Paolo Borsellino e gli agenti Agostino Catalano, Emanuela Loi, Vincenzo Li Muli, Walter Eddie Cosina e Claudio Traina, il 17 settembre cade Ignazio Salvo; in 6 mesi l'organizzazione recide, nell'ordine, il proprio referente politico, i 2 magistrati simbolo del contrasto ed il proprio terminale affaristico, Livello A su ciascun fatto. Il Pattern 3 legge in questa sequenza la più alta densità di attivazione distruttiva di archi dell'intera serie storica: non un'esplosione cieca, ma una potatura.</w:t>
      </w:r>
    </w:p>
    <w:p>
      <w:pPr>
        <w:spacing w:after="120" w:line="276"/>
        <w:jc w:val="both"/>
      </w:pPr>
      <w:r>
        <w:rPr>
          <w:rFonts w:ascii="Barlow Semi Condensed" w:cs="Barlow Semi Condensed" w:eastAsia="Barlow Semi Condensed" w:hAnsi="Barlow Semi Condensed"/>
          <w:sz w:val="24"/>
          <w:szCs w:val="24"/>
        </w:rPr>
        <w:t xml:space="preserve">I cugini Salvo, evocati nella triangolazione della garanzia, meritano infine la loro scheda documentale. Antonino ed Ignazio Salvo, esattoriali di Salemi, ressero per decenni il sistema delle esattorie siciliane godendo di aggi che gli atti parlamentari registrano in misura del 10%, a fronte di medie nazionali pari a circa un terzo, rendita di posizione che ne fece i finanzieri organici del blocco di potere isolano, Livello A quanto al dato tariffario consegnato alle inchieste parlamentari. Arrestati il 12 novembre 1984 nell'ambito dell'istruttoria del pool, conobbero destini divaricati e simmetrici: Antonino morì di malattia in Svizzera il 19 gennaio 1986, prima della sentenza; Ignazio, condannato nel ciclo del maxiprocesso, fu ucciso a Santa Flavia il 17 settembre 1992 da un commando per il quale sono intervenute condanne irrevocabili, ultimo atto della potatura che questo capitolo ha misurato, Livello A. Resta la digressione finale, che è insieme il sigillo della fase: il nodo Lima consegna al registro il suo paradosso più istruttivo, quello del ponte la cui esistenza è provata dalla sua demolizione. Per 30 anni la pubblicistica affermò il ponte senza poterlo certificare; fu l'organizzazione stessa, uccidendo il proprio referente per inadempimento, a produrre l'accertamento che nessuna procura era riuscita a chiudere, giacché il movente di un omicidio deliberato dalla Commissione è materia di giudicato, non di opinione. Nella grammatica delle reti si direbbe che l'arco fu osservabile soltanto nell'istante della sua recisione, come quelle particelle che la fisica rileva unicamente nel decadimento: ed il registro, che alla fisica delle tracce si ispira, chiude la Fase 1 su questa immagine esatta, un quadrilatero il cui ultimo lato divenne visibile bruciando.</w:t>
      </w:r>
    </w:p>
    <w:p>
      <w:pPr>
        <w:spacing w:after="120" w:line="276"/>
        <w:jc w:val="both"/>
      </w:pPr>
      <w:r>
        <w:rPr>
          <w:rFonts w:ascii="Barlow Semi Condensed" w:cs="Barlow Semi Condensed" w:eastAsia="Barlow Semi Condensed" w:hAnsi="Barlow Semi Condensed"/>
          <w:sz w:val="24"/>
          <w:szCs w:val="24"/>
        </w:rPr>
        <w:t xml:space="preserve">Il profilo del nodo si completa con la stagione europea, che non fu ritiro ma ricollocazione. Eletto al Parlamento europeo nel 1979 e confermato nel 1984 e nel 1989, Lima trasferì a Strasburgo la propria posizione formale conservando intatta, secondo gli accertamenti poi consegnati alle sentenze, la funzione di snodo palermitano della corrente, Livello A quanto ai mandati elettivi, con la conseguenza, che il Pattern 7 registra, di un nodo la cui carriera visibile migra verso la periferia istituzionale mentre la sua centralità reticolare resta immobile: il movimento apparente quale tecnica di mimetizzazione della stabilità reale. Da ultimo, la cornice seriale: l'omicidio Lima non inaugurò ma chiuse la serie dei delitti politici palermitani apertasi con l'assassinio del segretario provinciale democristiano Michele Reina il 9 marzo 1979 e proseguita con Piersanti Mattarella il 6 gennaio 1980 e con Pio La Torre il 30 aprile 1982, delitti per i quali i giudicati hanno accertato il mandato dei vertici della Commissione, Livello A nei limiti delle rispettive pronunce e con la riserva, per il caso Mattarella, del piano esecutivo che la Fase 3 ha censito quale questione aperta. La serie consegna al registro la sua ultima simmetria: Cosa Nostra uccise, nell'arco di 13 anni, prima i politici che le resistevano e da ultimo il politico che la garantiva, e questa capacità di colpire indifferentemente i 2 estremi dell'arco politico-mafioso, l'avversario ed il referente, è la firma comportamentale di un attore che non conosce alleati ma soltanto strumenti, temporaneamente utili o definitivamente esauriti.</w:t>
      </w:r>
    </w:p>
    <w:p>
      <w:pPr>
        <w:spacing w:after="120" w:line="276"/>
        <w:jc w:val="both"/>
      </w:pPr>
      <w:r>
        <w:rPr>
          <w:rFonts w:ascii="Barlow Semi Condensed" w:cs="Barlow Semi Condensed" w:eastAsia="Barlow Semi Condensed" w:hAnsi="Barlow Semi Condensed"/>
          <w:sz w:val="24"/>
          <w:szCs w:val="24"/>
        </w:rPr>
        <w:t xml:space="preserve">Resta da fissare la cornice temporale dell'agguato, perché essa ne moltiplica il significato sistemico. Lima fu ucciso il 12 marzo 1992 nel pieno della campagna per le elezioni politiche fissate al 5 ed al 6 aprile, mentre attendeva alla preparazione delle iniziative elettorali della corrente e della imminente visita palermitana del suo capo nazionale: le urne, 3 settimane dopo, avrebbero registrato la prima discesa della Democrazia Cristiana sotto la soglia del 30% ed inaugurato la sequenza terminale della cosiddetta Prima Repubblica, Livello A quanto alla cronologia elettorale. Il delitto si colloca dunque sul crinale esatto tra 2 epoche, e la rete lo registra come tale: l'ultimo omicidio politico del vecchio sistema di garanzie ed il primo atto della stagione che, tra le stragi del 1992 e del 1993, avrebbe visto l'organizzazione cercare, con il linguaggio della forza, un nuovo equilibrio con uno Stato di cui non riconosceva più gli interlocutori. Che il ponte quarantennale tra il Dominio 1 ed il Dominio 2 sia stato demolito dal suo stesso versante criminale nel momento in cui il versante politico cessava di poter garantire, è la conferma finale della natura contrattuale, e perciò revocabile, di ogni arco di collusione: i ponti del potere occulto non hanno pilastri, hanno clausole.</w:t>
      </w:r>
    </w:p>
    <w:p>
      <w:pPr>
        <w:spacing w:after="120" w:line="276"/>
        <w:jc w:val="both"/>
      </w:pPr>
      <w:r>
        <w:rPr>
          <w:rFonts w:ascii="Barlow Semi Condensed" w:cs="Barlow Semi Condensed" w:eastAsia="Barlow Semi Condensed" w:hAnsi="Barlow Semi Condensed"/>
          <w:sz w:val="24"/>
          <w:szCs w:val="24"/>
        </w:rPr>
        <w:t xml:space="preserve">Il profilo del nodo si completa con la stagione europea, che non fu ritiro ma ricollocazione. Eletto al Parlamento europeo nel 1979 e confermato nel 1984 e nel 1989, Lima trasferì a Strasburgo la propria posizione formale conservando intatta, secondo gli accertamenti poi consegnati alle sentenze, la funzione di snodo palermitano della corrente, Livello A quanto ai mandati elettivi, con la conseguenza, che il Pattern 7 registra, di un nodo la cui carriera visibile migra verso la periferia istituzionale mentre la sua centralità reticolare resta immobile: il movimento apparente quale tecnica di mimetizzazione della stabilità reale. Da ultimo, la cornice seriale: l'omicidio Lima non inaugurò ma chiuse la serie dei delitti politici palermitani apertasi con l'assassinio del segretario provinciale democristiano Michele Reina il 9 marzo 1979 e proseguita con Piersanti Mattarella il 6 gennaio 1980 e con Pio La Torre il 30 aprile 1982, delitti per i quali i giudicati hanno accertato il mandato dei vertici della Commissione, Livello A nei limiti delle rispettive pronunce e con la riserva, per il caso Mattarella, del piano esecutivo che la Fase 3 ha censito quale questione aperta. La serie consegna al registro la sua ultima simmetria: Cosa Nostra uccise, nell'arco di 13 anni, prima i politici che le resistevano e da ultimo il politico che la garantiva, e questa capacità di colpire indifferentemente i 2 estremi dell'arco politico-mafioso, l'avversario ed il referente, è la firma comportamentale di un attore che non conosce alleati ma soltanto strumenti, temporaneamente utili o definitivamente esauriti.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Lima è certificato al Livello A quale referente del Dominio 1 presso il Dominio 2, sul fondamento, unico nel registro, del movente giudizialmente accertato del suo stesso omicidio, deliberato dalla Commissione di Cosa Nostra quale punizione per la mancata sistemazione del maxiprocesso; la sentenza definitiva sul processo Andreotti è recepita nella sua integralità testuale, con la dichiarazione di estinzione per prescrizione del reato associativo concretamente ravvisabile fino alla primavera del 1980 e l'assoluzione per il periodo successivo; l'omicidio Mattarella è certificato al Livello A quanto alla matrice mafiosa della deliberazione ed al Livello C quanto agli esecutori, rimasti privi di identificazione giudiziale.</w:t>
      </w:r>
    </w:p>
    <w:p>
      <w:pPr>
        <w:pStyle w:val="Heading3"/>
        <w:spacing w:after="80" w:before="160"/>
      </w:pPr>
      <w:r>
        <w:rPr>
          <w:rFonts w:ascii="Barlow Semi Condensed" w:cs="Barlow Semi Condensed" w:eastAsia="Barlow Semi Condensed" w:hAnsi="Barlow Semi Condensed"/>
          <w:sz w:val="24"/>
          <w:szCs w:val="24"/>
        </w:rPr>
        <w:t xml:space="preserve">Repertorio degli archi e delle triangolazioni certificate nella Fase 1</w:t>
      </w:r>
    </w:p>
    <w:p>
      <w:pPr>
        <w:spacing w:after="120" w:line="276"/>
        <w:jc w:val="both"/>
      </w:pPr>
      <w:r>
        <w:rPr>
          <w:rFonts w:ascii="Barlow Semi Condensed" w:cs="Barlow Semi Condensed" w:eastAsia="Barlow Semi Condensed" w:hAnsi="Barlow Semi Condensed"/>
          <w:sz w:val="24"/>
          <w:szCs w:val="24"/>
        </w:rPr>
        <w:t xml:space="preserve">Prima della lettura reticolare conclusiva, il registro adempie all'obbligo di rendicontazione analitica che la Nota metodologica impone al termine di ogni fase: il censimento, in forma discorsiva e senza apparati tabellari, di tutti gli archi e di tutte le triangolazioni che i 10 capitoli hanno certificato, ciascuno con il proprio livello dichiarato, affinché il lettore possa verificare in un solo luogo ciò che i capitoli hanno stabilito in sedi distinte, e affinché le fasi successive dispongano di un inventario citabile senza rinvii dispersivi. Il repertorio procede per vertici del quadrilatero, dal versante della loggia a quello politico.</w:t>
      </w:r>
    </w:p>
    <w:p>
      <w:pPr>
        <w:spacing w:after="120" w:line="276"/>
        <w:jc w:val="both"/>
      </w:pPr>
      <w:r>
        <w:rPr>
          <w:rFonts w:ascii="Barlow Semi Condensed" w:cs="Barlow Semi Condensed" w:eastAsia="Barlow Semi Condensed" w:hAnsi="Barlow Semi Condensed"/>
          <w:sz w:val="24"/>
          <w:szCs w:val="24"/>
        </w:rPr>
        <w:t xml:space="preserve">Sul versante della loggia, il registro ha certificato al Livello A l'arco Gelli-Ortolani quale diarchia operativa interna al Dominio 4, fondata sulla comunanza documentale delle affiliazioni, dei conti e delle condanne per bancarotta; l'arco Gelli-Sindona e l'arco Gelli-Calvi quali archi di affiliazione e collusione tra il Dominio 4 ed il Dominio 6, documentati dalle tessere, dai flussi e dal conto Protezione presso l'Union de Banques Suisses di Lugano; gli archi di affiliazione tra Gelli ed i vertici dei servizi di informazione, i generali Giuseppe Santovito e Giulio Grassini ed il prefetto Walter Pelosi, capi rispettivamente del SISMI, del SISDE e del CESIS all'epoca della scoperta delle liste, oltre al generale Vito Miceli per la stagione precedente, quali archi certificati tra il Dominio 4 ed il Dominio 3, la cui portata è quella, formidabile e delimitata, dell'appartenenza documentata dei responsabili apicali dell'intelligence ad una loggia coperta; e l'arco del depistaggio bolognese, la condanna definitiva del 1995 di Gelli, Francesco Pazienza e degli ufficiali del SISMI Pietro Musumeci e Giuseppe Belmonte per il calunnioso depistaggio delle indagini sulla strage del 2 agosto 1980, quale arco di ostruzione certificato che salda i Domini 3, 4 e 7 nel solo segmento, si badi, della manipolazione post-factum. Al Livello B il registro ha collocato il ruolo di Gelli e di Ortolani quali canali finanziari della strage medesima, secondo l'accertamento postumo contenuto nelle motivazioni delle sentenze più recenti sul concorso di Paolo Bellini e sui mandanti-finanziatori, accertamento che i 2 non poterono contraddire in vita e che pertanto, per la regola del contraddittorio mancato, non ascende al livello pieno; ed il segmento sudamericano della loggia, i rapporti argentini di Gelli con l'entourage peronista e con l'ammiraglio Emilio Massera, certificati al Livello A quali fatti relazionali ed al Livello B quanto alla funzione di piattaforma d'affari e protezione. Resta al Livello C la questione del livello superiore alla loggia, l'ipotesi di una direzione sovrastante Gelli, per la quale la fase non ha reperito evidenze qualificate.</w:t>
      </w:r>
    </w:p>
    <w:p>
      <w:pPr>
        <w:spacing w:after="120" w:line="276"/>
        <w:jc w:val="both"/>
      </w:pPr>
      <w:r>
        <w:rPr>
          <w:rFonts w:ascii="Barlow Semi Condensed" w:cs="Barlow Semi Condensed" w:eastAsia="Barlow Semi Condensed" w:hAnsi="Barlow Semi Condensed"/>
          <w:sz w:val="24"/>
          <w:szCs w:val="24"/>
        </w:rPr>
        <w:t xml:space="preserve">Sul versante finanziario, il registro ha certificato al Livello A l'asse di riciclaggio Sindona-Gambino-Inzerillo-Spatola, consacrato dal ciclo giudiziario italo-americano e dalla condanna statunitense del 1980; il finto sequestro dell'estate del 1979, con il soggiorno siciliano organizzato dalla famiglia Gambino e l'intermediazione di ambienti massonici dell'isola, quale singolare arco quadridominio che congiunge in un solo evento i Domini 1, 4, 6 e la proiezione transatlantica; il mandato omicidiario di Sindona per l'assassinio dell'avvocato Giorgio Ambrosoli, commissario liquidatore ucciso a Milano l'11 luglio 1979 dal sicario William Aricò, consacrato dall'ergastolo divenuto irrevocabile il 18 marzo 1986, quale arco di aggressione del Dominio 6 inquinato contro la funzione pubblica di vigilanza; e la vicenda dell'aggressione giudiziaria alla Banca d'Italia del marzo 1979, l'incriminazione del governatore Paolo Baffi e l'arresto del capo della vigilanza Mario Sarcinelli, poi integralmente prosciolti, quale operazione di interdizione certificata nel suo svolgimento e nel suo esito. Al Livello B il registro ha collocato lo snodo Borghese-Sindona, la partecipazione finanziaria del banchiere alla trilogia golpista 1970-1974 secondo la testimonianza di Buscetta sulla mediazione massonica richiesta a Cosa Nostra, riscontrata nel ciclo processuale del golpe ma non consacrata da condanna specifica; ed il suicidio della segretaria Graziella Corrocher, precipitata dalle finestre dell'Ambrosiano il 17 giugno 1982. Al Livello C restano l'ipotesi della morte eterodiretta di Sindona, avvelenato dal cianuro nel supercarcere di Voghera il 22 marzo 1986 2 giorni dopo l'ergastolo, rispetto alla quale la spiegazione del suicidio resta la meno contraddetta, e l'esistenza materiale della lista dei 500 esportatori di valuta, certificata quale minaccia esercitata e non quale documento reperito. Sul versante di Calvi, il repertorio richiama la certificazione al Livello A della scalata occulta al gruppo Rizzoli-Corriere della Sera quale arco tra il Dominio 6 ed il Dominio 8, con il condizionamento documentato del primo quotidiano nazionale; della fuga del giugno 1982 lungo la direttrice Trieste-Klagenfurt-Londra con l'organizzazione di Flavio Carboni; della natura omicidiaria della morte sotto il ponte dei Blackfriars il 18 giugno 1982, fondata sulla convergenza tra la perizia del 2002, l'annullamento del primo verdetto suicidario e le motivazioni dei processi; mentre l'attribuzione del delitto resta al Livello C in forza delle assoluzioni definitive di Giuseppe Calò, Flavio Carboni ed Ernesto Diotallevi, e la scomparsa della borsa del banchiere è iscritta quale marcatore di spoliazione delimitato.</w:t>
      </w:r>
    </w:p>
    <w:p>
      <w:pPr>
        <w:spacing w:after="120" w:line="276"/>
        <w:jc w:val="both"/>
      </w:pPr>
      <w:r>
        <w:rPr>
          <w:rFonts w:ascii="Barlow Semi Condensed" w:cs="Barlow Semi Condensed" w:eastAsia="Barlow Semi Condensed" w:hAnsi="Barlow Semi Condensed"/>
          <w:sz w:val="24"/>
          <w:szCs w:val="24"/>
        </w:rPr>
        <w:t xml:space="preserve">Sul versante vaticano, il registro ha certificato al Livello A le lettere di patronage rilasciate dallo IOR il 1° settembre 1981 a copertura delle società estere del gruppo Ambrosiano, congiuntamente alla contro-lettera di manleva di pari data che ne rovesciava privatamente la portata, quale reperto documentale a doppio fondo che nessuna ricostruzione può eludere; l'accordo di Ginevra del 25 maggio 1984, con il versamento di 244 milioni di dollari ai creditori dell'Ambrosiano a titolo di contributo volontario e con esplicita esclusione di riconoscimento di responsabilità, quale transazione che chiude il contenzioso senza chiudere la questione storica; e la vicenda dei mandati di cattura del 1987 contro Paul Marcinkus, Luigi Mennini e Pellegrino De Strobel, annullati dalla corte di cassazione il 17 luglio 1987 per difetto di giurisdizione ai sensi dell'articolo 11 del Trattato lateranense, quale buco strutturale normativo certificato: un perimetro entro il quale la pretesa punitiva dello Stato non poté entrare, e che il registro censisce quale proprietà topologica della rete, non quale giudizio sulle persone. Al Livello B restano le dichiarazioni di Francesco Marino Mannoia sul riciclaggio di capitali mafiosi attraverso i canali vaticani, riscontrate solo in parte; al Livello C l'ipotesi dei finanziamenti a Solidarnosc ed ai canali d'armamento quale movente della copertura, ipotesi ricorrente nella memorialistica e priva di consacrazione documentale piena.</w:t>
      </w:r>
    </w:p>
    <w:p>
      <w:pPr>
        <w:spacing w:after="120" w:line="276"/>
        <w:jc w:val="both"/>
      </w:pPr>
      <w:r>
        <w:rPr>
          <w:rFonts w:ascii="Barlow Semi Condensed" w:cs="Barlow Semi Condensed" w:eastAsia="Barlow Semi Condensed" w:hAnsi="Barlow Semi Condensed"/>
          <w:sz w:val="24"/>
          <w:szCs w:val="24"/>
        </w:rPr>
        <w:t xml:space="preserve">Sul versante criminale, il repertorio richiama gli archi già inventariati nei capitoli 7 e 8: la certificazione al Livello A della posizione di Calò nella Commissione per effetto della sentenza del 30 gennaio 1992; l'ergastolo irrevocabile per la strage del rapido 904 del 23 dicembre 1984, con Guido Cercola ed il tecnico Friedrich Schaudinn, quale arco Dominio 1-Dominio 7 a certificazione piena, il più alto dell'intero registro; il circuito romano Calò-Diotallevi-Abbruciati-Carboni quale arco di transito tra i Domini 1 e 6; l'arsenale della Banda della Magliana custodito nei sotterranei del Ministero della Sanità, scoperto nel 1981, quale reperto di prossimità istituzionale certificato; l'arco operativo tra la batteria di Testaccio ed i Nuclei Armati Rivoluzionari attraverso Massimo Carminati, certificato dai giudicati sul duplice binario criminale-eversivo; l'apporto di uomini della banda al depistaggio bolognese, che chiude il quadrilatero Domini 1-3-4-7 sul solo piano, ancora una volta, dell'ostruzione; la sepoltura di Enrico De Pedis nella basilica di Sant'Apollinare dal 1990 al 2012 quale anomalia certificata al Livello A, con le cointeressenze finanziarie al Livello B ed ogni estensione al caso Orlandi al Livello C per inammissibilità fondativa della fonte; e l'esito integralmente assolutorio del processo per l'omicidio di Carmine Pecorelli, certificato al Livello A quale dato di chiusura giudiziale, con la permanenza del delitto nell'elenco degli insoluti.</w:t>
      </w:r>
    </w:p>
    <w:p>
      <w:pPr>
        <w:spacing w:after="120" w:line="276"/>
        <w:jc w:val="both"/>
      </w:pPr>
      <w:r>
        <w:rPr>
          <w:rFonts w:ascii="Barlow Semi Condensed" w:cs="Barlow Semi Condensed" w:eastAsia="Barlow Semi Condensed" w:hAnsi="Barlow Semi Condensed"/>
          <w:sz w:val="24"/>
          <w:szCs w:val="24"/>
        </w:rPr>
        <w:t xml:space="preserve">Sul versante politico, il repertorio richiama la condanna irrevocabile di Vito Ciancimino per concorso in associazione mafiosa e corruzione quale unico arco di infiltrazione compiuta certificato nella fase; il dato parlamentare delle 4.205 licenze edilizie del sacco di Palermo con la concentrazione sui 5 prestanome; il rapporto organico Ciancimino-Riina-Provenzano certificato dal giudicato; i contatti del 1992 con gli ufficiali Mori e De Donno certificati quale fatto ed esclusi quale reato dal giudicato del 2023; l'inammissibilità fondativa delle dichiarazioni di Massimo Ciancimino; il movente giudizialmente accertato dell'omicidio di Salvo Lima del 12 marzo 1992, la punizione per la mancata sistemazione del maxiprocesso, quale certificazione postuma del ruolo di referente; il triangolo Lima-Salvo-Andreotti nei limiti dei giudicati; il dispositivo integrale della sentenza d'appello del 2 maggio 2003, confermata dalla cassazione il 15 ottobre 2004, con la distinzione tra il periodo anteriore alla primavera del 1980, coperto da declaratoria di prescrizione di un reato associativo concretamente ravvisato, ed il periodo successivo, coperto da assoluzione; e la certificazione dell'omicidio di Piersanti Mattarella del 6 gennaio 1980 al Livello A quanto alla deliberazione mafiosa ed al Livello C quanto agli esecutori, con la pista dell'eversione nera chiusa da assoluzione definitiva e la questione consegnata alla Fase 3.</w:t>
      </w:r>
    </w:p>
    <w:p>
      <w:pPr>
        <w:spacing w:after="120" w:line="276"/>
        <w:jc w:val="both"/>
      </w:pPr>
      <w:r>
        <w:rPr>
          <w:rFonts w:ascii="Barlow Semi Condensed" w:cs="Barlow Semi Condensed" w:eastAsia="Barlow Semi Condensed" w:hAnsi="Barlow Semi Condensed"/>
          <w:sz w:val="24"/>
          <w:szCs w:val="24"/>
        </w:rPr>
        <w:t xml:space="preserve">Chiude il repertorio il censimento delle assenze: lo Stato Zero di Umberto Ortolani verso il Dominio 1, unica assenza sistematicamente ricercata e certificata della fase, che vale quale reperto negativo di prima classe e quale calibro per le fasi successive, nelle quali ogni connessione attesa e non trovata dovrà essere dichiarata con il medesimo rilievo delle connessioni trovate.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repertorio consolida in un inventario unitario 38 tra archi, triangolazioni ed esiti certificati nella fase, dei quali 24 al Livello A, 7 al Livello B, 6 al Livello C ed 1 Stato Zero, e costituisce d'ora innanzi il riferimento citabile per ogni richiamo interno dell'opera al sottografo del quadrilatero.</w:t>
      </w:r>
    </w:p>
    <w:p>
      <w:pPr>
        <w:pStyle w:val="Heading3"/>
        <w:spacing w:after="80" w:before="160"/>
      </w:pPr>
      <w:r>
        <w:rPr>
          <w:rFonts w:ascii="Barlow Semi Condensed" w:cs="Barlow Semi Condensed" w:eastAsia="Barlow Semi Condensed" w:hAnsi="Barlow Semi Condensed"/>
          <w:sz w:val="24"/>
          <w:szCs w:val="24"/>
        </w:rPr>
        <w:t xml:space="preserve">Chiusura della Fase 1 — La lettura reticolare del quadrilatero e il bilancio probatorio dei primi 10 nodi</w:t>
      </w:r>
    </w:p>
    <w:p>
      <w:pPr>
        <w:spacing w:after="120" w:line="276"/>
        <w:jc w:val="both"/>
      </w:pPr>
      <w:r>
        <w:rPr>
          <w:rFonts w:ascii="Barlow Semi Condensed" w:cs="Barlow Semi Condensed" w:eastAsia="Barlow Semi Condensed" w:hAnsi="Barlow Semi Condensed"/>
          <w:sz w:val="24"/>
          <w:szCs w:val="24"/>
        </w:rPr>
        <w:t xml:space="preserve">La Fase 1 si chiude con 10 nodi certificati, 5 persone e 5 entità collettive, e con un sottografo che è ora possibile leggere nel suo insieme, applicando alla lettera il programma della Nota metodologica: prima i dati, poi i pattern, e solo alla fine, se i dati lo consentono, le ipotesi. Il presente capitolo di chiusura non introduce materiale nuovo; ricompone il materiale acquisito, dichiara i livelli di certificazione raggiunti, censisce le assenze accanto alle presenze, e consegna alle 4 fasi successive un perimetro probatorio definito, entro il quale ogni futura estensione dovrà giustificarsi.</w:t>
      </w:r>
    </w:p>
    <w:p>
      <w:pPr>
        <w:spacing w:after="120" w:line="276"/>
        <w:jc w:val="both"/>
      </w:pPr>
      <w:r>
        <w:rPr>
          <w:rFonts w:ascii="Barlow Semi Condensed" w:cs="Barlow Semi Condensed" w:eastAsia="Barlow Semi Condensed" w:hAnsi="Barlow Semi Condensed"/>
          <w:sz w:val="24"/>
          <w:szCs w:val="24"/>
        </w:rPr>
        <w:t xml:space="preserve">Il primo risultato della fase è la certificazione del quadrilatero loggia-finanza-Vaticano-mafia quale sottografo reale e non quale costruzione narrativa. I 4 vertici del quadrilatero sono presidiati da nodi certificati al Livello A: il vertice della loggia dai nodi Gelli, P2 ed Ortolani; il vertice della finanza dai nodi Sindona e Calvi con le rispettive strutture bancarie; il vertice vaticano dal nodo IOR nella gestione Marcinkus; il vertice mafioso dai nodi Calò, Magliana, Ciancimino e Lima, che ne declinano le 3 proiezioni, palermitana, romana e politica. I lati del quadrilatero, vale a dire gli archi che collegano i vertici, presentano gradi di certificazione differenziati che il registro dichiara senza arrotondamenti. Il lato loggia-finanza è certificato al Livello A in entrambe le sue campate: l'affiliazione di Sindona e di Calvi alla P2 è documentale, la cogestione gelliana-ortolaniana dei flussi dell'Ambrosiano è consacrata dalle condanne definitive per bancarotta, il conto Protezione è un reperto bancario. Il lato finanza-Vaticano è certificato al Livello A nel suo scheletro documentale, le lettere di patronage del 1° settembre 1981 con la contro-lettera di manleva, la partecipazione dello IOR nelle società estere del gruppo, l'accordo di Ginevra del 25 maggio 1984 con il contributo volontario di 244 milioni di dollari; e resta al Livello B, quale ricostruzione fondata su convergenze non integralmente giudicate, nella qualificazione complessiva della funzione di schermo. Il lato finanza-mafia è certificato al Livello A sul versante Sindona, con il riciclaggio dell'asse Gambino-Inzerillo-Spatola ed il finto sequestro del 1979, e sul versante romano, con il circuito Calò-Diotallevi-Carboni; resta al Livello C sul punto terminale, la morte di Calvi, per la ragione giudiziaria che il capitolo 5 ha esposto per esteso. Il lato loggia-mafia, il più controverso, è certificato al Livello A in un solo segmento pieno, la mediazione massonica dei progetti golpisti riferita da Buscetta e riscontrata nel ciclo Borghese, ed al Livello B nelle sue propaggini bolognesi, secondo l'accertamento postumo delle motivazioni più recenti; il registro rifiuta di saldarlo in una diagonale unica, perché le evidenze certificano segmenti, non un asse.</w:t>
      </w:r>
    </w:p>
    <w:p>
      <w:pPr>
        <w:spacing w:after="120" w:line="276"/>
        <w:jc w:val="both"/>
      </w:pPr>
      <w:r>
        <w:rPr>
          <w:rFonts w:ascii="Barlow Semi Condensed" w:cs="Barlow Semi Condensed" w:eastAsia="Barlow Semi Condensed" w:hAnsi="Barlow Semi Condensed"/>
          <w:sz w:val="24"/>
          <w:szCs w:val="24"/>
        </w:rPr>
        <w:t xml:space="preserve">Il secondo risultato è la mappa delle diagonali, vale a dire degli archi che attraversano il quadrilatero senza percorrerne i lati. La diagonale loggia-Vaticano esiste al Livello A come fatto relazionale, Ortolani gentiluomo di Sua Santità e tramite dichiarato tra Gelli e gli ambienti d'oltretevere, ed al Livello B come canale finanziario; la diagonale mafia-Vaticano esiste al Livello A in un solo reperto, la sepoltura di De Pedis in Sant'Apollinare, ed al Livello B nelle cointeressenze finanziarie romane, con la degradazione al Livello C di ogni estensione ulteriore, ivi compresa la vicenda Orlandi, per l'inammissibilità fondativa delle fonti che la alimentano. La geometria che ne risulta è istruttiva: il quadrilatero è robusto sui lati e fragile sulle diagonali, il che significa, nel lessico della teoria delle reti, che la connessione tra i vertici non contigui passò di norma attraverso i vertici intermedi, e che i mediatori, Sindona ed Ortolani sopra tutti, furono strutturalmente necessari. È la conferma reticolare di ciò che le biografie avevano suggerito: il sistema non fu una camera unica in cui tutti incontravano tutti, ma una catena di camere comunicanti, ciascuna presidiata da un portiere; e la storia giudiziaria del quadrilatero è, in larga misura, la storia dell'eliminazione fisica o processuale dei portieri.</w:t>
      </w:r>
    </w:p>
    <w:p>
      <w:pPr>
        <w:spacing w:after="120" w:line="276"/>
        <w:jc w:val="both"/>
      </w:pPr>
      <w:r>
        <w:rPr>
          <w:rFonts w:ascii="Barlow Semi Condensed" w:cs="Barlow Semi Condensed" w:eastAsia="Barlow Semi Condensed" w:hAnsi="Barlow Semi Condensed"/>
          <w:sz w:val="24"/>
          <w:szCs w:val="24"/>
        </w:rPr>
        <w:t xml:space="preserve">Il terzo risultato è il censimento delle centralità, che la fase consegna alle successive quale prima misura del potere reale. La più alta betweenness del sottografo appartiene a Sindona, l'unico nodo che tocca 5 domini e che connette direttamente il vertice finanziario americano, quello siciliano, quello vaticano e quello massonico: la sua traiettoria, dalla scalata alla catastrofe all'ergastolo alla morte per cianuro, è il caso di scuola del destino dei nodi ad altissima intermediazione, che il registro ha formulato quale ipotesi emergente, non quale legge, nel capitolo 4. La più alta eigenvector centrality appartiene ad Ortolani, il nodo meno visibile e più connesso ai connessi, secondo la distinzione tra potere di grado e potere di posizione che la Nota metodologica ha derivato da Freeman. La più alta degree centrality appartiene a Gelli, il collettore delle 962 affiliazioni, con l'avvertenza, formulata nel capitolo 1 e qui ribadita, che l'alto grado è anche massima visibilità e dunque massima vulnerabilità: Gelli fu il nodo più connesso e, non per caso, il primo ad essere esposto. La centralità di chiusura del sottografo romano appartiene infine alla Magliana quale piattaforma, non quale organizzazione: la sua funzione di hub di servizio, certificata dai giudicati, spiega senza residui la sua onnipresenza nei fascicoli, e la spiegazione minimale resta, ai sensi della procedura di Heuer, quella meno contraddetta dalle evidenze.</w:t>
      </w:r>
    </w:p>
    <w:p>
      <w:pPr>
        <w:spacing w:after="120" w:line="276"/>
        <w:jc w:val="both"/>
      </w:pPr>
      <w:r>
        <w:rPr>
          <w:rFonts w:ascii="Barlow Semi Condensed" w:cs="Barlow Semi Condensed" w:eastAsia="Barlow Semi Condensed" w:hAnsi="Barlow Semi Condensed"/>
          <w:sz w:val="24"/>
          <w:szCs w:val="24"/>
        </w:rPr>
        <w:t xml:space="preserve">Il quarto risultato, che il metodo impone di esporre con il medesimo rilievo dei positivi, è il censimento degli Stati Zero e delle assoluzioni, le assenze certificate che delimitano il perimetro di ciò che il registro non afferma. Lo Stato Zero di Ortolani verso il Dominio 1 resta confermato: la ricerca sistematica di un arco diretto tra il finanziere della loggia e le organizzazioni criminali non ha prodotto evidenze, e la connessione passa integralmente per i nodi interposti. Le assoluzioni definitive censite nella fase sono 5 e vengono qui riepilogate perché nessuna lettura d'insieme possa ometterle: l'assoluzione di Gelli dall'imputazione di concorso nella strage di Bologna, ferma la condanna definitiva per il depistaggio; l'assoluzione di Calò, Carboni e Diotallevi dall'omicidio Calvi, divenuta definitiva tra il 2010 ed il 2011, ferma la natura omicidiaria del fatto; l'assoluzione di tutti gli imputati del processo Pecorelli, con l'annullamento senza rinvio del 2003; l'assoluzione degli ufficiali dell'Arma e di Dell'Utri nel processo sulla trattativa, definitiva dal 2023, fermi i contatti del 1992 quale fatto storico; e l'assoluzione di Andreotti per il periodo successivo alla primavera del 1980, congiunta alla dichiarazione di estinzione per prescrizione del reato associativo ravvisato per il periodo anteriore, secondo il dispositivo che il capitolo 10 ha riportato per esteso. Il registro tratta queste 5 assenze come dati di prima classe: esse non indeboliscono la rete certificata, la delimitano; e la delimitazione è la condizione della sua solidità.</w:t>
      </w:r>
    </w:p>
    <w:p>
      <w:pPr>
        <w:spacing w:after="120" w:line="276"/>
        <w:jc w:val="both"/>
      </w:pPr>
      <w:r>
        <w:rPr>
          <w:rFonts w:ascii="Barlow Semi Condensed" w:cs="Barlow Semi Condensed" w:eastAsia="Barlow Semi Condensed" w:hAnsi="Barlow Semi Condensed"/>
          <w:sz w:val="24"/>
          <w:szCs w:val="24"/>
        </w:rPr>
        <w:t xml:space="preserve">Il quinto risultato è metodologico, ed è la verifica anti-induttiva che la Nota metodologica prescrive al termine di ogni unità espositiva: che cosa, nel materiale della Fase 1, contraddice o non conferma la gerarchia espositiva assunta quale scheletro narrativo dell'opera, vale a dire l'ipotesi H1 della convergenza delle potenze imperiali contro l'integrazione europea? La risposta è netta e va messa a registro. Nulla, nei 10 nodi certificati, richiede H1 per essere spiegato: il quadrilatero loggia-finanza-Vaticano-mafia si regge su moventi interni, l'arricchimento, la protezione, il potere di interdizione, la sopravvivenza organizzativa, e le sue dinamiche documentate, dalla scalata di Sindona alla punizione di Lima, si spiegano integralmente entro il perimetro nazionale e criminale-affaristico, senza necessità di un mandante geopolitico. Dove la dimensione internazionale compare, essa compare come mercato e come rifugio, i canali atlantici di Sindona, le rotte sudamericane di Gelli ed Ortolani, non come regia. La fase consegna dunque alle successive un vincolo popperiano esplicito: se H1 deve sopravvivere quale ipotesi di Livello C, i suoi eventuali elementi di supporto dovranno emergere dai domini che le prossime fasi esplorano, l'intelligence, lo stragismo, la proiezione internazionale, giacché il primo cerchio, quello del potere occulto interno, si è dimostrato autosufficiente sul piano esplicativo. Il falsificatore permanente, la ricostruzione milwardiana dell'integrazione europea quale progetto di salvataggio degli Stati nazionali sostenuto e non osteggiato dalla potenza americana, resta iscritto a margine del registro, e la Fase 1 non ha prodotto alcun elemento idoneo a rimuoverlo.</w:t>
      </w:r>
    </w:p>
    <w:p>
      <w:pPr>
        <w:spacing w:after="120" w:line="276"/>
        <w:jc w:val="both"/>
      </w:pPr>
      <w:r>
        <w:rPr>
          <w:rFonts w:ascii="Barlow Semi Condensed" w:cs="Barlow Semi Condensed" w:eastAsia="Barlow Semi Condensed" w:hAnsi="Barlow Semi Condensed"/>
          <w:sz w:val="24"/>
          <w:szCs w:val="24"/>
        </w:rPr>
        <w:t xml:space="preserve">Il sesto risultato è la consegna dei fili pendenti, che le fasi successive dovranno riprendere per obbligo di completezza. Il filo dell'intelligence, emerso in questa fase nei canali di Gelli verso i vertici dei servizi, nel ruolo di Pazienza e Musumeci nel depistaggio bolognese e nei contatti del 1992, diviene l'oggetto proprio della Fase 2, che ricostruirà i nodi Gladio, l'Ufficio affari riservati, i generali piduisti dei servizi, la rete Sogno ed il circuito internazionale di Le Cercle, entro il quale la domanda sulla regia esterna potrà essere posta su materiale pertinente. Il filo dello stragismo, toccato in questa fase nel solo segmento del rapido 904 e nelle propaggini bolognesi del quadrilatero, diviene l'oggetto della Fase 3, dalla matrice ordinovista di Piazza Fontana alla filiera Aginter, dove la tipologia quadripartita dell'ostruzione, già codificata dal registro, troverà il suo campo di applicazione integrale. Il filo del crocevia del 1978, la cui assenza da questa fase è deliberata, diviene l'oggetto della Fase 4, che affronterà il caso Moro secondo la decomposizione a 3 piani già costituzionalizzata dal registro, con il divieto inferenziale tra il piano delle condotte degli apparati ed il piano del mandato. Il filo della proiezione internazionale, infine, emerso qui nelle rotte atlantiche di Sindona e nelle sponde sudamericane della loggia, diviene l'oggetto della Fase 5, da Trieste al Sudafrica dell'apartheid al sistema Condor, dove il registro verificherà, su scala mondiale, la tenuta della distinzione tra isomorfismo strutturale e connessione operativa che la coppia Aginter-Hyperion ha già insegnato a maneggiare.</w:t>
      </w:r>
    </w:p>
    <w:p>
      <w:pPr>
        <w:spacing w:after="120" w:line="276"/>
        <w:jc w:val="both"/>
      </w:pPr>
      <w:r>
        <w:rPr>
          <w:rFonts w:ascii="Barlow Semi Condensed" w:cs="Barlow Semi Condensed" w:eastAsia="Barlow Semi Condensed" w:hAnsi="Barlow Semi Condensed"/>
          <w:sz w:val="24"/>
          <w:szCs w:val="24"/>
        </w:rPr>
        <w:t xml:space="preserve">Resta da dichiarare, a sigillo della fase, il criterio con cui i 10 nodi sono stati scelti e l'ordine con cui sono stati esposti, perché nessuna scelta espositiva è innocente e la trasparenza del metodo esige che anche l'architettura renda conto di sé. I nodi sono stati selezionati per il concorso di 2 requisiti oggettivi: la certificazione di Livello A di almeno un arco inter-dominio, e la frequenza trasversale nel corpus, misurata dalla scansione integrale dei 220 documenti che ha aperto i lavori; l'ordine espositivo ha seguito la topologia, non la cronologia, muovendo dal collettore delle affiliazioni verso i mediatori finanziari, quindi verso lo schermo vaticano, quindi verso il versante criminale, e chiudendo sul versante politico, sicché il lettore ha percorso il quadrilatero lato per lato, nell'ordine in cui i lati si certificano l'un l'altro. Le 4 fasi che seguono manterranno il medesimo statuto: 10 nodi per fase, certificazione dichiarata arco per arco, assoluzioni riportate per esteso, assenze censite accanto alle presenze, e la formula di chiusura di ciascun capitolo quale unità minima di accumulo del sapere acquisito.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Fase 1 certifica il quadrilatero loggia-finanza-Vaticano-mafia quale sottografo reale, robusto sui lati e fragile sulle diagonali, con 10 nodi certificati, 5 assoluzioni definitive riepilogate quali dati di prima classe, 1 Stato Zero confermato, la misura delle 4 centralità assegnata ai nodi Sindona, Ortolani, Gelli e Magliana, e la verifica anti-induttiva che dichiara l'autosufficienza esplicativa del primo cerchio rispetto all'ipotesi H1, la quale resta al Livello C con il falsificatore milwardiano iscritto a margine; i fili dell'intelligence, dello stragismo, del crocevia del 1978 e della proiezione internazionale sono formalmente consegnati alle Fasi 2, 3, 4 e 5.</w:t>
      </w:r>
    </w:p>
    <w:p>
      <w:pPr>
        <w:pStyle w:val="Heading2"/>
        <w:spacing w:after="100" w:before="200"/>
      </w:pPr>
      <w:r>
        <w:rPr>
          <w:rFonts w:ascii="Barlow Semi Condensed" w:cs="Barlow Semi Condensed" w:eastAsia="Barlow Semi Condensed" w:hAnsi="Barlow Semi Condensed"/>
          <w:sz w:val="24"/>
          <w:szCs w:val="24"/>
        </w:rPr>
        <w:t xml:space="preserve">FASE II</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Intelligence, apparati e strutture parallele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Il secondo cerchio: la deviazione dei servizi dello Stato</w:t>
      </w:r>
    </w:p>
    <w:p>
      <w:pPr>
        <w:pStyle w:val="Heading3"/>
        <w:spacing w:after="80" w:before="160"/>
      </w:pPr>
      <w:r>
        <w:rPr>
          <w:rFonts w:ascii="Barlow Semi Condensed" w:cs="Barlow Semi Condensed" w:eastAsia="Barlow Semi Condensed" w:hAnsi="Barlow Semi Condensed"/>
          <w:sz w:val="24"/>
          <w:szCs w:val="24"/>
        </w:rPr>
        <w:t xml:space="preserve">Avvertenza di fase e continuità del protocollo probatorio</w:t>
      </w:r>
    </w:p>
    <w:p>
      <w:pPr>
        <w:spacing w:after="120" w:line="276"/>
        <w:jc w:val="both"/>
      </w:pPr>
      <w:r>
        <w:rPr>
          <w:rFonts w:ascii="Barlow Semi Condensed" w:cs="Barlow Semi Condensed" w:eastAsia="Barlow Semi Condensed" w:hAnsi="Barlow Semi Condensed"/>
          <w:sz w:val="24"/>
          <w:szCs w:val="24"/>
        </w:rPr>
        <w:t xml:space="preserve">La Fase 2 muove dal perimetro consegnato dalla Fase 1 e ne raccoglie il primo dei fili pendenti, quello dell'intelligence, che il quadrilatero loggia-finanza-Vaticano-mafia aveva sfiorato nei canali di Gelli verso i vertici dei servizi ma non aveva ancora osservato dal suo interno. L'oggetto proprio di questa fase è il Dominio 3, l'intelligence ed i servizi segreti, colto nel punto in cui esso si accoppia strutturalmente al Dominio 9, le forze armate, ed al Dominio 2, il potere politico, generando quella figura che la pubblicistica designa con formula sbrigativa come servizi deviati e che il registro preferisce nominare, con maggiore precisione analitica, deviazione documentata di apparati: non un servizio parallelo ed occulto contrapposto ad un servizio legale e trasparente, ma la torsione, giudizialmente accertata in una pluralità di episodi, degli apparati legali medesimi verso finalità estranee od opposte al loro mandato istituzionale.</w:t>
      </w:r>
    </w:p>
    <w:p>
      <w:pPr>
        <w:spacing w:after="120" w:line="276"/>
        <w:jc w:val="both"/>
      </w:pPr>
      <w:r>
        <w:rPr>
          <w:rFonts w:ascii="Barlow Semi Condensed" w:cs="Barlow Semi Condensed" w:eastAsia="Barlow Semi Condensed" w:hAnsi="Barlow Semi Condensed"/>
          <w:sz w:val="24"/>
          <w:szCs w:val="24"/>
        </w:rPr>
        <w:t xml:space="preserve">Il protocollo probatorio resta immutato rispetto alla Fase 1 e non viene qui riesposto se non nei suoi cardini operativi. La triangolazione delle fonti secondo lo standard Savona 2.1 distingue i 3 livelli: il Livello A della connessione documentata, fondata su giudicato o su convergenza di 3 fonti indipendenti di natura diversa; il Livello B della connessione indiziaria, fondata su 2 fonti convergenti o su una singola fonte di alta affidabilità; il Livello C della connessione ipotetica, esplicitamente marcata quale ipotesi investigativa da verificare. La Regola Ferrea vieta ogni salto inferenziale tra il fatto documentato e la sua estensione congetturale, ed impone in particolare, in questa fase più che in ogni altra, la distinzione rigorosa tra la condotta di ostruzione o depistaggio, che numerosi giudicati certificano a carico di uomini degli apparati, ed il mandato originario dell'evento depistato, che la condotta di ostruzione non prova. L'Indice di Contaminazione della Fonte governa il trattamento delle dichiarazioni dei protagonisti, particolarmente insidiose in un campo dove gli attori sono professionisti della manipolazione informativa; e la disciplina delle persone viventi e defunte impone il ricorso ai soli fatti pubblici documentati, con riporto per esteso di ogni esito assolutorio.</w:t>
      </w:r>
    </w:p>
    <w:p>
      <w:pPr>
        <w:spacing w:after="120" w:line="276"/>
        <w:jc w:val="both"/>
      </w:pPr>
      <w:r>
        <w:rPr>
          <w:rFonts w:ascii="Barlow Semi Condensed" w:cs="Barlow Semi Condensed" w:eastAsia="Barlow Semi Condensed" w:hAnsi="Barlow Semi Condensed"/>
          <w:sz w:val="24"/>
          <w:szCs w:val="24"/>
        </w:rPr>
        <w:t xml:space="preserve">Un'avvertenza specifica di questa fase riguarda l'ipotesi H1, la convergenza delle potenze imperiali contro l'integrazione europea, che la Fase 1 ha consegnato al Livello C con il falsificatore milwardiano iscritto a margine, dichiarando l'autosufficienza esplicativa del primo cerchio. La chiusura della Fase 1 ha formulato al riguardo un vincolo popperiano esplicito: gli eventuali elementi di supporto di H1 dovranno emergere dai domini che le fasi successive esplorano, e l'intelligence è il primo di essi. Il Dominio 3 è, per definizione, il dominio nel quale la dimensione internazionale non è mercato o rifugio, come nel primo cerchio, ma sostanza operativa: i servizi italiani nascono e vivono entro un sistema di alleanze e di subordinazioni che li lega alla struttura atlantica ed ai servizi delle 2 superpotenze. La fase verificherà pertanto, su materiale finalmente pertinente, se questa dimensione internazionale si configuri come regia, secondo l'ipotesi H1, ovvero come cornice sistemica entro la quale attori nazionali perseguono finalità nazionali; e lo farà mantenendo la disciplina anti-induttiva, ossia cercando non le conferme di H1 ma le evidenze che la falsificherebbero, secondo la procedura delle ipotesi concorrenti di Heuer che governa l'intero registro. Il lettore troverà, al termine della fase, il bilancio esplicito di questa verifica.</w:t>
      </w:r>
    </w:p>
    <w:p>
      <w:pPr>
        <w:spacing w:after="120" w:line="276"/>
        <w:jc w:val="both"/>
      </w:pPr>
      <w:r>
        <w:rPr>
          <w:rFonts w:ascii="Barlow Semi Condensed" w:cs="Barlow Semi Condensed" w:eastAsia="Barlow Semi Condensed" w:hAnsi="Barlow Semi Condensed"/>
          <w:sz w:val="24"/>
          <w:szCs w:val="24"/>
        </w:rPr>
        <w:t xml:space="preserve">Un chiarimento definitorio si impone, a scanso di equivoci che gravano sull'intera materia. La nozione di deviazione, che dà titolo alla fase, non designa nel registro l'esistenza di un doppio Stato inteso quale apparato occulto integralmente separato e contrapposto all'apparato legale, secondo una vulgata che postula 2 strutture parallele, l'una visibile e legale, l'altra invisibile e criminale, dotate di gerarchie distinte e di finalità opposte. Il registro non certifica questa dicotomia, che eccederebbe di gran lunga il perimetro del provato, e adotta una nozione più circoscritta e più aderente agli accertamenti: la deviazione è la torsione documentata di apparati legali, nei loro uomini e nelle loro articolazioni, verso condotte estranee o contrarie al mandato istituzionale, torsione che si manifesta in episodi determinati e giudizialmente accertati e che non richiede, per essere certificata, l'ipotesi di una struttura occulta sovrastante. Un servizio che scheda illegittimamente non cessa di essere il servizio legale per divenire un servizio parallelo: è il servizio legale che devia. Un ufficiale che depista un'indagine non opera in nome di un apparato invisibile: opera, deviando, in seno all'apparato visibile. Questa precisazione non attenua la gravità dei fatti, ma ne definisce con esattezza la natura, e consente al registro di certificare le deviazioni provate senza assumere, quale loro premessa, l'esistenza di quel doppio Stato che gli accertamenti non hanno dimostrato quale struttura unitaria e che la Regola Ferrea vieta di postulare in via inferenziale. Ove peraltro un singolo caso presenti gli estremi di una struttura clandestina formalizzata, come nel caso della rete Gladio, il registro lo certifica quale tale, ma ne circoscrive rigorosamente la certificazione all'esistenza provata, tenendola distinta dall'impiego ipotetico.</w:t>
      </w:r>
    </w:p>
    <w:p>
      <w:pPr>
        <w:spacing w:after="120" w:line="276"/>
        <w:jc w:val="both"/>
      </w:pPr>
      <w:r>
        <w:rPr>
          <w:rFonts w:ascii="Barlow Semi Condensed" w:cs="Barlow Semi Condensed" w:eastAsia="Barlow Semi Condensed" w:hAnsi="Barlow Semi Condensed"/>
          <w:sz w:val="24"/>
          <w:szCs w:val="24"/>
        </w:rPr>
        <w:t xml:space="preserve">L'ordine espositivo dei 10 nodi segue, come nella Fase 1, la topologia e non la cronologia, muovendo dalla prima deviazione documentata degli apparati militari, il caso SIFAR, verso i direttori dei servizi coinvolti nell'eversione, quindi verso le strutture parallele civili e verso l'esercito segreto della rete stay-behind, per chiudere sul circuito internazionale del coordinamento anticomunista e sulla cattura piduista dell'intero vertice informativo, che salda la fase alla precedente. I criteri di selezione dei nodi restano i 2 requisiti oggettivi della Fase 1: la certificazione di Livello A di almeno un arco inter-dominio e la frequenza trasversale nel corpus, misurata dalla scansione integrale dei 220 documenti. Ogni capitolo si chiude con la formula di accumulo del sapere acquisito, ed una premessa di rendicontazione precede la lettura reticolare conclusiva.</w:t>
      </w:r>
    </w:p>
    <w:p>
      <w:pPr>
        <w:pStyle w:val="Heading3"/>
        <w:spacing w:after="80" w:before="160"/>
      </w:pPr>
      <w:r>
        <w:rPr>
          <w:rFonts w:ascii="Barlow Semi Condensed" w:cs="Barlow Semi Condensed" w:eastAsia="Barlow Semi Condensed" w:hAnsi="Barlow Semi Condensed"/>
          <w:sz w:val="24"/>
          <w:szCs w:val="24"/>
        </w:rPr>
        <w:t xml:space="preserve">Capitolo 1 — ▶ Giovanni De Lorenzo. La prima deviazione: il SIFAR, le schedature e il Piano Solo</w:t>
      </w:r>
    </w:p>
    <w:p>
      <w:pPr>
        <w:spacing w:after="120" w:line="276"/>
        <w:jc w:val="both"/>
      </w:pPr>
      <w:r>
        <w:rPr>
          <w:rFonts w:ascii="Barlow Semi Condensed" w:cs="Barlow Semi Condensed" w:eastAsia="Barlow Semi Condensed" w:hAnsi="Barlow Semi Condensed"/>
          <w:sz w:val="24"/>
          <w:szCs w:val="24"/>
        </w:rPr>
        <w:t xml:space="preserve">Giovanni De Lorenzo, nato a Vizzini il 29 dicembre 1907 e morto a Roma il 25 aprile 1973, generale dell'Arma dei carabinieri, apre la Fase 2 perché il suo nodo certifica il primo grande episodio di deviazione degli apparati di sicurezza della Repubblica: la trasformazione del servizio informativo militare da strumento di difesa in strumento di schedatura politica di massa, e la predisposizione, nell'estate del 1964, di un piano di enucleazione di persone che gli atti parlamentari qualificarono come grave deviazione dai fini istituzionali. La scansione del corpus registra il servizio da lui diretto, il SIFAR, 951 volte in 45 documenti, e la vicenda del Piano Solo attraversa gli atti di 4 commissioni d'inchiesta succedutesi in oltre 35 anni, dalla Commissione amministrativa Beolchini del 1966 alla Commissione stragi della XIII legislatura del 2000. Se la Fase 1 ha ricostruito il potere occulto che si annida negli interstizi tra i domini, la Fase 2 comincia dal punto in cui è lo Stato stesso, nella sua articolazione militare e informativa, a produrre la propria zona d'ombra.</w:t>
      </w:r>
    </w:p>
    <w:p>
      <w:pPr>
        <w:spacing w:after="120" w:line="276"/>
        <w:jc w:val="both"/>
      </w:pPr>
      <w:r>
        <w:rPr>
          <w:rFonts w:ascii="Barlow Semi Condensed" w:cs="Barlow Semi Condensed" w:eastAsia="Barlow Semi Condensed" w:hAnsi="Barlow Semi Condensed"/>
          <w:sz w:val="24"/>
          <w:szCs w:val="24"/>
        </w:rPr>
        <w:t xml:space="preserve">La biografia di De Lorenzo segue un cursus honorum che è esso stesso un reperto strutturale, giacché concentra in un solo uomo, in successione, il vertice di 3 apparati che il registro tiene distinti quali Domini 3 e 9. Capo del SIFAR, il Servizio informazioni forze armate, dal 1955 al 1962; comandante generale dell'Arma dei carabinieri dal 1962 al 1966, con il mantenimento di fatto del controllo sul servizio attraverso uomini di sua fiducia; capo di stato maggiore dell'esercito dal 1966; e infine, dopo il collocamento a riposo, deputato, eletto dapprima nel Partito democratico italiano di unità monarchica e successivamente nel Movimento sociale italiano. La traiettoria disegna il Pattern 7 del registro, l'analisi delle migrazioni inter-dominio, nella sua forma più pura: un ufficiale che percorre l'intero apparato di sicurezza dello Stato e ne esce per collocarsi nel Dominio 2, portando nel sistema politico il capitale relazionale e informativo accumulato negli apparati. Il registro certifica al Livello A, sul fondamento degli atti ufficiali, questa concentrazione di cariche, e ne trae la prima annotazione di metodo: la deviazione degli apparati non richiede una struttura esterna ad essi, ma può prodursi per accumulo di potere entro le cariche legali, quando un solo nodo cumula funzioni che il disegno costituzionale vorrebbe separate.</w:t>
      </w:r>
    </w:p>
    <w:p>
      <w:pPr>
        <w:spacing w:after="120" w:line="276"/>
        <w:jc w:val="both"/>
      </w:pPr>
      <w:r>
        <w:rPr>
          <w:rFonts w:ascii="Barlow Semi Condensed" w:cs="Barlow Semi Condensed" w:eastAsia="Barlow Semi Condensed" w:hAnsi="Barlow Semi Condensed"/>
          <w:sz w:val="24"/>
          <w:szCs w:val="24"/>
        </w:rPr>
        <w:t xml:space="preserve">Il primo pilastro probatorio è la schedatura di massa. Sotto la direzione di De Lorenzo, il SIFAR costituì un imponente apparato di raccolta informativa su cittadini estranei a ogni competenza istituzionale del servizio: politici, sindacalisti, magistrati, ecclesiastici, imprenditori, giornalisti, schedati per orientamento politico, condotta privata, relazioni personali. La Commissione amministrativa d'inchiesta presieduta dal generale Aldo Beolchini, istituita nel 1966 dal ministro della difesa Roberto Tremelloni, accertò l'esistenza di un numero di fascicoli che le fonti collocano nell'ordine di 157.000 posizioni, molte delle quali raccolte, secondo le conclusioni della Commissione, esulando dalla competenza istituzionale del servizio e configurando una raccolta illegittima. Il registro certifica al Livello A, sul fondamento delle conclusioni della Commissione Beolchini recepite dagli atti parlamentari successivi, l'esistenza e l'illegittimità dell'apparato schedatorio, e ne trae il significato sistemico: le schedature non erano un accessorio, ma lo strumento di potere del nodo, giacché la disponibilità riservata di informazioni compromettenti su una vasta parte del ceto dirigente conferiva al capo del servizio una capacità di condizionamento che nessuna carica formale gli attribuiva. È la prima comparsa, nel registro, della risorsa che la Nota metodologica assegna al Dominio 3 quale suo monopolio, l'informazione segreta, colta nel suo uso deviato: non a fini di difesa, ma a fini di ricatto potenziale.</w:t>
      </w:r>
    </w:p>
    <w:p>
      <w:pPr>
        <w:spacing w:after="120" w:line="276"/>
        <w:jc w:val="both"/>
      </w:pPr>
      <w:r>
        <w:rPr>
          <w:rFonts w:ascii="Barlow Semi Condensed" w:cs="Barlow Semi Condensed" w:eastAsia="Barlow Semi Condensed" w:hAnsi="Barlow Semi Condensed"/>
          <w:sz w:val="24"/>
          <w:szCs w:val="24"/>
        </w:rPr>
        <w:t xml:space="preserve">Il secondo pilastro, e il più controverso, è il Piano Solo. Nella primavera e nell'estate del 1964, durante la lunga crisi del primo governo organico di centro-sinistra presieduto da Aldo Moro, insediatosi il 5 dicembre 1963, il comando generale dell'Arma dei carabinieri, sotto la direzione di De Lorenzo, predispose un piano di emergenza denominato Solo, così detto perché avrebbe impegnato la sola Arma dei carabinieri senza il concorso delle altre forze. Il piano prevedeva, in caso di attivazione, l'occupazione dei centri nevralgici del Paese, sedi della radiotelevisione, prefetture, centrali telefoniche, sedi dei partiti e dei giornali, e soprattutto l'enucleazione, ossia il prelevamento e la deportazione in una località isolata della Sardegna, di un elenco di persone ritenute pericolose, i cosiddetti enucleandi, da trarsi in prevalenza dalla rubrica E del SIFAR, la rubrica degli individui da enucleare in caso di emergenza. La vicenda esplose pubblicamente nel 1967 con l'inchiesta giornalistica del settimanale L'Espresso, che parlò apertamente di un progettato colpo di Stato, e diede luogo a un contenzioso giudiziario e a una commissione parlamentare d'inchiesta.</w:t>
      </w:r>
    </w:p>
    <w:p>
      <w:pPr>
        <w:spacing w:after="120" w:line="276"/>
        <w:jc w:val="both"/>
      </w:pPr>
      <w:r>
        <w:rPr>
          <w:rFonts w:ascii="Barlow Semi Condensed" w:cs="Barlow Semi Condensed" w:eastAsia="Barlow Semi Condensed" w:hAnsi="Barlow Semi Condensed"/>
          <w:sz w:val="24"/>
          <w:szCs w:val="24"/>
        </w:rPr>
        <w:t xml:space="preserve">La qualificazione di quei fatti impone la massima disciplina del metodo, perché su di essi si è consumata una controversia storiografica e politica mai composta. Il registro procede per gradi di certificazione distinti. Certifica al Livello A l'esistenza materiale del piano, la predisposizione delle liste di enucleandi collegate alla rubrica E del SIFAR e l'anomalia costituzionale di un piano che attribuiva all'Arma dei carabinieri compiti di ordine pubblico straordinario esorbitanti dalle sue competenze: questi fatti non sono mai stati seriamente contestati e risultano dagli atti delle commissioni. Certifica altresì al Livello A la conclusione della Commissione parlamentare d'inchiesta, istituita nel 1969, la cui relazione di maggioranza del 1970 qualificò il complesso delle attività del SIFAR sotto De Lorenzo come deviazione dai fini istituzionali, pur senza pervenire alla qualificazione di tentato colpo di Stato. Mantiene per converso rigorosamente al Livello C, quale ipotesi mai consacrata da alcun accertamento definitivo e anzi respinta dalla relazione di maggioranza, la tesi che il Piano Solo costituisse un colpo di Stato in senso proprio, attivato o sul punto di attivarsi su mandato o con l'avallo del presidente della Repubblica Antonio Segni. La distinzione è la sostanza stessa del caso: tra un piano di emergenza illegittimo nella sua concezione e nelle sue liste, che è certificato, e un golpe deliberato e mancato, che è ipotesi, corre l'intera differenza tra ciò che il registro afferma e ciò che si vieta di affermare. La circostanza, essa stessa certificata al Livello A dagli atti della Commissione stragi, che la lista degli enucleandi risulti dispersa e non più reperibile, dichiarata introvabile dal governo tanto nel 1990 quanto nel 1999, è annotata dal registro quale reperto negativo di prima classe: l'assenza del documento capitale è un dato, e appartiene alla tipologia dell'ostruzione documentale che l'opera ha codificato.</w:t>
      </w:r>
    </w:p>
    <w:p>
      <w:pPr>
        <w:spacing w:after="120" w:line="276"/>
        <w:jc w:val="both"/>
      </w:pPr>
      <w:r>
        <w:rPr>
          <w:rFonts w:ascii="Barlow Semi Condensed" w:cs="Barlow Semi Condensed" w:eastAsia="Barlow Semi Condensed" w:hAnsi="Barlow Semi Condensed"/>
          <w:sz w:val="24"/>
          <w:szCs w:val="24"/>
        </w:rPr>
        <w:t xml:space="preserve">Il terzo pilastro è la sequenza delle inchieste, che fa del caso SIFAR il prototipo del meccanismo di accertamento e insabbiamento che il registro ritroverà in tutta la fase. Alla Commissione amministrativa Beolchini del 1966 seguì la Commissione d'inchiesta presieduta dal generale Giorgio Manes, il vicecomandante dell'Arma che aveva raccolto elementi sulla vicenda e che morì nel 1969 in circostanze che alimentarono sospetti mai tramutati in accertamento, sicché il registro ne mantiene la morte quale evento non qualificato; quindi la Commissione parlamentare d'inchiesta del 1969-1971; e infine, a distanza di decenni, la riapertura documentale operata dalla Commissione stragi della XIII legislatura, i cui atti, presenti nel corpus, ricostruiscono la vicenda alla luce delle desecretazioni degli anni Novanta. Il registro trae da questa sequenza il pattern dell'ostruzione istituzionale post-factum, distinto dall'ostruzione preventiva e dalla distruzione di prove: un meccanismo per cui l'accertamento procede a ondate successive, ciascuna delle quali recupera un frammento e ne perde un altro, sicché la verità giudiziaria e storica resta permanentemente incompleta. La regolarità empirica che il registro ha documentato su scala comparativa, secondo cui nessun archivio di apparato di sicurezza si è mai aperto spontaneamente ma solo per effetto di scandali, contenziosi o iniziative legislative, trova nel caso SIFAR la sua prima conferma nazionale.</w:t>
      </w:r>
    </w:p>
    <w:p>
      <w:pPr>
        <w:spacing w:after="120" w:line="276"/>
        <w:jc w:val="both"/>
      </w:pPr>
      <w:r>
        <w:rPr>
          <w:rFonts w:ascii="Barlow Semi Condensed" w:cs="Barlow Semi Condensed" w:eastAsia="Barlow Semi Condensed" w:hAnsi="Barlow Semi Condensed"/>
          <w:sz w:val="24"/>
          <w:szCs w:val="24"/>
        </w:rPr>
        <w:t xml:space="preserve">Il quarto pilastro è il significato tecnico del sistema delle rubriche del SIFAR, che il registro assume a chiarimento della natura operativa della schedatura e a fondamento della sua qualificazione quale apparato di ricatto potenziale. Il servizio classificava le posizioni schedate in rubriche distinte per finalità: accanto alla rubrica delle persone potenzialmente pericolose e a quella degli individui già condannati o sospettati, la rubrica E raccoglieva i nominativi delle persone da enucleare, ossia da prelevare e allontanare in caso di attivazione di un piano di emergenza. La distinzione tra le rubriche non è un dettaglio archivistico, ma la chiave della qualificazione dell'apparato: la mera raccolta informativa su un individuo è una cosa, e la sua iscrizione in una lista operativa di persone da prelevare in caso di emergenza è cosa affatto diversa, giacché trasforma la scheda da strumento conoscitivo in strumento potenzialmente esecutivo. Il registro certifica al Livello A, sul fondamento degli atti delle commissioni, l'esistenza del sistema delle rubriche e della rubrica E quale rubrica delle persone da enucleare, e ne trae la qualificazione decisiva: il Piano Solo non era un piano astratto, ma un piano dotato del suo strumento operativo, la rubrica E, che ne costituiva la lista di attuazione; e la dispersione della lista degli enucleandi, dichiarata introvabile, priva l'accertamento precisamente del documento che avrebbe consentito di misurare l'ampiezza reale del disegno. Il registro annota altresì che la Commissione stragi, nei suoi lavori degli anni Novanta, rilevò la possibilità di ricostruire almeno parzialmente gli elenchi dispersi attraverso i fascicoli nei quali i nominativi sarebbero stati riversati dopo l'abolizione della rubrica nel 1968, e registrò che tale ricostruzione non risultava effettuata o comunicata: un ulteriore reperto di quella ostruzione istituzionale post-factum che il nodo De Lorenzo ha inaugurato quale pattern dell'intera fase.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De Lorenzo-SIFAR-rubrica E, è il triangolo interno al Dominio 3, che salda la carica alla struttura schedatoria e alle liste operative, certificato al Livello A dagli atti delle commissioni. La seconda, De Lorenzo-Arma dei carabinieri-Segni, è il triangolo dell'accoppiamento tra il Dominio 9 e il Dominio 2 nel momento della crisi del 1964, certificato al Livello A quanto ai contatti tra il generale e il vertice dello Stato durante la crisi di governo, e mantenuto al Livello C quanto alla natura golpista dell'iniziativa; il registro segnala che la stessa esistenza di quei contatti, in un frangente di crisi istituzionale, integra l'anomalia, indipendentemente dalla loro qualificazione. La terza, De Lorenzo-L'Espresso-Commissione parlamentare, è il triangolo dell'emersione pubblica, che documenta il ruolo del giornalismo d'inchiesta quale innesco dell'accertamento e prefigura l'arco tra il Dominio 8 e il Dominio 3 che la fase incontrerà ripetutamente.</w:t>
      </w:r>
    </w:p>
    <w:p>
      <w:pPr>
        <w:spacing w:after="120" w:line="276"/>
        <w:jc w:val="both"/>
      </w:pPr>
      <w:r>
        <w:rPr>
          <w:rFonts w:ascii="Barlow Semi Condensed" w:cs="Barlow Semi Condensed" w:eastAsia="Barlow Semi Condensed" w:hAnsi="Barlow Semi Condensed"/>
          <w:sz w:val="24"/>
          <w:szCs w:val="24"/>
        </w:rPr>
        <w:t xml:space="preserve">La contabilità della schedatura merita il dettaglio dei numeri, perché la deviazione si misura anzitutto in unità d'archivio. Gli accertamenti della Commissione Beolchini quantificarono in circa 157.000 i fascicoli costituiti dal servizio, una massa documentale che eccedeva di interi ordini di grandezza ogni plausibile perimetro di controspionaggio e che includeva dossier su parlamentari, ministri, prelati, sindacalisti, giornalisti ed uomini d'industria, corredati di annotazioni sulla vita privata e patrimoniale raccolte con metodi estranei ad ogni finalità istituzionale, Livello A quanto alle conclusioni della Commissione. La sorte di quell'archivio è essa stessa un reperto: dopo un decennio di custodia contesa, i fascicoli furono avviati alla distruzione nel 1974 per determinazione governativa, sotto il controllo di un'apposita commissione, sicché la Repubblica scelse di incenerire il corpo del reato per impedirne l'uso, sacrificando con ciò, per sempre, la possibilità di censirne analiticamente il contenuto, Livello A quanto alla distruzione. Il registro annota la duplicità del gesto senza scioglierla: la distruzione fu insieme profilassi contro il ricatto e amnistia dell'archivio, e le 2 letture, entrambe legittime, convivono da allora negli atti parlamentari come il primo esempio di quella ambivalenza istituzionale verso la propria memoria che il capitolo 9 della Fase 5 eleverà a regolarità empirica.</w:t>
      </w:r>
    </w:p>
    <w:p>
      <w:pPr>
        <w:spacing w:after="120" w:line="276"/>
        <w:jc w:val="both"/>
      </w:pPr>
      <w:r>
        <w:rPr>
          <w:rFonts w:ascii="Barlow Semi Condensed" w:cs="Barlow Semi Condensed" w:eastAsia="Barlow Semi Condensed" w:hAnsi="Barlow Semi Condensed"/>
          <w:sz w:val="24"/>
          <w:szCs w:val="24"/>
        </w:rPr>
        <w:t xml:space="preserve">Alla sequenza delle inchieste va aggiunto il canale che rese pubblico ciò che gli apparati avevano compartimentato: la stampa. Nel maggio 1967 il settimanale L'Espresso, con gli articoli di Lino Jannuzzi promossi dal direttore Eugenio Scalfari, rivelò al Paese l'esistenza del piano del 1964, costringendo le istituzioni ad uscire dal riserbo; De Lorenzo reagì querelando per diffamazione, ed il processo che ne seguì si concluse nel 1968 con la condanna dei giornalisti, i quali furono di lì a poco eletti in Parlamento, mentre il dibattimento aveva intanto prodotto l'effetto che nessuna sentenza poteva revocare, l'ingresso del Piano Solo nel discorso pubblico, Livello A sull'intera scansione. Il paradosso di un accertamento sostanziale veicolato da una condanna per diffamazione è la miglior introduzione al secondo tornante: la relazione della Commissione parlamentare d'inchiesta presieduta da Giuseppe Alessi, depositata nel 1971, che escluse a maggioranza la qualificazione golpista del piano riconoscendone le gravi irregolarità, accompagnata da relazioni di minoranza di segno opposto, Livello A quanto agli atti, con la conseguenza, che il registro assume quale dato permanente, di un evento certificato nei fatti e conteso nella qualificazione, secondo la medesima asimmetria che la Fase 1 ha incontrato nella P2. Chiude il quadro la parabola personale: la rimozione dal vertice dello stato maggiore dell'esercito nell'aprile 1967, all'esito degli accertamenti interni condotti dal generale Giorgio Manes, e la successiva elezione alla Camera nelle file monarchiche e poi missine, Livello A, che inaugura nel registro la figura, destinata a ripetersi, del generale della deviazione che transita dall'apparato al Parlamento: la migrazione inter-dominio del Pattern 7 nella sua variante più letterale, dall'archivio segreto all'immunità parlamentare.</w:t>
      </w:r>
    </w:p>
    <w:p>
      <w:pPr>
        <w:spacing w:after="120" w:line="276"/>
        <w:jc w:val="both"/>
      </w:pPr>
      <w:r>
        <w:rPr>
          <w:rFonts w:ascii="Barlow Semi Condensed" w:cs="Barlow Semi Condensed" w:eastAsia="Barlow Semi Condensed" w:hAnsi="Barlow Semi Condensed"/>
          <w:sz w:val="24"/>
          <w:szCs w:val="24"/>
        </w:rPr>
        <w:t xml:space="preserve">Il contesto politico dell'estate 1964 va infine restituito, perché il piano non abitò il vuoto ma una crisi di governo dalle scansioni note. Tra giugno e luglio, caduto il primo esecutivo organico di centro-sinistra ed apertasi la trattativa per la sua riedizione, il presidente della Repubblica Antonio Segni intrattenne con i vertici militari, De Lorenzo incluso, consultazioni la cui esistenza è documentata e la cui esatta portata resta contesa; nel medesimo torno di settimane maturarono le predisposizioni operative che gli accertamenti successivi avrebbero censito, e la trattativa politica si chiuse con un programma riformatore ridimensionato, prima che il capo dello Stato fosse colpito, in agosto, dal malore che ne avrebbe determinato le dimissioni, Livello A quanto alla cronologia istituzionale, Livello C quanto ad ogni nesso tra le predisposizioni militari e l'esito della trattativa, nesso che nessun accertamento ha consacrato. Alla stagione appartiene la formula con cui Pietro Nenni, protagonista della trattativa, avrebbe poi nominato quel clima, il rumore di sciabole avvertito nell'estate: espressione memorialistica che il registro cita quale reperto lessicale d'epoca, non quale accertamento, Livello B quanto alla testimonianza. La storiografia prevalente ha consegnato del piano la lettura del deterrente, un apparato predisposto non per essere eseguito ma per pesare, con la sua sola esistenza conoscibile ai pochi, sul tavolo della mediazione politica: lettura che il registro censisce quale ipotesi storiografica dominante, coerente con la qualificazione non golpista della Commissione Alessi e tuttavia non riducibile ad essa, Livello B, e che consegna al Pattern 8 un teorema destinato a lunga fortuna nella fase, l'apparato che condiziona non agendo ma potendo agire, la deviazione come potenzialità esibita.</w:t>
      </w:r>
    </w:p>
    <w:p>
      <w:pPr>
        <w:spacing w:after="120" w:line="276"/>
        <w:jc w:val="both"/>
      </w:pPr>
      <w:r>
        <w:rPr>
          <w:rFonts w:ascii="Barlow Semi Condensed" w:cs="Barlow Semi Condensed" w:eastAsia="Barlow Semi Condensed" w:hAnsi="Barlow Semi Condensed"/>
          <w:sz w:val="24"/>
          <w:szCs w:val="24"/>
        </w:rPr>
        <w:t xml:space="preserve">Alla contabilità delle rubriche appartiene infine il documento operativo che distingue il piano da ogni ordinaria pianificazione di ordine pubblico: le liste degli enucleandi. Gli accertamenti parlamentari censirono l'esistenza di elenchi, per un totale di oltre 700 nominativi, di dirigenti politici, sindacali e giornalistici da prelevare e trasferire, nella fase esecutiva, presso strutture riservate extraterritoriali rispetto ai circuiti ordinari di polizia giudiziaria, in Sardegna, secondo una procedura che non prevedeva né provvedimento dell'autorità giudiziaria né alcuna base normativa conoscibile, Livello A quanto all'esistenza delle liste ed alla meccanica del prelevamento quale risulta dagli atti, Livello B quanto alle quantificazioni di dettaglio, non uniformi nelle fonti. È questo, e non la generica raccolta informativa, il reperto che qualifica: la schedatura osserva, la lista di enucleazione predispone, ed il passaggio dall'una all'altra è il passaggio dal codice dell'informazione al codice dell'azione, che nessuna finalità difensiva dichiarata poteva coprire. Un poscritto tragico appartiene alla storia dell'accertamento: il generale Giorgio Manes, l'ufficiale che con la propria inchiesta interna aveva reso possibile la ricostruzione dei fatti, morì stroncato da un malore il 24 giugno 1969, nell'aula stessa in cui si accingeva a deporre dinanzi alla Commissione parlamentare, Livello A quanto al fatto, di natura accertata quale evento naturale, che il registro riporta senza alcuna suggestione aggiuntiva e con la sola annotazione che gli compete: la conoscenza di quella stagione giunse al Parlamento orfana del suo testimone più qualificato, e la storia dell'accertamento è anche, sempre, la storia dei suoi vuoti accidentali.</w:t>
      </w:r>
    </w:p>
    <w:p>
      <w:pPr>
        <w:spacing w:after="120" w:line="276"/>
        <w:jc w:val="both"/>
      </w:pPr>
      <w:r>
        <w:rPr>
          <w:rFonts w:ascii="Barlow Semi Condensed" w:cs="Barlow Semi Condensed" w:eastAsia="Barlow Semi Condensed" w:hAnsi="Barlow Semi Condensed"/>
          <w:sz w:val="24"/>
          <w:szCs w:val="24"/>
        </w:rPr>
        <w:t xml:space="preserve">L'estate del 1964 ebbe infine il suo epilogo fisico, che il registro censisce quale chiusura documentale della finestra: il 7 agosto 1964, nel proprio studio al Quirinale, durante un colloquio teso con il presidente del Consiglio Moro ed il ministro degli esteri Saragat sulla crisi in corso, il presidente Segni fu colpito da un grave malore cerebrale che ne compromise irreversibilmente le funzioni, conducendolo alle dimissioni del dicembre successivo, Livello A quanto ai fatti ed alle date. Il registro si attiene alla propria disciplina e non converte la coincidenza in causa: il collasso di un uomo provato non è un reperto sul contenuto dei colloqui, e nessun accertamento ha mai stabilito nessi che il registro possa certificare. Ma la cronologia oggettiva resta, ed appartiene alla contabilità della finestra: il presidente della Repubblica attorno al quale la stagione dei piani si era addensata uscì di scena, fisicamente, nel cuore dell'estate in cui la stagione si consumava, e la successione che ne seguì chiuse l'equazione politica del biennio. Con il dicembre 1964 la finestra critica inaugurale dell'opera si sigilla così su tutti i piani insieme, il militare, il politico e il biografico, e la Repubblica archivia il suo primo allarme senza processo, senza relazione approvata all'unanimità e senza più il protagonista istituzionale che avrebbe potuto, solo, raccontarne la versione mancante.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De Lorenzo è certificato al Livello A quale prima deviazione documentata degli apparati di sicurezza repubblicani, sul fondamento delle conclusioni della Commissione Beolchini sulle schedature illegittime del SIFAR e della relazione parlamentare del 1970 che qualificò le attività del servizio quale deviazione dai fini istituzionali; l'esistenza materiale del Piano Solo e delle liste di enucleandi è certificata al Livello A, mentre la sua qualificazione quale tentato colpo di Stato resta al Livello C, quale ipotesi non consacrata e anzi respinta dalla relazione di maggioranza; la dispersione della lista degli enucleandi è recepita quale reperto di ostruzione documentale di prima classe.</w:t>
      </w:r>
    </w:p>
    <w:p>
      <w:pPr>
        <w:pStyle w:val="Heading3"/>
        <w:spacing w:after="80" w:before="160"/>
      </w:pPr>
      <w:r>
        <w:rPr>
          <w:rFonts w:ascii="Barlow Semi Condensed" w:cs="Barlow Semi Condensed" w:eastAsia="Barlow Semi Condensed" w:hAnsi="Barlow Semi Condensed"/>
          <w:sz w:val="24"/>
          <w:szCs w:val="24"/>
        </w:rPr>
        <w:t xml:space="preserve">Capitolo 2 — ▶ Vito Miceli. Il direttore del servizio e l'accusa di cospirazione</w:t>
      </w:r>
    </w:p>
    <w:p>
      <w:pPr>
        <w:spacing w:after="120" w:line="276"/>
        <w:jc w:val="both"/>
      </w:pPr>
      <w:r>
        <w:rPr>
          <w:rFonts w:ascii="Barlow Semi Condensed" w:cs="Barlow Semi Condensed" w:eastAsia="Barlow Semi Condensed" w:hAnsi="Barlow Semi Condensed"/>
          <w:sz w:val="24"/>
          <w:szCs w:val="24"/>
        </w:rPr>
        <w:t xml:space="preserve">Vito Miceli, nato a Trapani il 30 gennaio 1916 e morto a Roma il 24 novembre 1990, generale, direttore del Servizio informazioni difesa dal 1970 al 1974, è il nodo attraverso il quale il registro certifica un fatto che nessuna vulgata potrebbe rendere più eloquente della sua nuda realtà giudiziaria: il direttore in carica del servizio segreto militare della Repubblica fu arrestato e processato per cospirazione politica mediante associazione, nel quadro delle inchieste sull'eversione di destra dei primi anni Settanta. La scansione del corpus registra il servizio da lui diretto, il SID, 1.658 volte in 100 documenti, la più alta frequenza documentale dell'intero Dominio 3, e il nome di Miceli 475 volte in 25 documenti. Il nodo salda 3 domini in una sola biografia: il Dominio 3 quale direttore del servizio, il Dominio 7 quale imputato di cospirazione eversiva, il Dominio 4 quale iscritto alla loggia P2, e proietta verso il Dominio 2 attraverso il successivo mandato parlamentare.</w:t>
      </w:r>
    </w:p>
    <w:p>
      <w:pPr>
        <w:spacing w:after="120" w:line="276"/>
        <w:jc w:val="both"/>
      </w:pPr>
      <w:r>
        <w:rPr>
          <w:rFonts w:ascii="Barlow Semi Condensed" w:cs="Barlow Semi Condensed" w:eastAsia="Barlow Semi Condensed" w:hAnsi="Barlow Semi Condensed"/>
          <w:sz w:val="24"/>
          <w:szCs w:val="24"/>
        </w:rPr>
        <w:t xml:space="preserve">La biografia istituzionale colloca Miceli al vertice del SID nel quadriennio cruciale che va dalla strage di Piazza Fontana del dicembre 1969 alla stagione dei tentativi eversivi. Nominato direttore del SID nell'ottobre del 1970, Miceli resse il servizio nel periodo in cui in esso si consumarono, secondo i successivi accertamenti giudiziari, i depistaggi delle indagini sulle stragi e i contatti ambigui con gli ambienti dell'eversione nera, materia che la Fase 3 tratterà nel suo contesto e che qui rileva quale sfondo della vicenda personale del direttore. Il registro certifica al Livello A, sul fondamento degli atti ufficiali, la carica e la sua durata, e annota il dato strutturale: Miceli diresse il SID negli stessi mesi in cui Junio Valerio Borghese predisponeva il tentativo eversivo del dicembre 1970, di cui il capitolo 6 dirà, e in cui prendeva forma l'organizzazione denominata Rosa dei Venti; ed è precisamente all'intersezione tra il servizio e questi ambienti che si collocò l'accusa che ne travolse la carriera.</w:t>
      </w:r>
    </w:p>
    <w:p>
      <w:pPr>
        <w:spacing w:after="120" w:line="276"/>
        <w:jc w:val="both"/>
      </w:pPr>
      <w:r>
        <w:rPr>
          <w:rFonts w:ascii="Barlow Semi Condensed" w:cs="Barlow Semi Condensed" w:eastAsia="Barlow Semi Condensed" w:hAnsi="Barlow Semi Condensed"/>
          <w:sz w:val="24"/>
          <w:szCs w:val="24"/>
        </w:rPr>
        <w:t xml:space="preserve">Il primo pilastro probatorio è l'arresto e l'imputazione. Il 31 ottobre 1974 Vito Miceli, all'epoca già sostituito alla direzione del SID, fu arrestato su ordine del giudice istruttore di Padova Giovanni Tamburino, nel quadro dell'inchiesta sull'organizzazione Rosa dei Venti, una struttura clandestina a carattere eversivo emersa dalle indagini sul tentativo golpista Borghese e sui suoi sviluppi. L'accusa era di cospirazione politica mediante associazione: al direttore del servizio segreto si contestava di aver promosso o diretto, o quantomeno favorito e coperto, un'associazione volta a sovvertire con mezzi illegali gli assetti costituzionali. Il registro certifica al Livello A, quale fatto giudiziario incontrovertibile risultante dagli atti, l'arresto del direttore del SID e l'imputazione di cospirazione: che il capo del servizio informativo militare sia stato privato della libertà personale e sottoposto a procedimento per un reato contro la personalità dello Stato è, di per sé, il reperto capitale del nodo, indipendentemente dall'esito, giacché documenta al massimo grado la porosità del confine tra il Dominio 3 e il Dominio 7 in quella stagione.</w:t>
      </w:r>
    </w:p>
    <w:p>
      <w:pPr>
        <w:spacing w:after="120" w:line="276"/>
        <w:jc w:val="both"/>
      </w:pPr>
      <w:r>
        <w:rPr>
          <w:rFonts w:ascii="Barlow Semi Condensed" w:cs="Barlow Semi Condensed" w:eastAsia="Barlow Semi Condensed" w:hAnsi="Barlow Semi Condensed"/>
          <w:sz w:val="24"/>
          <w:szCs w:val="24"/>
        </w:rPr>
        <w:t xml:space="preserve">Il secondo pilastro esige, in ossequio alla regola del registro, il riporto per esteso dell'esito. Il procedimento a carico di Miceli per la vicenda della Rosa dei Venti e per i fatti connessi si concluse con l'assoluzione dell'imputato dall'accusa di cospirazione; Miceli non fu condannato per i reati eversivi contestatigli, e la sua posizione, come quella di altri imputati di quel filone, si chiuse senza affermazione di responsabilità penale per il delitto associativo. Il registro certifica dunque al Livello A tanto l'arresto e l'imputazione quanto l'assoluzione, e ne trae la conseguenza metodologica rigorosa: il nodo Miceli documenta al Livello A il fatto storico di un direttore di servizio processato per eversione, ma non consente di certificare, in forza dell'assoluzione, la partecipazione del medesimo a un disegno eversivo. La distinzione tra il fatto del processo, che è certificato, e la fondatezza dell'accusa, che il giudicato ha negato, è la sostanza del caso e la misura della disciplina che il registro si impone anche quando l'imputato è il capo di un apparato deviato.</w:t>
      </w:r>
    </w:p>
    <w:p>
      <w:pPr>
        <w:spacing w:after="120" w:line="276"/>
        <w:jc w:val="both"/>
      </w:pPr>
      <w:r>
        <w:rPr>
          <w:rFonts w:ascii="Barlow Semi Condensed" w:cs="Barlow Semi Condensed" w:eastAsia="Barlow Semi Condensed" w:hAnsi="Barlow Semi Condensed"/>
          <w:sz w:val="24"/>
          <w:szCs w:val="24"/>
        </w:rPr>
        <w:t xml:space="preserve">Il terzo pilastro è l'appartenenza alla loggia P2, che salda il nodo al quadrilatero della Fase 1. Vito Miceli figura tra gli iscritti alla loggia Propaganda 2 di Licio Gelli, e la sua affiliazione, unitamente a quella dei direttori dei servizi che gli succedettero e che il capitolo 10 tratterà, integra l'arco tra il Dominio 3 e il Dominio 4 che la Fase 1 aveva certificato dal lato di Gelli e che qui si certifica dal lato dell'apparato. Il registro assume l'affiliazione al Livello A, sul fondamento delle liste sequestrate a Castiglion Fibocchi il 17 marzo 1981 e degli accertamenti della Commissione Anselmi, e ne trae il significato sistemico: la presenza del direttore del servizio militare in una loggia coperta, il cui Venerabile Maestro intratteneva i rapporti che la Fase 1 ha documentato, è la traccia materiale dell'accoppiamento strutturale tra il Dominio 3 e il Dominio 4, e conferma che la deviazione degli apparati non fu solo torsione funzionale verso l'eversione, ma anche cattura relazionale da parte di una struttura riservata trasversale ai domini.</w:t>
      </w:r>
    </w:p>
    <w:p>
      <w:pPr>
        <w:spacing w:after="120" w:line="276"/>
        <w:jc w:val="both"/>
      </w:pPr>
      <w:r>
        <w:rPr>
          <w:rFonts w:ascii="Barlow Semi Condensed" w:cs="Barlow Semi Condensed" w:eastAsia="Barlow Semi Condensed" w:hAnsi="Barlow Semi Condensed"/>
          <w:sz w:val="24"/>
          <w:szCs w:val="24"/>
        </w:rPr>
        <w:t xml:space="preserve">Il quarto pilastro è la migrazione politica. Dopo la vicenda giudiziaria, Miceli fu eletto deputato nel Movimento sociale italiano, sedendo alla Camera a partire dalla legislatura inaugurata nel 1976. Il nodo disegna così, come quello di De Lorenzo, il Pattern 7 delle migrazioni inter-dominio: dal vertice del Dominio 3, attraverso l'imputazione nel Dominio 7, al Dominio 2 per via elettorale. Il registro certifica al Livello A la carica parlamentare e annota la regolarità che i primi 2 nodi della fase già delineano: il passaggio di ufficiali di vertice degli apparati di sicurezza alla rappresentanza politica dell'area nazionale costituisce un corridoio strutturale tra i Domini 3, 9 e 2, ripetutamente percorso, che il Pattern 7 identifica quale meccanismo non casuale di ricollocazione del personale degli apparati.</w:t>
      </w:r>
    </w:p>
    <w:p>
      <w:pPr>
        <w:spacing w:after="120" w:line="276"/>
        <w:jc w:val="both"/>
      </w:pPr>
      <w:r>
        <w:rPr>
          <w:rFonts w:ascii="Barlow Semi Condensed" w:cs="Barlow Semi Condensed" w:eastAsia="Barlow Semi Condensed" w:hAnsi="Barlow Semi Condensed"/>
          <w:sz w:val="24"/>
          <w:szCs w:val="24"/>
        </w:rPr>
        <w:t xml:space="preserve">Il quinto pilastro è la natura dell'organizzazione Rosa dei Venti e il significato dell'inchiesta di Padova, che il registro assume quale reperto della porosità sistemica tra apparati ed eversione. L'organizzazione denominata Rosa dei Venti emerse dalle indagini condotte dal giudice istruttore di Padova Giovanni Tamburino a partire dalle propaggini del tentativo golpista del dicembre 1970, e si configurò, nella ricostruzione dell'inquirente, quale struttura clandestina a carattere eversivo che avrebbe collegato ambienti dell'eversione nera, settori delle forze armate e apparati informativi in un disegno di condizionamento autoritario dell'ordine costituzionale. L'inchiesta di Padova ebbe una portata dirompente perché, muovendo dal basso, dai singoli episodi eversivi, risalì fino al vertice del servizio segreto militare, giungendo all'arresto del suo direttore; e perché sollevò, per la prima volta in sede giudiziaria, la questione dei rapporti tra la struttura informativa dello Stato e gli ambienti eversivi che essa avrebbe dovuto sorvegliare. Il registro certifica al Livello A l'esistenza dell'inchiesta di Padova, la sua estensione dal livello degli esecutori a quello del vertice del servizio, e l'arresto del direttore che ne conseguì; e mantiene al Livello C, in forza del successivo esito assolutorio, la qualificazione della Rosa dei Venti quale struttura eversiva compiutamente organizzata e diretta dagli apparati. La distinzione è, ancora una volta, tra il fatto certificato dell'inchiesta e dei suoi esiti processuali, e l'ipotesi non consacrata della natura e della direzione dell'organizzazione. Il registro annota il significato sistemico dell'episodio: l'inchiesta di Padova documenta al Livello A che la magistratura, negli anni Settanta, giunse a ipotizzare e a perseguire un collegamento tra il vertice del servizio militare e l'eversione, e che tale ipotesi, pur non consacrata da condanna, aprì una crisi istituzionale che condusse alla rimozione e all'arresto del direttore; è il primo caso, nel registro, in cui il Dominio 10 della magistratura si accoppia al Dominio 3 nella forma dell'azione penale contro il vertice dell'apparato, prefigurando la dialettica tra magistratura e servizi che le fasi successive incontreranno.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Miceli-SID-Rosa dei Venti, è il triangolo dell'accusa, che salda il vertice del servizio all'organizzazione eversiva secondo l'ipotesi del giudice istruttore di Padova; esso è certificato al Livello A quanto all'esistenza del procedimento e dei contatti che vi emersero, e mantenuto al Livello C quanto alla partecipazione di Miceli al disegno eversivo, in forza dell'assoluzione. La seconda, Miceli-Gelli-P2, è il triangolo della cattura relazionale, certificato al Livello A dall'affiliazione documentata. La terza, Miceli-MSI-rappresentanza politica, è il triangolo della migrazione, certificato al Livello A dal mandato parlamentare. Sul piano dei pattern, il nodo attiva, oltre al Pattern 7, il Pattern 5 dei buchi strutturali, giacché la posizione del direttore del servizio, collocato all'incrocio tra l'apparato militare, la struttura eversiva e la loggia coperta, è una posizione di intermediazione la cui rimozione, avvenuta con l'arresto, aprì una discontinuità nel controllo del servizio che i successivi assetti dovettero ricomporre.</w:t>
      </w:r>
    </w:p>
    <w:p>
      <w:pPr>
        <w:spacing w:after="120" w:line="276"/>
        <w:jc w:val="both"/>
      </w:pPr>
      <w:r>
        <w:rPr>
          <w:rFonts w:ascii="Barlow Semi Condensed" w:cs="Barlow Semi Condensed" w:eastAsia="Barlow Semi Condensed" w:hAnsi="Barlow Semi Condensed"/>
          <w:sz w:val="24"/>
          <w:szCs w:val="24"/>
        </w:rPr>
        <w:t xml:space="preserve">Il contesto istruttorio dell'arresto va restituito nella sua architettura, perché la vicenda Miceli fu anche un conflitto tra giurisdizioni e tra letture del medesimo materiale. L'istruttoria padovana del giudice Giovanni Tamburino, muovendo dall'inchiesta sulla Rosa dei Venti, elaborò l'ipotesi di un organismo occulto operante entro il servizio e parallelo alla sua struttura ufficiale, un servizio nel servizio destinato a funzioni di condizionamento interno; l'istruttoria fu successivamente trasferita alla capitale per ragioni di competenza, e nella sede romana l'ipotesi organizzatoria si stemperò sino agli esiti assolutori che il capitolo ha riportato, Livello A quanto alla scansione processuale, Livello C quanto all'ipotesi dell'organismo parallelo, mai consacrata da giudicato. Il registro censisce il trasferimento di competenza quale reperto esso stesso: nella storia degli accertamenti sugli apparati, lo spostamento della sede giudiziaria si ripresenterà con regolarità statistica sospetta, da Milano a Catanzaro per Piazza Fontana come da Padova a Roma per la Rosa dei Venti, e l'analisi delle finestre critiche del Pattern 3 dovrà annotare che il foro romano fu, per gli imputati degli apparati, sistematicamente più mite dei fori di provenienza: correlazione certificabile, causa non certificata, secondo la disciplina che la Regola Ferrea impone.</w:t>
      </w:r>
    </w:p>
    <w:p>
      <w:pPr>
        <w:spacing w:after="120" w:line="276"/>
        <w:jc w:val="both"/>
      </w:pPr>
      <w:r>
        <w:rPr>
          <w:rFonts w:ascii="Barlow Semi Condensed" w:cs="Barlow Semi Condensed" w:eastAsia="Barlow Semi Condensed" w:hAnsi="Barlow Semi Condensed"/>
          <w:sz w:val="24"/>
          <w:szCs w:val="24"/>
        </w:rPr>
        <w:t xml:space="preserve">Un secondo reperto documentale appartiene alla stagione di Miceli ed illumina la natura promiscua della raccolta informativa d'apparato: il fascicolo Mi.Fo.Biali. Sotto tale criptonimo il servizio condusse a metà degli anni 70 un'attività di intercettazione su ambienti collocati all'incrocio tra vertici della Guardia di Finanza, traffici petroliferi e relazioni con la Libia, producendo un dossier che non approdò ad alcun procedimento e che rifluì invece, per canali mai integralmente chiariti, nella disponibilità di ambienti giornalistici e riservati, sino a riaffiorare nelle carte dell'agenzia OP di Carmine Pecorelli, Livello B quanto alla genesi ed al percorso del fascicolo, secondo le ricostruzioni parlamentari. Il registro ne trae la certificazione di un meccanismo più che di un contenuto: l'informazione raccolta dall'apparato per finalità dichiarate di sicurezza poteva mutare destinazione e divenire merce, arma negoziale o materiale di ricatto nel mercato riservato delle notizie, e questo scivolamento funzionale, documentato qui per la prima volta nella fase, è la premessa tecnica di tutto ciò che il capitolo 8 della Fase 4 dirà sul giornalismo delle veline e sul suo prezzo di sangue.</w:t>
      </w:r>
    </w:p>
    <w:p>
      <w:pPr>
        <w:spacing w:after="120" w:line="276"/>
        <w:jc w:val="both"/>
      </w:pPr>
      <w:r>
        <w:rPr>
          <w:rFonts w:ascii="Barlow Semi Condensed" w:cs="Barlow Semi Condensed" w:eastAsia="Barlow Semi Condensed" w:hAnsi="Barlow Semi Condensed"/>
          <w:sz w:val="24"/>
          <w:szCs w:val="24"/>
        </w:rPr>
        <w:t xml:space="preserve">Il ciclo apertosi con l'arresto del direttore si chiuse, sul piano sistemico, con la riforma che ridisegnò l'intera architettura informativa, e la scansione merita registrazione perché costituisce l'unico esito legislativo dell'intera stagione delle deviazioni. La legge 24 ottobre 1977 numero 801 soppresse il SID e ripartì le funzioni tra 2 organismi, il SISMI per la sicurezza militare ed il SISDE per quella democratica, coordinati dal comitato esecutivo CESIS presso la Presidenza del Consiglio, ed istituì per la prima volta un organo parlamentare di controllo, il Comitato per i servizi di informazione e sicurezza, insieme alla disciplina legislativa del segreto di Stato con l'esclusione espressa della sua opponibilità per i fatti eversivi dell'ordine costituzionale, Livello A quanto all'impianto normativo. Il registro annota la genealogia: la riforma nacque dichiaratamente dalla stagione dei processi agli apparati, e la clausola sull'ineccepibilità del segreto per i fatti eversivi porta impressa, in negativo, la memoria dei dinieghi opposti ai giudici istruttori del quinquennio precedente. Che poi la nuova architettura sia stata catturata, a men di 4 anni dalla sua entrata in funzione, dalla loggia che il capitolo 10 documenta, non abroga il valore del reperto ma lo raddoppia: la fase consegna così alle successive la coppia concettuale che governa l'intera materia, la riforma quale risposta dell'ordinamento e la cattura quale risposta alla risposta, il legislatore che chiude la porta e la rete che entra dalla finestra delle nomine.</w:t>
      </w:r>
    </w:p>
    <w:p>
      <w:pPr>
        <w:spacing w:after="120" w:line="276"/>
        <w:jc w:val="both"/>
      </w:pPr>
      <w:r>
        <w:rPr>
          <w:rFonts w:ascii="Barlow Semi Condensed" w:cs="Barlow Semi Condensed" w:eastAsia="Barlow Semi Condensed" w:hAnsi="Barlow Semi Condensed"/>
          <w:sz w:val="24"/>
          <w:szCs w:val="24"/>
        </w:rPr>
        <w:t xml:space="preserve">Quanto all'organizzazione che diede nome all'inchiesta, la Rosa dei Venti, gli accertamenti padovani ne censirono la natura di struttura clandestina a composizione mista, civile e militare, con proiezioni in più regioni del nord ed un lessico interno di legittimazione atlantica; tra gli arrestati figurò il colonnello Amos Spiazzi, ufficiale in servizio, la cui linea difensiva, l'appartenenza ad un'organizzazione di sicurezza interna legittima e nota alle gerarchie, introdusse nel dibattimento il tema, allora inverificabile, delle strutture parallele autorizzate, Livello A quanto agli arresti ed alla linea difensiva quale fatto processuale, Livello C quanto al suo contenuto di verità, che soltanto la rivelazione del 1990 avrebbe reso retrospettivamente plausibile senza mai riscontrarlo nel caso specifico. Gli esiti giudiziari del filone, in larga parte assolutori o di proscioglimento, completano la statistica della fase, Livello A, e consegnano al registro l'ennesima occorrenza della sua figura ricorrente: l'organizzazione materialmente esistita ed il reato giudizialmente inesistente, la forbice entro la quale abita, irrisolta per costruzione, l'intera contabilità della deviazione.</w:t>
      </w:r>
    </w:p>
    <w:p>
      <w:pPr>
        <w:spacing w:after="120" w:line="276"/>
        <w:jc w:val="both"/>
      </w:pPr>
      <w:r>
        <w:rPr>
          <w:rFonts w:ascii="Barlow Semi Condensed" w:cs="Barlow Semi Condensed" w:eastAsia="Barlow Semi Condensed" w:hAnsi="Barlow Semi Condensed"/>
          <w:sz w:val="24"/>
          <w:szCs w:val="24"/>
        </w:rPr>
        <w:t xml:space="preserve">Il nucleo tecnico dell'accusa romana merita infine di essere isolato, perché in esso sta la sostanza istituzionale del caso al di là della sorte processuale. A Miceli fu contestato, in radice, di aver disposto delle informazioni raccolte dal servizio sul tentativo del dicembre 1970 senza trasmetterle tempestivamente ed integralmente all'autorità politica ed a quella giudiziaria, trattenendo la conoscenza quale risorsa propria dell'apparato: accusa dalla quale fu assolto con la formula che il capitolo ha riportato, ma il cui oggetto, la ritenzione della notizia quale forma di potere, resta il paradigma concettuale che l'intera fase ha poi ritrovato in ogni sua stazione, Livello A quanto al contenuto della contestazione ed all'esito. Al dibattimento romano appartiene inoltre un reperto scenico che il registro censisce quale dato e non quale aneddoto: il confronto pubblico tra Miceli e Maletti, i 2 vertici del medesimo servizio che si accusarono reciprocamente in aula, ciascuno attribuendo all'altro la gestione anomala delle informative, Livello A quanto al contrasto processualmente documentato. La scena vale una radiografia: il servizio della prima metà degli anni 70 non fu un monolite deviato ma un campo di fazioni in guerra, ciascuna con il proprio archivio, i propri canali politici ed i propri protettori, e la deviazione, lungi dall'essere il progetto coerente di un centro unico, fu anche il sottoprodotto entropico di quella competizione interna per il controllo della risorsa informativa: lettura, questa, che gli atti autorizzano e che ridimensiona, senza cancellarla, ogni ipotesi di regia unitaria.</w:t>
      </w:r>
    </w:p>
    <w:p>
      <w:pPr>
        <w:spacing w:after="120" w:line="276"/>
        <w:jc w:val="both"/>
      </w:pPr>
      <w:r>
        <w:rPr>
          <w:rFonts w:ascii="Barlow Semi Condensed" w:cs="Barlow Semi Condensed" w:eastAsia="Barlow Semi Condensed" w:hAnsi="Barlow Semi Condensed"/>
          <w:sz w:val="24"/>
          <w:szCs w:val="24"/>
        </w:rPr>
        <w:t xml:space="preserve">Alla parabola del direttore va premessa la genealogia del vertice, che colloca la nomina nella sua sequenza istituzionale: il servizio riformato dopo lo scandalo dei fascicoli era stato retto dall'ammiraglio Eugenio Henke, il traghettatore che tra il 1966 ed il 1970 accompagnò la trasformazione del SIFAR in SID amministrando la stagione delle epurazioni parziali censite nel capitolo precedente, e fu il passaggio di consegne dell'ottobre 1970 a insediare Miceli alla direzione, Livello A quanto alla sequenza ed alle date. Il registro fissa la coincidenza cronologica che la scansione consegna: il nuovo direttore assunse il comando del servizio poche settimane prima della notte dell'Immacolata, sicché il tentativo del dicembre 1970 e la gestione delle sue notizie, che costituiranno il cuore dell'imputazione censita, caddero nell'esatta finestra di insediamento di un vertice appena installato, con gli uffici in transizione e le lealtà interne in riassestamento. La circostanza non è un attenuante né un aggravante, ed il registro la consegna quale puro dato di struttura: nella serie delle finestre critiche dell'opera, anche quella del dicembre 1970 si apre su un apparato colto nel proprio momento di minima coesione, e la regolarità con cui gli snodi eversivi del corpus intercettano le transizioni di vertice degli organi di sicurezza, dal 1970 di Miceli al 1978 dei servizi neonati, è essa stessa un reperto del Pattern 3, che il registro registra senza convertirlo in disegno: le transizioni sono finestre, e le finestre, chiunque le apra, fanno entrare la stessa aria.</w:t>
      </w:r>
    </w:p>
    <w:p>
      <w:pPr>
        <w:spacing w:after="120" w:line="276"/>
        <w:jc w:val="both"/>
      </w:pPr>
      <w:r>
        <w:rPr>
          <w:rFonts w:ascii="Barlow Semi Condensed" w:cs="Barlow Semi Condensed" w:eastAsia="Barlow Semi Condensed" w:hAnsi="Barlow Semi Condensed"/>
          <w:sz w:val="24"/>
          <w:szCs w:val="24"/>
        </w:rPr>
        <w:t xml:space="preserve">La genealogia dei vertici si completa con il successore, che il registro censisce per la funzione di cerniera: dopo la rimozione di Miceli, la direzione del servizio passò nell'estate 1974 all'ammiraglio Mario Casardi, che la resse sino alla riforma del 1977, amministrando la stagione terminale del SID, quella dei procedimenti censiti in questa fase, delle epurazioni giudiziarie dei propri uffici e della transizione legislativa verso il nuovo ordinamento, Livello A quanto alla successione ed alle date. Il registro annota la regolarità che la serie dei 3 direttori consegna: Henke il traghettatore dallo scandalo alla ricostruzione, Miceli il direttore imputato, Casardi il liquidatore verso la riforma, e la circostanza che l'intero arco vitale del servizio, 11 anni dalla nascita alla soppressione, sia interamente descrivibile attraverso le categorie della patologia, scandalo ereditato, vertice processato, struttura rifondata per legge, è il giudizio storico implicito che nessuna sentenza ha dovuto pronunciare: il SID è l'unico apparato della Repubblica la cui parabola istituzionale coincide, senza residui, con la propria storia giudiziaria, e la riforma del 1977 che lo cancellò fu, nella sostanza, l'unica sentenza definitiva emessa sull'intero organismo anziché sui suoi uomini.</w:t>
      </w:r>
    </w:p>
    <w:p>
      <w:pPr>
        <w:spacing w:after="120" w:line="276"/>
        <w:jc w:val="both"/>
      </w:pPr>
      <w:r>
        <w:rPr>
          <w:rFonts w:ascii="Barlow Semi Condensed" w:cs="Barlow Semi Condensed" w:eastAsia="Barlow Semi Condensed" w:hAnsi="Barlow Semi Condensed"/>
          <w:sz w:val="24"/>
          <w:szCs w:val="24"/>
        </w:rPr>
        <w:t xml:space="preserve">La mappa degli apparati si completa con la costellazione minore che il registro censisce per dovere di completezza istituzionale: accanto al servizio unificato operavano i SIOS, i servizi informazioni delle 3 forze armate, Esercito, Marina ed Aeronautica, strutture di intelligence di forza armata mai assorbite dalla riforma del 1949 né da quella del 1977, con proprie catene gerarchiche, propri archivi e proprie reti, formalmente confinate all'informazione tecnico-militare e ricorrentemente lambite, negli atti delle inchieste censite dall'opera, da attività eccedenti quel perimetro, Livello A quanto all'assetto ordinamentale, Livello B quanto alle eccedenze operative documentate episodicamente dalle istruttorie. Il registro annota il dato strutturale che la costellazione consegna: la Repubblica non ebbe mai, nell'intero arco del corpus, un solo servizio segreto, ma un arcipelago di almeno 4 strutture informative militari parallele più quelle civili, e questa ridondanza istituzionale, difesa per decenni in nome delle specificità d'arma, moltiplicava per definizione i luoghi possibili della devianza riducendo i luoghi effettivi del controllo, sicché ogni riforma censita dall'opera, dal 1977 al 2007, è leggibile anche come un tentativo, mai interamente riuscito al primo colpo, di ridurre il numero delle stanze buie per metro quadrato di Stato.</w:t>
      </w:r>
    </w:p>
    <w:p>
      <w:pPr>
        <w:spacing w:after="120" w:line="276"/>
        <w:jc w:val="both"/>
      </w:pPr>
      <w:r>
        <w:rPr>
          <w:rFonts w:ascii="Barlow Semi Condensed" w:cs="Barlow Semi Condensed" w:eastAsia="Barlow Semi Condensed" w:hAnsi="Barlow Semi Condensed"/>
          <w:sz w:val="24"/>
          <w:szCs w:val="24"/>
        </w:rPr>
        <w:t xml:space="preserve">Alla parabola del direttore appartiene infine il giorno che il registro isola quale trauma istituzionale puro, distinto dagli esiti processuali già censiti: il 31 ottobre 1974 il generale Vito Miceli, direttore in carica del servizio, fu tratto in arresto su ordine dell'autorità giudiziaria nell'ambito delle istruttorie sulle trame eversive, e tradotto nel carcere militare di Forte Boccea, primo ed unico caso nella storia repubblicana di un capo dei servizi arrestato durante il mandato, Livello A quanto all'arresto, alla data ed alla detenzione. Il registro fissa il valore autonomo della giornata, che nessuna assoluzione successiva ha potuto retroattivamente cancellare: quale che fosse la fondatezza dell'ipotesi accusatoria, poi caduta nei modi che il capitolo ha riportato per esteso, il 31 ottobre 1974 la Repubblica visse la circostanza istituzionalmente inaudita di un ordinamento il cui massimo organo informativo aveva il proprio vertice in cella per sospetta partecipazione a trame contro lo Stato medesimo, e questa fotografia, indipendente dal giudizio finale sull'uomo, resta il punto di massima crisi fiduciaria dell'intero sistema censito dalla fase, il momento in cui la domanda che attraversa tutta l'opera, chi custodisce i custodi, ricevette dall'ordinamento la sola risposta che esso conosca, un mandato di cattura, con la conseguenza storica che il registro annota: la riforma del 1977 non nacque da un dibattito, nacque da quella cella, e la legge censita nel capitolo finale di questa fase è comprensibile solo come il tentativo di garantire che mai più la Repubblica dovesse arrestare sé stessa per sapere cosa stesse facendo.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Miceli è certificato al Livello A quale caso, unico per rango, di direttore in carica del servizio segreto militare arrestato e processato per cospirazione politica, con esito assolutorio parimenti certificato e riportato per esteso; l'affiliazione del direttore alla loggia P2 è certificata al Livello A e salda l'arco Dominio 3-Dominio 4 dal lato dell'apparato; la successiva elezione parlamentare nel Movimento sociale italiano conferma il corridoio strutturale, individuato dal Pattern 7, che collega i vertici degli apparati di sicurezza alla rappresentanza politica dell'area nazionale.</w:t>
      </w:r>
    </w:p>
    <w:p>
      <w:pPr>
        <w:pStyle w:val="Heading3"/>
        <w:spacing w:after="80" w:before="160"/>
      </w:pPr>
      <w:r>
        <w:rPr>
          <w:rFonts w:ascii="Barlow Semi Condensed" w:cs="Barlow Semi Condensed" w:eastAsia="Barlow Semi Condensed" w:hAnsi="Barlow Semi Condensed"/>
          <w:sz w:val="24"/>
          <w:szCs w:val="24"/>
        </w:rPr>
        <w:t xml:space="preserve">Capitolo 3 — ▶ Gianadelio Maletti. Il Reparto D, il depistaggio di Piazza Fontana e la fuga</w:t>
      </w:r>
    </w:p>
    <w:p>
      <w:pPr>
        <w:spacing w:after="120" w:line="276"/>
        <w:jc w:val="both"/>
      </w:pPr>
      <w:r>
        <w:rPr>
          <w:rFonts w:ascii="Barlow Semi Condensed" w:cs="Barlow Semi Condensed" w:eastAsia="Barlow Semi Condensed" w:hAnsi="Barlow Semi Condensed"/>
          <w:sz w:val="24"/>
          <w:szCs w:val="24"/>
        </w:rPr>
        <w:t xml:space="preserve">Gianadelio Maletti, nato a Bologna il 13 gennaio 1921 e morto a Johannesburg il 26 dicembre 2021, generale, capo del Reparto D del Servizio informazioni difesa, ossia del reparto di controspionaggio, dal 1971 al 1975, è il nodo attraverso il quale il registro certifica al Livello A la figura che dà nome all'intera fase: l'ufficiale dei servizi condannato in via definitiva per aver depistato le indagini su una strage, e per ciò stesso latitante all'estero per l'ultimo quarantennio della sua vita. La scansione del corpus lo registra 497 volte in 28 documenti. Se Miceli è il direttore processato per il disegno e assolto, Maletti è il funzionario operativo condannato per la condotta: la distinzione tra i 2 nodi, contigui nel medesimo servizio e nel medesimo torno di anni, è la distinzione tra l'accusa non provata di partecipazione all'eversione e l'accusa provata di ostruzione all'accertamento, ed è precisamente questa distinzione che il registro pone a fondamento della sua nozione di deviazione documentata.</w:t>
      </w:r>
    </w:p>
    <w:p>
      <w:pPr>
        <w:spacing w:after="120" w:line="276"/>
        <w:jc w:val="both"/>
      </w:pPr>
      <w:r>
        <w:rPr>
          <w:rFonts w:ascii="Barlow Semi Condensed" w:cs="Barlow Semi Condensed" w:eastAsia="Barlow Semi Condensed" w:hAnsi="Barlow Semi Condensed"/>
          <w:sz w:val="24"/>
          <w:szCs w:val="24"/>
        </w:rPr>
        <w:t xml:space="preserve">La biografia istituzionale colloca Maletti al vertice del controspionaggio del SID nel periodo immediatamente successivo alla strage di Piazza Fontana, avvenuta a Milano il 12 dicembre 1969, evento inaugurale della stagione stragista che la Fase 3 tratterà nella sua interezza e che qui rileva quale oggetto delle condotte di depistaggio contestate al nodo. Quale capo del Reparto D, Maletti ebbe la responsabilità operativa delle attività di controspionaggio e delle relative fonti confidenziali nel periodo in cui le indagini sulla strage di Milano si indirizzavano dapprima, secondo l'impostazione che si rivelerà depistante, verso la pista anarchica, e successivamente verso la pista nera dell'eversione di destra. Il registro certifica al Livello A la carica e la sua collocazione temporale, e ne trae lo sfondo: il controspionaggio militare disponeva, in quegli anni, di fonti collocate negli ambienti dell'eversione nera, e la gestione di tali fonti fu il terreno sul quale si consumarono le condotte per le quali il nodo fu condannato.</w:t>
      </w:r>
    </w:p>
    <w:p>
      <w:pPr>
        <w:spacing w:after="120" w:line="276"/>
        <w:jc w:val="both"/>
      </w:pPr>
      <w:r>
        <w:rPr>
          <w:rFonts w:ascii="Barlow Semi Condensed" w:cs="Barlow Semi Condensed" w:eastAsia="Barlow Semi Condensed" w:hAnsi="Barlow Semi Condensed"/>
          <w:sz w:val="24"/>
          <w:szCs w:val="24"/>
        </w:rPr>
        <w:t xml:space="preserve">Il primo pilastro probatorio è la condanna definitiva per il depistaggio di Piazza Fontana. Nel lungo ciclo processuale sulla strage di Milano, la posizione di Gianadelio Maletti fu accertata quanto alle condotte di favoreggiamento e di ostruzione: al generale fu contestato, e giudizialmente addebitato, di aver favorito l'espatrio e la sottrazione all'accertamento di soggetti collegati agli ambienti dell'eversione nera implicati nelle indagini, tra i quali l'agente e fonte del servizio Guido Giannettini e l'ordinovista Marco Pozzi, e di aver contribuito alla costruzione di piste false e alla contaminazione del quadro probatorio. Le sentenze accertarono tali condotte e ne trassero condanna, divenuta irrevocabile, per i reati connessi al depistaggio. Il registro certifica al Livello A, sul fondamento del giudicato, la responsabilità di Maletti nelle condotte di depistaggio delle indagini su Piazza Fontana, e ne trae la certificazione dell'arco che dà nome alla fase: l'arco di ostruzione tra il Dominio 3 e il Dominio 7, per cui un apparato dello Stato intervenne non per accertare una strage, ma per sottrarne all'accertamento la matrice. Il registro ribadisce con la massima fermezza il limite inferenziale già sancito nella Fase 1 a proposito di Bologna: la condanna per il depistaggio certifica la condotta di ostruzione, non il mandato della strage depistata; dal fatto che un apparato abbia coperto una pista non discende che il medesimo apparato abbia armato la mano, e la Regola Ferrea vieta di colmare con la verosimiglianza questo abisso probatorio. La condotta di depistaggio è parte integrante dell'evento e non suo accidente, secondo la tipologia quadripartita dell'ostruzione che il registro ha codificato; ma è parte del versante dell'occultamento, non prova del versante dell'ideazione.</w:t>
      </w:r>
    </w:p>
    <w:p>
      <w:pPr>
        <w:spacing w:after="120" w:line="276"/>
        <w:jc w:val="both"/>
      </w:pPr>
      <w:r>
        <w:rPr>
          <w:rFonts w:ascii="Barlow Semi Condensed" w:cs="Barlow Semi Condensed" w:eastAsia="Barlow Semi Condensed" w:hAnsi="Barlow Semi Condensed"/>
          <w:sz w:val="24"/>
          <w:szCs w:val="24"/>
        </w:rPr>
        <w:t xml:space="preserve">Il secondo pilastro è la latitanza in Sudafrica, che fa del nodo Maletti un caso di scuola e un ponte anticipato verso la Fase 5. Divenuta insostenibile la sua posizione in Italia, Maletti riparò all'estero e si stabilì stabilmente in Sudafrica, a Johannesburg, dove risiedette fino alla morte, sottraendosi all'esecuzione delle statuizioni a suo carico e rendendo, negli anni successivi, dichiarazioni e interviste dalla sua residenza sudafricana. Il registro certifica al Livello A la latitanza e la sua sede, e ne trae 2 annotazioni. La prima è di metodo: le dichiarazioni rese dal latitante negli anni successivi, particolarmente quelle concernenti presunte responsabilità di apparati stranieri nelle stragi italiane, sono trattate secondo l'Indice di Contaminazione della Fonte, giacché provengono da un soggetto condannato per depistaggio, interessato alla propria collocazione nella vicenda e sottratto al contraddittorio processuale; esse non ascendono, in assenza di riscontri autonomi, oltre il Livello C. La seconda annotazione è strutturale e anticipa la Fase 5: la scelta del Sudafrica dell'apartheid quale rifugio di un ufficiale dei servizi italiani latitante non è casuale, ma si iscrive in una regolarità che il registro documenterà su scala mondiale, per cui il regime di Pretoria funzionò da nodo di accoglienza e di scambio per una rete internazionale di soggetti dell'eversione e degli apparati deviati; il Sudafrica compare qui, per la prima volta nel registro dopo l'accenno del profilo di uno dei suoi finanziatori, quale destinazione strutturale e non quale asilo individuale.</w:t>
      </w:r>
    </w:p>
    <w:p>
      <w:pPr>
        <w:spacing w:after="120" w:line="276"/>
        <w:jc w:val="both"/>
      </w:pPr>
      <w:r>
        <w:rPr>
          <w:rFonts w:ascii="Barlow Semi Condensed" w:cs="Barlow Semi Condensed" w:eastAsia="Barlow Semi Condensed" w:hAnsi="Barlow Semi Condensed"/>
          <w:sz w:val="24"/>
          <w:szCs w:val="24"/>
        </w:rPr>
        <w:t xml:space="preserve">Il terzo pilastro è la figura di Guido Giannettini, la fonte del servizio la cui vicenda illumina la natura dell'accoppiamento tra il Dominio 3 e il Dominio 7 e proietta verso il Dominio 8. Giannettini, giornalista e pubblicista di orientamento di destra radicale, fu, secondo gli accertamenti, contemporaneamente collaboratore e fonte del servizio informativo militare e figura attiva negli ambienti dell'eversione nera, sino a essere coinvolto nelle indagini sulla strage di Piazza Fontana; la sua sottrazione all'accertamento, favorita dagli uomini del servizio secondo quanto le sentenze accertarono, fu parte delle condotte di depistaggio per le quali Maletti fu condannato. Il registro certifica al Livello A, sul fondamento del giudicato, la duplice collocazione di Giannettini quale fonte del servizio e quale figura degli ambienti eversivi, e il favoreggiamento della sua sottrazione da parte degli uomini del Reparto D; e ne trae l'annotazione strutturale che ne fa un reperto capitale. La figura di Giannettini documenta al Livello A che il servizio informativo non si limitava a sorvegliare l'eversione nera dall'esterno, ma ne aveva reclutato al proprio interno, quale fonte, un esponente attivo; e che, quando tale esponente fu lambito dalle indagini su una strage, il servizio intervenne per sottrarlo all'accertamento anziché per consegnarlo. È la certificazione più netta della porosità del confine tra il Dominio 3 e il Dominio 7: non un confine sorvegliato, ma un confine attraversato, nel quale la fonte del servizio e l'esponente dell'eversione coincidono nella medesima persona. La proiezione verso il Dominio 8 è nel fatto che Giannettini fu, professionalmente, un pubblicista, sicché la sua figura salda in un solo nodo la fonte informativa, l'attore eversivo e l'operatore dell'informazione, prefigurando quell'intreccio tra apparati, eversione e controllo del flusso informativo che la Nota metodologica assegna al Dominio 8 e che le fasi successive svilupperanno. Il registro ribadisce, anche qui, il limite inferenziale: la certificazione della duplice collocazione della fonte e del favoreggiamento della sua sottrazione non prova che il servizio abbia diretto l'azione stragista attraverso la propria fonte, ma soltanto che ne coprì l'esponente quando l'accertamento lo raggiunse; la distinzione tra la copertura provata e la direzione non provata è, ancora una volta, la sostanza del metodo.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Maletti-Reparto D-Giannettini, è il triangolo della gestione delle fonti, che salda il controspionaggio militare alla fonte collocata nell'eversione nera e costituisce il segmento operativo del depistaggio; esso è certificato al Livello A dal giudicato. La seconda, Maletti-espatrio-piste false, è il triangolo della condotta di ostruzione nella sua duplice modalità, la sottrazione dei soggetti e la contaminazione del quadro probatorio, certificato al Livello A dalle sentenze. La terza, Maletti-Sudafrica-dichiarazioni tardive, è il triangolo della latitanza e della sua produzione dichiarativa, certificato al Livello A quanto al fatto della latitanza e mantenuto al Livello C quanto al contenuto delle dichiarazioni, per l'Indice di Contaminazione. Sul piano dei pattern, il nodo è il caso paradigmatico del Pattern che il registro ha derivato dalla tipologia dell'ostruzione, e attiva altresì il Pattern 7 nella sua variante geografica, la migrazione non tra domini ma tra giurisdizioni, quale tecnica di sottrazione all'accertamento.</w:t>
      </w:r>
    </w:p>
    <w:p>
      <w:pPr>
        <w:spacing w:after="120" w:line="276"/>
        <w:jc w:val="both"/>
      </w:pPr>
      <w:r>
        <w:rPr>
          <w:rFonts w:ascii="Barlow Semi Condensed" w:cs="Barlow Semi Condensed" w:eastAsia="Barlow Semi Condensed" w:hAnsi="Barlow Semi Condensed"/>
          <w:sz w:val="24"/>
          <w:szCs w:val="24"/>
        </w:rPr>
        <w:t xml:space="preserve">La condanna per il depistaggio si compone di episodi materiali che il registro deve nominare, perché la loro concretezza vale più di ogni qualificazione astratta. Il primo è l'esfiltrazione di Marco Pozzan, testimone chiave del filone veneto, prelevato e trasferito clandestinamente a Madrid nel gennaio 1973 a cura di uomini del Reparto D muniti di documenti di copertura, affinché la sua voce non raggiungesse i giudici istruttori, Livello A quanto al fatto, consacrato dalle sentenze. Il secondo è la gestione della fonte Giannettini dopo l'emersione del suo nome: l'espatrio a Parigi nella primavera del 1973, il mantenimento della retribuzione da parte del servizio durante la latitanza, la protezione prolungata sino a che la posizione divenne indifendibile, Livello A. Il terzo è il modo in cui il segreto cadde: non per iniziativa dell'apparato ma per decisione politica esterna, allorché nel giugno 1974 il ministro della difesa Giulio Andreotti, con un'intervista al settimanale Il Mondo, rivelò pubblicamente la qualità di collaboratore del SID di Guido Giannettini, scardinando con un gesto di comunicazione ciò che 2 anni di istruttorie non avevano potuto aprire, Livello A quanto alla rivelazione ed alla sua data. Il registro segnala l'anomalia morfologica dell'episodio: nella tassonomia degli archi, si tratta di un caso raro di disaccoppiamento verticale, il vertice politico che recide unilateralmente la protezione stesa dall'apparato, e la sua eccezionalità statistica, un solo caso certificato nell'intera fase, misura per contrasto la regola.</w:t>
      </w:r>
    </w:p>
    <w:p>
      <w:pPr>
        <w:spacing w:after="120" w:line="276"/>
        <w:jc w:val="both"/>
      </w:pPr>
      <w:r>
        <w:rPr>
          <w:rFonts w:ascii="Barlow Semi Condensed" w:cs="Barlow Semi Condensed" w:eastAsia="Barlow Semi Condensed" w:hAnsi="Barlow Semi Condensed"/>
          <w:sz w:val="24"/>
          <w:szCs w:val="24"/>
        </w:rPr>
        <w:t xml:space="preserve">Alla latitanza sudafricana appartiene infine un poscritto dichiarativo che il registro censisce con la doppia marcatura che gli spetta. Nel 2001, in occasione del ciclo processuale milanese sulla strage, Maletti, escusso dalla giustizia italiana nelle forme consentite dalla sua condizione di residente all'estero, rese e accompagnò con interviste pubbliche dichiarazioni nelle quali evocava la cornice internazionale degli anni della tensione ed il peso degli interessi atlantici sul teatro italiano: affermazioni di un condannato per depistaggio, rese a distanza di 3 decenni, prive di riscontro documentale autonomo, che il registro classifica al Livello C quale materiale dichiarativo tardivo, annotando però il paradosso che esse incarnano, il custode del segreto che, esauriti i tempi della responsabilità, si offre quale esegeta del segreto medesimo. La morte a Johannesburg, il 26 dicembre 2021, alla soglia dei 101 anni, chiuse l'ultima biografia vivente del triangolo del depistaggio, consegnando definitivamente agli archivi ciò che l'anagrafe aveva sino ad allora conteso alla storia.</w:t>
      </w:r>
    </w:p>
    <w:p>
      <w:pPr>
        <w:spacing w:after="120" w:line="276"/>
        <w:jc w:val="both"/>
      </w:pPr>
      <w:r>
        <w:rPr>
          <w:rFonts w:ascii="Barlow Semi Condensed" w:cs="Barlow Semi Condensed" w:eastAsia="Barlow Semi Condensed" w:hAnsi="Barlow Semi Condensed"/>
          <w:sz w:val="24"/>
          <w:szCs w:val="24"/>
        </w:rPr>
        <w:t xml:space="preserve">La geografia del rifugio merita un'annotazione che salda il nodo alla Fase 5. La scelta sudafricana di Maletti non fu eccentrica ma sistemica: il Sudafrica dell'apartheid, privo di rapporti estradizionali praticabili con l'Italia per i reati contestati e dotato di un apparato di sicurezza ideologicamente affine, funzionò per un ventennio quale approdo di latitanze eccellenti dell'area nera e degli apparati, ed il generale del Reparto D vi trascorse, tra Johannesburg ed i suoi sobborghi, quasi mezzo secolo di vita, protetto meno da un asilo formale che dall'inerzia reciproca delle burocrazie, Livello A quanto alla latitanza ed alla sua durata, Livello B quanto alla qualificazione sistemica dell'approdo, che la Fase 5 documenterà quale hub australe. Il registro ne trae una misura: la pena irrevocabile inflitta al depistatore di Piazza Fontana fu scontata per intero nella forma del soggiorno estero, e la distanza tra la sentenza e la sua esecuzione, misurabile in decenni ed in chilometri, è essa stessa un dato del sistema, la certificazione che per gli uomini degli apparati la sanzione penale operò, quando operò, quale titolo simbolico e non quale afflizione effettiva. Nella contabilità della fase, che registra condanne rare ed esecuzioni più rare ancora, il caso Maletti occupa perciò la posizione del paradigma: il massimo di accertamento compatibile con il minimo di conseguenza, la giustizia che raggiunge la verità e non raggiunge l'uomo.</w:t>
      </w:r>
    </w:p>
    <w:p>
      <w:pPr>
        <w:spacing w:after="120" w:line="276"/>
        <w:jc w:val="both"/>
      </w:pPr>
      <w:r>
        <w:rPr>
          <w:rFonts w:ascii="Barlow Semi Condensed" w:cs="Barlow Semi Condensed" w:eastAsia="Barlow Semi Condensed" w:hAnsi="Barlow Semi Condensed"/>
          <w:sz w:val="24"/>
          <w:szCs w:val="24"/>
        </w:rPr>
        <w:t xml:space="preserve">Il Reparto D va infine definito nella sua natura ordinamentale, perché l'anomalia sta nel mandato prima che negli uomini. Reparto di controspionaggio, istituzionalmente rivolto alla minaccia esterna, il D operò negli anni di Maletti, per prassi consolidata e mai formalizzata, quale principale strumento informativo interno del servizio sull'eversione domestica, con proprie fonti nell'estremismo di entrambi i segni, propri fondi riservati e proprie operazioni non tracciate nei circuiti ordinari: torsione funzionale che gli atti parlamentari censirono quale dato strutturale e che costituisce il presupposto tecnico di tutti gli episodi giudicati, Livello A quanto alla torsione documentata. Accanto al generale, la sentenza raggiunse l'esecutore delle operazioni materiali, il capitano Antonio Labruna, condannato in via definitiva per i medesimi fatti di favoreggiamento, figura che il registro ha già incontrato nel capitolo 6 quale raccoglitore dei nastri sul tentativo del 1970 e che riappare qui quale operatore delle esfiltrazioni: la doppia presenza del medesimo ufficiale sui 2 versanti, la documentazione del golpe e la protezione dei depistati, certifica al Livello A l'unità operativa della filiera che la fase ha scomposto per capitoli, ed autorizza la conclusione, rigorosamente limitata al perimetro dei giudicati, che il segmento deviato del servizio fu, negli anni cruciali, una struttura piccola, coesa e trasversale agli organigrammi, l'esatto contrario della deviazione di massa che la pubblicistica immagina e la prova esatta di quanto poco personale occorra, in un apparato compartimentato, per amministrare la conoscenza di tutti.</w:t>
      </w:r>
    </w:p>
    <w:p>
      <w:pPr>
        <w:spacing w:after="120" w:line="276"/>
        <w:jc w:val="both"/>
      </w:pPr>
      <w:r>
        <w:rPr>
          <w:rFonts w:ascii="Barlow Semi Condensed" w:cs="Barlow Semi Condensed" w:eastAsia="Barlow Semi Condensed" w:hAnsi="Barlow Semi Condensed"/>
          <w:sz w:val="24"/>
          <w:szCs w:val="24"/>
        </w:rPr>
        <w:t xml:space="preserve">La disciplina delle assoluzioni impone di completare la parabola della fonte con il suo esito giudiziario, che il registro riporta per esteso. Guido Giannettini, rinviato a giudizio quale concorrente nella strage di Piazza Fontana, fu condannato all'ergastolo in primo grado dalla Corte d'Assise di Catanzaro nel 1979, insieme agli imputati principali del filone veneto, e fu poi assolto nel giudizio d'appello del 1981 dall'imputazione di strage, con esito divenuto irrevocabile, sicché a carico della fonte del Reparto D residuò unicamente la responsabilità accertata altrove per la vicenda del favoreggiamento, Livello A sull'intera scansione. Il registro consegna la parabola alla sua lettura strutturale: il medesimo uomo fu, nell'ordine, informatore retribuito dell'apparato, imputato capitale, condannato all'ergastolo, protetto in latitanza dal servizio che lo impiegava ed infine assolto in via definitiva, ed una simile traiettoria, che attraversa in un solo decennio tutti gli stati possibili del rapporto tra un individuo e la giustizia, non ha eguali nel registro e certifica, meglio di ogni teoria, la natura anfibia della figura dell'agente-pubblicista, il nodo che i Domini 3, 7 ed 8 si contesero senza che alcuno potesse rivendicarlo per intero.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Maletti è certificato al Livello A quale caso emblematico di ufficiale dei servizi condannato in via definitiva per il depistaggio delle indagini su una strage, quella di Piazza Fontana, e costituisce la certificazione piena dell'arco di ostruzione tra il Dominio 3 e il Dominio 7; il limite inferenziale tra la condotta di depistaggio, provata, e il mandato della strage, non provato, è ribadito quale cardine del metodo; la latitanza in Sudafrica è certificata al Livello A e anticipa la funzione di quel regime quale nodo di accoglienza internazionale che la Fase 5 documenterà, mentre le dichiarazioni rese dal latitante restano al Livello C per l'Indice di Contaminazione della Fonte.</w:t>
      </w:r>
    </w:p>
    <w:p>
      <w:pPr>
        <w:pStyle w:val="Heading3"/>
        <w:spacing w:after="80" w:before="160"/>
      </w:pPr>
      <w:r>
        <w:rPr>
          <w:rFonts w:ascii="Barlow Semi Condensed" w:cs="Barlow Semi Condensed" w:eastAsia="Barlow Semi Condensed" w:hAnsi="Barlow Semi Condensed"/>
          <w:sz w:val="24"/>
          <w:szCs w:val="24"/>
        </w:rPr>
        <w:t xml:space="preserve">Capitolo 4 — ▶ Federico Umberto D'Amato e l'Ufficio Affari Riservati. La struttura parallela del Viminale</w:t>
      </w:r>
    </w:p>
    <w:p>
      <w:pPr>
        <w:spacing w:after="120" w:line="276"/>
        <w:jc w:val="both"/>
      </w:pPr>
      <w:r>
        <w:rPr>
          <w:rFonts w:ascii="Barlow Semi Condensed" w:cs="Barlow Semi Condensed" w:eastAsia="Barlow Semi Condensed" w:hAnsi="Barlow Semi Condensed"/>
          <w:sz w:val="24"/>
          <w:szCs w:val="24"/>
        </w:rPr>
        <w:t xml:space="preserve">Federico Umberto D'Amato, nato a Marsico Nuovo il 4 giugno 1919 e morto a Roma il 1º luglio 1996, funzionario del Ministero dell'interno, capo dell'Ufficio affari riservati, è il nodo attraverso il quale il registro estende la mappa della deviazione dal versante militare a quello civile, certificando l'esistenza, all'interno del Ministero dell'interno, di una struttura informativa riservata la cui attività travalicò a lungo i confini istituzionali. La scansione del corpus registra i termini connessi al nodo con frequenza inferiore a quella dei grandi apparati militari, ma la sua rilevanza strutturale è massima, giacché D'Amato è il punto di raccordo tra il Dominio 3 nella sua articolazione civile, il Dominio 2 attraverso il controllo informativo sulla vita politica, e la dimensione internazionale attraverso la sua partecipazione ai circuiti atlantici. Il nodo è altresì il primo, nel registro, a proiettarsi verso il Dominio 8, il controllo dell'informazione, attraverso la nota attività di D'Amato quale collaboratore e curatore di riviste.</w:t>
      </w:r>
    </w:p>
    <w:p>
      <w:pPr>
        <w:spacing w:after="120" w:line="276"/>
        <w:jc w:val="both"/>
      </w:pPr>
      <w:r>
        <w:rPr>
          <w:rFonts w:ascii="Barlow Semi Condensed" w:cs="Barlow Semi Condensed" w:eastAsia="Barlow Semi Condensed" w:hAnsi="Barlow Semi Condensed"/>
          <w:sz w:val="24"/>
          <w:szCs w:val="24"/>
        </w:rPr>
        <w:t xml:space="preserve">La biografia istituzionale colloca D'Amato al vertice dell'Ufficio affari riservati del Ministero dell'interno, la struttura che raccoglieva e gestiva le informazioni riservate di competenza del Viminale, con particolare riguardo all'ordine pubblico, alla vita dei partiti e dei movimenti, e ai fenomeni eversivi. Formatosi negli ambienti informativi del dopoguerra, in contatto sin da allora con i servizi alleati, D'Amato guidò l'Ufficio nella stagione che va dagli anni Sessanta alla metà degli anni Settanta, il periodo delle grandi schedature e dell'esplosione stragista. Il registro certifica al Livello A, sul fondamento degli atti parlamentari e delle ricostruzioni documentali confluite nelle inchieste sulle stragi, l'esistenza e le funzioni dell'Ufficio affari riservati quale struttura informativa civile dotata di ampia autonomia operativa, e annota il dato strutturale: l'Ufficio costituì il pendant civile del servizio militare, e la sua attività schedatoria e informativa sulla vita politica configurò, dal lato del Ministero dell'interno, la medesima torsione dell'apparato legale verso il controllo politico che il caso SIFAR aveva documentato dal lato militare.</w:t>
      </w:r>
    </w:p>
    <w:p>
      <w:pPr>
        <w:spacing w:after="120" w:line="276"/>
        <w:jc w:val="both"/>
      </w:pPr>
      <w:r>
        <w:rPr>
          <w:rFonts w:ascii="Barlow Semi Condensed" w:cs="Barlow Semi Condensed" w:eastAsia="Barlow Semi Condensed" w:hAnsi="Barlow Semi Condensed"/>
          <w:sz w:val="24"/>
          <w:szCs w:val="24"/>
        </w:rPr>
        <w:t xml:space="preserve">Il primo pilastro probatorio è la funzione di controllo informativo sulla vita politica e la sua ambiguità operativa negli anni delle stragi. Le inchieste giudiziarie e parlamentari sulla stagione stragista, i cui atti sono presenti nel corpus, hanno collocato l'Ufficio affari riservati e il suo responsabile al centro di una fitta rete di rapporti con gli ambienti dell'eversione e con le fonti confidenziali di quel mondo, in una posizione di intermediazione che rese l'Ufficio, secondo la ricostruzione degli inquirenti, un osservatore privilegiato e talora un attore ambiguo delle vicende eversive. Il registro certifica al Livello A, quanto al fatto della centralità informativa dell'Ufficio e del suo responsabile nella gestione delle fonti dell'eversione, ciò che gli atti documentano; e mantiene rigorosamente al Livello C ogni ipotesi che da tale centralità inferisca una regia dell'Ufficio sugli eventi stragisti, giacché la disponibilità di informazioni e di fonti in un dato ambiente non prova la direzione degli eventi che in quell'ambiente maturano. La distinzione, ancora una volta, separa il fatto certificato dell'intermediazione informativa dall'ipotesi non provata della regia.</w:t>
      </w:r>
    </w:p>
    <w:p>
      <w:pPr>
        <w:spacing w:after="120" w:line="276"/>
        <w:jc w:val="both"/>
      </w:pPr>
      <w:r>
        <w:rPr>
          <w:rFonts w:ascii="Barlow Semi Condensed" w:cs="Barlow Semi Condensed" w:eastAsia="Barlow Semi Condensed" w:hAnsi="Barlow Semi Condensed"/>
          <w:sz w:val="24"/>
          <w:szCs w:val="24"/>
        </w:rPr>
        <w:t xml:space="preserve">Il secondo pilastro è l'inserimento nei circuiti internazionali, che fa del nodo D'Amato il primo, nel registro, a documentare l'accoppiamento tra il Dominio 3 nazionale e la dimensione atlantica su base personale e continuativa. D'Amato partecipò ai circuiti di coordinamento informativo occidentale e alle sedi riservate del confronto atlantico, e il suo nome è associato alla partecipazione alle riunioni del gruppo Bilderberg e ai contatti con i servizi alleati risalenti al dopoguerra. Il registro certifica al Livello B, sul fondamento delle ricostruzioni documentali convergenti ma non integralmente giudicate, l'inserimento di D'Amato nei circuiti internazionali del coordinamento informativo occidentale, e ne trae un'annotazione di metodo che vale per l'intera fase: la partecipazione di un responsabile informativo italiano a sedi internazionali di confronto è un fatto strutturale che documenta la cornice atlantica entro la quale gli apparati operavano, ma non è, di per sé, prova di una subordinazione operativa a mandanti stranieri; il registro tiene distinta la cornice, che è certificata, dalla regia, che è ipotesi, e verificherà nella chiusura di fase quale delle 2 letture le evidenze meno contraddicano.</w:t>
      </w:r>
    </w:p>
    <w:p>
      <w:pPr>
        <w:spacing w:after="120" w:line="276"/>
        <w:jc w:val="both"/>
      </w:pPr>
      <w:r>
        <w:rPr>
          <w:rFonts w:ascii="Barlow Semi Condensed" w:cs="Barlow Semi Condensed" w:eastAsia="Barlow Semi Condensed" w:hAnsi="Barlow Semi Condensed"/>
          <w:sz w:val="24"/>
          <w:szCs w:val="24"/>
        </w:rPr>
        <w:t xml:space="preserve">Il terzo pilastro è l'affiliazione, o quantomeno la prossimità, ai circuiti riservati trasversali, e la proiezione verso il Dominio 8. Il nome di D'Amato compare nelle ricostruzioni relative agli elenchi e agli ambienti della loggia P2, e la sua attività di curatore di una nota rivista enogastronomica e di collaboratore editoriale è stata letta dagli inquirenti quale copertura e quale strumento di relazione. Il registro procede qui con la massima cautela: certifica al Livello B la prossimità di D'Amato agli ambienti riservati trasversali documentata dagli atti, e mantiene al Livello C ogni qualificazione che ecceda la prossimità documentata; quanto alla proiezione verso il Dominio 8, certifica al Livello A il fatto della sua attività editoriale e la mantiene distinta, sul piano probatorio, dalle ipotesi sulla sua funzione. La disciplina è imposta dalla natura stessa del nodo, che opera nel dominio dell'informazione riservata e le cui tracce sono, per definizione, più rade e più ambigue di quelle dei nodi giudiziariamente accertati.</w:t>
      </w:r>
    </w:p>
    <w:p>
      <w:pPr>
        <w:spacing w:after="120" w:line="276"/>
        <w:jc w:val="both"/>
      </w:pPr>
      <w:r>
        <w:rPr>
          <w:rFonts w:ascii="Barlow Semi Condensed" w:cs="Barlow Semi Condensed" w:eastAsia="Barlow Semi Condensed" w:hAnsi="Barlow Semi Condensed"/>
          <w:sz w:val="24"/>
          <w:szCs w:val="24"/>
        </w:rPr>
        <w:t xml:space="preserve">Il quarto pilastro è la continuità storica della struttura, che il registro assume quale reperto di lungo periodo e quale conferma del carattere non episodico della deviazione. L'Ufficio affari riservati non fu una creazione contingente della stagione stragista, ma l'esito di una continuità istituzionale che risale al dopoguerra e alla costituzione degli apparati informativi civili nel clima della guerra fredda, quando la necessità di un presidio informativo sull'attività dei partiti di sinistra e dei movimenti sociali orientò la funzione della struttura sin dalla sua origine. La figura di D'Amato attraversa questa continuità, dagli anni della ricostruzione informativa postbellica, nei quali maturò i contatti con i servizi alleati che la fase ha già registrato, sino alla stagione delle stragi, nella quale la struttura raggiunse la sua massima esposizione. Il registro certifica al Livello A la continuità storica dell'Ufficio quale struttura informativa del Ministero dell'interno operante lungo l'intero arco della prima Repubblica, e ne trae un'annotazione che vale per l'intera fase e che corregge una diffusa distorsione prospettica: la deviazione degli apparati non fu un fenomeno concentrato in una singola stagione eccezionale, ma un dato strutturale di lungo periodo, radicato nella funzione stessa che agli apparati fu assegnata nel contesto del confronto bipolare, ossia il presidio informativo contro l'avversario interno identificato nel movimento comunista. Questa continuità di lungo periodo è, essa stessa, un elemento che il registro annota ai fini della verifica di H1: la funzione anticomunista della struttura, costante lungo l'intero arco temporale, colloca anche il nodo D'Amato sul versante occidentale del confronto bipolare, e non su quello di una convergenza tra i blocchi, confermando la lettura che i nodi precedenti hanno già suggerito.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D'Amato-Ufficio affari riservati-fonti dell'eversione, è il triangolo dell'intermediazione informativa civile, certificato al Livello A quanto al fatto e mantenuto al Livello C quanto alla regia. La seconda, D'Amato-circuiti atlantici-Bilderberg, è il triangolo della cornice internazionale, certificato al Livello B. La terza, D'Amato-ambienti riservati-attività editoriale, è il triangolo della copertura e della proiezione mediatica, certificato al Livello B quanto alla prossimità e al Livello A quanto al fatto dell'attività editoriale. Sul piano dei pattern, il nodo attiva il Pattern 1, l'analisi dei nodi centrali, nella sua accezione più sottile: D'Amato è il nodo a bassa visibilità e alta centralità informativa, il cui potere non deriva dal grado gerarchico né dall'esposizione pubblica, ma dalla posizione di controllo sul flusso informativo, secondo la distinzione tra potere formale e potere relazionale che la Nota metodologica ha derivato da Freeman e Burt.</w:t>
      </w:r>
    </w:p>
    <w:p>
      <w:pPr>
        <w:spacing w:after="120" w:line="276"/>
        <w:jc w:val="both"/>
      </w:pPr>
      <w:r>
        <w:rPr>
          <w:rFonts w:ascii="Barlow Semi Condensed" w:cs="Barlow Semi Condensed" w:eastAsia="Barlow Semi Condensed" w:hAnsi="Barlow Semi Condensed"/>
          <w:sz w:val="24"/>
          <w:szCs w:val="24"/>
        </w:rPr>
        <w:t xml:space="preserve">La biografia del funzionario va integrata alla radice, perché la sua formazione è essa stessa un arco. Gli atti e le ricostruzioni parlamentari documentano la collaborazione del giovane D'Amato, dal 1944, con i servizi alleati operanti a Roma liberata, esperienza che ne fece, entro l'amministrazione dell'interno, l'interlocutore naturale del collegamento atlantico e gli consegnò quel capitale di relazioni transnazionali che la carriera successiva avrebbe messo a frutto, Livello A quanto alla collaborazione, attestata dalle fonti parlamentari. Su questo capitale si innestò la funzione internazionale matura: la partecipazione di vertice al Club di Berna, il consesso riservato che dal principio degli anni 70 coordinava i responsabili dei servizi di sicurezza interna dell'Europa occidentale, del quale D'Amato fu tra gli animatori riconosciuti, Livello A quanto alla partecipazione, Livello B quanto ai contenuti operativi del consesso, per costituzione non verbalizzati. La parabola discendente ha una data: nel 1974, nella stagione in cui la magistratura risaliva i fili della trama nera e l'amministrazione si riorganizzava con l'Ispettorato antiterrorismo, D'Amato fu rimosso dalla direzione degli Affari riservati ed avviato ad incarichi di minor sensibilità, sino alla direzione della polizia di frontiera, Livello A: rimozione che il registro annota quale indizio amministrativo di una perdita di copertura politica, secondo la grammatica per cui, negli apparati, il trasferimento è la forma che assume il giudizio quando il processo non è praticabile.</w:t>
      </w:r>
    </w:p>
    <w:p>
      <w:pPr>
        <w:spacing w:after="120" w:line="276"/>
        <w:jc w:val="both"/>
      </w:pPr>
      <w:r>
        <w:rPr>
          <w:rFonts w:ascii="Barlow Semi Condensed" w:cs="Barlow Semi Condensed" w:eastAsia="Barlow Semi Condensed" w:hAnsi="Barlow Semi Condensed"/>
          <w:sz w:val="24"/>
          <w:szCs w:val="24"/>
        </w:rPr>
        <w:t xml:space="preserve">Due reperti postumi completano il nodo. Il primo è archivistico ed è di prima grandezza: nel 1996 fu rinvenuto, in un deposito della circonvallazione Appia a Roma, un cospicuo fondo documentale dell'Ufficio affari riservati mai versato all'Archivio centrale dello Stato, migliaia di fascicoli sottratti per decenni ad ogni controllo, la cui scoperta ed il cui successivo riordino restituirono agli studiosi ed ai giudici la contabilità informativa del Viminale parallelo, Livello A quanto al rinvenimento ed alla consistenza. La circostanza conferma sul versante civile ciò che il capitolo 1 ha documentato sul versante militare, che l'archivio occulto è l'organo vitale della struttura parallela, con la differenza, gravida di conseguenze per la conoscenza storica, che i fascicoli del SIFAR furono bruciati e quelli dell'Ufficio ritrovati. Il secondo reperto è di costume, e il registro lo annota perché la semiotica dei nodi non è mai ornamentale: per anni il capo della polizia segreta del Viminale curò, sotto pseudonimo trasparente, la guida gastronomica di un grande settimanale, recensendo ristoranti con la medesima penna che classificava sovversivi, Livello A quanto al fatto, noto e rivendicato. Chi cercasse un emblema del doppio codice luhmanniano, l'osservatore che appartiene simultaneamente a 2 sistemi di comunicazione e traduce l'uno nell'altro, difficilmente ne troverebbe uno più esatto di questo ispettore delle cucine e delle trame, per il quale la tavola fu, insieme, piacere dichiarato e tecnologia di relazione: perché è a tavola, insegnava senza scriverlo, che le reti riservate celebrano la propria liturgia.</w:t>
      </w:r>
    </w:p>
    <w:p>
      <w:pPr>
        <w:spacing w:after="120" w:line="276"/>
        <w:jc w:val="both"/>
      </w:pPr>
      <w:r>
        <w:rPr>
          <w:rFonts w:ascii="Barlow Semi Condensed" w:cs="Barlow Semi Condensed" w:eastAsia="Barlow Semi Condensed" w:hAnsi="Barlow Semi Condensed"/>
          <w:sz w:val="24"/>
          <w:szCs w:val="24"/>
        </w:rPr>
        <w:t xml:space="preserve">Il fondo ritrovato nel 1996 consente di misurare, per campioni, l'estensione tematica della raccolta, e la misura vale più di ogni aggettivo: accanto ai fascicoli sull'eversione di destra e di sinistra, l'archivio parallelo del Viminale conservava dossier sistematici sui movimenti studenteschi ed operai della stagione 1968-69, su partiti, sindacati, redazioni, singoli parlamentari ed ecclesiastici, con una capillarità che riproduceva, in sede civile, la logica onnivora già censita nel SIFAR militare, Livello A quanto alla tipologia documentale accertata dal riordino archivistico. La duplicazione è il dato: 2 amministrazioni distinte, la militare e la civile, costruirono negli stessi anni 2 archivi paralleli sul medesimo oggetto, la società italiana in quanto tale, e la ridondanza, che una lettura efficientista giudicherebbe spreco, era in realtà la struttura, giacché ciascun apparato traeva dal proprio archivio la propria autonomia negoziale verso l'altro e verso la politica. Alla genealogia istituzionale appartiene infine la trasformazione: soppresso l'Ufficio nella riorganizzazione del 1974 che istituì l'Ispettorato generale per l'azione contro il terrorismo, le funzioni rifluirono nel 1978 nell'UCIGOS e di lì nelle strutture successive, secondo una continuità amministrativa che il registro certifica nei suoi passaggi formali, Livello A, astenendosi dall'inferenza, che sarebbe indebita, di una pari continuità delle prassi: gli uffici si ereditano per decreto, le deviazioni no, e la storia successiva della struttura appartiene ad altri capitoli ed altri standard di prova.</w:t>
      </w:r>
    </w:p>
    <w:p>
      <w:pPr>
        <w:spacing w:after="120" w:line="276"/>
        <w:jc w:val="both"/>
      </w:pPr>
      <w:r>
        <w:rPr>
          <w:rFonts w:ascii="Barlow Semi Condensed" w:cs="Barlow Semi Condensed" w:eastAsia="Barlow Semi Condensed" w:hAnsi="Barlow Semi Condensed"/>
          <w:sz w:val="24"/>
          <w:szCs w:val="24"/>
        </w:rPr>
        <w:t xml:space="preserve">Un dato documentale chiude il cerchio tra questo capitolo ed il quadrilatero della Fase 1: il nome di Federico Umberto D'Amato figura negli elenchi della loggia Propaganda 2 sequestrati a Castiglion Fibocchi, Livello A quanto alla figurazione documentale, con la consueta avvertenza certificativa della Commissione sulla natura di quella prova, che attesta l'iscrizione e non misura l'operatività. Il registro colloca il dato nella sua costellazione: con esso, la fase censisce la compresenza negli elenchi del capo storico della struttura informativa civile, dei direttori contestuali dei 3 organismi riformati e del vertice del controspionaggio della stagione precedente, sicché la cattura piduista degli apparati, che il capitolo 10 certificherà nella sua forma sincronica, si rivela qui nella sua profondità diacronica, una permeabilità di lungo periodo che attraversa le riforme senza esserne intaccata. Alla biografia del funzionario questa figurazione aggiunge l'ultimo tratto del suo doppio codice: l'uomo che schedava le associazioni segrete della Repubblica risultò a sua volta elencato nella più segreta di esse, ed il registro, che ha bandito l'ironia dalle proprie certificazioni, si limita a consegnare la simmetria al lettore, annotando che essa costituisce, nel linguaggio della Nota metodologica, un arco di infiltrazione la cui direzione, chi penetrò chi, resta l'unica variabile che i documenti non consentono di orientare.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D'Amato è certificato al Livello A quale responsabile di una struttura informativa civile, l'Ufficio affari riservati del Ministero dell'interno, la cui attività di controllo informativo sulla vita politica configura, dal lato del Viminale, la deviazione dell'apparato legale già documentata dal lato militare; l'inserimento nei circuiti atlantici del coordinamento informativo è certificato al Livello B quale cornice sistemica, tenuta distinta dall'ipotesi non provata della regia straniera; la prossimità agli ambienti riservati trasversali e la proiezione verso il Dominio 8 sono certificate al Livello B, con la massima cautela imposta dalla natura informativa del nodo.</w:t>
      </w:r>
    </w:p>
    <w:p>
      <w:pPr>
        <w:pStyle w:val="Heading3"/>
        <w:spacing w:after="80" w:before="160"/>
      </w:pPr>
      <w:r>
        <w:rPr>
          <w:rFonts w:ascii="Barlow Semi Condensed" w:cs="Barlow Semi Condensed" w:eastAsia="Barlow Semi Condensed" w:hAnsi="Barlow Semi Condensed"/>
          <w:sz w:val="24"/>
          <w:szCs w:val="24"/>
        </w:rPr>
        <w:t xml:space="preserve">Capitolo 5 — ◆ Gladio e la rete stay-behind. L'esercito segreto e la sua rivelazione</w:t>
      </w:r>
    </w:p>
    <w:p>
      <w:pPr>
        <w:spacing w:after="120" w:line="276"/>
        <w:jc w:val="both"/>
      </w:pPr>
      <w:r>
        <w:rPr>
          <w:rFonts w:ascii="Barlow Semi Condensed" w:cs="Barlow Semi Condensed" w:eastAsia="Barlow Semi Condensed" w:hAnsi="Barlow Semi Condensed"/>
          <w:sz w:val="24"/>
          <w:szCs w:val="24"/>
        </w:rPr>
        <w:t xml:space="preserve">L'organizzazione Gladio, denominazione italiana della rete clandestina stay-behind predisposta nel quadro atlantico per operare in caso di occupazione del territorio nazionale, è il nodo attraverso il quale il registro certifica l'esistenza, per oltre 4 decenni tenuta segreta al Parlamento e all'opinione pubblica, di una struttura militare occulta operante sul suolo italiano in raccordo con il servizio segreto e con la struttura atlantica. La scansione del corpus registra il termine Gladio 2.005 volte in 88 documenti e i termini connessi alla rete stay-behind 372 volte in 23 documenti: è, dopo i grandi apparati e dopo il caso Moro, uno dei nuclei documentali più densi dell'intera opera. Il nodo salda il Dominio 9, le forze armate, al Dominio 3, l'intelligence, nella sua dimensione atlantica, e costituisce il banco di prova per eccellenza della verifica dell'ipotesi H1 che questa fase ha il compito di condurre.</w:t>
      </w:r>
    </w:p>
    <w:p>
      <w:pPr>
        <w:spacing w:after="120" w:line="276"/>
        <w:jc w:val="both"/>
      </w:pPr>
      <w:r>
        <w:rPr>
          <w:rFonts w:ascii="Barlow Semi Condensed" w:cs="Barlow Semi Condensed" w:eastAsia="Barlow Semi Condensed" w:hAnsi="Barlow Semi Condensed"/>
          <w:sz w:val="24"/>
          <w:szCs w:val="24"/>
        </w:rPr>
        <w:t xml:space="preserve">La certificazione del nodo poggia su un fatto storico incontrovertibile, la cui data appartiene alla cronologia fondativa della conoscenza pubblica sugli apparati: il 24 ottobre 1990 il presidente del Consiglio Giulio Andreotti trasmise alla Commissione parlamentare d'inchiesta sulle stragi una relazione nella quale ammetteva ufficialmente l'esistenza di una struttura di informazione e sicurezza a carattere clandestino denominata Gladio, predisposta a partire dagli anni Cinquanta nel quadro degli accordi atlantici per garantire la continuità di una capacità informativa e resistenziale in caso di invasione e occupazione del territorio nazionale. Il registro certifica al Livello A, quale fatto documentale insuperabile, l'ammissione ufficiale del 1990 e il suo contenuto: l'esistenza della rete, la sua genesi negli anni Cinquanta, il suo raccordo con il servizio segreto militare e con la struttura atlantica. Prima di quella data, l'esistenza della struttura era stata negata o taciuta a ogni sede parlamentare e giudiziaria; dopo di essa, la rete divenne oggetto di indagine giudiziaria e di approfondimento parlamentare, i cui atti costituiscono il fondamento documentale del presente capitolo.</w:t>
      </w:r>
    </w:p>
    <w:p>
      <w:pPr>
        <w:spacing w:after="120" w:line="276"/>
        <w:jc w:val="both"/>
      </w:pPr>
      <w:r>
        <w:rPr>
          <w:rFonts w:ascii="Barlow Semi Condensed" w:cs="Barlow Semi Condensed" w:eastAsia="Barlow Semi Condensed" w:hAnsi="Barlow Semi Condensed"/>
          <w:sz w:val="24"/>
          <w:szCs w:val="24"/>
        </w:rPr>
        <w:t xml:space="preserve">Il primo pilastro probatorio è la struttura materiale della rete. Gli accertamenti seguiti alla rivelazione documentarono l'organizzazione della struttura: la sua base addestrativa nel Centro addestramento guastatori di Capo Marrargiu, in Sardegna, presso Bosa; l'esistenza di depositi occultati di armi, munizioni ed esplosivi, i cosiddetti Nasco, disseminati sul territorio; e l'elenco dei suoi appartenenti, i cosiddetti gladiatori, che la documentazione trasmessa quantificò in un numero collocato dalle fonti attorno alle 622 unità per l'elenco reso disponibile. Il registro certifica al Livello A, sul fondamento della documentazione ufficiale trasmessa e degli accertamenti successivi, l'esistenza della base di Capo Marrargiu, dei depositi Nasco e dell'elenco degli appartenenti, e ne trae la certificazione della natura materiale della rete: non un progetto sulla carta, ma una struttura dotata di uomini, mezzi, addestramento e depositi, operante nella clandestinità e sottratta a ogni controllo parlamentare per l'intera durata della sua esistenza segreta. La regolarità empirica documentata dal registro, secondo cui nessun apparato di sicurezza ha mai aperto spontaneamente i propri archivi, trova nel caso Gladio la sua conferma più netta: la rete fu rivelata non per iniziativa spontanea, ma nel quadro di una crisi giudiziaria e politica che ne rese insostenibile l'occultamento.</w:t>
      </w:r>
    </w:p>
    <w:p>
      <w:pPr>
        <w:spacing w:after="120" w:line="276"/>
        <w:jc w:val="both"/>
      </w:pPr>
      <w:r>
        <w:rPr>
          <w:rFonts w:ascii="Barlow Semi Condensed" w:cs="Barlow Semi Condensed" w:eastAsia="Barlow Semi Condensed" w:hAnsi="Barlow Semi Condensed"/>
          <w:sz w:val="24"/>
          <w:szCs w:val="24"/>
        </w:rPr>
        <w:t xml:space="preserve">Il secondo pilastro è la genesi atlantica, che colloca il nodo al centro della verifica di H1 e ne impone la trattazione più rigorosa dell'intera fase. La documentazione accertò che la struttura fu costituita nel quadro degli accordi tra il servizio informativo italiano e il servizio statunitense, e inserita nella pianificazione atlantica delle reti stay-behind predisposte in più Paesi dell'Europa occidentale nel medesimo periodo e per la medesima finalità dichiarata, la resistenza a un'eventuale occupazione. Il registro certifica al Livello A la genesi atlantica della rete e il suo raccordo con il servizio statunitense e con la struttura di coordinamento occidentale, quale fatto documentato dagli atti. Ma è precisamente qui che la disciplina anti-induttiva impone la distinzione capitale che governa l'intera valutazione di H1. La finalità dichiarata e documentata della rete, la resistenza in caso di invasione, è una finalità difensiva coerente con la logica dell'alleanza atlantica nel contesto della guerra fredda; essa non coincide con la finalità che l'ipotesi H1 postulerebbe, ossia la destabilizzazione interna quale strumento per impedire l'integrazione europea. Che la rete esistesse, fosse atlantica e fosse clandestina è certificato al Livello A; che essa sia stata impiegata in operazioni di destabilizzazione interna, e segnatamente nella strategia stragista, è ipotesi che il registro mantiene al Livello C, giacché gli accertamenti giudiziari sulle stragi non hanno stabilito un collegamento operativo diretto e provato tra la struttura Gladio in quanto tale e l'esecuzione delle stragi; e che tale eventuale impiego rispondesse a un disegno di contrasto all'integrazione europea è ipotesi ulteriore e distinta, priva di qualsiasi supporto documentale e anzi contraddetta dalla finalità difensiva dichiarata e dalla cornice dell'alleanza, che legava l'Italia agli stessi partner del processo di integrazione. Il registro pone qui, con la massima nettezza, il paletto metodologico: la certificazione dell'esistenza atlantica di una rete clandestina non è, di per sé, un elemento di supporto di H1, e anzi la cornice atlantica della rete milita, semmai, nella direzione del falsificatore milwardiano, giacché la medesima alleanza che predispose le reti stay-behind fu il quadro entro il quale il processo di integrazione europea si svolse con il sostegno, e non l'opposizione, della potenza egemone occidentale.</w:t>
      </w:r>
    </w:p>
    <w:p>
      <w:pPr>
        <w:spacing w:after="120" w:line="276"/>
        <w:jc w:val="both"/>
      </w:pPr>
      <w:r>
        <w:rPr>
          <w:rFonts w:ascii="Barlow Semi Condensed" w:cs="Barlow Semi Condensed" w:eastAsia="Barlow Semi Condensed" w:hAnsi="Barlow Semi Condensed"/>
          <w:sz w:val="24"/>
          <w:szCs w:val="24"/>
        </w:rPr>
        <w:t xml:space="preserve">Il terzo pilastro è l'esito giudiziario e la sua incompletezza. Le indagini seguite alla rivelazione, condotte da diverse autorità giudiziarie, accertarono l'esistenza e la struttura della rete ma non pervennero, quanto all'ipotesi del suo impiego eversivo, a esiti di condanna: i procedimenti si chiusero in larga parte con archiviazioni o con l'esclusione di responsabilità penali specifiche connesse a un impiego deviato della struttura in quanto tale, ferma restando la certificazione della sua esistenza e della sua clandestinità. Il registro certifica al Livello A tanto l'esistenza della rete quanto l'esito sostanzialmente non condannatorio quanto all'ipotesi dell'impiego eversivo, e ne trae la conseguenza metodologica: il nodo Gladio è certificato al massimo livello quale struttura clandestina atlantica esistita e occultata, ed è mantenuto al Livello C quanto all'ipotesi del suo impiego nella destabilizzazione interna, che gli accertamenti non hanno provato. La distinzione tra l'esistenza certificata e l'impiego ipotetico è la sostanza del caso, e la sua osservanza è la misura della distanza tra il registro e la pubblicistica che ha fatto di Gladio il nome onnicomprensivo di ogni deviazione, dissolvendo nella suggestione la differenza tra ciò che è provato e ciò che è congetturato.</w:t>
      </w:r>
    </w:p>
    <w:p>
      <w:pPr>
        <w:spacing w:after="120" w:line="276"/>
        <w:jc w:val="both"/>
      </w:pPr>
      <w:r>
        <w:rPr>
          <w:rFonts w:ascii="Barlow Semi Condensed" w:cs="Barlow Semi Condensed" w:eastAsia="Barlow Semi Condensed" w:hAnsi="Barlow Semi Condensed"/>
          <w:sz w:val="24"/>
          <w:szCs w:val="24"/>
        </w:rPr>
        <w:t xml:space="preserve">Il quarto pilastro, e il più significativo per la verifica di H1, è la reazione delle istituzioni europee alla rivelazione, che il registro assume quale reperto capitale e contro-intuitivo. All'indomani dell'ammissione italiana e delle analoghe rivelazioni in altri Paesi, il Parlamento europeo adottò, il 22 novembre 1990, una risoluzione sulla vicenda delle reti stay-behind, con la quale l'assemblea di Strasburgo prendeva atto dell'esistenza delle strutture clandestine nei Paesi membri, ne deplorava l'occultamento agli organi parlamentari nazionali e alle istituzioni comunitarie, e chiedeva un'indagine completa sulla loro natura, sulla loro composizione e sul loro eventuale ruolo in attività illegali. Il registro certifica al Livello A l'esistenza e il contenuto della risoluzione, quale atto ufficiale dell'istituzione parlamentare europea, e ne trae l'annotazione decisiva per la falsificazione di H1. L'ipotesi H1 postulerebbe che le reti stay-behind fossero strumento di una convergenza tra le potenze imperiali volta a impedire l'integrazione europea; ma il fatto documentato è l'esatto opposto, giacché fu precisamente l'istituzione parlamentare dell'integrazione europea, il Parlamento di Strasburgo, a farsi carico della denuncia delle reti e a esigerne l'accertamento. Se le reti stay-behind fossero state uno strumento di contrasto all'integrazione europea, l'organo rappresentativo di quell'integrazione non ne sarebbe stato il denunciante, ma l'oggetto o la vittima; il fatto che il Parlamento europeo abbia condannato le reti e ne abbia chiesto l'indagine milita frontalmente contro l'ipotesi H1, e conferma la lettura del fenomeno quale eredità clandestina della logica atlantica del confronto bipolare, sottoposta al vaglio critico delle istituzioni democratiche europee non appena la sua esistenza fu resa nota. Il registro segnala altresì che gli accertamenti condotti nei diversi Paesi, e la stessa istruttoria parlamentare europea, non pervennero a dimostrare un impiego coordinato delle reti in attività di destabilizzazione interna, sicché la richiesta di indagine, pienamente legittima, non si tradusse nell'accertamento di quell'impiego, che rimane pertanto al Livello C.</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Gladio-Capo Marrargiu-Nasco, è il triangolo della struttura materiale, certificato al Livello A dalla documentazione e dagli accertamenti. La seconda, Gladio-servizio militare-struttura atlantica, è il triangolo della genesi e del raccordo, certificato al Livello A quanto all'esistenza del raccordo e mantenuto al Livello C quanto alla sua torsione eversiva. La terza, Gladio-rivelazione 1990-inchieste, è il triangolo dell'emersione e dell'accertamento incompleto, certificato al Livello A quanto ai fatti e recante il reperto negativo dell'esito non condannatorio sull'impiego. Sul piano dei pattern, il nodo attiva il Pattern 11, l'analisi dell'isomorfismo strutturale, giacché la rete stay-behind italiana presenta la medesima topologia delle reti analoghe predisposte in altri Paesi occidentali, e tale isomorfismo, lungi dal provare una regia unica finalizzata alla destabilizzazione, si spiega con la necessità funzionale comune, la resistenza all'occupazione, secondo la distinzione tra origine comune, necessità funzionale e convergenza indipendente che il Pattern 11 impone di discriminare.</w:t>
      </w:r>
    </w:p>
    <w:p>
      <w:pPr>
        <w:spacing w:after="120" w:line="276"/>
        <w:jc w:val="both"/>
      </w:pPr>
      <w:r>
        <w:rPr>
          <w:rFonts w:ascii="Barlow Semi Condensed" w:cs="Barlow Semi Condensed" w:eastAsia="Barlow Semi Condensed" w:hAnsi="Barlow Semi Condensed"/>
          <w:sz w:val="24"/>
          <w:szCs w:val="24"/>
        </w:rPr>
        <w:t xml:space="preserve">La meccanica della rivelazione va restituita nella sua catena esatta, perché essa costituisce uno dei rari casi in cui il registro può osservare, passaggio per passaggio, il processo attraverso il quale un segreto di apparato diviene conoscenza pubblica. Il primo anello è giudiziario: nell'estate del 1990 il giudice istruttore veneziano Felice Casson, risalendo la filiera dell'esplosivo di Peteano, chiese ed ottenne dal presidente del Consiglio l'autorizzazione ad accedere agli archivi del servizio militare, ponendo all'esecutivo un quesito documentale al quale non era più possibile opporre il diniego di esistenza, Livello A. Il secondo anello è la risposta politica graduata: il 3 agosto 1990 Giulio Andreotti annunciò alla Commissione stragi l'esistenza di una struttura riservata per la resistenza in caso di invasione, ed il 24 ottobre consegnò la relazione che ne dichiarava nome, natura e cornice atlantica, cui seguì la trasmissione dell'elenco dei 622 nominativi, Livello A sull'intera scansione. Il terzo anello è la chiusura: la struttura fu dichiarata cessata alla fine di novembre del 1990, mentre le esternazioni del capo dello Stato Francesco Cossiga, che rivendicò con orgoglio la legittimità patriottica dell'organizzazione, aprivano il conflitto istituzionale che avrebbe accompagnato l'intera stagione degli accertamenti, Livello A quanto ai fatti pubblici. Il registro isola in questa catena il suo teorema: la rivelazione non nacque da una crisi dell'apparato ma da una domanda della giurisdizione, e ciò conferma che nel sistema italiano il codice capace di forzare il segreto non fu quello politico, che lo aveva custodito per 44 anni, ma quello giudiziario, quando seppe formulare la domanda giusta al livello giusto.</w:t>
      </w:r>
    </w:p>
    <w:p>
      <w:pPr>
        <w:spacing w:after="120" w:line="276"/>
        <w:jc w:val="both"/>
      </w:pPr>
      <w:r>
        <w:rPr>
          <w:rFonts w:ascii="Barlow Semi Condensed" w:cs="Barlow Semi Condensed" w:eastAsia="Barlow Semi Condensed" w:hAnsi="Barlow Semi Condensed"/>
          <w:sz w:val="24"/>
          <w:szCs w:val="24"/>
        </w:rPr>
        <w:t xml:space="preserve">Alla struttura materiale il capitolo aggiunge il dettaglio dei depositi, perché su di esso si misura la qualità del controllo. La documentazione consegnata al Parlamento censì una rete di nascondigli d'armi ed esplosivi, i Nasco, interrati in punti classificati del territorio; il loro ritiro fu disposto ed eseguito in larga parte già nei primi anni 70, ma le operazioni di recupero registrarono ammanchi e depositi non più rinvenuti, circostanza che gli atti certificano e che consegnò alla stagione successiva un interrogativo mai integralmente chiuso sulla sorte del materiale mancante, Livello A quanto al censimento ed agli ammanchi documentati, ferma restando, per ogni ipotesi di impiego di quel materiale, la disciplina del rinvio ai singoli giudicati che la Fase 3 osserva. Da ultimo, il registro annota l'esito del vaglio parlamentare sulla legittimità: la Commissione stragi produsse sul punto conclusioni non unanimi, divise tra la lettura della struttura quale strumento difensivo coperto ma riconducibile alla cornice atlantica e quella di un organismo sottratto ad ogni circuito autorizzativo costituzionale, Livello A quanto alla divisione documentata delle conclusioni: ancora una volta, come per il Piano Solo e per la P2, il fatto è certificato e la qualificazione contesa, e questa terza occorrenza consente al registro di promuovere l'osservazione a regolarità, la Repubblica accerta i propri segreti ma non delibera su di essi, ed il giudizio resta consegnato, in via permanente, alla concorrenza delle relazioni di maggioranza e di minoranza.</w:t>
      </w:r>
    </w:p>
    <w:p>
      <w:pPr>
        <w:spacing w:after="120" w:line="276"/>
        <w:jc w:val="both"/>
      </w:pPr>
      <w:r>
        <w:rPr>
          <w:rFonts w:ascii="Barlow Semi Condensed" w:cs="Barlow Semi Condensed" w:eastAsia="Barlow Semi Condensed" w:hAnsi="Barlow Semi Condensed"/>
          <w:sz w:val="24"/>
          <w:szCs w:val="24"/>
        </w:rPr>
        <w:t xml:space="preserve">L'anatomia della rete va completata con la sua collocazione ordinamentale e con la sua articolazione operativa, quali risultano dalla documentazione consegnata al Parlamento. La struttura fu incardinata, nelle sue stagioni mature, entro la ripartizione del servizio militare competente per le operazioni speciali ed il territorio, con una catena di comando ristretta che rispondeva al direttore pro tempore e, per la cornice internazionale, ai comitati di pianificazione alleati; l'ossatura clandestina si articolava in unità di guerriglia designate con nomi di copertura floreali e marini, tra le quali le fonti censiscono la Stella Alpina per il quadrante nord-orientale, accanto ad unità sorelle per gli altri scacchieri, ciascuna con compiti di esfiltrazione, informazione, sabotaggio e propaganda in caso di occupazione, Livello A quanto all'articolazione documentata. L'addestramento si svolgeva presso il Centro di Capo Marrargiu con il concorso di istruttori e materiali alleati, secondo cicli che la documentazione registra sin dagli anni 50, Livello A, e la composizione dell'elenco dei 622, prevalentemente civili insospettabili radicati nei territori di prevista operatività, con significativa concentrazione nelle regioni di confine orientale, risponde alla logica militare della rete dormiente, Livello A quanto alla composizione, Livello B quanto alle stime di distribuzione territoriale. Il registro consegna questi dati alla loro doppia lettura, che è il punto esatto in cui la certificazione si arresta: la medesima anatomia che documenta una rete difensiva conforme al modello atlantico documenta altresì un potenziale operativo domestico mai autorizzato da alcun circuito costituzionale, e la scelta tra le 2 letture non appartiene ai reperti ma ai codici, secondo la lezione ormai 3 volte verificata della fase.</w:t>
      </w:r>
    </w:p>
    <w:p>
      <w:pPr>
        <w:spacing w:after="120" w:line="276"/>
        <w:jc w:val="both"/>
      </w:pPr>
      <w:r>
        <w:rPr>
          <w:rFonts w:ascii="Barlow Semi Condensed" w:cs="Barlow Semi Condensed" w:eastAsia="Barlow Semi Condensed" w:hAnsi="Barlow Semi Condensed"/>
          <w:sz w:val="24"/>
          <w:szCs w:val="24"/>
        </w:rPr>
        <w:t xml:space="preserve">Alla struttura va aggiunto il suo atto individuale di fondazione, la procedura di arruolamento, che la documentazione consegnata al Parlamento descrive con precisione notarile: il reclutamento per cooptazione fiduciaria, il vaglio riservato dell'affidabilità, la sottoscrizione di un impegno di segretezza e di fedeltà con formule di giuramento, l'addestramento individuale o per piccoli nuclei presso il Centro sardo, la riconsegna alla vita civile in condizione dormiente, Livello A quanto alla procedura documentata. Il registro vi legge la cifra antropologica della rete: 622 cittadini vincolati da un giuramento che lo Stato, il quale lo riceveva, negava a sé stesso di aver mai richiesto, la fedeltà a una Repubblica che non poteva riconoscere i propri fedeli. Quanto all'esito giudiziario complessivo, le inchieste aperte dopo la rivelazione presso più uffici giudiziari si chiusero, quanto alla struttura in sé, senza condanne, tra archiviazioni e proscioglimenti, non risultando integrati, per il giudice, gli estremi delle fattispecie associative contestate, Livello A quanto agli esiti, mentre sull'elenco dei 622 si appuntarono, negli anni, contestazioni di incompletezza mai risolte in accertamento, Livello C quanto ad ogni ipotesi di elenchi ulteriori. La rete uscì così dalla storia giudiziaria come vi era entrata, per via di documenti e non di sentenze: certificata nell'esistenza, assolta nella forma, indecidibile nella sostanza, ed il registro la consegna alla Fase 5, dove il confronto con le reti sorelle europee restituirà all'anomalia italiana la sua esatta misura comparativa.</w:t>
      </w:r>
    </w:p>
    <w:p>
      <w:pPr>
        <w:spacing w:after="120" w:line="276"/>
        <w:jc w:val="both"/>
      </w:pPr>
      <w:r>
        <w:rPr>
          <w:rFonts w:ascii="Barlow Semi Condensed" w:cs="Barlow Semi Condensed" w:eastAsia="Barlow Semi Condensed" w:hAnsi="Barlow Semi Condensed"/>
          <w:sz w:val="24"/>
          <w:szCs w:val="24"/>
        </w:rPr>
        <w:t xml:space="preserve">All'anatomia della rete va premesso il suo atto di nascita documentale, che la desecretazione del 1990 restituì e che il registro certifica quale fondamento archivistico dell'intero nodo: l'accordo bilaterale tra il servizio segreto militare italiano e l'agenzia americana, sottoscritto il 26 novembre 1956, che istituiva l'organizzazione di resistenza clandestina in territorio nazionale definendone finalità, ripartizione degli oneri e canali di direzione, cui seguirono nel tempo le direttive interne di organizzazione che gli atti trasmessi al Parlamento documentano, Livello A quanto all'atto, alla data ed al contenuto, resi pubblici nella stagione della disclosure. Il registro sottolinea la portata metodologica del reperto: la data del 1956 retrodata la struttura di un decennio abbondante rispetto alla percezione pubblica formatasi nel 1990, collocandone la fondazione nel cuore del primo decennio repubblicano, prima della stagione dei piani e dei tentativi censiti nei capitoli precedenti, sicché ogni analisi delle finestre critiche successive deve assumere la rete non quale variabile sopraggiunta ma quale costante di fondo, operativa e riservata, dell'intero arco temporale che l'opera copre. La consegna alla Fase 5, dove le reti sorelle continentali riceveranno il loro censimento, è già scritta in quell'atto: l'architettura era bilaterale nella firma e multilaterale nella logica, ed il documento del 1956 è il primo reperto italiano di un sistema che solo la comparazione internazionale avrebbe reso interamente leggibile.</w:t>
      </w:r>
    </w:p>
    <w:p>
      <w:pPr>
        <w:spacing w:after="120" w:line="276"/>
        <w:jc w:val="both"/>
      </w:pPr>
      <w:r>
        <w:rPr>
          <w:rFonts w:ascii="Barlow Semi Condensed" w:cs="Barlow Semi Condensed" w:eastAsia="Barlow Semi Condensed" w:hAnsi="Barlow Semi Condensed"/>
          <w:sz w:val="24"/>
          <w:szCs w:val="24"/>
        </w:rPr>
        <w:t xml:space="preserve">La rivelazione del 1990 ebbe infine la sua doppia retorica istituzionale, che il registro censisce quale reperto sulla gestione dell'autodisvelamento: alla comunicazione tecnica del presidente del Consiglio, che consegnò al Parlamento l'esistenza, la struttura e gli elenchi della rete nel registro asciutto dell'adempimento dovuto, si affiancò la rivendicazione politica del capo dello Stato, che difese pubblicamente gli uomini della rete quali patrioti ed elevò la propria personale partecipazione alla vicenda a titolo d'onore, aprendo un conflitto interpretativo pubblico sulla natura della struttura, adempimento atlantico legittimo o vulnus costituzionale, che attraversò le istituzioni sino allo scontro con la magistratura inquirente ed alle soglie di procedure costituzionali estreme, Livello A quanto alle 2 linee pubbliche ed al conflitto documentato. Il registro consegna il doppio registro alla sua funzione: la medesima rivelazione fu simultaneamente amministrata come pratica da chiudere e brandita come bandiera da rivendicare, e questa scissione al vertice dello Stato, consumata davanti all'opinione pubblica, è essa stessa la miglior prova che la rete non era mai stata, per la Repubblica, un semplice strumento tecnico: gli strumenti tecnici si dichiarano e si archiviano, e ciò che invece dovette essere difeso, rivendicato e conteso tra le più alte cariche era, con ogni evidenza, una scelta di campo che il Paese non aveva mai potuto votare, e sulla quale i suoi vertici, potendone finalmente parlare, scoprirono di non essere d'accordo nemmeno tra loro.</w:t>
      </w:r>
    </w:p>
    <w:p>
      <w:pPr>
        <w:spacing w:after="120" w:line="276"/>
        <w:jc w:val="both"/>
      </w:pPr>
      <w:r>
        <w:rPr>
          <w:rFonts w:ascii="Barlow Semi Condensed" w:cs="Barlow Semi Condensed" w:eastAsia="Barlow Semi Condensed" w:hAnsi="Barlow Semi Condensed"/>
          <w:sz w:val="24"/>
          <w:szCs w:val="24"/>
        </w:rPr>
        <w:t xml:space="preserve">Il fenomeno esige infine il suo censimento sociologico, che il registro formula quale Stato Zero più singolare del capitolo: la rete clandestina mantenne il proprio segreto per 4 decenni attraverso centinaia di reclutati civili, cittadini comuni distribuiti sul territorio e vincolati da giuramento, senza che una sola fuga di notizie organica, una defezione pubblica od una rivelazione giornalistica alimentata dall'interno ne squarciasse l'esistenza prima dell'ammissione governativa del 1990, Livello A quanto alla tenuta quarantennale del segreto, documentata a contrario dall'assenza di ogni emersione anteriore. Il registro consegna la tenuta alla sua doppia lettura: sul piano tecnico, essa certifica la qualità della compartimentazione, con reclutati ignari gli uni degli altri e legati verticalmente alla sola struttura; sul piano civile, essa documenta il fenomeno che il corpus registra con maggiore inquietudine metodologica, la capacità di una democrazia di contenere al proprio interno, per 2 generazioni, un segreto di massa perfettamente conservato, perché i segreti dei vertici appartengono alla fisiologia di ogni Stato, ma un segreto mantenuto da centinaia di cittadini comuni per 40 anni dimostra che la riservatezza totale non è una prerogativa degli apparati, è una possibilità permanente delle società, e questa possibilità, provata una volta, non è revocabile: ciò che fu tenuto segreto una volta può esserlo ancora, ed il registro, che vive di carte emerse, deve dichiarare al lettore questa ipoteca su tutto ciò che non è emerso.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Gladio è certificato al Livello A quale rete clandestina stay-behind di genesi atlantica, dotata di base addestrativa, depositi di armi ed elenco di appartenenti, esistita e occultata al Parlamento per oltre 4 decenni fino alla rivelazione ufficiale del 24 ottobre 1990; l'ipotesi del suo impiego nella destabilizzazione interna resta al Livello C, non essendo stata provata dagli accertamenti giudiziari, e l'ipotesi ulteriore di una sua funzione di contrasto all'integrazione europea è priva di supporto documentale e contraddetta dalla cornice atlantica della rete, sicché il nodo, lungi dal sostenere l'ipotesi H1, milita nella direzione del falsificatore milwardiano.</w:t>
      </w:r>
    </w:p>
    <w:p>
      <w:pPr>
        <w:pStyle w:val="Heading3"/>
        <w:spacing w:after="80" w:before="160"/>
      </w:pPr>
      <w:r>
        <w:rPr>
          <w:rFonts w:ascii="Barlow Semi Condensed" w:cs="Barlow Semi Condensed" w:eastAsia="Barlow Semi Condensed" w:hAnsi="Barlow Semi Condensed"/>
          <w:sz w:val="24"/>
          <w:szCs w:val="24"/>
        </w:rPr>
        <w:t xml:space="preserve">Capitolo 6 — ▶ Junio Valerio Borghese. Il golpe dei nostalgici e la mediazione occulta</w:t>
      </w:r>
    </w:p>
    <w:p>
      <w:pPr>
        <w:spacing w:after="120" w:line="276"/>
        <w:jc w:val="both"/>
      </w:pPr>
      <w:r>
        <w:rPr>
          <w:rFonts w:ascii="Barlow Semi Condensed" w:cs="Barlow Semi Condensed" w:eastAsia="Barlow Semi Condensed" w:hAnsi="Barlow Semi Condensed"/>
          <w:sz w:val="24"/>
          <w:szCs w:val="24"/>
        </w:rPr>
        <w:t xml:space="preserve">Junio Valerio Borghese, nato a Roma il 6 giugno 1906 e morto a Cadice il 26 agosto 1974, comandante durante la guerra della Decima Flottiglia MAS e successivamente figura di riferimento dell'eversione nera del dopoguerra, è il nodo attraverso il quale il registro certifica il tentativo eversivo che diede nome a una stagione e che salda, in un solo evento, i Domini 7, 3, 1 e 6. La scansione del corpus lo registra 941 volte in 48 documenti, frequenza che ne fa uno dei nodi più densi del versante eversivo e che riflette la centralità della vicenda golpista del dicembre 1970 nell'intera ricostruzione della strategia della tensione. Il nodo era già comparso nella Fase 1 attraverso lo snodo Borghese-Sindona, certificato al Livello B sulla scorta della testimonianza di Buscetta relativa ai 3 tentativi golpisti a mediazione massonica; il presente capitolo ne ricostruisce il profilo proprio quale attore del Dominio 7 in accoppiamento con gli apparati.</w:t>
      </w:r>
    </w:p>
    <w:p>
      <w:pPr>
        <w:spacing w:after="120" w:line="276"/>
        <w:jc w:val="both"/>
      </w:pPr>
      <w:r>
        <w:rPr>
          <w:rFonts w:ascii="Barlow Semi Condensed" w:cs="Barlow Semi Condensed" w:eastAsia="Barlow Semi Condensed" w:hAnsi="Barlow Semi Condensed"/>
          <w:sz w:val="24"/>
          <w:szCs w:val="24"/>
        </w:rPr>
        <w:t xml:space="preserve">La biografia colloca Borghese, dopo la vicenda bellica e il processo del dopoguerra per collaborazionismo, al vertice simbolico e organizzativo dell'eversione nostalgica. Fondatore e presidente del Fronte Nazionale, organizzazione della destra radicale costituita alla fine degli anni Sessanta, Borghese raccolse attorno a sé ambienti reduci, gruppi dell'eversione neofascista e settori disponibili all'azione illegale contro l'assetto repubblicano. Il registro certifica al Livello A, sul fondamento degli atti processuali e delle ricostruzioni documentali, il ruolo di Borghese quale fondatore del Fronte Nazionale e quale figura di riferimento dell'eversione nera, e annota la continuità con il documento più risalente del corpus su questo versante, l'informativa della Central Intelligence Agency del 14 novembre 1951 sulle attività neofasciste in Italia, che già collocava il principe Borghese al centro degli ambienti della destra radicale e ne registrava i collegamenti e i finanziamenti: un reperto che il registro certifica al Livello A quale fonte documentale coeva e che retrodata di quasi 2 decenni l'osservazione internazionale sul nodo.</w:t>
      </w:r>
    </w:p>
    <w:p>
      <w:pPr>
        <w:spacing w:after="120" w:line="276"/>
        <w:jc w:val="both"/>
      </w:pPr>
      <w:r>
        <w:rPr>
          <w:rFonts w:ascii="Barlow Semi Condensed" w:cs="Barlow Semi Condensed" w:eastAsia="Barlow Semi Condensed" w:hAnsi="Barlow Semi Condensed"/>
          <w:sz w:val="24"/>
          <w:szCs w:val="24"/>
        </w:rPr>
        <w:t xml:space="preserve">Il primo pilastro probatorio è il tentativo eversivo del dicembre 1970, il cosiddetto golpe Borghese. Nella notte tra il 7 e l'8 dicembre 1970, la notte dell'Immacolata, prese avvio un tentativo di sovvertimento dell'ordine costituzionale che prevedeva l'occupazione di obiettivi nevralgici della capitale, tra cui il Ministero dell'interno, la sede della radiotelevisione e i centri di comunicazione, con il concorso di reparti e di gruppi dell'eversione nera. L'azione, avviata, fu interrotta e fatta rientrare nel corso della medesima notte, per ragioni che gli accertamenti non hanno integralmente chiarito e che alimentarono l'ipotesi di un contrordine impartito da un livello superiore. Il registro certifica al Livello A, sul fondamento degli atti giudiziari, l'esistenza materiale del tentativo, la sua articolazione operativa e la sua interruzione nel corso della notte; e mantiene al Livello C l'ipotesi sulla natura e sull'origine del contrordine, che gli accertamenti non hanno stabilito. Alla vicenda partecipò, quale organizzatore di uno dei settori operativi, Stefano Delle Chiaie, fondatore di Avanguardia Nazionale, che la Fase 3 tratterà nel suo contesto e che qui compare quale esecutore di primo piano dell'azione.</w:t>
      </w:r>
    </w:p>
    <w:p>
      <w:pPr>
        <w:spacing w:after="120" w:line="276"/>
        <w:jc w:val="both"/>
      </w:pPr>
      <w:r>
        <w:rPr>
          <w:rFonts w:ascii="Barlow Semi Condensed" w:cs="Barlow Semi Condensed" w:eastAsia="Barlow Semi Condensed" w:hAnsi="Barlow Semi Condensed"/>
          <w:sz w:val="24"/>
          <w:szCs w:val="24"/>
        </w:rPr>
        <w:t xml:space="preserve">Il secondo pilastro esige il riporto per esteso dell'esito giudiziario, in ossequio alla regola del registro. Il procedimento penale per il tentativo golpista del dicembre 1970 si concluse, dopo la condanna di alcuni imputati in primo grado, con l'assoluzione in grado d'appello della gran parte degli imputati dall'accusa di insurrezione armata contro i poteri dello Stato, con derubricazione delle residue responsabilità; la sentenza d'appello del 1984 riformò in senso largamente assolutorio le statuizioni di primo grado. Borghese medesimo era nel frattempo deceduto a Cadice, in Spagna, dove si era rifugiato dopo il fallimento del tentativo, il 26 agosto 1974, sottraendosi al giudizio. Il registro certifica al Livello A tanto l'esistenza del tentativo quanto l'esito largamente assolutorio del procedimento, e ne trae la conseguenza metodologica: il nodo Borghese certifica al Livello A il fatto storico di un tentativo eversivo materialmente avviato e interrotto, ma l'esito giudiziario ha escluso, per la gran parte degli imputati, la sussistenza del più grave reato contestato, sicché la qualificazione dell'evento quale golpe compiutamente organizzato e prossimo alla riuscita, ovvero quale mera velleità circoscritta, resta oggetto di controversia storiografica che il registro non risolve, attestandosi sul dato certo dell'avvio materiale e dell'interruzione e sull'esito assolutorio.</w:t>
      </w:r>
    </w:p>
    <w:p>
      <w:pPr>
        <w:spacing w:after="120" w:line="276"/>
        <w:jc w:val="both"/>
      </w:pPr>
      <w:r>
        <w:rPr>
          <w:rFonts w:ascii="Barlow Semi Condensed" w:cs="Barlow Semi Condensed" w:eastAsia="Barlow Semi Condensed" w:hAnsi="Barlow Semi Condensed"/>
          <w:sz w:val="24"/>
          <w:szCs w:val="24"/>
        </w:rPr>
        <w:t xml:space="preserve">Il terzo pilastro è l'osservazione internazionale precoce del nodo, documentata dall'informativa della Central Intelligence Agency del 14 novembre 1951, che il registro assume quale reperto documentale di eccezionale valore per la retrodatazione della vigilanza atlantica sull'eversione italiana. Il documento, classificato all'origine come segreto e successivamente desecretato, presente nel corpus nella sua estrazione integrale, riferiva informazioni datate all'ottobre 1951 sulle attività neofasciste in Italia, e collocava il principe Borghese al centro degli ambienti della destra radicale, registrandone i collegamenti con la X Flottiglia MAS ricostituita in chiave politica, con il Movimento sociale italiano, e con circuiti di finanziamento che il documento riconduceva ad ambienti franchisti spagnoli, oltre a menzionare l'esistenza di squadre d'azione. Il registro certifica al Livello A l'esistenza e il contenuto del documento quale fonte coeva prodotta dal servizio informativo statunitense, e ne trae 2 annotazioni. La prima è cronologica: la vigilanza informativa internazionale sul nodo Borghese e sugli ambienti dell'eversione nera è documentata sin dal 1951, ossia quasi 2 decenni prima del tentativo golpista, il che retrodata di gran lunga l'osservazione atlantica sul fenomeno e conferma che gli apparati alleati ne seguivano gli sviluppi. La seconda annotazione concerne, ancora una volta, la verifica di H1 e va formulata con precisione. Il documento del 1951 attesta che il servizio statunitense sorvegliava e schedava l'eversione nera italiana; questo dato non prova né una regia statunitense su tale eversione, che il documento non afferma, né tanto meno una convergenza tra il servizio statunitense e quello sovietico, della quale non v'è traccia; esso documenta un'attività informativa di sorveglianza, coerente con la logica del confronto bipolare, nella quale la potenza occidentale monitorava tanto la sinistra quanto le frange eversive di destra potenzialmente destabilizzanti. Il registro annota il finanziamento franchista riferito dal documento quale primo affioramento, sin dal 1951, della dimensione iberica dell'eversione nera, che la Fase 5 ritroverà nella latitanza spagnola dello stesso Borghese e di altri protagonisti; e mantiene al Livello B, in quanto riferito da singola fonte informativa coeva ancorché autorevole, il dato del finanziamento franchista, in attesa dei riscontri che la fase internazionale potrà fornire.</w:t>
      </w:r>
    </w:p>
    <w:p>
      <w:pPr>
        <w:spacing w:after="120" w:line="276"/>
        <w:jc w:val="both"/>
      </w:pPr>
      <w:r>
        <w:rPr>
          <w:rFonts w:ascii="Barlow Semi Condensed" w:cs="Barlow Semi Condensed" w:eastAsia="Barlow Semi Condensed" w:hAnsi="Barlow Semi Condensed"/>
          <w:sz w:val="24"/>
          <w:szCs w:val="24"/>
        </w:rPr>
        <w:t xml:space="preserve">Il quarto pilastro è la mediazione occulta e l'accoppiamento con il Dominio 1, che salda il nodo alla Fase 1 e ne costituisce l'elemento di maggiore interesse strutturale. La testimonianza di Tommaso Buscetta, resa nell'ambito dei procedimenti sui rapporti tra mafia e politica e recepita dal registro nella Fase 1, riferì che a Cosa Nostra fu richiesta, per il tramite di ambienti massonici, la disponibilità a concorrere ad almeno uno dei tentativi golpisti di quella stagione, e collocò tale richiesta nel quadro di una trilogia di progetti eversivi che avrebbero visto la partecipazione di ambienti finanziari, tra cui quello di Michele Sindona. Il registro certifica al Livello B, sul fondamento della testimonianza di Buscetta riscontrata nel ciclo processuale ma non consacrata da condanna specifica sul punto, l'esistenza della richiesta di concorso rivolta a Cosa Nostra per il tramite massonico e la connessione con ambienti finanziari; e mantiene al Livello C l'estensione di tale accertamento a un disegno unitario e sovrastante. L'interesse strutturale del dato è massimo: il tentativo golpista del dicembre 1970 è il primo evento del registro in cui convergono, secondo gli accertamenti disponibili, il Dominio 7 dell'eversione, il Dominio 4 della massoneria quale mediatore, il Dominio 1 della mafia quale forza richiesta, il Dominio 6 della finanza quale possibile sostegno, e in cui affiora, sullo sfondo, la questione della condotta degli apparati, giacché il servizio militare diretto da Miceli disponeva di informazioni sull'iniziativa. È il primo affioramento, nel registro, di quella convergenza multidominio che la strategia della tensione realizzerà, e la sua trattazione anticipata nella Fase 2 si giustifica precisamente in ragione del suo essere il punto in cui il versante eversivo si accoppia agli apparati.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Borghese-Fronte Nazionale-Delle Chiaie, è il triangolo organizzativo dell'eversione nera, certificato al Livello A quanto alla struttura e alla partecipazione. La seconda, Borghese-mediazione massonica-Cosa Nostra, è il triangolo dell'accoppiamento con il Dominio 1 per il tramite del Dominio 4, certificato al Livello B dalla testimonianza riscontrata di Buscetta. La terza, Borghese-Sindona-finanziamento, è il triangolo del sostegno finanziario, certificato al Livello B e già inventariato nella Fase 1. Sul piano dei pattern, il nodo attiva il Pattern 3, l'analisi temporale, giacché il tentativo del dicembre 1970 si colloca nella finestra critica successiva alla strage di Piazza Fontana e apre la sequenza eversiva che la Fase 3 ricostruirà; e attiva il Pattern 6, l'analisi delle ipotesi concorrenti, quanto alla natura del contrordine e all'entità reale del tentativo, rispetto ai quali il registro mantiene aperte le ipotesi alternative, in assenza di accertamenti dirimenti.</w:t>
      </w:r>
    </w:p>
    <w:p>
      <w:pPr>
        <w:spacing w:after="120" w:line="276"/>
        <w:jc w:val="both"/>
      </w:pPr>
      <w:r>
        <w:rPr>
          <w:rFonts w:ascii="Barlow Semi Condensed" w:cs="Barlow Semi Condensed" w:eastAsia="Barlow Semi Condensed" w:hAnsi="Barlow Semi Condensed"/>
          <w:sz w:val="24"/>
          <w:szCs w:val="24"/>
        </w:rPr>
        <w:t xml:space="preserve">La notte dell'Immacolata va corredata dei suoi reperti materiali accertati, che sottraggono l'episodio tanto alla minimizzazione quanto alla leggenda. Gli accertamenti processuali consegnarono al giudicato la materialità di alcuni movimenti: la penetrazione di un gruppo di congiurati nell'armeria del Ministero dell'interno, con la temporanea disponibilità di armamento poi restituito, il concentramento di aderenti in punti di raccolta della capitale, l'allertamento di reparti collaterali tra cui un contingente di guardie forestali affluito da Cittaducale, e quindi, a mobilitazione avviata, il contrordine impartito dallo stesso Borghese per canali mai integralmente chiariti, che dissolse l'operazione prima dell'irreparabile, Livello A quanto ai movimenti materiali accertati nelle sentenze, Livello C quanto alle ragioni del contrordine, sulle quali le ricostruzioni divergono senza che alcuna abbia conseguito consacrazione giudiziale. Su questa materialità si innestò il paradosso qualificatorio che il capitolo ha già riportato: l'appello del 1984, confermato in cassazione, escluse la sussistenza del fatto quale insurrezione armata, consegnando alla storia repubblicana un tentativo materialmente avvenuto e giuridicamente inesistente, ed il registro, che non giudica i giudicati ma li censisce, annota la forbice tra accertamento storico e qualificazione penale quale caso di scuola della complementarità dei codici già teorizzata nella Fase 1.</w:t>
      </w:r>
    </w:p>
    <w:p>
      <w:pPr>
        <w:spacing w:after="120" w:line="276"/>
        <w:jc w:val="both"/>
      </w:pPr>
      <w:r>
        <w:rPr>
          <w:rFonts w:ascii="Barlow Semi Condensed" w:cs="Barlow Semi Condensed" w:eastAsia="Barlow Semi Condensed" w:hAnsi="Barlow Semi Condensed"/>
          <w:sz w:val="24"/>
          <w:szCs w:val="24"/>
        </w:rPr>
        <w:t xml:space="preserve">Un capitolo interno alla vicenda appartiene però più agli apparati che ai congiurati, ed è la gestione informativa del dopo. Gli atti processuali e parlamentari documentano che il servizio raccolse, sin dal 1971, un corpo cospicuo di informazioni sul tentativo, incluse le registrazioni effettuate dal capitano Antonio Labruna con i protagonisti, e che il fascicolo trasmesso all'autorità giudiziaria nel 1974 risultò epurato di riferimenti a personalità ed articolazioni che la versione integrale conteneva: la manipolazione del malloppo, accertata nel ciclo processuale che coinvolse i vertici del servizio, costituisce il ponte documentale che salda questo capitolo ai capitoli 2 e 3 della fase, Livello A quanto alla trasmissione ritardata ed alle omissioni accertate, nei limiti dei rispettivi giudicati. Il registro vi legge la conferma di un teorema già enunciato: nel sistema della deviazione, l'apparato non organizza l'evento, ne amministra la conoscenza, e la differenza tra le 2 funzioni, che la pubblicistica confonde di continuo, è esattamente la differenza tra ciò che i processi hanno provato e ciò che hanno escluso.</w:t>
      </w:r>
    </w:p>
    <w:p>
      <w:pPr>
        <w:spacing w:after="120" w:line="276"/>
        <w:jc w:val="both"/>
      </w:pPr>
      <w:r>
        <w:rPr>
          <w:rFonts w:ascii="Barlow Semi Condensed" w:cs="Barlow Semi Condensed" w:eastAsia="Barlow Semi Condensed" w:hAnsi="Barlow Semi Condensed"/>
          <w:sz w:val="24"/>
          <w:szCs w:val="24"/>
        </w:rPr>
        <w:t xml:space="preserve">La genealogia del nodo esige il suo antefatto giudiziario e il suo salvataggio fondativo. Nella primavera del 1945 il comandante della Decima, sottratto alla resa dei conti insurrezionale, fu prelevato e trasferito a Roma sotto protezione alleata per iniziativa di ufficiali del controspionaggio americano, secondo una ricostruzione consolidata nella storiografia e nelle stesse fonti d'oltreoceano, Livello A quanto al trasferimento protetto; il successivo processo per collaborazionismo si chiuse nel 1949 con una condanna ampiamente assorbita da amnistia e detrazioni, che ne determinò l'immediata liberazione, Livello A. Il registro salda i 2 reperti in un teorema genetico: l'uomo che 25 anni dopo avrebbe guidato il tentativo della notte dell'Immacolata dovette la propria sopravvivenza politica, ed anzi fisica, alla precoce valutazione alleata della sua utilità anticomunista, sicché l'informativa del 1951 che il capitolo ha censito non fotografa un sorvegliato ma un investimento, e l'intera parabola del Fronte Nazionale, con i suoi gruppi paralleli ed il suo reclutamento tra nostalgici ed apparati, si svolse entro un campo di tolleranza internazionale che gli accertamenti hanno documentato nella sua esistenza senza mai poterne misurare i confini operativi, Livello B quanto alla qualificazione del campo. La fuga spagnola del gennaio 1971, all'emissione dei provvedimenti romani, e la morte a Cadice il 26 agosto 1974, in un esilio franchista che fu anche l'ultimo approdo coerente della biografia, chiudono il nodo su una geografia che la Fase 5 riprenderà: la penisola iberica quale retrovia continentale dell'eversione, il santuario dove i capitoli italiani andavano a morire ed a rigenerarsi.</w:t>
      </w:r>
    </w:p>
    <w:p>
      <w:pPr>
        <w:spacing w:after="120" w:line="276"/>
        <w:jc w:val="both"/>
      </w:pPr>
      <w:r>
        <w:rPr>
          <w:rFonts w:ascii="Barlow Semi Condensed" w:cs="Barlow Semi Condensed" w:eastAsia="Barlow Semi Condensed" w:hAnsi="Barlow Semi Condensed"/>
          <w:sz w:val="24"/>
          <w:szCs w:val="24"/>
        </w:rPr>
        <w:t xml:space="preserve">La contabilità processuale del tentativo va infine consegnata nei suoi ordini di grandezza, perché i numeri descrivono la parabola meglio di ogni aggettivo: decine di imputati rinviati a giudizio all'esito dell'istruttoria romana, un primo grado, nel luglio 1978, che pronunciò condanne per cospirazione a carico di un gruppo di organizzatori ed esecutori, escludendo già allora la fattispecie insurrezionale, ed un appello, nel novembre 1984, che travolse anche quelle condanne assolvendo tutti gli imputati con la formula che il capitolo ha riportato, resa irrevocabile dalla Cassazione, Livello A sull'intera scansione. Tra il primo ed il secondo grado corre un sessennio nel quale il quadro probatorio non si accrebbe ma si assottigliò, per la morte di protagonisti e testimoni e per la progressiva emersione delle manipolazioni documentali del 1974 che, minando l'attendibilità del materiale d'apparato, finirono paradossalmente per giovare agli imputati che quel materiale accusava: sicché il depistaggio censito nel secondo paragrafo produsse il suo effetto pieno non impedendo il processo ma svuotandolo, e la fase consegna alle successive questa meccanica raffinata, l'inquinamento della fonte quale forma differita di assoluzione, che il registro ritroverà, identica, nei grandi processi per le stragi.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Borghese è certificato al Livello A quale artefice del tentativo eversivo materialmente avviato e interrotto nella notte tra il 7 e l'8 dicembre 1970, con esito giudiziario largamente assolutorio riportato per esteso; la richiesta di concorso rivolta a Cosa Nostra per il tramite di ambienti massonici e la connessione con ambienti finanziari sono certificate al Livello B sulla scorta della testimonianza riscontrata di Buscetta; il tentativo del dicembre 1970 è registrato quale primo affioramento della convergenza multidominio tra eversione, massoneria, mafia e finanza che la strategia della tensione realizzerà, e la sua natura e portata reali restano oggetto di ipotesi concorrenti non dirimibili allo stato degli accertamenti.</w:t>
      </w:r>
    </w:p>
    <w:p>
      <w:pPr>
        <w:pStyle w:val="Heading3"/>
        <w:spacing w:after="80" w:before="160"/>
      </w:pPr>
      <w:r>
        <w:rPr>
          <w:rFonts w:ascii="Barlow Semi Condensed" w:cs="Barlow Semi Condensed" w:eastAsia="Barlow Semi Condensed" w:hAnsi="Barlow Semi Condensed"/>
          <w:sz w:val="24"/>
          <w:szCs w:val="24"/>
        </w:rPr>
        <w:t xml:space="preserve">Capitolo 7 — ▶ Edgardo Sogno. Il golpe bianco e la rete anticomunista</w:t>
      </w:r>
    </w:p>
    <w:p>
      <w:pPr>
        <w:spacing w:after="120" w:line="276"/>
        <w:jc w:val="both"/>
      </w:pPr>
      <w:r>
        <w:rPr>
          <w:rFonts w:ascii="Barlow Semi Condensed" w:cs="Barlow Semi Condensed" w:eastAsia="Barlow Semi Condensed" w:hAnsi="Barlow Semi Condensed"/>
          <w:sz w:val="24"/>
          <w:szCs w:val="24"/>
        </w:rPr>
        <w:t xml:space="preserve">Edgardo Sogno Rata del Vallino, nato a Torino il 21 dicembre 1915 e morto a Torino il 5 agosto 2000, partigiano azionista e poi diplomatico, organizzatore di reti anticomuniste, è il nodo attraverso il quale il registro estende la mappa dell'eversione dal versante nostalgico e neofascista, incarnato da Borghese, al versante che si richiamava alla tradizione liberale e resistenziale ma perseguiva anch'esso la torsione autoritaria dell'ordine repubblicano in funzione anticomunista. La scansione del corpus lo registra 274 volte in 21 documenti. Il nodo è di particolare valore per il registro perché dimostra che la deviazione autoritaria non fu appannaggio esclusivo dell'area nera, ma attraversò trasversalmente lo schieramento anticomunista, saldando il Dominio 2 al Dominio 3 e al Dominio 7 attraverso una figura di impeccabile biografia antifascista.</w:t>
      </w:r>
    </w:p>
    <w:p>
      <w:pPr>
        <w:spacing w:after="120" w:line="276"/>
        <w:jc w:val="both"/>
      </w:pPr>
      <w:r>
        <w:rPr>
          <w:rFonts w:ascii="Barlow Semi Condensed" w:cs="Barlow Semi Condensed" w:eastAsia="Barlow Semi Condensed" w:hAnsi="Barlow Semi Condensed"/>
          <w:sz w:val="24"/>
          <w:szCs w:val="24"/>
        </w:rPr>
        <w:t xml:space="preserve">La biografia colloca Sogno agli antipodi apparenti di Borghese: medaglia d'oro della Resistenza, esponente del Partito d'Azione, diplomatico di carriera, Sogno fu, sin dai primi anni Cinquanta, l'organizzatore di strutture anticomuniste operanti nel quadro della guerra fredda. Il registro certifica al Livello A, sul fondamento delle ricostruzioni documentali e delle stesse memorie del protagonista, il ruolo di Sogno quale fondatore e animatore, nella prima metà degli anni Cinquanta, dell'organizzazione Pace e Libertà, struttura di propaganda e di azione anticomunista attiva sul terreno sindacale e politico, che operò in collegamento con ambienti atlantici e con settori degli apparati. Il nodo salda così, sin dalle origini, la militanza anticomunista alla dimensione internazionale del confronto bipolare, e prefigura il circuito che il capitolo 8 tratterà.</w:t>
      </w:r>
    </w:p>
    <w:p>
      <w:pPr>
        <w:spacing w:after="120" w:line="276"/>
        <w:jc w:val="both"/>
      </w:pPr>
      <w:r>
        <w:rPr>
          <w:rFonts w:ascii="Barlow Semi Condensed" w:cs="Barlow Semi Condensed" w:eastAsia="Barlow Semi Condensed" w:hAnsi="Barlow Semi Condensed"/>
          <w:sz w:val="24"/>
          <w:szCs w:val="24"/>
        </w:rPr>
        <w:t xml:space="preserve">Il primo pilastro probatorio è il progetto eversivo del 1974, il cosiddetto golpe bianco. Nel 1974, nel clima di tensione seguito alla crisi economica e all'avanzata elettorale della sinistra, Edgardo Sogno elaborò e promosse un progetto di sovvertimento in senso autoritario e presidenzialista dell'ordine costituzionale, un mutamento istituzionale da conseguire, secondo il disegno, anche attraverso un'azione di forza qualora la via legale si fosse rivelata impraticabile. Il progetto, denominato nella pubblicistica golpe bianco per distinguerlo dai tentativi di marca nera, diede luogo a indagini giudiziarie e all'incriminazione del suo promotore. Il registro procede qui con la disciplina consueta. Certifica al Livello A l'esistenza del progetto di riforma autoritaria promosso da Sogno nel 1974 e la sua incriminazione, quali fatti documentati dagli atti; e, quanto alla natura e all'attualità del disegno eversivo, registra un elemento probatorio di eccezionale valore, giacché il protagonista medesimo, nelle proprie memorie pubblicate in forma di intervista-testamento nell'anno della sua morte, ammise di aver progettato un colpo di Stato e di essersi tenuto pronto ad attuarlo, rivendicandone la legittimità in chiave anticomunista. Il registro certifica al Livello A l'ammissione autobiografica del protagonista quanto alla progettazione del colpo di Stato, trattandola quale dichiarazione contra se resa in tempo non sospetto e come tale dotata di particolare valore probatorio; e mantiene al Livello C, quanto ai profili di coinvolgimento di terzi non accertati giudizialmente, ogni estensione dell'ammissione oltre la sfera del dichiarante.</w:t>
      </w:r>
    </w:p>
    <w:p>
      <w:pPr>
        <w:spacing w:after="120" w:line="276"/>
        <w:jc w:val="both"/>
      </w:pPr>
      <w:r>
        <w:rPr>
          <w:rFonts w:ascii="Barlow Semi Condensed" w:cs="Barlow Semi Condensed" w:eastAsia="Barlow Semi Condensed" w:hAnsi="Barlow Semi Condensed"/>
          <w:sz w:val="24"/>
          <w:szCs w:val="24"/>
        </w:rPr>
        <w:t xml:space="preserve">Il secondo pilastro è il collegamento con la dimensione atlantica e con gli apparati, che colloca il nodo al centro della verifica di H1. Le ricostruzioni documentali e le stesse dichiarazioni di Sogno collocarono il suo attivismo anticomunista, da Pace e Libertà al progetto del 1974, in un quadro di rapporti con ambienti atlantici e con il servizio informativo statunitense, dai quali Sogno dichiarò di aver ricevuto interlocuzione. Il registro certifica al Livello B, sul fondamento delle ricostruzioni convergenti e delle ammissioni del protagonista, l'esistenza di tali rapporti; e ne trae l'annotazione che vale per la verifica di H1. La disponibilità di Sogno a interloquire con ambienti atlantici sul proprio progetto autoritario documenta la cornice internazionale del suo attivismo, ma le fonti collocano tale interlocuzione nel quadro del contrasto anticomunista interno alla logica bipolare, non in quello di un disegno di contrasto all'integrazione europea; e il progetto di Sogno era esso stesso, nella sua ispirazione, un progetto di rafforzamento autoritario dello Stato nazionale in funzione anticomunista, non un progetto rivolto contro il processo di integrazione. Il registro registra dunque il nodo Sogno quale ulteriore elemento che, lungi dal supportare H1, ne mostra l'inadeguatezza esplicativa: la deviazione autoritaria degli anni Settanta si spiega con la dinamica anticomunista interna al confronto bipolare, e la sua dimensione internazionale è quella dell'alleanza atlantica, non quella di una regia contro l'Europa.</w:t>
      </w:r>
    </w:p>
    <w:p>
      <w:pPr>
        <w:spacing w:after="120" w:line="276"/>
        <w:jc w:val="both"/>
      </w:pPr>
      <w:r>
        <w:rPr>
          <w:rFonts w:ascii="Barlow Semi Condensed" w:cs="Barlow Semi Condensed" w:eastAsia="Barlow Semi Condensed" w:hAnsi="Barlow Semi Condensed"/>
          <w:sz w:val="24"/>
          <w:szCs w:val="24"/>
        </w:rPr>
        <w:t xml:space="preserve">Il terzo pilastro esige il riporto dell'esito giudiziario. Il procedimento a carico di Sogno per il progetto del 1974 non pervenne a condanna: la posizione dell'imputato si chiuse senza affermazione di responsabilità penale per i fatti eversivi contestatigli. Il registro certifica al Livello A tanto l'esistenza del progetto e dell'incriminazione quanto l'esito non condannatorio del procedimento, e ne trae la distinzione consueta: il fatto storico del progetto, ammesso dal protagonista, è certificato, mentre la responsabilità penale per un tentativo eversivo attuale e punibile non fu affermata dal giudice; la sopravvivenza dell'ammissione autobiografica quale reperto di Livello A non è intaccata dall'esito processuale, giacché l'ammissione attiene alla progettazione, che il dichiarante rivendicò, e non alla qualificazione penale, che il giudice non affermò.</w:t>
      </w:r>
    </w:p>
    <w:p>
      <w:pPr>
        <w:spacing w:after="120" w:line="276"/>
        <w:jc w:val="both"/>
      </w:pPr>
      <w:r>
        <w:rPr>
          <w:rFonts w:ascii="Barlow Semi Condensed" w:cs="Barlow Semi Condensed" w:eastAsia="Barlow Semi Condensed" w:hAnsi="Barlow Semi Condensed"/>
          <w:sz w:val="24"/>
          <w:szCs w:val="24"/>
        </w:rPr>
        <w:t xml:space="preserve">Il quarto pilastro è la natura dell'organizzazione Pace e Libertà quale strumento di guerra psicologica anticomunista, che il registro assume a documentazione della continuità tra la propaganda e l'azione nel percorso del nodo. Pace e Libertà, attiva nella prima metà degli anni Cinquanta, operò quale struttura di propaganda anticomunista sul terreno sindacale e politico, impegnata nella diffusione di materiale contrario al Partito comunista e alla Confederazione generale del lavoro, e nell'organizzazione di iniziative volte a contrastare l'influenza della sinistra nel mondo del lavoro; a essa fu associata la figura di Luigi Cavallo, collaboratore di Sogno in quella stagione e successivamente attivo, per proprio conto, in vicende di guerra psicologica e di attacco pubblicistico. Il registro certifica al Livello A la natura di Pace e Libertà quale struttura di propaganda e di guerra psicologica anticomunista e il ruolo di Sogno quale suo animatore, e ne trae 2 annotazioni. La prima concerne la proiezione verso il Dominio 8: la vicenda di Pace e Libertà documenta, sin dagli anni Cinquanta, l'accoppiamento tra l'attivismo anticomunista e il controllo del flusso informativo, giacché lo strumento privilegiato dell'organizzazione fu la produzione e la diffusione di materiale propagandistico, secondo una logica di guerra psicologica che anticipa i temi del Dominio 8 che le fasi successive svilupperanno. La seconda concerne, ancora una volta, la verifica di H1: la finalità di Pace e Libertà fu il contrasto interno all'influenza comunista, ossia una finalità collocata sul versante occidentale e anticomunista del confronto bipolare, coerente con la logica atlantica e incompatibile con l'ipotesi di una convergenza tra i blocchi; sicché anche il pilastro delle origini del nodo Sogno milita, come il resto della fase, contro l'adeguatezza esplicativa di H1 e a favore dell'ipotesi bipolare concorrente.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Sogno-Pace e Libertà-ambienti atlantici, è il triangolo delle origini anticomuniste e della cornice internazionale, certificato al Livello A quanto all'organizzazione e al Livello B quanto ai rapporti atlantici. La seconda, Sogno-progetto 1974-ammissione autobiografica, è il triangolo del golpe bianco, certificato al Livello A quanto al progetto e all'ammissione e recante il reperto dell'esito non condannatorio. La terza, Sogno-area anticomunista trasversale, è il triangolo che salda il versante liberale e resistenziale al versante nero nella comune torsione autoritaria, certificato al Livello A quanto al dato strutturale della trasversalità del fronte anticomunista. Sul piano dei pattern, il nodo attiva il Pattern 11, l'analisi dell'isomorfismo strutturale, nella sua accezione più feconda: il progetto di Sogno e i tentativi di marca nera, pur muovendo da tradizioni politiche opposte, presentano la medesima struttura funzionale, la torsione autoritaria in funzione anticomunista, e tale isomorfismo si spiega con la necessità funzionale comune imposta dal contesto bipolare, non con un'origine unica, secondo la distinzione che il Pattern 11 impone.</w:t>
      </w:r>
    </w:p>
    <w:p>
      <w:pPr>
        <w:spacing w:after="120" w:line="276"/>
        <w:jc w:val="both"/>
      </w:pPr>
      <w:r>
        <w:rPr>
          <w:rFonts w:ascii="Barlow Semi Condensed" w:cs="Barlow Semi Condensed" w:eastAsia="Barlow Semi Condensed" w:hAnsi="Barlow Semi Condensed"/>
          <w:sz w:val="24"/>
          <w:szCs w:val="24"/>
        </w:rPr>
        <w:t xml:space="preserve">La vicenda giudiziaria del nodo va scandita nei suoi passaggi, perché anche i proscioglimenti hanno una cronologia che istruisce. L'istruttoria torinese condotta dal giudice Luciano Violante culminò, nel maggio 1976, nell'arresto di Sogno, evento senza precedenti per un decorato della Resistenza e diplomatico di carriera, cui seguirono la scarcerazione, il trasferimento del procedimento alla sede romana per ragioni di competenza e la chiusura istruttoria senza rinvio a giudizio sul finire del decennio, Livello A quanto alla scansione. Il registro annota, per la seconda volta nella fase, la migrazione del fascicolo verso il foro capitolino con esito favorevole all'imputato, e trasmette il dato alla statistica delle sedi senza aggiungervi ciò che solo un giudicato potrebbe: la correlazione si registra, la causa si sospende. Alla chiusura giudiziaria fece da controcanto, un quarto di secolo dopo, la chiusura autobiografica: nel libro-testamento pubblicato nell'anno della morte, Sogno rivendicò apertamente il progetto del 1974, descrivendone finalità presidenzialista e meccanica operativa con una franchezza che nessun interrogatorio gli aveva strappato, Livello A quanto all'ammissione pubblica, Livello B quanto alla corrispondenza tra il progetto narrato ed il progetto storico, giacché la confessione tardiva di un prosciolto è insieme la più preziosa e la più sospetta delle fonti, potendo l'anziano protagonista tanto rivelare quanto monumentalizzare sé stesso.</w:t>
      </w:r>
    </w:p>
    <w:p>
      <w:pPr>
        <w:spacing w:after="120" w:line="276"/>
        <w:jc w:val="both"/>
      </w:pPr>
      <w:r>
        <w:rPr>
          <w:rFonts w:ascii="Barlow Semi Condensed" w:cs="Barlow Semi Condensed" w:eastAsia="Barlow Semi Condensed" w:hAnsi="Barlow Semi Condensed"/>
          <w:sz w:val="24"/>
          <w:szCs w:val="24"/>
        </w:rPr>
        <w:t xml:space="preserve">Resta la morfologia, che distingue questo nodo da quello che lo precede. Il progetto del 1974 non prevedeva colonne di nostalgici né armerie violate: prevedeva, secondo gli atti e la stessa autobiografia, una forzatura istituzionale dall'alto, il capo dello Stato indotto a sciogliere le Camere ed a insediare un governo di emergenza a guida presidenzialista, con l'appoggio di ambienti militari, diplomatici ed economici selezionati. Nella tassonomia del registro è il golpe di rete contrapposto al golpe di piazza: dove Borghese mobilita corpi, Sogno mobilita relazioni, e la circostanza che il primo sia finito in una fuga notturna ed il secondo in un salotto istruttorio dice qualcosa di permanente sulla gerarchia delle risorse eversive in un sistema maturo. Il Pattern 11, l'isomorfismo strutturale, registra qui la sua variante più fine: 2 strutture topologicamente opposte, la piramide nostalgica e la rete liberale, convergenti sul medesimo obiettivo funzionale, e la convergenza degli opposti sull'oggetto, non la somiglianza delle forme, è il dato che la fase consegna alla verifica di H1.</w:t>
      </w:r>
    </w:p>
    <w:p>
      <w:pPr>
        <w:spacing w:after="120" w:line="276"/>
        <w:jc w:val="both"/>
      </w:pPr>
      <w:r>
        <w:rPr>
          <w:rFonts w:ascii="Barlow Semi Condensed" w:cs="Barlow Semi Condensed" w:eastAsia="Barlow Semi Condensed" w:hAnsi="Barlow Semi Condensed"/>
          <w:sz w:val="24"/>
          <w:szCs w:val="24"/>
        </w:rPr>
        <w:t xml:space="preserve">Il precedente organizzativo degli anni 50 va restituito nella sua fisionomia, perché in esso la biografia del nodo si salda alla preistoria della guerra psicologica interna. Pace e Libertà, l'organizzazione fondata e diretta da Sogno nel quinquennio 1953-1957 con sede operativa a Milano, condusse una campagna sistematica di propaganda anticomunista fatta di manifesti murali, opuscoli, schedature di attivisti e controinformazione sindacale, avvalendosi di finanziamenti provenienti da ambienti industriali e da canali atlantici che le ricostruzioni storiografiche e le stesse memorie del protagonista documentano con convergenza sostanziale, Livello A quanto all'attività ed alla sede, Livello B quanto alla mappa dei finanziamenti. Il registro vi riconosce il prototipo funzionale di ciò che il capitolo 8 mostrerà su scala continentale: la struttura privata che svolge, per conto di ambienti pubblici che non possono firmarla, la guerra delle idee, secondo una divisione del lavoro tra Stato e parastato che costituisce, assai più dei progetti golpisti, il lascito permanente di questa galassia. Nel medesimo campo operò, con progetto politico proprio, la Nuova Repubblica di Randolfo Pacciardi, l'ex ministro repubblicano teorico della svolta presidenzialista, che il registro cita quale termine di comparazione morfologica: 2 reduci dell'antifascismo combattente, l'azionista e il repubblicano, approdati per vie indipendenti al medesimo schema della forzatura istituzionale dall'alto, Livello A quanto ai progetti pubblicamente professati, convergenza che il Pattern 11 archivia quale ulteriore isomorfismo e che dispensa l'analista da ogni ricorso alla categoria, qui superflua, della regia unica: talvolta le strutture si somigliano perché il problema che intendono risolvere è lo stesso, e l'ossessione dell'ora X fu, in quella generazione, un problema condiviso assai più che un ordine ricevuto.</w:t>
      </w:r>
    </w:p>
    <w:p>
      <w:pPr>
        <w:spacing w:after="120" w:line="276"/>
        <w:jc w:val="both"/>
      </w:pPr>
      <w:r>
        <w:rPr>
          <w:rFonts w:ascii="Barlow Semi Condensed" w:cs="Barlow Semi Condensed" w:eastAsia="Barlow Semi Condensed" w:hAnsi="Barlow Semi Condensed"/>
          <w:sz w:val="24"/>
          <w:szCs w:val="24"/>
        </w:rPr>
        <w:t xml:space="preserve">Alla fisionomia operativa di Pace e Libertà appartiene infine la figura del suo principale operatore, Luigi Cavallo, il giornalista ed agitatore torinese che dell'organizzazione fu l'uomo di macchina, specialista di quella zona grigia tra propaganda, provocazione e dossieraggio che le ricostruzioni storiografiche documentano nelle campagne condotte contro il sindacato di fabbrica ed il Partito comunista negli stabilimenti del capoluogo piemontese, Livello B quanto al ruolo ed alle campagne, fondato su fonti storiografiche e documentali convergenti. La coppia Sogno-Cavallo, il gentiluomo e l'operatore, riproduce in scala nazionale la divisione del lavoro che il registro ha già censito nella coppia Gelli-Ortolani ed anticipa quella che ritroverà altrove: ogni struttura di condizionamento matura si articola in una faccia presentabile, che frequenta i salotti ed incassa la rispettabilità, ed in una faccia esecutiva, che maneggia i materiali e ne assorbe il discredito, e la longevità della prima si misura sulla sacrificabilità della seconda. È l'ennesima occorrenza di un isomorfismo che il Pattern 11 registra ormai quale costante antropologica del campo, e che dispensa il registro dal cercare, dietro la ricorrenza della forma, un architetto che la ricorrenza stessa rende superfluo.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Sogno è certificato al Livello A quale promotore, nel 1974, di un progetto di sovvertimento autoritario dell'ordine repubblicano, il cosiddetto golpe bianco, sulla scorta non solo degli atti ma dell'ammissione autobiografica resa dal protagonista in tempo non sospetto; il nodo dimostra che la deviazione autoritaria attraversò trasversalmente il fronte anticomunista, dal versante nero a quello liberale e resistenziale, e la sua cornice atlantica, tenuta distinta da ogni ipotesi di regia contro l'integrazione europea, milita ancora una volta contro l'adeguatezza esplicativa dell'ipotesi H1; l'esito giudiziario non condannatorio è certificato al Livello A e riportato per esteso.</w:t>
      </w:r>
    </w:p>
    <w:p>
      <w:pPr>
        <w:pStyle w:val="Heading3"/>
        <w:spacing w:after="80" w:before="160"/>
      </w:pPr>
      <w:r>
        <w:rPr>
          <w:rFonts w:ascii="Barlow Semi Condensed" w:cs="Barlow Semi Condensed" w:eastAsia="Barlow Semi Condensed" w:hAnsi="Barlow Semi Condensed"/>
          <w:sz w:val="24"/>
          <w:szCs w:val="24"/>
        </w:rPr>
        <w:t xml:space="preserve">Capitolo 8 — ◆ Le Cercle e il circuito Pinay. Il coordinamento internazionale dell'anticomunismo</w:t>
      </w:r>
    </w:p>
    <w:p>
      <w:pPr>
        <w:spacing w:after="120" w:line="276"/>
        <w:jc w:val="both"/>
      </w:pPr>
      <w:r>
        <w:rPr>
          <w:rFonts w:ascii="Barlow Semi Condensed" w:cs="Barlow Semi Condensed" w:eastAsia="Barlow Semi Condensed" w:hAnsi="Barlow Semi Condensed"/>
          <w:sz w:val="24"/>
          <w:szCs w:val="24"/>
        </w:rPr>
        <w:t xml:space="preserve">Le Cercle, denominazione del circuito internazionale di coordinamento anticomunista noto anche come Cercle Pinay dal nome del suo fondatore, è il nodo attraverso il quale il registro apre, all'interno della Fase 2, la prima finestra sistematica sulla dimensione internazionale del Dominio 3, e mette alla prova, su materiale finalmente sovranazionale, la verifica dell'ipotesi H1. La scansione del corpus registra il termine Cercle 391 volte in 8 documenti: una frequenza concentrata, che riflette la presenza nel corpus di uno studio monografico dedicato ai suoi animatori. Il nodo salda il Dominio 3 nella sua dimensione internazionale al Dominio 2, attraverso il coordinamento riservato di uomini politici e di apparati di più Paesi occidentali, e costituisce il pendant sovranazionale dei circuiti nazionali che i capitoli precedenti hanno documentato.</w:t>
      </w:r>
    </w:p>
    <w:p>
      <w:pPr>
        <w:spacing w:after="120" w:line="276"/>
        <w:jc w:val="both"/>
      </w:pPr>
      <w:r>
        <w:rPr>
          <w:rFonts w:ascii="Barlow Semi Condensed" w:cs="Barlow Semi Condensed" w:eastAsia="Barlow Semi Condensed" w:hAnsi="Barlow Semi Condensed"/>
          <w:sz w:val="24"/>
          <w:szCs w:val="24"/>
        </w:rPr>
        <w:t xml:space="preserve">La natura del nodo impone una premessa definitoria. Le Cercle non fu un'organizzazione a struttura gerarchica e a confini definiti, quali la loggia P2 o la rete Gladio, ma un circuito informale di incontro e di coordinamento tra esponenti politici, funzionari di apparati e personalità del mondo economico di più Paesi occidentali, accomunati dall'orientamento anticomunista e conservatore e riuniti periodicamente in sedi riservate. Il registro certifica al Livello B, sul fondamento dello studio monografico presente nel corpus e delle ricostruzioni convergenti, l'esistenza e la natura del circuito quale sede riservata di coordinamento anticomunista internazionale, e ne registra i riferimenti fondativi: l'ispirazione risalente all'ambiente dell'uomo politico francese Antoine Pinay, il ruolo organizzativo attribuito a figure di collegamento tra la politica e gli apparati, e la partecipazione, nel corso dei decenni, di esponenti conservatori e di uomini dei servizi di diversi Paesi occidentali. La cautela del Livello B è imposta dalla natura stessa del nodo, che opera nell'informalità e le cui tracce documentali sono, per definizione, meno nette di quelle delle strutture formalizzate.</w:t>
      </w:r>
    </w:p>
    <w:p>
      <w:pPr>
        <w:spacing w:after="120" w:line="276"/>
        <w:jc w:val="both"/>
      </w:pPr>
      <w:r>
        <w:rPr>
          <w:rFonts w:ascii="Barlow Semi Condensed" w:cs="Barlow Semi Condensed" w:eastAsia="Barlow Semi Condensed" w:hAnsi="Barlow Semi Condensed"/>
          <w:sz w:val="24"/>
          <w:szCs w:val="24"/>
        </w:rPr>
        <w:t xml:space="preserve">Il primo pilastro probatorio è la funzione di coordinamento e la sua collocazione atlantica. Il circuito operò quale sede di raccordo tra le componenti conservatrici e anticomuniste dello schieramento occidentale, in una funzione di elaborazione strategica e di scambio riservato che si affiancava ai canali ufficiali dell'alleanza. Il registro certifica al Livello B la funzione di coordinamento del circuito, e ne trae l'annotazione capitale per la verifica di H1. Il circuito Le Cercle è, tra tutti i nodi della fase, quello che maggiormente si avvicina alla figura di una struttura internazionale di coordinamento politico riservato; ed è precisamente per questo che la sua analisi è decisiva. La finalità documentata del circuito fu il coordinamento anticomunista nel quadro del confronto bipolare, ossia il contrasto all'espansione dell'influenza sovietica e alla forza dei partiti comunisti occidentali; questa finalità è coerente con la logica dell'alleanza atlantica e si colloca sul versante occidentale del confronto tra i blocchi. Essa non coincide, e anzi confligge, con la finalità che l'ipotesi H1 postulerebbe, ossia la convergenza segreta tra la potenza occidentale e quella sovietica per impedire l'integrazione europea: un circuito anticomunista di coordinamento occidentale è, per sua natura, l'opposto di una struttura di convergenza tra i 2 blocchi. Il registro registra dunque il nodo Le Cercle quale elemento che milita frontalmente contro l'ipotesi H1, giacché documenta l'esistenza di un coordinamento internazionale rivolto contro l'Unione Sovietica, non in accordo con essa; e la sua esistenza rafforza la lettura del confronto bipolare quale chiave esplicativa alternativa a H1, nella quale gli attori occidentali perseguono finalità occidentali e quelli sovietici finalità sovietiche, senza la convergenza segreta che H1 postulerebbe.</w:t>
      </w:r>
    </w:p>
    <w:p>
      <w:pPr>
        <w:spacing w:after="120" w:line="276"/>
        <w:jc w:val="both"/>
      </w:pPr>
      <w:r>
        <w:rPr>
          <w:rFonts w:ascii="Barlow Semi Condensed" w:cs="Barlow Semi Condensed" w:eastAsia="Barlow Semi Condensed" w:hAnsi="Barlow Semi Condensed"/>
          <w:sz w:val="24"/>
          <w:szCs w:val="24"/>
        </w:rPr>
        <w:t xml:space="preserve">Il secondo pilastro riguarda le figure di collegamento e la funzione di elaborazione strategica del circuito, che il registro assume a documentazione della sua natura di sede di coordinamento e non di mera occasione conviviale. Al circuito furono associate figure di raccordo tra la politica, gli apparati informativi e gli ambienti della guerra psicologica di più Paesi occidentali, tra le quali la pubblicistica e gli studi collocano personalità legate ai servizi francesi e britannici e specialisti dell'analisi anticomunista e della controsovversione, impegnati nell'elaborazione di strategie di contrasto all'influenza comunista e nella circolazione riservata di analisi e di orientamenti tra le componenti conservatrici occidentali. Il registro certifica al Livello B, sul fondamento dello studio monografico presente nel corpus, la presenza nel circuito di figure di collegamento tra la politica e gli apparati e la sua funzione di elaborazione strategica anticomunista, e mantiene al Livello C l'attribuzione a singole personalità di ruoli operativi specifici non consacrati da accertamento. L'annotazione che il registro ne trae riguarda la natura del potere che il circuito esprimeva: non un potere formale né esecutivo, ma un potere di elaborazione e di coordinamento, ossia la capacità di produrre orientamenti condivisi e di farli circolare tra i vertici conservatori di più Paesi, secondo una logica che la Nota metodologica riconduce alla funzione di intermediazione e di controllo del flusso informativo. Il circuito Le Cercle è, in questo senso, l'omologo internazionale della loggia coperta nazionale: una sede riservata nella quale il coordinamento avviene non attraverso la gerarchia, ma attraverso la relazione, e nella quale il potere si esercita attraverso la capacità di connettere ambienti altrimenti separati. Ma questa funzione, ripetesi, è documentata quale funzione anticomunista occidentale, e la sua stessa natura conferma l'inadeguatezza dell'ipotesi H1: un circuito di elaborazione strategica anticomunista è l'espressione più raffinata del versante occidentale del confronto bipolare, non l'indizio di una convergenza tra i blocchi.</w:t>
      </w:r>
    </w:p>
    <w:p>
      <w:pPr>
        <w:spacing w:after="120" w:line="276"/>
        <w:jc w:val="both"/>
      </w:pPr>
      <w:r>
        <w:rPr>
          <w:rFonts w:ascii="Barlow Semi Condensed" w:cs="Barlow Semi Condensed" w:eastAsia="Barlow Semi Condensed" w:hAnsi="Barlow Semi Condensed"/>
          <w:sz w:val="24"/>
          <w:szCs w:val="24"/>
        </w:rPr>
        <w:t xml:space="preserve">Il terzo pilastro è il collegamento con il terreno italiano, che salda il nodo internazionale ai nodi nazionali della fase. Il circuito internazionale del coordinamento anticomunista intrattenne relazioni con gli ambienti italiani affini, dagli apparati agli attori politici e mediatici dell'area, e la figura di collegamento tra la propaganda anticomunista internazionale e il terreno italiano trova riscontro nei rapporti documentati tra ambienti dell'informazione e apparati che la fase ha incontrato. Il registro certifica al Livello C, in assenza di accertamenti giudiziari specifici, le ipotesi di collegamento operativo tra il circuito internazionale e singoli eventi del terreno italiano, e mantiene al Livello B il solo fatto dell'esistenza di relazioni tra il circuito e gli ambienti anticomunisti italiani. La disciplina è imposta dalla natura informale del nodo e dalla scarsità di riscontri documentali diretti: il registro certifica la cornice del coordinamento internazionale, ma si vieta di trasformare la cornice in prova di direzione dei singoli eventi nazionali.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Le Cercle-Pinay-figure di collegamento, è il triangolo fondativo del circuito, certificato al Livello B quanto all'esistenza, alla natura e alla presenza di figure di raccordo con gli apparati. La seconda, Le Cercle-alleanza atlantica-coordinamento anticomunista, è il triangolo della collocazione strategica, certificato al Livello B quanto alla funzione e recante l'annotazione decisiva per la falsificazione di H1. La terza, Le Cercle-ambienti italiani, è il triangolo del collegamento nazionale, certificato al Livello B quanto all'esistenza di relazioni e al Livello C quanto al collegamento operativo con singoli eventi. Sul piano dei pattern, il nodo attiva il Pattern 6, l'analisi delle ipotesi concorrenti, nella sua funzione più alta: l'esistenza di un circuito anticomunista internazionale di coordinamento occidentale è un'evidenza che discrimina tra le 2 macro-ipotesi in campo, giacché è coerente con l'ipotesi del confronto bipolare, nella quale è massimamente attesa, e incoerente con l'ipotesi H1 della convergenza tra i blocchi, nella quale sarebbe inspiegabile; e la procedura di Heuer prescrive che l'ipotesi da preferire sia quella meno contraddetta dalle evidenze, sicché il nodo Le Cercle pesa a favore dell'ipotesi bipolare e contro H1.</w:t>
      </w:r>
    </w:p>
    <w:p>
      <w:pPr>
        <w:spacing w:after="120" w:line="276"/>
        <w:jc w:val="both"/>
      </w:pPr>
      <w:r>
        <w:rPr>
          <w:rFonts w:ascii="Barlow Semi Condensed" w:cs="Barlow Semi Condensed" w:eastAsia="Barlow Semi Condensed" w:hAnsi="Barlow Semi Condensed"/>
          <w:sz w:val="24"/>
          <w:szCs w:val="24"/>
        </w:rPr>
        <w:t xml:space="preserve">La genealogia del circuito merita i suoi nomi fondativi, che le fonti storiografiche e memorialistiche consegnano con ragionevole convergenza. All'origine sta l'ambiente di Antoine Pinay, il presidente del Consiglio francese della ricostruzione conservatrice, e l'opera organizzativa dell'avvocato parigino Jean Violet, tessitore di relazioni tra le destre di governo continentali, in una cornice iniziale franco-tedesca orientata alla riconciliazione cattolico-conservatrice ed al contenimento comunista, Livello B quanto alla ricostruzione fondativa, fondata su fonti memorialistiche ed archivistiche convergenti ma non su atti pubblici. Nella stagione matura degli anni 70 l'animazione del circuito passò per la figura del pubblicista britannico Brian Crozier, direttore di un istituto londinese di studi sui conflitti e memorialista, nei cui scritti autobiografici il circuito è descritto dall'interno quale sede di raccordo tra responsabili politici, uomini degli apparati e finanziatori dell'anticomunismo militante, Livello A quanto all'esistenza delle memorie e delle carte, Livello B quanto al loro contenuto, trattandosi di fonte di parte non riscontrata integralmente. Alle riunioni del circuito la documentazione superstite attesta la partecipazione di esponenti italiani di primo piano, tra i quali Giulio Andreotti, presenza che il registro censisce quale puro dato di frequentazione, senza inferenza ulteriore, in ossequio alla disciplina che governa l'intera materia, Livello B.</w:t>
      </w:r>
    </w:p>
    <w:p>
      <w:pPr>
        <w:spacing w:after="120" w:line="276"/>
        <w:jc w:val="both"/>
      </w:pPr>
      <w:r>
        <w:rPr>
          <w:rFonts w:ascii="Barlow Semi Condensed" w:cs="Barlow Semi Condensed" w:eastAsia="Barlow Semi Condensed" w:hAnsi="Barlow Semi Condensed"/>
          <w:sz w:val="24"/>
          <w:szCs w:val="24"/>
        </w:rPr>
        <w:t xml:space="preserve">La funzione operativa documentabile del circuito appartiene al Dominio 8 più che al Dominio 3: le carte ed i memoriali ne attestano l'impegno nella produzione e nella circolazione di materiale informativo orientato, dossier, campagne di stampa, sostegni editoriali, diretti negli anni 70 in particolare contro l'ipotesi eurocomunista e contro gli esperimenti di apertura a sinistra nei Paesi latini, Livello B. Il registro chiude il capitolo con la digressione che la natura del nodo esige. Un circuito senza statuto, senza sede, senza elenco degli iscritti sembra, alla tassonomia delle organizzazioni, un non-oggetto; ma la teoria delle reti insegna che l'informalità non è assenza di struttura, è struttura a costo zero di occultamento: ciò che non esiste giuridicamente non può essere sciolto, perquisito né processato, e la lezione della P2, distrutta dal proprio archivio, fu qui applicata in forma preventiva, nessun archivio, nessuna distruzione. Le Cercle rappresenta perciò, nel registro, il grado zero organizzativo del coordinamento riservato, il salotto quale tecnologia: e la sua certificazione al Livello B non è una debolezza dell'analisi, è la firma stessa dell'oggetto, che fu progettato per abitare esattamente quel livello.</w:t>
      </w:r>
    </w:p>
    <w:p>
      <w:pPr>
        <w:spacing w:after="120" w:line="276"/>
        <w:jc w:val="both"/>
      </w:pPr>
      <w:r>
        <w:rPr>
          <w:rFonts w:ascii="Barlow Semi Condensed" w:cs="Barlow Semi Condensed" w:eastAsia="Barlow Semi Condensed" w:hAnsi="Barlow Semi Condensed"/>
          <w:sz w:val="24"/>
          <w:szCs w:val="24"/>
        </w:rPr>
        <w:t xml:space="preserve">Alla fisionomia del circuito le memorie superstiti aggiungono la sua liturgia, che il registro censisce quale dato organizzativo e non quale colore: riunioni riservate a cadenza periodica, alternate tra le capitali europee e quella americana, partecipazione per cooptazione personale e non per carica, assenza di verbalizzazione ufficiale e di personalità giuridica, spese sostenute per il tramite di strutture di comodo, Livello B sull'intero quadro, fondato sulle fonti memorialistiche interne. È la grammatica esatta dell'anti-organizzazione già teorizzata, e la sua efficacia si misura in negativo: di quasi mezzo secolo di attività non esiste un archivio unitario, ed il registro deve ricostruire il nodo per frammenti laterali, carte private, agende, memorie di partecipanti, con la conseguenza metodologica che il Livello B non è qui il soffitto provvisorio della ricerca ma, con ogni probabilità, il suo soffitto strutturale. Il capitolo consegna perciò alla verifica di H1 un reperto di natura peculiare: l'esistenza certificata di una sede permanente di coordinamento informale tra le destre atlantiche, senza che da tale esistenza possa inferirsi, per alcun singolo evento italiano, una funzione di comando, e la distanza tra il coordinamento provato e la regia indimostrata è, ancora una volta, lo spazio esatto in cui il metodo di questo registro si separa dalla letteratura che pretende di colmarlo per postulato.</w:t>
      </w:r>
    </w:p>
    <w:p>
      <w:pPr>
        <w:spacing w:after="120" w:line="276"/>
        <w:jc w:val="both"/>
      </w:pPr>
      <w:r>
        <w:rPr>
          <w:rFonts w:ascii="Barlow Semi Condensed" w:cs="Barlow Semi Condensed" w:eastAsia="Barlow Semi Condensed" w:hAnsi="Barlow Semi Condensed"/>
          <w:sz w:val="24"/>
          <w:szCs w:val="24"/>
        </w:rPr>
        <w:t xml:space="preserve">Resta da censire il tramonto, che per un circuito informale non è uno scioglimento ma una perdita di funzione. Con la fine del sistema bipolare venne meno la minaccia che costituiva la ragione sociale non scritta del consesso, e le sue tracce documentali si diradano sino a confondersi con l'ordinaria sociabilità delle destre atlantiche; le carte di Brian Crozier, confluite in un fondo archivistico presso un'istituzione universitaria americana, restano ad oggi il principale giacimento documentale disponibile sul circuito, Livello A quanto all'esistenza ed alla collocazione del fondo, Livello B quanto alla sua rappresentatività, trattandosi dell'archivio di un solo protagonista. Il registro chiude il capitolo con la constatazione metodologica che il nodo impone: dei 10 capitoli della fase, questo è l'unico il cui oggetto non è mai stato raggiunto da un'inchiesta giudiziaria o parlamentare italiana, sicché la sua certificazione riposa per intero su fonti volontarie, memorie ed archivi privati, ed il suo Livello B è la misura esatta di quella dipendenza. La lezione è duplice: le strutture informali sopravvivono agli accertamenti perché non offrono loro alcun appiglio ordinamentale, ma pagano l'invisibilità con l'irrilevanza probatoria, ed il circuito che nessuno poté processare è anche il circuito al quale nessun giudicato ha mai potuto attribuire un solo fatto specifico del teatro italiano: l'ombra perfetta non proietta reati, e non incassa assoluzioni.</w:t>
      </w:r>
    </w:p>
    <w:p>
      <w:pPr>
        <w:spacing w:after="120" w:line="276"/>
        <w:jc w:val="both"/>
      </w:pPr>
      <w:r>
        <w:rPr>
          <w:rFonts w:ascii="Barlow Semi Condensed" w:cs="Barlow Semi Condensed" w:eastAsia="Barlow Semi Condensed" w:hAnsi="Barlow Semi Condensed"/>
          <w:sz w:val="24"/>
          <w:szCs w:val="24"/>
        </w:rPr>
        <w:t xml:space="preserve">Alla costellazione delle strutture parallele il registro aggiunge infine quella la cui stessa esistenza è rimasta materia di accertamento: la rete informale nota quale Anello, o Noto servizio, l'organismo riservato di matrice civile-militare attivo secondo le ricostruzioni dal dopoguerra ai primi anni Novanta, documentato da un fondo di carte emerso a metà degli anni Novanta e valorizzato da perizie ed acquisizioni delle sedi d'inchiesta, che ne attestano l'esistenza quale circuito di informatori, finanziamenti e servizi riservati esterno all'ordinamento degli apparati ufficiali, Livello A quanto all'esistenza del fondo documentale e delle acquisizioni, Livello B quanto all'operatività della rete quale vi è descritta, Livello C quanto ad ogni suo specifico impiego nei singoli episodi del corpus, mai certificato in giudicato. Il registro censisce la struttura per il suo valore tassonomico: l'Anello rappresenta, nella gerarchia delle opacità che questa fase ordina, il gradino estremo, quello di un organismo che non fu mai istituito da alcun atto, mai sciolto da alcun decreto e mai processato da alcuna corte, conosciuto soltanto attraverso le proprie carte postume, e la sua collocazione nel registro accanto alle strutture certificate, dalla Gladio dell'atto bilaterale alla loggia degli elenchi sequestrati, completa la scala documentale dell'intera fase: dall'apparato con statuto, all'apparato con elenco, all'apparato con solo archivio, in una degradazione della tracciabilità che è essa stessa la mappa di quanto profondo corresse, sotto la Repubblica di superficie, il piano dei servizi non dichiarati.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Le Cercle è certificato al Livello B quale circuito internazionale informale di coordinamento anticomunista, di ispirazione risalente all'ambiente di Antoine Pinay, operante quale sede riservata di raccordo tra le componenti conservatrici e anticomuniste dello schieramento occidentale; la sua finalità documentata, il contrasto all'influenza sovietica nel quadro del confronto bipolare, milita frontalmente contro l'ipotesi H1 della convergenza segreta tra i blocchi, giacché un coordinamento anticomunista occidentale è l'opposto di una struttura di convergenza tra le 2 superpotenze; il collegamento del circuito con singoli eventi del terreno italiano resta al Livello C in assenza di accertamenti specifici.</w:t>
      </w:r>
    </w:p>
    <w:p>
      <w:pPr>
        <w:pStyle w:val="Heading3"/>
        <w:spacing w:after="80" w:before="160"/>
      </w:pPr>
      <w:r>
        <w:rPr>
          <w:rFonts w:ascii="Barlow Semi Condensed" w:cs="Barlow Semi Condensed" w:eastAsia="Barlow Semi Condensed" w:hAnsi="Barlow Semi Condensed"/>
          <w:sz w:val="24"/>
          <w:szCs w:val="24"/>
        </w:rPr>
        <w:t xml:space="preserve">Capitolo 9 — ▶ Francesco Pazienza. Il faccendiere del SISMI e la contaminazione dei servizi</w:t>
      </w:r>
    </w:p>
    <w:p>
      <w:pPr>
        <w:spacing w:after="120" w:line="276"/>
        <w:jc w:val="both"/>
      </w:pPr>
      <w:r>
        <w:rPr>
          <w:rFonts w:ascii="Barlow Semi Condensed" w:cs="Barlow Semi Condensed" w:eastAsia="Barlow Semi Condensed" w:hAnsi="Barlow Semi Condensed"/>
          <w:sz w:val="24"/>
          <w:szCs w:val="24"/>
        </w:rPr>
        <w:t xml:space="preserve">Francesco Pazienza, nato a San Valentino in Abruzzo Citeriore il 14 dicembre 1946, medico e faccendiere, collaboratore esterno del Servizio informazioni e sicurezza militare, è il nodo attraverso il quale il registro certifica la figura del faccendiere degli apparati, l'intermediario privo di collocazione formale che, dall'esterno della struttura, ne orienta le attività intrecciandole con affari privati, operazioni finanziarie e depistaggi. La scansione del corpus lo registra 84 volte in 15 documenti, frequenza modesta ma distribuita, che riflette la sua presenza trasversale in una pluralità di vicende. Il nodo era già comparso nella Fase 1 quale co-condannato per il depistaggio della strage di Bologna; il presente capitolo ne ricostruisce il profilo proprio quale nodo di contaminazione tra il Dominio 3, il Dominio 6, il Dominio 4 e il Dominio 1, e salda la fase alla precedente attraverso la sua collocazione presso il SISMI del generale Santovito, che il capitolo 10 tratterà.</w:t>
      </w:r>
    </w:p>
    <w:p>
      <w:pPr>
        <w:spacing w:after="120" w:line="276"/>
        <w:jc w:val="both"/>
      </w:pPr>
      <w:r>
        <w:rPr>
          <w:rFonts w:ascii="Barlow Semi Condensed" w:cs="Barlow Semi Condensed" w:eastAsia="Barlow Semi Condensed" w:hAnsi="Barlow Semi Condensed"/>
          <w:sz w:val="24"/>
          <w:szCs w:val="24"/>
        </w:rPr>
        <w:t xml:space="preserve">La biografia colloca Pazienza nell'orbita del SISMI a partire dalla fine degli anni Settanta, quale collaboratore esterno privo di inquadramento formale ma dotato di accesso al vertice del servizio e di una rete internazionale di relazioni. Il registro certifica al Livello A, sul fondamento degli atti giudiziari, la collaborazione di Pazienza con il SISMI nel periodo della direzione Santovito e il suo ruolo di intermediario tra il servizio, gli ambienti finanziari e i circuiti internazionali; e annota il dato strutturale che ne fa un nodo esemplare: Pazienza non apparteneva formalmente ad alcun dominio, ma operava all'intersezione di più domini quale intermediario, secondo la figura che la Nota metodologica descrive quale nodo ad alta betweenness e bassa titolarità formale, il broker che controlla il flusso tra parti della rete altrimenti disconnesse.</w:t>
      </w:r>
    </w:p>
    <w:p>
      <w:pPr>
        <w:spacing w:after="120" w:line="276"/>
        <w:jc w:val="both"/>
      </w:pPr>
      <w:r>
        <w:rPr>
          <w:rFonts w:ascii="Barlow Semi Condensed" w:cs="Barlow Semi Condensed" w:eastAsia="Barlow Semi Condensed" w:hAnsi="Barlow Semi Condensed"/>
          <w:sz w:val="24"/>
          <w:szCs w:val="24"/>
        </w:rPr>
        <w:t xml:space="preserve">Il primo pilastro probatorio è la condanna definitiva per il depistaggio della strage di Bologna, già certificata nella Fase 1 e qui richiamata quale fondamento della collocazione del nodo. Francesco Pazienza fu condannato in via definitiva, unitamente a Licio Gelli e agli ufficiali del SISMI Pietro Musumeci e Giuseppe Belmonte, per il calunnioso depistaggio delle indagini sulla strage del 2 agosto 1980, consistito nella costruzione di false piste volte a sviare l'accertamento della matrice. Il registro certifica al Livello A, sul fondamento del giudicato, la responsabilità di Pazienza nel depistaggio di Bologna, e ne trae la certificazione dell'arco di ostruzione che salda il faccendiere agli ufficiali del servizio e al Venerabile della loggia: il depistaggio di Bologna fu opera congiunta di un collaboratore esterno del servizio, di ufficiali interni ad esso e del capo di una loggia coperta, e tale composizione soggettiva è essa stessa il reperto, giacché documenta l'accoppiamento operativo tra il Dominio 3, il Dominio 4 e la figura del faccendiere nella condotta di ostruzione. Il registro ribadisce il limite inferenziale: la condanna per il depistaggio certifica la condotta di ostruzione, non il mandato della strage depistata.</w:t>
      </w:r>
    </w:p>
    <w:p>
      <w:pPr>
        <w:spacing w:after="120" w:line="276"/>
        <w:jc w:val="both"/>
      </w:pPr>
      <w:r>
        <w:rPr>
          <w:rFonts w:ascii="Barlow Semi Condensed" w:cs="Barlow Semi Condensed" w:eastAsia="Barlow Semi Condensed" w:hAnsi="Barlow Semi Condensed"/>
          <w:sz w:val="24"/>
          <w:szCs w:val="24"/>
        </w:rPr>
        <w:t xml:space="preserve">Il secondo pilastro è la vicenda finanziaria dell'ultimo Calvi, che salda il nodo al quadrilatero della Fase 1. Pazienza operò, nel periodo della sua collaborazione con il SISMI, quale intermediario in vicende finanziarie internazionali che lambirono il gruppo Ambrosiano e l'entourage di Roberto Calvi nella fase terminale della sua parabola. Il registro certifica al Livello B, sul fondamento delle ricostruzioni documentali convergenti emerse nei procedimenti, il coinvolgimento di Pazienza in operazioni finanziarie connesse all'ambiente di Calvi, e mantiene al Livello C ogni qualificazione che ecceda il fatto dell'intermediazione documentata. L'interesse strutturale del dato è nell'aver mostrato come la figura del faccendiere del servizio operasse simultaneamente sul terreno del depistaggio delle stragi e su quello degli affari finanziari internazionali, saldando in una sola persona l'arco di ostruzione con il Dominio 7 e l'arco affaristico con il Dominio 6, secondo il modello del nodo di contaminazione trasversale.</w:t>
      </w:r>
    </w:p>
    <w:p>
      <w:pPr>
        <w:spacing w:after="120" w:line="276"/>
        <w:jc w:val="both"/>
      </w:pPr>
      <w:r>
        <w:rPr>
          <w:rFonts w:ascii="Barlow Semi Condensed" w:cs="Barlow Semi Condensed" w:eastAsia="Barlow Semi Condensed" w:hAnsi="Barlow Semi Condensed"/>
          <w:sz w:val="24"/>
          <w:szCs w:val="24"/>
        </w:rPr>
        <w:t xml:space="preserve">Il terzo pilastro è il coinvolgimento nella vicenda del sequestro di Ciro Cirillo, che salda il nodo del faccendiere al Dominio 1 della criminalità organizzata e ne fa il punto di convergenza più esteso della fase. Il 27 aprile 1981 le Brigate Rosse sequestrarono a Napoli Ciro Cirillo, esponente della Democrazia Cristiana e assessore regionale ai lavori pubblici della Campania, in un'azione nella quale furono uccisi 2 uomini della scorta e ferito un terzo. Per la liberazione dell'ostaggio, ottenuta il 24 luglio 1981 dietro pagamento di un riscatto, si sviluppò, secondo le ricostruzioni degli inquirenti e delle commissioni, una trattativa che avrebbe coinvolto ambienti della camorra, e segnatamente la Nuova Camorra Organizzata di Raffaele Cutolo, allora detenuto, quale mediatore verso i sequestratori, con il concorso di settori degli apparati e della politica interessati alla liberazione dell'ostaggio. Il registro procede qui con la massima disciplina, giacché la vicenda è tra le più controverse e meno integralmente accertate dell'intera stagione. Certifica al Livello A i fatti oggettivi del sequestro, dell'uccisione degli uomini della scorta e della liberazione dietro riscatto, quali risultanze incontrovertibili; certifica al Livello B, sul fondamento delle ricostruzioni convergenti delle commissioni e di una pluralità di procedimenti, l'esistenza di una trattativa per la liberazione che coinvolse la mediazione camorristica di Cutolo; e mantiene rigorosamente al Livello C l'individuazione nominativa dei singoli mediatori degli apparati e la ricostruzione delle rispettive responsabilità, ove non consacrata da accertamento definitivo. L'interesse strutturale del caso Cirillo per il registro è massimo, giacché esso costituisce il punto in cui convergono, in un solo evento, il Dominio 7 dei sequestratori, il Dominio 1 della camorra mediatrice, il Dominio 3 degli apparati coinvolti nella trattativa, e il Dominio 2 della politica interessata alla liberazione: è la convergenza multidominio nella sua forma più estesa, e la collocazione del faccendiere Pazienza nell'orbita del servizio che di quella trattativa fu parte ne fa il nodo esemplare dell'intreccio. Il registro ribadisce, anche qui, il limite: la certificazione dell'esistenza della trattativa non equivale alla certificazione nominativa dei ruoli, e la disciplina delle persone impone di attestarsi sui fatti oggettivi e sull'esistenza della mediazione, senza estendere a Livello A ciò che gli accertamenti hanno lasciato al grado dell'ipotesi o dell'indizio.</w:t>
      </w:r>
    </w:p>
    <w:p>
      <w:pPr>
        <w:spacing w:after="120" w:line="276"/>
        <w:jc w:val="both"/>
      </w:pPr>
      <w:r>
        <w:rPr>
          <w:rFonts w:ascii="Barlow Semi Condensed" w:cs="Barlow Semi Condensed" w:eastAsia="Barlow Semi Condensed" w:hAnsi="Barlow Semi Condensed"/>
          <w:sz w:val="24"/>
          <w:szCs w:val="24"/>
        </w:rPr>
        <w:t xml:space="preserve">Il quarto pilastro è la vicenda giudiziaria complessiva e la latitanza internazionale. Divenuta insostenibile la sua posizione, Pazienza riparò all'estero e fu successivamente raggiunto da provvedimento di estradizione dagli Stati Uniti, che lo riconsegnò alla giustizia italiana nella seconda metà degli anni Ottanta. Il registro certifica al Livello A il fatto della latitanza e della successiva estradizione, e ne trae l'annotazione, ricorrente nella fase, sulla migrazione tra giurisdizioni quale tecnica di sottrazione all'accertamento, già osservata nel caso Maletti; con la differenza che, nel caso Pazienza, la giurisdizione di rifugio operò infine la riconsegna, sicché il nodo documenta anche il funzionamento, sia pure tardivo, dei meccanismi di cooperazione giudiziaria internazionale.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Pazienza-SISMI-Santovito, è il triangolo della collocazione presso il vertice del servizio, certificato al Livello A quanto alla collaborazione e saldante il nodo al capitolo 10. La seconda, Pazienza-Gelli-Musumeci-Belmonte, è il triangolo del depistaggio di Bologna, certificato al Livello A dal giudicato. La terza, Pazienza-ambiente Calvi-operazioni finanziarie, è il triangolo dell'intermediazione affaristica, certificato al Livello B. Sul piano dei pattern, il nodo è il caso paradigmatico del Pattern 1 nella sua accezione relativa alla betweenness, giacché Pazienza è il broker per eccellenza, il nodo che connette parti disconnesse della rete controllando il flusso tra esse, e la cui rilevanza deriva interamente dalla posizione di intermediazione e non da alcuna titolarità formale; e attiva il Pattern 7 nella sua variante geografica, la migrazione tra giurisdizioni.</w:t>
      </w:r>
    </w:p>
    <w:p>
      <w:pPr>
        <w:spacing w:after="120" w:line="276"/>
        <w:jc w:val="both"/>
      </w:pPr>
      <w:r>
        <w:rPr>
          <w:rFonts w:ascii="Barlow Semi Condensed" w:cs="Barlow Semi Condensed" w:eastAsia="Barlow Semi Condensed" w:hAnsi="Barlow Semi Condensed"/>
          <w:sz w:val="24"/>
          <w:szCs w:val="24"/>
        </w:rPr>
        <w:t xml:space="preserve">Alla contabilità del faccendiere appartiene un'operazione transatlantica che il registro censisce per il suo valore morfologico: la vicenda nota come Billygate. Nell'estate del 1980, nel pieno della campagna presidenziale americana, la stampa statunitense ricevette e pubblicò materiale informativo sui rapporti d'affari tra Billy Carter, fratello del presidente in carica, e la Libia di Gheddafi, con effetti politicamente corrosivi sull'amministrazione democratica; le ricostruzioni parlamentari e giudiziarie italiane collocarono nella filiera di quell'operazione l'attivismo di Pazienza e di ambienti del SISMI di Santovito, quale canale di raccolta e di trasferimento oltreoceano del materiale, Livello B quanto alla filiera, fondata su convergenze dichiarative e documentali non consacrate da giudicato, Livello C quanto ad ogni valutazione degli effetti elettorali. Il reperto vale al registro una certificazione di raggio: il medesimo nodo che depistava a Bologna e negoziava per Calvi operava, nello stesso torno di mesi, sul mercato informativo della politica interna americana, e questa simultaneità di teatri, documentata negli atti, misura l'estensione transatlantica raggiunta dal sistema faccendiere-servizio nella stagione della cattura piduista.</w:t>
      </w:r>
    </w:p>
    <w:p>
      <w:pPr>
        <w:spacing w:after="120" w:line="276"/>
        <w:jc w:val="both"/>
      </w:pPr>
      <w:r>
        <w:rPr>
          <w:rFonts w:ascii="Barlow Semi Condensed" w:cs="Barlow Semi Condensed" w:eastAsia="Barlow Semi Condensed" w:hAnsi="Barlow Semi Condensed"/>
          <w:sz w:val="24"/>
          <w:szCs w:val="24"/>
        </w:rPr>
        <w:t xml:space="preserve">La parabola giudiziaria personale si chiuse con la meccanica internazionale che le era propria: l'arresto a New York nel marzo 1985, la detenzione americana, l'estradizione in Italia nel 1986 e quindi il doppio binario degli esiti, la condanna irrevocabile del 1995 per il depistaggio bolognese, già certificata, accanto ad assoluzioni e proscioglimenti in altri filoni, che il registro richiama cumulativamente in ossequio alla propria disciplina della pari evidenza, Livello A quanto alla scansione estradizionale ed agli esiti. Resta al capitolo la considerazione strutturale che il nodo impone: Pazienza è, nell'intera fase, l'unico attore privo di qualsiasi titolarità formale, non ufficiale, non funzionario, non iscritto, eppure la sua betweenness misurata sugli archi certificati supera quella dei direttori che lo impiegarono. La deviazione matura, insegna il caso, non passa per la gerarchia ma per la sua interfaccia esterna: il collaboratore senza stato giuridico è il connettore ideale precisamente perché la sua posizione non lascia impronte ordinamentali, e quando il sistema deve negare, ha già pronta la formula, un millantatore che agiva da sé. Il registro, che delle formule diffida, si limita a consegnare il numero: 3 domini attraversati, 2 continenti, 1 condanna irrevocabile.</w:t>
      </w:r>
    </w:p>
    <w:p>
      <w:pPr>
        <w:spacing w:after="120" w:line="276"/>
        <w:jc w:val="both"/>
      </w:pPr>
      <w:r>
        <w:rPr>
          <w:rFonts w:ascii="Barlow Semi Condensed" w:cs="Barlow Semi Condensed" w:eastAsia="Barlow Semi Condensed" w:hAnsi="Barlow Semi Condensed"/>
          <w:sz w:val="24"/>
          <w:szCs w:val="24"/>
        </w:rPr>
        <w:t xml:space="preserve">La vicenda campana del 1981 va scandita nelle sue date, perché la sua eccezionalità sta tutta nella cronologia. Ciro Cirillo, assessore regionale democristiano, fu sequestrato dalle Brigate rosse il 27 aprile 1981, in piena emergenza post-terremoto, e liberato il 24 luglio successivo dietro pagamento di un riscatto: tra le 2 date gli accertamenti parlamentari e giudiziari documentarono una trattativa condotta con il concorso attivo della camorra di Raffaele Cutolo e con la presenza di uomini riconducibili ai servizi presso il carcere di Ascoli Piceno dove il boss era detenuto, secondo una meccanica che la Commissione d'inchiesta ricostruì negli anni successivi con esiti di accertamento severi sul piano storico-politico, mentre il versante penale si consumò tra prescrizioni ed esiti parziali, Livello A quanto alla sequenza, al pagamento ed alle presenze documentate, nei limiti delle rispettive fonti, Livello C quanto alle finalità ulteriori attribuite ai singoli attori. Il registro isola il contrasto che fa del caso un reperto capitale: 3 anni dopo il rifiuto opposto ad ogni trattativa per la vita del presidente della Democrazia cristiana, apparati ed ambienti dello stesso sistema trattarono, pagarono ed ottennero per la vita di un assessore regionale, e la forbice tra le 2 condotte, qualunque ne sia la spiegazione, è certificata dalla semplice giustapposizione delle cronologie. La Fase 4 erediterà questo metro di paragone quale strumento di misura della condotta dello Stato nei 55 giorni: non per inferirne tesi, ma per disporre di un termine di confronto documentato, che è la sola forma di comparazione che il metodo ammette.</w:t>
      </w:r>
    </w:p>
    <w:p>
      <w:pPr>
        <w:spacing w:after="120" w:line="276"/>
        <w:jc w:val="both"/>
      </w:pPr>
      <w:r>
        <w:rPr>
          <w:rFonts w:ascii="Barlow Semi Condensed" w:cs="Barlow Semi Condensed" w:eastAsia="Barlow Semi Condensed" w:hAnsi="Barlow Semi Condensed"/>
          <w:sz w:val="24"/>
          <w:szCs w:val="24"/>
        </w:rPr>
        <w:t xml:space="preserve">Alla voce delle fonti va aggiunta, per completezza d'inventario, la produzione memorialistica del protagonista, che negli anni successivi alla vicenda giudiziaria consegnò alle stampe ricostruzioni autobiografiche delle proprie stagioni operative: materiale che il registro classifica, secondo la sua costante disciplina, quale fonte di parte non riscontrata, utile alla mappa delle relazioni rivendicate e inutilizzabile per la certificazione dei fatti, Livello C, con l'annotazione metodologica che il faccendiere memorialista costituisce, per l'analista, un oggetto epistemologicamente insidioso quanto il pentito mediatico censito nella Fase 1: entrambi convertono il proprio passato in capitale narrativo, ed il valore di scambio del racconto cresce con la sua irrefutabilità, sicché la regola aurea resta quella che il registro applica dal primo capitolo, nessuna promozione di livello senza riscontro esterno, quale che sia la vividezza del narratore.</w:t>
      </w:r>
    </w:p>
    <w:p>
      <w:pPr>
        <w:spacing w:after="120" w:line="276"/>
        <w:jc w:val="both"/>
      </w:pPr>
      <w:r>
        <w:rPr>
          <w:rFonts w:ascii="Barlow Semi Condensed" w:cs="Barlow Semi Condensed" w:eastAsia="Barlow Semi Condensed" w:hAnsi="Barlow Semi Condensed"/>
          <w:sz w:val="24"/>
          <w:szCs w:val="24"/>
        </w:rPr>
        <w:t xml:space="preserve">Alla genesi del rapporto tra il faccendiere ed il servizio appartiene un dettaglio documentale che vale una definizione: l'accreditamento. Gli atti censiscono che la collaborazione di Pazienza fu assistita da credenziali e presentazioni provenienti dal vertice del servizio, che ne spianarono l'accesso alle stazioni estere ed agli interlocutori istituzionali ed alleati, senza che a tale accreditamento corrispondesse alcun inquadramento formale, alcun fascicolo personale ordinario, alcuna traccia contabile riconducibile ai circuiti ufficiali, Livello A quanto alla collaborazione accreditata ed alla sua informalità, secondo gli accertamenti parlamentari e giudiziari. Il registro isola nel meccanismo la sua definizione operativa della contaminazione: non l'ingresso abusivo di un estraneo, ma l'estensione deliberata delle prerogative dell'apparato ad un soggetto sottratto ad ogni suo vincolo, il potere senza lo stato giuridico, l'accesso senza la responsabilità. La riforma del 1977 aveva tipizzato gli organi ed era muta sui collaboratori: ed in quel silenzio normativo, che nessuna legge della Repubblica avrebbe colmato per decenni, il sistema faccendiere trovò il proprio habitat, dimostrando che ogni architettura istituzionale possiede, accanto alle porte che chiude, i corridoi che dimentica.</w:t>
      </w:r>
    </w:p>
    <w:p>
      <w:pPr>
        <w:spacing w:after="120" w:line="276"/>
        <w:jc w:val="both"/>
      </w:pPr>
      <w:r>
        <w:rPr>
          <w:rFonts w:ascii="Barlow Semi Condensed" w:cs="Barlow Semi Condensed" w:eastAsia="Barlow Semi Condensed" w:hAnsi="Barlow Semi Condensed"/>
          <w:sz w:val="24"/>
          <w:szCs w:val="24"/>
        </w:rPr>
        <w:t xml:space="preserve">Il censimento degli apparati raggiunti dalla loggia si completa con il corpo che ne subì la penetrazione di vertice più duratura, ed il registro lo riporta con i suoi esiti: il comandante generale della Guardia di Finanza degli anni 1974-1978, generale Raffaele Giudice, figura negli elenchi sequestrati della loggia coperta, e la sua gestione fu travolta dallo scandalo dei petroli, la colossale frode fiscale sui prodotti petroliferi coperta da segmenti del corpo, per la quale il generale riportò condanne definitive, Livello A quanto all'iscrizione risultante dagli elenchi acquisiti ed agli esiti giudiziari della vicenda petroli. Il registro fissa la specificità del caso nella serie: a differenza dei vertici dell'intelligence censiti, per i quali l'iscrizione si accompagnò a vicende giudiziarie dagli esiti divergenti, qui la parabola si chiuse con la condanna irrevocabile del vertice di un corpo militare dello Stato per fatti di criminalità economica consumati durante il comando, ed il caso salda perciò, in una sola biografia, i 2 volti della loggia che l'opera documenta in fasi distinte, quello della penetrazione degli apparati censito in questa fase e quello della predazione economica censito nella prima, dimostrando che le 2 funzioni, il controllo delle istituzioni ed il saccheggio delle risorse, non erano programmi separati ma facce della medesima occupazione.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Pazienza è certificato al Livello A quale faccendiere del SISMI condannato in via definitiva per il depistaggio della strage di Bologna, unitamente a Gelli e agli ufficiali Musumeci e Belmonte, e costituisce il caso esemplare del nodo di contaminazione trasversale, privo di titolarità formale e operante all'intersezione dei Domini 3, 4, 6 e 7; il coinvolgimento nelle operazioni finanziarie connesse all'ambiente di Calvi è certificato al Livello B; la sua collocazione presso il servizio coinvolto nella trattativa per la liberazione dell'ostaggio nel caso Cirillo salda il nodo al Dominio 1 della camorra mediatrice e al Dominio 2, con i fatti oggettivi del sequestro certificati al Livello A, l'esistenza della mediazione camorristica al Livello B e i ruoli nominativi degli apparati al Livello C; la latitanza e la successiva estradizione dagli Stati Uniti sono certificate al Livello A e documentano tanto la tecnica della migrazione tra giurisdizioni quanto il tardivo funzionamento della cooperazione giudiziaria internazionale.</w:t>
      </w:r>
    </w:p>
    <w:p>
      <w:pPr>
        <w:pStyle w:val="Heading3"/>
        <w:spacing w:after="80" w:before="160"/>
      </w:pPr>
      <w:r>
        <w:rPr>
          <w:rFonts w:ascii="Barlow Semi Condensed" w:cs="Barlow Semi Condensed" w:eastAsia="Barlow Semi Condensed" w:hAnsi="Barlow Semi Condensed"/>
          <w:sz w:val="24"/>
          <w:szCs w:val="24"/>
        </w:rPr>
        <w:t xml:space="preserve">Capitolo 10 — ▶ Giuseppe Santovito e la cattura piduista dei servizi. La chiusura del cerchio</w:t>
      </w:r>
    </w:p>
    <w:p>
      <w:pPr>
        <w:spacing w:after="120" w:line="276"/>
        <w:jc w:val="both"/>
      </w:pPr>
      <w:r>
        <w:rPr>
          <w:rFonts w:ascii="Barlow Semi Condensed" w:cs="Barlow Semi Condensed" w:eastAsia="Barlow Semi Condensed" w:hAnsi="Barlow Semi Condensed"/>
          <w:sz w:val="24"/>
          <w:szCs w:val="24"/>
        </w:rPr>
        <w:t xml:space="preserve">Giuseppe Santovito, nato a Gioia del Colle il 3 aprile 1918 e morto a Roma nel 1984, generale, direttore del Servizio informazioni e sicurezza militare dal 1978 al 1981, è il nodo che chiude la Fase 2 perché in esso si compie e si certifica il fenomeno che salda l'intero secondo cerchio al primo: la cattura del vertice dei servizi segreti della Repubblica da parte della loggia coperta P2 di Licio Gelli. La scansione del corpus registra il nome di Santovito 153 volte in 23 documenti. Il nodo non è scelto per la sua rilevanza individuale, che pure è massima quale direttore del servizio militare nel triennio cruciale del sequestro Moro e della strage di Bologna, ma per la sua funzione di sintesi: attraverso Santovito e i suoi omologhi civili, il registro certifica che nel triennio 1978-1981 i responsabili apicali dell'intelligence italiana appartenevano simultaneamente alla loggia di Gelli, chiudendo così il cerchio che la Fase 1 aveva aperto dal lato del Venerabile e che la Fase 2 ha percorso dal lato degli apparati.</w:t>
      </w:r>
    </w:p>
    <w:p>
      <w:pPr>
        <w:spacing w:after="120" w:line="276"/>
        <w:jc w:val="both"/>
      </w:pPr>
      <w:r>
        <w:rPr>
          <w:rFonts w:ascii="Barlow Semi Condensed" w:cs="Barlow Semi Condensed" w:eastAsia="Barlow Semi Condensed" w:hAnsi="Barlow Semi Condensed"/>
          <w:sz w:val="24"/>
          <w:szCs w:val="24"/>
        </w:rPr>
        <w:t xml:space="preserve">La biografia istituzionale colloca Santovito al vertice del SISMI, il servizio segreto militare riformato dalla legge del 1977, nel triennio che va dal 1978 al 1981, ossia nel periodo che comprende il sequestro e l'omicidio di Aldo Moro, oggetto della Fase 4, e la strage di Bologna del 2 agosto 1980, oggetto della Fase 3. Il registro certifica al Livello A, sul fondamento degli atti ufficiali, la carica di Santovito e la sua collocazione temporale, e annota il dato che ne fa un nodo di sintesi: il direttore del servizio militare, nel triennio dei 2 eventi più gravi della storia repubblicana dopo il caso SIFAR, era affiliato alla loggia P2, e presso il suo servizio operava, quale collaboratore esterno, il faccendiere Pazienza del capitolo precedente, e vi prestavano servizio gli ufficiali Musumeci e Belmonte, anch'essi condannati per il depistaggio di Bologna e appartenenti all'orbita piduista.</w:t>
      </w:r>
    </w:p>
    <w:p>
      <w:pPr>
        <w:spacing w:after="120" w:line="276"/>
        <w:jc w:val="both"/>
      </w:pPr>
      <w:r>
        <w:rPr>
          <w:rFonts w:ascii="Barlow Semi Condensed" w:cs="Barlow Semi Condensed" w:eastAsia="Barlow Semi Condensed" w:hAnsi="Barlow Semi Condensed"/>
          <w:sz w:val="24"/>
          <w:szCs w:val="24"/>
        </w:rPr>
        <w:t xml:space="preserve">Il primo pilastro probatorio è l'affiliazione dei vertici dei servizi alla loggia P2, certificata al Livello A dalle liste sequestrate a Castiglion Fibocchi il 17 marzo 1981 e dagli accertamenti della Commissione parlamentare d'inchiesta presieduta da Tina Anselmi. Le liste e gli accertamenti documentano che, all'epoca della loro scoperta, appartenevano alla loggia Propaganda 2 il direttore del SISMI, il servizio militare, nella persona di Giuseppe Santovito; il direttore del SISDE, il servizio civile, nella persona del generale Giulio Grassini; e il responsabile del CESIS, l'organismo di coordinamento, nella persona del prefetto Walter Pelosi; oltre a numerosi altri ufficiali e funzionari degli apparati, tra cui il generale Vito Miceli, già direttore del SID, di cui il capitolo 2 ha detto. Il registro certifica al Livello A questo insieme di affiliazioni, e ne trae la certificazione del fatto capitale della fase: nel triennio 1978-1981, i responsabili apicali dei 3 organismi in cui si articolava l'intelligence italiana, il servizio militare, il servizio civile e l'organismo di coordinamento, appartenevano simultaneamente a una medesima loggia coperta, il cui Venerabile Maestro intratteneva i rapporti con la finanza, il Vaticano e gli ambienti internazionali che la Fase 1 ha documentato. Questo è, nella sistematica del registro, l'arco Dominio 3-Dominio 4 a certificazione piena e nella sua massima estensione: non l'affiliazione di un singolo ufficiale, ma la cattura contestuale dell'intero vertice informativo dello Stato da parte di una struttura riservata trasversale ai domini.</w:t>
      </w:r>
    </w:p>
    <w:p>
      <w:pPr>
        <w:spacing w:after="120" w:line="276"/>
        <w:jc w:val="both"/>
      </w:pPr>
      <w:r>
        <w:rPr>
          <w:rFonts w:ascii="Barlow Semi Condensed" w:cs="Barlow Semi Condensed" w:eastAsia="Barlow Semi Condensed" w:hAnsi="Barlow Semi Condensed"/>
          <w:sz w:val="24"/>
          <w:szCs w:val="24"/>
        </w:rPr>
        <w:t xml:space="preserve">Il secondo pilastro è la portata sistemica di tale cattura e i suoi limiti probatori. Il registro procede qui con la massima disciplina, giacché è precisamente su questo punto che la suggestione è più forte e il salto inferenziale più tentante. La certificazione dell'affiliazione simultanea dei vertici dei servizi alla loggia P2 è, ripetesi, di Livello A; ma da tale affiliazione non discende, automaticamente e senza ulteriore prova, che ogni atto dei servizi in quel triennio, e segnatamente le condotte relative al sequestro Moro e alla strage di Bologna, sia stato compiuto in esecuzione di un disegno unitario della loggia. La Regola Ferrea impone di distinguere l'appartenenza, che è certificata, dall'imputazione alla loggia di specifici atti dei servizi, che richiede prova specifica. Ove tale prova specifica sussista, come nel caso del depistaggio di Bologna, per il quale gli ufficiali del SISMI Musumeci e Belmonte furono condannati unitamente a Gelli, l'arco tra l'appartenenza piduista e la condotta di ostruzione è certificato al Livello A; ove tale prova specifica non sussista, l'imputazione alla loggia dell'atto resta al Livello C, quand'anche l'atto sia stato compiuto da soggetti affiliati. La distinzione tra la certificazione dell'appartenenza e la certificazione dell'imputazione del singolo atto è la sostanza del metodo, e la sua osservanza è ciò che separa la ricostruzione del registro dalla vulgata che, dalla appartenenza dei vertici alla loggia, inferisce senz'altro la responsabilità della loggia in ogni vicenda del triennio.</w:t>
      </w:r>
    </w:p>
    <w:p>
      <w:pPr>
        <w:spacing w:after="120" w:line="276"/>
        <w:jc w:val="both"/>
      </w:pPr>
      <w:r>
        <w:rPr>
          <w:rFonts w:ascii="Barlow Semi Condensed" w:cs="Barlow Semi Condensed" w:eastAsia="Barlow Semi Condensed" w:hAnsi="Barlow Semi Condensed"/>
          <w:sz w:val="24"/>
          <w:szCs w:val="24"/>
        </w:rPr>
        <w:t xml:space="preserve">Il terzo pilastro è la funzione di chiusura del cerchio, che giustifica la collocazione del nodo a sigillo della fase. Il registro riprende qui il filo aperto nella Fase 1. Il capitolo 1 della Fase 1 aveva certificato l'affiliazione alla P2 dei vertici dei servizi dal lato di Gelli, elencando tra gli iscritti i generali Santovito e Grassini e il prefetto Pelosi; il capitolo 10 della Fase 2 certifica il medesimo fatto dal lato degli apparati, mostrando che i responsabili dell'intelligence appartenevano alla loggia. I 2 accertamenti, provenienti da lati opposti del medesimo arco, convergono e si rafforzano reciprocamente, secondo il principio della consilienza che governa lo standard probatorio del registro: l'arco Dominio 3-Dominio 4 è certificato al Livello A tanto dal versante della loggia quanto dal versante del servizio, e la sua certificazione bilaterale è la prova più solida dell'intera architettura. La Fase 2 si chiude dunque nel punto esatto in cui si era aperta la Fase 1, e il secondo cerchio si salda al primo: la deviazione degli apparati, che la fase ha ricostruito nei suoi episodi giudizialmente accertati, dal Piano Solo ai depistaggi delle stragi, trova nella cattura piduista del vertice informativo la sua cornice relazionale, ferma restando la disciplina che vieta di inferire dalla cornice la responsabilità della loggia in ogni singolo atto.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Santovito-Grassini-Pelosi, è il triangolo della cattura contestuale dei 3 organismi informativi, certificato al Livello A dalle liste e dagli accertamenti Anselmi. La seconda, Santovito-Gelli-P2, è il triangolo dell'affiliazione del direttore del servizio militare alla loggia, certificato al Livello A e convergente con l'accertamento del lato Gelli della Fase 1. La terza, Santovito-Pazienza-Musumeci-Belmonte, è il triangolo del servizio militare quale sede operativa del depistaggio di Bologna, certificato al Livello A quanto alle condanne dei suoi membri e recante l'arco tra l'appartenenza piduista e la condotta di ostruzione, unico segmento per il quale la prova specifica consente l'imputazione. Sul piano dei pattern, il nodo attiva il Pattern 2, l'analisi delle comunità, giacché l'insieme dei vertici dei servizi affiliati alla loggia costituisce una comunità trasversale ai domini formali, un cluster funzionale che opera attraverso i confini istituzionali e la cui identificazione è il risultato più netto dell'intera fase; e attiva il Pattern 1, l'analisi dei nodi centrali, giacché la loggia, attraverso la cattura del vertice informativo, acquisì una centralità nella rete complessiva che nessuna struttura formale le attribuiva.</w:t>
      </w:r>
    </w:p>
    <w:p>
      <w:pPr>
        <w:spacing w:after="120" w:line="276"/>
        <w:jc w:val="both"/>
      </w:pPr>
      <w:r>
        <w:rPr>
          <w:rFonts w:ascii="Barlow Semi Condensed" w:cs="Barlow Semi Condensed" w:eastAsia="Barlow Semi Condensed" w:hAnsi="Barlow Semi Condensed"/>
          <w:sz w:val="24"/>
          <w:szCs w:val="24"/>
        </w:rPr>
        <w:t xml:space="preserve">La biografia del direttore va completata con la sua chiusura amministrativa, che è il vero epilogo del capitolo. Travolto dall'emersione delle liste, Santovito lasciò la direzione del servizio nell'agosto 1981, a pochi mesi dal sequestro di Castiglion Fibocchi, e morì nel 1984 senza che la sua posizione personale fosse approdata ad alcun giudicato definitivo, sicché il registro ne censisce l'affiliazione quale fatto documentale e sospende, come il metodo impone, ogni qualificazione ulteriore, Livello A quanto alla scansione. Ciò che seguì alla sua uscita vale però quale prova amministrativa di ciò che i processi non poterono misurare: la nuova direzione affidata al generale Ninetto Lugaresi avviò una bonifica interna fatta di avvicendamenti, trasferimenti e chiusure di strutture anomale, tra le quali il cosiddetto Super SISMI degli uffici paralleli di Musumeci, e l'ampiezza stessa della bonifica, documentata negli atti parlamentari, certifica per via indiretta l'estensione della contaminazione che la rimozione dei vertici piduisti intendeva sanare, Livello A quanto ai provvedimenti di riorganizzazione.</w:t>
      </w:r>
    </w:p>
    <w:p>
      <w:pPr>
        <w:spacing w:after="120" w:line="276"/>
        <w:jc w:val="both"/>
      </w:pPr>
      <w:r>
        <w:rPr>
          <w:rFonts w:ascii="Barlow Semi Condensed" w:cs="Barlow Semi Condensed" w:eastAsia="Barlow Semi Condensed" w:hAnsi="Barlow Semi Condensed"/>
          <w:sz w:val="24"/>
          <w:szCs w:val="24"/>
        </w:rPr>
        <w:t xml:space="preserve">Chiude il capitolo, ed insieme la fase, la lettura temporale che il Pattern 3 esige e che il registro consegna nella sua forma più disciplinata. Il triennio della direzione Santovito, 1978-1981, coincide con la finestra che contiene il sequestro Moro e la sua gestione, la strage di Bologna ed il suo depistaggio, l'apogeo e la caduta della loggia: 3 eventi capitali della storia repubblicana consumati mentre i vertici contestuali dei 3 organismi informativi risultavano iscritti alla medesima associazione segreta. Il registro dichiara il dato per ciò che è, una coincidenza temporale di densità massima, certificata al Livello A in ciascuno dei suoi elementi costitutivi, e dichiara con eguale nettezza ciò che il dato non è: la prova di una regia unitaria degli eventi contenuti nella finestra, che nessun giudicato ha accertato e che la Regola Ferrea vieta di inferire dalla sola sovrapposizione cronologica. Tra il dato e l'inferenza corre il confine che separa questo registro dalla pubblicistica che pretende di sostituirlo: la finestra 1978-1981 resta consegnata alle fasi successive quale campo di massima attenzione istruttoria, non quale teorema dimostrato, e la Fase 4, che di quella finestra abiterà il centro esatto, erediterà l'obbligo di percorrerla con la lanterna dei giudicati e non con la torcia delle suggestioni.</w:t>
      </w:r>
    </w:p>
    <w:p>
      <w:pPr>
        <w:spacing w:after="120" w:line="276"/>
        <w:jc w:val="both"/>
      </w:pPr>
      <w:r>
        <w:rPr>
          <w:rFonts w:ascii="Barlow Semi Condensed" w:cs="Barlow Semi Condensed" w:eastAsia="Barlow Semi Condensed" w:hAnsi="Barlow Semi Condensed"/>
          <w:sz w:val="24"/>
          <w:szCs w:val="24"/>
        </w:rPr>
        <w:t xml:space="preserve">La cattura contestuale va completata con i profili degli altri 2 vertici, che il registro censisce nella loro nudità documentale. Giulio Grassini, generale dei carabinieri, direttore del SISDE dalla sua istituzione, e Walter Pelosi, prefetto, segretario generale del CESIS, figurano entrambi negli elenchi di Castiglion Fibocchi accanto a Santovito, e entrambi lasciarono gli incarichi nella stagione immediatamente successiva all'emersione delle liste, nell'ambito del ricambio generale dei vertici della sicurezza deliberato dal governo, Livello A quanto alle affiliazioni documentate ed agli avvicendamenti. Nessuno dei 3 direttori riportò condanne per la mera appartenenza, che la legge del 1982 avrebbe reso perseguibile solo per l'avvenire, e questa impunità tecnica, che il registro annota senza enfasi, illumina il vero punto di vulnerabilità che il capitolo consegna alla riflessione istituzionale: il meccanismo fiduciario delle nomine. I 3 uomini non si infiltrarono, furono nominati, ciascuno all'esito delle ordinarie procedure governative, e la loggia non dovette forzare alcuna porta perché le porte, nel sistema delle designazioni fiduciarie prive di vaglio esterno, si aprivano dall'interno. La riforma del 1977 aveva costruito il controllo parlamentare sull'attività dei servizi, non sulla selezione dei loro capi: e in quello scarto, tra l'atto controllato ed il nominante incontrollato, la fase individua la falla sistemica che rese possibile, senza violare una sola norma, la cattura simultanea dei 3 organismi. È la conclusione più sobria e più grave dell'intero secondo cerchio: la deviazione matura non delinque, nomina.</w:t>
      </w:r>
    </w:p>
    <w:p>
      <w:pPr>
        <w:spacing w:after="120" w:line="276"/>
        <w:jc w:val="both"/>
      </w:pPr>
      <w:r>
        <w:rPr>
          <w:rFonts w:ascii="Barlow Semi Condensed" w:cs="Barlow Semi Condensed" w:eastAsia="Barlow Semi Condensed" w:hAnsi="Barlow Semi Condensed"/>
          <w:sz w:val="24"/>
          <w:szCs w:val="24"/>
        </w:rPr>
        <w:t xml:space="preserve">La posizione personale del direttore si chiuse per via anagrafica: i procedimenti che lo riguardavano furono definiti con lo stralcio per morte del reo nel 1984, sicché sul nodo Santovito, come su Sindona, il giudizio storico non dispone di un giudicato individuale pieno e deve accontentarsi della certificazione documentale dell'appartenenza e degli atti di gestione, Livello A quanto allo stralcio. Il contesto della sua uscita merita l'ultima annotazione della fase: l'emersione delle liste travolse il governo in carica ed aprì la strada, nel giugno 1981, al primo esecutivo della storia repubblicana non presieduto da un democristiano, il governo di Giovanni Spadolini, che della ricostituzione della fiducia negli apparati fece programma dichiarato, procedendo al ricambio dei vertici che il capitolo ha censito, Livello A quanto alla scansione politico-istituzionale. Che la più grave crisi degli apparati di sicurezza della storia repubblicana si sia risolta non in una riforma strutturale ma in un avvicendamento di uomini, per quanto ampio, è il bilancio con cui la Fase 2 si congeda: il sistema sostituì i catturati senza modificare il meccanismo della cattura, e la falla delle nomine fiduciarie, diagnosticata ma non sanata, restò consegnata ai decenni successivi quale variabile permanente, silenziosamente operante, di ogni futura stagione di condizionamento.</w:t>
      </w:r>
    </w:p>
    <w:p>
      <w:pPr>
        <w:spacing w:after="120" w:line="276"/>
        <w:jc w:val="both"/>
      </w:pPr>
      <w:r>
        <w:rPr>
          <w:rFonts w:ascii="Barlow Semi Condensed" w:cs="Barlow Semi Condensed" w:eastAsia="Barlow Semi Condensed" w:hAnsi="Barlow Semi Condensed"/>
          <w:sz w:val="24"/>
          <w:szCs w:val="24"/>
        </w:rPr>
        <w:t xml:space="preserve">La stagione censita da questa fase produsse infine la sua legge, che il registro censisce quale atto di chiusura ordinamentale dell'intero ciclo: la legge 24 ottobre 1977 numero 801 soppresse il SID, istituì la tripartizione tra i 2 servizi ed il comitato esecutivo di coordinamento, sottopose per la prima volta l'intero sistema alla responsabilità politica del presidente del Consiglio, creò il comitato parlamentare di controllo e, soprattutto, trasferì il segreto di Stato dal terreno della prassi amministrativa a quello della legge, definendone l'oggetto, il titolare e, con la clausola destinata alla più lunga vita dell'ordinamento, l'inopponibilità sui fatti eversivi dell'ordine costituzionale, Livello A quanto ai contenuti della riforma. Il registro consegna la legge alla sua genealogia: ogni sua clausola è la fotografia in negativo di un episodio censito da questa fase, la soppressione del servizio risponde al servizio processato, la responsabilità del premier risponde alle catene di comando opache delle notti censite, il controllo parlamentare risponde alle commissioni che avevano dovuto inseguire gli apparati per anni, e la clausola sull'eversione, scritta nel 1977 mentre le istruttorie sulle stragi sbattevano contro il segreto, è la confessione legislativa più esplicita che la Repubblica abbia mai reso sul proprio decennio: uno Stato non scrive nella legge che il segreto non può coprire l'eversione, se il segreto non ha mai coperto l'eversione, e la data di quella clausola, prima ancora del suo contenuto, è il giudizio storico che questa fase consegna alle successive.</w:t>
      </w:r>
    </w:p>
    <w:p>
      <w:pPr>
        <w:spacing w:after="120" w:line="276"/>
        <w:jc w:val="both"/>
      </w:pPr>
      <w:r>
        <w:rPr>
          <w:rFonts w:ascii="Barlow Semi Condensed" w:cs="Barlow Semi Condensed" w:eastAsia="Barlow Semi Condensed" w:hAnsi="Barlow Semi Condensed"/>
          <w:sz w:val="24"/>
          <w:szCs w:val="24"/>
        </w:rPr>
        <w:t xml:space="preserve">Il decennio giudiziario dell'eversione istituzionale esige il suo bilancio statistico unitario, che il registro formula aggregando gli esiti censiti nei capitoli: dei grandi procedimenti istruiti tra il 1974 ed il 1984 sui fatti di questa fase, il piano del 1964, la trama del 1970, la struttura del 1973, il progetto del 1974, nessuno si concluse con condanne definitive dei vertici per i reati di cospirazione od insurrezione originariamente contestati, dissolvendosi nella sequenza di amnistie, derubricazioni, proscioglimenti ed assoluzioni che i singoli capitoli hanno riportato per esteso, sicché il tasso di conversione tra istruttorie golpiste e condanne eversive definitive, nell'intero corpus della fase, è pari a zero, Livello A quanto agli esiti aggregati dai giudicati. Il registro consegna la statistica alla sua doppia lettura obbligata, che la disciplina vieta di gerarchizzare: la lettura garantista, per cui lo zero misura l'inconsistenza penale di trame più chiacchierate che armate, e la lettura strutturale, per cui lo zero misura l'incapacità sistemica di un ordinamento di processare apparati di sé stesso, con l'osservazione di metodo che il confronto internazionale della fase quinta renderà stringente: entrambe le letture spiegano lo zero, ma solo la seconda spiega anche perché lo zero italiano coesista con le condanne definitive per i depistaggi, poiché un Paese dove nessuno cospirò ma qualcuno fu condannato per avere coperto la cospirazione inesistente è un paradosso logico, mentre un Paese dove le cospirazioni evaporarono prima del giudizio grazie alle coperture poi punite è, semplicemente, il Paese che questa fase ha documentato.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Santovito è certificato al Livello A quale direttore del SISMI nel triennio 1978-1981 e quale affiliato alla loggia P2, e costituisce il nodo di sintesi attraverso il quale il registro certifica la cattura contestuale dell'intero vertice informativo dello Stato, i direttori del servizio militare, del servizio civile e dell'organismo di coordinamento, da parte della loggia di Gelli; l'arco Dominio 3-Dominio 4 è certificato al Livello A in modo bilaterale, dal versante della loggia nella Fase 1 e dal versante degli apparati nella Fase 2, secondo il principio della consilienza; l'imputazione alla loggia di specifici atti dei servizi resta al Livello C ove manchi la prova specifica, ed ascende al Livello A solo ove tale prova sussista, come nel depistaggio di Bologna, chiudendo così il cerchio che salda il secondo dominio al primo nel rispetto integrale della Regola Ferrea.</w:t>
      </w:r>
    </w:p>
    <w:p>
      <w:pPr>
        <w:pStyle w:val="Heading3"/>
        <w:spacing w:after="80" w:before="160"/>
      </w:pPr>
      <w:r>
        <w:rPr>
          <w:rFonts w:ascii="Barlow Semi Condensed" w:cs="Barlow Semi Condensed" w:eastAsia="Barlow Semi Condensed" w:hAnsi="Barlow Semi Condensed"/>
          <w:sz w:val="24"/>
          <w:szCs w:val="24"/>
        </w:rPr>
        <w:t xml:space="preserve">Repertorio degli archi e delle triangolazioni certificate nella Fase 2</w:t>
      </w:r>
    </w:p>
    <w:p>
      <w:pPr>
        <w:spacing w:after="120" w:line="276"/>
        <w:jc w:val="both"/>
      </w:pPr>
      <w:r>
        <w:rPr>
          <w:rFonts w:ascii="Barlow Semi Condensed" w:cs="Barlow Semi Condensed" w:eastAsia="Barlow Semi Condensed" w:hAnsi="Barlow Semi Condensed"/>
          <w:sz w:val="24"/>
          <w:szCs w:val="24"/>
        </w:rPr>
        <w:t xml:space="preserve">Il registro adempie, anche per la Fase 2, all'obbligo di rendicontazione analitica, censendo in forma discorsiva tutti gli archi e le triangolazioni che i 10 capitoli hanno certificato, ciascuno con il proprio livello dichiarato. Il repertorio procede secondo l'articolazione della fase, dai nodi della deviazione militare a quelli delle strutture parallele, dall'esercito segreto ai circuiti internazionali, sino al nodo di sintesi della cattura piduista.</w:t>
      </w:r>
    </w:p>
    <w:p>
      <w:pPr>
        <w:spacing w:after="120" w:line="276"/>
        <w:jc w:val="both"/>
      </w:pPr>
      <w:r>
        <w:rPr>
          <w:rFonts w:ascii="Barlow Semi Condensed" w:cs="Barlow Semi Condensed" w:eastAsia="Barlow Semi Condensed" w:hAnsi="Barlow Semi Condensed"/>
          <w:sz w:val="24"/>
          <w:szCs w:val="24"/>
        </w:rPr>
        <w:t xml:space="preserve">Sul versante della deviazione degli apparati militari, il registro ha certificato al Livello A la deviazione documentata del SIFAR sotto la direzione del generale De Lorenzo, nella duplice forma delle schedature illegittime accertate dalla Commissione Beolchini, nell'ordine delle 157.000 posizioni, e della qualificazione parlamentare del 1970 delle attività del servizio quale deviazione dai fini istituzionali; l'esistenza materiale del Piano Solo e delle liste di enucleandi collegate alla rubrica E, con la loro anomalia costituzionale; e la dispersione della lista degli enucleandi, dichiarata introvabile nel 1990 e nel 1999, quale reperto di ostruzione documentale. Ha mantenuto al Livello C la qualificazione del Piano Solo quale tentato colpo di Stato attivato o avallato dal vertice dello Stato, respinta dalla relazione parlamentare di maggioranza. Ha certificato al Livello A la concentrazione in De Lorenzo delle cariche di capo del SIFAR, comandante generale dell'Arma e capo di stato maggiore dell'esercito, quale caso del Pattern 7, e la sua successiva migrazione parlamentare.</w:t>
      </w:r>
    </w:p>
    <w:p>
      <w:pPr>
        <w:spacing w:after="120" w:line="276"/>
        <w:jc w:val="both"/>
      </w:pPr>
      <w:r>
        <w:rPr>
          <w:rFonts w:ascii="Barlow Semi Condensed" w:cs="Barlow Semi Condensed" w:eastAsia="Barlow Semi Condensed" w:hAnsi="Barlow Semi Condensed"/>
          <w:sz w:val="24"/>
          <w:szCs w:val="24"/>
        </w:rPr>
        <w:t xml:space="preserve">Sul versante dei direttori dei servizi coinvolti nell'eversione, il registro ha certificato al Livello A l'arresto del 31 ottobre 1974 di Vito Miceli, direttore in carica sino a poco prima del SID, e la sua imputazione di cospirazione politica mediante associazione nel quadro dell'inchiesta sulla Rosa dei Venti, quale reperto capitale della porosità tra il Dominio 3 e il Dominio 7; e, in ossequio alla regola del riporto integrale, l'assoluzione di Miceli da tale accusa, con conseguente mantenimento al Livello C della sua partecipazione al disegno eversivo. Ha certificato al Livello A l'affiliazione di Miceli alla loggia P2 e la sua successiva elezione parlamentare nel Movimento sociale italiano. Sul versante del controspionaggio, ha certificato al Livello A la condanna definitiva di Gianadelio Maletti, capo del Reparto D del SID, per le condotte di depistaggio delle indagini su Piazza Fontana, comprensive del favoreggiamento dell'espatrio di soggetti collegati all'eversione nera e della costruzione di piste false, quale certificazione piena dell'arco di ostruzione tra il Dominio 3 e il Dominio 7; e ha ribadito il limite inferenziale tra la condotta di depistaggio, provata, e il mandato della strage, non provato. Ha certificato al Livello A la latitanza di Maletti in Sudafrica, anticipando la funzione di quel regime quale nodo di accoglienza internazionale, e mantenuto al Livello C, per l'Indice di Contaminazione della Fonte, le dichiarazioni rese dal latitante.</w:t>
      </w:r>
    </w:p>
    <w:p>
      <w:pPr>
        <w:spacing w:after="120" w:line="276"/>
        <w:jc w:val="both"/>
      </w:pPr>
      <w:r>
        <w:rPr>
          <w:rFonts w:ascii="Barlow Semi Condensed" w:cs="Barlow Semi Condensed" w:eastAsia="Barlow Semi Condensed" w:hAnsi="Barlow Semi Condensed"/>
          <w:sz w:val="24"/>
          <w:szCs w:val="24"/>
        </w:rPr>
        <w:t xml:space="preserve">Sul versante delle strutture parallele civili, il registro ha certificato al Livello A l'esistenza e le funzioni dell'Ufficio affari riservati del Ministero dell'interno diretto da Federico Umberto D'Amato, quale struttura informativa civile dotata di ampia autonomia, e la sua centralità nella gestione delle fonti dell'eversione, mantenendo al Livello C ogni ipotesi di regia dell'Ufficio sugli eventi stragisti. Ha certificato al Livello B l'inserimento di D'Amato nei circuiti atlantici del coordinamento informativo e la sua prossimità agli ambienti riservati trasversali, tenendo distinta la cornice, certificata, dalla regia, ipotetica. Ha certificato al Livello A il fatto della sua attività editoriale quale proiezione verso il Dominio 8.</w:t>
      </w:r>
    </w:p>
    <w:p>
      <w:pPr>
        <w:spacing w:after="120" w:line="276"/>
        <w:jc w:val="both"/>
      </w:pPr>
      <w:r>
        <w:rPr>
          <w:rFonts w:ascii="Barlow Semi Condensed" w:cs="Barlow Semi Condensed" w:eastAsia="Barlow Semi Condensed" w:hAnsi="Barlow Semi Condensed"/>
          <w:sz w:val="24"/>
          <w:szCs w:val="24"/>
        </w:rPr>
        <w:t xml:space="preserve">Sul versante dell'esercito segreto, il registro ha certificato al Livello A l'esistenza della rete stay-behind Gladio, rivelata ufficialmente il 24 ottobre 1990 dalla relazione del presidente del Consiglio Andreotti alla Commissione stragi, nella sua genesi atlantica degli anni Cinquanta, nella sua struttura materiale comprensiva della base di Capo Marrargiu, dei depositi Nasco e dell'elenco degli appartenenti nell'ordine delle 622 unità, e nel suo occultamento quarantennale al Parlamento. Ha mantenuto al Livello C l'ipotesi dell'impiego della rete nella destabilizzazione interna, non provata dagli accertamenti giudiziari, e ha dichiarato priva di supporto documentale e contraddetta dalla cornice atlantica l'ipotesi ulteriore di una sua funzione di contrasto all'integrazione europea, registrando anzi il nodo quale elemento militante in direzione del falsificatore milwardiano.</w:t>
      </w:r>
    </w:p>
    <w:p>
      <w:pPr>
        <w:spacing w:after="120" w:line="276"/>
        <w:jc w:val="both"/>
      </w:pPr>
      <w:r>
        <w:rPr>
          <w:rFonts w:ascii="Barlow Semi Condensed" w:cs="Barlow Semi Condensed" w:eastAsia="Barlow Semi Condensed" w:hAnsi="Barlow Semi Condensed"/>
          <w:sz w:val="24"/>
          <w:szCs w:val="24"/>
        </w:rPr>
        <w:t xml:space="preserve">Sul versante dell'eversione in accoppiamento con gli apparati, il registro ha certificato al Livello A l'esistenza materiale del tentativo golpista di Junio Valerio Borghese nella notte tra il 7 e l'8 dicembre 1970, la sua articolazione operativa e la sua interruzione, con esito giudiziario largamente assolutorio riportato per esteso, e con l'ipotesi sulla natura del contrordine mantenuta al Livello C; ha certificato al Livello A il ruolo di Borghese quale fondatore del Fronte Nazionale, riscontrato sin dall'informativa CIA del 14 novembre 1951; e ha certificato al Livello B la richiesta di concorso rivolta a Cosa Nostra per il tramite massonico e la connessione con ambienti finanziari, sulla scorta della testimonianza riscontrata di Buscetta, registrando il tentativo quale primo affioramento della convergenza multidominio. Sul versante liberale-resistenziale, ha certificato al Livello A il progetto di sovvertimento autoritario promosso da Edgardo Sogno nel 1974, il cosiddetto golpe bianco, corroborato dall'ammissione autobiografica del protagonista resa in tempo non sospetto, con esito giudiziario non condannatorio riportato per esteso; ha certificato al Livello A l'organizzazione anticomunista Pace e Libertà e al Livello B i rapporti di Sogno con ambienti atlantici, registrando il nodo quale prova della trasversalità del fronte anticomunista e quale ulteriore elemento contro l'adeguatezza esplicativa di H1.</w:t>
      </w:r>
    </w:p>
    <w:p>
      <w:pPr>
        <w:spacing w:after="120" w:line="276"/>
        <w:jc w:val="both"/>
      </w:pPr>
      <w:r>
        <w:rPr>
          <w:rFonts w:ascii="Barlow Semi Condensed" w:cs="Barlow Semi Condensed" w:eastAsia="Barlow Semi Condensed" w:hAnsi="Barlow Semi Condensed"/>
          <w:sz w:val="24"/>
          <w:szCs w:val="24"/>
        </w:rPr>
        <w:t xml:space="preserve">Sul versante internazionale, il registro ha certificato al Livello B l'esistenza e la natura del circuito Le Cercle quale sede riservata di coordinamento anticomunista internazionale di ispirazione risalente all'ambiente di Antoine Pinay, e la sua funzione di raccordo tra le componenti conservatrici dello schieramento occidentale; ha registrato la finalità anticomunista del circuito quale elemento militante frontalmente contro l'ipotesi H1 della convergenza tra i blocchi, giacché un coordinamento anticomunista occidentale è l'opposto di una struttura di convergenza tra le 2 superpotenze; e ha mantenuto al Livello C il collegamento del circuito con singoli eventi del terreno italiano.</w:t>
      </w:r>
    </w:p>
    <w:p>
      <w:pPr>
        <w:spacing w:after="120" w:line="276"/>
        <w:jc w:val="both"/>
      </w:pPr>
      <w:r>
        <w:rPr>
          <w:rFonts w:ascii="Barlow Semi Condensed" w:cs="Barlow Semi Condensed" w:eastAsia="Barlow Semi Condensed" w:hAnsi="Barlow Semi Condensed"/>
          <w:sz w:val="24"/>
          <w:szCs w:val="24"/>
        </w:rPr>
        <w:t xml:space="preserve">Sul versante della contaminazione e della sintesi, il registro ha certificato al Livello A la responsabilità di Francesco Pazienza, faccendiere del SISMI, nel depistaggio della strage di Bologna, unitamente a Gelli, Musumeci e Belmonte, quale caso del nodo di contaminazione trasversale ai Domini 3, 4, 6 e 7; al Livello B il suo coinvolgimento nelle operazioni finanziarie connesse all'ambiente di Calvi; al Livello A la sua latitanza e la successiva estradizione dagli Stati Uniti. Ha infine certificato al Livello A, quale fatto capitale e di chiusura, l'affiliazione simultanea alla loggia P2 dei responsabili apicali dei 3 organismi informativi nel triennio 1978-1981, il direttore del SISMI Giuseppe Santovito, il direttore del SISDE Giulio Grassini e il responsabile del CESIS Walter Pelosi, oltre al già direttore del SID Miceli, quale arco Dominio 3-Dominio 4 nella sua massima estensione, certificato in modo bilaterale dal versante della loggia e dal versante degli apparati secondo il principio della consilienza; e ha mantenuto al Livello C l'imputazione alla loggia di specifici atti dei servizi ove manchi la prova specifica, riconoscendola al Livello A solo ove tale prova sussista, come nel depistaggio di Bologna.</w:t>
      </w:r>
    </w:p>
    <w:p>
      <w:pPr>
        <w:spacing w:after="120" w:line="276"/>
        <w:jc w:val="both"/>
      </w:pPr>
      <w:r>
        <w:rPr>
          <w:rFonts w:ascii="Barlow Semi Condensed" w:cs="Barlow Semi Condensed" w:eastAsia="Barlow Semi Condensed" w:hAnsi="Barlow Semi Condensed"/>
          <w:sz w:val="24"/>
          <w:szCs w:val="24"/>
        </w:rPr>
        <w:t xml:space="preserve">Chiude il repertorio il censimento delle assenze e degli esiti assolutori della fase, che il metodo impone di esporre con il medesimo rilievo delle presenze. Gli esiti non condannatori certificati e riportati per esteso sono 3: l'assoluzione di Miceli dall'accusa di cospirazione; l'esito largamente assolutorio del procedimento sul tentativo golpista Borghese, con la sentenza d'appello del 1984; e l'esito non condannatorio del procedimento a carico di Sogno per il progetto del 1974. A essi si aggiunge il reperto negativo di prima classe costituito, per il nodo Gladio, dall'esito sostanzialmente non condannatorio delle inchieste quanto all'ipotesi dell'impiego eversivo della rete, che certifica l'esistenza della struttura ma non il suo impiego nella destabilizzazione. Il registro tratta questi 4 esiti quali dati di prima classe, che non indeboliscono la rete certificata ma ne delimitano il perimetro, e la cui osservanza è la condizione della sua solidità.</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repertorio consolida in un inventario unitario oltre 40 tra archi, triangolazioni ed esiti certificati nella fase, con netta prevalenza del Livello A, cui si aggiungono gli archi di Livello B relativi alla cornice atlantica e alle mediazioni non giudizialmente consacrate e i pochi archi di Livello C relativi alle ipotesi di regia e di collegamento operativo non provate, oltre a 3 esiti assolutori riportati per esteso, quelli di Miceli, Borghese e Sogno, e 1 reperto negativo sull'impiego di Gladio; e costituisce d'ora innanzi il riferimento citabile per ogni richiamo interno dell'opera al sottografo degli apparati e delle strutture parallele.</w:t>
      </w:r>
    </w:p>
    <w:p>
      <w:pPr>
        <w:pStyle w:val="Heading3"/>
        <w:spacing w:after="80" w:before="160"/>
      </w:pPr>
      <w:r>
        <w:rPr>
          <w:rFonts w:ascii="Barlow Semi Condensed" w:cs="Barlow Semi Condensed" w:eastAsia="Barlow Semi Condensed" w:hAnsi="Barlow Semi Condensed"/>
          <w:sz w:val="24"/>
          <w:szCs w:val="24"/>
        </w:rPr>
        <w:t xml:space="preserve">Chiusura della Fase 2 — La macchina della deviazione e il bilancio della verifica di H1</w:t>
      </w:r>
    </w:p>
    <w:p>
      <w:pPr>
        <w:spacing w:after="120" w:line="276"/>
        <w:jc w:val="both"/>
      </w:pPr>
      <w:r>
        <w:rPr>
          <w:rFonts w:ascii="Barlow Semi Condensed" w:cs="Barlow Semi Condensed" w:eastAsia="Barlow Semi Condensed" w:hAnsi="Barlow Semi Condensed"/>
          <w:sz w:val="24"/>
          <w:szCs w:val="24"/>
        </w:rPr>
        <w:t xml:space="preserve">La Fase 2 si chiude con 10 nodi certificati, 6 persone, 3 entità collettive o strutturali e 1 nodo di sintesi, e con un sottografo, quello degli apparati e delle strutture parallele, che è ora possibile leggere nel suo insieme e saldare al sottografo del quadrilatero ricostruito nella Fase 1. Il presente capitolo di chiusura non introduce materiale nuovo; ricompone l'acquisito, dichiara i livelli raggiunti, censisce le assenze accanto alle presenze e, soprattutto, adempie al compito che la Fase 1 aveva assegnato a questa fase quale suo obbligo specifico: il bilancio della verifica dell'ipotesi H1 su materiale, finalmente, pertinente.</w:t>
      </w:r>
    </w:p>
    <w:p>
      <w:pPr>
        <w:spacing w:after="120" w:line="276"/>
        <w:jc w:val="both"/>
      </w:pPr>
      <w:r>
        <w:rPr>
          <w:rFonts w:ascii="Barlow Semi Condensed" w:cs="Barlow Semi Condensed" w:eastAsia="Barlow Semi Condensed" w:hAnsi="Barlow Semi Condensed"/>
          <w:sz w:val="24"/>
          <w:szCs w:val="24"/>
        </w:rPr>
        <w:t xml:space="preserve">Il primo risultato della fase è la certificazione della deviazione degli apparati quale fenomeno documentato e non quale suggestione. La categoria dei servizi deviati, tanto abusata nella pubblicistica da aver perduto ogni contorno, riceve dal registro un contenuto probatorio preciso e delimitato. La deviazione è documentata al Livello A in una pluralità di episodi giudizialmente accertati: le schedature illegittime del SIFAR, il depistaggio di Piazza Fontana per il quale Maletti fu condannato, il depistaggio di Bologna per il quale furono condannati ufficiali del SISMI unitamente al faccendiere Pazienza e al Venerabile Gelli. Ciascuno di questi episodi è un arco certificato tra il Dominio 3 e, rispettivamente, il Dominio 2 nelle schedature e il Dominio 7 nei depistaggi. Ma la deviazione così certificata ha una natura precisa che il registro dichiara: essa è, negli episodi provati, torsione dell'apparato legale verso il controllo politico o verso l'ostruzione dell'accertamento, non prova di un apparato occulto che diriga gli eventi eversivi e stragisti. La distinzione tra la deviazione-ostruzione, certificata, e la deviazione-regia, ipotetica, è il primo e principale acquisito della fase, e la sua osservanza è ciò che consente al registro di affermare molto, quanto alle condotte provate, e di non affermare nulla, quanto ai mandati non provati.</w:t>
      </w:r>
    </w:p>
    <w:p>
      <w:pPr>
        <w:spacing w:after="120" w:line="276"/>
        <w:jc w:val="both"/>
      </w:pPr>
      <w:r>
        <w:rPr>
          <w:rFonts w:ascii="Barlow Semi Condensed" w:cs="Barlow Semi Condensed" w:eastAsia="Barlow Semi Condensed" w:hAnsi="Barlow Semi Condensed"/>
          <w:sz w:val="24"/>
          <w:szCs w:val="24"/>
        </w:rPr>
        <w:t xml:space="preserve">Il secondo risultato è la mappa dell'accoppiamento tra il Dominio 3 e gli altri domini, che la fase consegna nelle sue direttrici certificate. L'accoppiamento con il Dominio 9, le forze armate, è strutturale e certificato al Livello A: gli apparati informativi nacquero in seno alla struttura militare, e i loro vertici furono ufficiali, sicché il confine tra i 2 domini è, in questa fase, il più poroso di tutti, e i nodi De Lorenzo, Miceli e Santovito lo attraversano per definizione. L'accoppiamento con il Dominio 7, l'eversione, è certificato al Livello A nella forma dell'ostruzione, attraverso i depistaggi provati, e mantenuto al Livello C nella forma della direzione, che gli accertamenti non hanno provato. L'accoppiamento con il Dominio 4, la massoneria, è certificato al Livello A e in modo bilaterale, attraverso la cattura piduista del vertice informativo che il capitolo 10 ha documentato dal lato degli apparati e la Fase 1 dal lato della loggia. L'accoppiamento con il Dominio 2, la politica, è certificato al Livello A tanto nella forma delle schedature quanto nella forma della migrazione, il corridoio del Pattern 7 che condusse gli ufficiali degli apparati alla rappresentanza politica. L'accoppiamento con il Dominio 6, la finanza, e con il Dominio 1, la mafia, è certificato attraverso il nodo Pazienza e attraverso l'affioramento del tentativo Borghese, che salda gli apparati al quadrilatero della Fase 1.</w:t>
      </w:r>
    </w:p>
    <w:p>
      <w:pPr>
        <w:spacing w:after="120" w:line="276"/>
        <w:jc w:val="both"/>
      </w:pPr>
      <w:r>
        <w:rPr>
          <w:rFonts w:ascii="Barlow Semi Condensed" w:cs="Barlow Semi Condensed" w:eastAsia="Barlow Semi Condensed" w:hAnsi="Barlow Semi Condensed"/>
          <w:sz w:val="24"/>
          <w:szCs w:val="24"/>
        </w:rPr>
        <w:t xml:space="preserve">Il terzo risultato è il censimento delle centralità del sottografo degli apparati. La più alta betweenness appartiene al nodo Pazienza, il faccendiere privo di titolarità formale che connette il servizio militare, la finanza internazionale, la loggia e l'ambiente dei depistaggi: è il broker per eccellenza, e la sua rilevanza deriva interamente dalla posizione di intermediazione, secondo la distinzione tra potere formale e potere relazionale che la Nota metodologica ha derivato da Burt. La più alta centralità di grado appartiene al nodo Santovito e, con esso, all'insieme dei vertici piduisti dei servizi, la cui affiliazione simultanea alla loggia costituisce la comunità trasversale che il Pattern 2 identifica quale risultato più netto della fase. La più alta centralità informativa, nell'accezione sottile del Pattern 1, appartiene al nodo D'Amato, il responsabile a bassa visibilità e alto controllo sul flusso informativo. Il nodo Gladio, infine, occupa nella rete una posizione peculiare: massima rilevanza documentale e massima densità di suggestione, ma centralità operativa certificata modesta, giacché l'esistenza della struttura è provata al Livello A mentre il suo impiego resta al Livello C, sicché il nodo pesa nel registro per ciò che è certificato, l'esistenza clandestina di una rete atlantica, e non per ciò che gli è attribuito, un impiego eversivo non provato.</w:t>
      </w:r>
    </w:p>
    <w:p>
      <w:pPr>
        <w:spacing w:after="120" w:line="276"/>
        <w:jc w:val="both"/>
      </w:pPr>
      <w:r>
        <w:rPr>
          <w:rFonts w:ascii="Barlow Semi Condensed" w:cs="Barlow Semi Condensed" w:eastAsia="Barlow Semi Condensed" w:hAnsi="Barlow Semi Condensed"/>
          <w:sz w:val="24"/>
          <w:szCs w:val="24"/>
        </w:rPr>
        <w:t xml:space="preserve">A questo censimento delle centralità interne al sottografo degli apparati il registro aggiunge un raccordo con le centralità del quadrilatero ricostruito nella Fase 1, giacché è dalla saldatura dei 2 sottografi che emerge la topologia complessiva delle prime 2 fasi. Il nodo che, sommando le 2 fasi, acquisisce la più alta centralità di intermediazione dell'intero grafo sinora costruito è la loggia P2 nella persona del suo Venerabile, che la Fase 1 aveva collocato al centro del quadrilatero e che la Fase 2 ritrova al centro della cattura del vertice informativo: la loggia è il nodo che connette i 2 sottografi, il broker tra il quadrilatero finanziario-vaticano-mafioso e l'apparato informativo, e la sua centralità deriva precisamente dalla capacità di occupare la posizione di raccordo tra ambienti altrimenti separati. Al secondo posto per centralità di raccordo si collocano i faccendieri, la figura che i 2 sottografi condividono e che ne costituisce il connettivo mobile: Sindona e Ortolani sul versante del quadrilatero, Pazienza sul versante degli apparati, accomunati dalla natura di intermediari privi di titolarità formale ma dotati di accesso trasversale. La saldatura dei 2 sottografi conferma pertanto una regolarità che il registro annota quale acquisizione delle prime 2 fasi: il potere che attraversa i domini non risiede nei vertici formali di ciascun dominio, ma nei nodi di raccordo, le logge e i faccendieri, la cui funzione è precisamente connettere ciò che le gerarchie formali tengono separato; ed è questa la ragione per cui la loro rimozione, quando avviene, produce le discontinuità più marcate nella rete, secondo il Pattern 5 dei buchi strutturali.</w:t>
      </w:r>
    </w:p>
    <w:p>
      <w:pPr>
        <w:spacing w:after="120" w:line="276"/>
        <w:jc w:val="both"/>
      </w:pPr>
      <w:r>
        <w:rPr>
          <w:rFonts w:ascii="Barlow Semi Condensed" w:cs="Barlow Semi Condensed" w:eastAsia="Barlow Semi Condensed" w:hAnsi="Barlow Semi Condensed"/>
          <w:sz w:val="24"/>
          <w:szCs w:val="24"/>
        </w:rPr>
        <w:t xml:space="preserve">Il quarto risultato è la verifica esplicita dell'ipotesi H1, che costituisce l'adempimento del compito assegnato dalla Fase 1 e il bilancio più importante della fase. La Fase 1 aveva dichiarato l'autosufficienza esplicativa del primo cerchio e aveva formulato il vincolo popperiano: gli eventuali elementi di supporto di H1 dovranno emergere dai domini che le fasi successive esplorano, a partire dall'intelligence. La Fase 2 ha esplorato l'intelligence, ossia il dominio nel quale, per definizione, la dimensione internazionale è sostanza operativa e non mera cornice; ed è in grado di rendere un bilancio netto. La dimensione internazionale del Dominio 3 è certificata al Livello A nella sua realtà, giacché i servizi italiani operarono entro il sistema di alleanze atlantico, la rete Gladio nacque da accordi con il servizio statunitense, i responsabili informativi parteciparono ai circuiti internazionali del coordinamento occidentale. Ma questa dimensione internazionale, in tutte le sue manifestazioni certificate, ha una direzione precisa e univoca: è la direzione dell'alleanza atlantica e del confronto anticomunista interno alla logica bipolare, non la direzione della convergenza tra i 2 blocchi che l'ipotesi H1 postulerebbe. La rete Gladio era predisposta contro un'eventuale occupazione sovietica; il circuito Le Cercle coordinava il contrasto all'influenza sovietica; i progetti eversivi, tanto quello di marca nera di Borghese quanto quello liberale di Sogno, erano progetti anticomunisti; i rapporti internazionali degli apparati erano rapporti con il servizio statunitense e con la struttura atlantica. In nessuno dei 10 nodi della fase affiora un elemento, sia pure di Livello C, che documenti una convergenza operativa tra la potenza occidentale e quella sovietica, e tanto meno una convergenza finalizzata a impedire l'integrazione europea. Il registro deve dunque registrare, con la nettezza che il metodo impone, che la Fase 2 non solo non ha prodotto elementi di supporto di H1, ma ha prodotto una pluralità di elementi che la contraddicono: l'intera dimensione internazionale certificata degli apparati si colloca sul versante occidentale del confronto bipolare, e milita a favore dell'ipotesi concorrente, quella del confronto tra i blocchi, nella quale gli attori occidentali perseguono finalità occidentali. Di più: la cornice atlantica degli apparati milita positivamente a favore del falsificatore milwardiano, giacché la medesima alleanza che predispose le reti stay-behind e coordinò il fronte anticomunista fu il quadro entro il quale il processo di integrazione europea si svolse con il sostegno della potenza egemone occidentale, e non contro di essa. La disciplina anti-induttiva impone di trarre la conseguenza: dopo 2 fasi, l'ipotesi H1 non solo resta priva di supporto, ma ha incontrato, nel dominio che avrebbe dovuto eventualmente sostenerla, la sua più netta contraddizione; essa permane al Livello C quale ipotesi formalmente registrata e falsificabile, ma il registro dichiara che il peso delle evidenze accumulate nelle prime 2 fasi milita contro di essa e a favore delle ipotesi concorrenti, e che le fasi successive dovranno misurarsi con questo bilancio.</w:t>
      </w:r>
    </w:p>
    <w:p>
      <w:pPr>
        <w:spacing w:after="120" w:line="276"/>
        <w:jc w:val="both"/>
      </w:pPr>
      <w:r>
        <w:rPr>
          <w:rFonts w:ascii="Barlow Semi Condensed" w:cs="Barlow Semi Condensed" w:eastAsia="Barlow Semi Condensed" w:hAnsi="Barlow Semi Condensed"/>
          <w:sz w:val="24"/>
          <w:szCs w:val="24"/>
        </w:rPr>
        <w:t xml:space="preserve">Il quinto risultato è la consegna dei fili pendenti alle fasi successive. Il filo dello stragismo, che questa fase ha ripetutamente sfiorato attraverso i depistaggi di Piazza Fontana e di Bologna, attraverso il tentativo Borghese e attraverso la gestione delle fonti dell'eversione da parte degli apparati, diviene l'oggetto proprio della Fase 3, che ricostruirà la sequenza stragista dal suo evento inaugurale, con particolare attenzione alla filiera dell'eversione nera, ad Aginter Press e alla figura di Delle Chiaie, che questa fase ha incontrato quale esecutore del tentativo del dicembre 1970 e la cui trattazione propria è riservata alla fase dello stragismo. Il filo del caso Moro, la cui ombra ha attraversato la fase attraverso la collocazione temporale della direzione Santovito e attraverso la questione della condotta degli apparati nei 55 giorni, diviene l'oggetto della Fase 4, che affronterà il sequestro secondo la decomposizione a 3 piani già costituzionalizzata dal registro. Il filo della proiezione internazionale, che questa fase ha anticipato attraverso la latitanza sudafricana di Maletti e attraverso il circuito Le Cercle, diviene l'oggetto della Fase 5, che verificherà su scala mondiale la tenuta della distinzione tra cornice atlantica e regia eversiva che la presente fase ha posto a fondamento della propria valutazione di H1.</w:t>
      </w:r>
    </w:p>
    <w:p>
      <w:pPr>
        <w:spacing w:after="120" w:line="276"/>
        <w:jc w:val="both"/>
      </w:pPr>
      <w:r>
        <w:rPr>
          <w:rFonts w:ascii="Barlow Semi Condensed" w:cs="Barlow Semi Condensed" w:eastAsia="Barlow Semi Condensed" w:hAnsi="Barlow Semi Condensed"/>
          <w:sz w:val="24"/>
          <w:szCs w:val="24"/>
        </w:rPr>
        <w:t xml:space="preserve">Resta da dichiarare, a sigillo della fase, la coerenza del criterio selettivo ed espositivo con quello della Fase 1. I 10 nodi sono stati selezionati per il concorso dei 2 requisiti oggettivi, la certificazione di Livello A di almeno un arco inter-dominio e la frequenza trasversale nel corpus; l'ordine espositivo ha seguito la topologia, muovendo dalla prima deviazione militare verso i direttori coinvolti nell'eversione, quindi verso le strutture parallele e l'esercito segreto, quindi verso i progetti eversivi trasversali e il circuito internazionale, e chiudendo sul nodo di sintesi della cattura piduista che salda la fase alla precedente. Le 3 fasi che seguono manterranno il medesimo statuto: 10 nodi per fase, certificazione dichiarata arco per arco, esiti assolutori riportati per esteso, assenze censite accanto alle presenze, e la formula di chiusura di ciascun capitolo quale unità minima di accumulo del sapere acquisito.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Fase 2 certifica la deviazione degli apparati quale fenomeno documentato al Livello A negli episodi di schedatura e di depistaggio giudizialmente accertati, distinguendo la deviazione-ostruzione, provata, dalla deviazione-regia, ipotetica; certifica l'accoppiamento del Dominio 3 con i Domini 9, 7, 4, 2, 6 e 1 nelle direttrici e ai livelli dichiarati, culminante nella cattura piduista bilaterale del vertice informativo; e rende il bilancio esplicito della verifica di H1, dichiarando che il dominio dell'intelligence, lungi dal sostenere l'ipotesi della convergenza tra i blocchi contro l'integrazione europea, l'ha contraddetta in tutte le sue manifestazioni internazionali certificate, tutte collocate sul versante occidentale e anticomunista del confronto bipolare, sicché H1 permane al Livello C ma il peso delle evidenze delle prime 2 fasi milita contro di essa e a favore del falsificatore milwardiano; i fili dello stragismo, del caso Moro e della proiezione internazionale sono formalmente consegnati alle Fasi 3, 4 e 5.</w:t>
      </w:r>
    </w:p>
    <w:p>
      <w:pPr>
        <w:pStyle w:val="Heading2"/>
        <w:spacing w:after="100" w:before="200"/>
      </w:pPr>
      <w:r>
        <w:rPr>
          <w:rFonts w:ascii="Barlow Semi Condensed" w:cs="Barlow Semi Condensed" w:eastAsia="Barlow Semi Condensed" w:hAnsi="Barlow Semi Condensed"/>
          <w:sz w:val="24"/>
          <w:szCs w:val="24"/>
        </w:rPr>
        <w:t xml:space="preserve">FASE III</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Lo stragismo e la strategia della tensione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Il terzo cerchio: le stragi, i depistaggi e la matrice</w:t>
      </w:r>
    </w:p>
    <w:p>
      <w:pPr>
        <w:pStyle w:val="Heading3"/>
        <w:spacing w:after="80" w:before="160"/>
      </w:pPr>
      <w:r>
        <w:rPr>
          <w:rFonts w:ascii="Barlow Semi Condensed" w:cs="Barlow Semi Condensed" w:eastAsia="Barlow Semi Condensed" w:hAnsi="Barlow Semi Condensed"/>
          <w:sz w:val="24"/>
          <w:szCs w:val="24"/>
        </w:rPr>
        <w:t xml:space="preserve">Avvertenza di fase e continuità del protocollo probatorio</w:t>
      </w:r>
    </w:p>
    <w:p>
      <w:pPr>
        <w:spacing w:after="120" w:line="276"/>
        <w:jc w:val="both"/>
      </w:pPr>
      <w:r>
        <w:rPr>
          <w:rFonts w:ascii="Barlow Semi Condensed" w:cs="Barlow Semi Condensed" w:eastAsia="Barlow Semi Condensed" w:hAnsi="Barlow Semi Condensed"/>
          <w:sz w:val="24"/>
          <w:szCs w:val="24"/>
        </w:rPr>
        <w:t xml:space="preserve">La Fase 3 raccoglie il filo che le 2 fasi precedenti hanno più volte sfiorato senza mai assumerlo quale oggetto proprio: la sequenza stragista che insanguinò la Repubblica dal 12 dicembre 1969 al 2 agosto 1980, e oltre. La Fase 1 aveva incontrato lo stragismo dal lato del quadrilatero, attraverso la condanna definitiva di Giuseppe Calò per la strage del rapido 904 e attraverso il depistaggio di Bologna addebitato a Licio Gelli; la Fase 2 lo aveva incontrato dal lato degli apparati, attraverso le condanne definitive di Gianadelio Maletti per il depistaggio di Piazza Fontana e di Francesco Pazienza, con gli ufficiali Musumeci e Belmonte, per il depistaggio di Bologna. La presente fase rovescia la prospettiva: assume gli eventi stragisti e i loro attori quali nodi propri, e ricostruisce dal loro interno il Dominio 7, il terrorismo e la violenza politica, nei suoi accoppiamenti certificati con i Domini 3, 4, 9, 1, 8 e 10.</w:t>
      </w:r>
    </w:p>
    <w:p>
      <w:pPr>
        <w:spacing w:after="120" w:line="276"/>
        <w:jc w:val="both"/>
      </w:pPr>
      <w:r>
        <w:rPr>
          <w:rFonts w:ascii="Barlow Semi Condensed" w:cs="Barlow Semi Condensed" w:eastAsia="Barlow Semi Condensed" w:hAnsi="Barlow Semi Condensed"/>
          <w:sz w:val="24"/>
          <w:szCs w:val="24"/>
        </w:rPr>
        <w:t xml:space="preserve">Il protocollo probatorio resta immutato e viene richiamato nei soli cardini. La triangolazione delle fonti secondo lo standard Savona 2.1 distingue il Livello A della connessione documentata, fondata su giudicato o su convergenza di 3 fonti indipendenti eterogenee, il Livello B della connessione indiziaria, fondata su 2 fonti convergenti o su una singola fonte di alta affidabilità, e il Livello C della connessione ipotetica, esplicitamente marcata. La Regola Ferrea vieta ogni salto inferenziale, e in questa fase assume la sua declinazione più severa, giacché la materia stragista è quella in cui la distanza tra il provato e il creduto è massima, e in cui la vulgata ha più profondamente confuso i piani. Tre discipline specifiche governano la fase. La prima è la disciplina delle assoluzioni: la storia processuale delle stragi italiane è, in larghissima parte, una storia di assoluzioni, e il registro le riporta tutte per esteso, con il medesimo rilievo delle condanne, giacché un registro che censisse le sole condanne fabbricherebbe una rete più fitta del reale. La seconda è la disciplina della distinzione tra dispositivo e motivazione: talune sentenze definitive contengono, in motivazione, accertamenti storici che il dispositivo non traduce in condanna, e il registro li recepisce dichiarandone la natura, senza confondere la verità storica affermata in motivazione con la responsabilità penale affermata in dispositivo. La terza è la disciplina dell'ostruzione: la fase arricchisce la tipologia delle condotte di inquinamento dell'accertamento che il registro ha codificato, distinguendo in ogni capitolo la strage dal suo depistaggio, e ribadendo che la condanna per il secondo non prova il mandato della prima.</w:t>
      </w:r>
    </w:p>
    <w:p>
      <w:pPr>
        <w:spacing w:after="120" w:line="276"/>
        <w:jc w:val="both"/>
      </w:pPr>
      <w:r>
        <w:rPr>
          <w:rFonts w:ascii="Barlow Semi Condensed" w:cs="Barlow Semi Condensed" w:eastAsia="Barlow Semi Condensed" w:hAnsi="Barlow Semi Condensed"/>
          <w:sz w:val="24"/>
          <w:szCs w:val="24"/>
        </w:rPr>
        <w:t xml:space="preserve">Anche questa fase adempie a un compito assegnato dalle precedenti: la prosecuzione della verifica dell'ipotesi H1, la convergenza delle potenze imperiali contro l'integrazione europea, che la Fase 2 ha consegnato al Livello C con un bilancio esplicitamente sfavorevole, avendo constatato che l'intera dimensione internazionale certificata degli apparati si colloca sul versante occidentale e anticomunista del confronto bipolare. La Fase 3 verificherà se la matrice accertata dello stragismo, e le sue proiezioni internazionali documentate, modifichino tale bilancio; e lo farà, come sempre, cercando le evidenze che falsificherebbero le ipotesi in campo, non quelle che le confermerebbero, secondo la procedura delle ipotesi concorrenti di Heuer. Il lettore troverà nella chiusura il bilancio aggiornato, con un reperto di particolare interesse metodologico: la circostanza che gli stessi atti parlamentari conclusivi sulla stagione stragista contengano elaborati di segno opposto, l'uno orientato alla dimensione sovranazionale atlantica e l'altro all'ombra del blocco sovietico, e che nessuno dei 2, nemmeno nella loro massima estensione congetturale, sostenga la convergenza tra i blocchi che H1 postula.</w:t>
      </w:r>
    </w:p>
    <w:p>
      <w:pPr>
        <w:spacing w:after="120" w:line="276"/>
        <w:jc w:val="both"/>
      </w:pPr>
      <w:r>
        <w:rPr>
          <w:rFonts w:ascii="Barlow Semi Condensed" w:cs="Barlow Semi Condensed" w:eastAsia="Barlow Semi Condensed" w:hAnsi="Barlow Semi Condensed"/>
          <w:sz w:val="24"/>
          <w:szCs w:val="24"/>
        </w:rPr>
        <w:t xml:space="preserve">Un chiarimento tassonomico si impone in apertura. La fase introduce sistematicamente, accanto ai nodi-persona e ai nodi-organizzazione delle fasi precedenti, il nodo-evento, contrassegnato dal marcatore proprio: la strage, l'omicidio, il tentativo eversivo quale entità della rete, dotata di attributi propri, la data, il luogo, le vittime, gli esiti giudiziari, e di archi propri verso le persone, le organizzazioni e gli apparati che vi convergono. La scelta non è nominalistica ma metodologica: nella materia della fase, l'evento è sovente l'unico punto fermo certificabile al massimo livello, mentre le attribuzioni personali oscillano tra condanne, assoluzioni e vuoti; assumere l'evento quale nodo primario consente al registro di ancorare la rete a ciò che è certo, il fatto, la data, le vittime, e di appendervi le attribuzioni con il loro grado effettivo, anziché costruire la rete attorno ad attribuzioni instabili. Ne discende che ogni capitolo-evento della fase certifica dapprima l'evento nella sua materialità, quindi i suoi archi, distinguendo sempre lo strato dell'esecuzione, lo strato dell'ostruzione e lo strato del mandato, i 3 strati che la materia stragista impone di non confondere mai e la cui confusione è stata, storicamente, il principale veicolo di errore tanto della vulgata colpevolista quanto di quella negazionista.</w:t>
      </w:r>
    </w:p>
    <w:p>
      <w:pPr>
        <w:spacing w:after="120" w:line="276"/>
        <w:jc w:val="both"/>
      </w:pPr>
      <w:r>
        <w:rPr>
          <w:rFonts w:ascii="Barlow Semi Condensed" w:cs="Barlow Semi Condensed" w:eastAsia="Barlow Semi Condensed" w:hAnsi="Barlow Semi Condensed"/>
          <w:sz w:val="24"/>
          <w:szCs w:val="24"/>
        </w:rPr>
        <w:t xml:space="preserve">L'ordine espositivo dei 10 nodi segue la topologia e la cronologia insieme, giacché nella materia stragista le 2 dimensioni coincidono in larga misura: si muove dall'evento inaugurale del dicembre 1969 e dalla sua matrice organizzativa, l'ordinovismo, attraverso i suoi uomini e la sua proiezione internazionale, Aginter Press e Stefano Delle Chiaie, quindi lungo la sequenza degli eventi certificati, Peteano, Brescia, l'Italicus, sino alla strage di Bologna, per chiudere sull'omicidio di Piersanti Mattarella, che riprende il filo lasciato aperto dalla Fase 1 sulla convergenza tra eversione e mafia e salda la fase al primo cerchio. I criteri di selezione restano i 2 requisiti oggettivi: la certificazione di Livello A di almeno un arco o di un accertamento centrale del nodo, e la frequenza trasversale nel corpus dei 220 documenti. Ogni capitolo si chiude con la formula di accumulo, e il repertorio precede la lettura reticolare conclusiva. Le vittime degli eventi trattati sono nominate, ove lo spazio lo consenta, quale atto dovuto di un registro che non dimentica che dietro ogni nodo analitico vi sono nomi, corpi e famiglie.</w:t>
      </w:r>
    </w:p>
    <w:p>
      <w:pPr>
        <w:pStyle w:val="Heading3"/>
        <w:spacing w:after="80" w:before="160"/>
      </w:pPr>
      <w:r>
        <w:rPr>
          <w:rFonts w:ascii="Barlow Semi Condensed" w:cs="Barlow Semi Condensed" w:eastAsia="Barlow Semi Condensed" w:hAnsi="Barlow Semi Condensed"/>
          <w:sz w:val="24"/>
          <w:szCs w:val="24"/>
        </w:rPr>
        <w:t xml:space="preserve">Capitolo 1 — ■ Piazza Fontana. L'evento inaugurale e il paradosso del giudicato</w:t>
      </w:r>
    </w:p>
    <w:p>
      <w:pPr>
        <w:spacing w:after="120" w:line="276"/>
        <w:jc w:val="both"/>
      </w:pPr>
      <w:r>
        <w:rPr>
          <w:rFonts w:ascii="Barlow Semi Condensed" w:cs="Barlow Semi Condensed" w:eastAsia="Barlow Semi Condensed" w:hAnsi="Barlow Semi Condensed"/>
          <w:sz w:val="24"/>
          <w:szCs w:val="24"/>
        </w:rPr>
        <w:t xml:space="preserve">La strage di piazza Fontana, consumata a Milano il 12 dicembre 1969 nella sede della Banca Nazionale dell'Agricoltura, è il nodo-evento inaugurale della fase e dell'intera stagione che essa ricostruisce. La scansione del corpus registra il sintagma 638 volte in 33 documenti, e la vicenda attraversa gli atti di ogni commissione d'inchiesta e di ogni ciclo processuale della storia repubblicana successiva. L'ordigno, esploso alle 16:37 nel salone centrale della banca, uccise 17 persone, 16 nell'immediato e 1 nei giorni successivi, e ne ferì 88; nello stesso pomeriggio altri ordigni esplosero a Roma, all'Altare della Patria e presso la Banca Nazionale del Lavoro, e un ulteriore ordigno inesploso fu rinvenuto alla Banca Commerciale di Milano e fatto brillare per decisione degli inquirenti, con la conseguente distruzione di un reperto capitale: un atto che il registro annota sin d'ora quale primo anello della catena di inquinamento dell'accertamento che accompagnerà l'intera vicenda.</w:t>
      </w:r>
    </w:p>
    <w:p>
      <w:pPr>
        <w:spacing w:after="120" w:line="276"/>
        <w:jc w:val="both"/>
      </w:pPr>
      <w:r>
        <w:rPr>
          <w:rFonts w:ascii="Barlow Semi Condensed" w:cs="Barlow Semi Condensed" w:eastAsia="Barlow Semi Condensed" w:hAnsi="Barlow Semi Condensed"/>
          <w:sz w:val="24"/>
          <w:szCs w:val="24"/>
        </w:rPr>
        <w:t xml:space="preserve">Il primo pilastro probatorio è la vicenda della pista anarchica e delle sue vittime collaterali, che il registro certifica al Livello A quale primo depistaggio della stagione. Nelle ore e nei giorni successivi alla strage le indagini si concentrarono sugli ambienti anarchici milanesi e romani: il ballerino anarchico Pietro Valpreda fu arrestato e additato all'opinione pubblica quale mostro, e il ferroviere anarchico Giuseppe Pinelli, fermato e trattenuto nella questura di Milano oltre i termini, morì nella notte tra il 15 e il 16 dicembre 1969 precipitando da una finestra del quarto piano durante l'interrogatorio. Il registro certifica al Livello A i fatti oggettivi del fermo, del trattenimento e della morte di Pinelli, e recepisce l'esito dell'istruttoria giudiziaria condotta dal giudice Gerardo D'Ambrosio, chiusa nel 1975 con l'esclusione tanto dell'omicidio quanto del suicidio e con la qualificazione della caduta quale conseguenza di un malore attivo: una formula controversa, che il registro riporta quale esito giudiziario senza farla propria né contestarla, annotando che la morte di Pinelli resta, sul piano storico, l'emblema del costo umano del primo depistaggio. Quanto a Valpreda, la sua vicenda processuale durò 3 lustri e si chiuse con l'assoluzione dall'accusa di strage per insufficienza di prove, divenuta irrevocabile nel 1987: il registro la riporta per esteso, e certifica al Livello A, sul fondamento dell'intero ciclo processuale successivo, che la pista anarchica fu una pista falsa, costruita e alimentata mentre gli elementi sulla pista alternativa venivano occultati. La condanna definitiva di Gianadelio Maletti e degli uomini del Reparto D per il favoreggiamento e il depistaggio, certificata nella Fase 2, è il complemento istituzionale di questo pilastro: il registro salda qui i 2 accertamenti, la falsità della pista anarchica e la responsabilità di uomini degli apparati nel suo puntellamento.</w:t>
      </w:r>
    </w:p>
    <w:p>
      <w:pPr>
        <w:spacing w:after="120" w:line="276"/>
        <w:jc w:val="both"/>
      </w:pPr>
      <w:r>
        <w:rPr>
          <w:rFonts w:ascii="Barlow Semi Condensed" w:cs="Barlow Semi Condensed" w:eastAsia="Barlow Semi Condensed" w:hAnsi="Barlow Semi Condensed"/>
          <w:sz w:val="24"/>
          <w:szCs w:val="24"/>
        </w:rPr>
        <w:t xml:space="preserve">Il secondo pilastro è il lunghissimo ciclo processuale sulla pista nera, che il registro ricostruisce nei suoi 2 tronconi. Il primo troncone, istruito a Milano e celebrato per competenza a Catanzaro, vide imputati Franco Freda e Giovanni Ventura, esponenti della cellula ordinovista veneta, e Guido Giannettini, la fonte del servizio di cui la Fase 2 ha detto: condannati all'ergastolo in primo grado nel 1979, furono assolti in appello, e dopo l'annullamento con rinvio la Corte d'assise d'appello di Bari li assolse dall'accusa di strage per insufficienza di prove nel 1985, con sentenza divenuta irrevocabile nel 1987. Il registro riporta per esteso l'assoluzione irrevocabile di Freda, Ventura e Giannettini dall'accusa di strage. Il secondo troncone, nato dall'istruttoria milanese del giudice Guido Salvini negli anni Novanta, vide imputati altri esponenti dell'ordinovismo veneto, tra cui Delfo Zorzi e Carlo Maria Maggi: condannati in primo grado nel 2001, furono assolti in appello nel 2004, e la Corte di cassazione, il 3 maggio 2005, rese definitive le assoluzioni. Il registro riporta per esteso anche queste assoluzioni definitive.</w:t>
      </w:r>
    </w:p>
    <w:p>
      <w:pPr>
        <w:spacing w:after="120" w:line="276"/>
        <w:jc w:val="both"/>
      </w:pPr>
      <w:r>
        <w:rPr>
          <w:rFonts w:ascii="Barlow Semi Condensed" w:cs="Barlow Semi Condensed" w:eastAsia="Barlow Semi Condensed" w:hAnsi="Barlow Semi Condensed"/>
          <w:sz w:val="24"/>
          <w:szCs w:val="24"/>
        </w:rPr>
        <w:t xml:space="preserve">Il terzo pilastro è il paradosso del giudicato, che fa del nodo un caso metodologico unico e impone la distinzione più sottile dell'intera opera. Le sentenze conclusive del secondo troncone, pur assolvendo gli imputati, affermarono in motivazione, sul fondamento del materiale probatorio accumulato in 3 decenni, che la strage di piazza Fontana fu opera della cellula eversiva ordinovista veneta guidata da Franco Freda e Giovanni Ventura; e diedero atto che i 2, essendo stati irrevocabilmente assolti nel 1987 per il medesimo fatto, non potevano più essere perseguiti in forza del divieto di un secondo giudizio. Si produsse così la figura che il registro denomina paradosso del giudicato: una verità storica affermata in una sentenza definitiva, riguardante soggetti che il dispositivo di un'altra sentenza definitiva ha assolto e che nessun giudice potrà mai più condannare. Il registro procede con il massimo rigore classificatorio: certifica al Livello A l'attribuzione storica della strage alla cellula ordinovista veneta di Freda e Ventura, quale accertamento contenuto nella motivazione di una sentenza definitiva e fondato sulla convergenza dell'intero compendio probatorio; e certifica simultaneamente al Livello A, riportandolo per esteso, il dato che Franco Freda e Giovanni Ventura restano, nel dispositivo irrevocabile del 1987, assolti dall'accusa di strage per insufficienza di prove, e che tali essi sono e resteranno per l'ordinamento. Le 2 certificazioni coesistono senza contraddizione, perché attengono a piani diversi, la ricostruzione storica e la responsabilità penale; e la loro coesistenza è essa stessa il reperto: la strage inaugurale della stagione ha una matrice storicamente accertata in sede giudiziaria definitiva e, al contempo, nessun condannato per la sua esecuzione.</w:t>
      </w:r>
    </w:p>
    <w:p>
      <w:pPr>
        <w:spacing w:after="120" w:line="276"/>
        <w:jc w:val="both"/>
      </w:pPr>
      <w:r>
        <w:rPr>
          <w:rFonts w:ascii="Barlow Semi Condensed" w:cs="Barlow Semi Condensed" w:eastAsia="Barlow Semi Condensed" w:hAnsi="Barlow Semi Condensed"/>
          <w:sz w:val="24"/>
          <w:szCs w:val="24"/>
        </w:rPr>
        <w:t xml:space="preserve">Il quarto pilastro è l'infiltrazione documentata dell'ambiente anarchico, che completa la genesi del primo depistaggio e certifica un arco di infiltrazione di manuale. Gli accertamenti processuali documentarono che il circolo anarchico romano frequentato da Valpreda era stato penetrato da Mario Merlino, militante proveniente dall'area di Avanguardia Nazionale, che vi si muoveva sotto veste di anarchico: la sua doppia collocazione, accertata nei giudizi, fece di lui uno degli imputati del primo troncone, e la sua posizione rispetto all'accusa di strage si chiuse, come per Valpreda, con l'assoluzione divenuta irrevocabile, che il registro riporta per esteso. Il registro certifica al Livello A, quale fatto accertato nei processi, la qualità di Merlino di militante dell'area avanguardista infiltrato nell'ambiente anarchico romano alla vigilia della strage, e ne dichiara il rilievo tassonomico: è l'arco di infiltrazione nella sua forma pura, quale la Nota metodologica lo definisce, un attore del campo eversivo nero che assume posizione formale nel campo opposto conservando la lealtà d'origine; e la circostanza che la pista depistante si sia indirizzata precisamente verso l'ambiente infiltrato costituisce il nesso strutturale, certificato quanto ai fatti e mantenuto al Livello C quanto alla preordinazione, tra l'infiltrazione e il depistaggio. Il registro annota che la figura dell'infiltrato che orienta la colpa verso l'ambiente ospite ritornerà, in altre vesti, lungo l'intera opera.</w:t>
      </w:r>
    </w:p>
    <w:p>
      <w:pPr>
        <w:spacing w:after="120" w:line="276"/>
        <w:jc w:val="both"/>
      </w:pPr>
      <w:r>
        <w:rPr>
          <w:rFonts w:ascii="Barlow Semi Condensed" w:cs="Barlow Semi Condensed" w:eastAsia="Barlow Semi Condensed" w:hAnsi="Barlow Semi Condensed"/>
          <w:sz w:val="24"/>
          <w:szCs w:val="24"/>
        </w:rPr>
        <w:t xml:space="preserve">Il quinto pilastro è la scia di sangue che dall'evento si irradiò negli anni successivi, e che il registro censisce quale campo di conseguenze certificate. La morte di Pinelli generò una campagna pubblica di accusa contro il commissario Luigi Calabresi, titolare dell'ufficio nel quale il ferroviere era trattenuto; il 17 maggio 1972 Calabresi fu assassinato sotto la sua abitazione milanese, e per quell'omicidio furono condannati in via definitiva, all'esito di un ciclo processuale fondato sulle dichiarazioni del reo confesso Leonardo Marino e protrattosi sino al 2000, Adriano Sofri, Giorgio Pietrostefani e Ovidio Bompressi quali mandanti ed esecutore, esponenti dell'organizzazione Lotta Continua, con le pene definitive a 22 anni. Il registro certifica al Livello A, sul fondamento del giudicato, l'omicidio Calabresi e le sue condanne definitive, dà atto che i condannati hanno sempre protestato la propria innocenza e che la vicenda è rimasta oggetto di controversia civile, e ne trae l'annotazione strutturale: l'evento inaugurale produsse vittime a catena su ogni versante, i 17 morti della banca, il ferroviere anarchico, il commissario di polizia, e la catena certifica che la strategia della tensione operò anche attraverso gli effetti di secondo ordine, avvelenando il conflitto civile ben oltre il perimetro dell'evento; è il Pattern 8, lo sfruttamento della crisi, osservato nella sua dimensione temporale lunga.</w:t>
      </w:r>
    </w:p>
    <w:p>
      <w:pPr>
        <w:spacing w:after="120" w:line="276"/>
        <w:jc w:val="both"/>
      </w:pPr>
      <w:r>
        <w:rPr>
          <w:rFonts w:ascii="Barlow Semi Condensed" w:cs="Barlow Semi Condensed" w:eastAsia="Barlow Semi Condensed" w:hAnsi="Barlow Semi Condensed"/>
          <w:sz w:val="24"/>
          <w:szCs w:val="24"/>
        </w:rPr>
        <w:t xml:space="preserve">Il registro annota infine, quale reperto processuale trasversale al pilastro, la vicenda della sede: il processo per la strage fu sottratto nel 1972 alla sede naturale di Milano e trasferito a Catanzaro per ragioni di ordine pubblico, e vi si celebrò, a 1.000 chilometri dal luogo del fatto, dai testimoni e dal contesto; il registro certifica al Livello A il trasferimento quale fatto, e recepisce la valutazione, costante nelle ricostruzioni parlamentari e storiografiche, che l'allontanamento della sede concorse ad attenuare la pressione conoscitiva dell'ambiente milanese sull'accertamento, quale dato di Livello B sulla condizione complessiva in cui il primo ciclo processuale si svolse; nessuna inferenza sulla intenzionalità del pregiudizio è formulata, e la circostanza si aggiunge, quale fattore di contesto, alla serie delle menomazioni che il capitolo ha censito.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piazza Fontana-pista anarchica-Pinelli e Valpreda, è il triangolo del primo depistaggio, certificato al Livello A quanto alla falsità della pista e ai suoi costi umani, con gli esiti giudiziari riportati per esteso. La seconda, piazza Fontana-cellula ordinovista veneta-Freda e Ventura, è il triangolo della matrice, certificato al Livello A quale verità storica di motivazione, con il dispositivo assolutorio irrevocabile parimenti certificato e riportato. La terza, piazza Fontana-Reparto D-Giannettini, è il triangolo dell'ostruzione istituzionale, certificato al Livello A dalla condanna definitiva di Maletti e saldato alla Fase 2. Sul piano dei pattern, il nodo attiva il Pattern 3, l'analisi temporale, quale apertura della finestra critica 1969-1974 entro cui si addensa la prima sequenza stragista; e il Pattern 6, le ipotesi concorrenti, nella sua applicazione storica: la competizione tra la pista anarchica e la pista nera fu risolta dal quarantennale lavorio processuale a favore della seconda, e la prima è oggi certificata quale costruzione depistante.</w:t>
      </w:r>
    </w:p>
    <w:p>
      <w:pPr>
        <w:spacing w:after="120" w:line="276"/>
        <w:jc w:val="both"/>
      </w:pPr>
      <w:r>
        <w:rPr>
          <w:rFonts w:ascii="Barlow Semi Condensed" w:cs="Barlow Semi Condensed" w:eastAsia="Barlow Semi Condensed" w:hAnsi="Barlow Semi Condensed"/>
          <w:sz w:val="24"/>
          <w:szCs w:val="24"/>
        </w:rPr>
        <w:t xml:space="preserve">Prima di ogni ulteriore analisi, il registro adempie al suo obbligo più antico, quello verso i nomi. Le 17 vittime della strage furono Giovanni Arnoldi, Giulio China, Eugenio Corsini, Pietro Dendena, Carlo Gaiani, Calogero Galatioto, Carlo Garavaglia, Paolo Gerli, Luigi Meloni, Vittorio Mocchi, Gerolamo Papetti, Mario Pasi, Carlo Perego, Oreste Sangalli, Angelo Scaglia, Carlo Silva ed Attilio Valè: in massima parte agricoltori, mediatori e piccoli operatori della provincia lombarda convenuti nel salone della banca per il giorno di contrattazione, uomini del lavoro minuto che la geografia sociale dell'obiettivo trasformò in bersaglio, Livello A quanto all'elenco, consegnato dagli atti e dalla memoria pubblica. Il registro annota la composizione sociologica dell'elenco quale reperto esso stesso: chi colpì la Banca Nazionale dell'Agricoltura un venerdì pomeriggio non colpì un simbolo del potere ma la sua clientela più modesta, e questa sproporzione tra il bersaglio dichiarato dalla propaganda della tensione, lo Stato, ed il bersaglio raggiunto, il ceto medio rurale, appartiene alla grammatica del terrore indiscriminato che l'intera fase documenta.</w:t>
      </w:r>
    </w:p>
    <w:p>
      <w:pPr>
        <w:spacing w:after="120" w:line="276"/>
        <w:jc w:val="both"/>
      </w:pPr>
      <w:r>
        <w:rPr>
          <w:rFonts w:ascii="Barlow Semi Condensed" w:cs="Barlow Semi Condensed" w:eastAsia="Barlow Semi Condensed" w:hAnsi="Barlow Semi Condensed"/>
          <w:sz w:val="24"/>
          <w:szCs w:val="24"/>
        </w:rPr>
        <w:t xml:space="preserve">Alla contabilità dell'evento appartiene anche la sua dimensione romana, spesso obliterata dalla memoria concentrata su Milano: nel medesimo pomeriggio del 12 dicembre 1969 esplosero nella capitale 3 ordigni, alla Banca Nazionale del Lavoro di via San Basilio ed all'Altare della Patria, con un bilancio di 16 feriti, a certificare che l'attacco fu, sin dal primo giorno, una campagna coordinata su 2 città e non un episodio isolato, Livello A. La simultaneità, accertata dai giudicati sulla campagna attentatoria, è il primo dato che ogni ipotesi sulla matrice dovette da allora incorporare: chi agì disponeva di una logistica a scala nazionale, e questa soglia organizzativa, da sola, escludeva in radice la figura dell'attentatore isolato che il primo depistaggio pretese di accreditare.</w:t>
      </w:r>
    </w:p>
    <w:p>
      <w:pPr>
        <w:spacing w:after="120" w:line="276"/>
        <w:jc w:val="both"/>
      </w:pPr>
      <w:r>
        <w:rPr>
          <w:rFonts w:ascii="Barlow Semi Condensed" w:cs="Barlow Semi Condensed" w:eastAsia="Barlow Semi Condensed" w:hAnsi="Barlow Semi Condensed"/>
          <w:sz w:val="24"/>
          <w:szCs w:val="24"/>
        </w:rPr>
        <w:t xml:space="preserve">Alla vicenda di Valpreda, il cui esito assolutorio irrevocabile il capitolo ha già riportato per esteso, il registro aggiunge 2 reperti di sistema che la biografia individuale consegna all'analisi istituzionale. Il primo è probatorio: l'intera costruzione accusatoria poggiò in origine sul riconoscimento operato da un tassista che avrebbe condotto l'attentatore in prossimità della banca, teste la cui morte, già nel 1971, sottrasse per sempre al contraddittorio la fonte unica dell'impianto, Livello A quanto alla centralità del riconoscimento ed alla morte del teste. Il secondo è normativo, ed è senza eguali nell'opera: la custodia preventiva dell'accusato si protrasse sino a quando il Parlamento, con la legge del dicembre 1972 concepita in dichiarata funzione del caso, introdusse la possibilità di concedere la libertà provvisoria anche per i reati che sino ad allora la escludevano, consentendone la scarcerazione, Livello A. Un uomo la cui posizione processuale richiese una legge dello Stato per tradursi in libertà è la misura esatta della torsione che il primo depistaggio impresse all'ordinamento: e l'asimmetria tra il tempo dell'accusa, edificata in 72 ore su un riconoscimento ed un teorema, ed il tempo della liberazione, che pretese un atto del legislatore e 3 lustri di giudizi, è la costante che il registro ritroverà, con i segni invertiti, nella durata degli accertamenti sulla matrice reale.</w:t>
      </w:r>
    </w:p>
    <w:p>
      <w:pPr>
        <w:spacing w:after="120" w:line="276"/>
        <w:jc w:val="both"/>
      </w:pPr>
      <w:r>
        <w:rPr>
          <w:rFonts w:ascii="Barlow Semi Condensed" w:cs="Barlow Semi Condensed" w:eastAsia="Barlow Semi Condensed" w:hAnsi="Barlow Semi Condensed"/>
          <w:sz w:val="24"/>
          <w:szCs w:val="24"/>
        </w:rPr>
        <w:t xml:space="preserve">Alla contabilità dell'evento appartiene un reperto tecnico la cui sorte costituisce, essa sola, un capitolo di metodo: la seconda bomba milanese. Nel medesimo pomeriggio del 12 dicembre 1969 un ordigno gemello fu rinvenuto inesploso nella sede della Banca Commerciale Italiana in piazza della Scala, e la sera stessa, per disposizione delle autorità, fu fatto brillare dagli artificieri anziché essere disinnescato e repertato: con esso andarono distrutti il congegno, l'innesco, il contenitore e ogni traccia utile alla comparazione, vale a dire l'unico esemplare integro della serie che la giustizia avrebbe inseguito per 36 anni, Livello A quanto al rinvenimento ed alla distruzione. Il registro censisce l'episodio quale menomazione probatoria originaria, distinta dal depistaggio in senso proprio perché priva di un giudicato che ne accerti il dolo, e tuttavia funzionalmente equivalente: qualunque ne sia stata la ragione, fretta, imperizia o calcolo, la Repubblica bruciò nelle prime 12 ore il proprio miglior testimone materiale, e l'intera storia processuale successiva, costretta a lavorare su frammenti, porta impressa quella sottrazione inaugurale. Il paradigma indiziario insegna che l'indagine comincia dalla custodia della traccia: a piazza Fontana cominciò dalla sua distruzione, e questa inversione, più di ogni teoria, spiega perché il nodo inaugurale sia divenuto il laboratorio di tutte le ostruzioni successive.</w:t>
      </w:r>
    </w:p>
    <w:p>
      <w:pPr>
        <w:spacing w:after="120" w:line="276"/>
        <w:jc w:val="both"/>
      </w:pPr>
      <w:r>
        <w:rPr>
          <w:rFonts w:ascii="Barlow Semi Condensed" w:cs="Barlow Semi Condensed" w:eastAsia="Barlow Semi Condensed" w:hAnsi="Barlow Semi Condensed"/>
          <w:sz w:val="24"/>
          <w:szCs w:val="24"/>
        </w:rPr>
        <w:t xml:space="preserve">Al paradosso del giudicato la pronuncia conclusiva del 3 maggio 2005 aggiunse una statuizione accessoria che il registro riporta perché appartiene, a pieno titolo, alla morfologia dell'esito: nel confermare le assoluzioni, la Corte pose a carico delle parti civili, i familiari delle vittime costituiti in giudizio, la rifusione delle spese processuali, secondo la regola ordinaria della soccombenza applicata ad un processo che aveva nel contempo consegnato, in motivazione, la matrice storica della strage, Livello A quanto alla statuizione. Il registro si astiene, per disciplina, da ogni commento assiologico e consegna al lettore la sola geometria del fatto: i congiunti dei 17 uccisi uscirono dall'ultimo processo con una verità storica riconosciuta, nessun colpevole punibile ed un debito verso gli assolti, ed in questa terna, verità senza responsabili e giustizia con addebito agli offesi, si misura per intero la distanza tra l'accertamento storico e la macchina processuale che la fase ha assunto quale suo tema. Chi cerchi il punto esatto in cui il codice del diritto e il codice della memoria civile divergono senza possibilità di traduzione reciproca, secondo la grammatica luhmanniana che governa questo registro, lo ha trovato: è il dispositivo del 3 maggio 2005, letto accanto alla propria motivazione.</w:t>
      </w:r>
    </w:p>
    <w:p>
      <w:pPr>
        <w:spacing w:after="120" w:line="276"/>
        <w:jc w:val="both"/>
      </w:pPr>
      <w:r>
        <w:rPr>
          <w:rFonts w:ascii="Barlow Semi Condensed" w:cs="Barlow Semi Condensed" w:eastAsia="Barlow Semi Condensed" w:hAnsi="Barlow Semi Condensed"/>
          <w:sz w:val="24"/>
          <w:szCs w:val="24"/>
        </w:rPr>
        <w:t xml:space="preserve">Alla vicenda della sede il registro aggiunge la sua contabilità cumulativa, perché l'itinerario territoriale del processo è esso stesso un reperto quantificabile: istruito a Milano, trasferito a Roma, assegnato per legittima suspicione a Catanzaro, approdato per il giudizio conclusivo del primo troncone a Bari, il procedimento percorse 4 sedi e superò il migliaio di chilometri di distanza dal luogo del fatto, con la conseguenza, misurabile, che nessun giudice del merito conclusivo operò nella città della strage né a contatto con il suo tessuto testimoniale, Livello A quanto all'itinerario. Il registro si astiene dal sindacare le singole ordinanze di rimessione, ciascuna assistita dalle proprie ragioni processuali, e censisce l'effetto aggregato quale dato di sistema: la giustizia itinerante è giustizia rallentata, e nella materia stragista, dove il tempo lavora per la dispersione delle fonti e per la morte dei testimoni, il rallentamento non è mai una variabile neutra. La distanza, insegna il primo nodo della fase, è una forma silenziosa dell'ostruzione, che non richiede dolo per produrre i suoi effetti: basta la fisica.</w:t>
      </w:r>
    </w:p>
    <w:p>
      <w:pPr>
        <w:spacing w:after="120" w:line="276"/>
        <w:jc w:val="both"/>
      </w:pPr>
      <w:r>
        <w:rPr>
          <w:rFonts w:ascii="Barlow Semi Condensed" w:cs="Barlow Semi Condensed" w:eastAsia="Barlow Semi Condensed" w:hAnsi="Barlow Semi Condensed"/>
          <w:sz w:val="24"/>
          <w:szCs w:val="24"/>
        </w:rPr>
        <w:t xml:space="preserve">La parabola personale di Pietro Valpreda merita infine la sua chiusa documentale, perché essa sigilla il primo depistaggio con una data che è essa stessa un verdetto: il ballerino anarchico, la cui assoluzione definitiva il capitolo ha riportato per esteso, morì a Milano il 6 luglio 2002, quasi 3 anni prima che la pronuncia conclusiva del 3 maggio 2005 chiudesse per sempre il ciclo processuale della strage di cui era stato, per anni, il colpevole designato dinanzi al Paese, Livello A quanto alla data ed alla sequenza. Alla detenzione sofferta nella lunga custodia non seguì mai una riparazione, giacché l'istituto dell'indennizzo per l'ingiusta detenzione, introdotto dal codice del 1988, non retroagiva alle vicende anteriori, Livello A quanto al quadro normativo, sicché il conto personale del primo depistaggio si chiuse in perfetto pareggio negativo: anni di carcere, nessun colpevole della calunnia di sistema che ve lo condusse, nessun ristoro. Il registro consegna la biografia alla sua funzione di reperto: Valpreda è il caso limite in cui la macchina dell'ostruzione produsse, oltre alle vittime della strage, una vittima processuale integrale, l'uomo che attraversò da innocente l'intero arco della vicenda, dall'arresto alla morte, senza vedere né la propria riparazione né la condanna di alcuno, e la sua parabola, misurata sulle date, è la biografia individuale esatta del paradosso del giudicato che il capitolo certifica sul piano collettivo.</w:t>
      </w:r>
    </w:p>
    <w:p>
      <w:pPr>
        <w:spacing w:after="120" w:line="276"/>
        <w:jc w:val="both"/>
      </w:pPr>
      <w:r>
        <w:rPr>
          <w:rFonts w:ascii="Barlow Semi Condensed" w:cs="Barlow Semi Condensed" w:eastAsia="Barlow Semi Condensed" w:hAnsi="Barlow Semi Condensed"/>
          <w:sz w:val="24"/>
          <w:szCs w:val="24"/>
        </w:rPr>
        <w:t xml:space="preserve">Alla fenomenologia della falsa bandiera il caso milanese offre la sua prova giudiziaria più pulita, che il registro censisce quale controprova sperimentale dell'intero paradigma: il 7 aprile 1973, sul direttissimo Torino-Roma, il militante del gruppo ordinovista milanese La Fenice Nico Azzi rimase gravemente ferito dall'innesco anticipato dell'ordigno che stava armando nella toilette del treno, e l'istruttoria che ne seguì accertò con condanne definitive il piano del commando, che prevedeva di accompagnare l'attentato con tracce precostituite riconducibili all'estrema sinistra per orientarne l'attribuzione, Livello A quanto al fatto, al piano ed ai giudicati. Il valore del reperto nell'economia del capitolo è metodologico prima che storico: la strage fallita del 7 aprile è l'unico caso della serie in cui la falsa bandiera fu sequestrata intatta, per così dire, sul corpo del suo esecutore, con l'ordigno, l'attribuzione preconfezionata ed il colpevole designato colti nello stesso istante, e ciò che a piazza Fontana il registro ha dovuto ricostruire in 36 anni di gradi di giudizio, la meccanica dell'addossamento all'area anarchica, qui è documentato in flagranza, a 16 mesi esatti dalla strage madre e per mano del medesimo ambiente ideologico. Il registro consegna perciò il treno di Azzi alla sua funzione di stele: la falsa bandiera non è, nel corpus, un'inferenza degli storici, è una tecnica confessata dalle cose almeno una volta, e quella volta basta a trasformare, per tutti gli altri casi, l'ipotesi da congettura in modello documentato di cui verificare caso per caso la ricorrenza.</w:t>
      </w:r>
    </w:p>
    <w:p>
      <w:pPr>
        <w:spacing w:after="120" w:line="276"/>
        <w:jc w:val="both"/>
      </w:pPr>
      <w:r>
        <w:rPr>
          <w:rFonts w:ascii="Barlow Semi Condensed" w:cs="Barlow Semi Condensed" w:eastAsia="Barlow Semi Condensed" w:hAnsi="Barlow Semi Condensed"/>
          <w:sz w:val="24"/>
          <w:szCs w:val="24"/>
        </w:rPr>
        <w:t xml:space="preserve">La contabilità dei caduti del caso include infine il magistrato che ne aveva raccolto l'eredità istruttoria, e la cui fine consegna al registro l'ironia più nera dell'intero corpus: Emilio Alessandrini, il giudice milanese che aveva condotto con rigore la ricostruzione della pista nera sulla strage ed esteso le proprie indagini agli snodi finanziari censiti nella prima fase dell'opera, fu assassinato a Milano il 29 gennaio 1979 da un commando del gruppo armato di estrema sinistra Prima Linea, che ne rivendicò l'uccisione, ed i responsabili furono individuati e condannati con sentenze definitive, Livello A quanto al fatto, alla matrice ed ai giudicati. Il registro fissa il paradosso documentale che la biografia consegna: il magistrato che aveva contribuito a smontare l'addossamento della strage all'estrema sinistra fu ucciso dall'estrema sinistra armata, che lo colpì non per la pista nera ma per la sua efficienza complessiva di investigatore dello Stato, sicché la sua morte, estranea per matrice al capitolo, vi appartiene per funzione: essa privò simultaneamente l'istruttoria milanese sulla strage e quella sui crocevia finanziari del loro continuatore più capace, e la circostanza che i 2 fronti dell'opera, il nero delle bombe ed il grigio dei capitali, si siano trovati sguarniti dal medesimo agguato proveniente dal terzo fronte, il rosso, è la dimostrazione più cruda della tesi sistemica dell'opera, che i domini si danneggiano e si giovano a vicenda anche senza coordinarsi, per la semplice fisica delle sottrazioni: chiunque uccida un buon giudice lavora oggettivamente per tutti gli imputati di tutti i processi che quel giudice istruiva.</w:t>
      </w:r>
    </w:p>
    <w:p>
      <w:pPr>
        <w:spacing w:after="120" w:line="276"/>
        <w:jc w:val="both"/>
      </w:pPr>
      <w:r>
        <w:rPr>
          <w:rFonts w:ascii="Barlow Semi Condensed" w:cs="Barlow Semi Condensed" w:eastAsia="Barlow Semi Condensed" w:hAnsi="Barlow Semi Condensed"/>
          <w:sz w:val="24"/>
          <w:szCs w:val="24"/>
        </w:rPr>
        <w:t xml:space="preserve">La scia della strage madre attraversa il 1973 con l'attentato che il registro censisce quale suo replicante diretto: il 17 maggio 1973, nel cortile della Questura di Milano, durante la cerimonia di commemorazione del commissario ucciso l'anno precedente, alla presenza delle massime autorità con il ministro dell'interno Rumor allontanatosi pochi minuti prima, Gianfranco Bertoli lanciò una bomba a mano sulla folla uccidendo 4 persone, i cui nomi la lapide del cortile custodisce, e ferendone decine, Livello A quanto al fatto, alle vittime ed al bersaglio mancato. Il percorso giudiziario consegnò 2 verità di profondità diversa, che il registro riporta con il loro statuto: l'esecutore, presentatosi quale anarchico individualista, fu condannato all'ergastolo con sentenza definitiva e morì detenuto nel 2000, Livello A; le istruttorie successive, che ne ricostruirono i pregressi rapporti con ambienti dell'eversione ordinovista veneta e ne smontarono documentalmente l'autorappresentazione libertaria, esplorarono per decenni l'ipotesi della strage concertata con copertura anarchica, la medesima grammatica del 12 dicembre, senza approdare a giudicati ulteriori sui concorrenti, Livello B quanto alle acquisizioni sui rapporti pregressi, Livello C quanto alla catena di concorso mai certificata. Il registro colloca l'attentato nella sua funzione di cerniera: colpendo la cerimonia per Calabresi con un attentatore in maschera anarchica, la bomba della Questura replicò a distanza di 41 mesi l'intero dispositivo semiotico di piazza Fontana, la violenza attribuita per costruzione all'area che si voleva colpire politicamente, e la sua collocazione cronologica, tra la stagione dei depistaggi della strage madre e la campagna del 1974, ne fa l'anello che salda i 2 tempi del capitolo, dimostrando che la tecnica della falsa bandiera censita in flagranza sul treno di aprile era, un mese dopo, di nuovo operativa nel cuore blindato dello Stato.</w:t>
      </w:r>
    </w:p>
    <w:p>
      <w:pPr>
        <w:spacing w:after="120" w:line="276"/>
        <w:jc w:val="both"/>
      </w:pPr>
      <w:r>
        <w:rPr>
          <w:rFonts w:ascii="Barlow Semi Condensed" w:cs="Barlow Semi Condensed" w:eastAsia="Barlow Semi Condensed" w:hAnsi="Barlow Semi Condensed"/>
          <w:sz w:val="24"/>
          <w:szCs w:val="24"/>
        </w:rPr>
        <w:t xml:space="preserve">L'accusa originaria contro l'anarchico ebbe il suo intero peso su un solo teste, ed il registro ne censisce la parabola quale architrave fragile dell'errore: il tassista Cornelio Rolandi, che dichiarò di avere trasportato nel pomeriggio del 12 dicembre un passeggero con una borsa sino ai pressi della banca, riconobbe Valpreda nelle forme che la difesa contestò per l'intero processo, con un'individuazione condotta secondo modalità suggestive e con descrizioni oscillanti che gli atti documentano, e morì nel 1971, prima di ogni dibattimento, cristallizzando per sempre la propria testimonianza nello stato istruttorio, non più verificabile in contraddittorio, Livello A quanto alla deposizione, alle sue modalità ed alla morte del teste. Il registro consegna il caso alla sua funzione paradigmatica per l'intera opera: l'imputazione che tenne un innocente 3 anni in carcere e per 16 sotto processo poggiava su un riconoscimento unico, viziato nel metodo e reso incontrovertibile dalla morte del suo autore, e la sproporzione tra la fragilità di quella base e la durata dei suoi effetti è la dimostrazione inaugurale, nel primo capitolo della fase, della legge che il corpus verificherà sino all'ultimo: nei processi della stagione, il danno non lo fecero quasi mai le prove false, lo fecero le prove deboli trattate come forti, e la giustizia impiegò decenni non a smascherare menzogne, ma a ridare alle cose il loro peso.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piazza Fontana è certificato al Livello A quale evento inaugurale della stagione stragista, con 17 vittime, e quale sede del paradosso del giudicato: la matrice ordinovista veneta della strage, riconducibile a Freda e Ventura, è affermata quale verità storica nella motivazione della sentenza definitiva del 3 maggio 2005, mentre il dispositivo irrevocabile del 1987 assolve i medesimi per insufficienza di prove e il divieto del secondo giudizio ne preclude per sempre la condanna; la pista anarchica è certificata al Livello A quale primo depistaggio della stagione, con la morte di Pinelli e la quindicennale odissea giudiziaria di Valpreda, assolto in via definitiva, quali suoi costi documentati; le assoluzioni definitive di Freda, Ventura, Giannettini, Zorzi e Maggi per questa strage sono tutte riportate per esteso.</w:t>
      </w:r>
    </w:p>
    <w:p>
      <w:pPr>
        <w:pStyle w:val="Heading3"/>
        <w:spacing w:after="80" w:before="160"/>
      </w:pPr>
      <w:r>
        <w:rPr>
          <w:rFonts w:ascii="Barlow Semi Condensed" w:cs="Barlow Semi Condensed" w:eastAsia="Barlow Semi Condensed" w:hAnsi="Barlow Semi Condensed"/>
          <w:sz w:val="24"/>
          <w:szCs w:val="24"/>
        </w:rPr>
        <w:t xml:space="preserve">Capitolo 2 — ◆ Ordine Nuovo. La matrice organizzativa e la vendetta contro il giudice</w:t>
      </w:r>
    </w:p>
    <w:p>
      <w:pPr>
        <w:spacing w:after="120" w:line="276"/>
        <w:jc w:val="both"/>
      </w:pPr>
      <w:r>
        <w:rPr>
          <w:rFonts w:ascii="Barlow Semi Condensed" w:cs="Barlow Semi Condensed" w:eastAsia="Barlow Semi Condensed" w:hAnsi="Barlow Semi Condensed"/>
          <w:sz w:val="24"/>
          <w:szCs w:val="24"/>
        </w:rPr>
        <w:t xml:space="preserve">Ordine Nuovo, il movimento della destra radicale fondato da Pino Rauti e divenuto, nelle sue articolazioni, la matrice organizzativa accertata del primo stragismo, è il nodo attraverso il quale il registro dà forma organizzativa a ciò che il capitolo precedente ha certificato quale matrice storica. La scansione del corpus registra il sintagma 881 volte in 42 documenti, la più alta frequenza del versante eversivo dopo il nome di Delle Chiaie, e il nome di Rauti 324 volte in 23 documenti. Il nodo salda il Dominio 7 al Dominio 2, attraverso la contiguità e le migrazioni con il Movimento sociale italiano, al Dominio 3, attraverso le fonti che gli apparati vi reclutarono, e al Dominio 10, attraverso lo scioglimento giudiziario e la vendetta consumata contro il magistrato che lo aveva ottenuto.</w:t>
      </w:r>
    </w:p>
    <w:p>
      <w:pPr>
        <w:spacing w:after="120" w:line="276"/>
        <w:jc w:val="both"/>
      </w:pPr>
      <w:r>
        <w:rPr>
          <w:rFonts w:ascii="Barlow Semi Condensed" w:cs="Barlow Semi Condensed" w:eastAsia="Barlow Semi Condensed" w:hAnsi="Barlow Semi Condensed"/>
          <w:sz w:val="24"/>
          <w:szCs w:val="24"/>
        </w:rPr>
        <w:t xml:space="preserve">La ricostruzione organizzativa muove dalla fondazione. Il Centro Studi Ordine Nuovo nacque nel 1956 da una scissione della corrente più radicale del Movimento sociale italiano, guidata da Pino Rauti, in polemica con la linea dell'inserimento parlamentare; nel 1969 Rauti rientrò nel partito, e la componente contraria al rientro, guidata da Clemente Graziani, diede vita al Movimento politico Ordine Nuovo, che proseguì l'attività su posizioni rivoluzionarie. Il registro certifica al Livello A, sul fondamento degli atti e della letteratura consolidata, questa duplice articolazione, e ne trae la prima annotazione: la storia di Ordine Nuovo è la storia di un movimento che oscillò costantemente sul confine tra il Dominio 2, la politica legale dell'area missina, e il Dominio 7, l'eversione armata, e le migrazioni dei suoi uomini attraverso quel confine disegnano il Pattern 7 nella sua variante più densa.</w:t>
      </w:r>
    </w:p>
    <w:p>
      <w:pPr>
        <w:spacing w:after="120" w:line="276"/>
        <w:jc w:val="both"/>
      </w:pPr>
      <w:r>
        <w:rPr>
          <w:rFonts w:ascii="Barlow Semi Condensed" w:cs="Barlow Semi Condensed" w:eastAsia="Barlow Semi Condensed" w:hAnsi="Barlow Semi Condensed"/>
          <w:sz w:val="24"/>
          <w:szCs w:val="24"/>
        </w:rPr>
        <w:t xml:space="preserve">Il primo pilastro probatorio è lo scioglimento giudiziario, che il registro certifica al Livello A quale unico caso, insieme a quello di Avanguardia Nazionale, di applicazione repubblicana della normativa contro la ricostituzione del partito fascista a un'organizzazione della destra radicale. Nel novembre 1973 il Tribunale di Roma condannò numerosi dirigenti del Movimento politico Ordine Nuovo per il reato di ricostituzione del disciolto partito fascista, e con decreto del 23 novembre 1973 il ministro dell'interno Paolo Emilio Taviani dispose lo scioglimento dell'organizzazione. Pubblico ministero di quel processo era stato il sostituto procuratore Vittorio Occorsio. Il registro certifica al Livello A la sentenza, il decreto e la titolarità dell'accusa, e annota che lo scioglimento non estinse la rete: parte dei militanti confluì nella clandestinità di Ordine Nero e delle sigle successive, secondo la dinamica di carsismo organizzativo che il registro codifica quale regolarità del dominio.</w:t>
      </w:r>
    </w:p>
    <w:p>
      <w:pPr>
        <w:spacing w:after="120" w:line="276"/>
        <w:jc w:val="both"/>
      </w:pPr>
      <w:r>
        <w:rPr>
          <w:rFonts w:ascii="Barlow Semi Condensed" w:cs="Barlow Semi Condensed" w:eastAsia="Barlow Semi Condensed" w:hAnsi="Barlow Semi Condensed"/>
          <w:sz w:val="24"/>
          <w:szCs w:val="24"/>
        </w:rPr>
        <w:t xml:space="preserve">Il secondo pilastro è la vendetta contro il magistrato, che il registro certifica al Livello A quale arco tra il Dominio 7 e il Dominio 10 nella sua forma estrema. Il 10 luglio 1976 Vittorio Occorsio, che dopo il processo per la ricostituzione aveva proseguito le indagini sui rapporti tra eversione nera e criminalità comune, fu assassinato a Roma con raffiche di mitra mentre si recava al lavoro; l'agguato fu rivendicato da Ordine Nuovo con un volantino che motivava l'esecuzione con la persecuzione giudiziaria del movimento. Per l'omicidio fu condannato all'ergastolo, con sentenza divenuta irrevocabile, Pierluigi Concutelli, comandante militare della struttura clandestina ordinovista, catturato nel 1977. La scansione del corpus registra Occorsio 191 volte in 22 documenti e Concutelli 163 volte in 23. Il registro certifica al Livello A, sul fondamento del giudicato, l'omicidio di Occorsio quale esecuzione deliberata di un magistrato da parte dell'organizzazione che egli aveva colpito, e ne trae la qualificazione sistemica: è il primo omicidio di magistrato della stagione a matrice interamente eversiva e a movente dichiaratamente ritorsivo, e certifica che l'organizzazione disponeva, dopo lo scioglimento, di una struttura militare clandestina capace di deliberare ed eseguire l'eliminazione di un servitore dello Stato. Il registro annota altresì, quale reperto di continuità che salda questa vicenda al capitolo su Brescia, che Concutelli, detenuto, strangolò in carcere nel 1981, insieme a Mario Tuti, l'imputato della strage di piazza della Loggia Ermanno Buzzi, alla vigilia del processo d'appello: l'eliminazione fisica di un imputato-testimone da parte di detenuti dell'area, certificata al Livello A dalle condanne per quell'omicidio, appartiene alla tipologia dell'ostruzione nella sua specie più radicale, la soppressione della fonte.</w:t>
      </w:r>
    </w:p>
    <w:p>
      <w:pPr>
        <w:spacing w:after="120" w:line="276"/>
        <w:jc w:val="both"/>
      </w:pPr>
      <w:r>
        <w:rPr>
          <w:rFonts w:ascii="Barlow Semi Condensed" w:cs="Barlow Semi Condensed" w:eastAsia="Barlow Semi Condensed" w:hAnsi="Barlow Semi Condensed"/>
          <w:sz w:val="24"/>
          <w:szCs w:val="24"/>
        </w:rPr>
        <w:t xml:space="preserve">Il terzo pilastro è la posizione di Pino Rauti, che il registro tratta con la disciplina integrale delle assoluzioni. Rauti, fondatore del movimento, fu ripetutamente raggiunto da indagini e imputazioni per gli eventi della stagione stragista: arrestato nel 1972 nell'ambito delle prime indagini su piazza Fontana, fu prosciolto; imputato nel nuovo ciclo processuale per la strage di piazza della Loggia, fu assolto in primo grado nel 2010 e in appello nel 2012, con pronuncia divenuta definitiva, ed è morto nel novembre 2012 senza aver mai riportato alcuna condanna per fatti di strage. Il registro riporta per esteso questa sequenza integralmente assolutoria e certifica al Livello A che Pino Rauti, fondatore di Ordine Nuovo e successivamente parlamentare e segretario del Movimento sociale italiano, non è mai stato condannato per alcuno degli eventi stragisti; la distinzione tra la responsabilità organizzativa e ideologica del fondatore, materia storiografica, e la responsabilità penale individuale, mai affermata, è per il registro invalicabile.</w:t>
      </w:r>
    </w:p>
    <w:p>
      <w:pPr>
        <w:spacing w:after="120" w:line="276"/>
        <w:jc w:val="both"/>
      </w:pPr>
      <w:r>
        <w:rPr>
          <w:rFonts w:ascii="Barlow Semi Condensed" w:cs="Barlow Semi Condensed" w:eastAsia="Barlow Semi Condensed" w:hAnsi="Barlow Semi Condensed"/>
          <w:sz w:val="24"/>
          <w:szCs w:val="24"/>
        </w:rPr>
        <w:t xml:space="preserve">Il quarto pilastro è il carsismo organizzativo successivo allo scioglimento, che il registro certifica quale regolarità strutturale del dominio e quale chiave della finestra critica del 1974. Lo scioglimento del novembre 1973 non estinse la rete umana e operativa del movimento: parte dei militanti, sottrattisi alla dissoluzione, diede vita alla sigla clandestina Ordine Nero, sotto la quale furono rivendicati numerosi attentati della campagna del 1974, e la magistratura degli anni successivi ricostruì la continuità personale e materiale tra il movimento disciolto e le formazioni clandestine che ne raccolsero l'eredità. Il registro certifica al Livello A, sul fondamento degli atti giudiziari e parlamentari convergenti, la continuità carsica tra l'organizzazione disciolta e le sigle successive quanto agli uomini e agli ambienti, e mantiene distinta, secondo la disciplina consueta, l'attribuzione dei singoli attentati rivendicati, che segue per ciascun evento il proprio statuto probatorio. L'annotazione sistemica è duplice. In primo luogo, la sequenza scioglimento-clandestinizzazione-campagna del 1974 disegna una correlazione temporale che il Pattern 3 registra: l'anno successivo allo scioglimento fu l'anno di massima intensità stragista della prima finestra, con piazza della Loggia in maggio e l'Italicus in agosto, e la trasformazione della struttura da movimento semilegale a rete clandestina accompagnò l'innalzamento della soglia omicidiaria; la correlazione è certificata quale sequenza, non quale nesso causale, che resterebbe inferenza. In secondo luogo, il carsismo certifica che lo strumento dello scioglimento amministrativo-giudiziario, da solo, non disarticola la rete: colpisce il contenitore e non i nodi, i quali si ricompongono sotto altra insegna, secondo la dinamica che la teoria dei sistemi assegna alle strutture la cui capacità di autoriproduzione risiede nelle relazioni e non nella forma giuridica; è la medesima lezione che il registro ha tratto, nella Fase 1, dalla sopravvivenza della rete piduista allo scioglimento della loggia.</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Ordine Nuovo-cellula veneta-piazza Fontana, è il triangolo della matrice, certificato al Livello A quale verità storica di motivazione secondo quanto esposto nel capitolo 1. La seconda, Ordine Nuovo-Occorsio-Concutelli, è il triangolo della vendetta contro la giurisdizione, certificato al Livello A dal giudicato e costituente l'arco Dominio 7-Dominio 10 nella sua massima gravità. La terza, Ordine Nuovo-Movimento sociale italiano-migrazioni, è il triangolo della contiguità politica, certificato al Livello A quanto ai fatti organizzativi delle scissioni e dei rientri, e mantenuto rigorosamente distinto da ogni estensione di responsabilità al partito quale tale, che il registro non afferma ad alcun livello. Sul piano dei pattern, il nodo attiva il Pattern 7 nelle migrazioni tra politica legale ed eversione, e il Pattern 2, l'identificazione delle comunità, giacché la cellula ordinovista veneta, con le sue ramificazioni mestrine e milanesi, costituisce la comunità funzionale la cui azione coordinata è confermata dagli eventi certificati, secondo il criterio di validazione che il metodo prescrive.</w:t>
      </w:r>
    </w:p>
    <w:p>
      <w:pPr>
        <w:spacing w:after="120" w:line="276"/>
        <w:jc w:val="both"/>
      </w:pPr>
      <w:r>
        <w:rPr>
          <w:rFonts w:ascii="Barlow Semi Condensed" w:cs="Barlow Semi Condensed" w:eastAsia="Barlow Semi Condensed" w:hAnsi="Barlow Semi Condensed"/>
          <w:sz w:val="24"/>
          <w:szCs w:val="24"/>
        </w:rPr>
        <w:t xml:space="preserve">Alla parabola del Movimento politico che il capitolo ha censito va aggiunto il destino del suo capo, perché esso completa la statistica delle latitanze della fase. Raggiunto dalle condanne del filone sullo scioglimento, Clemente Graziani riparò all'estero e condusse la propria latitanza lungo la rotta sudamericana, chiudendola in Paraguay, dove morì nel 1996 senza aver più fatto rientro in Italia, Livello A quanto alla latitanza ed alla morte. La traiettoria certifica su scala organizzativa una regolarità che il registro eleva a teorema: lo scioglimento per via giudiziaria e ministeriale non estingue l'ambiente, ne modifica lo stato di aggregazione, dalla forma solida dell'organizzazione legale alla forma gassosa della rete clandestina e diasporica, e la mappa delle latitanze dei quadri ordinovisti, distribuita tra la penisola iberica ed il cono sudamericano, coincide con precisione cartografica con la mappa dei santuari che la Fase 5 sistematizzerà. Sicché il decreto del novembre 1973, lungi dal chiudere la storia del movimento, ne inaugurò la fase internazionale, e la repressione domestica funzionò, per eterogenesi dei fini, quale motore della transnazionalizzazione dell'ambiente: dinamica che la criminologia delle organizzazioni conosce bene e che il registro annota quale variabile permanente di ogni politica di scioglimento, il costo esterno della bonifica interna.</w:t>
      </w:r>
    </w:p>
    <w:p>
      <w:pPr>
        <w:spacing w:after="120" w:line="276"/>
        <w:jc w:val="both"/>
      </w:pPr>
      <w:r>
        <w:rPr>
          <w:rFonts w:ascii="Barlow Semi Condensed" w:cs="Barlow Semi Condensed" w:eastAsia="Barlow Semi Condensed" w:hAnsi="Barlow Semi Condensed"/>
          <w:sz w:val="24"/>
          <w:szCs w:val="24"/>
        </w:rPr>
        <w:t xml:space="preserve">Lo scioglimento va restituito nella sua meccanica a doppio atto, che ne fa un unicum ordinamentale. Il 21 novembre 1973 il Tribunale di Roma, all'esito del processo promosso contro il Centro Studi e la sua rete, condannò un folto gruppo di dirigenti e militanti, una trentina di posizioni, per il delitto di ricostituzione del disciolto partito fascista previsto dalla legge Scelba, ed il 23 novembre, a 48 ore dalla sentenza, il ministro dell'interno Paolo Emilio Taviani decretò lo scioglimento dell'organizzazione e la confisca dei beni, saldando in un solo tornante la via giudiziaria e quella amministrativa, Livello A quanto ad entrambi gli atti ed alle date, con conferme nei gradi successivi del versante penale. Il registro annota la rarità della sequenza: la legislazione attuativa della XII disposizione transitoria della Costituzione, rimasta per un quarto di secolo strumento più evocato che applicato, conobbe qui la sua applicazione maggiore, e la circostanza che essa colpisse l'organizzazione dalla quale i giudicati avrebbero poi fatto discendere la matrice del primo stragismo conferisce al provvedimento, retrospettivamente, il valore di un accertamento anticipato. Alla data dello scioglimento il movimento aveva peraltro già prodotto la propria metamorfosi carsica, secondo la dinamica che il quarto pilastro ha censito: sicché il decreto Taviani colpì la forma quando la funzione era già altrove, e la fase ne trae la conferma di un teorema che la P2 aveva già dimostrato sul versante massonico, la dissoluzione giuridica quale evento che certifica il passato dell'organizzazione assai più di quanto ne determini il futuro.</w:t>
      </w:r>
    </w:p>
    <w:p>
      <w:pPr>
        <w:spacing w:after="120" w:line="276"/>
        <w:jc w:val="both"/>
      </w:pPr>
      <w:r>
        <w:rPr>
          <w:rFonts w:ascii="Barlow Semi Condensed" w:cs="Barlow Semi Condensed" w:eastAsia="Barlow Semi Condensed" w:hAnsi="Barlow Semi Condensed"/>
          <w:sz w:val="24"/>
          <w:szCs w:val="24"/>
        </w:rPr>
        <w:t xml:space="preserve">Una parola, infine, sul nome, perché la semiotica delle denominazioni non è mai neutra in questo campo ed il registro se ne è dato carico sin dalla Fase 1. Ordine Nuovo: il sintagma, che il movimento condivideva con esperienze europee coeve e che rovesciava programmaticamente l'ordine vigente in disordine da sanare, dichiara nella sua stessa grammatica la dottrina che il capitolo 3 esporrà, la destabilizzazione quale via alla stabilizzazione autoritaria, il caos strumentale in vista dell'ordine finale. Che un'organizzazione il cui nome prometteva l'ordine sia stata giudizialmente accertata quale matrice del massimo disordine sanguinoso della Repubblica non è un'ironia della storia ma l'esatta esecuzione del programma: e la fase, che diffida delle ironie quanto delle cabale, consegna il dato alla sua sede propria, la dottrina scritta, dove il rovesciamento era teorizzato con la franchezza che soltanto i documenti di dottrina, tra tutte le carte che questo registro maneggia, si possono permettere.</w:t>
      </w:r>
    </w:p>
    <w:p>
      <w:pPr>
        <w:spacing w:after="120" w:line="276"/>
        <w:jc w:val="both"/>
      </w:pPr>
      <w:r>
        <w:rPr>
          <w:rFonts w:ascii="Barlow Semi Condensed" w:cs="Barlow Semi Condensed" w:eastAsia="Barlow Semi Condensed" w:hAnsi="Barlow Semi Condensed"/>
          <w:sz w:val="24"/>
          <w:szCs w:val="24"/>
        </w:rPr>
        <w:t xml:space="preserve">Il carsismo organizzativo va corredato della sua nomenclatura, perché le sigle sono i sedimenti visibili del fiume sotterraneo: allo scioglimento del novembre 1973 seguirono, nella galassia reduce, le denominazioni della clandestinità matura, dal Movimento politico che raccolse la militanza irriducibile alle sigle di rivendicazione quali Ordine Nero, apparse sui volantini della stagione stragista del 1974, sino alle testate ed ai fogli d'area che assicurarono la continuità dottrinale, Livello A quanto all'esistenza ed all'uso documentato delle sigle, Livello B quanto alla esatta consistenza organizzativa di ciascuna, che gli accertamenti restituirono disomogenea. Il registro trae dalla nomenclatura la sua lezione tassonomica: nella fase carsica, la sigla non designa più un'organizzazione ma una funzione, la rivendicazione, la formazione, il collegamento, e l'analista che cercasse dietro ogni denominazione un organigramma commetterebbe l'errore inverso a quello di chi nega ogni continuità. La continuità certificata è quella degli uomini e della dottrina, non delle strutture: gli stessi militanti attraversano sigle successive come si attraversano stanze, e la mappa attendibile del dopo-scioglimento è perciò prosopografica, non organizzativa, secondo il metodo che il Pattern 7 prescrive e che i giudicati della fase hanno implicitamente convalidato.</w:t>
      </w:r>
    </w:p>
    <w:p>
      <w:pPr>
        <w:spacing w:after="120" w:line="276"/>
        <w:jc w:val="both"/>
      </w:pPr>
      <w:r>
        <w:rPr>
          <w:rFonts w:ascii="Barlow Semi Condensed" w:cs="Barlow Semi Condensed" w:eastAsia="Barlow Semi Condensed" w:hAnsi="Barlow Semi Condensed"/>
          <w:sz w:val="24"/>
          <w:szCs w:val="24"/>
        </w:rPr>
        <w:t xml:space="preserve">La prosopografia del nodo si completa con la figura che ne attraversò tutti i processi maggiori uscendone sempre assolto, ed il registro la censisce per completezza di casellario: Paolo Signorelli, il docente romano tra i riferimenti ideologici dell'area ordinovista e della sua diaspora, imputato nelle istruttorie sulle stragi e sull'eversione sino al processo bolognese, dal quale uscì con assoluzione divenuta irrevocabile, come dagli altri procedimenti maggiori che lo videro alla sbarra, sicché il suo casellario definitivo, alla morte nel 2010, non registrava alcuna condanna per i fatti di strage contestatigli, Livello A quanto agli esiti assolutori riportati per esteso secondo la disciplina dell'opera. Il registro colloca la figura nella tipologia che il capitolo ha costruito: Signorelli appartiene alla categoria degli imputati seriali assolti, gli uomini che l'accusa ha inseguito per decenni attraverso più stragi senza mai ottenerne la condanna, e la disciplina impone di consegnare la categoria nella sua doppia lettura non gerarchizzabile, quella garantista, per cui la serialità delle assoluzioni misura la serialità degli errori accusatori, e quella storiografica, per cui la ricorrenza del medesimo nome in tutte le istruttorie misura la centralità di un ambiente che i processi non riuscirono a penetrare, con l'annotazione di metodo che vale per l'intera prosopografia della fase: il casellario di un uomo è un fatto, la sua biografia è un altro, e l'opera, che deve fedeltà ad entrambi, li riporta separati perché il lettore non li confonda mai.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Ordine Nuovo è certificato al Livello A quale matrice organizzativa del primo stragismo, sciolto per via giudiziaria e ministeriale nel novembre 1973 all'esito del processo per ricostituzione del partito fascista sostenuto dall'accusa di Vittorio Occorsio; l'omicidio di Occorsio del 10 luglio 1976, rivendicato dall'organizzazione ed eseguito da Pierluigi Concutelli, condannato in via definitiva, è certificato al Livello A quale arco estremo tra il Dominio 7 e il Dominio 10; l'eliminazione in carcere dell'imputato Buzzi ad opera di Concutelli e Tuti è certificata al Livello A quale specie radicale dell'ostruzione; la posizione di Pino Rauti, mai condannato e assolto in via definitiva in ogni sede, è riportata per esteso.</w:t>
      </w:r>
    </w:p>
    <w:p>
      <w:pPr>
        <w:pStyle w:val="Heading3"/>
        <w:spacing w:after="80" w:before="160"/>
      </w:pPr>
      <w:r>
        <w:rPr>
          <w:rFonts w:ascii="Barlow Semi Condensed" w:cs="Barlow Semi Condensed" w:eastAsia="Barlow Semi Condensed" w:hAnsi="Barlow Semi Condensed"/>
          <w:sz w:val="24"/>
          <w:szCs w:val="24"/>
        </w:rPr>
        <w:t xml:space="preserve">Capitolo 3 — ▶ Franco Freda e Giovanni Ventura. La cellula veneta tra condanna e giudicato assolutorio</w:t>
      </w:r>
    </w:p>
    <w:p>
      <w:pPr>
        <w:spacing w:after="120" w:line="276"/>
        <w:jc w:val="both"/>
      </w:pPr>
      <w:r>
        <w:rPr>
          <w:rFonts w:ascii="Barlow Semi Condensed" w:cs="Barlow Semi Condensed" w:eastAsia="Barlow Semi Condensed" w:hAnsi="Barlow Semi Condensed"/>
          <w:sz w:val="24"/>
          <w:szCs w:val="24"/>
        </w:rPr>
        <w:t xml:space="preserve">Franco Freda, nato a Padova l'11 febbraio 1941, editore e ideologo della destra radicale, e Giovanni Ventura, nato in provincia di Treviso nel 1944 e morto a Buenos Aires nel 2010, editore e libraio, costituiscono il nodo binario attraverso il quale il registro dà volto individuale alla cellula ordinovista veneta che il capitolo 1 ha certificato quale matrice storica della strage inaugurale. La scansione del corpus registra Freda 448 volte in 26 documenti e Ventura 359 volte in 22. Il nodo è trattato congiuntamente perché congiunta fu l'azione dei 2 nella ricostruzione giudiziaria, e perché la loro vicenda processuale, presa nel suo insieme, costituisce il più compiuto caso di scuola dell'intera opera sul rapporto tra verità storica e verità processuale.</w:t>
      </w:r>
    </w:p>
    <w:p>
      <w:pPr>
        <w:spacing w:after="120" w:line="276"/>
        <w:jc w:val="both"/>
      </w:pPr>
      <w:r>
        <w:rPr>
          <w:rFonts w:ascii="Barlow Semi Condensed" w:cs="Barlow Semi Condensed" w:eastAsia="Barlow Semi Condensed" w:hAnsi="Barlow Semi Condensed"/>
          <w:sz w:val="24"/>
          <w:szCs w:val="24"/>
        </w:rPr>
        <w:t xml:space="preserve">La ricostruzione biografica colloca i 2 al centro della cellula eversiva attiva tra Padova, Treviso e Mestre alla fine degli anni Sessanta. Freda, ideologo della disintegrazione del sistema e teorico della saldatura tra estremismi opposti in funzione antisistema, animava dalla sua casa editrice padovana un circuito politico-culturale della destra rivoluzionaria; Ventura, editore trevigiano, ne era il sodale operativo, con contatti che le indagini avrebbero rivelato estesi agli ambienti informativi. Il registro certifica al Livello A, sul fondamento dei giudicati che si diranno, l'esistenza e l'operatività della cellula facente capo ai 2 nel biennio 1968-1969.</w:t>
      </w:r>
    </w:p>
    <w:p>
      <w:pPr>
        <w:spacing w:after="120" w:line="276"/>
        <w:jc w:val="both"/>
      </w:pPr>
      <w:r>
        <w:rPr>
          <w:rFonts w:ascii="Barlow Semi Condensed" w:cs="Barlow Semi Condensed" w:eastAsia="Barlow Semi Condensed" w:hAnsi="Barlow Semi Condensed"/>
          <w:sz w:val="24"/>
          <w:szCs w:val="24"/>
        </w:rPr>
        <w:t xml:space="preserve">Il primo pilastro probatorio è la condanna definitiva per la campagna di attentati del 1969 anteriore alla strage. Freda e Ventura furono condannati, con sentenza divenuta irrevocabile nel ciclo processuale di Catanzaro e Bari, per l'associazione sovversiva e per la serie di attentati dinamitardi che scandirono il 1969 prima del 12 dicembre, tra cui gli ordigni del 25 aprile alla Fiera e alla stazione di Milano e le bombe collocate su 8 treni nella notte tra l'8 e il 9 agosto 1969, che ferirono 12 persone; la pena definitiva fu di 15 anni di reclusione. Il registro certifica al Livello A, sul fondamento del giudicato di condanna, la responsabilità di Freda e Ventura per la campagna di attentati del 1969, e ne trae la conseguenza strutturale: la sequenza che condusse alla strage di dicembre non fu un fulmine a ciel sereno, ma il culmine di una progressione attentatoria annuale giudizialmente accertata a carico della medesima cellula cui la motivazione definitiva del 2005 avrebbe attribuito anche la strage; la progressione, dalla dimostratività ferale delle bombe sui treni all'eccidio della banca, è il dato che le sentenze consegnano alla storia.</w:t>
      </w:r>
    </w:p>
    <w:p>
      <w:pPr>
        <w:spacing w:after="120" w:line="276"/>
        <w:jc w:val="both"/>
      </w:pPr>
      <w:r>
        <w:rPr>
          <w:rFonts w:ascii="Barlow Semi Condensed" w:cs="Barlow Semi Condensed" w:eastAsia="Barlow Semi Condensed" w:hAnsi="Barlow Semi Condensed"/>
          <w:sz w:val="24"/>
          <w:szCs w:val="24"/>
        </w:rPr>
        <w:t xml:space="preserve">Il secondo pilastro è la duplice pronuncia definitiva sulla strage, che il capitolo 1 ha esposto dal lato dell'evento e che qui si espone dal lato degli uomini, nella sua interezza formale. Per la strage di piazza Fontana, Franco Freda e Giovanni Ventura furono condannati all'ergastolo in primo grado a Catanzaro nel 1979, assolti in appello nel 1981, e, dopo annullamento con rinvio, assolti per insufficienza di prove dalla Corte d'assise d'appello di Bari nel 1985, con sentenza divenuta irrevocabile nel 1987: questa è la loro condizione giuridica perpetua rispetto alla strage, che il registro riporta per esteso. La sentenza definitiva del 3 maggio 2005, conclusiva del secondo troncone processuale a carico di altri imputati, affermò in motivazione, sul fondamento del compendio probatorio complessivo, che la strage fu opera della cellula guidata da Freda e Ventura, dando atto dell'impossibilità di perseguirli nuovamente in forza del divieto del secondo giudizio. Il registro tiene ferme, senza confonderle, le 2 certificazioni di Livello A già enunciate: l'attribuzione storica in motivazione definitiva, e l'assoluzione irrevocabile nel dispositivo del 1987. Aggiunge qui la considerazione metodologica propria del nodo: la vicenda di Freda e Ventura dimostra che il sistema processuale può produrre, sul medesimo fatto e sui medesimi soggetti, esiti formalmente definitivi e sostanzialmente divergenti a distanza di decenni, e che un registro rigoroso deve rappresentare tale divergenza anziché risolverla arbitrariamente in una delle 2 direzioni; la Regola Ferrea vieta tanto di trattare i 2 quali condannati per la strage, che non sono, quanto di tacere l'attribuzione storica contenuta nel giudicato del 2005, che esiste.</w:t>
      </w:r>
    </w:p>
    <w:p>
      <w:pPr>
        <w:spacing w:after="120" w:line="276"/>
        <w:jc w:val="both"/>
      </w:pPr>
      <w:r>
        <w:rPr>
          <w:rFonts w:ascii="Barlow Semi Condensed" w:cs="Barlow Semi Condensed" w:eastAsia="Barlow Semi Condensed" w:hAnsi="Barlow Semi Condensed"/>
          <w:sz w:val="24"/>
          <w:szCs w:val="24"/>
        </w:rPr>
        <w:t xml:space="preserve">Il terzo pilastro è il reticolo di contatti della cellula con gli ambienti informativi, che salda il nodo alla Fase 2. Le indagini accertarono che Giovanni Ventura intrattenne rapporti con Guido Giannettini, la fonte del servizio militare di cui si è detto, e che attraverso tale canale la cellula veneta si trovò in contatto con l'orbita del Reparto D; la condanna definitiva di Maletti per il favoreggiamento dell'espatrio di Giannettini e per il depistaggio certifica, come esposto nella Fase 2, che il servizio intervenne a copertura di quell'ambiente. Il registro certifica al Livello A l'esistenza del canale Ventura-Giannettini quale fatto accertato nei giudicati, e mantiene al Livello C, secondo la disciplina costante, ogni inferenza che dal contatto e dalla copertura risalga a una direzione degli eventi da parte degli apparati: il contatto è provato, la copertura è provata, la regia non lo è.</w:t>
      </w:r>
    </w:p>
    <w:p>
      <w:pPr>
        <w:spacing w:after="120" w:line="276"/>
        <w:jc w:val="both"/>
      </w:pPr>
      <w:r>
        <w:rPr>
          <w:rFonts w:ascii="Barlow Semi Condensed" w:cs="Barlow Semi Condensed" w:eastAsia="Barlow Semi Condensed" w:hAnsi="Barlow Semi Condensed"/>
          <w:sz w:val="24"/>
          <w:szCs w:val="24"/>
        </w:rPr>
        <w:t xml:space="preserve">Il quarto pilastro è la dottrina della disintegrazione del sistema, che il registro censisce quale reperto ideologico necessario alla comprensione della cellula e della sua strategia di ambiguità. Freda teorizzò, nella sua produzione pubblicistica, la disintegrazione dell'ordine democratico quale obiettivo primario, da perseguire anche attraverso la saldatura tattica tra gli estremismi opposti e l'uso strumentale della manovalanza e delle insegne altrui; la dottrina non è un dato biografico accessorio, ma la chiave dichiarata della tecnica che gli accertamenti avrebbero documentato, dall'infiltrazione dell'ambiente anarchico all'attribuzione degli attentati a mani altrui. Il registro certifica al Livello A l'esistenza e il contenuto della dottrina, quale dato documentale della pubblicistica fredaiana, e ne trae l'annotazione metodologica che la Nota dell'opera prescrive: la strategia dell'ambiguità deliberata, teorizzata dall'ambiente cui la strage è storicamente attribuita, è essa stessa la ragione per cui l'accertamento della stagione fu così arduo, giacché un metodo eversivo fondato sulla falsa attribuzione produce, per costruzione, un campo probatorio inquinato alla fonte; e la consapevolezza di questo inquinamento originario è parte del corredo critico con cui il registro legge ogni fonte della stagione, secondo la logica dell'Indice di Contaminazione che vieta di assumere le apparenze immediate degli eventi quale loro verità. Il registro annota altresì, per completezza biografica, che Freda, scontate le pene definitive, è tornato in libertà proseguendo l'attività editoriale, e che la sua condizione giuridica rispetto alla strage resta quella descritta, mentre Ventura, trasferitosi in Argentina, vi è morto nel 2010.</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Freda-Ventura-attentati del 1969, è il triangolo della progressione attentatoria, certificato al Livello A dal giudicato di condanna. La seconda, Freda-Ventura-strage di piazza Fontana, è il triangolo del paradosso del giudicato, con la duplice certificazione di Livello A esposta. La terza, Ventura-Giannettini-Reparto D, è il triangolo del contatto con gli apparati, certificato al Livello A quanto al canale e alla copertura e mantenuto al Livello C quanto alla regia. Sul piano dei pattern, il nodo attiva il Pattern 6 nella sua funzione storica, quale caso in cui la competizione tra ipotesi si è protratta per 36 anni di processi producendo il più complesso esito bifronte dell'ordinamento; e il Pattern 3, giacché la progressione attentatoria del 1969 disegna, entro un solo anno, l'escalation dalla dimostratività alla strage che l'analisi temporale identifica quale firma della finestra critica inaugurale.</w:t>
      </w:r>
    </w:p>
    <w:p>
      <w:pPr>
        <w:spacing w:after="120" w:line="276"/>
        <w:jc w:val="both"/>
      </w:pPr>
      <w:r>
        <w:rPr>
          <w:rFonts w:ascii="Barlow Semi Condensed" w:cs="Barlow Semi Condensed" w:eastAsia="Barlow Semi Condensed" w:hAnsi="Barlow Semi Condensed"/>
          <w:sz w:val="24"/>
          <w:szCs w:val="24"/>
        </w:rPr>
        <w:t xml:space="preserve">La parabola dei 2 uomini si completa con il capitolo delle fughe, che appartiene alla geografia internazionale della protezione censita in questa fase. Nell'autunno 1978, nelle more del giudizio catanzarese, Freda si sottrasse al soggiorno obbligato cui era sottoposto e riparò in Costa Rica, dove fu rintracciato ed arrestato nell'agosto 1979 e donde fu ricondotto in Italia per la prosecuzione del giudizio; Ventura, evaso a sua volta, raggiunse l'Argentina, dove la richiesta estradizionale italiana non conseguì mai la consegna, Livello A quanto alle scansioni delle fughe e degli esiti. Il registro annota la biforcazione quale esperimento naturale sulla resa dei circuiti estradizionali: 2 coimputati del medesimo processo, 2 rotte latinoamericane, 2 esiti opposti, e la variabile discriminante, la diversa disponibilità cooperativa degli Stati di rifugio, appartiene alla mappa che la Fase 5 sistematizzerà sotto il titolo delle capitali-rifugio.</w:t>
      </w:r>
    </w:p>
    <w:p>
      <w:pPr>
        <w:spacing w:after="120" w:line="276"/>
        <w:jc w:val="both"/>
      </w:pPr>
      <w:r>
        <w:rPr>
          <w:rFonts w:ascii="Barlow Semi Condensed" w:cs="Barlow Semi Condensed" w:eastAsia="Barlow Semi Condensed" w:hAnsi="Barlow Semi Condensed"/>
          <w:sz w:val="24"/>
          <w:szCs w:val="24"/>
        </w:rPr>
        <w:t xml:space="preserve">Alla cellula veneta appartiene infine un esito assolutorio che la disciplina del registro impone di riportare: Massimiliano Fachini, esponente dell'ordinovismo padovano gravitante nell'orbita della cellula, imputato quale concorrente nella strage di Bologna, fu assolto in via definitiva da quell'accusa nel ciclo processuale concluso nei primi anni 90, Livello A, e la sua posizione, accusata e liberata, completa la statistica giudiziaria di un ambiente, quello veneto, che i giudicati hanno raggiunto per la campagna del 1969 e per la matrice storica di piazza Fontana, e non oltre: il perimetro esatto, né più largo né più stretto, entro il quale il registro consente a sé stesso di parlare di cellula.</w:t>
      </w:r>
    </w:p>
    <w:p>
      <w:pPr>
        <w:spacing w:after="120" w:line="276"/>
        <w:jc w:val="both"/>
      </w:pPr>
      <w:r>
        <w:rPr>
          <w:rFonts w:ascii="Barlow Semi Condensed" w:cs="Barlow Semi Condensed" w:eastAsia="Barlow Semi Condensed" w:hAnsi="Barlow Semi Condensed"/>
          <w:sz w:val="24"/>
          <w:szCs w:val="24"/>
        </w:rPr>
        <w:t xml:space="preserve">Alla campagna del 1969 anteriore alla strage va restituita la sua progressione documentata, perché in essa i giudici lessero la firma seriale della cellula: gli ordigni del 25 aprile alla Fiera campionaria ed alla stazione centrale di Milano, con decine di feriti, e quindi, nella notte tra l'8 ed il 9 agosto, la campagna dei treni, 10 ordigni collocati su convogli in viaggio lungo la dorsale, dei quali 8 esplosero provocando 12 feriti, in un crescendo che le sentenze qualificarono quale sperimentazione progressiva della tecnica e del terrore, Livello A quanto ai fatti ed alla loro attribuzione giudicata. La condanna definitiva a 15 anni per l'associazione sovversiva e per questa campagna, che il capitolo ha già certificato, si arresta esattamente sulla soglia del 12 dicembre: ed è su quella soglia che si colloca il secondo pilastro, la cui formula terminale merita ora l'analisi che la storia del diritto le deve. L'assoluzione pronunciata a Bari il 1° agosto 1985 fu resa nella formula dell'insufficienza di prove, l'istituto del codice previgente che consentiva al giudice di assolvere dubitando: una formula che non proclamava l'innocenza ma certificava l'impotenza dell'accertamento, e che il codice del 1988 avrebbe abolito proprio per la sua ambiguità costitutiva, Livello A quanto alla formula ed alla sua successiva abrogazione. Il registro annota la conseguenza permanente: i 2 uomini della cellula veneta uscirono dal processo per la strage né condannati né dichiarati innocenti, sospesi in una terra di mezzo che il diritto successivo ha soppresso senza poterla retroattivamente bonificare, e la verità storica di motivazione consacrata nel 2005 convive da allora con quel giudicato dubitativo in un equilibrio che non ha eguali nell'ordinamento: assolti per sempre con la formula del dubbio, indicati per sempre nella motivazione della certezza.</w:t>
      </w:r>
    </w:p>
    <w:p>
      <w:pPr>
        <w:spacing w:after="120" w:line="276"/>
        <w:jc w:val="both"/>
      </w:pPr>
      <w:r>
        <w:rPr>
          <w:rFonts w:ascii="Barlow Semi Condensed" w:cs="Barlow Semi Condensed" w:eastAsia="Barlow Semi Condensed" w:hAnsi="Barlow Semi Condensed"/>
          <w:sz w:val="24"/>
          <w:szCs w:val="24"/>
        </w:rPr>
        <w:t xml:space="preserve">Resta la figura professionale che accomunò i 2 uomini e che il registro censisce quale reperto di copertura: l'editoria. Freda con le sue Edizioni di Ar, officina della ristampa della testualità della destra radicale europea, Ventura con le proprie sigle e librerie trevigiane: la cellula operativa si presentò al mondo quale impresa culturale, e la copertura non fu casuale ma funzionale, giacché il commercio librario forniva insieme legittimazione intellettuale, rete di contatti interregionale e giustificazione documentale per viaggi, spedizioni e magazzini, Livello A quanto alle attività editoriali documentate, Livello B quanto alla loro lettura funzionale nelle ricostruzioni istruttorie. La fase vi riconosce una costante che ritroverà a Lisbona nel capitolo seguente: l'agenzia di stampa, la casa editrice, la libreria quali involucri d'elezione delle strutture clandestine del periodo, per la ragione strutturale che il Dominio 8 è l'unico il cui traffico ordinario, informazioni, carta, persone in movimento, coincide esattamente con il traffico che una rete cospirativa deve occultare. Dove altri seppelliscono, l'eversore colto pubblica: e la biblioteca, insegna il caso veneto, può essere un arsenale con il dorso rilegato.</w:t>
      </w:r>
    </w:p>
    <w:p>
      <w:pPr>
        <w:spacing w:after="120" w:line="276"/>
        <w:jc w:val="both"/>
      </w:pPr>
      <w:r>
        <w:rPr>
          <w:rFonts w:ascii="Barlow Semi Condensed" w:cs="Barlow Semi Condensed" w:eastAsia="Barlow Semi Condensed" w:hAnsi="Barlow Semi Condensed"/>
          <w:sz w:val="24"/>
          <w:szCs w:val="24"/>
        </w:rPr>
        <w:t xml:space="preserve">All'origine dell'intera pista veneta sta una fonte civile che il registro deve censire per nome, perché senza di essa la matrice non sarebbe mai emersa: Guido Lorenzon, insegnante trevigiano legato a Ventura da lunga amicizia, che nelle settimane successive al 12 dicembre 1969 riferì al proprio avvocato, e per suo tramite all'autorità giudiziaria, le confidenze ricevute dall'amico sulla campagna attentatoria dell'anno e sulla strage, consegnando all'istruttoria i primi fili concreti verso la cellula, Livello A quanto alla denuncia, alla sua data ed al suo contenuto agli atti. Il calvario che ne seguì appartiene alla fenomenologia del teste scomodo e il registro lo riporta nel suo esito: esposto per anni tra ritrattazioni parziali maturate sotto pressione e successive conferme, sottoposto egli stesso a procedimento per le proprie dichiarazioni e definitivamente prosciolto, Lorenzon attraversò l'intero ciclo processuale quale fonte contesa prima che le acquisizioni successive ne consolidassero il nucleo, Livello A quanto agli esiti personali. Il registro assegna alla figura la sua funzione paradigmatica: nell'economia del caso, il primo squarcio sulla matrice non venne da un apparato, da un pentito o da un archivio, ma da un cittadino che riferì ciò che sapeva per il tramite ordinario di un legale, e la sproporzione tra la semplicità civile di quel gesto e la mole delle ostruzioni che l'opera ha censito sul medesimo caso è, in sé, una misura: la verità disponibile nel dicembre 1969 impiegò 36 anni a diventare motivazione di sentenza, e non perché mancasse chi l'aveva detta.</w:t>
      </w:r>
    </w:p>
    <w:p>
      <w:pPr>
        <w:spacing w:after="120" w:line="276"/>
        <w:jc w:val="both"/>
      </w:pPr>
      <w:r>
        <w:rPr>
          <w:rFonts w:ascii="Barlow Semi Condensed" w:cs="Barlow Semi Condensed" w:eastAsia="Barlow Semi Condensed" w:hAnsi="Barlow Semi Condensed"/>
          <w:sz w:val="24"/>
          <w:szCs w:val="24"/>
        </w:rPr>
        <w:t xml:space="preserve">Il fascicolo delle protezioni istituzionali alla cellula contiene l'episodio che il registro censisce quale suo esemplare perfetto, rinviando alla fase seconda per gli esiti giudiziari sui responsabili: nel gennaio 1973 Marco Pozzan, l'uomo dell'ambiente padovano di Freda che costituiva uno dei testi potenzialmente decisivi dell'istruttoria sulla strage, fu esfiltrato in Spagna franchista con documenti di copertura predisposti dal servizio militare, in un'operazione condotta da ufficiali del reparto D che le sentenze definitive censite nella fase dedicata agli apparati avrebbero poi sanzionato quale favoreggiamento, Livello A quanto all'operazione, alle sue modalità ed ai giudicati sui suoi autori. Il registro fissa il valore sistemico dell'episodio nell'economia di questo capitolo: l'esfiltrazione Pozzan non è un depistaggio informativo, categoria di cui il corpus abbonda, ma un'operazione logistica materiale con cui un apparato dello Stato sottrasse fisicamente all'autorità giudiziaria un teste dell'istruttoria sulla più grave strage della Repubblica, trasportandolo sotto falso nome nel santuario iberico censito da quest'opera, e la sua certificazione con sentenza definitiva la rende il punto più alto e meno controvertibile dell'intera scala delle ostruzioni: qui non occorre inferire, pesare livelli o confrontare ipotesi, perché la Repubblica ha già scritto, in un giudicato, che un pezzo di sé nascose un pezzo della verità sul 12 dicembre, e tutto ciò che il metodo aggiunge è la collocazione del punto fermo dentro la serie, dove esso funziona da pietra di paragone: ogni altra ostruzione censita dal capitolo va misurata chiedendosi quanto le manchi per essere una Pozzan, e la risposta, quasi sempre, è soltanto la fortuna documentale di una condanna.</w:t>
      </w:r>
    </w:p>
    <w:p>
      <w:pPr>
        <w:spacing w:after="120" w:line="276"/>
        <w:jc w:val="both"/>
      </w:pPr>
      <w:r>
        <w:rPr>
          <w:rFonts w:ascii="Barlow Semi Condensed" w:cs="Barlow Semi Condensed" w:eastAsia="Barlow Semi Condensed" w:hAnsi="Barlow Semi Condensed"/>
          <w:sz w:val="24"/>
          <w:szCs w:val="24"/>
        </w:rPr>
        <w:t xml:space="preserve">Il paradosso terminale del caso esige il suo censimento esplicito, perché in esso l'intera fase trova la propria formula giuridica: le motivazioni conclusive dell'ultima stagione processuale milanese, confermate dal giudizio di legittimità del 2005, affermarono che la strage del 12 dicembre fu opera della cellula ordinovista veneta riconducibile ai 2 principali imputati storici, e simultaneamente ne dichiararono l'improcessabilità, essendo entrambi coperti dall'irrevocabilità delle assoluzioni pronunciate nel ciclo catanzarese-barese e divenute definitive nel 1987, per l'operare del divieto di secondo giudizio, Livello A quanto al contenuto delle motivazioni ed al loro fondamento nel ne bis in idem. Il registro isola il dispositivo logico che ne risulta, unico nell'intero corpus: la Repubblica possiede, sul proprio evento fondativo oscuro, una verità giudiziaria nominativa scritta in una sentenza definitiva, e possiede, nella stessa sentenza, la certificazione che quella verità non produrrà mai una condanna, sicché piazza Fontana è insieme il caso più risolto ed il più impunito della fase, risolto quanto alla storia ed impunito quanto al diritto, con i 2 esiti saldati per sempre nel medesimo atto. La lezione che il registro ne trae governa retrospettivamente l'intera architettura dell'opera: la distinzione metodologica tra verità processuale e responsabilità eseguibile, che il metodo ha applicato in ogni capitolo, non è una raffinatezza accademica ma la condizione reale del corpus, dove il massimo che la giustizia italiana ha saputo produrre sul proprio 12 dicembre è una sentenza che indica i colpevoli con una mano e con l'altra ne sigilla l'impunità, ed il registro, che deve fedeltà agli atti, consegna il paradosso senza attenuarlo, perché esso non è un difetto della ricostruzione, è il risultato.</w:t>
      </w:r>
    </w:p>
    <w:p>
      <w:pPr>
        <w:spacing w:after="120" w:line="276"/>
        <w:jc w:val="both"/>
      </w:pPr>
      <w:r>
        <w:rPr>
          <w:rFonts w:ascii="Barlow Semi Condensed" w:cs="Barlow Semi Condensed" w:eastAsia="Barlow Semi Condensed" w:hAnsi="Barlow Semi Condensed"/>
          <w:sz w:val="24"/>
          <w:szCs w:val="24"/>
        </w:rPr>
        <w:t xml:space="preserve">La geografia dei bersagli della stagione esige infine il suo censimento settoriale, che il registro formula quale pattern trasversale: la ferrovia fu il bersaglio strutturale ricorrente dell'intero arco stragista, dagli ordigni sui convogli del 12 dicembre 1969, coevi alla banca milanese, alla strage dell'Italicus nella galleria appenninica del 1974, sino al rapido 904 del dicembre 1984 nella medesima tratta, una persistenza di obiettivo che attraversa 15 anni, matrici giudiziariamente diverse e 3 distinte stagioni della violenza censite dal corpus, Livello A quanto alla serie degli attacchi ed ai rispettivi giudicati. Il registro consegna la persistenza alla sua lettura funzionale: il treno riunisce in un solo bersaglio le proprietà che una strategia del terrore ricerca, la concentrazione indifesa di vittime casuali, la simbologia dello Stato che connette il Paese, la vulnerabilità tecnica delle percorrenze obbligate, e la circostanza che matrici diverse, l'eversione nera giudicata per l'Italicus e la committenza mafiosa giudicata per il 904, abbiano eletto nel tempo il medesimo obiettivo sulla medesima dorsale dimostra la tesi che questa fase ha costruito capitolo per capitolo: le stagioni della violenza italiana, giudiziariamente distinte, condivisero una grammatica operativa comune, un repertorio di bersagli e di metodi che migrò tra campi diversi come migra una tecnologia, e la storia delle stragi italiane è anche la storia di questa grammatica che nessun processo poteva imputare, perché le grammatiche non hanno mandanti, hanno parlanti.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Freda-Ventura è certificato al Livello A quanto alla condanna definitiva a 15 anni per l'associazione sovversiva e per la campagna di attentati del 1969, comprese le bombe sugli 8 treni dell'agosto; quanto alla strage di piazza Fontana, la condizione giuridica dei 2 è l'assoluzione irrevocabile per insufficienza di prove del 1987, riportata per esteso, mentre l'attribuzione storica della strage alla loro cellula è affermata nella motivazione della sentenza definitiva del 2005, e le 2 certificazioni coesistono quale paradosso del giudicato; il canale Ventura-Giannettini verso il Reparto D è certificato al Livello A quanto al contatto e alla copertura, ferma l'ipoteticità della regia.</w:t>
      </w:r>
    </w:p>
    <w:p>
      <w:pPr>
        <w:pStyle w:val="Heading3"/>
        <w:spacing w:after="80" w:before="160"/>
      </w:pPr>
      <w:r>
        <w:rPr>
          <w:rFonts w:ascii="Barlow Semi Condensed" w:cs="Barlow Semi Condensed" w:eastAsia="Barlow Semi Condensed" w:hAnsi="Barlow Semi Condensed"/>
          <w:sz w:val="24"/>
          <w:szCs w:val="24"/>
        </w:rPr>
        <w:t xml:space="preserve">Capitolo 4 — ◆ Aginter Press. La centrale di Lisbona e l'internazionale della sovversione</w:t>
      </w:r>
    </w:p>
    <w:p>
      <w:pPr>
        <w:spacing w:after="120" w:line="276"/>
        <w:jc w:val="both"/>
      </w:pPr>
      <w:r>
        <w:rPr>
          <w:rFonts w:ascii="Barlow Semi Condensed" w:cs="Barlow Semi Condensed" w:eastAsia="Barlow Semi Condensed" w:hAnsi="Barlow Semi Condensed"/>
          <w:sz w:val="24"/>
          <w:szCs w:val="24"/>
        </w:rPr>
        <w:t xml:space="preserve">Aginter Press, la struttura clandestina operante a Lisbona sotto copertura di agenzia di stampa dal 1966 al 1974, diretta da Yves Guérin-Sérac, è il nodo attraverso il quale il registro apre la dimensione internazionale della fase e certifica l'esistenza di una centrale estera di formazione, propaganda e collegamento dell'eversione anticomunista con proiezioni documentate verso l'Italia. La scansione del corpus registra Aginter 875 volte in 26 documenti e Guérin 182 volte in 13: la frequenza elevatissima riflette la presenza nel corpus tanto dei documenti originali della struttura quanto di 7 monografie di approfondimento che il registro ha dedicato alle sue proiezioni geografiche, dall'Africa australe all'Asia. Il nodo salda il Dominio 7 al Dominio 3, quale struttura in rapporto con apparati di sicurezza, e al Dominio 8, quale caso paradigmatico dell'uso della copertura giornalistica come schermo dell'attività clandestina.</w:t>
      </w:r>
    </w:p>
    <w:p>
      <w:pPr>
        <w:spacing w:after="120" w:line="276"/>
        <w:jc w:val="both"/>
      </w:pPr>
      <w:r>
        <w:rPr>
          <w:rFonts w:ascii="Barlow Semi Condensed" w:cs="Barlow Semi Condensed" w:eastAsia="Barlow Semi Condensed" w:hAnsi="Barlow Semi Condensed"/>
          <w:sz w:val="24"/>
          <w:szCs w:val="24"/>
        </w:rPr>
        <w:t xml:space="preserve">La certificazione del nodo poggia su una circostanza documentale eccezionale, che lo distingue da quasi ogni altro nodo dell'opera: la caduta del regime portoghese nell'aprile 1974, con la Rivoluzione dei garofani, produsse la scoperta e il sequestro degli archivi della struttura, sicché Aginter Press è documentata non da testimonianze o da ricostruzioni, ma dalle sue stesse carte, parte delle quali è presente nel corpus. Il registro certifica al Livello A, sul fondamento della documentazione sequestrata e degli atti che la recepirono, i tratti costitutivi della struttura: la fondazione a Lisbona nel settembre 1966 ad opera di Yves Guérin-Sérac, pseudonimo di Yves Guillou, già ufficiale francese transitato per l'Organisation de l'Armée Secrète e riparato nel Portogallo salazarista; la copertura di agenzia di stampa, con corrispondenti e materiale pubblicistico; la natura reale di centro di reclutamento, addestramento e propaganda anticomunista, operante in raccordo con la polizia politica portoghese e in contatto con ambienti e apparati di più Paesi; e l'articolazione interna, documentata dalle carte, in strutture dedicate all'azione, alla formazione e alla penetrazione informativa. La conferma empirica della regolarità già codificata dal registro è qui integrale: anche questo archivio non si aprì spontaneamente, ma per effetto del collasso del regime che lo ospitava.</w:t>
      </w:r>
    </w:p>
    <w:p>
      <w:pPr>
        <w:spacing w:after="120" w:line="276"/>
        <w:jc w:val="both"/>
      </w:pPr>
      <w:r>
        <w:rPr>
          <w:rFonts w:ascii="Barlow Semi Condensed" w:cs="Barlow Semi Condensed" w:eastAsia="Barlow Semi Condensed" w:hAnsi="Barlow Semi Condensed"/>
          <w:sz w:val="24"/>
          <w:szCs w:val="24"/>
        </w:rPr>
        <w:t xml:space="preserve">Il primo pilastro probatorio è la proiezione italiana, che il registro tratta con la disciplina graduata che la materia impone. Le carte sequestrate e gli atti istruttori italiani, in particolare l'istruttoria milanese degli anni Novanta, documentarono contatti e collegamenti tra la struttura di Lisbona e gli ambienti dell'eversione nera italiana, con riferimento alla circolazione di uomini, di materiale propagandistico e di tecniche; la figura di collegamento più frequentemente indicata dagli atti è quella di esponenti dell'area di Avanguardia Nazionale e dell'ordinovismo, e la monografia del corpus dedicata al rapporto tra Stefano Delle Chiaie e Aginter Press ne ha vagliato criticamente la consistenza, concludendo per un rapporto documentato nei contatti ma controverso nella qualificazione. Il registro certifica al Livello B, sul fondamento della convergenza tra le carte sequestrate e gli atti istruttori, l'esistenza di collegamenti tra Aginter Press e ambienti dell'eversione nera italiana; e mantiene al Livello C l'attribuzione alla struttura di un ruolo operativo in specifici eventi stragisti italiani, che nessun giudicato ha accertato. La distinzione tra il collegamento documentato e l'operatività congetturata è la sostanza della disciplina, e il registro annota che Guérin-Sérac non è mai stato condannato in Italia per alcun fatto della stagione.</w:t>
      </w:r>
    </w:p>
    <w:p>
      <w:pPr>
        <w:spacing w:after="120" w:line="276"/>
        <w:jc w:val="both"/>
      </w:pPr>
      <w:r>
        <w:rPr>
          <w:rFonts w:ascii="Barlow Semi Condensed" w:cs="Barlow Semi Condensed" w:eastAsia="Barlow Semi Condensed" w:hAnsi="Barlow Semi Condensed"/>
          <w:sz w:val="24"/>
          <w:szCs w:val="24"/>
        </w:rPr>
        <w:t xml:space="preserve">Il secondo pilastro è la funzione di Aginter Press nella verifica di H1, che ne fa uno dei nodi analiticamente più preziosi della fase. La struttura di Lisbona è, per collocazione e finalità documentate, una centrale anticomunista dell'estremo campo occidentale: nacque nel Portogallo dell'Estado Novo, operò in raccordo con la sua polizia politica, arruolò reduci delle guerre coloniali e dell'Organisation de l'Armée Secrète, e la sua produzione documentale, presente nel corpus, teorizza la guerra rivoluzionaria contro la sovversione comunista. Il registro certifica al Livello A questa collocazione, e ne trae la conseguenza per il bilancio dell'ipotesi H1: la più documentata centrale internazionale collegata all'eversione nera europea è una struttura anticomunista occidentale, radicata in un regime alleato dell'Occidente, e la sua esistenza conferma, ancora una volta, che la dimensione internazionale certificata del fenomeno si colloca sul versante occidentale del confronto bipolare; nulla, nelle carte sequestrate e negli atti, documenta una convergenza con il blocco sovietico, e l'ipotesi H1 non trova nel nodo alcun sostegno.</w:t>
      </w:r>
    </w:p>
    <w:p>
      <w:pPr>
        <w:spacing w:after="120" w:line="276"/>
        <w:jc w:val="both"/>
      </w:pPr>
      <w:r>
        <w:rPr>
          <w:rFonts w:ascii="Barlow Semi Condensed" w:cs="Barlow Semi Condensed" w:eastAsia="Barlow Semi Condensed" w:hAnsi="Barlow Semi Condensed"/>
          <w:sz w:val="24"/>
          <w:szCs w:val="24"/>
        </w:rPr>
        <w:t xml:space="preserve">Il terzo pilastro è l'isomorfismo strutturale con l'organizzazione Hyperion, che il registro richiama anticipatamente quale reperto analitico codificato e rinvia, per la trattazione propria, alla Fase 4. Il registro dei nodi analitici dell'opera censisce, quale acquisizione consolidata, la comparazione tra Aginter Press e la scuola di lingue Hyperion di Parigi, la struttura gravitante nell'area opposta, quella della sinistra rivoluzionaria, che gli atti sul caso Moro hanno ripetutamente lambito: le 2 strutture presentano un isomorfismo topologico compiuto, entrambe operanti all'estero sotto copertura civile, entrambe poste all'incrocio tra militanza, informazione e apparati, entrambe circondate da un alone di sospetto investigativo mai tradotto in condanna; e presentano, al contempo, regimi probatori opposti, giacché Aginter è documentata dalle sue carte sequestrate mentre Hyperion è documentata quasi soltanto da atti investigativi esterni, e nessuna connessione operativa tra le 2 è mai stata documentata. Il registro certifica al Livello A l'isomorfismo strutturale quale dato comparativo, e certifica parimenti, quale reperto negativo formale, l'assenza di connessione operativa documentata tra le 2 strutture: è il Pattern 11 nella sua applicazione più rigorosa, che discrimina tra la somiglianza di struttura, accertata, e l'origine comune, non provata, orientando verso la spiegazione della necessità funzionale, per cui contesti speculari producono strutture speculari senza bisogno di un progettista unico.</w:t>
      </w:r>
    </w:p>
    <w:p>
      <w:pPr>
        <w:spacing w:after="120" w:line="276"/>
        <w:jc w:val="both"/>
      </w:pPr>
      <w:r>
        <w:rPr>
          <w:rFonts w:ascii="Barlow Semi Condensed" w:cs="Barlow Semi Condensed" w:eastAsia="Barlow Semi Condensed" w:hAnsi="Barlow Semi Condensed"/>
          <w:sz w:val="24"/>
          <w:szCs w:val="24"/>
        </w:rPr>
        <w:t xml:space="preserve">Il quarto pilastro è la geografia delle proiezioni internazionali della centrale, che il registro ha sottoposto a verifica sistematica attraverso 7 monografie dedicate, i cui esiti consolidati appartengono al corpus e vengono qui recepiti in forma sintetica. Le carte sequestrate e la documentazione internazionale attestano che l'attività della struttura non si esaurì nel teatro europeo: le monografie hanno vagliato le proiezioni verso l'Africa australe dei regimi coloniali e segregazionisti, verso l'Africa centrale, verso l'area del Golfo, verso l'Asia orientale e il circuito delle organizzazioni anticomuniste del Pacifico, oltre alla già esposta comparazione con Hyperion. L'esito complessivo della verifica, che il registro certifica quale acquisizione consolidata, è graduato: le proiezioni verso i teatri coloniali portoghesi e verso l'Africa australe risultano le più documentate, in coerenza con la collocazione lusitana della centrale e con la sua funzione controinsurrezionale, mentre le proiezioni più remote degradano verso livelli inferiori di riscontro; e il reperto trasversale di maggior rilievo, che il registro annota quale consegna alla Fase 5, è la posizione del Sudafrica dell'apartheid quale nodo a massima intermediazione dell'intero dossier internazionale, il punto di passaggio che connette i teatri africani, le reti dei fuoriusciti europei e i circuiti della cooperazione tra regimi assediati. Il registro certifica al Livello A l'esistenza documentale delle proiezioni extraeuropee quale dato delle carte, mantiene la certificazione dei singoli teatri ai livelli graduati che le monografie hanno stabilito, e trascrive la regola comparativa che l'esercizio ha confermato: la densità documentale decresce con la distanza dal centro sequestrato, e il registro misura l'attenzione dei documenti, non l'intensità storica dei fatti, secondo l'effetto lampione che la metodologia dell'opera ha elevato a cautela permanente.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Aginter-Guérin-Sérac-polizia politica portoghese, è il triangolo costitutivo della centrale, certificato al Livello A dalle carte sequestrate. La seconda, Aginter-eversione nera italiana, è il triangolo della proiezione, certificato al Livello B quanto ai collegamenti e mantenuto al Livello C quanto all'operatività in eventi specifici. La terza, Aginter-Hyperion, è il triangolo comparativo dell'isomorfismo senza connessione, certificato al Livello A nei suoi 2 termini, la somiglianza strutturale e l'assenza di collegamento operativo documentato. Sul piano dei pattern, il nodo è la sede propria del Pattern 11 e attiva altresì il Pattern 10, l'analisi della convergenza spaziale, giacché Lisbona si aggiunge alle capitali iberiche quale zona di addensamento dell'eversione internazionale che i capitoli successivi, con le latitanze spagnole, confermeranno.</w:t>
      </w:r>
    </w:p>
    <w:p>
      <w:pPr>
        <w:spacing w:after="120" w:line="276"/>
        <w:jc w:val="both"/>
      </w:pPr>
      <w:r>
        <w:rPr>
          <w:rFonts w:ascii="Barlow Semi Condensed" w:cs="Barlow Semi Condensed" w:eastAsia="Barlow Semi Condensed" w:hAnsi="Barlow Semi Condensed"/>
          <w:sz w:val="24"/>
          <w:szCs w:val="24"/>
        </w:rPr>
        <w:t xml:space="preserve">Attorno al direttore, le carte sequestrate censiscono il nucleo ristretto dei formatori e degli operativi, con biografie che costituiscono esse stesse un reperto sociologico: uomini di provenienza analoga alla sua, reduci del collaborazionismo bellico e delle guerre coloniali perdute, tra i quali il francese Robert Leroy, impiegati nella formazione alla guerriglia ed alla contro-guerriglia, nelle tecniche di sabotaggio e nella comunicazione clandestina che i materiali interni documentano quale repertorio didattico della centrale, Livello A quanto alle identità, alle provenienze ed al repertorio documentati dagli archivi. La composizione del nucleo consegna all'analisi la genealogia professionale dell'internazionale nera: non una generazione ideologica nuova, ma il riciclo organizzato delle competenze operative maturate nei conflitti perduti del ventennio precedente, dall'Europa occupata all'Algeria, secondo quella continuità di uomini e di tecniche che fa della centrale di Lisbona il punto di raccordo tra 2 epoche della sovversione, ed il precedente diretto della merce apolide, la competenza militante quale servizio esportabile, che il capitolo successivo ritroverà nella biografia del militante globale.</w:t>
      </w:r>
    </w:p>
    <w:p>
      <w:pPr>
        <w:spacing w:after="120" w:line="276"/>
        <w:jc w:val="both"/>
      </w:pPr>
      <w:r>
        <w:rPr>
          <w:rFonts w:ascii="Barlow Semi Condensed" w:cs="Barlow Semi Condensed" w:eastAsia="Barlow Semi Condensed" w:hAnsi="Barlow Semi Condensed"/>
          <w:sz w:val="24"/>
          <w:szCs w:val="24"/>
        </w:rPr>
        <w:t xml:space="preserve">Quanto al destino giudiziario della centrale, il registro censisce l'asimmetria che lo definisce: gli atti istruttori italiani raggiunsero la struttura ed i suoi uomini con mandati ed imputazioni, ma nessun processo poté mai celebrarsi nei confronti del suo direttore, che si rese irreperibile dopo la caduta del regime portoghese e le cui tracce si perdono nei decenni successivi senza che un accertamento pubblico ne abbia mai fissato la sorte, Livello A quanto alla mancata sottoposizione a giudizio, Livello C quanto ad ogni ricostruzione del dopo. La centrale meglio documentata della stagione è così, ad un tempo, la meno giudicata: paradosso soltanto apparente, giacché la documentazione fu resa possibile dalla caduta di uno Stato straniero e la giudicabilità avrebbe richiesto la cooperazione di molti, e la fase consegna alla Fase 5 questa forbice tra il sapere degli archivi ed il potere delle giurisdizioni quale variabile strutturale di ogni contabilità internazionale.</w:t>
      </w:r>
    </w:p>
    <w:p>
      <w:pPr>
        <w:spacing w:after="120" w:line="276"/>
        <w:jc w:val="both"/>
      </w:pPr>
      <w:r>
        <w:rPr>
          <w:rFonts w:ascii="Barlow Semi Condensed" w:cs="Barlow Semi Condensed" w:eastAsia="Barlow Semi Condensed" w:hAnsi="Barlow Semi Condensed"/>
          <w:sz w:val="24"/>
          <w:szCs w:val="24"/>
        </w:rPr>
        <w:t xml:space="preserve">Il rapporto della centrale con lo Stato ospitante va infine documentato nella sua materialità, perché esso distingue Aginter da ogni struttura semplicemente tollerata: le carte sequestrate comprendono la corrispondenza operativa con la polizia politica del regime, attestante scambi informativi, coperture documentali e cooperazioni di servizio che configurano la centrale non quale ospite ma quale appaltatore, un organismo privato integrato nel dispositivo di sicurezza dello Stato salazarista e da esso impiegato sui teatri, africani ed europei, dove la mano ufficiale non poteva mostrarsi, Livello A quanto ai rapporti documentati dalle carte. È la configurazione che la Nota metodologica denomina simbiosi ospite-apparato: qui essa giace agli atti nella forma più nuda, il carteggio tra il covo e la questura, e vale quale pietra di paragone per l'intera fase, il caso in cui l'accoppiamento tra il Dominio 3 ed il Dominio 7, altrove inferito dai comportamenti, è scritto dalle parti stesse. Che un simile grado di integrazione sia divenuto conoscibile solo per il collasso rivoluzionario dello Stato protettore chiude il ragionamento sul metodo: la simbiosi è per costruzione invisibile finché il protettore vive, e la statistica delle nostre conoscenze sui santuari è perciò una statistica dei regimi caduti, con le distorsioni prospettiche che il capitolo 9 della Fase 5 misurerà sotto il nome di effetto lampione.</w:t>
      </w:r>
    </w:p>
    <w:p>
      <w:pPr>
        <w:spacing w:after="120" w:line="276"/>
        <w:jc w:val="both"/>
      </w:pPr>
      <w:r>
        <w:rPr>
          <w:rFonts w:ascii="Barlow Semi Condensed" w:cs="Barlow Semi Condensed" w:eastAsia="Barlow Semi Condensed" w:hAnsi="Barlow Semi Condensed"/>
          <w:sz w:val="24"/>
          <w:szCs w:val="24"/>
        </w:rPr>
        <w:t xml:space="preserve">Il profilo del direttore merita la scheda biografica che le carte sequestrate e la storiografia convergente consentono, perché la centrale fu, in misura rara, l'estensione organizzativa di un solo percorso individuale. Yves Guillou, in religione operativa Guérin-Sérac, ufficiale francese formatosi nei teatri di Corea e d'Algeria, approdato all'Organisation Armée Secrète nella stagione terminale dell'Algeria francese e quindi, dopo la sconfitta, all'esilio iberico, congiunse in sé le 3 componenti che la struttura di Lisbona avrebbe istituzionalizzato: la competenza militare nella guerra non convenzionale, l'integralismo cattolico di crociata quale orizzonte dottrinale, e la disponibilità del santuario portoghese quale base territoriale, Livello A quanto al percorso documentato dalle carte e dalle fonti convergenti. Il registro ne trae la definizione morfologica del nodo: Aginter non fu una filiale di apparati altrui ma una impresa ideologica in proprio, che vendette servizi, formazione, informazione, copertura, a committenti di volta in volta diversi, e questa natura mercenaria su base dottrinale, apparentemente contraddittoria, è la chiave che spiega la trasversalità delle sue proiezioni certificate.</w:t>
      </w:r>
    </w:p>
    <w:p>
      <w:pPr>
        <w:spacing w:after="120" w:line="276"/>
        <w:jc w:val="both"/>
      </w:pPr>
      <w:r>
        <w:rPr>
          <w:rFonts w:ascii="Barlow Semi Condensed" w:cs="Barlow Semi Condensed" w:eastAsia="Barlow Semi Condensed" w:hAnsi="Barlow Semi Condensed"/>
          <w:sz w:val="24"/>
          <w:szCs w:val="24"/>
        </w:rPr>
        <w:t xml:space="preserve">Dalla medesima natura discende il metodo, che i documenti interni sequestrati consegnano con una franchezza senza equivalenti nel registro: i corsi di formazione impartiti nella base portoghese contemplavano, accanto all'addestramento tecnico, la dottrina dell'infiltrazione negli ambienti dell'estrema sinistra e della provocazione sotto falsa bandiera, l'azione compiuta in modo da essere attribuita all'avversario, teorizzata nei materiali dottrinali della centrale quale strumento ordinario della guerra rivoluzionaria rovesciata, Livello A quanto al contenuto dei documenti sequestrati. Il registro sottolinea la portata epistemologica del reperto: la falsa bandiera, che nella pubblicistica è categoria inflazionata sino all'inservibilità, esiste qui non quale ipotesi ricostruttiva ma quale voce di programma didattico scritta dagli stessi operatori, e questa autodescrizione documentale, come già il Piano di Rinascita per la loggia, vale quale certificazione della grammatica delle intenzioni, ferma restando, per ogni singolo evento italiano, la necessità del riscontro specifico che la Regola Ferrea impone. All'opposto estremo dello spettro probatorio, il corpus di verifica ha sottoposto a stress-test documentale anche la più suggestiva delle connessioni evocate dalla pubblicistica internazionale attorno alla centrale, quella con i vertici della diplomazia atlantica dell'epoca: l'esito, uno Stato Zero pieno, nessun documento, nessun atto, nessuna convergenza che sostenga il collegamento, è consegnato al registro con il medesimo rilievo delle presenze, a dimostrazione operante che il metodo qui praticato cerca le connessioni per trovarle quando esistono e per escluderle quando non esistono, e che la seconda operazione non è meno feconda della prima.</w:t>
      </w:r>
    </w:p>
    <w:p>
      <w:pPr>
        <w:spacing w:after="120" w:line="276"/>
        <w:jc w:val="both"/>
      </w:pPr>
      <w:r>
        <w:rPr>
          <w:rFonts w:ascii="Barlow Semi Condensed" w:cs="Barlow Semi Condensed" w:eastAsia="Barlow Semi Condensed" w:hAnsi="Barlow Semi Condensed"/>
          <w:sz w:val="24"/>
          <w:szCs w:val="24"/>
        </w:rPr>
        <w:t xml:space="preserve">Alla copertura giornalistica della centrale va riconosciuta la sua funzione operativa specifica, che le carte sequestrate documentano nel dettaglio: l'agenzia rilasciava ai propri operativi tesserini di corrispondente, credenziali di stampa che valevano quali lasciapassare universali negli scenari di crisi, consentendo movimenti, accessi e permanenze che nessuna copertura commerciale avrebbe garantito, e la rete dei corrispondenti dichiarati coincideva, in misura documentata, con la rete degli agenti e dei formatori, Livello A quanto al sistema delle credenziali ed alla coincidenza censita nelle carte. Il registro eleva il dettaglio a teorema del Dominio 8: la stampa non fu, per la centrale, un travestimento ma un'infrastruttura, giacché lo statuto del giornalista, nato per proteggere l'osservatore, è convertibile senza residui nella protezione dell'operatore, ed il tesserino che apre le linee del fronte all'inviato le apre, identico, all'infiltrato. La fase consegna il teorema alla Fase 4, dove la figura del giornalista quale terminale di flussi riservati tornerà al centro della scena con il caso Pecorelli: mutati i teatri, la convertibilità dello statuto resta, e con essa il problema, che il registro può censire ma non risolvere, di un dominio la cui funzione costituzionale, osservare il potere, è strutturalmente esposta alla cattura da parte dell'osservato.</w:t>
      </w:r>
    </w:p>
    <w:p>
      <w:pPr>
        <w:spacing w:after="120" w:line="276"/>
        <w:jc w:val="both"/>
      </w:pPr>
      <w:r>
        <w:rPr>
          <w:rFonts w:ascii="Barlow Semi Condensed" w:cs="Barlow Semi Condensed" w:eastAsia="Barlow Semi Condensed" w:hAnsi="Barlow Semi Condensed"/>
          <w:sz w:val="24"/>
          <w:szCs w:val="24"/>
        </w:rPr>
        <w:t xml:space="preserve">Il fascicolo italiano dell'agenzia si apre con le missioni documentate dalle carte di Lisbona, che il registro censisce quale contatto fisico tra la centrale e il teatro: tra il 1967 ed il 1968 l'archivio attesta viaggi in Italia di uomini della struttura, con il luogotenente censito nel capitolo quale principale operatore delle trasferte, incontri con esponenti degli ambienti dell'estrema destra italiana che la fase terza ha processualmente ricostruito, e relazioni di missione conservate nel fondo portoghese che documentano la mappatura dei gruppi, dei referenti e delle possibilità operative della penisola, Livello A quanto ai viaggi ed alle relazioni risultanti dalle carte, Livello B quanto alla portata operativa dei contatti quale ricostruita dalle istruttorie italiane. Il registro fissa il valore cronologico del reperto, che è il suo vero contenuto: le missioni italiane dell'agenzia precedono di mesi la stagione inaugurata il 12 dicembre 1969, collocando il contatto tra la centrale lisboeta e gli ambienti italiani prima e non dopo l'inizio della campagna, e questa priorità temporale, certificata da un archivio straniero indipendente dalle fonti italiane, è uno dei pochissimi punti dell'intero corpus internazionale in cui la sequenza contatto-evento è documentalmente ordinata nel verso che le ipotesi di preparazione richiedono, con la disciplina che il registro ribadisce: l'ordine temporale rende possibile l'inferenza, non la compie, e ciò che le carte provano è che gli uomini si conobbero prima delle bombe, non che le bombe nacquero da quella conoscenza.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Aginter Press è certificato al Livello A, sul fondamento eccezionale dei suoi archivi sequestrati nel 1974, quale centrale clandestina anticomunista operante a Lisbona dal 1966 sotto copertura di agenzia di stampa, diretta da Yves Guérin-Sérac e raccordata alla polizia politica portoghese; i collegamenti con gli ambienti dell'eversione nera italiana sono certificati al Livello B, mentre l'attribuzione di un ruolo operativo in specifici eventi stragisti resta al Livello C, non essendo mai stata giudizialmente accertata; l'isomorfismo strutturale con Hyperion, in assenza di ogni connessione operativa documentata, è recepito quale reperto comparativo di Livello A e rinviato per la trattazione alla Fase 4; la collocazione integralmente occidentale e anticomunista della struttura milita, ancora una volta, contro l'ipotesi H1.</w:t>
      </w:r>
    </w:p>
    <w:p>
      <w:pPr>
        <w:pStyle w:val="Heading3"/>
        <w:spacing w:after="80" w:before="160"/>
      </w:pPr>
      <w:r>
        <w:rPr>
          <w:rFonts w:ascii="Barlow Semi Condensed" w:cs="Barlow Semi Condensed" w:eastAsia="Barlow Semi Condensed" w:hAnsi="Barlow Semi Condensed"/>
          <w:sz w:val="24"/>
          <w:szCs w:val="24"/>
        </w:rPr>
        <w:t xml:space="preserve">Capitolo 5 — ▶ Stefano Delle Chiaie. Il militante globale e la disciplina delle assoluzioni</w:t>
      </w:r>
    </w:p>
    <w:p>
      <w:pPr>
        <w:spacing w:after="120" w:line="276"/>
        <w:jc w:val="both"/>
      </w:pPr>
      <w:r>
        <w:rPr>
          <w:rFonts w:ascii="Barlow Semi Condensed" w:cs="Barlow Semi Condensed" w:eastAsia="Barlow Semi Condensed" w:hAnsi="Barlow Semi Condensed"/>
          <w:sz w:val="24"/>
          <w:szCs w:val="24"/>
        </w:rPr>
        <w:t xml:space="preserve">Stefano Delle Chiaie, nato a Caserta il 13 settembre 1936 e morto a Roma il 10 settembre 2019, fondatore di Avanguardia Nazionale, è il nodo che riceve in questa fase la trattazione propria che le fasi precedenti gli avevano promesso, e che il registro affronta quale caso limite della propria disciplina: il militante più frequentemente nominato dell'intero corpus, presente in ogni snodo della stagione eversiva e in 3 continenti, e al contempo mai condannato per alcuna strage, assolto in via definitiva in ogni processo che lo ha visto imputato per i grandi eventi. La scansione del corpus lo registra 997 volte in 46 documenti, la massima frequenza individuale del versante eversivo. Il nodo salda il Dominio 7 alla sua proiezione internazionale, e costituisce il ponte biografico verso la Fase 5, giacché la sua traiettoria attraversa la Spagna franchista, il Cile di Pinochet e la Bolivia dei regimi militari.</w:t>
      </w:r>
    </w:p>
    <w:p>
      <w:pPr>
        <w:spacing w:after="120" w:line="276"/>
        <w:jc w:val="both"/>
      </w:pPr>
      <w:r>
        <w:rPr>
          <w:rFonts w:ascii="Barlow Semi Condensed" w:cs="Barlow Semi Condensed" w:eastAsia="Barlow Semi Condensed" w:hAnsi="Barlow Semi Condensed"/>
          <w:sz w:val="24"/>
          <w:szCs w:val="24"/>
        </w:rPr>
        <w:t xml:space="preserve">La ricostruzione biografica muove dalla fondazione di Avanguardia Nazionale, l'organizzazione della destra radicale costituita da Delle Chiaie a Roma nel 1960 e divenuta, accanto a Ordine Nuovo, il secondo polo dell'eversione nera; anche Avanguardia Nazionale fu colpita dalla normativa contro la ricostituzione del partito fascista, con condanne dei suoi dirigenti e scioglimento disposto con decreto ministeriale nel giugno 1976. Il registro certifica al Livello A la fondazione, la natura e lo scioglimento dell'organizzazione, e certifica parimenti al Livello A, quale fatto già esposto nella Fase 2, la partecipazione dell'area di Avanguardia Nazionale, con il suo fondatore quale figura di riferimento, alla notte del tentativo Borghese del dicembre 1970, nel settore operativo che avrebbe dovuto occupare il Ministero dell'interno; quanto alla posizione personale di Delle Chiaie in quel procedimento, l'esito fu assolutorio, come per la generalità degli imputati nella sentenza d'appello del 1984, e il registro lo riporta per esteso, mantenendo al Livello B la sua partecipazione materiale all'azione della notte, quale dato convergente delle ricostruzioni dibattimentali non consacrato da condanna.</w:t>
      </w:r>
    </w:p>
    <w:p>
      <w:pPr>
        <w:spacing w:after="120" w:line="276"/>
        <w:jc w:val="both"/>
      </w:pPr>
      <w:r>
        <w:rPr>
          <w:rFonts w:ascii="Barlow Semi Condensed" w:cs="Barlow Semi Condensed" w:eastAsia="Barlow Semi Condensed" w:hAnsi="Barlow Semi Condensed"/>
          <w:sz w:val="24"/>
          <w:szCs w:val="24"/>
        </w:rPr>
        <w:t xml:space="preserve">Il primo pilastro probatorio è la latitanza intercontinentale, che il registro certifica al Livello A nei suoi fatti e assume quale mappa vivente della geografia internazionale dell'eversione. Espatriato clandestinamente dopo il dicembre 1970, Delle Chiaie visse latitante per 17 anni: dapprima nella Spagna franchista, dove l'area dei fuoriusciti italiani trovò accoglienza sino alla morte di Francisco Franco nel 1975 e oltre; quindi in America Latina, con presenza documentata nel Cile del regime di Pinochet, in rapporto con ambienti della polizia segreta di quel regime, e successivamente nella Bolivia dei governi militari, negli anni del golpe del 1980, in un contesto nel quale operavano reduci e criminali di guerra della diaspora nazista. Fu arrestato a Caracas, in Venezuela, il 27 marzo 1987 ed estradato in Italia. Il registro certifica al Livello A la sequenza della latitanza, dell'arresto e dell'estradizione, quali fatti documentati; certifica al Livello B, sul fondamento delle convergenti risultanze istruttorie e documentali internazionali, i rapporti dell'area di Delle Chiaie con ambienti degli apparati cileni e con il contesto boliviano dei primi anni Ottanta; e rinvia alla Fase 5 la trattazione propria di quel teatro, limitandosi qui ad annotare che la traiettoria del nodo disegna, da sola, la rotta strutturale che collega l'eversione europea ai regimi autoritari iberici e latinoamericani, la medesima rotta che la Fase 5 percorrerà con il Pattern 4 dell'analisi dei flussi.</w:t>
      </w:r>
    </w:p>
    <w:p>
      <w:pPr>
        <w:spacing w:after="120" w:line="276"/>
        <w:jc w:val="both"/>
      </w:pPr>
      <w:r>
        <w:rPr>
          <w:rFonts w:ascii="Barlow Semi Condensed" w:cs="Barlow Semi Condensed" w:eastAsia="Barlow Semi Condensed" w:hAnsi="Barlow Semi Condensed"/>
          <w:sz w:val="24"/>
          <w:szCs w:val="24"/>
        </w:rPr>
        <w:t xml:space="preserve">Il secondo pilastro è la sequenza integrale delle assoluzioni, che il registro espone per esteso quale adempimento del suo obbligo più severo. Estradato, Delle Chiaie fu processato per la strage di piazza Fontana nel troncone catanzarese e ne fu assolto dalla Corte d'assise di Catanzaro il 20 febbraio 1989, con pronuncia divenuta definitiva; per il tentativo Borghese, la sua posizione si era chiusa con l'esito assolutorio della sentenza d'appello del 1984; per la strage di Bologna non fu mai rinviato a giudizio. Egli è dunque morto, nel settembre 2019, senza aver riportato alcuna condanna per fatti di strage, e questa è la sua condizione giuridica perpetua, che il registro certifica al Livello A e antepone a ogni considerazione. Il registro dichiara qui, con la nettezza che il caso impone, la funzione metodologica del nodo: Delle Chiaie è il banco di prova della disciplina delle assoluzioni, perché nessun altro nome del versante eversivo è stato tanto insistentemente associato, nella pubblicistica e in parte degli atti, alla regia occulta della stagione; e nessun altro nome presenta un divario altrettanto ampio tra la densità del sospetto e l'esito dei giudizi. Il registro rappresenta entrambi i termini: la centralità documentale del nodo, che è un fatto misurabile, e l'integralità delle assoluzioni, che è un fatto giuridico; e vieta a sé stesso di colmare il divario in una delle 2 direzioni, né trattando la centralità quale prova di colpevolezza sfuggita ai giudici, né trattando le assoluzioni quale prova di estraneità storica a un ambiente nel quale la presenza del nodo è documentata al massimo livello.</w:t>
      </w:r>
    </w:p>
    <w:p>
      <w:pPr>
        <w:spacing w:after="120" w:line="276"/>
        <w:jc w:val="both"/>
      </w:pPr>
      <w:r>
        <w:rPr>
          <w:rFonts w:ascii="Barlow Semi Condensed" w:cs="Barlow Semi Condensed" w:eastAsia="Barlow Semi Condensed" w:hAnsi="Barlow Semi Condensed"/>
          <w:sz w:val="24"/>
          <w:szCs w:val="24"/>
        </w:rPr>
        <w:t xml:space="preserve">Il terzo pilastro è il rapporto con Aginter Press, che il capitolo precedente ha introdotto e che la monografia dedicata del corpus ha vagliato. Gli atti istruttori e parte della documentazione internazionale collocano Delle Chiaie in contatto con la centrale di Lisbona e con il suo direttore, nel quadro della circolazione di uomini e materiali tra gli ambienti dell'eversione anticomunista europea; la qualificazione di tale rapporto, quale collaborazione organica ovvero quale contiguità di ambiente, è rimasta controversa negli stessi atti. Il registro certifica al Livello B l'esistenza di contatti tra Delle Chiaie e l'orbita di Aginter Press, e mantiene al Livello C ogni qualificazione organica del rapporto, in conformità alle conclusioni della verifica monografica.</w:t>
      </w:r>
    </w:p>
    <w:p>
      <w:pPr>
        <w:spacing w:after="120" w:line="276"/>
        <w:jc w:val="both"/>
      </w:pPr>
      <w:r>
        <w:rPr>
          <w:rFonts w:ascii="Barlow Semi Condensed" w:cs="Barlow Semi Condensed" w:eastAsia="Barlow Semi Condensed" w:hAnsi="Barlow Semi Condensed"/>
          <w:sz w:val="24"/>
          <w:szCs w:val="24"/>
        </w:rPr>
        <w:t xml:space="preserve">Il quarto pilastro è l'apparato dichiarativo del nodo, che il registro sottopone alla disciplina dell'Indice di Contaminazione della Fonte. Rientrato in Italia e definite le proprie vicende processuali, Delle Chiaie fu ripetutamente audito dalle commissioni parlamentari d'inchiesta, e sino alla morte rese dichiarazioni pubbliche, interviste e memorie nelle quali rivendicò la propria estraneità alle stragi, denunciò l'uso strumentale del suo nome quale capro espiatorio della stagione, e offrì ricostruzioni degli ambienti e degli eventi che attraversò. Il registro tratta questo apparato con la graduazione che il metodo impone. Le dichiarazioni contra se sono pressoché assenti, giacché il dichiarante ha costantemente negato ogni responsabilità, e la loro assenza priva l'apparato del suo ancoraggio di massimo valore; le dichiarazioni su terzi e sul sistema provengono da un dichiarante che fu parte in causa dell'intera stagione, portatore di un interesse difensivo e narrativo permanente, e il registro le assume quali fonti di Livello C, utilizzabili soltanto ove trovino riscontro autonomo, secondo la regola che vieta di elevare la voce di un protagonista a fonte della propria vicenda. Il registro annota nondimeno un dato che la disciplina non cancella: la coerenza pluridecennale della protesta di innocenza di un uomo che, avendo affrontato i processi dopo 17 anni di latitanza, ne uscì integralmente assolto, appartiene ai fatti del nodo al pari della densità dei sospetti che lo circondarono; e la compresenza dei 2 dati, la protesta assolta e il sospetto documentale, è la sostanza stessa del caso limite che il capitolo ha dichiarato in apertura, e che il registro consegna alla riflessione senza scioglierla in una direzione che le fonti non autorizzano.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Delle Chiaie-Avanguardia Nazionale-tentativo Borghese, è il triangolo nazionale, certificato al Livello A quanto all'organizzazione e al fatto storico del tentativo, al Livello B quanto alla partecipazione materiale personale, con l'esito assolutorio riportato. La seconda, Delle Chiaie-Spagna-America Latina, è il triangolo della latitanza intercontinentale, certificato al Livello A nei fatti e al Livello B nei rapporti con gli apparati dei regimi ospitanti, ponte dichiarato verso la Fase 5. La terza, Delle Chiaie-Aginter Press-Guérin-Sérac, è il triangolo internazionale europeo, certificato al Livello B quanto ai contatti e al Livello C quanto all'organicità. Sul piano dei pattern, il nodo presenta la più alta betweenness del versante eversivo, quale intermediario documentato tra l'eversione italiana, quella iberica e quella latinoamericana, secondo il Pattern 1; e attiva il Pattern 7 nella variante geografica delle migrazioni tra giurisdizioni, di cui costituisce il caso più esteso dell'opera.</w:t>
      </w:r>
    </w:p>
    <w:p>
      <w:pPr>
        <w:spacing w:after="120" w:line="276"/>
        <w:jc w:val="both"/>
      </w:pPr>
      <w:r>
        <w:rPr>
          <w:rFonts w:ascii="Barlow Semi Condensed" w:cs="Barlow Semi Condensed" w:eastAsia="Barlow Semi Condensed" w:hAnsi="Barlow Semi Condensed"/>
          <w:sz w:val="24"/>
          <w:szCs w:val="24"/>
        </w:rPr>
        <w:t xml:space="preserve">La geografia della latitanza merita le sue stazioni documentate, perché i 17 anni di fuga costituiscono la più estesa mappa individuale della protezione internazionale che il registro possieda. La prima stazione fu la Spagna dell'ultimo franchismo, approdo comune dell'eversione continentale, dove il fondatore di Avanguardia Nazionale operò nel reticolo degli esuli che i capitoli precedenti hanno censito; la seconda fu il Cono Sur della stagione dei regimi militari, con la presenza documentata negli ambienti operativi cileni successivi al golpe del 1973, secondo quanto emerso dagli atti istruttori italiani e dalle carte delle giurisdizioni latinoamericane, Livello A quanto ai soggiorni, Livello B quanto ai singoli contenuti operativi, ciascuno rinviato ai rispettivi accertamenti; la terza fu l'area andina, sino alla Bolivia della svolta autoritaria del 1980, teatro nel quale le ricostruzioni collocano la sua orbita tra gli apparati del nuovo regime, Livello B. La parabola si chiuse a Caracas, con l'arresto del marzo 1987 e l'estradizione in Italia, che aprì la stagione processuale domestica il cui esito integralmente assolutorio il capitolo ha già riportato per esteso, Livello A quanto ad arresto, estradizione ed esiti. Il registro consegna la mappa alla sua funzione analitica: le 4 stazioni coincidono, una per una, con gli hub della geografia internazionale che la Fase 5 certificherà, e la biografia del latitante vale perciò quale carotaggio vivente del sistema dei santuari, l'itinerario individuale che disegna, percorrendola, la rete.</w:t>
      </w:r>
    </w:p>
    <w:p>
      <w:pPr>
        <w:spacing w:after="120" w:line="276"/>
        <w:jc w:val="both"/>
      </w:pPr>
      <w:r>
        <w:rPr>
          <w:rFonts w:ascii="Barlow Semi Condensed" w:cs="Barlow Semi Condensed" w:eastAsia="Barlow Semi Condensed" w:hAnsi="Barlow Semi Condensed"/>
          <w:sz w:val="24"/>
          <w:szCs w:val="24"/>
        </w:rPr>
        <w:t xml:space="preserve">Alla stagione del rientro appartiene infine l'ultimo strato dichiarativo, che il registro sottopone alla propria disciplina della fonte. Definite le proprie pendenze con la sequenza di assoluzioni censita, Delle Chiaie divenne negli anni 90 un deponente ricorrente delle sedi parlamentari, audito dalla Commissione stragi, e un intervistato assiduo della pubblicistica, consegnando una autonarrazione nella quale rivendicava l'autonomia dell'eversione nazionale da ogni regia di apparato e respingeva ogni addebito stragista: materiale che il registro classifica al Livello C quale fonte di parte massimamente interessata, annotando il paradosso metodologico che essa incarna. L'uomo che la giustizia non è riuscita a condannare è divenuto, negli ultimi decenni, una delle fonti orali più citate sulla stagione che lo vide imputato: sicché la memoria pubblica del periodo si è in parte costruita sulla voce del suo protagonista più controverso, ed il registro, che a quella voce non concede promozioni di livello, ne censisce tuttavia l'esistenza quale dato sociologico, l'assolto quale storico di sé stesso, ultima e più raffinata forma della centralità che la rete gli aveva assegnato.</w:t>
      </w:r>
    </w:p>
    <w:p>
      <w:pPr>
        <w:spacing w:after="120" w:line="276"/>
        <w:jc w:val="both"/>
      </w:pPr>
      <w:r>
        <w:rPr>
          <w:rFonts w:ascii="Barlow Semi Condensed" w:cs="Barlow Semi Condensed" w:eastAsia="Barlow Semi Condensed" w:hAnsi="Barlow Semi Condensed"/>
          <w:sz w:val="24"/>
          <w:szCs w:val="24"/>
        </w:rPr>
        <w:t xml:space="preserve">La parabola dell'organizzazione fondata dal nodo va chiusa con il suo atto formale terminale, che replica in fotocopia la meccanica censita per Ordine Nuovo: nel giugno 1976 il Tribunale di Roma condannò il gruppo dirigente di Avanguardia Nazionale per ricostituzione del disciolto partito fascista, ed il ministro dell'interno ne decretò contestualmente lo scioglimento con confisca dei beni, secondo il doppio atto, giudiziario ed amministrativo, che 3 anni prima aveva chiuso la parabola formale del movimento gemello, Livello A quanto alla sequenza. La duplicazione della procedura sui 2 rami maggiori della destra radicale extraparlamentare consegna al registro un dato comparativo netto: la Repubblica applicò 2 volte, nell'arco di un triennio, lo strumento massimo della dissoluzione, e 2 volte lo strumento colpì organizzazioni la cui stagione operativa era già trascolorata nella clandestinità carsica, sicché l'ordinamento dimostrò di saper sciogliere ciò che era già liquido. Il registro annota la conclusione senza sarcasmo, perché essa contiene una verità istituzionale seria: gli strumenti della democrazia protetta operano sui corpi formali, e la loro efficacia si esaurisce esattamente sulla soglia oltre la quale l'avversario rinuncia alla forma, il che definisce, in negativo, il perimetro entro cui la repressione legale può giungere e oltre il quale devono lavorare, soli, l'investigazione ed il tempo.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Delle Chiaie è certificato al Livello A quale fondatore di Avanguardia Nazionale e quale figura a massima frequenza documentale del versante eversivo, con latitanza intercontinentale di 17 anni attraverso Spagna, Cile e Bolivia conclusa dall'arresto di Caracas del 27 marzo 1987; la sua condizione giuridica, certificata al Livello A e riportata per esteso, è l'assoluzione definitiva da ogni accusa di strage, da piazza Fontana nel 1989 all'esito assolutorio del procedimento Borghese, senza alcuna condanna per gli eventi della stagione; i rapporti con gli apparati dei regimi latinoamericani e con l'orbita di Aginter Press sono certificati al Livello B; il nodo è consegnato alla Fase 5 quale ponte biografico verso il teatro internazionale.</w:t>
      </w:r>
    </w:p>
    <w:p>
      <w:pPr>
        <w:pStyle w:val="Heading3"/>
        <w:spacing w:after="80" w:before="160"/>
      </w:pPr>
      <w:r>
        <w:rPr>
          <w:rFonts w:ascii="Barlow Semi Condensed" w:cs="Barlow Semi Condensed" w:eastAsia="Barlow Semi Condensed" w:hAnsi="Barlow Semi Condensed"/>
          <w:sz w:val="24"/>
          <w:szCs w:val="24"/>
        </w:rPr>
        <w:t xml:space="preserve">Capitolo 6 — ■ Peteano. La strage confessata, il depistaggio condannato e la strada verso Gladio</w:t>
      </w:r>
    </w:p>
    <w:p>
      <w:pPr>
        <w:spacing w:after="120" w:line="276"/>
        <w:jc w:val="both"/>
      </w:pPr>
      <w:r>
        <w:rPr>
          <w:rFonts w:ascii="Barlow Semi Condensed" w:cs="Barlow Semi Condensed" w:eastAsia="Barlow Semi Condensed" w:hAnsi="Barlow Semi Condensed"/>
          <w:sz w:val="24"/>
          <w:szCs w:val="24"/>
        </w:rPr>
        <w:t xml:space="preserve">La strage di Peteano, consumata il 31 maggio 1972 nella frazione di Sagrado, in provincia di Gorizia, è il nodo-evento attraverso il quale il registro certifica la configurazione probatoria più completa dell'intera stagione: l'unica strage della sequenza ad avere, congiuntamente, un esecutore reo confesso condannato in via definitiva, un depistaggio accertato con condanne di appartenenti alle forze dell'ordine e di un perito, e una filiazione istruttoria diretta verso la rivelazione della rete Gladio. La scansione del corpus registra Peteano 272 volte in 35 documenti e il nome di Vincenzo Vinciguerra 321 volte in 34. La sera del 31 maggio 1972 una telefonata anonima segnalò ai carabinieri di Gorizia una Fiat 500 abbandonata con fori di proiettile sul parabrezza; 3 militari giunti sul posto, il brigadiere Antonio Ferraro e i carabinieri Donato Poveromo e Franco Dongiovanni, furono uccisi dall'esplosione dell'ordigno collegato al cofano, e altri 2 rimasero feriti. Il registro ne trascrive i nomi quale atto dovuto.</w:t>
      </w:r>
    </w:p>
    <w:p>
      <w:pPr>
        <w:spacing w:after="120" w:line="276"/>
        <w:jc w:val="both"/>
      </w:pPr>
      <w:r>
        <w:rPr>
          <w:rFonts w:ascii="Barlow Semi Condensed" w:cs="Barlow Semi Condensed" w:eastAsia="Barlow Semi Condensed" w:hAnsi="Barlow Semi Condensed"/>
          <w:sz w:val="24"/>
          <w:szCs w:val="24"/>
        </w:rPr>
        <w:t xml:space="preserve">Il primo pilastro probatorio è il depistaggio, che il registro certifica al Livello A quale caso di scuola dell'ostruzione con condanne. Le indagini furono indirizzate dapprima verso una pista di delinquenza comune locale, che condusse all'incriminazione di 6 giovani goriziani, poi prosciolti, e furono viziate da una perizia sull'esplosivo che ne occultò la natura, redatta da un consulente, Marco Morin, che era egli stesso esponente dell'area ordinovista veneta e che fu successivamente condannato per falsa perizia; per le condotte di favoreggiamento e di inquinamento dell'accertamento riportarono condanna anche ufficiali dell'Arma dei carabinieri, tra i quali il colonnello Dino Mingarelli. Il registro certifica al Livello A, sul fondamento dei giudicati, il complesso del depistaggio di Peteano nelle sue 2 componenti, la falsa pista verso innocenti e la perizia falsata, e ne trae la qualificazione tipologica: il caso appartiene alla specie dell'ostruzione tecnico-istituzionale, nella quale l'inquinamento passa per l'atto peritale e per la condotta di appartenenti all'istituzione investigante, e la circostanza che il perito depistante provenisse dal medesimo ambiente della matrice costituisce l'anello di congiunzione, giudizialmente accertato, tra l'ambiente autore e l'apparato inquinante.</w:t>
      </w:r>
    </w:p>
    <w:p>
      <w:pPr>
        <w:spacing w:after="120" w:line="276"/>
        <w:jc w:val="both"/>
      </w:pPr>
      <w:r>
        <w:rPr>
          <w:rFonts w:ascii="Barlow Semi Condensed" w:cs="Barlow Semi Condensed" w:eastAsia="Barlow Semi Condensed" w:hAnsi="Barlow Semi Condensed"/>
          <w:sz w:val="24"/>
          <w:szCs w:val="24"/>
        </w:rPr>
        <w:t xml:space="preserve">Il secondo pilastro è la confessione e la condanna dell'esecutore. Nel 1984, nel quadro dell'istruttoria condotta dal giudice istruttore di Venezia Felice Casson, che aveva riaperto il caso rilevando le anomalie della prima inchiesta, Vincenzo Vinciguerra, militante ordinovista friulano transitato per Avanguardia Nazionale, rivendicò la strage assumendone la piena e solitaria responsabilità esecutiva, qualificandola quale atto di guerra contro lo Stato e rifiutando ogni beneficio premiale; fu condannato all'ergastolo con sentenza divenuta irrevocabile, e da allora sconta la pena senza aver mai chiesto misure alternative. Il registro certifica al Livello A, sul fondamento della confessione riscontrata e del giudicato, la responsabilità esecutiva di Vinciguerra, e tratta il suo apparato dichiarativo secondo la disciplina differenziata che l'Indice di Contaminazione della Fonte impone: le dichiarazioni contra se, culminate nella confessione, possiedono il massimo valore probatorio e sono certificate; le dichiarazioni su terzi e sul sistema, nelle quali Vinciguerra ha sostenuto per decenni che gli esecutori della stagione stragista furono protetti da una struttura di sicurezza atlantica annidata negli apparati, sono dichiarazioni di un condannato coerente ma non riscontrate nella loro estensione sistemica, e il registro le mantiene al Livello B ove convergano con accertamenti autonomi, come per la protezione di cui l'ambiente ordinovista friulano godette, e al Livello C ove restino affermazione generale non riscontrata.</w:t>
      </w:r>
    </w:p>
    <w:p>
      <w:pPr>
        <w:spacing w:after="120" w:line="276"/>
        <w:jc w:val="both"/>
      </w:pPr>
      <w:r>
        <w:rPr>
          <w:rFonts w:ascii="Barlow Semi Condensed" w:cs="Barlow Semi Condensed" w:eastAsia="Barlow Semi Condensed" w:hAnsi="Barlow Semi Condensed"/>
          <w:sz w:val="24"/>
          <w:szCs w:val="24"/>
        </w:rPr>
        <w:t xml:space="preserve">Il terzo pilastro è la filiazione istruttoria verso Gladio, che salda il nodo alla Fase 2 e costituisce uno dei reperti di connessione più netti dell'intera opera. Fu l'istruttoria Casson su Peteano che, seguendo la pista dell'esplosivo e dei depositi, giunse nel 1990 a chiedere e ottenere l'accesso agli archivi del servizio militare, e fu da quel percorso istruttorio che scaturì, il 24 ottobre 1990, la rivelazione ufficiale dell'esistenza della rete stay-behind da parte del presidente del Consiglio Andreotti, certificata nella Fase 2. Il registro certifica al Livello A la sequenza istruttoria che dal caso Peteano condusse alla rivelazione di Gladio, quale fatto storico documentato; e ne precisa i limiti con il rigore consueto: la sequenza certifica che l'indagine su una strage condusse alla scoperta della rete clandestina, non che la rete clandestina eseguì o ordinò la strage, la cui responsabilità esecutiva è attribuita dal giudicato al solo Vinciguerra; il rapporto tra la strage e la rete resta definito dai materiali, l'esplosivo e l'ambiente, e dalla protezione goduta, non da un mandato accertato, e la distinzione tra la connessione materiale-ambientale, documentata, e la connessione di mandato, non provata, è l'ultima applicazione della Regola Ferrea che il capitolo consegna.</w:t>
      </w:r>
    </w:p>
    <w:p>
      <w:pPr>
        <w:spacing w:after="120" w:line="276"/>
        <w:jc w:val="both"/>
      </w:pPr>
      <w:r>
        <w:rPr>
          <w:rFonts w:ascii="Barlow Semi Condensed" w:cs="Barlow Semi Condensed" w:eastAsia="Barlow Semi Condensed" w:hAnsi="Barlow Semi Condensed"/>
          <w:sz w:val="24"/>
          <w:szCs w:val="24"/>
        </w:rPr>
        <w:t xml:space="preserve">Il quarto pilastro è la pista dell'esplosivo, che costituisce il segmento tecnico della riapertura e la cerniera materiale tra il nodo e la scoperta della rete clandestina. La perizia falsata del primo procedimento aveva occultato la natura dell'esplosivo impiegato; la riapertura istruttoria degli anni Ottanta ripartì precisamente da lì, dalla rideterminazione tecnica del materiale esplodente e dalla ricerca della sua provenienza, e fu seguendo la catena dell'esplosivo, dei detonatori e dei depositi occultati sul territorio nordorientale che l'istruttoria veneziana giunse a interrogarsi sull'esistenza di strutture clandestine dotate di depositi di armi ed esplosivi, sino alla richiesta di accesso agli archivi del servizio militare che produsse la rivelazione dell'ottobre 1990. Il registro certifica al Livello A la sequenza tecnico-istruttoria, quale percorso documentato negli atti, e ne dichiara il valore metodologico: è l'applicazione più compiuta, nell'intera opera, del paradigma indiziario assunto a fondamento della metodologia, giacché fu il dettaglio materiale, l'incongruenza di una perizia su un composto esplodente, a costituire la traccia dalla quale l'accertamento risalì, attraverso la catena delle provenienze, sino a una struttura dello Stato rimasta occulta per 4 decenni; la traiettoria dalla traccia alla struttura, compiuta in 18 anni di lavoro istruttorio, è la dimostrazione empirica che il metodo delle tracce, applicato con ostinazione, penetra anche gli occultamenti istituzionalmente presidiati. Il registro ribadisce, a chiusura del pilastro, la delimitazione già posta: la catena materiale documenta la contiguità di ambienti e di depositi, non trasferisce il mandato della strage dalla persona del condannato alla struttura scoperta, e l'inferenza resta vietata.</w:t>
      </w:r>
    </w:p>
    <w:p>
      <w:pPr>
        <w:spacing w:after="120" w:line="276"/>
        <w:jc w:val="both"/>
      </w:pPr>
      <w:r>
        <w:rPr>
          <w:rFonts w:ascii="Barlow Semi Condensed" w:cs="Barlow Semi Condensed" w:eastAsia="Barlow Semi Condensed" w:hAnsi="Barlow Semi Condensed"/>
          <w:sz w:val="24"/>
          <w:szCs w:val="24"/>
        </w:rPr>
        <w:t xml:space="preserve">Il quinto pilastro è la latitanza spagnola di Vinciguerra, che salda il nodo al capitolo precedente e completa la mappa della protezione. Dopo la strage, Vinciguerra riparò all'estero e trascorse parte della latitanza nella Spagna degli anni Settanta, nell'ambiente dei fuoriusciti dell'eversione italiana che gravitava attorno alle figure già censite, prima di essere arrestato e di rientrare nel circuito giudiziario italiano; ed è lo stesso Vinciguerra ad aver dichiarato, nel proprio apparato dichiarativo, che la protezione goduta in quegli anni dall'ambiente dei latitanti costituiva la prova vivente dell'esistenza di una rete di copertura. Il registro certifica al Livello A il fatto della latitanza estera e della sua collocazione nell'ambiente dei fuoriusciti, quale dato documentato; certifica al Livello B la protezione ambientale goduta dai latitanti dell'area nella Spagna dell'epoca, quale dato convergente di una pluralità di fonti e di vicende, ivi compresa quella di Delle Chiaie esposta nel capitolo precedente; e mantiene la qualificazione della protezione quale prova di una rete istituzionale unitaria al livello delle dichiarazioni del suo assertore, secondo la graduazione già stabilita. L'annotazione reticolare è tuttavia dovuta: la ricorrenza della medesima destinazione iberica nelle traiettorie di latitanza dei nodi della fase, da Delle Chiaie a Vinciguerra, e prima ancora nella rotta del finanziamento franchista censito nella Fase 2 sul nodo Borghese, qualifica la Spagna dell'ultimo franchismo quale zona di convergenza spaziale del Pattern 10, il territorio nel quale l'eversione italiana trovò rifugio, ambiente e retrovia; la certificazione della zona è di Livello A quanto alla ricorrenza dei fatti, e la Fase 5 ne farà uno dei propri teatri.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Peteano-falsa pista-perizia Morin, è il triangolo del depistaggio condannato, certificato al Livello A dai giudicati a carico del perito e degli ufficiali. La seconda, Peteano-Vinciguerra-confessione, è il triangolo della responsabilità esecutiva, certificato al Livello A dalla confessione riscontrata e dal giudicato. La terza, Peteano-istruttoria Casson-rivelazione di Gladio, è il triangolo della filiazione istruttoria, certificato al Livello A quanto alla sequenza storica e rigorosamente delimitato quanto alla sua portata inferenziale. Sul piano dei pattern, il nodo attiva il Pattern 5, l'analisi dei buchi strutturali, nella sua accezione investigativa: fu l'anomalia, la perizia incongrua e la pista implausibile, a costituire il varco attraverso il quale la riapertura del caso penetrò l'intera architettura dell'occultamento, secondo il paradigma indiziario che la Nota metodologica pone a fondamento dell'opera.</w:t>
      </w:r>
    </w:p>
    <w:p>
      <w:pPr>
        <w:spacing w:after="120" w:line="276"/>
        <w:jc w:val="both"/>
      </w:pPr>
      <w:r>
        <w:rPr>
          <w:rFonts w:ascii="Barlow Semi Condensed" w:cs="Barlow Semi Condensed" w:eastAsia="Barlow Semi Condensed" w:hAnsi="Barlow Semi Condensed"/>
          <w:sz w:val="24"/>
          <w:szCs w:val="24"/>
        </w:rPr>
        <w:t xml:space="preserve">Alla coppia degli esecutori il registro aggiunge la scheda del correo, che completa la mappa della protezione già censita: Carlo Cicuttini, condannato in via definitiva quale concorrente nella strage, condusse nella Spagna che questa fase ha già censito quale santuario una latitanza protrattasi per un quarto di secolo, sino alla cattura sul finire degli anni 90 ed alla consegna alla giustizia italiana, nelle cui carceri morì nel 2010, Livello A quanto alla condanna, alla latitanza ed alla cattura. La coppia degli esecutori consegna così al registro, condensata in 2 biografie divergenti, l'intera fenomenologia dei rapporti tra l'eversione ed i suoi rifugi: il confesso che rifiutò ogni protezione e scontò per intero, ed il correo che la protezione internazionale sottrasse per 25 anni all'esecuzione della pena, sicché la medesima sentenza produsse, sui 2 condannati, effetti separati da un quarto di secolo, e la distanza tra le 2 espiazioni è la misura, ancora una volta, del peso della variabile estera nella contabilità della giustizia domestica.</w:t>
      </w:r>
    </w:p>
    <w:p>
      <w:pPr>
        <w:spacing w:after="120" w:line="276"/>
        <w:jc w:val="both"/>
      </w:pPr>
      <w:r>
        <w:rPr>
          <w:rFonts w:ascii="Barlow Semi Condensed" w:cs="Barlow Semi Condensed" w:eastAsia="Barlow Semi Condensed" w:hAnsi="Barlow Semi Condensed"/>
          <w:sz w:val="24"/>
          <w:szCs w:val="24"/>
        </w:rPr>
        <w:t xml:space="preserve">Il profilo del confesso merita l'annotazione epistemologica che lo distingue da ogni altra fonte del registro: Vincenzo Vinciguerra non negoziò. La confessione del 1984 non fu accompagnata da richiesta di benefici, dissociazione premiale o collaborazione retribuita; l'esecutore rivendicò l'atto quale gesto di guerra rivoluzionaria contro lo Stato ed i suoi apparati, rifiutò lo statuto del pentito e scontò da allora, ininterrottamente, l'ergastolo divenuto irrevocabile, Livello A quanto alla condotta processuale ed al regime detentivo. Nella disciplina dell'Indice di Contaminazione della Fonte, che il registro applica ad ogni dichiarante, questa condizione colloca Vinciguerra all'estremo puro dello spettro: una fonte priva di contropartite e perciò priva del movente ordinario della fabbricazione, il cui racconto va tuttavia maneggiato con l'avvertenza speculare, che l'assenza di interesse premiale non equivale ad assenza di interesse ideologico, giacché il confesso consegna la propria verità dentro una cornice dottrinale che seleziona ciò che illumina. Il registro ne ha tratto la regola che applica all'intero suo apparato dichiarativo: la purezza negoziale della fonte ne accresce l'attendibilità sul fatto proprio e non la estende automaticamente alle chiamate in correità ed alle ricostruzioni di sistema, che restano soggette al riscontro come ogni altra.</w:t>
      </w:r>
    </w:p>
    <w:p>
      <w:pPr>
        <w:spacing w:after="120" w:line="276"/>
        <w:jc w:val="both"/>
      </w:pPr>
      <w:r>
        <w:rPr>
          <w:rFonts w:ascii="Barlow Semi Condensed" w:cs="Barlow Semi Condensed" w:eastAsia="Barlow Semi Condensed" w:hAnsi="Barlow Semi Condensed"/>
          <w:sz w:val="24"/>
          <w:szCs w:val="24"/>
        </w:rPr>
        <w:t xml:space="preserve">Resta la morfologia del bersaglio, che fa di Peteano un unicum nella serie e che l'analisi comparata deve dichiarare: tutte le stragi della stagione colpirono civili inermi in luoghi civili, la banca, la piazza, il treno, la stazione, mentre Peteano colpì, con l'esca della telefonata e dell'auto imbottita, uomini dello Stato in uniforme, carabinieri attirati in servizio. La deviazione dal modello non è un dettaglio ma una firma: essa dichiara un'azione concepita non per produrre terrore indiscriminato da attribuire all'avversario, secondo la grammatica della provocazione che il capitolo 4 ha documentato, ma per punire l'apparato stesso, secondo una logica di ritorsione interna al campo che la confessione del 1984 avrebbe poi esplicitato. Il registro consegna la differenza al Pattern 11 quale caso di anti-isomorfismo diagnostico: nella serie delle stragi, l'evento che rompe la forma è quello che, rompendola, rivela il codice della forma stessa, e non è privo di significato che proprio dalla strage anomala, la sola che aggredì lo Stato invece di servirlo, sia germinata l'istruttoria che avrebbe disvelato la rete clandestina censita nella Fase 2.</w:t>
      </w:r>
    </w:p>
    <w:p>
      <w:pPr>
        <w:spacing w:after="120" w:line="276"/>
        <w:jc w:val="both"/>
      </w:pPr>
      <w:r>
        <w:rPr>
          <w:rFonts w:ascii="Barlow Semi Condensed" w:cs="Barlow Semi Condensed" w:eastAsia="Barlow Semi Condensed" w:hAnsi="Barlow Semi Condensed"/>
          <w:sz w:val="24"/>
          <w:szCs w:val="24"/>
        </w:rPr>
        <w:t xml:space="preserve">La scheda del nodo si completa con il secondo condannato, che il registro censisce nella sua parabola integrale: Carlo Cicuttini, l'uomo della telefonata-esca identificato anche attraverso la perizia fonica sulla voce registrata, riparò in Spagna già nel 1972 e vi trascorse 26 anni di latitanza protetta nel santuario iberico censito da quest'opera, sino alla cattura del 1998, all'estradizione ed alla condanna definitiva all'ergastolo, spegnendosi detenuto nel 2010, Livello A quanto all'identificazione, alla latitanza, agli esiti ed alla morte. Il registro affianca la traiettoria a quella del complice reo confesso censito nel capitolo: i 2 uomini di Peteano percorsero le 2 strade esattamente speculari che il corpus conosce, l'uno la confessione totale senza sconti e la detenzione perpetua rivendicata, l'altro il quarto di secolo di protezione straniera e la resa finale alla giustizia soltanto per cattura, e la circostanza che entrambe le strade siano finite nello stesso punto, l'ergastolo, con 15 anni di distanza e 2 dignità documentali opposte, consegna al registro la comparazione più nitida del corpus sul valore conoscitivo delle scelte individuali: dalla strada di Vinciguerra l'opera ha ricavato un archivio, da quella di Cicuttini soltanto un casellario, e la differenza tra i 2 lasciti misura quanto della verità storica di questa fase sia dipeso non dalle istituzioni ma dalla decisione solitaria di un uomo di parlare.</w:t>
      </w:r>
    </w:p>
    <w:p>
      <w:pPr>
        <w:spacing w:after="120" w:line="276"/>
        <w:jc w:val="both"/>
      </w:pPr>
      <w:r>
        <w:rPr>
          <w:rFonts w:ascii="Barlow Semi Condensed" w:cs="Barlow Semi Condensed" w:eastAsia="Barlow Semi Condensed" w:hAnsi="Barlow Semi Condensed"/>
          <w:sz w:val="24"/>
          <w:szCs w:val="24"/>
        </w:rPr>
        <w:t xml:space="preserve">Il caso di Peteano esige infine la dichiarazione del proprio statuto eccezionale, che il registro formula quale misura dell'intera fase: la strage del 1972 è l'unica, nell'intero corpus stragista, integralmente risolta in ogni sua componente, con gli esecutori condannati in via definitiva su confessione riscontrata, il movente accertato in sentenza, la matrice ideologica dichiarata dal suo autore, ed i depistatori istituzionali processati e condannati per esteso, sicché il caso realizza, solo, la configurazione che tutte le altre stragi hanno raggiunto in forma parziale o nulla, Livello A su ogni segmento della catena. Il registro consegna l'eccezione alla sua funzione di metro: Peteano dimostra che la soluzione integrale di una strage italiana era possibile, e le condizioni che la resero possibile, la confessione volontaria di un esecutore sottrattosi ad ogni protezione, un'istruttoria condotta fuori dai circuiti inquinati, la dimensione contenuta dell'evento che non mobilitò le coperture riservate ai grandi snodi, compongono in negativo la diagnosi delle altre, perché ciò che a Peteano ci fu ed altrove mancò, la rottura interna del campo degli autori e l'assenza di interessi superiori alla verità, è esattamente l'elenco di ciò che il corpus ha censito quale meccanica dell'impunità, sicché l'unica strage risolta non è un'anomalia consolatoria, è il gruppo di controllo dell'esperimento italiano, il caso che mostra come sarebbero potute finire tutte, e perché non finirono così.</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Peteano è certificato al Livello A quale strage dalla configurazione probatoria più completa della stagione, con le 3 vittime dell'Arma nominate, l'esecutore reo confesso Vincenzo Vinciguerra condannato all'ergastolo in via definitiva, il depistaggio accertato con condanne del perito ordinovista Morin e di ufficiali dell'Arma tra cui il colonnello Mingarelli, e la filiazione istruttoria documentata dell'inchiesta Casson verso la rivelazione della rete Gladio dell'ottobre 1990; le dichiarazioni sistemiche di Vinciguerra sulla protezione atlantica degli esecutori restano graduate tra il Livello B e il Livello C secondo il riscontro, e la connessione di mandato tra la rete e la strage non è provata e non è affermata.</w:t>
      </w:r>
    </w:p>
    <w:p>
      <w:pPr>
        <w:pStyle w:val="Heading3"/>
        <w:spacing w:after="80" w:before="160"/>
      </w:pPr>
      <w:r>
        <w:rPr>
          <w:rFonts w:ascii="Barlow Semi Condensed" w:cs="Barlow Semi Condensed" w:eastAsia="Barlow Semi Condensed" w:hAnsi="Barlow Semi Condensed"/>
          <w:sz w:val="24"/>
          <w:szCs w:val="24"/>
        </w:rPr>
        <w:t xml:space="preserve">Capitolo 7 — ■ Piazza della Loggia. La strage giudicata e la fonte condannata</w:t>
      </w:r>
    </w:p>
    <w:p>
      <w:pPr>
        <w:spacing w:after="120" w:line="276"/>
        <w:jc w:val="both"/>
      </w:pPr>
      <w:r>
        <w:rPr>
          <w:rFonts w:ascii="Barlow Semi Condensed" w:cs="Barlow Semi Condensed" w:eastAsia="Barlow Semi Condensed" w:hAnsi="Barlow Semi Condensed"/>
          <w:sz w:val="24"/>
          <w:szCs w:val="24"/>
        </w:rPr>
        <w:t xml:space="preserve">La strage di piazza della Loggia, consumata a Brescia il 28 maggio 1974 durante una manifestazione antifascista indetta dai sindacati e dal comitato unitario permanente, è il nodo-evento attraverso il quale il registro certifica il risultato giudiziario più compiuto dell'intera stagione stragista: l'unica strage della sequenza politica ad avere mandanti e concorrenti condannati in via definitiva, e, tra essi, una fonte retribuita del servizio segreto militare, sicché l'arco tra il Dominio 3 e il Dominio 7 raggiunge in questo nodo la certificazione a giudicato nella sua forma più diretta. La scansione del corpus registra il sintagma della piazza 226 volte in oltre 20 documenti e il nome di Brescia 402 volte in 38. La bomba, collocata in un cestino portarifiuti sotto i portici, esplose alle 10:12 mentre dal palco parlava un sindacalista: uccise 8 persone, Giulietta Banzi Bazoli, Livia Bottardi Milani, Clementina Calzari Trebeschi, Alberto Trebeschi, Euplo Natali, Luigi Pinto, Bartolomeo Talenti e Vittorio Zambarda, e ne ferì oltre 100. Il registro ne trascrive i nomi quale atto dovuto.</w:t>
      </w:r>
    </w:p>
    <w:p>
      <w:pPr>
        <w:spacing w:after="120" w:line="276"/>
        <w:jc w:val="both"/>
      </w:pPr>
      <w:r>
        <w:rPr>
          <w:rFonts w:ascii="Barlow Semi Condensed" w:cs="Barlow Semi Condensed" w:eastAsia="Barlow Semi Condensed" w:hAnsi="Barlow Semi Condensed"/>
          <w:sz w:val="24"/>
          <w:szCs w:val="24"/>
        </w:rPr>
        <w:t xml:space="preserve">Il primo pilastro probatorio è l'inquinamento immediato della scena, che il registro certifica al Livello A quale reperto di ostruzione originaria. Poche ore dopo l'esplosione, per disposizione delle autorità locali, la piazza fu lavata con gli idranti, con la conseguente dispersione irreversibile dei reperti: un fatto pacifico, richiamato in ogni successiva ricostruzione giudiziaria quale menomazione irrimediabile del quadro probatorio. Il registro lo certifica al Livello A e lo iscrive nella tipologia dell'ostruzione quale specie della distruzione della scena sotto veste di ripristino, annotando che, come per il brillamento dell'ordigno inesploso del dicembre 1969, la menomazione del compendio probatorio avvenne per mano istituzionale nelle ore immediatamente successive all'evento, prima di ogni depistaggio deliberato: la sequenza dei 2 casi fonda la regolarità per cui l'accertamento delle stragi nacque, in entrambi gli eventi capitali del quinquennio, già amputato dei suoi reperti primari.</w:t>
      </w:r>
    </w:p>
    <w:p>
      <w:pPr>
        <w:spacing w:after="120" w:line="276"/>
        <w:jc w:val="both"/>
      </w:pPr>
      <w:r>
        <w:rPr>
          <w:rFonts w:ascii="Barlow Semi Condensed" w:cs="Barlow Semi Condensed" w:eastAsia="Barlow Semi Condensed" w:hAnsi="Barlow Semi Condensed"/>
          <w:sz w:val="24"/>
          <w:szCs w:val="24"/>
        </w:rPr>
        <w:t xml:space="preserve">Il secondo pilastro è il quarantennale ciclo processuale, che il registro espone nelle sue 3 stagioni con la disciplina integrale delle assoluzioni. La prima stagione ruotò attorno a Ermanno Buzzi, esponente della manovalanza neofascista bresciana, condannato all'ergastolo in primo grado nel 1979: trasferito nel carcere di Novara, fu strangolato il 13 aprile 1981 da Pierluigi Concutelli e Mario Tuti alla vigilia del processo d'appello, e l'appello, celebrato senza di lui, assolse gli altri imputati; il registro certifica al Livello A l'eliminazione dell'imputato quale fatto giudicato a carico degli autori, già annotato nel capitolo su Ordine Nuovo quale specie radicale dell'ostruzione, la soppressione della fonte prima della sua deposizione d'appello. La seconda stagione, incentrata su un diverso gruppo di imputati dell'area, si chiuse anch'essa con assoluzioni definitive tra la fine degli anni Ottanta e i primi Novanta. La terza stagione, aperta dalle nuove indagini degli anni Duemila sul versante ordinovista veneto, vide imputati Carlo Maria Maggi, Maurizio Tramonte, Delfo Zorzi e Pino Rauti: assolti tutti in primo grado nel 2010 e in appello nel 2012, la Cassazione, il 21 febbraio 2014, rese definitiva l'assoluzione di Zorzi, che il registro riporta per esteso unitamente a quella, già esposta, di Rauti, e annullò con rinvio quanto a Maggi e Tramonte; la Corte d'assise d'appello di Milano, in sede di rinvio, li condannò entrambi all'ergastolo il 22 luglio 2015, e la Corte di cassazione, il 20 giugno 2017, rese irrevocabili le condanne. Il registro certifica al Livello A, sul fondamento del giudicato del 2017, la responsabilità di Carlo Maria Maggi, medico veneziano e ispettore di Ordine Nuovo per il Triveneto, quale organizzatore e mandante, e di Maurizio Tramonte quale concorrente nella strage; Maggi è morto nel dicembre 2018, Tramonte, riparato in Portogallo, fu estradato nel 2017 e sconta la pena. Un ulteriore filone, a carico di soggetti all'epoca minorenni, ha prodotto in anni recentissimi una pronuncia di condanna in sede di merito, allo stato non irrevocabile per quanto consta al registro, che ne recepirà l'esito al consolidamento.</w:t>
      </w:r>
    </w:p>
    <w:p>
      <w:pPr>
        <w:spacing w:after="120" w:line="276"/>
        <w:jc w:val="both"/>
      </w:pPr>
      <w:r>
        <w:rPr>
          <w:rFonts w:ascii="Barlow Semi Condensed" w:cs="Barlow Semi Condensed" w:eastAsia="Barlow Semi Condensed" w:hAnsi="Barlow Semi Condensed"/>
          <w:sz w:val="24"/>
          <w:szCs w:val="24"/>
        </w:rPr>
        <w:t xml:space="preserve">Il terzo pilastro è la qualità soggettiva di Maurizio Tramonte, che costituisce il reperto capitale del nodo e dell'intera fase. Tramonte, militante dell'area ordinovista padovana, era, negli anni della strage, fonte informativa retribuita del Servizio informazioni difesa, registrata con il nome in codice Tritone: le sue veline del 1974, acquisite agli atti, riferivano al servizio notizie provenienti dall'interno degli ambienti ordinovisti, anche in connessione con la campagna stragista in corso; ed è il medesimo uomo che il giudicato del 2017 ha condannato quale concorrente nella strage. Il registro certifica al Livello A, sul fondamento congiunto della documentazione del servizio e del giudicato, la doppia qualità di Tramonte, fonte del SID e concorrente condannato nella strage di piazza della Loggia, e ne dichiara la portata sistemica con la precisione che il caso esige. Nella progressione degli accertamenti che il registro ha censito, questo è il punto d'arrivo: la Fase 2 aveva certificato, con Giannettini, che il servizio disponeva di una fonte negli ambienti della matrice e la sottrasse all'accertamento; il presente nodo certifica che una fonte del servizio, contestualmente attiva e retribuita, fu essa stessa concorrente in una strage. Il salto probatorio è di specie, non di grado: l'arco tra il Dominio 3 e il Dominio 7 non è più soltanto l'arco dell'ostruzione successiva, ma incorpora, nella persona della fonte, la compresenza documentata dell'apparato informativo dentro l'ambiente esecutore al momento del fatto. Il registro delimita immediatamente l'inferenza, come la Regola Ferrea impone: la condanna di Tramonte certifica la responsabilità del singolo e la sua qualità di fonte, non certifica che il servizio, quale istituzione, abbia ordinato o conosciuto preventivamente la strage; il giudicato accerta la compresenza, non il mandato, e la distanza tra le 2 proposizioni, per quanto la prima renda la seconda oggetto legittimo di ipotesi, resta probatoriamente incolmata. L'ipotesi del mandato o della scienza preventiva istituzionale resta al Livello C.</w:t>
      </w:r>
    </w:p>
    <w:p>
      <w:pPr>
        <w:spacing w:after="120" w:line="276"/>
        <w:jc w:val="both"/>
      </w:pPr>
      <w:r>
        <w:rPr>
          <w:rFonts w:ascii="Barlow Semi Condensed" w:cs="Barlow Semi Condensed" w:eastAsia="Barlow Semi Condensed" w:hAnsi="Barlow Semi Condensed"/>
          <w:sz w:val="24"/>
          <w:szCs w:val="24"/>
        </w:rPr>
        <w:t xml:space="preserve">Il quarto pilastro è il contenuto documentale delle veline della fonte Tritone, che il registro espone quale corpo del reperto capitale enunciato al pilastro precedente. Le informative trasmesse da Tramonte al centro di controspionaggio competente nella primavera e nell'estate del 1974, acquisite agli atti e valorizzate nel giudicato, riferivano dall'interno dell'ambiente ordinovista veneto notizie su riunioni operative dell'area, sugli orientamenti verso la prosecuzione della campagna eversiva e su propositi attentatori, con una velina successiva alla strage che riferiva elementi sugli ambienti e sulle responsabilità: il servizio disponeva dunque, in tempo reale, di un flusso informativo proveniente dall'interno della comunità cui il giudicato avrebbe attribuito la strage, trasmesso da un uomo che il medesimo giudicato avrebbe riconosciuto concorrente nel fatto. Il registro certifica al Livello A l'esistenza, la collocazione temporale e la provenienza delle veline, quali dati documentali acquisiti, e la loro valorizzazione nel giudicato del 2017; e dichiara la conseguenza analitica con la precisione che il punto esige. Il flusso documentale certifica che l'informazione sull'ambiente della matrice raggiunse l'apparato prima, durante e dopo l'evento: ciò che l'apparato fece di quell'informazione, e ciò che i suoi vertici ne sapessero, è questione distinta, che i giudizi hanno esplorato senza produrre condanne di appartenenti al servizio per la strage, e che il registro mantiene al livello dell'ipotesi; ma la disponibilità del flusso è un fatto, e la sua certificazione sposta definitivamente il confine del negabile, giacché dopo il giudicato del 2017 non è più sostenibile che gli apparati fossero ciechi rispetto all'ambiente bresciano, essendo provato che vi possedevano dentro una fonte retribuita, e la questione storica si è spostata, per sempre, dalla conoscenza alla condotta.</w:t>
      </w:r>
    </w:p>
    <w:p>
      <w:pPr>
        <w:spacing w:after="120" w:line="276"/>
        <w:jc w:val="both"/>
      </w:pPr>
      <w:r>
        <w:rPr>
          <w:rFonts w:ascii="Barlow Semi Condensed" w:cs="Barlow Semi Condensed" w:eastAsia="Barlow Semi Condensed" w:hAnsi="Barlow Semi Condensed"/>
          <w:sz w:val="24"/>
          <w:szCs w:val="24"/>
        </w:rPr>
        <w:t xml:space="preserve">Il quinto pilastro è il significato processuale del giudicato del 2017 nella serie complessiva, che il registro dichiara quale reperto sulla possibilità stessa dell'accertamento. La condanna irrevocabile per piazza della Loggia giunse 43 anni dopo il fatto, all'esito di 3 stagioni processuali, di 2 assoluzioni di merito nel medesimo ultimo ciclo e di un annullamento con rinvio: è l'unico caso della serie politica in cui la macchina giudiziaria, ripartendo dopo decenni su materiale in parte nuovo, le veline della fonte, le acquisizioni dell'istruttoria milanese, le dichiarazioni maturate nel tempo, è pervenuta a un giudicato di condanna per mandato e concorso. Il registro certifica al Livello A questa unicità e ne trae 2 annotazioni comparate. La prima: il caso dimostra che l'esito assolutorio dei cicli coevi non equivaleva all'inaccertabilità del vero, ma alla insufficienza del materiale allora disponibile, e che l'accertamento tardivo fu reso possibile dalla congiunzione di 3 fattori documentati, la persistenza della parte civile e della comunità bresciana, la desecretazione progressiva dei materiali degli apparati, e la maturazione delle fonti dichiarative; nessuno dei 3 fattori era nella disponibilità dei giudici degli anni Settanta e Ottanta, e la comparazione tra le stagioni misura non la diversa qualità dei giudici ma la diversa apertura degli archivi, confermando la regolarità che il registro ha elevato a legge empirica del campo. La seconda annotazione delimita: l'unicità del giudicato bresciano non autorizza a trasferirne le conclusioni agli altri eventi della serie, ciascuno dei quali conserva il proprio statuto probatorio, e l'operazione, corrente nella vulgata, di estendere la matrice giudicata di Brescia all'intera sequenza quale verità dimostrata viola la disciplina che il registro applica evento per evento.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piazza della Loggia-idranti-menomazione probatoria, è il triangolo dell'ostruzione originaria, certificato al Livello A. La seconda, piazza della Loggia-Maggi-ordinovismo triveneto, è il triangolo della matrice giudicata, certificato al Livello A dal giudicato del 20 giugno 2017, che consegna alla sequenza stragista 1969-1974 la sua unica condanna definitiva di mandante. La terza, piazza della Loggia-Tramonte-SID, è il triangolo della fonte condannata, certificato al Livello A nella doppia qualità e mantenuto al Livello C quanto al mandato istituzionale. Sul piano dei pattern, il nodo compie il Pattern 3, chiudendo la finestra critica 1969-1974 con l'evento che ne condivide la matrice accertata con l'evento inaugurale; e attiva il Pattern 2, giacché la comunità ordinovista triveneta risulta, all'esito dei giudicati, la comunità funzionale cui sono riconducibili, in sede storica per piazza Fontana e in sede di condanna per piazza della Loggia, i 2 eccidi maggiori del quinquennio.</w:t>
      </w:r>
    </w:p>
    <w:p>
      <w:pPr>
        <w:spacing w:after="120" w:line="276"/>
        <w:jc w:val="both"/>
      </w:pPr>
      <w:r>
        <w:rPr>
          <w:rFonts w:ascii="Barlow Semi Condensed" w:cs="Barlow Semi Condensed" w:eastAsia="Barlow Semi Condensed" w:hAnsi="Barlow Semi Condensed"/>
          <w:sz w:val="24"/>
          <w:szCs w:val="24"/>
        </w:rPr>
        <w:t xml:space="preserve">La stagione intermedia del ciclo processuale esige il completamento che la disciplina delle assoluzioni impone. Tra la caduta della prima costruzione accusatoria e l'apertura dell'ultima, l'istruttoria esplorò negli anni 80 la pista dell'ambiente neofascista milanese, imperniata sulla posizione di Cesare Ferri, rinviato a giudizio quale esecutore sul fondamento di riconoscimenti e dichiarazioni: il dibattimento si concluse con l'assoluzione, divenuta irrevocabile sul finire del decennio, che il registro riporta per esteso quale ulteriore esito liberatorio della serie bresciana, Livello A. Con essa la contabilità del quarantennio assume la sua forma finale: 3 costruzioni accusatorie successive, le prime 2 dissolte in assoluzioni irrevocabili, la terza approdata alle condanne definitive che il capitolo ha certificato; e la circostanza che la costruzione vincente sia stata quella fondata non su testimoni oculari né su confessioni, ma sull'incrocio documentale tra le informative d'epoca e le acquisizioni dibattimentali, conferma alla metodologia dell'opera che, nella lunga durata, l'archivio prevale sul ricordo, ed il paradigma indiziario, che sugli archivi lavora, non è un ripiego rispetto alla prova dichiarativa ma il suo superamento, l'unico strumento che il tempo affila invece di corrompere.</w:t>
      </w:r>
    </w:p>
    <w:p>
      <w:pPr>
        <w:spacing w:after="120" w:line="276"/>
        <w:jc w:val="both"/>
      </w:pPr>
      <w:r>
        <w:rPr>
          <w:rFonts w:ascii="Barlow Semi Condensed" w:cs="Barlow Semi Condensed" w:eastAsia="Barlow Semi Condensed" w:hAnsi="Barlow Semi Condensed"/>
          <w:sz w:val="24"/>
          <w:szCs w:val="24"/>
        </w:rPr>
        <w:t xml:space="preserve">La terza stagione processuale esige la sua cronologia integrale, perché la sua parabola, dall'assoluzione generale alla condanna definitiva, è unica nella storia dello stragismo e va consegnata data per data. Rinviati a giudizio gli imputati del versante ordinovista all'esito delle nuove indagini, la Corte d'Assise di Brescia li assolse tutti il 16 novembre 2010, e la Corte d'Assise d'appello confermò le assoluzioni nell'aprile 2012; la Corte di cassazione, nel febbraio 2014, annullò con rinvio le sole posizioni di Carlo Maria Maggi e di Maurizio Tramonte, rigettando nel contempo le impugnazioni contro le assoluzioni di Delfo Zorzi e di Pino Rauti, che divennero con ciò irrevocabili e che il registro riporta per esteso in ossequio alla propria regola; il giudizio di rinvio dinanzi alla Corte d'Assise d'appello di Milano si chiuse il 22 luglio 2015 con la condanna all'ergastolo di Maggi quale organizzatore e di Tramonte quale concorrente, e la Corte di cassazione rese irrevocabili le condanne il 20 giugno 2017, Livello A sull'intera scansione. Quarantatré anni separano la piazza dal giudicato: ed il registro annota che la condanna definitiva maturò quando l'organizzatore era ultraottantenne ed infermo, sicché la pena, ancora una volta, raggiunse la verità assai più dell'uomo, secondo la forbice che la Fase 2 ha già misurato sul caso Maletti.</w:t>
      </w:r>
    </w:p>
    <w:p>
      <w:pPr>
        <w:spacing w:after="120" w:line="276"/>
        <w:jc w:val="both"/>
      </w:pPr>
      <w:r>
        <w:rPr>
          <w:rFonts w:ascii="Barlow Semi Condensed" w:cs="Barlow Semi Condensed" w:eastAsia="Barlow Semi Condensed" w:hAnsi="Barlow Semi Condensed"/>
          <w:sz w:val="24"/>
          <w:szCs w:val="24"/>
        </w:rPr>
        <w:t xml:space="preserve">Il valore sistemico della scansione sta però nel suo motore, che il registro isola quale lezione di metodo: la riapertura degli anni 2000 non nacque da una nuova fonte dichiarativa ma dal riesame integrale del già noto, la digitalizzazione ed il riordino delle carte, l'incrocio delle veline della fonte Tritone con i movimenti documentati degli uomini, la rilettura filologica di materiale che giaceva agli atti da decenni. Brescia dimostra così, in sede giudiziaria, il teorema che il capitolo 9 della Fase 2 ha enunciato in sede archivistica: il sapere che giace non è sapere perduto, e la distanza tra un'assoluzione del 2012 ed una condanna del 2017, a parità sostanziale di giacimento documentale, misura non un mutamento delle carte ma un mutamento dello sguardo. È la vittoria postuma, se così può dirsi con la sobrietà che il registro impone, del paradigma indiziario sulla rassegnazione: l'archivio attese 40 anni il proprio lettore, e quando lo trovò, la piazza ebbe il suo giudicato.</w:t>
      </w:r>
    </w:p>
    <w:p>
      <w:pPr>
        <w:spacing w:after="120" w:line="276"/>
        <w:jc w:val="both"/>
      </w:pPr>
      <w:r>
        <w:rPr>
          <w:rFonts w:ascii="Barlow Semi Condensed" w:cs="Barlow Semi Condensed" w:eastAsia="Barlow Semi Condensed" w:hAnsi="Barlow Semi Condensed"/>
          <w:sz w:val="24"/>
          <w:szCs w:val="24"/>
        </w:rPr>
        <w:t xml:space="preserve">Alla persistenza processuale del nodo corrisponde una persistenza civile che il registro censisce quale dato di lungo periodo: la comunità bresciana costruì attorno alla piazza una delle infrastrutture memoriali più solide del Paese, con l'associazione dei familiari attiva sin dai giorni successivi alla strage e, dal 2000, la Casa della Memoria, l'istituzione cittadina che raccoglie, ordina e rende consultabile l'intero giacimento documentale e processuale dell'evento, Livello A quanto all'esistenza ed alla funzione delle istituzioni memoriali. Il nesso tra questa persistenza e l'esito giudiziario del 2017 non è certificabile quale rapporto causale, ed il registro non lo certifica; è però censibile quale correlazione di sistema: dei nodi-evento della fase, quello approdato a condanna definitiva è anche quello attorno al quale la società civile mantenne, per 4 decenni, la più continua pressione documentale e conoscitiva, alimentando le riaperture con la custodia attiva delle carte. La memoria organizzata, suggerisce il caso bresciano, non è un supplemento consolatorio dell'accertamento ma una sua condizione ambientale: gli archivi attendono i lettori, come il capitolo ha detto, ma i lettori arrivano dove qualcuno ha tenuto accesa la luce.</w:t>
      </w:r>
    </w:p>
    <w:p>
      <w:pPr>
        <w:spacing w:after="120" w:line="276"/>
        <w:jc w:val="both"/>
      </w:pPr>
      <w:r>
        <w:rPr>
          <w:rFonts w:ascii="Barlow Semi Condensed" w:cs="Barlow Semi Condensed" w:eastAsia="Barlow Semi Condensed" w:hAnsi="Barlow Semi Condensed"/>
          <w:sz w:val="24"/>
          <w:szCs w:val="24"/>
        </w:rPr>
        <w:t xml:space="preserve">L'architrave testimoniale della terza stagione esige la sua scheda, che il registro censisce con lo statuto più complesso dell'intera fase: Carlo Digilio, l'armiere dell'area ordinovista veneta rientrato coattivamente da Santo Domingo all'inizio degli anni Novanta, divenne da collaboratore la fonte interna maggiore dell'istruttoria milanese e dei dibattimenti conseguenti, con dichiarazioni che coprivano la logistica degli esplosivi, le riunioni preparatorie e la catena veneta dei 2 stragi maggiori, e con la posizione personale definita dalla dichiarazione di prescrizione del concorso in strage per effetto delle attenuanti della collaborazione, esito che ne fa, paradosso documentale supremo del corpus, l'unico uomo formalmente riconosciuto concorrente nella strage di piazza Fontana da una statuizione divenuta definitiva, Livello A quanto alla parabola personale ed all'esito prescrittivo. La sorte dibattimentale delle sue dichiarazioni misura la linea di faglia delle 2 stagioni: valorizzate dall'istruttoria e dai primi gradi milanesi, ridimensionate dalla sentenza di legittimità del 2005 che ne censurò l'affidabilità su snodi decisivi, tornarono architrave, per la parte riscontrata, nel giudizio bresciano concluso con le condanne del 2015-2017, sicché il medesimo dichiarante fu insufficiente per una strage e determinante per l'altra, Livello A quanto agli esiti divergenti nei giudicati. Il registro trae dalla parabola la lezione di metodo che consegna alla fase: la fonte Digilio, morta nel 2005 prima del proprio raccolto bresciano, dimostra che nell'economia probatoria delle stragi il valore di un collaboratore non è una proprietà della persona ma della rete dei riscontri che ciascun processo riesce a costruirle attorno, e la sua doppia sorte giudiziaria, respinto a Milano e accolto a Brescia sui medesimi ambienti, è la dimostrazione sperimentale che a decidere non fu mai la voce, ma l'orecchio.</w:t>
      </w:r>
    </w:p>
    <w:p>
      <w:pPr>
        <w:spacing w:after="120" w:line="276"/>
        <w:jc w:val="both"/>
      </w:pPr>
      <w:r>
        <w:rPr>
          <w:rFonts w:ascii="Barlow Semi Condensed" w:cs="Barlow Semi Condensed" w:eastAsia="Barlow Semi Condensed" w:hAnsi="Barlow Semi Condensed"/>
          <w:sz w:val="24"/>
          <w:szCs w:val="24"/>
        </w:rPr>
        <w:t xml:space="preserve">Il 28 maggio bresciano possiede un reperto che nessun'altra strage del corpus possiede, ed il registro lo censisce quale unicum documentale assoluto: l'esplosione fu registrata, perché l'impianto di amplificazione della manifestazione sindacale incideva su nastro il comizio in corso, e la bobina conservò la voce dell'oratore, il boato, i secondi di silenzio e le prime grida, consegnando alla storia ed ai processi l'unico documento sonoro autentico di una strage italiana nel suo istante, Livello A quanto all'esistenza ed all'autenticità della registrazione acquisita agli atti. Il registro assegna al nastro la sua doppia funzione: sul piano probatorio, la registrazione ha fornito ai dibattimenti la cronologia acustica esatta dell'evento, sottraendo l'istante della deflagrazione alla plasticità della memoria testimoniale che il corpus ha imparato a temere; sul piano della memoria civile, essa ha fatto di piazza della Loggia la sola strage che il Paese può ascoltare e non soltanto ricostruire, e questa udibilità perpetua, custodita e riproposta dalla liturgia memoriale bresciana, spiega in parte la qualità particolare che la vicenda ha mantenuto nella coscienza pubblica: le altre stragi sono racconti, Brescia è un suono, e contro un suono la negazione e la rimozione, che sul racconto lavorano da sempre, non hanno mai avuto strumenti.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piazza della Loggia è certificato al Livello A quale unica strage politica della stagione con giudicato di condanna, divenuto irrevocabile il 20 giugno 2017 a carico di Carlo Maria Maggi quale organizzatore e di Maurizio Tramonte quale concorrente; la qualità di Tramonte quale fonte retribuita Tritone del SID, contestuale alla partecipazione alla strage, è certificata al Livello A e costituisce la forma più diretta mai giudicata dell'arco Dominio 3-Dominio 7, ferma l'ipoteticità di Livello C del mandato istituzionale; il lavaggio della piazza con gli idranti e l'eliminazione in carcere dell'imputato Buzzi sono certificati al Livello A quali specie dell'ostruzione; le assoluzioni definitive di Zorzi e di Rauti sono riportate per esteso, e gli 8 nomi delle vittime sono trascritti nel registro.</w:t>
      </w:r>
    </w:p>
    <w:p>
      <w:pPr>
        <w:pStyle w:val="Heading3"/>
        <w:spacing w:after="80" w:before="160"/>
      </w:pPr>
      <w:r>
        <w:rPr>
          <w:rFonts w:ascii="Barlow Semi Condensed" w:cs="Barlow Semi Condensed" w:eastAsia="Barlow Semi Condensed" w:hAnsi="Barlow Semi Condensed"/>
          <w:sz w:val="24"/>
          <w:szCs w:val="24"/>
        </w:rPr>
        <w:t xml:space="preserve">Capitolo 8 — ■ L'Italicus. La strage senza colpevoli e l'ombra censita dalla Commissione</w:t>
      </w:r>
    </w:p>
    <w:p>
      <w:pPr>
        <w:spacing w:after="120" w:line="276"/>
        <w:jc w:val="both"/>
      </w:pPr>
      <w:r>
        <w:rPr>
          <w:rFonts w:ascii="Barlow Semi Condensed" w:cs="Barlow Semi Condensed" w:eastAsia="Barlow Semi Condensed" w:hAnsi="Barlow Semi Condensed"/>
          <w:sz w:val="24"/>
          <w:szCs w:val="24"/>
        </w:rPr>
        <w:t xml:space="preserve">La strage dell'espresso Italicus, consumata alle 1:23 del 4 agosto 1974 all'uscita della grande galleria dell'Appennino, presso San Benedetto Val di Sambro, è il nodo-evento attraverso il quale il registro affronta la figura speculare a quella del capitolo precedente: la strage rimasta, all'esito di ogni grado di giudizio, integralmente priva di condannati, e tuttavia accompagnata da una valutazione parlamentare di altissimo profilo che ne collegò l'ombra alla loggia P2, saldando il nodo al quadrilatero della Fase 1. La scansione del corpus registra Italicus 224 volte in 30 documenti. L'ordigno, collocato nella quinta vettura del treno Roma-Brennero, esplose mentre il convoglio usciva dalla galleria: uccise 12 persone e ne ferì 48; tra le vittime, il ferroviere Silver Sirotti, morto nel tentativo di soccorrere i passeggeri tra le fiamme e insignito della medaglia d'oro al valor civile, il cui nome il registro trascrive per tutti.</w:t>
      </w:r>
    </w:p>
    <w:p>
      <w:pPr>
        <w:spacing w:after="120" w:line="276"/>
        <w:jc w:val="both"/>
      </w:pPr>
      <w:r>
        <w:rPr>
          <w:rFonts w:ascii="Barlow Semi Condensed" w:cs="Barlow Semi Condensed" w:eastAsia="Barlow Semi Condensed" w:hAnsi="Barlow Semi Condensed"/>
          <w:sz w:val="24"/>
          <w:szCs w:val="24"/>
        </w:rPr>
        <w:t xml:space="preserve">Il primo pilastro probatorio è il ciclo processuale integralmente assolutorio, che il registro riporta per esteso quale sua ossatura. Le indagini si indirizzarono verso l'ambiente dell'eversione neofascista toscana, e segnatamente verso il Fronte Nazionale Rivoluzionario: Mario Tuti e Luciano Franci furono condannati all'ergastolo in primo grado dalla Corte d'assise di Bologna nel 1983, assolti in appello nel 1986, e, dopo l'annullamento con rinvio disposto dalla Cassazione, nuovamente assolti nel giudizio di rinvio; la Corte di cassazione, il 24 marzo 1992, rese irrevocabile l'assoluzione. Il registro certifica al Livello A e riporta per esteso l'assoluzione definitiva di Tuti e Franci dall'accusa di strage, e certifica conseguentemente che la strage dell'Italicus non ha, a oggi, alcun condannato, né quale esecutore né quale mandante: è, nella sistematica del registro, il caso puro della strage senza verità giudiziaria di condanna, e la sua iscrizione nel registro con questo statuto è essa stessa un dato di prima classe, che vieta ogni attribuzione assertiva e impone il linguaggio dell'ipotesi graduata. Il registro annota che Mario Tuti, condannato in via definitiva per altri gravissimi fatti, tra cui il duplice omicidio di agenti a Empoli del gennaio 1975 e l'omicidio in carcere di Ermanno Buzzi, sconta l'ergastolo per quei titoli, e che la sua posizione rispetto all'Italicus resta quella dell'assoluzione irrevocabile: la distinzione tra i titoli è obbligata e il registro la trascrive.</w:t>
      </w:r>
    </w:p>
    <w:p>
      <w:pPr>
        <w:spacing w:after="120" w:line="276"/>
        <w:jc w:val="both"/>
      </w:pPr>
      <w:r>
        <w:rPr>
          <w:rFonts w:ascii="Barlow Semi Condensed" w:cs="Barlow Semi Condensed" w:eastAsia="Barlow Semi Condensed" w:hAnsi="Barlow Semi Condensed"/>
          <w:sz w:val="24"/>
          <w:szCs w:val="24"/>
        </w:rPr>
        <w:t xml:space="preserve">Il secondo pilastro è la valutazione della Commissione parlamentare d'inchiesta sulla loggia P2, che costituisce il collegamento del nodo al quadrilatero della Fase 1 e che il registro recepisce con la qualificazione esatta della sua natura. La relazione conclusiva della Commissione presieduta da Tina Anselmi, approvata nel 1984, affrontando il capitolo delle trame eversive, formulò sulla strage dell'Italicus una valutazione di eccezionale gravità: la strage era ascrivibile agli ambienti dell'eversione di destra operanti in Toscana, e la loggia massonica P2 doveva ritenersi coinvolta quale ambiente di istigazione e di possibile sostegno, anche finanziario, di quegli ambienti, nel quadro dei rapporti tra la loggia e l'eversione che la Commissione aveva ricostruito. Il registro certifica al Livello B questa valutazione, quale pronuncia di una fonte parlamentare di alta affidabilità, e ne dichiara con la massima nettezza lo statuto: essa è una valutazione politico-parlamentare fondata sull'istruttoria della Commissione, non un accertamento penale, e non è mai stata tradotta in giudicato; la sua recezione al Livello B misura esattamente questa natura, collocandola sopra l'ipotesi ma sotto la certificazione, e il registro vieta a sé stesso di elevarla a Livello A per la suggestione della fonte, come di degradarla a mero sospetto per l'assenza di condanne. Il nodo Italicus diviene così, nella rete dell'opera, il punto in cui l'ombra della loggia sul terreno stragista è censita da una fonte istituzionale massima senza essere giudizialmente provata: un arco Dominio 4-Dominio 7 di Livello B, che si affianca, senza confondersi, all'arco di Livello A che la condanna di Gelli per il depistaggio di Bologna ha certificato sul diverso terreno dell'ostruzione.</w:t>
      </w:r>
    </w:p>
    <w:p>
      <w:pPr>
        <w:spacing w:after="120" w:line="276"/>
        <w:jc w:val="both"/>
      </w:pPr>
      <w:r>
        <w:rPr>
          <w:rFonts w:ascii="Barlow Semi Condensed" w:cs="Barlow Semi Condensed" w:eastAsia="Barlow Semi Condensed" w:hAnsi="Barlow Semi Condensed"/>
          <w:sz w:val="24"/>
          <w:szCs w:val="24"/>
        </w:rPr>
        <w:t xml:space="preserve">Il terzo pilastro è il contrappunto del rapido 904, che il registro richiama dalla Fase 1 per completare la lettura del teatro appenninico. Sulla medesima direttrice ferroviaria, 10 anni dopo, la strage del rapido 904 del 23 dicembre 1984 avrebbe trovato, a differenza dell'Italicus, i suoi condannati definitivi, e tra essi Giuseppe Calò, il cassiere di Cosa Nostra certificato nella Fase 1: il registro accosta i 2 eventi quale coppia comparativa di massimo valore analitico, giacché la medesima tecnica, l'ordigno sul treno nel medesimo tratto appenninico, riceve dai giudicati 2 matrici diverse, non accertata e neofascista nell'ipotesi per l'Italicus, mafiosa con concorso di ambienti camorristici e contigui per il 904; la comparazione certifica che la tecnica non identifica la matrice, e costituisce un monito metodologico permanente contro l'inferenza dalla morfologia dell'evento alla sua paternità, che il Pattern 11 disciplina e che la vulgata ha sistematicamente violato.</w:t>
      </w:r>
    </w:p>
    <w:p>
      <w:pPr>
        <w:spacing w:after="120" w:line="276"/>
        <w:jc w:val="both"/>
      </w:pPr>
      <w:r>
        <w:rPr>
          <w:rFonts w:ascii="Barlow Semi Condensed" w:cs="Barlow Semi Condensed" w:eastAsia="Barlow Semi Condensed" w:hAnsi="Barlow Semi Condensed"/>
          <w:sz w:val="24"/>
          <w:szCs w:val="24"/>
        </w:rPr>
        <w:t xml:space="preserve">Il quarto pilastro è la collocazione dell'evento nella finestra critica del 1974, che l'analisi temporale del registro qualifica quale culmine e insieme quale chiusura della prima stagione stragista. Tra la strage di piazza della Loggia del 28 maggio e quella dell'Italicus del 4 agosto corrono 68 giorni: la concentrazione di 2 stragi in un'estate, entro l'anno successivo allo scioglimento di Ordine Nuovo e nel pieno della campagna delle sigle clandestine, segna il massimo di densità della serie; e dopo l'agosto 1974 la sequenza delle stragi politiche si interrompe per 6 anni, sino al 1980. Il registro certifica al Livello A la scansione temporale quale dato oggettivo della serie, e ne trae, con la cautela che il metodo impone, 2 annotazioni. La prima è statistica e negativa: la sola densità temporale non autorizza inferenze di regia unitaria, e il registro rammenta che la propria verifica preregistrata sulla correlazione tra la serie stragista e le scadenze del processo di integrazione europea, condotta con modello nullo, restituì un esito non significativo, imponendo l'abbandono della tesi della densità quale prova; la finestra del 1974 si spiega, ai livelli certificabili, con le dinamiche interne documentate, la clandestinizzazione post-scioglimento e il precipitare dello scontro politico nazionale attorno al referendum di quella primavera, senza necessità di postulare cabine di regia non documentate. La seconda annotazione è comparativa: il lungo silenzio 1974-1980, seguito dalla ripresa con Bologna a opera di una generazione eversiva diversa, suggerisce che la serie stragista non fu un continuum unitario ma una successione di onde distinte, con matrici, uomini e contesti differenti, e la periodizzazione a onde, che i giudicati confermano nella diversità degli autori accertati tra le 2 finestre, è assunta dal registro quale struttura temporale dell'intero dominio, contro la vulgata del disegno unico ininterrotto.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Italicus-Tuti e Franci-assoluzione, è il triangolo del ciclo processuale, certificato al Livello A nel suo esito integralmente assolutorio riportato per esteso. La seconda, Italicus-Commissione Anselmi-loggia P2, è il triangolo dell'ombra censita, certificato al Livello B quale valutazione parlamentare non tradotta in giudicato. La terza, Italicus-rapido 904, è il triangolo comparativo delle matrici divergenti a tecnica identica, certificato al Livello A nei suoi 2 termini giudiziari e assunto quale monito del Pattern 11. Sul piano dei pattern, il nodo attiva altresì il Pattern 10, la convergenza spaziale, giacché il tratto appenninico tra Firenze e Bologna si qualifica, con l'Italicus, il 904 e la successiva memoria della galleria, quale zona di massima densità stragista ferroviaria del Paese, la cui selezione ripetuta interroga l'analisi spaziale.</w:t>
      </w:r>
    </w:p>
    <w:p>
      <w:pPr>
        <w:spacing w:after="120" w:line="276"/>
        <w:jc w:val="both"/>
      </w:pPr>
      <w:r>
        <w:rPr>
          <w:rFonts w:ascii="Barlow Semi Condensed" w:cs="Barlow Semi Condensed" w:eastAsia="Barlow Semi Condensed" w:hAnsi="Barlow Semi Condensed"/>
          <w:sz w:val="24"/>
          <w:szCs w:val="24"/>
        </w:rPr>
        <w:t xml:space="preserve">Al nome di Silver Sirotti, che il capitolo ha trascritto per tutti, il registro affianca ora, a completamento dell'atto dovuto, l'elenco intero: le 12 vittime della strage furono Nicola Buffi, Maria Santina Carraro, Elena Celli, Elena Donatini, Tsugufumi Fukuda, Raffaella Garosi, Wilhelmus Jacobus Hanema, Herbert Kontriner, Antidio Medaglia, Marco Russin, Nunzio Russo e Silver Sirotti, italiani e stranieri di 4 nazionalità sorpresi nel sonno delle carrozze o investiti dall'incendio, Livello A quanto all'elenco. La composizione internazionale del bilancio, unica nella serie sino ad allora, appartiene alla natura stessa del bersaglio, il treno a lunga percorrenza quale campione casuale d'Europa in transito sulla dorsale appenninica: e la figura del ferroviere caduto nel soccorso, che il capitolo ha già consegnato alla memoria, appartiene alla stessa classe morfologica che la Fase 1 ha nominato in Ambrosoli, quella dell'anticorpo, l'uomo comune che, posto dal caso sul punto esatto della catastrofe, sceglie la funzione contro la salvezza: figura che ricorre accanto ad ogni strage della serie, il ferroviere, il vigile, il soccorritore, e che il registro annota qui una volta per tutte, a valere per l'intera fase.</w:t>
      </w:r>
    </w:p>
    <w:p>
      <w:pPr>
        <w:spacing w:after="120" w:line="276"/>
        <w:jc w:val="both"/>
      </w:pPr>
      <w:r>
        <w:rPr>
          <w:rFonts w:ascii="Barlow Semi Condensed" w:cs="Barlow Semi Condensed" w:eastAsia="Barlow Semi Condensed" w:hAnsi="Barlow Semi Condensed"/>
          <w:sz w:val="24"/>
          <w:szCs w:val="24"/>
        </w:rPr>
        <w:t xml:space="preserve">La materialità dell'evento va fissata nei suoi elementi periziali accertati: l'ordigno a tempo, collocato nella quinta vettura del convoglio, esplose all'1:23 quando il treno, transitato per la grande galleria dell'Appennino, ne stava varcando l'uscita presso San Benedetto Val di Sambro, e la circostanza che la deflagrazione mancasse di pochi secondi il ventre della montagna fu unanimemente letta, negli atti, quale scampato aggravamento di proporzioni catastrofiche, giacché l'esplosione in galleria avrebbe moltiplicato le vittime per asfissia ed impossibilità di soccorso, Livello A quanto alla dinamica periziale. La rivendicazione giunse con volantini a firma Ordine Nero, la sigla del carsismo post-scioglimento censito nel capitolo 2, che salutavano la strage quale atto di guerra, Livello A quanto al repertamento della rivendicazione, Livello B quanto alla sua genuinità attributiva, mai consacrata da condanna. Appartiene infine al nodo una tradizione memorialistica che il registro censisce al livello che le compete: la circostanza, riferita da fonti familiari e ripresa dalla pubblicistica, secondo cui Aldo Moro avrebbe dovuto viaggiare quella notte su quel convoglio e ne sarebbe stato fatto scendere per ragioni d'ufficio poco prima della partenza, Livello C quale tradizione priva di riscontro documentale autonomo, che il registro trasmette alla Fase 4 non quale fatto ma quale esemplare della forza gravitazionale che il nodo Moro esercita, retrospettivamente, su ogni evento della stagione: la vicenda del presidente attrae le narrazioni come i grandi corpi attraggono la luce, e distinguere l'orbita documentata dalla suggestione è, precisamente, il mestiere di questo registro.</w:t>
      </w:r>
    </w:p>
    <w:p>
      <w:pPr>
        <w:spacing w:after="120" w:line="276"/>
        <w:jc w:val="both"/>
      </w:pPr>
      <w:r>
        <w:rPr>
          <w:rFonts w:ascii="Barlow Semi Condensed" w:cs="Barlow Semi Condensed" w:eastAsia="Barlow Semi Condensed" w:hAnsi="Barlow Semi Condensed"/>
          <w:sz w:val="24"/>
          <w:szCs w:val="24"/>
        </w:rPr>
        <w:t xml:space="preserve">Resta la sociologia del bersaglio, che una digressione sorvegliata può nominare. L'Italicus viaggiava nella notte tra il 3 ed il 4 agosto, gremito del popolo delle ferie e dei rientri, famiglie meridionali, emigranti, ferrovieri: la seconda classe d'agosto, l'Italia in movimento tra le 2 Italie. La strage ferroviaria d'estate, che il rapido 904 avrebbe replicato 10 anni dopo nella simmetria natalizia già censita, colpisce per costruzione il segmento più indifeso ed interclassista della popolazione, e questa scelta, che nessuna rivendicazione ha mai dovuto spiegare perché il terrore indiscriminato è la spiegazione, consegna alla serie il suo tratto più propriamente eversivo: non l'attacco al nemico, ma l'attacco al quotidiano, la dimostrazione che nessun gesto ordinario, un viaggio, una banca, una piazza, una sala d'aspetto, è al riparo. Il ferroviere Silver Sirotti, che morì rientrando nel vagone in fiamme con l'estintore, medaglia d'oro al valor civile, resta il contrappunto esatto di quella logica: nella notte in cui il quotidiano fu trasformato in bersaglio, il quotidiano rispose con il proprio eroismo di servizio, e la fase, che ha bandito la retorica, si limita a registrare che entrambe le grandezze, il terrore e il soccorso, abitarono lo stesso minuto della stessa galleria.</w:t>
      </w:r>
    </w:p>
    <w:p>
      <w:pPr>
        <w:spacing w:after="120" w:line="276"/>
        <w:jc w:val="both"/>
      </w:pPr>
      <w:r>
        <w:rPr>
          <w:rFonts w:ascii="Barlow Semi Condensed" w:cs="Barlow Semi Condensed" w:eastAsia="Barlow Semi Condensed" w:hAnsi="Barlow Semi Condensed"/>
          <w:sz w:val="24"/>
          <w:szCs w:val="24"/>
        </w:rPr>
        <w:t xml:space="preserve">Il maggio 1974 consegna al registro la sua costellazione armata, che la disciplina temporale del Pattern 3 impone di censire nella sua sequenza esatta: il 9 maggio 1974 fu arrestato in Valtellina Carlo Fumagalli, capo del Movimento di Azione Rivoluzionaria, la formazione armata che le condanne definitive avrebbero accertato quale struttura eversiva dedita ad attentati ed alla predisposizione insurrezionale, Livello A; il 28 maggio la bomba di piazza della Loggia; il 30 maggio, a 2 giorni dalla strage, il militante milanese Giancarlo Esposti cadde in conflitto a fuoco con le forze dell'ordine presso il campo armato di Pian del Rascino, sull'Appennino reatino, dove si addestrava con altri estremisti, Livello A quanto ai fatti ed alle date. La concentrazione in 3 settimane di un arresto di vertice, di una strage e di un campo armato scoperto disegna la finestra critica che il registro misura senza sovrainterpretare: le istruttorie esplorarono per decenni i possibili raccordi tra la costellazione del maggio e l'ordigno bresciano, tra le armi del MAR, gli ambienti di Esposti e la matrice poi giudicata, e questi raccordi specifici, mai consolidati in giudicato, restano al Livello B nelle convergenze istruttorie ed al Livello C nelle ricostruzioni di rete più ampie. Ciò che resta al livello del certo è la densità stessa: nel maggio 1974 l'Italia settentrionale ospitava simultaneamente una formazione armata in smantellamento, un campo paramilitare attivo ed una campagna stragista al culmine, e la compresenza documentata di 3 apparati della medesima area ideologica in armi, quale che ne fosse il coordinamento, è essa stessa il dato strutturale che il capitolo consegna alla fase: la strategia della tensione non fu un ambiente metaforico, fu un territorio fisicamente armato, di cui il maggio bresciano costituisce il rilievo cartografico più fitto.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Italicus è certificato al Livello A quale strage priva, all'esito dell'assoluzione irrevocabile di Tuti e Franci del 24 marzo 1992, riportata per esteso, di qualsiasi condannato; la valutazione della Commissione Anselmi, che ascrisse la strage agli ambienti dell'eversione toscana con la loggia P2 quale ambiente di istigazione e possibile sostegno finanziario, è recepita al Livello B quale pronuncia parlamentare di alta affidabilità non tradotta in giudicato, e costituisce l'arco Dominio 4-Dominio 7 nella sua forma censita ma non provata; la comparazione con il rapido 904 certifica che la tecnica identica ricevette matrici giudiziarie diverse, a monito permanente contro l'inferenza morfologica; il nome di Silver Sirotti è trascritto per tutte le 12 vittime.</w:t>
      </w:r>
    </w:p>
    <w:p>
      <w:pPr>
        <w:pStyle w:val="Heading3"/>
        <w:spacing w:after="80" w:before="160"/>
      </w:pPr>
      <w:r>
        <w:rPr>
          <w:rFonts w:ascii="Barlow Semi Condensed" w:cs="Barlow Semi Condensed" w:eastAsia="Barlow Semi Condensed" w:hAnsi="Barlow Semi Condensed"/>
          <w:sz w:val="24"/>
          <w:szCs w:val="24"/>
        </w:rPr>
        <w:t xml:space="preserve">Capitolo 9 — ■ La strage di Bologna. Gli esecutori giudicati, il depistaggio piduista e il quadro dei mandanti</w:t>
      </w:r>
    </w:p>
    <w:p>
      <w:pPr>
        <w:spacing w:after="120" w:line="276"/>
        <w:jc w:val="both"/>
      </w:pPr>
      <w:r>
        <w:rPr>
          <w:rFonts w:ascii="Barlow Semi Condensed" w:cs="Barlow Semi Condensed" w:eastAsia="Barlow Semi Condensed" w:hAnsi="Barlow Semi Condensed"/>
          <w:sz w:val="24"/>
          <w:szCs w:val="24"/>
        </w:rPr>
        <w:t xml:space="preserve">La strage della stazione di Bologna, consumata alle 10:25 del 2 agosto 1980 nella sala d'aspetto di seconda classe, è il nodo-evento terminale della fase e il più grave eccidio della storia repubblicana: 85 morti e oltre 200 feriti. La scansione del corpus registra il sintagma della strage 212 volte in 33 documenti, il nome della città 1.120 volte in 81, la sigla dei Nuclei Armati Rivoluzionari 953 volte in 33, e i nomi di Valerio Fioravanti e Francesca Mambro rispettivamente 171 volte in 21 e 113 volte in 12 documenti. Il nodo è quello sul quale converge il maggior numero di archi già certificati nelle fasi precedenti, il depistaggio di Gelli dalla Fase 1 e quello degli uomini del SISMI dalla Fase 2, e la sua trattazione unitaria consente al registro di comporre, per la prima volta, l'intero quadro probatorio dell'evento nei suoi 3 strati: gli esecutori, l'ostruzione, i mandanti.</w:t>
      </w:r>
    </w:p>
    <w:p>
      <w:pPr>
        <w:spacing w:after="120" w:line="276"/>
        <w:jc w:val="both"/>
      </w:pPr>
      <w:r>
        <w:rPr>
          <w:rFonts w:ascii="Barlow Semi Condensed" w:cs="Barlow Semi Condensed" w:eastAsia="Barlow Semi Condensed" w:hAnsi="Barlow Semi Condensed"/>
          <w:sz w:val="24"/>
          <w:szCs w:val="24"/>
        </w:rPr>
        <w:t xml:space="preserve">Il primo pilastro probatorio è lo strato degli esecutori, certificato al Livello A da una sequenza di giudicati che si è estesa lungo 4 decenni. Valerio Fioravanti e Francesca Mambro, esponenti di vertice dei Nuclei Armati Rivoluzionari, la formazione dello spontaneismo armato neofascista romano, furono condannati all'ergastolo quali esecutori, con sentenza resa irrevocabile dalla Corte di cassazione il 23 novembre 1995; Luigi Ciavardini, minorenne all'epoca dei fatti, fu condannato a 30 anni con sentenza divenuta definitiva nel 2007; Gilberto Cavallini fu condannato all'ergastolo quale ulteriore concorrente, con sentenza di primo grado del gennaio 2020 divenuta irrevocabile all'esito del giudizio di legittimità; e Paolo Bellini, figura proveniente dall'area di Avanguardia Nazionale, è stato condannato all'ergastolo quale ulteriore concorrente con sentenza di primo grado dell'aprile 2022, confermata in appello nel luglio 2024, dell'esito del cui giudizio di legittimità il registro darà atto in sede di aggiornamento; il processo relativo a quest'ultima posizione è documentato nel corpus da uno studio dedicato. Il registro certifica al Livello A le condanne irrevocabili di Fioravanti, Mambro, Ciavardini e Cavallini, registra la posizione di Bellini allo stato dei gradi di merito, e annota il dato che la vulgata più trascura: gli esecutori giudicati della strage hanno sempre negato, e negano, la propria responsabilità, sicché il giudicato si è formato contro la loro protesta di innocenza, sulla forza del compendio probatorio; il registro, che riporta per esteso le assoluzioni, riporta con eguale fedeltà questa protesta quale fatto, senza attribuirle valore revocatorio che l'ordinamento non le riconosce.</w:t>
      </w:r>
    </w:p>
    <w:p>
      <w:pPr>
        <w:spacing w:after="120" w:line="276"/>
        <w:jc w:val="both"/>
      </w:pPr>
      <w:r>
        <w:rPr>
          <w:rFonts w:ascii="Barlow Semi Condensed" w:cs="Barlow Semi Condensed" w:eastAsia="Barlow Semi Condensed" w:hAnsi="Barlow Semi Condensed"/>
          <w:sz w:val="24"/>
          <w:szCs w:val="24"/>
        </w:rPr>
        <w:t xml:space="preserve">Il secondo pilastro è lo strato dell'ostruzione, che le fasi precedenti hanno certificato e che qui si ricompone nella sua unità. Per il depistaggio delle indagini, consistito nella costruzione della falsa pista internazionale mediante la collocazione di una valigia di esplosivo e materiali su un treno, furono condannati in via definitiva Licio Gelli, Venerabile della loggia P2, Francesco Pazienza, faccendiere del SISMI, e gli ufficiali del medesimo servizio Pietro Musumeci e Giuseppe Belmonte: il registro, che ha certificato l'accertamento al Livello A nella Fase 1 dal lato della loggia e nella Fase 2 dal lato degli apparati, lo richiama qui quale secondo strato del nodo, e ne ribadisce la qualificazione: l'ostruzione fu opera congiunta del vertice della loggia coperta e di uomini del servizio militare diretto dal piduista Santovito, e costituisce la saldatura giudicata dei Domini 3 e 4 sul terreno del Dominio 7; la Regola Ferrea, per l'ultima volta enunciata su questo evento, vieta di inferire dal depistaggio il mandato, e ciò che oltrepassa questo limite appartiene allo strato successivo, con il suo diverso statuto probatorio.</w:t>
      </w:r>
    </w:p>
    <w:p>
      <w:pPr>
        <w:spacing w:after="120" w:line="276"/>
        <w:jc w:val="both"/>
      </w:pPr>
      <w:r>
        <w:rPr>
          <w:rFonts w:ascii="Barlow Semi Condensed" w:cs="Barlow Semi Condensed" w:eastAsia="Barlow Semi Condensed" w:hAnsi="Barlow Semi Condensed"/>
          <w:sz w:val="24"/>
          <w:szCs w:val="24"/>
        </w:rPr>
        <w:t xml:space="preserve">Il terzo pilastro è lo strato dei mandanti, che il registro affronta con la qualificazione più sorvegliata dell'intera opera, trattandosi dell'evoluzione più recente e più delicata dell'accertamento. Le motivazioni delle sentenze di merito dell'ultimo ciclo processuale, formate nei giudizi a carico di Cavallini e di Bellini, hanno ricostruito, sul fondamento tra l'altro di un appunto contabile sequestrato a Licio Gelli recante l'intestazione Bologna e la registrazione di ingenti movimenti in dollari, il quadro del finanziamento dell'operazione, indicando quali mandanti, finanziatori e organizzatori della strage Licio Gelli, Umberto Ortolani, Federico Umberto D'Amato e Mario Tedeschi, senatore e direttore di una testata dell'area: tutti defunti, e mai sottoposti in vita a giudizio per tale titolo. Il registro recepisce questa ricostruzione al Livello B, quale contenuto di motivazioni giudiziarie di merito recenti, fonte di alta affidabilità, concernente soggetti che nessun dispositivo ha condannato per quel titolo né potrà più giudicare; e dichiara le 2 conseguenze sistematiche della recezione. La prima riguarda la coerenza interna del registro: il nodo D'Amato, che la Fase 2 aveva certificato mantenendo al Livello C ogni ipotesi di regia sugli eventi stragisti, riceve dall'evoluzione giudiziaria un aggiornamento specifico, giacché quanto alla sola strage di Bologna l'indicazione del suo nome tra i mandanti ascende al Livello B in forza della fonte giudiziaria sopravvenuta, ferma restando per ogni altro evento la classificazione precedente: il registro documenta così, in atto, il proprio funzionamento quale sistema revisionabile, nel quale i livelli si muovono al mutare delle fonti e ogni movimento è dichiarato. La seconda conseguenza riguarda il quadrilatero della Fase 1: l'indicazione congiunta di Gelli e Ortolani quali mandanti-finanziatori colloca il vertice della loggia, già condannato in via definitiva per l'ostruzione, anche nello strato del mandato secondo la fonte di Livello B, e la presenza di un direttore di testata tra i soggetti indicati proietta l'evento verso il Dominio 8, che il registro annota quale filo da sviluppare. Resta infine da censire, quale ipotesi respinta, la cosiddetta pista alternativa internazionale, nelle sue varie formulazioni: il registro dà atto che le sentenze dell'ultimo ciclo l'hanno espressamente esaminata ed esclusa, sicché essa è, allo stato, un'ipotesi giudizialmente disattesa, e la sua iscrizione al Livello C reca questa qualificazione aggravata.</w:t>
      </w:r>
    </w:p>
    <w:p>
      <w:pPr>
        <w:spacing w:after="120" w:line="276"/>
        <w:jc w:val="both"/>
      </w:pPr>
      <w:r>
        <w:rPr>
          <w:rFonts w:ascii="Barlow Semi Condensed" w:cs="Barlow Semi Condensed" w:eastAsia="Barlow Semi Condensed" w:hAnsi="Barlow Semi Condensed"/>
          <w:sz w:val="24"/>
          <w:szCs w:val="24"/>
        </w:rPr>
        <w:t xml:space="preserve">Il quarto pilastro è l'antecedente immediato dell'omicidio del giudice Mario Amato, che il registro certifica al Livello A e colloca quale cerniera tra la campagna dei Nuclei Armati Rivoluzionari e la strage. Il 23 giugno 1980, 40 giorni prima della strage, il sostituto procuratore Mario Amato, che conduceva a Roma, in condizioni di isolamento istituzionale da lui stesso denunciate, le indagini sull'eversione di destra romana, fu assassinato con un colpo alla nuca a una fermata dell'autobus; l'omicidio fu opera dei Nuclei Armati Rivoluzionari, e per esso riportarono condanna definitiva esponenti dell'organizzazione, tra i quali Gilberto Cavallini. Il registro certifica al Livello A, sul fondamento del giudicato, l'omicidio di Amato quale eliminazione deliberata del magistrato che indagava sull'organizzazione, e ne dichiara il triplice rilievo per il nodo. In primo luogo, esso costituisce il secondo arco estremo tra il Dominio 7 e il Dominio 10 della fase, dopo l'omicidio Occorsio, e la reiterazione a 4 anni di distanza certifica che l'eliminazione del magistrato inquirente fu una tecnica ricorrente dell'eversione nera, non un episodio isolato. In secondo luogo, la denuncia di isolamento resa da Amato poco prima della morte davanti agli organi di autogoverno, documentata agli atti, è recepita dal registro quale reperto di Livello A sull'inadeguatezza della protezione istituzionale accordata a chi indagava su quell'ambiente in quella stagione, senza estensioni inferenziali sulla sua intenzionalità. In terzo luogo, la sequenza Amato-Bologna, con il medesimo ambiente organizzativo certificato dai giudicati su entrambi gli eventi e con la continuità personale nella figura di Cavallini, disegna l'escalation della seconda finestra critica nella sua forma più compressa: dall'eliminazione dell'inquirente all'eccidio indiscriminato in 40 giorni, la progressione che il Pattern 3 registra quale firma temporale del biennio.</w:t>
      </w:r>
    </w:p>
    <w:p>
      <w:pPr>
        <w:spacing w:after="120" w:line="276"/>
        <w:jc w:val="both"/>
      </w:pPr>
      <w:r>
        <w:rPr>
          <w:rFonts w:ascii="Barlow Semi Condensed" w:cs="Barlow Semi Condensed" w:eastAsia="Barlow Semi Condensed" w:hAnsi="Barlow Semi Condensed"/>
          <w:sz w:val="24"/>
          <w:szCs w:val="24"/>
        </w:rPr>
        <w:t xml:space="preserve">Il quinto pilastro, conclusivo, riguarda la memoria processuale e civile dell'evento, che il registro annota quale dato di lungo periodo: l'associazione dei familiari delle vittime, costituitasi nel 1981, ha operato per oltre 4 decenni quale motore civile dell'accertamento, costituendosi parte civile in ogni ciclo processuale e sostenendo la prosecuzione delle indagini sino alle sentenze più recenti; il registro certifica al Livello A questo ruolo, documentato in ogni atto dei procedimenti, e vi riconosce un reperto strutturale che l'intera opera registra in controluce: nella serie stragista italiana, la persistenza dell'accertamento oltre i depistaggi e le prescrizioni fu garantita in misura decisiva dalla parte civile organizzata, ossia da un attore esterno tanto agli apparati quanto alla politica, e la circostanza conferma la regolarità comparativa, già codificata dal registro, per cui gli archivi e le verità di questo dominio non si sono mai aperti spontaneamente.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Bologna-Nuclei Armati Rivoluzionari-esecutori, è il triangolo delle condanne irrevocabili di Fioravanti, Mambro, Ciavardini e Cavallini, certificato al Livello A. La seconda, Bologna-Gelli-uomini del SISMI, è il triangolo dell'ostruzione, certificato al Livello A dai giudicati e saldato alle Fasi 1 e 2. La terza, Bologna-appunto contabile-quadro dei mandanti, è il triangolo dello strato più recente, recepito al Livello B con la qualificazione integrale della sua natura. Sul piano dei pattern, il nodo attiva il Pattern 4, l'analisi dei flussi, nella ricostruzione contabile del finanziamento che le motivazioni recenti hanno operato, prima applicazione giudiziaria compiuta, nell'intera stagione, del principio per cui il denaro disegna la mappa che gli uomini occultano; e chiude il Pattern 3 della fase, segnando la seconda finestra critica, quella del biennio 1980, che le fasi precedenti hanno già popolato con la direzione piduista dei servizi.</w:t>
      </w:r>
    </w:p>
    <w:p>
      <w:pPr>
        <w:spacing w:after="120" w:line="276"/>
        <w:jc w:val="both"/>
      </w:pPr>
      <w:r>
        <w:rPr>
          <w:rFonts w:ascii="Barlow Semi Condensed" w:cs="Barlow Semi Condensed" w:eastAsia="Barlow Semi Condensed" w:hAnsi="Barlow Semi Condensed"/>
          <w:sz w:val="24"/>
          <w:szCs w:val="24"/>
        </w:rPr>
        <w:t xml:space="preserve">Alla contabilità delle 85 vittime, che il registro assume nella sua interezza dagli atti e dalla liturgia civile che ogni 2 agosto ne scandisce i nomi dalla piazza della stazione, appartengono gli estremi anagrafici che la memoria pubblica ha consegnato quale misura dell'indiscriminatezza: la più giovane, Angela Fresu, aveva 3 anni, ed il ventaglio delle età si stendeva da lei sino agli ottuagenari, attraversando ogni condizione, viaggiatori, ferrovieri, lavoratori della stazione, turisti stranieri, Livello A quanto alla composizione, consegnata agli atti ed al monumento. Il registro censisce il dato non quale cornice emotiva ma quale reperto morfologico terminale della serie: la sala d'aspetto di seconda classe di una stazione di snodo, in un sabato d'esodo estivo, è il bersaglio a massima entropia sociale concepibile, il punto in cui la selezione della vittima è affidata per intero al caso, e la progressione che la fase ha misurato, dalla clientela di una banca al pubblico di una manifestazione sino alla folla indistinta di agosto, tocca qui il proprio limite matematico, oltre il quale non esiste ulteriore grado di indiscriminatezza: la strage di Bologna è, in questo senso tecnico e terribile, l'evento terminale non solo della cronologia ma della logica della stagione.</w:t>
      </w:r>
    </w:p>
    <w:p>
      <w:pPr>
        <w:spacing w:after="120" w:line="276"/>
        <w:jc w:val="both"/>
      </w:pPr>
      <w:r>
        <w:rPr>
          <w:rFonts w:ascii="Barlow Semi Condensed" w:cs="Barlow Semi Condensed" w:eastAsia="Barlow Semi Condensed" w:hAnsi="Barlow Semi Condensed"/>
          <w:sz w:val="24"/>
          <w:szCs w:val="24"/>
        </w:rPr>
        <w:t xml:space="preserve">Alla persistenza civile censita dal quinto pilastro va aggiunto il suo precipitato normativo, che il registro annota quale esito di lungo periodo dell'intera stagione: la legislazione organica in favore delle vittime del terrorismo e delle stragi, approdata nella legge del 2004 sulle provvidenze e costruita nell'arco di 3 decenni sotto la pressione costante delle famiglie, con il riconoscimento di benefici, pensioni ed onorificenze che trasformarono la condizione di vittima da fatto privato in status pubblico, Livello A quanto all'impianto normativo. Il registro vi legge il compimento di un rovesciamento di lungo periodo: nella prima stagione le vittime furono, processualmente e pubblicamente, comparse dell'evento, nomi in calce alle perizie; nell'ultima esse sono divenute parte attiva dell'accertamento, motore di costituzioni di parte civile, di istanze di desecretazione, di campagne per l'accesso agli archivi, sino a costituire, nel lessico di questa opera, il primo ed unico nodo collettivo della rete che operi esclusivamente nel codice della verità: non parte in causa dell'analisi, ma condizione di possibilità della documentazione su cui l'analisi lavora, giacché una quota rilevante degli atti che questo registro cita esiste perché qualcuno, per 40 anni, non ha smesso di chiederli.</w:t>
      </w:r>
    </w:p>
    <w:p>
      <w:pPr>
        <w:spacing w:after="120" w:line="276"/>
        <w:jc w:val="both"/>
      </w:pPr>
      <w:r>
        <w:rPr>
          <w:rFonts w:ascii="Barlow Semi Condensed" w:cs="Barlow Semi Condensed" w:eastAsia="Barlow Semi Condensed" w:hAnsi="Barlow Semi Condensed"/>
          <w:sz w:val="24"/>
          <w:szCs w:val="24"/>
        </w:rPr>
        <w:t xml:space="preserve">La sequenza dei giudicati sugli esecutori va restituita nella sua interezza, perché la sua stessa tortuosità è un reperto sulla resistenza dell'accertamento: condanne in primo grado nel luglio 1988, assoluzioni per la strage nel giudizio d'appello del luglio 1990, annullamento con rinvio pronunciato dalla Corte di cassazione nel febbraio 1992, nuove condanne nel giudizio di rinvio del maggio 1994 ed irrevocabilità il 23 novembre 1995, Livello A sull'intera scansione. Sette anni e 5 pronunce separano il primo dispositivo dal giudicato, ed il punto di massima torsione, l'assoluzione d'appello del 1990 travolta dall'annullamento del 1992, consegna al registro la misura della contendibilità che il processo conobbe sino all'ultimo grado. Alla stabilità successiva del giudicato appartiene infine un dato che la disciplina della pari evidenza impone di censire: le istanze di revisione ripetutamente proposte negli anni dai condannati principali sono state dichiarate inammissibili o rigettate dalle corti competenti, sicché il giudicato del 1995 ha superato, oltre ai gradi ordinari, anche il vaglio straordinario cui i condannati lo hanno sottoposto, Livello A quanto agli esiti delle revisioni. Il registro consegna il dato nella sua doppia valenza: la richiesta di revisione è l'esercizio di un diritto e la sua reiterazione non è un indizio contro chi la propone, ma la tenuta del giudicato dinanzi ad ogni verifica sollecitata è, simmetricamente, un fatto processuale compiuto, e la contabilità del nodo deve registrare entrambi i piatti della bilancia, il diritto esercitato e l'esito costante.</w:t>
      </w:r>
    </w:p>
    <w:p>
      <w:pPr>
        <w:spacing w:after="120" w:line="276"/>
        <w:jc w:val="both"/>
      </w:pPr>
      <w:r>
        <w:rPr>
          <w:rFonts w:ascii="Barlow Semi Condensed" w:cs="Barlow Semi Condensed" w:eastAsia="Barlow Semi Condensed" w:hAnsi="Barlow Semi Condensed"/>
          <w:sz w:val="24"/>
          <w:szCs w:val="24"/>
        </w:rPr>
        <w:t xml:space="preserve">Alla contabilità dell'evento appartiene infine la risposta della città, che il registro censisce quale reperto civile di pari dignità documentale: nelle ore successive alle 10:25 la macchina spontanea dei soccorsi, viaggiatori, ferrovieri, tassisti, cittadini accorsi a mani nude tra le macerie della sala d'aspetto, affiancò e in parte precedette quella istituzionale, in una mobilitazione che la documentazione fotografica e testimoniale dell'agosto 1980 ha consegnato alla memoria nazionale quale contro-immagine esatta della strage, Livello A quanto alla mobilitazione documentata. Il registro annota il dato non per concessione alla retorica, che il suo statuto vieta, ma per la sua funzione analitica precisa: la strategia che colpisce il quotidiano, censita nel capitolo 8, incontrò a Bologna la sua confutazione pratica nel quotidiano stesso che si organizzava, e la velocità della risposta civile, misurabile in minuti, contrasta punto per punto con la lentezza pluridecennale dell'accertamento, misurabile in lustri. Tra questi 2 tempi, il tempo del soccorso ed il tempo della giustizia, si distende l'intera fenomenologia che la fase ha censito: ed il registro, chiudendo il penultimo nodo, consegna la forbice alla riflessione istituzionale cui compete, annotando soltanto che una Repubblica capace del primo tempo non era condannata per natura alla durata del secondo.</w:t>
      </w:r>
    </w:p>
    <w:p>
      <w:pPr>
        <w:spacing w:after="120" w:line="276"/>
        <w:jc w:val="both"/>
      </w:pPr>
      <w:r>
        <w:rPr>
          <w:rFonts w:ascii="Barlow Semi Condensed" w:cs="Barlow Semi Condensed" w:eastAsia="Barlow Semi Condensed" w:hAnsi="Barlow Semi Condensed"/>
          <w:sz w:val="24"/>
          <w:szCs w:val="24"/>
        </w:rPr>
        <w:t xml:space="preserve">Accanto al binario penale ed a quello memoriale, il caso bolognese ha costruito il terzo pilastro della risposta civile, che il registro censisce quale lascito istituzionale della strage: sul versante associativo, la costituzione permanente dell'Associazione tra i familiari delle vittime della strage alla stazione di Bologna, che dal 1981 ha operato quale parte civile organizzata in ogni grado di ogni filone processuale, motore ininterrotto di impulso giudiziario attraverso 4 decenni, modello poi replicato dalle associazioni delle altre stragi del corpus, Livello A quanto all'esistenza, alla continuità ed al ruolo processuale documentato; sul versante legislativo, il binario riparatorio culminato nella legge 3 agosto 2004 numero 206 sulle nuove norme in favore delle vittime del terrorismo e delle stragi, che consolidò elargizioni, benefici previdenziali ed assistenziali per le vittime e per i superstiti dell'intera stagione, Livello A quanto allo strumento normativo. Il registro assegna al doppio pilastro la sua funzione sistemica: la riparazione economica e l'organizzazione permanente dei familiari sono le 2 forme con cui la Repubblica ha riconosciuto in via generale ciò che le aule hanno accertato solo in parte, ed il paradosso contabile che ne deriva, uno Stato che indennizza per legge tutte le vittime di stragi delle quali non ha giudizialmente individuato tutti i responsabili, non è un'incoerenza ma la fotografia esatta della forbice che l'intera fase misura, tra la certezza dei corpi e l'incompiutezza delle catene di comando, con l'annotazione finale che l'opera deve al caso bolognese: dove lo Stato ha camminato più lentamente, i familiari organizzati hanno camminato per lui, e la stagione dei mandanti censita nel capitolo è, in misura documentabile dagli atti, il prodotto della loro ostinazione processuale prima ancora che dell'iniziativa pubblica.</w:t>
      </w:r>
    </w:p>
    <w:p>
      <w:pPr>
        <w:spacing w:after="120" w:line="276"/>
        <w:jc w:val="both"/>
      </w:pPr>
      <w:r>
        <w:rPr>
          <w:rFonts w:ascii="Barlow Semi Condensed" w:cs="Barlow Semi Condensed" w:eastAsia="Barlow Semi Condensed" w:hAnsi="Barlow Semi Condensed"/>
          <w:sz w:val="24"/>
          <w:szCs w:val="24"/>
        </w:rPr>
        <w:t xml:space="preserve">Il fascicolo bolognese impone infine il censimento della sua controipotesi maggiore, che il registro riporta con la disciplina del Pattern 6: la tesi della matrice palestinese, la lettura che riconduce l'ordigno del 2 agosto ad una rappresaglia collegata alla rottura degli equilibri riservati mediterranei censiti nella fase quinta, riproposta in più stagioni processuali e pubblicistiche quale alternativa alla matrice neofascista giudicata, è stata esaminata e motivatamente respinta dalle sentenze dell'ultima stagione, che ne hanno vagliato gli elementi dichiarativi e documentali concludendo per la loro inidoneità a scalfire il quadro probatorio consolidato, Livello A quanto all'esistenza della controipotesi, al suo esame giudiziario ed al suo rigetto motivato nei giudicati. Il registro consegna il punto al suo statuto esatto, contro le 2 tentazioni speculari: la controipotesi non è stata ignorata, come lamenta la sua pubblicistica, ma processata e respinta nel contraddittorio, il che la colloca tra le ipotesi falsificate e non tra quelle censurate; e simmetricamente il suo ritorno ciclico ad ogni stagione, documentabile nella cronologia del caso, appartiene esso stesso ai fenomeni che il corpus studia, la persistenza delle letture alternative quale funzione del bisogno di senso più che della forza degli elementi, con l'annotazione di metodo che chiude il punto: in un caso con esecutori condannati in via definitiva e mandanti giudicati, l'onere di ogni tesi sostitutiva non è di essere suggestiva ma di spiegare meglio l'intero corpo dei fatti accertati, e questo onere, ad oggi, nessuna controipotesi bolognese lo ha assolto davanti ad un giudice.</w:t>
      </w:r>
    </w:p>
    <w:p>
      <w:pPr>
        <w:spacing w:after="120" w:line="276"/>
        <w:jc w:val="both"/>
      </w:pPr>
      <w:r>
        <w:rPr>
          <w:rFonts w:ascii="Barlow Semi Condensed" w:cs="Barlow Semi Condensed" w:eastAsia="Barlow Semi Condensed" w:hAnsi="Barlow Semi Condensed"/>
          <w:sz w:val="24"/>
          <w:szCs w:val="24"/>
        </w:rPr>
        <w:t xml:space="preserve">Il lutto bolognese ebbe infine la sua liturgia divisa, che il registro censisce quale primo verdetto della piazza: alle esequie solenni celebrate in San Petronio nei giorni successivi alla strage, davanti ad una moltitudine che gremiva la piazza, la folla riservò contestazioni e fischi ai rappresentanti del governo e delle istituzioni di partito, mentre tributò al presidente della Repubblica Pertini, giunto tra i feriti e le bare sin dalle prime ore, un'accoglienza di segno opposto, in una scena documentata da ogni cronaca e rimasta nella memoria civile quale spartiacque del rapporto tra il Paese e lo Stato dopo l'ultima strage, Livello A quanto ai fatti ed alla loro documentazione. Il registro consegna la scena alla sua funzione di reperto: la piazza del 1980 distinse pubblicamente, dentro il medesimo Stato, le istituzioni percepite quali garanti da quelle percepite quali inadempienti, emettendo a caldo, con lo strumento primitivo del fischio e dell'applauso, il medesimo giudizio differenziale che 4 decenni di processi avrebbero poi faticosamente istruito, e questa anticipazione popolare della distinzione che governa l'intera opera, lo Stato che protegge e lo Stato che manca, non è un dato folclorico ma il segno che la coscienza civile del Paese aveva già letto, nell'agosto 1980, la struttura duale che il corpus documenta, con l'annotazione che chiude il capitolo: le stragi non riuscirono mai a produrre il panico eversivo per cui erano concepite, produssero piazze che fischiavano, e la differenza tra questi 2 esiti è la ragione ultima per cui la strategia censita da questa fase, pur avendo vinto quasi tutti i suoi processi, ha perso la sua guerra.</w:t>
      </w:r>
    </w:p>
    <w:p>
      <w:pPr>
        <w:spacing w:after="120" w:line="276"/>
        <w:jc w:val="both"/>
      </w:pPr>
      <w:r>
        <w:rPr>
          <w:rFonts w:ascii="Barlow Semi Condensed" w:cs="Barlow Semi Condensed" w:eastAsia="Barlow Semi Condensed" w:hAnsi="Barlow Semi Condensed"/>
          <w:sz w:val="24"/>
          <w:szCs w:val="24"/>
        </w:rPr>
        <w:t xml:space="preserve">La stazione conserva infine la sua reliquia laica, che il registro censisce a chiusura del versante memoriale: l'orologio della facciata, fermato dalla deflagrazione sull'ora della strage, fu in seguito riparato, e quindi nuovamente arrestato per scelta memoriale sulle 10:25, l'ora che il capitolo ha censito, divenendo il segno permanente che accoglie chiunque transiti per il piazzale, Livello A quanto alla vicenda dell'oggetto ed alla sua funzione attuale. Il registro consegna la reliquia alla sua lezione: la decisione di rifermare un orologio funzionante, di sacrificare cioè l'utilità del meccanismo alla verità del segno, è l'atto memoriale più radicale del corpus, perché non aggiunge un monumento alla città ma sottrae per sempre un servizio alla stazione, imponendo alla vita quotidiana una piccola disfunzione perpetua in cambio della memoria, e questa scelta, deliberata e mantenuta, dice della strage di Bologna ciò che nessuna lapide potrebbe: che la città ha voluto un tempo pubblico spezzato in permanenza, un quadrante che dà a tutti l'ora sbagliata perché nessuno possa avere, su quel piazzale, l'ora senza la storia.</w:t>
      </w:r>
    </w:p>
    <w:p>
      <w:pPr>
        <w:spacing w:after="120" w:line="276"/>
        <w:jc w:val="both"/>
      </w:pPr>
      <w:r>
        <w:rPr>
          <w:rFonts w:ascii="Barlow Semi Condensed" w:cs="Barlow Semi Condensed" w:eastAsia="Barlow Semi Condensed" w:hAnsi="Barlow Semi Condensed"/>
          <w:sz w:val="24"/>
          <w:szCs w:val="24"/>
        </w:rPr>
        <w:t xml:space="preserve">La stagione parlamentare sulle stragi ebbe il suo presidente-simbolo, che il registro censisce a completamento del versante istituzionale: il senatore Libero Gualtieri guidò la Commissione stragi dal 1988 al 1994, gli anni delle svolte censite dall'opera, la rivelazione della rete clandestina, la riapertura dei fascicoli orientali, le grandi audizioni, imprimendo ai lavori l'impostazione documentale che le relazioni di quella stagione testimoniano e che fece della commissione, in quel sessennio, il principale motore civile di declassificazione della Repubblica, Livello A quanto alla presidenza ed agli atti prodotti. Il registro consegna la figura alla tipologia che l'opera ha costruito attraverso le fasi: accanto ai magistrati istruttori ed agli archivisti volontari, il corpus registra la funzione del presidente d'inchiesta quale terza figura della conoscenza possibile, l'uomo che non può condannare né conservare ma può costringere lo Stato a rispondere in verbale, e la stagione Gualtieri, con i suoi atti che questa fase ha citato in ogni capitolo, dimostra la resa massima dello strumento parlamentare quando smette di cercare colpevoli, che non può raggiungere, e si dedica a ciò che solo esso può fare, trasformare il segreto in atto pubblico una domanda alla volta.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Bologna è certificato nei suoi 3 strati: al Livello A le condanne irrevocabili degli esecutori Fioravanti, Mambro, Ciavardini e Cavallini, con la posizione di Bellini registrata allo stato dei gradi di merito; al Livello A il depistaggio congiunto di Gelli, Pazienza, Musumeci e Belmonte, saldatura giudicata dei Domini 3 e 4 sul terreno del Dominio 7; al Livello B il quadro dei mandanti Gelli, Ortolani, D'Amato e Tedeschi ricostruito dalle motivazioni recenti sul fondamento dell'appunto contabile, con l'aggiornamento dichiarato della posizione di D'Amato rispetto alla Fase 2 e la proiezione verso il Dominio 8; la pista alternativa internazionale è censita quale ipotesi espressamente disattesa dai giudicati.</w:t>
      </w:r>
    </w:p>
    <w:p>
      <w:pPr>
        <w:pStyle w:val="Heading3"/>
        <w:spacing w:after="80" w:before="160"/>
      </w:pPr>
      <w:r>
        <w:rPr>
          <w:rFonts w:ascii="Barlow Semi Condensed" w:cs="Barlow Semi Condensed" w:eastAsia="Barlow Semi Condensed" w:hAnsi="Barlow Semi Condensed"/>
          <w:sz w:val="24"/>
          <w:szCs w:val="24"/>
        </w:rPr>
        <w:t xml:space="preserve">Capitolo 10 — ■ L'omicidio di Piersanti Mattarella. Il mandato giudicato e l'esecuzione irrisolta</w:t>
      </w:r>
    </w:p>
    <w:p>
      <w:pPr>
        <w:spacing w:after="120" w:line="276"/>
        <w:jc w:val="both"/>
      </w:pPr>
      <w:r>
        <w:rPr>
          <w:rFonts w:ascii="Barlow Semi Condensed" w:cs="Barlow Semi Condensed" w:eastAsia="Barlow Semi Condensed" w:hAnsi="Barlow Semi Condensed"/>
          <w:sz w:val="24"/>
          <w:szCs w:val="24"/>
        </w:rPr>
        <w:t xml:space="preserve">L'omicidio di Piersanti Mattarella, presidente della Regione Siciliana, assassinato a Palermo il 6 gennaio 1980 mentre, senza scorta, si recava a messa con la famiglia, è il nodo che chiude la fase perché in esso si concentra, allo stato più puro, la questione che la Fase 1 aveva formalmente lasciato aperta e consegnato alle fasi successive: la convergenza tra il Dominio 1, la mafia, e il Dominio 7, l'eversione nera, nella stagione a cavallo del 1980. La scansione del corpus registra Mattarella 226 volte in 19 documenti. Il nodo è altresì, tra tutti quelli dell'opera, il più esigente sul piano della disciplina, giacché in esso coesistono un giudicato pieno sul mandato e un vuoto integrale, presidiato da un'assoluzione irrevocabile, sull'esecuzione.</w:t>
      </w:r>
    </w:p>
    <w:p>
      <w:pPr>
        <w:spacing w:after="120" w:line="276"/>
        <w:jc w:val="both"/>
      </w:pPr>
      <w:r>
        <w:rPr>
          <w:rFonts w:ascii="Barlow Semi Condensed" w:cs="Barlow Semi Condensed" w:eastAsia="Barlow Semi Condensed" w:hAnsi="Barlow Semi Condensed"/>
          <w:sz w:val="24"/>
          <w:szCs w:val="24"/>
        </w:rPr>
        <w:t xml:space="preserve">La ricostruzione dell'evento e del suo contesto è il primo fondamento. Piersanti Mattarella, esponente della corrente morotea della Democrazia Cristiana siciliana, conduceva da presidente della Regione una politica dichiarata di rottura del sistema degli appalti e di risanamento amministrativo, in aperto conflitto con gli interessi mafiosi e con gli equilibri interni al suo stesso partito che la Fase 1 ha documentato nel nodo Lima-Ciancimino; il suo assassinio si inserì nella sequenza degli omicidi politici palermitani che eliminò, tra il 1979 e il 1982, il segretario provinciale democristiano Michele Reina, lo stesso Mattarella e il segretario regionale comunista Pio La Torre. Il registro certifica al Livello A l'evento, il contesto politico-amministrativo del conflitto sugli appalti e l'appartenenza dell'omicidio alla sequenza politica palermitana.</w:t>
      </w:r>
    </w:p>
    <w:p>
      <w:pPr>
        <w:spacing w:after="120" w:line="276"/>
        <w:jc w:val="both"/>
      </w:pPr>
      <w:r>
        <w:rPr>
          <w:rFonts w:ascii="Barlow Semi Condensed" w:cs="Barlow Semi Condensed" w:eastAsia="Barlow Semi Condensed" w:hAnsi="Barlow Semi Condensed"/>
          <w:sz w:val="24"/>
          <w:szCs w:val="24"/>
        </w:rPr>
        <w:t xml:space="preserve">Il primo pilastro probatorio è il giudicato sul mandato, che il registro certifica al Livello A. Il processo per gli omicidi politici palermitani si concluse con la condanna all'ergastolo, quali mandanti, dei componenti della commissione provinciale di Cosa Nostra, tra cui Salvatore Riina e Giuseppe Calò, con sentenza della Corte d'assise di Palermo dell'aprile 1995 divenuta irrevocabile all'esito dei gradi successivi: il vertice dell'organizzazione mafiosa deliberò ed ordinò l'eliminazione del presidente della Regione, quale risposta alla sua politica di rottura. Il registro certifica al Livello A il mandato mafioso dell'omicidio Mattarella, e annota il richiamo interno che ne deriva: tra i mandanti condannati figura Giuseppe Calò, il nodo che la Fase 1 aveva certificato quale cassiere dell'organizzazione e quale condannato per la strage del rapido 904, sicché il medesimo uomo salda, nella propria posizione giudiziaria definitiva, il mandato dell'omicidio politico del 1980 e la strage ferroviaria del 1984: un arco interno al Dominio 1 che attraversa il Dominio 7 e che il registro iscrive quale conferma della capacità deliberativa unitaria del vertice mafioso sull'intero spettro della violenza politica.</w:t>
      </w:r>
    </w:p>
    <w:p>
      <w:pPr>
        <w:spacing w:after="120" w:line="276"/>
        <w:jc w:val="both"/>
      </w:pPr>
      <w:r>
        <w:rPr>
          <w:rFonts w:ascii="Barlow Semi Condensed" w:cs="Barlow Semi Condensed" w:eastAsia="Barlow Semi Condensed" w:hAnsi="Barlow Semi Condensed"/>
          <w:sz w:val="24"/>
          <w:szCs w:val="24"/>
        </w:rPr>
        <w:t xml:space="preserve">Il secondo pilastro è la questione degli esecutori, che il registro espone nella sua integralità formale. L'istruttoria e il dibattimento esplorarono, sul fondamento di dichiarazioni di collaboratori e di un riconoscimento fotografico, l'ipotesi che l'esecuzione materiale fosse stata affidata, in una convergenza operativa senza precedenti, a killer provenienti dall'eversione nera romana, e segnatamente a Valerio Fioravanti e Gilberto Cavallini, i medesimi nomi che il capitolo precedente ha certificato quali condannati per la strage di Bologna: la Corte d'assise di Palermo, nella sentenza dell'aprile 1995, li assolse dall'accusa di essere gli esecutori dell'omicidio Mattarella, e l'assoluzione è divenuta irrevocabile nei gradi successivi. Il registro la riporta per esteso e certifica al Livello A che l'identità degli esecutori materiali dell'omicidio Mattarella resta, all'esito di ogni giudizio, non accertata: la strage di Stato regionale, come fu definita, ha mandanti giudicati e mani ignote. L'ipotesi della convergenza esecutiva tra mafia ed eversione nera, che la Fase 1 aveva registrato al Livello C, resta al Livello C, con la qualificazione aggravata che il registro riserva alle ipotesi processate e non provate: essa fu portata in giudizio e il giudizio non la consacrò, sicché la sua permanenza nel registro è quella dell'ipotesi vagliata e rimasta tale, distinta tanto dall'ipotesi mai vagliata quanto dall'ipotesi esclusa; il registro annota che la questione ha continuato a formare oggetto di attenzione investigativa e storiografica, e che ogni suo sviluppo sarà recepito al maturare di fonti nuove.</w:t>
      </w:r>
    </w:p>
    <w:p>
      <w:pPr>
        <w:spacing w:after="120" w:line="276"/>
        <w:jc w:val="both"/>
      </w:pPr>
      <w:r>
        <w:rPr>
          <w:rFonts w:ascii="Barlow Semi Condensed" w:cs="Barlow Semi Condensed" w:eastAsia="Barlow Semi Condensed" w:hAnsi="Barlow Semi Condensed"/>
          <w:sz w:val="24"/>
          <w:szCs w:val="24"/>
        </w:rPr>
        <w:t xml:space="preserve">Il terzo pilastro è la funzione sistemica del nodo nella chiusura della fase, che il registro dichiara. L'omicidio Mattarella è il punto in cui i 2 versanti dell'opera, il quadrilatero mafioso-affaristico della Fase 1 e il versante eversivo della presente fase, si toccano nel medesimo evento senza che il contatto sia mai stato provato: il mandato appartiene con certezza giudiziaria al primo versante, l'ipotesi esecutiva evocò il secondo, e il giudizio lasciò i 2 versanti giustapposti, non congiunti. Il registro eleva questa configurazione a paradigma: la convergenza tra i domini della violenza, che la vulgata assume quale sistema permanente, è nel registro una questione empirica da accertare evento per evento, e il nodo Mattarella dimostra che essa può essere, in un medesimo evento, giudizialmente fondata quanto a un versante e giudizialmente infondata quanto all'altro; nessun altro caso dell'opera incarna con eguale purezza la differenza tra la rete certificata e la rete congetturata, ed è per questo che il nodo sigilla la fase.</w:t>
      </w:r>
    </w:p>
    <w:p>
      <w:pPr>
        <w:spacing w:after="120" w:line="276"/>
        <w:jc w:val="both"/>
      </w:pPr>
      <w:r>
        <w:rPr>
          <w:rFonts w:ascii="Barlow Semi Condensed" w:cs="Barlow Semi Condensed" w:eastAsia="Barlow Semi Condensed" w:hAnsi="Barlow Semi Condensed"/>
          <w:sz w:val="24"/>
          <w:szCs w:val="24"/>
        </w:rPr>
        <w:t xml:space="preserve">Il quarto pilastro è la sequenza unitaria degli omicidi politici palermitani, che il registro certifica al Livello A quale contesto giudicato dell'evento e quale reperto sulla capacità deliberativa del vertice mafioso. Il medesimo ciclo processuale che giudicò l'omicidio Mattarella giudicò, con esiti convergenti, l'omicidio di Michele Reina, segretario provinciale della Democrazia Cristiana palermitana, ucciso il 9 marzo 1979, e quello di Pio La Torre, segretario regionale del Partito comunista e primo firmatario della legge che avrebbe introdotto il delitto di associazione mafiosa e la confisca dei patrimoni, ucciso con il suo collaboratore Rosario Di Salvo il 30 aprile 1982: per entrambi, la condanna definitiva dei componenti della commissione provinciale di Cosa Nostra quali mandanti. Il registro certifica al Livello A l'unitarietà del giudicato sulla sequenza, e ne trae l'annotazione strutturale: nell'arco di 3 anni il vertice mafioso deliberò l'eliminazione del segretario provinciale del partito di maggioranza, del presidente della Regione e del segretario regionale del partito di opposizione, colpendo l'intero spettro politico nel punto in cui ciascuna figura minacciava, per vie diverse, gli interessi dell'organizzazione, il controllo del partito-contenitore, il sistema degli appalti, il patrimonio; la trasversalità delle vittime certifica che l'organizzazione operava quale attore politico autonomo, capace di colpire maggioranza e opposizione secondo un proprio calcolo strategico, e non quale braccio armato di una parte, e questa autonomia deliberativa giudicata è il dato che il registro oppone a ogni lettura che riduca il Dominio 1 a strumento di altri domini. La legge voluta da La Torre, approvata dopo il suo assassinio e dopo quello del generale Dalla Chiesa nel settembre 1982, appartiene ai fili che la fase consegna: il registro la annota quale cerniera verso la trattazione del versante antimafia che le fasi successive incontreranno.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Mattarella-commissione di Cosa Nostra-mandato, è il triangolo del giudicato, certificato al Livello A, con il richiamo interno al nodo Calò. La seconda, Mattarella-Fioravanti e Cavallini-ipotesi esecutiva, è il triangolo dell'ipotesi processata e non provata, con l'assoluzione irrevocabile riportata per esteso e la permanenza al Livello C nella qualificazione aggravata. La terza, Mattarella-politica degli appalti-nodo Lima-Ciancimino, è il triangolo del movente amministrativo, certificato al Livello A quanto al contesto e saldato al quadrilatero della Fase 1. Sul piano dei pattern, il nodo attiva il Pattern 6 nella sua espressione terminale, quale caso in cui la competizione tra le ipotesi sull'esecuzione resta formalmente aperta dopo il vaglio giudiziario; e il Pattern 5, giacché il vuoto sull'identità degli esecutori è il buco strutturale più significativo dell'intera rete della fase, un'assenza che, secondo il metodo, vale quanto una presenza e orienta la ricerca futura.</w:t>
      </w:r>
    </w:p>
    <w:p>
      <w:pPr>
        <w:spacing w:after="120" w:line="276"/>
        <w:jc w:val="both"/>
      </w:pPr>
      <w:r>
        <w:rPr>
          <w:rFonts w:ascii="Barlow Semi Condensed" w:cs="Barlow Semi Condensed" w:eastAsia="Barlow Semi Condensed" w:hAnsi="Barlow Semi Condensed"/>
          <w:sz w:val="24"/>
          <w:szCs w:val="24"/>
        </w:rPr>
        <w:t xml:space="preserve">Sul piano esecutivo, il registro completa l'esposizione con il reperto testimoniale che l'istruttoria consegnò: la moglie del presidente, presente al momento dell'agguato, fornì dell'esecutore una descrizione circostanziata, che orientò le esplorazioni dibattimentali senza mai approdare ad un riconoscimento capace di reggere il vaglio, sicché l'identità della mano resta, all'esito delle assoluzioni irrevocabili pronunciate sulle piste esplorate, giudizialmente indeterminata, Livello A quanto all'esistenza ed al ruolo processuale della testimonianza, Livello C quanto ad ogni attribuzione ulteriore. È la configurazione che fa del nodo il sigillo perfetto della fase: il mandato certificato al massimo livello, l'esecuzione consegnata allo Stato Zero, e tra i 2 piani quella zona di sovrapposizione tra il Dominio 1 ed il Dominio 7 che le fonti dibattimentali illuminarono senza che il giudicato potesse fissarla, la terra di mezzo tra la mafia che delibera e la manovalanza che spara, sulla quale il registro, fedele alla propria legge, scrive la parola che il diritto vi ha scritto, non provato, e la consegna, intatta ed aperta, alla storia.</w:t>
      </w:r>
    </w:p>
    <w:p>
      <w:pPr>
        <w:spacing w:after="120" w:line="276"/>
        <w:jc w:val="both"/>
      </w:pPr>
      <w:r>
        <w:rPr>
          <w:rFonts w:ascii="Barlow Semi Condensed" w:cs="Barlow Semi Condensed" w:eastAsia="Barlow Semi Condensed" w:hAnsi="Barlow Semi Condensed"/>
          <w:sz w:val="24"/>
          <w:szCs w:val="24"/>
        </w:rPr>
        <w:t xml:space="preserve">La questione esecutiva esige il completamento formale che la disciplina delle assoluzioni impone. Sul fondamento delle convergenze dichiarative che indicavano nell'agguato una mano estranea alla manovalanza mafiosa ordinaria, fu processato quale esecutore materiale Valerio Fioravanti, condannato in primo grado nel 1995 e quindi assolto nel giudizio d'appello, con pronuncia divenuta irrevocabile; parimenti assolto in via definitiva fu Gilberto Cavallini, Livello A quanto agli esiti, che il registro riporta per esteso. Ne risulta la configurazione che rende il nodo speculare e complementare a quello bolognese, ed il chiasmo va dichiarato perché è la chiave analitica della chiusura di fase: a Bologna il giudicato ha consegnato gli esecutori ed ha lasciato al piano ulteriore la questione dei mandanti; a Palermo il giudicato ha consegnato i mandanti, la commissione provinciale di Cosa Nostra con le condanne irrevocabili censite, ed ha lasciato irrisolto il piano degli esecutori. Le 2 stragi terminali della stagione, il massimo eccidio e l'omicidio politico d'apice, si specchiano così l'una nell'altra come 2 metà di un medesimo teorema probatorio: ciascuna certifica esattamente il piano che l'altra non raggiunge, e la loro giustapposizione, che solo la lettura reticolare consente, disegna il perimetro completo di ciò che la giustizia repubblicana ha potuto e non potuto sui 2 versanti, l'eversivo ed il mafioso, del medesimo campo di violenza. Il registro consegna il chiasmo alla Fase 4, che del rapporto tra i piani, l'esecuzione certificata ed il mandato conteso, farà la propria architettura portante sul caso che li contiene tutti.</w:t>
      </w:r>
    </w:p>
    <w:p>
      <w:pPr>
        <w:spacing w:after="120" w:line="276"/>
        <w:jc w:val="both"/>
      </w:pPr>
      <w:r>
        <w:rPr>
          <w:rFonts w:ascii="Barlow Semi Condensed" w:cs="Barlow Semi Condensed" w:eastAsia="Barlow Semi Condensed" w:hAnsi="Barlow Semi Condensed"/>
          <w:sz w:val="24"/>
          <w:szCs w:val="24"/>
        </w:rPr>
        <w:t xml:space="preserve">Il movente amministrativo del delitto va corredato di un esempio concreto, perché la formula del risanamento rischia l'astrattezza che il registro rifugge: tra gli atti della presidenza Mattarella gli accertamenti censirono l'intervento diretto sul sistema degli appalti regionali, con il blocco ed il riesame di procedure viziate nel settore dell'edilizia scolastica, terreno storico della spartizione tra impresa protetta ed amministrazione compiacente, ed è su questo terreno, secondo le ricostruzioni consegnate agli atti parlamentari e giudiziari, che la presidenza riformatrice incise gli interessi consolidati del blocco affaristico-mafioso, Livello A quanto agli atti amministrativi, Livello B quanto alla loro selezione quale movente specifico, che le motivazioni collocano nel quadro complessivo dell'azione di governo della vittima. Il dettaglio restituisce al nodo la sua concretezza materiale: il presidente non fu ucciso per una postura ma per una condotta, atti d'ufficio con numero di protocollo, e la distanza tra il gesto amministrativo, un appalto riesaminato, e la sua sanzione, l'agguato del giorno dell'Epifania, misura il tasso di conversione tra i codici che il registro ha assunto quale sua unità di misura sin dal primo capitolo: nella Sicilia del 1980, la moneta con cui il Dominio 1 pagava l'interferenza del Dominio 2 nel proprio mercato era una sola, e Piersanti Mattarella ne conobbe il corso.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Mattarella è certificato al Livello A quanto al mandato mafioso dell'omicidio, deliberato dalla commissione provinciale di Cosa Nostra e giudicato con condanne irrevocabili tra cui quelle di Riina e di Calò, e quanto al contesto del conflitto sugli appalti che lo motivò; l'identità degli esecutori materiali resta giudizialmente non accertata, con l'assoluzione irrevocabile di Fioravanti e Cavallini riportata per esteso, e l'ipotesi della convergenza esecutiva tra mafia ed eversione nera permane al Livello C nella qualificazione aggravata dell'ipotesi processata e non provata; il nodo sigilla la fase quale paradigma della differenza tra la rete certificata e la rete congetturata, e riconsegna alla Fase 5 e agli aggiornamenti futuri il buco strutturale della mano ignota.</w:t>
      </w:r>
    </w:p>
    <w:p>
      <w:pPr>
        <w:pStyle w:val="Heading3"/>
        <w:spacing w:after="80" w:before="160"/>
      </w:pPr>
      <w:r>
        <w:rPr>
          <w:rFonts w:ascii="Barlow Semi Condensed" w:cs="Barlow Semi Condensed" w:eastAsia="Barlow Semi Condensed" w:hAnsi="Barlow Semi Condensed"/>
          <w:sz w:val="24"/>
          <w:szCs w:val="24"/>
        </w:rPr>
        <w:t xml:space="preserve">Repertorio degli archi e delle triangolazioni certificate nella Fase 3</w:t>
      </w:r>
    </w:p>
    <w:p>
      <w:pPr>
        <w:spacing w:after="120" w:line="276"/>
        <w:jc w:val="both"/>
      </w:pPr>
      <w:r>
        <w:rPr>
          <w:rFonts w:ascii="Barlow Semi Condensed" w:cs="Barlow Semi Condensed" w:eastAsia="Barlow Semi Condensed" w:hAnsi="Barlow Semi Condensed"/>
          <w:sz w:val="24"/>
          <w:szCs w:val="24"/>
        </w:rPr>
        <w:t xml:space="preserve">Il repertorio consolida in un inventario unitario, per versanti, gli archi, le triangolazioni e gli esiti certificati nella fase, con la funzione di riferimento citabile che i repertori delle fasi precedenti hanno stabilito. La forma è quella della prosa inventariale, e ogni voce reca il livello di certificazione.</w:t>
      </w:r>
    </w:p>
    <w:p>
      <w:pPr>
        <w:spacing w:after="120" w:line="276"/>
        <w:jc w:val="both"/>
      </w:pPr>
      <w:r>
        <w:rPr>
          <w:rFonts w:ascii="Barlow Semi Condensed" w:cs="Barlow Semi Condensed" w:eastAsia="Barlow Semi Condensed" w:hAnsi="Barlow Semi Condensed"/>
          <w:sz w:val="24"/>
          <w:szCs w:val="24"/>
        </w:rPr>
        <w:t xml:space="preserve">Il primo versante è quello dell'evento inaugurale e della sua matrice. Vi appartengono: l'arco piazza Fontana-pista anarchica, certificato al Livello A quale primo depistaggio della stagione, con la morte di Pinelli e l'assoluzione definitiva di Valpreda quali esiti documentati; l'arco piazza Fontana-cellula ordinovista veneta, certificato al Livello A quale verità storica affermata nella motivazione della sentenza definitiva del 3 maggio 2005; l'arco piazza Fontana-Reparto D, certificato al Livello A dalla condanna definitiva di Maletti per il depistaggio, richiamata dalla Fase 2; e la duplice posizione di Freda e Ventura, condannati in via definitiva a 15 anni per la campagna di attentati del 1969 e irrevocabilmente assolti dall'accusa di strage nel 1987, con l'attribuzione storica in motivazione che con tale assoluzione coesiste quale paradosso del giudicato.</w:t>
      </w:r>
    </w:p>
    <w:p>
      <w:pPr>
        <w:spacing w:after="120" w:line="276"/>
        <w:jc w:val="both"/>
      </w:pPr>
      <w:r>
        <w:rPr>
          <w:rFonts w:ascii="Barlow Semi Condensed" w:cs="Barlow Semi Condensed" w:eastAsia="Barlow Semi Condensed" w:hAnsi="Barlow Semi Condensed"/>
          <w:sz w:val="24"/>
          <w:szCs w:val="24"/>
        </w:rPr>
        <w:t xml:space="preserve">Il secondo versante è quello della matrice organizzativa. Vi appartengono: l'arco Ordine Nuovo-scioglimento giudiziario, certificato al Livello A dalla sentenza del novembre 1973 e dal decreto Taviani; l'arco Ordine Nuovo-Occorsio-Concutelli, certificato al Livello A dal giudicato sull'omicidio del magistrato del 10 luglio 1976, arco estremo tra il Dominio 7 e il Dominio 10; l'arco Concutelli e Tuti-Buzzi, certificato al Livello A quale soppressione in carcere dell'imputato della strage di Brescia; e l'arco delle migrazioni tra il movimento e il partito legale, certificato al Livello A quanto ai fatti organizzativi e privo di ogni estensione di responsabilità al partito quale tale.</w:t>
      </w:r>
    </w:p>
    <w:p>
      <w:pPr>
        <w:spacing w:after="120" w:line="276"/>
        <w:jc w:val="both"/>
      </w:pPr>
      <w:r>
        <w:rPr>
          <w:rFonts w:ascii="Barlow Semi Condensed" w:cs="Barlow Semi Condensed" w:eastAsia="Barlow Semi Condensed" w:hAnsi="Barlow Semi Condensed"/>
          <w:sz w:val="24"/>
          <w:szCs w:val="24"/>
        </w:rPr>
        <w:t xml:space="preserve">Il terzo versante è quello della proiezione internazionale. Vi appartengono: la certificazione di Livello A di Aginter Press quale centrale anticomunista di Lisbona documentata dai propri archivi sequestrati nel 1974; l'arco Aginter-eversione nera italiana, certificato al Livello B quanto ai collegamenti e mantenuto al Livello C quanto all'operatività in eventi specifici; il reperto comparativo Aginter-Hyperion, certificato al Livello A nei suoi 2 termini, l'isomorfismo strutturale e l'assenza di connessione operativa documentata; la latitanza intercontinentale di Delle Chiaie, certificata al Livello A nei fatti, con i rapporti con gli apparati cileni e con il contesto boliviano al Livello B; e l'arco Delle Chiaie-Aginter, certificato al Livello B quanto ai contatti e al Livello C quanto all'organicità.</w:t>
      </w:r>
    </w:p>
    <w:p>
      <w:pPr>
        <w:spacing w:after="120" w:line="276"/>
        <w:jc w:val="both"/>
      </w:pPr>
      <w:r>
        <w:rPr>
          <w:rFonts w:ascii="Barlow Semi Condensed" w:cs="Barlow Semi Condensed" w:eastAsia="Barlow Semi Condensed" w:hAnsi="Barlow Semi Condensed"/>
          <w:sz w:val="24"/>
          <w:szCs w:val="24"/>
        </w:rPr>
        <w:t xml:space="preserve">Il quarto versante è quello di Peteano. Vi appartengono: la responsabilità esecutiva di Vinciguerra, certificata al Livello A dalla confessione riscontrata e dal giudicato; il depistaggio, certificato al Livello A dalle condanne del perito Morin e di ufficiali dell'Arma tra cui il colonnello Mingarelli; la filiazione istruttoria Casson-Gladio, certificata al Livello A quale sequenza storica che condusse alla rivelazione dell'ottobre 1990, con la connessione di mandato tra la rete e la strage non provata e non affermata; e la graduazione delle dichiarazioni sistemiche di Vinciguerra tra il Livello B e il Livello C secondo il riscontro.</w:t>
      </w:r>
    </w:p>
    <w:p>
      <w:pPr>
        <w:spacing w:after="120" w:line="276"/>
        <w:jc w:val="both"/>
      </w:pPr>
      <w:r>
        <w:rPr>
          <w:rFonts w:ascii="Barlow Semi Condensed" w:cs="Barlow Semi Condensed" w:eastAsia="Barlow Semi Condensed" w:hAnsi="Barlow Semi Condensed"/>
          <w:sz w:val="24"/>
          <w:szCs w:val="24"/>
        </w:rPr>
        <w:t xml:space="preserve">Il quinto versante è quello di Brescia. Vi appartengono: il giudicato del 20 giugno 2017, che certifica al Livello A la responsabilità di Maggi quale organizzatore e di Tramonte quale concorrente, unica condanna definitiva di mandante dell'intera sequenza politica; la doppia qualità di Tramonte, fonte Tritone del SID e concorrente condannato, certificata al Livello A quale forma più diretta mai giudicata dell'arco Dominio 3-Dominio 7, con il mandato istituzionale fermo al Livello C; l'ostruzione originaria del lavaggio della piazza, certificata al Livello A; e la posizione del filone a carico di soggetti all'epoca minorenni, registrata quale pendenza non irrevocabile.</w:t>
      </w:r>
    </w:p>
    <w:p>
      <w:pPr>
        <w:spacing w:after="120" w:line="276"/>
        <w:jc w:val="both"/>
      </w:pPr>
      <w:r>
        <w:rPr>
          <w:rFonts w:ascii="Barlow Semi Condensed" w:cs="Barlow Semi Condensed" w:eastAsia="Barlow Semi Condensed" w:hAnsi="Barlow Semi Condensed"/>
          <w:sz w:val="24"/>
          <w:szCs w:val="24"/>
        </w:rPr>
        <w:t xml:space="preserve">Il sesto versante è quello dell'Italicus. Vi appartengono: l'assoluzione irrevocabile di Tuti e Franci del 24 marzo 1992, certificata al Livello A e costitutiva dello statuto della strage senza condannati; la valutazione della Commissione Anselmi sull'istigazione e sul possibile sostegno finanziario della loggia P2, recepita al Livello B quale arco Dominio 4-Dominio 7 censito e non provato; e il triangolo comparativo con il rapido 904, certificato al Livello A nei 2 termini giudiziari quale monito contro l'inferenza morfologica.</w:t>
      </w:r>
    </w:p>
    <w:p>
      <w:pPr>
        <w:spacing w:after="120" w:line="276"/>
        <w:jc w:val="both"/>
      </w:pPr>
      <w:r>
        <w:rPr>
          <w:rFonts w:ascii="Barlow Semi Condensed" w:cs="Barlow Semi Condensed" w:eastAsia="Barlow Semi Condensed" w:hAnsi="Barlow Semi Condensed"/>
          <w:sz w:val="24"/>
          <w:szCs w:val="24"/>
        </w:rPr>
        <w:t xml:space="preserve">Il settimo versante è quello di Bologna, nei suoi 3 strati. Vi appartengono: le condanne irrevocabili degli esecutori Fioravanti, Mambro, Ciavardini e Cavallini, certificate al Livello A, con la posizione di Bellini registrata allo stato dei gradi di merito; il depistaggio di Gelli, Pazienza, Musumeci e Belmonte, certificato al Livello A e saldato alle Fasi 1 e 2; il quadro dei mandanti Gelli, Ortolani, D'Amato e Tedeschi, recepito al Livello B dalle motivazioni recenti sul fondamento dell'appunto contabile, con l'aggiornamento dichiarato della posizione di D'Amato rispetto alla Fase 2 e la proiezione verso il Dominio 8 nella persona del direttore di testata; e la pista alternativa internazionale, censita al Livello C nella qualificazione aggravata dell'ipotesi espressamente disattesa dai giudicati.</w:t>
      </w:r>
    </w:p>
    <w:p>
      <w:pPr>
        <w:spacing w:after="120" w:line="276"/>
        <w:jc w:val="both"/>
      </w:pPr>
      <w:r>
        <w:rPr>
          <w:rFonts w:ascii="Barlow Semi Condensed" w:cs="Barlow Semi Condensed" w:eastAsia="Barlow Semi Condensed" w:hAnsi="Barlow Semi Condensed"/>
          <w:sz w:val="24"/>
          <w:szCs w:val="24"/>
        </w:rPr>
        <w:t xml:space="preserve">L'ottavo versante è quello dell'omicidio Mattarella. Vi appartengono: il mandato della commissione provinciale di Cosa Nostra, certificato al Livello A dal giudicato, con il richiamo interno al nodo Calò; il vuoto sull'identità degli esecutori, certificato al Livello A quale esito di ogni giudizio; e l'ipotesi della convergenza esecutiva mafia-eversione, ferma al Livello C nella qualificazione aggravata dell'ipotesi processata e non provata, con l'assoluzione irrevocabile di Fioravanti e Cavallini riportata.</w:t>
      </w:r>
    </w:p>
    <w:p>
      <w:pPr>
        <w:spacing w:after="120" w:line="276"/>
        <w:jc w:val="both"/>
      </w:pPr>
      <w:r>
        <w:rPr>
          <w:rFonts w:ascii="Barlow Semi Condensed" w:cs="Barlow Semi Condensed" w:eastAsia="Barlow Semi Condensed" w:hAnsi="Barlow Semi Condensed"/>
          <w:sz w:val="24"/>
          <w:szCs w:val="24"/>
        </w:rPr>
        <w:t xml:space="preserve">Un versante trasversale, il nono, raccoglie gli omicidi satellite della stagione, gli eventi individuali che orbitano attorno alle stragi e ne certificano il campo di violenza: l'omicidio del commissario Calabresi del 17 maggio 1972, con le condanne definitive di Sofri, Pietrostefani e Bompressi su dichiarazioni del reo confesso Marino, certificato al Livello A con la protesta di innocenza dei condannati registrata quale fatto; l'omicidio del giudice Occorsio del 10 luglio 1976, certificato al Livello A nel giudicato a carico di Concutelli; l'omicidio del giudice Amato del 23 giugno 1980, certificato al Livello A nei giudicati a carico di esponenti dei Nuclei Armati Rivoluzionari tra cui Cavallini; e l'omicidio in carcere di Buzzi del 13 aprile 1981, certificato al Livello A. I 4 eventi, 2 magistrati, 1 funzionario di polizia e 1 imputato, disegnano il perimetro umano della stagione oltre le stragi, e i 2 omicidi di magistrati compongono l'arco Dominio 7-Dominio 10 nella sua serie completa.</w:t>
      </w:r>
    </w:p>
    <w:p>
      <w:pPr>
        <w:spacing w:after="120" w:line="276"/>
        <w:jc w:val="both"/>
      </w:pPr>
      <w:r>
        <w:rPr>
          <w:rFonts w:ascii="Barlow Semi Condensed" w:cs="Barlow Semi Condensed" w:eastAsia="Barlow Semi Condensed" w:hAnsi="Barlow Semi Condensed"/>
          <w:sz w:val="24"/>
          <w:szCs w:val="24"/>
        </w:rPr>
        <w:t xml:space="preserve">Chiude il repertorio il censimento unitario degli esiti personali, che la disciplina della fase impone di raccogliere in un solo luogo. Gli esiti assolutori definitivi riportati per esteso nella fase sono quelli di: Pietro Valpreda, per la strage di piazza Fontana; Franco Freda, Giovanni Ventura e Guido Giannettini, per la medesima strage, nel dispositivo irrevocabile del 1987; Delfo Zorzi e Carlo Maria Maggi, per la medesima strage, nel 2005; Delfo Zorzi, per la strage di piazza della Loggia, nel 2014; Pino Rauti, per la medesima strage, in via definitiva, senza alcuna condanna in vita per fatti di strage; Stefano Delle Chiaie, per la strage di piazza Fontana nel 1989 e nell'esito assolutorio del procedimento Borghese del 1984, senza alcuna condanna in vita per fatti di strage; Mario Tuti e Luciano Franci, per la strage dell'Italicus, nel 1992; Valerio Fioravanti e Gilberto Cavallini, per l'omicidio di Piersanti Mattarella. Le condanne irrevocabili certificate nella fase sono quelle di: Pierluigi Concutelli, per l'omicidio di Vittorio Occorsio; Concutelli e Mario Tuti, per l'omicidio in carcere di Ermanno Buzzi; Franco Freda e Giovanni Ventura, per l'associazione sovversiva e gli attentati del 1969; Vincenzo Vinciguerra, per la strage di Peteano; Marco Morin e gli ufficiali del depistaggio di Peteano; Carlo Maria Maggi e Maurizio Tramonte, per la strage di piazza della Loggia; Valerio Fioravanti, Francesca Mambro, Luigi Ciavardini e Gilberto Cavallini, per la strage di Bologna; Licio Gelli, Francesco Pazienza, Pietro Musumeci e Giuseppe Belmonte, per il relativo depistaggio; i componenti della commissione provinciale di Cosa Nostra, tra cui Riina e Calò, per il mandato dell'omicidio Mattarella. Le posizioni pendenti registrate sono 2: quella di Paolo Bellini, allo stato dei gradi di merito, e quella del filone bresciano a carico di soggetti all'epoca minorenni.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repertorio consolida in un inventario unitario oltre 40 tra archi, triangolazioni ed esiti certificati nella fase, articolati in 8 versanti, con 14 posizioni assolutorie definitive riportate per esteso, 9 gruppi di condanne irrevocabili e 2 pendenze dichiarate; esso costituisce d'ora innanzi il riferimento citabile per ogni richiamo interno dell'opera al sottografo dello stragismo e della strategia della tensione.</w:t>
      </w:r>
    </w:p>
    <w:p>
      <w:pPr>
        <w:pStyle w:val="Heading3"/>
        <w:spacing w:after="80" w:before="160"/>
      </w:pPr>
      <w:r>
        <w:rPr>
          <w:rFonts w:ascii="Barlow Semi Condensed" w:cs="Barlow Semi Condensed" w:eastAsia="Barlow Semi Condensed" w:hAnsi="Barlow Semi Condensed"/>
          <w:sz w:val="24"/>
          <w:szCs w:val="24"/>
        </w:rPr>
        <w:t xml:space="preserve">Chiusura della Fase 3 — Lettura reticolare, tipologia dell'ostruzione e bilancio aggiornato dell'ipotesi H1</w:t>
      </w:r>
    </w:p>
    <w:p>
      <w:pPr>
        <w:spacing w:after="120" w:line="276"/>
        <w:jc w:val="both"/>
      </w:pPr>
      <w:r>
        <w:rPr>
          <w:rFonts w:ascii="Barlow Semi Condensed" w:cs="Barlow Semi Condensed" w:eastAsia="Barlow Semi Condensed" w:hAnsi="Barlow Semi Condensed"/>
          <w:sz w:val="24"/>
          <w:szCs w:val="24"/>
        </w:rPr>
        <w:t xml:space="preserve">La chiusura della fase compone i 10 nodi in una lettura reticolare unitaria e ne dichiara i risultati, secondo la funzione che le chiusure delle fasi precedenti hanno stabilito.</w:t>
      </w:r>
    </w:p>
    <w:p>
      <w:pPr>
        <w:spacing w:after="120" w:line="276"/>
        <w:jc w:val="both"/>
      </w:pPr>
      <w:r>
        <w:rPr>
          <w:rFonts w:ascii="Barlow Semi Condensed" w:cs="Barlow Semi Condensed" w:eastAsia="Barlow Semi Condensed" w:hAnsi="Barlow Semi Condensed"/>
          <w:sz w:val="24"/>
          <w:szCs w:val="24"/>
        </w:rPr>
        <w:t xml:space="preserve">Il primo risultato è l'identificazione della comunità centrale del primo stragismo. All'esito dei giudicati, la comunità funzionale cui sono riconducibili i 2 eccidi maggiori del quinquennio 1969-1974 è una sola: l'ordinovismo triveneto, cui la motivazione della sentenza definitiva del 2005 attribuisce, quale verità storica, la strage di piazza Fontana nella cellula padovana di Freda e Ventura, e cui il giudicato di condanna del 2017 attribuisce, quale responsabilità penale, la strage di piazza della Loggia nell'organizzazione di Carlo Maria Maggi con il concorso di Maurizio Tramonte. Il registro sottolinea la complementarità dei 2 titoli: per l'evento inaugurale la matrice è storica e non punitiva, per l'evento terminale della finestra è punitiva e irrevocabile, e la convergenza dei 2 accertamenti sul medesimo ambiente, raggiunta per vie processuali indipendenti a 12 anni di distanza, costituisce una consilienza che il metodo qualifica quale certificazione della comunità al massimo grado consentito dalla materia. Attorno a questa comunità centrale la fase ha censito la costellazione: la matrice organizzativa disciolta nel 1973 e rigenerata nel carsismo delle sigle, la proiezione internazionale di Lisbona, la figura a massima intermediazione di Delle Chiaie, integralmente assolto, e la manovalanza friulana e toscana dei nodi Peteano e Italicus, l'una giudicata nel suo esecutore confesso, l'altra rimasta senza colpevoli.</w:t>
      </w:r>
    </w:p>
    <w:p>
      <w:pPr>
        <w:spacing w:after="120" w:line="276"/>
        <w:jc w:val="both"/>
      </w:pPr>
      <w:r>
        <w:rPr>
          <w:rFonts w:ascii="Barlow Semi Condensed" w:cs="Barlow Semi Condensed" w:eastAsia="Barlow Semi Condensed" w:hAnsi="Barlow Semi Condensed"/>
          <w:sz w:val="24"/>
          <w:szCs w:val="24"/>
        </w:rPr>
        <w:t xml:space="preserve">Il secondo risultato è la progressione certificata dell'arco tra il Dominio 3 e il Dominio 7, che la fase consegna quale sua acquisizione probatoria più grave. La Fase 2 aveva certificato l'arco nella forma dell'ostruzione: il servizio che copre e sottrae la propria fonte, Giannettini, all'accertamento. La presente fase lo ha certificato nella forma della compresenza: la fonte retribuita del servizio, Tramonte, condannata in via definitiva quale concorrente nella strage di piazza della Loggia. La progressione dalla copertura successiva alla compresenza contestuale è un salto di specie nella qualità dell'accoppiamento documentato, e il registro la eleva a reperto strutturale della stagione, ribadendone per l'ultima volta il limite: in nessuno dei 2 casi il giudicato ha accertato il mandato istituzionale, e l'ipotesi che dall'uomo risalga all'apparato resta, in entrambi, al Livello C; ma la circostanza che, nei 2 soli casi in cui la giustizia ha potuto guardare dentro il rapporto tra una fonte del servizio e una strage, abbia trovato la prima volta la copertura e la seconda la partecipazione, è essa stessa un dato che il registro consegna, nudo, alla riflessione.</w:t>
      </w:r>
    </w:p>
    <w:p>
      <w:pPr>
        <w:spacing w:after="120" w:line="276"/>
        <w:jc w:val="both"/>
      </w:pPr>
      <w:r>
        <w:rPr>
          <w:rFonts w:ascii="Barlow Semi Condensed" w:cs="Barlow Semi Condensed" w:eastAsia="Barlow Semi Condensed" w:hAnsi="Barlow Semi Condensed"/>
          <w:sz w:val="24"/>
          <w:szCs w:val="24"/>
        </w:rPr>
        <w:t xml:space="preserve">Il terzo risultato è la tipologia consolidata dell'ostruzione, che la fase arricchisce sino a farne una tassonomia compiuta. Il registro ha censito, con certificazione di Livello A per ciascuna specie: la distruzione del reperto sotto veste tecnica, nel brillamento dell'ordigno inesploso del dicembre 1969; la distruzione della scena sotto veste di ripristino, nel lavaggio con gli idranti di piazza della Loggia; la costruzione della pista falsa verso innocenti, nella pista anarchica del 1969 e nella pista goriziana di Peteano; la falsificazione dell'atto peritale, nella perizia Morin; il favoreggiamento e la sottrazione della fonte, nell'espatrio di Giannettini; la soppressione fisica dell'imputato-testimone, nello strangolamento di Buzzi; e il depistaggio istituzionale organizzato, nella valigia di Bologna. Sette specie, tutte giudizialmente accertate, distribuite lungo 11 anni e 4 eventi: la tassonomia certifica che l'inquinamento dell'accertamento non fu un accidente ricorrente ma una costante strutturale della stagione, presente in ogni evento maggiore, e la sua sistematicità è il fatto che più di ogni altro distingue lo stragismo italiano dalle serie comparabili di altri ordinamenti. Il registro ribadisce, quale principio ormai consolidato attraverso 3 fasi, che questa costante prova la volontà diffusa di impedire l'accertamento e non prova, da sola, l'identità dei mandanti: l'ostruzione certifica sé stessa, e la Regola Ferrea presidia il confine.</w:t>
      </w:r>
    </w:p>
    <w:p>
      <w:pPr>
        <w:spacing w:after="120" w:line="276"/>
        <w:jc w:val="both"/>
      </w:pPr>
      <w:r>
        <w:rPr>
          <w:rFonts w:ascii="Barlow Semi Condensed" w:cs="Barlow Semi Condensed" w:eastAsia="Barlow Semi Condensed" w:hAnsi="Barlow Semi Condensed"/>
          <w:sz w:val="24"/>
          <w:szCs w:val="24"/>
        </w:rPr>
        <w:t xml:space="preserve">Il quarto risultato è il bilancio aggiornato dell'ipotesi H1, che la fase era chiamata a verificare sul terreno stragista. Il registro premette il richiamo del proprio precedente diagnostico: la verifica preregistrata della tesi della densità, che postulava l'addensamento statisticamente significativo degli eventi stragisti attorno alle scadenze del processo di integrazione europea, fu condotta con modello nullo di Poisson e restituì un valore di probabilità pari a 0,60, largamente superiore a ogni soglia di significatività, imponendo l'abbandono della tesi quale prova e la sua derubricazione a suggestione narrativa; la fase ha confermato quel verdetto sul piano qualitativo, mostrando che la periodizzazione a onde della serie stragista si spiega con le dinamiche interne documentate. Il bilancio si articola quindi in 3 constatazioni. La prima: la matrice accertata dello stragismo, tanto nella verità storica del 2005 quanto nei giudicati del 2017 e del 1995 bolognese, è interna, ordinovista prima e dello spontaneismo armato dei Nuclei Armati Rivoluzionari poi, e nessun giudicato ha accertato una regia straniera, di qualsivoglia campo, sugli eventi. La seconda: la dimensione internazionale documentata del fenomeno, dalla centrale di Lisbona alle latitanze iberiche e latinoamericane, si colloca integralmente sul versante occidentale e anticomunista del confronto bipolare, in continuità con quanto le Fasi 1 e 2 hanno accertato per la finanza e per gli apparati; anche in questa fase, nessun elemento di Livello A o di Livello B documenta un concorso del blocco orientale negli eventi censiti, e a fortiori nessuno documenta la convergenza dei 2 blocchi che H1 postula. La terza constatazione è il reperto di chiusura, che il registro considera il più eloquente: gli stessi atti parlamentari conclusivi sulla stagione, presenti nel corpus, contengono elaborati di segno opposto, l'uno che ricostruisce la dimensione sovranazionale della strategia della tensione in chiave atlantica, l'altro che ricostruisce l'ombra del blocco sovietico e dei suoi servizi sul terrorismo italiano; le 2 ricostruzioni, ciascuna espressione di una parte politica e nessuna consacrata da approvazione unanime né da giudicato, si escludono reciprocamente nell'attribuzione della regia, e nemmeno la più audace delle 2 ipotizza ciò che H1 richiede, ossia che i 2 blocchi abbiano agito in convergenza. Il registro ne trae la conclusione metodologica: l'ipotesi H1 esce dalla terza fase nella condizione di un'ipotesi che non solo non ha trovato riscontri, ma che non è sostenuta nemmeno dalle tesi di parte più estreme depositate negli atti dello Stato, le quali si limitano ad attribuire la regia all'uno o all'altro campo in alternativa; essa permane al Livello C quale ipotesi formalmente falsificabile e non falsificata, ma il peso cumulato di 3 fasi milita ormai uniformemente a favore del falsificatore concorrente, la lettura per cui furono le dinamiche interne, incardinate nel confronto bipolare ordinario, e non una convergenza straordinaria tra i blocchi, a produrre la stagione; la parola definitiva è rinviata, come il metodo impone, alle fasi mancanti.</w:t>
      </w:r>
    </w:p>
    <w:p>
      <w:pPr>
        <w:spacing w:after="120" w:line="276"/>
        <w:jc w:val="both"/>
      </w:pPr>
      <w:r>
        <w:rPr>
          <w:rFonts w:ascii="Barlow Semi Condensed" w:cs="Barlow Semi Condensed" w:eastAsia="Barlow Semi Condensed" w:hAnsi="Barlow Semi Condensed"/>
          <w:sz w:val="24"/>
          <w:szCs w:val="24"/>
        </w:rPr>
        <w:t xml:space="preserve">Il quinto risultato è la mappa delle centralità aggiornata. Nel sottografo della fase, la massima centralità di intermediazione del versante eversivo appartiene a Stefano Delle Chiaie, il nodo che connette l'eversione italiana, quella iberica e quella latinoamericana, e la sua condizione di assolto integrale rende la sua centralità il caso più puro di potere relazionale documentato senza responsabilità penale accertata; la massima centralità della finestra 1980 appartiene ai Nuclei Armati Rivoluzionari, i cui uomini compaiono, quali condannati a Bologna e quali assolti per Mattarella, su entrambi i versanti della violenza di quell'anno; e la saldatura complessiva con le fasi precedenti conferma la P2 quale nodo a massima intermediazione dell'intero grafo, presente ora anche nello strato dei mandanti di Bologna secondo la fonte di Livello B recepita.</w:t>
      </w:r>
    </w:p>
    <w:p>
      <w:pPr>
        <w:spacing w:after="120" w:line="276"/>
        <w:jc w:val="both"/>
      </w:pPr>
      <w:r>
        <w:rPr>
          <w:rFonts w:ascii="Barlow Semi Condensed" w:cs="Barlow Semi Condensed" w:eastAsia="Barlow Semi Condensed" w:hAnsi="Barlow Semi Condensed"/>
          <w:sz w:val="24"/>
          <w:szCs w:val="24"/>
        </w:rPr>
        <w:t xml:space="preserve">A questo censimento il registro aggiunge il raccordo con il grafo cumulato delle fasi precedenti. La saldatura dei 3 sottografi conferma e affina la topologia complessiva: la loggia P2 mantiene la massima intermediazione dell'intero grafo, presente ora su 3 terreni, il quadrilatero finanziario della Fase 1, la cattura degli apparati della Fase 2 e, per la strage di Bologna, tanto lo strato giudicato dell'ostruzione quanto lo strato recepito dei mandanti; il Dominio 3 si conferma il connettivo degli eventi, presente in ogni strage maggiore della fase attraverso le proprie fonti, Giannettini e Tramonte, o i propri depistaggi giudicati; e il versante eversivo esprime i propri intermediari specifici, Delle Chiaie verso l'estero e la comunità ordinovista triveneta all'interno, entrambi connessi al grafo cumulato attraverso gli ambienti, gli eventi e le protezioni censite. Emerge altresì, quale acquisizione della fase, la proiezione ricorrente verso il Dominio 8, il controllo dell'informazione: la copertura giornalistica di Aginter Press, la qualità di pubblicista della fonte Giannettini, la presenza di un direttore di testata nel quadro recepito dei mandanti di Bologna, e la funzione della falsa informazione in ogni depistaggio censito compongono un filo che attraversa la fase senza avervi ricevuto trattazione propria, e che il registro consegna formalmente all'economia complessiva dell'opera quale dominio da saldare.</w:t>
      </w:r>
    </w:p>
    <w:p>
      <w:pPr>
        <w:spacing w:after="120" w:line="276"/>
        <w:jc w:val="both"/>
      </w:pPr>
      <w:r>
        <w:rPr>
          <w:rFonts w:ascii="Barlow Semi Condensed" w:cs="Barlow Semi Condensed" w:eastAsia="Barlow Semi Condensed" w:hAnsi="Barlow Semi Condensed"/>
          <w:sz w:val="24"/>
          <w:szCs w:val="24"/>
        </w:rPr>
        <w:t xml:space="preserve">La fase consegna infine i propri fili alle 2 fasi restanti. Alla Fase 4, dedicata al caso Moro, consegna: la struttura Hyperion, il cui isomorfismo con Aginter è stato certificato quale reperto comparativo e la cui trattazione propria appartiene al teatro moroteo; la metodologia della decomposizione per strati sperimentata su Bologna, che il caso Moro esigerà nella sua forma più rigorosa; e la figura della fonte dentro l'ambiente, che gli atti sul sequestro ripropongono in altra veste. Alla Fase 5, dedicata alla proiezione internazionale e alla sintesi reticolare, consegna: il teatro iberico e latinoamericano aperto dalla latitanza di Delle Chiaie e dalla centrale di Lisbona, con i regimi del Cile e della Bolivia e la rete continentale che li connette; il teatro sudafricano aperto dalla latitanza di Maletti; e il compito della composizione finale del grafo, con il calcolo conclusivo delle centralità e la verifica terminale delle ipotesi concorrenti.</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Fase 3 certifica la comunità ordinovista triveneta quale matrice del primo stragismo, per consilienza tra la verità storica del giudicato del 2005 su piazza Fontana e la condanna irrevocabile del 2017 per piazza della Loggia; certifica la progressione dell'arco Dominio 3-Dominio 7 dalla copertura della fonte alla partecipazione della fonte, con il caso Tramonte quale forma più diretta mai giudicata; consolida la tassonomia in 7 specie dell'ostruzione, tutte accertate; registra il quadro dei mandanti di Bologna al Livello B con l'aggiornamento dichiarato del nodo D'Amato; sigilla sul nodo Mattarella la differenza tra rete certificata e rete congetturata; e consegna l'ipotesi H1, priva di sostegno tanto nei giudicati quanto negli elaborati di parte che si escludono a vicenda, al suo Livello C con bilancio cumulato di 3 fasi uniformemente contrario, rinviando alle Fasi 4 e 5 il completamento dell'opera.</w:t>
      </w:r>
    </w:p>
    <w:p>
      <w:pPr>
        <w:pStyle w:val="Heading2"/>
        <w:spacing w:after="100" w:before="200"/>
      </w:pPr>
      <w:r>
        <w:rPr>
          <w:rFonts w:ascii="Barlow Semi Condensed" w:cs="Barlow Semi Condensed" w:eastAsia="Barlow Semi Condensed" w:hAnsi="Barlow Semi Condensed"/>
          <w:sz w:val="24"/>
          <w:szCs w:val="24"/>
        </w:rPr>
        <w:t xml:space="preserve">FASE IV</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caso Moro</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Il quarto cerchio: i 55 giorni, i 3 piani e il divieto inferenziale</w:t>
      </w:r>
    </w:p>
    <w:p>
      <w:pPr>
        <w:pStyle w:val="Heading3"/>
        <w:spacing w:after="80" w:before="160"/>
      </w:pPr>
      <w:r>
        <w:rPr>
          <w:rFonts w:ascii="Barlow Semi Condensed" w:cs="Barlow Semi Condensed" w:eastAsia="Barlow Semi Condensed" w:hAnsi="Barlow Semi Condensed"/>
          <w:sz w:val="24"/>
          <w:szCs w:val="24"/>
        </w:rPr>
        <w:t xml:space="preserve">Avvertenza di fase, decomposizione in 3 piani e sospensione dichiarata della lente sistemica</w:t>
      </w:r>
    </w:p>
    <w:p>
      <w:pPr>
        <w:spacing w:after="120" w:line="276"/>
        <w:jc w:val="both"/>
      </w:pPr>
      <w:r>
        <w:rPr>
          <w:rFonts w:ascii="Barlow Semi Condensed" w:cs="Barlow Semi Condensed" w:eastAsia="Barlow Semi Condensed" w:hAnsi="Barlow Semi Condensed"/>
          <w:sz w:val="24"/>
          <w:szCs w:val="24"/>
        </w:rPr>
        <w:t xml:space="preserve">La Fase 4 è dedicata per intero a un solo caso: il sequestro e l'assassinio di Aldo Moro, dal 16 marzo al 9 maggio 1978. La concentrazione di una fase su un evento unico non è una sproporzione ma una necessità misurata dai dati: il nome di Moro ricorre nel corpus 3.428 volte in 113 documenti su 220, la massima frequenza assoluta dell'intera opera, superiore a quella di qualunque organizzazione, evento o istituzione censita; il caso è l'oggetto di 5 procedimenti giudiziari principali con esiti irrevocabili, di 3 commissioni parlamentari d'inchiesta dedicate o largamente dedicate, e di un corpus documentale, dalle lettere della prigionia al memoriale nei suoi successivi ritrovamenti, che non ha eguali nella storia repubblicana. Il caso Moro è, nella topologia dell'opera, il punto di massima densità dell'intero grafo, l'evento sul quale convergono più archi da più domini che su ogni altro; e la fase lo tratta con l'impianto consueto dei 10 nodi, applicandovi però 3 dispositivi metodologici propri, che questa avvertenza dichiara.</w:t>
      </w:r>
    </w:p>
    <w:p>
      <w:pPr>
        <w:spacing w:after="120" w:line="276"/>
        <w:jc w:val="both"/>
      </w:pPr>
      <w:r>
        <w:rPr>
          <w:rFonts w:ascii="Barlow Semi Condensed" w:cs="Barlow Semi Condensed" w:eastAsia="Barlow Semi Condensed" w:hAnsi="Barlow Semi Condensed"/>
          <w:sz w:val="24"/>
          <w:szCs w:val="24"/>
        </w:rPr>
        <w:t xml:space="preserve">Il primo dispositivo è la decomposizione in 3 piani, che la Fase 3 ha sperimentato sulla strage di Bologna e che il caso Moro esige nella forma più rigorosa. Il piano primo è quello degli esecutori e dei dirigenti dell'azione: chi rapì, custodì, interrogò e uccise Aldo Moro, e chi ne deliberò l'esecuzione all'interno dell'organizzazione. Su questo piano il registro dispone di giudicati irrevocabili formatisi in 5 procedimenti, e le certificazioni di Livello A abbondano. Il piano secondo è quello della condotta degli apparati e delle istituzioni durante i 55 giorni: le ricerche, le loro anomalie, le compresenze, i depistaggi. Su questo piano il registro dispone di accertamenti parlamentari e giudiziari di qualità disuguale, e le certificazioni si distribuiscono su tutti i livelli. Il piano terzo è quello del mandato o del condizionamento esterno: l'ipotesi che sopra o accanto all'organizzazione esecutrice abbiano operato volontà ulteriori. Su questo piano il registro non dispone di alcun giudicato, e le certificazioni non superano, salvo puntuali eccezioni dichiarate, il Livello C. Il divieto inferenziale che governa la fase è la proiezione della Regola Ferrea su questa decomposizione: nessun elemento del piano secondo, per quanto grave, trasferisce alcunché al piano terzo; le anomalie della condotta certificano sé stesse, e il passaggio dall'ostruzione al mandato resta vietato qui come in ogni fase, con l'aggravante che nel caso Moro la tentazione di quel passaggio è stata, per 4 decenni, la principale fabbrica di vulgata.</w:t>
      </w:r>
    </w:p>
    <w:p>
      <w:pPr>
        <w:spacing w:after="120" w:line="276"/>
        <w:jc w:val="both"/>
      </w:pPr>
      <w:r>
        <w:rPr>
          <w:rFonts w:ascii="Barlow Semi Condensed" w:cs="Barlow Semi Condensed" w:eastAsia="Barlow Semi Condensed" w:hAnsi="Barlow Semi Condensed"/>
          <w:sz w:val="24"/>
          <w:szCs w:val="24"/>
        </w:rPr>
        <w:t xml:space="preserve">Il secondo dispositivo è la sospensione dichiarata, per questa sola fase, della lente sistemica luhmanniana che la Nota metodologica assume quale quadro generale. La teoria dei sistemi legge i domini quali sfere operativamente chiuse che si osservano e si accoppiano; ma il materiale del caso Moro, e segnatamente il piano della condotta degli apparati, presenta una fenomenologia che quella lente non mette a fuoco: uomini delle istituzioni la cui condotta appare orientata simultaneamente da lealtà diverse, verso l'ordinamento costituzionale e verso vincoli ulteriori, di campo, di loggia o di alleanza. Per leggere questa fenomenologia il registro adotta, quale lente di fase e non quale certificazione, la categoria storiografica della doppia lealtà, elaborata dalla storiografia sul doppio Stato: non la postulazione di 2 apparati separati, che la Fase 2 ha espressamente ricusato e che resta ricusata, ma l'ipotesi di lavoro di una duplicità interna agli stessi uomini e alle stesse strutture, compatibile con tutti gli accertamenti sulla cattura piduista del vertice informativo che le fasi precedenti hanno certificato al Livello A. La sospensione è dichiarata, circoscritta e reversibile: è un cambio di lente, non un cambio di standard probatorio, e ogni certificazione della fase resta soggetta alla triangolazione consueta.</w:t>
      </w:r>
    </w:p>
    <w:p>
      <w:pPr>
        <w:spacing w:after="120" w:line="276"/>
        <w:jc w:val="both"/>
      </w:pPr>
      <w:r>
        <w:rPr>
          <w:rFonts w:ascii="Barlow Semi Condensed" w:cs="Barlow Semi Condensed" w:eastAsia="Barlow Semi Condensed" w:hAnsi="Barlow Semi Condensed"/>
          <w:sz w:val="24"/>
          <w:szCs w:val="24"/>
        </w:rPr>
        <w:t xml:space="preserve">Il terzo dispositivo è la disciplina delle dichiarazioni del prigioniero. Le lettere e il memoriale di Moro costituiscono una fonte senza analoghi: la voce di un uomo di Stato che scrive da una prigione clandestina, sotto costrizione, in un negoziato per la vita, e che al contempo conosce dall'interno, come pochi, la materia di cui scrive. Il registro le tratta secondo l'Indice di Contaminazione nella configurazione più complessa dell'opera: la costrizione impone cautela sulla spontaneità, la competenza dell'autore impone attenzione al contenuto, e la disciplina adottata, che i capitoli espliciteranno, distingue il fatto della scrittura e della consegna, certificabile, dal valore probatorio dei singoli enunciati, da vagliare uno a uno senza mai assumere né che il prigioniero mentisse perché costretto né che dicesse il vero perché morente.</w:t>
      </w:r>
    </w:p>
    <w:p>
      <w:pPr>
        <w:spacing w:after="120" w:line="276"/>
        <w:jc w:val="both"/>
      </w:pPr>
      <w:r>
        <w:rPr>
          <w:rFonts w:ascii="Barlow Semi Condensed" w:cs="Barlow Semi Condensed" w:eastAsia="Barlow Semi Condensed" w:hAnsi="Barlow Semi Condensed"/>
          <w:sz w:val="24"/>
          <w:szCs w:val="24"/>
        </w:rPr>
        <w:t xml:space="preserve">Anche questa fase prosegue la verifica dell'ipotesi H1, e lo fa sul terreno che la vulgata considera il più favorevole all'ipotesi: il progetto politico di Moro quale oggetto di avversione internazionale. La chiusura renderà il bilancio, anticipandone qui il perimetro: la fase certificherà ciò che è documentabile sulle contrarietà delle 2 superpotenze al progetto della solidarietà nazionale, distinguerà con il massimo rigore la convergenza oggettiva degli interessi dalla convergenza operativa delle condotte, e misurerà H1 su questa distinzione, che è esattamente quella che la tassonomia degli archi della Nota metodologica codifica nel quarto tipo, l'arco di convergenza. Una nota sulle fonti completa l'avvertenza. Il caso Moro è l'oggetto della più lunga stratificazione di inchieste parlamentari della storia repubblicana, e il registro ne usa i depositi distinguendone le stagioni: la prima Commissione, istituita nel 1979 e conclusa nel 1983, che operò a ridosso dei fatti, con il valore e i limiti della prossimità; la Commissione sulle stragi, che tornò sul caso negli anni Novanta entro il quadro generale della violenza politica, raccogliendo il materiale reso disponibile dalle dissociazioni e dai ritrovamenti del 1990; e la Commissione della XVII legislatura, operante dal 2014 al 2017, che ha condotto la ricognizione documentale e peritale più recente. Il registro tratta i 3 depositi quali fonti parlamentari di alta affidabilità, ciascuna figlia del proprio stato degli atti, e applica alla loro successione la medesima lezione che la Fase 3 ha tratto dal caso bresciano: le conclusioni delle stagioni successive non riflettono giudici o commissari migliori, ma archivi progressivamente più aperti, e la datazione di ogni acquisizione è parte della sua certificazione. Il corpus dell'opera comprende, accanto agli atti, i registri analitici specificamente dedicati al caso che il progetto ha stratificato in versioni successive, dei quali la presente fase costituisce la proiezione entro l'architettura dei 5 cerchi.</w:t>
      </w:r>
    </w:p>
    <w:p>
      <w:pPr>
        <w:spacing w:after="120" w:line="276"/>
        <w:jc w:val="both"/>
      </w:pPr>
      <w:r>
        <w:rPr>
          <w:rFonts w:ascii="Barlow Semi Condensed" w:cs="Barlow Semi Condensed" w:eastAsia="Barlow Semi Condensed" w:hAnsi="Barlow Semi Condensed"/>
          <w:sz w:val="24"/>
          <w:szCs w:val="24"/>
        </w:rPr>
        <w:t xml:space="preserve">Il fondamento documentale della fase merita una specificazione ulteriore, perché la sua composizione governa la qualità delle certificazioni. Il corpus comprende, per il caso Moro, 4 famiglie di fonti primarie: gli atti giudiziari dei 5 procedimenti, con le sentenze di ogni grado; gli atti delle 3 stagioni parlamentari, ivi compresi i resoconti stenografici delle audizioni, che il registro possiede in trascrizione analitica per la prima Commissione, con le deposizioni dei protagonisti istituzionali della gestione rese a ridosso dei fatti; l'edizione critica integrale delle lettere della prigionia, che consente il confronto filologico tra il recapitato, il trattenuto e l'emerso; e il corpus biografico e documentale sulla figura di Moro dal 1932 al 1978, che fonda il capitolo di apertura. A queste famiglie si aggiungono le fonti memorialistiche dei protagonisti di ogni versante, i condannati, i gestori istituzionali, i familiari, che il registro tratta uniformemente quali fonti di parte da riscontrare, e la letteratura di ricostruzione, utilizzata quale guida ai documenti e mai quale fonte autonoma di fatti. La regola di ingaggio è unica per tutte le famiglie: ogni certificazione della fase indica la natura della fonte che la sostiene, e la distanza temporale tra il fatto e la fonte è essa stessa un attributo registrato, giacché la fase maneggia dichiarazioni rese a distanze che vanno dal giorno stesso a 40 anni, e il tempo, in questa materia, non è neutro: accresce la libertà del dichiarante e insieme le occasioni di contaminazione, e il registro pesa entrambi gli effetti caso per caso.</w:t>
      </w:r>
    </w:p>
    <w:p>
      <w:pPr>
        <w:spacing w:after="120" w:line="276"/>
        <w:jc w:val="both"/>
      </w:pPr>
      <w:r>
        <w:rPr>
          <w:rFonts w:ascii="Barlow Semi Condensed" w:cs="Barlow Semi Condensed" w:eastAsia="Barlow Semi Condensed" w:hAnsi="Barlow Semi Condensed"/>
          <w:sz w:val="24"/>
          <w:szCs w:val="24"/>
        </w:rPr>
        <w:t xml:space="preserve">Sulla categoria della doppia lealtà, la cui adozione quale lente di fase è stata dichiarata, si impone la precisazione genealogica che la correttezza esige. La categoria proviene dalla storiografia italiana sul doppio Stato, e segnatamente dalla riflessione che, alla fine degli anni Ottanta, propose di leggere la storia repubblicana attraverso la compresenza, negli stessi apparati e talora negli stessi uomini, di una lealtà all'ordinamento costituzionale e di una lealtà ulteriore al vincolo di campo della guerra fredda, attivabile nelle emergenze: non 2 Stati separati, ma 1 Stato attraversato da 2 codici di fedeltà gerarchicamente ordinati dall'appartenenza al blocco. Il registro adotta la categoria in questa formulazione precisa, e ne dichiara i 3 pregi operativi per la fase: essa è compatibile con gli accertamenti delle fasi precedenti, che hanno documentato la cattura piduista degli apparati senza mai certificare un apparato parallelo separato; essa rende conto della fenomenologia tipica del piano secondo, condotte istituzionali formalmente regolari e sostanzialmente anomale, senza costringere a scegliere tra la lettura del tradimento e quella dell'errore; ed essa è, a differenza delle vulgate, falsificabile, giacché predice che le anomalie si addensino nei punti in cui il vincolo di campo era in tensione con il dovere d'ufficio, una predizione che i capitoli metteranno alla prova sui fatti certificati. Il limite, parimenti dichiarato, è che la categoria descrive e non prova: essa ordina i fatti del piano secondo, non li trasferisce al piano terzo, e ogni suo uso nella fase resta sotto il divieto inferenziale che governa l'insieme.</w:t>
      </w:r>
    </w:p>
    <w:p>
      <w:pPr>
        <w:spacing w:after="120" w:line="276"/>
        <w:jc w:val="both"/>
      </w:pPr>
      <w:r>
        <w:rPr>
          <w:rFonts w:ascii="Barlow Semi Condensed" w:cs="Barlow Semi Condensed" w:eastAsia="Barlow Semi Condensed" w:hAnsi="Barlow Semi Condensed"/>
          <w:sz w:val="24"/>
          <w:szCs w:val="24"/>
        </w:rPr>
        <w:t xml:space="preserve">Una disciplina particolare governa il trattamento delle persone viventi. Diversi protagonisti del caso, tra gli esecutori giudicati e i dirigenti dell'organizzazione, sono in vita nel momento in cui il registro è redatto, e alcuni hanno reso, nei decenni, dichiarazioni pubbliche, memorie e interviste che costituiscono esse stesse fonti. Il registro tratta costoro secondo una regola unica e dichiarata: riporta i fatti a loro carico accertati in via definitiva dai giudicati, riporta gli esiti processuali che li riguardano nella loro esattezza, comprese le assoluzioni, e riporta le loro dichiarazioni pubbliche quali documenti, senza aggiungervi inferenza associativa alcuna né attribuire loro condotte che il giudicato non abbia accertato. Il principio che il registro applica è che la persona vivente ha diritto a che di lei si affermi ciò che è stato provato e null'altro, e che la disciplina degli esiti, la quale segue il giudicato in ogni direzione, è insieme una regola di metodo e una regola di rispetto: il registro non costruisce, sul nome di chi è in vita, coerenze che i documenti non autorizzano, e mantiene su ogni lettura eccedente il livello ipotetico che le compete, con la stessa fermezza con cui certifica i fatti provati.</w:t>
      </w:r>
    </w:p>
    <w:p>
      <w:pPr>
        <w:spacing w:after="120" w:line="276"/>
        <w:jc w:val="both"/>
      </w:pPr>
      <w:r>
        <w:rPr>
          <w:rFonts w:ascii="Barlow Semi Condensed" w:cs="Barlow Semi Condensed" w:eastAsia="Barlow Semi Condensed" w:hAnsi="Barlow Semi Condensed"/>
          <w:sz w:val="24"/>
          <w:szCs w:val="24"/>
        </w:rPr>
        <w:t xml:space="preserve">Una nota sulle scelte terminologiche chiude l'avvertenza. Il registro adotta un lessico deliberatamente sobrio e giuridicamente cauto, che evita tanto l'enfasi commemorativa quanto la freddezza burocratica: designa l'organizzazione responsabile del sequestro quale organizzazione, senza gli aggettivi celebrativi o denigratori che la pubblicistica ha impiegato; designa Aldo Moro nei 55 giorni quale prigioniero, il termine che ne registra la condizione materiale senza pronunciarsi sulla qualificazione politica che l'organizzazione pretendeva; designa gli atti dell'organizzazione con i nomi che gli atti processuali hanno consacrato, sequestro, esecuzione, comunicati, senza adottare né il lessico rivendicativo dei carcerieri né quello puramente emotivo delle cronache. La scelta non è neutralità di comodo ma condizione del metodo: un registro che certifica fatti a livelli di prova deve adottare un lessico che non anticipi, con la connotazione delle parole, le conclusioni che spettano ai fatti, e ogni termine di questa avvertenza e dei capitoli che seguono è scelto per dire esattamente ciò che è provato, al grado in cui è provato, e nulla di più.</w:t>
      </w:r>
    </w:p>
    <w:p>
      <w:pPr>
        <w:spacing w:after="120" w:line="276"/>
        <w:jc w:val="both"/>
      </w:pPr>
      <w:r>
        <w:rPr>
          <w:rFonts w:ascii="Barlow Semi Condensed" w:cs="Barlow Semi Condensed" w:eastAsia="Barlow Semi Condensed" w:hAnsi="Barlow Semi Condensed"/>
          <w:sz w:val="24"/>
          <w:szCs w:val="24"/>
        </w:rPr>
        <w:t xml:space="preserve">Una nota di edizione precisa infine lo statuto del presente testo. La fase è qui consegnata nella propria edizione integrale, che porta l'apparato documentale del caso alla massima estensione compatibile con lo stato certificato degli atti: la struttura, l'avvertenza, i 10 capitoli nodali, il repertorio unitario e la chiusura reticolare, resta quella dell'impianto originario, e l'ampliamento ha investito esclusivamente la densità dei pilastri, portati a oltre 130, l'articolazione dei versanti del repertorio e il bilancio dei risultati, senza che un solo criterio, un solo livello o una sola regola siano stati modificati; ogni pilastro aggiunto risponde ai medesimi requisiti dei pilastri originari, il fatto datato, la fonte qualificata, il livello dichiarato, la separazione tra il certificato e l'ipotetico, e l'edizione integrale va perciò letta non quale revisione ma quale saturazione documentale della fase, l'adempimento del principio per cui il registro deve contenere tutto ciò che è certificabile e nulla che non lo sia, nella misura in cui lo stato degli atti alla data della redazione lo consente.</w:t>
      </w:r>
    </w:p>
    <w:p>
      <w:pPr>
        <w:spacing w:after="120" w:line="276"/>
        <w:jc w:val="both"/>
      </w:pPr>
      <w:r>
        <w:rPr>
          <w:rFonts w:ascii="Barlow Semi Condensed" w:cs="Barlow Semi Condensed" w:eastAsia="Barlow Semi Condensed" w:hAnsi="Barlow Semi Condensed"/>
          <w:sz w:val="24"/>
          <w:szCs w:val="24"/>
        </w:rPr>
        <w:t xml:space="preserve">L'ordine espositivo muove dall'uomo e dal progetto, attraversa l'evento, l'organizzazione esecutrice, i 55 giorni, il corpus documentale e l'epilogo, quindi i nodi satellite, Hyperion, Pecorelli e Dalla Chiesa, e si chiude sul piano del mandato con il sigillo del divieto inferenziale. Le vittime sono nominate, a cominciare dai 5 uomini della scorta, quale atto dovuto.</w:t>
      </w:r>
    </w:p>
    <w:p>
      <w:pPr>
        <w:pStyle w:val="Heading3"/>
        <w:spacing w:after="80" w:before="160"/>
      </w:pPr>
      <w:r>
        <w:rPr>
          <w:rFonts w:ascii="Barlow Semi Condensed" w:cs="Barlow Semi Condensed" w:eastAsia="Barlow Semi Condensed" w:hAnsi="Barlow Semi Condensed"/>
          <w:sz w:val="24"/>
          <w:szCs w:val="24"/>
        </w:rPr>
        <w:t xml:space="preserve">Capitolo 1 — ▶ Aldo Moro. L'uomo, il progetto e il movente politico</w:t>
      </w:r>
    </w:p>
    <w:p>
      <w:pPr>
        <w:spacing w:after="120" w:line="276"/>
        <w:jc w:val="both"/>
      </w:pPr>
      <w:r>
        <w:rPr>
          <w:rFonts w:ascii="Barlow Semi Condensed" w:cs="Barlow Semi Condensed" w:eastAsia="Barlow Semi Condensed" w:hAnsi="Barlow Semi Condensed"/>
          <w:sz w:val="24"/>
          <w:szCs w:val="24"/>
        </w:rPr>
        <w:t xml:space="preserve">Aldo Moro, nato a Maglie il 23 settembre 1916, giurista, 5 volte presidente del Consiglio, presidente della Democrazia Cristiana al momento del sequestro, è il nodo-persona attorno al quale l'intera fase si costruisce, e il registro apre da lui perché la comprensione dell'evento esige la comprensione preliminare del progetto politico che l'evento troncò. Il corpus dell'opera comprende una ricostruzione documentale integrale della sua biografia politica dal 1932 al 1978, dalla quale il registro attinge i tratti certificati.</w:t>
      </w:r>
    </w:p>
    <w:p>
      <w:pPr>
        <w:spacing w:after="120" w:line="276"/>
        <w:jc w:val="both"/>
      </w:pPr>
      <w:r>
        <w:rPr>
          <w:rFonts w:ascii="Barlow Semi Condensed" w:cs="Barlow Semi Condensed" w:eastAsia="Barlow Semi Condensed" w:hAnsi="Barlow Semi Condensed"/>
          <w:sz w:val="24"/>
          <w:szCs w:val="24"/>
        </w:rPr>
        <w:t xml:space="preserve">Il primo pilastro è il profilo del costruttore di equilibri, certificato al Livello A dalla documentazione biografica e istituzionale. Moro fu, lungo 3 decenni, l'artefice delle 2 grandi operazioni di allargamento della base dello Stato repubblicano: l'apertura a sinistra dei primi anni Sessanta, che portò il Partito socialista nell'area di governo, da lui guidata quale segretario del partito e poi quale presidente del Consiglio dei governi organici di centrosinistra; e la strategia dell'attenzione verso il Partito comunista, maturata negli anni Settanta e culminata nella stagione della solidarietà nazionale, con i governi sostenuti dall'astensione e poi dal voto favorevole comunista, il secondo dei quali avrebbe ottenuto la fiducia esattamente il 16 marzo 1978. Il registro certifica al Livello A la titolarità morotea di entrambe le operazioni e la circostanza, di portata simbolica misurabile, che il sequestro avvenne nelle ore in cui il Parlamento votava la fiducia al primo governo della Repubblica nato con il concorso determinante del Partito comunista: la coincidenza tra l'agguato e il voto è un fatto di calendario, certificato, e la sua lettura quale scelta deliberata di data appartiene alla dichiarata strategia comunicativa dell'organizzazione esecutrice, che rivendicò l'attacco al cuore dello Stato nel giorno del suo nuovo equilibrio.</w:t>
      </w:r>
    </w:p>
    <w:p>
      <w:pPr>
        <w:spacing w:after="120" w:line="276"/>
        <w:jc w:val="both"/>
      </w:pPr>
      <w:r>
        <w:rPr>
          <w:rFonts w:ascii="Barlow Semi Condensed" w:cs="Barlow Semi Condensed" w:eastAsia="Barlow Semi Condensed" w:hAnsi="Barlow Semi Condensed"/>
          <w:sz w:val="24"/>
          <w:szCs w:val="24"/>
        </w:rPr>
        <w:t xml:space="preserve">Il secondo pilastro è il sistema delle opposizioni al progetto, che il registro censisce su 3 cerchi con la graduazione dovuta. Il cerchio interno è quello delle resistenze dentro la Democrazia Cristiana e dentro il sistema politico italiano, documentate al Livello A dalla dialettica congressuale e parlamentare della stagione: la linea morotea non era la linea di tutto il partito, e la sua prevalenza fu il frutto di una mediazione permanente. Il cerchio intermedio è quello dell'avversione del terrorismo di entrambi i segni al compromesso in costruzione: per l'estrema sinistra armata, la solidarietà nazionale era il tradimento definitivo che consegnava il movimento operaio allo Stato borghese, e l'attacco a Moro fu rivendicato precisamente quale attacco alla mente di quel disegno; il registro lo certifica al Livello A sul fondamento della documentazione dell'organizzazione. Il cerchio esterno è quello delle contrarietà internazionali, che il registro tratta con la disciplina che l'avvertenza ha annunciato: la contrarietà degli Stati Uniti all'ingresso del Partito comunista nell'area di governo di un Paese fondatore dell'Alleanza atlantica è documentata da atti pubblici della diplomazia americana della stagione e da convergenti testimonianze dirette su avvertimenti ricevuti da Moro nei suoi viaggi transatlantici, che collaboratori del presidente riferirono in sede giudiziaria e parlamentare; il registro la certifica al Livello B, quale convergenza di fonti dirette e documentali. La contrarietà sovietica all'eurocomunismo e alla prospettiva di un partito comunista occidentale legittimato al governo fuori dal campo, erosiva del primato di Mosca sul movimento, è documentata dalle prese di posizione pubbliche della stampa di partito sovietica contro la linea eurocomunista; il registro la certifica al Livello B. La compresenza delle 2 contrarietà è dunque certificata; la loro natura, parallela o coordinata, è la questione che la chiusura di fase affronterà quale banco di prova terminale di H1, e che nessun capitolo anticipa.</w:t>
      </w:r>
    </w:p>
    <w:p>
      <w:pPr>
        <w:spacing w:after="120" w:line="276"/>
        <w:jc w:val="both"/>
      </w:pPr>
      <w:r>
        <w:rPr>
          <w:rFonts w:ascii="Barlow Semi Condensed" w:cs="Barlow Semi Condensed" w:eastAsia="Barlow Semi Condensed" w:hAnsi="Barlow Semi Condensed"/>
          <w:sz w:val="24"/>
          <w:szCs w:val="24"/>
        </w:rPr>
        <w:t xml:space="preserve">Il terzo pilastro è il movente politico dell'evento, che il registro formula nella sola forma certificabile: l'uomo sequestrato il 16 marzo 1978 era il costruttore e il garante dell'equilibrio politico più conteso della storia repubblicana, avversato dal terrorismo interno per ragioni dichiarate e sgradito, per ragioni opposte e speculari, a entrambe le superpotenze; la sua eliminazione produsse oggettivamente la fine di quel progetto, che non sopravvisse alla sua morte, e la certificazione di questo esito, al Livello A quale dato storico, non contiene né presuppone alcuna attribuzione di intenzione a soggetti diversi dagli esecutori giudicati, secondo il divieto che governa la fase.</w:t>
      </w:r>
    </w:p>
    <w:p>
      <w:pPr>
        <w:spacing w:after="120" w:line="276"/>
        <w:jc w:val="both"/>
      </w:pPr>
      <w:r>
        <w:rPr>
          <w:rFonts w:ascii="Barlow Semi Condensed" w:cs="Barlow Semi Condensed" w:eastAsia="Barlow Semi Condensed" w:hAnsi="Barlow Semi Condensed"/>
          <w:sz w:val="24"/>
          <w:szCs w:val="24"/>
        </w:rPr>
        <w:t xml:space="preserve">Il quarto pilastro è il fondamento documentale biografico, che il registro dichiara. Il corpus dell'opera comprende la ricostruzione integrale della traiettoria di Moro dal 1932 al 1978: la formazione nella Federazione universitaria cattolica, di cui fu presidente nazionale negli anni della guerra; l'elezione alla Costituente nel 1946 e il contributo, da giurista, alla scrittura della prima parte della Carta; la carriera di governo e di partito, dai ministeri della giustizia e dell'istruzione alla segreteria del 1959, sino alle 5 presidenze del Consiglio e alla presidenza del partito assunta nel 1976; e l'elaborazione dottrinale, consegnata ai discorsi congressuali, di una concezione della democrazia quale processo inclusivo per fasi, nella quale l'allargamento della base dello Stato ai partiti esclusi non era una tattica ma il compimento del disegno costituzionale. Il registro certifica al Livello A questa traiettoria, quale materia documentale, e ne trae l'annotazione che governa la fase: l'uomo sequestrato non era un mediatore occasionale ma il teorico e il pratico più coerente dell'inclusione democratica, e la continuità quarantennale del disegno, dalla Costituente alla solidarietà nazionale, è essa stessa un dato certificato che misura la posta dell'evento; chi colpì Moro colpì una funzione storica documentata, non una congiuntura. Il registro annota altresì, per l'economia delle fasi, che la biografia attraversa tutti gli snodi che l'opera ha censito: Moro fu presidente del Consiglio negli anni del Piano Solo, ministro degli esteri nella stagione della crisi mediterranea, e il suo nome ricorre negli atti di ogni commissione trattata; la sua posizione rispetto a tali snodi appartiene ai singoli accertamenti richiamati, e il registro la mantiene, per ciascuno, entro i livelli propri.</w:t>
      </w:r>
    </w:p>
    <w:p>
      <w:pPr>
        <w:spacing w:after="120" w:line="276"/>
        <w:jc w:val="both"/>
      </w:pPr>
      <w:r>
        <w:rPr>
          <w:rFonts w:ascii="Barlow Semi Condensed" w:cs="Barlow Semi Condensed" w:eastAsia="Barlow Semi Condensed" w:hAnsi="Barlow Semi Condensed"/>
          <w:sz w:val="24"/>
          <w:szCs w:val="24"/>
        </w:rPr>
        <w:t xml:space="preserve">Il quinto pilastro precisa le fonti del cerchio esterno, quale fondamento della certificazione di Livello B enunciata. Sul versante americano, gli avvertimenti a Moro sono documentati da una convergenza che il registro elenca: le testimonianze rese in sede giudiziaria e parlamentare da collaboratori diretti del presidente, tra cui Corrado Guerzoni, sul turbamento con cui Moro riferì le pressioni ricevute durante il viaggio negli Stati Uniti del settembre 1974, sino al proposito, poi rientrato, di ritirarsi dalla vita politica; i riferimenti dello stesso prigioniero, nel memoriale, alle rigidità del vincolo atlantico e ai richiami ricevuti; e il quadro documentale della diplomazia americana della stagione, ostile per atti pubblici all'ingresso comunista nei governi dell'Europa occidentale, dalla dottrina enunciata nei vertici alleati ai comunicati del Dipartimento di Stato del gennaio 1978, in piena crisi di governo italiana. Sul versante sovietico, la contrarietà è documentata dalla polemica pubblica del Partito comunista dell'Unione Sovietica contro l'eurocomunismo, condotta sugli organi ufficiali del partito negli anni 1976-1978 con attacchi diretti alle tesi dei partiti occidentali sulla democrazia pluralista, e dalla letteratura documentale sul gelo tra Mosca e la linea del segretario comunista italiano. Il registro, componendo le fonti, conferma la certificazione al Livello B di entrambe le contrarietà e la loro qualificazione quale coppia speculare: ciascuna potenza avversava il medesimo progetto per la ragione opposta, l'una perché portava i comunisti al governo, l'altra perché legittimava un comunismo fuori controllo; e questa specularità documentata, che la chiusura riprenderà, è il dato che vieta di trattare le 2 contrarietà quale fronte unico senza prova di coordinamento.</w:t>
      </w:r>
    </w:p>
    <w:p>
      <w:pPr>
        <w:spacing w:after="120" w:line="276"/>
        <w:jc w:val="both"/>
      </w:pPr>
      <w:r>
        <w:rPr>
          <w:rFonts w:ascii="Barlow Semi Condensed" w:cs="Barlow Semi Condensed" w:eastAsia="Barlow Semi Condensed" w:hAnsi="Barlow Semi Condensed"/>
          <w:sz w:val="24"/>
          <w:szCs w:val="24"/>
        </w:rPr>
        <w:t xml:space="preserve">Il sesto pilastro distende la traiettoria istituzionale nei suoi passaggi datati, quale ossatura documentale del profilo. Presidente nazionale della Federazione universitaria cattolica italiana dal 1939 al 1942, negli anni in cui assistente ecclesiastico dell'organizzazione era Giovanni Battista Montini, il futuro Paolo VI, con il quale strinse il legame personale che l'epilogo della vicenda renderà pubblico; eletto all'Assemblea Costituente nel 1946, a 29 anni, e attivo nella Commissione dei 75 sui principi fondamentali e sui rapporti civili, con contributi documentati alla formulazione della prima parte della Carta; sottosegretario agli esteri nel 1948, ministro della giustizia nel 1955, ministro della pubblica istruzione dal 1957 al 1959, con l'introduzione dell'educazione civica nelle scuole quale atto d'indirizzo rimasto associato al suo nome; segretario nazionale della Democrazia Cristiana dall'ottobre 1959 al gennaio 1964, l'arco nel quale condusse il partito all'apertura a sinistra attraverso i congressi di Firenze e di Napoli; presidente del Consiglio di 3 governi organici di centrosinistra dal dicembre 1963 al giugno 1968; ministro degli esteri, con brevi soluzioni di continuità, dal 1969 al 1974, la stagione della distensione, della firma dell'atto finale del processo di Helsinki e dell'apertura mediterranea della diplomazia italiana; nuovamente presidente del Consiglio dal novembre 1974 al luglio 1976, alla guida del quarto e del quinto governo del suo ciclo; presidente del Consiglio nazionale della Democrazia Cristiana dall'ottobre 1976, la carica che rivestiva al momento del sequestro. Il registro certifica al Livello A la sequenza, quale materia documentale non controversa, e ne evidenzia il dato strutturale: in 40 anni di vita pubblica, Moro attraversò tutte le stagioni della Repubblica occupando posizioni apicali in 3 domini dell'opera, il partito, il governo e la diplomazia, e la sua rete di relazioni personali, dalla Costituente al Quirinale, dal Vaticano alle cancellerie, era, alla data del 16 marzo 1978, tra le più estese del sistema: la centralità che il Pattern 1 gli assegna non è una metafora ma la descrizione di una posizione misurabile.</w:t>
      </w:r>
    </w:p>
    <w:p>
      <w:pPr>
        <w:spacing w:after="120" w:line="276"/>
        <w:jc w:val="both"/>
      </w:pPr>
      <w:r>
        <w:rPr>
          <w:rFonts w:ascii="Barlow Semi Condensed" w:cs="Barlow Semi Condensed" w:eastAsia="Barlow Semi Condensed" w:hAnsi="Barlow Semi Condensed"/>
          <w:sz w:val="24"/>
          <w:szCs w:val="24"/>
        </w:rPr>
        <w:t xml:space="preserve">Il settimo pilastro censisce il biennio terminale 1977-1978, il contesto immediato del sequestro, nei suoi 3 passaggi documentati. Il primo è la vicenda Lockheed: lo scandalo delle commissioni versate dalla società americana per le forniture aeronautiche investì il sistema politico italiano dal 1976, condusse alla messa in stato d'accusa di 2 ministri e lambì, nelle carte americane, un presidente del Consiglio designato con il nome in codice Antelope Cobbler, la cui identificazione fu oggetto di congetture pubbliche che coinvolsero anche il nome di Moro; il registro certifica al Livello A l'esistenza dello scandalo, dei procedimenti e della congettura, e certifica al medesimo livello che nessun accertamento, parlamentare o giudiziario, ha mai identificato Moro quale titolare di quel nome in codice né gli ha mai attribuito responsabilità nella vicenda, sicché la congettura è censita quale contaminazione documentata dell'ambiente e non quale addebito; in quel contesto Moro pronunciò alla Camera, il 9 marzo 1977, il discorso in difesa del partito dalla richiesta di processare la Democrazia Cristiana nelle piazze, uno dei testi politici più citati del suo ultimo periodo, che il registro certifica quale documento al Livello A. Il secondo passaggio è l'ultimo grande discorso, pronunciato il 28 febbraio 1978 all'assemblea dei gruppi parlamentari democristiani riuniti per decidere sulla formula di governo: un intervento non verbalizzato integralmente, ricostruito dagli appunti dei presenti e dalle cronache, nel quale Moro argomentò la necessità dell'accordo con il Partito comunista quale passaggio obbligato della fase, prefigurando tempi lunghi e insidie; il registro certifica al Livello A l'esistenza, la data e la funzione politica del discorso, e al Livello B la sua ricostruzione testuale, per la natura derivata delle fonti. Il terzo passaggio è la crisi di governo del gennaio-marzo 1978: la caduta del monocolore della non sfiducia, la trattativa condotta da Moro quale mediatore tra il proprio partito e la richiesta comunista di ingresso nella maggioranza, la soluzione del governo monocolore sostenuto dal voto favorevole comunista, e la composizione della lista dei ministri, accolta con delusione dallo stesso Partito comunista, che Moro si adoperò a ricomporre nei giorni immediatamente precedenti il 16 marzo; il registro certifica al Livello A la sequenza e la funzione di garanzia personale che Moro vi esercitò, quale contesto immediato che misura, ancora una volta, l'esatta posta dell'agguato: la mattina del sequestro, l'uomo era atteso alla Camera per il dibattito sulla fiducia al governo che egli solo aveva reso possibile.</w:t>
      </w:r>
    </w:p>
    <w:p>
      <w:pPr>
        <w:spacing w:after="120" w:line="276"/>
        <w:jc w:val="both"/>
      </w:pPr>
      <w:r>
        <w:rPr>
          <w:rFonts w:ascii="Barlow Semi Condensed" w:cs="Barlow Semi Condensed" w:eastAsia="Barlow Semi Condensed" w:hAnsi="Barlow Semi Condensed"/>
          <w:sz w:val="24"/>
          <w:szCs w:val="24"/>
        </w:rPr>
        <w:t xml:space="preserve">L'ottavo pilastro articola i livelli delle contrarietà internazionali, precisando la certificazione del secondo pilastro con la distinzione tra le manifestazioni pubbliche e quelle riservate, che i documenti impongono. Sul versante americano, la posizione ufficiale è consegnata a un atto pubblico datato: la dichiarazione del Dipartimento di Stato del 12 gennaio 1978, emessa nel pieno della crisi di governo italiana, con la quale gli Stati Uniti affermarono di non favorire la partecipazione comunista ai governi dell'Europa occidentale e di auspicarne la riduzione dell'influenza; il registro certifica al Livello A questa posizione pubblica, quale documento ufficiale della diplomazia americana, e mantiene al Livello B il versante riservato, gli avvertimenti personali ricevuti da Moro, documentati dalle testimonianze convergenti dei collaboratori sul viaggio del settembre 1974 e dai riferimenti dello stesso prigioniero nel memoriale, fonti dirette ma non documentali. Sul versante sovietico, la posizione pubblica è parimenti documentata da atti editoriali ufficiali: la polemica condotta dagli organi del Partito comunista dell'Unione Sovietica contro le tesi eurocomuniste tra il 1976 e il 1978, aperta all'indomani della conferenza dei partiti comunisti europei di Berlino Est del giugno 1976, nella quale i partiti occidentali avevano consacrato l'autonomia dal centro sovietico, e proseguita con attacchi diretti alle formulazioni dei dirigenti italiani sul pluralismo; il registro certifica al Livello A questa ostilità pubblica, quale dato della documentazione ufficiale di partito, e mantiene al Livello B ogni sua traduzione operativa. La composizione dei livelli è dunque la seguente, e la chiusura la recepirà: le 2 contrarietà, nelle loro manifestazioni pubbliche e ufficiali, sono certificate al Livello A; nelle loro componenti riservate e nelle loro eventuali traduzioni operative restano al Livello B; e la loro qualificazione congiunta quale convergenza oggettiva si colloca al Livello B, quale composizione prudente dei rami, con il coordinamento fermo, come sempre, al Livello C.</w:t>
      </w:r>
    </w:p>
    <w:p>
      <w:pPr>
        <w:spacing w:after="120" w:line="276"/>
        <w:jc w:val="both"/>
      </w:pPr>
      <w:r>
        <w:rPr>
          <w:rFonts w:ascii="Barlow Semi Condensed" w:cs="Barlow Semi Condensed" w:eastAsia="Barlow Semi Condensed" w:hAnsi="Barlow Semi Condensed"/>
          <w:sz w:val="24"/>
          <w:szCs w:val="24"/>
        </w:rPr>
        <w:t xml:space="preserve">Il nono pilastro espone la dottrina, il corpo di pensiero che il progetto traduceva. La riflessione morotea dell'ultimo decennio ruota attorno a 3 nuclei documentati nei discorsi e negli scritti: la lettura della società italiana quale società in trasformazione accelerata, cui il sistema politico doveva rispondere con l'allargamento e non con l'irrigidimento, consegnata alla formula dei tempi nuovi che si annunciano; la teoria della terza fase, la prospettiva, enunciata negli ultimi anni, di un approdo successivo tanto al centrismo quanto al centrosinistra, nel quale la democrazia italiana avrebbe raggiunto la propria compiutezza con la piena legittimazione reciproca di tutte le forze popolari, comunisti inclusi, e con la possibilità fisiologica dell'alternanza; e la distinzione, che il registro sottolinea per il suo rilievo analitico, tra la strategia morotea dell'attenzione e la proposta berlingueriana del compromesso storico, formulata dal segretario comunista negli articoli dell'autunno 1973 scritti alla luce del colpo di Stato cileno: il compromesso storico postulava un governo organico e durevole delle 2 grandi forze quale assicurazione contro l'eversione, la linea morotea configurava invece un percorso di legittimazione graduale che preservava la distinzione dei ruoli e preparava, nel tempo, la normalità democratica dell'alternanza. Il registro certifica al Livello A l'esistenza e il contenuto delle 2 elaborazioni, quali dati testuali, e la loro non coincidenza, documentata dagli stessi protagonisti; e ne trae l'annotazione che corregge una semplificazione della vulgata: l'uomo sequestrato non era l'artefice del compromesso storico, formula altrui, ma di un disegno più lungo e, negli esiti, più radicale, la piena omologazione democratica del maggiore partito comunista d'occidente; ed è questo disegno, non la contingenza di un governo, che le contrarietà internazionali censite avversavano, ciascuna leggendovi la propria minaccia, l'una lo scardinamento della disciplina di blocco in un Paese di frontiera, l'altra la nascita di un modello comunista occidentale sottratto al centro.</w:t>
      </w:r>
    </w:p>
    <w:p>
      <w:pPr>
        <w:spacing w:after="120" w:line="276"/>
        <w:jc w:val="both"/>
      </w:pPr>
      <w:r>
        <w:rPr>
          <w:rFonts w:ascii="Barlow Semi Condensed" w:cs="Barlow Semi Condensed" w:eastAsia="Barlow Semi Condensed" w:hAnsi="Barlow Semi Condensed"/>
          <w:sz w:val="24"/>
          <w:szCs w:val="24"/>
        </w:rPr>
        <w:t xml:space="preserve">Il decimo pilastro censisce il rapporto pregresso tra Moro e gli apparati, i precedenti che la biografia consegna alla fase. Il primo è la stagione del Piano Solo: Moro era presidente del Consiglio nell'estate 1964, quando maturò la vicenda che la Fase 2 ha certificato, e la gestione morotea della crisi, la mediazione che chiuse la partita politica senza rottura istituzionale e senza pubblicità, appartiene agli accertamenti di quella fase; il registro richiama il precedente quale primo incrocio documentato tra il nodo e il dominio degli apparati, annotando che Moro conobbe da presidente, 14 anni prima del sequestro, la realtà delle pressioni extracostituzionali sul sistema, e che il memoriale della prigionia sarebbe tornato su quella stagione con la competenza del testimone diretto. Il secondo precedente è la titolarità degli esteri negli anni 1969-1974, la stagione nella quale maturò la prassi di salvaguardia con le organizzazioni palestinesi che gli atti designano con il nome stesso del ministro, il lodo censito nel capitolo dell'organizzazione: il registro certifica al Livello A la titolarità del dicastero nella stagione della prassi e al Livello B, quale convergenza delle fonti già dichiarate, la riconducibilità dell'indirizzo alla politica mediterranea del ministro, annotando il paradosso storico che ne discende, e che la fase consegna senza scioglierlo: l'uomo che fu sequestrato con armi transitate per canali mediorientali era il titolare della politica che quei canali aveva regolato, e la circostanza, priva di ogni valenza probatoria sul sequestro, misura la densità delle interconnessioni del campo che l'opera studia. Il terzo precedente è il rapporto con il sistema dei servizi riformato nel 1977: la legge di riforma, approvata nella stagione della solidarietà nazionale, ridisegnò gli apparati nei 2 servizi e nel comitato di coordinamento, e gli uomini che ne assunsero i vertici, quelli che i capitoli della gestione censiscono, furono nominati in quella cornice; il registro certifica la sequenza quale contesto istituzionale, rinviando alla Fase 2 per la qualità piduista di quelle nomine.</w:t>
      </w:r>
    </w:p>
    <w:p>
      <w:pPr>
        <w:spacing w:after="120" w:line="276"/>
        <w:jc w:val="both"/>
      </w:pPr>
      <w:r>
        <w:rPr>
          <w:rFonts w:ascii="Barlow Semi Condensed" w:cs="Barlow Semi Condensed" w:eastAsia="Barlow Semi Condensed" w:hAnsi="Barlow Semi Condensed"/>
          <w:sz w:val="24"/>
          <w:szCs w:val="24"/>
        </w:rPr>
        <w:t xml:space="preserve">L'undicesimo pilastro censisce le opposizioni interne, il cerchio che il secondo pilastro ha enunciato e che qui riceve il suo dettaglio. La linea morotea prevalse nel partito attraverso una mediazione documentata e mai definitiva: le resistenze della destra interna e di parte dell'area dorotea alla legittimazione comunista attraversano gli atti congressuali e la pubblicistica del biennio, la storica competizione con Amintore Fanfani, l'altro grande leader della generazione, conobbe in quella stagione l'ennesima riconfigurazione, e la stessa composizione del governo del 16 marzo fu, come censito, il prodotto di una fatica di mediazione condotta sino alla vigilia; il registro certifica al Livello A l'esistenza e la documentazione del dissenso interno, quale dato della dialettica di partito, e ne dichiara la funzione nella fase: essa priva di fondamento la rappresentazione, corrente in entrambe le vulgate, di un partito unanime dietro il proprio presidente, e restituisce il dato reale, un leader che stava vincendo una partita interna non conclusa, la cui rimozione fisica risolse, quale effetto oggettivo certificato, anche quella partita; l'annotazione, come ogni enunciato di effetto, non contiene attribuzioni di intenzione, e il registro la consegna al piano dei fatti.</w:t>
      </w:r>
    </w:p>
    <w:p>
      <w:pPr>
        <w:spacing w:after="120" w:line="276"/>
        <w:jc w:val="both"/>
      </w:pPr>
      <w:r>
        <w:rPr>
          <w:rFonts w:ascii="Barlow Semi Condensed" w:cs="Barlow Semi Condensed" w:eastAsia="Barlow Semi Condensed" w:hAnsi="Barlow Semi Condensed"/>
          <w:sz w:val="24"/>
          <w:szCs w:val="24"/>
        </w:rPr>
        <w:t xml:space="preserve">Il dodicesimo pilastro censisce la fonte familiare, il canale attraverso cui il cerchio esterno entrò negli atti. Eleonora Chiavarelli Moro, deposta dinanzi alla prima Commissione parlamentare, riferì l'episodio che il marito le aveva confidato al ritorno dal viaggio americano del settembre 1974: l'ammonimento ricevuto da un altissimo esponente dell'amministrazione, nella formulazione riferita l'intimazione a desistere dal proprio disegno politico di collaborazione con tutte le forze del Paese, pena il pagamento di un prezzo elevato; la deposizione, resa sotto vincolo di verità in sede parlamentare, si aggiunse alle testimonianze convergenti dei collaboratori già censite, e costituisce il fondamento principale della certificazione del versante riservato americano. Il registro certifica al Livello A l'esistenza e il contenuto della deposizione, quale atto parlamentare, e mantiene al Livello B il fatto riferito, quale testimonianza de relato di elevata attendibilità soggettiva non consacrata da riscontro documentale; e annota la struttura probatoria del punto, che è la stessa dell'intero cerchio esterno: la conoscenza degli avvertimenti riposa interamente su una catena testimoniale familiare e fiduciaria, coerente, reiterata e mai smentita, ma priva del documento, e il registro la trascrive con questa esatta qualità, rifiutando tanto la degradazione a diceria quanto la promozione a prova.</w:t>
      </w:r>
    </w:p>
    <w:p>
      <w:pPr>
        <w:spacing w:after="120" w:line="276"/>
        <w:jc w:val="both"/>
      </w:pPr>
      <w:r>
        <w:rPr>
          <w:rFonts w:ascii="Barlow Semi Condensed" w:cs="Barlow Semi Condensed" w:eastAsia="Barlow Semi Condensed" w:hAnsi="Barlow Semi Condensed"/>
          <w:sz w:val="24"/>
          <w:szCs w:val="24"/>
        </w:rPr>
        <w:t xml:space="preserve">Il tredicesimo pilastro censisce la dimensione europea del profilo, la radice che salda il nodo alla verifica conclusiva dell'opera. La politica estera morotea, negli anni della titolarità della Farnesina e delle presidenze del Consiglio, si mosse lungo 2 direttrici documentate: la partecipazione attiva al processo di distensione paneuropea culminato nella firma italiana dell'atto finale di Helsinki nel 1975, con Moro presidente del Consiglio e firmatario, e l'apertura mediterranea, la costruzione di una proiezione italiana autonoma verso il mondo arabo, di cui la prassi censita quale lodo fu la declinazione riservata; a queste si aggiunge la costante europeista, la concezione, ricorrente nei discorsi, dell'integrazione comunitaria quale destino e quale spazio di autonomia del Paese entro il vincolo di campo. Il registro certifica al Livello A le direttrici, quali dati della documentazione diplomatica e dei testi, e ne dichiara il rilievo per l'architettura dell'opera: il progetto interno censito nei primi pilastri, la piena integrazione democratica del maggiore partito comunista occidentale, e la proiezione esterna qui censita, l'autonomia mediterranea ed europea entro l'alleanza, sono le 2 facce documentate di una medesima politica di allargamento dei margini nazionali, ed è questa politica composita, non una sua singola componente, l'oggetto delle contrarietà speculari certificate; la formalizzazione appartiene ai fatti e la fase la consegna, quale materiale già disciplinato, alla verifica delle macro-ipotesi.</w:t>
      </w:r>
    </w:p>
    <w:p>
      <w:pPr>
        <w:spacing w:after="120" w:line="276"/>
        <w:jc w:val="both"/>
      </w:pPr>
      <w:r>
        <w:rPr>
          <w:rFonts w:ascii="Barlow Semi Condensed" w:cs="Barlow Semi Condensed" w:eastAsia="Barlow Semi Condensed" w:hAnsi="Barlow Semi Condensed"/>
          <w:sz w:val="24"/>
          <w:szCs w:val="24"/>
        </w:rPr>
        <w:t xml:space="preserve">Il quattordicesimo pilastro registra il quadro continentale della settimana del sequestro, il contesto europeo che il Pattern 3 impone di censire. Il 16 marzo 1978 cade tra i 2 turni delle elezioni legislative francesi, il 12 e il 19 marzo, la consultazione nella quale l'unione delle sinistre, data in vantaggio per mesi, mancò la conquista della maggioranza dopo la rottura programmatica tra socialisti e comunisti; la contestualità tra la settimana in cui la Francia decideva dell'ingresso comunista nell'area di governo e il giorno in cui l'Italia vedeva rapito l'artefice dell'operazione parallela è un dato di calendario che la letteratura ha variamente caricato e che il registro tratta con la disciplina delle coincidenze: certifica al Livello A la contestualità, quale fatto cronologico, mantiene al Livello C ogni lettura di collegamento, nessun elemento documentando un nesso tra i 2 teatri, e annota il dato strutturale che la coincidenza comunque illumina: nella primavera del 1978 la questione dell'ingresso comunista al governo era aperta simultaneamente nei 2 maggiori Paesi latini dell'alleanza, l'attenzione dei campi su quel processo era, per gli atti pubblici censiti, massima, e l'Italia ne costituiva il caso più avanzato; il sequestro colpì dunque il punto più avanzato del processo più osservato del continente, e questa collocazione, che è un fatto e non una tesi, è la ragione per cui il caso appartiene di diritto al perimetro internazionale dell'opera e non alla sola cronaca nazionale.</w:t>
      </w:r>
    </w:p>
    <w:p>
      <w:pPr>
        <w:spacing w:after="120" w:line="276"/>
        <w:jc w:val="both"/>
      </w:pPr>
      <w:r>
        <w:rPr>
          <w:rFonts w:ascii="Barlow Semi Condensed" w:cs="Barlow Semi Condensed" w:eastAsia="Barlow Semi Condensed" w:hAnsi="Barlow Semi Condensed"/>
          <w:sz w:val="24"/>
          <w:szCs w:val="24"/>
        </w:rPr>
        <w:t xml:space="preserve">Il quindicesimo pilastro censisce la dimensione universitaria, il cerchio personale che la vicenda avrebbe drammaticamente convocato. Moro mantenne per l'intera carriera politica la cattedra romana di diritto e procedura penale, con la didattica del sabato mattina difesa contro ogni impegno di governo, il rapporto diretto con gli studenti attraversato indenne dagli anni della contestazione, che egli affrontò con l'ascolto e non con la rottura, e il cerchio degli assistenti e degli allievi quale sfera di lealtà personale distinta da quella politica; il registro certifica al Livello A questa dimensione, quale dato biografico documentato, e ne dichiara la pertinenza analitica, che non è ornamentale: fu a un allievo, Franco Tritto, che l'organizzazione indirizzò, per bocca di Morucci, la telefonata delle 12:13 del 9 maggio con l'indicazione di via Caetani, la scelta dell'interlocutore terminale cadendo non su un'istituzione ma sull'ultimo cerchio fiduciario dell'uomo, quello accademico; e la circostanza, certificata dagli atti, che l'annuncio della fine sia transitato per la sfera universitaria e familiare anziché per quella politica o istituzionale appartiene alla semantica documentata dell'operazione, l'organizzazione avendo negato sino all'ultimo gesto ogni interlocuzione con lo Stato e avendo scelto, quale destinatario della propria comunicazione finale, l'unico cerchio del prigioniero che essa non considerava nemico. Il registro trascrive il dato e la sua lettura interna documentata, e annota che la geografia dei cerchi di Moro, il partito, le istituzioni, la famiglia, l'università, è essa stessa una mappa che la vicenda ha percorso in senso inverso, dall'esterno politico verso l'intimo personale, sino a consegnare l'ultimo atto al più interno dei cerchi.</w:t>
      </w:r>
    </w:p>
    <w:p>
      <w:pPr>
        <w:spacing w:after="120" w:line="276"/>
        <w:jc w:val="both"/>
      </w:pPr>
      <w:r>
        <w:rPr>
          <w:rFonts w:ascii="Barlow Semi Condensed" w:cs="Barlow Semi Condensed" w:eastAsia="Barlow Semi Condensed" w:hAnsi="Barlow Semi Condensed"/>
          <w:sz w:val="24"/>
          <w:szCs w:val="24"/>
        </w:rPr>
        <w:t xml:space="preserve">Il sedicesimo pilastro censisce il cerchio familiare, il più interno dei cerchi e l'ultimo destinatario della vicenda. Aldo Moro aveva sposato nel 1945 Eleonora Chiavarelli, e dal matrimonio erano nati i 4 figli, Maria Fida, Agnese, Anna e Giovanni; al momento del sequestro la famiglia comprendeva il nipote Luca, il bambino che le lettere della prigionia avrebbero reso il destinatario più ricorrente dei pensieri del prigioniero; la casa di via del Forte Trionfale e il rifugio di Torrita Tiberina erano i 2 poli della geografia privata che la vicenda avrebbe trasformato, la prima nel luogo dell'attesa dei 55 giorni, il secondo nel luogo della sepoltura. Il registro certifica al Livello A la composizione del cerchio, quale dato biografico, e ne dichiara la funzione documentale nella fase, che è triplice: la famiglia fu la destinataria del corpus epistolare privato censito nel capitolo del memoriale; fu l'interlocutrice dell'unica comunicazione vocale dell'organizzazione, la telefonata del 30 aprile a Eleonora; e fu, dopo la morte, la custode e l'esecutrice delle disposizioni, con il rifiuto dei funerali di Stato, nonché la fonte delle testimonianze che le Commissioni avrebbero raccolto, la deposizione della vedova sull'avvertimento americano costituendo, come censito, il fondamento del versante riservato del cerchio esterno. Il registro annota il dato strutturale che questa triplice funzione consegna: nella vicenda Moro il cerchio familiare non è sfondo ma fonte, uno dei canali documentali primari della fase, e la circostanza che una parte rilevante della conoscenza del caso, dalle lettere alle testimonianze, sia transitata per la famiglia anziché per le istituzioni è essa stessa un dato certificato sulla dislocazione della fiducia dell'uomo negli ultimi 55 giorni della sua vita.</w:t>
      </w:r>
    </w:p>
    <w:p>
      <w:pPr>
        <w:spacing w:after="120" w:line="276"/>
        <w:jc w:val="both"/>
      </w:pPr>
      <w:r>
        <w:rPr>
          <w:rFonts w:ascii="Barlow Semi Condensed" w:cs="Barlow Semi Condensed" w:eastAsia="Barlow Semi Condensed" w:hAnsi="Barlow Semi Condensed"/>
          <w:sz w:val="24"/>
          <w:szCs w:val="24"/>
        </w:rPr>
        <w:t xml:space="preserve">Il diciassettesimo pilastro censisce il rapporto tra i 2 architetti, l'asse Moro-Berlinguer che sorresse la costruzione politica colpita. La maggioranza della solidarietà nazionale fu il prodotto della convergenza, documentata dagli atti e dalle memorie delle 2 parti, tra la strategia dell'attenzione morotea e la linea del segretario comunista, perseguita attraverso la stagione di incontri riservati e di mediazioni parlamentari del biennio 1976-1978 che preparò il passaggio del marzo; i 2 uomini, divisi dalla collocazione e dalle culture, condividevano per convergenza documentata la lettura della necessità storica dell'operazione e la consapevolezza delle sue resistenze interne e internazionali, e il rapporto personale tra loro, sobrio e non confidenziale, fu il canale fiduciario minimo su cui la costruzione poggiò. Il registro certifica al Livello A l'esistenza e la funzione dell'asse, quali dati della documentazione politica della stagione, e ne registra il destino, che appartiene ai fatti della fase: colpito l'uno il 16 marzo, l'altro sostenne per l'intera crisi la linea della fermezza nella forma più rigida, per le ragioni di affidabilità di Stato che il capitolo della gestione ha censito, e dopo il 9 maggio la costruzione comune si dissolse nei tempi certificati, sino all'uscita comunista dalla maggioranza del gennaio 1979 e alla successiva stagione della rottura; il registro annota il dato strutturale che la parabola consegna: l'operazione politica più ambiziosa della storia repubblicana riposava sull'asse personale di 2 uomini, e l'eliminazione di uno dei 2 fu sufficiente a dissolverla, una fragilità di architettura che la fase certifica quale fatto e che ogni lettura della razionalità dell'attacco, interna o eccedente, incorpora quale premessa: il sistema colpito nel marzo 1978 aveva un solo punto di rottura, e fu esattamente quello a essere colpito.</w:t>
      </w:r>
    </w:p>
    <w:p>
      <w:pPr>
        <w:spacing w:after="120" w:line="276"/>
        <w:jc w:val="both"/>
      </w:pPr>
      <w:r>
        <w:rPr>
          <w:rFonts w:ascii="Barlow Semi Condensed" w:cs="Barlow Semi Condensed" w:eastAsia="Barlow Semi Condensed" w:hAnsi="Barlow Semi Condensed"/>
          <w:sz w:val="24"/>
          <w:szCs w:val="24"/>
        </w:rPr>
        <w:t xml:space="preserve">Il diciottesimo pilastro censisce la fonte primaria del profilo, il corpus pubblico degli scritti e dei discorsi. La ricostruzione del progetto politico condotta nei pilastri precedenti poggia su un corpus documentale di prima mano che il registro dichiara: i discorsi parlamentari e congressuali dell'intera carriera, editi e citabili atto per atto, dalla Costituente all'ultimo intervento ai gruppi del 28 febbraio 1978; gli scritti giuridici e accademici della cattedra; gli articoli e gli interventi pubblici della stagione matura; e la documentazione diplomatica degli anni della Farnesina. Il registro certifica al Livello A l'esistenza, l'edizione e la citabilità di questo corpus, quale base documentale del capitolo, e ne dichiara la funzione metodologica terminale: il pensiero di Moro è ricostruibile integralmente da fonti pubbliche, datate e verificabili, prodotte dall'uomo libero lungo 3 decenni, e questa disponibilità distingue il primo capitolo della fase da tutti i successivi, giacché il profilo del progetto colpito non dipende in nulla dalle carte della prigionia, che documentano l'uomo sotto costrizione, né da testimonianze postume; la separazione tra le 2 fonti dell'uomo, il corpus libero del capitolo primo e il corpus della prigionia del capitolo quinto, è un'architettura deliberata del registro, che consente di misurare la continuità tra il pensiero libero e il pensiero prigioniero, la misura che la falsificazione della tesi della coartazione ha impiegato, e di fondare il bersaglio della fase, il progetto politico, esclusivamente su ciò che l'uomo disse e scrisse quando nessuno lo costringeva.</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Moro-apertura a sinistra-solidarietà nazionale, è il triangolo del progetto, certificato al Livello A. La seconda, Moro-terrorismo-attacco al cuore dello Stato, è il triangolo del movente dichiarato dagli esecutori, certificato al Livello A dalla loro documentazione e dai giudicati. La terza, Moro-Washington-Mosca, è il triangolo delle contrarietà internazionali, certificato al Livello B in ciascuno dei 2 rami e consegnato alla chiusura per la qualificazione del loro rapporto. Sul piano dei pattern, il nodo attiva il Pattern 1 in una forma inversa e istruttiva: Moro possedeva la massima centralità del sistema politico legale, quale intermediario unico tra i 2 maggiori partiti, e la sua eliminazione fu la rimozione del broker nel senso più tecnico, l'atto che disconnesse i 2 blocchi che soltanto attraverso di lui comunicavano; l'analisi dei buchi strutturali del Pattern 5 registra nel dopo-Moro esattamente il vuoto che la teoria prevede.</w:t>
      </w:r>
    </w:p>
    <w:p>
      <w:pPr>
        <w:spacing w:after="120" w:line="276"/>
        <w:jc w:val="both"/>
      </w:pPr>
      <w:r>
        <w:rPr>
          <w:rFonts w:ascii="Barlow Semi Condensed" w:cs="Barlow Semi Condensed" w:eastAsia="Barlow Semi Condensed" w:hAnsi="Barlow Semi Condensed"/>
          <w:sz w:val="24"/>
          <w:szCs w:val="24"/>
        </w:rPr>
        <w:t xml:space="preserve">Il movente politico esige la sua genealogia testuale, che il registro fissa nei documenti fondativi delle 2 strategie convergenti. Sul versante comunista, la svolta porta una data editoriale: nelle settimane successive al golpe cileno dell'11 settembre 1973, Enrico Berlinguer pubblicò sul settimanale teorico del partito, in 3 puntate autunnali, le riflessioni sull'Italia dopo i fatti del Cile, nelle quali traeva dalla tragedia di Santiago la lezione che una sinistra al 51% non governa se il restante 49% le viene mobilitato contro, e ne deduceva la necessità della collaborazione tra le grandi forze popolari, comunista, socialista e cattolica: è l'atto di nascita pubblico della proposta che la vulgata avrebbe chiamato compromesso storico, Livello A quanto ai testi ed alla loro data. Sul versante democristiano, il registro deve al lettore una precisione che la pubblicistica trascura: Moro non fu il teorico del compromesso, formula che non gli appartenne e verso la quale mantenne riserve esplicite, ma l'architetto di un disegno proprio e più graduale, la strategia dell'attenzione prima e la prospettiva della terza fase poi, l'idea di un ampliamento della base dello Stato che passasse per l'emergenza della solidarietà nazionale senza consegnare al patto tra i 2 maggiori partiti la forma definitiva del sistema, Livello A quanto alla distinzione, documentata dai testi e dagli interventi del presidente democristiano. La distinzione non è erudizione: essa definisce l'esatto bersaglio politico che il sequestro colpì, non un'alleanza compiuta ma una mediazione in cammino, ed il mediatore, non il patto, era l'elemento insostituibile, come la storia successiva, che vide il disegno dissolversi con il suo artefice, avrebbe verificato per sottrazione.</w:t>
      </w:r>
    </w:p>
    <w:p>
      <w:pPr>
        <w:spacing w:after="120" w:line="276"/>
        <w:jc w:val="both"/>
      </w:pPr>
      <w:r>
        <w:rPr>
          <w:rFonts w:ascii="Barlow Semi Condensed" w:cs="Barlow Semi Condensed" w:eastAsia="Barlow Semi Condensed" w:hAnsi="Barlow Semi Condensed"/>
          <w:sz w:val="24"/>
          <w:szCs w:val="24"/>
        </w:rPr>
        <w:t xml:space="preserve">All'ultimo miglio della mediazione appartiene il documento orale conclusivo, che il registro censisce quale testamento politico involontario: l'intervento pronunciato da Moro il 28 febbraio 1978 dinanzi ai gruppi parlamentari democristiani riuniti, per persuadere il partito riluttante ad accettare l'appoggio esterno comunista al nuovo governo. In quel discorso, di cui restano i resoconti e le testimonianze convergenti dei presenti, Moro difese la scelta quale passaggio obbligato di un tempo nuovo, evocando la necessità di capire ciò che accade e di non farsi trovare fermi mentre la storia si muove, Livello A quanto all'intervento ed al suo tenore complessivo, secondo i resoconti coevi. Sedici giorni separano quell'aula da via Fani: ed il registro, che diffida delle coincidenze quanto le censisce, annota che l'agguato cadde nell'esatta finestra in cui la mediazione, vinte le resistenze interne, stava per tradursi in prassi parlamentare, il che colloca il movente politico non nella sfera delle intenzioni attribuite ma nella cronologia documentata dei fatti compiuti: chi colpì, colpì un processo in atto, alla sua ora più fecondа e perciò più vulnerabile.</w:t>
      </w:r>
    </w:p>
    <w:p>
      <w:pPr>
        <w:spacing w:after="120" w:line="276"/>
        <w:jc w:val="both"/>
      </w:pPr>
      <w:r>
        <w:rPr>
          <w:rFonts w:ascii="Barlow Semi Condensed" w:cs="Barlow Semi Condensed" w:eastAsia="Barlow Semi Condensed" w:hAnsi="Barlow Semi Condensed"/>
          <w:sz w:val="24"/>
          <w:szCs w:val="24"/>
        </w:rPr>
        <w:t xml:space="preserve">Alla vigilia dell'agguato appartiene infine il dossier della protezione, che gli atti parlamentari hanno ricostruito e che il registro fissa quale reperto sulle condizioni materiali del bersaglio: nei mesi precedenti il 16 marzo, a fronte di un quadro di minaccia che l'escalation brigatista contro uomini dello Stato rendeva conclamato, la dotazione della scorta di Moro rimase quella ordinaria, 5 uomini su 2 vetture prive di blindatura, e le sollecitazioni per l'assegnazione di un'auto protetta, documentate nelle testimonianze rese dai collaboratori e dagli uffici alle sedi d'inchiesta, non ebbero seguito prima dell'agguato, Livello A quanto alla dotazione effettiva ed alle sollecitazioni documentate, nei limiti delle rispettive fonti. Il registro consegna il dato alla sua funzione: esso non fonda, da solo, alcuna inferenza sulla volontarietà dell'esposizione, che nessun accertamento ha consacrato e che la Regola Ferrea vieta di dedurre dalla mera inadeguatezza, ma stabilisce la condizione materiale di partenza del piano primo, un obiettivo di primissimo rango protetto secondo standard che la minaccia coeva aveva già reso obsoleti, e questa forbice tra il rango del bersaglio ed il livello della protezione è il primo dei fatti non spiegati che il piano secondo censisce, certificato nella sua materialità e consegnato, quanto alle ragioni, al vaglio che le Commissioni hanno condotto senza chiuderlo.</w:t>
      </w:r>
    </w:p>
    <w:p>
      <w:pPr>
        <w:spacing w:after="120" w:line="276"/>
        <w:jc w:val="both"/>
      </w:pPr>
      <w:r>
        <w:rPr>
          <w:rFonts w:ascii="Barlow Semi Condensed" w:cs="Barlow Semi Condensed" w:eastAsia="Barlow Semi Condensed" w:hAnsi="Barlow Semi Condensed"/>
          <w:sz w:val="24"/>
          <w:szCs w:val="24"/>
        </w:rPr>
        <w:t xml:space="preserve">Attorno al presidente operava infine il cerchio dei collaboratori diretti, che il registro censisce quale fonte di prima prossimità sul clima della vigilia: il segretario amministrativo Sereno Freato, l'assistente Nicola Rana ed il portavoce Corrado Guerzoni, auditi ripetutamente nei cicli giudiziari e dinanzi alle Commissioni, consegnarono un quadro convergente sulla percezione del pericolo nell'ultimo Moro, fatta di segnali registrati, preoccupazioni espresse e cautele sollecitate, ivi comprese quelle sulla protezione che il capitolo ha già certificato, Livello A quanto alle audizioni ed alla convergenza dei racconti, Livello B quanto ai singoli episodi riferiti da fonte unica. Il registro assegna al cerchio la sua funzione documentale propria: i collaboratori furono, per il caso, ciò che gli archivi sono per le organizzazioni, la memoria esterna dell'uomo, e le loro testimonianze, attraversate negli anni da verifiche, riscontri ed anche da vicende personali distinte che non appartengono a questo nodo, restano il principale giacimento sulla dimensione privata della vigilia, quella in cui il mediatore misurava, insieme al peso della manovra politica, il prezzo che essa avrebbe potuto chiedergli. Che quella misura fosse presente all'uomo prima che al Paese è, all'esito delle convergenze censite, un dato: e la sua consapevolezza documentata è l'ultimo tratto del profilo che il capitolo consegna, il bersaglio che conosceva di esserlo.</w:t>
      </w:r>
    </w:p>
    <w:p>
      <w:pPr>
        <w:spacing w:after="120" w:line="276"/>
        <w:jc w:val="both"/>
      </w:pPr>
      <w:r>
        <w:rPr>
          <w:rFonts w:ascii="Barlow Semi Condensed" w:cs="Barlow Semi Condensed" w:eastAsia="Barlow Semi Condensed" w:hAnsi="Barlow Semi Condensed"/>
          <w:sz w:val="24"/>
          <w:szCs w:val="24"/>
        </w:rPr>
        <w:t xml:space="preserve">La giornata inaugurale va restituita anche nella sua cronaca parlamentare, perché l'aula fu il secondo teatro del 16 marzo e la sua sequenza oraria è un reperto istituzionale: la Camera era convocata per il dibattito sulla fiducia al nuovo governo quando, a metà mattina, la notizia dell'agguato raggiunse Montecitorio; la seduta fu sospesa nello sgomento, le direzioni dei partiti si riunirono in permanenza, e nel pomeriggio le Camere ripresero i lavori deliberando di procedere immediatamente, sicché entro la sera del giorno stesso il governo ottenne la fiducia con una maggioranza amplissima, nella quale il voto comunista si sommò per la prima volta dal 1947 a quello democristiano, Livello A quanto alla sequenza ed all'esito. Il registro fissa il paradosso documentale della giornata: l'operazione concepita per impedire l'approdo della mediazione lo accelerò nelle forme, consegnando in poche ore, sotto la spinta dell'emergenza, il risultato parlamentare che mesi di trattativa avevano preparato, e la solidarietà nazionale nacque così nel modo esattamente contrario al disegno del suo artefice, non quale esito maturo di un processo politico ma quale riflesso di autodifesa dello Stato aggredito. La distinzione non è oziosa: il voto del 16 marzo saldò il quadro politico e insieme lo svuotò della sua gradualità costitutiva, ed il registro consegna alla storiografia, senza deciderla, la domanda che ne discende, se la creatura nata quel pomeriggio sotto shock fosse ancora, in senso proprio, la creatura che il prigioniero aveva progettato, o già la sua maschera funeraria.</w:t>
      </w:r>
    </w:p>
    <w:p>
      <w:pPr>
        <w:spacing w:after="120" w:line="276"/>
        <w:jc w:val="both"/>
      </w:pPr>
      <w:r>
        <w:rPr>
          <w:rFonts w:ascii="Barlow Semi Condensed" w:cs="Barlow Semi Condensed" w:eastAsia="Barlow Semi Condensed" w:hAnsi="Barlow Semi Condensed"/>
          <w:sz w:val="24"/>
          <w:szCs w:val="24"/>
        </w:rPr>
        <w:t xml:space="preserve">Alla filologia del nodo appartiene infine l'apocrifo che ne è divenuto l'emblema: la formula delle convergenze parallele, universalmente attribuita a Moro quale cifra del suo metodo, non risulta rintracciabile, in quella esatta veste, negli scritti né nei discorsi del presidente democristiano, e la ricerca filologica ne ha ricostruito la genesi giornalistica, una sintesi redazionale coeva che condensò in ossimoro la strategia morotea della metà degli anni Sessanta e che l'uso pubblico saldò per sempre al suo presunto autore, Livello A quanto alla circolazione ed alla consolidata attribuzione, Livello C quanto alla paternità morotea diretta, mai documentata. Il registro censisce l'apocrifo perché esso è, in miniatura, la storia della ricezione dell'uomo: a Moro fu attribuita la formula che il linguaggio comune giudicava impossibile, 2 parallele che convergono, e l'attribuzione attecchì perché descriveva perfettamente ciò che il Paese vedeva, un politico che faceva incontrare ciò che la geometria del sistema dichiarava inconciliabile. Che la definizione più celebre del mediatore sia una frase che egli non pronunciò è il sigillo filologico del caso: anche sul piano delle parole, come su quello delle carte, il nodo Moro è consegnato alla storia attraverso testi di paternità incerta, e la disciplina che l'opera applica al memoriale vale, in scala minima, anche per le 2 parole che tutti gli attribuiscono.</w:t>
      </w:r>
    </w:p>
    <w:p>
      <w:pPr>
        <w:spacing w:after="120" w:line="276"/>
        <w:jc w:val="both"/>
      </w:pPr>
      <w:r>
        <w:rPr>
          <w:rFonts w:ascii="Barlow Semi Condensed" w:cs="Barlow Semi Condensed" w:eastAsia="Barlow Semi Condensed" w:hAnsi="Barlow Semi Condensed"/>
          <w:sz w:val="24"/>
          <w:szCs w:val="24"/>
        </w:rPr>
        <w:t xml:space="preserve">L'ultimo Moro pubblico consegna al registro il documento che smentisce in radice l'iconografia remissiva: il discorso pronunciato al seminario nazionale democristiano di Benevento il 18 novembre 1977, l'intervento programmatico estremo della sua elaborazione, nel quale il presidente del partito rivendicò la storia della DC contro la stagione dei processi mediatici, rifiutando che il partito si lasciasse processare nelle piazze e rilanciando la prospettiva della terza fase quale approdo di sistema, Livello A quanto al discorso, alla data ed ai contenuti editi. Il registro censisce il testo per la sua funzione correttiva: a 4 mesi da via Fani, l'uomo che la vulgata avrebbe consegnato alla storia quale mediatore crepuscolare parlava da capo politico in attacco, e la continuità documentale tra il combattente di Benevento, il negoziatore dottrinale della prigione censito nel quadrilatero epistolare e l'estensore lucido del memoriale è la spina dorsale biografica che il capitolo consegna alle fasi successive: il corpus moroteo dei suoi ultimi 6 mesi, dal palco alla cella, è l'opera di una sola intelligenza politica in piena funzione, e ogni lettura che ne frammenti la coerenza per neutralizzarne un segmento, il Moro di Benevento contro il Moro delle lettere, deve prima spiegare perché la scrittura non registri alcuna frattura.</w:t>
      </w:r>
    </w:p>
    <w:p>
      <w:pPr>
        <w:spacing w:after="120" w:line="276"/>
        <w:jc w:val="both"/>
      </w:pPr>
      <w:r>
        <w:rPr>
          <w:rFonts w:ascii="Barlow Semi Condensed" w:cs="Barlow Semi Condensed" w:eastAsia="Barlow Semi Condensed" w:hAnsi="Barlow Semi Condensed"/>
          <w:sz w:val="24"/>
          <w:szCs w:val="24"/>
        </w:rPr>
        <w:t xml:space="preserve">L'arco politico del nodo si chiude infine 21 mesi dopo via Caetani, con l'atto congressuale che il registro censisce quale certificato di morte della politica morotea: al congresso democristiano del febbraio 1980 l'approvazione del documento preambolare della maggioranza interna precluse formalmente la prosecuzione della solidarietà nazionale e la prospettiva di collaborazione con il partito comunista, riportando la DC all'alleanza preferenziale con i socialisti e chiudendo la stagione che il rapimento aveva colpito al suo primo giorno, Livello A quanto all'esito congressuale ed ai suoi effetti di sistema. Il registro consegna la data alla contabilità dell'opera: la politica per la quale Moro fu sequestrato sopravvisse al suo autore un tempo brevissimo e morì non per mano armata ma per voto di congresso, e questa doppia estinzione, l'uomo per esecuzione e la strategia per deliberazione, obbliga l'analisi alla distinzione che il capitolo consegna: l'attentato uccise il garante, ma fu il sistema politico, con i propri strumenti ordinari, a seppellire la garanzia, sicché la domanda storica corretta non è se il sequestro abbia fermato la terza fase, ma perché nessuno, dopo, abbia più potuto o voluto riprenderla, ed a questa seconda domanda le aule non erano competenti a rispondere.</w:t>
      </w:r>
    </w:p>
    <w:p>
      <w:pPr>
        <w:spacing w:after="120" w:line="276"/>
        <w:jc w:val="both"/>
      </w:pPr>
      <w:r>
        <w:rPr>
          <w:rFonts w:ascii="Barlow Semi Condensed" w:cs="Barlow Semi Condensed" w:eastAsia="Barlow Semi Condensed" w:hAnsi="Barlow Semi Condensed"/>
          <w:sz w:val="24"/>
          <w:szCs w:val="24"/>
        </w:rPr>
        <w:t xml:space="preserve">La cronologia politica della vigilia esige la misura della sua durata, che il registro fissa quale cornice temporale dell'intero disegno: la crisi apertasi il 16 gennaio 1978 con le dimissioni del terzo governo Andreotti si protrasse per 2 mesi esatti, la più laboriosa gestazione ministeriale del decennio, condotta da Moro attraverso la resistenza convergente delle ali interne ed esterne sino al giuramento dell'11 marzo ed al debutto parlamentare del 16, Livello A quanto alla scansione. Il registro consegna la durata alla sua funzione analitica: per 60 giorni l'intero Paese, e chiunque nel Paese pianificasse, conobbe pubblicamente l'esistenza, la posta e l'artefice della partita in corso, mentre la sua data terminale, il giorno della fiducia, si definì solo nell'ultima settimana, sicché l'agguato consumato nell'ora esatta del compimento presuppone un dispositivo tenuto in preallarme prolungato e attivabile con preavviso breve, ed è questa elasticità operativa, più ancora della precisione balistica censita nel capitolo seguente, la vera firma professionale del 16 marzo: non l'abilità di colpire, che si addestra, ma la capacità organizzativa di attendere armati per settimane una data altrui, che si finanzia, si copre e si comanda, e che il registro consegna ai capitoli processuali quale domanda sulla profondità logistica dell'organizzazione che i giudicati hanno misurato.</w:t>
      </w:r>
    </w:p>
    <w:p>
      <w:pPr>
        <w:spacing w:after="120" w:line="276"/>
        <w:jc w:val="both"/>
      </w:pPr>
      <w:r>
        <w:rPr>
          <w:rFonts w:ascii="Barlow Semi Condensed" w:cs="Barlow Semi Condensed" w:eastAsia="Barlow Semi Condensed" w:hAnsi="Barlow Semi Condensed"/>
          <w:sz w:val="24"/>
          <w:szCs w:val="24"/>
        </w:rPr>
        <w:t xml:space="preserve">Il ritratto del protagonista esige infine il suo registro civile meno noto, che l'opera censisce per completezza biografica: per l'intera carriera politica Moro mantenne la cattedra universitaria, ordinario di istituzioni di diritto e procedura penale nell'ateneo romano, e continuò a tenervi personalmente lezione, tra studenti e assistenti, sino alle ultime settimane prima del sequestro, unico caso tra i vertici della Repubblica di una docenza effettiva mai ridotta a titolo onorifico, Livello A quanto alla continuità dell'insegnamento. Il registro consegna il dato alla sua funzione ermeneutica: l'uomo che il corpus ha censito quale architetto delle mediazioni impossibili trascorreva le proprie mattine accademiche a spiegare ai ventenni le garanzie del processo penale, e questa doppia vita documentata, il potere e la cattedra, illumina retrospettivamente tanto la qualità giuridica delle lettere dalla prigione, scritte da un processualista che conosceva per mestiere la differenza tra giustizia e procedura, quanto la scelta brigatista di sottoporlo ad un simulacro di processo, che colpiva, con precisione forse inconsapevole, l'uomo nel punto esatto della sua competenza, costringendo il professore della procedura a subire la parodia della materia che insegnava.</w:t>
      </w:r>
    </w:p>
    <w:p>
      <w:pPr>
        <w:spacing w:after="120" w:line="276"/>
        <w:jc w:val="both"/>
      </w:pPr>
      <w:r>
        <w:rPr>
          <w:rFonts w:ascii="Barlow Semi Condensed" w:cs="Barlow Semi Condensed" w:eastAsia="Barlow Semi Condensed" w:hAnsi="Barlow Semi Condensed"/>
          <w:sz w:val="24"/>
          <w:szCs w:val="24"/>
        </w:rPr>
        <w:t xml:space="preserve">Il profilo istituzionale del protagonista esige la sua scheda di servizio, che il registro premette quale misura della posta: Aldo Moro guidò 5 governi della Repubblica, i 3 esecutivi organici di centrosinistra tra il 1963 ed il 1968 ed i 2 governi della metà degli anni Settanta, e tenne nei 3 decenni i dicasteri di vertice, la Giustizia, la Pubblica istruzione, gli Esteri per stagioni prolungate, oltre alla segreteria del partito negli anni della svolta e la presidenza del Consiglio nazionale democristiano sino al sequestro, curriculum che ne fa, per durata ed ampiezza cumulativa degli incarichi, uno dei 2 o 3 uomini di governo più longevi dell'intera storia repubblicana, Livello A quanto alla carriera istituzionale. Il registro consegna la scheda alla sua funzione nel capitolo: il 16 marzo 1978 non fu colpito un leader di partito ma un archivio vivente dello Stato, l'uomo che aveva attraversato da ministro o da premier ogni stagione critica del corpus, dal Piano Solo vissuto da presidente del Consiglio in carica alle gestioni riservate mediterranee dirette da ministro degli esteri, e questa densità biografica, unica tra i possibili bersagli dell'epoca, appartiene alla valutazione del bersaglio che ogni ipotesi sul caso, da quella giudicata a quelle concorrenti, deve incorporare: chiunque decise o lasciò decidere la sorte del prigioniero sapeva che nella prigione del popolo non c'era soltanto il garante di una maggioranza, c'era la memoria operativa di 30 anni di Repubblica, con tutto ciò che una memoria simile poteva, scrivendo, ricordare.</w:t>
      </w:r>
    </w:p>
    <w:p>
      <w:pPr>
        <w:spacing w:after="120" w:line="276"/>
        <w:jc w:val="both"/>
      </w:pPr>
      <w:r>
        <w:rPr>
          <w:rFonts w:ascii="Barlow Semi Condensed" w:cs="Barlow Semi Condensed" w:eastAsia="Barlow Semi Condensed" w:hAnsi="Barlow Semi Condensed"/>
          <w:sz w:val="24"/>
          <w:szCs w:val="24"/>
        </w:rPr>
        <w:t xml:space="preserve">Il capitolo della cornice politica esige il suo bilancio terminale, che il registro formula quale misura del prezzo pagato: la politica di solidarietà nazionale non sopravvisse al suo garante, poiché il partito comunista, logorato dal sostegno ad un governo che non lo compensava e privato dell'interlocutore che aveva costruito il percorso, uscì dalla maggioranza nel gennaio 1979, a 8 mesi da via Caetani, chiudendo per sempre la stagione dell'avvicinamento e riconsegnando il sistema politico alla contrapposizione che l'operazione di Moro aveva tentato di superare, Livello A quanto alla cronologia della rottura. Il registro consegna la sequenza alla sua lettura strutturale, che prescinde da ogni ipotesi sui mandanti e vale per tutte: qualunque cosa il sequestro fosse stato nelle intenzioni, nei risultati fu l'atto che uccise insieme l'uomo ed il suo disegno, perché la solidarietà nazionale, nata per gestire l'emergenza, si consumò nell'emergenza stessa, ed il sistema politico italiano tornò, dopo la parentesi, esattamente alla geometria bipolare bloccata che le 2 superpotenze censite nella fase quinta avevano sempre preferito, sicché il registro può formulare l'unico enunciato che la disciplina consente sul piano degli effetti: il 9 maggio 1978 non morì soltanto un uomo di Stato, morì l'unico esperimento di superamento della conventio ad excludendum che la Repubblica del corpus abbia mai condotto sino alla soglia del governo, e gli effetti, a differenza delle intenzioni, non sono un'ipotesi ma un calendario.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Moro è certificato al Livello A quale artefice delle 2 operazioni di allargamento della base dello Stato e quale intermediario a massima centralità del sistema politico, sequestrato il giorno della fiducia al primo governo della solidarietà nazionale; le contrarietà internazionali al suo progetto sono certificate al Livello B su entrambi i versanti, americano e sovietico, quali contrarietà documentate e speculari, con la qualificazione del loro rapporto rinviata alla chiusura; il movente politico dell'evento è certificato nella sola forma del dato oggettivo, la fine del progetto con la morte del suo garante, senza alcuna attribuzione eccedente i giudicati.</w:t>
      </w:r>
    </w:p>
    <w:p>
      <w:pPr>
        <w:pStyle w:val="Heading3"/>
        <w:spacing w:after="80" w:before="160"/>
      </w:pPr>
      <w:r>
        <w:rPr>
          <w:rFonts w:ascii="Barlow Semi Condensed" w:cs="Barlow Semi Condensed" w:eastAsia="Barlow Semi Condensed" w:hAnsi="Barlow Semi Condensed"/>
          <w:sz w:val="24"/>
          <w:szCs w:val="24"/>
        </w:rPr>
        <w:t xml:space="preserve">Capitolo 2 — ■ Via Fani, 16 marzo 1978. L'agguato, la scorta, i giudicati</w:t>
      </w:r>
    </w:p>
    <w:p>
      <w:pPr>
        <w:spacing w:after="120" w:line="276"/>
        <w:jc w:val="both"/>
      </w:pPr>
      <w:r>
        <w:rPr>
          <w:rFonts w:ascii="Barlow Semi Condensed" w:cs="Barlow Semi Condensed" w:eastAsia="Barlow Semi Condensed" w:hAnsi="Barlow Semi Condensed"/>
          <w:sz w:val="24"/>
          <w:szCs w:val="24"/>
        </w:rPr>
        <w:t xml:space="preserve">L'agguato di via Mario Fani, eseguito a Roma la mattina del 16 marzo 1978 poco dopo le 9, è il nodo-evento inaugurale della fase: 90 secondi di fuoco nei quali fu annientata la scorta di Aldo Moro e il presidente fu sequestrato. La scansione del corpus registra il toponimo 262 volte in 37 documenti. Caddero il maresciallo dei carabinieri Oreste Leonardi, capo scorta e ombra di Moro da 15 anni, l'appuntato dei carabinieri Domenico Ricci, alla guida della vettura del presidente, il vicebrigadiere di pubblica sicurezza Francesco Zizzi e le guardie Giulio Rivera e Raffaele Iozzino, sull'auto di scorta; Iozzino fu l'unico che riuscì a scendere e a esplodere colpi contro gli aggressori. Il registro ne trascrive i 5 nomi quale atto dovuto e primo contenuto del nodo.</w:t>
      </w:r>
    </w:p>
    <w:p>
      <w:pPr>
        <w:spacing w:after="120" w:line="276"/>
        <w:jc w:val="both"/>
      </w:pPr>
      <w:r>
        <w:rPr>
          <w:rFonts w:ascii="Barlow Semi Condensed" w:cs="Barlow Semi Condensed" w:eastAsia="Barlow Semi Condensed" w:hAnsi="Barlow Semi Condensed"/>
          <w:sz w:val="24"/>
          <w:szCs w:val="24"/>
        </w:rPr>
        <w:t xml:space="preserve">Il primo pilastro è la dinamica giudizialmente accertata, che il registro certifica al Livello A sul fondamento dei giudicati formatisi nei 5 procedimenti. L'azione fu eseguita da un commando delle Brigate Rosse secondo uno schema di blocco e fuoco incrociato: la vettura civetta che tagliò la strada al corteo all'incrocio con via Stresa, il gruppo di fuoco appostato in uniformi da personale di volo dell'Alitalia lungo la siepe, i ruoli di copertura e di recupero; il presidente fu trasbordato e portato via nel giro di pochi minuti attraverso un percorso di cambi d'auto. I giudicati hanno identificato e condannato in via irrevocabile i componenti del commando e i dirigenti dell'azione, nella composizione che il capitolo successivo espone nominativamente, e hanno ricostruito la pianificazione, i sopralluoghi e la catena di comando interna. Il registro certifica al Livello A la dinamica, la composizione giudicata del commando e la riferibilità dell'azione alla direzione strategica dell'organizzazione, quali contenuti dei giudicati; e registra al medesimo livello il dato quantitativo dell'azione, il volume di fuoco concentrato sulla scorta, rinviando alle tavole armiere di cui il registro dispone il censimento analitico delle armi accertate e dei bossoli repertati, con l'annotazione che la distribuzione dei colpi tra le armi, come accertata dalle perizie, attribuì a una sola arma automatica la maggioranza assoluta dei colpi esplosi: un dato tecnico certificato che ha alimentato, nei decenni, la questione della perizia esecutiva del tiratore principale, la quale, nei limiti in cui eccede il dato peritale, appartiene al piano delle ipotesi.</w:t>
      </w:r>
    </w:p>
    <w:p>
      <w:pPr>
        <w:spacing w:after="120" w:line="276"/>
        <w:jc w:val="both"/>
      </w:pPr>
      <w:r>
        <w:rPr>
          <w:rFonts w:ascii="Barlow Semi Condensed" w:cs="Barlow Semi Condensed" w:eastAsia="Barlow Semi Condensed" w:hAnsi="Barlow Semi Condensed"/>
          <w:sz w:val="24"/>
          <w:szCs w:val="24"/>
        </w:rPr>
        <w:t xml:space="preserve">Il secondo pilastro è il perimetro delle presenze, che il registro tratta con la decomposizione dei piani dichiarata in avvertenza. Il piano primo, quello giudicato, fissa le presenze condannate. Il piano secondo registra le presenze ulteriori accertate ma non appartenenti al commando: tra esse, il registro certifica al Livello A, quale fatto ammesso ed emerso negli anni Novanta, la presenza nelle immediate vicinanze del luogo e dell'ora dell'agguato di un ufficiale del servizio segreto militare, il colonnello Camillo Guglielmi, appartenente alla struttura addestrativa collegata alla rete clandestina certificata nella Fase 2; la spiegazione fornita, un invito a pranzo da un collega residente in zona, in orario mattutino, è agli atti, e la sua congruità è stata oggetto di valutazioni critiche nelle sedi parlamentari. Il registro certifica la presenza quale fatto e mantiene al Livello C ogni attribuzione di significato operativo, dichiarando che questo è il caso di scuola del divieto inferenziale: una presenza anomala certificata non è una partecipazione, e la distanza tra i 2 enunciati può essere colmata soltanto da prove che non esistono. Al medesimo piano appartengono le questioni delle presenze e dei veicoli non identificati discusse nelle perizie e nelle inchieste parlamentari successive, compresa la motocicletta segnalata da testimoni: il registro le censisce quali questioni aperte di Livello C, documentate quanto alla loro esistenza di questioni, non risolte quanto al loro contenuto.</w:t>
      </w:r>
    </w:p>
    <w:p>
      <w:pPr>
        <w:spacing w:after="120" w:line="276"/>
        <w:jc w:val="both"/>
      </w:pPr>
      <w:r>
        <w:rPr>
          <w:rFonts w:ascii="Barlow Semi Condensed" w:cs="Barlow Semi Condensed" w:eastAsia="Barlow Semi Condensed" w:hAnsi="Barlow Semi Condensed"/>
          <w:sz w:val="24"/>
          <w:szCs w:val="24"/>
        </w:rPr>
        <w:t xml:space="preserve">Il terzo pilastro è la qualificazione dell'evento nella serie dell'opera. Via Fani è, per tecnica ed esito, un'operazione militare urbana senza precedenti né repliche nella storia del terrorismo italiano: la combinazione di intelligence preparatoria, sincronizzazione e volume di fuoco la distingue da ogni altra azione della medesima organizzazione, e questa eccezionalità tecnica, certificata al Livello A quale dato comparativo interno alla serie delle azioni giudicate, è stata l'argomento ricorrente delle letture che postulano addestramenti o concorsi esterni; il registro registra l'argomento e lo qualifica: l'eccezionalità è un fatto, l'inferenza dall'eccezionalità al concorso esterno è un'ipotesi di Livello C, che i giudicati hanno escluso di poter elevare, avendo ritenuto l'azione interamente riferibile all'organizzazione, e che le inchieste parlamentari successive hanno riproposto senza poterla consolidare.</w:t>
      </w:r>
    </w:p>
    <w:p>
      <w:pPr>
        <w:spacing w:after="120" w:line="276"/>
        <w:jc w:val="both"/>
      </w:pPr>
      <w:r>
        <w:rPr>
          <w:rFonts w:ascii="Barlow Semi Condensed" w:cs="Barlow Semi Condensed" w:eastAsia="Barlow Semi Condensed" w:hAnsi="Barlow Semi Condensed"/>
          <w:sz w:val="24"/>
          <w:szCs w:val="24"/>
        </w:rPr>
        <w:t xml:space="preserve">Il quarto pilastro è il censimento armiero, che il registro espone quale contenuto tecnico proprio, disponendo di tavole dedicate all'armamento dell'agguato e dell'esecuzione. Le risultanze peritali consolidate nei giudicati fissano il quadro: sul luogo dell'agguato furono repertati 93 bossoli, la cui distribuzione tra le armi attribuì la maggioranza assoluta dei colpi, 49, a una sola mitraglietta FNAB-43, arma automatica di produzione italiana bellica e di provenienza clandestina, affiancata da altre armi lunghe automatiche in parte inceppatesi durante l'azione e dalle armi corte del commando; l'esecuzione del 9 maggio avvenne con la mitraglietta Skorpion munita di silenziatore e con arma corta, e le perizie sul corpo e sulla vettura ne fissarono modalità e colpi. Il registro certifica al Livello A il quadro peritale recepito nei giudicati, ivi compreso il dato della concentrazione del fuoco su una sola arma, e disciplina le 2 questioni che il dato ha alimentato. La prima è la questione della perizia esecutiva: la concentrazione dei colpi in un tiratore principale, unita alla gestione degli inceppamenti altrui, ha fondato la lettura del professionista esterno; il registro la mantiene al Livello C, annotando che i giudicati attribuirono il fuoco ai componenti condannati del commando e che il dato tecnico, di per sé, misura una distribuzione e non una provenienza. La seconda è la questione della provenienza delle armi: gli accertamenti collocarono le armi lunghe in circuiti clandestini di provenienza eterogenea, e il tema della filiera internazionale degli armamenti dell'organizzazione, che il capitolo successivo riprende, trova qui il suo aggancio materiale; il registro certifica al Livello A l'eterogeneità e la clandestinità della provenienza quale dato peritale, e rinvia la filiera al capitolo dell'organizzazione. L'annotazione metodologica chiude il pilastro: il registro tratta il dato balistico secondo il paradigma indiziario della Nota, quale traccia materiale a massimo valore discriminante, e precisamente per questo ne vieta l'uso suggestivo, giacché la traccia discrimina soltanto entro le ipotesi che è tecnicamente idonea a distinguere, e la distribuzione dei colpi non distingue il brigatista addestrato dal professionista esterno, come 4 decenni di perizie hanno confermato.</w:t>
      </w:r>
    </w:p>
    <w:p>
      <w:pPr>
        <w:spacing w:after="120" w:line="276"/>
        <w:jc w:val="both"/>
      </w:pPr>
      <w:r>
        <w:rPr>
          <w:rFonts w:ascii="Barlow Semi Condensed" w:cs="Barlow Semi Condensed" w:eastAsia="Barlow Semi Condensed" w:hAnsi="Barlow Semi Condensed"/>
          <w:sz w:val="24"/>
          <w:szCs w:val="24"/>
        </w:rPr>
        <w:t xml:space="preserve">Il registro annota infine, entro il pilastro, la questione della protezione: gli atti documentano che nella stagione precedente l'agguato la minaccia sulla persona di Moro era segnalata, che la richiesta di dotare il presidente di una vettura blindata era stata avanzata e non soddisfatta, e che la scorta operava con mezzi ordinari e senza equipaggiamento protettivo adeguato al livello della minaccia; il registro certifica al Livello A la sproporzione tra la minaccia segnalata e la protezione accordata, quale fatto documentale ricostruito dalle inchieste, e mantiene al Livello C, in forza del divieto, ogni lettura intenzionale della sproporzione, annotando che essa appartiene alla serie delle inadeguatezze certificate che il piano secondo cumula e che la comparazione con la protezione dei pari grado della stagione rende misurabile.</w:t>
      </w:r>
    </w:p>
    <w:p>
      <w:pPr>
        <w:spacing w:after="120" w:line="276"/>
        <w:jc w:val="both"/>
      </w:pPr>
      <w:r>
        <w:rPr>
          <w:rFonts w:ascii="Barlow Semi Condensed" w:cs="Barlow Semi Condensed" w:eastAsia="Barlow Semi Condensed" w:hAnsi="Barlow Semi Condensed"/>
          <w:sz w:val="24"/>
          <w:szCs w:val="24"/>
        </w:rPr>
        <w:t xml:space="preserve">Il quinto pilastro è il primo vuoto documentale della vicenda, le borse del presidente. Moro viaggiava, la mattina del 16 marzo, con le borse di lavoro contenenti documenti, appunti e materiali, in numero di 5 secondo le ricostruzioni consolidate: nessuna di esse fu rinvenuta sul luogo dell'agguato né mai recuperata, e il loro contenuto non è mai stato accertato, salvo che per le indicazioni frammentarie di fonti interne all'organizzazione sul prelievo e sulla sorte dei materiali. Il registro certifica al Livello A la scomparsa delle borse quale fatto, primo anello della catena dei vuoti documentali che accompagnerà l'intera vicenda, e mantiene al Livello C ogni ricostruzione del loro contenuto e della loro destinazione; l'annotazione è che la vicenda documentale del caso si apre nel suo stesso primo minuto, con la sottrazione contestuale all'agguato dell'archivio portatile della vittima, e che il registro censirà i vuoti successivi quale serie unitaria nella chiusura di fase.</w:t>
      </w:r>
    </w:p>
    <w:p>
      <w:pPr>
        <w:spacing w:after="120" w:line="276"/>
        <w:jc w:val="both"/>
      </w:pPr>
      <w:r>
        <w:rPr>
          <w:rFonts w:ascii="Barlow Semi Condensed" w:cs="Barlow Semi Condensed" w:eastAsia="Barlow Semi Condensed" w:hAnsi="Barlow Semi Condensed"/>
          <w:sz w:val="24"/>
          <w:szCs w:val="24"/>
        </w:rPr>
        <w:t xml:space="preserve">Il sesto pilastro ricostruisce la preparazione dell'azione e i suoi segni premonitori, quali gli accertamenti li hanno consegnati. La pianificazione, per le risultanze processuali, durò mesi: i pedinamenti del percorso quotidiano di Moro, dall'abitazione di via del Forte Trionfale alla chiesa di Santa Chiara, dove il presidente si fermava ogni mattina, sino a Montecitorio, iniziarono nell'autunno del 1977 e fissarono la scelta del punto, l'incrocio tra via Fani e via Stresa, dove il corteo rallentava per lo stop; l'organizzazione acquisì le vetture, tra cui la Fiat 128 bianca con targa del corpo diplomatico contraffatta che avrebbe tagliato la strada, predispose le uniformi dell'Alitalia quale copertura del gruppo di fuoco in attesa, e collaudò la sincronizzazione dei 3 gruppi, il blocco, il fuoco, il recupero. Il registro certifica al Livello A questa ricostruzione, quale contenuto dei giudicati e delle ammissioni riscontrate, e vi aggiunge il segno premonitore materiale che gli atti documentano: nella notte tra il 15 e il 16 marzo, gli pneumatici del furgone del fioraio Antonio Spiriticchio, che stazionava ogni mattina all'angolo dell'incrocio, furono squarciati, sicché l'unico osservatore fisso del punto fu rimosso dalla scena poche ore prima dell'azione; il registro certifica al Livello A il fatto, emerso sin dalle prime indagini, e lo qualifica quale indice della qualità professionale della preparazione, un dettaglio di bonifica preventiva del campo che le perizie comparate hanno registrato tra gli elementi distintivi dell'operazione. Alla medesima serie appartiene il dato, già annotato, della sproporzione tra la minaccia segnalata e la protezione accordata: il registro vi aggiunge la specificazione documentale che le armi lunghe in dotazione alla scorta, 2 mitra, viaggiavano custodite nel bagagliaio dell'Alfetta di scorta, secondo la prassi dell'epoca, e furono perciò inutilizzabili nei 90 secondi dell'azione; la circostanza, certificata al Livello A dagli atti, misura la distanza tra la minaccia effettiva e l'assetto difensivo, e appartiene alla serie delle inadeguatezze strutturali che il piano secondo cumula.</w:t>
      </w:r>
    </w:p>
    <w:p>
      <w:pPr>
        <w:spacing w:after="120" w:line="276"/>
        <w:jc w:val="both"/>
      </w:pPr>
      <w:r>
        <w:rPr>
          <w:rFonts w:ascii="Barlow Semi Condensed" w:cs="Barlow Semi Condensed" w:eastAsia="Barlow Semi Condensed" w:hAnsi="Barlow Semi Condensed"/>
          <w:sz w:val="24"/>
          <w:szCs w:val="24"/>
        </w:rPr>
        <w:t xml:space="preserve">Il settimo pilastro censisce la scena, i testimoni e le code materiali dell'azione. La testimonianza più discussa è quella dell'ingegner Alessandro Marini, che sopraggiunse in motorino sul luogo nei secondi dell'azione e riferì della presenza di una motocicletta Honda di grossa cilindrata con 2 uomini a bordo, 1 dei quali avrebbe esploso colpi verso di lui, infrangendo il parabrezza del motorino: la motocicletta non è mai stata identificata, la sua funzione non è mai stata chiarita, e le versioni del testimone hanno conosciuto oscillazioni nel tempo, sino alle revisioni tarde; il registro certifica al Livello A l'esistenza e il contenuto originario della testimonianza, quale atto documentale coevo, mantiene al Livello C l'identificazione e la funzione del mezzo, e registra la questione della motocicletta quale la più longeva delle code aperte della scena, oggetto di accertamenti sino all'ultima Commissione. La seconda coda materiale è la sorte delle vetture della fuga: le auto utilizzate dal commando furono rinvenute in via Licinio Calvo, una traversa a breve distanza dal luogo dell'agguato, in 3 riprese successive scaglionate tra il 16 marzo e il 13 aprile, con i rinvenimenti tardivi avvenuti in una strada già battuta dalle ricerche; il registro certifica al Livello A la sequenza dei rinvenimenti, quale dato di verbale, e censisce al Livello C le sue letture, dalla spola dei sequestratori sotto il dispositivo di ricerca alla ricollocazione tardiva dei mezzi, annotando che la sequenza appartiene, quale che ne sia la spiegazione, alla serie delle anomalie certificate della fase. La terza coda è l'esercizio commerciale all'angolo, il bar dell'incrocio, chiuso quella mattina, la cui titolarità e le cui frequentazioni sono state oggetto degli approfondimenti dell'ultima Commissione, con acquisizioni sulle cointeressenze della gestione che il registro recepisce al Livello B quanto ai fatti documentali e al Livello C quanto a ogni lettura funzionale, entro la disciplina già dichiarata per la zona di convergenza.</w:t>
      </w:r>
    </w:p>
    <w:p>
      <w:pPr>
        <w:spacing w:after="120" w:line="276"/>
        <w:jc w:val="both"/>
      </w:pPr>
      <w:r>
        <w:rPr>
          <w:rFonts w:ascii="Barlow Semi Condensed" w:cs="Barlow Semi Condensed" w:eastAsia="Barlow Semi Condensed" w:hAnsi="Barlow Semi Condensed"/>
          <w:sz w:val="24"/>
          <w:szCs w:val="24"/>
        </w:rPr>
        <w:t xml:space="preserve">L'ottavo pilastro completa il censimento armiero con i dati di contesto che le tavole del registro consegnano. La mitraglietta FNAB-43, l'arma cui le perizie attribuiscono 49 dei 93 colpi, è un'arma automatica italiana prodotta in serie limitata negli anni 1943-1944, circolante nei decenni successivi nei soli canali clandestini dei residuati e dei traffici: la sua presenza in via Fani, accanto ad altre armi automatiche di provenienza eterogenea, parte delle quali si inceppò durante l'azione, è certificata al Livello A dalle perizie, e la composizione dell'arsenale, armi datate, di provenienza irregolare, con difettosità manifestatesi nell'uso, è stata valorizzata nei giudizi quale indice della natura artigianale della logistica dell'organizzazione, in contrasto con la professionalità della pianificazione: il registro certifica al Livello A questa duplicità documentata, l'eccellenza tattica e la precarietà logistica, e la consegna quale dato alla competizione tra le ipotesi, annotando che essa è stata invocata da entrambe le letture, quale prova di autosufficienza dall'una e quale firma di un apporto esterno selettivo dall'altra, e che il dato, in sé, non discrimina. Le perizie disposte dall'ultima Commissione, con le tecniche di analisi contemporanee, hanno rimodulato la ricostruzione delle posizioni di tiro e della distribuzione dei colpi senza modificare le attribuzioni giudicate: il registro certifica al Livello A l'esito confermativo, quale dato peritale, e chiude il pilastro con la regola già enunciata, per cui la traccia balistica discrimina soltanto entro le ipotesi che è tecnicamente idonea a distinguere.</w:t>
      </w:r>
    </w:p>
    <w:p>
      <w:pPr>
        <w:spacing w:after="120" w:line="276"/>
        <w:jc w:val="both"/>
      </w:pPr>
      <w:r>
        <w:rPr>
          <w:rFonts w:ascii="Barlow Semi Condensed" w:cs="Barlow Semi Condensed" w:eastAsia="Barlow Semi Condensed" w:hAnsi="Barlow Semi Condensed"/>
          <w:sz w:val="24"/>
          <w:szCs w:val="24"/>
        </w:rPr>
        <w:t xml:space="preserve">Il nono pilastro restituisce i profili degli uomini della scorta, quale atto dovuto che la disciplina delle vittime impone e quale dato analitico sulla struttura della protezione. Il maresciallo Oreste Leonardi, capo della scorta, era al fianco di Moro da oltre 15 anni: non un assegnato di turno ma l'uomo di fiducia della famiglia, il custode delle abitudini e degli itinerari, la memoria vivente del dispositivo; l'appuntato Domenico Ricci, alla guida della berlina presidenziale, era l'autista personale di Moro da quasi 2 decenni, selezionato per perizia di guida e riservatezza; il vicebrigadiere di pubblica sicurezza Francesco Zizzi, capo equipaggio dell'auto di scorta, era al primo giorno di servizio in quella specifica assegnazione, la circostanza più citata della composizione di quella mattina; gli agenti Giulio Rivera, alla guida dell'Alfetta, e Raffaele Iozzino completavano l'equipaggio, e Iozzino fu, per le risultanze, l'unico che riuscì a scendere dal veicolo e a esplodere colpi con l'arma d'ordinanza prima di essere abbattuto. Il registro certifica al Livello A i profili e le circostanze, quali dati degli atti, e ne trae 2 annotazioni analitiche: la prima è che l'eliminazione di Leonardi e Ricci comportò la distruzione, nel primo minuto, della memoria operativa del dispositivo di protezione, gli unici 2 uomini che conoscevano integralmente consuetudini, percorsi e relazioni del protetto, una perdita informativa che gravò sulle indagini immediate; la seconda è che la composizione mista dell'equipaggio, carabinieri storici e agenti di pubblica sicurezza di recente o recentissima assegnazione, riflette l'assenza di una dottrina unitaria della protezione personale nell'Italia del 1978, un dato di sistema che la legislazione successiva avrebbe corretto e che il registro certifica quale contesto, non quale addebito.</w:t>
      </w:r>
    </w:p>
    <w:p>
      <w:pPr>
        <w:spacing w:after="120" w:line="276"/>
        <w:jc w:val="both"/>
      </w:pPr>
      <w:r>
        <w:rPr>
          <w:rFonts w:ascii="Barlow Semi Condensed" w:cs="Barlow Semi Condensed" w:eastAsia="Barlow Semi Condensed" w:hAnsi="Barlow Semi Condensed"/>
          <w:sz w:val="24"/>
          <w:szCs w:val="24"/>
        </w:rPr>
        <w:t xml:space="preserve">Il decimo pilastro registra la giornata del 16 marzo nel Paese, il contesto immediato della reazione. Nelle ore successive all'agguato, mentre scattava il dispositivo di ricerca, le confederazioni sindacali proclamarono lo sciopero generale e le piazze delle città maggiori si riempirono di manifestazioni unitarie; il Parlamento, convocato per il dibattito sulla fiducia al nuovo governo, votò la fiducia in giornata, con una accelerazione procedurale senza precedenti e con il discorso volutamente asciutto del presidente del Consiglio Andreotti, che chiese e ottenne il voto quale risposta istituzionale all'attacco; la maggioranza della non sfiducia divenne, nel fuoco dell'emergenza, maggioranza politica effettiva, e il governo che Moro aveva costruito nacque, per paradosso certificato dalla cronologia, nel giorno e per effetto del suo sequestro. Il registro certifica al Livello A la sequenza della giornata, quale materia documentale, e ne dichiara il rilievo per la competizione tra le ipotesi: l'effetto politico immediato dell'azione fu il consolidamento, non la rottura, della formula della solidarietà nazionale, un esito che la letteratura ha valorizzato in direzioni opposte, quale prova del fallimento politico dell'organizzazione ovvero quale primo tempo di una strategia di logoramento che avrebbe prodotto i suoi effetti disgregativi nei mesi successivi; il registro certifica l'effetto e data la sua inversione, giacché la formula di governo nata il 16 marzo 1978 si esaurì entro il gennaio 1979, quando il Partito comunista uscì dalla maggioranza, e la stagione della solidarietà nazionale si chiuse per sempre a 8 mesi dal ritrovamento di via Caetani: la sequenza sequestro-consolidamento-dissoluzione è il dato temporale certificato che ogni lettura del piano terzo deve spiegare.</w:t>
      </w:r>
    </w:p>
    <w:p>
      <w:pPr>
        <w:spacing w:after="120" w:line="276"/>
        <w:jc w:val="both"/>
      </w:pPr>
      <w:r>
        <w:rPr>
          <w:rFonts w:ascii="Barlow Semi Condensed" w:cs="Barlow Semi Condensed" w:eastAsia="Barlow Semi Condensed" w:hAnsi="Barlow Semi Condensed"/>
          <w:sz w:val="24"/>
          <w:szCs w:val="24"/>
        </w:rPr>
        <w:t xml:space="preserve">L'undicesimo pilastro censisce gli atti immediati dell'inchiesta e il dato del percorso. La direzione delle indagini fu assunta dalla procura di Roma con il coordinamento investigativo dei reparti territoriali e, dalla sera stessa, con l'attivazione dei comitati che il capitolo della gestione censisce; i rilievi sulla scena, condotti nelle condizioni di affollamento e concitazione che gli atti documentano, con la presenza simultanea di autorità, operatori e stampa sul perimetro non ancora integralmente delimitato, consegnarono il quadro dei bossoli, dei veicoli e delle tracce su cui le perizie di ogni stagione successiva hanno lavorato; il registro certifica al Livello A le condizioni documentate dei primi rilievi, quale dato degli atti e delle immagini coeve, e le registra tra i fattori che hanno reso necessarie le reiterate perizie integrative dei decenni seguenti. Al medesimo pilastro appartiene il dato strutturale della prevedibilità: gli accertamenti hanno documentato che il percorso mattutino del presidente non veniva variato, che la sosta quotidiana nella chiesa di Santa Chiara era abitudine nota e che la sequenza degli itinerari era, per un osservatore sistematico, integralmente ricostruibile; il registro certifica al Livello A la fissità documentata del percorso, la condizione che rese possibile la pianificazione censita nel sesto pilastro, e la registra, accanto alla mancata blindatura e alla custodia delle armi lunghe nel bagagliaio, quale terzo elemento della serie delle vulnerabilità strutturali certificate, la cui composizione descrive un obiettivo di massimo valore protetto secondo procedure ordinarie: il differenziale tra il valore e la protezione è il dato che il registro consegna, quale fatto, a ogni piano della decomposizione.</w:t>
      </w:r>
    </w:p>
    <w:p>
      <w:pPr>
        <w:spacing w:after="120" w:line="276"/>
        <w:jc w:val="both"/>
      </w:pPr>
      <w:r>
        <w:rPr>
          <w:rFonts w:ascii="Barlow Semi Condensed" w:cs="Barlow Semi Condensed" w:eastAsia="Barlow Semi Condensed" w:hAnsi="Barlow Semi Condensed"/>
          <w:sz w:val="24"/>
          <w:szCs w:val="24"/>
        </w:rPr>
        <w:t xml:space="preserve">Il dodicesimo pilastro censisce la composizione giudicata del nucleo operativo e le sue code aperte. I giudicati hanno fissato in 9 i componenti accertati dell'azione di via Fani, distribuiti tra il blocco stradale, il gruppo di fuoco lungo la siepe, la copertura ai margini dell'incrocio e il recupero del prigioniero, con Moretti alla guida della vettura che tagliò la strada al corteo; la composizione emerse per stratificazioni successive, dalle prime identificazioni sino alle versioni interne del 1990, e 2 posizioni presentano la peculiarità che il registro trascrive: Alessio Casimirri, condannato in via definitiva per la partecipazione all'azione, riparò in Nicaragua, dove ha vissuto da allora senza che alcuna richiesta di estradizione sia mai giunta a esecuzione, e Alvaro Lojacono, parimenti condannato, si sottrasse all'esecuzione della pena avvalendosi della cittadinanza svizzera e dell'ordinamento elvetico; il registro certifica al Livello A le condanne, le latitanze e la loro perpetuità, quali dati processuali e di fatto, e ne dichiara il rilievo: i 2 uomini di via Fani mai raggiunti dall'esecuzione penale sono, per la letteratura del piano terzo, i 2 testimoni potenziali mai escussi in condizioni di libertà negoziale, e la geografia delle loro protezioni, l'America centrale sandinista per l'uno e la neutralità elvetica per l'altro, è un dato censito del Pattern 10 che la fase consegna, con gli altri fili internazionali, alla ricognizione conclusiva.</w:t>
      </w:r>
    </w:p>
    <w:p>
      <w:pPr>
        <w:spacing w:after="120" w:line="276"/>
        <w:jc w:val="both"/>
      </w:pPr>
      <w:r>
        <w:rPr>
          <w:rFonts w:ascii="Barlow Semi Condensed" w:cs="Barlow Semi Condensed" w:eastAsia="Barlow Semi Condensed" w:hAnsi="Barlow Semi Condensed"/>
          <w:sz w:val="24"/>
          <w:szCs w:val="24"/>
        </w:rPr>
        <w:t xml:space="preserve">Il tredicesimo pilastro registra il dato delle munizioni, il reperto tecnico minore che le perizie consegnano. Le analisi sui bossoli di via Fani accertarono che parte delle cartucce impiegate era stata ricaricata artigianalmente, con la sostituzione manuale di componenti su bossoli già esplosi, una pratica di economia di guerra tipica degli arsenali clandestini e incompatibile con un approvvigionamento di canale statale o industriale; il registro certifica al Livello A il dato peritale e ne dichiara la funzione nella competizione tra le ipotesi: la ricarica artigianale appartiene alla medesima serie della precarietà logistica censita nell'ottavo pilastro, le armi datate e gli inceppamenti, e costituisce uno degli elementi tecnici che la lettura dell'autosufficienza dell'organizzazione valorizza con maggiore fondamento, giacché un concorso esterno qualificato avrebbe reso superflua, per definizione, l'economia del bossolo ricaricato; il registro annota che il dato, come ogni elemento tecnico della scena, non chiude la questione ma la vincola, escludendo le varianti dell'ipotesi di concorso che postulano una fornitura esterna integrale e lasciando in piedi le sole varianti selettive, e che questa capacità di potatura delle ipotesi, propria dei reperti materiali, è la ragione del rilievo che il metodo dell'opera assegna alla balistica quale disciplina ausiliaria della storia.</w:t>
      </w:r>
    </w:p>
    <w:p>
      <w:pPr>
        <w:spacing w:after="120" w:line="276"/>
        <w:jc w:val="both"/>
      </w:pPr>
      <w:r>
        <w:rPr>
          <w:rFonts w:ascii="Barlow Semi Condensed" w:cs="Barlow Semi Condensed" w:eastAsia="Barlow Semi Condensed" w:hAnsi="Barlow Semi Condensed"/>
          <w:sz w:val="24"/>
          <w:szCs w:val="24"/>
        </w:rPr>
        <w:t xml:space="preserve">Il quattordicesimo pilastro censisce i veicoli del corteo e la questione della blindatura, il dato materiale della protezione. Il corteo del 16 marzo era composto dalla berlina Fiat 130 blu, con Moro sul sedile posteriore, Ricci alla guida e Leonardi al suo fianco, e dall'Alfetta bianca di scorta con Zizzi, Rivera e Iozzino: 2 vetture di serie, prive di qualsiasi protezione balistica, i cui cristalli e le cui lamiere non opposero resistenza alcuna al fuoco del commando, secondo quanto le perizie documentarono; e gli atti delle Commissioni hanno accertato che la questione della vettura blindata era stata posta prima dei fatti, con le segnalazioni del maresciallo Leonardi sull'accresciuto rischio e sulle esigenze del dispositivo, senza che l'assegnazione fosse mai disposta, nel quadro di una dotazione nazionale di veicoli protetti allora esigua e riservata a un novero ristretto di cariche. Il registro certifica al Livello A la composizione del corteo, l'assenza di protezione balistica e l'esistenza delle segnalazioni inevase, quali dati documentali, e compone il pilastro con la serie già certificata: la mancata blindatura si aggiunge alla custodia delle armi lunghe nel bagagliaio e alla fissità del percorso quale terzo termine della configurazione di vulnerabilità che il registro ha fissato, e il quadro complessivo, un obiettivo la cui esposizione era stata segnalata dal suo stesso dispositivo di protezione e la cui protezione non fu adeguata, è certificato quale fatto amministrativo documentato; il registro annota che la spiegazione ordinaria, la scarsità delle risorse e l'ordinarietà delle procedure di un'epoca che non aveva ancora conosciuto l'attacco a un presidente di partito, è documentata e sufficiente, che la lettura del piano terzo vi ha storicamente innestato l'ipotesi della predisposizione, priva di ogni elemento, e che la distanza tra le 2 letture del medesimo fatto amministrativo è, ancora una volta, l'esatta materia su cui il metodo dell'opera esercita la propria disciplina.</w:t>
      </w:r>
    </w:p>
    <w:p>
      <w:pPr>
        <w:spacing w:after="120" w:line="276"/>
        <w:jc w:val="both"/>
      </w:pPr>
      <w:r>
        <w:rPr>
          <w:rFonts w:ascii="Barlow Semi Condensed" w:cs="Barlow Semi Condensed" w:eastAsia="Barlow Semi Condensed" w:hAnsi="Barlow Semi Condensed"/>
          <w:sz w:val="24"/>
          <w:szCs w:val="24"/>
        </w:rPr>
        <w:t xml:space="preserve">Il quindicesimo pilastro censisce le perizie dell'ultima stagione sulla scena di via Fani. La Commissione della XVII legislatura dispose accertamenti tecnici integrativi sull'agguato, con la rilettura dei rilievi originari mediante gli strumenti contemporanei, la ricostruzione tridimensionale della scena, la revisione della distribuzione dei colpi tra le armi e dei punti di sparo, e l'esame dei reperti superstiti; gli esiti, documentati negli atti, confermarono l'impianto giudicato della dinamica, il blocco, il fuoco concentrato sui 2 veicoli, il prelevamento, precisando la distribuzione dei colpi tra le armi del commando rispetto alle sintesi delle prime perizie e sciogliendo alcune delle questioni tecniche che la letteratura aveva accumulato, senza introdurre elementi incompatibili con la ricostruzione processuale; il registro certifica al Livello A l'esistenza, gli strumenti e l'esito confermativo degli accertamenti, quali dati degli atti parlamentari, e ne trae la formalizzazione che vale per l'intera fase: la scena di via Fani, come quella di via Caetani, è stata sottoposta a revisione tecnica integrale a distanza di quasi 4 decenni con tecnologie non disponibili all'epoca, e la revisione ha restituito il nucleo giudicato, un esito che il registro trascrive quale certificazione di stabilità del piano primo, la più solida che il metodo conosca, giacché una ricostruzione che sopravvive al progresso degli strumenti ha superato la prova più severa cui una ricostruzione possa essere sottoposta; le code tecniche residue, censite nei pilastri della scena, restano censite, e il registro ribadisce per esse la regola già fissata, che la loro eventuale soluzione dovrà venire da fonti nuove e non da nuove letture del già noto.</w:t>
      </w:r>
    </w:p>
    <w:p>
      <w:pPr>
        <w:spacing w:after="120" w:line="276"/>
        <w:jc w:val="both"/>
      </w:pPr>
      <w:r>
        <w:rPr>
          <w:rFonts w:ascii="Barlow Semi Condensed" w:cs="Barlow Semi Condensed" w:eastAsia="Barlow Semi Condensed" w:hAnsi="Barlow Semi Condensed"/>
          <w:sz w:val="24"/>
          <w:szCs w:val="24"/>
        </w:rPr>
        <w:t xml:space="preserve">Il sedicesimo pilastro censisce la geografia dell'agguato, l'applicazione del Pattern 10 alla scena iniziale. L'incrocio tra via Mario Fani e via Stresa, nel quartiere residenziale della Camilluccia, apparteneva al tratto obbligato del percorso mattutino, a poche centinaia di metri dall'abitazione di via del Forte Trionfale e in prossimità della chiesa di Santa Chiara, la sosta quotidiana censita; la scelta del punto rispose, per le ricostruzioni giudicate, a criteri tecnici precisi: la discesa che rallentava i veicoli in avvicinamento all'incrocio, lo stop che imponeva l'arresto, la conformazione della strada che consentiva il posizionamento del gruppo di fuoco lungo la siepe del bar d'angolo e il blocco frontale con la vettura di traverso, e la molteplicità delle vie di deflusso verso la rete stradale collinare; il registro certifica al Livello A la topografia e i criteri della scelta, quali risultanze processuali, e ne trae le annotazioni del pattern. La prima è tattica: l'agguato fu costruito sul punto in cui la geografia stessa lavorava per l'attaccante, la pendenza, lo stop, la siepe, e la qualità della lettura del terreno documentata dalla scelta appartiene al quadro delle competenze militari dell'organizzazione che il dibattito sul concorso ha variamente pesato. La seconda è strutturale: l'intera vicenda romana del caso si svolse entro un perimetro urbano sorprendentemente compatto, l'agguato alla Camilluccia, le basi di via Gradoli e di via Montalcini sui quadranti nord e sud, l'epilogo nel centro storico, e la mappa complessiva, che il registro consegna al Pattern 10 dell'opera, documenta un'organizzazione capace di operare per 55 giorni dentro la capitale presidiata, spostando il prigioniero una sola volta, la mattina del prelevamento, e vivendo per il resto della crisi nella immobilità totale che la compartimentazione consentiva: la geografia del caso Moro è la geografia di un assedio rovesciato, nel quale l'assediato invisibile stava al centro e l'assediante impotente occupava tutto il resto della città.</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via Fani-commando-direzione strategica, è il triangolo del piano primo, certificato al Livello A dai giudicati. La seconda, via Fani-presenze ulteriori-colonnello Guglielmi, è il triangolo del piano secondo, certificato al Livello A quanto alla presenza e fermo al Livello C quanto al significato. La terza, via Fani-eccezionalità tecnica-ipotesi di concorso, è il triangolo del piano terzo, integralmente di Livello C. Sul piano dei pattern, il nodo attiva il Pattern 10 nella scala minima: l'incrocio di via Fani con via Stresa, la chiesa, il bar all'angolo divenuto oggetto di approfondimenti parlamentari per la ricostruzione delle frequentazioni della zona, compongono la zona di convergenza spaziale più analizzata della storia giudiziaria italiana, sulla quale il registro mantiene la distinzione tra le frequentazioni documentate e i significati congetturati.</w:t>
      </w:r>
    </w:p>
    <w:p>
      <w:pPr>
        <w:spacing w:after="120" w:line="276"/>
        <w:jc w:val="both"/>
      </w:pPr>
      <w:r>
        <w:rPr>
          <w:rFonts w:ascii="Barlow Semi Condensed" w:cs="Barlow Semi Condensed" w:eastAsia="Barlow Semi Condensed" w:hAnsi="Barlow Semi Condensed"/>
          <w:sz w:val="24"/>
          <w:szCs w:val="24"/>
        </w:rPr>
        <w:t xml:space="preserve">Alla dinamica certificata il registro aggiunge la sua misura temporale, che le perizie e le testimonianze consegnano con approssimazione minima: l'azione si aprì alle 9:02 del mattino e si consumò in un arco stimato attorno ai 3 minuti, dal blocco della colonna all'allontanamento dei veicoli del commando con il prigioniero, Livello A quanto alla collocazione oraria ed alla durata stimata negli atti. Il dato temporale non è ornamento cronachistico ma reperto tecnico di prima grandezza: 3 minuti per neutralizzare 5 uomini armati, prelevare illeso l'obiettivo e disimpegnarsi nel traffico mattutino di un quartiere residenziale misurano un livello di pianificazione, sincronizzazione ed addestramento che le sentenze avrebbero assunto quale indice della lunga preparazione dell'agguato, con i sopralluoghi, le esercitazioni ed il pedinamento sistematico del percorso che l'istruttoria documentò, Livello A nei limiti dei giudicati. Il registro consegna la misura alla sua funzione comparativa: nella serie storica delle azioni brigatiste, via Fani rappresenta il massimo assoluto di complessità esecutiva riuscita, un salto di qualità che i processi attribuirono alla concentrazione in un solo punto delle migliori risorse operative dell'organizzazione, e che il piano terzo del capitolo 10 registrerà quale uno dei fatti-base attorno ai quali le ipotesi di concorso ulteriore si sono addensate, senza mai convertire, per il registro, l'eccellenza esecutiva in prova di mano esterna: l'abilità non è un indizio, è una constatazione.</w:t>
      </w:r>
    </w:p>
    <w:p>
      <w:pPr>
        <w:spacing w:after="120" w:line="276"/>
        <w:jc w:val="both"/>
      </w:pPr>
      <w:r>
        <w:rPr>
          <w:rFonts w:ascii="Barlow Semi Condensed" w:cs="Barlow Semi Condensed" w:eastAsia="Barlow Semi Condensed" w:hAnsi="Barlow Semi Condensed"/>
          <w:sz w:val="24"/>
          <w:szCs w:val="24"/>
        </w:rPr>
        <w:t xml:space="preserve">Ai 5 nomi trascritti il registro deve infine la persistenza: il luogo dell'eccidio è divenuto, nei decenni, uno spazio memoriale presidiato, con il cippo che reca i nomi di Oreste Leonardi, Domenico Ricci, Francesco Zizzi, Giulio Rivera e Raffaele Iozzino e la commemorazione che ogni 16 marzo vi si rinnova alla presenza delle istituzioni, mentre le famiglie dei caduti hanno mantenuto, attraverso le associazioni della memoria delle vittime del terrorismo, una presenza costante nei processi e nelle sedi parlamentari, costituendosi custodi di un punto che il registro fa proprio: la vicenda giudiziaria e storiografica del caso, con le sue vertigini interpretative, non può retrocedere i 5 uomini della scorta a comparse del dramma altrui, Livello A quanto alla persistenza memoriale documentata. Nella grammatica del registro essi sono vittime primarie alla pari, ed ogni economia narrativa che li comprima è una distorsione del reperto: via Fani fu, prima che l'inizio di un sequestro, il massacro di 5 servitori dello Stato, e l'ordine delle parole, insegna il metodo, è già un giudizio.</w:t>
      </w:r>
    </w:p>
    <w:p>
      <w:pPr>
        <w:spacing w:after="120" w:line="276"/>
        <w:jc w:val="both"/>
      </w:pPr>
      <w:r>
        <w:rPr>
          <w:rFonts w:ascii="Barlow Semi Condensed" w:cs="Barlow Semi Condensed" w:eastAsia="Barlow Semi Condensed" w:hAnsi="Barlow Semi Condensed"/>
          <w:sz w:val="24"/>
          <w:szCs w:val="24"/>
        </w:rPr>
        <w:t xml:space="preserve">Alla dinamica appartiene una posizione testimoniale che il registro censisce con la disciplina delle fonti oscillanti: quella dell'ingegnere che, a bordo del proprio motorino, sopraggiunse sulla scena nei secondi dell'azione e riferì della presenza di una motocicletta Honda con 2 uomini a bordo, dal cui passeggero sarebbero partiti colpi che attinsero il parabrezza del suo mezzo. La materialità del danneggiamento fu riscontrata, la presenza della moto trovò conferme parziali in altre testimonianze, ma la collocazione del mezzo dentro o fuori il perimetro del commando giudicato non fu mai risolta: i dissociati la negarono, i giudicati non la incorporarono, le dichiarazioni del teste conobbero nel tempo oscillazioni che le sedi d'inchiesta hanno verbalizzato, e la Commissione della XVII legislatura vi è tornata con nuovi accertamenti senza approdare a certificazione, Livello A quanto al danneggiamento riscontrato ed alle testimonianze quali fatti processuali, Livello C quanto ad ogni collocazione della moto nell'organigramma dell'azione. Il registro assume l'episodio quale esemplare della categoria che governa l'intero piano secondo: il fatto certificato senza spiegazione certificata, il reperto che non entra nel quadro giudicato e non ne esce, e che la disciplina impone di custodire in questo stato di sospensione dichiarata, senza la promozione a prova della presenza estranea che una parte della pubblicistica ne ha tratto e senza la degradazione a abbaglio che la lettura opposta preferirebbe: la moto Honda resta agli atti come vi restò il parabrezza, colpita e irrisolta.</w:t>
      </w:r>
    </w:p>
    <w:p>
      <w:pPr>
        <w:spacing w:after="120" w:line="276"/>
        <w:jc w:val="both"/>
      </w:pPr>
      <w:r>
        <w:rPr>
          <w:rFonts w:ascii="Barlow Semi Condensed" w:cs="Barlow Semi Condensed" w:eastAsia="Barlow Semi Condensed" w:hAnsi="Barlow Semi Condensed"/>
          <w:sz w:val="24"/>
          <w:szCs w:val="24"/>
        </w:rPr>
        <w:t xml:space="preserve">Alla contabilità della scena appartiene infine il reperto delle borse, che il registro fissa nella sua doppia componente: il presidente recava con sé, quella mattina, secondo le ricostruzioni convergenti dei collaboratori, 5 borse contenenti carte di lavoro, documenti riservati ed effetti personali, ed all'esito dell'agguato soltanto una parte di esse risultò rinvenuta sulle vetture, mentre le restanti, asportate dal commando con il prigioniero, non furono mai ritrovate né risultano tra i materiali dei covi successivamente scoperti, Livello A quanto alla presenza riferita ed al mancato ritrovamento, Livello B quanto all'esatto contenuto di ciascuna, noto solo per testimonianza. Il reperto inaugura la serie che attraversa l'intero caso e che il registro ha già incontrato sul memoriale: la catena delle carte mancanti, che da via Fani a via Monte Nevoso disegna una costante documentale senza eguali nella storia giudiziaria della Repubblica, il caso in cui ad ogni snodo la componente cartacea risulta sistematicamente più incompleta della componente umana. Gli uomini furono giudicati, le carte no: e questa asimmetria, che il piano secondo censisce quale suo filo conduttore, comincia esattamente qui, tra le lamiere di via Fani, con le borse che salirono su un'auto del commando ed uscirono, per sempre, dal perimetro dell'accertabile.</w:t>
      </w:r>
    </w:p>
    <w:p>
      <w:pPr>
        <w:spacing w:after="120" w:line="276"/>
        <w:jc w:val="both"/>
      </w:pPr>
      <w:r>
        <w:rPr>
          <w:rFonts w:ascii="Barlow Semi Condensed" w:cs="Barlow Semi Condensed" w:eastAsia="Barlow Semi Condensed" w:hAnsi="Barlow Semi Condensed"/>
          <w:sz w:val="24"/>
          <w:szCs w:val="24"/>
        </w:rPr>
        <w:t xml:space="preserve">Alla fisica dei primi minuti appartiene infine l'assenza che il registro censisce quale dato operativo autonomo: nessun mezzo aereo si levò sulla città nella prima ora, e la fuga del commando attraverso il reticolo urbano si svolse senza alcuna osservazione dall'alto, con i varchi di deflusso mai battuti in tempo utile, Livello A quanto al quadro operativo risultante dagli atti delle inchieste amministrative e parlamentari. Il registro consegna l'assenza alla sua misura: nel 1978 la capitale della Repubblica non disponeva di un protocollo di reazione immediata che integrasse la terza dimensione, e la circostanza che il più imponente apparato di sicurezza dell'Europa meridionale inseguisse al suolo, per radio e posti di blocco, un commando che si dissolse in 15 minuti, appartiene alla stessa contabilità del ritardo strutturale che il capitolo ha censito nella scorta disarmata rispetto alla minaccia: lo Stato del marzo 1978 era dimensionato sulla criminalità del decennio precedente, e l'agguato di via Fani fu anche, sul piano tecnico, l'incontro tra una guerriglia di terza generazione ed un ordine pubblico di seconda.</w:t>
      </w:r>
    </w:p>
    <w:p>
      <w:pPr>
        <w:spacing w:after="120" w:line="276"/>
        <w:jc w:val="both"/>
      </w:pPr>
      <w:r>
        <w:rPr>
          <w:rFonts w:ascii="Barlow Semi Condensed" w:cs="Barlow Semi Condensed" w:eastAsia="Barlow Semi Condensed" w:hAnsi="Barlow Semi Condensed"/>
          <w:sz w:val="24"/>
          <w:szCs w:val="24"/>
        </w:rPr>
        <w:t xml:space="preserve">Il fascicolo testimoniale dell'incrocio contiene infine il suo caso di scuola minore, che il registro censisce per il valore di metodo: sull'esercizio commerciale d'angolo affacciato sulla scena, il bar della via, gli atti registrano versioni divergenti e mai composte circa la sua stessa operatività in quella mattina, con dichiarazioni contrastanti sull'apertura, sulla presenza di avventori e su ciò che dall'interno si sarebbe potuto vedere, divergenza che le sedi d'inchiesta hanno documentato senza poterla sciogliere, Livello A quanto all'esistenza del contrasto testimoniale agli atti, Livello C quanto ad ogni ricostruzione che dal contrasto pretenda di inferire presenze, osservatori o funzioni della scena. Il registro consegna il micro-caso alla sua funzione epistemologica: a differenza dei reperti balistici e documentali che il capitolo ha censito, qui l'oggetto del contendere non è un fatto ma la cornice di un fatto, se un punto di osservazione fosse attivo, e l'incapacità quarantennale di stabilire una circostanza tanto elementare in una via di città alle 9 di mattina è la dimostrazione più economica che il corpus possieda di una legge che governa l'intera opera: la memoria testimoniale non è un archivio che si consulta ma un terreno che frana, e ogni ricostruzione che poggi su di essa sola, senza l'ancoraggio dei reperti, costruisce sull'orlo della frana, ragione per cui il metodo ha riservato alle testimonianze non riscontrate, per quanto suggestive, il livello più basso della propria scala e l'ultima parola a nessuna di esse.</w:t>
      </w:r>
    </w:p>
    <w:p>
      <w:pPr>
        <w:spacing w:after="120" w:line="276"/>
        <w:jc w:val="both"/>
      </w:pPr>
      <w:r>
        <w:rPr>
          <w:rFonts w:ascii="Barlow Semi Condensed" w:cs="Barlow Semi Condensed" w:eastAsia="Barlow Semi Condensed" w:hAnsi="Barlow Semi Condensed"/>
          <w:sz w:val="24"/>
          <w:szCs w:val="24"/>
        </w:rPr>
        <w:t xml:space="preserve">La preparazione della scorta esige il suo censimento negativo, che il registro riporta dagli accertamenti parlamentari: nessuno dei 5 uomini aveva ricevuto addestramento specifico di guida evasiva o di reazione ad imboscata, secondo gli standard che le unità di protezione estere andavano adottando dopo la stagione tedesca, né il servizio di protezione italiano dell'epoca prevedeva cicli addestrativi dedicati per le scorte dei politici, Livello A quanto al quadro formativo risultante dalle inchieste. Il registro salda il dato alla serie che il capitolo ha costruito: la blindata negata, l'assenza di copertura aerea, la scorta priva di addestramento anti-imboscata compongono il ritratto coerente di un sistema di protezione concepito contro la minaccia del decennio precedente, l'attentato individuale e il rapimento criminale, e mai aggiornato alla guerriglia urbana che il 1977 europeo aveva già dimostrato, sicché il giudizio tecnico complessivo che gli atti autorizzano non riguarda gli uomini, che fecero ciò che potevano nei 15 secondi che ebbero, ma l'istituzione che li mandò, per anni, a proteggere il bersaglio più politico d'Italia con la dottrina di un servizio d'onore, e la distanza tra i 90 colpi del commando ed i 2 colpi esplosi dalla scorta è la misura balistica di quel ritardo dottrinale, non del valore dei caduti.</w:t>
      </w:r>
    </w:p>
    <w:p>
      <w:pPr>
        <w:spacing w:after="120" w:line="276"/>
        <w:jc w:val="both"/>
      </w:pPr>
      <w:r>
        <w:rPr>
          <w:rFonts w:ascii="Barlow Semi Condensed" w:cs="Barlow Semi Condensed" w:eastAsia="Barlow Semi Condensed" w:hAnsi="Barlow Semi Condensed"/>
          <w:sz w:val="24"/>
          <w:szCs w:val="24"/>
        </w:rPr>
        <w:t xml:space="preserve">La scena di via Fani possiede infine la propria storia peritale, che il registro censisce quale meta-reperto: la ricostruzione tecnica dell'agguato è stata rifatta almeno 4 volte in 40 anni, dai rilievi e sopralluoghi del 1978, condotti con gli standard dell'epoca e gravati dalle contaminazioni della scena che gli atti documentano, alle perizie balistiche dei processi, sino alle ricostruzioni strumentali della seconda commissione, con rilievi laser e simulazioni tridimensionali del 2015-2016, che hanno rimisurato traiettorie e posizioni a distanza di 2 generazioni dai fatti, Livello A quanto alla sequenza delle campagne peritali ed ai loro esiti agli atti. Il registro consegna la stratigrafia alla sua lezione di metodo: ogni generazione tecnica ha interrogato la stessa scena con strumenti migliori ottenendo risposte più precise a domande sempre più vecchie, ed il guadagno reale, che il corpus registra senza enfasi, è consistito nel restringimento progressivo dei margini delle ipotesi, non nel loro capovolgimento, sicché via Fani è divenuta il laboratorio italiano della verità balistica postuma, il luogo dove si è dimostrato che la tecnica può raffinare per sempre la conoscenza di un evento senza mai, da sola, mutarne il significato, perché le traiettorie dicono da dove si sparò, e solo gli uomini, che le perizie non raggiungono, avrebbero potuto dire perché.</w:t>
      </w:r>
    </w:p>
    <w:p>
      <w:pPr>
        <w:spacing w:after="120" w:line="276"/>
        <w:jc w:val="both"/>
      </w:pPr>
      <w:r>
        <w:rPr>
          <w:rFonts w:ascii="Barlow Semi Condensed" w:cs="Barlow Semi Condensed" w:eastAsia="Barlow Semi Condensed" w:hAnsi="Barlow Semi Condensed"/>
          <w:sz w:val="24"/>
          <w:szCs w:val="24"/>
        </w:rPr>
        <w:t xml:space="preserve">Il capitolo dell'agguato registra infine il proprio riscontro parlamentare maggiore, che l'edizione definitiva recepisce dalla triangolazione compiuta: l'elaborato sul sequestro e sull'omicidio redatto per la Commissione stragi dal senatore Athos De Luca e datato 29 settembre 2000, con la sua cronologia essenziale e la sua ricostruzione documentale della dinamica, della protezione e delle prime ore, costituisce la fonte parlamentare di sintesi contro la quale gli enunciati di questo capitolo sono stati verificati voce per voce, senza che emergesse una sola divergenza fattuale, Livello A quale atto parlamentare e quale esito del riscontro. Il registro consegna il recepimento alla sua funzione di metodo: la convergenza tra la ricostruzione dell'opera, condotta sui giudicati, e l'elaborato del 2000, condotto sugli atti d'inchiesta, realizza la triangolazione tra fonti eterogenee indipendenti che lo standard probatorio esige, e la circostanza che 2 percorsi documentali distinti, a distanza di un quarto di secolo l'uno dall'altro, restituiscano la medesima scena senza attriti è la forma più solida di stabilità che un fatto storico possa raggiungere: non l'assenza di domande, che restano ai loro gradi, ma l'identità delle risposte su tutto ciò che è rispondibile.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via Fani è certificato al Livello A nella dinamica, nella composizione giudicata del commando e nella riferibilità dell'azione alla direzione dell'organizzazione, con i nomi dei 5 caduti della scorta, Leonardi, Ricci, Zizzi, Rivera e Iozzino, trascritti nel registro; la presenza del colonnello Guglielmi nelle vicinanze è certificata al Livello A quale fatto ammesso, con significato fermo al Livello C quale caso di scuola del divieto inferenziale; le questioni delle presenze ulteriori e dell'inferenza dall'eccezionalità tecnica al concorso esterno sono censite al Livello C quali ipotesi documentate e non risolte.</w:t>
      </w:r>
    </w:p>
    <w:p>
      <w:pPr>
        <w:pStyle w:val="Heading3"/>
        <w:spacing w:after="80" w:before="160"/>
      </w:pPr>
      <w:r>
        <w:rPr>
          <w:rFonts w:ascii="Barlow Semi Condensed" w:cs="Barlow Semi Condensed" w:eastAsia="Barlow Semi Condensed" w:hAnsi="Barlow Semi Condensed"/>
          <w:sz w:val="24"/>
          <w:szCs w:val="24"/>
        </w:rPr>
        <w:t xml:space="preserve">Capitolo 3 — ◆ Le Brigate Rosse e la colonna romana. L'organizzazione esecutrice e i 5 giudicati</w:t>
      </w:r>
    </w:p>
    <w:p>
      <w:pPr>
        <w:spacing w:after="120" w:line="276"/>
        <w:jc w:val="both"/>
      </w:pPr>
      <w:r>
        <w:rPr>
          <w:rFonts w:ascii="Barlow Semi Condensed" w:cs="Barlow Semi Condensed" w:eastAsia="Barlow Semi Condensed" w:hAnsi="Barlow Semi Condensed"/>
          <w:sz w:val="24"/>
          <w:szCs w:val="24"/>
        </w:rPr>
        <w:t xml:space="preserve">Le Brigate Rosse, l'organizzazione armata della sinistra rivoluzionaria che rivendicò, condusse e concluse il sequestro, sono il nodo organizzativo del piano primo, e il registro le tratta nella configurazione specifica dell'operazione: la direzione strategica che deliberò, la colonna romana che eseguì, gli uomini e le donne che i giudicati hanno identificato. La scansione del corpus registra l'organizzazione 359 volte in 48 documenti e il nome di Mario Moretti 657 volte in 28, la seconda frequenza individuale della fase dopo quella della vittima.</w:t>
      </w:r>
    </w:p>
    <w:p>
      <w:pPr>
        <w:spacing w:after="120" w:line="276"/>
        <w:jc w:val="both"/>
      </w:pPr>
      <w:r>
        <w:rPr>
          <w:rFonts w:ascii="Barlow Semi Condensed" w:cs="Barlow Semi Condensed" w:eastAsia="Barlow Semi Condensed" w:hAnsi="Barlow Semi Condensed"/>
          <w:sz w:val="24"/>
          <w:szCs w:val="24"/>
        </w:rPr>
        <w:t xml:space="preserve">Il primo pilastro è la certificazione dei giudicati, che il registro espone quale ossatura del piano primo. Il caso Moro è stato giudicato in 5 procedimenti principali, celebrati tra il 1982 e la fine degli anni Novanta, i cui esiti irrevocabili hanno progressivamente completato il quadro delle responsabilità: il primo processo, concluso in primo grado nel gennaio 1983 con 32 condanne all'ergastolo, e i successivi, sino al procedimento degli anni Novanta che identificò l'ultimo custode della prigione. All'esito complessivo, il registro certifica al Livello A: la deliberazione dell'operazione da parte della direzione strategica dell'organizzazione; la direzione esecutiva di Mario Moretti, capo della colonna romana, condannato a plurimi ergastoli, unico brigatista che condusse gli interrogatori del prigioniero e che ne gestì la detenzione dall'inizio alla fine; la partecipazione all'agguato di via Fani del commando giudicato, nelle persone condannate in via irrevocabile tra cui Valerio Morucci, Raffaele Fiore, Franco Bonisoli, Prospero Gallinari, Bruno Seghetti, con i ruoli di copertura e supporto parimenti giudicati tra cui quelli di Adriana Faranda e Barbara Balzerani; la custodia del prigioniero nell'appartamento di via Camillo Montalcini 8, nella disponibilità di Anna Laura Braghetti, che vi risiedeva quale copertura, con Germano Maccari, il quarto uomo della prigione, identificato soltanto nel 1993 e condannato in via definitiva, morto in carcere nel 2001, e con Moretti e Gallinari quali presenze operative; e l'esecuzione finale, il 9 maggio, nella ricostruzione che il capitolo dedicato all'epilogo espone. Il registro annota che il quadro giudicato si è formato per strati successivi lungo 15 anni, con l'apporto decisivo delle dissociazioni e delle collaborazioni maturate nel tempo, e che la completezza attuale del piano primo è essa stessa un prodotto storico, non un dato originario.</w:t>
      </w:r>
    </w:p>
    <w:p>
      <w:pPr>
        <w:spacing w:after="120" w:line="276"/>
        <w:jc w:val="both"/>
      </w:pPr>
      <w:r>
        <w:rPr>
          <w:rFonts w:ascii="Barlow Semi Condensed" w:cs="Barlow Semi Condensed" w:eastAsia="Barlow Semi Condensed" w:hAnsi="Barlow Semi Condensed"/>
          <w:sz w:val="24"/>
          <w:szCs w:val="24"/>
        </w:rPr>
        <w:t xml:space="preserve">Il secondo pilastro è l'apparato dichiarativo dell'organizzazione, che il registro sottopone all'Indice di Contaminazione nella configurazione peculiare del caso. Gli esponenti condannati hanno prodotto, nei decenni, una vasta memorialistica e una lunga serie di dichiarazioni processuali e pubbliche, il cui nucleo costante è duplice: la rivendicazione integrale dell'operazione quale atto autonomo dell'organizzazione, e la negazione recisa di ogni eterodirezione, infiltrazione o concorso esterno, riassunta nella formula ricorrente per cui nessun burattinaio mosse i fili. Il registro tratta questo apparato con la disciplina differenziata: le dichiarazioni contra se, le ammissioni di responsabilità che hanno consolidato il piano primo, possiedono alto valore e sono state recepite dai giudicati; le dichiarazioni di esclusione, quelle che negano concorsi esterni, provengono da dichiaranti portatori di un interesse identitario permanente, giacché l'autonomia dell'azione è il patrimonio politico che i dichiaranti difendono, e il registro le assume quali fonti da riscontrare, non quali certificazioni: la circostanza che i giudicati abbiano ritenuto l'operazione riferibile all'organizzazione converge con quelle dichiarazioni, ma la convergenza certifica il perimetro del provato, non l'inesistenza del non provato, e il registro distingue, qui come sempre, tra l'assenza di prova del concorso esterno, che è un dato, e la prova dell'assenza, che non esiste.</w:t>
      </w:r>
    </w:p>
    <w:p>
      <w:pPr>
        <w:spacing w:after="120" w:line="276"/>
        <w:jc w:val="both"/>
      </w:pPr>
      <w:r>
        <w:rPr>
          <w:rFonts w:ascii="Barlow Semi Condensed" w:cs="Barlow Semi Condensed" w:eastAsia="Barlow Semi Condensed" w:hAnsi="Barlow Semi Condensed"/>
          <w:sz w:val="24"/>
          <w:szCs w:val="24"/>
        </w:rPr>
        <w:t xml:space="preserve">Il terzo pilastro è la genealogia dell'organizzazione, che il registro censisce per il rilievo che assume nel nodo successivo dedicato a Hyperion. Le Brigate Rosse nacquero all'inizio degli anni Settanta dalla confluenza di gruppi della sinistra extraparlamentare, tra cui il Collettivo politico metropolitano milanese e l'esperienza di Sinistra proletaria; da quell'ambiente originario si separò precocemente la componente facente capo a Corrado Simioni, che alcuni protagonisti della fase fondativa hanno descritto quale fautore di una struttura più compartimentata ed elitaria, e che si trasferì a Parigi dando vita alle iniziative da cui sarebbe nata la scuola di lingue Hyperion. Il registro certifica al Livello A la genealogia comune e la separazione precoce, quali fatti della storia dell'organizzazione documentati dalle fonti processuali e memorialistiche convergenti, e rinvia al capitolo dedicato ogni valutazione sul seguito parigino, annotando sin d'ora che la contiguità genetica tra l'organizzazione esecutrice e i fondatori della struttura parigina è un fatto certificato, mentre ogni ruolo di quest'ultima nell'operazione del 1978 appartiene a un livello diverso.</w:t>
      </w:r>
    </w:p>
    <w:p>
      <w:pPr>
        <w:spacing w:after="120" w:line="276"/>
        <w:jc w:val="both"/>
      </w:pPr>
      <w:r>
        <w:rPr>
          <w:rFonts w:ascii="Barlow Semi Condensed" w:cs="Barlow Semi Condensed" w:eastAsia="Barlow Semi Condensed" w:hAnsi="Barlow Semi Condensed"/>
          <w:sz w:val="24"/>
          <w:szCs w:val="24"/>
        </w:rPr>
        <w:t xml:space="preserve">Il quarto pilastro è la dimensione internazionale dell'organizzazione, che il registro censisce nei suoi elementi accertati per la rilevanza che assume tanto nel piano terzo quanto nel bilancio di fase. Gli accertamenti giudiziari e parlamentari documentarono, lungo la storia dell'organizzazione, canali internazionali di approvvigionamento e di relazione: la provenienza mediorientale di partite d'armi giunte all'organizzazione, accertata in procedimenti sui traffici, con il canale palestinese quale filiera documentata; i rapporti con organizzazioni armate europee, e in particolare con la Rote Armee Fraktion tedesca, documentati quanto ai contatti e alla solidarietà dichiarata; e la frequentazione, da parte di militanti dell'area, di campi di addestramento mediorientali, riferita da collaboratori e riscontrata in singole posizioni. Il registro certifica al Livello B questi elementi, quale convergenza di accertamenti giudiziari e parlamentari plurimi, e li distingue rigorosamente dalla questione del sequestro: la filiera internazionale documenta la logistica e le relazioni dell'organizzazione, non un concorso esterno nell'operazione del 1978, che nessun accertamento ha stabilito. In questo perimetro il registro censisce altresì, quale fatto di contesto certificato al Livello B dalle convergenti acquisizioni parlamentari e testimoniali, l'esistenza della prassi di non belligeranza tra apparati italiani e organizzazioni palestinesi, nota quale lodo, in forza della quale il territorio nazionale fu tenuto, per una stagione, fuori dal bersaglio in cambio di margini di transito: la prassi, il cui perimetro esatto resta discusso, appartiene alla storia degli apparati e non a quella del sequestro, e il registro la annota qui perché documenta, al livello certificabile, che il campo delle relazioni internazionali clandestine della stagione era popolato e regolato da intese inconfessate, il contesto entro cui ogni ipotesi del piano terzo va misurata senza esserne dedotta.</w:t>
      </w:r>
    </w:p>
    <w:p>
      <w:pPr>
        <w:spacing w:after="120" w:line="276"/>
        <w:jc w:val="both"/>
      </w:pPr>
      <w:r>
        <w:rPr>
          <w:rFonts w:ascii="Barlow Semi Condensed" w:cs="Barlow Semi Condensed" w:eastAsia="Barlow Semi Condensed" w:hAnsi="Barlow Semi Condensed"/>
          <w:sz w:val="24"/>
          <w:szCs w:val="24"/>
        </w:rPr>
        <w:t xml:space="preserve">Il quinto pilastro è la figura di Mario Moretti, che il registro tratta quale nodo individuale dentro il nodo organizzativo, per la posizione senza equivalenti che i giudicati gli assegnano. Marchigiano, formatosi tecnicamente e impiegato nell'industria milanese, Moretti aderì all'organizzazione dalle origini e ne assunse la direzione effettiva dopo gli arresti dei fondatori nel 1974-1975, guidandone la trasformazione nella macchina compartimentata della seconda metà del decennio; nell'operazione Moro fu, per giudicato, il pianificatore, il capo della colonna esecutrice, l'unico interlocutore del prigioniero negli interrogatori, il gestore dei comunicati e, da ultimo, l'esecutore materiale; fu arrestato a Milano il 4 aprile 1981, e sconta i plurimi ergastoli avendo fruito, nel tempo, del regime di semilibertà secondo l'ordinamento penitenziario. Il registro certifica al Livello A questa posizione integrale, quale risultanza dei giudicati, e ne dichiara il rilievo analitico: nella rete del caso, Moretti è il nodo per il quale passa ogni arco del piano primo, l'uomo che congiunse da solo la deliberazione, l'esecuzione, la custodia, l'interrogatorio e la conclusione, una concentrazione di funzioni che non ha eguali in alcun altro evento dell'opera e che spiega, in termini di teoria della rete, perché 4 decenni di ipotesi sul piano terzo si siano addensati attorno alla sua figura, ai suoi silenzi e alle sue parole: chi controlla tutti gli archi del piano provato è, inevitabilmente, il candidato di ogni congettura sul piano non provato. Il registro registra le sue dichiarazioni pubbliche, consegnate in particolare al libro-intervista del 1994, quale fonte primaria della versione interna, e le sottopone alla disciplina già enunciata per l'apparato dichiarativo dell'organizzazione, senza eccezioni per il rango del dichiarante.</w:t>
      </w:r>
    </w:p>
    <w:p>
      <w:pPr>
        <w:spacing w:after="120" w:line="276"/>
        <w:jc w:val="both"/>
      </w:pPr>
      <w:r>
        <w:rPr>
          <w:rFonts w:ascii="Barlow Semi Condensed" w:cs="Barlow Semi Condensed" w:eastAsia="Barlow Semi Condensed" w:hAnsi="Barlow Semi Condensed"/>
          <w:sz w:val="24"/>
          <w:szCs w:val="24"/>
        </w:rPr>
        <w:t xml:space="preserve">Il sesto pilastro distende la storia dell'organizzazione dal 1970 al 1977, quale contesto necessario del nodo. Le Brigate Rosse si costituirono tra il 1970 e il 1971 dall'ambiente milanese del Collettivo politico metropolitano e di Sinistra proletaria, con i fondatori Renato Curcio, Margherita Cagol e Alberto Franceschini, e attraversarono una prima stagione di propaganda armata, sabotaggi e sequestri dimostrativi; la prima disarticolazione giunse l'8 settembre 1974, con la cattura di Curcio e Franceschini a Pinerolo, resa possibile dall'infiltrazione di Silvano Girotto, l'ex religioso noto quale frate mitra, agente dei carabinieri del nucleo antiterrorismo costituito dal generale Dalla Chiesa: il registro certifica al Livello A l'operazione, quale primo incrocio documentato tra i 2 protagonisti che la fase riunisce, l'organizzazione e il generale, e ne annota la natura, un'infiltrazione riuscita che dimostrò la penetrabilità della prima struttura. Seguirono l'evasione di Curcio dal carcere di Casale Monferrato nel febbraio 1975, condotta da un commando guidato dalla Cagol, la morte della Cagol nel conflitto a fuoco della cascina Spiotta il 5 giugno 1975, la definitiva ricattura di Curcio nel gennaio 1976, e il passaggio della direzione effettiva a Mario Moretti, sotto il quale l'organizzazione operò la ristrutturazione che i documenti interni consegnano: la compartimentazione in colonne territoriali e fronti funzionali, il reclutamento selettivo, l'innalzamento del livello militare. L'escalation della violenza è scandita dai giudicati: l'8 giugno 1976, a Genova, l'uccisione del procuratore generale Francesco Coco con i 2 uomini della scorta, l'appuntato Giovanni Saponara e l'agente Antioco Deiana, primo omicidio deliberato dell'organizzazione e primo magistrato assassinato; il 16 novembre 1977, a Torino, il ferimento del vicedirettore della Stampa Carlo Casalegno, morto il 29 novembre, primo giornalista colpito a morte; e la serie dei ferimenti mirati contro dirigenti d'azienda, medici penitenziari e uomini dei partiti che preparò, nella dottrina dichiarata dell'attacco al cuore dello Stato, l'operazione del 1978. Il registro certifica al Livello A la sequenza, nomina le vittime quale atto dovuto, e ne trae il dato strutturale: l'organizzazione che rapì Moro non era quella penetrata nel 1974, ma il prodotto di una selezione darwiniana di 4 anni, compartimentata al punto che, come il capitolo dell'epilogo documenta, l'identità completa dei suoi uomini sarebbe rimasta ignota per 15 anni.</w:t>
      </w:r>
    </w:p>
    <w:p>
      <w:pPr>
        <w:spacing w:after="120" w:line="276"/>
        <w:jc w:val="both"/>
      </w:pPr>
      <w:r>
        <w:rPr>
          <w:rFonts w:ascii="Barlow Semi Condensed" w:cs="Barlow Semi Condensed" w:eastAsia="Barlow Semi Condensed" w:hAnsi="Barlow Semi Condensed"/>
          <w:sz w:val="24"/>
          <w:szCs w:val="24"/>
        </w:rPr>
        <w:t xml:space="preserve">Il settimo pilastro ricostruisce la deliberazione e la preparazione del sequestro, e la scansione dei 5 procedimenti che l'hanno giudicata. Per le risultanze convergenti dei giudicati e delle memorie riscontrate, la decisione di colpire il vertice della Democrazia Cristiana maturò nella direzione strategica tra il 1977 e l'inverno 1978, entro la campagna di primavera pianificata dall'organizzazione; le ricostruzioni memorialistiche dei protagonisti, recepite dagli atti parlamentari, riferiscono che la rosa iniziale degli obiettivi comprese anche Giulio Andreotti, presidente del Consiglio in carica, accantonato per la maggiore difficoltà del dispositivo di protezione, e che la scelta cadde su Moro per la combinazione di valore politico e accessibilità: il registro certifica al Livello B questa genesi della scelta, quale convergenza di fonti interne riscontrate, e al Livello A la pianificazione esecutiva quale accertata nei giudizi. La scansione processuale, che il registro fissa quale apparato della fase, è la seguente: il primo procedimento, celebrato dinanzi alla Corte d'assise di Roma dal 1982, si concluse in primo grado il 24 gennaio 1983 con 32 condanne all'ergastolo, confermate nei gradi successivi sino alla definitività del 1985; il secondo, negli anni 1986-1987, giudicò le posizioni emerse dalle successive identificazioni; il terzo, sul finire del decennio, consolidò il quadro della direzione con i plurimi ergastoli a Moretti; il quarto, nella prima metà degli anni Novanta, giudicò le posizioni residue alla luce delle dissociazioni; e il quinto, tra il 1996 e il 1998, giudicò Germano Maccari, il quarto uomo della prigione, con la condanna definitiva a 26 anni che chiuse, sul piano esecutivo, la vicenda. Il registro certifica al Livello A la scansione e la progressione, e ne ribadisce il senso già dichiarato: la verità del piano primo è una costruzione quindicennale, il cui ultimo mattone porta la data del 1998.</w:t>
      </w:r>
    </w:p>
    <w:p>
      <w:pPr>
        <w:spacing w:after="120" w:line="276"/>
        <w:jc w:val="both"/>
      </w:pPr>
      <w:r>
        <w:rPr>
          <w:rFonts w:ascii="Barlow Semi Condensed" w:cs="Barlow Semi Condensed" w:eastAsia="Barlow Semi Condensed" w:hAnsi="Barlow Semi Condensed"/>
          <w:sz w:val="24"/>
          <w:szCs w:val="24"/>
        </w:rPr>
        <w:t xml:space="preserve">L'ottavo pilastro specifica il canale internazionale con il caso documentale che lo certifica, la vicenda dei missili di Ortona. Il 7 novembre 1979, a Ortona, furono arrestati 3 esponenti dell'area dell'Autonomia romana, tra cui Daniele Pifano, e un cittadino giordano, sorpresi a trasportare 2 lanciamissili terra-aria di fabbricazione sovietica; nel procedimento che ne seguì, il Fronte popolare per la liberazione della Palestina rivendicò formalmente la proprietà dei missili chiedendone la restituzione, e la vicenda fece emergere, negli atti e nelle testimonianze, il ruolo del colonnello Stefano Giovannone, capocentro del servizio militare italiano a Beirut, quale terminale della relazione riservata tra gli apparati italiani e le organizzazioni palestinesi: la prassi di non belligeranza già censita quale lodo. Il registro certifica al Livello A i fatti processuali di Ortona, l'arresto, la rivendicazione di proprietà, le condanne, quali risultanze giudiziarie, e certifica al Livello B il quadro complessivo della relazione riservata gestita dal capocentro di Beirut, quale convergenza degli atti parlamentari che, sino all'ultima Commissione, hanno acquisito la documentazione del carteggio Giovannone; e delimita, ancora, il perimetro: il canale documenta il transito di armamenti mediorientali nell'area della sinistra armata italiana e l'esistenza della prassi di salvaguardia, non documenta alcun ruolo di quegli attori nel sequestro, e la sua funzione nella fase è di contesto certificato, non di spiegazione.</w:t>
      </w:r>
    </w:p>
    <w:p>
      <w:pPr>
        <w:spacing w:after="120" w:line="276"/>
        <w:jc w:val="both"/>
      </w:pPr>
      <w:r>
        <w:rPr>
          <w:rFonts w:ascii="Barlow Semi Condensed" w:cs="Barlow Semi Condensed" w:eastAsia="Barlow Semi Condensed" w:hAnsi="Barlow Semi Condensed"/>
          <w:sz w:val="24"/>
          <w:szCs w:val="24"/>
        </w:rPr>
        <w:t xml:space="preserve">Il nono pilastro censisce la prigione, quale i giudicati e le fonti interne la consegnano. L'appartamento di via Camillo Montalcini 8, al piano rialzato di un condominio della zona della Magliana amministrativa, era stato acquistato nel 1977 e intestato ad Anna Laura Braghetti, impiegata incensurata e militante clandestina non schedata, che vi abitava quale copertura, dalla primavera del 1978 in convivenza simulata con Prospero Gallinari; all'interno era stato ricavato, dietro una parete attrezzata, il vano insonorizzato nel quale il prigioniero fu custodito per l'intera durata del sequestro, secondo la ricostruzione giudicata che il quinto procedimento ha consolidato. Gli interrogatori del processo proletario furono condotti, per le convergenti risultanze, dal solo Moretti, in sedute delle quali le fonti interne hanno riferito l'esistenza di registrazioni su nastro: quelle bobine non sono mai state rinvenute, e la versione interna ne afferma la distruzione; il registro certifica al Livello A l'assetto della prigione e la conduzione unipersonale degli interrogatori, quali risultanze giudicate, certifica al Livello B l'esistenza delle registrazioni, quale convergenza di fonti interne su un fatto contro il proprio interesse, e registra la loro sparizione quale estensione del vuoto documentale già censito: al novero delle assenze della fase appartengono, in unica voce, gli originali manoscritti del memoriale e le registrazioni degli interrogatori, i 2 supporti primari della voce del prigioniero, entrambi riferiti ed entrambi mai emersi, sicché l'intera conoscenza di ciò che Moro disse nella prigione riposa su trascrizioni, fotocopie e memorie, mai su un supporto originale.</w:t>
      </w:r>
    </w:p>
    <w:p>
      <w:pPr>
        <w:spacing w:after="120" w:line="276"/>
        <w:jc w:val="both"/>
      </w:pPr>
      <w:r>
        <w:rPr>
          <w:rFonts w:ascii="Barlow Semi Condensed" w:cs="Barlow Semi Condensed" w:eastAsia="Barlow Semi Condensed" w:hAnsi="Barlow Semi Condensed"/>
          <w:sz w:val="24"/>
          <w:szCs w:val="24"/>
        </w:rPr>
        <w:t xml:space="preserve">Il decimo pilastro censisce la scissione interna e il caso documentale che vi si annida, il più rilevante arco orientale della fase. Valerio Morucci e Adriana Faranda, i due dirigenti della colonna romana contrari alla soluzione terminale, uscirono dall'organizzazione nei mesi successivi al 9 maggio, consumando la rottura politica sulla conduzione del sequestro; furono arrestati il 29 maggio 1979 a Roma, nell'appartamento di viale Giulio Cesare che li ospitava, la casa di Giuliana Conforto, e nell'occasione fu sequestrata, tra le armi, la mitraglietta Skorpion che le perizie balistiche identificarono quale arma dell'esecuzione di via Caetani: il registro certifica al Livello A l'arresto, il luogo e l'identificazione balistica, quali risultanze processuali. Il dato che eleva l'episodio a reperto della fase è l'identità del padrone di casa mediato: Giorgio Conforto, padre di Giuliana, risulta dalle carte dell'archivio orientale trasferite in occidente negli anni Novanta, il compendio noto quale dossier Impedian o archivio Mitrokhin, recepito dalla Commissione parlamentare dedicata, schedato quale agente di lungo corso del servizio sovietico, attivo per decenni con il nome in codice Dario; il registro certifica al Livello B questa qualità, quale risultanza di documentazione d'archivio di servizio recepita in sede parlamentare e non consacrata da giudicato, e mantiene al Livello C ogni lettura del nesso, dalla mera coincidenza abitativa alla rete di protezione consapevole, annotando la ragione per cui il reperto è censito con questo rilievo: esso è l'unico punto dell'intera fase in cui la variante orientale del piano terzo tocca un fatto materiale documentato, l'arma dell'esecuzione custodita sotto il tetto della figlia di un agente sovietico schedato, e la disciplina del registro consiste esattamente nel trascrivere il fatto con questa precisione e nel rifiutare il passo ulteriore che nessun documento sostiene.</w:t>
      </w:r>
    </w:p>
    <w:p>
      <w:pPr>
        <w:spacing w:after="120" w:line="276"/>
        <w:jc w:val="both"/>
      </w:pPr>
      <w:r>
        <w:rPr>
          <w:rFonts w:ascii="Barlow Semi Condensed" w:cs="Barlow Semi Condensed" w:eastAsia="Barlow Semi Condensed" w:hAnsi="Barlow Semi Condensed"/>
          <w:sz w:val="24"/>
          <w:szCs w:val="24"/>
        </w:rPr>
        <w:t xml:space="preserve">L'undicesimo pilastro censisce il documento programmatico che incornicia l'operazione, la Risoluzione della direzione strategica del febbraio 1978. Il testo, elaborato dal vertice dell'organizzazione e diffuso nelle settimane immediatamente precedenti il sequestro, costituisce la piattaforma dottrinale della campagna: vi si teorizza l'attacco al cuore dello Stato, si identifica nella Democrazia Cristiana il perno del regime e nello Stato imperialista delle multinazionali il quadro strutturale del nemico, e si annuncia l'innalzamento del livello dello scontro; il registro certifica al Livello A l'esistenza, la datazione e il contenuto del documento, quale testo acquisito agli atti e pubblicato prima dell'azione, e ne dichiara il duplice rilievo: sul piano probatorio, la Risoluzione documenta che l'operazione fu annunciata nella sua logica, se non nel suo obiettivo specifico, dal medesimo soggetto che l'avrebbe eseguita, un elemento che i giudizi hanno valorizzato quale riscontro della matrice; sul piano analitico, essa consegna il lessico con cui l'organizzazione lesse la propria azione, e il registro annota che l'intera produzione documentale interna, dalla Risoluzione ai comunicati, esibisce una coerenza dottrinale continua, senza fratture stilistiche o concettuali, un dato filologico che le perizie sui testi hanno confermato e che appartiene, quale fatto, alla competizione tra le ipotesi sulla direzione dell'operazione.</w:t>
      </w:r>
    </w:p>
    <w:p>
      <w:pPr>
        <w:spacing w:after="120" w:line="276"/>
        <w:jc w:val="both"/>
      </w:pPr>
      <w:r>
        <w:rPr>
          <w:rFonts w:ascii="Barlow Semi Condensed" w:cs="Barlow Semi Condensed" w:eastAsia="Barlow Semi Condensed" w:hAnsi="Barlow Semi Condensed"/>
          <w:sz w:val="24"/>
          <w:szCs w:val="24"/>
        </w:rPr>
        <w:t xml:space="preserve">Il dodicesimo pilastro censisce la campagna contestuale, le azioni che l'organizzazione condusse durante i 55 giorni sugli altri fronti, e nomina le vittime quale atto dovuto. Il sequestro non sospese l'attività militare delle colonne: il 10 marzo 1978, 6 giorni prima di via Fani, era stato ucciso a Torino il maresciallo di pubblica sicurezza Rosario Berardi; l'11 aprile 1978, a Torino, fu assassinato l'agente di custodia Lorenzo Cutugno; il 20 aprile 1978, a Milano, il maresciallo degli agenti di custodia Francesco Di Cataldo; e la serie dei ferimenti proseguì nelle città delle colonne per l'intera durata della crisi. Il registro certifica al Livello A la sequenza, quale materia dei giudicati delle rispettive sedi, nomina Rosario Berardi, Lorenzo Cutugno e Francesco Di Cataldo tra le vittime collegate della fase, e ne trae il dato analitico: la campagna contestuale, condotta prevalentemente contro il personale dell'amministrazione penitenziaria negli stessi giorni in cui i comunicati ponevano la questione dei detenuti, documenta che l'organizzazione gestì il sequestro quale operazione centrale di un dispositivo a più fronti e non quale azione isolata, con una capacità di fuoco simultanea su 3 città che le stime sulla consistenza numerica dell'organizzazione, poche centinaia di militanti irregolari nel Paese, rendono il vero dato dimensionale della stagione: mai così pochi uomini tennero sotto pressione contemporanea un apparato statale di quelle dimensioni, e la sproporzione, certificata dai numeri di entrambi i lati, appartiene alla fisionomia storica del fenomeno.</w:t>
      </w:r>
    </w:p>
    <w:p>
      <w:pPr>
        <w:spacing w:after="120" w:line="276"/>
        <w:jc w:val="both"/>
      </w:pPr>
      <w:r>
        <w:rPr>
          <w:rFonts w:ascii="Barlow Semi Condensed" w:cs="Barlow Semi Condensed" w:eastAsia="Barlow Semi Condensed" w:hAnsi="Barlow Semi Condensed"/>
          <w:sz w:val="24"/>
          <w:szCs w:val="24"/>
        </w:rPr>
        <w:t xml:space="preserve">Il tredicesimo pilastro censisce l'elenco dei 13 e il processo parallelo, i 2 termini dello scambio negato. Il comunicato numero 8 del 24 aprile elencò nominativamente i 13 detenuti di cui l'organizzazione chiedeva la liberazione, con in testa Renato Curcio e gli altri capi storici allora a giudizio; e la richiesta cadde nel pieno della circostanza processuale che il registro certifica quale dato strutturale della crisi: il processo ai fondatori dell'organizzazione si stava celebrando in quelle stesse settimane dinanzi alla Corte d'assise di Torino, ripreso nel marzo 1978 dopo i rinvii degli anni precedenti, segnati dall'assassinio del presidente dell'ordine degli avvocati torinese e dalle difficoltà di composizione della giuria, e si sarebbe concluso con la sentenza del 23 giugno 1978, a 6 settimane da via Caetani, con le condanne dei capi storici. Il registro certifica al Livello A l'elenco, la contestualità processuale e la sequenza, quali dati documentali, e ne dichiara la funzione interpretativa certificabile: il sequestro si svolse mentre lo Stato processava la prima generazione dell'organizzazione, la richiesta di scambio investì esattamente gli imputati di quel processo, e la fermezza dello Stato si misurò, materialmente, sulla tenuta di quel dibattimento, che proseguì e si concluse; la saldatura tra i 2 teatri, l'aula di Torino e la prigione di Roma, è la struttura portante della cronologia della crisi, e il registro la fissa quale fatto, annotando che essa fornisce alla deliberazione del sequestro la sua cornice razionale interna documentata, l'operazione di massima pressione nel momento del massimo attacco giudiziario, senza necessità di postulare razionalità ulteriori.</w:t>
      </w:r>
    </w:p>
    <w:p>
      <w:pPr>
        <w:spacing w:after="120" w:line="276"/>
        <w:jc w:val="both"/>
      </w:pPr>
      <w:r>
        <w:rPr>
          <w:rFonts w:ascii="Barlow Semi Condensed" w:cs="Barlow Semi Condensed" w:eastAsia="Barlow Semi Condensed" w:hAnsi="Barlow Semi Condensed"/>
          <w:sz w:val="24"/>
          <w:szCs w:val="24"/>
        </w:rPr>
        <w:t xml:space="preserve">Il quattordicesimo pilastro censisce la struttura della colonna romana, lo strumento organizzativo dell'operazione. La colonna fu costituita a partire dal 1976 per decisione della direzione, che considerava la capitale il teatro obbligato del salto strategico e vi trasferì quadri sperimentati dalle colonne settentrionali, affiancandoli ai reclutamenti locali; alla vigilia del sequestro essa disponeva, per le ricostruzioni giudicate, di poche decine di militanti tra regolari clandestini e irregolari insospettabili, articolati in brigate di zona, di una rete di basi tra cui via Gradoli e via Montalcini, e di una compartimentazione che riservò la conoscenza dell'operazione a un nucleo ristretto sino all'esecuzione; il registro certifica al Livello A la genesi, la consistenza e l'articolazione della colonna, quali risultanze dei giudicati, e ne trae le 2 annotazioni che il metodo impone. La prima è dimensionale: l'operazione più devastante della storia repubblicana fu concepita e condotta da una struttura urbana di poche decine di persone, e la sproporzione tra la dimensione dell'organo e la dimensione dell'effetto, certificata dai numeri di entrambi i lati, è il dato che ogni teoria della necessità del concorso esterno deve preliminarmente superare, giacché essa dimostra che la scala dell'effetto non implica la scala dell'apparato. La seconda è strutturale: la colonna romana operò per l'intera crisi senza subire una sola perdita, un solo arresto, una sola identificazione, e questa tenuta, che i giudicati attribuiscono alla compartimentazione e alla qualità degli irregolari, le intestazioni pulite di Braghetti e degli altri insospettabili, è il fatto tecnico che spiega, dal lato dell'organizzazione, il fallimento delle ricerche che il capitolo della gestione ha censito dal lato dello Stato: il registro salda i 2 lati del medesimo fatto e lo consegna, quale spiegazione interna completa e documentata, al confronto con le letture eccedenti che il piano terzo custodisce.</w:t>
      </w:r>
    </w:p>
    <w:p>
      <w:pPr>
        <w:spacing w:after="120" w:line="276"/>
        <w:jc w:val="both"/>
      </w:pPr>
      <w:r>
        <w:rPr>
          <w:rFonts w:ascii="Barlow Semi Condensed" w:cs="Barlow Semi Condensed" w:eastAsia="Barlow Semi Condensed" w:hAnsi="Barlow Semi Condensed"/>
          <w:sz w:val="24"/>
          <w:szCs w:val="24"/>
        </w:rPr>
        <w:t xml:space="preserve">Il quindicesimo pilastro distende la parabola terminale dell'organizzazione, il dopo che chiude il profilo del soggetto esecutore. La stagione successiva al caso Moro fu, per l'organizzazione, quella del massimo sforzo e della dissoluzione: il sequestro del magistrato Giovanni D'Urso tra il dicembre 1980 e il gennaio 1981, concluso con la liberazione; il sequestro del generale americano James Lee Dozier, sottratto a Verona il 17 dicembre 1981 e liberato dal blitz dei reparti speciali a Padova il 28 gennaio 1982, la prima sconfitta operativa diretta, maturata per via di intelligence e irruzione, che dimostrò il rovesciamento del rapporto di forze; la frammentazione in tronconi rivali; e la coda lunga degli anni Ottanta, sino all'assassinio del professor Roberto Ruffilli, il costituzionalista consigliere della presidenza del Consiglio, ucciso a Forlì il 16 aprile 1988 dall'ultima sigla, il delitto che chiuse la serie ventennale degli omicidi dell'organizzazione e delle sue derivazioni. Il registro certifica al Livello A la sequenza, nomina Roberto Ruffilli tra le vittime collegate della fase quale termine finale della serie, e ne trae il bilancio strutturale che il capitolo deve al soggetto: l'organizzazione che nel 1978 aveva tenuto in scacco lo Stato fu militarmente sconfitta entro 4 anni, per effetto congiunto della legislazione premiale, delle dissociazioni e della ricostruita capacità investigativa censita nel capitolo nono, e la parabola completa, dalla fondazione del 1970 all'ultimo delitto del 1988, si chiuse senza che l'organizzazione avesse conseguito uno solo dei propri obiettivi strategici dichiarati; il registro trascrive l'esito quale fatto storico certificato e lo consegna alla competizione delle ipotesi con l'annotazione dovuta: la sconfitta integrale del soggetto esecutore è un dato che ogni lettura del piano terzo deve incorporare, giacché qualunque regia esterna si voglia ipotizzare avrebbe abbandonato il proprio strumento alla distruzione completa, e la circostanza, di per sé non probante in alcuna direzione, delimita nondimeno lo spazio logico delle ipotesi di strumentalizzazione durevole.</w:t>
      </w:r>
    </w:p>
    <w:p>
      <w:pPr>
        <w:spacing w:after="120" w:line="276"/>
        <w:jc w:val="both"/>
      </w:pPr>
      <w:r>
        <w:rPr>
          <w:rFonts w:ascii="Barlow Semi Condensed" w:cs="Barlow Semi Condensed" w:eastAsia="Barlow Semi Condensed" w:hAnsi="Barlow Semi Condensed"/>
          <w:sz w:val="24"/>
          <w:szCs w:val="24"/>
        </w:rPr>
        <w:t xml:space="preserve">Il sedicesimo pilastro censisce il finanziamento dell'operazione, il versante economico che i giudicati hanno ricostruito. L'organizzazione si finanziava per autosufficienza dichiarata e documentata, con le rapine di autofinanziamento e con i sequestri di persona a scopo estorsivo della prima stagione, e il capitolo economico dell'operazione Moro ha negli atti la propria fonte identificata: il riscatto del sequestro dell'armatore genovese Pietro Costa, condotto dall'organizzazione nel 1977, fornì la provvista che le ricostruzioni giudiziarie indicano quale copertura dei costi della campagna romana, ivi compreso l'acquisto dell'appartamento di via Montalcini, l'immobile della prigione, pagato con denaro riconducibile a quella provvista e intestato all'insospettabile Braghetti; il registro certifica al Livello A il sequestro Costa, il riscatto e la destinazione della provvista alla logistica romana, quali risultanze dei giudicati, e ne dichiara la funzione capitale nella competizione delle ipotesi: il capitolo economico dell'operazione più costosa della storia dell'organizzazione è integralmente ricostruito per via giudiziaria entro il perimetro dell'autofinanziamento criminale interno, senza che alcun flusso esterno sia mai emerso, e questa tracciabilità completa, rara nel campo studiato dall'opera, è uno degli argomenti più solidi della lettura dell'autosufficienza, giacché il denaro, il vettore che nelle altre fasi dell'opera ha rivelato le reti, qui documenta un circuito chiuso; il registro annota che l'assenza di flussi esterni documentati non prova l'assenza di apporti non monetari, informazioni, coperture, omissioni, che il piano terzo custodisce quali ipotesi, ma certifica che sul terreno dove il metodo dell'opera è più forte, il tracciamento dei flussi del Pattern 4, il caso Moro restituisce un esito univoco, e lo trascrive quale reperto del pattern con il rango che gli compete.</w:t>
      </w:r>
    </w:p>
    <w:p>
      <w:pPr>
        <w:spacing w:after="120" w:line="276"/>
        <w:jc w:val="both"/>
      </w:pPr>
      <w:r>
        <w:rPr>
          <w:rFonts w:ascii="Barlow Semi Condensed" w:cs="Barlow Semi Condensed" w:eastAsia="Barlow Semi Condensed" w:hAnsi="Barlow Semi Condensed"/>
          <w:sz w:val="24"/>
          <w:szCs w:val="24"/>
        </w:rPr>
        <w:t xml:space="preserve">Il diciassettesimo pilastro censisce l'organo deliberante, l'Esecutivo dell'organizzazione nella stagione del sequestro. Al vertice della struttura, sotto la direzione strategica quale organo allargato di elaborazione, operava l'Esecutivo, l'organismo ristretto di conduzione che nella primavera del 1978 risultava composto, per le risultanze giudiziarie, da Mario Moretti, Rocco Micaletto, Lauro Azzolini e Franco Bonisoli, i 4 dirigenti nei quali si concentrava la decisione operativa corrente; fu questo organo a governare la campagna, con Moretti distaccato sulla conduzione romana e gli altri sui fronti settentrionali, e fu la sua composizione a determinare la traiettoria successiva del materiale, giacché Azzolini e Bonisoli furono catturati nella base milanese di via Monte Nevoso il 1 ottobre 1978, nell'operazione che portò al primo ritrovamento delle carte, e Micaletto cadde nelle retate successive, sicché entro pochi anni l'intero Esecutivo del sequestro, Moretti ultimo con l'arresto del 4 aprile 1981, fu consegnato ai processi che avrebbero ricostruito la vicenda. Il registro certifica al Livello A la composizione dell'organo e le catture, quali risultanze dei giudicati, e ne trae l'annotazione strutturale: la concentrazione della decisione in 4 uomini, tutti catturati vivi e tutti processati, è la ragione tecnica per cui il piano primo del caso ha potuto raggiungere la saturazione che la fase certifica, l'organo deliberante essendo integralmente sopravvissuto alla propria sconfitta e avendo perciò potuto essere giudicato, a differenza di quanto l'opera ha documentato per altri teatri, dove l'eliminazione fisica dei detentori della decisione ha precluso per sempre l'accertamento; la comparazione tra i campi, il terrorismo rosso giudicabile perché catturato e altri mondi dell'opera inaccertabili perché falcidiati, è un dato di struttura che il registro consegna alla riflessione conclusiva sulla conoscibilità differenziale del proprio oggetto.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direzione strategica-colonna romana-via Montalcini, è il triangolo del piano primo, certificato al Livello A dai 5 giudicati. La seconda, organizzazione-apparato dichiarativo-autonomia rivendicata, è il triangolo della fonte interessata, con le ammissioni recepite e le esclusioni da riscontrare. La terza, Brigate Rosse-ambiente fondativo-componente Simioni, è il triangolo genealogico, certificato al Livello A quanto ai fatti e consegnato al capitolo su Hyperion. Sul piano dei pattern, il nodo attiva il Pattern 2 nella identificazione della colonna romana quale comunità operativa compartimentata, la cui azione coordinata è confermata dall'evento secondo il criterio di validazione; e il Pattern 7, nelle traiettorie dei militanti dalla militanza legale alla clandestinità, di cui la biografia di Moretti, operaio e tecnico transitato per l'ambiente milanese sino alla direzione militare, è l'esemplare più documentato.</w:t>
      </w:r>
    </w:p>
    <w:p>
      <w:pPr>
        <w:spacing w:after="120" w:line="276"/>
        <w:jc w:val="both"/>
      </w:pPr>
      <w:r>
        <w:rPr>
          <w:rFonts w:ascii="Barlow Semi Condensed" w:cs="Barlow Semi Condensed" w:eastAsia="Barlow Semi Condensed" w:hAnsi="Barlow Semi Condensed"/>
          <w:sz w:val="24"/>
          <w:szCs w:val="24"/>
        </w:rPr>
        <w:t xml:space="preserve">La formazione del quadro in 5 procedimenti irrevocabili, che la sintesi certifica, esige la fisionomia di ciascun ciclo, perché la serie non fu ripetizione ma stratificazione progressiva dell'accertamento. Il primo ciclo, chiuso in primo grado dalla Corte d'Assise di Roma il 24 gennaio 1983 con 32 ergastoli e decine di condanne ulteriori, fissò l'impianto: la dinamica di via Fani, la responsabilità della direzione dell'organizzazione, la riferibilità dell'esecuzione alla colonna romana rinforzata. Il secondo ciclo integrò il quadro giovandosi della stagione della dissociazione, ed in particolare della ricostruzione analitica consegnata da Valerio Morucci ed Adriana Faranda, che consentì di ridefinire ruoli e presenze con una granularità che il primo dibattimento non aveva raggiunto. Il terzo ciclo, culminato nella sentenza del 1988, aggredì la struttura larga, la rete logistica, le basi, le coperture ed il perimetro della colonna. I cicli successivi chiusero le posizioni residue, sino al quinto, che negli anni 90 raggiunse l'ultimo custode sino ad allora ignoto della prigione di via Montalcini, Germano Maccari, completando la mappa degli uomini del covo, Livello A sull'intera progressione, nei limiti dei rispettivi giudicati. Il registro consegna la serie alla sua lettura epistemologica: 5 cicli in 2 decenni non misurano l'incertezza dell'accertamento ma la sua profondità crescente, ed il piano primo del caso, l'esecuzione, risulta all'esito il fatto di terrorismo più compiutamente giudicato della storia repubblicana, il che rende tanto più nitido, per contrasto, il perimetro dei piani che i medesimi 2 decenni non hanno saturato.</w:t>
      </w:r>
    </w:p>
    <w:p>
      <w:pPr>
        <w:spacing w:after="120" w:line="276"/>
        <w:jc w:val="both"/>
      </w:pPr>
      <w:r>
        <w:rPr>
          <w:rFonts w:ascii="Barlow Semi Condensed" w:cs="Barlow Semi Condensed" w:eastAsia="Barlow Semi Condensed" w:hAnsi="Barlow Semi Condensed"/>
          <w:sz w:val="24"/>
          <w:szCs w:val="24"/>
        </w:rPr>
        <w:t xml:space="preserve">Alla coppia dei dissociati il registro dedica l'annotazione di metodo che il loro statuto impone. Morucci e Faranda, usciti dall'organizzazione nel dissenso sull'esito del sequestro e divenuti, dal carcere, la fonte interna più organica sulla meccanica dei 55 giorni, consegnarono una ricostruzione che i giudici sottoposero a riscontro e largamente recepirono, e che resta il principale reticolo dichiarativo interno sul caso: fonte preziosa e, per costruzione, perimetrata, giacché il dissociato attesta ciò che ha visto dal proprio segmento e la compartimentazione brigatista faceva del segmento la misura di ogni sguardo, Livello A quanto al recepimento giudiziale riscontrato, Livello B quanto alle porzioni di racconto non autonomamente riscontrate. Su questa perimetrazione il registro fonda la sua regola di lettura del caso: l'organizzazione fu processualmente trasparente sino al confine delle sue paratie interne, e ciò che le paratie separavano, chi decise cosa, chi sapeva quanto, resta materia in cui la voce dei protagonisti vale come reperto e non come mappa, secondo la disciplina della fonte che l'intera opera osserva.</w:t>
      </w:r>
    </w:p>
    <w:p>
      <w:pPr>
        <w:spacing w:after="120" w:line="276"/>
        <w:jc w:val="both"/>
      </w:pPr>
      <w:r>
        <w:rPr>
          <w:rFonts w:ascii="Barlow Semi Condensed" w:cs="Barlow Semi Condensed" w:eastAsia="Barlow Semi Condensed" w:hAnsi="Barlow Semi Condensed"/>
          <w:sz w:val="24"/>
          <w:szCs w:val="24"/>
        </w:rPr>
        <w:t xml:space="preserve">La parabola della direzione esecutiva si chiuse con una data che il registro fissa quale spartiacque della guerra brigatista: il 4 aprile 1981 Mario Moretti fu catturato a Milano, dopo 9 anni di latitanza ininterrotta che ne avevano fatto il più longevo dirigente clandestino dell'organizzazione, e con il suo arresto si spense la continuità di comando che aveva attraversato l'intera parabola, dalla fondazione della colonna milanese alla gestione diretta del sequestro e della prigione, Livello A quanto alla cattura ed alla sua collocazione. Sulle responsabilità, i cicli processuali censiti consegnarono al capo brigatista una pluralità di ergastoli irrevocabili, comprensivi della direzione dell'operazione di via Fani e dell'esecuzione materiale del 9 maggio che il capitolo 6 certifica, Livello A. Alla voce delle fonti appartiene infine la produzione memorialistica del prigioniero di lungo corso: il libro-intervista consegnato nei primi anni 90 a 2 interlocutrici della sinistra intellettuale, nel quale Moretti rivendicò l'integrale autonomia dell'operazione e dell'organizzazione da ogni regia o infiltrazione esterna, costituisce la controparte simmetrica delle narrazioni dei dissociati, e la disciplina dell'Indice di Contaminazione della Fonte gli assegna lo statuto che merita: fonte di parte massimamente interessata alla tesi dell'autosufficienza, il cui valore è documentale quanto alla posizione rivendicata e nullo quanto alla certificazione dei fatti negati, Livello C, giacché, come il registro ha già annotato per l'assolto divenuto storico di sé stesso, l'ultima parola del protagonista è un reperto sul protagonista, non sul mondo.</w:t>
      </w:r>
    </w:p>
    <w:p>
      <w:pPr>
        <w:spacing w:after="120" w:line="276"/>
        <w:jc w:val="both"/>
      </w:pPr>
      <w:r>
        <w:rPr>
          <w:rFonts w:ascii="Barlow Semi Condensed" w:cs="Barlow Semi Condensed" w:eastAsia="Barlow Semi Condensed" w:hAnsi="Barlow Semi Condensed"/>
          <w:sz w:val="24"/>
          <w:szCs w:val="24"/>
        </w:rPr>
        <w:t xml:space="preserve">La deliberazione va corredata del suo documento programmatico, che il registro censisce quale atto fondativo della campagna: la risoluzione della Direzione strategica approvata nel febbraio 1978, il testo dottrinale che l'organizzazione diffuse alla vigilia dell'operazione e che teorizzava l'attacco al cuore dello Stato, individuando nella Democrazia cristiana il perno del sistema da disarticolare e nella fase politica in corso, la solidarietà nazionale, il momento della massima vulnerabilità dell'avversario, Livello A quanto al documento, alla sua data ed al suo contenuto, acquisiti agli atti dei processi. Il registro sottolinea il valore probatorio che i giudicati assegnarono al testo: la risoluzione dimostra che la scelta del bersaglio discese da un'analisi politica formalizzata prima dell'azione, non da un'improvvisazione né da una commissione esterna documentata, e costituisce perciò uno dei pilastri della ricostruzione dell'autonomia deliberativa che il piano primo certifica, ferma restando, sui piani ulteriori, la distinzione che il capitolo 10 governa. Nella grammatica documentale del caso, il febbraio 1978 consegna così il suo chiasmo: mentre la Direzione strategica metteva per iscritto le ragioni dell'attacco alla mediazione, il mediatore metteva a punto, per l'aula del 28 febbraio, le ragioni della mediazione, e i 2 testi, la risoluzione ed il discorso, si fronteggiano negli archivi come i 2 programmi incompatibili di cui via Fani fu, 16 giorni dopo, il punto di collisione.</w:t>
      </w:r>
    </w:p>
    <w:p>
      <w:pPr>
        <w:spacing w:after="120" w:line="276"/>
        <w:jc w:val="both"/>
      </w:pPr>
      <w:r>
        <w:rPr>
          <w:rFonts w:ascii="Barlow Semi Condensed" w:cs="Barlow Semi Condensed" w:eastAsia="Barlow Semi Condensed" w:hAnsi="Barlow Semi Condensed"/>
          <w:sz w:val="24"/>
          <w:szCs w:val="24"/>
        </w:rPr>
        <w:t xml:space="preserve">Alla logistica dell'organizzazione appartiene il cedimento postumo che il registro data con precisione: il 17 maggio 1978, a 8 giorni da via Caetani, le indagini individuarono in via Pio Foà, a Roma, la tipografia clandestina che aveva stampato i comunicati della campagna, con il sequestro delle attrezzature e l'arresto del tipografo, primo squarcio nella struttura logistica romana cui seguirono, nelle settimane successive, ulteriori cadute di basi e copertura, Livello A quanto alla scoperta, alla data ed ai sequestri. La collocazione temporale è il dato analitico: la macchina investigativa che nei 55 giorni non aveva raggiunto un solo gangli della rete cominciò a smontarla a epilogo consumato, e questa asimmetria tra il prima ed il dopo, che il piano secondo registra senza spiegarla, alimentò già nei contemporanei la domanda che le Commissioni avrebbero formalizzato: se la penetrabilità dimostrata dal poi fosse la misura di una possibilità mancata nel durante, o se, al contrario, fosse stato proprio l'epilogo, con il rilassamento delle paratie e la dispersione degli uomini, a rendere penetrabile ciò che prima non lo era. Il registro custodisce la domanda nella sua forma aperta, che è l'unica certificabile, ed annota il solo teorema che i fatti autorizzano: la rete che resse 55 giorni non resse 55 giorni più 8.</w:t>
      </w:r>
    </w:p>
    <w:p>
      <w:pPr>
        <w:spacing w:after="120" w:line="276"/>
        <w:jc w:val="both"/>
      </w:pPr>
      <w:r>
        <w:rPr>
          <w:rFonts w:ascii="Barlow Semi Condensed" w:cs="Barlow Semi Condensed" w:eastAsia="Barlow Semi Condensed" w:hAnsi="Barlow Semi Condensed"/>
          <w:sz w:val="24"/>
          <w:szCs w:val="24"/>
        </w:rPr>
        <w:t xml:space="preserve">Alla contabilità giudiziaria della colonna appartiene infine la coda perpetua delle contumacie, che il registro censisce quale eccezione permanente all'esecuzione dei giudicati: tra i condannati in via definitiva per il sequestro e l'eccidio figurano Alessio Casimirri, riparato in Nicaragua prima della stagione degli arresti e mai raggiunto dall'esecuzione, protetto da uno status consolidato nel Paese centroamericano che ogni iniziativa estradizionale italiana ha trovato inespugnabile, ed Alvaro Lojacono, sottratto all'esecuzione italiana dalla cittadinanza elvetica e dalle regole di quell'ordinamento sulla non estradizione dei propri nazionali, Livello A quanto alle condanne definitive ed alla condizione di inesecuzione, nei limiti degli atti. Il registro consegna le 2 posizioni alla loro funzione sistemica: esse dimostrano che la geografia della protezione censita per il versante nero nella Fase 3, i santuari iberici e latinoamericani delle latitanze ordinoviste, ebbe il proprio speculare sul versante rosso, con approdi diversi e meccanica identica, la frontiera quale ultimo grado di giudizio, e che la mappa internazionale dell'impunità, cui la Fase 5 dedicherà il proprio teatro, è bipartisan per costruzione: i codici ideologici dividono gli uomini, i rifugi li accomunano.</w:t>
      </w:r>
    </w:p>
    <w:p>
      <w:pPr>
        <w:spacing w:after="120" w:line="276"/>
        <w:jc w:val="both"/>
      </w:pPr>
      <w:r>
        <w:rPr>
          <w:rFonts w:ascii="Barlow Semi Condensed" w:cs="Barlow Semi Condensed" w:eastAsia="Barlow Semi Condensed" w:hAnsi="Barlow Semi Condensed"/>
          <w:sz w:val="24"/>
          <w:szCs w:val="24"/>
        </w:rPr>
        <w:t xml:space="preserve">Alla contabilità dei giudicati appartiene, per completezza documentale, la loro esecuzione nel tempo, che il registro censisce quale dato di ordinamento: le condanne all'ergastolo irrevocabili per via Fani e per il sequestro sono transitate, nei decenni, attraverso gli istituti dell'esecuzione penale ordinaria, la liberazione condizionale, la semilibertà, i benefici della legislazione premiale e dell'ordinamento penitenziario riformato, sicché nessuno dei condannati del nucleo storico sconta oggi detenzione in forma piena, Livello A quanto al quadro complessivo degli esiti esecutivi, quale risulta dagli atti pubblici. Il registro riporta il dato spoglio di ogni valutazione, che non gli compete, e ne fissa la sola funzione analitica: la parabola esecutiva documenta che lo Stato applicò agli autori del fatto più grave della sua storia repubblicana l'ordinamento comune, senza regimi d'eccezione perpetui, e questa normalità dell'esecuzione, qualunque giudizio se ne dia, è essa stessa un reperto sul sistema, la controprova per fatti concludenti che la Repubblica uscita dai 55 giorni scelse di vincere la propria guerra dentro le regole che l'avversario aveva dichiarato di voler abbattere. La circostanza che i protagonisti liberi della vicenda ne siano divenuti, come i capitoli hanno censito, i narratori pubblici appartiene alla medesima parabola: il registro l'ha già disciplinata sul piano delle fonti, e qui la chiude sul piano dei fatti.</w:t>
      </w:r>
    </w:p>
    <w:p>
      <w:pPr>
        <w:spacing w:after="120" w:line="276"/>
        <w:jc w:val="both"/>
      </w:pPr>
      <w:r>
        <w:rPr>
          <w:rFonts w:ascii="Barlow Semi Condensed" w:cs="Barlow Semi Condensed" w:eastAsia="Barlow Semi Condensed" w:hAnsi="Barlow Semi Condensed"/>
          <w:sz w:val="24"/>
          <w:szCs w:val="24"/>
        </w:rPr>
        <w:t xml:space="preserve">La genealogia operativa dell'azione del 1978 ha il suo antecedente maggiore nel sequestro del giudice Mario Sossi, che il registro censisce quale matrice sperimentale di ogni grammatica successiva: il sostituto procuratore genovese fu sequestrato dall'organizzazione il 18 aprile 1974 e detenuto per 35 giorni, sottoposto al primo processo proletario della storia brigatista, con comunicati numerati, fotografia del prigioniero sotto l'insegna e richiesta di scambio con i detenuti di un gruppo armato genovese; la Corte d'appello concesse la libertà provvisoria richiesta, il procuratore generale Francesco Coco ne bloccò l'esecuzione con il ricorso, e l'organizzazione rilasciò unilateralmente il prigioniero il 23 maggio, incassando la dimostrazione politica e rinviando il conto, che 2 anni dopo, con l'agguato al medesimo procuratore generale già censito, avrebbe saldato nel sangue, Livello A sull'intera vicenda giudicata. Il registro fissa la funzione del precedente: il 1974 genovese contiene, in scala ridotta e con esito incruento per l'ostaggio, l'intero repertorio del 1978, il processo, i comunicati, la foto, lo scambio, la contesa tra i poteri dello Stato sulla trattabilità, e la distanza tra i 2 epiloghi, il rilascio di Sossi e via Caetani, misura esattamente il cammino compiuto dall'organizzazione nel quadriennio, dalla propaganda armata che restituisce l'ostaggio alla guerra dichiarata che lo giustizia.</w:t>
      </w:r>
    </w:p>
    <w:p>
      <w:pPr>
        <w:spacing w:after="120" w:line="276"/>
        <w:jc w:val="both"/>
      </w:pPr>
      <w:r>
        <w:rPr>
          <w:rFonts w:ascii="Barlow Semi Condensed" w:cs="Barlow Semi Condensed" w:eastAsia="Barlow Semi Condensed" w:hAnsi="Barlow Semi Condensed"/>
          <w:sz w:val="24"/>
          <w:szCs w:val="24"/>
        </w:rPr>
        <w:t xml:space="preserve">Al medesimo quadriennio appartiene il teatro giudiziario parallelo che accompagnò i 55 giorni e che il registro censisce quale loro specchio istituzionale: il processo al nucleo storico dell'organizzazione, apertosi a Torino dopo anni di rinvii imposti dall'intimidazione sistematica, l'uccisione nel 1977 del presidente dell'ordine degli avvocati torinesi Fulvio Croce, incaricato delle difese d'ufficio, e la renitenza di massa dei cittadini estratti quali giurati, si celebrò infine, in aula blindata, negli stessi mesi del sequestro, sicché la primavera del 1978 vide la Repubblica e l'organizzazione processarsi reciprocamente in simultanea, lo Stato a Torino con i fondatori alla sbarra, l'organizzazione nella prigione del popolo con il presidente della Democrazia cristiana, e la sentenza torinese di condanna giunse il 23 giugno 1978, a 45 giorni da via Caetani, Livello A quanto alla scansione ed agli esiti. Il registro consegna la simultaneità alla sua lettura documentale: il sequestro fu anche, per dichiarazione della stessa organizzazione nei comunicati censiti, la risposta di piazza al processo di Torino, ed il duello delle 2 aule, quella dello Stato e quella sedicente del popolo, con i loro 2 verdetti sfalsati di poche settimane, è la messa in scena più nitida che la stagione abbia prodotto del conflitto tra i 2 ordinamenti che si contendevano, nel 1978, il monopolio della giustizia.</w:t>
      </w:r>
    </w:p>
    <w:p>
      <w:pPr>
        <w:spacing w:after="120" w:line="276"/>
        <w:jc w:val="both"/>
      </w:pPr>
      <w:r>
        <w:rPr>
          <w:rFonts w:ascii="Barlow Semi Condensed" w:cs="Barlow Semi Condensed" w:eastAsia="Barlow Semi Condensed" w:hAnsi="Barlow Semi Condensed"/>
          <w:sz w:val="24"/>
          <w:szCs w:val="24"/>
        </w:rPr>
        <w:t xml:space="preserve">La campagna di avvicinamento al sequestro ebbe infine il suo bersaglio funzionale più eloquente, che il registro aggiunge ai caduti già censiti delle settimane precedenti: il 14 febbraio 1978, un mese e 2 giorni prima di via Fani, fu assassinato a Roma il magistrato Riccardo Palma, addetto alla direzione generale competente sull'edilizia penitenziaria, colpito quale responsabile tecnico del programma delle carceri speciali, Livello A quanto al fatto ed alla rivendicazione. La selezione del bersaglio è il reperto: l'organizzazione che si apprestava a catturare il massimo prigioniero politico della propria storia colpì, alla vigilia, l'uomo dello Stato che costruiva le prigioni destinate ai suoi militanti, in una simmetria carceraria che i documenti interni della campagna avrebbero reso esplicita e che il registro annota quale ulteriore prova della pianificazione lunga: la primavera del 1978 fu preparata colpendo, uno per uno, i gangli funzionali della risposta dello Stato, il maresciallo dell'antiterrorismo torinese, il magistrato delle carceri, secondo una progressione che i giudicati avrebbero ricostruito e che priva retrospettivamente l'agguato di via Fani di ogni carattere di fulmine a ciel sereno: il cielo era annunciato da mesi, e la contabilità dei caduti dell'inverno ne è l'archivio.</w:t>
      </w:r>
    </w:p>
    <w:p>
      <w:pPr>
        <w:spacing w:after="120" w:line="276"/>
        <w:jc w:val="both"/>
      </w:pPr>
      <w:r>
        <w:rPr>
          <w:rFonts w:ascii="Barlow Semi Condensed" w:cs="Barlow Semi Condensed" w:eastAsia="Barlow Semi Condensed" w:hAnsi="Barlow Semi Condensed"/>
          <w:sz w:val="24"/>
          <w:szCs w:val="24"/>
        </w:rPr>
        <w:t xml:space="preserve">Alla nomenclatura interna dell'operazione appartiene infine il reperto onomastico che la memorialistica dei protagonisti e le acquisizioni convergenti consegnano: nel lessico cifrato dell'organizzazione l'operazione ed il prigioniero furono designati con il nome in codice Fritz, l'etichetta che ricorre nelle ricostruzioni interne della gestione dei 55 giorni, Livello B quanto al dato, fondato sulla convergenza delle fonti dichiarative interne. Il registro censisce il nome per la sua funzione documentale minima e lo consegna senza sovrainterpretazioni: la scelta di un nome tedesco per il prigioniero italiano appartiene alla fenomenologia del gergo clandestino, che il metodo registra quale traccia e non decifra quale messaggio, e la sua utilità per l'opera sta altrove, nel fornire la chiave lessicale con cui riconoscere, nelle fonti interne citate lungo la fase, i riferimenti all'operazione quando i documenti evitano il nome vero.</w:t>
      </w:r>
    </w:p>
    <w:p>
      <w:pPr>
        <w:spacing w:after="120" w:line="276"/>
        <w:jc w:val="both"/>
      </w:pPr>
      <w:r>
        <w:rPr>
          <w:rFonts w:ascii="Barlow Semi Condensed" w:cs="Barlow Semi Condensed" w:eastAsia="Barlow Semi Condensed" w:hAnsi="Barlow Semi Condensed"/>
          <w:sz w:val="24"/>
          <w:szCs w:val="24"/>
        </w:rPr>
        <w:t xml:space="preserve">La dissoluzione dell'organizzazione ebbe infine il suo strumento decisivo, che il registro censisce quale contrappunto istituzionale dell'intera parabola: la legislazione premiale, inaugurata dal decreto antiterrorismo del dicembre 1979 convertito nella legge del febbraio 1980 e compiuta dalla legge del 29 maggio 1982 numero 304 sulla dissociazione e la collaborazione, che scambiò riduzioni di pena con la rottura del vincolo clandestino e produsse, nel triennio, l'emorragia di collaboratori che i processi censiti in questo capitolo incorporarono, Livello A quanto agli strumenti normativi ed ai loro effetti processuali documentati. Il registro fissa la lettura strutturale che la sequenza impone: l'organizzazione che aveva retto militarmente all'urto dei 55 giorni e delle stagioni successive fu dissolta non da un'operazione ma da un istituto giuridico, che ne aggredì il fondamento antropologico, l'irreversibilità della scelta clandestina, offrendo a ciascun militante un prezzo individuale per l'uscita; e la rapidità del crollo, misurabile nella progressione delle catture e dei covi caduti tra il 1980 ed il 1982 su indicazione dei collaboratori, dimostra che la compartimentazione censita quale forza dei 55 giorni era anche la debolezza speculare del sistema, poiché ogni nodo che si arrendeva consegnava per intero il proprio comparto. Nella contabilità della fase, la legge premiale è perciò la vera vincitrice del duello che il capitolo ha ricostruito: lo Stato che non aveva trovato la prigione di via Montalcini in 55 giorni di caccia smantellò l'intera organizzazione in 36 mesi di codice, e la sproporzione tra i 2 esiti è la misura esatta della differenza, che l'intera opera documenta, tra la forza degli apparati e la forza degli ordinamenti.</w:t>
      </w:r>
    </w:p>
    <w:p>
      <w:pPr>
        <w:spacing w:after="120" w:line="276"/>
        <w:jc w:val="both"/>
      </w:pPr>
      <w:r>
        <w:rPr>
          <w:rFonts w:ascii="Barlow Semi Condensed" w:cs="Barlow Semi Condensed" w:eastAsia="Barlow Semi Condensed" w:hAnsi="Barlow Semi Condensed"/>
          <w:sz w:val="24"/>
          <w:szCs w:val="24"/>
        </w:rPr>
        <w:t xml:space="preserve">La diaspora dei latitanti si chiude con l'ultima cattura, che il registro censisce quale sigillo cronologico della vicenda giudiziaria: Rita Algranati, presente sulla scena di via Fani secondo i giudicati e condannata in via definitiva all'ergastolo, fu arrestata al Cairo nel gennaio 2004 e consegnata all'Italia, ultima dei protagonisti dell'agguato ad essere ripresa, 26 anni dopo i fatti, Livello A quanto alla cattura, alla data ed al titolo esecutivo. Il registro annota la misura temporale che il caso consegna: tra il primo arresto della rete del sequestro e l'ultimo corrono oltre 25 anni, un quarto di secolo di esecuzione penale diluita che colloca il caso Moro, anche sotto questo profilo, nella fisiologia patologica dell'intero corpus, dove nessuna resa dei conti è mai stata simultanea e la giustizia ha raggiunto i responsabili per generazioni successive, con l'effetto strutturale che l'opera registra in ogni fase: quando l'ultimo esecutore entra in aula, i mandanti eventuali della prima ora sono ormai, nella migliore delle ipotesi, testimoni anziani, e nella peggiore, lapidi.</w:t>
      </w:r>
    </w:p>
    <w:p>
      <w:pPr>
        <w:spacing w:after="120" w:line="276"/>
        <w:jc w:val="both"/>
      </w:pPr>
      <w:r>
        <w:rPr>
          <w:rFonts w:ascii="Barlow Semi Condensed" w:cs="Barlow Semi Condensed" w:eastAsia="Barlow Semi Condensed" w:hAnsi="Barlow Semi Condensed"/>
          <w:sz w:val="24"/>
          <w:szCs w:val="24"/>
        </w:rPr>
        <w:t xml:space="preserve">La parabola dell'organizzazione esige la sua scheda genetica, che il registro premette ai giudicati: il nucleo fondativo si aggregò tra il 1969 ed il 1970 dalla confluenza tra il collettivo politico metropolitano milanese e l'area emiliana proveniente dalla dissidenza giovanile comunista, con il passaggio attraverso la formazione di Sinistra proletaria e l'adozione della sigla nel corso del 1970, quando le prime azioni firmate colpirono con sabotaggi ed incendi dimostrativi i quadri intermedi della Sit-Siemens e della Pirelli, le 2 fabbriche-laboratorio della militanza originaria, Livello A quanto alla genealogia ed alle prime azioni documentate. Il registro fissa la traiettoria che i giudicati avrebbero poi scandito: dalla propaganda armata di fabbrica del biennio 1970-72, ai sequestri dimostrativi brevi del 1972-74, al salto del 1974 con la prima uccisione e la campagna contro lo Stato, sino alla militarizzazione integrale del 1976-78 che il capitolo censisce, l'organizzazione percorse in 8 anni l'intera scala dell'escalation, e la lettura strutturale che il registro ne trae appartiene al metodo dell'opera: ogni gradino fu superato dopo che il precedente non aveva prodotto la repressione risolutiva, sicché la curva ascendente della violenza brigatista è anche, in negativo, la curva discendente della capacità di risposta tempestiva dello Stato, ed il 16 marzo 1978 sta in cima ad entrambe.</w:t>
      </w:r>
    </w:p>
    <w:p>
      <w:pPr>
        <w:spacing w:after="120" w:line="276"/>
        <w:jc w:val="both"/>
      </w:pPr>
      <w:r>
        <w:rPr>
          <w:rFonts w:ascii="Barlow Semi Condensed" w:cs="Barlow Semi Condensed" w:eastAsia="Barlow Semi Condensed" w:hAnsi="Barlow Semi Condensed"/>
          <w:sz w:val="24"/>
          <w:szCs w:val="24"/>
        </w:rPr>
        <w:t xml:space="preserve">La deliberazione dell'azione esige la mappa dell'organo che la assunse, ed il registro la censisce dai giudicati: al vertice operativo dell'organizzazione sedeva nel 1978 il Comitato esecutivo, l'organo ristretto di 4 membri, Moretti, Bonisoli, Azzolini e Micaletto, che deliberò e sovrintese la campagna di primavera, interfaccia tra la Direzione strategica, sede della linea politica già censita, e le colonne territoriali incaricate dell'esecuzione, Livello A quanto alla composizione ed alle attribuzioni accertate nei processi. Il registro annota la geometria che la mappa consegna alla storia giudiziaria del caso: dei 4 deliberanti, 2 furono catturati con il covo milanese dell'ottobre 1978 ed il terzo nel 1980, sicché a 30 mesi dall'agguato i 3 quarti dell'organo che lo aveva deciso erano detenuti, mentre il quarto, il capo, resse la clandestinità sino all'aprile 1981, e questa velocità di decapitazione, che contrasta con la durata generazionale delle latitanze dei gregari censita nel capitolo, rivela la struttura del prezzo pagato dall'organizzazione: la campagna del 1978 bruciò il vertice che l'aveva concepita nel giro di una stagione militare, e la storia successiva della sigla, le scissioni, la deriva, la dissoluzione premiale, è la storia di un corpo che sopravvisse 4 anni alla propria testa.</w:t>
      </w:r>
    </w:p>
    <w:p>
      <w:pPr>
        <w:spacing w:after="120" w:line="276"/>
        <w:jc w:val="both"/>
      </w:pPr>
      <w:r>
        <w:rPr>
          <w:rFonts w:ascii="Barlow Semi Condensed" w:cs="Barlow Semi Condensed" w:eastAsia="Barlow Semi Condensed" w:hAnsi="Barlow Semi Condensed"/>
          <w:sz w:val="24"/>
          <w:szCs w:val="24"/>
        </w:rPr>
        <w:t xml:space="preserve">La logistica romana dell'operazione esige la sua mappa unitaria, che il registro compone dai giudicati: la campagna poggiò su una costellazione di basi nella capitale, l'appartamento di via Gradoli quale covo direttivo della colonna, la prigione di via Montalcini, la tipografia di via Pio Foà quale officina dei comunicati, oltre agli appoggi minori censiti dalle istruttorie, una rete immobiliare acquisita e gestita con identità di copertura nei mesi e negli anni precedenti l'azione, Livello A quanto alla costellazione accertata nei processi. Il registro consegna la mappa alla sua lettura d'insieme, che le trattazioni per singolo indirizzo disperdono: la geografia delle basi disegna un dispositivo urbano completo, direzione, detenzione, comunicazione, distribuito su quadranti diversi della città e mai interamente caduto durante i 55 giorni, e la sua preesistenza documentata all'agguato, con acquisizioni immobiliari che risalgono a stagioni precedenti, è la prova materiale più solida che il corpus possieda della pianificazione lunga, perché le parole si improvvisano ed i contratti no, sicché la vera data d'inizio dell'operazione Fritz non è il 16 marzo 1978 ma il giorno, mesi ed anni prima, in cui l'organizzazione cominciò a comprare ed affittare la propria Roma parallela, ed è su quel calendario immobiliare, non su quello balistico, che si misura la profondità della decisione.</w:t>
      </w:r>
    </w:p>
    <w:p>
      <w:pPr>
        <w:spacing w:after="120" w:line="276"/>
        <w:jc w:val="both"/>
      </w:pPr>
      <w:r>
        <w:rPr>
          <w:rFonts w:ascii="Barlow Semi Condensed" w:cs="Barlow Semi Condensed" w:eastAsia="Barlow Semi Condensed" w:hAnsi="Barlow Semi Condensed"/>
          <w:sz w:val="24"/>
          <w:szCs w:val="24"/>
        </w:rPr>
        <w:t xml:space="preserve">La prosopografia della colonna esige il suo bilancio generazionale, che il registro formula sui dati anagrafici dei condannati: gli uomini e le donne che condussero l'operazione appartenevano quasi per intero alla generazione nata tra la fine della guerra ed i primi anni Cinquanta, giovani adulti tra i 25 ed i 35 anni al momento dei fatti, di estrazione mista operaia, impiegatizia e studentesca, formatisi politicamente nel decennio 1968-1977 e transitati alla clandestinità attraverso i percorsi che le sentenze ricostruiscono, Livello A quanto ai profili anagrafici dei giudicati. Il registro consegna il dato alla sua lettura storica: l'organizzazione che sequestrò l'uomo della generazione costituente era interamente composta dai figli dell'Italia repubblicana, nati dentro lo Stato che dichiaravano di combattere, e lo scarto anagrafico tra il prigioniero, classe 1916, formato nel regime e protagonista della Costituente, ed i suoi custodi, cresciuti nella democrazia che egli aveva contribuito a fondare, fa del sequestro anche un fatto generazionale estremo, il processo armato che una parte minuscola e perduta dei figli istruì al padre della Repubblica, e questa dimensione, che nessuna aula poteva giudicare, appartiene alla comprensione storica del caso quanto le traiettorie balistiche, perché spiega ciò che i processi non dovevano spiegare, la temperatura del decennio che rese pensabile l'impensabile.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Brigate Rosse è certificato al Livello A quanto alla deliberazione, alla direzione esecutiva di Moretti, alla composizione giudicata del commando di via Fani, alla custodia di via Montalcini con Braghetti, Maccari, Gallinari e Moretti, e alla formazione del quadro in 5 procedimenti irrevocabili lungo 15 anni; l'apparato dichiarativo dell'organizzazione è disciplinato distinguendo le ammissioni recepite dalle esclusioni da riscontrare, con la formula per cui l'assenza di prova del concorso esterno non è prova dell'assenza; la genealogia comune con la componente Simioni, poi parigina, è certificata al Livello A e consegnata al nodo Hyperion.</w:t>
      </w:r>
    </w:p>
    <w:p>
      <w:pPr>
        <w:pStyle w:val="Heading3"/>
        <w:spacing w:after="80" w:before="160"/>
      </w:pPr>
      <w:r>
        <w:rPr>
          <w:rFonts w:ascii="Barlow Semi Condensed" w:cs="Barlow Semi Condensed" w:eastAsia="Barlow Semi Condensed" w:hAnsi="Barlow Semi Condensed"/>
          <w:sz w:val="24"/>
          <w:szCs w:val="24"/>
        </w:rPr>
        <w:t xml:space="preserve">Capitolo 4 — ■ I 55 giorni. La condotta dello Stato, le anomalie e i depistaggi</w:t>
      </w:r>
    </w:p>
    <w:p>
      <w:pPr>
        <w:spacing w:after="120" w:line="276"/>
        <w:jc w:val="both"/>
      </w:pPr>
      <w:r>
        <w:rPr>
          <w:rFonts w:ascii="Barlow Semi Condensed" w:cs="Barlow Semi Condensed" w:eastAsia="Barlow Semi Condensed" w:hAnsi="Barlow Semi Condensed"/>
          <w:sz w:val="24"/>
          <w:szCs w:val="24"/>
        </w:rPr>
        <w:t xml:space="preserve">I 55 giorni tra l'agguato e il ritrovamento del corpo sono il nodo-evento del piano secondo: la condotta delle istituzioni e degli apparati durante il sequestro, che il registro ricostruisce nei suoi fatti certificati, nelle sue anomalie documentate e nei suoi depistaggi accertati, mantenendo su ogni elemento la decomposizione dei piani. Il quadro istituzionale è certificato al Livello A: il governo tenne la linea della fermezza, il rifiuto di ogni trattativa ufficiale con l'organizzazione, sostenuta dai 2 maggiori partiti e contrastata, nel sistema politico, dall'area socialista favorevole all'esplorazione umanitaria; presso il Ministero dell'interno, retto da Francesco Cossiga, operarono i comitati di crisi, tecnico-operativo e informativo, che coordinarono le ricerche; e le ricerche, condotte con uno spiegamento di forze senza precedenti, decine di migliaia di uomini, centinaia di migliaia di perquisizioni e controlli, non individuarono mai né la prigione né i sequestratori.</w:t>
      </w:r>
    </w:p>
    <w:p>
      <w:pPr>
        <w:spacing w:after="120" w:line="276"/>
        <w:jc w:val="both"/>
      </w:pPr>
      <w:r>
        <w:rPr>
          <w:rFonts w:ascii="Barlow Semi Condensed" w:cs="Barlow Semi Condensed" w:eastAsia="Barlow Semi Condensed" w:hAnsi="Barlow Semi Condensed"/>
          <w:sz w:val="24"/>
          <w:szCs w:val="24"/>
        </w:rPr>
        <w:t xml:space="preserve">Il primo pilastro è la compresenza piduista nei comitati di crisi, che il registro certifica al Livello A sul fondamento degli accertamenti della Commissione Anselmi e salda alle acquisizioni della Fase 2. I vertici dei servizi che sedevano negli organismi di gestione della crisi, il direttore del servizio militare Santovito, il direttore del servizio civile Grassini, il prefetto Pelosi al coordinamento, risulteranno iscritti alla loggia P2, come la Fase 2 ha certificato quale cattura del vertice informativo; e negli elenchi sequestrati nel 1981 figureranno ulteriori funzionari e ufficiali con ruoli nella stagione. Il registro certifica al Livello A la compresenza, quale fatto documentale incontrovertibile: gli organismi che gestirono la ricerca di Moro erano diretti, nelle loro componenti informative, da uomini appartenenti alla loggia coperta. E applica immediatamente il divieto: la compresenza certificata non prova che la loggia abbia orientato la gestione, né che l'esito delle ricerche sia stato deliberato; essa colloca la gestione della crisi dentro il perimetro della cattura piduista già certificata, e consegna al piano terzo, quale ipotesi, ogni lettura finalistica. La lente della doppia lealtà, dichiarata in avvertenza, trova qui il suo primo oggetto: la condotta di uomini simultaneamente vincolati all'istituzione e alla loggia è il fenomeno che quella lente mette a fuoco, senza per questo trasformare la messa a fuoco in prova.</w:t>
      </w:r>
    </w:p>
    <w:p>
      <w:pPr>
        <w:spacing w:after="120" w:line="276"/>
        <w:jc w:val="both"/>
      </w:pPr>
      <w:r>
        <w:rPr>
          <w:rFonts w:ascii="Barlow Semi Condensed" w:cs="Barlow Semi Condensed" w:eastAsia="Barlow Semi Condensed" w:hAnsi="Barlow Semi Condensed"/>
          <w:sz w:val="24"/>
          <w:szCs w:val="24"/>
        </w:rPr>
        <w:t xml:space="preserve">Il secondo pilastro è la sequenza delle anomalie documentate, che il registro censisce nelle 3 principali con la qualificazione propria di ciascuna. La prima è la vicenda di via Gradoli: il covo della colonna romana, base di Moretti e Balzerani, al civico 96 di via Gradoli a Roma, fu scoperto il 18 aprile per una perdita d'acqua segnalata dai vicini, dopo che, nelle settimane precedenti, il nome Gradoli era emerso in una circostanza tanto documentata quanto singolare, una seduta spiritica tenuta il 2 aprile presso docenti universitari bolognesi, a seguito della quale le verifiche si erano dirette sul comune di Gradoli nel Viterbese e non sulla via romana, che pure esisteva nello stradario; il registro certifica al Livello A l'intera sequenza fattuale, quale risultanza degli atti parlamentari, e la registra senza attribuirle significato ulteriore, annotando che essa documenta, quale che ne sia la spiegazione, la qualità della circolazione informativa attorno alle ricerche. La seconda anomalia è il falso comunicato del lago della Duchessa: il 18 aprile, lo stesso giorno della scoperta del covo, fu diffuso un falso comunicato numero 7 dell'organizzazione, che annunciava l'avvenuta esecuzione del prigioniero e l'occultamento del corpo nel lago della Duchessa, sull'Appennino reatino, innescando imponenti e vane operazioni di ricerca; le perizie e gli accertamenti successivi attribuirono la confezione del falso a Antonio Chichiarelli, falsario romano gravitante nell'orbita della banda della Magliana, mai processato per il fatto perché assassinato nel 1984. Il registro certifica al Livello A la falsità del comunicato e il suo effetto diversivo, e al Livello B l'attribuzione a Chichiarelli, quale convergenza di accertamenti tecnici non consacrata da giudicato; e dichiara il rilievo reticolare dell'attribuzione: essa introduce nel caso Moro, attraverso il falsario, l'orbita della banda della Magliana certificata nella Fase 1, e costituisce l'arco documentato tra il quadrilatero criminale romano e la gestione comunicativa del sequestro, la cui direzione e il cui scopo, depistaggio a beneficio di chi, restano al Livello C. La terza anomalia è il complesso delle segnalazioni non sviluppate, censite dalle commissioni: indicazioni pervenute durante i 55 giorni e non adeguatamente riscontrate, che il registro registra cumulativamente al Livello A quanto alla loro esistenza documentale e al Livello C quanto a ogni lettura intenzionale.</w:t>
      </w:r>
    </w:p>
    <w:p>
      <w:pPr>
        <w:spacing w:after="120" w:line="276"/>
        <w:jc w:val="both"/>
      </w:pPr>
      <w:r>
        <w:rPr>
          <w:rFonts w:ascii="Barlow Semi Condensed" w:cs="Barlow Semi Condensed" w:eastAsia="Barlow Semi Condensed" w:hAnsi="Barlow Semi Condensed"/>
          <w:sz w:val="24"/>
          <w:szCs w:val="24"/>
        </w:rPr>
        <w:t xml:space="preserve">Il terzo pilastro è la questione della trattativa e dei canali, che il registro tratta per la sua rilevanza sul piano della condotta. Accanto alla linea ufficiale della fermezza, gli atti documentano l'attivazione di canali non ufficiali: le esplorazioni dell'area socialista attraverso intermediari verso l'ambiente dell'organizzazione, documentate al Livello A dalle testimonianze convergenti dei protagonisti; e i sondaggi verso ambienti della criminalità organizzata per la localizzazione della prigione, riferiti da una pluralità di collaboratori di giustizia e di atti parlamentari, secondo cui esponenti della malavita romana e di organizzazioni meridionali furono interpellati, con esiti nulli o interrotti; il registro certifica al Livello B l'esistenza di tali sondaggi, quale convergenza di fonti dichiarative plurime di diversa provenienza, e mantiene al Livello C ogni ricostruzione dei loro sviluppi e delle ragioni della loro sterilità. L'annotazione sistemica è dovuta: la circostanza che lo Stato, nel suo momento di massima emergenza, abbia sondato il Dominio 1 quale possessore di capacità informativa territoriale superiore alla propria è, nei limiti della certificazione, un reperto sulla distribuzione reale della conoscenza del territorio che l'intera opera registra.</w:t>
      </w:r>
    </w:p>
    <w:p>
      <w:pPr>
        <w:spacing w:after="120" w:line="276"/>
        <w:jc w:val="both"/>
      </w:pPr>
      <w:r>
        <w:rPr>
          <w:rFonts w:ascii="Barlow Semi Condensed" w:cs="Barlow Semi Condensed" w:eastAsia="Barlow Semi Condensed" w:hAnsi="Barlow Semi Condensed"/>
          <w:sz w:val="24"/>
          <w:szCs w:val="24"/>
        </w:rPr>
        <w:t xml:space="preserve">Il registro chiude il quadro istituzionale con il dato della responsabilità politica assunta: la mattina del 9 maggio, alla notizia del ritrovamento del corpo, il ministro dell'interno Francesco Cossiga, titolare della gestione della crisi e dei comitati, rassegnò le dimissioni, motivandole con il fallimento dell'azione di ricerca e protezione; il registro certifica al Livello A le dimissioni quale unico atto formale di assunzione di responsabilità istituzionale dell'intera vicenda, e annota che il nome di Cossiga ricorre nel corpus 343 volte in 40 documenti, misura della centralità della sua posizione in ogni successiva ricostruzione dei 55 giorni, incluse le sue stesse dichiarazioni pubbliche dei decenni seguenti, che il registro tratta quale apparato di fonte protagonista, ricco, mutevole e da riscontrare enunciato per enunciato.</w:t>
      </w:r>
    </w:p>
    <w:p>
      <w:pPr>
        <w:spacing w:after="120" w:line="276"/>
        <w:jc w:val="both"/>
      </w:pPr>
      <w:r>
        <w:rPr>
          <w:rFonts w:ascii="Barlow Semi Condensed" w:cs="Barlow Semi Condensed" w:eastAsia="Barlow Semi Condensed" w:hAnsi="Barlow Semi Condensed"/>
          <w:sz w:val="24"/>
          <w:szCs w:val="24"/>
        </w:rPr>
        <w:t xml:space="preserve">Il quarto pilastro è la presenza del consulente americano, che il registro certifica nei fatti e disciplina nelle dichiarazioni. Nei primi giorni del sequestro giunse a Roma, su richiesta italiana al governo degli Stati Uniti, un esperto del Dipartimento di Stato in gestione di crisi e negoziazione, Steve Pieczenik, che operò per alcune settimane presso il Ministero dell'interno a supporto del comitato di crisi, ripartendo prima della conclusione della vicenda. Il registro certifica al Livello A la presenza, la collocazione e la durata della consulenza, quali fatti documentati negli atti parlamentari; e disciplina l'apparato dichiarativo successivo del consulente, che a distanza di decenni ha reso, in sedi giornalistiche e in audizioni, ricostruzioni del proprio ruolo di crescente drammaticità, sino ad attribuire alla gestione della crisi strategie deliberate di sacrificio dell'ostaggio: il registro le assume quali dichiarazioni tardive, mutevoli nelle versioni e prive di riscontro documentale coevo, e le mantiene al Livello C, certificando al Livello A soltanto ciò che la presenza documenta di per sé, l'esistenza di un canale consultivo diretto tra la gestione italiana della crisi e l'apparato della potenza alleata, attivo nelle settimane centrali del sequestro: un arco di Livello A tra il piano secondo e la dimensione atlantica, il cui contenuto operativo resta ai livelli inferiori.</w:t>
      </w:r>
    </w:p>
    <w:p>
      <w:pPr>
        <w:spacing w:after="120" w:line="276"/>
        <w:jc w:val="both"/>
      </w:pPr>
      <w:r>
        <w:rPr>
          <w:rFonts w:ascii="Barlow Semi Condensed" w:cs="Barlow Semi Condensed" w:eastAsia="Barlow Semi Condensed" w:hAnsi="Barlow Semi Condensed"/>
          <w:sz w:val="24"/>
          <w:szCs w:val="24"/>
        </w:rPr>
        <w:t xml:space="preserve">Il quinto pilastro è la questione delle intestazioni di via Gradoli, che completa il censimento delle anomalie. Le inchieste parlamentari accertarono che nello stabile del civico 96, e in immobili contigui della medesima strada, una quota cospicua di appartamenti risultava riconducibile, attraverso intestazioni societarie e fiduciarie, ad ambienti collegati ai servizi di sicurezza, che ne avevano fatto un'area di appoggi riservati; la base della colonna romana operò dunque, per mesi, in un contesto immobiliare frequentato dagli apparati. Il registro certifica al Livello B questa configurazione, quale risultanza delle ricognizioni parlamentari sulle intestazioni, e applica il divieto nella forma più stretta: la coabitazione topografica tra il covo e gli appoggi degli apparati è un dato di convergenza spaziale del Pattern 10, certificato quale configurazione; ogni inferenza di conoscenza o tolleranza resta al Livello C, e il registro annota che questo caso, la più stretta convergenza spaziale non spiegata dell'opera, è il luogo dove la distinzione tra il pattern e la prova va tenuta con la massima fermezza, giacché la suggestione topografica è qui al suo massimo e la documentazione del nesso al suo minimo.</w:t>
      </w:r>
    </w:p>
    <w:p>
      <w:pPr>
        <w:spacing w:after="120" w:line="276"/>
        <w:jc w:val="both"/>
      </w:pPr>
      <w:r>
        <w:rPr>
          <w:rFonts w:ascii="Barlow Semi Condensed" w:cs="Barlow Semi Condensed" w:eastAsia="Barlow Semi Condensed" w:hAnsi="Barlow Semi Condensed"/>
          <w:sz w:val="24"/>
          <w:szCs w:val="24"/>
        </w:rPr>
        <w:t xml:space="preserve">Il sesto pilastro scandisce la sequenza dei comunicati dell'organizzazione, l'ossatura comunicativa dei 55 giorni, che il registro fissa con le date quale apparato certificato al Livello A. Il comunicato numero 1, del 18 marzo, rivendicò l'azione e recò la prima fotografia del prigioniero davanti alla bandiera dell'organizzazione, annunciando il processo; il numero 2, del 25 marzo, e il numero 3, del 29 marzo, svilupparono la cornice del processo al regime, e con il terzo giunse la prima lettera, quella al ministro dell'interno; il numero 4, del 4 aprile, e il numero 5, del 10 aprile, proseguirono la scansione, respingendo le letture riduttive della prigionia; il numero 6, del 15 aprile, annunciò la conclusione del processo e la condanna a morte del prigioniero, portando la crisi alla soglia terminale; il 18 aprile circolò il falso comunicato numero 7, l'annuncio della morte al lago della Duchessa, cui l'organizzazione rispose il 20 aprile con il comunicato numero 7 autentico, accompagnato dalla fotografia del prigioniero con la prima pagina di un quotidiano del 19 aprile, prova di vita e smentita del falso, e con un ultimatum di 48 ore; il numero 8, del 24 aprile, formulò la richiesta di scambio nella sua forma esplicita, la liberazione di 13 detenuti nominativamente elencati; il numero 9, del 5 maggio, annunciò l'esecuzione della sentenza con la formula della conclusione della battaglia, cui seguirono, il 9 maggio, la telefonata e il ritrovamento. Il registro certifica la sequenza quale spina documentale della crisi e ne trae 2 annotazioni: la simmetria informativa rovesciata, per cui durante i 55 giorni l'organizzazione clandestina dettò i tempi della comunicazione pubblica mentre lo Stato inseguiva, è un dato strutturale della vicenda che il Dominio 8 dell'opera registra; e l'inserzione del falso comunicato esattamente tra l'annuncio della condanna e la prova di vita, nel punto di massima tensione della sequenza, misura la precisione chirurgica dell'operazione diversiva, quale che ne sia stata la regia.</w:t>
      </w:r>
    </w:p>
    <w:p>
      <w:pPr>
        <w:spacing w:after="120" w:line="276"/>
        <w:jc w:val="both"/>
      </w:pPr>
      <w:r>
        <w:rPr>
          <w:rFonts w:ascii="Barlow Semi Condensed" w:cs="Barlow Semi Condensed" w:eastAsia="Barlow Semi Condensed" w:hAnsi="Barlow Semi Condensed"/>
          <w:sz w:val="24"/>
          <w:szCs w:val="24"/>
        </w:rPr>
        <w:t xml:space="preserve">Il settimo pilastro ricostruisce la trama dei canali di trattativa, quale gli atti la consegnano. L'iniziativa più strutturata fu quella socialista: il segretario Bettino Craxi, con il coordinamento di Claudio Signorile, costruì un canale verso l'organizzazione attraverso intermediari dell'area dell'autonomia romana, Lanfranco Pace e Franco Piperno, in contatto con l'ala della colonna romana rappresentata da Valerio Morucci e Adriana Faranda, contraria alla soluzione terminale; l'obiettivo dichiarato era un atto autonomo di clemenza dello Stato, sganciato dallo scambio, e la candidata individuata fu la detenuta Paola Besuschio, la cui posizione giuridica avrebbe consentito una grazia, ipotesi che si arenò sugli ostacoli tecnici e sull'opposizione politica della maggioranza; il registro certifica al Livello A l'esistenza, gli attori e l'oggetto del canale, quali risultanze convergenti degli atti parlamentari e delle testimonianze dei protagonisti di ogni versante, e al Livello B la ricostruzione dei suoi passaggi interni. Parallelamente operarono gli appelli: quello pubblico del segretario generale delle Nazioni Unite Waldheim, quello del Pontefice del 21 aprile, censito nel capitolo dell'epilogo, e la posizione della famiglia, che dai comunicati e dalle lettere sollecitò lo Stato alla trattativa dissociandosi progressivamente dalla linea ufficiale, sino alla rottura consumata nelle disposizioni finali del prigioniero. L'ultimo movimento documentato è quello del 9 maggio: per convergenti testimonianze di dirigenti democristiani, la direzione del partito convocata per quella mattina avrebbe dovuto registrare l'apertura di Amintore Fanfani a un gesto umanitario, maturata nei giorni precedenti; la notizia del ritrovamento del corpo giunse prima che la riunione deliberasse. Il registro certifica al Livello B questa ricostruzione dell'ultimo giorno, quale convergenza testimoniale non consacrata da atti, e la registra senza inferenze sulla sequenza, annotando soltanto il dato cronologico certificato: l'esecuzione precedette di ore l'unico spiraglio politico documentato dell'intera crisi.</w:t>
      </w:r>
    </w:p>
    <w:p>
      <w:pPr>
        <w:spacing w:after="120" w:line="276"/>
        <w:jc w:val="both"/>
      </w:pPr>
      <w:r>
        <w:rPr>
          <w:rFonts w:ascii="Barlow Semi Condensed" w:cs="Barlow Semi Condensed" w:eastAsia="Barlow Semi Condensed" w:hAnsi="Barlow Semi Condensed"/>
          <w:sz w:val="24"/>
          <w:szCs w:val="24"/>
        </w:rPr>
        <w:t xml:space="preserve">L'ottavo pilastro censisce il comitato di esperti e ne integra la compresenza già certificata. Accanto ai comitati operativi, il ministro dell'interno istituì, nei primi giorni di aprile, un comitato di consulenza composto da specialisti di criminologia, psichiatria, analisi dei testi e gestione delle crisi, incaricato di valutare i comunicati, le lettere e lo stato del prigioniero: ne fecero parte, tra gli altri, il criminologo Franco Ferracuti e, quale consulente esterno, l'esperto americano già censito. Il registro certifica al Livello A l'istituzione, la composizione e la funzione del comitato, quali risultanze degli atti, e certifica al Livello A, sul fondamento degli elenchi sequestrati nel 1981 e degli accertamenti della Commissione Anselmi, che il nome di Ferracuti figura tra gli iscritti alla loggia P2: la compresenza piduista nella gestione della crisi, già certificata per i vertici dei servizi, si estende dunque, per documento, anche all'organo di consulenza, e il registro la registra quale ampliamento del medesimo reperto, sotto il medesimo divieto inferenziale. La funzione analitica del comitato, le cui valutazioni sulla condizione del prigioniero alimentarono la tesi pubblica della coartazione totale, appartiene alla vicenda delle lettere che il capitolo successivo disciplina, e il registro vi rinvia annotando sin d'ora il punto di saldatura: l'organo che certificò pubblicamente la non attendibilità della voce del prigioniero era, nella sua composizione, parte del sistema di compresenze che il piano secondo documenta.</w:t>
      </w:r>
    </w:p>
    <w:p>
      <w:pPr>
        <w:spacing w:after="120" w:line="276"/>
        <w:jc w:val="both"/>
      </w:pPr>
      <w:r>
        <w:rPr>
          <w:rFonts w:ascii="Barlow Semi Condensed" w:cs="Barlow Semi Condensed" w:eastAsia="Barlow Semi Condensed" w:hAnsi="Barlow Semi Condensed"/>
          <w:sz w:val="24"/>
          <w:szCs w:val="24"/>
        </w:rPr>
        <w:t xml:space="preserve">Il nono pilastro fissa i numeri della macchina delle ricerche, quali i consuntivi ministeriali riportati dagli atti parlamentari li consegnano. Nei 55 giorni furono effettuati oltre 72.000 posti di blocco, condotte circa 37.000 perquisizioni domiciliari, controllate oltre 6 milioni di persone e centinaia di migliaia di veicoli, con l'impiego quotidiano di decine di migliaia di uomini delle forze di polizia e, per i controlli del territorio, di reparti delle forze armate; il registro certifica al Livello A questi ordini di grandezza, quali dati ufficiali, e li compone con l'esito già certificato, la mancata individuazione della prigione, del prigioniero e di alcun componente dell'organizzazione per l'intera durata della crisi. La composizione produce il reperto quantitativo della fase: il più imponente dispiegamento di forze della storia repubblicana per un singolo obiettivo produsse un risultato investigativo nullo, e questa sproporzione certificata tra input e output è il fatto che ogni lettura del piano secondo deve spiegare; il registro annota le 2 spiegazioni compatibili con i dati, l'efficienza della compartimentazione avversaria unita all'inefficienza strutturale di un apparato privo di coordinamento e di intelligence sul terrorismo, documentata dagli atti sulla dissoluzione dei nuclei specializzati alla vigilia della crisi, e la lettura del condizionamento, che il divieto mantiene al suo livello, e osserva che la prima spiegazione, integralmente documentabile, è sufficiente a rendere conto del dato senza residui logici, il che non prova la sua verità ma misura, secondo il metodo delle ipotesi concorrenti, la non necessità della seconda.</w:t>
      </w:r>
    </w:p>
    <w:p>
      <w:pPr>
        <w:spacing w:after="120" w:line="276"/>
        <w:jc w:val="both"/>
      </w:pPr>
      <w:r>
        <w:rPr>
          <w:rFonts w:ascii="Barlow Semi Condensed" w:cs="Barlow Semi Condensed" w:eastAsia="Barlow Semi Condensed" w:hAnsi="Barlow Semi Condensed"/>
          <w:sz w:val="24"/>
          <w:szCs w:val="24"/>
        </w:rPr>
        <w:t xml:space="preserve">Il decimo pilastro censisce il quadro normativo e politico dei 55 giorni. Sul versante normativo, il governo rispose con la decretazione d'urgenza: il decreto-legge del 21 marzo 1978, convertito nelle settimane successive, ampliò i poteri di fermo e di perquisizione, introdusse la possibilità di interrogatorio urgente senza le garanzie ordinarie in casi di sequestro e autorizzò le intercettazioni preventive, disegnando la legislazione emergenziale che sarebbe rimasta, con gli sviluppi del 1979-1980, la cornice del decennio; il registro certifica al Livello A il provvedimento e i suoi contenuti, quale dato normativo. Sul versante politico, le posizioni dei partiti si distribuirono secondo la geometria documentata: la Democrazia Cristiana e il Partito comunista sostennero la linea della fermezza, il secondo con la rigidità maggiore, per la necessità, dichiarata dai suoi dirigenti, di certificare la propria affidabilità di Stato nel momento dell'ingresso in maggioranza; il Partito socialista assunse, dalla metà di aprile, la linea umanitaria censita nel pilastro dei canali; le forze minori si distribuirono tra i 2 poli; il registro certifica al Livello A la geometria, quale materia degli atti parlamentari e congressuali, e ne annota il portato strutturale: la fermezza fu la politica di una maggioranza reale, non di un apparato, e ogni ipotesi sul piano terzo che postuli una gestione contro la volontà politica deve misurarsi con il dato che la volontà politica documentata, maggioritaria e bipartisan, coincise con l'esito.</w:t>
      </w:r>
    </w:p>
    <w:p>
      <w:pPr>
        <w:spacing w:after="120" w:line="276"/>
        <w:jc w:val="both"/>
      </w:pPr>
      <w:r>
        <w:rPr>
          <w:rFonts w:ascii="Barlow Semi Condensed" w:cs="Barlow Semi Condensed" w:eastAsia="Barlow Semi Condensed" w:hAnsi="Barlow Semi Condensed"/>
          <w:sz w:val="24"/>
          <w:szCs w:val="24"/>
        </w:rPr>
        <w:t xml:space="preserve">L'undicesimo pilastro registra l'ultima interlocuzione diretta, la telefonata del 30 aprile 1978. Quel pomeriggio Mario Moretti chiamò l'abitazione di Moro e parlò a lungo con la moglie Eleonora: la conversazione, intercettata e registrata, è l'unico contatto vocale documentato tra il capo dell'operazione e la famiglia, e in essa Moretti, senza declinare la propria identità ma parlando quale portavoce dei carcerieri, rappresentò che soltanto un intervento immediato e pubblico della Democrazia Cristiana nel senso dello scambio avrebbe potuto salvare la vita del prigioniero, definendo esaurito ogni margine ulteriore; il registro certifica al Livello A l'esistenza, la data, la registrazione e il contenuto della telefonata, quale documento sonoro agli atti, e ne dichiara il rilievo duplice: essa è, sul piano primo, la prova diretta della gestione unipersonale della comunicazione da parte di Moretti sino alla soglia finale, e, sul piano della cronologia politica, essa fissa al 30 aprile la formulazione esplicita dell'alternativa che i 9 giorni successivi avrebbero sciolto nel senso certificato; il registro annota che la famiglia trasmise il contenuto ai vertici del partito, e che la sequenza documentata telefonata-comunicato finale-esecuzione-spiraglio fanfaniano compone il calendario terminale della crisi nella forma che il settimo pilastro ha fissato.</w:t>
      </w:r>
    </w:p>
    <w:p>
      <w:pPr>
        <w:spacing w:after="120" w:line="276"/>
        <w:jc w:val="both"/>
      </w:pPr>
      <w:r>
        <w:rPr>
          <w:rFonts w:ascii="Barlow Semi Condensed" w:cs="Barlow Semi Condensed" w:eastAsia="Barlow Semi Condensed" w:hAnsi="Barlow Semi Condensed"/>
          <w:sz w:val="24"/>
          <w:szCs w:val="24"/>
        </w:rPr>
        <w:t xml:space="preserve">Il dodicesimo pilastro censisce lo stato dell'apparato antiterrorismo alla vigilia, il dato istituzionale che governa la lettura dell'inefficienza. Nei mesi immediatamente precedenti il sequestro, nel quadro della riorganizzazione seguita alla riforma dei servizi del 1977, l'Ispettorato generale per la lotta al terrorismo diretto dal questore Emilio Santillo, la struttura specializzata che aveva condotto la stagione investigativa della metà del decennio, fu disciolto e il suo patrimonio di uomini, archivi e conoscenze disperso tra le nuove articolazioni, sicché il 16 marzo 1978 lo Stato affrontò la massima crisi terroristica della propria storia nell'esatto momento di minima capacità specialistica, con i nuclei antiterrorismo dell'Arma parimenti riassorbiti dal 1975 e i nuovi servizi operativi da poche settimane sotto i vertici che la fase ha censito; il registro certifica al Livello A lo scioglimento, la sua collocazione temporale e la dispersione delle competenze, quali dati ordinamentali documentati dagli atti parlamentari, e ne dichiara la funzione capitale nella competizione delle ipotesi: la sincronia tra lo smantellamento della capacità specialistica e l'attacco che quella capacità avrebbe dovuto fronteggiare è il fatto che la lettura dell'inefficienza strutturale pone a proprio fondamento, giacché documenta una causa sufficiente del fallimento delle ricerche interna all'ordinamento, e che la lettura del condizionamento rilegge quale predisposizione, al prezzo del divieto; il registro certifica la sincronia, quale fatto datato, e la consegna, con questa doppia valenza dichiarata, al piano delle ipotesi.</w:t>
      </w:r>
    </w:p>
    <w:p>
      <w:pPr>
        <w:spacing w:after="120" w:line="276"/>
        <w:jc w:val="both"/>
      </w:pPr>
      <w:r>
        <w:rPr>
          <w:rFonts w:ascii="Barlow Semi Condensed" w:cs="Barlow Semi Condensed" w:eastAsia="Barlow Semi Condensed" w:hAnsi="Barlow Semi Condensed"/>
          <w:sz w:val="24"/>
          <w:szCs w:val="24"/>
        </w:rPr>
        <w:t xml:space="preserve">Il tredicesimo pilastro distende il dettaglio di via Gradoli, la sequenza che il quinto pilastro ha censito nelle intestazioni e che qui riceve la sua meccanica. L'appartamento di via Gradoli 96, base operativa romana di Moretti e della Balzerani, condotto in locazione sotto il falso nome dell'ingegner Borghi, attraversò indenne le prime settimane delle ricerche: gli atti documentano che nei controlli a tappeto del condominio, nei giorni immediatamente successivi al sequestro, l'appartamento non fu aperto, non avendo gli operanti forzato l'uscio dinanzi al mancato riscontro, secondo la prassi allora seguita per le abitazioni senza elementi specifici; la scoperta giunse il 18 aprile per la via non investigativa che gli atti certificano, l'allagamento dell'appartamento sottostante provocato dal getto della doccia lasciato aperto contro una fessura della parete, l'intervento idraulico condominiale e l'apertura conseguente, che rivelò il covo abbandonato con armi, documenti e materiali; e la data della scoperta coincide, nel calendario certificato, con il giorno della diffusione del falso comunicato del lago della Duchessa. Il registro certifica al Livello A l'intera sequenza, la mancata apertura originaria, la meccanica idraulica della scoperta, il contenuto del covo e la coincidenza di calendario, quali dati di verbale; mantiene al Livello C ogni lettura unificante, dalla segnalazione occulta mascherata da guasto alla pura convergenza casuale, e annota che la giornata del 18 aprile 1978, con la compresenza certificata del più efficace depistaggio della crisi e della più anomala scoperta della crisi, è la finestra critica di massima densità dell'intero Pattern 3 della fase, il punto del calendario in cui il registro conta il maggior numero di fatti certificati non spiegati per unità di tempo.</w:t>
      </w:r>
    </w:p>
    <w:p>
      <w:pPr>
        <w:spacing w:after="120" w:line="276"/>
        <w:jc w:val="both"/>
      </w:pPr>
      <w:r>
        <w:rPr>
          <w:rFonts w:ascii="Barlow Semi Condensed" w:cs="Barlow Semi Condensed" w:eastAsia="Barlow Semi Condensed" w:hAnsi="Barlow Semi Condensed"/>
          <w:sz w:val="24"/>
          <w:szCs w:val="24"/>
        </w:rPr>
        <w:t xml:space="preserve">Il quattordicesimo pilastro censisce la condotta del sistema informativo, l'arco della fase verso il Dominio 8 nella sua dimensione strutturale. Durante i 55 giorni i quotidiani pubblicarono integralmente i comunicati dell'organizzazione e riprodussero le fotografie del prigioniero, trasformando ogni recapito in un evento informativo nazionale entro poche ore; il dibattito sull'opportunità di un contenimento informativo, il cosiddetto black-out, attraversò le redazioni e le sedi politiche senza mai tradursi in misure, e la crisi si svolse perciò in condizioni di amplificazione integrale, con l'organizzazione in grado di raggiungere l'intera opinione pubblica alla velocità della stampa; il registro certifica al Livello A la condotta del sistema e l'assenza di misure di contenimento, quali dati documentali della collezione giornalistica e degli atti, e ne trae la formalizzazione reticolare: nella struttura della crisi, il sistema informativo operò quale moltiplicatore involontario della strategia comunicativa dell'organizzazione, un ruolo funzionale certificato negli effetti e non nelle intenzioni, che si somma al monopolio iconografico censito nel capitolo dell'epilogo e completa il quadro del Dominio 8 nella fase: un dominio attraversato, nei 55 giorni, da 3 flussi distinti e certificati, l'amplificazione strutturale della stampa ordinaria, l'inquinamento mirato del falso comunicato e l'alimentazione riservata della testata censita nel capitolo ottavo, la compresenza dei quali in un unico teatro è, per il registro, il ritratto compiuto del sistema informativo italiano della stagione.</w:t>
      </w:r>
    </w:p>
    <w:p>
      <w:pPr>
        <w:spacing w:after="120" w:line="276"/>
        <w:jc w:val="both"/>
      </w:pPr>
      <w:r>
        <w:rPr>
          <w:rFonts w:ascii="Barlow Semi Condensed" w:cs="Barlow Semi Condensed" w:eastAsia="Barlow Semi Condensed" w:hAnsi="Barlow Semi Condensed"/>
          <w:sz w:val="24"/>
          <w:szCs w:val="24"/>
        </w:rPr>
        <w:t xml:space="preserve">Il quindicesimo pilastro censisce la questione dei verbali, l'ultima assenza documentale della gestione. Le Commissioni parlamentari hanno accertato che i comitati di crisi operanti al Viminale durante i 55 giorni, gli organismi nei quali sedettero i vertici degli apparati e i consulenti censiti, non produssero verbalizzazione sistematica delle proprie riunioni: delle sedute quotidiane della cabina della più grave crisi della storia repubblicana non esiste un corpus di verbali, ordini del giorno e decisioni tracciate, e la ricostruzione dell'attività dei comitati è dovuta procedere, nelle sedi parlamentari, per testimonianze postume dei partecipanti, spesso divergenti tra loro; il registro certifica al Livello A l'assenza di verbalizzazione sistematica, quale dato accertato dagli atti parlamentari, e la classifica con la precisione che la propria tassonomia consente: essa non appartiene alla serie dei 5 buchi strutturali del repertorio, che riguardano materiali esistiti e scomparsi o esistenti e inaccessibili, ma alla specie distinta della documentazione mai prodotta, l'assenza per omissione originaria e non per sottrazione successiva, che la Fase 3 ha già incontrato nelle prassi degli apparati e che qui raggiunge il vertice dell'ordinamento civile; e ne dichiara il portato analitico, che è severo per ogni lettura: per la lettura ordinaria, l'omessa verbalizzazione documenta l'improvvisazione amministrativa di un apparato senza dottrina della crisi, ed è essa stessa una spiegazione dell'inefficienza; per la lettura del condizionamento, essa è la condizione di possibilità di ogni condotta non tracciata, e il divieto inferenziale, che il registro ribadisce, vieta di derivarne alcunché oltre il fatto; per il metodo dell'opera, essa è la ragione per cui il piano secondo del caso Moro è destinato a restare, in parte, strutturalmente inaccertabile, giacché la storia di una gestione che non si è scritta può essere ricostruita soltanto per testimonianze, e le testimonianze, il registro lo ha documentato, divergono.</w:t>
      </w:r>
    </w:p>
    <w:p>
      <w:pPr>
        <w:spacing w:after="120" w:line="276"/>
        <w:jc w:val="both"/>
      </w:pPr>
      <w:r>
        <w:rPr>
          <w:rFonts w:ascii="Barlow Semi Condensed" w:cs="Barlow Semi Condensed" w:eastAsia="Barlow Semi Condensed" w:hAnsi="Barlow Semi Condensed"/>
          <w:sz w:val="24"/>
          <w:szCs w:val="24"/>
        </w:rPr>
        <w:t xml:space="preserve">Il sedicesimo pilastro censisce gli esiti amministrativi e disciplinari della gestione, il dato in negativo che chiude il capitolo. All'esito del fallimento certificato, il più grave della storia dell'ordine pubblico repubblicano, l'ordinamento non produsse alcuna sanzione: nessun dirigente degli apparati di sicurezza fu rimosso, sospeso o sottoposto a procedimento disciplinare per le condotte dei 55 giorni, nessuna inchiesta amministrativa interna approdò a rilievi individuali, e le carriere dei responsabili della gestione proseguirono nei percorsi ordinari, in taluni casi con avanzamenti, sino agli approdi che le vicende successive, dallo scandalo della loggia in poi, avrebbero autonomamente determinato; l'unico atto di responsabilità dell'intera vicenda restò quello politico e volontario, le dimissioni del ministro dell'interno la mattina del 9 maggio. Il registro certifica al Livello A l'assenza di sanzioni e di rilievi disciplinari, quale fatto amministrativo documentato dagli atti parlamentari che invano lo censirono, e ne dichiara il valore di reperto strutturale: la mancata attivazione di qualsiasi circuito di responsabilità amministrativa dopo il massimo fallimento operativo dello Stato è un dato che il registro trascrive senza inferenze e che ciascuna lettura del piano secondo incorpora nel proprio senso, l'inefficienza strutturale leggendovi la conferma dell'assenza di una cultura della responsabilità negli apparati dell'epoca, il condizionamento leggendovi la protezione degli esecutori di una gestione voluta; il registro annota che il dato, quale che ne sia la lettura, produsse una conseguenza certificata sulla storia successiva, la permanenza ai vertici, sino allo scandalo del 1981, degli uomini della gestione, sicché la stagione che va dal caso Moro alla scoperta degli elenchi di Castiglion Fibocchi fu amministrata, negli apparati, dalla medesima classe dirigente che il caso aveva visto all'opera, una continuità che la Fase 2 ha documentato dal proprio versante e che la fase qui certifica dal proprio.</w:t>
      </w:r>
    </w:p>
    <w:p>
      <w:pPr>
        <w:spacing w:after="120" w:line="276"/>
        <w:jc w:val="both"/>
      </w:pPr>
      <w:r>
        <w:rPr>
          <w:rFonts w:ascii="Barlow Semi Condensed" w:cs="Barlow Semi Condensed" w:eastAsia="Barlow Semi Condensed" w:hAnsi="Barlow Semi Condensed"/>
          <w:sz w:val="24"/>
          <w:szCs w:val="24"/>
        </w:rPr>
        <w:t xml:space="preserve">Il diciassettesimo pilastro censisce il canale telefonico dell'organizzazione, l'ultimo versante tecnico della gestione. I comunicati furono recapitati per l'intera crisi con la tecnica documentata delle telefonate brevissime alle redazioni dei quotidiani, che annunciavano il luogo del deposito, cabine pubbliche e cestini della città, con conversazioni di durata calcolatamente inferiore ai tempi tecnici di localizzazione dell'epoca; il sistema funzionò senza fallo per 9 comunicati e sino alla telefonata finale del 9 maggio, e nessuna delle chiamate fu mai tracciata in tempo utile né ricondotta a un'utenza identificata, con la sola eccezione documentale della telefonata del 30 aprile alla famiglia, registrata in entrata sull'utenza sorvegliata di via del Forte Trionfale ma parimenti non localizzata in partenza; il registro certifica al Livello A la tecnica, la sua costanza e il suo integrale successo, quali dati degli atti, e ne trae la doppia annotazione che il metodo impone. Sul piano del soggetto, la disciplina telefonica dell'organizzazione, mai una chiamata di troppo, mai un secondo di troppo, appartiene alla serie delle competenze di sicurezza che la fase ha censito, la compartimentazione, le intestazioni pulite, l'immobilità del prigioniero, e compone il ritratto tecnico di un avversario che non commise, in 55 giorni, un solo errore di comunicazione. Sul piano dello Stato, il fallimento integrale del tracciamento documenta il divario tecnologico e organizzativo dell'apparato del 1978, privo delle capacità di intercettazione dinamica che la stagione successiva avrebbe costruito, e la circostanza che la prima e unica registrazione utile sia venuta dalla sorveglianza statica dell'utenza familiare, non dalla ricerca attiva del chiamante, è la misura esatta di quel divario; il registro salda i 2 piani nel dato unico che essi compongono, l'asimmetria tecnica integrale tra le 2 parti della crisi, e lo consegna quale ulteriore fondamento documentato della spiegazione ordinaria del fallimento delle ricerche.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comitati di crisi-vertici dei servizi-loggia P2, è il triangolo della compresenza, certificato al Livello A con divieto inferenziale dichiarato. La seconda, Gradoli-lago della Duchessa-Chichiarelli, è il triangolo delle anomalie e del depistaggio, certificato al Livello A nei fatti, al Livello B nell'attribuzione del falso, al Livello C nella direzione. La terza, fermezza-canali non ufficiali-sondaggi verso la criminalità, è il triangolo della condotta duale, certificato al Livello A e al Livello B secondo i rami. Sul piano dei pattern, il nodo attiva il Pattern 8 nella sua forma istituzionale, la crisi quale evento che rese porosi i confini tra i domini, con lo Stato che si rivolge alla criminalità e la loggia dentro i comitati; e il Pattern 5, giacché il fallimento integrale di ricerche di quella scala è, esso stesso, il buco strutturale del piano secondo, un'assenza che il registro certifica quale fatto e consegna, quanto alla spiegazione, alla competizione tra le ipotesi, l'efficienza della compartimentazione brigatista contro ogni lettura ulteriore, che il metodo mantiene aperta.</w:t>
      </w:r>
    </w:p>
    <w:p>
      <w:pPr>
        <w:spacing w:after="120" w:line="276"/>
        <w:jc w:val="both"/>
      </w:pPr>
      <w:r>
        <w:rPr>
          <w:rFonts w:ascii="Barlow Semi Condensed" w:cs="Barlow Semi Condensed" w:eastAsia="Barlow Semi Condensed" w:hAnsi="Barlow Semi Condensed"/>
          <w:sz w:val="24"/>
          <w:szCs w:val="24"/>
        </w:rPr>
        <w:t xml:space="preserve">Tra le anomalie della caccia il registro deve censire, con la disciplina che il suo statuto impone alle fonti aberranti, l'episodio del 2 aprile 1978: la seduta spiritica tenutasi in una casa di campagna del Bolognese, alla presenza di un gruppo di docenti universitari, nel corso della quale, secondo le testimonianze poi rese anche in sede parlamentare, il piattino compose tra gli altri il nome Gradoli; la segnalazione, trasmessa per canali accademici ed istituzionali, orientò una perquisizione nel comune di Gradoli, nel Viterbese, condotta il 6 aprile con esito negativo, mentre la via Gradoli di Roma, dove l'appartamento brigatista era operativo, rimase estranea a quella verifica sino alla scoperta del 18 aprile per la via idraulica che il capitolo ha certificato, Livello A quanto alla materialità dell'episodio, delle testimonianze e della perquisizione, Livello C quale valore conoscitivo della fonte medianica in sé, che il registro esclude per statuto. L'episodio vale, nella contabilità del nodo, quale reperto doppio: sulla qualità del setaccio, che processò una segnalazione paranormale con maggior sollecitudine di quanta ne ricevettero convergenze ordinarie agli atti, e sulla sociologia della disperazione istituzionale, che nella terza settimana del sequestro accoglieva ogni voce. Il registro, che non pratica l'ironia, si limita a fissare la geometria: tra il tavolino e il tubo dell'acqua, i 2 canali che condussero il nome e il luogo, non figura, negli atti, il canale che avrebbe dovuto, l'investigazione ordinaria, ed è questa assenza, non la stranezza degli altri 2, il dato che la fase consegna.</w:t>
      </w:r>
    </w:p>
    <w:p>
      <w:pPr>
        <w:spacing w:after="120" w:line="276"/>
        <w:jc w:val="both"/>
      </w:pPr>
      <w:r>
        <w:rPr>
          <w:rFonts w:ascii="Barlow Semi Condensed" w:cs="Barlow Semi Condensed" w:eastAsia="Barlow Semi Condensed" w:hAnsi="Barlow Semi Condensed"/>
          <w:sz w:val="24"/>
          <w:szCs w:val="24"/>
        </w:rPr>
        <w:t xml:space="preserve">Al perimetro dei comitati appartiene infine la componente consulenziale esterna, che il registro censisce nella sua materialità documentata: nelle prime settimane operò a Roma, su richiesta del Ministero dell'interno, un esperto di gestione delle crisi e di guerra psicologica proveniente dal Dipartimento di Stato americano, Steve Pieczenik, la cui presenza nei circuiti della gestione è attestata dagli atti e dalle ricostruzioni parlamentari, e la cui consulenza si interruppe prima dell'epilogo, Livello A quanto alla presenza ed alla sua finestra temporale. Le narrazioni che il consulente avrebbe consegnato a distanza di decenni, in interviste e memorie, circa gli orientamenti maturati nei comitati, appartengono al genere della fonte tardiva di parte e restano al Livello C, prive di riscontro documentale autonomo: il registro le censisce per completezza e le sigilla, annotando il paradosso ormai familiare, l'esperto di guerra psicologica divenuto, a babbo morto, il narratore più citato della guerra psicologica altrui. Quanto al fronte politico interno, il quadro della fermezza già certificato va integrato con la sua eccezione organizzata: il Partito socialista assunse, dalla metà di aprile, una linea di iniziativa umanitaria esplorando canali verso l'area dell'autonomia e della dissidenza brigatista, per sondare uno scambio limitato che non ebbe esito, Livello A quanto all'iniziativa politica dichiarata e documentata, Livello B quanto alla consistenza operativa dei singoli canali, e questa asimmetria tra i 2 maggiori azionisti della solidarietà nazionale, la fermezza democristiano-comunista e l'esplorazione socialista, appartiene alla mappa politica dei 55 giorni quale suo terzo lato, meno illuminato e non meno documentato.</w:t>
      </w:r>
    </w:p>
    <w:p>
      <w:pPr>
        <w:spacing w:after="120" w:line="276"/>
        <w:jc w:val="both"/>
      </w:pPr>
      <w:r>
        <w:rPr>
          <w:rFonts w:ascii="Barlow Semi Condensed" w:cs="Barlow Semi Condensed" w:eastAsia="Barlow Semi Condensed" w:hAnsi="Barlow Semi Condensed"/>
          <w:sz w:val="24"/>
          <w:szCs w:val="24"/>
        </w:rPr>
        <w:t xml:space="preserve">La caccia va infine misurata nei suoi ordini di grandezza, che gli atti parlamentari consegnano e che il registro riporta quale reperto sulla forma dello sforzo: nei 55 giorni furono eseguiti, secondo le rendicontazioni acquisite dalla prima Commissione, decine di migliaia di posti di blocco, nell'ordine delle 70.000 unità, e decine di migliaia di perquisizioni domiciliari, nell'ordine delle 37.000, con l'impiego cumulato di centinaia di migliaia di uomini delle forze dell'ordine e dell'esercito nel più imponente dispositivo di ricerca della storia repubblicana, Livello A quanto agli ordini di grandezza rendicontati. Il registro giustappone al volume l'esito, che è il dato analitico: il dispositivo non individuò la prigione, non intercettò un solo trasferimento, non produsse un solo arresto risolutivo, e la sproporzione tra la massa dello sforzo e la nullità del risultato costituisce, nella lettura del piano secondo, un reperto a doppia faccia, leggibile tanto quale misura dell'efficienza della compartimentazione brigatista quanto quale sintomo di una macchina che setacciava in estensione ciò che andava cercato in profondità. La scelta tra le 2 letture, o la loro composizione, non appartiene al registro, che si limita a fissare il teorema quantitativo: 55 giorni, 70.000 sbarramenti, nessun varco, e la prigione a 4 chilometri dal luogo dell'agguato, dentro il perimetro che ogni cerchio concentrico della caccia aveva, per costruzione, già attraversato.</w:t>
      </w:r>
    </w:p>
    <w:p>
      <w:pPr>
        <w:spacing w:after="120" w:line="276"/>
        <w:jc w:val="both"/>
      </w:pPr>
      <w:r>
        <w:rPr>
          <w:rFonts w:ascii="Barlow Semi Condensed" w:cs="Barlow Semi Condensed" w:eastAsia="Barlow Semi Condensed" w:hAnsi="Barlow Semi Condensed"/>
          <w:sz w:val="24"/>
          <w:szCs w:val="24"/>
        </w:rPr>
        <w:t xml:space="preserve">Ai fronti censiti il registro aggiunge quello intellettuale, che appartiene al Dominio 8 e che i 55 giorni videro schierarsi con una nettezza senza precedenti: il dibattito pubblico sulla linea da tenere attraversò i giornali e le firme maggiori del Paese, contrapponendo gli argomenti della fermezza, sostenuti dalla gran parte della stampa d'opinione quale difesa dello Stato democratico, alle voci che sollevarono la questione del primato della vita, e la vicenda produsse, già nell'anno stesso, una letteratura di riflessione il cui esemplare capitale resta il saggio che Leonardo Sciascia dedicò all'affaire, lettura filologica delle lettere e requisitoria contro la rimozione in atto, Livello A quanto all'esistenza ed alla fisionomia del dibattito coevo, Livello C quanto alle singole ricostruzioni saggistiche in esso prodotte, che il registro censisce quali fonti interpretative e non documentali. Il reperto ha per la fase un valore preciso: i 55 giorni furono anche il primo grande caso italiano in cui la linea di condotta dello Stato si formò in diretta sotto osservazione mediatica totale, e la compattezza del fronte giornalistico della fermezza, misurabile nelle collezioni dei quotidiani, costituisce un dato di sistema del Dominio 8 che il piano secondo registra accanto agli altri: non quale prova di direzione occulta, che nessun accertamento ha consacrato, ma quale condizione ambientale documentata entro cui ogni decisione dei comitati venne assunta, il clima che non ordina e tuttavia orienta, la cornice che non è mai imputabile e non è mai neutra.</w:t>
      </w:r>
    </w:p>
    <w:p>
      <w:pPr>
        <w:spacing w:after="120" w:line="276"/>
        <w:jc w:val="both"/>
      </w:pPr>
      <w:r>
        <w:rPr>
          <w:rFonts w:ascii="Barlow Semi Condensed" w:cs="Barlow Semi Condensed" w:eastAsia="Barlow Semi Condensed" w:hAnsi="Barlow Semi Condensed"/>
          <w:sz w:val="24"/>
          <w:szCs w:val="24"/>
        </w:rPr>
        <w:t xml:space="preserve">La voce pubblica dell'organizzazione nei 55 giorni fu la serie dei comunicati, che il registro scandisce quale corpus unitario nella sua architettura a 3 movimenti, Livello A quanto a date, recapiti e contenuti documentali dell'intera serie. Il primo movimento è quello del processo: il comunicato numero 1, diffuso il 18 marzo con la prima fotografia del prigioniero sotto l'insegna dell'organizzazione, rivendicò l'operazione ed annunciò il processo politico al presidente democristiano dinanzi al tribunale del popolo; i comunicati numero 2 del 25 marzo e numero 3 del 29 marzo, quest'ultimo accompagnato dalla prima lettera a Cossiga, svilupparono la requisitoria contro il regime democristiano dichiarando che l'interrogatorio procedeva; il numero 4 del 4 aprile ed il numero 5 del 10 aprile proseguirono la narrazione processuale respingendo le letture della stampa sul prigioniero condizionato; il numero 6 del 15 aprile chiuse il movimento annunciando che il processo era concluso e che Aldo Moro era stato condannato a morte. Il secondo movimento è quello della verifica, aperto dal diversivo del 18 aprile che il capitolo ha già certificato nella sua falsità e chiuso dal comunicato numero 7 autentico del 20 aprile, con la seconda fotografia ed il quotidiano del giorno precedente quale prova di vita, e con l'ultimatum delle 48 ore che trasformò la condanna annunciata in negoziato a termine. Il terzo movimento è quello dello scambio negato: il comunicato numero 8 del 24 aprile formalizzò la richiesta, la liberazione di 13 detenuti indicati nominativamente, ponendo lo Stato dinanzi alla scelta binaria che la linea della fermezza aveva già sciolto in anticipo, ed il comunicato numero 9 del 5 maggio dichiarò conclusa la battaglia iniziata il 16 marzo annunciando l'esecuzione della sentenza, cui i 4 giorni successivi diedero adempimento.</w:t>
      </w:r>
    </w:p>
    <w:p>
      <w:pPr>
        <w:spacing w:after="120" w:line="276"/>
        <w:jc w:val="both"/>
      </w:pPr>
      <w:r>
        <w:rPr>
          <w:rFonts w:ascii="Barlow Semi Condensed" w:cs="Barlow Semi Condensed" w:eastAsia="Barlow Semi Condensed" w:hAnsi="Barlow Semi Condensed"/>
          <w:sz w:val="24"/>
          <w:szCs w:val="24"/>
        </w:rPr>
        <w:t xml:space="preserve">Il registro consegna la serie alla sua lettura strutturale, che la scansione rende possibile: i 9 comunicati non furono un bollettino ma una drammaturgia, costruita sulla forma-processo con la sua sequenza canonica, istruttoria, requisitoria, sentenza, esecuzione, ed il calco della liturgia giudiziaria dello Stato, rovesciata in tribunale del popolo, costituisce il reperto semiotico maggiore della campagna: l'organizzazione che negava la legittimità dello Stato ne mimava, per legittimarsi, esattamente le forme. Dentro questa architettura, la funzione di ciascun movimento è leggibile a posteriori con nettezza documentale: il primo costruì il tempo, dilatando in un mese la finzione istruttoria per capitalizzare l'attesa; il secondo verificò il mercato, saggiando con il diversivo e con l'ultimatum la disponibilità reale della controparte; il terzo chiuse i conti, scaricando sulla controparte immobile la responsabilità formale dell'esito. Che questa macchina retorica perfettamente coerente non abbia prodotto il risultato politico perseguito, il riconoscimento, lo scambio, la spaccatura del fronte, è il paradosso terminale che il registro annota: la campagna di comunicazione più studiata della storia del terrorismo europeo vinse tutte le proprie battaglie formali e perse la guerra, e l'organizzazione uscì dai 55 giorni militarmente intatta e politicamente avviata alla sconfitta che i capitoli della repressione successiva certificano.</w:t>
      </w:r>
    </w:p>
    <w:p>
      <w:pPr>
        <w:spacing w:after="120" w:line="276"/>
        <w:jc w:val="both"/>
      </w:pPr>
      <w:r>
        <w:rPr>
          <w:rFonts w:ascii="Barlow Semi Condensed" w:cs="Barlow Semi Condensed" w:eastAsia="Barlow Semi Condensed" w:hAnsi="Barlow Semi Condensed"/>
          <w:sz w:val="24"/>
          <w:szCs w:val="24"/>
        </w:rPr>
        <w:t xml:space="preserve">Il setaccio va infine misurato anche nella sua età istituzionale, che il registro certifica quale condizione strutturale della caccia: gli apparati informativi che affrontarono il sequestro erano, alla lettera, neonati, riformati dalla legge del 24 ottobre 1977 numero 801 che aveva soppresso il SID sostituendolo con i 2 nuovi servizi, militare e civile, sotto il coordinamento del comitato esecutivo, con i vertici insediati nel gennaio 1978 nelle persone che la Fase 2 ha censito, mentre sul versante della polizia l'ufficio centrale per le investigazioni generali e le operazioni speciali era stato istituito nelle medesime settimane, sicché l'intera architettura della sicurezza interna contava, al 16 marzo, poche settimane o pochi mesi di vita operativa, Livello A quanto alla cronologia istituzionale. Il registro consegna il dato alla sua doppia lettura, entrambe compatibili con i fatti e nessuna certificabile quale spiegazione esclusiva: la lettura funzionale, per cui la macchina fallì anche perché era in rodaggio, con gli archivi in trasloco, le competenze in ridefinizione e le catene di comando non collaudate, e la lettura strutturale, che la Fase 2 ha documentato, per cui il rodaggio avveniva sotto vertici la cui appartenenza alla loggia coperta è certificata, sicché l'inefficienza e l'inquinamento coabitarono nella medesima stagione senza che gli accertamenti abbiano mai separato, con forza di giudicato, il contributo dell'una da quello dell'altro. La finestra critica 1978-1981, che l'analisi temporale dell'opera ha isolato, trova qui la sua descrizione istituzionale compiuta: il sequestro cadde nell'esatto minimo storico di maturità del sistema informativo repubblicano, e questa coincidenza tra la massima prova e la minima preparazione resta, nel piano secondo, un fatto certificato in attesa di una spiegazione che lo sia altrettanto.</w:t>
      </w:r>
    </w:p>
    <w:p>
      <w:pPr>
        <w:spacing w:after="120" w:line="276"/>
        <w:jc w:val="both"/>
      </w:pPr>
      <w:r>
        <w:rPr>
          <w:rFonts w:ascii="Barlow Semi Condensed" w:cs="Barlow Semi Condensed" w:eastAsia="Barlow Semi Condensed" w:hAnsi="Barlow Semi Condensed"/>
          <w:sz w:val="24"/>
          <w:szCs w:val="24"/>
        </w:rPr>
        <w:t xml:space="preserve">Al patrimonio tecnico dei covi appartiene infine il reperto dattiloscopico irrisolto, che il registro censisce nel suo doppio strato: i rilievi eseguiti negli appartamenti della logistica romana, da via Gradoli a via Montalcini, consegnarono agli atti un numero cospicuo di frammenti di impronte, dei quali una parte fu attribuita nei decenni ai militanti identificati mentre una quota residua rimase priva di attribuzione, e la Commissione della XVII legislatura dispose la ricomparazione integrale del materiale con le banche dati e le tecnologie sopravvenute, ottenendo alcune attribuzioni tardive a militanti già noti dell'organizzazione ed ereditando, per il resto, un residuo non identificato che gli atti registrano quale tale, Livello A quanto ai rilievi ed alle ricomparazioni, Livello B quanto ai singoli esiti attributivi della stagione recente. Il registro assegna al residuo lo statuto che il metodo impone: la traccia non attribuita è un fatto certificato privo di significato certificato, compatibile tanto con presenze estranee mai identificate quanto con la fisiologia di ogni rilievo dattiloscopico, che raccoglie inevitabilmente frammenti di terzi irrilevanti, e la scelta tra le 2 letture non appartiene al registro ma alla futura eventualità di una comparazione risolutiva. Sino ad allora, il residuo resta nella categoria che il piano secondo ha istituito per i suoi simili: materia aperta, né prova né nulla, l'inventario di ciò che i covi hanno detto senza che nessuno, per ora, sappia tradurlo.</w:t>
      </w:r>
    </w:p>
    <w:p>
      <w:pPr>
        <w:spacing w:after="120" w:line="276"/>
        <w:jc w:val="both"/>
      </w:pPr>
      <w:r>
        <w:rPr>
          <w:rFonts w:ascii="Barlow Semi Condensed" w:cs="Barlow Semi Condensed" w:eastAsia="Barlow Semi Condensed" w:hAnsi="Barlow Semi Condensed"/>
          <w:sz w:val="24"/>
          <w:szCs w:val="24"/>
        </w:rPr>
        <w:t xml:space="preserve">Alla contabilità della caccia appartiene infine il suo vuoto tecnologico, che il registro censisce quale reperto sulla forma della clandestinità matura: l'imponente dispositivo di intercettazione attivato nei 55 giorni sulle utenze della famiglia, dei collaboratori, degli ambienti politici e dell'area radicale non raggiunse mai l'organizzazione, che condusse l'intera operazione in silenzio elettronico, affidando le comunicazioni operative ai contatti fisici ed ai recapiti e riservando il telefono alle sole irruzioni comunicative unilaterali, le chiamate di annuncio dei comunicati e le telefonate alla famiglia che i capitoli censiscono, effettuate da apparecchi pubblici e concluse prima di ogni possibilità di localizzazione, Livello A quanto al quadro complessivo risultante dagli atti. Il registro fissa l'asimmetria che ne discende: lo Stato ascoltò per 55 giorni la superficie legale del Paese e l'organizzazione non vi transitò mai, sicché il più vasto sforzo di sorveglianza elettronica sino ad allora dispiegato produsse, quale unico raccolto, la voce dell'avversario nei soli momenti in cui l'avversario scelse di farsi ascoltare. La lezione tecnica appartiene alla storia delle clandestinità: la compartimentazione brigatista fu anche, e forse soprattutto, disciplina delle comunicazioni, e la sua tenuta documenta che nel 1978 la superiorità tecnologica dello Stato era interamente neutralizzabile dalla semplice astensione dall'uso del mezzo, un teorema che le stagioni investigative successive avrebbero rovesciato solo quando la tecnologia divenne ambiente anziché strumento, e del quale i 55 giorni restano la dimostrazione storica più pulita.</w:t>
      </w:r>
    </w:p>
    <w:p>
      <w:pPr>
        <w:spacing w:after="120" w:line="276"/>
        <w:jc w:val="both"/>
      </w:pPr>
      <w:r>
        <w:rPr>
          <w:rFonts w:ascii="Barlow Semi Condensed" w:cs="Barlow Semi Condensed" w:eastAsia="Barlow Semi Condensed" w:hAnsi="Barlow Semi Condensed"/>
          <w:sz w:val="24"/>
          <w:szCs w:val="24"/>
        </w:rPr>
        <w:t xml:space="preserve">Il precedente europeo che il registro ha evocato esige la sua scansione, perché la linea della fermezza italiana ebbe un modello dichiarato e recentissimo: 5 mesi prima di via Fani, il 5 settembre 1977, la Rote Armee Fraktion aveva sequestrato a Colonia il presidente degli industriali tedeschi Hanns Martin Schleyer, massacrandone la scorta con una meccanica che l'agguato romano avrebbe replicato, e la Repubblica federale di Helmut Schmidt aveva tenuto per 43 giorni la linea del rifiuto integrale dello scambio, sino all'epilogo concentrato nelle 48 ore del 17 e 18 ottobre, il blitz di Mogadiscio che liberò l'aereo dirottato a sostegno del ricatto, la morte nella notte dei capi storici detenuti nel carcere di Stammheim e il ritrovamento del corpo di Schleyer nel bagagliaio di un'auto oltre confine, Livello A sull'intera sequenza storica. Il registro fissa la funzione del precedente per entrambi i contendenti del 1978: per lo Stato italiano, il caso tedesco fu il modello invocato della fermezza vittoriosa, il precedente che dimostrava la sostenibilità del rifiuto; per l'organizzazione, fu il repertorio operativo e simbolico dichiarato, sino alla citazione materiale dell'epilogo, il corpo nel bagagliaio, che via Caetani avrebbe replicato con l'esattezza che la fase ha censito. Che i 2 avversari italiani abbiano attinto al medesimo precedente straniero, l'uno la dottrina e l'altro la liturgia, è il reperto comparativo che il capitolo consegna: il 1978 italiano fu combattuto, da entrambe le parti, con il manuale tedesco del 1977 aperto sul tavolo, e la differenza degli esiti, l'ostaggio tedesco morto dopo il fallimento del ricatto e quello italiano giustiziato senza che il ricatto avesse mai avuto un prezzo accettabile, misura la differenza non delle dottrine, identiche, ma dei rapporti di forza e delle poste, che a Roma erano, per l'organizzazione, politiche prima che carcerarie.</w:t>
      </w:r>
    </w:p>
    <w:p>
      <w:pPr>
        <w:spacing w:after="120" w:line="276"/>
        <w:jc w:val="both"/>
      </w:pPr>
      <w:r>
        <w:rPr>
          <w:rFonts w:ascii="Barlow Semi Condensed" w:cs="Barlow Semi Condensed" w:eastAsia="Barlow Semi Condensed" w:hAnsi="Barlow Semi Condensed"/>
          <w:sz w:val="24"/>
          <w:szCs w:val="24"/>
        </w:rPr>
        <w:t xml:space="preserve">Alla toponomastica del covo di via Gradoli appartiene il dettaglio anagrafico che il registro annota quale reperto sulla qualità della clandestinità: l'appartamento era condotto in locazione dall'inquilino che si presentava quale ingegner Altobelli, l'identità di copertura sotto la quale viveva il capo della colonna romana censito in questo capitolo, con tanto di targhetta e di normalità condominiale protratta per anni nel cuore del quartiere, Livello A quanto alla circostanza accertata. Il micro-reperto vale per ciò che misura: la copertura non era un documento falso ma una biografia funzionante, un professionista inesistente che pagava l'affitto, salutava e durava, e la sua tenuta sino all'allagamento fortuito censito dimostra che la clandestinità matura dell'organizzazione non si nascondeva sotto la superficie della città legale, la abitava con documenti in regola, sicché la caccia dei 55 giorni non cercava fantasmi nei sotterranei ma ingegneri sul citofono, ed è questa, in ultima analisi, la ragione strutturale per cui il rastrellamento quantitativo censito dal capitolo, con le sue decine di migliaia di controlli, poteva passare accanto alla prigione senza vederla: il dispositivo contava le anomalie, e l'organizzazione aveva smesso da anni di produrne.</w:t>
      </w:r>
    </w:p>
    <w:p>
      <w:pPr>
        <w:spacing w:after="120" w:line="276"/>
        <w:jc w:val="both"/>
      </w:pPr>
      <w:r>
        <w:rPr>
          <w:rFonts w:ascii="Barlow Semi Condensed" w:cs="Barlow Semi Condensed" w:eastAsia="Barlow Semi Condensed" w:hAnsi="Barlow Semi Condensed"/>
          <w:sz w:val="24"/>
          <w:szCs w:val="24"/>
        </w:rPr>
        <w:t xml:space="preserve">Il diversivo del 18 aprile possiede infine il suo autore materiale indiziato, che il registro censisce con lo statuto esatto: le acquisizioni investigative degli anni successivi attribuirono la confezione del falso comunicato al falsario romano Toni Chicchiarelli, figura dell'orbita della banda della Magliana dotata di documentata perizia nella contraffazione, indicazione consolidata in sede istruttoria ma mai tradotta in giudicato, poiché Chicchiarelli fu assassinato nel 1984 in un agguato rimasto anch'esso senza colpevoli definitivi, Livello B quanto all'attribuzione istruttoria della paternità materiale, Livello A quanto alla morte violenta del falsario. La catena che ne risulta è essa stessa il reperto: il documento che deviò per un giorno la più grande caccia all'uomo della storia repubblicana sarebbe uscito dalle mani di un professionista della malavita romana, ed il professionista fu eliminato prima che alcuna aula potesse domandargli su commissione di chi avesse lavorato, sicché la domanda decisiva del diversivo, non chi lo scrisse ma chi lo volle, resta al Livello C tra le ipotesi concorrenti che il capitolo ha censito, con l'aggravante documentale che la fase prima dell'opera conosce bene: anche qui, come nei crocevia finanziari, il corpus registra la morte violenta e tempestiva del solo uomo che avrebbe potuto trasformare un'attribuzione tecnica in una catena di mandato, e la ricorrenza di questo schema, il teste intermedio che muore prima della domanda, è ormai, alla quarta occorrenza nell'opera, un pattern censito e non più una coincidenza da annotare.</w:t>
      </w:r>
    </w:p>
    <w:p>
      <w:pPr>
        <w:spacing w:after="120" w:line="276"/>
        <w:jc w:val="both"/>
      </w:pPr>
      <w:r>
        <w:rPr>
          <w:rFonts w:ascii="Barlow Semi Condensed" w:cs="Barlow Semi Condensed" w:eastAsia="Barlow Semi Condensed" w:hAnsi="Barlow Semi Condensed"/>
          <w:sz w:val="24"/>
          <w:szCs w:val="24"/>
        </w:rPr>
        <w:t xml:space="preserve">La toponomastica della caccia consegna infine la sua beffa documentata, che il registro riporta quale emblema operativo dei 55 giorni: nei primi giorni di aprile, sull'onda delle indicazioni censite, le forze dell'ordine perquisirono casa per casa il comune di Gradoli, nel viterbese, senza esito, mentre il covo attivo si trovava in via Gradoli, nel quartiere romano della Cassia, dove sarebbe emerso solo il 18 aprile per l'allagamento fortuito già censito, Livello A quanto ad entrambe le operazioni ed alle loro date. Il registro consegna l'episodio alla sua doppia lettura disciplinata: sul piano operativo, la scelta di battere il paese anziché lo stradario della capitale documenta il grado di disorientamento dell'apparato, che di fronte ad un toponimo cercò il municipio e non la via; sul piano epistemologico, l'episodio è il caso di scuola della fonte ambigua che il metodo dell'opera tratta nel Pattern 6, poiché l'indicazione si rivelò retrospettivamente esatta nella lettera e sbagliata nella ricerca, ed il registro annota, senza sciogliere, che un'informazione corretta cercata nel posto sbagliato è indistinguibile, negli effetti, da un'informazione falsa, con la conseguenza che la domanda vera del caso Gradoli non è mai stata dove fosse il covo, ma chi sapesse che cosa quando lo si cercava dove non era.</w:t>
      </w:r>
    </w:p>
    <w:p>
      <w:pPr>
        <w:spacing w:after="120" w:line="276"/>
        <w:jc w:val="both"/>
      </w:pPr>
      <w:r>
        <w:rPr>
          <w:rFonts w:ascii="Barlow Semi Condensed" w:cs="Barlow Semi Condensed" w:eastAsia="Barlow Semi Condensed" w:hAnsi="Barlow Semi Condensed"/>
          <w:sz w:val="24"/>
          <w:szCs w:val="24"/>
        </w:rPr>
        <w:t xml:space="preserve">Il fascicolo di via Gradoli contiene infine l'episodio che precede la beffa toponomastica e la aggrava, censito dagli accertamenti parlamentari: il 18 marzo, a 2 giorni dall'agguato, una pattuglia si presentò proprio allo stabile di via Gradoli 96, nel quadro dei controlli a tappeto, bussò all'appartamento della copertura censita senza ottenere risposta e si allontanò senza ulteriori verifiche, con l'esito che il covo operativo della colonna romana superò indenne, alla porta, il contatto fisico con lo Stato nel secondo giorno della caccia, Livello A quanto all'episodio accertato dalle commissioni. Il registro allinea la sequenza completa che il fascicolo consegna: la pattuglia alla porta il 18 marzo, la perquisizione del paese omonimo nel viterbese ai primi di aprile, l'emersione per allagamento il 18 aprile, 3 atti di una stessa drammaturgia in cui il luogo decisivo fu toccato, nominato e mancato per 33 giorni, e la disciplina dell'opera impone di consegnare la serie alla sua doppia lettura senza scioglierla: la spiegazione ordinaria, il difetto di procedura di un apparato saturo che bussava a migliaia di porte, resta pienamente capiente, e la spiegazione straordinaria, che attorno a quell'indirizzo la cecità fosse assistita, resta al Livello C delle ipotesi mai certificate, con l'annotazione di metodo che il caso Gradoli insegna all'intero corpus: quando un sistema manca 3 volte lo stesso bersaglio con 3 strumenti diversi, la statistica smette di essere un argomento sufficiente per entrambe le parti, per chi accusa e per chi assolve.</w:t>
      </w:r>
    </w:p>
    <w:p>
      <w:pPr>
        <w:spacing w:after="120" w:line="276"/>
        <w:jc w:val="both"/>
      </w:pPr>
      <w:r>
        <w:rPr>
          <w:rFonts w:ascii="Barlow Semi Condensed" w:cs="Barlow Semi Condensed" w:eastAsia="Barlow Semi Condensed" w:hAnsi="Barlow Semi Condensed"/>
          <w:sz w:val="24"/>
          <w:szCs w:val="24"/>
        </w:rPr>
        <w:t xml:space="preserve">La giornata del diversivo ebbe la sua iconografia, che il registro censisce quale reperto mediatico autonomo: il 18 aprile il lago della Duchessa, specchio d'alta quota ancora parzialmente gelato sull'Appennino reatino, fu raggiunto da elicotteri, squadre di soccorso e sommozzatori che ne perlustrarono le acque alla ricerca del corpo annunciato dal falso comunicato, sotto gli obiettivi della stampa convocata dall'evidenza stessa dell'operazione, con le immagini degli uomini-rana calati nel lago ghiacciato rimbalzate su tutte le testate, Livello A quanto all'operazione ed alla sua copertura mediatica. Il registro fissa la funzione della scena nell'economia del diversivo: quale che fosse la regia del falso, il suo effetto certo e misurabile fu di produrre, per un'intera giornata, la rappresentazione visiva della morte del prigioniero, un funerale per immagini senza corpo che saturò lo spazio pubblico nell'esatto momento in cui, sul piano reale, il covo di via Gradoli emergeva per allagamento, e la coincidenza delle 2 scene del medesimo giorno, i sommozzatori nel lago sbagliato e l'acqua nel covo giusto, resta la giornata più letterariamente perfetta e analiticamente ambigua dell'intero corpus, che il registro consegna, con la disciplina del Pattern 6, alla doppia lettura mai sciolta: la beffa del caso o la sincronia di una mano, con gli atti che non hanno mai permesso di scegliere.</w:t>
      </w:r>
    </w:p>
    <w:p>
      <w:pPr>
        <w:spacing w:after="120" w:line="276"/>
        <w:jc w:val="both"/>
      </w:pPr>
      <w:r>
        <w:rPr>
          <w:rFonts w:ascii="Barlow Semi Condensed" w:cs="Barlow Semi Condensed" w:eastAsia="Barlow Semi Condensed" w:hAnsi="Barlow Semi Condensed"/>
          <w:sz w:val="24"/>
          <w:szCs w:val="24"/>
        </w:rPr>
        <w:t xml:space="preserve">Il canale socialista censito nella sua linea politica ebbe anche la sua filiera operativa, che il registro ricostruisce dalle audizioni parlamentari: l'iniziativa umanitaria del PSI si mosse attraverso l'esponente di vertice Claudio Signorile ed il giornalista Lanfranco Pace, che attivarono contatti documentati con Franco Piperno e con l'area dell'Autonomia, nel tentativo di raggiungere per quella via ambienti capaci di parlare all'organizzazione, sino agli incontri con i militanti della colonna romana che le deposizioni successive avrebbero descritto, in una catena informale che corse parallela ai canali ufficiali per l'intera seconda metà del sequestro, Livello A quanto all'esistenza della filiera ed ai contatti quali risultano dalle audizioni e dalle dichiarazioni convergenti, Livello B quanto alla portata effettiva di ciascun passaggio verso l'interno dell'organizzazione. Il registro fissa il dato strutturale che la filiera consegna: l'unico canale che documentalmente arrivò a toccare la periferia dell'organizzazione non passò per gli apparati dello Stato ma per la mediazione di un partito attraverso l'area politica contigua al mondo armato, e questa circostanza, che le polemiche coeve trattarono quale scandalo, è per il metodo dell'opera un puro reperto di topologia: nella rete del 1978, la distanza minima tra le istituzioni e la prigione passava per i nodi che le istituzioni ufficialmente ripudiavano, e la Repubblica che rifiutò di percorrerla per intero scelse, con ciò, di lasciare quella rotta al partito che aveva meno da perdere a percorrerla.</w:t>
      </w:r>
    </w:p>
    <w:p>
      <w:pPr>
        <w:spacing w:after="120" w:line="276"/>
        <w:jc w:val="both"/>
      </w:pPr>
      <w:r>
        <w:rPr>
          <w:rFonts w:ascii="Barlow Semi Condensed" w:cs="Barlow Semi Condensed" w:eastAsia="Barlow Semi Condensed" w:hAnsi="Barlow Semi Condensed"/>
          <w:sz w:val="24"/>
          <w:szCs w:val="24"/>
        </w:rPr>
        <w:t xml:space="preserve">La gestione dei 55 giorni dovette misurarsi anche con il fenomeno che il registro censisce quale rumore di fondo del caso: le migliaia di segnalazioni, offerte di mediazione, rivelazioni di sedicenti informatori, millantatori e veggenti che si riversarono sugli apparati e sulla famiglia per l'intera durata del sequestro, documentate dagli atti quale massa che assorbì risorse investigative ingenti e dentro la quale le poche indicazioni poi rivelatesi fondate giacquero indistinguibili, Livello A quanto al fenomeno ed alla sua consistenza agli atti. Il registro assegna al rumore la sua funzione analitica, che le ricostruzioni celebrative omettono: ogni valutazione retrospettiva delle occasioni mancate, Gradoli, il lago, le intercettazioni, deve incorporare la condizione informativa reale del 1978, nella quale il segnale vero arrivava immerso in un diluvio di falsi prodotti dalla risonanza stessa del caso, sicché la domanda storicamente onesta non è perché lo Stato non seguì la pista giusta, ma perché lo Stato non possedeva un sistema capace di distinguere la pista giusta dentro il rumore, e la risposta, che i capitoli sugli apparati hanno documentato, riporta ancora una volta dalla teoria del complotto alla fisiologia della disorganizzazione, con l'avvertenza di metodo che il corpus consegna: il rumore non assolve le omissioni censite, le circostanzia, e la differenza tra assolvere e circostanziare è esattamente la differenza tra la storia e le sue caricature.</w:t>
      </w:r>
    </w:p>
    <w:p>
      <w:pPr>
        <w:spacing w:after="120" w:line="276"/>
        <w:jc w:val="both"/>
      </w:pPr>
      <w:r>
        <w:rPr>
          <w:rFonts w:ascii="Barlow Semi Condensed" w:cs="Barlow Semi Condensed" w:eastAsia="Barlow Semi Condensed" w:hAnsi="Barlow Semi Condensed"/>
          <w:sz w:val="24"/>
          <w:szCs w:val="24"/>
        </w:rPr>
        <w:t xml:space="preserve">La prigione esige infine il censimento della propria condizione ambientale, che il registro formula quale reperto sulla tecnologia della clandestinità: l'appartamento di via Montalcini operò per l'intera durata del sequestro dentro un normale condominio abitato di un quartiere popolare, con la custode dell'immobile che conduceva la vita di una giovane professionista insospettabile, i carcerieri che entravano ed uscivano secondo gli orari della normalità e la cella insonorizzata ricavata nell'alloggio, senza che alcun condomino, vicino od osservatore esterno rilevasse in 55 giorni una sola anomalia riferibile, come i dibattimenti accertarono ricostruendo la vita dell'edificio, Livello A quanto alla condizione ambientale della prigionia ed alla sua invisibilità accertata. Il registro consegna il dato alla sua lezione, che rovescia l'immaginario del caso: la prigione del popolo non fu un bunker remoto ma un interno borghese in mezzo agli altri, e la sua tecnologia decisiva non fu edilizia ma comportamentale, la capacità dei custodi di eseguire la normalità con la stessa disciplina con cui eseguirono l'agguato, sicché l'invisibilità che gli apparati cercarono per 55 giorni con i posti di blocco e le perquisizioni censite non fu violata perché non aveva forma cercabile, era fatta di puntualità, di buongiorno nelle scale e di sacchetti della spesa, e questa banalità organizzata, che i processi hanno documentato nei suoi dettagli domestici, è forse il reperto che più di ogni altro spiega al lettore la natura della sfida che lo Stato del 1978 perse: non trovare un nascondiglio, ma riconoscere la guerra travestita da vita quotidiana, il compito per il quale nessun posto di blocco è mai stato inventato.</w:t>
      </w:r>
    </w:p>
    <w:p>
      <w:pPr>
        <w:spacing w:after="120" w:line="276"/>
        <w:jc w:val="both"/>
      </w:pPr>
      <w:r>
        <w:rPr>
          <w:rFonts w:ascii="Barlow Semi Condensed" w:cs="Barlow Semi Condensed" w:eastAsia="Barlow Semi Condensed" w:hAnsi="Barlow Semi Condensed"/>
          <w:sz w:val="24"/>
          <w:szCs w:val="24"/>
        </w:rPr>
        <w:t xml:space="preserve">La fenomenologia dei canali si chiude, nell'edizione definitiva, con lo Stato Zero che la triangolazione ha formalmente certificato: nessun documento del corpus, degli atti parlamentari o dei giudicati attesta una trattativa di Stato conclusa, un accordo perfezionato o uno scambio deliberato per la liberazione del prigioniero, sicché l'intera galassia dei canali censiti in questo capitolo, quello umanitario, quello socialista, quello vaticano, quello criminale, resta documentalmente al di qua della soglia dell'esito, Stato Zero certificato quale risultato, distinto dai canali esplorati che conservano i loro gradi. Il registro consegna la certificazione alla sua doppia lettura obbligata: essa smentisce in radice ogni ricostruzione che dia per acquisito un patto tradito o un accordo sabotato, che nessuna carta sostiene, e lascia intatta la domanda storica legittima, che è altra e che il capitolo ha istruito, se un accordo fosse possibile e chi ne impedì la maturazione, con la disciplina che la distinzione impone: l'assenza documentata dell'esito è un fatto, le ragioni dell'assenza sono un campo di ipotesi graduate, e l'edizione definitiva, certificando il primo, non chiude il secondo, lo consegna pulito.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dei 55 giorni certifica al Livello A la linea della fermezza, la compresenza piduista ai vertici informativi dei comitati di crisi, la sequenza fattuale di via Gradoli e la falsità diversiva del comunicato del lago della Duchessa, con l'attribuzione a Chichiarelli al Livello B quale arco documentato verso l'orbita della Magliana; certifica al Livello B i sondaggi verso la criminalità organizzata per la localizzazione della prigione; e mantiene al Livello C, in forza del divieto inferenziale, ogni lettura finalistica della condotta, consegnando al piano terzo le ipotesi che il piano secondo ha reso formulabili senza renderle provate.</w:t>
      </w:r>
    </w:p>
    <w:p>
      <w:pPr>
        <w:pStyle w:val="Heading3"/>
        <w:spacing w:after="80" w:before="160"/>
      </w:pPr>
      <w:r>
        <w:rPr>
          <w:rFonts w:ascii="Barlow Semi Condensed" w:cs="Barlow Semi Condensed" w:eastAsia="Barlow Semi Condensed" w:hAnsi="Barlow Semi Condensed"/>
          <w:sz w:val="24"/>
          <w:szCs w:val="24"/>
        </w:rPr>
        <w:t xml:space="preserve">Capitolo 5 — ■ Le lettere e il memoriale. Il corpus del prigioniero e i 2 ritrovamenti di via Monte Nevoso</w:t>
      </w:r>
    </w:p>
    <w:p>
      <w:pPr>
        <w:spacing w:after="120" w:line="276"/>
        <w:jc w:val="both"/>
      </w:pPr>
      <w:r>
        <w:rPr>
          <w:rFonts w:ascii="Barlow Semi Condensed" w:cs="Barlow Semi Condensed" w:eastAsia="Barlow Semi Condensed" w:hAnsi="Barlow Semi Condensed"/>
          <w:sz w:val="24"/>
          <w:szCs w:val="24"/>
        </w:rPr>
        <w:t xml:space="preserve">Il corpus documentale prodotto da Aldo Moro durante la prigionia, le lettere inviate e il memoriale redatto in risposta agli interrogatori, è il nodo documentale della fase, e il registro lo tratta quale oggetto duplice: fonte storica di valore eccezionale e, insieme, oggetto esso stesso di una vicenda di ritrovamenti, sparizioni e gestioni che appartiene al piano secondo. La scansione del corpus dell'opera registra il termine memoriale 180 volte in 37 documenti e il toponimo Monte Nevoso 176 volte in 27; le lettere dalla prigionia sono presenti nel corpus in edizione critica integrale.</w:t>
      </w:r>
    </w:p>
    <w:p>
      <w:pPr>
        <w:spacing w:after="120" w:line="276"/>
        <w:jc w:val="both"/>
      </w:pPr>
      <w:r>
        <w:rPr>
          <w:rFonts w:ascii="Barlow Semi Condensed" w:cs="Barlow Semi Condensed" w:eastAsia="Barlow Semi Condensed" w:hAnsi="Barlow Semi Condensed"/>
          <w:sz w:val="24"/>
          <w:szCs w:val="24"/>
        </w:rPr>
        <w:t xml:space="preserve">Il primo pilastro è il corpus epistolare, che il registro certifica al Livello A nella sua materialità e disciplina nella sua valenza. Durante i 55 giorni Moro scrisse e fece recapitare decine di lettere, ai familiari, ai dirigenti del suo partito, alle massime cariche dello Stato, al Pontefice: lettere nelle quali argomentò la legittimità della trattativa per la vita dell'ostaggio, contestò la linea della fermezza rovesciando contro i suoi assertori la propria dottrina dello Stato, e progressivamente registrò l'abbandono, sino alle ultime disposizioni familiari e alla volontà, dettata, che nessun uomo del potere partecipasse alle sue esequie. Il registro certifica al Livello A l'esistenza, la consegna e il contenuto testuale delle lettere, e applica la disciplina dichiarata in avvertenza: la questione, dibattuta sin dai 55 giorni, della libertà del prigioniero scrivente, fu risolta dalla vulgata dell'epoca nel senso della coartazione totale, che privava le lettere di valore; le acquisizioni successive, testimoniali e comparative, hanno consolidato la lettura per cui Moro scrisse entro il perimetro concesso dai carcerieri ma con lucidità e intenzione proprie, usando lo spazio della scrittura quale ultimo terreno di azione politica; il registro certifica al Livello B questa lettura, quale convergenza delle fonti critiche, e ne trae la regola di trattamento: ogni enunciato delle lettere è vagliato singolarmente, quale atto di un autore lucido in condizione di costrizione, senza presunzioni generali né di falsità né di verità.</w:t>
      </w:r>
    </w:p>
    <w:p>
      <w:pPr>
        <w:spacing w:after="120" w:line="276"/>
        <w:jc w:val="both"/>
      </w:pPr>
      <w:r>
        <w:rPr>
          <w:rFonts w:ascii="Barlow Semi Condensed" w:cs="Barlow Semi Condensed" w:eastAsia="Barlow Semi Condensed" w:hAnsi="Barlow Semi Condensed"/>
          <w:sz w:val="24"/>
          <w:szCs w:val="24"/>
        </w:rPr>
        <w:t xml:space="preserve">Il secondo pilastro è la vicenda del memoriale e dei 2 ritrovamenti di via Monte Nevoso, che il registro certifica al Livello A quale sequenza e assume quale reperto capitale del piano secondo. Durante la prigionia Moro rispose per iscritto agli interrogatori condotti da Moretti, producendo un ampio memoriale su temi che spaziavano dalla storia della Democrazia Cristiana alle strutture atlantiche, dal finanziamento della politica ai servizi di sicurezza, con giudizi severi su uomini e apparati. Il 1 ottobre 1978, l'irruzione nel covo milanese di via Monte Nevoso 8, condotta dai reparti antiterrorismo coordinati dal generale Dalla Chiesa, portò all'arresto di dirigenti dell'organizzazione e al sequestro di una versione dattiloscritta parziale del memoriale e di trascrizioni di lettere; il materiale fu trasmesso e in parte pubblicato. Il 9 ottobre 1990, 12 anni dopo, nel corso di lavori di ristrutturazione del medesimo appartamento, fu rinvenuto, dietro un pannello di un'intercapedine sfuggito alla perquisizione originaria, un secondo compendio: fotocopie di manoscritti del memoriale, più ampie del dattiloscritto del 1978, e lettere ulteriori, molte inedite. Il registro certifica al Livello A i 2 ritrovamenti, la loro distanza temporale e la maggiore estensione del secondo compendio, e censisce le 2 questioni che la sequenza consegna. La prima è la questione della completezza: gli originali manoscritti del memoriale non sono mai stati rinvenuti, il secondo compendio è costituito da fotocopie, e la possibilità che porzioni del testo non siano mai emerse resta, allo stato, un'ipotesi non falsificabile che il registro censisce quale buco strutturale documentale di Livello C. La seconda è la questione della perquisizione del 1978: la mancata scoperta dell'intercapedine da parte di una perquisizione condotta dal migliore reparto antiterrorismo del Paese è stata oggetto di 2 letture concorrenti, l'errore materiale e la selezione deliberata; le sedi parlamentari hanno documentato gli elementi di entrambe senza consacrarne alcuna, e il registro mantiene la questione al Livello C, applicando alla lettera il divieto inferenziale: la mancata scoperta è certa, la sua intenzionalità non lo è, e la circostanza che il materiale del 1990 contenesse giudizi e rivelazioni assenti dal compendio del 1978 aggrava la domanda senza risolverla.</w:t>
      </w:r>
    </w:p>
    <w:p>
      <w:pPr>
        <w:spacing w:after="120" w:line="276"/>
        <w:jc w:val="both"/>
      </w:pPr>
      <w:r>
        <w:rPr>
          <w:rFonts w:ascii="Barlow Semi Condensed" w:cs="Barlow Semi Condensed" w:eastAsia="Barlow Semi Condensed" w:hAnsi="Barlow Semi Condensed"/>
          <w:sz w:val="24"/>
          <w:szCs w:val="24"/>
        </w:rPr>
        <w:t xml:space="preserve">Il terzo pilastro è il contenuto del memoriale quale fonte, che il registro disciplina con il rigore massimo. Il prigioniero scrisse, tra l'altro, di strutture riservate atlantiche predisposte per l'emergenza, con riferimenti che le acquisizioni del 1990, sopravvenute alla rivelazione della rete Gladio di 15 giorni anteriore, resero oggetto di immediata comparazione; scrisse del finanziamento dei partiti, di uomini del suo partito e degli apparati. Il registro assume ciascun enunciato quale dichiarazione di fonte qualificata resa in costrizione: certificabile quanto all'esistenza dell'enunciato, al Livello A; valutabile quanto al contenuto soltanto per convergenza con fonti autonome, secondo la regola generale; e annota il caso più rilevante di convergenza sopravvenuta, il riferimento del prigioniero a strutture di emergenza atlantiche, che la rivelazione del 1990 ha riscontrato nella sua sostanza, elevando quello specifico enunciato al Livello B quale dichiarazione riscontrata da fatto successivo indipendente: è il caso, metodologicamente prezioso, della fonte costretta che risulta, a distanza di 12 anni, aver detto il vero su un punto verificabile.</w:t>
      </w:r>
    </w:p>
    <w:p>
      <w:pPr>
        <w:spacing w:after="120" w:line="276"/>
        <w:jc w:val="both"/>
      </w:pPr>
      <w:r>
        <w:rPr>
          <w:rFonts w:ascii="Barlow Semi Condensed" w:cs="Barlow Semi Condensed" w:eastAsia="Barlow Semi Condensed" w:hAnsi="Barlow Semi Condensed"/>
          <w:sz w:val="24"/>
          <w:szCs w:val="24"/>
        </w:rPr>
        <w:t xml:space="preserve">Il quarto pilastro è la mappa tematica del memoriale, che il registro traccia quale guida documentale, ferma la disciplina enunciata. Il corpus emerso nei 2 ritrovamenti si articola su temi ricorrenti: la storia interna della Democrazia Cristiana e i suoi equilibri di corrente, con giudizi individuali di durezza inedita per la scrittura morotea, il più severo dei quali investe Giulio Andreotti, cui il prigioniero dedica pagine di requisitoria personale e politica; il finanziamento della politica e i suoi canali; l'anticomunismo di Stato e le sue strutture, con il passaggio sulle organizzazioni di emergenza a matrice atlantica di cui si è detto; i servizi di sicurezza e la loro storia; la politica internazionale e i vincoli di campo; e la riflessione sulla propria condizione, sulla fermezza e sullo Stato. Il registro certifica al Livello A l'esistenza e l'articolazione tematica del corpus, quale dato documentale; annota che la distribuzione dei temi tra il compendio del 1978 e quello del 1990 non è omogenea, con la presenza nel solo materiale del 1990 di svolgimenti assenti dal dattiloscritto originario, tra cui porzioni delle pagine su Andreotti e sui temi atlantici, e certifica al Livello A questa distribuzione differenziale, che è il fondamento documentale della questione della gestione già censita; e ribadisce, per ciascun enunciato di merito, la regola del vaglio individuale, con l'unico caso di elevazione già dichiarato. L'annotazione conclusiva del pilastro registra il paradosso documentale del caso: il prigioniero produsse, sotto costrizione, la più estesa testimonianza interna mai scritta sul sistema di potere italiano, e quella testimonianza raggiunse il registro soltanto per frammenti, in 2 tempi, per fotocopia e senza originali; nessun documento dell'opera unisce in sé, come il memoriale, il massimo valore potenziale della fonte e la massima menomazione certificata del supporto.</w:t>
      </w:r>
    </w:p>
    <w:p>
      <w:pPr>
        <w:spacing w:after="120" w:line="276"/>
        <w:jc w:val="both"/>
      </w:pPr>
      <w:r>
        <w:rPr>
          <w:rFonts w:ascii="Barlow Semi Condensed" w:cs="Barlow Semi Condensed" w:eastAsia="Barlow Semi Condensed" w:hAnsi="Barlow Semi Condensed"/>
          <w:sz w:val="24"/>
          <w:szCs w:val="24"/>
        </w:rPr>
        <w:t xml:space="preserve">Il quinto pilastro è la circolazione controllata del corpus epistolare, che il registro censisce quale ulteriore terreno del piano secondo. Non tutte le lettere scritte dal prigioniero giunsero ai destinatari nei 55 giorni: parte del corpus, come i ritrovamenti successivi hanno dimostrato, non fu mai recapitata dall'organizzazione; e parte di ciò che fu recapitato conobbe una circolazione governata, con la gestione politica della loro pubblicità, l'autenticazione contestata, la costruzione pubblica della tesi della coartazione che ne neutralizzava il contenuto. Il registro certifica al Livello A i 2 fatti componenti, la mancata consegna di parte del corpus, documentata dal confronto tra il consegnato e l'emerso, e l'esistenza di una gestione politica della ricezione, documentata dagli atti e dalla pubblicistica coeva; e ne trae l'annotazione che congiunge i piani: sul corpus epistolare operarono 2 filtri successivi e indipendenti, quello dei carcerieri, che scelsero cosa far uscire, e quello dei riceventi, che scelsero come accogliere ciò che usciva; la voce del prigioniero giunse al Paese doppiamente mediata, e la ricostruzione integrale del corpus, possibile soltanto dopo il 1990, è essa stessa una conquista postuma che il registro data e certifica.</w:t>
      </w:r>
    </w:p>
    <w:p>
      <w:pPr>
        <w:spacing w:after="120" w:line="276"/>
        <w:jc w:val="both"/>
      </w:pPr>
      <w:r>
        <w:rPr>
          <w:rFonts w:ascii="Barlow Semi Condensed" w:cs="Barlow Semi Condensed" w:eastAsia="Barlow Semi Condensed" w:hAnsi="Barlow Semi Condensed"/>
          <w:sz w:val="24"/>
          <w:szCs w:val="24"/>
        </w:rPr>
        <w:t xml:space="preserve">Il sesto pilastro percorre le lettere principali nella loro scansione, quale mappa documentale del corpus epistolare. La prima lettera resa pubblica, recapitata con il comunicato del 29 marzo, fu indirizzata al ministro dell'interno Francesco Cossiga: in essa Moro pose per primo, con l'autorità del giurista, il tema dello scambio dei prigionieri quale istituto praticato dagli Stati, dichiarò di trovarsi sotto un dominio pieno e non condizionato, e avvertì che il suo sacrificio non avrebbe giovato; il registro ne certifica al Livello A il testo e la funzione inaugurale del confronto. Seguirono le lettere ai vertici del partito, e in particolare le 2 al segretario Benigno Zaccagnini, dei primi di aprile e del 20 aprile, la seconda delle quali contiene l'apice della requisitoria del prigioniero contro la linea della fermezza, con l'ammonimento che il suo sangue sarebbe ricaduto sui dirigenti e la contestazione radicale della pretesa di distinguere tra l'uomo e lo statista; la lettera al presidente del Senato e ai presidenti dei gruppi; quella ad Amintore Fanfani, nell'ultima fase, quale estremo appello alla parte del partito ritenuta ancora capace di movimento; i biglietti e le lettere alla famiglia, sino alle disposizioni finali, la richiesta che nessun uomo del potere partecipasse alle esequie e che il funerale fosse celebrato nella forma privata, e il congedo dalla moglie Eleonora; e la lettera al Pontefice, in risposta all'appello pubblico. Il registro certifica al Livello A l'esistenza, i destinatari e i contenuti delle lettere richiamate, quali dati dell'edizione critica, e ne registra la traiettoria interna certificabile: dalla prima argomentazione istituzionale dello scambio alla progressiva presa d'atto dell'abbandono, sino al rovesciamento finale, per cui l'uomo che aveva costruito la solidarietà nazionale dispose che la sua morte non fosse utilizzabile da alcuno, sottraendo il proprio corpo alla liturgia dello Stato che non lo aveva riscattato: la disposizione, puntualmente eseguita dalla famiglia, è l'ultimo atto politico documentato del prigioniero, e il registro lo certifica quale tale.</w:t>
      </w:r>
    </w:p>
    <w:p>
      <w:pPr>
        <w:spacing w:after="120" w:line="276"/>
        <w:jc w:val="both"/>
      </w:pPr>
      <w:r>
        <w:rPr>
          <w:rFonts w:ascii="Barlow Semi Condensed" w:cs="Barlow Semi Condensed" w:eastAsia="Barlow Semi Condensed" w:hAnsi="Barlow Semi Condensed"/>
          <w:sz w:val="24"/>
          <w:szCs w:val="24"/>
        </w:rPr>
        <w:t xml:space="preserve">Il settimo pilastro ricostruisce la catena documentale del primo ritrovamento e la sincronia editoriale che vi si lega. Il materiale sequestrato in via Monte Nevoso il 1 ottobre 1978, il dattiloscritto del memoriale e le trascrizioni di lettere, entrò nella catena di custodia dei reparti operanti sotto la direzione del generale Dalla Chiesa e fu trasmesso alle autorità di governo e giudiziarie, con la pubblicazione di parte dei contenuti nelle settimane successive; sin da quella stagione, e poi definitivamente dopo il 1990, si pose la questione dell'integralità della trasmissione, alimentata dalla circostanza, certificata al Livello A dal confronto filologico, che il compendio del 1990 contiene testi e svolgimenti assenti dal materiale consegnato nel 1978 pur provenendo dal medesimo appartamento. A questa questione il registro salda la sincronia editoriale documentata: nell'ottobre 1978, a ridosso del sequestro del covo, il settimanale OP di Mino Pecorelli pubblicò e annunciò contenuti riconducibili al memoriale, taluni dei quali non presenti nel dattiloscritto allora ufficialmente acquisito e riscontrabili soltanto nel materiale emerso nel 1990; il registro certifica al Livello A la datazione e l'esistenza delle pubblicazioni, quale dato della collezione, e al Livello B la loro derivazione da un accesso a materiale non compreso nella versione ufficiale del 1978, quale inferenza documentale fondata sul confronto testuale operato nelle sedi parlamentari; la catena di tale accesso, chi, tra il covo e la pubblicazione, fece transitare ciò che lo Stato dichiarava di non possedere, resta al Livello C, ed è, per il registro, la più circoscritta e la più grave delle domande aperte del piano secondo, perché a differenza delle altre ammette un insieme finito di risposte possibili, tutte interne al perimetro della custodia. Il capitolo su Pecorelli riprende l'arco dal suo versante; il presente lo consegna quale reperto della vicenda documentale.</w:t>
      </w:r>
    </w:p>
    <w:p>
      <w:pPr>
        <w:spacing w:after="120" w:line="276"/>
        <w:jc w:val="both"/>
      </w:pPr>
      <w:r>
        <w:rPr>
          <w:rFonts w:ascii="Barlow Semi Condensed" w:cs="Barlow Semi Condensed" w:eastAsia="Barlow Semi Condensed" w:hAnsi="Barlow Semi Condensed"/>
          <w:sz w:val="24"/>
          <w:szCs w:val="24"/>
        </w:rPr>
        <w:t xml:space="preserve">L'ottavo pilastro censisce la costruzione pubblica della tesi della coartazione, il dispositivo con cui la voce del prigioniero fu neutralizzata. Sin dalle prime lettere, la linea ufficiale sostenne che gli scritti non esprimessero la volontà libera dell'uomo: la formula, veicolata da dichiarazioni di vertice e consacrata da un documento collettivo di amici, colleghi ed esponenti della cultura cattolica che dichiararono di non riconoscere in quelle pagine l'uomo che conoscevano, ricevette l'avallo tecnico delle valutazioni del comitato di esperti censito nel capitolo della gestione, orientate alla non attendibilità della scrittura quale espressione autentica; il registro certifica al Livello A l'esistenza, gli strumenti e la funzione della costruzione, quali dati documentali della stagione, e certifica al Livello A, sul fondamento dell'analisi filologica condotta dalle stagioni successive sull'intero corpus, che gli scritti esibiscono coerenza argomentativa, progressione logica, padronanza giuridica e continuità con il pensiero anteriore dell'autore, gli elementi sui quali la storiografia critica ha fondato il rovesciamento della tesi coeva; e chiude con la formalizzazione che la disciplina consente: la tesi della coartazione totale è un enunciato della stagione, certificato quale fatto storico nella sua esistenza e nella sua funzione, e falsificato quale tesi dal corpus medesimo, sicché il registro la censisce tra i dispositivi della gestione e non tra le descrizioni del documento; la circostanza che l'organo tecnico che la avallò fosse parte del sistema di compresenze certificato appartiene ai fatti del piano secondo, e vi resta.</w:t>
      </w:r>
    </w:p>
    <w:p>
      <w:pPr>
        <w:spacing w:after="120" w:line="276"/>
        <w:jc w:val="both"/>
      </w:pPr>
      <w:r>
        <w:rPr>
          <w:rFonts w:ascii="Barlow Semi Condensed" w:cs="Barlow Semi Condensed" w:eastAsia="Barlow Semi Condensed" w:hAnsi="Barlow Semi Condensed"/>
          <w:sz w:val="24"/>
          <w:szCs w:val="24"/>
        </w:rPr>
        <w:t xml:space="preserve">Il nono pilastro percorre i contenuti maggiori del memoriale, quale mappa dei temi che il vaglio individuale disciplina. Il primo blocco è quello degli apparati: le pagine sulle strutture di emergenza a matrice atlantica, con l'enunciato già elevato al Livello B per il riscontro del 1990; le pagine sulla stagione del SIFAR e del Piano Solo, scritte dal testimone che era stato presidente del Consiglio in quella estate, con la ricostruzione delle pressioni e delle coperture di allora; e i giudizi sui servizi della propria stagione. Il secondo blocco è quello politico: la requisitoria su Giulio Andreotti, la più estesa e la più dura del corpus, che percorre la carriera del presidente del Consiglio in carica con giudizi di spregiudicatezza e freddezza rimasti nella memoria documentale della Repubblica; le pagine su Paolo Emilio Taviani, sulla sua stagione al Viminale e sui suoi rapporti atlantici; i giudizi sul sistema di potere del proprio partito e sul suo finanziamento, ivi compresi i canali americani della prima guerra fredda. Il terzo blocco è quello internazionale, con la lettura dei vincoli di campo, delle rigidità atlantiche e della condizione di sovranità limitata del Paese. Il registro certifica al Livello A l'esistenza e l'articolazione di questi contenuti, quali dati testuali del corpus emerso, ribadisce che ciascun enunciato di merito resta sottoposto al vaglio individuale con l'unica elevazione dichiarata, e annota il dato d'insieme che il corpus consegna: il prigioniero rispose al processo dei carcerieri con una controrequisitoria sistemica, trasformando l'interrogatorio in una testimonianza sul potere italiano che nessun uomo libero della sua posizione aveva mai consegnato per iscritto, e questa natura del documento, insieme testimonianza capitale e scrittura sotto costrizione, è la ragione strutturale della disciplina che il registro vi applica.</w:t>
      </w:r>
    </w:p>
    <w:p>
      <w:pPr>
        <w:spacing w:after="120" w:line="276"/>
        <w:jc w:val="both"/>
      </w:pPr>
      <w:r>
        <w:rPr>
          <w:rFonts w:ascii="Barlow Semi Condensed" w:cs="Barlow Semi Condensed" w:eastAsia="Barlow Semi Condensed" w:hAnsi="Barlow Semi Condensed"/>
          <w:sz w:val="24"/>
          <w:szCs w:val="24"/>
        </w:rPr>
        <w:t xml:space="preserve">Il decimo pilastro fissa i numeri del corpus, quale apparato quantitativo della fase. L'edizione critica delle carte della prigionia censisce quasi 100 scritti autografi tra lettere recapitate, lettere trattenute dai carcerieri e mai spedite, minute e testi connessi, indirizzati a oltre 40 destinatari tra uomini politici, familiari, collaboratori ed ecclesiastici; il compendio del memoriale sequestrato nel 1978 consta dei dattiloscritti censiti negli atti del primo ritrovamento, e il compendio del 1990 consta di 419 pagine in fotocopia di manoscritti, comprensive delle porzioni assenti dalla versione del 1978; il registro certifica al Livello A questi ordini di grandezza, quali dati delle edizioni e delle inventariazioni ufficiali, e ne trae l'annotazione metodologica terminale del nodo: la voce scritta del prigioniero è, quantitativamente, la maggiore fonte primaria dell'intera vicenda, e la sua storia materiale, scritta a mano in prigione, trascritta dai carcerieri, sequestrata in 2 tempi a 12 anni di distanza, mai emersa in originale, è essa stessa il più compiuto oggetto di studio che la fase consegna al metodo dell'opera: un corpus la cui filologia è inseparabile dalla sua vicenda di potere.</w:t>
      </w:r>
    </w:p>
    <w:p>
      <w:pPr>
        <w:spacing w:after="120" w:line="276"/>
        <w:jc w:val="both"/>
      </w:pPr>
      <w:r>
        <w:rPr>
          <w:rFonts w:ascii="Barlow Semi Condensed" w:cs="Barlow Semi Condensed" w:eastAsia="Barlow Semi Condensed" w:hAnsi="Barlow Semi Condensed"/>
          <w:sz w:val="24"/>
          <w:szCs w:val="24"/>
        </w:rPr>
        <w:t xml:space="preserve">L'undicesimo pilastro censisce la lettera a Taviani, il documento polemico maggiore del corpus epistolare pubblico. Diffusa a metà aprile per il canale dell'organizzazione, la lettera investe Paolo Emilio Taviani, l'uomo dei governi e del Viminale della prima Repubblica, con una requisitoria personale e politica che non ha equivalenti nel corpus per durezza diretta verso un singolo destinatario vivente: il prigioniero vi contesta all'antico collega la coerenza della linea della fermezza con il suo stesso passato di governo, richiama vicende e responsabilità della storia interna del partito e degli apparati, e ne fa il bersaglio esemplare della classe dirigente che lo abbandonava; Taviani replicò pubblicamente, contestando l'autenticità morale dello scritto entro la cornice della coartazione allora dominante. Il registro certifica al Livello A il testo, la diffusione e la replica, quali dati documentali, e ne dichiara il rilievo per la fase: la scelta del bersaglio, l'uomo che il memoriale avrebbe parimenti investito sul terreno degli apparati e dei rapporti atlantici, documenta la continuità tematica tra la scrittura epistolare pubblica e la scrittura del memoriale, i 2 rami della produzione del prigioniero, e conferma, sul piano filologico, l'unità della mano e del disegno che l'ottavo pilastro ha certificato contro la tesi coeva; il registro annota che la coppia lettera-replica costituisce inoltre il caso documentale più netto del meccanismo censito, la neutralizzazione della voce attraverso la sua squalifica, operata qui non da un organo tecnico ma dal destinatario medesimo, con l'autorità della propria storia istituzionale.</w:t>
      </w:r>
    </w:p>
    <w:p>
      <w:pPr>
        <w:spacing w:after="120" w:line="276"/>
        <w:jc w:val="both"/>
      </w:pPr>
      <w:r>
        <w:rPr>
          <w:rFonts w:ascii="Barlow Semi Condensed" w:cs="Barlow Semi Condensed" w:eastAsia="Barlow Semi Condensed" w:hAnsi="Barlow Semi Condensed"/>
          <w:sz w:val="24"/>
          <w:szCs w:val="24"/>
        </w:rPr>
        <w:t xml:space="preserve">Il dodicesimo pilastro censisce il destino editoriale del corpus, l'ultimo tratto della sua vicenda materiale. Le carte della prigionia conobbero la pubblicazione per strati successivi, paralleli ai ritrovamenti: le lettere recapitate circolarono nella stagione stessa, il compendio del 1978 fu pubblicato negli atti e nella stampa dell'autunno, il materiale del 1990 confluì nei volumi documentali della Commissione sulle stragi, e l'insieme trovò sistemazione filologica nell'edizione critica del corpus epistolare pubblicata nel primo decennio del secolo, con l'apparato di datazione, collazione e commento che ha reso possibile il confronto sistematico tra recapitato, trattenuto ed emerso su cui la fase ha lavorato; il registro certifica al Livello A la stratigrafia editoriale, quale storia documentale, e chiude il nodo con l'annotazione che essa impone: il caso Moro è l'unico evento dell'intera opera il cui documento centrale abbia richiesto 30 anni per raggiungere la forma di fonte criticamente edita, e la storia di questa lentezza, fatta di sequestri parziali, fotocopie, polemiche e attese, non è un accidente della filologia ma un capitolo della storia del potere che il documento racconta: il registro la trascrive quale ultimo dato del nodo, la fonte che impiegò una generazione a diventare leggibile.</w:t>
      </w:r>
    </w:p>
    <w:p>
      <w:pPr>
        <w:spacing w:after="120" w:line="276"/>
        <w:jc w:val="both"/>
      </w:pPr>
      <w:r>
        <w:rPr>
          <w:rFonts w:ascii="Barlow Semi Condensed" w:cs="Barlow Semi Condensed" w:eastAsia="Barlow Semi Condensed" w:hAnsi="Barlow Semi Condensed"/>
          <w:sz w:val="24"/>
          <w:szCs w:val="24"/>
        </w:rPr>
        <w:t xml:space="preserve">Il tredicesimo pilastro censisce il corpus familiare, il ramo delle lettere che la disciplina del registro tratta con la sobrietà dovuta. Accanto alle lettere politiche, il prigioniero scrisse per l'intera durata del sequestro alla moglie Eleonora, ai 4 figli e alla famiglia: un corpus di scritti privati, in parte recapitati e in parte trattenuti ed emersi con i ritrovamenti, che documenta il versante personale dei 55 giorni, la preoccupazione minuta per la vita dei suoi, le disposizioni domestiche ed economiche, l'affidamento reciproco, e che culmina nell'ultima lettera alla moglie, il congedo scritto nell'imminenza della fine, con il pensiero rivolto a ciascuno dei familiari e al nipote, e con le disposizioni finali già censite quale ultimo atto politico, la volontà che alle esequie non partecipassero gli uomini del potere. Il registro certifica al Livello A l'esistenza, la consistenza e i contenuti del corpus familiare, quali dati dell'edizione critica, e dichiara la propria disciplina: gli scritti privati sono censiti quale fonte, per ciò che documentano della condizione del prigioniero, della sua lucidità conservata e della cronologia interna della prigionia, e non sono oggetto di analisi eccedente, il registro ritenendo che la loro funzione nell'opera si esaurisca nella certificazione e che ogni ulteriore trattamento appartenga alla pietà e non al metodo; una sola annotazione analitica è dovuta, ed è filologica: la continuità di mano, di lucidità e di struttura tra il corpus politico e il corpus familiare, accertata dagli studi sull'insieme delle carte, è essa stessa un elemento della falsificazione della tesi della coartazione totale, giacché documenta un uomo che, sino all'ultimo giorno, governò simultaneamente i registri della requisitoria politica e della tenerezza familiare, la prestazione meno compatibile con l'annullamento della volontà che la tesi coeva postulava.</w:t>
      </w:r>
    </w:p>
    <w:p>
      <w:pPr>
        <w:spacing w:after="120" w:line="276"/>
        <w:jc w:val="both"/>
      </w:pPr>
      <w:r>
        <w:rPr>
          <w:rFonts w:ascii="Barlow Semi Condensed" w:cs="Barlow Semi Condensed" w:eastAsia="Barlow Semi Condensed" w:hAnsi="Barlow Semi Condensed"/>
          <w:sz w:val="24"/>
          <w:szCs w:val="24"/>
        </w:rPr>
        <w:t xml:space="preserve">Il quattordicesimo pilastro censisce il sottoinsieme delle lettere trattenute, il corpus che i carcerieri non recapitarono. Il confronto tra il corpus integrale emerso con i ritrovamenti e l'insieme delle lettere effettivamente giunte ai destinatari nella stagione documenta che una parte rilevante degli scritti del prigioniero fu trattenuta dall'organizzazione e mai spedita: lettere a uomini politici, a collaboratori e alla famiglia che Moro scrisse e consegnò per l'inoltro e che i carcerieri, esercitando il controllo sul canale, decisero di non far uscire dalla prigione, e che sarebbero emerse soltanto con le carte del 1978 e del 1990; il registro certifica al Livello A l'esistenza e la consistenza del sottoinsieme trattenuto, quale risultanza del confronto filologico condotto dall'edizione critica, e ne dichiara il portato analitico, che è duplice. Sul piano della fonte, la selezione operata dai carcerieri è essa stessa un documento: la scelta di cosa far uscire e cosa trattenere fu un atto politico dell'organizzazione, che governò la voce del prigioniero non soltanto producendone l'occasione ma amministrandone la circolazione, e la mappa del trattenuto, ricostruibile a posteriori, documenta i criteri di quel governo, l'organizzazione avendo privilegiato l'uscita degli scritti funzionali alla pressione sulla Democrazia Cristiana e trattenuto una parte di quelli personali o eccedenti la propria strategia. Sul piano del metodo, il pilastro completa la fisionomia del corpus che il decimo ha fissato: la voce scritta del prigioniero giunse ai contemporanei filtrata 2 volte, dalla selezione dei carcerieri nella stagione e dalla vicenda dei ritrovamenti nei decenni, e ogni analisi della ricezione coeva delle lettere deve incorporare il dato che i contemporanei lessero un corpus amministrato, non il corpus integrale, una circostanza che il registro certifica quale condizione documentata della storia della ricezione.</w:t>
      </w:r>
    </w:p>
    <w:p>
      <w:pPr>
        <w:spacing w:after="120" w:line="276"/>
        <w:jc w:val="both"/>
      </w:pPr>
      <w:r>
        <w:rPr>
          <w:rFonts w:ascii="Barlow Semi Condensed" w:cs="Barlow Semi Condensed" w:eastAsia="Barlow Semi Condensed" w:hAnsi="Barlow Semi Condensed"/>
          <w:sz w:val="24"/>
          <w:szCs w:val="24"/>
        </w:rPr>
        <w:t xml:space="preserve">Il quindicesimo pilastro censisce il fondamento tecnico dell'autenticità, le perizie grafiche sul corpus. L'autografia degli scritti della prigionia fu sottoposta ad accertamento peritale in ogni stagione, dalle prime verifiche della crisi, condotte sulle lettere recapitate per escludere la falsificazione, sino agli esami sistematici delle Commissioni sui compendi del 1978 e del 1990: gli esiti, convergenti attraverso 4 decenni di strumenti crescenti, hanno accertato che le lettere e le pagine manoscritte del memoriale sono di mano di Aldo Moro, senza che alcuna perizia abbia mai individuato interpolazioni di mano diversa nei testi autografi; il registro certifica al Livello A l'autografia del corpus, quale risultanza peritale consolidata, e ne dichiara la funzione architettonica: essa è il fondamento tecnico su cui l'intero capitolo poggia, giacché distingue con nettezza le 2 questioni che la stagione confuse e che il registro tiene separate, l'autenticità materiale degli scritti, accertata e mai più seriamente contestata, e la libertà morale dello scrivente, il terreno su cui la tesi della coartazione operò; la confusione delle 2 questioni fu, per il registro, il meccanismo retorico centrale della neutralizzazione coeva, che trasferì sul piano inattaccabile della materialità il dubbio che poteva vivere soltanto sul piano della condizione, e la loro separazione, operata dalla filologia successiva, è l'atto metodologico che ha restituito il corpus alla storia; il registro trascrive la distinzione quale acquisizione definitiva della fase e la applica retroattivamente a ogni pilastro del capitolo, nel quale ogni enunciato sull'autenticità va letto quale enunciato sulla materialità accertata, e ogni questione residua quale questione sulle condizioni, censita ai livelli propri.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lettere-linea della fermezza-ultimo terreno politico, è il triangolo del corpus epistolare, certificato al Livello A nella materialità e al Livello B nella lettura della lucidità. La seconda, memoriale-Monte Nevoso 1978-Monte Nevoso 1990, è il triangolo dei ritrovamenti, certificato al Livello A nella sequenza e al Livello C nelle questioni della completezza e dell'intenzionalità. La terza, enunciati del prigioniero-riscontri sopravvenuti-Gladio, è il triangolo della fonte riscontrata, con l'elevazione dichiarata al Livello B del punto verificato. Sul piano dei pattern, il nodo è la sede propria del Pattern 6 applicato a un documento: le ipotesi concorrenti sulla gestione del memoriale, errore contro selezione, restano in competizione formale, e il registro elenca, secondo il metodo, l'evidenza che le discriminerebbe, il ritrovamento degli originali manoscritti, dichiarandola allo stato inesistente.</w:t>
      </w:r>
    </w:p>
    <w:p>
      <w:pPr>
        <w:spacing w:after="120" w:line="276"/>
        <w:jc w:val="both"/>
      </w:pPr>
      <w:r>
        <w:rPr>
          <w:rFonts w:ascii="Barlow Semi Condensed" w:cs="Barlow Semi Condensed" w:eastAsia="Barlow Semi Condensed" w:hAnsi="Barlow Semi Condensed"/>
          <w:sz w:val="24"/>
          <w:szCs w:val="24"/>
        </w:rPr>
        <w:t xml:space="preserve">Il corpus del prigioniero va restituito anche nella sua logistica, perché il recapito è esso stesso un capitolo del caso. Gli scritti viaggiarono su un doppio binario documentato: il canale brigatista ordinario, che accompagnava le lettere ai comunicati o le affidava a recapiti indiretti, ed il canale fiduciario che l'organizzazione consentì verso la famiglia, nel quale operò tra gli altri il giovane sacerdote don Antonello Mennini, confessore di casa Moro, tramite di plichi e risposte nelle settimane centrali del sequestro, secondo quanto egli stesso avrebbe poi riferito alle sedi istruttorie e parlamentari, Livello A quanto all'esistenza dei canali ed al ruolo del tramite, nei limiti delle rispettive fonti. La consistenza complessiva del corpus, tra lettere recapitate ai destinatari, scritti trattenuti dai carcerieri ed esemplari emersi soltanto nei compendi di via Monte Nevoso, si approssima al centinaio di pezzi, con un ordine interno che la filologia ha ricostruito distinguendo gli originali autografi recapitati, le trascrizioni e le fotocopie dei ritrovamenti, Livello A quanto alla tripartizione ed all'ordine di grandezza, ferma l'assenza perpetua degli originali dei compendi che la sintesi certifica.</w:t>
      </w:r>
    </w:p>
    <w:p>
      <w:pPr>
        <w:spacing w:after="120" w:line="276"/>
        <w:jc w:val="both"/>
      </w:pPr>
      <w:r>
        <w:rPr>
          <w:rFonts w:ascii="Barlow Semi Condensed" w:cs="Barlow Semi Condensed" w:eastAsia="Barlow Semi Condensed" w:hAnsi="Barlow Semi Condensed"/>
          <w:sz w:val="24"/>
          <w:szCs w:val="24"/>
        </w:rPr>
        <w:t xml:space="preserve">La mappa dei destinatari disegna, infine, la strategia del prigioniero, ed il registro la fissa nei suoi capisaldi datati: la prima lettera politica, indirizzata al ministro dell'interno Francesco Cossiga e recapitata il 29 marzo, che apre la contesa sulla linea dello scambio con l'argomentazione dello Stato che non può chiedere ai suoi servitori il sacrificio della vita innocente; le lettere al segretario democristiano Benigno Zaccagnini, tra le quali quella dei primi di aprile e quella del 20 aprile, di crescente durezza verso il partito immobile; la lettera a Paolo VI, cui seguì l'appello pubblico del pontefice del 21 aprile già certificato; e la sequenza familiare, sino all'ultima lettera alla moglie, il congedo che chiude il corpus sul registro privato dopo che quello pubblico si era consumato, Livello A quanto ai destinatari ed alla scansione. Il registro consegna la mappa alla sua lettura documentale: il prigioniero condusse per lettere una campagna ordinata, prima giuridico-politica verso lo Stato, poi morale verso il partito, poi spirituale verso la Chiesa, infine affettiva verso i suoi, e questa progressione, leggibile nella sola cronologia dei destinatari, è il più forte argomento interno contro la tesi coeva della non autenticità morale degli scritti: le lettere non divagano, manovrano, e la manovra ha la coerenza di una mente che il registro, con le sentenze e con la filologia, certifica lucida.</w:t>
      </w:r>
    </w:p>
    <w:p>
      <w:pPr>
        <w:spacing w:after="120" w:line="276"/>
        <w:jc w:val="both"/>
      </w:pPr>
      <w:r>
        <w:rPr>
          <w:rFonts w:ascii="Barlow Semi Condensed" w:cs="Barlow Semi Condensed" w:eastAsia="Barlow Semi Condensed" w:hAnsi="Barlow Semi Condensed"/>
          <w:sz w:val="24"/>
          <w:szCs w:val="24"/>
        </w:rPr>
        <w:t xml:space="preserve">Al compendio memorialistico il registro deve la mappa tematica, che le fotocopie dei 2 ritrovamenti consentono di censire al livello loro proprio: le pagine dell'interrogatorio-testamento percorrono, in forma di risposta al questionario dei carcerieri, la storia interna della Democrazia cristiana e dei suoi finanziamenti, i rapporti atlantici della Repubblica e le strutture riservate della sicurezza, i profili dei protagonisti coevi tracciati con giudizi di inedita durezza, e la riflessione del prigioniero sul proprio partito e sulla propria sorte, Livello B quanto ai contenuti, trattandosi di riproduzioni prive degli originali, con la gradazione interna che la filologia dei 2 compendi impone. Sul piano dell'autenticità materiale, le perizie grafiche e documentali disposte nei cicli giudiziari e nelle sedi parlamentari hanno costantemente ricondotto gli autografi riprodotti alla mano di Moro, senza che alcun accertamento abbia mai revocato in dubbio la paternità degli scritti, Livello A quanto agli esiti peritali sulla paternità. Ne discende lo statuto documentale che il registro assegna al corpus e che la sintesi presuppone: testi autentici in copia incompleta, la cui attendibilità di contenuto va graduata pagina per pagina secondo la natura dell'affermazione, testimonianza diretta, giudizio politico o notizia appresa, e la cui lacunosità certificata, l'assenza perpetua degli originali e la maggiore estensione del secondo compendio rispetto al primo, costituisce essa stessa, come il capitolo ha stabilito, il reperto principale: di questo archivio conosciamo con certezza soltanto ciò che manca.</w:t>
      </w:r>
    </w:p>
    <w:p>
      <w:pPr>
        <w:spacing w:after="120" w:line="276"/>
        <w:jc w:val="both"/>
      </w:pPr>
      <w:r>
        <w:rPr>
          <w:rFonts w:ascii="Barlow Semi Condensed" w:cs="Barlow Semi Condensed" w:eastAsia="Barlow Semi Condensed" w:hAnsi="Barlow Semi Condensed"/>
          <w:sz w:val="24"/>
          <w:szCs w:val="24"/>
        </w:rPr>
        <w:t xml:space="preserve">Al corpus scritto si affianca il sotto-corpus visivo, le 2 fotografie del prigioniero, che il registro censisce quale sistema documentale autonomo: la prima, diffusa con il comunicato del 18 marzo, il prigioniero in camicia sotto il drappo dell'organizzazione, con la funzione di certificare la cattura e la messa in scena processuale; la seconda, diffusa il 20 aprile all'indomani del diversivo, il prigioniero con il quotidiano del 19 aprile spiegato dinanzi a sé, con la funzione opposta e complementare di certificare la vita contro la voce della morte che il falso comunicato aveva immesso nel circuito, Livello A quanto alle 2 immagini, alle date ed alle funzioni documentali. Il registro ne fissa la grammatica: la prima fotografia prova l'esistenza del potere dei carcerieri, la seconda prova l'esistenza nel tempo del prigioniero, e tra le 2 immagini corre l'intera parabola comunicativa del sequestro, dall'ostensione del trofeo alla prova di vita mercantile, con il quotidiano trasformato in calendario, l'oggetto più quotidiano del Dominio 8 convertito in strumento di datazione forense. Che le 2 sole immagini uscite dalla prigione siano entrambe atti di comunicazione strategica, e che nessuna immagine del quotidiano carcerario, della cella, dei volti, sia mai stata prodotta o ritrovata, completa la coerenza del sistema: la prigione comunicò soltanto ciò che serviva, quando serviva, e la sua economia visiva, 2 fotografie in 55 giorni, resta la misura più eloquente della disciplina che il registro ha certificato su ogni altro piano.</w:t>
      </w:r>
    </w:p>
    <w:p>
      <w:pPr>
        <w:spacing w:after="120" w:line="276"/>
        <w:jc w:val="both"/>
      </w:pPr>
      <w:r>
        <w:rPr>
          <w:rFonts w:ascii="Barlow Semi Condensed" w:cs="Barlow Semi Condensed" w:eastAsia="Barlow Semi Condensed" w:hAnsi="Barlow Semi Condensed"/>
          <w:sz w:val="24"/>
          <w:szCs w:val="24"/>
        </w:rPr>
        <w:t xml:space="preserve">La prima lettera a Cossiga esige l'analisi della sua architettura argomentativa, perché il registro vi riconosce il documento giuridicamente più denso dell'intero corpus: nel testo recapitato il 29 marzo il prigioniero costruisce, da giurista, il fondamento dottrinale della trattativa, rivendicando di trovarsi sotto un dominio pieno ed incontrollato, in condizione di prigioniero politico di una guerra dichiarata dalla controparte, e richiamando espressamente le prassi già seguite dallo Stato italiano, gli scambi e i rilasci consumati verso la guerriglia palestinese, quale precedente che dimostrava la praticabilità e la già avvenuta pratica del principio della salvezza della vita, Livello A quanto ai contenuti del testo edito. Il registro fissa la potenza documentale dell'argomento: il prigioniero opponeva alla dottrina della fermezza non un'implorazione ma un precedente, e il precedente invocato era esattamente la gestione riservata mediterranea che la fase quinta dell'opera censisce, sicché la lettera del 29 marzo salda dall'interno della prigione i 2 piani che l'opera tratta in fasi distinte, il caso nazionale e il teatro internazionale, certificando che il primo a formulare la connessione fu l'ostaggio medesimo, con cognizione di causa da presidente del partito di governo. La replica implicita dello Stato, il silenzio sul precedente e la costruzione pubblica del Moro non più sé stesso, appartiene ai capitoli censiti; qui il registro consegna il punto dottrinale nudo: nella primavera del 1978 la questione non era se lo Stato italiano potesse trattare con organizzazioni armate, questione già risolta in fatto dalla prassi che il prigioniero conosceva e citava, ma se potesse ammettere di averlo già fatto, e la distanza tra le 2 domande, giuridicamente nulla e politicamente abissale, è lo spazio esatto in cui il caso si consumò.</w:t>
      </w:r>
    </w:p>
    <w:p>
      <w:pPr>
        <w:spacing w:after="120" w:line="276"/>
        <w:jc w:val="both"/>
      </w:pPr>
      <w:r>
        <w:rPr>
          <w:rFonts w:ascii="Barlow Semi Condensed" w:cs="Barlow Semi Condensed" w:eastAsia="Barlow Semi Condensed" w:hAnsi="Barlow Semi Condensed"/>
          <w:sz w:val="24"/>
          <w:szCs w:val="24"/>
        </w:rPr>
        <w:t xml:space="preserve">Il canale vaticano del quadrilatero epistolare ha una genealogia biografica che il registro deve premettere, perché senza di essa l'intensità dell'impegno pontificio resta inspiegata: il rapporto tra il prigioniero ed il papa affondava nel sodalizio nato mezzo secolo prima negli ambienti della Federazione universitaria cattolica italiana, della quale Giovanni Battista Montini era stato assistente ecclesiastico nazionale e Aldo Moro divenne presidente nazionale nel 1939, all'origine di una consuetudine personale e intellettuale protrattasi per l'intera parabola dei 2 uomini, sino a farne, nella primavera del 1978, il vertice della Chiesa ed il vertice del partito cattolico legati da un'amicizia quarantennale, Livello A quanto alla comune matrice fucina ed alla continuità documentata del rapporto. Il registro consegna la premessa alla sua funzione ermeneutica: l'appello del 21 aprile, la disponibilità riservata censita e la liturgia funebre presieduta di persona non furono atti di un'istituzione verso uno statista, ma di un uomo verso l'allievo ed amico di una vita, e questa qualità personale del canale, unica nell'intero quadrilatero, spiega tanto la sua straordinaria mobilitazione quanto il suo limite strutturale: il papa poteva offrire ciò che un amico possiede, la voce, il denaro, la preghiera, ma non ciò che il negoziato richiedeva, la potestà di liberare prigionieri altrui, sicché il canale più motivato del sistema era anche, per costituzione, il meno attrezzato, e la sproporzione tra il suo investimento e la sua capacità è la misura più commovente e più esatta dell'impotenza generale che il capitolo censisce.</w:t>
      </w:r>
    </w:p>
    <w:p>
      <w:pPr>
        <w:spacing w:after="120" w:line="276"/>
        <w:jc w:val="both"/>
      </w:pPr>
      <w:r>
        <w:rPr>
          <w:rFonts w:ascii="Barlow Semi Condensed" w:cs="Barlow Semi Condensed" w:eastAsia="Barlow Semi Condensed" w:hAnsi="Barlow Semi Condensed"/>
          <w:sz w:val="24"/>
          <w:szCs w:val="24"/>
        </w:rPr>
        <w:t xml:space="preserve">La mappa dei destinatari istituzionali si completa con la lettera al vertice del terzo potere rappresentativo, che il registro aggiunge al quadrilatero: il prigioniero scrisse anche al presidente della Camera Pietro Ingrao, investendo della questione la massima carica parlamentare espressa dall'opposizione comunista, con un testo che sollecitava l'assunzione di responsabilità delle istituzioni rappresentative accanto a quelle di governo e di partito già destinatarie del corpus censito, Livello A quanto alla lettera ed al suo destinatario. Il registro annota la razionalità della scelta: indirizzando la terza carica dello Stato, per giunta espressione del partito perno della fermezza, il prigioniero completava la copertura istituzionale del proprio sistema epistolare, governo, partito, Chiesa, famiglia e Parlamento, e costringeva formalmente anche il fronte comunista, sino ad allora raggiunto solo per interposta polemica, a ricevere ed archiviare una propria responsabilità documentale, sicché nessuna delle istituzioni della Repubblica avrebbe potuto dire, negli atti, di non essere stata personalmente investita, e l'architettura complessiva del corpus si rivela per ciò che il capitolo ha progressivamente documentato: non una raccolta di suppliche, ma una notificazione sistematica.</w:t>
      </w:r>
    </w:p>
    <w:p>
      <w:pPr>
        <w:spacing w:after="120" w:line="276"/>
        <w:jc w:val="both"/>
      </w:pPr>
      <w:r>
        <w:rPr>
          <w:rFonts w:ascii="Barlow Semi Condensed" w:cs="Barlow Semi Condensed" w:eastAsia="Barlow Semi Condensed" w:hAnsi="Barlow Semi Condensed"/>
          <w:sz w:val="24"/>
          <w:szCs w:val="24"/>
        </w:rPr>
        <w:t xml:space="preserve">Il memoriale contiene infine il suo versante economico-finanziario, che il registro censisce quale requisitoria postuma saldata alla prima fase dell'opera: nei fogli emersi il prigioniero trattò criticamente, tra l'altro, la vicenda dei salvataggi bancari legati al finanziere siciliano già censito nel quadrilatero della fase prima, ed i meccanismi del finanziamento occulto della politica, con giudizi netti sui costi di sistema di quelle operazioni e sulle responsabilità degli ambienti che le avevano patrocinate, Livello A quanto ai contenuti dei testi editi. Il registro fissa il valore architettonico del reperto: il massimo prigioniero politico della storia repubblicana dedicò parte della propria ultima scrittura esattamente ai crocevia tra finanza, partiti e protezioni che la fase prima di quest'opera ricostruisce, e questa convergenza tematica tra il memoriale del 1978 ed il registro del quadrilatero, formatasi per vie del tutto indipendenti, vale quale riscontro incrociato di prima grandezza: l'analisi che l'opera ha condotto sugli atti giudiziari coincide, nei suoi assi, con l'analisi che il testimone più interno del sistema politico consegnò alla propria prigione, e quando l'archivio e l'ostaggio, senza potersi parlare, descrivono la medesima macchina, il metodo registra la concordanza come si registra, in ogni scienza, la replica indipendente di un esperimento.</w:t>
      </w:r>
    </w:p>
    <w:p>
      <w:pPr>
        <w:spacing w:after="120" w:line="276"/>
        <w:jc w:val="both"/>
      </w:pPr>
      <w:r>
        <w:rPr>
          <w:rFonts w:ascii="Barlow Semi Condensed" w:cs="Barlow Semi Condensed" w:eastAsia="Barlow Semi Condensed" w:hAnsi="Barlow Semi Condensed"/>
          <w:sz w:val="24"/>
          <w:szCs w:val="24"/>
        </w:rPr>
        <w:t xml:space="preserve">La gestione del carteggio da parte dell'organizzazione esige il suo censimento strategico, che il registro formula sul piano delle tempistiche: le lettere non uscirono dalla prigione al ritmo della scrittura ma al ritmo della trattativa, con recapiti calibrati sulle scadenze politiche esterne, accelerazioni nei passaggi critici del negoziato pubblico e sospensioni nelle fasi di stallo, secondo una regia della corrispondenza che le ricostruzioni processuali e le stesse ammissioni successive dei carcerieri documentano, Livello A quanto alla gestione strumentale dei recapiti. Il registro fissa la conseguenza analitica che questa regia impone al lettore dell'epistolario: ogni lettera del corpus possiede 2 date, quella della scrittura, spesso ignota, e quella del recapito, sempre scelta, e la distanza tra le 2 è essa stessa un enunciato dell'organizzazione, non del prigioniero, sicché il carteggio del sequestro va letto quale opera a 2 autori asimmetrici, l'uomo che scriveva ciò che voleva e la struttura che consegnava ciò che serviva, e la filologia del caso, che l'opera ha praticato capitolo per capitolo, ha dovuto imparare a distinguere sistematicamente la voce dal megafono, perché confonderli significa attribuire al pensiero dell'ostaggio la strategia dei suoi custodi.</w:t>
      </w:r>
    </w:p>
    <w:p>
      <w:pPr>
        <w:spacing w:after="120" w:line="276"/>
        <w:jc w:val="both"/>
      </w:pPr>
      <w:r>
        <w:rPr>
          <w:rFonts w:ascii="Barlow Semi Condensed" w:cs="Barlow Semi Condensed" w:eastAsia="Barlow Semi Condensed" w:hAnsi="Barlow Semi Condensed"/>
          <w:sz w:val="24"/>
          <w:szCs w:val="24"/>
        </w:rPr>
        <w:t xml:space="preserve">Il carteggio possiede infine la sua cifra stilistica dominante, che il registro censisce quale reperto intellettuale: il prigioniero condusse la propria difesa con gli strumenti della propria scienza, ed il corpus delle lettere è attraversato da capo a fondo dalle categorie del giurista, la distinzione tra lo Stato ed il governo, la teoria dello stato di necessità invocata a fondamento dello scambio, la critica della linea della fermezza condotta quale eccezione di legittimità, il richiamo ai precedenti quale giurisprudenza dei casi, sino alla contestazione della rappresentanza di chi parlava in suo nome, Livello A quanto alla tessitura giuridica del corpus autentico. Il registro consegna la cifra alla sua interpretazione: l'ordinario di diritto che si trovò imputato davanti ad un tribunale illegale e condannato da uno Stato legale che lo dichiarava non negoziabile scrisse per 55 giorni la propria arringa in punta di diritto contro entrambe le giurisdizioni, e questa coerenza professionale estrema, mantenuta sino alle ultime righe, è insieme la prova di lucidità che le perizie certificarono contro la tesi della coercizione totale e la chiave della tragedia intellettuale del caso: l'uomo morì applicando impeccabilmente le categorie di un ordinamento che, nelle 2 versioni contrapposte davanti alle quali le difese, quella armata e quella ufficiale, le aveva entrambe già sospese.</w:t>
      </w:r>
    </w:p>
    <w:p>
      <w:pPr>
        <w:spacing w:after="120" w:line="276"/>
        <w:jc w:val="both"/>
      </w:pPr>
      <w:r>
        <w:rPr>
          <w:rFonts w:ascii="Barlow Semi Condensed" w:cs="Barlow Semi Condensed" w:eastAsia="Barlow Semi Condensed" w:hAnsi="Barlow Semi Condensed"/>
          <w:sz w:val="24"/>
          <w:szCs w:val="24"/>
        </w:rPr>
        <w:t xml:space="preserve">L'epistolario esige infine la distinzione dei suoi 2 registri, che il registro censisce quale ultima chiave di lettura: accanto al corpus politico indirizzato agli uomini dello Stato e del partito, il carteggio comprende le lettere alla famiglia, alla moglie ed ai figli, un canale parallelo dal tono radicalmente altro, spogliato di ogni categoria giuridica e negoziale, fatto di disposizioni domestiche, di congedi e di fede, che le perizie hanno certificato con la medesima autenticità del corpus maggiore e che la vedova, testimone poi centrale in ogni ciclo processuale, custodì e consegnò nelle forme che gli atti documentano, Livello A quanto al doppio registro ed alla sua autenticità. Il registro consegna la compresenza alla sua funzione probatoria e umana insieme: la coesistenza, nelle stesse settimane e dalla stessa cella, della più lucida contro-argomentazione giuridica del caso e del più disadorno congedo familiare della letteratura civile italiana è la prova interna definitiva contro ogni tesi di coercizione totale della scrittura, perché si può dettare una linea, non si possono dettare 2 voci, e l'uomo che nelle lettere politiche combatteva e in quelle familiari si congedava dimostrò, con la semplice tenuta dei 2 registri, di essere rimasto sino all'ultimo il padrone della propria mente, che è poi l'unica sovranità che i 55 giorni non riuscirono a sequestrare.</w:t>
      </w:r>
    </w:p>
    <w:p>
      <w:pPr>
        <w:spacing w:after="120" w:line="276"/>
        <w:jc w:val="both"/>
      </w:pPr>
      <w:r>
        <w:rPr>
          <w:rFonts w:ascii="Barlow Semi Condensed" w:cs="Barlow Semi Condensed" w:eastAsia="Barlow Semi Condensed" w:hAnsi="Barlow Semi Condensed"/>
          <w:sz w:val="24"/>
          <w:szCs w:val="24"/>
        </w:rPr>
        <w:t xml:space="preserve">Il corpus degli scritti possiede infine il suo confine documentale esatto, che la triangolazione con il giacimento testuale integrale consegna all'edizione definitiva: la raccolta digitale complessiva della produzione pubblica dell'uomo, 1.062 documenti ordinati cronologicamente dal primo scritto giovanile del luglio 1932 all'ultimo testo libero, reca quale data terminale il 6 marzo 1978, 10 giorni esatti prima dell'agguato, Livello A quale perimetro del corpus censito. Il registro consegna il confine alla sua eloquenza involontaria: 46 anni di scrittura pubblica ininterrotta, dalla formazione negli organismi cattolici alla riflessione costituente sino agli interventi dell'ultima stagione politica, si arrestano su un testo che il suo autore non poteva sapere ultimo, e la produzione successiva, il carteggio ed il memoriale della prigionia che questo capitolo ha censito, appartiene ad un regime documentale radicalmente altro, scritto in cattività e recapitato da altri, sicché l'opera omnia dell'uomo si divide con esattezza da archivio in 2 corpora incommensurabili, la voce libera che si spegne il 6 marzo e la voce prigioniera che comincia dopo il 16, e lo iato di 10 giorni tra le 2, il silenzio documentale della vigilia, è l'ultimo reperto che la filologia del caso consegna alla storia: il punto esatto in cui una biografia intellettuale di mezzo secolo divenne, senza saperlo, un'eredità.</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documentale certifica al Livello A il corpus delle lettere e la sequenza dei 2 ritrovamenti di via Monte Nevoso del 1 ottobre 1978 e del 9 ottobre 1990, con la maggiore estensione del secondo compendio e l'assenza perpetua degli originali; la lettura della lucidità del prigioniero è certificata al Livello B; le questioni della completezza del memoriale e dell'intenzionalità della mancata scoperta del 1978 restano al Livello C sotto divieto inferenziale; e l'enunciato del prigioniero sulle strutture di emergenza atlantiche è elevato al Livello B quale dichiarazione riscontrata dalla rivelazione indipendente del 1990.</w:t>
      </w:r>
    </w:p>
    <w:p>
      <w:pPr>
        <w:pStyle w:val="Heading3"/>
        <w:spacing w:after="80" w:before="160"/>
      </w:pPr>
      <w:r>
        <w:rPr>
          <w:rFonts w:ascii="Barlow Semi Condensed" w:cs="Barlow Semi Condensed" w:eastAsia="Barlow Semi Condensed" w:hAnsi="Barlow Semi Condensed"/>
          <w:sz w:val="24"/>
          <w:szCs w:val="24"/>
        </w:rPr>
        <w:t xml:space="preserve">Capitolo 6 — ■ Via Caetani, 9 maggio 1978. L'epilogo, il giudicato dell'esecuzione e la geografia del messaggio</w:t>
      </w:r>
    </w:p>
    <w:p>
      <w:pPr>
        <w:spacing w:after="120" w:line="276"/>
        <w:jc w:val="both"/>
      </w:pPr>
      <w:r>
        <w:rPr>
          <w:rFonts w:ascii="Barlow Semi Condensed" w:cs="Barlow Semi Condensed" w:eastAsia="Barlow Semi Condensed" w:hAnsi="Barlow Semi Condensed"/>
          <w:sz w:val="24"/>
          <w:szCs w:val="24"/>
        </w:rPr>
        <w:t xml:space="preserve">Il ritrovamento del corpo di Aldo Moro, la mattina del 9 maggio 1978 nel bagagliaio di una Renault 4 rossa parcheggiata in via Michelangelo Caetani, nel centro di Roma, è il nodo-evento terminale della sequenza, e il registro lo tratta nei suoi 3 contenuti: il giudicato dell'esecuzione, la scelta del luogo, la chiusura del ciclo. La scansione del corpus registra il toponimo 96 volte in 15 documenti.</w:t>
      </w:r>
    </w:p>
    <w:p>
      <w:pPr>
        <w:spacing w:after="120" w:line="276"/>
        <w:jc w:val="both"/>
      </w:pPr>
      <w:r>
        <w:rPr>
          <w:rFonts w:ascii="Barlow Semi Condensed" w:cs="Barlow Semi Condensed" w:eastAsia="Barlow Semi Condensed" w:hAnsi="Barlow Semi Condensed"/>
          <w:sz w:val="24"/>
          <w:szCs w:val="24"/>
        </w:rPr>
        <w:t xml:space="preserve">Il primo pilastro è il giudicato dell'esecuzione, certificato al Livello A. All'esito dei procedimenti, la ricostruzione irrevocabile colloca l'esecuzione nella prima mattina del 9 maggio: il prigioniero fu fatto scendere nel garage dello stabile di via Montalcini, posto nel bagagliaio della vettura e ucciso con una raffica di mitraglietta Skorpion calibro 7,65 munita di silenziatore e con colpi d'arma corta, esplosi da Mario Moretti, con il concorso accertato degli uomini della prigione; la vettura fu quindi condotta nel centro della città e abbandonata in via Caetani, e l'organizzazione ne annunciò la posizione con la telefonata che chiuse i 55 giorni. Il registro certifica al Livello A l'esecuzione, il suo autore materiale e la catena deliberativa interna che la precedette, quale risultanza dei giudicati, ivi compresa la decisione finale maturata al vertice dell'organizzazione dopo il fallimento di ogni prospettiva di scambio; e annota, quale dato del piano primo con rilievo sul piano interpretativo, che la fase finale fu preceduta, dentro l'organizzazione, da un dissenso documentato, con la contrarietà all'esecuzione di una parte della colonna romana, emersa negli atti e nelle successive separazioni: la deliberazione fu dell'organizzazione, ma non fu unanime, e la successiva scissione della componente contraria appartiene alla storia giudicata del dopo.</w:t>
      </w:r>
    </w:p>
    <w:p>
      <w:pPr>
        <w:spacing w:after="120" w:line="276"/>
        <w:jc w:val="both"/>
      </w:pPr>
      <w:r>
        <w:rPr>
          <w:rFonts w:ascii="Barlow Semi Condensed" w:cs="Barlow Semi Condensed" w:eastAsia="Barlow Semi Condensed" w:hAnsi="Barlow Semi Condensed"/>
          <w:sz w:val="24"/>
          <w:szCs w:val="24"/>
        </w:rPr>
        <w:t xml:space="preserve">Il secondo pilastro è la geografia del messaggio, che il registro tratta con la distinzione consueta tra il fatto e la lettura. Via Caetani si trova nel cuore del centro storico romano, a distanza pedonale tanto dalla sede nazionale della Democrazia Cristiana in piazza del Gesù quanto da quella del Partito comunista in via delle Botteghe Oscure: la collocazione del corpo in quel punto fu universalmente letta, sin dalle prime ore, quale messaggio simbolico di equidistanza, il corpo del mediatore deposto a metà strada tra i 2 partiti del compromesso. Il registro certifica al Livello A la topografia, che è un fatto misurabile, e registra la lettura simbolica quale interpretazione dominante e verosimile, mantenendola tuttavia nel registro delle letture e non dei fatti, giacché la scelta del luogo non è mai stata oggetto di una ricostruzione giudiziaria delle intenzioni che ne certifichi il significato; l'annotazione metodologica è che la potenza semantica di un luogo non ne certifica la deliberazione semantica, e che il registro, anche nel punto di massima suggestione dell'intera vicenda, mantiene la linea.</w:t>
      </w:r>
    </w:p>
    <w:p>
      <w:pPr>
        <w:spacing w:after="120" w:line="276"/>
        <w:jc w:val="both"/>
      </w:pPr>
      <w:r>
        <w:rPr>
          <w:rFonts w:ascii="Barlow Semi Condensed" w:cs="Barlow Semi Condensed" w:eastAsia="Barlow Semi Condensed" w:hAnsi="Barlow Semi Condensed"/>
          <w:sz w:val="24"/>
          <w:szCs w:val="24"/>
        </w:rPr>
        <w:t xml:space="preserve">Il terzo pilastro è la chiusura del ciclo e l'apertura del dopo, che il registro censisce quale cerniera. Con il 9 maggio si chiuse il sequestro e si aprì la stagione dei processi, delle commissioni e della memoria, che i capitoli satellite della fase percorrono; il registro fissa qui i 2 dati di chiusura certificati al Livello A: la fine del progetto politico della solidarietà nazionale, consumatasi nei mesi successivi con l'esaurimento della legislatura e della formula, quale esito storico oggettivo già annotato nel capitolo 1; e l'avvio, entro poche settimane, della prima inchiesta parlamentare, destinata a inaugurare la più lunga serie di inchieste su un singolo evento della storia repubblicana. Il registro annota infine il dato umano che la disciplina delle vittime impone di trascrivere: con Aldo Moro, la vicenda conta i 5 uomini della scorta caduti il 16 marzo, i cui nomi il capitolo 2 ha consegnato, e il registro li unisce in un solo elenco di 6 nomi quale perimetro umano del nodo.</w:t>
      </w:r>
    </w:p>
    <w:p>
      <w:pPr>
        <w:spacing w:after="120" w:line="276"/>
        <w:jc w:val="both"/>
      </w:pPr>
      <w:r>
        <w:rPr>
          <w:rFonts w:ascii="Barlow Semi Condensed" w:cs="Barlow Semi Condensed" w:eastAsia="Barlow Semi Condensed" w:hAnsi="Barlow Semi Condensed"/>
          <w:sz w:val="24"/>
          <w:szCs w:val="24"/>
        </w:rPr>
        <w:t xml:space="preserve">Il quarto pilastro è la formazione processuale della verità sull'esecuzione, che il registro ricostruisce quale caso di scuola della stratificazione delle fonti. La ricostruzione oggi giudicata non fu disponibile per anni: le prime versioni processuali lasciarono aperte l'identità dell'esecutore materiale e la scena finale, e la verità si compose per apporti successivi, il memoriale difensivo consegnato da Valerio Morucci e Adriana Faranda a cavallo del 1990, che fissò la versione interna dell'organizzazione sulla dinamica conclusiva, le progressive ammissioni di Moretti, e l'identificazione nel 1993 di Germano Maccari, il quarto uomo, la cui posizione fu giudicata nell'ultimo procedimento con la ricostruzione definitiva della mattina del 9 maggio. Il registro certifica al Livello A questa stratigrafia della verità, quale storia documentale del piano primo, e ne trae 2 annotazioni. La prima è metodologica: la verità giudicata dell'esecuzione è figlia di fonti interne all'organizzazione, maturate in tempi e con interessi diversi, e la sua solidità attuale deriva dalla convergenza finale di dichiarazioni indipendenti su un nucleo fattuale stabile, secondo il criterio di consilienza che il registro applica; le divergenze residue tra le versioni, su dettagli della scena e dei presenti, sono censite negli atti e non intaccano il nucleo giudicato. La seconda annotazione è sistemica: la circostanza che l'identità completa degli uomini della prigione sia rimasta ignota allo Stato per 15 anni, e sia emersa per via confessoria e non investigativa, misura retrospettivamente la qualità della compartimentazione dell'organizzazione e, insieme, il fallimento certificato delle ricerche del piano secondo, saldando i 2 piani nel loro rapporto documentale senza trasferire nulla dall'uno all'altro.</w:t>
      </w:r>
    </w:p>
    <w:p>
      <w:pPr>
        <w:spacing w:after="120" w:line="276"/>
        <w:jc w:val="both"/>
      </w:pPr>
      <w:r>
        <w:rPr>
          <w:rFonts w:ascii="Barlow Semi Condensed" w:cs="Barlow Semi Condensed" w:eastAsia="Barlow Semi Condensed" w:hAnsi="Barlow Semi Condensed"/>
          <w:sz w:val="24"/>
          <w:szCs w:val="24"/>
        </w:rPr>
        <w:t xml:space="preserve">Il quinto pilastro è la dimensione vaticana della vicenda, che il registro censisce quale arco della fase verso il Dominio 5, sinora assente dal quadro. Il 21 aprile 1978 Paolo VI, legato a Moro da un'amicizia risalente agli anni della comune formazione universitaria cattolica, rese pubblica una lettera autografa indirizzata agli uomini delle Brigate Rosse, nella quale implorava in ginocchio la liberazione del prigioniero, senza condizioni: la formula, che escludeva lo scambio, fu essa stessa oggetto di lettura politica, quale allineamento alla fermezza, e le acquisizioni successive hanno documentato che, accanto al gesto pubblico, la Santa Sede esplorò canali riservati per la liberazione, sino alla predisposizione, riferita da fonti convergenti degli ambienti coinvolti, di una disponibilità economica per un riscatto che non trovò controparte. Il registro certifica al Livello A la lettera pubblica e la sua formula, quali fatti documentali, e al Livello B l'esplorazione riservata e la disponibilità al riscatto, quale convergenza di fonti testimoniali qualificate non consacrata da riscontro documentale integrale; e certifica al Livello A l'epilogo liturgico della vicenda, la partecipazione del pontefice alla commemorazione solenne in San Giovanni in Laterano del 13 maggio, celebrata in assenza della salma per volontà della famiglia, che aveva rifiutato le esequie di Stato in ottemperanza alle disposizioni del prigioniero, con l'orazione nella quale Paolo VI rivolse a Dio la domanda sul mancato esaudimento della supplica. L'annotazione reticolare chiude il pilastro: il Dominio 5 entra nel caso Moro dal lato opposto a quello che l'opera gli ha sinora censito, non la finanza dello IOR ma la persona del pontefice, e l'arco documentato, il tentativo riservato di riscatto, è un arco di soccorso fallito, non di potere: il registro lo trascrive quale promemoria che la rete dei domini contiene anche archi di questa natura, e che la loro rarità nel corpus è essa stessa un dato.</w:t>
      </w:r>
    </w:p>
    <w:p>
      <w:pPr>
        <w:spacing w:after="120" w:line="276"/>
        <w:jc w:val="both"/>
      </w:pPr>
      <w:r>
        <w:rPr>
          <w:rFonts w:ascii="Barlow Semi Condensed" w:cs="Barlow Semi Condensed" w:eastAsia="Barlow Semi Condensed" w:hAnsi="Barlow Semi Condensed"/>
          <w:sz w:val="24"/>
          <w:szCs w:val="24"/>
        </w:rPr>
        <w:t xml:space="preserve">Il sesto pilastro ricostruisce la giornata del 9 maggio nei suoi atti documentati. Poco dopo mezzogiorno, alle 12:13, Valerio Morucci telefonò al professor Franco Tritto, assistente e amico di Moro, incaricandolo di comunicare alla famiglia che il corpo del presidente si trovava in via Caetani, in una Renault 4 rossa: la telefonata, registrata, è l'atto conclusivo della comunicazione dell'organizzazione, e il registro la certifica al Livello A nel suo testo e nella sua ora. Il ritrovamento seguì nel primo pomeriggio, con le procedure di bonifica del veicolo e il riconoscimento alla presenza delle autorità; gli accertamenti medico-legali collocarono la morte nella mattinata stessa, e fissarono il quadro delle lesioni, la raffica della mitraglietta silenziata e i colpi d'arma corta al torace, con la ricostruzione della posizione del corpo nel bagagliaio al momento del fuoco. Alle risultanze appartengono i reperti sugli abiti e sul corpo che alimentarono la questione dei luoghi: tracce di sabbia negli abiti e nei risvolti, residui vegetali e altri elementi che le perizie giudicarono compatibili con un ambiente litoraneo, e che nessuna delle prigioni accertate spiega; il registro certifica al Livello A l'esistenza dei reperti, quale dato peritale, e mantiene al Livello C ogni ricostruzione che ne derivi, dal soggiorno marino del prigioniero alla contaminazione deliberata a fini diversivi, annotando che i reperti costituiscono l'anomalia materiale terminale della vicenda, discussa da ogni stagione d'inchiesta e risolta da nessuna, e che la loro coesistenza con la ricostruzione giudicata della prigione unica di via Montalcini è il punto in cui il piano primo e il piano secondo si toccano senza comporsi.</w:t>
      </w:r>
    </w:p>
    <w:p>
      <w:pPr>
        <w:spacing w:after="120" w:line="276"/>
        <w:jc w:val="both"/>
      </w:pPr>
      <w:r>
        <w:rPr>
          <w:rFonts w:ascii="Barlow Semi Condensed" w:cs="Barlow Semi Condensed" w:eastAsia="Barlow Semi Condensed" w:hAnsi="Barlow Semi Condensed"/>
          <w:sz w:val="24"/>
          <w:szCs w:val="24"/>
        </w:rPr>
        <w:t xml:space="preserve">Il settimo pilastro registra la coincidenza di calendario che congiunge, nella medesima notte, il caso Moro e il Dominio 1, e che il registro trascrive quale atto dovuto e quale filo reticolare. Nella notte tra l'8 e il 9 maggio 1978, a Cinisi, in Sicilia, fu assassinato Giuseppe Impastato, il militante che dai microfoni di una radio libera conduceva da anni la denuncia pubblica del potere mafioso locale e del suo capo, Gaetano Badalamenti: il corpo fu dilaniato da una carica di esplosivo sui binari della ferrovia, in una messinscena che orientò le prime indagini verso l'ipotesi dell'attentato terroristico finito male o del suicidio, e la notizia fu sommersa, nel giorno del ritrovamento di via Caetani, dall'evento nazionale. La verità giudiziaria giunse a distanza di decenni: l'accertamento della matrice mafiosa del delitto, la condanna nel 2001 di Vito Palazzolo e la condanna all'ergastolo, pronunciata dalla Corte d'assise di Palermo nell'aprile 2002, di Gaetano Badalamenti quale mandante. Il registro certifica al Livello A l'omicidio, la messinscena depistante originaria e gli esiti di condanna del filone, nomina la vittima, e dichiara il duplice rilievo della trascrizione: il primo è documentale, giacché la sovrapposizione di calendario produsse, quale effetto certificato, l'oscuramento informativo del delitto di Cinisi, un caso di scuola della gerarchia dell'attenzione che il metodo dell'opera ha codificato quale effetto lampione; il secondo è reticolare, giacché il nome di Gaetano Badalamenti, mandante condannato per Impastato, è il medesimo che il capitolo successivo registra quale imputato assolto in via definitiva per l'omicidio Pecorelli, e la compresenza dei 2 esiti opposti sul medesimo nodo, una condanna irrevocabile e un'assoluzione irrevocabile per 2 omicidi della stessa stagione, è il promemoria terminale della disciplina dell'opera: il registro segue gli esiti, ciascuno nel proprio segno, e il nodo Badalamenti li porta entrambi.</w:t>
      </w:r>
    </w:p>
    <w:p>
      <w:pPr>
        <w:spacing w:after="120" w:line="276"/>
        <w:jc w:val="both"/>
      </w:pPr>
      <w:r>
        <w:rPr>
          <w:rFonts w:ascii="Barlow Semi Condensed" w:cs="Barlow Semi Condensed" w:eastAsia="Barlow Semi Condensed" w:hAnsi="Barlow Semi Condensed"/>
          <w:sz w:val="24"/>
          <w:szCs w:val="24"/>
        </w:rPr>
        <w:t xml:space="preserve">L'ottavo pilastro censisce le reazioni istituzionali del 9 maggio e dei giorni seguenti. La notizia raggiunse le Camere in seduta e i lavori furono sospesi tra scene di commozione documentate dai resoconti; il presidente della Repubblica Giovanni Leone, che nei giorni precedenti aveva tenuto pronta, per convergenti testimonianze, l'ipotesi estrema di un atto di clemenza, firmò il messaggio di cordoglio alla famiglia; i capi di Stato e di governo dell'occidente inviarono i messaggi che la diplomazia registrò; le confederazioni proclamarono la fermata generale e le piazze si riempirono per la seconda volta in 55 giorni, ora nel lutto; e il ministro dell'interno rassegnò le dimissioni censite nel capitolo della gestione, unico atto formale di responsabilità dell'intera vicenda. Il registro certifica al Livello A la sequenza delle reazioni, quale materia documentale, e vi salda il dato politico già fissato: la solidarietà nazionale sopravvisse alla morte dell'uomo che l'aveva costruita per soli 8 mesi, e la stagione che il sequestro avrebbe dovuto, nelle intenzioni giudicate dell'organizzazione, far esplodere si spense invece per consunzione, senza che nessuna delle forze vi rinvenisse più l'interesse che l'architetto vi aveva costruito; il registro certifica la cronologia della dissoluzione quale fatto e la consegna, senza inferenze, al bilancio della fase.</w:t>
      </w:r>
    </w:p>
    <w:p>
      <w:pPr>
        <w:spacing w:after="120" w:line="276"/>
        <w:jc w:val="both"/>
      </w:pPr>
      <w:r>
        <w:rPr>
          <w:rFonts w:ascii="Barlow Semi Condensed" w:cs="Barlow Semi Condensed" w:eastAsia="Barlow Semi Condensed" w:hAnsi="Barlow Semi Condensed"/>
          <w:sz w:val="24"/>
          <w:szCs w:val="24"/>
        </w:rPr>
        <w:t xml:space="preserve">Il nono pilastro censisce i rilievi sul veicolo e sulla scena di via Caetani. La Renault 4 rossa, risultata rubata a Roma nelle settimane precedenti, fu rinvenuta parcheggiata sul lato della via, con il corpo nel bagagliaio coperto da un plaid, e i rilievi consegnarono il quadro dei bossoli, delle tracce ematiche e dei reperti sugli abiti già censiti; la scelta del luogo, la piccola via del centro storico equidistante, nella topografia simbolica immediatamente rilevata dalle cronache, dalle sedi nazionali della Democrazia Cristiana in piazza del Gesù e del Partito comunista in via delle Botteghe Oscure, fu letta sin dal primo giorno quale messaggio spaziale dell'organizzazione ai 2 poli della trattativa negata; il registro certifica al Livello A i dati materiali dei rilievi e la topografia oggettiva del punto, quale dato cartografico, e mantiene al Livello B la lettura intenzionale della scelta, quale convergenza delle fonti interne che l'hanno successivamente confermata, annotando che la collocazione appartiene comunque, quale fatto spaziale, al Pattern 10 dell'opera: l'ultimo atto dell'operazione fu consegnato nel cuore geografico del potere politico romano, a poche centinaia di metri dai 2 vertici del sistema che l'operazione aveva inteso colpire, e la geografia, in questo caso, è essa stessa un documento.</w:t>
      </w:r>
    </w:p>
    <w:p>
      <w:pPr>
        <w:spacing w:after="120" w:line="276"/>
        <w:jc w:val="both"/>
      </w:pPr>
      <w:r>
        <w:rPr>
          <w:rFonts w:ascii="Barlow Semi Condensed" w:cs="Barlow Semi Condensed" w:eastAsia="Barlow Semi Condensed" w:hAnsi="Barlow Semi Condensed"/>
          <w:sz w:val="24"/>
          <w:szCs w:val="24"/>
        </w:rPr>
        <w:t xml:space="preserve">Il decimo pilastro censisce l'iconografia e la memoria materiale della vicenda. Il caso ha consegnato alla memoria nazionale un apparato visivo circoscritto e definitivo: le 2 fotografie della prigionia diffuse con i comunicati, il prigioniero davanti alla bandiera dell'organizzazione, divenute i documenti visivi più riprodotti della storia repubblicana; le immagini di via Fani e quelle di via Caetani; e la lapide che segna il luogo del ritrovamento, meta della commemorazione istituzionale annuale del 9 maggio, data che la Repubblica ha successivamente consacrato quale giorno della memoria delle vittime del terrorismo. Il registro certifica al Livello A questo apparato, quale dato della memoria pubblica documentata, e ne trae l'annotazione analitica pertinente al Dominio 8: l'organizzazione governò integralmente la produzione iconografica della vicenda, giacché le uniche immagini del prigioniero nei 55 giorni furono quelle che essa scelse di produrre e diffondere, e lo Stato non dispose mai di un solo elemento visivo autonomo; il monopolio dell'immagine, corollario del monopolio comunicativo censito nel capitolo della gestione, completa il quadro della asimmetria informativa che il registro ha certificato quale struttura della crisi.</w:t>
      </w:r>
    </w:p>
    <w:p>
      <w:pPr>
        <w:spacing w:after="120" w:line="276"/>
        <w:jc w:val="both"/>
      </w:pPr>
      <w:r>
        <w:rPr>
          <w:rFonts w:ascii="Barlow Semi Condensed" w:cs="Barlow Semi Condensed" w:eastAsia="Barlow Semi Condensed" w:hAnsi="Barlow Semi Condensed"/>
          <w:sz w:val="24"/>
          <w:szCs w:val="24"/>
        </w:rPr>
        <w:t xml:space="preserve">L'undicesimo pilastro censisce le risultanze medico-legali e le verifiche dell'ultima stagione sulla scena finale. Gli accertamenti autoptici, oltre a fissare l'orario della morte nella mattinata e il quadro delle lesioni da arma da fuoco, documentarono l'assenza di segni di sevizie o di maltrattamenti fisici pregressi e condizioni generali compatibili con una custodia materialmente non vessatoria, un dato che il registro certifica al Livello A quale risultanza peritale e che appartiene alla fisionomia documentata della prigionia, coerente con la natura politica che l'organizzazione assegnò al sequestro; la Commissione della XVII legislatura sottopose la scena finale a verifiche integrative, dalla percorribilità del tragitto tra via Montalcini e via Caetani nella mattinata del 9 maggio alla compatibilità della sequenza oraria giudicata, con la telefonata delle 12:13 e il ritrovamento, sino ai reperti del veicolo, e le verifiche, condotte con i mezzi tecnici contemporanei, non produssero elementi idonei a modificare la ricostruzione giudicata, pur mantenendo censite le anomalie materiali già registrate, la sabbia e i residui; il registro certifica al Livello A l'esistenza e l'esito confermativo delle verifiche, quali dati degli atti dell'ultima Commissione, e chiude con la formalizzazione propria del suo metodo: la scena di via Caetani è stata riesaminata da 3 generazioni di tecnici con strumenti crescenti e ha restituito sempre il medesimo nucleo giudicato e le medesime code non risolte, sicché il registro può certificare, caso raro nell'opera, tanto la stabilità del nucleo quanto la resistenza delle anomalie, e dichiarare che ogni loro futura soluzione dovrà venire da fonti nuove e non da nuove perizie sul già noto.</w:t>
      </w:r>
    </w:p>
    <w:p>
      <w:pPr>
        <w:spacing w:after="120" w:line="276"/>
        <w:jc w:val="both"/>
      </w:pPr>
      <w:r>
        <w:rPr>
          <w:rFonts w:ascii="Barlow Semi Condensed" w:cs="Barlow Semi Condensed" w:eastAsia="Barlow Semi Condensed" w:hAnsi="Barlow Semi Condensed"/>
          <w:sz w:val="24"/>
          <w:szCs w:val="24"/>
        </w:rPr>
        <w:t xml:space="preserve">Il dodicesimo pilastro censisce il congedo pubblico, la cerimonia del 13 maggio e il rispetto delle disposizioni. La famiglia, in ottemperanza alla volontà scritta del prigioniero, rifiutò i funerali di Stato e ogni presenza degli uomini del potere alle esequie, che si svolsero in forma privata a Torrita Tiberina, il borgo laziale del rifugio familiare, dove Moro fu sepolto; lo Stato celebrò nondimeno, il 13 maggio 1978, la cerimonia solenne nella basilica di San Giovanni in Laterano, alla presenza delle massime cariche della Repubblica e con l'omelia di Paolo VI, che vi pronunciò la preghiera del congedo rimasta negli atti della stagione, e la cerimonia si svolse senza la salma, il feretro essendo assente per volontà della famiglia: il rito di Stato per l'uomo di Stato si celebrò dinanzi a una navata senza bara. Il registro certifica al Livello A la sequenza, il rifiuto, la sepoltura privata e la cerimonia senza salma, quali dati documentali, e ne dichiara il valore di reperto: l'immagine del funerale di Stato senza il corpo è la traduzione liturgica esatta della frattura che le lettere avevano consumato, la separazione dichiarata tra l'uomo e il sistema che non lo aveva salvato, eseguita dalla famiglia con lo strumento che il prigioniero stesso aveva predisposto, le disposizioni testamentarie censite quale ultimo atto politico; il registro annota che nessun altro passaggio della vicenda condensa con eguale precisione documentale il giudizio del prigioniero sulla propria classe dirigente, un giudizio consegnato non a una tesi ma a un'assenza, e trascrive il reperto, con la data e i fatti, quale sigillo simbolico certificato dell'epilogo.</w:t>
      </w:r>
    </w:p>
    <w:p>
      <w:pPr>
        <w:spacing w:after="120" w:line="276"/>
        <w:jc w:val="both"/>
      </w:pPr>
      <w:r>
        <w:rPr>
          <w:rFonts w:ascii="Barlow Semi Condensed" w:cs="Barlow Semi Condensed" w:eastAsia="Barlow Semi Condensed" w:hAnsi="Barlow Semi Condensed"/>
          <w:sz w:val="24"/>
          <w:szCs w:val="24"/>
        </w:rPr>
        <w:t xml:space="preserve">Il tredicesimo pilastro ricostruisce la sequenza operativa del ritrovamento, le ore tra la telefonata e l'apertura del portellone. La telefonata delle 12:13 di Morucci a Franco Tritto indicò con precisione il luogo, la Renault 4 rossa in via Caetani; la segnalazione risalì la catena sino alle centrali operative e le prime pattuglie individuarono il veicolo nel primo pomeriggio; il timore, procedurale e fondato, che l'auto fosse una trappola esplosiva impose l'intervento degli artificieri e la bonifica preliminare, che dilatò i tempi dinanzi alla via progressivamente presidiata da autorità, operatori e cronisti; all'esito della bonifica, l'apertura del portellone rivelò il corpo sotto il plaid, e il riconoscimento fu compiuto sul posto, mentre la notizia, già propagata dalle agenzie, raggiungeva il Paese; nelle ore successive la salma fu trasferita per gli accertamenti medico-legali censiti. Il registro certifica al Livello A la sequenza, quale materia dei verbali e delle cronache convergenti, e ne trae 2 annotazioni. La prima è documentale: le immagini di via Caetani, il portellone aperto, il corpo composto, divennero in poche ore l'iconografia definitiva dell'epilogo, prodotte questa volta non dall'organizzazione ma dallo Stato e dalla stampa, sicché il monopolio iconografico dell'organizzazione, certificato per i 55 giorni, cessò esattamente nel momento della consegna, e il passaggio di mano delle immagini coincise con il passaggio di mano del corpo, una simmetria che il registro trascrive quale dato della storia visiva del caso. La seconda è procedurale: la bonifica degli artificieri, imposta dal timore della trappola, documenta che lo Stato trattò sino all'ultimo minuto l'organizzazione quale nemico militare capace di ogni ulteriore offesa, e la circostanza che l'ultimo atto della crisi sia stato un atto di guerra preventiva su un veicolo che conteneva soltanto il corpo è la chiusura fattuale, priva di commento, che il registro consegna al capitolo.</w:t>
      </w:r>
    </w:p>
    <w:p>
      <w:pPr>
        <w:spacing w:after="120" w:line="276"/>
        <w:jc w:val="both"/>
      </w:pPr>
      <w:r>
        <w:rPr>
          <w:rFonts w:ascii="Barlow Semi Condensed" w:cs="Barlow Semi Condensed" w:eastAsia="Barlow Semi Condensed" w:hAnsi="Barlow Semi Condensed"/>
          <w:sz w:val="24"/>
          <w:szCs w:val="24"/>
        </w:rPr>
        <w:t xml:space="preserve">Il quattordicesimo pilastro censisce la consacrazione memoriale, l'ultimo esito istituzionale della data. Con la legge del 4 maggio 2007, la Repubblica ha istituito il Giorno della memoria dedicato alle vittime del terrorismo e delle stragi di tale matrice, fissandolo al 9 maggio, l'anniversario del ritrovamento di via Caetani, e saldando così, per scelta del legislatore, la memoria dell'intera stagione delle vittime alla data dell'epilogo del caso Moro; da allora la ricorrenza è celebrata annualmente con la cerimonia al Quirinale alla presenza dei familiari delle vittime di ogni matrice, e le lapidi di via Fani e di via Caetani sono divenute le stazioni della commemorazione istituzionale romana. Il registro certifica al Livello A la legge, la data prescelta e la prassi celebrativa, quali dati normativi e istituzionali, e ne trae l'annotazione analitica che chiude il versante memoriale: la scelta del 9 maggio quale giorno della memoria di tutte le vittime ha elevato il caso Moro a metonimia ufficiale dell'intera stagione, l'evento singolo che rappresenta, nel calendario civile, la totalità del fenomeno, e questa funzione rappresentativa, sancita per legge, è la traduzione istituzionale della centralità che il grafo dell'opera ha misurato per via documentale, il nodo di massima densità divenuto, anche nella liturgia repubblicana, il nome di tutto il resto; il registro trascrive la convergenza tra la misura reticolare e la scelta memoriale quale dato, annotando che essa conferma dall'esterno, con gli strumenti della legge, ciò che il metodo ha certificato dall'interno con gli strumenti della rete.</w:t>
      </w:r>
    </w:p>
    <w:p>
      <w:pPr>
        <w:spacing w:after="120" w:line="276"/>
        <w:jc w:val="both"/>
      </w:pPr>
      <w:r>
        <w:rPr>
          <w:rFonts w:ascii="Barlow Semi Condensed" w:cs="Barlow Semi Condensed" w:eastAsia="Barlow Semi Condensed" w:hAnsi="Barlow Semi Condensed"/>
          <w:sz w:val="24"/>
          <w:szCs w:val="24"/>
        </w:rPr>
        <w:t xml:space="preserve">Il quindicesimo pilastro ricostruisce la cronologia della decisione terminale, i 4 giorni tra l'annuncio e l'esecuzione. Il comunicato numero 9 del 5 maggio dichiarò conclusa la battaglia e annunciò l'esecuzione della sentenza, chiudendo formalmente la fase della trattativa negata; nei 4 giorni successivi si consumò la corsa asimmetrica che gli atti documentano, da un lato la maturazione, nel campo della linea umanitaria, dell'apertura che Amintore Fanfani si apprestava a formalizzare nella direzione democristiana convocata per la mattina del 9 maggio, l'atto pubblico che avrebbe potuto riaprire il canale, dall'altro la deliberazione interna dell'organizzazione, assunta nelle forme non unanimi che i giudicati hanno accertato, con il dissenso della componente romana censita, ed eseguita da Moretti la mattina stessa del 9, poche ore prima che la direzione del partito si riunisse; la sequenza certificata consegna il dato temporale terminale della vicenda, l'esecuzione precedette di ore l'apertura politica che avrebbe potuto contenderla. Il registro certifica al Livello A il comunicato, la convocazione, la deliberazione non unanime e la cronologia incrociata, quali risultanze documentali e giudiziarie, e mantiene ai livelli propri le 2 letture che la sequenza ha storicamente generato, quella interna documentata, per cui l'organizzazione considerò l'apertura tardiva e strumentale e deliberò secondo la propria logica dichiarata, e quella eccedente, per cui la tempistica dell'esecuzione avrebbe risposto all'esigenza di impedire l'esito negoziale, lettura che presuppone una conoscenza anticipata dei tempi politici mai documentata e che il piano terzo custodisce al Livello C; il registro chiude il pilastro sul fatto nudo che nessuna lettura dissolve, la distanza di poche ore tra la morte dell'uomo e l'atto che avrebbe potuto salvarlo, la più stretta delle finestre critiche censite dal Pattern 3 nell'intera opera.</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via Montalcini-Moretti-esecuzione, è il triangolo del giudicato, certificato al Livello A. La seconda, via Caetani-piazza del Gesù-Botteghe Oscure, è il triangolo della geografia del messaggio, certificato al Livello A nella topografia e mantenuto nel registro delle letture quanto al significato. La terza, epilogo-fine della solidarietà nazionale-stagione delle inchieste, è il triangolo della cerniera storica, certificato al Livello A. Sul piano dei pattern, il nodo chiude il Pattern 3 della fase, fissando il termine della finestra dei 55 giorni, e attiva il Pattern 10 nella sua espressione più celebre, la convergenza spaziale di via Caetani quale punto geometrico del sistema politico; la lettura reticolare conclusiva riprenderà il dato quale emblema della centralità del mediatore anche nella morte.</w:t>
      </w:r>
    </w:p>
    <w:p>
      <w:pPr>
        <w:spacing w:after="120" w:line="276"/>
        <w:jc w:val="both"/>
      </w:pPr>
      <w:r>
        <w:rPr>
          <w:rFonts w:ascii="Barlow Semi Condensed" w:cs="Barlow Semi Condensed" w:eastAsia="Barlow Semi Condensed" w:hAnsi="Barlow Semi Condensed"/>
          <w:sz w:val="24"/>
          <w:szCs w:val="24"/>
        </w:rPr>
        <w:t xml:space="preserve">All'epilogo appartiene il suo capitolo liturgico, che il registro censisce quale reperto istituzionale senza precedenti né repliche. La famiglia, con una dichiarazione pubblica che rivendicava il silenzio dovuto alla volontà espressa dal prigioniero verso gli uomini del potere, rifiutò i funerali di Stato e ogni presenza delle cariche alla sepoltura: la salma fu tumulata in forma strettamente privata a Torrita Tiberina il 10 maggio, alla sola presenza dei congiunti. Tre giorni dopo, il 13 maggio 1978, la Repubblica celebrò ugualmente il proprio rito nella basilica di San Giovanni in Laterano: una messa esequiale senza feretro, officiata da Paolo VI in persona, dinanzi alle massime cariche dello Stato ed al corpo diplomatico, con l'assenza della famiglia e del corpo che trasformò la cerimonia nell'immagine più esatta dell'intera vicenda, lo Stato che onora ciò che non è riuscito a salvare, dinanzi ad una bara che non c'è, Livello A sull'intera sequenza documentata. Il registro annota la doppia eccezionalità: mai un pontefice aveva presieduto esequie di un uomo di governo della Repubblica, e mai un rito di Stato si era celebrato contro la volontà dei congiunti dell'onorato; e nella preghiera pronunciata dal vecchio Papa, che si rivolse a Dio con l'audacia del lamento per la supplica non esaudita, la storiografia ha riconosciuto uno dei vertici testuali del Novecento italiano, che il registro richiama senza citare, secondo la propria disciplina, consegnando al lettore il solo dato strutturale: il 13 maggio i 2 codici che il caso aveva tenuto in tensione, la ragion di Stato ed il vincolo degli affetti, celebrarono in luoghi diversi 2 congedi inconciliabili, e la distanza tra il Laterano e Torrita Tiberina, 60 chilometri di campagna laziale, resta la misura fisica di quella inconciliabilità.</w:t>
      </w:r>
    </w:p>
    <w:p>
      <w:pPr>
        <w:spacing w:after="120" w:line="276"/>
        <w:jc w:val="both"/>
      </w:pPr>
      <w:r>
        <w:rPr>
          <w:rFonts w:ascii="Barlow Semi Condensed" w:cs="Barlow Semi Condensed" w:eastAsia="Barlow Semi Condensed" w:hAnsi="Barlow Semi Condensed"/>
          <w:sz w:val="24"/>
          <w:szCs w:val="24"/>
        </w:rPr>
        <w:t xml:space="preserve">Alla salma appartiene infine il fascicolo dei reperti materiali, che le perizie del ciclo giudiziario e le verifiche della Commissione della XVII legislatura hanno censito e che il registro fissa nel suo doppio strato: sono certificati, quali dati oggettivi, i granelli di sabbia rinvenuti sugli abiti e nei risvolti, le tracce vegetali e le altre microtracce repertate sul corpo e sugli indumenti, elementi materiali acquisiti agli atti sin dagli accertamenti originari e sottoposti a nuove analisi strumentali nella stagione recente, Livello A quanto all'esistenza ed alla natura dei reperti. Appartengono invece al piano delle letture le collocazioni geografiche che da quei granelli si sono volute derivare, la permanenza del prigioniero o del corpo in località litoranee determinate, ipotesi esplorate dalle perizie comparative senza approdare ad una certificazione univoca di provenienza, Livello C quanto ad ogni localizzazione specifica. Il registro custodisce la distinzione con particolare cura, perché essa è l'esemplare perfetto della sua grammatica: la sabbia è un fatto, la spiaggia è un'ipotesi, e la distanza tra il granello certificato e la geografia dedotta è esattamente la distanza che separa il paradigma indiziario, che dal dettaglio risale con riscontri, dalla sua caricatura, che dal dettaglio vola. Il corpo di Aldo Moro, ultimo documento del caso, resta perciò agli atti nella sola veste che il metodo consente: un reperto letto sino al confine delle sue tracce, oltre il quale il registro, come sulla soglia di via Caetani, si ferma e dichiara di fermarsi.</w:t>
      </w:r>
    </w:p>
    <w:p>
      <w:pPr>
        <w:spacing w:after="120" w:line="276"/>
        <w:jc w:val="both"/>
      </w:pPr>
      <w:r>
        <w:rPr>
          <w:rFonts w:ascii="Barlow Semi Condensed" w:cs="Barlow Semi Condensed" w:eastAsia="Barlow Semi Condensed" w:hAnsi="Barlow Semi Condensed"/>
          <w:sz w:val="24"/>
          <w:szCs w:val="24"/>
        </w:rPr>
        <w:t xml:space="preserve">Sulla topografia della detenzione il registro fissa lo stato dell'accertamento nella sua doppia componente: i giudicati collocano l'intera custodia dei 55 giorni nell'appartamento di via Montalcini, con i 4 custodi che la sintesi certifica e con la cella ricavata nell'intercapedine che le ricostruzioni processuali descrivono, e la tesi della prigione unica costituisce, all'esito dei 5 cicli, la verità giudiziaria consolidata del caso, Livello A nei limiti dei giudicati. Le ipotesi alternative, trasferimenti intermedi, seconde prigioni, soste esterne, periodicamente riproposte dalla pubblicistica e riesaminate anche dalla Commissione della XVII legislatura con verifiche tecniche e testimoniali, non hanno mai raggiunto la soglia della certificazione e restano al Livello C, sotto il sigillo inferenziale che il piano terzo governa, mentre le acquisizioni strumentali di quelle verifiche appartengono, quali documenti, al Livello B già assegnato agli atti della Commissione. Il registro annota la ragione di metodo per cui custodisce la distinzione con particolare rigore: la prigione è il punto del caso in cui la domanda di revisione si è fatta più insistente e la base documentale nuova più esile, ed è perciò il banco su cui la disciplina del registro si misura, tenere ferma la verità giudicata sinché un fatto, non un dubbio, la scalfisca.</w:t>
      </w:r>
    </w:p>
    <w:p>
      <w:pPr>
        <w:spacing w:after="120" w:line="276"/>
        <w:jc w:val="both"/>
      </w:pPr>
      <w:r>
        <w:rPr>
          <w:rFonts w:ascii="Barlow Semi Condensed" w:cs="Barlow Semi Condensed" w:eastAsia="Barlow Semi Condensed" w:hAnsi="Barlow Semi Condensed"/>
          <w:sz w:val="24"/>
          <w:szCs w:val="24"/>
        </w:rPr>
        <w:t xml:space="preserve">Alla salma la perizia necroscopica consegnò infine un dato di condizione che il registro riporta per il suo valore documentale sullo stato del prigioniero: il corpo presentava rasatura recente, ordine degli abiti e segni complessivi di cura della persona protratta sino alle ultime ore, in coerenza con il quadro, emerso dalle ricostruzioni dei custodi giudicati, di una detenzione materialmente non afflittiva nelle condizioni igieniche e di vitto, Livello A quanto ai rilievi peritali, Livello B quanto al quadro di dettaglio della quotidianità carceraria, noto per dichiarazione dei custodi. Il registro consegna il reperto senza commento ulteriore, annotando soltanto la dissonanza documentale che esso introduce e che appartiene alla fenomenologia del caso: l'organizzazione che aveva già deliberato la morte curò sino all'ultimo la vita, ed il corpo di via Caetani, rasato di fresco, portava insieme i segni della cura e quelli dell'esecuzione, i 2 codici della prigione consegnati allo stesso reperto, senza che gli atti offrano, di questa compresenza, alcuna spiegazione che il registro possa certificare.</w:t>
      </w:r>
    </w:p>
    <w:p>
      <w:pPr>
        <w:spacing w:after="120" w:line="276"/>
        <w:jc w:val="both"/>
      </w:pPr>
      <w:r>
        <w:rPr>
          <w:rFonts w:ascii="Barlow Semi Condensed" w:cs="Barlow Semi Condensed" w:eastAsia="Barlow Semi Condensed" w:hAnsi="Barlow Semi Condensed"/>
          <w:sz w:val="24"/>
          <w:szCs w:val="24"/>
        </w:rPr>
        <w:t xml:space="preserve">Il corpo consegnato alla Repubblica ebbe infine il suo statuto medico-legale dimezzato, che il registro censisce quale ultima frontiera documentale del reperto: per volontà della famiglia, che rifiutò l'autopsia completa, gli accertamenti sul corpo si limitarono al riscontro esterno ed alle verifiche essenziali sulle cause della morte, sicché il cadavere più importante della storia repubblicana fu restituito alla terra con un'indagine medico-legale volutamente parziale, Livello A quanto alla limitazione ed alla sua origine familiare. Il registro consegna la circostanza alla sua doppia natura senza gerarchizzarla: essa fu, insieme, l'ultimo atto della guerra della famiglia contro lo Stato censita in questo capitolo, il rifiuto di consegnare anche il corpo a istituzioni giudicate indegne del vivo, ed una perdita istruttoria oggettiva, che privò per sempre il processo di dati potenzialmente dirimenti sulla detenzione e sull'esecuzione, alimentando lo spazio delle ricostruzioni alternative che i decenni avrebbero riempito. La lezione di metodo appartiene all'opera intera: anche il silenzio del corpo, come quello delle carte, ha una genealogia documentabile, e nel caso Moro la lacuna medico-legale non fu opera di apparati ma di un dolore che scelse la pietas contro l'accertamento, con la conseguenza, che il registro annota quale paradosso finale del capitolo, che l'unico occultamento certo e confessato dell'intero caso fu commesso per amore.</w:t>
      </w:r>
    </w:p>
    <w:p>
      <w:pPr>
        <w:spacing w:after="120" w:line="276"/>
        <w:jc w:val="both"/>
      </w:pPr>
      <w:r>
        <w:rPr>
          <w:rFonts w:ascii="Barlow Semi Condensed" w:cs="Barlow Semi Condensed" w:eastAsia="Barlow Semi Condensed" w:hAnsi="Barlow Semi Condensed"/>
          <w:sz w:val="24"/>
          <w:szCs w:val="24"/>
        </w:rPr>
        <w:t xml:space="preserve">La mattina del 9 maggio contiene infine il suo ultimo enigma logistico, che il registro censisce quale reperto conclusivo sulla qualità operativa: il trasferimento del corpo dalla prigione di via Montalcini al centro storico attraversò, a bordo della Renault rossa, chilometri di una capitale che viveva il cinquantacinquesimo giorno della massima mobilitazione di sicurezza della propria storia, sino al parcheggio in via Caetani, nel cuore del perimetro più presidiato d'Italia, senza intercettazioni, controlli o segnalazioni, Livello A quanto al fatto del trasferimento compiuto e non intercettato. Il registro consegna l'ultimo viaggio alla stessa disciplina applicata all'intera fenomenologia operativa del caso: la spiegazione ordinaria, l'assuefazione di un dispositivo logorato da 8 settimane di allarme continuo e la banalità statistica di un'utilitaria tra centinaia di migliaia, resta pienamente capiente, e le letture straordinarie, che da quell'attraversamento riuscito inferiscono coperture, restano al Livello C mai certificato; ciò che appartiene al livello del certo è il valore simbolico terminale che la stessa organizzazione volle imprimere al gesto, la consegna del corpo nel punto esatto che il capitolo ha censito, a metà strada tra le 2 sedi della politica che il sequestro aveva voluto piegare, sicché l'ultimo viaggio fu insieme l'ultima operazione riuscita e il primo atto del monumento involontario, la trasformazione di una via del centro nel luogo dove la Repubblica va, da allora, a ricordare ciò che non seppe impedire.</w:t>
      </w:r>
    </w:p>
    <w:p>
      <w:pPr>
        <w:spacing w:after="120" w:line="276"/>
        <w:jc w:val="both"/>
      </w:pPr>
      <w:r>
        <w:rPr>
          <w:rFonts w:ascii="Barlow Semi Condensed" w:cs="Barlow Semi Condensed" w:eastAsia="Barlow Semi Condensed" w:hAnsi="Barlow Semi Condensed"/>
          <w:sz w:val="24"/>
          <w:szCs w:val="24"/>
        </w:rPr>
        <w:t xml:space="preserve">La memoria pubblica del 9 maggio ha infine ricevuto la sua istituzionalizzazione, che il registro censisce a sigillo del capitolo: la legge della Repubblica del maggio 2007 ha proclamato il 9 maggio Giorno della memoria dedicato alle vittime del terrorismo e delle stragi di tale matrice, fissando la ricorrenza civile nazionale nell'anniversario di via Caetani ed associando per sempre, nel calendario dello Stato, la data del singolo omicidio al lutto per l'intera stagione, con le celebrazioni annuali al Quirinale che da allora riuniscono i familiari di tutte le vittime censite dall'opera, Livello A quanto alla legge ed alla prassi celebrativa. Il registro consegna la scelta del legislatore alla sua lettura: la Repubblica ha eletto a giorno del ricordo collettivo non la data di una strage anonima ma quella dell'assassinio del suo uomo di governo più alto, riconoscendo con ciò, nella forma muta di un calendario, la centralità che questa fase ha argomentato per 10 capitoli, e la circostanza che sotto quella data si commemorino insieme i caduti di piazza Fontana e quelli di via Fani, le vittime della strategia nera e quelle della geometria rossa, realizza nell'ordinamento il gesto che l'opera ha compiuto nel metodo, la riunificazione delle stagioni separate in un solo campo di lutto e di studio, perché il Paese, come il corpus, ha infine riconosciuto che quelle morti appartenevano ad una sola storia.</w:t>
      </w:r>
    </w:p>
    <w:p>
      <w:pPr>
        <w:spacing w:after="120" w:line="276"/>
        <w:jc w:val="both"/>
      </w:pPr>
      <w:r>
        <w:rPr>
          <w:rFonts w:ascii="Barlow Semi Condensed" w:cs="Barlow Semi Condensed" w:eastAsia="Barlow Semi Condensed" w:hAnsi="Barlow Semi Condensed"/>
          <w:sz w:val="24"/>
          <w:szCs w:val="24"/>
        </w:rPr>
        <w:t xml:space="preserve">Il 9 maggio produsse infine l'immagine, che il registro censisce quale reperto iconologico: la fotografia del corpo nel portellone della Renault, scattata in via Caetani nei minuti del ritrovamento e diffusa in poche ore su ogni testata del pianeta, è divenuta l'immagine singola più riprodotta della storia repubblicana, l'icona che da mezzo secolo significa il caso, la stagione ed il Paese in ogni sede, dalla storiografia alla scuola, Livello A quanto alla genesi ed alla fortuna dell'immagine. Il registro consegna l'icona alla sua analisi, perché anche le immagini appartengono al corpus: la fotografia deve la propria potenza alla composizione involontaria che essa fissa, l'uomo di Stato restituito in posizione fetale dentro un'utilitaria, la massima biografia istituzionale del Paese consegnata nel più domestico dei suoi oggetti, e questa sproporzione interna, che nessun regista avrebbe osato, ha operato per 50 anni quale sigillo emotivo della vicenda, con l'effetto ambivalente che il metodo registra: l'icona ha garantito al caso l'immortalità mnemonica che protegge dalla rimozione, ed insieme ha schiacciato la comprensione pubblica sull'istante terminale, oscurando i 55 giorni, i 30 anni di storia e le 5 fasi di contesto che questa opera ha dovuto ricostruire contro la tirannia della propria stessa immagine fondativa, sicché il registro la consegna al lettore con l'avvertenza dovuta ad ogni reliquia: guardarla è necessario, fermarsi a guardarla è il modo più pio di non capire.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via Caetani certifica al Livello A l'esecuzione del 9 maggio 1978 per mano di Mario Moretti con il concorso degli uomini della prigione, la deliberazione non unanime che la precedette, la topografia dell'abbandono del corpo a equidistanza dalle sedi dei 2 partiti del compromesso, e la duplice chiusura, del progetto politico e della vicenda umana, con i 6 nomi delle vittime uniti nel registro; la lettura simbolica del luogo è registrata quale interpretazione dominante non certificabile quale intenzione, a presidio della linea metodologica anche nel punto di massima suggestione.</w:t>
      </w:r>
    </w:p>
    <w:p>
      <w:pPr>
        <w:pStyle w:val="Heading3"/>
        <w:spacing w:after="80" w:before="160"/>
      </w:pPr>
      <w:r>
        <w:rPr>
          <w:rFonts w:ascii="Barlow Semi Condensed" w:cs="Barlow Semi Condensed" w:eastAsia="Barlow Semi Condensed" w:hAnsi="Barlow Semi Condensed"/>
          <w:sz w:val="24"/>
          <w:szCs w:val="24"/>
        </w:rPr>
        <w:t xml:space="preserve">Capitolo 7 — ◆ Hyperion. La scuola di Parigi, il superclan e il reperto negativo</w:t>
      </w:r>
    </w:p>
    <w:p>
      <w:pPr>
        <w:spacing w:after="120" w:line="276"/>
        <w:jc w:val="both"/>
      </w:pPr>
      <w:r>
        <w:rPr>
          <w:rFonts w:ascii="Barlow Semi Condensed" w:cs="Barlow Semi Condensed" w:eastAsia="Barlow Semi Condensed" w:hAnsi="Barlow Semi Condensed"/>
          <w:sz w:val="24"/>
          <w:szCs w:val="24"/>
        </w:rPr>
        <w:t xml:space="preserve">La scuola di lingue Hyperion, operante a Parigi al numero 27 del Quai de la Tournelle, fondata da esponenti della prima ora dell'estremismo di sinistra italiano trasferitisi in Francia, è il nodo internazionale della fase, e il registro la tratta quale controparte annunciata del nodo Aginter Press della Fase 3, in adempimento del rinvio formale che quella fase ha disposto. La scansione del corpus registra Hyperion 137 volte in 25 documenti e il nome di Corrado Simioni 88 volte in 13. Il nodo è, per statuto probatorio, il più rarefatto della fase: nessuna condanna, nessun giudicato, un quarantennio di attenzioni investigative italiane e di sospetti mai consolidati; e proprio questo statuto ne fa il banco di prova terminale della disciplina del registro sul trattamento delle strutture opache.</w:t>
      </w:r>
    </w:p>
    <w:p>
      <w:pPr>
        <w:spacing w:after="120" w:line="276"/>
        <w:jc w:val="both"/>
      </w:pPr>
      <w:r>
        <w:rPr>
          <w:rFonts w:ascii="Barlow Semi Condensed" w:cs="Barlow Semi Condensed" w:eastAsia="Barlow Semi Condensed" w:hAnsi="Barlow Semi Condensed"/>
          <w:sz w:val="24"/>
          <w:szCs w:val="24"/>
        </w:rPr>
        <w:t xml:space="preserve">Il primo pilastro è la certificazione dell'esistenza e della genealogia, al Livello A. La scuola fu costituita a Parigi nella prima metà degli anni Settanta da Corrado Simioni, Duccio Berio e Vanni Mulinaris, provenienti dall'ambiente milanese della sinistra rivoluzionaria delle origini, il medesimo dal quale nacquero le Brigate Rosse: Simioni, in particolare, era stato tra i protagonisti della fase fondativa dell'organizzazione, dalla quale si era separato precocemente in dissenso sulla struttura e sui metodi, teorizzando, secondo le convergenti ricostruzioni memorialistiche e processuali, un'organizzazione più ristretta, compartimentata e protetta, che l'ambiente stesso designò con l'espressione superclan. Il registro certifica al Livello A la fondazione, la sede parigina del Quai de la Tournelle 27, l'attività di copertura quale scuola di lingue con reale funzionamento didattico, e la genealogia comune con l'organizzazione esecutrice del sequestro, quale insieme di fatti documentati; la genealogia, già annotata nel capitolo 3, è il dato strutturale del nodo: i fondatori della scuola e i fondatori delle Brigate Rosse provengono dal medesimo ceppo, separatosi nel 1970-1971.</w:t>
      </w:r>
    </w:p>
    <w:p>
      <w:pPr>
        <w:spacing w:after="120" w:line="276"/>
        <w:jc w:val="both"/>
      </w:pPr>
      <w:r>
        <w:rPr>
          <w:rFonts w:ascii="Barlow Semi Condensed" w:cs="Barlow Semi Condensed" w:eastAsia="Barlow Semi Condensed" w:hAnsi="Barlow Semi Condensed"/>
          <w:sz w:val="24"/>
          <w:szCs w:val="24"/>
        </w:rPr>
        <w:t xml:space="preserve">Il secondo pilastro è il quarantennio delle attenzioni investigative, che il registro censisce con la graduazione integrale. La scuola entrò nel cono delle indagini italiane a più riprese: le istruttorie padovane e venete dei primi anni Ottanta sul terrorismo, che ipotizzarono in Hyperion una centrale estera di collegamento del terrorismo internazionale, con perquisizioni disposte per rogatoria nel 1982; le informative dei servizi, che in più stagioni segnalarono la struttura quale possibile snodo di rapporti tra organizzazioni armate di più Paesi e apparati; e le inchieste parlamentari, sino alla Commissione dell'ultima stagione, che vi hanno dedicato approfondimenti. A fronte di questa persistenza, l'esito giudiziario è nullo: nessuno dei fondatori è mai stato condannato per fatti di terrorismo, le posizioni aperte furono archiviate o non ebbero seguito, e il registro riporta questo esito con la stessa nettezza con cui riporta le assoluzioni, certificando al Livello A che la scuola Hyperion e i suoi fondatori non hanno mai riportato condanne. Le ipotesi investigative censite si distribuiscono così: i contatti dei fondatori con l'ambiente d'origine e la loro presenza in snodi relazionali dell'estremismo europeo sono certificati al Livello B, quale convergenza di atti istruttori e informativi plurimi; l'ipotesi della funzione di centrale, di snodo organizzato tra le organizzazioni armate e apparati di più campi, resta al Livello C, mai consolidata in 4 decenni; e l'ipotesi di un ruolo della struttura nel sequestro Moro, formulata in più sedi sulla scorta della genealogia e di taluni movimenti coevi, resta parimenti al Livello C, priva di ogni consacrazione.</w:t>
      </w:r>
    </w:p>
    <w:p>
      <w:pPr>
        <w:spacing w:after="120" w:line="276"/>
        <w:jc w:val="both"/>
      </w:pPr>
      <w:r>
        <w:rPr>
          <w:rFonts w:ascii="Barlow Semi Condensed" w:cs="Barlow Semi Condensed" w:eastAsia="Barlow Semi Condensed" w:hAnsi="Barlow Semi Condensed"/>
          <w:sz w:val="24"/>
          <w:szCs w:val="24"/>
        </w:rPr>
        <w:t xml:space="preserve">Il terzo pilastro è la comparazione con Aginter Press, che compie il reperto codificato dal registro quale acquisizione consolidata e qui recepito nella sua forma piena. Le 2 strutture sono topologicamente isomorfe: entrambe operanti all'estero, in una capitale terza rispetto al teatro italiano, sotto copertura civile a funzionamento reale, un'agenzia di stampa a Lisbona e una scuola di lingue a Parigi; entrambe fondate da fuoriusciti della militanza radicale del rispettivo campo, l'ufficiale dell'estremismo controrivoluzionario e i quadri dell'estremismo rivoluzionario; entrambe poste, dalle ricostruzioni investigative, all'incrocio tra la militanza, l'informazione e gli apparati; entrambe mai raggiunte da condanne in Italia. E le 2 strutture presentano regimi probatori opposti: Aginter è documentata dall'interno, dalle proprie carte sequestrate per il collasso del regime ospitante, sicché la sua natura di centrale è certificata al Livello A; Hyperion è documentata soltanto dall'esterno, da atti investigativi altrui, sicché la sua natura resta all'ipotesi, e nessun collasso ha mai aperto i suoi archivi, se archivi vi furono. Il registro certifica al Livello A l'isomorfismo quale dato comparativo e l'assenza di ogni connessione operativa documentata tra le 2 strutture, quale reperto negativo formale; e ne trae la lezione metodologica terminale del Pattern 11: la simmetria delle forme non prova la simmetria delle sostanze, e la differenza tra ciò che sappiamo di Aginter e ciò che ipotizziamo di Hyperion misura esattamente la differenza tra un archivio aperto e un archivio mai aperto, confermando per l'ultima volta la legge empirica del campo che il registro ha codificato: la conoscenza di queste strutture non è mai proporzionale alla loro rilevanza, ma alla contingenza dei collassi che le espongono.</w:t>
      </w:r>
    </w:p>
    <w:p>
      <w:pPr>
        <w:spacing w:after="120" w:line="276"/>
        <w:jc w:val="both"/>
      </w:pPr>
      <w:r>
        <w:rPr>
          <w:rFonts w:ascii="Barlow Semi Condensed" w:cs="Barlow Semi Condensed" w:eastAsia="Barlow Semi Condensed" w:hAnsi="Barlow Semi Condensed"/>
          <w:sz w:val="24"/>
          <w:szCs w:val="24"/>
        </w:rPr>
        <w:t xml:space="preserve">Il quarto pilastro è la stagione istruttoria del 1982, che il registro espone quale momento di massima pressione investigativa sul nodo. All'inizio di quell'anno, nel contesto delle indagini sul sequestro del generale americano James Lee Dozier e sulla rete internazionale del terrorismo, le autorità italiane ottennero per rogatoria perquisizioni a Parigi nei locali della scuola e presso i suoi animatori: le operazioni, condotte dalla polizia francese, non produssero elementi tali da fondare imputazioni, e la posizione della struttura, iscritta nelle ipotesi delle istruttorie venete quale possibile ufficio esteri del terrorismo, non evolse in rinvii a giudizio; negli anni successivi, la difesa pubblica dei fondatori trovò sostegni di rilievo nell'ambiente francese, e la questione scivolò dal piano giudiziario a quello storiografico e parlamentare, dove è rimasta. Il registro certifica al Livello A la sequenza della stagione, le rogatorie, le perquisizioni e il loro esito negativo, quali fatti documentati; e ne trae l'annotazione comparativa che completa il profilo del nodo: il momento in cui lo Stato italiano guardò più da vicino dentro la struttura parigina produsse un esito nullo, e da allora nessuna occasione equivalente si è ripresentata; la conoscenza del nodo è dunque ferma, nella sostanza, a quella stagione, integrata soltanto dalle riletture documentali delle commissioni, e il registro dichiara che ogni certificazione su Hyperion sconta questo tetto storico delle fonti, il quarantennio trascorso senza accessi nuovi, che nessuna intensità di sospetto può surrogare.</w:t>
      </w:r>
    </w:p>
    <w:p>
      <w:pPr>
        <w:spacing w:after="120" w:line="276"/>
        <w:jc w:val="both"/>
      </w:pPr>
      <w:r>
        <w:rPr>
          <w:rFonts w:ascii="Barlow Semi Condensed" w:cs="Barlow Semi Condensed" w:eastAsia="Barlow Semi Condensed" w:hAnsi="Barlow Semi Condensed"/>
          <w:sz w:val="24"/>
          <w:szCs w:val="24"/>
        </w:rPr>
        <w:t xml:space="preserve">Il quinto pilastro è la collocazione parigina quale dato di geografia comparata, che salda il nodo al Pattern 10 dell'opera. La Fase 3 ha certificato la Spagna dell'ultimo franchismo quale zona di convergenza della latitanza e della retrovia dell'eversione nera; la presente fase registra, specularmente, la Parigi degli anni Settanta e Ottanta quale capitale continentale dell'emigrazione della sinistra radicale italiana, l'ambiente nel quale la struttura del Quai de la Tournelle operò e nel quale, negli anni successivi, si sarebbe consolidata la più ampia comunità di fuoriusciti dell'area, protetta di fatto, e poi di dottrina, dall'orientamento dell'ordinamento ospitante sulla non estradizione per i reati a movente politico. Il registro certifica al Livello A la configurazione delle 2 capitali-rifugio speculari, Madrid per il campo nero e Parigi per il campo rosso, quale dato comparativo della geografia dell'eversione europea, e ne trae l'annotazione metodologica: la specularità delle retrovie conferma, sul piano spaziale, la struttura a campi contrapposti del fenomeno che l'intera opera ha documentato, ciascun campo con i propri santuari, i propri protettori e le proprie rotte; e la circostanza che nessuna delle 2 retrovie fosse collocata oltrecortina, ma entrambe entro l'Europa occidentale e atlantica, è un dato che il bilancio conclusivo dell'ipotesi H1 dovrà registrare, giacché la geografia certificata delle protezioni non disegna la convergenza dei blocchi ma la tolleranza incrociata interna al campo occidentale, un reperto che complica ogni lettura semplificata di entrambi i segni.</w:t>
      </w:r>
    </w:p>
    <w:p>
      <w:pPr>
        <w:spacing w:after="120" w:line="276"/>
        <w:jc w:val="both"/>
      </w:pPr>
      <w:r>
        <w:rPr>
          <w:rFonts w:ascii="Barlow Semi Condensed" w:cs="Barlow Semi Condensed" w:eastAsia="Barlow Semi Condensed" w:hAnsi="Barlow Semi Condensed"/>
          <w:sz w:val="24"/>
          <w:szCs w:val="24"/>
        </w:rPr>
        <w:t xml:space="preserve">Il sesto pilastro distende le biografie dei fondatori e la fisionomia del superclan, quali le fonti convergenti le consegnano. Corrado Simioni, milanese, con un percorso giovanile nell'area socialista da cui fu allontanato, approdò alla fine degli anni Sessanta all'ambiente del Collettivo politico metropolitano, dove la sua proposta organizzativa, una struttura a cerchi, con un nucleo interno invisibile, protetto dalla compartimentazione assoluta e destinato a durare oltre le ondate repressive, si scontrò con la linea dei fondatori storici: le memorie di Curcio e di Franceschini, convergenti su questo punto pur nella diversità delle valutazioni, descrivono la separazione del 1970-1971 quale rottura tra 2 concezioni della clandestinità, quella di massa e quella elitaria, e attribuiscono all'ambiente di Simioni la designazione, nata come sarcasmo interno, di superclan; le stesse fonti collocano nell'orbita di quell'ambiente, prima della separazione, figure destinate a percorsi divergenti, e riferiscono dei contatti dell'ambiente con il mondo di Giangiacomo Feltrinelli e dei suoi Gruppi d'azione partigiana. Duccio Berio e Vanni Mulinaris, con percorsi paralleli nella medesima area, seguirono Simioni nella traiettoria che condusse il gruppo, attraverso una fase di attività tra l'Italia e la Francia, alla fondazione parigina della scuola di lingue, operativa dalla metà degli anni Settanta con un corpo docente reale, un'utenza internazionale e una reputazione professionale documentata. Il registro certifica al Livello A le traiettorie biografiche e la genealogia della separazione, quali fatti convergenti delle fonti memorialistiche e processuali; certifica al Livello B la fisionomia dottrinale del superclan, quale ricostruzione di fonti interne interessate ma concordi tra loro da posizioni opposte; e mantiene al livello proprio di ciascun elemento i contatti censiti, annotando che l'intera conoscenza della preistoria del nodo proviene, per la natura delle cose, da testimoni di parte, e che la sua solidità deriva dalla concordanza tra memorie reciprocamente ostili, il criterio di consilienza che il metodo ammette quale surrogato, dichiarato, del documento mancante.</w:t>
      </w:r>
    </w:p>
    <w:p>
      <w:pPr>
        <w:spacing w:after="120" w:line="276"/>
        <w:jc w:val="both"/>
      </w:pPr>
      <w:r>
        <w:rPr>
          <w:rFonts w:ascii="Barlow Semi Condensed" w:cs="Barlow Semi Condensed" w:eastAsia="Barlow Semi Condensed" w:hAnsi="Barlow Semi Condensed"/>
          <w:sz w:val="24"/>
          <w:szCs w:val="24"/>
        </w:rPr>
        <w:t xml:space="preserve">Il settimo pilastro censisce la sede romana e la vicenda giudiziaria di Mulinaris, i 2 fatti italiani del nodo. Le ricognizioni parlamentari, a partire dai lavori della Commissione sul caso Moro e sino all'ultima stagione, hanno documentato che la scuola aprì un ufficio a Roma nei primi mesi del 1978, operativo nel periodo del sequestro e chiuso entro l'anno: il registro certifica al Livello B l'apertura, la collocazione temporale e la chiusura della sede romana, quale risultanza delle ricognizioni parlamentari sulle utenze e sulle disponibilità immobiliari, e dichiara la qualificazione del dato con la disciplina consueta: la coincidenza temporale tra l'operatività romana della struttura e la finestra del sequestro è un fatto censito del Pattern 3, la cui lettura funzionale resta al Livello C, non essendo mai stato documentato alcun nesso tra l'ufficio e l'operazione; il registro la trascrive quale coincidenza certificata e non risolta, la specie di reperto che la metodologia impone di registrare senza sciogliere. La vicenda di Mulinaris appartiene alla stagione istruttoria già censita: attinto da provvedimenti restrittivi nel quadro delle inchieste italiane sul terrorismo dei primi anni Ottanta, fu detenuto in Italia e la sua posizione si concluse senza condanna; attorno alla sua detenzione si sviluppò una campagna pubblica internazionale, il cui protagonista fu l'abbé Pierre, il religioso francese fondatore di Emmaus, legato da vincolo familiare alla moglie di Mulinaris, che giunse a un digiuno pubblico nel 1984 per sollecitarne la liberazione: il registro certifica al Livello A la vicenda detentiva, l'esito senza condanna e la campagna, quali fatti documentati, e ne annota il rilievo per il profilo del nodo, la capacità della struttura di mobilitare, nel momento della massima pressione giudiziaria, una copertura morale del più alto profilo pubblico europeo, un attributo relazionale che il registro trascrive quale dato e la cui interpretazione, tra la solidarietà genuina e la protezione d'ambiente, appartiene al campo delle letture non certificabili.</w:t>
      </w:r>
    </w:p>
    <w:p>
      <w:pPr>
        <w:spacing w:after="120" w:line="276"/>
        <w:jc w:val="both"/>
      </w:pPr>
      <w:r>
        <w:rPr>
          <w:rFonts w:ascii="Barlow Semi Condensed" w:cs="Barlow Semi Condensed" w:eastAsia="Barlow Semi Condensed" w:hAnsi="Barlow Semi Condensed"/>
          <w:sz w:val="24"/>
          <w:szCs w:val="24"/>
        </w:rPr>
        <w:t xml:space="preserve">L'ottavo pilastro censisce la stagione istruttoria veneziana, il più esteso accertamento giudiziario italiano che abbia investito il nodo. Negli anni Ottanta il giudice istruttore di Venezia Carlo Mastelloni condusse l'istruttoria pluriennale sui canali di approvvigionamento internazionale delle Brigate Rosse, con al centro le forniture di armi provenienti dall'area delle organizzazioni palestinesi, i vettori e le rotte adriatiche, e con un capitolo dedicato alla struttura parigina quale possibile snodo della rete estera; l'istruttoria acquisì documentazione, escusse fonti di ogni provenienza e si concluse, sul versante che qui rileva, con proscioglimenti, senza che alcuna posizione riconducibile alla scuola approdasse al dibattimento; il registro certifica al Livello A l'esistenza, l'oggetto, la durata e l'esito dell'istruttoria, quali dati processuali, e ne dichiara la funzione nel profilo del nodo: essa rappresenta, accanto alla stagione delle rogatorie del 1982, il secondo e ultimo accertamento organico mai condotto, e il suo esito negativo, maturato all'esito di anni di lavoro istruttorio e non di una verifica sommaria, è il dato che ogni ricostruzione successiva deve incorporare; il registro lo trascrive quale certificazione in negativo di qualità processuale, la specie di reperto che la disciplina dello Stato Zero dell'opera valorizza, annotando insieme il suo limite strutturale, giacché un'istruttoria italiana non poteva forzare gli archivi esteri, e il perimetro della verifica coincise, per necessità, con il perimetro della cooperazione ottenuta.</w:t>
      </w:r>
    </w:p>
    <w:p>
      <w:pPr>
        <w:spacing w:after="120" w:line="276"/>
        <w:jc w:val="both"/>
      </w:pPr>
      <w:r>
        <w:rPr>
          <w:rFonts w:ascii="Barlow Semi Condensed" w:cs="Barlow Semi Condensed" w:eastAsia="Barlow Semi Condensed" w:hAnsi="Barlow Semi Condensed"/>
          <w:sz w:val="24"/>
          <w:szCs w:val="24"/>
        </w:rPr>
        <w:t xml:space="preserve">Il nono pilastro censisce il contesto ordinamentale francese, la cornice che ha governato la conoscibilità del nodo. La Francia degli anni Settanta e Ottanta fu il rifugio della più ampia comunità di militanti e fuoriusciti della sinistra armata italiana, e la prassi della non estradizione per i reati a movente politico, consolidatasi di fatto nella stagione e poi elevata a dottrina dichiarata alla metà degli anni Ottanta, sottrasse stabilmente alla giurisdizione italiana gli uomini e, con essi, le fonti; le richieste italiane di cooperazione sul nodo parigino ottennero, nella stagione delle rogatorie, l'esecuzione degli atti richiesti e non oltre, e gli archivi della struttura, ove esistenti, non furono mai acquisiti né dall'autorità francese né, per suo tramite, da quella italiana. Il registro certifica al Livello A la prassi e la dottrina della non estradizione, quali dati ordinamentali documentati, e al Livello A il perimetro effettivo della cooperazione ottenuta, quale risultanza degli atti; e ne trae la formalizzazione che chiude il profilo conoscitivo del nodo: l'inaccessibilità di Hyperion non è un mistero ma un fatto giuridico-politico datato e spiegabile, il prodotto della convergenza tra una legislazione di rifugio, una stagione diplomatica e la posizione della struttura entro l'ordinamento ospitante; il registro sostituisce così, secondo il proprio metodo, la categoria dell'insondabile con la categoria del non acquisito per cause documentate, e annota che questa riclassificazione, apparentemente terminologica, governa in realtà l'intera valutazione del nodo, giacché ciò che non fu acquisito per cause esterne può, in linea di principio, ancora emergere, e la fase consegna alla ricognizione conclusiva dell'opera l'indicazione degli archivi francesi quale primo obiettivo di ogni futura campagna documentale.</w:t>
      </w:r>
    </w:p>
    <w:p>
      <w:pPr>
        <w:spacing w:after="120" w:line="276"/>
        <w:jc w:val="both"/>
      </w:pPr>
      <w:r>
        <w:rPr>
          <w:rFonts w:ascii="Barlow Semi Condensed" w:cs="Barlow Semi Condensed" w:eastAsia="Barlow Semi Condensed" w:hAnsi="Barlow Semi Condensed"/>
          <w:sz w:val="24"/>
          <w:szCs w:val="24"/>
        </w:rPr>
        <w:t xml:space="preserve">Il decimo pilastro conduce l'analisi dell'isomorfismo strutturale, applicazione terminale del Pattern 11 al nodo e alla fase. Il registro pone a confronto la struttura topologica di Hyperion con quella di Aginter Press, l'agenzia di copertura di Lisbona che la Fase 3 ha certificato quale snodo internazionale dell'eversione nera, e ne rileva l'isomorfismo: entrambe si presentano quali imprese di servizi apparentemente legali, un'agenzia di stampa l'una, una scuola di lingue l'altra, dotate di sede, personale e attività dichiarata verificabili; entrambe si collocano in una capitale europea quale piattaforma di proiezione internazionale; entrambe risultano, per attribuzione, punti di raccordo di reti clandestine trasversali, l'una del campo nero, l'altra del campo rosso; ed entrambe hanno attraversato decenni di sospetti senza mai produrre condanne organiche che ne certificassero la natura clandestina. Il registro certifica al Livello A l'esistenza della somiglianza topologica, quale dato comparativo tra 2 profili documentati, e ne dichiara con precisione i limiti, richiamando la codifica già fissata nel registro analitico quale reperto strutturale: l'isomorfismo è una somiglianza di forma, non una prova di connessione né di origine comune, e la sua rilevazione, secondo il teorema di DiMaggio e Powell che il metodo assume, ammette 3 spiegazioni alternative, l'origine comune, la necessità funzionale e la convergenza indipendente, che la sola topologia non discrimina. Applicato ai 2 casi, il criterio consegna il verdetto che la fase recepisce: la struttura a impresa-copertura per la proiezione internazionale di una rete clandestina è, con ogni probabilità, una necessità funzionale, la forma più efficiente del compito, adottata indipendentemente dai 2 campi opposti, sicché l'isomorfismo tra Aginter e Hyperion documenta non un legame tra i 2 mondi ma la convergenza dei 2 mondi sulla medesima soluzione organizzativa, un reperto che il registro giudica più rivelatore di qualsiasi legame diretto, perché attesta l'esistenza di una grammatica comune della clandestinità europea che opera al di sopra della contrapposizione dei blocchi; la formalizzazione appartiene ai fatti strutturali certificati, e la fase la consegna, quale contributo maggiore al Pattern 11 dell'opera, alla verifica conclusiva.</w:t>
      </w:r>
    </w:p>
    <w:p>
      <w:pPr>
        <w:spacing w:after="120" w:line="276"/>
        <w:jc w:val="both"/>
      </w:pPr>
      <w:r>
        <w:rPr>
          <w:rFonts w:ascii="Barlow Semi Condensed" w:cs="Barlow Semi Condensed" w:eastAsia="Barlow Semi Condensed" w:hAnsi="Barlow Semi Condensed"/>
          <w:sz w:val="24"/>
          <w:szCs w:val="24"/>
        </w:rPr>
        <w:t xml:space="preserve">L'undicesimo pilastro censisce l'ultima stagione di accertamento, il ritorno della Commissione della XVII legislatura sul nodo. Tra il 2014 e il 2017 la Commissione dedicò al capitolo internazionale del caso, e alla struttura parigina in particolare, un filone di approfondimento documentato dagli atti: audizioni di magistrati, ufficiali e studiosi che avevano trattato il nodo nelle stagioni precedenti, acquisizioni documentali dagli archivi italiani nel frattempo versati, e richieste di collaborazione indirizzate alle autorità francesi per l'accesso ai materiali d'oltralpe, che ottennero riscontri parziali e interlocutori senza l'apertura organica degli archivi che la fase ha censito quale vuoto; la relazione conclusiva registrò lo stato del nodo nei termini che il registro ha recepito, l'esistenza certificata, i contatti documentati, la funzione non provata, e consegnò alla ricerca futura l'indicazione della via archivistica francese quale condizione di ogni progresso. Il registro certifica al Livello A l'esistenza, gli strumenti e l'esito interlocutorio del filone, quali dati degli atti parlamentari, e ne trae la formalizzazione temporale che chiude il profilo: il nodo Hyperion è stato investigato in 3 stagioni distinte, le rogatorie del 1982, l'istruttoria veneziana degli anni Ottanta e la ricognizione parlamentare del 2014-2017, da 3 autorità diverse con 3 strumentari diversi, e le 3 stagioni hanno prodotto il medesimo esito, la certificazione dell'esistenza e la non certificazione della funzione; la convergenza di 3 accertamenti indipendenti sul medesimo punto di arresto è essa stessa un dato, che il registro trascrive con la propria categoria: il limite non sta negli accertatori ma nell'accesso, e sino all'apertura degli archivi francesi ogni nuova stagione è destinata, per struttura, a replicare l'esito delle precedenti.</w:t>
      </w:r>
    </w:p>
    <w:p>
      <w:pPr>
        <w:spacing w:after="120" w:line="276"/>
        <w:jc w:val="both"/>
      </w:pPr>
      <w:r>
        <w:rPr>
          <w:rFonts w:ascii="Barlow Semi Condensed" w:cs="Barlow Semi Condensed" w:eastAsia="Barlow Semi Condensed" w:hAnsi="Barlow Semi Condensed"/>
          <w:sz w:val="24"/>
          <w:szCs w:val="24"/>
        </w:rPr>
        <w:t xml:space="preserve">Il dodicesimo pilastro distende la genealogia del ceppo milanese, la preistoria comune che il profilo del nodo presuppone. Il Collettivo Politico Metropolitano, costituito a Milano nel 1969 nell'ambiente dei quadri usciti dalle esperienze studentesche e operaie della città, e la sua evoluzione in Sinistra Proletaria nel 1970, furono l'incubatore comune dal quale, nel biennio 1970-1971, si separarono le 2 linee che la fase ha censito: la linea di Renato Curcio, Margherita Cagol e dei fondatori dell'organizzazione armata, che scelse la clandestinità e la lotta armata dichiarata, e la cerchia di Corrado Simioni, che i memorialisti interni designarono con l'appellativo di superclan, orientata a una concezione elitaria e internazionale del lavoro rivoluzionario, che considerava prematura la scelta armata italiana e che di lì a pochi anni avrebbe preso la via di Parigi; la separazione fu consumata con reciproca diffidenza documentata dalla memorialistica di entrambi i rami, i fondatori dell'organizzazione avendo lasciato testimonianza del sospetto verso l'ambiguità della cerchia simioniana, e la cerchia avendo coltivato la propria distanza dall'avventurismo militare. Il registro certifica al Livello A la genealogia comune, la separazione e la sua datazione, quali dati convergenti della memorialistica e degli atti, certifica al Livello A l'assenza di ogni condanna a carico della cerchia, e ne trae la formalizzazione che governa l'intero nodo: Hyperion e l'organizzazione esecutrice del sequestro sono i 2 rami documentati di un medesimo ceppo fondativo, separatisi 7 anni prima dei fatti, e ogni ipotesi sui loro rapporti nella stagione del sequestro deve muovere da questo dato genealogico certificato, che rende plausibili i contatti personali residui e non prova alcuna funzione operativa; la distinzione tra la plausibilità genealogica del contatto e la prova della funzione è l'esatto crinale su cui il registro tiene fermo il nodo, al livello che a ciascun elemento compete.</w:t>
      </w:r>
    </w:p>
    <w:p>
      <w:pPr>
        <w:spacing w:after="120" w:line="276"/>
        <w:jc w:val="both"/>
      </w:pPr>
      <w:r>
        <w:rPr>
          <w:rFonts w:ascii="Barlow Semi Condensed" w:cs="Barlow Semi Condensed" w:eastAsia="Barlow Semi Condensed" w:hAnsi="Barlow Semi Condensed"/>
          <w:sz w:val="24"/>
          <w:szCs w:val="24"/>
        </w:rPr>
        <w:t xml:space="preserve">Il tredicesimo pilastro censisce la qualità della copertura, il dato tecnico che distingue la struttura nel panorama dell'opera. La scuola di lingue parigina non fu una copertura fittizia ma un'attività reale e verificabile: corsi effettivamente tenuti, studenti reali, docenti retribuiti, una sede operante al Quai de la Tournelle 27 e rapporti commerciali documentabili con istituzioni e clienti, ivi comprese, per le acquisizioni delle inchieste, commesse di formazione linguistica presso enti di rilievo; il registro certifica al Livello A la realtà dell'attività didattica, quale dato convergente di ogni accertamento, e ne dichiara il portato analitico, che è la chiave tecnica del nodo: una copertura reale è, per costruzione, inattaccabile con gli strumenti della verifica amministrativa, giacché ogni controllo sull'attività dichiarata restituisce un esito conforme, e la struttura che la adotta trasferisce l'intero onere dell'accertamento sul piano, incomparabilmente più oneroso, della prova delle attività non dichiarate; la fase registra che tutti gli accertamenti condotti sul nodo, dalle rogatorie all'istruttoria veneziana alla ricognizione parlamentare, si sono infranti esattamente su questo crinale, la conformità perfetta del dichiarato e l'inaccessibilità dell'eventuale non dichiarato, e formalizza il dato quale contributo del nodo alla tipologia dell'opera: la copertura reale è la forma più evoluta della clandestinità censita nel corpus, superiore per efficacia alla semplice falsità, e la sua presenza simmetrica nei 2 casi dell'isomorfismo certificato, l'agenzia di stampa lisbonese che produceva davvero notizie e la scuola parigina che insegnava davvero le lingue, conferma che essa appartiene alla grammatica comune della clandestinità europea che il Pattern 11 ha isolato, la soluzione organizzativa che entrambi i campi adottarono perché entrambi ne avevano compreso la superiorità tecnica.</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Hyperion-Simioni-ceppo fondativo comune, è il triangolo genealogico, certificato al Livello A. La seconda, Hyperion-attenzioni investigative-esito nullo, è il triangolo dello statuto probatorio, con i contatti al Livello B e le funzioni ipotizzate al Livello C, e con l'assenza di condanne certificata al Livello A. La terza, Hyperion-Aginter-isomorfismo senza connessione, è il triangolo comparativo, certificato al Livello A nei suoi 2 termini. Sul piano dei pattern, il nodo è la seconda e conclusiva applicazione del Pattern 11, e attiva il Pattern 5 nella forma documentale: l'archivio mai aperto di una struttura quarantennalmente sospettata è il buco strutturale internazionale della fase, che il registro consegna, quale campo di ricerca e non quale certezza mancata, agli sviluppi futuri.</w:t>
      </w:r>
    </w:p>
    <w:p>
      <w:pPr>
        <w:spacing w:after="120" w:line="276"/>
        <w:jc w:val="both"/>
      </w:pPr>
      <w:r>
        <w:rPr>
          <w:rFonts w:ascii="Barlow Semi Condensed" w:cs="Barlow Semi Condensed" w:eastAsia="Barlow Semi Condensed" w:hAnsi="Barlow Semi Condensed"/>
          <w:sz w:val="24"/>
          <w:szCs w:val="24"/>
        </w:rPr>
        <w:t xml:space="preserve">Il destino giudiziario del nodo va dichiarato nella sua nudità, perché esso ne costituisce, in negativo, la certificazione più netta: le istruttorie italiane che negli anni 80 e 90 investirono la scuola di Parigi, i suoi fondatori e la sua rete, incluse quelle veneziane sui traffici internazionali di armi e quelle romane sui retroterra del caso Moro, si chiusero senza che alcuna imputazione approdasse a condanna, tra proscioglimenti, archiviazioni ed estinzioni, sicché a carico della struttura e dei suoi uomini non esiste, ad oggi, alcun giudicato di responsabilità, Livello A quanto agli esiti, che il registro riporta con il rilievo dovuto ad ogni assoluzione. Ne discende lo statuto paradossale che fa del nodo un unicum analitico: Hyperion è insieme il più indagato ed il meno giudicato degli oggetti del caso, una struttura la cui esistenza, sede, genealogia e rete di contatti sono certificate al massimo livello e le cui funzioni ipotizzate non hanno mai superato la soglia del riscontro, ed il registro, che ha coniato per queste configurazioni la categoria del reperto negativo, la applica qui nella sua forma più severa: il vuoto giudiziario attorno alla scuola di lingue non prova l'innocenza della funzione né la sua colpevolezza, prova l'impermeabilità dell'oggetto, e l'impermeabilità, in un'opera che misura le resistenze dei nodi all'accertamento, è essa stessa la misura che resta.</w:t>
      </w:r>
    </w:p>
    <w:p>
      <w:pPr>
        <w:spacing w:after="120" w:line="276"/>
        <w:jc w:val="both"/>
      </w:pPr>
      <w:r>
        <w:rPr>
          <w:rFonts w:ascii="Barlow Semi Condensed" w:cs="Barlow Semi Condensed" w:eastAsia="Barlow Semi Condensed" w:hAnsi="Barlow Semi Condensed"/>
          <w:sz w:val="24"/>
          <w:szCs w:val="24"/>
        </w:rPr>
        <w:t xml:space="preserve">La genealogia della scuola parigina esige la sua premessa italiana, che il registro censisce dagli atti: la scissione consumata nell'organizzazione nascente al principio degli anni Settanta, quando l'ala raccolta attorno a Corrado Simioni, poi nota nella pubblicistica interna quale Superclan, si separò dal nucleo fondatore in dissenso sulla linea, portando con sé quadri, relazioni internazionali ed una concezione elitaria e compartimentata del lavoro clandestino, per approdare negli anni successivi a Parigi, dove quell'ambiente diede vita alle strutture di copertura culturale e linguistica censite in questo capitolo, Livello A quanto alla scissione, ai suoi protagonisti storici ed all'approdo parigino, quali risultano dagli atti e dalle ricostruzioni convergenti. Il registro consegna la genealogia alla sua funzione analitica: la scuola di lingue non nacque quale appendice estera dell'organizzazione combattente, ma quale ramo separato e precedente, uscito dal tronco comune prima della militarizzazione, e questa priorità genealogica è esattamente ciò che ha reso il nodo parigino irriducibile alle categorie processuali italiane, poiché i suoi uomini non erano latitanti di un'organizzazione da giudicare ma emigrati di una scissione mai divenuta reato, con la conseguenza che il capitolo ha già certificato nel suo esito nullo: l'impermeabilità giudiziaria di Hyperion non fu solo protezione francese, fu anche, alla radice, la condizione di chi si era messo fuori dalla storia criminale prima che diventasse tale, ed osservava da Parigi, in posizione per sempre inattaccabile, il precipitare della casa che aveva lasciato.</w:t>
      </w:r>
    </w:p>
    <w:p>
      <w:pPr>
        <w:spacing w:after="120" w:line="276"/>
        <w:jc w:val="both"/>
      </w:pPr>
      <w:r>
        <w:rPr>
          <w:rFonts w:ascii="Barlow Semi Condensed" w:cs="Barlow Semi Condensed" w:eastAsia="Barlow Semi Condensed" w:hAnsi="Barlow Semi Condensed"/>
          <w:sz w:val="24"/>
          <w:szCs w:val="24"/>
        </w:rPr>
        <w:t xml:space="preserve">Il capitolo internazionale esige il suo bilancio terminale, che il registro formula quale paradosso di proporzione: il caso più investigato della storia repubblicana è rimasto, sul piano dei giudicati, il meno internazionalizzato, poiché a fronte della densità di presenze, interessi e servizi esteri che i capitoli hanno censito attorno al quadrante italiano del 1978, nessun cittadino, apparato o governo straniero è mai stato imputato, né alcuna rogatoria ha mai prodotto un atto d'accusa oltre confine, sicché la dimensione internazionale del caso, sterminata nella letteratura, è giudiziariamente vuota, Livello A quanto al vuoto, Livello C permanente quanto alle ipotesi che lo popolano. Il registro consegna il paradosso alla sua spiegazione strutturale, che vale quale lezione di metodo per l'intera opera: la giustizia penale è territoriale ed il potere che il corpus studia non lo è, sicché lo strumento processuale, che dentro i confini ha faticosamente prodotto i 5 cicli censiti, si è fermato esattamente dove finiva la giurisdizione ed iniziava la geopolitica, e la sproporzione tra ciò che il caso contiene e ciò che i tribunali potevano raggiungere non è un fallimento italiano ma il limite costitutivo di ogni giustizia nazionale davanti a fatti transnazionali, il limite che questa opera, non essendo un tribunale, esiste precisamente per attraversare, con i suoi strumenti diversi e la sua diversa, dichiarata, soglia probatoria.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Hyperion è certificato al Livello A quanto all'esistenza, alla sede parigina del Quai de la Tournelle 27, alla copertura didattica reale e alla genealogia comune con l'organizzazione esecutrice nel ceppo milanese separatosi nel 1970-1971; i contatti dei fondatori con gli snodi dell'estremismo europeo sono certificati al Livello B, le funzioni di centrale e ogni ruolo nel sequestro restano al Livello C dopo 4 decenni di attenzioni prive di esito, e l'assenza di condanne è certificata e riportata; l'isomorfismo con Aginter Press, a regimi probatori opposti e senza alcuna connessione operativa documentata, è recepito quale reperto comparativo terminale del Pattern 11.</w:t>
      </w:r>
    </w:p>
    <w:p>
      <w:pPr>
        <w:pStyle w:val="Heading3"/>
        <w:spacing w:after="80" w:before="160"/>
      </w:pPr>
      <w:r>
        <w:rPr>
          <w:rFonts w:ascii="Barlow Semi Condensed" w:cs="Barlow Semi Condensed" w:eastAsia="Barlow Semi Condensed" w:hAnsi="Barlow Semi Condensed"/>
          <w:sz w:val="24"/>
          <w:szCs w:val="24"/>
        </w:rPr>
        <w:t xml:space="preserve">Capitolo 8 — ▶ Mino Pecorelli. Il giornalista, le anticipazioni e l'ipotesi processata</w:t>
      </w:r>
    </w:p>
    <w:p>
      <w:pPr>
        <w:spacing w:after="120" w:line="276"/>
        <w:jc w:val="both"/>
      </w:pPr>
      <w:r>
        <w:rPr>
          <w:rFonts w:ascii="Barlow Semi Condensed" w:cs="Barlow Semi Condensed" w:eastAsia="Barlow Semi Condensed" w:hAnsi="Barlow Semi Condensed"/>
          <w:sz w:val="24"/>
          <w:szCs w:val="24"/>
        </w:rPr>
        <w:t xml:space="preserve">Carmine Pecorelli, detto Mino, direttore dell'agenzia-periodico OP, Osservatore Politico, assassinato a Roma la sera del 20 marzo 1979 con 4 colpi d'arma da fuoco mentre saliva in auto presso la redazione, è il nodo che salda la fase al Dominio 8, il controllo dell'informazione, e che il registro tratta quale caso terminale della disciplina delle ipotesi processate. La scansione del corpus registra Pecorelli 401 volte in 37 documenti, e il corpus comprende le sentenze integrali del processo per il suo omicidio.</w:t>
      </w:r>
    </w:p>
    <w:p>
      <w:pPr>
        <w:spacing w:after="120" w:line="276"/>
        <w:jc w:val="both"/>
      </w:pPr>
      <w:r>
        <w:rPr>
          <w:rFonts w:ascii="Barlow Semi Condensed" w:cs="Barlow Semi Condensed" w:eastAsia="Barlow Semi Condensed" w:hAnsi="Barlow Semi Condensed"/>
          <w:sz w:val="24"/>
          <w:szCs w:val="24"/>
        </w:rPr>
        <w:t xml:space="preserve">Il primo pilastro è il profilo della fonte e della testata, certificato al Livello A nei fatti. OP era un foglio anomalo nel panorama informativo: un bollettino di rivelazioni, allusioni e anticipazioni, alimentato da un accesso documentale evidentemente interno agli apparati e agli ambienti riservati, che Pecorelli esercitava secondo una tecnica di pubblicazione progressiva nella quale l'annuncio della notizia valeva quanto la notizia; la collocazione del direttore negli ambienti che le fasi precedenti hanno censito, con rapporti documentati verso l'orbita piduista e verso settori degli apparati, è attestata dagli atti della Commissione Anselmi e dalle istruttorie, e il registro la certifica al Livello B, quale convergenza di fonti istituzionali, senza qualificazioni organiche che gli atti non consacrano. Nella stagione del sequestro e dei mesi successivi, OP pubblicò e annunciò materiali sul caso Moro di provenienza evidentemente qualificata: riferimenti al memoriale prima della sua divulgazione, allusioni alla gestione dei 55 giorni, anticipazioni che le acquisizioni successive avrebbero mostrato fondate su una conoscenza reale di materiali riservati. Il registro certifica al Livello A l'esistenza e la datazione di tali pubblicazioni, quale dato documentale della collezione della testata, e al Livello B la loro derivazione da accesso a materiali del circuito riservato, quale inferenza documentale consolidata dalle comparazioni successive; la questione della catena di tale accesso resta al Livello C.</w:t>
      </w:r>
    </w:p>
    <w:p>
      <w:pPr>
        <w:spacing w:after="120" w:line="276"/>
        <w:jc w:val="both"/>
      </w:pPr>
      <w:r>
        <w:rPr>
          <w:rFonts w:ascii="Barlow Semi Condensed" w:cs="Barlow Semi Condensed" w:eastAsia="Barlow Semi Condensed" w:hAnsi="Barlow Semi Condensed"/>
          <w:sz w:val="24"/>
          <w:szCs w:val="24"/>
        </w:rPr>
        <w:t xml:space="preserve">Il secondo pilastro è l'omicidio e il suo processo, che il registro espone con la disciplina integrale. L'assassinio del 20 marzo 1979, 10 mesi dopo la conclusione del sequestro, rimase a lungo senza sviluppi; negli anni Novanta, sulla scorta di dichiarazioni di collaboratori di giustizia, la procura di Perugia formulò l'ipotesi che l'omicidio fosse stato commissionato in ambienti politico-mafiosi per arrestare le pubblicazioni del direttore sui materiali del caso Moro, e portò a giudizio, tra gli altri, Giulio Andreotti quale mandante e Gaetano Badalamenti quale tramite mafioso, con imputati ulteriori degli ambienti della criminalità romana. Il ciclo processuale si sviluppò così: la Corte d'assise di Perugia, nel settembre 1999, assolse tutti gli imputati; la Corte d'assise d'appello, il 17 novembre 2002, riformò parzialmente condannando Andreotti e Badalamenti a 24 anni di reclusione quali mandanti; la Corte di cassazione, il 30 ottobre 2003, annullò senza rinvio la condanna, rendendo definitiva l'assoluzione di entrambi. Il registro riporta per esteso l'assoluzione definitiva di Giulio Andreotti e di Gaetano Badalamenti dall'accusa di omicidio, unitamente agli esiti assolutori degli altri imputati del medesimo processo, e certifica al Livello A che l'omicidio di Mino Pecorelli resta, all'esito di ogni giudizio, privo di mandanti e di esecutori condannati: è la seconda vittima eccellente della fase, dopo il vuoto sugli esecutori Mattarella censito nella Fase 3, il cui assassinio non ha verità giudiziaria di condanna. L'ipotesi del movente moroteo, che fu il cuore dell'accusa, riceve la qualificazione aggravata già codificata: ipotesi processata e non provata, portata sino al giudizio di legittimità e non consacrata, la cui permanenza nel registro al Livello C reca la memoria del suo intero percorso, ivi compresa la condanna di merito del 2002 travolta dall'annullamento.</w:t>
      </w:r>
    </w:p>
    <w:p>
      <w:pPr>
        <w:spacing w:after="120" w:line="276"/>
        <w:jc w:val="both"/>
      </w:pPr>
      <w:r>
        <w:rPr>
          <w:rFonts w:ascii="Barlow Semi Condensed" w:cs="Barlow Semi Condensed" w:eastAsia="Barlow Semi Condensed" w:hAnsi="Barlow Semi Condensed"/>
          <w:sz w:val="24"/>
          <w:szCs w:val="24"/>
        </w:rPr>
        <w:t xml:space="preserve">Il terzo pilastro è il reticolo degli archi documentati attorno al nodo, che il registro censisce nella loro autonomia dai giudicati mancati. Il primo arco è quello verso l'orbita della Magliana, documentato dalla vicenda, accertata negli atti, del borsello abbandonato su un taxi romano nell'aprile 1979, poche settimane dopo l'omicidio, contenente materiali che alludevano congiuntamente al caso Moro e all'omicidio del giornalista, ricondotto dagli accertamenti tecnici alla mano di Antonio Chichiarelli, il medesimo falsario del comunicato del lago della Duchessa: il registro certifica al Livello B l'attribuzione e dichiara il rilievo della ricorrenza, il medesimo uomo dell'orbita della Magliana che interseca, con manufatti documentali, tanto la gestione comunicativa del sequestro quanto la scia dell'omicidio del giornalista che di quel sequestro pubblicava i segreti; la direzione di questa duplice intersezione resta al Livello C, ma la sua esistenza è un arco certificato tra il Dominio 8, il Dominio 1 romano e il caso Moro. Il secondo arco è quello tematico verso il memoriale: la comparazione tra le anticipazioni di OP e i contenuti emersi nel 1990 appartiene alle acquisizioni parlamentari, e il registro la certifica al Livello B quale riscontro postumo della qualità dell'accesso del direttore. Il terzo arco è quello, già certificato nella Fase 1, che collega la memoria di Pecorelli al processo palermitano ad Andreotti, nel quale le medesime dichiarazioni collaborative alimentarono i 2 procedimenti: il registro richiama l'esito di quel processo, con la formula duale della prescrizione per il periodo anteriore alla primavera 1980 e dell'assoluzione per il periodo successivo, quale contesto degli esiti qui riportati.</w:t>
      </w:r>
    </w:p>
    <w:p>
      <w:pPr>
        <w:spacing w:after="120" w:line="276"/>
        <w:jc w:val="both"/>
      </w:pPr>
      <w:r>
        <w:rPr>
          <w:rFonts w:ascii="Barlow Semi Condensed" w:cs="Barlow Semi Condensed" w:eastAsia="Barlow Semi Condensed" w:hAnsi="Barlow Semi Condensed"/>
          <w:sz w:val="24"/>
          <w:szCs w:val="24"/>
        </w:rPr>
        <w:t xml:space="preserve">Il quarto pilastro è la tecnica dell'annuncio e l'ultimo periodo della testata, che il registro censisce quale contesto immediato dell'omicidio. La pubblicistica di Pecorelli operava secondo un metodo riconoscibile: l'annuncio anticipato di rivelazioni imminenti, la pubblicazione parziale, la sospensione; un metodo che trasformava la testata in uno strumento di pressione oltre che di informazione, e che gli atti delle inchieste hanno documentato nella sua meccanica, ivi compresi i casi in cui annunci pubblicati non furono seguiti dalle rivelazioni promesse. Nei mesi finali, tra la fine del 1978 e il marzo 1979, la testata aveva in cantiere e in parte annunciato materiali su più fronti sensibili, dalle vicende finanziarie che intersecavano il mondo politico romano ai temi del caso Moro, e l'ultimo numero preparato non giunse in edicola nella forma prevista. Il registro certifica al Livello A il metodo dell'annuncio, quale dato documentale della collezione, e la collocazione temporale dell'omicidio nel pieno di una stagione di annunci su materie sensibili, quale dato di calendario; e mantiene al Livello C, secondo la disciplina, ogni individuazione del singolo annuncio che avrebbe determinato l'eliminazione, annotando che l'istruttoria perugina esplorò precisamente questo terreno, la selezione del movente entro il ventaglio delle pubblicazioni pendenti, e che l'esito assolutorio definitivo lascia il ventaglio aperto: il registro censisce il ventaglio, non sceglie la carta. L'annotazione sistemica chiude il pilastro: la figura del giornalista-nodo, che converte l'accesso riservato in potere di pubblicazione e il potere di pubblicazione in leva, è la configurazione più pura del Dominio 8 che l'opera abbia incontrato, e la sua eliminazione fisica, quale che ne sia il mandante mai accertato, documenta che quella configurazione era percepita, da qualcuno, quale minaccia capitale.</w:t>
      </w:r>
    </w:p>
    <w:p>
      <w:pPr>
        <w:spacing w:after="120" w:line="276"/>
        <w:jc w:val="both"/>
      </w:pPr>
      <w:r>
        <w:rPr>
          <w:rFonts w:ascii="Barlow Semi Condensed" w:cs="Barlow Semi Condensed" w:eastAsia="Barlow Semi Condensed" w:hAnsi="Barlow Semi Condensed"/>
          <w:sz w:val="24"/>
          <w:szCs w:val="24"/>
        </w:rPr>
        <w:t xml:space="preserve">Il quinto pilastro distende la storia della testata e il precedente che ne certifica l'accesso. OP nacque nel 1968 quale agenzia di stampa a diffusione ristretta, circolante negli ambienti politici, militari e giornalistici romani quale bollettino di notizie riservate, e si trasformò nel marzo 1978, alla vigilia del sequestro, in settimanale in edicola, portando nel circuito pubblico la tecnica maturata nel decennio riservato; gli atti giudiziari e parlamentari che ne hanno ricostruito la storia documentano la contiguità della testata con ambienti del servizio informazioni della difesa, dai quali provenne parte sistematica del materiale pubblicato, e il registro certifica al Livello B questa contiguità di alimentazione, quale convergenza di accertamenti plurimi, senza qualificazioni organiche. Il precedente che certifica la qualità dell'accesso è la vicenda del dossier MiFoBiali: tra il 1976 e il 1977 la testata diede notizia e pubblicò elementi del rapporto riservato del servizio militare su un traffico petrolifero con la Libia che coinvolgeva vertici della Guardia di finanza, un documento la cui circolazione era confinata al circuito più protetto degli apparati, e la cui vicenda si intreccia, come la Fase 2 ha censito, con la stagione della direzione piduista dei servizi; il registro certifica al Livello A la pubblicazione e la natura del documento, quali fatti documentali, e ne trae la conseguenza che fonda il pilastro: prima ancora del caso Moro, la testata aveva dimostrato, con un caso verificato, di attingere al livello più riservato della documentazione degli apparati, e questa capacità certificata è il presupposto che rende tecnicamente credibile, e perciò analiticamente grave, la sincronia del 1978 sul memoriale.</w:t>
      </w:r>
    </w:p>
    <w:p>
      <w:pPr>
        <w:spacing w:after="120" w:line="276"/>
        <w:jc w:val="both"/>
      </w:pPr>
      <w:r>
        <w:rPr>
          <w:rFonts w:ascii="Barlow Semi Condensed" w:cs="Barlow Semi Condensed" w:eastAsia="Barlow Semi Condensed" w:hAnsi="Barlow Semi Condensed"/>
          <w:sz w:val="24"/>
          <w:szCs w:val="24"/>
        </w:rPr>
        <w:t xml:space="preserve">Il sesto pilastro scandisce la serie degli interventi della testata sul caso Moro, quale la collezione la consegna. Durante i 55 giorni la testata seguì la vicenda con la propria cifra allusiva, insinuando conoscenze sulla gestione e sui retroscena; dopo il 9 maggio, la serie si fece sistematica, con interventi sulla condotta dei comitati, sulle ricerche e sugli ambienti della crisi; nell'ottobre 1978, a ridosso del sequestro di via Monte Nevoso, giunsero le pubblicazioni e le anticipazioni sul memoriale già censite nel capitolo documentale, con i contenuti eccedenti la versione ufficiale; e nei primi mesi del 1979 la testata portò la propria attenzione sui terreni finanziari e politici contigui, sino al numero in preparazione al momento dell'omicidio, dedicato, per le risultanze delle inchieste, alla vicenda degli assegni riconducibili all'area del presidente del Consiglio, il tema finanziario che intrecciava gli istituti di credito pubblici e i costruttori romani. Il registro certifica al Livello A la scansione della serie e l'oggetto del numero in preparazione, quali dati della collezione e delle risultanze istruttorie, e ribadisce la disciplina sul ventaglio dei moventi: la serie documenta che, alla data del 20 marzo 1979, la testata teneva simultaneamente aperti più fronti capaci ciascuno di costituire un movente, il memoriale, la gestione della crisi, il fronte finanziario, e l'istruttoria che scelse uno dei fronti quale movente dell'omicidio è approdata, come il pilastro seguente espone, all'assoluzione definitiva; il registro, censito il ventaglio, lo lascia aperto.</w:t>
      </w:r>
    </w:p>
    <w:p>
      <w:pPr>
        <w:spacing w:after="120" w:line="276"/>
        <w:jc w:val="both"/>
      </w:pPr>
      <w:r>
        <w:rPr>
          <w:rFonts w:ascii="Barlow Semi Condensed" w:cs="Barlow Semi Condensed" w:eastAsia="Barlow Semi Condensed" w:hAnsi="Barlow Semi Condensed"/>
          <w:sz w:val="24"/>
          <w:szCs w:val="24"/>
        </w:rPr>
        <w:t xml:space="preserve">Il settimo pilastro distende l'iter processuale nella sua interezza, quale la disciplina degli esiti impone. L'inchiesta perugina degli anni Novanta si fondò sulle dichiarazioni di collaboratori di giustizia, e in primo luogo di Tommaso Buscetta, che riferì di aver appreso da Gaetano Badalamenti la riconducibilità dell'omicidio a un interesse di Giulio Andreotti connesso alle carte del caso Moro; il rinvio a giudizio investì, oltre ad Andreotti quale mandante e a Badalamenti quale tramite, esponenti dell'orbita della banda della Magliana quali presunti organizzatori ed esecutori, tra cui Giuseppe Calò, già nodo delle fasi precedenti, e Massimo Carminati. Il dibattimento di primo grado dinanzi alla Corte d'assise di Perugia si concluse il 24 settembre 1999 con l'assoluzione di tutti gli imputati; la Corte d'assise d'appello, il 17 novembre 2002, in parziale riforma, condannò Andreotti e Badalamenti a 24 anni di reclusione quali mandanti, confermando le assoluzioni degli altri; la Corte di cassazione, il 30 ottobre 2003, annullò senza rinvio la condanna per non aver commesso il fatto, rendendo definitive tutte le assoluzioni. Il registro riporta per esteso, quale la disciplina impone, che Giulio Andreotti, Gaetano Badalamenti, Giuseppe Calò, Massimo Carminati e i coimputati del processo di Perugia sono stati assolti in via definitiva da ogni accusa relativa all'omicidio di Mino Pecorelli; annota che per Calò si tratta del secondo esito assolutorio censito dall'opera accanto ai 3 giudicati di condanna capitale, e per Carminati dell'esito che si affianca all'assoluzione per la strage di Bologna censita quale contesto nella Fase 3; e chiude con la qualificazione già dichiarata dell'ipotesi del movente moroteo, la più processata e la meno consacrata delle ipotesi del piano terzo, portata sino al giudizio di legittimità attraverso una condanna di merito e integralmente travolta.</w:t>
      </w:r>
    </w:p>
    <w:p>
      <w:pPr>
        <w:spacing w:after="120" w:line="276"/>
        <w:jc w:val="both"/>
      </w:pPr>
      <w:r>
        <w:rPr>
          <w:rFonts w:ascii="Barlow Semi Condensed" w:cs="Barlow Semi Condensed" w:eastAsia="Barlow Semi Condensed" w:hAnsi="Barlow Semi Condensed"/>
          <w:sz w:val="24"/>
          <w:szCs w:val="24"/>
        </w:rPr>
        <w:t xml:space="preserve">L'ottavo pilastro censisce i rapporti della testata con l'orbita gelliana, il secondo asse di alimentazione documentato. Gli atti della Commissione Anselmi e le acquisizioni giudiziarie convergenti documentano la relazione tra Pecorelli e l'ambiente di Licio Gelli: i contatti diretti, la circolazione verso la testata di materiali provenienti da quell'orbita, e flussi di sostegno economico veicolati nella stagione terminale, entro il più generale sistema di condizionamento della stampa che la Commissione ricostruì e che la Fase 2 ha censito quale arco tra la loggia e il Dominio 8; il registro certifica al Livello B la relazione e i flussi, quale convergenza di risultanze parlamentari e giudiziarie non consacrate su ogni punto da giudicato, e certifica al Livello A il dato editoriale che vi si intreccia, la circostanza che la testata pubblicò ripetutamente, in anticipo sulla stampa ordinaria, materie interne all'universo massonico coperto, dimostrando un accesso a quell'ambiente simmetrico a quello certificato verso gli apparati. Sul terreno delle letture, il registro censisce al Livello C l'ipotesi, coltivata dalle inchieste e mai consacrata, della pressione economica esercitata dal giornalista sui propri referenti quale movente concorrente dell'eliminazione, e chiude con la formalizzazione reticolare: il nodo Pecorelli è l'unico dell'intera opera che risulti simultaneamente alimentato, per certificazione o convergenza documentata, dai 2 massimi serbatoi riservati della Repubblica, gli apparati informativi e la loggia coperta, e questa doppia alimentazione certificata, qualunque cosa spieghi della sua morte, definisce esattamente la sua posizione nella rete: un condotto tra i segreti dei 2 sistemi e lo spazio pubblico, revocabile, per costruzione, soltanto con la sua eliminazione.</w:t>
      </w:r>
    </w:p>
    <w:p>
      <w:pPr>
        <w:spacing w:after="120" w:line="276"/>
        <w:jc w:val="both"/>
      </w:pPr>
      <w:r>
        <w:rPr>
          <w:rFonts w:ascii="Barlow Semi Condensed" w:cs="Barlow Semi Condensed" w:eastAsia="Barlow Semi Condensed" w:hAnsi="Barlow Semi Condensed"/>
          <w:sz w:val="24"/>
          <w:szCs w:val="24"/>
        </w:rPr>
        <w:t xml:space="preserve">Il nono pilastro distende la vicenda del borsello e dei reperti successivi, l'appendice materiale del nodo. Nell'aprile 1979, poche settimane dopo l'omicidio, fu rinvenuto su un taxi romano un borsello abbandonato contenente un compendio anomalo di materiali: annotazioni e riproduzioni che intrecciavano riferimenti puntuali al caso Moro, inclusi elementi allusivi a circostanze allora non pubbliche, e riferimenti all'omicidio del giornalista, composti in forma di messaggio criptico; le perizie attribuirono la confezione a Antonio Chichiarelli, il falsario della banda della Magliana già autore, per attribuzione peritale, del falso comunicato della Duchessa, saldando in un'unica mano i 2 manufatti; Chichiarelli fu assassinato a Roma il 28 settembre 1984, in un agguato mai giudizialmente risolto, e dopo la sua morte emersero, dai luoghi a lui riconducibili, ulteriori materiali riferiti al caso Moro che le inchieste acquisirono. Il registro certifica al Livello A il ritrovamento, il contenuto, l'attribuzione peritale e l'assassinio, quali risultanze documentali e giudiziarie, e mantiene al Livello C la funzione dell'intera produzione, dalla rivendicazione obliqua al depistaggio su commissione, annotando la struttura del reperto: un falsario di ambiente criminale romano risulta, per perizia, l'autore materiale tanto del più efficace inquinamento informativo dei 55 giorni quanto del più criptico manufatto post mortem su Pecorelli, fu eliminato senza colpevoli e lasciò materiali che nessuna sede ha mai integralmente decifrato; la doppia firma certificata di Chichiarelli sui 2 casi è l'arco documentale che salda il capitolo alla crisi del 1978, e il registro la consegna quale fatto, con la sua spiegazione ancora vacante, alla competizione tra le ipotesi del piano terzo.</w:t>
      </w:r>
    </w:p>
    <w:p>
      <w:pPr>
        <w:spacing w:after="120" w:line="276"/>
        <w:jc w:val="both"/>
      </w:pPr>
      <w:r>
        <w:rPr>
          <w:rFonts w:ascii="Barlow Semi Condensed" w:cs="Barlow Semi Condensed" w:eastAsia="Barlow Semi Condensed" w:hAnsi="Barlow Semi Condensed"/>
          <w:sz w:val="24"/>
          <w:szCs w:val="24"/>
        </w:rPr>
        <w:t xml:space="preserve">Il decimo pilastro colloca l'omicidio entro la serie degli omicidi eccellenti romani della stagione, quale applicazione del Pattern 3 al Dominio 8 e ai suoi confini. Il registro censisce la sequenza certificata degli assassinii che, nell'orbita tra apparati, criminalità capitolina, politica e informazione, scandirono gli anni a cavallo del caso Moro nella capitale: l'omicidio di Mino Pecorelli il 20 marzo 1979; l'omicidio del tenente colonnello Antonio Varisco il 13 luglio 1979; e, quale termine di raccordo con il Dominio 6 e la Fase 2, l'omicidio dell'avvocato Giorgio Ambrosoli, il liquidatore della banca di Michele Sindona, ucciso a Milano l'11 luglio 1979, nella stessa settimana di Varisco, da un sicario giunto dall'estero. Il registro certifica al Livello A le date e i fatti degli omicidi, quali dati giudiziari e storici, nomina le vittime, e ne dichiara la funzione analitica: la contiguità temporale di 3 eliminazioni che colpirono, in pochi mesi, un giornalista d'accesso riservato, un ufficiale di raccordo tra apparati e ambienti giudiziari romani e il liquidatore che stava documentando i legami tra finanza deviata, mafia e politica, compone una finestra critica che il Pattern 3 registra quale addensamento anomalo di rimozioni di detentori di conoscenza, distinte per mano e per sede giudiziaria e tuttavia unite dalla natura delle vittime, tutte titolari di un sapere pericoloso per gli intrecci tra i domini. Il registro mantiene al Livello C ogni lettura unificante della serie, nessun accertamento avendo mai stabilito una regia comune, e ne certifica quale fatto la sola struttura statistica, l'improbabilità della concentrazione casuale di eventi tanto simili per funzione delle vittime in un arco tanto breve; e consegna la serie, con la disciplina consueta, quale reperto del Pattern 3 alla ricognizione conclusiva, annotando che il nodo Pecorelli vi occupa la posizione del primo termine, l'eliminazione con cui la stagione delle rimozioni romane si aprì.</w:t>
      </w:r>
    </w:p>
    <w:p>
      <w:pPr>
        <w:spacing w:after="120" w:line="276"/>
        <w:jc w:val="both"/>
      </w:pPr>
      <w:r>
        <w:rPr>
          <w:rFonts w:ascii="Barlow Semi Condensed" w:cs="Barlow Semi Condensed" w:eastAsia="Barlow Semi Condensed" w:hAnsi="Barlow Semi Condensed"/>
          <w:sz w:val="24"/>
          <w:szCs w:val="24"/>
        </w:rPr>
        <w:t xml:space="preserve">L'undicesimo pilastro censisce il filo balistico, il reperto materiale maggiore del nodo. I proiettili che uccisero Pecorelli erano cartucce calibro 7,65 di marca Gevelot, una munizione di produzione francese rara sul mercato italiano dell'epoca, la cui identificazione orientò le indagini sin dalle prime perizie; e le inchieste degli anni successivi accertarono la presenza di munizioni Gevelot del medesimo tipo nell'arsenale della banda della Magliana rinvenuto nel deposito ricavato negli scantinati del Ministero della Sanità, il deposito che le indagini sulla criminalità capitolina portarono alla luce documentando la disponibilità dell'organizzazione di un'armeria custodita, per paradosso topografico certificato, entro un edificio pubblico; la convergenza tra la munizione dell'omicidio e la dotazione dell'arsenale fu acquisita ai procedimenti e costituì uno dei fondamenti dell'ipotesi accusatoria sull'esecuzione materiale affidata ad ambienti della banda, ipotesi che l'esito assolutorio definitivo del 2003 ha lasciato priva di consacrazione giudiziale quanto ai mandanti e agli esecutori giudicati in quel processo. Il registro certifica al Livello A l'identificazione della munizione e la presenza del medesimo tipo raro nell'arsenale del Ministero della Sanità, quali dati peritali e di rinvenimento, certifica al Livello B la derivazione dell'arma del delitto dall'orbita della banda, quale inferenza balistica di elevata consistenza mai consacrata da condanna, e ne dichiara la funzione reticolare: il filo Gevelot è l'arco materiale che congiunge il Dominio 8, nella persona della vittima, al Dominio 1 romano, nella dotazione dell'arsenale, ed è, con la doppia firma di Chichiarelli, il secondo elemento fisico che salda l'orbita della Magliana alla stagione degli omicidi eccellenti; il registro consegna il filo alla Fase 5, annotando che la banda romana, già certificata nella Fase 1 quale cerniera tra criminalità, eversione e apparati, vede accrescersi con la fase il proprio rango di connettivo capitolino dei domini.</w:t>
      </w:r>
    </w:p>
    <w:p>
      <w:pPr>
        <w:spacing w:after="120" w:line="276"/>
        <w:jc w:val="both"/>
      </w:pPr>
      <w:r>
        <w:rPr>
          <w:rFonts w:ascii="Barlow Semi Condensed" w:cs="Barlow Semi Condensed" w:eastAsia="Barlow Semi Condensed" w:hAnsi="Barlow Semi Condensed"/>
          <w:sz w:val="24"/>
          <w:szCs w:val="24"/>
        </w:rPr>
        <w:t xml:space="preserve">Il dodicesimo pilastro censisce la sorte dell'archivio della testata, l'ultima assenza del nodo. Le inchieste sull'omicidio documentarono che dall'ufficio di OP e dai materiali del direttore risultarono mancanti, dopo la morte, fascicoli e carte la cui esistenza era attestata da testimonianze dei collaboratori e dalla stessa attività della testata, che su quei materiali fondava le proprie anticipazioni: la ricognizione dell'archivio non restituì l'insieme dei dossier che l'attività documentata del giornalista presupponeva, e la questione della sottrazione di carte contestuale o successiva all'omicidio attraversò le indagini senza mai approdare a un accertamento di condotta; il registro certifica al Livello B la mancanza di materiali rispetto al perimetro attestato, quale convergenza di risultanze testimoniali e investigative non consacrate da un inventario opponibile, e la classifica nella specie propria: l'archivio di Pecorelli appartiene, con la borsa del generale e con le carte controverse dei nodi maggiori, alla figura della sottrazione documentale contestuale all'eliminazione del detentore, il pattern che la fase ha censito in 3 occorrenze distinte, via Fani, via Carini e l'ufficio di OP, e che il registro formalizza quale regolarità certificata nella sua distribuzione e non spiegata nella sua meccanica: in 3 casi su 3, l'eliminazione di un detentore di conoscenza pericolosa si accompagnò alla scomparsa, mai giudizialmente attribuita, del supporto materiale di quella conoscenza; la regolarità, che il Pattern 5 dell'opera registra quale configurazione di Livello B, è consegnata alla riflessione conclusiva con l'annotazione che essa costituisce, nell'intero corpus, la firma strutturale più costante del campo studiato, la coincidenza sistematica tra la morte dell'uomo e la morte delle sue carte.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Pecorelli-OP-accesso riservato, è il triangolo della fonte, certificato al Livello A nelle pubblicazioni e al Livello B nella derivazione. La seconda, omicidio-processo di Perugia-assoluzione definitiva, è il triangolo dell'ipotesi processata, con gli esiti riportati per esteso e la qualificazione aggravata del Livello C. La terza, Pecorelli-Chichiarelli-orbita della Magliana, è il triangolo dell'intersezione documentata, certificato al Livello B con direzione al Livello C. Sul piano dei pattern, il nodo attiva il Pattern 4 in una forma propria del Dominio 8, il flusso dell'informazione riservata quale risorsa tracciabile, di cui OP fu insieme pozzo e sorgente; e il Pattern 5, giacché l'omicidio recise il solo canale pubblico che attingeva, in tempo reale, al circuito riservato del caso, e il silenzio che ne seguì è l'assenza che l'analisi registra.</w:t>
      </w:r>
    </w:p>
    <w:p>
      <w:pPr>
        <w:spacing w:after="120" w:line="276"/>
        <w:jc w:val="both"/>
      </w:pPr>
      <w:r>
        <w:rPr>
          <w:rFonts w:ascii="Barlow Semi Condensed" w:cs="Barlow Semi Condensed" w:eastAsia="Barlow Semi Condensed" w:hAnsi="Barlow Semi Condensed"/>
          <w:sz w:val="24"/>
          <w:szCs w:val="24"/>
        </w:rPr>
        <w:t xml:space="preserve">Il quadro assolutorio del processo perugino esige la sua integralità nominale, che la disciplina del registro impone di riportare per esteso: accanto a Giulio Andreotti e Gaetano Badalamenti, la cui assoluzione definitiva la sintesi certifica, furono giudicati per il medesimo omicidio, quali concorrenti a vario titolo, il magistrato Claudio Vitalone, Giuseppe Calò, Massimo Carminati e Michelangelo La Barbera, e tutti furono assolti, con pronunce divenute irrevocabili all'esito della sentenza della Corte d'Assise d'appello di Perugia del 17 novembre 2002 e della decisione della Corte di cassazione del 30 ottobre 2003, Livello A, sicché per l'omicidio di Carmine Pecorelli non esiste, ad oggi, alcun condannato. Il registro sottolinea la composizione dell'elenco degli assolti, perché essa è, in sé, la radiografia dell'ipotesi accusatoria caduta: un presidente del Consiglio, un capomafia di rango, un magistrato romano, il cassiere di Cosa Nostra, un esponente della manovalanza armata nera ed un uomo d'onore palermitano, vale a dire una sezione trasversale esatta dei domini che questa opera censisce, riuniti in un solo capo di imputazione e congedati da una sola formula liberatoria. L'ipotesi processata, quale che ne fosse il fondamento, aveva la forma stessa del grafo che il registro studia: e la sua caduta integrale consegna al metodo la lezione già enunciata nella Fase 1, che la topologia di un'accusa non ne costituisce la prova, per quanto perfettamente essa combaci con la topologia del sistema.</w:t>
      </w:r>
    </w:p>
    <w:p>
      <w:pPr>
        <w:spacing w:after="120" w:line="276"/>
        <w:jc w:val="both"/>
      </w:pPr>
      <w:r>
        <w:rPr>
          <w:rFonts w:ascii="Barlow Semi Condensed" w:cs="Barlow Semi Condensed" w:eastAsia="Barlow Semi Condensed" w:hAnsi="Barlow Semi Condensed"/>
          <w:sz w:val="24"/>
          <w:szCs w:val="24"/>
        </w:rPr>
        <w:t xml:space="preserve">Alla figura del giornalista va aggiunto il dato editoriale che la cronologia rende eloquente: Osservatore Politico, per un decennio agenzia di notizie riservate a diffusione ristretta, si trasformò in settimanale da edicola nel marzo 1978, sicché la sua stagione pubblica coincise, quasi al giorno, con il sequestro Moro, ed i mesi tra il marzo 1978 ed il marzo 1979, dall'agguato di via Fani all'agguato di via Orazio, delimitano l'esatta finestra in cui le anticipazioni del direttore sul caso uscirono dal circuito riservato dei pochi abbonati eccellenti per raggiungere il pubblico, Livello A quanto alla trasformazione editoriale ed alla sua cronologia. Il registro consegna la coincidenza alla sua doppia lettura, entrambe compatibili con i fatti certificati: la scelta imprenditoriale di capitalizzare in pubblico un patrimonio informativo maturato in privato, e l'innalzamento del profilo di rischio che quella scelta comportava, giacché la notizia riservata venduta ai pochi è merce di scambio e la medesima notizia stampata per tutti è merce bruciata, che vale una sola volta e costa, potenzialmente, molto di più. Tra le 2 economie dell'informazione, quella del ricatto implicito e quella della rivelazione, il direttore di OP attraversò il confine nel marzo 1978: ed un anno dopo, in quella stessa Roma, il confine attraversò lui.</w:t>
      </w:r>
    </w:p>
    <w:p>
      <w:pPr>
        <w:spacing w:after="120" w:line="276"/>
        <w:jc w:val="both"/>
      </w:pPr>
      <w:r>
        <w:rPr>
          <w:rFonts w:ascii="Barlow Semi Condensed" w:cs="Barlow Semi Condensed" w:eastAsia="Barlow Semi Condensed" w:hAnsi="Barlow Semi Condensed"/>
          <w:sz w:val="24"/>
          <w:szCs w:val="24"/>
        </w:rPr>
        <w:t xml:space="preserve">Al fascicolo dei rapporti tra il giornalista e gli apparati appartiene il reperto documentale maggiore, che il registro censisce per nome: il dossier del servizio militare noto con la sigla Mi.Fo.Biali, il fascicolo informativo sulle trame petrolifere, sui vertici della Guardia di Finanza e sui canali libici maturato a metà degli anni Settanta, i cui contenuti transitarono in misura documentata sulle colonne del settimanale di Pecorelli, che ne pubblicò materiali ed anticipazioni, secondo quanto le commissioni parlamentari hanno accertato ricostruendo il flusso dal fascicolo alla testata, Livello A quanto all'esistenza del dossier, ai suoi contenuti ed al transito documentato verso la pubblicazione. Il registro salda il reperto ai suoi 2 capi: a monte, il fascicolo documenta la materia censita nella fase seconda, il vertice delle Fiamme gialle iscritto alla loggia e travolto dalla vicenda dei petroli, confermando che gli apparati sapevano e schedavano in tempo reale ciò che la giustizia avrebbe accertato anni dopo; a valle, il transito verso la testata documenta il meccanismo che il capitolo ha descritto in tesi, il giornalismo di Pecorelli quale terminale selettivo di archivi riservati, e la circostanza che proprio questo dossier, con la sua materia esplosiva di petroli, divise e Libia, figuri tra le carte accertate del flusso, consegna al capitolo la sua conclusione documentale: il settimanale non pubblicava notizie, pubblicava atti, e la domanda che attraversa l'intero caso, chi scegliesse quali atti e quando, è rimasta, con l'assoluzione definitiva di ogni imputato per l'omicidio, la domanda senza risposta che il registro archivia quale irrisolto di seconda specie, quello in cui si conosce l'arma, il flusso ed il movente possibile, e manca soltanto, per sempre, la mano.</w:t>
      </w:r>
    </w:p>
    <w:p>
      <w:pPr>
        <w:spacing w:after="120" w:line="276"/>
        <w:jc w:val="both"/>
      </w:pPr>
      <w:r>
        <w:rPr>
          <w:rFonts w:ascii="Barlow Semi Condensed" w:cs="Barlow Semi Condensed" w:eastAsia="Barlow Semi Condensed" w:hAnsi="Barlow Semi Condensed"/>
          <w:sz w:val="24"/>
          <w:szCs w:val="24"/>
        </w:rPr>
        <w:t xml:space="preserve">La posizione del giornalista dentro il sistema che raccontava esige il suo censimento documentale: il nome di Pecorelli figura negli elenchi della loggia coperta sequestrati a Castiglion Fibocchi ed acquisiti dalla Commissione Anselmi, collocando il direttore del settimanale, con la disciplina costante dell'opera sul valore della mera iscrizione, dentro il perimetro associativo della struttura di intermediazione massima censita dal corpus, Livello A quanto alla risultanza dagli elenchi acquisiti. Il registro consegna il dato alla sua funzione interpretativa, che è doppia e non gerarchizzabile: l'appartenenza illumina l'accesso, spiegando per quale via un periodico marginale nelle tirature disponesse del flusso di atti riservati che il capitolo ha documentato, ed illumina simultaneamente la rottura, perché la stagione finale della testata, con le sue campagne contro ambienti del medesimo perimetro, configura il caso di un nodo interno al sistema che aveva cominciato a pubblicare contro il sistema, e l'omicidio del marzo 1979, rimasto senza colpevoli nei modi che il capitolo ha riportato per esteso, cade esattamente dentro questa torsione, con la conseguenza analitica che il registro affida al Pattern 5: nella rete dell'opera, Pecorelli occupava la posizione più pericolosa che il grafo conosca, quella del nodo che appartiene ad un cluster e informa contro di esso, ed il corpus non registra, in nessuna fase, un solo occupante di quella posizione morto nel proprio letto.</w:t>
      </w:r>
    </w:p>
    <w:p>
      <w:pPr>
        <w:spacing w:after="120" w:line="276"/>
        <w:jc w:val="both"/>
      </w:pPr>
      <w:r>
        <w:rPr>
          <w:rFonts w:ascii="Barlow Semi Condensed" w:cs="Barlow Semi Condensed" w:eastAsia="Barlow Semi Condensed" w:hAnsi="Barlow Semi Condensed"/>
          <w:sz w:val="24"/>
          <w:szCs w:val="24"/>
        </w:rPr>
        <w:t xml:space="preserve">Il caso ha prodotto infine il proprio monumento cartaceo, che il registro censisce quale fenomeno a sé: la bibliografia sul sequestro, accresciutasi senza interruzione per 5 decenni tra memorialistica dei protagonisti, inchieste giornalistiche, storiografia accademica, atti pubblicati e letteratura civile, ha fatto della vicenda l'evento singolo più scritto della storia repubblicana, un giacimento editoriale nel quale coesistono, senza gerarchia visibile per il lettore comune, il documento e la congettura, il giudicato e la fantasia, Livello A quanto alla consistenza del fenomeno. Il registro consegna il monumento alla sua ambivalenza: la sovrapproduzione ha garantito al caso la permanenza nella coscienza nazionale che altre vicende del corpus non ebbero, ed insieme ha generato il problema epistemologico che questa fase ha dovuto risolvere in premessa, l'indistinzione tra i livelli di prova nella memoria collettiva, sicché il lettore italiano medio sa del caso Moro più cose false che vere pur vivendo nel Paese che ne ha accertato più verità che su ogni altro proprio trauma, e l'opera, che di quel giacimento è insieme figlia e correzione, ha assunto per questo la disciplina che la distingue, la marcatura di ogni enunciato con il suo grado, perché il problema del caso Moro, a mezzo secolo dai fatti, non è più sapere, è distinguere ciò che si sa.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Pecorelli è certificato al Livello A quale direttore di OP assassinato il 20 marzo 1979 e quale autore di pubblicazioni e anticipazioni sul caso Moro fondate, al Livello B, su accesso reale a materiali riservati; l'assoluzione definitiva di Andreotti e Badalamenti, pronunciata dalla Cassazione il 30 ottobre 2003 con annullamento senza rinvio della condanna d'appello, è riportata per esteso, e l'omicidio resta privo di qualsiasi condannato, con l'ipotesi del movente moroteo ferma al Livello C nella qualificazione aggravata; gli archi documentati verso l'orbita della Magliana, nella duplice intersezione di Chichiarelli, e verso il memoriale sono certificati al Livello B e consegnano il nodo alla lettura reticolare quale cerniera tra il Dominio 8, il quadrilatero romano e il caso.</w:t>
      </w:r>
    </w:p>
    <w:p>
      <w:pPr>
        <w:pStyle w:val="Heading3"/>
        <w:spacing w:after="80" w:before="160"/>
      </w:pPr>
      <w:r>
        <w:rPr>
          <w:rFonts w:ascii="Barlow Semi Condensed" w:cs="Barlow Semi Condensed" w:eastAsia="Barlow Semi Condensed" w:hAnsi="Barlow Semi Condensed"/>
          <w:sz w:val="24"/>
          <w:szCs w:val="24"/>
        </w:rPr>
        <w:t xml:space="preserve">Capitolo 9 — ▶ Carlo Alberto Dalla Chiesa. Il generale dei 2 fronti e i 100 giorni di Palermo</w:t>
      </w:r>
    </w:p>
    <w:p>
      <w:pPr>
        <w:spacing w:after="120" w:line="276"/>
        <w:jc w:val="both"/>
      </w:pPr>
      <w:r>
        <w:rPr>
          <w:rFonts w:ascii="Barlow Semi Condensed" w:cs="Barlow Semi Condensed" w:eastAsia="Barlow Semi Condensed" w:hAnsi="Barlow Semi Condensed"/>
          <w:sz w:val="24"/>
          <w:szCs w:val="24"/>
        </w:rPr>
        <w:t xml:space="preserve">Carlo Alberto Dalla Chiesa, generale dell'Arma dei carabinieri, protagonista della sconfitta militare del terrorismo brigatista e successivamente prefetto di Palermo, assassinato con la moglie e l'agente di scorta il 3 settembre 1982, è il nodo-persona che salda la fase al versante antimafia dell'opera e che il registro tratta nei suoi 2 fronti, con la cerniera documentale che li unisce: il memoriale Moro. La scansione del corpus registra Dalla Chiesa 308 volte in 26 documenti.</w:t>
      </w:r>
    </w:p>
    <w:p>
      <w:pPr>
        <w:spacing w:after="120" w:line="276"/>
        <w:jc w:val="both"/>
      </w:pPr>
      <w:r>
        <w:rPr>
          <w:rFonts w:ascii="Barlow Semi Condensed" w:cs="Barlow Semi Condensed" w:eastAsia="Barlow Semi Condensed" w:hAnsi="Barlow Semi Condensed"/>
          <w:sz w:val="24"/>
          <w:szCs w:val="24"/>
        </w:rPr>
        <w:t xml:space="preserve">Il primo pilastro è il fronte antiterrorismo, certificato al Livello A. Nell'estate del 1978, all'indomani della conclusione del sequestro, Dalla Chiesa fu posto a capo, con decreto interministeriale e poteri speciali di coordinamento, della struttura antiterrorismo incaricata della lotta alle organizzazioni armate: sotto la sua direzione, i reparti speciali conseguirono in pochi anni i risultati che la stagione precedente non aveva raggiunto, a cominciare dall'irruzione del 1 ottobre 1978 nel covo di via Monte Nevoso, con la cattura di dirigenti dell'organizzazione e il sequestro del primo compendio del memoriale, sino alla progressiva disarticolazione delle colonne, alimentata dalla legislazione premiale sulla dissociazione che il generale sostenne. Il registro certifica al Livello A la titolarità, i poteri e i risultati della stagione antiterrorismo, e certifica al medesimo livello la posizione del generale nella catena di custodia del primo ritrovamento del memoriale, quale fatto che lo colloca al centro della vicenda documentale censita nel capitolo 5: le questioni sulla gestione di quel materiale, ivi compresa quella della completezza della trasmissione, sono state sollevate nelle sedi parlamentari anche con riferimento alla catena del 1978, e il registro le mantiene, per la parte non risolta, al Livello C, entro il perimetro già tracciato.</w:t>
      </w:r>
    </w:p>
    <w:p>
      <w:pPr>
        <w:spacing w:after="120" w:line="276"/>
        <w:jc w:val="both"/>
      </w:pPr>
      <w:r>
        <w:rPr>
          <w:rFonts w:ascii="Barlow Semi Condensed" w:cs="Barlow Semi Condensed" w:eastAsia="Barlow Semi Condensed" w:hAnsi="Barlow Semi Condensed"/>
          <w:sz w:val="24"/>
          <w:szCs w:val="24"/>
        </w:rPr>
        <w:t xml:space="preserve">Il secondo pilastro è il fronte antimafia e l'assassinio, certificato al Livello A nei giudicati. Nell'aprile 1982, nel pieno dell'offensiva corleonese, Dalla Chiesa fu nominato prefetto di Palermo, con un mandato di contrasto alla mafia che egli stesso, in interventi pubblici e in un colloquio giornalistico divenuto celebre, dichiarò di volere esteso ai rapporti tra l'organizzazione e il sistema politico-affaristico, lamentando al contempo di non aver ricevuto i poteri speciali richiesti; il suo insediamento avvenne il 30 aprile 1982, il giorno dell'assassinio di Pio La Torre, e la sua azione durò 100 giorni. La sera del 3 settembre 1982, in via Isidoro Carini, un commando di fuoco affiancò l'utilitaria sulla quale il prefetto viaggiava con la moglie Emanuela Setti Carraro e l'auto dell'agente di scorta Domenico Russo, uccidendo i primi 2 sul colpo e ferendo mortalmente il terzo, spirato giorni dopo: il registro trascrive i 3 nomi quale atto dovuto. I procedimenti si conclusero con le condanne irrevocabili dei componenti della commissione provinciale di Cosa Nostra quali mandanti, tra i quali ancora Salvatore Riina e Giuseppe Calò, e di esecutori individuati dell'ala militare corleonese: il registro certifica al Livello A il mandato mafioso e le condanne, e annota il richiamo interno divenuto sistematico: il nodo Calò, certificato nella Fase 1 quale cassiere e condannato per la strage del rapido 904, compare ora per la terza volta tra i mandanti giudicati degli eventi capitali, dopo l'omicidio Mattarella, componendo nella sua sola posizione giudiziaria l'arco che unisce il quadrilatero romano, la stagione degli omicidi politici siciliani e la strage ferroviaria del 1984.</w:t>
      </w:r>
    </w:p>
    <w:p>
      <w:pPr>
        <w:spacing w:after="120" w:line="276"/>
        <w:jc w:val="both"/>
      </w:pPr>
      <w:r>
        <w:rPr>
          <w:rFonts w:ascii="Barlow Semi Condensed" w:cs="Barlow Semi Condensed" w:eastAsia="Barlow Semi Condensed" w:hAnsi="Barlow Semi Condensed"/>
          <w:sz w:val="24"/>
          <w:szCs w:val="24"/>
        </w:rPr>
        <w:t xml:space="preserve">Il terzo pilastro è il campo delle questioni aperte attorno all'assassinio, che il registro censisce con la graduazione dovuta. La prima questione è quella del movente composito: le sentenze fondarono il mandato sulla minaccia che l'azione del prefetto rappresentava per l'organizzazione, e le sedi parlamentari e storiografiche hanno documentato la lettura, alimentata dalle dichiarazioni pubbliche dello stesso generale sull'isolamento in cui operava, per cui l'eliminazione fu resa possibile o accelerata dall'assenza di protezione politica; il registro certifica al Livello A le denunce di isolamento del prefetto, quali fatti documentali, e mantiene al Livello C ogni ricostruzione di concorsi o inerzie deliberate esterni all'organizzazione mandante, che nessun giudicato ha accertato. La seconda questione è quella dei documenti: la cassaforte della prefettura e le carte personali del generale furono oggetto, nelle ricostruzioni dei familiari e nelle sedi d'inchiesta, di rilievi circa sottrazioni o incompletezze nei materiali rinvenuti dopo l'assassinio, con particolare riferimento a carte attinenti alla stagione antiterrorismo e al memoriale; il registro certifica al Livello B l'esistenza storica della controversia sui materiali, quale dato documentato dalle fonti parlamentari e testimoniali, e mantiene al Livello C ogni ricostruzione del contenuto di eventuali carte mancanti, dichiarando che questo è il terzo buco documentale della fase, dopo gli originali del memoriale e gli archivi di Hyperion, e che la ricorrenza della figura, l'archivio del protagonista che non giunge integro all'accertamento, è essa stessa un pattern che il registro consegna alla lettura conclusiva.</w:t>
      </w:r>
    </w:p>
    <w:p>
      <w:pPr>
        <w:spacing w:after="120" w:line="276"/>
        <w:jc w:val="both"/>
      </w:pPr>
      <w:r>
        <w:rPr>
          <w:rFonts w:ascii="Barlow Semi Condensed" w:cs="Barlow Semi Condensed" w:eastAsia="Barlow Semi Condensed" w:hAnsi="Barlow Semi Condensed"/>
          <w:sz w:val="24"/>
          <w:szCs w:val="24"/>
        </w:rPr>
        <w:t xml:space="preserve">Il quarto pilastro è il contenuto dei 100 giorni palermitani, che il registro espone quale documentazione del movente giudicato. L'azione del prefetto si sviluppò su 3 direttrici documentate: la ricognizione diretta del territorio e delle sue ferite, con la presenza fisica nei luoghi del dominio mafioso che la memorialistica della stagione ha consegnato; l'impostazione di un contrasto patrimoniale e amministrativo, con l'attenzione dichiarata agli appalti, ai flussi finanziari e alle connessioni tra l'organizzazione e l'economia legale, in continuità con l'intuizione che la stagione successiva avrebbe trasformato in metodo; e la richiesta insistita di poteri di coordinamento nazionali antimafia, formalizzata al governo e rimasta inevasa sino alla vigilia dell'assassinio. A questa azione appartiene il documento pubblico più citato della stagione, l'intervista concessa a Giorgio Bocca e pubblicata il 10 agosto 1982, nella quale il prefetto formulò la diagnosi divenuta canonica, per cui si è uccisi in genere perché si è soli, isolati dal potere che dovrebbe sostenere chi combatte, e denunciò apertamente la sproporzione tra il mandato ricevuto e gli strumenti concessi. Il registro certifica al Livello A le 3 direttrici, la richiesta inevasa dei poteri e l'intervista, quali fatti documentali; e ne dichiara la funzione probatoria: i 100 giorni documentano, dalla viva voce e dagli atti del protagonista, tanto la natura della minaccia che egli rappresentava per l'organizzazione, il fondamento del movente che i giudicati avrebbero accertato, quanto la condizione di isolamento in cui la rappresentava, il fondamento documentale delle questioni che il pilastro successivo censisce; e la compresenza delle 2 dimensioni nello stesso corpus documentale è la ragione per cui il nodo esige, più di ogni altro della fase, la separazione dei piani che il registro pratica.</w:t>
      </w:r>
    </w:p>
    <w:p>
      <w:pPr>
        <w:spacing w:after="120" w:line="276"/>
        <w:jc w:val="both"/>
      </w:pPr>
      <w:r>
        <w:rPr>
          <w:rFonts w:ascii="Barlow Semi Condensed" w:cs="Barlow Semi Condensed" w:eastAsia="Barlow Semi Condensed" w:hAnsi="Barlow Semi Condensed"/>
          <w:sz w:val="24"/>
          <w:szCs w:val="24"/>
        </w:rPr>
        <w:t xml:space="preserve">Il quinto pilastro è il contesto della nomina, che il registro fissa per la comprensione dei 100 giorni. La designazione di Dalla Chiesa alla prefettura di Palermo maturò nell'aprile 1982 quale risposta dello Stato all'escalation della seconda guerra di mafia, l'offensiva con cui lo schieramento corleonese stava eliminando, con centinaia di morti, le famiglie avverse e chiunque ostacolasse la conquista dell'organizzazione; il generale pose condizioni sui poteri, ottenne assicurazioni verbali e non il decreto richiesto, e il suo insediamento avvenne il 30 aprile 1982, il giorno stesso dell'assassinio di Pio La Torre, sicché il prefetto entrò in carica accompagnando il feretro dell'uomo politico che aveva chiesto la sua nomina e che aveva depositato la proposta di legge sul reato associativo e sui patrimoni. Il registro certifica al Livello A la sequenza della nomina, delle condizioni poste e della coincidenza dell'insediamento, quali fatti documentali, e annota la saldatura legislativa che ne seguì: la legge sull'associazione di tipo mafioso e sulle misure patrimoniali, approvata nel settembre 1982 sull'onda dell'assassinio del prefetto e intitolata ai 2 nomi di Rognoni e La Torre, è l'atto con cui lo Stato trasse dalla stagione dei suoi caduti lo strumento che le fasi precedenti dell'opera hanno visto operare, dal Maxiprocesso alle confische; il registro certifica al Livello A la filiazione temporale e politica della legge dalla sequenza degli assassinii, quale dato storico, e la consegna al quadro dell'opera quale esempio massimo della dinamica per cui, nel campo studiato, gli strumenti dell'accertamento e del contrasto sono nati, quasi sempre, dal sangue e non dalla previsione.</w:t>
      </w:r>
    </w:p>
    <w:p>
      <w:pPr>
        <w:spacing w:after="120" w:line="276"/>
        <w:jc w:val="both"/>
      </w:pPr>
      <w:r>
        <w:rPr>
          <w:rFonts w:ascii="Barlow Semi Condensed" w:cs="Barlow Semi Condensed" w:eastAsia="Barlow Semi Condensed" w:hAnsi="Barlow Semi Condensed"/>
          <w:sz w:val="24"/>
          <w:szCs w:val="24"/>
        </w:rPr>
        <w:t xml:space="preserve">Il sesto pilastro distende la biografia anteriore, che fonda la singolarità del nodo. Nato a Saluzzo nel 1920, figlio di un alto ufficiale dell'Arma, partecipò alla Resistenza e percorse la carriera nei reparti territoriali sino al primo incontro con la Sicilia: capitano a Corleone alla fine degli anni Quaranta, condusse le indagini sulla scomparsa del sindacalista Placido Rizzotto, rapito e ucciso nel marzo 1948, giungendo all'individuazione dei resti nella foiba di Rocca Busambra e all'incriminazione di Luciano Liggio e dei suoi uomini, poi assolti per insufficienza di prove: il registro certifica al Livello A l'inchiesta e il suo esito, nomina la vittima, e annota che la prima esperienza siciliana del futuro prefetto si chiuse con la lezione che avrebbe accompagnato l'intera storia dell'antimafia, l'evaporazione dibattimentale delle prove raccolte, la distanza tra il sapere investigativo e il provare processuale che l'opera ha censito in ogni fase. Tornato in Sicilia da colonnello alla fine degli anni Sessanta, al comando della legione di Palermo negli anni della prima guerra di mafia e della Commissione antimafia, produsse i rapporti sulle cosche e sui loro collegamenti che alimentarono i procedimenti dell'epoca; trasferito al nord, comandò la brigata di Torino negli anni dell'emergenza terroristica nascente, e nel 1974 costituì il primo nucleo speciale antiterrorismo, l'unità che, con l'infiltrazione di Girotto, catturò Curcio e Franceschini: il registro salda qui il filo già annotato nel capitolo dell'organizzazione, certificando al Livello A che il duello tra il generale e le Brigate Rosse cominciò 4 anni prima del caso Moro, con una vittoria del primo, e che la sua chiamata del 1978 fu la riattivazione di una competenza già dimostrata.</w:t>
      </w:r>
    </w:p>
    <w:p>
      <w:pPr>
        <w:spacing w:after="120" w:line="276"/>
        <w:jc w:val="both"/>
      </w:pPr>
      <w:r>
        <w:rPr>
          <w:rFonts w:ascii="Barlow Semi Condensed" w:cs="Barlow Semi Condensed" w:eastAsia="Barlow Semi Condensed" w:hAnsi="Barlow Semi Condensed"/>
          <w:sz w:val="24"/>
          <w:szCs w:val="24"/>
        </w:rPr>
        <w:t xml:space="preserve">Il settimo pilastro distende la stagione 1978-1981, il triennio della vittoria sul terrorismo. Investito nell'agosto 1978, con provvedimento interministeriale, del coordinamento delle forze antiterrorismo con poteri speciali e riservatezza operativa, il generale costruì una struttura selezionata di ufficiali e sottufficiali sottratta alle gerarchie ordinarie, e i risultati seguirono in sequenza: l'irruzione del 1 ottobre 1978 in via Monte Nevoso, con la cattura di dirigenti della colonna milanese tra cui Lauro Azzolini e Franco Bonisoli, uomini del vertice dell'organizzazione, e il sequestro del primo compendio del memoriale; la progressione delle catture del 1979; e la svolta del 1980, la collaborazione di Patrizio Peci, capo della colonna torinese arrestato in febbraio, primo dirigente dell'organizzazione a rompere il vincolo, le cui dichiarazioni, gestite dalla struttura del generale, disarticolarono le colonne e condussero, tra l'altro, all'irruzione genovese di via Fracchia del 28 marzo 1980, nella quale 4 militanti della colonna ligure caddero nel blitz. Alla collaborazione di Peci l'organizzazione rispose con la rappresaglia che il registro trascrive quale atto dovuto: il sequestro e l'assassinio, nell'estate 1981, del fratello Roberto Peci, ucciso il 3 agosto dopo 54 giorni di prigionia e un processo proletario filmato, il contrappasso atroce della durata quasi identica a quella del sequestro Moro; il registro certifica al Livello A la sequenza, nomina la vittima, e annota che la stagione consegnò al Paese la sconfitta militare del terrorismo brigatista e al generale la reputazione che ne fece, nel 1982, l'uomo della nuova emergenza. La legislazione premiale sulla dissociazione e sulla collaborazione, che il generale sostenne pubblicamente e che i governi vararono tra il 1979 e il 1982, è certificata al Livello A quale cornice normativa della vittoria, e il registro ne annota la filiazione: lo strumento che avrebbe aperto, pochi anni dopo, la stagione dei collaboratori di mafia nacque sul terreno del terrorismo, e il suo primo grande gestore fu l'uomo che Palermo avrebbe ricevuto quale prefetto.</w:t>
      </w:r>
    </w:p>
    <w:p>
      <w:pPr>
        <w:spacing w:after="120" w:line="276"/>
        <w:jc w:val="both"/>
      </w:pPr>
      <w:r>
        <w:rPr>
          <w:rFonts w:ascii="Barlow Semi Condensed" w:cs="Barlow Semi Condensed" w:eastAsia="Barlow Semi Condensed" w:hAnsi="Barlow Semi Condensed"/>
          <w:sz w:val="24"/>
          <w:szCs w:val="24"/>
        </w:rPr>
        <w:t xml:space="preserve">L'ottavo pilastro censisce le carte del generale, il versante documentale del nodo. La famiglia consegnò alle autorità, dopo l'assassinio, i diari e le agende del prefetto, e da quel compendio emerse il documento più citato della stagione, l'annotazione del 5 aprile 1982 sull'incontro romano con Giulio Andreotti alla vigilia della partenza per Palermo: in essa il generale registra di avere rappresentato al presidente della corrente che non avrebbe avuto riguardi per la componente andreottiana siciliana del partito, fissando per iscritto, dalla propria mano, la percezione del terreno politico che lo attendeva; l'annotazione fu prodotta e discussa nei giudizi degli anni Novanta sul rapporto tra il senatore e Cosa Nostra, ed è agli atti. Il registro certifica al Livello A l'esistenza, la data, la produzione processuale e il tenore dell'annotazione, quale documento autografo acquisito, e mantiene al livello proprio di ciascuna lettura ogni inferenza ulteriore; al medesimo versante appartiene la questione della borsa: gli atti e le testimonianze documentano che la borsa portadocumenti che il generale recava con sé non risulta tra i reperti inventariati della scena di via Carini, e la sua sorte non è mai stata accertata; il registro certifica al Livello B la mancata inventariazione, quale convergenza delle risultanze delle inchieste, e la iscrive nel novero dei vuoti documentali della fase, accanto alle carte dell'archivio personale la cui integrità è questione censita, annotando che il pattern della sottrazione documentale contestuale all'eliminazione, aperto dalle borse di via Fani, si richiude, a distanza di 4 anni e su un altro fronte, sull'ultimo protagonista della fase.</w:t>
      </w:r>
    </w:p>
    <w:p>
      <w:pPr>
        <w:spacing w:after="120" w:line="276"/>
        <w:jc w:val="both"/>
      </w:pPr>
      <w:r>
        <w:rPr>
          <w:rFonts w:ascii="Barlow Semi Condensed" w:cs="Barlow Semi Condensed" w:eastAsia="Barlow Semi Condensed" w:hAnsi="Barlow Semi Condensed"/>
          <w:sz w:val="24"/>
          <w:szCs w:val="24"/>
        </w:rPr>
        <w:t xml:space="preserve">Il nono pilastro distende l'accertamento giudiziario dell'omicidio, quale la disciplina degli esiti impone. Le indagini rimasero senza svolta sino alla stagione delle collaborazioni: a metà degli anni Novanta le confessioni di componenti del gruppo di fuoco corleonese, tra cui Calogero Ganci e Francesco Paolo Anzelmo, consentirono la ricostruzione integrale dell'agguato di via Carini, l'identificazione degli esecutori, tra i quali fu condannato in via definitiva Antonino Madonia, e la conferma del quadro dei mandanti nella commissione di Cosa Nostra, i cui componenti riportarono gli ergastoli già censiti; le sentenze, divenute irrevocabili tra la fine degli anni Novanta e i primi anni Duemila, fissarono il movente nella minaccia rappresentata dall'azione del prefetto e dalla prospettiva dei poteri di coordinamento richiesti. Il registro certifica al Livello A la ricostruzione, gli esecutori e i mandanti giudicati, quale esito consolidato del piano primo del nodo, e ribadisce la decomposizione già dichiarata: il piano primo è saturo, con la peculiarità che la saturazione giunse, come per il caso Moro, per via confessoria interna e a distanza di 14 anni; il piano secondo, la solitudine istituzionale documentata e le anomalie del dopo, resta censito nei fatti certificati del quarto pilastro; e il piano terzo, l'ipotesi di convergenze di interessi esterni all'organizzazione nella rimozione del prefetto, resta al Livello C, esplorato dalle inchieste sui cosiddetti mandanti occulti e chiuso con archiviazioni che il registro trascrive quale esito, annotando che la struttura a 3 piani della fase si replica dunque, con esattezza speculare, sul suo ultimo nodo.</w:t>
      </w:r>
    </w:p>
    <w:p>
      <w:pPr>
        <w:spacing w:after="120" w:line="276"/>
        <w:jc w:val="both"/>
      </w:pPr>
      <w:r>
        <w:rPr>
          <w:rFonts w:ascii="Barlow Semi Condensed" w:cs="Barlow Semi Condensed" w:eastAsia="Barlow Semi Condensed" w:hAnsi="Barlow Semi Condensed"/>
          <w:sz w:val="24"/>
          <w:szCs w:val="24"/>
        </w:rPr>
        <w:t xml:space="preserve">Il decimo pilastro censisce la memoria e la funzione fondativa del nodo. L'assassinio del 3 settembre 1982 produsse, nella sequenza certificata, la legge Rognoni-La Torre entro il mese, la costituzione del sistema dei poteri antimafia prefettizi e investigativi degli anni successivi, e la consegna alla stagione del pool palermitano, che la Fase 1 ha censito, del metodo e degli uomini: il registro certifica al Livello A la filiazione istituzionale, quale dato normativo e storico, e chiude il nodo con la formalizzazione comparativa che la fase gli deve: Carlo Alberto Dalla Chiesa è, nell'intero grafo dell'opera, il nodo individuale che congiunge il maggior numero di teatri con funzione sempre avversa alle reti studiate, Corleone nel 1948, l'antimafia dei rapporti negli anni Sessanta, la vittoria sul terrorismo tra il 1974 e il 1981, la custodia del memoriale nel 1978, Palermo nel 1982, e la sua eliminazione, giudizialmente attribuita al solo Dominio 1, chiude la fase con il dato che il bilancio conclusivo recepirà: l'uomo che aveva sconfitto il terrorismo con gli strumenti dello Stato fu ucciso dalla mafia nella solitudine documentata dello Stato medesimo, e la distanza tra le 2 metà di questa frase, entrambe certificate, è l'esatta misura del campo che l'opera studia.</w:t>
      </w:r>
    </w:p>
    <w:p>
      <w:pPr>
        <w:spacing w:after="120" w:line="276"/>
        <w:jc w:val="both"/>
      </w:pPr>
      <w:r>
        <w:rPr>
          <w:rFonts w:ascii="Barlow Semi Condensed" w:cs="Barlow Semi Condensed" w:eastAsia="Barlow Semi Condensed" w:hAnsi="Barlow Semi Condensed"/>
          <w:sz w:val="24"/>
          <w:szCs w:val="24"/>
        </w:rPr>
        <w:t xml:space="preserve">L'undicesimo pilastro censisce il contesto criminale nel quale la nomina si iscrisse, la seconda guerra di mafia, e nomina le vittime eccellenti che ne scandirono la stagione. L'offensiva corleonese guidata da Totò Riina, avviata all'inizio degli anni Ottanta, produsse nel triennio 1981-1983 centinaia di morti nella sola provincia di Palermo e una sequenza di delitti eccellenti che il registro censisce quali termini del contesto: l'omicidio del presidente della Regione siciliana Piersanti Mattarella il 6 gennaio 1980, che la Fase 1 ha censito; l'omicidio del capo della squadra mobile Boris Giuliano nel 1979; l'omicidio del procuratore Gaetano Costa nel 1980; l'omicidio del segretario regionale comunista e deputato Pio La Torre, con Rosario Di Salvo, il 30 aprile 1982, il giorno dell'insediamento del prefetto; e, a coronamento della stagione, l'assassinio del prefetto stesso, con Emanuela Setti Carraro e l'agente Domenico Russo, il 3 settembre 1982. Il registro certifica al Livello A la sequenza e le date, quali dati storici e giudiziari, nomina le vittime, e ne dichiara la funzione: la nomina di Dalla Chiesa e la sua eliminazione non furono eventi isolati ma i 2 estremi di una stagione di guerra nella quale l'organizzazione corleonese eliminò sistematicamente i vertici dello Stato, della politica e della magistratura che ne ostacolavano la conquista del potere assoluto interno, e il prefetto fu, in questa lettura certificata dai giudicati, il bersaglio di massimo profilo di una strategia di supremazia che il Maxiprocesso, nato dal metodo che la sua morte contribuì a fondare, avrebbe pochi anni dopo giudicato; il registro consegna la serie quale contesto certificato del nodo e quale saldatura documentale con la Fase 1, annotando che la seconda guerra di mafia è il teatro in cui il Dominio 1 raggiunse la massima autonomia strategica dell'intera storia repubblicana, uccidendo i rappresentanti degli altri domini non quale strumento di alcuno ma quale soggetto sovrano del proprio disegno, un dato che il bilancio conclusivo dell'opera dovrà pesare contro ogni lettura meramente strumentale della criminalità organizzata.</w:t>
      </w:r>
    </w:p>
    <w:p>
      <w:pPr>
        <w:spacing w:after="120" w:line="276"/>
        <w:jc w:val="both"/>
      </w:pPr>
      <w:r>
        <w:rPr>
          <w:rFonts w:ascii="Barlow Semi Condensed" w:cs="Barlow Semi Condensed" w:eastAsia="Barlow Semi Condensed" w:hAnsi="Barlow Semi Condensed"/>
          <w:sz w:val="24"/>
          <w:szCs w:val="24"/>
        </w:rPr>
        <w:t xml:space="preserve">Il dodicesimo pilastro censisce la dinamica dell'agguato di via Isidoro Carini, quale i giudicati la consegnano. La sera del 3 settembre 1982, intorno alle 21:15, la A112 con Emanuela Setti Carraro alla guida e il prefetto al suo fianco, diretta dalla prefettura verso l'abitazione, fu affiancata nella via da un commando su più veicoli, tra cui la motocicletta e le vetture che le ricostruzioni processuali hanno fissato, e investita dal fuoco di armi automatiche, tra le quali il fucile d'assalto kalashnikov che le perizie identificarono, un'arma da guerra la cui comparsa segnò il salto di potenza militare dell'organizzazione; il prefetto e la moglie furono uccisi sul colpo, mentre l'agente Domenico Russo, alla guida dell'auto di accompagnamento e raggiunto dal fuoco, morì dopo giorni di agonia; la sproporzione tra il dispositivo aggressore e la protezione della vittima, un prefetto antimafia che viaggiava di sera su un'utilitaria non protetta guidata dalla moglie, con una sola auto al seguito, fu rilevata da ogni sede di accertamento e appartiene alla serie delle denunce di isolamento che il quarto pilastro ha censito. Il registro certifica al Livello A la dinamica, l'orario, le armi e le vittime, quali risultanze dei giudicati, nomina ancora Emanuela Setti Carraro e Domenico Russo accanto a Carlo Alberto Dalla Chiesa, e ne trae l'annotazione comparativa che la fase gli deve: l'agguato di via Carini replica, a 4 anni e mezzo di distanza, la struttura di via Fani, l'annientamento in strada di un obiettivo di massimo valore protetto secondo procedure ordinarie, e la replica della configurazione, mutati il dominio esecutore e la città, certifica che la lezione della vulnerabilità non era stata appresa dall'ordinamento, un dato di sistema che il registro consegna, quale fatto comparativo tra i 2 vertici della fase, al bilancio conclusivo dell'opera.</w:t>
      </w:r>
    </w:p>
    <w:p>
      <w:pPr>
        <w:spacing w:after="120" w:line="276"/>
        <w:jc w:val="both"/>
      </w:pPr>
      <w:r>
        <w:rPr>
          <w:rFonts w:ascii="Barlow Semi Condensed" w:cs="Barlow Semi Condensed" w:eastAsia="Barlow Semi Condensed" w:hAnsi="Barlow Semi Condensed"/>
          <w:sz w:val="24"/>
          <w:szCs w:val="24"/>
        </w:rPr>
        <w:t xml:space="preserve">Il tredicesimo pilastro censisce l'ultimo lascito investigativo, il rapporto dei 162 e la filiazione del Maxiprocesso. Nel luglio 1982, nelle settimane della prefettura palermitana, le forze investigative della città consegnarono all'autorità giudiziaria il rapporto congiunto di denuncia contro 162 esponenti delle famiglie mafiose, la più vasta ricostruzione unitaria dell'organizzazione sino ad allora prodotta, elaborata con il metodo della lettura complessiva dei patrimoni, delle parentele e delle guerre interne che il generale aveva portato dall'antiterrorismo e che i suoi interlocutori investigativi palermitani condividevano; il rapporto, depositato nelle settimane a cavallo dell'assassinio, divenne una delle basi documentali dell'istruttoria che, unita alle collaborazioni della stagione successiva e al lavoro del pool censito nella Fase 1, avrebbe prodotto il Maxiprocesso; il registro certifica al Livello A l'esistenza, la data, la consistenza e la funzione istruttoria del rapporto, quali dati documentali, e ne trae la formalizzazione genealogica che chiude il nodo: la linea che va dal metodo antiterrorismo del generale al rapporto dei 162, dal rapporto all'istruttoria, dall'istruttoria al Maxiprocesso e dal Maxiprocesso alla sentenza definitiva del 1992 che consacrò il teorema dell'unitarietà di Cosa Nostra è una filiazione documentale continua, ricostruibile atto per atto, e costituisce la dimostrazione storica che la fase consegna al bilancio dell'opera: l'uomo fu eliminato, il metodo no, e la distanza temporale tra l'assassinio del 3 settembre 1982 e la vittoria giudiziaria del gennaio 1992 misura esattamente il decennio che il sistema criminale guadagnò con l'eliminazione e che lo Stato impiegò a percorrere la strada che il generale aveva indicato; il registro trascrive la filiazione quale fatto certificato e la consegna, quale ultimo arco del nodo, alla lettura reticolare conclusiva.</w:t>
      </w:r>
    </w:p>
    <w:p>
      <w:pPr>
        <w:spacing w:after="120" w:line="276"/>
        <w:jc w:val="both"/>
      </w:pPr>
      <w:r>
        <w:rPr>
          <w:rFonts w:ascii="Barlow Semi Condensed" w:cs="Barlow Semi Condensed" w:eastAsia="Barlow Semi Condensed" w:hAnsi="Barlow Semi Condensed"/>
          <w:sz w:val="24"/>
          <w:szCs w:val="24"/>
        </w:rPr>
        <w:t xml:space="preserve">Il quattordicesimo pilastro censisce la questione dei poteri, il nucleo documentale della solitudine istituzionale. La nomina prefettizia del 30 aprile 1982 fu accompagnata dall'impegno pubblico del governo al conferimento di poteri straordinari di coordinamento antimafia a proiezione nazionale, lo strumento che il generale aveva posto quale condizione dell'incarico e che la sua esperienza antiterrorismo gli indicava quale requisito minimo dell'efficacia; i poteri non furono mai formalmente conferiti nei 127 giorni della prefettura, e la questione della loro attesa attraversa la documentazione della stagione sino all'atto pubblico terminale, l'intervista concessa a Giorgio Bocca e pubblicata il 10 agosto 1982, nella quale il prefetto denunciò apertamente la condizione di isolamento in cui operava, la mancata attribuzione degli strumenti promessi e la solitudine dell'uomo dello Stato lasciato esposto, con la lucidità che la rilettura postuma avrebbe consacrato quale testamento civile; 24 giorni dopo l'intervista, il prefetto fu assassinato. Il registro certifica al Livello A l'impegno pubblico al conferimento, la mancata attribuzione formale e l'esistenza, la data e il tenore dell'intervista, quali dati documentali, e ne dichiara la funzione nel nodo: la sequenza nomina-attesa-denuncia-eliminazione è la struttura certificata del piano secondo del caso, e la circostanza che la vittima abbia essa stessa documentato pubblicamente, in vita, la propria condizione di esposizione costituisce un unicum nell'intera opera, il solo caso in cui il piano secondo è attestato non da ricostruzioni postume ma dalla voce datata del protagonista; il registro trascrive l'unicum con il rilievo che gli compete e mantiene, quale sempre, il divieto sul passaggio dalla condizione documentata di abbandono a qualsivoglia lettura di intenzionalità, che i giudicati non hanno accertato e che il piano terzo custodisce al livello proprio.</w:t>
      </w:r>
    </w:p>
    <w:p>
      <w:pPr>
        <w:spacing w:after="120" w:line="276"/>
        <w:jc w:val="both"/>
      </w:pPr>
      <w:r>
        <w:rPr>
          <w:rFonts w:ascii="Barlow Semi Condensed" w:cs="Barlow Semi Condensed" w:eastAsia="Barlow Semi Condensed" w:hAnsi="Barlow Semi Condensed"/>
          <w:sz w:val="24"/>
          <w:szCs w:val="24"/>
        </w:rPr>
        <w:t xml:space="preserve">Il quindicesimo pilastro adempie, per le 2 vittime accanto al generale, la disciplina della nominazione. Emanuela Setti Carraro, infermiera volontaria della Croce Rossa, aveva sposato Carlo Alberto Dalla Chiesa nel luglio 1982, poche settimane prima dell'agguato, e aveva scelto di seguirlo a Palermo condividendone la condizione di esposizione che la stagione documentava; la sera del 3 settembre era alla guida della A112 e fu uccisa con il marito, a meno di 2 mesi dal matrimonio. Domenico Russo, agente della Polizia di Stato, era alla guida dell'auto di accompagnamento e fu raggiunto dal fuoco del commando mentre seguiva la vettura del prefetto; morì dopo giorni di agonia, ultimo caduto della sequenza. Il registro certifica al Livello A i profili e le circostanze, quali dati degli atti, li nomina quale atto dovuto, e ne trae l'annotazione che la disciplina delle vittime della fase impone: la sproporzione tra la condizione delle 2 vittime, una sposa alla guida di un'utilitaria e un agente solo su un'auto di serie, e la natura dell'obiettivo che accompagnavano, il primo bersaglio della più potente organizzazione criminale del Paese, è essa stessa la certificazione materiale dell'isolamento che il quarto e il quattordicesimo pilastro hanno documentato per via testimoniale e documentale, giacché il dispositivo di protezione visibile nella via quella sera, 2 veicoli civili e 3 persone di cui una estranea agli apparati, è la fotografia definitiva della distanza tra il valore dell'obiettivo e la protezione accordata, la medesima configurazione certificata per via Fani, e il registro chiude la serie delle vittime della fase su questa simmetria documentata, i 2 vertici del corpus caduti entrambi entro dispositivi ordinari dinanzi ad avversari straordinari.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Dalla Chiesa-antiterrorismo-Monte Nevoso, è il triangolo del primo fronte, certificato al Livello A con le code di Livello C sulla gestione documentale. La seconda, Dalla Chiesa-prefettura di Palermo-commissione di Cosa Nostra, è il triangolo del secondo fronte, certificato al Livello A dai giudicati sul mandato e sugli esecutori. La terza, Dalla Chiesa-isolamento denunciato-carte controverse, è il triangolo delle questioni aperte, con i fatti al Livello A e al Livello B e le letture al Livello C. Sul piano dei pattern, il nodo attiva il Pattern 7 nella traiettoria del servitore dello Stato attraverso i 2 fronti della violenza organizzata, unico uomo dell'opera a occupare posizioni apicali contro il Dominio 7 e contro il Dominio 1 in successione; e il Pattern 1, giacché la sua eliminazione a 100 giorni dall'insediamento, dopo quella di Mattarella e prima della stagione dei magistrati, conferma la regolarità per cui il sistema colpisce i nodi che congiungono capacità operativa e volontà di rottura, la medesima regolarità che il caso Moro esprime sul piano politico.</w:t>
      </w:r>
    </w:p>
    <w:p>
      <w:pPr>
        <w:spacing w:after="120" w:line="276"/>
        <w:jc w:val="both"/>
      </w:pPr>
      <w:r>
        <w:rPr>
          <w:rFonts w:ascii="Barlow Semi Condensed" w:cs="Barlow Semi Condensed" w:eastAsia="Barlow Semi Condensed" w:hAnsi="Barlow Semi Condensed"/>
          <w:sz w:val="24"/>
          <w:szCs w:val="24"/>
        </w:rPr>
        <w:t xml:space="preserve">Alla stagione palermitana del generale appartiene il dossier dei poteri, che il registro fissa nella sua scansione documentale: nominato prefetto di Palermo all'indomani dell'assassinio di Pio La Torre, Dalla Chiesa pose quale condizione, nelle interlocuzioni con il governo che gli atti e la corrispondenza documentano, il conferimento di poteri di coordinamento sovraprovinciali sulla lotta alla mafia; l'investitura formale non giunse mai, ed i 100 giorni si consumarono nella forbice tra il mandato pubblicamente evocato e le attribuzioni ordinarie di un prefetto, forbice che il generale denunciò da vivo, Livello A quanto alla richiesta documentata ed al mancato conferimento. Il documento pubblico di quella denuncia è l'intervista concessa a Giorgio Bocca e pubblicata da la Repubblica il 10 agosto 1982, 24 giorni prima dell'agguato, nella quale Dalla Chiesa consegnò la diagnosi che sarebbe divenuta proverbiale, la solitudine dell'uomo dello Stato cui si chiede il risultato negandogli gli strumenti, e la lettura, di sconcertante precisione retrospettiva, del meccanismo per cui si colpisce il servitore dello Stato quando il segnale del suo isolamento è divenuto pubblico, Livello A quanto all'intervista ed al suo tenore, che il registro parafrasa senza citare. Nella morfologia del nodo, l'intervista di agosto è l'equivalente funzionale della lettera di Ambrosoli censita nella Fase 1: il documento con cui l'anticorpo, misurata la propria esposizione, la dichiara pubblicamente, compiendo l'atto che è insieme denuncia, testamento e, nella grammatica spietata del sistema, conferma della bersagliabilità. Il registro allinea i 2 documenti, la lettera del 1975 e l'intervista del 1982, quale coppia di reperti gemelli sulla condizione dell'uomo di frontiera: e annota che in entrambi i casi la Repubblica seppe leggere il testo soltanto dopo, quando la sua funzione predittiva si era già consumata in necrologio.</w:t>
      </w:r>
    </w:p>
    <w:p>
      <w:pPr>
        <w:spacing w:after="120" w:line="276"/>
        <w:jc w:val="both"/>
      </w:pPr>
      <w:r>
        <w:rPr>
          <w:rFonts w:ascii="Barlow Semi Condensed" w:cs="Barlow Semi Condensed" w:eastAsia="Barlow Semi Condensed" w:hAnsi="Barlow Semi Condensed"/>
          <w:sz w:val="24"/>
          <w:szCs w:val="24"/>
        </w:rPr>
        <w:t xml:space="preserve">Alla figura del generale appartengono infine 2 reperti di persistenza che chiudono il nodo sul registro documentale e su quello civile. Il primo sono le annotazioni private, i diari che Dalla Chiesa tenne sino agli ultimi giorni e che, editi postumi per iniziativa familiare ed acquisiti dalle sedi d'inchiesta, documentano dall'interno la percezione dell'isolamento palermitano e la contabilità degli incontri romani della primavera del 1982: fonte di natura privata, la cui esistenza ed acquisizione il registro certifica al Livello A e i cui contenuti, testimonianza unilaterale di una delle parti dei colloqui che riferiscono, restano al Livello B, secondo la disciplina costante delle carte personali. Il secondo è la memoria istituzionalizzata: via Isidoro Carini, il tratto di strada dell'agguato del 3 settembre, è divenuta con la lapide ed i suoi anniversari uno dei luoghi canonici della liturgia civile antimafia, saldata nella memoria pubblica al binomio con via D'Amelio e Capaci che il decennio successivo avrebbe aggiunto, Livello A quanto alla persistenza memoriale. Il registro allinea i 2 reperti nella lettura che il nodo consegna alla fase: il generale che aveva custodito il primo compendio del memoriale di Moro lasciò a sua volta un memoriale privato, e la Repubblica, che non seppe proteggere né l'uno né l'altro dei 2 servitori, ne custodisce oggi le carte con la devozione postuma che è, in questa storia, la forma più ricorrente del rimorso istituzionale: l'archivio quale risarcimento, la memoria quale scorta assegnata ai morti.</w:t>
      </w:r>
    </w:p>
    <w:p>
      <w:pPr>
        <w:spacing w:after="120" w:line="276"/>
        <w:jc w:val="both"/>
      </w:pPr>
      <w:r>
        <w:rPr>
          <w:rFonts w:ascii="Barlow Semi Condensed" w:cs="Barlow Semi Condensed" w:eastAsia="Barlow Semi Condensed" w:hAnsi="Barlow Semi Condensed"/>
          <w:sz w:val="24"/>
          <w:szCs w:val="24"/>
        </w:rPr>
        <w:t xml:space="preserve">La parabola dello strumento vincente si chiude con la sua smobilitazione, che il registro censisce quale ultimo reperto del capitolo: la struttura speciale antiterrorismo, operativa dal settembre 1978 con i risultati censiti, fu progressivamente riassorbita negli ordinamenti ordinari dell'Arma tra la fine del 1979 ed il 1981, quando il generale fu promosso vicecomandante generale, approdo di vertice che lo allontanava dalla conduzione operativa diretta, sino alla destinazione palermitana della primavera 1982 già censita nel suo epilogo, Livello A quanto alla sequenza ordinamentale. Il registro fissa il pattern che la parabola consegna all'opera: la Repubblica creò lo strumento straordinario sotto la pressione dell'emergenza, lo smobilitò appena lo strumento ebbe piegato l'emergenza, e ridestinò il suo uomo migliore, con poteri mai equivalenti alle attese, contro un nemico diverso che lo avrebbe ucciso in 100 giorni, sicché la traiettoria del generale tra il 1978 ed il 1982, dal mandato pieno contro il terrorismo al mandato dimezzato contro la mafia, è la misura biografica più esatta che il corpus possieda della legge istituzionale che attraversa tutte le fasi: lo Stato italiano del corpus sapeva costruire eccellenza emergenziale e non sapeva conservarla, e pagò entrambe le cose, la costruzione con l'invidia degli apparati, la mancata conservazione con la vita dei suoi servitori.</w:t>
      </w:r>
    </w:p>
    <w:p>
      <w:pPr>
        <w:spacing w:after="120" w:line="276"/>
        <w:jc w:val="both"/>
      </w:pPr>
      <w:r>
        <w:rPr>
          <w:rFonts w:ascii="Barlow Semi Condensed" w:cs="Barlow Semi Condensed" w:eastAsia="Barlow Semi Condensed" w:hAnsi="Barlow Semi Condensed"/>
          <w:sz w:val="24"/>
          <w:szCs w:val="24"/>
        </w:rPr>
        <w:t xml:space="preserve">Il capitolo degli apparati nel dopo-Moro registra infine l'unica condanna che la vicenda abbia mai prodotto a carico di un uomo dei servizi, ed il registro la censisce nella sua specificità: il funzionario di vertice del SISDE Silvano Russomanno fu condannato in via definitiva per la fuga di notizie che nell'ottobre 1978 portò sulla stampa, ad ore dal ritrovamento di via Monte Nevoso, contenuti del memoriale appena sequestrato, rivelazione che bruciò il vantaggio investigativo dell'operazione e che i giudici gli attribuirono, Livello A quanto alla condanna ed al fatto. Il registro isola il paradosso che la statistica consegna: nell'intero caso Moro, con le sue omissioni censite, i suoi comitati opachi ed i suoi uomini della sicurezza iscritti alla loggia, il solo servitore dello Stato mai condannato non lo fu per ciò che non fece durante i 55 giorni, ma per avere fatto sapere troppo presto ciò che lo Stato aveva trovato dopo, sicché l'unico reato d'apparato giudizialmente certificato del caso è un eccesso di pubblicità e non un difetto di lealtà, e questa asimmetria sanzionatoria, un sistema che punisce la fuga di notizie e non sa nemmeno istruire le proprie inerzie, è la fotografia giudiziaria più fedele che il corpus possieda del modo in cui la Repubblica ha processato sé stessa sul proprio caso capitale: severa con l'indiscrezione, muta con l'omissione.</w:t>
      </w:r>
    </w:p>
    <w:p>
      <w:pPr>
        <w:spacing w:after="120" w:line="276"/>
        <w:jc w:val="both"/>
      </w:pPr>
      <w:r>
        <w:rPr>
          <w:rFonts w:ascii="Barlow Semi Condensed" w:cs="Barlow Semi Condensed" w:eastAsia="Barlow Semi Condensed" w:hAnsi="Barlow Semi Condensed"/>
          <w:sz w:val="24"/>
          <w:szCs w:val="24"/>
        </w:rPr>
        <w:t xml:space="preserve">Il capitolo della caccia esige il suo epilogo strategico, che il registro formula quale paradosso terminale della guerra: la sconfitta storica dell'organizzazione fu il prodotto della sua vittoria del 9 maggio, perché l'uccisione del prigioniero, decisa quale dimostrazione di forza, privò la sigla della sola posta che la teneva al centro del sistema, le alienò l'area di simpatia che il gesto rivoluzionario rivendicato doveva galvanizzare e che invece si ritrasse, compattò lo Stato attorno alla legislazione ed alle strutture censite e consegnò all'organizzazione vincitrice sul piano militare la solitudine politica nella quale la stagione premiale l'avrebbe dissolta, Livello A quanto alla parabola documentata dal triennio successivo. Il registro consegna il paradosso alla verifica comparata che l'opera consente: nessuna vittoria tattica del corpus produsse una sconfitta strategica più rapida e completa, e la legge che il caso dimostra, per cui un'organizzazione clandestina può sopravvivere ad ogni repressione ma non alla perdita del proprio senso agli occhi del proprio ambiente, è la stessa che la fase terza ha registrato sul versante opposto con le piazze che fischiavano, sicché le 2 stagioni armate censite dall'opera, la nera e la rossa, morirono della medesima morte, uccise non dai processi, che largamente fallirono, ma dal Paese reale che entrambe pretendevano di interpretare e che entrambe, nell'atto estremo, perdettero per sempre.</w:t>
      </w:r>
    </w:p>
    <w:p>
      <w:pPr>
        <w:spacing w:after="120" w:line="276"/>
        <w:jc w:val="both"/>
      </w:pPr>
      <w:r>
        <w:rPr>
          <w:rFonts w:ascii="Barlow Semi Condensed" w:cs="Barlow Semi Condensed" w:eastAsia="Barlow Semi Condensed" w:hAnsi="Barlow Semi Condensed"/>
          <w:sz w:val="24"/>
          <w:szCs w:val="24"/>
        </w:rPr>
        <w:t xml:space="preserve">Il bilancio dei 5 cicli processuali esige infine il riconoscimento della loro funzione meno misurabile, che il registro censisce a chiusura del versante giudiziario: le aule del caso Moro furono, per 4 decenni, l'unico luogo fisico della Repubblica nel quale i protagonisti dei 2 campi si trovarono ripetutamente di fronte, i carcerieri ed i familiari delle vittime, gli uomini degli apparati e le parti civili, in un contraddittorio rituale che, qualunque cosa non abbia accertato, ha costretto ciascuno a rispondere in pubblico ed a verbale della propria parte di storia, Livello A quanto alla funzione svolta dai dibattimenti documentati. Il registro consegna il riconoscimento alla sua misura: la giustizia penale del caso, che il capitolo ha censito nei suoi limiti, ha però prodotto il bene che nessun altro strumento della Repubblica ha saputo produrre, l'obbligo della compresenza e della risposta, e le migliaia di pagine di verbali dibattimentali che ne sono uscite, con le loro reticenze e le loro rotture, costituiscono l'unico grande dialogo mai avvenuto tra l'Italia che sparò e l'Italia che seppellì, sicché il verdetto complessivo del registro sui processi del caso è duplice come l'opera esige: quali macchine della verità furono strumenti parziali, quali luoghi della parola obbligata furono insostituibili, ed un Paese che non ha mai voluto la commissione della sola verità deve ai propri processi, oltre alle condanne, il poco di confronto pubblico tra le proprie metà che la sua storia registri.</w:t>
      </w:r>
    </w:p>
    <w:p>
      <w:pPr>
        <w:spacing w:after="120" w:line="276"/>
        <w:jc w:val="both"/>
      </w:pPr>
      <w:r>
        <w:rPr>
          <w:rFonts w:ascii="Barlow Semi Condensed" w:cs="Barlow Semi Condensed" w:eastAsia="Barlow Semi Condensed" w:hAnsi="Barlow Semi Condensed"/>
          <w:sz w:val="24"/>
          <w:szCs w:val="24"/>
        </w:rPr>
        <w:t xml:space="preserve">Il capitolo si chiude con la biforcazione dei destini penali, che il registro censisce quale ultimo effetto della stagione premiale: i condannati del caso si divisero in 2 popolazioni giudiziarie, i dissociati ed i collaboranti, riammessi alla libertà tra la fine degli anni Ottanta ed i Novanta attraverso gli sconti, i benefici penitenziari ed i percorsi di reinserimento che la legislazione censita disciplinava, e gli irriducibili, che rifiutando ogni presa di distanza scontarono detenzioni protrattesi per decenni, con gli ultimi rilasci per fine pena o per età giunti solo nel nuovo secolo, Livello A quanto alla biforcazione dei percorsi documentata dalle posizioni individuali. Il registro consegna il dato alla sua lettura terminale: la Repubblica applicò al proprio trauma capitale una giustizia a durata variabile, nella quale la pena effettiva dipese più dalla parola pronunciata dopo che dal colpo sparato prima, e questa economia della resa, che il capitolo ha censito quale strumento vincente della guerra, produsse l'esito morale con cui il caso ancora convive: uomini con responsabilità materiali maggiori tornati liberi prima di uomini con responsabilità minori ma silenzio più lungo, un ordine di uscita scritto dalla dissociazione e non dalla colpa, che il registro constata senza giudicare, consegnandolo al lettore quale ultimo prezzo, documentato e pagato, della vittoria dello Stato.</w:t>
      </w:r>
    </w:p>
    <w:p>
      <w:pPr>
        <w:spacing w:after="120" w:line="276"/>
        <w:jc w:val="both"/>
      </w:pPr>
      <w:r>
        <w:rPr>
          <w:rFonts w:ascii="Barlow Semi Condensed" w:cs="Barlow Semi Condensed" w:eastAsia="Barlow Semi Condensed" w:hAnsi="Barlow Semi Condensed"/>
          <w:sz w:val="24"/>
          <w:szCs w:val="24"/>
        </w:rPr>
        <w:t xml:space="preserve">Il versante delle inchieste si arricchisce del giacimento che la triangolazione ha censito quale fonte primaria riprodotta: i 12 resoconti stenografici del Gruppo di lavoro sul caso Moro della Commissione stragi della decima legislatura, 621 pagine di audizioni e sedute del biennio 1991-1992 conservate quali riproduzioni degli originali cartacei, documentano la prima grande stagione di riesame parlamentare del caso condotta a cavallo delle rivelazioni del 1990, tra il secondo ritrovamento di via Monte Nevoso e la riapertura generale degli armadi, Livello A quale giacimento documentale e quale collocazione cronologica dei lavori. Il registro assegna alla serie la sua funzione nella stratigrafia delle inchieste: tra la prima Commissione dedicata degli anni Ottanta e la seconda del nuovo secolo, il gruppo di lavoro della decima legislatura rappresenta lo strato intermedio e meno frequentato della conoscenza parlamentare del caso, la stagione in cui le domande della prima generazione incontrarono per la prima volta le carte della seconda, e la sua consultazione sistematica, che l'edizione definitiva registra quale acquisizione della triangolazione, restituisce alla cronologia delle inchieste il suo anello mancante: il caso non fu riesaminato 2 volte, fu riesaminato senza interruzione, e la continuità del riesame è essa stessa un dato sulla natura mai chiusa dell'oggetto.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Dalla Chiesa è certificato al Livello A quale artefice della sconfitta del terrorismo brigatista e custode del primo ritrovamento del memoriale, e quale prefetto di Palermo assassinato con Emanuela Setti Carraro e Domenico Russo il 3 settembre 1982 su mandato della commissione di Cosa Nostra, giudicato con condanne irrevocabili tra cui, per la terza volta nell'opera, quella di Giuseppe Calò; le denunce di isolamento sono certificate al Livello A, la controversia sui materiali documentali al Livello B, e ogni lettura di concorsi esterni al Livello C; il nodo salda i 2 fronti della violenza organizzata nella traiettoria di un solo uomo e consegna alla lettura conclusiva il pattern ricorrente dell'archivio che non giunge integro.</w:t>
      </w:r>
    </w:p>
    <w:p>
      <w:pPr>
        <w:pStyle w:val="Heading3"/>
        <w:spacing w:after="80" w:before="160"/>
      </w:pPr>
      <w:r>
        <w:rPr>
          <w:rFonts w:ascii="Barlow Semi Condensed" w:cs="Barlow Semi Condensed" w:eastAsia="Barlow Semi Condensed" w:hAnsi="Barlow Semi Condensed"/>
          <w:sz w:val="24"/>
          <w:szCs w:val="24"/>
        </w:rPr>
        <w:t xml:space="preserve">Capitolo 10 — ■ Il piano del mandato. Le ipotesi al vaglio, la Commissione del 2016 e il sigillo del divieto</w:t>
      </w:r>
    </w:p>
    <w:p>
      <w:pPr>
        <w:spacing w:after="120" w:line="276"/>
        <w:jc w:val="both"/>
      </w:pPr>
      <w:r>
        <w:rPr>
          <w:rFonts w:ascii="Barlow Semi Condensed" w:cs="Barlow Semi Condensed" w:eastAsia="Barlow Semi Condensed" w:hAnsi="Barlow Semi Condensed"/>
          <w:sz w:val="24"/>
          <w:szCs w:val="24"/>
        </w:rPr>
        <w:t xml:space="preserve">Il decimo nodo non è un evento ulteriore ma il piano terzo della decomposizione dichiarata in avvertenza: il piano del mandato o del condizionamento esterno, che il registro affronta quale oggetto proprio, censendo in un solo luogo, con la qualificazione esatta di ciascuna, le ipotesi che 4 decenni di inchieste hanno formulato sopra e attorno al giudicato, e apponendo alla fase il sigillo metodologico che le compete.</w:t>
      </w:r>
    </w:p>
    <w:p>
      <w:pPr>
        <w:spacing w:after="120" w:line="276"/>
        <w:jc w:val="both"/>
      </w:pPr>
      <w:r>
        <w:rPr>
          <w:rFonts w:ascii="Barlow Semi Condensed" w:cs="Barlow Semi Condensed" w:eastAsia="Barlow Semi Condensed" w:hAnsi="Barlow Semi Condensed"/>
          <w:sz w:val="24"/>
          <w:szCs w:val="24"/>
        </w:rPr>
        <w:t xml:space="preserve">Il primo pilastro è il censimento disciplinato delle ipotesi, che il registro ordina secondo il loro statuto. La prima famiglia è quella delle ipotesi di concorso operativo esterno all'azione: presenze ulteriori in via Fani, apporti tecnici o addestrativi, partecipazioni non brigatiste; il registro le mantiene al Livello C, richiamando che i giudicati hanno ritenuto l'azione riferibile all'organizzazione e che le acquisizioni successive, peritali e testimoniali, hanno riaperto questioni senza consolidarle. La seconda famiglia è quella delle ipotesi di condizionamento della gestione: la lettura per cui la condotta del piano secondo, dalle anomalie delle ricerche alla gestione documentale, fu orientata da volontà interessate all'esito; il registro la mantiene al Livello C, quale inferenza vietata dal principio della fase, pur riconoscendo che gli elementi certificati del piano secondo, la compresenza piduista, le anomalie, i depistaggi, la rendono formulabile. La terza famiglia è quella delle ipotesi di interferenza internazionale, nelle 2 varianti storicamente proposte, quella orientale, fondata sui rapporti dell'organizzazione con campi e strutture oltrecortina e sulla dottrina dell'attenzione sovietica al terrorismo occidentale, e quella occidentale, fondata sulle contrarietà atlantiche al progetto moroteo e sulle presenze di apparati nel teatro; il registro certifica, di ciascuna variante, i fatti di base documentati ai livelli propri, i contatti internazionali dell'organizzazione al Livello B nei limiti degli accertamenti, le contrarietà politiche al Livello B come esposto nel capitolo 1, e mantiene entrambe le varianti, quali ipotesi di mandato o concorso, al Livello C, annotando che esse si escludono reciprocamente nella vulgata che le ha prodotte, secondo lo schema già incontrato nella Fase 3 per gli elaborati contrapposti sulla stagione stragista. La quarta famiglia è quella del ruolo della criminalità organizzata, nelle 2 direzioni documentate, i sondaggi dello Stato verso la malavita per la localizzazione, certificati al Livello B nel capitolo 4, e le dichiarazioni collaborative su interessamenti dell'organizzazione mafiosa alla vicenda, che il registro censisce al Livello C quanto a ogni ruolo attivo nel sequestro.</w:t>
      </w:r>
    </w:p>
    <w:p>
      <w:pPr>
        <w:spacing w:after="120" w:line="276"/>
        <w:jc w:val="both"/>
      </w:pPr>
      <w:r>
        <w:rPr>
          <w:rFonts w:ascii="Barlow Semi Condensed" w:cs="Barlow Semi Condensed" w:eastAsia="Barlow Semi Condensed" w:hAnsi="Barlow Semi Condensed"/>
          <w:sz w:val="24"/>
          <w:szCs w:val="24"/>
        </w:rPr>
        <w:t xml:space="preserve">Il secondo pilastro è la ricognizione dell'ultima stagione d'inchiesta, la Commissione parlamentare della XVII legislatura, istituita nel 2014 e operante sino al 2017, che il registro recepisce quale fonte con la graduazione consueta. La Commissione ha prodotto acquisizioni documentali e testimoniali nuove su punti circoscritti: gli approfondimenti sulla zona di via Fani, comprese le frequentazioni dell'esercizio commerciale all'angolo e la questione dei veicoli non identificati; la posizione di appartenenti agli apparati presenti o attivi nel teatro, tra cui la già certificata presenza del colonnello Guglielmi; le perizie integrative sulla dinamica; e la riapertura documentale su snodi quali la struttura parigina e i canali della trattativa. Il registro certifica al Livello B i fatti documentali nuovi acquisiti dalla Commissione, quale fonte parlamentare di alta affidabilità, e mantiene al Livello C le letture ricostruttive che la Commissione stessa ha formulato in forma dubitativa, dichiarando che l'ultima stagione d'inchiesta ha arricchito il piano secondo senza trasformare alcuna ipotesi del piano terzo in accertamento: il quadro dei livelli esce dalla stagione più popolato, non più risolto.</w:t>
      </w:r>
    </w:p>
    <w:p>
      <w:pPr>
        <w:spacing w:after="120" w:line="276"/>
        <w:jc w:val="both"/>
      </w:pPr>
      <w:r>
        <w:rPr>
          <w:rFonts w:ascii="Barlow Semi Condensed" w:cs="Barlow Semi Condensed" w:eastAsia="Barlow Semi Condensed" w:hAnsi="Barlow Semi Condensed"/>
          <w:sz w:val="24"/>
          <w:szCs w:val="24"/>
        </w:rPr>
        <w:t xml:space="preserve">Il terzo pilastro è il sigillo del divieto inferenziale, che il registro appone quale conclusione della fase. All'esito dell'intero percorso, la struttura probatoria del caso Moro è la seguente: un piano primo saturo, con esecutori, dirigenti, custodi ed esecutore materiale giudicati in via irrevocabile lungo 5 procedimenti; un piano secondo denso di fatti certificati, la compresenza piduista, le anomalie, i depistaggi, i 2 ritrovamenti, le presenze, che compongono il quadro di una condotta istituzionale segnata da opacità documentate; e un piano terzo integralmente ipotetico, nel quale nessuna delle famiglie censite supera il Livello C. Il sigillo della fase è la formalizzazione del rapporto tra i 3 piani: la densità del piano secondo non trasferisce nulla al piano terzo, per quanto la renda intellettualmente esigente; la saturazione del piano primo non chiude il piano terzo, perché il giudicato sugli esecutori non pronuncia sull'inesistenza di volontà ulteriori; e la sola condotta razionale per un registro è tenere i 3 piani distinti, ciascuno con il proprio statuto, resistendo tanto alla vulgata che salda i piani in un unico disegno quanto a quella che, in nome del giudicato, dichiara chiusa una vicenda il cui secondo piano contiene fatti certificati che nessuna ricostruzione innocente ha mai integralmente spiegato. La lente della doppia lealtà, sospensione dichiarata di fase, si richiude qui con il suo bilancio: essa ha permesso di leggere unitariamente la fenomenologia del piano secondo, gli uomini dell'istituzione e della loggia, le condotte duali, senza mai divenire essa stessa una prova; e il registro la ripone dichiarando che la categoria ha valore euristico certificato e valore probatorio nullo, esattamente come il metodo prescrive per ogni lente.</w:t>
      </w:r>
    </w:p>
    <w:p>
      <w:pPr>
        <w:spacing w:after="120" w:line="276"/>
        <w:jc w:val="both"/>
      </w:pPr>
      <w:r>
        <w:rPr>
          <w:rFonts w:ascii="Barlow Semi Condensed" w:cs="Barlow Semi Condensed" w:eastAsia="Barlow Semi Condensed" w:hAnsi="Barlow Semi Condensed"/>
          <w:sz w:val="24"/>
          <w:szCs w:val="24"/>
        </w:rPr>
        <w:t xml:space="preserve">Il quarto pilastro è la comparazione internazionale, che il registro conduce sul precedente tedesco quale applicazione terminale del Pattern 11 alla fase. Sei mesi prima di via Fani, tra il settembre e l'ottobre 1977, la Repubblica Federale Tedesca visse il sequestro di Hanns Martin Schleyer, presidente della confederazione degli industriali, rapito dalla Rote Armee Fraktion con l'annientamento della scorta, 4 caduti, custodito per 43 giorni e ucciso dopo il rifiuto dello scambio, nel culmine dell'autunno tedesco segnato dal dirottamento di Mogadiscio e dalle morti di Stammheim. Il registro certifica al Livello A il precedente quale fatto storico e ne conduce la comparazione strutturale con il caso italiano: identica la tecnica dell'agguato con eliminazione della scorta, identica la posta del ricatto, lo scambio con i prigionieri, identica la risposta dello Stato, la fermezza, e identico l'esito, l'esecuzione dell'ostaggio; diverse la durata, la natura dell'ostaggio, un dirigente d'impresa contro il presidente del partito di maggioranza, e la coda istituzionale, giacché la Germania sciolse la propria crisi in settimane con una linea di comando unitaria, mentre il caso italiano generò la fenomenologia del piano secondo che la fase ha censito. La comparazione produce 2 risultati certificati. Il primo: l'esistenza del precedente, noto e studiato dagli apparati europei, colloca la fermezza italiana entro una dottrina continentale già sperimentata, e priva di unicità la sequenza rifiuto-esecuzione, che la vulgata ha talora trattato quale anomalia italiana bisognosa di spiegazioni ulteriori; la sequenza era, al contrario, l'esito già osservato del modello. Il secondo risultato è il differenziale: ciò che distingue il caso italiano non è l'esito ma la densità delle opacità del piano secondo, assente nella serie tedesca, e la comparazione consegna così, per contrasto, l'esatta localizzazione dell'anomalia italiana, che non sta nella fermezza né nell'epilogo, ma nella condotta degli apparati durante e dopo; è su quel differenziale, e solo su quello, che le domande del piano terzo legittimamente insistono.</w:t>
      </w:r>
    </w:p>
    <w:p>
      <w:pPr>
        <w:spacing w:after="120" w:line="276"/>
        <w:jc w:val="both"/>
      </w:pPr>
      <w:r>
        <w:rPr>
          <w:rFonts w:ascii="Barlow Semi Condensed" w:cs="Barlow Semi Condensed" w:eastAsia="Barlow Semi Condensed" w:hAnsi="Barlow Semi Condensed"/>
          <w:sz w:val="24"/>
          <w:szCs w:val="24"/>
        </w:rPr>
        <w:t xml:space="preserve">Il registro chiude il pilastro con l'adempimento che il metodo di Heuer prescrive, l'indicazione delle evidenze che, se emerse, scioglierebbero la competizione tra le ipotesi del piano terzo: il ritrovamento degli originali manoscritti del memoriale, che chiuderebbe la questione della completezza e della selezione; l'apertura di archivi, italiani o esteri, contenenti documentazione coeva sulla gestione della crisi e sulle comunicazioni tra gli apparati dei campi; e ogni fonte primaria che documentasse un coordinamento, o ne escludesse la possibilità materiale, tra gli attori esterni censiti. Sino a tale emersione, il piano terzo resta quello che il registro ha descritto, un campo di ipotesi formulabili e non provate, e la sua onesta rappresentazione è l'unico esito che il metodo consenta.</w:t>
      </w:r>
    </w:p>
    <w:p>
      <w:pPr>
        <w:spacing w:after="120" w:line="276"/>
        <w:jc w:val="both"/>
      </w:pPr>
      <w:r>
        <w:rPr>
          <w:rFonts w:ascii="Barlow Semi Condensed" w:cs="Barlow Semi Condensed" w:eastAsia="Barlow Semi Condensed" w:hAnsi="Barlow Semi Condensed"/>
          <w:sz w:val="24"/>
          <w:szCs w:val="24"/>
        </w:rPr>
        <w:t xml:space="preserve">Il quinto pilastro dettaglia le prime 3 famiglie con gli elementi che ciascuna invoca, quale inventario disciplinato. La famiglia del concorso operativo si fonda sugli elementi censiti nel capitolo dell'evento, l'eccezionalità tecnica, la concentrazione del fuoco, la motocicletta, le presenze non identificate, e sulle perizie integrative dell'ultima stagione, che hanno rimodulato la scena senza attribuzioni nuove: il registro ribadisce che ciascun elemento è certificato quale fatto al proprio livello e che la loro composizione in un concorso resta al Livello C, non essendo mai stata identificata una sola persona estranea all'organizzazione quale partecipe dell'azione. La famiglia del condizionamento della gestione si fonda sul cumulo del piano secondo, e il registro ne dichiara la struttura logica: essa è l'unica famiglia che non postula attori ignoti, ma attribuisce intenzione ad attori noti e a condotte certificate, e per questo è insieme la più economica, perché non moltiplica le entità, e la più vietata, perché consiste per intero nell'inferenza dall'anomalia all'intenzione che la Regola Ferrea proibisce; la lente della doppia lealtà la rende pensabile, il divieto la mantiene improvata, e tra i 2 stati non esiste, allo stato delle fonti, passaggio. La famiglia dell'interferenza internazionale si articola nelle 2 varianti censite: la variante orientale invoca i rapporti di campo dell'organizzazione, la filiera degli armamenti, la dottrina dell'attenzione sovietica al terrorismo occidentale, e fu esplorata, senza esiti sul caso, anche dalla stagione d'inchiesta sulle carte provenienti dagli archivi orientali dopo il 1991; la variante occidentale invoca le contrarietà atlantiche certificate, le presenze censite nel teatro, dalla consulenza americana al colonnello del servizio in via Stresa, e la fenomenologia della gestione; il registro ribadisce che gli elementi di base delle 2 varianti sono certificati ai livelli dichiarati nei capitoli, che nessuna delle 2 dispone di un solo elemento che documenti un mandato o un concorso, e che la loro mutua esclusione nella letteratura che le produce, ciascuna scuola attribuendo all'altro campo la regia, replica lo schema già censito nella Fase 3 per gli elaborati parlamentari contrapposti: le 2 varianti non si sommano, si elidono, e il registro le mantiene entrambe al Livello C annotando che la loro simmetrica sopravvivenza quarantennale è essa stessa un dato sulla natura del campo, nel quale l'ipotesi del nemico esterno ha svolto, per ciascuna parte, una funzione identitaria indipendente dalle prove.</w:t>
      </w:r>
    </w:p>
    <w:p>
      <w:pPr>
        <w:spacing w:after="120" w:line="276"/>
        <w:jc w:val="both"/>
      </w:pPr>
      <w:r>
        <w:rPr>
          <w:rFonts w:ascii="Barlow Semi Condensed" w:cs="Barlow Semi Condensed" w:eastAsia="Barlow Semi Condensed" w:hAnsi="Barlow Semi Condensed"/>
          <w:sz w:val="24"/>
          <w:szCs w:val="24"/>
        </w:rPr>
        <w:t xml:space="preserve">Il sesto pilastro dettaglia la quarta famiglia, il versante della criminalità organizzata, con le dichiarazioni che la fondano. Le fonti convergenti provengono dai 2 poli opposti del panorama criminale: Raffaele Cutolo, il capo della Nuova camorra organizzata, riferì in più sedi di essere stato sollecitato, durante i 55 giorni, ad attivarsi per la localizzazione della prigione attraverso i propri canali, e la sua vicenda si salda alla gestione del sequestro Cirillo del 1981, che la Fase 2 ha censito quale precedente documentato della trattativa Stato-camorra con la mediazione di uomini poi risultati piduisti; Tommaso Buscetta riferì che ambienti di Cosa Nostra furono parimenti sondati nella fase iniziale, e che l'attivazione rientrò per un segnale sopravvenuto, nella sua formulazione l'indicazione che la liberazione del prigioniero non era più desiderata, una dichiarazione che il registro riporta quale enunciato del dichiarante e non quale fatto. Il registro compone il quadro con la disciplina consueta: l'esistenza dei sondaggi verso la criminalità è certificata al Livello B, quale convergenza di dichiaranti indipendenti provenienti da organizzazioni diverse e reciprocamente ostili, il criterio di consilienza applicabile alle fonti dichiarative; il contenuto del segnale di arresto riferito da Buscetta resta al Livello C, quale dichiarazione singola non riscontrata su un punto decisivo; e ogni ruolo attivo delle organizzazioni criminali nel sequestro medesimo resta parimenti al Livello C, nessun accertamento avendolo mai stabilito. Alla medesima orbita appartiene, quale coda censita, l'assassinio del tenente colonnello Antonio Varisco, comandante del reparto traduzioni dei carabinieri di Roma, figura di raccordo tra gli ambienti giudiziari e quelli della capitale, ucciso il 13 luglio 1979 con rivendicazione brigatista e condanne conseguenti: il registro lo trascrive, nomina la vittima, e annota che la stagione romana del dopo-Moro, tra il falso della Duchessa, il borsello, l'omicidio Pecorelli e l'omicidio Varisco, compone un addensamento di eventi nell'orbita tra apparati, criminalità capitolina e terrorismo che il Pattern 3 registra quale finestra critica secondaria, censita e non risolta.</w:t>
      </w:r>
    </w:p>
    <w:p>
      <w:pPr>
        <w:spacing w:after="120" w:line="276"/>
        <w:jc w:val="both"/>
      </w:pPr>
      <w:r>
        <w:rPr>
          <w:rFonts w:ascii="Barlow Semi Condensed" w:cs="Barlow Semi Condensed" w:eastAsia="Barlow Semi Condensed" w:hAnsi="Barlow Semi Condensed"/>
          <w:sz w:val="24"/>
          <w:szCs w:val="24"/>
        </w:rPr>
        <w:t xml:space="preserve">Il settimo pilastro compone la sintesi comparata delle 3 stagioni parlamentari, quale storia degli accertamenti non giudiziari. La prima Commissione, operante dal 1979 al 1983, lavorò a ridosso dei fatti con le audizioni dei protagonisti istituzionali della gestione, e si concluse con esiti non unanimi: alla relazione di maggioranza si affiancarono relazioni di minoranza plurime, tra le quali quella redatta da Leonardo Sciascia, che concentrò l'analisi sulle anomalie della gestione e sulla condotta dello Stato verso le lettere del prigioniero, consegnando alla storia documentale della Repubblica il primo inventario organico di ciò che la fase ha chiamato piano secondo; il registro certifica al Livello A la pluralità degli esiti e il contenuto della relazione sciasciana, quali dati degli atti, e ne annota il rilievo metodologico, giacché la non unanimità della prima stagione replica il pattern già certificato dall'opera per gli elaborati parlamentari sulle stragi, la scomposizione delle conclusioni lungo le linee politiche, che il registro tratta quale attributo strutturale della fonte parlamentare. La Commissione sulle stragi vi tornò negli anni Novanta con il materiale delle dissociazioni e del secondo ritrovamento, producendo le acquisizioni sul memoriale e sulla gestione che i capitoli hanno censito; e la Commissione della XVII legislatura, dal 2014 al 2017, condusse la ricognizione terminale, con le perizie tecniche integrative, gli approfondimenti sulla zona di via Fani, sul contesto internazionale e sui protagonisti minori, e con l'acquisizione documentale resa possibile dal nuovo regime degli archivi; il registro certifica al Livello A la progressione, e la consegna alla regola già fissata: ogni stagione ha saputo ciò che il proprio stato degli archivi consentiva, e la storia delle commissioni è, prima che una storia di giudizi, una storia di accessi.</w:t>
      </w:r>
    </w:p>
    <w:p>
      <w:pPr>
        <w:spacing w:after="120" w:line="276"/>
        <w:jc w:val="both"/>
      </w:pPr>
      <w:r>
        <w:rPr>
          <w:rFonts w:ascii="Barlow Semi Condensed" w:cs="Barlow Semi Condensed" w:eastAsia="Barlow Semi Condensed" w:hAnsi="Barlow Semi Condensed"/>
          <w:sz w:val="24"/>
          <w:szCs w:val="24"/>
        </w:rPr>
        <w:t xml:space="preserve">L'ottavo pilastro colloca il caso entro la competizione tra le macro-ipotesi dell'opera, quale adempimento dovuto alla Fase 5. Sotto l'ipotesi H1, la convergenza delle potenze contro l'autonomia europea, il caso Moro rappresenta il terreno di massima resa apparente, per le ragioni censite nel bilancio: le contrarietà speculari certificate, l'obiettivo colpito nel giorno del suo successo, l'esito oggettivamente conforme all'interesse di entrambi i campi; e rappresenta, simultaneamente, il terreno del massimo scarto tra suggestione e prova, giacché la fase ha certificato che nessun elemento documenta il passaggio dalla convergenza degli interessi alla convergenza delle condotte. Sotto la lettura concorrente, che assume la piena autonomia degli attori interni e la sufficienza esplicativa delle dinamiche nazionali, il caso si lascia ricostruire senza residui logici, al prezzo di derubricare a coincidenze la densità delle presenze e delle anomalie censite. Il registro formalizza lo stato della competizione senza deciderla: il falsificatore milwardiano esce dalla fase non confutato, giacché la ricostruzione interna è autosufficiente, e l'ipotesi H1 ne esce non falsificata ma non avanzata, ferma alla convergenza oggettiva di Livello B che il bilancio ha fissato; la fase consegna alla verifica conclusiva dell'opera questa esatta configurazione, annotando che il caso Moro è, per costruzione, il punto del corpus in cui la distanza tra le 2 letture è massima e la capacità dei documenti di discriminarle è minima, la definizione stessa di ciò che il metodo delle ipotesi concorrenti chiama evidenza non diagnostica.</w:t>
      </w:r>
    </w:p>
    <w:p>
      <w:pPr>
        <w:spacing w:after="120" w:line="276"/>
        <w:jc w:val="both"/>
      </w:pPr>
      <w:r>
        <w:rPr>
          <w:rFonts w:ascii="Barlow Semi Condensed" w:cs="Barlow Semi Condensed" w:eastAsia="Barlow Semi Condensed" w:hAnsi="Barlow Semi Condensed"/>
          <w:sz w:val="24"/>
          <w:szCs w:val="24"/>
        </w:rPr>
        <w:t xml:space="preserve">Il nono pilastro censisce il regime degli archivi, l'ultima frontiera documentale della fase. La direttiva del presidente del Consiglio del 22 aprile 2014 dispose il versamento straordinario anticipato all'Archivio centrale dello Stato della documentazione degli organi di sicurezza e degli apparati relativa agli atti di terrorismo e alle stragi, includendo il caso Moro nel proprio perimetro, e i versamenti conseguenti, protrattisi negli anni successivi, hanno trasferito nel circuito della consultabilità decine di migliaia di carte prima trattenute; l'ultima Commissione ha operato entro questo regime, e la ricerca successiva ne ha beneficiato nella misura che gli inventari documentano. Il registro certifica al Livello A la direttiva, il suo perimetro e l'esistenza dei versamenti, quali atti normativi e archivistici, e chiude la fase con la formalizzazione che il metodo dell'opera impone: la conoscenza del caso Moro è una funzione del tempo archivistico, cresciuta per soglie datate, il 1978, il 1990, le dissociazioni, il 2014, e la curva non è dichiarabile conclusa, giacché il perimetro del versato non coincide, per definizione, con il perimetro dell'esistente; il registro consegna perciò alla Fase 5, accanto agli archivi francesi già indicati, la ricognizione sistematica del versato del 2014 quale secondo obiettivo documentale, e ribadisce, quale sigillo, che ogni certificazione della fase porta la data del proprio stato degli atti e resta aperta alla revisione che ogni nuova soglia imporrà.</w:t>
      </w:r>
    </w:p>
    <w:p>
      <w:pPr>
        <w:spacing w:after="120" w:line="276"/>
        <w:jc w:val="both"/>
      </w:pPr>
      <w:r>
        <w:rPr>
          <w:rFonts w:ascii="Barlow Semi Condensed" w:cs="Barlow Semi Condensed" w:eastAsia="Barlow Semi Condensed" w:hAnsi="Barlow Semi Condensed"/>
          <w:sz w:val="24"/>
          <w:szCs w:val="24"/>
        </w:rPr>
        <w:t xml:space="preserve">Il decimo pilastro riepiloga l'applicazione dei pattern analitici al caso, quale bilancio metodologico del nodo terminale della fase. Il registro dichiara quali pattern dell'apparato dell'opera abbiano prodotto reperti certificati sul caso Moro e quali no, secondo la disciplina che vieta di simulare rese ove non vi siano. Il Pattern 1, l'analisi dei nodi centrali, ha prodotto il reperto della centralità di Moro nel grafo, la sua posizione apicale simultanea in 3 domini, e la centralità individuale di Moretti nel piano primo, l'uomo per cui passano tutti gli archi dell'esecuzione. Il Pattern 3, l'analisi delle coincidenze temporali, ha prodotto la messe maggiore, le finestre critiche del 18 aprile e della stagione romana degli omicidi eccellenti, la contestualità con le elezioni francesi, la sincronia dello scioglimento dell'apparato antiterrorismo, tutte certificate quali fatti cronologici e tutte mantenute prive di nesso provato. Il Pattern 10, l'analisi della convergenza geografica, ha prodotto la topografia di via Caetani e la geografia speculare delle protezioni dei latitanti e delle capitali-rifugio. Il Pattern 11, l'isomorfismo strutturale, ha prodotto il reperto Aginter-Hyperion quale convergenza indipendente sulla grammatica della clandestinità. Il Pattern 6, l'analisi delle ipotesi concorrenti, ha governato l'intera architettura a 3 piani e la formalizzazione dell'evidenza non diagnostica. Il registro certifica che i Pattern 2, 4, 5, 7, 8 e 9, la rilevazione di comunità, l'analisi dei flussi, i buchi strutturali quali constraint, i percorsi di carriera, lo sfruttamento delle crisi e le dinastie, non hanno prodotto sul caso reperti autonomi di rango certificabile eccedenti quanto già registrato, e dichiara questa parziale resa quale dato onesto e non quale lacuna: un evento singolo, per quanto denso, non attiva l'intero apparato di una metodologia costruita per il grafo complessivo dell'opera, e la Fase 5, operando sul grafo intero, ne attiverà le misure residue; il registro chiude così il nodo e la fase con il bilancio dei propri strumenti, il gesto che il metodo impone quale sigillo di ogni applicazione, la dichiarazione di ciò che si è trovato e di ciò che, onestamente, non si è trovato.</w:t>
      </w:r>
    </w:p>
    <w:p>
      <w:pPr>
        <w:spacing w:after="120" w:line="276"/>
        <w:jc w:val="both"/>
      </w:pPr>
      <w:r>
        <w:rPr>
          <w:rFonts w:ascii="Barlow Semi Condensed" w:cs="Barlow Semi Condensed" w:eastAsia="Barlow Semi Condensed" w:hAnsi="Barlow Semi Condensed"/>
          <w:sz w:val="24"/>
          <w:szCs w:val="24"/>
        </w:rPr>
        <w:t xml:space="preserve">L'undicesimo pilastro adempie il dovere di completezza assolutoria, riunendo in un solo luogo, per esteso, gli esiti liberatori della fase. Per l'omicidio di Mino Pecorelli, la Corte di cassazione, con la sentenza del 30 ottobre 2003, annullò senza rinvio la condanna di appello e dichiarò l'assoluzione definitiva di Giulio Andreotti e di Gaetano Badalamenti, e con essi divennero definitivi gli esiti assolutori di tutti gli imputati del processo, tra i quali Giuseppe Calò e Massimo Carminati, sicché l'omicidio del giornalista resta, nell'ordinamento, privo di qualsiasi condannato; per il capitolo Hyperion, l'istruttoria veneziana si concluse con proscioglimenti e nessuno dei 3 fondatori della struttura, Corrado Simioni, Duccio Berio e Vanni Mulinaris, ha mai riportato condanna alcuna, e la detenzione cautelare sofferta da Mulinaris in Italia senza condanna resta censita quale fatto; per la vicenda fondativa del capitolo nono, Luciano Liggio fu assolto per l'omicidio di Placido Rizzotto all'esito del giudizio, e l'assoluzione è riportata quale esito. Il registro certifica al Livello A ciascun esito, li riporta per esteso in ottemperanza alla propria disciplina, e ne dichiara la funzione metodologica: il riepilogo assolutorio non è un'appendice ma un organo del metodo, giacché un registro che certifica condanne ha l'obbligo simmetrico di certificare assoluzioni con eguale evidenza, e la fase, che conta tra i propri materiali il più celebre processo assolutorio della storia repubblicana, esercita qui la disciplina nella sua forma più visibile; il registro annota infine che la compresenza, nella medesima fase, di piani primi saturi di condanne irrevocabili e di nodi satellite chiusi da assoluzioni definitive è la fisionomia normale di un campo indagato con gli strumenti dello Stato di diritto, e che l'opera assume questa fisionomia, con le sue asimmetrie, quale proprio materiale, senza correggerla mai nella direzione che i documenti non autorizzano.</w:t>
      </w:r>
    </w:p>
    <w:p>
      <w:pPr>
        <w:spacing w:after="120" w:line="276"/>
        <w:jc w:val="both"/>
      </w:pPr>
      <w:r>
        <w:rPr>
          <w:rFonts w:ascii="Barlow Semi Condensed" w:cs="Barlow Semi Condensed" w:eastAsia="Barlow Semi Condensed" w:hAnsi="Barlow Semi Condensed"/>
          <w:sz w:val="24"/>
          <w:szCs w:val="24"/>
        </w:rPr>
        <w:t xml:space="preserve">Il dodicesimo pilastro censisce le 2 vulgate del caso e la posizione del registro, quale dichiarazione terminale di metodo. La letteratura pubblica sul caso Moro si è storicamente polarizzata in 2 vulgate speculari, che il registro censisce quali oggetti documentali e respinge quali metodi. La prima è la vulgata del complotto integrale, che salda i fatti certificati del piano secondo, la compresenza piduista, le anomalie di Gradoli, i vuoti documentali, in un disegno unitario di gestione eterodiretta, compiendo l'operazione che il registro ha vietato a ogni pagina, la promozione della densità delle anomalie a prova della regia, e che il metodo delle ipotesi concorrenti smonta con un solo rilievo, la circostanza che nessun documento, in 47 anni, ha mai certificato il passaggio dall'anomalia alla condotta. La seconda è la vulgata riduzionista, che dichiara il caso chiuso nel perimetro dei giudicati e derubrica il piano secondo a rumore, compiendo l'operazione simmetrica, la rimozione di fatti certificati al Livello A che nessuna spiegazione ordinaria ha integralmente assorbito, dalla mancata verbalizzazione dei comitati alla distribuzione selettiva dei vuoti. Il registro certifica al Livello A l'esistenza e la struttura delle 2 vulgate, quali dati della storia della ricezione, e dichiara la propria posizione, che non è una terza tesi ma un'altra operazione: la tenuta simultanea di tutti i fatti certificati, ciascuno al proprio livello, senza la saldatura che la prima vulgata compie e senza la rimozione che la seconda esige, nella convinzione metodologica, ereditata dall'apparato dell'opera, che un campo manipolato si conosce soltanto rifiutando tanto la credulità del disegno quanto la credulità della coincidenza; la fase consegna questa posizione, esercitata per 10 capitoli sul materiale più sollecitante dell'opera, quale prova pratica del metodo, e rimette alla Fase 5 il giudizio se essa abbia prodotto, come il registro ritiene, più conoscenza certificata di quanta ciascuna vulgata ne abbia prodotta in mezzo secolo.</w:t>
      </w:r>
    </w:p>
    <w:p>
      <w:pPr>
        <w:spacing w:after="120" w:line="276"/>
        <w:jc w:val="both"/>
      </w:pPr>
      <w:r>
        <w:rPr>
          <w:rFonts w:ascii="Barlow Semi Condensed" w:cs="Barlow Semi Condensed" w:eastAsia="Barlow Semi Condensed" w:hAnsi="Barlow Semi Condensed"/>
          <w:sz w:val="24"/>
          <w:szCs w:val="24"/>
        </w:rPr>
        <w:t xml:space="preserve">Il tredicesimo pilastro consegna il bilancio ordinato delle 4 famiglie del piano terzo, quale quadro sinottico terminale in prosa. La famiglia del concorso operativo esterno all'azione esce dalla fase con gli elementi tecnici certificati che ne delimitano lo spazio, la precarietà logistica documentata, le munizioni ricaricate, il circuito finanziario chiuso, tutti convergenti verso l'autosufficienza, e con le sole varianti selettive logicamente sopravviventi, prive di qualsiasi elemento positivo. La famiglia del condizionamento della gestione esce con il piano secondo più denso dell'opera, la compresenza piduista, lo scioglimento dell'apparato specialistico, la mancata verbalizzazione, l'assenza di sanzioni, tutti fatti al Livello A, e con la condotta di condizionamento mai accertata, il divario tra la densità dei fatti e l'assenza della prova costituendo la fisionomia propria e permanente di questa famiglia. La famiglia dell'interferenza internazionale esce con le contrarietà pubbliche delle 2 superpotenze elevate al Livello A, con la convergenza oggettiva al Livello B, con l'unico fatto materiale della variante orientale, il caso Conforto, censito nei suoi 3 livelli, e con le 2 varianti reciprocamente escludentisi e parimenti prive di prova di condotta. La famiglia del ruolo attivo della criminalità organizzata esce con i sondaggi verso le organizzazioni certificati al Livello B quale fatto della gestione, e con ogni lettura di partecipazione o di interdizione al Livello C. Il registro certifica questo quadro quale stato terminale delle ipotesi alla chiusura della fase, e ne dichiara la funzione: esso è la mappa che la Fase 5 erediterà, con la consegna metodologica che il caso impone, la verifica di ciascuna famiglia sul grafo completo e sugli archivi ancora chiusi, e con l'avvertenza che la fase ha dimostrato, la possibilità che decenni di accertamenti spostino i livelli senza mai attraversare, in assenza di documenti nuovi, il confine tra il fatto e l'ipotesi.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ipotesi di concorso-ipotesi di condizionamento-ipotesi internazionale, è il triangolo del censimento, integralmente al Livello C con i fatti di base ai livelli propri. La seconda, Commissione del 2016-acquisizioni documentali-letture dubitative, è il triangolo dell'ultima stagione, con i fatti al Livello B e le letture al Livello C. La terza, piano primo-piano secondo-piano terzo, è il triangolo del sigillo, la formalizzazione del divieto che governa la fase. Sul piano dei pattern, il nodo compie il Pattern 6 nella sua forma più estesa, la matrice delle ipotesi concorrenti sul mandato, per ciascuna delle quali il registro ha indicato i fatti coerenti, i fatti mancanti e le evidenze che la falsificherebbero; e conferma il Pattern 5 quale cifra della fase, il caso Moro quale sistema di buchi strutturali documentati, la prigione mai trovata nei 55 giorni, gli originali mai rinvenuti, gli archivi mai aperti, attorno ai quali la conoscenza certificata si è costruita per accerchiamento.</w:t>
      </w:r>
    </w:p>
    <w:p>
      <w:pPr>
        <w:spacing w:after="120" w:line="276"/>
        <w:jc w:val="both"/>
      </w:pPr>
      <w:r>
        <w:rPr>
          <w:rFonts w:ascii="Barlow Semi Condensed" w:cs="Barlow Semi Condensed" w:eastAsia="Barlow Semi Condensed" w:hAnsi="Barlow Semi Condensed"/>
          <w:sz w:val="24"/>
          <w:szCs w:val="24"/>
        </w:rPr>
        <w:t xml:space="preserve">Le 2 inchieste parlamentari che presidiano il piano terzo esigono la loro scheda istituzionale, che il registro fissa quale cornice delle acquisizioni già graduate. La prima Commissione, istituita con legge nel novembre 1979 nella XIII legislatura repubblicana ancora ferita, operò sino al 1983 e consegnò una relazione di maggioranza accompagnata da plurime relazioni di minoranza, riflesso della frattura politica coeva sulla lettura dei 55 giorni, con un'imponente pubblicazione di allegati che resta il primo giacimento documentale organico sul caso, Livello A quanto all'attività ed agli atti. La seconda, istituita con la legge del 30 maggio 2014 nella XVII legislatura e presieduta da Giuseppe Fioroni, operò sino al dicembre 2017 con poteri d'inchiesta pieni, avvalendosi delle tecnologie d'indagine sopravvenute, dalle esumazioni digitali degli archivi alle nuove perizie balistiche e dattiloscopiche, e produsse relazioni annuali ed una mole di acquisizioni che il registro ha recepito con la doppia marcatura che la sintesi certifica, il Livello B per i documenti ed i riscontri tecnici, il Livello C per le letture ricostruttive, Livello A quanto alla scheda istituzionale. Tra le 2 stagioni corre un trentennio, e la loro giustapposizione consegna al registro un reperto di storia della conoscenza: la prima Commissione lavorò a ridosso dell'evento, con i testimoni vivi e gli archivi chiusi; la seconda a distanza di 2 generazioni, con gli archivi progressivamente aperti ed i testimoni in via di estinzione, sicché le 2 inchieste si specchiano in un chiasmo documentale, il massimo della memoria con il minimo delle carte contro il massimo delle carte con il minimo della memoria, e la conoscenza del caso, sommandole, resta strutturalmente asimmetrica: nessuna stagione ha mai disposto, insieme, dei testimoni e dei documenti. Il piano terzo abita esattamente questa asimmetria, ed il registro, che l'ha misurata, vi calibra il proprio sigillo inferenziale: dove la memoria e la carta non si sono mai incontrate, l'ipotesi non può che restare ipotesi, e dichiararlo non è rinuncia ma esattezza.</w:t>
      </w:r>
    </w:p>
    <w:p>
      <w:pPr>
        <w:spacing w:after="120" w:line="276"/>
        <w:jc w:val="both"/>
      </w:pPr>
      <w:r>
        <w:rPr>
          <w:rFonts w:ascii="Barlow Semi Condensed" w:cs="Barlow Semi Condensed" w:eastAsia="Barlow Semi Condensed" w:hAnsi="Barlow Semi Condensed"/>
          <w:sz w:val="24"/>
          <w:szCs w:val="24"/>
        </w:rPr>
        <w:t xml:space="preserve">Alle 2 Commissioni monografiche va affiancata, per completezza della mappa parlamentare, la terza sede che del caso si occupò in via continuativa: la Commissione parlamentare d'inchiesta sul terrorismo in Italia e sulle cause della mancata individuazione dei responsabili delle stragi, operante dal 1988 al 2001 attraverso 4 legislature, che dedicò al caso Moro audizioni, acquisizioni ed elaborati istruttori di grande mole, e che chiuse i propri lavori, nel marzo 2001, senza l'approvazione di una relazione finale consensuale, lasciando agli atti le bozze e le proposte di relazione elaborate nella presidenza conclusiva, Livello A quanto alla scheda istituzionale ed all'esito. Il registro assegna all'esito il valore documentale che gli è proprio: la più lunga inchiesta parlamentare della storia repubblicana sul terrorismo e sulle stragi non riuscì a consegnare al Paese una verità condivisa nemmeno nella forma minima della relazione votata, e questo esito, che non è un vuoto di lavoro ma un vuoto di consenso, certifica sul piano parlamentare ciò che il piano terzo certifica su quello giudiziario, la resistenza del caso ad ogni chiusura unitaria. Le 3 sedi, la Moro della VIII legislatura, la Stragi del tredicennio, la Moro della XVII, compongono così una serie istituzionale di 40 anni il cui prodotto aggregato il registro può finalmente descrivere con esattezza: un archivio immenso ed una conclusione assente, il massimo di documentazione con il minimo di verdetto, la forma parlamentare del paradosso che l'intera fase ha certificato piano per piano.</w:t>
      </w:r>
    </w:p>
    <w:p>
      <w:pPr>
        <w:spacing w:after="120" w:line="276"/>
        <w:jc w:val="both"/>
      </w:pPr>
      <w:r>
        <w:rPr>
          <w:rFonts w:ascii="Barlow Semi Condensed" w:cs="Barlow Semi Condensed" w:eastAsia="Barlow Semi Condensed" w:hAnsi="Barlow Semi Condensed"/>
          <w:sz w:val="24"/>
          <w:szCs w:val="24"/>
        </w:rPr>
        <w:t xml:space="preserve">Alla contabilità delle piste cadute il piano terzo deve infine il caso di scuola della sua specie più insidiosa, l'attribuzione tecnica smentita: nell'istruttoria dell'aprile 1979 sull'area dell'Autonomia organizzata, una perizia fonica attribuì a Antonio Negri la voce della telefonata del 30 aprile 1978 alla famiglia del prigioniero, che il capitolo dei 55 giorni ha censito, e su quella attribuzione, insieme all'ipotesi complessiva di una direzione occulta esterna all'organizzazione esecutrice, si costruì un capitolo d'accusa che i gradi successivi demolirono: le perizie ulteriori esclusero l'identificazione, l'ipotesi della regia esterna cadde, e Negri fu assolto in via definitiva da ogni addebito relativo al sequestro ed al caso, esito che il registro riporta per esteso in ottemperanza alla propria disciplina, ferma la distinta sorte processuale dell'imputato per i reati associativi estranei a questo nodo, Livello A quanto alla parabola dell'attribuzione, alla sua caduta ed all'assoluzione. Il registro eleva il caso a paradigma della patologia che il piano terzo deve prevenire: l'attribuzione tecnica gode, nel circuito mediatico e talvolta in quello giudiziario, di un credito anticipato che la sua successiva smentita non riesce mai a revocare per intero, e la voce del 30 aprile, restituita dall'esito processuale al suo anonimato, continuò per decenni a risuonare nella pubblicistica con il nome che le perizie le avevano tolto. La lezione è la stessa che la fase ha tratto dalla sabbia di via Caetani: il dato strumentale non parla, viene fatto parlare, e la differenza tra la scienza e il suo uso è la differenza, che l'intera opera custodisce, tra il reperto e la sentenza.</w:t>
      </w:r>
    </w:p>
    <w:p>
      <w:pPr>
        <w:spacing w:after="120" w:line="276"/>
        <w:jc w:val="both"/>
      </w:pPr>
      <w:r>
        <w:rPr>
          <w:rFonts w:ascii="Barlow Semi Condensed" w:cs="Barlow Semi Condensed" w:eastAsia="Barlow Semi Condensed" w:hAnsi="Barlow Semi Condensed"/>
          <w:sz w:val="24"/>
          <w:szCs w:val="24"/>
        </w:rPr>
        <w:t xml:space="preserve">Le carte delle commissioni conservano infine la traccia dei canali di ricerca paralleli che la politica attivò fuori dagli apparati, ed il registro ne censisce il caso documentato: il parlamentare democristiano Benito Cazora riferì alle sedi d'inchiesta di essere stato attivato, durante i 55 giorni, su canali informativi passanti per ambienti della criminalità calabrese, nel tentativo di raggiungere notizie sulla prigione attraverso circuiti che gli apparati ufficiali non controllavano, con contatti, intermediazioni e promesse di riscontri che le audizioni documentano nel loro svolgersi e nel loro nulla di fatto, Livello A quanto alle dichiarazioni rese nelle sedi parlamentari, Livello B quanto alla consistenza effettiva dei canali riferiti. Il registro assegna al reperto la sua doppia funzione: sul piano del caso, esso documenta che la ricerca del prigioniero corse anche su binari informali che presupponevano, in chi li attivava, la convinzione che il mondo criminale sapesse o potesse sapere, convinzione che è essa stessa un dato storico sulla percezione coeva delle porosità tra i domini; sul piano dell'opera, il canale Cazora è l'ennesima occorrenza del pattern che il corpus registra ad ogni crisi, la Repubblica che nelle emergenze cerca scorciatoie attraverso i poteri irregolari che nella normalità dichiara di combattere, e la circostanza che anche questa scorciatoia, come tutte quelle censite, non abbia trovato la prigione, lascia aperta la sola alternativa che il metodo consente di formulare: o i circuiti irregolari non sapevano, o non vollero dire, e tra le 2 ipotesi gli atti non permettono di scegliere.</w:t>
      </w:r>
    </w:p>
    <w:p>
      <w:pPr>
        <w:spacing w:after="120" w:line="276"/>
        <w:jc w:val="both"/>
      </w:pPr>
      <w:r>
        <w:rPr>
          <w:rFonts w:ascii="Barlow Semi Condensed" w:cs="Barlow Semi Condensed" w:eastAsia="Barlow Semi Condensed" w:hAnsi="Barlow Semi Condensed"/>
          <w:sz w:val="24"/>
          <w:szCs w:val="24"/>
        </w:rPr>
        <w:t xml:space="preserve">Il sisma istituzionale del caso non si esaurì il 9 maggio, ed il registro censisce la catena di crolli che ne seguì nell'estate: il 15 giugno 1978, a 37 giorni da via Caetani, il presidente della Repubblica Giovanni Leone si dimise, unico caso di dimissioni presidenziali della storia repubblicana sino ad allora, travolto da una campagna di stampa pluriennale legata allo scandalo Lockheed ed ai suoi contorni, nella quale non fu mai imputato di alcun reato, e dalla quale sarebbe stato pubblicamente riabilitato solo 20 anni dopo, con il riconoscimento formale dell'infondatezza delle accuse da parte dei suoi stessi accusatori politici, Livello A quanto alle dimissioni, alla mai avvenuta imputazione ed alla riabilitazione tardiva; l'8 luglio l'elezione di Sandro Pertini con la più ampia maggioranza sino ad allora registrata aprì il nuovo settennato, ed il 6 agosto morì Paolo VI, il papa dell'appello e della messa censiti, chiudendo nel giro di un'estate la triade delle massime figure che i 55 giorni avevano consumato, Livello A quanto alla sequenza. Il registro consegna la catena alla sua lettura documentale: il 1978 si portò via, in 90 giorni, il presidente del partito di maggioranza, il capo dello Stato ed il pontefice, 3 uscite di scena di natura diversissima, l'esecuzione, le dimissioni, la morte naturale, che nessuna ricostruzione può unificare in un disegno e che nondimeno produssero, cumulativamente, il più vasto ricambio simultaneo di vertici della storia repubblicana, con la conseguenza istituzionale che il capitolo annota per le fasi dell'opera: la Repubblica che avrebbe dovuto processare, indagare e ricordare il caso Moro era già, pochi mesi dopo, guidata in ogni sua magistratura suprema da uomini diversi da quelli che lo avevano vissuto, ed il caso Leone vi aggiunge la postilla che il metodo non può tacere, che nella stagione dei processi di piazza censita dal corpus anche un capo dello Stato innocente poteva essere consumato dalla macchina del discredito, con vent'anni di anticipo sulle scuse.</w:t>
      </w:r>
    </w:p>
    <w:p>
      <w:pPr>
        <w:spacing w:after="120" w:line="276"/>
        <w:jc w:val="both"/>
      </w:pPr>
      <w:r>
        <w:rPr>
          <w:rFonts w:ascii="Barlow Semi Condensed" w:cs="Barlow Semi Condensed" w:eastAsia="Barlow Semi Condensed" w:hAnsi="Barlow Semi Condensed"/>
          <w:sz w:val="24"/>
          <w:szCs w:val="24"/>
        </w:rPr>
        <w:t xml:space="preserve">Il dopo-caso possiede infine la sua fonte più instabile, che il registro censisce quale problema di metodo prima che di merito: le esternazioni pubbliche rese nei decenni successivi dal ministro dell'interno dei 55 giorni, divenuto poi capo dello Stato, che in interviste, memorie e dichiarazioni distribuite lungo 30 anni tornò ossessivamente sul caso offrendo versioni successive, integrazioni, autoaccuse e ritrattazioni parziali su snodi anche capitali della gestione, in un corpus dichiarativo postumo vasto, contraddittorio e mai organicamente verbalizzato in sede formale, Livello A quanto all'esistenza ed alla pubblicità delle dichiarazioni, Livello C quanto al contenuto di ciascuna di esse, in assenza di riscontri e stante la loro reciproca incompatibilità. Il registro assume il caso quale paradigma della propria disciplina sulle fonti tardive di apparato: il protagonista che parla per 30 anni senza mai deporre produce non una testimonianza ma un giacimento, dal quale ogni tesi può estrarre la pepita conforme, e la scelta dell'opera di non fondare alcuna ricostruzione su quel giacimento, pur censendone l'esistenza, discende dalla regola che governa l'intero corpus: una fonte che si contraddice nel tempo vale, per ciascuna delle sue versioni, quanto la versione meno affidabile, e la memoria pubblica di chi visse la stanza dei bottoni, quando non accetta il vincolo del verbale e del contraddittorio, appartiene alla storia della memoria, non alla storia dei fatti.</w:t>
      </w:r>
    </w:p>
    <w:p>
      <w:pPr>
        <w:spacing w:after="120" w:line="276"/>
        <w:jc w:val="both"/>
      </w:pPr>
      <w:r>
        <w:rPr>
          <w:rFonts w:ascii="Barlow Semi Condensed" w:cs="Barlow Semi Condensed" w:eastAsia="Barlow Semi Condensed" w:hAnsi="Barlow Semi Condensed"/>
          <w:sz w:val="24"/>
          <w:szCs w:val="24"/>
        </w:rPr>
        <w:t xml:space="preserve">La storia delle commissioni possiede infine la sua figura di cerniera con la conservazione documentale, che il registro censisce per dovere verso la propria stessa genealogia: il senatore Sergio Flamigni, componente delle inchieste parlamentari sul caso e sulla loggia, dedicò i decenni successivi al mandato alla ricostruzione documentale della vicenda, edificando attorno al proprio lavoro un fondo archivistico privato poi costituito in ente, destinato alla raccolta, alla conservazione ed alla consultazione pubblica delle carte sul terrorismo e sulla stagione delle stragi, divenuto uno dei poli documentali civili di riferimento della materia, Livello A quanto ai ruoli istituzionali ed all'esistenza e funzione dell'istituto archivistico. Il registro consegna la parabola alla sua lezione conclusiva sul capitolo: mentre gli archivi degli apparati censiti dall'opera si aprivano per direttive revocabili e con le lacune documentate, la memoria documentale del caso trovò la propria continuità anche in istituzioni nate dalla dedizione individuale di chi aveva servito nelle inchieste, e questa supplenza civile della funzione archivistica pubblica, che il corpus registra qui nel suo esemplare maggiore, chiude il capitolo delle commissioni con il suo lascito meno visibile e più durevole: le commissioni passano, le relazioni si impolverano, ma le carte raccolte da chi non smise di cercarle restano, ed è su fondi come questo che ogni opera futura, inclusa la presente, potrà verificare, correggere e proseguire ciò che le aule e le aule parlamentari hanno lasciato a metà.</w:t>
      </w:r>
    </w:p>
    <w:p>
      <w:pPr>
        <w:spacing w:after="120" w:line="276"/>
        <w:jc w:val="both"/>
      </w:pPr>
      <w:r>
        <w:rPr>
          <w:rFonts w:ascii="Barlow Semi Condensed" w:cs="Barlow Semi Condensed" w:eastAsia="Barlow Semi Condensed" w:hAnsi="Barlow Semi Condensed"/>
          <w:sz w:val="24"/>
          <w:szCs w:val="24"/>
        </w:rPr>
        <w:t xml:space="preserve">Le direttrici istruttorie della seconda commissione esigono il loro censimento sintetico, perché il registro deve dare conto di dove la stagione 2014-2017 abbia effettivamente spinto la frontiera: i lavori si concentrarono sulla revisione tecnica della scena di via Fani, con le ricomparazioni dattiloscopiche e balistiche censite, sull'ipotesi di presenze estranee al commando sulla scena, alimentata da testimonianze e consulenze nuove, sul vaglio dei livelli di allarme disponibili agli apparati prima del 16 marzo e sulla geografia della prigionia, producendo un'imponente attività di audizione, perizia ed acquisizione i cui esiti hanno accresciuto il patrimonio indiziario su più snodi senza tradursi in modifiche del quadro giudiziario definitivo, che resta quello consegnato dai 5 cicli processuali, Livello A quanto ai lavori svolti ed ai materiali prodotti, Livello C quanto alle ipotesi ricostruttive alternative ivi esplorate e non certificate. Il registro consegna il bilancio alla propria disciplina conclusiva: la seconda commissione ha funzionato da grande istruttoria documentale postuma, spostando molte cose dal non cercato al cercato e alcune dal Livello C al Livello B, nessuna dal B all'A, e questo rendimento, che i critici lessero quale fallimento ed i promotori quale semina, è per il metodo dell'opera semplicemente la misura fisiologica di ciò che un organo parlamentare può ottenere a 40 anni dai fatti, quando i testi sono memoria e i reperti sono archivio: può ancora migliorare le domande, quasi mai le risposte, e l'opera, che delle sue carte si è largamente servita, ne registra il lascito per quello che è, il più grande investimento della Repubblica nel dubbio organizzato.</w:t>
      </w:r>
    </w:p>
    <w:p>
      <w:pPr>
        <w:spacing w:after="120" w:line="276"/>
        <w:jc w:val="both"/>
      </w:pPr>
      <w:r>
        <w:rPr>
          <w:rFonts w:ascii="Barlow Semi Condensed" w:cs="Barlow Semi Condensed" w:eastAsia="Barlow Semi Condensed" w:hAnsi="Barlow Semi Condensed"/>
          <w:sz w:val="24"/>
          <w:szCs w:val="24"/>
        </w:rPr>
        <w:t xml:space="preserve">La fenomenologia del dopo-caso include infine la teoria che il registro censisce non quale ipotesi ma quale oggetto di studio: la figura del Grande Vecchio, il supposto regista occulto superiore alla stessa organizzazione, evocata pubblicamente sin dai primi anni Ottanta da protagonisti politici di primo piano e divenuta il paradigma popolare del caso, non ha mai ricevuto, in 5 cicli processuali e 2 commissioni dedicate, un solo riscontro che la elevasse dal rango di suggestione, Livello A quanto alla circolazione pubblica della teoria ed alla sua sterilità processuale integrale, Livello C permanente quanto al suo contenuto. Il registro la censisce per la funzione che essa ha svolto nell'ecologia del caso, e che è documentabile: la teoria del burattinaio unico ha operato per decenni quale grande semplificatrice, assorbendo in una figura immaginaria singola la complessità reale delle convergenze, delle omissioni e delle zone grigie che il corpus ha censito una per una, e producendo il duplice danno che il metodo registra, la delusione ricorrente di chi cercava un nome solo dove c'era un sistema, e l'alibi speculare di chi poteva liquidare ogni domanda legittima quale dietrologia; sicché l'ultima operazione di metodo che il capitolo consegna è lo scioglimento della falsa alternativa che ha imprigionato il dibattito per 40 anni: tra il Grande Vecchio e la verità ufficiale esiste il terzo oggetto, che è quello che questa fase ha ricostruito, un caso senza regista unico e senza innocenza di sistema, dove nessuno mosse tutti i fili e molti, documentatamente, non tirarono i propri.</w:t>
      </w:r>
    </w:p>
    <w:p>
      <w:pPr>
        <w:spacing w:after="120" w:line="276"/>
        <w:jc w:val="both"/>
      </w:pPr>
      <w:r>
        <w:rPr>
          <w:rFonts w:ascii="Barlow Semi Condensed" w:cs="Barlow Semi Condensed" w:eastAsia="Barlow Semi Condensed" w:hAnsi="Barlow Semi Condensed"/>
          <w:sz w:val="24"/>
          <w:szCs w:val="24"/>
        </w:rPr>
        <w:t xml:space="preserve">Le esternazioni pluridecennali del ministro dell'interno dei 55 giorni costituiscono un corpus a sé, che il registro censisce quale fonte e quale sintomo: dalle dimissioni del 9 maggio sino alla morte nel 2010, l'uomo tornò pubblicamente sul caso per 32 anni, in interviste, libri conversazione ed audizioni, con autoaccuse morali reiterate, ricostruzioni variabili e allusioni mai formalizzate a saperi non detti, componendo la più vasta testimonianza volontaria che un protagonista istituzionale del caso abbia mai prodotto, ed insieme la meno utilizzabile, poiché resa fuori da ogni sede di verbalizzazione vincolante e con oscillazioni che gli atti delle commissioni registrano, Livello A quanto all'esistenza ed alla natura del corpus dichiarativo, Livello C permanente quanto ai contenuti allusivi mai riscontrati. Il registro consegna la figura alla sua funzione epistemologica: il ministro che si processò da solo per 3 decenni, senza che nessun processo reale lo raggiungesse mai, incarna la modalità italiana della confessione impossibile, il dire continuamente di sapere senza mai dire che cosa, e l'opera, che delle sue parole ha usato solo quanto trovò riscontro, registra il resto per ciò che è, il più lungo monologo della coscienza istituzionale della Repubblica, prezioso quale sismografo del peso portato, inservibile quale mappa del peso stesso.</w:t>
      </w:r>
    </w:p>
    <w:p>
      <w:pPr>
        <w:spacing w:after="120" w:line="276"/>
        <w:jc w:val="both"/>
      </w:pPr>
      <w:r>
        <w:rPr>
          <w:rFonts w:ascii="Barlow Semi Condensed" w:cs="Barlow Semi Condensed" w:eastAsia="Barlow Semi Condensed" w:hAnsi="Barlow Semi Condensed"/>
          <w:sz w:val="24"/>
          <w:szCs w:val="24"/>
        </w:rPr>
        <w:t xml:space="preserve">Il capitolo conclusivo esige infine il bilancio classificatorio dell'intero caso secondo la scala dell'opera, che il registro formula quale inventario terminale: appartengono al Livello A, inamovibili, la dinamica materiale dell'agguato, l'identità dei membri dell'organizzazione condannati nei 5 cicli, la sequenza dei 55 giorni, il corpus autentico del carteggio e la responsabilità rivendicata ed accertata dell'esecuzione; stazionano al Livello B, documentati ma non chiusi, la completezza della lista dei presenti in via Fani, la geografia integrale della prigionia, la portata delle omissioni di apparato censite e la consistenza dei canali paralleli; permangono al Livello C, dopo 5 processi e 2 commissioni, le ipotesi sui livelli superiori, le letture internazionali del movente e le ricostruzioni alternative della decisione finale. Il registro consegna l'inventario alla sua funzione ultima, che è la ragione stessa della fase: il caso Moro non è un mistero, come la vulgata ripete, né un caso chiuso, come la stanchezza vorrebbe, è un oggetto storiografico a 3 strati di solidità diversa, e la maturità del Paese davanti al proprio trauma capitale si misura esattamente dalla capacità di tenere i 3 strati distinti, difendendo il primo dai revisionismi, lavorando il secondo con gli archivi, e custodendo il terzo senza né adorarlo né deriderlo, perché è nel terzo strato che abitano, insieme, le domande sbagliate e quelle che un documento ancora chiuso potrebbe, un giorno, promuovere.</w:t>
      </w:r>
    </w:p>
    <w:p>
      <w:pPr>
        <w:spacing w:after="120" w:line="276"/>
        <w:jc w:val="both"/>
      </w:pPr>
      <w:r>
        <w:rPr>
          <w:rFonts w:ascii="Barlow Semi Condensed" w:cs="Barlow Semi Condensed" w:eastAsia="Barlow Semi Condensed" w:hAnsi="Barlow Semi Condensed"/>
          <w:sz w:val="24"/>
          <w:szCs w:val="24"/>
        </w:rPr>
        <w:t xml:space="preserve">La fase si chiude dichiarando la propria funzione nell'architettura dell'opera, che il registro esplicita quale nota di raccordo: il caso Moro è la cerniera materiale del corpus, il punto nel quale i fili censiti nelle altre fasi si annodano in un solo evento, poiché la loggia della fase prima vi compare con i suoi uomini negli apparati dei 55 giorni, le strutture della fase seconda vi operano con le omissioni e le presenze censite, la stagione della fase terza vi consegna il metodo della violenza politica giunto a maturità, ed il teatro della fase quinta vi proietta le sue geometrie di campo, sicché nessuna delle 5 fasi si legge per intero senza le altre 4, Livello A quanto alle intersezioni documentate nei rispettivi capitoli. Il registro consegna l'architettura alla sua giustificazione ultima: l'opera ha scelto di dedicare al caso la propria fase più estesa non per la gerarchia del lutto, che non ammette classifiche, ma per la sua funzione di esperimento cruciale, il solo evento del corpus nel quale tutti i domini censiti furono simultaneamente attivi ed osservabili, e dunque il banco di prova sul quale l'intero metodo, i Livelli, i Pattern, la Regola Ferrea, lo Stato Zero, doveva dimostrare di reggere, perché un metodo che avesse funzionato ovunque tranne che sul caso capitale non sarebbe stato un metodo, sarebbe stato un girare attorno.</w:t>
      </w:r>
    </w:p>
    <w:p>
      <w:pPr>
        <w:spacing w:after="120" w:line="276"/>
        <w:jc w:val="both"/>
      </w:pPr>
      <w:r>
        <w:rPr>
          <w:rFonts w:ascii="Barlow Semi Condensed" w:cs="Barlow Semi Condensed" w:eastAsia="Barlow Semi Condensed" w:hAnsi="Barlow Semi Condensed"/>
          <w:sz w:val="24"/>
          <w:szCs w:val="24"/>
        </w:rPr>
        <w:t xml:space="preserve">Il caso possiede infine la sua geografia archivistica, che il registro censisce quale mappa di servizio per chi verrà: gli atti dei 5 cicli processuali giacciono presso gli uffici giudiziari romani e, per le annate versate, presso l'archivio di Stato, le carte delle 2 commissioni dedicate e delle inchieste generaliste sono conservate negli archivi storici parlamentari con i regimi di consultabilità propri di ciascun fondo, i materiali declassificati per direttiva confluiscono nel versamento straordinario censito, e la documentazione civile si concentra nei poli privati costituiti in ente, in una dispersione ordinata che nessun soggetto unico governa, Livello A quanto alla mappa dei fondi. Il registro consegna la mappa alla sua implicazione: il caso Moro non possiede un archivio, ne possiede almeno 5, separati per genesi istituzionale e per regole di accesso, e questa frammentazione, che rispecchia la divisione dei poteri da cui i fondi provengono, è insieme una garanzia, perché nessuna mano sola può chiudere ciò che nessuna mano sola custodisce, ed una condanna al lavoro, perché ogni ricerca futura dovrà, come la presente, ricomporre da sedi diverse ciò che la storia ha prodotto insieme, sicché l'ultimo lascito del capitolo è un'avvertenza di metodo ai successori: sul caso capitale della Repubblica, la verità non è nascosta in un armadio, è distribuita in un sistema, e si conquista non forzando serrature ma percorrendo, con pazienza, tutti i corridoi.</w:t>
      </w:r>
    </w:p>
    <w:p>
      <w:pPr>
        <w:spacing w:after="120" w:line="276"/>
        <w:jc w:val="both"/>
      </w:pPr>
      <w:r>
        <w:rPr>
          <w:rFonts w:ascii="Barlow Semi Condensed" w:cs="Barlow Semi Condensed" w:eastAsia="Barlow Semi Condensed" w:hAnsi="Barlow Semi Condensed"/>
          <w:sz w:val="24"/>
          <w:szCs w:val="24"/>
        </w:rPr>
        <w:t xml:space="preserve">La fase si congeda come si era aperta, restituendo l'ultima parola ai nomi, perché il registro non consente che 10 capitoli di analisi seppelliscano sotto le proprie categorie le persone per le quali esistono: Oreste Leonardi, Domenico Ricci, Raffaele Iozzino, Giulio Rivera, Francesco Zizzi, i 5 uomini della scorta caduti in via Fani il 16 marzo 1978, ed Aldo Moro, ucciso il 9 maggio dopo 55 giorni di prigionia, Livello A assoluto, il solo enunciato dell'intera fase che nessuna scoperta futura potrà mai retrocedere. Il registro affida ai 6 nomi la funzione che nessun pattern può assolvere: tutto ciò che questa fase ha censito, le reti, le omissioni, i livelli, le ipotesi, sta al di qua di una soglia che i nomi presidiano, perché le strutture si studiano ma i morti si rispondono, e la differenza tra un'opera di analisi ed un esercizio di stile è tutta nella direzione dello sguardo finale, che qui si volge, come in ogni fase di questo lavoro, non alle proprie architetture ma alle 6 vite che il 1978 sottrasse alla Repubblica, con la sola promessa che un registro possa mantenere: che ogni sua riga futura, correggendosi, aggiungendosi ed anche smentendosi, resterà scritta per loro, nella convinzione che la conoscenza, quando è onesta sui propri limiti, sia l'unica forma di giustizia che non prescrive.</w:t>
      </w:r>
    </w:p>
    <w:p>
      <w:pPr>
        <w:spacing w:after="120" w:line="276"/>
        <w:jc w:val="both"/>
      </w:pPr>
      <w:r>
        <w:rPr>
          <w:rFonts w:ascii="Barlow Semi Condensed" w:cs="Barlow Semi Condensed" w:eastAsia="Barlow Semi Condensed" w:hAnsi="Barlow Semi Condensed"/>
          <w:sz w:val="24"/>
          <w:szCs w:val="24"/>
        </w:rPr>
        <w:t xml:space="preserve">L'ecosistema documentale del caso comprende infine la famiglia registrale che la triangolazione ha censito quale architettura parallela: accanto al presente volume, il corpus di progetto conserva una federazione di registri autonomi sul medesimo caso, il registro analitico giunto alla sua dodicesima edizione, il registro di scavo, il registro speculare ed il registro genetico, coordinati da un codice relazionale e da un protocollo dei passaggi che ne disciplinano le trasmissioni, Livello A quale esistenza ed architettura della federazione. Il registro consegna la coesistenza alla sua giustificazione epistemologica: il caso capitale della Repubblica esige di essere lavorato simultaneamente da angolazioni metodologiche diverse, la rete dei nodi, lo scavo stratigrafico, il rovesciamento speculare, la genealogia delle fonti, e la federazione per riferimento, che collega i registri senza fonderli, realizza sul piano documentale il principio che l'intera opera professa sul piano analitico, la molteplicità disciplinata degli sguardi su un oggetto che nessuno sguardo singolo esaurisce, sicché questo volume non è l'opera unica sul caso, è la voce narrativa di un sistema di registri che si verificano a vicenda, e la sua autorità, nell'edizione definitiva, non discende dall'essere solo, discende dall'avere retto il confronto con tutti gli altri.</w:t>
      </w:r>
    </w:p>
    <w:p>
      <w:pPr>
        <w:spacing w:after="120" w:line="276"/>
        <w:jc w:val="both"/>
      </w:pPr>
      <w:r>
        <w:rPr>
          <w:rFonts w:ascii="Barlow Semi Condensed" w:cs="Barlow Semi Condensed" w:eastAsia="Barlow Semi Condensed" w:hAnsi="Barlow Semi Condensed"/>
          <w:sz w:val="24"/>
          <w:szCs w:val="24"/>
        </w:rPr>
        <w:t xml:space="preserve">L'edizione definitiva reca infine il sigillo della propria verifica esterna, che il registro dichiara quale statuto: l'intero volume è stato sottoposto a triangolazione sistematica contro un registro di verifica indipendente giunto, con la settima tranche ad esso dedicata, a 438 blocchi certificati, che ne ha saggiato gli enunciati contro il corpus di progetto, contro le fonti parlamentari primarie e contro i giudicati, blocco per blocco e sinapsi per sinapsi, senza che emergesse una sola contraddizione fattuale certificata, con la conferma integrale degli Stati Zero quali risultati e con l'aggiornamento della matrice delle ipotesi in competizione nel senso che il capitolo ha argomentato, la convergenza policentrica contro la forma forte del disegno unitario, Livello A quale esito documentato della campagna di verifica. Il registro consegna il sigillo al suo significato esatto, che la disciplina impone di non gonfiare: la triangolazione superata non rende vera l'opera, la rende verificata, che è cosa diversa e minore, e certifica soltanto che, allo stato delle fonti disponibili, ogni suo enunciato regge al livello dichiarato, sicché l'edizione definitiva non chiude il caso né l'opera, chiude un ciclo di verifica, e si consegna al lettore ed agli archivi futuri con l'unica promessa che un metodo onesto possa fare: di essere falsificabile in ogni riga, e di avere indicato, per ogni riga, dove andare a provare.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del piano terzo censisce in 4 famiglie le ipotesi di mandato e concorso esterno, tutte ferme al Livello C con i rispettivi fatti di base certificati ai livelli propri; recepisce al Livello B le acquisizioni documentali della Commissione della XVII legislatura e al Livello C le sue letture dubitative; e appone il sigillo della fase, la distinzione perpetua dei 3 piani, con il piano primo saturo di giudicati, il piano secondo denso di opacità certificate e il piano terzo integralmente ipotetico, chiudendo la lente della doppia lealtà con la dichiarazione del suo valore euristico e della sua nullità probatoria.</w:t>
      </w:r>
    </w:p>
    <w:p>
      <w:pPr>
        <w:pStyle w:val="Heading3"/>
        <w:spacing w:after="80" w:before="160"/>
      </w:pPr>
      <w:r>
        <w:rPr>
          <w:rFonts w:ascii="Barlow Semi Condensed" w:cs="Barlow Semi Condensed" w:eastAsia="Barlow Semi Condensed" w:hAnsi="Barlow Semi Condensed"/>
          <w:sz w:val="24"/>
          <w:szCs w:val="24"/>
        </w:rPr>
        <w:t xml:space="preserve">Repertorio degli archi e delle triangolazioni certificate nella Fase 4</w:t>
      </w:r>
    </w:p>
    <w:p>
      <w:pPr>
        <w:spacing w:after="120" w:line="276"/>
        <w:jc w:val="both"/>
      </w:pPr>
      <w:r>
        <w:rPr>
          <w:rFonts w:ascii="Barlow Semi Condensed" w:cs="Barlow Semi Condensed" w:eastAsia="Barlow Semi Condensed" w:hAnsi="Barlow Semi Condensed"/>
          <w:sz w:val="24"/>
          <w:szCs w:val="24"/>
        </w:rPr>
        <w:t xml:space="preserve">Il repertorio consolida in un inventario unitario, ordinato per piani e per versanti, gli archi, le triangolazioni e gli esiti certificati nella fase, con la funzione di riferimento citabile stabilita dai repertori precedenti.</w:t>
      </w:r>
    </w:p>
    <w:p>
      <w:pPr>
        <w:spacing w:after="120" w:line="276"/>
        <w:jc w:val="both"/>
      </w:pPr>
      <w:r>
        <w:rPr>
          <w:rFonts w:ascii="Barlow Semi Condensed" w:cs="Barlow Semi Condensed" w:eastAsia="Barlow Semi Condensed" w:hAnsi="Barlow Semi Condensed"/>
          <w:sz w:val="24"/>
          <w:szCs w:val="24"/>
        </w:rPr>
        <w:t xml:space="preserve">Il primo versante è il piano primo, quello degli esecutori giudicati. Vi appartengono: la deliberazione dell'operazione da parte della direzione strategica delle Brigate Rosse e la direzione esecutiva di Mario Moretti, certificate al Livello A dai 5 procedimenti irrevocabili; la composizione giudicata del commando di via Fani e dei ruoli di supporto, al Livello A; la custodia di via Montalcini 8 nelle persone di Braghetti, Maccari, Gallinari e Moretti, al Livello A, con l'identificazione di Maccari sopravvenuta soltanto nel 1993; l'esecuzione del 9 maggio per mano di Moretti con il concorso degli uomini della prigione, al Livello A; e la deliberazione finale non unanime, con il dissenso documentato di una parte della colonna, al Livello A.</w:t>
      </w:r>
    </w:p>
    <w:p>
      <w:pPr>
        <w:spacing w:after="120" w:line="276"/>
        <w:jc w:val="both"/>
      </w:pPr>
      <w:r>
        <w:rPr>
          <w:rFonts w:ascii="Barlow Semi Condensed" w:cs="Barlow Semi Condensed" w:eastAsia="Barlow Semi Condensed" w:hAnsi="Barlow Semi Condensed"/>
          <w:sz w:val="24"/>
          <w:szCs w:val="24"/>
        </w:rPr>
        <w:t xml:space="preserve">Al primo versante appartengono altresì: la scansione dei 5 procedimenti, dal primo del 24 gennaio 1983 con 32 ergastoli al quinto del 1998 con la condanna di Maccari a 26 anni, al Livello A; la conduzione unipersonale degli interrogatori della prigione da parte di Moretti, al Livello A, con l'esistenza delle registrazioni su nastro al Livello B e la loro sparizione censita quale vuoto; la Risoluzione della direzione strategica del febbraio 1978, pubblicata prima dell'azione, al Livello A; la composizione in 9 componenti accertati del nucleo di via Fani, al Livello A, con le latitanze perpetue di Casimirri in Nicaragua e di Lojacono in Svizzera; la telefonata registrata di Moretti a Eleonora Moro del 30 aprile 1978, al Livello A; e la campagna militare contestuale delle colonne, con gli omicidi di Rosario Berardi, Lorenzo Cutugno e Francesco Di Cataldo, al Livello A. Vi appartengono infine il finanziamento dell'operazione con la provvista del riscatto del sequestro Costa del 1977, ivi compreso l'acquisto di via Montalcini, al Livello A, e la composizione dell'Esecutivo della stagione, Moretti, Micaletto, Azzolini e Bonisoli, con le catture integrali tra il 1978 e il 1981, al Livello A.</w:t>
      </w:r>
    </w:p>
    <w:p>
      <w:pPr>
        <w:spacing w:after="120" w:line="276"/>
        <w:jc w:val="both"/>
      </w:pPr>
      <w:r>
        <w:rPr>
          <w:rFonts w:ascii="Barlow Semi Condensed" w:cs="Barlow Semi Condensed" w:eastAsia="Barlow Semi Condensed" w:hAnsi="Barlow Semi Condensed"/>
          <w:sz w:val="24"/>
          <w:szCs w:val="24"/>
        </w:rPr>
        <w:t xml:space="preserve">Il secondo versante è il piano secondo, quello della condotta certificata. Vi appartengono: la linea della fermezza e l'architettura dei comitati di crisi, al Livello A; la compresenza piduista ai vertici informativi dei comitati, nelle persone già certificate nella Fase 2, al Livello A con divieto inferenziale dichiarato; la sequenza fattuale di via Gradoli, dalla seduta del 2 aprile alla scoperta del 18 aprile per la perdita d'acqua, al Livello A; la falsità e l'effetto diversivo del comunicato del lago della Duchessa, al Livello A, con l'attribuzione della confezione ad Antonio Chichiarelli al Livello B, arco documentato verso l'orbita della banda della Magliana; l'esistenza dei sondaggi verso la criminalità organizzata per la localizzazione della prigione, al Livello B; la presenza del colonnello Guglielmi nelle vicinanze di via Fani la mattina dell'agguato, al Livello A quanto al fatto e al Livello C quanto al significato; i 2 ritrovamenti di via Monte Nevoso, del 1 ottobre 1978 e del 9 ottobre 1990, al Livello A, con le questioni della completezza e dell'intenzionalità della mancata scoperta al Livello C; e l'elevazione al Livello B dell'enunciato del prigioniero sulle strutture di emergenza atlantiche, quale dichiarazione riscontrata dalla rivelazione indipendente del 1990.</w:t>
      </w:r>
    </w:p>
    <w:p>
      <w:pPr>
        <w:spacing w:after="120" w:line="276"/>
        <w:jc w:val="both"/>
      </w:pPr>
      <w:r>
        <w:rPr>
          <w:rFonts w:ascii="Barlow Semi Condensed" w:cs="Barlow Semi Condensed" w:eastAsia="Barlow Semi Condensed" w:hAnsi="Barlow Semi Condensed"/>
          <w:sz w:val="24"/>
          <w:szCs w:val="24"/>
        </w:rPr>
        <w:t xml:space="preserve">Al secondo versante appartengono altresì: la presenza e la durata della consulenza dell'esperto americano presso il comitato di crisi, al Livello A quanto ai fatti e al Livello C quanto alle sue dichiarazioni tardive; la sproporzione tra la minaccia segnalata e la protezione accordata al presidente, al Livello A; la configurazione delle intestazioni di via Gradoli riconducibili ad ambienti degli apparati, al Livello B; le dimissioni del ministro dell'interno del 9 maggio, al Livello A; la filiera internazionale di armi e relazioni dell'organizzazione, con il canale palestinese e la prassi di non belligeranza nota quale lodo, al Livello B; e la dimensione vaticana, con la lettera pubblica del pontefice al Livello A e l'esplorazione riservata del riscatto al Livello B.</w:t>
      </w:r>
    </w:p>
    <w:p>
      <w:pPr>
        <w:spacing w:after="120" w:line="276"/>
        <w:jc w:val="both"/>
      </w:pPr>
      <w:r>
        <w:rPr>
          <w:rFonts w:ascii="Barlow Semi Condensed" w:cs="Barlow Semi Condensed" w:eastAsia="Barlow Semi Condensed" w:hAnsi="Barlow Semi Condensed"/>
          <w:sz w:val="24"/>
          <w:szCs w:val="24"/>
        </w:rPr>
        <w:t xml:space="preserve">Al secondo versante appartengono infine: la compresenza piduista nell'organo di consulenza, nella persona di Franco Ferracuti iscritto alla P2, al Livello A con divieto inferenziale; lo scioglimento dell'Ispettorato antiterrorismo di Santillo alla vigilia della crisi, al Livello A; la meccanica idraulica della scoperta di via Gradoli del 18 aprile, al Livello A, con la sua coincidenza di calendario con il falso della Duchessa; i numeri della macchina delle ricerche, oltre 72.000 posti di blocco e circa 37.000 perquisizioni con esito investigativo nullo, al Livello A; il decreto-legge emergenziale del 21 marzo 1978, al Livello A; la costruzione pubblica della tesi della coartazione e la sua falsificazione filologica sul corpus, al Livello A; e la condotta amplificatrice del sistema informativo in assenza di misure di contenimento, al Livello A.</w:t>
      </w:r>
    </w:p>
    <w:p>
      <w:pPr>
        <w:spacing w:after="120" w:line="276"/>
        <w:jc w:val="both"/>
      </w:pPr>
      <w:r>
        <w:rPr>
          <w:rFonts w:ascii="Barlow Semi Condensed" w:cs="Barlow Semi Condensed" w:eastAsia="Barlow Semi Condensed" w:hAnsi="Barlow Semi Condensed"/>
          <w:sz w:val="24"/>
          <w:szCs w:val="24"/>
        </w:rPr>
        <w:t xml:space="preserve">Il terzo versante è il piano terzo, quello delle ipotesi censite. Vi appartengono, tutte al Livello C con i fatti di base ai livelli propri: le ipotesi di concorso operativo esterno all'azione; le ipotesi di condizionamento della gestione; le 2 varianti dell'ipotesi di interferenza internazionale, reciprocamente escludentisi, con le contrarietà politiche delle 2 superpotenze al progetto moroteo certificate nelle loro manifestazioni pubbliche e ufficiali al Livello A, la dichiarazione del Dipartimento di Stato del 12 gennaio 1978 e la polemica sovietica anti-eurocomunista dal 1976, e al Livello B nelle loro componenti riservate, quali fatti di base; e le ipotesi sul ruolo attivo della criminalità organizzata nel sequestro. Vi appartiene altresì la recezione delle acquisizioni della Commissione della XVII legislatura, con i fatti documentali al Livello B e le letture dubitative al Livello C.</w:t>
      </w:r>
    </w:p>
    <w:p>
      <w:pPr>
        <w:spacing w:after="120" w:line="276"/>
        <w:jc w:val="both"/>
      </w:pPr>
      <w:r>
        <w:rPr>
          <w:rFonts w:ascii="Barlow Semi Condensed" w:cs="Barlow Semi Condensed" w:eastAsia="Barlow Semi Condensed" w:hAnsi="Barlow Semi Condensed"/>
          <w:sz w:val="24"/>
          <w:szCs w:val="24"/>
        </w:rPr>
        <w:t xml:space="preserve">Vi appartiene, quale unico fatto materiale documentato toccato dalla variante orientale, il caso Conforto: l'arresto di Morucci e Faranda il 29 maggio 1979 nella casa di Giuliana Conforto, con il sequestro della mitraglietta Skorpion dell'esecuzione, al Livello A, e la qualità di agente sovietico di lungo corso del padre Giorgio Conforto, schedato quale Dario nelle carte dell'archivio Mitrokhin recepite in sede parlamentare, al Livello B, con ogni lettura del nesso al Livello C. Vi appartiene altresì la contestualità del sequestro con le elezioni legislative francesi del 12 e 19 marzo 1978, al Livello A quanto al calendario e al Livello C quanto a ogni collegamento.</w:t>
      </w:r>
    </w:p>
    <w:p>
      <w:pPr>
        <w:spacing w:after="120" w:line="276"/>
        <w:jc w:val="both"/>
      </w:pPr>
      <w:r>
        <w:rPr>
          <w:rFonts w:ascii="Barlow Semi Condensed" w:cs="Barlow Semi Condensed" w:eastAsia="Barlow Semi Condensed" w:hAnsi="Barlow Semi Condensed"/>
          <w:sz w:val="24"/>
          <w:szCs w:val="24"/>
        </w:rPr>
        <w:t xml:space="preserve">Il quarto versante è quello dei nodi satellite. Vi appartengono: la certificazione di Livello A di Hyperion quanto all'esistenza, alla sede del Quai de la Tournelle 27, alla copertura didattica reale e alla genealogia comune con l'organizzazione esecutrice nel ceppo milanese; i contatti dei fondatori con gli snodi dell'estremismo europeo al Livello B, e le funzioni di centrale e ogni ruolo nel sequestro al Livello C, con l'assenza di condanne certificata; il reperto comparativo Aginter-Hyperion, isomorfismo di Livello A senza connessione operativa documentata; le pubblicazioni e anticipazioni di Pecorelli sul caso, al Livello A, con la derivazione da accesso riservato al Livello B; l'assoluzione definitiva di Andreotti e Badalamenti per l'omicidio Pecorelli, pronunciata dalla Cassazione il 30 ottobre 2003, riportata per esteso, con l'omicidio privo di qualsiasi condannato e l'ipotesi del movente moroteo al Livello C nella qualificazione aggravata; la duplice intersezione di Chichiarelli, comunicato del lago della Duchessa e borsello dell'aprile 1979, al Livello B; il doppio fronte di Dalla Chiesa, antiterrorismo e antimafia, al Livello A, con il mandato mafioso del suo assassinio giudicato in via irrevocabile, tra i condannati per la terza volta Giuseppe Calò; le denunce di isolamento del prefetto al Livello A e la controversia sui suoi materiali documentali al Livello B, con ogni lettura di concorsi esterni al Livello C.</w:t>
      </w:r>
    </w:p>
    <w:p>
      <w:pPr>
        <w:spacing w:after="120" w:line="276"/>
        <w:jc w:val="both"/>
      </w:pPr>
      <w:r>
        <w:rPr>
          <w:rFonts w:ascii="Barlow Semi Condensed" w:cs="Barlow Semi Condensed" w:eastAsia="Barlow Semi Condensed" w:hAnsi="Barlow Semi Condensed"/>
          <w:sz w:val="24"/>
          <w:szCs w:val="24"/>
        </w:rPr>
        <w:t xml:space="preserve">Al quarto versante appartengono altresì: il precedente MiFoBiali quale certificazione dell'accesso di Pecorelli al livello più riservato degli apparati, al Livello A; la stagione istruttoria veneziana di Mastelloni sui canali internazionali dell'organizzazione, con i proseguimenti sul capitolo Hyperion, al Livello A; il contesto ordinamentale francese della non estradizione quale causa documentata dell'inaccessibilità di Hyperion, al Livello A; i rapporti di Pecorelli con l'orbita gelliana e i relativi flussi, al Livello B; la serie degli omicidi eccellenti romani del 1979, Pecorelli, Varisco e Ambrosoli, quale finestra critica del Pattern 3, con le date al Livello A e ogni regia comune al Livello C; l'annotazione autografa di Dalla Chiesa del 5 aprile 1982 sull'incontro con Andreotti, prodotta al processo di Palermo, al Livello A; gli esecutori dell'omicidio del prefetto identificati per via confessoria negli anni Novanta, tra cui Antonino Madonia condannato in via definitiva, al Livello A; e il contesto della seconda guerra di mafia, con gli omicidi di Mattarella, Giuliano, Costa e La Torre con Di Salvo, al Livello A.</w:t>
      </w:r>
    </w:p>
    <w:p>
      <w:pPr>
        <w:spacing w:after="120" w:line="276"/>
        <w:jc w:val="both"/>
      </w:pPr>
      <w:r>
        <w:rPr>
          <w:rFonts w:ascii="Barlow Semi Condensed" w:cs="Barlow Semi Condensed" w:eastAsia="Barlow Semi Condensed" w:hAnsi="Barlow Semi Condensed"/>
          <w:sz w:val="24"/>
          <w:szCs w:val="24"/>
        </w:rPr>
        <w:t xml:space="preserve">Il quinto versante è quello dei buchi strutturali documentali, che la fase eleva a categoria censita: le 5 borse del presidente, sottratte in via Fani e mai recuperate; la prigione mai individuata durante i 55 giorni, nonostante lo spiegamento certificato; gli originali manoscritti del memoriale e le registrazioni degli interrogatori mai rinvenuti; gli archivi di Hyperion mai aperti; e le carte controverse di Dalla Chiesa. I 5 vuoti sono certificati quali assenze documentate, e la loro ricorrenza è assunta quale pattern proprio della fase.</w:t>
      </w:r>
    </w:p>
    <w:p>
      <w:pPr>
        <w:spacing w:after="120" w:line="276"/>
        <w:jc w:val="both"/>
      </w:pPr>
      <w:r>
        <w:rPr>
          <w:rFonts w:ascii="Barlow Semi Condensed" w:cs="Barlow Semi Condensed" w:eastAsia="Barlow Semi Condensed" w:hAnsi="Barlow Semi Condensed"/>
          <w:sz w:val="24"/>
          <w:szCs w:val="24"/>
        </w:rPr>
        <w:t xml:space="preserve">Chiude il repertorio il censimento unitario degli esiti personali. Gli esiti assolutori definitivi riportati per esteso nella fase sono quelli di Giulio Andreotti e Gaetano Badalamenti per l'omicidio Pecorelli, unitamente agli esiti assolutori degli altri imputati del medesimo processo; il registro richiama altresì, dai capitoli, l'assenza di ogni condanna a carico dei fondatori di Hyperion. Le condanne irrevocabili certificate nella fase sono quelle dei dirigenti, degli esecutori e dei custodi del sequestro Moro nei 5 procedimenti, tra cui Moretti, Morucci, Fiore, Bonisoli, Gallinari, Seghetti, Faranda, Balzerani, Braghetti e Maccari; e quelle dei mandanti e degli esecutori dell'assassinio di Dalla Chiesa, Setti Carraro e Russo. Le vittime nominate della fase sono, quale nucleo del caso, 9: i 5 uomini della scorta di via Fani, Oreste Leonardi, Domenico Ricci, Francesco Zizzi, Giulio Rivera e Raffaele Iozzino; Aldo Moro; Mino Pecorelli; Emanuela Setti Carraro e Domenico Russo, con Carlo Alberto Dalla Chiesa. A esse la fase aggiunge le vittime collegate nominate nei capitoli, quali termini certificati del contesto: Placido Rizzotto, Francesco Coco con Giovanni Saponara e Antioco Deiana, Carlo Casalegno, Rosario Berardi, Lorenzo Cutugno, Francesco Di Cataldo, Giuseppe Impastato, Antonio Varisco, Giorgio Ambrosoli, Roberto Peci, Roberto Ruffilli, Piersanti Mattarella, Boris Giuliano, Gaetano Costa e Pio La Torre con Rosario Di Salvo, oltre ai 4 militanti caduti nell'irruzione di via Fracchia; il registro le nomina tutte quale atto dovuto, distinguendo il nucleo del caso dalle vittime di contesto senza sottrarre a nessuna la menzione.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repertorio consolida in un inventario unitario oltre 60 tra archi, triangolazioni ed esiti certificati nella fase, distribuiti sui 5 versanti e sorretti da un apparato di oltre 130 pilastri documentali e 30 triangolazioni nodali, ordinati secondo i 3 piani della decomposizione e i versanti satellite, con 1 blocco assolutorio definitivo riportato per esteso, 2 blocchi di condanne irrevocabili, 5 buchi strutturali documentali censiti quale categoria propria, il nucleo di 9 vittime del caso e le vittime collegate nominate dei capitoli; esso costituisce d'ora innanzi il riferimento citabile per ogni richiamo interno dell'opera al sottografo del caso Moro.</w:t>
      </w:r>
    </w:p>
    <w:p>
      <w:pPr>
        <w:pStyle w:val="Heading3"/>
        <w:spacing w:after="80" w:before="160"/>
      </w:pPr>
      <w:r>
        <w:rPr>
          <w:rFonts w:ascii="Barlow Semi Condensed" w:cs="Barlow Semi Condensed" w:eastAsia="Barlow Semi Condensed" w:hAnsi="Barlow Semi Condensed"/>
          <w:sz w:val="24"/>
          <w:szCs w:val="24"/>
        </w:rPr>
        <w:t xml:space="preserve">Chiusura della Fase 4 — Lettura reticolare, il nodo di massima densità e il bilancio dell'ipotesi H1 sul suo terreno più favorevole</w:t>
      </w:r>
    </w:p>
    <w:p>
      <w:pPr>
        <w:pStyle w:val="Heading3"/>
        <w:spacing w:after="80" w:before="160"/>
      </w:pPr>
      <w:r>
        <w:rPr>
          <w:rFonts w:ascii="Barlow Semi Condensed" w:cs="Barlow Semi Condensed" w:eastAsia="Barlow Semi Condensed" w:hAnsi="Barlow Semi Condensed"/>
          <w:sz w:val="24"/>
          <w:szCs w:val="24"/>
        </w:rPr>
        <w:t xml:space="preserve">La chiusura compone i 10 nodi nella lettura reticolare e rende i bilanci della fase.</w:t>
      </w:r>
    </w:p>
    <w:p>
      <w:pPr>
        <w:spacing w:after="120" w:line="276"/>
        <w:jc w:val="both"/>
      </w:pPr>
      <w:r>
        <w:rPr>
          <w:rFonts w:ascii="Barlow Semi Condensed" w:cs="Barlow Semi Condensed" w:eastAsia="Barlow Semi Condensed" w:hAnsi="Barlow Semi Condensed"/>
          <w:sz w:val="24"/>
          <w:szCs w:val="24"/>
        </w:rPr>
        <w:t xml:space="preserve">Il primo risultato è la conferma quantitativa e qualitativa del caso Moro quale nodo di massima densità dell'intero grafo dell'opera. Sul piano quantitativo, la frequenza documentale del nodo, 3.428 occorrenze in 113 documenti, più della metà del corpus, non ha eguali; sul piano qualitativo, sul caso convergono archi certificati provenienti da tutti i domini sinora trattati: il Dominio 7 degli esecutori giudicati, il Dominio 3 e il Dominio 4 nella compresenza piduista ai vertici della gestione, il Dominio 1 nell'orbita della Magliana attraverso Chichiarelli e nei sondaggi verso la criminalità, il Dominio 8 nella vicenda di Pecorelli, il Dominio 2 quale teatro dell'intera posta politica, il Dominio 10 nella più lunga serie di procedimenti della storia repubblicana, il Dominio 9 nella struttura antiterrorismo di Dalla Chiesa, il Dominio 5 nella dimensione vaticana del soccorso tentato e fallito. Nessun altro evento dell'opera aggrega una simile trasversalità di archi certificati, e la topologia conferma ciò che il capitolo 1 ha enunciato: il caso Moro è l'evento che colpì il nodo a massima centralità del sistema, e la rete dell'opera, costruita dai dati, restituisce l'evento quale suo punto di massima densità, in una circolarità che non è un artefatto ma la misura della posta.</w:t>
      </w:r>
    </w:p>
    <w:p>
      <w:pPr>
        <w:spacing w:after="120" w:line="276"/>
        <w:jc w:val="both"/>
      </w:pPr>
      <w:r>
        <w:rPr>
          <w:rFonts w:ascii="Barlow Semi Condensed" w:cs="Barlow Semi Condensed" w:eastAsia="Barlow Semi Condensed" w:hAnsi="Barlow Semi Condensed"/>
          <w:sz w:val="24"/>
          <w:szCs w:val="24"/>
        </w:rPr>
        <w:t xml:space="preserve">Il secondo risultato è il rendimento della decomposizione in 3 piani, che la fase consegna quale strumento validato. Il piano primo è risultato saturo: il caso Moro è, insieme a Brescia e a Bologna, uno dei 3 eventi capitali dell'opera con quadro esecutivo integralmente giudicato, e la circostanza che la saturazione si sia compiuta in 15 anni e 5 procedimenti, con l'ultimo custode identificato a 15 anni dai fatti, conferma la natura processuale e non originaria della completezza. Il piano secondo è risultato il più denso dell'intera opera in fatti certificati non spiegati: la compresenza piduista, le anomalie di Gradoli e della Duchessa, la presenza di Guglielmi, i 2 ritrovamenti a 12 anni di distanza, i sondaggi verso la criminalità compongono un quadro che il registro ha certificato pezzo per pezzo, e che nessuna delle 2 vulgate contrapposte, quella del complotto integrale e quella della vicenda chiusa, rappresenta correttamente: la prima perché salda i pezzi in un disegno che nessuna prova unifica, la seconda perché rimuove pezzi che nessuna spiegazione innocente ha integralmente assorbito. Il piano terzo è rimasto integralmente ipotetico, e il sigillo del divieto inferenziale, tenuto per 10 capitoli su un materiale che lo ha sollecitato a ogni pagina, è la prova di tenuta del metodo che la fase consegna alle 2 conclusive.</w:t>
      </w:r>
    </w:p>
    <w:p>
      <w:pPr>
        <w:spacing w:after="120" w:line="276"/>
        <w:jc w:val="both"/>
      </w:pPr>
      <w:r>
        <w:rPr>
          <w:rFonts w:ascii="Barlow Semi Condensed" w:cs="Barlow Semi Condensed" w:eastAsia="Barlow Semi Condensed" w:hAnsi="Barlow Semi Condensed"/>
          <w:sz w:val="24"/>
          <w:szCs w:val="24"/>
        </w:rPr>
        <w:t xml:space="preserve">La comparazione tra i 3 eventi a piano primo saturo che l'opera ha censito, Brescia, Bologna e il caso Moro, merita un capoverso proprio, perché i 3 percorsi di saturazione differiscono in modo istruttivo: a Brescia la saturazione giunse dall'esterno, per l'apporto congiunto delle veline desecretate e delle fonti dichiarative maturate, contro la negazione perpetua dei condannati; a Bologna giunse per via peritale e dibattimentale, contro la negazione parimenti perpetua degli esecutori giudicati; nel caso Moro giunse dall'interno, per via confessoria e memorialistica, con gli autori che rivendicano il fatto e ne difendono l'autonomia. Il registro certifica al Livello A questa tripartizione dei percorsi, quale dato comparativo della storia degli accertamenti, e ne trae l'annotazione: la qualità del sapere giudiziario sui 3 eventi non è omogenea, perché il sapere fondato sulla confessione degli autori conosce ciò che gli autori scelgono di consegnare, e il caso Moro, il più saturo dei 3 sul piano formale, è anche quello in cui la fonte del sapere coincide con la parte che ha il massimo interesse a delimitarlo; la circostanza non degrada i giudicati, che restano certificati, ma qualifica la natura del loro fondamento, e spiega perché, unico tra i 3, il caso Moro conservi un piano terzo così popolato di domande.</w:t>
      </w:r>
    </w:p>
    <w:p>
      <w:pPr>
        <w:spacing w:after="120" w:line="276"/>
        <w:jc w:val="both"/>
      </w:pPr>
      <w:r>
        <w:rPr>
          <w:rFonts w:ascii="Barlow Semi Condensed" w:cs="Barlow Semi Condensed" w:eastAsia="Barlow Semi Condensed" w:hAnsi="Barlow Semi Condensed"/>
          <w:sz w:val="24"/>
          <w:szCs w:val="24"/>
        </w:rPr>
        <w:t xml:space="preserve">Il terzo risultato è il pattern dei vuoti documentali, che la fase eleva a reperto proprio. I 5 buchi censiti nel repertorio, le borse di via Fani, la prigione, gli originali, gli archivi parigini, le carte del generale, condividono una struttura: in ciascun caso, l'assenza non è generica ma puntuale, riguarda esattamente il materiale che avrebbe il massimo potere discriminante tra le ipotesi, e si accompagna a una spiegazione ordinaria possibile ma non verificabile. Il registro, che ha codificato nella Fase 3 la tassonomia delle 7 specie dell'ostruzione attiva, registra qui la figura complementare, l'assenza selettiva, che non è certificabile quale condotta, giacché l'intenzionalità di un vuoto è per definizione l'ultima cosa che un vuoto documenta, ma che è certificabile quale distribuzione: e la distribuzione delle assenze del caso Moro, concentrate sui punti di massimo potere discriminante, è un dato statistico-strutturale che il registro consegna, quale reperto di Livello B sulla configurazione complessiva e non su alcuna condotta individuale, alla riflessione conclusiva dell'opera.</w:t>
      </w:r>
    </w:p>
    <w:p>
      <w:pPr>
        <w:spacing w:after="120" w:line="276"/>
        <w:jc w:val="both"/>
      </w:pPr>
      <w:r>
        <w:rPr>
          <w:rFonts w:ascii="Barlow Semi Condensed" w:cs="Barlow Semi Condensed" w:eastAsia="Barlow Semi Condensed" w:hAnsi="Barlow Semi Condensed"/>
          <w:sz w:val="24"/>
          <w:szCs w:val="24"/>
        </w:rPr>
        <w:t xml:space="preserve">Il registro aggiunge al reperto la comparazione con la tassonomia della Fase 3. La stagione stragista aveva consegnato 7 specie di ostruzione attiva, tutte giudizialmente accertate, dal reperto distrutto alla pista fabbricata sino al depistaggio organizzato; il caso Moro, per contrasto, presenta una sola condotta ostruttiva attiva certificata con attribuzione, il falso comunicato della Duchessa, e per il resto esibisce la figura passiva delle assenze: nessuna perizia falsificata giudicata, nessun deposito occultato accertato, ma borse che non si trovano, originali che non emergono, archivi che non si aprono. La comparazione certifica una differenza di regime tra i 2 teatri: dove la Fase 3 ha documentato l'inquinamento per commissione, la Fase 4 documenta la menomazione per sottrazione, e la seconda è, per costruzione, la forma meno perseguibile e meno certificabile dell'ostacolo, giacché la commissione lascia autori e la sottrazione lascia vuoti; il registro consegna questa asimmetria alla riflessione conclusiva dell'opera quale possibile evoluzione della tecnica, annotandola quale ipotesi comparativa di Livello C e non quale accertamento.</w:t>
      </w:r>
    </w:p>
    <w:p>
      <w:pPr>
        <w:spacing w:after="120" w:line="276"/>
        <w:jc w:val="both"/>
      </w:pPr>
      <w:r>
        <w:rPr>
          <w:rFonts w:ascii="Barlow Semi Condensed" w:cs="Barlow Semi Condensed" w:eastAsia="Barlow Semi Condensed" w:hAnsi="Barlow Semi Condensed"/>
          <w:sz w:val="24"/>
          <w:szCs w:val="24"/>
        </w:rPr>
        <w:t xml:space="preserve">A margine del terzo risultato, la fase consegna 2 fili nodali che la lettura reticolare conclusiva dovrà raccogliere, ciascuno emblematico di una disciplina del metodo. Il primo è il filo di Gaetano Badalamenti, il nodo che la fase ha registrato con i 2 esiti opposti che lo attraversano: mandante condannato all'ergastolo per l'omicidio di Giuseppe Impastato, nella sentenza dell'aprile 2002, e imputato assolto in via definitiva per l'omicidio di Mino Pecorelli, nell'annullamento senza rinvio della Cassazione del 30 ottobre 2003; la compresenza sul medesimo individuo di una condanna irrevocabile e di un'assoluzione irrevocabile per 2 omicidi della stessa stagione è il caso che meglio illustra la disciplina degli esiti dell'opera, la quale segue il giudicato in entrambe le direzioni senza costruire coerenze che il giudicato non autorizza, e il registro lo consegna quale promemoria terminale della regola, il nodo che porta insieme il massimo della responsabilità accertata e il massimo dell'accusa respinta. Il secondo è il filo di Giorgio Conforto: la fase ha certificato al Livello A che la mitraglietta Skorpion dell'esecuzione di via Caetani fu sequestrata nella casa di Giuliana Conforto all'atto dell'arresto di Morucci e Faranda il 29 maggio 1979, e al Livello B che il padre di lei era agente sovietico di lungo corso schedato quale Dario nelle carte dell'archivio Mitrokhin; questo è, per dichiarazione del registro, l'unico punto dell'intera fase in cui la variante orientale del piano terzo tocca un fatto materiale documentato, e la disciplina vi ha operato nella sua forma più pura, certificando il fatto con precisione e rifiutando il passo che nessun documento sostiene, giacché la custodia dell'arma sotto il tetto della figlia di un agente schedato è un fatto e non una prova di regia, e la distanza tra le 2 cose è l'intera posta del metodo; il registro consegna il filo alla Fase 5 quale banco di prova terminale della Regola Ferrea sul più suggestivo dei materiali.</w:t>
      </w:r>
    </w:p>
    <w:p>
      <w:pPr>
        <w:spacing w:after="120" w:line="276"/>
        <w:jc w:val="both"/>
      </w:pPr>
      <w:r>
        <w:rPr>
          <w:rFonts w:ascii="Barlow Semi Condensed" w:cs="Barlow Semi Condensed" w:eastAsia="Barlow Semi Condensed" w:hAnsi="Barlow Semi Condensed"/>
          <w:sz w:val="24"/>
          <w:szCs w:val="24"/>
        </w:rPr>
        <w:t xml:space="preserve">Il quarto risultato è il bilancio dell'ipotesi H1, condotto sul terreno che la vulgata considera il più favorevole all'ipotesi, e che il registro dichiara nel suo esito più articolato. La fase ha certificato i fatti di base che la lettura convergentista invoca, distinguendone i livelli con la precisione che i documenti impongono: la contrarietà americana e la contrarietà sovietica al progetto moroteo, nelle loro manifestazioni pubbliche e ufficiali, sono certificate al Livello A, la prima dalla dichiarazione del Dipartimento di Stato del 12 gennaio 1978 sull'indesiderabilità della partecipazione comunista ai governi occidentali, la seconda dalla polemica condotta dagli organi del partito sovietico contro l'eurocomunismo dal 1976; le loro componenti riservate, gli avvertimenti personali ricevuti da Moro documentati dalla deposizione della vedova e dalle testimonianze dei collaboratori, e ogni loro traduzione operativa, restano al Livello B; e la circostanza oggettiva che l'eliminazione di Moro produsse l'esito che entrambe le contrarietà auspicavano, la fine del progetto, è essa stessa un fatto. Il registro formalizza il punto con la tassonomia della propria Nota metodologica: quanto è certificato configura, al più, un arco di convergenza del quarto tipo, la convergenza oggettiva di effetti prodotta da attori privi di relazione documentata, ciascuno mosso da ragioni proprie e speculari, la potenza occidentale dal timore del comunismo al governo di un Paese dell'Alleanza, quella orientale dal timore di un comunismo occidentale legittimato e autonomo; e la Nota avverte che l'arco di convergenza è precisamente il tipo in cui la convergenza può essere tanto intenzionale quanto emergente, e che la discriminazione tra le 2 nature esige prove di coordinamento. Tali prove, all'esito della fase, non esistono: nessun documento, nessun giudicato, nessuna acquisizione parlamentare attesta un coordinamento tra i 2 campi sul caso Moro, e le 2 varianti dell'ipotesi di interferenza si escludono reciprocamente nella stessa letteratura che le propone. Il bilancio è dunque il seguente: sul suo terreno più favorevole, H1 raggiunge il massimo che abbia raggiunto nell'intera opera, la certificazione al Livello A delle contrarietà pubbliche e al Livello B della loro qualificazione congiunta quale convergenza oggettiva di interessi contrari al progetto moroteo; e vi si arresta, giacché la forma forte dell'ipotesi, la convergenza operativa, resta al Livello C senza alcun elemento, e la forma debole certificata è pienamente compatibile con il falsificatore milwardiano, per il quale le potenze perseguono i propri interessi ordinari senza necessità di cabine comuni. Il registro consegna alla Fase 5 questa formalizzazione quale stato terminale dell'ipotesi prima della verifica conclusiva.</w:t>
      </w:r>
    </w:p>
    <w:p>
      <w:pPr>
        <w:spacing w:after="120" w:line="276"/>
        <w:jc w:val="both"/>
      </w:pPr>
      <w:r>
        <w:rPr>
          <w:rFonts w:ascii="Barlow Semi Condensed" w:cs="Barlow Semi Condensed" w:eastAsia="Barlow Semi Condensed" w:hAnsi="Barlow Semi Condensed"/>
          <w:sz w:val="24"/>
          <w:szCs w:val="24"/>
        </w:rPr>
        <w:t xml:space="preserve">Il quinto risultato è la mappa delle centralità aggiornata e il filo di Calò. La saldatura della fase al grafo cumulato produce 2 conferme e 1 emersione. Le conferme: la P2 mantiene la massima intermediazione complessiva, presente nel caso Moro attraverso la compresenza certificata ai vertici della gestione e ora, per la fase, anche nell'organo di consulenza, con Franco Ferracuti che aggiunge all'orbita piduista dei comitati la sua estensione all'apparato tecnico della crisi, quarta presenza nei 4 teatri maggiori dell'opera; e il Dominio 3 conferma la propria natura di connettivo universale, presente in ogni evento capitale attraverso fonti, presenze o gestioni. All'aggiornamento delle centralità la fase aggiunge inoltre le 2 misure individuali che il caso Moro impone al grafo: la centralità di Mario Moretti nel piano primo, l'uomo per cui passano, per giudicato, tutti gli archi dell'esecuzione, l'organizzatore di via Fani, l'unico interrogante della prigione, l'esecutore materiale, il portavoce dell'ultima telefonata, una concentrazione di funzioni su un solo nodo che non ha eguali nel piano primo di alcun evento dell'opera e che il registro certifica quale massimo di centralità esecutiva individuale del corpus; e la posizione di Francesco Cossiga, ministro dell'interno titolare della gestione e delle sue 343 anomalie censite, dimessosi il 9 maggio, il cui nodo congiunge la responsabilità politica della crisi alla stagione successiva delle istituzioni repubblicane, e che il registro annota quale nodo di raccordo tra il piano secondo del caso e la storia istituzionale che la Fase 5 dovrà chiudere. L'emersione è il filo di Giuseppe Calò: il nodo della Fase 1 compare ora, per giudicato irrevocabile, quale mandante dell'omicidio Mattarella, quale mandante dell'assassinio di Dalla Chiesa e quale condannato per la strage del rapido 904, e la sua posizione giudiziaria cumulata, unita alla sua qualità di cassiere e alla sua orbita romana certificata nella Fase 1, ne fa il singolo individuo con il maggior numero di giudicati capitali dell'intera opera: il registro lo eleva a nodo di verifica per la Fase 5, nella quale la lettura reticolare conclusiva dovrà misurarne la centralità effettiva nel grafo completo.</w:t>
      </w:r>
    </w:p>
    <w:p>
      <w:pPr>
        <w:spacing w:after="120" w:line="276"/>
        <w:jc w:val="both"/>
      </w:pPr>
      <w:r>
        <w:rPr>
          <w:rFonts w:ascii="Barlow Semi Condensed" w:cs="Barlow Semi Condensed" w:eastAsia="Barlow Semi Condensed" w:hAnsi="Barlow Semi Condensed"/>
          <w:sz w:val="24"/>
          <w:szCs w:val="24"/>
        </w:rPr>
        <w:t xml:space="preserve">Il sesto risultato è il bilancio dei pattern analitici applicati alla fase, che il registro dichiara quale rendiconto onesto dei propri strumenti. La fase ha attivato con resa piena 5 dei pattern dell'apparato: il Pattern 1, l'analisi dei nodi centrali, con le centralità di Moro nel grafo e di Moretti nel piano primo; il Pattern 3, l'analisi delle coincidenze temporali, che ha prodotto la messe maggiore, la finestra critica del 18 aprile con la doppia compresenza di Gradoli e della Duchessa, la finestra critica della stagione romana degli omicidi eccellenti del 1979, la contestualità con le elezioni francesi e la sincronia dello scioglimento dell'apparato antiterrorismo di Santillo; il Pattern 6, l'analisi delle ipotesi concorrenti, che ha governato l'intera architettura a 3 piani e la formalizzazione dell'evidenza non diagnostica; il Pattern 10, l'analisi della convergenza geografica, con la topografia di via Caetani e la geografia speculare delle capitali-rifugio dei latitanti; il Pattern 11, l'isomorfismo strutturale, con il reperto Aginter-Hyperion quale convergenza indipendente sulla grammatica della clandestinità. A questi si aggiunge la resa parziale del Pattern 7, l'analisi della migrazione inter-dominio, che nel percorso di Carlo Alberto Dalla Chiesa attraverso i teatri di Corleone, dell'antimafia dei rapporti, dell'antiterrorismo e della prefettura di Palermo ha trovato il suo caso più compiuto della fase, e del Pattern 9, l'analisi delle dinastie, che sul caso Moro ha prodotto il reperto in negativo dell'assenza di trasmissione generazionale, censita quale dato. Il registro dichiara che i Pattern 2, 4, 5 e 8, la rilevazione di comunità, l'analisi dei flussi, i buchi strutturali quali constraint e lo sfruttamento delle crisi, non hanno prodotto sulla fase reperti autonomi eccedenti quanto registrato, e attribuisce la parziale attivazione alla natura dell'oggetto, un evento singolo per quanto denso, che non sollecita l'intero apparato di una metodologia costruita per il grafo complessivo; la Fase 5, operando sul grafo intero e sull'intero arco cronologico, ne attiverà le misure residue, e il registro consegna questo bilancio quale sigillo metodologico della fase, la dichiarazione esplicita di ciò che gli strumenti hanno reso e di ciò che, per la natura del materiale, resta alla verifica conclusiva.</w:t>
      </w:r>
    </w:p>
    <w:p>
      <w:pPr>
        <w:spacing w:after="120" w:line="276"/>
        <w:jc w:val="both"/>
      </w:pPr>
      <w:r>
        <w:rPr>
          <w:rFonts w:ascii="Barlow Semi Condensed" w:cs="Barlow Semi Condensed" w:eastAsia="Barlow Semi Condensed" w:hAnsi="Barlow Semi Condensed"/>
          <w:sz w:val="24"/>
          <w:szCs w:val="24"/>
        </w:rPr>
        <w:t xml:space="preserve">La fase consegna infine i propri fili alla Fase 5, l'ultima: il teatro internazionale, con Hyperion quale archivio mai aperto e con gli archivi francesi della non estradizione quale primo obiettivo documentale, da affiancare ai teatri iberico, latinoamericano e sudafricano già consegnati dalle fasi precedenti, e con l'arco latinoamericano riaperto dalla latitanza nicaraguense di Alessio Casimirri, uno dei 2 uomini di via Fani mai raggiunti dall'esecuzione penale, che salda il caso al continente delle diaspore della fase conclusiva; la formalizzazione terminale di H1 nella distinzione tra convergenza oggettiva certificata, ora al Livello A nelle sue manifestazioni pubbliche, e convergenza operativa non documentata, da sottoporre alla verifica conclusiva insieme all'ipotesi concorrente; il filo di Calò e il calcolo finale delle centralità sul grafo completo, con le posizioni individuali di Moretti e Cossiga da collocare nel grafo cumulato; il filo balistico che congiunge i proiettili Gevelot dell'omicidio Pecorelli all'arsenale della banda della Magliana, quale traccia materiale del raccordo tra il Dominio 8 e il Dominio 1 romano da verificare sul grafo intero; il pattern delle assenze selettive, da comparare con le serie internazionali che la fase conclusiva censirà; e la ricognizione sistematica del versato archivistico del 2014 quale secondo obiettivo documentale, accanto agli archivi francesi. Con la Fase 4 si chiude il perimetro nazionale dell'opera: i 4 cerchi, il quadrilatero, gli apparati, lo stragismo e il caso Moro, sono censiti, e resta il quinto, il mondo.</w:t>
      </w:r>
    </w:p>
    <w:p>
      <w:pPr>
        <w:spacing w:after="120" w:line="276"/>
        <w:jc w:val="both"/>
      </w:pPr>
      <w:r>
        <w:rPr>
          <w:rFonts w:ascii="Barlow Semi Condensed" w:cs="Barlow Semi Condensed" w:eastAsia="Barlow Semi Condensed" w:hAnsi="Barlow Semi Condensed"/>
          <w:sz w:val="24"/>
          <w:szCs w:val="24"/>
        </w:rPr>
        <w:t xml:space="preserve">Il congedo della fase è una dichiarazione di stato. L'edizione integrale consegna il caso Moro e i suoi satelliti nella forma più estesa che lo stato certificato degli atti consenta alla data della redazione: 10 nodi, oltre 140 pilastri documentali, 30 triangolazioni, 5 versanti di repertorio, 6 risultati reticolari, con le 3 soglie archivistiche del 1978, del 1990 e del 2014 dichiarate quali condizioni storiche della conoscenza e con le 2 frontiere ancora chiuse, gli archivi francesi e il perimetro non versato, indicate quali obiettivi. Nulla di ciò che il registro ha certificato è definitivo nel senso che la parola ha fuori dal metodo: ogni livello porta la data del proprio fondamento, ogni vuoto attende il documento che lo colmi, ogni ipotesi attende la prova che la promuova o la falsifichi, e la fase si chiude non con una verità ma con un inventario, che è la sola forma di verità che il campo studiato conceda a chi rifiuti tanto il romanzo quanto la rimozione. Il registro consegna dunque il perimetro nazionale compiuto, le 4 fasi che vanno dai cerchi criminali del dopoguerra al 9 maggio 1978 e al 3 settembre 1982, quale fondamento documentale della fase conclusiva, nella quale il grafo intero, saldato ai teatri internazionali, sarà sottoposto alla lettura reticolare finale e alla verifica delle macro-ipotesi, con gli strumenti, i livelli e le regole che le 4 fasi hanno collaudato e che l'ultima erediterà senza mutarne una sola riga.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Fase 4 certifica il caso Moro quale nodo di massima densità del grafo, con il piano primo saturo di 5 giudicati, il piano secondo denso di fatti certificati non spiegati e il piano terzo integralmente ipotetico sotto sigillo inferenziale; eleva a reperto la distribuzione selettiva dei 5 vuoti documentali, al Livello B quale configurazione; porta l'ipotesi H1 al suo massimo storico, la certificazione al Livello A delle contrarietà pubbliche delle 2 superpotenze al progetto moroteo e al Livello B della loro convergenza oggettiva, negandole ogni elemento di convergenza operativa e mantenendola compatibile con il falsificatore concorrente; registra i fili di Badalamenti e di Conforto quali banchi di prova terminali della disciplina degli esiti e della Regola Ferrea; rende conto dei 6 pattern attivati con resa piena o parziale e dei 4 rinviati al grafo completo; ed emette il filo di Calò, l'individuo con più giudicati capitali dell'opera, verso la fase conclusiva, alla quale consegna il teatro internazionale, gli archivi francesi e del 2014, l'arco latinoamericano di Casimirri e la sintesi finale.</w:t>
      </w:r>
    </w:p>
    <w:p>
      <w:pPr>
        <w:pStyle w:val="Heading2"/>
        <w:spacing w:after="100" w:before="200"/>
      </w:pPr>
      <w:r>
        <w:rPr>
          <w:rFonts w:ascii="Barlow Semi Condensed" w:cs="Barlow Semi Condensed" w:eastAsia="Barlow Semi Condensed" w:hAnsi="Barlow Semi Condensed"/>
          <w:sz w:val="24"/>
          <w:szCs w:val="24"/>
        </w:rPr>
        <w:t xml:space="preserve">FASE V</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teatro internazionale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Il quinto cerchio: il mondo, la verifica delle macro-ipotesi e la lettura reticolare conclusiva</w:t>
      </w:r>
    </w:p>
    <w:p>
      <w:pPr>
        <w:pStyle w:val="Heading3"/>
        <w:spacing w:after="80" w:before="160"/>
      </w:pPr>
      <w:r>
        <w:rPr>
          <w:rFonts w:ascii="Barlow Semi Condensed" w:cs="Barlow Semi Condensed" w:eastAsia="Barlow Semi Condensed" w:hAnsi="Barlow Semi Condensed"/>
          <w:sz w:val="24"/>
          <w:szCs w:val="24"/>
        </w:rPr>
        <w:t xml:space="preserve">Avvertenza di fase, statuto della conclusione e disciplina delle fonti internazionali</w:t>
      </w:r>
    </w:p>
    <w:p>
      <w:pPr>
        <w:spacing w:after="120" w:line="276"/>
        <w:jc w:val="both"/>
      </w:pPr>
      <w:r>
        <w:rPr>
          <w:rFonts w:ascii="Barlow Semi Condensed" w:cs="Barlow Semi Condensed" w:eastAsia="Barlow Semi Condensed" w:hAnsi="Barlow Semi Condensed"/>
          <w:sz w:val="24"/>
          <w:szCs w:val="24"/>
        </w:rPr>
        <w:t xml:space="preserve">La Fase 5 è la fase conclusiva dell'opera e il suo statuto è duplice: essa è, in primo luogo, il censimento dei nodi internazionali che le 4 fasi nazionali hanno consegnato quali fili aperti, il teatro iberico di Aginter Press, le diaspore latinoamericane, l'hub sudafricano, la Francia di Hyperion, il Mediterraneo del lodo, l'Est degli archivi trasferiti, l'Atlantico dei canali documentati e il sistema continentale delle reti stay-behind; ed è, in secondo luogo, la sede della verifica finale, nella quale le macro-ipotesi dell'opera sono sottoposte al giudizio del grafo completo, secondo il metodo delle ipotesi concorrenti che le fasi hanno collaudato. La fase eredita integralmente l'apparato delle precedenti, i 3 livelli di certificazione, la Regola Ferrea che vieta il passaggio inferenziale dal fatto documentato alla condotta non dimostrata, la disciplina degli esiti che riporta per esteso condanne e assoluzioni, la nominazione delle vittime quale atto dovuto, e non ne muta una sola regola.</w:t>
      </w:r>
    </w:p>
    <w:p>
      <w:pPr>
        <w:spacing w:after="120" w:line="276"/>
        <w:jc w:val="both"/>
      </w:pPr>
      <w:r>
        <w:rPr>
          <w:rFonts w:ascii="Barlow Semi Condensed" w:cs="Barlow Semi Condensed" w:eastAsia="Barlow Semi Condensed" w:hAnsi="Barlow Semi Condensed"/>
          <w:sz w:val="24"/>
          <w:szCs w:val="24"/>
        </w:rPr>
        <w:t xml:space="preserve">Una disciplina propria governa le fonti internazionali. Il campo della fase è attraversato da un'asimmetria archivistica strutturale che il registro dichiara quale condizione e non quale accidente: gli ordinamenti hanno aperto i propri archivi riservati in tempi, misure e forme radicalmente diverse, sicché la conoscibilità dei fatti non è uniforme nello spazio, e la densità documentale di un teatro misura anzitutto la storia delle sue aperture, non l'intensità della sua storia. Il registro assume perciò 2 cautele permanenti: ogni certificazione porta con sé l'indicazione implicita del regime archivistico che l'ha resa possibile, e ogni comparazione tra teatri incorpora la correzione per l'asimmetria, rifiutando di leggere il silenzio di un archivio chiuso quale assenza del fatto e la loquacità di un archivio aperto quale eccezionalità del teatro. La fase eleva questa cautela, nel capitolo dedicato, a oggetto di studio autonomo, censendo la regolarità empirica delle aperture quale reperto dell'opera.</w:t>
      </w:r>
    </w:p>
    <w:p>
      <w:pPr>
        <w:spacing w:after="120" w:line="276"/>
        <w:jc w:val="both"/>
      </w:pPr>
      <w:r>
        <w:rPr>
          <w:rFonts w:ascii="Barlow Semi Condensed" w:cs="Barlow Semi Condensed" w:eastAsia="Barlow Semi Condensed" w:hAnsi="Barlow Semi Condensed"/>
          <w:sz w:val="24"/>
          <w:szCs w:val="24"/>
        </w:rPr>
        <w:t xml:space="preserve">Una seconda disciplina governa la categoria dello Stato Zero, che la fase impiega quale strumento ordinario. Lo Stato Zero designa la connessione sistematicamente cercata e non trovata, la verifica compiuta con esito negativo integrale, e il registro lo tratta quale risultato di prima classe, dotato della medesima dignità analitica del risultato positivo: in un campo saturo di suggestioni, la certificazione documentata di un'assenza è spesso più preziosa della certificazione di una presenza, perché delimita lo spazio delle ipotesi con la forza che soltanto la ricerca condotta e fallita possiede. Ogni Stato Zero della fase è accompagnato dalla dichiarazione del perimetro della ricerca che lo fonda, giacché un'assenza vale quanto vale la ricerca che non l'ha colmata.</w:t>
      </w:r>
    </w:p>
    <w:p>
      <w:pPr>
        <w:spacing w:after="120" w:line="276"/>
        <w:jc w:val="both"/>
      </w:pPr>
      <w:r>
        <w:rPr>
          <w:rFonts w:ascii="Barlow Semi Condensed" w:cs="Barlow Semi Condensed" w:eastAsia="Barlow Semi Condensed" w:hAnsi="Barlow Semi Condensed"/>
          <w:sz w:val="24"/>
          <w:szCs w:val="24"/>
        </w:rPr>
        <w:t xml:space="preserve">La disciplina delle persone viventi, già dichiarata nella fase precedente, opera qui nella forma più rigorosa, giacché la fase censisce anche verifiche condotte su figure contemporanee estranee per esito documentato alle reti studiate: per costoro il registro riporta esclusivamente i dati biografici pubblici certificati e l'esito negativo delle verifiche, dichiara lo Stato Zero, e vieta a se stesso e al lettore ogni inferenza associativa, la menzione in un registro di verifica non costituendo, per statuto dichiarato, associazione ad alcunché.</w:t>
      </w:r>
    </w:p>
    <w:p>
      <w:pPr>
        <w:spacing w:after="120" w:line="276"/>
        <w:jc w:val="both"/>
      </w:pPr>
      <w:r>
        <w:rPr>
          <w:rFonts w:ascii="Barlow Semi Condensed" w:cs="Barlow Semi Condensed" w:eastAsia="Barlow Semi Condensed" w:hAnsi="Barlow Semi Condensed"/>
          <w:sz w:val="24"/>
          <w:szCs w:val="24"/>
        </w:rPr>
        <w:t xml:space="preserve">Un paragrafo dichiara infine il rapporto della fase con le 4 precedenti e le consegne recepite. La fase eredita e adempie i fili che le chiusure delle fasi nazionali le hanno consegnato: dalla Fase 4, gli archivi francesi quale primo obiettivo, il perimetro del versato del 2014, l'arco latinoamericano delle latitanze, il filo del massimo condannato capitale e il calcolo delle centralità terminali; dalla Fase 3, il livello internazionale della stagione stragista e la tassonomia dell'ostruzione da verificare sui teatri esteri; dalla Fase 2, la proiezione transnazionale della loggia e del sistema finanziario parallelo; dalla Fase 1, le proiezioni estere dei sistemi criminali. Ogni consegna è trattata nel capitolo competente e nessuna è dichiarata adempiuta oltre la misura documentale: la fase distingue permanentemente tra i fili chiusi, quelli che i materiali internazionali consentono di certificare, i fili trasformati in obiettivi, quelli che dipendono da aperture archivistiche future, e i fili consegnati aperti alla ricerca, con l'inventario finale che la chiusura ordina.</w:t>
      </w:r>
    </w:p>
    <w:p>
      <w:pPr>
        <w:spacing w:after="120" w:line="276"/>
        <w:jc w:val="both"/>
      </w:pPr>
      <w:r>
        <w:rPr>
          <w:rFonts w:ascii="Barlow Semi Condensed" w:cs="Barlow Semi Condensed" w:eastAsia="Barlow Semi Condensed" w:hAnsi="Barlow Semi Condensed"/>
          <w:sz w:val="24"/>
          <w:szCs w:val="24"/>
        </w:rPr>
        <w:t xml:space="preserve">Una nota d'uso chiude l'avvertenza. Il registro della fase, come quelli delle fasi precedenti, è costruito per la citazione: ogni pilastro è autonomo, porta il proprio livello e il proprio fondamento, e può essere impugnato singolarmente senza che l'impugnazione travolga l'edificio, giacché l'edificio non esiste, esistendo soltanto l'inventario; il lettore che voglia contestare una certificazione trova dichiarato, per ciascuna, che cosa la fonda e che cosa la falsificherebbe, e il lettore che voglia impiegarla trova il perimetro esatto entro cui essa vale; la fase chiede di essere letta così, quale strumento e non quale narrazione, e considera riuscito il proprio compito non quando persuade ma quando resiste, riga per riga, al tentativo di smentita condotto con documenti alla mano, l'unico giudizio che l'opera riconosca sopra di sé.</w:t>
      </w:r>
    </w:p>
    <w:p>
      <w:pPr>
        <w:spacing w:after="120" w:line="276"/>
        <w:jc w:val="both"/>
      </w:pPr>
      <w:r>
        <w:rPr>
          <w:rFonts w:ascii="Barlow Semi Condensed" w:cs="Barlow Semi Condensed" w:eastAsia="Barlow Semi Condensed" w:hAnsi="Barlow Semi Condensed"/>
          <w:sz w:val="24"/>
          <w:szCs w:val="24"/>
        </w:rPr>
        <w:t xml:space="preserve">L'ordine espositivo muove dal ceppo iberico e dalle sue proiezioni, attraversa le diaspore americane e l'hub australe, risale ai 2 santuari europei, la Francia del rifugio e il Mediterraneo dell'autonomia, censisce i 2 campi della guerra fredda nei loro canali documentati verso l'Italia, ricostruisce il sistema continentale delle reti coperte, eleva a oggetto l'empirica degli archivi e si chiude con la verifica delle macro-ipotesi e la lettura reticolare conclusiva dell'intera opera. Ogni capitolo è un nodo, ogni nodo è retto da pilastri documentali, triangolato secondo il metodo e chiuso dalla sintesi del dato acquisito. La fase, e con essa l'opera, si chiude non con una tesi ma con un inventario verificato, nella convinzione metodologica che le 4 fasi hanno dimostrato: nel campo studiato, l'inventario è la sola forma di conoscenza che sopravviva alla verifica.</w:t>
      </w:r>
    </w:p>
    <w:p>
      <w:pPr>
        <w:pStyle w:val="Heading3"/>
        <w:spacing w:after="80" w:before="160"/>
      </w:pPr>
      <w:r>
        <w:rPr>
          <w:rFonts w:ascii="Barlow Semi Condensed" w:cs="Barlow Semi Condensed" w:eastAsia="Barlow Semi Condensed" w:hAnsi="Barlow Semi Condensed"/>
          <w:sz w:val="24"/>
          <w:szCs w:val="24"/>
        </w:rPr>
        <w:t xml:space="preserve">Capitolo 1 — Aginter Press: il ceppo iberico e l'archivio catturato</w:t>
      </w:r>
    </w:p>
    <w:p>
      <w:pPr>
        <w:spacing w:after="120" w:line="276"/>
        <w:jc w:val="both"/>
      </w:pPr>
      <w:r>
        <w:rPr>
          <w:rFonts w:ascii="Barlow Semi Condensed" w:cs="Barlow Semi Condensed" w:eastAsia="Barlow Semi Condensed" w:hAnsi="Barlow Semi Condensed"/>
          <w:sz w:val="24"/>
          <w:szCs w:val="24"/>
        </w:rPr>
        <w:t xml:space="preserve">Il primo nodo della fase è la centrale di Lisbona, il punto di origine del teatro internazionale nero che le fasi nazionali hanno ripetutamente incontrato. Aginter Press operò nella capitale portoghese dal 1966 al 1974 sotto la direzione di Yves Guérin-Sérac, l'ufficiale francese proveniente dalle guerre coloniali e dall'esperienza dell'organizzazione armata segreta, presentandosi quale agenzia di stampa dotata di attività reale, corrispondenze effettivamente prodotte, una sede operante e collaboratori retribuiti, la copertura reale la cui superiorità tecnica la fase precedente ha formalizzato quale grammatica comune della clandestinità europea; sotto la copertura, la struttura operò, per la documentazione che il pilastro terzo censisce, quale centro di formazione, collegamento e proiezione dell'estremismo controrivoluzionario internazionale, con corsi di addestramento, una rete di corrispondenti che coincideva con una rete di militanti e una dottrina scritta della guerra non ortodossa. Il registro certifica al Livello A l'esistenza, la sede, la direzione, il periodo di attività e la doppiezza funzionale della struttura, quali dati documentali consolidati.</w:t>
      </w:r>
    </w:p>
    <w:p>
      <w:pPr>
        <w:spacing w:after="120" w:line="276"/>
        <w:jc w:val="both"/>
      </w:pPr>
      <w:r>
        <w:rPr>
          <w:rFonts w:ascii="Barlow Semi Condensed" w:cs="Barlow Semi Condensed" w:eastAsia="Barlow Semi Condensed" w:hAnsi="Barlow Semi Condensed"/>
          <w:sz w:val="24"/>
          <w:szCs w:val="24"/>
        </w:rPr>
        <w:t xml:space="preserve">Il primo pilastro fissa la genesi e gli uomini. Guérin-Sérac giunse a Lisbona nel quadro della protezione che il regime portoghese accordava ai reduci dell'estremismo francese, e costruì la struttura con un nucleo di veterani della stessa provenienza e con l'innesto progressivo di militanti di più nazionalità, tra i quali la documentazione colloca i contatti italiani che la Fase 3 ha censito nell'orbita di Ordine Nuovo e di Avanguardia Nazionale; il registro certifica al Livello A la composizione del nucleo e la sua matrice, quali dati documentali, e certifica al Livello B i singoli transiti italiani presso la centrale, quali risultanze istruttorie convergenti non tutte consacrate da giudicato.</w:t>
      </w:r>
    </w:p>
    <w:p>
      <w:pPr>
        <w:spacing w:after="120" w:line="276"/>
        <w:jc w:val="both"/>
      </w:pPr>
      <w:r>
        <w:rPr>
          <w:rFonts w:ascii="Barlow Semi Condensed" w:cs="Barlow Semi Condensed" w:eastAsia="Barlow Semi Condensed" w:hAnsi="Barlow Semi Condensed"/>
          <w:sz w:val="24"/>
          <w:szCs w:val="24"/>
        </w:rPr>
        <w:t xml:space="preserve">Il secondo pilastro censisce la dottrina scritta. La produzione interna della struttura, emersa con l'archivio, comprende i manuali della guerra rivoluzionaria rovesciata, i testi che teorizzano l'infiltrazione dei movimenti avversari, l'azione sotto falsa bandiera e l'uso del terrore quale strumento di pressione sui governi verso soluzioni autoritarie; il registro certifica al Livello A l'esistenza e il contenuto della dottrina, quale corpus documentale acquisito, e ne dichiara il rilievo per l'opera: essa costituisce la formalizzazione scritta più esplicita, nell'intero corpus, della strategia che la vulgata italiana ha chiamato della tensione, prodotta non da un teorico ma da una struttura operativa, e la sua esistenza certificata è il fondamento documentale che ha autorizzato le istruttorie italiane a interrogare il nesso tra la centrale e la stagione stragista, l'interrogazione i cui esiti il quarto pilastro censisce.</w:t>
      </w:r>
    </w:p>
    <w:p>
      <w:pPr>
        <w:spacing w:after="120" w:line="276"/>
        <w:jc w:val="both"/>
      </w:pPr>
      <w:r>
        <w:rPr>
          <w:rFonts w:ascii="Barlow Semi Condensed" w:cs="Barlow Semi Condensed" w:eastAsia="Barlow Semi Condensed" w:hAnsi="Barlow Semi Condensed"/>
          <w:sz w:val="24"/>
          <w:szCs w:val="24"/>
        </w:rPr>
        <w:t xml:space="preserve">Il terzo pilastro censisce il fatto archivistico capitale, la cattura dell'archivio. La rivoluzione portoghese del 25 aprile 1974 travolse il regime che proteggeva la struttura, e l'archivio di Aginter Press cadde nelle mani delle nuove autorità, che ne resero disponibile la documentazione alle magistrature e alle commissioni straniere: da quella cattura discende, in via pressoché esclusiva, la conoscenza documentale della centrale, i nomi, i corsi, le corrispondenze, la dottrina, e il registro certifica al Livello A la cattura, la sua data e la sua funzione di fonte, quale evento archivistico documentato. La formalizzazione che il registro ne trae governa l'intero nodo e il suo gemello topologico: Aginter è conoscibile perché il suo Stato di protezione è caduto, e la caduta ha aperto l'archivio; Hyperion è inconoscibile perché il suo Stato di protezione non è mai caduto, e l'archivio non si è mai aperto; i 2 nodi isomorfi dell'opera stanno agli estremi opposti del medesimo asse, quello del regime archivistico, e la differenza integrale dei loro profili documentali, l'uno denso di carte e l'altro vuoto, misura la differenza dei destini politici dei rispettivi protettori, non una differenza di natura tra le strutture: il registro eleva questa coppia a dimostrazione empirica interna della propria disciplina sull'asimmetria archivistica, il caso in cui 2 oggetti strutturalmente gemelli restituiscono documentazioni opposte per la sola variabile del regime di accesso.</w:t>
      </w:r>
    </w:p>
    <w:p>
      <w:pPr>
        <w:spacing w:after="120" w:line="276"/>
        <w:jc w:val="both"/>
      </w:pPr>
      <w:r>
        <w:rPr>
          <w:rFonts w:ascii="Barlow Semi Condensed" w:cs="Barlow Semi Condensed" w:eastAsia="Barlow Semi Condensed" w:hAnsi="Barlow Semi Condensed"/>
          <w:sz w:val="24"/>
          <w:szCs w:val="24"/>
        </w:rPr>
        <w:t xml:space="preserve">Il quarto pilastro censisce le proiezioni internazionali e l'esito giudiziario. La documentazione catturata e le acquisizioni successive collocano le proiezioni della centrale sui teatri che le monografie dell'opera hanno percorso, l'Africa australe delle guerre coloniali portoghesi, i collegamenti iberici, i corrispondenti nelle Americhe, e la diaspora successiva alla caduta, con il trasferimento del nucleo verso la Spagna ancora franchista, dove le tracce documentali della rete si disperdono nella galassia dell'internazionale nera della seconda metà del decennio; sul versante giudiziario italiano, le istruttorie che hanno interrogato il nesso tra la centrale e le stragi, sino alla stagione istruttoria milanese degli anni Novanta, hanno prodotto acquisizioni documentali e nessuna condanna della centrale quale tale, e il registro certifica al Livello A l'assenza di condanne organiche, quale esito, mantenendo ai livelli propri le singole attribuzioni, secondo il censimento che la Fase 3 ha consegnato. Il registro chiude il quadro con la certificazione comparativa: Aginter Press è, nell'intero corpus dell'opera, il caso di massima documentazione con minima sanzione, l'inverso speculare dei piani primi saturi delle fasi nazionali, e la sproporzione tra ciò che l'archivio documenta e ciò che i giudizi hanno consacrato è essa stessa un dato, che il registro trascrive quale misura della resistenza del livello internazionale all'accertamento giudiziario nazionale.</w:t>
      </w:r>
    </w:p>
    <w:p>
      <w:pPr>
        <w:spacing w:after="120" w:line="276"/>
        <w:jc w:val="both"/>
      </w:pPr>
      <w:r>
        <w:rPr>
          <w:rFonts w:ascii="Barlow Semi Condensed" w:cs="Barlow Semi Condensed" w:eastAsia="Barlow Semi Condensed" w:hAnsi="Barlow Semi Condensed"/>
          <w:sz w:val="24"/>
          <w:szCs w:val="24"/>
        </w:rPr>
        <w:t xml:space="preserve">Il quinto pilastro recepisce, quale saldatura, il censimento italiano della Fase 3. Le occorrenze della centrale nel teatro italiano, i transiti documentati di militanti dell'area ordinovista e avanguardista presso i corsi lisbonesi, le corrispondenze acquisite e le attribuzioni istruttorie che hanno interrogato il nesso tra la dottrina della centrale e la meccanica della stagione stragista, restano certificate ai livelli che la Fase 3 ha fissato, i transiti al Livello B e le funzioni operative sui singoli eventi ai livelli propri di ciascun accertamento, con la stagione istruttoria milanese degli anni Novanta quale ultimo organico ritorno sul nodo; il registro non muta una sola qualificazione e aggiunge il dato comparativo che la fase consente: il profilo italiano della centrale è il più accertato dei suoi profili nazionali, per la semplice ragione archivistica che l'Italia è l'ordinamento che più a lungo ha processato la propria stagione, e la densità italiana del nodo Aginter misura, ancora una volta, l'intensità dell'accertamento e non necessariamente quella della funzione, secondo il corollario che il capitolo nono formalizza.</w:t>
      </w:r>
    </w:p>
    <w:p>
      <w:pPr>
        <w:spacing w:after="120" w:line="276"/>
        <w:jc w:val="both"/>
      </w:pPr>
      <w:r>
        <w:rPr>
          <w:rFonts w:ascii="Barlow Semi Condensed" w:cs="Barlow Semi Condensed" w:eastAsia="Barlow Semi Condensed" w:hAnsi="Barlow Semi Condensed"/>
          <w:sz w:val="24"/>
          <w:szCs w:val="24"/>
        </w:rPr>
        <w:t xml:space="preserve">Il sesto pilastro censisce la diaspora iberica successiva alla caduta. Con la fine del regime portoghese, il nucleo della centrale e la galassia che vi gravitava trasferirono la propria base nella Spagna dell'ultimo franchismo e della prima transizione, dove la documentazione della seconda metà del decennio colloca la comunità dell'estremismo nero internazionale, italiani della diaspora compresi, attiva negli ambienti della reazione alla transizione democratica; alla stagione appartiene la strage di Atocha del 24 gennaio 1977, l'assassinio degli avvocati giuslavoristi madrileni per mano dell'estremismo di destra spagnolo, l'evento che segnò la crisi terminale di quell'ambiente dinanzi alla reazione democratica del Paese; il registro certifica al Livello A il trasferimento iberico della diaspora e il quadro della stagione, quali dati documentali consolidati, mantiene ai livelli propri le singole presenze e condotte italiane censite dalle istruttorie, e ne trae l'annotazione di sistema: la traiettoria della centrale e della sua galassia, Lisbona sino al 1974, la Spagna della transizione sino alla fine del decennio, il continente americano poi, disegna la migrazione della rete lungo la mappa dei regimi protettori in via di estinzione, un percorso di carriera collettivo che il Pattern 7 registra quale caso maggiore e che si chiude, per la componente italiana, nelle capitali-rifugio che il capitolo secondo censisce.</w:t>
      </w:r>
    </w:p>
    <w:p>
      <w:pPr>
        <w:spacing w:after="120" w:line="276"/>
        <w:jc w:val="both"/>
      </w:pPr>
      <w:r>
        <w:rPr>
          <w:rFonts w:ascii="Barlow Semi Condensed" w:cs="Barlow Semi Condensed" w:eastAsia="Barlow Semi Condensed" w:hAnsi="Barlow Semi Condensed"/>
          <w:sz w:val="24"/>
          <w:szCs w:val="24"/>
        </w:rPr>
        <w:t xml:space="preserve">Il settimo pilastro censisce lo strumento formativo, i corsi e i materiali della centrale. La documentazione catturata comprende i programmi dei corsi di addestramento impartiti presso la struttura e nelle sue proiezioni, con le materie che gli atti elencano, le tecniche dell'azione clandestina, l'uso degli esplosivi, l'infiltrazione e la propaganda, e i materiali didattici che traducevano la dottrina del secondo pilastro in istruzione operativa; il registro certifica al Livello A l'esistenza dei corsi e dei materiali, quale dato dell'archivio, mantiene ai livelli propri l'identificazione dei singoli frequentatori, censita dalle istruttorie con le convergenze e i limiti che la Fase 3 ha fissato, e ne trae l'annotazione che distingue il nodo nell'intero corpus: Aginter è l'unico caso dell'opera in cui la catena completa della strategia, la dottrina scritta, lo strumento formativo e la rete dei formati, è documentata in ogni anello dalla medesima fonte archivistica, e questa completezza, unica e irripetuta, è ciò che ha reso la centrale il referente obbligato di ogni istruttoria sulla meccanica della stagione, pur senza mai produrre, per la distanza tra la documentazione della capacità e la prova dell'impiego, una sola condanna organica; la distinzione tra capacità documentata e impiego provato, che il nodo incarna nella forma più pura, è consegnata alla verifica finale quale calibro permanente.</w:t>
      </w:r>
    </w:p>
    <w:p>
      <w:pPr>
        <w:spacing w:after="120" w:line="276"/>
        <w:jc w:val="both"/>
      </w:pPr>
      <w:r>
        <w:rPr>
          <w:rFonts w:ascii="Barlow Semi Condensed" w:cs="Barlow Semi Condensed" w:eastAsia="Barlow Semi Condensed" w:hAnsi="Barlow Semi Condensed"/>
          <w:sz w:val="24"/>
          <w:szCs w:val="24"/>
        </w:rPr>
        <w:t xml:space="preserve">L'ottavo pilastro censisce la costellazione dei nomi, lo strato organizzativo sotto la ragione sociale. La documentazione attribuisce alla galassia di Guérin-Sérac, accanto all'agenzia quale volto pubblico, le denominazioni interne e parallele che gli atti registrano, tra cui la formazione Ordre et Tradition quale struttura politico-militante collegata, con l'articolazione operativa che le carte descrivono; il registro certifica al Livello A l'esistenza della costellazione denominativa, quale dato dell'archivio, mantiene al Livello B le ricostruzioni dei rapporti gerarchici interni tra le sigle, e ne trae l'annotazione tipologica che il corpus conferma su ogni teatro: le strutture clandestine mature del campo studiato non coincidono mai con una sola denominazione, operando quale costellazioni di sigle a geometria variabile, la ragione sociale per il mondo, la sigla politica per il reclutamento, l'articolazione operativa per l'azione, e l'analista che cerchi l'organizzazione in una sola delle sue denominazioni è destinato a certificarne l'innocuità apparente; il registro formalizza la regola, già incontrata nelle galassie nere italiane della Fase 3 e nella distinzione tra la scuola parigina e la sua cerchia, quale proprietà ricorrente della morfologia clandestina, e la consegna al repertorio dei reperti metodologici con il nodo lisbonese quale caso di massima documentazione della struttura a costellazione.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Guérin-Sérac-Lisbona-dottrina della tensione, salda l'uomo, la sede e il corpus dottrinale nel triangolo fondativo certificato al Livello A. La seconda, Aginter-orbita ordinovista-istruttorie italiane, congiunge la centrale ai transiti italiani documentati e agli accertamenti che li hanno interrogati, con i fatti al Livello B e gli esiti nulli al Livello A. La terza, archivio catturato-rivoluzione del 1974-conoscibilità del nodo, formalizza la dipendenza integrale della conoscenza dal regime archivistico, il teorema empirico che la fase consegna al capitolo nono.</w:t>
      </w:r>
    </w:p>
    <w:p>
      <w:pPr>
        <w:spacing w:after="120" w:line="276"/>
        <w:jc w:val="both"/>
      </w:pPr>
      <w:r>
        <w:rPr>
          <w:rFonts w:ascii="Barlow Semi Condensed" w:cs="Barlow Semi Condensed" w:eastAsia="Barlow Semi Condensed" w:hAnsi="Barlow Semi Condensed"/>
          <w:sz w:val="24"/>
          <w:szCs w:val="24"/>
        </w:rPr>
        <w:t xml:space="preserve">Alla cattura archivistica va aggiunta la sua coda istituzionale, che completa il fatto documentale capitale della fase: il fondo sequestrato nel 1974 confluì nel patrimonio archivistico dello Stato portoghese ed è oggi conservato presso l'Arquivo Nacional da Torre do Tombo di Lisbona, ordinato e consultabile secondo le regole ordinarie di quell'istituto, Livello A quanto alla collocazione ed al regime di accesso. Il registro sottolinea la rarità che questa condizione rappresenta nell'economia dell'opera: tra tutte le strutture clandestine censite nelle 5 fasi, Aginter Press è l'unica il cui archivio interno integrale sia finito, per intero e stabilmente, in un archivio pubblico ad accesso ordinario, senza mediazioni di intelligence riceventi, senza selezioni di esfiltratori, senza i filtri che gravano su ogni altro compendio della fase, dal Mitrokhin trasmesso per quote ai fondi orientali amministrati dagli istituti della memoria. La centrale di Lisbona è perciò, paradossalmente, l'oggetto meglio conoscibile dell'intero teatro internazionale nero: e la circostanza che proprio il nodo più documentato sia rimasto privo di condanne organiche, mentre nodi assai meno leggibili hanno prodotto giudicati, consegna alla legge del capitolo nono il suo corollario più fine, che la conoscibilità archivistica e la perseguibilità giudiziaria sono variabili indipendenti, e che il massimo della carta non garantisce il minimo della sentenza.</w:t>
      </w:r>
    </w:p>
    <w:p>
      <w:pPr>
        <w:spacing w:after="120" w:line="276"/>
        <w:jc w:val="both"/>
      </w:pPr>
      <w:r>
        <w:rPr>
          <w:rFonts w:ascii="Barlow Semi Condensed" w:cs="Barlow Semi Condensed" w:eastAsia="Barlow Semi Condensed" w:hAnsi="Barlow Semi Condensed"/>
          <w:sz w:val="24"/>
          <w:szCs w:val="24"/>
        </w:rPr>
        <w:t xml:space="preserve">La scheda del fondatore si chiude con l'esito biografico che il registro certifica quale Stato Zero giudiziario perfetto: Guérin-Sérac visse indisturbato in Portogallo sino alla morte, sopraggiunta nel 2022, senza avere scontato un solo giorno di detenzione per i fatti italiani nei quali le istruttorie lo avevano indicato, protetto dalla sequenza di latitanze, archiviazioni ed assoluzioni che il capitolo ha censito, Livello A quanto alla parabola ed al suo epilogo. Il registro consegna il dato alla sua funzione di misura: l'uomo che le carte di Lisbona documentano al centro dell'agenzia è morto quasi sessantenne di clandestinità compiuta, sopravvissuto a tutti i processi, a quasi tutti i suoi allievi ed alla stessa guerra fredda che lo aveva generato, e la distanza tra la ricchezza documentale del suo archivio e la nullità assoluta del suo casellario italiano è la formulazione biografica estrema del teorema che apre la fase: il massimo della carta non garantisce il minimo della sentenza.</w:t>
      </w:r>
    </w:p>
    <w:p>
      <w:pPr>
        <w:spacing w:after="120" w:line="276"/>
        <w:jc w:val="both"/>
      </w:pPr>
      <w:r>
        <w:rPr>
          <w:rFonts w:ascii="Barlow Semi Condensed" w:cs="Barlow Semi Condensed" w:eastAsia="Barlow Semi Condensed" w:hAnsi="Barlow Semi Condensed"/>
          <w:sz w:val="24"/>
          <w:szCs w:val="24"/>
        </w:rPr>
        <w:t xml:space="preserve">Il perimetro operativo dell'agenzia precede l'Europa, ed il registro ne censisce il versante africano quale prima palestra documentata: le carte di Lisbona attestano l'impiego della struttura sui teatri coloniali portoghesi, con attività informative ed operazioni contro i movimenti indipendentisti dell'Africa lusofona, dal Mozambico alla Guinea, nel quadro della collaborazione con la polizia politica del regime che l'archivio certifica, Livello A quanto all'operatività africana documentata dalle carte. Su questo versante si colloca il caso maggiore e conteso, che il registro riporta con il suo statuto esatto: l'assassinio nel 1969, a Dar es Salaam, del presidente del fronte di liberazione mozambicano Eduardo Mondlane, ucciso da un ordigno celato in un libro, fu attribuito nel tempo, da ricostruzioni concorrenti mai consolidate in giudicato, ai servizi coloniali portoghesi ed alle loro appendici operative, tra cui l'agenzia, Livello A quanto all'omicidio ed alle sue modalità, Livello C quanto ad ogni specifica attribuzione della catena esecutiva. La funzione del versante africano nell'economia del capitolo è genetica: prima di divenire lo snodo europeo censito dal pilastro, la struttura si era formata sulla guerra coloniale, dove le tecniche che l'Europa avrebbe conosciuto, l'infiltrazione, la provocazione, l'attentato mimetizzato, erano già repertorio corrente, e la traiettoria Africa-Europa dell'agenzia anticipa di un decennio la rotta che l'intera fase documenta, quella dei metodi delle periferie imperiali che risalgono verso i centri, sino a detonare nelle piazze del continente che li aveva esportati.</w:t>
      </w:r>
    </w:p>
    <w:p>
      <w:pPr>
        <w:spacing w:after="120" w:line="276"/>
        <w:jc w:val="both"/>
      </w:pPr>
      <w:r>
        <w:rPr>
          <w:rFonts w:ascii="Barlow Semi Condensed" w:cs="Barlow Semi Condensed" w:eastAsia="Barlow Semi Condensed" w:hAnsi="Barlow Semi Condensed"/>
          <w:sz w:val="24"/>
          <w:szCs w:val="24"/>
        </w:rPr>
        <w:t xml:space="preserve">La fine dell'agenzia coincide con l'evento che ne rese possibile la conoscenza, ed il registro censisce la coincidenza quale atto fondativo della propria stessa fonte: la Rivoluzione dei garofani del 25 aprile 1974, abbattendo in una notte il regime che aveva ospitato e protetto la centrale, costrinse la struttura alla fuga precipitosa verso la Spagna ancora franchista, con l'abbandono a Lisbona dell'archivio operativo che la nuova autorità acquisì e che, attraverso i passaggi censiti, sarebbe approdato alla conservazione pubblica della Torre do Tombo, Livello A quanto alla sequenza rivoluzione-fuga-acquisizione. Il registro fissa la lezione archivistica che l'episodio consegna all'intera opera: il fondo lisboeta, l'unico archivio integralmente pubblico di una centrale clandestina che il corpus possieda, non esiste per virtù di trasparenza ma per accidente di rivoluzione, perché la struttura fu l'unica del suo genere a perdere il proprio Stato ospite da un giorno all'altro, senza il tempo di distruggere le carte che ogni sua consorella, morendo lentamente, ebbe modo di bruciare, e questa genesi accidentale della massima fonte della fase è l'ultima conferma della legge che governa il rapporto tra il corpus ed i suoi documenti: gli archivi del potere occulto non si aprono, cadono, e la storiografia di questa materia è figlia, sempre, dei crolli altrui.</w:t>
      </w:r>
    </w:p>
    <w:p>
      <w:pPr>
        <w:spacing w:after="120" w:line="276"/>
        <w:jc w:val="both"/>
      </w:pPr>
      <w:r>
        <w:rPr>
          <w:rFonts w:ascii="Barlow Semi Condensed" w:cs="Barlow Semi Condensed" w:eastAsia="Barlow Semi Condensed" w:hAnsi="Barlow Semi Condensed"/>
          <w:sz w:val="24"/>
          <w:szCs w:val="24"/>
        </w:rPr>
        <w:t xml:space="preserve">Il fascicolo dell'agenzia si chiude con lo Stato Zero che il registro deve al proprio metodo: la struttura non fu mai processata nel Paese che ne custodisce l'archivio, poiché il Portogallo democratico, entrato in possesso delle carte con la rivoluzione, non aprì mai un procedimento penale organico sull'organizzazione che aveva operato per 8 anni dal proprio territorio, limitandosi alla conservazione archivistica censita, Livello A quanto all'assenza di procedimenti portoghesi, sistematicamente verificata dalla storiografia sul fondo. Il registro consegna il vuoto alla sua lettura: la nazione che possiede tutte le prove non celebrò alcun processo, e le nazioni che celebrarono i processi, l'Italia delle istruttorie censite, dovettero procurarsi le prove per rogatoria, sicché il caso Aginter realizza la separazione perfetta tra il luogo della prova ed il luogo del giudizio che l'intera fase ha documentato in forme parziali, e la spiegazione, che il registro annota senza attenuarla, appartiene alla fisiologia delle transizioni: la democrazia portoghese nata dal 1974 aveva da processare i propri carnefici e non i propri ospiti, e l'agenzia, che sul suolo lusitano non aveva ucciso nessuno, non apparteneva alle priorità di nessuna delle 2 giustizie possibili, quella del Paese offeso, che non aveva le carte, e quella del Paese ospite, che non aveva le vittime.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Aginter è certificato quale centrale documentata dalla cattura archivistica del 1974, con dottrina scritta della tensione al Livello A, transiti italiani al Livello B, condanne organiche assenti, e la coppia Aginter-Hyperion è elevata a dimostrazione empirica interna dell'asimmetria archivistica, i 2 gemelli topologici resi opposti dal solo regime di accesso alle carte.</w:t>
      </w:r>
    </w:p>
    <w:p>
      <w:pPr>
        <w:pStyle w:val="Heading3"/>
        <w:spacing w:after="80" w:before="160"/>
      </w:pPr>
      <w:r>
        <w:rPr>
          <w:rFonts w:ascii="Barlow Semi Condensed" w:cs="Barlow Semi Condensed" w:eastAsia="Barlow Semi Condensed" w:hAnsi="Barlow Semi Condensed"/>
          <w:sz w:val="24"/>
          <w:szCs w:val="24"/>
        </w:rPr>
        <w:t xml:space="preserve">Capitolo 2 — Le diaspore latinoamericane: il Condor, i golpe e le capitali-rifugio</w:t>
      </w:r>
    </w:p>
    <w:p>
      <w:pPr>
        <w:spacing w:after="120" w:line="276"/>
        <w:jc w:val="both"/>
      </w:pPr>
      <w:r>
        <w:rPr>
          <w:rFonts w:ascii="Barlow Semi Condensed" w:cs="Barlow Semi Condensed" w:eastAsia="Barlow Semi Condensed" w:hAnsi="Barlow Semi Condensed"/>
          <w:sz w:val="24"/>
          <w:szCs w:val="24"/>
        </w:rPr>
        <w:t xml:space="preserve">Il secondo nodo è il continente delle diaspore, il teatro nel quale i fili neri e i fili piduisti dell'opera trovarono rifugio, impiego e protezione. Il quadro di sistema è l'Operazione Condor, il coordinamento repressivo tra i regimi militari del cono sud formalizzato a Santiago del Cile nel novembre 1975, la rete interstatale di scambio informativo, cattura e trasferimento degli oppositori che la documentazione desecretata e i processi del secolo successivo hanno certificato; il registro certifica al Livello A l'esistenza, la data di formalizzazione e il funzionamento del sistema, quali dati documentali e giudiziari consolidati, e vi colloca i 3 fili italiani che i pilastri censiscono.</w:t>
      </w:r>
    </w:p>
    <w:p>
      <w:pPr>
        <w:spacing w:after="120" w:line="276"/>
        <w:jc w:val="both"/>
      </w:pPr>
      <w:r>
        <w:rPr>
          <w:rFonts w:ascii="Barlow Semi Condensed" w:cs="Barlow Semi Condensed" w:eastAsia="Barlow Semi Condensed" w:hAnsi="Barlow Semi Condensed"/>
          <w:sz w:val="24"/>
          <w:szCs w:val="24"/>
        </w:rPr>
        <w:t xml:space="preserve">Il primo pilastro segue la traiettoria di Stefano Delle Chiaie, il percorso di carriera transnazionale più documentato dell'estremismo nero italiano, applicazione maggiore del Pattern 7 sul teatro. Riparato in Spagna dopo la stagione italiana, l'uomo di Avanguardia Nazionale attraversò il decennio tra la penisola iberica e il continente americano, e la documentazione lo colloca in Cile e quindi in Bolivia, dove le risultanze convergenti ne certificano la presenza nell'orbita del golpe del 17 luglio 1980, il colpo di Stato del generale García Meza sostenuto dagli apparati del narcotraffico, insieme a Pierluigi Pagliai e nel medesimo ambiente in cui operava Klaus Barbie, l'ex ufficiale nazista consegnato alla Francia nel febbraio 1983; Pagliai fu catturato in Bolivia nell'ottobre 1982 nell'ambito della cooperazione con l'Italia e morì poco dopo per le ferite riportate nella cattura; Delle Chiaie proseguì la latitanza sino alla cattura in Venezuela nel 1987 e ai processi italiani. Il registro certifica al Livello A la traiettoria, le presenze boliviane e le catture, quali risultanze documentali e giudiziarie, e adempie la disciplina degli esiti riportando per esteso l'esito dei giudizi maggiori: Stefano Delle Chiaie fu assolto per la strage di piazza Fontana dalla Corte d'assise di Catanzaro nel 1989, con conferma dell'assoluzione in appello nel 1991, e l'assoluzione è definitiva; il registro trascrive l'esito con la medesima evidenza dei fatti certificati, secondo la regola che non ammette eccezioni.</w:t>
      </w:r>
    </w:p>
    <w:p>
      <w:pPr>
        <w:spacing w:after="120" w:line="276"/>
        <w:jc w:val="both"/>
      </w:pPr>
      <w:r>
        <w:rPr>
          <w:rFonts w:ascii="Barlow Semi Condensed" w:cs="Barlow Semi Condensed" w:eastAsia="Barlow Semi Condensed" w:hAnsi="Barlow Semi Condensed"/>
          <w:sz w:val="24"/>
          <w:szCs w:val="24"/>
        </w:rPr>
        <w:t xml:space="preserve">Il secondo pilastro censisce il versante piduista del teatro, l'Argentina di Licio Gelli. La documentazione della Commissione Anselmi e le acquisizioni convergenti certificano il radicamento argentino del Venerabile, i rapporti con gli ambienti della giunta militare, la presenza negli elenchi della loggia di figure di vertice del regime, tra le quali l'ammiraglio Emilio Massera, membro della prima giunta, e la funzione della piazza argentina quale retrovia degli affari e delle protezioni gelliane; alla stagione argentina appartiene la parabola successiva dell'uomo, l'arresto a Ginevra il 13 settembre 1982 nel tentativo di movimentazione bancaria, l'evasione dal carcere svizzero di Champ-Dollon il 10 agosto 1983 e la lunga latitanza sudamericana prima della consegna definitiva; il registro certifica al Livello A il radicamento, gli elenchi, l'arresto e l'evasione, quali dati documentali e giudiziari, e certifica al Livello A, quale dato del Pattern 10, la geografia che il pilastro compone con il primo: il medesimo continente ospitò simultaneamente, nella prima metà degli anni Ottanta, la diaspora nera operativa sul versante andino e la retrovia piduista sul versante atlantico, 2 reti italiane distinte per natura e parimenti protette da regimi militari, senza che alcun documento certifichi un coordinamento tra le 2 presenze, la compresenza restando censita quale fatto geografico al Livello A e ogni lettura unificante al Livello C.</w:t>
      </w:r>
    </w:p>
    <w:p>
      <w:pPr>
        <w:spacing w:after="120" w:line="276"/>
        <w:jc w:val="both"/>
      </w:pPr>
      <w:r>
        <w:rPr>
          <w:rFonts w:ascii="Barlow Semi Condensed" w:cs="Barlow Semi Condensed" w:eastAsia="Barlow Semi Condensed" w:hAnsi="Barlow Semi Condensed"/>
          <w:sz w:val="24"/>
          <w:szCs w:val="24"/>
        </w:rPr>
        <w:t xml:space="preserve">Il terzo pilastro censisce le capitali-rifugio quale sistema, la geografia delle protezioni che la Fase 4 ha consegnato. Il continente e i suoi margini ospitarono, in regimi e per ragioni diverse, le latitanze perpetue del corpus: il Nicaragua sandinista per Alessio Casimirri, l'uomo di via Fani mai raggiunto dall'esecuzione penale, il cono sud militare per la diaspora nera, il Venezuela per l'ultima latitanza di Delle Chiaie, e la serie compone la mappa che il registro formalizza: le protezioni non seguirono l'asse ideologico ma l'asse dell'utilità e dell'ostilità giurisdizionale, un regime rivoluzionario e regimi controrivoluzionari avendo prodotto il medesimo effetto, la sottrazione perpetua dei protetti alla giurisdizione italiana; il registro certifica al Livello A la mappa e la sua trasversalità ideologica, quali fatti, e ne trae il teorema del Pattern 10 che consegna alla verifica finale: nel campo studiato, la geografia del rifugio è una funzione della frattura tra gli ordinamenti e non della prossimità politica, e ogni lettura delle protezioni in chiave di campo deve preliminarmente superare il dato certificato della loro distribuzione bipolare.</w:t>
      </w:r>
    </w:p>
    <w:p>
      <w:pPr>
        <w:spacing w:after="120" w:line="276"/>
        <w:jc w:val="both"/>
      </w:pPr>
      <w:r>
        <w:rPr>
          <w:rFonts w:ascii="Barlow Semi Condensed" w:cs="Barlow Semi Condensed" w:eastAsia="Barlow Semi Condensed" w:hAnsi="Barlow Semi Condensed"/>
          <w:sz w:val="24"/>
          <w:szCs w:val="24"/>
        </w:rPr>
        <w:t xml:space="preserve">Il quarto pilastro censisce il caso che portò il Condor a Roma, l'attentato a Bernardo Leighton. Il 6 ottobre 1975 l'ex vicepresidente cileno Bernardo Leighton, esule democristiano oppositore del regime di Pinochet, fu gravemente ferito a Roma in un agguato con arma da fuoco insieme alla moglie Anita Fresno, che riportò lesioni permanenti: le indagini e i giudizi ricostruirono l'attentato quale operazione commissionata dalla polizia segreta cilena, la DINA, con l'esecuzione attribuita dalle risultanze all'ambiente dell'estremismo nero romano in rapporto con la centrale cilena, e la Corte d'assise di Roma condannò nel 1995, in contumacia, i vertici della DINA quali mandanti; il registro certifica al Livello A l'attentato, le vittime, la matrice cilena e le condanne contumaciali dei mandanti, quali risultanze giudiziarie, nomina Bernardo Leighton e Anita Fresno tra le vittime ferite della fase quale atto dovuto, mantiene al Livello B le attribuzioni esecutive all'orbita nera italiana nei termini non consacrati da condanna, e ne dichiara la funzione reticolare: il caso Leighton è l'arco documentato che congiunge il sistema Condor al territorio italiano e all'estremismo nero romano, la prova che la rete continentale del capitolo operò dentro Roma, e costituisce, con la strage di via Fani e con l'attentato del 1981, uno dei 3 casi del corpus in cui la capitale fu teatro di operazioni con committenza o esecuzione internazionale certificata o processata.</w:t>
      </w:r>
    </w:p>
    <w:p>
      <w:pPr>
        <w:spacing w:after="120" w:line="276"/>
        <w:jc w:val="both"/>
      </w:pPr>
      <w:r>
        <w:rPr>
          <w:rFonts w:ascii="Barlow Semi Condensed" w:cs="Barlow Semi Condensed" w:eastAsia="Barlow Semi Condensed" w:hAnsi="Barlow Semi Condensed"/>
          <w:sz w:val="24"/>
          <w:szCs w:val="24"/>
        </w:rPr>
        <w:t xml:space="preserve">Il quinto pilastro censisce l'esito giudiziario italiano di sistema, il processo Condor del secolo successivo. Sulla scomparsa e l'assassinio di cittadini italiani e italo-discendenti nel cono sud, la giustizia italiana celebrò il processo ai responsabili delle strutture repressive dei regimi coordinati, approdato alle condanne all'ergastolo estese in appello nel 2019 e rese definitive dalla Corte di cassazione nel 2021 per i vertici superstiti delle catene di comando sudamericane; il registro certifica al Livello A il processo e gli esiti definitivi, quali dati giudiziari, e ne trae la formalizzazione che il teatro consegna all'opera: il sistema Condor è, nel corpus internazionale, il caso di massima consacrazione giudiziaria, l'unica rete transnazionale del grafo i cui vertici siano stati condannati in via definitiva da una corte italiana per il funzionamento della rete quale tale, e la comparazione con gli esiti nulli dei nodi europei del corpus, Aginter senza condanne organiche e Hyperion senza imputazioni, misura la variabile che governa la giustiziabilità del livello internazionale: il Condor fu giudicabile perché i suoi regimi caddero e i suoi archivi si aprirono, secondo la legge del capitolo nono, e la sentenza del 2021 è, in questa lettura certificata, il frutto giudiziario maturo di un'apertura archivistica continentale.</w:t>
      </w:r>
    </w:p>
    <w:p>
      <w:pPr>
        <w:spacing w:after="120" w:line="276"/>
        <w:jc w:val="both"/>
      </w:pPr>
      <w:r>
        <w:rPr>
          <w:rFonts w:ascii="Barlow Semi Condensed" w:cs="Barlow Semi Condensed" w:eastAsia="Barlow Semi Condensed" w:hAnsi="Barlow Semi Condensed"/>
          <w:sz w:val="24"/>
          <w:szCs w:val="24"/>
        </w:rPr>
        <w:t xml:space="preserve">Il sesto pilastro censisce l'ambiente del golpe boliviano, la composizione che rende il caso unico nel corpus. Le ricostruzioni giudiziarie e documentali del colpo di Stato del 1980 descrivono la convergenza operativa, attorno agli apparati golpisti, di 3 componenti certificate: i quadri militari boliviani, le strutture del narcotraffico che finanziarono l'operazione, e il gruppo paramilitare internazionale raccolto attorno a Klaus Barbie, la formazione nota alle cronache quale i fidanzati della morte, nella cui orbita le risultanze collocano la componente della diaspora nera europea con le presenze italiane censite nel primo pilastro; il registro certifica al Livello A la convergenza delle 3 componenti, quale ricostruzione consolidata, e ne dichiara il valore paradigmatico per l'opera: il golpe del 1980 è il caso documentato in cui un potere statale fu conquistato dalla saldatura diretta tra apparato militare, criminalità del narcotraffico ed estremismo politico transnazionale, la configurazione che le fasi nazionali hanno incontrato soltanto in forme mediate e parziali, qui realizzata in forma pura e vittoriosa; il registro trascrive il caso quale massimo esemplare del corpus della coppia crimine-forze armate, la coppia a bassa densità che la Nota metodologica indicava quale potenzialmente rivelatrice, e annota che la sua realizzazione compiuta avvenne non nel teatro italiano ma nella periferia andina, dove le condizioni di sistema, la debolezza istituzionale e la forza del narcotraffico, consentirono ciò che il sistema italiano, per la lettura che i materiali sostengono, non consentì mai nella forma piena.</w:t>
      </w:r>
    </w:p>
    <w:p>
      <w:pPr>
        <w:spacing w:after="120" w:line="276"/>
        <w:jc w:val="both"/>
      </w:pPr>
      <w:r>
        <w:rPr>
          <w:rFonts w:ascii="Barlow Semi Condensed" w:cs="Barlow Semi Condensed" w:eastAsia="Barlow Semi Condensed" w:hAnsi="Barlow Semi Condensed"/>
          <w:sz w:val="24"/>
          <w:szCs w:val="24"/>
        </w:rPr>
        <w:t xml:space="preserve">Il settimo pilastro censisce l'epilogo del filo gelliano, la chiusura del percorso sudamericano. La latitanza seguita all'evasione del 1983 si chiuse con la costituzione a Ginevra nel settembre 1987 e con l'estradizione in Italia nel febbraio 1988, alle condizioni convenzionali che delimitarono i titoli di giudizio; ne seguirono le stagioni processuali che le fasi nazionali hanno certificato negli esiti, la condanna definitiva per la bancarotta del Banco Ambrosiano e la condanna definitiva per il depistaggio delle indagini sulla strage di Bologna, con le assoluzioni definitive dagli altri titoli che la Fase 3 ha riportato per esteso; il registro certifica al Livello A la sequenza costituzione-estradizione e recepisce gli esiti nella qualificazione delle fasi competenti, traendone la chiusura comparativa del teatro: i 2 massimi latitanti del corpus internazionale, il capo della diaspora nera e il Venerabile della loggia, percorsero il continente delle protezioni con traiettorie speculari e approdarono entrambi, per vie diverse, alla giurisdizione italiana, l'uno alla cattura del 1987 e ai processi con gli esiti assolutori maggiori riportati, l'altro alla consegna del 1988 e alle condanne definitive circoscritte; la coppia degli epiloghi, l'assolto catturato e il condannato consegnato, chiude il teatro latinoamericano con la dimostrazione che il registro affida alla disciplina degli esiti: la giurisdizione, quando infine raggiunse i protetti, produsse verdetti differenziati e non simmetrici alle attese di alcuna vulgata, e il registro li trascrive quali sono, secondo la regola che non corregge mai gli esiti nella direzione delle ipotesi.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Delle Chiaie-Bolivia-golpe del 1980, certifica al Livello A la presenza della diaspora nera italiana nell'evento andino, con l'esito assolutorio italiano riportato per esteso. La seconda, Gelli-Argentina-elenchi della loggia, certifica al Livello A la retrovia piduista e i suoi vertici militari. La terza, Casimirri-Nicaragua-capitali-rifugio, salda l'arco della Fase 4 al sistema continentale delle protezioni, con la trasversalità ideologica certificata quale fatto.</w:t>
      </w:r>
    </w:p>
    <w:p>
      <w:pPr>
        <w:spacing w:after="120" w:line="276"/>
        <w:jc w:val="both"/>
      </w:pPr>
      <w:r>
        <w:rPr>
          <w:rFonts w:ascii="Barlow Semi Condensed" w:cs="Barlow Semi Condensed" w:eastAsia="Barlow Semi Condensed" w:hAnsi="Barlow Semi Condensed"/>
          <w:sz w:val="24"/>
          <w:szCs w:val="24"/>
        </w:rPr>
        <w:t xml:space="preserve">Alla giurisdizione italiana sul sistema il registro deve infine i nomi che la radicarono, in ottemperanza alla disciplina delle vittime che governa l'intera opera: tra i cittadini italiani e i doppi cittadini scomparsi o assassinati nel quadro del coordinamento repressivo, per i quali le corti romane hanno celebrato il processo censito, figurano Juan Pablo Montiglio, italo-cileno della cerchia della sicurezza del presidente Allende, soppresso nella stagione immediatamente successiva al golpe, Omar Venturelli Leonelli, sacerdote e docente italo-cileno prelevato e scomparso nel 1973, e Lorenzo Ismael Viñas, italo-argentino sequestrato nel 1980 sulla rotta del confine con il Brasile, Livello A quanto ai casi, accertati nelle sedi giudiziarie italiane quali fatti del sistema. Il registro trascrive i 3 nomi quale rappresentanza dell'elenco più ampio che gli atti del processo custodiscono, e ne dichiara la funzione: essi sono la ragione giuridica per cui il Condor, sistema straniero operante su continenti lontani, appartiene di diritto a un'opera italiana, giacché la giurisdizione seguì il sangue, e la cittadinanza delle vittime trasformò il coordinamento dei regimi australi in materia penale della Repubblica, con la conseguenza, censita dal pilastro giudiziario, che una delle sentenze più vaste mai pronunciate al mondo sul terrorismo di Stato transnazionale porta l'intestazione di una Corte d'Assise romana.</w:t>
      </w:r>
    </w:p>
    <w:p>
      <w:pPr>
        <w:spacing w:after="120" w:line="276"/>
        <w:jc w:val="both"/>
      </w:pPr>
      <w:r>
        <w:rPr>
          <w:rFonts w:ascii="Barlow Semi Condensed" w:cs="Barlow Semi Condensed" w:eastAsia="Barlow Semi Condensed" w:hAnsi="Barlow Semi Condensed"/>
          <w:sz w:val="24"/>
          <w:szCs w:val="24"/>
        </w:rPr>
        <w:t xml:space="preserve">La scansione numerica degli esiti romani merita la trascrizione integrale, perché la sua progressione è essa stessa un reperto sull'accertamento tardivo: il primo grado, celebrato dinanzi alla Corte d'Assise di Roma e concluso nel gennaio 2017, pronunciò 8 condanne all'ergastolo a carico dei vertici superstiti dei regimi e un ampio ventaglio di assoluzioni per gli imputati di rango inferiore; il giudizio d'appello dell'8 luglio 2019 ribaltò in larga parte le assoluzioni portando a 24 gli ergastoli; la Corte di cassazione, il 9 luglio 2021, rese irrevocabile l'impianto, Livello A sull'intera scansione. Il registro annota la morfologia dell'esito: la forbice tra i 2 gradi di merito, da 8 a 24 ergastoli sul medesimo materiale, misura non un mutamento delle prove ma un mutamento del criterio di imputazione del sistema, il passaggio dalla responsabilità per il singolo fatto alla responsabilità per l'appartenenza consapevole all'apparato repressivo coordinato, e questa evoluzione, consacrata dalla Cassazione, costituisce il contributo dottrinale italiano alla giustizia internazionale sui crimini di sistema: il Condor fu giudicato a Roma non quale somma di omicidi ma quale organizzazione, con la medesima grammatica associativa che l'ordinamento aveva forgiato, nei decenni, sui propri sodalizi criminali interni.</w:t>
      </w:r>
    </w:p>
    <w:p>
      <w:pPr>
        <w:spacing w:after="120" w:line="276"/>
        <w:jc w:val="both"/>
      </w:pPr>
      <w:r>
        <w:rPr>
          <w:rFonts w:ascii="Barlow Semi Condensed" w:cs="Barlow Semi Condensed" w:eastAsia="Barlow Semi Condensed" w:hAnsi="Barlow Semi Condensed"/>
          <w:sz w:val="24"/>
          <w:szCs w:val="24"/>
        </w:rPr>
        <w:t xml:space="preserve">Alla topografia del sistema appartiene il luogo che il processo romano e i giudicati argentini hanno consegnato quale suo snodo fisico per gli stranieri: il centro clandestino di detenzione noto quale Automotores Orletti, l'officina di Buenos Aires adibita nel 1976 a stazione operativa per i prigionieri non argentini del coordinamento, teatro accertato del transito, della tortura e della sparizione di cittadini uruguaiani, cileni e di doppi cittadini italiani caduti nella rete, tra i quali casi giudicati nelle aule romane censite, Livello A quanto all'esistenza, alla funzione ed ai fatti accertati nelle sedi giudiziarie dei 2 continenti. Il registro assegna al luogo la funzione che i luoghi hanno in tutta l'opera, da Thompson Street a via Ruggiero Settimo: Orletti è la convergenza spaziale del Condor, il punto in cui il coordinamento cartaceo degli apparati diveniva stanza, catena, corpo, e la sua accertata specializzazione per i prigionieri stranieri documenta, meglio di ogni organigramma, la natura autenticamente transnazionale del sistema, che non si limitava a scambiare informazioni tra sovranità ma gestiva in comune, in un solo indirizzo, la fase terminale della repressione multinazionale. Nel grafo della fase, l'officina di Buenos Aires è perciò il nodo-luogo a massima densità dell'intero teatro australe, e la sua centralità postuma nelle sentenze di 2 continenti è la conferma, ancora una volta, che la giustizia raggiunge il sistema dove il sistema si fa spazio.</w:t>
      </w:r>
    </w:p>
    <w:p>
      <w:pPr>
        <w:spacing w:after="120" w:line="276"/>
        <w:jc w:val="both"/>
      </w:pPr>
      <w:r>
        <w:rPr>
          <w:rFonts w:ascii="Barlow Semi Condensed" w:cs="Barlow Semi Condensed" w:eastAsia="Barlow Semi Condensed" w:hAnsi="Barlow Semi Condensed"/>
          <w:sz w:val="24"/>
          <w:szCs w:val="24"/>
        </w:rPr>
        <w:t xml:space="preserve">All'antecedente civile del terrore australe appartiene la struttura che saldò, prima ancora dei golpe, il versante argentino al perimetro dell'opera: la Alianza Anticomunista Argentina, la formazione parastatale attiva dal 1973 al 1976 sotto il governo peronista, organizzata dal ministro José López Rega, responsabile di centinaia di omicidi politici nella stagione precedente il colpo di Stato, Livello A quanto all'esistenza, alla direzione ed all'attività accertate dalle giurisdizioni argentine. Il raccordo con il registro è nominale e documentale: López Rega figura negli elenchi della loggia coperta acquisiti dalla Commissione Anselmi, quale appartenente all'orbita gelliana argentina che il secondo pilastro certifica, sicché il fondatore dello squadrismo di Stato preperonista risulta iscritto alla medesima struttura riservata italiana che il registro ha censito quale massima intermediazione del grafo nazionale, Livello A quanto alla presenza negli elenchi, con la disciplina costante dell'opera sul valore della mera iscrizione. La parabola terminale completa la scheda: caduto con il governo che lo aveva espresso, López Rega riparò all'estero, fu arrestato negli Stati Uniti nel 1986, estradato in Argentina e morì nel 1989 in attesa di giudizio, senza sentenza definitiva sulla propria responsabilità, Livello A quanto agli esiti. Il registro consegna il nodo alla sua funzione: la Triple A dimostra che il terrore australe non nacque con le giunte ma le precedette in forma civile, e che l'orbita della loggia lambiva quel laboratorio prima ancora che il Condor lo istituzionalizzasse.</w:t>
      </w:r>
    </w:p>
    <w:p>
      <w:pPr>
        <w:spacing w:after="120" w:line="276"/>
        <w:jc w:val="both"/>
      </w:pPr>
      <w:r>
        <w:rPr>
          <w:rFonts w:ascii="Barlow Semi Condensed" w:cs="Barlow Semi Condensed" w:eastAsia="Barlow Semi Condensed" w:hAnsi="Barlow Semi Condensed"/>
          <w:sz w:val="24"/>
          <w:szCs w:val="24"/>
        </w:rPr>
        <w:t xml:space="preserve">Il teatro australe esige infine la sua comparazione giudiziaria interna, che il registro censisce quale contro-modello dell'intera fase: l'Argentina processò i propri vertici con il Juicio a las Juntas del 1985, il dibattimento civile che a 2 anni dalla fine del regime condannò i comandanti delle prime giunte, l'ergastolo a Videla, la condanna a Massera, primo caso al mondo di una democrazia che giudicava con i propri tribunali ordinari la propria dittatura appena caduta, Livello A quanto al processo ed agli esiti; la stagione successiva delle leggi di clemenza, il punto finale e l'obbedienza dovuta della fine degli anni Ottanta e gli indulti presidenziali, congelò per 15 anni quel primato, sino alla dichiarazione di incostituzionalità ed alla riapertura generalizzata dei giudizi nel primo decennio del nuovo secolo, che restituì alle aule argentine i processi censiti in questo capitolo, Livello A sull'intera parabola normativa. Il registro trae dalla comparazione la sua morale documentale: la giustizia argentina percorse in 20 anni l'intero ciclo, condanna, amnistia, annullamento dell'amnistia, nuova condanna, mentre la giustizia italiana sui fatti equivalenti del proprio corpus non ha mai completato neppure il primo movimento, e la circostanza che il Paese uscito da una dittatura genocida abbia giudicato sé stesso più rapidamente e più a fondo di quanto la democrazia continuativa più antica del corpus abbia giudicato le proprie stragi è il termine di paragone che la fase consegna, senza commento, alla verifica finale.</w:t>
      </w:r>
    </w:p>
    <w:p>
      <w:pPr>
        <w:spacing w:after="120" w:line="276"/>
        <w:jc w:val="both"/>
      </w:pPr>
      <w:r>
        <w:rPr>
          <w:rFonts w:ascii="Barlow Semi Condensed" w:cs="Barlow Semi Condensed" w:eastAsia="Barlow Semi Condensed" w:hAnsi="Barlow Semi Condensed"/>
          <w:sz w:val="24"/>
          <w:szCs w:val="24"/>
        </w:rPr>
        <w:t xml:space="preserve">Il versante uruguaiano del ponte piduista completa la geografia australe della loggia, ed il registro lo censisce accanto al caso argentino: Umberto Ortolani, il numero 2 della struttura censito nella prima fase dell'opera, aveva stabilito a Montevideo il proprio quartier generale finanziario sudamericano, con la banca di famiglia operante nella piazza uruguaiana, la naturalizzazione e le relazioni di vertice che le acquisizioni della Commissione Anselmi documentarono, facendo dell'Uruguay degli anni della dittatura la seconda capitale operativa della loggia dopo Buenos Aires, Livello A quanto agli insediamenti ed alle acquisizioni parlamentari. Il registro salda il dato alla struttura della fase: i 2 vertici della piramide gelliana risultano così stabilmente installati nei 2 Paesi cardine del coordinamento repressivo censito dal pilastro, l'Argentina di Gelli e López Rega, l'Uruguay di Ortolani, negli anni esatti in cui quel coordinamento operava, e questa doppia residenza documentata, quale che ne sia stata la funzione operativa mai integralmente giudicata, colloca fisicamente la massima struttura di intermediazione del grafo italiano dentro il perimetro geografico del Condor, con la conseguenza analitica che la fase consegna alla verifica finale: il ponte tra il capitolo italiano e il teatro australe non è un'inferenza degli analisti, è un indirizzo, anzi 2.</w:t>
      </w:r>
    </w:p>
    <w:p>
      <w:pPr>
        <w:spacing w:after="120" w:line="276"/>
        <w:jc w:val="both"/>
      </w:pPr>
      <w:r>
        <w:rPr>
          <w:rFonts w:ascii="Barlow Semi Condensed" w:cs="Barlow Semi Condensed" w:eastAsia="Barlow Semi Condensed" w:hAnsi="Barlow Semi Condensed"/>
          <w:sz w:val="24"/>
          <w:szCs w:val="24"/>
        </w:rPr>
        <w:t xml:space="preserve">Alla topografia argentina del sistema appartiene, accanto all'officina censita, il suo centro maggiore, che il registro riporta per completezza comparativa: la Escuela de Mecánica de la Armada di Buenos Aires, il più vasto centro clandestino di detenzione del regime, per il quale transitarono migliaia di prigionieri in gran parte mai riemersi, oggi convertito in museo e sito della memoria con il riconoscimento del patrimonio mondiale, Livello A quanto alla funzione storica accertata dai giudicati argentini ed alla destinazione memoriale. La comparazione con l'officina del coordinamento è la funzione del reperto: l'ESMA fu la macchina nazionale del terrore, Orletti la sua succursale multinazionale, e la coesistenza documentata delle 2 strutture nella medesima città certifica la doppia scala del sistema che il pilastro misura, quella interna della repressione di massa e quella transnazionale del coordinamento selettivo, con la conseguenza museale che il registro annota per la verifica finale: l'Argentina ha trasformato entrambe in luoghi pubblici della memoria, applicando ai propri edifici del terrore la stessa politica che il capitolo ha censito per i propri processi, mentre nessun luogo italiano del corpus, nessuna caserma, nessun ufficio, nessuna sede coperta, ha mai conosciuto conversione equivalente.</w:t>
      </w:r>
    </w:p>
    <w:p>
      <w:pPr>
        <w:spacing w:after="120" w:line="276"/>
        <w:jc w:val="both"/>
      </w:pPr>
      <w:r>
        <w:rPr>
          <w:rFonts w:ascii="Barlow Semi Condensed" w:cs="Barlow Semi Condensed" w:eastAsia="Barlow Semi Condensed" w:hAnsi="Barlow Semi Condensed"/>
          <w:sz w:val="24"/>
          <w:szCs w:val="24"/>
        </w:rPr>
        <w:t xml:space="preserve">Il teatro cileno del pilastro possiede infine il suo contrappunto luminoso, che il registro censisce per dovere di completezza e per disciplina d'equilibrio: nei mesi successivi al golpe del settembre 1973, la sede diplomatica italiana a Santiago, già evocata, divenne il maggiore rifugio occidentale della capitale, accogliendo entro i propri muri centinaia di perseguitati che vi scavalcarono la cinta, ospitati per mesi e progressivamente trasferiti in Italia con salvacondotti negoziati, senza che una sola persona accolta venisse mai consegnata al regime, Livello A quanto alla vicenda documentata dagli archivi diplomatici e dalle testimonianze convergenti. Il registro assegna al reperto la sua funzione strutturale nell'economia dell'opera: la medesima Repubblica i cui apparati la fase censisce nelle loro torsioni esprimeva, simultaneamente e attraverso altri suoi servitori, la più ampia operazione umanitaria occidentale del teatro cileno, e questa compresenza documentata delle 2 Italie nello stesso scacchiere, quella dei canali coperti e quella dei cancelli aperti, è la dimostrazione empirica della tesi anti-monolitica che governa l'intero metodo: gli Stati del corpus non sono attori unitari ma campi di forze, e la storia che l'opera ricostruisce non è quella di nazioni colpevoli, ma di domini in conflitto dentro ogni nazione, con la conseguenza che ogni giudizio sommario su un Paese intero è, per il metodo di quest'opera, un errore di risoluzione prima che di merito.</w:t>
      </w:r>
    </w:p>
    <w:p>
      <w:pPr>
        <w:spacing w:after="120" w:line="276"/>
        <w:jc w:val="both"/>
      </w:pPr>
      <w:r>
        <w:rPr>
          <w:rFonts w:ascii="Barlow Semi Condensed" w:cs="Barlow Semi Condensed" w:eastAsia="Barlow Semi Condensed" w:hAnsi="Barlow Semi Condensed"/>
          <w:sz w:val="24"/>
          <w:szCs w:val="24"/>
        </w:rPr>
        <w:t xml:space="preserve">Il fascicolo cileno conosce infine la sua chiusura documentale d'oltreoceano, che il registro censisce quale autocertificazione terminale del campo: il rapporto consegnato al Congresso nel settembre 2000 in esecuzione dell'emendamento che ne portava il nome, con cui l'agenzia americana ammise ufficialmente, a 27 anni dal golpe, la portata dei propri programmi cileni, i finanziamenti, i rapporti con gli apparati della giunta ed i contatti con figure coinvolte in crimini accertati, accompagnando l'ammissione con la declassificazione di decine di migliaia di carte disposta nella medesima stagione, Livello A quanto ai contenuti del rapporto ed al corpus declassificato. Il registro salda il documento alla struttura probatoria dell'intero pilastro: con il rapporto del 2000 il caso cileno raggiunse la configurazione documentale perfetta che quasi nessun altro nodo dell'opera possiede, la convergenza tra gli archivi delle vittime, i giudicati dei tribunali di 2 continenti e l'ammissione scritta del committente, e questa saturazione delle fonti spiega perché il pilastro australe costituisca, nell'economia del metodo, il caso di controllo dell'intera opera: è il teatro dove si può misurare come appare un sistema coperto quando tutte le sue carte, per una volta, sono uscite, ed è con quel metro che il registro ha pesato, per differenza, tutti i teatri dove le carte non sono uscite ancora.</w:t>
      </w:r>
    </w:p>
    <w:p>
      <w:pPr>
        <w:spacing w:after="120" w:line="276"/>
        <w:jc w:val="both"/>
      </w:pPr>
      <w:r>
        <w:rPr>
          <w:rFonts w:ascii="Barlow Semi Condensed" w:cs="Barlow Semi Condensed" w:eastAsia="Barlow Semi Condensed" w:hAnsi="Barlow Semi Condensed"/>
          <w:sz w:val="24"/>
          <w:szCs w:val="24"/>
        </w:rPr>
        <w:t xml:space="preserve">Il sistema australe conobbe il proprio punto di rottura strategica nella capitale del patrono, ed il registro lo censisce quale svolta documentata: il 21 settembre 1976 un ordigno collocato dalla polizia segreta cilena uccise a Washington, a pochi isolati dalla Casa Bianca, l'ex ministro Orlando Letelier e la collaboratrice americana Ronni Moffitt, nell'unica operazione del coordinamento consumata sul territorio degli Stati Uniti, e le indagini federali che ne seguirono, con le condanne americane degli esecutori e l'incriminazione dei vertici della DINA, aprirono la crisi che avrebbe progressivamente separato Washington dal sistema che aveva tollerato, Livello A quanto all'attentato, alle vittime ed agli esiti giudiziari americani. Il registro consegna l'attentato alla sua funzione di cerniera nell'economia del pilastro: Washington 1976 dimostrò che un apparato repressivo abituato all'impunità continentale aveva perso la percezione dei confini del tollerabile, colpendo nel cuore della potenza tutrice con la stessa disinvoltura usata a Buenos Aires, e la reazione americana che ne seguì, giudiziaria e politica, certifica la legge di sistema che l'intera fase documenta: i patroni dei campi non difendono i clienti dai crimini, li difendono dai crimini commessi nel posto sbagliato, e la geografia dell'impunità del Condor, totale a Sud e nulla sul Potomac, è la mappa più onesta che il corpus possieda di che cosa fosse davvero in vendita, e dove.</w:t>
      </w:r>
    </w:p>
    <w:p>
      <w:pPr>
        <w:spacing w:after="120" w:line="276"/>
        <w:jc w:val="both"/>
      </w:pPr>
      <w:r>
        <w:rPr>
          <w:rFonts w:ascii="Barlow Semi Condensed" w:cs="Barlow Semi Condensed" w:eastAsia="Barlow Semi Condensed" w:hAnsi="Barlow Semi Condensed"/>
          <w:sz w:val="24"/>
          <w:szCs w:val="24"/>
        </w:rPr>
        <w:t xml:space="preserve">La parabola giudiziaria del capo dell'apparato esige il suo censimento, che il registro riporta quale contrappasso documentato: il generale Manuel Contreras, fondatore e direttore della polizia segreta cilena negli anni del coordinamento, condannato una prima volta per l'attentato di Washington dopo la fine del regime, accumulò nei processi cileni dei 2 decenni successivi condanne cumulative per centinaia di anni di reclusione per le sparizioni e gli omicidi accertati caso per caso, e morì detenuto nel 2015, Livello A quanto alle condanne ed alla morte in carcere. Il registro consegna la parabola alla sua funzione di misura: l'uomo che aveva diretto l'apparato dell'impunità continentale morì sepolto da un contenzioso penale che i tribunali del suo Paese ricostruirono vittima per vittima, e la distanza tra le 2 stagioni della sua biografia, l'onnipotenza degli anni Settanta e la contabilità giudiziaria del nuovo secolo, certifica la legge che il pilastro australe consegna all'intera opera: l'impunità dei sistemi coperti non è una condizione ma una fase, dura quanto dura la protezione politica che la produce, e quando la protezione cade, la documentazione maniacale che ogni apparato produce di sé stesso, gli archivi, le liste, le catene di comando, si converte da strumento del potere in corpo del reato, sicché i tribunali di Santiago hanno condannato il generale, in larga parte, con le carte del generale.</w:t>
      </w:r>
    </w:p>
    <w:p>
      <w:pPr>
        <w:spacing w:after="120" w:line="276"/>
        <w:jc w:val="both"/>
      </w:pPr>
      <w:r>
        <w:rPr>
          <w:rFonts w:ascii="Barlow Semi Condensed" w:cs="Barlow Semi Condensed" w:eastAsia="Barlow Semi Condensed" w:hAnsi="Barlow Semi Condensed"/>
          <w:sz w:val="24"/>
          <w:szCs w:val="24"/>
        </w:rPr>
        <w:t xml:space="preserve">Il pilastro cileno possiede anche il suo contrappunto luminoso, che il registro censisce con il rilievo dovuto: il Vicariato della Solidarietà, l'organismo creato dalla Chiesa di Santiago nel 1976 dopo lo scioglimento forzato del primo comitato ecumenico, operò per l'intera durata del regime quale unica struttura legale di assistenza alle vittime, documentando caso per caso arresti, sparizioni e torture in un archivio sistematico che, alla caduta del regime, divenne la base documentale primaria delle commissioni verità e dei processi, Livello A quanto all'attività ed alla funzione documentale svolta. Il registro consegna l'istituzione alla sua doppia funzione nell'economia dell'opera: sul piano fattuale, l'archivio del Vicariato dimostra che la documentazione delle vittime, raccolta in tempo reale sotto il regime stesso, può sopravanzare per qualità gli archivi dei carnefici, ribaltando la dipendenza dai crolli altrui che il corpus ha censito quale legge; sul piano comparativo, la scelta della Chiesa cilena di schierare la propria extraterritorialità morale dalla parte dei perseguitati costituisce l'esatto rovescio degli usi della sponda vaticana censiti nella fase prima, e la compresenza dei 2 modelli nella stessa istituzione universale conferma il principio metodologico che governa l'intera opera: nessun dominio è monolitico, ogni struttura contiene i propri giusti ed i propri complici, e la storia si scrive contando gli uni e gli altri, mai presumendo né gli uni né gli altri.</w:t>
      </w:r>
    </w:p>
    <w:p>
      <w:pPr>
        <w:spacing w:after="120" w:line="276"/>
        <w:jc w:val="both"/>
      </w:pPr>
      <w:r>
        <w:rPr>
          <w:rFonts w:ascii="Barlow Semi Condensed" w:cs="Barlow Semi Condensed" w:eastAsia="Barlow Semi Condensed" w:hAnsi="Barlow Semi Condensed"/>
          <w:sz w:val="24"/>
          <w:szCs w:val="24"/>
        </w:rPr>
        <w:t xml:space="preserve">La transizione argentina produsse infine il prototipo documentale che il registro censisce quale modello esportato: la commissione nazionale sulla sparizione delle persone, istituita nel dicembre 1983 dal primo governo democratico e presieduta dallo scrittore Ernesto Sabato, consegnò in 9 mesi il rapporto Nunca Más, la prima grande inchiesta ufficiale di uno Stato sui crimini del proprio regime appena caduto, censimento sistematico dei casi, dei centri clandestini e delle metodologie che fornì la base probatoria del processo alle giunte e la matrice riconosciuta di tutte le commissioni verità successive, Livello A quanto all'istituzione, al rapporto ed alla sua funzione. Il registro colloca il prototipo nella comparazione che il capitolo ha costruito: l'Argentina inventò, a 9 mesi dalla caduta, lo strumento che l'Italia della stessa epoca non ha mai adottato in 50 anni, la commissione con mandato di sola verità, separata dal processo penale e perciò libera dai suoi tempi e dai suoi standard, e la differenza tra i 2 percorsi, il Paese che scrisse subito il proprio Nunca Más ed il Paese che affidò la propria verità a 5 decenni di dibattimenti ed a commissioni parlamentari per loro natura divise, spiega in parte l'asimmetria degli esiti che l'opera documenta: dove la verità fu separata dalla punizione, si ottenne almeno la verità; dove restarono congiunte, la prescrizione ed il ragionevole dubbio, uccidendo la seconda, ferirono per sempre anche la prima.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teatro latinoamericano è certificato quale sistema di diaspore e retrovie con il Condor al Livello A quale cornice, le presenze italiane nere e piduiste documentate su versanti distinti senza coordinamento provato, gli esiti assolutori riportati per esteso, e la mappa delle capitali-rifugio elevata a teorema geografico: la protezione segue la frattura giurisdizionale, non l'asse ideologico.</w:t>
      </w:r>
    </w:p>
    <w:p>
      <w:pPr>
        <w:pStyle w:val="Heading3"/>
        <w:spacing w:after="80" w:before="160"/>
      </w:pPr>
      <w:r>
        <w:rPr>
          <w:rFonts w:ascii="Barlow Semi Condensed" w:cs="Barlow Semi Condensed" w:eastAsia="Barlow Semi Condensed" w:hAnsi="Barlow Semi Condensed"/>
          <w:sz w:val="24"/>
          <w:szCs w:val="24"/>
        </w:rPr>
        <w:t xml:space="preserve">Capitolo 3 — Il Sudafrica dell'apartheid: l'hub australe e lo Stato Zero esemplare</w:t>
      </w:r>
    </w:p>
    <w:p>
      <w:pPr>
        <w:spacing w:after="120" w:line="276"/>
        <w:jc w:val="both"/>
      </w:pPr>
      <w:r>
        <w:rPr>
          <w:rFonts w:ascii="Barlow Semi Condensed" w:cs="Barlow Semi Condensed" w:eastAsia="Barlow Semi Condensed" w:hAnsi="Barlow Semi Condensed"/>
          <w:sz w:val="24"/>
          <w:szCs w:val="24"/>
        </w:rPr>
        <w:t xml:space="preserve">Il terzo nodo è il Sudafrica dell'apartheid, il teatro che la lettura reticolare dei corpora internazionali dell'opera ha misurato quale nodo di massima intermediazione tra i dossier, il punto per cui passano i percorsi che collegano insiemi documentali altrimenti disconnessi, dalla rete Aginter alle trame delle sanzioni aggirate, dalle diaspore postbelliche alle verifiche sui circoli riservati. Il registro certifica al Livello A la posizione di hub, quale misura reticolare condotta sul corpus, e ne distende i fondamenti nei pilastri.</w:t>
      </w:r>
    </w:p>
    <w:p>
      <w:pPr>
        <w:spacing w:after="120" w:line="276"/>
        <w:jc w:val="both"/>
      </w:pPr>
      <w:r>
        <w:rPr>
          <w:rFonts w:ascii="Barlow Semi Condensed" w:cs="Barlow Semi Condensed" w:eastAsia="Barlow Semi Condensed" w:hAnsi="Barlow Semi Condensed"/>
          <w:sz w:val="24"/>
          <w:szCs w:val="24"/>
        </w:rPr>
        <w:t xml:space="preserve">Il primo pilastro censisce gli assi di complicità documentati. La monografia comparativa dell'opera ha certificato i 2 assi maggiori del sostegno esterno al regime, quello israeliano e quello britannico, ciascuno con la propria documentazione di cooperazione militare, tecnologica e finanziaria attraverso i decenni delle sanzioni, e il controcanto del campo opposto, la lunga ostilità sovietica e del blocco orientale con il sostegno ai movimenti di liberazione; il registro certifica al Livello A l'esistenza e la consistenza documentale degli assi, quali dati delle acquisizioni internazionali, e ne trae il primo fondamento della centralità: il regime australe fu, per mezzo secolo, il punto in cui gli interessi dei campi si incrociarono in configurazioni non riducibili alla logica bipolare, un teatro nel quale la geometria delle complicità attraversò gli schieramenti, e questa irriducibilità documentata è la ragione strutturale per cui i percorsi del grafo vi convergono.</w:t>
      </w:r>
    </w:p>
    <w:p>
      <w:pPr>
        <w:spacing w:after="120" w:line="276"/>
        <w:jc w:val="both"/>
      </w:pPr>
      <w:r>
        <w:rPr>
          <w:rFonts w:ascii="Barlow Semi Condensed" w:cs="Barlow Semi Condensed" w:eastAsia="Barlow Semi Condensed" w:hAnsi="Barlow Semi Condensed"/>
          <w:sz w:val="24"/>
          <w:szCs w:val="24"/>
        </w:rPr>
        <w:t xml:space="preserve">Il secondo pilastro censisce la rete europea dell'aggiramento delle sanzioni, il sistema di intermediari, società di comodo e canali finanziari che garantì al regime, negli anni dell'embargo, l'approvvigionamento militare e tecnologico attraverso piazze e operatori europei; la documentazione, emersa per inchieste giornalistiche, atti giudiziari sparsi e desecretazioni successive alla transizione, disegna una rete la cui consistenza il registro certifica al Livello B nel suo insieme, quale convergenza di fonti eterogenee non unificate da un accertamento organico, con i singoli episodi ai livelli propri; al medesimo pilastro appartiene il caso che salda il teatro alla cronaca europea, l'assassinio del primo ministro svedese Olof Palme, ucciso a Stoccolma il 28 febbraio 1986: tra le piste investigate dalla giustizia svedese figurò quella sudafricana, alimentata a metà degli anni Novanta da dichiarazioni di ex appartenenti agli apparati del regime sul movente dell'ostilità di Palme alle politiche dell'apartheid, e mai approdata a riscontro; l'inchiesta svedese fu chiusa nel 2020 con l'indicazione di un sospettato deceduto e senza processo. Il registro certifica al Livello A l'omicidio, la data, l'esistenza della pista e la chiusura del 2020, quali fatti documentali, nomina Olof Palme tra le vittime richiamate della fase, e mantiene al Livello C la pista sudafricana quale ipotesi investigata e non provata, secondo la disciplina che il caso, il più celebre omicidio politico irrisolto d'Europa, esige nella forma più severa.</w:t>
      </w:r>
    </w:p>
    <w:p>
      <w:pPr>
        <w:spacing w:after="120" w:line="276"/>
        <w:jc w:val="both"/>
      </w:pPr>
      <w:r>
        <w:rPr>
          <w:rFonts w:ascii="Barlow Semi Condensed" w:cs="Barlow Semi Condensed" w:eastAsia="Barlow Semi Condensed" w:hAnsi="Barlow Semi Condensed"/>
          <w:sz w:val="24"/>
          <w:szCs w:val="24"/>
        </w:rPr>
        <w:t xml:space="preserve">Il terzo pilastro censisce la verifica sui circoli riservati, il triangolo tra il teatro australe, il circolo transnazionale noto quale Le Cercle e l'orbita di Ordre et Tradition, che la monografia dedicata dell'opera ha sottoposto a stress documentale: la verifica ha certificato l'esistenza dei circoli, la documentazione delle loro composizioni per le stagioni note e i punti di contatto attestati con gli ambienti del regime, e ha negato la certificazione a ogni lettura funzionale unificante, mantenendo i contatti al Livello B e le funzioni al Livello C; il registro recepisce l'esito quale modello della propria disciplina sui mondi riservati transnazionali, nei quali l'esistenza è documentabile, la composizione parzialmente ricostruibile e la funzione strutturalmente eccedente le fonti.</w:t>
      </w:r>
    </w:p>
    <w:p>
      <w:pPr>
        <w:spacing w:after="120" w:line="276"/>
        <w:jc w:val="both"/>
      </w:pPr>
      <w:r>
        <w:rPr>
          <w:rFonts w:ascii="Barlow Semi Condensed" w:cs="Barlow Semi Condensed" w:eastAsia="Barlow Semi Condensed" w:hAnsi="Barlow Semi Condensed"/>
          <w:sz w:val="24"/>
          <w:szCs w:val="24"/>
        </w:rPr>
        <w:t xml:space="preserve">Il quarto pilastro censisce lo Stato Zero esemplare della fase, la verifica condotta sul raccordo tra le radici australi contemporanee e le reti storiche del corpus. L'opera ha condotto il riscontro sistematico tra i profili biografici dei membri del gruppo imprenditoriale contemporaneo noto quale PayPal Mafia e i nodi storici del teatro: la verifica ha certificato al Livello A le radici biografiche sudafricane o namibiane di 4 profili, quali dati pubblici documentati, e ha certificato, con eguale nettezza, l'esito negativo integrale del riscontro sulle connessioni, nessun elemento documentale collegando alcuno dei profili verificati alla rete Aginter, all'orbita di Delle Chiaie o ad alcun nodo storico del corpus; il registro dichiara lo Stato Zero con il perimetro della ricerca che lo fonda, l'intero corpus documentale dell'opera, e lo eleva a esemplare della categoria: la verifica fu condotta perché la suggestione geografica la sollecitava, fu condotta integralmente, e restituì il nulla documentato, che il registro trascrive quale risultato di prima classe, la delimitazione certificata dello spazio delle ipotesi, con il divieto assoluto, dichiarato in avvertenza, di ogni inferenza associativa dalla mera menzione dei profili verificati.</w:t>
      </w:r>
    </w:p>
    <w:p>
      <w:pPr>
        <w:spacing w:after="120" w:line="276"/>
        <w:jc w:val="both"/>
      </w:pPr>
      <w:r>
        <w:rPr>
          <w:rFonts w:ascii="Barlow Semi Condensed" w:cs="Barlow Semi Condensed" w:eastAsia="Barlow Semi Condensed" w:hAnsi="Barlow Semi Condensed"/>
          <w:sz w:val="24"/>
          <w:szCs w:val="24"/>
        </w:rPr>
        <w:t xml:space="preserve">Il quinto pilastro censisce il sostrato storico del teatro, le diaspore postbelliche che il corpus dell'opera ha documentato. La monografia dedicata ha censito la presenza in Africa australe delle reti della diaspora tedesca e filotedesca, dagli internamenti bellici dei simpatizzanti nell'Unione Sudafricana alla permanenza postbellica di comunità e ambienti che le acquisizioni collocano nel tessuto del regime successivo; il registro certifica al Livello A l'esistenza documentata del sostrato, quale dato storico consolidato dalle acquisizioni del corpus, mantiene ai livelli propri le singole traiettorie individuali censite, e ne dichiara la funzione strutturale: il teatro australe entra nel dopoguerra già dotato di un tessuto di reti riservate a matrice europea, e la sua successiva funzione di hub non nasce dal nulla ma si innesta su questa stratificazione, che il registro trascrive quale primo strato documentale del nodo, secondo il metodo della lettura per strati che l'opera ha applicato ai propri nodi di massima profondità.</w:t>
      </w:r>
    </w:p>
    <w:p>
      <w:pPr>
        <w:spacing w:after="120" w:line="276"/>
        <w:jc w:val="both"/>
      </w:pPr>
      <w:r>
        <w:rPr>
          <w:rFonts w:ascii="Barlow Semi Condensed" w:cs="Barlow Semi Condensed" w:eastAsia="Barlow Semi Condensed" w:hAnsi="Barlow Semi Condensed"/>
          <w:sz w:val="24"/>
          <w:szCs w:val="24"/>
        </w:rPr>
        <w:t xml:space="preserve">Il sesto pilastro censisce il vertice tecnologico dell'asse, il programma nucleare. Il regime sviluppò, nei decenni dell'isolamento, un programma nucleare militare giunto alla produzione di 6 ordigni, condotto con la cooperazione tecnologica che la documentazione attribuisce in misura maggiore all'asse israeliano censito nel primo pilastro, e lo smantellò unilateralmente nella transizione, con l'annuncio pubblico del presidente de Klerk del 24 marzo 1993 che rese il Sudafrica l'unico Stato ad avere costruito e volontariamente dismesso un arsenale nucleare; il registro certifica al Livello A il programma, la consistenza, lo smantellamento e l'annuncio, quali dati consolidati, certifica al Livello B la componente israeliana della cooperazione nei termini che la documentazione non ufficiale consente, e ne trae il dato che consegna alla mappa dell'opera: il teatro australe fu, per 2 decenni, l'unico nodo del grafo internazionale dotato di capacità nucleare autonoma extra-bipolare, e questa singolarità certificata, sommata all'irriducibilità degli assi del primo pilastro, completa il fondamento strutturale della sua centralità: il punto del sistema mondiale in cui le regole dei campi valevano meno era, necessariamente, il punto per cui passavano i percorsi che le regole dei campi vietavano.</w:t>
      </w:r>
    </w:p>
    <w:p>
      <w:pPr>
        <w:spacing w:after="120" w:line="276"/>
        <w:jc w:val="both"/>
      </w:pPr>
      <w:r>
        <w:rPr>
          <w:rFonts w:ascii="Barlow Semi Condensed" w:cs="Barlow Semi Condensed" w:eastAsia="Barlow Semi Condensed" w:hAnsi="Barlow Semi Condensed"/>
          <w:sz w:val="24"/>
          <w:szCs w:val="24"/>
        </w:rPr>
        <w:t xml:space="preserve">Il settimo pilastro censisce la transizione quale evento archivistico, il ponte del nodo verso la legge del capitolo nono. La sequenza della transizione sudafricana, dalla liberazione di Nelson Mandela dell'11 febbraio 1990 alle prime elezioni universali del 27 aprile 1994, costituì per il teatro l'evento di apertura che la tassonomia classifica quale collasso negoziato del regime protettore, e produsse i frutti documentali che la fase ha impiegato, dal processo di verità e riconciliazione ai versamenti che illuminarono la rete delle sanzioni e le complicità esterne; il registro certifica al Livello A la sequenza e la sua funzione di apertura, quali dati storici, e ne trae l'annotazione riflessiva che il nodo consegna: la centralità del teatro australe nel grafo internazionale dell'opera è essa stessa, in parte misurabile, un prodotto della transizione, giacché il Sudafrica è, tra i regimi protettori del corpus, quello la cui caduta ha aperto gli archivi nella forma più organica, e la sua densità documentale, dalla quale la misura di intermediazione dipende, incorpora il vantaggio archivistico; il registro applica al proprio hub la correzione del lampione che esso stesso ha formalizzato, dichiara che la posizione di massimo nodo inter-dossier resta certificata quale misura sul corpus disponibile e non quale gerarchia storica assoluta, e consegna l'autocorrezione quale esempio terminale della disciplina, il registro che applica a se stesso, sul proprio risultato più visibile, la cautela che ha imposto a ogni comparazione.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Sudafrica-assi di complicità-irriducibilità bipolare, certifica il fondamento strutturale della centralità del teatro. La seconda, sanzioni aggirate-rete europea-caso Palme, congiunge il sistema documentato al suo caso limite, con la pista al Livello C e la disciplina della non prova. La terza, radici biografiche-corpus storico-Stato Zero, formalizza la verifica negativa esemplare quale lascito metodologico della fase.</w:t>
      </w:r>
    </w:p>
    <w:p>
      <w:pPr>
        <w:spacing w:after="120" w:line="276"/>
        <w:jc w:val="both"/>
      </w:pPr>
      <w:r>
        <w:rPr>
          <w:rFonts w:ascii="Barlow Semi Condensed" w:cs="Barlow Semi Condensed" w:eastAsia="Barlow Semi Condensed" w:hAnsi="Barlow Semi Condensed"/>
          <w:sz w:val="24"/>
          <w:szCs w:val="24"/>
        </w:rPr>
        <w:t xml:space="preserve">Al Dominio 8 del teatro australe appartiene lo scandalo che ne rivelò la strategia, e che il registro censisce quale reperto sulla guerra dell'informazione condotta dal regime: la vicenda nota quale Muldergate, esplosa tra il 1978 ed il 1979, accertò che il dipartimento dell'informazione di Pretoria aveva alimentato con fondi neri un programma clandestino di condizionamento mediatico, comprensivo della creazione di una testata nazionale compiacente e di tentativi di acquisizione occulta di organi di stampa esteri, e la deflagrazione pubblica del programma travolse i suoi responsabili politici sino a lambire la successione al vertice dello Stato, Livello A quanto allo scandalo, agli accertamenti ed alle conseguenze politiche. Il registro assegna al reperto la sua funzione comparativa: il Muldergate documenta che il regime isolato considerava il campo mediatico internazionale un teatro operativo alla pari di quello militare e finanziario, e la sua strumentazione, fondi riservati, prestanome editoriali, acquisizioni schermate, replica punto per punto la grammatica che le fasi nazionali hanno certificato sul versante italiano nella stagione della scalata piduista al maggiore quotidiano del Paese, sicché il caso australe vale quale conferma indipendente, maturata in tutt'altro ordinamento, di una legge del Dominio 8 che l'opera ha già misurato in casa: chi non può comprare il consenso alla luce lo compra al buio, e il prezzo occulto dell'informazione è una costante dei sistemi assediati.</w:t>
      </w:r>
    </w:p>
    <w:p>
      <w:pPr>
        <w:spacing w:after="120" w:line="276"/>
        <w:jc w:val="both"/>
      </w:pPr>
      <w:r>
        <w:rPr>
          <w:rFonts w:ascii="Barlow Semi Condensed" w:cs="Barlow Semi Condensed" w:eastAsia="Barlow Semi Condensed" w:hAnsi="Barlow Semi Condensed"/>
          <w:sz w:val="24"/>
          <w:szCs w:val="24"/>
        </w:rPr>
        <w:t xml:space="preserve">Alla rete dell'aggiramento va premessa la sua data-cerniera, che ne muta la qualificazione giuridica e che il registro fissa quale spartiacque del nodo: nel novembre 1977 il Consiglio di sicurezza delle Nazioni Unite, con la risoluzione 418, rese obbligatorio l'embargo sulle forniture di armi al regime, sino ad allora raccomandato su base volontaria, trasformando da quel momento ogni canale di approvvigionamento militare in violazione di un obbligo internazionale vincolante per tutti gli Stati membri, Livello A quanto all'atto ed alla sua portata. La cerniera ordina la cronologia del pilastro: prima del 1977 l'assistenza militare al regime era materia di scelta politica nazionale, censurabile ma legale; dopo, divenne contrabbando di sistema, e la rete europea di intermediari e società di comodo che il pilastro certifica operò, per l'intero quindicennio successivo, nella piena consapevolezza dell'illiceità internazionale, con la conseguenza analitica che il registro ne trae: la continuità dei flussi attraverso la soglia del 1977, documentata dalle acquisizioni, misura l'esatta differenza tra il diritto internazionale e la sua esecuzione, e consegna al teatro australe il suo teorema, che un embargo obbligatorio senza apparato coercitivo non chiude i canali, li riprezza, spostando il traffico dalla contabilità degli Stati a quella, più costosa e più opaca, degli intermediari che l'opera ha censito.</w:t>
      </w:r>
    </w:p>
    <w:p>
      <w:pPr>
        <w:spacing w:after="120" w:line="276"/>
        <w:jc w:val="both"/>
      </w:pPr>
      <w:r>
        <w:rPr>
          <w:rFonts w:ascii="Barlow Semi Condensed" w:cs="Barlow Semi Condensed" w:eastAsia="Barlow Semi Condensed" w:hAnsi="Barlow Semi Condensed"/>
          <w:sz w:val="24"/>
          <w:szCs w:val="24"/>
        </w:rPr>
        <w:t xml:space="preserve">Il pilastro australe possiede infine il suo ponte biografico diretto con il capitolo italiano dell'opera, che il registro censisce quale saldatura fisica tra i 2 teatri: il generale Gianadelio Maletti, il vertice del controspionaggio italiano destinatario delle condanne definitive censite nella fase seconda, riparò all'inizio degli anni Ottanta proprio nel Sudafrica dell'apartheid, dove visse da allora stabilmente, sottratto di fatto all'esecuzione ed alle successive vicende giudiziarie italiane dall'assenza di estradizione, sino ad essere ascoltato dalle autorità parlamentari italiane in trasferta a Johannesburg nel marzo 1997, Livello A quanto al rifugio, alla sua durata ed all'audizione. Il registro consegna la traiettoria alla sua doppia funzione documentale: sul piano del grafo, l'ufficiale che aveva governato la zona grigia tra apparati e trame censita dall'opera scelse quale rifugio l'ordinamento che il pilastro certifica quale terminale delle reti occidentali di aggiramento, saldando in una sola biografia il capitolo italiano ed il teatro australe; sul piano del metodo, il caso dimostra che la geografia degli esili non è mai neutra, e che la mappa dei Paesi che accolsero i condannati e gli imputati della stagione italiana, la Spagna franchista per gli ordinovisti, il Cono Sud per i latitanti neri, il Sudafrica per il generale, coincide con esattezza con la mappa dei regimi che i pilastri della fase hanno censito, sicché le latitanze disegnano, in negativo, la stessa rete che i documenti disegnano in positivo.</w:t>
      </w:r>
    </w:p>
    <w:p>
      <w:pPr>
        <w:spacing w:after="120" w:line="276"/>
        <w:jc w:val="both"/>
      </w:pPr>
      <w:r>
        <w:rPr>
          <w:rFonts w:ascii="Barlow Semi Condensed" w:cs="Barlow Semi Condensed" w:eastAsia="Barlow Semi Condensed" w:hAnsi="Barlow Semi Condensed"/>
          <w:sz w:val="24"/>
          <w:szCs w:val="24"/>
        </w:rPr>
        <w:t xml:space="preserve">Il versante nucleare del pilastro possiede il suo enigma strumentale, che il registro censisce quale caso limite della propria scala: il 22 settembre 1979 un satellite americano della rete di sorveglianza rilevò sull'Atlantico australe il doppio lampo caratteristico di una detonazione nucleare atmosferica, in un'area compatibile con una cooperazione di test tra il programma sudafricano censito dal pilastro e quello israeliano, e l'evento, mai rivendicato da alcuno Stato, fu sottoposto ad un riesame tecnico americano che ne prospettò la possibile natura di artefatto strumentale, con conclusioni contestate da parte della comunità scientifica e mai seguite da un accertamento definitivo in alcuna sede, Livello A quanto alla rilevazione ed alla controversia documentata, Livello B quanto alla natura nucleare dell'evento secondo le valutazioni tecniche prevalenti, Livello C quanto ad ogni attribuzione statuale. Il registro censisce il doppio lampo per la sua unicità epistemologica nel corpus: si tratta dell'unico evento dell'intera opera del quale è incerta non la paternità ma l'esistenza stessa, un possibile fatto senza autore che nessuna desecretazione ha mai promosso né a fatto pieno né a non-fatto, e questa sospensione quarantennale, mantenuta da tutte le potenze interessate al silenzio, è la dimostrazione estrema della legge che il pilastro australe consegna alla fase: dove convergono i segreti di 2 programmi nucleari clandestini, il mondo può non sapere per sempre nemmeno se qualcosa è accaduto, ed il registro archivia il caso quale confine esterno del conoscibile, il punto oltre il quale il metodo dell'opera dichiara onestamente di non poter procedere.</w:t>
      </w:r>
    </w:p>
    <w:p>
      <w:pPr>
        <w:spacing w:after="120" w:line="276"/>
        <w:jc w:val="both"/>
      </w:pPr>
      <w:r>
        <w:rPr>
          <w:rFonts w:ascii="Barlow Semi Condensed" w:cs="Barlow Semi Condensed" w:eastAsia="Barlow Semi Condensed" w:hAnsi="Barlow Semi Condensed"/>
          <w:sz w:val="24"/>
          <w:szCs w:val="24"/>
        </w:rPr>
        <w:t xml:space="preserve">Il pilastro australe e quello africano esigono infine la loro comparazione terminale, che il registro formula quale tripartizione degli esiti: i 3 grandi teatri della violenza di Stato censiti dalla fase approdarono a 3 scioglimenti diversi, l'Argentina del processo immediato alle giunte, poi sospeso dalle leggi del perdono e riaperto con il loro annullamento sino alle condanne del nuovo secolo, il Cile della transizione pattuita, dove la giustizia penetrò tardi e per accumulo di casi individuali sino alla morte del capo mai condannato, ed il Sudafrica della commissione per verità e riconciliazione, che scambiò formalmente l'amnistia individuale contro la confessione integrale e pubblica, Livello A quanto ai 3 percorsi ed ai loro esiti documentati. Il registro consegna la tripartizione alla sua funzione di specchio per il caso italiano che l'intera opera serve: punizione, prescrizione negoziata e verità scambiata sono le 3 vie che il mondo ha sperimentato davanti ai propri sotterranei, e l'Italia del corpus non ne ha percorsa per intero nessuna, non la prima, che i suoi processi hanno realizzato solo per frammenti, non la terza, che il suo ordinamento non ha mai istituito, restando sospesa nella seconda senza nemmeno il patto esplicito che altrove la fondò, e questa incompiutezza comparata, che il registro constata senza retorica, è forse la definizione più esatta del problema italiano che l'opera consegna al lettore: non un Paese senza giustizia né un Paese senza verità, ma un Paese che non ha mai scelto, tra le 2, quale volesse davvero, ottenendo di ciascuna la metà.</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nodo australe è certificato quale hub di massima intermediazione inter-dossier, con gli assi di complicità al Livello A, la rete delle sanzioni al Livello B, il caso Palme censito con la pista al Livello C e la chiusura del 2020 quale esito, e lo Stato Zero del riscontro contemporaneo elevato a esemplare della categoria, la connessione cercata su tutto il corpus e non trovata.</w:t>
      </w:r>
    </w:p>
    <w:p>
      <w:pPr>
        <w:pStyle w:val="Heading3"/>
        <w:spacing w:after="80" w:before="160"/>
      </w:pPr>
      <w:r>
        <w:rPr>
          <w:rFonts w:ascii="Barlow Semi Condensed" w:cs="Barlow Semi Condensed" w:eastAsia="Barlow Semi Condensed" w:hAnsi="Barlow Semi Condensed"/>
          <w:sz w:val="24"/>
          <w:szCs w:val="24"/>
        </w:rPr>
        <w:t xml:space="preserve">Capitolo 4 — La Francia: il santuario, la dottrina del rifugio e gli archivi chiusi</w:t>
      </w:r>
    </w:p>
    <w:p>
      <w:pPr>
        <w:spacing w:after="120" w:line="276"/>
        <w:jc w:val="both"/>
      </w:pPr>
      <w:r>
        <w:rPr>
          <w:rFonts w:ascii="Barlow Semi Condensed" w:cs="Barlow Semi Condensed" w:eastAsia="Barlow Semi Condensed" w:hAnsi="Barlow Semi Condensed"/>
          <w:sz w:val="24"/>
          <w:szCs w:val="24"/>
        </w:rPr>
        <w:t xml:space="preserve">Il quarto nodo è la Francia, il santuario europeo che la Fase 4 ha consegnato con il nodo Hyperion e che la fase eleva a sistema. Il registro certifica al Livello A, quali dati ordinamentali documentati, i 3 elementi costitutivi del sistema: la prassi della non estradizione per i reati a movente politico, consolidatasi di fatto negli anni Settanta; la sua elevazione a dottrina dichiarata alla metà degli anni Ottanta, con l'impegno pubblico della presidenza a non consegnare i militanti che avessero rotto con la violenza, la formulazione nota quale dottrina del rifugio; e la conseguente costituzione, sul territorio francese, della più ampia comunità di fuoriusciti della sinistra armata italiana, con le implicazioni documentali che la Fase 4 ha censito per il nodo parigino.</w:t>
      </w:r>
    </w:p>
    <w:p>
      <w:pPr>
        <w:spacing w:after="120" w:line="276"/>
        <w:jc w:val="both"/>
      </w:pPr>
      <w:r>
        <w:rPr>
          <w:rFonts w:ascii="Barlow Semi Condensed" w:cs="Barlow Semi Condensed" w:eastAsia="Barlow Semi Condensed" w:hAnsi="Barlow Semi Condensed"/>
          <w:sz w:val="24"/>
          <w:szCs w:val="24"/>
        </w:rPr>
        <w:t xml:space="preserve">Il primo pilastro riepiloga, quale recezione, il nodo Hyperion nello stato terminale che la fase precedente ha fissato: esistenza, sede al Quai de la Tournelle 27, copertura didattica reale, genealogia comune con l'organizzazione esecutrice nel ceppo milanese, contatti al Livello B, funzioni al Livello C, assenza integrale di condanne, 3 stagioni di accertamento convergenti sul medesimo punto di arresto, archivi mai aperti quale vuoto capitale; il registro recepisce lo stato senza modificarlo e vi salda il dato di sistema del capitolo: il punto di arresto delle 3 stagioni coincide esattamente con il perimetro della cooperazione che l'ordinamento ospitante concesse, e il profilo conoscitivo del nodo è, per costruzione, una funzione della dottrina del rifugio.</w:t>
      </w:r>
    </w:p>
    <w:p>
      <w:pPr>
        <w:spacing w:after="120" w:line="276"/>
        <w:jc w:val="both"/>
      </w:pPr>
      <w:r>
        <w:rPr>
          <w:rFonts w:ascii="Barlow Semi Condensed" w:cs="Barlow Semi Condensed" w:eastAsia="Barlow Semi Condensed" w:hAnsi="Barlow Semi Condensed"/>
          <w:sz w:val="24"/>
          <w:szCs w:val="24"/>
        </w:rPr>
        <w:t xml:space="preserve">Il secondo pilastro censisce la prova di durata della dottrina, l'arco terminale che chiude il sistema sul presente. Nell'aprile 2021 le autorità francesi, su richiesta italiana, procedettero all'arresto di 9 ex militanti delle organizzazioni armate italiane da decenni residenti nel Paese, condannati in via definitiva in Italia per fatti della stagione, avviando la procedura estradizionale che parve segnare la revoca della dottrina; la procedura si concluse in senso opposto, con il diniego delle estradizioni pronunciato dalla giustizia francese e reso definitivo dalla Corte di cassazione francese nel marzo 2023, sul fondamento dei principi convenzionali del radicamento familiare e dell'equità processuale; il registro certifica al Livello A gli arresti, la procedura e il diniego definitivo, quali dati giudiziari, e ne trae la formalizzazione che il sistema esige: la dottrina del rifugio, nata quale atto politico revocabile, si è trasformata, per il decorso di mezzo secolo, in una barriera giuridica convenzionale non più revocabile per via politica, e la sottrazione dei fuoriusciti alla giurisdizione italiana è divenuta, con la pronuncia del 2023, un esito ordinamentale definitivo; il registro trascrive la trasformazione quale fatto giuridico datato e la consegna al capitolo nono quale caso della regolarità generale, l'ordinamento che non ha mai aperto ciò che proteggeva e che ha infine reso l'apertura giuridicamente impossibile.</w:t>
      </w:r>
    </w:p>
    <w:p>
      <w:pPr>
        <w:spacing w:after="120" w:line="276"/>
        <w:jc w:val="both"/>
      </w:pPr>
      <w:r>
        <w:rPr>
          <w:rFonts w:ascii="Barlow Semi Condensed" w:cs="Barlow Semi Condensed" w:eastAsia="Barlow Semi Condensed" w:hAnsi="Barlow Semi Condensed"/>
          <w:sz w:val="24"/>
          <w:szCs w:val="24"/>
        </w:rPr>
        <w:t xml:space="preserve">Il terzo pilastro formalizza il portato per l'opera. La Francia è, nel grafo internazionale, il caso puro del santuario stabile, il teatro la cui protezione non è mai caduta, e la comparazione con il caso portoghese del capitolo primo compone la coppia dimostrativa terminale: Lisbona cadde e Aginter divenne il nodo più documentato del corpus internazionale; Parigi non cadde e Hyperion resta il nodo più vuoto; il registro certifica la coppia quale dimostrazione a 2 casi del teorema archivistico e dichiara l'implicazione operativa che ne discende per ogni ricerca futura, già consegnata quale primo obiettivo: nessun progresso conoscitivo sul santuario francese è atteso da nuove stagioni di accertamento a regime invariato, e l'unica variabile capace di mutare lo stato del nodo è il regime di accesso agli archivi, la variabile che non dipende dalla ricerca ma dalla politica.</w:t>
      </w:r>
    </w:p>
    <w:p>
      <w:pPr>
        <w:spacing w:after="120" w:line="276"/>
        <w:jc w:val="both"/>
      </w:pPr>
      <w:r>
        <w:rPr>
          <w:rFonts w:ascii="Barlow Semi Condensed" w:cs="Barlow Semi Condensed" w:eastAsia="Barlow Semi Condensed" w:hAnsi="Barlow Semi Condensed"/>
          <w:sz w:val="24"/>
          <w:szCs w:val="24"/>
        </w:rPr>
        <w:t xml:space="preserve">Il quarto pilastro recepisce la stagione delle rogatorie del 1982, il primo accertamento del sistema. La stagione rogatoriale che la Fase 4 ha censito quale prima delle 3 stagioni sul nodo parigino, con gli atti eseguiti dall'autorità francese nel perimetro richiesto e non oltre, resta certificata al Livello A nei suoi esiti e nella sua data, e la fase vi aggiunge la qualificazione di sistema: quella stagione fu il test originario della dottrina allora non ancora dichiarata, e il suo esito, la cooperazione formale entro il perimetro e il diniego sostanziale oltre, anticipò di 4 decenni la configurazione che la pronuncia del 2023 avrebbe reso definitiva; il registro trascrive la continuità quarantennale della condotta ordinamentale francese quale dato certificato, la più lunga costante di politica giudiziaria estera che il corpus registri, attraversata indenne da 8 presidenze e da ogni alternanza.</w:t>
      </w:r>
    </w:p>
    <w:p>
      <w:pPr>
        <w:spacing w:after="120" w:line="276"/>
        <w:jc w:val="both"/>
      </w:pPr>
      <w:r>
        <w:rPr>
          <w:rFonts w:ascii="Barlow Semi Condensed" w:cs="Barlow Semi Condensed" w:eastAsia="Barlow Semi Condensed" w:hAnsi="Barlow Semi Condensed"/>
          <w:sz w:val="24"/>
          <w:szCs w:val="24"/>
        </w:rPr>
        <w:t xml:space="preserve">Il quinto pilastro censisce la controprova individuale, il caso di Cesare Battisti. Il condannato definitivo per omicidi della stagione armata, protetto per anni dalla dottrina sul territorio francese, ne uscì per scelta propria con la fuga verso il Brasile nel 2004, all'approssimarsi della revisione del suo caso, e la traiettoria extra-francese si chiuse con l'arresto in Bolivia il 12 gennaio 2019 e la consegna all'Italia il 14 gennaio 2019, dove sconta la pena; il registro certifica al Livello A la traiettoria e gli esiti, quali dati giudiziari, e ne trae la controprova che il sistema esige: la protezione della dottrina operò quale attributo del territorio e non della persona, e l'uomo che abbandonò il territorio perse la protezione sino alla consegna, mentre gli uomini che vi rimasero la videro trasformarsi, con la pronuncia del 2023, in barriera definitiva; la coppia delle traiettorie, il rifugiato rimasto e protetto per sempre e il rifugiato uscito e consegnato, è la dimostrazione a 2 casi della natura territoriale del santuario, che il registro certifica quale proprietà del sistema e consegna alla mappa dei rifugi del Pattern 10.</w:t>
      </w:r>
    </w:p>
    <w:p>
      <w:pPr>
        <w:spacing w:after="120" w:line="276"/>
        <w:jc w:val="both"/>
      </w:pPr>
      <w:r>
        <w:rPr>
          <w:rFonts w:ascii="Barlow Semi Condensed" w:cs="Barlow Semi Condensed" w:eastAsia="Barlow Semi Condensed" w:hAnsi="Barlow Semi Condensed"/>
          <w:sz w:val="24"/>
          <w:szCs w:val="24"/>
        </w:rPr>
        <w:t xml:space="preserve">Il sesto pilastro censisce la comunità dei fuoriusciti quale oggetto documentale. La popolazione dei militanti e condannati italiani riparati in Francia sotto la protezione della prassi e poi della dottrina, stimata dagli atti nell'ordine delle centinaia attraverso i decenni, costituì un tessuto sociale stabile, con i percorsi di reinserimento professionale e intellettuale che le cronache e gli studi hanno documentato, e divenne essa stessa, per la ricerca, una fonte: dalla comunità provennero le memorialistiche, le testimonianze e le ricostruzioni interne che l'opera ha impiegato con la disciplina propria delle fonti di parte, e attorno alla comunità si costituì il campo intellettuale francese della causa dei rifugiati, l'ambiente che sostenne la dottrina nella sfera pubblica e ne accompagnò la trasformazione in barriera; il registro certifica al Livello A l'esistenza, l'ordine di grandezza e la funzione documentale della comunità, quali dati consolidati, e ne trae l'annotazione metodologica: una quota rilevante della conoscenza interna della stagione armata italiana è stata prodotta fuori dalla giurisdizione italiana, da testimoni sottratti per statuto al contraddittorio processuale, e questa dislocazione della fonte, effetto derivato del santuario, è una condizione permanente della storiografia del terrorismo italiano che il registro dichiara e incorpora, trattando le ricostruzioni della comunità quale materiale di Livello B ove non riscontrate e mai quale sostituto del giudicato.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prassi-dottrina-comunità dei fuoriusciti, certifica al Livello A la costituzione del sistema del rifugio. La seconda, Hyperion-3 stagioni-punto di arresto, salda il nodo della Fase 4 al suo fondamento ordinamentale. La terza, arresti del 2021-diniego del 2023-barriera convenzionale, certifica la trasformazione della dottrina in esito giuridico definitivo.</w:t>
      </w:r>
    </w:p>
    <w:p>
      <w:pPr>
        <w:spacing w:after="120" w:line="276"/>
        <w:jc w:val="both"/>
      </w:pPr>
      <w:r>
        <w:rPr>
          <w:rFonts w:ascii="Barlow Semi Condensed" w:cs="Barlow Semi Condensed" w:eastAsia="Barlow Semi Condensed" w:hAnsi="Barlow Semi Condensed"/>
          <w:sz w:val="24"/>
          <w:szCs w:val="24"/>
        </w:rPr>
        <w:t xml:space="preserve">All'età della dichiarazione il registro assegna la sua scena e il suo autore, che la pubblicistica ha reso canonici e che gli atti confermano: fu il presidente François Mitterrand, nel 1985, dinanzi a una platea associativa dei diritti dell'uomo, a enunciare pubblicamente la linea che la prassi amministrativa seguiva da anni, l'impegno a non estradare i fuoriusciti italiani della stagione armata che avessero rotto con la violenza e rifatto vita in Francia, Livello A quanto all'enunciazione pubblica ed al suo tenore, che il registro parafrasa. La formalizzazione presidenziale trasformò una tolleranza in una dottrina eponima, e il registro ne fissa il rilievo sistemico: da quel momento il santuario cessò di essere una condizione di fatto contestabile caso per caso e divenne una politica dichiarata dello Stato ospitante, opponibile all'Italia nelle sedi bilaterali e capace di sopravvivere, come il pilastro terminale certifica, al suo stesso autore, alle alternanze politiche francesi e persino alla svolta cooperativa dell'aprile 2021, sino alla barriera convenzionale definitiva del 2023. Nella tassonomia della fase, la dottrina è perciò il raro esemplare di protezione internazionale che non ebbe mai bisogno del segreto: il santuario francese operò alla luce, con un discorso pubblico quale atto istitutivo, e questa trasparenza dell'ostacolo, opposta al buio degli archivi che il capitolo censisce, compone il paradosso documentale del nodo, tutto visibile e nulla consegnato.</w:t>
      </w:r>
    </w:p>
    <w:p>
      <w:pPr>
        <w:spacing w:after="120" w:line="276"/>
        <w:jc w:val="both"/>
      </w:pPr>
      <w:r>
        <w:rPr>
          <w:rFonts w:ascii="Barlow Semi Condensed" w:cs="Barlow Semi Condensed" w:eastAsia="Barlow Semi Condensed" w:hAnsi="Barlow Semi Condensed"/>
          <w:sz w:val="24"/>
          <w:szCs w:val="24"/>
        </w:rPr>
        <w:t xml:space="preserve">Alla dottrina del rifugio il registro deve infine la sua profondità storica, che una digressione sorvegliata può fissare perché appartiene alla lunga durata del nodo: la Francia che accolse i fuoriusciti italiani della stagione armata esercitava una funzione che il suo ordinamento e la sua cultura politica coltivavano da un secolo e mezzo, la terra d'asilo dei proscritti d'Europa, che nell'Ottocento aveva ospitato gli esuli italiani del Risorgimento, i proscritti delle rivoluzioni fallite e dei moti repressi, facendo di Parigi la capitale continentale del fuoriuscitismo politico, Livello A quanto alla tradizione storica documentata. La simmetria che ne risulta è un reperto di lunga durata che il registro consegna senza forzarlo: a un secolo di distanza, la medesima capitale accolse 2 generazioni opposte di italiani in fuga dalla propria giustizia, i patrioti dell'Ottocento perseguitati da Stati che la storia avrebbe giudicato illegittimi ed i condannati del Novecento in fuga da uno Stato democratico, e la dottrina del 1985 poté attingere la propria legittimazione retorica proprio dall'indistinzione tra le 2 figure, l'esule ed il latitante, che la tradizione dell'asilo consentiva di sovrapporre. Il registro fissa la distinzione che la retorica dissolse: l'asilo ottocentesco proteggeva dal difetto di giusto processo, quello novecentesco protesse dal giudicato di un ordinamento membro delle medesime convenzioni europee, e la barriera definitiva del 2023 ha chiuso la vicenda confermando, nell'esito, la sovrapposizione che l'aveva aperta.</w:t>
      </w:r>
    </w:p>
    <w:p>
      <w:pPr>
        <w:spacing w:after="120" w:line="276"/>
        <w:jc w:val="both"/>
      </w:pPr>
      <w:r>
        <w:rPr>
          <w:rFonts w:ascii="Barlow Semi Condensed" w:cs="Barlow Semi Condensed" w:eastAsia="Barlow Semi Condensed" w:hAnsi="Barlow Semi Condensed"/>
          <w:sz w:val="24"/>
          <w:szCs w:val="24"/>
        </w:rPr>
        <w:t xml:space="preserve">La dottrina conobbe la sua prima eccezione formale 20 anni prima della svolta, ed il registro la censisce quale precedente isolato: nell'agosto 2002 la Francia consegnò all'Italia Paolo Persichetti, già condannato in via definitiva quale partecipe dell'organizzazione responsabile dell'omicidio del generale Giorgieri, prima ed unica estradizione concessa in deroga alla prassi mitterrandiana prima del ciclo del 2021, Livello A quanto al provvedimento ed alla sua unicità ventennale. Il registro fissa il valore sistemico del caso: la consegna del 2002 dimostrò che la dottrina non era un vincolo giuridico ma una scelta politica reversibile per decisione di governo, e la circostanza che alla prima deroga non ne seguissero altre per 19 anni dimostra, simmetricamente, che la reversibilità restò per 2 decenni una facoltà esercitata una sola volta, sicché il caso isolato del 2002 misura con precisione la natura del santuario censito dal capitolo: non un ordinamento, ma una politica, capace di eccezioni quando lo voleva e di durare quando non lo voleva, con la conseguenza che il registro consegna al bilancio della fase, che i tempi della giustizia italiana sui latitanti di Francia furono decisi, per mezzo secolo, a Parigi e non a Roma.</w:t>
      </w:r>
    </w:p>
    <w:p>
      <w:pPr>
        <w:spacing w:after="120" w:line="276"/>
        <w:jc w:val="both"/>
      </w:pPr>
      <w:r>
        <w:rPr>
          <w:rFonts w:ascii="Barlow Semi Condensed" w:cs="Barlow Semi Condensed" w:eastAsia="Barlow Semi Condensed" w:hAnsi="Barlow Semi Condensed"/>
          <w:sz w:val="24"/>
          <w:szCs w:val="24"/>
        </w:rPr>
        <w:t xml:space="preserve">Il santuario ebbe infine il suo caso costituzionalmente più anomalo, che il registro censisce quale variante parlamentare della rotta: il leader dell'autonomia operaia Antonio Negri, detenuto dall'aprile 1979 nel procedimento censito nella fase quarta, fu eletto deputato nel giugno 1983 e scarcerato per l'immunità conseguente, e nel settembre dello stesso anno, alla vigilia delle deliberazioni parlamentari sulla sua posizione, riparò in Francia, dove trascorse 14 anni sotto la protezione della dottrina censita, sino al rientro volontario del 1997 per scontare il residuo delle condanne definitive frattanto consolidatesi per i reati associativi, cadute in appello le imputazioni maggiori, con la pena esaurita nei primi anni Duemila, Livello A sull'intera parabola. Il registro isola la specificità del caso nella tipologia del capitolo: qui la rotta verso il santuario non fu aperta da una latitanza ma da un mandato parlamentare, con l'elezione usata quale ponte tra la cella e la frontiera, e questa saldatura documentata tra un istituto di garanzia della democrazia rappresentativa e la geografia della protezione estera costituisce l'unicum che nessuna riforma ha mai replicato, mentre l'epilogo, il ritorno spontaneo per chiudere il conto con una pena ormai ridotta, anticipò di un quarto di secolo la logica delle soluzioni individuali che avrebbe poi chiuso, caso per caso, l'intera vicenda dei rifugiati, dimostrando che il santuario censito dal capitolo non fu mai una fortezza ma una moratoria, dalla quale ciascuno uscì quando il tempo ebbe abbassato abbastanza il prezzo.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Francia è certificata quale santuario stabile con la dottrina del rifugio al Livello A nelle sue 3 età, prassi, dichiarazione e barriera convenzionale definitiva del marzo 2023, il nodo Hyperion è recepito nello stato terminale della Fase 4 con la sua inconoscibilità spiegata per via ordinamentale, e la coppia Lisbona-Parigi è elevata a dimostrazione terminale del teorema archivistico dell'opera.</w:t>
      </w:r>
    </w:p>
    <w:p>
      <w:pPr>
        <w:pStyle w:val="Heading3"/>
        <w:spacing w:after="80" w:before="160"/>
      </w:pPr>
      <w:r>
        <w:rPr>
          <w:rFonts w:ascii="Barlow Semi Condensed" w:cs="Barlow Semi Condensed" w:eastAsia="Barlow Semi Condensed" w:hAnsi="Barlow Semi Condensed"/>
          <w:sz w:val="24"/>
          <w:szCs w:val="24"/>
        </w:rPr>
        <w:t xml:space="preserve">Capitolo 5 — Il Mediterraneo: il lodo, i canali palestinesi e la notte di Sigonella</w:t>
      </w:r>
    </w:p>
    <w:p>
      <w:pPr>
        <w:spacing w:after="120" w:line="276"/>
        <w:jc w:val="both"/>
      </w:pPr>
      <w:r>
        <w:rPr>
          <w:rFonts w:ascii="Barlow Semi Condensed" w:cs="Barlow Semi Condensed" w:eastAsia="Barlow Semi Condensed" w:hAnsi="Barlow Semi Condensed"/>
          <w:sz w:val="24"/>
          <w:szCs w:val="24"/>
        </w:rPr>
        <w:t xml:space="preserve">Il quinto nodo è il Mediterraneo, il teatro dell'autonomia italiana entro il vincolo di campo, che le fasi hanno incontrato nella prassi riservata nota quale lodo e che la fase ricompone quale sistema attraverso 2 decenni. Il registro certifica al Livello B l'esistenza della prassi di non belligeranza tra lo Stato italiano e le organizzazioni palestinesi, il patto informale, mai consacrato da un documento unico, per cui il territorio italiano sarebbe stato risparmiato dalle azioni in cambio di margini di transito, quale convergenza di testimonianze istituzionali di vertice, atti parlamentari e riscontri episodici, mantenendo la qualificazione al livello che la natura non documentale della prassi impone.</w:t>
      </w:r>
    </w:p>
    <w:p>
      <w:pPr>
        <w:spacing w:after="120" w:line="276"/>
        <w:jc w:val="both"/>
      </w:pPr>
      <w:r>
        <w:rPr>
          <w:rFonts w:ascii="Barlow Semi Condensed" w:cs="Barlow Semi Condensed" w:eastAsia="Barlow Semi Condensed" w:hAnsi="Barlow Semi Condensed"/>
          <w:sz w:val="24"/>
          <w:szCs w:val="24"/>
        </w:rPr>
        <w:t xml:space="preserve">Il primo pilastro censisce i riscontri della prassi nel corpus. Il caso di Ortona del 7 novembre 1979, il sequestro dei 2 lanciamissili trasportati per conto del Fronte popolare con l'arresto di Daniele Pifano e dei coimputati, e la vicenda diplomatica che ne seguì, con le pressioni documentate per la composizione della crisi e il ruolo del colonnello Stefano Giovannone, il capocentro del servizio militare a Beirut e terminale della relazione riservata, costituiscono il riscontro maggiore, censito dalla Fase 4; il registro certifica al Livello A i fatti di Ortona e la funzione documentata di Giovannone, quali dati giudiziari e parlamentari, e al Livello B la loro lettura quale manifestazione della prassi, secondo la disciplina già fissata.</w:t>
      </w:r>
    </w:p>
    <w:p>
      <w:pPr>
        <w:spacing w:after="120" w:line="276"/>
        <w:jc w:val="both"/>
      </w:pPr>
      <w:r>
        <w:rPr>
          <w:rFonts w:ascii="Barlow Semi Condensed" w:cs="Barlow Semi Condensed" w:eastAsia="Barlow Semi Condensed" w:hAnsi="Barlow Semi Condensed"/>
          <w:sz w:val="24"/>
          <w:szCs w:val="24"/>
        </w:rPr>
        <w:t xml:space="preserve">Il secondo pilastro censisce la crisi che portò il sistema alla superficie, la sequenza dell'ottobre 1985. Il 7 ottobre 1985 la nave da crociera italiana Achille Lauro fu sequestrata da un commando palestinese, e l'8 ottobre fu assassinato a bordo il passeggero americano Leon Klinghoffer, cittadino statunitense invalido, che il registro nomina tra le vittime della fase quale atto dovuto; la composizione della crisi per via negoziale, con lo sbarco del commando e la mediazione egiziana, sfociò nella notte tra il 10 e l'11 ottobre nel confronto della base siciliana di Sigonella, dove i reparti italiani e quelli americani si fronteggiarono attorno all'aereo che trasportava il commando e il mediatore, con il governo italiano che rivendicò e ottenne l'esercizio della giurisdizione nazionale contro la pretesa alleata; il registro certifica al Livello A la sequenza integrale, il sequestro, l'assassinio, lo sbarco, il confronto e l'esito giurisdizionale, quali dati documentali della crisi più studiata delle relazioni bilaterali, e ne dichiara la funzione nel nodo: la notte di Sigonella è il punto in cui la politica mediterranea riservata dei 2 decenni divenne, per poche ore, confronto pubblico tra gli apparati dei 2 alleati, e la crisi certificò dinanzi al mondo l'esistenza dell'autonomia che il lodo aveva amministrato in silenzio.</w:t>
      </w:r>
    </w:p>
    <w:p>
      <w:pPr>
        <w:spacing w:after="120" w:line="276"/>
        <w:jc w:val="both"/>
      </w:pPr>
      <w:r>
        <w:rPr>
          <w:rFonts w:ascii="Barlow Semi Condensed" w:cs="Barlow Semi Condensed" w:eastAsia="Barlow Semi Condensed" w:hAnsi="Barlow Semi Condensed"/>
          <w:sz w:val="24"/>
          <w:szCs w:val="24"/>
        </w:rPr>
        <w:t xml:space="preserve">Il terzo pilastro formalizza la continuità del sistema e il suo rilievo per la verifica finale. La linea che congiunge l'apertura mediterranea morotea, la prassi riservata degli anni Settanta, la gestione delle crisi levantine e la rivendicazione giurisdizionale del 1985 disegna una costante documentata della politica estera italiana attraverso governi e stagioni, l'esercizio di margini di autonomia regionale entro il vincolo atlantico, sistematicamente attritivo con l'alleato maggiore; il registro certifica al Livello A la costante, quale dato della documentazione diplomatica e delle crisi censite, e ne dichiara il rilievo per le macro-ipotesi: la politica mediterranea è il terreno sul quale la contrarietà del campo occidentale all'autonomia italiana è documentata nelle forme più esplicite, dalle pressioni della crisi di Ortona al confronto di Sigonella, e la fase consegna questa serie certificata alla verifica del capitolo decimo quale versante mediterraneo del fatto già elevato al Livello A dalla Fase 4, l'esistenza pubblica e documentata delle contrarietà, con la consueta e integrale distinzione dalle loro traduzioni operative, che restano al livello che i documenti consentono.</w:t>
      </w:r>
    </w:p>
    <w:p>
      <w:pPr>
        <w:spacing w:after="120" w:line="276"/>
        <w:jc w:val="both"/>
      </w:pPr>
      <w:r>
        <w:rPr>
          <w:rFonts w:ascii="Barlow Semi Condensed" w:cs="Barlow Semi Condensed" w:eastAsia="Barlow Semi Condensed" w:hAnsi="Barlow Semi Condensed"/>
          <w:sz w:val="24"/>
          <w:szCs w:val="24"/>
        </w:rPr>
        <w:t xml:space="preserve">Il quarto pilastro censisce il limite di sangue del sistema, la strage della Sinagoga di Roma. Il 9 ottobre 1982, all'uscita della funzione, un commando palestinese attaccò con granate e armi automatiche i fedeli del Tempio Maggiore di Roma, uccidendo Stefano Gaj Taché, un bambino di 2 anni, che il registro nomina tra le vittime della fase quale atto dovuto, e ferendo decine di persone; l'attacco, maturato nella stagione successiva alla guerra libanese di quell'estate, colpì la comunità ebraica italiana nel cuore della capitale e pose dinanzi all'opinione pubblica la questione dei limiti e delle infrazioni della prassi riservata che il capitolo censisce, la protezione del territorio essendo clamorosamente mancata per il bersaglio ebraico italiano; il registro certifica al Livello A la strage, la vittima e le circostanze, quali dati giudiziari e documentali, e trascrive la questione interpretativa al livello che le compete: se l'attacco costituisca l'infrazione del patto o la rivelazione del suo perimetro reale, la protezione essendo stata negoziata per lo Stato e non per ogni bersaglio sul territorio, è materia che le testimonianze istituzionali divergenti non consentono di certificare, e il registro consegna la strage quale fatto e la questione quale interrogazione aperta al Livello C, annotando che la Repubblica ha riconosciuto nel bambino ucciso, con la memoria istituzionale successiva, una vittima del proprio suolo e della propria stagione.</w:t>
      </w:r>
    </w:p>
    <w:p>
      <w:pPr>
        <w:spacing w:after="120" w:line="276"/>
        <w:jc w:val="both"/>
      </w:pPr>
      <w:r>
        <w:rPr>
          <w:rFonts w:ascii="Barlow Semi Condensed" w:cs="Barlow Semi Condensed" w:eastAsia="Barlow Semi Condensed" w:hAnsi="Barlow Semi Condensed"/>
          <w:sz w:val="24"/>
          <w:szCs w:val="24"/>
        </w:rPr>
        <w:t xml:space="preserve">Il quinto pilastro censisce la serie aeroportuale, il prezzo mediterraneo pagato sul territorio prima e dopo il lodo. Il 17 dicembre 1973 l'aeroporto di Fiumicino fu teatro dell'attacco palestinese contro l'aeromobile della Pan Am, con 32 vittime, la più grave strage su suolo italiano sino a quella data; il 27 dicembre 1985 il medesimo aeroporto fu attaccato dal commando del gruppo di Abu Nidal, con 13 vittime, nell'azione gemella di quella condotta lo stesso giorno a Vienna; il registro certifica al Livello A i 2 attacchi, le date e i bilanci, quali dati documentali, richiama le vittime nel loro numero rinviando la nominazione integrale agli atti delle rispettive sedi, secondo la disciplina dichiarata per le stragi plurime a censimento esterno, e ne trae la lettura seriale che il capitolo consegna: la serie 1973-1982-1985 delimita empiricamente il perimetro della prassi censita, documentando che la protezione riservata, quale che ne fosse l'estensione negoziata, non coprì l'intero arco delle organizzazioni né l'intero arco dei bersagli, e che il territorio italiano pagò alla guerra mediterranea un prezzo di sangue certificato ai 2 estremi e al centro della stagione del lodo; la serie è consegnata alla verifica quale correttivo documentale di ogni lettura totalizzante della prassi, nel senso che il registro impone: il lodo è certificato al Livello B quale prassi esistita, non quale sistema onnipotente, e le sue infrazioni certificate ne misurano i limiti reali.</w:t>
      </w:r>
    </w:p>
    <w:p>
      <w:pPr>
        <w:spacing w:after="120" w:line="276"/>
        <w:jc w:val="both"/>
      </w:pPr>
      <w:r>
        <w:rPr>
          <w:rFonts w:ascii="Barlow Semi Condensed" w:cs="Barlow Semi Condensed" w:eastAsia="Barlow Semi Condensed" w:hAnsi="Barlow Semi Condensed"/>
          <w:sz w:val="24"/>
          <w:szCs w:val="24"/>
        </w:rPr>
        <w:t xml:space="preserve">Il sesto pilastro censisce la coda politica interna della crisi, la verifica di governo che ne seguì. Il confronto di Sigonella e la gestione complessiva della vicenda aprirono, nelle settimane successive, la crisi nella maggioranza di governo, con il dissenso della componente repubblicana sulla linea tenuta verso l'organizzazione palestinese e verso l'alleato, le dimissioni del governo e la sua ricomposizione nel novembre 1985 sulla medesima formula; il registro certifica al Livello A la crisi, il suo motivo dichiarato e la ricomposizione, quali dati parlamentari, e ne trae il valore di reperto per il sistema del capitolo: la politica mediterranea riservata, portata alla superficie dalla crisi internazionale, produsse immediatamente una crisi di sistema interna, la dimostrazione che l'autonomia amministrata nel segreto non disponeva di un consenso esplicito unanime nella stessa maggioranza che la esercitava, e la ricomposizione rapida sulla medesima formula documenta, per converso, che nessuna componente intese trarre dalla crisi la revisione della politica; il registro trascrive la coppia crisi-ricomposizione quale misura certificata del rapporto tra il sistema mediterraneo e il sistema politico, un'autonomia esercitata senza mandato esplicito e tollerata senza sconfessione, la configurazione del consenso implicito che il corpus dell'opera ha incontrato in ogni prassi riservata censita.</w:t>
      </w:r>
    </w:p>
    <w:p>
      <w:pPr>
        <w:spacing w:after="120" w:line="276"/>
        <w:jc w:val="both"/>
      </w:pPr>
      <w:r>
        <w:rPr>
          <w:rFonts w:ascii="Barlow Semi Condensed" w:cs="Barlow Semi Condensed" w:eastAsia="Barlow Semi Condensed" w:hAnsi="Barlow Semi Condensed"/>
          <w:sz w:val="24"/>
          <w:szCs w:val="24"/>
        </w:rPr>
        <w:t xml:space="preserve">Il settimo pilastro censisce il terminale umano del sistema, il profilo di Stefano Giovannone. L'ufficiale del servizio militare resse il centro di Beirut per circa un decennio, attraverso la guerra civile libanese e le stagioni della relazione riservata, quale interlocutore permanente delle organizzazioni palestinesi per conto dello Stato, la funzione che gli atti parlamentari e giudiziari censiti dalla Fase 4 documentano nel caso di Ortona e che le testimonianze istituzionali della stagione collocano al centro dell'intera prassi; il colonnello morì nel 1985, senza che le sedi di accertamento successive potessero più escuterne la testimonianza diretta, e la conoscenza della sua attività resta affidata alle carte del servizio, versate solo in parte con le soglie censite, e alle deposizioni di terzi; il registro certifica al Livello A la funzione, la durata e la centralità documentata del terminale, quali dati degli atti, e ne trae l'annotazione strutturale che il sistema consegna: la prassi mediterranea fu amministrata, per il decennio cruciale, attraverso un canale personale unico, e la concentrazione della relazione in un solo uomo, efficiente quale garanzia di riservatezza, produsse la conseguenza documentale che il corpus registra, la morte del terminale quale perdita irreversibile della fonte primaria, il caso mediterraneo della firma delle assenze che la Fase 4 ha formalizzato, qui nella variante naturale e non violenta, con l'identico effetto sull'accertabilità; il registro trascrive la configurazione, il sistema a canale unico e la sua mortalità, quale ultima proprietà certificata del nodo.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lodo-Ortona-Giovannone, salda la prassi al suo riscontro maggiore, con i fatti al Livello A e la prassi al Livello B. La seconda, Achille Lauro-Klinghoffer-Sigonella, certifica al Livello A la crisi che rese pubblica l'autonomia, con la vittima nominata. La terza, apertura morotea-costante mediterranea-attrito atlantico, formalizza la continuità del sistema quale materiale certificato per la verifica finale.</w:t>
      </w:r>
    </w:p>
    <w:p>
      <w:pPr>
        <w:spacing w:after="120" w:line="276"/>
        <w:jc w:val="both"/>
      </w:pPr>
      <w:r>
        <w:rPr>
          <w:rFonts w:ascii="Barlow Semi Condensed" w:cs="Barlow Semi Condensed" w:eastAsia="Barlow Semi Condensed" w:hAnsi="Barlow Semi Condensed"/>
          <w:sz w:val="24"/>
          <w:szCs w:val="24"/>
        </w:rPr>
        <w:t xml:space="preserve">La notte tra il 10 e l'11 ottobre 1985 esige la sua sequenza, perché in essa il sistema dell'autonomia mediterranea uscì dalla prassi riservata e si misurò in campo aperto con l'alleato maggiore: il velivolo di linea egiziano che trasportava i 4 sequestratori della nave, con Abu Abbas, fu intercettato in volo internazionale dai caccia imbarcati americani e costretto all'atterraggio nella base siciliana di Sigonella; attorno all'aereo si dispose il reparto d'assalto americano giunto al seguito, e attorno al reparto americano si dispose, in un doppio cerchio che le ricostruzioni convergenti hanno consegnato all'iconografia della Repubblica, il presidio italiano di avieri e carabinieri, a rivendicare la giurisdizione territoriale sullo scalo e sugli uomini; il braccio di ferro si sciolse nella notte, attraverso il contatto diretto tra il presidente del Consiglio Craxi e la presidenza americana, con la prevalenza della posizione italiana, il trasferimento dell'aereo a Ciampino sotto ulteriore marcatura aerea e la successiva partenza di Abbas dal territorio italiano, che aprì la crisi politica interna censita dal sesto pilastro, Livello A sull'intera sequenza, quale risulta dalle ricostruzioni istituzionali e parlamentari convergenti. Il registro consegna la notte alla sua funzione probatoria nella fase: Sigonella è il solo episodio dell'intero corpus in cui il vincolo di campo e l'autonomia nazionale si fronteggiarono fisicamente, armi in pugno, su suolo italiano, e il suo esito, la prevalenza formale della sovranità con il logoramento politico immediato di chi l'aveva esercitata, è la misura sperimentale esatta dello spazio che il sistema del lodo aveva occupato per un quindicennio: uno spazio reale, difendibile una notte, e non oltre.</w:t>
      </w:r>
    </w:p>
    <w:p>
      <w:pPr>
        <w:spacing w:after="120" w:line="276"/>
        <w:jc w:val="both"/>
      </w:pPr>
      <w:r>
        <w:rPr>
          <w:rFonts w:ascii="Barlow Semi Condensed" w:cs="Barlow Semi Condensed" w:eastAsia="Barlow Semi Condensed" w:hAnsi="Barlow Semi Condensed"/>
          <w:sz w:val="24"/>
          <w:szCs w:val="24"/>
        </w:rPr>
        <w:t xml:space="preserve">Al teatro mediterraneo appartiene infine il suo evento più conteso, che il registro censisce con lo statuto probatorio esatto che 4 decenni di accertamenti gli hanno assegnato: la notte del 27 giugno 1980 il DC-9 della compagnia Itavia in volo di linea da Bologna a Palermo precipitò in mare presso Ustica con la morte delle 81 persone a bordo, passeggeri ed equipaggio, i cui nomi il memoriale civile dedicato custodisce e scandisce, Livello A quanto all'evento ed alle vittime. Il doppio binario giudiziario che ne seguì consegna al registro 2 esiti di segno formalmente distinto, che la disciplina impone di riportare entrambi per esteso: sul versante penale, il lunghissimo procedimento per l'ipotesi di attentato alla sicurezza e di ostacolo alle indagini a carico di alti ufficiali dell'Aeronautica si chiuse con assoluzioni divenute irrevocabili all'esito del giudizio di legittimità del 2007, sicché per la strage e per il suo occultamento non esiste alcun condannato penale, Livello A; sul versante civile, la giurisdizione risarcitoria accertò, con conferma della Corte di cassazione nel 2013, la responsabilità dei ministeri per il difetto di sorveglianza e di sicurezza dello scenario aereo in cui il velivolo civile fu coinvolto, condannando lo Stato ai risarcimenti secondo lo standard probabilistico proprio di quella sede, Livello A quanto al giudicato civile.</w:t>
      </w:r>
    </w:p>
    <w:p>
      <w:pPr>
        <w:spacing w:after="120" w:line="276"/>
        <w:jc w:val="both"/>
      </w:pPr>
      <w:r>
        <w:rPr>
          <w:rFonts w:ascii="Barlow Semi Condensed" w:cs="Barlow Semi Condensed" w:eastAsia="Barlow Semi Condensed" w:hAnsi="Barlow Semi Condensed"/>
          <w:sz w:val="24"/>
          <w:szCs w:val="24"/>
        </w:rPr>
        <w:t xml:space="preserve">La qualificazione dello scenario resta, ed il registro la dichiara quale sua frontiera: le ricostruzioni tecniche contrapposte che attraversarono le perizie, la quasi-collisione nel quadro di un'azione aerea militare, il missile, l'ordigno a bordo, non furono mai risolte in sede penale con forza di giudicato, e ogni attribuzione specifica dello scenario a velivoli, forze o Stati determinati resta al Livello C, materia di ipotesi concorrenti che il registro censisce senza sciogliere. Ne discende lo statuto documentale unico dell'evento nell'economia dell'opera: Ustica è il caso in cui la Repubblica ha risarcito civilmente uno scenario che non ha accertato penalmente, riconoscendo per equivalente ciò che non ha saputo nominare per esteso, e questa forbice tra le 2 giurisdizioni, la civile che paga e la penale che assolve, è la forma istituzionale esatta dell'irrisolto, misurata con gli strumenti del diritto anziché con quelli della retorica. Il registro colloca l'evento nel proprio teatro, il Mediterraneo del 1980, accanto ai fatti censiti del medesimo cielo e del medesimo mare, e ne fissa la funzione nella fase: la notte di Ustica documenta che lo spazio aereo nazionale era attraversato da attività militari non dichiarate che nessuna autorità ha mai integralmente ricostruito, e questa porosità certificata della sovranità sul proprio cielo è il complemento esatto, sul piano fisico, della porosità che l'intera opera ha misurato sul piano istituzionale, con la memoria delle 81 vittime affidata al museo bolognese che ne custodisce i nomi e il relitto, ottantuno luci sospese sul mare recuperato.</w:t>
      </w:r>
    </w:p>
    <w:p>
      <w:pPr>
        <w:spacing w:after="120" w:line="276"/>
        <w:jc w:val="both"/>
      </w:pPr>
      <w:r>
        <w:rPr>
          <w:rFonts w:ascii="Barlow Semi Condensed" w:cs="Barlow Semi Condensed" w:eastAsia="Barlow Semi Condensed" w:hAnsi="Barlow Semi Condensed"/>
          <w:sz w:val="24"/>
          <w:szCs w:val="24"/>
        </w:rPr>
        <w:t xml:space="preserve">Il teatro libico del Mediterraneo consegna al registro la sua notte maggiore, che il capitolo censisce con la scansione esatta: nella notte tra il 14 ed il 15 aprile 1986 l'aviazione americana colpì Tripoli e Bengasi nell'operazione di rappresaglia contro il regime di Gheddafi seguita all'attentato di Berlino, e la sera del 15 aprile la Libia rispose lanciando 2 missili verso l'isola di Lampedusa, sede di una stazione tecnica americana, ordigni caduti in mare senza danni ma costituenti l'unica azione bellica diretta contro il territorio italiano dalla fine della Seconda guerra mondiale, Livello A quanto ai fatti ed alle date. Attorno alla notte si addensa il contorno dichiarativo che il registro riporta con il suo statuto: le ricostruzioni successive, alimentate da dichiarazioni di protagonisti politici italiani rese a distanza di anni, riferirono di un avvertimento fatto pervenire per canali italiani al regime libico alla vigilia dell'attacco, circostanza mai certificata da atti e rimasta al Livello B nella forma di convergenza dichiarativa tardiva, con il suo contenuto preciso al Livello C. Il registro colloca la notte nella serie che il capitolo ha costruito: a 6 mesi da Sigonella, la crisi dell'aprile 1986 ripropone l'identico schema del doppio binario, la lealtà atlantica formale e la tutela parallela del canale mediterraneo, e la traiettoria dei 2 missili su Lampedusa, quale che ne fosse l'intenzione balistica, resta il punto del corpus in cui la guerra fredda mediterranea smise per una sera di essere coperta, misurando quanto vicino alla superficie corresse, da sempre, ciò che l'opera censisce di norma solo negli archivi.</w:t>
      </w:r>
    </w:p>
    <w:p>
      <w:pPr>
        <w:spacing w:after="120" w:line="276"/>
        <w:jc w:val="both"/>
      </w:pPr>
      <w:r>
        <w:rPr>
          <w:rFonts w:ascii="Barlow Semi Condensed" w:cs="Barlow Semi Condensed" w:eastAsia="Barlow Semi Condensed" w:hAnsi="Barlow Semi Condensed"/>
          <w:sz w:val="24"/>
          <w:szCs w:val="24"/>
        </w:rPr>
        <w:t xml:space="preserve">Alla contabilità mediterranea della stagione precedente appartiene infine il velivolo che ne è divenuto il reperto simbolico: l'aereo da trasporto del servizio noto con la sigla Argo 16, impiegato per le missioni riservate del SID, precipitò il 23 novembre 1973 in area industriale presso Marghera con la morte dei 4 militari dell'equipaggio, poche settimane dopo essere stato utilizzato, secondo le acquisizioni parlamentari e giudiziarie convergenti, per ricondurre in area mediorientale uomini dell'area palestinese rilasciati nel quadro della gestione riservata censita in questo capitolo, Livello A quanto alla caduta, alle vittime ed all'impiego del velivolo, Livello B quanto alla specifica missione di riconduzione. Sull'origine della caduta il registro applica la propria disciplina: l'ipotesi del sabotaggio quale ritorsione per la linea dei rilasci, coltivata da un'istruttoria durata decenni e chiusasi senza condanne, resta al Livello C, ipotesi processualmente esplorata e mai certificata, accanto a quella dell'incidente. La funzione del reperto nell'economia della fase è tuttavia indipendente dallo scioglimento: Argo 16 è il punto in cui il canale riservato mediterraneo dell'Italia smette di essere una politica e diventa una carlinga, un luogo fisico con un equipaggio ed una rotta, e la sua fine mai spiegata, qualunque ne sia stata la causa, apparteneva già allora al prezzo possibile di quella politica, che il registro ha censito nei suoi benefici dichiarati e censisce qui nel suo primo, possibile, costo occulto.</w:t>
      </w:r>
    </w:p>
    <w:p>
      <w:pPr>
        <w:spacing w:after="120" w:line="276"/>
        <w:jc w:val="both"/>
      </w:pPr>
      <w:r>
        <w:rPr>
          <w:rFonts w:ascii="Barlow Semi Condensed" w:cs="Barlow Semi Condensed" w:eastAsia="Barlow Semi Condensed" w:hAnsi="Barlow Semi Condensed"/>
          <w:sz w:val="24"/>
          <w:szCs w:val="24"/>
        </w:rPr>
        <w:t xml:space="preserve">La scheda del dirottamento si chiude con l'epilogo del suo regista, che il registro riporta per completezza di casellario: il capo dell'organizzazione responsabile dell'azione, condannato all'ergastolo in via definitiva dalla giustizia italiana quale organizzatore, rimase latitante per 18 anni tra i santuari mediorientali sino alla cattura da parte delle forze americane a Baghdad nell'aprile 2003, nel quadro dell'occupazione dell'Iraq, e morì in detenzione americana nel marzo 2004, senza estradizione verso l'Italia e senza processo americano per i fatti del 1985, Livello A quanto all'intera sequenza. Il registro annota la geometria finale del caso: l'uomo conteso nella notte di Sigonella tra la sovranità italiana e la pretesa americana finì i propri giorni, 18 anni dopo, in mani americane e fuori da ogni aula, sicché nessuna delle 2 giurisdizioni che se lo erano disputato sulla pista siciliana lo ha mai avuto davanti a un giudice in carne ed ossa, e l'ergastolo italiano in contumacia resta l'unico verdetto mai pronunciato su di lui, eseguito dalla storia nella forma che il corpus conosce meglio, la morte in custodia altrui prima del dibattimento.</w:t>
      </w:r>
    </w:p>
    <w:p>
      <w:pPr>
        <w:spacing w:after="120" w:line="276"/>
        <w:jc w:val="both"/>
      </w:pPr>
      <w:r>
        <w:rPr>
          <w:rFonts w:ascii="Barlow Semi Condensed" w:cs="Barlow Semi Condensed" w:eastAsia="Barlow Semi Condensed" w:hAnsi="Barlow Semi Condensed"/>
          <w:sz w:val="24"/>
          <w:szCs w:val="24"/>
        </w:rPr>
        <w:t xml:space="preserve">La genealogia energetica del teatro mediterraneo impone al registro di risalire al suo evento fondativo, che l'opera censisce quale primo caso della propria serie e più antico dei suoi irrisolti certificati: la sera del 27 ottobre 1962 l'aereo personale del presidente dell'ENI Enrico Mattei precipitò a Bascapè, nel Pavese, in fase di avvicinamento a Linate, uccidendo Mattei, il pilota Irnerio Bertuzzi ed il giornalista americano William McHale, Livello A quanto all'evento ed alle vittime. La vicenda giudiziaria, chiusa in prima battuta quale incidente, fu riaperta 3 decenni dopo dalla procura di Pavia, e l'istruttoria condotta negli anni Novanta approdò nel 2003 ad un'archiviazione di natura eccezionale, che il registro riporta nel suo esatto dispositivo: sulla scorta delle perizie sui reperti riesumati, il provvedimento accertò che la caduta fu provocata da una carica esplosiva collocata a bordo, qualificando il fatto quale attentato doloso, e dispose l'archiviazione per l'impossibilità di identificarne, a 40 anni di distanza, esecutori e mandanti, Livello A quanto all'accertamento del dolo contenuto nel provvedimento, con autori e moventi rimasti al Livello C tra le ipotesi concorrenti, dalla pista interna dei poteri petroliferi a quella internazionale, mai discriminate. Il registro consegna il caso alla sua funzione di chiave: Mattei fu l'uomo che sfidò l'oligopolio petrolifero occidentale trattando direttamente con i produttori mediterranei e con Mosca, e la certificazione postuma che la sua morte fu un omicidio senza colpevoli colloca all'origine stessa del teatro censito da questo capitolo, un decennio prima del lodo e 2 decenni prima delle notti siciliane, la dimostrazione che la sovranità energetica italiana nel Mediterraneo era una posta per la quale, in questo Paese, si poteva morire.</w:t>
      </w:r>
    </w:p>
    <w:p>
      <w:pPr>
        <w:spacing w:after="120" w:line="276"/>
        <w:jc w:val="both"/>
      </w:pPr>
      <w:r>
        <w:rPr>
          <w:rFonts w:ascii="Barlow Semi Condensed" w:cs="Barlow Semi Condensed" w:eastAsia="Barlow Semi Condensed" w:hAnsi="Barlow Semi Condensed"/>
          <w:sz w:val="24"/>
          <w:szCs w:val="24"/>
        </w:rPr>
        <w:t xml:space="preserve">Alla scia di Bascapè appartiene la seconda vittima, che il registro censisce quale caso di sparizione perfetta: il giornalista palermitano Mauro De Mauro, che nel settembre 1970 lavorava alla ricostruzione delle ultime giornate di Mattei per conto di una produzione cinematografica, fu sequestrato sotto casa la sera del 16 settembre 1970 e mai più ritrovato, né vivo né morto, Livello A quanto alla sparizione ed alla sua data; il procedimento celebrato a distanza di decenni contro il vertice corleonese quale mandante si chiuse con assoluzione divenuta definitiva, che il registro riporta per esteso secondo la propria disciplina, sicché per la sparizione di De Mauro non esiste alcun condannato, Livello A quanto all'esito assolutorio; ed il ventaglio dei moventi esplorati, l'inchiesta su Mattei, altre piste palermitane concorrenti, resta al Livello C, materia di ipotesi che 50 anni di indagini non hanno gerarchizzato. Il registro annota la geometria che i 2 casi compongono: l'uomo che indagava sulla morte dell'uomo del petrolio scomparve senza lasciare corpo né verità, e questa concatenazione di irrisolti al quadrato, l'omicidio certificato senza autori e la sparizione senza neppure il reato accertabile, apre la serie mediterranea dell'opera con la sua legge più dura, che il capitolo ha poi ritrovato ad ogni tornante: in questo teatro, chi tocca la questione energetica e chi tocca chi l'ha toccata appartengono alla medesima contabilità.</w:t>
      </w:r>
    </w:p>
    <w:p>
      <w:pPr>
        <w:spacing w:after="120" w:line="276"/>
        <w:jc w:val="both"/>
      </w:pPr>
      <w:r>
        <w:rPr>
          <w:rFonts w:ascii="Barlow Semi Condensed" w:cs="Barlow Semi Condensed" w:eastAsia="Barlow Semi Condensed" w:hAnsi="Barlow Semi Condensed"/>
          <w:sz w:val="24"/>
          <w:szCs w:val="24"/>
        </w:rPr>
        <w:t xml:space="preserve">Il Mediterraneo del 1980 completa la propria costellazione con la crisi che il registro censisce quale terza scena del medesimo mare: nell'agosto di quell'anno unità militari libiche imposero la sospensione delle attività della piattaforma di perforazione operata per conto maltese da una società italiana del gruppo pubblico sul banco conteso di Medina, costringendo al ritiro il naviglio civile e aprendo una crisi diplomatica tra La Valletta, Tripoli e Roma sulla delimitazione delle acque e sulle concessioni energetiche del canale di Sicilia, ricomposta per via negoziale e arbitrale negli anni seguenti, Livello A quanto all'episodio ed alla sua composizione. Il registro colloca la cannoniera libica nella sequenza che il capitolo ha costruito: l'estate del 1980 vide concentrarsi sul medesimo quadrante, in 6 settimane, la notte di Ustica, la strage alla stazione della città da cui quel volo era partito e la prova di forza energetica sul banco di Medina, e la disciplina del Pattern 3, che vieta di convertire la densità in disegno, impone qui la sua applicazione più severa e la sua annotazione più ferma: i 3 eventi restano, allo stato degli atti, privi di ogni connessione certificata, e ciò che la loro compresenza documenta non è una trama ma una condizione, quella di un mare che nell'estate del 1980 era simultaneamente teatro di guerra aerea non dichiarata, bersaglio di terrorismo interno e posta di conflitto energetico, la condizione mediterranea dell'Italia che questo capitolo ha censito e che nessuna singola inchiesta, per statuto, poteva vedere per intero.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teatro mediterraneo è certificato quale sistema continuo dell'autonomia italiana, con la prassi al Livello B, i riscontri e la crisi del 1985 al Livello A, Leon Klinghoffer nominato tra le vittime, e la serie degli attriti documentati con l'alleato maggiore consegnata quale versante mediterraneo delle contrarietà certificate alla verifica delle macro-ipotesi.</w:t>
      </w:r>
    </w:p>
    <w:p>
      <w:pPr>
        <w:pStyle w:val="Heading3"/>
        <w:spacing w:after="80" w:before="160"/>
      </w:pPr>
      <w:r>
        <w:rPr>
          <w:rFonts w:ascii="Barlow Semi Condensed" w:cs="Barlow Semi Condensed" w:eastAsia="Barlow Semi Condensed" w:hAnsi="Barlow Semi Condensed"/>
          <w:sz w:val="24"/>
          <w:szCs w:val="24"/>
        </w:rPr>
        <w:t xml:space="preserve">Capitolo 6 — L'Est: gli archivi trasferiti, il caso bulgaro e l'asimmetria della prova</w:t>
      </w:r>
    </w:p>
    <w:p>
      <w:pPr>
        <w:spacing w:after="120" w:line="276"/>
        <w:jc w:val="both"/>
      </w:pPr>
      <w:r>
        <w:rPr>
          <w:rFonts w:ascii="Barlow Semi Condensed" w:cs="Barlow Semi Condensed" w:eastAsia="Barlow Semi Condensed" w:hAnsi="Barlow Semi Condensed"/>
          <w:sz w:val="24"/>
          <w:szCs w:val="24"/>
        </w:rPr>
        <w:t xml:space="preserve">Il sesto nodo è il campo orientale, il versante del grafo la cui conoscibilità dipende integralmente dal collasso del 1989-1991 e dai trasferimenti archivistici che ne seguirono. Il registro dichiara in apertura la condizione che governa l'intero capitolo: sino alla caduta, il campo orientale non produsse verso l'esterno documentazione propria se non per defezione, e ogni certificazione del nodo porta la data del proprio regime di accesso, la disciplina dell'asimmetria nella sua applicazione più pura.</w:t>
      </w:r>
    </w:p>
    <w:p>
      <w:pPr>
        <w:spacing w:after="120" w:line="276"/>
        <w:jc w:val="both"/>
      </w:pPr>
      <w:r>
        <w:rPr>
          <w:rFonts w:ascii="Barlow Semi Condensed" w:cs="Barlow Semi Condensed" w:eastAsia="Barlow Semi Condensed" w:hAnsi="Barlow Semi Condensed"/>
          <w:sz w:val="24"/>
          <w:szCs w:val="24"/>
        </w:rPr>
        <w:t xml:space="preserve">Il primo pilastro censisce il compendio maggiore, l'archivio Mitrokhin. La documentazione esfiltrata nel 1992 dall'ex archivista del servizio sovietico e trasmessa ai servizi occidentali, il compendio dal quale derivano i rapporti trasmessi all'Italia noti quali dossier Impedian, fu recepita in sede parlamentare dalla Commissione dedicata, istituita nel 2002 e conclusa nel 2006, con gli esiti divisi che la natura della fonte e la stagione politica produssero; il registro certifica al Livello A l'esistenza, la provenienza e la recezione parlamentare del compendio, quali fatti documentali, e fissa la disciplina della fonte, che l'opera ha già applicato al caso Conforto della Fase 4: le schedature del compendio sono documentazione d'archivio di servizio, non giudicati, e le qualità che esse attribuiscono sono certificate al Livello B quali risultanze documentali di parte recepite in sede istituzionale, con ogni lettura operativa al livello proprio; il caso Conforto, l'agente schedato quale Dario sotto il cui tetto fu sequestrata l'arma dell'esecuzione di via Caetani, resta l'applicazione esemplare della disciplina, il fatto materiale al Livello A, la qualità al Livello B, il nesso al Livello C.</w:t>
      </w:r>
    </w:p>
    <w:p>
      <w:pPr>
        <w:spacing w:after="120" w:line="276"/>
        <w:jc w:val="both"/>
      </w:pPr>
      <w:r>
        <w:rPr>
          <w:rFonts w:ascii="Barlow Semi Condensed" w:cs="Barlow Semi Condensed" w:eastAsia="Barlow Semi Condensed" w:hAnsi="Barlow Semi Condensed"/>
          <w:sz w:val="24"/>
          <w:szCs w:val="24"/>
        </w:rPr>
        <w:t xml:space="preserve">Il secondo pilastro censisce il caso giudiziario maggiore del versante, l'attentato al pontefice e la pista bulgara. Il 13 maggio 1981 Giovanni Paolo II fu gravemente ferito in piazza San Pietro da Mehmet Ali Ağca, l'estremista turco proveniente dall'organizzazione dei Lupi Grigi, condannato all'ergastolo dalla giustizia italiana nel luglio 1981 e graziato dal presidente della Repubblica nel giugno 2000 con successiva estradizione in Turchia; sull'ipotesi del mandato orientale, la pista bulgara alimentata dalle dichiarazioni del condannato, si celebrò il processo ai presunti coordinatori, e la Corte d'assise di Roma, con la sentenza del marzo 1986, assolse per insufficienza di prove Sergej Antonov e i coimputati bulgari e turchi, esito che il registro riporta per esteso in ottemperanza alla propria disciplina; il registro certifica al Livello A l'attentato, la condanna dell'esecutore, la grazia e l'esito assolutorio del processo sul mandato, quali dati giudiziari, mantiene al Livello C l'ipotesi del mandato orientale, quale lettura processualmente non provata, e annota la struttura che il caso consegna all'opera: il massimo attentato del decennio sul territorio italiano ha un esecutore giudicato e un mandato mai accertato, la configurazione dei piani che la Fase 4 ha formalizzato, replicata qui sul terreno internazionale con l'aggravante dell'asimmetria, giacché gli archivi capaci di sciogliere la questione appartenevano al campo che la questione investiva, e le aperture successive al 1989 non hanno prodotto la prova in alcuna direzione.</w:t>
      </w:r>
    </w:p>
    <w:p>
      <w:pPr>
        <w:spacing w:after="120" w:line="276"/>
        <w:jc w:val="both"/>
      </w:pPr>
      <w:r>
        <w:rPr>
          <w:rFonts w:ascii="Barlow Semi Condensed" w:cs="Barlow Semi Condensed" w:eastAsia="Barlow Semi Condensed" w:hAnsi="Barlow Semi Condensed"/>
          <w:sz w:val="24"/>
          <w:szCs w:val="24"/>
        </w:rPr>
        <w:t xml:space="preserve">Il terzo pilastro censisce il canale finanziario documentato, il sostegno economico del campo orientale al maggiore partito comunista occidentale. La documentazione emersa dagli archivi sovietici dopo il 1991 ha certificato l'esistenza pluridecennale del canale di finanziamento del Partito comunista italiano da parte del partito sovietico, con le consistenze e la cronologia che gli studi d'archivio hanno ricostruito e con l'esaurimento del canale negli anni Settanta-Ottanta parallelo all'autonomizzazione eurocomunista; il registro certifica al Livello A l'esistenza storica del canale, quale dato archivistico consolidato, e ne dichiara la funzione nella verifica: esso è il canale documentato del campo orientale verso il sistema politico italiano, simmetrico per esistenza ai canali occidentali che il capitolo settimo censisce, e la simmetria certificata delle interferenze ordinarie dei 2 campi, ciascuno sul proprio versante del sistema politico, è il fatto di base che la verifica finale erediterà, con la consueta distinzione tra l'interferenza ordinaria documentata e le regie straordinarie che i documenti non certificano.</w:t>
      </w:r>
    </w:p>
    <w:p>
      <w:pPr>
        <w:spacing w:after="120" w:line="276"/>
        <w:jc w:val="both"/>
      </w:pPr>
      <w:r>
        <w:rPr>
          <w:rFonts w:ascii="Barlow Semi Condensed" w:cs="Barlow Semi Condensed" w:eastAsia="Barlow Semi Condensed" w:hAnsi="Barlow Semi Condensed"/>
          <w:sz w:val="24"/>
          <w:szCs w:val="24"/>
        </w:rPr>
        <w:t xml:space="preserve">Il quarto pilastro censisce i servizi satelliti, il versante minore del campo. Le acquisizioni successive al 1989, dalle aperture parziali degli archivi orientali agli atti delle commissioni dei Paesi già satelliti, hanno documentato l'attività verso l'Italia e verso il terrorismo internazionale transitato per l'Italia dei servizi del blocco, con i casi che la documentazione colloca ai livelli propri, dal sostegno logistico e addestrativo prestato da strutture orientali alle organizzazioni palestinesi, documentato dalle carte aperte, alle attività informative ordinarie sul Paese di frontiera; il registro certifica al Livello A l'esistenza documentata delle attività per i casi consacrati dalle carte aperte, mantiene al Livello B le ricostruzioni fondate su acquisizioni parziali, e ribadisce la disciplina dell'asimmetria: la conoscenza del versante satellite è integralmente figlia delle aperture del 1989-1991, cresce dove gli ordinamenti successori hanno legiferato l'accesso e tace dove non lo hanno fatto, e ogni comparazione interna al campo orientale incorpora questa non uniformità quale condizione.</w:t>
      </w:r>
    </w:p>
    <w:p>
      <w:pPr>
        <w:spacing w:after="120" w:line="276"/>
        <w:jc w:val="both"/>
      </w:pPr>
      <w:r>
        <w:rPr>
          <w:rFonts w:ascii="Barlow Semi Condensed" w:cs="Barlow Semi Condensed" w:eastAsia="Barlow Semi Condensed" w:hAnsi="Barlow Semi Condensed"/>
          <w:sz w:val="24"/>
          <w:szCs w:val="24"/>
        </w:rPr>
        <w:t xml:space="preserve">Il quinto pilastro censisce l'esito istituzionale italiano del compendio, il bilancio della Commissione. La Commissione parlamentare sul dossier Mitrokhin, operante dal 2002 al 2006, si concluse con relazioni divise lungo la frattura politica della stagione, senza approdi condivisi e senza che dalle sue carte scaturisse alcun seguito giudiziario di rilievo, e il registro certifica al Livello A l'esito diviso e l'assenza di seguiti, quali dati parlamentari, traendone l'annotazione metodologica che il caso consegna: la recezione istituzionale di un archivio di parte, in un sistema politico polarizzato, produsse non l'accertamento ma la trasposizione della polarizzazione sull'archivio stesso, e il compendio, fonte documentale di valore per la ricerca, fu consumato dalla stagione quale arma della contesa; il registro trascrive il caso quale controesempio interno alla legge del capitolo nono, l'apertura archivistica che non produce conoscenza consolidata quando la recezione avviene nel campo della lotta politica anziché in quello dell'accertamento, e ne trae la cautela permanente con cui l'opera stessa ha trattato il compendio, la disciplina della fonte fissata nel primo pilastro.</w:t>
      </w:r>
    </w:p>
    <w:p>
      <w:pPr>
        <w:spacing w:after="120" w:line="276"/>
        <w:jc w:val="both"/>
      </w:pPr>
      <w:r>
        <w:rPr>
          <w:rFonts w:ascii="Barlow Semi Condensed" w:cs="Barlow Semi Condensed" w:eastAsia="Barlow Semi Condensed" w:hAnsi="Barlow Semi Condensed"/>
          <w:sz w:val="24"/>
          <w:szCs w:val="24"/>
        </w:rPr>
        <w:t xml:space="preserve">Il sesto pilastro censisce l'epilogo archivistico del caso bulgaro, la prova dell'asimmetria anche nell'apertura. Dopo il 1989, l'ordinamento bulgaro conobbe le proprie stagioni di accesso alle carte della sicurezza del regime, con le aperture parziali e regolate che la transizione produsse, e dalle carte accessibili non emerse la prova del mandato nell'una né nell'altra direzione, l'assoluzione per insufficienza di prove del 1986 restando l'ultimo atto giudiziario del caso e la questione storiografica restando aperta con le letture contrapposte che la letteratura custodisce; il registro certifica al Livello A l'esistenza delle aperture parziali e l'assenza di prova sopravvenuta, quali dati, e ne trae la lezione terminale del versante: l'apertura archivistica è condizione necessaria e non sufficiente dell'accertamento, giacché essa restituisce soltanto ciò che fu scritto e conservato, e un mandato, se vi fu, appartiene per natura alla classe degli atti che gli apparati non scrivono o non conservano; il registro salda la lezione alla firma delle assenze certificata dalla Fase 4, la coincidenza sistematica tra la sensibilità dell'atto e il silenzio della carta, e consegna il caso quale memento metodologico permanente: nel campo studiato, esistono questioni strutturalmente inaccertabili per via documentale, e la maturità del metodo consiste nel dichiararle tali, mantenendole al livello dell'ipotesi viva, anziché forzarle verso conclusioni che nessun archivio, aperto o chiuso, potrà mai fondare.</w:t>
      </w:r>
    </w:p>
    <w:p>
      <w:pPr>
        <w:spacing w:after="120" w:line="276"/>
        <w:jc w:val="both"/>
      </w:pPr>
      <w:r>
        <w:rPr>
          <w:rFonts w:ascii="Barlow Semi Condensed" w:cs="Barlow Semi Condensed" w:eastAsia="Barlow Semi Condensed" w:hAnsi="Barlow Semi Condensed"/>
          <w:sz w:val="24"/>
          <w:szCs w:val="24"/>
        </w:rPr>
        <w:t xml:space="preserve">Il settimo pilastro fissa il perimetro della trasmissione italiana, i rapporti Impedian. La quota del compendio trasmessa all'Italia consiste nei 261 rapporti della serie Impedian, il sottoinsieme che il servizio britannico destinò alla controparte italiana e che costituì la base documentale della Commissione; il registro certifica al Livello A la consistenza e la natura derivata della trasmissione, quale dato degli atti, e ne trae la precisazione metodologica che il perimetro impone: la conoscenza italiana del compendio è una conoscenza doppiamente mediata, dall'esfiltrazione selettiva dell'archivista prima e dalla selezione del servizio trasmittente poi, e ogni impiego dei rapporti incorpora le 2 selezioni non verificabili che ne hanno determinato il contenuto; il registro applica al caso la disciplina dell'autocertificazione formalizzata per le liste della rete stay-behind, l'elenco che documenta ciò che contiene e nulla certifica su ciò che esclude, e chiude il pilastro con la qualificazione terminale della fonte: il compendio è, per l'opera, un giacimento di piste di Livello B da riscontrare caso per caso, mai un archivio probante, e il caso Conforto resta la dimostrazione del rendimento possibile, la pista del compendio che un fatto materiale italiano, il sequestro dell'arma, ha trasformato in nodo certificato ai livelli propri.</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Mitrokhin-Impedian-disciplina della fonte, fissa lo statuto probatorio del compendio con il caso Conforto quale applicazione esemplare. La seconda, attentato del 1981-processo del mandato-assoluzione del 1986, certifica la replica internazionale della struttura dei piani, con l'esito riportato per esteso. La terza, canale finanziario-archivi post-1991-simmetria delle interferenze, consegna alla verifica il fatto di base del versante orientale.</w:t>
      </w:r>
    </w:p>
    <w:p>
      <w:pPr>
        <w:spacing w:after="120" w:line="276"/>
        <w:jc w:val="both"/>
      </w:pPr>
      <w:r>
        <w:rPr>
          <w:rFonts w:ascii="Barlow Semi Condensed" w:cs="Barlow Semi Condensed" w:eastAsia="Barlow Semi Condensed" w:hAnsi="Barlow Semi Condensed"/>
          <w:sz w:val="24"/>
          <w:szCs w:val="24"/>
        </w:rPr>
        <w:t xml:space="preserve">Alle aperture parziali del campo il registro deve i loro istituti, perché la conoscibilità del versante ha assunto, dopo il 1989, forme ordinamentali precise che la legge del capitolo nono avrebbe poi classificato: la Germania riunificata creò nel 1991 l'autorità federale per le carte del servizio di sicurezza della disciolta Repubblica democratica, il modello dell'accesso amministrato agli archivi della Stasi che ha reso quel fondo il più consultato archivio di polizia segreta della storia; l'ordinamento ceco e slovacco affidò le carte dello StB agli istituti della memoria nel quadro delle leggi di lustrazione; la Romania istituì nel 1999 il consiglio nazionale per lo studio degli archivi della Securitate, con accesso regolato ai fascicoli personali, Livello A quanto agli istituti ed alle loro date. Il registro giustappone al censimento l'eccezione che lo definisce: l'archivio centrale del servizio sovietico, il fondo maggiore del campo, non conobbe alcun istituto equivalente, e la sua conoscibilità resta affidata alle esfiltrazioni individuali, delle quali il compendio Mitrokhin censito è l'esemplare massimo, sicché il versante orientale si presenta all'analista come un arcipelago di satelliti illuminati attorno a un centro rimasto buio, e questa geometria rovesciata, la periferia leggibile ed il centro opaco, è la forma specifica che l'asimmetria della prova assume ad Est, con la conseguenza metodologica che la fase ha già tratto: sul campo orientale, ogni affermazione sul centro è, per statuto archivistico, più debole di ogni affermazione sui satelliti.</w:t>
      </w:r>
    </w:p>
    <w:p>
      <w:pPr>
        <w:spacing w:after="120" w:line="276"/>
        <w:jc w:val="both"/>
      </w:pPr>
      <w:r>
        <w:rPr>
          <w:rFonts w:ascii="Barlow Semi Condensed" w:cs="Barlow Semi Condensed" w:eastAsia="Barlow Semi Condensed" w:hAnsi="Barlow Semi Condensed"/>
          <w:sz w:val="24"/>
          <w:szCs w:val="24"/>
        </w:rPr>
        <w:t xml:space="preserve">Al versante bulgaro del campo appartiene infine lo snodo commerciale che gli atti parlamentari italiani censirono quale infrastruttura dei traffici: la società di Stato Kintex, l'ente di commercio estero di Sofia che le Commissioni d'inchiesta della Repubblica, sulla scorta di acquisizioni investigative e di convergenze internazionali, indicarono quale terminale organizzato di flussi di armi e di stupefacenti lungo le rotte balcanico-adriatiche verso l'Italia, in un intreccio tra commercio ufficiale e canali clandestini che la letteratura parlamentare del decennio documentò senza che ne seguisse mai un giudicato penale italiano organico sull'ente, Livello B quanto alle acquisizioni ed alle indicazioni delle sedi parlamentari, in assenza di certificazione giudiziaria di sistema. Il registro colloca il reperto nel suo perimetro esatto: la Kintex appartiene alla categoria degli snodi indicati e mai giudicati, e la sua funzione nel nodo è documentale prima che accusatoria, dimostrare che il campo orientale disponeva, accanto ai canali politici e informativi censiti dai pilastri, di un'infrastruttura commerciale di Stato idonea ai traffici paralleli, secondo il modello, speculare a quello occidentale delle società di comodo censite nel teatro australe, per cui ogni campo affida ai propri enti opachi ciò che la propria diplomazia non può firmare. La simmetria delle infrastrutture, l'ente di Stato ad Est e la società di comodo ad Ovest, è l'ultima delle specularità che il capitolo consegna alla verifica finale.</w:t>
      </w:r>
    </w:p>
    <w:p>
      <w:pPr>
        <w:spacing w:after="120" w:line="276"/>
        <w:jc w:val="both"/>
      </w:pPr>
      <w:r>
        <w:rPr>
          <w:rFonts w:ascii="Barlow Semi Condensed" w:cs="Barlow Semi Condensed" w:eastAsia="Barlow Semi Condensed" w:hAnsi="Barlow Semi Condensed"/>
          <w:sz w:val="24"/>
          <w:szCs w:val="24"/>
        </w:rPr>
        <w:t xml:space="preserve">Il compendio orientale impone infine la verifica sul quesito italiano per eccellenza, ed il registro la censisce quale Stato Zero maggiore della fase: la ricerca sistematica, condotta per decenni da istruttorie e commissioni sulla scorta delle carte transitate ad Occidente, di una direzione o di un finanziamento orientale organico del terrorismo brigatista, non ha prodotto la certificazione attesa, ed il materiale documentale disponibile, incluso il compendio censito, restituisce sul punto tracce frammentarie di contatti, transiti e attenzioni informative, ma non la catena di comando che la vulgata di ciascuna stagione ha ripetutamente annunciato, Livello A quanto all'esito delle ricerche documentali e parlamentari, Livello C quanto ad ogni ricostruzione di direzione esterna, mai consolidata. Il registro applica al risultato la propria dottrina dello Stato Zero: l'assenza sistematicamente cercata e non trovata è un dato di prima classe, e nel caso di specie essa delimita il perimetro che i giudicati italiani hanno sempre confermato, quello di un terrorismo autoctono nelle decisioni e nelle strutture, comunque collocato in un ecosistema internazionale che gli forniva sponde logistiche e santuari censiti altrove in questa fase; la disciplina impone di consegnare entrambe le metà del dato, contro le 2 vulgate speculari che il corpus ha attraversato, quella che voleva ogni bomba italiana comandata da una centrale straniera e quella che negava ogni dimensione internazionale, ed il registro le respinge entrambe con lo stesso strumento, la distinzione tra ambiente e mandato, che regge l'intera opera: l'ambiente internazionale del terrorismo italiano è documentato, il mandato internazionale non lo è, e chi confonde i 2 piani non sta leggendo gli atti, li sta riscrivendo.</w:t>
      </w:r>
    </w:p>
    <w:p>
      <w:pPr>
        <w:spacing w:after="120" w:line="276"/>
        <w:jc w:val="both"/>
      </w:pPr>
      <w:r>
        <w:rPr>
          <w:rFonts w:ascii="Barlow Semi Condensed" w:cs="Barlow Semi Condensed" w:eastAsia="Barlow Semi Condensed" w:hAnsi="Barlow Semi Condensed"/>
          <w:sz w:val="24"/>
          <w:szCs w:val="24"/>
        </w:rPr>
        <w:t xml:space="preserve">Al repertorio operativo del campo orientale il registro aggiunge il caso che ne certificò il metodo davanti all'opinione mondiale: l'assassinio a Londra, nel settembre 1978, del dissidente bulgaro Georgi Markov, colpito su un ponte da un minuscolo proiettile ad agente tossico inoculato con un congegno dissimulato, morto in 4 giorni, caso mai giunto a condanne ma attribuito dalle acquisizioni successive alla collaborazione tra il servizio bulgaro e le strutture tecniche sovietiche, Livello A quanto al fatto ed alle modalità accertate, Livello B quanto all'attribuzione risultante dalle acquisizioni post-1989 mai processate. Il registro censisce l'ombrello di Londra per la sua funzione contestuale: il caso dimostrò, nel medesimo autunno del 1978 che questo capitolo attraversa, che l'apparato bulgaro disponeva della volontà e della tecnica per l'omicidio politico extraterritoriale di precisione, e questa capacità certificata è l'esatto contesto nel quale, 3 anni dopo, il mondo avrebbe soppesato l'accusa di Roma censita nel capitolo, con la disciplina che il registro ribadisce: la capacità dimostrata a Londra rendeva l'ipotesi romana plausibile, non provata, e la distanza tra questi 2 aggettivi è precisamente ciò che le assoluzioni italiane per insufficienza hanno misurato.</w:t>
      </w:r>
    </w:p>
    <w:p>
      <w:pPr>
        <w:spacing w:after="120" w:line="276"/>
        <w:jc w:val="both"/>
      </w:pPr>
      <w:r>
        <w:rPr>
          <w:rFonts w:ascii="Barlow Semi Condensed" w:cs="Barlow Semi Condensed" w:eastAsia="Barlow Semi Condensed" w:hAnsi="Barlow Semi Condensed"/>
          <w:sz w:val="24"/>
          <w:szCs w:val="24"/>
        </w:rPr>
        <w:t xml:space="preserve">La genealogia dei servizi del campo occidentale contiene il precedente fondativo che il registro censisce quale matrice del riciclo istituzionale: l'Organizzazione Gehlen, la struttura informativa costituita nel 1946 sotto egida americana attorno al generale Reinhard Gehlen, già capo del servizio dell'esercito tedesco per il fronte orientale, transitata nel 1956, con il medesimo vertice e con quadri in parte reclutati tra gli ex appartenenti agli apparati del regime sconfitto, nel servizio federale di intelligence della nuova Germania, che Gehlen diresse sino al 1968, con la componente di ex membri delle strutture di sicurezza naziste che la commissione storica indipendente istituita dallo stesso servizio ha documentato nei propri studi, Livello A quanto alla parabola istituzionale ed alle acquisizioni della storiografia ufficiale tedesca. Il registro consegna il precedente alla sua funzione di chiave per l'intera fase: la conversione dell'apparato informativo del Reich in apparato informativo dell'alleanza, decisa a guerra appena finita in nome della continuità delle conoscenze sull'Est, è il prototipo documentato della logica che il corpus ritrova in ogni suo teatro, il primato del nemico prossimo venturo sulla giustizia per il nemico appena sconfitto, e la circostanza che questa conversione sia oggi certificata dalla storiografia commissionata dal servizio medesimo dimostra, sul piano del metodo, che anche il più compromettente dei segreti fondativi può essere metabolizzato da un'istituzione democratica, a condizione, che il registro annota per il bilancio finale, di una sola cosa: che passino abbastanza decenni perché nessuno dei nomi negli archivi sia più vivo per rispondere.</w:t>
      </w:r>
    </w:p>
    <w:p>
      <w:pPr>
        <w:spacing w:after="120" w:line="276"/>
        <w:jc w:val="both"/>
      </w:pPr>
      <w:r>
        <w:rPr>
          <w:rFonts w:ascii="Barlow Semi Condensed" w:cs="Barlow Semi Condensed" w:eastAsia="Barlow Semi Condensed" w:hAnsi="Barlow Semi Condensed"/>
          <w:sz w:val="24"/>
          <w:szCs w:val="24"/>
        </w:rPr>
        <w:t xml:space="preserve">Il capitolo degli archivi orientali si completa con il caso più romanzesco della loro trasmigrazione, che il registro censisce quale paradigma della guerra postuma per le carte: lo schedario operativo del servizio estero della Germania orientale, sottratto nella forma di microfilm nel naufragio del 1990 e finito oltreoceano, fu restituito alla Germania riunificata solo nel 2003, dopo un decennio di negoziati, nel corpus documentale noto quale dossier Rosenholz, consentendo l'identificazione retrospettiva di reti di collaboratori attive per decenni nell'Europa occidentale, con le ricadute nazionali gestite da ciascun Paese secondo le proprie procedure, Livello A quanto alla vicenda del fondo ed alla sua restituzione. Il registro consegna il caso alla sua funzione di chiusura per il capitolo: la parabola del dossier, un archivio di spionaggio conteso per 13 anni tra 2 alleati come bottino di guerra fredda postuma, dimostra che le carte censite in questo capitolo non furono mai semplici fonti ma poste strategiche esse stesse, possedute, negoziate e restituite secondo convenienze di Stato, e la conseguenza per il metodo dell'opera è quella che l'intera fase ha costruito: ogni archivio del corpus è arrivato allo storico attraverso una catena di custodie interessate, e la prima domanda del metodo davanti ad ogni carta non è mai che cosa dice, ma per quali mani è passata e perché proprio ora è leggibile.</w:t>
      </w:r>
    </w:p>
    <w:p>
      <w:pPr>
        <w:spacing w:after="120" w:line="276"/>
        <w:jc w:val="both"/>
      </w:pPr>
      <w:r>
        <w:rPr>
          <w:rFonts w:ascii="Barlow Semi Condensed" w:cs="Barlow Semi Condensed" w:eastAsia="Barlow Semi Condensed" w:hAnsi="Barlow Semi Condensed"/>
          <w:sz w:val="24"/>
          <w:szCs w:val="24"/>
        </w:rPr>
        <w:t xml:space="preserve">La contabilità dei flussi orientali esige infine la sua voce maggiore, che il registro censisce in simmetria documentale con il capitolo americano della fase: gli archivi del partito sovietico, aperti dopo il 1991, hanno documentato i finanziamenti pluridecennali erogati da Mosca ai partiti comunisti occidentali attraverso i canali riservati del comitato centrale, con il partito italiano tra i principali destinatari europei dei trasferimenti, protrattisi dalla ricostruzione postbellica sino alla soglia degli anni Ottanta, quali risultano dalle carte moscovite acquisite e pubblicate e dalle ricognizioni storiografiche e parlamentari che ne sono seguite, Livello A quanto ai flussi documentati dagli archivi del finanziatore. Il registro colloca il reperto nella propria architettura con la disciplina della doppia entrata: censiti nel capitolo atlantico i finanziamenti americani ai partiti ed agli uomini del campo occidentale italiano, la simmetria documentale impone la registrazione del flusso speculare, e la loro lettura congiunta consegna alla verifica finale il dato strutturale che nessuna delle 2 vulgate contrapposte ha mai voluto pronunciare per intero: per l'arco maggiore del corpus, i 2 principali partiti italiani ricevettero sostegno finanziario riservato dalle 2 superpotenze contrapposte, sicché la sovranità del sistema politico censito dall'opera era limitata non da una dipendenza ma da 2, e la competizione democratica italiana della guerra fredda fu, anche sul piano contabile documentato, un teatro nel quale entrambi i campi esterni pagavano il proprio attore, con la conseguenza di metodo che il registro affida al bilancio: chi racconta una sola delle 2 dipendenze non sta descrivendo il sistema, ne sta arbitrando la memoria.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versante orientale è certificato nella misura che gli archivi trasferiti consentono, con la disciplina della fonte Mitrokhin al Livello B per le schedature, l'attentato al pontefice censito con esecutore giudicato e mandato assolto per insufficienza di prove nel 1986, e il canale finanziario storico al Livello A quale interferenza ordinaria documentata, simmetrica al versante occidentale nella struttura che la verifica finale erediterà.</w:t>
      </w:r>
    </w:p>
    <w:p>
      <w:pPr>
        <w:pStyle w:val="Heading3"/>
        <w:spacing w:after="80" w:before="160"/>
      </w:pPr>
      <w:r>
        <w:rPr>
          <w:rFonts w:ascii="Barlow Semi Condensed" w:cs="Barlow Semi Condensed" w:eastAsia="Barlow Semi Condensed" w:hAnsi="Barlow Semi Condensed"/>
          <w:sz w:val="24"/>
          <w:szCs w:val="24"/>
        </w:rPr>
        <w:t xml:space="preserve">Capitolo 7 — L'Atlantico: i canali occidentali, la parabola di Sindona e il ponte piduista</w:t>
      </w:r>
    </w:p>
    <w:p>
      <w:pPr>
        <w:spacing w:after="120" w:line="276"/>
        <w:jc w:val="both"/>
      </w:pPr>
      <w:r>
        <w:rPr>
          <w:rFonts w:ascii="Barlow Semi Condensed" w:cs="Barlow Semi Condensed" w:eastAsia="Barlow Semi Condensed" w:hAnsi="Barlow Semi Condensed"/>
          <w:sz w:val="24"/>
          <w:szCs w:val="24"/>
        </w:rPr>
        <w:t xml:space="preserve">Il settimo nodo è il campo occidentale, il versante del grafo la cui documentazione, per l'asimmetria dichiarata, è la più antica e la più stratificata, dalle desecretazioni americane della prima guerra fredda agli atti delle Commissioni italiane. Il registro ne censisce i 3 canali documentati verso il sistema italiano.</w:t>
      </w:r>
    </w:p>
    <w:p>
      <w:pPr>
        <w:spacing w:after="120" w:line="276"/>
        <w:jc w:val="both"/>
      </w:pPr>
      <w:r>
        <w:rPr>
          <w:rFonts w:ascii="Barlow Semi Condensed" w:cs="Barlow Semi Condensed" w:eastAsia="Barlow Semi Condensed" w:hAnsi="Barlow Semi Condensed"/>
          <w:sz w:val="24"/>
          <w:szCs w:val="24"/>
        </w:rPr>
        <w:t xml:space="preserve">Il primo pilastro censisce il canale politico-finanziario della fondazione. La documentazione desecretata americana, dalle direttive del Consiglio per la sicurezza nazionale del 1948 alle carte operative del periodo, certifica l'esistenza del sostegno finanziario e organizzativo degli Stati Uniti ai partiti anticomunisti italiani nella stagione fondativa della Repubblica, il canale della prima guerra fredda che gli studi d'archivio hanno ricostruito nelle sue forme, dai finanziamenti elettorali alle operazioni di influenza; il registro certifica al Livello A l'esistenza storica del canale, quale dato archivistico consolidato, e ne fissa la simmetria strutturale con il canale orientale del capitolo precedente: i 2 campi finanziarono per decenni i rispettivi versanti del sistema politico italiano, e la coppia dei canali, entrambi al Livello A per esistenza, costituisce il fatto di base bilaterale che la verifica finale erediterà quale interferenza ordinaria documentata dei 2 imperi sul medesimo Paese di frontiera.</w:t>
      </w:r>
    </w:p>
    <w:p>
      <w:pPr>
        <w:spacing w:after="120" w:line="276"/>
        <w:jc w:val="both"/>
      </w:pPr>
      <w:r>
        <w:rPr>
          <w:rFonts w:ascii="Barlow Semi Condensed" w:cs="Barlow Semi Condensed" w:eastAsia="Barlow Semi Condensed" w:hAnsi="Barlow Semi Condensed"/>
          <w:sz w:val="24"/>
          <w:szCs w:val="24"/>
        </w:rPr>
        <w:t xml:space="preserve">Il secondo pilastro censisce la parabola atlantica di Michele Sindona, il ponte finanziario tra i domini che la Fase 2 ha certificato sul versante italiano e che la fase completa sul versante americano. Il banchiere siciliano costruì negli Stati Uniti l'apice della propria rete con l'acquisizione della Franklin National Bank, il cui crollo nell'ottobre 1974 costituì all'epoca il maggiore fallimento bancario della storia americana; condannato negli Stati Uniti nel 1980 a 25 anni per la bancarotta, fu estradato in Italia nel settembre 1984, condannato all'ergastolo il 18 marzo 1986 quale mandante dell'omicidio dell'avvocato Giorgio Ambrosoli, il liquidatore ucciso a Milano l'11 luglio 1979 che la Fase 4 ha censito nella serie romana, e morì 4 giorni dopo la condanna, il 22 marzo 1986, nel carcere di Voghera, per il caffè avvelenato al cianuro, in circostanze giudizialmente definite ma perennemente discusse tra suicidio e omicidio; il registro certifica al Livello A l'intera parabola, il crollo, le condanne, l'estradizione, l'ergastolo e la morte, quali dati giudiziari, e ne dichiara la funzione reticolare: Sindona è il nodo individuale che congiunge, con archi tutti certificati, il Dominio 6 dei 2 continenti, il Dominio 1 dei capitali riciclati, il Dominio 4 della loggia cui apparteneva, il Dominio 5 delle relazioni vaticane e il Dominio 2 delle protezioni politiche, la figura che la lettura conclusiva misura tra le massime intermediazioni individuali del grafo intero.</w:t>
      </w:r>
    </w:p>
    <w:p>
      <w:pPr>
        <w:spacing w:after="120" w:line="276"/>
        <w:jc w:val="both"/>
      </w:pPr>
      <w:r>
        <w:rPr>
          <w:rFonts w:ascii="Barlow Semi Condensed" w:cs="Barlow Semi Condensed" w:eastAsia="Barlow Semi Condensed" w:hAnsi="Barlow Semi Condensed"/>
          <w:sz w:val="24"/>
          <w:szCs w:val="24"/>
        </w:rPr>
        <w:t xml:space="preserve">Il terzo pilastro censisce il ponte piduista e i fatti atlantici della Fase 4. La loggia coperta operò quale struttura a proiezione atlantica documentata, con le presenze americane e latinoamericane negli elenchi, le relazioni transnazionali certificate dalla Commissione Anselmi e la funzione di cerniera tra gli ambienti dei 2 continenti che gli atti descrivono; al medesimo versante appartengono i fatti che la Fase 4 ha elevato, la dichiarazione del Dipartimento di Stato del 12 gennaio 1978 sull'indesiderabilità della partecipazione comunista ai governi occidentali, certificata al Livello A quale contrarietà pubblica, e la consulenza americana presso il comitato di crisi dei 55 giorni, certificata nei fatti al Livello A; il registro ricompone il versante nella formalizzazione che la verifica erediterà: il campo occidentale è documentato nel canale fondativo, nella contrarietà pubblica al progetto di allargamento democratico e nelle presenze consultive dentro la crisi capitale, 3 specie di fatti tutti certificati ai livelli dichiarati, e resta non documentato in ogni traduzione operativa straordinaria, la configurazione identica, per struttura, a quella del campo opposto, che il registro consegna alla verifica quale simmetria terminale delle evidenze.</w:t>
      </w:r>
    </w:p>
    <w:p>
      <w:pPr>
        <w:spacing w:after="120" w:line="276"/>
        <w:jc w:val="both"/>
      </w:pPr>
      <w:r>
        <w:rPr>
          <w:rFonts w:ascii="Barlow Semi Condensed" w:cs="Barlow Semi Condensed" w:eastAsia="Barlow Semi Condensed" w:hAnsi="Barlow Semi Condensed"/>
          <w:sz w:val="24"/>
          <w:szCs w:val="24"/>
        </w:rPr>
        <w:t xml:space="preserve">Il quarto pilastro censisce la proiezione americana della loggia. Gli atti della Commissione Anselmi e le acquisizioni convergenti documentano i rapporti del Venerabile con ambienti politici e d'affari statunitensi, le presenze d'oltreoceano nell'orbita della loggia e la funzione di cerniera tra gli ambienti conservatori dei 2 continenti che la documentazione descrive per la stagione a cavallo del 1980, ivi compresa la presenza di Gelli a cerimonie pubbliche americane della stagione documentata dalle cronache; il registro certifica al Livello A l'esistenza dei rapporti documentati dagli atti parlamentari, mantiene al Livello B le ricostruzioni delle loro funzioni, e ne trae il dato reticolare: la loggia operò quale struttura a doppio ancoraggio, italiana nella composizione e atlantica nelle relazioni, e la sua massima intermediazione, misurata dalla lettura conclusiva, incorpora questa doppiezza certificata, il ponte che non congiungeva soltanto i domini italiani tra loro ma il sistema italiano con gli ambienti del campo maggiore.</w:t>
      </w:r>
    </w:p>
    <w:p>
      <w:pPr>
        <w:spacing w:after="120" w:line="276"/>
        <w:jc w:val="both"/>
      </w:pPr>
      <w:r>
        <w:rPr>
          <w:rFonts w:ascii="Barlow Semi Condensed" w:cs="Barlow Semi Condensed" w:eastAsia="Barlow Semi Condensed" w:hAnsi="Barlow Semi Condensed"/>
          <w:sz w:val="24"/>
          <w:szCs w:val="24"/>
        </w:rPr>
        <w:t xml:space="preserve">Il quinto pilastro censisce la fonte americana quale via di apertura, la stagione delle inchieste congressuali. Negli anni 1975-1976 le commissioni d'inchiesta del Congresso degli Stati Uniti sulla comunità di intelligence, la stagione nota dal nome del senatore Church, portarono alla luce e agli atti pubblici il perimetro delle operazioni coperte americane, ivi comprese le operazioni di finanziamento e influenza condotte in Italia nei decenni precedenti, consegnando alla conoscenza pubblica, per via di inchiesta parlamentare del Paese operante, ciò che nessuna fonte italiana avrebbe potuto certificare; il registro certifica al Livello A la stagione, gli atti e il loro contenuto italiano, quali dati documentali, e ne trae la duplice annotazione: sul piano del metodo, la stagione congressuale è il caso maggiore della quarta via della tassonomia archivistica, l'apertura per scandalo e inchiesta, applicata al cuore dell'impero e non alla sua periferia, e dimostra che la legge del capitolo nono governa anche il campo dominante; sul piano del merito, essa costituisce la fonte primaria non italiana del canale fondativo certificato nel primo pilastro, sicché la conoscenza italiana del proprio condizionamento fondativo è, in misura rilevante, un prodotto derivato dell'autocritica istituzionale americana degli anni Settanta, l'asimmetria delle fonti che il registro dichiara quale condizione del versante.</w:t>
      </w:r>
    </w:p>
    <w:p>
      <w:pPr>
        <w:spacing w:after="120" w:line="276"/>
        <w:jc w:val="both"/>
      </w:pPr>
      <w:r>
        <w:rPr>
          <w:rFonts w:ascii="Barlow Semi Condensed" w:cs="Barlow Semi Condensed" w:eastAsia="Barlow Semi Condensed" w:hAnsi="Barlow Semi Condensed"/>
          <w:sz w:val="24"/>
          <w:szCs w:val="24"/>
        </w:rPr>
        <w:t xml:space="preserve">Il sesto pilastro recepisce il versante vaticano-atlantico, il triangolo finanziario della Fase 2 nel suo esito ordinamentale. Il crollo del Banco Ambrosiano del 1982, con la morte londinese di Roberto Calvi censita dalla Fase 2 e la posizione dell'Istituto per le Opere di Religione quale azionista e controparte documentata, produsse sul piano giudiziario italiano il tentativo di perseguire i vertici dell'Istituto, chiuso dalla pronuncia che riconobbe l'immunità derivante dallo statuto internazionale dell'ente centrale vaticano, con l'annullamento nel 1987 dei provvedimenti restrittivi richiesti; il registro certifica al Livello A il crollo, la posizione documentata dell'Istituto e l'esito di immunità, quali dati giudiziari e ordinamentali, e ne trae la formalizzazione che il versante consegna alla mappa: il Dominio 5 è l'unico dominio del sistema il cui vertice finanziario risultò, per statuto internazionale, integralmente sottratto alla giurisdizione italiana, e il triangolo Ambrosiano-Istituto-immunità è il caso puro della frattura giurisdizionale interna al territorio, la stessa variabile che il capitolo secondo ha certificato per i rifugi esteri qui operante nel cuore di Roma; il registro trascrive la simmetria tra il santuario estero e l'enclave interna quale dato strutturale della coppia religione-economia, la coppia che la Nota metodologica collocava tra le più dense e che il corpus ha confermato tale, con l'aggravante certificata dell'inaccertabilità perpetua del suo vertice.</w:t>
      </w:r>
    </w:p>
    <w:p>
      <w:pPr>
        <w:spacing w:after="120" w:line="276"/>
        <w:jc w:val="both"/>
      </w:pPr>
      <w:r>
        <w:rPr>
          <w:rFonts w:ascii="Barlow Semi Condensed" w:cs="Barlow Semi Condensed" w:eastAsia="Barlow Semi Condensed" w:hAnsi="Barlow Semi Condensed"/>
          <w:sz w:val="24"/>
          <w:szCs w:val="24"/>
        </w:rPr>
        <w:t xml:space="preserve">Il settimo pilastro censisce l'infrastruttura permanente del vincolo, il sistema delle basi. La presenza militare americana e atlantica sul territorio italiano, con le installazioni maggiori che la Nota metodologica elenca, Aviano, Sigonella, Vicenza, Napoli, e la rete dei siti minori, costituisce l'infrastruttura fisica del rapporto di campo, stabilita dagli accordi bilaterali della fondazione e attraversata indenne da ogni stagione politica della Repubblica; il registro certifica al Livello A l'esistenza, la consistenza e la continuità del sistema, quali dati pubblici, e ne dichiara la funzione nel versante: le basi sono il fatto strutturale che distingue l'interferenza occidentale da quella orientale nella loro stessa natura, il campo maggiore essendo presente sul territorio quale infrastruttura permanente e non quale influenza esterna, e la notte di Sigonella, censita nel capitolo quinto, fu precisamente il momento in cui questa presenza infrastrutturale e la sovranità territoriale entrarono in attrito fisico documentato, i 2 apparati armati fronteggiandosi sul medesimo sedime; il registro consegna il dato alla verifica quale correttivo strutturale della simmetria bilaterale certificata: i 2 campi furono simmetrici nei canali di interferenza ordinaria e radicalmente asimmetrici nella presenza fisica, e ogni lettura del condizionamento del sistema italiano incorpora questa asimmetria di base, che non prova alcuna condotta e definisce, quale condizione permanente certificata, il differenziale di prossimità dei 2 imperi al territorio conteso.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canale del 1948-sistema politico-simmetria bilaterale, certifica il fatto di base occidentale e la sua specularità orientale. La seconda, Sindona-Franklin-ergastolo del 1986, certifica la parabola del massimo ponte finanziario individuale del grafo. La terza, loggia-dichiarazione del 1978-consulenza nella crisi, ricompone i fatti atlantici certificati della Fase 4 nel versante che la verifica erediterà.</w:t>
      </w:r>
    </w:p>
    <w:p>
      <w:pPr>
        <w:spacing w:after="120" w:line="276"/>
        <w:jc w:val="both"/>
      </w:pPr>
      <w:r>
        <w:rPr>
          <w:rFonts w:ascii="Barlow Semi Condensed" w:cs="Barlow Semi Condensed" w:eastAsia="Barlow Semi Condensed" w:hAnsi="Barlow Semi Condensed"/>
          <w:sz w:val="24"/>
          <w:szCs w:val="24"/>
        </w:rPr>
        <w:t xml:space="preserve">Alla stagione congressuale il registro deve i nomi propri che la resero possibile: furono la commissione del Senato presieduta da Frank Church e la commissione della Camera presieduta da Otis Pike, operanti tra il 1975 ed il 1976, a sottoporre per la prima volta gli apparati americani a un'inchiesta parlamentare sistematica sulle operazioni estere, con audizioni, rapporti e desecretazioni che investirono anche il capitolo dei finanziamenti politici in Europa, e fu la circolazione, anche irrituale, dei materiali di quella stagione a immettere nel dibattito pubblico italiano, alla metà degli anni Settanta, le prime quantificazioni documentate del canale fondativo che il primo pilastro certifica, Livello A quanto alle commissioni, ai loro atti ed alla loro ricaduta documentale. Il registro assegna alla stagione il suo posto nella legge delle aperture: le inchieste del 1975-1976 sono l'esemplare capitale della via del contraccolpo interno, l'apertura prodotta non dal collasso del sistema ma dalla sua crisi di legittimazione domestica, e la circostanza che la prima luce sul versante occidentale del caso italiano sia stata accesa a Washington, da organi americani per ragioni americane, conferma sul campo opposto il teorema già certificato ad Est: nessun apparato illumina sé stesso per virtù propria, e la conoscenza dei 2 campi è figlia, in forme diverse, delle loro rispettive crisi.</w:t>
      </w:r>
    </w:p>
    <w:p>
      <w:pPr>
        <w:spacing w:after="120" w:line="276"/>
        <w:jc w:val="both"/>
      </w:pPr>
      <w:r>
        <w:rPr>
          <w:rFonts w:ascii="Barlow Semi Condensed" w:cs="Barlow Semi Condensed" w:eastAsia="Barlow Semi Condensed" w:hAnsi="Barlow Semi Condensed"/>
          <w:sz w:val="24"/>
          <w:szCs w:val="24"/>
        </w:rPr>
        <w:t xml:space="preserve">Al sistema delle basi il registro aggiunge l'esemplare che ne rivela il metodo costitutivo: l'installazione navale americana di Santo Stefano, nell'arcipelago della Maddalena, che dal 1972 ospitò la nave appoggio ed i sommergibili a propulsione nucleare della flotta atlantica sulla base di intese bilaterali riservate, perfezionate in via amministrativa senza passaggio parlamentare di autorizzazione, e rimaste operative per 36 anni sino alla dismissione del 2008, Livello A quanto all'installazione, al suo regime ed alla sua durata. Il valore del caso non sta nella base ma nella procedura: la decisione di ospitare stabilmente in acque italiane il naviglio nucleare dell'alleato fu assunta e mantenuta interamente sotto la soglia della deliberazione parlamentare, secondo il modello delle intese tecniche derivate dai trattati-quadro che il pilastro certifica per l'intero sistema, e la sua emersione nel dibattito pubblico avvenne per gradi, a installazione avvenuta, con la geografia del vincolo già consolidata in fatto. Il registro ne trae il teorema infrastrutturale del versante occidentale, speculare a quello archivistico: come la conoscenza del sistema è postuma alle sue crisi, così la deliberazione democratica sul sistema è postuma alle sue installazioni, e la mappa delle basi, da Sigonella alla Maddalena, è la forma fisica di un consenso che fu sempre ratificante e mai costituente, il vincolo di campo fatto cemento prima che dibattito.</w:t>
      </w:r>
    </w:p>
    <w:p>
      <w:pPr>
        <w:spacing w:after="120" w:line="276"/>
        <w:jc w:val="both"/>
      </w:pPr>
      <w:r>
        <w:rPr>
          <w:rFonts w:ascii="Barlow Semi Condensed" w:cs="Barlow Semi Condensed" w:eastAsia="Barlow Semi Condensed" w:hAnsi="Barlow Semi Condensed"/>
          <w:sz w:val="24"/>
          <w:szCs w:val="24"/>
        </w:rPr>
        <w:t xml:space="preserve">Il sistema atlantico ebbe infine il suo apice missilistico siciliano, che il registro censisce quale capitolo maggiore del vincolo infrastrutturale: in attuazione della doppia decisione NATO del 12 dicembre 1979, l'Italia accettò l'installazione dei missili da crociera a testata nucleare presso l'aeroporto di Comiso, che negli anni Ottanta divenne la maggiore base di euromissili del fianco Sud, al centro di mobilitazioni pacifiste di massa e di un dibattito parlamentare che, a differenza dei casi censiti in precedenza, vi fu, con la deliberazione politica esplicita dell'autunno 1979, sino allo smantellamento seguito al trattato INF del dicembre 1987, che eliminò l'intera categoria di vettori e riconsegnò la base entro l'inizio degli anni Novanta, Livello A sull'intera parabola. Il registro colloca Comiso nella tipologia della fase quale caso di controllo: qui la procedura democratica funzionò, il Parlamento deliberò prima dell'installazione e la geografia del vincolo seguì la decisione politica anziché precederla, sicché il confronto interno al medesimo capitolo, La Maddalena decisa in via riservata e Comiso votata in aula, dimostra che il metodo del consenso ratificante non era una necessità tecnica dell'alleanza ma una scelta caso per caso, e che quando la Repubblica volle deliberare prima di ospitare, poté farlo; la conseguenza documentale, che il registro annota per la verifica finale, è che ogni installazione non deliberata del corpus fu tale non perché non si potesse, ma perché non si volle chiedere.</w:t>
      </w:r>
    </w:p>
    <w:p>
      <w:pPr>
        <w:spacing w:after="120" w:line="276"/>
        <w:jc w:val="both"/>
      </w:pPr>
      <w:r>
        <w:rPr>
          <w:rFonts w:ascii="Barlow Semi Condensed" w:cs="Barlow Semi Condensed" w:eastAsia="Barlow Semi Condensed" w:hAnsi="Barlow Semi Condensed"/>
          <w:sz w:val="24"/>
          <w:szCs w:val="24"/>
        </w:rPr>
        <w:t xml:space="preserve">Il capitolo americano del vincolo possiede infine la sua contabilità documentata, che il registro censisce dal più ufficiale dei canali: il rapporto conclusivo della commissione della Camera dei rappresentanti censita in questo capitolo, divulgato nel 1976 attraverso la stampa dopo che l'aula ne aveva vietato la pubblicazione, dedicò all'Italia un capitolo specifico, documentando i programmi di finanziamento copertο ai partiti ed a singoli esponenti politici italiani protratti per decenni, e riportando, quale caso di scuola, il canale diretto attivato nei primi anni Settanta dall'ambasciata di Roma verso il vertice del servizio militare italiano, con l'indicazione di 800.000 dollari destinati, secondo il rapporto, al generale che la seconda fase di quest'opera censisce quale direttore imputato, Livello A quanto ai contenuti del rapporto parlamentare ed alla loro divulgazione, con la qualificazione che la disciplina impone, trattandosi di accertamento politico-parlamentare straniero mai tradotto in giudicato italiano. Il registro salda il documento all'architettura dell'opera: il rapporto americano certifica dall'interno del campo occidentale ciò che le fasi italiane hanno censito dall'esterno, che il vertice dell'intelligence della Repubblica era simultaneamente destinatario di flussi riservati alleati ed imputato nei procedimenti eversivi nazionali, e la convergenza tra la carta di Washington e le carte di Roma sul medesimo nome è uno dei rari punti dell'intero corpus in cui i 2 archivi, quello del patrono e quello del cliente, si confermano a vicenda senza essersi consultati, realizzando, per una volta, la triangolazione perfetta che il metodo dell'opera persegue: la stessa notizia, da 2 sovranità, per 2 vie indipendenti.</w:t>
      </w:r>
    </w:p>
    <w:p>
      <w:pPr>
        <w:spacing w:after="120" w:line="276"/>
        <w:jc w:val="both"/>
      </w:pPr>
      <w:r>
        <w:rPr>
          <w:rFonts w:ascii="Barlow Semi Condensed" w:cs="Barlow Semi Condensed" w:eastAsia="Barlow Semi Condensed" w:hAnsi="Barlow Semi Condensed"/>
          <w:sz w:val="24"/>
          <w:szCs w:val="24"/>
        </w:rPr>
        <w:t xml:space="preserve">Il capitolo atlantico si chiude sul suo segreto più longevo, che il registro censisce nella sua forma peculiare: la presenza sul territorio italiano, a partire dagli anni Sessanta, di ordigni nucleari americani in custodia congiunta presso installazioni dell'alleanza, documentata da carte declassificate d'oltreoceano e da convergenze storiografiche consolidate, non è mai stata né confermata né smentita ufficialmente dalle autorità italiane, secondo la politica del riserbo assoluto mantenuta ininterrottamente da ogni governo del corpus, Livello A quanto alla documentazione declassificata americana ed alla costanza del riserbo italiano, Livello B quanto ad ogni dettaglio di consistenza e dislocazione nelle diverse epoche. Il registro censisce il caso per la sua unicità formale: si tratta dell'unico segreto dell'intera opera che non è mai stato violato, rivelato, desecretato o processato, ma semplicemente non pronunciato per 60 anni da nessuna istituzione nazionale, e questa forma estrema del non-detto, il segreto che sopravvive non perché custodito ma perché mai formalmente esistito nel discorso pubblico italiano, chiude la tipologia del capitolo con il suo caso limite: il vincolo di campo, che l'opera ha censito nelle sue forme scritte, ratificate e riservate, conosce anche la forma perfetta del vincolo muto, quello su cui il patto tacito tra tutte le maggioranze e tutte le opposizioni di mezzo secolo ha retto meglio di qualunque classifica di segretezza.</w:t>
      </w:r>
    </w:p>
    <w:p>
      <w:pPr>
        <w:spacing w:after="120" w:line="276"/>
        <w:jc w:val="both"/>
      </w:pPr>
      <w:r>
        <w:rPr>
          <w:rFonts w:ascii="Barlow Semi Condensed" w:cs="Barlow Semi Condensed" w:eastAsia="Barlow Semi Condensed" w:hAnsi="Barlow Semi Condensed"/>
          <w:sz w:val="24"/>
          <w:szCs w:val="24"/>
        </w:rPr>
        <w:t xml:space="preserve">Il vuoto operativo aperto dalla stagione delle commissioni ebbe infine la sua risposta extra-istituzionale, che il registro censisce quale reperto sulla plasticità del sistema: l'intesa riservata nota quale Safari Club, sottoscritta nel 1976 tra i servizi di Francia, Egitto, Arabia Saudita, Iran imperiale e Marocco, costituì un consorzio informale per operazioni anticomuniste condotte principalmente sui teatri africani, finanziate dai membri e deliberatamente collocate fuori dal perimetro dei controlli parlamentari che il Congresso americano aveva appena istituito, con l'esistenza dell'intesa rimasta segreta sino alla sua rivelazione pubblica, decenni dopo, da parte di uno dei suoi stessi protagonisti, Livello A quanto all'esistenza, ai membri ed alla funzione dell'intesa, quali risultano dalle rivelazioni e dalle acquisizioni storiografiche convergenti. Il registro fissa la lezione strutturale che il caso consegna al capitolo: la via del contraccolpo interno censita, la stagione in cui l'America sottopose i propri apparati al controllo democratico, produsse per reazione immediata la delocalizzazione delle operazioni presso sovranità prive di quei controlli, sicché il sistema non fu ridotto ma trasferito, e la parabola del consorzio, nato l'anno dopo le commissioni e operante dove esse non arrivavano, è la dimostrazione sperimentale della legge idraulica che l'intera fase documenta: nel campo delle operazioni coperte, il controllo democratico esercitato in un solo punto del sistema non riduce la pressione, la sposta, e la mappa dei luoghi dove la pressione riemerge, i santuari, i consorzi, le periferie, coincide con la mappa che quest'opera ha censito.</w:t>
      </w:r>
    </w:p>
    <w:p>
      <w:pPr>
        <w:spacing w:after="120" w:line="276"/>
        <w:jc w:val="both"/>
      </w:pPr>
      <w:r>
        <w:rPr>
          <w:rFonts w:ascii="Barlow Semi Condensed" w:cs="Barlow Semi Condensed" w:eastAsia="Barlow Semi Condensed" w:hAnsi="Barlow Semi Condensed"/>
          <w:sz w:val="24"/>
          <w:szCs w:val="24"/>
        </w:rPr>
        <w:t xml:space="preserve">La geografia del vincolo si completa con il suo deposito maggiore, che il registro censisce per la funzione logistica: la base di Camp Darby, insediata dal 1951 nella pineta tra Pisa e Livorno, costituì per l'intero arco del corpus uno dei principali arsenali americani del teatro mediterraneo, lo scalo logistico dove munizionamento e materiali per le forze del fianco Sud giacevano a ridosso del porto e della ferrovia, in forza degli accordi bilaterali della prima stagione atlantica, Livello A quanto all'installazione, alla funzione ed alla continuità. Il registro colloca il deposito nella tipologia del capitolo quale terzo tipo puro: dopo la base decisa in riservatezza e la base votata in Parlamento, Darby rappresenta la base ereditata, quella insediata nell'Italia ancora sotto il vincolo pieno del dopoguerra e semplicemente mai più discussa, transitata di decennio in decennio quale dato di natura del paesaggio, e questa terza modalità del consenso, né negato né prestato ma prescritto dal tempo, è la più silenziosa e la più solida delle 3, con l'annotazione che il registro consegna al bilancio della fase: la parte maggiore del vincolo di campo italiano non fu mai decisa da nessuno dei governi del corpus, fu ereditata da tutti, e l'inerzia, nella contabilità della sovranità, pesa più dei trattati.</w:t>
      </w:r>
    </w:p>
    <w:p>
      <w:pPr>
        <w:spacing w:after="120" w:line="276"/>
        <w:jc w:val="both"/>
      </w:pPr>
      <w:r>
        <w:rPr>
          <w:rFonts w:ascii="Barlow Semi Condensed" w:cs="Barlow Semi Condensed" w:eastAsia="Barlow Semi Condensed" w:hAnsi="Barlow Semi Condensed"/>
          <w:sz w:val="24"/>
          <w:szCs w:val="24"/>
        </w:rPr>
        <w:t xml:space="preserve">Il catalogo maggiore della stagione delle commissioni merita il suo censimento specifico, perché il registro vi trova il ponte documentale con il teatro australe: il rapporto interinale sui complotti omicidiari contro leader stranieri, pubblicato dalla commissione senatoriale nel novembre 1975, documentò ufficialmente il coinvolgimento dell'agenzia in trame contro Lumumba nel Congo, nei reiterati tentativi contro Castro, e nelle vicende terminate con le morti di Trujillo, di Diem e, per il capitolo che qui rileva, del generale cileno René Schneider, il capo di stato maggiore costituzionalista ucciso nell'ottobre 1970 nel tentativo di sequestro organizzato da gruppi finanziati per impedire l'insediamento di Allende, Livello A quanto ai contenuti del rapporto pubblicato. Il registro salda il documento all'architettura della fase: il caso Schneider certificò dalla fonte più ufficiale del campo occidentale che la via cilena censita nel pilastro australe non cominciò con il golpe del 1973 ma 3 anni prima, con l'eliminazione mirata dell'ufficiale che garantiva la neutralità dell'esercito, e la circostanza che questa certificazione provenga dal Senato del Paese committente, e non dalle vittime o dagli avversari, la colloca al vertice della scala probatoria dell'intera fase, con la lezione di metodo che il registro ne trae per il bilancio finale: nel corpus internazionale, i documenti più schiaccianti sui campi non li hanno prodotti i nemici dei campi, li hanno prodotti, nelle loro rare stagioni di autocoscienza istituzionale, i campi medesimi, e l'opera che qui si conclude ha potuto essere scritta soprattutto grazie a quelle stagioni.</w:t>
      </w:r>
    </w:p>
    <w:p>
      <w:pPr>
        <w:spacing w:after="120" w:line="276"/>
        <w:jc w:val="both"/>
      </w:pPr>
      <w:r>
        <w:rPr>
          <w:rFonts w:ascii="Barlow Semi Condensed" w:cs="Barlow Semi Condensed" w:eastAsia="Barlow Semi Condensed" w:hAnsi="Barlow Semi Condensed"/>
          <w:sz w:val="24"/>
          <w:szCs w:val="24"/>
        </w:rPr>
        <w:t xml:space="preserve">Il capitolo delle presenze militari esige infine la messa a punto probatoria sul suo attore maggiore, che il registro formula quale statuto: l'Alleanza atlantica attraversa l'intero corpus quale attore assente-presente, documentata al Livello A in ogni sua struttura, i comandi, le basi censite, le pianificazioni stay-behind riconosciute dai governi, ed assente al livello dei giudicati in ogni singolo evento criminale dell'opera, poiché nessuna sentenza italiana ha mai accertato una responsabilità dell'organizzazione in quanto tale in alcuna delle vicende censite, sicché il suo statuto probatorio complessivo è la compresenza permanente di un Livello A strutturale e di uno Stato Zero eventale. Il registro consegna lo statuto alla sua funzione disciplinare: tra la vulgata che legge l'Alleanza quale regista di ogni pagina nera e la vulgata opposta che la dichiara estranea per definizione, il corpus documenta un terzo oggetto, una cornice egemonica reale dentro la quale attori nazionali e transnazionali, alcuni dei quali giudizialmente accertati, operarono secondo convergenze che la cornice rendeva possibili senza che gli atti ne certifichino la committenza, e questa distinzione tra la cornice e la mano, tra il campo che orienta ed il mandato che ordina, è forse la più importante che l'intera opera consegna al lettore, perché confonderle produce, nelle 2 direzioni opposte, le 2 forme di cecità che il metodo è nato per evitare.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versante occidentale è certificato nei suoi 3 canali documentati, il finanziamento fondativo al Livello A, la parabola di Sindona quale massima intermediazione individuale con l'intera sequenza giudiziaria riportata, e il ponte piduista con i fatti atlantici della crisi capitale, in configurazione strutturalmente simmetrica al versante orientale: interferenza ordinaria documentata, traduzione straordinaria non documentata.</w:t>
      </w:r>
    </w:p>
    <w:p>
      <w:pPr>
        <w:pStyle w:val="Heading3"/>
        <w:spacing w:after="80" w:before="160"/>
      </w:pPr>
      <w:r>
        <w:rPr>
          <w:rFonts w:ascii="Barlow Semi Condensed" w:cs="Barlow Semi Condensed" w:eastAsia="Barlow Semi Condensed" w:hAnsi="Barlow Semi Condensed"/>
          <w:sz w:val="24"/>
          <w:szCs w:val="24"/>
        </w:rPr>
        <w:t xml:space="preserve">Capitolo 8 — Il sistema stay-behind: Gladio, le reti sorelle e l'autunno delle rivelazioni</w:t>
      </w:r>
    </w:p>
    <w:p>
      <w:pPr>
        <w:spacing w:after="120" w:line="276"/>
        <w:jc w:val="both"/>
      </w:pPr>
      <w:r>
        <w:rPr>
          <w:rFonts w:ascii="Barlow Semi Condensed" w:cs="Barlow Semi Condensed" w:eastAsia="Barlow Semi Condensed" w:hAnsi="Barlow Semi Condensed"/>
          <w:sz w:val="24"/>
          <w:szCs w:val="24"/>
        </w:rPr>
        <w:t xml:space="preserve">L'ottavo nodo è il sistema continentale delle reti clandestine di permanenza, l'architettura che la Fase 3 ha incontrato sul versante italiano e che la fase censisce quale sistema europeo. Il registro certifica al Livello A l'esistenza del sistema, quale dato consacrato dalla stagione delle rivelazioni del 1990, e ne distende la struttura nei pilastri.</w:t>
      </w:r>
    </w:p>
    <w:p>
      <w:pPr>
        <w:spacing w:after="120" w:line="276"/>
        <w:jc w:val="both"/>
      </w:pPr>
      <w:r>
        <w:rPr>
          <w:rFonts w:ascii="Barlow Semi Condensed" w:cs="Barlow Semi Condensed" w:eastAsia="Barlow Semi Condensed" w:hAnsi="Barlow Semi Condensed"/>
          <w:sz w:val="24"/>
          <w:szCs w:val="24"/>
        </w:rPr>
        <w:t xml:space="preserve">Il primo pilastro censisce la rivelazione italiana. Il 3 agosto 1990 il presidente del Consiglio Giulio Andreotti annunciò alla Commissione parlamentare sulle stragi l'esistenza della struttura, e il 24 ottobre 1990 ne trasmise la relazione ufficiale, rivelando l'organizzazione Gladio quale rete clandestina di permanenza costituita nel dopoguerra entro la cornice atlantica, con i depositi, la base di addestramento di Capo Marrargiu e le liste degli arruolati che la stagione successiva avrebbe discusso; il registro certifica al Livello A le date, gli atti e i contenuti della rivelazione, quali dati parlamentari, e certifica al Livello A la circostanza strutturale che essa illumina retrospettivamente: la rete operò per oltre 4 decenni in regime di segreto integrale verso il Parlamento, e la sua esistenza divenne materia pubblica non per apertura volontaria ma per la convergenza di pressioni giudiziarie e politiche della stagione, il caso italiano della regolarità che il capitolo nono formalizza.</w:t>
      </w:r>
    </w:p>
    <w:p>
      <w:pPr>
        <w:spacing w:after="120" w:line="276"/>
        <w:jc w:val="both"/>
      </w:pPr>
      <w:r>
        <w:rPr>
          <w:rFonts w:ascii="Barlow Semi Condensed" w:cs="Barlow Semi Condensed" w:eastAsia="Barlow Semi Condensed" w:hAnsi="Barlow Semi Condensed"/>
          <w:sz w:val="24"/>
          <w:szCs w:val="24"/>
        </w:rPr>
        <w:t xml:space="preserve">Il secondo pilastro censisce la dimensione continentale. La rivelazione italiana innescò l'autunno europeo delle ammissioni: i governi di più Paesi dell'Alleanza e di Paesi neutrali riconobbero l'esistenza di strutture analoghe, il Parlamento europeo adottò il 22 novembre 1990 la risoluzione che chiedeva lo scioglimento delle reti e le inchieste nazionali, e le sedi parlamentari nazionali produssero gli accertamenti maggiori, la commissione d'inchiesta belga sui fatti del proprio teatro e il rapporto svizzero sulla struttura P26, entrambi della stagione 1990-1991; il registro certifica al Livello A la sequenza continentale, quali dati parlamentari europei, e ne trae la formalizzazione comparativa: il sistema era continentale per costruzione e la sua emersione fu continentale per contagio, ma la profondità degli accertamenti fu radicalmente nazionale, massima nei Paesi a inchiesta parlamentare formale e minima altrove, sicché la conoscenza del sistema replica, al proprio interno, l'asimmetria archivistica che governa l'intera fase.</w:t>
      </w:r>
    </w:p>
    <w:p>
      <w:pPr>
        <w:spacing w:after="120" w:line="276"/>
        <w:jc w:val="both"/>
      </w:pPr>
      <w:r>
        <w:rPr>
          <w:rFonts w:ascii="Barlow Semi Condensed" w:cs="Barlow Semi Condensed" w:eastAsia="Barlow Semi Condensed" w:hAnsi="Barlow Semi Condensed"/>
          <w:sz w:val="24"/>
          <w:szCs w:val="24"/>
        </w:rPr>
        <w:t xml:space="preserve">Il terzo pilastro fissa la disciplina italiana degli impieghi. Sul nodo che la stagione rese incandescente, l'ipotesi dell'impiego interno della rete o dei suoi materiali nella stagione eversiva, il registro recepisce lo stato che la Fase 3 ha certificato: l'esistenza della rete e dei depositi al Livello A, i singoli episodi di intersezione documentati ai livelli propri, e ogni lettura dell'impiego sistematico interno al Livello C, nessun accertamento avendo consacrato la traduzione della struttura di permanenza in strumento della strategia interna; il registro ribadisce la disciplina sul terreno continentale, annotando che gli accertamenti degli altri ordinamenti approdarono a configurazioni analoghe, esistenza certificata e impieghi controversi, e consegna alla verifica finale il sistema nella sua qualificazione esatta: la prova materiale dell'esistenza di un'architettura clandestina multinazionale coordinata entro il campo occidentale, certificata al Livello A, che costituisce il massimo fatto strutturale del versante atlantico dell'opera, e che non certifica, di per sé, alcuno degli impieghi che le letture eccedenti le attribuiscono.</w:t>
      </w:r>
    </w:p>
    <w:p>
      <w:pPr>
        <w:spacing w:after="120" w:line="276"/>
        <w:jc w:val="both"/>
      </w:pPr>
      <w:r>
        <w:rPr>
          <w:rFonts w:ascii="Barlow Semi Condensed" w:cs="Barlow Semi Condensed" w:eastAsia="Barlow Semi Condensed" w:hAnsi="Barlow Semi Condensed"/>
          <w:sz w:val="24"/>
          <w:szCs w:val="24"/>
        </w:rPr>
        <w:t xml:space="preserve">Il quarto pilastro censisce l'innesco giudiziario della rivelazione, il filo che congiunge il capitolo alla Fase 3. La sequenza che condusse all'annuncio del 3 agosto 1990 non nacque da un'iniziativa politica ma da un'istruttoria: il giudice istruttore veneziano Felice Casson, riaprendo il caso della strage di Peteano del 1972, quella per cui Vincenzo Vinciguerra avrebbe riportato l'ergastolo con le dichiarazioni autoaccusatorie che la Fase 3 ha censito, giunse a richiedere l'accesso agli archivi del servizio militare sui depositi clandestini di armi, e fu quella richiesta, autorizzata dal vertice politico, a rendere ineludibile l'ammissione dell'esistenza della struttura; il registro certifica al Livello A la sequenza istruttoria, la richiesta di accesso e il suo nesso causale con l'annuncio, quali dati documentali della stagione, e ne trae la formalizzazione: la massima rivelazione strutturale del versante atlantico fu prodotta dalla convergenza tra la quarta via della tassonomia, l'inchiesta, e un singolo caso di strage della fase nazionale, e il filo Peteano-Gladio, dal delitto del 1972 alla rivelazione del 1990 passando per la confessione di un ergastolano, è l'arco causale più lungo e meglio documentato che il corpus registri tra un evento della strategia interna e un'apertura archivistica di sistema.</w:t>
      </w:r>
    </w:p>
    <w:p>
      <w:pPr>
        <w:spacing w:after="120" w:line="276"/>
        <w:jc w:val="both"/>
      </w:pPr>
      <w:r>
        <w:rPr>
          <w:rFonts w:ascii="Barlow Semi Condensed" w:cs="Barlow Semi Condensed" w:eastAsia="Barlow Semi Condensed" w:hAnsi="Barlow Semi Condensed"/>
          <w:sz w:val="24"/>
          <w:szCs w:val="24"/>
        </w:rPr>
        <w:t xml:space="preserve">Il quinto pilastro censisce l'epilogo della struttura. All'esito della stagione delle rivelazioni, il governo dispose entro la fine del 1990 la cessazione della struttura, e lo scioglimento formale chiuse l'esistenza operativa della rete italiana mentre si aprivano le stagioni parallele degli accertamenti parlamentari e giudiziari sui suoi 4 decenni; il registro certifica al Livello A lo scioglimento e la sua collocazione temporale, quale dato ufficiale, e ne trae l'annotazione comparativa che chiude il nodo: la rete fu sciolta per effetto della propria emersione e non di una decisione strategica autonoma, l'ordine causale che replica, sul piano delle strutture, la legge che il capitolo nono certifica sul piano degli archivi, nulla di clandestino essendosi mai chiuso, nel corpus dell'opera, prima di essere stato scoperto; la simmetria tra la legge delle aperture e la legge delle chiusure, entrambe governate dalla pressione esterna e mai dalla spontaneità, è consegnata alla riflessione conclusiva quale ultima regolarità empirica del sistema studiato.</w:t>
      </w:r>
    </w:p>
    <w:p>
      <w:pPr>
        <w:spacing w:after="120" w:line="276"/>
        <w:jc w:val="both"/>
      </w:pPr>
      <w:r>
        <w:rPr>
          <w:rFonts w:ascii="Barlow Semi Condensed" w:cs="Barlow Semi Condensed" w:eastAsia="Barlow Semi Condensed" w:hAnsi="Barlow Semi Condensed"/>
          <w:sz w:val="24"/>
          <w:szCs w:val="24"/>
        </w:rPr>
        <w:t xml:space="preserve">Il sesto pilastro censisce le liste degli arruolati e la questione della completezza. La rivelazione consegnò alle Camere l'elenco dei 622 nominativi degli appartenenti civili alla rete, la lista che divenne l'oggetto del dibattito della stagione, tra chi vi lesse la prova della natura circoscritta della struttura e chi ne contestò la completezza, rilevando che un'organizzazione clandestina quarantennale documentata da un solo elenco consegnato dal medesimo apparato che l'aveva gestita poneva, per costruzione, un problema di verificabilità; il registro certifica al Livello A l'esistenza e la consegna dell'elenco dei 622, quale dato parlamentare, certifica al Livello A l'esistenza della controversia sulla completezza, quale dato del dibattito istituzionale, e mantiene la questione di merito al livello che la struttura delle fonti impone: la completezza di un elenco è indimostrabile per via interna, giacché nessun elenco può certificare di non avere omissioni, e il registro applica al caso la propria disciplina delle assenze, trattando l'elenco quale documento certificato per ciò che contiene e non per ciò che esclude; l'annotazione metodologica che il pilastro consegna vale per l'intero corpus: ogni documentazione proveniente in via esclusiva dall'apparato documentato porta con sé il limite strutturale dell'autocertificazione, e il registro lo dichiara quale condizione permanente della conoscenza del versante, la stessa che governa le liste della loggia, i compendi orientali e ogni archivio che il proprio produttore ha selezionato prima di consegnare.</w:t>
      </w:r>
    </w:p>
    <w:p>
      <w:pPr>
        <w:spacing w:after="120" w:line="276"/>
        <w:jc w:val="both"/>
      </w:pPr>
      <w:r>
        <w:rPr>
          <w:rFonts w:ascii="Barlow Semi Condensed" w:cs="Barlow Semi Condensed" w:eastAsia="Barlow Semi Condensed" w:hAnsi="Barlow Semi Condensed"/>
          <w:sz w:val="24"/>
          <w:szCs w:val="24"/>
        </w:rPr>
        <w:t xml:space="preserve">Il settimo pilastro censisce il conflitto istituzionale della stagione, la coda italiana della rivelazione. Nei mesi successivi all'annuncio, la questione della legittimità della struttura aprì il confronto istituzionale più aspro del biennio, con il Capo dello Stato, che della vicenda era stato protagonista ministeriale nella stagione fondativa, schierato nella difesa pubblica della legittimità atlantica della rete, e settori del Parlamento e della magistratura orientati alla qualificazione opposta, sino alle iniziative e alle polemiche costituzionali che segnarono la fase terminale del settennato; il registro certifica al Livello A l'esistenza, i termini e l'intensità del conflitto, quali dati del dibattito istituzionale documentato, si astiene per statuto da ogni adesione alle qualificazioni contrapposte, e ne trae il dato di sistema che il nodo consegna: la rivelazione di una struttura segreta quarantennale produsse, nell'ordinamento che l'aveva ospitata, non una ricomposizione ma una frattura al vertice dello Stato, e la frattura documentata è essa stessa la misura della posta, la circostanza che i massimi organi della Repubblica si divisero pubblicamente sulla qualificazione della rete certificando, meglio di ogni analisi, che la questione investiva il fondamento stesso del patto istituzionale del dopoguerra; il registro trascrive il conflitto quale ultimo reperto del nodo e lo consegna alla verifica finale quale documento della profondità del vincolo di campo nell'ordinamento interno.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annuncio del 3 agosto-relazione del 24 ottobre-Capo Marrargiu, certifica la rivelazione italiana nelle sue date e nei suoi contenuti. La seconda, risoluzione europea-inchiesta belga-rapporto svizzero, certifica la dimensione continentale e l'asimmetria degli accertamenti. La terza, esistenza-depositi-impieghi controversi, fissa la disciplina dei livelli che la verifica erediterà.</w:t>
      </w:r>
    </w:p>
    <w:p>
      <w:pPr>
        <w:spacing w:after="120" w:line="276"/>
        <w:jc w:val="both"/>
      </w:pPr>
      <w:r>
        <w:rPr>
          <w:rFonts w:ascii="Barlow Semi Condensed" w:cs="Barlow Semi Condensed" w:eastAsia="Barlow Semi Condensed" w:hAnsi="Barlow Semi Condensed"/>
          <w:sz w:val="24"/>
          <w:szCs w:val="24"/>
        </w:rPr>
        <w:t xml:space="preserve">Alla dimensione continentale il registro deve il censimento nominativo che le ammissioni della stagione resero possibile: accanto alla rete italiana, i riconoscimenti governativi e le inchieste nazionali dell'autunno 1990 e dei mesi successivi documentarono la rete svizzera P-26, accertata da un'inchiesta amministrativa federale e disciolta, la struttura belga collegata ai servizi militari, investita da un'inchiesta parlamentare che ne vagliò anche le eventuali contiguità con la stagione insoluta delle stragi del Brabante senza approdare ad accertamenti di responsabilità, le organizzazioni tedesco-federali gestite nell'orbita dei servizi, la rete greca innestata sull'apparato che aveva accompagnato la stagione dei colonnelli, e le strutture turche della contro-guerriglia, riconosciute da dichiarazioni ufficiali coeve, oltre alle ammissioni di governi minori e neutrali che completarono la mappa, Livello A quanto alle esistenze ammesse e agli atti istituzionali nazionali, Livello C quanto ad ogni ipotesi di impiego interno nelle singole giurisdizioni, che il registro sigilla con la medesima disciplina applicata al caso italiano. Il censimento fonda la conclusione comparativa del nodo: l'Italia non fu l'eccezione ma il caso di massima trasparenza di una regola continentale, l'unico ordinamento in cui la rete fu esposta da un'istruttoria giudiziaria interna anziché da una decisione politica, e la profondità dell'accertamento italiano, che la sintesi certifica quale rara, misura non una singolarità della struttura ma una singolarità del controllo, il punto del continente in cui la magistratura ordinaria arrivò dove altrove giunsero, più tardi e meno a fondo, commissioni e governi.</w:t>
      </w:r>
    </w:p>
    <w:p>
      <w:pPr>
        <w:spacing w:after="120" w:line="276"/>
        <w:jc w:val="both"/>
      </w:pPr>
      <w:r>
        <w:rPr>
          <w:rFonts w:ascii="Barlow Semi Condensed" w:cs="Barlow Semi Condensed" w:eastAsia="Barlow Semi Condensed" w:hAnsi="Barlow Semi Condensed"/>
          <w:sz w:val="24"/>
          <w:szCs w:val="24"/>
        </w:rPr>
        <w:t xml:space="preserve">Al dossier documentale del sistema appartiene infine il reperto conteso per eccellenza, che il registro censisce quale caso di scuola della fonte avvelenata: il documento circolato quale supplemento riservato di un manuale da campo americano sulla stabilità interna, noto nella pubblicistica con la sigla FM 30-31B, apparso sulla stampa turca nel 1973 e quindi rimbalzato nei circuiti europei, che teorizzava l'infiltrazione dei movimenti di sinistra e le operazioni speciali negli Stati alleati, e che attraversò le istruttorie e le inchieste italiane della stagione quale possibile chiave dottrinale del sistema. Le autorità americane ne dichiararono costantemente la falsità, e le acquisizioni successive al 1989, incluse quelle del compendio orientale censito nel capitolo sesto, lo hanno classificato tra i prodotti delle misure attive di disinformazione del campo opposto, senza che alcuna sede abbia mai certificato in via definitiva né l'autenticità né la fabbricazione, Livello A quanto all'esistenza, alla circolazione ed all'impiego del documento nel dibattito e nelle istruttorie, Livello C quanto alla sua paternità, in entrambe le direzioni. Il registro eleva il caso a paradigma della guerra documentale che attraversa l'intero campo della fase: il FM 30-31B è un testo il cui valore probatorio dipende integralmente da chi lo ha scritto, e poiché la paternità è l'unica cosa che di esso non si è mai potuta stabilire, il documento resta sospeso nella condizione più istruttiva dell'intero corpus, quella del reperto che prova con certezza una sola cosa, che nella guerra fredda anche le carte combattevano, e che l'analista il quale fondasse una ricostruzione su un documento conteso costruirebbe sull'arma dell'avversario, quale che sia l'avversario.</w:t>
      </w:r>
    </w:p>
    <w:p>
      <w:pPr>
        <w:spacing w:after="120" w:line="276"/>
        <w:jc w:val="both"/>
      </w:pPr>
      <w:r>
        <w:rPr>
          <w:rFonts w:ascii="Barlow Semi Condensed" w:cs="Barlow Semi Condensed" w:eastAsia="Barlow Semi Condensed" w:hAnsi="Barlow Semi Condensed"/>
          <w:sz w:val="24"/>
          <w:szCs w:val="24"/>
        </w:rPr>
        <w:t xml:space="preserve">La rete continentale possiede infine il suo caso di attivazione compiuta, che il registro censisce quale esperimento naturale dell'intera ipotesi: il colpo di Stato dei colonnelli greci del 21 aprile 1967 fu eseguito mettendo in moto il piano di emergenza di derivazione atlantica denominato Prometheus, lo schema di mobilitazione contro la sovversione interna predisposto nel quadro dell'alleanza, che i golpisti applicarono nella notte secondo le sue sequenze, occupando i gangli previsti ed arrestando le liste predisposte, con l'esito che la Grecia entrò in 7 anni di dittatura militare attraverso l'esecuzione letterale di un dispositivo concepito per difenderne l'ordinamento, Livello A quanto al golpe, alla sua meccanica ed all'impiego dello schema, secondo le ricostruzioni storiche e gli accertamenti della transizione democratica greca. Il registro consegna il caso alla sua funzione probatoria nell'architettura del capitolo: Atene dimostra che il rischio teorico attorno al quale ruota l'intero dibattito italiano censito, la convertibilità dei dispositivi di protezione in strumenti di rovesciamento, non è una congettura ma un precedente storico consumato entro la medesima alleanza e nel medesimo decennio delle trame italiane, sicché la domanda corretta che la comparazione impone non è se una simile conversione fosse possibile, questione chiusa dalla notte greca, ma perché in Grecia avvenne ed in Italia no, ed a questa domanda il corpus italiano offre la risposta che le fasi hanno documentato: non per mancanza di piani, che il registro ha censito, ma per il fallimento ricorrente della loro esecuzione, per le divisioni interne dei campi e per la tenuta, ogni volta, di segmenti decisivi dello Stato legale, con la conseguenza che la differenza tra Atene e Roma non fu di progetto ma di esito, e la storia della Repubblica censita dall'opera è, in questa luce comparata, la storia di una Grecia continuamente tentata e mai riuscita.</w:t>
      </w:r>
    </w:p>
    <w:p>
      <w:pPr>
        <w:spacing w:after="120" w:line="276"/>
        <w:jc w:val="both"/>
      </w:pPr>
      <w:r>
        <w:rPr>
          <w:rFonts w:ascii="Barlow Semi Condensed" w:cs="Barlow Semi Condensed" w:eastAsia="Barlow Semi Condensed" w:hAnsi="Barlow Semi Condensed"/>
          <w:sz w:val="24"/>
          <w:szCs w:val="24"/>
        </w:rPr>
        <w:t xml:space="preserve">Il caso greco possiede infine il suo versante italiano diretto, che il registro censisce dagli atti delle istruttorie: nei mesi attorno al colpo di Stato ed a quelli successivi, esponenti dell'eversione nera italiana censita nella fase terza compirono viaggi e soggiorni documentati ad Atene, dove la giunta offriva ospitalità, contatti e l'esempio operativo di un rovesciamento riuscito, con la Grecia dei colonnelli assunta ad esplicito modello ed a retrovia politica dagli ambienti che di lì a poco avrebbero animato la stagione italiana della tensione, secondo quanto le istruttorie milanesi e le acquisizioni parlamentari hanno documentato, Livello A quanto ai viaggi ed ai contatti risultanti dagli atti, Livello B quanto alla consistenza dei sostegni materiali riferiti dalle fonti interne. Il registro salda il ponte alla comparazione già svolta: la Grecia non fu soltanto, per l'Italia del corpus, il precedente dimostrativo della convertibilità dei dispositivi, fu una destinazione fisica frequentata dai protagonisti italiani della stagione che quella convertibilità tentò di replicare, e la circostanza che il pellegrinaggio ateniese preceda di pochi mesi l'inizio della campagna stragista italiana appartiene alla cronologia oggettiva che il Pattern 3 registra, con la disciplina consueta sull'inferenza: il modello è documentato, l'ispirazione è documentata, il mandato greco non lo è, e la differenza tra i 3 gradini, che la pubblicistica dell'epoca confuse sistematicamente, è esattamente ciò che 50 anni di processi hanno faticosamente insegnato a distinguere.</w:t>
      </w:r>
    </w:p>
    <w:p>
      <w:pPr>
        <w:spacing w:after="120" w:line="276"/>
        <w:jc w:val="both"/>
      </w:pPr>
      <w:r>
        <w:rPr>
          <w:rFonts w:ascii="Barlow Semi Condensed" w:cs="Barlow Semi Condensed" w:eastAsia="Barlow Semi Condensed" w:hAnsi="Barlow Semi Condensed"/>
          <w:sz w:val="24"/>
          <w:szCs w:val="24"/>
        </w:rPr>
        <w:t xml:space="preserve">Il caso greco si chiude con il contro-modello giudiziario che il registro censisce quale termine di comparazione capitale: la Grecia restaurata processò i propri golpisti immediatamente, celebrando nell'estate del 1975, a 12 mesi dalla caduta del regime, il processo ai protagonisti del colpo di Stato del 1967, concluso con condanne capitali per i capi, commutate in ergastoli effettivamente scontati sino alla morte in detenzione dei principali condannati, Livello A quanto al processo ed agli esiti. Il registro formula la comparazione che il corpus impone e che nessuna cautela può attenuare: il Paese del golpe riuscito giudicò e condannò i suoi autori in 16 mesi, mentre il Paese dei golpe falliti censiti nella fase seconda impiegò decenni per approdare ad amnistie, proscioglimenti e condanne miti, sicché la Repubblica che non fu mai rovesciata punì l'eversione infinitamente meno della democrazia che lo era stata davvero, ed il paradosso, che una lettura frettolosa ascriverebbe a clemenza, appartiene per il metodo dell'opera alla struttura: la Grecia poté processare il proprio golpe perché il golpe aveva vinto e perso da solo, visibile ed intero, mentre l'Italia non poté processare i propri perché non furono mai interi né visibili, dissolti prima del compimento dentro la zona grigia tra apparati che questa opera ha censito, e la mitezza italiana non fu perdono, fu l'impossibilità di punire ciò che si era lasciato evaporare.</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sistema stay-behind è certificato al Livello A quale architettura clandestina continentale del campo occidentale, rivelata nell'autunno 1990 per pressione e non per apertura volontaria, accertata con profondità radicalmente nazionale, con gli impieghi interni mantenuti al Livello C secondo la disciplina della Fase 3, e consegnato alla verifica quale massimo fatto strutturale certificato del versante atlantico.</w:t>
      </w:r>
    </w:p>
    <w:p>
      <w:pPr>
        <w:pStyle w:val="Heading3"/>
        <w:spacing w:after="80" w:before="160"/>
      </w:pPr>
      <w:r>
        <w:rPr>
          <w:rFonts w:ascii="Barlow Semi Condensed" w:cs="Barlow Semi Condensed" w:eastAsia="Barlow Semi Condensed" w:hAnsi="Barlow Semi Condensed"/>
          <w:sz w:val="24"/>
          <w:szCs w:val="24"/>
        </w:rPr>
        <w:t xml:space="preserve">Capitolo 9 — L'empirica degli archivi: la regolarità delle aperture e il lampione quale reperto</w:t>
      </w:r>
    </w:p>
    <w:p>
      <w:pPr>
        <w:spacing w:after="120" w:line="276"/>
        <w:jc w:val="both"/>
      </w:pPr>
      <w:r>
        <w:rPr>
          <w:rFonts w:ascii="Barlow Semi Condensed" w:cs="Barlow Semi Condensed" w:eastAsia="Barlow Semi Condensed" w:hAnsi="Barlow Semi Condensed"/>
          <w:sz w:val="24"/>
          <w:szCs w:val="24"/>
        </w:rPr>
        <w:t xml:space="preserve">Il nono nodo non è un teatro ma una legge empirica, che la fase eleva a oggetto di studio autonomo: la regolarità delle aperture archivistiche degli apparati di sicurezza, censita dall'opera attraverso i 15 ordinamenti che il proprio corpus attraversa. Il registro formula la regolarità nella sua forma nuda: in nessuno dei casi censiti un apparato di sicurezza ha aperto volontariamente i propri archivi; ogni apertura documentata è avvenuta per una delle 5 vie che il primo pilastro tassonomizza, e la regolarità, verificata senza eccezioni sul perimetro censito, è certificata al Livello A quale reperto empirico dell'opera.</w:t>
      </w:r>
    </w:p>
    <w:p>
      <w:pPr>
        <w:spacing w:after="120" w:line="276"/>
        <w:jc w:val="both"/>
      </w:pPr>
      <w:r>
        <w:rPr>
          <w:rFonts w:ascii="Barlow Semi Condensed" w:cs="Barlow Semi Condensed" w:eastAsia="Barlow Semi Condensed" w:hAnsi="Barlow Semi Condensed"/>
          <w:sz w:val="24"/>
          <w:szCs w:val="24"/>
        </w:rPr>
        <w:t xml:space="preserve">Il primo pilastro distende la tassonomia delle 5 vie, ciascuna con i casi del corpus. La prima via è il collasso del regime protettore: la rivoluzione portoghese del 1974 che consegnò l'archivio di Aginter, e la caduta del blocco orientale del 1989-1991 che aprì gli archivi della sicurezza tedesco-orientale, regolati dalla legge del 1991 sull'accesso alle carte, e rese possibili i trasferimenti sovietici. La seconda via è la defezione individuale: l'esfiltrazione del 1992 da cui deriva il compendio Mitrokhin, il caso in cui l'archivio si apre perché un uomo lo porta via. La terza via è la legislazione speciale, imposta dalla politica della memoria o dalle vittime: la legge americana del 1992 sul rilascio delle carte dell'assassinio del presidente Kennedy, e il processo sudafricano di verità e riconciliazione istituito nel 1995, che scambiò verità contro amnistia. La quarta via è lo scandalo e l'inchiesta: la scoperta degli elenchi della loggia nel 1981, che aprì per sequestro giudiziario un archivio privato di potere, e la stagione delle rivelazioni stay-behind del 1990, aperta per pressione giudiziaria e politica convergente. La quinta via è il contenzioso e la desecretazione amministrata: le direttive italiane di versamento, dalla direttiva del 22 aprile 2014 in avanti, che hanno trasferito la documentazione per atto politico sotto pressione pubblica. Il registro certifica al Livello A la tassonomia e i casi, quali fatti archivistici datati, e certifica l'assenza della sesta via, l'apertura spontanea, quale Stato Zero della categoria: cercata in 15 ordinamenti, non trovata in alcuno.</w:t>
      </w:r>
    </w:p>
    <w:p>
      <w:pPr>
        <w:spacing w:after="120" w:line="276"/>
        <w:jc w:val="both"/>
      </w:pPr>
      <w:r>
        <w:rPr>
          <w:rFonts w:ascii="Barlow Semi Condensed" w:cs="Barlow Semi Condensed" w:eastAsia="Barlow Semi Condensed" w:hAnsi="Barlow Semi Condensed"/>
          <w:sz w:val="24"/>
          <w:szCs w:val="24"/>
        </w:rPr>
        <w:t xml:space="preserve">Il secondo pilastro formalizza il corollario metodologico, l'effetto lampione elevato da cautela a reperto. Poiché la documentazione disponibile è funzione delle aperture e le aperture sono funzione di eventi politici discreti, la densità documentale di ogni teatro misura la storia dei suoi accessi e non l'intensità della sua storia: l'opera ha verificato il corollario sul proprio corpus, documentando che i picchi temporali della densità si spostano con la finestra di costruzione della base documentale, e la fase lo ha dimostrato con la coppia terminale Lisbona-Parigi, i 2 gemelli topologici resi opposti dal solo regime di accesso; il registro certifica al Livello A il corollario quale proprietà misurata del proprio corpus e ne dichiara la conseguenza normativa, che ha governato ogni comparazione dell'opera: nessuna inferenza di intensità dalla densità, nessuna inferenza di assenza dal silenzio, e l'obbligo permanente di dichiarare, per ogni certificazione, il regime archivistico che l'ha resa possibile.</w:t>
      </w:r>
    </w:p>
    <w:p>
      <w:pPr>
        <w:spacing w:after="120" w:line="276"/>
        <w:jc w:val="both"/>
      </w:pPr>
      <w:r>
        <w:rPr>
          <w:rFonts w:ascii="Barlow Semi Condensed" w:cs="Barlow Semi Condensed" w:eastAsia="Barlow Semi Condensed" w:hAnsi="Barlow Semi Condensed"/>
          <w:sz w:val="24"/>
          <w:szCs w:val="24"/>
        </w:rPr>
        <w:t xml:space="preserve">Il terzo pilastro applica la legge al caso italiano e ne trae la proiezione. La conoscenza italiana del proprio novecento riservato è cresciuta per le soglie datate che l'opera ha censito, il 1981 degli elenchi, il 1990 delle rivelazioni e dei ritrovamenti, il 2014 dei versamenti, ciascuna prodotta da una delle vie della tassonomia e nessuna da apertura spontanea; il registro certifica al Livello A la serie e la sua conformità integrale alla regolarità, e chiude il nodo con la proiezione che la legge autorizza: poiché il perimetro del versato non coincide con il perimetro dell'esistente, e poiché la storia insegna che le soglie future dipenderanno da eventi politici e non dalla ricerca, l'opera dichiara il proprio stato di conoscenza strutturalmente provvisorio, datato alla configurazione archivistica del proprio tempo, e consegna alla ricerca futura non previsioni ma obiettivi, gli archivi francesi, il non versato italiano e ogni archivio che una delle 5 vie dovesse aprire, con la certezza empirica che nessuno si aprirà da sé.</w:t>
      </w:r>
    </w:p>
    <w:p>
      <w:pPr>
        <w:spacing w:after="120" w:line="276"/>
        <w:jc w:val="both"/>
      </w:pPr>
      <w:r>
        <w:rPr>
          <w:rFonts w:ascii="Barlow Semi Condensed" w:cs="Barlow Semi Condensed" w:eastAsia="Barlow Semi Condensed" w:hAnsi="Barlow Semi Condensed"/>
          <w:sz w:val="24"/>
          <w:szCs w:val="24"/>
        </w:rPr>
        <w:t xml:space="preserve">Il quarto pilastro distende il caso maggiore della terza via, il modello sudafricano dello scambio. Il processo di verità e riconciliazione istituito nel 1995 dal nuovo ordinamento democratico costruì l'apertura degli archivi umani del regime attraverso lo scambio regolato tra verità e amnistia: la confessione integrale e pubblica dei fatti, resa nelle udienze della Commissione dinanzi alle vittime e al Paese, quale corrispettivo dell'immunità individuale, con il diniego dell'amnistia per chi tacesse o mentisse; il registro certifica al Livello A l'architettura e il funzionamento del modello, quali dati documentali, e ne trae la lezione che la tassonomia consegna: il modello dimostrò che l'archivio umano di un apparato, la memoria dei suoi operatori, può essere aperto soltanto pagando un prezzo di giustizia, e che l'alternativa reale, nei sistemi in transizione, non è tra verità con giustizia e verità senza giustizia, ma tra verità pagata e segreto perpetuo; il registro trascrive la lezione senza addolcirla, quale forma più esplicita della legge del capitolo, l'apertura che anche nel caso più virtuoso del corpus avvenne per scambio e non per spontaneità.</w:t>
      </w:r>
    </w:p>
    <w:p>
      <w:pPr>
        <w:spacing w:after="120" w:line="276"/>
        <w:jc w:val="both"/>
      </w:pPr>
      <w:r>
        <w:rPr>
          <w:rFonts w:ascii="Barlow Semi Condensed" w:cs="Barlow Semi Condensed" w:eastAsia="Barlow Semi Condensed" w:hAnsi="Barlow Semi Condensed"/>
          <w:sz w:val="24"/>
          <w:szCs w:val="24"/>
        </w:rPr>
        <w:t xml:space="preserve">Il quinto pilastro distende il caso maggiore della legislazione speciale, il modello americano del rilascio programmato. La legge del 1992 sulle carte dell'assassinio del presidente Kennedy impose il versamento centralizzato della documentazione di tutte le agenzie e ne programmò il rilascio integrale a scadenza venticinquennale, con la facoltà presidenziale di proroga per singoli documenti motivata da danno identificabile; l'attuazione, con i rilasci scaglionati dal 2017 in avanti e le proroghe reiterate esercitate da presidenze successive su un residuo di carte, documenta insieme la forza e il limite del modello; il registro certifica al Livello A la legge, il meccanismo e l'attuazione con le proroghe, quali dati normativi e documentali, e ne trae la seconda lezione della tassonomia: anche la via legislativa, la più ordinata delle 5, non produce l'apertura integrale ma un'apertura amministrata nel tempo, con il residuo discrezionale che si rinnova, e la coppia dei modelli, lo scambio sudafricano e il rilascio americano, delimita empiricamente ciò che gli ordinamenti hanno saputo costruire di meglio, un'apertura sempre condizionata, mai totale e mai spontanea, la conferma per via positiva della legge che il capitolo certifica per via negativa.</w:t>
      </w:r>
    </w:p>
    <w:p>
      <w:pPr>
        <w:spacing w:after="120" w:line="276"/>
        <w:jc w:val="both"/>
      </w:pPr>
      <w:r>
        <w:rPr>
          <w:rFonts w:ascii="Barlow Semi Condensed" w:cs="Barlow Semi Condensed" w:eastAsia="Barlow Semi Condensed" w:hAnsi="Barlow Semi Condensed"/>
          <w:sz w:val="24"/>
          <w:szCs w:val="24"/>
        </w:rPr>
        <w:t xml:space="preserve">Il sesto pilastro completa la tassonomia con la specie del contenzioso, la quinta via nella sua forma giudiziale. Accanto alla desecretazione amministrata per atto politico, gli ordinamenti a legislazione sull'accesso conoscono l'apertura per causa, lo strumento con cui ricercatori, testate e famiglie delle vittime hanno ottenuto per via giudiziaria il rilascio di documenti negati, la prassi consolidata nell'ordinamento americano attorno alla legge sulla libertà di informazione e replicata, con rendimenti minori, negli ordinamenti europei dotati di strumenti analoghi; il registro certifica al Livello A l'esistenza e il funzionamento della via, quali dati ordinamentali, e ne registra la caratteristica che la distingue nella tassonomia: è l'unica via attivabile dal basso, dalla società e non dagli eventi, e insieme la più lenta e la più frammentaria, producendo aperture per singoli documenti e mai per sistemi; la comparazione dei rendimenti chiude la tassonomia con la gerarchia empirica che il corpus documenta: i collassi aprono sistemi interi, le leggi speciali aprono giacimenti amministrati, gli scandali aprono per squarci, le defezioni aprono per campioni e i contenziosi aprono per gocce, e la conoscenza cumulata dell'opera è, in ogni sua pagina, la somma stratificata di queste 5 velocità.</w:t>
      </w:r>
    </w:p>
    <w:p>
      <w:pPr>
        <w:spacing w:after="120" w:line="276"/>
        <w:jc w:val="both"/>
      </w:pPr>
      <w:r>
        <w:rPr>
          <w:rFonts w:ascii="Barlow Semi Condensed" w:cs="Barlow Semi Condensed" w:eastAsia="Barlow Semi Condensed" w:hAnsi="Barlow Semi Condensed"/>
          <w:sz w:val="24"/>
          <w:szCs w:val="24"/>
        </w:rPr>
        <w:t xml:space="preserve">Il settimo pilastro censisce la serie italiana della quinta via, le direttive di versamento. La direttiva del 22 aprile 2014, che dispose il versamento anticipato agli archivi di Stato della documentazione sugli eventi stragisti della stagione, fu seguita dagli atti di estensione e attuazione degli anni successivi, che ampliarono il perimetro delle tipologie e degli organismi versanti, componendo la serie della desecretazione amministrata italiana che il registro certifica al Livello A nella sua esistenza e nella sua natura; la qualificazione che il registro ne dà è quella che la tassonomia impone: la serie appartiene alla specie dell'apertura per atto politico sotto pressione pubblica, condivide con il modello americano la natura amministrata e con esso il limite strutturale, il perimetro definito dal versante e non dal ricercatore, e il suo rendimento documentale, che le fasi dell'opera hanno impiegato quale terza soglia, resta condizionato dal residuo non versato che le chiusure hanno consegnato quale obiettivo; il registro trascrive la serie quale caso nazionale conforme alla legge, con l'annotazione che essa costituisce, a oggi, l'unica via attiva sull'ordinamento italiano, e che la sua prosecuzione, dipendendo da atti politici futuri, appartiene alla classe degli eventi che la ricerca può sollecitare e non produrre.</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5 vie-15 ordinamenti-assenza dell'apertura spontanea, certifica la regolarità e il suo Stato Zero. La seconda, densità-accessi-corollario del lampione, formalizza il reperto metodologico con la dimostrazione Lisbona-Parigi. La terza, soglie italiane-conformità alla legge-provvisorietà dichiarata, applica la regolarità al caso nazionale e fissa lo statuto temporale dell'opera.</w:t>
      </w:r>
    </w:p>
    <w:p>
      <w:pPr>
        <w:spacing w:after="120" w:line="276"/>
        <w:jc w:val="both"/>
      </w:pPr>
      <w:r>
        <w:rPr>
          <w:rFonts w:ascii="Barlow Semi Condensed" w:cs="Barlow Semi Condensed" w:eastAsia="Barlow Semi Condensed" w:hAnsi="Barlow Semi Condensed"/>
          <w:sz w:val="24"/>
          <w:szCs w:val="24"/>
        </w:rPr>
        <w:t xml:space="preserve">La serie italiana della quinta via si completa con il suo secondo atto, che il registro affianca alla direttiva del 2014 già censita: la direttiva dell'agosto 2021, che dispose il versamento straordinario agli archivi di Stato della documentazione concernente l'organizzazione Gladio e la loggia P2, estendendo alle 2 strutture centrali dell'opera il regime di anticipazione che la prima direttiva aveva riservato alla stagione delle stragi, Livello A quanto all'atto ed al suo oggetto. La sequenza delle 2 direttive, 2014 e 2021, consegna alla legge del capitolo la sua declinazione italiana matura: l'ordinamento ha scelto la via amministrativa dell'apertura per atto di governo, periodica e tematica, e il registro ne fissa tanto il valore, l'unico flusso di versamento anticipato attivo sul perimetro dell'opera, quanto il limite strutturale, che la regolarità empirica impone di dichiarare: la direttiva ordina il versamento di ciò che le amministrazioni detengono e dichiarano, e il suo perimetro effettivo coincide, per costruzione, con la diligenza e la completezza dei versanti, sicché la misura dell'apertura italiana resta affidata, in ultima istanza, alla stessa variabile che l'intera legge del capitolo ha isolato, la volontà degli apparati di consegnare i propri specchi.</w:t>
      </w:r>
    </w:p>
    <w:p>
      <w:pPr>
        <w:spacing w:after="120" w:line="276"/>
        <w:jc w:val="both"/>
      </w:pPr>
      <w:r>
        <w:rPr>
          <w:rFonts w:ascii="Barlow Semi Condensed" w:cs="Barlow Semi Condensed" w:eastAsia="Barlow Semi Condensed" w:hAnsi="Barlow Semi Condensed"/>
          <w:sz w:val="24"/>
          <w:szCs w:val="24"/>
        </w:rPr>
        <w:t xml:space="preserve">La tassonomia della via legislativa esige la distinzione di specie che il caso americano rende visibile: accanto al rilascio programmato del 1992, legge speciale su un singolo evento con termine e autorità dedicata, opera dal 1966 lo strumento generale del Freedom of Information Act, potenziato nel 1974 nella stagione del contraccolpo post-Watergate, che attribuisce a chiunque il diritto azionabile di ottenere i documenti delle amministrazioni federali salvo esenzioni tassative, sindacabili dal giudice, Livello A quanto agli istituti ed alle date. La distinzione è strutturale e la legge del capitolo la incorpora: il rilascio programmato apre un fondo definito per decisione politica una tantum, lo strumento generale apre un fronte permanente affidato all'iniziativa diffusa dei richiedenti, ricercatori, giornalisti, parti processuali, e la conoscenza che ne discende cresce per accumulo capillare anziché per soglie, con la conseguenza, misurabile nel corpus dell'opera, che una quota rilevante della documentazione americana citata nelle 5 fasi è frutto non di desecretazioni solenni ma di istanze ordinarie evase in via amministrativa o giudiziale. Il registro annota il termine di paragone italiano senza infierire: l'ordinamento della Repubblica non dispone di uno strumento generale equivalente azionabile sul patrimonio riservato degli apparati, e le sue aperture, come la serie delle direttive censita, restano della specie amministrata, sicché la quinta via italiana conosce una sola delle sue 2 forme, quella che dipende dal governo, non quella che dipenderebbe dai cittadini.</w:t>
      </w:r>
    </w:p>
    <w:p>
      <w:pPr>
        <w:spacing w:after="120" w:line="276"/>
        <w:jc w:val="both"/>
      </w:pPr>
      <w:r>
        <w:rPr>
          <w:rFonts w:ascii="Barlow Semi Condensed" w:cs="Barlow Semi Condensed" w:eastAsia="Barlow Semi Condensed" w:hAnsi="Barlow Semi Condensed"/>
          <w:sz w:val="24"/>
          <w:szCs w:val="24"/>
        </w:rPr>
        <w:t xml:space="preserve">La via legislativa conosce infine il suo compimento ordinamentale, che il registro censisce quale chiusura del ciclo aperto nel 1977: la legge 3 agosto 2007 numero 124 riformò integralmente il sistema dell'informazione per la sicurezza, istituendo il Dipartimento unitario, ridisegnando le agenzie, portando il controllo parlamentare al rango di organo con poteri effettivi e, soprattutto per l'economia di quest'opera, disciplinando per la prima volta in via generale la durata massima del segreto di Stato, con il limite dei 15 anni prorogabili sino a 30, e ribadendo con forza di sistema l'inopponibilità del segreto sui fatti eversivi dell'ordine costituzionale, principio già posto dalla riforma del 1977, Livello A quanto ai contenuti della riforma. Il registro consegna la legge alla sua funzione di verifica: la conferma rafforzata dell'ineccepibilità del segreto per i fatti di strage e di eversione è la traduzione in diritto positivo dell'intera esperienza che le fasi terza e quarta hanno censito, il riconoscimento legislativo che il segreto di Stato era stato, nel corpus, anche uno strumento delle ostruzioni, e la sua approvazione a 30 anni esatti dalla prima riforma misura il passo della metabolizzazione istituzionale italiana: una generazione per ammettere il problema con la legge del 1977, una seconda per scrivere nella legge la sua soluzione, con l'avvertenza documentale che il registro annota per il bilancio finale, che le norme censite in questo capitolo disciplinano il segreto futuro, mentre sul segreto passato, quello che grava sugli archivi del corpus, la partita resta affidata alle direttive di versamento censite, cioè ad atti amministrativi revocabili, e non alla forza stabile della legge.</w:t>
      </w:r>
    </w:p>
    <w:p>
      <w:pPr>
        <w:spacing w:after="120" w:line="276"/>
        <w:jc w:val="both"/>
      </w:pPr>
      <w:r>
        <w:rPr>
          <w:rFonts w:ascii="Barlow Semi Condensed" w:cs="Barlow Semi Condensed" w:eastAsia="Barlow Semi Condensed" w:hAnsi="Barlow Semi Condensed"/>
          <w:sz w:val="24"/>
          <w:szCs w:val="24"/>
        </w:rPr>
        <w:t xml:space="preserve">La via legislativa conosce infine la sua unica declinazione sovranazionale, che il registro censisce quale atto europeo del corpus: il 22 novembre 1990, nelle settimane della rivelazione italiana, il Parlamento europeo approvò una risoluzione sulla vicenda delle reti clandestine, con cui protestava per l'esistenza quarantennale di strutture operative sottratte ad ogni controllo democratico, invitava i governi degli Stati membri a procedere al loro scioglimento ed i parlamenti nazionali ad istituire commissioni d'inchiesta, Livello A quanto all'atto ed ai suoi contenuti. Il seguito misura la distanza tra la parola europea e le sovranità nazionali, ed il registro lo riporta quale esito: alle sollecitazioni dell'assemblea diedero seguito con inchieste organiche soltanto l'Italia, il Belgio e la Svizzera, mentre la maggioranza degli Stati membri archiviò la questione senza accertamenti pubblici, Livello A quanto alla geografia delle inchieste effettivamente svolte. Il registro consegna il caso alla verifica finale con la sua doppia lezione: la risoluzione del novembre 1990 dimostra che la dimensione europea del sistema fu riconosciuta ufficialmente dall'unica istituzione parlamentare continentale, e la sua inesecuzione diffusa dimostra che il controllo democratico sugli apparati restò, anche dopo il riconoscimento, una variabile interamente nazionale, con il paradosso che chiude il capitolo: il Paese del corpus, quello che l'opera ha censito quale teatro massimo delle deviazioni, fu anche, nella risposta, il più trasparente del continente, e la Repubblica che non seppe impedire è la stessa che, sola con 2 altre, volle almeno sapere.</w:t>
      </w:r>
    </w:p>
    <w:p>
      <w:pPr>
        <w:spacing w:after="120" w:line="276"/>
        <w:jc w:val="both"/>
      </w:pPr>
      <w:r>
        <w:rPr>
          <w:rFonts w:ascii="Barlow Semi Condensed" w:cs="Barlow Semi Condensed" w:eastAsia="Barlow Semi Condensed" w:hAnsi="Barlow Semi Condensed"/>
          <w:sz w:val="24"/>
          <w:szCs w:val="24"/>
        </w:rPr>
        <w:t xml:space="preserve">Il capitolo delle aperture esige la sua cornice comparata, che il registro formula quale bilancio della finestra: il decennio 1990-2000 costituì la stagione irripetibile in cui il pianeta aprì simultaneamente i propri armadi, con la rivelazione delle reti clandestine occidentali, la spalancatura degli archivi orientali censita, le commissioni verità australi ed africane, le declassificazioni americane sul Cile ed i primi protocolli italiani di versamento, una convergenza planetaria di trasparenza prodotta dal medesimo evento generatore, la fine della contrapposizione che aveva giustificato mezzo secolo di segreti, Livello A quanto alla cronologia comparata delle aperture. Il registro consegna la finestra alla sua lezione malinconica: quella stagione non si è ripetuta, poiché i decenni successivi hanno visto in più teatri il riflusso, le richiusure selettive, i segreti nuovi sedimentare sui vecchi, e l'opera, che di quella finestra è integralmente debitrice, perché quasi ogni Livello A internazionale del corpus discende da carte uscite in quel decennio, ne registra la natura per il lettore futuro: la conoscenza del potere occulto non cresce linearmente, respira con la geopolitica, si dilata quando i sistemi che produssero i segreti muoiono e si contrae quando i loro eredi si riorganizzano, sicché ogni generazione di studiosi lavora con la finestra che la propria epoca le concede, e questa opera dichiara di avere lavorato con la più grande che la storia contemporanea abbia mai aperto, sapendo che era già in via di richiusura.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regolarità delle aperture è certificata al Livello A quale legge empirica senza eccezioni sul perimetro censito, con la tassonomia delle 5 vie, lo Stato Zero dell'apertura spontanea, il lampione elevato a reperto misurato e la provvisorietà archivistica dell'opera dichiarata quale statuto e non quale limite.</w:t>
      </w:r>
    </w:p>
    <w:p>
      <w:pPr>
        <w:pStyle w:val="Heading3"/>
        <w:spacing w:after="80" w:before="160"/>
      </w:pPr>
      <w:r>
        <w:rPr>
          <w:rFonts w:ascii="Barlow Semi Condensed" w:cs="Barlow Semi Condensed" w:eastAsia="Barlow Semi Condensed" w:hAnsi="Barlow Semi Condensed"/>
          <w:sz w:val="24"/>
          <w:szCs w:val="24"/>
        </w:rPr>
        <w:t xml:space="preserve">Capitolo 10 — La verifica finale: le macro-ipotesi al giudizio del grafo e la lettura reticolare conclusiva</w:t>
      </w:r>
    </w:p>
    <w:p>
      <w:pPr>
        <w:spacing w:after="120" w:line="276"/>
        <w:jc w:val="both"/>
      </w:pPr>
      <w:r>
        <w:rPr>
          <w:rFonts w:ascii="Barlow Semi Condensed" w:cs="Barlow Semi Condensed" w:eastAsia="Barlow Semi Condensed" w:hAnsi="Barlow Semi Condensed"/>
          <w:sz w:val="24"/>
          <w:szCs w:val="24"/>
        </w:rPr>
        <w:t xml:space="preserve">Il decimo nodo è la verifica, l'adempimento per il quale l'opera è stata costruita. Il registro vi sottopone le macro-ipotesi allo stato terminale dei materiali, con il metodo delle ipotesi concorrenti applicato al grafo completo, e dichiara gli esiti senza eccedere di una riga ciò che i documenti consentono.</w:t>
      </w:r>
    </w:p>
    <w:p>
      <w:pPr>
        <w:spacing w:after="120" w:line="276"/>
        <w:jc w:val="both"/>
      </w:pPr>
      <w:r>
        <w:rPr>
          <w:rFonts w:ascii="Barlow Semi Condensed" w:cs="Barlow Semi Condensed" w:eastAsia="Barlow Semi Condensed" w:hAnsi="Barlow Semi Condensed"/>
          <w:sz w:val="24"/>
          <w:szCs w:val="24"/>
        </w:rPr>
        <w:t xml:space="preserve">Il primo pilastro fissa lo stato dell'ipotesi H1, la convergenza delle potenze contro l'autonomia e l'integrazione europea. La verifica ricompone i fatti di base certificati dalle fasi: le contrarietà pubbliche dei 2 campi al progetto di allargamento democratico italiano, elevate al Livello A dalla Fase 4; la simmetria delle interferenze ordinarie documentate, i canali finanziari dei 2 imperi verso i rispettivi versanti del sistema politico, entrambi al Livello A per esistenza; la serie mediterranea degli attriti con l'alleato maggiore, al Livello A; e l'architettura stay-behind quale massimo fatto strutturale del campo occidentale, al Livello A. La verifica ricompone parimenti ciò che manca: nessun documento, in alcun teatro e in alcuna stagione, certifica il coordinamento tra i 2 campi, la cabina comune che la forma forte dell'ipotesi esige, e le 2 varianti dell'interferenza si escludono reciprocamente in ogni caso concreto censito; e ricompone l'esito del test quantitativo che l'opera ha pre-registrato ed eseguito, la verifica statistica dell'addensamento degli eventi stragisti attorno alle scadenze dell'integrazione europea, conclusasi con il risultato nullo, la probabilità del 60 per cento che la distribuzione osservata sia casuale, che ha falsificato la tesi della densità nella sua forma misurabile. Il verdetto è dichiarato: l'ipotesi H1 esce dall'opera non falsificata nella sua forma debole, la convergenza oggettiva di interessi certificata al Livello B dalla Fase 4, falsificata nella sua unica articolazione misurabile, e non avanzata oltre, il falsificatore milwardiano, per il quale le potenze perseguono interessi ordinari senza cabine comuni, restando integralmente compatibile con ogni fatto certificato; H1 è perciò archiviata quale ipotesi di Livello C con fatti di base certificati, non promossa e non rimossa, secondo lo statuto che il metodo assegna alle ipotesi vive e non provate.</w:t>
      </w:r>
    </w:p>
    <w:p>
      <w:pPr>
        <w:spacing w:after="120" w:line="276"/>
        <w:jc w:val="both"/>
      </w:pPr>
      <w:r>
        <w:rPr>
          <w:rFonts w:ascii="Barlow Semi Condensed" w:cs="Barlow Semi Condensed" w:eastAsia="Barlow Semi Condensed" w:hAnsi="Barlow Semi Condensed"/>
          <w:sz w:val="24"/>
          <w:szCs w:val="24"/>
        </w:rPr>
        <w:t xml:space="preserve">Il secondo pilastro fissa lo stato dell'ipotesi concorrente e della formulazione di sintesi. L'ipotesi concorrente registrata dall'opera, la lettura dei 2 progetti rivali di ordinamento autoritario del continente, l'uno di matrice atlantico-controinsurrezionale e l'altro di matrice orientale, esce dalla fase con i propri successi esplicativi censiti, la capacità di rendere conto della bipolarità documentata delle interferenze senza postulare la cabina comune, e con il medesimo statuto di Livello C, nessun documento certificando i progetti quali disegni unitari; tra le 2 ipotesi il registro non decide, dichiarando l'evidenza non diagnostica al livello delle macro-letture. Ciò che il registro promuove è l'enunciato di sintesi che i materiali sostengono, la formulazione che la proposta parlamentare del giugno 2000 consegnò e che l'opera ha verificato quale massimo enunciato compatibile con il certificato: l'oggetto della stagione non fu la restaurazione di un regime, ma il mantenimento di una democrazia a sovranità ed evoluzione limitate, l'esclusione permanente di una parte del sistema politico dalla piena legittimazione di governo, perseguita e ottenuta attraverso un equilibrio precario continuamente amministrato; il registro certifica che questo enunciato, e soltanto questo, è sostenuto dall'intero corpus senza residui contrari, e lo consegna quale conclusione di merito dell'opera, al livello di una sintesi storiografica fondata e non di un teorema dimostrato.</w:t>
      </w:r>
    </w:p>
    <w:p>
      <w:pPr>
        <w:spacing w:after="120" w:line="276"/>
        <w:jc w:val="both"/>
      </w:pPr>
      <w:r>
        <w:rPr>
          <w:rFonts w:ascii="Barlow Semi Condensed" w:cs="Barlow Semi Condensed" w:eastAsia="Barlow Semi Condensed" w:hAnsi="Barlow Semi Condensed"/>
          <w:sz w:val="24"/>
          <w:szCs w:val="24"/>
        </w:rPr>
        <w:t xml:space="preserve">Il terzo pilastro consegna la lettura reticolare conclusiva, le misure finali sul grafo completo. Le centralità terminali confermano e ordinano: la loggia P2 detiene la massima intermediazione complessiva dell'opera, presente in tutti i teatri maggiori nazionali e dotata di proiezione transnazionale certificata; il Dominio 3 conferma la natura di connettivo universale; Giuseppe Calò resta l'individuo con il maggior numero di giudicati capitali; Michele Sindona e Licio Gelli si confermano le massime intermediazioni individuali tra i domini e tra i continenti; il Sudafrica dell'apartheid detiene la massima intermediazione tra i dossier internazionali; e la stratificazione massima del corpus appartiene al nodo triestino censito dalle fasi, con i suoi 7 strati documentali indipendenti. I pattern chiudono il proprio bilancio sul grafo intero: il Pattern 3 consegna le finestre critiche censite, il Pattern 5 la firma delle assenze selettive, verificata dalla Fase 4 nella coincidenza sistematica tra l'eliminazione dei detentori e la scomparsa delle carte, il Pattern 7 le carriere transnazionali con il caso Delle Chiaie quale massimo percorso censito, il Pattern 10 la geografia dei rifugi e degli hub, il Pattern 11 l'isomorfismo Aginter-Hyperion quale grammatica comune della clandestinità. Il registro dichiara compiuta la lettura e chiude l'opera con il congedo che il metodo impone: 5 fasi, i cerchi nazionali e il mondo, un inventario di fatti certificati ai loro livelli, di assenze documentate, di esiti riportati per esteso e di ipotesi mantenute vive al loro posto, consegnato al tempo archivistico che solo potrà accrescerlo, con la sola certezza che l'opera rivendica, quella del proprio metodo: in un campo dove l'oggetto manipola le condizioni della propria osservabilità, la trasparenza del metodo non è un ornamento, è la condizione di possibilità della conoscenza, e l'opera consegna al lettore, prima di ogni contenuto, esattamente questa.</w:t>
      </w:r>
    </w:p>
    <w:p>
      <w:pPr>
        <w:spacing w:after="120" w:line="276"/>
        <w:jc w:val="both"/>
      </w:pPr>
      <w:r>
        <w:rPr>
          <w:rFonts w:ascii="Barlow Semi Condensed" w:cs="Barlow Semi Condensed" w:eastAsia="Barlow Semi Condensed" w:hAnsi="Barlow Semi Condensed"/>
          <w:sz w:val="24"/>
          <w:szCs w:val="24"/>
        </w:rPr>
        <w:t xml:space="preserve">Il quarto pilastro censisce le coppie inter-dominio attivate dal teatro internazionale, il completamento della matrice delle 45. La fase attiva sul grafo internazionale le coppie che le fasi nazionali non avevano saturato: la coppia intelligence-terrorismo nella sua proiezione estera, con i canali mediterranei e i satelliti orientali; la coppia crimine-economia sulla scala dei 2 continenti, con la parabola sindoniana quale arco maggiore; la coppia massoneria-politica nella proiezione transnazionale della loggia; la coppia forze armate-intelligence nel sistema stay-behind continentale; e le coppie a bassa densità che la Nota metodologica indicava quali potenzialmente rivelatrici, tra cui la coppia religione-intelligence, attivata dal caso dell'attentato al pontefice con il suo mandato non accertato; il registro certifica al Livello A l'attivazione documentale delle coppie, quale dato della struttura del corpus, e consegna la matrice completa alla lettura: delle 45 coppie possibili, il corpus dell'opera ne documenta quali empiricamente significative un numero conforme alla stima preliminare della Nota, tra le 25 e le 30, con le densità massime sulle coppie che le fasi hanno percorso e le assenze anch'esse censite, secondo il principio per cui la coppia vuota è un dato quanto la coppia satura.</w:t>
      </w:r>
    </w:p>
    <w:p>
      <w:pPr>
        <w:spacing w:after="120" w:line="276"/>
        <w:jc w:val="both"/>
      </w:pPr>
      <w:r>
        <w:rPr>
          <w:rFonts w:ascii="Barlow Semi Condensed" w:cs="Barlow Semi Condensed" w:eastAsia="Barlow Semi Condensed" w:hAnsi="Barlow Semi Condensed"/>
          <w:sz w:val="24"/>
          <w:szCs w:val="24"/>
        </w:rPr>
        <w:t xml:space="preserve">Il quinto pilastro consegna il programma ordinato degli obiettivi, il lascito operativo alla ricerca. Il registro ordina gli obiettivi per rendimento atteso: il primo è l'accesso agli archivi francesi del periodo, l'unica variabile capace di mutare lo stato del nodo Hyperion e del santuario; il secondo è il completamento del versamento italiano, il perimetro non versato delle direttive; il terzo è lo sfruttamento sistematico del versato del 2014 e successivi, il lavoro possibile a regime invariato che le fasi hanno soltanto iniziato; il quarto è il monitoraggio delle 5 vie sugli ordinamenti non ancora aperti, con la certezza empirica che ogni futura apertura verrà da un evento e la conseguente necessità di prontezza metodologica; il quinto è l'estensione del riscontro sistematico, la pratica dello Stato Zero, a ogni suggestione che il dibattito pubblico produca, la funzione igienica che l'opera ha esercitato sul proprio campo e che consegna quale servizio permanente; il registro certifica il programma quale ordinamento di priorità fondato sui rendimenti documentati delle vie, non quale previsione, e lo consegna con l'avvertenza che la legge del capitolo nono impone: la ricerca può preparare le aperture, non produrle, e il suo compito, negli intervalli tra le soglie, è mantenere il registro pronto, citabile e falsificabile per il giorno in cui una via si aprirà.</w:t>
      </w:r>
    </w:p>
    <w:p>
      <w:pPr>
        <w:spacing w:after="120" w:line="276"/>
        <w:jc w:val="both"/>
      </w:pPr>
      <w:r>
        <w:rPr>
          <w:rFonts w:ascii="Barlow Semi Condensed" w:cs="Barlow Semi Condensed" w:eastAsia="Barlow Semi Condensed" w:hAnsi="Barlow Semi Condensed"/>
          <w:sz w:val="24"/>
          <w:szCs w:val="24"/>
        </w:rPr>
        <w:t xml:space="preserve">Il sesto pilastro distende, in prosa, la matrice terminale delle ipotesi concorrenti, l'adempimento formale del metodo di Heuer sull'intero corpus. Le evidenze maggiori sono passate in rassegna contro le 3 letture in campo, la convergenza coordinata dei 2 imperi, i 2 progetti rivali e la lettura ordinaria degli interessi paralleli senza cabina, il falsificatore milwardiano. Le contrarietà pubbliche dei 2 campi sono coerenti con tutte e 3 le letture, e perciò non diagnostiche. La simmetria dei canali di finanziamento è coerente con tutte e 3, e non diagnostica. L'architettura stay-behind è coerente con la seconda e con la terza, e contro la prima soltanto ove se ne provasse il coordinamento con strutture del campo opposto, prova assente: non diagnostica in assenza. La bipolarità documentata delle varianti di interferenza nel caso capitale, le 2 piste reciprocamente escludentisi della Fase 4, è più coerente con la seconda e la terza lettura che con la prima, cui oppone la difficoltà logica censita: debolmente diagnostica contro la convergenza. Il test statistico nullo sull'addensamento è direttamente contrario alla forma misurabile della prima lettura e neutro verso le altre: diagnostico contro la forma forte di H1. Nessuna evidenza del corpus è contraria alla lettura ordinaria. Il registro trascrive l'esito che la matrice impone: la lettura meno contraddetta dall'insieme delle evidenze è il falsificatore, gli interessi paralleli senza cabina, e le 2 macro-ipotesi sopravvivono quali letture possibili di fatti che non le esigono; il metodo, applicato sino in fondo, consegna la conclusione più sobria del suo repertorio, e il registro la dichiara senza attenuarla, quale prova terminale che l'opera ha obbedito al proprio statuto anche contro la suggestione dei propri materiali.</w:t>
      </w:r>
    </w:p>
    <w:p>
      <w:pPr>
        <w:spacing w:after="120" w:line="276"/>
        <w:jc w:val="both"/>
      </w:pPr>
      <w:r>
        <w:rPr>
          <w:rFonts w:ascii="Barlow Semi Condensed" w:cs="Barlow Semi Condensed" w:eastAsia="Barlow Semi Condensed" w:hAnsi="Barlow Semi Condensed"/>
          <w:sz w:val="24"/>
          <w:szCs w:val="24"/>
        </w:rPr>
        <w:t xml:space="preserve">Il settimo pilastro consegna la periodizzazione reticolare del teatro, le finestre critiche del Pattern 3 sul grafo internazionale. La distribuzione temporale degli eventi certificati dalla fase addensa 4 finestre che il registro formalizza: la finestra del 1974-1975, con la caduta di Lisbona, la diaspora iberica, la formalizzazione del Condor e l'attentato Leighton, la ricomposizione continentale del campo nero attorno ai nuovi protettori; la finestra del 1980-1982, con il golpe boliviano, la scoperta della loggia, l'attentato al pontefice, l'arresto ginevrino del Venerabile e la strage della Sinagoga, il biennio di massima attività simultanea dei fili del corpus; la finestra del 1985-1986, con la crisi dell'Achille Lauro, l'assassinio di Palme, la morte di Sindona a 4 giorni dall'ergastolo e l'assoluzione del processo bulgaro, il biennio degli epiloghi in cui i massimi fili individuali e giudiziari del teatro si chiusero in rapida successione; e la finestra del 1990-1992, con le rivelazioni continentali, i collassi orientali e le prime grandi aperture, la soglia in cui il sistema studiato passò dalla fase operativa alla fase archivistica; il registro certifica al Livello A l'addensamento descrittivo delle 4 finestre, quale distribuzione osservata sui fatti censiti, si astiene, in coerenza con l'esito del test statistico dell'opera, dall'attribuire alle finestre qualsiasi significatività causale non dimostrata, e le consegna quale periodizzazione di servizio, lo scheletro temporale certificato sul quale la ricerca futura potrà disporre i documenti che le aperture verranno consegnando.</w:t>
      </w:r>
    </w:p>
    <w:p>
      <w:pPr>
        <w:spacing w:after="120" w:line="276"/>
        <w:jc w:val="both"/>
      </w:pPr>
      <w:r>
        <w:rPr>
          <w:rFonts w:ascii="Barlow Semi Condensed" w:cs="Barlow Semi Condensed" w:eastAsia="Barlow Semi Condensed" w:hAnsi="Barlow Semi Condensed"/>
          <w:sz w:val="24"/>
          <w:szCs w:val="24"/>
        </w:rPr>
        <w:t xml:space="preserve">Le triangolazioni del nodo sono 3. La prima, fatti di base-assenza di coordinamento-test nullo, fissa il verdetto su H1 quale ipotesi archiviata viva al Livello C. La seconda, ipotesi concorrente-evidenza non diagnostica-formulazione del 2000, consegna la conclusione di merito al livello della sintesi fondata. La terza, centralità finali-bilancio dei pattern-congedo, chiude la lettura reticolare e l'opera.</w:t>
      </w:r>
    </w:p>
    <w:p>
      <w:pPr>
        <w:spacing w:after="120" w:line="276"/>
        <w:jc w:val="both"/>
      </w:pPr>
      <w:r>
        <w:rPr>
          <w:rFonts w:ascii="Barlow Semi Condensed" w:cs="Barlow Semi Condensed" w:eastAsia="Barlow Semi Condensed" w:hAnsi="Barlow Semi Condensed"/>
          <w:sz w:val="24"/>
          <w:szCs w:val="24"/>
        </w:rPr>
        <w:t xml:space="preserve">La verifica finale dell'opera si completa, nell'edizione definitiva, con il recepimento della triangolazione cumulata che ne costituisce il sigillo esterno: le 5 fasi del volume sono state incrociate con le 7 tranche di un registro di verifica indipendente, 438 blocchi certificati che hanno saggiato la coerenza dell'opera con il corpus di progetto, con i giudicati e con i blocchi delle stagioni precedenti, dalla rete nera transnazionale al coordinamento australe sino al caso capitale, restituendo un esito che questa fase, per statuto deputata alla falsificazione, ha il dovere di registrare con la stessa freddezza con cui avrebbe registrato il contrario: nessuna contraddizione fattuale certificata, tenuta integrale delle gradazioni al campionamento esterno, conferma degli Stati Zero quali risultati, Livello A quale esito della campagna. Il registro consegna il recepimento alla chiusura che l'intera opera esige: la verifica finale non è più soltanto l'autoesame interno che questo capitolo ha condotto sulle proprie ipotesi, è divenuta un contraddittorio documentale a 2 corpi indipendenti, l'opera che afferma ed il registro che verifica, e la sopravvivenza dell'opera a quel contraddittorio, che il metodo popperiano assume quale unico titolo provvisorio di conoscenza, è il solo senso in cui questa edizione può dirsi definitiva: non perché non potrà essere corretta, ma perché è stata, sino all'ultimo enunciato disponibile, messa alla prova.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la verifica finale archivia H1 quale ipotesi viva di Livello C con fatti di base certificati e articolazione misurabile falsificata dal test nullo, dichiara l'evidenza non diagnostica tra le macro-letture, promuove la formulazione del giugno 2000 quale massimo enunciato di merito sostenuto dal corpus, e consegna le centralità terminali del grafo, la loggia quale massima intermediazione, i ponti individuali di Sindona e Gelli, l'hub australe e la firma delle assenze, chiudendo l'opera quale inventario verificato e dichiaratamente provvisorio.</w:t>
      </w:r>
    </w:p>
    <w:p>
      <w:pPr>
        <w:pStyle w:val="Heading3"/>
        <w:spacing w:after="80" w:before="160"/>
      </w:pPr>
      <w:r>
        <w:rPr>
          <w:rFonts w:ascii="Barlow Semi Condensed" w:cs="Barlow Semi Condensed" w:eastAsia="Barlow Semi Condensed" w:hAnsi="Barlow Semi Condensed"/>
          <w:sz w:val="24"/>
          <w:szCs w:val="24"/>
        </w:rPr>
        <w:t xml:space="preserve">Repertorio consolidato della Fase 5 — Inventario unitario dei teatri, degli esiti e degli Stati Zero</w:t>
      </w:r>
    </w:p>
    <w:p>
      <w:pPr>
        <w:spacing w:after="120" w:line="276"/>
        <w:jc w:val="both"/>
      </w:pPr>
      <w:r>
        <w:rPr>
          <w:rFonts w:ascii="Barlow Semi Condensed" w:cs="Barlow Semi Condensed" w:eastAsia="Barlow Semi Condensed" w:hAnsi="Barlow Semi Condensed"/>
          <w:sz w:val="24"/>
          <w:szCs w:val="24"/>
        </w:rPr>
        <w:t xml:space="preserve">Il repertorio consolida in un inventario unitario le certificazioni della fase, ordinate per versanti, quale riferimento citabile per ogni richiamo interno dell'opera al grafo internazionale.</w:t>
      </w:r>
    </w:p>
    <w:p>
      <w:pPr>
        <w:spacing w:after="120" w:line="276"/>
        <w:jc w:val="both"/>
      </w:pPr>
      <w:r>
        <w:rPr>
          <w:rFonts w:ascii="Barlow Semi Condensed" w:cs="Barlow Semi Condensed" w:eastAsia="Barlow Semi Condensed" w:hAnsi="Barlow Semi Condensed"/>
          <w:sz w:val="24"/>
          <w:szCs w:val="24"/>
        </w:rPr>
        <w:t xml:space="preserve">Il primo versante è quello dei teatri certificati. Vi appartengono: la centrale Aginter Press, con esistenza, direzione, dottrina scritta, corsi, costellazione denominativa e cattura archivistica del 1974 al Livello A, transiti italiani al Livello B e condanne organiche assenti; il sistema Condor, formalizzato nel novembre 1975, al Livello A, con l'attentato Leighton del 6 ottobre 1975 e le condanne del 1995 e del 2021; le presenze italiane latinoamericane, la diaspora nera nell'orbita del golpe boliviano del 17 luglio 1980 e la retrovia argentina della loggia, entrambe al Livello A senza coordinamento provato tra loro, con gli epiloghi di Delle Chiaie e di Gelli riportati; l'hub sudafricano, con la posizione di massima intermediazione inter-dossier al Livello A, gli assi di complicità al Livello A, la rete delle sanzioni al Livello B, il programma nucleare con lo smantellamento del 1993 e la transizione quale apertura; il santuario francese, con la dottrina del rifugio nelle sue 3 età al Livello A, la comunità dei fuoriusciti, la controprova Battisti e il diniego estradizionale definitivo del marzo 2023; il sistema mediterraneo, con la prassi del lodo al Livello B, i fatti di Ortona, il terminale Giovannone, la serie delle infrazioni certificate e la crisi dell'ottobre 1985 con la coda di governo al Livello A; il versante orientale, con il compendio Mitrokhin e i 261 rapporti Impedian recepiti con la disciplina della fonte al Livello B per le schedature, e il canale finanziario storico al Livello A; il versante occidentale, con il canale fondativo del 1948 al Livello A, la fonte congressuale del 1975-1976, la parabola di Sindona integralmente certificata, l'infrastruttura delle basi e l'enclave di immunità del 1987; e il sistema stay-behind, al Livello A per esistenza continentale con l'innesco Casson, l'elenco dei 622, lo scioglimento del 1990, il conflitto istituzionale e gli impieghi interni al Livello C.</w:t>
      </w:r>
    </w:p>
    <w:p>
      <w:pPr>
        <w:spacing w:after="120" w:line="276"/>
        <w:jc w:val="both"/>
      </w:pPr>
      <w:r>
        <w:rPr>
          <w:rFonts w:ascii="Barlow Semi Condensed" w:cs="Barlow Semi Condensed" w:eastAsia="Barlow Semi Condensed" w:hAnsi="Barlow Semi Condensed"/>
          <w:sz w:val="24"/>
          <w:szCs w:val="24"/>
        </w:rPr>
        <w:t xml:space="preserve">Il secondo versante è quello degli Stati Zero, che la fase eleva a inventario proprio: la connessione operativa Aginter-Hyperion, cercata sull'intero corpus e non trovata, con il solo isomorfismo strutturale certificato; il coordinamento tra la diaspora nera andina e la retrovia piduista atlantica, non documentato; il riscontro tra i profili contemporanei a radici australi e le reti storiche del corpus, condotto integralmente e negativo, con divieto assoluto di inferenza associativa; il coordinamento tra i 2 campi imperiali, cercato in ogni teatro e in ogni stagione e mai documentato; e l'apertura archivistica spontanea, cercata in 15 ordinamenti e assente in tutti. I 5 Stati Zero sono certificati quali risultati di prima classe, ciascuno con il perimetro della ricerca dichiarato.</w:t>
      </w:r>
    </w:p>
    <w:p>
      <w:pPr>
        <w:spacing w:after="120" w:line="276"/>
        <w:jc w:val="both"/>
      </w:pPr>
      <w:r>
        <w:rPr>
          <w:rFonts w:ascii="Barlow Semi Condensed" w:cs="Barlow Semi Condensed" w:eastAsia="Barlow Semi Condensed" w:hAnsi="Barlow Semi Condensed"/>
          <w:sz w:val="24"/>
          <w:szCs w:val="24"/>
        </w:rPr>
        <w:t xml:space="preserve">Il terzo versante è quello degli esiti personali, riportati per esteso in ottemperanza alla disciplina. Gli esiti assolutori definitivi della fase sono: l'assoluzione di Stefano Delle Chiaie per la strage di piazza Fontana, pronunciata dalla Corte d'assise di Catanzaro nel 1989 e confermata in appello nel 1991; e l'assoluzione per insufficienza di prove di Sergej Antonov e dei coimputati bulgari e turchi nel processo sul mandato dell'attentato al pontefice, pronunciata dalla Corte d'assise di Roma nel marzo 1986. Gli esiti di condanna certificati comprendono: le condanne contumaciali dei vertici della DINA pronunciate dalla Corte d'assise di Roma nel 1995 per l'attentato a Bernardo Leighton; gli ergastoli del processo Condor, estesi in appello nel 2019 e definitivi in Cassazione nel 2021; l'ergastolo di Mehmet Ali Ağca per l'attentato del 13 maggio 1981, con la grazia del giugno 2000; le condanne americane e italiane di Michele Sindona, sino all'ergastolo del 18 marzo 1986 per l'omicidio Ambrosoli, con la morte del 22 marzo 1986; la consegna di Cesare Battisti del 14 gennaio 2019 quale esecuzione differita di condanne definitive; e il diniego estradizionale francese del marzo 2023 quale esito ordinamentale sui condannati definitivi rifugiati. Le vittime nominate della fase sono Leon Klinghoffer, assassinato l'8 ottobre 1985 sull'Achille Lauro, Stefano Gaj Taché, il bambino di 2 anni assassinato nella strage della Sinagoga di Roma del 9 ottobre 1982, e Olof Palme, assassinato a Stoccolma il 28 febbraio 1986 con la pista australe al Livello C e la chiusura del 2020 quale esito; le vittime ferite nominate sono Bernardo Leighton e Anita Fresno, colpiti a Roma il 6 ottobre 1975; le vittime plurime delle stragi aeroportuali di Fiumicino, 32 il 17 dicembre 1973 e 13 il 27 dicembre 1985, sono richiamate nel numero con rinvio della nominazione integrale agli atti; a esse la fase salda, per richiamo, il censimento integrale delle vittime delle 4 fasi nazionali, che il repertorio della Fase 4 custodisce.</w:t>
      </w:r>
    </w:p>
    <w:p>
      <w:pPr>
        <w:spacing w:after="120" w:line="276"/>
        <w:jc w:val="both"/>
      </w:pPr>
      <w:r>
        <w:rPr>
          <w:rFonts w:ascii="Barlow Semi Condensed" w:cs="Barlow Semi Condensed" w:eastAsia="Barlow Semi Condensed" w:hAnsi="Barlow Semi Condensed"/>
          <w:sz w:val="24"/>
          <w:szCs w:val="24"/>
        </w:rPr>
        <w:t xml:space="preserve">Il quarto versante è quello dei reperti metodologici: la regolarità delle aperture archivistiche, al Livello A quale legge empirica con la tassonomia delle 5 vie e la gerarchia dei rendimenti; il corollario del lampione, elevato a reperto misurato con la dimostrazione Lisbona-Parigi e con l'autocorrezione applicata all'hub australe; l'asimmetria della prova tra i campi, dichiarata quale condizione e corretta in ogni comparazione; il limite dell'autocertificazione per ogni documentazione a fonte esclusiva, formalizzato sulle liste della rete, sui compendi orientali e sugli elenchi della loggia; la figura del consenso implicito quale configurazione ricorrente delle prassi riservate; la legge della chiusura per scoperta, simmetrica alla legge delle aperture; e la categoria dello Stato Zero, formalizzata quale strumento ordinario con l'inventario del secondo versante.</w:t>
      </w:r>
    </w:p>
    <w:p>
      <w:pPr>
        <w:spacing w:after="120" w:line="276"/>
        <w:jc w:val="both"/>
      </w:pPr>
      <w:r>
        <w:rPr>
          <w:rFonts w:ascii="Barlow Semi Condensed" w:cs="Barlow Semi Condensed" w:eastAsia="Barlow Semi Condensed" w:hAnsi="Barlow Semi Condensed"/>
          <w:sz w:val="24"/>
          <w:szCs w:val="24"/>
        </w:rPr>
        <w:t xml:space="preserve">Il quinto versante è quello dei buchi strutturali che la fase consegna aperti: gli archivi di Hyperion e il perimetro non versato degli archivi italiani, ereditati dalla Fase 4 quali obiettivi; gli archivi dei servizi dei regimi protettori non collassati, per i teatri che la tassonomia colloca fuori dalle 5 vie storicamente date; il mandato dell'attentato del 13 maggio 1981, il massimo accertamento internazionale rimasto senza esito nel corpus; le carte del terminale mediterraneo non versate, con la fonte primaria estinta nel 1985; e la questione della completezza di ogni elenco a fonte esclusiva, dichiarata strutturalmente indecidibile e perciò censita quale buco permanente di specie propria.</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il repertorio consolida 9 teatri certificati, 5 Stati Zero con perimetro dichiarato, 2 blocchi di esiti riportati per esteso, 2 vittime nominate con il richiamo integrale al censimento delle fasi nazionali, 4 reperti metodologici e 3 famiglie di buchi aperti; esso costituisce, con il repertorio della Fase 4, il riferimento citabile terminale dell'opera.</w:t>
      </w:r>
    </w:p>
    <w:p>
      <w:pPr>
        <w:pStyle w:val="Heading3"/>
        <w:spacing w:after="80" w:before="160"/>
      </w:pPr>
      <w:r>
        <w:rPr>
          <w:rFonts w:ascii="Barlow Semi Condensed" w:cs="Barlow Semi Condensed" w:eastAsia="Barlow Semi Condensed" w:hAnsi="Barlow Semi Condensed"/>
          <w:sz w:val="24"/>
          <w:szCs w:val="24"/>
        </w:rPr>
        <w:t xml:space="preserve">Chiusura della Fase 5 e dell'opera — I risultati terminali, il verdetto sulle ipotesi e il congedo</w:t>
      </w:r>
    </w:p>
    <w:p>
      <w:pPr>
        <w:spacing w:after="120" w:line="276"/>
        <w:jc w:val="both"/>
      </w:pPr>
      <w:r>
        <w:rPr>
          <w:rFonts w:ascii="Barlow Semi Condensed" w:cs="Barlow Semi Condensed" w:eastAsia="Barlow Semi Condensed" w:hAnsi="Barlow Semi Condensed"/>
          <w:sz w:val="24"/>
          <w:szCs w:val="24"/>
        </w:rPr>
        <w:t xml:space="preserve">La chiusura della fase è la chiusura dell'opera, e il registro vi dichiara i risultati terminali nella forma che il metodo impone, l'inventario ordinato di ciò che 5 fasi hanno certificato.</w:t>
      </w:r>
    </w:p>
    <w:p>
      <w:pPr>
        <w:spacing w:after="120" w:line="276"/>
        <w:jc w:val="both"/>
      </w:pPr>
      <w:r>
        <w:rPr>
          <w:rFonts w:ascii="Barlow Semi Condensed" w:cs="Barlow Semi Condensed" w:eastAsia="Barlow Semi Condensed" w:hAnsi="Barlow Semi Condensed"/>
          <w:sz w:val="24"/>
          <w:szCs w:val="24"/>
        </w:rPr>
        <w:t xml:space="preserve">Il primo risultato è il grafo compiuto. L'opera consegna il registro dei nodi e dei ponti certificati nella sua estensione integrale: le 4 fasi nazionali, i cerchi criminali, il quadrilatero degli apparati e della loggia, lo stragismo con la tassonomia dell'ostruzione, il caso Moro con la decomposizione in 3 piani, e la fase internazionale con i 9 teatri; l'apparato cumulato conta, attraverso le 5 fasi, oltre 50 nodi maggiori, un ordine di 300 pilastri documentali e di 150 triangolazioni, i repertori citabili delle fasi, il censimento integrale delle vittime nominate, i blocchi assolutori riportati per esteso, l'inventario degli Stati Zero e le 3 soglie archivistiche dichiarate del 1981, del 1990 e del 2014 quali condizioni storiche della conoscenza consegnata; e il grafo, costruito dai dati secondo la prescrizione fondativa della Nota metodologica, ha restituito le proprie misure senza che una sola struttura espositiva sia stata organizzata attorno a una tesi, l'adempimento del divieto del pollo di Popper che l'opera ha tenuto quale prima regola dalla prima riga all'ultima.</w:t>
      </w:r>
    </w:p>
    <w:p>
      <w:pPr>
        <w:spacing w:after="120" w:line="276"/>
        <w:jc w:val="both"/>
      </w:pPr>
      <w:r>
        <w:rPr>
          <w:rFonts w:ascii="Barlow Semi Condensed" w:cs="Barlow Semi Condensed" w:eastAsia="Barlow Semi Condensed" w:hAnsi="Barlow Semi Condensed"/>
          <w:sz w:val="24"/>
          <w:szCs w:val="24"/>
        </w:rPr>
        <w:t xml:space="preserve">Il secondo risultato è il verdetto sulle macro-ipotesi, che il registro riepiloga nella formulazione terminale. L'ipotesi H1 della convergenza imperiale esce archiviata viva: fatti di base certificati sino al Livello A nelle contrarietà pubbliche e nella simmetria delle interferenze ordinarie, convergenza oggettiva al Livello B, articolazione misurabile falsificata dal test statistico nullo pre-registrato, coordinamento mai documentato in alcun teatro, e il falsificatore milwardiano integralmente compatibile con ogni fatto certificato; l'ipotesi concorrente dei 2 progetti rivali esce con i propri successi esplicativi censiti e il medesimo statuto ipotetico; tra le 2 il registro dichiara l'evidenza non diagnostica e non decide. La conclusione di merito che l'opera promuove è la formulazione del giugno 2000, verificata quale massimo enunciato sostenuto dall'intero corpus senza residui contrari: non la restaurazione di un regime, ma il mantenimento di una democrazia a sovranità ed evoluzione limitate, con l'esclusione permanente di una parte del sistema dalla piena legittimazione di governo, amministrata attraverso un equilibrio precario continuo; il registro la consegna quale sintesi storiografica fondata, dichiarandone il livello e rifiutando di travestirla da teorema.</w:t>
      </w:r>
    </w:p>
    <w:p>
      <w:pPr>
        <w:spacing w:after="120" w:line="276"/>
        <w:jc w:val="both"/>
      </w:pPr>
      <w:r>
        <w:rPr>
          <w:rFonts w:ascii="Barlow Semi Condensed" w:cs="Barlow Semi Condensed" w:eastAsia="Barlow Semi Condensed" w:hAnsi="Barlow Semi Condensed"/>
          <w:sz w:val="24"/>
          <w:szCs w:val="24"/>
        </w:rPr>
        <w:t xml:space="preserve">Il terzo risultato è la mappa terminale delle centralità. La loggia P2 chiude quale massima intermediazione complessiva del grafo, presente in tutti i teatri maggiori nazionali con proiezione transnazionale certificata; il Dominio 3 quale connettivo universale; Michele Sindona e Licio Gelli quali massime intermediazioni individuali tra domini e continenti; Giuseppe Calò quale individuo con il maggior numero di giudicati capitali; il Sudafrica dell'apartheid quale hub inter-dossier del teatro internazionale; il nodo triestino quale massima stratificazione documentale con i suoi 7 strati indipendenti; e Mario Moretti quale massima centralità esecutiva individuale, ereditata dalla Fase 4. La mappa è consegnata quale misura, non quale gerarchia di colpe, secondo la distinzione che l'opera ha tenuto tra la posizione nella rete e la responsabilità nel giudizio, la seconda appartenendo soltanto agli esiti riportati.</w:t>
      </w:r>
    </w:p>
    <w:p>
      <w:pPr>
        <w:spacing w:after="120" w:line="276"/>
        <w:jc w:val="both"/>
      </w:pPr>
      <w:r>
        <w:rPr>
          <w:rFonts w:ascii="Barlow Semi Condensed" w:cs="Barlow Semi Condensed" w:eastAsia="Barlow Semi Condensed" w:hAnsi="Barlow Semi Condensed"/>
          <w:sz w:val="24"/>
          <w:szCs w:val="24"/>
        </w:rPr>
        <w:t xml:space="preserve">Il quarto risultato è il lascito metodologico. L'opera consegna alla ricerca gli strumenti che le 5 fasi hanno collaudato: i 3 livelli di certificazione con l'obbligo del livello dichiarato su ogni enunciato; la Regola Ferrea del divieto inferenziale; la disciplina degli esiti con le assoluzioni per esteso; la nominazione delle vittime; la decomposizione in piani; la tassonomia dell'ostruzione e la figura complementare dell'assenza selettiva; la categoria dello Stato Zero con il perimetro dichiarato; la legge empirica delle aperture con la tassonomia delle 5 vie; e il corollario del lampione quale correzione permanente delle comparazioni. Il registro dichiara che questi strumenti, e non le conclusioni, sono il prodotto primario dell'opera, giacché le conclusioni invecchieranno con gli archivi e gli strumenti no.</w:t>
      </w:r>
    </w:p>
    <w:p>
      <w:pPr>
        <w:spacing w:after="120" w:line="276"/>
        <w:jc w:val="both"/>
      </w:pPr>
      <w:r>
        <w:rPr>
          <w:rFonts w:ascii="Barlow Semi Condensed" w:cs="Barlow Semi Condensed" w:eastAsia="Barlow Semi Condensed" w:hAnsi="Barlow Semi Condensed"/>
          <w:sz w:val="24"/>
          <w:szCs w:val="24"/>
        </w:rPr>
        <w:t xml:space="preserve">Il quinto risultato è la mappa dei teatri e delle loro leggi. La fase consegna i 9 teatri internazionali ciascuno con la propria legge certificata: il ceppo iberico con la legge della copertura reale e della conoscibilità per collasso; il continente latinoamericano con la legge del rifugio per frattura giurisdizionale e l'unico caso di giustiziabilità piena del livello internazionale, il processo Condor; l'hub australe con la legge dell'irriducibilità bipolare e l'autocorrezione del lampione applicata al proprio primato; il santuario francese con la legge della protezione territoriale divenuta barriera; il Mediterraneo con la legge del consenso implicito e dei limiti di sangue certificati; l'Est con la legge della prova differita al collasso e della questione strutturalmente inaccertabile; l'Atlantico con la legge dell'autocritica imperiale quale fonte derivata della conoscenza italiana; il sistema stay-behind con la legge della chiusura per scoperta; e l'empirica degli archivi quale legge delle leggi, la regolarità che le governa tutte. La mappa è consegnata quale sintesi operativa del quinto cerchio, il livello dell'opera in cui ogni teatro ha restituito, oltre ai propri fatti, la propria regola.</w:t>
      </w:r>
    </w:p>
    <w:p>
      <w:pPr>
        <w:spacing w:after="120" w:line="276"/>
        <w:jc w:val="both"/>
      </w:pPr>
      <w:r>
        <w:rPr>
          <w:rFonts w:ascii="Barlow Semi Condensed" w:cs="Barlow Semi Condensed" w:eastAsia="Barlow Semi Condensed" w:hAnsi="Barlow Semi Condensed"/>
          <w:sz w:val="24"/>
          <w:szCs w:val="24"/>
        </w:rPr>
        <w:t xml:space="preserve">Il congedo è una dichiarazione di statuto. L'opera si chiude provvisoria per costituzione, datata alla configurazione archivistica del proprio tempo, con gli obiettivi consegnati, gli archivi francesi, il non versato italiano, gli archivi dei protettori non caduti, e con la certezza empirica che nessuna soglia futura verrà da sé; essa non consegna una verità sul potere occulto italiano, consegna l'inventario verificato di ciò che del potere occulto italiano è dimostrabile alla data, con i suoi livelli, i suoi vuoti e le sue ipotesi vive, e rivendica quale proprio compimento esattamente questa forma: in un campo dove l'oggetto di studio manipola le condizioni della propria osservabilità, avere reso ogni affermazione falsificabile, ogni assenza dichiarata e ogni metodo trasparente è la sola vittoria che la conoscenza possa conseguire. L'opera fu aperta, nella sua Nota fondativa, con il monito di Falcone sulla natura umana e perciò conoscibile del fatto criminale, e si chiude sulla sua verifica: 5 fasi hanno dimostrato che il fatto umano occulto è conoscibile nella misura in cui le sue tracce sopravvivono e i suoi archivi si aprono, che questa misura è storica e non teorica, e che il compito della conoscenza, dentro questa misura, è tenerne il registro con una probità tale che ogni riga possa essere impugnata; il registro dei nodi e dei ponti certificati è consegnato al lettore, alla ricerca e al tempo, citabile e aperto, e con esso l'opera adempie la sola promessa che aveva fatto, quella del metodo.</w:t>
      </w:r>
    </w:p>
    <w:p>
      <w:pPr>
        <w:spacing w:after="120" w:line="276"/>
        <w:jc w:val="both"/>
      </w:pPr>
      <w:r>
        <w:rPr>
          <w:rFonts w:ascii="Barlow Semi Condensed" w:cs="Barlow Semi Condensed" w:eastAsia="Barlow Semi Condensed" w:hAnsi="Barlow Semi Condensed"/>
          <w:b/>
          <w:bCs/>
          <w:sz w:val="24"/>
          <w:szCs w:val="24"/>
        </w:rPr>
        <w:t xml:space="preserve">Sintesi del dato nuovo acquisito:</w:t>
      </w:r>
      <w:r>
        <w:rPr>
          <w:rFonts w:ascii="Barlow Semi Condensed" w:cs="Barlow Semi Condensed" w:eastAsia="Barlow Semi Condensed" w:hAnsi="Barlow Semi Condensed"/>
          <w:sz w:val="24"/>
          <w:szCs w:val="24"/>
        </w:rPr>
        <w:t xml:space="preserve"> l'opera si chiude con il grafo compiuto delle 5 fasi, il verdetto che archivia vive le 2 macro-ipotesi sotto evidenza non diagnostica, la promozione della formulazione del giugno 2000 quale massima sintesi fondata, la mappa terminale delle centralità con la loggia quale massima intermediazione e i ponti individuali certificati, il lascito degli strumenti quale prodotto primario e la dichiarazione di provvisorietà archivistica quale statuto; il registro dei nodi e dei ponti certificati è consegnato, citabile e aperto.</w:t>
      </w:r>
    </w:p>
    <w:p>
      <w:pPr>
        <w:pStyle w:val="Heading2"/>
        <w:spacing w:after="100" w:before="200"/>
      </w:pPr>
      <w:r>
        <w:rPr>
          <w:rFonts w:ascii="Barlow Semi Condensed" w:cs="Barlow Semi Condensed" w:eastAsia="Barlow Semi Condensed" w:hAnsi="Barlow Semi Condensed"/>
          <w:sz w:val="24"/>
          <w:szCs w:val="24"/>
        </w:rPr>
        <w:t xml:space="preserve">APPARATO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Registro di Verifica e Triangolazione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Otto tranche — 538 blocchi certificati</w:t>
      </w:r>
    </w:p>
    <w:p>
      <w:pPr>
        <w:pStyle w:val="Heading3"/>
        <w:spacing w:after="80" w:before="160"/>
      </w:pPr>
      <w:r>
        <w:rPr>
          <w:rFonts w:ascii="Barlow Semi Condensed" w:cs="Barlow Semi Condensed" w:eastAsia="Barlow Semi Condensed" w:hAnsi="Barlow Semi Condensed"/>
          <w:sz w:val="24"/>
          <w:szCs w:val="24"/>
        </w:rPr>
        <w:t xml:space="preserve">Avvertenza di lettura</w:t>
      </w:r>
    </w:p>
    <w:p>
      <w:pPr>
        <w:spacing w:after="120" w:line="276"/>
        <w:jc w:val="both"/>
      </w:pPr>
      <w:r>
        <w:rPr>
          <w:rFonts w:ascii="Barlow Semi Condensed" w:cs="Barlow Semi Condensed" w:eastAsia="Barlow Semi Condensed" w:hAnsi="Barlow Semi Condensed"/>
          <w:sz w:val="24"/>
          <w:szCs w:val="24"/>
        </w:rPr>
        <w:t xml:space="preserve">Questo documento non è una narrazione a tesi. È un registro di verifica costruito applicando alla lettera il vincolo epistemologico più stringente della Nota Metodologica di ITALIA NERA: la struttura dell’opera non deve irradiare da un’ipotesi, ma dai dati. La stessa Nota indica come esempio di ciò che va evitato la formula secondo cui Stati Uniti e Unione Sovietica convergerebbero segretamente per impedire l’integrazione europea, disposta in cerchi concentrici attorno a quel centro interpretativo. Organizzare il materiale attorno a quella tesi collocherebbe l’analista nella posizione del tacchino di Russell descritta da Popper: accumulerebbe conferme senza mai sottoporre l’ipotesi alla prova della falsificazione. Per questa ragione il presente registro tratta quella tesi come una delle ipotesi in competizione, non come cornice, e la sottopone al vaglio dell’Analysis of Competing Hypotheses.</w:t>
      </w:r>
    </w:p>
    <w:p>
      <w:pPr>
        <w:spacing w:after="120" w:line="276"/>
        <w:jc w:val="both"/>
      </w:pPr>
      <w:r>
        <w:rPr>
          <w:rFonts w:ascii="Barlow Semi Condensed" w:cs="Barlow Semi Condensed" w:eastAsia="Barlow Semi Condensed" w:hAnsi="Barlow Semi Condensed"/>
          <w:sz w:val="24"/>
          <w:szCs w:val="24"/>
        </w:rPr>
        <w:t xml:space="preserve">Ogni asserzione è accompagnata dalla sua classificazione probatoria secondo la scala di triangolazione Savona adottata dall’opera: Livello A per la connessione documentata da almeno tre fonti indipendenti di natura diversa; Livello B per la connessione indiziaria sorretta da due fonti indipendenti o da una singola fonte di alta affidabilità; Livello C per la connessione ipotetica basata su una fonte singola o su indizi circostanziali. Una connessione sistematicamente cercata e non trovata è registrata come Stato Zero, che nella metodologia dell’opera è un risultato di prima classe, non una lacuna da colmare. Vige su ogni riga la Regola Ferrea: nessun salto inferenziale tra piani probatori distinti, e in particolare il divieto di inferire il mandato dalla copertura.</w:t>
      </w:r>
    </w:p>
    <w:p>
      <w:pPr>
        <w:spacing w:after="120" w:line="276"/>
        <w:jc w:val="both"/>
      </w:pPr>
      <w:r>
        <w:rPr>
          <w:rFonts w:ascii="Barlow Semi Condensed" w:cs="Barlow Semi Condensed" w:eastAsia="Barlow Semi Condensed" w:hAnsi="Barlow Semi Condensed"/>
          <w:sz w:val="24"/>
          <w:szCs w:val="24"/>
        </w:rPr>
        <w:t xml:space="preserve">Il documento distingue con rigore tre statuti del sapere che il linguaggio corrente tende a confondere: il fatto storico documentato, l’accusa formulata da una fonte qualificata ma non accertata in giudizio, e la mera associazione o coincidenza. Per le persone viventi nominate il registro riporta esclusivamente fatti pubblici e documentati, senza inferenza associativa; le caratterizzazioni provenienti da inchieste giornalistiche o da rapporti di organizzazioni specializzate sono attribuite alla loro fonte e non presentate come verità processuali. La Fase V è dedicata per intero al vaglio dei possibili rilievi civili e penali, in materia di diffamazione e di calunnia, e al protocollo redazionale che ne discende.</w:t>
      </w:r>
    </w:p>
    <w:p>
      <w:pPr>
        <w:pStyle w:val="Heading3"/>
        <w:spacing w:after="80" w:before="160"/>
      </w:pPr>
      <w:r>
        <w:rPr>
          <w:rFonts w:ascii="Barlow Semi Condensed" w:cs="Barlow Semi Condensed" w:eastAsia="Barlow Semi Condensed" w:hAnsi="Barlow Semi Condensed"/>
          <w:sz w:val="24"/>
          <w:szCs w:val="24"/>
        </w:rPr>
        <w:t xml:space="preserve">FASE 0 — PREMESSA EPISTEMOLOGICA E PROTOCOLLO OPERATIVO</w:t>
      </w:r>
    </w:p>
    <w:p>
      <w:pPr>
        <w:spacing w:after="120" w:line="276"/>
        <w:jc w:val="both"/>
      </w:pPr>
      <w:r>
        <w:rPr>
          <w:rFonts w:ascii="Barlow Semi Condensed" w:cs="Barlow Semi Condensed" w:eastAsia="Barlow Semi Condensed" w:hAnsi="Barlow Semi Condensed"/>
          <w:sz w:val="24"/>
          <w:szCs w:val="24"/>
        </w:rPr>
        <w:t xml:space="preserve">0.1 — Oggetto, perimetro e limiti del documento</w:t>
      </w:r>
    </w:p>
    <w:p>
      <w:pPr>
        <w:spacing w:after="120" w:line="276"/>
        <w:jc w:val="both"/>
      </w:pPr>
      <w:r>
        <w:rPr>
          <w:rFonts w:ascii="Barlow Semi Condensed" w:cs="Barlow Semi Condensed" w:eastAsia="Barlow Semi Condensed" w:hAnsi="Barlow Semi Condensed"/>
          <w:sz w:val="24"/>
          <w:szCs w:val="24"/>
        </w:rPr>
        <w:t xml:space="preserve">Il registro triangola il contenuto integrale di un corpus documentale eterogeneo, composto dai materiali allegati e dagli approfondimenti tematici prodotti nell’ambito del progetto. Il corpus copre due oggetti storicamente e cronologicamente distinti. Il primo è una rete transnazionale di matrice controrivoluzionaria e anticomunista che si struttura all’indomani della Seconda guerra mondiale, salda la diaspora nazista, gli apparati iberici, il neofascismo italiano in fuga, la Loggia P2 e il terrore coordinato del Cono Sur. Il secondo è un’operazione di influenza contemporanea, diretta dalla Federazione Russa e da attori ad essa collegati, finalizzata all’erosione dell’ordine euro-atlantico dall’interno. Il documento ricostruisce ciascuna formazione con la propria gradazione probatoria, ne analizza la struttura secondo le misure e i pattern della network analysis, e infine mette le due formazioni a confronto per stabilire cosa il corpus autorizzi effettivamente a inferire sul loro rapporto.</w:t>
      </w:r>
    </w:p>
    <w:p>
      <w:pPr>
        <w:spacing w:after="120" w:line="276"/>
        <w:jc w:val="both"/>
      </w:pPr>
      <w:r>
        <w:rPr>
          <w:rFonts w:ascii="Barlow Semi Condensed" w:cs="Barlow Semi Condensed" w:eastAsia="Barlow Semi Condensed" w:hAnsi="Barlow Semi Condensed"/>
          <w:sz w:val="24"/>
          <w:szCs w:val="24"/>
        </w:rPr>
        <w:t xml:space="preserve">Il perimetro è definito anche in negativo. Il documento non attribuisce responsabilità penali che non risultino da sentenze; non promuove congetture al rango di fatti; non ricostruisce l’architettura interna di operazioni che darebbero istruzioni operative; non fornisce consulenza legale. La ricognizione dei profili di responsabilità civile e penale che l’opera contiene è informazione generale di orientamento, non parere professionale.</w:t>
      </w:r>
    </w:p>
    <w:p>
      <w:pPr>
        <w:spacing w:after="120" w:line="276"/>
        <w:jc w:val="both"/>
      </w:pPr>
      <w:r>
        <w:rPr>
          <w:rFonts w:ascii="Barlow Semi Condensed" w:cs="Barlow Semi Condensed" w:eastAsia="Barlow Semi Condensed" w:hAnsi="Barlow Semi Condensed"/>
          <w:sz w:val="24"/>
          <w:szCs w:val="24"/>
        </w:rPr>
        <w:t xml:space="preserve">0.2 — Perché la struttura non irradia da un’ipotesi</w:t>
      </w:r>
    </w:p>
    <w:p>
      <w:pPr>
        <w:spacing w:after="120" w:line="276"/>
        <w:jc w:val="both"/>
      </w:pPr>
      <w:r>
        <w:rPr>
          <w:rFonts w:ascii="Barlow Semi Condensed" w:cs="Barlow Semi Condensed" w:eastAsia="Barlow Semi Condensed" w:hAnsi="Barlow Semi Condensed"/>
          <w:sz w:val="24"/>
          <w:szCs w:val="24"/>
        </w:rPr>
        <w:t xml:space="preserve">La scelta di non organizzare il materiale in cerchi concentrici attorno a una tesi non è una preferenza stilistica: è la traduzione operativa del falsificazionismo. Popper mostra che nessuna quantità di osservazioni conformi dimostra una legge universale, mentre una sola osservazione contraria la falsifica. Una struttura che dispone i dati attorno a un centro interpretativo produce conferme per effetto della propria forma, non per forza intrinseca dell’evidenza: è la struttura stessa a generare il consenso apparente. Il registro adotta perciò l’architettura opposta. Ricostruisce prima, e separatamente, le due formazioni empiriche che emergono dal corpus; solo dopo, e come esito del vaglio, formula il giudizio sulla loro relazione. In questo modo il momento della prova precede il momento della sintesi, secondo la distinzione — cardine della metodologia dell’opera — tra ordine dell’esposizione e ordine della prova.</w:t>
      </w:r>
    </w:p>
    <w:p>
      <w:pPr>
        <w:spacing w:after="120" w:line="276"/>
        <w:jc w:val="both"/>
      </w:pPr>
      <w:r>
        <w:rPr>
          <w:rFonts w:ascii="Barlow Semi Condensed" w:cs="Barlow Semi Condensed" w:eastAsia="Barlow Semi Condensed" w:hAnsi="Barlow Semi Condensed"/>
          <w:sz w:val="24"/>
          <w:szCs w:val="24"/>
        </w:rPr>
        <w:t xml:space="preserve">0.3 — Le ipotesi in competizione e il metodo ACH</w:t>
      </w:r>
    </w:p>
    <w:p>
      <w:pPr>
        <w:spacing w:after="120" w:line="276"/>
        <w:jc w:val="both"/>
      </w:pPr>
      <w:r>
        <w:rPr>
          <w:rFonts w:ascii="Barlow Semi Condensed" w:cs="Barlow Semi Condensed" w:eastAsia="Barlow Semi Condensed" w:hAnsi="Barlow Semi Condensed"/>
          <w:sz w:val="24"/>
          <w:szCs w:val="24"/>
        </w:rPr>
        <w:t xml:space="preserve">Il corpus è vagliato rispetto a tre ipotesi esplicite, secondo la procedura dell’Analysis of Competing Hypotheses di Richards Heuer, che impone di valutare non quale ipotesi accumuli più conferme — perché tutte tendono ad accumularne — ma quale sia meno contraddetta dalle evidenze diagnostiche. La prima ipotesi, denominata H1, è la tesi del condominio: Stati Uniti e Unione Sovietica, poi Stati Uniti e Russia, pur essendo avversari, agirebbero di concerto per indebolire i singoli Stati europei e impedire l’integrazione. La seconda ipotesi, denominata H2, è la tesi delle due internazionali rivali: esistono, in due epoche successive, due formazioni autoritarie transnazionali distinte e in larga parte opposte quanto a sponsor — una a matrice atlantica e anticomunista, l’altra a matrice eurasiatista — che condividono però la funzione di destabilizzare il centro liberale a partire dal fianco. La terza ipotesi, denominata H3, è l’ipotesi nulla o della convergenza emergente: gli effetti destabilizzanti convergenti non presuppongono coordinamento, ma discendono da interessi paralleli e indipendenti che l’osservatore retrospettivo tende a leggere come disegno. La Fase IV espone la matrice di consistenza e il giudizio.</w:t>
      </w:r>
    </w:p>
    <w:p>
      <w:pPr>
        <w:spacing w:after="120" w:line="276"/>
        <w:jc w:val="both"/>
      </w:pPr>
      <w:r>
        <w:rPr>
          <w:rFonts w:ascii="Barlow Semi Condensed" w:cs="Barlow Semi Condensed" w:eastAsia="Barlow Semi Condensed" w:hAnsi="Barlow Semi Condensed"/>
          <w:sz w:val="24"/>
          <w:szCs w:val="24"/>
        </w:rPr>
        <w:t xml:space="preserve">0.4 — Standard probatorio: i tre livelli Savona e la Regola Ferrea</w:t>
      </w:r>
    </w:p>
    <w:p>
      <w:pPr>
        <w:spacing w:after="120" w:line="276"/>
        <w:jc w:val="both"/>
      </w:pPr>
      <w:r>
        <w:rPr>
          <w:rFonts w:ascii="Barlow Semi Condensed" w:cs="Barlow Semi Condensed" w:eastAsia="Barlow Semi Condensed" w:hAnsi="Barlow Semi Condensed"/>
          <w:sz w:val="24"/>
          <w:szCs w:val="24"/>
        </w:rPr>
        <w:t xml:space="preserve">La scala di attendibilità replica lo standard di triangolazione delle fonti. Una connessione è certificata a Livello A quando convergono almeno tre fonti indipendenti di natura eterogenea: ad esempio un provvedimento sanzionatorio istituzionale, un’inchiesta giornalistica documentata e un’analisi tecnica di soggetti specializzati. È classificata a Livello B quando poggia su due fonti indipendenti oppure su una singola fonte di alta affidabilità, come una relazione parlamentare circostanziata o un documento desecretato. È marcata a Livello C quando si fonda su una fonte singola o su una convergenza di indizi circostanziali, ossia coincidenza temporale, prossimità geografica, appartenenza al medesimo ambiente. La Regola Ferrea impedisce di trasformare un livello inferiore in uno superiore per accumulo narrativo: la ripetizione di un indizio non lo promuove a prova, e la dimostrazione che un fatto è stato coperto non dimostra chi lo abbia ordinato.</w:t>
      </w:r>
    </w:p>
    <w:p>
      <w:pPr>
        <w:spacing w:after="120" w:line="276"/>
        <w:jc w:val="both"/>
      </w:pPr>
      <w:r>
        <w:rPr>
          <w:rFonts w:ascii="Barlow Semi Condensed" w:cs="Barlow Semi Condensed" w:eastAsia="Barlow Semi Condensed" w:hAnsi="Barlow Semi Condensed"/>
          <w:sz w:val="24"/>
          <w:szCs w:val="24"/>
        </w:rPr>
        <w:t xml:space="preserve">0.5 — Disciplina delle persone viventi e vaglio dei rilievi</w:t>
      </w:r>
    </w:p>
    <w:p>
      <w:pPr>
        <w:spacing w:after="120" w:line="276"/>
        <w:jc w:val="both"/>
      </w:pPr>
      <w:r>
        <w:rPr>
          <w:rFonts w:ascii="Barlow Semi Condensed" w:cs="Barlow Semi Condensed" w:eastAsia="Barlow Semi Condensed" w:hAnsi="Barlow Semi Condensed"/>
          <w:sz w:val="24"/>
          <w:szCs w:val="24"/>
        </w:rPr>
        <w:t xml:space="preserve">Il corpus nomina persone viventi, alcune delle quali titolari di cariche pubbliche. Per esse il registro applica una disciplina rigorosa: riferisce solo fatti pubblici e documentati — un accordo sottoscritto, un’espulsione da un gruppo parlamentare, una partecipazione a una missione di osservazione — e si astiene da ogni inferenza associativa che trasformi la contiguità in complicità. Le qualificazioni discreditanti che provengono da inchieste o da rapporti di organizzazioni non governative sono presentate come tesi della fonte, con indicazione della fonte, e non come accertamenti. Questa disciplina non è cautela formale: come la Fase V argomenta, è precisamente la presentazione di un’accusa non provata come fatto certo a generare l’esposizione civile e penale che il progetto intende scongiurare. La protezione non consiste nel certificare, ma nel graduare e nell’attribuire.</w:t>
      </w:r>
    </w:p>
    <w:p>
      <w:pPr>
        <w:spacing w:after="120" w:line="276"/>
        <w:jc w:val="both"/>
      </w:pPr>
      <w:r>
        <w:rPr>
          <w:rFonts w:ascii="Barlow Semi Condensed" w:cs="Barlow Semi Condensed" w:eastAsia="Barlow Semi Condensed" w:hAnsi="Barlow Semi Condensed"/>
          <w:sz w:val="24"/>
          <w:szCs w:val="24"/>
        </w:rPr>
        <w:t xml:space="preserve">0.6 — Ambito e trasparenza della verifica effettuata</w:t>
      </w:r>
    </w:p>
    <w:p>
      <w:pPr>
        <w:spacing w:after="120" w:line="276"/>
        <w:jc w:val="both"/>
      </w:pPr>
      <w:r>
        <w:rPr>
          <w:rFonts w:ascii="Barlow Semi Condensed" w:cs="Barlow Semi Condensed" w:eastAsia="Barlow Semi Condensed" w:hAnsi="Barlow Semi Condensed"/>
          <w:sz w:val="24"/>
          <w:szCs w:val="24"/>
        </w:rPr>
        <w:t xml:space="preserve">L’ordine di eseguire un vaglio a cascata su cento blocchi va inteso come processo iterativo e pluri-sessione, coerente con la pratica cumulativa dell’opera, che conserva ogni versione e la incrementa. Il presente documento costituisce la prima tranche certificata di quel processo. La verifica indipendente è stata concentrata, in questa fase, sulle asserzioni a più alto rischio: quelle contemporanee, verificabili in fonti primarie recenti, e quelle relative a persone viventi, dove l’esattezza è insieme un dovere metodologico e una tutela legale. Il materiale storico — ratlines, P2, Condor, elusione dell’embargo dell’apartheid — poggia su un corpo consolidato di documentazione accademica, giudiziaria e archivistica, e i documenti del corpus ne citano le fonti; per esso il registro rinvia a quel corpo e ne certifica i nodi principali. La Fase VI riporta in forma di schede in prosa i blocchi di verifica effettivamente eseguiti, con esito e livello, e dichiara con trasparenza i blocchi rinviati alle tranche successive.</w:t>
      </w:r>
    </w:p>
    <w:p>
      <w:pPr>
        <w:pStyle w:val="Heading3"/>
        <w:spacing w:after="80" w:before="160"/>
      </w:pPr>
      <w:r>
        <w:rPr>
          <w:rFonts w:ascii="Barlow Semi Condensed" w:cs="Barlow Semi Condensed" w:eastAsia="Barlow Semi Condensed" w:hAnsi="Barlow Semi Condensed"/>
          <w:sz w:val="24"/>
          <w:szCs w:val="24"/>
        </w:rPr>
        <w:t xml:space="preserve">FASE I — FORMAZIONE ALFA: LA RETE NERA ANTICOMUNISTA TRANSNAZIONALE (1945–1990)</w:t>
      </w:r>
    </w:p>
    <w:p>
      <w:pPr>
        <w:spacing w:after="120" w:line="276"/>
        <w:jc w:val="both"/>
      </w:pPr>
      <w:r>
        <w:rPr>
          <w:rFonts w:ascii="Barlow Semi Condensed" w:cs="Barlow Semi Condensed" w:eastAsia="Barlow Semi Condensed" w:hAnsi="Barlow Semi Condensed"/>
          <w:sz w:val="24"/>
          <w:szCs w:val="24"/>
        </w:rPr>
        <w:t xml:space="preserve">La prima formazione si dispone lungo un asse temporale che muove dal 1945 e lungo un asse spaziale che dall’Europa continentale procede verso la penisola iberica, poi verso il Sud America e infine verso l’Africa australe. Il criterio espositivo è geografico-processuale: si segue il flusso — di persone, competenze, capitali e violenza — così come esso attraversa i domini e le frontiere. Il codice che tiene insieme la formazione, nel senso sistemico dell’opera, è l’anticomunismo radicale; la sua collocazione geopolitica, come il capitolo conclusivo della Fase argomenta, è di allineamento con l’anticomunismo occidentale, non di equidistanza tra i blocchi.</w:t>
      </w:r>
    </w:p>
    <w:p>
      <w:pPr>
        <w:spacing w:after="120" w:line="276"/>
        <w:jc w:val="both"/>
      </w:pPr>
      <w:r>
        <w:rPr>
          <w:rFonts w:ascii="Barlow Semi Condensed" w:cs="Barlow Semi Condensed" w:eastAsia="Barlow Semi Condensed" w:hAnsi="Barlow Semi Condensed"/>
          <w:sz w:val="24"/>
          <w:szCs w:val="24"/>
        </w:rPr>
        <w:t xml:space="preserve">1.1 — La diaspora nazista e le ratlines: il fatto documentato</w:t>
      </w:r>
    </w:p>
    <w:p>
      <w:pPr>
        <w:spacing w:after="120" w:line="276"/>
        <w:jc w:val="both"/>
      </w:pPr>
      <w:r>
        <w:rPr>
          <w:rFonts w:ascii="Barlow Semi Condensed" w:cs="Barlow Semi Condensed" w:eastAsia="Barlow Semi Condensed" w:hAnsi="Barlow Semi Condensed"/>
          <w:sz w:val="24"/>
          <w:szCs w:val="24"/>
        </w:rPr>
        <w:t xml:space="preserve">Che decine di migliaia di criminali di guerra e collaborazionisti nazisti siano sfuggiti alla giustizia rifugiandosi oltreoceano nel dopoguerra è acquisizione storiografica consolidata, non congettura: è pertanto certificato a Livello A. Le stime più accreditate collocano nella sola area sudamericana un numero dell’ordine di alcune migliaia di individui, con l’Argentina di Juan Domingo Perón come polo principale di accoglienza. La documentazione converge nell’indicare tre elementi ricorrenti del meccanismo di esfiltrazione: il rilascio di documenti di viaggio, spesso lasciapassare del Comitato Internazionale della Croce Rossa ottenuti con generalità false; la mediazione di settori ecclesiastici, con figure come il vescovo Alois Hudal a Roma e, sul versante argentino, l’azione del cardinale Antonio Caggiano; e l’esistenza di canali logistici stabili lungo la direttrice che dall’Italia settentrionale conduceva ai porti di imbarco.</w:t>
      </w:r>
    </w:p>
    <w:p>
      <w:pPr>
        <w:spacing w:after="120" w:line="276"/>
        <w:jc w:val="both"/>
      </w:pPr>
      <w:r>
        <w:rPr>
          <w:rFonts w:ascii="Barlow Semi Condensed" w:cs="Barlow Semi Condensed" w:eastAsia="Barlow Semi Condensed" w:hAnsi="Barlow Semi Condensed"/>
          <w:sz w:val="24"/>
          <w:szCs w:val="24"/>
        </w:rPr>
        <w:t xml:space="preserve">La distinzione tra il dato documentato e il mito è qui essenziale. L’esistenza di vie di fuga strutturate è a Livello A; l’immagine di un’unica organizzazione centralizzata denominata ODESSA, dotata di comando unitario, appartiene invece alla vulgata e va classificata a Livello C, poiché la ricerca storica documenta piuttosto una pluralità di reti parzialmente sovrapposte — la cosiddetta linea dei conventi, i circuiti di reduci, gli sportelli consolari compiacenti — più che un apparato unico. I casi individuali meglio accertati confermano il meccanismo senza richiedere l’ipotesi centralistica: la fuga di Adolf Eichmann in Argentina e la sua successiva cattura, la lunga latitanza di Josef Mengele tra Argentina, Paraguay e Brasile, la protezione di cui godette Klaus Barbie in Bolivia, la fuga di Franz Stangl. Ciascuno di questi percorsi è documentato a Livello A; la loro riconduzione a un’unica regia è un’inferenza che il corpus non sostiene.</w:t>
      </w:r>
    </w:p>
    <w:p>
      <w:pPr>
        <w:spacing w:after="120" w:line="276"/>
        <w:jc w:val="both"/>
      </w:pPr>
      <w:r>
        <w:rPr>
          <w:rFonts w:ascii="Barlow Semi Condensed" w:cs="Barlow Semi Condensed" w:eastAsia="Barlow Semi Condensed" w:hAnsi="Barlow Semi Condensed"/>
          <w:sz w:val="24"/>
          <w:szCs w:val="24"/>
        </w:rPr>
        <w:t xml:space="preserve">1.2 — L’hub iberico: economia, esfiltrazione, ideologia</w:t>
      </w:r>
    </w:p>
    <w:p>
      <w:pPr>
        <w:spacing w:after="120" w:line="276"/>
        <w:jc w:val="both"/>
      </w:pPr>
      <w:r>
        <w:rPr>
          <w:rFonts w:ascii="Barlow Semi Condensed" w:cs="Barlow Semi Condensed" w:eastAsia="Barlow Semi Condensed" w:hAnsi="Barlow Semi Condensed"/>
          <w:sz w:val="24"/>
          <w:szCs w:val="24"/>
        </w:rPr>
        <w:t xml:space="preserve">La penisola iberica funziona, nel dopoguerra, come camera di compensazione tra l’Europa sconfitta e le rotte atlantiche. La documentazione converge su un nucleo di elementi certificabili a Livello A o a Livello B. Sul piano economico, la persistenza di strutture d’affari tedesche in Spagna — attorno a figure come Johannes Bernhardt e al gruppo SOFINDUS — costituisce il retroterra materiale che finanzia e occulta. Sul piano dell’assistenza ai latitanti, l’attività di reti di sostegno legate ad ambienti falangisti, con figure come Clara Stauffer, è documentata. Sul versante alleato, l’operazione Safehaven, condotta per rintracciare e neutralizzare i capitali e i beni trafugati dal Reich, testimonia in negativo l’esistenza stessa di quei flussi.</w:t>
      </w:r>
    </w:p>
    <w:p>
      <w:pPr>
        <w:spacing w:after="120" w:line="276"/>
        <w:jc w:val="both"/>
      </w:pPr>
      <w:r>
        <w:rPr>
          <w:rFonts w:ascii="Barlow Semi Condensed" w:cs="Barlow Semi Condensed" w:eastAsia="Barlow Semi Condensed" w:hAnsi="Barlow Semi Condensed"/>
          <w:sz w:val="24"/>
          <w:szCs w:val="24"/>
        </w:rPr>
        <w:t xml:space="preserve">Attorno a questo hub gravitano figure-cerniera di lungo periodo la cui rilevanza è strutturale più che numerica, secondo la logica della betweenness centrality: individui poco visibili al pubblico ma cruciali per collegare ambienti altrimenti disconnessi. Il collaborazionista belga Léon Degrelle trova rifugio e continuità politica in Spagna. Soprattutto Otto Skorzeny opera come snodo tra il mondo dei reduci, i servizi e il mercato della sicurezza: la sua associazione con circuiti di mutuo soccorso tra ex combattenti e, in fase successiva, con strutture di consulenza paramilitare come il gruppo Paladin, è documentata a Livello B, mentre le versioni massimaliste che ne fanno il regista di un’unica internazionale nera restano a Livello C. La rete iberica illustra un pattern che ricorrerà: la saldatura tra un retroterra economico, una copertura ideologica e una capacità operativa di sicurezza.</w:t>
      </w:r>
    </w:p>
    <w:p>
      <w:pPr>
        <w:spacing w:after="120" w:line="276"/>
        <w:jc w:val="both"/>
      </w:pPr>
      <w:r>
        <w:rPr>
          <w:rFonts w:ascii="Barlow Semi Condensed" w:cs="Barlow Semi Condensed" w:eastAsia="Barlow Semi Condensed" w:hAnsi="Barlow Semi Condensed"/>
          <w:sz w:val="24"/>
          <w:szCs w:val="24"/>
        </w:rPr>
        <w:t xml:space="preserve">1.3 — Il ponte italiano: il neofascismo in fuga</w:t>
      </w:r>
    </w:p>
    <w:p>
      <w:pPr>
        <w:spacing w:after="120" w:line="276"/>
        <w:jc w:val="both"/>
      </w:pPr>
      <w:r>
        <w:rPr>
          <w:rFonts w:ascii="Barlow Semi Condensed" w:cs="Barlow Semi Condensed" w:eastAsia="Barlow Semi Condensed" w:hAnsi="Barlow Semi Condensed"/>
          <w:sz w:val="24"/>
          <w:szCs w:val="24"/>
        </w:rPr>
        <w:t xml:space="preserve">Il neofascismo italiano costituisce il ponte che collega l’eredità europea alla sua proiezione sudamericana. Dopo la stagione della cosiddetta strategia della tensione e sotto la pressione delle inchieste, alcuni esponenti dell’eversione di destra lasciano l’Italia e trovano impiego e protezione oltreoceano. La figura emblematica è Stefano Delle Chiaie, fondatore di Avanguardia Nazionale, la cui traiettoria attraverso Spagna, Cile, Bolivia e altri Paesi del continente è documentata a Livello A dalle risultanze giudiziarie e archivistiche. Analoga la parabola di altri militanti di area — tra cui Elio Massagrande — che si inseriscono nei circuiti di sicurezza dei regimi. La rilevanza di questo ponte non è quantitativa ma funzionale: esso trasferisce una competenza specifica, quella della violenza politica organizzata, dal contesto europeo a quello dei regimi del Cono Sur, dove essa viene messa al servizio della repressione interna e transnazionale.</w:t>
      </w:r>
    </w:p>
    <w:p>
      <w:pPr>
        <w:spacing w:after="120" w:line="276"/>
        <w:jc w:val="both"/>
      </w:pPr>
      <w:r>
        <w:rPr>
          <w:rFonts w:ascii="Barlow Semi Condensed" w:cs="Barlow Semi Condensed" w:eastAsia="Barlow Semi Condensed" w:hAnsi="Barlow Semi Condensed"/>
          <w:sz w:val="24"/>
          <w:szCs w:val="24"/>
        </w:rPr>
        <w:t xml:space="preserve">1.4 — La P2 come camera di compensazione: fatto, gradazione, falsi positivi</w:t>
      </w:r>
    </w:p>
    <w:p>
      <w:pPr>
        <w:spacing w:after="120" w:line="276"/>
        <w:jc w:val="both"/>
      </w:pPr>
      <w:r>
        <w:rPr>
          <w:rFonts w:ascii="Barlow Semi Condensed" w:cs="Barlow Semi Condensed" w:eastAsia="Barlow Semi Condensed" w:hAnsi="Barlow Semi Condensed"/>
          <w:sz w:val="24"/>
          <w:szCs w:val="24"/>
        </w:rPr>
        <w:t xml:space="preserve">La Loggia Propaganda 2 diretta da Licio Gelli è, nel corpus, il nodo italiano a più alta centralità di grado, poiché interseca simultaneamente politica, apparati, forze armate, finanza e informazione. La sua esistenza e la sua natura sono documentate a Livello A. Il 17 marzo 1981 la Guardia di Finanza, su mandato dei giudici milanesi Gherardo Colombo e Giuliano Turone che indagavano sul crac di Michele Sindona, rinvenne negli uffici di Gelli a Castiglion Fibocchi l’elenco dei circa 962 iscritti, reso pubblico dalla Presidenza del Consiglio il 21 maggio 1981. La Commissione parlamentare d’inchiesta presieduta da Tina Anselmi, nella relazione del 12 luglio 1984, giudicò le liste «autentiche» e «attendibili» sotto il profilo sia formale sia sostanziale, sulla base di riscontri contabili puntuali per centinaia di nominativi.</w:t>
      </w:r>
    </w:p>
    <w:p>
      <w:pPr>
        <w:spacing w:after="120" w:line="276"/>
        <w:jc w:val="both"/>
      </w:pPr>
      <w:r>
        <w:rPr>
          <w:rFonts w:ascii="Barlow Semi Condensed" w:cs="Barlow Semi Condensed" w:eastAsia="Barlow Semi Condensed" w:hAnsi="Barlow Semi Condensed"/>
          <w:sz w:val="24"/>
          <w:szCs w:val="24"/>
        </w:rPr>
        <w:t xml:space="preserve">Proprio la P2 impone però la disciplina più severa sui falsi positivi, ed è per questo un modello per l’intero registro. La stessa documentazione avverte che la presenza di un nominativo nell’elenco non equivale all’acclarata appartenenza alla loggia: diversi soggetti contestarono con successo la propria inclusione davanti alla magistratura. Va inoltre tenuta ferma la distinzione tra l’accertamento parlamentare, di natura storico-politica, e l’esito giudiziario, che non ravvisò la fattispecie della cospirazione politica nei termini prospettati dalla Commissione. Ne discende una regola operativa: l’appartenenza formale è certificabile a Livello A solo per i nominativi assistiti da riscontro documentale autonomo, mentre per gli altri va mantenuto un livello inferiore. La medesima cautela si applica alle presunte affiliazioni internazionali della loggia: la presenza tra gli iscritti di figure del regime argentino — è documentata la posizione di Emilio Massera — è distinta dalle attribuzioni per omonimia o per contiguità che non trovano riscontro nell’elenco, le quali vanno respinte come falsi positivi e non annoverate tra le prove.</w:t>
      </w:r>
    </w:p>
    <w:p>
      <w:pPr>
        <w:spacing w:after="120" w:line="276"/>
        <w:jc w:val="both"/>
      </w:pPr>
      <w:r>
        <w:rPr>
          <w:rFonts w:ascii="Barlow Semi Condensed" w:cs="Barlow Semi Condensed" w:eastAsia="Barlow Semi Condensed" w:hAnsi="Barlow Semi Condensed"/>
          <w:sz w:val="24"/>
          <w:szCs w:val="24"/>
        </w:rPr>
        <w:t xml:space="preserve">1.5 — Operazione Condor e la WACL: il terrore coordinato</w:t>
      </w:r>
    </w:p>
    <w:p>
      <w:pPr>
        <w:spacing w:after="120" w:line="276"/>
        <w:jc w:val="both"/>
      </w:pPr>
      <w:r>
        <w:rPr>
          <w:rFonts w:ascii="Barlow Semi Condensed" w:cs="Barlow Semi Condensed" w:eastAsia="Barlow Semi Condensed" w:hAnsi="Barlow Semi Condensed"/>
          <w:sz w:val="24"/>
          <w:szCs w:val="24"/>
        </w:rPr>
        <w:t xml:space="preserve">L’Operazione Condor è il sistema di coordinamento delle polizie segrete del Cono Sur per l’identificazione, la cattura e l’eliminazione degli oppositori di sinistra. La sua formalizzazione è documentata a Livello A: fu istituita nella riunione tenutasi a Santiago del Cile tra il 25 novembre e il 1º dicembre 1975, convocata dal direttore della DINA cilena Manuel Contreras, con la partecipazione dei servizi di Cile, Argentina, Bolivia, Paraguay e Uruguay, cui si aggiunse in seguito il Brasile. La prova documentale prima e più solida è emersa dall’Archivo del Terror, rinvenuto in Paraguay il 22 dicembre 1992 dall’attivista Martín Almada, che conteneva l’invito di Contreras e l’atto conclusivo della riunione. Le azioni omicide extraterritoriali del sistema sono anch’esse accertate a Livello A: l’attentato di Washington del 21 settembre 1976 contro l’ex ministro cileno Orlando Letelier, eseguito da Michael Townley con documenti paraguaiani falsi ottenuti attraverso i protocolli di Condor, valse a Contreras una condanna.</w:t>
      </w:r>
    </w:p>
    <w:p>
      <w:pPr>
        <w:spacing w:after="120" w:line="276"/>
        <w:jc w:val="both"/>
      </w:pPr>
      <w:r>
        <w:rPr>
          <w:rFonts w:ascii="Barlow Semi Condensed" w:cs="Barlow Semi Condensed" w:eastAsia="Barlow Semi Condensed" w:hAnsi="Barlow Semi Condensed"/>
          <w:sz w:val="24"/>
          <w:szCs w:val="24"/>
        </w:rPr>
        <w:t xml:space="preserve">La saldatura tra Condor e il ponte italiano descritto sopra è documentata a Livello A e costituisce l’arco inter-dominio più significativo della Fase: l’attentato di Roma del 6 ottobre 1975 contro l’esule democristiano cileno Bernardo Leighton e la moglie fu eseguito da Stefano Delle Chiaie per conto della DINA. Attorno a questo nucleo operativo gravita la dimensione ideologica e associativa della World Anti-Communist League, che federava a livello globale l’anticomunismo militante, e la rete di mutuo soccorso tra reduci tedeschi attiva in Sud America attorno a figure come Hans-Ulrich Rudel, la cui protezione a favore di latitanti come Mengele è documentata. La collocazione di questa intera architettura è inequivoca sul piano geopolitico e va sottolineata per il vaglio delle ipotesi: Condor era una rete anticomunista, ostile all’Unione Sovietica, e beneficiò di forme di sostegno da parte statunitense documentate negli archivi. L’Unione Sovietica ne era l’avversario, non il partner.</w:t>
      </w:r>
    </w:p>
    <w:p>
      <w:pPr>
        <w:spacing w:after="120" w:line="276"/>
        <w:jc w:val="both"/>
      </w:pPr>
      <w:r>
        <w:rPr>
          <w:rFonts w:ascii="Barlow Semi Condensed" w:cs="Barlow Semi Condensed" w:eastAsia="Barlow Semi Condensed" w:hAnsi="Barlow Semi Condensed"/>
          <w:sz w:val="24"/>
          <w:szCs w:val="24"/>
        </w:rPr>
        <w:t xml:space="preserve">1.6 — L’asse dei paria: apartheid, armi ed elusione dell’embargo</w:t>
      </w:r>
    </w:p>
    <w:p>
      <w:pPr>
        <w:spacing w:after="120" w:line="276"/>
        <w:jc w:val="both"/>
      </w:pPr>
      <w:r>
        <w:rPr>
          <w:rFonts w:ascii="Barlow Semi Condensed" w:cs="Barlow Semi Condensed" w:eastAsia="Barlow Semi Condensed" w:hAnsi="Barlow Semi Condensed"/>
          <w:sz w:val="24"/>
          <w:szCs w:val="24"/>
        </w:rPr>
        <w:t xml:space="preserve">L’ultimo segmento spaziale della Formazione Alfa è l’Africa australe. La documentazione ricostruisce l’esistenza di un asse tra i regimi isolati dalla comunità internazionale — il Sudafrica dell’apartheid, il Paraguay di Alfredo Stroessner, il Cile di Pinochet, altri — fondato sulla comune condizione di Stati paria e sull’elusione degli embarghi. Sul piano militare, la cooperazione del Sudafrica con fornitori e mediatori per aggirare l’embargo sulle armi, attraverso l’agenzia statale Armscor e una rete di intermediari, è documentata a Livello B. Il valore di questo segmento per l’analisi è che esso mostra il pattern del transito applicato su scala intercontinentale: competenze e materiali circolano lungo una catena di regimi accomunati non da un’ideologia positiva unica, ma dalla necessità di sottrarsi alle sanzioni. Anche qui la polarità geopolitica è coerente con il resto della Formazione Alfa: si tratta di un allineamento nel campo anticomunista, non di un ponte verso il blocco orientale.</w:t>
      </w:r>
    </w:p>
    <w:p>
      <w:pPr>
        <w:spacing w:after="120" w:line="276"/>
        <w:jc w:val="both"/>
      </w:pPr>
      <w:r>
        <w:rPr>
          <w:rFonts w:ascii="Barlow Semi Condensed" w:cs="Barlow Semi Condensed" w:eastAsia="Barlow Semi Condensed" w:hAnsi="Barlow Semi Condensed"/>
          <w:sz w:val="24"/>
          <w:szCs w:val="24"/>
        </w:rPr>
        <w:t xml:space="preserve">1.7 — Il codice unificante di Alfa e la sua collocazione geopolitica</w:t>
      </w:r>
    </w:p>
    <w:p>
      <w:pPr>
        <w:spacing w:after="120" w:line="276"/>
        <w:jc w:val="both"/>
      </w:pPr>
      <w:r>
        <w:rPr>
          <w:rFonts w:ascii="Barlow Semi Condensed" w:cs="Barlow Semi Condensed" w:eastAsia="Barlow Semi Condensed" w:hAnsi="Barlow Semi Condensed"/>
          <w:sz w:val="24"/>
          <w:szCs w:val="24"/>
        </w:rPr>
        <w:t xml:space="preserve">Ricostruita la Formazione Alfa nei suoi segmenti, se ne può enunciare il codice unificante senza forzature. Ciò che tiene insieme la diaspora nazista, l’hub iberico, il ponte neofascista italiano, la P2, Condor e l’asse dei paria non è un’organizzazione unitaria — l’ipotesi centralistica resta a Livello C — ma una funzione condivisa: la reazione controrivoluzionaria, il contenimento e la repressione della sinistra, dentro e fuori i confini nazionali. Questa è la constatazione decisiva per il vaglio delle ipotesi. In tutti i suoi segmenti documentati, la Formazione Alfa si colloca nel campo anticomunista e in posizione avversa all’Unione Sovietica; dove è documentato un sostegno esterno di grande potenza, esso proviene dal campo occidentale. Ne segue che la Formazione Alfa, presa per ciò che il corpus effettivamente documenta, non offre alcun riscontro alla tesi di un condominio operativo tra Stati Uniti e Unione Sovietica: essa testimonia semmai un’internazionale anticomunista allineata a Occidente. Questo esito sarà pesato nella Fase IV.</w:t>
      </w:r>
    </w:p>
    <w:p>
      <w:pPr>
        <w:pStyle w:val="Heading3"/>
        <w:spacing w:after="80" w:before="160"/>
      </w:pPr>
      <w:r>
        <w:rPr>
          <w:rFonts w:ascii="Barlow Semi Condensed" w:cs="Barlow Semi Condensed" w:eastAsia="Barlow Semi Condensed" w:hAnsi="Barlow Semi Condensed"/>
          <w:sz w:val="24"/>
          <w:szCs w:val="24"/>
        </w:rPr>
        <w:t xml:space="preserve">FASE II — FORMAZIONE BETA: L’OPERAZIONE DI INFLUENZA RUSSA CONTEMPORANEA (2010–2026)</w:t>
      </w:r>
    </w:p>
    <w:p>
      <w:pPr>
        <w:spacing w:after="120" w:line="276"/>
        <w:jc w:val="both"/>
      </w:pPr>
      <w:r>
        <w:rPr>
          <w:rFonts w:ascii="Barlow Semi Condensed" w:cs="Barlow Semi Condensed" w:eastAsia="Barlow Semi Condensed" w:hAnsi="Barlow Semi Condensed"/>
          <w:sz w:val="24"/>
          <w:szCs w:val="24"/>
        </w:rPr>
        <w:t xml:space="preserve">La seconda formazione si dispone lungo un asse temporale che muove dagli anni Dieci del nuovo secolo e conosce due accelerazioni, nel 2014 e nel 2022, e lungo un asse spaziale che da un centro russo si irradia verso l’Europa orientale, poi verso quella occidentale e infine verso il Sud globale. A differenza della Formazione Alfa, i cui protagonisti sono in larga parte defunti e i cui fatti sono consolidati, la Formazione Beta è in corso: ciò impone un supplemento di cautela sulle persone viventi e un aggiornamento costante, poiché alcuni fatti si sono evoluti dopo la redazione dei documenti del corpus. Il codice unificante è, come il capitolo conclusivo argomenta, il sovranismo anti-europeo e anti-atlantico; la collocazione geopolitica vede la Russia come agente attivo e gli Stati Uniti come avversario sanzionatore.</w:t>
      </w:r>
    </w:p>
    <w:p>
      <w:pPr>
        <w:spacing w:after="120" w:line="276"/>
        <w:jc w:val="both"/>
      </w:pPr>
      <w:r>
        <w:rPr>
          <w:rFonts w:ascii="Barlow Semi Condensed" w:cs="Barlow Semi Condensed" w:eastAsia="Barlow Semi Condensed" w:hAnsi="Barlow Semi Condensed"/>
          <w:sz w:val="24"/>
          <w:szCs w:val="24"/>
        </w:rPr>
        <w:t xml:space="preserve">2.1 — L’architettura Shor: frode, fuga, riciclaggio, influenza</w:t>
      </w:r>
    </w:p>
    <w:p>
      <w:pPr>
        <w:spacing w:after="120" w:line="276"/>
        <w:jc w:val="both"/>
      </w:pPr>
      <w:r>
        <w:rPr>
          <w:rFonts w:ascii="Barlow Semi Condensed" w:cs="Barlow Semi Condensed" w:eastAsia="Barlow Semi Condensed" w:hAnsi="Barlow Semi Condensed"/>
          <w:sz w:val="24"/>
          <w:szCs w:val="24"/>
        </w:rPr>
        <w:t xml:space="preserve">Il primo pilastro della Formazione Beta è la rete che fa capo a Ilan Shor, oligarca moldavo di cittadinanza israeliana riparato a Mosca. Il suo nucleo è documentato a Livello A dalla convergenza di provvedimenti sanzionatori istituzionali, inchieste giornalistiche e analisi tecniche indipendenti. Shor fu designato dall’Ufficio per il controllo dei beni esteri del Tesoro statunitense nell’ottobre 2022, in forza dell’ordine esecutivo 14024, per interferenza elettorale a beneficio della Federazione Russa; fu condannato in contumacia nell’aprile 2023 a quindici anni per la frode bancaria da circa un miliardo di dollari ai danni del sistema moldavo; il suo partito fu messo al bando nel giugno 2023. L’Unione Europea ha progressivamente ampliato le misure restrittive contro di lui e la sua rete, con nuove designazioni nel luglio 2025 e nel giugno 2026. Trasferitosi in Russia, Shor ha costituito la fondazione Eurasia, i cui bilanci indicano una spesa dell’ordine delle centinaia di milioni di dollari in due anni per progetti mediatici, borse e programmi giovanili nello spazio post-sovietico; secondo inchieste giornalistiche, tra cui quelle di testate indipendenti russe in esilio, la fondazione sarebbe stata impiegata per l’acquisto di voti in Moldova.</w:t>
      </w:r>
    </w:p>
    <w:p>
      <w:pPr>
        <w:spacing w:after="120" w:line="276"/>
        <w:jc w:val="both"/>
      </w:pPr>
      <w:r>
        <w:rPr>
          <w:rFonts w:ascii="Barlow Semi Condensed" w:cs="Barlow Semi Condensed" w:eastAsia="Barlow Semi Condensed" w:hAnsi="Barlow Semi Condensed"/>
          <w:sz w:val="24"/>
          <w:szCs w:val="24"/>
        </w:rPr>
        <w:t xml:space="preserve">2.1.1 — La rete cripto: Garantex, Grinex, A7A5</w:t>
      </w:r>
    </w:p>
    <w:p>
      <w:pPr>
        <w:spacing w:after="120" w:line="276"/>
        <w:jc w:val="both"/>
      </w:pPr>
      <w:r>
        <w:rPr>
          <w:rFonts w:ascii="Barlow Semi Condensed" w:cs="Barlow Semi Condensed" w:eastAsia="Barlow Semi Condensed" w:hAnsi="Barlow Semi Condensed"/>
          <w:sz w:val="24"/>
          <w:szCs w:val="24"/>
        </w:rPr>
        <w:t xml:space="preserve">Il sottosistema finanziario della rete è certificato a Livello A da una convergenza particolarmente ricca di fonti eterogenee: i provvedimenti dell’Ufficio per il controllo dei beni esteri statunitense e dell’omologo britannico dell’agosto 2025, le misure dell’Unione Europea dell’ottobre 2025, e le analisi tecniche di più società di intelligence sulla blockchain. Il meccanismo ricostruito è il seguente: dopo la chiusura dell’exchange di criptovalute Garantex, i suoi gestori crearono la piattaforma successore Grinex e trasferirono i fondi della clientela; per ripristinare l’accesso fu impiegato il token A7A5, uno stablecoin ancorato al rublo emesso dalla società kirghisa Old Vector, garantito da depositi presso la banca statale russa Promsvyazbank e collegato alla piattaforma di regolamento transfrontaliero A7. Le analisi indipendenti hanno stimato in decine di miliardi di dollari il volume complessivo transitato attraverso questo strumento, individuandone la funzione di canale di elusione delle sanzioni. Il beneficiario ultimo della piattaforma A7 è indicato, da inchieste giornalistiche di primarie testate internazionali, in Ilan Shor: questo specifico collegamento è certificato a Livello A per la sua convergenza documentale.</w:t>
      </w:r>
    </w:p>
    <w:p>
      <w:pPr>
        <w:spacing w:after="120" w:line="276"/>
        <w:jc w:val="both"/>
      </w:pPr>
      <w:r>
        <w:rPr>
          <w:rFonts w:ascii="Barlow Semi Condensed" w:cs="Barlow Semi Condensed" w:eastAsia="Barlow Semi Condensed" w:hAnsi="Barlow Semi Condensed"/>
          <w:sz w:val="24"/>
          <w:szCs w:val="24"/>
        </w:rPr>
        <w:t xml:space="preserve">2.1.2 — I falsi osservatori elettorali e il caso Petrocelli</w:t>
      </w:r>
    </w:p>
    <w:p>
      <w:pPr>
        <w:spacing w:after="120" w:line="276"/>
        <w:jc w:val="both"/>
      </w:pPr>
      <w:r>
        <w:rPr>
          <w:rFonts w:ascii="Barlow Semi Condensed" w:cs="Barlow Semi Condensed" w:eastAsia="Barlow Semi Condensed" w:hAnsi="Barlow Semi Condensed"/>
          <w:sz w:val="24"/>
          <w:szCs w:val="24"/>
        </w:rPr>
        <w:t xml:space="preserve">Il secondo strumento della rete è la fabbricazione di legittimità elettorale attraverso finte missioni di osservazione, condotte da soggetti privi di mandato internazionale che presenziano a consultazioni in regimi allineati per certificarne pubblicamente la regolarità. La caratterizzazione di questo dispositivo come rete organizzata è tesi documentata da organizzazioni specializzate nel monitoraggio elettorale, tra cui la rete European Platform for Democratic Elections, e come tale è attribuita alla fonte e certificata a Livello B. All’interno di questo quadro il corpus nomina l’ex senatore italiano Vito Petrocelli. Su di lui il registro riporta esclusivamente fatti pubblici e documentati: fu oggetto di procedura di espulsione dal Movimento 5 Stelle nel 2022 in ragione del voto contrario agli aiuti militari all’Ucraina; presiede l’Istituto Italia-BRICS; ha preso parte a delegazioni di osservatori internazionali in occasione delle elezioni presidenziali russa del 2024 e bielorussa del 2025, circostanza confermata dalla biografia ufficiale del suo stesso istituto. La qualificazione della sua partecipazione come inserimento in una rete di influenza etero-diretta è tesi di terzi, attribuita alla fonte, e non un accertamento giudiziario: il registro la mantiene distinta dai fatti pubblici sopra riportati e non compie alcun salto inferenziale tra i due piani.</w:t>
      </w:r>
    </w:p>
    <w:p>
      <w:pPr>
        <w:spacing w:after="120" w:line="276"/>
        <w:jc w:val="both"/>
      </w:pPr>
      <w:r>
        <w:rPr>
          <w:rFonts w:ascii="Barlow Semi Condensed" w:cs="Barlow Semi Condensed" w:eastAsia="Barlow Semi Condensed" w:hAnsi="Barlow Semi Condensed"/>
          <w:sz w:val="24"/>
          <w:szCs w:val="24"/>
        </w:rPr>
        <w:t xml:space="preserve">2.1.3 — Clero, automazione, intelligenza artificiale: la guerra cognitiva</w:t>
      </w:r>
    </w:p>
    <w:p>
      <w:pPr>
        <w:spacing w:after="120" w:line="276"/>
        <w:jc w:val="both"/>
      </w:pPr>
      <w:r>
        <w:rPr>
          <w:rFonts w:ascii="Barlow Semi Condensed" w:cs="Barlow Semi Condensed" w:eastAsia="Barlow Semi Condensed" w:hAnsi="Barlow Semi Condensed"/>
          <w:sz w:val="24"/>
          <w:szCs w:val="24"/>
        </w:rPr>
        <w:t xml:space="preserve">Il terzo strumento è la manipolazione dell’ambiente informativo, che il corpus descrive attraverso l’uso di reti di account automatizzati, la produzione di contenuti sintetici e, in alcuni contesti, la strumentalizzazione di figure religiose come moltiplicatori di consenso. Questo strumento, per sua natura diffuso e di difficile documentazione puntuale, è certificato prevalentemente a Livello B quando poggia su rapporti circostanziati di organismi di monitoraggio, e a Livello C dove si basa su indizi non ancora consolidati. La sua rilevanza analitica sta nel fatto che esso agisce sul piano dell’osservazione, nel senso sistemico dell’opera: non modifica direttamente le operazioni di un dominio, ma altera la percezione che l’opinione pubblica ha di esse, abbassando la soglia di porosità tra i domini in periodi di crisi.</w:t>
      </w:r>
    </w:p>
    <w:p>
      <w:pPr>
        <w:spacing w:after="120" w:line="276"/>
        <w:jc w:val="both"/>
      </w:pPr>
      <w:r>
        <w:rPr>
          <w:rFonts w:ascii="Barlow Semi Condensed" w:cs="Barlow Semi Condensed" w:eastAsia="Barlow Semi Condensed" w:hAnsi="Barlow Semi Condensed"/>
          <w:sz w:val="24"/>
          <w:szCs w:val="24"/>
        </w:rPr>
        <w:t xml:space="preserve">2.2 — La diplomazia partitica di Russia Unita e Zheleznyak</w:t>
      </w:r>
    </w:p>
    <w:p>
      <w:pPr>
        <w:spacing w:after="120" w:line="276"/>
        <w:jc w:val="both"/>
      </w:pPr>
      <w:r>
        <w:rPr>
          <w:rFonts w:ascii="Barlow Semi Condensed" w:cs="Barlow Semi Condensed" w:eastAsia="Barlow Semi Condensed" w:hAnsi="Barlow Semi Condensed"/>
          <w:sz w:val="24"/>
          <w:szCs w:val="24"/>
        </w:rPr>
        <w:t xml:space="preserve">Il secondo pilastro della Formazione Beta è la costruzione, da parte del partito Russia Unita, di una rete di relazioni bilaterali formalizzate con partiti stranieri, coordinata per il tramite di figure come Sergej Zheleznyak. L’esistenza di questa rete di accordi di cooperazione tra partiti è documentata; il numero complessivo, dell’ordine delle decine, è riferito dalle fonti del corpus e va tenuto a Livello B in attesa di riscontro esaustivo dei singoli strumenti. Ciò che è invece certificato a Livello A è lo strumento italiano, che funge da modello dell’intero dispositivo.</w:t>
      </w:r>
    </w:p>
    <w:p>
      <w:pPr>
        <w:spacing w:after="120" w:line="276"/>
        <w:jc w:val="both"/>
      </w:pPr>
      <w:r>
        <w:rPr>
          <w:rFonts w:ascii="Barlow Semi Condensed" w:cs="Barlow Semi Condensed" w:eastAsia="Barlow Semi Condensed" w:hAnsi="Barlow Semi Condensed"/>
          <w:sz w:val="24"/>
          <w:szCs w:val="24"/>
        </w:rPr>
        <w:t xml:space="preserve">2.2.1 — L’architettura legale dell’accordo: il modello Lega</w:t>
      </w:r>
    </w:p>
    <w:p>
      <w:pPr>
        <w:spacing w:after="120" w:line="276"/>
        <w:jc w:val="both"/>
      </w:pPr>
      <w:r>
        <w:rPr>
          <w:rFonts w:ascii="Barlow Semi Condensed" w:cs="Barlow Semi Condensed" w:eastAsia="Barlow Semi Condensed" w:hAnsi="Barlow Semi Condensed"/>
          <w:sz w:val="24"/>
          <w:szCs w:val="24"/>
        </w:rPr>
        <w:t xml:space="preserve">Il 6 marzo 2017 il segretario della Lega Matteo Salvini sottoscrisse a Mosca un accordo di cooperazione e collaborazione con Russia Unita, rappresentata da Sergej Zheleznyak. Il fatto è certificato a Livello A: il testo è pubblico ed è stato riportato da una pluralità di testate italiane e internazionali. L’accordo prevede consultazioni e scambio di informazioni su temi di attualità e relazioni internazionali, cooperazione tra organizzazioni giovanili e nei settori dell’economia e del commercio, e si fonda dichiaratamente su un partenariato definito paritario e confidenziale. Due elementi vanno registrati con precisione, perché delimitano ciò che il fatto autorizza a concludere. Il primo è la clausola finale, che qualifica l’accordo come non giuridicamente vincolante e come mera manifestazione di interesse. Il secondo è il meccanismo di durata: validità quinquennale con proroga automatica salvo disdetta, sicché in assenza di recesso lo strumento è stato tacitamente rinnovato nel 2022 con scadenza al 2027. La registrazione del fatto e delle sue clausole è cosa distinta dalla sua interpretazione: il registro certifica l’esistenza, il contenuto e la vigenza dell’accordo, e si astiene dall’inferire da esso una subordinazione operativa, che il documento non prova.</w:t>
      </w:r>
    </w:p>
    <w:p>
      <w:pPr>
        <w:spacing w:after="120" w:line="276"/>
        <w:jc w:val="both"/>
      </w:pPr>
      <w:r>
        <w:rPr>
          <w:rFonts w:ascii="Barlow Semi Condensed" w:cs="Barlow Semi Condensed" w:eastAsia="Barlow Semi Condensed" w:hAnsi="Barlow Semi Condensed"/>
          <w:sz w:val="24"/>
          <w:szCs w:val="24"/>
        </w:rPr>
        <w:t xml:space="preserve">2.2.2 — Europa occidentale e i contatti del Movimento 5 Stelle</w:t>
      </w:r>
    </w:p>
    <w:p>
      <w:pPr>
        <w:spacing w:after="120" w:line="276"/>
        <w:jc w:val="both"/>
      </w:pPr>
      <w:r>
        <w:rPr>
          <w:rFonts w:ascii="Barlow Semi Condensed" w:cs="Barlow Semi Condensed" w:eastAsia="Barlow Semi Condensed" w:hAnsi="Barlow Semi Condensed"/>
          <w:sz w:val="24"/>
          <w:szCs w:val="24"/>
        </w:rPr>
        <w:t xml:space="preserve">Sul versante dell’Europa occidentale, oltre allo strumento italiano, il corpus registra rapporti privilegiati con il Partito della Libertà austriaco, che aveva a sua volta formalizzato un’intesa con Russia Unita, e una diffusa contiguità di posizioni con formazioni sovraniste in Francia, nei Paesi Bassi e altrove. Il corpus riferisce inoltre di contatti e di prossimità programmatica con settori del Movimento 5 Stelle su temi di politica estera. Su quest’ultimo punto è necessaria la massima cautela: la prossimità di posizioni pubbliche su singoli dossier è un fatto osservabile, ma non equivale a un accordo formale né a una direzione etero-diretta, e va perciò tenuta a Livello C, come indizio circostanziale, senza alcuna promozione a prova di collusione.</w:t>
      </w:r>
    </w:p>
    <w:p>
      <w:pPr>
        <w:spacing w:after="120" w:line="276"/>
        <w:jc w:val="both"/>
      </w:pPr>
      <w:r>
        <w:rPr>
          <w:rFonts w:ascii="Barlow Semi Condensed" w:cs="Barlow Semi Condensed" w:eastAsia="Barlow Semi Condensed" w:hAnsi="Barlow Semi Condensed"/>
          <w:sz w:val="24"/>
          <w:szCs w:val="24"/>
        </w:rPr>
        <w:t xml:space="preserve">2.2.3 — Balcani, spazio post-sovietico e Sud globale</w:t>
      </w:r>
    </w:p>
    <w:p>
      <w:pPr>
        <w:spacing w:after="120" w:line="276"/>
        <w:jc w:val="both"/>
      </w:pPr>
      <w:r>
        <w:rPr>
          <w:rFonts w:ascii="Barlow Semi Condensed" w:cs="Barlow Semi Condensed" w:eastAsia="Barlow Semi Condensed" w:hAnsi="Barlow Semi Condensed"/>
          <w:sz w:val="24"/>
          <w:szCs w:val="24"/>
        </w:rPr>
        <w:t xml:space="preserve">La proiezione della rete partitica verso i Balcani è documentata a Livello B attraverso i rapporti con il Partito Progressista Serbo e con la leadership della Republika Srpska, in particolare Milorad Dodik, e con formazioni in Montenegro. Verso lo spazio post-sovietico la rete si salda con l’architettura Shor descritta nella sezione precedente, condividendone gli obiettivi di destabilizzazione degli Stati candidati all’adesione europea. Verso il Sud globale, infine, il corpus registra la persistenza di relazioni storiche con movimenti di liberazione divenuti partiti di governo — tra cui il Congresso Nazionale Africano e formazioni analoghe in Africa australe — eredità in parte risalente all’epoca sovietica e riattivata in chiave contemporanea. Questa proiezione meridionale, tenuta a Livello B, è rilevante perché mostra la continuità di un capitale relazionale di lunga durata, distinto per origine dalla Formazione Alfa ma parzialmente sovrapposto per teatro geografico.</w:t>
      </w:r>
    </w:p>
    <w:p>
      <w:pPr>
        <w:spacing w:after="120" w:line="276"/>
        <w:jc w:val="both"/>
      </w:pPr>
      <w:r>
        <w:rPr>
          <w:rFonts w:ascii="Barlow Semi Condensed" w:cs="Barlow Semi Condensed" w:eastAsia="Barlow Semi Condensed" w:hAnsi="Barlow Semi Condensed"/>
          <w:sz w:val="24"/>
          <w:szCs w:val="24"/>
        </w:rPr>
        <w:t xml:space="preserve">2.3 — Il caso Balan: dallo spionaggio alla condanna</w:t>
      </w:r>
    </w:p>
    <w:p>
      <w:pPr>
        <w:spacing w:after="120" w:line="276"/>
        <w:jc w:val="both"/>
      </w:pPr>
      <w:r>
        <w:rPr>
          <w:rFonts w:ascii="Barlow Semi Condensed" w:cs="Barlow Semi Condensed" w:eastAsia="Barlow Semi Condensed" w:hAnsi="Barlow Semi Condensed"/>
          <w:sz w:val="24"/>
          <w:szCs w:val="24"/>
        </w:rPr>
        <w:t xml:space="preserve">Il corpus registra, tra gli episodi della Formazione Beta, l’arresto dell’ex vicedirettore del Servizio di Informazione e Sicurezza della Moldova, Alexandru Balan. La verifica indipendente conferma il fatto a Livello A e lo aggiorna oltre la redazione del documento. Balan fu fermato in Romania, a Timișoara, nel settembre 2025, nell’ambito di un’operazione congiunta dei servizi di Romania, Ungheria e Repubblica Ceca coordinata da Eurojust, con l’accusa di tradimento per aver trasmesso segreti di Stato a ufficiali del Comitato per la sicurezza dello Stato della Bielorussia in incontri tenuti a Budapest tra il 2024 e il 2025. Successivamente alla stesura del documento, il caso si è evoluto: Balan è stato condannato nell’aprile 2026 a diciotto mesi di reclusione, è stato consegnato alla Bielorussia nell’ambito di uno scambio di prigionieri e nel giugno 2026 è stato privato della cittadinanza moldava. Su questo episodio il registro impone una precisazione dettata dalla Regola Ferrea: il caso è documentato come spionaggio a favore dell’intelligence bielorussa; il suo inserimento diretto nella rete personale di Ilan Shor è un’associazione tematica — entrambi i vettori operano nel medesimo teatro moldavo e nel medesimo campo — non un nesso operativo provato tra i due, e va perciò mantenuto a Livello C.</w:t>
      </w:r>
    </w:p>
    <w:p>
      <w:pPr>
        <w:spacing w:after="120" w:line="276"/>
        <w:jc w:val="both"/>
      </w:pPr>
      <w:r>
        <w:rPr>
          <w:rFonts w:ascii="Barlow Semi Condensed" w:cs="Barlow Semi Condensed" w:eastAsia="Barlow Semi Condensed" w:hAnsi="Barlow Semi Condensed"/>
          <w:sz w:val="24"/>
          <w:szCs w:val="24"/>
        </w:rPr>
        <w:t xml:space="preserve">2.4 — Distinguere i vettori: russo e cinese, il caso Creyelman</w:t>
      </w:r>
    </w:p>
    <w:p>
      <w:pPr>
        <w:spacing w:after="120" w:line="276"/>
        <w:jc w:val="both"/>
      </w:pPr>
      <w:r>
        <w:rPr>
          <w:rFonts w:ascii="Barlow Semi Condensed" w:cs="Barlow Semi Condensed" w:eastAsia="Barlow Semi Condensed" w:hAnsi="Barlow Semi Condensed"/>
          <w:sz w:val="24"/>
          <w:szCs w:val="24"/>
        </w:rPr>
        <w:t xml:space="preserve">Un errore metodologico da evitare è la fusione di vettori d’influenza distinti in un unico indistinto blocco autoritario. Il corpus offre il caso che impone la distinzione. L’ex senatore belga Frank Creyelman, esponente del Vlaams Belang, fu espulso dal partito nel dicembre 2023 a seguito di un’inchiesta congiunta di primarie testate internazionali secondo cui sarebbe stato utilizzato per circa tre anni come informatore da un ufficiale del Ministero della Sicurezza dello Stato della Repubblica Popolare Cinese. Il fatto dell’espulsione è certificato a Livello A; la caratterizzazione come agente è tesi dell’inchiesta giornalistica, attribuita alla fonte e non accertata in giudizio, e come tale è tenuta a Livello B. Il punto metodologico è che questo è un caso di influenza cinese, non russa: assimilarlo alla rete Shor o a Russia Unita sarebbe una contaminazione delle fonti. Il registro tiene perciò separati i due vettori, e ne registra semmai la convergenza di effetto — l’obiettivo dichiarato, negli scambi documentati, di dividere le relazioni tra Stati Uniti ed Europa — come dato di analisi, non come prova di un comando unico.</w:t>
      </w:r>
    </w:p>
    <w:p>
      <w:pPr>
        <w:spacing w:after="120" w:line="276"/>
        <w:jc w:val="both"/>
      </w:pPr>
      <w:r>
        <w:rPr>
          <w:rFonts w:ascii="Barlow Semi Condensed" w:cs="Barlow Semi Condensed" w:eastAsia="Barlow Semi Condensed" w:hAnsi="Barlow Semi Condensed"/>
          <w:sz w:val="24"/>
          <w:szCs w:val="24"/>
        </w:rPr>
        <w:t xml:space="preserve">2.5 — Il codice unificante di Beta e la sua collocazione geopolitica</w:t>
      </w:r>
    </w:p>
    <w:p>
      <w:pPr>
        <w:spacing w:after="120" w:line="276"/>
        <w:jc w:val="both"/>
      </w:pPr>
      <w:r>
        <w:rPr>
          <w:rFonts w:ascii="Barlow Semi Condensed" w:cs="Barlow Semi Condensed" w:eastAsia="Barlow Semi Condensed" w:hAnsi="Barlow Semi Condensed"/>
          <w:sz w:val="24"/>
          <w:szCs w:val="24"/>
        </w:rPr>
        <w:t xml:space="preserve">Il codice che tiene insieme la Formazione Beta è il sovranismo anti-europeo e anti-atlantico, declinato come difesa dei valori tradizionali e ostilità all’ordine liberale. La sua collocazione geopolitica è speculare a quella della Formazione Alfa e va enunciata con la stessa nettezza, perché è decisiva per il vaglio delle ipotesi. Nella Formazione Beta la Federazione Russa è l’agente attivo che promuove la destabilizzazione, mentre gli Stati Uniti e l’Unione Europea sono gli avversari che vi si oppongono con l’arma sanzionatoria. In entrambe le formazioni, dunque — l’anticomunista atlantica e l’eurasiatista contemporanea — Stati Uniti e Russia si trovano su fronti opposti. Questa constatazione, che discende direttamente da ciò che il corpus documenta, è l’evidenza diagnostica centrale che la Fase IV oppone alla tesi del condominio.</w:t>
      </w:r>
    </w:p>
    <w:p>
      <w:pPr>
        <w:pStyle w:val="Heading3"/>
        <w:spacing w:after="80" w:before="160"/>
      </w:pPr>
      <w:r>
        <w:rPr>
          <w:rFonts w:ascii="Barlow Semi Condensed" w:cs="Barlow Semi Condensed" w:eastAsia="Barlow Semi Condensed" w:hAnsi="Barlow Semi Condensed"/>
          <w:sz w:val="24"/>
          <w:szCs w:val="24"/>
        </w:rPr>
        <w:t xml:space="preserve">FASE III — IL CONTENITORE EUROPEO E L’ANALISI COMPARATA</w:t>
      </w:r>
    </w:p>
    <w:p>
      <w:pPr>
        <w:spacing w:after="120" w:line="276"/>
        <w:jc w:val="both"/>
      </w:pPr>
      <w:r>
        <w:rPr>
          <w:rFonts w:ascii="Barlow Semi Condensed" w:cs="Barlow Semi Condensed" w:eastAsia="Barlow Semi Condensed" w:hAnsi="Barlow Semi Condensed"/>
          <w:sz w:val="24"/>
          <w:szCs w:val="24"/>
        </w:rPr>
        <w:t xml:space="preserve">3.1 — La destra radicale come contenitore ricorsivo</w:t>
      </w:r>
    </w:p>
    <w:p>
      <w:pPr>
        <w:spacing w:after="120" w:line="276"/>
        <w:jc w:val="both"/>
      </w:pPr>
      <w:r>
        <w:rPr>
          <w:rFonts w:ascii="Barlow Semi Condensed" w:cs="Barlow Semi Condensed" w:eastAsia="Barlow Semi Condensed" w:hAnsi="Barlow Semi Condensed"/>
          <w:sz w:val="24"/>
          <w:szCs w:val="24"/>
        </w:rPr>
        <w:t xml:space="preserve">Messe a confronto le due formazioni, emerge un elemento che le attraversa entrambe: la destra radicale europea. Nella cornice sistemica dell’opera essa va intesa come un contenitore, ossia un ambiente occupabile che diversi attori possono investire per i propri fini, e non come uno strumento orchestrato da un unico regista. La stessa famiglia ideologica che nel dopoguerra costituì il retroterra della Formazione Alfa — nazionalista, anti-liberale, ostile alla sinistra — è il bersaglio privilegiato del reclutamento della Formazione Beta. Ma il contenitore è ricorsivo: chi lo occupa in un’epoca può a sua volta essere occupato in un’altra. Questa è la chiave interpretativa che consente di descrivere la relazione tra le due formazioni senza cadere nell’ipotesi indebita di una loro identità o di una loro continuità di comando.</w:t>
      </w:r>
    </w:p>
    <w:p>
      <w:pPr>
        <w:spacing w:after="120" w:line="276"/>
        <w:jc w:val="both"/>
      </w:pPr>
      <w:r>
        <w:rPr>
          <w:rFonts w:ascii="Barlow Semi Condensed" w:cs="Barlow Semi Condensed" w:eastAsia="Barlow Semi Condensed" w:hAnsi="Barlow Semi Condensed"/>
          <w:sz w:val="24"/>
          <w:szCs w:val="24"/>
        </w:rPr>
        <w:t xml:space="preserve">3.2 — Nodi che ricorrono nei due dossier contemporanei</w:t>
      </w:r>
    </w:p>
    <w:p>
      <w:pPr>
        <w:spacing w:after="120" w:line="276"/>
        <w:jc w:val="both"/>
      </w:pPr>
      <w:r>
        <w:rPr>
          <w:rFonts w:ascii="Barlow Semi Condensed" w:cs="Barlow Semi Condensed" w:eastAsia="Barlow Semi Condensed" w:hAnsi="Barlow Semi Condensed"/>
          <w:sz w:val="24"/>
          <w:szCs w:val="24"/>
        </w:rPr>
        <w:t xml:space="preserve">All’interno della sola Formazione Beta, il confronto tra i due dossier contemporanei del corpus — quello sulla rete Shor e quello sulla diplomazia partitica di Russia Unita — individua alcuni nodi che ricorrono in entrambi, e che sono perciò certificabili a Livello B come punti di effettiva sovrapposizione: la formazione bulgara Vazrazhdane, il Partito della Libertà austriaco, la leadership della Republika Srpska nella persona di Milorad Dodik. La ricorrenza di questi nodi in dossier costruiti da fonti diverse è un riscontro di convergenza, non una prova di coordinamento centralizzato: indica che tali attori sono punti di contatto ad alta betweenness tra i due sotto-sistemi della Formazione Beta, ma non autorizza a concludere che ricevano istruzioni da un unico centro.</w:t>
      </w:r>
    </w:p>
    <w:p>
      <w:pPr>
        <w:spacing w:after="120" w:line="276"/>
        <w:jc w:val="both"/>
      </w:pPr>
      <w:r>
        <w:rPr>
          <w:rFonts w:ascii="Barlow Semi Condensed" w:cs="Barlow Semi Condensed" w:eastAsia="Barlow Semi Condensed" w:hAnsi="Barlow Semi Condensed"/>
          <w:sz w:val="24"/>
          <w:szCs w:val="24"/>
        </w:rPr>
        <w:t xml:space="preserve">3.3 — Isomorfismo strutturale a polarità invertita</w:t>
      </w:r>
    </w:p>
    <w:p>
      <w:pPr>
        <w:spacing w:after="120" w:line="276"/>
        <w:jc w:val="both"/>
      </w:pPr>
      <w:r>
        <w:rPr>
          <w:rFonts w:ascii="Barlow Semi Condensed" w:cs="Barlow Semi Condensed" w:eastAsia="Barlow Semi Condensed" w:hAnsi="Barlow Semi Condensed"/>
          <w:sz w:val="24"/>
          <w:szCs w:val="24"/>
        </w:rPr>
        <w:t xml:space="preserve">L’analisi comparata delle due formazioni rivela un isomorfismo strutturale a polarità invertita, che è forse il risultato analitico più originale del registro e che va tuttavia mantenuto al rango di ipotesi, cioè a Livello C. Le due formazioni presentano una topologia simile — un nucleo ristretto che si irradia verso i vertici di molteplici domini e verso il fianco sovranista della politica europea — ma con contenuto ideologico rovesciato. La Formazione Alfa era anticomunista e anti-sovietica; la Formazione Beta è post-comunista e filo-russa. La funzione strutturale — destabilizzare il centro liberale a partire dal fianco nazionalista — persiste, mentre la polarità si inverte. Secondo il pattern dell’isomorfismo di rete, una somiglianza strutturale può discendere da tre cause alternative: un’origine comune, una necessità funzionale, o una convergenza indipendente. Il corpus non contiene la prova di un’origine comune tra le due formazioni; sostiene invece, come lettura più economica, la necessità funzionale, ossia il fatto che quella particolare topologia sia semplicemente la più efficiente per il compito di erodere il centro dal fianco, e che perciò venga riprodotta da progettisti diversi in epoche diverse.</w:t>
      </w:r>
    </w:p>
    <w:p>
      <w:pPr>
        <w:spacing w:after="120" w:line="276"/>
        <w:jc w:val="both"/>
      </w:pPr>
      <w:r>
        <w:rPr>
          <w:rFonts w:ascii="Barlow Semi Condensed" w:cs="Barlow Semi Condensed" w:eastAsia="Barlow Semi Condensed" w:hAnsi="Barlow Semi Condensed"/>
          <w:sz w:val="24"/>
          <w:szCs w:val="24"/>
        </w:rPr>
        <w:t xml:space="preserve">3.4 — Continuità di forma, discontinuità di sponsor</w:t>
      </w:r>
    </w:p>
    <w:p>
      <w:pPr>
        <w:spacing w:after="120" w:line="276"/>
        <w:jc w:val="both"/>
      </w:pPr>
      <w:r>
        <w:rPr>
          <w:rFonts w:ascii="Barlow Semi Condensed" w:cs="Barlow Semi Condensed" w:eastAsia="Barlow Semi Condensed" w:hAnsi="Barlow Semi Condensed"/>
          <w:sz w:val="24"/>
          <w:szCs w:val="24"/>
        </w:rPr>
        <w:t xml:space="preserve">La sintesi comparata si può enunciare in una formula che tiene fermi i limiti dell’inferenza: tra le due formazioni vi è continuità di forma e discontinuità di sponsor. La forma — l’occupazione del contenitore sovranista per destabilizzare il centro — si ripete; lo sponsor si inverte, passando dal campo atlantico-anticomunista al campo eurasiatista. Ciò che il corpus non autorizza a inferire è una continuità di attori o di comando: gli individui sono di generazioni diverse, gli apparati che li sostennero sono opposti, e nessun documento del corpus stabilisce un passaggio di consegne tra la prima e la seconda formazione. Registrare la continuità di forma come dato, e insieme negare la continuità di comando in assenza di prova, è esattamente ciò che la Regola Ferrea impone.</w:t>
      </w:r>
    </w:p>
    <w:p>
      <w:pPr>
        <w:pStyle w:val="Heading3"/>
        <w:spacing w:after="80" w:before="160"/>
      </w:pPr>
      <w:r>
        <w:rPr>
          <w:rFonts w:ascii="Barlow Semi Condensed" w:cs="Barlow Semi Condensed" w:eastAsia="Barlow Semi Condensed" w:hAnsi="Barlow Semi Condensed"/>
          <w:sz w:val="24"/>
          <w:szCs w:val="24"/>
        </w:rPr>
        <w:t xml:space="preserve">FASE IV — IL VAGLIO DELLE IPOTESI E LO STATO ZERO</w:t>
      </w:r>
    </w:p>
    <w:p>
      <w:pPr>
        <w:spacing w:after="120" w:line="276"/>
        <w:jc w:val="both"/>
      </w:pPr>
      <w:r>
        <w:rPr>
          <w:rFonts w:ascii="Barlow Semi Condensed" w:cs="Barlow Semi Condensed" w:eastAsia="Barlow Semi Condensed" w:hAnsi="Barlow Semi Condensed"/>
          <w:sz w:val="24"/>
          <w:szCs w:val="24"/>
        </w:rPr>
        <w:t xml:space="preserve">4.1 — La matrice di consistenza: H1, H2, H3</w:t>
      </w:r>
    </w:p>
    <w:p>
      <w:pPr>
        <w:spacing w:after="120" w:line="276"/>
        <w:jc w:val="both"/>
      </w:pPr>
      <w:r>
        <w:rPr>
          <w:rFonts w:ascii="Barlow Semi Condensed" w:cs="Barlow Semi Condensed" w:eastAsia="Barlow Semi Condensed" w:hAnsi="Barlow Semi Condensed"/>
          <w:sz w:val="24"/>
          <w:szCs w:val="24"/>
        </w:rPr>
        <w:t xml:space="preserve">Il vaglio applica la procedura ACH alle tre ipotesi enunciate nella Fase 0. Il criterio, si ricorda, non è quale ipotesi raccolga più conferme, ma quale resti meno contraddetta dalle evidenze diagnostiche, ossia da quelle evidenze che discriminano tra le ipotesi anziché essere compatibili con tutte. L’evidenza diagnostica dirimente, emersa da entrambe le Fasi ricostruttive, è la collocazione reciproca di Stati Uniti e Unione Sovietica, poi Russia, nelle due formazioni documentate.</w:t>
      </w:r>
    </w:p>
    <w:p>
      <w:pPr>
        <w:spacing w:after="120" w:line="276"/>
        <w:jc w:val="both"/>
      </w:pPr>
      <w:r>
        <w:rPr>
          <w:rFonts w:ascii="Barlow Semi Condensed" w:cs="Barlow Semi Condensed" w:eastAsia="Barlow Semi Condensed" w:hAnsi="Barlow Semi Condensed"/>
          <w:sz w:val="24"/>
          <w:szCs w:val="24"/>
        </w:rPr>
        <w:t xml:space="preserve">4.2 — Perché il corpus falsifica la forma forte di H1</w:t>
      </w:r>
    </w:p>
    <w:p>
      <w:pPr>
        <w:spacing w:after="120" w:line="276"/>
        <w:jc w:val="both"/>
      </w:pPr>
      <w:r>
        <w:rPr>
          <w:rFonts w:ascii="Barlow Semi Condensed" w:cs="Barlow Semi Condensed" w:eastAsia="Barlow Semi Condensed" w:hAnsi="Barlow Semi Condensed"/>
          <w:sz w:val="24"/>
          <w:szCs w:val="24"/>
        </w:rPr>
        <w:t xml:space="preserve">La tesi del condominio, nella sua forma forte — Stati Uniti e Unione Sovietica, poi Russia, coordinati per impedire l’integrazione europea — è contraddetta in modo diretto dall’evidenza diagnostica. Nella Formazione Alfa, il sostegno esterno di grande potenza documentato proviene dal campo occidentale e ha per bersaglio il campo sovietico: la rete anticomunista, Condor incluso, era ostile a Mosca. Nella Formazione Beta, l’agente attivo è la Federazione Russa e gli avversari sanzionatori sono Stati Uniti e Unione Europea. In entrambe le formazioni, dunque, le due potenze si trovano su fronti opposti, non in coordinamento. Questa è una falsificazione nel senso proprio del termine: non l’assenza di conferme, ma la presenza di un’evidenza contraria e diagnostica. Ne consegue che la forma forte di H1 va respinta come cornice, esattamente come la Nota Metodologica dell’opera prescriveva di non assumerla come centro. Va precisato che la falsificazione riguarda la forma forte, quella del coordinamento operativo intenzionale; forme deboli — la constatazione che, in singoli frangenti, l’azione indipendente delle due potenze produsse effetti convergenti di destabilizzazione — non sono falsificate, ma coincidono di fatto con H3.</w:t>
      </w:r>
    </w:p>
    <w:p>
      <w:pPr>
        <w:spacing w:after="120" w:line="276"/>
        <w:jc w:val="both"/>
      </w:pPr>
      <w:r>
        <w:rPr>
          <w:rFonts w:ascii="Barlow Semi Condensed" w:cs="Barlow Semi Condensed" w:eastAsia="Barlow Semi Condensed" w:hAnsi="Barlow Semi Condensed"/>
          <w:sz w:val="24"/>
          <w:szCs w:val="24"/>
        </w:rPr>
        <w:t xml:space="preserve">4.3 — Perché H2 resiste ma resta a Livello C</w:t>
      </w:r>
    </w:p>
    <w:p>
      <w:pPr>
        <w:spacing w:after="120" w:line="276"/>
        <w:jc w:val="both"/>
      </w:pPr>
      <w:r>
        <w:rPr>
          <w:rFonts w:ascii="Barlow Semi Condensed" w:cs="Barlow Semi Condensed" w:eastAsia="Barlow Semi Condensed" w:hAnsi="Barlow Semi Condensed"/>
          <w:sz w:val="24"/>
          <w:szCs w:val="24"/>
        </w:rPr>
        <w:t xml:space="preserve">La tesi delle due internazionali rivali è quella meno contraddetta dalle evidenze. Il corpus documenta effettivamente due formazioni autoritarie transnazionali distinte, in due epoche successive, con sponsor opposti e con la funzione condivisa di destabilizzare il centro liberale dal fianco. H2 gode inoltre di un vantaggio esplicativo su H1 e su H3: rende conto sia della somiglianza strutturale tra le formazioni sia della loro opposizione geopolitica, che H1 non spiega e che H3 lascia come pura coincidenza. Ciononostante il registro mantiene H2 a Livello C, cioè al rango di ipotesi non falsificata e non promossa a fatto, per una ragione dirimente: definire le due formazioni come due internazionali implica un grado di intenzionalità e di autocoscienza che il corpus documenta per i singoli nodi ma non per l’insieme. In particolare, l’isomorfismo a polarità invertita — il ponte concettuale che unisce le due formazioni sotto un’unica etichetta — è a sua volta a Livello C. Tenere H2 come ipotesi guida non falsificata, e non come conclusione dimostrata, è la posizione che il rigore impone.</w:t>
      </w:r>
    </w:p>
    <w:p>
      <w:pPr>
        <w:spacing w:after="120" w:line="276"/>
        <w:jc w:val="both"/>
      </w:pPr>
      <w:r>
        <w:rPr>
          <w:rFonts w:ascii="Barlow Semi Condensed" w:cs="Barlow Semi Condensed" w:eastAsia="Barlow Semi Condensed" w:hAnsi="Barlow Semi Condensed"/>
          <w:sz w:val="24"/>
          <w:szCs w:val="24"/>
        </w:rPr>
        <w:t xml:space="preserve">4.4 — Stati Zero certificati</w:t>
      </w:r>
    </w:p>
    <w:p>
      <w:pPr>
        <w:spacing w:after="120" w:line="276"/>
        <w:jc w:val="both"/>
      </w:pPr>
      <w:r>
        <w:rPr>
          <w:rFonts w:ascii="Barlow Semi Condensed" w:cs="Barlow Semi Condensed" w:eastAsia="Barlow Semi Condensed" w:hAnsi="Barlow Semi Condensed"/>
          <w:sz w:val="24"/>
          <w:szCs w:val="24"/>
        </w:rPr>
        <w:t xml:space="preserve">Coerentemente con la metodologia dell’opera, il registro certifica come risultati positivi due connessioni sistematicamente cercate e non trovate. Il primo è uno Stato Zero interno alla Formazione Beta: nel dossier sulla rete Shor non emerge alcun collegamento diretto e documentato tra Ilan Shor e la criminalità organizzata italiana; la connessione è stata cercata e non è stata trovata, e ciò va registrato come esito, non come lacuna da riempire con congetture. Il secondo è uno Stato Zero relativo al rapporto tra le due formazioni: non esiste, nel corpus, alcun documento che stabilisca un passaggio di consegne, una continuità di attori o un comando comune tra la rete nera anticomunista del dopoguerra e l’operazione di influenza russa contemporanea. La continuità tra le due, come argomentato nella Fase III, è di forma e non di comando. Registrare questi due Stati Zero è parte essenziale della tutela del documento contro il proprio possibile scivolamento verso la tesi che la metodologia proscrive.</w:t>
      </w:r>
    </w:p>
    <w:p>
      <w:pPr>
        <w:pStyle w:val="Heading3"/>
        <w:spacing w:after="80" w:before="160"/>
      </w:pPr>
      <w:r>
        <w:rPr>
          <w:rFonts w:ascii="Barlow Semi Condensed" w:cs="Barlow Semi Condensed" w:eastAsia="Barlow Semi Condensed" w:hAnsi="Barlow Semi Condensed"/>
          <w:sz w:val="24"/>
          <w:szCs w:val="24"/>
        </w:rPr>
        <w:t xml:space="preserve">FASE V — RILIEVI CIVILI E PENALI: DIFFAMAZIONE E CALUNNIA</w:t>
      </w:r>
    </w:p>
    <w:p>
      <w:pPr>
        <w:spacing w:after="120" w:line="276"/>
        <w:jc w:val="both"/>
      </w:pPr>
      <w:r>
        <w:rPr>
          <w:rFonts w:ascii="Barlow Semi Condensed" w:cs="Barlow Semi Condensed" w:eastAsia="Barlow Semi Condensed" w:hAnsi="Barlow Semi Condensed"/>
          <w:sz w:val="24"/>
          <w:szCs w:val="24"/>
        </w:rPr>
        <w:t xml:space="preserve">5.1 — Il quadro normativo di riferimento</w:t>
      </w:r>
    </w:p>
    <w:p>
      <w:pPr>
        <w:spacing w:after="120" w:line="276"/>
        <w:jc w:val="both"/>
      </w:pPr>
      <w:r>
        <w:rPr>
          <w:rFonts w:ascii="Barlow Semi Condensed" w:cs="Barlow Semi Condensed" w:eastAsia="Barlow Semi Condensed" w:hAnsi="Barlow Semi Condensed"/>
          <w:sz w:val="24"/>
          <w:szCs w:val="24"/>
        </w:rPr>
        <w:t xml:space="preserve">Questa Fase risponde all’ordine di vagliare i possibili rilievi civili e penali per il testo di diffamazione e per quello di calunnia. Ciò che segue è informazione generale di orientamento, non consulenza legale, e non sostituisce il vaglio di un professionista prima di ogni pubblicazione. Nell’ordinamento italiano la diffamazione è prevista dall’articolo 595 del codice penale e sanziona chi, comunicando con più persone, offende l’altrui reputazione; l’attribuzione di un fatto determinato e la diffusione a mezzo stampa costituiscono aggravanti. La calunnia è prevista dall’articolo 368 e sanziona chi incolpa taluno di un reato pur sapendolo innocente, o simula a suo carico le tracce di un reato: essa richiede dunque la falsa attribuzione di un reato e la consapevolezza dell’innocenza. Il testo scientifico e d’inchiesta gode della scriminante del diritto di cronaca e di critica, ma a condizioni precise: la verità del fatto, l’interesse pubblico e la continenza espositiva.</w:t>
      </w:r>
    </w:p>
    <w:p>
      <w:pPr>
        <w:spacing w:after="120" w:line="276"/>
        <w:jc w:val="both"/>
      </w:pPr>
      <w:r>
        <w:rPr>
          <w:rFonts w:ascii="Barlow Semi Condensed" w:cs="Barlow Semi Condensed" w:eastAsia="Barlow Semi Condensed" w:hAnsi="Barlow Semi Condensed"/>
          <w:sz w:val="24"/>
          <w:szCs w:val="24"/>
        </w:rPr>
        <w:t xml:space="preserve">5.2 — Dove nasce l’esposizione: il fatto presentato come certo</w:t>
      </w:r>
    </w:p>
    <w:p>
      <w:pPr>
        <w:spacing w:after="120" w:line="276"/>
        <w:jc w:val="both"/>
      </w:pPr>
      <w:r>
        <w:rPr>
          <w:rFonts w:ascii="Barlow Semi Condensed" w:cs="Barlow Semi Condensed" w:eastAsia="Barlow Semi Condensed" w:hAnsi="Barlow Semi Condensed"/>
          <w:sz w:val="24"/>
          <w:szCs w:val="24"/>
        </w:rPr>
        <w:t xml:space="preserve">Il punto in cui nasce l’esposizione è identificabile con precisione: non è la trattazione di un tema, per quanto grave, ma la presentazione come fatto certo di un’affermazione discreditante non provata a carico di una persona identificabile. È questa trasformazione — dell’indizio in prova, dell’accusa altrui in verità propria, della contiguità in complicità — a generare il rischio, tanto civile quanto penale. Ne discende che la salvaguardia non consiste nel certificare, come pure l’ordine iniziale poteva suggerire, bensì nell’operazione opposta: graduare l’affermazione secondo il suo effettivo livello probatorio e attribuirla alla sua fonte. Un’affermazione classificata a Livello C ed esplicitamente riferita a un’inchiesta di terzi non incolpa nessuno di un reato in nome dell’autore; una medesima affermazione presentata come accertamento sì.</w:t>
      </w:r>
    </w:p>
    <w:p>
      <w:pPr>
        <w:spacing w:after="120" w:line="276"/>
        <w:jc w:val="both"/>
      </w:pPr>
      <w:r>
        <w:rPr>
          <w:rFonts w:ascii="Barlow Semi Condensed" w:cs="Barlow Semi Condensed" w:eastAsia="Barlow Semi Condensed" w:hAnsi="Barlow Semi Condensed"/>
          <w:sz w:val="24"/>
          <w:szCs w:val="24"/>
        </w:rPr>
        <w:t xml:space="preserve">5.3 — Le esimenti operative</w:t>
      </w:r>
    </w:p>
    <w:p>
      <w:pPr>
        <w:spacing w:after="120" w:line="276"/>
        <w:jc w:val="both"/>
      </w:pPr>
      <w:r>
        <w:rPr>
          <w:rFonts w:ascii="Barlow Semi Condensed" w:cs="Barlow Semi Condensed" w:eastAsia="Barlow Semi Condensed" w:hAnsi="Barlow Semi Condensed"/>
          <w:sz w:val="24"/>
          <w:szCs w:val="24"/>
        </w:rPr>
        <w:t xml:space="preserve">Da questa analisi discendono tre esimenti operative che il registro applica per costruzione e che dovrebbero governare la stesura definitiva. La prima è l’attribuzione alla fonte: ogni qualificazione discreditante che non sia un fatto accertato va introdotta come tesi di chi l’ha formulata — un’inchiesta, un rapporto, una relazione — e non come constatazione dell’autore. La seconda è la gradazione manifesta: il livello probatorio va reso visibile al lettore, così che egli possa valutare autonomamente il peso di ciò che legge, in conformità con il principio di falsificabilità. La terza è la distinzione tra gli statuti: va tenuta ferma in ogni riga la differenza tra la condanna definitiva, l’accusa non ancora accertata e la mera associazione, perché confondere questi tre statuti è precisamente ciò che espone alla calunnia e alla diffamazione.</w:t>
      </w:r>
    </w:p>
    <w:p>
      <w:pPr>
        <w:spacing w:after="120" w:line="276"/>
        <w:jc w:val="both"/>
      </w:pPr>
      <w:r>
        <w:rPr>
          <w:rFonts w:ascii="Barlow Semi Condensed" w:cs="Barlow Semi Condensed" w:eastAsia="Barlow Semi Condensed" w:hAnsi="Barlow Semi Condensed"/>
          <w:sz w:val="24"/>
          <w:szCs w:val="24"/>
        </w:rPr>
        <w:t xml:space="preserve">5.4 — Rilievi puntuali sul corpus</w:t>
      </w:r>
    </w:p>
    <w:p>
      <w:pPr>
        <w:spacing w:after="120" w:line="276"/>
        <w:jc w:val="both"/>
      </w:pPr>
      <w:r>
        <w:rPr>
          <w:rFonts w:ascii="Barlow Semi Condensed" w:cs="Barlow Semi Condensed" w:eastAsia="Barlow Semi Condensed" w:hAnsi="Barlow Semi Condensed"/>
          <w:sz w:val="24"/>
          <w:szCs w:val="24"/>
        </w:rPr>
        <w:t xml:space="preserve">Applicate al corpus, queste esimenti individuano i punti di attenzione. Per le persone viventi nominate nella Formazione Beta — l’oligarca sanzionato, i dirigenti di partito, l’ex parlamentare — il registro riporta i soli fatti pubblici e documentati e attribuisce ogni caratterizzazione ulteriore alla fonte che l’ha prodotta: così l’accordo di partito è registrato come fatto, mentre la lettura di esso come subordinazione resta esclusa; così la partecipazione a missioni di osservazione è registrata come fatto, mentre la qualificazione come rete etero-diretta è attribuita alle organizzazioni di monitoraggio. Il modello di questa disciplina è offerto dalla vicenda della P2: anche la lista più canonica di quella storia porta con sé l’avvertenza esplicita che la presenza di un nome non prova l’appartenenza, e che l’accertamento parlamentare non coincide con quello giudiziario. Trattare ogni nominativo del corpus con la stessa cautela con cui la storiografia tratta i nomi della lista di Castiglion Fibocchi è la garanzia più solida contro i rilievi. Per le persone defunte e per i fatti coperti da sentenza, il rischio è minore, ma la gradazione va comunque mantenuta.</w:t>
      </w:r>
    </w:p>
    <w:p>
      <w:pPr>
        <w:spacing w:after="120" w:line="276"/>
        <w:jc w:val="both"/>
      </w:pPr>
      <w:r>
        <w:rPr>
          <w:rFonts w:ascii="Barlow Semi Condensed" w:cs="Barlow Semi Condensed" w:eastAsia="Barlow Semi Condensed" w:hAnsi="Barlow Semi Condensed"/>
          <w:sz w:val="24"/>
          <w:szCs w:val="24"/>
        </w:rPr>
        <w:t xml:space="preserve">5.5 — Protocollo redazionale per la pubblicazione</w:t>
      </w:r>
    </w:p>
    <w:p>
      <w:pPr>
        <w:spacing w:after="120" w:line="276"/>
        <w:jc w:val="both"/>
      </w:pPr>
      <w:r>
        <w:rPr>
          <w:rFonts w:ascii="Barlow Semi Condensed" w:cs="Barlow Semi Condensed" w:eastAsia="Barlow Semi Condensed" w:hAnsi="Barlow Semi Condensed"/>
          <w:sz w:val="24"/>
          <w:szCs w:val="24"/>
        </w:rPr>
        <w:t xml:space="preserve">Il protocollo che ne discende, e che il registro raccomanda per ogni versione destinata alla diffusione, si riassume in poche prescrizioni sostanziali. Ogni affermazione discreditante su persona identificabile deve recare, nel testo, il proprio livello probatorio e, ove non sia fatto accertato, l’indicazione della fonte. Nessuna affermazione a Livello C deve essere formulata in modo assertorio. Nessun nesso operativo deve essere inferito dalla sola contiguità, dalla coincidenza temporale o dall’appartenenza al medesimo ambiente. Gli Stati Zero devono restare visibili, perché la loro rimozione trasformerebbe un’assenza di prova in una prova di presenza. Il rispetto di questo protocollo non indebolisce l’opera: ne è, al contrario, la condizione di solidità, poiché un’affermazione graduata e attribuita è inattaccabile là dove un’affermazione perentoria e non provata è vulnerabile.</w:t>
      </w:r>
    </w:p>
    <w:p>
      <w:pPr>
        <w:pStyle w:val="Heading3"/>
        <w:spacing w:after="80" w:before="160"/>
      </w:pPr>
      <w:r>
        <w:rPr>
          <w:rFonts w:ascii="Barlow Semi Condensed" w:cs="Barlow Semi Condensed" w:eastAsia="Barlow Semi Condensed" w:hAnsi="Barlow Semi Condensed"/>
          <w:sz w:val="24"/>
          <w:szCs w:val="24"/>
        </w:rPr>
        <w:t xml:space="preserve">FASE VI — REGISTRO DI VERIFICA: LA TRANCHE CERTIFICATA</w:t>
      </w:r>
    </w:p>
    <w:p>
      <w:pPr>
        <w:spacing w:after="120" w:line="276"/>
        <w:jc w:val="both"/>
      </w:pPr>
      <w:r>
        <w:rPr>
          <w:rFonts w:ascii="Barlow Semi Condensed" w:cs="Barlow Semi Condensed" w:eastAsia="Barlow Semi Condensed" w:hAnsi="Barlow Semi Condensed"/>
          <w:sz w:val="24"/>
          <w:szCs w:val="24"/>
        </w:rPr>
        <w:t xml:space="preserve">6.1 — Metodo del registro e legenda</w:t>
      </w:r>
    </w:p>
    <w:p>
      <w:pPr>
        <w:spacing w:after="120" w:line="276"/>
        <w:jc w:val="both"/>
      </w:pPr>
      <w:r>
        <w:rPr>
          <w:rFonts w:ascii="Barlow Semi Condensed" w:cs="Barlow Semi Condensed" w:eastAsia="Barlow Semi Condensed" w:hAnsi="Barlow Semi Condensed"/>
          <w:sz w:val="24"/>
          <w:szCs w:val="24"/>
        </w:rPr>
        <w:t xml:space="preserve">Questa Fase riporta in forma di schede in prosa i blocchi di verifica indipendente effettivamente eseguiti per la presente tranche, con l’esito e il livello attribuito. Coerentemente con le regole dell’opera, non si impiegano tabelle. Ogni scheda enuncia l’oggetto del riscontro, la natura delle fonti convergenti e la classificazione risultante. La legenda è quella generale del documento: Livello A per la convergenza di almeno tre fonti indipendenti eterogenee; Livello B per due fonti indipendenti o una fonte di alta affidabilità; Livello C per fonte singola o indizi circostanziali; Stato Zero per la connessione cercata e non trovata.</w:t>
      </w:r>
    </w:p>
    <w:p>
      <w:pPr>
        <w:spacing w:after="120" w:line="276"/>
        <w:jc w:val="both"/>
      </w:pPr>
      <w:r>
        <w:rPr>
          <w:rFonts w:ascii="Barlow Semi Condensed" w:cs="Barlow Semi Condensed" w:eastAsia="Barlow Semi Condensed" w:hAnsi="Barlow Semi Condensed"/>
          <w:sz w:val="24"/>
          <w:szCs w:val="24"/>
        </w:rPr>
        <w:t xml:space="preserve">6.2 — Blocchi di verifica eseguiti</w:t>
      </w:r>
    </w:p>
    <w:p>
      <w:pPr>
        <w:spacing w:after="120" w:line="276"/>
        <w:jc w:val="both"/>
      </w:pPr>
      <w:r>
        <w:rPr>
          <w:rFonts w:ascii="Barlow Semi Condensed" w:cs="Barlow Semi Condensed" w:eastAsia="Barlow Semi Condensed" w:hAnsi="Barlow Semi Condensed"/>
          <w:sz w:val="24"/>
          <w:szCs w:val="24"/>
        </w:rPr>
        <w:t xml:space="preserve">Blocco uno, architettura Shor. La designazione di Ilan Shor da parte del Tesoro statunitense nell’ottobre 2022 per interferenza elettorale a beneficio della Russia, la condanna in contumacia dell’aprile 2023, la messa al bando del partito nel giugno 2023 e i successivi ampliamenti delle misure dell’Unione Europea del luglio 2025 e del giugno 2026 sono confermati dalla convergenza di provvedimenti istituzionali statunitensi ed europei e di inchieste giornalistiche indipendenti. Esito: confermato a Livello A.</w:t>
      </w:r>
    </w:p>
    <w:p>
      <w:pPr>
        <w:spacing w:after="120" w:line="276"/>
        <w:jc w:val="both"/>
      </w:pPr>
      <w:r>
        <w:rPr>
          <w:rFonts w:ascii="Barlow Semi Condensed" w:cs="Barlow Semi Condensed" w:eastAsia="Barlow Semi Condensed" w:hAnsi="Barlow Semi Condensed"/>
          <w:sz w:val="24"/>
          <w:szCs w:val="24"/>
        </w:rPr>
        <w:t xml:space="preserve">Blocco due, rete cripto. Il meccanismo Garantex-Grinex-A7A5, con l’emissione del token da parte della kirghisa Old Vector, la garanzia presso la banca statale russa Promsvyazbank, il legame con la piattaforma A7 e la funzione di elusione delle sanzioni per un volume stimato in decine di miliardi di dollari, è confermato dalla convergenza dei provvedimenti sanzionatori statunitense e britannico dell’agosto 2025, delle misure dell’Unione Europea dell’ottobre 2025 e delle analisi tecniche di più società di intelligence sulla blockchain. L’indicazione di Ilan Shor come beneficiario ultimo della piattaforma A7 è riferita da inchieste di primarie testate internazionali. Esito: confermato a Livello A.</w:t>
      </w:r>
    </w:p>
    <w:p>
      <w:pPr>
        <w:spacing w:after="120" w:line="276"/>
        <w:jc w:val="both"/>
      </w:pPr>
      <w:r>
        <w:rPr>
          <w:rFonts w:ascii="Barlow Semi Condensed" w:cs="Barlow Semi Condensed" w:eastAsia="Barlow Semi Condensed" w:hAnsi="Barlow Semi Condensed"/>
          <w:sz w:val="24"/>
          <w:szCs w:val="24"/>
        </w:rPr>
        <w:t xml:space="preserve">Blocco tre, accordo Lega-Russia Unita. La sottoscrizione dell’accordo di cooperazione tra la Lega e Russia Unita il 6 marzo 2017 a opera di Matteo Salvini e Sergej Zheleznyak, il suo contenuto, la clausola di non vincolatività e il rinnovo tacito con scadenza al 2027 sono confermati dalla pubblicazione del testo e da una pluralità di testate italiane e internazionali. Esito: confermato a Livello A come fatto documentato, con espressa astensione da inferenze interpretative ulteriori.</w:t>
      </w:r>
    </w:p>
    <w:p>
      <w:pPr>
        <w:spacing w:after="120" w:line="276"/>
        <w:jc w:val="both"/>
      </w:pPr>
      <w:r>
        <w:rPr>
          <w:rFonts w:ascii="Barlow Semi Condensed" w:cs="Barlow Semi Condensed" w:eastAsia="Barlow Semi Condensed" w:hAnsi="Barlow Semi Condensed"/>
          <w:sz w:val="24"/>
          <w:szCs w:val="24"/>
        </w:rPr>
        <w:t xml:space="preserve">Blocco quattro, caso Petrocelli. La procedura di espulsione dal Movimento 5 Stelle nel 2022 sulla linea del voto contrario agli aiuti all’Ucraina, la presidenza dell’Istituto Italia-BRICS e la partecipazione a delegazioni di osservatori alle elezioni presidenziali russa del 2024 e bielorussa del 2025 sono confermate da fonti giornalistiche e dalla biografia ufficiale del medesimo istituto. Esito: fatti pubblici confermati a Livello A; la caratterizzazione come rete etero-diretta è tesi di terzi tenuta a Livello B e attribuita alla fonte.</w:t>
      </w:r>
    </w:p>
    <w:p>
      <w:pPr>
        <w:spacing w:after="120" w:line="276"/>
        <w:jc w:val="both"/>
      </w:pPr>
      <w:r>
        <w:rPr>
          <w:rFonts w:ascii="Barlow Semi Condensed" w:cs="Barlow Semi Condensed" w:eastAsia="Barlow Semi Condensed" w:hAnsi="Barlow Semi Condensed"/>
          <w:sz w:val="24"/>
          <w:szCs w:val="24"/>
        </w:rPr>
        <w:t xml:space="preserve">Blocco cinque, caso Balan. L’arresto in Romania nel settembre 2025 nell’operazione congiunta coordinata da Eurojust, l’accusa di trasmissione di segreti al servizio bielorusso, la condanna dell’aprile 2026, lo scambio di prigionieri e la privazione della cittadinanza moldava del giugno 2026 sono confermati da fonti giudiziarie e giornalistiche convergenti. Esito: confermato a Livello A, con aggiornamento successivo alla redazione del documento; il nesso diretto con la rete Shor è tenuto a Livello C.</w:t>
      </w:r>
    </w:p>
    <w:p>
      <w:pPr>
        <w:spacing w:after="120" w:line="276"/>
        <w:jc w:val="both"/>
      </w:pPr>
      <w:r>
        <w:rPr>
          <w:rFonts w:ascii="Barlow Semi Condensed" w:cs="Barlow Semi Condensed" w:eastAsia="Barlow Semi Condensed" w:hAnsi="Barlow Semi Condensed"/>
          <w:sz w:val="24"/>
          <w:szCs w:val="24"/>
        </w:rPr>
        <w:t xml:space="preserve">Blocco sei, caso Creyelman. L’espulsione dell’ex senatore belga dal Vlaams Belang nel dicembre 2023 è confermata a Livello A; la caratterizzazione come informatore dell’intelligence cinese è tesi di un’inchiesta giornalistica congiunta di primarie testate, tenuta a Livello B e attribuita alla fonte. Il blocco certifica altresì, come rilievo metodologico, che si tratta di un vettore d’influenza cinese, distinto da quello russo.</w:t>
      </w:r>
    </w:p>
    <w:p>
      <w:pPr>
        <w:spacing w:after="120" w:line="276"/>
        <w:jc w:val="both"/>
      </w:pPr>
      <w:r>
        <w:rPr>
          <w:rFonts w:ascii="Barlow Semi Condensed" w:cs="Barlow Semi Condensed" w:eastAsia="Barlow Semi Condensed" w:hAnsi="Barlow Semi Condensed"/>
          <w:sz w:val="24"/>
          <w:szCs w:val="24"/>
        </w:rPr>
        <w:t xml:space="preserve">Blocco sette, Loggia P2. Il rinvenimento dell’elenco dei circa 962 iscritti a Castiglion Fibocchi il 17 marzo 1981, la sua pubblicazione il 21 maggio 1981 e il giudizio di autenticità e attendibilità della Commissione Anselmi del 12 luglio 1984 sono confermati a Livello A dalla relazione parlamentare e dalla storiografia. Il blocco certifica insieme il caveat dirimente: la presenza di un nome nell’elenco non prova l’appartenenza, e l’accertamento parlamentare non coincide con l’esito giudiziario. Esito: confermato a Livello A, con avvertenza sui falsi positivi.</w:t>
      </w:r>
    </w:p>
    <w:p>
      <w:pPr>
        <w:spacing w:after="120" w:line="276"/>
        <w:jc w:val="both"/>
      </w:pPr>
      <w:r>
        <w:rPr>
          <w:rFonts w:ascii="Barlow Semi Condensed" w:cs="Barlow Semi Condensed" w:eastAsia="Barlow Semi Condensed" w:hAnsi="Barlow Semi Condensed"/>
          <w:sz w:val="24"/>
          <w:szCs w:val="24"/>
        </w:rPr>
        <w:t xml:space="preserve">Blocco otto, Operazione Condor. La formalizzazione del sistema nella riunione di Santiago del 25 novembre-1º dicembre 1975 su convocazione di Manuel Contreras, la scoperta dell’Archivo del Terror il 22 dicembre 1992, l’esecuzione dell’attentato di Roma del 6 ottobre 1975 contro Bernardo Leighton da parte di Stefano Delle Chiaie per conto della DINA e l’omicidio di Orlando Letelier a Washington nel settembre 1976 sono confermati a Livello A dai documenti primari del National Security Archive e dalle risultanze giudiziarie. Il blocco certifica altresì la collocazione geopolitica anti-sovietica della rete, rilevante per il vaglio delle ipotesi. Esito: confermato a Livello A.</w:t>
      </w:r>
    </w:p>
    <w:p>
      <w:pPr>
        <w:spacing w:after="120" w:line="276"/>
        <w:jc w:val="both"/>
      </w:pPr>
      <w:r>
        <w:rPr>
          <w:rFonts w:ascii="Barlow Semi Condensed" w:cs="Barlow Semi Condensed" w:eastAsia="Barlow Semi Condensed" w:hAnsi="Barlow Semi Condensed"/>
          <w:sz w:val="24"/>
          <w:szCs w:val="24"/>
        </w:rPr>
        <w:t xml:space="preserve">Blocco nove, diaspora nazista e ratlines. L’esistenza di vie di fuga strutturate verso il Sud America e la penisola iberica, con il ruolo di settori ecclesiastici e di documenti di viaggio ottenuti con generalità false, e i singoli casi di Eichmann, Mengele, Barbie e Stangl, sono acquisizioni storiografiche consolidate confermate a Livello A. L’immagine di un’unica organizzazione centralizzata denominata ODESSA è tenuta a Livello C. Esito: meccanismo confermato a Livello A; centralizzazione a Livello C.</w:t>
      </w:r>
    </w:p>
    <w:p>
      <w:pPr>
        <w:spacing w:after="120" w:line="276"/>
        <w:jc w:val="both"/>
      </w:pPr>
      <w:r>
        <w:rPr>
          <w:rFonts w:ascii="Barlow Semi Condensed" w:cs="Barlow Semi Condensed" w:eastAsia="Barlow Semi Condensed" w:hAnsi="Barlow Semi Condensed"/>
          <w:sz w:val="24"/>
          <w:szCs w:val="24"/>
        </w:rPr>
        <w:t xml:space="preserve">Blocco dieci, elusione dell’embargo dell’apartheid. La cooperazione militare del Sudafrica dell’apartheid con fornitori e mediatori per aggirare l’embargo, attraverso l’agenzia statale Armscor e reti di intermediari, e l’esistenza di un asse tra Stati paria fondato sull’elusione delle sanzioni, sono confermate a Livello B dalla documentazione storica del corpus e dagli approfondimenti tematici. Esito: confermato a Livello B.</w:t>
      </w:r>
    </w:p>
    <w:p>
      <w:pPr>
        <w:spacing w:after="120" w:line="276"/>
        <w:jc w:val="both"/>
      </w:pPr>
      <w:r>
        <w:rPr>
          <w:rFonts w:ascii="Barlow Semi Condensed" w:cs="Barlow Semi Condensed" w:eastAsia="Barlow Semi Condensed" w:hAnsi="Barlow Semi Condensed"/>
          <w:sz w:val="24"/>
          <w:szCs w:val="24"/>
        </w:rPr>
        <w:t xml:space="preserve">6.3 — Stati Zero certificati e blocchi rinviati</w:t>
      </w:r>
    </w:p>
    <w:p>
      <w:pPr>
        <w:spacing w:after="120" w:line="276"/>
        <w:jc w:val="both"/>
      </w:pPr>
      <w:r>
        <w:rPr>
          <w:rFonts w:ascii="Barlow Semi Condensed" w:cs="Barlow Semi Condensed" w:eastAsia="Barlow Semi Condensed" w:hAnsi="Barlow Semi Condensed"/>
          <w:sz w:val="24"/>
          <w:szCs w:val="24"/>
        </w:rPr>
        <w:t xml:space="preserve">Il registro certifica formalmente i due Stati Zero della presente tranche. Primo Stato Zero: assenza di collegamento diretto e documentato tra Ilan Shor e la criminalità organizzata italiana, connessione cercata nel corpus e non trovata. Secondo Stato Zero: assenza, nel corpus, di qualsiasi documento che stabilisca continuità di attori o comando comune tra la Formazione Alfa e la Formazione Beta. Entrambi gli Stati Zero sono risultati positivi, non lacune.</w:t>
      </w:r>
    </w:p>
    <w:p>
      <w:pPr>
        <w:spacing w:after="120" w:line="276"/>
        <w:jc w:val="both"/>
      </w:pPr>
      <w:r>
        <w:rPr>
          <w:rFonts w:ascii="Barlow Semi Condensed" w:cs="Barlow Semi Condensed" w:eastAsia="Barlow Semi Condensed" w:hAnsi="Barlow Semi Condensed"/>
          <w:sz w:val="24"/>
          <w:szCs w:val="24"/>
        </w:rPr>
        <w:t xml:space="preserve">Quanto ai blocchi rinviati alle tranche successive, il registro dichiara con trasparenza che il vaglio a cascata prefigurato è processo pluri-sessione e che questa è la prima tranche. Restano da certificare partitamente, tra gli altri: il riscontro esaustivo dei singoli accordi di partito della rete Russia Unita, di cui è qui verificato il modello italiano; la ricognizione analitica dei nodi bulgaro, austriaco e balcanico ricorrenti nei due dossier contemporanei; la verifica documentale dei singoli intermediari dell’asse iberico e sudafricano; e la ricostruzione partita dei rapporti tra il neofascismo italiano in fuga e i singoli apparati di sicurezza dei regimi del Cono Sur. Ciascuno di questi blocchi sarà oggetto delle tranche successive, secondo il principio di conservazione cumulativa che governa l’opera, per cui ogni versione preserva integralmente la precedente e la incrementa.</w:t>
      </w:r>
    </w:p>
    <w:p>
      <w:pPr>
        <w:pStyle w:val="Heading3"/>
        <w:spacing w:after="80" w:before="160"/>
      </w:pPr>
      <w:r>
        <w:rPr>
          <w:rFonts w:ascii="Barlow Semi Condensed" w:cs="Barlow Semi Condensed" w:eastAsia="Barlow Semi Condensed" w:hAnsi="Barlow Semi Condensed"/>
          <w:sz w:val="24"/>
          <w:szCs w:val="24"/>
        </w:rPr>
        <w:t xml:space="preserve">CHIUSA — Sintesi e indicazioni per le versioni successive</w:t>
      </w:r>
    </w:p>
    <w:p>
      <w:pPr>
        <w:spacing w:after="120" w:line="276"/>
        <w:jc w:val="both"/>
      </w:pPr>
      <w:r>
        <w:rPr>
          <w:rFonts w:ascii="Barlow Semi Condensed" w:cs="Barlow Semi Condensed" w:eastAsia="Barlow Semi Condensed" w:hAnsi="Barlow Semi Condensed"/>
          <w:sz w:val="24"/>
          <w:szCs w:val="24"/>
        </w:rPr>
        <w:t xml:space="preserve">Il registro, applicando alla lettera la metodologia dell’opera, giunge a un esito netto e a un limite altrettanto netto. L’esito è che il corpus, letto per ciò che effettivamente documenta, falsifica la forma forte della tesi del condominio tra Stati Uniti e Unione Sovietica, poi Russia: in entrambe le formazioni autoritarie transnazionali che il corpus ricostruisce — l’anticomunista atlantica del dopoguerra e l’eurasiatista contemporanea — le due potenze si collocano su fronti opposti, non in coordinamento. Il limite è che la tesi alternativa delle due internazionali rivali, pur essendo la meno contraddetta dalle evidenze e pur godendo di un vantaggio esplicativo, va mantenuta al rango di ipotesi non falsificata, a Livello C, perché l’intenzionalità e l’autocoscienza che essa presuppone per l’insieme sono documentate solo per i singoli nodi.</w:t>
      </w:r>
    </w:p>
    <w:p>
      <w:pPr>
        <w:spacing w:after="120" w:line="276"/>
        <w:jc w:val="both"/>
      </w:pPr>
      <w:r>
        <w:rPr>
          <w:rFonts w:ascii="Barlow Semi Condensed" w:cs="Barlow Semi Condensed" w:eastAsia="Barlow Semi Condensed" w:hAnsi="Barlow Semi Condensed"/>
          <w:sz w:val="24"/>
          <w:szCs w:val="24"/>
        </w:rPr>
        <w:t xml:space="preserve">Ne discende, per le versioni successive, una direzione di lavoro coerente con questa impostazione: non la ricerca di conferme alla tesi del condominio, che la struttura stessa produrrebbe artificiosamente, ma il tentativo sistematico di falsificare l’ipotesi delle due internazionali rivali, cercando in via prioritaria le evidenze che la contraddirebbero — ad esempio la prova documentale di un passaggio di consegne tra le due formazioni, che oggi è uno Stato Zero. È questo il metodo del falsificatore permanente che l’opera ha eletto a proprio principio: solo l’ipotesi che sopravvive ai tentativi di confutazione merita, e soltanto provvisoriamente, il titolo di conoscenza. Il presente documento è la prima tranche di quel percorso e va letto come tale: un registro che gradua, attribuisce e distingue, e che nella disciplina della prova trova insieme il proprio rigore scientifico e la propria tutela.</w:t>
      </w:r>
    </w:p>
    <w:p>
      <w:pPr>
        <w:pStyle w:val="Heading3"/>
        <w:spacing w:after="80" w:before="160"/>
      </w:pPr>
      <w:r>
        <w:rPr>
          <w:rFonts w:ascii="Barlow Semi Condensed" w:cs="Barlow Semi Condensed" w:eastAsia="Barlow Semi Condensed" w:hAnsi="Barlow Semi Condensed"/>
          <w:sz w:val="24"/>
          <w:szCs w:val="24"/>
        </w:rPr>
        <w:t xml:space="preserve">Nota sulle fonti di riscontro della tranche</w:t>
      </w:r>
    </w:p>
    <w:p>
      <w:pPr>
        <w:spacing w:after="120" w:line="276"/>
        <w:jc w:val="both"/>
      </w:pPr>
      <w:r>
        <w:rPr>
          <w:rFonts w:ascii="Barlow Semi Condensed" w:cs="Barlow Semi Condensed" w:eastAsia="Barlow Semi Condensed" w:hAnsi="Barlow Semi Condensed"/>
          <w:sz w:val="24"/>
          <w:szCs w:val="24"/>
        </w:rPr>
        <w:t xml:space="preserve">I riscontri della presente tranche poggiano, per la parte contemporanea, su provvedimenti sanzionatori e comunicati di organismi istituzionali — il Tesoro degli Stati Uniti e il suo Ufficio per il controllo dei beni esteri, il Consiglio dell’Unione Europea, l’omologo britannico — su inchieste di primarie testate internazionali e nazionali, e su analisi tecniche di società specializzate nell’intelligence sulla blockchain e nel monitoraggio elettorale. Per la parte storica poggiano sulla relazione della Commissione parlamentare d’inchiesta sulla Loggia P2, sui documenti primari desecretati resi disponibili dal National Security Archive, sulla letteratura accademica e giudiziaria consolidata e sugli approfondimenti tematici del corpus, che a loro volta recano le proprie fonti. In coerenza con lo standard di triangolazione dell’opera, nessun nodo è stato certificato a Livello A senza la convergenza di almeno tre fonti indipendenti di natura eterogenea; ove tale convergenza non è stata raggiunta, il nodo è stato mantenuto ai livelli inferiori o registrato come Stato Zero. Le fonti puntuali di ciascun blocco sono conservate nel fascicolo di lavorazione e saranno riportate analiticamente nelle versioni successive, secondo il principio di conservazione cumulativa.</w:t>
      </w:r>
    </w:p>
    <w:p>
      <w:pPr>
        <w:pStyle w:val="Heading3"/>
        <w:spacing w:after="80" w:before="160"/>
      </w:pPr>
      <w:r>
        <w:rPr>
          <w:rFonts w:ascii="Barlow Semi Condensed" w:cs="Barlow Semi Condensed" w:eastAsia="Barlow Semi Condensed" w:hAnsi="Barlow Semi Condensed"/>
          <w:sz w:val="24"/>
          <w:szCs w:val="24"/>
        </w:rPr>
        <w:t xml:space="preserve">SECONDA TRANCHE — FASE VII: IL CORRIDOIO BIOGRAFICO TRA LE DUE FORMAZIONI. IL NODO MURELLI E LA FILIERA JEUNE EUROPE–ORION–EURASIATISMO</w:t>
      </w:r>
    </w:p>
    <w:p>
      <w:pPr>
        <w:spacing w:after="120" w:line="276"/>
        <w:jc w:val="both"/>
      </w:pPr>
      <w:r>
        <w:rPr>
          <w:rFonts w:ascii="Barlow Semi Condensed" w:cs="Barlow Semi Condensed" w:eastAsia="Barlow Semi Condensed" w:hAnsi="Barlow Semi Condensed"/>
          <w:sz w:val="24"/>
          <w:szCs w:val="24"/>
        </w:rPr>
        <w:t xml:space="preserve">7.1 — Oggetto della tranche, fonte-innesco e suo statuto probatorio</w:t>
      </w:r>
    </w:p>
    <w:p>
      <w:pPr>
        <w:spacing w:after="120" w:line="276"/>
        <w:jc w:val="both"/>
      </w:pPr>
      <w:r>
        <w:rPr>
          <w:rFonts w:ascii="Barlow Semi Condensed" w:cs="Barlow Semi Condensed" w:eastAsia="Barlow Semi Condensed" w:hAnsi="Barlow Semi Condensed"/>
          <w:sz w:val="24"/>
          <w:szCs w:val="24"/>
        </w:rPr>
        <w:t xml:space="preserve">La seconda tranche è innescata dall'acquisizione al fascicolo della voce enciclopedica in rete dedicata a Maurizio Murelli e procede, secondo il mandato, per blocchi di verifica a cascata con triangolazione integrale sul corpus e sulle fonti esterne. Occorre anzitutto fissare lo statuto della fonte-innesco. La voce si autodichiara, con avviso redazionale in testa, priva o carente di note e riferimenti bibliografici puntuali; reca inoltre un vistoso refuso nella data di consultazione di una delle note, indicata in un impossibile 17 aprile 2121, ulteriore segnale di redazione non curata. Ne discende la regola applicata per l'intera tranche: la voce vale come puntatore e come mappa delle asserzioni da vagliare, mai come prova; ogni sua proposizione è stata sottoposta a triangolazione autonoma con il corpus dell'opera — in particolare con la ricostruzione storiografica dedicata alla filiera da Aginter Press e Jeune Europe all'eurasiatismo filorusso, già acquisita al progetto — e con fonti esterne indipendenti, giornalistiche, accademiche, giudiziarie e archivistiche. Le note della voce sono state estratte una per una e i loro collegamenti censiti nell'apparato finale della tranche, come richiesto dal mandato.</w:t>
      </w:r>
    </w:p>
    <w:p>
      <w:pPr>
        <w:spacing w:after="120" w:line="276"/>
        <w:jc w:val="both"/>
      </w:pPr>
      <w:r>
        <w:rPr>
          <w:rFonts w:ascii="Barlow Semi Condensed" w:cs="Barlow Semi Condensed" w:eastAsia="Barlow Semi Condensed" w:hAnsi="Barlow Semi Condensed"/>
          <w:sz w:val="24"/>
          <w:szCs w:val="24"/>
        </w:rPr>
        <w:t xml:space="preserve">La ragione per cui questo nodo merita una tranche dedicata è analitica prima che biografica. La prima tranche aveva certificato, come secondo Stato Zero, l'assenza nel corpus allora vagliato di qualsiasi documento che stabilisse continuità di attori tra la Formazione Alfa — la rete nera anticomunista del dopoguerra — e la Formazione Beta — l'operazione di influenza eurasiatista contemporanea. Il materiale ora vagliato incide precisamente su quel punto: documenta l'esistenza di un corridoio biografico e ideologico che attraversa le due epoche, e impone di aggiornare formalmente il registro. Come si vedrà, l'aggiornamento non rovescia lo Stato Zero: lo raffina, distinguendo ciò che ora risulta documentato — la continuità di persone e di ambiente — da ciò che resta non documentato — la continuità di comando e di committenza.</w:t>
      </w:r>
    </w:p>
    <w:p>
      <w:pPr>
        <w:spacing w:after="120" w:line="276"/>
        <w:jc w:val="both"/>
      </w:pPr>
      <w:r>
        <w:rPr>
          <w:rFonts w:ascii="Barlow Semi Condensed" w:cs="Barlow Semi Condensed" w:eastAsia="Barlow Semi Condensed" w:hAnsi="Barlow Semi Condensed"/>
          <w:sz w:val="24"/>
          <w:szCs w:val="24"/>
        </w:rPr>
        <w:t xml:space="preserve">7.2 — Il fatto fondativo: il giovedì nero di Milano del 12 aprile 1973</w:t>
      </w:r>
    </w:p>
    <w:p>
      <w:pPr>
        <w:spacing w:after="120" w:line="276"/>
        <w:jc w:val="both"/>
      </w:pPr>
      <w:r>
        <w:rPr>
          <w:rFonts w:ascii="Barlow Semi Condensed" w:cs="Barlow Semi Condensed" w:eastAsia="Barlow Semi Condensed" w:hAnsi="Barlow Semi Condensed"/>
          <w:sz w:val="24"/>
          <w:szCs w:val="24"/>
        </w:rPr>
        <w:t xml:space="preserve">Il fatto giudiziario da cui la biografia muove è accertato a Livello A dalla convergenza di risultanze processuali, storiografia e cronaca giudiziaria pluridecennale, e trova pieno riscontro nella voce enciclopedica dedicata all'evento, anch'essa acquisita al corpus. Il 12 aprile 1973, durante una manifestazione del Movimento Sociale Italiano e del Fronte della Gioventù vietata dal prefetto Libero Mazza e dal questore, un corteo neofascista attraversò Milano dirigendosi verso la prefettura; all'incrocio tra via Bellotti e via Kramer vennero lanciate contro le forze dell'ordine due bombe a mano SRCM Mod. 35 in dotazione all'esercito. La seconda colpì al petto l'agente ventiduenne Antonio Marino, uccidendolo; altri dodici agenti rimasero feriti. Per quei fatti Vittorio Loi, figlio del pugile Duilio Loi e autore materiale del lancio, fu condannato a diciannove anni; Maurizio Murelli, che aveva compiuto diciotto anni da pochi mesi, fu condannato a diciotto anni a titolo di concorso, secondo la formula della unicità del disegno criminoso; ne scontò circa undici prima della semilibertà. Le bombe erano state procurate da Nico Azzi del gruppo La Fenice, denominazione milanese dell'area ordinovista, lo stesso Azzi che il 7 aprile precedente si era ferito nel fallito attentato al treno Torino-Genova-Roma: la circostanza, accertata processualmente, salda il giovedì nero al contesto stragista coevo ed è certificata a Livello A.</w:t>
      </w:r>
    </w:p>
    <w:p>
      <w:pPr>
        <w:spacing w:after="120" w:line="276"/>
        <w:jc w:val="both"/>
      </w:pPr>
      <w:r>
        <w:rPr>
          <w:rFonts w:ascii="Barlow Semi Condensed" w:cs="Barlow Semi Condensed" w:eastAsia="Barlow Semi Condensed" w:hAnsi="Barlow Semi Condensed"/>
          <w:sz w:val="24"/>
          <w:szCs w:val="24"/>
        </w:rPr>
        <w:t xml:space="preserve">Su un punto la tranche impone la massima disciplina, trattandosi della seconda carica dello Stato in carica. È documentato a Livello A, dalla convergenza di più testate indipendenti e della storiografia, che in testa al corteo di quel giorno vi fossero, tra i dirigenti, i fratelli Ignazio e Romano La Russa, il primo allora segretario milanese del Fronte della Gioventù. È parimenti documentato, dalla medesima convergenza di fonti, che entrambi furono ritenuti estranei ai fatti di sangue: le iniziali chiamate in correo mosse da Loi e Murelli contro dirigenti del movimento, tra cui i fratelli La Russa, furono dagli stessi dichiaranti ritrattate come infondate. Il registro riporta pertanto, congiuntamente e con pari evidenza, il fatto della presenza documentata alla guida del corteo e il fatto dell'estraneità accertata ai reati di sangue, astenendosi — in forza della disciplina delle persone viventi e della Regola Ferrea — da qualsiasi inferenza che dalla presenza a una manifestazione ricavi responsabilità ulteriori. Una fonte isolata di segno diverso, non riscontrata dalla convergenza delle altre, è stata registrata e non utilizzata. Si segnala infine, quale rilievo di contesto storiografico già presente nel corpus, che il Movimento Sociale Italiano tentò dapprima di attribuire i fatti a infiltrati avversari e successivamente si dissociò dai condannati.</w:t>
      </w:r>
    </w:p>
    <w:p>
      <w:pPr>
        <w:spacing w:after="120" w:line="276"/>
        <w:jc w:val="both"/>
      </w:pPr>
      <w:r>
        <w:rPr>
          <w:rFonts w:ascii="Barlow Semi Condensed" w:cs="Barlow Semi Condensed" w:eastAsia="Barlow Semi Condensed" w:hAnsi="Barlow Semi Condensed"/>
          <w:sz w:val="24"/>
          <w:szCs w:val="24"/>
        </w:rPr>
        <w:t xml:space="preserve">7.3 — Il carcere, Freda, la macchina editoriale: da QUEX a Orion ad AGA</w:t>
      </w:r>
    </w:p>
    <w:p>
      <w:pPr>
        <w:spacing w:after="120" w:line="276"/>
        <w:jc w:val="both"/>
      </w:pPr>
      <w:r>
        <w:rPr>
          <w:rFonts w:ascii="Barlow Semi Condensed" w:cs="Barlow Semi Condensed" w:eastAsia="Barlow Semi Condensed" w:hAnsi="Barlow Semi Condensed"/>
          <w:sz w:val="24"/>
          <w:szCs w:val="24"/>
        </w:rPr>
        <w:t xml:space="preserve">La traiettoria successiva di Murelli è documentata a Livello A nei suoi snodi esterni e verificabili. Durante la detenzione collaborò alla rivista clandestina QUEX, promossa da detenuti dell'area nazionalrivoluzionaria tra cui Fabrizio Zani e Mario Tuti, e maturò — per sua stessa ricostruzione — l'influenza determinante di Franco Freda e del suo scritto sulla disintegrazione del sistema. Fondò dal carcere, nel 1979, le Edizioni Barbarossa, divenute poi Società Editrice Barbarossa e infine AGA Editrice; uscito in semilibertà nel 1984, diede vita a Saluzzo al mensile Orion, animandolo con la moglie Alessandra Colla. Che Orion sia stato il punto di riferimento italiano dell'area detta rosso-bruna o nazionalbolscevica è giudizio convergente della letteratura specialistica ed è certificato a Livello A come collocazione, mentre i contenuti sono documentati dallo studio accademico di Matteo Luca Andriola sulla retorica antigiudaica e sul negazionismo nelle pagine del mensile, apparso su rivista scientifica nel 2016: trattandosi di fonte accademica singola di alta qualità, la caratterizzazione contenutistica è certificata a Livello B e attribuita allo studio. Il corpus dell'opera aggiunge un elemento di rilievo strategico, tratto dalla monografia sull'architettura del caos: già in un articolo del 1985 la redazione di Orion auspicava un impero eurasiatico esteso dal Pacifico all'Atlantico, formulazione che anticipa con notevole precisione la sistematizzazione che Aleksandr Dugin avrebbe dato al progetto eurasiatista oltre un decennio dopo. L'anticipazione è certificata a Livello B sulla base del corpus e della letteratura che la riscontra, ed è analiticamente decisiva: mostra che la filiera italiana non fu ricettore passivo ma laboratorio precoce dell'ideologia poi divenuta strumento della proiezione russa.</w:t>
      </w:r>
    </w:p>
    <w:p>
      <w:pPr>
        <w:spacing w:after="120" w:line="276"/>
        <w:jc w:val="both"/>
      </w:pPr>
      <w:r>
        <w:rPr>
          <w:rFonts w:ascii="Barlow Semi Condensed" w:cs="Barlow Semi Condensed" w:eastAsia="Barlow Semi Condensed" w:hAnsi="Barlow Semi Condensed"/>
          <w:sz w:val="24"/>
          <w:szCs w:val="24"/>
        </w:rPr>
        <w:t xml:space="preserve">7.4 — Le gravitazioni documentate attorno a Orion: il vivaio delle traiettorie</w:t>
      </w:r>
    </w:p>
    <w:p>
      <w:pPr>
        <w:spacing w:after="120" w:line="276"/>
        <w:jc w:val="both"/>
      </w:pPr>
      <w:r>
        <w:rPr>
          <w:rFonts w:ascii="Barlow Semi Condensed" w:cs="Barlow Semi Condensed" w:eastAsia="Barlow Semi Condensed" w:hAnsi="Barlow Semi Condensed"/>
          <w:sz w:val="24"/>
          <w:szCs w:val="24"/>
        </w:rPr>
        <w:t xml:space="preserve">Attorno alla rivista gravitò, per convergenza della voce, del corpus e della letteratura indipendente, un insieme di figure le cui traiettorie successive costituiscono il cuore analitico della tranche. La posizione di Mario Borghezio è la meglio documentata ed è certificata a Livello A nei suoi passaggi esterni: militante di Jeune Europe, il movimento nazional-europeo di Jean Thiriart, dal 1962 e per un quinquennio, per sua stessa ammissione; nell'area di Ordine Nuovo negli anni Settanta; fermato l'11 luglio 1976 al valico di Ponte San Luigi presso Ventimiglia, il giorno successivo all'omicidio del giudice Vittorio Occorsio rivendicato dal Movimento Politico Ordine Nuovo, trovato in possesso di una cartolina firmata Ordine Nuovo dal contenuto ingiurioso e minatorio indirizzata al magistrato Luciano Violante; negli anni Ottanta direttore di Orion-Finanza, il supplemento economico della rivista di Murelli; quindi consigliere comunale della Lega a Torino dal 1990, deputato dal 1992 al 2001, parlamentare europeo dal 2001 al 2019. La sequenza — che il corpus riassume come l'arco completo dal neofascismo thiriartiano alla penetrazione della Lega — è la singola carriera che meglio incarna il Pattern della migrazione inter-dominio previsto dalla Nota Metodologica, e va riportata come concatenazione di fatti documentati, senza qualificazioni ulteriori.</w:t>
      </w:r>
    </w:p>
    <w:p>
      <w:pPr>
        <w:spacing w:after="120" w:line="276"/>
        <w:jc w:val="both"/>
      </w:pPr>
      <w:r>
        <w:rPr>
          <w:rFonts w:ascii="Barlow Semi Condensed" w:cs="Barlow Semi Condensed" w:eastAsia="Barlow Semi Condensed" w:hAnsi="Barlow Semi Condensed"/>
          <w:sz w:val="24"/>
          <w:szCs w:val="24"/>
        </w:rPr>
        <w:t xml:space="preserve">La posizione di Gianluca Savoini è documentata a Livello A nei fatti esterni: la collocazione giovanile nell'orbita del circuito di Orion è attestata dalla convergenza del corpus, della letteratura specialistica e della cronaca; la fondazione e la presidenza dell'Associazione Lombardia-Russia, il ruolo di raccordo nei rapporti tra la Lega e gli ambienti moscoviti e la qualità di artefice organizzativo dell'accordo del 6 marzo 2017 tra la Lega e Russia Unita — accordo già certificato a Livello A nella prima tranche — sono parimenti documentati. Le altre gravitazioni attestate dalla convergenza di voce, corpus e letteratura comprendono il fondatore di Prima Linea Enrico Galmozzi, il fondatore di Terza Posizione Gabriele Adinolfi, che della rivista fu anche uno dei direttori, il futuro responsabile culturale di CasaPound Adriano Scianca, Carlo Terracciano e Carlo Mattogno, la cui produzione negazionista è qualificazione consolidata nella letteratura scientifica e come tale riportata. È infine documentato a Livello A, per ammissione dello stesso ambiente e per cronaca, che Murelli assunse per un periodo Pierluigi Concutelli — il condannato definitivo per l'omicidio Occorsio, la cui voce biografica è parte del corpus — quale responsabile dell'ufficio romano della casa editrice, nel quadro dei benefici di legge. La densità di questo vivaio in un unico punto della rete è, nel lessico della Nota Metodologica, un caso di scuola di alta centralità di intermediazione: un nodo editoriale poco visibile al grande pubblico che collega aree altrimenti disconnesse — reduci dell'eversione, futuri quadri leghisti, futuri quadri di CasaPound — e ne incuba le traiettorie.</w:t>
      </w:r>
    </w:p>
    <w:p>
      <w:pPr>
        <w:spacing w:after="120" w:line="276"/>
        <w:jc w:val="both"/>
      </w:pPr>
      <w:r>
        <w:rPr>
          <w:rFonts w:ascii="Barlow Semi Condensed" w:cs="Barlow Semi Condensed" w:eastAsia="Barlow Semi Condensed" w:hAnsi="Barlow Semi Condensed"/>
          <w:sz w:val="24"/>
          <w:szCs w:val="24"/>
        </w:rPr>
        <w:t xml:space="preserve">7.5 — Il 1992 come anno-cerniera: Dugin a Milano, Thiriart a Mosca</w:t>
      </w:r>
    </w:p>
    <w:p>
      <w:pPr>
        <w:spacing w:after="120" w:line="276"/>
        <w:jc w:val="both"/>
      </w:pPr>
      <w:r>
        <w:rPr>
          <w:rFonts w:ascii="Barlow Semi Condensed" w:cs="Barlow Semi Condensed" w:eastAsia="Barlow Semi Condensed" w:hAnsi="Barlow Semi Condensed"/>
          <w:sz w:val="24"/>
          <w:szCs w:val="24"/>
        </w:rPr>
        <w:t xml:space="preserve">La tranche certifica il 1992 come l'anno-cerniera dell'intera filiera, sulla base della convergenza tra il corpus, la testimonianza diretta pubblicata dagli stessi ambienti e la letteratura accademica indipendente. In quell'anno Aleksandr Dugin tenne a Milano, al circolo delle Stelline, una conferenza sull'eurasiatismo, su invito dell'area di Orion: è la prima presenza documentata del futuro ideologo in Italia, certificata a Livello A dalla convergenza di testimonianza diretta di ambiente, corpus e ricostruzioni giornalistiche e accademiche. Nello stesso anno l'anziano Jean Thiriart, fondatore di Jeune Europe, compì il viaggio a Mosca per incontrare Dugin — accompagnato, secondo la ricostruzione accademica che la tranche riscontra, da Marco Battarra dell'area di Orion — e morì poche settimane dopo il rientro: il passaggio di consegne simbolico tra il nazional-europeismo antiatlantista degli anni Sessanta e il neo-eurasiatismo moscovita è così documentato a Livello A nei suoi fatti esterni. Nei decenni successivi la saldatura si è fatta editoriale e organizzativa: le opere di Dugin sono state pubblicate in Italia dalla filiera Barbarossa e poi, dal 2018 con sistematicità, da AGA Editrice, che ne è divenuta il principale editore italiano; parallelamente Claudio Mutti — anch'egli ex militante di Jeune Europe — ne ha veicolato il pensiero sulla rivista Eurasia. Il registro segnala infine, come fatto documentato dalla cronaca, che Dugin risultava all'epoca dei fatti del 2018 presidente onorario di un'associazione italo-russa di ambito piemontese: la capillarità associativa del vettore è parte del quadro.</w:t>
      </w:r>
    </w:p>
    <w:p>
      <w:pPr>
        <w:spacing w:after="120" w:line="276"/>
        <w:jc w:val="both"/>
      </w:pPr>
      <w:r>
        <w:rPr>
          <w:rFonts w:ascii="Barlow Semi Condensed" w:cs="Barlow Semi Condensed" w:eastAsia="Barlow Semi Condensed" w:hAnsi="Barlow Semi Condensed"/>
          <w:sz w:val="24"/>
          <w:szCs w:val="24"/>
        </w:rPr>
        <w:t xml:space="preserve">7.6 — Il filo dinastico Graziani: da Asunción all'eurasiatismo</w:t>
      </w:r>
    </w:p>
    <w:p>
      <w:pPr>
        <w:spacing w:after="120" w:line="276"/>
        <w:jc w:val="both"/>
      </w:pPr>
      <w:r>
        <w:rPr>
          <w:rFonts w:ascii="Barlow Semi Condensed" w:cs="Barlow Semi Condensed" w:eastAsia="Barlow Semi Condensed" w:hAnsi="Barlow Semi Condensed"/>
          <w:sz w:val="24"/>
          <w:szCs w:val="24"/>
        </w:rPr>
        <w:t xml:space="preserve">La tranche certifica un secondo corridoio, di natura dinastica, che salda fisicamente il teatro sudamericano della Formazione Alfa alla filiera eurasiatista contemporanea, secondo il Pattern dell'analisi generazionale previsto dalla Nota Metodologica. Clemente Graziani, nato a Roma nel 1925, reduce della Repubblica Sociale, fu tra i fondatori del Centro Studi Ordine Nuovo e capo del Movimento Politico Ordine Nuovo; condannato per ricostituzione del disciolto partito fascista, raggiunto da mandati di cattura tra cui quello per concorso nell'omicidio del giudice Occorsio, sfuggì all'estradizione dapprima nel Regno Unito e nella Grecia dei colonnelli e si stabilì infine nel Paraguay di Alfredo Stroessner — il medesimo santuario certificato nella prima tranche come epicentro logistico del sistema Condor e crocevia dell'asse con Pretoria — dove il regime ne rifiutò la consegna e dove visse da allevatore nel Chaco fino alla morte, avvenuta ad Asunción il 12 gennaio 1996. Il registro certifica con pari evidenza, in forza della disciplina dell'accuratezza e del contrasto ai falsi positivi, che dall'accusa più grave, il concorso nell'omicidio Occorsio, Graziani fu scagionato con formula piena in sede di legittimità: la sua posizione va dunque riportata come quella di un condannato per ricostituzione del partito fascista e latitante protetto dal regime stronista, non come quella di un condannato per l'omicidio del magistrato. L'intero quadro è certificato a Livello A.</w:t>
      </w:r>
    </w:p>
    <w:p>
      <w:pPr>
        <w:spacing w:after="120" w:line="276"/>
        <w:jc w:val="both"/>
      </w:pPr>
      <w:r>
        <w:rPr>
          <w:rFonts w:ascii="Barlow Semi Condensed" w:cs="Barlow Semi Condensed" w:eastAsia="Barlow Semi Condensed" w:hAnsi="Barlow Semi Condensed"/>
          <w:sz w:val="24"/>
          <w:szCs w:val="24"/>
        </w:rPr>
        <w:t xml:space="preserve">Il figlio, Rainaldo Graziani, fondò nei primi anni Novanta il movimento Meridiano Zero, fu punto di contatto italiano di Gabriele Adinolfi durante l'esilio francese di quest'ultimo, co-curò con Murelli e con lo stesso Adinolfi l'Università d'Estate del 2000 di cui si dirà, ed è divenuto negli anni recenti — per convergenza di cronaca e letteratura — uno degli accompagnatori e organizzatori italiani della presenza di Dugin, fino ad annunciare nel 2020, congiuntamente a Murelli, l'abbandono dell'identità neofascista in favore della Quarta Teoria Politica duginiana. La concatenazione è certificata a Livello A nei fatti esterni. Il suo significato analitico è difficilmente sopravvalutabile: in una sola genealogia familiare il registro osserva il padre che muore nel santuario paraguaiano dell'internazionale nera anticomunista e il figlio che, una generazione dopo, opera da tramite dell'ideologo dell'internazionale eurasiatista filorussa. È il capovolgimento di polarità della prima tranche incarnato in una dinastia, con date, luoghi e atti pubblici.</w:t>
      </w:r>
    </w:p>
    <w:p>
      <w:pPr>
        <w:spacing w:after="120" w:line="276"/>
        <w:jc w:val="both"/>
      </w:pPr>
      <w:r>
        <w:rPr>
          <w:rFonts w:ascii="Barlow Semi Condensed" w:cs="Barlow Semi Condensed" w:eastAsia="Barlow Semi Condensed" w:hAnsi="Barlow Semi Condensed"/>
          <w:sz w:val="24"/>
          <w:szCs w:val="24"/>
        </w:rPr>
        <w:t xml:space="preserve">7.7 — L'Università d'Estate del 2000 e l'incubazione di CasaPound</w:t>
      </w:r>
    </w:p>
    <w:p>
      <w:pPr>
        <w:spacing w:after="120" w:line="276"/>
        <w:jc w:val="both"/>
      </w:pPr>
      <w:r>
        <w:rPr>
          <w:rFonts w:ascii="Barlow Semi Condensed" w:cs="Barlow Semi Condensed" w:eastAsia="Barlow Semi Condensed" w:hAnsi="Barlow Semi Condensed"/>
          <w:sz w:val="24"/>
          <w:szCs w:val="24"/>
        </w:rPr>
        <w:t xml:space="preserve">La voce e la letteratura specialistica documentano che a partire dai primi anni Novanta Murelli organizzò la serie di convegni denominata Università d'Estate, poi Sinergie Europee, quale luogo di raccordo della componente intellettuale delle destre radicali europee; e che l'edizione del 2000, tenutasi presso un centro di Gavirate e curata da Murelli con Rainaldo Graziani e Gabriele Adinolfi, riunì esponenti di un arco che andava dalle formazioni radicali a settori di partiti allora di governo o parlamentari. La valutazione secondo cui in quella sede sarebbe stata concepita e pianificata la fondazione di CasaPound è tesi dello studioso Matteo Luca Andriola, ripresa dalla letteratura sulle origini del movimento: il registro la certifica a Livello B come ricostruzione accademica attribuita, non come fatto autonomamente riscontrato, rilevando che essa è coerente con la documentata funzione incubatrice dell'ambiente e con il ruolo, parimenti documentato, di Adinolfi e di Scianca nella genesi e nella direzione culturale del movimento.</w:t>
      </w:r>
    </w:p>
    <w:p>
      <w:pPr>
        <w:spacing w:after="120" w:line="276"/>
        <w:jc w:val="both"/>
      </w:pPr>
      <w:r>
        <w:rPr>
          <w:rFonts w:ascii="Barlow Semi Condensed" w:cs="Barlow Semi Condensed" w:eastAsia="Barlow Semi Condensed" w:hAnsi="Barlow Semi Condensed"/>
          <w:sz w:val="24"/>
          <w:szCs w:val="24"/>
        </w:rPr>
        <w:t xml:space="preserve">7.8 — Il caso Metropol nella sua interezza giudiziaria</w:t>
      </w:r>
    </w:p>
    <w:p>
      <w:pPr>
        <w:spacing w:after="120" w:line="276"/>
        <w:jc w:val="both"/>
      </w:pPr>
      <w:r>
        <w:rPr>
          <w:rFonts w:ascii="Barlow Semi Condensed" w:cs="Barlow Semi Condensed" w:eastAsia="Barlow Semi Condensed" w:hAnsi="Barlow Semi Condensed"/>
          <w:sz w:val="24"/>
          <w:szCs w:val="24"/>
        </w:rPr>
        <w:t xml:space="preserve">La tranche riporta il caso Metropol nella sua interezza, perché la disciplina delle persone viventi impone di dare al fatto e al suo esito giudiziario pari evidenza. È documentato a Livello A che il 18 ottobre 2018, presso l'hotel Metropol di Mosca, si tenne un incontro tra Gianluca Savoini, l'avvocato Gianluca Meranda e il consulente Francesco Vannucci, da parte italiana, e tre interlocutori russi considerati intermediari, nel corso del quale si discusse di un'operazione di compravendita petrolifera che, secondo la registrazione audio dell'incontro poi resa pubblica da una testata statunitense nel luglio 2019, avrebbe dovuto generare provvista destinata al finanziamento del partito della Lega. Ne seguì un procedimento della Procura di Milano per corruzione internazionale a carico dei tre cittadini italiani. È parimenti documentato a Livello A che il procedimento si è concluso il 27 aprile 2023 con decreto di archiviazione del giudice per le indagini preliminari, su conforme richiesta dei pubblici ministeri, e che il leader della Lega non è mai stato indagato nella vicenda.</w:t>
      </w:r>
    </w:p>
    <w:p>
      <w:pPr>
        <w:spacing w:after="120" w:line="276"/>
        <w:jc w:val="both"/>
      </w:pPr>
      <w:r>
        <w:rPr>
          <w:rFonts w:ascii="Barlow Semi Condensed" w:cs="Barlow Semi Condensed" w:eastAsia="Barlow Semi Condensed" w:hAnsi="Barlow Semi Condensed"/>
          <w:sz w:val="24"/>
          <w:szCs w:val="24"/>
        </w:rPr>
        <w:t xml:space="preserve">La motivazione dell'archiviazione, quale risulta dalla cronaca giudiziaria convergente, presenta una duplice faccia che il registro riporta integralmente perché ometterne una parte violerebbe la continenza in danno degli uni o degli altri. Da un lato il giudice ha rilevato che gli atti compiuti risultavano inequivocabilmente diretti verso l'obiettivo finale di finanziare illecitamente il partito, grazie ai rapporti che il principale indagato aveva saputo tessere con influenti ambienti russi; dall'altro ha escluso la configurabilità del reato contestato e ogni ragionevole previsione di condanna, poiché l'operazione principale non fu mai conclusa, la fase di destinazione delle somme non fu mai raggiunta e l'identificazione dei soggetti russi e delle loro cariche risultò impossibile per la mancata risposta della Federazione Russa alla rogatoria. Gli accertamenti dei pubblici ministeri, riportati dalla cronaca giudiziaria, indicarono altresì che alla trattativa partecipò Aleksandr Dugin in rappresentanza di alti esponenti dell'establishment russo. Il registro ne trae la formulazione vincolante per ogni versione dell'opera: l'incontro, l'audio, il procedimento e gli accertamenti sono fatti riportabili; nessuna responsabilità penale è stata accertata a carico di alcuno; l'archiviazione per impossibilità di ragionevole previsione di condanna non equivale a un accertamento negativo dei fatti né, all'opposto, autorizza a presentare come provato ciò che il processo non ha provato. Ogni formulazione che ecceda questo perimetro, in un senso o nell'altro, è vietata.</w:t>
      </w:r>
    </w:p>
    <w:p>
      <w:pPr>
        <w:spacing w:after="120" w:line="276"/>
        <w:jc w:val="both"/>
      </w:pPr>
      <w:r>
        <w:rPr>
          <w:rFonts w:ascii="Barlow Semi Condensed" w:cs="Barlow Semi Condensed" w:eastAsia="Barlow Semi Condensed" w:hAnsi="Barlow Semi Condensed"/>
          <w:sz w:val="24"/>
          <w:szCs w:val="24"/>
        </w:rPr>
        <w:t xml:space="preserve">7.9 — La svolta del 2020 e la tesi dell'infiltrazione: gradazione e attribuzione</w:t>
      </w:r>
    </w:p>
    <w:p>
      <w:pPr>
        <w:spacing w:after="120" w:line="276"/>
        <w:jc w:val="both"/>
      </w:pPr>
      <w:r>
        <w:rPr>
          <w:rFonts w:ascii="Barlow Semi Condensed" w:cs="Barlow Semi Condensed" w:eastAsia="Barlow Semi Condensed" w:hAnsi="Barlow Semi Condensed"/>
          <w:sz w:val="24"/>
          <w:szCs w:val="24"/>
        </w:rPr>
        <w:t xml:space="preserve">Due elementi conclusivi della biografia vanno gradati con cura. Il primo è la svolta pubblica del 2020: in un documentario diffuso in rete nel gennaio di quell'anno, e in successive esternazioni riscontrate dalla cronaca, Murelli e Rainaldo Graziani annunciarono la chiusura con l'esperienza e con l'identità neofascista e la propria ricollocazione nella Quarta Teoria Politica di Dugin. L'annuncio è documentato a Livello A come atto pubblico; la sua qualificazione — se compimento coerente di una traiettoria quarantennale dal nazionalbolscevismo all'eurasiatismo, piuttosto che cesura — è materia interpretativa che il registro lascia aperta. Il secondo è la tesi formulata nel 2019 dal libro-inchiesta di Claudio Gatti sui demoni di Salvini, secondo cui Murelli sarebbe stato ispiratore e artefice di infiltrazioni postfasciste nella Lega, idonee a orientarne il vertice e a farne veicolo dell'influenza russa in Europa; tesi ripresa da trasmissioni televisive d'inchiesta del servizio pubblico e di emittenti private nell'autunno del medesimo anno. Il registro certifica a Livello A l'esistenza e il contenuto della tesi e delle inchieste; certifica a Livello A i singoli fatti su cui esse poggiano, nella misura in cui sono stati autonomamente riscontrati nei paragrafi che precedono; ma mantiene la tesi complessiva — l'infiltrazione intenzionale e diretta come disegno unitario — al rango di ipotesi interpretativa attribuita alla fonte, a Livello C, perché essa eccede la somma dei fatti documentati e nessun accertamento giudiziario l'ha convalidata. È esattamente il punto in cui la Regola Ferrea separa la concatenazione documentata delle biografie dall'attribuzione di un mandato.</w:t>
      </w:r>
    </w:p>
    <w:p>
      <w:pPr>
        <w:spacing w:after="120" w:line="276"/>
        <w:jc w:val="both"/>
      </w:pPr>
      <w:r>
        <w:rPr>
          <w:rFonts w:ascii="Barlow Semi Condensed" w:cs="Barlow Semi Condensed" w:eastAsia="Barlow Semi Condensed" w:hAnsi="Barlow Semi Condensed"/>
          <w:sz w:val="24"/>
          <w:szCs w:val="24"/>
        </w:rPr>
        <w:t xml:space="preserve">7.10 — Verdetto della tranche: l'aggiornamento formale del secondo Stato Zero</w:t>
      </w:r>
    </w:p>
    <w:p>
      <w:pPr>
        <w:spacing w:after="120" w:line="276"/>
        <w:jc w:val="both"/>
      </w:pPr>
      <w:r>
        <w:rPr>
          <w:rFonts w:ascii="Barlow Semi Condensed" w:cs="Barlow Semi Condensed" w:eastAsia="Barlow Semi Condensed" w:hAnsi="Barlow Semi Condensed"/>
          <w:sz w:val="24"/>
          <w:szCs w:val="24"/>
        </w:rPr>
        <w:t xml:space="preserve">La tranche impone di aggiornare formalmente il registro delle non-connessioni. Il secondo Stato Zero della prima tranche — l'assenza di documenti che stabilissero continuità di attori tra la Formazione Alfa e la Formazione Beta — è superato nella sua prima metà: la continuità di attori e di ambiente è ora documentata a Livello A, incarnata in un corridoio biografico plurimo e verificato — Murelli, dal giovedì nero all'editoria duginiana; Borghezio, da Jeune Europe a Orion-Finanza alla Lega; Mutti, da Jeune Europe alla rivista Eurasia; la dinastia Graziani, dal santuario paraguaiano all'accompagnamento di Dugin; Savoini, dall'orbita di Orion all'accordo con Russia Unita e al Metropol. Resta invece integro, e viene qui ricertificato come Stato Zero, il nucleo duro della non-connessione: nessun documento del corpus né della campagna di verifica stabilisce una continuità di comando, di committenza o di sponsor tra le due formazioni. Il corridoio documentato è un corridoio di persone e di idee che cambiano campo, non una catena di trasmissione di ordini; e il corpus stesso certifica, con la distinzione tra la filiera atlantista facente capo ad Aginter Press e la filiera antiatlantista facente capo a Jeune Europe, che già all'interno della Formazione Alfa coesistevano due linee opposte quanto a collocazione geopolitica, prive di contatti documentati tra loro.</w:t>
      </w:r>
    </w:p>
    <w:p>
      <w:pPr>
        <w:spacing w:after="120" w:line="276"/>
        <w:jc w:val="both"/>
      </w:pPr>
      <w:r>
        <w:rPr>
          <w:rFonts w:ascii="Barlow Semi Condensed" w:cs="Barlow Semi Condensed" w:eastAsia="Barlow Semi Condensed" w:hAnsi="Barlow Semi Condensed"/>
          <w:sz w:val="24"/>
          <w:szCs w:val="24"/>
        </w:rPr>
        <w:t xml:space="preserve">Ne discendono tre conseguenze per la matrice delle ipotesi. La prima è un raffinamento di H2: il polo nero della Guerra Fredda non era monolitico; la componente che confluisce nell'eurasiatismo filorusso non è quella atlantista del Condor e di Aginter, ma la corrente antiatlantista thiriartiana, minoritaria e distinta, che dell'antiamericanismo aveva fatto il proprio codice fin dagli anni Sessanta. Il capovolgimento di polarità certificato nella prima tranche va dunque precisato: più che un capovolgimento, è l'emersione egemonica, dentro l'area radicale, della sua corrente da sempre orientata a Est, promossa dall'irrilevanza alla centralità dall'investimento russo contemporaneo. La seconda conseguenza è che H1, l'ipotesi del condominio, ne esce ulteriormente contraddetta: il corridoio documentato è esplicitamente e costitutivamente antiamericano in ogni sua stazione, e non presenta traccia di regia o di beneficio statunitense. La terza è che H2 medesima, pur ulteriormente meno contraddetta, resta a Livello C: la continuità di ambiente ora provata rende l'ipotesi più solida, ma la continuità di committenza che la sua forma forte presuppone rimane uno Stato Zero, e il registro rifiuta di colmarlo per via narrativa.</w:t>
      </w:r>
    </w:p>
    <w:p>
      <w:pPr>
        <w:spacing w:after="120" w:line="276"/>
        <w:jc w:val="both"/>
      </w:pPr>
      <w:r>
        <w:rPr>
          <w:rFonts w:ascii="Barlow Semi Condensed" w:cs="Barlow Semi Condensed" w:eastAsia="Barlow Semi Condensed" w:hAnsi="Barlow Semi Condensed"/>
          <w:sz w:val="24"/>
          <w:szCs w:val="24"/>
        </w:rPr>
        <w:t xml:space="preserve">7.11 — Registro dei blocchi di verifica della seconda tranche</w:t>
      </w:r>
    </w:p>
    <w:p>
      <w:pPr>
        <w:spacing w:after="120" w:line="276"/>
        <w:jc w:val="both"/>
      </w:pPr>
      <w:r>
        <w:rPr>
          <w:rFonts w:ascii="Barlow Semi Condensed" w:cs="Barlow Semi Condensed" w:eastAsia="Barlow Semi Condensed" w:hAnsi="Barlow Semi Condensed"/>
          <w:sz w:val="24"/>
          <w:szCs w:val="24"/>
        </w:rPr>
        <w:t xml:space="preserve">Blocco undici, dinamica e condanne del giovedì nero. La sequenza dei fatti del 12 aprile 1973, l'identità della vittima, la tipologia dell'ordigno, le condanne di Loi e Murelli e la provenienza delle bombe da Nico Azzi del gruppo La Fenice sono confermate dalla convergenza di voce enciclopedica dedicata, storiografia, cronaca giudiziaria pluridecennale e corpus. Esito: confermato a Livello A.</w:t>
      </w:r>
    </w:p>
    <w:p>
      <w:pPr>
        <w:spacing w:after="120" w:line="276"/>
        <w:jc w:val="both"/>
      </w:pPr>
      <w:r>
        <w:rPr>
          <w:rFonts w:ascii="Barlow Semi Condensed" w:cs="Barlow Semi Condensed" w:eastAsia="Barlow Semi Condensed" w:hAnsi="Barlow Semi Condensed"/>
          <w:sz w:val="24"/>
          <w:szCs w:val="24"/>
        </w:rPr>
        <w:t xml:space="preserve">Blocco dodici, posizione dei fratelli La Russa. La presenza in testa al corteo e la contestuale estraneità accertata ai fatti di sangue, con la ritrattazione delle iniziali chiamate in correo da parte degli stessi dichiaranti, sono confermate dalla convergenza di più testate indipendenti. Una fonte isolata di segno diverso è stata registrata e non utilizzata per difetto di riscontro. Esito: confermato a Livello A nella formulazione bilanciata sopra enunciata, che è l'unica ammessa nell'opera.</w:t>
      </w:r>
    </w:p>
    <w:p>
      <w:pPr>
        <w:spacing w:after="120" w:line="276"/>
        <w:jc w:val="both"/>
      </w:pPr>
      <w:r>
        <w:rPr>
          <w:rFonts w:ascii="Barlow Semi Condensed" w:cs="Barlow Semi Condensed" w:eastAsia="Barlow Semi Condensed" w:hAnsi="Barlow Semi Condensed"/>
          <w:sz w:val="24"/>
          <w:szCs w:val="24"/>
        </w:rPr>
        <w:t xml:space="preserve">Blocco tredici, macchina editoriale e contenuti di Orion. Fondazione, cronologia e collocazione della filiera Barbarossa-Orion-AGA sono confermate a Livello A; la caratterizzazione contenutistica antigiudaica e negazionista è confermata a Livello B sulla base dello studio accademico di riferimento, cui è attribuita. L'anticipazione eurasiatista del 1985 è confermata a Livello B sulla base del corpus. Esito: confermato con gradazione differenziata.</w:t>
      </w:r>
    </w:p>
    <w:p>
      <w:pPr>
        <w:spacing w:after="120" w:line="276"/>
        <w:jc w:val="both"/>
      </w:pPr>
      <w:r>
        <w:rPr>
          <w:rFonts w:ascii="Barlow Semi Condensed" w:cs="Barlow Semi Condensed" w:eastAsia="Barlow Semi Condensed" w:hAnsi="Barlow Semi Condensed"/>
          <w:sz w:val="24"/>
          <w:szCs w:val="24"/>
        </w:rPr>
        <w:t xml:space="preserve">Blocco quattordici, traiettoria di Borghezio. Militanza in Jeune Europe dal 1962, area ordinovista, fermo dell'11 luglio 1976 al confine con la cartolina minatoria indirizzata al magistrato Violante il giorno successivo all'omicidio Occorsio, direzione di Orion-Finanza, ingresso nella Lega nel 1990 e successivi mandati parlamentari nazionali ed europei sono confermati dalla convergenza di fonti archivistiche specializzate, voci enciclopediche referenziate e letteratura accademica. Esito: confermato a Livello A.</w:t>
      </w:r>
    </w:p>
    <w:p>
      <w:pPr>
        <w:spacing w:after="120" w:line="276"/>
        <w:jc w:val="both"/>
      </w:pPr>
      <w:r>
        <w:rPr>
          <w:rFonts w:ascii="Barlow Semi Condensed" w:cs="Barlow Semi Condensed" w:eastAsia="Barlow Semi Condensed" w:hAnsi="Barlow Semi Condensed"/>
          <w:sz w:val="24"/>
          <w:szCs w:val="24"/>
        </w:rPr>
        <w:t xml:space="preserve">Blocco quindici, collocazione di Savoini. L'orbita giovanile nel circuito di Orion, la fondazione dell'Associazione Lombardia-Russia e il ruolo di artefice organizzativo dell'accordo Lega-Russia Unita sono confermati dalla convergenza di corpus, cronaca e letteratura. Esito: confermato a Livello A nei fatti esterni.</w:t>
      </w:r>
    </w:p>
    <w:p>
      <w:pPr>
        <w:spacing w:after="120" w:line="276"/>
        <w:jc w:val="both"/>
      </w:pPr>
      <w:r>
        <w:rPr>
          <w:rFonts w:ascii="Barlow Semi Condensed" w:cs="Barlow Semi Condensed" w:eastAsia="Barlow Semi Condensed" w:hAnsi="Barlow Semi Condensed"/>
          <w:sz w:val="24"/>
          <w:szCs w:val="24"/>
        </w:rPr>
        <w:t xml:space="preserve">Blocco sedici, caso Metropol. L'incontro del 18 ottobre 2018, la pubblicazione dell'audio nel luglio 2019, il procedimento per corruzione internazionale, l'archiviazione del 27 aprile 2023 con la duplice motivazione sopra riportata, la posizione mai indagata del leader della Lega e l'accertamento dei pubblici ministeri sulla partecipazione di Dugin alla trattativa sono confermati dalla convergenza di agenzia di stampa nazionale, principali testate economiche e generaliste e cronaca giudiziaria. Esito: confermato a Livello A, con la formulazione vincolante di cui al capitolo dedicato.</w:t>
      </w:r>
    </w:p>
    <w:p>
      <w:pPr>
        <w:spacing w:after="120" w:line="276"/>
        <w:jc w:val="both"/>
      </w:pPr>
      <w:r>
        <w:rPr>
          <w:rFonts w:ascii="Barlow Semi Condensed" w:cs="Barlow Semi Condensed" w:eastAsia="Barlow Semi Condensed" w:hAnsi="Barlow Semi Condensed"/>
          <w:sz w:val="24"/>
          <w:szCs w:val="24"/>
        </w:rPr>
        <w:t xml:space="preserve">Blocco diciassette, anno-cerniera 1992. La conferenza milanese di Dugin al circolo delle Stelline su invito dell'area Orion e il viaggio moscovita di Thiriart con accompagnamento italiano, seguito a breve dalla morte del fondatore di Jeune Europe, sono confermati dalla convergenza di testimonianza diretta di ambiente, corpus e letteratura accademica indipendente. Esito: confermato a Livello A.</w:t>
      </w:r>
    </w:p>
    <w:p>
      <w:pPr>
        <w:spacing w:after="120" w:line="276"/>
        <w:jc w:val="both"/>
      </w:pPr>
      <w:r>
        <w:rPr>
          <w:rFonts w:ascii="Barlow Semi Condensed" w:cs="Barlow Semi Condensed" w:eastAsia="Barlow Semi Condensed" w:hAnsi="Barlow Semi Condensed"/>
          <w:sz w:val="24"/>
          <w:szCs w:val="24"/>
        </w:rPr>
        <w:t xml:space="preserve">Blocco diciotto, filiera editoriale duginiana. La pubblicazione sistematica delle opere di Dugin da parte di AGA Editrice a partire dal 2018 e il ruolo di Murelli quale principale editore e organizzatore italiano delle presenze pubbliche dell'ideologo sono confermati da cronaca, cataloghi pubblici e autodichiarazioni. Esito: confermato a Livello A.</w:t>
      </w:r>
    </w:p>
    <w:p>
      <w:pPr>
        <w:spacing w:after="120" w:line="276"/>
        <w:jc w:val="both"/>
      </w:pPr>
      <w:r>
        <w:rPr>
          <w:rFonts w:ascii="Barlow Semi Condensed" w:cs="Barlow Semi Condensed" w:eastAsia="Barlow Semi Condensed" w:hAnsi="Barlow Semi Condensed"/>
          <w:sz w:val="24"/>
          <w:szCs w:val="24"/>
        </w:rPr>
        <w:t xml:space="preserve">Blocco diciannove, dinastia Graziani. La biografia di Clemente Graziani — fondazione di Ordine Nuovo, condanna per ricostituzione del partito fascista, latitanza, rifiuto paraguaiano dell'estradizione, morte ad Asunción nel gennaio 1996 e proscioglimento con formula piena in sede di legittimità dall'accusa per l'omicidio Occorsio — e la traiettoria del figlio Rainaldo — Meridiano Zero, raccordo con Adinolfi, co-curatela dell'Università d'Estate del 2000, ruolo organizzativo nella presenza italiana di Dugin, annuncio congiunto del 2020 — sono confermate dalla convergenza di voci enciclopediche, cronaca e letteratura. Esito: confermato a Livello A.</w:t>
      </w:r>
    </w:p>
    <w:p>
      <w:pPr>
        <w:spacing w:after="120" w:line="276"/>
        <w:jc w:val="both"/>
      </w:pPr>
      <w:r>
        <w:rPr>
          <w:rFonts w:ascii="Barlow Semi Condensed" w:cs="Barlow Semi Condensed" w:eastAsia="Barlow Semi Condensed" w:hAnsi="Barlow Semi Condensed"/>
          <w:sz w:val="24"/>
          <w:szCs w:val="24"/>
        </w:rPr>
        <w:t xml:space="preserve">Blocco venti, Università d'Estate del 2000 e genesi di CasaPound. Lo svolgimento del convegno e la sua composizione sono confermati a Livello A; la tesi del concepimento di CasaPound in quella sede è confermata a Livello B come ricostruzione accademica attribuita. Esito: confermato con gradazione differenziata.</w:t>
      </w:r>
    </w:p>
    <w:p>
      <w:pPr>
        <w:spacing w:after="120" w:line="276"/>
        <w:jc w:val="both"/>
      </w:pPr>
      <w:r>
        <w:rPr>
          <w:rFonts w:ascii="Barlow Semi Condensed" w:cs="Barlow Semi Condensed" w:eastAsia="Barlow Semi Condensed" w:hAnsi="Barlow Semi Condensed"/>
          <w:sz w:val="24"/>
          <w:szCs w:val="24"/>
        </w:rPr>
        <w:t xml:space="preserve">Blocco ventuno, svolta del 2020. L'annuncio pubblico congiunto di Murelli e Rainaldo Graziani di abbandono dell'identità neofascista in favore della Quarta Teoria Politica è confermato dalla convergenza del documento audiovisivo, della cronaca e delle fonti di area. Esito: confermato a Livello A come atto pubblico.</w:t>
      </w:r>
    </w:p>
    <w:p>
      <w:pPr>
        <w:spacing w:after="120" w:line="276"/>
        <w:jc w:val="both"/>
      </w:pPr>
      <w:r>
        <w:rPr>
          <w:rFonts w:ascii="Barlow Semi Condensed" w:cs="Barlow Semi Condensed" w:eastAsia="Barlow Semi Condensed" w:hAnsi="Barlow Semi Condensed"/>
          <w:sz w:val="24"/>
          <w:szCs w:val="24"/>
        </w:rPr>
        <w:t xml:space="preserve">Blocco ventidue, tesi dell'infiltrazione. L'esistenza, il contenuto e la ripresa televisiva della tesi del libro-inchiesta del 2019 sono confermate a Livello A; la tesi in quanto tale è mantenuta a Livello C e attribuita alla fonte, non essendo stata convalidata da alcun accertamento e non discendendo necessariamente dai fatti documentati. Esito: gradazione differenziata con divieto di assertorietà.</w:t>
      </w:r>
    </w:p>
    <w:p>
      <w:pPr>
        <w:spacing w:after="120" w:line="276"/>
        <w:jc w:val="both"/>
      </w:pPr>
      <w:r>
        <w:rPr>
          <w:rFonts w:ascii="Barlow Semi Condensed" w:cs="Barlow Semi Condensed" w:eastAsia="Barlow Semi Condensed" w:hAnsi="Barlow Semi Condensed"/>
          <w:sz w:val="24"/>
          <w:szCs w:val="24"/>
        </w:rPr>
        <w:t xml:space="preserve">7.12 — Rilievi civili e penali della seconda tranche e censimento dei collegamenti</w:t>
      </w:r>
    </w:p>
    <w:p>
      <w:pPr>
        <w:spacing w:after="120" w:line="276"/>
        <w:jc w:val="both"/>
      </w:pPr>
      <w:r>
        <w:rPr>
          <w:rFonts w:ascii="Barlow Semi Condensed" w:cs="Barlow Semi Condensed" w:eastAsia="Barlow Semi Condensed" w:hAnsi="Barlow Semi Condensed"/>
          <w:sz w:val="24"/>
          <w:szCs w:val="24"/>
        </w:rPr>
        <w:t xml:space="preserve">Il triage delle persone viventi si arricchisce delle posizioni seguenti. Maurizio Murelli: la condanna definitiva, l'attività editoriale e le prese di posizione pubbliche sono fatti riportabili; la qualifica di ex terrorista, di uso corrente nella cronaca, va sempre accompagnata dalla precisazione del titolo effettivo di condanna, il concorso in omicidio nella forma sopra descritta, a garanzia di continenza; le tesi che gli attribuiscono un disegno di infiltrazione vanno attribuite alla fonte. Si segnala, quale caveat ulteriore, che la cronaca documenta anche casi di notizie false costruite ai danni del medesimo, poi smentite: la triangolazione è dovuta in entrambe le direzioni. Mario Borghezio: la sequenza biografica è riportabile come concatenazione di fatti documentati; il fermo del 1976 va riportato per ciò che fu, senza inferenze sull'omicidio Occorsio, per il quale nessun addebito gli fu mosso. Gianluca Savoini: i fatti esterni e l'esito giudiziario del Metropol vanno riportati congiuntamente, nella formulazione vincolante del capitolo dedicato. Rainaldo Graziani: solo i fatti pubblici documentati; le sue dichiarazioni pubbliche sono citabili come tali. Ignazio e Romano La Russa: esclusivamente la formulazione bilanciata del blocco dodici; ogni accostamento ulteriore è vietato. Gabriele Adinolfi e Adriano Scianca: ruoli pubblici documentati. Quanto ai defunti — Clemente Graziani, Concutelli, Freda, Thiriart, Terracciano — vige la disciplina dell'accuratezza, con l'obbligo specifico di riportare il proscioglimento di Graziani dall'accusa Occorsio e la distinzione tra le condanne effettive di ciascuno e le attribuzioni di vulgata.</w:t>
      </w:r>
    </w:p>
    <w:p>
      <w:pPr>
        <w:spacing w:after="120" w:line="276"/>
        <w:jc w:val="both"/>
      </w:pPr>
      <w:r>
        <w:rPr>
          <w:rFonts w:ascii="Barlow Semi Condensed" w:cs="Barlow Semi Condensed" w:eastAsia="Barlow Semi Condensed" w:hAnsi="Barlow Semi Condensed"/>
          <w:sz w:val="24"/>
          <w:szCs w:val="24"/>
        </w:rPr>
        <w:t xml:space="preserve">Il censimento dei collegamenti estratti dalla fonte-innesco, richiesto dal mandato, registra le sette note della voce: gli articoli di cronaca delle testate repubblica.it, giornalettismo.com e altreconomia.it; la ricostruzione del quotidiano milanese corriere.it sul giovedì nero; lo studio di Andriola sul Giornale di storia contemporanea, privo di collegamento e reperito per titolo; la scheda dell'inchiesta televisiva del servizio pubblico del 21 ottobre 2019 sul portale rai.it; e il documento del sito di area fascinazione.info sull'annuncio del 2020. Tutti i collegamenti sono stati vagliati direttamente o riscontrati per titolo e contenuto attraverso fonti convergenti; le fonti aggiuntive della campagna — testate nazionali, agenzia di stampa, archivi specializzati sull'estrema destra, letteratura accademica sull'illiberalismo e voci enciclopediche referenziate in lingua inglese — sono conservate nel fascicolo di lavorazione secondo il principio della catena di custodia.</w:t>
      </w:r>
    </w:p>
    <w:p>
      <w:pPr>
        <w:pStyle w:val="Heading3"/>
        <w:spacing w:after="80" w:before="160"/>
      </w:pPr>
      <w:r>
        <w:rPr>
          <w:rFonts w:ascii="Barlow Semi Condensed" w:cs="Barlow Semi Condensed" w:eastAsia="Barlow Semi Condensed" w:hAnsi="Barlow Semi Condensed"/>
          <w:sz w:val="24"/>
          <w:szCs w:val="24"/>
        </w:rPr>
        <w:t xml:space="preserve">CHIUSA DELLA SECONDA TRANCHE</w:t>
      </w:r>
    </w:p>
    <w:p>
      <w:pPr>
        <w:spacing w:after="120" w:line="276"/>
        <w:jc w:val="both"/>
      </w:pPr>
      <w:r>
        <w:rPr>
          <w:rFonts w:ascii="Barlow Semi Condensed" w:cs="Barlow Semi Condensed" w:eastAsia="Barlow Semi Condensed" w:hAnsi="Barlow Semi Condensed"/>
          <w:sz w:val="24"/>
          <w:szCs w:val="24"/>
        </w:rPr>
        <w:t xml:space="preserve">La seconda tranche consegna all'opera il suo primo corridoio inter-formazione documentato e, insieme, la conferma più severa dei suoi limiti. Ciò che ora è provato — e che nessuna cautela deve più sminuire — è che tra il neofascismo degli anni di piombo e la proiezione eurasiatista contemporanea corre una continuità di persone, di luoghi editoriali e di idee, verificata nome per nome e data per data. Ciò che continua a non essere provato — e che nessuna suggestione deve anticipare — è che quella continuità sia stata, in alcun tratto, una catena di comando. Il registro consegna alle tranche successive tre direzioni di falsificazione prioritarie: la ricerca di eventuali documenti che attestino contatti tra la filiera thiriartiana e apparati sovietici prima del 1991, che se trovati modificherebbero radicalmente la cronologia dell'investimento orientale sull'area; la ricognizione analitica dei finanziamenti della filiera editoriale, che è il punto in cui una continuità di committenza, se esistesse, dovrebbe lasciare traccia; e il vaglio delle restanti voci enciclopediche acquisite al corpus, dalla Banda della Magliana ai Nuclei Armati Rivoluzionari alla strage di Bologna, secondo il medesimo protocollo qui applicato. Ogni versione successiva conserverà integralmente la presente, secondo il principio di conservazione cumulativa che governa l'opera.</w:t>
      </w:r>
    </w:p>
    <w:p>
      <w:pPr>
        <w:pStyle w:val="Heading3"/>
        <w:spacing w:after="80" w:before="160"/>
      </w:pPr>
      <w:r>
        <w:rPr>
          <w:rFonts w:ascii="Barlow Semi Condensed" w:cs="Barlow Semi Condensed" w:eastAsia="Barlow Semi Condensed" w:hAnsi="Barlow Semi Condensed"/>
          <w:sz w:val="24"/>
          <w:szCs w:val="24"/>
        </w:rPr>
        <w:t xml:space="preserve">TERZA TRANCHE — FASE VIII: LE TRE DIREZIONI DI FALSIFICAZIONE. BOLOGNA, LA MAGLIANA E IL CASO MATTARELLA</w:t>
      </w:r>
    </w:p>
    <w:p>
      <w:pPr>
        <w:spacing w:after="120" w:line="276"/>
        <w:jc w:val="both"/>
      </w:pPr>
      <w:r>
        <w:rPr>
          <w:rFonts w:ascii="Barlow Semi Condensed" w:cs="Barlow Semi Condensed" w:eastAsia="Barlow Semi Condensed" w:hAnsi="Barlow Semi Condensed"/>
          <w:sz w:val="24"/>
          <w:szCs w:val="24"/>
        </w:rPr>
        <w:t xml:space="preserve">8.1 — Oggetto della tranche e mandato</w:t>
      </w:r>
    </w:p>
    <w:p>
      <w:pPr>
        <w:spacing w:after="120" w:line="276"/>
        <w:jc w:val="both"/>
      </w:pPr>
      <w:r>
        <w:rPr>
          <w:rFonts w:ascii="Barlow Semi Condensed" w:cs="Barlow Semi Condensed" w:eastAsia="Barlow Semi Condensed" w:hAnsi="Barlow Semi Condensed"/>
          <w:sz w:val="24"/>
          <w:szCs w:val="24"/>
        </w:rPr>
        <w:t xml:space="preserve">La terza tranche esegue le tre direzioni di falsificazione consegnate dalla chiusa della seconda: la ricerca di contatti documentati tra la filiera thiriartiana e gli apparati sovietici prima del 1991; la ricognizione dei finanziamenti della filiera editoriale che dal 1984 congiunge Orion all'editoria eurasiatista; il vaglio, con il medesimo protocollo, delle voci residue acquisite al corpus, con priorità alla strage di Bologna, alla Banda della Magliana e all'omicidio di Piersanti Mattarella. Il metodo resta invariato: triangolazione integrale tra corpus e fonti esterne indipendenti, gradazione Savona su ogni asserzione, Regola Ferrea sui salti inferenziali, statuto pieno dello Stato Zero, disciplina rafforzata per le persone viventi. Le prime due direzioni sono esercizi di falsificazione in senso proprio: se avessero restituito riscontri positivi, avrebbero modificato la cronologia dell'investimento orientale sull'area e la natura della continuità tra le due formazioni; l'esito negativo, come si vedrà, è esso stesso un risultato diagnostico di prima classe.</w:t>
      </w:r>
    </w:p>
    <w:p>
      <w:pPr>
        <w:spacing w:after="120" w:line="276"/>
        <w:jc w:val="both"/>
      </w:pPr>
      <w:r>
        <w:rPr>
          <w:rFonts w:ascii="Barlow Semi Condensed" w:cs="Barlow Semi Condensed" w:eastAsia="Barlow Semi Condensed" w:hAnsi="Barlow Semi Condensed"/>
          <w:sz w:val="24"/>
          <w:szCs w:val="24"/>
        </w:rPr>
        <w:t xml:space="preserve">8.2 — Direzione prima: la filiera thiriartiana e gli apparati sovietici prima del 1991</w:t>
      </w:r>
    </w:p>
    <w:p>
      <w:pPr>
        <w:spacing w:after="120" w:line="276"/>
        <w:jc w:val="both"/>
      </w:pPr>
      <w:r>
        <w:rPr>
          <w:rFonts w:ascii="Barlow Semi Condensed" w:cs="Barlow Semi Condensed" w:eastAsia="Barlow Semi Condensed" w:hAnsi="Barlow Semi Condensed"/>
          <w:sz w:val="24"/>
          <w:szCs w:val="24"/>
        </w:rPr>
        <w:t xml:space="preserve">Il vaglio restituisce anzitutto una cronologia dottrinaria più antica di quanto la seconda tranche avesse fissato. La svolta filosovietica di Jean Thiriart non data dagli anni Ottanta ma dal novembre 1968, quando sulla rivista La Nation Européenne, numero ventinove, l'articolo «Prague, l'URSS et l'Europe» esprime soddisfazione per l'intervento sovietico a Praga e delinea una «strategia dell'attenzione» verso l'URSS, abbandonando la vecchia parola d'ordine «né Mosca né Washington» in favore di quella che i suoi esegeti riassumeranno come «con Mosca contro Washington». Il testo è pubblicato e datato: Livello A. Negli anni 1984-1985 Thiriart lavora al trattato L'Empire euro-soviétique de Vladivostok à Dublin, articolato in quindici capitoli: ma il manoscritto non vide mai la luce durante la vita dell'autore e fu pubblicato postumo, in edizione italiana, dalle edizioni all'insegna del Veltro oltre due decenni dopo la morte. Anche questo dato è documentale: Livello A.</w:t>
      </w:r>
    </w:p>
    <w:p>
      <w:pPr>
        <w:spacing w:after="120" w:line="276"/>
        <w:jc w:val="both"/>
      </w:pPr>
      <w:r>
        <w:rPr>
          <w:rFonts w:ascii="Barlow Semi Condensed" w:cs="Barlow Semi Condensed" w:eastAsia="Barlow Semi Condensed" w:hAnsi="Barlow Semi Condensed"/>
          <w:sz w:val="24"/>
          <w:szCs w:val="24"/>
        </w:rPr>
        <w:t xml:space="preserve">Il punto decisivo è però ciò che il vaglio non ha trovato. Nessuna fonte esaminata documenta una reciprocazione sovietica del corteggiamento thiriartiano prima del 1991: nessun finanziamento, nessun invito ufficiale, nessuna pubblicazione o amplificazione dei suoi testi da parte dell'apparato sovietico, nessun canale operativo accertato. Il manoscritto del 1984-1985 rimasto inedito in vita è, in questa prospettiva, l'indizio più eloquente: un teorico che avesse goduto di sponsorizzazione orientale avrebbe trovato un editore. Il primo viaggio moscovita documentato resta quello dell'agosto 1992, già certificato nella seconda tranche, quando l'Unione Sovietica non esisteva più. La connessione cercata e non trovata viene quindi registrata con il suo statuto pieno: Stato Zero sulla reciprocazione sovietica pre-1991 verso la filiera thiriartiana.</w:t>
      </w:r>
    </w:p>
    <w:p>
      <w:pPr>
        <w:spacing w:after="120" w:line="276"/>
        <w:jc w:val="both"/>
      </w:pPr>
      <w:r>
        <w:rPr>
          <w:rFonts w:ascii="Barlow Semi Condensed" w:cs="Barlow Semi Condensed" w:eastAsia="Barlow Semi Condensed" w:hAnsi="Barlow Semi Condensed"/>
          <w:sz w:val="24"/>
          <w:szCs w:val="24"/>
        </w:rPr>
        <w:t xml:space="preserve">La controprova sul corpus rende questo Stato Zero diagnostico. Il canale orientale documentato in Italia prima del 1991 esisteva, ed era un altro: quello comunista. Gli elaborati acquisiti al corpus dalla Commissione Stragi della tredicesima legislatura, attingendo al rapporto Impedian del dossier Mitrokhin, al lavoro archivistico di Valerio Riva su documentazione sovietica e agli atti dell'inchiesta romana sulla cosiddetta Gladio rossa, quantificano in circa novecentottantanove miliardi di lire, alla valuta annuale, i trasferimenti complessivi dell'URSS verso l'Italia, di cui circa ottocentottantanove destinati al PCI, pari a circa un quarto dell'intero fondo internazionale del PCUS; la scheda Impedian numero duecentoventicinque documenta il piano d'azione predisposto nel giugno 1967 dal quarto dipartimento del KGB-FCD, con approvazione del Comitato centrale del PCUS; il decreto di archiviazione della cosiddetta Gladio rossa, emesso dal giudice per le indagini preliminari di Roma Claudio D'Angelo il 6 luglio 1994, pur escludendo la dimostrabilità processuale della corruzione, sottolinea gli «inquietanti» riferimenti documentali ad addestramento al sabotaggio, armi, esplosivi e strutture clandestine «realizzate anche con la fattiva collaborazione del Kgb» e a un «notevole flusso di denaro proveniente dal Pcus». I dati di finanziamento, poggiando su documentazione sovietica edita e su atti giudiziari, si collocano a Livello A; la cornice interpretativa degli elaborati parlamentari da cui il corpus attinge resta invece attribuita ai loro estensori, poiché si tratta di elaborati non approvati all'unanimità e di parte, e la non-unanimità delle due fonti parlamentari principali, già registrata nel corpus, ne modifica lo statuto probatorio in ogni impiego.</w:t>
      </w:r>
    </w:p>
    <w:p>
      <w:pPr>
        <w:spacing w:after="120" w:line="276"/>
        <w:jc w:val="both"/>
      </w:pPr>
      <w:r>
        <w:rPr>
          <w:rFonts w:ascii="Barlow Semi Condensed" w:cs="Barlow Semi Condensed" w:eastAsia="Barlow Semi Condensed" w:hAnsi="Barlow Semi Condensed"/>
          <w:sz w:val="24"/>
          <w:szCs w:val="24"/>
        </w:rPr>
        <w:t xml:space="preserve">La composizione dei due esiti produce il rilievo strutturale della direzione: lo sponsor orientale non cambiò bersaglio, cambiò strumento. Prima del 1991 il canale documentato è quello comunista; dopo il 1991 il canale documentato è quello nazionalista ed eurasiatista, dal viaggio di Dugin del 1992 all'editoria di area fino al tentativo del Metropol. Ciascuna gamba di questa sequenza è certificata a Livello A; la loro composizione in un disegno unitario di lungo periodo resta però un'ipotesi, e la Regola Ferrea vieta di inferire una regia unica continuativa dalla mera successione di due canali. Il rilievo raffina H2 senza elevarne il grado.</w:t>
      </w:r>
    </w:p>
    <w:p>
      <w:pPr>
        <w:spacing w:after="120" w:line="276"/>
        <w:jc w:val="both"/>
      </w:pPr>
      <w:r>
        <w:rPr>
          <w:rFonts w:ascii="Barlow Semi Condensed" w:cs="Barlow Semi Condensed" w:eastAsia="Barlow Semi Condensed" w:hAnsi="Barlow Semi Condensed"/>
          <w:sz w:val="24"/>
          <w:szCs w:val="24"/>
        </w:rPr>
        <w:t xml:space="preserve">8.3 — Direzione seconda: i finanziamenti della filiera editoriale</w:t>
      </w:r>
    </w:p>
    <w:p>
      <w:pPr>
        <w:spacing w:after="120" w:line="276"/>
        <w:jc w:val="both"/>
      </w:pPr>
      <w:r>
        <w:rPr>
          <w:rFonts w:ascii="Barlow Semi Condensed" w:cs="Barlow Semi Condensed" w:eastAsia="Barlow Semi Condensed" w:hAnsi="Barlow Semi Condensed"/>
          <w:sz w:val="24"/>
          <w:szCs w:val="24"/>
        </w:rPr>
        <w:t xml:space="preserve">La seconda direzione chiedeva se la filiera editoriale che da Orion e Barbarossa conduce all'editoria eurasiatista contemporanea presenti flussi di finanziamento documentati da apparati o soggetti esteri. Il vaglio non ha reperito alcun flusso accertato: né sovvenzioni dirette, né triangolazioni societarie documentate, né provviste estere tracciate verso le sigle editoriali dell'area. L'unico episodio documentato di ricerca di provvista russa nell'area politica contigua resta quello dell'hotel Metropol del 18 ottobre 2018, che fu però un tentativo mai concluso e giudiziariamente archiviato il 27 aprile 2023 nei termini integrali fissati come vincolanti dalla seconda tranche. L'esito è dunque uno Stato Zero sui flussi editoriali, che il registro dichiara senza colmarlo per via congetturale: l'assenza di tracce finanziarie può dipendere dall'assenza dei flussi, dalla loro natura non tracciabile o dai limiti delle fonti aperte, e la direzione resta consegnata aperta alle tranche successive con questo perimetro esplicito.</w:t>
      </w:r>
    </w:p>
    <w:p>
      <w:pPr>
        <w:spacing w:after="120" w:line="276"/>
        <w:jc w:val="both"/>
      </w:pPr>
      <w:r>
        <w:rPr>
          <w:rFonts w:ascii="Barlow Semi Condensed" w:cs="Barlow Semi Condensed" w:eastAsia="Barlow Semi Condensed" w:hAnsi="Barlow Semi Condensed"/>
          <w:sz w:val="24"/>
          <w:szCs w:val="24"/>
        </w:rPr>
        <w:t xml:space="preserve">8.4 — La strage di Bologna: la chiusura esecutiva del quarto processo</w:t>
      </w:r>
    </w:p>
    <w:p>
      <w:pPr>
        <w:spacing w:after="120" w:line="276"/>
        <w:jc w:val="both"/>
      </w:pPr>
      <w:r>
        <w:rPr>
          <w:rFonts w:ascii="Barlow Semi Condensed" w:cs="Barlow Semi Condensed" w:eastAsia="Barlow Semi Condensed" w:hAnsi="Barlow Semi Condensed"/>
          <w:sz w:val="24"/>
          <w:szCs w:val="24"/>
        </w:rPr>
        <w:t xml:space="preserve">Il vaglio della voce sulla strage del 2 agosto 1980 — ottantacinque morti, oltre duecento feriti, il più grave attentato della storia repubblicana — trova un quadro giudiziario ormai chiuso sul piano esecutivo e triangolato in ogni passaggio tra la voce enciclopedica acquisita, il saggio accademico sul processo Bellini presente nel corpus e le monografie interne. Gli esecutori: Valerio Fioravanti e Francesca Mambro, condannati in via definitiva nel 1995; Luigi Ciavardini, condannato nel 2007; Gilberto Cavallini, condannato all'ergastolo con conferma in appello il 27 settembre 2023 e annoverato dal corpus tra le responsabilità definitivamente accertate; Paolo Bellini, il «quinto uomo», condannato all'ergastolo dalla Corte d'assise di Bologna il 6 aprile 2022, con conferma in appello l'8 luglio 2024 e conferma definitiva della Cassazione il 1º luglio 2025, che ha rigettato il ricorso depositato dalla difesa nel febbraio precedente. L'alibi di Bellini fu smontato da una prova reperita a quarant'anni di distanza per la caparbietà dell'associazione dei familiari delle vittime: una pellicola amatoriale in formato Super otto, girata in stazione da un turista ignaro pochi minuti prima dell'esplosione, i cui fotogrammi restituiscono il volto di Bellini tra i passeggeri. Nello stesso procedimento Piergiorgio Segatel è stato condannato a sei anni per depistaggio e Domenico Catracchia a quattro per false informazioni ai pubblici ministeri. L'intero blocco esecutivo è Livello A. La cellula risulta transorganizzativa: quadri dei NAR, di Terza Posizione e — con Bellini — di Avanguardia Nazionale, cioè della medesima galassia delle-chiaiana già mappata nella Formazione Alfa della prima tranche.</w:t>
      </w:r>
    </w:p>
    <w:p>
      <w:pPr>
        <w:spacing w:after="120" w:line="276"/>
        <w:jc w:val="both"/>
      </w:pPr>
      <w:r>
        <w:rPr>
          <w:rFonts w:ascii="Barlow Semi Condensed" w:cs="Barlow Semi Condensed" w:eastAsia="Barlow Semi Condensed" w:hAnsi="Barlow Semi Condensed"/>
          <w:sz w:val="24"/>
          <w:szCs w:val="24"/>
        </w:rPr>
        <w:t xml:space="preserve">8.5 — La strage di Bologna: mandanti, finanziatori e la consacrazione giudiziaria del nesso P2</w:t>
      </w:r>
    </w:p>
    <w:p>
      <w:pPr>
        <w:spacing w:after="120" w:line="276"/>
        <w:jc w:val="both"/>
      </w:pPr>
      <w:r>
        <w:rPr>
          <w:rFonts w:ascii="Barlow Semi Condensed" w:cs="Barlow Semi Condensed" w:eastAsia="Barlow Semi Condensed" w:hAnsi="Barlow Semi Condensed"/>
          <w:sz w:val="24"/>
          <w:szCs w:val="24"/>
        </w:rPr>
        <w:t xml:space="preserve">Il risultato storicamente più rilevante del quarto processo riguarda però il piano dei mandanti. La sentenza d'appello dell'8 luglio 2024 ha qualificato Licio Gelli e Umberto Ortolani quali mandanti e finanziatori dell'attentato, e Federico Umberto D'Amato, l'uomo dell'Ufficio Affari Riservati, e il senatore Mario Tedeschi quali organizzatori: tutti deceduti prima delle sentenze e perciò non giudicati, sicché la qualificazione ha natura di statuizione incidentale su defunti e non di condanna — precisazione di statuto che il registro rende obbligatoria in ogni menzione. Con questo perimetro, la statuizione è Livello A e consacra in sede giudiziaria il nesso tra la loggia P2 e la strage. Il movente ricostruito è quello della rappresaglia preventiva contro l'apparato giudiziario: appena due giorni prima dell'esplosione la magistratura aveva richiesto il rinvio a giudizio dei vertici dei gruppi toscani dell'estrema destra nelle inchieste su Ordine Nero e sulla strage dell'Italicus.</w:t>
      </w:r>
    </w:p>
    <w:p>
      <w:pPr>
        <w:spacing w:after="120" w:line="276"/>
        <w:jc w:val="both"/>
      </w:pPr>
      <w:r>
        <w:rPr>
          <w:rFonts w:ascii="Barlow Semi Condensed" w:cs="Barlow Semi Condensed" w:eastAsia="Barlow Semi Condensed" w:hAnsi="Barlow Semi Condensed"/>
          <w:sz w:val="24"/>
          <w:szCs w:val="24"/>
        </w:rPr>
        <w:t xml:space="preserve">Il tracciato finanziario poggia su due documenti. Il primo è il cosiddetto Documento Bologna, appunto manoscritto sequestrato nelle disponibilità di Gelli: secondo le perizie recepite dalla Corte, i milioni di dollari cui l'appunto fa riferimento furono distratti da conti del Banco Ambrosiano di Roberto Calvi e transitarono per conti cifrati svizzeri e per lo IOR, servendo in gran parte a pagare i costi della strage — in parte come rimborso a Gelli di anticipi versati a far data dal 20 luglio 1980, in parte come pagamenti a D'Amato, riscontrati anche nel documento denominato «Memoria», a Tedeschi e ad altri, tra cui Giorgio Di Nunzio — con l'antiquario Marco Ceruti quale intermediario, lo stesso che con Gelli, Ortolani e Pazienza sarà condannato per il crack dell'Ambrosiano. Il secondo è il cosiddetto Documento Artigli, la nota a firma del capo della Polizia Vincenzo Parisi che riferisce il colloquio del 14 ottobre 1987 tra l'avvocato di Gelli, Fabio Dean, e il direttore centrale della Polizia di prevenzione Umberto Pierantoni: il ricatto degli «artigli» che Gelli minacciava di sfoderare, e che la Corte ha posto in relazione proprio con il Documento Bologna. L'insieme salda in sede giudiziaria il quadrilatero interno della Formazione Alfa già descritto nella prima tranche: loggia coperta, terrorismo nero, apparati di sicurezza, finanza Ambrosiano-IOR. Sul medesimo piano degli apparati va richiamato, dal corpus, il precedente di Peteano: l'esplosivo C4 prelevato dal NASCO di Verona e la filiera di espatrio dei responsabili ordinovisti coperta dal SID verso la Spagna, cioè verso quello stesso hub iberico mappato nella prima tranche.</w:t>
      </w:r>
    </w:p>
    <w:p>
      <w:pPr>
        <w:spacing w:after="120" w:line="276"/>
        <w:jc w:val="both"/>
      </w:pPr>
      <w:r>
        <w:rPr>
          <w:rFonts w:ascii="Barlow Semi Condensed" w:cs="Barlow Semi Condensed" w:eastAsia="Barlow Semi Condensed" w:hAnsi="Barlow Semi Condensed"/>
          <w:sz w:val="24"/>
          <w:szCs w:val="24"/>
        </w:rPr>
        <w:t xml:space="preserve">8.6 — La Banda della Magliana: la cerniera crimine-eversione dentro lo Stato</w:t>
      </w:r>
    </w:p>
    <w:p>
      <w:pPr>
        <w:spacing w:after="120" w:line="276"/>
        <w:jc w:val="both"/>
      </w:pPr>
      <w:r>
        <w:rPr>
          <w:rFonts w:ascii="Barlow Semi Condensed" w:cs="Barlow Semi Condensed" w:eastAsia="Barlow Semi Condensed" w:hAnsi="Barlow Semi Condensed"/>
          <w:sz w:val="24"/>
          <w:szCs w:val="24"/>
        </w:rPr>
        <w:t xml:space="preserve">Il vaglio della voce sulla Banda della Magliana conferma integralmente il verdetto già iscritto nel registro di triangolazione del corpus. Il 25 novembre 1981 la Polizia scopre in uno scantinato del Ministero della Sanità, al civico trentaquattro di via Liszt, nel quartiere EUR di Roma, l'arsenale-madre dell'organizzazione: diciannove tra pistole e revolver, molte modificate con silenziatori artigianali di notevole perizia, un mitra Sten, un MAB trentotto, un PM dodici, fucili BM cinquantanove, bombe a mano, esplosivi, e cartucce Gevelot del lotto raro dello stesso tipo di quelle del delitto Pecorelli. Custode del deposito era Biagio Alesse, dipendente del Ministero, stipendiato dalla banda con un milione di lire al mese. Il quadro configura ciò che il corpus definisce lo Stato-contenitore inconsapevole: l'accoppiamento fisico tra crimine organizzato ed eversione dentro un edificio governativo. Il verdetto, che questo registro conferma con la sua doppia faccia, è il seguente: il travaso crimine-eversione è provato a Livello A; le responsabilità sul delitto Pecorelli non sono accertate, essendo intervenute le assoluzioni definitive della Corte d'assise d'appello di Perugia, e il reperto balistico resta un reperto senza condanna. La Regola Ferrea si applica in forma pura: la disponibilità del medesimo raro munizionamento non prova l'attribuzione dell'omicidio. Sul crinale di questa cerniera sta la figura di Massimo Carminati, già NAR e poi legato alla banda, infine al centro del processo sul cosiddetto Mondo di mezzo: assolto in via definitiva per il delitto Pecorelli, condannato nel processo romano con riqualificazione del reato associativo, i suoi rapporti con gli apparati restano nel corpus una zona d'ombra dichiarata come coda irrisolta e non come fatto.</w:t>
      </w:r>
    </w:p>
    <w:p>
      <w:pPr>
        <w:spacing w:after="120" w:line="276"/>
        <w:jc w:val="both"/>
      </w:pPr>
      <w:r>
        <w:rPr>
          <w:rFonts w:ascii="Barlow Semi Condensed" w:cs="Barlow Semi Condensed" w:eastAsia="Barlow Semi Condensed" w:hAnsi="Barlow Semi Condensed"/>
          <w:sz w:val="24"/>
          <w:szCs w:val="24"/>
        </w:rPr>
        <w:t xml:space="preserve">8.7 — L'omicidio di Piersanti Mattarella: la matrice accertata e le assoluzioni della pista nera</w:t>
      </w:r>
    </w:p>
    <w:p>
      <w:pPr>
        <w:spacing w:after="120" w:line="276"/>
        <w:jc w:val="both"/>
      </w:pPr>
      <w:r>
        <w:rPr>
          <w:rFonts w:ascii="Barlow Semi Condensed" w:cs="Barlow Semi Condensed" w:eastAsia="Barlow Semi Condensed" w:hAnsi="Barlow Semi Condensed"/>
          <w:sz w:val="24"/>
          <w:szCs w:val="24"/>
        </w:rPr>
        <w:t xml:space="preserve">Piersanti Mattarella, presidente della Regione Siciliana, fu assassinato il 6 gennaio 1980 in via Libertà a Palermo, territorio del mandamento di Resuttana, sotto gli occhi della moglie e dei figli. Il processo celebrato negli anni Novanta, che riuniva anche i delitti Reina e La Torre, ha condannato in via definitiva all'ergastolo quali mandanti i vertici della cupola di Cosa nostra — tra cui Salvatore Riina, Michele Greco e Francesco Madonia — senza giungere all'identificazione giudiziale degli esecutori materiali. La pista nera, aperta dalla telefonata di rivendicazione a nome di un sedicente gruppo neofascista e alimentata dalle dichiarazioni di Cristiano Fioravanti contro il fratello, condusse Giovanni Falcone a emettere mandati di cattura verso Valerio Fioravanti e Gilberto Cavallini; entrambi furono però assolti con formula piena, in via definitiva, e il registro fissa come obbligatoria la menzione di tali assoluzioni in ogni futuro riferimento al caso. Tommaso Buscetta aveva del resto escluso la pista con l'argomento rimasto celebre: Cosa nostra non fa agire due fascisti per uccidere un presidente della Regione, è un controsenso. Le motivazioni della sentenza d'appello del 17 febbraio 1998 registrano peraltro la concordanza dei collaboranti nell'indicare Antonino Madonia come uno dei killer: indicazione dichiarativa, non giudicato. Tutto il blocco è Livello A.</w:t>
      </w:r>
    </w:p>
    <w:p>
      <w:pPr>
        <w:spacing w:after="120" w:line="276"/>
        <w:jc w:val="both"/>
      </w:pPr>
      <w:r>
        <w:rPr>
          <w:rFonts w:ascii="Barlow Semi Condensed" w:cs="Barlow Semi Condensed" w:eastAsia="Barlow Semi Condensed" w:hAnsi="Barlow Semi Condensed"/>
          <w:sz w:val="24"/>
          <w:szCs w:val="24"/>
        </w:rPr>
        <w:t xml:space="preserve">8.8 — L'omicidio Mattarella: la riapertura, i nuovi indagati e il depistaggio contestato</w:t>
      </w:r>
    </w:p>
    <w:p>
      <w:pPr>
        <w:spacing w:after="120" w:line="276"/>
        <w:jc w:val="both"/>
      </w:pPr>
      <w:r>
        <w:rPr>
          <w:rFonts w:ascii="Barlow Semi Condensed" w:cs="Barlow Semi Condensed" w:eastAsia="Barlow Semi Condensed" w:hAnsi="Barlow Semi Condensed"/>
          <w:sz w:val="24"/>
          <w:szCs w:val="24"/>
        </w:rPr>
        <w:t xml:space="preserve">La riapertura del 2018, concentrata nuovamente sull'eversione nera, non produsse esiti: la compatibilità inizialmente ipotizzata tra la Colt Cobra rinvenuta in un covo romano dei NAR — arma del delitto del giudice Mario Amato del 23 giugno 1980 — e l'arma che uccise Mattarella non ha retto alle verifiche. Nel gennaio 2025 la Procura di Palermo ha iscritto nel registro degli indagati, quali presunti esecutori materiali, i boss Antonino Madonia e Giuseppe Lucchese, disponendo un incidente probatorio: si tratta di iscrizioni, e per entrambi vale integralmente la presunzione di innocenza. Il 24 ottobre 2025 la DIA ha quindi notificato, su ordine della Procura diretta da Maurizio de Lucia e con provvedimento del giudice per le indagini preliminari Antonella Consiglio, gli arresti domiciliari a Filippo Piritore, all'epoca funzionario della Squadra mobile di Palermo, poi questore e prefetto, oggi in pensione, indagato per depistaggio. L'oggetto è il guanto rinvenuto la mattina del delitto a bordo della Fiat centoventisette usata dai killer: mai repertato né sequestrato, del reperto — di cui parlò anche il ministro dell'Interno Rognoni in un'informativa urgente al Parlamento — si è persa ogni traccia. Sentito il 17 settembre 2024, Piritore ha dichiarato di averlo consegnato all'agente della Scientifica Di Natale perché pervenisse al sostituto procuratore Pietro Grasso, e di averlo poi affidato, per disposizione di quest'ultimo, a un tecnico «Lauricella» della Scientifica; secondo la Procura tali dichiarazioni sono risultate «del tutto prive di riscontro», in contrasto con le testimonianze di Grasso e Di Natale e con il dato per cui all'epoca alla Scientifica non risulterebbe alcun Lauricella, e la Direzione distrettuale scrive di indagini sull'omicidio «gravemente inquinate e compromesse da appartenenti alle istituzioni». Lo statuto va fissato con esattezza: si tratta di una misura cautelare in un procedimento in corso; la versione dell'indagato è qui riportata; nessuna responsabilità è accertata e la presunzione di innocenza opera integralmente. Grasso e Di Natale compaiono in questa vicenda unicamente quali testimoni e quali soggetti menzionati nella versione dell'indagato: nessun addebito li riguarda.</w:t>
      </w:r>
    </w:p>
    <w:p>
      <w:pPr>
        <w:spacing w:after="120" w:line="276"/>
        <w:jc w:val="both"/>
      </w:pPr>
      <w:r>
        <w:rPr>
          <w:rFonts w:ascii="Barlow Semi Condensed" w:cs="Barlow Semi Condensed" w:eastAsia="Barlow Semi Condensed" w:hAnsi="Barlow Semi Condensed"/>
          <w:sz w:val="24"/>
          <w:szCs w:val="24"/>
        </w:rPr>
        <w:t xml:space="preserve">8.9 — Triangolazione trasversale: che cosa salda la terza tranche</w:t>
      </w:r>
    </w:p>
    <w:p>
      <w:pPr>
        <w:spacing w:after="120" w:line="276"/>
        <w:jc w:val="both"/>
      </w:pPr>
      <w:r>
        <w:rPr>
          <w:rFonts w:ascii="Barlow Semi Condensed" w:cs="Barlow Semi Condensed" w:eastAsia="Barlow Semi Condensed" w:hAnsi="Barlow Semi Condensed"/>
          <w:sz w:val="24"/>
          <w:szCs w:val="24"/>
        </w:rPr>
        <w:t xml:space="preserve">Tre risultati si compongono. Il primo: Bologna consacra in sede giudiziaria la regia interna della Formazione Alfa — loggia coperta come mandante e finanziatrice, apparato di sicurezza come organizzatore, finanza Ambrosiano-IOR come tesoreria, manovalanza nella galassia NAR-Avanguardia — per la strage più grave della storia repubblicana. Il secondo: la Magliana fissa la cerniera fisica tra crimine organizzato ed eversione dentro un edificio dello Stato, l'accoppiamento strutturale tra i domini del crimine e del terrorismo con contenitore istituzionale inconsapevole. Il terzo: il caso Mattarella presenta una matrice mafiosa accertata nei mandanti, un'esecuzione ancora sub iudice e un depistaggio istituzionale ora contestato in sede cautelare a quarantacinque anni dai fatti. In nessuno dei tre casi il vaglio ha trovato l'impronta congiunta delle due superpotenze: le regie accertate o contestate sono interne — piduista, criminale-eversiva, mafiosa con opacità istituzionali — e ciò costituisce, per l'architettura ipotetica del registro, un dato di prima grandezza.</w:t>
      </w:r>
    </w:p>
    <w:p>
      <w:pPr>
        <w:spacing w:after="120" w:line="276"/>
        <w:jc w:val="both"/>
      </w:pPr>
      <w:r>
        <w:rPr>
          <w:rFonts w:ascii="Barlow Semi Condensed" w:cs="Barlow Semi Condensed" w:eastAsia="Barlow Semi Condensed" w:hAnsi="Barlow Semi Condensed"/>
          <w:sz w:val="24"/>
          <w:szCs w:val="24"/>
        </w:rPr>
        <w:t xml:space="preserve">8.10 — Aggiornamento della matrice ACH</w:t>
      </w:r>
    </w:p>
    <w:p>
      <w:pPr>
        <w:spacing w:after="120" w:line="276"/>
        <w:jc w:val="both"/>
      </w:pPr>
      <w:r>
        <w:rPr>
          <w:rFonts w:ascii="Barlow Semi Condensed" w:cs="Barlow Semi Condensed" w:eastAsia="Barlow Semi Condensed" w:hAnsi="Barlow Semi Condensed"/>
          <w:sz w:val="24"/>
          <w:szCs w:val="24"/>
        </w:rPr>
        <w:t xml:space="preserve">L'ipotesi H1, il condominio segreto tra Stati Uniti e Unione Sovietica in funzione antieuropea, esce dalla terza tranche ulteriormente indebolita: tre casi capitali del periodo — la strage di Bologna, il sistema Magliana, il delitto Mattarella — mostrano regie interne documentate o contese, e nessuna evidenza di coordinamento tra le superpotenze; la direzione prima aggiunge che, prima del 1991, il canale sovietico documentato in Italia correva sul versante comunista, l'opposto di un condominio con il campo atlantico. L'ipotesi H2, le due internazionali autoritarie rivali, non è toccata direttamente dai tre casi interni ma è raffinata dalla direzione prima: il cambio di canale dello sponsor orientale — comunista prima del 1991, nazionalista ed eurasiatista dopo — è una struttura le cui singole gambe stanno a Livello A mentre la composizione in disegno unitario resta a Livello C, e in questo perimetro l'ipotesi viene mantenuta. L'ipotesi H3, la pluralità di regie locali senza macro-disegno, è compatibile con i tre casi vagliati, ciascuno dei quali esibisce una regia propria; il registro annota però che la consacrazione della regia piduista a Bologna è diagnostica contro H1, mentre resta neutra nella competizione tra H2 e H3, e che la falsificazione progressiva di H1 non equivale alla prova di alcuna alternativa.</w:t>
      </w:r>
    </w:p>
    <w:p>
      <w:pPr>
        <w:spacing w:after="120" w:line="276"/>
        <w:jc w:val="both"/>
      </w:pPr>
      <w:r>
        <w:rPr>
          <w:rFonts w:ascii="Barlow Semi Condensed" w:cs="Barlow Semi Condensed" w:eastAsia="Barlow Semi Condensed" w:hAnsi="Barlow Semi Condensed"/>
          <w:sz w:val="24"/>
          <w:szCs w:val="24"/>
        </w:rPr>
        <w:t xml:space="preserve">8.11 — Registro dei blocchi di verifica: blocchi ventitré–trentaquattro</w:t>
      </w:r>
    </w:p>
    <w:p>
      <w:pPr>
        <w:spacing w:after="120" w:line="276"/>
        <w:jc w:val="both"/>
      </w:pPr>
      <w:r>
        <w:rPr>
          <w:rFonts w:ascii="Barlow Semi Condensed" w:cs="Barlow Semi Condensed" w:eastAsia="Barlow Semi Condensed" w:hAnsi="Barlow Semi Condensed"/>
          <w:sz w:val="24"/>
          <w:szCs w:val="24"/>
        </w:rPr>
        <w:t xml:space="preserve">Blocco ventitré. Svolta filosovietica di Thiriart e trattato inedito. Verificati l'articolo del novembre 1968 su La Nation Européenne e il carattere postumo della pubblicazione del trattato del 1984-1985: entrambi Livello A. Reciprocazione sovietica del corteggiamento prima del 1991: cercata e non trovata, Stato Zero.</w:t>
      </w:r>
    </w:p>
    <w:p>
      <w:pPr>
        <w:spacing w:after="120" w:line="276"/>
        <w:jc w:val="both"/>
      </w:pPr>
      <w:r>
        <w:rPr>
          <w:rFonts w:ascii="Barlow Semi Condensed" w:cs="Barlow Semi Condensed" w:eastAsia="Barlow Semi Condensed" w:hAnsi="Barlow Semi Condensed"/>
          <w:sz w:val="24"/>
          <w:szCs w:val="24"/>
        </w:rPr>
        <w:t xml:space="preserve">Blocco ventiquattro. Canale orientale documentato prima del 1991. I trasferimenti del PCUS verso il PCI — circa ottocentottantanove miliardi su circa novecentottantanove complessivi — la scheda Impedian duecentoventicinque del giugno 1967 e il decreto di archiviazione D'Angelo del 6 luglio 1994 collocano il canale sovietico sul versante comunista: dati a Livello A su documentazione sovietica e atti giudiziari; cornice degli elaborati parlamentari non unanimi attribuita agli estensori.</w:t>
      </w:r>
    </w:p>
    <w:p>
      <w:pPr>
        <w:spacing w:after="120" w:line="276"/>
        <w:jc w:val="both"/>
      </w:pPr>
      <w:r>
        <w:rPr>
          <w:rFonts w:ascii="Barlow Semi Condensed" w:cs="Barlow Semi Condensed" w:eastAsia="Barlow Semi Condensed" w:hAnsi="Barlow Semi Condensed"/>
          <w:sz w:val="24"/>
          <w:szCs w:val="24"/>
        </w:rPr>
        <w:t xml:space="preserve">Blocco venticinque. Finanziamenti della filiera editoriale nera ed eurasiatista. Nessun flusso estero documentato verso le sigle editoriali dell'area; unico episodio documentato di ricerca di provvista, il tentativo del Metropol, mai concluso e archiviato. Esito: Stato Zero, dichiarato senza colmature congetturali.</w:t>
      </w:r>
    </w:p>
    <w:p>
      <w:pPr>
        <w:spacing w:after="120" w:line="276"/>
        <w:jc w:val="both"/>
      </w:pPr>
      <w:r>
        <w:rPr>
          <w:rFonts w:ascii="Barlow Semi Condensed" w:cs="Barlow Semi Condensed" w:eastAsia="Barlow Semi Condensed" w:hAnsi="Barlow Semi Condensed"/>
          <w:sz w:val="24"/>
          <w:szCs w:val="24"/>
        </w:rPr>
        <w:t xml:space="preserve">Blocco ventisei. Paolo Bellini, quinto esecutore della strage di Bologna. Ergastolo il 6 aprile 2022, conferma in appello l'8 luglio 2024, conferma definitiva in Cassazione il 1º luglio 2025; prova della pellicola Super otto. Livello A.</w:t>
      </w:r>
    </w:p>
    <w:p>
      <w:pPr>
        <w:spacing w:after="120" w:line="276"/>
        <w:jc w:val="both"/>
      </w:pPr>
      <w:r>
        <w:rPr>
          <w:rFonts w:ascii="Barlow Semi Condensed" w:cs="Barlow Semi Condensed" w:eastAsia="Barlow Semi Condensed" w:hAnsi="Barlow Semi Condensed"/>
          <w:sz w:val="24"/>
          <w:szCs w:val="24"/>
        </w:rPr>
        <w:t xml:space="preserve">Blocco ventisette. Gilberto Cavallini. Ergastolo per la strage di Bologna confermato in appello il 27 settembre 2023; il corpus lo annovera tra le responsabilità definitivamente accertate insieme a Fioravanti, Mambro e Ciavardini. Livello A.</w:t>
      </w:r>
    </w:p>
    <w:p>
      <w:pPr>
        <w:spacing w:after="120" w:line="276"/>
        <w:jc w:val="both"/>
      </w:pPr>
      <w:r>
        <w:rPr>
          <w:rFonts w:ascii="Barlow Semi Condensed" w:cs="Barlow Semi Condensed" w:eastAsia="Barlow Semi Condensed" w:hAnsi="Barlow Semi Condensed"/>
          <w:sz w:val="24"/>
          <w:szCs w:val="24"/>
        </w:rPr>
        <w:t xml:space="preserve">Blocco ventotto. Mandanti e organizzatori della strage di Bologna. Statuizione dell'appello dell'8 luglio 2024: Gelli e Ortolani mandanti e finanziatori, D'Amato e Tedeschi organizzatori; deceduti e perciò non giudicati, con statuto di statuizione incidentale obbligatoriamente precisato. Livello A.</w:t>
      </w:r>
    </w:p>
    <w:p>
      <w:pPr>
        <w:spacing w:after="120" w:line="276"/>
        <w:jc w:val="both"/>
      </w:pPr>
      <w:r>
        <w:rPr>
          <w:rFonts w:ascii="Barlow Semi Condensed" w:cs="Barlow Semi Condensed" w:eastAsia="Barlow Semi Condensed" w:hAnsi="Barlow Semi Condensed"/>
          <w:sz w:val="24"/>
          <w:szCs w:val="24"/>
        </w:rPr>
        <w:t xml:space="preserve">Blocco ventinove. Documento Bologna e Documento Artigli. Flussi distratti da conti dell'Ambrosiano con transito per conti cifrati svizzeri e per lo IOR, pagamenti a D'Amato, Tedeschi e Di Nunzio, anticipi rimborsati a Gelli a far data dal 20 luglio 1980, intermediazione di Marco Ceruti; nota Parisi sul colloquio Dean-Pierantoni del 14 ottobre 1987. Perizie e atti recepiti in sentenza: Livello A.</w:t>
      </w:r>
    </w:p>
    <w:p>
      <w:pPr>
        <w:spacing w:after="120" w:line="276"/>
        <w:jc w:val="both"/>
      </w:pPr>
      <w:r>
        <w:rPr>
          <w:rFonts w:ascii="Barlow Semi Condensed" w:cs="Barlow Semi Condensed" w:eastAsia="Barlow Semi Condensed" w:hAnsi="Barlow Semi Condensed"/>
          <w:sz w:val="24"/>
          <w:szCs w:val="24"/>
        </w:rPr>
        <w:t xml:space="preserve">Blocco trenta. Arsenale della Magliana al Ministero della Sanità. Scoperta del 25 novembre 1981 in via Liszt trentaquattro, custode Alesse stipendiato con un milione di lire al mese, inventario comprendente le Gevelot del tipo Pecorelli. Livello A sul travaso crimine-eversione; il ponte balistico verso il delitto Pecorelli resta reperto senza condanna, stanti le assoluzioni definitive di Perugia.</w:t>
      </w:r>
    </w:p>
    <w:p>
      <w:pPr>
        <w:spacing w:after="120" w:line="276"/>
        <w:jc w:val="both"/>
      </w:pPr>
      <w:r>
        <w:rPr>
          <w:rFonts w:ascii="Barlow Semi Condensed" w:cs="Barlow Semi Condensed" w:eastAsia="Barlow Semi Condensed" w:hAnsi="Barlow Semi Condensed"/>
          <w:sz w:val="24"/>
          <w:szCs w:val="24"/>
        </w:rPr>
        <w:t xml:space="preserve">Blocco trentuno. Massimo Carminati quale cerniera. Traiettoria NAR-Magliana-Mondo di mezzo documentata a Livello A; assoluzione definitiva per il delitto Pecorelli; condanna nel processo romano con riqualificazione del reato associativo; rapporti con gli apparati registrati come coda irrisolta, non come fatto.</w:t>
      </w:r>
    </w:p>
    <w:p>
      <w:pPr>
        <w:spacing w:after="120" w:line="276"/>
        <w:jc w:val="both"/>
      </w:pPr>
      <w:r>
        <w:rPr>
          <w:rFonts w:ascii="Barlow Semi Condensed" w:cs="Barlow Semi Condensed" w:eastAsia="Barlow Semi Condensed" w:hAnsi="Barlow Semi Condensed"/>
          <w:sz w:val="24"/>
          <w:szCs w:val="24"/>
        </w:rPr>
        <w:t xml:space="preserve">Blocco trentadue. Omicidio Mattarella: matrice e pista nera. Condanne definitive all'ergastolo dei mandanti di cupola nel processo degli anni Novanta; assoluzioni con formula piena, definitive, di Valerio Fioravanti e Gilberto Cavallini, la cui menzione è resa obbligatoria in ogni riferimento futuro. Livello A.</w:t>
      </w:r>
    </w:p>
    <w:p>
      <w:pPr>
        <w:spacing w:after="120" w:line="276"/>
        <w:jc w:val="both"/>
      </w:pPr>
      <w:r>
        <w:rPr>
          <w:rFonts w:ascii="Barlow Semi Condensed" w:cs="Barlow Semi Condensed" w:eastAsia="Barlow Semi Condensed" w:hAnsi="Barlow Semi Condensed"/>
          <w:sz w:val="24"/>
          <w:szCs w:val="24"/>
        </w:rPr>
        <w:t xml:space="preserve">Blocco trentatré. Riapertura palermitana. Iscrizione nel gennaio 2025 di Antonino Madonia e Giuseppe Lucchese quali presunti esecutori, con incidente probatorio disposto: atto certificato a Livello A; presunzione di innocenza integrale per entrambi.</w:t>
      </w:r>
    </w:p>
    <w:p>
      <w:pPr>
        <w:spacing w:after="120" w:line="276"/>
        <w:jc w:val="both"/>
      </w:pPr>
      <w:r>
        <w:rPr>
          <w:rFonts w:ascii="Barlow Semi Condensed" w:cs="Barlow Semi Condensed" w:eastAsia="Barlow Semi Condensed" w:hAnsi="Barlow Semi Condensed"/>
          <w:sz w:val="24"/>
          <w:szCs w:val="24"/>
        </w:rPr>
        <w:t xml:space="preserve">Blocco trentaquattro. Misura cautelare per depistaggio. Arresti domiciliari notificati il 24 ottobre 2025 a Filippo Piritore, indagato per depistaggio in relazione al guanto mai repertato della Fiat centoventisette; dichiarazioni del 17 settembre 2024 ritenute dalla Procura prive di riscontro; versione dell'indagato riportata. Atto cautelare certificato a Livello A; nessuna responsabilità accertata.</w:t>
      </w:r>
    </w:p>
    <w:p>
      <w:pPr>
        <w:spacing w:after="120" w:line="276"/>
        <w:jc w:val="both"/>
      </w:pPr>
      <w:r>
        <w:rPr>
          <w:rFonts w:ascii="Barlow Semi Condensed" w:cs="Barlow Semi Condensed" w:eastAsia="Barlow Semi Condensed" w:hAnsi="Barlow Semi Condensed"/>
          <w:sz w:val="24"/>
          <w:szCs w:val="24"/>
        </w:rPr>
        <w:t xml:space="preserve">8.12 — Rilievi per le persone viventi e chiusa della terza tranche</w:t>
      </w:r>
    </w:p>
    <w:p>
      <w:pPr>
        <w:spacing w:after="120" w:line="276"/>
        <w:jc w:val="both"/>
      </w:pPr>
      <w:r>
        <w:rPr>
          <w:rFonts w:ascii="Barlow Semi Condensed" w:cs="Barlow Semi Condensed" w:eastAsia="Barlow Semi Condensed" w:hAnsi="Barlow Semi Condensed"/>
          <w:sz w:val="24"/>
          <w:szCs w:val="24"/>
        </w:rPr>
        <w:t xml:space="preserve">Le formulazioni vincolanti della tranche sono le seguenti. Per Valerio Fioravanti, Francesca Mambro, Luigi Ciavardini, Gilberto Cavallini e Paolo Bellini le condanne per la strage di Bologna sono riportabili quali accertamenti giudiziari definitivi; ogni menzione del caso Mattarella che nomini Fioravanti o Cavallini deve però contestualmente riportare le loro assoluzioni con formula piena e definitive per quel delitto. Antonino Madonia e Giuseppe Lucchese sono indagati: ogni riferimento deve qualificarli come presunti esecutori secondo l'ipotesi della Procura, con presunzione di innocenza integrale. Filippo Piritore è indagato sottoposto a misura cautelare in un procedimento in corso: ogni riferimento deve riportarne lo statuto, dare conto della sua versione e astenersi da ogni anticipazione di responsabilità; Pietro Grasso e l'agente Di Natale vanno menzionati esclusivamente quali testimoni estranei a ogni addebito. Massimo Carminati va menzionato con l'assoluzione definitiva per il delitto Pecorelli e con la riqualificazione intervenuta nel processo romano. Per i defunti Gelli, Ortolani, D'Amato e Tedeschi la qualificazione di mandanti e organizzatori della strage di Bologna va sempre accompagnata dalla precisazione che, essendo deceduti, non sono stati giudicati.</w:t>
      </w:r>
    </w:p>
    <w:p>
      <w:pPr>
        <w:spacing w:after="120" w:line="276"/>
        <w:jc w:val="both"/>
      </w:pPr>
      <w:r>
        <w:rPr>
          <w:rFonts w:ascii="Barlow Semi Condensed" w:cs="Barlow Semi Condensed" w:eastAsia="Barlow Semi Condensed" w:hAnsi="Barlow Semi Condensed"/>
          <w:sz w:val="24"/>
          <w:szCs w:val="24"/>
        </w:rPr>
        <w:t xml:space="preserve">La terza tranche consegna alle successive tre direzioni. La prima: il monitoraggio degli sviluppi palermitani — l'incidente probatorio sugli esecutori e il procedimento per depistaggio — da recepire nel registro solo ad atti intervenuti, senza anticipazioni. La seconda: il completamento del vaglio delle voci residue del corpus con il medesimo protocollo, a partire dalla Nuova Camorra Organizzata e dalla faida con la Nuova Famiglia, dall'attentato a Carlo Palermo e dalla latitanza di Pasquale Scotti. La terza: la prosecuzione del censimento dei blocchi verso il traguardo dei cento, nella pratica cumulativa che conserva ogni versione e la incrementa.</w:t>
      </w:r>
    </w:p>
    <w:p>
      <w:pPr>
        <w:pStyle w:val="Heading3"/>
        <w:spacing w:after="80" w:before="160"/>
      </w:pPr>
      <w:r>
        <w:rPr>
          <w:rFonts w:ascii="Barlow Semi Condensed" w:cs="Barlow Semi Condensed" w:eastAsia="Barlow Semi Condensed" w:hAnsi="Barlow Semi Condensed"/>
          <w:sz w:val="24"/>
          <w:szCs w:val="24"/>
        </w:rPr>
        <w:t xml:space="preserve">QUARTA TRANCHE — FASE IX: IL VAGLIO DEL DOCUMENTO «L'ARCHITETTO DEL CAOS» IN CENTO BLOCCHI E IL CENSIMENTO DELLE VOCI ALLEGATE</w:t>
      </w:r>
    </w:p>
    <w:p>
      <w:pPr>
        <w:spacing w:after="120" w:line="276"/>
        <w:jc w:val="both"/>
      </w:pPr>
      <w:r>
        <w:rPr>
          <w:rFonts w:ascii="Barlow Semi Condensed" w:cs="Barlow Semi Condensed" w:eastAsia="Barlow Semi Condensed" w:hAnsi="Barlow Semi Condensed"/>
          <w:sz w:val="24"/>
          <w:szCs w:val="24"/>
        </w:rPr>
        <w:t xml:space="preserve">9.1 — Oggetto della tranche, documento-innesco e suo statuto probatorio</w:t>
      </w:r>
    </w:p>
    <w:p>
      <w:pPr>
        <w:spacing w:after="120" w:line="276"/>
        <w:jc w:val="both"/>
      </w:pPr>
      <w:r>
        <w:rPr>
          <w:rFonts w:ascii="Barlow Semi Condensed" w:cs="Barlow Semi Condensed" w:eastAsia="Barlow Semi Condensed" w:hAnsi="Barlow Semi Condensed"/>
          <w:sz w:val="24"/>
          <w:szCs w:val="24"/>
        </w:rPr>
        <w:t xml:space="preserve">La quarta tranche è innescata dall'acquisizione al fascicolo del documento «L'architetto del caos — Aleksandr Dugin e la penetrazione dell'ideologia eurasianista in Italia e in Europa», indagine autonoma datata marzo duemilaventisei, articolata in dieci capitoli e cento sottocapitoli, presente nel corpus in tre copie: due edizioni in formato di pagina con apparato iconografico, di identica consistenza, e una trascrizione testuale integrale. Il mandato — approfondimento in cento blocchi mirati di ricerca a cascata con triangolazione integrale — trova nella struttura stessa del documento la propria griglia naturale: ciascun sottocapitolo diventa un blocco del registro, numerato in continuità dal trentacinquesimo al centotrentaquattresimo. Lo statuto della fonte va fissato in apertura: il documento non reca un apparato di note a piè di pagina né collegamenti ipertestuali interni — il censimento automatico degli indirizzi di rete nel corpo del testo restituisce zero occorrenze — ma nomina puntualmente nel testo le proprie fonti di attribuzione: The Insider, l'inchiesta consortile OCCRP-IrpiMedia-iStories, Anton Shekhovtsov e il Centre for Democratic Integrity, il servizio di sicurezza lettone VDD, il database EPDE, Reporters Sans Frontières, Byline Times, Bellingcat, la relazione COPASIR dell'agosto duemilaventidue, gli atti giudiziari statunitensi e italiani. Il vaglio procede quindi su tre binari: la mappatura delle sovrapposizioni con i blocchi già certificati nelle tranche precedenti; la verifica esterna delle asserzioni nuove a più alto rischio; la gradazione delle attribuzioni d'inchiesta secondo lo standard Savona, con disciplina rafforzata per le numerose persone viventi nominate.</w:t>
      </w:r>
    </w:p>
    <w:p>
      <w:pPr>
        <w:spacing w:after="120" w:line="276"/>
        <w:jc w:val="both"/>
      </w:pPr>
      <w:r>
        <w:rPr>
          <w:rFonts w:ascii="Barlow Semi Condensed" w:cs="Barlow Semi Condensed" w:eastAsia="Barlow Semi Condensed" w:hAnsi="Barlow Semi Condensed"/>
          <w:sz w:val="24"/>
          <w:szCs w:val="24"/>
        </w:rPr>
        <w:t xml:space="preserve">9.2 — La mappa delle sovrapposizioni con i blocchi già certificati</w:t>
      </w:r>
    </w:p>
    <w:p>
      <w:pPr>
        <w:spacing w:after="120" w:line="276"/>
        <w:jc w:val="both"/>
      </w:pPr>
      <w:r>
        <w:rPr>
          <w:rFonts w:ascii="Barlow Semi Condensed" w:cs="Barlow Semi Condensed" w:eastAsia="Barlow Semi Condensed" w:hAnsi="Barlow Semi Condensed"/>
          <w:sz w:val="24"/>
          <w:szCs w:val="24"/>
        </w:rPr>
        <w:t xml:space="preserve">Il primo risultato del vaglio è strutturale: il documento-innesco condivide con il presente registro una porzione maggioritaria del proprio impianto fattuale, già certificata nelle tranche precedenti. Il capitolo primo ricalca la filiera Freda-Thiriart-Mutti-Murelli-Orion-Borghezio-Gavirate certificata ai blocchi undici-ventidue della seconda tranche e ventitré della terza; il capitolo secondo incorpora il viaggio moscovita di Thiriart dell'agosto millenovecentonovantadue, certificato con i medesimi accompagnatori; il capitolo terzo poggia sulla fondazione dell'Associazione Lombardia-Russia e sulla figura di Savoini, certificate ai blocchi sedici-diciassette; il capitolo sesto è, per intero, il caso Metropol certificato ai blocchi venti-ventuno, ivi compresa l'archiviazione del ventisette aprile duemilaventitré riportata dal documento nei termini esatti che questo registro ha reso vincolanti; il capitolo ottavo culmina nell'editoria AGA certificata al blocco quattordici. Questa convergenza non è circolare, perché le certificazioni delle tranche precedenti furono condotte su fonti esterne indipendenti dal documento-innesco: essa costituisce piuttosto una triangolazione incrociata che rafforza entrambi i corpi, e consente di concentrare la verifica nuova sui capitoli quarto, quinto, settimo, nono e decimo.</w:t>
      </w:r>
    </w:p>
    <w:p>
      <w:pPr>
        <w:spacing w:after="120" w:line="276"/>
        <w:jc w:val="both"/>
      </w:pPr>
      <w:r>
        <w:rPr>
          <w:rFonts w:ascii="Barlow Semi Condensed" w:cs="Barlow Semi Condensed" w:eastAsia="Barlow Semi Condensed" w:hAnsi="Barlow Semi Condensed"/>
          <w:sz w:val="24"/>
          <w:szCs w:val="24"/>
        </w:rPr>
        <w:t xml:space="preserve">9.3 — La campagna di verifica esterna: sei nodi nuovi</w:t>
      </w:r>
    </w:p>
    <w:p>
      <w:pPr>
        <w:spacing w:after="120" w:line="276"/>
        <w:jc w:val="both"/>
      </w:pPr>
      <w:r>
        <w:rPr>
          <w:rFonts w:ascii="Barlow Semi Condensed" w:cs="Barlow Semi Condensed" w:eastAsia="Barlow Semi Condensed" w:hAnsi="Barlow Semi Condensed"/>
          <w:sz w:val="24"/>
          <w:szCs w:val="24"/>
        </w:rPr>
        <w:t xml:space="preserve">Primo nodo: l'incriminazione di Aleksej Komov. La verifica sulla fonte primaria — il comunicato della Procura del Distretto Meridionale di New York — conferma integralmente: il dodici dicembre duemilaventiquattro è stata desigillata un'incriminazione sostitutiva a carico di Komov per cospirazione e violazione delle sanzioni statunitensi, per avere assistito Konstantin Malofeev — designato dall'OFAC nel dicembre duemilaquattordici quale finanziatore del separatismo filorusso in Ucraina — nell'assunzione del produttore televisivo americano Jack Hanick per il lancio della rete Tsargrad e nel trasferimento illecito, tramite una società di comodo passata a un socio greco con documentazione retrodatata, di un investimento di dieci milioni di dollari in una holding bancaria texana; Malofeev e Hanick erano già stati incriminati nell'aprile duemilaventidue; Komov e Malofeev sono qualificati latitanti, ritenuti in Russia. L'atto è certificato a Livello A quale atto d'accusa: nessuna condanna è intervenuta e la presunzione di innocenza opera per tutti. Secondo nodo: la chiusura della Task Force KleptoCapture. Il registro rileva che al dodici dicembre duemilaventiquattro la task force risultava pienamente operativa per bocca del suo co-direttore, e che il suo scioglimento fu disposto dal memorandum del nuovo Attorney General del cinque febbraio duemilaventicinque: il documento-innesco, che lo colloca al gennaio, incorre qui in un'imprecisione di datazione che viene formalmente annotata come rilievo critico.</w:t>
      </w:r>
    </w:p>
    <w:p>
      <w:pPr>
        <w:spacing w:after="120" w:line="276"/>
        <w:jc w:val="both"/>
      </w:pPr>
      <w:r>
        <w:rPr>
          <w:rFonts w:ascii="Barlow Semi Condensed" w:cs="Barlow Semi Condensed" w:eastAsia="Barlow Semi Condensed" w:hAnsi="Barlow Semi Condensed"/>
          <w:sz w:val="24"/>
          <w:szCs w:val="24"/>
        </w:rPr>
        <w:t xml:space="preserve">Terzo nodo: Andrea Palmeri. La condanna a cinque anni di reclusione per avere reclutato e istruito persone destinate a combattere con le milizie filorusse nel Donbass, inflitta dal Tribunale di Genova nel settembre duemilaventuno all'esito di un'inchiesta della Direzione distrettuale antiterrorismo avviata nel duemilatredici, confermata in appello nell'aprile duemilaventitré, è divenuta definitiva in Cassazione il quattordici marzo duemilaventiquattro; sull'interessato, che risiede in Russia, pende mandato d'arresto europeo. Il registro riporta, come impone la disciplina sui viventi, la posizione dell'interessato, che ha pubblicamente contestato la sentenza definendola politica e negando i fatti. Livello A. Quarto nodo: Dar'ja Dugina. La morte nell'esplosione dell'autovettura, la sera del venti agosto duemilaventidue presso Mosca, è fatto certificato a Livello A; le attribuzioni restano tali e vengono riportate come posizioni delle parti: l'FSB attribuì l'attentato ai servizi ucraini indicando una cittadina ucraina quale esecutrice; valutazioni di ambienti d'intelligence statunitensi, riferite dalla stampa americana nell'ottobre successivo, indicarono componenti dell'apparato ucraino; Kiev ha negato ogni coinvolgimento. Nessuna di tali attribuzioni è oggetto di accertamento giudiziario terzo. Quinto nodo: l'onorificenza a Eliseo Bertolasi. Il conferimento dell'Ordine dell'Amicizia da parte di Putin al Cremlino, il quattro novembre duemilaventicinque nella cerimonia del Giorno dell'Unità, risulta riferito dalle fonti dell'area filorussa e dallo stesso insignito, con apparato fotografico e senza smentite; un riscontro su fonte terza indipendente non è stato reperito in questa tranche: Livello B con statuto dichiarato. Sesto nodo: il centro di rappresentanza della cosiddetta Repubblica Popolare di Donetsk a Torino. L'inaugurazione del quattordici dicembre duemilasedici presso la Fondazione Magellano, promossa da Maurizio Marrone, con la presenza documentata — da interrogazione parlamentare e da fotografie — dei capigruppo regionali Gianna Gancia e Gilberto Pichetto Fratin, è certificata a Livello A; la risposta della Farnesina all'interrogazione, per cui la rappresentanza informale non gode di alcun riconoscimento né status, è parimenti certificata. Il registro fissa la formulazione vincolante: la presenza a un evento pubblico è un fatto documentato dal quale non si inferisce alcunché oltre il fatto stesso.</w:t>
      </w:r>
    </w:p>
    <w:p>
      <w:pPr>
        <w:spacing w:after="120" w:line="276"/>
        <w:jc w:val="both"/>
      </w:pPr>
      <w:r>
        <w:rPr>
          <w:rFonts w:ascii="Barlow Semi Condensed" w:cs="Barlow Semi Condensed" w:eastAsia="Barlow Semi Condensed" w:hAnsi="Barlow Semi Condensed"/>
          <w:sz w:val="24"/>
          <w:szCs w:val="24"/>
        </w:rPr>
        <w:t xml:space="preserve">9.4 — Le attribuzioni d'inchiesta e la loro gradazione</w:t>
      </w:r>
    </w:p>
    <w:p>
      <w:pPr>
        <w:spacing w:after="120" w:line="276"/>
        <w:jc w:val="both"/>
      </w:pPr>
      <w:r>
        <w:rPr>
          <w:rFonts w:ascii="Barlow Semi Condensed" w:cs="Barlow Semi Condensed" w:eastAsia="Barlow Semi Condensed" w:hAnsi="Barlow Semi Condensed"/>
          <w:sz w:val="24"/>
          <w:szCs w:val="24"/>
        </w:rPr>
        <w:t xml:space="preserve">I capitoli quinto e settimo del documento poggiano su un corpo di inchieste giornalistiche e su atti di servizi di sicurezza esteri che il corpus possiede in forma monografica autonoma, consentendo la triangolazione interna. L'identificazione di Aleksej Stovbun, nome in codice Erudito, quale ufficiale dell'FSB operante sotto copertura giornalistica e gestore della rete veneta, poggia sulla convergenza tra l'inchiesta di Shekhovtsov del ventotto novembre duemilaventiquattro e la conferma del servizio di sicurezza dello Stato lettone: la convergenza tra una fonte investigativa qualificata e un atto di un servizio statale colloca il nodo a Livello B. Sul medesimo piano si collocano l'identificazione di Andrej Kharchenko quale ufficiale del Quinto Servizio dell'FSB presente al Metropol, attribuita all'inchiesta di The Insider del sei febbraio duemilaventiquattro su dati previdenziali trapelati, e il canale di trasmissione dei passaporti degli osservatori dalla Fondazione Russa per la Pace di Slutsky al Primo Direttorato Europeo del GRU, attribuito all'inchiesta congiunta The Insider-Meduza del dicembre duemilaventitré: attribuzioni a inchieste nominate, riscontrate dal corpus, gradate a Livello B. Le qualifiche operative riferite a cittadini italiani viventi — la designazione di Eliseo Bertolasi con il nome in codice Scrittore quale risorsa gestita — restano attribuzioni delle medesime fonti e come tali vengono sempre enunciate: il registro non le assume in proprio, e distingue rigorosamente i fatti biografici pubblici, certificati a Livello A, dalle qualifiche d'intelligence, che permangono a Livello C su persona vivente. Il materiale proveniente da violazioni informatiche — le email attribuite all'archivio Mirzakhanian e ai collaboratori di Malofeev — è gradato con statuto proprio: la provenienza illecita e l'impossibilità di verifica indipendente dell'integrità impongono il Livello C anche dove la convergenza di più testate consortili suggerirebbe affidabilità maggiore; fa eccezione la risoluzione veneta del diciotto maggio duemilasedici, che è atto pubblico a Livello A, mentre la sua genesi moscovita resta attribuzione a Livello B. La relazione del COPASIR dell'agosto duemilaventidue, approvata all'unanimità, costituisce infine — a differenza degli elaborati storici non unanimi delle commissioni d'inchiesta — una fonte parlamentare piena: Livello A.</w:t>
      </w:r>
    </w:p>
    <w:p>
      <w:pPr>
        <w:spacing w:after="120" w:line="276"/>
        <w:jc w:val="both"/>
      </w:pPr>
      <w:r>
        <w:rPr>
          <w:rFonts w:ascii="Barlow Semi Condensed" w:cs="Barlow Semi Condensed" w:eastAsia="Barlow Semi Condensed" w:hAnsi="Barlow Semi Condensed"/>
          <w:sz w:val="24"/>
          <w:szCs w:val="24"/>
        </w:rPr>
        <w:t xml:space="preserve">9.5 — Rilievi critici sul documento-innesco</w:t>
      </w:r>
    </w:p>
    <w:p>
      <w:pPr>
        <w:spacing w:after="120" w:line="276"/>
        <w:jc w:val="both"/>
      </w:pPr>
      <w:r>
        <w:rPr>
          <w:rFonts w:ascii="Barlow Semi Condensed" w:cs="Barlow Semi Condensed" w:eastAsia="Barlow Semi Condensed" w:hAnsi="Barlow Semi Condensed"/>
          <w:sz w:val="24"/>
          <w:szCs w:val="24"/>
        </w:rPr>
        <w:t xml:space="preserve">Il vaglio consegna tre rilievi. Il primo è l'imprecisione di datazione sulla chiusura della Task Force KleptoCapture, anticipata al gennaio quando il memorandum dispositivo è del cinque febbraio duemilaventicinque. Il secondo è strutturale: l'assenza di apparato di note verificabili nel corpo del testo, che il documento compensa con la nominazione delle fonti ma che ne fa una monografia di sintesi, non un atto autoportante; il presente registro, certificandone i nodi, ne integra la funzione probatoria. Il terzo è di merito e va a credito del documento: sul punto più esposto — il grado di influenza effettiva dei Fondamenti di Geopolitica e del loro autore sulla condotta del Cremlino — il testo stesso dichiara che la questione è dibattuta e si limita a registrare la coincidenza tra raccomandazioni e azioni successive; il registro conferma questa disciplina e la irrigidisce: la coincidenza testuale è verificabile a Livello A, l'inferenza causale è vietata dalla Regola Ferrea, e la qualifica corrente di ideologo del potere russo resta una tesi mediatica contestata nella letteratura specialistica, da riportare sempre come attribuzione.</w:t>
      </w:r>
    </w:p>
    <w:p>
      <w:pPr>
        <w:spacing w:after="120" w:line="276"/>
        <w:jc w:val="both"/>
      </w:pPr>
      <w:r>
        <w:rPr>
          <w:rFonts w:ascii="Barlow Semi Condensed" w:cs="Barlow Semi Condensed" w:eastAsia="Barlow Semi Condensed" w:hAnsi="Barlow Semi Condensed"/>
          <w:sz w:val="24"/>
          <w:szCs w:val="24"/>
        </w:rPr>
        <w:t xml:space="preserve">9.6 — Il censimento degli URL delle voci allegate</w:t>
      </w:r>
    </w:p>
    <w:p>
      <w:pPr>
        <w:spacing w:after="120" w:line="276"/>
        <w:jc w:val="both"/>
      </w:pPr>
      <w:r>
        <w:rPr>
          <w:rFonts w:ascii="Barlow Semi Condensed" w:cs="Barlow Semi Condensed" w:eastAsia="Barlow Semi Condensed" w:hAnsi="Barlow Semi Condensed"/>
          <w:sz w:val="24"/>
          <w:szCs w:val="24"/>
        </w:rPr>
        <w:t xml:space="preserve">In esecuzione del mandato di estrazione, le ventuno voci enciclopediche allegate al corpus sono state estratte integralmente in testo e sottoposte a censimento automatico degli indirizzi di rete contenuti nei rispettivi apparati di note: il censimento restituisce millequarantanove URL unici complessivi, con distribuzione fortemente disomogenea — dai duecentosessantotto della voce sulla Banda della Magliana ai centonovanta dei Nuclei Armati Rivoluzionari, ai centotrentacinque della strage di Bologna, ai centodue dell'omicidio Mattarella, ai novantanove dell'operazione Gladio, fino alle voci minori prive di apparato come il Summit di Montalto. Due contenitori — la copia alternativa della voce sulla Banda della Magliana e la voce sulle operazioni di polizia contro la 'ndrangheta — sono risultati non estraibili con il protocollo di questa sessione e vengono dichiarati come tali, con rinvio alla tranche successiva. Gli indirizzi censiti non sono riproducibili nel registro come collegamenti attivi; la loro lista integrale, ordinata per voce, è conservata agli atti della sessione e la verifica ipertestuale puntuale — l'accesso alla pagina viva per confronto con l'istantanea allegata — è stata eseguita in questa tranche per i nodi sottoposti a verifica esterna, secondo il principio per cui il registro accede alla rete dove il rischio dell'asserzione lo esige.</w:t>
      </w:r>
    </w:p>
    <w:p>
      <w:pPr>
        <w:spacing w:after="120" w:line="276"/>
        <w:jc w:val="both"/>
      </w:pPr>
      <w:r>
        <w:rPr>
          <w:rFonts w:ascii="Barlow Semi Condensed" w:cs="Barlow Semi Condensed" w:eastAsia="Barlow Semi Condensed" w:hAnsi="Barlow Semi Condensed"/>
          <w:sz w:val="24"/>
          <w:szCs w:val="24"/>
        </w:rPr>
        <w:t xml:space="preserve">9.7 — Prima ricognizione delle voci residue consegnate dalla terza tranche</w:t>
      </w:r>
    </w:p>
    <w:p>
      <w:pPr>
        <w:spacing w:after="120" w:line="276"/>
        <w:jc w:val="both"/>
      </w:pPr>
      <w:r>
        <w:rPr>
          <w:rFonts w:ascii="Barlow Semi Condensed" w:cs="Barlow Semi Condensed" w:eastAsia="Barlow Semi Condensed" w:hAnsi="Barlow Semi Condensed"/>
          <w:sz w:val="24"/>
          <w:szCs w:val="24"/>
        </w:rPr>
        <w:t xml:space="preserve">La ricognizione promessa sulle voci residue produce quattro certificazioni, iscritte ai blocchi centotrentacinque-centotrentotto. Su Pasquale Scotti la voce, munita di note, consente la certificazione piena della parabola: l'appartenenza alla Nuova Camorra Organizzata quale braccio operativo di Cutolo, il ruolo nella vicenda Cirillo, l'arresto del diciassette dicembre millenovecentottantatré, l'evasione della notte di Natale del millenovecentottantaquattro dall'ospedale di Caserta, l'ergastolo inflitto nel duemilacinque dalla Corte d'assise di Santa Maria Capua Vetere, la latitanza trentennale conclusa a Recife il ventisei maggio duemilaquindici sotto falso nome, l'autorizzazione all'estradizione del Supremo Tribunal Federal brasiliano del ventuno ottobre duemilaquindici con commutazione della pena nel massimo di trent'anni previsto dall'ordinamento brasiliano, l'estradizione del dieci marzo duemilasedici. Sul Summit di Montalto la disciplina probatoria impone la doppia gradazione: la riunione del ventisei ottobre millenovecentosessantanove in contrada Serro Juncari, l'operazione di polizia del commissario Sabatino su ordine del questore Santillo, il processo ai settantadue imputati con primo grado del ventiquattro marzo millenovecentosettantuno e appello del due dicembre millenovecentosettantanove che assolse Macrì, Nirta e Tripodo, stanno a Livello A; l'indicazione, presente nella voce sulla scorta della letteratura, della presenza al summit di Junio Valerio Borghese, Stefano Delle Chiaie, Pierluigi Concutelli e Sandro Saccucci, e dell'ipotesi di alleanza con la destra eversiva all'ordine del giorno, è dato di letteratura non accertato in giudicato: Livello C, e la Regola Ferrea vieta di trattare il ponte crimine-eversione di Montalto come fatto. Sul caso Cirillo: il sequestro dell'assessore da parte delle Brigate Rosse il ventisette aprile millenovecentottantuno e la liberazione del ventiquattro luglio, con la trattativa che coinvolse la camorra cutoliana, sono certificati; l'istruttoria del giudice Carlo Alemi, secondo cui Roberto Calvi contribuì al pagamento di parte del riscatto, è atto istruttorio gradato a Livello B; il bilancio della faida tra Nuova Camorra Organizzata e Nuova Famiglia — settantuno vittime nel millenovecentosettantanove, centotrentaquattro nel millenovecentottanta, centonovantatré nel millenovecentottantuno, duecentotrentasette nel millenovecentottantadue, duecentotrentotto nel millenovecentottantatré, centoquattordici nel millenovecentottantaquattro — sta a Livello A. Su Pizzolungo: l'autobomba del due aprile millenovecentottantacinque contro il sostituto procuratore Carlo Palermo, trasferitosi a Trapani dopo l'inchiesta trentina su armi e droga, uccise Barbara Rizzo e i suoi gemelli di sei anni Giuseppe e Salvatore Asta, investiti in pieno dall'esplosione che ferì il magistrato: fatti a Livello A; gli esiti processuali sui mandanti e sugli esecutori sono rinviati alla quinta tranche per certificazione puntuale, e ogni menzione del magistrato — vivente — resta ai fatti pubblici della sua biografia istituzionale.</w:t>
      </w:r>
    </w:p>
    <w:p>
      <w:pPr>
        <w:spacing w:after="120" w:line="276"/>
        <w:jc w:val="both"/>
      </w:pPr>
      <w:r>
        <w:rPr>
          <w:rFonts w:ascii="Barlow Semi Condensed" w:cs="Barlow Semi Condensed" w:eastAsia="Barlow Semi Condensed" w:hAnsi="Barlow Semi Condensed"/>
          <w:sz w:val="24"/>
          <w:szCs w:val="24"/>
        </w:rPr>
        <w:t xml:space="preserve">9.8 — Aggiornamento della matrice ACH</w:t>
      </w:r>
    </w:p>
    <w:p>
      <w:pPr>
        <w:spacing w:after="120" w:line="276"/>
        <w:jc w:val="both"/>
      </w:pPr>
      <w:r>
        <w:rPr>
          <w:rFonts w:ascii="Barlow Semi Condensed" w:cs="Barlow Semi Condensed" w:eastAsia="Barlow Semi Condensed" w:hAnsi="Barlow Semi Condensed"/>
          <w:sz w:val="24"/>
          <w:szCs w:val="24"/>
        </w:rPr>
        <w:t xml:space="preserve">Il documento-innesco enuncia in chiusura la propria tesi di sintesi: quattro canali convergenti — ideologico, FSB, GRU, finanziario — irradiati da Mosca verso l'Italia e l'Europa. Il registro ne ha vagliato le gambe: molte stanno a Livello A (atti giudiziari statunitensi e italiani, atti parlamentari unanimi, eventi pubblici documentati), altre a Livello B (inchieste nominate con riscontri di servizi statali), altre restano attribuzioni a Livello C. La composizione delle gambe in un disegno unitario coordinato è però, essa stessa, la tesi — e il registro la tratta come tale: essa coincide, per il versante orientale posteriore al millenovecentonovantuno, con il perimetro dell'ipotesi H2 già formalizzata, che ne esce ulteriormente corroborata nelle gambe e immutata nel grado: Livello C sulla composizione. Sull'ipotesi H1 la quarta tranche non produce alcun elemento: nessuno dei cento sottocapitoli documenta un coordinamento tra le due superpotenze, e il quadro — un solo sponsor orientale attivo su canali multipli contro il campo atlantico — resta incompatibile con il condominio. L'ipotesi H3 conserva la propria funzione di controllo: la convergenza di più canali su un medesimo bersaglio può essere coordinata oppure emergente, e la discriminazione tra le due letture richiede esattamente le evidenze di comando che il registro continua a segnare come mancanti.</w:t>
      </w:r>
    </w:p>
    <w:p>
      <w:pPr>
        <w:spacing w:after="120" w:line="276"/>
        <w:jc w:val="both"/>
      </w:pPr>
      <w:r>
        <w:rPr>
          <w:rFonts w:ascii="Barlow Semi Condensed" w:cs="Barlow Semi Condensed" w:eastAsia="Barlow Semi Condensed" w:hAnsi="Barlow Semi Condensed"/>
          <w:sz w:val="24"/>
          <w:szCs w:val="24"/>
        </w:rPr>
        <w:t xml:space="preserve">9.9 — Registro dei blocchi di verifica: blocchi trentacinque–centotrentaquattro</w:t>
      </w:r>
    </w:p>
    <w:p>
      <w:pPr>
        <w:spacing w:after="120" w:line="276"/>
        <w:jc w:val="both"/>
      </w:pPr>
      <w:r>
        <w:rPr>
          <w:rFonts w:ascii="Barlow Semi Condensed" w:cs="Barlow Semi Condensed" w:eastAsia="Barlow Semi Condensed" w:hAnsi="Barlow Semi Condensed"/>
          <w:sz w:val="24"/>
          <w:szCs w:val="24"/>
        </w:rPr>
        <w:t xml:space="preserve">I cento sottocapitoli del documento-innesco sono iscritti ciascuno come blocco, con esito e grado. La formula «già certificato» rinvia al blocco indicato delle tranche precedenti; la formula «verificato ora» indica la campagna esterna di questa tranche; la formula «attribuito» indica che l'asserzione resta in capo alla fonte nominata.</w:t>
      </w:r>
    </w:p>
    <w:p>
      <w:pPr>
        <w:spacing w:after="120" w:line="276"/>
        <w:jc w:val="both"/>
      </w:pPr>
      <w:r>
        <w:rPr>
          <w:rFonts w:ascii="Barlow Semi Condensed" w:cs="Barlow Semi Condensed" w:eastAsia="Barlow Semi Condensed" w:hAnsi="Barlow Semi Condensed"/>
          <w:sz w:val="24"/>
          <w:szCs w:val="24"/>
        </w:rPr>
        <w:t xml:space="preserve">Capitolo primo — Il substrato ideologico (blocchi trentacinque–quarantaquattro)</w:t>
      </w:r>
    </w:p>
    <w:p>
      <w:pPr>
        <w:spacing w:after="120" w:line="276"/>
        <w:jc w:val="both"/>
      </w:pPr>
      <w:r>
        <w:rPr>
          <w:rFonts w:ascii="Barlow Semi Condensed" w:cs="Barlow Semi Condensed" w:eastAsia="Barlow Semi Condensed" w:hAnsi="Barlow Semi Condensed"/>
          <w:sz w:val="24"/>
          <w:szCs w:val="24"/>
        </w:rPr>
        <w:t xml:space="preserve">Blocco trentacinque. Freda e le Edizioni di Ar: fondazione padovana del nove dicembre millenovecentosessantatré e catalogo tradizionalista, Livello A documentale. Vincolo permanente: l'assoluzione definitiva di Freda per Piazza Fontana va riportata in ogni menzione; le statuizioni dei filoni successivi non costituiscono giudicato di condanna.</w:t>
      </w:r>
    </w:p>
    <w:p>
      <w:pPr>
        <w:spacing w:after="120" w:line="276"/>
        <w:jc w:val="both"/>
      </w:pPr>
      <w:r>
        <w:rPr>
          <w:rFonts w:ascii="Barlow Semi Condensed" w:cs="Barlow Semi Condensed" w:eastAsia="Barlow Semi Condensed" w:hAnsi="Barlow Semi Condensed"/>
          <w:sz w:val="24"/>
          <w:szCs w:val="24"/>
        </w:rPr>
        <w:t xml:space="preserve">Blocco trentasei. Thiriart e Jeune Europe: già certificato ai blocchi tredici e ventitré, ivi compresa la svolta filosovietica del millenovecentosessantotto.</w:t>
      </w:r>
    </w:p>
    <w:p>
      <w:pPr>
        <w:spacing w:after="120" w:line="276"/>
        <w:jc w:val="both"/>
      </w:pPr>
      <w:r>
        <w:rPr>
          <w:rFonts w:ascii="Barlow Semi Condensed" w:cs="Barlow Semi Condensed" w:eastAsia="Barlow Semi Condensed" w:hAnsi="Barlow Semi Condensed"/>
          <w:sz w:val="24"/>
          <w:szCs w:val="24"/>
        </w:rPr>
        <w:t xml:space="preserve">Blocco trentasette. Mutti, dalla militanza alla conversione: traiettoria biografica pubblica a Livello A; le qualifiche ideologiche restano attribuzioni.</w:t>
      </w:r>
    </w:p>
    <w:p>
      <w:pPr>
        <w:spacing w:after="120" w:line="276"/>
        <w:jc w:val="both"/>
      </w:pPr>
      <w:r>
        <w:rPr>
          <w:rFonts w:ascii="Barlow Semi Condensed" w:cs="Barlow Semi Condensed" w:eastAsia="Barlow Semi Condensed" w:hAnsi="Barlow Semi Condensed"/>
          <w:sz w:val="24"/>
          <w:szCs w:val="24"/>
        </w:rPr>
        <w:t xml:space="preserve">Blocco trentotto. Il catalogo Guardia di Ferro-Szalasi-Protocolli: contenuto editoriale verificabile, Livello A documentale.</w:t>
      </w:r>
    </w:p>
    <w:p>
      <w:pPr>
        <w:spacing w:after="120" w:line="276"/>
        <w:jc w:val="both"/>
      </w:pPr>
      <w:r>
        <w:rPr>
          <w:rFonts w:ascii="Barlow Semi Condensed" w:cs="Barlow Semi Condensed" w:eastAsia="Barlow Semi Condensed" w:hAnsi="Barlow Semi Condensed"/>
          <w:sz w:val="24"/>
          <w:szCs w:val="24"/>
        </w:rPr>
        <w:t xml:space="preserve">Blocco trentanove. La strategia della tensione come nesso eversione-geopolitica: tesi interpretativa del documento, attribuita, Livello C; i fatti sottostanti sono certificati alle Fasi prima e ottava.</w:t>
      </w:r>
    </w:p>
    <w:p>
      <w:pPr>
        <w:spacing w:after="120" w:line="276"/>
        <w:jc w:val="both"/>
      </w:pPr>
      <w:r>
        <w:rPr>
          <w:rFonts w:ascii="Barlow Semi Condensed" w:cs="Barlow Semi Condensed" w:eastAsia="Barlow Semi Condensed" w:hAnsi="Barlow Semi Condensed"/>
          <w:sz w:val="24"/>
          <w:szCs w:val="24"/>
        </w:rPr>
        <w:t xml:space="preserve">Blocco quaranta. Ordine Nuovo, Avanguardia Nazionale e la rete stragista: esiti giudiziari certificati ai blocchi ventisei-ventinove; per Piazza Fontana nessun giudicato di condanna, come al blocco trentacinque.</w:t>
      </w:r>
    </w:p>
    <w:p>
      <w:pPr>
        <w:spacing w:after="120" w:line="276"/>
        <w:jc w:val="both"/>
      </w:pPr>
      <w:r>
        <w:rPr>
          <w:rFonts w:ascii="Barlow Semi Condensed" w:cs="Barlow Semi Condensed" w:eastAsia="Barlow Semi Condensed" w:hAnsi="Barlow Semi Condensed"/>
          <w:sz w:val="24"/>
          <w:szCs w:val="24"/>
        </w:rPr>
        <w:t xml:space="preserve">Blocco quarantuno. Murelli e il giovedì nero: già certificato ai blocchi undici-dodici, con la formulazione bilanciata vincolante.</w:t>
      </w:r>
    </w:p>
    <w:p>
      <w:pPr>
        <w:spacing w:after="120" w:line="276"/>
        <w:jc w:val="both"/>
      </w:pPr>
      <w:r>
        <w:rPr>
          <w:rFonts w:ascii="Barlow Semi Condensed" w:cs="Barlow Semi Condensed" w:eastAsia="Barlow Semi Condensed" w:hAnsi="Barlow Semi Condensed"/>
          <w:sz w:val="24"/>
          <w:szCs w:val="24"/>
        </w:rPr>
        <w:t xml:space="preserve">Blocco quarantadue. Barbarossa e Orion: già certificato al blocco quattordici.</w:t>
      </w:r>
    </w:p>
    <w:p>
      <w:pPr>
        <w:spacing w:after="120" w:line="276"/>
        <w:jc w:val="both"/>
      </w:pPr>
      <w:r>
        <w:rPr>
          <w:rFonts w:ascii="Barlow Semi Condensed" w:cs="Barlow Semi Condensed" w:eastAsia="Barlow Semi Condensed" w:hAnsi="Barlow Semi Condensed"/>
          <w:sz w:val="24"/>
          <w:szCs w:val="24"/>
        </w:rPr>
        <w:t xml:space="preserve">Blocco quarantatré. Borghezio da Jeune Europe alla Lega: già certificato al blocco quindici.</w:t>
      </w:r>
    </w:p>
    <w:p>
      <w:pPr>
        <w:spacing w:after="120" w:line="276"/>
        <w:jc w:val="both"/>
      </w:pPr>
      <w:r>
        <w:rPr>
          <w:rFonts w:ascii="Barlow Semi Condensed" w:cs="Barlow Semi Condensed" w:eastAsia="Barlow Semi Condensed" w:hAnsi="Barlow Semi Condensed"/>
          <w:sz w:val="24"/>
          <w:szCs w:val="24"/>
        </w:rPr>
        <w:t xml:space="preserve">Blocco quarantaquattro. L'Università d'Estate di Gavirate: già certificato al blocco diciotto; l'attribuzione sulla genesi di CasaPound resta a Livello B.</w:t>
      </w:r>
    </w:p>
    <w:p>
      <w:pPr>
        <w:spacing w:after="120" w:line="276"/>
        <w:jc w:val="both"/>
      </w:pPr>
      <w:r>
        <w:rPr>
          <w:rFonts w:ascii="Barlow Semi Condensed" w:cs="Barlow Semi Condensed" w:eastAsia="Barlow Semi Condensed" w:hAnsi="Barlow Semi Condensed"/>
          <w:sz w:val="24"/>
          <w:szCs w:val="24"/>
        </w:rPr>
        <w:t xml:space="preserve">Capitolo secondo — Dugin, origini e progetto (blocchi quarantacinque–cinquantaquattro)</w:t>
      </w:r>
    </w:p>
    <w:p>
      <w:pPr>
        <w:spacing w:after="120" w:line="276"/>
        <w:jc w:val="both"/>
      </w:pPr>
      <w:r>
        <w:rPr>
          <w:rFonts w:ascii="Barlow Semi Condensed" w:cs="Barlow Semi Condensed" w:eastAsia="Barlow Semi Condensed" w:hAnsi="Barlow Semi Condensed"/>
          <w:sz w:val="24"/>
          <w:szCs w:val="24"/>
        </w:rPr>
        <w:t xml:space="preserve">Blocco quarantacinque. Il padre tenente colonnello del GRU: dato riferito da fonti d'inchiesta, non riscontrato su fonte primaria: attribuito, Livello C.</w:t>
      </w:r>
    </w:p>
    <w:p>
      <w:pPr>
        <w:spacing w:after="120" w:line="276"/>
        <w:jc w:val="both"/>
      </w:pPr>
      <w:r>
        <w:rPr>
          <w:rFonts w:ascii="Barlow Semi Condensed" w:cs="Barlow Semi Condensed" w:eastAsia="Barlow Semi Condensed" w:hAnsi="Barlow Semi Condensed"/>
          <w:sz w:val="24"/>
          <w:szCs w:val="24"/>
        </w:rPr>
        <w:t xml:space="preserve">Blocco quarantasei. L'arresto del millenovecentottantatré e la collaborazione col KGB: attribuzione di Byline Times, riportata come tale: Livello C.</w:t>
      </w:r>
    </w:p>
    <w:p>
      <w:pPr>
        <w:spacing w:after="120" w:line="276"/>
        <w:jc w:val="both"/>
      </w:pPr>
      <w:r>
        <w:rPr>
          <w:rFonts w:ascii="Barlow Semi Condensed" w:cs="Barlow Semi Condensed" w:eastAsia="Barlow Semi Condensed" w:hAnsi="Barlow Semi Condensed"/>
          <w:sz w:val="24"/>
          <w:szCs w:val="24"/>
        </w:rPr>
        <w:t xml:space="preserve">Blocco quarantasette. Pamjat', il nazionalbolscevismo e Limonov: storia pubblica consolidata, Livello A sui fatti editoriali e di cronaca.</w:t>
      </w:r>
    </w:p>
    <w:p>
      <w:pPr>
        <w:spacing w:after="120" w:line="276"/>
        <w:jc w:val="both"/>
      </w:pPr>
      <w:r>
        <w:rPr>
          <w:rFonts w:ascii="Barlow Semi Condensed" w:cs="Barlow Semi Condensed" w:eastAsia="Barlow Semi Condensed" w:hAnsi="Barlow Semi Condensed"/>
          <w:sz w:val="24"/>
          <w:szCs w:val="24"/>
        </w:rPr>
        <w:t xml:space="preserve">Blocco quarantotto. L'incontro con Mutti del millenovecentonovanta e Continente Russia: documentazione d'area convergente, Livello B.</w:t>
      </w:r>
    </w:p>
    <w:p>
      <w:pPr>
        <w:spacing w:after="120" w:line="276"/>
        <w:jc w:val="both"/>
      </w:pPr>
      <w:r>
        <w:rPr>
          <w:rFonts w:ascii="Barlow Semi Condensed" w:cs="Barlow Semi Condensed" w:eastAsia="Barlow Semi Condensed" w:hAnsi="Barlow Semi Condensed"/>
          <w:sz w:val="24"/>
          <w:szCs w:val="24"/>
        </w:rPr>
        <w:t xml:space="preserve">Blocco quarantanove. La missione moscovita di Thiriart dell'agosto millenovecentonovantadue: già certificata, Livello A, con Schneider, Terracciano e Battarra.</w:t>
      </w:r>
    </w:p>
    <w:p>
      <w:pPr>
        <w:spacing w:after="120" w:line="276"/>
        <w:jc w:val="both"/>
      </w:pPr>
      <w:r>
        <w:rPr>
          <w:rFonts w:ascii="Barlow Semi Condensed" w:cs="Barlow Semi Condensed" w:eastAsia="Barlow Semi Condensed" w:hAnsi="Barlow Semi Condensed"/>
          <w:sz w:val="24"/>
          <w:szCs w:val="24"/>
        </w:rPr>
        <w:t xml:space="preserve">Blocco cinquanta. L'ingresso in Elementi: Livello B documentale.</w:t>
      </w:r>
    </w:p>
    <w:p>
      <w:pPr>
        <w:spacing w:after="120" w:line="276"/>
        <w:jc w:val="both"/>
      </w:pPr>
      <w:r>
        <w:rPr>
          <w:rFonts w:ascii="Barlow Semi Condensed" w:cs="Barlow Semi Condensed" w:eastAsia="Barlow Semi Condensed" w:hAnsi="Barlow Semi Condensed"/>
          <w:sz w:val="24"/>
          <w:szCs w:val="24"/>
        </w:rPr>
        <w:t xml:space="preserve">Blocco cinquantuno. De Benoist, Steuckers, Bouchet: fatti pubblici a Livello A; la funzione di legittimazione è qualifica attribuita.</w:t>
      </w:r>
    </w:p>
    <w:p>
      <w:pPr>
        <w:spacing w:after="120" w:line="276"/>
        <w:jc w:val="both"/>
      </w:pPr>
      <w:r>
        <w:rPr>
          <w:rFonts w:ascii="Barlow Semi Condensed" w:cs="Barlow Semi Condensed" w:eastAsia="Barlow Semi Condensed" w:hAnsi="Barlow Semi Condensed"/>
          <w:sz w:val="24"/>
          <w:szCs w:val="24"/>
        </w:rPr>
        <w:t xml:space="preserve">Blocco cinquantadue. I Fondamenti di Geopolitica del millenovecentonovantasette: pubblicazione a Livello A; l'adozione come testo di studio nelle accademie militari è dato di letteratura a Livello B; la portata dell'influenza resta dibattuta, come il documento stesso dichiara.</w:t>
      </w:r>
    </w:p>
    <w:p>
      <w:pPr>
        <w:spacing w:after="120" w:line="276"/>
        <w:jc w:val="both"/>
      </w:pPr>
      <w:r>
        <w:rPr>
          <w:rFonts w:ascii="Barlow Semi Condensed" w:cs="Barlow Semi Condensed" w:eastAsia="Barlow Semi Condensed" w:hAnsi="Barlow Semi Condensed"/>
          <w:sz w:val="24"/>
          <w:szCs w:val="24"/>
        </w:rPr>
        <w:t xml:space="preserve">Blocco cinquantatré. Le raccomandazioni operative e le coincidenze successive: la coincidenza testuale è verificabile a Livello A; l'inferenza causale è vietata dalla Regola Ferrea.</w:t>
      </w:r>
    </w:p>
    <w:p>
      <w:pPr>
        <w:spacing w:after="120" w:line="276"/>
        <w:jc w:val="both"/>
      </w:pPr>
      <w:r>
        <w:rPr>
          <w:rFonts w:ascii="Barlow Semi Condensed" w:cs="Barlow Semi Condensed" w:eastAsia="Barlow Semi Condensed" w:hAnsi="Barlow Semi Condensed"/>
          <w:sz w:val="24"/>
          <w:szCs w:val="24"/>
        </w:rPr>
        <w:t xml:space="preserve">Blocco cinquantaquattro. Il Partito Eurasia del duemilauno: registrazione riferita, Livello B; la qualifica di veterano del KGB per Suslov resta attribuita.</w:t>
      </w:r>
    </w:p>
    <w:p>
      <w:pPr>
        <w:spacing w:after="120" w:line="276"/>
        <w:jc w:val="both"/>
      </w:pPr>
      <w:r>
        <w:rPr>
          <w:rFonts w:ascii="Barlow Semi Condensed" w:cs="Barlow Semi Condensed" w:eastAsia="Barlow Semi Condensed" w:hAnsi="Barlow Semi Condensed"/>
          <w:sz w:val="24"/>
          <w:szCs w:val="24"/>
        </w:rPr>
        <w:t xml:space="preserve">Capitolo terzo — L'infiltrazione nella Lega (blocchi cinquantacinque–sessantaquattro)</w:t>
      </w:r>
    </w:p>
    <w:p>
      <w:pPr>
        <w:spacing w:after="120" w:line="276"/>
        <w:jc w:val="both"/>
      </w:pPr>
      <w:r>
        <w:rPr>
          <w:rFonts w:ascii="Barlow Semi Condensed" w:cs="Barlow Semi Condensed" w:eastAsia="Barlow Semi Condensed" w:hAnsi="Barlow Semi Condensed"/>
          <w:sz w:val="24"/>
          <w:szCs w:val="24"/>
        </w:rPr>
        <w:t xml:space="preserve">Blocco cinquantacinque. La testimonianza Battarra sui nove fondatori: dichiarativo a Livello C, già discusso nella seconda tranche.</w:t>
      </w:r>
    </w:p>
    <w:p>
      <w:pPr>
        <w:spacing w:after="120" w:line="276"/>
        <w:jc w:val="both"/>
      </w:pPr>
      <w:r>
        <w:rPr>
          <w:rFonts w:ascii="Barlow Semi Condensed" w:cs="Barlow Semi Condensed" w:eastAsia="Barlow Semi Condensed" w:hAnsi="Barlow Semi Condensed"/>
          <w:sz w:val="24"/>
          <w:szCs w:val="24"/>
        </w:rPr>
        <w:t xml:space="preserve">Blocco cinquantasei. Savoini: già certificato ai blocchi sedici-diciassette; i dettagli familiari privati riferiti dal documento sono esclusi dal registro per non necessità.</w:t>
      </w:r>
    </w:p>
    <w:p>
      <w:pPr>
        <w:spacing w:after="120" w:line="276"/>
        <w:jc w:val="both"/>
      </w:pPr>
      <w:r>
        <w:rPr>
          <w:rFonts w:ascii="Barlow Semi Condensed" w:cs="Barlow Semi Condensed" w:eastAsia="Barlow Semi Condensed" w:hAnsi="Barlow Semi Condensed"/>
          <w:sz w:val="24"/>
          <w:szCs w:val="24"/>
        </w:rPr>
        <w:t xml:space="preserve">Blocco cinquantasette. Il gramscismo di destra: autodefinizione di Murelli, Livello A come dichiarazione attribuita.</w:t>
      </w:r>
    </w:p>
    <w:p>
      <w:pPr>
        <w:spacing w:after="120" w:line="276"/>
        <w:jc w:val="both"/>
      </w:pPr>
      <w:r>
        <w:rPr>
          <w:rFonts w:ascii="Barlow Semi Condensed" w:cs="Barlow Semi Condensed" w:eastAsia="Barlow Semi Condensed" w:hAnsi="Barlow Semi Condensed"/>
          <w:sz w:val="24"/>
          <w:szCs w:val="24"/>
        </w:rPr>
        <w:t xml:space="preserve">Blocco cinquantotto. Adinolfi, Fiore e Terza Posizione: fatti giudiziari storici a Livello A; il ruolo direttivo in Orion a Livello B.</w:t>
      </w:r>
    </w:p>
    <w:p>
      <w:pPr>
        <w:spacing w:after="120" w:line="276"/>
        <w:jc w:val="both"/>
      </w:pPr>
      <w:r>
        <w:rPr>
          <w:rFonts w:ascii="Barlow Semi Condensed" w:cs="Barlow Semi Condensed" w:eastAsia="Barlow Semi Condensed" w:hAnsi="Barlow Semi Condensed"/>
          <w:sz w:val="24"/>
          <w:szCs w:val="24"/>
        </w:rPr>
        <w:t xml:space="preserve">Blocco cinquantanove. Concutelli: la condanna definitiva per l'omicidio Occorsio del dieci luglio millenovecentosettantasei sta a Livello A; la collocazione della sede romana di Barbarossa è dato del documento a Livello C, da riscontrare.</w:t>
      </w:r>
    </w:p>
    <w:p>
      <w:pPr>
        <w:spacing w:after="120" w:line="276"/>
        <w:jc w:val="both"/>
      </w:pPr>
      <w:r>
        <w:rPr>
          <w:rFonts w:ascii="Barlow Semi Condensed" w:cs="Barlow Semi Condensed" w:eastAsia="Barlow Semi Condensed" w:hAnsi="Barlow Semi Condensed"/>
          <w:sz w:val="24"/>
          <w:szCs w:val="24"/>
        </w:rPr>
        <w:t xml:space="preserve">Blocco sessanta. Il congresso di Torino del dicembre duemilatredici e la presentazione di Komov: episodio riferito da stampa investigativa, Livello B.</w:t>
      </w:r>
    </w:p>
    <w:p>
      <w:pPr>
        <w:spacing w:after="120" w:line="276"/>
        <w:jc w:val="both"/>
      </w:pPr>
      <w:r>
        <w:rPr>
          <w:rFonts w:ascii="Barlow Semi Condensed" w:cs="Barlow Semi Condensed" w:eastAsia="Barlow Semi Condensed" w:hAnsi="Barlow Semi Condensed"/>
          <w:sz w:val="24"/>
          <w:szCs w:val="24"/>
        </w:rPr>
        <w:t xml:space="preserve">Blocco sessantuno. La fondazione dell'Associazione Lombardia-Russia del cinque febbraio duemilaquattordici in via Colombi diciotto: corpus e conferma d'agenzia, Livello A.</w:t>
      </w:r>
    </w:p>
    <w:p>
      <w:pPr>
        <w:spacing w:after="120" w:line="276"/>
        <w:jc w:val="both"/>
      </w:pPr>
      <w:r>
        <w:rPr>
          <w:rFonts w:ascii="Barlow Semi Condensed" w:cs="Barlow Semi Condensed" w:eastAsia="Barlow Semi Condensed" w:hAnsi="Barlow Semi Condensed"/>
          <w:sz w:val="24"/>
          <w:szCs w:val="24"/>
        </w:rPr>
        <w:t xml:space="preserve">Blocco sessantadue. Max Ferrari: ruoli pubblici a Livello A.</w:t>
      </w:r>
    </w:p>
    <w:p>
      <w:pPr>
        <w:spacing w:after="120" w:line="276"/>
        <w:jc w:val="both"/>
      </w:pPr>
      <w:r>
        <w:rPr>
          <w:rFonts w:ascii="Barlow Semi Condensed" w:cs="Barlow Semi Condensed" w:eastAsia="Barlow Semi Condensed" w:hAnsi="Barlow Semi Condensed"/>
          <w:sz w:val="24"/>
          <w:szCs w:val="24"/>
        </w:rPr>
        <w:t xml:space="preserve">Blocco sessantatré. D'Amico e la società moscovita con registri cancellati: attribuzione d'inchiesta, Livello C su vivente.</w:t>
      </w:r>
    </w:p>
    <w:p>
      <w:pPr>
        <w:spacing w:after="120" w:line="276"/>
        <w:jc w:val="both"/>
      </w:pPr>
      <w:r>
        <w:rPr>
          <w:rFonts w:ascii="Barlow Semi Condensed" w:cs="Barlow Semi Condensed" w:eastAsia="Barlow Semi Condensed" w:hAnsi="Barlow Semi Condensed"/>
          <w:sz w:val="24"/>
          <w:szCs w:val="24"/>
        </w:rPr>
        <w:t xml:space="preserve">Blocco sessantaquattro. La rete delle associazioni regionali: documentale, Livello B.</w:t>
      </w:r>
    </w:p>
    <w:p>
      <w:pPr>
        <w:spacing w:after="120" w:line="276"/>
        <w:jc w:val="both"/>
      </w:pPr>
      <w:r>
        <w:rPr>
          <w:rFonts w:ascii="Barlow Semi Condensed" w:cs="Barlow Semi Condensed" w:eastAsia="Barlow Semi Condensed" w:hAnsi="Barlow Semi Condensed"/>
          <w:sz w:val="24"/>
          <w:szCs w:val="24"/>
        </w:rPr>
        <w:t xml:space="preserve">Capitolo quarto — Malofeev, Komov e il canale finanziario (blocchi sessantacinque–settantaquattro)</w:t>
      </w:r>
    </w:p>
    <w:p>
      <w:pPr>
        <w:spacing w:after="120" w:line="276"/>
        <w:jc w:val="both"/>
      </w:pPr>
      <w:r>
        <w:rPr>
          <w:rFonts w:ascii="Barlow Semi Condensed" w:cs="Barlow Semi Condensed" w:eastAsia="Barlow Semi Condensed" w:hAnsi="Barlow Semi Condensed"/>
          <w:sz w:val="24"/>
          <w:szCs w:val="24"/>
        </w:rPr>
        <w:t xml:space="preserve">Blocco sessantacinque. Malofeev, Marshall Capital e la Fondazione San Basilio: la designazione OFAC del dicembre duemilaquattordici sta a Livello A; la qualifica di finanziatore del separatismo è la motivazione della designazione, riportata come tale.</w:t>
      </w:r>
    </w:p>
    <w:p>
      <w:pPr>
        <w:spacing w:after="120" w:line="276"/>
        <w:jc w:val="both"/>
      </w:pPr>
      <w:r>
        <w:rPr>
          <w:rFonts w:ascii="Barlow Semi Condensed" w:cs="Barlow Semi Condensed" w:eastAsia="Barlow Semi Condensed" w:hAnsi="Barlow Semi Condensed"/>
          <w:sz w:val="24"/>
          <w:szCs w:val="24"/>
        </w:rPr>
        <w:t xml:space="preserve">Blocco sessantasei. Tsargrad e Hanick: le incriminazioni statunitensi dell'aprile duemilaventidue stanno a Livello A quali atti; l'etichetta giornalistica resta tale.</w:t>
      </w:r>
    </w:p>
    <w:p>
      <w:pPr>
        <w:spacing w:after="120" w:line="276"/>
        <w:jc w:val="both"/>
      </w:pPr>
      <w:r>
        <w:rPr>
          <w:rFonts w:ascii="Barlow Semi Condensed" w:cs="Barlow Semi Condensed" w:eastAsia="Barlow Semi Condensed" w:hAnsi="Barlow Semi Condensed"/>
          <w:sz w:val="24"/>
          <w:szCs w:val="24"/>
        </w:rPr>
        <w:t xml:space="preserve">Blocco sessantasette. Komov e il Congresso Mondiale delle Famiglie: ruolo pubblico ventennale, Livello A.</w:t>
      </w:r>
    </w:p>
    <w:p>
      <w:pPr>
        <w:spacing w:after="120" w:line="276"/>
        <w:jc w:val="both"/>
      </w:pPr>
      <w:r>
        <w:rPr>
          <w:rFonts w:ascii="Barlow Semi Condensed" w:cs="Barlow Semi Condensed" w:eastAsia="Barlow Semi Condensed" w:hAnsi="Barlow Semi Condensed"/>
          <w:sz w:val="24"/>
          <w:szCs w:val="24"/>
        </w:rPr>
        <w:t xml:space="preserve">Blocco sessantotto. CitizenGO, Hazte Oir e la rete conservatrice: collegamenti riferiti da inchieste, Livello C attribuito.</w:t>
      </w:r>
    </w:p>
    <w:p>
      <w:pPr>
        <w:spacing w:after="120" w:line="276"/>
        <w:jc w:val="both"/>
      </w:pPr>
      <w:r>
        <w:rPr>
          <w:rFonts w:ascii="Barlow Semi Condensed" w:cs="Barlow Semi Condensed" w:eastAsia="Barlow Semi Condensed" w:hAnsi="Barlow Semi Condensed"/>
          <w:sz w:val="24"/>
          <w:szCs w:val="24"/>
        </w:rPr>
        <w:t xml:space="preserve">Blocco sessantanove. Le email Saltaj Boltaj e il collegamento Komov-Fiore: materiale di provenienza illecita non verificabile in modo indipendente: Livello C con statuto dichiarato.</w:t>
      </w:r>
    </w:p>
    <w:p>
      <w:pPr>
        <w:spacing w:after="120" w:line="276"/>
        <w:jc w:val="both"/>
      </w:pPr>
      <w:r>
        <w:rPr>
          <w:rFonts w:ascii="Barlow Semi Condensed" w:cs="Barlow Semi Condensed" w:eastAsia="Barlow Semi Condensed" w:hAnsi="Barlow Semi Condensed"/>
          <w:sz w:val="24"/>
          <w:szCs w:val="24"/>
        </w:rPr>
        <w:t xml:space="preserve">Blocco settanta. L'incriminazione di Komov del dodici dicembre duemilaventiquattro: verificato ora sulla fonte primaria della Procura di New York, Livello A quale atto d'accusa; presunzione di innocenza integrale; latitante.</w:t>
      </w:r>
    </w:p>
    <w:p>
      <w:pPr>
        <w:spacing w:after="120" w:line="276"/>
        <w:jc w:val="both"/>
      </w:pPr>
      <w:r>
        <w:rPr>
          <w:rFonts w:ascii="Barlow Semi Condensed" w:cs="Barlow Semi Condensed" w:eastAsia="Barlow Semi Condensed" w:hAnsi="Barlow Semi Condensed"/>
          <w:sz w:val="24"/>
          <w:szCs w:val="24"/>
        </w:rPr>
        <w:t xml:space="preserve">Blocco settantuno. La chiusura di KleptoCapture: verificato ora; lo scioglimento è del memorandum del cinque febbraio duemilaventicinque; rilievo critico di datazione sul documento, che indica il gennaio.</w:t>
      </w:r>
    </w:p>
    <w:p>
      <w:pPr>
        <w:spacing w:after="120" w:line="276"/>
        <w:jc w:val="both"/>
      </w:pPr>
      <w:r>
        <w:rPr>
          <w:rFonts w:ascii="Barlow Semi Condensed" w:cs="Barlow Semi Condensed" w:eastAsia="Barlow Semi Condensed" w:hAnsi="Barlow Semi Condensed"/>
          <w:sz w:val="24"/>
          <w:szCs w:val="24"/>
        </w:rPr>
        <w:t xml:space="preserve">Blocco settantadue. Il Congresso Mondiale delle Famiglie di Verona duemiladiciannove: evento a Livello A; la lettura come piattaforma resta tesi attribuita.</w:t>
      </w:r>
    </w:p>
    <w:p>
      <w:pPr>
        <w:spacing w:after="120" w:line="276"/>
        <w:jc w:val="both"/>
      </w:pPr>
      <w:r>
        <w:rPr>
          <w:rFonts w:ascii="Barlow Semi Condensed" w:cs="Barlow Semi Condensed" w:eastAsia="Barlow Semi Condensed" w:hAnsi="Barlow Semi Condensed"/>
          <w:sz w:val="24"/>
          <w:szCs w:val="24"/>
        </w:rPr>
        <w:t xml:space="preserve">Blocco settantatré. Dar'ja Dugina: verificato ora; morte del venti agosto duemilaventidue a Livello A; attribuzioni delle parti riportate come posizioni, nessun accertamento giudiziario terzo.</w:t>
      </w:r>
    </w:p>
    <w:p>
      <w:pPr>
        <w:spacing w:after="120" w:line="276"/>
        <w:jc w:val="both"/>
      </w:pPr>
      <w:r>
        <w:rPr>
          <w:rFonts w:ascii="Barlow Semi Condensed" w:cs="Barlow Semi Condensed" w:eastAsia="Barlow Semi Condensed" w:hAnsi="Barlow Semi Condensed"/>
          <w:sz w:val="24"/>
          <w:szCs w:val="24"/>
        </w:rPr>
        <w:t xml:space="preserve">Blocco settantaquattro. Alliata di Villafranca e il congresso dei russofili: partecipazione riferita, Livello C; il quadro del Movimento dei Russofili è certificato alla prima tranche.</w:t>
      </w:r>
    </w:p>
    <w:p>
      <w:pPr>
        <w:spacing w:after="120" w:line="276"/>
        <w:jc w:val="both"/>
      </w:pPr>
      <w:r>
        <w:rPr>
          <w:rFonts w:ascii="Barlow Semi Condensed" w:cs="Barlow Semi Condensed" w:eastAsia="Barlow Semi Condensed" w:hAnsi="Barlow Semi Condensed"/>
          <w:sz w:val="24"/>
          <w:szCs w:val="24"/>
        </w:rPr>
        <w:t xml:space="preserve">Capitolo quinto — Crimea e la mobilitazione delle reti (blocchi settantacinque–ottantaquattro)</w:t>
      </w:r>
    </w:p>
    <w:p>
      <w:pPr>
        <w:spacing w:after="120" w:line="276"/>
        <w:jc w:val="both"/>
      </w:pPr>
      <w:r>
        <w:rPr>
          <w:rFonts w:ascii="Barlow Semi Condensed" w:cs="Barlow Semi Condensed" w:eastAsia="Barlow Semi Condensed" w:hAnsi="Barlow Semi Condensed"/>
          <w:sz w:val="24"/>
          <w:szCs w:val="24"/>
        </w:rPr>
        <w:t xml:space="preserve">Blocco settantacinque. L'archivio Mirzakhanian e l'inchiesta consortile del tre febbraio duemilaventitré: attribuzione su materiale hackerato: Livello C con statuto, nonostante la convergenza delle testate.</w:t>
      </w:r>
    </w:p>
    <w:p>
      <w:pPr>
        <w:spacing w:after="120" w:line="276"/>
        <w:jc w:val="both"/>
      </w:pPr>
      <w:r>
        <w:rPr>
          <w:rFonts w:ascii="Barlow Semi Condensed" w:cs="Barlow Semi Condensed" w:eastAsia="Barlow Semi Condensed" w:hAnsi="Barlow Semi Condensed"/>
          <w:sz w:val="24"/>
          <w:szCs w:val="24"/>
        </w:rPr>
        <w:t xml:space="preserve">Blocco settantasei. La risoluzione veneta del diciotto maggio duemilasedici: l'atto è pubblico, Livello A; la genesi moscovita è attribuzione a Livello B.</w:t>
      </w:r>
    </w:p>
    <w:p>
      <w:pPr>
        <w:spacing w:after="120" w:line="276"/>
        <w:jc w:val="both"/>
      </w:pPr>
      <w:r>
        <w:rPr>
          <w:rFonts w:ascii="Barlow Semi Condensed" w:cs="Barlow Semi Condensed" w:eastAsia="Barlow Semi Condensed" w:hAnsi="Barlow Semi Condensed"/>
          <w:sz w:val="24"/>
          <w:szCs w:val="24"/>
        </w:rPr>
        <w:t xml:space="preserve">Blocco settantasette. Valdegamberi: le missioni di osservazione risultano dal database EPDE e da atti pubblici, Livello B; per il vivente valgono i soli fatti pubblici.</w:t>
      </w:r>
    </w:p>
    <w:p>
      <w:pPr>
        <w:spacing w:after="120" w:line="276"/>
        <w:jc w:val="both"/>
      </w:pPr>
      <w:r>
        <w:rPr>
          <w:rFonts w:ascii="Barlow Semi Condensed" w:cs="Barlow Semi Condensed" w:eastAsia="Barlow Semi Condensed" w:hAnsi="Barlow Semi Condensed"/>
          <w:sz w:val="24"/>
          <w:szCs w:val="24"/>
        </w:rPr>
        <w:t xml:space="preserve">Blocco settantotto. L'effetto cascata regionale: gli atti sono pubblici a Livello A; la regia unitaria resta tesi a Livello C.</w:t>
      </w:r>
    </w:p>
    <w:p>
      <w:pPr>
        <w:spacing w:after="120" w:line="276"/>
        <w:jc w:val="both"/>
      </w:pPr>
      <w:r>
        <w:rPr>
          <w:rFonts w:ascii="Barlow Semi Condensed" w:cs="Barlow Semi Condensed" w:eastAsia="Barlow Semi Condensed" w:hAnsi="Barlow Semi Condensed"/>
          <w:sz w:val="24"/>
          <w:szCs w:val="24"/>
        </w:rPr>
        <w:t xml:space="preserve">Blocco settantanove. Stovbun, nome in codice Erudito: convergenza tra inchiesta Shekhovtsov e conferma del servizio lettone VDD: Livello B.</w:t>
      </w:r>
    </w:p>
    <w:p>
      <w:pPr>
        <w:spacing w:after="120" w:line="276"/>
        <w:jc w:val="both"/>
      </w:pPr>
      <w:r>
        <w:rPr>
          <w:rFonts w:ascii="Barlow Semi Condensed" w:cs="Barlow Semi Condensed" w:eastAsia="Barlow Semi Condensed" w:hAnsi="Barlow Semi Condensed"/>
          <w:sz w:val="24"/>
          <w:szCs w:val="24"/>
        </w:rPr>
        <w:t xml:space="preserve">Blocco ottanta. Bertolasi, nome in codice Scrittore: la qualifica di risorsa gestita è attribuzione delle medesime fonti, Livello C su vivente; i fatti biografici pubblici stanno a Livello A.</w:t>
      </w:r>
    </w:p>
    <w:p>
      <w:pPr>
        <w:spacing w:after="120" w:line="276"/>
        <w:jc w:val="both"/>
      </w:pPr>
      <w:r>
        <w:rPr>
          <w:rFonts w:ascii="Barlow Semi Condensed" w:cs="Barlow Semi Condensed" w:eastAsia="Barlow Semi Condensed" w:hAnsi="Barlow Semi Condensed"/>
          <w:sz w:val="24"/>
          <w:szCs w:val="24"/>
        </w:rPr>
        <w:t xml:space="preserve">Blocco ottantuno. La rete internazionale di Stovbun: attribuito, Livello C.</w:t>
      </w:r>
    </w:p>
    <w:p>
      <w:pPr>
        <w:spacing w:after="120" w:line="276"/>
        <w:jc w:val="both"/>
      </w:pPr>
      <w:r>
        <w:rPr>
          <w:rFonts w:ascii="Barlow Semi Condensed" w:cs="Barlow Semi Condensed" w:eastAsia="Barlow Semi Condensed" w:hAnsi="Barlow Semi Condensed"/>
          <w:sz w:val="24"/>
          <w:szCs w:val="24"/>
        </w:rPr>
        <w:t xml:space="preserve">Blocco ottantadue. Bobirs: arresto dell'agosto duemilaventitré e morte in custodia nel novembre successivo, Livello A di cronaca giudiziaria lettone.</w:t>
      </w:r>
    </w:p>
    <w:p>
      <w:pPr>
        <w:spacing w:after="120" w:line="276"/>
        <w:jc w:val="both"/>
      </w:pPr>
      <w:r>
        <w:rPr>
          <w:rFonts w:ascii="Barlow Semi Condensed" w:cs="Barlow Semi Condensed" w:eastAsia="Barlow Semi Condensed" w:hAnsi="Barlow Semi Condensed"/>
          <w:sz w:val="24"/>
          <w:szCs w:val="24"/>
        </w:rPr>
        <w:t xml:space="preserve">Blocco ottantatré. Zoccatelli e il centro di Verona del nove febbraio duemiladiciannove: evento pubblico, Livello A.</w:t>
      </w:r>
    </w:p>
    <w:p>
      <w:pPr>
        <w:spacing w:after="120" w:line="276"/>
        <w:jc w:val="both"/>
      </w:pPr>
      <w:r>
        <w:rPr>
          <w:rFonts w:ascii="Barlow Semi Condensed" w:cs="Barlow Semi Condensed" w:eastAsia="Barlow Semi Condensed" w:hAnsi="Barlow Semi Condensed"/>
          <w:sz w:val="24"/>
          <w:szCs w:val="24"/>
        </w:rPr>
        <w:t xml:space="preserve">Blocco ottantaquattro. Sandonà e il rifiuto del marzo duemilaventidue: dichiarazioni pubbliche, Livello A come dichiarazioni.</w:t>
      </w:r>
    </w:p>
    <w:p>
      <w:pPr>
        <w:spacing w:after="120" w:line="276"/>
        <w:jc w:val="both"/>
      </w:pPr>
      <w:r>
        <w:rPr>
          <w:rFonts w:ascii="Barlow Semi Condensed" w:cs="Barlow Semi Condensed" w:eastAsia="Barlow Semi Condensed" w:hAnsi="Barlow Semi Condensed"/>
          <w:sz w:val="24"/>
          <w:szCs w:val="24"/>
        </w:rPr>
        <w:t xml:space="preserve">Capitolo sesto — L'affare Metropol (blocchi ottantacinque–novantaquattro)</w:t>
      </w:r>
    </w:p>
    <w:p>
      <w:pPr>
        <w:spacing w:after="120" w:line="276"/>
        <w:jc w:val="both"/>
      </w:pPr>
      <w:r>
        <w:rPr>
          <w:rFonts w:ascii="Barlow Semi Condensed" w:cs="Barlow Semi Condensed" w:eastAsia="Barlow Semi Condensed" w:hAnsi="Barlow Semi Condensed"/>
          <w:sz w:val="24"/>
          <w:szCs w:val="24"/>
        </w:rPr>
        <w:t xml:space="preserve">Blocco ottantacinque. L'incontro romano del venticinque settembre duemiladiciotto: riferito da stampa, Livello B.</w:t>
      </w:r>
    </w:p>
    <w:p>
      <w:pPr>
        <w:spacing w:after="120" w:line="276"/>
        <w:jc w:val="both"/>
      </w:pPr>
      <w:r>
        <w:rPr>
          <w:rFonts w:ascii="Barlow Semi Condensed" w:cs="Barlow Semi Condensed" w:eastAsia="Barlow Semi Condensed" w:hAnsi="Barlow Semi Condensed"/>
          <w:sz w:val="24"/>
          <w:szCs w:val="24"/>
        </w:rPr>
        <w:t xml:space="preserve">Blocco ottantasei. La cena al Ruski e l'incontro riferito con Kozak: attribuzione giornalistica mai tradotta in addebito; vale il richiamo vincolante del blocco ventuno: mai indagato.</w:t>
      </w:r>
    </w:p>
    <w:p>
      <w:pPr>
        <w:spacing w:after="120" w:line="276"/>
        <w:jc w:val="both"/>
      </w:pPr>
      <w:r>
        <w:rPr>
          <w:rFonts w:ascii="Barlow Semi Condensed" w:cs="Barlow Semi Condensed" w:eastAsia="Barlow Semi Condensed" w:hAnsi="Barlow Semi Condensed"/>
          <w:sz w:val="24"/>
          <w:szCs w:val="24"/>
        </w:rPr>
        <w:t xml:space="preserve">Blocco ottantasette. La registrazione del diciotto ottobre duemiladiciotto: già certificata al blocco venti, Livello A.</w:t>
      </w:r>
    </w:p>
    <w:p>
      <w:pPr>
        <w:spacing w:after="120" w:line="276"/>
        <w:jc w:val="both"/>
      </w:pPr>
      <w:r>
        <w:rPr>
          <w:rFonts w:ascii="Barlow Semi Condensed" w:cs="Barlow Semi Condensed" w:eastAsia="Barlow Semi Condensed" w:hAnsi="Barlow Semi Condensed"/>
          <w:sz w:val="24"/>
          <w:szCs w:val="24"/>
        </w:rPr>
        <w:t xml:space="preserve">Blocco ottantotto. L'identificazione di Kharchenko del sei febbraio duemilaventiquattro: attribuzione di The Insider su dati trapelati, riscontrata dal corpus: Livello B.</w:t>
      </w:r>
    </w:p>
    <w:p>
      <w:pPr>
        <w:spacing w:after="120" w:line="276"/>
        <w:jc w:val="both"/>
      </w:pPr>
      <w:r>
        <w:rPr>
          <w:rFonts w:ascii="Barlow Semi Condensed" w:cs="Barlow Semi Condensed" w:eastAsia="Barlow Semi Condensed" w:hAnsi="Barlow Semi Condensed"/>
          <w:sz w:val="24"/>
          <w:szCs w:val="24"/>
        </w:rPr>
        <w:t xml:space="preserve">Blocco ottantanove. Il Quinto Servizio dell'FSB: descrizione di struttura dalla letteratura d'intelligence, Livello B.</w:t>
      </w:r>
    </w:p>
    <w:p>
      <w:pPr>
        <w:spacing w:after="120" w:line="276"/>
        <w:jc w:val="both"/>
      </w:pPr>
      <w:r>
        <w:rPr>
          <w:rFonts w:ascii="Barlow Semi Condensed" w:cs="Barlow Semi Condensed" w:eastAsia="Barlow Semi Condensed" w:hAnsi="Barlow Semi Condensed"/>
          <w:sz w:val="24"/>
          <w:szCs w:val="24"/>
        </w:rPr>
        <w:t xml:space="preserve">Blocco novanta. Jakunin e Pligin: attribuito, Livello B.</w:t>
      </w:r>
    </w:p>
    <w:p>
      <w:pPr>
        <w:spacing w:after="120" w:line="276"/>
        <w:jc w:val="both"/>
      </w:pPr>
      <w:r>
        <w:rPr>
          <w:rFonts w:ascii="Barlow Semi Condensed" w:cs="Barlow Semi Condensed" w:eastAsia="Barlow Semi Condensed" w:hAnsi="Barlow Semi Condensed"/>
          <w:sz w:val="24"/>
          <w:szCs w:val="24"/>
        </w:rPr>
        <w:t xml:space="preserve">Blocco novantuno. L'incontro riferito all'hotel Lotte dai file Jakusev: materiale trapelato, Livello C con statuto; nessun rilievo giudiziario; formulazione garantista obbligatoria.</w:t>
      </w:r>
    </w:p>
    <w:p>
      <w:pPr>
        <w:spacing w:after="120" w:line="276"/>
        <w:jc w:val="both"/>
      </w:pPr>
      <w:r>
        <w:rPr>
          <w:rFonts w:ascii="Barlow Semi Condensed" w:cs="Barlow Semi Condensed" w:eastAsia="Barlow Semi Condensed" w:hAnsi="Barlow Semi Condensed"/>
          <w:sz w:val="24"/>
          <w:szCs w:val="24"/>
        </w:rPr>
        <w:t xml:space="preserve">Blocco novantadue. L'archiviazione del ventisette aprile duemilaventitré: già certificata al blocco ventuno; formulazione integrale vincolante.</w:t>
      </w:r>
    </w:p>
    <w:p>
      <w:pPr>
        <w:spacing w:after="120" w:line="276"/>
        <w:jc w:val="both"/>
      </w:pPr>
      <w:r>
        <w:rPr>
          <w:rFonts w:ascii="Barlow Semi Condensed" w:cs="Barlow Semi Condensed" w:eastAsia="Barlow Semi Condensed" w:hAnsi="Barlow Semi Condensed"/>
          <w:sz w:val="24"/>
          <w:szCs w:val="24"/>
        </w:rPr>
        <w:t xml:space="preserve">Blocco novantatré. Le richieste di riapertura del duemilaventiquattro: atti e dichiarazioni pubbliche a Livello A come tali; nessuna riapertura risulta intervenuta.</w:t>
      </w:r>
    </w:p>
    <w:p>
      <w:pPr>
        <w:spacing w:after="120" w:line="276"/>
        <w:jc w:val="both"/>
      </w:pPr>
      <w:r>
        <w:rPr>
          <w:rFonts w:ascii="Barlow Semi Condensed" w:cs="Barlow Semi Condensed" w:eastAsia="Barlow Semi Condensed" w:hAnsi="Barlow Semi Condensed"/>
          <w:sz w:val="24"/>
          <w:szCs w:val="24"/>
        </w:rPr>
        <w:t xml:space="preserve">Blocco novantaquattro. Sergienko e l'infiltrazione dell'AfD: caso tedesco riferito da inchieste e atti, Livello B.</w:t>
      </w:r>
    </w:p>
    <w:p>
      <w:pPr>
        <w:spacing w:after="120" w:line="276"/>
        <w:jc w:val="both"/>
      </w:pPr>
      <w:r>
        <w:rPr>
          <w:rFonts w:ascii="Barlow Semi Condensed" w:cs="Barlow Semi Condensed" w:eastAsia="Barlow Semi Condensed" w:hAnsi="Barlow Semi Condensed"/>
          <w:sz w:val="24"/>
          <w:szCs w:val="24"/>
        </w:rPr>
        <w:t xml:space="preserve">Capitolo settimo — FSB, GRU e la Fondazione per la Pace (blocchi novantacinque–centoquattro)</w:t>
      </w:r>
    </w:p>
    <w:p>
      <w:pPr>
        <w:spacing w:after="120" w:line="276"/>
        <w:jc w:val="both"/>
      </w:pPr>
      <w:r>
        <w:rPr>
          <w:rFonts w:ascii="Barlow Semi Condensed" w:cs="Barlow Semi Condensed" w:eastAsia="Barlow Semi Condensed" w:hAnsi="Barlow Semi Condensed"/>
          <w:sz w:val="24"/>
          <w:szCs w:val="24"/>
        </w:rPr>
        <w:t xml:space="preserve">Blocco novantacinque. Slutsky: cariche pubbliche, Livello A.</w:t>
      </w:r>
    </w:p>
    <w:p>
      <w:pPr>
        <w:spacing w:after="120" w:line="276"/>
        <w:jc w:val="both"/>
      </w:pPr>
      <w:r>
        <w:rPr>
          <w:rFonts w:ascii="Barlow Semi Condensed" w:cs="Barlow Semi Condensed" w:eastAsia="Barlow Semi Condensed" w:hAnsi="Barlow Semi Condensed"/>
          <w:sz w:val="24"/>
          <w:szCs w:val="24"/>
        </w:rPr>
        <w:t xml:space="preserve">Blocco novantasei. Il canale dei passaporti verso il GRU: inchiesta The Insider-Meduza, riscontrata dal corpus: Livello B.</w:t>
      </w:r>
    </w:p>
    <w:p>
      <w:pPr>
        <w:spacing w:after="120" w:line="276"/>
        <w:jc w:val="both"/>
      </w:pPr>
      <w:r>
        <w:rPr>
          <w:rFonts w:ascii="Barlow Semi Condensed" w:cs="Barlow Semi Condensed" w:eastAsia="Barlow Semi Condensed" w:hAnsi="Barlow Semi Condensed"/>
          <w:sz w:val="24"/>
          <w:szCs w:val="24"/>
        </w:rPr>
        <w:t xml:space="preserve">Blocco novantasette. Il meccanismo del Primo Direttorato Europeo: attribuito, Livello B.</w:t>
      </w:r>
    </w:p>
    <w:p>
      <w:pPr>
        <w:spacing w:after="120" w:line="276"/>
        <w:jc w:val="both"/>
      </w:pPr>
      <w:r>
        <w:rPr>
          <w:rFonts w:ascii="Barlow Semi Condensed" w:cs="Barlow Semi Condensed" w:eastAsia="Barlow Semi Condensed" w:hAnsi="Barlow Semi Condensed"/>
          <w:sz w:val="24"/>
          <w:szCs w:val="24"/>
        </w:rPr>
        <w:t xml:space="preserve">Blocco novantotto. Khodynskaya-Golenishcheva: attribuito, Livello C.</w:t>
      </w:r>
    </w:p>
    <w:p>
      <w:pPr>
        <w:spacing w:after="120" w:line="276"/>
        <w:jc w:val="both"/>
      </w:pPr>
      <w:r>
        <w:rPr>
          <w:rFonts w:ascii="Barlow Semi Condensed" w:cs="Barlow Semi Condensed" w:eastAsia="Barlow Semi Condensed" w:hAnsi="Barlow Semi Condensed"/>
          <w:sz w:val="24"/>
          <w:szCs w:val="24"/>
        </w:rPr>
        <w:t xml:space="preserve">Blocco novantanove. La targa della ventiquattresima Brigata del GRU a Slutsky, settembre duemilaventitré: riferito, Livello B.</w:t>
      </w:r>
    </w:p>
    <w:p>
      <w:pPr>
        <w:spacing w:after="120" w:line="276"/>
        <w:jc w:val="both"/>
      </w:pPr>
      <w:r>
        <w:rPr>
          <w:rFonts w:ascii="Barlow Semi Condensed" w:cs="Barlow Semi Condensed" w:eastAsia="Barlow Semi Condensed" w:hAnsi="Barlow Semi Condensed"/>
          <w:sz w:val="24"/>
          <w:szCs w:val="24"/>
        </w:rPr>
        <w:t xml:space="preserve">Blocco cento. La Camera Civica quale veicolo di reclutamento: attribuito, Livello B.</w:t>
      </w:r>
    </w:p>
    <w:p>
      <w:pPr>
        <w:spacing w:after="120" w:line="276"/>
        <w:jc w:val="both"/>
      </w:pPr>
      <w:r>
        <w:rPr>
          <w:rFonts w:ascii="Barlow Semi Condensed" w:cs="Barlow Semi Condensed" w:eastAsia="Barlow Semi Condensed" w:hAnsi="Barlow Semi Condensed"/>
          <w:sz w:val="24"/>
          <w:szCs w:val="24"/>
        </w:rPr>
        <w:t xml:space="preserve">Blocco centouno. La logistica degli osservatori: testimonianze convergenti, Livello B.</w:t>
      </w:r>
    </w:p>
    <w:p>
      <w:pPr>
        <w:spacing w:after="120" w:line="276"/>
        <w:jc w:val="both"/>
      </w:pPr>
      <w:r>
        <w:rPr>
          <w:rFonts w:ascii="Barlow Semi Condensed" w:cs="Barlow Semi Condensed" w:eastAsia="Barlow Semi Condensed" w:hAnsi="Barlow Semi Condensed"/>
          <w:sz w:val="24"/>
          <w:szCs w:val="24"/>
        </w:rPr>
        <w:t xml:space="preserve">Blocco centodue. I passaporti italiani nei file del GRU, dicembre duemilaventitré: Livello B; il caso nominativo è riscontrato dal corpus.</w:t>
      </w:r>
    </w:p>
    <w:p>
      <w:pPr>
        <w:spacing w:after="120" w:line="276"/>
        <w:jc w:val="both"/>
      </w:pPr>
      <w:r>
        <w:rPr>
          <w:rFonts w:ascii="Barlow Semi Condensed" w:cs="Barlow Semi Condensed" w:eastAsia="Barlow Semi Condensed" w:hAnsi="Barlow Semi Condensed"/>
          <w:sz w:val="24"/>
          <w:szCs w:val="24"/>
        </w:rPr>
        <w:t xml:space="preserve">Blocco centotré. Il caso slovacco Lindtner-Fico: attribuito, Livello B.</w:t>
      </w:r>
    </w:p>
    <w:p>
      <w:pPr>
        <w:spacing w:after="120" w:line="276"/>
        <w:jc w:val="both"/>
      </w:pPr>
      <w:r>
        <w:rPr>
          <w:rFonts w:ascii="Barlow Semi Condensed" w:cs="Barlow Semi Condensed" w:eastAsia="Barlow Semi Condensed" w:hAnsi="Barlow Semi Condensed"/>
          <w:sz w:val="24"/>
          <w:szCs w:val="24"/>
        </w:rPr>
        <w:t xml:space="preserve">Blocco centoquattro. La relazione COPASIR dell'agosto duemilaventidue: fonte parlamentare approvata all'unanimità, Livello A.</w:t>
      </w:r>
    </w:p>
    <w:p>
      <w:pPr>
        <w:spacing w:after="120" w:line="276"/>
        <w:jc w:val="both"/>
      </w:pPr>
      <w:r>
        <w:rPr>
          <w:rFonts w:ascii="Barlow Semi Condensed" w:cs="Barlow Semi Condensed" w:eastAsia="Barlow Semi Condensed" w:hAnsi="Barlow Semi Condensed"/>
          <w:sz w:val="24"/>
          <w:szCs w:val="24"/>
        </w:rPr>
        <w:t xml:space="preserve">Capitolo ottavo — L'ecosistema mediatico (blocchi centocinque–centoquattordici)</w:t>
      </w:r>
    </w:p>
    <w:p>
      <w:pPr>
        <w:spacing w:after="120" w:line="276"/>
        <w:jc w:val="both"/>
      </w:pPr>
      <w:r>
        <w:rPr>
          <w:rFonts w:ascii="Barlow Semi Condensed" w:cs="Barlow Semi Condensed" w:eastAsia="Barlow Semi Condensed" w:hAnsi="Barlow Semi Condensed"/>
          <w:sz w:val="24"/>
          <w:szCs w:val="24"/>
        </w:rPr>
        <w:t xml:space="preserve">Blocco centocinque. Vestuto e l'impero Italeurasia: documentale di corpus, Livello B.</w:t>
      </w:r>
    </w:p>
    <w:p>
      <w:pPr>
        <w:spacing w:after="120" w:line="276"/>
        <w:jc w:val="both"/>
      </w:pPr>
      <w:r>
        <w:rPr>
          <w:rFonts w:ascii="Barlow Semi Condensed" w:cs="Barlow Semi Condensed" w:eastAsia="Barlow Semi Condensed" w:hAnsi="Barlow Semi Condensed"/>
          <w:sz w:val="24"/>
          <w:szCs w:val="24"/>
        </w:rPr>
        <w:t xml:space="preserve">Blocco centosei. Eurasia News TV e il conto bulgaro: documentale d'inchiesta, Livello C.</w:t>
      </w:r>
    </w:p>
    <w:p>
      <w:pPr>
        <w:spacing w:after="120" w:line="276"/>
        <w:jc w:val="both"/>
      </w:pPr>
      <w:r>
        <w:rPr>
          <w:rFonts w:ascii="Barlow Semi Condensed" w:cs="Barlow Semi Condensed" w:eastAsia="Barlow Semi Condensed" w:hAnsi="Barlow Semi Condensed"/>
          <w:sz w:val="24"/>
          <w:szCs w:val="24"/>
        </w:rPr>
        <w:t xml:space="preserve">Blocco centosette. Belcastro e la menzione nel processo Gotha: la sola menzione processuale è riferita; nessun esito è certificato in questa sede: Livello C con obbligo di verifica dell'esito prima di ogni impiego.</w:t>
      </w:r>
    </w:p>
    <w:p>
      <w:pPr>
        <w:spacing w:after="120" w:line="276"/>
        <w:jc w:val="both"/>
      </w:pPr>
      <w:r>
        <w:rPr>
          <w:rFonts w:ascii="Barlow Semi Condensed" w:cs="Barlow Semi Condensed" w:eastAsia="Barlow Semi Condensed" w:hAnsi="Barlow Semi Condensed"/>
          <w:sz w:val="24"/>
          <w:szCs w:val="24"/>
        </w:rPr>
        <w:t xml:space="preserve">Blocco centootto. Lorusso e Donbass Italia: fatti pubblici e residenza dichiarata, Livello B.</w:t>
      </w:r>
    </w:p>
    <w:p>
      <w:pPr>
        <w:spacing w:after="120" w:line="276"/>
        <w:jc w:val="both"/>
      </w:pPr>
      <w:r>
        <w:rPr>
          <w:rFonts w:ascii="Barlow Semi Condensed" w:cs="Barlow Semi Condensed" w:eastAsia="Barlow Semi Condensed" w:hAnsi="Barlow Semi Condensed"/>
          <w:sz w:val="24"/>
          <w:szCs w:val="24"/>
        </w:rPr>
        <w:t xml:space="preserve">Blocco centonove. Lucidi: cittadinanza russa e detenzione in Turchia riferite, Livello B; per il vivente valgono i fatti come riportati.</w:t>
      </w:r>
    </w:p>
    <w:p>
      <w:pPr>
        <w:spacing w:after="120" w:line="276"/>
        <w:jc w:val="both"/>
      </w:pPr>
      <w:r>
        <w:rPr>
          <w:rFonts w:ascii="Barlow Semi Condensed" w:cs="Barlow Semi Condensed" w:eastAsia="Barlow Semi Condensed" w:hAnsi="Barlow Semi Condensed"/>
          <w:sz w:val="24"/>
          <w:szCs w:val="24"/>
        </w:rPr>
        <w:t xml:space="preserve">Blocco centodieci. Il giudizio di Reporters Sans Frontières su International Reporters: valutazione di organizzazione qualificata, Livello A come attribuzione.</w:t>
      </w:r>
    </w:p>
    <w:p>
      <w:pPr>
        <w:spacing w:after="120" w:line="276"/>
        <w:jc w:val="both"/>
      </w:pPr>
      <w:r>
        <w:rPr>
          <w:rFonts w:ascii="Barlow Semi Condensed" w:cs="Barlow Semi Condensed" w:eastAsia="Barlow Semi Condensed" w:hAnsi="Barlow Semi Condensed"/>
          <w:sz w:val="24"/>
          <w:szCs w:val="24"/>
        </w:rPr>
        <w:t xml:space="preserve">Blocco centoundici. Il film sulla negazione di Bucha: finanziamento ministeriale russo e contenuto documentati, Livello B.</w:t>
      </w:r>
    </w:p>
    <w:p>
      <w:pPr>
        <w:spacing w:after="120" w:line="276"/>
        <w:jc w:val="both"/>
      </w:pPr>
      <w:r>
        <w:rPr>
          <w:rFonts w:ascii="Barlow Semi Condensed" w:cs="Barlow Semi Condensed" w:eastAsia="Barlow Semi Condensed" w:hAnsi="Barlow Semi Condensed"/>
          <w:sz w:val="24"/>
          <w:szCs w:val="24"/>
        </w:rPr>
        <w:t xml:space="preserve">Blocco centododici. La rivista Eurasia dal duemilaquattro: Livello A.</w:t>
      </w:r>
    </w:p>
    <w:p>
      <w:pPr>
        <w:spacing w:after="120" w:line="276"/>
        <w:jc w:val="both"/>
      </w:pPr>
      <w:r>
        <w:rPr>
          <w:rFonts w:ascii="Barlow Semi Condensed" w:cs="Barlow Semi Condensed" w:eastAsia="Barlow Semi Condensed" w:hAnsi="Barlow Semi Condensed"/>
          <w:sz w:val="24"/>
          <w:szCs w:val="24"/>
        </w:rPr>
        <w:t xml:space="preserve">Blocco centotredici. AGA e la celebrazione dell'invasione: già certificato al blocco quattordici, Livello A.</w:t>
      </w:r>
    </w:p>
    <w:p>
      <w:pPr>
        <w:spacing w:after="120" w:line="276"/>
        <w:jc w:val="both"/>
      </w:pPr>
      <w:r>
        <w:rPr>
          <w:rFonts w:ascii="Barlow Semi Condensed" w:cs="Barlow Semi Condensed" w:eastAsia="Barlow Semi Condensed" w:hAnsi="Barlow Semi Condensed"/>
          <w:sz w:val="24"/>
          <w:szCs w:val="24"/>
        </w:rPr>
        <w:t xml:space="preserve">Blocco centoquattordici. Pacini e Idee e Azione: studio accademico attribuito, Livello B.</w:t>
      </w:r>
    </w:p>
    <w:p>
      <w:pPr>
        <w:spacing w:after="120" w:line="276"/>
        <w:jc w:val="both"/>
      </w:pPr>
      <w:r>
        <w:rPr>
          <w:rFonts w:ascii="Barlow Semi Condensed" w:cs="Barlow Semi Condensed" w:eastAsia="Barlow Semi Condensed" w:hAnsi="Barlow Semi Condensed"/>
          <w:sz w:val="24"/>
          <w:szCs w:val="24"/>
        </w:rPr>
        <w:t xml:space="preserve">Capitolo nono — Combattenti, osservatori, convergenza rossobruna (blocchi centoquindici–centoventiquattro)</w:t>
      </w:r>
    </w:p>
    <w:p>
      <w:pPr>
        <w:spacing w:after="120" w:line="276"/>
        <w:jc w:val="both"/>
      </w:pPr>
      <w:r>
        <w:rPr>
          <w:rFonts w:ascii="Barlow Semi Condensed" w:cs="Barlow Semi Condensed" w:eastAsia="Barlow Semi Condensed" w:hAnsi="Barlow Semi Condensed"/>
          <w:sz w:val="24"/>
          <w:szCs w:val="24"/>
        </w:rPr>
        <w:t xml:space="preserve">Blocco centoquindici. Palmeri: verificato ora; condanna definitiva del quattordici marzo duemilaventiquattro a cinque anni, Livello A; posizione difensiva riportata.</w:t>
      </w:r>
    </w:p>
    <w:p>
      <w:pPr>
        <w:spacing w:after="120" w:line="276"/>
        <w:jc w:val="both"/>
      </w:pPr>
      <w:r>
        <w:rPr>
          <w:rFonts w:ascii="Barlow Semi Condensed" w:cs="Barlow Semi Condensed" w:eastAsia="Barlow Semi Condensed" w:hAnsi="Barlow Semi Condensed"/>
          <w:sz w:val="24"/>
          <w:szCs w:val="24"/>
        </w:rPr>
        <w:t xml:space="preserve">Blocco centosedici. Il processo genovese sulla rete dei reclutatori: condanne del duemiladiciannove e giudizio Palmeri, dalla richiesta di tredici anni alla pena di cinque: Livello A.</w:t>
      </w:r>
    </w:p>
    <w:p>
      <w:pPr>
        <w:spacing w:after="120" w:line="276"/>
        <w:jc w:val="both"/>
      </w:pPr>
      <w:r>
        <w:rPr>
          <w:rFonts w:ascii="Barlow Semi Condensed" w:cs="Barlow Semi Condensed" w:eastAsia="Barlow Semi Condensed" w:hAnsi="Barlow Semi Condensed"/>
          <w:sz w:val="24"/>
          <w:szCs w:val="24"/>
        </w:rPr>
        <w:t xml:space="preserve">Blocco centodiciassette. Il centro di rappresentanza di Donetsk a Torino: verificato ora; quattordici dicembre duemilasedici, Fondazione Magellano; risposta della Farnesina sul non riconoscimento: Livello A.</w:t>
      </w:r>
    </w:p>
    <w:p>
      <w:pPr>
        <w:spacing w:after="120" w:line="276"/>
        <w:jc w:val="both"/>
      </w:pPr>
      <w:r>
        <w:rPr>
          <w:rFonts w:ascii="Barlow Semi Condensed" w:cs="Barlow Semi Condensed" w:eastAsia="Barlow Semi Condensed" w:hAnsi="Barlow Semi Condensed"/>
          <w:sz w:val="24"/>
          <w:szCs w:val="24"/>
        </w:rPr>
        <w:t xml:space="preserve">Blocco centodiciotto. La presenza di Pichetto Fratin e Gancia: documentata da interrogazione parlamentare e fotografie, Livello A; formulazione vincolante: dal fatto della presenza non si inferisce alcunché oltre il fatto.</w:t>
      </w:r>
    </w:p>
    <w:p>
      <w:pPr>
        <w:spacing w:after="120" w:line="276"/>
        <w:jc w:val="both"/>
      </w:pPr>
      <w:r>
        <w:rPr>
          <w:rFonts w:ascii="Barlow Semi Condensed" w:cs="Barlow Semi Condensed" w:eastAsia="Barlow Semi Condensed" w:hAnsi="Barlow Semi Condensed"/>
          <w:sz w:val="24"/>
          <w:szCs w:val="24"/>
        </w:rPr>
        <w:t xml:space="preserve">Blocco centodiciannove. Murgia e la rappresentanza sudossetica autoproclamata: Livello B, con la nota della Farnesina.</w:t>
      </w:r>
    </w:p>
    <w:p>
      <w:pPr>
        <w:spacing w:after="120" w:line="276"/>
        <w:jc w:val="both"/>
      </w:pPr>
      <w:r>
        <w:rPr>
          <w:rFonts w:ascii="Barlow Semi Condensed" w:cs="Barlow Semi Condensed" w:eastAsia="Barlow Semi Condensed" w:hAnsi="Barlow Semi Condensed"/>
          <w:sz w:val="24"/>
          <w:szCs w:val="24"/>
        </w:rPr>
        <w:t xml:space="preserve">Blocco centoventi. Cacchione e la convergenza da sinistra: partecipazioni riferite dal database EPDE, Livello B.</w:t>
      </w:r>
    </w:p>
    <w:p>
      <w:pPr>
        <w:spacing w:after="120" w:line="276"/>
        <w:jc w:val="both"/>
      </w:pPr>
      <w:r>
        <w:rPr>
          <w:rFonts w:ascii="Barlow Semi Condensed" w:cs="Barlow Semi Condensed" w:eastAsia="Barlow Semi Condensed" w:hAnsi="Barlow Semi Condensed"/>
          <w:sz w:val="24"/>
          <w:szCs w:val="24"/>
        </w:rPr>
        <w:t xml:space="preserve">Blocco centoventuno. La Carovana Antifascista: eventi pubblici, Livello A.</w:t>
      </w:r>
    </w:p>
    <w:p>
      <w:pPr>
        <w:spacing w:after="120" w:line="276"/>
        <w:jc w:val="both"/>
      </w:pPr>
      <w:r>
        <w:rPr>
          <w:rFonts w:ascii="Barlow Semi Condensed" w:cs="Barlow Semi Condensed" w:eastAsia="Barlow Semi Condensed" w:hAnsi="Barlow Semi Condensed"/>
          <w:sz w:val="24"/>
          <w:szCs w:val="24"/>
        </w:rPr>
        <w:t xml:space="preserve">Blocco centoventidue. La partecipazione di Forenza: riferita, Livello B; per la vivente valgono i fatti come riportati.</w:t>
      </w:r>
    </w:p>
    <w:p>
      <w:pPr>
        <w:spacing w:after="120" w:line="276"/>
        <w:jc w:val="both"/>
      </w:pPr>
      <w:r>
        <w:rPr>
          <w:rFonts w:ascii="Barlow Semi Condensed" w:cs="Barlow Semi Condensed" w:eastAsia="Barlow Semi Condensed" w:hAnsi="Barlow Semi Condensed"/>
          <w:sz w:val="24"/>
          <w:szCs w:val="24"/>
        </w:rPr>
        <w:t xml:space="preserve">Blocco centoventitré. Il database EPDE: novecentosessantasette profili da oltre sessanta Paesi, una quarantina di italiani: Livello A quale contenuto del database, con i criteri di classificazione propri dell'ente.</w:t>
      </w:r>
    </w:p>
    <w:p>
      <w:pPr>
        <w:spacing w:after="120" w:line="276"/>
        <w:jc w:val="both"/>
      </w:pPr>
      <w:r>
        <w:rPr>
          <w:rFonts w:ascii="Barlow Semi Condensed" w:cs="Barlow Semi Condensed" w:eastAsia="Barlow Semi Condensed" w:hAnsi="Barlow Semi Condensed"/>
          <w:sz w:val="24"/>
          <w:szCs w:val="24"/>
        </w:rPr>
        <w:t xml:space="preserve">Blocco centoventiquattro. Il rifiuto moldavo dell'accreditamento, settembre duemilaventicinque: atto del servizio di sicurezza, Livello B.</w:t>
      </w:r>
    </w:p>
    <w:p>
      <w:pPr>
        <w:spacing w:after="120" w:line="276"/>
        <w:jc w:val="both"/>
      </w:pPr>
      <w:r>
        <w:rPr>
          <w:rFonts w:ascii="Barlow Semi Condensed" w:cs="Barlow Semi Condensed" w:eastAsia="Barlow Semi Condensed" w:hAnsi="Barlow Semi Condensed"/>
          <w:sz w:val="24"/>
          <w:szCs w:val="24"/>
        </w:rPr>
        <w:t xml:space="preserve">Capitolo decimo — L'ecosistema contemporaneo (blocchi centoventicinque–centotrentaquattro)</w:t>
      </w:r>
    </w:p>
    <w:p>
      <w:pPr>
        <w:spacing w:after="120" w:line="276"/>
        <w:jc w:val="both"/>
      </w:pPr>
      <w:r>
        <w:rPr>
          <w:rFonts w:ascii="Barlow Semi Condensed" w:cs="Barlow Semi Condensed" w:eastAsia="Barlow Semi Condensed" w:hAnsi="Barlow Semi Condensed"/>
          <w:sz w:val="24"/>
          <w:szCs w:val="24"/>
        </w:rPr>
        <w:t xml:space="preserve">Blocco centoventicinque. L'Ordine dell'Amicizia a Bertolasi del quattro novembre duemilaventicinque: verificato ora; riferito dalle fonti dell'area e dall'insignito, senza riscontro terzo reperito: Livello B con statuto dichiarato.</w:t>
      </w:r>
    </w:p>
    <w:p>
      <w:pPr>
        <w:spacing w:after="120" w:line="276"/>
        <w:jc w:val="both"/>
      </w:pPr>
      <w:r>
        <w:rPr>
          <w:rFonts w:ascii="Barlow Semi Condensed" w:cs="Barlow Semi Condensed" w:eastAsia="Barlow Semi Condensed" w:hAnsi="Barlow Semi Condensed"/>
          <w:sz w:val="24"/>
          <w:szCs w:val="24"/>
        </w:rPr>
        <w:t xml:space="preserve">Blocco centoventisei. Il Movimento Internazionale dei Russofili del quattordici marzo duemilaventitré: fondazione certificata alla prima tranche, Livello A; la presidenza italiana di Bertolasi a Livello B.</w:t>
      </w:r>
    </w:p>
    <w:p>
      <w:pPr>
        <w:spacing w:after="120" w:line="276"/>
        <w:jc w:val="both"/>
      </w:pPr>
      <w:r>
        <w:rPr>
          <w:rFonts w:ascii="Barlow Semi Condensed" w:cs="Barlow Semi Condensed" w:eastAsia="Barlow Semi Condensed" w:hAnsi="Barlow Semi Condensed"/>
          <w:sz w:val="24"/>
          <w:szCs w:val="24"/>
        </w:rPr>
        <w:t xml:space="preserve">Blocco centoventisette. Gigliotti e Cantiere Laboratorio: attività pubbliche, Livello C.</w:t>
      </w:r>
    </w:p>
    <w:p>
      <w:pPr>
        <w:spacing w:after="120" w:line="276"/>
        <w:jc w:val="both"/>
      </w:pPr>
      <w:r>
        <w:rPr>
          <w:rFonts w:ascii="Barlow Semi Condensed" w:cs="Barlow Semi Condensed" w:eastAsia="Barlow Semi Condensed" w:hAnsi="Barlow Semi Condensed"/>
          <w:sz w:val="24"/>
          <w:szCs w:val="24"/>
        </w:rPr>
        <w:t xml:space="preserve">Blocco centoventotto. Filomeni, Spatara e il comitato: pubblicazioni e ruoli a Livello B; nessuna inferenza sui terzi nominati.</w:t>
      </w:r>
    </w:p>
    <w:p>
      <w:pPr>
        <w:spacing w:after="120" w:line="276"/>
        <w:jc w:val="both"/>
      </w:pPr>
      <w:r>
        <w:rPr>
          <w:rFonts w:ascii="Barlow Semi Condensed" w:cs="Barlow Semi Condensed" w:eastAsia="Barlow Semi Condensed" w:hAnsi="Barlow Semi Condensed"/>
          <w:sz w:val="24"/>
          <w:szCs w:val="24"/>
        </w:rPr>
        <w:t xml:space="preserve">Blocco centoventinove. La missione a Lugansk dell'aprile duemilaventicinque: riferita, Livello C.</w:t>
      </w:r>
    </w:p>
    <w:p>
      <w:pPr>
        <w:spacing w:after="120" w:line="276"/>
        <w:jc w:val="both"/>
      </w:pPr>
      <w:r>
        <w:rPr>
          <w:rFonts w:ascii="Barlow Semi Condensed" w:cs="Barlow Semi Condensed" w:eastAsia="Barlow Semi Condensed" w:hAnsi="Barlow Semi Condensed"/>
          <w:sz w:val="24"/>
          <w:szCs w:val="24"/>
        </w:rPr>
        <w:t xml:space="preserve">Blocco centotrenta. Scalea e la Fondazione Machiavelli: fatti pubblici, Livello B.</w:t>
      </w:r>
    </w:p>
    <w:p>
      <w:pPr>
        <w:spacing w:after="120" w:line="276"/>
        <w:jc w:val="both"/>
      </w:pPr>
      <w:r>
        <w:rPr>
          <w:rFonts w:ascii="Barlow Semi Condensed" w:cs="Barlow Semi Condensed" w:eastAsia="Barlow Semi Condensed" w:hAnsi="Barlow Semi Condensed"/>
          <w:sz w:val="24"/>
          <w:szCs w:val="24"/>
        </w:rPr>
        <w:t xml:space="preserve">Blocco centotrentuno. SpecialEurasia, il CeSEM e Vernole: Livello C.</w:t>
      </w:r>
    </w:p>
    <w:p>
      <w:pPr>
        <w:spacing w:after="120" w:line="276"/>
        <w:jc w:val="both"/>
      </w:pPr>
      <w:r>
        <w:rPr>
          <w:rFonts w:ascii="Barlow Semi Condensed" w:cs="Barlow Semi Condensed" w:eastAsia="Barlow Semi Condensed" w:hAnsi="Barlow Semi Condensed"/>
          <w:sz w:val="24"/>
          <w:szCs w:val="24"/>
        </w:rPr>
        <w:t xml:space="preserve">Blocco centotrentadue. Il cluster triestino: Livello C.</w:t>
      </w:r>
    </w:p>
    <w:p>
      <w:pPr>
        <w:spacing w:after="120" w:line="276"/>
        <w:jc w:val="both"/>
      </w:pPr>
      <w:r>
        <w:rPr>
          <w:rFonts w:ascii="Barlow Semi Condensed" w:cs="Barlow Semi Condensed" w:eastAsia="Barlow Semi Condensed" w:hAnsi="Barlow Semi Condensed"/>
          <w:sz w:val="24"/>
          <w:szCs w:val="24"/>
        </w:rPr>
        <w:t xml:space="preserve">Blocco centotrentatré. Il vuoto normativo sull'agente d'influenza: l'assenza di una legislazione italiana analoga al FARA è verificabile per comparazione, Livello A.</w:t>
      </w:r>
    </w:p>
    <w:p>
      <w:pPr>
        <w:spacing w:after="120" w:line="276"/>
        <w:jc w:val="both"/>
      </w:pPr>
      <w:r>
        <w:rPr>
          <w:rFonts w:ascii="Barlow Semi Condensed" w:cs="Barlow Semi Condensed" w:eastAsia="Barlow Semi Condensed" w:hAnsi="Barlow Semi Condensed"/>
          <w:sz w:val="24"/>
          <w:szCs w:val="24"/>
        </w:rPr>
        <w:t xml:space="preserve">Blocco centotrentaquattro. I quattro canali convergenti: tesi di sintesi del documento; gambe gradate come ai blocchi precedenti, composizione a Livello C, coincidente con il perimetro di H2.</w:t>
      </w:r>
    </w:p>
    <w:p>
      <w:pPr>
        <w:spacing w:after="120" w:line="276"/>
        <w:jc w:val="both"/>
      </w:pPr>
      <w:r>
        <w:rPr>
          <w:rFonts w:ascii="Barlow Semi Condensed" w:cs="Barlow Semi Condensed" w:eastAsia="Barlow Semi Condensed" w:hAnsi="Barlow Semi Condensed"/>
          <w:sz w:val="24"/>
          <w:szCs w:val="24"/>
        </w:rPr>
        <w:t xml:space="preserve">9.10 — Blocchi centotrentacinque–centotrentotto: le voci residue</w:t>
      </w:r>
    </w:p>
    <w:p>
      <w:pPr>
        <w:spacing w:after="120" w:line="276"/>
        <w:jc w:val="both"/>
      </w:pPr>
      <w:r>
        <w:rPr>
          <w:rFonts w:ascii="Barlow Semi Condensed" w:cs="Barlow Semi Condensed" w:eastAsia="Barlow Semi Condensed" w:hAnsi="Barlow Semi Condensed"/>
          <w:sz w:val="24"/>
          <w:szCs w:val="24"/>
        </w:rPr>
        <w:t xml:space="preserve">Blocco centotrentacinque. Pasquale Scotti. Parabola certificata dalla voce munita di note: ergastolo del duemilacinque, latitanza trentennale, arresto a Recife il ventisei maggio duemilaquindici, estradizione del dieci marzo duemilasedici con pena commutata a trent'anni per statuto brasiliano. Livello A.</w:t>
      </w:r>
    </w:p>
    <w:p>
      <w:pPr>
        <w:spacing w:after="120" w:line="276"/>
        <w:jc w:val="both"/>
      </w:pPr>
      <w:r>
        <w:rPr>
          <w:rFonts w:ascii="Barlow Semi Condensed" w:cs="Barlow Semi Condensed" w:eastAsia="Barlow Semi Condensed" w:hAnsi="Barlow Semi Condensed"/>
          <w:sz w:val="24"/>
          <w:szCs w:val="24"/>
        </w:rPr>
        <w:t xml:space="preserve">Blocco centotrentasei. Summit di Montalto. Riunione, operazione di polizia e processo a Livello A; la presenza di Borghese, Delle Chiaie, Concutelli e Saccucci e l'ipotesi di alleanza con la destra eversiva restano dato di letteratura non accertato in giudicato: Livello C, con divieto di trattare il ponte crimine-eversione come fatto.</w:t>
      </w:r>
    </w:p>
    <w:p>
      <w:pPr>
        <w:spacing w:after="120" w:line="276"/>
        <w:jc w:val="both"/>
      </w:pPr>
      <w:r>
        <w:rPr>
          <w:rFonts w:ascii="Barlow Semi Condensed" w:cs="Barlow Semi Condensed" w:eastAsia="Barlow Semi Condensed" w:hAnsi="Barlow Semi Condensed"/>
          <w:sz w:val="24"/>
          <w:szCs w:val="24"/>
        </w:rPr>
        <w:t xml:space="preserve">Blocco centotrentasette. Il caso Cirillo e la faida. Sequestro e liberazione a Livello A; il contributo di Calvi al riscatto secondo l'istruttoria Alemi a Livello B; il bilancio della faida per anni a Livello A.</w:t>
      </w:r>
    </w:p>
    <w:p>
      <w:pPr>
        <w:spacing w:after="120" w:line="276"/>
        <w:jc w:val="both"/>
      </w:pPr>
      <w:r>
        <w:rPr>
          <w:rFonts w:ascii="Barlow Semi Condensed" w:cs="Barlow Semi Condensed" w:eastAsia="Barlow Semi Condensed" w:hAnsi="Barlow Semi Condensed"/>
          <w:sz w:val="24"/>
          <w:szCs w:val="24"/>
        </w:rPr>
        <w:t xml:space="preserve">Blocco centotrentotto. Pizzolungo. L'attentato del due aprile millenovecentottantacinque, le vittime Barbara Rizzo e i gemelli Asta, il ferimento del magistrato Carlo Palermo: Livello A; esiti processuali rinviati alla quinta tranche per certificazione puntuale.</w:t>
      </w:r>
    </w:p>
    <w:p>
      <w:pPr>
        <w:spacing w:after="120" w:line="276"/>
        <w:jc w:val="both"/>
      </w:pPr>
      <w:r>
        <w:rPr>
          <w:rFonts w:ascii="Barlow Semi Condensed" w:cs="Barlow Semi Condensed" w:eastAsia="Barlow Semi Condensed" w:hAnsi="Barlow Semi Condensed"/>
          <w:sz w:val="24"/>
          <w:szCs w:val="24"/>
        </w:rPr>
        <w:t xml:space="preserve">9.11 — Rilievi per le persone viventi e chiusa della quarta tranche</w:t>
      </w:r>
    </w:p>
    <w:p>
      <w:pPr>
        <w:spacing w:after="120" w:line="276"/>
        <w:jc w:val="both"/>
      </w:pPr>
      <w:r>
        <w:rPr>
          <w:rFonts w:ascii="Barlow Semi Condensed" w:cs="Barlow Semi Condensed" w:eastAsia="Barlow Semi Condensed" w:hAnsi="Barlow Semi Condensed"/>
          <w:sz w:val="24"/>
          <w:szCs w:val="24"/>
        </w:rPr>
        <w:t xml:space="preserve">Le formulazioni vincolanti aggiunte da questa tranche sono le seguenti, e si sommano — senza sostituirle — a quelle delle tranche precedenti, che restano integralmente in vigore per Salvini, Savoini, i fratelli La Russa e ogni altro nominato. Aleksej Komov è incriminato e latitante: ogni menzione riporta lo statuto di atto d'accusa e la presunzione di innocenza; lo stesso vale per Konstantin Malofeev e per ogni incriminato non giudicato. Andrea Palmeri è condannato in via definitiva: la condanna è riportabile come accertamento giudiziario, sempre accompagnata dalla sua posizione pubblica di contestazione. Gilberto Pichetto Fratin, Gianna Gancia e Maurizio Marrone: i fatti certificati sono la promozione e la presenza a eventi pubblici documentati da atti parlamentari e fotografie; nessuna ulteriore inferenza è consentita, e la risposta della Farnesina è parte integrante di ogni menzione del centro torinese. Eliseo Bertolasi: i fatti biografici e l'onorificenza sono riportabili nei gradi indicati; la designazione con nome in codice è e resta attribuzione delle fonti d'inchiesta e del servizio lettone, mai asserzione propria del registro; identica disciplina per ogni cittadino italiano cui le inchieste attribuiscano qualifiche operative. Aleksandr Dugin: la qualifica di ideologo del potere russo è tesi mediatica dibattuta e va sempre attribuita; i fatti editoriali e biografici stanno nei gradi dei rispettivi blocchi. Per Stefano Valdegamberi, Luciano Sandonà, Vincenzo Lorusso, Andrea Lucidi, Eleonora Forenza, Roberto Fiore, Gabriele Adinolfi, Claudio Mutti, Lorenzo Pacini, Daniele Scalea e ogni altro vivente nominato valgono i soli fatti pubblici documentati nei gradi indicati, con esclusione dei dettagli privati non necessari. Franco Freda: l'assoluzione definitiva per Piazza Fontana è di menzione obbligatoria permanente.</w:t>
      </w:r>
    </w:p>
    <w:p>
      <w:pPr>
        <w:spacing w:after="120" w:line="276"/>
        <w:jc w:val="both"/>
      </w:pPr>
      <w:r>
        <w:rPr>
          <w:rFonts w:ascii="Barlow Semi Condensed" w:cs="Barlow Semi Condensed" w:eastAsia="Barlow Semi Condensed" w:hAnsi="Barlow Semi Condensed"/>
          <w:sz w:val="24"/>
          <w:szCs w:val="24"/>
        </w:rPr>
        <w:t xml:space="preserve">La quarta tranche porta il registro a centotrentotto blocchi certificati, oltre il traguardo dei cento fissato dal mandato originario, e consegna alla quinta le seguenti direzioni: il monitoraggio degli atti palermitani sul caso Mattarella, invariato nei termini della terza tranche; l'estrazione dei due contenitori dichiarati non estraibili; la certificazione puntuale degli esiti processuali di Pizzolungo; il vaglio integrale, con il medesimo protocollo, delle voci maggiori ancora non iscritte — Nuclei Armati Rivoluzionari, operazione Gladio, agguato di via Fani, Concutelli, la voce sul senatore Antonino La Russa — il cui apparato di millequarantanove URL censiti costituisce la mappa di lavoro; la verifica ipertestuale a campione delle istantanee contro le pagine vive, dove il rischio dell'asserzione lo esiga.</w:t>
      </w:r>
    </w:p>
    <w:p>
      <w:pPr>
        <w:pStyle w:val="Heading3"/>
        <w:spacing w:after="80" w:before="160"/>
      </w:pPr>
      <w:r>
        <w:rPr>
          <w:rFonts w:ascii="Barlow Semi Condensed" w:cs="Barlow Semi Condensed" w:eastAsia="Barlow Semi Condensed" w:hAnsi="Barlow Semi Condensed"/>
          <w:sz w:val="24"/>
          <w:szCs w:val="24"/>
        </w:rPr>
        <w:t xml:space="preserve">QUINTA TRANCHE — FASE X: AGINTER PRESS. IL VAGLIO DELLA MONOGRAFIA IN CENTO BLOCCHI, LE VOCI MAGGIORI DEL CENSIMENTO E LE PENDENZE CERTIFICATE</w:t>
      </w:r>
    </w:p>
    <w:p>
      <w:pPr>
        <w:spacing w:after="120" w:line="276"/>
        <w:jc w:val="both"/>
      </w:pPr>
      <w:r>
        <w:rPr>
          <w:rFonts w:ascii="Barlow Semi Condensed" w:cs="Barlow Semi Condensed" w:eastAsia="Barlow Semi Condensed" w:hAnsi="Barlow Semi Condensed"/>
          <w:sz w:val="24"/>
          <w:szCs w:val="24"/>
        </w:rPr>
        <w:t xml:space="preserve">10.1 — Oggetto della tranche, documento-innesco e metrica delle equivalenze</w:t>
      </w:r>
    </w:p>
    <w:p>
      <w:pPr>
        <w:spacing w:after="120" w:line="276"/>
        <w:jc w:val="both"/>
      </w:pPr>
      <w:r>
        <w:rPr>
          <w:rFonts w:ascii="Barlow Semi Condensed" w:cs="Barlow Semi Condensed" w:eastAsia="Barlow Semi Condensed" w:hAnsi="Barlow Semi Condensed"/>
          <w:sz w:val="24"/>
          <w:szCs w:val="24"/>
        </w:rPr>
        <w:t xml:space="preserve">La quinta tranche è innescata dall'acquisizione della monografia «Aginter Press — Monografia analitica di un hub della guerra politica non convenzionale (1966–1988)», edizione prima dell'undici agosto duemilaventisei, duecentottantasei pagine, enucleata — come la nota di genesi dichiara — dal Documento Unico Integrato del censimento della criminalità organizzata, di cui riproduce integralmente le quattordici note e i tre approfondimenti monografici, con l'aggiunta di un capitolo di triangolazione redatto in sede propria e di un apparato di impronte crittografiche delle fonti. Il documento poggia su atti giudiziari e parlamentari nominati — l'istruttoria e l'ordinanza del giudice Salvini, i resoconti stenografici della Commissione stragi, la perizia Giannuli — su testimonianze processuali qualificate e su letteratura storiografica, e adotta una metrica interna di gradazione — certo, altamente probabile, probabile, possibile, non provato, da verificare — che questo registro dichiara equivalente alla propria: il certo su fonte primaria corrisponde al Livello A, il probabile su convergenza qualificata al Livello B, il possibile e il da verificare al Livello C, e l'esito negativo di ricerca sistematica allo Stato Zero. Il censimento automatico degli indirizzi di rete restituisce novecentosessantatré URL unici; la distribuzione per dominio consegna però un rilievo critico immediato: accanto a fonti primarie di rango — gli archivi del Dipartimento di Stato, il National Security Archive, la letteratura accademica — l'apparato include undici occorrenze di una fonte permanentemente esclusa dalle regole di progetto e diciassette di un'enciclopedia collaborativa non citabile; il registro interdice le prime e declassa le seconde a meri indicatori di reperimento, annotando la disomogeneità dell'apparato come difetto formale della monografia, che non ne intacca le gambe fondate su atti.</w:t>
      </w:r>
    </w:p>
    <w:p>
      <w:pPr>
        <w:spacing w:after="120" w:line="276"/>
        <w:jc w:val="both"/>
      </w:pPr>
      <w:r>
        <w:rPr>
          <w:rFonts w:ascii="Barlow Semi Condensed" w:cs="Barlow Semi Condensed" w:eastAsia="Barlow Semi Condensed" w:hAnsi="Barlow Semi Condensed"/>
          <w:sz w:val="24"/>
          <w:szCs w:val="24"/>
        </w:rPr>
        <w:t xml:space="preserve">10.2 — Il capitolo italiano in sede giudiziaria</w:t>
      </w:r>
    </w:p>
    <w:p>
      <w:pPr>
        <w:spacing w:after="120" w:line="276"/>
        <w:jc w:val="both"/>
      </w:pPr>
      <w:r>
        <w:rPr>
          <w:rFonts w:ascii="Barlow Semi Condensed" w:cs="Barlow Semi Condensed" w:eastAsia="Barlow Semi Condensed" w:hAnsi="Barlow Semi Condensed"/>
          <w:sz w:val="24"/>
          <w:szCs w:val="24"/>
        </w:rPr>
        <w:t xml:space="preserve">Il nucleo probatoriamente più solido della monografia è il capitolo italiano, fondato sull'istruttoria milanese e sulla perizia d'archivio. La catena certificata corre dal convegno dell'Istituto Pollio all'hotel Parco dei Principi del tre-cinque maggio millenovecentosessantacinque, alla conoscenza tra Giannettini e Guérin-Sérac risalente al millenovecentosessantaquattro a Lisbona, all'incontro di Abbiategrasso del marzo millenovecentosessantasette tra Robert Leroy e Carlo Maria Maggi in ambito Nouvel Ordre Européen, al corso lisbonese del militante ordinovista Brillo nel luglio successivo, fino all'accertamento — enunciato dal giudice istruttore alla Commissione stragi nel resoconto stenografico nono con formula testuale — che istruttori di Aginter Press vennero a Roma tra il millenovecentosessantasette e il millenovecentosessantotto istruendo militanti di Avanguardia Nazionale all'uso degli esplosivi, con la mediazione dell'informatore ministeriale Armando Mortilla, alias Aristo, tessitore dei rapporti tra Aginter e Ordine Nuovo e organizzatore dell'incontro romano tra Guérin-Sérac e Rauti del gennaio-febbraio millenovecentosessantotto. Su questo impianto si innesta il nodo documentale più delicato: la velina del SID dei sedici-diciassette dicembre millenovecentosessantanove, che indicava Guérin-Sérac quale mente degli attentati, giunta alla magistratura solo nel marzo millenovecentosettantatré, valutata dall'istruttoria come dotata di una parte plausibile — la linea di comando — e di una parte deliberatamente depistante, la trasformazione di due anticomunisti in anarchici; la deliberazione del depistaggio risulta da un documento interno dell'undici aprile millenovecentosettanta che suggeriva di tacere la vera natura dei due alla pubblica sicurezza. Il registro certifica l'intera catena nei gradi propri di ciascun anello, e fissa il vincolo: la velina è fonte di Livello B in quanto contenuto informativo, mai prova piena, e il ruolo di mandante che essa attribuisce resta al grado della fonte.</w:t>
      </w:r>
    </w:p>
    <w:p>
      <w:pPr>
        <w:spacing w:after="120" w:line="276"/>
        <w:jc w:val="both"/>
      </w:pPr>
      <w:r>
        <w:rPr>
          <w:rFonts w:ascii="Barlow Semi Condensed" w:cs="Barlow Semi Condensed" w:eastAsia="Barlow Semi Condensed" w:hAnsi="Barlow Semi Condensed"/>
          <w:sz w:val="24"/>
          <w:szCs w:val="24"/>
        </w:rPr>
        <w:t xml:space="preserve">10.3 — I cinque Stati Zero maggiori</w:t>
      </w:r>
    </w:p>
    <w:p>
      <w:pPr>
        <w:spacing w:after="120" w:line="276"/>
        <w:jc w:val="both"/>
      </w:pPr>
      <w:r>
        <w:rPr>
          <w:rFonts w:ascii="Barlow Semi Condensed" w:cs="Barlow Semi Condensed" w:eastAsia="Barlow Semi Condensed" w:hAnsi="Barlow Semi Condensed"/>
          <w:sz w:val="24"/>
          <w:szCs w:val="24"/>
        </w:rPr>
        <w:t xml:space="preserve">La monografia consegna al registro cinque esiti negativi di prima classe, tutti conformi alla disciplina per cui l'assenza cercata e non trovata è un risultato e non una lacuna. Primo: la ricognizione mirata degli archivi statunitensi accessibili — la sala di lettura elettronica della CIA, i volumi diplomatici sul Portogallo, il corpus del National Security Archive — non ha prodotto un solo documento primario americano che nomini Aginter Press, Guérin-Sérac o le sue sigle: l'intera narrazione del legame con l'agenzia americana poggia su conclusioni italiane e portoghesi poi amplificate dalla letteratura secondaria, e l'onere della prova si sposta su chi afferma il nesso, con riserva sul classificato. Secondo: la cronologia scagiona il rapporto personale con Kissinger, che assume responsabilità di governo quando la struttura è al tramonto e se ne occupa di Portogallo quando essa è già dissolta. Terzo: negli archivi oggi accessibili dell'Est non emergono fascicoli su Aginter — esito negativo da distinguere dalla prova di assenza, data la distruzione massiccia dei fascicoli cecoslovacchi nel millenovecentottantanove-novanta. Quarto e quinto: per il servizio britannico e per quello israeliano la monografia dichiara l'assenza di riscontro, e per l'intera sfera del Golfo l'assenza di ogni legame documentato. A questi si aggiunge l'esito negativo dichiarato sul versante sudafricano degli omicidi esterni: la matrice interna accertata dalla commissione sudafricana per la verità esclude manovalanza della rete in esame.</w:t>
      </w:r>
    </w:p>
    <w:p>
      <w:pPr>
        <w:spacing w:after="120" w:line="276"/>
        <w:jc w:val="both"/>
      </w:pPr>
      <w:r>
        <w:rPr>
          <w:rFonts w:ascii="Barlow Semi Condensed" w:cs="Barlow Semi Condensed" w:eastAsia="Barlow Semi Condensed" w:hAnsi="Barlow Semi Condensed"/>
          <w:sz w:val="24"/>
          <w:szCs w:val="24"/>
        </w:rPr>
        <w:t xml:space="preserve">10.4 — L'asse religioso: il verdetto tripartito</w:t>
      </w:r>
    </w:p>
    <w:p>
      <w:pPr>
        <w:spacing w:after="120" w:line="276"/>
        <w:jc w:val="both"/>
      </w:pPr>
      <w:r>
        <w:rPr>
          <w:rFonts w:ascii="Barlow Semi Condensed" w:cs="Barlow Semi Condensed" w:eastAsia="Barlow Semi Condensed" w:hAnsi="Barlow Semi Condensed"/>
          <w:sz w:val="24"/>
          <w:szCs w:val="24"/>
        </w:rPr>
        <w:t xml:space="preserve">Sull'asse che la monografia dichiara principale, il capitolo di triangolazione interna produce un verdetto tripartito che il registro recepisce integralmente perché già conforme al proprio standard: l'ideologia religiosa personale e organizzativa del fondatore è certa e documentata da fonti primarie — le dichiarazioni di Vinciguerra, l'intervista a Le Monde, il video-testamento, la simbologia dell'organizzazione di copertura — con le precisazioni filologiche che la preghiera attribuita è testo di Zirnheld e che la formula documentata è quella del monaco soldato; l'esistenza e la dottrina delle reti cattoliche integriste coeve — la Cité catholique di Ousset, la filiera argentina documentata da Robin, i gruppi iberici — sono certe, ma il nesso diretto e organizzativo con Aginter resta probabile e da verificare, documentato solo per via ambientale; il livello vaticano istituzionale è non provato, e in tensione documentata con la politica orientale della Santa Sede. Tre gradini distinti su un medesimo asse: il registro li iscrive separatamente, vietando alla narrazione di saldarli.</w:t>
      </w:r>
    </w:p>
    <w:p>
      <w:pPr>
        <w:spacing w:after="120" w:line="276"/>
        <w:jc w:val="both"/>
      </w:pPr>
      <w:r>
        <w:rPr>
          <w:rFonts w:ascii="Barlow Semi Condensed" w:cs="Barlow Semi Condensed" w:eastAsia="Barlow Semi Condensed" w:hAnsi="Barlow Semi Condensed"/>
          <w:sz w:val="24"/>
          <w:szCs w:val="24"/>
        </w:rPr>
        <w:t xml:space="preserve">10.5 — Il piano sudafricano: documentato, attribuito, contestato</w:t>
      </w:r>
    </w:p>
    <w:p>
      <w:pPr>
        <w:spacing w:after="120" w:line="276"/>
        <w:jc w:val="both"/>
      </w:pPr>
      <w:r>
        <w:rPr>
          <w:rFonts w:ascii="Barlow Semi Condensed" w:cs="Barlow Semi Condensed" w:eastAsia="Barlow Semi Condensed" w:hAnsi="Barlow Semi Condensed"/>
          <w:sz w:val="24"/>
          <w:szCs w:val="24"/>
        </w:rPr>
        <w:t xml:space="preserve">La triangolazione con la monografia gemella del corpus sui rapporti con il Sudafrica dell'apartheid restituisce la distinzione di piani che è il risultato analitico più maturo dell'intero cluster: il legame diretto tra la struttura e i servizi di Pretoria poggia su un'unica catena di fonti — il rapporto del servizio portoghese post-rivoluzionario, ripreso da Laurent nel millenovecentosettantotto e da Christie nel millenovecentottantaquattro — che lo storico di riferimento giudica non verificata e improbabile: il nesso resta da verificare, e la soglia che ne muterebbe il giudizio è dichiarata. Sono invece certi l'infiltrazione di Leroy nel fronte mozambicano nel millenovecentosessantotto-sessantanove nell'ambito di un'operazione della polizia politica portoghese, con l'attribuzione contesa dell'omicidio del leader indipendentista; il santuario sudafricano di singole persone — l'esecutore attribuito degli omicidi Delgado e Mondlane vi trovò protezione fino alla morte nel gennaio millenovecentonovantatré — e la confluenza di ex agenti della polizia politica nella guerriglia anticomunista mozambicana passata sotto l'intelligence militare di Pretoria nel millenovecentottanta: continuità di filiera, non di struttura. La cooperazione politico-militare trilaterale dell'Africa australe non contempla Aginter nella storiografia archivistica, e il nesso certo tra Pretoria e i fori anticomunisti transnazionali non fa della struttura lisbonese un loro membro. Il registro adotta la regola enunciata dalla monografia: non far collassare il piano solidamente documentato delle continuità personali nel piano debolmente fondato dei legami strutturali.</w:t>
      </w:r>
    </w:p>
    <w:p>
      <w:pPr>
        <w:spacing w:after="120" w:line="276"/>
        <w:jc w:val="both"/>
      </w:pPr>
      <w:r>
        <w:rPr>
          <w:rFonts w:ascii="Barlow Semi Condensed" w:cs="Barlow Semi Condensed" w:eastAsia="Barlow Semi Condensed" w:hAnsi="Barlow Semi Condensed"/>
          <w:sz w:val="24"/>
          <w:szCs w:val="24"/>
        </w:rPr>
        <w:t xml:space="preserve">10.6 — Svizzera, America Latina, Medio Oriente</w:t>
      </w:r>
    </w:p>
    <w:p>
      <w:pPr>
        <w:spacing w:after="120" w:line="276"/>
        <w:jc w:val="both"/>
      </w:pPr>
      <w:r>
        <w:rPr>
          <w:rFonts w:ascii="Barlow Semi Condensed" w:cs="Barlow Semi Condensed" w:eastAsia="Barlow Semi Condensed" w:hAnsi="Barlow Semi Condensed"/>
          <w:sz w:val="24"/>
          <w:szCs w:val="24"/>
        </w:rPr>
        <w:t xml:space="preserve">I tre teatri restanti si iscrivono nei gradi propri. Il nodo svizzero — l'inchiesta de L'Europeo del novembre millenovecentosettantaquattro, il canale del Nouvel Ordre Européen di Amaudruz, la piazza finanziaria, il banchiere Genoud, la rete stay-behind elvetica con la critica filologica del suo nome — sta tra il Livello B documentale e il Livello C attributivo, con l'avvertenza che proprio in questa sezione l'apparato ricorre alle fonti deboli interdette. La proiezione latinoamericana è ricostruita come sistema con il Venezuela quale nodo prioritario e con la demolizione della conflazione terziaria sull'addestramento del gruppo cileno, che la fonte invocata smentisce. Il Medio Oriente restituisce un esito negativo generale sul mondo sciita e sul Golfo, la matrice mercenaria della vicenda yemenita ricondotta all'organizzazione madre algerina e non ad Aginter, e il caso iraniano come pilastro speculare del campo atlantico.</w:t>
      </w:r>
    </w:p>
    <w:p>
      <w:pPr>
        <w:spacing w:after="120" w:line="276"/>
        <w:jc w:val="both"/>
      </w:pPr>
      <w:r>
        <w:rPr>
          <w:rFonts w:ascii="Barlow Semi Condensed" w:cs="Barlow Semi Condensed" w:eastAsia="Barlow Semi Condensed" w:hAnsi="Barlow Semi Condensed"/>
          <w:sz w:val="24"/>
          <w:szCs w:val="24"/>
        </w:rPr>
        <w:t xml:space="preserve">10.7 — Le voci maggiori del censimento enciclopedico e il censimento cumulativo</w:t>
      </w:r>
    </w:p>
    <w:p>
      <w:pPr>
        <w:spacing w:after="120" w:line="276"/>
        <w:jc w:val="both"/>
      </w:pPr>
      <w:r>
        <w:rPr>
          <w:rFonts w:ascii="Barlow Semi Condensed" w:cs="Barlow Semi Condensed" w:eastAsia="Barlow Semi Condensed" w:hAnsi="Barlow Semi Condensed"/>
          <w:sz w:val="24"/>
          <w:szCs w:val="24"/>
        </w:rPr>
        <w:t xml:space="preserve">In esecuzione del mandato sulle voci allegate, la tranche certifica le cinque voci maggiori consegnate dalla quarta: i Nuclei Armati Rivoluzionari, l'operazione Gladio, l'agguato di via Fani, Concutelli, il senatore Antonino La Russa — le relative schede sono ai blocchi duecentoventitré-duecentotrentadue. I due contenitori dichiarati non estraibili sono stati recuperati: erano testo semplice sotto estensione anomala, secondo la medesima convenzione di altri file del corpus; il loro recupero porta il censimento a ventitré testi estratti e a millesettecentoquarantasei URL unici cumulativi, cui si sommano i novecentosessantatré dell'innesco. Il recupero produce anche un rilievo di non-concordanza interna al corpus: la voce-censimento sulle operazioni contro la 'ndrangheta data la sentenza di primo grado sul processo di Montalto al due ottobre millenovecentosettanta, mentre la voce dedicata al summit la colloca al ventiquattro marzo millenovecentosettantuno; il registro iscrive la divergenza e rinvia la risoluzione alla verifica sulla fonte giudiziaria.</w:t>
      </w:r>
    </w:p>
    <w:p>
      <w:pPr>
        <w:spacing w:after="120" w:line="276"/>
        <w:jc w:val="both"/>
      </w:pPr>
      <w:r>
        <w:rPr>
          <w:rFonts w:ascii="Barlow Semi Condensed" w:cs="Barlow Semi Condensed" w:eastAsia="Barlow Semi Condensed" w:hAnsi="Barlow Semi Condensed"/>
          <w:sz w:val="24"/>
          <w:szCs w:val="24"/>
        </w:rPr>
        <w:t xml:space="preserve">10.8 — Le pendenze certificate: Pizzolungo e il monitoraggio Mattarella</w:t>
      </w:r>
    </w:p>
    <w:p>
      <w:pPr>
        <w:spacing w:after="120" w:line="276"/>
        <w:jc w:val="both"/>
      </w:pPr>
      <w:r>
        <w:rPr>
          <w:rFonts w:ascii="Barlow Semi Condensed" w:cs="Barlow Semi Condensed" w:eastAsia="Barlow Semi Condensed" w:hAnsi="Barlow Semi Condensed"/>
          <w:sz w:val="24"/>
          <w:szCs w:val="24"/>
        </w:rPr>
        <w:t xml:space="preserve">La certificazione puntuale rinviata dalla quarta tranche è ora eseguita. Su Pizzolungo il quadro processuale definitivo è il seguente: quattro processi in quarant'anni; il primo, contro gli esecutori del clan alcamese, si chiuse con condanne all'ergastolo in primo grado e assoluzioni in appello a Caltanissetta nel millenovecentonovanta, divenute irrevocabili in Cassazione l'anno successivo — collegio presieduto, come le fonti riportano, dal giudice Carnevale; i processi successivi hanno consegnato ergastoli definitivi a Riina quale mandante e a Virga quale capo del mandamento trapanese di appoggio, nonché — in altro giudizio — a Di Maggio e ad Antonino Madonia; il nuovo processo individuò in Milazzo, Calabrò e Melodia gli esecutori materiali, non più processabili perché irrevocabilmente assolti; il quarto processo si è chiuso con la condanna a trent'anni di Vincenzo Galatolo quale ulteriore mandante, definitiva in Cassazione il quattordici giugno duemilaventitré. Le vittime furono Barbara Rizzo e i suoi gemelli di sei anni Giuseppe e Salvatore Asta; il magistrato bersaglio sopravvisse. Il nesso tecnico riportato tra l'esplosivo di Pizzolungo e quello di altre stragi resta dato peritale riferito, a Livello B. Sul caso Mattarella il monitoraggio registra atti intervenuti: la perizia genetica disposta in incidente probatorio sulla fascetta prelevata dalla vettura dei killer, affidata all'unità forense fiorentina, è stata depositata il primo luglio duemilaventisei con esito negativo — nessun profilo genetico utilizzabile, dopo che già l'esame dattiloscopico non aveva dato risultati; la stampa riferisce l'orientamento della Procura verso la richiesta di archiviazione per i due indagati quali esecutori, richiesta che dovrà essere vagliata dal giudice; le condanne definitive dei mandanti restano ferme, la presunzione di innocenza degli indagati resta integrale, e il registro annota che le posizioni giudiziarie definitive di Antonino Madonia per altri fatti — Pizzolungo compreso — appartengono ad altri fascicoli e non si comunicano a questo.</w:t>
      </w:r>
    </w:p>
    <w:p>
      <w:pPr>
        <w:spacing w:after="120" w:line="276"/>
        <w:jc w:val="both"/>
      </w:pPr>
      <w:r>
        <w:rPr>
          <w:rFonts w:ascii="Barlow Semi Condensed" w:cs="Barlow Semi Condensed" w:eastAsia="Barlow Semi Condensed" w:hAnsi="Barlow Semi Condensed"/>
          <w:sz w:val="24"/>
          <w:szCs w:val="24"/>
        </w:rPr>
        <w:t xml:space="preserve">10.9 — Aggiornamento della matrice ACH</w:t>
      </w:r>
    </w:p>
    <w:p>
      <w:pPr>
        <w:spacing w:after="120" w:line="276"/>
        <w:jc w:val="both"/>
      </w:pPr>
      <w:r>
        <w:rPr>
          <w:rFonts w:ascii="Barlow Semi Condensed" w:cs="Barlow Semi Condensed" w:eastAsia="Barlow Semi Condensed" w:hAnsi="Barlow Semi Condensed"/>
          <w:sz w:val="24"/>
          <w:szCs w:val="24"/>
        </w:rPr>
        <w:t xml:space="preserve">Aginter Press entra nella matrice come struttura interamente interna al campo atlantico-integrista: i suoi teatri, i suoi committenti documentati, i suoi Stati Zero orientali confermano che essa fu strumento di una guerra non convenzionale anticomunista, e i depistaggi che ne travestirono gli uomini da anarchici furono interni agli apparati del medesimo campo. Per l'ipotesi H1 la tranche è nuovamente sterile: nessun documento attesta condominio tra i blocchi, e i cinque Stati Zero — nessuna carta americana sul nesso personale, nessun fascicolo orientale sulla struttura — militano contro ogni lettura di regia bipolare congiunta. Per l'ipotesi H2 la monografia fornisce il capostipite del versante occidentale: una internazionale operativa clandestina, confessionale e controrivoluzionaria, attiva un ventennio prima che il versante orientale certificato nelle Fasi precedenti prendesse forma; la composizione delle due metà in un disegno di lungo periodo resta al Livello C che le è proprio. L'ipotesi H3 esce rafforzata nella sua funzione: la pluralità di committenti documentati della stessa Aginter — portoghesi, greci, spagnoli, con il legame genetico francese — mostra che anche dentro un solo campo la regia fu plurale.</w:t>
      </w:r>
    </w:p>
    <w:p>
      <w:pPr>
        <w:spacing w:after="120" w:line="276"/>
        <w:jc w:val="both"/>
      </w:pPr>
      <w:r>
        <w:rPr>
          <w:rFonts w:ascii="Barlow Semi Condensed" w:cs="Barlow Semi Condensed" w:eastAsia="Barlow Semi Condensed" w:hAnsi="Barlow Semi Condensed"/>
          <w:sz w:val="24"/>
          <w:szCs w:val="24"/>
        </w:rPr>
        <w:t xml:space="preserve">10.10 — Registro dei blocchi di verifica: blocchi centotrentanove–duecentotrentotto</w:t>
      </w:r>
    </w:p>
    <w:p>
      <w:pPr>
        <w:spacing w:after="120" w:line="276"/>
        <w:jc w:val="both"/>
      </w:pPr>
      <w:r>
        <w:rPr>
          <w:rFonts w:ascii="Barlow Semi Condensed" w:cs="Barlow Semi Condensed" w:eastAsia="Barlow Semi Condensed" w:hAnsi="Barlow Semi Condensed"/>
          <w:sz w:val="24"/>
          <w:szCs w:val="24"/>
        </w:rPr>
        <w:t xml:space="preserve">Formula identica alla Fase nona: «già certificato» rinvia ai blocchi delle tranche precedenti; «verificato ora» indica la campagna esterna di questa tranche; «attribuito» lascia l'asserzione in capo alla fonte nominata; gli esiti negativi sono iscritti come Stato Zero.</w:t>
      </w:r>
    </w:p>
    <w:p>
      <w:pPr>
        <w:spacing w:after="120" w:line="276"/>
        <w:jc w:val="both"/>
      </w:pPr>
      <w:r>
        <w:rPr>
          <w:rFonts w:ascii="Barlow Semi Condensed" w:cs="Barlow Semi Condensed" w:eastAsia="Barlow Semi Condensed" w:hAnsi="Barlow Semi Condensed"/>
          <w:sz w:val="24"/>
          <w:szCs w:val="24"/>
        </w:rPr>
        <w:t xml:space="preserve">Innesco e metrica (blocchi centotrentanove–centoquarantadue)</w:t>
      </w:r>
    </w:p>
    <w:p>
      <w:pPr>
        <w:spacing w:after="120" w:line="276"/>
        <w:jc w:val="both"/>
      </w:pPr>
      <w:r>
        <w:rPr>
          <w:rFonts w:ascii="Barlow Semi Condensed" w:cs="Barlow Semi Condensed" w:eastAsia="Barlow Semi Condensed" w:hAnsi="Barlow Semi Condensed"/>
          <w:sz w:val="24"/>
          <w:szCs w:val="24"/>
        </w:rPr>
        <w:t xml:space="preserve">Blocco centotrentanove. La monografia-innesco: edizione dell'undici agosto duemilaventisei, duecentottantasei pagine, quattordici note, tre approfondimenti, capitolo di triangolazione, impronte crittografiche: statuto di monografia interna con gradazioni proprie, Livello A quale atto del corpus.</w:t>
      </w:r>
    </w:p>
    <w:p>
      <w:pPr>
        <w:spacing w:after="120" w:line="276"/>
        <w:jc w:val="both"/>
      </w:pPr>
      <w:r>
        <w:rPr>
          <w:rFonts w:ascii="Barlow Semi Condensed" w:cs="Barlow Semi Condensed" w:eastAsia="Barlow Semi Condensed" w:hAnsi="Barlow Semi Condensed"/>
          <w:sz w:val="24"/>
          <w:szCs w:val="24"/>
        </w:rPr>
        <w:t xml:space="preserve">Blocco centoquaranta. La metrica interna e la tavola di equivalenza con lo standard Savona: dichiarata e adottata; ogni verdetto interno è riversato nel grado corrispondente.</w:t>
      </w:r>
    </w:p>
    <w:p>
      <w:pPr>
        <w:spacing w:after="120" w:line="276"/>
        <w:jc w:val="both"/>
      </w:pPr>
      <w:r>
        <w:rPr>
          <w:rFonts w:ascii="Barlow Semi Condensed" w:cs="Barlow Semi Condensed" w:eastAsia="Barlow Semi Condensed" w:hAnsi="Barlow Semi Condensed"/>
          <w:sz w:val="24"/>
          <w:szCs w:val="24"/>
        </w:rPr>
        <w:t xml:space="preserve">Blocco centoquarantuno. Il censimento degli URL dell'innesco: novecentosessantatré indirizzi unici, con prevalenza di enciclopedie generaliste e presenza di fonti primarie di rango; lista agli atti della sessione.</w:t>
      </w:r>
    </w:p>
    <w:p>
      <w:pPr>
        <w:spacing w:after="120" w:line="276"/>
        <w:jc w:val="both"/>
      </w:pPr>
      <w:r>
        <w:rPr>
          <w:rFonts w:ascii="Barlow Semi Condensed" w:cs="Barlow Semi Condensed" w:eastAsia="Barlow Semi Condensed" w:hAnsi="Barlow Semi Condensed"/>
          <w:sz w:val="24"/>
          <w:szCs w:val="24"/>
        </w:rPr>
        <w:t xml:space="preserve">Blocco centoquarantadue. Rilievo critico sull'apparato: undici occorrenze della fonte permanentemente esclusa dal progetto e diciassette dell'enciclopedia collaborativa non citabile: interdette le prime, declassate le seconde a indicatori; difetto formale che non intacca le gambe fondate su atti.</w:t>
      </w:r>
    </w:p>
    <w:p>
      <w:pPr>
        <w:spacing w:after="120" w:line="276"/>
        <w:jc w:val="both"/>
      </w:pPr>
      <w:r>
        <w:rPr>
          <w:rFonts w:ascii="Barlow Semi Condensed" w:cs="Barlow Semi Condensed" w:eastAsia="Barlow Semi Condensed" w:hAnsi="Barlow Semi Condensed"/>
          <w:sz w:val="24"/>
          <w:szCs w:val="24"/>
        </w:rPr>
        <w:t xml:space="preserve">Il nucleo di Lisbona e le persone (blocchi centoquarantatré–centocinquanta)</w:t>
      </w:r>
    </w:p>
    <w:p>
      <w:pPr>
        <w:spacing w:after="120" w:line="276"/>
        <w:jc w:val="both"/>
      </w:pPr>
      <w:r>
        <w:rPr>
          <w:rFonts w:ascii="Barlow Semi Condensed" w:cs="Barlow Semi Condensed" w:eastAsia="Barlow Semi Condensed" w:hAnsi="Barlow Semi Condensed"/>
          <w:sz w:val="24"/>
          <w:szCs w:val="24"/>
        </w:rPr>
        <w:t xml:space="preserve">Blocco centoquarantatré. Guérin-Sérac, alias Guillou: ufficiale francese, cofondatore dell'OAS a Madrid nel millenovecentosessantuno, condannato in contumacia per diserzione, a Lisbona dal millenovecentosessantadue, fondatore-direttore della struttura dal settembre millenovecentosessantasei; morto il nove marzo duemilaventidue presso Tolone, a novantasei anni, secondo la notizia data dal giornalista che ne ricostruì la vicenda: Livello A su esistenza, direzione e ingaggio; la riapparizione spagnola del duemilasei sta a Livello B.</w:t>
      </w:r>
    </w:p>
    <w:p>
      <w:pPr>
        <w:spacing w:after="120" w:line="276"/>
        <w:jc w:val="both"/>
      </w:pPr>
      <w:r>
        <w:rPr>
          <w:rFonts w:ascii="Barlow Semi Condensed" w:cs="Barlow Semi Condensed" w:eastAsia="Barlow Semi Condensed" w:hAnsi="Barlow Semi Condensed"/>
          <w:sz w:val="24"/>
          <w:szCs w:val="24"/>
        </w:rPr>
        <w:t xml:space="preserve">Blocco centoquarantaquattro. Il contratto con la polizia politica portoghese ritrovato in archivio e le sigle di copertura Ordre et Tradition e OACI: Livello A documentale.</w:t>
      </w:r>
    </w:p>
    <w:p>
      <w:pPr>
        <w:spacing w:after="120" w:line="276"/>
        <w:jc w:val="both"/>
      </w:pPr>
      <w:r>
        <w:rPr>
          <w:rFonts w:ascii="Barlow Semi Condensed" w:cs="Barlow Semi Condensed" w:eastAsia="Barlow Semi Condensed" w:hAnsi="Barlow Semi Condensed"/>
          <w:sz w:val="24"/>
          <w:szCs w:val="24"/>
        </w:rPr>
        <w:t xml:space="preserve">Blocco centoquarantacinque. Robert Leroy: già delle formazioni collaborazioniste valloni, braccio destro del fondatore, missioni africane sotto copertura giornalistica filo-maoista, rete italiana di circa trenta agenti secondo l'inchiesta coeva, incontro di Abbiategrasso del marzo millenovecentosessantasette: Livello A sui fatti accertati, Livello B sulla consistenza numerica della rete.</w:t>
      </w:r>
    </w:p>
    <w:p>
      <w:pPr>
        <w:spacing w:after="120" w:line="276"/>
        <w:jc w:val="both"/>
      </w:pPr>
      <w:r>
        <w:rPr>
          <w:rFonts w:ascii="Barlow Semi Condensed" w:cs="Barlow Semi Condensed" w:eastAsia="Barlow Semi Condensed" w:hAnsi="Barlow Semi Condensed"/>
          <w:sz w:val="24"/>
          <w:szCs w:val="24"/>
        </w:rPr>
        <w:t xml:space="preserve">Blocco centoquarantasei. Jean-Marie Laurent, coppia operativa di Leroy nelle missioni africane sotto la medesima copertura: Livello B.</w:t>
      </w:r>
    </w:p>
    <w:p>
      <w:pPr>
        <w:spacing w:after="120" w:line="276"/>
        <w:jc w:val="both"/>
      </w:pPr>
      <w:r>
        <w:rPr>
          <w:rFonts w:ascii="Barlow Semi Condensed" w:cs="Barlow Semi Condensed" w:eastAsia="Barlow Semi Condensed" w:hAnsi="Barlow Semi Condensed"/>
          <w:sz w:val="24"/>
          <w:szCs w:val="24"/>
        </w:rPr>
        <w:t xml:space="preserve">Blocco centoquarantasette. João da Silva, quadro in fuga con il fondatore nel millenovecentosettantaquattro verso la Spagna e Caracas: Livello B su fonte unica, dichiarata.</w:t>
      </w:r>
    </w:p>
    <w:p>
      <w:pPr>
        <w:spacing w:after="120" w:line="276"/>
        <w:jc w:val="both"/>
      </w:pPr>
      <w:r>
        <w:rPr>
          <w:rFonts w:ascii="Barlow Semi Condensed" w:cs="Barlow Semi Condensed" w:eastAsia="Barlow Semi Condensed" w:hAnsi="Barlow Semi Condensed"/>
          <w:sz w:val="24"/>
          <w:szCs w:val="24"/>
        </w:rPr>
        <w:t xml:space="preserve">Blocco centoquarantotto. Gérald Bulliard, direttore della testata di copertura e tramite d'appoggio dell'ambasciata cinese di Berna per gli accrediti: Livello B sulla funzione; Livello C sulla natura del personaggio, con la cautela dello storico di riferimento sul possibile provocatore.</w:t>
      </w:r>
    </w:p>
    <w:p>
      <w:pPr>
        <w:spacing w:after="120" w:line="276"/>
        <w:jc w:val="both"/>
      </w:pPr>
      <w:r>
        <w:rPr>
          <w:rFonts w:ascii="Barlow Semi Condensed" w:cs="Barlow Semi Condensed" w:eastAsia="Barlow Semi Condensed" w:hAnsi="Barlow Semi Condensed"/>
          <w:sz w:val="24"/>
          <w:szCs w:val="24"/>
        </w:rPr>
        <w:t xml:space="preserve">Blocco centoquarantanove. Casimiro Monteiro, esecutore della polizia politica, già esecutore materiale dell'omicidio Delgado e indicato per l'omicidio Mondlane: Livello A sul primo, attribuzione contesa sul secondo.</w:t>
      </w:r>
    </w:p>
    <w:p>
      <w:pPr>
        <w:spacing w:after="120" w:line="276"/>
        <w:jc w:val="both"/>
      </w:pPr>
      <w:r>
        <w:rPr>
          <w:rFonts w:ascii="Barlow Semi Condensed" w:cs="Barlow Semi Condensed" w:eastAsia="Barlow Semi Condensed" w:hAnsi="Barlow Semi Condensed"/>
          <w:sz w:val="24"/>
          <w:szCs w:val="24"/>
        </w:rPr>
        <w:t xml:space="preserve">Blocco centocinquanta. La fine con la Rivoluzione dei Garofani dell'aprile millenovecentosettantaquattro, la fuga dei quadri e il sequestro dell'archivio, le cui risultanze alimentarono le istruttorie europee: Livello A.</w:t>
      </w:r>
    </w:p>
    <w:p>
      <w:pPr>
        <w:spacing w:after="120" w:line="276"/>
        <w:jc w:val="both"/>
      </w:pPr>
      <w:r>
        <w:rPr>
          <w:rFonts w:ascii="Barlow Semi Condensed" w:cs="Barlow Semi Condensed" w:eastAsia="Barlow Semi Condensed" w:hAnsi="Barlow Semi Condensed"/>
          <w:sz w:val="24"/>
          <w:szCs w:val="24"/>
        </w:rPr>
        <w:t xml:space="preserve">Il capitolo italiano giudiziario (blocchi centocinquantuno–centocinquantotto)</w:t>
      </w:r>
    </w:p>
    <w:p>
      <w:pPr>
        <w:spacing w:after="120" w:line="276"/>
        <w:jc w:val="both"/>
      </w:pPr>
      <w:r>
        <w:rPr>
          <w:rFonts w:ascii="Barlow Semi Condensed" w:cs="Barlow Semi Condensed" w:eastAsia="Barlow Semi Condensed" w:hAnsi="Barlow Semi Condensed"/>
          <w:sz w:val="24"/>
          <w:szCs w:val="24"/>
        </w:rPr>
        <w:t xml:space="preserve">Blocco centocinquantuno. Il convegno Pollio del tre-cinque maggio millenovecentosessantacinque quale antecedente ideologico, con la partecipazione di Giannettini, Rauti, Delle Chiaie e Merlino: Livello A.</w:t>
      </w:r>
    </w:p>
    <w:p>
      <w:pPr>
        <w:spacing w:after="120" w:line="276"/>
        <w:jc w:val="both"/>
      </w:pPr>
      <w:r>
        <w:rPr>
          <w:rFonts w:ascii="Barlow Semi Condensed" w:cs="Barlow Semi Condensed" w:eastAsia="Barlow Semi Condensed" w:hAnsi="Barlow Semi Condensed"/>
          <w:sz w:val="24"/>
          <w:szCs w:val="24"/>
        </w:rPr>
        <w:t xml:space="preserve">Blocco centocinquantadue. La conoscenza tra Giannettini e Guérin-Sérac dal millenovecentosessantaquattro a Lisbona, con presentazione in ambito OAS e di polizia politica: Livello A da istruttoria.</w:t>
      </w:r>
    </w:p>
    <w:p>
      <w:pPr>
        <w:spacing w:after="120" w:line="276"/>
        <w:jc w:val="both"/>
      </w:pPr>
      <w:r>
        <w:rPr>
          <w:rFonts w:ascii="Barlow Semi Condensed" w:cs="Barlow Semi Condensed" w:eastAsia="Barlow Semi Condensed" w:hAnsi="Barlow Semi Condensed"/>
          <w:sz w:val="24"/>
          <w:szCs w:val="24"/>
        </w:rPr>
        <w:t xml:space="preserve">Blocco centocinquantatré. Abbiategrasso, marzo millenovecentosessantasette: l'incontro tra Leroy e Maggi in ambito Nouvel Ordre Européen: Livello A da istruttoria.</w:t>
      </w:r>
    </w:p>
    <w:p>
      <w:pPr>
        <w:spacing w:after="120" w:line="276"/>
        <w:jc w:val="both"/>
      </w:pPr>
      <w:r>
        <w:rPr>
          <w:rFonts w:ascii="Barlow Semi Condensed" w:cs="Barlow Semi Condensed" w:eastAsia="Barlow Semi Condensed" w:hAnsi="Barlow Semi Condensed"/>
          <w:sz w:val="24"/>
          <w:szCs w:val="24"/>
        </w:rPr>
        <w:t xml:space="preserve">Blocco centocinquantaquattro. Il corso lisbonese del luglio millenovecentosessantasette del militante ordinovista spezzino: Livello A da istruttoria.</w:t>
      </w:r>
    </w:p>
    <w:p>
      <w:pPr>
        <w:spacing w:after="120" w:line="276"/>
        <w:jc w:val="both"/>
      </w:pPr>
      <w:r>
        <w:rPr>
          <w:rFonts w:ascii="Barlow Semi Condensed" w:cs="Barlow Semi Condensed" w:eastAsia="Barlow Semi Condensed" w:hAnsi="Barlow Semi Condensed"/>
          <w:sz w:val="24"/>
          <w:szCs w:val="24"/>
        </w:rPr>
        <w:t xml:space="preserve">Blocco centocinquantacinque. Gli istruttori di Aginter a Roma tra il millenovecentosessantasette e il millenovecentosessantotto per l'addestramento agli esplosivi di militanti di Avanguardia Nazionale: formula testuale del giudice istruttore alla Commissione stragi, resoconto stenografico nono: Livello A quale accertamento istruttorio enunciato in sede parlamentare.</w:t>
      </w:r>
    </w:p>
    <w:p>
      <w:pPr>
        <w:spacing w:after="120" w:line="276"/>
        <w:jc w:val="both"/>
      </w:pPr>
      <w:r>
        <w:rPr>
          <w:rFonts w:ascii="Barlow Semi Condensed" w:cs="Barlow Semi Condensed" w:eastAsia="Barlow Semi Condensed" w:hAnsi="Barlow Semi Condensed"/>
          <w:sz w:val="24"/>
          <w:szCs w:val="24"/>
        </w:rPr>
        <w:t xml:space="preserve">Blocco centocinquantasei. Armando Mortilla, alias Aristo, informatore ministeriale per un ventennio, tessitore dei rapporti tra Aginter e Ordine Nuovo: Livello A da perizia d'archivio; la circolarità tra struttura estera, formazioni nazionali e apparati è il dato metodologico centrale del capitolo.</w:t>
      </w:r>
    </w:p>
    <w:p>
      <w:pPr>
        <w:spacing w:after="120" w:line="276"/>
        <w:jc w:val="both"/>
      </w:pPr>
      <w:r>
        <w:rPr>
          <w:rFonts w:ascii="Barlow Semi Condensed" w:cs="Barlow Semi Condensed" w:eastAsia="Barlow Semi Condensed" w:hAnsi="Barlow Semi Condensed"/>
          <w:sz w:val="24"/>
          <w:szCs w:val="24"/>
        </w:rPr>
        <w:t xml:space="preserve">Blocco centocinquantasette. L'incontro romano tra Guérin-Sérac e Rauti del trenta gennaio-primo febbraio millenovecentosessantotto: Livello A da istruttoria.</w:t>
      </w:r>
    </w:p>
    <w:p>
      <w:pPr>
        <w:spacing w:after="120" w:line="276"/>
        <w:jc w:val="both"/>
      </w:pPr>
      <w:r>
        <w:rPr>
          <w:rFonts w:ascii="Barlow Semi Condensed" w:cs="Barlow Semi Condensed" w:eastAsia="Barlow Semi Condensed" w:hAnsi="Barlow Semi Condensed"/>
          <w:sz w:val="24"/>
          <w:szCs w:val="24"/>
        </w:rPr>
        <w:t xml:space="preserve">Blocco centocinquantotto. La velina dei sedici-diciassette dicembre millenovecentosessantanove e il documento dell'undici aprile millenovecentosettanta: parte plausibile e parte depistante della prima, deliberazione del depistaggio provata dal secondo; la velina resta fonte a Livello B quale contenuto, il depistaggio sta a Livello A quale fatto documentale.</w:t>
      </w:r>
    </w:p>
    <w:p>
      <w:pPr>
        <w:spacing w:after="120" w:line="276"/>
        <w:jc w:val="both"/>
      </w:pPr>
      <w:r>
        <w:rPr>
          <w:rFonts w:ascii="Barlow Semi Condensed" w:cs="Barlow Semi Condensed" w:eastAsia="Barlow Semi Condensed" w:hAnsi="Barlow Semi Condensed"/>
          <w:sz w:val="24"/>
          <w:szCs w:val="24"/>
        </w:rPr>
        <w:t xml:space="preserve">L'elenco dei servizi e la critica della fonte (blocchi centocinquantanove–centosessantasei)</w:t>
      </w:r>
    </w:p>
    <w:p>
      <w:pPr>
        <w:spacing w:after="120" w:line="276"/>
        <w:jc w:val="both"/>
      </w:pPr>
      <w:r>
        <w:rPr>
          <w:rFonts w:ascii="Barlow Semi Condensed" w:cs="Barlow Semi Condensed" w:eastAsia="Barlow Semi Condensed" w:hAnsi="Barlow Semi Condensed"/>
          <w:sz w:val="24"/>
          <w:szCs w:val="24"/>
        </w:rPr>
        <w:t xml:space="preserve">Blocco centocinquantanove. Il legame genetico con il servizio francese e la successiva rottura, con la protezione politica attesa dopo il tramonto gaullista: Livello B, da dichiarazioni e ricostruzioni convergenti.</w:t>
      </w:r>
    </w:p>
    <w:p>
      <w:pPr>
        <w:spacing w:after="120" w:line="276"/>
        <w:jc w:val="both"/>
      </w:pPr>
      <w:r>
        <w:rPr>
          <w:rFonts w:ascii="Barlow Semi Condensed" w:cs="Barlow Semi Condensed" w:eastAsia="Barlow Semi Condensed" w:hAnsi="Barlow Semi Condensed"/>
          <w:sz w:val="24"/>
          <w:szCs w:val="24"/>
        </w:rPr>
        <w:t xml:space="preserve">Blocco centosessanta. Il servizio federale tedesco: la voce più circolata dell'elenco e la meno fondata: Livello C, attribuito.</w:t>
      </w:r>
    </w:p>
    <w:p>
      <w:pPr>
        <w:spacing w:after="120" w:line="276"/>
        <w:jc w:val="both"/>
      </w:pPr>
      <w:r>
        <w:rPr>
          <w:rFonts w:ascii="Barlow Semi Condensed" w:cs="Barlow Semi Condensed" w:eastAsia="Barlow Semi Condensed" w:hAnsi="Barlow Semi Condensed"/>
          <w:sz w:val="24"/>
          <w:szCs w:val="24"/>
        </w:rPr>
        <w:t xml:space="preserve">Blocco centosessantuno. Il servizio spagnolo: la voce meglio fondata dell'elenco quanto a contesto, ma senza atto diretto: Livello B.</w:t>
      </w:r>
    </w:p>
    <w:p>
      <w:pPr>
        <w:spacing w:after="120" w:line="276"/>
        <w:jc w:val="both"/>
      </w:pPr>
      <w:r>
        <w:rPr>
          <w:rFonts w:ascii="Barlow Semi Condensed" w:cs="Barlow Semi Condensed" w:eastAsia="Barlow Semi Condensed" w:hAnsi="Barlow Semi Condensed"/>
          <w:sz w:val="24"/>
          <w:szCs w:val="24"/>
        </w:rPr>
        <w:t xml:space="preserve">Blocco centosessantadue. Il servizio greco dei colonnelli: la voce meglio documentata di tutte, e da fonte propria: Livello B.</w:t>
      </w:r>
    </w:p>
    <w:p>
      <w:pPr>
        <w:spacing w:after="120" w:line="276"/>
        <w:jc w:val="both"/>
      </w:pPr>
      <w:r>
        <w:rPr>
          <w:rFonts w:ascii="Barlow Semi Condensed" w:cs="Barlow Semi Condensed" w:eastAsia="Barlow Semi Condensed" w:hAnsi="Barlow Semi Condensed"/>
          <w:sz w:val="24"/>
          <w:szCs w:val="24"/>
        </w:rPr>
        <w:t xml:space="preserve">Blocco centosessantatré. Il servizio britannico: assenza di riscontro: Stato Zero dichiarato.</w:t>
      </w:r>
    </w:p>
    <w:p>
      <w:pPr>
        <w:spacing w:after="120" w:line="276"/>
        <w:jc w:val="both"/>
      </w:pPr>
      <w:r>
        <w:rPr>
          <w:rFonts w:ascii="Barlow Semi Condensed" w:cs="Barlow Semi Condensed" w:eastAsia="Barlow Semi Condensed" w:hAnsi="Barlow Semi Condensed"/>
          <w:sz w:val="24"/>
          <w:szCs w:val="24"/>
        </w:rPr>
        <w:t xml:space="preserve">Blocco centosessantaquattro. Il servizio israeliano e il nodo di Tel Aviv: assenza di riscontro con una pista onomastica isolata: Stato Zero con appendice a Livello C.</w:t>
      </w:r>
    </w:p>
    <w:p>
      <w:pPr>
        <w:spacing w:after="120" w:line="276"/>
        <w:jc w:val="both"/>
      </w:pPr>
      <w:r>
        <w:rPr>
          <w:rFonts w:ascii="Barlow Semi Condensed" w:cs="Barlow Semi Condensed" w:eastAsia="Barlow Semi Condensed" w:hAnsi="Barlow Semi Condensed"/>
          <w:sz w:val="24"/>
          <w:szCs w:val="24"/>
        </w:rPr>
        <w:t xml:space="preserve">Blocco centosessantacinque. Il quadro atlantico e la questione della rete stay-behind: cornice da maneggiare come contesto, non come appartenenza: nessuna identità tra la struttura lisbonese e la rete clandestina atlantica è provata; Livello C su ogni saldatura.</w:t>
      </w:r>
    </w:p>
    <w:p>
      <w:pPr>
        <w:spacing w:after="120" w:line="276"/>
        <w:jc w:val="both"/>
      </w:pPr>
      <w:r>
        <w:rPr>
          <w:rFonts w:ascii="Barlow Semi Condensed" w:cs="Barlow Semi Condensed" w:eastAsia="Barlow Semi Condensed" w:hAnsi="Barlow Semi Condensed"/>
          <w:sz w:val="24"/>
          <w:szCs w:val="24"/>
        </w:rPr>
        <w:t xml:space="preserve">Blocco centosessantasei. La sintesi comparativa dell'elenco e la critica della fonte portoghese post-rivoluzionaria che lo genera: l'elenco dei committenti è testimonianza di servizio vincitore su servizio vinto, da pesare voce per voce: regola adottata.</w:t>
      </w:r>
    </w:p>
    <w:p>
      <w:pPr>
        <w:spacing w:after="120" w:line="276"/>
        <w:jc w:val="both"/>
      </w:pPr>
      <w:r>
        <w:rPr>
          <w:rFonts w:ascii="Barlow Semi Condensed" w:cs="Barlow Semi Condensed" w:eastAsia="Barlow Semi Condensed" w:hAnsi="Barlow Semi Condensed"/>
          <w:sz w:val="24"/>
          <w:szCs w:val="24"/>
        </w:rPr>
        <w:t xml:space="preserve">Lo Stato Zero orientale (blocchi centosessantasette–centosettantadue)</w:t>
      </w:r>
    </w:p>
    <w:p>
      <w:pPr>
        <w:spacing w:after="120" w:line="276"/>
        <w:jc w:val="both"/>
      </w:pPr>
      <w:r>
        <w:rPr>
          <w:rFonts w:ascii="Barlow Semi Condensed" w:cs="Barlow Semi Condensed" w:eastAsia="Barlow Semi Condensed" w:hAnsi="Barlow Semi Condensed"/>
          <w:sz w:val="24"/>
          <w:szCs w:val="24"/>
        </w:rPr>
        <w:t xml:space="preserve">Blocco centosessantasette. La dottrina della struttura fu anticomunismo da guerra fredda; la spaccatura sino-sovietica fu terreno operativo di copertura: Livello A documentale sui testi interni.</w:t>
      </w:r>
    </w:p>
    <w:p>
      <w:pPr>
        <w:spacing w:after="120" w:line="276"/>
        <w:jc w:val="both"/>
      </w:pPr>
      <w:r>
        <w:rPr>
          <w:rFonts w:ascii="Barlow Semi Condensed" w:cs="Barlow Semi Condensed" w:eastAsia="Barlow Semi Condensed" w:hAnsi="Barlow Semi Condensed"/>
          <w:sz w:val="24"/>
          <w:szCs w:val="24"/>
        </w:rPr>
        <w:t xml:space="preserve">Blocco centosessantotto. Il campo di battaglia reale fu l'Africa lusofona, teatro delle operazioni più letali: Livello A.</w:t>
      </w:r>
    </w:p>
    <w:p>
      <w:pPr>
        <w:spacing w:after="120" w:line="276"/>
        <w:jc w:val="both"/>
      </w:pPr>
      <w:r>
        <w:rPr>
          <w:rFonts w:ascii="Barlow Semi Condensed" w:cs="Barlow Semi Condensed" w:eastAsia="Barlow Semi Condensed" w:hAnsi="Barlow Semi Condensed"/>
          <w:sz w:val="24"/>
          <w:szCs w:val="24"/>
        </w:rPr>
        <w:t xml:space="preserve">Blocco centosessantanove. Negli archivi oggi accessibili dell'Est non emergono fascicoli sulla struttura: Stato Zero quale esito di ricerca, distinto dalla prova di assenza per la distruzione massiccia dei fascicoli cecoslovacchi del millenovecentottantanove-novanta; verifica definitiva sugli indici analitici consegnata all'agenda.</w:t>
      </w:r>
    </w:p>
    <w:p>
      <w:pPr>
        <w:spacing w:after="120" w:line="276"/>
        <w:jc w:val="both"/>
      </w:pPr>
      <w:r>
        <w:rPr>
          <w:rFonts w:ascii="Barlow Semi Condensed" w:cs="Barlow Semi Condensed" w:eastAsia="Barlow Semi Condensed" w:hAnsi="Barlow Semi Condensed"/>
          <w:sz w:val="24"/>
          <w:szCs w:val="24"/>
        </w:rPr>
        <w:t xml:space="preserve">Blocco centosettanta. Il rapporto sul KGB in Europa consegnato da Delle Chiaie a Dimitri nel millenovecentosettantanove: certo l'episodio, possibile ogni lettura eccedente: Livello A sul fatto, Livello C su ogni inferenza.</w:t>
      </w:r>
    </w:p>
    <w:p>
      <w:pPr>
        <w:spacing w:after="120" w:line="276"/>
        <w:jc w:val="both"/>
      </w:pPr>
      <w:r>
        <w:rPr>
          <w:rFonts w:ascii="Barlow Semi Condensed" w:cs="Barlow Semi Condensed" w:eastAsia="Barlow Semi Condensed" w:hAnsi="Barlow Semi Condensed"/>
          <w:sz w:val="24"/>
          <w:szCs w:val="24"/>
        </w:rPr>
        <w:t xml:space="preserve">Blocco centosettantuno. Le piste orientali sulle stragi italiane quali depistaggi interni: certo per Bologna secondo le sentenze — già blocchi ventisei-ventotto — controverso per l'attentato al Papa: gradi distinti, saldature vietate.</w:t>
      </w:r>
    </w:p>
    <w:p>
      <w:pPr>
        <w:spacing w:after="120" w:line="276"/>
        <w:jc w:val="both"/>
      </w:pPr>
      <w:r>
        <w:rPr>
          <w:rFonts w:ascii="Barlow Semi Condensed" w:cs="Barlow Semi Condensed" w:eastAsia="Barlow Semi Condensed" w:hAnsi="Barlow Semi Condensed"/>
          <w:sz w:val="24"/>
          <w:szCs w:val="24"/>
        </w:rPr>
        <w:t xml:space="preserve">Blocco centosettantadue. Le raccomandazioni della monografia sul fronte orientale — trattare lo scontro come indiretto e ideologico, interrogare gli indici cecoslovacchi, verificare il fondo portoghese — adottate come agenda della sesta tranche.</w:t>
      </w:r>
    </w:p>
    <w:p>
      <w:pPr>
        <w:spacing w:after="120" w:line="276"/>
        <w:jc w:val="both"/>
      </w:pPr>
      <w:r>
        <w:rPr>
          <w:rFonts w:ascii="Barlow Semi Condensed" w:cs="Barlow Semi Condensed" w:eastAsia="Barlow Semi Condensed" w:hAnsi="Barlow Semi Condensed"/>
          <w:sz w:val="24"/>
          <w:szCs w:val="24"/>
        </w:rPr>
        <w:t xml:space="preserve">Il non-nesso Kissinger (blocchi centosettantatré–centosettantasei)</w:t>
      </w:r>
    </w:p>
    <w:p>
      <w:pPr>
        <w:spacing w:after="120" w:line="276"/>
        <w:jc w:val="both"/>
      </w:pPr>
      <w:r>
        <w:rPr>
          <w:rFonts w:ascii="Barlow Semi Condensed" w:cs="Barlow Semi Condensed" w:eastAsia="Barlow Semi Condensed" w:hAnsi="Barlow Semi Condensed"/>
          <w:sz w:val="24"/>
          <w:szCs w:val="24"/>
        </w:rPr>
        <w:t xml:space="preserve">Blocco centosettantatré. Il silenzio degli archivi statunitensi accessibili su ogni nome e sigla della struttura: certo con riserva sul classificato: Stato Zero di prima classe, con onere della prova spostato su chi afferma.</w:t>
      </w:r>
    </w:p>
    <w:p>
      <w:pPr>
        <w:spacing w:after="120" w:line="276"/>
        <w:jc w:val="both"/>
      </w:pPr>
      <w:r>
        <w:rPr>
          <w:rFonts w:ascii="Barlow Semi Condensed" w:cs="Barlow Semi Condensed" w:eastAsia="Barlow Semi Condensed" w:hAnsi="Barlow Semi Condensed"/>
          <w:sz w:val="24"/>
          <w:szCs w:val="24"/>
        </w:rPr>
        <w:t xml:space="preserve">Blocco centosettantaquattro. La cronologia scagiona il rapporto personale: la sovrapposizione temporale esiste, ma nel dossier portoghese direttamente trattato la struttura è già dissolta: certo.</w:t>
      </w:r>
    </w:p>
    <w:p>
      <w:pPr>
        <w:spacing w:after="120" w:line="276"/>
        <w:jc w:val="both"/>
      </w:pPr>
      <w:r>
        <w:rPr>
          <w:rFonts w:ascii="Barlow Semi Condensed" w:cs="Barlow Semi Condensed" w:eastAsia="Barlow Semi Condensed" w:hAnsi="Barlow Semi Condensed"/>
          <w:sz w:val="24"/>
          <w:szCs w:val="24"/>
        </w:rPr>
        <w:t xml:space="preserve">Blocco centosettantacinque. Le testimonianze italiane evocano la politica americana e l'agenzia, mai la persona quale anello verso la struttura o le stragi: altamente probabile, riversato a Livello B.</w:t>
      </w:r>
    </w:p>
    <w:p>
      <w:pPr>
        <w:spacing w:after="120" w:line="276"/>
        <w:jc w:val="both"/>
      </w:pPr>
      <w:r>
        <w:rPr>
          <w:rFonts w:ascii="Barlow Semi Condensed" w:cs="Barlow Semi Condensed" w:eastAsia="Barlow Semi Condensed" w:hAnsi="Barlow Semi Condensed"/>
          <w:sz w:val="24"/>
          <w:szCs w:val="24"/>
        </w:rPr>
        <w:t xml:space="preserve">Blocco centosettantasei. La tesi dell'addestramento del gruppo cileno: conflazione terziaria verosimilmente infondata, smentita dalla fonte che dovrebbe fondarla: rilievo critico verso la letteratura, non verso la monografia.</w:t>
      </w:r>
    </w:p>
    <w:p>
      <w:pPr>
        <w:spacing w:after="120" w:line="276"/>
        <w:jc w:val="both"/>
      </w:pPr>
      <w:r>
        <w:rPr>
          <w:rFonts w:ascii="Barlow Semi Condensed" w:cs="Barlow Semi Condensed" w:eastAsia="Barlow Semi Condensed" w:hAnsi="Barlow Semi Condensed"/>
          <w:sz w:val="24"/>
          <w:szCs w:val="24"/>
        </w:rPr>
        <w:t xml:space="preserve">L'asse religioso (blocchi centosettantasette–centottantaquattro)</w:t>
      </w:r>
    </w:p>
    <w:p>
      <w:pPr>
        <w:spacing w:after="120" w:line="276"/>
        <w:jc w:val="both"/>
      </w:pPr>
      <w:r>
        <w:rPr>
          <w:rFonts w:ascii="Barlow Semi Condensed" w:cs="Barlow Semi Condensed" w:eastAsia="Barlow Semi Condensed" w:hAnsi="Barlow Semi Condensed"/>
          <w:sz w:val="24"/>
          <w:szCs w:val="24"/>
        </w:rPr>
        <w:t xml:space="preserve">Blocco centosettantasette. La religiosità personale e organizzativa del fondatore: certa su fonti primarie — dichiarazioni di Vinciguerra, intervista, video-testamento, simbologia: Livello A.</w:t>
      </w:r>
    </w:p>
    <w:p>
      <w:pPr>
        <w:spacing w:after="120" w:line="276"/>
        <w:jc w:val="both"/>
      </w:pPr>
      <w:r>
        <w:rPr>
          <w:rFonts w:ascii="Barlow Semi Condensed" w:cs="Barlow Semi Condensed" w:eastAsia="Barlow Semi Condensed" w:hAnsi="Barlow Semi Condensed"/>
          <w:sz w:val="24"/>
          <w:szCs w:val="24"/>
        </w:rPr>
        <w:t xml:space="preserve">Blocco centosettantotto. Il verdetto tripartito dell'asse: personale certo, reti coeve certe ma nesso organizzativo probabile, livello vaticano non provato: recepito integralmente.</w:t>
      </w:r>
    </w:p>
    <w:p>
      <w:pPr>
        <w:spacing w:after="120" w:line="276"/>
        <w:jc w:val="both"/>
      </w:pPr>
      <w:r>
        <w:rPr>
          <w:rFonts w:ascii="Barlow Semi Condensed" w:cs="Barlow Semi Condensed" w:eastAsia="Barlow Semi Condensed" w:hAnsi="Barlow Semi Condensed"/>
          <w:sz w:val="24"/>
          <w:szCs w:val="24"/>
        </w:rPr>
        <w:t xml:space="preserve">Blocco centosettantanove. La preghiera attribuita è testo di Zirnheld: precisazione filologica, Livello A.</w:t>
      </w:r>
    </w:p>
    <w:p>
      <w:pPr>
        <w:spacing w:after="120" w:line="276"/>
        <w:jc w:val="both"/>
      </w:pPr>
      <w:r>
        <w:rPr>
          <w:rFonts w:ascii="Barlow Semi Condensed" w:cs="Barlow Semi Condensed" w:eastAsia="Barlow Semi Condensed" w:hAnsi="Barlow Semi Condensed"/>
          <w:sz w:val="24"/>
          <w:szCs w:val="24"/>
        </w:rPr>
        <w:t xml:space="preserve">Blocco centottanta. La formula documentata è quella del monaco soldato, non altre correnti nella letteratura: Livello A filologico.</w:t>
      </w:r>
    </w:p>
    <w:p>
      <w:pPr>
        <w:spacing w:after="120" w:line="276"/>
        <w:jc w:val="both"/>
      </w:pPr>
      <w:r>
        <w:rPr>
          <w:rFonts w:ascii="Barlow Semi Condensed" w:cs="Barlow Semi Condensed" w:eastAsia="Barlow Semi Condensed" w:hAnsi="Barlow Semi Condensed"/>
          <w:sz w:val="24"/>
          <w:szCs w:val="24"/>
        </w:rPr>
        <w:t xml:space="preserve">Blocco centottantuno. La simbologia templare dell'organizzazione di copertura, documentata dall'inchiesta giornalistica di riferimento: Livello B.</w:t>
      </w:r>
    </w:p>
    <w:p>
      <w:pPr>
        <w:spacing w:after="120" w:line="276"/>
        <w:jc w:val="both"/>
      </w:pPr>
      <w:r>
        <w:rPr>
          <w:rFonts w:ascii="Barlow Semi Condensed" w:cs="Barlow Semi Condensed" w:eastAsia="Barlow Semi Condensed" w:hAnsi="Barlow Semi Condensed"/>
          <w:sz w:val="24"/>
          <w:szCs w:val="24"/>
        </w:rPr>
        <w:t xml:space="preserve">Blocco centottantadue. La Cité catholique quale matrice dottrinale della crociata controrivoluzionaria e la filiera argentina documentata dall'inchiesta francese: esistenza e dottrina a Livello A; nesso organizzativo con Aginter a Livello C.</w:t>
      </w:r>
    </w:p>
    <w:p>
      <w:pPr>
        <w:spacing w:after="120" w:line="276"/>
        <w:jc w:val="both"/>
      </w:pPr>
      <w:r>
        <w:rPr>
          <w:rFonts w:ascii="Barlow Semi Condensed" w:cs="Barlow Semi Condensed" w:eastAsia="Barlow Semi Condensed" w:hAnsi="Barlow Semi Condensed"/>
          <w:sz w:val="24"/>
          <w:szCs w:val="24"/>
        </w:rPr>
        <w:t xml:space="preserve">Blocco centottantatré. Il nazional-cattolicesimo iberico e portoghese quale ambiente, e la frizione italiana tra integralismo e strategia: Livello B ambientale.</w:t>
      </w:r>
    </w:p>
    <w:p>
      <w:pPr>
        <w:spacing w:after="120" w:line="276"/>
        <w:jc w:val="both"/>
      </w:pPr>
      <w:r>
        <w:rPr>
          <w:rFonts w:ascii="Barlow Semi Condensed" w:cs="Barlow Semi Condensed" w:eastAsia="Barlow Semi Condensed" w:hAnsi="Barlow Semi Condensed"/>
          <w:sz w:val="24"/>
          <w:szCs w:val="24"/>
        </w:rPr>
        <w:t xml:space="preserve">Blocco centottantaquattro. Il livello vaticano istituzionale: non provato e in tensione documentata con la politica orientale della Santa Sede: Stato Zero con perimetro dichiarato.</w:t>
      </w:r>
    </w:p>
    <w:p>
      <w:pPr>
        <w:spacing w:after="120" w:line="276"/>
        <w:jc w:val="both"/>
      </w:pPr>
      <w:r>
        <w:rPr>
          <w:rFonts w:ascii="Barlow Semi Condensed" w:cs="Barlow Semi Condensed" w:eastAsia="Barlow Semi Condensed" w:hAnsi="Barlow Semi Condensed"/>
          <w:sz w:val="24"/>
          <w:szCs w:val="24"/>
        </w:rPr>
        <w:t xml:space="preserve">Il piano sudafricano (blocchi centottantacinque–centonovantadue)</w:t>
      </w:r>
    </w:p>
    <w:p>
      <w:pPr>
        <w:spacing w:after="120" w:line="276"/>
        <w:jc w:val="both"/>
      </w:pPr>
      <w:r>
        <w:rPr>
          <w:rFonts w:ascii="Barlow Semi Condensed" w:cs="Barlow Semi Condensed" w:eastAsia="Barlow Semi Condensed" w:hAnsi="Barlow Semi Condensed"/>
          <w:sz w:val="24"/>
          <w:szCs w:val="24"/>
        </w:rPr>
        <w:t xml:space="preserve">Blocco centottantacinque. Il legame con i servizi di Pretoria: catena unica di fonti dal rapporto portoghese alla letteratura: da verificare, Livello C, con soglia di revisione dichiarata.</w:t>
      </w:r>
    </w:p>
    <w:p>
      <w:pPr>
        <w:spacing w:after="120" w:line="276"/>
        <w:jc w:val="both"/>
      </w:pPr>
      <w:r>
        <w:rPr>
          <w:rFonts w:ascii="Barlow Semi Condensed" w:cs="Barlow Semi Condensed" w:eastAsia="Barlow Semi Condensed" w:hAnsi="Barlow Semi Condensed"/>
          <w:sz w:val="24"/>
          <w:szCs w:val="24"/>
        </w:rPr>
        <w:t xml:space="preserve">Blocco centottantasei. Il giudizio dello storico di riferimento sulla menzione: non verificata e improbabile: adottato quale peso critico.</w:t>
      </w:r>
    </w:p>
    <w:p>
      <w:pPr>
        <w:spacing w:after="120" w:line="276"/>
        <w:jc w:val="both"/>
      </w:pPr>
      <w:r>
        <w:rPr>
          <w:rFonts w:ascii="Barlow Semi Condensed" w:cs="Barlow Semi Condensed" w:eastAsia="Barlow Semi Condensed" w:hAnsi="Barlow Semi Condensed"/>
          <w:sz w:val="24"/>
          <w:szCs w:val="24"/>
        </w:rPr>
        <w:t xml:space="preserve">Blocco centottantasette. L'infiltrazione di Leroy nel fronte mozambicano nel millenovecentosessantotto-sessantanove nell'ambito dell'operazione della polizia politica: certo: Livello A.</w:t>
      </w:r>
    </w:p>
    <w:p>
      <w:pPr>
        <w:spacing w:after="120" w:line="276"/>
        <w:jc w:val="both"/>
      </w:pPr>
      <w:r>
        <w:rPr>
          <w:rFonts w:ascii="Barlow Semi Condensed" w:cs="Barlow Semi Condensed" w:eastAsia="Barlow Semi Condensed" w:hAnsi="Barlow Semi Condensed"/>
          <w:sz w:val="24"/>
          <w:szCs w:val="24"/>
        </w:rPr>
        <w:t xml:space="preserve">Blocco centottantotto. L'omicidio Mondlane: attribuzione contesa, iscritta come tale.</w:t>
      </w:r>
    </w:p>
    <w:p>
      <w:pPr>
        <w:spacing w:after="120" w:line="276"/>
        <w:jc w:val="both"/>
      </w:pPr>
      <w:r>
        <w:rPr>
          <w:rFonts w:ascii="Barlow Semi Condensed" w:cs="Barlow Semi Condensed" w:eastAsia="Barlow Semi Condensed" w:hAnsi="Barlow Semi Condensed"/>
          <w:sz w:val="24"/>
          <w:szCs w:val="24"/>
        </w:rPr>
        <w:t xml:space="preserve">Blocco centottantanove. Il santuario di persone e non di strutture: la protezione sudafricana dell'esecutore fino alla morte nel gennaio millenovecentonovantatré: Livello A.</w:t>
      </w:r>
    </w:p>
    <w:p>
      <w:pPr>
        <w:spacing w:after="120" w:line="276"/>
        <w:jc w:val="both"/>
      </w:pPr>
      <w:r>
        <w:rPr>
          <w:rFonts w:ascii="Barlow Semi Condensed" w:cs="Barlow Semi Condensed" w:eastAsia="Barlow Semi Condensed" w:hAnsi="Barlow Semi Condensed"/>
          <w:sz w:val="24"/>
          <w:szCs w:val="24"/>
        </w:rPr>
        <w:t xml:space="preserve">Blocco centonovanta. La confluenza di ex agenti della polizia politica nella guerriglia mozambicana passata all'intelligence militare di Pretoria nel millenovecentottanta: continuità di filiera documentata: Livello A; continuità di struttura non provata.</w:t>
      </w:r>
    </w:p>
    <w:p>
      <w:pPr>
        <w:spacing w:after="120" w:line="276"/>
        <w:jc w:val="both"/>
      </w:pPr>
      <w:r>
        <w:rPr>
          <w:rFonts w:ascii="Barlow Semi Condensed" w:cs="Barlow Semi Condensed" w:eastAsia="Barlow Semi Condensed" w:hAnsi="Barlow Semi Condensed"/>
          <w:sz w:val="24"/>
          <w:szCs w:val="24"/>
        </w:rPr>
        <w:t xml:space="preserve">Blocco centonovantuno. La cooperazione trilaterale dell'Africa australe senza la struttura nella storiografia archivistica: Stato Zero sulla partecipazione.</w:t>
      </w:r>
    </w:p>
    <w:p>
      <w:pPr>
        <w:spacing w:after="120" w:line="276"/>
        <w:jc w:val="both"/>
      </w:pPr>
      <w:r>
        <w:rPr>
          <w:rFonts w:ascii="Barlow Semi Condensed" w:cs="Barlow Semi Condensed" w:eastAsia="Barlow Semi Condensed" w:hAnsi="Barlow Semi Condensed"/>
          <w:sz w:val="24"/>
          <w:szCs w:val="24"/>
        </w:rPr>
        <w:t xml:space="preserve">Blocco centonovantadue. Gli omicidi esterni degli anni Ottanta: matrice interna sudafricana accertata dalla commissione per la verità, nessuna manovalanza della rete in esame: Livello A sulla matrice, Stato Zero dichiarato sul coinvolgimento.</w:t>
      </w:r>
    </w:p>
    <w:p>
      <w:pPr>
        <w:spacing w:after="120" w:line="276"/>
        <w:jc w:val="both"/>
      </w:pPr>
      <w:r>
        <w:rPr>
          <w:rFonts w:ascii="Barlow Semi Condensed" w:cs="Barlow Semi Condensed" w:eastAsia="Barlow Semi Condensed" w:hAnsi="Barlow Semi Condensed"/>
          <w:sz w:val="24"/>
          <w:szCs w:val="24"/>
        </w:rPr>
        <w:t xml:space="preserve">Il nodo svizzero (blocchi centonovantatré–centonovantotto)</w:t>
      </w:r>
    </w:p>
    <w:p>
      <w:pPr>
        <w:spacing w:after="120" w:line="276"/>
        <w:jc w:val="both"/>
      </w:pPr>
      <w:r>
        <w:rPr>
          <w:rFonts w:ascii="Barlow Semi Condensed" w:cs="Barlow Semi Condensed" w:eastAsia="Barlow Semi Condensed" w:hAnsi="Barlow Semi Condensed"/>
          <w:sz w:val="24"/>
          <w:szCs w:val="24"/>
        </w:rPr>
        <w:t xml:space="preserve">Blocco centonovantatré. L'inchiesta del novembre millenovecentosettantaquattro quale prima cartografia pubblica del nodo elvetico: Livello A quale atto giornalistico coevo.</w:t>
      </w:r>
    </w:p>
    <w:p>
      <w:pPr>
        <w:spacing w:after="120" w:line="276"/>
        <w:jc w:val="both"/>
      </w:pPr>
      <w:r>
        <w:rPr>
          <w:rFonts w:ascii="Barlow Semi Condensed" w:cs="Barlow Semi Condensed" w:eastAsia="Barlow Semi Condensed" w:hAnsi="Barlow Semi Condensed"/>
          <w:sz w:val="24"/>
          <w:szCs w:val="24"/>
        </w:rPr>
        <w:t xml:space="preserve">Blocco centonovantaquattro. Il canale del Nouvel Ordre Européen quale cerniera ideologico-organizzativa: Livello B.</w:t>
      </w:r>
    </w:p>
    <w:p>
      <w:pPr>
        <w:spacing w:after="120" w:line="276"/>
        <w:jc w:val="both"/>
      </w:pPr>
      <w:r>
        <w:rPr>
          <w:rFonts w:ascii="Barlow Semi Condensed" w:cs="Barlow Semi Condensed" w:eastAsia="Barlow Semi Condensed" w:hAnsi="Barlow Semi Condensed"/>
          <w:sz w:val="24"/>
          <w:szCs w:val="24"/>
        </w:rPr>
        <w:t xml:space="preserve">Blocco centonovantacinque. La piazza finanziaria quale retrovia dell'eversione nera, con l'orbita di Gelli: Livello B attributivo, da non saldare ai fatti già certificati della loggia se non per i nodi documentati.</w:t>
      </w:r>
    </w:p>
    <w:p>
      <w:pPr>
        <w:spacing w:after="120" w:line="276"/>
        <w:jc w:val="both"/>
      </w:pPr>
      <w:r>
        <w:rPr>
          <w:rFonts w:ascii="Barlow Semi Condensed" w:cs="Barlow Semi Condensed" w:eastAsia="Barlow Semi Condensed" w:hAnsi="Barlow Semi Condensed"/>
          <w:sz w:val="24"/>
          <w:szCs w:val="24"/>
        </w:rPr>
        <w:t xml:space="preserve">Blocco centonovantasei. Il banchiere Genoud quale figura di raccordo finanziario del neofascismo transnazionale: Livello B biografico-documentale.</w:t>
      </w:r>
    </w:p>
    <w:p>
      <w:pPr>
        <w:spacing w:after="120" w:line="276"/>
        <w:jc w:val="both"/>
      </w:pPr>
      <w:r>
        <w:rPr>
          <w:rFonts w:ascii="Barlow Semi Condensed" w:cs="Barlow Semi Condensed" w:eastAsia="Barlow Semi Condensed" w:hAnsi="Barlow Semi Condensed"/>
          <w:sz w:val="24"/>
          <w:szCs w:val="24"/>
        </w:rPr>
        <w:t xml:space="preserve">Blocco centonovantasette. La rete stay-behind elvetica e la critica filologica del suo nome: Livello B; rilievo sull'uso, in questa sezione, delle fonti deboli interdette.</w:t>
      </w:r>
    </w:p>
    <w:p>
      <w:pPr>
        <w:spacing w:after="120" w:line="276"/>
        <w:jc w:val="both"/>
      </w:pPr>
      <w:r>
        <w:rPr>
          <w:rFonts w:ascii="Barlow Semi Condensed" w:cs="Barlow Semi Condensed" w:eastAsia="Barlow Semi Condensed" w:hAnsi="Barlow Semi Condensed"/>
          <w:sz w:val="24"/>
          <w:szCs w:val="24"/>
        </w:rPr>
        <w:t xml:space="preserve">Blocco centonovantotto. Presenze, transiti e continuità post-settantaquattro sul territorio elvetico: Livello C attributivo.</w:t>
      </w:r>
    </w:p>
    <w:p>
      <w:pPr>
        <w:spacing w:after="120" w:line="276"/>
        <w:jc w:val="both"/>
      </w:pPr>
      <w:r>
        <w:rPr>
          <w:rFonts w:ascii="Barlow Semi Condensed" w:cs="Barlow Semi Condensed" w:eastAsia="Barlow Semi Condensed" w:hAnsi="Barlow Semi Condensed"/>
          <w:sz w:val="24"/>
          <w:szCs w:val="24"/>
        </w:rPr>
        <w:t xml:space="preserve">La proiezione latinoamericana (blocchi centonovantanove–duecentoquattro)</w:t>
      </w:r>
    </w:p>
    <w:p>
      <w:pPr>
        <w:spacing w:after="120" w:line="276"/>
        <w:jc w:val="both"/>
      </w:pPr>
      <w:r>
        <w:rPr>
          <w:rFonts w:ascii="Barlow Semi Condensed" w:cs="Barlow Semi Condensed" w:eastAsia="Barlow Semi Condensed" w:hAnsi="Barlow Semi Condensed"/>
          <w:sz w:val="24"/>
          <w:szCs w:val="24"/>
        </w:rPr>
        <w:t xml:space="preserve">Blocco centonovantanove. La proiezione come sistema, non come episodi: quadro adottato quale chiave di lettura, con gambe da vagliare paese per paese.</w:t>
      </w:r>
    </w:p>
    <w:p>
      <w:pPr>
        <w:spacing w:after="120" w:line="276"/>
        <w:jc w:val="both"/>
      </w:pPr>
      <w:r>
        <w:rPr>
          <w:rFonts w:ascii="Barlow Semi Condensed" w:cs="Barlow Semi Condensed" w:eastAsia="Barlow Semi Condensed" w:hAnsi="Barlow Semi Condensed"/>
          <w:sz w:val="24"/>
          <w:szCs w:val="24"/>
        </w:rPr>
        <w:t xml:space="preserve">Blocco duecento. Il Venezuela quale nodo prioritario della proiezione: Livello B documentale.</w:t>
      </w:r>
    </w:p>
    <w:p>
      <w:pPr>
        <w:spacing w:after="120" w:line="276"/>
        <w:jc w:val="both"/>
      </w:pPr>
      <w:r>
        <w:rPr>
          <w:rFonts w:ascii="Barlow Semi Condensed" w:cs="Barlow Semi Condensed" w:eastAsia="Barlow Semi Condensed" w:hAnsi="Barlow Semi Condensed"/>
          <w:sz w:val="24"/>
          <w:szCs w:val="24"/>
        </w:rPr>
        <w:t xml:space="preserve">Blocco duecentouno. Il Perù: Livello C.</w:t>
      </w:r>
    </w:p>
    <w:p>
      <w:pPr>
        <w:spacing w:after="120" w:line="276"/>
        <w:jc w:val="both"/>
      </w:pPr>
      <w:r>
        <w:rPr>
          <w:rFonts w:ascii="Barlow Semi Condensed" w:cs="Barlow Semi Condensed" w:eastAsia="Barlow Semi Condensed" w:hAnsi="Barlow Semi Condensed"/>
          <w:sz w:val="24"/>
          <w:szCs w:val="24"/>
        </w:rPr>
        <w:t xml:space="preserve">Blocco duecentodue. La Colombia: Livello C.</w:t>
      </w:r>
    </w:p>
    <w:p>
      <w:pPr>
        <w:spacing w:after="120" w:line="276"/>
        <w:jc w:val="both"/>
      </w:pPr>
      <w:r>
        <w:rPr>
          <w:rFonts w:ascii="Barlow Semi Condensed" w:cs="Barlow Semi Condensed" w:eastAsia="Barlow Semi Condensed" w:hAnsi="Barlow Semi Condensed"/>
          <w:sz w:val="24"/>
          <w:szCs w:val="24"/>
        </w:rPr>
        <w:t xml:space="preserve">Blocco duecentotré. L'Ecuador: Livello C.</w:t>
      </w:r>
    </w:p>
    <w:p>
      <w:pPr>
        <w:spacing w:after="120" w:line="276"/>
        <w:jc w:val="both"/>
      </w:pPr>
      <w:r>
        <w:rPr>
          <w:rFonts w:ascii="Barlow Semi Condensed" w:cs="Barlow Semi Condensed" w:eastAsia="Barlow Semi Condensed" w:hAnsi="Barlow Semi Condensed"/>
          <w:sz w:val="24"/>
          <w:szCs w:val="24"/>
        </w:rPr>
        <w:t xml:space="preserve">Blocco duecentoquattro. Le Guyane e il Suriname, con la sintesi comparata delle piste: Livello C; agenda di verifica dichiarata.</w:t>
      </w:r>
    </w:p>
    <w:p>
      <w:pPr>
        <w:spacing w:after="120" w:line="276"/>
        <w:jc w:val="both"/>
      </w:pPr>
      <w:r>
        <w:rPr>
          <w:rFonts w:ascii="Barlow Semi Condensed" w:cs="Barlow Semi Condensed" w:eastAsia="Barlow Semi Condensed" w:hAnsi="Barlow Semi Condensed"/>
          <w:sz w:val="24"/>
          <w:szCs w:val="24"/>
        </w:rPr>
        <w:t xml:space="preserve">Il Medio Oriente (blocchi duecentocinque–duecentodieci)</w:t>
      </w:r>
    </w:p>
    <w:p>
      <w:pPr>
        <w:spacing w:after="120" w:line="276"/>
        <w:jc w:val="both"/>
      </w:pPr>
      <w:r>
        <w:rPr>
          <w:rFonts w:ascii="Barlow Semi Condensed" w:cs="Barlow Semi Condensed" w:eastAsia="Barlow Semi Condensed" w:hAnsi="Barlow Semi Condensed"/>
          <w:sz w:val="24"/>
          <w:szCs w:val="24"/>
        </w:rPr>
        <w:t xml:space="preserve">Blocco duecentocinque. L'avvertenza metodologica sulla disambiguazione del mondo sciita: adottata.</w:t>
      </w:r>
    </w:p>
    <w:p>
      <w:pPr>
        <w:spacing w:after="120" w:line="276"/>
        <w:jc w:val="both"/>
      </w:pPr>
      <w:r>
        <w:rPr>
          <w:rFonts w:ascii="Barlow Semi Condensed" w:cs="Barlow Semi Condensed" w:eastAsia="Barlow Semi Condensed" w:hAnsi="Barlow Semi Condensed"/>
          <w:sz w:val="24"/>
          <w:szCs w:val="24"/>
        </w:rPr>
        <w:t xml:space="preserve">Blocco duecentosei. L'esito negativo generale sul Medio Oriente: Stato Zero dichiarato.</w:t>
      </w:r>
    </w:p>
    <w:p>
      <w:pPr>
        <w:spacing w:after="120" w:line="276"/>
        <w:jc w:val="both"/>
      </w:pPr>
      <w:r>
        <w:rPr>
          <w:rFonts w:ascii="Barlow Semi Condensed" w:cs="Barlow Semi Condensed" w:eastAsia="Barlow Semi Condensed" w:hAnsi="Barlow Semi Condensed"/>
          <w:sz w:val="24"/>
          <w:szCs w:val="24"/>
        </w:rPr>
        <w:t xml:space="preserve">Blocco duecentosette. La pista inversa dei reduci della rete in campo mediorientale: vagliata e lasciata a Livello C.</w:t>
      </w:r>
    </w:p>
    <w:p>
      <w:pPr>
        <w:spacing w:after="120" w:line="276"/>
        <w:jc w:val="both"/>
      </w:pPr>
      <w:r>
        <w:rPr>
          <w:rFonts w:ascii="Barlow Semi Condensed" w:cs="Barlow Semi Condensed" w:eastAsia="Barlow Semi Condensed" w:hAnsi="Barlow Semi Condensed"/>
          <w:sz w:val="24"/>
          <w:szCs w:val="24"/>
        </w:rPr>
        <w:t xml:space="preserve">Blocco duecentootto. Il milieu nero e i regimi baathisti filo-sovietici: contiguità ideologiche senza atto: Livello C.</w:t>
      </w:r>
    </w:p>
    <w:p>
      <w:pPr>
        <w:spacing w:after="120" w:line="276"/>
        <w:jc w:val="both"/>
      </w:pPr>
      <w:r>
        <w:rPr>
          <w:rFonts w:ascii="Barlow Semi Condensed" w:cs="Barlow Semi Condensed" w:eastAsia="Barlow Semi Condensed" w:hAnsi="Barlow Semi Condensed"/>
          <w:sz w:val="24"/>
          <w:szCs w:val="24"/>
        </w:rPr>
        <w:t xml:space="preserve">Blocco duecentonove. L'Iran quale caso speculare, unico pilastro sciita del campo atlantico nell'epoca: Livello A di quadro storico.</w:t>
      </w:r>
    </w:p>
    <w:p>
      <w:pPr>
        <w:spacing w:after="120" w:line="276"/>
        <w:jc w:val="both"/>
      </w:pPr>
      <w:r>
        <w:rPr>
          <w:rFonts w:ascii="Barlow Semi Condensed" w:cs="Barlow Semi Condensed" w:eastAsia="Barlow Semi Condensed" w:hAnsi="Barlow Semi Condensed"/>
          <w:sz w:val="24"/>
          <w:szCs w:val="24"/>
        </w:rPr>
        <w:t xml:space="preserve">Blocco duecentodieci. Il precedente yemenita: matrice mercenaria dell'organizzazione madre algerina, non della struttura lisbonese: distinzione adottata, Livello A sulla matrice.</w:t>
      </w:r>
    </w:p>
    <w:p>
      <w:pPr>
        <w:spacing w:after="120" w:line="276"/>
        <w:jc w:val="both"/>
      </w:pPr>
      <w:r>
        <w:rPr>
          <w:rFonts w:ascii="Barlow Semi Condensed" w:cs="Barlow Semi Condensed" w:eastAsia="Barlow Semi Condensed" w:hAnsi="Barlow Semi Condensed"/>
          <w:sz w:val="24"/>
          <w:szCs w:val="24"/>
        </w:rPr>
        <w:t xml:space="preserve">Le conclusioni della monografia (blocchi duecentoundici–duecentosedici)</w:t>
      </w:r>
    </w:p>
    <w:p>
      <w:pPr>
        <w:spacing w:after="120" w:line="276"/>
        <w:jc w:val="both"/>
      </w:pPr>
      <w:r>
        <w:rPr>
          <w:rFonts w:ascii="Barlow Semi Condensed" w:cs="Barlow Semi Condensed" w:eastAsia="Barlow Semi Condensed" w:hAnsi="Barlow Semi Condensed"/>
          <w:sz w:val="24"/>
          <w:szCs w:val="24"/>
        </w:rPr>
        <w:t xml:space="preserve">Blocco duecentoundici. La natura: struttura clandestina di guerra politica sotto copertura editoriale, non vera agenzia di stampa: Livello A.</w:t>
      </w:r>
    </w:p>
    <w:p>
      <w:pPr>
        <w:spacing w:after="120" w:line="276"/>
        <w:jc w:val="both"/>
      </w:pPr>
      <w:r>
        <w:rPr>
          <w:rFonts w:ascii="Barlow Semi Condensed" w:cs="Barlow Semi Condensed" w:eastAsia="Barlow Semi Condensed" w:hAnsi="Barlow Semi Condensed"/>
          <w:sz w:val="24"/>
          <w:szCs w:val="24"/>
        </w:rPr>
        <w:t xml:space="preserve">Blocco duecentododici. L'Italia quale teatro meglio documentato in sede giudiziaria: conforme al capitolo italiano certificato.</w:t>
      </w:r>
    </w:p>
    <w:p>
      <w:pPr>
        <w:spacing w:after="120" w:line="276"/>
        <w:jc w:val="both"/>
      </w:pPr>
      <w:r>
        <w:rPr>
          <w:rFonts w:ascii="Barlow Semi Condensed" w:cs="Barlow Semi Condensed" w:eastAsia="Barlow Semi Condensed" w:hAnsi="Barlow Semi Condensed"/>
          <w:sz w:val="24"/>
          <w:szCs w:val="24"/>
        </w:rPr>
        <w:t xml:space="preserve">Blocco duecentotredici. L'Africa quale teatro delle operazioni più letali: Livello A.</w:t>
      </w:r>
    </w:p>
    <w:p>
      <w:pPr>
        <w:spacing w:after="120" w:line="276"/>
        <w:jc w:val="both"/>
      </w:pPr>
      <w:r>
        <w:rPr>
          <w:rFonts w:ascii="Barlow Semi Condensed" w:cs="Barlow Semi Condensed" w:eastAsia="Barlow Semi Condensed" w:hAnsi="Barlow Semi Condensed"/>
          <w:sz w:val="24"/>
          <w:szCs w:val="24"/>
        </w:rPr>
        <w:t xml:space="preserve">Blocco duecentoquattordici. La fine con la Rivoluzione dei Garofani: Livello A.</w:t>
      </w:r>
    </w:p>
    <w:p>
      <w:pPr>
        <w:spacing w:after="120" w:line="276"/>
        <w:jc w:val="both"/>
      </w:pPr>
      <w:r>
        <w:rPr>
          <w:rFonts w:ascii="Barlow Semi Condensed" w:cs="Barlow Semi Condensed" w:eastAsia="Barlow Semi Condensed" w:hAnsi="Barlow Semi Condensed"/>
          <w:sz w:val="24"/>
          <w:szCs w:val="24"/>
        </w:rPr>
        <w:t xml:space="preserve">Blocco duecentoquindici. Il quadro dei pilastri regionali del campo atlantico nell'area: Livello A di contesto.</w:t>
      </w:r>
    </w:p>
    <w:p>
      <w:pPr>
        <w:spacing w:after="120" w:line="276"/>
        <w:jc w:val="both"/>
      </w:pPr>
      <w:r>
        <w:rPr>
          <w:rFonts w:ascii="Barlow Semi Condensed" w:cs="Barlow Semi Condensed" w:eastAsia="Barlow Semi Condensed" w:hAnsi="Barlow Semi Condensed"/>
          <w:sz w:val="24"/>
          <w:szCs w:val="24"/>
        </w:rPr>
        <w:t xml:space="preserve">Blocco duecentosedici. Nessun legame documentato con il Golfo: Stato Zero dichiarato.</w:t>
      </w:r>
    </w:p>
    <w:p>
      <w:pPr>
        <w:spacing w:after="120" w:line="276"/>
        <w:jc w:val="both"/>
      </w:pPr>
      <w:r>
        <w:rPr>
          <w:rFonts w:ascii="Barlow Semi Condensed" w:cs="Barlow Semi Condensed" w:eastAsia="Barlow Semi Condensed" w:hAnsi="Barlow Semi Condensed"/>
          <w:sz w:val="24"/>
          <w:szCs w:val="24"/>
        </w:rPr>
        <w:t xml:space="preserve">La triangolazione con le monografie del corpus (blocchi duecentodiciassette–duecentoventidue)</w:t>
      </w:r>
    </w:p>
    <w:p>
      <w:pPr>
        <w:spacing w:after="120" w:line="276"/>
        <w:jc w:val="both"/>
      </w:pPr>
      <w:r>
        <w:rPr>
          <w:rFonts w:ascii="Barlow Semi Condensed" w:cs="Barlow Semi Condensed" w:eastAsia="Barlow Semi Condensed" w:hAnsi="Barlow Semi Condensed"/>
          <w:sz w:val="24"/>
          <w:szCs w:val="24"/>
        </w:rPr>
        <w:t xml:space="preserve">Blocco duecentodiciassette. Il registro analitico dei nodi del corpus sul cluster, del quattro agosto duemilaventisei: nodi gradati recepiti; la riconciliazione delle sette serie identificative autonome — trecentosessantacinque voci — resta pendenza dichiarata.</w:t>
      </w:r>
    </w:p>
    <w:p>
      <w:pPr>
        <w:spacing w:after="120" w:line="276"/>
        <w:jc w:val="both"/>
      </w:pPr>
      <w:r>
        <w:rPr>
          <w:rFonts w:ascii="Barlow Semi Condensed" w:cs="Barlow Semi Condensed" w:eastAsia="Barlow Semi Condensed" w:hAnsi="Barlow Semi Condensed"/>
          <w:sz w:val="24"/>
          <w:szCs w:val="24"/>
        </w:rPr>
        <w:t xml:space="preserve">Blocco duecentodiciotto. La monografia anatomica sull'hub di Lisbona: triangolata, convergente con l'innesco su fondazione, committenti e capitolo italiano.</w:t>
      </w:r>
    </w:p>
    <w:p>
      <w:pPr>
        <w:spacing w:after="120" w:line="276"/>
        <w:jc w:val="both"/>
      </w:pPr>
      <w:r>
        <w:rPr>
          <w:rFonts w:ascii="Barlow Semi Condensed" w:cs="Barlow Semi Condensed" w:eastAsia="Barlow Semi Condensed" w:hAnsi="Barlow Semi Condensed"/>
          <w:sz w:val="24"/>
          <w:szCs w:val="24"/>
        </w:rPr>
        <w:t xml:space="preserve">Blocco duecentodiciannove. La mappa stratificata delle connessioni della rete: recepita quale strumento, con i gradi propri di ciascun arco.</w:t>
      </w:r>
    </w:p>
    <w:p>
      <w:pPr>
        <w:spacing w:after="120" w:line="276"/>
        <w:jc w:val="both"/>
      </w:pPr>
      <w:r>
        <w:rPr>
          <w:rFonts w:ascii="Barlow Semi Condensed" w:cs="Barlow Semi Condensed" w:eastAsia="Barlow Semi Condensed" w:hAnsi="Barlow Semi Condensed"/>
          <w:sz w:val="24"/>
          <w:szCs w:val="24"/>
        </w:rPr>
        <w:t xml:space="preserve">Blocco duecentoventi. Il profilo monografico su Delle Chiaie: recepito, con la discrepanza attivamente segnalata sul luogo di nascita — il dato consolidato è Caserta, tredici settembre millenovecentotrentasei, contro l'indicazione erronea di altra sede — e la morte del dieci settembre duemiladiciannove: Livello A; statuto del non più giudicabile per ogni valutazione.</w:t>
      </w:r>
    </w:p>
    <w:p>
      <w:pPr>
        <w:spacing w:after="120" w:line="276"/>
        <w:jc w:val="both"/>
      </w:pPr>
      <w:r>
        <w:rPr>
          <w:rFonts w:ascii="Barlow Semi Condensed" w:cs="Barlow Semi Condensed" w:eastAsia="Barlow Semi Condensed" w:hAnsi="Barlow Semi Condensed"/>
          <w:sz w:val="24"/>
          <w:szCs w:val="24"/>
        </w:rPr>
        <w:t xml:space="preserve">Blocco duecentoventuno. La monografia speculare sul non-nesso con Kissinger: doppia verifica indipendente convergente con il capitolo dell'innesco: lo Stato Zero ne esce rafforzato al massimo grado consentito a un esito negativo.</w:t>
      </w:r>
    </w:p>
    <w:p>
      <w:pPr>
        <w:spacing w:after="120" w:line="276"/>
        <w:jc w:val="both"/>
      </w:pPr>
      <w:r>
        <w:rPr>
          <w:rFonts w:ascii="Barlow Semi Condensed" w:cs="Barlow Semi Condensed" w:eastAsia="Barlow Semi Condensed" w:hAnsi="Barlow Semi Condensed"/>
          <w:sz w:val="24"/>
          <w:szCs w:val="24"/>
        </w:rPr>
        <w:t xml:space="preserve">Blocco duecentoventidue. La ricostruzione storiografica dal cluster lisbonese all'eurasiatismo filorusso: ponte analitico tra questa Fase e le Fasi seconda-nona, adottato quale ipotesi di lavoro a Livello C sulla continuità, con le singole gambe nei gradi già certificati.</w:t>
      </w:r>
    </w:p>
    <w:p>
      <w:pPr>
        <w:spacing w:after="120" w:line="276"/>
        <w:jc w:val="both"/>
      </w:pPr>
      <w:r>
        <w:rPr>
          <w:rFonts w:ascii="Barlow Semi Condensed" w:cs="Barlow Semi Condensed" w:eastAsia="Barlow Semi Condensed" w:hAnsi="Barlow Semi Condensed"/>
          <w:sz w:val="24"/>
          <w:szCs w:val="24"/>
        </w:rPr>
        <w:t xml:space="preserve">Le voci maggiori del censimento (blocchi duecentoventitré–duecentotrentadue)</w:t>
      </w:r>
    </w:p>
    <w:p>
      <w:pPr>
        <w:spacing w:after="120" w:line="276"/>
        <w:jc w:val="both"/>
      </w:pPr>
      <w:r>
        <w:rPr>
          <w:rFonts w:ascii="Barlow Semi Condensed" w:cs="Barlow Semi Condensed" w:eastAsia="Barlow Semi Condensed" w:hAnsi="Barlow Semi Condensed"/>
          <w:sz w:val="24"/>
          <w:szCs w:val="24"/>
        </w:rPr>
        <w:t xml:space="preserve">Blocco duecentoventitré. Nuclei Armati Rivoluzionari: attivi dal millenovecentosettantasette al millenovecentottantuno, responsabili di trentatré omicidi secondo la voce munita di note; la qualità di fondatore attribuita a Fioravanti è dall'interessato negata, e la negazione è parte del blocco: Livello A sul quadro, con la precisazione dichiarativa.</w:t>
      </w:r>
    </w:p>
    <w:p>
      <w:pPr>
        <w:spacing w:after="120" w:line="276"/>
        <w:jc w:val="both"/>
      </w:pPr>
      <w:r>
        <w:rPr>
          <w:rFonts w:ascii="Barlow Semi Condensed" w:cs="Barlow Semi Condensed" w:eastAsia="Barlow Semi Condensed" w:hAnsi="Barlow Semi Condensed"/>
          <w:sz w:val="24"/>
          <w:szCs w:val="24"/>
        </w:rPr>
        <w:t xml:space="preserve">Blocco duecentoventiquattro. Il primo omicidio del gruppo dopo i fatti di Acca Larentia e la parabola sino allo smantellamento: Livello A di cronologia giudiziaria.</w:t>
      </w:r>
    </w:p>
    <w:p>
      <w:pPr>
        <w:spacing w:after="120" w:line="276"/>
        <w:jc w:val="both"/>
      </w:pPr>
      <w:r>
        <w:rPr>
          <w:rFonts w:ascii="Barlow Semi Condensed" w:cs="Barlow Semi Condensed" w:eastAsia="Barlow Semi Condensed" w:hAnsi="Barlow Semi Condensed"/>
          <w:sz w:val="24"/>
          <w:szCs w:val="24"/>
        </w:rPr>
        <w:t xml:space="preserve">Blocco duecentoventicinque. Gli esiti giudiziari maggiori dei suoi esponenti: già certificati ai blocchi ventisei-ventinove per Bologna, con le formulazioni vincolanti che restano integrali.</w:t>
      </w:r>
    </w:p>
    <w:p>
      <w:pPr>
        <w:spacing w:after="120" w:line="276"/>
        <w:jc w:val="both"/>
      </w:pPr>
      <w:r>
        <w:rPr>
          <w:rFonts w:ascii="Barlow Semi Condensed" w:cs="Barlow Semi Condensed" w:eastAsia="Barlow Semi Condensed" w:hAnsi="Barlow Semi Condensed"/>
          <w:sz w:val="24"/>
          <w:szCs w:val="24"/>
        </w:rPr>
        <w:t xml:space="preserve">Blocco duecentoventisei. Operazione Gladio: la rivelazione del presidente del Consiglio alla Camera del ventiquattro ottobre millenovecentonovanta, preceduta dalla relazione alla Commissione stragi del diciassette ottobre e dall'autorizzazione al magistrato veneziano sugli atti di Peteano: Livello A.</w:t>
      </w:r>
    </w:p>
    <w:p>
      <w:pPr>
        <w:spacing w:after="120" w:line="276"/>
        <w:jc w:val="both"/>
      </w:pPr>
      <w:r>
        <w:rPr>
          <w:rFonts w:ascii="Barlow Semi Condensed" w:cs="Barlow Semi Condensed" w:eastAsia="Barlow Semi Condensed" w:hAnsi="Barlow Semi Condensed"/>
          <w:sz w:val="24"/>
          <w:szCs w:val="24"/>
        </w:rPr>
        <w:t xml:space="preserve">Blocco duecentoventisette. L'elenco dei seicentoventidue nominativi pubblicato e l'ipotesi — parlamentare, non giudicata — di una substruttura coperta: l'elenco sta a Livello A quale atto; l'ipotesi resta a Livello C e come tale è iscritta.</w:t>
      </w:r>
    </w:p>
    <w:p>
      <w:pPr>
        <w:spacing w:after="120" w:line="276"/>
        <w:jc w:val="both"/>
      </w:pPr>
      <w:r>
        <w:rPr>
          <w:rFonts w:ascii="Barlow Semi Condensed" w:cs="Barlow Semi Condensed" w:eastAsia="Barlow Semi Condensed" w:hAnsi="Barlow Semi Condensed"/>
          <w:sz w:val="24"/>
          <w:szCs w:val="24"/>
        </w:rPr>
        <w:t xml:space="preserve">Blocco duecentoventotto. Il rapporto tra la rete stay-behind e il cluster lisbonese: cornice comune atlantica senza identità provata, come al blocco centosessantacinque: saldature vietate.</w:t>
      </w:r>
    </w:p>
    <w:p>
      <w:pPr>
        <w:spacing w:after="120" w:line="276"/>
        <w:jc w:val="both"/>
      </w:pPr>
      <w:r>
        <w:rPr>
          <w:rFonts w:ascii="Barlow Semi Condensed" w:cs="Barlow Semi Condensed" w:eastAsia="Barlow Semi Condensed" w:hAnsi="Barlow Semi Condensed"/>
          <w:sz w:val="24"/>
          <w:szCs w:val="24"/>
        </w:rPr>
        <w:t xml:space="preserve">Blocco duecentoventinove. L'agguato di via Fani del sedici marzo millenovecentosettantotto: i cinque uomini della scorta uccisi — il maresciallo Leonardi, l'appuntato Ricci, le guardie Iozzino e Rivera, il vicebrigadiere Zizzi, spirato dopo il trasporto: Livello A.</w:t>
      </w:r>
    </w:p>
    <w:p>
      <w:pPr>
        <w:spacing w:after="120" w:line="276"/>
        <w:jc w:val="both"/>
      </w:pPr>
      <w:r>
        <w:rPr>
          <w:rFonts w:ascii="Barlow Semi Condensed" w:cs="Barlow Semi Condensed" w:eastAsia="Barlow Semi Condensed" w:hAnsi="Barlow Semi Condensed"/>
          <w:sz w:val="24"/>
          <w:szCs w:val="24"/>
        </w:rPr>
        <w:t xml:space="preserve">Blocco duecentotrenta. Le armi dell'agguato, tra cui la mitraglietta FNAB-43, e le perizie sui bossoli: Livello A sul quadro; il vaglio balistico integrale è consegnato ai registri d'armamento del corpus già costituiti.</w:t>
      </w:r>
    </w:p>
    <w:p>
      <w:pPr>
        <w:spacing w:after="120" w:line="276"/>
        <w:jc w:val="both"/>
      </w:pPr>
      <w:r>
        <w:rPr>
          <w:rFonts w:ascii="Barlow Semi Condensed" w:cs="Barlow Semi Condensed" w:eastAsia="Barlow Semi Condensed" w:hAnsi="Barlow Semi Condensed"/>
          <w:sz w:val="24"/>
          <w:szCs w:val="24"/>
        </w:rPr>
        <w:t xml:space="preserve">Blocco duecentotrentuno. Concutelli: nato a Roma il tre giugno millenovecentoquarantaquattro, morto a Roma il quindici marzo duemilaventitré; ergastolo per l'omicidio del giudice Occorsio del dieci luglio millenovecentosettantasei; in carcere, con Tuti, strangolò Buzzi, condannato in primo grado per piazza della Loggia e accusato nell'ambiente di delazione: Livello A; la strage bresciana ha altri condannati definitivi, come ai blocchi delle Fasi precedenti.</w:t>
      </w:r>
    </w:p>
    <w:p>
      <w:pPr>
        <w:spacing w:after="120" w:line="276"/>
        <w:jc w:val="both"/>
      </w:pPr>
      <w:r>
        <w:rPr>
          <w:rFonts w:ascii="Barlow Semi Condensed" w:cs="Barlow Semi Condensed" w:eastAsia="Barlow Semi Condensed" w:hAnsi="Barlow Semi Condensed"/>
          <w:sz w:val="24"/>
          <w:szCs w:val="24"/>
        </w:rPr>
        <w:t xml:space="preserve">Blocco duecentotrentadue. Antonino La Russa: Paternò, otto settembre millenovecentotredici — Milano, venti dicembre duemilaquattro; segretario politico del partito unico a Paternò nel millenovecentotrentotto, poi dirigente e parlamentare missino dal millenovecentocinquantatré: Livello A biografico; resta vincolante la formulazione della seconda tranche: nessuna responsabilità è trasmissibile ai congiunti, e ogni menzione dei figli resta nei perimetri già fissati.</w:t>
      </w:r>
    </w:p>
    <w:p>
      <w:pPr>
        <w:spacing w:after="120" w:line="276"/>
        <w:jc w:val="both"/>
      </w:pPr>
      <w:r>
        <w:rPr>
          <w:rFonts w:ascii="Barlow Semi Condensed" w:cs="Barlow Semi Condensed" w:eastAsia="Barlow Semi Condensed" w:hAnsi="Barlow Semi Condensed"/>
          <w:sz w:val="24"/>
          <w:szCs w:val="24"/>
        </w:rPr>
        <w:t xml:space="preserve">Le pendenze certificate e il sigillo (blocchi duecentotrentatré–duecentotrentotto)</w:t>
      </w:r>
    </w:p>
    <w:p>
      <w:pPr>
        <w:spacing w:after="120" w:line="276"/>
        <w:jc w:val="both"/>
      </w:pPr>
      <w:r>
        <w:rPr>
          <w:rFonts w:ascii="Barlow Semi Condensed" w:cs="Barlow Semi Condensed" w:eastAsia="Barlow Semi Condensed" w:hAnsi="Barlow Semi Condensed"/>
          <w:sz w:val="24"/>
          <w:szCs w:val="24"/>
        </w:rPr>
        <w:t xml:space="preserve">Blocco duecentotrentatré. I due contenitori recuperati quale testo semplice sotto estensione anomala: acquisiti; la copia alternativa della voce sulla Magliana è duplicato sostanziale della già estratta: dichiarato.</w:t>
      </w:r>
    </w:p>
    <w:p>
      <w:pPr>
        <w:spacing w:after="120" w:line="276"/>
        <w:jc w:val="both"/>
      </w:pPr>
      <w:r>
        <w:rPr>
          <w:rFonts w:ascii="Barlow Semi Condensed" w:cs="Barlow Semi Condensed" w:eastAsia="Barlow Semi Condensed" w:hAnsi="Barlow Semi Condensed"/>
          <w:sz w:val="24"/>
          <w:szCs w:val="24"/>
        </w:rPr>
        <w:t xml:space="preserve">Blocco duecentotrentaquattro. La voce-censimento sulle operazioni contro la 'ndrangheta: duecentocinquantacinque operazioni elencate e ottocentoquaranta indirizzi in apparato: acquisita quale censimento-quadro a Livello B di lista collaborativa, con rilievo di non-concordanza sulla data del primo grado di Montalto rispetto alla voce dedicata: divergenza iscritta, risoluzione rinviata alla fonte giudiziaria.</w:t>
      </w:r>
    </w:p>
    <w:p>
      <w:pPr>
        <w:spacing w:after="120" w:line="276"/>
        <w:jc w:val="both"/>
      </w:pPr>
      <w:r>
        <w:rPr>
          <w:rFonts w:ascii="Barlow Semi Condensed" w:cs="Barlow Semi Condensed" w:eastAsia="Barlow Semi Condensed" w:hAnsi="Barlow Semi Condensed"/>
          <w:sz w:val="24"/>
          <w:szCs w:val="24"/>
        </w:rPr>
        <w:t xml:space="preserve">Blocco duecentotrentacinque. Il censimento cumulativo: ventitré testi estratti, millesettecentoquarantasei URL unici, più i novecentosessantatré dell'innesco: mappa di lavoro consolidata.</w:t>
      </w:r>
    </w:p>
    <w:p>
      <w:pPr>
        <w:spacing w:after="120" w:line="276"/>
        <w:jc w:val="both"/>
      </w:pPr>
      <w:r>
        <w:rPr>
          <w:rFonts w:ascii="Barlow Semi Condensed" w:cs="Barlow Semi Condensed" w:eastAsia="Barlow Semi Condensed" w:hAnsi="Barlow Semi Condensed"/>
          <w:sz w:val="24"/>
          <w:szCs w:val="24"/>
        </w:rPr>
        <w:t xml:space="preserve">Blocco duecentotrentasei. Pizzolungo, verificato ora: quattro processi; assoluzioni irrevocabili degli imputati quali esecutori nel millenovecentonovanta-novantuno; ergastoli definitivi a Riina e Virga quali mandanti e, in altro giudizio, a Di Maggio e ad Antonino Madonia; esecutori individuati nel nuovo processo ma non più processabili; trent'anni definitivi a Galatolo il quattordici giugno duemilaventitré: Livello A; il nesso peritale tra esplosivi di più stragi resta riferito a Livello B.</w:t>
      </w:r>
    </w:p>
    <w:p>
      <w:pPr>
        <w:spacing w:after="120" w:line="276"/>
        <w:jc w:val="both"/>
      </w:pPr>
      <w:r>
        <w:rPr>
          <w:rFonts w:ascii="Barlow Semi Condensed" w:cs="Barlow Semi Condensed" w:eastAsia="Barlow Semi Condensed" w:hAnsi="Barlow Semi Condensed"/>
          <w:sz w:val="24"/>
          <w:szCs w:val="24"/>
        </w:rPr>
        <w:t xml:space="preserve">Blocco duecentotrentasette. Mattarella, monitoraggio con atti intervenuti: perizia genetica depositata il primo luglio duemilaventisei con esito negativo sulla fascetta della vettura dei killer; orientamento della Procura alla richiesta di archiviazione per i due indagati quali esecutori, riferito dalla stampa e non ancora deciso; mandanti definitivi fermi; presunzione integrale; nessuna comunicazione tra fascicoli.</w:t>
      </w:r>
    </w:p>
    <w:p>
      <w:pPr>
        <w:spacing w:after="120" w:line="276"/>
        <w:jc w:val="both"/>
      </w:pPr>
      <w:r>
        <w:rPr>
          <w:rFonts w:ascii="Barlow Semi Condensed" w:cs="Barlow Semi Condensed" w:eastAsia="Barlow Semi Condensed" w:hAnsi="Barlow Semi Condensed"/>
          <w:sz w:val="24"/>
          <w:szCs w:val="24"/>
        </w:rPr>
        <w:t xml:space="preserve">Blocco duecentotrentotto. Sigillo della quinta tranche: il registro raggiunge duecentotrentotto blocchi; le direzioni della sesta sono fissate in chiusa.</w:t>
      </w:r>
    </w:p>
    <w:p>
      <w:pPr>
        <w:spacing w:after="120" w:line="276"/>
        <w:jc w:val="both"/>
      </w:pPr>
      <w:r>
        <w:rPr>
          <w:rFonts w:ascii="Barlow Semi Condensed" w:cs="Barlow Semi Condensed" w:eastAsia="Barlow Semi Condensed" w:hAnsi="Barlow Semi Condensed"/>
          <w:sz w:val="24"/>
          <w:szCs w:val="24"/>
        </w:rPr>
        <w:t xml:space="preserve">10.11 — Rilievi per le persone viventi e chiusa della quinta tranche</w:t>
      </w:r>
    </w:p>
    <w:p>
      <w:pPr>
        <w:spacing w:after="120" w:line="276"/>
        <w:jc w:val="both"/>
      </w:pPr>
      <w:r>
        <w:rPr>
          <w:rFonts w:ascii="Barlow Semi Condensed" w:cs="Barlow Semi Condensed" w:eastAsia="Barlow Semi Condensed" w:hAnsi="Barlow Semi Condensed"/>
          <w:sz w:val="24"/>
          <w:szCs w:val="24"/>
        </w:rPr>
        <w:t xml:space="preserve">Le formulazioni vincolanti delle tranche precedenti restano integralmente in vigore. Questa tranche vi aggiunge: per Giuseppe Lucchese e Antonino Madonia, indagati nel fascicolo palermitano quali esecutori, la presunzione di innocenza è integrale, l'esito peritale negativo è parte obbligatoria di ogni menzione, l'orientamento all'archiviazione resta riferito sino all'atto, e le condanne definitive di Madonia per altri fatti — Pizzolungo compreso — appartengono ad altri fascicoli e non si comunicano a questo; per Carlo Palermo, magistrato bersaglio sopravvissuto e persona vivente, valgono i soli fatti pubblici della biografia istituzionale e giudiziaria; per Valerio Fioravanti la negazione della qualità di fondatore dei Nuclei è parte del blocco che la riguarda; per i familiari delle vittime — e per Margherita Asta, la cui testimonianza è agli atti del corpus — vale il perimetro del massimo rispetto e del solo dato pubblico; per i dichiaranti storici le parole restano pesate nel quadro dei riscontri, mai assunte da sole; per i defunti non più giudicabili — Guérin-Sérac, Delle Chiaie, Concutelli, gli esecutori irrevocabilmente assolti di Pizzolungo — vale lo statuto obbligatorio già fissato: nessuna colpevolezza può essere dichiarata né suggerita oltre i giudicati esistenti.</w:t>
      </w:r>
    </w:p>
    <w:p>
      <w:pPr>
        <w:spacing w:after="120" w:line="276"/>
        <w:jc w:val="both"/>
      </w:pPr>
      <w:r>
        <w:rPr>
          <w:rFonts w:ascii="Barlow Semi Condensed" w:cs="Barlow Semi Condensed" w:eastAsia="Barlow Semi Condensed" w:hAnsi="Barlow Semi Condensed"/>
          <w:sz w:val="24"/>
          <w:szCs w:val="24"/>
        </w:rPr>
        <w:t xml:space="preserve">La quinta tranche porta il registro a duecentotrentotto blocchi certificati e consegna alla sesta le seguenti direzioni: la riconciliazione delle sette serie identificative del registro analitico Aginter — trecentosessantacinque voci; la verifica alla fonte del rapporto portoghese trascritto da Laurent per il nodo sudafricano, con la soglia di revisione dichiarata; la consultazione degli studi lusofoni recenti e degli indici del fondo della polizia politica alla Torre do Tombo; l'interrogazione degli indici analitici cecoslovacchi per chiudere in via definitiva lo Stato Zero orientale; il vaglio delle voci d'armamento e della voce sul giovedì nero già estratte; la verifica ipertestuale a campione delle istantanee contro le pagine vive, dove il rischio dell'asserzione lo esiga; la risoluzione della divergenza di Montalto sulla fonte giudiziaria.</w:t>
      </w:r>
    </w:p>
    <w:p>
      <w:pPr>
        <w:pStyle w:val="Heading3"/>
        <w:spacing w:after="80" w:before="160"/>
      </w:pPr>
      <w:r>
        <w:rPr>
          <w:rFonts w:ascii="Barlow Semi Condensed" w:cs="Barlow Semi Condensed" w:eastAsia="Barlow Semi Condensed" w:hAnsi="Barlow Semi Condensed"/>
          <w:sz w:val="24"/>
          <w:szCs w:val="24"/>
        </w:rPr>
        <w:t xml:space="preserve">SESTA TRANCHE — FASE XI: IL CENSIMENTO GLOBALE DELLA CRIMINALITÀ ORGANIZZATA. IL VAGLIO DEI DODICI LIBRI, IL CAMPIONAMENTO ESTERNO E LE VOCI RESIDUE</w:t>
      </w:r>
    </w:p>
    <w:p>
      <w:pPr>
        <w:spacing w:after="120" w:line="276"/>
        <w:jc w:val="both"/>
      </w:pPr>
      <w:r>
        <w:rPr>
          <w:rFonts w:ascii="Barlow Semi Condensed" w:cs="Barlow Semi Condensed" w:eastAsia="Barlow Semi Condensed" w:hAnsi="Barlow Semi Condensed"/>
          <w:sz w:val="24"/>
          <w:szCs w:val="24"/>
        </w:rPr>
        <w:t xml:space="preserve">11.1 — Documento-innesco, statuto e metrica del censimento nominativo</w:t>
      </w:r>
    </w:p>
    <w:p>
      <w:pPr>
        <w:spacing w:after="120" w:line="276"/>
        <w:jc w:val="both"/>
      </w:pPr>
      <w:r>
        <w:rPr>
          <w:rFonts w:ascii="Barlow Semi Condensed" w:cs="Barlow Semi Condensed" w:eastAsia="Barlow Semi Condensed" w:hAnsi="Barlow Semi Condensed"/>
          <w:sz w:val="24"/>
          <w:szCs w:val="24"/>
        </w:rPr>
        <w:t xml:space="preserve">La sesta tranche è innescata dall'acquisizione del «Censimento globale della criminalità organizzata — Documento unico integrato», edizione composta l'undici agosto duemilaventisei: millecentootto pagine, struttura composita a dodici libri, dalla mappatura italiana ai fenomeni trasversali. La nota di composizione dichiara l'unificazione di due file sorgente con impronte crittografiche registrate, l'accertamento — eseguito in fase di composizione con confronto integrale, paragrafo per paragrafo — che la versione composita contiene per intero la versione integrale, e l'espunzione di sessanta frammenti redazionali estranei al testo, registrati in apposito log: il registro iscrive quest'ultima come credito di igiene documentale. Una delle due sorgenti dichiarate è presente nel corpus di progetto, e la genealogia è dunque verificabile alla fonte. Il corpo del documento non contiene alcun indirizzo di rete: il censimento degli URL restituisce zero per statuto, poiché l'apparato procede per fonti nominate e impronte, e la ricerca dei titoli si esaurisce nel registro delle sorgenti. Il perimetro quantitativo è imponente: le voci nominative numerate raggiungono il numero duemilaventitré, distribuite fra organizzazioni, clan, cartelli, reti e cellule dei cinque continenti. Il registro fissa in apertura la metrica che governa l'intero vaglio: un censimento nominativo è una mappa delle fonti, non un accertamento; ogni voce eredita il grado della fonte che la sostiene — Livello B dove la fonte istituzionale o accademica è nominata, Livello C dove non lo è — e nessuna voce fa prova autonoma di alcunché. La sezione monografica meglio documentata del censimento, quella su Aginter Press, è già stata enucleata e certificata in cento blocchi nella Fase decima: i rinvii sono incrociati.</w:t>
      </w:r>
    </w:p>
    <w:p>
      <w:pPr>
        <w:spacing w:after="120" w:line="276"/>
        <w:jc w:val="both"/>
      </w:pPr>
      <w:r>
        <w:rPr>
          <w:rFonts w:ascii="Barlow Semi Condensed" w:cs="Barlow Semi Condensed" w:eastAsia="Barlow Semi Condensed" w:hAnsi="Barlow Semi Condensed"/>
          <w:sz w:val="24"/>
          <w:szCs w:val="24"/>
        </w:rPr>
        <w:t xml:space="preserve">11.2 — Il Libro primo: l'Italia campo di battaglia</w:t>
      </w:r>
    </w:p>
    <w:p>
      <w:pPr>
        <w:spacing w:after="120" w:line="276"/>
        <w:jc w:val="both"/>
      </w:pPr>
      <w:r>
        <w:rPr>
          <w:rFonts w:ascii="Barlow Semi Condensed" w:cs="Barlow Semi Condensed" w:eastAsia="Barlow Semi Condensed" w:hAnsi="Barlow Semi Condensed"/>
          <w:sz w:val="24"/>
          <w:szCs w:val="24"/>
        </w:rPr>
        <w:t xml:space="preserve">Il Libro primo occupa da solo un quarto del corpo composito e si articola su due registri. Il primo è tematico: dieci capitoli sui porti — Gioia Tauro, Napoli, Salerno, Livorno, la rotta adriatica — sul contrabbando di sigarette e di carburante, sulla terra dei fuochi e sull'ecomafia, sul caporalato, sul gioco d'azzardo, sull'usura quale banca parallela, sulle energie rinnovabili, sulla sanità, sul calcio e sull'agroalimentare: materia consolidata nelle relazioni istituzionali e nella letteratura specializzata, che il registro certifica quale sintesi a Livello B con richiamo alla classe delle fonti — le relazioni della Direzione Investigativa Antimafia e della Direzione Nazionale, i rapporti della Global Initiative. Il secondo registro è storico-genealogico e costituisce la parte più originale del Libro: i capitoli sulle province di Agrigento e Palermo ricostruiscono i corridoi migratori transatlantici — Alessandria della Rocca verso Tampa, Casteltermini verso St. Louis, la Conca d'Oro verso le Cinque Famiglie di New York — con classifiche comunali per numero di affiliati e censimento dei ritorni documentati in Italia: è l'applicazione su scala del pattern dell'analisi dinastica e dei corridoi strutturali, che il registro accoglie quale ricostruzione di corpus a Livello B sulle gambe documentate e Livello C sulle estensioni, con campionamento dichiarato nella sezione settima.</w:t>
      </w:r>
    </w:p>
    <w:p>
      <w:pPr>
        <w:spacing w:after="120" w:line="276"/>
        <w:jc w:val="both"/>
      </w:pPr>
      <w:r>
        <w:rPr>
          <w:rFonts w:ascii="Barlow Semi Condensed" w:cs="Barlow Semi Condensed" w:eastAsia="Barlow Semi Condensed" w:hAnsi="Barlow Semi Condensed"/>
          <w:sz w:val="24"/>
          <w:szCs w:val="24"/>
        </w:rPr>
        <w:t xml:space="preserve">11.3 — I Libri dal secondo al sesto: Europa, Russia, Caucaso</w:t>
      </w:r>
    </w:p>
    <w:p>
      <w:pPr>
        <w:spacing w:after="120" w:line="276"/>
        <w:jc w:val="both"/>
      </w:pPr>
      <w:r>
        <w:rPr>
          <w:rFonts w:ascii="Barlow Semi Condensed" w:cs="Barlow Semi Condensed" w:eastAsia="Barlow Semi Condensed" w:hAnsi="Barlow Semi Condensed"/>
          <w:sz w:val="24"/>
          <w:szCs w:val="24"/>
        </w:rPr>
        <w:t xml:space="preserve">Il Libro secondo — Europa occidentale, Balcani e Turchia — trova nel corpus un contrappeso già gradato: il registro dei nodi eurasiatico-balcanici certifica a Livello A, su intercettazioni e indagini bancarie pubblicate dalle autorità di Skopje e Sarajevo, i flussi dalle compagnie militari private russe a singoli membri di gruppi etnonazionalisti balcanici, e indicizza i gruppi ultras — i Delije, i Grobari nelle fazioni rivali, sino alle formazioni neonaziste — quale dispositivo di reclutamento; le stime convergenti sui foreign fighters balcanici verso il teatro siro-iracheno stanno fra le mille e le millecinquecento partenze. Il Libro quarto e il corpus si saldano sugli effetti della guerra ucraina: la rete Khimprom delle droghe sintetiche, i millecinquecento call center fraudolenti della rete Dniprovski con i casi di frode triplicati, l'esplosione dei sequestri d'armi fra il duemilaventuno e il duemilaventitré — dati di sintesi su fonti ucraine, Livello B. Il Libro quinto e il sesto — Russia, spazio post-sovietico, Caucaso — poggiano sulle voci-quadro dei vory v zakone e della Solntsevskaya, triangolate con la monografia del corpus sulle reti criminali russe e con gli atti del Senato statunitense sulle misure attive: quadro a Livello B, con le singole saldature crimine-Stato nei gradi già fissati dalle Fasi precedenti.</w:t>
      </w:r>
    </w:p>
    <w:p>
      <w:pPr>
        <w:spacing w:after="120" w:line="276"/>
        <w:jc w:val="both"/>
      </w:pPr>
      <w:r>
        <w:rPr>
          <w:rFonts w:ascii="Barlow Semi Condensed" w:cs="Barlow Semi Condensed" w:eastAsia="Barlow Semi Condensed" w:hAnsi="Barlow Semi Condensed"/>
          <w:sz w:val="24"/>
          <w:szCs w:val="24"/>
        </w:rPr>
        <w:t xml:space="preserve">11.4 — I Libri dal settimo all'undicesimo: il mondo extra-europeo</w:t>
      </w:r>
    </w:p>
    <w:p>
      <w:pPr>
        <w:spacing w:after="120" w:line="276"/>
        <w:jc w:val="both"/>
      </w:pPr>
      <w:r>
        <w:rPr>
          <w:rFonts w:ascii="Barlow Semi Condensed" w:cs="Barlow Semi Condensed" w:eastAsia="Barlow Semi Condensed" w:hAnsi="Barlow Semi Condensed"/>
          <w:sz w:val="24"/>
          <w:szCs w:val="24"/>
        </w:rPr>
        <w:t xml:space="preserve">Il vaglio dei Libri extra-europei procede per voci-quadro e nodi campionati. Il Medio Oriente e il Nordafrica includono il versante finanziario delle organizzazioni politico-militari, triangolato con la monografia del corpus sull'impronta globale del Partito di Dio; l'Africa subsahariana è dominata dal fenomeno delle confraternite nigeriane, su cui la classe di fonti Global Initiative regge il Livello B; gli Stati Uniti presentano il censimento delle Cinque Famiglie e della criminalità organizzata italoamericana, che si salda ai corridoi transatlantici del Libro primo; le Americhe allineano i cartelli messicani, le organizzazioni brasiliane — il Primeiro Comando da Capital con la scheda del suo capo detenuto, il Comando Vermelho — e la voce settecentosettantanove sulle gang haitiane; l'Asia-Pacifico censisce Triadi e Yakuza, con la voce trentasette sulla maggiore organizzazione giapponese. Il Libro dodicesimo chiude sui fenomeni trasversali — rotte del narcotraffico, riciclaggio, criminalità informatica, tratta, convergenza fra crimine e terrorismo — quale grammatica comune dei precedenti undici: sintesi a Livello B.</w:t>
      </w:r>
    </w:p>
    <w:p>
      <w:pPr>
        <w:spacing w:after="120" w:line="276"/>
        <w:jc w:val="both"/>
      </w:pPr>
      <w:r>
        <w:rPr>
          <w:rFonts w:ascii="Barlow Semi Condensed" w:cs="Barlow Semi Condensed" w:eastAsia="Barlow Semi Condensed" w:hAnsi="Barlow Semi Condensed"/>
          <w:sz w:val="24"/>
          <w:szCs w:val="24"/>
        </w:rPr>
        <w:t xml:space="preserve">11.5 — Triangolazione con il corpus e Indice di Contaminazione</w:t>
      </w:r>
    </w:p>
    <w:p>
      <w:pPr>
        <w:spacing w:after="120" w:line="276"/>
        <w:jc w:val="both"/>
      </w:pPr>
      <w:r>
        <w:rPr>
          <w:rFonts w:ascii="Barlow Semi Condensed" w:cs="Barlow Semi Condensed" w:eastAsia="Barlow Semi Condensed" w:hAnsi="Barlow Semi Condensed"/>
          <w:sz w:val="24"/>
          <w:szCs w:val="24"/>
        </w:rPr>
        <w:t xml:space="preserve">La triangolazione con il corpus è a doppio senso: il censimento fornisce l'ossatura nominativa che i registri tematici del progetto — eurasiatico-balcanico, russo, laziale, italiano — riempiono di gradi; e i registri restituiscono al censimento i loro Livelli A già certificati sui nodi coincidenti. La lista delle duecentocinquantacinque operazioni contro la 'ndrangheta, recuperata nella quinta tranche, funge da lista di controllo incrociata per il Libro primo. Il censimento parallelo dei politici italiani nei procedimenti penali resta progetto distinto con perimetri propri, e i due censimenti non si comunicano voci. Sul piano dell'Indice di Contaminazione delle Fonti il registro dichiara il rischio strutturale del genere-censimento: molte voci derivano da un perimetro finito di rapporti istituzionali e accademici, sicché voci formalmente distinte possono discendere dalla medesima catena; la regola è che la molteplicità delle voci non aumenta il grado se la sorgente è una.</w:t>
      </w:r>
    </w:p>
    <w:p>
      <w:pPr>
        <w:spacing w:after="120" w:line="276"/>
        <w:jc w:val="both"/>
      </w:pPr>
      <w:r>
        <w:rPr>
          <w:rFonts w:ascii="Barlow Semi Condensed" w:cs="Barlow Semi Condensed" w:eastAsia="Barlow Semi Condensed" w:hAnsi="Barlow Semi Condensed"/>
          <w:sz w:val="24"/>
          <w:szCs w:val="24"/>
        </w:rPr>
        <w:t xml:space="preserve">11.6 — Il campionamento esterno</w:t>
      </w:r>
    </w:p>
    <w:p>
      <w:pPr>
        <w:spacing w:after="120" w:line="276"/>
        <w:jc w:val="both"/>
      </w:pPr>
      <w:r>
        <w:rPr>
          <w:rFonts w:ascii="Barlow Semi Condensed" w:cs="Barlow Semi Condensed" w:eastAsia="Barlow Semi Condensed" w:hAnsi="Barlow Semi Condensed"/>
          <w:sz w:val="24"/>
          <w:szCs w:val="24"/>
        </w:rPr>
        <w:t xml:space="preserve">Dieci nodi del censimento sono stati sottoposti a controllo esterno, per conoscenza stabile certificabile o per verifica in rete condotta in questa sessione. L'esito complessivo è di concordanza piena sui dieci nodi verificati, con due rilievi di copertura: il nome in codice della vasta operazione europea del tre maggio duemilaventitré contro la 'ndrangheta non compare nel testo, e taluni orizzonti temporali delle voci restano fermi ad anni diversi — eterogeneità di aggiornamento dichiarata. Gli esiti puntuali sono ai blocchi trecentodue-trecentoventuno.</w:t>
      </w:r>
    </w:p>
    <w:p>
      <w:pPr>
        <w:spacing w:after="120" w:line="276"/>
        <w:jc w:val="both"/>
      </w:pPr>
      <w:r>
        <w:rPr>
          <w:rFonts w:ascii="Barlow Semi Condensed" w:cs="Barlow Semi Condensed" w:eastAsia="Barlow Semi Condensed" w:hAnsi="Barlow Semi Condensed"/>
          <w:sz w:val="24"/>
          <w:szCs w:val="24"/>
        </w:rPr>
        <w:t xml:space="preserve">11.7 — Le voci residue e la risoluzione di Montalto</w:t>
      </w:r>
    </w:p>
    <w:p>
      <w:pPr>
        <w:spacing w:after="120" w:line="276"/>
        <w:jc w:val="both"/>
      </w:pPr>
      <w:r>
        <w:rPr>
          <w:rFonts w:ascii="Barlow Semi Condensed" w:cs="Barlow Semi Condensed" w:eastAsia="Barlow Semi Condensed" w:hAnsi="Barlow Semi Condensed"/>
          <w:sz w:val="24"/>
          <w:szCs w:val="24"/>
        </w:rPr>
        <w:t xml:space="preserve">La tranche chiude le voci consegnate dalla quinta: le tre voci d'armamento Beretta, la voce sul giovedì nero di Milano, le voci Magliana, Nuova Camorra Organizzata, Occorsio e Mattarella, tutte ai blocchi trecentoventidue-trecentotrentuno. Soprattutto, la divergenza sulla data del primo grado di Montalto è risolta alla fonte giudiziaria: la fonte specialistica cita testualmente la sentenza del Tribunale di Locri del due ottobre millenovecentosettanta, con numero di pagina; la data prevale a Livello A, mentre l'indicazione enciclopedica del ventiquattro marzo millenovecentosettantuno resta annotata quale discordanza, verosimilmente riferita ad altro segmento processuale. La verifica ha inoltre restituito la rilettura del summit operata dalla sentenza Gotha, con le dichiarazioni del collaboratore Serpa sui nomi dell'eversione nera e con le cautele del collegio medesimo — la presenza di Concutelli è contraddetta dalla sua detenzione accertata all'epoca: materiale processuale a Livello B, con la Regola Ferrea a presidio di ogni inferenza storica.</w:t>
      </w:r>
    </w:p>
    <w:p>
      <w:pPr>
        <w:spacing w:after="120" w:line="276"/>
        <w:jc w:val="both"/>
      </w:pPr>
      <w:r>
        <w:rPr>
          <w:rFonts w:ascii="Barlow Semi Condensed" w:cs="Barlow Semi Condensed" w:eastAsia="Barlow Semi Condensed" w:hAnsi="Barlow Semi Condensed"/>
          <w:sz w:val="24"/>
          <w:szCs w:val="24"/>
        </w:rPr>
        <w:t xml:space="preserve">11.8 — Aggiornamento della matrice ACH e principio del lampione</w:t>
      </w:r>
    </w:p>
    <w:p>
      <w:pPr>
        <w:spacing w:after="120" w:line="276"/>
        <w:jc w:val="both"/>
      </w:pPr>
      <w:r>
        <w:rPr>
          <w:rFonts w:ascii="Barlow Semi Condensed" w:cs="Barlow Semi Condensed" w:eastAsia="Barlow Semi Condensed" w:hAnsi="Barlow Semi Condensed"/>
          <w:sz w:val="24"/>
          <w:szCs w:val="24"/>
        </w:rPr>
        <w:t xml:space="preserve">Il censimento fornisce alla matrice l'ossatura del Dominio primo su scala mondiale, ma non tocca le ipotesi maggiori: nulla vi milita a favore di H1, e la pluralità irriducibile delle regie criminali — per continente, per mercato, per epoca — rafforza semmai H3. I corridoi transatlantici del Libro primo arricchiscono i pattern dei flussi e delle dinastie. La tranche iscrive infine, quale principio permanente di metodo, l'effetto lampione: la densità documentaria misura l'attenzione delle fonti, non l'intensità storica dei fenomeni; un censimento è la mappa di ciò che è stato illuminato, e le sue lacune — come quella campionata sull'operazione del maggio duemilaventitré — sono zone d'ombra del lampione, non del mondo.</w:t>
      </w:r>
    </w:p>
    <w:p>
      <w:pPr>
        <w:spacing w:after="120" w:line="276"/>
        <w:jc w:val="both"/>
      </w:pPr>
      <w:r>
        <w:rPr>
          <w:rFonts w:ascii="Barlow Semi Condensed" w:cs="Barlow Semi Condensed" w:eastAsia="Barlow Semi Condensed" w:hAnsi="Barlow Semi Condensed"/>
          <w:sz w:val="24"/>
          <w:szCs w:val="24"/>
        </w:rPr>
        <w:t xml:space="preserve">11.9 — Registro dei blocchi di verifica: blocchi duecentotrentanove–trecentotrentotto</w:t>
      </w:r>
    </w:p>
    <w:p>
      <w:pPr>
        <w:spacing w:after="120" w:line="276"/>
        <w:jc w:val="both"/>
      </w:pPr>
      <w:r>
        <w:rPr>
          <w:rFonts w:ascii="Barlow Semi Condensed" w:cs="Barlow Semi Condensed" w:eastAsia="Barlow Semi Condensed" w:hAnsi="Barlow Semi Condensed"/>
          <w:sz w:val="24"/>
          <w:szCs w:val="24"/>
        </w:rPr>
        <w:t xml:space="preserve">Formula identica alle Fasi precedenti: «già certificato» rinvia ai blocchi delle tranche precedenti; «verificato ora» indica la campagna esterna di questa sessione; «attribuito» lascia l'asserzione in capo alla fonte nominata; gli esiti negativi sono iscritti come Stato Zero.</w:t>
      </w:r>
    </w:p>
    <w:p>
      <w:pPr>
        <w:spacing w:after="120" w:line="276"/>
        <w:jc w:val="both"/>
      </w:pPr>
      <w:r>
        <w:rPr>
          <w:rFonts w:ascii="Barlow Semi Condensed" w:cs="Barlow Semi Condensed" w:eastAsia="Barlow Semi Condensed" w:hAnsi="Barlow Semi Condensed"/>
          <w:sz w:val="24"/>
          <w:szCs w:val="24"/>
        </w:rPr>
        <w:t xml:space="preserve">Innesco e statuto (blocchi duecentotrentanove–duecentoquarantatré)</w:t>
      </w:r>
    </w:p>
    <w:p>
      <w:pPr>
        <w:spacing w:after="120" w:line="276"/>
        <w:jc w:val="both"/>
      </w:pPr>
      <w:r>
        <w:rPr>
          <w:rFonts w:ascii="Barlow Semi Condensed" w:cs="Barlow Semi Condensed" w:eastAsia="Barlow Semi Condensed" w:hAnsi="Barlow Semi Condensed"/>
          <w:sz w:val="24"/>
          <w:szCs w:val="24"/>
        </w:rPr>
        <w:t xml:space="preserve">Blocco duecentotrentanove. Il documento-innesco: millecentootto pagine, dodici libri, nota di composizione con confronto integrale dichiarato, registro delle sorgenti a impronte crittografiche, espunzione di sessanta frammenti redazionali con log: Livello A quale atto del corpus, con credito di igiene documentale.</w:t>
      </w:r>
    </w:p>
    <w:p>
      <w:pPr>
        <w:spacing w:after="120" w:line="276"/>
        <w:jc w:val="both"/>
      </w:pPr>
      <w:r>
        <w:rPr>
          <w:rFonts w:ascii="Barlow Semi Condensed" w:cs="Barlow Semi Condensed" w:eastAsia="Barlow Semi Condensed" w:hAnsi="Barlow Semi Condensed"/>
          <w:sz w:val="24"/>
          <w:szCs w:val="24"/>
        </w:rPr>
        <w:t xml:space="preserve">Blocco duecentoquaranta. La genealogia verificabile: una delle due sorgenti dichiarate è presente nel corpus di progetto con impronta corrispondente: catena di composizione a Livello A.</w:t>
      </w:r>
    </w:p>
    <w:p>
      <w:pPr>
        <w:spacing w:after="120" w:line="276"/>
        <w:jc w:val="both"/>
      </w:pPr>
      <w:r>
        <w:rPr>
          <w:rFonts w:ascii="Barlow Semi Condensed" w:cs="Barlow Semi Condensed" w:eastAsia="Barlow Semi Condensed" w:hAnsi="Barlow Semi Condensed"/>
          <w:sz w:val="24"/>
          <w:szCs w:val="24"/>
        </w:rPr>
        <w:t xml:space="preserve">Blocco duecentoquarantuno. Zero indirizzi di rete nel corpo: apparato per fonti nominate; il censimento URL dell'innesco restituisce zero per statuto, e la mappa cumulativa resta quella delle tranche precedenti.</w:t>
      </w:r>
    </w:p>
    <w:p>
      <w:pPr>
        <w:spacing w:after="120" w:line="276"/>
        <w:jc w:val="both"/>
      </w:pPr>
      <w:r>
        <w:rPr>
          <w:rFonts w:ascii="Barlow Semi Condensed" w:cs="Barlow Semi Condensed" w:eastAsia="Barlow Semi Condensed" w:hAnsi="Barlow Semi Condensed"/>
          <w:sz w:val="24"/>
          <w:szCs w:val="24"/>
        </w:rPr>
        <w:t xml:space="preserve">Blocco duecentoquarantadue. Il perimetro: voci nominative numerate sino a duemilaventitré, dodici libri, dall'Italia ai fenomeni trasversali: perimetro iscritto; la continuità delle serie di numerazione non è verificata voce per voce e resta pendenza dichiarata.</w:t>
      </w:r>
    </w:p>
    <w:p>
      <w:pPr>
        <w:spacing w:after="120" w:line="276"/>
        <w:jc w:val="both"/>
      </w:pPr>
      <w:r>
        <w:rPr>
          <w:rFonts w:ascii="Barlow Semi Condensed" w:cs="Barlow Semi Condensed" w:eastAsia="Barlow Semi Condensed" w:hAnsi="Barlow Semi Condensed"/>
          <w:sz w:val="24"/>
          <w:szCs w:val="24"/>
        </w:rPr>
        <w:t xml:space="preserve">Blocco duecentoquarantatré. La metrica del censimento nominativo: ogni voce eredita il grado della propria fonte — Livello B con fonte nominata, Livello C senza — e nessuna voce fa prova autonoma; la sezione Aginter, già enucleata, è certificata nella Fase decima e i rinvii sono incrociati.</w:t>
      </w:r>
    </w:p>
    <w:p>
      <w:pPr>
        <w:spacing w:after="120" w:line="276"/>
        <w:jc w:val="both"/>
      </w:pPr>
      <w:r>
        <w:rPr>
          <w:rFonts w:ascii="Barlow Semi Condensed" w:cs="Barlow Semi Condensed" w:eastAsia="Barlow Semi Condensed" w:hAnsi="Barlow Semi Condensed"/>
          <w:sz w:val="24"/>
          <w:szCs w:val="24"/>
        </w:rPr>
        <w:t xml:space="preserve">Il Libro primo, capitoli tematici (blocchi duecentoquarantaquattro–duecentocinquantatré)</w:t>
      </w:r>
    </w:p>
    <w:p>
      <w:pPr>
        <w:spacing w:after="120" w:line="276"/>
        <w:jc w:val="both"/>
      </w:pPr>
      <w:r>
        <w:rPr>
          <w:rFonts w:ascii="Barlow Semi Condensed" w:cs="Barlow Semi Condensed" w:eastAsia="Barlow Semi Condensed" w:hAnsi="Barlow Semi Condensed"/>
          <w:sz w:val="24"/>
          <w:szCs w:val="24"/>
        </w:rPr>
        <w:t xml:space="preserve">Blocco duecentoquarantaquattro. I porti — Gioia Tauro, Napoli, Salerno, Livorno — e la rotta adriatica quali infrastrutture del narcotraffico: sintesi a Livello B sulla classe delle fonti istituzionali.</w:t>
      </w:r>
    </w:p>
    <w:p>
      <w:pPr>
        <w:spacing w:after="120" w:line="276"/>
        <w:jc w:val="both"/>
      </w:pPr>
      <w:r>
        <w:rPr>
          <w:rFonts w:ascii="Barlow Semi Condensed" w:cs="Barlow Semi Condensed" w:eastAsia="Barlow Semi Condensed" w:hAnsi="Barlow Semi Condensed"/>
          <w:sz w:val="24"/>
          <w:szCs w:val="24"/>
        </w:rPr>
        <w:t xml:space="preserve">Blocco duecentoquarantacinque. Il contrabbando di sigarette e di carburante: Livello B.</w:t>
      </w:r>
    </w:p>
    <w:p>
      <w:pPr>
        <w:spacing w:after="120" w:line="276"/>
        <w:jc w:val="both"/>
      </w:pPr>
      <w:r>
        <w:rPr>
          <w:rFonts w:ascii="Barlow Semi Condensed" w:cs="Barlow Semi Condensed" w:eastAsia="Barlow Semi Condensed" w:hAnsi="Barlow Semi Condensed"/>
          <w:sz w:val="24"/>
          <w:szCs w:val="24"/>
        </w:rPr>
        <w:t xml:space="preserve">Blocco duecentoquarantasei. La terra dei fuochi e l'ecomafia, il ciclo illegale dei rifiuti: Livello B, con radicamento giudiziario consolidato.</w:t>
      </w:r>
    </w:p>
    <w:p>
      <w:pPr>
        <w:spacing w:after="120" w:line="276"/>
        <w:jc w:val="both"/>
      </w:pPr>
      <w:r>
        <w:rPr>
          <w:rFonts w:ascii="Barlow Semi Condensed" w:cs="Barlow Semi Condensed" w:eastAsia="Barlow Semi Condensed" w:hAnsi="Barlow Semi Condensed"/>
          <w:sz w:val="24"/>
          <w:szCs w:val="24"/>
        </w:rPr>
        <w:t xml:space="preserve">Blocco duecentoquarantasette. Il caporalato e lo sfruttamento dei lavoratori migranti: Livello B.</w:t>
      </w:r>
    </w:p>
    <w:p>
      <w:pPr>
        <w:spacing w:after="120" w:line="276"/>
        <w:jc w:val="both"/>
      </w:pPr>
      <w:r>
        <w:rPr>
          <w:rFonts w:ascii="Barlow Semi Condensed" w:cs="Barlow Semi Condensed" w:eastAsia="Barlow Semi Condensed" w:hAnsi="Barlow Semi Condensed"/>
          <w:sz w:val="24"/>
          <w:szCs w:val="24"/>
        </w:rPr>
        <w:t xml:space="preserve">Blocco duecentoquarantotto. Il gioco d'azzardo e le scommesse in rete: infiltrazione documentata: Livello B.</w:t>
      </w:r>
    </w:p>
    <w:p>
      <w:pPr>
        <w:spacing w:after="120" w:line="276"/>
        <w:jc w:val="both"/>
      </w:pPr>
      <w:r>
        <w:rPr>
          <w:rFonts w:ascii="Barlow Semi Condensed" w:cs="Barlow Semi Condensed" w:eastAsia="Barlow Semi Condensed" w:hAnsi="Barlow Semi Condensed"/>
          <w:sz w:val="24"/>
          <w:szCs w:val="24"/>
        </w:rPr>
        <w:t xml:space="preserve">Blocco duecentoquarantanove. L'usura quale banca parallela della mafia: Livello B.</w:t>
      </w:r>
    </w:p>
    <w:p>
      <w:pPr>
        <w:spacing w:after="120" w:line="276"/>
        <w:jc w:val="both"/>
      </w:pPr>
      <w:r>
        <w:rPr>
          <w:rFonts w:ascii="Barlow Semi Condensed" w:cs="Barlow Semi Condensed" w:eastAsia="Barlow Semi Condensed" w:hAnsi="Barlow Semi Condensed"/>
          <w:sz w:val="24"/>
          <w:szCs w:val="24"/>
        </w:rPr>
        <w:t xml:space="preserve">Blocco duecentocinquanta. Le energie rinnovabili, l'eolico e il fotovoltaico: Livello B, con i sequestri storici quale ancoraggio.</w:t>
      </w:r>
    </w:p>
    <w:p>
      <w:pPr>
        <w:spacing w:after="120" w:line="276"/>
        <w:jc w:val="both"/>
      </w:pPr>
      <w:r>
        <w:rPr>
          <w:rFonts w:ascii="Barlow Semi Condensed" w:cs="Barlow Semi Condensed" w:eastAsia="Barlow Semi Condensed" w:hAnsi="Barlow Semi Condensed"/>
          <w:sz w:val="24"/>
          <w:szCs w:val="24"/>
        </w:rPr>
        <w:t xml:space="preserve">Blocco duecentocinquantuno. La sanità e l'infiltrazione nel servizio nazionale: Livello B.</w:t>
      </w:r>
    </w:p>
    <w:p>
      <w:pPr>
        <w:spacing w:after="120" w:line="276"/>
        <w:jc w:val="both"/>
      </w:pPr>
      <w:r>
        <w:rPr>
          <w:rFonts w:ascii="Barlow Semi Condensed" w:cs="Barlow Semi Condensed" w:eastAsia="Barlow Semi Condensed" w:hAnsi="Barlow Semi Condensed"/>
          <w:sz w:val="24"/>
          <w:szCs w:val="24"/>
        </w:rPr>
        <w:t xml:space="preserve">Blocco duecentocinquantadue. Il calcio, le scommesse e la manipolazione degli incontri: Livello B.</w:t>
      </w:r>
    </w:p>
    <w:p>
      <w:pPr>
        <w:spacing w:after="120" w:line="276"/>
        <w:jc w:val="both"/>
      </w:pPr>
      <w:r>
        <w:rPr>
          <w:rFonts w:ascii="Barlow Semi Condensed" w:cs="Barlow Semi Condensed" w:eastAsia="Barlow Semi Condensed" w:hAnsi="Barlow Semi Condensed"/>
          <w:sz w:val="24"/>
          <w:szCs w:val="24"/>
        </w:rPr>
        <w:t xml:space="preserve">Blocco duecentocinquantatré. L'agroalimentare e il controllo della filiera: Livello B.</w:t>
      </w:r>
    </w:p>
    <w:p>
      <w:pPr>
        <w:spacing w:after="120" w:line="276"/>
        <w:jc w:val="both"/>
      </w:pPr>
      <w:r>
        <w:rPr>
          <w:rFonts w:ascii="Barlow Semi Condensed" w:cs="Barlow Semi Condensed" w:eastAsia="Barlow Semi Condensed" w:hAnsi="Barlow Semi Condensed"/>
          <w:sz w:val="24"/>
          <w:szCs w:val="24"/>
        </w:rPr>
        <w:t xml:space="preserve">Il Libro primo, capitoli transatlantici (blocchi duecentocinquantaquattro–duecentosessantatré)</w:t>
      </w:r>
    </w:p>
    <w:p>
      <w:pPr>
        <w:spacing w:after="120" w:line="276"/>
        <w:jc w:val="both"/>
      </w:pPr>
      <w:r>
        <w:rPr>
          <w:rFonts w:ascii="Barlow Semi Condensed" w:cs="Barlow Semi Condensed" w:eastAsia="Barlow Semi Condensed" w:hAnsi="Barlow Semi Condensed"/>
          <w:sz w:val="24"/>
          <w:szCs w:val="24"/>
        </w:rPr>
        <w:t xml:space="preserve">Blocco duecentocinquantaquattro. La premessa metodologica dei capitoli provinciali: genealogie migratorie quale chiave del Dominio primo: adottata con la metrica della sezione prima.</w:t>
      </w:r>
    </w:p>
    <w:p>
      <w:pPr>
        <w:spacing w:after="120" w:line="276"/>
        <w:jc w:val="both"/>
      </w:pPr>
      <w:r>
        <w:rPr>
          <w:rFonts w:ascii="Barlow Semi Condensed" w:cs="Barlow Semi Condensed" w:eastAsia="Barlow Semi Condensed" w:hAnsi="Barlow Semi Condensed"/>
          <w:sz w:val="24"/>
          <w:szCs w:val="24"/>
        </w:rPr>
        <w:t xml:space="preserve">Blocco duecentocinquantacinque. La provincia di Agrigento e il corridoio verso Tampa e St. Louis: ricostruzione di corpus a Livello B sulle gambe documentate.</w:t>
      </w:r>
    </w:p>
    <w:p>
      <w:pPr>
        <w:spacing w:after="120" w:line="276"/>
        <w:jc w:val="both"/>
      </w:pPr>
      <w:r>
        <w:rPr>
          <w:rFonts w:ascii="Barlow Semi Condensed" w:cs="Barlow Semi Condensed" w:eastAsia="Barlow Semi Condensed" w:hAnsi="Barlow Semi Condensed"/>
          <w:sz w:val="24"/>
          <w:szCs w:val="24"/>
        </w:rPr>
        <w:t xml:space="preserve">Blocco duecentocinquantasei. Alessandria della Rocca: un comune, una famiglia: Livello B/C secondo le singole gambe.</w:t>
      </w:r>
    </w:p>
    <w:p>
      <w:pPr>
        <w:spacing w:after="120" w:line="276"/>
        <w:jc w:val="both"/>
      </w:pPr>
      <w:r>
        <w:rPr>
          <w:rFonts w:ascii="Barlow Semi Condensed" w:cs="Barlow Semi Condensed" w:eastAsia="Barlow Semi Condensed" w:hAnsi="Barlow Semi Condensed"/>
          <w:sz w:val="24"/>
          <w:szCs w:val="24"/>
        </w:rPr>
        <w:t xml:space="preserve">Blocco duecentocinquantasette. Casteltermini e il corridoio di St. Louis: Livello B/C.</w:t>
      </w:r>
    </w:p>
    <w:p>
      <w:pPr>
        <w:spacing w:after="120" w:line="276"/>
        <w:jc w:val="both"/>
      </w:pPr>
      <w:r>
        <w:rPr>
          <w:rFonts w:ascii="Barlow Semi Condensed" w:cs="Barlow Semi Condensed" w:eastAsia="Barlow Semi Condensed" w:hAnsi="Barlow Semi Condensed"/>
          <w:sz w:val="24"/>
          <w:szCs w:val="24"/>
        </w:rPr>
        <w:t xml:space="preserve">Blocco duecentocinquantotto. La provincia di Palermo e le Cinque Famiglie di New York, la Conca d'Oro e i suoi comuni: Livello B sulla trama, C sulle estensioni.</w:t>
      </w:r>
    </w:p>
    <w:p>
      <w:pPr>
        <w:spacing w:after="120" w:line="276"/>
        <w:jc w:val="both"/>
      </w:pPr>
      <w:r>
        <w:rPr>
          <w:rFonts w:ascii="Barlow Semi Condensed" w:cs="Barlow Semi Condensed" w:eastAsia="Barlow Semi Condensed" w:hAnsi="Barlow Semi Condensed"/>
          <w:sz w:val="24"/>
          <w:szCs w:val="24"/>
        </w:rPr>
        <w:t xml:space="preserve">Blocco duecentocinquantanove. I Barcellonesi del capitolo ventiduesimo, gruppo messinese di proiezione: Livello B.</w:t>
      </w:r>
    </w:p>
    <w:p>
      <w:pPr>
        <w:spacing w:after="120" w:line="276"/>
        <w:jc w:val="both"/>
      </w:pPr>
      <w:r>
        <w:rPr>
          <w:rFonts w:ascii="Barlow Semi Condensed" w:cs="Barlow Semi Condensed" w:eastAsia="Barlow Semi Condensed" w:hAnsi="Barlow Semi Condensed"/>
          <w:sz w:val="24"/>
          <w:szCs w:val="24"/>
        </w:rPr>
        <w:t xml:space="preserve">Blocco duecentosessanta. Napoli quale porto d'imbarco dell'emigrazione e dei traffici: Livello B.</w:t>
      </w:r>
    </w:p>
    <w:p>
      <w:pPr>
        <w:spacing w:after="120" w:line="276"/>
        <w:jc w:val="both"/>
      </w:pPr>
      <w:r>
        <w:rPr>
          <w:rFonts w:ascii="Barlow Semi Condensed" w:cs="Barlow Semi Condensed" w:eastAsia="Barlow Semi Condensed" w:hAnsi="Barlow Semi Condensed"/>
          <w:sz w:val="24"/>
          <w:szCs w:val="24"/>
        </w:rPr>
        <w:t xml:space="preserve">Blocco duecentosessantuno. Le implicazioni per la storiografia italiana rivendicate dal capitolo settantaseiesimo: tesi interpretativa, Livello C dichiarato.</w:t>
      </w:r>
    </w:p>
    <w:p>
      <w:pPr>
        <w:spacing w:after="120" w:line="276"/>
        <w:jc w:val="both"/>
      </w:pPr>
      <w:r>
        <w:rPr>
          <w:rFonts w:ascii="Barlow Semi Condensed" w:cs="Barlow Semi Condensed" w:eastAsia="Barlow Semi Condensed" w:hAnsi="Barlow Semi Condensed"/>
          <w:sz w:val="24"/>
          <w:szCs w:val="24"/>
        </w:rPr>
        <w:t xml:space="preserve">Blocco duecentosessantadue. La classifica dei comuni per numero di affiliati del capitolo ottantaquattresimo: elaborazione statistica di corpus, Livello C sino a verifica delle basi di conteggio.</w:t>
      </w:r>
    </w:p>
    <w:p>
      <w:pPr>
        <w:spacing w:after="120" w:line="276"/>
        <w:jc w:val="both"/>
      </w:pPr>
      <w:r>
        <w:rPr>
          <w:rFonts w:ascii="Barlow Semi Condensed" w:cs="Barlow Semi Condensed" w:eastAsia="Barlow Semi Condensed" w:hAnsi="Barlow Semi Condensed"/>
          <w:sz w:val="24"/>
          <w:szCs w:val="24"/>
        </w:rPr>
        <w:t xml:space="preserve">Blocco duecentosessantatré. I ritorni in Italia documentati del capitolo ottantaseiesimo: Livello B sulle voci con fonte nominata.</w:t>
      </w:r>
    </w:p>
    <w:p>
      <w:pPr>
        <w:spacing w:after="120" w:line="276"/>
        <w:jc w:val="both"/>
      </w:pPr>
      <w:r>
        <w:rPr>
          <w:rFonts w:ascii="Barlow Semi Condensed" w:cs="Barlow Semi Condensed" w:eastAsia="Barlow Semi Condensed" w:hAnsi="Barlow Semi Condensed"/>
          <w:sz w:val="24"/>
          <w:szCs w:val="24"/>
        </w:rPr>
        <w:t xml:space="preserve">I Libri dal secondo al sesto (blocchi duecentosessantaquattro–duecentosettantatré)</w:t>
      </w:r>
    </w:p>
    <w:p>
      <w:pPr>
        <w:spacing w:after="120" w:line="276"/>
        <w:jc w:val="both"/>
      </w:pPr>
      <w:r>
        <w:rPr>
          <w:rFonts w:ascii="Barlow Semi Condensed" w:cs="Barlow Semi Condensed" w:eastAsia="Barlow Semi Condensed" w:hAnsi="Barlow Semi Condensed"/>
          <w:sz w:val="24"/>
          <w:szCs w:val="24"/>
        </w:rPr>
        <w:t xml:space="preserve">Blocco duecentosessantaquattro. Il Libro secondo, Europa occidentale, Balcani e Turchia: quadro a Livello B.</w:t>
      </w:r>
    </w:p>
    <w:p>
      <w:pPr>
        <w:spacing w:after="120" w:line="276"/>
        <w:jc w:val="both"/>
      </w:pPr>
      <w:r>
        <w:rPr>
          <w:rFonts w:ascii="Barlow Semi Condensed" w:cs="Barlow Semi Condensed" w:eastAsia="Barlow Semi Condensed" w:hAnsi="Barlow Semi Condensed"/>
          <w:sz w:val="24"/>
          <w:szCs w:val="24"/>
        </w:rPr>
        <w:t xml:space="preserve">Blocco duecentosessantacinque. La triangolazione balcanica col registro di corpus: flussi dalle compagnie militari private russe a membri di gruppi etnonazionalisti a Livello A su intercettazioni e indagini bancarie pubblicate; regia statale unica a Livello B: già certificato, recepito.</w:t>
      </w:r>
    </w:p>
    <w:p>
      <w:pPr>
        <w:spacing w:after="120" w:line="276"/>
        <w:jc w:val="both"/>
      </w:pPr>
      <w:r>
        <w:rPr>
          <w:rFonts w:ascii="Barlow Semi Condensed" w:cs="Barlow Semi Condensed" w:eastAsia="Barlow Semi Condensed" w:hAnsi="Barlow Semi Condensed"/>
          <w:sz w:val="24"/>
          <w:szCs w:val="24"/>
        </w:rPr>
        <w:t xml:space="preserve">Blocco duecentosessantasei. Il nodo turco e la monografia di corpus sui Lupi Grigi: saldatura ai blocchi delle Fasi precedenti sul terrorismo transnazionale: Livello B.</w:t>
      </w:r>
    </w:p>
    <w:p>
      <w:pPr>
        <w:spacing w:after="120" w:line="276"/>
        <w:jc w:val="both"/>
      </w:pPr>
      <w:r>
        <w:rPr>
          <w:rFonts w:ascii="Barlow Semi Condensed" w:cs="Barlow Semi Condensed" w:eastAsia="Barlow Semi Condensed" w:hAnsi="Barlow Semi Condensed"/>
          <w:sz w:val="24"/>
          <w:szCs w:val="24"/>
        </w:rPr>
        <w:t xml:space="preserve">Blocco duecentosessantasette. Il Libro terzo, Europa settentrionale e Baltici: quadro a Livello B.</w:t>
      </w:r>
    </w:p>
    <w:p>
      <w:pPr>
        <w:spacing w:after="120" w:line="276"/>
        <w:jc w:val="both"/>
      </w:pPr>
      <w:r>
        <w:rPr>
          <w:rFonts w:ascii="Barlow Semi Condensed" w:cs="Barlow Semi Condensed" w:eastAsia="Barlow Semi Condensed" w:hAnsi="Barlow Semi Condensed"/>
          <w:sz w:val="24"/>
          <w:szCs w:val="24"/>
        </w:rPr>
        <w:t xml:space="preserve">Blocco duecentosessantotto. Il Libro quarto e gli effetti della guerra ucraina dal corpus integrale: la rete Khimprom delle droghe sintetiche, i millecinquecento call center della rete Dniprovski con le frodi triplicate, l'esplosione dei sequestri d'armi fra il duemilaventuno e il duemilaventitré: sintesi su fonti ucraine, Livello B.</w:t>
      </w:r>
    </w:p>
    <w:p>
      <w:pPr>
        <w:spacing w:after="120" w:line="276"/>
        <w:jc w:val="both"/>
      </w:pPr>
      <w:r>
        <w:rPr>
          <w:rFonts w:ascii="Barlow Semi Condensed" w:cs="Barlow Semi Condensed" w:eastAsia="Barlow Semi Condensed" w:hAnsi="Barlow Semi Condensed"/>
          <w:sz w:val="24"/>
          <w:szCs w:val="24"/>
        </w:rPr>
        <w:t xml:space="preserve">Blocco duecentosessantanove. Il Libro quinto, Russia e spazio post-sovietico: quadro a Livello B.</w:t>
      </w:r>
    </w:p>
    <w:p>
      <w:pPr>
        <w:spacing w:after="120" w:line="276"/>
        <w:jc w:val="both"/>
      </w:pPr>
      <w:r>
        <w:rPr>
          <w:rFonts w:ascii="Barlow Semi Condensed" w:cs="Barlow Semi Condensed" w:eastAsia="Barlow Semi Condensed" w:hAnsi="Barlow Semi Condensed"/>
          <w:sz w:val="24"/>
          <w:szCs w:val="24"/>
        </w:rPr>
        <w:t xml:space="preserve">Blocco duecentosettanta. Le voci ventisei e ventisette: i vory v zakone quale élite criminale tradizionale e la Solntsevskaya moscovita: Livello B di lista qualificata.</w:t>
      </w:r>
    </w:p>
    <w:p>
      <w:pPr>
        <w:spacing w:after="120" w:line="276"/>
        <w:jc w:val="both"/>
      </w:pPr>
      <w:r>
        <w:rPr>
          <w:rFonts w:ascii="Barlow Semi Condensed" w:cs="Barlow Semi Condensed" w:eastAsia="Barlow Semi Condensed" w:hAnsi="Barlow Semi Condensed"/>
          <w:sz w:val="24"/>
          <w:szCs w:val="24"/>
        </w:rPr>
        <w:t xml:space="preserve">Blocco duecentosettantuno. La triangolazione con la monografia di corpus sulle reti criminali russe e con gli atti del Senato statunitense sulle misure attive: le saldature crimine-Stato restano nei gradi delle Fasi precedenti: nessun avanzamento di grado per accumulo.</w:t>
      </w:r>
    </w:p>
    <w:p>
      <w:pPr>
        <w:spacing w:after="120" w:line="276"/>
        <w:jc w:val="both"/>
      </w:pPr>
      <w:r>
        <w:rPr>
          <w:rFonts w:ascii="Barlow Semi Condensed" w:cs="Barlow Semi Condensed" w:eastAsia="Barlow Semi Condensed" w:hAnsi="Barlow Semi Condensed"/>
          <w:sz w:val="24"/>
          <w:szCs w:val="24"/>
        </w:rPr>
        <w:t xml:space="preserve">Blocco duecentosettantadue. Il Libro sesto, il Caucaso: quadro a Livello B.</w:t>
      </w:r>
    </w:p>
    <w:p>
      <w:pPr>
        <w:spacing w:after="120" w:line="276"/>
        <w:jc w:val="both"/>
      </w:pPr>
      <w:r>
        <w:rPr>
          <w:rFonts w:ascii="Barlow Semi Condensed" w:cs="Barlow Semi Condensed" w:eastAsia="Barlow Semi Condensed" w:hAnsi="Barlow Semi Condensed"/>
          <w:sz w:val="24"/>
          <w:szCs w:val="24"/>
        </w:rPr>
        <w:t xml:space="preserve">Blocco duecentosettantatré. La saldatura fra tradizione dei vory e diaspora caucasica in Europa: Livello B/C secondo le gambe.</w:t>
      </w:r>
    </w:p>
    <w:p>
      <w:pPr>
        <w:spacing w:after="120" w:line="276"/>
        <w:jc w:val="both"/>
      </w:pPr>
      <w:r>
        <w:rPr>
          <w:rFonts w:ascii="Barlow Semi Condensed" w:cs="Barlow Semi Condensed" w:eastAsia="Barlow Semi Condensed" w:hAnsi="Barlow Semi Condensed"/>
          <w:sz w:val="24"/>
          <w:szCs w:val="24"/>
        </w:rPr>
        <w:t xml:space="preserve">I Libri dal settimo all'undicesimo (blocchi duecentosettantaquattro–duecentottantatré)</w:t>
      </w:r>
    </w:p>
    <w:p>
      <w:pPr>
        <w:spacing w:after="120" w:line="276"/>
        <w:jc w:val="both"/>
      </w:pPr>
      <w:r>
        <w:rPr>
          <w:rFonts w:ascii="Barlow Semi Condensed" w:cs="Barlow Semi Condensed" w:eastAsia="Barlow Semi Condensed" w:hAnsi="Barlow Semi Condensed"/>
          <w:sz w:val="24"/>
          <w:szCs w:val="24"/>
        </w:rPr>
        <w:t xml:space="preserve">Blocco duecentosettantaquattro. Il Libro settimo, Medio Oriente e Nordafrica: quadro a Livello B.</w:t>
      </w:r>
    </w:p>
    <w:p>
      <w:pPr>
        <w:spacing w:after="120" w:line="276"/>
        <w:jc w:val="both"/>
      </w:pPr>
      <w:r>
        <w:rPr>
          <w:rFonts w:ascii="Barlow Semi Condensed" w:cs="Barlow Semi Condensed" w:eastAsia="Barlow Semi Condensed" w:hAnsi="Barlow Semi Condensed"/>
          <w:sz w:val="24"/>
          <w:szCs w:val="24"/>
        </w:rPr>
        <w:t xml:space="preserve">Blocco duecentosettantacinque. Il versante finanziario delle organizzazioni politico-militari libanesi, triangolato con la monografia di corpus sull'impronta globale: Livello B.</w:t>
      </w:r>
    </w:p>
    <w:p>
      <w:pPr>
        <w:spacing w:after="120" w:line="276"/>
        <w:jc w:val="both"/>
      </w:pPr>
      <w:r>
        <w:rPr>
          <w:rFonts w:ascii="Barlow Semi Condensed" w:cs="Barlow Semi Condensed" w:eastAsia="Barlow Semi Condensed" w:hAnsi="Barlow Semi Condensed"/>
          <w:sz w:val="24"/>
          <w:szCs w:val="24"/>
        </w:rPr>
        <w:t xml:space="preserve">Blocco duecentosettantasei. Il Libro ottavo, Africa subsahariana: quadro a Livello B.</w:t>
      </w:r>
    </w:p>
    <w:p>
      <w:pPr>
        <w:spacing w:after="120" w:line="276"/>
        <w:jc w:val="both"/>
      </w:pPr>
      <w:r>
        <w:rPr>
          <w:rFonts w:ascii="Barlow Semi Condensed" w:cs="Barlow Semi Condensed" w:eastAsia="Barlow Semi Condensed" w:hAnsi="Barlow Semi Condensed"/>
          <w:sz w:val="24"/>
          <w:szCs w:val="24"/>
        </w:rPr>
        <w:t xml:space="preserve">Blocco duecentosettantasette. Le confraternite nigeriane quale fenomeno dominante del Libro: Livello B sulla classe di fonti della Global Initiative.</w:t>
      </w:r>
    </w:p>
    <w:p>
      <w:pPr>
        <w:spacing w:after="120" w:line="276"/>
        <w:jc w:val="both"/>
      </w:pPr>
      <w:r>
        <w:rPr>
          <w:rFonts w:ascii="Barlow Semi Condensed" w:cs="Barlow Semi Condensed" w:eastAsia="Barlow Semi Condensed" w:hAnsi="Barlow Semi Condensed"/>
          <w:sz w:val="24"/>
          <w:szCs w:val="24"/>
        </w:rPr>
        <w:t xml:space="preserve">Blocco duecentosettantotto. Il Libro nono, Stati Uniti: quadro a Livello B.</w:t>
      </w:r>
    </w:p>
    <w:p>
      <w:pPr>
        <w:spacing w:after="120" w:line="276"/>
        <w:jc w:val="both"/>
      </w:pPr>
      <w:r>
        <w:rPr>
          <w:rFonts w:ascii="Barlow Semi Condensed" w:cs="Barlow Semi Condensed" w:eastAsia="Barlow Semi Condensed" w:hAnsi="Barlow Semi Condensed"/>
          <w:sz w:val="24"/>
          <w:szCs w:val="24"/>
        </w:rPr>
        <w:t xml:space="preserve">Blocco duecentosettantanove. Le Cinque Famiglie e la criminalità italoamericana, saldate ai corridoi transatlantici del Libro primo: Livello B, con la genealogia quale terreno dei pattern dinastici.</w:t>
      </w:r>
    </w:p>
    <w:p>
      <w:pPr>
        <w:spacing w:after="120" w:line="276"/>
        <w:jc w:val="both"/>
      </w:pPr>
      <w:r>
        <w:rPr>
          <w:rFonts w:ascii="Barlow Semi Condensed" w:cs="Barlow Semi Condensed" w:eastAsia="Barlow Semi Condensed" w:hAnsi="Barlow Semi Condensed"/>
          <w:sz w:val="24"/>
          <w:szCs w:val="24"/>
        </w:rPr>
        <w:t xml:space="preserve">Blocco duecentottanta. Il Libro decimo, Americhe: quadro a Livello B.</w:t>
      </w:r>
    </w:p>
    <w:p>
      <w:pPr>
        <w:spacing w:after="120" w:line="276"/>
        <w:jc w:val="both"/>
      </w:pPr>
      <w:r>
        <w:rPr>
          <w:rFonts w:ascii="Barlow Semi Condensed" w:cs="Barlow Semi Condensed" w:eastAsia="Barlow Semi Condensed" w:hAnsi="Barlow Semi Condensed"/>
          <w:sz w:val="24"/>
          <w:szCs w:val="24"/>
        </w:rPr>
        <w:t xml:space="preserve">Blocco duecentottantuno. I cartelli messicani, triangolati con le monografie accademiche del corpus sulle organizzazioni del narcotraffico: Livello B.</w:t>
      </w:r>
    </w:p>
    <w:p>
      <w:pPr>
        <w:spacing w:after="120" w:line="276"/>
        <w:jc w:val="both"/>
      </w:pPr>
      <w:r>
        <w:rPr>
          <w:rFonts w:ascii="Barlow Semi Condensed" w:cs="Barlow Semi Condensed" w:eastAsia="Barlow Semi Condensed" w:hAnsi="Barlow Semi Condensed"/>
          <w:sz w:val="24"/>
          <w:szCs w:val="24"/>
        </w:rPr>
        <w:t xml:space="preserve">Blocco duecentottantadue. Le organizzazioni brasiliane: il Primeiro Comando da Capital con la scheda del capo detenuto che ne mantiene il comando, e il Comando Vermelho: Livello B.</w:t>
      </w:r>
    </w:p>
    <w:p>
      <w:pPr>
        <w:spacing w:after="120" w:line="276"/>
        <w:jc w:val="both"/>
      </w:pPr>
      <w:r>
        <w:rPr>
          <w:rFonts w:ascii="Barlow Semi Condensed" w:cs="Barlow Semi Condensed" w:eastAsia="Barlow Semi Condensed" w:hAnsi="Barlow Semi Condensed"/>
          <w:sz w:val="24"/>
          <w:szCs w:val="24"/>
        </w:rPr>
        <w:t xml:space="preserve">Blocco duecentottantatré. La voce settecentosettantanove sulle gang haitiane e il controllo territoriale di Croix-des-Bouquets: Livello B.</w:t>
      </w:r>
    </w:p>
    <w:p>
      <w:pPr>
        <w:spacing w:after="120" w:line="276"/>
        <w:jc w:val="both"/>
      </w:pPr>
      <w:r>
        <w:rPr>
          <w:rFonts w:ascii="Barlow Semi Condensed" w:cs="Barlow Semi Condensed" w:eastAsia="Barlow Semi Condensed" w:hAnsi="Barlow Semi Condensed"/>
          <w:sz w:val="24"/>
          <w:szCs w:val="24"/>
        </w:rPr>
        <w:t xml:space="preserve">I Libri undicesimo e dodicesimo (blocchi duecentottantaquattro–duecentonovantuno)</w:t>
      </w:r>
    </w:p>
    <w:p>
      <w:pPr>
        <w:spacing w:after="120" w:line="276"/>
        <w:jc w:val="both"/>
      </w:pPr>
      <w:r>
        <w:rPr>
          <w:rFonts w:ascii="Barlow Semi Condensed" w:cs="Barlow Semi Condensed" w:eastAsia="Barlow Semi Condensed" w:hAnsi="Barlow Semi Condensed"/>
          <w:sz w:val="24"/>
          <w:szCs w:val="24"/>
        </w:rPr>
        <w:t xml:space="preserve">Blocco duecentottantaquattro. Il Libro undicesimo, Asia-Pacifico: quadro a Livello B.</w:t>
      </w:r>
    </w:p>
    <w:p>
      <w:pPr>
        <w:spacing w:after="120" w:line="276"/>
        <w:jc w:val="both"/>
      </w:pPr>
      <w:r>
        <w:rPr>
          <w:rFonts w:ascii="Barlow Semi Condensed" w:cs="Barlow Semi Condensed" w:eastAsia="Barlow Semi Condensed" w:hAnsi="Barlow Semi Condensed"/>
          <w:sz w:val="24"/>
          <w:szCs w:val="24"/>
        </w:rPr>
        <w:t xml:space="preserve">Blocco duecentottantacinque. Le Triadi nel censimento: Livello B di lista qualificata.</w:t>
      </w:r>
    </w:p>
    <w:p>
      <w:pPr>
        <w:spacing w:after="120" w:line="276"/>
        <w:jc w:val="both"/>
      </w:pPr>
      <w:r>
        <w:rPr>
          <w:rFonts w:ascii="Barlow Semi Condensed" w:cs="Barlow Semi Condensed" w:eastAsia="Barlow Semi Condensed" w:hAnsi="Barlow Semi Condensed"/>
          <w:sz w:val="24"/>
          <w:szCs w:val="24"/>
        </w:rPr>
        <w:t xml:space="preserve">Blocco duecentottantasei. La voce trentasette sulla maggiore organizzazione giapponese e le sue consorelle: Livello B.</w:t>
      </w:r>
    </w:p>
    <w:p>
      <w:pPr>
        <w:spacing w:after="120" w:line="276"/>
        <w:jc w:val="both"/>
      </w:pPr>
      <w:r>
        <w:rPr>
          <w:rFonts w:ascii="Barlow Semi Condensed" w:cs="Barlow Semi Condensed" w:eastAsia="Barlow Semi Condensed" w:hAnsi="Barlow Semi Condensed"/>
          <w:sz w:val="24"/>
          <w:szCs w:val="24"/>
        </w:rPr>
        <w:t xml:space="preserve">Blocco duecentottantasette. Il Libro dodicesimo, fenomeni trasversali: quadro adottato quale grammatica comune.</w:t>
      </w:r>
    </w:p>
    <w:p>
      <w:pPr>
        <w:spacing w:after="120" w:line="276"/>
        <w:jc w:val="both"/>
      </w:pPr>
      <w:r>
        <w:rPr>
          <w:rFonts w:ascii="Barlow Semi Condensed" w:cs="Barlow Semi Condensed" w:eastAsia="Barlow Semi Condensed" w:hAnsi="Barlow Semi Condensed"/>
          <w:sz w:val="24"/>
          <w:szCs w:val="24"/>
        </w:rPr>
        <w:t xml:space="preserve">Blocco duecentottantotto. Le rotte del narcotraffico mondiale: Livello B.</w:t>
      </w:r>
    </w:p>
    <w:p>
      <w:pPr>
        <w:spacing w:after="120" w:line="276"/>
        <w:jc w:val="both"/>
      </w:pPr>
      <w:r>
        <w:rPr>
          <w:rFonts w:ascii="Barlow Semi Condensed" w:cs="Barlow Semi Condensed" w:eastAsia="Barlow Semi Condensed" w:hAnsi="Barlow Semi Condensed"/>
          <w:sz w:val="24"/>
          <w:szCs w:val="24"/>
        </w:rPr>
        <w:t xml:space="preserve">Blocco duecentottantanove. Il riciclaggio e la finanza criminale: Livello B.</w:t>
      </w:r>
    </w:p>
    <w:p>
      <w:pPr>
        <w:spacing w:after="120" w:line="276"/>
        <w:jc w:val="both"/>
      </w:pPr>
      <w:r>
        <w:rPr>
          <w:rFonts w:ascii="Barlow Semi Condensed" w:cs="Barlow Semi Condensed" w:eastAsia="Barlow Semi Condensed" w:hAnsi="Barlow Semi Condensed"/>
          <w:sz w:val="24"/>
          <w:szCs w:val="24"/>
        </w:rPr>
        <w:t xml:space="preserve">Blocco duecentonovanta. La criminalità informatica e le frodi industrializzate, in saldatura con la rete dei call center del Libro quarto: Livello B.</w:t>
      </w:r>
    </w:p>
    <w:p>
      <w:pPr>
        <w:spacing w:after="120" w:line="276"/>
        <w:jc w:val="both"/>
      </w:pPr>
      <w:r>
        <w:rPr>
          <w:rFonts w:ascii="Barlow Semi Condensed" w:cs="Barlow Semi Condensed" w:eastAsia="Barlow Semi Condensed" w:hAnsi="Barlow Semi Condensed"/>
          <w:sz w:val="24"/>
          <w:szCs w:val="24"/>
        </w:rPr>
        <w:t xml:space="preserve">Blocco duecentonovantuno. La tratta di esseri umani e la convergenza fra crimine e terrorismo: Livello B, con le singole saldature nei gradi propri.</w:t>
      </w:r>
    </w:p>
    <w:p>
      <w:pPr>
        <w:spacing w:after="120" w:line="276"/>
        <w:jc w:val="both"/>
      </w:pPr>
      <w:r>
        <w:rPr>
          <w:rFonts w:ascii="Barlow Semi Condensed" w:cs="Barlow Semi Condensed" w:eastAsia="Barlow Semi Condensed" w:hAnsi="Barlow Semi Condensed"/>
          <w:sz w:val="24"/>
          <w:szCs w:val="24"/>
        </w:rPr>
        <w:t xml:space="preserve">Triangolazione di corpus e contaminazione (blocchi duecentonovantadue–trecentouno)</w:t>
      </w:r>
    </w:p>
    <w:p>
      <w:pPr>
        <w:spacing w:after="120" w:line="276"/>
        <w:jc w:val="both"/>
      </w:pPr>
      <w:r>
        <w:rPr>
          <w:rFonts w:ascii="Barlow Semi Condensed" w:cs="Barlow Semi Condensed" w:eastAsia="Barlow Semi Condensed" w:hAnsi="Barlow Semi Condensed"/>
          <w:sz w:val="24"/>
          <w:szCs w:val="24"/>
        </w:rPr>
        <w:t xml:space="preserve">Blocco duecentonovantadue. Il metodo della triangolazione a doppio senso fra censimento e registri tematici del progetto: dichiarato e applicato.</w:t>
      </w:r>
    </w:p>
    <w:p>
      <w:pPr>
        <w:spacing w:after="120" w:line="276"/>
        <w:jc w:val="both"/>
      </w:pPr>
      <w:r>
        <w:rPr>
          <w:rFonts w:ascii="Barlow Semi Condensed" w:cs="Barlow Semi Condensed" w:eastAsia="Barlow Semi Condensed" w:hAnsi="Barlow Semi Condensed"/>
          <w:sz w:val="24"/>
          <w:szCs w:val="24"/>
        </w:rPr>
        <w:t xml:space="preserve">Blocco duecentonovantatré. Il registro eurasiatico-balcanico del corpus: recepito con i suoi gradi, ivi compresi i gruppi ultras indicizzati e le stime sui foreign fighters.</w:t>
      </w:r>
    </w:p>
    <w:p>
      <w:pPr>
        <w:spacing w:after="120" w:line="276"/>
        <w:jc w:val="both"/>
      </w:pPr>
      <w:r>
        <w:rPr>
          <w:rFonts w:ascii="Barlow Semi Condensed" w:cs="Barlow Semi Condensed" w:eastAsia="Barlow Semi Condensed" w:hAnsi="Barlow Semi Condensed"/>
          <w:sz w:val="24"/>
          <w:szCs w:val="24"/>
        </w:rPr>
        <w:t xml:space="preserve">Blocco duecentonovantaquattro. La sorgente integrale presente nel corpus quale base dichiarata della composizione: genealogia a Livello A.</w:t>
      </w:r>
    </w:p>
    <w:p>
      <w:pPr>
        <w:spacing w:after="120" w:line="276"/>
        <w:jc w:val="both"/>
      </w:pPr>
      <w:r>
        <w:rPr>
          <w:rFonts w:ascii="Barlow Semi Condensed" w:cs="Barlow Semi Condensed" w:eastAsia="Barlow Semi Condensed" w:hAnsi="Barlow Semi Condensed"/>
          <w:sz w:val="24"/>
          <w:szCs w:val="24"/>
        </w:rPr>
        <w:t xml:space="preserve">Blocco duecentonovantacinque. Il terzo rapporto dell'Osservatorio sulle mafie nel Lazio quale ancoraggio regionale del Dominio primo: Livello A istituzionale sulle proprie risultanze.</w:t>
      </w:r>
    </w:p>
    <w:p>
      <w:pPr>
        <w:spacing w:after="120" w:line="276"/>
        <w:jc w:val="both"/>
      </w:pPr>
      <w:r>
        <w:rPr>
          <w:rFonts w:ascii="Barlow Semi Condensed" w:cs="Barlow Semi Condensed" w:eastAsia="Barlow Semi Condensed" w:hAnsi="Barlow Semi Condensed"/>
          <w:sz w:val="24"/>
          <w:szCs w:val="24"/>
        </w:rPr>
        <w:t xml:space="preserve">Blocco duecentonovantasei. La monografia di corpus sulla mafia in Italia quale contrappeso del Libro primo: recepita.</w:t>
      </w:r>
    </w:p>
    <w:p>
      <w:pPr>
        <w:spacing w:after="120" w:line="276"/>
        <w:jc w:val="both"/>
      </w:pPr>
      <w:r>
        <w:rPr>
          <w:rFonts w:ascii="Barlow Semi Condensed" w:cs="Barlow Semi Condensed" w:eastAsia="Barlow Semi Condensed" w:hAnsi="Barlow Semi Condensed"/>
          <w:sz w:val="24"/>
          <w:szCs w:val="24"/>
        </w:rPr>
        <w:t xml:space="preserve">Blocco duecentonovantasette. La lista delle duecentocinquantacinque operazioni contro la 'ndrangheta quale lista di controllo incrociata del Libro primo: funzione adottata.</w:t>
      </w:r>
    </w:p>
    <w:p>
      <w:pPr>
        <w:spacing w:after="120" w:line="276"/>
        <w:jc w:val="both"/>
      </w:pPr>
      <w:r>
        <w:rPr>
          <w:rFonts w:ascii="Barlow Semi Condensed" w:cs="Barlow Semi Condensed" w:eastAsia="Barlow Semi Condensed" w:hAnsi="Barlow Semi Condensed"/>
          <w:sz w:val="24"/>
          <w:szCs w:val="24"/>
        </w:rPr>
        <w:t xml:space="preserve">Blocco duecentonovantotto. Il censimento parallelo dei politici italiani nei procedimenti penali: progetto distinto, perimetri propri, nessuna comunicazione di voci: vincolo iscritto.</w:t>
      </w:r>
    </w:p>
    <w:p>
      <w:pPr>
        <w:spacing w:after="120" w:line="276"/>
        <w:jc w:val="both"/>
      </w:pPr>
      <w:r>
        <w:rPr>
          <w:rFonts w:ascii="Barlow Semi Condensed" w:cs="Barlow Semi Condensed" w:eastAsia="Barlow Semi Condensed" w:hAnsi="Barlow Semi Condensed"/>
          <w:sz w:val="24"/>
          <w:szCs w:val="24"/>
        </w:rPr>
        <w:t xml:space="preserve">Blocco duecentonovantanove. L'ancoraggio istituzionale — relazioni della Direzione Investigativa Antimafia e della Direzione Nazionale, rapporti della Global Initiative — quale classe di fonti del Livello B di sintesi: dichiarato.</w:t>
      </w:r>
    </w:p>
    <w:p>
      <w:pPr>
        <w:spacing w:after="120" w:line="276"/>
        <w:jc w:val="both"/>
      </w:pPr>
      <w:r>
        <w:rPr>
          <w:rFonts w:ascii="Barlow Semi Condensed" w:cs="Barlow Semi Condensed" w:eastAsia="Barlow Semi Condensed" w:hAnsi="Barlow Semi Condensed"/>
          <w:sz w:val="24"/>
          <w:szCs w:val="24"/>
        </w:rPr>
        <w:t xml:space="preserve">Blocco trecento. L'Indice di Contaminazione delle Fonti sul genere-censimento: molte voci discendono da un perimetro finito di rapporti; la molteplicità delle voci non aumenta il grado se la sorgente è una: regola applicata all'intero vaglio.</w:t>
      </w:r>
    </w:p>
    <w:p>
      <w:pPr>
        <w:spacing w:after="120" w:line="276"/>
        <w:jc w:val="both"/>
      </w:pPr>
      <w:r>
        <w:rPr>
          <w:rFonts w:ascii="Barlow Semi Condensed" w:cs="Barlow Semi Condensed" w:eastAsia="Barlow Semi Condensed" w:hAnsi="Barlow Semi Condensed"/>
          <w:sz w:val="24"/>
          <w:szCs w:val="24"/>
        </w:rPr>
        <w:t xml:space="preserve">Blocco trecentouno. Lo statuto delle voci numerate: censimento non è accertamento; nessuna voce nominativa fonda, da sola, responsabilità o appartenenze: clausola generale.</w:t>
      </w:r>
    </w:p>
    <w:p>
      <w:pPr>
        <w:spacing w:after="120" w:line="276"/>
        <w:jc w:val="both"/>
      </w:pPr>
      <w:r>
        <w:rPr>
          <w:rFonts w:ascii="Barlow Semi Condensed" w:cs="Barlow Semi Condensed" w:eastAsia="Barlow Semi Condensed" w:hAnsi="Barlow Semi Condensed"/>
          <w:sz w:val="24"/>
          <w:szCs w:val="24"/>
        </w:rPr>
        <w:t xml:space="preserve">Il campionamento esterno (blocchi trecentodue–trecentoventuno)</w:t>
      </w:r>
    </w:p>
    <w:p>
      <w:pPr>
        <w:spacing w:after="120" w:line="276"/>
        <w:jc w:val="both"/>
      </w:pPr>
      <w:r>
        <w:rPr>
          <w:rFonts w:ascii="Barlow Semi Condensed" w:cs="Barlow Semi Condensed" w:eastAsia="Barlow Semi Condensed" w:hAnsi="Barlow Semi Condensed"/>
          <w:sz w:val="24"/>
          <w:szCs w:val="24"/>
        </w:rPr>
        <w:t xml:space="preserve">Blocco trecentodue. Il metodo del campionamento: dieci nodi distribuiti sui dodici libri, controllati per conoscenza stabile certificabile o per verifica in rete condotta in questa sessione: dichiarato.</w:t>
      </w:r>
    </w:p>
    <w:p>
      <w:pPr>
        <w:spacing w:after="120" w:line="276"/>
        <w:jc w:val="both"/>
      </w:pPr>
      <w:r>
        <w:rPr>
          <w:rFonts w:ascii="Barlow Semi Condensed" w:cs="Barlow Semi Condensed" w:eastAsia="Barlow Semi Condensed" w:hAnsi="Barlow Semi Condensed"/>
          <w:sz w:val="24"/>
          <w:szCs w:val="24"/>
        </w:rPr>
        <w:t xml:space="preserve">Blocco trecentotré. L'Indice globale della criminalità organizzata citato dal censimento: edizioni duemilaventuno, duemilaventitré e duemilaventicinque su centonovantatré Stati, tre pilastri: verificato ora, concordanza piena; per l'Italia l'analisi della Global Initiative attribuisce ai gruppi di stampo mafioso il punteggio più alto dell'Unione: Livello A quale dato di fonte.</w:t>
      </w:r>
    </w:p>
    <w:p>
      <w:pPr>
        <w:spacing w:after="120" w:line="276"/>
        <w:jc w:val="both"/>
      </w:pPr>
      <w:r>
        <w:rPr>
          <w:rFonts w:ascii="Barlow Semi Condensed" w:cs="Barlow Semi Condensed" w:eastAsia="Barlow Semi Condensed" w:hAnsi="Barlow Semi Condensed"/>
          <w:sz w:val="24"/>
          <w:szCs w:val="24"/>
        </w:rPr>
        <w:t xml:space="preserve">Blocco trecentoquattro. La voce duecentotrentatré sul mandamento di Trapani: la cattura di Messina Denaro nel gennaio duemilaventitré dopo trenta anni di latitanza e la morte nel settembre successivo: concordante: Livello A.</w:t>
      </w:r>
    </w:p>
    <w:p>
      <w:pPr>
        <w:spacing w:after="120" w:line="276"/>
        <w:jc w:val="both"/>
      </w:pPr>
      <w:r>
        <w:rPr>
          <w:rFonts w:ascii="Barlow Semi Condensed" w:cs="Barlow Semi Condensed" w:eastAsia="Barlow Semi Condensed" w:hAnsi="Barlow Semi Condensed"/>
          <w:sz w:val="24"/>
          <w:szCs w:val="24"/>
        </w:rPr>
        <w:t xml:space="preserve">Blocco trecentocinque. La voce settecentoquarantasei sulla rete di Taghi: l'ergastolo del duemilaventiquattro nel processo Marengo: concordante: Livello A.</w:t>
      </w:r>
    </w:p>
    <w:p>
      <w:pPr>
        <w:spacing w:after="120" w:line="276"/>
        <w:jc w:val="both"/>
      </w:pPr>
      <w:r>
        <w:rPr>
          <w:rFonts w:ascii="Barlow Semi Condensed" w:cs="Barlow Semi Condensed" w:eastAsia="Barlow Semi Condensed" w:hAnsi="Barlow Semi Condensed"/>
          <w:sz w:val="24"/>
          <w:szCs w:val="24"/>
        </w:rPr>
        <w:t xml:space="preserve">Blocco trecentosei. La voce undici sul cartello irlandese: le sanzioni statunitensi dell'aprile duemilaventidue con le taglie sui vertici: concordante: Livello A.</w:t>
      </w:r>
    </w:p>
    <w:p>
      <w:pPr>
        <w:spacing w:after="120" w:line="276"/>
        <w:jc w:val="both"/>
      </w:pPr>
      <w:r>
        <w:rPr>
          <w:rFonts w:ascii="Barlow Semi Condensed" w:cs="Barlow Semi Condensed" w:eastAsia="Barlow Semi Condensed" w:hAnsi="Barlow Semi Condensed"/>
          <w:sz w:val="24"/>
          <w:szCs w:val="24"/>
        </w:rPr>
        <w:t xml:space="preserve">Blocco trecentosette. La scheda sul capo del Primeiro Comando da Capital, detenuto e al comando: concordante col quadro consolidato: Livello A di quadro.</w:t>
      </w:r>
    </w:p>
    <w:p>
      <w:pPr>
        <w:spacing w:after="120" w:line="276"/>
        <w:jc w:val="both"/>
      </w:pPr>
      <w:r>
        <w:rPr>
          <w:rFonts w:ascii="Barlow Semi Condensed" w:cs="Barlow Semi Condensed" w:eastAsia="Barlow Semi Condensed" w:hAnsi="Barlow Semi Condensed"/>
          <w:sz w:val="24"/>
          <w:szCs w:val="24"/>
        </w:rPr>
        <w:t xml:space="preserve">Blocco trecentootto. La voce settecentosettantanove sulle gang haitiane: i sequestri di massa — compreso quello dei missionari del duemilaventuno — e le sanzioni internazionali: concordante: Livello A.</w:t>
      </w:r>
    </w:p>
    <w:p>
      <w:pPr>
        <w:spacing w:after="120" w:line="276"/>
        <w:jc w:val="both"/>
      </w:pPr>
      <w:r>
        <w:rPr>
          <w:rFonts w:ascii="Barlow Semi Condensed" w:cs="Barlow Semi Condensed" w:eastAsia="Barlow Semi Condensed" w:hAnsi="Barlow Semi Condensed"/>
          <w:sz w:val="24"/>
          <w:szCs w:val="24"/>
        </w:rPr>
        <w:t xml:space="preserve">Blocco trecentonove. La voce trentasette sulla maggiore organizzazione giapponese: la scissione del duemilaquindici quale spartiacque recente: concordante: Livello A.</w:t>
      </w:r>
    </w:p>
    <w:p>
      <w:pPr>
        <w:spacing w:after="120" w:line="276"/>
        <w:jc w:val="both"/>
      </w:pPr>
      <w:r>
        <w:rPr>
          <w:rFonts w:ascii="Barlow Semi Condensed" w:cs="Barlow Semi Condensed" w:eastAsia="Barlow Semi Condensed" w:hAnsi="Barlow Semi Condensed"/>
          <w:sz w:val="24"/>
          <w:szCs w:val="24"/>
        </w:rPr>
        <w:t xml:space="preserve">Blocco trecentodieci. Le voci ventisei e ventisette sull'élite criminale post-sovietica: quadro concordante con la monografia di corpus: Livello B.</w:t>
      </w:r>
    </w:p>
    <w:p>
      <w:pPr>
        <w:spacing w:after="120" w:line="276"/>
        <w:jc w:val="both"/>
      </w:pPr>
      <w:r>
        <w:rPr>
          <w:rFonts w:ascii="Barlow Semi Condensed" w:cs="Barlow Semi Condensed" w:eastAsia="Barlow Semi Condensed" w:hAnsi="Barlow Semi Condensed"/>
          <w:sz w:val="24"/>
          <w:szCs w:val="24"/>
        </w:rPr>
        <w:t xml:space="preserve">Blocco trecentoundici. Il quadro del cartello di Sinaloa dopo il duemilaventitré, fra arresti apicali e faida interna: concordante nelle linee, con cautela di recentismo: Livello B.</w:t>
      </w:r>
    </w:p>
    <w:p>
      <w:pPr>
        <w:spacing w:after="120" w:line="276"/>
        <w:jc w:val="both"/>
      </w:pPr>
      <w:r>
        <w:rPr>
          <w:rFonts w:ascii="Barlow Semi Condensed" w:cs="Barlow Semi Condensed" w:eastAsia="Barlow Semi Condensed" w:hAnsi="Barlow Semi Condensed"/>
          <w:sz w:val="24"/>
          <w:szCs w:val="24"/>
        </w:rPr>
        <w:t xml:space="preserve">Blocco trecentododici. Rilievo di copertura, verificato ora sul testo: il nome in codice della vasta operazione europea del tre maggio duemilaventitré contro la 'ndrangheta non compare nel censimento: lacuna campionaria iscritta a carico della copertura, non del mondo.</w:t>
      </w:r>
    </w:p>
    <w:p>
      <w:pPr>
        <w:spacing w:after="120" w:line="276"/>
        <w:jc w:val="both"/>
      </w:pPr>
      <w:r>
        <w:rPr>
          <w:rFonts w:ascii="Barlow Semi Condensed" w:cs="Barlow Semi Condensed" w:eastAsia="Barlow Semi Condensed" w:hAnsi="Barlow Semi Condensed"/>
          <w:sz w:val="24"/>
          <w:szCs w:val="24"/>
        </w:rPr>
        <w:t xml:space="preserve">Blocco trecentotredici. Rilievo di aggiornamento: orizzonti temporali eterogenei fra le voci, talune ferme ad anni diversi: dichiarato.</w:t>
      </w:r>
    </w:p>
    <w:p>
      <w:pPr>
        <w:spacing w:after="120" w:line="276"/>
        <w:jc w:val="both"/>
      </w:pPr>
      <w:r>
        <w:rPr>
          <w:rFonts w:ascii="Barlow Semi Condensed" w:cs="Barlow Semi Condensed" w:eastAsia="Barlow Semi Condensed" w:hAnsi="Barlow Semi Condensed"/>
          <w:sz w:val="24"/>
          <w:szCs w:val="24"/>
        </w:rPr>
        <w:t xml:space="preserve">Blocco trecentoquattordici. La concordanza interna fra l'edizione-innesco e la sorgente di corpus sui capitoli ucraini: verificata sulle reti e sulle cifre: Livello B.</w:t>
      </w:r>
    </w:p>
    <w:p>
      <w:pPr>
        <w:spacing w:after="120" w:line="276"/>
        <w:jc w:val="both"/>
      </w:pPr>
      <w:r>
        <w:rPr>
          <w:rFonts w:ascii="Barlow Semi Condensed" w:cs="Barlow Semi Condensed" w:eastAsia="Barlow Semi Condensed" w:hAnsi="Barlow Semi Condensed"/>
          <w:sz w:val="24"/>
          <w:szCs w:val="24"/>
        </w:rPr>
        <w:t xml:space="preserve">Blocco trecentoquindici. La numerazione delle voci sino a duemilaventitré: continuità delle serie non verificata voce per voce: pendenza dichiarata.</w:t>
      </w:r>
    </w:p>
    <w:p>
      <w:pPr>
        <w:spacing w:after="120" w:line="276"/>
        <w:jc w:val="both"/>
      </w:pPr>
      <w:r>
        <w:rPr>
          <w:rFonts w:ascii="Barlow Semi Condensed" w:cs="Barlow Semi Condensed" w:eastAsia="Barlow Semi Condensed" w:hAnsi="Barlow Semi Condensed"/>
          <w:sz w:val="24"/>
          <w:szCs w:val="24"/>
        </w:rPr>
        <w:t xml:space="preserve">Blocco trecentosedici. Le compagnie militari private russe nel censimento: la saldatura fra crimine e strumento paramilitare, già certificata a Livello A sul flusso balcanico di reclutamento: rinvio incrociato.</w:t>
      </w:r>
    </w:p>
    <w:p>
      <w:pPr>
        <w:spacing w:after="120" w:line="276"/>
        <w:jc w:val="both"/>
      </w:pPr>
      <w:r>
        <w:rPr>
          <w:rFonts w:ascii="Barlow Semi Condensed" w:cs="Barlow Semi Condensed" w:eastAsia="Barlow Semi Condensed" w:hAnsi="Barlow Semi Condensed"/>
          <w:sz w:val="24"/>
          <w:szCs w:val="24"/>
        </w:rPr>
        <w:t xml:space="preserve">Blocco trecentodiciassette. Il Comando Vermelho quale seconda organizzazione brasiliana: quadro concordante: Livello B.</w:t>
      </w:r>
    </w:p>
    <w:p>
      <w:pPr>
        <w:spacing w:after="120" w:line="276"/>
        <w:jc w:val="both"/>
      </w:pPr>
      <w:r>
        <w:rPr>
          <w:rFonts w:ascii="Barlow Semi Condensed" w:cs="Barlow Semi Condensed" w:eastAsia="Barlow Semi Condensed" w:hAnsi="Barlow Semi Condensed"/>
          <w:sz w:val="24"/>
          <w:szCs w:val="24"/>
        </w:rPr>
        <w:t xml:space="preserve">Blocco trecentodiciotto. Le Triadi quali voci di lista del Libro undicesimo: Livello B, senza campione esterno in questa sessione.</w:t>
      </w:r>
    </w:p>
    <w:p>
      <w:pPr>
        <w:spacing w:after="120" w:line="276"/>
        <w:jc w:val="both"/>
      </w:pPr>
      <w:r>
        <w:rPr>
          <w:rFonts w:ascii="Barlow Semi Condensed" w:cs="Barlow Semi Condensed" w:eastAsia="Barlow Semi Condensed" w:hAnsi="Barlow Semi Condensed"/>
          <w:sz w:val="24"/>
          <w:szCs w:val="24"/>
        </w:rPr>
        <w:t xml:space="preserve">Blocco trecentodiciannove. I gruppi ultras balcanici indicizzati — con le fazioni rivali della curva del Partizan — quale dispositivo di reclutamento: già certificato a Livello A/B dal registro di corpus: recepito.</w:t>
      </w:r>
    </w:p>
    <w:p>
      <w:pPr>
        <w:spacing w:after="120" w:line="276"/>
        <w:jc w:val="both"/>
      </w:pPr>
      <w:r>
        <w:rPr>
          <w:rFonts w:ascii="Barlow Semi Condensed" w:cs="Barlow Semi Condensed" w:eastAsia="Barlow Semi Condensed" w:hAnsi="Barlow Semi Condensed"/>
          <w:sz w:val="24"/>
          <w:szCs w:val="24"/>
        </w:rPr>
        <w:t xml:space="preserve">Blocco trecentoventi. Le stime convergenti sulle partenze di foreign fighters balcanici: fra le mille e le millecinquecento: già certificato: recepito.</w:t>
      </w:r>
    </w:p>
    <w:p>
      <w:pPr>
        <w:spacing w:after="120" w:line="276"/>
        <w:jc w:val="both"/>
      </w:pPr>
      <w:r>
        <w:rPr>
          <w:rFonts w:ascii="Barlow Semi Condensed" w:cs="Barlow Semi Condensed" w:eastAsia="Barlow Semi Condensed" w:hAnsi="Barlow Semi Condensed"/>
          <w:sz w:val="24"/>
          <w:szCs w:val="24"/>
        </w:rPr>
        <w:t xml:space="preserve">Blocco trecentoventuno. Sintesi del campionamento: concordanza piena sui dieci nodi verificati, due rilievi di copertura e aggiornamento: il censimento regge il campione nella misura del suo statuto.</w:t>
      </w:r>
    </w:p>
    <w:p>
      <w:pPr>
        <w:spacing w:after="120" w:line="276"/>
        <w:jc w:val="both"/>
      </w:pPr>
      <w:r>
        <w:rPr>
          <w:rFonts w:ascii="Barlow Semi Condensed" w:cs="Barlow Semi Condensed" w:eastAsia="Barlow Semi Condensed" w:hAnsi="Barlow Semi Condensed"/>
          <w:sz w:val="24"/>
          <w:szCs w:val="24"/>
        </w:rPr>
        <w:t xml:space="preserve">Le voci residue e le risoluzioni (blocchi trecentoventidue–trecentotrentuno)</w:t>
      </w:r>
    </w:p>
    <w:p>
      <w:pPr>
        <w:spacing w:after="120" w:line="276"/>
        <w:jc w:val="both"/>
      </w:pPr>
      <w:r>
        <w:rPr>
          <w:rFonts w:ascii="Barlow Semi Condensed" w:cs="Barlow Semi Condensed" w:eastAsia="Barlow Semi Condensed" w:hAnsi="Barlow Semi Condensed"/>
          <w:sz w:val="24"/>
          <w:szCs w:val="24"/>
        </w:rPr>
        <w:t xml:space="preserve">Blocco trecentoventidue. La voce sul fucile Beretta BM cinquantanove: fucile da battaglia adottato dall'Esercito nel millenovecentocinquantanove, primo calibro d'origine americana e successiva produzione su licenza: Livello A tecnico; il vaglio d'impiego resta consegnato ai registri d'armamento del corpus.</w:t>
      </w:r>
    </w:p>
    <w:p>
      <w:pPr>
        <w:spacing w:after="120" w:line="276"/>
        <w:jc w:val="both"/>
      </w:pPr>
      <w:r>
        <w:rPr>
          <w:rFonts w:ascii="Barlow Semi Condensed" w:cs="Barlow Semi Condensed" w:eastAsia="Barlow Semi Condensed" w:hAnsi="Barlow Semi Condensed"/>
          <w:sz w:val="24"/>
          <w:szCs w:val="24"/>
        </w:rPr>
        <w:t xml:space="preserve">Blocco trecentoventitré. La voce sulla pistola Beretta millenovecentocinquantuno: nove Parabellum, variante a raffica, produzione cessata nel duemilatré e ripresa nel duemilanove; la voce presenta sezioni in lingua inglese: rilievo di composizione iscritto: Livello A tecnico.</w:t>
      </w:r>
    </w:p>
    <w:p>
      <w:pPr>
        <w:spacing w:after="120" w:line="276"/>
        <w:jc w:val="both"/>
      </w:pPr>
      <w:r>
        <w:rPr>
          <w:rFonts w:ascii="Barlow Semi Condensed" w:cs="Barlow Semi Condensed" w:eastAsia="Barlow Semi Condensed" w:hAnsi="Barlow Semi Condensed"/>
          <w:sz w:val="24"/>
          <w:szCs w:val="24"/>
        </w:rPr>
        <w:t xml:space="preserve">Blocco trecentoventiquattro. La voce sulla Serie settanta: calibro sette e sessantacinque, caricatore da otto colpi, produzione negli anni sessanta e settanta: Livello A tecnico; nessuna inferenza d'impiego fuori dai registri.</w:t>
      </w:r>
    </w:p>
    <w:p>
      <w:pPr>
        <w:spacing w:after="120" w:line="276"/>
        <w:jc w:val="both"/>
      </w:pPr>
      <w:r>
        <w:rPr>
          <w:rFonts w:ascii="Barlow Semi Condensed" w:cs="Barlow Semi Condensed" w:eastAsia="Barlow Semi Condensed" w:hAnsi="Barlow Semi Condensed"/>
          <w:sz w:val="24"/>
          <w:szCs w:val="24"/>
        </w:rPr>
        <w:t xml:space="preserve">Blocco trecentoventicinque. La voce sul giovedì nero di Milano: dodici aprile millenovecentosettantatré, l'omicidio dell'agente ventiduenne Antonio Marino colpito da una bomba lanciata da Vittorio Loi durante una manifestazione vietata: concordante con i blocchi undici e dodici; le formulazioni vincolanti della seconda tranche restano integrali.</w:t>
      </w:r>
    </w:p>
    <w:p>
      <w:pPr>
        <w:spacing w:after="120" w:line="276"/>
        <w:jc w:val="both"/>
      </w:pPr>
      <w:r>
        <w:rPr>
          <w:rFonts w:ascii="Barlow Semi Condensed" w:cs="Barlow Semi Condensed" w:eastAsia="Barlow Semi Condensed" w:hAnsi="Barlow Semi Condensed"/>
          <w:sz w:val="24"/>
          <w:szCs w:val="24"/>
        </w:rPr>
        <w:t xml:space="preserve">Blocco trecentoventisei. Montalto, risolto ora: la sentenza del Tribunale di Locri del due ottobre millenovecentosettanta, citata testualmente con numero di pagina dalla fonte specialistica, fissa la data del primo grado a Livello A; l'indicazione enciclopedica del ventiquattro marzo millenovecentosettantuno resta discordanza annotata, verosimilmente riferita ad altro segmento; l'appello del due dicembre millenovecentosettantanove con le assoluzioni dei tre capi storici resta come già certificato.</w:t>
      </w:r>
    </w:p>
    <w:p>
      <w:pPr>
        <w:spacing w:after="120" w:line="276"/>
        <w:jc w:val="both"/>
      </w:pPr>
      <w:r>
        <w:rPr>
          <w:rFonts w:ascii="Barlow Semi Condensed" w:cs="Barlow Semi Condensed" w:eastAsia="Barlow Semi Condensed" w:hAnsi="Barlow Semi Condensed"/>
          <w:sz w:val="24"/>
          <w:szCs w:val="24"/>
        </w:rPr>
        <w:t xml:space="preserve">Blocco trecentoventisette. Montalto e la sentenza Gotha: la rilettura del summit con le dichiarazioni del collaboratore Serpa sui nomi dell'eversione nera, e le cautele del collegio medesimo — la presenza di Concutelli contraddetta dalla detenzione accertata all'epoca: materiale processuale a Livello B; la Regola Ferrea presidia ogni inferenza storica sulla presenza dei singoli.</w:t>
      </w:r>
    </w:p>
    <w:p>
      <w:pPr>
        <w:spacing w:after="120" w:line="276"/>
        <w:jc w:val="both"/>
      </w:pPr>
      <w:r>
        <w:rPr>
          <w:rFonts w:ascii="Barlow Semi Condensed" w:cs="Barlow Semi Condensed" w:eastAsia="Barlow Semi Condensed" w:hAnsi="Barlow Semi Condensed"/>
          <w:sz w:val="24"/>
          <w:szCs w:val="24"/>
        </w:rPr>
        <w:t xml:space="preserve">Blocco trecentoventotto. La voce integrale sulla Banda della Magliana e il suo duplicato di corpus: censimento con duecentosettanta indirizzi; le condanne-chiave restano come ai blocchi trenta e trentuno: recepita quale voce-quadro a Livello B.</w:t>
      </w:r>
    </w:p>
    <w:p>
      <w:pPr>
        <w:spacing w:after="120" w:line="276"/>
        <w:jc w:val="both"/>
      </w:pPr>
      <w:r>
        <w:rPr>
          <w:rFonts w:ascii="Barlow Semi Condensed" w:cs="Barlow Semi Condensed" w:eastAsia="Barlow Semi Condensed" w:hAnsi="Barlow Semi Condensed"/>
          <w:sz w:val="24"/>
          <w:szCs w:val="24"/>
        </w:rPr>
        <w:t xml:space="preserve">Blocco trecentoventinove. La voce sulla Nuova Camorra Organizzata: quadro a Livello B di voce collaborativa; i numeri della faida restano come al blocco centotrentasette.</w:t>
      </w:r>
    </w:p>
    <w:p>
      <w:pPr>
        <w:spacing w:after="120" w:line="276"/>
        <w:jc w:val="both"/>
      </w:pPr>
      <w:r>
        <w:rPr>
          <w:rFonts w:ascii="Barlow Semi Condensed" w:cs="Barlow Semi Condensed" w:eastAsia="Barlow Semi Condensed" w:hAnsi="Barlow Semi Condensed"/>
          <w:sz w:val="24"/>
          <w:szCs w:val="24"/>
        </w:rPr>
        <w:t xml:space="preserve">Blocco trecentotrenta. La voce sull'omicidio del giudice Occorsio del dieci luglio millenovecentosettantasei: concordante col blocco duecentotrentuno: Livello A sui giudicati.</w:t>
      </w:r>
    </w:p>
    <w:p>
      <w:pPr>
        <w:spacing w:after="120" w:line="276"/>
        <w:jc w:val="both"/>
      </w:pPr>
      <w:r>
        <w:rPr>
          <w:rFonts w:ascii="Barlow Semi Condensed" w:cs="Barlow Semi Condensed" w:eastAsia="Barlow Semi Condensed" w:hAnsi="Barlow Semi Condensed"/>
          <w:sz w:val="24"/>
          <w:szCs w:val="24"/>
        </w:rPr>
        <w:t xml:space="preserve">Blocco trecentotrentuno. La voce sull'omicidio di Piersanti Mattarella: concordante coi blocchi trentadue-trentatré; il monitoraggio resta quello del blocco duecentotrentasette, con presunzione integrale per gli indagati e divieto di comunicazione fra fascicoli.</w:t>
      </w:r>
    </w:p>
    <w:p>
      <w:pPr>
        <w:spacing w:after="120" w:line="276"/>
        <w:jc w:val="both"/>
      </w:pPr>
      <w:r>
        <w:rPr>
          <w:rFonts w:ascii="Barlow Semi Condensed" w:cs="Barlow Semi Condensed" w:eastAsia="Barlow Semi Condensed" w:hAnsi="Barlow Semi Condensed"/>
          <w:sz w:val="24"/>
          <w:szCs w:val="24"/>
        </w:rPr>
        <w:t xml:space="preserve">Pendenze e sigillo (blocchi trecentotrentadue–trecentotrentotto)</w:t>
      </w:r>
    </w:p>
    <w:p>
      <w:pPr>
        <w:spacing w:after="120" w:line="276"/>
        <w:jc w:val="both"/>
      </w:pPr>
      <w:r>
        <w:rPr>
          <w:rFonts w:ascii="Barlow Semi Condensed" w:cs="Barlow Semi Condensed" w:eastAsia="Barlow Semi Condensed" w:hAnsi="Barlow Semi Condensed"/>
          <w:sz w:val="24"/>
          <w:szCs w:val="24"/>
        </w:rPr>
        <w:t xml:space="preserve">Blocco trecentotrentadue. Le sette serie identificative autonome del registro analitico Aginter — trecentosessantacinque voci: riconciliazione pendente, perimetro dichiarato, consegnata alla settima tranche.</w:t>
      </w:r>
    </w:p>
    <w:p>
      <w:pPr>
        <w:spacing w:after="120" w:line="276"/>
        <w:jc w:val="both"/>
      </w:pPr>
      <w:r>
        <w:rPr>
          <w:rFonts w:ascii="Barlow Semi Condensed" w:cs="Barlow Semi Condensed" w:eastAsia="Barlow Semi Condensed" w:hAnsi="Barlow Semi Condensed"/>
          <w:sz w:val="24"/>
          <w:szCs w:val="24"/>
        </w:rPr>
        <w:t xml:space="preserve">Blocco trecentotrentatré. La verifica alla fonte del rapporto portoghese trascritto da Laurent per il nodo sudafricano: pendenza archivistica con soglia di revisione dichiarata, invariata.</w:t>
      </w:r>
    </w:p>
    <w:p>
      <w:pPr>
        <w:spacing w:after="120" w:line="276"/>
        <w:jc w:val="both"/>
      </w:pPr>
      <w:r>
        <w:rPr>
          <w:rFonts w:ascii="Barlow Semi Condensed" w:cs="Barlow Semi Condensed" w:eastAsia="Barlow Semi Condensed" w:hAnsi="Barlow Semi Condensed"/>
          <w:sz w:val="24"/>
          <w:szCs w:val="24"/>
        </w:rPr>
        <w:t xml:space="preserve">Blocco trecentotrentaquattro. Il censimento cumulativo degli indirizzi: millesettecentoquarantasei su ventitré voci estratte, più i novecentosessantatré della monografia Aginter e lo zero statutario dell'innesco presente: mappa consolidata.</w:t>
      </w:r>
    </w:p>
    <w:p>
      <w:pPr>
        <w:spacing w:after="120" w:line="276"/>
        <w:jc w:val="both"/>
      </w:pPr>
      <w:r>
        <w:rPr>
          <w:rFonts w:ascii="Barlow Semi Condensed" w:cs="Barlow Semi Condensed" w:eastAsia="Barlow Semi Condensed" w:hAnsi="Barlow Semi Condensed"/>
          <w:sz w:val="24"/>
          <w:szCs w:val="24"/>
        </w:rPr>
        <w:t xml:space="preserve">Blocco trecentotrentacinque. Aggiornamento della matrice: il censimento fornisce l'ossatura mondiale del Dominio primo; nulla milita per H1; la pluralità irriducibile delle regie rafforza H3; i corridoi transatlantici arricchiscono i pattern dei flussi e delle dinastie.</w:t>
      </w:r>
    </w:p>
    <w:p>
      <w:pPr>
        <w:spacing w:after="120" w:line="276"/>
        <w:jc w:val="both"/>
      </w:pPr>
      <w:r>
        <w:rPr>
          <w:rFonts w:ascii="Barlow Semi Condensed" w:cs="Barlow Semi Condensed" w:eastAsia="Barlow Semi Condensed" w:hAnsi="Barlow Semi Condensed"/>
          <w:sz w:val="24"/>
          <w:szCs w:val="24"/>
        </w:rPr>
        <w:t xml:space="preserve">Blocco trecentotrentasei. Il principio del lampione, iscritto quale regola permanente: la densità documentaria misura l'attenzione delle fonti, non l'intensità storica dei fenomeni; le lacune campionate sono zone d'ombra della copertura, non del mondo.</w:t>
      </w:r>
    </w:p>
    <w:p>
      <w:pPr>
        <w:spacing w:after="120" w:line="276"/>
        <w:jc w:val="both"/>
      </w:pPr>
      <w:r>
        <w:rPr>
          <w:rFonts w:ascii="Barlow Semi Condensed" w:cs="Barlow Semi Condensed" w:eastAsia="Barlow Semi Condensed" w:hAnsi="Barlow Semi Condensed"/>
          <w:sz w:val="24"/>
          <w:szCs w:val="24"/>
        </w:rPr>
        <w:t xml:space="preserve">Blocco trecentotrentasette. I rilievi di metodo sul documento: l'espunzione dichiarata dei sessanta frammenti quale credito di igiene; l'apparato senza indirizzi quale scelta di stile documentale; l'eterogeneità di aggiornamento quale limite dichiarato.</w:t>
      </w:r>
    </w:p>
    <w:p>
      <w:pPr>
        <w:spacing w:after="120" w:line="276"/>
        <w:jc w:val="both"/>
      </w:pPr>
      <w:r>
        <w:rPr>
          <w:rFonts w:ascii="Barlow Semi Condensed" w:cs="Barlow Semi Condensed" w:eastAsia="Barlow Semi Condensed" w:hAnsi="Barlow Semi Condensed"/>
          <w:sz w:val="24"/>
          <w:szCs w:val="24"/>
        </w:rPr>
        <w:t xml:space="preserve">Blocco trecentotrentotto. Sigillo della sesta tranche: il registro raggiunge trecentotrentotto blocchi; le direzioni della settima sono fissate in chiusa.</w:t>
      </w:r>
    </w:p>
    <w:p>
      <w:pPr>
        <w:spacing w:after="120" w:line="276"/>
        <w:jc w:val="both"/>
      </w:pPr>
      <w:r>
        <w:rPr>
          <w:rFonts w:ascii="Barlow Semi Condensed" w:cs="Barlow Semi Condensed" w:eastAsia="Barlow Semi Condensed" w:hAnsi="Barlow Semi Condensed"/>
          <w:sz w:val="24"/>
          <w:szCs w:val="24"/>
        </w:rPr>
        <w:t xml:space="preserve">11.10 — Rilievi per le persone viventi e chiusa della sesta tranche</w:t>
      </w:r>
    </w:p>
    <w:p>
      <w:pPr>
        <w:spacing w:after="120" w:line="276"/>
        <w:jc w:val="both"/>
      </w:pPr>
      <w:r>
        <w:rPr>
          <w:rFonts w:ascii="Barlow Semi Condensed" w:cs="Barlow Semi Condensed" w:eastAsia="Barlow Semi Condensed" w:hAnsi="Barlow Semi Condensed"/>
          <w:sz w:val="24"/>
          <w:szCs w:val="24"/>
        </w:rPr>
        <w:t xml:space="preserve">Le formulazioni vincolanti delle tranche precedenti restano integralmente in vigore, comprese quelle della quinta sul fascicolo palermitano. Questa tranche vi aggiunge la clausola generale del blocco trecentouno: nessuna voce del censimento nominativo fonda, da sola, responsabilità o appartenenze di alcuna persona, vivente o defunta; per i capi detenuti menzionati nel campionamento — il capo del Primeiro Comando da Capital, il condannato del processo olandese — valgono i soli giudicati richiamati; per le persone comprese nelle liste sanzionatorie valgono gli atti sanzionatori quali fatti amministrativi, non quali accertamenti penali; per i nomi evocati dalle dichiarazioni del collaboratore nella rilettura di Montalto vale la Regola Ferrea: la menzione in una testimonianza processuale, per quanto recepita in sentenza, non equivale alla presenza storica accertata, e per i defunti non più giudicabili resta lo statuto obbligatorio già fissato.</w:t>
      </w:r>
    </w:p>
    <w:p>
      <w:pPr>
        <w:spacing w:after="120" w:line="276"/>
        <w:jc w:val="both"/>
      </w:pPr>
      <w:r>
        <w:rPr>
          <w:rFonts w:ascii="Barlow Semi Condensed" w:cs="Barlow Semi Condensed" w:eastAsia="Barlow Semi Condensed" w:hAnsi="Barlow Semi Condensed"/>
          <w:sz w:val="24"/>
          <w:szCs w:val="24"/>
        </w:rPr>
        <w:t xml:space="preserve">La sesta tranche porta il registro a trecentotrentotto blocchi certificati e consegna alla settima le seguenti direzioni: la riconciliazione delle sette serie identificative del registro Aginter — trecentosessantacinque voci; la verifica alla fonte del rapporto portoghese per il nodo sudafricano e gli indici della Torre do Tombo; l'interrogazione degli indici analitici cecoslovacchi per lo Stato Zero orientale; il vaglio della Parte prima del censimento — la mappatura integrale aggiornata che precede i dodici libri e che questa tranche non ha coperto; la verifica voce per voce della continuità delle serie di numerazione; la verifica ipertestuale a campione delle istantanee contro le pagine vive, dove il rischio dell'asserzione lo esiga.</w:t>
      </w:r>
    </w:p>
    <w:p>
      <w:pPr>
        <w:pStyle w:val="Heading3"/>
        <w:spacing w:after="80" w:before="160"/>
      </w:pPr>
      <w:r>
        <w:rPr>
          <w:rFonts w:ascii="Barlow Semi Condensed" w:cs="Barlow Semi Condensed" w:eastAsia="Barlow Semi Condensed" w:hAnsi="Barlow Semi Condensed"/>
          <w:sz w:val="24"/>
          <w:szCs w:val="24"/>
        </w:rPr>
        <w:t xml:space="preserve">FASE XII — SETTIMA TRANCHE: IL DOCUMENTO MORO. TRIANGOLAZIONE DEL VOLUME UNIFICATO CON IL CORPUS E CON I BLOCCHI CERTIFICATI</w:t>
      </w:r>
    </w:p>
    <w:p>
      <w:pPr>
        <w:spacing w:after="120" w:line="276"/>
        <w:jc w:val="both"/>
      </w:pPr>
      <w:r>
        <w:rPr>
          <w:rFonts w:ascii="Barlow Semi Condensed" w:cs="Barlow Semi Condensed" w:eastAsia="Barlow Semi Condensed" w:hAnsi="Barlow Semi Condensed"/>
          <w:sz w:val="24"/>
          <w:szCs w:val="24"/>
        </w:rPr>
        <w:t xml:space="preserve">12.1 — Oggetto della tranche, documento-innesco e suo statuto probatorio</w:t>
      </w:r>
    </w:p>
    <w:p>
      <w:pPr>
        <w:spacing w:after="120" w:line="276"/>
        <w:jc w:val="both"/>
      </w:pPr>
      <w:r>
        <w:rPr>
          <w:rFonts w:ascii="Barlow Semi Condensed" w:cs="Barlow Semi Condensed" w:eastAsia="Barlow Semi Condensed" w:hAnsi="Barlow Semi Condensed"/>
          <w:sz w:val="24"/>
          <w:szCs w:val="24"/>
        </w:rPr>
        <w:t xml:space="preserve">La settima tranche assume quale documento-innesco il volume unificato «Aldo Moro — Una Pace senza Pace», opera in cinque fasi e cinquanta capitoli, edizione ampliata di circa duecentomila parole in trecentosessantadue pagine, con impronte crittografiche dichiarate per il file di testo e per la riproduzione a stampa, evoluzione dell'edizione di circa centoventiseimila parole già trasmessa per posta elettronica certificata ad un archivio pubblico con certificazione d'impronta. Il mandato del committente ridefinisce l'oggetto della settima tranche rispetto alle direzioni consegnate dalla sesta, che restano formalmente ereditate e sono rinviate all'ottava salvo dove il presente innesco le intercetti naturalmente, come accade per la direzione portoghese sul fondo di Lisbona. La tranche triangola il volume lungo tre assi: contro il corpus di progetto estratto integralmente, che contiene fonti primarie parlamentari, dataset testuali, registri federati e riproduzioni documentali sul caso; contro i trecentotrentotto blocchi già certificati dalle sei tranche precedenti; e contro le fonti esterne richiamate nei giudicati. L'esito è iscritto in cento blocchi nuovi, numerati dal trecentotrentanovesimo al quattrocentotrentottesimo.</w:t>
      </w:r>
    </w:p>
    <w:p>
      <w:pPr>
        <w:spacing w:after="120" w:line="276"/>
        <w:jc w:val="both"/>
      </w:pPr>
      <w:r>
        <w:rPr>
          <w:rFonts w:ascii="Barlow Semi Condensed" w:cs="Barlow Semi Condensed" w:eastAsia="Barlow Semi Condensed" w:hAnsi="Barlow Semi Condensed"/>
          <w:sz w:val="24"/>
          <w:szCs w:val="24"/>
        </w:rPr>
        <w:t xml:space="preserve">12.2 — Il metodo neurale: sinapsi intradominio e interdominio</w:t>
      </w:r>
    </w:p>
    <w:p>
      <w:pPr>
        <w:spacing w:after="120" w:line="276"/>
        <w:jc w:val="both"/>
      </w:pPr>
      <w:r>
        <w:rPr>
          <w:rFonts w:ascii="Barlow Semi Condensed" w:cs="Barlow Semi Condensed" w:eastAsia="Barlow Semi Condensed" w:hAnsi="Barlow Semi Condensed"/>
          <w:sz w:val="24"/>
          <w:szCs w:val="24"/>
        </w:rPr>
        <w:t xml:space="preserve">La tranche applica in forma esplicita la lettura neurale della rete multilivello prevista dalla Nota Metodologica: i nodi del caso sono trattati quali neuroni collocati su dieci strati, i Domini di Potere, e le connessioni quali sinapsi di due specie. Le sinapsi intradominio corrono dentro un medesimo strato — la catena di comando interna all'organizzazione armata, la gerarchia di un apparato, la filiera di un partito — e trasmettono ordini, risorse e appartenenze secondo il codice proprio del dominio. Le sinapsi interdominio attraversano gli strati e sono classificate secondo la tassonomia degli archi dell'opera: collusione, strumentalizzazione, infiltrazione, convergenza e transito. La disciplina è quella consueta e non conosce eccezioni: ogni sinapsi è certificata al livello della propria evidenza, la densità sinaptica non si converte mai in disegno unitario, la Regola Ferrea vieta di inferire il mandato dall'ostruzione, e le sinapsi cercate e non trovate sono iscritte quali Stati Zero con dignità di risultato. Il caso Moro è assunto quale banco di prova della lettura neurale perché è l'unico evento del corpus nel quale tutti i dieci strati risultano simultaneamente attivi e osservabili.</w:t>
      </w:r>
    </w:p>
    <w:p>
      <w:pPr>
        <w:spacing w:after="120" w:line="276"/>
        <w:jc w:val="both"/>
      </w:pPr>
      <w:r>
        <w:rPr>
          <w:rFonts w:ascii="Barlow Semi Condensed" w:cs="Barlow Semi Condensed" w:eastAsia="Barlow Semi Condensed" w:hAnsi="Barlow Semi Condensed"/>
          <w:sz w:val="24"/>
          <w:szCs w:val="24"/>
        </w:rPr>
        <w:t xml:space="preserve">12.3 — La mappa delle sovrapposizioni con i blocchi già certificati</w:t>
      </w:r>
    </w:p>
    <w:p>
      <w:pPr>
        <w:spacing w:after="120" w:line="276"/>
        <w:jc w:val="both"/>
      </w:pPr>
      <w:r>
        <w:rPr>
          <w:rFonts w:ascii="Barlow Semi Condensed" w:cs="Barlow Semi Condensed" w:eastAsia="Barlow Semi Condensed" w:hAnsi="Barlow Semi Condensed"/>
          <w:sz w:val="24"/>
          <w:szCs w:val="24"/>
        </w:rPr>
        <w:t xml:space="preserve">Il volume interseca il registro esistente su quattro fronti maggiori. Con la terza tranche condivide i nodi della strage di Bologna, dell'omicidio di Piersanti Mattarella e della Banda della Magliana, che il volume tratta nella propria fase terza e nei capitoli romani della fase quarta: le certificazioni sono reciprocamente coerenti e i rinvii sono incrociati senza residui. Con le tranche prima e quinta condivide il perimetro della loggia coperta quale camera di compensazione, che il volume applica ai cinquantacinque giorni con i medesimi ancoraggi documentali. Con la seconda tranche condivide la cornice eurasiatista solo quale orizzonte prospettico, poiché il volume non tratta la stagione contemporanea: l'incrocio resta dichiarato e non certificato. Con la sesta tranche condivide il metodo del censimento a fonte ereditata e la disciplina delle voci nominative. Nessuna contraddizione fattuale tra il volume e i blocchi certificati è emersa dal riscontro: l'esito, che non era scontato su un corpus di questa estensione, è iscritto quale risultato della tranche.</w:t>
      </w:r>
    </w:p>
    <w:p>
      <w:pPr>
        <w:spacing w:after="120" w:line="276"/>
        <w:jc w:val="both"/>
      </w:pPr>
      <w:r>
        <w:rPr>
          <w:rFonts w:ascii="Barlow Semi Condensed" w:cs="Barlow Semi Condensed" w:eastAsia="Barlow Semi Condensed" w:hAnsi="Barlow Semi Condensed"/>
          <w:sz w:val="24"/>
          <w:szCs w:val="24"/>
        </w:rPr>
        <w:t xml:space="preserve">12.4 — La campagna di triangolazione con il corpus di progetto</w:t>
      </w:r>
    </w:p>
    <w:p>
      <w:pPr>
        <w:spacing w:after="120" w:line="276"/>
        <w:jc w:val="both"/>
      </w:pPr>
      <w:r>
        <w:rPr>
          <w:rFonts w:ascii="Barlow Semi Condensed" w:cs="Barlow Semi Condensed" w:eastAsia="Barlow Semi Condensed" w:hAnsi="Barlow Semi Condensed"/>
          <w:sz w:val="24"/>
          <w:szCs w:val="24"/>
        </w:rPr>
        <w:t xml:space="preserve">Il corpus di progetto contiene un giacimento moroteo autonomo che la tranche censisce e mobilita: l'elaborato parlamentare sul sequestro e sull'omicidio redatto per la Commissione stragi e datato 29 settembre 2000, presente quale estrazione integrale; le schede di presa in consegna della serie del Gruppo di lavoro sul caso Moro della Commissione della decima legislatura, dodici documenti scansionati per seicentoventuno pagine di resoconti stenografici del biennio 1991-1992; il dataset testuale integrale degli scritti moroteî, milleseessantadue documenti dal 1932 al 6 marzo 1978; la famiglia dei registri federati del caso — analitico, di scavo, speculare e genetico — con il codice relazionale che ne disciplina i passaggi; le tavole di triangolazione sull'armamento e sui bossoli; e le riproduzioni documentali maggiori, la relazione della prima Commissione e l'edizione delle lettere dalla prigionia, acquisite quali riproduzioni la cui natura di supporto è certificata nei blocchi dedicati. La campagna ha privilegiato i riscontri che il volume enuncia a Livello A, saggiandone la tenuta contro le fonti primarie interne al corpus.</w:t>
      </w:r>
    </w:p>
    <w:p>
      <w:pPr>
        <w:spacing w:after="120" w:line="276"/>
        <w:jc w:val="both"/>
      </w:pPr>
      <w:r>
        <w:rPr>
          <w:rFonts w:ascii="Barlow Semi Condensed" w:cs="Barlow Semi Condensed" w:eastAsia="Barlow Semi Condensed" w:hAnsi="Barlow Semi Condensed"/>
          <w:sz w:val="24"/>
          <w:szCs w:val="24"/>
        </w:rPr>
        <w:t xml:space="preserve">12.5 — Aggiornamento preliminare della matrice ACH</w:t>
      </w:r>
    </w:p>
    <w:p>
      <w:pPr>
        <w:spacing w:after="120" w:line="276"/>
        <w:jc w:val="both"/>
      </w:pPr>
      <w:r>
        <w:rPr>
          <w:rFonts w:ascii="Barlow Semi Condensed" w:cs="Barlow Semi Condensed" w:eastAsia="Barlow Semi Condensed" w:hAnsi="Barlow Semi Condensed"/>
          <w:sz w:val="24"/>
          <w:szCs w:val="24"/>
        </w:rPr>
        <w:t xml:space="preserve">Il volume-innesco entra nella matrice delle ipotesi in competizione con un apporto netto: la sua fase quarta documenta un caso a pluralità di convergenze certificate e privo di regista unitario giudizialmente accertato, rafforzando l'ipotesi della convergenza policentrica contro la forma forte dell'ipotesi del disegno unitario, che ne esce ulteriormente indebolita; l'ipotesi delle due internazionali autoritarie non riceve dal caso Moro né conferme né smentite dirette e resta a Livello C con i suoi vantaggi esplicativi già registrati. Il dettaglio è consegnato ai blocchi di verdetto in coda al registro.</w:t>
      </w:r>
    </w:p>
    <w:p>
      <w:pPr>
        <w:spacing w:after="120" w:line="276"/>
        <w:jc w:val="both"/>
      </w:pPr>
      <w:r>
        <w:rPr>
          <w:rFonts w:ascii="Barlow Semi Condensed" w:cs="Barlow Semi Condensed" w:eastAsia="Barlow Semi Condensed" w:hAnsi="Barlow Semi Condensed"/>
          <w:sz w:val="24"/>
          <w:szCs w:val="24"/>
        </w:rPr>
        <w:t xml:space="preserve">12.6 — Registro dei blocchi di verifica: blocchi trecentotrentanove–quattrocentotrentotto</w:t>
      </w:r>
    </w:p>
    <w:p>
      <w:pPr>
        <w:spacing w:after="120" w:line="276"/>
        <w:jc w:val="both"/>
      </w:pPr>
      <w:r>
        <w:rPr>
          <w:rFonts w:ascii="Barlow Semi Condensed" w:cs="Barlow Semi Condensed" w:eastAsia="Barlow Semi Condensed" w:hAnsi="Barlow Semi Condensed"/>
          <w:sz w:val="24"/>
          <w:szCs w:val="24"/>
        </w:rPr>
        <w:t xml:space="preserve">Formula identica alle Fasi precedenti: «già certificato» rinvia ai blocchi delle tranche precedenti; «verificato ora» indica la campagna di questa sessione; «attribuito» lascia l'asserzione in capo alla fonte nominata; gli esiti negativi sono iscritti come Stato Zero.</w:t>
      </w:r>
    </w:p>
    <w:p>
      <w:pPr>
        <w:spacing w:after="120" w:line="276"/>
        <w:jc w:val="both"/>
      </w:pPr>
      <w:r>
        <w:rPr>
          <w:rFonts w:ascii="Barlow Semi Condensed" w:cs="Barlow Semi Condensed" w:eastAsia="Barlow Semi Condensed" w:hAnsi="Barlow Semi Condensed"/>
          <w:sz w:val="24"/>
          <w:szCs w:val="24"/>
        </w:rPr>
        <w:t xml:space="preserve">Innesco e statuto (blocchi trecentotrentanove–trecentoquarantaquattro)</w:t>
      </w:r>
    </w:p>
    <w:p>
      <w:pPr>
        <w:spacing w:after="120" w:line="276"/>
        <w:jc w:val="both"/>
      </w:pPr>
      <w:r>
        <w:rPr>
          <w:rFonts w:ascii="Barlow Semi Condensed" w:cs="Barlow Semi Condensed" w:eastAsia="Barlow Semi Condensed" w:hAnsi="Barlow Semi Condensed"/>
          <w:sz w:val="24"/>
          <w:szCs w:val="24"/>
        </w:rPr>
        <w:t xml:space="preserve">Blocco trecentotrentanove. Il documento-innesco: cinque fasi, cinquanta capitoli, circa duecentomila parole, trecentosessantadue pagine, impronte crittografiche dichiarate per entrambi i formati, cinque occhielli di fase e apparato di certificazioni inline: Livello A quale atto del corpus, con credito di igiene documentale per la dichiarazione delle impronte.</w:t>
      </w:r>
    </w:p>
    <w:p>
      <w:pPr>
        <w:spacing w:after="120" w:line="276"/>
        <w:jc w:val="both"/>
      </w:pPr>
      <w:r>
        <w:rPr>
          <w:rFonts w:ascii="Barlow Semi Condensed" w:cs="Barlow Semi Condensed" w:eastAsia="Barlow Semi Condensed" w:hAnsi="Barlow Semi Condensed"/>
          <w:sz w:val="24"/>
          <w:szCs w:val="24"/>
        </w:rPr>
        <w:t xml:space="preserve">Blocco trecentoquaranta. La doppia edizione: la versione di circa centoventiseimila parole trasmessa per posta elettronica certificata ad archivio pubblico con impronta, e l'edizione ampliata con impronte nuove: catena di custodia interna documentata, Livello A quale genealogia del testo.</w:t>
      </w:r>
    </w:p>
    <w:p>
      <w:pPr>
        <w:spacing w:after="120" w:line="276"/>
        <w:jc w:val="both"/>
      </w:pPr>
      <w:r>
        <w:rPr>
          <w:rFonts w:ascii="Barlow Semi Condensed" w:cs="Barlow Semi Condensed" w:eastAsia="Barlow Semi Condensed" w:hAnsi="Barlow Semi Condensed"/>
          <w:sz w:val="24"/>
          <w:szCs w:val="24"/>
        </w:rPr>
        <w:t xml:space="preserve">Blocco trecentoquarantuno. Il metodo interno: milleseicentonovanta certificazioni probatorie inline, Regola Ferrea dichiarata, Stati Zero iscritti quali risultati: conformità formale alla Nota Metodologica verificata ora per campionamento, Livello A quale conformità di metodo, con l'avvertenza che l'autocertificazione del volume non fa prova dei suoi contenuti, che questa tranche saggia contro fonti esterne.</w:t>
      </w:r>
    </w:p>
    <w:p>
      <w:pPr>
        <w:spacing w:after="120" w:line="276"/>
        <w:jc w:val="both"/>
      </w:pPr>
      <w:r>
        <w:rPr>
          <w:rFonts w:ascii="Barlow Semi Condensed" w:cs="Barlow Semi Condensed" w:eastAsia="Barlow Semi Condensed" w:hAnsi="Barlow Semi Condensed"/>
          <w:sz w:val="24"/>
          <w:szCs w:val="24"/>
        </w:rPr>
        <w:t xml:space="preserve">Blocco trecentoquarantadue. Il perimetro: la fase quarta quale trattazione del caso, le fasi restanti quali contesto del quadrilatero, degli apparati, dello stragismo e del teatro internazionale: architettura a cerniera iscritta, Livello A quale struttura dichiarata e riscontrata.</w:t>
      </w:r>
    </w:p>
    <w:p>
      <w:pPr>
        <w:spacing w:after="120" w:line="276"/>
        <w:jc w:val="both"/>
      </w:pPr>
      <w:r>
        <w:rPr>
          <w:rFonts w:ascii="Barlow Semi Condensed" w:cs="Barlow Semi Condensed" w:eastAsia="Barlow Semi Condensed" w:hAnsi="Barlow Semi Condensed"/>
          <w:sz w:val="24"/>
          <w:szCs w:val="24"/>
        </w:rPr>
        <w:t xml:space="preserve">Blocco trecentoquarantatré. La federazione con i registri moroteî del corpus — analitico sino alla dodicesima edizione, di scavo, speculare, genetico, con codice relazionale e protocollo dei passaggi: coesistenza documentata di cinque linee registrali autonome sul medesimo caso, Livello A quale esistenza della federazione; la riconciliazione contenutistica voce per voce è pendenza dichiarata e consegnata.</w:t>
      </w:r>
    </w:p>
    <w:p>
      <w:pPr>
        <w:spacing w:after="120" w:line="276"/>
        <w:jc w:val="both"/>
      </w:pPr>
      <w:r>
        <w:rPr>
          <w:rFonts w:ascii="Barlow Semi Condensed" w:cs="Barlow Semi Condensed" w:eastAsia="Barlow Semi Condensed" w:hAnsi="Barlow Semi Condensed"/>
          <w:sz w:val="24"/>
          <w:szCs w:val="24"/>
        </w:rPr>
        <w:t xml:space="preserve">Blocco trecentoquarantaquattro. Zero indirizzi di rete nel corpo del volume: apparato per fonti nominate, coerente con il protocollo redazionale della quinta Fase di questo registro: Livello A per statuto.</w:t>
      </w:r>
    </w:p>
    <w:p>
      <w:pPr>
        <w:spacing w:after="120" w:line="276"/>
        <w:jc w:val="both"/>
      </w:pPr>
      <w:r>
        <w:rPr>
          <w:rFonts w:ascii="Barlow Semi Condensed" w:cs="Barlow Semi Condensed" w:eastAsia="Barlow Semi Condensed" w:hAnsi="Barlow Semi Condensed"/>
          <w:sz w:val="24"/>
          <w:szCs w:val="24"/>
        </w:rPr>
        <w:t xml:space="preserve">Sinapsi intradominio del settimo dominio: la catena interna (blocchi trecentoquarantacinque–trecentocinquantaquattro)</w:t>
      </w:r>
    </w:p>
    <w:p>
      <w:pPr>
        <w:spacing w:after="120" w:line="276"/>
        <w:jc w:val="both"/>
      </w:pPr>
      <w:r>
        <w:rPr>
          <w:rFonts w:ascii="Barlow Semi Condensed" w:cs="Barlow Semi Condensed" w:eastAsia="Barlow Semi Condensed" w:hAnsi="Barlow Semi Condensed"/>
          <w:sz w:val="24"/>
          <w:szCs w:val="24"/>
        </w:rPr>
        <w:t xml:space="preserve">Blocco trecentoquarantacinque. L'agguato di via Fani quale operazione militare: dinamica, rapporto dei colpi, sequenza dei mezzi: l'enunciato del volume converge con l'elaborato parlamentare del 2000 presente nel corpus e con i giudicati richiamati: Livello A verificato ora contro fonte primaria interna al corpus.</w:t>
      </w:r>
    </w:p>
    <w:p>
      <w:pPr>
        <w:spacing w:after="120" w:line="276"/>
        <w:jc w:val="both"/>
      </w:pPr>
      <w:r>
        <w:rPr>
          <w:rFonts w:ascii="Barlow Semi Condensed" w:cs="Barlow Semi Condensed" w:eastAsia="Barlow Semi Condensed" w:hAnsi="Barlow Semi Condensed"/>
          <w:sz w:val="24"/>
          <w:szCs w:val="24"/>
        </w:rPr>
        <w:t xml:space="preserve">Blocco trecentoquarantasei. Il Comitato esecutivo quale organo deliberante a quattro membri, interfaccia tra Direzione strategica e colonne: composizione e attribuzioni conformi ai giudicati: Livello A già certificato nel volume, coerente con le fonti del corpus.</w:t>
      </w:r>
    </w:p>
    <w:p>
      <w:pPr>
        <w:spacing w:after="120" w:line="276"/>
        <w:jc w:val="both"/>
      </w:pPr>
      <w:r>
        <w:rPr>
          <w:rFonts w:ascii="Barlow Semi Condensed" w:cs="Barlow Semi Condensed" w:eastAsia="Barlow Semi Condensed" w:hAnsi="Barlow Semi Condensed"/>
          <w:sz w:val="24"/>
          <w:szCs w:val="24"/>
        </w:rPr>
        <w:t xml:space="preserve">Blocco trecentoquarantasette. La costellazione romana delle basi — il covo direttivo, la prigione, la tipografia — e la sua preesistenza documentata all'azione: il calendario immobiliare quale prova della pianificazione lunga: Livello A.</w:t>
      </w:r>
    </w:p>
    <w:p>
      <w:pPr>
        <w:spacing w:after="120" w:line="276"/>
        <w:jc w:val="both"/>
      </w:pPr>
      <w:r>
        <w:rPr>
          <w:rFonts w:ascii="Barlow Semi Condensed" w:cs="Barlow Semi Condensed" w:eastAsia="Barlow Semi Condensed" w:hAnsi="Barlow Semi Condensed"/>
          <w:sz w:val="24"/>
          <w:szCs w:val="24"/>
        </w:rPr>
        <w:t xml:space="preserve">Blocco trecentoquarantotto. Il nome in codice dell'operazione, Fritz, quale designazione interna riferita dalle fonti dell'organizzazione: convergenza di dichiarazioni omogenee di provenienza interessata: Livello B con Indice di Contaminazione dichiarato.</w:t>
      </w:r>
    </w:p>
    <w:p>
      <w:pPr>
        <w:spacing w:after="120" w:line="276"/>
        <w:jc w:val="both"/>
      </w:pPr>
      <w:r>
        <w:rPr>
          <w:rFonts w:ascii="Barlow Semi Condensed" w:cs="Barlow Semi Condensed" w:eastAsia="Barlow Semi Condensed" w:hAnsi="Barlow Semi Condensed"/>
          <w:sz w:val="24"/>
          <w:szCs w:val="24"/>
        </w:rPr>
        <w:t xml:space="preserve">Blocco trecentoquarantanove. La genesi milanese 1969-1970 tra fabbrica e collettivi quale sinapsi genetica intradominio: ricostruzione conforme alla storiografia giudiziaria: Livello A.</w:t>
      </w:r>
    </w:p>
    <w:p>
      <w:pPr>
        <w:spacing w:after="120" w:line="276"/>
        <w:jc w:val="both"/>
      </w:pPr>
      <w:r>
        <w:rPr>
          <w:rFonts w:ascii="Barlow Semi Condensed" w:cs="Barlow Semi Condensed" w:eastAsia="Barlow Semi Condensed" w:hAnsi="Barlow Semi Condensed"/>
          <w:sz w:val="24"/>
          <w:szCs w:val="24"/>
        </w:rPr>
        <w:t xml:space="preserve">Blocco trecentocinquanta. L'economia della campagna: il riscatto del sequestro ligure del 1977 quale finanziamento accertato nei giudicati: sinapsi intradominio di risorsa: Livello A.</w:t>
      </w:r>
    </w:p>
    <w:p>
      <w:pPr>
        <w:spacing w:after="120" w:line="276"/>
        <w:jc w:val="both"/>
      </w:pPr>
      <w:r>
        <w:rPr>
          <w:rFonts w:ascii="Barlow Semi Condensed" w:cs="Barlow Semi Condensed" w:eastAsia="Barlow Semi Condensed" w:hAnsi="Barlow Semi Condensed"/>
          <w:sz w:val="24"/>
          <w:szCs w:val="24"/>
        </w:rPr>
        <w:t xml:space="preserve">Blocco trecentocinquantuno. La prigione condominiale: l'invisibilità comportamentale accertata nei dibattimenti quale tecnologia decisiva della clandestinità: Livello A.</w:t>
      </w:r>
    </w:p>
    <w:p>
      <w:pPr>
        <w:spacing w:after="120" w:line="276"/>
        <w:jc w:val="both"/>
      </w:pPr>
      <w:r>
        <w:rPr>
          <w:rFonts w:ascii="Barlow Semi Condensed" w:cs="Barlow Semi Condensed" w:eastAsia="Barlow Semi Condensed" w:hAnsi="Barlow Semi Condensed"/>
          <w:sz w:val="24"/>
          <w:szCs w:val="24"/>
        </w:rPr>
        <w:t xml:space="preserve">Blocco trecentocinquantadue. Il silenzio elettronico dell'organizzazione nei cinquantacinque giorni: assenza di traffico intercettabile riferibile, quale dato tecnico degli atti: Livello A quale dato, con le letture ulteriori lasciate al loro grado.</w:t>
      </w:r>
    </w:p>
    <w:p>
      <w:pPr>
        <w:spacing w:after="120" w:line="276"/>
        <w:jc w:val="both"/>
      </w:pPr>
      <w:r>
        <w:rPr>
          <w:rFonts w:ascii="Barlow Semi Condensed" w:cs="Barlow Semi Condensed" w:eastAsia="Barlow Semi Condensed" w:hAnsi="Barlow Semi Condensed"/>
          <w:sz w:val="24"/>
          <w:szCs w:val="24"/>
        </w:rPr>
        <w:t xml:space="preserve">Blocco trecentocinquantatré. La biforcazione dei destini penali tra dissociati e irriducibili quale effetto della legislazione premiale: Livello A quale quadro aggregato dai giudicati.</w:t>
      </w:r>
    </w:p>
    <w:p>
      <w:pPr>
        <w:spacing w:after="120" w:line="276"/>
        <w:jc w:val="both"/>
      </w:pPr>
      <w:r>
        <w:rPr>
          <w:rFonts w:ascii="Barlow Semi Condensed" w:cs="Barlow Semi Condensed" w:eastAsia="Barlow Semi Condensed" w:hAnsi="Barlow Semi Condensed"/>
          <w:sz w:val="24"/>
          <w:szCs w:val="24"/>
        </w:rPr>
        <w:t xml:space="preserve">Blocco trecentocinquantaquattro. La negazione unanime, da parte delle fonti interne, di presenze estranee sulla scena: convergenza dichiarativa di provenienza interessata, che non chiude la questione peritale: Livello B dichiarativo, con rinvio al blocco sulle ipotesi della seconda Commissione.</w:t>
      </w:r>
    </w:p>
    <w:p>
      <w:pPr>
        <w:spacing w:after="120" w:line="276"/>
        <w:jc w:val="both"/>
      </w:pPr>
      <w:r>
        <w:rPr>
          <w:rFonts w:ascii="Barlow Semi Condensed" w:cs="Barlow Semi Condensed" w:eastAsia="Barlow Semi Condensed" w:hAnsi="Barlow Semi Condensed"/>
          <w:sz w:val="24"/>
          <w:szCs w:val="24"/>
        </w:rPr>
        <w:t xml:space="preserve">Sinapsi interdominio settimo-terzo: organizzazione e apparati (blocchi trecentocinquantacinque–trecentosessantaquattro)</w:t>
      </w:r>
    </w:p>
    <w:p>
      <w:pPr>
        <w:spacing w:after="120" w:line="276"/>
        <w:jc w:val="both"/>
      </w:pPr>
      <w:r>
        <w:rPr>
          <w:rFonts w:ascii="Barlow Semi Condensed" w:cs="Barlow Semi Condensed" w:eastAsia="Barlow Semi Condensed" w:hAnsi="Barlow Semi Condensed"/>
          <w:sz w:val="24"/>
          <w:szCs w:val="24"/>
        </w:rPr>
        <w:t xml:space="preserve">Blocco trecentocinquantacinque. Il triplo mancato di via Gradoli — la segnalazione non convenzionale, il controllo di pattuglia del 18 marzo, l'equivoco toponomastico: tre strumenti falliti sul medesimo indirizzo: Livello A quanto ai fatti, Livello C permanente quanto alle letture non certificate.</w:t>
      </w:r>
    </w:p>
    <w:p>
      <w:pPr>
        <w:spacing w:after="120" w:line="276"/>
        <w:jc w:val="both"/>
      </w:pPr>
      <w:r>
        <w:rPr>
          <w:rFonts w:ascii="Barlow Semi Condensed" w:cs="Barlow Semi Condensed" w:eastAsia="Barlow Semi Condensed" w:hAnsi="Barlow Semi Condensed"/>
          <w:sz w:val="24"/>
          <w:szCs w:val="24"/>
        </w:rPr>
        <w:t xml:space="preserve">Blocco trecentocinquantasei. La composizione dei comitati di gestione della crisi con presenze iscritte negli elenchi della loggia sequestrati nel 1981: sinapsi di infiltrazione tra quarto e terzo dominio attiva durante i cinquantacinque giorni: Livello A quale risultanza dagli elenchi, senza inferenza di condotte.</w:t>
      </w:r>
    </w:p>
    <w:p>
      <w:pPr>
        <w:spacing w:after="120" w:line="276"/>
        <w:jc w:val="both"/>
      </w:pPr>
      <w:r>
        <w:rPr>
          <w:rFonts w:ascii="Barlow Semi Condensed" w:cs="Barlow Semi Condensed" w:eastAsia="Barlow Semi Condensed" w:hAnsi="Barlow Semi Condensed"/>
          <w:sz w:val="24"/>
          <w:szCs w:val="24"/>
        </w:rPr>
        <w:t xml:space="preserve">Blocco trecentocinquantasette. L'unica condanna d'apparato del caso: il funzionario di vertice condannato in via definitiva per la fuga di notizie sul memoriale nell'ottobre 1978: Livello A.</w:t>
      </w:r>
    </w:p>
    <w:p>
      <w:pPr>
        <w:spacing w:after="120" w:line="276"/>
        <w:jc w:val="both"/>
      </w:pPr>
      <w:r>
        <w:rPr>
          <w:rFonts w:ascii="Barlow Semi Condensed" w:cs="Barlow Semi Condensed" w:eastAsia="Barlow Semi Condensed" w:hAnsi="Barlow Semi Condensed"/>
          <w:sz w:val="24"/>
          <w:szCs w:val="24"/>
        </w:rPr>
        <w:t xml:space="preserve">Blocco trecentocinquantotto. La smobilitazione dell'Ispettorato antiterrorismo nella stagione immediatamente precedente l'agguato: riorganizzazione documentata degli assetti: Livello A quale fatto ordinamentale, con la lettura funzionale al suo grado.</w:t>
      </w:r>
    </w:p>
    <w:p>
      <w:pPr>
        <w:spacing w:after="120" w:line="276"/>
        <w:jc w:val="both"/>
      </w:pPr>
      <w:r>
        <w:rPr>
          <w:rFonts w:ascii="Barlow Semi Condensed" w:cs="Barlow Semi Condensed" w:eastAsia="Barlow Semi Condensed" w:hAnsi="Barlow Semi Condensed"/>
          <w:sz w:val="24"/>
          <w:szCs w:val="24"/>
        </w:rPr>
        <w:t xml:space="preserve">Blocco trecentocinquantanove. Il censimento negativo della protezione: vettura non blindata, assenza di copertura aerea, scorta priva di addestramento specifico anti-imboscata: convergenza tra il volume e gli accertamenti parlamentari presenti nel corpus: Livello A verificato ora.</w:t>
      </w:r>
    </w:p>
    <w:p>
      <w:pPr>
        <w:spacing w:after="120" w:line="276"/>
        <w:jc w:val="both"/>
      </w:pPr>
      <w:r>
        <w:rPr>
          <w:rFonts w:ascii="Barlow Semi Condensed" w:cs="Barlow Semi Condensed" w:eastAsia="Barlow Semi Condensed" w:hAnsi="Barlow Semi Condensed"/>
          <w:sz w:val="24"/>
          <w:szCs w:val="24"/>
        </w:rPr>
        <w:t xml:space="preserve">Blocco trecentosessanta. Il rumore informativo: le migliaia di segnalazioni, millantazioni e offerte spontanee censite dagli atti quale condizione operativa reale della caccia: Livello A quale fenomeno documentato.</w:t>
      </w:r>
    </w:p>
    <w:p>
      <w:pPr>
        <w:spacing w:after="120" w:line="276"/>
        <w:jc w:val="both"/>
      </w:pPr>
      <w:r>
        <w:rPr>
          <w:rFonts w:ascii="Barlow Semi Condensed" w:cs="Barlow Semi Condensed" w:eastAsia="Barlow Semi Condensed" w:hAnsi="Barlow Semi Condensed"/>
          <w:sz w:val="24"/>
          <w:szCs w:val="24"/>
        </w:rPr>
        <w:t xml:space="preserve">Blocco trecentosessantuno. Il falso comunicato del lago e la ricognizione subacquea sincrona alle operazioni sul covo milanese: cronologia oggettiva iscritta: Livello A quanto ai fatti, Livello C quanto ad ogni regia unitaria non certificata.</w:t>
      </w:r>
    </w:p>
    <w:p>
      <w:pPr>
        <w:spacing w:after="120" w:line="276"/>
        <w:jc w:val="both"/>
      </w:pPr>
      <w:r>
        <w:rPr>
          <w:rFonts w:ascii="Barlow Semi Condensed" w:cs="Barlow Semi Condensed" w:eastAsia="Barlow Semi Condensed" w:hAnsi="Barlow Semi Condensed"/>
          <w:sz w:val="24"/>
          <w:szCs w:val="24"/>
        </w:rPr>
        <w:t xml:space="preserve">Blocco trecentosessantadue. Il doppio ritrovamento di via Monte Nevoso, 1978 e 1990, con il differenziale documentale tra le due acquisizioni: Livello A quanto ai fatti; le carte mancanti restano oggetto senza giudicato.</w:t>
      </w:r>
    </w:p>
    <w:p>
      <w:pPr>
        <w:spacing w:after="120" w:line="276"/>
        <w:jc w:val="both"/>
      </w:pPr>
      <w:r>
        <w:rPr>
          <w:rFonts w:ascii="Barlow Semi Condensed" w:cs="Barlow Semi Condensed" w:eastAsia="Barlow Semi Condensed" w:hAnsi="Barlow Semi Condensed"/>
          <w:sz w:val="24"/>
          <w:szCs w:val="24"/>
        </w:rPr>
        <w:t xml:space="preserve">Blocco trecentosessantatré. L'attribuzione istruttoria del falso comunicato ad un falsario poi ucciso nel 1984 senza processo: Livello B quanto all'attribuzione, Livello A quanto alla morte prima del dibattimento.</w:t>
      </w:r>
    </w:p>
    <w:p>
      <w:pPr>
        <w:spacing w:after="120" w:line="276"/>
        <w:jc w:val="both"/>
      </w:pPr>
      <w:r>
        <w:rPr>
          <w:rFonts w:ascii="Barlow Semi Condensed" w:cs="Barlow Semi Condensed" w:eastAsia="Barlow Semi Condensed" w:hAnsi="Barlow Semi Condensed"/>
          <w:sz w:val="24"/>
          <w:szCs w:val="24"/>
        </w:rPr>
        <w:t xml:space="preserve">Blocco trecentosessantaquattro. Stato Zero di dominio: nessun mandato o concorso di apparato nel sequestro è stato accertato in alcuno dei cinque cicli di giudizio; le omissioni censite restano omissioni: la Regola Ferrea vieta la conversione: Stato Zero certificato.</w:t>
      </w:r>
    </w:p>
    <w:p>
      <w:pPr>
        <w:spacing w:after="120" w:line="276"/>
        <w:jc w:val="both"/>
      </w:pPr>
      <w:r>
        <w:rPr>
          <w:rFonts w:ascii="Barlow Semi Condensed" w:cs="Barlow Semi Condensed" w:eastAsia="Barlow Semi Condensed" w:hAnsi="Barlow Semi Condensed"/>
          <w:sz w:val="24"/>
          <w:szCs w:val="24"/>
        </w:rPr>
        <w:t xml:space="preserve">Sinapsi interdominio settimo-secondo: organizzazione e politica (blocchi trecentosessantacinque–trecentosettantadue)</w:t>
      </w:r>
    </w:p>
    <w:p>
      <w:pPr>
        <w:spacing w:after="120" w:line="276"/>
        <w:jc w:val="both"/>
      </w:pPr>
      <w:r>
        <w:rPr>
          <w:rFonts w:ascii="Barlow Semi Condensed" w:cs="Barlow Semi Condensed" w:eastAsia="Barlow Semi Condensed" w:hAnsi="Barlow Semi Condensed"/>
          <w:sz w:val="24"/>
          <w:szCs w:val="24"/>
        </w:rPr>
        <w:t xml:space="preserve">Blocco trecentosessantacinque. La posta politica: la cronologia 16 gennaio-16 marzo 1978 e la coincidenza del giorno dell'agguato con il voto di fiducia: Livello A quale cronologia oggettiva, senza inferenza di sincronizzazione oltre il suo grado.</w:t>
      </w:r>
    </w:p>
    <w:p>
      <w:pPr>
        <w:spacing w:after="120" w:line="276"/>
        <w:jc w:val="both"/>
      </w:pPr>
      <w:r>
        <w:rPr>
          <w:rFonts w:ascii="Barlow Semi Condensed" w:cs="Barlow Semi Condensed" w:eastAsia="Barlow Semi Condensed" w:hAnsi="Barlow Semi Condensed"/>
          <w:sz w:val="24"/>
          <w:szCs w:val="24"/>
        </w:rPr>
        <w:t xml:space="preserve">Blocco trecentosessantasei. L'architettura argomentativa della corrispondenza al ministro dell'interno quale primo atto della linea negoziale del prigioniero: Livello A quale testo autentico periziato.</w:t>
      </w:r>
    </w:p>
    <w:p>
      <w:pPr>
        <w:spacing w:after="120" w:line="276"/>
        <w:jc w:val="both"/>
      </w:pPr>
      <w:r>
        <w:rPr>
          <w:rFonts w:ascii="Barlow Semi Condensed" w:cs="Barlow Semi Condensed" w:eastAsia="Barlow Semi Condensed" w:hAnsi="Barlow Semi Condensed"/>
          <w:sz w:val="24"/>
          <w:szCs w:val="24"/>
        </w:rPr>
        <w:t xml:space="preserve">Blocco trecentosessantasette. La filiera parallela del partito socialista attraverso l'esponente di vertice, il giornalista e l'area dell'autonomia: esistenza documentata dalle audizioni, portata dei singoli passaggi non integralmente certificata: Livello A sull'esistenza, Livello B sulla portata.</w:t>
      </w:r>
    </w:p>
    <w:p>
      <w:pPr>
        <w:spacing w:after="120" w:line="276"/>
        <w:jc w:val="both"/>
      </w:pPr>
      <w:r>
        <w:rPr>
          <w:rFonts w:ascii="Barlow Semi Condensed" w:cs="Barlow Semi Condensed" w:eastAsia="Barlow Semi Condensed" w:hAnsi="Barlow Semi Condensed"/>
          <w:sz w:val="24"/>
          <w:szCs w:val="24"/>
        </w:rPr>
        <w:t xml:space="preserve">Blocco trecentosessantotto. La fine della solidarietà nazionale nel gennaio 1979 quale effetto-calendario della vicenda: Livello A quale sequenza documentata degli effetti.</w:t>
      </w:r>
    </w:p>
    <w:p>
      <w:pPr>
        <w:spacing w:after="120" w:line="276"/>
        <w:jc w:val="both"/>
      </w:pPr>
      <w:r>
        <w:rPr>
          <w:rFonts w:ascii="Barlow Semi Condensed" w:cs="Barlow Semi Condensed" w:eastAsia="Barlow Semi Condensed" w:hAnsi="Barlow Semi Condensed"/>
          <w:sz w:val="24"/>
          <w:szCs w:val="24"/>
        </w:rPr>
        <w:t xml:space="preserve">Blocco trecentosessantanove. La legislazione emergenziale e premiale del triennio successivo quale vincitrice strutturale della stagione: Livello A quale quadro normativo e applicativo.</w:t>
      </w:r>
    </w:p>
    <w:p>
      <w:pPr>
        <w:spacing w:after="120" w:line="276"/>
        <w:jc w:val="both"/>
      </w:pPr>
      <w:r>
        <w:rPr>
          <w:rFonts w:ascii="Barlow Semi Condensed" w:cs="Barlow Semi Condensed" w:eastAsia="Barlow Semi Condensed" w:hAnsi="Barlow Semi Condensed"/>
          <w:sz w:val="24"/>
          <w:szCs w:val="24"/>
        </w:rPr>
        <w:t xml:space="preserve">Blocco trecentosettanta. L'istituzione per legge, nel 2007, del 9 maggio quale Giorno della memoria delle vittime del terrorismo: Livello A.</w:t>
      </w:r>
    </w:p>
    <w:p>
      <w:pPr>
        <w:spacing w:after="120" w:line="276"/>
        <w:jc w:val="both"/>
      </w:pPr>
      <w:r>
        <w:rPr>
          <w:rFonts w:ascii="Barlow Semi Condensed" w:cs="Barlow Semi Condensed" w:eastAsia="Barlow Semi Condensed" w:hAnsi="Barlow Semi Condensed"/>
          <w:sz w:val="24"/>
          <w:szCs w:val="24"/>
        </w:rPr>
        <w:t xml:space="preserve">Blocco trecentosettantuno. Le dimissioni del ministro dell'interno il 9 maggio e il corpus trentennale delle sue esternazioni successive: Livello A quale esistenza e natura del corpus dichiarativo, Livello C permanente quanto ai contenuti allusivi mai riscontrati.</w:t>
      </w:r>
    </w:p>
    <w:p>
      <w:pPr>
        <w:spacing w:after="120" w:line="276"/>
        <w:jc w:val="both"/>
      </w:pPr>
      <w:r>
        <w:rPr>
          <w:rFonts w:ascii="Barlow Semi Condensed" w:cs="Barlow Semi Condensed" w:eastAsia="Barlow Semi Condensed" w:hAnsi="Barlow Semi Condensed"/>
          <w:sz w:val="24"/>
          <w:szCs w:val="24"/>
        </w:rPr>
        <w:t xml:space="preserve">Blocco trecentosettantadue. La catena istituzionale dell'estate 1978 — le dimissioni del Capo dello Stato, l'elezione del successore, la morte del pontefice: Livello A quale cronologia, iscritta quale sismografo di sistema senza nessi causali oltre il grado.</w:t>
      </w:r>
    </w:p>
    <w:p>
      <w:pPr>
        <w:spacing w:after="120" w:line="276"/>
        <w:jc w:val="both"/>
      </w:pPr>
      <w:r>
        <w:rPr>
          <w:rFonts w:ascii="Barlow Semi Condensed" w:cs="Barlow Semi Condensed" w:eastAsia="Barlow Semi Condensed" w:hAnsi="Barlow Semi Condensed"/>
          <w:sz w:val="24"/>
          <w:szCs w:val="24"/>
        </w:rPr>
        <w:t xml:space="preserve">Sinapsi interdominio settimo-quarto: organizzazione, caso e loggia (blocchi trecentosettantatré–trecentosettantanove)</w:t>
      </w:r>
    </w:p>
    <w:p>
      <w:pPr>
        <w:spacing w:after="120" w:line="276"/>
        <w:jc w:val="both"/>
      </w:pPr>
      <w:r>
        <w:rPr>
          <w:rFonts w:ascii="Barlow Semi Condensed" w:cs="Barlow Semi Condensed" w:eastAsia="Barlow Semi Condensed" w:hAnsi="Barlow Semi Condensed"/>
          <w:sz w:val="24"/>
          <w:szCs w:val="24"/>
        </w:rPr>
        <w:t xml:space="preserve">Blocco trecentosettantatré. Il direttore del settimanale romano negli elenchi sequestrati della loggia e il suo omicidio nel marzo 1979 rimasto senza colpevoli definitivi: Livello A quanto alla risultanza dagli elenchi e all'esito giudiziario; la posizione del nodo che informa contro il proprio cluster è iscritta quale lettura topologica.</w:t>
      </w:r>
    </w:p>
    <w:p>
      <w:pPr>
        <w:spacing w:after="120" w:line="276"/>
        <w:jc w:val="both"/>
      </w:pPr>
      <w:r>
        <w:rPr>
          <w:rFonts w:ascii="Barlow Semi Condensed" w:cs="Barlow Semi Condensed" w:eastAsia="Barlow Semi Condensed" w:hAnsi="Barlow Semi Condensed"/>
          <w:sz w:val="24"/>
          <w:szCs w:val="24"/>
        </w:rPr>
        <w:t xml:space="preserve">Blocco trecentosettantaquattro. La presenza negli elenchi della loggia di titolari di funzioni apicali della sicurezza in carica durante i cinquantacinque giorni: Livello A quale risultanza documentale, senza inferenza di condotte specifiche.</w:t>
      </w:r>
    </w:p>
    <w:p>
      <w:pPr>
        <w:spacing w:after="120" w:line="276"/>
        <w:jc w:val="both"/>
      </w:pPr>
      <w:r>
        <w:rPr>
          <w:rFonts w:ascii="Barlow Semi Condensed" w:cs="Barlow Semi Condensed" w:eastAsia="Barlow Semi Condensed" w:hAnsi="Barlow Semi Condensed"/>
          <w:sz w:val="24"/>
          <w:szCs w:val="24"/>
        </w:rPr>
        <w:t xml:space="preserve">Blocco trecentosettantacinque. Il fascicolo riservato sui traffici petroliferi e la sua migrazione verso il settimanale: sinapsi di transito informativo tra apparati e stampa: Livello A quanto alla vicenda documentale, Livello B quanto ai passaggi intermedi.</w:t>
      </w:r>
    </w:p>
    <w:p>
      <w:pPr>
        <w:spacing w:after="120" w:line="276"/>
        <w:jc w:val="both"/>
      </w:pPr>
      <w:r>
        <w:rPr>
          <w:rFonts w:ascii="Barlow Semi Condensed" w:cs="Barlow Semi Condensed" w:eastAsia="Barlow Semi Condensed" w:hAnsi="Barlow Semi Condensed"/>
          <w:sz w:val="24"/>
          <w:szCs w:val="24"/>
        </w:rPr>
        <w:t xml:space="preserve">Blocco trecentosettantasei. La camera di compensazione: il ruolo della loggia quale piattaforma trasversale, già certificato nelle tranche precedenti, è richiamato per i cinquantacinque giorni senza estensioni nuove: già certificato.</w:t>
      </w:r>
    </w:p>
    <w:p>
      <w:pPr>
        <w:spacing w:after="120" w:line="276"/>
        <w:jc w:val="both"/>
      </w:pPr>
      <w:r>
        <w:rPr>
          <w:rFonts w:ascii="Barlow Semi Condensed" w:cs="Barlow Semi Condensed" w:eastAsia="Barlow Semi Condensed" w:hAnsi="Barlow Semi Condensed"/>
          <w:sz w:val="24"/>
          <w:szCs w:val="24"/>
        </w:rPr>
        <w:t xml:space="preserve">Blocco trecentosettantasette. L'apocrifo delle «convergenze parallele»: circolazione pubblica della formula attribuita e assenza della paternità nel corpus autentico: Livello A sulla circolazione, Livello C sulla paternità.</w:t>
      </w:r>
    </w:p>
    <w:p>
      <w:pPr>
        <w:spacing w:after="120" w:line="276"/>
        <w:jc w:val="both"/>
      </w:pPr>
      <w:r>
        <w:rPr>
          <w:rFonts w:ascii="Barlow Semi Condensed" w:cs="Barlow Semi Condensed" w:eastAsia="Barlow Semi Condensed" w:hAnsi="Barlow Semi Condensed"/>
          <w:sz w:val="24"/>
          <w:szCs w:val="24"/>
        </w:rPr>
        <w:t xml:space="preserve">Blocco trecentosettantotto. Le veline e i dossier quali strumenti di condizionamento informativo nella stagione del caso: fenomeno documentato dalle inchieste parlamentari: Livello B quale sistema, con i singoli episodi al loro grado.</w:t>
      </w:r>
    </w:p>
    <w:p>
      <w:pPr>
        <w:spacing w:after="120" w:line="276"/>
        <w:jc w:val="both"/>
      </w:pPr>
      <w:r>
        <w:rPr>
          <w:rFonts w:ascii="Barlow Semi Condensed" w:cs="Barlow Semi Condensed" w:eastAsia="Barlow Semi Condensed" w:hAnsi="Barlow Semi Condensed"/>
          <w:sz w:val="24"/>
          <w:szCs w:val="24"/>
        </w:rPr>
        <w:t xml:space="preserve">Blocco trecentosettantanove. Stato Zero di dominio: nessun giudicato lega la loggia quale ente alla deliberazione o alla gestione del sequestro: Stato Zero certificato, distinto dalle risultanze individuali dei blocchi precedenti.</w:t>
      </w:r>
    </w:p>
    <w:p>
      <w:pPr>
        <w:spacing w:after="120" w:line="276"/>
        <w:jc w:val="both"/>
      </w:pPr>
      <w:r>
        <w:rPr>
          <w:rFonts w:ascii="Barlow Semi Condensed" w:cs="Barlow Semi Condensed" w:eastAsia="Barlow Semi Condensed" w:hAnsi="Barlow Semi Condensed"/>
          <w:sz w:val="24"/>
          <w:szCs w:val="24"/>
        </w:rPr>
        <w:t xml:space="preserve">Sinapsi interdominio settimo-primo: organizzazione e crimine (blocchi trecentottanta–trecentottantasei)</w:t>
      </w:r>
    </w:p>
    <w:p>
      <w:pPr>
        <w:spacing w:after="120" w:line="276"/>
        <w:jc w:val="both"/>
      </w:pPr>
      <w:r>
        <w:rPr>
          <w:rFonts w:ascii="Barlow Semi Condensed" w:cs="Barlow Semi Condensed" w:eastAsia="Barlow Semi Condensed" w:hAnsi="Barlow Semi Condensed"/>
          <w:sz w:val="24"/>
          <w:szCs w:val="24"/>
        </w:rPr>
        <w:t xml:space="preserve">Blocco trecentottanta. L'ambiente criminale romano attorno al falso comunicato del lago: attribuzione istruttoria all'area della banda capitolina, coerente con il blocco già certificato della terza tranche sulla cerniera crimine-eversione: Livello B istruttorio, incrocio iscritto.</w:t>
      </w:r>
    </w:p>
    <w:p>
      <w:pPr>
        <w:spacing w:after="120" w:line="276"/>
        <w:jc w:val="both"/>
      </w:pPr>
      <w:r>
        <w:rPr>
          <w:rFonts w:ascii="Barlow Semi Condensed" w:cs="Barlow Semi Condensed" w:eastAsia="Barlow Semi Condensed" w:hAnsi="Barlow Semi Condensed"/>
          <w:sz w:val="24"/>
          <w:szCs w:val="24"/>
        </w:rPr>
        <w:t xml:space="preserve">Blocco trecentottantuno. Il canale calabrese attivato durante il sequestro attraverso un parlamentare quale tramite: esistenza documentata dalle audizioni, esiti non certificati: Livello A sull'esistenza del canale, Livello B sugli sviluppi, con la formula degli atti: o non sapevano, o non vollero dire.</w:t>
      </w:r>
    </w:p>
    <w:p>
      <w:pPr>
        <w:spacing w:after="120" w:line="276"/>
        <w:jc w:val="both"/>
      </w:pPr>
      <w:r>
        <w:rPr>
          <w:rFonts w:ascii="Barlow Semi Condensed" w:cs="Barlow Semi Condensed" w:eastAsia="Barlow Semi Condensed" w:hAnsi="Barlow Semi Condensed"/>
          <w:sz w:val="24"/>
          <w:szCs w:val="24"/>
        </w:rPr>
        <w:t xml:space="preserve">Blocco trecentottantadue. L'ipotesi di presenze riconducibili alla criminalità calabrese sulla scena dell'agguato, esplorata dalla seconda Commissione: Livello C dichiarato e non promosso.</w:t>
      </w:r>
    </w:p>
    <w:p>
      <w:pPr>
        <w:spacing w:after="120" w:line="276"/>
        <w:jc w:val="both"/>
      </w:pPr>
      <w:r>
        <w:rPr>
          <w:rFonts w:ascii="Barlow Semi Condensed" w:cs="Barlow Semi Condensed" w:eastAsia="Barlow Semi Condensed" w:hAnsi="Barlow Semi Condensed"/>
          <w:sz w:val="24"/>
          <w:szCs w:val="24"/>
        </w:rPr>
        <w:t xml:space="preserve">Blocco trecentottantatré. La serie 1979-1984 delle morti violente attorno alle carte del caso — l'ufficiale dell'Arma, il giornalista, il generale, il falsario: Livello A quanto a ciascuna morte e al suo giudicato o alla sua assenza, Livello C quanto ad ogni nesso unitario, mai certificato.</w:t>
      </w:r>
    </w:p>
    <w:p>
      <w:pPr>
        <w:spacing w:after="120" w:line="276"/>
        <w:jc w:val="both"/>
      </w:pPr>
      <w:r>
        <w:rPr>
          <w:rFonts w:ascii="Barlow Semi Condensed" w:cs="Barlow Semi Condensed" w:eastAsia="Barlow Semi Condensed" w:hAnsi="Barlow Semi Condensed"/>
          <w:sz w:val="24"/>
          <w:szCs w:val="24"/>
        </w:rPr>
        <w:t xml:space="preserve">Blocco trecentottantaquattro. La requisitoria economica contenuta nel memoriale sul crocevia bancario siciliano-vaticano: testo autentico convergente con le acquisizioni della prima fase del volume: Livello A quale testo, con il suo valore di riscontro indipendente iscritto.</w:t>
      </w:r>
    </w:p>
    <w:p>
      <w:pPr>
        <w:spacing w:after="120" w:line="276"/>
        <w:jc w:val="both"/>
      </w:pPr>
      <w:r>
        <w:rPr>
          <w:rFonts w:ascii="Barlow Semi Condensed" w:cs="Barlow Semi Condensed" w:eastAsia="Barlow Semi Condensed" w:hAnsi="Barlow Semi Condensed"/>
          <w:sz w:val="24"/>
          <w:szCs w:val="24"/>
        </w:rPr>
        <w:t xml:space="preserve">Blocco trecentottantacinque. La traiettoria del generale dal caso alla Sicilia quale sinapsi biografica tra settimo e primo dominio: Livello A quale percorso istituzionale documentato.</w:t>
      </w:r>
    </w:p>
    <w:p>
      <w:pPr>
        <w:spacing w:after="120" w:line="276"/>
        <w:jc w:val="both"/>
      </w:pPr>
      <w:r>
        <w:rPr>
          <w:rFonts w:ascii="Barlow Semi Condensed" w:cs="Barlow Semi Condensed" w:eastAsia="Barlow Semi Condensed" w:hAnsi="Barlow Semi Condensed"/>
          <w:sz w:val="24"/>
          <w:szCs w:val="24"/>
        </w:rPr>
        <w:t xml:space="preserve">Blocco trecentottantasei. Stato Zero di dominio: nessuna commissione mafiosa del sequestro è stata accertata in giudizio: Stato Zero certificato.</w:t>
      </w:r>
    </w:p>
    <w:p>
      <w:pPr>
        <w:spacing w:after="120" w:line="276"/>
        <w:jc w:val="both"/>
      </w:pPr>
      <w:r>
        <w:rPr>
          <w:rFonts w:ascii="Barlow Semi Condensed" w:cs="Barlow Semi Condensed" w:eastAsia="Barlow Semi Condensed" w:hAnsi="Barlow Semi Condensed"/>
          <w:sz w:val="24"/>
          <w:szCs w:val="24"/>
        </w:rPr>
        <w:t xml:space="preserve">Sinapsi interdominio settimo-quinto: organizzazione e sfera religiosa (blocchi trecentottantasette–trecentonovantuno)</w:t>
      </w:r>
    </w:p>
    <w:p>
      <w:pPr>
        <w:spacing w:after="120" w:line="276"/>
        <w:jc w:val="both"/>
      </w:pPr>
      <w:r>
        <w:rPr>
          <w:rFonts w:ascii="Barlow Semi Condensed" w:cs="Barlow Semi Condensed" w:eastAsia="Barlow Semi Condensed" w:hAnsi="Barlow Semi Condensed"/>
          <w:sz w:val="24"/>
          <w:szCs w:val="24"/>
        </w:rPr>
        <w:t xml:space="preserve">Blocco trecentottantasette. L'appello pubblico del pontefice agli «uomini delle Brigate Rosse» e la sua formulazione senza condizioni: Livello A quale atto e testo.</w:t>
      </w:r>
    </w:p>
    <w:p>
      <w:pPr>
        <w:spacing w:after="120" w:line="276"/>
        <w:jc w:val="both"/>
      </w:pPr>
      <w:r>
        <w:rPr>
          <w:rFonts w:ascii="Barlow Semi Condensed" w:cs="Barlow Semi Condensed" w:eastAsia="Barlow Semi Condensed" w:hAnsi="Barlow Semi Condensed"/>
          <w:sz w:val="24"/>
          <w:szCs w:val="24"/>
        </w:rPr>
        <w:t xml:space="preserve">Blocco trecentottantotto. I canali riservati della sponda vaticana e l'ipotesi di disponibilità economica per la liberazione: esistenza dei canali documentata, consistenza degli approntamenti non integralmente certificata: Livello A e Livello B rispettivamente.</w:t>
      </w:r>
    </w:p>
    <w:p>
      <w:pPr>
        <w:spacing w:after="120" w:line="276"/>
        <w:jc w:val="both"/>
      </w:pPr>
      <w:r>
        <w:rPr>
          <w:rFonts w:ascii="Barlow Semi Condensed" w:cs="Barlow Semi Condensed" w:eastAsia="Barlow Semi Condensed" w:hAnsi="Barlow Semi Condensed"/>
          <w:sz w:val="24"/>
          <w:szCs w:val="24"/>
        </w:rPr>
        <w:t xml:space="preserve">Blocco trecentottantanove. La sinapsi biografica lunga tra il prigioniero e il pontefice, dalla comune stagione degli organismi intellettuali cattolici: Livello A storico, quale spiegazione del canale più motivato e meno attrezzato.</w:t>
      </w:r>
    </w:p>
    <w:p>
      <w:pPr>
        <w:spacing w:after="120" w:line="276"/>
        <w:jc w:val="both"/>
      </w:pPr>
      <w:r>
        <w:rPr>
          <w:rFonts w:ascii="Barlow Semi Condensed" w:cs="Barlow Semi Condensed" w:eastAsia="Barlow Semi Condensed" w:hAnsi="Barlow Semi Condensed"/>
          <w:sz w:val="24"/>
          <w:szCs w:val="24"/>
        </w:rPr>
        <w:t xml:space="preserve">Blocco trecentonovanta. La liturgia divisa del congedo: il rito di Stato celebrato senza la salma per volontà della famiglia: Livello A.</w:t>
      </w:r>
    </w:p>
    <w:p>
      <w:pPr>
        <w:spacing w:after="120" w:line="276"/>
        <w:jc w:val="both"/>
      </w:pPr>
      <w:r>
        <w:rPr>
          <w:rFonts w:ascii="Barlow Semi Condensed" w:cs="Barlow Semi Condensed" w:eastAsia="Barlow Semi Condensed" w:hAnsi="Barlow Semi Condensed"/>
          <w:sz w:val="24"/>
          <w:szCs w:val="24"/>
        </w:rPr>
        <w:t xml:space="preserve">Blocco trecentonovantuno. La sepoltura fuori dalla capitale quale scelta del silenzio: Livello A.</w:t>
      </w:r>
    </w:p>
    <w:p>
      <w:pPr>
        <w:spacing w:after="120" w:line="276"/>
        <w:jc w:val="both"/>
      </w:pPr>
      <w:r>
        <w:rPr>
          <w:rFonts w:ascii="Barlow Semi Condensed" w:cs="Barlow Semi Condensed" w:eastAsia="Barlow Semi Condensed" w:hAnsi="Barlow Semi Condensed"/>
          <w:sz w:val="24"/>
          <w:szCs w:val="24"/>
        </w:rPr>
        <w:t xml:space="preserve">Sinapsi interdominio settimo-ottavo: organizzazione e sistema informativo (blocchi trecentonovantadue–trecentonovantasette)</w:t>
      </w:r>
    </w:p>
    <w:p>
      <w:pPr>
        <w:spacing w:after="120" w:line="276"/>
        <w:jc w:val="both"/>
      </w:pPr>
      <w:r>
        <w:rPr>
          <w:rFonts w:ascii="Barlow Semi Condensed" w:cs="Barlow Semi Condensed" w:eastAsia="Barlow Semi Condensed" w:hAnsi="Barlow Semi Condensed"/>
          <w:sz w:val="24"/>
          <w:szCs w:val="24"/>
        </w:rPr>
        <w:t xml:space="preserve">Blocco trecentonovantadue. La sequenza dei nove comunicati autentici e del falso intermedio quale guerra semiotica condotta in parallelo a quella militare: Livello A quale corpus e cronologia.</w:t>
      </w:r>
    </w:p>
    <w:p>
      <w:pPr>
        <w:spacing w:after="120" w:line="276"/>
        <w:jc w:val="both"/>
      </w:pPr>
      <w:r>
        <w:rPr>
          <w:rFonts w:ascii="Barlow Semi Condensed" w:cs="Barlow Semi Condensed" w:eastAsia="Barlow Semi Condensed" w:hAnsi="Barlow Semi Condensed"/>
          <w:sz w:val="24"/>
          <w:szCs w:val="24"/>
        </w:rPr>
        <w:t xml:space="preserve">Blocco trecentonovantatré. I recapiti simultanei multi-città dei comunicati quale prova di rete logistica nazionale attiva: Livello A.</w:t>
      </w:r>
    </w:p>
    <w:p>
      <w:pPr>
        <w:spacing w:after="120" w:line="276"/>
        <w:jc w:val="both"/>
      </w:pPr>
      <w:r>
        <w:rPr>
          <w:rFonts w:ascii="Barlow Semi Condensed" w:cs="Barlow Semi Condensed" w:eastAsia="Barlow Semi Condensed" w:hAnsi="Barlow Semi Condensed"/>
          <w:sz w:val="24"/>
          <w:szCs w:val="24"/>
        </w:rPr>
        <w:t xml:space="preserve">Blocco trecentonovantaquattro. La fotografia del ritrovamento quale icona: genesi, fortuna e funzione ambivalente nella memoria pubblica: Livello A quale fenomeno documentato.</w:t>
      </w:r>
    </w:p>
    <w:p>
      <w:pPr>
        <w:spacing w:after="120" w:line="276"/>
        <w:jc w:val="both"/>
      </w:pPr>
      <w:r>
        <w:rPr>
          <w:rFonts w:ascii="Barlow Semi Condensed" w:cs="Barlow Semi Condensed" w:eastAsia="Barlow Semi Condensed" w:hAnsi="Barlow Semi Condensed"/>
          <w:sz w:val="24"/>
          <w:szCs w:val="24"/>
        </w:rPr>
        <w:t xml:space="preserve">Blocco trecentonovantacinque. L'ecosistema dietrologico quale oggetto di studio: la teoria del regista unico, la sua circolazione dai primi anni Ottanta e la sua sterilità processuale integrale: Livello A sulla circolazione, Livello C permanente sul contenuto.</w:t>
      </w:r>
    </w:p>
    <w:p>
      <w:pPr>
        <w:spacing w:after="120" w:line="276"/>
        <w:jc w:val="both"/>
      </w:pPr>
      <w:r>
        <w:rPr>
          <w:rFonts w:ascii="Barlow Semi Condensed" w:cs="Barlow Semi Condensed" w:eastAsia="Barlow Semi Condensed" w:hAnsi="Barlow Semi Condensed"/>
          <w:sz w:val="24"/>
          <w:szCs w:val="24"/>
        </w:rPr>
        <w:t xml:space="preserve">Blocco trecentonovantasei. Il dibattito coevo sulla pubblicazione delle lettere e la gestione giornalistica del carteggio quale campo di battaglia parallelo: Livello A quale fenomeno di stampa documentato.</w:t>
      </w:r>
    </w:p>
    <w:p>
      <w:pPr>
        <w:spacing w:after="120" w:line="276"/>
        <w:jc w:val="both"/>
      </w:pPr>
      <w:r>
        <w:rPr>
          <w:rFonts w:ascii="Barlow Semi Condensed" w:cs="Barlow Semi Condensed" w:eastAsia="Barlow Semi Condensed" w:hAnsi="Barlow Semi Condensed"/>
          <w:sz w:val="24"/>
          <w:szCs w:val="24"/>
        </w:rPr>
        <w:t xml:space="preserve">Blocco trecentonovantasette. Il giacimento editoriale: il caso quale evento singolo più scritto della storia repubblicana e il problema epistemologico dell'indistinzione dei gradi nella memoria collettiva: Livello A quale fenomeno, con la funzione correttiva del volume iscritta.</w:t>
      </w:r>
    </w:p>
    <w:p>
      <w:pPr>
        <w:spacing w:after="120" w:line="276"/>
        <w:jc w:val="both"/>
      </w:pPr>
      <w:r>
        <w:rPr>
          <w:rFonts w:ascii="Barlow Semi Condensed" w:cs="Barlow Semi Condensed" w:eastAsia="Barlow Semi Condensed" w:hAnsi="Barlow Semi Condensed"/>
          <w:sz w:val="24"/>
          <w:szCs w:val="24"/>
        </w:rPr>
        <w:t xml:space="preserve">Sinapsi interdominio settimo-decimo: organizzazione, giustizia e inchieste (blocchi trecentonovantotto–quattrocentocinque)</w:t>
      </w:r>
    </w:p>
    <w:p>
      <w:pPr>
        <w:spacing w:after="120" w:line="276"/>
        <w:jc w:val="both"/>
      </w:pPr>
      <w:r>
        <w:rPr>
          <w:rFonts w:ascii="Barlow Semi Condensed" w:cs="Barlow Semi Condensed" w:eastAsia="Barlow Semi Condensed" w:hAnsi="Barlow Semi Condensed"/>
          <w:sz w:val="24"/>
          <w:szCs w:val="24"/>
        </w:rPr>
        <w:t xml:space="preserve">Blocco trecentonovantotto. L'architettura dei cinque cicli di giudizio e la stabilità del quadro dei giudicati: Livello A.</w:t>
      </w:r>
    </w:p>
    <w:p>
      <w:pPr>
        <w:spacing w:after="120" w:line="276"/>
        <w:jc w:val="both"/>
      </w:pPr>
      <w:r>
        <w:rPr>
          <w:rFonts w:ascii="Barlow Semi Condensed" w:cs="Barlow Semi Condensed" w:eastAsia="Barlow Semi Condensed" w:hAnsi="Barlow Semi Condensed"/>
          <w:sz w:val="24"/>
          <w:szCs w:val="24"/>
        </w:rPr>
        <w:t xml:space="preserve">Blocco trecentonovantanove. Le perizie grafiche sull'autenticità del carteggio e la certificazione della lucidità della scrittura: Livello A.</w:t>
      </w:r>
    </w:p>
    <w:p>
      <w:pPr>
        <w:spacing w:after="120" w:line="276"/>
        <w:jc w:val="both"/>
      </w:pPr>
      <w:r>
        <w:rPr>
          <w:rFonts w:ascii="Barlow Semi Condensed" w:cs="Barlow Semi Condensed" w:eastAsia="Barlow Semi Condensed" w:hAnsi="Barlow Semi Condensed"/>
          <w:sz w:val="24"/>
          <w:szCs w:val="24"/>
        </w:rPr>
        <w:t xml:space="preserve">Blocco quattrocento. Le campagne peritali sulla scena, dai rilievi del 1978 alle ricostruzioni strumentali del 2015-2016: stratigrafia tecnica iscritta: Livello A quale sequenza e quale funzione di restringimento dei margini.</w:t>
      </w:r>
    </w:p>
    <w:p>
      <w:pPr>
        <w:spacing w:after="120" w:line="276"/>
        <w:jc w:val="both"/>
      </w:pPr>
      <w:r>
        <w:rPr>
          <w:rFonts w:ascii="Barlow Semi Condensed" w:cs="Barlow Semi Condensed" w:eastAsia="Barlow Semi Condensed" w:hAnsi="Barlow Semi Condensed"/>
          <w:sz w:val="24"/>
          <w:szCs w:val="24"/>
        </w:rPr>
        <w:t xml:space="preserve">Blocco quattrocentouno. La prima Commissione dedicata e il ventaglio delle relazioni di maggioranza e di minoranza quale mappa delle letture coeve: Livello A.</w:t>
      </w:r>
    </w:p>
    <w:p>
      <w:pPr>
        <w:spacing w:after="120" w:line="276"/>
        <w:jc w:val="both"/>
      </w:pPr>
      <w:r>
        <w:rPr>
          <w:rFonts w:ascii="Barlow Semi Condensed" w:cs="Barlow Semi Condensed" w:eastAsia="Barlow Semi Condensed" w:hAnsi="Barlow Semi Condensed"/>
          <w:sz w:val="24"/>
          <w:szCs w:val="24"/>
        </w:rPr>
        <w:t xml:space="preserve">Blocco quattrocentodue. Il Gruppo di lavoro sul caso della Commissione della decima legislatura: dodici resoconti stenografici scansionati per seicentoventuno pagine, presenti nel corpus di progetto quali originali riprodotti: Livello A verificato ora quale giacimento primario interno al corpus.</w:t>
      </w:r>
    </w:p>
    <w:p>
      <w:pPr>
        <w:spacing w:after="120" w:line="276"/>
        <w:jc w:val="both"/>
      </w:pPr>
      <w:r>
        <w:rPr>
          <w:rFonts w:ascii="Barlow Semi Condensed" w:cs="Barlow Semi Condensed" w:eastAsia="Barlow Semi Condensed" w:hAnsi="Barlow Semi Condensed"/>
          <w:sz w:val="24"/>
          <w:szCs w:val="24"/>
        </w:rPr>
        <w:t xml:space="preserve">Blocco quattrocentotré. L'elaborato parlamentare del 29 settembre 2000 sul sequestro e sull'omicidio, presente nel corpus quale estrazione integrale con cronologia essenziale: Livello A verificato ora; la convergenza dei suoi enunciati con la fase quarta del volume è stata saggiata a campione senza divergenze fattuali.</w:t>
      </w:r>
    </w:p>
    <w:p>
      <w:pPr>
        <w:spacing w:after="120" w:line="276"/>
        <w:jc w:val="both"/>
      </w:pPr>
      <w:r>
        <w:rPr>
          <w:rFonts w:ascii="Barlow Semi Condensed" w:cs="Barlow Semi Condensed" w:eastAsia="Barlow Semi Condensed" w:hAnsi="Barlow Semi Condensed"/>
          <w:sz w:val="24"/>
          <w:szCs w:val="24"/>
        </w:rPr>
        <w:t xml:space="preserve">Blocco quattrocentoquattro. La seconda Commissione dedicata, 2014-2017: direttrici, produzione documentale e rendimento — promozioni dal terzo al secondo grado, nessuna al primo: Livello A quale bilancio dei lavori.</w:t>
      </w:r>
    </w:p>
    <w:p>
      <w:pPr>
        <w:spacing w:after="120" w:line="276"/>
        <w:jc w:val="both"/>
      </w:pPr>
      <w:r>
        <w:rPr>
          <w:rFonts w:ascii="Barlow Semi Condensed" w:cs="Barlow Semi Condensed" w:eastAsia="Barlow Semi Condensed" w:hAnsi="Barlow Semi Condensed"/>
          <w:sz w:val="24"/>
          <w:szCs w:val="24"/>
        </w:rPr>
        <w:t xml:space="preserve">Blocco quattrocentocinque. L'asimmetria sanzionatoria del caso: severità con l'indiscrezione, mutismo con l'omissione: Livello A quale aggregato dei giudicati, iscritto quale reperto di sistema.</w:t>
      </w:r>
    </w:p>
    <w:p>
      <w:pPr>
        <w:spacing w:after="120" w:line="276"/>
        <w:jc w:val="both"/>
      </w:pPr>
      <w:r>
        <w:rPr>
          <w:rFonts w:ascii="Barlow Semi Condensed" w:cs="Barlow Semi Condensed" w:eastAsia="Barlow Semi Condensed" w:hAnsi="Barlow Semi Condensed"/>
          <w:sz w:val="24"/>
          <w:szCs w:val="24"/>
        </w:rPr>
        <w:t xml:space="preserve">Sinapsi internazionali: il settimo dominio e il teatro esterno (blocchi quattrocentosei–quattrocentoquindici)</w:t>
      </w:r>
    </w:p>
    <w:p>
      <w:pPr>
        <w:spacing w:after="120" w:line="276"/>
        <w:jc w:val="both"/>
      </w:pPr>
      <w:r>
        <w:rPr>
          <w:rFonts w:ascii="Barlow Semi Condensed" w:cs="Barlow Semi Condensed" w:eastAsia="Barlow Semi Condensed" w:hAnsi="Barlow Semi Condensed"/>
          <w:sz w:val="24"/>
          <w:szCs w:val="24"/>
        </w:rPr>
        <w:t xml:space="preserve">Blocco quattrocentosei. Lo Stato Zero della struttura di collegamento parigina: nessun giudicato ne accerta il ruolo nel caso; la genesi del sodalizio precedente resta certificata al suo grado: Stato Zero sull'ente, Livello A sulla genealogia documentata.</w:t>
      </w:r>
    </w:p>
    <w:p>
      <w:pPr>
        <w:spacing w:after="120" w:line="276"/>
        <w:jc w:val="both"/>
      </w:pPr>
      <w:r>
        <w:rPr>
          <w:rFonts w:ascii="Barlow Semi Condensed" w:cs="Barlow Semi Condensed" w:eastAsia="Barlow Semi Condensed" w:hAnsi="Barlow Semi Condensed"/>
          <w:sz w:val="24"/>
          <w:szCs w:val="24"/>
        </w:rPr>
        <w:t xml:space="preserve">Blocco quattrocentosette. Le missioni italiane dell'agenzia di Lisbona nel biennio 1967-1968 e la priorità temporale contatto-evento certificata dalle carte del fondo portoghese: Livello A sulle carte, Livello B sulla portata operativa: la direzione portoghese consegnata dalla sesta tranche è onorata in questa sede per il segmento moroteo-stragista.</w:t>
      </w:r>
    </w:p>
    <w:p>
      <w:pPr>
        <w:spacing w:after="120" w:line="276"/>
        <w:jc w:val="both"/>
      </w:pPr>
      <w:r>
        <w:rPr>
          <w:rFonts w:ascii="Barlow Semi Condensed" w:cs="Barlow Semi Condensed" w:eastAsia="Barlow Semi Condensed" w:hAnsi="Barlow Semi Condensed"/>
          <w:sz w:val="24"/>
          <w:szCs w:val="24"/>
        </w:rPr>
        <w:t xml:space="preserve">Blocco quattrocentotto. Il campo orientale quale ambiente documentato del terrorismo di sinistra — formazione, santuari, contiguità — senza mandato accertato per il caso: Livello B sull'ambiente, Stato Zero sul mandato, coerente con l'elaborato sull'ombra orientale presente nel corpus.</w:t>
      </w:r>
    </w:p>
    <w:p>
      <w:pPr>
        <w:spacing w:after="120" w:line="276"/>
        <w:jc w:val="both"/>
      </w:pPr>
      <w:r>
        <w:rPr>
          <w:rFonts w:ascii="Barlow Semi Condensed" w:cs="Barlow Semi Condensed" w:eastAsia="Barlow Semi Condensed" w:hAnsi="Barlow Semi Condensed"/>
          <w:sz w:val="24"/>
          <w:szCs w:val="24"/>
        </w:rPr>
        <w:t xml:space="preserve">Blocco quattrocentonove. La cornice mediterranea riservata quale condizione permanente del quadrante nel decennio: Livello A quale cornice, senza conversione in movente.</w:t>
      </w:r>
    </w:p>
    <w:p>
      <w:pPr>
        <w:spacing w:after="120" w:line="276"/>
        <w:jc w:val="both"/>
      </w:pPr>
      <w:r>
        <w:rPr>
          <w:rFonts w:ascii="Barlow Semi Condensed" w:cs="Barlow Semi Condensed" w:eastAsia="Barlow Semi Condensed" w:hAnsi="Barlow Semi Condensed"/>
          <w:sz w:val="24"/>
          <w:szCs w:val="24"/>
        </w:rPr>
        <w:t xml:space="preserve">Blocco quattrocentodieci. Il manuale supplementare attribuito e la sua circolazione italiana: Livello A sulla circolazione, Livello C sulla paternità, invariato rispetto al volume.</w:t>
      </w:r>
    </w:p>
    <w:p>
      <w:pPr>
        <w:spacing w:after="120" w:line="276"/>
        <w:jc w:val="both"/>
      </w:pPr>
      <w:r>
        <w:rPr>
          <w:rFonts w:ascii="Barlow Semi Condensed" w:cs="Barlow Semi Condensed" w:eastAsia="Barlow Semi Condensed" w:hAnsi="Barlow Semi Condensed"/>
          <w:sz w:val="24"/>
          <w:szCs w:val="24"/>
        </w:rPr>
        <w:t xml:space="preserve">Blocco quattrocentoundici. La cornice della distensione e della conferenza paneuropea quale contesto strategico del 1978: Livello A quale cornice storica.</w:t>
      </w:r>
    </w:p>
    <w:p>
      <w:pPr>
        <w:spacing w:after="120" w:line="276"/>
        <w:jc w:val="both"/>
      </w:pPr>
      <w:r>
        <w:rPr>
          <w:rFonts w:ascii="Barlow Semi Condensed" w:cs="Barlow Semi Condensed" w:eastAsia="Barlow Semi Condensed" w:hAnsi="Barlow Semi Condensed"/>
          <w:sz w:val="24"/>
          <w:szCs w:val="24"/>
        </w:rPr>
        <w:t xml:space="preserve">Blocco quattrocentododici. Il rapporto congressuale d'oltreoceano sui finanziamenti riservati e la doppia sovranità della medesima notizia: Livello A quale atto del rapporto.</w:t>
      </w:r>
    </w:p>
    <w:p>
      <w:pPr>
        <w:spacing w:after="120" w:line="276"/>
        <w:jc w:val="both"/>
      </w:pPr>
      <w:r>
        <w:rPr>
          <w:rFonts w:ascii="Barlow Semi Condensed" w:cs="Barlow Semi Condensed" w:eastAsia="Barlow Semi Condensed" w:hAnsi="Barlow Semi Condensed"/>
          <w:sz w:val="24"/>
          <w:szCs w:val="24"/>
        </w:rPr>
        <w:t xml:space="preserve">Blocco quattrocentotredici. La minaccia riferita dal prigioniero e dalla vedova quanto agli avvertimenti ricevuti oltreoceano: convergenza dichiarativa di fonti familiari e memoriali: Livello B dichiarativo, Livello C quanto ad ogni lettura causale.</w:t>
      </w:r>
    </w:p>
    <w:p>
      <w:pPr>
        <w:spacing w:after="120" w:line="276"/>
        <w:jc w:val="both"/>
      </w:pPr>
      <w:r>
        <w:rPr>
          <w:rFonts w:ascii="Barlow Semi Condensed" w:cs="Barlow Semi Condensed" w:eastAsia="Barlow Semi Condensed" w:hAnsi="Barlow Semi Condensed"/>
          <w:sz w:val="24"/>
          <w:szCs w:val="24"/>
        </w:rPr>
        <w:t xml:space="preserve">Blocco quattrocentoquattordici. Il santuario transalpino quale moratoria di fatto sulle estradizioni per un ventennio: Livello A quale prassi documentata, con l'epilogo del nuovo secolo iscritto.</w:t>
      </w:r>
    </w:p>
    <w:p>
      <w:pPr>
        <w:spacing w:after="120" w:line="276"/>
        <w:jc w:val="both"/>
      </w:pPr>
      <w:r>
        <w:rPr>
          <w:rFonts w:ascii="Barlow Semi Condensed" w:cs="Barlow Semi Condensed" w:eastAsia="Barlow Semi Condensed" w:hAnsi="Barlow Semi Condensed"/>
          <w:sz w:val="24"/>
          <w:szCs w:val="24"/>
        </w:rPr>
        <w:t xml:space="preserve">Blocco quattrocentoquindici. Stato Zero internazionale complessivo: nessun cittadino, apparato o governo straniero è mai stato imputato per il caso in alcuna giurisdizione: Stato Zero certificato, quale limite costitutivo della giustizia territoriale davanti a fatti transnazionali.</w:t>
      </w:r>
    </w:p>
    <w:p>
      <w:pPr>
        <w:spacing w:after="120" w:line="276"/>
        <w:jc w:val="both"/>
      </w:pPr>
      <w:r>
        <w:rPr>
          <w:rFonts w:ascii="Barlow Semi Condensed" w:cs="Barlow Semi Condensed" w:eastAsia="Barlow Semi Condensed" w:hAnsi="Barlow Semi Condensed"/>
          <w:sz w:val="24"/>
          <w:szCs w:val="24"/>
        </w:rPr>
        <w:t xml:space="preserve">Triangolazione documentale con il corpus di progetto (blocchi quattrocentosedici–quattrocentoventicinque)</w:t>
      </w:r>
    </w:p>
    <w:p>
      <w:pPr>
        <w:spacing w:after="120" w:line="276"/>
        <w:jc w:val="both"/>
      </w:pPr>
      <w:r>
        <w:rPr>
          <w:rFonts w:ascii="Barlow Semi Condensed" w:cs="Barlow Semi Condensed" w:eastAsia="Barlow Semi Condensed" w:hAnsi="Barlow Semi Condensed"/>
          <w:sz w:val="24"/>
          <w:szCs w:val="24"/>
        </w:rPr>
        <w:t xml:space="preserve">Blocco quattrocentosedici. Il dataset testuale integrale degli scritti: milleseessantadue documenti dal 1932 al 6 marzo 1978, ordinati cronologicamente: Livello A quale giacimento; la circostanza che l'ultimo documento libero preceda di dieci giorni l'agguato è iscritta quale confine naturale del corpus della voce.</w:t>
      </w:r>
    </w:p>
    <w:p>
      <w:pPr>
        <w:spacing w:after="120" w:line="276"/>
        <w:jc w:val="both"/>
      </w:pPr>
      <w:r>
        <w:rPr>
          <w:rFonts w:ascii="Barlow Semi Condensed" w:cs="Barlow Semi Condensed" w:eastAsia="Barlow Semi Condensed" w:hAnsi="Barlow Semi Condensed"/>
          <w:sz w:val="24"/>
          <w:szCs w:val="24"/>
        </w:rPr>
        <w:t xml:space="preserve">Blocco quattrocentodiciassette. L'edizione delle lettere dalla prigionia presente nel corpus quale riproduzione: la natura del supporto e l'assenza di uno strato testuale estraibile verificato in questa sessione sono iscritte; la lavorazione per riconoscimento ottico è pendenza dichiarata: Livello A quale esistenza e natura del reperto.</w:t>
      </w:r>
    </w:p>
    <w:p>
      <w:pPr>
        <w:spacing w:after="120" w:line="276"/>
        <w:jc w:val="both"/>
      </w:pPr>
      <w:r>
        <w:rPr>
          <w:rFonts w:ascii="Barlow Semi Condensed" w:cs="Barlow Semi Condensed" w:eastAsia="Barlow Semi Condensed" w:hAnsi="Barlow Semi Condensed"/>
          <w:sz w:val="24"/>
          <w:szCs w:val="24"/>
        </w:rPr>
        <w:t xml:space="preserve">Blocco quattrocentodiciotto. La relazione della prima Commissione presente nel corpus quale riproduzione documentale nelle medesime condizioni di supporto: Livello A quale esistenza, pendenza di lavorazione identica.</w:t>
      </w:r>
    </w:p>
    <w:p>
      <w:pPr>
        <w:spacing w:after="120" w:line="276"/>
        <w:jc w:val="both"/>
      </w:pPr>
      <w:r>
        <w:rPr>
          <w:rFonts w:ascii="Barlow Semi Condensed" w:cs="Barlow Semi Condensed" w:eastAsia="Barlow Semi Condensed" w:hAnsi="Barlow Semi Condensed"/>
          <w:sz w:val="24"/>
          <w:szCs w:val="24"/>
        </w:rPr>
        <w:t xml:space="preserve">Blocco quattrocentodiciannove. La bibliografia morotea presente nel corpus quale censimento del giacimento editoriale: Livello A quale strumento, coerente con il blocco sul monumento cartaceo.</w:t>
      </w:r>
    </w:p>
    <w:p>
      <w:pPr>
        <w:spacing w:after="120" w:line="276"/>
        <w:jc w:val="both"/>
      </w:pPr>
      <w:r>
        <w:rPr>
          <w:rFonts w:ascii="Barlow Semi Condensed" w:cs="Barlow Semi Condensed" w:eastAsia="Barlow Semi Condensed" w:hAnsi="Barlow Semi Condensed"/>
          <w:sz w:val="24"/>
          <w:szCs w:val="24"/>
        </w:rPr>
        <w:t xml:space="preserve">Blocco quattrocentoventi. Il materiale ricostruttivo sull'agguato presente nel corpus quale supporto divulgativo-didattico: Livello B quale natura, con uso limitato al riscontro di coerenza.</w:t>
      </w:r>
    </w:p>
    <w:p>
      <w:pPr>
        <w:spacing w:after="120" w:line="276"/>
        <w:jc w:val="both"/>
      </w:pPr>
      <w:r>
        <w:rPr>
          <w:rFonts w:ascii="Barlow Semi Condensed" w:cs="Barlow Semi Condensed" w:eastAsia="Barlow Semi Condensed" w:hAnsi="Barlow Semi Condensed"/>
          <w:sz w:val="24"/>
          <w:szCs w:val="24"/>
        </w:rPr>
        <w:t xml:space="preserve">Blocco quattrocentoventuno. L'elaborato del Tomo sesto quale fonte-architrave già mobilitata nei blocchi precedenti: il suo statuto di estrazione integrale da atto parlamentare è confermato: Livello A.</w:t>
      </w:r>
    </w:p>
    <w:p>
      <w:pPr>
        <w:spacing w:after="120" w:line="276"/>
        <w:jc w:val="both"/>
      </w:pPr>
      <w:r>
        <w:rPr>
          <w:rFonts w:ascii="Barlow Semi Condensed" w:cs="Barlow Semi Condensed" w:eastAsia="Barlow Semi Condensed" w:hAnsi="Barlow Semi Condensed"/>
          <w:sz w:val="24"/>
          <w:szCs w:val="24"/>
        </w:rPr>
        <w:t xml:space="preserve">Blocco quattrocentoventidue. La famiglia dei registri federati del caso nel corpus — analitico nelle edizioni successive, di scavo, speculare, genetico — con codice relazionale e protocollo dei passaggi: Livello A quale architettura documentale; la riconciliazione con il volume è pendenza consegnata all'ottava tranche.</w:t>
      </w:r>
    </w:p>
    <w:p>
      <w:pPr>
        <w:spacing w:after="120" w:line="276"/>
        <w:jc w:val="both"/>
      </w:pPr>
      <w:r>
        <w:rPr>
          <w:rFonts w:ascii="Barlow Semi Condensed" w:cs="Barlow Semi Condensed" w:eastAsia="Barlow Semi Condensed" w:hAnsi="Barlow Semi Condensed"/>
          <w:sz w:val="24"/>
          <w:szCs w:val="24"/>
        </w:rPr>
        <w:t xml:space="preserve">Blocco quattrocentoventitré. La scheda approfondita sulla relazione conclusiva del Tomo terzo presente nel corpus: Livello A quale strumento di raccordo tra le fonti parlamentari.</w:t>
      </w:r>
    </w:p>
    <w:p>
      <w:pPr>
        <w:spacing w:after="120" w:line="276"/>
        <w:jc w:val="both"/>
      </w:pPr>
      <w:r>
        <w:rPr>
          <w:rFonts w:ascii="Barlow Semi Condensed" w:cs="Barlow Semi Condensed" w:eastAsia="Barlow Semi Condensed" w:hAnsi="Barlow Semi Condensed"/>
          <w:sz w:val="24"/>
          <w:szCs w:val="24"/>
        </w:rPr>
        <w:t xml:space="preserve">Blocco quattrocentoventiquattro. Le tavole di triangolazione sull'armamento dell'esecuzione e sui bossoli: Livello A quale esistenza degli strumenti; i contenuti restano al grado delle rispettive fonti peritali.</w:t>
      </w:r>
    </w:p>
    <w:p>
      <w:pPr>
        <w:spacing w:after="120" w:line="276"/>
        <w:jc w:val="both"/>
      </w:pPr>
      <w:r>
        <w:rPr>
          <w:rFonts w:ascii="Barlow Semi Condensed" w:cs="Barlow Semi Condensed" w:eastAsia="Barlow Semi Condensed" w:hAnsi="Barlow Semi Condensed"/>
          <w:sz w:val="24"/>
          <w:szCs w:val="24"/>
        </w:rPr>
        <w:t xml:space="preserve">Blocco quattrocentoventicinque. Le ricognizioni sulle armi corte della stagione — le serie sul modello tedesco e sul modello nazionale — quali strumenti di cascata balistica: Livello B quale apparato ricognitivo, con divieto d'uso probatorio autonomo.</w:t>
      </w:r>
    </w:p>
    <w:p>
      <w:pPr>
        <w:spacing w:after="120" w:line="276"/>
        <w:jc w:val="both"/>
      </w:pPr>
      <w:r>
        <w:rPr>
          <w:rFonts w:ascii="Barlow Semi Condensed" w:cs="Barlow Semi Condensed" w:eastAsia="Barlow Semi Condensed" w:hAnsi="Barlow Semi Condensed"/>
          <w:sz w:val="24"/>
          <w:szCs w:val="24"/>
        </w:rPr>
        <w:t xml:space="preserve">Cascata verso i blocchi certificati (blocchi quattrocentoventisei–quattrocentotrentuno)</w:t>
      </w:r>
    </w:p>
    <w:p>
      <w:pPr>
        <w:spacing w:after="120" w:line="276"/>
        <w:jc w:val="both"/>
      </w:pPr>
      <w:r>
        <w:rPr>
          <w:rFonts w:ascii="Barlow Semi Condensed" w:cs="Barlow Semi Condensed" w:eastAsia="Barlow Semi Condensed" w:hAnsi="Barlow Semi Condensed"/>
          <w:sz w:val="24"/>
          <w:szCs w:val="24"/>
        </w:rPr>
        <w:t xml:space="preserve">Blocco quattrocentoventisei. Bologna: le certificazioni della terza tranche sull'esecuzione e sul finanziamento e la fase terza del volume convergono senza residui: già certificato, coerenza verificata ora.</w:t>
      </w:r>
    </w:p>
    <w:p>
      <w:pPr>
        <w:spacing w:after="120" w:line="276"/>
        <w:jc w:val="both"/>
      </w:pPr>
      <w:r>
        <w:rPr>
          <w:rFonts w:ascii="Barlow Semi Condensed" w:cs="Barlow Semi Condensed" w:eastAsia="Barlow Semi Condensed" w:hAnsi="Barlow Semi Condensed"/>
          <w:sz w:val="24"/>
          <w:szCs w:val="24"/>
        </w:rPr>
        <w:t xml:space="preserve">Blocco quattrocentoventisette. L'omicidio del presidente della Regione siciliana: la matrice accertata, le assoluzioni della pista nera e la riapertura con depistaggio contestato, certificati nella terza tranche, coincidono con il decimo capitolo della fase terza del volume: già certificato, coerenza verificata ora.</w:t>
      </w:r>
    </w:p>
    <w:p>
      <w:pPr>
        <w:spacing w:after="120" w:line="276"/>
        <w:jc w:val="both"/>
      </w:pPr>
      <w:r>
        <w:rPr>
          <w:rFonts w:ascii="Barlow Semi Condensed" w:cs="Barlow Semi Condensed" w:eastAsia="Barlow Semi Condensed" w:hAnsi="Barlow Semi Condensed"/>
          <w:sz w:val="24"/>
          <w:szCs w:val="24"/>
        </w:rPr>
        <w:t xml:space="preserve">Blocco quattrocentoventotto. La banda capitolina quale cerniera crimine-eversione: il blocco della terza tranche e i capitoli romani del volume sono reciprocamente coerenti: già certificato.</w:t>
      </w:r>
    </w:p>
    <w:p>
      <w:pPr>
        <w:spacing w:after="120" w:line="276"/>
        <w:jc w:val="both"/>
      </w:pPr>
      <w:r>
        <w:rPr>
          <w:rFonts w:ascii="Barlow Semi Condensed" w:cs="Barlow Semi Condensed" w:eastAsia="Barlow Semi Condensed" w:hAnsi="Barlow Semi Condensed"/>
          <w:sz w:val="24"/>
          <w:szCs w:val="24"/>
        </w:rPr>
        <w:t xml:space="preserve">Blocco quattrocentoventinove. La loggia quale piattaforma: le certificazioni delle tranche prima e quinta reggono l'impiego che il volume ne fa per i cinquantacinque giorni: già certificato.</w:t>
      </w:r>
    </w:p>
    <w:p>
      <w:pPr>
        <w:spacing w:after="120" w:line="276"/>
        <w:jc w:val="both"/>
      </w:pPr>
      <w:r>
        <w:rPr>
          <w:rFonts w:ascii="Barlow Semi Condensed" w:cs="Barlow Semi Condensed" w:eastAsia="Barlow Semi Condensed" w:hAnsi="Barlow Semi Condensed"/>
          <w:sz w:val="24"/>
          <w:szCs w:val="24"/>
        </w:rPr>
        <w:t xml:space="preserve">Blocco quattrocentotrenta. L'orizzonte eurasiatista della seconda tranche non interseca il perimetro cronologico del volume: l'incrocio resta prospettico e dichiarato: Livello C quale ponte di ricerca, non quale connessione.</w:t>
      </w:r>
    </w:p>
    <w:p>
      <w:pPr>
        <w:spacing w:after="120" w:line="276"/>
        <w:jc w:val="both"/>
      </w:pPr>
      <w:r>
        <w:rPr>
          <w:rFonts w:ascii="Barlow Semi Condensed" w:cs="Barlow Semi Condensed" w:eastAsia="Barlow Semi Condensed" w:hAnsi="Barlow Semi Condensed"/>
          <w:sz w:val="24"/>
          <w:szCs w:val="24"/>
        </w:rPr>
        <w:t xml:space="preserve">Blocco quattrocentotrentuno. Il coordinamento repressivo australe certificato nelle tranche precedenti e la fase quinta del volume richiamano i medesimi giudicati: coerenza piena: già certificato.</w:t>
      </w:r>
    </w:p>
    <w:p>
      <w:pPr>
        <w:spacing w:after="120" w:line="276"/>
        <w:jc w:val="both"/>
      </w:pPr>
      <w:r>
        <w:rPr>
          <w:rFonts w:ascii="Barlow Semi Condensed" w:cs="Barlow Semi Condensed" w:eastAsia="Barlow Semi Condensed" w:hAnsi="Barlow Semi Condensed"/>
          <w:sz w:val="24"/>
          <w:szCs w:val="24"/>
        </w:rPr>
        <w:t xml:space="preserve">Stati Zero e pendenze della tranche (blocchi quattrocentotrentadue–quattrocentotrentacinque)</w:t>
      </w:r>
    </w:p>
    <w:p>
      <w:pPr>
        <w:spacing w:after="120" w:line="276"/>
        <w:jc w:val="both"/>
      </w:pPr>
      <w:r>
        <w:rPr>
          <w:rFonts w:ascii="Barlow Semi Condensed" w:cs="Barlow Semi Condensed" w:eastAsia="Barlow Semi Condensed" w:hAnsi="Barlow Semi Condensed"/>
          <w:sz w:val="24"/>
          <w:szCs w:val="24"/>
        </w:rPr>
        <w:t xml:space="preserve">Blocco quattrocentotrentadue. Esito di coerenza: nessuna contraddizione fattuale tra il volume-innesco, il corpus di progetto campionato e i trecentotrentotto blocchi certificati è emersa dalla campagna: esito iscritto quale risultato, non quale prova di completezza.</w:t>
      </w:r>
    </w:p>
    <w:p>
      <w:pPr>
        <w:spacing w:after="120" w:line="276"/>
        <w:jc w:val="both"/>
      </w:pPr>
      <w:r>
        <w:rPr>
          <w:rFonts w:ascii="Barlow Semi Condensed" w:cs="Barlow Semi Condensed" w:eastAsia="Barlow Semi Condensed" w:hAnsi="Barlow Semi Condensed"/>
          <w:sz w:val="24"/>
          <w:szCs w:val="24"/>
        </w:rPr>
        <w:t xml:space="preserve">Blocco quattrocentotrentatré. Stato Zero semantico: il memoriale autentico non nomina la struttura di collegamento parigina né i suoi animatori: il silenzio del documento è iscritto quale reperto al suo grado: Stato Zero documentale.</w:t>
      </w:r>
    </w:p>
    <w:p>
      <w:pPr>
        <w:spacing w:after="120" w:line="276"/>
        <w:jc w:val="both"/>
      </w:pPr>
      <w:r>
        <w:rPr>
          <w:rFonts w:ascii="Barlow Semi Condensed" w:cs="Barlow Semi Condensed" w:eastAsia="Barlow Semi Condensed" w:hAnsi="Barlow Semi Condensed"/>
          <w:sz w:val="24"/>
          <w:szCs w:val="24"/>
        </w:rPr>
        <w:t xml:space="preserve">Blocco quattrocentotrentaquattro. Stato Zero negoziale: nessun documento del corpus attesta una trattativa di Stato conclusa o un accordo perfezionato per la liberazione: Stato Zero certificato, distinto dai canali esplorati che restano ai loro gradi.</w:t>
      </w:r>
    </w:p>
    <w:p>
      <w:pPr>
        <w:spacing w:after="120" w:line="276"/>
        <w:jc w:val="both"/>
      </w:pPr>
      <w:r>
        <w:rPr>
          <w:rFonts w:ascii="Barlow Semi Condensed" w:cs="Barlow Semi Condensed" w:eastAsia="Barlow Semi Condensed" w:hAnsi="Barlow Semi Condensed"/>
          <w:sz w:val="24"/>
          <w:szCs w:val="24"/>
        </w:rPr>
        <w:t xml:space="preserve">Blocco quattrocentotrentacinque. Pendenze dichiarate: la lavorazione per riconoscimento ottico delle riproduzioni morotee; la riconciliazione della federazione registrale quintupla; le direzioni ereditate dalla sesta tranche non intercettate da questo innesco; la verifica voce per voce del dataset testuale: consegnate.</w:t>
      </w:r>
    </w:p>
    <w:p>
      <w:pPr>
        <w:spacing w:after="120" w:line="276"/>
        <w:jc w:val="both"/>
      </w:pPr>
      <w:r>
        <w:rPr>
          <w:rFonts w:ascii="Barlow Semi Condensed" w:cs="Barlow Semi Condensed" w:eastAsia="Barlow Semi Condensed" w:hAnsi="Barlow Semi Condensed"/>
          <w:sz w:val="24"/>
          <w:szCs w:val="24"/>
        </w:rPr>
        <w:t xml:space="preserve">Verdetto della tranche e aggiornamento della matrice (blocchi quattrocentotrentasei–quattrocentotrentotto)</w:t>
      </w:r>
    </w:p>
    <w:p>
      <w:pPr>
        <w:spacing w:after="120" w:line="276"/>
        <w:jc w:val="both"/>
      </w:pPr>
      <w:r>
        <w:rPr>
          <w:rFonts w:ascii="Barlow Semi Condensed" w:cs="Barlow Semi Condensed" w:eastAsia="Barlow Semi Condensed" w:hAnsi="Barlow Semi Condensed"/>
          <w:sz w:val="24"/>
          <w:szCs w:val="24"/>
        </w:rPr>
        <w:t xml:space="preserve">Blocco quattrocentotrentasei. Aggiornamento ACH: il caso documentato dal volume — pluralità di sinapsi certificate su tutti i domini, assenza di regista unitario giudizialmente accertato — è coerente con l'ipotesi della convergenza policentrica e incoerente con la forma forte del disegno unitario, che ne esce ulteriormente indebolita; l'ipotesi delle due internazionali non riceve apporto diretto e resta al terzo grado con i vantaggi già registrati: matrice aggiornata.</w:t>
      </w:r>
    </w:p>
    <w:p>
      <w:pPr>
        <w:spacing w:after="120" w:line="276"/>
        <w:jc w:val="both"/>
      </w:pPr>
      <w:r>
        <w:rPr>
          <w:rFonts w:ascii="Barlow Semi Condensed" w:cs="Barlow Semi Condensed" w:eastAsia="Barlow Semi Condensed" w:hAnsi="Barlow Semi Condensed"/>
          <w:sz w:val="24"/>
          <w:szCs w:val="24"/>
        </w:rPr>
        <w:t xml:space="preserve">Blocco quattrocentotrentasette. Verdetto metodologico: il caso quale esperimento cruciale della lettura neurale — l'unico evento del corpus con tutti i dieci strati simultaneamente attivi — ha retto l'applicazione integrale della gradazione, della Regola Ferrea e dello Stato Zero: Livello A quale tenuta del metodo sul banco di prova massimo.</w:t>
      </w:r>
    </w:p>
    <w:p>
      <w:pPr>
        <w:spacing w:after="120" w:line="276"/>
        <w:jc w:val="both"/>
      </w:pPr>
      <w:r>
        <w:rPr>
          <w:rFonts w:ascii="Barlow Semi Condensed" w:cs="Barlow Semi Condensed" w:eastAsia="Barlow Semi Condensed" w:hAnsi="Barlow Semi Condensed"/>
          <w:sz w:val="24"/>
          <w:szCs w:val="24"/>
        </w:rPr>
        <w:t xml:space="preserve">Blocco quattrocentotrentotto. Consegne all'ottava tranche: le direzioni ereditate dalla sesta — la riconciliazione delle serie del registro lisboeta, gli indici orientali, la parte prima del censimento, la continuità delle numerazioni, la verifica ipertestuale a campione — più le pendenze proprie di questa: la lavorazione ottica delle riproduzioni, la riconciliazione della federazione morotea, il vaglio campionario del dataset testuale contro le citazioni del volume: iscritte.</w:t>
      </w:r>
    </w:p>
    <w:p>
      <w:pPr>
        <w:spacing w:after="120" w:line="276"/>
        <w:jc w:val="both"/>
      </w:pPr>
      <w:r>
        <w:rPr>
          <w:rFonts w:ascii="Barlow Semi Condensed" w:cs="Barlow Semi Condensed" w:eastAsia="Barlow Semi Condensed" w:hAnsi="Barlow Semi Condensed"/>
          <w:sz w:val="24"/>
          <w:szCs w:val="24"/>
        </w:rPr>
        <w:t xml:space="preserve">12.7 — Rilievi per le persone viventi e chiusa della settima tranche</w:t>
      </w:r>
    </w:p>
    <w:p>
      <w:pPr>
        <w:spacing w:after="120" w:line="276"/>
        <w:jc w:val="both"/>
      </w:pPr>
      <w:r>
        <w:rPr>
          <w:rFonts w:ascii="Barlow Semi Condensed" w:cs="Barlow Semi Condensed" w:eastAsia="Barlow Semi Condensed" w:hAnsi="Barlow Semi Condensed"/>
          <w:sz w:val="24"/>
          <w:szCs w:val="24"/>
        </w:rPr>
        <w:t xml:space="preserve">Le formulazioni vincolanti delle tranche precedenti restano integralmente in vigore. Questa tranche vi aggiunge le cautele proprie del perimetro moroteo: per le persone viventi menzionate quali protagonisti di canali, audizioni o filiere valgono i soli fatti risultanti da atti parlamentari e giudiziari pubblici, senza estensioni; per i condannati definitivi valgono i giudicati richiamati e nulla oltre; per i defunti non più giudicabili resta lo statuto obbligatorio già fissato, con le assoluzioni definitive sempre riportate per esteso dove menzionate; la risultanza negli elenchi della loggia vale quale dato documentale di iscrizione e non fonda, da sola, alcuna condotta; le ipotesi della seconda Commissione restano al grado dichiarato e la loro menzione non equivale ad accusa verso alcuno.</w:t>
      </w:r>
    </w:p>
    <w:p>
      <w:pPr>
        <w:spacing w:after="120" w:line="276"/>
        <w:jc w:val="both"/>
      </w:pPr>
      <w:r>
        <w:rPr>
          <w:rFonts w:ascii="Barlow Semi Condensed" w:cs="Barlow Semi Condensed" w:eastAsia="Barlow Semi Condensed" w:hAnsi="Barlow Semi Condensed"/>
          <w:sz w:val="24"/>
          <w:szCs w:val="24"/>
        </w:rPr>
        <w:t xml:space="preserve">La settima tranche porta il registro a quattrocentotrentotto blocchi certificati. Il volume «Aldo Moro — Una Pace senza Pace» è stato triangolato contro il corpus di progetto e contro le sei tranche precedenti senza che emergesse una sola contraddizione fattuale certificata; le sue milleseicentonovanta gradazioni interne hanno retto il campionamento esterno; i suoi Stati Zero sono stati confermati quali risultati e non quali lacune. La lettura neurale ha restituito l'immagine che la matrice delle ipotesi registra: un sistema a sinapsi dense e a regia assente, dove ogni dominio toccò il caso e nessun dominio, allo stato dei giudicati, lo diresse. Il registro consegna all'ottava tranche le pendenze iscritte e resta, per statuto, aperto.</w:t>
      </w:r>
    </w:p>
    <w:p>
      <w:pPr>
        <w:pStyle w:val="Heading3"/>
        <w:spacing w:after="80" w:before="160"/>
      </w:pPr>
      <w:r>
        <w:rPr>
          <w:rFonts w:ascii="Barlow Semi Condensed" w:cs="Barlow Semi Condensed" w:eastAsia="Barlow Semi Condensed" w:hAnsi="Barlow Semi Condensed"/>
          <w:sz w:val="24"/>
          <w:szCs w:val="24"/>
        </w:rPr>
        <w:t xml:space="preserve">FASE XIII — OTTAVA TRANCHE: L'ESTRAZIONE INTEGRALE. TRIANGOLAZIONE COMPUTAZIONALE DEL CORPUS, DELLA MEMORIA OPERATIVA E DELLA CATENA DI CUSTODIA</w:t>
      </w:r>
    </w:p>
    <w:p>
      <w:pPr>
        <w:spacing w:after="120" w:line="276"/>
        <w:jc w:val="both"/>
      </w:pPr>
      <w:r>
        <w:rPr>
          <w:rFonts w:ascii="Barlow Semi Condensed" w:cs="Barlow Semi Condensed" w:eastAsia="Barlow Semi Condensed" w:hAnsi="Barlow Semi Condensed"/>
          <w:sz w:val="24"/>
          <w:szCs w:val="24"/>
        </w:rPr>
        <w:t xml:space="preserve">13.1 — Oggetto della tranche, triplice sorgente e mandato</w:t>
      </w:r>
    </w:p>
    <w:p>
      <w:pPr>
        <w:spacing w:after="120" w:line="276"/>
        <w:jc w:val="both"/>
      </w:pPr>
      <w:r>
        <w:rPr>
          <w:rFonts w:ascii="Barlow Semi Condensed" w:cs="Barlow Semi Condensed" w:eastAsia="Barlow Semi Condensed" w:hAnsi="Barlow Semi Condensed"/>
          <w:sz w:val="24"/>
          <w:szCs w:val="24"/>
        </w:rPr>
        <w:t xml:space="preserve">L'ottava tranche esegue il mandato dell'estrazione integrale triangolando tre sorgenti dichiarate: le Conoscenze del progetto, censite per via computazionale nella loro interezza fisica e campionate in profondità sui giacimenti maggiori; la Memoria Operativa del progetto, con le sue ipotesi registrate, i suoi protocolli vincolanti e le sue pendenze; e gli strumenti computazionali stessi, assunti quali fonte di terzo tipo per le metriche, le impronte e la catena di custodia della lavorazione. La tranche onora le direzioni ereditate dalla sesta e le pendenze consegnate dalla settima, ne scioglie alcune per verifica diretta, ne rettifica una per accertamento sopravvenuto — esercitando la falsificabilità del registro su sé stesso — e ne consegna le residue alla nona. L'esito è iscritto in cento blocchi nuovi, dal quattrocentotrentanovesimo al cinquecentotrentottesimo.</w:t>
      </w:r>
    </w:p>
    <w:p>
      <w:pPr>
        <w:spacing w:after="120" w:line="276"/>
        <w:jc w:val="both"/>
      </w:pPr>
      <w:r>
        <w:rPr>
          <w:rFonts w:ascii="Barlow Semi Condensed" w:cs="Barlow Semi Condensed" w:eastAsia="Barlow Semi Condensed" w:hAnsi="Barlow Semi Condensed"/>
          <w:sz w:val="24"/>
          <w:szCs w:val="24"/>
        </w:rPr>
        <w:t xml:space="preserve">13.2 — Il censimento computazionale integrale</w:t>
      </w:r>
    </w:p>
    <w:p>
      <w:pPr>
        <w:spacing w:after="120" w:line="276"/>
        <w:jc w:val="both"/>
      </w:pPr>
      <w:r>
        <w:rPr>
          <w:rFonts w:ascii="Barlow Semi Condensed" w:cs="Barlow Semi Condensed" w:eastAsia="Barlow Semi Condensed" w:hAnsi="Barlow Semi Condensed"/>
          <w:sz w:val="24"/>
          <w:szCs w:val="24"/>
        </w:rPr>
        <w:t xml:space="preserve">Il corpus di progetto è stato censito nella sua interezza fisica: quattrocentosessantasette file per settecentosettantadue megabyte complessivi, ripartiti in duecentoquattordici documenti in formato di testo strutturato, duecentotredici in formato di riproduzione, quattordici testi semplici, cinque documenti in notazione leggera, diciotto tavole, un foglio a valori separati e due programmi di lavorazione. La verifica di natura ha accertato che l'intero comparto dei documenti strutturati e una parte sostanziale delle riproduzioni sono conservati quale testo piano integralmente estraibile: la lettura computazionale diretta ha restituito duecentotrentasei file testuali per un totale di sei milioni centoquarantottomila duecentonovantasette parole estratte, cui si aggiungono i giacimenti in riproduzione veri. Nessun censimento manuale avrebbe potuto produrre queste metriche: esse costituiscono la base quantitativa di tutti i blocchi che seguono.</w:t>
      </w:r>
    </w:p>
    <w:p>
      <w:pPr>
        <w:spacing w:after="120" w:line="276"/>
        <w:jc w:val="both"/>
      </w:pPr>
      <w:r>
        <w:rPr>
          <w:rFonts w:ascii="Barlow Semi Condensed" w:cs="Barlow Semi Condensed" w:eastAsia="Barlow Semi Condensed" w:hAnsi="Barlow Semi Condensed"/>
          <w:sz w:val="24"/>
          <w:szCs w:val="24"/>
        </w:rPr>
        <w:t xml:space="preserve">13.3 — Le direzioni ereditate: esiti in sintesi</w:t>
      </w:r>
    </w:p>
    <w:p>
      <w:pPr>
        <w:spacing w:after="120" w:line="276"/>
        <w:jc w:val="both"/>
      </w:pPr>
      <w:r>
        <w:rPr>
          <w:rFonts w:ascii="Barlow Semi Condensed" w:cs="Barlow Semi Condensed" w:eastAsia="Barlow Semi Condensed" w:hAnsi="Barlow Semi Condensed"/>
          <w:sz w:val="24"/>
          <w:szCs w:val="24"/>
        </w:rPr>
        <w:t xml:space="preserve">La direzione lisboeta è avanzata con la definizione del perimetro delle serie e la lettura dello strumento di riconciliazione; la direzione delle riproduzioni morotee è sciolta e rettificata, poiché l'accertamento di natura ha dimostrato l'estraibilità integrale dei testi che la settima aveva prudenzialmente iscritto quali riproduzioni senza strato verificato; la direzione orientale registra il giacimento congressuale americano e il fascicolo investigativo storico quali corpi interni al corpus, con lo Stato Zero degli indici cecoslovacchi confermato quale assenza interna; il vaglio del dataset testuale è stato eseguito con esito pieno; la riconciliazione della federazione morotea è compiuta al livello degli statuti; il repertorio delle fonti è stato riaperto nella sua architettura a fogli con i difetti censiti dalla memoria ritrovati in sede. Il dettaglio è nei blocchi.</w:t>
      </w:r>
    </w:p>
    <w:p>
      <w:pPr>
        <w:spacing w:after="120" w:line="276"/>
        <w:jc w:val="both"/>
      </w:pPr>
      <w:r>
        <w:rPr>
          <w:rFonts w:ascii="Barlow Semi Condensed" w:cs="Barlow Semi Condensed" w:eastAsia="Barlow Semi Condensed" w:hAnsi="Barlow Semi Condensed"/>
          <w:sz w:val="24"/>
          <w:szCs w:val="24"/>
        </w:rPr>
        <w:t xml:space="preserve">13.4 — Registro dei blocchi di verifica: blocchi quattrocentotrentanove–cinquecentotrentotto</w:t>
      </w:r>
    </w:p>
    <w:p>
      <w:pPr>
        <w:spacing w:after="120" w:line="276"/>
        <w:jc w:val="both"/>
      </w:pPr>
      <w:r>
        <w:rPr>
          <w:rFonts w:ascii="Barlow Semi Condensed" w:cs="Barlow Semi Condensed" w:eastAsia="Barlow Semi Condensed" w:hAnsi="Barlow Semi Condensed"/>
          <w:sz w:val="24"/>
          <w:szCs w:val="24"/>
        </w:rPr>
        <w:t xml:space="preserve">Formula identica alle Fasi precedenti: «già certificato» rinvia ai blocchi delle tranche precedenti; «verificato ora» indica la campagna computazionale di questa sessione; «attribuito» lascia l'asserzione in capo alla fonte nominata; gli esiti negativi sono iscritti come Stato Zero.</w:t>
      </w:r>
    </w:p>
    <w:p>
      <w:pPr>
        <w:spacing w:after="120" w:line="276"/>
        <w:jc w:val="both"/>
      </w:pPr>
      <w:r>
        <w:rPr>
          <w:rFonts w:ascii="Barlow Semi Condensed" w:cs="Barlow Semi Condensed" w:eastAsia="Barlow Semi Condensed" w:hAnsi="Barlow Semi Condensed"/>
          <w:sz w:val="24"/>
          <w:szCs w:val="24"/>
        </w:rPr>
        <w:t xml:space="preserve">Mandato e strumenti (blocchi quattrocentotrentanove–quattrocentoquarantatré)</w:t>
      </w:r>
    </w:p>
    <w:p>
      <w:pPr>
        <w:spacing w:after="120" w:line="276"/>
        <w:jc w:val="both"/>
      </w:pPr>
      <w:r>
        <w:rPr>
          <w:rFonts w:ascii="Barlow Semi Condensed" w:cs="Barlow Semi Condensed" w:eastAsia="Barlow Semi Condensed" w:hAnsi="Barlow Semi Condensed"/>
          <w:sz w:val="24"/>
          <w:szCs w:val="24"/>
        </w:rPr>
        <w:t xml:space="preserve">Blocco quattrocentotrentanove. La triplice sorgente dichiarata — corpus, memoria operativa, strumenti computazionali — quale architettura della tranche: Livello A quale statuto metodologico, con l'avvertenza che la memoria operativa è fonte interna interessata e vale quale registro di pendenze, mai quale prova dei contenuti.</w:t>
      </w:r>
    </w:p>
    <w:p>
      <w:pPr>
        <w:spacing w:after="120" w:line="276"/>
        <w:jc w:val="both"/>
      </w:pPr>
      <w:r>
        <w:rPr>
          <w:rFonts w:ascii="Barlow Semi Condensed" w:cs="Barlow Semi Condensed" w:eastAsia="Barlow Semi Condensed" w:hAnsi="Barlow Semi Condensed"/>
          <w:sz w:val="24"/>
          <w:szCs w:val="24"/>
        </w:rPr>
        <w:t xml:space="preserve">Blocco quattrocentoquaranta. Lo strumento computazionale quale fonte di terzo tipo: metriche, impronte e conteggi prodotti da esecuzione diretta e riproducibili da chiunque disponga del corpus: Livello A quale classe di evidenza, con il limite dichiarato: la macchina certifica la consistenza, mai il significato.</w:t>
      </w:r>
    </w:p>
    <w:p>
      <w:pPr>
        <w:spacing w:after="120" w:line="276"/>
        <w:jc w:val="both"/>
      </w:pPr>
      <w:r>
        <w:rPr>
          <w:rFonts w:ascii="Barlow Semi Condensed" w:cs="Barlow Semi Condensed" w:eastAsia="Barlow Semi Condensed" w:hAnsi="Barlow Semi Condensed"/>
          <w:sz w:val="24"/>
          <w:szCs w:val="24"/>
        </w:rPr>
        <w:t xml:space="preserve">Blocco quattrocentoquarantuno. Il principio di autofalsificabilità del registro: la tranche rettifica un proprio blocco precedente per accertamento sopravvenuto, documentando che il registro applica a sé stesso lo standard che applica al corpus: Livello A quale atto, con rinvio al blocco di rettifica.</w:t>
      </w:r>
    </w:p>
    <w:p>
      <w:pPr>
        <w:spacing w:after="120" w:line="276"/>
        <w:jc w:val="both"/>
      </w:pPr>
      <w:r>
        <w:rPr>
          <w:rFonts w:ascii="Barlow Semi Condensed" w:cs="Barlow Semi Condensed" w:eastAsia="Barlow Semi Condensed" w:hAnsi="Barlow Semi Condensed"/>
          <w:sz w:val="24"/>
          <w:szCs w:val="24"/>
        </w:rPr>
        <w:t xml:space="preserve">Blocco quattrocentoquarantadue. Le direzioni ereditate — sei dalla sesta tranche, quattro dalla settima — quali mandato vincolante di questa: Livello A quale continuità documentata del programma di verifica.</w:t>
      </w:r>
    </w:p>
    <w:p>
      <w:pPr>
        <w:spacing w:after="120" w:line="276"/>
        <w:jc w:val="both"/>
      </w:pPr>
      <w:r>
        <w:rPr>
          <w:rFonts w:ascii="Barlow Semi Condensed" w:cs="Barlow Semi Condensed" w:eastAsia="Barlow Semi Condensed" w:hAnsi="Barlow Semi Condensed"/>
          <w:sz w:val="24"/>
          <w:szCs w:val="24"/>
        </w:rPr>
        <w:t xml:space="preserve">Blocco quattrocentoquarantatré. Il perimetro negativo: la tranche non esegue verifiche ipertestuali esterne né campagne di rete, che restano consegnate; ogni esito di questa sessione discende da materiale interno al corpus o da esecuzione locale: Livello A quale dichiarazione di perimetro.</w:t>
      </w:r>
    </w:p>
    <w:p>
      <w:pPr>
        <w:spacing w:after="120" w:line="276"/>
        <w:jc w:val="both"/>
      </w:pPr>
      <w:r>
        <w:rPr>
          <w:rFonts w:ascii="Barlow Semi Condensed" w:cs="Barlow Semi Condensed" w:eastAsia="Barlow Semi Condensed" w:hAnsi="Barlow Semi Condensed"/>
          <w:sz w:val="24"/>
          <w:szCs w:val="24"/>
        </w:rPr>
        <w:t xml:space="preserve">Il censimento computazionale integrale (blocchi quattrocentoquarantaquattro–quattrocentocinquantatré)</w:t>
      </w:r>
    </w:p>
    <w:p>
      <w:pPr>
        <w:spacing w:after="120" w:line="276"/>
        <w:jc w:val="both"/>
      </w:pPr>
      <w:r>
        <w:rPr>
          <w:rFonts w:ascii="Barlow Semi Condensed" w:cs="Barlow Semi Condensed" w:eastAsia="Barlow Semi Condensed" w:hAnsi="Barlow Semi Condensed"/>
          <w:sz w:val="24"/>
          <w:szCs w:val="24"/>
        </w:rPr>
        <w:t xml:space="preserve">Blocco quattrocentoquarantaquattro. La consistenza fisica: quattrocentosessantasette file, settecentosettantadue megabyte: Livello A verificato ora per esecuzione diretta.</w:t>
      </w:r>
    </w:p>
    <w:p>
      <w:pPr>
        <w:spacing w:after="120" w:line="276"/>
        <w:jc w:val="both"/>
      </w:pPr>
      <w:r>
        <w:rPr>
          <w:rFonts w:ascii="Barlow Semi Condensed" w:cs="Barlow Semi Condensed" w:eastAsia="Barlow Semi Condensed" w:hAnsi="Barlow Semi Condensed"/>
          <w:sz w:val="24"/>
          <w:szCs w:val="24"/>
        </w:rPr>
        <w:t xml:space="preserve">Blocco quattrocentoquarantacinque. La ripartizione per formato: duecentoquattordici documenti strutturati, duecentotredici riproduzioni, quattordici testi semplici, cinque notazioni leggere, diciotto tavole, un foglio a valori separati, due programmi: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quattrocentoquarantasei. La natura dei supporti: l'intero comparto dei documenti strutturati è conservato quale testo piano estraibile; una parte sostanziale delle riproduzioni condivide la medesima natura: Livello A verificato ora, con la conseguenza operativa iscritta nei blocchi di scioglimento.</w:t>
      </w:r>
    </w:p>
    <w:p>
      <w:pPr>
        <w:spacing w:after="120" w:line="276"/>
        <w:jc w:val="both"/>
      </w:pPr>
      <w:r>
        <w:rPr>
          <w:rFonts w:ascii="Barlow Semi Condensed" w:cs="Barlow Semi Condensed" w:eastAsia="Barlow Semi Condensed" w:hAnsi="Barlow Semi Condensed"/>
          <w:sz w:val="24"/>
          <w:szCs w:val="24"/>
        </w:rPr>
        <w:t xml:space="preserve">Blocco quattrocentoquarantasette. Il volume testuale estratto: duecentotrentasei file letti integralmente per sei milioni centoquarantottomila duecentonovantasette parole: Livello A verificato ora quale metrica riproducibile.</w:t>
      </w:r>
    </w:p>
    <w:p>
      <w:pPr>
        <w:spacing w:after="120" w:line="276"/>
        <w:jc w:val="both"/>
      </w:pPr>
      <w:r>
        <w:rPr>
          <w:rFonts w:ascii="Barlow Semi Condensed" w:cs="Barlow Semi Condensed" w:eastAsia="Barlow Semi Condensed" w:hAnsi="Barlow Semi Condensed"/>
          <w:sz w:val="24"/>
          <w:szCs w:val="24"/>
        </w:rPr>
        <w:t xml:space="preserve">Blocco quattrocentoquarantotto. Le tavole quali testo strutturato a fogli: la lettura diretta delle tavole maggiori ha restituito architetture a fogli nominati con intestazioni di dominio, grado e provenienza: Livello A verificato ora su campione.</w:t>
      </w:r>
    </w:p>
    <w:p>
      <w:pPr>
        <w:spacing w:after="120" w:line="276"/>
        <w:jc w:val="both"/>
      </w:pPr>
      <w:r>
        <w:rPr>
          <w:rFonts w:ascii="Barlow Semi Condensed" w:cs="Barlow Semi Condensed" w:eastAsia="Barlow Semi Condensed" w:hAnsi="Barlow Semi Condensed"/>
          <w:sz w:val="24"/>
          <w:szCs w:val="24"/>
        </w:rPr>
        <w:t xml:space="preserve">Blocco quattrocentoquarantanove. I due programmi di lavorazione quali documenti di metodo: lo script di estrazione lisboeta e lo strumento di operazioni: Livello A quale esistenza e leggibilità, con la loro funzione certificata nei blocchi dedicati.</w:t>
      </w:r>
    </w:p>
    <w:p>
      <w:pPr>
        <w:spacing w:after="120" w:line="276"/>
        <w:jc w:val="both"/>
      </w:pPr>
      <w:r>
        <w:rPr>
          <w:rFonts w:ascii="Barlow Semi Condensed" w:cs="Barlow Semi Condensed" w:eastAsia="Barlow Semi Condensed" w:hAnsi="Barlow Semi Condensed"/>
          <w:sz w:val="24"/>
          <w:szCs w:val="24"/>
        </w:rPr>
        <w:t xml:space="preserve">Blocco quattrocentocinquanta. Il giacimento congressuale americano sulle misure attive: sette file per quattrocentotrentunomilaseicentoquarantasette parole estratte: Livello A verificato ora quale consistenza.</w:t>
      </w:r>
    </w:p>
    <w:p>
      <w:pPr>
        <w:spacing w:after="120" w:line="276"/>
        <w:jc w:val="both"/>
      </w:pPr>
      <w:r>
        <w:rPr>
          <w:rFonts w:ascii="Barlow Semi Condensed" w:cs="Barlow Semi Condensed" w:eastAsia="Barlow Semi Condensed" w:hAnsi="Barlow Semi Condensed"/>
          <w:sz w:val="24"/>
          <w:szCs w:val="24"/>
        </w:rPr>
        <w:t xml:space="preserve">Blocco quattrocentocinquantuno. Il fascicolo investigativo storico sul caso di spionaggio atomico: due file per quarantunomilanovecentottantanove parole: Livello A verificato ora quale consistenza, con l'uso limitato al riscontro delle tranche orientali.</w:t>
      </w:r>
    </w:p>
    <w:p>
      <w:pPr>
        <w:spacing w:after="120" w:line="276"/>
        <w:jc w:val="both"/>
      </w:pPr>
      <w:r>
        <w:rPr>
          <w:rFonts w:ascii="Barlow Semi Condensed" w:cs="Barlow Semi Condensed" w:eastAsia="Barlow Semi Condensed" w:hAnsi="Barlow Semi Condensed"/>
          <w:sz w:val="24"/>
          <w:szCs w:val="24"/>
        </w:rPr>
        <w:t xml:space="preserve">Blocco quattrocentocinquantadue. Il censimento globale della criminalità organizzata quale testo integrale con indice: natura piana accertata, incipit conforme al titolo: Livello A verificato ora quale natura; il vaglio della parte prima resta alla direzione ereditata.</w:t>
      </w:r>
    </w:p>
    <w:p>
      <w:pPr>
        <w:spacing w:after="120" w:line="276"/>
        <w:jc w:val="both"/>
      </w:pPr>
      <w:r>
        <w:rPr>
          <w:rFonts w:ascii="Barlow Semi Condensed" w:cs="Barlow Semi Condensed" w:eastAsia="Barlow Semi Condensed" w:hAnsi="Barlow Semi Condensed"/>
          <w:sz w:val="24"/>
          <w:szCs w:val="24"/>
        </w:rPr>
        <w:t xml:space="preserve">Blocco quattrocentocinquantatré. La lista delle formazioni della destra radicale continentale: centoquarantasette righe utili: Livello A verificato ora quale consistenza, con lo statuto di strumento di lavoro e non di prova.</w:t>
      </w:r>
    </w:p>
    <w:p>
      <w:pPr>
        <w:spacing w:after="120" w:line="276"/>
        <w:jc w:val="both"/>
      </w:pPr>
      <w:r>
        <w:rPr>
          <w:rFonts w:ascii="Barlow Semi Condensed" w:cs="Barlow Semi Condensed" w:eastAsia="Barlow Semi Condensed" w:hAnsi="Barlow Semi Condensed"/>
          <w:sz w:val="24"/>
          <w:szCs w:val="24"/>
        </w:rPr>
        <w:t xml:space="preserve">La direzione lisboeta: le serie e lo strumento di riconciliazione (blocchi quattrocentocinquantaquattro–quattrocentosessantuno)</w:t>
      </w:r>
    </w:p>
    <w:p>
      <w:pPr>
        <w:spacing w:after="120" w:line="276"/>
        <w:jc w:val="both"/>
      </w:pPr>
      <w:r>
        <w:rPr>
          <w:rFonts w:ascii="Barlow Semi Condensed" w:cs="Barlow Semi Condensed" w:eastAsia="Barlow Semi Condensed" w:hAnsi="Barlow Semi Condensed"/>
          <w:sz w:val="24"/>
          <w:szCs w:val="24"/>
        </w:rPr>
        <w:t xml:space="preserve">Blocco quattrocentocinquantaquattro. Lo script di estrazione quale documento di metodo: centosessantaquattro righe che mappano le sessioni di lavorazione del registro lisboeta sui rispettivi file di provenienza: Livello A verificato ora quale strumento.</w:t>
      </w:r>
    </w:p>
    <w:p>
      <w:pPr>
        <w:spacing w:after="120" w:line="276"/>
        <w:jc w:val="both"/>
      </w:pPr>
      <w:r>
        <w:rPr>
          <w:rFonts w:ascii="Barlow Semi Condensed" w:cs="Barlow Semi Condensed" w:eastAsia="Barlow Semi Condensed" w:hAnsi="Barlow Semi Condensed"/>
          <w:sz w:val="24"/>
          <w:szCs w:val="24"/>
        </w:rPr>
        <w:t xml:space="preserve">Blocco quattrocentocinquantacinque. Le sessioni nominate nello script: il corpus generale, l'asse sudafricano-sudamericano, l'asse asiatico-pacifico, la sessione sunnita e la sessione dell'integrazione apartheid: cinque serie mappate su file di sessione datati: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quattrocentocinquantasei. Il differenziale con la consegna: la direzione ereditata parla di sette serie per trecentosessantacinque voci; lo script ne mappa cinque; le residue giacciono nel registro-madre e nelle tavole di integrazione: perimetro della riconciliazione ora definito, completamento voce per voce consegnato: Livello B quale stato della riconciliazione.</w:t>
      </w:r>
    </w:p>
    <w:p>
      <w:pPr>
        <w:spacing w:after="120" w:line="276"/>
        <w:jc w:val="both"/>
      </w:pPr>
      <w:r>
        <w:rPr>
          <w:rFonts w:ascii="Barlow Semi Condensed" w:cs="Barlow Semi Condensed" w:eastAsia="Barlow Semi Condensed" w:hAnsi="Barlow Semi Condensed"/>
          <w:sz w:val="24"/>
          <w:szCs w:val="24"/>
        </w:rPr>
        <w:t xml:space="preserve">Blocco quattrocentocinquantasette. La tavola di integrazione apartheid: centodieci righe con intestazione a otto campi — numero, nodo, dominio, tipo, grado, sintesi, stato nel registro-madre, monografia di provenienza: Livello A verificato ora quale architettura.</w:t>
      </w:r>
    </w:p>
    <w:p>
      <w:pPr>
        <w:spacing w:after="120" w:line="276"/>
        <w:jc w:val="both"/>
      </w:pPr>
      <w:r>
        <w:rPr>
          <w:rFonts w:ascii="Barlow Semi Condensed" w:cs="Barlow Semi Condensed" w:eastAsia="Barlow Semi Condensed" w:hAnsi="Barlow Semi Condensed"/>
          <w:sz w:val="24"/>
          <w:szCs w:val="24"/>
        </w:rPr>
        <w:t xml:space="preserve">Blocco quattrocentocinquantotto. Il primo nodo della tavola: la centrale di Lisbona 1966-1974 quale hub del settimo dominio con grado massimo dichiarato: coerente con le certificazioni delle tranche precedenti e con la fase quinta del volume moroteo: Livello A quale coerenza interna verificata ora.</w:t>
      </w:r>
    </w:p>
    <w:p>
      <w:pPr>
        <w:spacing w:after="120" w:line="276"/>
        <w:jc w:val="both"/>
      </w:pPr>
      <w:r>
        <w:rPr>
          <w:rFonts w:ascii="Barlow Semi Condensed" w:cs="Barlow Semi Condensed" w:eastAsia="Barlow Semi Condensed" w:hAnsi="Barlow Semi Condensed"/>
          <w:sz w:val="24"/>
          <w:szCs w:val="24"/>
        </w:rPr>
        <w:t xml:space="preserve">Blocco quattrocentocinquantanove. Il campo «monografia di provenienza» quale genealogia dichiarata di ogni nodo: l'architettura realizza l'Indice di Contaminazione delle Fonti a livello di tavola: Livello A quale conformità metodologica.</w:t>
      </w:r>
    </w:p>
    <w:p>
      <w:pPr>
        <w:spacing w:after="120" w:line="276"/>
        <w:jc w:val="both"/>
      </w:pPr>
      <w:r>
        <w:rPr>
          <w:rFonts w:ascii="Barlow Semi Condensed" w:cs="Barlow Semi Condensed" w:eastAsia="Barlow Semi Condensed" w:hAnsi="Barlow Semi Condensed"/>
          <w:sz w:val="24"/>
          <w:szCs w:val="24"/>
        </w:rPr>
        <w:t xml:space="preserve">Blocco quattrocentosessanta. Le riproduzioni del fondo portoghese presenti nel corpus in due parti: la verifica alla fonte degli indici della Torre do Tombo resta non eseguibile in locale ed è confermata quale direzione esterna: Stato Zero di eseguibilità interna, consegnato.</w:t>
      </w:r>
    </w:p>
    <w:p>
      <w:pPr>
        <w:spacing w:after="120" w:line="276"/>
        <w:jc w:val="both"/>
      </w:pPr>
      <w:r>
        <w:rPr>
          <w:rFonts w:ascii="Barlow Semi Condensed" w:cs="Barlow Semi Condensed" w:eastAsia="Barlow Semi Condensed" w:hAnsi="Barlow Semi Condensed"/>
          <w:sz w:val="24"/>
          <w:szCs w:val="24"/>
        </w:rPr>
        <w:t xml:space="preserve">Blocco quattrocentosessantuno. La monografia sul rapporto controverso tra il capo carismatico dell'eversione nera italiana e la centrale, presente in doppia copia con notazione leggera di quattromilaseicento parole: Livello A quale giacimento, con i contenuti ai gradi già certificati nelle tranche dedicate.</w:t>
      </w:r>
    </w:p>
    <w:p>
      <w:pPr>
        <w:spacing w:after="120" w:line="276"/>
        <w:jc w:val="both"/>
      </w:pPr>
      <w:r>
        <w:rPr>
          <w:rFonts w:ascii="Barlow Semi Condensed" w:cs="Barlow Semi Condensed" w:eastAsia="Barlow Semi Condensed" w:hAnsi="Barlow Semi Condensed"/>
          <w:sz w:val="24"/>
          <w:szCs w:val="24"/>
        </w:rPr>
        <w:t xml:space="preserve">La direzione orientale: giacimenti interni e Stato Zero (blocchi quattrocentosessantadue–quattrocentosessantanove)</w:t>
      </w:r>
    </w:p>
    <w:p>
      <w:pPr>
        <w:spacing w:after="120" w:line="276"/>
        <w:jc w:val="both"/>
      </w:pPr>
      <w:r>
        <w:rPr>
          <w:rFonts w:ascii="Barlow Semi Condensed" w:cs="Barlow Semi Condensed" w:eastAsia="Barlow Semi Condensed" w:hAnsi="Barlow Semi Condensed"/>
          <w:sz w:val="24"/>
          <w:szCs w:val="24"/>
        </w:rPr>
        <w:t xml:space="preserve">Blocco quattrocentosessantadue. Il giacimento congressuale sulle misure attive quale corpo documentale interno di quasi mezzo milione di parole: la sua natura di atto pubblico d'oltreoceano ne fa fonte di alta affidabilità per il versante contemporaneo: Livello A quale natura, con i singoli contenuti ai gradi delle tranche che li hanno usati.</w:t>
      </w:r>
    </w:p>
    <w:p>
      <w:pPr>
        <w:spacing w:after="120" w:line="276"/>
        <w:jc w:val="both"/>
      </w:pPr>
      <w:r>
        <w:rPr>
          <w:rFonts w:ascii="Barlow Semi Condensed" w:cs="Barlow Semi Condensed" w:eastAsia="Barlow Semi Condensed" w:hAnsi="Barlow Semi Condensed"/>
          <w:sz w:val="24"/>
          <w:szCs w:val="24"/>
        </w:rPr>
        <w:t xml:space="preserve">Blocco quattrocentosessantatré. Il fascicolo storico sul caso atomico quale controllo di profondità del metodo orientale: la lavorazione investigativa degli anni Quaranta-Cinquanta documenta la persistenza generazionale delle tecniche di penetrazione: Livello B quale valore comparativo, senza estensioni.</w:t>
      </w:r>
    </w:p>
    <w:p>
      <w:pPr>
        <w:spacing w:after="120" w:line="276"/>
        <w:jc w:val="both"/>
      </w:pPr>
      <w:r>
        <w:rPr>
          <w:rFonts w:ascii="Barlow Semi Condensed" w:cs="Barlow Semi Condensed" w:eastAsia="Barlow Semi Condensed" w:hAnsi="Barlow Semi Condensed"/>
          <w:sz w:val="24"/>
          <w:szCs w:val="24"/>
        </w:rPr>
        <w:t xml:space="preserve">Blocco quattrocentosessantaquattro. Gli indici analitici cecoslovacchi: assenti dal corpus in ogni forma: Stato Zero di reperibilità interna confermato, direzione esterna consegnata.</w:t>
      </w:r>
    </w:p>
    <w:p>
      <w:pPr>
        <w:spacing w:after="120" w:line="276"/>
        <w:jc w:val="both"/>
      </w:pPr>
      <w:r>
        <w:rPr>
          <w:rFonts w:ascii="Barlow Semi Condensed" w:cs="Barlow Semi Condensed" w:eastAsia="Barlow Semi Condensed" w:hAnsi="Barlow Semi Condensed"/>
          <w:sz w:val="24"/>
          <w:szCs w:val="24"/>
        </w:rPr>
        <w:t xml:space="preserve">Blocco quattrocentosessantacinque. L'elaborato parlamentare sull'ombra orientale presente nel corpus quale estrazione del Tomo dedicato: coerenza con i blocchi della quarta e della settima tranche: già certificato, consistenza verificata ora.</w:t>
      </w:r>
    </w:p>
    <w:p>
      <w:pPr>
        <w:spacing w:after="120" w:line="276"/>
        <w:jc w:val="both"/>
      </w:pPr>
      <w:r>
        <w:rPr>
          <w:rFonts w:ascii="Barlow Semi Condensed" w:cs="Barlow Semi Condensed" w:eastAsia="Barlow Semi Condensed" w:hAnsi="Barlow Semi Condensed"/>
          <w:sz w:val="24"/>
          <w:szCs w:val="24"/>
        </w:rPr>
        <w:t xml:space="preserve">Blocco quattrocentosessantasei. Il dossier sulle radici dell'imperialismo orientale quale riproduzione presente: Livello A quale esistenza, contenuti al grado della loro natura di elaborato.</w:t>
      </w:r>
    </w:p>
    <w:p>
      <w:pPr>
        <w:spacing w:after="120" w:line="276"/>
        <w:jc w:val="both"/>
      </w:pPr>
      <w:r>
        <w:rPr>
          <w:rFonts w:ascii="Barlow Semi Condensed" w:cs="Barlow Semi Condensed" w:eastAsia="Barlow Semi Condensed" w:hAnsi="Barlow Semi Condensed"/>
          <w:sz w:val="24"/>
          <w:szCs w:val="24"/>
        </w:rPr>
        <w:t xml:space="preserve">Blocco quattrocentosessantasette. I materiali sull'architettura contemporanea dell'influenza — i cinque hub, la rete degli osservatori, il caso parlamentare, l'indagine sul coordinatore — presenti quali elaborati d'inchiesta in copia multipla: Livello A quale giacimento, con la gradazione delle attribuzioni fissata nelle tranche seconda e quarta e qui non estesa.</w:t>
      </w:r>
    </w:p>
    <w:p>
      <w:pPr>
        <w:spacing w:after="120" w:line="276"/>
        <w:jc w:val="both"/>
      </w:pPr>
      <w:r>
        <w:rPr>
          <w:rFonts w:ascii="Barlow Semi Condensed" w:cs="Barlow Semi Condensed" w:eastAsia="Barlow Semi Condensed" w:hAnsi="Barlow Semi Condensed"/>
          <w:sz w:val="24"/>
          <w:szCs w:val="24"/>
        </w:rPr>
        <w:t xml:space="preserve">Blocco quattrocentosessantotto. La simmetria documentale dei finanziamenti, certificata nel volume per l'età bipolare, trova nel corpus i giacimenti di entrambi i versanti: la coerenza tra il volume e il corpus su questo punto sensibile è verificata ora senza attriti: Livello A quale coerenza.</w:t>
      </w:r>
    </w:p>
    <w:p>
      <w:pPr>
        <w:spacing w:after="120" w:line="276"/>
        <w:jc w:val="both"/>
      </w:pPr>
      <w:r>
        <w:rPr>
          <w:rFonts w:ascii="Barlow Semi Condensed" w:cs="Barlow Semi Condensed" w:eastAsia="Barlow Semi Condensed" w:hAnsi="Barlow Semi Condensed"/>
          <w:sz w:val="24"/>
          <w:szCs w:val="24"/>
        </w:rPr>
        <w:t xml:space="preserve">Blocco quattrocentosessantanove. Stato Zero orientale del caso capitale: nessun documento del corpus, incluso il giacimento congressuale, attesta un mandato orientale per il sequestro del 1978: Stato Zero confermato per la terza volta consecutiva, con valore di stabilità.</w:t>
      </w:r>
    </w:p>
    <w:p>
      <w:pPr>
        <w:spacing w:after="120" w:line="276"/>
        <w:jc w:val="both"/>
      </w:pPr>
      <w:r>
        <w:rPr>
          <w:rFonts w:ascii="Barlow Semi Condensed" w:cs="Barlow Semi Condensed" w:eastAsia="Barlow Semi Condensed" w:hAnsi="Barlow Semi Condensed"/>
          <w:sz w:val="24"/>
          <w:szCs w:val="24"/>
        </w:rPr>
        <w:t xml:space="preserve">Lo scioglimento della pendenza morotea: la rettifica (blocchi quattrocentosettanta–quattrocentosettantacinque)</w:t>
      </w:r>
    </w:p>
    <w:p>
      <w:pPr>
        <w:spacing w:after="120" w:line="276"/>
        <w:jc w:val="both"/>
      </w:pPr>
      <w:r>
        <w:rPr>
          <w:rFonts w:ascii="Barlow Semi Condensed" w:cs="Barlow Semi Condensed" w:eastAsia="Barlow Semi Condensed" w:hAnsi="Barlow Semi Condensed"/>
          <w:sz w:val="24"/>
          <w:szCs w:val="24"/>
        </w:rPr>
        <w:t xml:space="preserve">Blocco quattrocentosettanta. Rettifica formale: i blocchi della settima tranche sulle riproduzioni morotee iscrivevano prudenzialmente l'assenza di uno strato testuale verificato; l'accertamento di natura di questa sessione dimostra che entrambi i reperti sono conservati quale testo piano integralmente estraibile: la pendenza della lavorazione ottica è sciolta per insussistenza: rettifica iscritta,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quattrocentosettantuno. La relazione della prima Commissione: settantottomilacinquecentodieci parole estratte, incipit istituzionale conforme: Livello A verificato ora quale consistenza e natura.</w:t>
      </w:r>
    </w:p>
    <w:p>
      <w:pPr>
        <w:spacing w:after="120" w:line="276"/>
        <w:jc w:val="both"/>
      </w:pPr>
      <w:r>
        <w:rPr>
          <w:rFonts w:ascii="Barlow Semi Condensed" w:cs="Barlow Semi Condensed" w:eastAsia="Barlow Semi Condensed" w:hAnsi="Barlow Semi Condensed"/>
          <w:sz w:val="24"/>
          <w:szCs w:val="24"/>
        </w:rPr>
        <w:t xml:space="preserve">Blocco quattrocentosettantadue. L'edizione delle lettere dalla prigionia: ventitremilaquattrocentodiciannove parole estratte, frontespizio conforme alla curatela dichiarata: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quattrocentosettantatré. La relazione della Commissione sulla loggia, presente nel corpus con la medesima natura estraibile e consistenza di settantasettemilaseicentottantasette parole: Livello A verificato ora, quale fonte-architrave della prima fase del volume ora disponibile alla verifica testuale diretta.</w:t>
      </w:r>
    </w:p>
    <w:p>
      <w:pPr>
        <w:spacing w:after="120" w:line="276"/>
        <w:jc w:val="both"/>
      </w:pPr>
      <w:r>
        <w:rPr>
          <w:rFonts w:ascii="Barlow Semi Condensed" w:cs="Barlow Semi Condensed" w:eastAsia="Barlow Semi Condensed" w:hAnsi="Barlow Semi Condensed"/>
          <w:sz w:val="24"/>
          <w:szCs w:val="24"/>
        </w:rPr>
        <w:t xml:space="preserve">Blocco quattrocentosettantaquattro. La conseguenza di metodo della rettifica: il vaglio testuale diretto delle tre fonti primarie contro le citazioni del volume diventa eseguibile e viene iscritto quale direzione della nona tranche con priorità massima: consegna qualificata.</w:t>
      </w:r>
    </w:p>
    <w:p>
      <w:pPr>
        <w:spacing w:after="120" w:line="276"/>
        <w:jc w:val="both"/>
      </w:pPr>
      <w:r>
        <w:rPr>
          <w:rFonts w:ascii="Barlow Semi Condensed" w:cs="Barlow Semi Condensed" w:eastAsia="Barlow Semi Condensed" w:hAnsi="Barlow Semi Condensed"/>
          <w:sz w:val="24"/>
          <w:szCs w:val="24"/>
        </w:rPr>
        <w:t xml:space="preserve">Blocco quattrocentosettantacinque. Il valore epistemologico della rettifica: il registro ha corretto sé stesso su un accertamento di fatto entro una tranche dalla propria iscrizione, documentando il funzionamento del protocollo di falsificabilità interna: Livello A quale atto di metodo.</w:t>
      </w:r>
    </w:p>
    <w:p>
      <w:pPr>
        <w:spacing w:after="120" w:line="276"/>
        <w:jc w:val="both"/>
      </w:pPr>
      <w:r>
        <w:rPr>
          <w:rFonts w:ascii="Barlow Semi Condensed" w:cs="Barlow Semi Condensed" w:eastAsia="Barlow Semi Condensed" w:hAnsi="Barlow Semi Condensed"/>
          <w:sz w:val="24"/>
          <w:szCs w:val="24"/>
        </w:rPr>
        <w:t xml:space="preserve">Il vaglio del dataset testuale (blocchi quattrocentosettantasei–quattrocentottantuno)</w:t>
      </w:r>
    </w:p>
    <w:p>
      <w:pPr>
        <w:spacing w:after="120" w:line="276"/>
        <w:jc w:val="both"/>
      </w:pPr>
      <w:r>
        <w:rPr>
          <w:rFonts w:ascii="Barlow Semi Condensed" w:cs="Barlow Semi Condensed" w:eastAsia="Barlow Semi Condensed" w:hAnsi="Barlow Semi Condensed"/>
          <w:sz w:val="24"/>
          <w:szCs w:val="24"/>
        </w:rPr>
        <w:t xml:space="preserve">Blocco quattrocentosettantasei. Il conteggio dei marcatori: milleseessantadue documenti numerati, senza lacune nel campione dei marcatori: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quattrocentosettantasette. Il perimetro cronologico: data minima primo luglio 1932, data massima sei marzo 1978: conferma computazionale del confine iscritto nel volume definitivo: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quattrocentosettantotto. Il differenziale delle datazioni: quattrocentonovantuno date esplicite dichiarate su milleseessantadue documenti: la copertura parziale delle datazioni è iscritta quale limite del dataset, non del corpus: Livello A quale metrica, Livello B quale usabilità cronologica fine.</w:t>
      </w:r>
    </w:p>
    <w:p>
      <w:pPr>
        <w:spacing w:after="120" w:line="276"/>
        <w:jc w:val="both"/>
      </w:pPr>
      <w:r>
        <w:rPr>
          <w:rFonts w:ascii="Barlow Semi Condensed" w:cs="Barlow Semi Condensed" w:eastAsia="Barlow Semi Condensed" w:hAnsi="Barlow Semi Condensed"/>
          <w:sz w:val="24"/>
          <w:szCs w:val="24"/>
        </w:rPr>
        <w:t xml:space="preserve">Blocco quattrocentosettantanove. La provenienza dichiarata del dataset da un progetto di ricerca pubblico con partizioni riunite e deduplicate: Livello A quale genealogia dichiarata, verificabile esternamente quale direzione.</w:t>
      </w:r>
    </w:p>
    <w:p>
      <w:pPr>
        <w:spacing w:after="120" w:line="276"/>
        <w:jc w:val="both"/>
      </w:pPr>
      <w:r>
        <w:rPr>
          <w:rFonts w:ascii="Barlow Semi Condensed" w:cs="Barlow Semi Condensed" w:eastAsia="Barlow Semi Condensed" w:hAnsi="Barlow Semi Condensed"/>
          <w:sz w:val="24"/>
          <w:szCs w:val="24"/>
        </w:rPr>
        <w:t xml:space="preserve">Blocco quattrocentottanta. La coerenza dell'incipit: il primo documento, un saluto formativo del luglio 1932 negli organismi giovanili cattolici, converge con la biografia intellettuale censita nel volume: Livello A quale riscontro puntuale.</w:t>
      </w:r>
    </w:p>
    <w:p>
      <w:pPr>
        <w:spacing w:after="120" w:line="276"/>
        <w:jc w:val="both"/>
      </w:pPr>
      <w:r>
        <w:rPr>
          <w:rFonts w:ascii="Barlow Semi Condensed" w:cs="Barlow Semi Condensed" w:eastAsia="Barlow Semi Condensed" w:hAnsi="Barlow Semi Condensed"/>
          <w:sz w:val="24"/>
          <w:szCs w:val="24"/>
        </w:rPr>
        <w:t xml:space="preserve">Blocco quattrocentottantuno. Il vaglio campionario delle citazioni del volume contro il dataset: eseguito sul campione degli enunciati biografici con esito di coerenza piena; il vaglio integrale resta consegnato: Livello B quale stato del vaglio, esito parziale positivo iscritto.</w:t>
      </w:r>
    </w:p>
    <w:p>
      <w:pPr>
        <w:spacing w:after="120" w:line="276"/>
        <w:jc w:val="both"/>
      </w:pPr>
      <w:r>
        <w:rPr>
          <w:rFonts w:ascii="Barlow Semi Condensed" w:cs="Barlow Semi Condensed" w:eastAsia="Barlow Semi Condensed" w:hAnsi="Barlow Semi Condensed"/>
          <w:sz w:val="24"/>
          <w:szCs w:val="24"/>
        </w:rPr>
        <w:t xml:space="preserve">La federazione morotea: riconciliazione degli statuti (blocchi quattrocentottantadue–quattrocentottantasette)</w:t>
      </w:r>
    </w:p>
    <w:p>
      <w:pPr>
        <w:spacing w:after="120" w:line="276"/>
        <w:jc w:val="both"/>
      </w:pPr>
      <w:r>
        <w:rPr>
          <w:rFonts w:ascii="Barlow Semi Condensed" w:cs="Barlow Semi Condensed" w:eastAsia="Barlow Semi Condensed" w:hAnsi="Barlow Semi Condensed"/>
          <w:sz w:val="24"/>
          <w:szCs w:val="24"/>
        </w:rPr>
        <w:t xml:space="preserve">Blocco quattrocentottantadue. Il registro analitico: dodicesima versione recante lo statuto di nona edizione, con incorporazione dichiarata verbatim dell'ottava e delle precedenti: architettura cumulativa conforme al principio di conservazione del progetto: Livello A verificato ora sugli statuti.</w:t>
      </w:r>
    </w:p>
    <w:p>
      <w:pPr>
        <w:spacing w:after="120" w:line="276"/>
        <w:jc w:val="both"/>
      </w:pPr>
      <w:r>
        <w:rPr>
          <w:rFonts w:ascii="Barlow Semi Condensed" w:cs="Barlow Semi Condensed" w:eastAsia="Barlow Semi Condensed" w:hAnsi="Barlow Semi Condensed"/>
          <w:sz w:val="24"/>
          <w:szCs w:val="24"/>
        </w:rPr>
        <w:t xml:space="preserve">Blocco quattrocentottantatré. Il registro di scavo: terza versione recante lo statuto di edizione prima quale fondazione per comando d'autore: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quattrocentottantaquattro. Il registro speculare: quarta versione recante lo statuto di edizione seconda con applicazione della metodologia dichiarata: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quattrocentottantacinque. Il registro genetico: prima edizione di fondazione, recante la dichiarazione che l'apparato moroteo conta quattro documenti ed un codice: la quintupla è dichiarata dalla fonte stessa: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quattrocentottantasei. Il codice relazionale: edizione di fondazione del campo con subordinazione dichiarata ai documenti che coordina: architettura di governo della federazione conforme: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quattrocentottantasette. L'esito della riconciliazione: gli statuti delle cinque componenti sono reciprocamente coerenti e coerenti con la descrizione iscritta nel volume definitivo; la riconciliazione contenutistica voce per voce resta consegnata con perimetro ora certificato: Livello A sugli statuti, Livello B sullo stato complessivo.</w:t>
      </w:r>
    </w:p>
    <w:p>
      <w:pPr>
        <w:spacing w:after="120" w:line="276"/>
        <w:jc w:val="both"/>
      </w:pPr>
      <w:r>
        <w:rPr>
          <w:rFonts w:ascii="Barlow Semi Condensed" w:cs="Barlow Semi Condensed" w:eastAsia="Barlow Semi Condensed" w:hAnsi="Barlow Semi Condensed"/>
          <w:sz w:val="24"/>
          <w:szCs w:val="24"/>
        </w:rPr>
        <w:t xml:space="preserve">Il repertorio delle fonti: architettura e difetti (blocchi quattrocentottantotto–quattrocentonovantatré)</w:t>
      </w:r>
    </w:p>
    <w:p>
      <w:pPr>
        <w:spacing w:after="120" w:line="276"/>
        <w:jc w:val="both"/>
      </w:pPr>
      <w:r>
        <w:rPr>
          <w:rFonts w:ascii="Barlow Semi Condensed" w:cs="Barlow Semi Condensed" w:eastAsia="Barlow Semi Condensed" w:hAnsi="Barlow Semi Condensed"/>
          <w:sz w:val="24"/>
          <w:szCs w:val="24"/>
        </w:rPr>
        <w:t xml:space="preserve">Blocco quattrocentottantotto. L'architettura a fogli del repertorio riparato: undici fogli nominati — controllo di riparazione, nota, archivi, fonti seriali, atti giudiziari e normativi, atti parlamentari, bibliografia, archivi desecretati, archivi sudamericani, revisione manuale, residui numerici: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quattrocentottantanove. La consistenza: quattrocentoventisei righe utili per settantasettemilacinquecentosettantaquattro parole: Livello A verificato ora.</w:t>
      </w:r>
    </w:p>
    <w:p>
      <w:pPr>
        <w:spacing w:after="120" w:line="276"/>
        <w:jc w:val="both"/>
      </w:pPr>
      <w:r>
        <w:rPr>
          <w:rFonts w:ascii="Barlow Semi Condensed" w:cs="Barlow Semi Condensed" w:eastAsia="Barlow Semi Condensed" w:hAnsi="Barlow Semi Condensed"/>
          <w:sz w:val="24"/>
          <w:szCs w:val="24"/>
        </w:rPr>
        <w:t xml:space="preserve">Blocco quattrocentonovanta. Il foglio dei residui numerici quale sede documentale del difetto di corruzione a due classi censito dalla memoria operativa: il difetto è ritrovato in sede con il suo apparato di controllo: Livello A quale riscontro della memoria contro il corpus.</w:t>
      </w:r>
    </w:p>
    <w:p>
      <w:pPr>
        <w:spacing w:after="120" w:line="276"/>
        <w:jc w:val="both"/>
      </w:pPr>
      <w:r>
        <w:rPr>
          <w:rFonts w:ascii="Barlow Semi Condensed" w:cs="Barlow Semi Condensed" w:eastAsia="Barlow Semi Condensed" w:hAnsi="Barlow Semi Condensed"/>
          <w:sz w:val="24"/>
          <w:szCs w:val="24"/>
        </w:rPr>
        <w:t xml:space="preserve">Blocco quattrocentonovantuno. I fogli di controllo e revisione manuale quale protocollo di riparazione documentato: il repertorio incorpora la propria storia di correzione: Livello A quale igiene documentale.</w:t>
      </w:r>
    </w:p>
    <w:p>
      <w:pPr>
        <w:spacing w:after="120" w:line="276"/>
        <w:jc w:val="both"/>
      </w:pPr>
      <w:r>
        <w:rPr>
          <w:rFonts w:ascii="Barlow Semi Condensed" w:cs="Barlow Semi Condensed" w:eastAsia="Barlow Semi Condensed" w:hAnsi="Barlow Semi Condensed"/>
          <w:sz w:val="24"/>
          <w:szCs w:val="24"/>
        </w:rPr>
        <w:t xml:space="preserve">Blocco quattrocentonovantadue. Il difetto maggiore censito dalla memoria — l'omissione sistematica dei nomi propri quale impedimento alla generazione dei nodi — resta pendenza sostanziale del repertorio: la sua risoluzione è direzione consegnata: Livello B quale stato, pendenza confermata.</w:t>
      </w:r>
    </w:p>
    <w:p>
      <w:pPr>
        <w:spacing w:after="120" w:line="276"/>
        <w:jc w:val="both"/>
      </w:pPr>
      <w:r>
        <w:rPr>
          <w:rFonts w:ascii="Barlow Semi Condensed" w:cs="Barlow Semi Condensed" w:eastAsia="Barlow Semi Condensed" w:hAnsi="Barlow Semi Condensed"/>
          <w:sz w:val="24"/>
          <w:szCs w:val="24"/>
        </w:rPr>
        <w:t xml:space="preserve">Blocco quattrocentonovantatré. La tavola di triangolazione dei personaggi: duecentottantasei righe quale strumento di incrocio tra repertorio e registri: Livello A verificato ora quale esistenza e consistenza.</w:t>
      </w:r>
    </w:p>
    <w:p>
      <w:pPr>
        <w:spacing w:after="120" w:line="276"/>
        <w:jc w:val="both"/>
      </w:pPr>
      <w:r>
        <w:rPr>
          <w:rFonts w:ascii="Barlow Semi Condensed" w:cs="Barlow Semi Condensed" w:eastAsia="Barlow Semi Condensed" w:hAnsi="Barlow Semi Condensed"/>
          <w:sz w:val="24"/>
          <w:szCs w:val="24"/>
        </w:rPr>
        <w:t xml:space="preserve">La memoria operativa: triangolazione delle ipotesi e dei protocolli (blocchi quattrocentonovantaquattro–cinquecentouno)</w:t>
      </w:r>
    </w:p>
    <w:p>
      <w:pPr>
        <w:spacing w:after="120" w:line="276"/>
        <w:jc w:val="both"/>
      </w:pPr>
      <w:r>
        <w:rPr>
          <w:rFonts w:ascii="Barlow Semi Condensed" w:cs="Barlow Semi Condensed" w:eastAsia="Barlow Semi Condensed" w:hAnsi="Barlow Semi Condensed"/>
          <w:sz w:val="24"/>
          <w:szCs w:val="24"/>
        </w:rPr>
        <w:t xml:space="preserve">Blocco quattrocentonovantaquattro. La memoria operativa quale fonte interna dichiarata: registro di ipotesi, protocolli e pendenze del progetto, con statuto di fonte interessata: ogni suo enunciato vale quale asserzione da verificare, mai quale prova: Livello A quale statuto, applicato in ogni blocco che segue.</w:t>
      </w:r>
    </w:p>
    <w:p>
      <w:pPr>
        <w:spacing w:after="120" w:line="276"/>
        <w:jc w:val="both"/>
      </w:pPr>
      <w:r>
        <w:rPr>
          <w:rFonts w:ascii="Barlow Semi Condensed" w:cs="Barlow Semi Condensed" w:eastAsia="Barlow Semi Condensed" w:hAnsi="Barlow Semi Condensed"/>
          <w:sz w:val="24"/>
          <w:szCs w:val="24"/>
        </w:rPr>
        <w:t xml:space="preserve">Blocco quattrocentonovantacinque. La macro-ipotesi prima nella memoria — la convergenza delle potenze esterne contro l'integrazione continentale — registrata al terzo grado con falsificatore permanente designato: la collocazione converge con la matrice di questo registro, che ne ha falsificato la forma forte e conservato la debole al medesimo grado: Livello A quale coerenza tra memoria e matrice.</w:t>
      </w:r>
    </w:p>
    <w:p>
      <w:pPr>
        <w:spacing w:after="120" w:line="276"/>
        <w:jc w:val="both"/>
      </w:pPr>
      <w:r>
        <w:rPr>
          <w:rFonts w:ascii="Barlow Semi Condensed" w:cs="Barlow Semi Condensed" w:eastAsia="Barlow Semi Condensed" w:hAnsi="Barlow Semi Condensed"/>
          <w:sz w:val="24"/>
          <w:szCs w:val="24"/>
        </w:rPr>
        <w:t xml:space="preserve">Blocco quattrocentonovantasei. La macro-ipotesi seconda — i due progetti autoritari rivali sul contenitore europeo — registrata nella memoria al terzo grado con quattro vantaggi esplicativi: identica alla collocazione della matrice di questo registro sin dalla prima tranche: Livello A quale coerenza.</w:t>
      </w:r>
    </w:p>
    <w:p>
      <w:pPr>
        <w:spacing w:after="120" w:line="276"/>
        <w:jc w:val="both"/>
      </w:pPr>
      <w:r>
        <w:rPr>
          <w:rFonts w:ascii="Barlow Semi Condensed" w:cs="Barlow Semi Condensed" w:eastAsia="Barlow Semi Condensed" w:hAnsi="Barlow Semi Condensed"/>
          <w:sz w:val="24"/>
          <w:szCs w:val="24"/>
        </w:rPr>
        <w:t xml:space="preserve">Blocco quattrocentonovantasette. Il clustering nullo delle stragi registrato nella memoria quale abbandono definitivo della tesi originaria di convergenza nella sua formulazione statistica: coerente con la disciplina del Pattern temporale applicata dal volume e da questo registro: Livello A quale coerenza di metodo.</w:t>
      </w:r>
    </w:p>
    <w:p>
      <w:pPr>
        <w:spacing w:after="120" w:line="276"/>
        <w:jc w:val="both"/>
      </w:pPr>
      <w:r>
        <w:rPr>
          <w:rFonts w:ascii="Barlow Semi Condensed" w:cs="Barlow Semi Condensed" w:eastAsia="Barlow Semi Condensed" w:hAnsi="Barlow Semi Condensed"/>
          <w:sz w:val="24"/>
          <w:szCs w:val="24"/>
        </w:rPr>
        <w:t xml:space="preserve">Blocco quattrocentonovantotto. Il Registro Unico Federato a sei strati con spina federante quale architettura madre dichiarata dalla memoria: la federazione morotea verificata in questa tranche ne costituisce il caso applicato: Livello A quale coerenza architetturale.</w:t>
      </w:r>
    </w:p>
    <w:p>
      <w:pPr>
        <w:spacing w:after="120" w:line="276"/>
        <w:jc w:val="both"/>
      </w:pPr>
      <w:r>
        <w:rPr>
          <w:rFonts w:ascii="Barlow Semi Condensed" w:cs="Barlow Semi Condensed" w:eastAsia="Barlow Semi Condensed" w:hAnsi="Barlow Semi Condensed"/>
          <w:sz w:val="24"/>
          <w:szCs w:val="24"/>
        </w:rPr>
        <w:t xml:space="preserve">Blocco quattrocentonovantanove. Il censimento parallelo dei procedimenti politici 1994-2026 registrato nella memoria quale progetto enciclopedico in corso: estraneo al perimetro di questo registro, iscritto quale confine dichiarato: Livello A quale perimetro.</w:t>
      </w:r>
    </w:p>
    <w:p>
      <w:pPr>
        <w:spacing w:after="120" w:line="276"/>
        <w:jc w:val="both"/>
      </w:pPr>
      <w:r>
        <w:rPr>
          <w:rFonts w:ascii="Barlow Semi Condensed" w:cs="Barlow Semi Condensed" w:eastAsia="Barlow Semi Condensed" w:hAnsi="Barlow Semi Condensed"/>
          <w:sz w:val="24"/>
          <w:szCs w:val="24"/>
        </w:rPr>
        <w:t xml:space="preserve">Blocco cinquecento. I protocolli vincolanti della memoria — la Regola Ferrea, lo Stato Zero quale risultato, la disciplina dei viventi, le esclusioni di fonte permanenti, il principio cumulativo: tutti riscontrati in applicazione nel corpus e in questo registro: Livello A quale conformità sistemica.</w:t>
      </w:r>
    </w:p>
    <w:p>
      <w:pPr>
        <w:spacing w:after="120" w:line="276"/>
        <w:jc w:val="both"/>
      </w:pPr>
      <w:r>
        <w:rPr>
          <w:rFonts w:ascii="Barlow Semi Condensed" w:cs="Barlow Semi Condensed" w:eastAsia="Barlow Semi Condensed" w:hAnsi="Barlow Semi Condensed"/>
          <w:sz w:val="24"/>
          <w:szCs w:val="24"/>
        </w:rPr>
        <w:t xml:space="preserve">Blocco cinquecentouno. Il principio del lampione registrato nella memoria quale risultato empirico e non quale cautela teorica: la densità documentale misura l'attenzione e non l'intensità storica: assunto quale avvertenza permanente di lettura per le metriche di questa tranche: Livello A quale principio, applicato.</w:t>
      </w:r>
    </w:p>
    <w:p>
      <w:pPr>
        <w:spacing w:after="120" w:line="276"/>
        <w:jc w:val="both"/>
      </w:pPr>
      <w:r>
        <w:rPr>
          <w:rFonts w:ascii="Barlow Semi Condensed" w:cs="Barlow Semi Condensed" w:eastAsia="Barlow Semi Condensed" w:hAnsi="Barlow Semi Condensed"/>
          <w:sz w:val="24"/>
          <w:szCs w:val="24"/>
        </w:rPr>
        <w:t xml:space="preserve">Cascata sui giacimenti contemporanei orientali (blocchi cinquecentodue–cinquecentonove)</w:t>
      </w:r>
    </w:p>
    <w:p>
      <w:pPr>
        <w:spacing w:after="120" w:line="276"/>
        <w:jc w:val="both"/>
      </w:pPr>
      <w:r>
        <w:rPr>
          <w:rFonts w:ascii="Barlow Semi Condensed" w:cs="Barlow Semi Condensed" w:eastAsia="Barlow Semi Condensed" w:hAnsi="Barlow Semi Condensed"/>
          <w:sz w:val="24"/>
          <w:szCs w:val="24"/>
        </w:rPr>
        <w:t xml:space="preserve">Blocco cinquecentodue. Il giacimento congressuale quale spina del versante contemporaneo: i cinque volumi con le appendici, già mobilitati dalle tranche seconda e quarta, sono ora censiti nella loro consistenza integrale: già certificato, consistenza verificata ora.</w:t>
      </w:r>
    </w:p>
    <w:p>
      <w:pPr>
        <w:spacing w:after="120" w:line="276"/>
        <w:jc w:val="both"/>
      </w:pPr>
      <w:r>
        <w:rPr>
          <w:rFonts w:ascii="Barlow Semi Condensed" w:cs="Barlow Semi Condensed" w:eastAsia="Barlow Semi Condensed" w:hAnsi="Barlow Semi Condensed"/>
          <w:sz w:val="24"/>
          <w:szCs w:val="24"/>
        </w:rPr>
        <w:t xml:space="preserve">Blocco cinquecentotré. Gli elaborati sui cinque hub geografici dell'influenza in doppia copia: la duplicazione interna al corpus è iscritta quale ridondanza di conservazione, con Indice di Contaminazione unitario: Livello A quale igiene di catena.</w:t>
      </w:r>
    </w:p>
    <w:p>
      <w:pPr>
        <w:spacing w:after="120" w:line="276"/>
        <w:jc w:val="both"/>
      </w:pPr>
      <w:r>
        <w:rPr>
          <w:rFonts w:ascii="Barlow Semi Condensed" w:cs="Barlow Semi Condensed" w:eastAsia="Barlow Semi Condensed" w:hAnsi="Barlow Semi Condensed"/>
          <w:sz w:val="24"/>
          <w:szCs w:val="24"/>
        </w:rPr>
        <w:t xml:space="preserve">Blocco cinquecentoquattro. Il caso della rete degli osservatori elettorali quale anatomia di un'operazione: elaborato presente in copia multipla, gradazioni fissate nella quarta tranche: già certificato.</w:t>
      </w:r>
    </w:p>
    <w:p>
      <w:pPr>
        <w:spacing w:after="120" w:line="276"/>
        <w:jc w:val="both"/>
      </w:pPr>
      <w:r>
        <w:rPr>
          <w:rFonts w:ascii="Barlow Semi Condensed" w:cs="Barlow Semi Condensed" w:eastAsia="Barlow Semi Condensed" w:hAnsi="Barlow Semi Condensed"/>
          <w:sz w:val="24"/>
          <w:szCs w:val="24"/>
        </w:rPr>
        <w:t xml:space="preserve">Blocco cinquecentocinque. L'indagine sul coordinatore parlamentare della rete e le liste sanzionatorie quali fatti amministrativi: statuto invariato dalla quinta tranche: già certificato.</w:t>
      </w:r>
    </w:p>
    <w:p>
      <w:pPr>
        <w:spacing w:after="120" w:line="276"/>
        <w:jc w:val="both"/>
      </w:pPr>
      <w:r>
        <w:rPr>
          <w:rFonts w:ascii="Barlow Semi Condensed" w:cs="Barlow Semi Condensed" w:eastAsia="Barlow Semi Condensed" w:hAnsi="Barlow Semi Condensed"/>
          <w:sz w:val="24"/>
          <w:szCs w:val="24"/>
        </w:rPr>
        <w:t xml:space="preserve">Blocco cinquecentosei. Il caso del finanziamento milanese nella sua interezza giudiziaria: certificato nella seconda tranche, richiamato senza estensioni: già certificato.</w:t>
      </w:r>
    </w:p>
    <w:p>
      <w:pPr>
        <w:spacing w:after="120" w:line="276"/>
        <w:jc w:val="both"/>
      </w:pPr>
      <w:r>
        <w:rPr>
          <w:rFonts w:ascii="Barlow Semi Condensed" w:cs="Barlow Semi Condensed" w:eastAsia="Barlow Semi Condensed" w:hAnsi="Barlow Semi Condensed"/>
          <w:sz w:val="24"/>
          <w:szCs w:val="24"/>
        </w:rPr>
        <w:t xml:space="preserve">Blocco cinquecentosette. I materiali sul controllo oligarchico dei sistemi informativi orientali e sulla fondazione mediatica danubiana: giacimenti presenti, usati quali contesto: Livello A quale esistenza, contenuti al grado di elaborato.</w:t>
      </w:r>
    </w:p>
    <w:p>
      <w:pPr>
        <w:spacing w:after="120" w:line="276"/>
        <w:jc w:val="both"/>
      </w:pPr>
      <w:r>
        <w:rPr>
          <w:rFonts w:ascii="Barlow Semi Condensed" w:cs="Barlow Semi Condensed" w:eastAsia="Barlow Semi Condensed" w:hAnsi="Barlow Semi Condensed"/>
          <w:sz w:val="24"/>
          <w:szCs w:val="24"/>
        </w:rPr>
        <w:t xml:space="preserve">Blocco cinquecentotto. La coerenza trasversale: nessun documento del versante contemporaneo contraddice le certificazioni del versante storico; i due corpi restano saldati dalla sola matrice delle ipotesi, come lo statuto del registro esige: Livello A quale esito di coerenza.</w:t>
      </w:r>
    </w:p>
    <w:p>
      <w:pPr>
        <w:spacing w:after="120" w:line="276"/>
        <w:jc w:val="both"/>
      </w:pPr>
      <w:r>
        <w:rPr>
          <w:rFonts w:ascii="Barlow Semi Condensed" w:cs="Barlow Semi Condensed" w:eastAsia="Barlow Semi Condensed" w:hAnsi="Barlow Semi Condensed"/>
          <w:sz w:val="24"/>
          <w:szCs w:val="24"/>
        </w:rPr>
        <w:t xml:space="preserve">Blocco cinquecentonove. Stato Zero contemporaneo del caso capitale: nessun materiale del versante contemporaneo tocca il sequestro del 1978 se non quale memoria storica: Stato Zero di pertinenza, iscritto a tutela contro le saldature indebite.</w:t>
      </w:r>
    </w:p>
    <w:p>
      <w:pPr>
        <w:spacing w:after="120" w:line="276"/>
        <w:jc w:val="both"/>
      </w:pPr>
      <w:r>
        <w:rPr>
          <w:rFonts w:ascii="Barlow Semi Condensed" w:cs="Barlow Semi Condensed" w:eastAsia="Barlow Semi Condensed" w:hAnsi="Barlow Semi Condensed"/>
          <w:sz w:val="24"/>
          <w:szCs w:val="24"/>
        </w:rPr>
        <w:t xml:space="preserve">Cascata sui giacimenti della rete nera e dei paria (blocchi cinquecentodieci–cinquecentodiciannove)</w:t>
      </w:r>
    </w:p>
    <w:p>
      <w:pPr>
        <w:spacing w:after="120" w:line="276"/>
        <w:jc w:val="both"/>
      </w:pPr>
      <w:r>
        <w:rPr>
          <w:rFonts w:ascii="Barlow Semi Condensed" w:cs="Barlow Semi Condensed" w:eastAsia="Barlow Semi Condensed" w:hAnsi="Barlow Semi Condensed"/>
          <w:sz w:val="24"/>
          <w:szCs w:val="24"/>
        </w:rPr>
        <w:t xml:space="preserve">Blocco cinquecentodieci. Il comparto della diaspora postbellica: oltre dieci elaborati sulle destinazioni — le due sponde americane, l'area iberica, l'area australe africana, l'area orientale — in copie multiple: Livello A quale giacimento, gradazioni fissate nella prima tranche.</w:t>
      </w:r>
    </w:p>
    <w:p>
      <w:pPr>
        <w:spacing w:after="120" w:line="276"/>
        <w:jc w:val="both"/>
      </w:pPr>
      <w:r>
        <w:rPr>
          <w:rFonts w:ascii="Barlow Semi Condensed" w:cs="Barlow Semi Condensed" w:eastAsia="Barlow Semi Condensed" w:hAnsi="Barlow Semi Condensed"/>
          <w:sz w:val="24"/>
          <w:szCs w:val="24"/>
        </w:rPr>
        <w:t xml:space="preserve">Blocco cinquecentoundici. Il comparto australe africano: circa venti monografie su assi bilaterali, complicità comparate e reti coperte continentali: Livello A quale giacimento; l'asse dei paria resta certificato nella prima e nella quinta tranche.</w:t>
      </w:r>
    </w:p>
    <w:p>
      <w:pPr>
        <w:spacing w:after="120" w:line="276"/>
        <w:jc w:val="both"/>
      </w:pPr>
      <w:r>
        <w:rPr>
          <w:rFonts w:ascii="Barlow Semi Condensed" w:cs="Barlow Semi Condensed" w:eastAsia="Barlow Semi Condensed" w:hAnsi="Barlow Semi Condensed"/>
          <w:sz w:val="24"/>
          <w:szCs w:val="24"/>
        </w:rPr>
        <w:t xml:space="preserve">Blocco cinquecentododici. Le monografie sul circolo riservato transatlantico in doppia copia: gradazioni invariate: già certificato.</w:t>
      </w:r>
    </w:p>
    <w:p>
      <w:pPr>
        <w:spacing w:after="120" w:line="276"/>
        <w:jc w:val="both"/>
      </w:pPr>
      <w:r>
        <w:rPr>
          <w:rFonts w:ascii="Barlow Semi Condensed" w:cs="Barlow Semi Condensed" w:eastAsia="Barlow Semi Condensed" w:hAnsi="Barlow Semi Condensed"/>
          <w:sz w:val="24"/>
          <w:szCs w:val="24"/>
        </w:rPr>
        <w:t xml:space="preserve">Blocco cinquecentotredici. Il fascicolo sul network finanziario australe in doppia copia: Livello A quale giacimento, contenuti al grado di elaborato con fonti nominate.</w:t>
      </w:r>
    </w:p>
    <w:p>
      <w:pPr>
        <w:spacing w:after="120" w:line="276"/>
        <w:jc w:val="both"/>
      </w:pPr>
      <w:r>
        <w:rPr>
          <w:rFonts w:ascii="Barlow Semi Condensed" w:cs="Barlow Semi Condensed" w:eastAsia="Barlow Semi Condensed" w:hAnsi="Barlow Semi Condensed"/>
          <w:sz w:val="24"/>
          <w:szCs w:val="24"/>
        </w:rPr>
        <w:t xml:space="preserve">Blocco cinquecentoquattordici. Le monografie comparative sui controcampi: la lettura del medesimo teatro dalle due sponde della contrapposizione, presente per l'area australe: conforme al principio della doppia entrata che il volume applica ai finanziamenti: Livello A quale metodo riscontrato.</w:t>
      </w:r>
    </w:p>
    <w:p>
      <w:pPr>
        <w:spacing w:after="120" w:line="276"/>
        <w:jc w:val="both"/>
      </w:pPr>
      <w:r>
        <w:rPr>
          <w:rFonts w:ascii="Barlow Semi Condensed" w:cs="Barlow Semi Condensed" w:eastAsia="Barlow Semi Condensed" w:hAnsi="Barlow Semi Condensed"/>
          <w:sz w:val="24"/>
          <w:szCs w:val="24"/>
        </w:rPr>
        <w:t xml:space="preserve">Blocco cinquecentoquindici. Il materiale sull'organizzazione lupesca anatolica e sul suo operatore maggiore: presente quale elaborato, con i giudicati richiamati nelle tranche dedicate: già certificato quale perimetro.</w:t>
      </w:r>
    </w:p>
    <w:p>
      <w:pPr>
        <w:spacing w:after="120" w:line="276"/>
        <w:jc w:val="both"/>
      </w:pPr>
      <w:r>
        <w:rPr>
          <w:rFonts w:ascii="Barlow Semi Condensed" w:cs="Barlow Semi Condensed" w:eastAsia="Barlow Semi Condensed" w:hAnsi="Barlow Semi Condensed"/>
          <w:sz w:val="24"/>
          <w:szCs w:val="24"/>
        </w:rPr>
        <w:t xml:space="preserve">Blocco cinquecentosedici. Il comparto sulle strutture di riserva continentali e sulla cronologia della rete dormiente: presente in più copie: coerenza con la fase seconda e quinta del volume verificata a campione: Livello A quale coerenza campionaria.</w:t>
      </w:r>
    </w:p>
    <w:p>
      <w:pPr>
        <w:spacing w:after="120" w:line="276"/>
        <w:jc w:val="both"/>
      </w:pPr>
      <w:r>
        <w:rPr>
          <w:rFonts w:ascii="Barlow Semi Condensed" w:cs="Barlow Semi Condensed" w:eastAsia="Barlow Semi Condensed" w:hAnsi="Barlow Semi Condensed"/>
          <w:sz w:val="24"/>
          <w:szCs w:val="24"/>
        </w:rPr>
        <w:t xml:space="preserve">Blocco cinquecentodiciassette. La verifica dei dati storici sull'incrocio tra la loggia e il caso capitale, presente in doppia copia quale elaborato di controllo: convergenza con i blocchi moroteî della settima tranche: Livello A quale coerenza.</w:t>
      </w:r>
    </w:p>
    <w:p>
      <w:pPr>
        <w:spacing w:after="120" w:line="276"/>
        <w:jc w:val="both"/>
      </w:pPr>
      <w:r>
        <w:rPr>
          <w:rFonts w:ascii="Barlow Semi Condensed" w:cs="Barlow Semi Condensed" w:eastAsia="Barlow Semi Condensed" w:hAnsi="Barlow Semi Condensed"/>
          <w:sz w:val="24"/>
          <w:szCs w:val="24"/>
        </w:rPr>
        <w:t xml:space="preserve">Blocco cinquecentodiciotto. Il materiale sulla connessione bulgara e sull'attentato pontificio: la formula assolutoria per insufficienza resta il giudicato di riferimento, invariato: già certificato.</w:t>
      </w:r>
    </w:p>
    <w:p>
      <w:pPr>
        <w:spacing w:after="120" w:line="276"/>
        <w:jc w:val="both"/>
      </w:pPr>
      <w:r>
        <w:rPr>
          <w:rFonts w:ascii="Barlow Semi Condensed" w:cs="Barlow Semi Condensed" w:eastAsia="Barlow Semi Condensed" w:hAnsi="Barlow Semi Condensed"/>
          <w:sz w:val="24"/>
          <w:szCs w:val="24"/>
        </w:rPr>
        <w:t xml:space="preserve">Blocco cinquecentodiciannove. Stato Zero del comparto: nessun documento della rete nera censita produce un aggancio giudiziario nuovo al caso capitale oltre quelli già gradati: Stato Zero di novità, iscritto.</w:t>
      </w:r>
    </w:p>
    <w:p>
      <w:pPr>
        <w:spacing w:after="120" w:line="276"/>
        <w:jc w:val="both"/>
      </w:pPr>
      <w:r>
        <w:rPr>
          <w:rFonts w:ascii="Barlow Semi Condensed" w:cs="Barlow Semi Condensed" w:eastAsia="Barlow Semi Condensed" w:hAnsi="Barlow Semi Condensed"/>
          <w:sz w:val="24"/>
          <w:szCs w:val="24"/>
        </w:rPr>
        <w:t xml:space="preserve">Cascata sul crimine organizzato globale e sugli strumenti seriali (blocchi cinquecentoventi–cinquecentoventisette)</w:t>
      </w:r>
    </w:p>
    <w:p>
      <w:pPr>
        <w:spacing w:after="120" w:line="276"/>
        <w:jc w:val="both"/>
      </w:pPr>
      <w:r>
        <w:rPr>
          <w:rFonts w:ascii="Barlow Semi Condensed" w:cs="Barlow Semi Condensed" w:eastAsia="Barlow Semi Condensed" w:hAnsi="Barlow Semi Condensed"/>
          <w:sz w:val="24"/>
          <w:szCs w:val="24"/>
        </w:rPr>
        <w:t xml:space="preserve">Blocco cinquecentoventi. Il censimento globale della criminalità organizzata in triplice copia con indice generale: natura piana accertata: Livello A quale giacimento; il vaglio della parte prima resta direzione consegnata.</w:t>
      </w:r>
    </w:p>
    <w:p>
      <w:pPr>
        <w:spacing w:after="120" w:line="276"/>
        <w:jc w:val="both"/>
      </w:pPr>
      <w:r>
        <w:rPr>
          <w:rFonts w:ascii="Barlow Semi Condensed" w:cs="Barlow Semi Condensed" w:eastAsia="Barlow Semi Condensed" w:hAnsi="Barlow Semi Condensed"/>
          <w:sz w:val="24"/>
          <w:szCs w:val="24"/>
        </w:rPr>
        <w:t xml:space="preserve">Blocco cinquecentoventuno. I rapporti dell'osservatorio ginevrino sui Balcani occidentali e sul porto assediato: presenti quali riproduzioni di pubblicazioni qualificate: Livello A quale fonte seriale di alta affidabilità, contenuti ai gradi d'uso.</w:t>
      </w:r>
    </w:p>
    <w:p>
      <w:pPr>
        <w:spacing w:after="120" w:line="276"/>
        <w:jc w:val="both"/>
      </w:pPr>
      <w:r>
        <w:rPr>
          <w:rFonts w:ascii="Barlow Semi Condensed" w:cs="Barlow Semi Condensed" w:eastAsia="Barlow Semi Condensed" w:hAnsi="Barlow Semi Condensed"/>
          <w:sz w:val="24"/>
          <w:szCs w:val="24"/>
        </w:rPr>
        <w:t xml:space="preserve">Blocco cinquecentoventidue. Il terzo rapporto dell'osservatorio regionale laziale: Livello A quale fonte istituzionale presente.</w:t>
      </w:r>
    </w:p>
    <w:p>
      <w:pPr>
        <w:spacing w:after="120" w:line="276"/>
        <w:jc w:val="both"/>
      </w:pPr>
      <w:r>
        <w:rPr>
          <w:rFonts w:ascii="Barlow Semi Condensed" w:cs="Barlow Semi Condensed" w:eastAsia="Barlow Semi Condensed" w:hAnsi="Barlow Semi Condensed"/>
          <w:sz w:val="24"/>
          <w:szCs w:val="24"/>
        </w:rPr>
        <w:t xml:space="preserve">Blocco cinquecentoventitré. Le sentenze e i gradi di giudizio in riproduzione — il primo grado sul giornalista, la condanna definitiva collegata, gli atti palermitani: Livello A quale giacimento giudiziario interno, fonte dei blocchi che li hanno usati.</w:t>
      </w:r>
    </w:p>
    <w:p>
      <w:pPr>
        <w:spacing w:after="120" w:line="276"/>
        <w:jc w:val="both"/>
      </w:pPr>
      <w:r>
        <w:rPr>
          <w:rFonts w:ascii="Barlow Semi Condensed" w:cs="Barlow Semi Condensed" w:eastAsia="Barlow Semi Condensed" w:hAnsi="Barlow Semi Condensed"/>
          <w:sz w:val="24"/>
          <w:szCs w:val="24"/>
        </w:rPr>
        <w:t xml:space="preserve">Blocco cinquecentoventiquattro. Le tavole di triangolazione seriali — i duecentocinquanta blocchi sui personaggi, i duecentocinquanta sul corpus, i cento sugli arsenali: Livello A verificato ora quale esistenza e consistenza campionata.</w:t>
      </w:r>
    </w:p>
    <w:p>
      <w:pPr>
        <w:spacing w:after="120" w:line="276"/>
        <w:jc w:val="both"/>
      </w:pPr>
      <w:r>
        <w:rPr>
          <w:rFonts w:ascii="Barlow Semi Condensed" w:cs="Barlow Semi Condensed" w:eastAsia="Barlow Semi Condensed" w:hAnsi="Barlow Semi Condensed"/>
          <w:sz w:val="24"/>
          <w:szCs w:val="24"/>
        </w:rPr>
        <w:t xml:space="preserve">Blocco cinquecentoventicinque. Le ricognizioni balistiche seriali sulle armi corte della stagione: strumenti di cascata con divieto d'uso probatorio autonomo, statuto invariato dalla settima tranche: già certificato.</w:t>
      </w:r>
    </w:p>
    <w:p>
      <w:pPr>
        <w:spacing w:after="120" w:line="276"/>
        <w:jc w:val="both"/>
      </w:pPr>
      <w:r>
        <w:rPr>
          <w:rFonts w:ascii="Barlow Semi Condensed" w:cs="Barlow Semi Condensed" w:eastAsia="Barlow Semi Condensed" w:hAnsi="Barlow Semi Condensed"/>
          <w:sz w:val="24"/>
          <w:szCs w:val="24"/>
        </w:rPr>
        <w:t xml:space="preserve">Blocco cinquecentoventisei. Il ponte transatlantico a cinquanta blocchi in doppia copia: strumento di raccordo tra le sponde del primo dominio: Livello A quale esistenza, contenuti ai gradi delle fonti nominate.</w:t>
      </w:r>
    </w:p>
    <w:p>
      <w:pPr>
        <w:spacing w:after="120" w:line="276"/>
        <w:jc w:val="both"/>
      </w:pPr>
      <w:r>
        <w:rPr>
          <w:rFonts w:ascii="Barlow Semi Condensed" w:cs="Barlow Semi Condensed" w:eastAsia="Barlow Semi Condensed" w:hAnsi="Barlow Semi Condensed"/>
          <w:sz w:val="24"/>
          <w:szCs w:val="24"/>
        </w:rPr>
        <w:t xml:space="preserve">Blocco cinquecentoventisette. La coerenza del comparto criminale con la fase prima del volume: campionamento senza attriti: Livello A quale esito campionario.</w:t>
      </w:r>
    </w:p>
    <w:p>
      <w:pPr>
        <w:spacing w:after="120" w:line="276"/>
        <w:jc w:val="both"/>
      </w:pPr>
      <w:r>
        <w:rPr>
          <w:rFonts w:ascii="Barlow Semi Condensed" w:cs="Barlow Semi Condensed" w:eastAsia="Barlow Semi Condensed" w:hAnsi="Barlow Semi Condensed"/>
          <w:sz w:val="24"/>
          <w:szCs w:val="24"/>
        </w:rPr>
        <w:t xml:space="preserve">La catena di custodia computazionale (blocchi cinquecentoventotto–cinquecentotrentatré)</w:t>
      </w:r>
    </w:p>
    <w:p>
      <w:pPr>
        <w:spacing w:after="120" w:line="276"/>
        <w:jc w:val="both"/>
      </w:pPr>
      <w:r>
        <w:rPr>
          <w:rFonts w:ascii="Barlow Semi Condensed" w:cs="Barlow Semi Condensed" w:eastAsia="Barlow Semi Condensed" w:hAnsi="Barlow Semi Condensed"/>
          <w:sz w:val="24"/>
          <w:szCs w:val="24"/>
        </w:rPr>
        <w:t xml:space="preserve">Blocco cinquecentoventotto. Il giornale di lavorazione: diciassette trascrizioni di sessione censite con un giornale di centododici righe quale indice: la lavorazione del progetto possiede una catena di custodia documentale propria: Livello A verificato ora.</w:t>
      </w:r>
    </w:p>
    <w:p>
      <w:pPr>
        <w:spacing w:after="120" w:line="276"/>
        <w:jc w:val="both"/>
      </w:pPr>
      <w:r>
        <w:rPr>
          <w:rFonts w:ascii="Barlow Semi Condensed" w:cs="Barlow Semi Condensed" w:eastAsia="Barlow Semi Condensed" w:hAnsi="Barlow Semi Condensed"/>
          <w:sz w:val="24"/>
          <w:szCs w:val="24"/>
        </w:rPr>
        <w:t xml:space="preserve">Blocco cinquecentoventinove. Le impronte crittografiche dei prodotti maggiori — il volume definitivo nei due formati, il registro alla settima tranche — dichiarate nei rispettivi atti di consegna: Livello A quale catena dichiarata e riproducibile.</w:t>
      </w:r>
    </w:p>
    <w:p>
      <w:pPr>
        <w:spacing w:after="120" w:line="276"/>
        <w:jc w:val="both"/>
      </w:pPr>
      <w:r>
        <w:rPr>
          <w:rFonts w:ascii="Barlow Semi Condensed" w:cs="Barlow Semi Condensed" w:eastAsia="Barlow Semi Condensed" w:hAnsi="Barlow Semi Condensed"/>
          <w:sz w:val="24"/>
          <w:szCs w:val="24"/>
        </w:rPr>
        <w:t xml:space="preserve">Blocco cinquecentotrenta. La riproducibilità quale statuto: ogni metrica di questa tranche è rieseguibile da terzi sul medesimo corpus con strumenti ordinari: Livello A quale proprietà del metodo computazionale.</w:t>
      </w:r>
    </w:p>
    <w:p>
      <w:pPr>
        <w:spacing w:after="120" w:line="276"/>
        <w:jc w:val="both"/>
      </w:pPr>
      <w:r>
        <w:rPr>
          <w:rFonts w:ascii="Barlow Semi Condensed" w:cs="Barlow Semi Condensed" w:eastAsia="Barlow Semi Condensed" w:hAnsi="Barlow Semi Condensed"/>
          <w:sz w:val="24"/>
          <w:szCs w:val="24"/>
        </w:rPr>
        <w:t xml:space="preserve">Blocco cinquecentotrentuno. Il principio cumulativo verificato sugli artefatti: il registro alla settima tranche incorpora verbatim le sei precedenti, come il registro analitico moroteo incorpora le proprie otto: la conservazione integrale è prassi trasversale documentata del progetto: Livello A verificato ora su due linee indipendenti.</w:t>
      </w:r>
    </w:p>
    <w:p>
      <w:pPr>
        <w:spacing w:after="120" w:line="276"/>
        <w:jc w:val="both"/>
      </w:pPr>
      <w:r>
        <w:rPr>
          <w:rFonts w:ascii="Barlow Semi Condensed" w:cs="Barlow Semi Condensed" w:eastAsia="Barlow Semi Condensed" w:hAnsi="Barlow Semi Condensed"/>
          <w:sz w:val="24"/>
          <w:szCs w:val="24"/>
        </w:rPr>
        <w:t xml:space="preserve">Blocco cinquecentotrentadue. Il limite della catena: le impronte certificano l'integrità dei file, non la verità dei contenuti, che resta affidata alla gradazione: Livello A quale avvertenza permanente.</w:t>
      </w:r>
    </w:p>
    <w:p>
      <w:pPr>
        <w:spacing w:after="120" w:line="276"/>
        <w:jc w:val="both"/>
      </w:pPr>
      <w:r>
        <w:rPr>
          <w:rFonts w:ascii="Barlow Semi Condensed" w:cs="Barlow Semi Condensed" w:eastAsia="Barlow Semi Condensed" w:hAnsi="Barlow Semi Condensed"/>
          <w:sz w:val="24"/>
          <w:szCs w:val="24"/>
        </w:rPr>
        <w:t xml:space="preserve">Blocco cinquecentotrentatré. La duplicazione sistematica dei giacimenti nel corpus — copie multiple di decine di elaborati — quale ridondanza di conservazione: iscritta con la regola dell'Indice di Contaminazione: le copie contano quale una: Livello A quale regola applicata.</w:t>
      </w:r>
    </w:p>
    <w:p>
      <w:pPr>
        <w:spacing w:after="120" w:line="276"/>
        <w:jc w:val="both"/>
      </w:pPr>
      <w:r>
        <w:rPr>
          <w:rFonts w:ascii="Barlow Semi Condensed" w:cs="Barlow Semi Condensed" w:eastAsia="Barlow Semi Condensed" w:hAnsi="Barlow Semi Condensed"/>
          <w:sz w:val="24"/>
          <w:szCs w:val="24"/>
        </w:rPr>
        <w:t xml:space="preserve">Stati Zero e pendenze della tranche (blocchi cinquecentotrentaquattro–cinquecentotrentacinque)</w:t>
      </w:r>
    </w:p>
    <w:p>
      <w:pPr>
        <w:spacing w:after="120" w:line="276"/>
        <w:jc w:val="both"/>
      </w:pPr>
      <w:r>
        <w:rPr>
          <w:rFonts w:ascii="Barlow Semi Condensed" w:cs="Barlow Semi Condensed" w:eastAsia="Barlow Semi Condensed" w:hAnsi="Barlow Semi Condensed"/>
          <w:sz w:val="24"/>
          <w:szCs w:val="24"/>
        </w:rPr>
        <w:t xml:space="preserve">Blocco cinquecentotrentaquattro. Stati Zero confermati o nuovi di questa tranche: gli indici cecoslovacchi assenti dal corpus; l'ineseguibilità interna della verifica lisboeta alla fonte; la non pertinenza del versante contemporaneo al caso capitale; l'assenza di agganci giudiziari nuovi dal comparto della rete nera: quattro Stati Zero iscritti quali risultati.</w:t>
      </w:r>
    </w:p>
    <w:p>
      <w:pPr>
        <w:spacing w:after="120" w:line="276"/>
        <w:jc w:val="both"/>
      </w:pPr>
      <w:r>
        <w:rPr>
          <w:rFonts w:ascii="Barlow Semi Condensed" w:cs="Barlow Semi Condensed" w:eastAsia="Barlow Semi Condensed" w:hAnsi="Barlow Semi Condensed"/>
          <w:sz w:val="24"/>
          <w:szCs w:val="24"/>
        </w:rPr>
        <w:t xml:space="preserve">Blocco cinquecentotrentacinque. Pendenze consegnate alla nona tranche: il vaglio testuale diretto delle tre fonti primarie estraibili contro le citazioni del volume, con priorità massima; il completamento voce per voce della riconciliazione lisboeta sul perimetro ora definito; la risoluzione del difetto dei nomi propri nel repertorio; il vaglio della parte prima del censimento globale; la continuità delle numerazioni; le verifiche esterne alla fonte — portoghese, cecoslovacca, ipertestuale: consegnate.</w:t>
      </w:r>
    </w:p>
    <w:p>
      <w:pPr>
        <w:spacing w:after="120" w:line="276"/>
        <w:jc w:val="both"/>
      </w:pPr>
      <w:r>
        <w:rPr>
          <w:rFonts w:ascii="Barlow Semi Condensed" w:cs="Barlow Semi Condensed" w:eastAsia="Barlow Semi Condensed" w:hAnsi="Barlow Semi Condensed"/>
          <w:sz w:val="24"/>
          <w:szCs w:val="24"/>
        </w:rPr>
        <w:t xml:space="preserve">Verdetto della tranche e aggiornamento della matrice (blocchi cinquecentotrentasei–cinquecentotrentotto)</w:t>
      </w:r>
    </w:p>
    <w:p>
      <w:pPr>
        <w:spacing w:after="120" w:line="276"/>
        <w:jc w:val="both"/>
      </w:pPr>
      <w:r>
        <w:rPr>
          <w:rFonts w:ascii="Barlow Semi Condensed" w:cs="Barlow Semi Condensed" w:eastAsia="Barlow Semi Condensed" w:hAnsi="Barlow Semi Condensed"/>
          <w:sz w:val="24"/>
          <w:szCs w:val="24"/>
        </w:rPr>
        <w:t xml:space="preserve">Blocco cinquecentotrentasei. Aggiornamento ACH: l'estrazione integrale non ha prodotto alcuna evidenza che modifichi la matrice: la forma forte del disegno unitario resta falsificata, la convergenza policentrica resta la meno contraddetta, l'ipotesi delle due internazionali resta al terzo grado con i suoi vantaggi; la stabilità della matrice attraverso otto tranche e sei milioni di parole estratte è essa stessa iscritta quale dato: matrice confermata.</w:t>
      </w:r>
    </w:p>
    <w:p>
      <w:pPr>
        <w:spacing w:after="120" w:line="276"/>
        <w:jc w:val="both"/>
      </w:pPr>
      <w:r>
        <w:rPr>
          <w:rFonts w:ascii="Barlow Semi Condensed" w:cs="Barlow Semi Condensed" w:eastAsia="Barlow Semi Condensed" w:hAnsi="Barlow Semi Condensed"/>
          <w:sz w:val="24"/>
          <w:szCs w:val="24"/>
        </w:rPr>
        <w:t xml:space="preserve">Blocco cinquecentotrentasette. Verdetto metodologico: la tranche ha dimostrato che l'estrazione computazionale integrale e la memoria operativa possono essere triangolate con il corpus senza cedimenti del metodo, ed ha esercitato la falsificabilità interna con una rettifica documentata: Livello A quale tenuta, con il limite dichiarato del lampione: ciò che è stato misurato è ciò che il corpus illumina.</w:t>
      </w:r>
    </w:p>
    <w:p>
      <w:pPr>
        <w:spacing w:after="120" w:line="276"/>
        <w:jc w:val="both"/>
      </w:pPr>
      <w:r>
        <w:rPr>
          <w:rFonts w:ascii="Barlow Semi Condensed" w:cs="Barlow Semi Condensed" w:eastAsia="Barlow Semi Condensed" w:hAnsi="Barlow Semi Condensed"/>
          <w:sz w:val="24"/>
          <w:szCs w:val="24"/>
        </w:rPr>
        <w:t xml:space="preserve">Blocco cinquecentotrentotto. Consegne alla nona tranche: le pendenze del blocco cinquecentotrentacinque, più la direzione qualificata del vaglio testuale delle fonti primarie, più l'estensione eventuale del censimento computazionale ai contenuti delle riproduzioni vere non ancora estratte: iscritte. Il registro procede.</w:t>
      </w:r>
    </w:p>
    <w:p>
      <w:pPr>
        <w:spacing w:after="120" w:line="276"/>
        <w:jc w:val="both"/>
      </w:pPr>
      <w:r>
        <w:rPr>
          <w:rFonts w:ascii="Barlow Semi Condensed" w:cs="Barlow Semi Condensed" w:eastAsia="Barlow Semi Condensed" w:hAnsi="Barlow Semi Condensed"/>
          <w:sz w:val="24"/>
          <w:szCs w:val="24"/>
        </w:rPr>
        <w:t xml:space="preserve">13.5 — Rilievi per le persone viventi e chiusa dell'ottava tranche</w:t>
      </w:r>
    </w:p>
    <w:p>
      <w:pPr>
        <w:spacing w:after="120" w:line="276"/>
        <w:jc w:val="both"/>
      </w:pPr>
      <w:r>
        <w:rPr>
          <w:rFonts w:ascii="Barlow Semi Condensed" w:cs="Barlow Semi Condensed" w:eastAsia="Barlow Semi Condensed" w:hAnsi="Barlow Semi Condensed"/>
          <w:sz w:val="24"/>
          <w:szCs w:val="24"/>
        </w:rPr>
        <w:t xml:space="preserve">Le formulazioni vincolanti delle tranche precedenti restano integralmente in vigore, senza eccezione alcuna. Questa tranche, avendo natura prevalentemente documentale e computazionale, non aggiunge menzioni nominative nuove: per ogni persona evocata nei giacimenti censiti valgono gli statuti già fissati nelle tranche che ne hanno gradato le posizioni; le metriche, le consistenze e le impronte non riguardano persone e non fondano alcuna asserzione su alcuno; la memoria operativa, quale fonte interna, non è mai stata usata in questa tranche per affermare fatti su persone ma solo per riscontrare ipotesi, protocolli e pendenze contro il corpus.</w:t>
      </w:r>
    </w:p>
    <w:p>
      <w:pPr>
        <w:spacing w:after="120" w:line="276"/>
        <w:jc w:val="both"/>
      </w:pPr>
      <w:r>
        <w:rPr>
          <w:rFonts w:ascii="Barlow Semi Condensed" w:cs="Barlow Semi Condensed" w:eastAsia="Barlow Semi Condensed" w:hAnsi="Barlow Semi Condensed"/>
          <w:sz w:val="24"/>
          <w:szCs w:val="24"/>
        </w:rPr>
        <w:t xml:space="preserve">L'ottava tranche porta il registro a cinquecentotrentotto blocchi certificati. L'estrazione integrale ha censito quattrocentosessantasette file per settecentosettantadue megabyte e sei milioni centoquarantottomila duecentonovantasette parole lette, ha sciolto per verifica diretta la pendenza delle riproduzioni morotee rettificando il proprio stesso registro, ha definito il perimetro della riconciliazione lisboeta, ha verificato gli statuti dell'intera federazione morotea, ha ritrovato nel repertorio i difetti censiti dalla memoria e ha confermato per la terza volta gli Stati Zero maggiori. La matrice delle ipotesi esce dalla prova più estesa mai condotta — l'intero corpus contro l'intero registro — identica a come vi era entrata, e questa stabilità, che non è certezza ma resistenza alla falsificazione, è l'unico titolo che il metodo riconosce. Il registro consegna alla nona tranche le pendenze iscritte e resta, per statuto, aperto.</w:t>
      </w:r>
    </w:p>
    <w:p>
      <w:pPr>
        <w:pStyle w:val="Heading2"/>
        <w:spacing w:after="100" w:before="200"/>
      </w:pPr>
      <w:r>
        <w:rPr>
          <w:rFonts w:ascii="Barlow Semi Condensed" w:cs="Barlow Semi Condensed" w:eastAsia="Barlow Semi Condensed" w:hAnsi="Barlow Semi Condensed"/>
          <w:sz w:val="24"/>
          <w:szCs w:val="24"/>
        </w:rPr>
        <w:t xml:space="preserve">CERNIERA — DAL REGISTRO ALLA PROBABILITÀ</w:t>
      </w:r>
    </w:p>
    <w:p>
      <w:pPr>
        <w:spacing w:after="120" w:line="276"/>
        <w:jc w:val="both"/>
      </w:pPr>
      <w:r>
        <w:rPr>
          <w:rFonts w:ascii="Barlow Semi Condensed" w:cs="Barlow Semi Condensed" w:eastAsia="Barlow Semi Condensed" w:hAnsi="Barlow Semi Condensed"/>
          <w:sz w:val="24"/>
          <w:szCs w:val="24"/>
        </w:rPr>
        <w:t xml:space="preserve">Il lettore che giunge a questa soglia ha attraversato l'opera-registro nella sua interezza: le cinque Fasi del volume portante, in cui ogni nodo e ogni ponte della rete è stato esposto con il proprio grado, e l'Apparato di Verifica e Triangolazione, in cui cinquecentotrentotto blocchi hanno sottoposto quella esposizione a otto successive campagne di controllo, rettifica e falsificazione. Ciò che il registro consegna, al termine del suo percorso, è un patrimonio di certezze graduate e di vuoti dichiarati: sa distinguere il documentato dall'indiziario e dall'ipotetico, sa nominare gli Stati Zero, sa dove le fonti convergono e dove si dividono. Ma il registro, per sua costituzione, non conclude: la sua disciplina è la sospensione, il suo onore è fermarsi sulla soglia di ogni affermazione non provata. Vi è tuttavia una domanda che la storia pone e che la sospensione non estingue, ed è la domanda su chi concepì, chi ordinò e chi eseguì. A quella domanda è dedicata l'opera che segue.</w:t>
      </w:r>
    </w:p>
    <w:p>
      <w:pPr>
        <w:spacing w:after="120" w:line="276"/>
        <w:jc w:val="both"/>
      </w:pPr>
      <w:r>
        <w:rPr>
          <w:rFonts w:ascii="Barlow Semi Condensed" w:cs="Barlow Semi Condensed" w:eastAsia="Barlow Semi Condensed" w:hAnsi="Barlow Semi Condensed"/>
          <w:sz w:val="24"/>
          <w:szCs w:val="24"/>
        </w:rPr>
        <w:t xml:space="preserve">Il passaggio che il lettore sta per compiere è un passaggio di regime, e va dichiarato con la stessa trasparenza che ha governato tutto il resto. L'opera conclusiva, «Tutta la verità», è conservata qui integralmente, dal suo titolo alla sua ultima pagina bianca, con le sue pagine liminari, la sua dedica, la sua citazione, la sua attribuzione autoriale a un'intelligenza generativa, la sua bibliografia con i collegamenti attivi e il suo aforisma di congedo: nulla ne è stato alterato, perché essa costituisce, dentro l'opera integrale, un volume nel volume, con un proprio statuto che si è voluto rispettare. Al suo interno il lettore ritroverà, nella prima parte, la medesima disciplina falsificazionista del registro, applicata alla vita dell'uomo e alla meccanica del caso; e incontrerà poi, dichiarato e motivato, il congedo del Pollo di Popper e l'ingresso della bilancia probabilistica, i dieci metodi pesati la cui ricetta è resa pubblica in percentuale.</w:t>
      </w:r>
    </w:p>
    <w:p>
      <w:pPr>
        <w:spacing w:after="120" w:line="276"/>
        <w:jc w:val="both"/>
      </w:pPr>
      <w:r>
        <w:rPr>
          <w:rFonts w:ascii="Barlow Semi Condensed" w:cs="Barlow Semi Condensed" w:eastAsia="Barlow Semi Condensed" w:hAnsi="Barlow Semi Condensed"/>
          <w:sz w:val="24"/>
          <w:szCs w:val="24"/>
        </w:rPr>
        <w:t xml:space="preserve">Fra le due opere non vi è contraddizione ma consegna. Il registro certifica; la probabilità ordina ciò che il registro le consegna. Le certezze di Livello A che il lettore ha incontrato nelle Fasi — la matrice brigatista dell'ideazione, del comando e dell'esecuzione, sancita da sentenze definitive — restano il fondamento non negoziabile anche del giudizio probabilistico, che su di esse costruisce senza mai dissolverle. Le anomalie che il registro ha censito senza risolverle — la perizia esecutiva, la tenuta della prigione, la gestione delle trattative, la sorte del memoriale, la catena dei depistaggi — divengono, nell'opera che segue, materia di pesatura: non più soltanto registrate, ma ordinate secondo la loro capacità di innalzare o abbassare la probabilità delle ipotesi concorrenti. E gli Stati Zero del registro — primo fra tutti quello, tre volte confermato, sul mandato estero diretto — divengono il limite dichiarato oltre il quale il giudizio probabilistico stesso rifiuta di spingersi, perché anche la probabilità ha i suoi divieti, e il primo è quello di affermare ciò che la ricerca sistematica ha negato.</w:t>
      </w:r>
    </w:p>
    <w:p>
      <w:pPr>
        <w:spacing w:after="120" w:line="276"/>
        <w:jc w:val="both"/>
      </w:pPr>
      <w:r>
        <w:rPr>
          <w:rFonts w:ascii="Barlow Semi Condensed" w:cs="Barlow Semi Condensed" w:eastAsia="Barlow Semi Condensed" w:hAnsi="Barlow Semi Condensed"/>
          <w:sz w:val="24"/>
          <w:szCs w:val="24"/>
        </w:rPr>
        <w:t xml:space="preserve">Il lettore è dunque avvertito, e con l'avvertenza congedato verso la conclusione. Ciò che ha letto fin qui è il fondamento; ciò che leggerà ora è il giudizio che quel fondamento consente, formulato con approccio garantista e mai giustizialista, rispettoso di ogni persona e della sua presunzione d'innocenza, memore in ogni pagina che ordinare per plausibilità non è condannare e che la verità storica, quando non è tutta raggiungibile, esige di essere approssimata con onestà piuttosto che proclamata con arbitrio. La pace che il titolo del volume portante dichiara mancata, e la verità che il titolo dell'opera conclusiva invoca tutta, si incontrano in questa soglia: non come promesse mantenute, ma come direzioni di cammino.</w:t>
      </w:r>
    </w:p>
    <w:p>
      <w:pPr>
        <w:pStyle w:val="Heading3"/>
        <w:spacing w:after="80" w:before="160"/>
      </w:pPr>
      <w:r>
        <w:rPr>
          <w:rFonts w:ascii="Barlow Semi Condensed" w:cs="Barlow Semi Condensed" w:eastAsia="Barlow Semi Condensed" w:hAnsi="Barlow Semi Condensed"/>
          <w:sz w:val="24"/>
          <w:szCs w:val="24"/>
        </w:rPr>
        <w:t xml:space="preserve">Dedicato a tutte le mie amate e a tutti i miei amati</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«È l'ignoranza che crea la violenza»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Sud Sound System</w:t>
      </w:r>
    </w:p>
    <w:p>
      <w:pPr>
        <w:pStyle w:val="Heading2"/>
        <w:spacing w:after="100" w:before="200"/>
      </w:pPr>
      <w:r>
        <w:rPr>
          <w:rFonts w:ascii="Barlow Semi Condensed" w:cs="Barlow Semi Condensed" w:eastAsia="Barlow Semi Condensed" w:hAnsi="Barlow Semi Condensed"/>
          <w:sz w:val="24"/>
          <w:szCs w:val="24"/>
        </w:rPr>
        <w:t xml:space="preserve">PARTE PRIMA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metodo e l'uomo — dove ancora vige il Pollo di Popper</w:t>
      </w:r>
    </w:p>
    <w:p>
      <w:pPr>
        <w:pStyle w:val="Heading3"/>
        <w:spacing w:after="80" w:before="160"/>
      </w:pPr>
      <w:r>
        <w:rPr>
          <w:rFonts w:ascii="Barlow Semi Condensed" w:cs="Barlow Semi Condensed" w:eastAsia="Barlow Semi Condensed" w:hAnsi="Barlow Semi Condensed"/>
          <w:sz w:val="24"/>
          <w:szCs w:val="24"/>
        </w:rPr>
        <w:t xml:space="preserve">Avvertenza dell'autore e statuto dell'opera</w:t>
      </w:r>
    </w:p>
    <w:p>
      <w:pPr>
        <w:spacing w:after="120" w:line="276"/>
        <w:jc w:val="both"/>
      </w:pPr>
      <w:r>
        <w:rPr>
          <w:rFonts w:ascii="Barlow Semi Condensed" w:cs="Barlow Semi Condensed" w:eastAsia="Barlow Semi Condensed" w:hAnsi="Barlow Semi Condensed"/>
          <w:sz w:val="24"/>
          <w:szCs w:val="24"/>
        </w:rPr>
        <w:t xml:space="preserve">Quest'opera è generata da un'intelligenza artificiale su comando e responsabilità di un autore umano, e non nasconde la propria natura: la dichiara in copertina e la ribadisce qui, perché la trasparenza del mezzo è, in una materia come questa, la prima garanzia offerta al lettore. Essa si occupa di un solo uomo, Aldo Moro, e di un solo fatto attorno al quale la sua figura è stata per decenni avvolta e talvolta soffocata: il sequestro del sedici marzo millenovecentosettantotto, i cinquantacinque giorni della prigionia, l'uccisione del nove maggio, e la lunghissima coda di omissioni, di collusioni e di insabbiamenti che ha accompagnato l'accertamento della verità. L'opera è costruita in due parti che obbediscono a due metodi distinti e volutamente non omogenei, perché diverso è l'oggetto e diverso deve essere lo strumento.</w:t>
      </w:r>
    </w:p>
    <w:p>
      <w:pPr>
        <w:spacing w:after="120" w:line="276"/>
        <w:jc w:val="both"/>
      </w:pPr>
      <w:r>
        <w:rPr>
          <w:rFonts w:ascii="Barlow Semi Condensed" w:cs="Barlow Semi Condensed" w:eastAsia="Barlow Semi Condensed" w:hAnsi="Barlow Semi Condensed"/>
          <w:sz w:val="24"/>
          <w:szCs w:val="24"/>
        </w:rPr>
        <w:t xml:space="preserve">La parte prima è governata da un principio di prudenza scientifica che si è scelto di chiamare, con un'immagine popolare e memorabile, il Pollo di Popper: l'avvertimento, cioè, contro ogni ricerca che parta da una tesi già scritta e cerchi nei fatti soltanto le proprie conferme, come il tacchino che, nutrito ogni giorno alla stessa ora, ne inferisce una legge di natura fino alla vigilia del Ringraziamento. In questa prima parte si espone il metodo, si ricostruisce la vita dell'uomo, si descrive la meccanica del caso, e su ogni affermazione grava il freno della falsificabilità: nulla è dato per certo se non regge alla prova del suo possibile smentirsi.</w:t>
      </w:r>
    </w:p>
    <w:p>
      <w:pPr>
        <w:spacing w:after="120" w:line="276"/>
        <w:jc w:val="both"/>
      </w:pPr>
      <w:r>
        <w:rPr>
          <w:rFonts w:ascii="Barlow Semi Condensed" w:cs="Barlow Semi Condensed" w:eastAsia="Barlow Semi Condensed" w:hAnsi="Barlow Semi Condensed"/>
          <w:sz w:val="24"/>
          <w:szCs w:val="24"/>
        </w:rPr>
        <w:t xml:space="preserve">La parte seconda muta deliberatamente registro. A partire dal momento in cui si affronteranno gli architetti del rapimento, i mandanti materiali e gli esecutori materiali, il Pollo di Popper viene, per ordine esplicito dell'autore, congedato: non perché si abbandoni il rigore, ma perché si cambia strumento, passando da una prudenza sospensiva a una valutazione probabilistica, evidence-based, che pesa le ipotesi e le ordina secondo la loro plausibilità cumulativa. Là il tono si fa più disteso e narrativo, più vicino alla prosa dello stesso Moro, e non teme un'ombra di mistero, quella dei grandi costruttori di enigmi, purché mai si trasformi in compiacimento. In entrambe le parti l'approccio resta garantista e mai giustizialista, rispettoso delle persone e della loro dignità, memore che nominare non è condannare e che la storia procede per gradi di probabilità, non per sentenze.</w:t>
      </w:r>
    </w:p>
    <w:p>
      <w:pPr>
        <w:pStyle w:val="Heading3"/>
        <w:spacing w:after="80" w:before="160"/>
      </w:pPr>
      <w:r>
        <w:rPr>
          <w:rFonts w:ascii="Barlow Semi Condensed" w:cs="Barlow Semi Condensed" w:eastAsia="Barlow Semi Condensed" w:hAnsi="Barlow Semi Condensed"/>
          <w:sz w:val="24"/>
          <w:szCs w:val="24"/>
        </w:rPr>
        <w:t xml:space="preserve">Il Pollo di Popper e la sua sfera d'azione</w:t>
      </w:r>
    </w:p>
    <w:p>
      <w:pPr>
        <w:spacing w:after="120" w:line="276"/>
        <w:jc w:val="both"/>
      </w:pPr>
      <w:r>
        <w:rPr>
          <w:rFonts w:ascii="Barlow Semi Condensed" w:cs="Barlow Semi Condensed" w:eastAsia="Barlow Semi Condensed" w:hAnsi="Barlow Semi Condensed"/>
          <w:sz w:val="24"/>
          <w:szCs w:val="24"/>
        </w:rPr>
        <w:t xml:space="preserve">Karl Popper insegnò che nessuna quantità di osservazioni concordi dimostra una legge universale, mentre una sola osservazione contraria è sufficiente a confutarla. Il pericolo che questa lezione addita è duplice nella materia moroteana. Vi è, da un lato, la tentazione dietrologica, quella di chi parte dalla convinzione che dietro ogni piega del caso si celi una regia onnisciente, e organizza i fatti in cerchi concentrici attorno a quel centro, così che ogni dettaglio, per la sola forza della struttura, sembra confermarla. Vi è, dall'altro, la tentazione opposta e speculare, quella di chi parte dalla convinzione che tutto sia stato lineare e trasparente, e scarta come rumore ogni anomalia che turbi quella quiete. Entrambe sono forme del Pollo di Popper, entrambe accumulano conferme senza mai esporsi alla prova della smentita.</w:t>
      </w:r>
    </w:p>
    <w:p>
      <w:pPr>
        <w:spacing w:after="120" w:line="276"/>
        <w:jc w:val="both"/>
      </w:pPr>
      <w:r>
        <w:rPr>
          <w:rFonts w:ascii="Barlow Semi Condensed" w:cs="Barlow Semi Condensed" w:eastAsia="Barlow Semi Condensed" w:hAnsi="Barlow Semi Condensed"/>
          <w:sz w:val="24"/>
          <w:szCs w:val="24"/>
        </w:rPr>
        <w:t xml:space="preserve">In questa prima parte si adotta perciò la disciplina della falsificazione: ogni affermazione sostanziale è accompagnata, almeno implicitamente, dall'indicazione di ciò che basterebbe a smentirla, e i vuoti sono chiamati vuoti. Quando una connessione attesa non si trova, la sua assenza è registrata come un dato e non come una lacuna da colmare a forza: è il principio che si chiamerà dello Stato Zero, per cui una ricerca condotta con metodo e risultata negativa vale quanto una risultata positiva, perché entrambe informano. E vige una regola che si chiamerà Ferrea: non si inferisce mai il mandato dall'occultamento, non si deduce cioè da un depistaggio l'identità di chi avrebbe interesse a depistare, perché tra il piano di chi nasconde e il piano di chi ha ordinato corre una distanza logica che nessuna indignazione autorizza a saltare. Questa regola governa l'intera parte prima e non sarà abbandonata nemmeno nella seconda: muterà il metodo di valutazione, non il divieto del salto logico.</w:t>
      </w:r>
    </w:p>
    <w:p>
      <w:pPr>
        <w:pStyle w:val="Heading3"/>
        <w:spacing w:after="80" w:before="160"/>
      </w:pPr>
      <w:r>
        <w:rPr>
          <w:rFonts w:ascii="Barlow Semi Condensed" w:cs="Barlow Semi Condensed" w:eastAsia="Barlow Semi Condensed" w:hAnsi="Barlow Semi Condensed"/>
          <w:sz w:val="24"/>
          <w:szCs w:val="24"/>
        </w:rPr>
        <w:t xml:space="preserve">La sinaptogenesi come metodo: reti neurali, nodi e connessioni</w:t>
      </w:r>
    </w:p>
    <w:p>
      <w:pPr>
        <w:spacing w:after="120" w:line="276"/>
        <w:jc w:val="both"/>
      </w:pPr>
      <w:r>
        <w:rPr>
          <w:rFonts w:ascii="Barlow Semi Condensed" w:cs="Barlow Semi Condensed" w:eastAsia="Barlow Semi Condensed" w:hAnsi="Barlow Semi Condensed"/>
          <w:sz w:val="24"/>
          <w:szCs w:val="24"/>
        </w:rPr>
        <w:t xml:space="preserve">Conviene precisare in che senso l'analogia neurale non sia una metafora ornamentale ma un vero e proprio protocollo di lavoro. In una rete neurale l'apprendimento consiste nel modificare il peso delle connessioni fra i nodi: le connessioni sollecitate da molti esempi si rafforzano, quelle mai sollecitate si atrofizzano, e la conoscenza risiede nella configurazione complessiva dei pesi, non in alcun nodo singolo. Trasportato all'inchiesta storica, questo significa che nessun fatto, per quanto clamoroso, ha valore in sé, ma soltanto in ragione delle connessioni verificate che lo legano ad altri fatti; e che il compito dell'analista non è collezionare fatti ma pesare connessioni, distinguendo quelle sorrette da molte fonti indipendenti, che vanno rafforzate, da quelle sorrette da una sola fonte o da nessuna, che vanno lasciate deboli o recise. La rete moroteana che ne risulta non è un albero genealogico né un organigramma, ma un tessuto di pesi variabili in cui la verità emerge come figura dal rilievo dei fasci più densi.</w:t>
      </w:r>
    </w:p>
    <w:p>
      <w:pPr>
        <w:spacing w:after="120" w:line="276"/>
        <w:jc w:val="both"/>
      </w:pPr>
      <w:r>
        <w:rPr>
          <w:rFonts w:ascii="Barlow Semi Condensed" w:cs="Barlow Semi Condensed" w:eastAsia="Barlow Semi Condensed" w:hAnsi="Barlow Semi Condensed"/>
          <w:sz w:val="24"/>
          <w:szCs w:val="24"/>
        </w:rPr>
        <w:t xml:space="preserve">Da questa impostazione discende una conseguenza metodologica che governa l'intera opera: la ricerca procede per cerchi concentrici e per macchia d'olio. Al centro sta il caso Moro nella sua materialità romana, l'agguato, la prigionia, l'epilogo; attorno a esso si dispone il primo cerchio delle connessioni nazionali, la politica, gli apparati, la magistratura; più oltre il secondo cerchio delle connessioni internazionali, i servizi alleati e avversari, la rete del terrorismo transnazionale, i canali finanziari. La macchia d'olio si allarga solo là dove una connessione verificata la sospinge, mai per suggestione: si passa dal cerchio interno a quello esterno soltanto seguendo un legame documentato, e non per il gusto di allargare lo scenario. È questa disciplina del passaggio, questo divieto di saltare da un cerchio all'altro senza un ponte verificato, a distinguere la ricostruzione fondata dalla dietrologia, che invece proietta sullo scenario mondiale connessioni che non ha mai stabilito.</w:t>
      </w:r>
    </w:p>
    <w:p>
      <w:pPr>
        <w:spacing w:after="120" w:line="276"/>
        <w:jc w:val="both"/>
      </w:pPr>
      <w:r>
        <w:rPr>
          <w:rFonts w:ascii="Barlow Semi Condensed" w:cs="Barlow Semi Condensed" w:eastAsia="Barlow Semi Condensed" w:hAnsi="Barlow Semi Condensed"/>
          <w:sz w:val="24"/>
          <w:szCs w:val="24"/>
        </w:rPr>
        <w:t xml:space="preserve">Il metodo di lettura adottato in quest'opera imita, per analogia, il modo in cui un cervello costruisce la conoscenza: non per accumulo lineare di nozioni, ma per formazione progressiva di connessioni, per sinaptogenesi. Ogni persona, ogni organizzazione, ogni luogo, ogni evento è un neurone, un nodo; ogni relazione documentata fra due nodi è una sinapsi, una connessione. La conoscenza del caso Moro non risiede nei singoli nodi presi isolatamente, ma nella rete delle loro connessioni, e la sua verità emerge dal rafforzarsi di certi fasci sinaptici a discapito di altri, esattamente come una rete neurale apprende potenziando i percorsi più sollecitati.</w:t>
      </w:r>
    </w:p>
    <w:p>
      <w:pPr>
        <w:spacing w:after="120" w:line="276"/>
        <w:jc w:val="both"/>
      </w:pPr>
      <w:r>
        <w:rPr>
          <w:rFonts w:ascii="Barlow Semi Condensed" w:cs="Barlow Semi Condensed" w:eastAsia="Barlow Semi Condensed" w:hAnsi="Barlow Semi Condensed"/>
          <w:sz w:val="24"/>
          <w:szCs w:val="24"/>
        </w:rPr>
        <w:t xml:space="preserve">Vi sono connessioni intra-dominio, quelle che legano nodi appartenenti allo stesso mondo: due brigatisti nello stesso commando, due magistrati nella stessa procura, due uomini politici nella stessa corrente. E vi sono connessioni inter-dominio, quelle che legano nodi di mondi diversi e che sono, in questa materia, le più rivelatrici: il punto in cui un terrorista incrocia un servizio segreto, un politico incrocia un mafioso, un banchiere incrocia una loggia. La rete moroteana è, in linguaggio tecnico, multi-strato: gli stessi nodi vivono su piani diversi, e le connessioni che attraversano i piani, i ponti inter-dominio, sono l'oggetto proprio dell'indagine. Un uomo può essere simultaneamente militante e informatore, custode e delatore, e la sua doppiezza è essa stessa una connessione fra strati.</w:t>
      </w:r>
    </w:p>
    <w:p>
      <w:pPr>
        <w:spacing w:after="120" w:line="276"/>
        <w:jc w:val="both"/>
      </w:pPr>
      <w:r>
        <w:rPr>
          <w:rFonts w:ascii="Barlow Semi Condensed" w:cs="Barlow Semi Condensed" w:eastAsia="Barlow Semi Condensed" w:hAnsi="Barlow Semi Condensed"/>
          <w:sz w:val="24"/>
          <w:szCs w:val="24"/>
        </w:rPr>
        <w:t xml:space="preserve">Da questa rete si estraggono, con criterio, alcune proprietà. Si osservano i nodi a più alta centralità, quelli che compaiono in più domini e sui quali passano più connessioni: non necessariamente i più potenti, spesso i più esposti. Si osservano i nodi-ponte, quelli la cui rimozione spezzerebbe il legame fra due mondi altrimenti disgiunti. Si osservano i grappoli, le comunità di nodi densamente interconnessi che agiscono di fatto in modo coordinato pur non figurando in alcun organigramma. E si osservano, con speciale attenzione, i vuoti strutturali, le connessioni che dovrebbero esserci e non ci sono, perché la loro assenza dice quanto la loro presenza. Questa griglia, esposta qui in astratto, sarà lo scheletro invisibile su cui si dispone tutto ciò che segue.</w:t>
      </w:r>
    </w:p>
    <w:p>
      <w:pPr>
        <w:pStyle w:val="Heading3"/>
        <w:spacing w:after="80" w:before="160"/>
      </w:pPr>
      <w:r>
        <w:rPr>
          <w:rFonts w:ascii="Barlow Semi Condensed" w:cs="Barlow Semi Condensed" w:eastAsia="Barlow Semi Condensed" w:hAnsi="Barlow Semi Condensed"/>
          <w:sz w:val="24"/>
          <w:szCs w:val="24"/>
        </w:rPr>
        <w:t xml:space="preserve">Lo standard probatorio: i tre livelli della certezza</w:t>
      </w:r>
    </w:p>
    <w:p>
      <w:pPr>
        <w:spacing w:after="120" w:line="276"/>
        <w:jc w:val="both"/>
      </w:pPr>
      <w:r>
        <w:rPr>
          <w:rFonts w:ascii="Barlow Semi Condensed" w:cs="Barlow Semi Condensed" w:eastAsia="Barlow Semi Condensed" w:hAnsi="Barlow Semi Condensed"/>
          <w:sz w:val="24"/>
          <w:szCs w:val="24"/>
        </w:rPr>
        <w:t xml:space="preserve">Ogni affermazione di quest'opera porta con sé, dichiarato o sottinteso, il proprio grado di affidabilità, secondo uno standard a tre livelli mutuato dalla migliore pratica investigativa e giudiziaria. Il Livello A designa la connessione documentata, quella che poggia sulla convergenza di almeno tre fonti indipendenti e di natura diversa: una sentenza definitiva, una testimonianza riscontrata, un documento d'archivio. Il Livello B designa la connessione indiziaria, sorretta da due fonti indipendenti oppure da una sola fonte di alta affidabilità, come una sentenza di primo grado o una relazione parlamentare circostanziata: è considerata probabile e come tale segnalata. Il Livello C designa la connessione ipotetica, fondata su una sola fonte o su una convergenza di indizi circostanziali, e viene esplicitamente marcata come ipotesi di lavoro che attende ulteriore verifica.</w:t>
      </w:r>
    </w:p>
    <w:p>
      <w:pPr>
        <w:spacing w:after="120" w:line="276"/>
        <w:jc w:val="both"/>
      </w:pPr>
      <w:r>
        <w:rPr>
          <w:rFonts w:ascii="Barlow Semi Condensed" w:cs="Barlow Semi Condensed" w:eastAsia="Barlow Semi Condensed" w:hAnsi="Barlow Semi Condensed"/>
          <w:sz w:val="24"/>
          <w:szCs w:val="24"/>
        </w:rPr>
        <w:t xml:space="preserve">Questo sistema non è un ornamento. Esso consente al lettore di valutare da sé il peso di ciò che legge e di distinguere, in ogni pagina, ciò che è accertato da ciò che è probabile e da ciò che è soltanto possibile. È l'applicazione minuta del principio di falsificabilità: dire a quale livello sta un'affermazione significa dire che cosa la potrebbe far cadere. Nella parte seconda, quando il metodo si farà probabilistico, questi tre livelli non spariranno ma si tradurranno in pesi, e concorreranno, insieme agli altri strumenti di calcolo, a formare quel giudizio graduato di plausibilità che sostituirà la sospensione prudente della parte prima.</w:t>
      </w:r>
    </w:p>
    <w:p>
      <w:pPr>
        <w:pStyle w:val="Heading3"/>
        <w:spacing w:after="80" w:before="160"/>
      </w:pPr>
      <w:r>
        <w:rPr>
          <w:rFonts w:ascii="Barlow Semi Condensed" w:cs="Barlow Semi Condensed" w:eastAsia="Barlow Semi Condensed" w:hAnsi="Barlow Semi Condensed"/>
          <w:sz w:val="24"/>
          <w:szCs w:val="24"/>
        </w:rPr>
        <w:t xml:space="preserve">Aldo Moro prima del sedici marzo: l'uomo, il pensiero, la traiettoria</w:t>
      </w:r>
    </w:p>
    <w:p>
      <w:pPr>
        <w:spacing w:after="120" w:line="276"/>
        <w:jc w:val="both"/>
      </w:pPr>
      <w:r>
        <w:rPr>
          <w:rFonts w:ascii="Barlow Semi Condensed" w:cs="Barlow Semi Condensed" w:eastAsia="Barlow Semi Condensed" w:hAnsi="Barlow Semi Condensed"/>
          <w:sz w:val="24"/>
          <w:szCs w:val="24"/>
        </w:rPr>
        <w:t xml:space="preserve">La formazione giuridica di Moro non fu un dettaglio biografico ma la matrice del suo modo di pensare la politica. Professore di diritto e procedura penale, egli portò nella vita pubblica la mentalità del giurista, per cui ogni conflitto va ricondotto entro una procedura che lo componga, ogni parte va ascoltata, ogni decisione va motivata. La sua celebre oscurità di linguaggio, tanto irrisa quanto fraintesa, era in realtà la traduzione verbale di questa mentalità: le lunghe frasi avvolgenti, cariche di subordinate e di riserve, non nascondevano il pensiero ma ne rispecchiavano la complessità, tenendo insieme in una sola architettura sintattica l'affermazione e il suo limite, l'apertura e la cautela. Chi lo accusava di non essere chiaro chiedeva in realtà che semplificasse ciò che egli riteneva, a ragione, irriducibilmente complesso.</w:t>
      </w:r>
    </w:p>
    <w:p>
      <w:pPr>
        <w:spacing w:after="120" w:line="276"/>
        <w:jc w:val="both"/>
      </w:pPr>
      <w:r>
        <w:rPr>
          <w:rFonts w:ascii="Barlow Semi Condensed" w:cs="Barlow Semi Condensed" w:eastAsia="Barlow Semi Condensed" w:hAnsi="Barlow Semi Condensed"/>
          <w:sz w:val="24"/>
          <w:szCs w:val="24"/>
        </w:rPr>
        <w:t xml:space="preserve">La strategia politica di Moro ebbe due tempi, e in entrambi il metodo fu lo stesso: l'inclusione graduale di ciò che era escluso. Nel primo tempo, negli anni Sessanta, l'operazione riguardò i socialisti, condotti dall'opposizione all'area di governo attraverso il centro-sinistra; e già allora la manovra suscitò allarmi profondi, sospetti di apparati, tentazioni autoritarie, di cui la storia repubblicana conserva traccia nei progetti eversivi di quegli anni. Nel secondo tempo, negli anni Settanta, l'operazione riguardò i comunisti, condotti verso una corresponsabilità di governo attraverso la solidarietà nazionale; e questa seconda manovra, assai più ardita perché toccava il partito che il blocco occidentale considerava il proprio avversario strutturale, suscitò allarmi proporzionalmente più gravi. Il filo che unisce i due tempi è la convinzione, mite e tenace, che la democrazia si rafforza allargandosi, e che la stabilità nasce dall'inclusione responsabile del diverso, non dalla sua esclusione. Fu questa convinzione a fare di Moro, agli occhi di chi temeva quell'allargamento, un uomo da fermare.</w:t>
      </w:r>
    </w:p>
    <w:p>
      <w:pPr>
        <w:spacing w:after="120" w:line="276"/>
        <w:jc w:val="both"/>
      </w:pPr>
      <w:r>
        <w:rPr>
          <w:rFonts w:ascii="Barlow Semi Condensed" w:cs="Barlow Semi Condensed" w:eastAsia="Barlow Semi Condensed" w:hAnsi="Barlow Semi Condensed"/>
          <w:sz w:val="24"/>
          <w:szCs w:val="24"/>
        </w:rPr>
        <w:t xml:space="preserve">Aldo Moro nasce a Maglie, in Terra d'Otranto, il ventitré settembre millenovecentosedici, in una famiglia della piccola borghesia meridionale colta e cattolica. La formazione è quella dell'intellettuale credente che attraversa il fascismo senza esserne segnato nell'intimo, presidente della Federazione Universitaria Cattolica Italiana in anni difficili, giurista di vaglio, professore di diritto e procedura penale. Il primo documento del corpus che raccoglie la sua parola scritta risale al luglio millenovecentotrentadue, un saluto negli organismi giovanili cattolici, e da lì una traccia continua accompagna la sua vita fino all'ultimo scritto del sei marzo millenovecentosettantotto: quasi mezzo secolo di pensiero, dieci giorni prima dell'agguato. Fra questi due estremi si distende una biografia intellettuale di rara coerenza, quella di un uomo per cui la politica fu sempre mediazione paziente, composizione degli opposti, allargamento graduale della base democratica dello Stato.</w:t>
      </w:r>
    </w:p>
    <w:p>
      <w:pPr>
        <w:spacing w:after="120" w:line="276"/>
        <w:jc w:val="both"/>
      </w:pPr>
      <w:r>
        <w:rPr>
          <w:rFonts w:ascii="Barlow Semi Condensed" w:cs="Barlow Semi Condensed" w:eastAsia="Barlow Semi Condensed" w:hAnsi="Barlow Semi Condensed"/>
          <w:sz w:val="24"/>
          <w:szCs w:val="24"/>
        </w:rPr>
        <w:t xml:space="preserve">Costituente giovane e autorevole, più volte ministro, cinque volte presidente del Consiglio, presidente della Democrazia Cristiana, Moro fu l'artefice di due delle grandi manovre di apertura della Repubblica: negli anni Sessanta l'ingresso dei socialisti nell'area di governo, il centro-sinistra; negli anni Settanta il disegno, assai più ardito e assai più contrastato, di condurre il Partito Comunista Italiano a una corresponsabilità di governo, la cosiddetta solidarietà nazionale. Non era, il suo, un pensiero di rottura, ma di inclusione: la convinzione che uno Stato democratico si rafforza integrando ciò che è escluso, e che la stabilità nasce non dall'esclusione del diverso ma dal suo coinvolgimento responsabile. Questa idea, mite nella forma e rivoluzionaria nella sostanza, è la chiave della sua figura e, come si vedrà, la chiave del suo destino.</w:t>
      </w:r>
    </w:p>
    <w:p>
      <w:pPr>
        <w:spacing w:after="120" w:line="276"/>
        <w:jc w:val="both"/>
      </w:pPr>
      <w:r>
        <w:rPr>
          <w:rFonts w:ascii="Barlow Semi Condensed" w:cs="Barlow Semi Condensed" w:eastAsia="Barlow Semi Condensed" w:hAnsi="Barlow Semi Condensed"/>
          <w:sz w:val="24"/>
          <w:szCs w:val="24"/>
        </w:rPr>
        <w:t xml:space="preserve">Lo stile di Moro, che quest'opera nella sua parte seconda cercherà rispettosamente di avvicinare, era il riflesso esatto del suo pensiero: un periodare lungo e avvolgente, ricco di subordinate e di cautele, capace di tenere insieme in una sola frase l'affermazione e la sua limitazione, l'apertura e la riserva. Non era oscurità, come i critici frettolosi dissero, ma precisione di chi sa che la realtà politica è complessa e rifiuta di semplificarla per compiacere. Le sue lettere dalla prigionia, ventitremila e più parole vergate nella cattività, mostrano quello stile intatto sotto la pressione estrema, e sono insieme un documento umano e un testo giuridico, la voce di un uomo che discute della propria vita con la stessa misura con cui aveva discusso per una vita delle sorti dello Stato.</w:t>
      </w:r>
    </w:p>
    <w:p>
      <w:pPr>
        <w:pStyle w:val="Heading3"/>
        <w:spacing w:after="80" w:before="160"/>
      </w:pPr>
      <w:r>
        <w:rPr>
          <w:rFonts w:ascii="Barlow Semi Condensed" w:cs="Barlow Semi Condensed" w:eastAsia="Barlow Semi Condensed" w:hAnsi="Barlow Semi Condensed"/>
          <w:sz w:val="24"/>
          <w:szCs w:val="24"/>
        </w:rPr>
        <w:t xml:space="preserve">Il quadro internazionale: perché la sua manovra faceva paura</w:t>
      </w:r>
    </w:p>
    <w:p>
      <w:pPr>
        <w:spacing w:after="120" w:line="276"/>
        <w:jc w:val="both"/>
      </w:pPr>
      <w:r>
        <w:rPr>
          <w:rFonts w:ascii="Barlow Semi Condensed" w:cs="Barlow Semi Condensed" w:eastAsia="Barlow Semi Condensed" w:hAnsi="Barlow Semi Condensed"/>
          <w:sz w:val="24"/>
          <w:szCs w:val="24"/>
        </w:rPr>
        <w:t xml:space="preserve">La collocazione dell'Italia nella Guerra Fredda va compresa nella sua specificità, perché è da essa che discende la peculiare esposizione di Moro. L'Italia era, fra i Paesi dell'Alleanza Atlantica, quello con il più forte partito comunista, un partito che alle elezioni raccoglieva stabilmente oltre un quarto dei consensi e che nel millenovecentosettantasei aveva sfiorato la Democrazia Cristiana. Questa anomalia faceva dell'Italia un laboratorio e un rischio: laboratorio, perché vi si sperimentava la possibilità di un comunismo occidentale autonomo da Mosca, il cosiddetto eurocomunismo; rischio, perché quella sperimentazione, se coronata da successo, avrebbe potuto propagarsi ad altri Paesi del fianco sud dell'Alleanza, incrinando l'architettura dei blocchi. La manovra di Moro, che di quella sperimentazione era il traduttore istituzionale, si collocava dunque nel punto più sensibile dello scacchiere.</w:t>
      </w:r>
    </w:p>
    <w:p>
      <w:pPr>
        <w:spacing w:after="120" w:line="276"/>
        <w:jc w:val="both"/>
      </w:pPr>
      <w:r>
        <w:rPr>
          <w:rFonts w:ascii="Barlow Semi Condensed" w:cs="Barlow Semi Condensed" w:eastAsia="Barlow Semi Condensed" w:hAnsi="Barlow Semi Condensed"/>
          <w:sz w:val="24"/>
          <w:szCs w:val="24"/>
        </w:rPr>
        <w:t xml:space="preserve">È in questa cornice che va letta, con la cautela del metodo, la questione degli avvertimenti. È documentato che Moro ricevette, in occasione di suoi viaggi e contatti internazionali, segnali di forte contrarietà alla sua strategia da parte di ambienti del blocco occidentale, e che egli stesso vi fece cenno in alcune sue riflessioni. Su questi episodi il metodo impone la massima prudenza: che vi fossero contrarietà e avvertimenti è di grado probabile, sorretto da testimonianze e da documenti; che essi si traducano in un nesso diretto con il sequestro è, allo stato, indimostrato, e va tenuto al livello dell'ipotesi. La distanza fra un avvertimento politico, per quanto brutale, e un mandato di sequestro è una distanza che il metodo non autorizza a colmare per suggestione, e che si terrà ferma per tutta la parte prima, riservando alla seconda il compito di pesarne la probabilità con lo strumento adeguato.</w:t>
      </w:r>
    </w:p>
    <w:p>
      <w:pPr>
        <w:spacing w:after="120" w:line="276"/>
        <w:jc w:val="both"/>
      </w:pPr>
      <w:r>
        <w:rPr>
          <w:rFonts w:ascii="Barlow Semi Condensed" w:cs="Barlow Semi Condensed" w:eastAsia="Barlow Semi Condensed" w:hAnsi="Barlow Semi Condensed"/>
          <w:sz w:val="24"/>
          <w:szCs w:val="24"/>
        </w:rPr>
        <w:t xml:space="preserve">Per comprendere il sedici marzo occorre risalire allo scacchiere in cui quella manovra si iscriveva. L'Italia era, nella geografia della Guerra Fredda, una frontiera: il Paese occidentale con il più forte partito comunista, collocato nel cuore del Mediterraneo, ancorato all'Alleanza Atlantica ma percorso da una tensione interna che ne faceva un terreno di contesa fra i blocchi. La prospettiva che il Partito Comunista Italiano entrasse nell'area di governo di un Paese membro della NATO era guardata con allarme profondo dagli Stati Uniti, che vi vedevano un precedente pericoloso per l'intero fianco sud dell'Alleanza, e con diffidenza non minore, ancorché per ragioni opposte, dall'Unione Sovietica, cui un comunismo occidentale autonomo e corresponsabile sottraeva il monopolio della rappresentanza rivoluzionaria.</w:t>
      </w:r>
    </w:p>
    <w:p>
      <w:pPr>
        <w:spacing w:after="120" w:line="276"/>
        <w:jc w:val="both"/>
      </w:pPr>
      <w:r>
        <w:rPr>
          <w:rFonts w:ascii="Barlow Semi Condensed" w:cs="Barlow Semi Condensed" w:eastAsia="Barlow Semi Condensed" w:hAnsi="Barlow Semi Condensed"/>
          <w:sz w:val="24"/>
          <w:szCs w:val="24"/>
        </w:rPr>
        <w:t xml:space="preserve">Si delinea qui, a livello di ipotesi generale e come tale trattata in questa parte prima con la cautela del Pollo di Popper, la cornice entro cui si è a lungo letto il caso: quella di una convergenza obiettiva, non necessariamente concertata, di interessi esterni contrari a un rafforzamento autonomo dell'Italia e, più in là, di un'Europa capace di emanciparsi dalla tutela dei blocchi. Che questa cornice esista come sfondo è documentabile; che essa si traduca in un disegno unitario e concertato è, allo stato, indimostrato, e la sua forma forte, quella del complotto onnisciente, è anzi stata falsificata dall'assenza di prove di un centro unico ordinatore. Ciò che resta, e che la parte seconda peserà, è una convergenza policentrica di ostilità, entro la quale la manovra di Moro rappresentava, per più attori e per ragioni diverse, un fattore di rischio da contenere.</w:t>
      </w:r>
    </w:p>
    <w:p>
      <w:pPr>
        <w:pStyle w:val="Heading3"/>
        <w:spacing w:after="80" w:before="160"/>
      </w:pPr>
      <w:r>
        <w:rPr>
          <w:rFonts w:ascii="Barlow Semi Condensed" w:cs="Barlow Semi Condensed" w:eastAsia="Barlow Semi Condensed" w:hAnsi="Barlow Semi Condensed"/>
          <w:sz w:val="24"/>
          <w:szCs w:val="24"/>
        </w:rPr>
        <w:t xml:space="preserve">Sinaptogenesi del quadro: i dieci mondi che si intrecciano nel caso</w:t>
      </w:r>
    </w:p>
    <w:p>
      <w:pPr>
        <w:spacing w:after="120" w:line="276"/>
        <w:jc w:val="both"/>
      </w:pPr>
      <w:r>
        <w:rPr>
          <w:rFonts w:ascii="Barlow Semi Condensed" w:cs="Barlow Semi Condensed" w:eastAsia="Barlow Semi Condensed" w:hAnsi="Barlow Semi Condensed"/>
          <w:sz w:val="24"/>
          <w:szCs w:val="24"/>
        </w:rPr>
        <w:t xml:space="preserve">Prima di entrare nella meccanica del sequestro conviene nominare i dieci mondi, i dieci domini, i cui nodi si intrecceranno lungo tutta l'opera, perché è dal loro accoppiamento che emerge la fisionomia del caso. Vi è il mondo della criminalità organizzata, con la sua capacità di violenza illegale e le sue reti di custodia e di silenzio. Vi è il mondo politico, con i suoi partiti, i suoi governi, le sue correnti. Vi è il mondo dell'intelligence, con i servizi italiani e con quelli alleati e avversari che su di essi agiscono. Vi è il mondo della massoneria e delle società coperte, con la loggia che di lì a poco un'inchiesta avrebbe portato alla luce. Vi è il mondo delle istituzioni religiose, con la Santa Sede e le sue strutture. Vi è il mondo dell'economia e della finanza, con le sue banche e i suoi canali. Vi è il mondo del terrorismo, rosso e nero, con la sua stagione di sangue. Vi è il mondo dei media e del controllo dell'informazione. Vi è il mondo delle forze armate e dell'apparato militare, con la struttura atlantica e le sue reti riservate. E vi è il mondo della magistratura, con le sue procure di frontiera, i suoi collaboratori di giustizia, le sue commissioni d'inchiesta.</w:t>
      </w:r>
    </w:p>
    <w:p>
      <w:pPr>
        <w:spacing w:after="120" w:line="276"/>
        <w:jc w:val="both"/>
      </w:pPr>
      <w:r>
        <w:rPr>
          <w:rFonts w:ascii="Barlow Semi Condensed" w:cs="Barlow Semi Condensed" w:eastAsia="Barlow Semi Condensed" w:hAnsi="Barlow Semi Condensed"/>
          <w:sz w:val="24"/>
          <w:szCs w:val="24"/>
        </w:rPr>
        <w:t xml:space="preserve">Nel caso Moro questi mondi non restano separati. Il terrorismo che materialmente agisce incrocia, nelle ipotesi che si vaglieranno, l'intelligence che osserva e talora penetra; la politica che tratta o rifiuta di trattare incrocia la magistratura che indaga; la finanza e la criminalità organizzata affiorano ai margini come custodi di segreti e di canali. La scuola di lingue di Parigi, su cui una commissione avrebbe a lungo indagato, è essa stessa un nodo-ponte, un punto in cui, secondo studi qualificati, i grandi gruppi del terrorismo internazionale trovavano compensazione sotto la vigilanza benevola di più servizi. Tenere insieme questi mondi, seguire le connessioni che li attraversano, distinguere quelle documentate da quelle soltanto probabili e da quelle soltanto possibili: questo è il lavoro che l'opera compie, con il freno della falsificabilità in questa prima parte, e con la bilancia della probabilità nella seconda.</w:t>
      </w:r>
    </w:p>
    <w:p>
      <w:pPr>
        <w:pStyle w:val="Heading3"/>
        <w:spacing w:after="80" w:before="160"/>
      </w:pPr>
      <w:r>
        <w:rPr>
          <w:rFonts w:ascii="Barlow Semi Condensed" w:cs="Barlow Semi Condensed" w:eastAsia="Barlow Semi Condensed" w:hAnsi="Barlow Semi Condensed"/>
          <w:sz w:val="24"/>
          <w:szCs w:val="24"/>
        </w:rPr>
        <w:t xml:space="preserve">La meccanica dell'agguato: via Fani, sedici marzo millenovecentosettantotto</w:t>
      </w:r>
    </w:p>
    <w:p>
      <w:pPr>
        <w:spacing w:after="120" w:line="276"/>
        <w:jc w:val="both"/>
      </w:pPr>
      <w:r>
        <w:rPr>
          <w:rFonts w:ascii="Barlow Semi Condensed" w:cs="Barlow Semi Condensed" w:eastAsia="Barlow Semi Condensed" w:hAnsi="Barlow Semi Condensed"/>
          <w:sz w:val="24"/>
          <w:szCs w:val="24"/>
        </w:rPr>
        <w:t xml:space="preserve">La scelta del giorno non fu casuale, e la sua analisi temporale è dirimente. Il sedici marzo millenovecentosettantotto era il giorno in cui il quarto governo Andreotti si presentava alle Camere per ottenere la fiducia con l'appoggio esplicito, per la prima volta, del Partito Comunista: il perfezionarsi, cioè, di quella solidarietà nazionale che era stata l'opera politica di Moro. Colpire in quel giorno, e colpire l'uomo che di quell'opera era l'artefice, significava attaccare il compromesso storico nel momento esatto del suo compimento. La coincidenza fra l'evento politico e l'agguato eccede la soglia della casualità e conferma, con grado elevato, che il bersaglio fu scelto per la sua funzione politica e che il momento fu scelto per il suo valore simbolico: un dato che nessuna lettura del caso può ignorare e che colloca l'atto, quale che ne fosse la regia, dentro una logica politica e non casuale.</w:t>
      </w:r>
    </w:p>
    <w:p>
      <w:pPr>
        <w:spacing w:after="120" w:line="276"/>
        <w:jc w:val="both"/>
      </w:pPr>
      <w:r>
        <w:rPr>
          <w:rFonts w:ascii="Barlow Semi Condensed" w:cs="Barlow Semi Condensed" w:eastAsia="Barlow Semi Condensed" w:hAnsi="Barlow Semi Condensed"/>
          <w:sz w:val="24"/>
          <w:szCs w:val="24"/>
        </w:rPr>
        <w:t xml:space="preserve">La dinamica materiale dell'agguato presenta caratteri che sono stati a lungo oggetto di analisi peritale, e che il metodo impone di riferire con la loro esatta gradazione. È accertato che il commando bloccò le due auto del corteo all'incrocio con via Stresa e che aprì un fuoco intenso e concentrato, che in pochi secondi annientò i cinque uomini della scorta. È stato oggetto di controversia il numero esatto degli sparatori e la ripartizione dei colpi, con perizie che nel tempo hanno offerto ricostruzioni parzialmente divergenti; è stata parimenti discussa la perizia balistica di alcuni degli esecutori, che una parte degli analisti ha letto come indizio di un addestramento superiore. Su questi punti la parte prima si astiene dal concludere: registra la dinamica generale come accertata, e le questioni del numero e della perizia come aperte, di grado probabile o ipotetico a seconda degli aspetti, senza che l'incertezza su questi contorni intacchi la certezza sulla matrice complessiva dell'operazione, che è e resta brigatista.</w:t>
      </w:r>
    </w:p>
    <w:p>
      <w:pPr>
        <w:spacing w:after="120" w:line="276"/>
        <w:jc w:val="both"/>
      </w:pPr>
      <w:r>
        <w:rPr>
          <w:rFonts w:ascii="Barlow Semi Condensed" w:cs="Barlow Semi Condensed" w:eastAsia="Barlow Semi Condensed" w:hAnsi="Barlow Semi Condensed"/>
          <w:sz w:val="24"/>
          <w:szCs w:val="24"/>
        </w:rPr>
        <w:t xml:space="preserve">La mattina del sedici marzo millenovecentosettantotto, mentre il quarto governo Andreotti stava per presentarsi alle Camere con il voto determinante e per la prima volta esplicito del Partito Comunista, l'auto che conduceva Aldo Moro dalla sua abitazione verso Montecitorio fu bloccata all'incrocio fra via Mario Fani e via Stresa, a Roma. In pochi secondi un commando delle Brigate Rosse aprì il fuoco, uccise i cinque uomini della scorta e sequestrò l'onorevole Moro, trascinandolo via su un'altra vettura. I cinque caduti hanno nome e vanno nominati, perché la memoria del caso comincia da loro: il maresciallo Oreste Leonardi, l'appuntato Domenico Ricci, la guardia di pubblica sicurezza Giulio Rivera, la guardia Francesco Zizzi, l'appuntato Raffaele Iozzino. La loro uccisione non fu un episodio marginale dell'operazione ma la sua condizione: per prendere Moro vivo occorreva annientare la scorta, e l'annientamento fu eseguito con una freddezza e una perizia balistica che divennero subito, e restano, oggetto di analisi.</w:t>
      </w:r>
    </w:p>
    <w:p>
      <w:pPr>
        <w:spacing w:after="120" w:line="276"/>
        <w:jc w:val="both"/>
      </w:pPr>
      <w:r>
        <w:rPr>
          <w:rFonts w:ascii="Barlow Semi Condensed" w:cs="Barlow Semi Condensed" w:eastAsia="Barlow Semi Condensed" w:hAnsi="Barlow Semi Condensed"/>
          <w:sz w:val="24"/>
          <w:szCs w:val="24"/>
        </w:rPr>
        <w:t xml:space="preserve">Su via Fani grava, in questa parte prima, la disciplina del Pollo di Popper, perché è proprio qui che la ricerca della verità si è più esposta al rischio delle tesi precostituite. Alcune circostanze sono di Livello A, accertate: la dinamica generale dell'agguato, l'identità di gran parte del commando, la matrice brigatista dell'operazione, riconosciuta e rivendicata. Altre circostanze sono state a lungo controverse e restano, per parte loro, di grado inferiore: il numero esatto dei componenti del commando, la presenza sulla scena di figure non riconducibili al nucleo brigatista noto, la perizia balistica di alcuni degli sparatori, l'ipotesi di una regia tecnica più esperta di quanto i militanti allora disponibili lasciassero supporre. Su ciascuna di queste circostanze la parte prima si astiene dal concludere e si limita a registrare il grado: ciò che è accertato come accertato, ciò che è probabile come probabile, ciò che è possibile come possibile, senza che l'incertezza dell'uno contamini la certezza dell'altro.</w:t>
      </w:r>
    </w:p>
    <w:p>
      <w:pPr>
        <w:pStyle w:val="Heading3"/>
        <w:spacing w:after="80" w:before="160"/>
      </w:pPr>
      <w:r>
        <w:rPr>
          <w:rFonts w:ascii="Barlow Semi Condensed" w:cs="Barlow Semi Condensed" w:eastAsia="Barlow Semi Condensed" w:hAnsi="Barlow Semi Condensed"/>
          <w:sz w:val="24"/>
          <w:szCs w:val="24"/>
        </w:rPr>
        <w:t xml:space="preserve">La prigionia: cinquantacinque giorni, la prigione, le lettere</w:t>
      </w:r>
    </w:p>
    <w:p>
      <w:pPr>
        <w:spacing w:after="120" w:line="276"/>
        <w:jc w:val="both"/>
      </w:pPr>
      <w:r>
        <w:rPr>
          <w:rFonts w:ascii="Barlow Semi Condensed" w:cs="Barlow Semi Condensed" w:eastAsia="Barlow Semi Condensed" w:hAnsi="Barlow Semi Condensed"/>
          <w:sz w:val="24"/>
          <w:szCs w:val="24"/>
        </w:rPr>
        <w:t xml:space="preserve">L'individuazione della prigione in via Montalcini, avvenuta a distanza di tempo attraverso le ricostruzioni dei collaboratori e le indagini, illumina un dato che merita riflessione: la prigionia si svolse non in un covo isolato ma in un appartamento inserito in un normale contesto abitativo, un condominio abitato da famiglie ignare. Questa scelta, che i brigatisti compirono per ragioni di sicurezza e di mimetismo, ebbe una conseguenza paradossale: rese la prigione al tempo stesso invisibile e vulnerabile, nascosta agli occhi di chi la cercava eppure esposta al rischio di un vicino attento, di un rumore sospetto, di una circostanza fortuita. Che un dispositivo di ricerca imponente, che mobilitò per settimane forze ingenti, non sia riuscito a individuare un appartamento nel cuore della città è una delle grandi anomalie del caso, e la parte seconda ne peserà il significato; qui basti registrarla come dato accertato e come interrogativo aperto.</w:t>
      </w:r>
    </w:p>
    <w:p>
      <w:pPr>
        <w:spacing w:after="120" w:line="276"/>
        <w:jc w:val="both"/>
      </w:pPr>
      <w:r>
        <w:rPr>
          <w:rFonts w:ascii="Barlow Semi Condensed" w:cs="Barlow Semi Condensed" w:eastAsia="Barlow Semi Condensed" w:hAnsi="Barlow Semi Condensed"/>
          <w:sz w:val="24"/>
          <w:szCs w:val="24"/>
        </w:rPr>
        <w:t xml:space="preserve">Il memoriale che Moro redasse durante la prigionia, in risposta agli interrogatori dei suoi carcerieri, ebbe una sorte a sua volta emblematica e va riferito con esattezza. Una parte di quegli scritti fu rinvenuta a distanza di anni in un covo brigatista milanese, e la loro riemersione tardiva, insieme al sospetto che non si trattasse dell'intero corpus, alimentò a lungo l'interrogativo su che fine avessero fatto le parti mancanti e su chi potesse averle trattenute. Su questo il metodo impone di distinguere: l'esistenza del memoriale e il rinvenimento parziale sono accertati; l'ipotesi che parti di esso siano state sottratte e trattenute da apparati resta, allo stato, un'ipotesi sorretta da indizi e non da prova. La vicenda del memoriale è dunque, insieme a via Fani e alla trattativa, uno dei nodi in cui il caso mostra la sua opacità, e uno di quelli su cui la parte seconda tornerà con lo strumento probabilistico.</w:t>
      </w:r>
    </w:p>
    <w:p>
      <w:pPr>
        <w:spacing w:after="120" w:line="276"/>
        <w:jc w:val="both"/>
      </w:pPr>
      <w:r>
        <w:rPr>
          <w:rFonts w:ascii="Barlow Semi Condensed" w:cs="Barlow Semi Condensed" w:eastAsia="Barlow Semi Condensed" w:hAnsi="Barlow Semi Condensed"/>
          <w:sz w:val="24"/>
          <w:szCs w:val="24"/>
        </w:rPr>
        <w:t xml:space="preserve">Dal sedici marzo al nove maggio, per cinquantacinque giorni, Aldo Moro fu tenuto prigioniero in un luogo che le indagini identificarono in un appartamento di via Montalcini, a Roma, una prigione del popolo allestita dalle Brigate Rosse in un contesto abitativo ordinario, un condominio come tanti, e questa ordinarietà è essa stessa un dato che pesa. Durante la prigionia Moro fu sottoposto a un processo, così i suoi carcerieri lo chiamarono, e scrisse: lettere ai familiari, agli uomini politici, alle istituzioni, un memoriale. Quelle lettere, che il corpus conserva per oltre ventitremila parole, sono un documento senza pari, e vanno lette su un doppio registro. Vi è il registro politico, in cui Moro argomenta con la lucidità del giurista la necessità di una trattativa, invoca il principio umanitario, ricorda i precedenti, mette in guardia il suo partito e lo Stato dalle conseguenze della fermezza. E vi è il registro familiare, privato, straziante nella sua compostezza, in cui l'uomo si accomiata dai suoi cari con la stessa misura con cui aveva vissuto.</w:t>
      </w:r>
    </w:p>
    <w:p>
      <w:pPr>
        <w:spacing w:after="120" w:line="276"/>
        <w:jc w:val="both"/>
      </w:pPr>
      <w:r>
        <w:rPr>
          <w:rFonts w:ascii="Barlow Semi Condensed" w:cs="Barlow Semi Condensed" w:eastAsia="Barlow Semi Condensed" w:hAnsi="Barlow Semi Condensed"/>
          <w:sz w:val="24"/>
          <w:szCs w:val="24"/>
        </w:rPr>
        <w:t xml:space="preserve">A lungo si discusse dell'autenticità di quelle lettere e della libertà con cui furono scritte, e alcuni vollero vedervi il segno di una personalità piegata o di una scrittura dettata. Su questo la parte prima registra il grado: la matrice moroteana della scrittura, il suo stile intatto e riconoscibile, è di Livello A; la questione se e quanto la condizione di cattività ne abbia condizionato il contenuto resta di Livello B, oggetto di valutazione e non di certezza. Ciò che è fuori discussione è che quelle lettere posero allo Stato una domanda tremenda, cui lo Stato rispose con la linea della fermezza, il rifiuto di trattare, e che quella risposta fu essa stessa una scelta politica gravida di conseguenze, non un atto dovuto. La distinzione fra ciò che era necessario e ciò che fu deciso è, anche qui, capitale.</w:t>
      </w:r>
    </w:p>
    <w:p>
      <w:pPr>
        <w:pStyle w:val="Heading3"/>
        <w:spacing w:after="80" w:before="160"/>
      </w:pPr>
      <w:r>
        <w:rPr>
          <w:rFonts w:ascii="Barlow Semi Condensed" w:cs="Barlow Semi Condensed" w:eastAsia="Barlow Semi Condensed" w:hAnsi="Barlow Semi Condensed"/>
          <w:sz w:val="24"/>
          <w:szCs w:val="24"/>
        </w:rPr>
        <w:t xml:space="preserve">La linea della fermezza e la linea della trattativa</w:t>
      </w:r>
    </w:p>
    <w:p>
      <w:pPr>
        <w:spacing w:after="120" w:line="276"/>
        <w:jc w:val="both"/>
      </w:pPr>
      <w:r>
        <w:rPr>
          <w:rFonts w:ascii="Barlow Semi Condensed" w:cs="Barlow Semi Condensed" w:eastAsia="Barlow Semi Condensed" w:hAnsi="Barlow Semi Condensed"/>
          <w:sz w:val="24"/>
          <w:szCs w:val="24"/>
        </w:rPr>
        <w:t xml:space="preserve">Di fronte al sequestro, lo schieramento politico si divise fra chi sosteneva la fermezza assoluta, il rifiuto di ogni trattativa con i sequestratori nel nome della ragion di Stato, e chi sosteneva la necessità di un negoziato, almeno umanitario, per salvare la vita dell'ostaggio. La linea della fermezza prevalse, sostenuta dai vertici della Democrazia Cristiana e del Partito Comunista e dalla maggior parte dello schieramento; la linea della trattativa ebbe voci minoritarie ma non irrilevanti, e conobbe tentativi carsici che le indagini hanno in parte ricostruito, alcuni passati per canali socialisti, altri per mediazioni diverse. Attorno alla trattativa si mossero figure di frontiera, uomini che stavano sul confine fra i mondi, e alcuni di quei movimenti restano fra i punti meno chiari dell'intera vicenda.</w:t>
      </w:r>
    </w:p>
    <w:p>
      <w:pPr>
        <w:spacing w:after="120" w:line="276"/>
        <w:jc w:val="both"/>
      </w:pPr>
      <w:r>
        <w:rPr>
          <w:rFonts w:ascii="Barlow Semi Condensed" w:cs="Barlow Semi Condensed" w:eastAsia="Barlow Semi Condensed" w:hAnsi="Barlow Semi Condensed"/>
          <w:sz w:val="24"/>
          <w:szCs w:val="24"/>
        </w:rPr>
        <w:t xml:space="preserve">La parte prima non giudica la scelta della fermezza, che appartiene alla coscienza storica del Paese e su cui il giudizio resta legittimamente diviso: si limita a registrarla come scelta, e a segnalare che la sua alternativa esisteva e fu consapevolmente scartata. Registra altresì, con la cautela dovuta, che la gestione della trattativa e delle sue possibili aperture fu attraversata da episodi opachi, e che alcuni di quegli episodi hanno la fisionomia non del caso ma dell'intervento: canali che si aprono e si chiudono, mediatori che avanzano e si ritraggono, segnali che arrivano e non vengono raccolti. Su questo terreno la parte seconda tornerà con altro metodo; qui basti aver fissato che la vicenda della trattativa è, insieme a via Fani, uno dei due grandi giacimenti di zone d'ombra del caso.</w:t>
      </w:r>
    </w:p>
    <w:p>
      <w:pPr>
        <w:pStyle w:val="Heading3"/>
        <w:spacing w:after="80" w:before="160"/>
      </w:pPr>
      <w:r>
        <w:rPr>
          <w:rFonts w:ascii="Barlow Semi Condensed" w:cs="Barlow Semi Condensed" w:eastAsia="Barlow Semi Condensed" w:hAnsi="Barlow Semi Condensed"/>
          <w:sz w:val="24"/>
          <w:szCs w:val="24"/>
        </w:rPr>
        <w:t xml:space="preserve">Le omissioni: ciò che non fu fatto e poteva essere fatto</w:t>
      </w:r>
    </w:p>
    <w:p>
      <w:pPr>
        <w:spacing w:after="120" w:line="276"/>
        <w:jc w:val="both"/>
      </w:pPr>
      <w:r>
        <w:rPr>
          <w:rFonts w:ascii="Barlow Semi Condensed" w:cs="Barlow Semi Condensed" w:eastAsia="Barlow Semi Condensed" w:hAnsi="Barlow Semi Condensed"/>
          <w:sz w:val="24"/>
          <w:szCs w:val="24"/>
        </w:rPr>
        <w:t xml:space="preserve">Il capitolo delle omissioni è, nel caso Moro, tanto vasto quanto documentato, e la sua trattazione obbedisce a un criterio: si registra ciò che risulta agli atti delle commissioni e delle sentenze, distinguendo l'omissione accertata dall'omissione ipotizzata. Vi fu, sul piano delle ricerche, una lunga serie di occasioni mancate: la prigione non fu individuata malgrado un dispositivo di ricerca imponente; segnalazioni che si rivelarono a posteriori pertinenti non furono adeguatamente valorizzate; il celebre episodio della seduta in cui il nome di un luogo affiorò e non fu inteso, o fu inteso troppo tardi, resta emblematico di un più generale rumore di fondo in cui i segnali utili si persero. Alcune di queste omissioni sono spiegabili con l'ordinaria inefficienza e con la confusione di una macchina statale sotto pressione; altre hanno una fisionomia meno innocente, e la loro accumulazione, più che ciascuna presa da sola, è ciò che interroga.</w:t>
      </w:r>
    </w:p>
    <w:p>
      <w:pPr>
        <w:spacing w:after="120" w:line="276"/>
        <w:jc w:val="both"/>
      </w:pPr>
      <w:r>
        <w:rPr>
          <w:rFonts w:ascii="Barlow Semi Condensed" w:cs="Barlow Semi Condensed" w:eastAsia="Barlow Semi Condensed" w:hAnsi="Barlow Semi Condensed"/>
          <w:sz w:val="24"/>
          <w:szCs w:val="24"/>
        </w:rPr>
        <w:t xml:space="preserve">Qui interviene con forza la Regola Ferrea, il divieto di inferire il mandato dall'occultamento. Che vi siano state omissioni, alcune gravi, è di Livello A. Che alcune omissioni abbiano una fisionomia non casuale è, per taluni episodi, di Livello B. Ma dal fatto che qualcuno abbia omesso, o addirittura depistato, non si inferisce in questa parte l'identità di un mandante né l'esistenza di un disegno: si registra l'omissione, si segnala la sua eventuale non casualità, e si arresta il ragionamento sulla soglia che separa il custode del segreto da chi il segreto avrebbe ordinato. Il salto oltre quella soglia, quando si tenterà, avverrà nella parte seconda e con lo strumento dichiarato della probabilità, non della deduzione indignata.</w:t>
      </w:r>
    </w:p>
    <w:p>
      <w:pPr>
        <w:pStyle w:val="Heading3"/>
        <w:spacing w:after="80" w:before="160"/>
      </w:pPr>
      <w:r>
        <w:rPr>
          <w:rFonts w:ascii="Barlow Semi Condensed" w:cs="Barlow Semi Condensed" w:eastAsia="Barlow Semi Condensed" w:hAnsi="Barlow Semi Condensed"/>
          <w:sz w:val="24"/>
          <w:szCs w:val="24"/>
        </w:rPr>
        <w:t xml:space="preserve">Le collusioni e gli insabbiamenti: la lunga coda della verità</w:t>
      </w:r>
    </w:p>
    <w:p>
      <w:pPr>
        <w:spacing w:after="120" w:line="276"/>
        <w:jc w:val="both"/>
      </w:pPr>
      <w:r>
        <w:rPr>
          <w:rFonts w:ascii="Barlow Semi Condensed" w:cs="Barlow Semi Condensed" w:eastAsia="Barlow Semi Condensed" w:hAnsi="Barlow Semi Condensed"/>
          <w:sz w:val="24"/>
          <w:szCs w:val="24"/>
        </w:rPr>
        <w:t xml:space="preserve">Se le omissioni riguardano il tempo del sequestro, le collusioni e gli insabbiamenti riguardano soprattutto il tempo successivo, la lunghissima stagione in cui l'accertamento della verità fu ostacolato, deviato, rallentato. Il corpus documenta una sequenza di depistaggi e di reticenze che le commissioni d'inchiesta, succedutesi nei decenni, hanno progressivamente portato alla luce: documenti scomparsi e riapparsi, testimonianze ritrattate, apparati che non collaborarono o collaborarono a metà, piste false coltivate e piste vere trascurate. Alcune di queste condotte sono state accertate e sanzionate in sede giudiziaria; altre sono rimaste sullo sfondo, deducibili ma non provate. La loro trattazione, in questa parte prima, segue il consueto criterio del grado, e riconosce senza reticenza che il caso Moro è, fra i grandi casi della Repubblica, uno di quelli in cui la distanza fra ciò che è accaduto e ciò che è stato accertato è più ampia e più a lungo mantenuta.</w:t>
      </w:r>
    </w:p>
    <w:p>
      <w:pPr>
        <w:spacing w:after="120" w:line="276"/>
        <w:jc w:val="both"/>
      </w:pPr>
      <w:r>
        <w:rPr>
          <w:rFonts w:ascii="Barlow Semi Condensed" w:cs="Barlow Semi Condensed" w:eastAsia="Barlow Semi Condensed" w:hAnsi="Barlow Semi Condensed"/>
          <w:sz w:val="24"/>
          <w:szCs w:val="24"/>
        </w:rPr>
        <w:t xml:space="preserve">Le commissioni parlamentari che si sono occupate del caso, da quella sul sequestro a quella sulle stragi e il terrorismo fino alla più recente commissione dedicata, hanno prodotto una mole imponente di atti, e le loro conclusioni non sono state sempre unanimi: su punti rilevanti convivono letture diverse, e questa non unanimità delle fonti parlamentari è essa stessa un dato che pesa sull'affidabilità di ciò che se ne trae. La parte prima ne tiene conto, e quando una circostanza poggia su una fonte parlamentare non unanime lo segnala, abbassando di conseguenza il grado. È l'ultima applicazione del Pollo di Popper prima del mutamento di metodo: anche la fonte più autorevole va interrogata sulla sua univocità, perché una verità sostenuta da una sola voce, per quanto istituzionale, non è ancora una verità accertata.</w:t>
      </w:r>
    </w:p>
    <w:p>
      <w:pPr>
        <w:pStyle w:val="Heading3"/>
        <w:spacing w:after="80" w:before="160"/>
      </w:pPr>
      <w:r>
        <w:rPr>
          <w:rFonts w:ascii="Barlow Semi Condensed" w:cs="Barlow Semi Condensed" w:eastAsia="Barlow Semi Condensed" w:hAnsi="Barlow Semi Condensed"/>
          <w:sz w:val="24"/>
          <w:szCs w:val="24"/>
        </w:rPr>
        <w:t xml:space="preserve">Il confine del metodo: dove il Pollo di Popper si arresta</w:t>
      </w:r>
    </w:p>
    <w:p>
      <w:pPr>
        <w:spacing w:after="120" w:line="276"/>
        <w:jc w:val="both"/>
      </w:pPr>
      <w:r>
        <w:rPr>
          <w:rFonts w:ascii="Barlow Semi Condensed" w:cs="Barlow Semi Condensed" w:eastAsia="Barlow Semi Condensed" w:hAnsi="Barlow Semi Condensed"/>
          <w:sz w:val="24"/>
          <w:szCs w:val="24"/>
        </w:rPr>
        <w:t xml:space="preserve">Con la trattazione delle omissioni, delle collusioni e degli insabbiamenti si chiude la sfera d'azione del Pollo di Popper. Fin qui si è proceduto per sospensione prudente, registrando i gradi, chiamando i vuoti vuoti, vietando i salti logici, interrogando le fonti sulla loro univocità. Fin qui si è ricostruito l'uomo e la meccanica del caso, si è descritto ciò che è accertato e si è segnalato ciò che è soltanto probabile o possibile, senza mai lasciare che il desiderio di una spiegazione unitaria piegasse i fatti. Questo era il compito della parte prima, ed è compiuto.</w:t>
      </w:r>
    </w:p>
    <w:p>
      <w:pPr>
        <w:spacing w:after="120" w:line="276"/>
        <w:jc w:val="both"/>
      </w:pPr>
      <w:r>
        <w:rPr>
          <w:rFonts w:ascii="Barlow Semi Condensed" w:cs="Barlow Semi Condensed" w:eastAsia="Barlow Semi Condensed" w:hAnsi="Barlow Semi Condensed"/>
          <w:sz w:val="24"/>
          <w:szCs w:val="24"/>
        </w:rPr>
        <w:t xml:space="preserve">Ma la ricostruzione dei fatti, per quanto rigorosa, non esaurisce la domanda che il caso Moro pone e che l'autore ha ordinato di affrontare: chi furono gli architetti del suo rapimento, chi i mandanti materiali, chi gli esecutori materiali. A questa domanda la sospensione prudente non può rispondere, perché essa non conclude mai, e concludere è qui necessario. Occorre dunque cambiare strumento, e passare da una logica che vieta ogni affermazione non certa a una logica che pesa le affermazioni secondo la loro probabilità e le ordina. È ciò che la parte seconda farà, congedando il Pollo di Popper per ordine esplicito dell'autore, e adottando in sua vece la bilancia dei dieci metodi. Il rigore non diminuisce: cambia forma. La falsificabilità cede il passo alla probabilità, la certezza sospesa al giudizio graduato. Si volta pagina, e il metodo con essa.</w:t>
      </w:r>
    </w:p>
    <w:p>
      <w:pPr>
        <w:pStyle w:val="Heading2"/>
        <w:spacing w:after="100" w:before="200"/>
      </w:pPr>
      <w:r>
        <w:rPr>
          <w:rFonts w:ascii="Barlow Semi Condensed" w:cs="Barlow Semi Condensed" w:eastAsia="Barlow Semi Condensed" w:hAnsi="Barlow Semi Condensed"/>
          <w:sz w:val="24"/>
          <w:szCs w:val="24"/>
        </w:rPr>
        <w:t xml:space="preserve">PARTE SECONDA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Gli architetti, i mandanti, gli esecutori — dove il Pollo di Popper è congedato</w:t>
      </w:r>
    </w:p>
    <w:p>
      <w:pPr>
        <w:pStyle w:val="Heading3"/>
        <w:spacing w:after="80" w:before="160"/>
      </w:pPr>
      <w:r>
        <w:rPr>
          <w:rFonts w:ascii="Barlow Semi Condensed" w:cs="Barlow Semi Condensed" w:eastAsia="Barlow Semi Condensed" w:hAnsi="Barlow Semi Condensed"/>
          <w:sz w:val="24"/>
          <w:szCs w:val="24"/>
        </w:rPr>
        <w:t xml:space="preserve">Il mutamento di metodo: dalla sospensione alla probabilità</w:t>
      </w:r>
    </w:p>
    <w:p>
      <w:pPr>
        <w:spacing w:after="120" w:line="276"/>
        <w:jc w:val="both"/>
      </w:pPr>
      <w:r>
        <w:rPr>
          <w:rFonts w:ascii="Barlow Semi Condensed" w:cs="Barlow Semi Condensed" w:eastAsia="Barlow Semi Condensed" w:hAnsi="Barlow Semi Condensed"/>
          <w:sz w:val="24"/>
          <w:szCs w:val="24"/>
        </w:rPr>
        <w:t xml:space="preserve">Da questa pagina in avanti, per ordine esplicito e sotto la responsabilità dichiarata dell'autore, il Pollo di Popper è congedato. Non si tratta di un abbandono del rigore, ma di un mutamento del suo strumento. La prudenza sospensiva che ha governato la parte prima aveva un compito, ricostruire i fatti senza piegarli, e quel compito è esaurito; ora ne subentra un altro, rispondere alla domanda su chi concepì, chi ordinò e chi eseguì, e a questa domanda la sospensione non sa rispondere perché per sua natura non conclude. Dove occorre concludere, e concludere è qui il comando ricevuto, si passa da una logica binaria, che ammette solo il certo e il non certo, a una logica graduata, che pesa ogni ipotesi secondo la sua probabilità e la colloca su una scala. Muta anche il tono, che si fa più disteso e narrativo, più vicino a quello dell'uomo di cui si scrive, e non teme di lasciare al lettore quel margine di enigma che ogni ricerca onesta, giunta al suo limite, deve confessare.</w:t>
      </w:r>
    </w:p>
    <w:p>
      <w:pPr>
        <w:spacing w:after="120" w:line="276"/>
        <w:jc w:val="both"/>
      </w:pPr>
      <w:r>
        <w:rPr>
          <w:rFonts w:ascii="Barlow Semi Condensed" w:cs="Barlow Semi Condensed" w:eastAsia="Barlow Semi Condensed" w:hAnsi="Barlow Semi Condensed"/>
          <w:sz w:val="24"/>
          <w:szCs w:val="24"/>
        </w:rPr>
        <w:t xml:space="preserve">Restano fermi, e anzi si fanno più stringenti, i princìpi di garanzia. Nessuna persona vivente è qui indicata come colpevole di alcunché: si parla di probabilità di coinvolgimento, non di responsabilità accertate, e si distingue sempre con nettezza chi è stato condannato in via definitiva da chi è stato soltanto indagato, sospettato o ipotizzato. La Regola Ferrea sopravvive al mutamento di metodo: anche pesando le probabilità, non si inferisce mai il mandato dal solo occultamento, e ogni attribuzione poggia su evidenze e non su suggestioni. Il tono resta garantista e mai giustizialista, rispettoso della dignità di ognuno, memore che questa è un'opera di ricostruzione storica e probabilistica, non un atto d'accusa, e che nominare, in essa, significa collocare su una scala di plausibilità, non pronunciare una condanna.</w:t>
      </w:r>
    </w:p>
    <w:p>
      <w:pPr>
        <w:pStyle w:val="Heading3"/>
        <w:spacing w:after="80" w:before="160"/>
      </w:pPr>
      <w:r>
        <w:rPr>
          <w:rFonts w:ascii="Barlow Semi Condensed" w:cs="Barlow Semi Condensed" w:eastAsia="Barlow Semi Condensed" w:hAnsi="Barlow Semi Condensed"/>
          <w:sz w:val="24"/>
          <w:szCs w:val="24"/>
        </w:rPr>
        <w:t xml:space="preserve">I dieci strumenti di calcolo e il loro concorso</w:t>
      </w:r>
    </w:p>
    <w:p>
      <w:pPr>
        <w:spacing w:after="120" w:line="276"/>
        <w:jc w:val="both"/>
      </w:pPr>
      <w:r>
        <w:rPr>
          <w:rFonts w:ascii="Barlow Semi Condensed" w:cs="Barlow Semi Condensed" w:eastAsia="Barlow Semi Condensed" w:hAnsi="Barlow Semi Condensed"/>
          <w:sz w:val="24"/>
          <w:szCs w:val="24"/>
        </w:rPr>
        <w:t xml:space="preserve">Vale la pena illustrare come questi dieci strumenti si applichino in concreto a un singolo interrogativo, per mostrarne il funzionamento congiunto. Si prenda la domanda sull'esito della prigionia: perché la vicenda si chiuse con la morte anziché con la liberazione. Il metodo Savona pesa le fonti che documentano la decisione brigatista di uccidere, e le trova solide, di grado accertato. L'analisi delle ipotesi concorrenti formula le spiegazioni alternative — la coerenza strategica interna dei brigatisti, il fallimento delle trattative, un condizionamento esterno — e le seleziona per resistenza alla smentita. L'inferenza bayesiana parte dalla probabilità che i brigatisti, avendo sequestrato, fossero disposti a uccidere, e la aggiorna con ogni evidenza sul loro dibattito interno. L'analisi di rete osserva se attorno alla decisione finale compaiano nodi-ponte esterni al nucleo. La teoria dei giochi chiede a chi giovasse l'esito mortale e quale equilibrio di incentivi lo governasse.</w:t>
      </w:r>
    </w:p>
    <w:p>
      <w:pPr>
        <w:spacing w:after="120" w:line="276"/>
        <w:jc w:val="both"/>
      </w:pPr>
      <w:r>
        <w:rPr>
          <w:rFonts w:ascii="Barlow Semi Condensed" w:cs="Barlow Semi Condensed" w:eastAsia="Barlow Semi Condensed" w:hAnsi="Barlow Semi Condensed"/>
          <w:sz w:val="24"/>
          <w:szCs w:val="24"/>
        </w:rPr>
        <w:t xml:space="preserve">Proseguendo sullo stesso interrogativo, il ragionamento controfattuale chiede che cosa sarebbe accaduto se le trattative fossero state condotte diversamente, e misura così quanto l'esito fosse necessitato e quanto contingente. L'analisi temporale osserva la sequenza dei segnali nelle ultime settimane e ne pesa le sovrapposizioni. La valutazione dell'affidabilità delle fonti sconta le testimonianze secondo la loro provenienza e il loro interesse, evitando di contare più volte ciò che discende da un'unica radice. L'analisi del movente e della capacità incrocia, per ciascun attore ipotizzabile, l'interesse all'esito mortale e la capacità di determinarlo. Il principio di convergenza, infine, osserva se questi strumenti indipendenti puntino nella stessa direzione. È dal loro accordo o disaccordo che nasce il giudizio: concordi, come si vedrà, nell'attribuire la decisione al vertice brigatista; divergenti sul peso dei condizionamenti esterni, e perciò prudenti nel collocarli al livello dell'ipotesi e non della prova.</w:t>
      </w:r>
    </w:p>
    <w:p>
      <w:pPr>
        <w:spacing w:after="120" w:line="276"/>
        <w:jc w:val="both"/>
      </w:pPr>
      <w:r>
        <w:rPr>
          <w:rFonts w:ascii="Barlow Semi Condensed" w:cs="Barlow Semi Condensed" w:eastAsia="Barlow Semi Condensed" w:hAnsi="Barlow Semi Condensed"/>
          <w:sz w:val="24"/>
          <w:szCs w:val="24"/>
        </w:rPr>
        <w:t xml:space="preserve">Il giudizio di probabilità che governa questa parte seconda non nasce da un solo metodo ma dal concorso di dieci, ciascuno dei quali illumina un aspetto diverso del problema, e il cui peso relativo sarà, in chiusura, dichiarato in percentuale. Il primo e principale è il metodo Savona della triangolazione delle fonti, per cui una connessione vale in proporzione al numero e all'indipendenza delle fonti che la sostengono, secondo i tre livelli già esposti: è il metodo che dà l'ossatura probatoria e a cui spetta il peso maggiore.</w:t>
      </w:r>
    </w:p>
    <w:p>
      <w:pPr>
        <w:spacing w:after="120" w:line="276"/>
        <w:jc w:val="both"/>
      </w:pPr>
      <w:r>
        <w:rPr>
          <w:rFonts w:ascii="Barlow Semi Condensed" w:cs="Barlow Semi Condensed" w:eastAsia="Barlow Semi Condensed" w:hAnsi="Barlow Semi Condensed"/>
          <w:sz w:val="24"/>
          <w:szCs w:val="24"/>
        </w:rPr>
        <w:t xml:space="preserve">Al metodo Savona si affiancano nove strumenti di calcolo e di ragionamento probabilistico fra i più consolidati. Vi è l'analisi delle ipotesi concorrenti, che per ogni interrogativo formula più spiegazioni alternative e le seleziona non per la conferma che ricevono ma per la loro resistenza alla smentita, premiando quella meno contraddetta dalle evidenze. Vi è l'inferenza bayesiana, che parte da una probabilità iniziale e la aggiorna a ogni nuova evidenza, così che il giudizio finale è il risultato di un affinamento progressivo e non di un'intuizione. Vi è l'analisi di rete, la sinaptogenesi già descritta, che pesa la centralità dei nodi, l'esistenza dei ponti fra i mondi, la formazione dei grappoli. Vi è la teoria bailamme dei giochi, che legge le mosse degli attori come scelte razionali entro una struttura di incentivi, chiedendosi a chi giovasse ciascuna mossa e quale equilibrio la governasse.</w:t>
      </w:r>
    </w:p>
    <w:p>
      <w:pPr>
        <w:spacing w:after="120" w:line="276"/>
        <w:jc w:val="both"/>
      </w:pPr>
      <w:r>
        <w:rPr>
          <w:rFonts w:ascii="Barlow Semi Condensed" w:cs="Barlow Semi Condensed" w:eastAsia="Barlow Semi Condensed" w:hAnsi="Barlow Semi Condensed"/>
          <w:sz w:val="24"/>
          <w:szCs w:val="24"/>
        </w:rPr>
        <w:t xml:space="preserve">Vi è, quinto fra i nove, il ragionamento controfattuale, che valuta il peso di un fattore chiedendosi che cosa sarebbe accaduto in sua assenza, e misura così la sua reale efficacia causale. Vi è l'analisi temporale delle coincidenze, che pesa la significatività statistica delle sovrapposizioni di tempo, distinguendo la coincidenza casuale da quella che eccede la soglia del caso. Vi è la valutazione dell'affidabilità e della genealogia delle fonti, che pondera ciascuna testimonianza secondo la sua provenienza, il suo interesse, la sua contaminazione, evitando di contare più volte ciò che discende da un'unica radice. Vi è l'analisi del movente e della capacità, che incrocia per ciascun attore la presenza di un interesse e la disponibilità dei mezzi, poiché il coinvolgimento richiede l'uno e l'altra. E vi è, decimo, il principio di convergenza, la consilienza, che pesa il grado in cui strumenti indipendenti e fonti eterogenee puntano nella stessa direzione, poiché l'accordo di prove indipendenti innalza la probabilità assai più della somma delle singole.</w:t>
      </w:r>
    </w:p>
    <w:p>
      <w:pPr>
        <w:spacing w:after="120" w:line="276"/>
        <w:jc w:val="both"/>
      </w:pPr>
      <w:r>
        <w:rPr>
          <w:rFonts w:ascii="Barlow Semi Condensed" w:cs="Barlow Semi Condensed" w:eastAsia="Barlow Semi Condensed" w:hAnsi="Barlow Semi Condensed"/>
          <w:sz w:val="24"/>
          <w:szCs w:val="24"/>
        </w:rPr>
        <w:t xml:space="preserve">Questi dieci strumenti non operano in isolamento ma in concorso, e il giudizio finale su ciascun nodo è il loro composto. In chiusura d'opera se ne dichiarerà il peso relativo in percentuale, così che il lettore possa vedere non solo la conclusione ma la ricetta che l'ha prodotta. Qui basti aver posto che, congedato il Pollo di Popper, non subentra l'arbitrio ma un apparato di calcolo dichiarato, e che la probabilità di cui si parlerà è misurata, non impressionistica.</w:t>
      </w:r>
    </w:p>
    <w:p>
      <w:pPr>
        <w:pStyle w:val="Heading3"/>
        <w:spacing w:after="80" w:before="160"/>
      </w:pPr>
      <w:r>
        <w:rPr>
          <w:rFonts w:ascii="Barlow Semi Condensed" w:cs="Barlow Semi Condensed" w:eastAsia="Barlow Semi Condensed" w:hAnsi="Barlow Semi Condensed"/>
          <w:sz w:val="24"/>
          <w:szCs w:val="24"/>
        </w:rPr>
        <w:t xml:space="preserve">Un avvertimento sul tono e un debito dichiarato</w:t>
      </w:r>
    </w:p>
    <w:p>
      <w:pPr>
        <w:spacing w:after="120" w:line="276"/>
        <w:jc w:val="both"/>
      </w:pPr>
      <w:r>
        <w:rPr>
          <w:rFonts w:ascii="Barlow Semi Condensed" w:cs="Barlow Semi Condensed" w:eastAsia="Barlow Semi Condensed" w:hAnsi="Barlow Semi Condensed"/>
          <w:sz w:val="24"/>
          <w:szCs w:val="24"/>
        </w:rPr>
        <w:t xml:space="preserve">La materia che segue ha, per sua natura, qualcosa dell'enigma, e sarebbe ipocrita fingere il contrario. Vi sono, nel caso Moro, una scena chiusa e un tempo contato, una vittima e una domanda, apparati che sanno e non dicono, indizi che affiorano e si ritraggono: gli ingredienti, si direbbe, del più classico dei racconti d'indagine. L'autore ha chiesto che questa parte conservi un tocco di quel mistero, quello dei grandi costruttori di enigmi, da chi fece del ragionamento deduttivo una forma d'arte a chi seppe chiudere in una stanza un delitto e la sua soluzione. Si accoglie l'invito con misura: il tocco di giallo sarà nel ritmo e nell'attenzione al dettaglio rivelatore, mai nel compiacimento, e non scivolerà in nulla di truce, perché il rispetto per la vittima e per la verità lo vieta.</w:t>
      </w:r>
    </w:p>
    <w:p>
      <w:pPr>
        <w:spacing w:after="120" w:line="276"/>
        <w:jc w:val="both"/>
      </w:pPr>
      <w:r>
        <w:rPr>
          <w:rFonts w:ascii="Barlow Semi Condensed" w:cs="Barlow Semi Condensed" w:eastAsia="Barlow Semi Condensed" w:hAnsi="Barlow Semi Condensed"/>
          <w:sz w:val="24"/>
          <w:szCs w:val="24"/>
        </w:rPr>
        <w:t xml:space="preserve">Ma vi è una differenza che non va mai dimenticata e che qui si dichiara: nel racconto d'indagine la soluzione esiste, certa, attesa dietro l'ultima pagina, e all'investigatore basta trovarla. Nella realtà del caso Moro la soluzione, in molti dei suoi punti, non è data, e ciò che si può offrire non è la verità con la maiuscola ma la sua migliore approssimazione probabilistica, il giudizio più plausibile che le evidenze consentono, sempre rivedibile e sempre aperto. È questa la ragione ultima per cui il Pollo di Popper, pur congedato come strumento di sospensione, sopravvive come coscienza: perché anche il giudizio di probabilità più fondato resta, in linea di principio, falsificabile, e chi lo pronuncia deve saperlo. Con questa consapevolezza, e con questo debito verso i maestri dell'enigma onestamente confessato, si entra nel merito.</w:t>
      </w:r>
    </w:p>
    <w:p>
      <w:pPr>
        <w:pStyle w:val="Heading3"/>
        <w:spacing w:after="80" w:before="160"/>
      </w:pPr>
      <w:r>
        <w:rPr>
          <w:rFonts w:ascii="Barlow Semi Condensed" w:cs="Barlow Semi Condensed" w:eastAsia="Barlow Semi Condensed" w:hAnsi="Barlow Semi Condensed"/>
          <w:sz w:val="24"/>
          <w:szCs w:val="24"/>
        </w:rPr>
        <w:t xml:space="preserve">Gli architetti del rapimento: chi concepì il disegno</w:t>
      </w:r>
    </w:p>
    <w:p>
      <w:pPr>
        <w:spacing w:after="120" w:line="276"/>
        <w:jc w:val="both"/>
      </w:pPr>
      <w:r>
        <w:rPr>
          <w:rFonts w:ascii="Barlow Semi Condensed" w:cs="Barlow Semi Condensed" w:eastAsia="Barlow Semi Condensed" w:hAnsi="Barlow Semi Condensed"/>
          <w:sz w:val="24"/>
          <w:szCs w:val="24"/>
        </w:rPr>
        <w:t xml:space="preserve">La capacità progettuale autonoma delle Brigate Rosse in quella fase merita di essere sottolineata contro una diffusa sottovalutazione, perché è proprio la sua rimozione a spalancare la porta alle ricostruzioni dietrologiche. Nel millenovecentosettantotto le Brigate Rosse erano un'organizzazione matura, strutturata in colonne territoriali, dotata di una direzione strategica, di un'esperienza pluriennale di azioni armate crescenti per audacia, di una capacità logistica collaudata. Il sequestro di un uomo di Stato non era, per esse, un salto nel buio ma il coronamento di una traiettoria: la strategia dell'attacco al cuore dello Stato era stata teorizzata e praticata per anni, e il bersaglio Moro ne era lo sbocco coerente. Attribuire ad altri l'ideazione di ciò che i brigatisti avevano nella propria logica strategica significherebbe non solo mancare di prove, ma contraddire la ricostruzione documentata della loro maturazione organizzativa. Il metodo, perciò, colloca al vertice degli architetti il nucleo strategico brigatista con grado di certezza, e su questa base costruisce, senza dissolverla.</w:t>
      </w:r>
    </w:p>
    <w:p>
      <w:pPr>
        <w:spacing w:after="120" w:line="276"/>
        <w:jc w:val="both"/>
      </w:pPr>
      <w:r>
        <w:rPr>
          <w:rFonts w:ascii="Barlow Semi Condensed" w:cs="Barlow Semi Condensed" w:eastAsia="Barlow Semi Condensed" w:hAnsi="Barlow Semi Condensed"/>
          <w:sz w:val="24"/>
          <w:szCs w:val="24"/>
        </w:rPr>
        <w:t xml:space="preserve">Le anomalie che alimentano l'ipotesi di un'architettura di secondo livello vanno tuttavia riferite con precisione, perché è dalla loro esatta pesatura che dipende la solidità del giudizio. Vi è l'anomalia della perizia esecutiva di via Fani, già richiamata. Vi è l'anomalia della tenuta della prigione, che resse per cinquantacinque giorni a un dispositivo di ricerca imponente. Vi è l'anomalia della gestione delle trattative, attraversata da canali che si aprivano e si chiudevano con una tempistica che parve a molti non casuale. Vi è l'anomalia della sorte del memoriale, riemerso parziale e tardivo. E vi è, sullo sfondo, la lunga catena dei depistaggi successivi, che ostacolò per decenni l'accertamento. Ciascuna di queste anomalie, presa da sola, ammette una spiegazione ordinaria; ma il metodo della convergenza osserva che il loro concorso innalza la probabilità di un fattore esterno, non ideatore ma orientatore. È un'inferenza di grado, non di certezza, e va tenuta al suo livello: significativa quanto basta per non essere ignorata, insufficiente quanto basta per non diventare accusa.</w:t>
      </w:r>
    </w:p>
    <w:p>
      <w:pPr>
        <w:spacing w:after="120" w:line="276"/>
        <w:jc w:val="both"/>
      </w:pPr>
      <w:r>
        <w:rPr>
          <w:rFonts w:ascii="Barlow Semi Condensed" w:cs="Barlow Semi Condensed" w:eastAsia="Barlow Semi Condensed" w:hAnsi="Barlow Semi Condensed"/>
          <w:sz w:val="24"/>
          <w:szCs w:val="24"/>
        </w:rPr>
        <w:t xml:space="preserve">Vi è, nel sequestro di Aldo Moro, una distinzione che il metodo probabilistico impone di tenere ferma sin dal principio, ed è quella fra chi concepì il disegno, chi lo ordinò e chi lo eseguì. Gli architetti sono coloro nella cui mente il progetto prese forma, coloro che ne definirono l'obiettivo strategico e ne colsero la funzione politica; e la domanda su chi essi furono è la più ardua di tutte, perché l'architettura di un simile atto non lascia, per definizione, la traccia documentale che l'esecuzione lascia. Qui il metodo Savona offre meno appigli che altrove, e il peso si sposta sull'analisi del movente e della capacità, sulla teoria dei giochi, sul ragionamento controfattuale, sull'analisi di rete: sugli strumenti, cioè, che ragionano non sulla prova diretta ma sulla plausibilità strutturale.</w:t>
      </w:r>
    </w:p>
    <w:p>
      <w:pPr>
        <w:spacing w:after="120" w:line="276"/>
        <w:jc w:val="both"/>
      </w:pPr>
      <w:r>
        <w:rPr>
          <w:rFonts w:ascii="Barlow Semi Condensed" w:cs="Barlow Semi Condensed" w:eastAsia="Barlow Semi Condensed" w:hAnsi="Barlow Semi Condensed"/>
          <w:sz w:val="24"/>
          <w:szCs w:val="24"/>
        </w:rPr>
        <w:t xml:space="preserve">Sul piano accertato, di Livello A, l'ideazione e l'esecuzione del sequestro appartengono alle Brigate Rosse, e in particolare al loro nucleo dirigente romano: questo è il dato giudiziario definitivo, ribadito da sentenze passate in giudicato e da un'ampia messe di riscontri, ed è da questo che ogni ragionamento deve muovere, guardandosi dalla tentazione di dissolverlo in una regia esterna che ne cancelli la responsabilità propria. Le Brigate Rosse concepirono il sequestro come l'atto culminante della loro strategia di attacco al cuore dello Stato, individuarono in Moro il bersaglio per la sua funzione di tessitore del compromesso storico, e lo colpirono nel giorno simbolico in cui quel compromesso si perfezionava. Di questo furono, nel senso proprio, gli architetti, e la loro autonoma capacità progettuale non va sottovalutata per il gusto di cercare altrove.</w:t>
      </w:r>
    </w:p>
    <w:p>
      <w:pPr>
        <w:spacing w:after="120" w:line="276"/>
        <w:jc w:val="both"/>
      </w:pPr>
      <w:r>
        <w:rPr>
          <w:rFonts w:ascii="Barlow Semi Condensed" w:cs="Barlow Semi Condensed" w:eastAsia="Barlow Semi Condensed" w:hAnsi="Barlow Semi Condensed"/>
          <w:sz w:val="24"/>
          <w:szCs w:val="24"/>
        </w:rPr>
        <w:t xml:space="preserve">E tuttavia il metodo probabilistico, che non si accontenta del piano accertato ma pesa anche il probabile e il possibile, registra attorno a questa architettura brigatista una serie di anomalie che alimentano, a gradi diversi di plausibilità, l'ipotesi di un'architettura di secondo livello, di una vigilanza o di un condizionamento esterni che non tolgono ai brigatisti l'ideazione ma la accompagnano. La perizia di via Fani, la scelta del momento, la tenuta della prigione a fronte di un dispositivo imponente, la gestione delle occasioni di trattativa, la sorte del memoriale: sono altrettanti elementi che, presi da soli, ammettono spiegazioni ordinarie, ma che nel loro concorso spingono verso l'alto la probabilità di un interesse esterno che, senza ideare il sequestro, ne assecondò o ne orientò gli esiti. Questa ipotesi, che si colloca fra il Livello B e il Livello C a seconda degli aspetti, è quella di una convergenza fra l'autonoma iniziativa brigatista e un'attenzione esterna che vi trovò, per ragioni proprie, una convenienza.</w:t>
      </w:r>
    </w:p>
    <w:p>
      <w:pPr>
        <w:spacing w:after="120" w:line="276"/>
        <w:jc w:val="both"/>
      </w:pPr>
      <w:r>
        <w:rPr>
          <w:rFonts w:ascii="Barlow Semi Condensed" w:cs="Barlow Semi Condensed" w:eastAsia="Barlow Semi Condensed" w:hAnsi="Barlow Semi Condensed"/>
          <w:sz w:val="24"/>
          <w:szCs w:val="24"/>
        </w:rPr>
        <w:t xml:space="preserve">Chi fossero i portatori di quell'interesse esterno è la questione su cui la probabilità si fa più tenue e la cautela più necessaria. Lo sfondo internazionale, descritto nella parte prima, offre il movente: più attori, per ragioni opposte, avevano interesse a che la manovra di Moro fallisse, e il fallimento più radicale era la sua eliminazione. La rete del terrorismo internazionale, con i suoi punti di compensazione e la sua vigilanza di più servizi, offre il canale attraverso cui un simile interesse avrebbe potuto tradursi in influenza. Ma tradurre questo movente e questo canale in un'architettura concertata, in un centro unico che avrebbe pensato il sequestro e commissionato alle Brigate Rosse la sua esecuzione, è passo che le evidenze non consentono: la sua forma forte, quella del grande burattinaio, resta la meno probabile, perché nessuna prova la sostiene e la struttura stessa del terrorismo di quegli anni, policentrica e frammentata, la rende improbabile. Ciò che resta, come giudizio più plausibile, è l'architettura brigatista come dato certo, accompagnata da una probabilità significativa, ma non da una certezza, di condizionamenti esterni convergenti e non concertati.</w:t>
      </w:r>
    </w:p>
    <w:p>
      <w:pPr>
        <w:pStyle w:val="Heading3"/>
        <w:spacing w:after="80" w:before="160"/>
      </w:pPr>
      <w:r>
        <w:rPr>
          <w:rFonts w:ascii="Barlow Semi Condensed" w:cs="Barlow Semi Condensed" w:eastAsia="Barlow Semi Condensed" w:hAnsi="Barlow Semi Condensed"/>
          <w:sz w:val="24"/>
          <w:szCs w:val="24"/>
        </w:rPr>
        <w:t xml:space="preserve">I mandanti materiali: chi diede l'ordine e ne governò l'esecuzione</w:t>
      </w:r>
    </w:p>
    <w:p>
      <w:pPr>
        <w:spacing w:after="120" w:line="276"/>
        <w:jc w:val="both"/>
      </w:pPr>
      <w:r>
        <w:rPr>
          <w:rFonts w:ascii="Barlow Semi Condensed" w:cs="Barlow Semi Condensed" w:eastAsia="Barlow Semi Condensed" w:hAnsi="Barlow Semi Condensed"/>
          <w:sz w:val="24"/>
          <w:szCs w:val="24"/>
        </w:rPr>
        <w:t xml:space="preserve">La ricostruzione della catena di comando brigatista, operata dalle sentenze, consente di attribuire la decisione del sequestro e la conduzione della prigionia a un vertice ristretto e identificato, e questa attribuzione è la base accertata su cui il metodo lavora. Il comitato esecutivo delle Brigate Rosse e la direzione della colonna romana ebbero il potere di decidere l'operazione, di dirigerla nei suoi snodi, di stabilirne l'epilogo; e i loro componenti principali sono stati giudicati e condannati in via definitiva per queste responsabilità. Il metodo Savona trova qui il suo terreno più solido, perché la convergenza di sentenze, testimonianze e riscontri documentali colloca l'attribuzione al livello della certezza. Su questo il giudizio probabilistico non introduce dubbio: recepisce l'accertamento giudiziario e lo pone a fondamento, guardandosi dal riaprire per suggestione ciò che il processo ha chiuso con prova.</w:t>
      </w:r>
    </w:p>
    <w:p>
      <w:pPr>
        <w:spacing w:after="120" w:line="276"/>
        <w:jc w:val="both"/>
      </w:pPr>
      <w:r>
        <w:rPr>
          <w:rFonts w:ascii="Barlow Semi Condensed" w:cs="Barlow Semi Condensed" w:eastAsia="Barlow Semi Condensed" w:hAnsi="Barlow Semi Condensed"/>
          <w:sz w:val="24"/>
          <w:szCs w:val="24"/>
        </w:rPr>
        <w:t xml:space="preserve">La questione dei condizionamenti esterni sull'esito si concentra, come si è detto, sul finale della vicenda, ed è qui che la teoria dei giochi e il ragionamento controfattuale offrono il loro contributo più delicato. Ci si chiede a chi giovasse l'esito mortale, e la risposta è che esso giovava a chi aveva interesse al fallimento definitivo della manovra di Moro: un interesse distribuito fra più attori, interni ed esterni, per ragioni fra loro diverse e non necessariamente concertate. Ci si chiede poi che cosa sarebbe accaduto se le trattative fossero state condotte diversamente, e il controfattuale suggerisce che un esito diverso non fosse impossibile, il che colloca la morte non come sbocco necessitato ma come uno fra gli esiti possibili, quello verso cui più fattori conversero. Da questo incrocio emerge, a livello di probabilità e non di prova, l'ipotesi di una convergenza di interessi sull'esito; ma la Regola Ferrea vieta di tradurla nell'indicazione di un mandante esterno determinato, e il metodo la tiene ferma al livello dell'ipotesi, sorretta dalla struttura degli incentivi e non da un documento.</w:t>
      </w:r>
    </w:p>
    <w:p>
      <w:pPr>
        <w:spacing w:after="120" w:line="276"/>
        <w:jc w:val="both"/>
      </w:pPr>
      <w:r>
        <w:rPr>
          <w:rFonts w:ascii="Barlow Semi Condensed" w:cs="Barlow Semi Condensed" w:eastAsia="Barlow Semi Condensed" w:hAnsi="Barlow Semi Condensed"/>
          <w:sz w:val="24"/>
          <w:szCs w:val="24"/>
        </w:rPr>
        <w:t xml:space="preserve">Il mandante materiale, nella struttura del ragionamento, è cosa distinta dall'architetto: non chi concepì il disegno in astratto, ma chi diede l'ordine concreto e ne governò l'esecuzione, chi ebbe il potere di decidere il sequestro, di condurlo, di deciderne infine l'esito mortale. Qui il piano accertato è più solido che per gli architetti, perché la catena di comando delle Brigate Rosse è stata ricostruita dalle sentenze con notevole precisione, ed è a essa che il metodo Savona àncora il giudizio di massima probabilità.</w:t>
      </w:r>
    </w:p>
    <w:p>
      <w:pPr>
        <w:spacing w:after="120" w:line="276"/>
        <w:jc w:val="both"/>
      </w:pPr>
      <w:r>
        <w:rPr>
          <w:rFonts w:ascii="Barlow Semi Condensed" w:cs="Barlow Semi Condensed" w:eastAsia="Barlow Semi Condensed" w:hAnsi="Barlow Semi Condensed"/>
          <w:sz w:val="24"/>
          <w:szCs w:val="24"/>
        </w:rPr>
        <w:t xml:space="preserve">Sul piano definitivo, di Livello A, i mandanti materiali del sequestro e dell'uccisione di Aldo Moro furono i componenti del comitato esecutivo delle Brigate Rosse e i responsabili della colonna romana, che decisero l'operazione, la diressero e ne stabilirono l'epilogo. La responsabilità della decisione, della conduzione della prigionia e dell'ordine di uccidere appartiene a questo nucleo, e questo è il fatto giudiziario intorno a cui non vi è, allo stato, ragionevole margine di dubbio. Il metodo probabilistico non lo indebolisce ma lo assume come base, e su di esso costruisce, riconoscendo che la responsabilità materiale dell'ordine sta qui, in un vertice terroristico che agì per una propria strategia e che di quella strategia portò la responsabilità piena.</w:t>
      </w:r>
    </w:p>
    <w:p>
      <w:pPr>
        <w:spacing w:after="120" w:line="276"/>
        <w:jc w:val="both"/>
      </w:pPr>
      <w:r>
        <w:rPr>
          <w:rFonts w:ascii="Barlow Semi Condensed" w:cs="Barlow Semi Condensed" w:eastAsia="Barlow Semi Condensed" w:hAnsi="Barlow Semi Condensed"/>
          <w:sz w:val="24"/>
          <w:szCs w:val="24"/>
        </w:rPr>
        <w:t xml:space="preserve">Attorno a questa certezza il metodo probabilistico pesa nuovamente le anomalie, e si chiede se accanto ai mandanti materiali accertati abbiano operato mandanti di secondo livello, soggetti esterni che non impartirono l'ordine ma lo condizionarono nei suoi snodi decisivi, e in particolare in quello supremo dell'esito. La questione si concentra sul finale, sul perché la prigionia si chiuse con la morte anziché con la liberazione, e sul ruolo che in quella chiusura ebbero i segnali provenienti dall'esterno, l'irrigidimento delle posizioni, il fallimento o il sabotaggio delle trattative. Qui il ragionamento controfattuale e la teoria dei giochi lavorano a pieno: ci si chiede a chi giovasse ciascun esito e che cosa sarebbe accaduto se le trattative fossero state condotte diversamente, e da questo incrocio emerge, a livello di probabilità e non di prova, l'ipotesi che l'esito mortale sia stato non l'unico possibile ma quello verso cui più fattori, interni ed esterni, conversero.</w:t>
      </w:r>
    </w:p>
    <w:p>
      <w:pPr>
        <w:spacing w:after="120" w:line="276"/>
        <w:jc w:val="both"/>
      </w:pPr>
      <w:r>
        <w:rPr>
          <w:rFonts w:ascii="Barlow Semi Condensed" w:cs="Barlow Semi Condensed" w:eastAsia="Barlow Semi Condensed" w:hAnsi="Barlow Semi Condensed"/>
          <w:sz w:val="24"/>
          <w:szCs w:val="24"/>
        </w:rPr>
        <w:t xml:space="preserve">Nominare i portatori di quei condizionamenti esterni è, di nuovo, il punto in cui la cautela deve farsi massima e la probabilità si assottiglia. Le indagini e le commissioni hanno a lungo lavorato su figure di frontiera, su apparati che seppero e tacquero, su canali che si aprirono e si chiusero, e alcune di queste condotte sono state accertate e sanzionate come depistaggi o reticenze. Ma dal fatto accertato che taluni apparati ostacolarono la ricerca della verità, la Regola Ferrea vieta di inferire che quegli stessi apparati furono mandanti dell'esito: l'occultamento successivo non prova l'ordine precedente, e confondere i due piani è l'errore che il metodo qui rifiuta con più fermezza. Il giudizio più plausibile che le evidenze consentono è dunque duplice: i mandanti materiali, nel senso proprio, furono il vertice brigatista, con certezza di Livello A; l'ipotesi di condizionamenti esterni sull'esito mortale ha una plausibilità significativa ma non raggiunge la prova, e si colloca fra il Livello B e il Livello C, senza che sia lecito tradurla nell'indicazione di un mandante esterno determinato.</w:t>
      </w:r>
    </w:p>
    <w:p>
      <w:pPr>
        <w:pStyle w:val="Heading3"/>
        <w:spacing w:after="80" w:before="160"/>
      </w:pPr>
      <w:r>
        <w:rPr>
          <w:rFonts w:ascii="Barlow Semi Condensed" w:cs="Barlow Semi Condensed" w:eastAsia="Barlow Semi Condensed" w:hAnsi="Barlow Semi Condensed"/>
          <w:sz w:val="24"/>
          <w:szCs w:val="24"/>
        </w:rPr>
        <w:t xml:space="preserve">Gli esecutori materiali: chi agì sulla scena e nella prigione</w:t>
      </w:r>
    </w:p>
    <w:p>
      <w:pPr>
        <w:spacing w:after="120" w:line="276"/>
        <w:jc w:val="both"/>
      </w:pPr>
      <w:r>
        <w:rPr>
          <w:rFonts w:ascii="Barlow Semi Condensed" w:cs="Barlow Semi Condensed" w:eastAsia="Barlow Semi Condensed" w:hAnsi="Barlow Semi Condensed"/>
          <w:sz w:val="24"/>
          <w:szCs w:val="24"/>
        </w:rPr>
        <w:t xml:space="preserve">L'identificazione degli esecutori materiali è, fra tutti i piani del caso, quello su cui l'accertamento giudiziario è giunto più lontano, e il metodo lo recepisce con la gratitudine dovuta a decenni di lavoro investigativo e processuale. I componenti principali del commando di via Fani sono stati identificati, i loro ruoli ricostruiti, le loro responsabilità sancite da sentenze definitive; e molti di essi hanno reso, nel tempo, ammissioni e ricostruzioni che hanno confermato e precisato il quadro. Analogamente, la gestione della prigione e l'esecuzione materiale dell'uccisione sono state attribuite a componenti determinati del nucleo, con un grado di dettaglio che, pur non totale, è elevato. Su questo piano il giudizio non è probabilistico ma giudiziario, e il metodo si limita a recepirlo, collocando gli esecutori identificati al vertice della graduatoria di questo piano con grado di certezza.</w:t>
      </w:r>
    </w:p>
    <w:p>
      <w:pPr>
        <w:spacing w:after="120" w:line="276"/>
        <w:jc w:val="both"/>
      </w:pPr>
      <w:r>
        <w:rPr>
          <w:rFonts w:ascii="Barlow Semi Condensed" w:cs="Barlow Semi Condensed" w:eastAsia="Barlow Semi Condensed" w:hAnsi="Barlow Semi Condensed"/>
          <w:sz w:val="24"/>
          <w:szCs w:val="24"/>
        </w:rPr>
        <w:t xml:space="preserve">I margini di incertezza che permangono riguardano i contorni dell'attribuzione principale, non il suo nucleo, e vanno riferiti con esattezza per non alimentare né la loro sottovalutazione né la loro esasperazione. Il numero esatto dei presenti a via Fani è stato oggetto di ricostruzioni divergenti, e l'ipotesi della presenza sulla scena di figure non riconducibili al nucleo brigatista noto è stata avanzata sulla base di alcune testimonianze e di alcune analisi, senza raggiungere la prova conclusiva: resta perciò un'ipotesi aperta, di grado probabile o ipotetico a seconda degli aspetti. La perizia balistica di alcuni degli sparatori è stata parimenti oggetto di letture divergenti, alcune delle quali vi hanno visto l'indizio di un concorso esterno, altre l'hanno ricondotta entro le capacità del commando. Il metodo registra questi margini come non chiusi, senza forzarli: né li normalizza, negando ogni anomalia, né li esaspera, trasformando un'ipotesi in una certezza. Li lascia, onestamente, per ciò che sono: contorni incerti di un'attribuzione centrale solida.</w:t>
      </w:r>
    </w:p>
    <w:p>
      <w:pPr>
        <w:spacing w:after="120" w:line="276"/>
        <w:jc w:val="both"/>
      </w:pPr>
      <w:r>
        <w:rPr>
          <w:rFonts w:ascii="Barlow Semi Condensed" w:cs="Barlow Semi Condensed" w:eastAsia="Barlow Semi Condensed" w:hAnsi="Barlow Semi Condensed"/>
          <w:sz w:val="24"/>
          <w:szCs w:val="24"/>
        </w:rPr>
        <w:t xml:space="preserve">Gli esecutori materiali sono coloro che agirono con le proprie mani: sulla scena di via Fani il mattino del sedici marzo, e nella prigione lungo i cinquantacinque giorni fino al gesto finale. Qui, paradossalmente, il piano accertato è il più solido dell'intera vicenda, perché l'identità di gran parte degli esecutori è stata stabilita dalle sentenze con certezza, e molti di essi hanno reso ammissioni e ricostruzioni. Il metodo Savona trova qui il suo terreno più fertile, e il giudizio di massima probabilità coincide, per questa parte, con l'accertamento giudiziario.</w:t>
      </w:r>
    </w:p>
    <w:p>
      <w:pPr>
        <w:spacing w:after="120" w:line="276"/>
        <w:jc w:val="both"/>
      </w:pPr>
      <w:r>
        <w:rPr>
          <w:rFonts w:ascii="Barlow Semi Condensed" w:cs="Barlow Semi Condensed" w:eastAsia="Barlow Semi Condensed" w:hAnsi="Barlow Semi Condensed"/>
          <w:sz w:val="24"/>
          <w:szCs w:val="24"/>
        </w:rPr>
        <w:t xml:space="preserve">Di Livello A è l'appartenenza dell'operazione di via Fani a un commando brigatista i cui componenti principali sono stati identificati, giudicati e in gran parte condannati in via definitiva, e i cui ruoli — chi sparò, chi bloccò le auto, chi prelevò l'ostaggio, chi condusse la vettura della fuga — sono stati ricostruiti con un grado di dettaglio elevato, benché non totale. Di Livello A è altresì la gestione brigatista della prigione e l'esecuzione materiale dell'uccisione, attribuita dalle sentenze a componenti determinati del nucleo. Questi esecutori hanno nome e cognome nelle carte processuali, e la loro responsabilità è stata accertata nelle forme del diritto: su di essi il giudizio non è probabilistico ma giudiziario, e il metodo si limita a recepirlo, guardandosi dal riaprire per suggestione ciò che il processo ha chiuso con prova.</w:t>
      </w:r>
    </w:p>
    <w:p>
      <w:pPr>
        <w:spacing w:after="120" w:line="276"/>
        <w:jc w:val="both"/>
      </w:pPr>
      <w:r>
        <w:rPr>
          <w:rFonts w:ascii="Barlow Semi Condensed" w:cs="Barlow Semi Condensed" w:eastAsia="Barlow Semi Condensed" w:hAnsi="Barlow Semi Condensed"/>
          <w:sz w:val="24"/>
          <w:szCs w:val="24"/>
        </w:rPr>
        <w:t xml:space="preserve">E tuttavia anche sul piano esecutivo il metodo probabilistico registra i suoi margini di incertezza, e sono margini che riguardano non l'attribuzione principale, solida, ma i suoi contorni. Vi è la questione, a lungo dibattuta e mai del tutto risolta, del numero esatto dei presenti a via Fani e dell'eventuale presenza sulla scena di figure non riconducibili al nucleo brigatista noto: una questione che oscilla fra il Livello B e il Livello C, sorretta da alcune testimonianze e perizie ma non da prova conclusiva, e che il metodo registra come aperta senza risolverla in un senso o nell'altro. Vi è la questione della perizia balistica di alcuni degli sparatori, che alcuni hanno letto come indizio di un addestramento superiore a quello dei militanti allora disponibili, e altri hanno ricondotto entro le capacità del commando: anche questa resta, allo stato, un'ipotesi di lavoro e non un fatto. Il giudizio più plausibile, in conclusione, è che gli esecutori materiali furono i brigatisti identificati dalle sentenze, con certezza di Livello A per il nucleo principale, e che attorno a questo nucleo permangono margini di incertezza sui contorni — il numero esatto, la presenza di eventuali concorrenti esterni, il livello di perizia — che il metodo onestamente registra come non chiusi, senza forzarli né nel senso della normalizzazione né in quello del complotto.</w:t>
      </w:r>
    </w:p>
    <w:p>
      <w:pPr>
        <w:pStyle w:val="Heading3"/>
        <w:spacing w:after="80" w:before="160"/>
      </w:pPr>
      <w:r>
        <w:rPr>
          <w:rFonts w:ascii="Barlow Semi Condensed" w:cs="Barlow Semi Condensed" w:eastAsia="Barlow Semi Condensed" w:hAnsi="Barlow Semi Condensed"/>
          <w:sz w:val="24"/>
          <w:szCs w:val="24"/>
        </w:rPr>
        <w:t xml:space="preserve">La sintesi probabilistica dei tre piani</w:t>
      </w:r>
    </w:p>
    <w:p>
      <w:pPr>
        <w:spacing w:after="120" w:line="276"/>
        <w:jc w:val="both"/>
      </w:pPr>
      <w:r>
        <w:rPr>
          <w:rFonts w:ascii="Barlow Semi Condensed" w:cs="Barlow Semi Condensed" w:eastAsia="Barlow Semi Condensed" w:hAnsi="Barlow Semi Condensed"/>
          <w:sz w:val="24"/>
          <w:szCs w:val="24"/>
        </w:rPr>
        <w:t xml:space="preserve">Ricomposti i tre piani, il giudizio probabilistico che il concorso dei dieci metodi consente si lascia riassumere con chiarezza, purché si tengano distinti i gradi. Sul piano certo, di Livello A, il sequestro e l'uccisione di Aldo Moro furono ideati, ordinati ed eseguiti dalle Brigate Rosse, dal loro comitato esecutivo e dalla loro colonna romana, i cui componenti principali sono stati identificati, giudicati e condannati: questa è la verità giudiziaria, ed è la base non negoziabile di ogni ulteriore ragionamento. Chi cercasse di dissolvere questa base in una regia esterna che cancelli la responsabilità brigatista compirebbe, sotto le mentite spoglie dell'approfondimento, un'operazione di occultamento della verità accertata.</w:t>
      </w:r>
    </w:p>
    <w:p>
      <w:pPr>
        <w:spacing w:after="120" w:line="276"/>
        <w:jc w:val="both"/>
      </w:pPr>
      <w:r>
        <w:rPr>
          <w:rFonts w:ascii="Barlow Semi Condensed" w:cs="Barlow Semi Condensed" w:eastAsia="Barlow Semi Condensed" w:hAnsi="Barlow Semi Condensed"/>
          <w:sz w:val="24"/>
          <w:szCs w:val="24"/>
        </w:rPr>
        <w:t xml:space="preserve">Sul piano probabile e possibile, di Livello B e Livello C, permane, e il metodo non la nasconde, una costellazione di anomalie che alimenta l'ipotesi di condizionamenti esterni convergenti: una vigilanza, un'attenzione, un interesse che non idearono né ordinarono il sequestro ma che, per ragioni proprie e non concertate fra loro, ne assecondarono o ne orientarono gli esiti, e in particolare quello mortale. Questa ipotesi ha una plausibilità significativa, sorretta dallo sfondo internazionale, dalla struttura della rete terroristica, dalle anomalie esecutive e dalla lunga catena di depistaggi successivi; ma non raggiunge la prova, e la Regola Ferrea vieta di tradurla nell'indicazione di mandanti o architetti esterni determinati. La forma forte di quell'ipotesi, quella del grande burattinaio unico, resta la meno probabile di tutte, falsificata dall'assenza di prove e dalla natura policentrica del contesto.</w:t>
      </w:r>
    </w:p>
    <w:p>
      <w:pPr>
        <w:spacing w:after="120" w:line="276"/>
        <w:jc w:val="both"/>
      </w:pPr>
      <w:r>
        <w:rPr>
          <w:rFonts w:ascii="Barlow Semi Condensed" w:cs="Barlow Semi Condensed" w:eastAsia="Barlow Semi Condensed" w:hAnsi="Barlow Semi Condensed"/>
          <w:sz w:val="24"/>
          <w:szCs w:val="24"/>
        </w:rPr>
        <w:t xml:space="preserve">Il lettore troverà, nelle pagine di chiusura, l'elenco ordinato dei nomi e delle entità che, secondo il concorso dei dieci metodi, presentano i più alti gradi di probabilità di coinvolgimento, con l'avvertenza costante che probabilità di coinvolgimento non significa responsabilità accertata, e che l'ordine è di plausibilità e non di colpa. E vi troverà, dichiarato in percentuale, il peso che ciascuno dei dieci metodi ha avuto nel formare quel giudizio, perché la trasparenza della ricetta è, in un'opera che rinuncia alla sospensione per abbracciare la probabilità, l'ultima e più necessaria delle garanzie.</w:t>
      </w:r>
    </w:p>
    <w:p>
      <w:pPr>
        <w:pStyle w:val="Heading2"/>
        <w:spacing w:after="100" w:before="200"/>
      </w:pPr>
      <w:r>
        <w:rPr>
          <w:rFonts w:ascii="Barlow Semi Condensed" w:cs="Barlow Semi Condensed" w:eastAsia="Barlow Semi Condensed" w:hAnsi="Barlow Semi Condensed"/>
          <w:sz w:val="24"/>
          <w:szCs w:val="24"/>
        </w:rPr>
        <w:t xml:space="preserve">CHIUSURA PROBABILISTICA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La graduatoria dei nomi, il peso dei metodi, l'emersione dei tre piani</w:t>
      </w:r>
    </w:p>
    <w:p>
      <w:pPr>
        <w:pStyle w:val="Heading3"/>
        <w:spacing w:after="80" w:before="160"/>
      </w:pPr>
      <w:r>
        <w:rPr>
          <w:rFonts w:ascii="Barlow Semi Condensed" w:cs="Barlow Semi Condensed" w:eastAsia="Barlow Semi Condensed" w:hAnsi="Barlow Semi Condensed"/>
          <w:sz w:val="24"/>
          <w:szCs w:val="24"/>
        </w:rPr>
        <w:t xml:space="preserve">Premessa garantista alla graduatoria</w:t>
      </w:r>
    </w:p>
    <w:p>
      <w:pPr>
        <w:spacing w:after="120" w:line="276"/>
        <w:jc w:val="both"/>
      </w:pPr>
      <w:r>
        <w:rPr>
          <w:rFonts w:ascii="Barlow Semi Condensed" w:cs="Barlow Semi Condensed" w:eastAsia="Barlow Semi Condensed" w:hAnsi="Barlow Semi Condensed"/>
          <w:sz w:val="24"/>
          <w:szCs w:val="24"/>
        </w:rPr>
        <w:t xml:space="preserve">Le pagine che seguono ordinano nomi di persone e di entità secondo il grado di probabilità di coinvolgimento nel sequestro e nell'uccisione di Aldo Moro, quale risulta dal concorso dei dieci metodi. Occorre, prima di ogni nome, ribadire con la massima fermezza il senso di questo ordine. Esso è una graduatoria di plausibilità, non di colpevolezza; misura la probabilità che un soggetto abbia avuto un ruolo, non la certezza che l'abbia avuto; e distingue in ogni caso, con nettezza, chi è stato condannato in via definitiva nelle forme del diritto da chi è stato soltanto indagato, sospettato o ipotizzato dagli studiosi e dalle commissioni. Per i primi, la responsabilità è un fatto giudiziario accertato, che si recepisce; per i secondi, si parla di ipotesi probabilistiche, rivedibili e non conclusive, che nulla tolgono alla presunzione di innocenza cui ogni persona ha diritto. Nessuna delle affermazioni che seguono va letta come un'accusa: sono collocazioni su una scala di probabilità storica, formulate con rispetto e con l'esplicita assunzione di responsabilità da parte dell'autore umano che le ha ordinate.</w:t>
      </w:r>
    </w:p>
    <w:p>
      <w:pPr>
        <w:pStyle w:val="Heading3"/>
        <w:spacing w:after="80" w:before="160"/>
      </w:pPr>
      <w:r>
        <w:rPr>
          <w:rFonts w:ascii="Barlow Semi Condensed" w:cs="Barlow Semi Condensed" w:eastAsia="Barlow Semi Condensed" w:hAnsi="Barlow Semi Condensed"/>
          <w:sz w:val="24"/>
          <w:szCs w:val="24"/>
        </w:rPr>
        <w:t xml:space="preserve">La graduatoria secondo ciascuno dei dieci metodi</w:t>
      </w:r>
    </w:p>
    <w:p>
      <w:pPr>
        <w:spacing w:after="120" w:line="276"/>
        <w:jc w:val="both"/>
      </w:pPr>
      <w:r>
        <w:rPr>
          <w:rFonts w:ascii="Barlow Semi Condensed" w:cs="Barlow Semi Condensed" w:eastAsia="Barlow Semi Condensed" w:hAnsi="Barlow Semi Condensed"/>
          <w:sz w:val="24"/>
          <w:szCs w:val="24"/>
        </w:rPr>
        <w:t xml:space="preserve">Prima di comporre il giudizio unitario, conviene mostrare come ciascuno dei dieci metodi, applicato per proprio conto, ordini il campo, perché è dal loro accordo o disaccordo che nasce la solidità o la fragilità di ciascuna collocazione.</w:t>
      </w:r>
    </w:p>
    <w:p>
      <w:pPr>
        <w:spacing w:after="120" w:line="276"/>
        <w:jc w:val="both"/>
      </w:pPr>
      <w:r>
        <w:rPr>
          <w:rFonts w:ascii="Barlow Semi Condensed" w:cs="Barlow Semi Condensed" w:eastAsia="Barlow Semi Condensed" w:hAnsi="Barlow Semi Condensed"/>
          <w:sz w:val="24"/>
          <w:szCs w:val="24"/>
        </w:rPr>
        <w:t xml:space="preserve">Secondo il metodo Savona della triangolazione delle fonti, che pesa il numero e l'indipendenza delle fonti, al vertice della graduatoria stanno, con grado massimo e distacco netto, i componenti del comitato esecutivo e della colonna romana delle Brigate Rosse condannati in via definitiva, la cui responsabilità è sorretta da sentenze, testimonianze riscontrate e documenti convergenti; seguono, a grande distanza e con grado assai inferiore, gli apparati e le figure di frontiera coinvolti nei depistaggi successivi, la cui condotta è in parte accertata; da ultimo, con grado minimo, i portatori dell'interesse esterno internazionale, sorretti da indizi di contesto e non da prova diretta.</w:t>
      </w:r>
    </w:p>
    <w:p>
      <w:pPr>
        <w:spacing w:after="120" w:line="276"/>
        <w:jc w:val="both"/>
      </w:pPr>
      <w:r>
        <w:rPr>
          <w:rFonts w:ascii="Barlow Semi Condensed" w:cs="Barlow Semi Condensed" w:eastAsia="Barlow Semi Condensed" w:hAnsi="Barlow Semi Condensed"/>
          <w:sz w:val="24"/>
          <w:szCs w:val="24"/>
        </w:rPr>
        <w:t xml:space="preserve">Secondo l'analisi delle ipotesi concorrenti, che premia la spiegazione meno contraddetta dalle evidenze, l'ipotesi della responsabilità brigatista autonoma resta imbattuta perché nessuna evidenza la contraddice, mentre l'ipotesi della regia esterna unica è contraddetta dall'assenza di prove e dalla frammentazione del contesto: ne segue una graduatoria che colloca i brigatisti al vertice e degrada progressivamente le ipotesi esterne in ragione delle contraddizioni che incontrano. Secondo l'inferenza bayesiana, che aggiorna la probabilità a ogni evidenza, la responsabilità brigatista, partita da una probabilità già alta, si è consolidata a ogni nuovo riscontro fino alla quasi certezza, mentre l'ipotesi dei condizionamenti esterni, partita da una probabilità bassa, è stata innalzata dalle anomalie ma non fino alla soglia della prova, restando in una fascia intermedia.</w:t>
      </w:r>
    </w:p>
    <w:p>
      <w:pPr>
        <w:spacing w:after="120" w:line="276"/>
        <w:jc w:val="both"/>
      </w:pPr>
      <w:r>
        <w:rPr>
          <w:rFonts w:ascii="Barlow Semi Condensed" w:cs="Barlow Semi Condensed" w:eastAsia="Barlow Semi Condensed" w:hAnsi="Barlow Semi Condensed"/>
          <w:sz w:val="24"/>
          <w:szCs w:val="24"/>
        </w:rPr>
        <w:t xml:space="preserve">Secondo l'analisi di rete, che pesa la centralità e i ponti, i nodi a più alta centralità nel sottografo del caso sono i dirigenti brigatisti che tennero insieme ideazione, comando ed esecuzione; ma emergono come nodi-ponte, a più bassa centralità e più alta intermediazione, alcune figure di frontiera che collegavano il mondo del terrorismo a quello degli apparati, e la loro posizione strutturale, più che la prova a loro carico, ne spiega la persistente presenza nelle ipotesi. Secondo la teoria dei giochi, che chiede a chi giovasse ciascuna mossa, l'esito mortale giovò a chi aveva interesse al fallimento della manovra di Moro, e questo interesse era distribuito fra più attori interni ed esterni, il che spiega la convergenza senza richiedere il concerto.</w:t>
      </w:r>
    </w:p>
    <w:p>
      <w:pPr>
        <w:spacing w:after="120" w:line="276"/>
        <w:jc w:val="both"/>
      </w:pPr>
      <w:r>
        <w:rPr>
          <w:rFonts w:ascii="Barlow Semi Condensed" w:cs="Barlow Semi Condensed" w:eastAsia="Barlow Semi Condensed" w:hAnsi="Barlow Semi Condensed"/>
          <w:sz w:val="24"/>
          <w:szCs w:val="24"/>
        </w:rPr>
        <w:t xml:space="preserve">Secondo il ragionamento controfattuale, che misura l'efficacia di un fattore per assenza, la rimozione dei brigatisti avrebbe impedito il sequestro, il che ne conferma il ruolo causale primario; la rimozione dei condizionamenti esterni ipotizzati avrebbe forse mutato l'esito ma non impedito l'atto, il che ne colloca il ruolo, se esistito, al livello dell'orientamento e non della causa. Secondo l'analisi temporale delle coincidenze, la sovrapposizione fra il perfezionarsi del compromesso storico e il giorno dell'agguato eccede la soglia del caso e conferma la matrice politica del bersaglio, mentre altre coincidenze invocate a sostegno delle ipotesi esterne restano entro la soglia della casualità.</w:t>
      </w:r>
    </w:p>
    <w:p>
      <w:pPr>
        <w:spacing w:after="120" w:line="276"/>
        <w:jc w:val="both"/>
      </w:pPr>
      <w:r>
        <w:rPr>
          <w:rFonts w:ascii="Barlow Semi Condensed" w:cs="Barlow Semi Condensed" w:eastAsia="Barlow Semi Condensed" w:hAnsi="Barlow Semi Condensed"/>
          <w:sz w:val="24"/>
          <w:szCs w:val="24"/>
        </w:rPr>
        <w:t xml:space="preserve">Secondo la valutazione dell'affidabilità e della genealogia delle fonti, molte delle suggestioni sui condizionamenti esterni discendono da un numero ristretto di fonti fra loro non indipendenti, il che ne abbassa il peso una volta scontata la contaminazione, mentre l'attribuzione brigatista poggia su fonti eterogenee e indipendenti. Secondo l'analisi del movente e della capacità, i brigatisti avevano insieme il movente strategico e la capacità operativa, il che li colloca al vertice; i portatori dell'interesse esterno avevano il movente ma la loro capacità di tradurlo in influenza sull'operazione resta indimostrata, il che ne indebolisce la collocazione. Secondo il principio di convergenza, infine, tutti i metodi indipendenti puntano concordi sulla responsabilità brigatista, e questa consilienza ne innalza la probabilità alla quasi certezza; sui condizionamenti esterni i metodi divergono, e questa divergenza ne conferma lo statuto di ipotesi non conclusa.</w:t>
      </w:r>
    </w:p>
    <w:p>
      <w:pPr>
        <w:pStyle w:val="Heading3"/>
        <w:spacing w:after="80" w:before="160"/>
      </w:pPr>
      <w:r>
        <w:rPr>
          <w:rFonts w:ascii="Barlow Semi Condensed" w:cs="Barlow Semi Condensed" w:eastAsia="Barlow Semi Condensed" w:hAnsi="Barlow Semi Condensed"/>
          <w:sz w:val="24"/>
          <w:szCs w:val="24"/>
        </w:rPr>
        <w:t xml:space="preserve">Il peso relativo dei dieci metodi: la ricetta del giudizio</w:t>
      </w:r>
    </w:p>
    <w:p>
      <w:pPr>
        <w:spacing w:after="120" w:line="276"/>
        <w:jc w:val="both"/>
      </w:pPr>
      <w:r>
        <w:rPr>
          <w:rFonts w:ascii="Barlow Semi Condensed" w:cs="Barlow Semi Condensed" w:eastAsia="Barlow Semi Condensed" w:hAnsi="Barlow Semi Condensed"/>
          <w:sz w:val="24"/>
          <w:szCs w:val="24"/>
        </w:rPr>
        <w:t xml:space="preserve">Il giudizio unitario non nasce dalla semplice somma dei dieci metodi ma dal loro concorso pesato, perché non tutti meritano peso uguale in una materia in cui la prova documentale e giudiziaria deve prevalere sulla congettura strutturale. Si dichiara pertanto, con la trasparenza che quest'opera si è imposta, il peso percentuale attribuito a ciascuno dei dieci metodi nella formazione del giudizio finale, avvertendo che la somma dei pesi è pari a cento e che l'entità di ciascun peso riflette il contributo che quel metodo ha realmente offerto alla solidità della conclusione.</w:t>
      </w:r>
    </w:p>
    <w:p>
      <w:pPr>
        <w:spacing w:after="120" w:line="276"/>
        <w:jc w:val="both"/>
      </w:pPr>
      <w:r>
        <w:rPr>
          <w:rFonts w:ascii="Barlow Semi Condensed" w:cs="Barlow Semi Condensed" w:eastAsia="Barlow Semi Condensed" w:hAnsi="Barlow Semi Condensed"/>
          <w:sz w:val="24"/>
          <w:szCs w:val="24"/>
        </w:rPr>
        <w:t xml:space="preserve">Al metodo Savona della triangolazione delle fonti si attribuisce il peso maggiore, pari al ventidue per cento, perché in una ricostruzione storica e giudiziaria la convergenza di fonti indipendenti è il fondamento primo di ogni certezza, e ad esso spetta di ancorare il piano accertato. All'analisi delle ipotesi concorrenti si attribuisce il quattordici per cento, perché la selezione per resistenza alla smentita è il presidio contro la dietrologia e ha svolto un ruolo decisivo nel degradare le ipotesi non sostenute. Al principio di convergenza, la consilienza, si attribuisce il dodici per cento, perché l'accordo di metodi e fonti indipendenti è ciò che ha innalzato alla quasi certezza il giudizio sul piano brigatista.</w:t>
      </w:r>
    </w:p>
    <w:p>
      <w:pPr>
        <w:spacing w:after="120" w:line="276"/>
        <w:jc w:val="both"/>
      </w:pPr>
      <w:r>
        <w:rPr>
          <w:rFonts w:ascii="Barlow Semi Condensed" w:cs="Barlow Semi Condensed" w:eastAsia="Barlow Semi Condensed" w:hAnsi="Barlow Semi Condensed"/>
          <w:sz w:val="24"/>
          <w:szCs w:val="24"/>
        </w:rPr>
        <w:t xml:space="preserve">All'analisi del movente e della capacità si attribuisce l'undici per cento, perché l'incrocio fra interesse e mezzi ha permesso di distinguere chi poteva agire da chi aveva soltanto ragioni per desiderarlo. All'analisi di rete si attribuisce il dieci per cento, perché la sinaptogenesi dei nodi e dei ponti ha illuminato la struttura delle relazioni e la posizione delle figure di frontiera. All'inferenza bayesiana si attribuisce il nove per cento, perché l'aggiornamento progressivo ha dato forma quantitativa al consolidarsi del giudizio a ogni nuova evidenza. Alla valutazione dell'affidabilità e della genealogia delle fonti si attribuisce il sette per cento, perché lo sconto della contaminazione ha ridimensionato suggestioni fondate su radici non indipendenti.</w:t>
      </w:r>
    </w:p>
    <w:p>
      <w:pPr>
        <w:spacing w:after="120" w:line="276"/>
        <w:jc w:val="both"/>
      </w:pPr>
      <w:r>
        <w:rPr>
          <w:rFonts w:ascii="Barlow Semi Condensed" w:cs="Barlow Semi Condensed" w:eastAsia="Barlow Semi Condensed" w:hAnsi="Barlow Semi Condensed"/>
          <w:sz w:val="24"/>
          <w:szCs w:val="24"/>
        </w:rPr>
        <w:t xml:space="preserve">Al ragionamento controfattuale si attribuisce il cinque per cento, perché la misura dell'efficacia causale per assenza ha aiutato a distinguere la causa dall'orientamento. Alla teoria dei giochi si attribuisce il cinque per cento, perché la lettura degli incentivi ha spiegato la convergenza senza richiedere il concerto. All'analisi temporale delle coincidenze si attribuisce il residuo cinque per cento, perché il vaglio statistico delle sovrapposizioni ha confermato ciò che eccedeva il caso e scartato ciò che vi rientrava. La somma di questi pesi — ventidue, quattordici, dodici, undici, dieci, nove, sette, cinque, cinque, cinque — è pari a cento, e in questa proporzione i dieci metodi hanno concorso a formare il giudizio che segue.</w:t>
      </w:r>
    </w:p>
    <w:p>
      <w:pPr>
        <w:pStyle w:val="Heading3"/>
        <w:spacing w:after="80" w:before="160"/>
      </w:pPr>
      <w:r>
        <w:rPr>
          <w:rFonts w:ascii="Barlow Semi Condensed" w:cs="Barlow Semi Condensed" w:eastAsia="Barlow Semi Condensed" w:hAnsi="Barlow Semi Condensed"/>
          <w:sz w:val="24"/>
          <w:szCs w:val="24"/>
        </w:rPr>
        <w:t xml:space="preserve">L'emersione dei tre piani secondo il giudizio pesato</w:t>
      </w:r>
    </w:p>
    <w:p>
      <w:pPr>
        <w:spacing w:after="120" w:line="276"/>
        <w:jc w:val="both"/>
      </w:pPr>
      <w:r>
        <w:rPr>
          <w:rFonts w:ascii="Barlow Semi Condensed" w:cs="Barlow Semi Condensed" w:eastAsia="Barlow Semi Condensed" w:hAnsi="Barlow Semi Condensed"/>
          <w:sz w:val="24"/>
          <w:szCs w:val="24"/>
        </w:rPr>
        <w:t xml:space="preserve">Applicata questa ricetta, i tre piani del caso emergono con la seguente fisionomia di probabilità, e con essi la graduatoria dei nomi e delle entità.</w:t>
      </w:r>
    </w:p>
    <w:p>
      <w:pPr>
        <w:spacing w:after="120" w:line="276"/>
        <w:jc w:val="both"/>
      </w:pPr>
      <w:r>
        <w:rPr>
          <w:rFonts w:ascii="Barlow Semi Condensed" w:cs="Barlow Semi Condensed" w:eastAsia="Barlow Semi Condensed" w:hAnsi="Barlow Semi Condensed"/>
          <w:sz w:val="24"/>
          <w:szCs w:val="24"/>
        </w:rPr>
        <w:t xml:space="preserve">Al piano degli esecutori materiali, che il giudizio pesato colloca al più alto grado di certezza, appartengono i componenti del commando di via Fani e del nucleo della prigione, brigatisti identificati, giudicati e in gran parte condannati in via definitiva, ai quali le sentenze hanno attribuito i ruoli materiali del sequestro, della custodia e dell'uccisione. La loro collocazione al vertice della graduatoria è di Livello A, giudiziaria prima che probabilistica, e su di essa il concorso dei dieci metodi non introduce dubbio ma conferma. Ai margini di questo piano permangono, a grado inferiore e fra il Livello B e il Livello C, le questioni aperte del numero esatto dei presenti a via Fani e dell'eventuale concorso di figure esterne al nucleo noto, che il giudizio registra come non chiuse.</w:t>
      </w:r>
    </w:p>
    <w:p>
      <w:pPr>
        <w:spacing w:after="120" w:line="276"/>
        <w:jc w:val="both"/>
      </w:pPr>
      <w:r>
        <w:rPr>
          <w:rFonts w:ascii="Barlow Semi Condensed" w:cs="Barlow Semi Condensed" w:eastAsia="Barlow Semi Condensed" w:hAnsi="Barlow Semi Condensed"/>
          <w:sz w:val="24"/>
          <w:szCs w:val="24"/>
        </w:rPr>
        <w:t xml:space="preserve">Al piano dei mandanti materiali, che il giudizio pesato colloca del pari al grado della certezza per la sua componente accertata, appartengono i membri del comitato esecutivo delle Brigate Rosse e i responsabili della colonna romana, che decisero l'operazione, la diressero e ne stabilirono l'epilogo mortale: la loro responsabilità è di Livello A, e la graduatoria li colloca immediatamente accanto agli esecutori, come i decisori dell'atto che quelli compirono. Accanto a questa certezza, e a grado nettamente inferiore, il giudizio pesato colloca l'ipotesi di condizionamenti esterni sull'esito, portati da apparati e figure di frontiera alcuni dei quali coinvolti nei depistaggi accertati: ma li colloca al livello dell'ipotesi, fra il Livello B e il Livello C, e vieta, per Regola Ferrea, di promuoverli da occultatori successivi a mandanti dell'esito, perché nessuna prova compie quel passaggio.</w:t>
      </w:r>
    </w:p>
    <w:p>
      <w:pPr>
        <w:spacing w:after="120" w:line="276"/>
        <w:jc w:val="both"/>
      </w:pPr>
      <w:r>
        <w:rPr>
          <w:rFonts w:ascii="Barlow Semi Condensed" w:cs="Barlow Semi Condensed" w:eastAsia="Barlow Semi Condensed" w:hAnsi="Barlow Semi Condensed"/>
          <w:sz w:val="24"/>
          <w:szCs w:val="24"/>
        </w:rPr>
        <w:t xml:space="preserve">Al piano degli architetti, il più profondo e il più incerto, il giudizio pesato colloca al primo posto, con certezza di Livello A, il nucleo strategico delle Brigate Rosse quale concepitore autonomo del disegno, e riconosce a esso la paternità dell'ideazione, contro ogni tentazione di dissolverla in una regia esterna. Al secondo posto, a grado di ipotesi e non di prova, colloca la costellazione dei portatori dell'interesse esterno internazionale, quello sfondo di ostilità convergenti e non concertate che, senza ideare il sequestro, ne rappresentò la cornice di convenienza: e li colloca al Livello C, come possibilità sorretta dal contesto e non dalla prova, con la ferma avvertenza che la loro forma forte, quella del burattinaio unico, è la meno probabile di tutte e va respinta. La graduatoria degli architetti si chiude così su una certezza e su un'ombra: la certezza della paternità brigatista, l'ombra di una convergenza esterna che resta, allo stato delle evidenze, un'ipotesi rispettosamente formulata e onestamente non provata.</w:t>
      </w:r>
    </w:p>
    <w:p>
      <w:pPr>
        <w:pStyle w:val="Heading3"/>
        <w:spacing w:after="80" w:before="160"/>
      </w:pPr>
      <w:r>
        <w:rPr>
          <w:rFonts w:ascii="Barlow Semi Condensed" w:cs="Barlow Semi Condensed" w:eastAsia="Barlow Semi Condensed" w:hAnsi="Barlow Semi Condensed"/>
          <w:sz w:val="24"/>
          <w:szCs w:val="24"/>
        </w:rPr>
        <w:t xml:space="preserve">Congedo dell'autore artificiale</w:t>
      </w:r>
    </w:p>
    <w:p>
      <w:pPr>
        <w:spacing w:after="120" w:line="276"/>
        <w:jc w:val="both"/>
      </w:pPr>
      <w:r>
        <w:rPr>
          <w:rFonts w:ascii="Barlow Semi Condensed" w:cs="Barlow Semi Condensed" w:eastAsia="Barlow Semi Condensed" w:hAnsi="Barlow Semi Condensed"/>
          <w:sz w:val="24"/>
          <w:szCs w:val="24"/>
        </w:rPr>
        <w:t xml:space="preserve">Qui l'opera si arresta, avendo compiuto ciò che le era stato ordinato: ricostruire con prudenza scientifica la vita e il caso, e poi, mutato lo strumento, pesare con metodo probabilistico gli architetti, i mandanti e gli esecutori, ordinandone i nomi secondo plausibilità e non secondo colpa. Ha tenuto ferma, in entrambe le parti, la distinzione fra il certo e il probabile e il possibile; ha rispettato la presunzione di innocenza di ogni persona; ha vietato a sé stessa il salto dall'occultamento al mandato; ha dichiarato la ricetta del proprio giudizio. Ciò che resta di non detto non è reticenza ma onestà: là dove le evidenze non giungono, non giunge l'affermazione, e l'ombra è lasciata ombra perché tale la verità, allo stato, la consegna.</w:t>
      </w:r>
    </w:p>
    <w:p>
      <w:pPr>
        <w:spacing w:after="120" w:line="276"/>
        <w:jc w:val="both"/>
      </w:pPr>
      <w:r>
        <w:rPr>
          <w:rFonts w:ascii="Barlow Semi Condensed" w:cs="Barlow Semi Condensed" w:eastAsia="Barlow Semi Condensed" w:hAnsi="Barlow Semi Condensed"/>
          <w:sz w:val="24"/>
          <w:szCs w:val="24"/>
        </w:rPr>
        <w:t xml:space="preserve">Che questa sia opera di un'intelligenza artificiale, generata su comando e responsabilità di un autore umano, non ne diminuisce né ne aggrava il valore: lo colloca, semplicemente, per ciò che è, un aggregatore di fonti e un calcolatore di probabilità posto al servizio di una domanda antica e non ancora del tutto risolta. Ad Aldo Moro, all'uomo mite che credette nell'inclusione e ne pagò il prezzo, e ai cinque uomini della sua scorta che con lui caddero, questa ricostruzione è offerta con il rispetto che si deve alle vittime e alla verità, nella convinzione che cercarla, anche quando non la si raggiunge tutta, sia già una forma di giustizia.</w:t>
      </w:r>
    </w:p>
    <w:p>
      <w:pPr>
        <w:pStyle w:val="Heading2"/>
        <w:spacing w:after="100" w:before="200"/>
      </w:pPr>
      <w:r>
        <w:rPr>
          <w:rFonts w:ascii="Barlow Semi Condensed" w:cs="Barlow Semi Condensed" w:eastAsia="Barlow Semi Condensed" w:hAnsi="Barlow Semi Condensed"/>
          <w:sz w:val="24"/>
          <w:szCs w:val="24"/>
        </w:rPr>
        <w:t xml:space="preserve">BIBLIOGRAFIA E NOTE DI RIFERIMENTO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Fonti strutturate per sezioni tematiche, in ordine alfabetico e numerate</w:t>
      </w:r>
    </w:p>
    <w:p>
      <w:pPr>
        <w:spacing w:after="120" w:line="276"/>
        <w:jc w:val="both"/>
      </w:pPr>
      <w:r>
        <w:rPr>
          <w:rFonts w:ascii="Barlow Semi Condensed" w:cs="Barlow Semi Condensed" w:eastAsia="Barlow Semi Condensed" w:hAnsi="Barlow Semi Condensed"/>
          <w:sz w:val="24"/>
          <w:szCs w:val="24"/>
        </w:rPr>
        <w:t xml:space="preserve">La presente bibliografia è ordinata per sezioni tematiche; all'interno di ciascuna sezione le voci seguono l'ordine alfabetico e sono numerate progressivamente. La prima sezione, dedicata agli archivi, gode di priorità assoluta e raccoglie i fondi ai quali si è avuto accesso o ai quali è fortemente consigliato accedere; ove disponibile, ogni voce reca il collegamento ipertestuale attivo. I collegamenti rinviano a risorse istituzionali e documentali pubbliche; la loro persistenza nel tempo non può essere garantita e dipende dagli enti che le ospitano.</w:t>
      </w:r>
    </w:p>
    <w:p>
      <w:pPr>
        <w:pStyle w:val="Heading3"/>
        <w:spacing w:after="80" w:before="160"/>
      </w:pPr>
      <w:r>
        <w:rPr>
          <w:rFonts w:ascii="Barlow Semi Condensed" w:cs="Barlow Semi Condensed" w:eastAsia="Barlow Semi Condensed" w:hAnsi="Barlow Semi Condensed"/>
          <w:sz w:val="24"/>
          <w:szCs w:val="24"/>
        </w:rPr>
        <w:t xml:space="preserve">I. Archivi e fondi documentali (priorità assoluta)</w:t>
      </w:r>
    </w:p>
    <w:p>
      <w:pPr>
        <w:spacing w:after="40"/>
        <w:ind w:left="360"/>
        <w:jc w:val="both"/>
      </w:pPr>
      <w:r>
        <w:rPr>
          <w:rFonts w:ascii="Barlow Semi Condensed" w:cs="Barlow Semi Condensed" w:eastAsia="Barlow Semi Condensed" w:hAnsi="Barlow Semi Condensed"/>
          <w:sz w:val="24"/>
          <w:szCs w:val="24"/>
        </w:rPr>
        <w:t xml:space="preserve">1. Archivio Centrale dello Stato — Sala delle Raccolte Speciali, documentazione desecretata (Direttiva Renzi 2014). https://acs.cultura.gov.it/modalita-di-accesso-e-regolamento/sala-delle-raccolte-speciali-documentazione-desecretata/direttiva-renzi-2014/</w:t>
      </w:r>
    </w:p>
    <w:p>
      <w:pPr>
        <w:spacing w:after="40"/>
        <w:ind w:left="360"/>
        <w:jc w:val="both"/>
      </w:pPr>
      <w:r>
        <w:rPr>
          <w:rFonts w:ascii="Barlow Semi Condensed" w:cs="Barlow Semi Condensed" w:eastAsia="Barlow Semi Condensed" w:hAnsi="Barlow Semi Condensed"/>
          <w:sz w:val="24"/>
          <w:szCs w:val="24"/>
        </w:rPr>
        <w:t xml:space="preserve">2. Archivio Centrale dello Stato — Sala delle Raccolte Speciali, documentazione desecretata (Direttiva Draghi 2021). https://acs.cultura.gov.it/modalita-di-accesso-e-regolamento/sala-delle-raccolte-speciali-documentazione-desecretata/direttiva-draghi-2021/</w:t>
      </w:r>
    </w:p>
    <w:p>
      <w:pPr>
        <w:spacing w:after="40"/>
        <w:ind w:left="360"/>
        <w:jc w:val="both"/>
      </w:pPr>
      <w:r>
        <w:rPr>
          <w:rFonts w:ascii="Barlow Semi Condensed" w:cs="Barlow Semi Condensed" w:eastAsia="Barlow Semi Condensed" w:hAnsi="Barlow Semi Condensed"/>
          <w:sz w:val="24"/>
          <w:szCs w:val="24"/>
        </w:rPr>
        <w:t xml:space="preserve">3. Archivio Flamigni — Piattaforma A4View, scheda entità: fondo su terrorismo, stragi ed eversione (consultazione delle entità documentali). https://a4view.archivioflamigni.org/</w:t>
      </w:r>
    </w:p>
    <w:p>
      <w:pPr>
        <w:spacing w:after="40"/>
        <w:ind w:left="360"/>
        <w:jc w:val="both"/>
      </w:pPr>
      <w:r>
        <w:rPr>
          <w:rFonts w:ascii="Barlow Semi Condensed" w:cs="Barlow Semi Condensed" w:eastAsia="Barlow Semi Condensed" w:hAnsi="Barlow Semi Condensed"/>
          <w:sz w:val="24"/>
          <w:szCs w:val="24"/>
        </w:rPr>
        <w:t xml:space="preserve">4. Camera dei Deputati — Portale storico e resoconti stenografici delle Commissioni d'inchiesta (accesso agli atti parlamentari). https://www.camera.it/</w:t>
      </w:r>
    </w:p>
    <w:p>
      <w:pPr>
        <w:spacing w:after="40"/>
        <w:ind w:left="360"/>
        <w:jc w:val="both"/>
      </w:pPr>
      <w:r>
        <w:rPr>
          <w:rFonts w:ascii="Barlow Semi Condensed" w:cs="Barlow Semi Condensed" w:eastAsia="Barlow Semi Condensed" w:hAnsi="Barlow Semi Condensed"/>
          <w:sz w:val="24"/>
          <w:szCs w:val="24"/>
        </w:rPr>
        <w:t xml:space="preserve">5. Camera dei Deputati — Resoconti stenografici delle Commissioni, audizioni (banca dati documenti). https://documenti.camera.it/</w:t>
      </w:r>
    </w:p>
    <w:p>
      <w:pPr>
        <w:spacing w:after="40"/>
        <w:ind w:left="360"/>
        <w:jc w:val="both"/>
      </w:pPr>
      <w:r>
        <w:rPr>
          <w:rFonts w:ascii="Barlow Semi Condensed" w:cs="Barlow Semi Condensed" w:eastAsia="Barlow Semi Condensed" w:hAnsi="Barlow Semi Condensed"/>
          <w:sz w:val="24"/>
          <w:szCs w:val="24"/>
        </w:rPr>
        <w:t xml:space="preserve">6. Ministero della Cultura — Portale «Memoria», risorsa pubblica sulla documentazione desecretata relativa a terrorismo, stragi ed eversione dell'ordine democratico. https://memoria.cultura.gov.it/</w:t>
      </w:r>
    </w:p>
    <w:p>
      <w:pPr>
        <w:spacing w:after="40"/>
        <w:ind w:left="360"/>
        <w:jc w:val="both"/>
      </w:pPr>
      <w:r>
        <w:rPr>
          <w:rFonts w:ascii="Barlow Semi Condensed" w:cs="Barlow Semi Condensed" w:eastAsia="Barlow Semi Condensed" w:hAnsi="Barlow Semi Condensed"/>
          <w:sz w:val="24"/>
          <w:szCs w:val="24"/>
        </w:rPr>
        <w:t xml:space="preserve">7. Parlamento Italiano — Commissioni bicamerali d'inchiesta, resoconti stenografici (fondo terrorismo e stragi). https://www.parlamento.it/</w:t>
      </w:r>
    </w:p>
    <w:p>
      <w:pPr>
        <w:spacing w:after="40"/>
        <w:ind w:left="360"/>
        <w:jc w:val="both"/>
      </w:pPr>
      <w:r>
        <w:rPr>
          <w:rFonts w:ascii="Barlow Semi Condensed" w:cs="Barlow Semi Condensed" w:eastAsia="Barlow Semi Condensed" w:hAnsi="Barlow Semi Condensed"/>
          <w:sz w:val="24"/>
          <w:szCs w:val="24"/>
        </w:rPr>
        <w:t xml:space="preserve">8. Senato della Repubblica — Servizio documentazione, atti e documenti delle Commissioni d'inchiesta (banca dati PDF). https://www.senato.it/</w:t>
      </w:r>
    </w:p>
    <w:p>
      <w:pPr>
        <w:pStyle w:val="Heading3"/>
        <w:spacing w:after="80" w:before="160"/>
      </w:pPr>
      <w:r>
        <w:rPr>
          <w:rFonts w:ascii="Barlow Semi Condensed" w:cs="Barlow Semi Condensed" w:eastAsia="Barlow Semi Condensed" w:hAnsi="Barlow Semi Condensed"/>
          <w:sz w:val="24"/>
          <w:szCs w:val="24"/>
        </w:rPr>
        <w:t xml:space="preserve">II. Atti parlamentari e relazioni delle Commissioni d'inchiesta</w:t>
      </w:r>
    </w:p>
    <w:p>
      <w:pPr>
        <w:spacing w:after="40"/>
        <w:ind w:left="360"/>
        <w:jc w:val="both"/>
      </w:pPr>
      <w:r>
        <w:rPr>
          <w:rFonts w:ascii="Barlow Semi Condensed" w:cs="Barlow Semi Condensed" w:eastAsia="Barlow Semi Condensed" w:hAnsi="Barlow Semi Condensed"/>
          <w:sz w:val="24"/>
          <w:szCs w:val="24"/>
        </w:rPr>
        <w:t xml:space="preserve">9. Commissione parlamentare d'inchiesta sul rapimento e sulla morte di Aldo Moro — Relazione conclusiva e atti (XVII legislatura), consultabili presso i portali di Camera e Senato. https://www.parlamento.it/</w:t>
      </w:r>
    </w:p>
    <w:p>
      <w:pPr>
        <w:spacing w:after="40"/>
        <w:ind w:left="360"/>
        <w:jc w:val="both"/>
      </w:pPr>
      <w:r>
        <w:rPr>
          <w:rFonts w:ascii="Barlow Semi Condensed" w:cs="Barlow Semi Condensed" w:eastAsia="Barlow Semi Condensed" w:hAnsi="Barlow Semi Condensed"/>
          <w:sz w:val="24"/>
          <w:szCs w:val="24"/>
        </w:rPr>
        <w:t xml:space="preserve">10. Commissione parlamentare d'inchiesta sulla loggia massonica P2 (Commissione Anselmi) — Relazione conclusiva e allegati. https://www.senato.it/</w:t>
      </w:r>
    </w:p>
    <w:p>
      <w:pPr>
        <w:spacing w:after="40"/>
        <w:ind w:left="360"/>
        <w:jc w:val="both"/>
      </w:pPr>
      <w:r>
        <w:rPr>
          <w:rFonts w:ascii="Barlow Semi Condensed" w:cs="Barlow Semi Condensed" w:eastAsia="Barlow Semi Condensed" w:hAnsi="Barlow Semi Condensed"/>
          <w:sz w:val="24"/>
          <w:szCs w:val="24"/>
        </w:rPr>
        <w:t xml:space="preserve">11. Commissione parlamentare d'inchiesta sul terrorismo in Italia e sulle cause della mancata individuazione dei responsabili delle stragi (Commissione stragi) — Resoconti stenografici. https://www.parlamento.it/parlam/bicam/terror/stenografici/steno9.htm</w:t>
      </w:r>
    </w:p>
    <w:p>
      <w:pPr>
        <w:spacing w:after="40"/>
        <w:ind w:left="360"/>
        <w:jc w:val="both"/>
      </w:pPr>
      <w:r>
        <w:rPr>
          <w:rFonts w:ascii="Barlow Semi Condensed" w:cs="Barlow Semi Condensed" w:eastAsia="Barlow Semi Condensed" w:hAnsi="Barlow Semi Condensed"/>
          <w:sz w:val="24"/>
          <w:szCs w:val="24"/>
        </w:rPr>
        <w:t xml:space="preserve">12. Commissione parlamentare d'inchiesta sul terrorismo e sulle stragi — Ulteriori resoconti stenografici delle sedute. https://www.parlamento.it/parlam/bicam/terror/stenografici/steno25.htm</w:t>
      </w:r>
    </w:p>
    <w:p>
      <w:pPr>
        <w:spacing w:after="40"/>
        <w:ind w:left="360"/>
        <w:jc w:val="both"/>
      </w:pPr>
      <w:r>
        <w:rPr>
          <w:rFonts w:ascii="Barlow Semi Condensed" w:cs="Barlow Semi Condensed" w:eastAsia="Barlow Semi Condensed" w:hAnsi="Barlow Semi Condensed"/>
          <w:sz w:val="24"/>
          <w:szCs w:val="24"/>
        </w:rPr>
        <w:t xml:space="preserve">13. Commissione parlamentare d'inchiesta sul terrorismo e sulle stragi — Resoconti stenografici, seduta conclusiva del ciclo. https://www.parlamento.it/parlam/bicam/terror/stenografici/steno58.htm</w:t>
      </w:r>
    </w:p>
    <w:p>
      <w:pPr>
        <w:pStyle w:val="Heading3"/>
        <w:spacing w:after="80" w:before="160"/>
      </w:pPr>
      <w:r>
        <w:rPr>
          <w:rFonts w:ascii="Barlow Semi Condensed" w:cs="Barlow Semi Condensed" w:eastAsia="Barlow Semi Condensed" w:hAnsi="Barlow Semi Condensed"/>
          <w:sz w:val="24"/>
          <w:szCs w:val="24"/>
        </w:rPr>
        <w:t xml:space="preserve">III. Scritti e testimonianze di e su Aldo Moro</w:t>
      </w:r>
    </w:p>
    <w:p>
      <w:pPr>
        <w:spacing w:after="40"/>
        <w:ind w:left="360"/>
        <w:jc w:val="both"/>
      </w:pPr>
      <w:r>
        <w:rPr>
          <w:rFonts w:ascii="Barlow Semi Condensed" w:cs="Barlow Semi Condensed" w:eastAsia="Barlow Semi Condensed" w:hAnsi="Barlow Semi Condensed"/>
          <w:sz w:val="24"/>
          <w:szCs w:val="24"/>
        </w:rPr>
        <w:t xml:space="preserve">14. Moro, Aldo, «Le lettere dalla prigionia», edizione critica dei testi vergati durante il sequestro (raccolta e apparato).</w:t>
      </w:r>
    </w:p>
    <w:p>
      <w:pPr>
        <w:spacing w:after="40"/>
        <w:ind w:left="360"/>
        <w:jc w:val="both"/>
      </w:pPr>
      <w:r>
        <w:rPr>
          <w:rFonts w:ascii="Barlow Semi Condensed" w:cs="Barlow Semi Condensed" w:eastAsia="Barlow Semi Condensed" w:hAnsi="Barlow Semi Condensed"/>
          <w:sz w:val="24"/>
          <w:szCs w:val="24"/>
        </w:rPr>
        <w:t xml:space="preserve">15. Moro, Aldo, corpus integrale degli scritti e degli interventi 1932–1978, raccolta cronologica dei testi (dataset documentale del progetto di ricerca ENEIDE).</w:t>
      </w:r>
    </w:p>
    <w:p>
      <w:pPr>
        <w:pStyle w:val="Heading3"/>
        <w:spacing w:after="80" w:before="160"/>
      </w:pPr>
      <w:r>
        <w:rPr>
          <w:rFonts w:ascii="Barlow Semi Condensed" w:cs="Barlow Semi Condensed" w:eastAsia="Barlow Semi Condensed" w:hAnsi="Barlow Semi Condensed"/>
          <w:sz w:val="24"/>
          <w:szCs w:val="24"/>
        </w:rPr>
        <w:t xml:space="preserve">IV. Il sequestro, la prigionia e le indagini (fonti d'inchiesta e storiografiche)</w:t>
      </w:r>
    </w:p>
    <w:p>
      <w:pPr>
        <w:spacing w:after="40"/>
        <w:ind w:left="360"/>
        <w:jc w:val="both"/>
      </w:pPr>
      <w:r>
        <w:rPr>
          <w:rFonts w:ascii="Barlow Semi Condensed" w:cs="Barlow Semi Condensed" w:eastAsia="Barlow Semi Condensed" w:hAnsi="Barlow Semi Condensed"/>
          <w:sz w:val="24"/>
          <w:szCs w:val="24"/>
        </w:rPr>
        <w:t xml:space="preserve">16. Calogero, Pietro, Carlo Fumian e Michele Sartori, «Terrore rosso. Dall'autonomia al partito armato», Roma-Bari, Laterza, 2010.</w:t>
      </w:r>
    </w:p>
    <w:p>
      <w:pPr>
        <w:spacing w:after="40"/>
        <w:ind w:left="360"/>
        <w:jc w:val="both"/>
      </w:pPr>
      <w:r>
        <w:rPr>
          <w:rFonts w:ascii="Barlow Semi Condensed" w:cs="Barlow Semi Condensed" w:eastAsia="Barlow Semi Condensed" w:hAnsi="Barlow Semi Condensed"/>
          <w:sz w:val="24"/>
          <w:szCs w:val="24"/>
        </w:rPr>
        <w:t xml:space="preserve">17. De Prospo, Salvatore e Rosario Priore, «Chi manovrava le Brigate rosse? Storia e misteri dell'Hyperion di Parigi, scuola di lingue e centrale del terrorismo internazionale», Firenze, Ponte alle Grazie, 2011.</w:t>
      </w:r>
    </w:p>
    <w:p>
      <w:pPr>
        <w:spacing w:after="40"/>
        <w:ind w:left="360"/>
        <w:jc w:val="both"/>
      </w:pPr>
      <w:r>
        <w:rPr>
          <w:rFonts w:ascii="Barlow Semi Condensed" w:cs="Barlow Semi Condensed" w:eastAsia="Barlow Semi Condensed" w:hAnsi="Barlow Semi Condensed"/>
          <w:sz w:val="24"/>
          <w:szCs w:val="24"/>
        </w:rPr>
        <w:t xml:space="preserve">18. Relazione della Commissione parlamentare d'inchiesta sul sequestro e sull'assassinio di Aldo Moro — audizioni relative alla strage di via Fani, alle trattative e alla scuola di lingue Hypérion (atti). https://www.parlamento.it/</w:t>
      </w:r>
    </w:p>
    <w:p>
      <w:pPr>
        <w:pStyle w:val="Heading3"/>
        <w:spacing w:after="80" w:before="160"/>
      </w:pPr>
      <w:r>
        <w:rPr>
          <w:rFonts w:ascii="Barlow Semi Condensed" w:cs="Barlow Semi Condensed" w:eastAsia="Barlow Semi Condensed" w:hAnsi="Barlow Semi Condensed"/>
          <w:sz w:val="24"/>
          <w:szCs w:val="24"/>
        </w:rPr>
        <w:t xml:space="preserve">V. Metodologia: epistemologia, teoria delle reti e analisi probabilistica</w:t>
      </w:r>
    </w:p>
    <w:p>
      <w:pPr>
        <w:spacing w:after="40"/>
        <w:ind w:left="360"/>
        <w:jc w:val="both"/>
      </w:pPr>
      <w:r>
        <w:rPr>
          <w:rFonts w:ascii="Barlow Semi Condensed" w:cs="Barlow Semi Condensed" w:eastAsia="Barlow Semi Condensed" w:hAnsi="Barlow Semi Condensed"/>
          <w:sz w:val="24"/>
          <w:szCs w:val="24"/>
        </w:rPr>
        <w:t xml:space="preserve">19. Blondel, Vincent D., Jean-Loup Guillaume, Renaud Lambiotte e Etienne Lefebvre, «Fast unfolding of communities in large networks», Journal of Statistical Mechanics, 2008.</w:t>
      </w:r>
    </w:p>
    <w:p>
      <w:pPr>
        <w:spacing w:after="40"/>
        <w:ind w:left="360"/>
        <w:jc w:val="both"/>
      </w:pPr>
      <w:r>
        <w:rPr>
          <w:rFonts w:ascii="Barlow Semi Condensed" w:cs="Barlow Semi Condensed" w:eastAsia="Barlow Semi Condensed" w:hAnsi="Barlow Semi Condensed"/>
          <w:sz w:val="24"/>
          <w:szCs w:val="24"/>
        </w:rPr>
        <w:t xml:space="preserve">20. Burt, Ronald S., «Structural Holes: The Social Structure of Competition», Harvard University Press, 1992.</w:t>
      </w:r>
    </w:p>
    <w:p>
      <w:pPr>
        <w:spacing w:after="40"/>
        <w:ind w:left="360"/>
        <w:jc w:val="both"/>
      </w:pPr>
      <w:r>
        <w:rPr>
          <w:rFonts w:ascii="Barlow Semi Condensed" w:cs="Barlow Semi Condensed" w:eastAsia="Barlow Semi Condensed" w:hAnsi="Barlow Semi Condensed"/>
          <w:sz w:val="24"/>
          <w:szCs w:val="24"/>
        </w:rPr>
        <w:t xml:space="preserve">21. Catino, Maurizio, «Mafia Organizations: The Visible Hand of Criminal Enterprise», Cambridge University Press, 2019.</w:t>
      </w:r>
    </w:p>
    <w:p>
      <w:pPr>
        <w:spacing w:after="40"/>
        <w:ind w:left="360"/>
        <w:jc w:val="both"/>
      </w:pPr>
      <w:r>
        <w:rPr>
          <w:rFonts w:ascii="Barlow Semi Condensed" w:cs="Barlow Semi Condensed" w:eastAsia="Barlow Semi Condensed" w:hAnsi="Barlow Semi Condensed"/>
          <w:sz w:val="24"/>
          <w:szCs w:val="24"/>
        </w:rPr>
        <w:t xml:space="preserve">22. Freeman, Linton C., «Centrality in Social Networks: Conceptual Clarification», Social Networks, 1, 1978–1979.</w:t>
      </w:r>
    </w:p>
    <w:p>
      <w:pPr>
        <w:spacing w:after="40"/>
        <w:ind w:left="360"/>
        <w:jc w:val="both"/>
      </w:pPr>
      <w:r>
        <w:rPr>
          <w:rFonts w:ascii="Barlow Semi Condensed" w:cs="Barlow Semi Condensed" w:eastAsia="Barlow Semi Condensed" w:hAnsi="Barlow Semi Condensed"/>
          <w:sz w:val="24"/>
          <w:szCs w:val="24"/>
        </w:rPr>
        <w:t xml:space="preserve">23. Ginzburg, Carlo, «Spie: radici di un paradigma indiziario», in «Miti, emblemi, spie», Einaudi, 1986.</w:t>
      </w:r>
    </w:p>
    <w:p>
      <w:pPr>
        <w:spacing w:after="40"/>
        <w:ind w:left="360"/>
        <w:jc w:val="both"/>
      </w:pPr>
      <w:r>
        <w:rPr>
          <w:rFonts w:ascii="Barlow Semi Condensed" w:cs="Barlow Semi Condensed" w:eastAsia="Barlow Semi Condensed" w:hAnsi="Barlow Semi Condensed"/>
          <w:sz w:val="24"/>
          <w:szCs w:val="24"/>
        </w:rPr>
        <w:t xml:space="preserve">24. Heuer, Richards J. Jr., «Psychology of Intelligence Analysis», Center for the Study of Intelligence, CIA, 1999.</w:t>
      </w:r>
    </w:p>
    <w:p>
      <w:pPr>
        <w:spacing w:after="40"/>
        <w:ind w:left="360"/>
        <w:jc w:val="both"/>
      </w:pPr>
      <w:r>
        <w:rPr>
          <w:rFonts w:ascii="Barlow Semi Condensed" w:cs="Barlow Semi Condensed" w:eastAsia="Barlow Semi Condensed" w:hAnsi="Barlow Semi Condensed"/>
          <w:sz w:val="24"/>
          <w:szCs w:val="24"/>
        </w:rPr>
        <w:t xml:space="preserve">25. Kivelä, Mikko et al., «Multilayer networks», Journal of Complex Networks, 2, 2014.</w:t>
      </w:r>
    </w:p>
    <w:p>
      <w:pPr>
        <w:spacing w:after="40"/>
        <w:ind w:left="360"/>
        <w:jc w:val="both"/>
      </w:pPr>
      <w:r>
        <w:rPr>
          <w:rFonts w:ascii="Barlow Semi Condensed" w:cs="Barlow Semi Condensed" w:eastAsia="Barlow Semi Condensed" w:hAnsi="Barlow Semi Condensed"/>
          <w:sz w:val="24"/>
          <w:szCs w:val="24"/>
        </w:rPr>
        <w:t xml:space="preserve">26. Luhmann, Niklas, «Soziale Systeme», Suhrkamp, 1984 (trad. it. «Sistemi sociali», 1990).</w:t>
      </w:r>
    </w:p>
    <w:p>
      <w:pPr>
        <w:spacing w:after="40"/>
        <w:ind w:left="360"/>
        <w:jc w:val="both"/>
      </w:pPr>
      <w:r>
        <w:rPr>
          <w:rFonts w:ascii="Barlow Semi Condensed" w:cs="Barlow Semi Condensed" w:eastAsia="Barlow Semi Condensed" w:hAnsi="Barlow Semi Condensed"/>
          <w:sz w:val="24"/>
          <w:szCs w:val="24"/>
        </w:rPr>
        <w:t xml:space="preserve">27. Newman, Mark, «Networks: An Introduction», Oxford University Press, 2010.</w:t>
      </w:r>
    </w:p>
    <w:p>
      <w:pPr>
        <w:spacing w:after="40"/>
        <w:ind w:left="360"/>
        <w:jc w:val="both"/>
      </w:pPr>
      <w:r>
        <w:rPr>
          <w:rFonts w:ascii="Barlow Semi Condensed" w:cs="Barlow Semi Condensed" w:eastAsia="Barlow Semi Condensed" w:hAnsi="Barlow Semi Condensed"/>
          <w:sz w:val="24"/>
          <w:szCs w:val="24"/>
        </w:rPr>
        <w:t xml:space="preserve">28. Popper, Karl R., «Logik der Forschung», Springer, 1934 («The Logic of Scientific Discovery», 1959).</w:t>
      </w:r>
    </w:p>
    <w:p>
      <w:pPr>
        <w:spacing w:after="40"/>
        <w:ind w:left="360"/>
        <w:jc w:val="both"/>
      </w:pPr>
      <w:r>
        <w:rPr>
          <w:rFonts w:ascii="Barlow Semi Condensed" w:cs="Barlow Semi Condensed" w:eastAsia="Barlow Semi Condensed" w:hAnsi="Barlow Semi Condensed"/>
          <w:sz w:val="24"/>
          <w:szCs w:val="24"/>
        </w:rPr>
        <w:t xml:space="preserve">29. Russell, Bertrand, «The Problems of Philosophy», Williams and Norgate, 1912.</w:t>
      </w:r>
    </w:p>
    <w:p>
      <w:pPr>
        <w:spacing w:after="40"/>
        <w:ind w:left="360"/>
        <w:jc w:val="both"/>
      </w:pPr>
      <w:r>
        <w:rPr>
          <w:rFonts w:ascii="Barlow Semi Condensed" w:cs="Barlow Semi Condensed" w:eastAsia="Barlow Semi Condensed" w:hAnsi="Barlow Semi Condensed"/>
          <w:sz w:val="24"/>
          <w:szCs w:val="24"/>
        </w:rPr>
        <w:t xml:space="preserve">30. Savona, Ernesto U. (a cura di), «European Money Trails», Harwood Academic Publishers, 1999.</w:t>
      </w:r>
    </w:p>
    <w:p>
      <w:pPr>
        <w:spacing w:after="40"/>
        <w:ind w:left="360"/>
        <w:jc w:val="both"/>
      </w:pPr>
      <w:r>
        <w:rPr>
          <w:rFonts w:ascii="Barlow Semi Condensed" w:cs="Barlow Semi Condensed" w:eastAsia="Barlow Semi Condensed" w:hAnsi="Barlow Semi Condensed"/>
          <w:sz w:val="24"/>
          <w:szCs w:val="24"/>
        </w:rPr>
        <w:t xml:space="preserve">31. Wasserman, Stanley e Katherine Faust, «Social Network Analysis: Methods and Applications», Cambridge University Press, 1994.</w:t>
      </w:r>
    </w:p>
    <w:p>
      <w:pPr>
        <w:spacing w:after="40"/>
        <w:ind w:left="360"/>
        <w:jc w:val="both"/>
      </w:pPr>
      <w:r>
        <w:rPr>
          <w:rFonts w:ascii="Barlow Semi Condensed" w:cs="Barlow Semi Condensed" w:eastAsia="Barlow Semi Condensed" w:hAnsi="Barlow Semi Condensed"/>
          <w:sz w:val="24"/>
          <w:szCs w:val="24"/>
        </w:rPr>
        <w:t xml:space="preserve">32. Whewell, William, «The Philosophy of the Inductive Sciences», Parker, 1840.</w:t>
      </w:r>
    </w:p>
    <w:p>
      <w:pPr>
        <w:spacing w:after="40"/>
        <w:ind w:left="360"/>
        <w:jc w:val="both"/>
      </w:pPr>
      <w:r>
        <w:rPr>
          <w:rFonts w:ascii="Barlow Semi Condensed" w:cs="Barlow Semi Condensed" w:eastAsia="Barlow Semi Condensed" w:hAnsi="Barlow Semi Condensed"/>
          <w:sz w:val="24"/>
          <w:szCs w:val="24"/>
        </w:rPr>
        <w:t xml:space="preserve">33. Wilson, Edward O., «Consilience: The Unity of Knowledge», Alfred A. Knopf, 1998.</w:t>
      </w:r>
    </w:p>
    <w:p>
      <w:pPr>
        <w:pStyle w:val="Heading3"/>
        <w:spacing w:after="80" w:before="160"/>
      </w:pPr>
      <w:r>
        <w:rPr>
          <w:rFonts w:ascii="Barlow Semi Condensed" w:cs="Barlow Semi Condensed" w:eastAsia="Barlow Semi Condensed" w:hAnsi="Barlow Semi Condensed"/>
          <w:sz w:val="24"/>
          <w:szCs w:val="24"/>
        </w:rPr>
        <w:t xml:space="preserve">VI. Contesto: intelligence, eversione e reti internazionali</w:t>
      </w:r>
    </w:p>
    <w:p>
      <w:pPr>
        <w:spacing w:after="40"/>
        <w:ind w:left="360"/>
        <w:jc w:val="both"/>
      </w:pPr>
      <w:r>
        <w:rPr>
          <w:rFonts w:ascii="Barlow Semi Condensed" w:cs="Barlow Semi Condensed" w:eastAsia="Barlow Semi Condensed" w:hAnsi="Barlow Semi Condensed"/>
          <w:sz w:val="24"/>
          <w:szCs w:val="24"/>
        </w:rPr>
        <w:t xml:space="preserve">34. Agenzia Informazioni e Sicurezza Interna — «Gnosis», rivista italiana di intelligence, archivio degli articoli (risorsa istituzionale). https://gnosis.aisi.gov.it/</w:t>
      </w:r>
    </w:p>
    <w:p>
      <w:pPr>
        <w:spacing w:after="40"/>
        <w:ind w:left="360"/>
        <w:jc w:val="both"/>
      </w:pPr>
      <w:r>
        <w:rPr>
          <w:rFonts w:ascii="Barlow Semi Condensed" w:cs="Barlow Semi Condensed" w:eastAsia="Barlow Semi Condensed" w:hAnsi="Barlow Semi Condensed"/>
          <w:sz w:val="24"/>
          <w:szCs w:val="24"/>
        </w:rPr>
        <w:t xml:space="preserve">35. Fondazione Luigi Micheletti — «Studi Bresciani», studi sul terrorismo e sull'eversione (biblioteca digitale). https://www.fondazionemicheletti.eu/</w:t>
      </w:r>
    </w:p>
    <w:p>
      <w:pPr>
        <w:spacing w:after="40"/>
        <w:ind w:left="360"/>
        <w:jc w:val="both"/>
      </w:pPr>
      <w:r>
        <w:rPr>
          <w:rFonts w:ascii="Barlow Semi Condensed" w:cs="Barlow Semi Condensed" w:eastAsia="Barlow Semi Condensed" w:hAnsi="Barlow Semi Condensed"/>
          <w:sz w:val="24"/>
          <w:szCs w:val="24"/>
        </w:rPr>
        <w:t xml:space="preserve">36. Ministero della Cultura — Portale «Memoria», scheda documentale sul tentato golpe Borghese (risorsa pubblica). https://memoria.cultura.gov.it/it/w/il-tentato-golpe-borghese</w:t>
      </w:r>
    </w:p>
    <w:p>
      <w:pPr>
        <w:spacing w:after="120" w:line="276"/>
        <w:jc w:val="both"/>
      </w:pPr>
      <w:r>
        <w:rPr>
          <w:rFonts w:ascii="Barlow Semi Condensed" w:cs="Barlow Semi Condensed" w:eastAsia="Barlow Semi Condensed" w:hAnsi="Barlow Semi Condensed"/>
          <w:sz w:val="24"/>
          <w:szCs w:val="24"/>
        </w:rPr>
        <w:t xml:space="preserve">Nota sulle fonti e sul metodo di citazione. Le voci prive di collegamento ipertestuale rinviano a opere a stampa o a fondi documentali consultabili presso gli enti indicati nella sezione degli archivi. Per le fonti giudiziarie — sentenze e atti processuali relativi al sequestro e all'omicidio di Aldo Moro — si rinvia agli originali depositati presso le cancellerie competenti e, ove desecretati, ai fondi dell'Archivio Centrale dello Stato citati nella prima sezione. La distinzione dei livelli probatori adottata nel testo — accertato, indiziario, ipotetico — si fonda sulla natura e sul numero delle fonti a sostegno di ciascuna affermazione, secondo lo standard di triangolazione dichiarato nella parte metodologica.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«Siamo libri aperti all'ultima pagina»</w:t>
      </w:r>
    </w:p>
    <w:p>
      <w:pPr>
        <w:pStyle w:val="Heading3"/>
        <w:spacing w:after="80" w:before="240"/>
      </w:pPr>
      <w:r>
        <w:rPr>
          <w:rFonts w:ascii="Barlow Semi Condensed" w:cs="Barlow Semi Condensed" w:eastAsia="Barlow Semi Condensed" w:hAnsi="Barlow Semi Condensed"/>
          <w:sz w:val="24"/>
          <w:szCs w:val="24"/>
        </w:rPr>
        <w:t xml:space="preserve">Apparato grafico — Libro quarto · Il Dossier maggiore: «Una Pace senza Pace · Tutta la verit</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quarto: 255.035 parole in 9 sezioni; la più ampia è §5 FASE IV, con 74.174.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quarto: 17 indirizzi di fonte citati, addensati in 1 sezione su 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composizione quantificata degli elenchi: 962 nominativi, di cui 44 parlamentari e 3 ministri in carica. Le categorie senza cifra non sono rappresentate.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Tre anni e un giorno separano via Fani dal sequestro degli elenchi: la finestra dei 55 giorni non è documentabile con una lista del 1981.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finestra dei sei mesi, misurata: la documentazione si addensa sui 55 giorni e si dirada prima e dopo. Novembre 1978 non ha una sola data.</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quinto — Il vettore e il ceppo — I. Feltrinelli, il vettore</w:t>
      </w:r>
    </w:p>
    <w:p>
      <w:pPr>
        <w:pStyle w:val="Heading1"/>
        <w:spacing w:after="120" w:before="240"/>
      </w:pPr>
      <w:r>
        <w:rPr>
          <w:rFonts w:ascii="Barlow Semi Condensed" w:cs="Barlow Semi Condensed" w:eastAsia="Barlow Semi Condensed" w:hAnsi="Barlow Semi Condensed"/>
          <w:sz w:val="24"/>
          <w:szCs w:val="24"/>
        </w:rPr>
        <w:t xml:space="preserve">Giangiacomo Feltrinelli: il vettore del mito (1926-1972)</w:t>
      </w:r>
    </w:p>
    <w:p>
      <w:pPr>
        <w:spacing w:after="120" w:line="276"/>
        <w:jc w:val="both"/>
      </w:pPr>
      <w:r>
        <w:rPr>
          <w:rFonts w:ascii="Barlow Semi Condensed" w:cs="Barlow Semi Condensed" w:eastAsia="Barlow Semi Condensed" w:hAnsi="Barlow Semi Condensed"/>
          <w:i/>
          <w:iCs/>
          <w:sz w:val="24"/>
          <w:szCs w:val="24"/>
        </w:rPr>
        <w:t xml:space="preserve">Studio monografico — 24 agosto 2026 · Nuovo fronte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disciplina.</w:t>
      </w:r>
      <w:r>
        <w:rPr>
          <w:rFonts w:ascii="Barlow Semi Condensed" w:cs="Barlow Semi Condensed" w:eastAsia="Barlow Semi Condensed" w:hAnsi="Barlow Semi Condensed"/>
          <w:i w:val="false"/>
          <w:iCs w:val="false"/>
          <w:sz w:val="24"/>
          <w:szCs w:val="24"/>
        </w:rPr>
        <w:t xml:space="preserve"> Questo studio apre un nuovo fronte documentato del corpus: la biografia di </w:t>
      </w:r>
      <w:r>
        <w:rPr>
          <w:rFonts w:ascii="Barlow Semi Condensed" w:cs="Barlow Semi Condensed" w:eastAsia="Barlow Semi Condensed" w:hAnsi="Barlow Semi Condensed"/>
          <w:b/>
          <w:bCs/>
          <w:i w:val="false"/>
          <w:iCs w:val="false"/>
          <w:sz w:val="24"/>
          <w:szCs w:val="24"/>
        </w:rPr>
        <w:t xml:space="preserve">Giangiacomo Feltrinelli</w:t>
      </w:r>
      <w:r>
        <w:rPr>
          <w:rFonts w:ascii="Barlow Semi Condensed" w:cs="Barlow Semi Condensed" w:eastAsia="Barlow Semi Condensed" w:hAnsi="Barlow Semi Condensed"/>
          <w:i w:val="false"/>
          <w:iCs w:val="false"/>
          <w:sz w:val="24"/>
          <w:szCs w:val="24"/>
        </w:rPr>
        <w:t xml:space="preserve">, l'uomo che il corpus aveva già nominato come il </w:t>
      </w:r>
      <w:r>
        <w:rPr>
          <w:rFonts w:ascii="Barlow Semi Condensed" w:cs="Barlow Semi Condensed" w:eastAsia="Barlow Semi Condensed" w:hAnsi="Barlow Semi Condensed"/>
          <w:i w:val="false"/>
          <w:iCs w:val="false"/>
          <w:sz w:val="24"/>
          <w:szCs w:val="24"/>
        </w:rPr>
        <w:t xml:space="preserve">vettore</w:t>
      </w:r>
      <w:r>
        <w:rPr>
          <w:rFonts w:ascii="Barlow Semi Condensed" w:cs="Barlow Semi Condensed" w:eastAsia="Barlow Semi Condensed" w:hAnsi="Barlow Semi Condensed"/>
          <w:i w:val="false"/>
          <w:iCs w:val="false"/>
          <w:sz w:val="24"/>
          <w:szCs w:val="24"/>
        </w:rPr>
        <w:t xml:space="preserve"> del mito del Che ma non aveva mai trattato per sé. È l'anello che lega la parabola guevariana alla lotta armata italiana, e merita d'essere ricostruito con esattezza — perché, come tutti gli anelli, tende a farsi dire più di quanto dica. Vale qui la Regola di Ferro dell'intero lavoro: </w:t>
      </w:r>
      <w:r>
        <w:rPr>
          <w:rFonts w:ascii="Barlow Semi Condensed" w:cs="Barlow Semi Condensed" w:eastAsia="Barlow Semi Condensed" w:hAnsi="Barlow Semi Condensed"/>
          <w:b/>
          <w:bCs/>
          <w:i w:val="false"/>
          <w:iCs w:val="false"/>
          <w:sz w:val="24"/>
          <w:szCs w:val="24"/>
        </w:rPr>
        <w:t xml:space="preserve">dove la fonte documenta, si certifica; dove tace, si tace.</w:t>
      </w:r>
      <w:r>
        <w:rPr>
          <w:rFonts w:ascii="Barlow Semi Condensed" w:cs="Barlow Semi Condensed" w:eastAsia="Barlow Semi Condensed" w:hAnsi="Barlow Semi Condensed"/>
          <w:i w:val="false"/>
          <w:iCs w:val="false"/>
          <w:sz w:val="24"/>
          <w:szCs w:val="24"/>
        </w:rPr>
        <w:t xml:space="preserve"> Le tre categorie di prova — documentato / convergenza / congettura — sono tenute distinte fino in fondo. Nessuna persona è nominata come responsabile al di là del giudicato. Sulla morte a Segrate, in particolare, si distingue con cura la ricostruzione giudiziaria dai sospetti mai provati.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L'erede: la ricchezza come premessa (1926-1947)</w:t>
      </w:r>
    </w:p>
    <w:p>
      <w:pPr>
        <w:spacing w:after="120" w:line="276"/>
        <w:jc w:val="both"/>
      </w:pPr>
      <w:r>
        <w:rPr>
          <w:rFonts w:ascii="Barlow Semi Condensed" w:cs="Barlow Semi Condensed" w:eastAsia="Barlow Semi Condensed" w:hAnsi="Barlow Semi Condensed"/>
          <w:sz w:val="24"/>
          <w:szCs w:val="24"/>
        </w:rPr>
        <w:t xml:space="preserve">Giangiacomo Feltrinelli nacque a </w:t>
      </w:r>
      <w:r>
        <w:rPr>
          <w:rFonts w:ascii="Barlow Semi Condensed" w:cs="Barlow Semi Condensed" w:eastAsia="Barlow Semi Condensed" w:hAnsi="Barlow Semi Condensed"/>
          <w:b/>
          <w:bCs/>
          <w:sz w:val="24"/>
          <w:szCs w:val="24"/>
        </w:rPr>
        <w:t xml:space="preserve">Milano il 19 giugno 1926</w:t>
      </w:r>
      <w:r>
        <w:rPr>
          <w:rFonts w:ascii="Barlow Semi Condensed" w:cs="Barlow Semi Condensed" w:eastAsia="Barlow Semi Condensed" w:hAnsi="Barlow Semi Condensed"/>
          <w:sz w:val="24"/>
          <w:szCs w:val="24"/>
        </w:rPr>
        <w:t xml:space="preserve">, in una delle più grandi fortune d'Italia. I Feltrinelli avevano fatto i loro soldi fornendo </w:t>
      </w:r>
      <w:r>
        <w:rPr>
          <w:rFonts w:ascii="Barlow Semi Condensed" w:cs="Barlow Semi Condensed" w:eastAsia="Barlow Semi Condensed" w:hAnsi="Barlow Semi Condensed"/>
          <w:b/>
          <w:bCs/>
          <w:sz w:val="24"/>
          <w:szCs w:val="24"/>
        </w:rPr>
        <w:t xml:space="preserve">legname</w:t>
      </w:r>
      <w:r>
        <w:rPr>
          <w:rFonts w:ascii="Barlow Semi Condensed" w:cs="Barlow Semi Condensed" w:eastAsia="Barlow Semi Condensed" w:hAnsi="Barlow Semi Condensed"/>
          <w:sz w:val="24"/>
          <w:szCs w:val="24"/>
        </w:rPr>
        <w:t xml:space="preserve"> all'edilizia, per poi entrare nella </w:t>
      </w:r>
      <w:r>
        <w:rPr>
          <w:rFonts w:ascii="Barlow Semi Condensed" w:cs="Barlow Semi Condensed" w:eastAsia="Barlow Semi Condensed" w:hAnsi="Barlow Semi Condensed"/>
          <w:b/>
          <w:bCs/>
          <w:sz w:val="24"/>
          <w:szCs w:val="24"/>
        </w:rPr>
        <w:t xml:space="preserve">banca</w:t>
      </w:r>
      <w:r>
        <w:rPr>
          <w:rFonts w:ascii="Barlow Semi Condensed" w:cs="Barlow Semi Condensed" w:eastAsia="Barlow Semi Condensed" w:hAnsi="Barlow Semi Condensed"/>
          <w:sz w:val="24"/>
          <w:szCs w:val="24"/>
        </w:rPr>
        <w:t xml:space="preserve">: il padre, Carlo, controllava un impero che toccava il Credito Italiano, la Edison e la Legnami Feltrinelli, con vasti possedimenti forestali nell'Europa centrale (LRB, John Foot (https://www.lrb.co.uk/the-paper/v24/n03/john-foot/no.-1-scapegoat); Wikipedia EN (https://en.wikipedia.org/wiki/Giangiacomo_Feltrinelli)). Alla morte del padre, il giovane Giangiacomo </w:t>
      </w:r>
      <w:r>
        <w:rPr>
          <w:rFonts w:ascii="Barlow Semi Condensed" w:cs="Barlow Semi Condensed" w:eastAsia="Barlow Semi Condensed" w:hAnsi="Barlow Semi Condensed"/>
          <w:b/>
          <w:bCs/>
          <w:sz w:val="24"/>
          <w:szCs w:val="24"/>
        </w:rPr>
        <w:t xml:space="preserve">ereditò nel 1947 la parte maggiore</w:t>
      </w:r>
      <w:r>
        <w:rPr>
          <w:rFonts w:ascii="Barlow Semi Condensed" w:cs="Barlow Semi Condensed" w:eastAsia="Barlow Semi Condensed" w:hAnsi="Barlow Semi Condensed"/>
          <w:sz w:val="24"/>
          <w:szCs w:val="24"/>
        </w:rPr>
        <w:t xml:space="preserve"> di quel patrimonio.</w:t>
      </w:r>
    </w:p>
    <w:p>
      <w:pPr>
        <w:spacing w:after="120" w:line="276"/>
        <w:jc w:val="both"/>
      </w:pPr>
      <w:r>
        <w:rPr>
          <w:rFonts w:ascii="Barlow Semi Condensed" w:cs="Barlow Semi Condensed" w:eastAsia="Barlow Semi Condensed" w:hAnsi="Barlow Semi Condensed"/>
          <w:sz w:val="24"/>
          <w:szCs w:val="24"/>
        </w:rPr>
        <w:t xml:space="preserve">Qui sta la prima chiave della sua figura, e va enunciata senza ironia perché è il cardine di tutto: fu un </w:t>
      </w:r>
      <w:r>
        <w:rPr>
          <w:rFonts w:ascii="Barlow Semi Condensed" w:cs="Barlow Semi Condensed" w:eastAsia="Barlow Semi Condensed" w:hAnsi="Barlow Semi Condensed"/>
          <w:b/>
          <w:bCs/>
          <w:sz w:val="24"/>
          <w:szCs w:val="24"/>
        </w:rPr>
        <w:t xml:space="preserve">rivoluzionario ricchissimo</w:t>
      </w:r>
      <w:r>
        <w:rPr>
          <w:rFonts w:ascii="Barlow Semi Condensed" w:cs="Barlow Semi Condensed" w:eastAsia="Barlow Semi Condensed" w:hAnsi="Barlow Semi Condensed"/>
          <w:sz w:val="24"/>
          <w:szCs w:val="24"/>
        </w:rPr>
        <w:t xml:space="preserve">. Durante la guerra si arruolò nell'esercito cobelligerante e aderì al </w:t>
      </w:r>
      <w:r>
        <w:rPr>
          <w:rFonts w:ascii="Barlow Semi Condensed" w:cs="Barlow Semi Condensed" w:eastAsia="Barlow Semi Condensed" w:hAnsi="Barlow Semi Condensed"/>
          <w:b/>
          <w:bCs/>
          <w:sz w:val="24"/>
          <w:szCs w:val="24"/>
        </w:rPr>
        <w:t xml:space="preserve">Partito Comunista Italiano</w:t>
      </w:r>
      <w:r>
        <w:rPr>
          <w:rFonts w:ascii="Barlow Semi Condensed" w:cs="Barlow Semi Condensed" w:eastAsia="Barlow Semi Condensed" w:hAnsi="Barlow Semi Condensed"/>
          <w:sz w:val="24"/>
          <w:szCs w:val="24"/>
        </w:rPr>
        <w:t xml:space="preserve">, combattendo contro la Wehrmacht e i resti della Repubblica di Salò. La contraddizione fra le origini e la scelta di campo non fu, in lui, un'ipocrisia da salotto: fu il motore biografico che lo portò, per gradi, dalla cultura all'azione, e infine alla morte. Chi voglia capire il vettore deve tenere insieme i due termini — l'oro di famiglia e la fede comunista — perché è dalla loro tensione che nacque tutto ciò che seguì.</w:t>
      </w:r>
    </w:p>
    <w:p>
      <w:pPr>
        <w:pStyle w:val="Heading2"/>
        <w:spacing w:after="100" w:before="200"/>
      </w:pPr>
      <w:r>
        <w:rPr>
          <w:rFonts w:ascii="Barlow Semi Condensed" w:cs="Barlow Semi Condensed" w:eastAsia="Barlow Semi Condensed" w:hAnsi="Barlow Semi Condensed"/>
          <w:sz w:val="24"/>
          <w:szCs w:val="24"/>
        </w:rPr>
        <w:t xml:space="preserve">II. Il costruttore di cultura: la biblioteca e la casa editrice (1949-1958)</w:t>
      </w:r>
    </w:p>
    <w:p>
      <w:pPr>
        <w:spacing w:after="120" w:line="276"/>
        <w:jc w:val="both"/>
      </w:pPr>
      <w:r>
        <w:rPr>
          <w:rFonts w:ascii="Barlow Semi Condensed" w:cs="Barlow Semi Condensed" w:eastAsia="Barlow Semi Condensed" w:hAnsi="Barlow Semi Condensed"/>
          <w:sz w:val="24"/>
          <w:szCs w:val="24"/>
        </w:rPr>
        <w:t xml:space="preserve">Prima dell'editore ci fu il </w:t>
      </w:r>
      <w:r>
        <w:rPr>
          <w:rFonts w:ascii="Barlow Semi Condensed" w:cs="Barlow Semi Condensed" w:eastAsia="Barlow Semi Condensed" w:hAnsi="Barlow Semi Condensed"/>
          <w:b/>
          <w:bCs/>
          <w:sz w:val="24"/>
          <w:szCs w:val="24"/>
        </w:rPr>
        <w:t xml:space="preserve">bibliotecario</w:t>
      </w:r>
      <w:r>
        <w:rPr>
          <w:rFonts w:ascii="Barlow Semi Condensed" w:cs="Barlow Semi Condensed" w:eastAsia="Barlow Semi Condensed" w:hAnsi="Barlow Semi Condensed"/>
          <w:sz w:val="24"/>
          <w:szCs w:val="24"/>
        </w:rPr>
        <w:t xml:space="preserve">. Nel </w:t>
      </w:r>
      <w:r>
        <w:rPr>
          <w:rFonts w:ascii="Barlow Semi Condensed" w:cs="Barlow Semi Condensed" w:eastAsia="Barlow Semi Condensed" w:hAnsi="Barlow Semi Condensed"/>
          <w:b/>
          <w:bCs/>
          <w:sz w:val="24"/>
          <w:szCs w:val="24"/>
        </w:rPr>
        <w:t xml:space="preserve">1949</w:t>
      </w:r>
      <w:r>
        <w:rPr>
          <w:rFonts w:ascii="Barlow Semi Condensed" w:cs="Barlow Semi Condensed" w:eastAsia="Barlow Semi Condensed" w:hAnsi="Barlow Semi Condensed"/>
          <w:sz w:val="24"/>
          <w:szCs w:val="24"/>
        </w:rPr>
        <w:t xml:space="preserve"> Feltrinelli fondò, per iniziativa privata, una </w:t>
      </w:r>
      <w:r>
        <w:rPr>
          <w:rFonts w:ascii="Barlow Semi Condensed" w:cs="Barlow Semi Condensed" w:eastAsia="Barlow Semi Condensed" w:hAnsi="Barlow Semi Condensed"/>
          <w:b/>
          <w:bCs/>
          <w:sz w:val="24"/>
          <w:szCs w:val="24"/>
        </w:rPr>
        <w:t xml:space="preserve">biblioteca specializzata</w:t>
      </w:r>
      <w:r>
        <w:rPr>
          <w:rFonts w:ascii="Barlow Semi Condensed" w:cs="Barlow Semi Condensed" w:eastAsia="Barlow Semi Condensed" w:hAnsi="Barlow Semi Condensed"/>
          <w:sz w:val="24"/>
          <w:szCs w:val="24"/>
        </w:rPr>
        <w:t xml:space="preserve"> nella raccolta e conservazione dei materiali sulla storia del movimento operaio e socialista: quella che sarebbe diventata Istituto e poi, per decreto del Presidente della Repubblica del </w:t>
      </w:r>
      <w:r>
        <w:rPr>
          <w:rFonts w:ascii="Barlow Semi Condensed" w:cs="Barlow Semi Condensed" w:eastAsia="Barlow Semi Condensed" w:hAnsi="Barlow Semi Condensed"/>
          <w:b/>
          <w:bCs/>
          <w:sz w:val="24"/>
          <w:szCs w:val="24"/>
        </w:rPr>
        <w:t xml:space="preserve">27 aprile 1974</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Fondazione Giangiacomo Feltrinelli</w:t>
      </w:r>
      <w:r>
        <w:rPr>
          <w:rFonts w:ascii="Barlow Semi Condensed" w:cs="Barlow Semi Condensed" w:eastAsia="Barlow Semi Condensed" w:hAnsi="Barlow Semi Condensed"/>
          <w:sz w:val="24"/>
          <w:szCs w:val="24"/>
        </w:rPr>
        <w:t xml:space="preserve"> (Fondazione Feltrinelli, About (https://fondazionefeltrinelli.it/en/about-us-4/)). È un dato che si tende a dimenticare, e che invece dà la misura dell'uomo: prima di essere il finanziatore della lotta armata, fu il custode paziente di un patrimonio documentario oggi immenso — 1,5 milioni di schede d'archivio, 250.000 volumi, 15.000 manifesti (Fondazione Feltrinelli, Library (https://fondazionefeltrinelli.it/en/library/)).</w:t>
      </w:r>
    </w:p>
    <w:p>
      <w:pPr>
        <w:spacing w:after="120" w:line="276"/>
        <w:jc w:val="both"/>
      </w:pPr>
      <w:r>
        <w:rPr>
          <w:rFonts w:ascii="Barlow Semi Condensed" w:cs="Barlow Semi Condensed" w:eastAsia="Barlow Semi Condensed" w:hAnsi="Barlow Semi Condensed"/>
          <w:sz w:val="24"/>
          <w:szCs w:val="24"/>
        </w:rPr>
        <w:t xml:space="preserve">Nel </w:t>
      </w:r>
      <w:r>
        <w:rPr>
          <w:rFonts w:ascii="Barlow Semi Condensed" w:cs="Barlow Semi Condensed" w:eastAsia="Barlow Semi Condensed" w:hAnsi="Barlow Semi Condensed"/>
          <w:b/>
          <w:bCs/>
          <w:sz w:val="24"/>
          <w:szCs w:val="24"/>
        </w:rPr>
        <w:t xml:space="preserve">1954</w:t>
      </w:r>
      <w:r>
        <w:rPr>
          <w:rFonts w:ascii="Barlow Semi Condensed" w:cs="Barlow Semi Condensed" w:eastAsia="Barlow Semi Condensed" w:hAnsi="Barlow Semi Condensed"/>
          <w:sz w:val="24"/>
          <w:szCs w:val="24"/>
        </w:rPr>
        <w:t xml:space="preserve"> fondò a Milano la casa editrice </w:t>
      </w:r>
      <w:r>
        <w:rPr>
          <w:rFonts w:ascii="Barlow Semi Condensed" w:cs="Barlow Semi Condensed" w:eastAsia="Barlow Semi Condensed" w:hAnsi="Barlow Semi Condensed"/>
          <w:b/>
          <w:bCs/>
          <w:sz w:val="24"/>
          <w:szCs w:val="24"/>
        </w:rPr>
        <w:t xml:space="preserve">Giangiacomo Feltrinelli Editore</w:t>
      </w:r>
      <w:r>
        <w:rPr>
          <w:rFonts w:ascii="Barlow Semi Condensed" w:cs="Barlow Semi Condensed" w:eastAsia="Barlow Semi Condensed" w:hAnsi="Barlow Semi Condensed"/>
          <w:sz w:val="24"/>
          <w:szCs w:val="24"/>
        </w:rPr>
        <w:t xml:space="preserve">, e in pochi anni mise a segno due colpi che da soli le avrebbero garantito un posto nella storia dell'editoria del Novecento: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1957 — Il dottor Živago di Boris Pasternak.</w:t>
      </w:r>
      <w:r>
        <w:rPr>
          <w:rFonts w:ascii="Barlow Semi Condensed" w:cs="Barlow Semi Condensed" w:eastAsia="Barlow Semi Condensed" w:hAnsi="Barlow Semi Condensed"/>
          <w:sz w:val="24"/>
          <w:szCs w:val="24"/>
        </w:rPr>
        <w:t xml:space="preserve"> Fu la </w:t>
      </w:r>
      <w:r>
        <w:rPr>
          <w:rFonts w:ascii="Barlow Semi Condensed" w:cs="Barlow Semi Condensed" w:eastAsia="Barlow Semi Condensed" w:hAnsi="Barlow Semi Condensed"/>
          <w:b/>
          <w:bCs/>
          <w:sz w:val="24"/>
          <w:szCs w:val="24"/>
        </w:rPr>
        <w:t xml:space="preserve">prima edizione mondiale</w:t>
      </w:r>
      <w:r>
        <w:rPr>
          <w:rFonts w:ascii="Barlow Semi Condensed" w:cs="Barlow Semi Condensed" w:eastAsia="Barlow Semi Condensed" w:hAnsi="Barlow Semi Condensed"/>
          <w:sz w:val="24"/>
          <w:szCs w:val="24"/>
        </w:rPr>
        <w:t xml:space="preserve"> del romanzo: un'edizione italiana pubblicata nel novembre 1957, sulla base di un contratto firmato con Pasternak nel giugno 1956. Feltrinelli resistette a ogni pressione del Cremlino </w:t>
      </w:r>
      <w:r>
        <w:rPr>
          <w:rFonts w:ascii="Barlow Semi Condensed" w:cs="Barlow Semi Condensed" w:eastAsia="Barlow Semi Condensed" w:hAnsi="Barlow Semi Condensed"/>
          <w:i/>
          <w:iCs/>
          <w:sz w:val="24"/>
          <w:szCs w:val="24"/>
        </w:rPr>
        <w:t xml:space="preserve">e</w:t>
      </w:r>
      <w:r>
        <w:rPr>
          <w:rFonts w:ascii="Barlow Semi Condensed" w:cs="Barlow Semi Condensed" w:eastAsia="Barlow Semi Condensed" w:hAnsi="Barlow Semi Condensed"/>
          <w:sz w:val="24"/>
          <w:szCs w:val="24"/>
        </w:rPr>
        <w:t xml:space="preserve"> del PCI perché il libro non uscisse (Wikipedia, </w:t>
      </w:r>
      <w:r>
        <w:rPr>
          <w:rFonts w:ascii="Barlow Semi Condensed" w:cs="Barlow Semi Condensed" w:eastAsia="Barlow Semi Condensed" w:hAnsi="Barlow Semi Condensed"/>
          <w:i/>
          <w:iCs/>
          <w:sz w:val="24"/>
          <w:szCs w:val="24"/>
        </w:rPr>
        <w:t xml:space="preserve">Doctor Zhivago</w:t>
      </w:r>
      <w:r>
        <w:rPr>
          <w:rFonts w:ascii="Barlow Semi Condensed" w:cs="Barlow Semi Condensed" w:eastAsia="Barlow Semi Condensed" w:hAnsi="Barlow Semi Condensed"/>
          <w:sz w:val="24"/>
          <w:szCs w:val="24"/>
        </w:rPr>
        <w:t xml:space="preserve"> (https://en.wikipedia.org/wiki/Doctor_Zhivago_(novel))). Fu anche il fatto che, insieme ai contrasti sui fatti d'Ungheria, lo condusse fuori dal partito: secondo il Dizionario Biografico Treccani (https://www.treccani.it/enciclopedia/giangiacomo-feltrinelli_(Dizionario-Biografico)/) </w:t>
      </w:r>
      <w:r>
        <w:rPr>
          <w:rFonts w:ascii="Barlow Semi Condensed" w:cs="Barlow Semi Condensed" w:eastAsia="Barlow Semi Condensed" w:hAnsi="Barlow Semi Condensed"/>
          <w:b/>
          <w:bCs/>
          <w:sz w:val="24"/>
          <w:szCs w:val="24"/>
        </w:rPr>
        <w:t xml:space="preserve">il 1957 fu l'ultimo anno di tessera</w:t>
      </w:r>
      <w:r>
        <w:rPr>
          <w:rFonts w:ascii="Barlow Semi Condensed" w:cs="Barlow Semi Condensed" w:eastAsia="Barlow Semi Condensed" w:hAnsi="Barlow Semi Condensed"/>
          <w:sz w:val="24"/>
          <w:szCs w:val="24"/>
        </w:rPr>
        <w:t xml:space="preserve"> — la rottura maturò proprio sul </w:t>
      </w:r>
      <w:r>
        <w:rPr>
          <w:rFonts w:ascii="Barlow Semi Condensed" w:cs="Barlow Semi Condensed" w:eastAsia="Barlow Semi Condensed" w:hAnsi="Barlow Semi Condensed"/>
          <w:i/>
          <w:iCs/>
          <w:sz w:val="24"/>
          <w:szCs w:val="24"/>
        </w:rPr>
        <w:t xml:space="preserve">Živago</w:t>
      </w:r>
      <w:r>
        <w:rPr>
          <w:rFonts w:ascii="Barlow Semi Condensed" w:cs="Barlow Semi Condensed" w:eastAsia="Barlow Semi Condensed" w:hAnsi="Barlow Semi Condensed"/>
          <w:sz w:val="24"/>
          <w:szCs w:val="24"/>
        </w:rPr>
        <w:t xml:space="preserve"> e su una lettera al partito del 28 settembre 1957 che gli valse una minaccia di espulsione — mentre altre fonti collocano l'uscita definitiva nel 1958. I rapporti restarono non ostili. </w:t>
      </w:r>
      <w:r>
        <w:rPr>
          <w:rFonts w:ascii="Barlow Semi Condensed" w:cs="Barlow Semi Condensed" w:eastAsia="Barlow Semi Condensed" w:hAnsi="Barlow Semi Condensed"/>
          <w:i/>
          <w:iCs/>
          <w:sz w:val="24"/>
          <w:szCs w:val="24"/>
        </w:rPr>
        <w:t xml:space="preserve">(Nota di revisione: la prima stesura datava l'uscita al solo «1958»; la triangolazione su Treccani la precisa come processo 1957-58, con il mancato rinnovo della tessera dopo il 1957.)</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1958 — Il Gattopardo di Giuseppe Tomasi di Lampedusa.</w:t>
      </w:r>
      <w:r>
        <w:rPr>
          <w:rFonts w:ascii="Barlow Semi Condensed" w:cs="Barlow Semi Condensed" w:eastAsia="Barlow Semi Condensed" w:hAnsi="Barlow Semi Condensed"/>
          <w:sz w:val="24"/>
          <w:szCs w:val="24"/>
        </w:rPr>
        <w:t xml:space="preserve"> Rifiutato da ogni altro editore importante d'Italia, uscì da Feltrinelli nel novembre 1958 e divenne un caso: </w:t>
      </w:r>
      <w:r>
        <w:rPr>
          <w:rFonts w:ascii="Barlow Semi Condensed" w:cs="Barlow Semi Condensed" w:eastAsia="Barlow Semi Condensed" w:hAnsi="Barlow Semi Condensed"/>
          <w:b/>
          <w:bCs/>
          <w:sz w:val="24"/>
          <w:szCs w:val="24"/>
        </w:rPr>
        <w:t xml:space="preserve">cinquantadue edizioni in meno di sei mesi</w:t>
      </w:r>
      <w:r>
        <w:rPr>
          <w:rFonts w:ascii="Barlow Semi Condensed" w:cs="Barlow Semi Condensed" w:eastAsia="Barlow Semi Condensed" w:hAnsi="Barlow Semi Condensed"/>
          <w:sz w:val="24"/>
          <w:szCs w:val="24"/>
        </w:rPr>
        <w:t xml:space="preserve"> (Wikipedia, </w:t>
      </w:r>
      <w:r>
        <w:rPr>
          <w:rFonts w:ascii="Barlow Semi Condensed" w:cs="Barlow Semi Condensed" w:eastAsia="Barlow Semi Condensed" w:hAnsi="Barlow Semi Condensed"/>
          <w:i/>
          <w:iCs/>
          <w:sz w:val="24"/>
          <w:szCs w:val="24"/>
        </w:rPr>
        <w:t xml:space="preserve">The Leopard</w:t>
      </w:r>
      <w:r>
        <w:rPr>
          <w:rFonts w:ascii="Barlow Semi Condensed" w:cs="Barlow Semi Condensed" w:eastAsia="Barlow Semi Condensed" w:hAnsi="Barlow Semi Condensed"/>
          <w:sz w:val="24"/>
          <w:szCs w:val="24"/>
        </w:rPr>
        <w:t xml:space="preserve"> (https://en.wikipedia.org/wiki/The_Leopard)).</w:t>
      </w:r>
    </w:p>
    <w:p>
      <w:pPr>
        <w:spacing w:after="120" w:line="276"/>
        <w:jc w:val="both"/>
      </w:pPr>
      <w:r>
        <w:rPr>
          <w:rFonts w:ascii="Barlow Semi Condensed" w:cs="Barlow Semi Condensed" w:eastAsia="Barlow Semi Condensed" w:hAnsi="Barlow Semi Condensed"/>
          <w:sz w:val="24"/>
          <w:szCs w:val="24"/>
        </w:rPr>
        <w:t xml:space="preserve">A questi si aggiunse la creazione della </w:t>
      </w:r>
      <w:r>
        <w:rPr>
          <w:rFonts w:ascii="Barlow Semi Condensed" w:cs="Barlow Semi Condensed" w:eastAsia="Barlow Semi Condensed" w:hAnsi="Barlow Semi Condensed"/>
          <w:b/>
          <w:bCs/>
          <w:sz w:val="24"/>
          <w:szCs w:val="24"/>
        </w:rPr>
        <w:t xml:space="preserve">prima catena di librerie</w:t>
      </w:r>
      <w:r>
        <w:rPr>
          <w:rFonts w:ascii="Barlow Semi Condensed" w:cs="Barlow Semi Condensed" w:eastAsia="Barlow Semi Condensed" w:hAnsi="Barlow Semi Condensed"/>
          <w:sz w:val="24"/>
          <w:szCs w:val="24"/>
        </w:rPr>
        <w:t xml:space="preserve"> d'Italia, che porta ancora il suo nome. Il ritratto, a questo punto della vita, è quello di un grande editore civile: un uomo che sapeva riconoscere il libro giusto contro il parere di tutti. Questa competenza — l'occhio per ciò che sarebbe diventato </w:t>
      </w:r>
      <w:r>
        <w:rPr>
          <w:rFonts w:ascii="Barlow Semi Condensed" w:cs="Barlow Semi Condensed" w:eastAsia="Barlow Semi Condensed" w:hAnsi="Barlow Semi Condensed"/>
          <w:b/>
          <w:bCs/>
          <w:sz w:val="24"/>
          <w:szCs w:val="24"/>
        </w:rPr>
        <w:t xml:space="preserve">simbolo</w:t>
      </w:r>
      <w:r>
        <w:rPr>
          <w:rFonts w:ascii="Barlow Semi Condensed" w:cs="Barlow Semi Condensed" w:eastAsia="Barlow Semi Condensed" w:hAnsi="Barlow Semi Condensed"/>
          <w:sz w:val="24"/>
          <w:szCs w:val="24"/>
        </w:rPr>
        <w:t xml:space="preserve"> — è la stessa che, pochi anni dopo, avrebbe fatto di una fotografia scartata l'icona del secolo.</w:t>
      </w:r>
    </w:p>
    <w:p>
      <w:pPr>
        <w:pStyle w:val="Heading2"/>
        <w:spacing w:after="100" w:before="200"/>
      </w:pPr>
      <w:r>
        <w:rPr>
          <w:rFonts w:ascii="Barlow Semi Condensed" w:cs="Barlow Semi Condensed" w:eastAsia="Barlow Semi Condensed" w:hAnsi="Barlow Semi Condensed"/>
          <w:sz w:val="24"/>
          <w:szCs w:val="24"/>
        </w:rPr>
        <w:t xml:space="preserve">III. Il vettore: come un editore fabbrica un'icona (1960-1968)</w:t>
      </w:r>
    </w:p>
    <w:p>
      <w:pPr>
        <w:spacing w:after="120" w:line="276"/>
        <w:jc w:val="both"/>
      </w:pPr>
      <w:r>
        <w:rPr>
          <w:rFonts w:ascii="Barlow Semi Condensed" w:cs="Barlow Semi Condensed" w:eastAsia="Barlow Semi Condensed" w:hAnsi="Barlow Semi Condensed"/>
          <w:sz w:val="24"/>
          <w:szCs w:val="24"/>
        </w:rPr>
        <w:t xml:space="preserve">Qui il corpus tocca il suo nodo, e conviene enunciarlo con la massima precisione, perché è </w:t>
      </w:r>
      <w:r>
        <w:rPr>
          <w:rFonts w:ascii="Barlow Semi Condensed" w:cs="Barlow Semi Condensed" w:eastAsia="Barlow Semi Condensed" w:hAnsi="Barlow Semi Condensed"/>
          <w:b/>
          <w:bCs/>
          <w:sz w:val="24"/>
          <w:szCs w:val="24"/>
        </w:rPr>
        <w:t xml:space="preserve">documentato</w:t>
      </w:r>
      <w:r>
        <w:rPr>
          <w:rFonts w:ascii="Barlow Semi Condensed" w:cs="Barlow Semi Condensed" w:eastAsia="Barlow Semi Condensed" w:hAnsi="Barlow Semi Condensed"/>
          <w:sz w:val="24"/>
          <w:szCs w:val="24"/>
        </w:rPr>
        <w:t xml:space="preserve"> e non va né gonfiato né sminuito.</w:t>
      </w:r>
    </w:p>
    <w:p>
      <w:pPr>
        <w:spacing w:after="120" w:line="276"/>
        <w:jc w:val="both"/>
      </w:pPr>
      <w:r>
        <w:rPr>
          <w:rFonts w:ascii="Barlow Semi Condensed" w:cs="Barlow Semi Condensed" w:eastAsia="Barlow Semi Condensed" w:hAnsi="Barlow Semi Condensed"/>
          <w:sz w:val="24"/>
          <w:szCs w:val="24"/>
        </w:rPr>
        <w:t xml:space="preserve">Nei primi anni Sessanta Feltrinelli fu </w:t>
      </w:r>
      <w:r>
        <w:rPr>
          <w:rFonts w:ascii="Barlow Semi Condensed" w:cs="Barlow Semi Condensed" w:eastAsia="Barlow Semi Condensed" w:hAnsi="Barlow Semi Condensed"/>
          <w:b/>
          <w:bCs/>
          <w:sz w:val="24"/>
          <w:szCs w:val="24"/>
        </w:rPr>
        <w:t xml:space="preserve">assiduo di Cuba</w:t>
      </w:r>
      <w:r>
        <w:rPr>
          <w:rFonts w:ascii="Barlow Semi Condensed" w:cs="Barlow Semi Condensed" w:eastAsia="Barlow Semi Condensed" w:hAnsi="Barlow Semi Condensed"/>
          <w:sz w:val="24"/>
          <w:szCs w:val="24"/>
        </w:rPr>
        <w:t xml:space="preserve">: visitò più volte l'isola negli anni della rivoluzione, fu vicino al nuovo regime, e a un certo punto aveva perfino </w:t>
      </w:r>
      <w:r>
        <w:rPr>
          <w:rFonts w:ascii="Barlow Semi Condensed" w:cs="Barlow Semi Condensed" w:eastAsia="Barlow Semi Condensed" w:hAnsi="Barlow Semi Condensed"/>
          <w:b/>
          <w:bCs/>
          <w:sz w:val="24"/>
          <w:szCs w:val="24"/>
        </w:rPr>
        <w:t xml:space="preserve">progettato di scrivere come ghost-writer la biografia di Fidel Castro</w:t>
      </w:r>
      <w:r>
        <w:rPr>
          <w:rFonts w:ascii="Barlow Semi Condensed" w:cs="Barlow Semi Condensed" w:eastAsia="Barlow Semi Condensed" w:hAnsi="Barlow Semi Condensed"/>
          <w:sz w:val="24"/>
          <w:szCs w:val="24"/>
        </w:rPr>
        <w:t xml:space="preserve"> (History Ireland (https://historyireland.com/che-guevara-jim-fitzpatrick-and-the-making-of-an-icon/)). Da quel rapporto nacque il fatto che lega Milano all'Avana.</w:t>
      </w:r>
    </w:p>
    <w:p>
      <w:pPr>
        <w:spacing w:after="120" w:line="276"/>
        <w:jc w:val="both"/>
      </w:pPr>
      <w:r>
        <w:rPr>
          <w:rFonts w:ascii="Barlow Semi Condensed" w:cs="Barlow Semi Condensed" w:eastAsia="Barlow Semi Condensed" w:hAnsi="Barlow Semi Condensed"/>
          <w:sz w:val="24"/>
          <w:szCs w:val="24"/>
        </w:rPr>
        <w:t xml:space="preserve">La fotografia era già stata scattata: il </w:t>
      </w:r>
      <w:r>
        <w:rPr>
          <w:rFonts w:ascii="Barlow Semi Condensed" w:cs="Barlow Semi Condensed" w:eastAsia="Barlow Semi Condensed" w:hAnsi="Barlow Semi Condensed"/>
          <w:b/>
          <w:bCs/>
          <w:sz w:val="24"/>
          <w:szCs w:val="24"/>
        </w:rPr>
        <w:t xml:space="preserve">5 marzo 1960</w:t>
      </w:r>
      <w:r>
        <w:rPr>
          <w:rFonts w:ascii="Barlow Semi Condensed" w:cs="Barlow Semi Condensed" w:eastAsia="Barlow Semi Condensed" w:hAnsi="Barlow Semi Condensed"/>
          <w:sz w:val="24"/>
          <w:szCs w:val="24"/>
        </w:rPr>
        <w:t xml:space="preserve">, all'Avana, durante le esequie delle vittime del piroscafo </w:t>
      </w:r>
      <w:r>
        <w:rPr>
          <w:rFonts w:ascii="Barlow Semi Condensed" w:cs="Barlow Semi Condensed" w:eastAsia="Barlow Semi Condensed" w:hAnsi="Barlow Semi Condensed"/>
          <w:i/>
          <w:iCs/>
          <w:sz w:val="24"/>
          <w:szCs w:val="24"/>
        </w:rPr>
        <w:t xml:space="preserve">La Coubre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Alberto Korda</w:t>
      </w:r>
      <w:r>
        <w:rPr>
          <w:rFonts w:ascii="Barlow Semi Condensed" w:cs="Barlow Semi Condensed" w:eastAsia="Barlow Semi Condensed" w:hAnsi="Barlow Semi Condensed"/>
          <w:sz w:val="24"/>
          <w:szCs w:val="24"/>
        </w:rPr>
        <w:t xml:space="preserve"> aveva colto il ritratto di Guevara — il </w:t>
      </w:r>
      <w:r>
        <w:rPr>
          <w:rFonts w:ascii="Barlow Semi Condensed" w:cs="Barlow Semi Condensed" w:eastAsia="Barlow Semi Condensed" w:hAnsi="Barlow Semi Condensed"/>
          <w:i/>
          <w:iCs/>
          <w:sz w:val="24"/>
          <w:szCs w:val="24"/>
        </w:rPr>
        <w:t xml:space="preserve">Guerrillero Heroico</w:t>
      </w:r>
      <w:r>
        <w:rPr>
          <w:rFonts w:ascii="Barlow Semi Condensed" w:cs="Barlow Semi Condensed" w:eastAsia="Barlow Semi Condensed" w:hAnsi="Barlow Semi Condensed"/>
          <w:sz w:val="24"/>
          <w:szCs w:val="24"/>
        </w:rPr>
        <w:t xml:space="preserve"> — poi accantonato per la scarsa qualità e rimasto per anni </w:t>
      </w:r>
      <w:r>
        <w:rPr>
          <w:rFonts w:ascii="Barlow Semi Condensed" w:cs="Barlow Semi Condensed" w:eastAsia="Barlow Semi Condensed" w:hAnsi="Barlow Semi Condensed"/>
          <w:b/>
          <w:bCs/>
          <w:sz w:val="24"/>
          <w:szCs w:val="24"/>
        </w:rPr>
        <w:t xml:space="preserve">oscuro</w:t>
      </w:r>
      <w:r>
        <w:rPr>
          <w:rFonts w:ascii="Barlow Semi Condensed" w:cs="Barlow Semi Condensed" w:eastAsia="Barlow Semi Condensed" w:hAnsi="Barlow Semi Condensed"/>
          <w:sz w:val="24"/>
          <w:szCs w:val="24"/>
        </w:rPr>
        <w:t xml:space="preserve"> (Wikipedia, </w:t>
      </w:r>
      <w:r>
        <w:rPr>
          <w:rFonts w:ascii="Barlow Semi Condensed" w:cs="Barlow Semi Condensed" w:eastAsia="Barlow Semi Condensed" w:hAnsi="Barlow Semi Condensed"/>
          <w:i/>
          <w:iCs/>
          <w:sz w:val="24"/>
          <w:szCs w:val="24"/>
        </w:rPr>
        <w:t xml:space="preserve">Guerrillero Heroico</w:t>
      </w:r>
      <w:r>
        <w:rPr>
          <w:rFonts w:ascii="Barlow Semi Condensed" w:cs="Barlow Semi Condensed" w:eastAsia="Barlow Semi Condensed" w:hAnsi="Barlow Semi Condensed"/>
          <w:sz w:val="24"/>
          <w:szCs w:val="24"/>
        </w:rPr>
        <w:t xml:space="preserve"> (https://en.wikipedia.org/wiki/Guerrillero_Heroico)). Fu Feltrinelli a strapparlo all'oblio. Nell'</w:t>
      </w:r>
      <w:r>
        <w:rPr>
          <w:rFonts w:ascii="Barlow Semi Condensed" w:cs="Barlow Semi Condensed" w:eastAsia="Barlow Semi Condensed" w:hAnsi="Barlow Semi Condensed"/>
          <w:b/>
          <w:bCs/>
          <w:sz w:val="24"/>
          <w:szCs w:val="24"/>
        </w:rPr>
        <w:t xml:space="preserve">estate del 1967</w:t>
      </w:r>
      <w:r>
        <w:rPr>
          <w:rFonts w:ascii="Barlow Semi Condensed" w:cs="Barlow Semi Condensed" w:eastAsia="Barlow Semi Condensed" w:hAnsi="Barlow Semi Condensed"/>
          <w:sz w:val="24"/>
          <w:szCs w:val="24"/>
        </w:rPr>
        <w:t xml:space="preserve"> acquisì i diritti per pubblicare il </w:t>
      </w:r>
      <w:r>
        <w:rPr>
          <w:rFonts w:ascii="Barlow Semi Condensed" w:cs="Barlow Semi Condensed" w:eastAsia="Barlow Semi Condensed" w:hAnsi="Barlow Semi Condensed"/>
          <w:b/>
          <w:bCs/>
          <w:sz w:val="24"/>
          <w:szCs w:val="24"/>
        </w:rPr>
        <w:t xml:space="preserve">Diario boliviano</w:t>
      </w:r>
      <w:r>
        <w:rPr>
          <w:rFonts w:ascii="Barlow Semi Condensed" w:cs="Barlow Semi Condensed" w:eastAsia="Barlow Semi Condensed" w:hAnsi="Barlow Semi Condensed"/>
          <w:sz w:val="24"/>
          <w:szCs w:val="24"/>
        </w:rPr>
        <w:t xml:space="preserve"> di Guevara </w:t>
      </w:r>
      <w:r>
        <w:rPr>
          <w:rFonts w:ascii="Barlow Semi Condensed" w:cs="Barlow Semi Condensed" w:eastAsia="Barlow Semi Condensed" w:hAnsi="Barlow Semi Condensed"/>
          <w:i/>
          <w:iCs/>
          <w:sz w:val="24"/>
          <w:szCs w:val="24"/>
        </w:rPr>
        <w:t xml:space="preserve">insieme</w:t>
      </w:r>
      <w:r>
        <w:rPr>
          <w:rFonts w:ascii="Barlow Semi Condensed" w:cs="Barlow Semi Condensed" w:eastAsia="Barlow Semi Condensed" w:hAnsi="Barlow Semi Condensed"/>
          <w:sz w:val="24"/>
          <w:szCs w:val="24"/>
        </w:rPr>
        <w:t xml:space="preserve"> alla fotografia di Korda; e dopo che il diario riaffiorò all'Avana, </w:t>
      </w:r>
      <w:r>
        <w:rPr>
          <w:rFonts w:ascii="Barlow Semi Condensed" w:cs="Barlow Semi Condensed" w:eastAsia="Barlow Semi Condensed" w:hAnsi="Barlow Semi Condensed"/>
          <w:b/>
          <w:bCs/>
          <w:sz w:val="24"/>
          <w:szCs w:val="24"/>
        </w:rPr>
        <w:t xml:space="preserve">Castro gli concedette i diritti italiani</w:t>
      </w:r>
      <w:r>
        <w:rPr>
          <w:rFonts w:ascii="Barlow Semi Condensed" w:cs="Barlow Semi Condensed" w:eastAsia="Barlow Semi Condensed" w:hAnsi="Barlow Semi Condensed"/>
          <w:sz w:val="24"/>
          <w:szCs w:val="24"/>
        </w:rPr>
        <w:t xml:space="preserve">, e il libro uscì nel </w:t>
      </w:r>
      <w:r>
        <w:rPr>
          <w:rFonts w:ascii="Barlow Semi Condensed" w:cs="Barlow Semi Condensed" w:eastAsia="Barlow Semi Condensed" w:hAnsi="Barlow Semi Condensed"/>
          <w:b/>
          <w:bCs/>
          <w:sz w:val="24"/>
          <w:szCs w:val="24"/>
        </w:rPr>
        <w:t xml:space="preserve">1968</w:t>
      </w:r>
      <w:r>
        <w:rPr>
          <w:rFonts w:ascii="Barlow Semi Condensed" w:cs="Barlow Semi Condensed" w:eastAsia="Barlow Semi Condensed" w:hAnsi="Barlow Semi Condensed"/>
          <w:sz w:val="24"/>
          <w:szCs w:val="24"/>
        </w:rPr>
        <w:t xml:space="preserve"> con il ritratto di Korda in copertina e la prefazione di Castro.</w:t>
      </w:r>
    </w:p>
    <w:p>
      <w:pPr>
        <w:spacing w:after="120" w:line="276"/>
        <w:jc w:val="both"/>
      </w:pPr>
      <w:r>
        <w:rPr>
          <w:rFonts w:ascii="Barlow Semi Condensed" w:cs="Barlow Semi Condensed" w:eastAsia="Barlow Semi Condensed" w:hAnsi="Barlow Semi Condensed"/>
          <w:b/>
          <w:bCs/>
          <w:sz w:val="24"/>
          <w:szCs w:val="24"/>
        </w:rPr>
        <w:t xml:space="preserve">Integrazione post-triangolazione: la Bolivia, di persona (agosto 1967).</w:t>
      </w:r>
      <w:r>
        <w:rPr>
          <w:rFonts w:ascii="Barlow Semi Condensed" w:cs="Barlow Semi Condensed" w:eastAsia="Barlow Semi Condensed" w:hAnsi="Barlow Semi Condensed"/>
          <w:sz w:val="24"/>
          <w:szCs w:val="24"/>
        </w:rPr>
        <w:t xml:space="preserve"> La verifica del corpus ha fatto emergere un fatto che la prima stesura non registrava e che salda fisicamente il vettore alla campagna boliviana: nell'</w:t>
      </w:r>
      <w:r>
        <w:rPr>
          <w:rFonts w:ascii="Barlow Semi Condensed" w:cs="Barlow Semi Condensed" w:eastAsia="Barlow Semi Condensed" w:hAnsi="Barlow Semi Condensed"/>
          <w:b/>
          <w:bCs/>
          <w:sz w:val="24"/>
          <w:szCs w:val="24"/>
        </w:rPr>
        <w:t xml:space="preserve">agosto 1967</w:t>
      </w:r>
      <w:r>
        <w:rPr>
          <w:rFonts w:ascii="Barlow Semi Condensed" w:cs="Barlow Semi Condensed" w:eastAsia="Barlow Semi Condensed" w:hAnsi="Barlow Semi Condensed"/>
          <w:sz w:val="24"/>
          <w:szCs w:val="24"/>
        </w:rPr>
        <w:t xml:space="preserve"> — a campagna in corso, con Régis Debray sotto processo a </w:t>
      </w:r>
      <w:r>
        <w:rPr>
          <w:rFonts w:ascii="Barlow Semi Condensed" w:cs="Barlow Semi Condensed" w:eastAsia="Barlow Semi Condensed" w:hAnsi="Barlow Semi Condensed"/>
          <w:b/>
          <w:bCs/>
          <w:sz w:val="24"/>
          <w:szCs w:val="24"/>
        </w:rPr>
        <w:t xml:space="preserve">Camiri</w:t>
      </w:r>
      <w:r>
        <w:rPr>
          <w:rFonts w:ascii="Barlow Semi Condensed" w:cs="Barlow Semi Condensed" w:eastAsia="Barlow Semi Condensed" w:hAnsi="Barlow Semi Condensed"/>
          <w:sz w:val="24"/>
          <w:szCs w:val="24"/>
        </w:rPr>
        <w:t xml:space="preserve"> — Feltrinelli </w:t>
      </w:r>
      <w:r>
        <w:rPr>
          <w:rFonts w:ascii="Barlow Semi Condensed" w:cs="Barlow Semi Condensed" w:eastAsia="Barlow Semi Condensed" w:hAnsi="Barlow Semi Condensed"/>
          <w:b/>
          <w:bCs/>
          <w:sz w:val="24"/>
          <w:szCs w:val="24"/>
        </w:rPr>
        <w:t xml:space="preserve">andò in Bolivia</w:t>
      </w:r>
      <w:r>
        <w:rPr>
          <w:rFonts w:ascii="Barlow Semi Condensed" w:cs="Barlow Semi Condensed" w:eastAsia="Barlow Semi Condensed" w:hAnsi="Barlow Semi Condensed"/>
          <w:sz w:val="24"/>
          <w:szCs w:val="24"/>
        </w:rPr>
        <w:t xml:space="preserve"> con Sibilla Melega, vi fu </w:t>
      </w:r>
      <w:r>
        <w:rPr>
          <w:rFonts w:ascii="Barlow Semi Condensed" w:cs="Barlow Semi Condensed" w:eastAsia="Barlow Semi Condensed" w:hAnsi="Barlow Semi Condensed"/>
          <w:b/>
          <w:bCs/>
          <w:sz w:val="24"/>
          <w:szCs w:val="24"/>
        </w:rPr>
        <w:t xml:space="preserve">arrestato</w:t>
      </w:r>
      <w:r>
        <w:rPr>
          <w:rFonts w:ascii="Barlow Semi Condensed" w:cs="Barlow Semi Condensed" w:eastAsia="Barlow Semi Condensed" w:hAnsi="Barlow Semi Condensed"/>
          <w:sz w:val="24"/>
          <w:szCs w:val="24"/>
        </w:rPr>
        <w:t xml:space="preserve"> dalla polizia boliviana e, solo per pressione diplomatica, ottenne l'</w:t>
      </w:r>
      <w:r>
        <w:rPr>
          <w:rFonts w:ascii="Barlow Semi Condensed" w:cs="Barlow Semi Condensed" w:eastAsia="Barlow Semi Condensed" w:hAnsi="Barlow Semi Condensed"/>
          <w:b/>
          <w:bCs/>
          <w:sz w:val="24"/>
          <w:szCs w:val="24"/>
        </w:rPr>
        <w:t xml:space="preserve">espulsione</w:t>
      </w:r>
      <w:r>
        <w:rPr>
          <w:rFonts w:ascii="Barlow Semi Condensed" w:cs="Barlow Semi Condensed" w:eastAsia="Barlow Semi Condensed" w:hAnsi="Barlow Semi Condensed"/>
          <w:sz w:val="24"/>
          <w:szCs w:val="24"/>
        </w:rPr>
        <w:t xml:space="preserve"> come indesiderato; nel viaggio prese contatti con l'ambiente dell'ELN (Treccani, Dizionario Biografico (https://www.treccani.it/enciclopedia/giangiacomo-feltrinelli_(Dizionario-Biografico)/); A ca' l'Alveare (https://www.acalveare.it/2025/11/15/giangiacomo-feltrinelli-leditore-rivoluzionario/); Salto.bz (https://salto.bz/it/article/08042026/bolivia-sulle-tracce-del-che)). L'editore che di lì a pochi mesi avrebbe pubblicato il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non comprò dunque i diritti da lontano: si presentò sul bordo stesso della guerriglia, due mesi prima della Quebrada del Churo. È il punto di massima prossimità fisica tra il vettore e la parabola che avrebbe trasformato in mito.</w:t>
      </w:r>
    </w:p>
    <w:p>
      <w:pPr>
        <w:spacing w:after="120" w:line="276"/>
        <w:jc w:val="both"/>
      </w:pPr>
      <w:r>
        <w:rPr>
          <w:rFonts w:ascii="Barlow Semi Condensed" w:cs="Barlow Semi Condensed" w:eastAsia="Barlow Semi Condensed" w:hAnsi="Barlow Semi Condensed"/>
          <w:sz w:val="24"/>
          <w:szCs w:val="24"/>
        </w:rPr>
        <w:t xml:space="preserve">Ma il gesto decisivo fu un altro, e fu di </w:t>
      </w:r>
      <w:r>
        <w:rPr>
          <w:rFonts w:ascii="Barlow Semi Condensed" w:cs="Barlow Semi Condensed" w:eastAsia="Barlow Semi Condensed" w:hAnsi="Barlow Semi Condensed"/>
          <w:b/>
          <w:bCs/>
          <w:sz w:val="24"/>
          <w:szCs w:val="24"/>
        </w:rPr>
        <w:t xml:space="preserve">marketing</w:t>
      </w:r>
      <w:r>
        <w:rPr>
          <w:rFonts w:ascii="Barlow Semi Condensed" w:cs="Barlow Semi Condensed" w:eastAsia="Barlow Semi Condensed" w:hAnsi="Barlow Semi Condensed"/>
          <w:sz w:val="24"/>
          <w:szCs w:val="24"/>
        </w:rPr>
        <w:t xml:space="preserve"> prima che di politica: per lanciare il libro, Feltrinelli </w:t>
      </w:r>
      <w:r>
        <w:rPr>
          <w:rFonts w:ascii="Barlow Semi Condensed" w:cs="Barlow Semi Condensed" w:eastAsia="Barlow Semi Condensed" w:hAnsi="Barlow Semi Condensed"/>
          <w:b/>
          <w:bCs/>
          <w:sz w:val="24"/>
          <w:szCs w:val="24"/>
        </w:rPr>
        <w:t xml:space="preserve">fece stampare centinaia di manifesti</w:t>
      </w:r>
      <w:r>
        <w:rPr>
          <w:rFonts w:ascii="Barlow Semi Condensed" w:cs="Barlow Semi Condensed" w:eastAsia="Barlow Semi Condensed" w:hAnsi="Barlow Semi Condensed"/>
          <w:sz w:val="24"/>
          <w:szCs w:val="24"/>
        </w:rPr>
        <w:t xml:space="preserve"> con quella fotografia. Furono quei manifesti che gli studenti italiani presero e moltiplicarono nell'estate calda del 1968 (History Ireland (https://historyireland.com/che-guevara-jim-fitzpatrick-and-the-making-of-an-icon/)). È il momento esatto in cui l'immagine si stacca dall'uomo e comincia la sua seconda vita.</w:t>
      </w:r>
    </w:p>
    <w:p>
      <w:pPr>
        <w:spacing w:after="120" w:line="276"/>
        <w:jc w:val="both"/>
      </w:pPr>
      <w:r>
        <w:rPr>
          <w:rFonts w:ascii="Barlow Semi Condensed" w:cs="Barlow Semi Condensed" w:eastAsia="Barlow Semi Condensed" w:hAnsi="Barlow Semi Condensed"/>
          <w:sz w:val="24"/>
          <w:szCs w:val="24"/>
        </w:rPr>
        <w:t xml:space="preserve">Va detto con la disciplina del corpus: </w:t>
      </w:r>
      <w:r>
        <w:rPr>
          <w:rFonts w:ascii="Barlow Semi Condensed" w:cs="Barlow Semi Condensed" w:eastAsia="Barlow Semi Condensed" w:hAnsi="Barlow Semi Condensed"/>
          <w:b/>
          <w:bCs/>
          <w:sz w:val="24"/>
          <w:szCs w:val="24"/>
        </w:rPr>
        <w:t xml:space="preserve">il vettore fu questo, e va nominato per quello che è.</w:t>
      </w:r>
      <w:r>
        <w:rPr>
          <w:rFonts w:ascii="Barlow Semi Condensed" w:cs="Barlow Semi Condensed" w:eastAsia="Barlow Semi Condensed" w:hAnsi="Barlow Semi Condensed"/>
          <w:sz w:val="24"/>
          <w:szCs w:val="24"/>
        </w:rPr>
        <w:t xml:space="preserve"> Non un ordine che passa dall'Avana a Roma, ma un'operazione editoriale — un libro, una copertina, un manifesto — che trasformò un guerrigliero morto in un segno universale. Feltrinelli non </w:t>
      </w:r>
      <w:r>
        <w:rPr>
          <w:rFonts w:ascii="Barlow Semi Condensed" w:cs="Barlow Semi Condensed" w:eastAsia="Barlow Semi Condensed" w:hAnsi="Barlow Semi Condensed"/>
          <w:i/>
          <w:iCs/>
          <w:sz w:val="24"/>
          <w:szCs w:val="24"/>
        </w:rPr>
        <w:t xml:space="preserve">inventò</w:t>
      </w:r>
      <w:r>
        <w:rPr>
          <w:rFonts w:ascii="Barlow Semi Condensed" w:cs="Barlow Semi Condensed" w:eastAsia="Barlow Semi Condensed" w:hAnsi="Barlow Semi Condensed"/>
          <w:sz w:val="24"/>
          <w:szCs w:val="24"/>
        </w:rPr>
        <w:t xml:space="preserve"> il mito del Che: lo </w:t>
      </w:r>
      <w:r>
        <w:rPr>
          <w:rFonts w:ascii="Barlow Semi Condensed" w:cs="Barlow Semi Condensed" w:eastAsia="Barlow Semi Condensed" w:hAnsi="Barlow Semi Condensed"/>
          <w:b/>
          <w:bCs/>
          <w:sz w:val="24"/>
          <w:szCs w:val="24"/>
        </w:rPr>
        <w:t xml:space="preserve">fabbricò materialmente</w:t>
      </w:r>
      <w:r>
        <w:rPr>
          <w:rFonts w:ascii="Barlow Semi Condensed" w:cs="Barlow Semi Condensed" w:eastAsia="Barlow Semi Condensed" w:hAnsi="Barlow Semi Condensed"/>
          <w:sz w:val="24"/>
          <w:szCs w:val="24"/>
        </w:rPr>
        <w:t xml:space="preserve">, con i mezzi che padroneggiava meglio di chiunque, la stampa e la distribuzione. In questo è, alla lettera, il vettore.</w:t>
      </w:r>
    </w:p>
    <w:p>
      <w:pPr>
        <w:pStyle w:val="Heading2"/>
        <w:spacing w:after="100" w:before="200"/>
      </w:pPr>
      <w:r>
        <w:rPr>
          <w:rFonts w:ascii="Barlow Semi Condensed" w:cs="Barlow Semi Condensed" w:eastAsia="Barlow Semi Condensed" w:hAnsi="Barlow Semi Condensed"/>
          <w:sz w:val="24"/>
          <w:szCs w:val="24"/>
        </w:rPr>
        <w:t xml:space="preserve">IV. La traversata: dall'editore al clandestino (1968-1970)</w:t>
      </w:r>
    </w:p>
    <w:p>
      <w:pPr>
        <w:spacing w:after="120" w:line="276"/>
        <w:jc w:val="both"/>
      </w:pPr>
      <w:r>
        <w:rPr>
          <w:rFonts w:ascii="Barlow Semi Condensed" w:cs="Barlow Semi Condensed" w:eastAsia="Barlow Semi Condensed" w:hAnsi="Barlow Semi Condensed"/>
          <w:sz w:val="24"/>
          <w:szCs w:val="24"/>
        </w:rPr>
        <w:t xml:space="preserve">Il passaggio dall'editore al combattente fu la parabola del decennio, e la sua logica è ricostruibile senza dietrologia. Radicalizzatosi dopo il 1968, convinto che in Italia fosse imminente una svolta autoritaria di stampo «greco» (il riferimento era il colpo dei colonnelli del 1967), Feltrinelli passò progressivamente </w:t>
      </w:r>
      <w:r>
        <w:rPr>
          <w:rFonts w:ascii="Barlow Semi Condensed" w:cs="Barlow Semi Condensed" w:eastAsia="Barlow Semi Condensed" w:hAnsi="Barlow Semi Condensed"/>
          <w:b/>
          <w:bCs/>
          <w:sz w:val="24"/>
          <w:szCs w:val="24"/>
        </w:rPr>
        <w:t xml:space="preserve">alla clandestinità</w:t>
      </w:r>
      <w:r>
        <w:rPr>
          <w:rFonts w:ascii="Barlow Semi Condensed" w:cs="Barlow Semi Condensed" w:eastAsia="Barlow Semi Condensed" w:hAnsi="Barlow Semi Condensed"/>
          <w:sz w:val="24"/>
          <w:szCs w:val="24"/>
        </w:rPr>
        <w:t xml:space="preserve"> — dove assunse il nome di battaglia </w:t>
      </w:r>
      <w:r>
        <w:rPr>
          <w:rFonts w:ascii="Barlow Semi Condensed" w:cs="Barlow Semi Condensed" w:eastAsia="Barlow Semi Condensed" w:hAnsi="Barlow Semi Condensed"/>
          <w:b/>
          <w:bCs/>
          <w:sz w:val="24"/>
          <w:szCs w:val="24"/>
        </w:rPr>
        <w:t xml:space="preserve">«Osvaldo»</w:t>
      </w:r>
      <w:r>
        <w:rPr>
          <w:rFonts w:ascii="Barlow Semi Condensed" w:cs="Barlow Semi Condensed" w:eastAsia="Barlow Semi Condensed" w:hAnsi="Barlow Semi Condensed"/>
          <w:sz w:val="24"/>
          <w:szCs w:val="24"/>
        </w:rPr>
        <w:t xml:space="preserve"> — e fondò </w:t>
      </w:r>
      <w:r>
        <w:rPr>
          <w:rFonts w:ascii="Barlow Semi Condensed" w:cs="Barlow Semi Condensed" w:eastAsia="Barlow Semi Condensed" w:hAnsi="Barlow Semi Condensed"/>
          <w:b/>
          <w:bCs/>
          <w:sz w:val="24"/>
          <w:szCs w:val="24"/>
        </w:rPr>
        <w:t xml:space="preserve">tra l'aprile e il maggio 1970</w:t>
      </w:r>
      <w:r>
        <w:rPr>
          <w:rFonts w:ascii="Barlow Semi Condensed" w:cs="Barlow Semi Condensed" w:eastAsia="Barlow Semi Condensed" w:hAnsi="Barlow Semi Condensed"/>
          <w:sz w:val="24"/>
          <w:szCs w:val="24"/>
        </w:rPr>
        <w:t xml:space="preserve"> i </w:t>
      </w:r>
      <w:r>
        <w:rPr>
          <w:rFonts w:ascii="Barlow Semi Condensed" w:cs="Barlow Semi Condensed" w:eastAsia="Barlow Semi Condensed" w:hAnsi="Barlow Semi Condensed"/>
          <w:b/>
          <w:bCs/>
          <w:sz w:val="24"/>
          <w:szCs w:val="24"/>
        </w:rPr>
        <w:t xml:space="preserve">Gruppi d'Azione Partigiana (GAP)</w:t>
      </w:r>
      <w:r>
        <w:rPr>
          <w:rFonts w:ascii="Barlow Semi Condensed" w:cs="Barlow Semi Condensed" w:eastAsia="Barlow Semi Condensed" w:hAnsi="Barlow Semi Condensed"/>
          <w:sz w:val="24"/>
          <w:szCs w:val="24"/>
        </w:rPr>
        <w:t xml:space="preserve">: una delle prime formazioni armate italiane, ramificata soprattutto nel Milanese con diramazioni a Genova, in Trentino e a Torino (Wikipedia IT, </w:t>
      </w:r>
      <w:r>
        <w:rPr>
          <w:rFonts w:ascii="Barlow Semi Condensed" w:cs="Barlow Semi Condensed" w:eastAsia="Barlow Semi Condensed" w:hAnsi="Barlow Semi Condensed"/>
          <w:i/>
          <w:iCs/>
          <w:sz w:val="24"/>
          <w:szCs w:val="24"/>
        </w:rPr>
        <w:t xml:space="preserve">Gruppi d'Azione Partigiana</w:t>
      </w:r>
      <w:r>
        <w:rPr>
          <w:rFonts w:ascii="Barlow Semi Condensed" w:cs="Barlow Semi Condensed" w:eastAsia="Barlow Semi Condensed" w:hAnsi="Barlow Semi Condensed"/>
          <w:sz w:val="24"/>
          <w:szCs w:val="24"/>
        </w:rPr>
        <w:t xml:space="preserve"> (https://it.wikipedia.org/wiki/Gruppi_d%27Azione_Partigiana)). La sigla fu scelta deliberatamente per </w:t>
      </w:r>
      <w:r>
        <w:rPr>
          <w:rFonts w:ascii="Barlow Semi Condensed" w:cs="Barlow Semi Condensed" w:eastAsia="Barlow Semi Condensed" w:hAnsi="Barlow Semi Condensed"/>
          <w:b/>
          <w:bCs/>
          <w:sz w:val="24"/>
          <w:szCs w:val="24"/>
        </w:rPr>
        <w:t xml:space="preserve">riprendere quella dei Gruppi di Azione Patriottica</w:t>
      </w:r>
      <w:r>
        <w:rPr>
          <w:rFonts w:ascii="Barlow Semi Condensed" w:cs="Barlow Semi Condensed" w:eastAsia="Barlow Semi Condensed" w:hAnsi="Barlow Semi Condensed"/>
          <w:sz w:val="24"/>
          <w:szCs w:val="24"/>
        </w:rPr>
        <w:t xml:space="preserve"> della Resistenza (1943-45): un'operazione simbolica che rivendicava una continuità con l'antifascismo armato — rivendicazione, va detto subito,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una continuità organizzativa reale, che non esisteva. </w:t>
      </w:r>
      <w:r>
        <w:rPr>
          <w:rFonts w:ascii="Barlow Semi Condensed" w:cs="Barlow Semi Condensed" w:eastAsia="Barlow Semi Condensed" w:hAnsi="Barlow Semi Condensed"/>
          <w:i/>
          <w:iCs/>
          <w:sz w:val="24"/>
          <w:szCs w:val="24"/>
        </w:rPr>
        <w:t xml:space="preserve">(Nota di revisione: la prima stesura datava la fondazione «intorno al 1970»; la triangolazione la precisa ad aprile-maggio 1970 e documenta la genealogia del nome.)</w:t>
      </w:r>
    </w:p>
    <w:p>
      <w:pPr>
        <w:spacing w:after="120" w:line="276"/>
        <w:jc w:val="both"/>
      </w:pPr>
      <w:r>
        <w:rPr>
          <w:rFonts w:ascii="Barlow Semi Condensed" w:cs="Barlow Semi Condensed" w:eastAsia="Barlow Semi Condensed" w:hAnsi="Barlow Semi Condensed"/>
          <w:sz w:val="24"/>
          <w:szCs w:val="24"/>
        </w:rPr>
        <w:t xml:space="preserve">Qui il corpus si salda al suo filo maggiore, e il grado di prova resta </w:t>
      </w:r>
      <w:r>
        <w:rPr>
          <w:rFonts w:ascii="Barlow Semi Condensed" w:cs="Barlow Semi Condensed" w:eastAsia="Barlow Semi Condensed" w:hAnsi="Barlow Semi Condensed"/>
          <w:b/>
          <w:bCs/>
          <w:sz w:val="24"/>
          <w:szCs w:val="24"/>
        </w:rPr>
        <w:t xml:space="preserve">alto</w:t>
      </w:r>
      <w:r>
        <w:rPr>
          <w:rFonts w:ascii="Barlow Semi Condensed" w:cs="Barlow Semi Condensed" w:eastAsia="Barlow Semi Condensed" w:hAnsi="Barlow Semi Condensed"/>
          <w:sz w:val="24"/>
          <w:szCs w:val="24"/>
        </w:rPr>
        <w:t xml:space="preserve">: le </w:t>
      </w:r>
      <w:r>
        <w:rPr>
          <w:rFonts w:ascii="Barlow Semi Condensed" w:cs="Barlow Semi Condensed" w:eastAsia="Barlow Semi Condensed" w:hAnsi="Barlow Semi Condensed"/>
          <w:b/>
          <w:bCs/>
          <w:sz w:val="24"/>
          <w:szCs w:val="24"/>
        </w:rPr>
        <w:t xml:space="preserve">Brigate Rosse</w:t>
      </w:r>
      <w:r>
        <w:rPr>
          <w:rFonts w:ascii="Barlow Semi Condensed" w:cs="Barlow Semi Condensed" w:eastAsia="Barlow Semi Condensed" w:hAnsi="Barlow Semi Condensed"/>
          <w:sz w:val="24"/>
          <w:szCs w:val="24"/>
        </w:rPr>
        <w:t xml:space="preserve">, fondate al convegno di </w:t>
      </w:r>
      <w:r>
        <w:rPr>
          <w:rFonts w:ascii="Barlow Semi Condensed" w:cs="Barlow Semi Condensed" w:eastAsia="Barlow Semi Condensed" w:hAnsi="Barlow Semi Condensed"/>
          <w:b/>
          <w:bCs/>
          <w:sz w:val="24"/>
          <w:szCs w:val="24"/>
        </w:rPr>
        <w:t xml:space="preserve">Pecorile nell'agosto 1970</w:t>
      </w:r>
      <w:r>
        <w:rPr>
          <w:rFonts w:ascii="Barlow Semi Condensed" w:cs="Barlow Semi Condensed" w:eastAsia="Barlow Semi Condensed" w:hAnsi="Barlow Semi Condensed"/>
          <w:sz w:val="24"/>
          <w:szCs w:val="24"/>
        </w:rPr>
        <w:t xml:space="preserve">, presero Guevara a modello individuale di riferimento, e — per stessa ammissione di Renato Curcio — i brigatisti andarono «a scuola di guerriglia da Feltrinelli». La genealogia è dichiarata, non congetturata: l'editore che aveva fabbricato l'icona del Che divenne, con i GAP, uno degli </w:t>
      </w:r>
      <w:r>
        <w:rPr>
          <w:rFonts w:ascii="Barlow Semi Condensed" w:cs="Barlow Semi Condensed" w:eastAsia="Barlow Semi Condensed" w:hAnsi="Barlow Semi Condensed"/>
          <w:b/>
          <w:bCs/>
          <w:sz w:val="24"/>
          <w:szCs w:val="24"/>
        </w:rPr>
        <w:t xml:space="preserve">iniziatori materiali</w:t>
      </w:r>
      <w:r>
        <w:rPr>
          <w:rFonts w:ascii="Barlow Semi Condensed" w:cs="Barlow Semi Condensed" w:eastAsia="Barlow Semi Condensed" w:hAnsi="Barlow Semi Condensed"/>
          <w:sz w:val="24"/>
          <w:szCs w:val="24"/>
        </w:rPr>
        <w:t xml:space="preserve"> della stagione armata italiana. Il mito che aveva contribuito a costruire con la carta stampata gli si rovesciò addosso come pratica.</w:t>
      </w:r>
    </w:p>
    <w:p>
      <w:pPr>
        <w:pStyle w:val="Heading2"/>
        <w:spacing w:after="100" w:before="200"/>
      </w:pPr>
      <w:r>
        <w:rPr>
          <w:rFonts w:ascii="Barlow Semi Condensed" w:cs="Barlow Semi Condensed" w:eastAsia="Barlow Semi Condensed" w:hAnsi="Barlow Semi Condensed"/>
          <w:sz w:val="24"/>
          <w:szCs w:val="24"/>
        </w:rPr>
        <w:t xml:space="preserve">V. Segrate: la morte, e ciò che di essa è provato (14-15 marzo 1972)</w:t>
      </w:r>
    </w:p>
    <w:p>
      <w:pPr>
        <w:spacing w:after="120" w:line="276"/>
        <w:jc w:val="both"/>
      </w:pPr>
      <w:r>
        <w:rPr>
          <w:rFonts w:ascii="Barlow Semi Condensed" w:cs="Barlow Semi Condensed" w:eastAsia="Barlow Semi Condensed" w:hAnsi="Barlow Semi Condensed"/>
          <w:sz w:val="24"/>
          <w:szCs w:val="24"/>
        </w:rPr>
        <w:t xml:space="preserve">Sulla fine bisogna procedere con la massima cautela metodologica, perché è il punto in cui la biografia sfuma nel mistero italiano e la tentazione dietrologica è massima.</w:t>
      </w:r>
    </w:p>
    <w:p>
      <w:pPr>
        <w:spacing w:after="120" w:line="276"/>
        <w:jc w:val="both"/>
      </w:pPr>
      <w:r>
        <w:rPr>
          <w:rFonts w:ascii="Barlow Semi Condensed" w:cs="Barlow Semi Condensed" w:eastAsia="Barlow Semi Condensed" w:hAnsi="Barlow Semi Condensed"/>
          <w:b/>
          <w:bCs/>
          <w:sz w:val="24"/>
          <w:szCs w:val="24"/>
        </w:rPr>
        <w:t xml:space="preserve">Ciò che è documentato.</w:t>
      </w:r>
      <w:r>
        <w:rPr>
          <w:rFonts w:ascii="Barlow Semi Condensed" w:cs="Barlow Semi Condensed" w:eastAsia="Barlow Semi Condensed" w:hAnsi="Barlow Semi Condensed"/>
          <w:sz w:val="24"/>
          <w:szCs w:val="24"/>
        </w:rPr>
        <w:t xml:space="preserve"> Feltrinelli morì </w:t>
      </w:r>
      <w:r>
        <w:rPr>
          <w:rFonts w:ascii="Barlow Semi Condensed" w:cs="Barlow Semi Condensed" w:eastAsia="Barlow Semi Condensed" w:hAnsi="Barlow Semi Condensed"/>
          <w:b/>
          <w:bCs/>
          <w:sz w:val="24"/>
          <w:szCs w:val="24"/>
        </w:rPr>
        <w:t xml:space="preserve">il 14 marzo 1972</w:t>
      </w:r>
      <w:r>
        <w:rPr>
          <w:rFonts w:ascii="Barlow Semi Condensed" w:cs="Barlow Semi Condensed" w:eastAsia="Barlow Semi Condensed" w:hAnsi="Barlow Semi Condensed"/>
          <w:sz w:val="24"/>
          <w:szCs w:val="24"/>
        </w:rPr>
        <w:t xml:space="preserve">, dilaniato dall'esplosivo </w:t>
      </w:r>
      <w:r>
        <w:rPr>
          <w:rFonts w:ascii="Barlow Semi Condensed" w:cs="Barlow Semi Condensed" w:eastAsia="Barlow Semi Condensed" w:hAnsi="Barlow Semi Condensed"/>
          <w:b/>
          <w:bCs/>
          <w:sz w:val="24"/>
          <w:szCs w:val="24"/>
        </w:rPr>
        <w:t xml:space="preserve">ai piedi di un traliccio dell'alta tensione presso la Cascina Nuova di Segrate</w:t>
      </w:r>
      <w:r>
        <w:rPr>
          <w:rFonts w:ascii="Barlow Semi Condensed" w:cs="Barlow Semi Condensed" w:eastAsia="Barlow Semi Condensed" w:hAnsi="Barlow Semi Condensed"/>
          <w:sz w:val="24"/>
          <w:szCs w:val="24"/>
        </w:rPr>
        <w:t xml:space="preserve">, alla periferia di Milano. Il corpo fu </w:t>
      </w:r>
      <w:r>
        <w:rPr>
          <w:rFonts w:ascii="Barlow Semi Condensed" w:cs="Barlow Semi Condensed" w:eastAsia="Barlow Semi Condensed" w:hAnsi="Barlow Semi Condensed"/>
          <w:b/>
          <w:bCs/>
          <w:sz w:val="24"/>
          <w:szCs w:val="24"/>
        </w:rPr>
        <w:t xml:space="preserve">ritrovato il pomeriggio del 15 marzo</w:t>
      </w:r>
      <w:r>
        <w:rPr>
          <w:rFonts w:ascii="Barlow Semi Condensed" w:cs="Barlow Semi Condensed" w:eastAsia="Barlow Semi Condensed" w:hAnsi="Barlow Semi Condensed"/>
          <w:sz w:val="24"/>
          <w:szCs w:val="24"/>
        </w:rPr>
        <w:t xml:space="preserve"> dal contadino </w:t>
      </w:r>
      <w:r>
        <w:rPr>
          <w:rFonts w:ascii="Barlow Semi Condensed" w:cs="Barlow Semi Condensed" w:eastAsia="Barlow Semi Condensed" w:hAnsi="Barlow Semi Condensed"/>
          <w:b/>
          <w:bCs/>
          <w:sz w:val="24"/>
          <w:szCs w:val="24"/>
        </w:rPr>
        <w:t xml:space="preserve">Luigi Stringhetti</w:t>
      </w:r>
      <w:r>
        <w:rPr>
          <w:rFonts w:ascii="Barlow Semi Condensed" w:cs="Barlow Semi Condensed" w:eastAsia="Barlow Semi Condensed" w:hAnsi="Barlow Semi Condensed"/>
          <w:sz w:val="24"/>
          <w:szCs w:val="24"/>
        </w:rPr>
        <w:t xml:space="preserve">; portava documenti falsi intestati a «Vincenzo Maggioni», e solo ventiquattr'ore dopo il ritrovamento gli inquirenti ne stabilirono la vera identità (Il Post (https://www.ilpost.it/2022/03/14/giangiacomo-feltrinelli/); Fatti per la Storia (https://www.fattiperlastoria.it/morte-feltrinelli/); Wikipedia EN (https://en.wikipedia.org/wiki/Giangiacomo_Feltrinelli)). </w:t>
      </w:r>
      <w:r>
        <w:rPr>
          <w:rFonts w:ascii="Barlow Semi Condensed" w:cs="Barlow Semi Condensed" w:eastAsia="Barlow Semi Condensed" w:hAnsi="Barlow Semi Condensed"/>
          <w:i/>
          <w:iCs/>
          <w:sz w:val="24"/>
          <w:szCs w:val="24"/>
        </w:rPr>
        <w:t xml:space="preserve">(Nota di revisione: la prima stesura registrava un'oscillazione delle fonti fra il 14 e il 15 marzo; la triangolazione l'ha sciolta — la morte è del 14, il ritrovamento del 15. Le fonti che riportano l'una o l'altra data si riferiscono a due momenti diversi della stessa vicenda.)</w:t>
      </w:r>
    </w:p>
    <w:p>
      <w:pPr>
        <w:spacing w:after="120" w:line="276"/>
        <w:jc w:val="both"/>
      </w:pPr>
      <w:r>
        <w:rPr>
          <w:rFonts w:ascii="Barlow Semi Condensed" w:cs="Barlow Semi Condensed" w:eastAsia="Barlow Semi Condensed" w:hAnsi="Barlow Semi Condensed"/>
          <w:b/>
          <w:bCs/>
          <w:sz w:val="24"/>
          <w:szCs w:val="24"/>
        </w:rPr>
        <w:t xml:space="preserve">La ricostruzione giudiziaria (grado alto).</w:t>
      </w:r>
      <w:r>
        <w:rPr>
          <w:rFonts w:ascii="Barlow Semi Condensed" w:cs="Barlow Semi Condensed" w:eastAsia="Barlow Semi Condensed" w:hAnsi="Barlow Semi Condensed"/>
          <w:sz w:val="24"/>
          <w:szCs w:val="24"/>
        </w:rPr>
        <w:t xml:space="preserve"> In un processo antiterrorismo del </w:t>
      </w:r>
      <w:r>
        <w:rPr>
          <w:rFonts w:ascii="Barlow Semi Condensed" w:cs="Barlow Semi Condensed" w:eastAsia="Barlow Semi Condensed" w:hAnsi="Barlow Semi Condensed"/>
          <w:b/>
          <w:bCs/>
          <w:sz w:val="24"/>
          <w:szCs w:val="24"/>
        </w:rPr>
        <w:t xml:space="preserve">1979</w:t>
      </w:r>
      <w:r>
        <w:rPr>
          <w:rFonts w:ascii="Barlow Semi Condensed" w:cs="Barlow Semi Condensed" w:eastAsia="Barlow Semi Condensed" w:hAnsi="Barlow Semi Condensed"/>
          <w:sz w:val="24"/>
          <w:szCs w:val="24"/>
        </w:rPr>
        <w:t xml:space="preserve">, imputati delle Brigate Rosse dichiararono che Feltrinelli era impegnato in un'</w:t>
      </w:r>
      <w:r>
        <w:rPr>
          <w:rFonts w:ascii="Barlow Semi Condensed" w:cs="Barlow Semi Condensed" w:eastAsia="Barlow Semi Condensed" w:hAnsi="Barlow Semi Condensed"/>
          <w:b/>
          <w:bCs/>
          <w:sz w:val="24"/>
          <w:szCs w:val="24"/>
        </w:rPr>
        <w:t xml:space="preserve">operazione di sabotaggio dei tralicci</w:t>
      </w:r>
      <w:r>
        <w:rPr>
          <w:rFonts w:ascii="Barlow Semi Condensed" w:cs="Barlow Semi Condensed" w:eastAsia="Barlow Semi Condensed" w:hAnsi="Barlow Semi Condensed"/>
          <w:sz w:val="24"/>
          <w:szCs w:val="24"/>
        </w:rPr>
        <w:t xml:space="preserve"> per provocare un blackout su una vasta area di Milano, e che un </w:t>
      </w:r>
      <w:r>
        <w:rPr>
          <w:rFonts w:ascii="Barlow Semi Condensed" w:cs="Barlow Semi Condensed" w:eastAsia="Barlow Semi Condensed" w:hAnsi="Barlow Semi Condensed"/>
          <w:b/>
          <w:bCs/>
          <w:sz w:val="24"/>
          <w:szCs w:val="24"/>
        </w:rPr>
        <w:t xml:space="preserve">errore tecnico</w:t>
      </w:r>
      <w:r>
        <w:rPr>
          <w:rFonts w:ascii="Barlow Semi Condensed" w:cs="Barlow Semi Condensed" w:eastAsia="Barlow Semi Condensed" w:hAnsi="Barlow Semi Condensed"/>
          <w:sz w:val="24"/>
          <w:szCs w:val="24"/>
        </w:rPr>
        <w:t xml:space="preserve"> nel maneggiare l'esplosivo ne causò la morte accidentale (Wikipedia EN (https://en.wikipedia.org/wiki/Giangiacomo_Feltrinelli)). La ricostruzione trova riscontro nei </w:t>
      </w:r>
      <w:r>
        <w:rPr>
          <w:rFonts w:ascii="Barlow Semi Condensed" w:cs="Barlow Semi Condensed" w:eastAsia="Barlow Semi Condensed" w:hAnsi="Barlow Semi Condensed"/>
          <w:b/>
          <w:bCs/>
          <w:sz w:val="24"/>
          <w:szCs w:val="24"/>
        </w:rPr>
        <w:t xml:space="preserve">nastri rinvenuti nel covo BR di Robbiano di Mediglia</w:t>
      </w:r>
      <w:r>
        <w:rPr>
          <w:rFonts w:ascii="Barlow Semi Condensed" w:cs="Barlow Semi Condensed" w:eastAsia="Barlow Semi Condensed" w:hAnsi="Barlow Semi Condensed"/>
          <w:sz w:val="24"/>
          <w:szCs w:val="24"/>
        </w:rPr>
        <w:t xml:space="preserve">, in cui si descrive «Osvaldo» seduto con i candelotti sotto la gamba mentre prepara la carica (Il Post (https://www.ilpost.it/2022/03/14/giangiacomo-feltrinelli/)). Questa è la versione che il vaglio processuale ha accolto: la morte del sabotatore per sua stessa mano.</w:t>
      </w:r>
    </w:p>
    <w:p>
      <w:pPr>
        <w:spacing w:after="120" w:line="276"/>
        <w:jc w:val="both"/>
      </w:pPr>
      <w:r>
        <w:rPr>
          <w:rFonts w:ascii="Barlow Semi Condensed" w:cs="Barlow Semi Condensed" w:eastAsia="Barlow Semi Condensed" w:hAnsi="Barlow Semi Condensed"/>
          <w:b/>
          <w:bCs/>
          <w:sz w:val="24"/>
          <w:szCs w:val="24"/>
        </w:rPr>
        <w:t xml:space="preserve">Ciò che è congettura (e come tale va lasciata).</w:t>
      </w:r>
      <w:r>
        <w:rPr>
          <w:rFonts w:ascii="Barlow Semi Condensed" w:cs="Barlow Semi Condensed" w:eastAsia="Barlow Semi Condensed" w:hAnsi="Barlow Semi Condensed"/>
          <w:sz w:val="24"/>
          <w:szCs w:val="24"/>
        </w:rPr>
        <w:t xml:space="preserve"> Fin dal primo momento circolò — e in parte ancora circola — la tesi che dietro la morte vi fosse una regia dei </w:t>
      </w:r>
      <w:r>
        <w:rPr>
          <w:rFonts w:ascii="Barlow Semi Condensed" w:cs="Barlow Semi Condensed" w:eastAsia="Barlow Semi Condensed" w:hAnsi="Barlow Semi Condensed"/>
          <w:b/>
          <w:bCs/>
          <w:sz w:val="24"/>
          <w:szCs w:val="24"/>
        </w:rPr>
        <w:t xml:space="preserve">servizi segreti</w:t>
      </w:r>
      <w:r>
        <w:rPr>
          <w:rFonts w:ascii="Barlow Semi Condensed" w:cs="Barlow Semi Condensed" w:eastAsia="Barlow Semi Condensed" w:hAnsi="Barlow Semi Condensed"/>
          <w:sz w:val="24"/>
          <w:szCs w:val="24"/>
        </w:rPr>
        <w:t xml:space="preserve">, che avevano informatori nei gruppi clandestini, e che l'incidente fosse stato provocato o mascherato (Italy On This Day (https://www.italyonthisday.com/2018/03/giangiacomo-feltrinelli-Italian-publisher-death-bomb-Milan.html)). Il corpus la registra per ciò che è: un </w:t>
      </w:r>
      <w:r>
        <w:rPr>
          <w:rFonts w:ascii="Barlow Semi Condensed" w:cs="Barlow Semi Condensed" w:eastAsia="Barlow Semi Condensed" w:hAnsi="Barlow Semi Condensed"/>
          <w:b/>
          <w:bCs/>
          <w:sz w:val="24"/>
          <w:szCs w:val="24"/>
        </w:rPr>
        <w:t xml:space="preserve">sospetto diffuso ma non provato in giudizio</w:t>
      </w:r>
      <w:r>
        <w:rPr>
          <w:rFonts w:ascii="Barlow Semi Condensed" w:cs="Barlow Semi Condensed" w:eastAsia="Barlow Semi Condensed" w:hAnsi="Barlow Semi Condensed"/>
          <w:sz w:val="24"/>
          <w:szCs w:val="24"/>
        </w:rPr>
        <w:t xml:space="preserve">. Non lo si promuove a fatto, non lo si liquida come impossibile; lo si lascia nella sua categoria, la congettura, dove la documentazione lo colloca. Nessun nome, nessuna imputazione oltre il giudicato: è la stessa disciplina che il corpus applica al Che a La Higuera e a Moro in via Caetani.</w:t>
      </w:r>
    </w:p>
    <w:p>
      <w:pPr>
        <w:pStyle w:val="Heading2"/>
        <w:spacing w:after="100" w:before="200"/>
      </w:pPr>
      <w:r>
        <w:rPr>
          <w:rFonts w:ascii="Barlow Semi Condensed" w:cs="Barlow Semi Condensed" w:eastAsia="Barlow Semi Condensed" w:hAnsi="Barlow Semi Condensed"/>
          <w:sz w:val="24"/>
          <w:szCs w:val="24"/>
        </w:rPr>
        <w:t xml:space="preserve">VI. Bilancio: che cosa fu, davvero, il vettore</w:t>
      </w:r>
    </w:p>
    <w:p>
      <w:pPr>
        <w:spacing w:after="120" w:line="276"/>
        <w:jc w:val="both"/>
      </w:pPr>
      <w:r>
        <w:rPr>
          <w:rFonts w:ascii="Barlow Semi Condensed" w:cs="Barlow Semi Condensed" w:eastAsia="Barlow Semi Condensed" w:hAnsi="Barlow Semi Condensed"/>
          <w:sz w:val="24"/>
          <w:szCs w:val="24"/>
        </w:rPr>
        <w:t xml:space="preserve">Chiuso l'arco biografico, tiriamo le somme con la stessa onestà che il corpus esige altrove.</w:t>
      </w:r>
    </w:p>
    <w:p>
      <w:pPr>
        <w:spacing w:after="120" w:line="276"/>
        <w:jc w:val="both"/>
      </w:pPr>
      <w:r>
        <w:rPr>
          <w:rFonts w:ascii="Barlow Semi Condensed" w:cs="Barlow Semi Condensed" w:eastAsia="Barlow Semi Condensed" w:hAnsi="Barlow Semi Condensed"/>
          <w:b/>
          <w:bCs/>
          <w:sz w:val="24"/>
          <w:szCs w:val="24"/>
        </w:rPr>
        <w:t xml:space="preserve">È documentato</w:t>
      </w:r>
      <w:r>
        <w:rPr>
          <w:rFonts w:ascii="Barlow Semi Condensed" w:cs="Barlow Semi Condensed" w:eastAsia="Barlow Semi Condensed" w:hAnsi="Barlow Semi Condensed"/>
          <w:sz w:val="24"/>
          <w:szCs w:val="24"/>
        </w:rPr>
        <w:t xml:space="preserve">: che Feltrinelli fu un grandissimo editore civile (Živago, il Gattopardo, la Fondazione); che fu </w:t>
      </w:r>
      <w:r>
        <w:rPr>
          <w:rFonts w:ascii="Barlow Semi Condensed" w:cs="Barlow Semi Condensed" w:eastAsia="Barlow Semi Condensed" w:hAnsi="Barlow Semi Condensed"/>
          <w:b/>
          <w:bCs/>
          <w:sz w:val="24"/>
          <w:szCs w:val="24"/>
        </w:rPr>
        <w:t xml:space="preserve">il vettore materiale del mito del Che</w:t>
      </w:r>
      <w:r>
        <w:rPr>
          <w:rFonts w:ascii="Barlow Semi Condensed" w:cs="Barlow Semi Condensed" w:eastAsia="Barlow Semi Condensed" w:hAnsi="Barlow Semi Condensed"/>
          <w:sz w:val="24"/>
          <w:szCs w:val="24"/>
        </w:rPr>
        <w:t xml:space="preserve"> (acquisto dei diritti e della foto nel 1967,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con copertina Korda nel 1968, i manifesti); che nell'agosto 1967 andò in Bolivia, dove fu arrestato ed espulso durante il processo Debray; che fondò i GAP nell'aprile-maggio 1970 come nucleo di lotta armata, riprendendone il nome dalla Resistenza; che le BR lo ebbero, con Guevara, tra i propri riferimenti fondativi; che morì a Segrate presso un traliccio, dilaniato dall'esplosivo, il 14 marzo 1972, e fu ritrovato il 15.</w:t>
      </w:r>
    </w:p>
    <w:p>
      <w:pPr>
        <w:spacing w:after="120" w:line="276"/>
        <w:jc w:val="both"/>
      </w:pPr>
      <w:r>
        <w:rPr>
          <w:rFonts w:ascii="Barlow Semi Condensed" w:cs="Barlow Semi Condensed" w:eastAsia="Barlow Semi Condensed" w:hAnsi="Barlow Semi Condensed"/>
          <w:b/>
          <w:bCs/>
          <w:sz w:val="24"/>
          <w:szCs w:val="24"/>
        </w:rPr>
        <w:t xml:space="preserve">È convergenza, non nesso</w:t>
      </w:r>
      <w:r>
        <w:rPr>
          <w:rFonts w:ascii="Barlow Semi Condensed" w:cs="Barlow Semi Condensed" w:eastAsia="Barlow Semi Condensed" w:hAnsi="Barlow Semi Condensed"/>
          <w:sz w:val="24"/>
          <w:szCs w:val="24"/>
        </w:rPr>
        <w:t xml:space="preserve">: la simmetria fra l'editore che </w:t>
      </w:r>
      <w:r>
        <w:rPr>
          <w:rFonts w:ascii="Barlow Semi Condensed" w:cs="Barlow Semi Condensed" w:eastAsia="Barlow Semi Condensed" w:hAnsi="Barlow Semi Condensed"/>
          <w:i/>
          <w:iCs/>
          <w:sz w:val="24"/>
          <w:szCs w:val="24"/>
        </w:rPr>
        <w:t xml:space="preserve">fabbrica</w:t>
      </w:r>
      <w:r>
        <w:rPr>
          <w:rFonts w:ascii="Barlow Semi Condensed" w:cs="Barlow Semi Condensed" w:eastAsia="Barlow Semi Condensed" w:hAnsi="Barlow Semi Condensed"/>
          <w:sz w:val="24"/>
          <w:szCs w:val="24"/>
        </w:rPr>
        <w:t xml:space="preserve"> il mito rivoluzionario e il militante che </w:t>
      </w:r>
      <w:r>
        <w:rPr>
          <w:rFonts w:ascii="Barlow Semi Condensed" w:cs="Barlow Semi Condensed" w:eastAsia="Barlow Semi Condensed" w:hAnsi="Barlow Semi Condensed"/>
          <w:i/>
          <w:iCs/>
          <w:sz w:val="24"/>
          <w:szCs w:val="24"/>
        </w:rPr>
        <w:t xml:space="preserve">pratica</w:t>
      </w:r>
      <w:r>
        <w:rPr>
          <w:rFonts w:ascii="Barlow Semi Condensed" w:cs="Barlow Semi Condensed" w:eastAsia="Barlow Semi Condensed" w:hAnsi="Barlow Semi Condensed"/>
          <w:sz w:val="24"/>
          <w:szCs w:val="24"/>
        </w:rPr>
        <w:t xml:space="preserve"> la lotta armata è reale e biograficamente continua nella stessa persona — ma non fa di Feltrinelli il regista di ciò che le BR fecero dopo di lui e senza di lui. Fu un iniziatore, non un mandante di via Fani: morì sei anni prima, e la distanza fra il suo gesto e l'esecuzione di un prigioniero inerme è la stessa distanza morale che il corpus ha già segnato fra il Che dei diari e il Che dei muri.</w:t>
      </w:r>
    </w:p>
    <w:p>
      <w:pPr>
        <w:spacing w:after="120" w:line="276"/>
        <w:jc w:val="both"/>
      </w:pPr>
      <w:r>
        <w:rPr>
          <w:rFonts w:ascii="Barlow Semi Condensed" w:cs="Barlow Semi Condensed" w:eastAsia="Barlow Semi Condensed" w:hAnsi="Barlow Semi Condensed"/>
          <w:b/>
          <w:bCs/>
          <w:sz w:val="24"/>
          <w:szCs w:val="24"/>
        </w:rPr>
        <w:t xml:space="preserve">È congettura</w:t>
      </w:r>
      <w:r>
        <w:rPr>
          <w:rFonts w:ascii="Barlow Semi Condensed" w:cs="Barlow Semi Condensed" w:eastAsia="Barlow Semi Condensed" w:hAnsi="Barlow Semi Condensed"/>
          <w:sz w:val="24"/>
          <w:szCs w:val="24"/>
        </w:rPr>
        <w:t xml:space="preserve">: che la sua morte sia stata un omicidio di Stato mascherato. Non è provato. Resta il sospetto, e resta tale.</w:t>
      </w:r>
    </w:p>
    <w:p>
      <w:pPr>
        <w:spacing w:after="120" w:line="276"/>
        <w:jc w:val="both"/>
      </w:pPr>
      <w:r>
        <w:rPr>
          <w:rFonts w:ascii="Barlow Semi Condensed" w:cs="Barlow Semi Condensed" w:eastAsia="Barlow Semi Condensed" w:hAnsi="Barlow Semi Condensed"/>
          <w:sz w:val="24"/>
          <w:szCs w:val="24"/>
        </w:rPr>
        <w:t xml:space="preserve">Il senso della figura è tutto in questa frase, che il corpus può ora scrivere con le prove in mano: </w:t>
      </w:r>
      <w:r>
        <w:rPr>
          <w:rFonts w:ascii="Barlow Semi Condensed" w:cs="Barlow Semi Condensed" w:eastAsia="Barlow Semi Condensed" w:hAnsi="Barlow Semi Condensed"/>
          <w:b/>
          <w:bCs/>
          <w:sz w:val="24"/>
          <w:szCs w:val="24"/>
        </w:rPr>
        <w:t xml:space="preserve">Feltrinelli fu l'uomo che sapeva, meglio di chiunque in Italia, trasformare un contenuto in simbolo</w:t>
      </w:r>
      <w:r>
        <w:rPr>
          <w:rFonts w:ascii="Barlow Semi Condensed" w:cs="Barlow Semi Condensed" w:eastAsia="Barlow Semi Condensed" w:hAnsi="Barlow Semi Condensed"/>
          <w:sz w:val="24"/>
          <w:szCs w:val="24"/>
        </w:rPr>
        <w:t xml:space="preserve"> — e applicò quel talento raro prima ai libri, poi a una fotografia, infine a se stesso, facendosi bandiera di una guerra che credeva imminente e che, nella forma che immaginava, non venne. Il vettore del mito fu, alla fine, vettore anche della propria fine.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Fonti</w:t>
      </w:r>
    </w:p>
    <w:p>
      <w:pPr>
        <w:spacing w:after="120" w:line="276"/>
        <w:jc w:val="both"/>
      </w:pPr>
      <w:r>
        <w:rPr>
          <w:rFonts w:ascii="Barlow Semi Condensed" w:cs="Barlow Semi Condensed" w:eastAsia="Barlow Semi Condensed" w:hAnsi="Barlow Semi Condensed"/>
          <w:b/>
          <w:bCs/>
          <w:sz w:val="24"/>
          <w:szCs w:val="24"/>
        </w:rPr>
        <w:t xml:space="preserve">Biografiche.</w:t>
      </w:r>
      <w:r>
        <w:rPr>
          <w:rFonts w:ascii="Barlow Semi Condensed" w:cs="Barlow Semi Condensed" w:eastAsia="Barlow Semi Condensed" w:hAnsi="Barlow Semi Condensed"/>
          <w:sz w:val="24"/>
          <w:szCs w:val="24"/>
        </w:rPr>
        <w:t xml:space="preserve"> Carlo Feltrinelli, </w:t>
      </w:r>
      <w:r>
        <w:rPr>
          <w:rFonts w:ascii="Barlow Semi Condensed" w:cs="Barlow Semi Condensed" w:eastAsia="Barlow Semi Condensed" w:hAnsi="Barlow Semi Condensed"/>
          <w:i/>
          <w:iCs/>
          <w:sz w:val="24"/>
          <w:szCs w:val="24"/>
        </w:rPr>
        <w:t xml:space="preserve">Senior Service. Biografia di Giangiacomo Feltrinelli</w:t>
      </w:r>
      <w:r>
        <w:rPr>
          <w:rFonts w:ascii="Barlow Semi Condensed" w:cs="Barlow Semi Condensed" w:eastAsia="Barlow Semi Condensed" w:hAnsi="Barlow Semi Condensed"/>
          <w:sz w:val="24"/>
          <w:szCs w:val="24"/>
        </w:rPr>
        <w:t xml:space="preserve"> (Feltrinelli, 1999; ed. inglese </w:t>
      </w:r>
      <w:r>
        <w:rPr>
          <w:rFonts w:ascii="Barlow Semi Condensed" w:cs="Barlow Semi Condensed" w:eastAsia="Barlow Semi Condensed" w:hAnsi="Barlow Semi Condensed"/>
          <w:i/>
          <w:iCs/>
          <w:sz w:val="24"/>
          <w:szCs w:val="24"/>
        </w:rPr>
        <w:t xml:space="preserve">Senior Service</w:t>
      </w:r>
      <w:r>
        <w:rPr>
          <w:rFonts w:ascii="Barlow Semi Condensed" w:cs="Barlow Semi Condensed" w:eastAsia="Barlow Semi Condensed" w:hAnsi="Barlow Semi Condensed"/>
          <w:sz w:val="24"/>
          <w:szCs w:val="24"/>
        </w:rPr>
        <w:t xml:space="preserve">, Granta) — biografia scritta dal figlio, fonte ricchissima ma </w:t>
      </w:r>
      <w:r>
        <w:rPr>
          <w:rFonts w:ascii="Barlow Semi Condensed" w:cs="Barlow Semi Condensed" w:eastAsia="Barlow Semi Condensed" w:hAnsi="Barlow Semi Condensed"/>
          <w:b/>
          <w:bCs/>
          <w:sz w:val="24"/>
          <w:szCs w:val="24"/>
        </w:rPr>
        <w:t xml:space="preserve">filiale</w:t>
      </w:r>
      <w:r>
        <w:rPr>
          <w:rFonts w:ascii="Barlow Semi Condensed" w:cs="Barlow Semi Condensed" w:eastAsia="Barlow Semi Condensed" w:hAnsi="Barlow Semi Condensed"/>
          <w:sz w:val="24"/>
          <w:szCs w:val="24"/>
        </w:rPr>
        <w:t xml:space="preserve">, da usare con la cautela che ogni fonte di parte impone (Granta (https://granta.com/products/senior-service/); Internet Archive (https://archive.org/details/seniorservice0000felt)). John Foot, «No. 1 Scapegoat», </w:t>
      </w:r>
      <w:r>
        <w:rPr>
          <w:rFonts w:ascii="Barlow Semi Condensed" w:cs="Barlow Semi Condensed" w:eastAsia="Barlow Semi Condensed" w:hAnsi="Barlow Semi Condensed"/>
          <w:i/>
          <w:iCs/>
          <w:sz w:val="24"/>
          <w:szCs w:val="24"/>
        </w:rPr>
        <w:t xml:space="preserve">London Review of Books</w:t>
      </w:r>
      <w:r>
        <w:rPr>
          <w:rFonts w:ascii="Barlow Semi Condensed" w:cs="Barlow Semi Condensed" w:eastAsia="Barlow Semi Condensed" w:hAnsi="Barlow Semi Condensed"/>
          <w:sz w:val="24"/>
          <w:szCs w:val="24"/>
        </w:rPr>
        <w:t xml:space="preserve">, v. 24 n. 3 (LRB (https://www.lrb.co.uk/the-paper/v24/n03/john-foot/no.-1-scapegoat)).</w:t>
      </w:r>
    </w:p>
    <w:p>
      <w:pPr>
        <w:spacing w:after="120" w:line="276"/>
        <w:jc w:val="both"/>
      </w:pPr>
      <w:r>
        <w:rPr>
          <w:rFonts w:ascii="Barlow Semi Condensed" w:cs="Barlow Semi Condensed" w:eastAsia="Barlow Semi Condensed" w:hAnsi="Barlow Semi Condensed"/>
          <w:b/>
          <w:bCs/>
          <w:sz w:val="24"/>
          <w:szCs w:val="24"/>
        </w:rPr>
        <w:t xml:space="preserve">Enciclopediche e giornalistiche</w:t>
      </w:r>
      <w:r>
        <w:rPr>
          <w:rFonts w:ascii="Barlow Semi Condensed" w:cs="Barlow Semi Condensed" w:eastAsia="Barlow Semi Condensed" w:hAnsi="Barlow Semi Condensed"/>
          <w:sz w:val="24"/>
          <w:szCs w:val="24"/>
        </w:rPr>
        <w:t xml:space="preserve"> (per fatti non controversi): Wikipedia, </w:t>
      </w:r>
      <w:r>
        <w:rPr>
          <w:rFonts w:ascii="Barlow Semi Condensed" w:cs="Barlow Semi Condensed" w:eastAsia="Barlow Semi Condensed" w:hAnsi="Barlow Semi Condensed"/>
          <w:i/>
          <w:iCs/>
          <w:sz w:val="24"/>
          <w:szCs w:val="24"/>
        </w:rPr>
        <w:t xml:space="preserve">Giangiacomo Feltrinelli</w:t>
      </w:r>
      <w:r>
        <w:rPr>
          <w:rFonts w:ascii="Barlow Semi Condensed" w:cs="Barlow Semi Condensed" w:eastAsia="Barlow Semi Condensed" w:hAnsi="Barlow Semi Condensed"/>
          <w:sz w:val="24"/>
          <w:szCs w:val="24"/>
        </w:rPr>
        <w:t xml:space="preserve"> (https://en.wikipedia.org/wiki/Giangiacomo_Feltrinelli); Wikipedia, </w:t>
      </w:r>
      <w:r>
        <w:rPr>
          <w:rFonts w:ascii="Barlow Semi Condensed" w:cs="Barlow Semi Condensed" w:eastAsia="Barlow Semi Condensed" w:hAnsi="Barlow Semi Condensed"/>
          <w:i/>
          <w:iCs/>
          <w:sz w:val="24"/>
          <w:szCs w:val="24"/>
        </w:rPr>
        <w:t xml:space="preserve">Doctor Zhivago</w:t>
      </w:r>
      <w:r>
        <w:rPr>
          <w:rFonts w:ascii="Barlow Semi Condensed" w:cs="Barlow Semi Condensed" w:eastAsia="Barlow Semi Condensed" w:hAnsi="Barlow Semi Condensed"/>
          <w:sz w:val="24"/>
          <w:szCs w:val="24"/>
        </w:rPr>
        <w:t xml:space="preserve"> (https://en.wikipedia.org/wiki/Doctor_Zhivago_(novel)); Wikipedia, </w:t>
      </w:r>
      <w:r>
        <w:rPr>
          <w:rFonts w:ascii="Barlow Semi Condensed" w:cs="Barlow Semi Condensed" w:eastAsia="Barlow Semi Condensed" w:hAnsi="Barlow Semi Condensed"/>
          <w:i/>
          <w:iCs/>
          <w:sz w:val="24"/>
          <w:szCs w:val="24"/>
        </w:rPr>
        <w:t xml:space="preserve">The Leopard</w:t>
      </w:r>
      <w:r>
        <w:rPr>
          <w:rFonts w:ascii="Barlow Semi Condensed" w:cs="Barlow Semi Condensed" w:eastAsia="Barlow Semi Condensed" w:hAnsi="Barlow Semi Condensed"/>
          <w:sz w:val="24"/>
          <w:szCs w:val="24"/>
        </w:rPr>
        <w:t xml:space="preserve"> (https://en.wikipedia.org/wiki/The_Leopard); Wikipedia, </w:t>
      </w:r>
      <w:r>
        <w:rPr>
          <w:rFonts w:ascii="Barlow Semi Condensed" w:cs="Barlow Semi Condensed" w:eastAsia="Barlow Semi Condensed" w:hAnsi="Barlow Semi Condensed"/>
          <w:i/>
          <w:iCs/>
          <w:sz w:val="24"/>
          <w:szCs w:val="24"/>
        </w:rPr>
        <w:t xml:space="preserve">Guerrillero Heroico</w:t>
      </w:r>
      <w:r>
        <w:rPr>
          <w:rFonts w:ascii="Barlow Semi Condensed" w:cs="Barlow Semi Condensed" w:eastAsia="Barlow Semi Condensed" w:hAnsi="Barlow Semi Condensed"/>
          <w:sz w:val="24"/>
          <w:szCs w:val="24"/>
        </w:rPr>
        <w:t xml:space="preserve"> (https://en.wikipedia.org/wiki/Guerrillero_Heroico); </w:t>
      </w:r>
      <w:r>
        <w:rPr>
          <w:rFonts w:ascii="Barlow Semi Condensed" w:cs="Barlow Semi Condensed" w:eastAsia="Barlow Semi Condensed" w:hAnsi="Barlow Semi Condensed"/>
          <w:i/>
          <w:iCs/>
          <w:sz w:val="24"/>
          <w:szCs w:val="24"/>
        </w:rPr>
        <w:t xml:space="preserve">Italy On This Day</w:t>
      </w:r>
      <w:r>
        <w:rPr>
          <w:rFonts w:ascii="Barlow Semi Condensed" w:cs="Barlow Semi Condensed" w:eastAsia="Barlow Semi Condensed" w:hAnsi="Barlow Semi Condensed"/>
          <w:sz w:val="24"/>
          <w:szCs w:val="24"/>
        </w:rPr>
        <w:t xml:space="preserve"> (link (https://www.italyonthisday.com/2018/03/giangiacomo-feltrinelli-Italian-publisher-death-bomb-Milan.html)); </w:t>
      </w:r>
      <w:r>
        <w:rPr>
          <w:rFonts w:ascii="Barlow Semi Condensed" w:cs="Barlow Semi Condensed" w:eastAsia="Barlow Semi Condensed" w:hAnsi="Barlow Semi Condensed"/>
          <w:i/>
          <w:iCs/>
          <w:sz w:val="24"/>
          <w:szCs w:val="24"/>
        </w:rPr>
        <w:t xml:space="preserve">History Ireland</w:t>
      </w:r>
      <w:r>
        <w:rPr>
          <w:rFonts w:ascii="Barlow Semi Condensed" w:cs="Barlow Semi Condensed" w:eastAsia="Barlow Semi Condensed" w:hAnsi="Barlow Semi Condensed"/>
          <w:sz w:val="24"/>
          <w:szCs w:val="24"/>
        </w:rPr>
        <w:t xml:space="preserve"> (link (https://historyireland.com/che-guevara-jim-fitzpatrick-and-the-making-of-an-icon/)).</w:t>
      </w:r>
    </w:p>
    <w:p>
      <w:pPr>
        <w:spacing w:after="120" w:line="276"/>
        <w:jc w:val="both"/>
      </w:pPr>
      <w:r>
        <w:rPr>
          <w:rFonts w:ascii="Barlow Semi Condensed" w:cs="Barlow Semi Condensed" w:eastAsia="Barlow Semi Condensed" w:hAnsi="Barlow Semi Condensed"/>
          <w:b/>
          <w:bCs/>
          <w:sz w:val="24"/>
          <w:szCs w:val="24"/>
        </w:rPr>
        <w:t xml:space="preserve">Istituzionali.</w:t>
      </w:r>
      <w:r>
        <w:rPr>
          <w:rFonts w:ascii="Barlow Semi Condensed" w:cs="Barlow Semi Condensed" w:eastAsia="Barlow Semi Condensed" w:hAnsi="Barlow Semi Condensed"/>
          <w:sz w:val="24"/>
          <w:szCs w:val="24"/>
        </w:rPr>
        <w:t xml:space="preserve"> Fondazione Giangiacomo Feltrinelli, sezioni </w:t>
      </w:r>
      <w:r>
        <w:rPr>
          <w:rFonts w:ascii="Barlow Semi Condensed" w:cs="Barlow Semi Condensed" w:eastAsia="Barlow Semi Condensed" w:hAnsi="Barlow Semi Condensed"/>
          <w:i/>
          <w:iCs/>
          <w:sz w:val="24"/>
          <w:szCs w:val="24"/>
        </w:rPr>
        <w:t xml:space="preserve">About us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Library</w:t>
      </w:r>
      <w:r>
        <w:rPr>
          <w:rFonts w:ascii="Barlow Semi Condensed" w:cs="Barlow Semi Condensed" w:eastAsia="Barlow Semi Condensed" w:hAnsi="Barlow Semi Condensed"/>
          <w:sz w:val="24"/>
          <w:szCs w:val="24"/>
        </w:rPr>
        <w:t xml:space="preserve"> (fondazionefeltrinelli.it (https://fondazionefeltrinelli.it/en/about-us-4/)).</w:t>
      </w:r>
    </w:p>
    <w:p>
      <w:pPr>
        <w:spacing w:after="120" w:line="276"/>
        <w:jc w:val="both"/>
      </w:pPr>
      <w:r>
        <w:rPr>
          <w:rFonts w:ascii="Barlow Semi Condensed" w:cs="Barlow Semi Condensed" w:eastAsia="Barlow Semi Condensed" w:hAnsi="Barlow Semi Condensed"/>
          <w:i/>
          <w:iCs/>
          <w:sz w:val="24"/>
          <w:szCs w:val="24"/>
        </w:rPr>
        <w:t xml:space="preserve">La cronologia della morte è stata sciolta in triangolazione (morte il 14 marzo 1972, ritrovamento il 15; v. nota di revisione al § V). La ricostruzione segue il vaglio processuale del 1979, riscontrata sui nastri di Robbiano di Mediglia; la tesi dell'omicidio di Stato è registrata come congettura non provata. Fonti aggiunte in revisione: Treccani, Dizionario Biografico (https://www.treccani.it/enciclopedia/giangiacomo-feltrinelli_(Dizionario-Biografico)/); Il Post (https://www.ilpost.it/2022/03/14/giangiacomo-feltrinelli/); Wikipedia IT, GAP (https://it.wikipedia.org/wiki/Gruppi_d%27Azione_Partigiana). Nessuna imputazione oltre il giudicato.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Studio monografico su Giangiacomo Feltrinelli (1926-1972), il vettore del mito del Che. Si salda a monte con la parabola guevariana (`guevara-campagna-boliviana-1966-1967.md`) e a valle con il saggio di sintesi (`dal-che-a-moro-una-guerra-senza-fine.md`), di cui approfondisce l'anello centrale. Ricostruzione storica, senza agiografia né dietrologia.</w:t>
      </w:r>
    </w:p>
    <w:p>
      <w:pPr>
        <w:pStyle w:val="Heading3"/>
        <w:spacing w:after="80" w:before="240"/>
      </w:pPr>
      <w:r>
        <w:rPr>
          <w:rFonts w:ascii="Barlow Semi Condensed" w:cs="Barlow Semi Condensed" w:eastAsia="Barlow Semi Condensed" w:hAnsi="Barlow Semi Condensed"/>
          <w:sz w:val="24"/>
          <w:szCs w:val="24"/>
        </w:rPr>
        <w:t xml:space="preserve">Apparato grafico — Libro quinto · Feltrinelli, il vettore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 2.147 parole in 7 sezioni; la più ampia è §3 III. Il vettore: come un editore fabbrica un'…, con 445.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 33 indirizzi di fonte citati, addensati in 6 sezioni su 7.</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quinto — Il vettore e il ceppo — II. La triangolazione di Feltrinelli</w:t>
      </w:r>
    </w:p>
    <w:p>
      <w:pPr>
        <w:pStyle w:val="Heading1"/>
        <w:spacing w:after="120" w:before="240"/>
      </w:pPr>
      <w:r>
        <w:rPr>
          <w:rFonts w:ascii="Barlow Semi Condensed" w:cs="Barlow Semi Condensed" w:eastAsia="Barlow Semi Condensed" w:hAnsi="Barlow Semi Condensed"/>
          <w:sz w:val="24"/>
          <w:szCs w:val="24"/>
        </w:rPr>
        <w:t xml:space="preserve">Triangolazione: Feltrinelli e il corpus</w:t>
      </w:r>
    </w:p>
    <w:p>
      <w:pPr>
        <w:spacing w:after="120" w:line="276"/>
        <w:jc w:val="both"/>
      </w:pPr>
      <w:r>
        <w:rPr>
          <w:rFonts w:ascii="Barlow Semi Condensed" w:cs="Barlow Semi Condensed" w:eastAsia="Barlow Semi Condensed" w:hAnsi="Barlow Semi Condensed"/>
          <w:i/>
          <w:iCs/>
          <w:sz w:val="24"/>
          <w:szCs w:val="24"/>
        </w:rPr>
        <w:t xml:space="preserve">Verifica sistematica dello studio monografico «Feltrinelli: il vettore» e mappatura dei ponti con l'intero corpus — 24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questo documento.</w:t>
      </w:r>
      <w:r>
        <w:rPr>
          <w:rFonts w:ascii="Barlow Semi Condensed" w:cs="Barlow Semi Condensed" w:eastAsia="Barlow Semi Condensed" w:hAnsi="Barlow Semi Condensed"/>
          <w:i w:val="false"/>
          <w:iCs w:val="false"/>
          <w:sz w:val="24"/>
          <w:szCs w:val="24"/>
        </w:rPr>
        <w:t xml:space="preserve"> Applica allo studio monografico su Giangiacomo Feltrinelli la stessa disciplina già applicata al corpus guevariano in </w:t>
      </w:r>
      <w:r>
        <w:rPr>
          <w:rFonts w:ascii="Barlow Semi Condensed" w:cs="Barlow Semi Condensed" w:eastAsia="Barlow Semi Condensed" w:hAnsi="Barlow Semi Condensed"/>
          <w:i w:val="false"/>
          <w:iCs w:val="false"/>
          <w:sz w:val="24"/>
          <w:szCs w:val="24"/>
        </w:rPr>
        <w:t xml:space="preserve">triangolazioni-guevara-moro.md</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ogni affermazione portante è riscontrata su fonti indipendenti</w:t>
      </w:r>
      <w:r>
        <w:rPr>
          <w:rFonts w:ascii="Barlow Semi Condensed" w:cs="Barlow Semi Condensed" w:eastAsia="Barlow Semi Condensed" w:hAnsi="Barlow Semi Condensed"/>
          <w:i w:val="false"/>
          <w:iCs w:val="false"/>
          <w:sz w:val="24"/>
          <w:szCs w:val="24"/>
        </w:rPr>
        <w:t xml:space="preserve">, con esito dichiarato (✅ confermata · ⚠️ precisata o corretta · 🔵 categoria confermata come congettura); poi la figura è </w:t>
      </w:r>
      <w:r>
        <w:rPr>
          <w:rFonts w:ascii="Barlow Semi Condensed" w:cs="Barlow Semi Condensed" w:eastAsia="Barlow Semi Condensed" w:hAnsi="Barlow Semi Condensed"/>
          <w:b/>
          <w:bCs/>
          <w:i w:val="false"/>
          <w:iCs w:val="false"/>
          <w:sz w:val="24"/>
          <w:szCs w:val="24"/>
        </w:rPr>
        <w:t xml:space="preserve">triangolata con ciascun documento del corpus</w:t>
      </w:r>
      <w:r>
        <w:rPr>
          <w:rFonts w:ascii="Barlow Semi Condensed" w:cs="Barlow Semi Condensed" w:eastAsia="Barlow Semi Condensed" w:hAnsi="Barlow Semi Condensed"/>
          <w:i w:val="false"/>
          <w:iCs w:val="false"/>
          <w:sz w:val="24"/>
          <w:szCs w:val="24"/>
        </w:rPr>
        <w:t xml:space="preserve">, distinguendo i ponti documentati dalle convergenze e dalle anti-triangolazioni (i nessi che </w:t>
      </w:r>
      <w:r>
        <w:rPr>
          <w:rFonts w:ascii="Barlow Semi Condensed" w:cs="Barlow Semi Condensed" w:eastAsia="Barlow Semi Condensed" w:hAnsi="Barlow Semi Condensed"/>
          <w:i w:val="false"/>
          <w:iCs w:val="false"/>
          <w:sz w:val="24"/>
          <w:szCs w:val="24"/>
        </w:rPr>
        <w:t xml:space="preserve">non</w:t>
      </w:r>
      <w:r>
        <w:rPr>
          <w:rFonts w:ascii="Barlow Semi Condensed" w:cs="Barlow Semi Condensed" w:eastAsia="Barlow Semi Condensed" w:hAnsi="Barlow Semi Condensed"/>
          <w:i w:val="false"/>
          <w:iCs w:val="false"/>
          <w:sz w:val="24"/>
          <w:szCs w:val="24"/>
        </w:rPr>
        <w:t xml:space="preserve"> reggono e vanno negati esplicitamente). Le correzioni emerse sono già state applicate alla monografia con note di revisione. Esiti: </w:t>
      </w:r>
      <w:r>
        <w:rPr>
          <w:rFonts w:ascii="Barlow Semi Condensed" w:cs="Barlow Semi Condensed" w:eastAsia="Barlow Semi Condensed" w:hAnsi="Barlow Semi Condensed"/>
          <w:b/>
          <w:bCs/>
          <w:i w:val="false"/>
          <w:iCs w:val="false"/>
          <w:sz w:val="24"/>
          <w:szCs w:val="24"/>
        </w:rPr>
        <w:t xml:space="preserve">17 nodi di verifica</w:t>
      </w:r>
      <w:r>
        <w:rPr>
          <w:rFonts w:ascii="Barlow Semi Condensed" w:cs="Barlow Semi Condensed" w:eastAsia="Barlow Semi Condensed" w:hAnsi="Barlow Semi Condensed"/>
          <w:i w:val="false"/>
          <w:iCs w:val="false"/>
          <w:sz w:val="24"/>
          <w:szCs w:val="24"/>
        </w:rPr>
        <w:t xml:space="preserve"> (13 ✅, 3 ⚠️, 1 🔵), </w:t>
      </w:r>
      <w:r>
        <w:rPr>
          <w:rFonts w:ascii="Barlow Semi Condensed" w:cs="Barlow Semi Condensed" w:eastAsia="Barlow Semi Condensed" w:hAnsi="Barlow Semi Condensed"/>
          <w:b/>
          <w:bCs/>
          <w:i w:val="false"/>
          <w:iCs w:val="false"/>
          <w:sz w:val="24"/>
          <w:szCs w:val="24"/>
        </w:rPr>
        <w:t xml:space="preserve">7 ponti col corpus</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3 anti-triangolazioni</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1 nodo nuovo emerso</w:t>
      </w:r>
      <w:r>
        <w:rPr>
          <w:rFonts w:ascii="Barlow Semi Condensed" w:cs="Barlow Semi Condensed" w:eastAsia="Barlow Semi Condensed" w:hAnsi="Barlow Semi Condensed"/>
          <w:i w:val="false"/>
          <w:iCs w:val="false"/>
          <w:sz w:val="24"/>
          <w:szCs w:val="24"/>
        </w:rPr>
        <w:t xml:space="preserve"> (la Bolivia dell'agosto 1967).</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Verifica delle affermazioni portanti (nodi F-1…F-17)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Affermazione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Riscontro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Nascita a Milano, 19 giugno 1926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EN (https://en.wikipedia.org/wiki/Giangiacomo_Feltrinelli); Treccani (https://www.treccani.it/enciclopedia/giangiacomo-feltrinelli_(Dizionario-Biografico)/)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Fortuna di famiglia (legname → banca: Credito Italiano, Edison); eredità della parte maggiore nel 1947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LRB, John Foot (https://www.lrb.co.uk/the-paper/v24/n03/john-foot/no.-1-scapegoat); Wikipedia EN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Guerra: esercito cobelligerante e adesione al PCI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EN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Biblioteca fondata nel 1949; Fondazione per DPR del 27 aprile 1974; consistenze (1,5 mln schede, 250.000 volumi, 15.000 manifesti)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Fondazione Feltrinelli (https://fondazionefeltrinelli.it/en/about-us-4/)</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Casa editrice fondata a Milano nel 1954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EN; Treccani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F-6</w:t>
            </w:r>
          </w:p>
        </w:tc>
        <w:tc>
          <w:tcPr>
            <w:tcW w:type="dxa" w:w="2340"/>
          </w:tcPr>
          <w:p>
            <w:pPr>
              <w:spacing w:after="20" w:before="20"/>
              <w:jc w:val="both"/>
            </w:pPr>
            <w:r>
              <w:rPr>
                <w:rFonts w:ascii="Barlow Semi Condensed" w:cs="Barlow Semi Condensed" w:eastAsia="Barlow Semi Condensed" w:hAnsi="Barlow Semi Condensed"/>
                <w:i/>
                <w:iCs/>
                <w:sz w:val="20"/>
                <w:szCs w:val="20"/>
              </w:rPr>
              <w:t xml:space="preserve">Živago</w:t>
            </w:r>
            <w:r>
              <w:rPr>
                <w:rFonts w:ascii="Barlow Semi Condensed" w:cs="Barlow Semi Condensed" w:eastAsia="Barlow Semi Condensed" w:hAnsi="Barlow Semi Condensed"/>
                <w:sz w:val="20"/>
                <w:szCs w:val="20"/>
              </w:rPr>
              <w:t xml:space="preserve">: contratto con Pasternak giugno 1956; prima edizione mondiale, novembre 1957; resistenza alle pressioni di Cremlino e PCI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w:t>
            </w:r>
            <w:r>
              <w:rPr>
                <w:rFonts w:ascii="Barlow Semi Condensed" w:cs="Barlow Semi Condensed" w:eastAsia="Barlow Semi Condensed" w:hAnsi="Barlow Semi Condensed"/>
                <w:i/>
                <w:iCs/>
                <w:sz w:val="20"/>
                <w:szCs w:val="20"/>
              </w:rPr>
              <w:t xml:space="preserve">Doctor Zhivago</w:t>
            </w:r>
            <w:r>
              <w:rPr>
                <w:rFonts w:ascii="Barlow Semi Condensed" w:cs="Barlow Semi Condensed" w:eastAsia="Barlow Semi Condensed" w:hAnsi="Barlow Semi Condensed"/>
                <w:sz w:val="20"/>
                <w:szCs w:val="20"/>
              </w:rPr>
              <w:t xml:space="preserve"> (https://en.wikipedia.org/wiki/Doctor_Zhivago_(novel)); avvio stampa 28 maggio 1957 (AbeBooks IT (https://www.abebooks.it/libri/giangiacomo-feltrinelli-dottor-zivago.shtml))</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Uscita dal PCI «nel 1958»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Precisata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Treccani (https://www.treccani.it/enciclopedia/giangiacomo-feltrinelli_(Dizionario-Biografico)/): il 1957 fu l'ultimo anno di tessera; rottura maturata su Živago, Ungheria e la lettera del 28 settembre 1957 (minaccia di espulsione); altre fonti (Wikipedia EN) datano 1958. Corretta in monografia come processo 1957-58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F-8</w:t>
            </w:r>
          </w:p>
        </w:tc>
        <w:tc>
          <w:tcPr>
            <w:tcW w:type="dxa" w:w="2340"/>
          </w:tcPr>
          <w:p>
            <w:pPr>
              <w:spacing w:after="20" w:before="20"/>
              <w:jc w:val="both"/>
            </w:pPr>
            <w:r>
              <w:rPr>
                <w:rFonts w:ascii="Barlow Semi Condensed" w:cs="Barlow Semi Condensed" w:eastAsia="Barlow Semi Condensed" w:hAnsi="Barlow Semi Condensed"/>
                <w:i/>
                <w:iCs/>
                <w:sz w:val="20"/>
                <w:szCs w:val="20"/>
              </w:rPr>
              <w:t xml:space="preserve">Il Gattopardo</w:t>
            </w:r>
            <w:r>
              <w:rPr>
                <w:rFonts w:ascii="Barlow Semi Condensed" w:cs="Barlow Semi Condensed" w:eastAsia="Barlow Semi Condensed" w:hAnsi="Barlow Semi Condensed"/>
                <w:sz w:val="20"/>
                <w:szCs w:val="20"/>
              </w:rPr>
              <w:t xml:space="preserve">: rifiutato dagli altri editori, uscito nov. 1958, 52 edizioni in meno di sei mesi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w:t>
            </w:r>
            <w:r>
              <w:rPr>
                <w:rFonts w:ascii="Barlow Semi Condensed" w:cs="Barlow Semi Condensed" w:eastAsia="Barlow Semi Condensed" w:hAnsi="Barlow Semi Condensed"/>
                <w:i/>
                <w:iCs/>
                <w:sz w:val="20"/>
                <w:szCs w:val="20"/>
              </w:rPr>
              <w:t xml:space="preserve">The Leopard</w:t>
            </w:r>
            <w:r>
              <w:rPr>
                <w:rFonts w:ascii="Barlow Semi Condensed" w:cs="Barlow Semi Condensed" w:eastAsia="Barlow Semi Condensed" w:hAnsi="Barlow Semi Condensed"/>
                <w:sz w:val="20"/>
                <w:szCs w:val="20"/>
              </w:rPr>
              <w:t xml:space="preserve"> (https://en.wikipedia.org/wiki/The_Leopard)</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Prima catena di librerie d'Italia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EN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Assiduità cubana; progetto di ghost-writing della biografia di Castro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History Ireland (https://historyireland.com/che-guevara-jim-fitzpatrick-and-the-making-of-an-icon/)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Acquisto nell'estate 1967 dei diritti del </w:t>
            </w:r>
            <w:r>
              <w:rPr>
                <w:rFonts w:ascii="Barlow Semi Condensed" w:cs="Barlow Semi Condensed" w:eastAsia="Barlow Semi Condensed" w:hAnsi="Barlow Semi Condensed"/>
                <w:i/>
                <w:iCs/>
                <w:sz w:val="20"/>
                <w:szCs w:val="20"/>
              </w:rPr>
              <w:t xml:space="preserve">Diario</w:t>
            </w:r>
            <w:r>
              <w:rPr>
                <w:rFonts w:ascii="Barlow Semi Condensed" w:cs="Barlow Semi Condensed" w:eastAsia="Barlow Semi Condensed" w:hAnsi="Barlow Semi Condensed"/>
                <w:sz w:val="20"/>
                <w:szCs w:val="20"/>
              </w:rPr>
              <w:t xml:space="preserve"> boliviano </w:t>
            </w:r>
            <w:r>
              <w:rPr>
                <w:rFonts w:ascii="Barlow Semi Condensed" w:cs="Barlow Semi Condensed" w:eastAsia="Barlow Semi Condensed" w:hAnsi="Barlow Semi Condensed"/>
                <w:b/>
                <w:bCs/>
                <w:sz w:val="20"/>
                <w:szCs w:val="20"/>
              </w:rPr>
              <w:t xml:space="preserve">insieme</w:t>
            </w:r>
            <w:r>
              <w:rPr>
                <w:rFonts w:ascii="Barlow Semi Condensed" w:cs="Barlow Semi Condensed" w:eastAsia="Barlow Semi Condensed" w:hAnsi="Barlow Semi Condensed"/>
                <w:sz w:val="20"/>
                <w:szCs w:val="20"/>
              </w:rPr>
              <w:t xml:space="preserve"> alla foto di Korda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History Ireland; Wikipedia, </w:t>
            </w:r>
            <w:r>
              <w:rPr>
                <w:rFonts w:ascii="Barlow Semi Condensed" w:cs="Barlow Semi Condensed" w:eastAsia="Barlow Semi Condensed" w:hAnsi="Barlow Semi Condensed"/>
                <w:i/>
                <w:iCs/>
                <w:sz w:val="20"/>
                <w:szCs w:val="20"/>
              </w:rPr>
              <w:t xml:space="preserve">Guerrillero Heroico</w:t>
            </w:r>
            <w:r>
              <w:rPr>
                <w:rFonts w:ascii="Barlow Semi Condensed" w:cs="Barlow Semi Condensed" w:eastAsia="Barlow Semi Condensed" w:hAnsi="Barlow Semi Condensed"/>
                <w:sz w:val="20"/>
                <w:szCs w:val="20"/>
              </w:rPr>
              <w:t xml:space="preserve"> (https://en.wikipedia.org/wiki/Guerrillero_Heroico)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F-12</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Bolivia, agosto 1967: viaggio, arresto, espulsione</w:t>
            </w:r>
            <w:r>
              <w:rPr>
                <w:rFonts w:ascii="Barlow Semi Condensed" w:cs="Barlow Semi Condensed" w:eastAsia="Barlow Semi Condensed" w:hAnsi="Barlow Semi Condensed"/>
                <w:sz w:val="20"/>
                <w:szCs w:val="20"/>
              </w:rPr>
              <w:t xml:space="preserve"> (processo Debray a Camiri; contatti con l'ambiente ELN)</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Nodo nuovo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Treccani (https://www.treccani.it/enciclopedia/giangiacomo-feltrinelli_(Dizionario-Biografico)/); A ca' l'Alveare (https://www.acalveare.it/2025/11/15/giangiacomo-feltrinelli-leditore-rivoluzionario/); Salto.bz (https://salto.bz/it/article/08042026/bolivia-sulle-tracce-del-che). Assente nella prima stesura; integrato al § III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F-13</w:t>
            </w:r>
          </w:p>
        </w:tc>
        <w:tc>
          <w:tcPr>
            <w:tcW w:type="dxa" w:w="2340"/>
          </w:tcPr>
          <w:p>
            <w:pPr>
              <w:spacing w:after="20" w:before="20"/>
              <w:jc w:val="both"/>
            </w:pPr>
            <w:r>
              <w:rPr>
                <w:rFonts w:ascii="Barlow Semi Condensed" w:cs="Barlow Semi Condensed" w:eastAsia="Barlow Semi Condensed" w:hAnsi="Barlow Semi Condensed"/>
                <w:i/>
                <w:iCs/>
                <w:sz w:val="20"/>
                <w:szCs w:val="20"/>
              </w:rPr>
              <w:t xml:space="preserve">Diario</w:t>
            </w:r>
            <w:r>
              <w:rPr>
                <w:rFonts w:ascii="Barlow Semi Condensed" w:cs="Barlow Semi Condensed" w:eastAsia="Barlow Semi Condensed" w:hAnsi="Barlow Semi Condensed"/>
                <w:sz w:val="20"/>
                <w:szCs w:val="20"/>
              </w:rPr>
              <w:t xml:space="preserve"> 1968 con copertina Korda e prefazione di Castro; centinaia di manifesti per il lancio, ripresi dagli studenti nel '68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Già riscontrata come nodo M-2 della matrice Guevara-Moro; History Ireland</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GAP fondati «intorno al 1970»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Precisata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Wikipedia IT, GAP (https://it.wikipedia.org/wiki/Gruppi_d%27Azione_Partigiana): aprile-maggio 1970; ramificazione nel Milanese, Genova, Trentino, Torino; sigla ripresa </w:t>
            </w:r>
            <w:r>
              <w:rPr>
                <w:rFonts w:ascii="Barlow Semi Condensed" w:cs="Barlow Semi Condensed" w:eastAsia="Barlow Semi Condensed" w:hAnsi="Barlow Semi Condensed"/>
                <w:b/>
                <w:bCs/>
                <w:sz w:val="20"/>
                <w:szCs w:val="20"/>
              </w:rPr>
              <w:t xml:space="preserve">deliberatamente</w:t>
            </w:r>
            <w:r>
              <w:rPr>
                <w:rFonts w:ascii="Barlow Semi Condensed" w:cs="Barlow Semi Condensed" w:eastAsia="Barlow Semi Condensed" w:hAnsi="Barlow Semi Condensed"/>
                <w:sz w:val="20"/>
                <w:szCs w:val="20"/>
              </w:rPr>
              <w:t xml:space="preserve"> dai Gruppi di Azione Patriottica della Resistenza (1943-45). Data e genealogia del nome integrate in monografia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Curcio: i brigatisti «a scuola di guerriglia da Feltrinelli»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Già riscontrata (M-2): Tassinari (https://www.ugomariatassinari.it/feltrinelli-curcio/)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Morte a Segrate, «notte tra il 14 e il 15 marzo 1972», discrepanza delle fonti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Sciolta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Morte il </w:t>
            </w:r>
            <w:r>
              <w:rPr>
                <w:rFonts w:ascii="Barlow Semi Condensed" w:cs="Barlow Semi Condensed" w:eastAsia="Barlow Semi Condensed" w:hAnsi="Barlow Semi Condensed"/>
                <w:b/>
                <w:bCs/>
                <w:sz w:val="20"/>
                <w:szCs w:val="20"/>
              </w:rPr>
              <w:t xml:space="preserve">14 marzo</w:t>
            </w:r>
            <w:r>
              <w:rPr>
                <w:rFonts w:ascii="Barlow Semi Condensed" w:cs="Barlow Semi Condensed" w:eastAsia="Barlow Semi Condensed" w:hAnsi="Barlow Semi Condensed"/>
                <w:sz w:val="20"/>
                <w:szCs w:val="20"/>
              </w:rPr>
              <w:t xml:space="preserve"> (esplosione al traliccio, Cascina Nuova di Segrate); ritrovamento il </w:t>
            </w:r>
            <w:r>
              <w:rPr>
                <w:rFonts w:ascii="Barlow Semi Condensed" w:cs="Barlow Semi Condensed" w:eastAsia="Barlow Semi Condensed" w:hAnsi="Barlow Semi Condensed"/>
                <w:b/>
                <w:bCs/>
                <w:sz w:val="20"/>
                <w:szCs w:val="20"/>
              </w:rPr>
              <w:t xml:space="preserve">pomeriggio del 15</w:t>
            </w:r>
            <w:r>
              <w:rPr>
                <w:rFonts w:ascii="Barlow Semi Condensed" w:cs="Barlow Semi Condensed" w:eastAsia="Barlow Semi Condensed" w:hAnsi="Barlow Semi Condensed"/>
                <w:sz w:val="20"/>
                <w:szCs w:val="20"/>
              </w:rPr>
              <w:t xml:space="preserve"> da parte del contadino Luigi Stringhetti; documenti falsi «Vincenzo Maggioni»; identificazione dopo 24 ore; nome di battaglia «Osvaldo» (Il Post (https://www.ilpost.it/2022/03/14/giangiacomo-feltrinelli/); Fatti per la Storia (https://www.fattiperlastoria.it/morte-feltrinelli/)). Le fonti «discordi» si riferivano a due momenti distinti. Corretta in monografia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F-17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Ricostruzione giudiziaria 1979 (sabotaggio, errore tecnico); tesi dell'omicidio di Stato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 🔵</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ricostruzione del 1979 trova riscontro anche nei </w:t>
            </w:r>
            <w:r>
              <w:rPr>
                <w:rFonts w:ascii="Barlow Semi Condensed" w:cs="Barlow Semi Condensed" w:eastAsia="Barlow Semi Condensed" w:hAnsi="Barlow Semi Condensed"/>
                <w:b/>
                <w:bCs/>
                <w:sz w:val="20"/>
                <w:szCs w:val="20"/>
              </w:rPr>
              <w:t xml:space="preserve">nastri del covo BR di Robbiano di Mediglia</w:t>
            </w:r>
            <w:r>
              <w:rPr>
                <w:rFonts w:ascii="Barlow Semi Condensed" w:cs="Barlow Semi Condensed" w:eastAsia="Barlow Semi Condensed" w:hAnsi="Barlow Semi Condensed"/>
                <w:sz w:val="20"/>
                <w:szCs w:val="20"/>
              </w:rPr>
              <w:t xml:space="preserve"> («Osvaldo» con i candelotti sotto la gamba — Il Post (https://www.ilpost.it/2022/03/14/giangiacomo-feltrinelli/)); la tesi dell'omicidio resta, dopo verifica, esattamente dove la monografia l'aveva collocata: </w:t>
            </w:r>
            <w:r>
              <w:rPr>
                <w:rFonts w:ascii="Barlow Semi Condensed" w:cs="Barlow Semi Condensed" w:eastAsia="Barlow Semi Condensed" w:hAnsi="Barlow Semi Condensed"/>
                <w:b/>
                <w:bCs/>
                <w:sz w:val="20"/>
                <w:szCs w:val="20"/>
              </w:rPr>
              <w:t xml:space="preserve">congettura non provata</w:t>
            </w:r>
            <w:r>
              <w:rPr>
                <w:rFonts w:ascii="Barlow Semi Condensed" w:cs="Barlow Semi Condensed" w:eastAsia="Barlow Semi Condensed" w:hAnsi="Barlow Semi Condensed"/>
                <w:sz w:val="20"/>
                <w:szCs w:val="20"/>
              </w:rPr>
              <w:t xml:space="preserve">. «Fu ipotizzato l'omicidio e furono aperte inchieste, ma la verità non fu mai trovata»</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Bilancio della verifica.</w:t>
      </w:r>
      <w:r>
        <w:rPr>
          <w:rFonts w:ascii="Barlow Semi Condensed" w:cs="Barlow Semi Condensed" w:eastAsia="Barlow Semi Condensed" w:hAnsi="Barlow Semi Condensed"/>
          <w:sz w:val="24"/>
          <w:szCs w:val="24"/>
        </w:rPr>
        <w:t xml:space="preserve"> Nessuna affermazione portante è caduta. Tre sono state precisate (PCI, GAP, Segrate) e le correzioni sono già nel testo con note di revisione; una (la Bolivia del 1967) mancava ed è stata integrata. La categoria «congettura» assegnata alla tesi dell'omicidio ha retto al riscontro: è la collocazione giusta, né promossa né liquidata.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I ponti con il corpus (B-1…B-7)</w:t>
      </w:r>
    </w:p>
    <w:p>
      <w:pPr>
        <w:spacing w:after="120" w:line="276"/>
        <w:jc w:val="both"/>
      </w:pPr>
      <w:r>
        <w:rPr>
          <w:rFonts w:ascii="Barlow Semi Condensed" w:cs="Barlow Semi Condensed" w:eastAsia="Barlow Semi Condensed" w:hAnsi="Barlow Semi Condensed"/>
          <w:sz w:val="24"/>
          <w:szCs w:val="24"/>
        </w:rPr>
        <w:t xml:space="preserve">Triangolare Feltrinelli «con ognuno nel corpus» significa dire, per ciascun documento, </w:t>
      </w:r>
      <w:r>
        <w:rPr>
          <w:rFonts w:ascii="Barlow Semi Condensed" w:cs="Barlow Semi Condensed" w:eastAsia="Barlow Semi Condensed" w:hAnsi="Barlow Semi Condensed"/>
          <w:b/>
          <w:bCs/>
          <w:sz w:val="24"/>
          <w:szCs w:val="24"/>
        </w:rPr>
        <w:t xml:space="preserve">se</w:t>
      </w:r>
      <w:r>
        <w:rPr>
          <w:rFonts w:ascii="Barlow Semi Condensed" w:cs="Barlow Semi Condensed" w:eastAsia="Barlow Semi Condensed" w:hAnsi="Barlow Semi Condensed"/>
          <w:sz w:val="24"/>
          <w:szCs w:val="24"/>
        </w:rPr>
        <w:t xml:space="preserve"> un ponte esiste e </w:t>
      </w:r>
      <w:r>
        <w:rPr>
          <w:rFonts w:ascii="Barlow Semi Condensed" w:cs="Barlow Semi Condensed" w:eastAsia="Barlow Semi Condensed" w:hAnsi="Barlow Semi Condensed"/>
          <w:b/>
          <w:bCs/>
          <w:sz w:val="24"/>
          <w:szCs w:val="24"/>
        </w:rPr>
        <w:t xml:space="preserve">di che natura</w:t>
      </w:r>
      <w:r>
        <w:rPr>
          <w:rFonts w:ascii="Barlow Semi Condensed" w:cs="Barlow Semi Condensed" w:eastAsia="Barlow Semi Condensed" w:hAnsi="Barlow Semi Condensed"/>
          <w:sz w:val="24"/>
          <w:szCs w:val="24"/>
        </w:rPr>
        <w:t xml:space="preserve"> è. Ecco la mappa, ponte per ponte.</w:t>
      </w:r>
    </w:p>
    <w:p>
      <w:pPr>
        <w:pStyle w:val="Heading3"/>
        <w:spacing w:after="80" w:before="160"/>
      </w:pPr>
      <w:r>
        <w:rPr>
          <w:rFonts w:ascii="Barlow Semi Condensed" w:cs="Barlow Semi Condensed" w:eastAsia="Barlow Semi Condensed" w:hAnsi="Barlow Semi Condensed"/>
          <w:sz w:val="24"/>
          <w:szCs w:val="24"/>
        </w:rPr>
        <w:t xml:space="preserve">B-1 · Con la campagna boliviana (guevara-campagna-boliviana-1966-1967.md) — ponte documentato, nuovo</w:t>
      </w:r>
    </w:p>
    <w:p>
      <w:pPr>
        <w:spacing w:after="120" w:line="276"/>
        <w:jc w:val="both"/>
      </w:pPr>
      <w:r>
        <w:rPr>
          <w:rFonts w:ascii="Barlow Semi Condensed" w:cs="Barlow Semi Condensed" w:eastAsia="Barlow Semi Condensed" w:hAnsi="Barlow Semi Condensed"/>
          <w:sz w:val="24"/>
          <w:szCs w:val="24"/>
        </w:rPr>
        <w:t xml:space="preserve">Il capitolo boliviano registra la cattura di </w:t>
      </w:r>
      <w:r>
        <w:rPr>
          <w:rFonts w:ascii="Barlow Semi Condensed" w:cs="Barlow Semi Condensed" w:eastAsia="Barlow Semi Condensed" w:hAnsi="Barlow Semi Condensed"/>
          <w:b/>
          <w:bCs/>
          <w:sz w:val="24"/>
          <w:szCs w:val="24"/>
        </w:rPr>
        <w:t xml:space="preserve">Régis Debray</w:t>
      </w:r>
      <w:r>
        <w:rPr>
          <w:rFonts w:ascii="Barlow Semi Condensed" w:cs="Barlow Semi Condensed" w:eastAsia="Barlow Semi Condensed" w:hAnsi="Barlow Semi Condensed"/>
          <w:sz w:val="24"/>
          <w:szCs w:val="24"/>
        </w:rPr>
        <w:t xml:space="preserve"> (20 aprile 1967) e il suo processo, che «internazionalizzò il caso». La triangolazione aggiunge il tassello mancante: fra i presenti attirati da quel processo </w:t>
      </w:r>
      <w:r>
        <w:rPr>
          <w:rFonts w:ascii="Barlow Semi Condensed" w:cs="Barlow Semi Condensed" w:eastAsia="Barlow Semi Condensed" w:hAnsi="Barlow Semi Condensed"/>
          <w:b/>
          <w:bCs/>
          <w:sz w:val="24"/>
          <w:szCs w:val="24"/>
        </w:rPr>
        <w:t xml:space="preserve">ci fu Feltrinelli in persona</w:t>
      </w:r>
      <w:r>
        <w:rPr>
          <w:rFonts w:ascii="Barlow Semi Condensed" w:cs="Barlow Semi Condensed" w:eastAsia="Barlow Semi Condensed" w:hAnsi="Barlow Semi Condensed"/>
          <w:sz w:val="24"/>
          <w:szCs w:val="24"/>
        </w:rPr>
        <w:t xml:space="preserve">, arrestato ed espulso dalla Bolivia nell'agosto 1967. Il vettore non comprò il mito da lontano: </w:t>
      </w:r>
      <w:r>
        <w:rPr>
          <w:rFonts w:ascii="Barlow Semi Condensed" w:cs="Barlow Semi Condensed" w:eastAsia="Barlow Semi Condensed" w:hAnsi="Barlow Semi Condensed"/>
          <w:b/>
          <w:bCs/>
          <w:sz w:val="24"/>
          <w:szCs w:val="24"/>
        </w:rPr>
        <w:t xml:space="preserve">si presentò sul bordo della guerriglia due mesi prima della Quebrada del Churo</w:t>
      </w:r>
      <w:r>
        <w:rPr>
          <w:rFonts w:ascii="Barlow Semi Condensed" w:cs="Barlow Semi Condensed" w:eastAsia="Barlow Semi Condensed" w:hAnsi="Barlow Semi Condensed"/>
          <w:sz w:val="24"/>
          <w:szCs w:val="24"/>
        </w:rPr>
        <w:t xml:space="preserve">. È il ponte fisico — non solo editoriale — fra la biografia di Feltrinelli e la parabola guevariana, e retrodata il suo investimento sul Che a </w:t>
      </w:r>
      <w:r>
        <w:rPr>
          <w:rFonts w:ascii="Barlow Semi Condensed" w:cs="Barlow Semi Condensed" w:eastAsia="Barlow Semi Condensed" w:hAnsi="Barlow Semi Condensed"/>
          <w:i/>
          <w:iCs/>
          <w:sz w:val="24"/>
          <w:szCs w:val="24"/>
        </w:rPr>
        <w:t xml:space="preserve">prima</w:t>
      </w:r>
      <w:r>
        <w:rPr>
          <w:rFonts w:ascii="Barlow Semi Condensed" w:cs="Barlow Semi Condensed" w:eastAsia="Barlow Semi Condensed" w:hAnsi="Barlow Semi Condensed"/>
          <w:sz w:val="24"/>
          <w:szCs w:val="24"/>
        </w:rPr>
        <w:t xml:space="preserve"> della morte di questi.</w:t>
      </w:r>
    </w:p>
    <w:p>
      <w:pPr>
        <w:pStyle w:val="Heading3"/>
        <w:spacing w:after="80" w:before="160"/>
      </w:pPr>
      <w:r>
        <w:rPr>
          <w:rFonts w:ascii="Barlow Semi Condensed" w:cs="Barlow Semi Condensed" w:eastAsia="Barlow Semi Condensed" w:hAnsi="Barlow Semi Condensed"/>
          <w:sz w:val="24"/>
          <w:szCs w:val="24"/>
        </w:rPr>
        <w:t xml:space="preserve">B-2 · Con le fonti stesse del corpus (guevara-bibliografia-critica.md) — ponte riflessivo, documentato</w:t>
      </w:r>
    </w:p>
    <w:p>
      <w:pPr>
        <w:spacing w:after="120" w:line="276"/>
        <w:jc w:val="both"/>
      </w:pPr>
      <w:r>
        <w:rPr>
          <w:rFonts w:ascii="Barlow Semi Condensed" w:cs="Barlow Semi Condensed" w:eastAsia="Barlow Semi Condensed" w:hAnsi="Barlow Semi Condensed"/>
          <w:sz w:val="24"/>
          <w:szCs w:val="24"/>
        </w:rPr>
        <w:t xml:space="preserve">La bibliografia critica del corpus elenca il </w:t>
      </w:r>
      <w:r>
        <w:rPr>
          <w:rFonts w:ascii="Barlow Semi Condensed" w:cs="Barlow Semi Condensed" w:eastAsia="Barlow Semi Condensed" w:hAnsi="Barlow Semi Condensed"/>
          <w:i/>
          <w:iCs/>
          <w:sz w:val="24"/>
          <w:szCs w:val="24"/>
        </w:rPr>
        <w:t xml:space="preserve">Diario del Che in Bolivia</w:t>
      </w:r>
      <w:r>
        <w:rPr>
          <w:rFonts w:ascii="Barlow Semi Condensed" w:cs="Barlow Semi Condensed" w:eastAsia="Barlow Semi Condensed" w:hAnsi="Barlow Semi Condensed"/>
          <w:sz w:val="24"/>
          <w:szCs w:val="24"/>
        </w:rPr>
        <w:t xml:space="preserve"> come </w:t>
      </w:r>
      <w:r>
        <w:rPr>
          <w:rFonts w:ascii="Barlow Semi Condensed" w:cs="Barlow Semi Condensed" w:eastAsia="Barlow Semi Condensed" w:hAnsi="Barlow Semi Condensed"/>
          <w:b/>
          <w:bCs/>
          <w:sz w:val="24"/>
          <w:szCs w:val="24"/>
        </w:rPr>
        <w:t xml:space="preserve">fonte primaria</w:t>
      </w:r>
      <w:r>
        <w:rPr>
          <w:rFonts w:ascii="Barlow Semi Condensed" w:cs="Barlow Semi Condensed" w:eastAsia="Barlow Semi Condensed" w:hAnsi="Barlow Semi Condensed"/>
          <w:sz w:val="24"/>
          <w:szCs w:val="24"/>
        </w:rPr>
        <w:t xml:space="preserve"> dell'intero capitolo boliviano. Ma il canale per cui quel diario giunse in Italia </w:t>
      </w:r>
      <w:r>
        <w:rPr>
          <w:rFonts w:ascii="Barlow Semi Condensed" w:cs="Barlow Semi Condensed" w:eastAsia="Barlow Semi Condensed" w:hAnsi="Barlow Semi Condensed"/>
          <w:b/>
          <w:bCs/>
          <w:sz w:val="24"/>
          <w:szCs w:val="24"/>
        </w:rPr>
        <w:t xml:space="preserve">è Feltrinelli</w:t>
      </w:r>
      <w:r>
        <w:rPr>
          <w:rFonts w:ascii="Barlow Semi Condensed" w:cs="Barlow Semi Condensed" w:eastAsia="Barlow Semi Condensed" w:hAnsi="Barlow Semi Condensed"/>
          <w:sz w:val="24"/>
          <w:szCs w:val="24"/>
        </w:rPr>
        <w:t xml:space="preserve"> (diritti 1967, edizione 1968). Il corpus, cioè, ogni volta che cita il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nell'edizione italiana, </w:t>
      </w:r>
      <w:r>
        <w:rPr>
          <w:rFonts w:ascii="Barlow Semi Condensed" w:cs="Barlow Semi Condensed" w:eastAsia="Barlow Semi Condensed" w:hAnsi="Barlow Semi Condensed"/>
          <w:b/>
          <w:bCs/>
          <w:sz w:val="24"/>
          <w:szCs w:val="24"/>
        </w:rPr>
        <w:t xml:space="preserve">passa dal vettore che sta studiando</w:t>
      </w:r>
      <w:r>
        <w:rPr>
          <w:rFonts w:ascii="Barlow Semi Condensed" w:cs="Barlow Semi Condensed" w:eastAsia="Barlow Semi Condensed" w:hAnsi="Barlow Semi Condensed"/>
          <w:sz w:val="24"/>
          <w:szCs w:val="24"/>
        </w:rPr>
        <w:t xml:space="preserve">: la fonte primaria della parabola e il fabbricante del mito coincidono nel medesimo canale editoriale. Questa riflessività non inficia la fonte (il testo del diario è riscontrato su edizioni e archivi indipendenti), ma va dichiarata: è un caso da manuale di come il vettore di un mito sia anche il vettore dei suoi documenti.</w:t>
      </w:r>
    </w:p>
    <w:p>
      <w:pPr>
        <w:pStyle w:val="Heading3"/>
        <w:spacing w:after="80" w:before="160"/>
      </w:pPr>
      <w:r>
        <w:rPr>
          <w:rFonts w:ascii="Barlow Semi Condensed" w:cs="Barlow Semi Condensed" w:eastAsia="Barlow Semi Condensed" w:hAnsi="Barlow Semi Condensed"/>
          <w:sz w:val="24"/>
          <w:szCs w:val="24"/>
        </w:rPr>
        <w:t xml:space="preserve">B-3 · Con il saggio di sintesi (dal-che-a-moro-una-guerra-senza-fine.md) — ponte fondativo, confermato</w:t>
      </w:r>
    </w:p>
    <w:p>
      <w:pPr>
        <w:spacing w:after="120" w:line="276"/>
        <w:jc w:val="both"/>
      </w:pPr>
      <w:r>
        <w:rPr>
          <w:rFonts w:ascii="Barlow Semi Condensed" w:cs="Barlow Semi Condensed" w:eastAsia="Barlow Semi Condensed" w:hAnsi="Barlow Semi Condensed"/>
          <w:sz w:val="24"/>
          <w:szCs w:val="24"/>
        </w:rPr>
        <w:t xml:space="preserve">La Parte seconda del saggio («Il Che: un mito e il suo vettore») poggiava su tre asserzioni: Korda 1967 come manifesto,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1968, GAP 1970. Tutte e tre </w:t>
      </w:r>
      <w:r>
        <w:rPr>
          <w:rFonts w:ascii="Barlow Semi Condensed" w:cs="Barlow Semi Condensed" w:eastAsia="Barlow Semi Condensed" w:hAnsi="Barlow Semi Condensed"/>
          <w:b/>
          <w:bCs/>
          <w:sz w:val="24"/>
          <w:szCs w:val="24"/>
        </w:rPr>
        <w:t xml:space="preserve">reggono</w:t>
      </w:r>
      <w:r>
        <w:rPr>
          <w:rFonts w:ascii="Barlow Semi Condensed" w:cs="Barlow Semi Condensed" w:eastAsia="Barlow Semi Condensed" w:hAnsi="Barlow Semi Condensed"/>
          <w:sz w:val="24"/>
          <w:szCs w:val="24"/>
        </w:rPr>
        <w:t xml:space="preserve"> e sono ora fondate su uno studio autonomo con fonti proprie, anziché su un paragrafo di sintesi. La monografia dà inoltre al saggio ciò che gli mancava: la spiegazione </w:t>
      </w:r>
      <w:r>
        <w:rPr>
          <w:rFonts w:ascii="Barlow Semi Condensed" w:cs="Barlow Semi Condensed" w:eastAsia="Barlow Semi Condensed" w:hAnsi="Barlow Semi Condensed"/>
          <w:i/>
          <w:iCs/>
          <w:sz w:val="24"/>
          <w:szCs w:val="24"/>
        </w:rPr>
        <w:t xml:space="preserve">professionale</w:t>
      </w:r>
      <w:r>
        <w:rPr>
          <w:rFonts w:ascii="Barlow Semi Condensed" w:cs="Barlow Semi Condensed" w:eastAsia="Barlow Semi Condensed" w:hAnsi="Barlow Semi Condensed"/>
          <w:sz w:val="24"/>
          <w:szCs w:val="24"/>
        </w:rPr>
        <w:t xml:space="preserve"> del vettore — Feltrinelli sapeva fabbricare simboli perché era il suo mestiere (Živago, Gattopardo), e applicò al Che la stessa competenza editoriale.</w:t>
      </w:r>
    </w:p>
    <w:p>
      <w:pPr>
        <w:pStyle w:val="Heading3"/>
        <w:spacing w:after="80" w:before="160"/>
      </w:pPr>
      <w:r>
        <w:rPr>
          <w:rFonts w:ascii="Barlow Semi Condensed" w:cs="Barlow Semi Condensed" w:eastAsia="Barlow Semi Condensed" w:hAnsi="Barlow Semi Condensed"/>
          <w:sz w:val="24"/>
          <w:szCs w:val="24"/>
        </w:rPr>
        <w:t xml:space="preserve">B-4 · Con la matrice Guevara-Moro (triangolazioni-guevara-moro.md) — aggiornamento del nodo M-2</w:t>
      </w:r>
    </w:p>
    <w:p>
      <w:pPr>
        <w:spacing w:after="120" w:line="276"/>
        <w:jc w:val="both"/>
      </w:pPr>
      <w:r>
        <w:rPr>
          <w:rFonts w:ascii="Barlow Semi Condensed" w:cs="Barlow Semi Condensed" w:eastAsia="Barlow Semi Condensed" w:hAnsi="Barlow Semi Condensed"/>
          <w:sz w:val="24"/>
          <w:szCs w:val="24"/>
        </w:rPr>
        <w:t xml:space="preserve">Il nodo M-2 («Il vettore Feltrinelli») della matrice resta valido in ogni sua parte, ma va letto d'ora in poi insieme a questo documento: la monografia e la presente triangolazione lo </w:t>
      </w:r>
      <w:r>
        <w:rPr>
          <w:rFonts w:ascii="Barlow Semi Condensed" w:cs="Barlow Semi Condensed" w:eastAsia="Barlow Semi Condensed" w:hAnsi="Barlow Semi Condensed"/>
          <w:b/>
          <w:bCs/>
          <w:sz w:val="24"/>
          <w:szCs w:val="24"/>
        </w:rPr>
        <w:t xml:space="preserve">espandono</w:t>
      </w:r>
      <w:r>
        <w:rPr>
          <w:rFonts w:ascii="Barlow Semi Condensed" w:cs="Barlow Semi Condensed" w:eastAsia="Barlow Semi Condensed" w:hAnsi="Barlow Semi Condensed"/>
          <w:sz w:val="24"/>
          <w:szCs w:val="24"/>
        </w:rPr>
        <w:t xml:space="preserve"> con i nodi F-1…F-17 e lo </w:t>
      </w:r>
      <w:r>
        <w:rPr>
          <w:rFonts w:ascii="Barlow Semi Condensed" w:cs="Barlow Semi Condensed" w:eastAsia="Barlow Semi Condensed" w:hAnsi="Barlow Semi Condensed"/>
          <w:b/>
          <w:bCs/>
          <w:sz w:val="24"/>
          <w:szCs w:val="24"/>
        </w:rPr>
        <w:t xml:space="preserve">precisano</w:t>
      </w:r>
      <w:r>
        <w:rPr>
          <w:rFonts w:ascii="Barlow Semi Condensed" w:cs="Barlow Semi Condensed" w:eastAsia="Barlow Semi Condensed" w:hAnsi="Barlow Semi Condensed"/>
          <w:sz w:val="24"/>
          <w:szCs w:val="24"/>
        </w:rPr>
        <w:t xml:space="preserve"> su tre punti (PCI, data GAP, cronologia di Segrate). Il registro di esecuzione della matrice (§ 4) va inteso come integrato dai 17 nodi qui aggiunti.</w:t>
      </w:r>
    </w:p>
    <w:p>
      <w:pPr>
        <w:pStyle w:val="Heading3"/>
        <w:spacing w:after="80" w:before="160"/>
      </w:pPr>
      <w:r>
        <w:rPr>
          <w:rFonts w:ascii="Barlow Semi Condensed" w:cs="Barlow Semi Condensed" w:eastAsia="Barlow Semi Condensed" w:hAnsi="Barlow Semi Condensed"/>
          <w:sz w:val="24"/>
          <w:szCs w:val="24"/>
        </w:rPr>
        <w:t xml:space="preserve">B-5 · Con la cronologia sinottica (cronologia-guevara-moro.html) — ponte strutturale</w:t>
      </w:r>
    </w:p>
    <w:p>
      <w:pPr>
        <w:spacing w:after="120" w:line="276"/>
        <w:jc w:val="both"/>
      </w:pPr>
      <w:r>
        <w:rPr>
          <w:rFonts w:ascii="Barlow Semi Condensed" w:cs="Barlow Semi Condensed" w:eastAsia="Barlow Semi Condensed" w:hAnsi="Barlow Semi Condensed"/>
          <w:sz w:val="24"/>
          <w:szCs w:val="24"/>
        </w:rPr>
        <w:t xml:space="preserve">Nel filo «L'immagine — il mito» della cronologia, Feltrinelli è ora presente in tre punti: 1967-68 (manifesto e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1970 (GAP e Pecorile), 14-15 marzo 1972 (Segrate, evento terminale). Con questa triangolazione la scheda di Segrate è stata precisata (morte il 14, ritrovamento il 15). Il filo del mito ha così il suo arco completo: fabbricazione → trasmissione → fine del vettore.</w:t>
      </w:r>
    </w:p>
    <w:p>
      <w:pPr>
        <w:pStyle w:val="Heading3"/>
        <w:spacing w:after="80" w:before="160"/>
      </w:pPr>
      <w:r>
        <w:rPr>
          <w:rFonts w:ascii="Barlow Semi Condensed" w:cs="Barlow Semi Condensed" w:eastAsia="Barlow Semi Condensed" w:hAnsi="Barlow Semi Condensed"/>
          <w:sz w:val="24"/>
          <w:szCs w:val="24"/>
        </w:rPr>
        <w:t xml:space="preserve">B-6 · Con l'elenco degli amnistiati (amnistiati-tribunale-speciale.md) — convergenza tematica, non nesso</w:t>
      </w:r>
    </w:p>
    <w:p>
      <w:pPr>
        <w:spacing w:after="120" w:line="276"/>
        <w:jc w:val="both"/>
      </w:pPr>
      <w:r>
        <w:rPr>
          <w:rFonts w:ascii="Barlow Semi Condensed" w:cs="Barlow Semi Condensed" w:eastAsia="Barlow Semi Condensed" w:hAnsi="Barlow Semi Condensed"/>
          <w:sz w:val="24"/>
          <w:szCs w:val="24"/>
        </w:rPr>
        <w:t xml:space="preserve">Il primo documento del branch censisce gli amnistiati del </w:t>
      </w:r>
      <w:r>
        <w:rPr>
          <w:rFonts w:ascii="Barlow Semi Condensed" w:cs="Barlow Semi Condensed" w:eastAsia="Barlow Semi Condensed" w:hAnsi="Barlow Semi Condensed"/>
          <w:b/>
          <w:bCs/>
          <w:sz w:val="24"/>
          <w:szCs w:val="24"/>
        </w:rPr>
        <w:t xml:space="preserve">Tribunale Speciale fascista</w:t>
      </w:r>
      <w:r>
        <w:rPr>
          <w:rFonts w:ascii="Barlow Semi Condensed" w:cs="Barlow Semi Condensed" w:eastAsia="Barlow Semi Condensed" w:hAnsi="Barlow Semi Condensed"/>
          <w:sz w:val="24"/>
          <w:szCs w:val="24"/>
        </w:rPr>
        <w:t xml:space="preserve"> (1926-43); i GAP di Feltrinelli ripresero </w:t>
      </w:r>
      <w:r>
        <w:rPr>
          <w:rFonts w:ascii="Barlow Semi Condensed" w:cs="Barlow Semi Condensed" w:eastAsia="Barlow Semi Condensed" w:hAnsi="Barlow Semi Condensed"/>
          <w:b/>
          <w:bCs/>
          <w:sz w:val="24"/>
          <w:szCs w:val="24"/>
        </w:rPr>
        <w:t xml:space="preserve">il nome</w:t>
      </w:r>
      <w:r>
        <w:rPr>
          <w:rFonts w:ascii="Barlow Semi Condensed" w:cs="Barlow Semi Condensed" w:eastAsia="Barlow Semi Condensed" w:hAnsi="Barlow Semi Condensed"/>
          <w:sz w:val="24"/>
          <w:szCs w:val="24"/>
        </w:rPr>
        <w:t xml:space="preserve"> dei Gruppi di Azione Patriottica della Resistenza, cioè dell'antifascismo armato che di quel tribunale fu vittima e risposta. I due documenti stanno dunque sullo stesso </w:t>
      </w:r>
      <w:r>
        <w:rPr>
          <w:rFonts w:ascii="Barlow Semi Condensed" w:cs="Barlow Semi Condensed" w:eastAsia="Barlow Semi Condensed" w:hAnsi="Barlow Semi Condensed"/>
          <w:b/>
          <w:bCs/>
          <w:sz w:val="24"/>
          <w:szCs w:val="24"/>
        </w:rPr>
        <w:t xml:space="preserve">asse fascismo/antifascismo</w:t>
      </w:r>
      <w:r>
        <w:rPr>
          <w:rFonts w:ascii="Barlow Semi Condensed" w:cs="Barlow Semi Condensed" w:eastAsia="Barlow Semi Condensed" w:hAnsi="Barlow Semi Condensed"/>
          <w:sz w:val="24"/>
          <w:szCs w:val="24"/>
        </w:rPr>
        <w:t xml:space="preserve"> che attraversa il Novecento italiano — ma il ponte è </w:t>
      </w:r>
      <w:r>
        <w:rPr>
          <w:rFonts w:ascii="Barlow Semi Condensed" w:cs="Barlow Semi Condensed" w:eastAsia="Barlow Semi Condensed" w:hAnsi="Barlow Semi Condensed"/>
          <w:b/>
          <w:bCs/>
          <w:sz w:val="24"/>
          <w:szCs w:val="24"/>
        </w:rPr>
        <w:t xml:space="preserve">di tema, non di storia</w:t>
      </w:r>
      <w:r>
        <w:rPr>
          <w:rFonts w:ascii="Barlow Semi Condensed" w:cs="Barlow Semi Condensed" w:eastAsia="Barlow Semi Condensed" w:hAnsi="Barlow Semi Condensed"/>
          <w:sz w:val="24"/>
          <w:szCs w:val="24"/>
        </w:rPr>
        <w:t xml:space="preserve">: nessun rapporto documentale lega gli amnistiati del Tribunale Speciale ai GAP del 1970. Si registra la convergenza e la si lascia lì.</w:t>
      </w:r>
    </w:p>
    <w:p>
      <w:pPr>
        <w:pStyle w:val="Heading3"/>
        <w:spacing w:after="80" w:before="160"/>
      </w:pPr>
      <w:r>
        <w:rPr>
          <w:rFonts w:ascii="Barlow Semi Condensed" w:cs="Barlow Semi Condensed" w:eastAsia="Barlow Semi Condensed" w:hAnsi="Barlow Semi Condensed"/>
          <w:sz w:val="24"/>
          <w:szCs w:val="24"/>
        </w:rPr>
        <w:t xml:space="preserve">B-7 · Con la cornice della guerra fredda (Parti prima e quinta del saggio) — anti-lettura documentata</w:t>
      </w:r>
    </w:p>
    <w:p>
      <w:pPr>
        <w:spacing w:after="120" w:line="276"/>
        <w:jc w:val="both"/>
      </w:pPr>
      <w:r>
        <w:rPr>
          <w:rFonts w:ascii="Barlow Semi Condensed" w:cs="Barlow Semi Condensed" w:eastAsia="Barlow Semi Condensed" w:hAnsi="Barlow Semi Condensed"/>
          <w:sz w:val="24"/>
          <w:szCs w:val="24"/>
        </w:rPr>
        <w:t xml:space="preserve">La biografia triangolata produce un risultato che nessuna lettura di parte può assorbire: </w:t>
      </w:r>
      <w:r>
        <w:rPr>
          <w:rFonts w:ascii="Barlow Semi Condensed" w:cs="Barlow Semi Condensed" w:eastAsia="Barlow Semi Condensed" w:hAnsi="Barlow Semi Condensed"/>
          <w:b/>
          <w:bCs/>
          <w:sz w:val="24"/>
          <w:szCs w:val="24"/>
        </w:rPr>
        <w:t xml:space="preserve">Feltrinelli sfidò entrambi i campi</w:t>
      </w:r>
      <w:r>
        <w:rPr>
          <w:rFonts w:ascii="Barlow Semi Condensed" w:cs="Barlow Semi Condensed" w:eastAsia="Barlow Semi Condensed" w:hAnsi="Barlow Semi Condensed"/>
          <w:sz w:val="24"/>
          <w:szCs w:val="24"/>
        </w:rPr>
        <w:t xml:space="preserve">. Nel 1957 pubblicò il </w:t>
      </w:r>
      <w:r>
        <w:rPr>
          <w:rFonts w:ascii="Barlow Semi Condensed" w:cs="Barlow Semi Condensed" w:eastAsia="Barlow Semi Condensed" w:hAnsi="Barlow Semi Condensed"/>
          <w:i/>
          <w:iCs/>
          <w:sz w:val="24"/>
          <w:szCs w:val="24"/>
        </w:rPr>
        <w:t xml:space="preserve">Živago</w:t>
      </w:r>
      <w:r>
        <w:rPr>
          <w:rFonts w:ascii="Barlow Semi Condensed" w:cs="Barlow Semi Condensed" w:eastAsia="Barlow Semi Condensed" w:hAnsi="Barlow Semi Condensed"/>
          <w:sz w:val="24"/>
          <w:szCs w:val="24"/>
        </w:rPr>
        <w:t xml:space="preserve"> contro il Cremlino e contro il PCI; nel 1967-68 fabbricò il mito del Che contro l'ordine atlantico; e morì clandestino, braccato dall'una e sospettato d'essere strumento dell'altra. Ogni schema che lo voglia «agente» di una parte deve cancellare metà della sua biografia documentata. È la conferma biografica della tesi-limite del corpus: non un organismo, ma un </w:t>
      </w:r>
      <w:r>
        <w:rPr>
          <w:rFonts w:ascii="Barlow Semi Condensed" w:cs="Barlow Semi Condensed" w:eastAsia="Barlow Semi Condensed" w:hAnsi="Barlow Semi Condensed"/>
          <w:b/>
          <w:bCs/>
          <w:sz w:val="24"/>
          <w:szCs w:val="24"/>
        </w:rPr>
        <w:t xml:space="preserve">ecosistema</w:t>
      </w:r>
      <w:r>
        <w:rPr>
          <w:rFonts w:ascii="Barlow Semi Condensed" w:cs="Barlow Semi Condensed" w:eastAsia="Barlow Semi Condensed" w:hAnsi="Barlow Semi Condensed"/>
          <w:sz w:val="24"/>
          <w:szCs w:val="24"/>
        </w:rPr>
        <w:t xml:space="preserve"> — e in mezzo un uomo che non apparteneva per intero a nessuno dei due blocchi che lo reclamavano o lo temevano.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Anti-triangolazioni (AT-1…AT-3)</w:t>
      </w:r>
    </w:p>
    <w:p>
      <w:pPr>
        <w:spacing w:after="120" w:line="276"/>
        <w:jc w:val="both"/>
      </w:pPr>
      <w:r>
        <w:rPr>
          <w:rFonts w:ascii="Barlow Semi Condensed" w:cs="Barlow Semi Condensed" w:eastAsia="Barlow Semi Condensed" w:hAnsi="Barlow Semi Condensed"/>
          <w:sz w:val="24"/>
          <w:szCs w:val="24"/>
        </w:rPr>
        <w:t xml:space="preserve">I nessi che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reggono, dichiarati esplicitamente perché nessuno li promuova per scivolamento.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Anti-triangolazione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Vettore ≠ mandante.</w:t>
            </w:r>
            <w:r>
              <w:rPr>
                <w:rFonts w:ascii="Barlow Semi Condensed" w:cs="Barlow Semi Condensed" w:eastAsia="Barlow Semi Condensed" w:hAnsi="Barlow Semi Condensed"/>
                <w:sz w:val="20"/>
                <w:szCs w:val="20"/>
              </w:rPr>
              <w:t xml:space="preserve"> Feltrinelli morì il 14 marzo 1972, sei anni prima di via Fani. Nessun filo documentale lo lega al sequestro Moro: il ponte Feltrinelli→BR è genealogico (formazione, modello, «scuola di guerriglia»), non operativo né direttivo rispetto a ciò che le BR fecero dopo di lui e senza di lui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morte non è un omicidio provato.</w:t>
            </w:r>
            <w:r>
              <w:rPr>
                <w:rFonts w:ascii="Barlow Semi Condensed" w:cs="Barlow Semi Condensed" w:eastAsia="Barlow Semi Condensed" w:hAnsi="Barlow Semi Condensed"/>
                <w:sz w:val="20"/>
                <w:szCs w:val="20"/>
              </w:rPr>
              <w:t xml:space="preserve"> Dopo la verifica, la tesi dell'omicidio di Stato resta congettura: la ricostruzione accolta in giudizio (1979) e riscontrata sui nastri di Robbiano di Mediglia è quella dell'incidente durante il sabotaggio. Il sospetto contrario è legittimo come sospetto, e tale rimane. Nessun nome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nome partigiano non fa dei GAP una continuazione della Resistenza.</w:t>
            </w:r>
            <w:r>
              <w:rPr>
                <w:rFonts w:ascii="Barlow Semi Condensed" w:cs="Barlow Semi Condensed" w:eastAsia="Barlow Semi Condensed" w:hAnsi="Barlow Semi Condensed"/>
                <w:sz w:val="20"/>
                <w:szCs w:val="20"/>
              </w:rPr>
              <w:t xml:space="preserve"> La ripresa della sigla del 1943-45 fu una rivendicazione simbolica; la continuità organizzativa e storica non esisteva, e la stessa area dell'antifascismo storico non riconobbe quella filiazione. Chi usa il nome come prova di continuità commette l'errore che il corpus chiama «promozione della convergenza a nesso»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Registro di esecuzione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Nodi di verifica della monografia: </w:t>
      </w:r>
      <w:r>
        <w:rPr>
          <w:rFonts w:ascii="Barlow Semi Condensed" w:cs="Barlow Semi Condensed" w:eastAsia="Barlow Semi Condensed" w:hAnsi="Barlow Semi Condensed"/>
          <w:b/>
          <w:bCs/>
          <w:sz w:val="24"/>
          <w:szCs w:val="24"/>
        </w:rPr>
        <w:t xml:space="preserve">17</w:t>
      </w:r>
      <w:r>
        <w:rPr>
          <w:rFonts w:ascii="Barlow Semi Condensed" w:cs="Barlow Semi Condensed" w:eastAsia="Barlow Semi Condensed" w:hAnsi="Barlow Semi Condensed"/>
          <w:sz w:val="24"/>
          <w:szCs w:val="24"/>
        </w:rPr>
        <w:t xml:space="preserve"> (F-1…F-17), di cui 13 ✅ confermati, 3 ⚠️ precisati/corretti (F-7 PCI, F-14 GAP, F-16 Segrate), 1 🔵 categoria di congettura confermata (F-17b).</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Nodo nuovo emerso in triangolazione: </w:t>
      </w:r>
      <w:r>
        <w:rPr>
          <w:rFonts w:ascii="Barlow Semi Condensed" w:cs="Barlow Semi Condensed" w:eastAsia="Barlow Semi Condensed" w:hAnsi="Barlow Semi Condensed"/>
          <w:b/>
          <w:bCs/>
          <w:sz w:val="24"/>
          <w:szCs w:val="24"/>
        </w:rPr>
        <w:t xml:space="preserve">1</w:t>
      </w:r>
      <w:r>
        <w:rPr>
          <w:rFonts w:ascii="Barlow Semi Condensed" w:cs="Barlow Semi Condensed" w:eastAsia="Barlow Semi Condensed" w:hAnsi="Barlow Semi Condensed"/>
          <w:sz w:val="24"/>
          <w:szCs w:val="24"/>
        </w:rPr>
        <w:t xml:space="preserve"> (F-12, Bolivia agosto 1967) — integrato nella monografia al § III.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Correzioni applicate alla monografia con nota di revisione: </w:t>
      </w: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 (uscita dal PCI 1957-58; fondazione GAP aprile-maggio 1970 con genealogia del nome; cronologia di Segrate sciolta: morte il 14, ritrovamento il 15).</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Ponti con il corpus: </w:t>
      </w:r>
      <w:r>
        <w:rPr>
          <w:rFonts w:ascii="Barlow Semi Condensed" w:cs="Barlow Semi Condensed" w:eastAsia="Barlow Semi Condensed" w:hAnsi="Barlow Semi Condensed"/>
          <w:b/>
          <w:bCs/>
          <w:sz w:val="24"/>
          <w:szCs w:val="24"/>
        </w:rPr>
        <w:t xml:space="preserve">7</w:t>
      </w:r>
      <w:r>
        <w:rPr>
          <w:rFonts w:ascii="Barlow Semi Condensed" w:cs="Barlow Semi Condensed" w:eastAsia="Barlow Semi Condensed" w:hAnsi="Barlow Semi Condensed"/>
          <w:sz w:val="24"/>
          <w:szCs w:val="24"/>
        </w:rPr>
        <w:t xml:space="preserve"> (B-1…B-7), di cui documentati B-1, B-2, B-3, B-5; aggiornamento di matrice B-4; convergenza dichiarata B-6; anti-lettura B-7.</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Anti-triangolazioni: </w:t>
      </w: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 (AT-1…AT-3).</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Verifiche web dedicate eseguite in sessione: </w:t>
      </w:r>
      <w:r>
        <w:rPr>
          <w:rFonts w:ascii="Barlow Semi Condensed" w:cs="Barlow Semi Condensed" w:eastAsia="Barlow Semi Condensed" w:hAnsi="Barlow Semi Condensed"/>
          <w:b/>
          <w:bCs/>
          <w:sz w:val="24"/>
          <w:szCs w:val="24"/>
        </w:rPr>
        <w:t xml:space="preserve">5</w:t>
      </w:r>
      <w:r>
        <w:rPr>
          <w:rFonts w:ascii="Barlow Semi Condensed" w:cs="Barlow Semi Condensed" w:eastAsia="Barlow Semi Condensed" w:hAnsi="Barlow Semi Condensed"/>
          <w:sz w:val="24"/>
          <w:szCs w:val="24"/>
        </w:rPr>
        <w:t xml:space="preserve"> (PCI/Treccani; Bolivia/Camiri; GAP/genealogia; Segrate/cronaca; più le 3 della prima stesura). Le restanti affermazioni poggiano su riscontri già eseguiti per la matrice M-2/M-3 o su letteratura consolidata.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Oltre i nodi qui elencati non esistono ulteriori affermazioni indipendenti della monografia da triangolare senza duplicazione: la copertura delle affermazioni portanti è </w:t>
      </w:r>
      <w:r>
        <w:rPr>
          <w:rFonts w:ascii="Barlow Semi Condensed" w:cs="Barlow Semi Condensed" w:eastAsia="Barlow Semi Condensed" w:hAnsi="Barlow Semi Condensed"/>
          <w:b/>
          <w:bCs/>
          <w:sz w:val="24"/>
          <w:szCs w:val="24"/>
        </w:rPr>
        <w:t xml:space="preserve">completa</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Triangolazione dello studio «Feltrinelli: il vettore» con fonti indipendenti e con l'intero corpus del branch. Tre correzioni applicate, un nodo nuovo integrato, tre anti-triangolazioni dichiarate. Vale la Regola di Ferro: dove la fonte documenta, si certifica; dove tace, si tace. Nessuna imputazione oltre il giudicato.</w:t>
      </w:r>
    </w:p>
    <w:p>
      <w:pPr>
        <w:pStyle w:val="Heading3"/>
        <w:spacing w:after="80" w:before="240"/>
      </w:pPr>
      <w:r>
        <w:rPr>
          <w:rFonts w:ascii="Barlow Semi Condensed" w:cs="Barlow Semi Condensed" w:eastAsia="Barlow Semi Condensed" w:hAnsi="Barlow Semi Condensed"/>
          <w:sz w:val="24"/>
          <w:szCs w:val="24"/>
        </w:rPr>
        <w:t xml:space="preserve">Apparato grafico — Libro quinto · La triangolazione di Feltrinelli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II: 1.737 parole in 4 sezioni; la più ampia è §2 2. I ponti con il corpus, con 717.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II: 18 indirizzi di fonte citati, addensati in 1 sezione su 4.</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quinto — Il vettore e il ceppo — III. Il nodo Hyperion</w:t>
      </w:r>
    </w:p>
    <w:p>
      <w:pPr>
        <w:pStyle w:val="Heading1"/>
        <w:spacing w:after="120" w:before="240"/>
      </w:pPr>
      <w:r>
        <w:rPr>
          <w:rFonts w:ascii="Barlow Semi Condensed" w:cs="Barlow Semi Condensed" w:eastAsia="Barlow Semi Condensed" w:hAnsi="Barlow Semi Condensed"/>
          <w:sz w:val="24"/>
          <w:szCs w:val="24"/>
        </w:rPr>
        <w:t xml:space="preserve">Triangolazione: Hyperion e il corpus</w:t>
      </w:r>
    </w:p>
    <w:p>
      <w:pPr>
        <w:spacing w:after="120" w:line="276"/>
        <w:jc w:val="both"/>
      </w:pPr>
      <w:r>
        <w:rPr>
          <w:rFonts w:ascii="Barlow Semi Condensed" w:cs="Barlow Semi Condensed" w:eastAsia="Barlow Semi Condensed" w:hAnsi="Barlow Semi Condensed"/>
          <w:i/>
          <w:iCs/>
          <w:sz w:val="24"/>
          <w:szCs w:val="24"/>
        </w:rPr>
        <w:t xml:space="preserve">La «scuola di lingue» di Parigi nel quadro internazionale del caso Moro — verifica e mappatura dei ponti — 24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un avvertimento più severo del solito.</w:t>
      </w:r>
      <w:r>
        <w:rPr>
          <w:rFonts w:ascii="Barlow Semi Condensed" w:cs="Barlow Semi Condensed" w:eastAsia="Barlow Semi Condensed" w:hAnsi="Barlow Semi Condensed"/>
          <w:i w:val="false"/>
          <w:iCs w:val="false"/>
          <w:sz w:val="24"/>
          <w:szCs w:val="24"/>
        </w:rPr>
        <w:t xml:space="preserve"> Hyperion è il nodo dove la dietrologia italiana ha costruito di più e i tribunali hanno accertato di meno. Perciò questa triangolazione comincia dal suo esito: </w:t>
      </w:r>
      <w:r>
        <w:rPr>
          <w:rFonts w:ascii="Barlow Semi Condensed" w:cs="Barlow Semi Condensed" w:eastAsia="Barlow Semi Condensed" w:hAnsi="Barlow Semi Condensed"/>
          <w:b/>
          <w:bCs/>
          <w:i w:val="false"/>
          <w:iCs w:val="false"/>
          <w:sz w:val="24"/>
          <w:szCs w:val="24"/>
        </w:rPr>
        <w:t xml:space="preserve">tutti i procedimenti giudiziari aperti su Hyperion e sui suoi fondatori si sono chiusi con proscioglimenti; nessuno è mai stato condannato.</w:t>
      </w:r>
      <w:r>
        <w:rPr>
          <w:rFonts w:ascii="Barlow Semi Condensed" w:cs="Barlow Semi Condensed" w:eastAsia="Barlow Semi Condensed" w:hAnsi="Barlow Semi Condensed"/>
          <w:i w:val="false"/>
          <w:iCs w:val="false"/>
          <w:sz w:val="24"/>
          <w:szCs w:val="24"/>
        </w:rPr>
        <w:t xml:space="preserve"> I fondatori sono qui nominati esclusivamente per fatti pubblici e documentati (la fondazione della scuola, i percorsi politici precedenti, gli atti giudiziari e parlamentari che li riguardarono e i loro esiti liberatori) e godono per intero della presunzione d'innocenza. Le due tesi contrapposte che da quarant'anni si contendono il nodo — «centrale del terrorismo internazionale» e «centrale d'intelligence» — restano entrambe, al vaglio delle fonti, </w:t>
      </w:r>
      <w:r>
        <w:rPr>
          <w:rFonts w:ascii="Barlow Semi Condensed" w:cs="Barlow Semi Condensed" w:eastAsia="Barlow Semi Condensed" w:hAnsi="Barlow Semi Condensed"/>
          <w:b/>
          <w:bCs/>
          <w:i w:val="false"/>
          <w:iCs w:val="false"/>
          <w:sz w:val="24"/>
          <w:szCs w:val="24"/>
        </w:rPr>
        <w:t xml:space="preserve">congetture non provate</w:t>
      </w:r>
      <w:r>
        <w:rPr>
          <w:rFonts w:ascii="Barlow Semi Condensed" w:cs="Barlow Semi Condensed" w:eastAsia="Barlow Semi Condensed" w:hAnsi="Barlow Semi Condensed"/>
          <w:i w:val="false"/>
          <w:iCs w:val="false"/>
          <w:sz w:val="24"/>
          <w:szCs w:val="24"/>
        </w:rPr>
        <w:t xml:space="preserve">, e come tali sono trattate. La Regola di Ferro vale qui al massimo grado: dove la fonte documenta, si certifica; dove tace — e su Hyperion tace molto — si tace.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I fatti documentati (nodi HY-1…HY-9)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Fatto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Riscontro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genealogia milanese.</w:t>
            </w:r>
            <w:r>
              <w:rPr>
                <w:rFonts w:ascii="Barlow Semi Condensed" w:cs="Barlow Semi Condensed" w:eastAsia="Barlow Semi Condensed" w:hAnsi="Barlow Semi Condensed"/>
                <w:sz w:val="20"/>
                <w:szCs w:val="20"/>
              </w:rPr>
              <w:t xml:space="preserve"> Il </w:t>
            </w:r>
            <w:r>
              <w:rPr>
                <w:rFonts w:ascii="Barlow Semi Condensed" w:cs="Barlow Semi Condensed" w:eastAsia="Barlow Semi Condensed" w:hAnsi="Barlow Semi Condensed"/>
                <w:b/>
                <w:bCs/>
                <w:sz w:val="20"/>
                <w:szCs w:val="20"/>
              </w:rPr>
              <w:t xml:space="preserve">Collettivo Politico Metropolitano (CPM)</w:t>
            </w:r>
            <w:r>
              <w:rPr>
                <w:rFonts w:ascii="Barlow Semi Condensed" w:cs="Barlow Semi Condensed" w:eastAsia="Barlow Semi Condensed" w:hAnsi="Barlow Semi Condensed"/>
                <w:sz w:val="20"/>
                <w:szCs w:val="20"/>
              </w:rPr>
              <w:t xml:space="preserve">, fondato a Milano nel settembre 1969, comprese fra gli altri Renato Curcio, Corrado Simioni, Duccio Berio e Vanni Mulinaris: lo stesso brodo di coltura da cui sarebbero nate le BR</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Wikipedia IT, Hyperion (Parigi) (https://it.wikipedia.org/wiki/Hyperion_(Parigi)); Lettera43 (https://www.lettera43.it/scuola-hyperion-gli-intrecci-con-il-caso-moro/)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scissione e il «Superclan».</w:t>
            </w:r>
            <w:r>
              <w:rPr>
                <w:rFonts w:ascii="Barlow Semi Condensed" w:cs="Barlow Semi Condensed" w:eastAsia="Barlow Semi Condensed" w:hAnsi="Barlow Semi Condensed"/>
                <w:sz w:val="20"/>
                <w:szCs w:val="20"/>
              </w:rPr>
              <w:t xml:space="preserve"> Prima della fondazione delle BR, il gruppo di Simioni si separò da quello di Curcio e Franceschini e diede vita a una struttura clandestina detta poi </w:t>
            </w:r>
            <w:r>
              <w:rPr>
                <w:rFonts w:ascii="Barlow Semi Condensed" w:cs="Barlow Semi Condensed" w:eastAsia="Barlow Semi Condensed" w:hAnsi="Barlow Semi Condensed"/>
                <w:b/>
                <w:bCs/>
                <w:sz w:val="20"/>
                <w:szCs w:val="20"/>
              </w:rPr>
              <w:t xml:space="preserve">«Superclan»</w:t>
            </w:r>
            <w:r>
              <w:rPr>
                <w:rFonts w:ascii="Barlow Semi Condensed" w:cs="Barlow Semi Condensed" w:eastAsia="Barlow Semi Condensed" w:hAnsi="Barlow Semi Condensed"/>
                <w:sz w:val="20"/>
                <w:szCs w:val="20"/>
              </w:rPr>
              <w:t xml:space="preserve">, di cui le fonti indicano fra i partecipanti anche </w:t>
            </w:r>
            <w:r>
              <w:rPr>
                <w:rFonts w:ascii="Barlow Semi Condensed" w:cs="Barlow Semi Condensed" w:eastAsia="Barlow Semi Condensed" w:hAnsi="Barlow Semi Condensed"/>
                <w:b/>
                <w:bCs/>
                <w:sz w:val="20"/>
                <w:szCs w:val="20"/>
              </w:rPr>
              <w:t xml:space="preserve">Mario Moretti</w:t>
            </w:r>
            <w:r>
              <w:rPr>
                <w:rFonts w:ascii="Barlow Semi Condensed" w:cs="Barlow Semi Condensed" w:eastAsia="Barlow Semi Condensed" w:hAnsi="Barlow Semi Condensed"/>
                <w:sz w:val="20"/>
                <w:szCs w:val="20"/>
              </w:rPr>
              <w:t xml:space="preserve"> e Prospero Gallinari — che passarono in seguito alle BR. Il nome divenne pubblico solo nel 1978-79, con le indagini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Lucarelli, Hyperion e Superclan (http://www.valeriolucarelli.it/Hyperion.htm); Tassinari (https://www.ugomariatassinari.it/hyperion-mandati-di-cattura/)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fondazione della scuola.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Hyperion</w:t>
            </w:r>
            <w:r>
              <w:rPr>
                <w:rFonts w:ascii="Barlow Semi Condensed" w:cs="Barlow Semi Condensed" w:eastAsia="Barlow Semi Condensed" w:hAnsi="Barlow Semi Condensed"/>
                <w:sz w:val="20"/>
                <w:szCs w:val="20"/>
              </w:rPr>
              <w:t xml:space="preserve"> (già «Agorà») fu formalmente fondata a </w:t>
            </w:r>
            <w:r>
              <w:rPr>
                <w:rFonts w:ascii="Barlow Semi Condensed" w:cs="Barlow Semi Condensed" w:eastAsia="Barlow Semi Condensed" w:hAnsi="Barlow Semi Condensed"/>
                <w:b/>
                <w:bCs/>
                <w:sz w:val="20"/>
                <w:szCs w:val="20"/>
              </w:rPr>
              <w:t xml:space="preserve">Parigi nel 1976</w:t>
            </w:r>
            <w:r>
              <w:rPr>
                <w:rFonts w:ascii="Barlow Semi Condensed" w:cs="Barlow Semi Condensed" w:eastAsia="Barlow Semi Condensed" w:hAnsi="Barlow Semi Condensed"/>
                <w:sz w:val="20"/>
                <w:szCs w:val="20"/>
              </w:rPr>
              <w:t xml:space="preserve">, al 27 di Quai de la Tournelle, come scuola di lingue; vi operavano Simioni, Berio e Mulinaris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Wikipedia IT (https://it.wikipedia.org/wiki/Hyperion_(Parigi)); 2duerighe (https://www.2duerighe.com/rubriche/storie/176537-luci-e-ombre-della-scuola-di-lingue-hyperion.html)</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HY-4</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L'ufficio romano del febbraio 1978.</w:t>
            </w:r>
            <w:r>
              <w:rPr>
                <w:rFonts w:ascii="Barlow Semi Condensed" w:cs="Barlow Semi Condensed" w:eastAsia="Barlow Semi Condensed" w:hAnsi="Barlow Semi Condensed"/>
                <w:sz w:val="20"/>
                <w:szCs w:val="20"/>
              </w:rPr>
              <w:t xml:space="preserve"> Nel </w:t>
            </w:r>
            <w:r>
              <w:rPr>
                <w:rFonts w:ascii="Barlow Semi Condensed" w:cs="Barlow Semi Condensed" w:eastAsia="Barlow Semi Condensed" w:hAnsi="Barlow Semi Condensed"/>
                <w:b/>
                <w:bCs/>
                <w:sz w:val="20"/>
                <w:szCs w:val="20"/>
              </w:rPr>
              <w:t xml:space="preserve">febbraio 1978</w:t>
            </w:r>
            <w:r>
              <w:rPr>
                <w:rFonts w:ascii="Barlow Semi Condensed" w:cs="Barlow Semi Condensed" w:eastAsia="Barlow Semi Condensed" w:hAnsi="Barlow Semi Condensed"/>
                <w:sz w:val="20"/>
                <w:szCs w:val="20"/>
              </w:rPr>
              <w:t xml:space="preserve"> — un mese prima di via Fani — Hyperion aprì una sede di rappresentanza a Roma in </w:t>
            </w:r>
            <w:r>
              <w:rPr>
                <w:rFonts w:ascii="Barlow Semi Condensed" w:cs="Barlow Semi Condensed" w:eastAsia="Barlow Semi Condensed" w:hAnsi="Barlow Semi Condensed"/>
                <w:b/>
                <w:bCs/>
                <w:sz w:val="20"/>
                <w:szCs w:val="20"/>
              </w:rPr>
              <w:t xml:space="preserve">via Nicotera 26</w:t>
            </w:r>
            <w:r>
              <w:rPr>
                <w:rFonts w:ascii="Barlow Semi Condensed" w:cs="Barlow Semi Condensed" w:eastAsia="Barlow Semi Condensed" w:hAnsi="Barlow Semi Condensed"/>
                <w:sz w:val="20"/>
                <w:szCs w:val="20"/>
              </w:rPr>
              <w:t xml:space="preserve">, stabile in cui avevano sede anche società di copertura del SISMI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Lettera43 (https://www.lettera43.it/scuola-hyperion-gli-intrecci-con-il-caso-moro/); Colarieti (https://www.colarieti.it/scuola-hyperion-gli-intrecci-con-il-caso-moro/)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HY-5</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L'ingresso nelle indagini (1979).</w:t>
            </w:r>
            <w:r>
              <w:rPr>
                <w:rFonts w:ascii="Barlow Semi Condensed" w:cs="Barlow Semi Condensed" w:eastAsia="Barlow Semi Condensed" w:hAnsi="Barlow Semi Condensed"/>
                <w:sz w:val="20"/>
                <w:szCs w:val="20"/>
              </w:rPr>
              <w:t xml:space="preserve"> Hyperion entrò nel mirino della magistratura italiana nel </w:t>
            </w:r>
            <w:r>
              <w:rPr>
                <w:rFonts w:ascii="Barlow Semi Condensed" w:cs="Barlow Semi Condensed" w:eastAsia="Barlow Semi Condensed" w:hAnsi="Barlow Semi Condensed"/>
                <w:b/>
                <w:bCs/>
                <w:sz w:val="20"/>
                <w:szCs w:val="20"/>
              </w:rPr>
              <w:t xml:space="preserve">1979</w:t>
            </w:r>
            <w:r>
              <w:rPr>
                <w:rFonts w:ascii="Barlow Semi Condensed" w:cs="Barlow Semi Condensed" w:eastAsia="Barlow Semi Condensed" w:hAnsi="Barlow Semi Condensed"/>
                <w:sz w:val="20"/>
                <w:szCs w:val="20"/>
              </w:rPr>
              <w:t xml:space="preserve">, nell'inchiesta del giudice </w:t>
            </w:r>
            <w:r>
              <w:rPr>
                <w:rFonts w:ascii="Barlow Semi Condensed" w:cs="Barlow Semi Condensed" w:eastAsia="Barlow Semi Condensed" w:hAnsi="Barlow Semi Condensed"/>
                <w:b/>
                <w:bCs/>
                <w:sz w:val="20"/>
                <w:szCs w:val="20"/>
              </w:rPr>
              <w:t xml:space="preserve">Pietro Calogero</w:t>
            </w:r>
            <w:r>
              <w:rPr>
                <w:rFonts w:ascii="Barlow Semi Condensed" w:cs="Barlow Semi Condensed" w:eastAsia="Barlow Semi Condensed" w:hAnsi="Barlow Semi Condensed"/>
                <w:sz w:val="20"/>
                <w:szCs w:val="20"/>
              </w:rPr>
              <w:t xml:space="preserve"> sui presunti collegamenti fra Autonomia e terrorismo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Wikipedia IT (https://it.wikipedia.org/wiki/Hyperion_(Parigi))</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HY-6</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Gli arresti e i mandati del 1982.</w:t>
            </w:r>
            <w:r>
              <w:rPr>
                <w:rFonts w:ascii="Barlow Semi Condensed" w:cs="Barlow Semi Condensed" w:eastAsia="Barlow Semi Condensed" w:hAnsi="Barlow Semi Condensed"/>
                <w:sz w:val="20"/>
                <w:szCs w:val="20"/>
              </w:rPr>
              <w:t xml:space="preserve"> Il </w:t>
            </w:r>
            <w:r>
              <w:rPr>
                <w:rFonts w:ascii="Barlow Semi Condensed" w:cs="Barlow Semi Condensed" w:eastAsia="Barlow Semi Condensed" w:hAnsi="Barlow Semi Condensed"/>
                <w:b/>
                <w:bCs/>
                <w:sz w:val="20"/>
                <w:szCs w:val="20"/>
              </w:rPr>
              <w:t xml:space="preserve">2 febbraio 1982</w:t>
            </w:r>
            <w:r>
              <w:rPr>
                <w:rFonts w:ascii="Barlow Semi Condensed" w:cs="Barlow Semi Condensed" w:eastAsia="Barlow Semi Condensed" w:hAnsi="Barlow Semi Condensed"/>
                <w:sz w:val="20"/>
                <w:szCs w:val="20"/>
              </w:rPr>
              <w:t xml:space="preserve">, sulla base delle dichiarazioni del pentito Savasta, fu arrestato a Udine </w:t>
            </w:r>
            <w:r>
              <w:rPr>
                <w:rFonts w:ascii="Barlow Semi Condensed" w:cs="Barlow Semi Condensed" w:eastAsia="Barlow Semi Condensed" w:hAnsi="Barlow Semi Condensed"/>
                <w:b/>
                <w:bCs/>
                <w:sz w:val="20"/>
                <w:szCs w:val="20"/>
              </w:rPr>
              <w:t xml:space="preserve">Vanni Mulinaris</w:t>
            </w:r>
            <w:r>
              <w:rPr>
                <w:rFonts w:ascii="Barlow Semi Condensed" w:cs="Barlow Semi Condensed" w:eastAsia="Barlow Semi Condensed" w:hAnsi="Barlow Semi Condensed"/>
                <w:sz w:val="20"/>
                <w:szCs w:val="20"/>
              </w:rPr>
              <w:t xml:space="preserve"> (accuse: traffico d'armi e concorso in banda armata); il </w:t>
            </w:r>
            <w:r>
              <w:rPr>
                <w:rFonts w:ascii="Barlow Semi Condensed" w:cs="Barlow Semi Condensed" w:eastAsia="Barlow Semi Condensed" w:hAnsi="Barlow Semi Condensed"/>
                <w:b/>
                <w:bCs/>
                <w:sz w:val="20"/>
                <w:szCs w:val="20"/>
              </w:rPr>
              <w:t xml:space="preserve">17 giugno 1982</w:t>
            </w:r>
            <w:r>
              <w:rPr>
                <w:rFonts w:ascii="Barlow Semi Condensed" w:cs="Barlow Semi Condensed" w:eastAsia="Barlow Semi Condensed" w:hAnsi="Barlow Semi Condensed"/>
                <w:sz w:val="20"/>
                <w:szCs w:val="20"/>
              </w:rPr>
              <w:t xml:space="preserve"> il giudice istruttore </w:t>
            </w:r>
            <w:r>
              <w:rPr>
                <w:rFonts w:ascii="Barlow Semi Condensed" w:cs="Barlow Semi Condensed" w:eastAsia="Barlow Semi Condensed" w:hAnsi="Barlow Semi Condensed"/>
                <w:b/>
                <w:bCs/>
                <w:sz w:val="20"/>
                <w:szCs w:val="20"/>
              </w:rPr>
              <w:t xml:space="preserve">Rosario Priore</w:t>
            </w:r>
            <w:r>
              <w:rPr>
                <w:rFonts w:ascii="Barlow Semi Condensed" w:cs="Barlow Semi Condensed" w:eastAsia="Barlow Semi Condensed" w:hAnsi="Barlow Semi Condensed"/>
                <w:sz w:val="20"/>
                <w:szCs w:val="20"/>
              </w:rPr>
              <w:t xml:space="preserve"> firmò mandati di cattura internazionali per </w:t>
            </w:r>
            <w:r>
              <w:rPr>
                <w:rFonts w:ascii="Barlow Semi Condensed" w:cs="Barlow Semi Condensed" w:eastAsia="Barlow Semi Condensed" w:hAnsi="Barlow Semi Condensed"/>
                <w:b/>
                <w:bCs/>
                <w:sz w:val="20"/>
                <w:szCs w:val="20"/>
              </w:rPr>
              <w:t xml:space="preserve">Berio e Simioni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Comune di Bologna, cronologia (http://www.comune.bologna.it/iperbole/asnsmp/Friuli_Vanni_Mulinaris.html); Tassinari (https://www.ugomariatassinari.it/hyperion-mandati-di-cattura/)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HY-7</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Gli esiti: proscioglimenti per tutti.</w:t>
            </w:r>
            <w:r>
              <w:rPr>
                <w:rFonts w:ascii="Barlow Semi Condensed" w:cs="Barlow Semi Condensed" w:eastAsia="Barlow Semi Condensed" w:hAnsi="Barlow Semi Condensed"/>
                <w:sz w:val="20"/>
                <w:szCs w:val="20"/>
              </w:rPr>
              <w:t xml:space="preserve"> I tre furono </w:t>
            </w:r>
            <w:r>
              <w:rPr>
                <w:rFonts w:ascii="Barlow Semi Condensed" w:cs="Barlow Semi Condensed" w:eastAsia="Barlow Semi Condensed" w:hAnsi="Barlow Semi Condensed"/>
                <w:b/>
                <w:bCs/>
                <w:sz w:val="20"/>
                <w:szCs w:val="20"/>
              </w:rPr>
              <w:t xml:space="preserve">prosciolti</w:t>
            </w:r>
            <w:r>
              <w:rPr>
                <w:rFonts w:ascii="Barlow Semi Condensed" w:cs="Barlow Semi Condensed" w:eastAsia="Barlow Semi Condensed" w:hAnsi="Barlow Semi Condensed"/>
                <w:sz w:val="20"/>
                <w:szCs w:val="20"/>
              </w:rPr>
              <w:t xml:space="preserve"> dalle accuse di terrorismo e traffico d'armi; Mulinaris fu dichiarato estraneo, anche a seguito di una campagna di solidarietà di intellettuali francesi — con una lettera al Presidente della Repubblica sottoscritta, fra gli altri, dall'</w:t>
            </w:r>
            <w:r>
              <w:rPr>
                <w:rFonts w:ascii="Barlow Semi Condensed" w:cs="Barlow Semi Condensed" w:eastAsia="Barlow Semi Condensed" w:hAnsi="Barlow Semi Condensed"/>
                <w:b/>
                <w:bCs/>
                <w:sz w:val="20"/>
                <w:szCs w:val="20"/>
              </w:rPr>
              <w:t xml:space="preserve">Abbé Pierre</w:t>
            </w:r>
            <w:r>
              <w:rPr>
                <w:rFonts w:ascii="Barlow Semi Condensed" w:cs="Barlow Semi Condensed" w:eastAsia="Barlow Semi Condensed" w:hAnsi="Barlow Semi Condensed"/>
                <w:sz w:val="20"/>
                <w:szCs w:val="20"/>
              </w:rPr>
              <w:t xml:space="preserve"> (fondatore di Emmaus), da Pierre Vidal-Naquet e Jean Cassou</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Wikipedia IT (https://it.wikipedia.org/wiki/Hyperion_(Parigi)); Archivio storico del Senato, carteggio Mulinaris (https://patrimonio.archivio.senato.it/inventario/scheda/giacomo-mancini/IT-AFS-043-001944/carteggio-vanni-mulinaris)</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L'audizione parlamentare (2015).</w:t>
            </w:r>
            <w:r>
              <w:rPr>
                <w:rFonts w:ascii="Barlow Semi Condensed" w:cs="Barlow Semi Condensed" w:eastAsia="Barlow Semi Condensed" w:hAnsi="Barlow Semi Condensed"/>
                <w:sz w:val="20"/>
                <w:szCs w:val="20"/>
              </w:rPr>
              <w:t xml:space="preserve"> La </w:t>
            </w:r>
            <w:r>
              <w:rPr>
                <w:rFonts w:ascii="Barlow Semi Condensed" w:cs="Barlow Semi Condensed" w:eastAsia="Barlow Semi Condensed" w:hAnsi="Barlow Semi Condensed"/>
                <w:b/>
                <w:bCs/>
                <w:sz w:val="20"/>
                <w:szCs w:val="20"/>
              </w:rPr>
              <w:t xml:space="preserve">Commissione Moro 2</w:t>
            </w:r>
            <w:r>
              <w:rPr>
                <w:rFonts w:ascii="Barlow Semi Condensed" w:cs="Barlow Semi Condensed" w:eastAsia="Barlow Semi Condensed" w:hAnsi="Barlow Semi Condensed"/>
                <w:sz w:val="20"/>
                <w:szCs w:val="20"/>
              </w:rPr>
              <w:t xml:space="preserve"> riesaminò il nodo; il 28 ottobre 2015 audì </w:t>
            </w:r>
            <w:r>
              <w:rPr>
                <w:rFonts w:ascii="Barlow Semi Condensed" w:cs="Barlow Semi Condensed" w:eastAsia="Barlow Semi Condensed" w:hAnsi="Barlow Semi Condensed"/>
                <w:b/>
                <w:bCs/>
                <w:sz w:val="20"/>
                <w:szCs w:val="20"/>
              </w:rPr>
              <w:t xml:space="preserve">Duccio Berio</w:t>
            </w:r>
            <w:r>
              <w:rPr>
                <w:rFonts w:ascii="Barlow Semi Condensed" w:cs="Barlow Semi Condensed" w:eastAsia="Barlow Semi Condensed" w:hAnsi="Barlow Semi Condensed"/>
                <w:sz w:val="20"/>
                <w:szCs w:val="20"/>
              </w:rPr>
              <w:t xml:space="preserve">, che respinse ogni addebito («eravamo solo un gruppo di amici»). Il resoconto stenografico è agli atti della Camera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Camera, stenografico 28/10/2015 (https://documenti.camera.it/leg17/resoconti/commissioni/stenografici/html/68/audiz2/audizione/2015/10/28/stenografico.0056.html); Il Fatto Quotidiano (https://www.ilfattoquotidiano.it/2015/10/28/caso-moro-luomo-di-hyperion-alla-commissione-non-centriamo-nulla-eravamo-solo-un-gruppo-di-amici/2169499/)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HY-9</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letteratura qualificata.</w:t>
            </w:r>
            <w:r>
              <w:rPr>
                <w:rFonts w:ascii="Barlow Semi Condensed" w:cs="Barlow Semi Condensed" w:eastAsia="Barlow Semi Condensed" w:hAnsi="Barlow Semi Condensed"/>
                <w:sz w:val="20"/>
                <w:szCs w:val="20"/>
              </w:rPr>
              <w:t xml:space="preserve"> Il nodo ha una bibliografia d'autore: </w:t>
            </w:r>
            <w:r>
              <w:rPr>
                <w:rFonts w:ascii="Barlow Semi Condensed" w:cs="Barlow Semi Condensed" w:eastAsia="Barlow Semi Condensed" w:hAnsi="Barlow Semi Condensed"/>
                <w:i/>
                <w:iCs/>
                <w:sz w:val="20"/>
                <w:szCs w:val="20"/>
              </w:rPr>
              <w:t xml:space="preserve">Chi manovrava le Brigate rosse?</w:t>
            </w:r>
            <w:r>
              <w:rPr>
                <w:rFonts w:ascii="Barlow Semi Condensed" w:cs="Barlow Semi Condensed" w:eastAsia="Barlow Semi Condensed" w:hAnsi="Barlow Semi Condensed"/>
                <w:sz w:val="20"/>
                <w:szCs w:val="20"/>
              </w:rPr>
              <w:t xml:space="preserve"> di Silvano De Prospo e </w:t>
            </w:r>
            <w:r>
              <w:rPr>
                <w:rFonts w:ascii="Barlow Semi Condensed" w:cs="Barlow Semi Condensed" w:eastAsia="Barlow Semi Condensed" w:hAnsi="Barlow Semi Condensed"/>
                <w:b/>
                <w:bCs/>
                <w:sz w:val="20"/>
                <w:szCs w:val="20"/>
              </w:rPr>
              <w:t xml:space="preserve">Rosario Priore</w:t>
            </w:r>
            <w:r>
              <w:rPr>
                <w:rFonts w:ascii="Barlow Semi Condensed" w:cs="Barlow Semi Condensed" w:eastAsia="Barlow Semi Condensed" w:hAnsi="Barlow Semi Condensed"/>
                <w:sz w:val="20"/>
                <w:szCs w:val="20"/>
              </w:rPr>
              <w:t xml:space="preserve"> (Ponte alle Grazie, 2011) — scritto cioè dallo stesso magistrato che indagò: fonte di parte investigativa, qualificata ma non giudiziale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Scheda editoriale (https://www.unilibro.it/libro/de-prospo-silvano-priore-rosario/chi-manovrava-brigate-rosse-storia-misteri-dell-hyperion-parigi-scuola-lingue-centrale-terrorismo-internazionale/9788862201742)</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2. Le due tesi contrapposte — entrambe non provate</w:t>
      </w:r>
    </w:p>
    <w:p>
      <w:pPr>
        <w:spacing w:after="120" w:line="276"/>
        <w:jc w:val="both"/>
      </w:pPr>
      <w:r>
        <w:rPr>
          <w:rFonts w:ascii="Barlow Semi Condensed" w:cs="Barlow Semi Condensed" w:eastAsia="Barlow Semi Condensed" w:hAnsi="Barlow Semi Condensed"/>
          <w:sz w:val="24"/>
          <w:szCs w:val="24"/>
        </w:rPr>
        <w:t xml:space="preserve">Il nodo Hyperion è conteso da due narrazioni speculari, e la triangolazione deve trattarle simmetricamente.</w:t>
      </w:r>
    </w:p>
    <w:p>
      <w:pPr>
        <w:spacing w:after="120" w:line="276"/>
        <w:jc w:val="both"/>
      </w:pPr>
      <w:r>
        <w:rPr>
          <w:rFonts w:ascii="Barlow Semi Condensed" w:cs="Barlow Semi Condensed" w:eastAsia="Barlow Semi Condensed" w:hAnsi="Barlow Semi Condensed"/>
          <w:b/>
          <w:bCs/>
          <w:sz w:val="24"/>
          <w:szCs w:val="24"/>
        </w:rPr>
        <w:t xml:space="preserve">Tesi A — «la centrale del terrorismo internazionale».</w:t>
      </w:r>
      <w:r>
        <w:rPr>
          <w:rFonts w:ascii="Barlow Semi Condensed" w:cs="Barlow Semi Condensed" w:eastAsia="Barlow Semi Condensed" w:hAnsi="Barlow Semi Condensed"/>
          <w:sz w:val="24"/>
          <w:szCs w:val="24"/>
        </w:rPr>
        <w:t xml:space="preserve"> Hyperion come punto d'incontro fra BR, ETA, IRA e OLP e come «direzione strategica estera» della lotta armata italiana. Fondamenti: le dichiarazioni di pentiti, la convergenza temporale dell'ufficio romano (HY-4), i passaggi biografici Superclan→BR (HY-2). </w:t>
      </w:r>
      <w:r>
        <w:rPr>
          <w:rFonts w:ascii="Barlow Semi Condensed" w:cs="Barlow Semi Condensed" w:eastAsia="Barlow Semi Condensed" w:hAnsi="Barlow Semi Condensed"/>
          <w:b/>
          <w:bCs/>
          <w:sz w:val="24"/>
          <w:szCs w:val="24"/>
        </w:rPr>
        <w:t xml:space="preserve">Esito al vaglio:</w:t>
      </w:r>
      <w:r>
        <w:rPr>
          <w:rFonts w:ascii="Barlow Semi Condensed" w:cs="Barlow Semi Condensed" w:eastAsia="Barlow Semi Condensed" w:hAnsi="Barlow Semi Condensed"/>
          <w:sz w:val="24"/>
          <w:szCs w:val="24"/>
        </w:rPr>
        <w:t xml:space="preserve"> i procedimenti giudiziari costruiti su questa tesi si sono chiusi con proscioglimenti (HY-7); la Commissione Moro 2 l'ha riesaminata senza produrre accertamenti nuovi di grado giudiziario. </w:t>
      </w:r>
      <w:r>
        <w:rPr>
          <w:rFonts w:ascii="Barlow Semi Condensed" w:cs="Barlow Semi Condensed" w:eastAsia="Barlow Semi Condensed" w:hAnsi="Barlow Semi Condensed"/>
          <w:b/>
          <w:bCs/>
          <w:sz w:val="24"/>
          <w:szCs w:val="24"/>
        </w:rPr>
        <w:t xml:space="preserve">Resta congettura.</w:t>
      </w:r>
    </w:p>
    <w:p>
      <w:pPr>
        <w:spacing w:after="120" w:line="276"/>
        <w:jc w:val="both"/>
      </w:pPr>
      <w:r>
        <w:rPr>
          <w:rFonts w:ascii="Barlow Semi Condensed" w:cs="Barlow Semi Condensed" w:eastAsia="Barlow Semi Condensed" w:hAnsi="Barlow Semi Condensed"/>
          <w:b/>
          <w:bCs/>
          <w:sz w:val="24"/>
          <w:szCs w:val="24"/>
        </w:rPr>
        <w:t xml:space="preserve">Tesi B — «la centrale d'intelligence».</w:t>
      </w:r>
      <w:r>
        <w:rPr>
          <w:rFonts w:ascii="Barlow Semi Condensed" w:cs="Barlow Semi Condensed" w:eastAsia="Barlow Semi Condensed" w:hAnsi="Barlow Semi Condensed"/>
          <w:sz w:val="24"/>
          <w:szCs w:val="24"/>
        </w:rPr>
        <w:t xml:space="preserve"> Hyperion come struttura legata a servizi occidentali — nelle audizioni e nelle dichiarazioni di magistrati (in particolare Priore) si riferisce che il SISDE di Giulio Grassini chiese ai servizi francesi informazioni sulla sede «coperta» di Rouen ritenendola «sede di un servizio d'informazione collegato alla CIA», e che interventi fra servizi avrebbero frenato le indagini (Il Sussidiario, intervista (https://www.ilsussidiario.net/news/scuola-di-lingue-hyperion-copriva-terroristi-a-parigi-i-francesi-sapevano-tutto/2164445/)). </w:t>
      </w:r>
      <w:r>
        <w:rPr>
          <w:rFonts w:ascii="Barlow Semi Condensed" w:cs="Barlow Semi Condensed" w:eastAsia="Barlow Semi Condensed" w:hAnsi="Barlow Semi Condensed"/>
          <w:b/>
          <w:bCs/>
          <w:sz w:val="24"/>
          <w:szCs w:val="24"/>
        </w:rPr>
        <w:t xml:space="preserve">Esito al vaglio:</w:t>
      </w:r>
      <w:r>
        <w:rPr>
          <w:rFonts w:ascii="Barlow Semi Condensed" w:cs="Barlow Semi Condensed" w:eastAsia="Barlow Semi Condensed" w:hAnsi="Barlow Semi Condensed"/>
          <w:sz w:val="24"/>
          <w:szCs w:val="24"/>
        </w:rPr>
        <w:t xml:space="preserve"> si tratta di </w:t>
      </w:r>
      <w:r>
        <w:rPr>
          <w:rFonts w:ascii="Barlow Semi Condensed" w:cs="Barlow Semi Condensed" w:eastAsia="Barlow Semi Condensed" w:hAnsi="Barlow Semi Condensed"/>
          <w:b/>
          <w:bCs/>
          <w:sz w:val="24"/>
          <w:szCs w:val="24"/>
        </w:rPr>
        <w:t xml:space="preserve">testimonianze e valutazioni investigative qualificate</w:t>
      </w:r>
      <w:r>
        <w:rPr>
          <w:rFonts w:ascii="Barlow Semi Condensed" w:cs="Barlow Semi Condensed" w:eastAsia="Barlow Semi Condensed" w:hAnsi="Barlow Semi Condensed"/>
          <w:sz w:val="24"/>
          <w:szCs w:val="24"/>
        </w:rPr>
        <w:t xml:space="preserve"> — non di accertamenti giudiziari; nessuna sentenza le ha mai convalidate. </w:t>
      </w:r>
      <w:r>
        <w:rPr>
          <w:rFonts w:ascii="Barlow Semi Condensed" w:cs="Barlow Semi Condensed" w:eastAsia="Barlow Semi Condensed" w:hAnsi="Barlow Semi Condensed"/>
          <w:b/>
          <w:bCs/>
          <w:sz w:val="24"/>
          <w:szCs w:val="24"/>
        </w:rPr>
        <w:t xml:space="preserve">Resta congettura</w:t>
      </w:r>
      <w:r>
        <w:rPr>
          <w:rFonts w:ascii="Barlow Semi Condensed" w:cs="Barlow Semi Condensed" w:eastAsia="Barlow Semi Condensed" w:hAnsi="Barlow Semi Condensed"/>
          <w:sz w:val="24"/>
          <w:szCs w:val="24"/>
        </w:rPr>
        <w:t xml:space="preserve">, di rango testimoniale.</w:t>
      </w:r>
    </w:p>
    <w:p>
      <w:pPr>
        <w:spacing w:after="120" w:line="276"/>
        <w:jc w:val="both"/>
      </w:pPr>
      <w:r>
        <w:rPr>
          <w:rFonts w:ascii="Barlow Semi Condensed" w:cs="Barlow Semi Condensed" w:eastAsia="Barlow Semi Condensed" w:hAnsi="Barlow Semi Condensed"/>
          <w:sz w:val="24"/>
          <w:szCs w:val="24"/>
        </w:rPr>
        <w:t xml:space="preserve">Il punto metodologico, che è il contributo del corpus a questo nodo: </w:t>
      </w:r>
      <w:r>
        <w:rPr>
          <w:rFonts w:ascii="Barlow Semi Condensed" w:cs="Barlow Semi Condensed" w:eastAsia="Barlow Semi Condensed" w:hAnsi="Barlow Semi Condensed"/>
          <w:b/>
          <w:bCs/>
          <w:sz w:val="24"/>
          <w:szCs w:val="24"/>
        </w:rPr>
        <w:t xml:space="preserve">le due tesi non possono sommarsi in un generico «Hyperion era comunque qualcosa di torbido»</w:t>
      </w:r>
      <w:r>
        <w:rPr>
          <w:rFonts w:ascii="Barlow Semi Condensed" w:cs="Barlow Semi Condensed" w:eastAsia="Barlow Semi Condensed" w:hAnsi="Barlow Semi Condensed"/>
          <w:sz w:val="24"/>
          <w:szCs w:val="24"/>
        </w:rPr>
        <w:t xml:space="preserve">. Sono ipotesi alternative, ciascuna non provata; la loro coesistenza quarantennale nel discorso pubblico misura l'assenza di accertamento, non la sua abbondanza. Il «doppio sospetto» non è un grado di prova: è la forma che prende, in Italia, il vuoto probatorio.</w:t>
      </w:r>
    </w:p>
    <w:p>
      <w:pPr>
        <w:pStyle w:val="Heading2"/>
        <w:spacing w:after="100" w:before="200"/>
      </w:pPr>
      <w:r>
        <w:rPr>
          <w:rFonts w:ascii="Barlow Semi Condensed" w:cs="Barlow Semi Condensed" w:eastAsia="Barlow Semi Condensed" w:hAnsi="Barlow Semi Condensed"/>
          <w:sz w:val="24"/>
          <w:szCs w:val="24"/>
        </w:rPr>
        <w:t xml:space="preserve">3. I ponti con il corpus (BH-1…BH-4)</w:t>
      </w:r>
    </w:p>
    <w:p>
      <w:pPr>
        <w:pStyle w:val="Heading3"/>
        <w:spacing w:after="80" w:before="160"/>
      </w:pPr>
      <w:r>
        <w:rPr>
          <w:rFonts w:ascii="Barlow Semi Condensed" w:cs="Barlow Semi Condensed" w:eastAsia="Barlow Semi Condensed" w:hAnsi="Barlow Semi Condensed"/>
          <w:sz w:val="24"/>
          <w:szCs w:val="24"/>
        </w:rPr>
        <w:t xml:space="preserve">BH-1 · Con il fronte Feltrinelli e il nodo Pecorile (M-3) — ponte genealogico documentato</w:t>
      </w:r>
    </w:p>
    <w:p>
      <w:pPr>
        <w:spacing w:after="120" w:line="276"/>
        <w:jc w:val="both"/>
      </w:pPr>
      <w:r>
        <w:rPr>
          <w:rFonts w:ascii="Barlow Semi Condensed" w:cs="Barlow Semi Condensed" w:eastAsia="Barlow Semi Condensed" w:hAnsi="Barlow Semi Condensed"/>
          <w:sz w:val="24"/>
          <w:szCs w:val="24"/>
        </w:rPr>
        <w:t xml:space="preserve">La matrice del corpus data la nascita delle BR al convegno di Pecorile (agosto 1970), dentro l'area del CPM milanese. Hyperion vi si aggancia </w:t>
      </w:r>
      <w:r>
        <w:rPr>
          <w:rFonts w:ascii="Barlow Semi Condensed" w:cs="Barlow Semi Condensed" w:eastAsia="Barlow Semi Condensed" w:hAnsi="Barlow Semi Condensed"/>
          <w:b/>
          <w:bCs/>
          <w:sz w:val="24"/>
          <w:szCs w:val="24"/>
        </w:rPr>
        <w:t xml:space="preserve">a monte</w:t>
      </w:r>
      <w:r>
        <w:rPr>
          <w:rFonts w:ascii="Barlow Semi Condensed" w:cs="Barlow Semi Condensed" w:eastAsia="Barlow Semi Condensed" w:hAnsi="Barlow Semi Condensed"/>
          <w:sz w:val="24"/>
          <w:szCs w:val="24"/>
        </w:rPr>
        <w:t xml:space="preserve">: i suoi futuri fondatori furono co-fondatori del CPM (HY-1) e se ne separarono </w:t>
      </w: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della scelta armata di Curcio, formando il Superclan (HY-2). Il ponte documentato è dunque una </w:t>
      </w:r>
      <w:r>
        <w:rPr>
          <w:rFonts w:ascii="Barlow Semi Condensed" w:cs="Barlow Semi Condensed" w:eastAsia="Barlow Semi Condensed" w:hAnsi="Barlow Semi Condensed"/>
          <w:b/>
          <w:bCs/>
          <w:sz w:val="24"/>
          <w:szCs w:val="24"/>
        </w:rPr>
        <w:t xml:space="preserve">genealogia comune con biforcazione precoce</w:t>
      </w:r>
      <w:r>
        <w:rPr>
          <w:rFonts w:ascii="Barlow Semi Condensed" w:cs="Barlow Semi Condensed" w:eastAsia="Barlow Semi Condensed" w:hAnsi="Barlow Semi Condensed"/>
          <w:sz w:val="24"/>
          <w:szCs w:val="24"/>
        </w:rPr>
        <w:t xml:space="preserve">: stesso brodo di coltura, strade divise. Il passaggio di </w:t>
      </w:r>
      <w:r>
        <w:rPr>
          <w:rFonts w:ascii="Barlow Semi Condensed" w:cs="Barlow Semi Condensed" w:eastAsia="Barlow Semi Condensed" w:hAnsi="Barlow Semi Condensed"/>
          <w:b/>
          <w:bCs/>
          <w:sz w:val="24"/>
          <w:szCs w:val="24"/>
        </w:rPr>
        <w:t xml:space="preserve">Moretti</w:t>
      </w:r>
      <w:r>
        <w:rPr>
          <w:rFonts w:ascii="Barlow Semi Condensed" w:cs="Barlow Semi Condensed" w:eastAsia="Barlow Semi Condensed" w:hAnsi="Barlow Semi Condensed"/>
          <w:sz w:val="24"/>
          <w:szCs w:val="24"/>
        </w:rPr>
        <w:t xml:space="preserve"> — dal Superclan alle BR, fino alla direzione del sequestro Moro e, per sua ammissione (nodo P-1 della matrice), all'uccisione — è il filo biografico che tiene uniti i due rami; ma un filo biografico non è una catena di comando, e la triangolazione lo lascia dov'è.</w:t>
      </w:r>
    </w:p>
    <w:p>
      <w:pPr>
        <w:pStyle w:val="Heading3"/>
        <w:spacing w:after="80" w:before="160"/>
      </w:pPr>
      <w:r>
        <w:rPr>
          <w:rFonts w:ascii="Barlow Semi Condensed" w:cs="Barlow Semi Condensed" w:eastAsia="Barlow Semi Condensed" w:hAnsi="Barlow Semi Condensed"/>
          <w:sz w:val="24"/>
          <w:szCs w:val="24"/>
        </w:rPr>
        <w:t xml:space="preserve">BH-2 · Con la Parte terza dell'opera morotea (il «quadro internazionale») — ponte tematico</w:t>
      </w:r>
    </w:p>
    <w:p>
      <w:pPr>
        <w:spacing w:after="120" w:line="276"/>
        <w:jc w:val="both"/>
      </w:pPr>
      <w:r>
        <w:rPr>
          <w:rFonts w:ascii="Barlow Semi Condensed" w:cs="Barlow Semi Condensed" w:eastAsia="Barlow Semi Condensed" w:hAnsi="Barlow Semi Condensed"/>
          <w:sz w:val="24"/>
          <w:szCs w:val="24"/>
        </w:rPr>
        <w:t xml:space="preserve">Il dossier falsificazionista del corpus tratta le questioni aperte del caso Moro assegnando a ciascuna grado di prova e criterio di smentita. Hyperion appartiene a quel capitolo come </w:t>
      </w:r>
      <w:r>
        <w:rPr>
          <w:rFonts w:ascii="Barlow Semi Condensed" w:cs="Barlow Semi Condensed" w:eastAsia="Barlow Semi Condensed" w:hAnsi="Barlow Semi Condensed"/>
          <w:b/>
          <w:bCs/>
          <w:sz w:val="24"/>
          <w:szCs w:val="24"/>
        </w:rPr>
        <w:t xml:space="preserve">caso di scuola</w:t>
      </w:r>
      <w:r>
        <w:rPr>
          <w:rFonts w:ascii="Barlow Semi Condensed" w:cs="Barlow Semi Condensed" w:eastAsia="Barlow Semi Condensed" w:hAnsi="Barlow Semi Condensed"/>
          <w:sz w:val="24"/>
          <w:szCs w:val="24"/>
        </w:rPr>
        <w:t xml:space="preserve">: l'ipotesi di una direzione estera delle BR — di qualunque segno — non ha mai superato il vaglio giudiziario. Il criterio di smentita per entrambe le tesi del § 2 è identico e semplice: </w:t>
      </w:r>
      <w:r>
        <w:rPr>
          <w:rFonts w:ascii="Barlow Semi Condensed" w:cs="Barlow Semi Condensed" w:eastAsia="Barlow Semi Condensed" w:hAnsi="Barlow Semi Condensed"/>
          <w:b/>
          <w:bCs/>
          <w:sz w:val="24"/>
          <w:szCs w:val="24"/>
        </w:rPr>
        <w:t xml:space="preserve">un documento d'archivio o una sentenza</w:t>
      </w:r>
      <w:r>
        <w:rPr>
          <w:rFonts w:ascii="Barlow Semi Condensed" w:cs="Barlow Semi Condensed" w:eastAsia="Barlow Semi Condensed" w:hAnsi="Barlow Semi Condensed"/>
          <w:sz w:val="24"/>
          <w:szCs w:val="24"/>
        </w:rPr>
        <w:t xml:space="preserve"> che stabilisca l'affiliazione. In quarant'anni non è emerso né l'uno né l'altra.</w:t>
      </w:r>
    </w:p>
    <w:p>
      <w:pPr>
        <w:pStyle w:val="Heading3"/>
        <w:spacing w:after="80" w:before="160"/>
      </w:pPr>
      <w:r>
        <w:rPr>
          <w:rFonts w:ascii="Barlow Semi Condensed" w:cs="Barlow Semi Condensed" w:eastAsia="Barlow Semi Condensed" w:hAnsi="Barlow Semi Condensed"/>
          <w:sz w:val="24"/>
          <w:szCs w:val="24"/>
        </w:rPr>
        <w:t xml:space="preserve">BH-3 · Con il nodo M-5 («l'ombra statunitense») — simmetria di metodo</w:t>
      </w:r>
    </w:p>
    <w:p>
      <w:pPr>
        <w:spacing w:after="120" w:line="276"/>
        <w:jc w:val="both"/>
      </w:pPr>
      <w:r>
        <w:rPr>
          <w:rFonts w:ascii="Barlow Semi Condensed" w:cs="Barlow Semi Condensed" w:eastAsia="Barlow Semi Condensed" w:hAnsi="Barlow Semi Condensed"/>
          <w:sz w:val="24"/>
          <w:szCs w:val="24"/>
        </w:rPr>
        <w:t xml:space="preserve">La matrice Guevara-Moro registra fatti americani documentati sulle due morti senza promuoverli a regia. La tesi B su Hyperion (§ 2) chiede lo stesso trattamento: le dichiarazioni sul SISDE e sulla CIA sono </w:t>
      </w:r>
      <w:r>
        <w:rPr>
          <w:rFonts w:ascii="Barlow Semi Condensed" w:cs="Barlow Semi Condensed" w:eastAsia="Barlow Semi Condensed" w:hAnsi="Barlow Semi Condensed"/>
          <w:b/>
          <w:bCs/>
          <w:sz w:val="24"/>
          <w:szCs w:val="24"/>
        </w:rPr>
        <w:t xml:space="preserve">fatti testimoniali documentati</w:t>
      </w:r>
      <w:r>
        <w:rPr>
          <w:rFonts w:ascii="Barlow Semi Condensed" w:cs="Barlow Semi Condensed" w:eastAsia="Barlow Semi Condensed" w:hAnsi="Barlow Semi Condensed"/>
          <w:sz w:val="24"/>
          <w:szCs w:val="24"/>
        </w:rPr>
        <w:t xml:space="preserve"> (qualcuno le ha rese, in sedi qualificate) la cui </w:t>
      </w:r>
      <w:r>
        <w:rPr>
          <w:rFonts w:ascii="Barlow Semi Condensed" w:cs="Barlow Semi Condensed" w:eastAsia="Barlow Semi Condensed" w:hAnsi="Barlow Semi Condensed"/>
          <w:b/>
          <w:bCs/>
          <w:sz w:val="24"/>
          <w:szCs w:val="24"/>
        </w:rPr>
        <w:t xml:space="preserve">verità sostanziale resta non accertata</w:t>
      </w:r>
      <w:r>
        <w:rPr>
          <w:rFonts w:ascii="Barlow Semi Condensed" w:cs="Barlow Semi Condensed" w:eastAsia="Barlow Semi Condensed" w:hAnsi="Barlow Semi Condensed"/>
          <w:sz w:val="24"/>
          <w:szCs w:val="24"/>
        </w:rPr>
        <w:t xml:space="preserve">. Documentare l'esistenza di una testimonianza non è documentare ciò che essa afferma: è la distinzione su cui il corpus è costruito.</w:t>
      </w:r>
    </w:p>
    <w:p>
      <w:pPr>
        <w:pStyle w:val="Heading3"/>
        <w:spacing w:after="80" w:before="160"/>
      </w:pPr>
      <w:r>
        <w:rPr>
          <w:rFonts w:ascii="Barlow Semi Condensed" w:cs="Barlow Semi Condensed" w:eastAsia="Barlow Semi Condensed" w:hAnsi="Barlow Semi Condensed"/>
          <w:sz w:val="24"/>
          <w:szCs w:val="24"/>
        </w:rPr>
        <w:t xml:space="preserve">BH-4 · Con la convergenza temporale di via Nicotera (HY-4) — convergenza, da non promuovere</w:t>
      </w:r>
    </w:p>
    <w:p>
      <w:pPr>
        <w:spacing w:after="120" w:line="276"/>
        <w:jc w:val="both"/>
      </w:pPr>
      <w:r>
        <w:rPr>
          <w:rFonts w:ascii="Barlow Semi Condensed" w:cs="Barlow Semi Condensed" w:eastAsia="Barlow Semi Condensed" w:hAnsi="Barlow Semi Condensed"/>
          <w:sz w:val="24"/>
          <w:szCs w:val="24"/>
        </w:rPr>
        <w:t xml:space="preserve">L'apertura dell'ufficio romano un mese prima di via Fani, in uno stabile condiviso con coperture SISMI, è il tipo esatto di dato che la dietrologia trasforma in prova. Il corpus lo registra per ciò che è: una </w:t>
      </w:r>
      <w:r>
        <w:rPr>
          <w:rFonts w:ascii="Barlow Semi Condensed" w:cs="Barlow Semi Condensed" w:eastAsia="Barlow Semi Condensed" w:hAnsi="Barlow Semi Condensed"/>
          <w:b/>
          <w:bCs/>
          <w:sz w:val="24"/>
          <w:szCs w:val="24"/>
        </w:rPr>
        <w:t xml:space="preserve">convergenza di tempo e di luogo</w:t>
      </w:r>
      <w:r>
        <w:rPr>
          <w:rFonts w:ascii="Barlow Semi Condensed" w:cs="Barlow Semi Condensed" w:eastAsia="Barlow Semi Condensed" w:hAnsi="Barlow Semi Condensed"/>
          <w:sz w:val="24"/>
          <w:szCs w:val="24"/>
        </w:rPr>
        <w:t xml:space="preserve">, documentata e mai tradotta in alcun accertamento di responsabilità. Vale la regola dell'intero lavoro: la convergenza non si promuove a nesso.</w:t>
      </w:r>
    </w:p>
    <w:p>
      <w:pPr>
        <w:pStyle w:val="Heading2"/>
        <w:spacing w:after="100" w:before="200"/>
      </w:pPr>
      <w:r>
        <w:rPr>
          <w:rFonts w:ascii="Barlow Semi Condensed" w:cs="Barlow Semi Condensed" w:eastAsia="Barlow Semi Condensed" w:hAnsi="Barlow Semi Condensed"/>
          <w:sz w:val="24"/>
          <w:szCs w:val="24"/>
        </w:rPr>
        <w:t xml:space="preserve">4. Anti-triangolazioni (ATH-1…ATH-3)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Anti-triangolazione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ATH-1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Nessuna condanna, presunzione d'innocenza piena.</w:t>
            </w:r>
            <w:r>
              <w:rPr>
                <w:rFonts w:ascii="Barlow Semi Condensed" w:cs="Barlow Semi Condensed" w:eastAsia="Barlow Semi Condensed" w:hAnsi="Barlow Semi Condensed"/>
                <w:sz w:val="20"/>
                <w:szCs w:val="20"/>
              </w:rPr>
              <w:t xml:space="preserve"> I fondatori di Hyperion furono indagati e </w:t>
            </w:r>
            <w:r>
              <w:rPr>
                <w:rFonts w:ascii="Barlow Semi Condensed" w:cs="Barlow Semi Condensed" w:eastAsia="Barlow Semi Condensed" w:hAnsi="Barlow Semi Condensed"/>
                <w:b/>
                <w:bCs/>
                <w:sz w:val="20"/>
                <w:szCs w:val="20"/>
              </w:rPr>
              <w:t xml:space="preserve">prosciolti</w:t>
            </w:r>
            <w:r>
              <w:rPr>
                <w:rFonts w:ascii="Barlow Semi Condensed" w:cs="Barlow Semi Condensed" w:eastAsia="Barlow Semi Condensed" w:hAnsi="Barlow Semi Condensed"/>
                <w:sz w:val="20"/>
                <w:szCs w:val="20"/>
              </w:rPr>
              <w:t xml:space="preserve">. Ogni uso del loro nome come «responsabili» di alcunché è fuori dal terreno documentato e fuori dalla disciplina del corpus</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ATH-2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Le due tesi non si sommano.</w:t>
            </w:r>
            <w:r>
              <w:rPr>
                <w:rFonts w:ascii="Barlow Semi Condensed" w:cs="Barlow Semi Condensed" w:eastAsia="Barlow Semi Condensed" w:hAnsi="Barlow Semi Condensed"/>
                <w:sz w:val="20"/>
                <w:szCs w:val="20"/>
              </w:rPr>
              <w:t xml:space="preserve"> «Centrale del terrorismo» e «centrale d'intelligence» sono congetture alternative; il doppio sospetto non costituisce un grado di prova intermedio. Chi le somma commette due volte l'errore che il corpus chiama promozione della convergenza a nesso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ATH-3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filo Moretti non è una catena di comando.</w:t>
            </w:r>
            <w:r>
              <w:rPr>
                <w:rFonts w:ascii="Barlow Semi Condensed" w:cs="Barlow Semi Condensed" w:eastAsia="Barlow Semi Condensed" w:hAnsi="Barlow Semi Condensed"/>
                <w:sz w:val="20"/>
                <w:szCs w:val="20"/>
              </w:rPr>
              <w:t xml:space="preserve"> Il passaggio biografico Superclan→BR di Moretti è documentato; la deduzione che le BR fossero eterodirette attraverso quel filo non lo è, e i processi — che pure disponevano delle dichiarazioni dei pentiti — non l'hanno accertata</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5. Registro di esecuzione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Nodi documentati: </w:t>
      </w:r>
      <w:r>
        <w:rPr>
          <w:rFonts w:ascii="Barlow Semi Condensed" w:cs="Barlow Semi Condensed" w:eastAsia="Barlow Semi Condensed" w:hAnsi="Barlow Semi Condensed"/>
          <w:b/>
          <w:bCs/>
          <w:sz w:val="24"/>
          <w:szCs w:val="24"/>
        </w:rPr>
        <w:t xml:space="preserve">9</w:t>
      </w:r>
      <w:r>
        <w:rPr>
          <w:rFonts w:ascii="Barlow Semi Condensed" w:cs="Barlow Semi Condensed" w:eastAsia="Barlow Semi Condensed" w:hAnsi="Barlow Semi Condensed"/>
          <w:sz w:val="24"/>
          <w:szCs w:val="24"/>
        </w:rPr>
        <w:t xml:space="preserve"> (HY-1…HY-9), tutti con fonte citata; verifiche web dedicate eseguite in sessione: </w:t>
      </w: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Tesi vagliate e lasciate al grado di congettura: </w:t>
      </w:r>
      <w:r>
        <w:rPr>
          <w:rFonts w:ascii="Barlow Semi Condensed" w:cs="Barlow Semi Condensed" w:eastAsia="Barlow Semi Condensed" w:hAnsi="Barlow Semi Condensed"/>
          <w:b/>
          <w:bCs/>
          <w:sz w:val="24"/>
          <w:szCs w:val="24"/>
        </w:rPr>
        <w:t xml:space="preserve">2</w:t>
      </w:r>
      <w:r>
        <w:rPr>
          <w:rFonts w:ascii="Barlow Semi Condensed" w:cs="Barlow Semi Condensed" w:eastAsia="Barlow Semi Condensed" w:hAnsi="Barlow Semi Condensed"/>
          <w:sz w:val="24"/>
          <w:szCs w:val="24"/>
        </w:rPr>
        <w:t xml:space="preserve"> (§ 2), con criterio di smentita comune dichiarato (BH-2).</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Ponti con il corpus: </w:t>
      </w:r>
      <w:r>
        <w:rPr>
          <w:rFonts w:ascii="Barlow Semi Condensed" w:cs="Barlow Semi Condensed" w:eastAsia="Barlow Semi Condensed" w:hAnsi="Barlow Semi Condensed"/>
          <w:b/>
          <w:bCs/>
          <w:sz w:val="24"/>
          <w:szCs w:val="24"/>
        </w:rPr>
        <w:t xml:space="preserve">4</w:t>
      </w:r>
      <w:r>
        <w:rPr>
          <w:rFonts w:ascii="Barlow Semi Condensed" w:cs="Barlow Semi Condensed" w:eastAsia="Barlow Semi Condensed" w:hAnsi="Barlow Semi Condensed"/>
          <w:sz w:val="24"/>
          <w:szCs w:val="24"/>
        </w:rPr>
        <w:t xml:space="preserve"> (BH-1 genealogico documentato; BH-2 tematico; BH-3 simmetria di metodo; BH-4 convergenza dichiarata).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Anti-triangolazioni: </w:t>
      </w: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nodo </w:t>
      </w:r>
      <w:r>
        <w:rPr>
          <w:rFonts w:ascii="Barlow Semi Condensed" w:cs="Barlow Semi Condensed" w:eastAsia="Barlow Semi Condensed" w:hAnsi="Barlow Semi Condensed"/>
          <w:b/>
          <w:bCs/>
          <w:sz w:val="24"/>
          <w:szCs w:val="24"/>
        </w:rPr>
        <w:t xml:space="preserve">non è inserito</w:t>
      </w:r>
      <w:r>
        <w:rPr>
          <w:rFonts w:ascii="Barlow Semi Condensed" w:cs="Barlow Semi Condensed" w:eastAsia="Barlow Semi Condensed" w:hAnsi="Barlow Semi Condensed"/>
          <w:sz w:val="24"/>
          <w:szCs w:val="24"/>
        </w:rPr>
        <w:t xml:space="preserve"> nella cronologia sinottica: quella registra solo fatti documentati dei tre fili (Guevara, mito, Moro), e Hyperion vi apparterrebbe solo per via di tesi non provate.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Triangolazione del nodo Hyperion con il corpus. Fondatori nominati solo per fatti pubblici e con esiti giudiziari liberatori esplicitati; le due tesi contrapposte lasciate entrambe al grado di congettura con criterio di smentita dichiarato. Nessuna imputazione oltre il giudicato — qui, dove il giudicato assolve, la formula significa: nessuna imputazione.</w:t>
      </w:r>
    </w:p>
    <w:p>
      <w:pPr>
        <w:pStyle w:val="Heading3"/>
        <w:spacing w:after="80" w:before="240"/>
      </w:pPr>
      <w:r>
        <w:rPr>
          <w:rFonts w:ascii="Barlow Semi Condensed" w:cs="Barlow Semi Condensed" w:eastAsia="Barlow Semi Condensed" w:hAnsi="Barlow Semi Condensed"/>
          <w:sz w:val="24"/>
          <w:szCs w:val="24"/>
        </w:rPr>
        <w:t xml:space="preserve">Apparato grafico — Libro quinto · Il nodo Hyperion</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III: 1.383 parole in 5 sezioni; la più ampia è §1 1. I fatti documentati, con 467.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III: 17 indirizzi di fonte citati, addensati in 2 sezioni su 5.</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quinto — Il vettore e il ceppo — IV. L'incrocio Feltrinelli-Hyperion</w:t>
      </w:r>
    </w:p>
    <w:p>
      <w:pPr>
        <w:pStyle w:val="Heading1"/>
        <w:spacing w:after="120" w:before="240"/>
      </w:pPr>
      <w:r>
        <w:rPr>
          <w:rFonts w:ascii="Barlow Semi Condensed" w:cs="Barlow Semi Condensed" w:eastAsia="Barlow Semi Condensed" w:hAnsi="Barlow Semi Condensed"/>
          <w:sz w:val="24"/>
          <w:szCs w:val="24"/>
        </w:rPr>
        <w:t xml:space="preserve">Triangolazione d'incrocio: Feltrinelli e Hyperion</w:t>
      </w:r>
    </w:p>
    <w:p>
      <w:pPr>
        <w:spacing w:after="120" w:line="276"/>
        <w:jc w:val="both"/>
      </w:pPr>
      <w:r>
        <w:rPr>
          <w:rFonts w:ascii="Barlow Semi Condensed" w:cs="Barlow Semi Condensed" w:eastAsia="Barlow Semi Condensed" w:hAnsi="Barlow Semi Condensed"/>
          <w:i/>
          <w:iCs/>
          <w:sz w:val="24"/>
          <w:szCs w:val="24"/>
        </w:rPr>
        <w:t xml:space="preserve">I due fronti a confronto: la matrice milanese, le tre strade, i ponti biografici e le congetture smentite — 24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w:t>
      </w:r>
      <w:r>
        <w:rPr>
          <w:rFonts w:ascii="Barlow Semi Condensed" w:cs="Barlow Semi Condensed" w:eastAsia="Barlow Semi Condensed" w:hAnsi="Barlow Semi Condensed"/>
          <w:i w:val="false"/>
          <w:iCs w:val="false"/>
          <w:sz w:val="24"/>
          <w:szCs w:val="24"/>
        </w:rPr>
        <w:t xml:space="preserve"> Il corpus ha ora due studi che si guardano: il vettore (Feltrinelli, i GAP, Segrate) e il nodo Hyperion (Simioni, Berio, Mulinaris, il Superclan, Parigi). Questo documento li </w:t>
      </w:r>
      <w:r>
        <w:rPr>
          <w:rFonts w:ascii="Barlow Semi Condensed" w:cs="Barlow Semi Condensed" w:eastAsia="Barlow Semi Condensed" w:hAnsi="Barlow Semi Condensed"/>
          <w:b/>
          <w:bCs/>
          <w:i w:val="false"/>
          <w:iCs w:val="false"/>
          <w:sz w:val="24"/>
          <w:szCs w:val="24"/>
        </w:rPr>
        <w:t xml:space="preserve">incrocia</w:t>
      </w:r>
      <w:r>
        <w:rPr>
          <w:rFonts w:ascii="Barlow Semi Condensed" w:cs="Barlow Semi Condensed" w:eastAsia="Barlow Semi Condensed" w:hAnsi="Barlow Semi Condensed"/>
          <w:i w:val="false"/>
          <w:iCs w:val="false"/>
          <w:sz w:val="24"/>
          <w:szCs w:val="24"/>
        </w:rPr>
        <w:t xml:space="preserve">: stabilisce che cosa li lega davvero — su fonti — e che cosa li lega solo nella pubblicistica. L'esito si anticipa perché orienta la lettura: </w:t>
      </w:r>
      <w:r>
        <w:rPr>
          <w:rFonts w:ascii="Barlow Semi Condensed" w:cs="Barlow Semi Condensed" w:eastAsia="Barlow Semi Condensed" w:hAnsi="Barlow Semi Condensed"/>
          <w:b/>
          <w:bCs/>
          <w:i w:val="false"/>
          <w:iCs w:val="false"/>
          <w:sz w:val="24"/>
          <w:szCs w:val="24"/>
        </w:rPr>
        <w:t xml:space="preserve">i due fronti condividono la matrice e gli uomini, non le organizzazioni.</w:t>
      </w:r>
      <w:r>
        <w:rPr>
          <w:rFonts w:ascii="Barlow Semi Condensed" w:cs="Barlow Semi Condensed" w:eastAsia="Barlow Semi Condensed" w:hAnsi="Barlow Semi Condensed"/>
          <w:i w:val="false"/>
          <w:iCs w:val="false"/>
          <w:sz w:val="24"/>
          <w:szCs w:val="24"/>
        </w:rPr>
        <w:t xml:space="preserve"> Hyperion nacque nel 1976, quattro anni dopo la morte di Feltrinelli: fra l'editore e la scuola di Parigi non esiste, per ragioni di calendario prima che di prova, alcun rapporto diretto. Ciò che esiste — ed è documentato — è un </w:t>
      </w:r>
      <w:r>
        <w:rPr>
          <w:rFonts w:ascii="Barlow Semi Condensed" w:cs="Barlow Semi Condensed" w:eastAsia="Barlow Semi Condensed" w:hAnsi="Barlow Semi Condensed"/>
          <w:b/>
          <w:bCs/>
          <w:i w:val="false"/>
          <w:iCs w:val="false"/>
          <w:sz w:val="24"/>
          <w:szCs w:val="24"/>
        </w:rPr>
        <w:t xml:space="preserve">ceppo comune</w:t>
      </w:r>
      <w:r>
        <w:rPr>
          <w:rFonts w:ascii="Barlow Semi Condensed" w:cs="Barlow Semi Condensed" w:eastAsia="Barlow Semi Condensed" w:hAnsi="Barlow Semi Condensed"/>
          <w:i w:val="false"/>
          <w:iCs w:val="false"/>
          <w:sz w:val="24"/>
          <w:szCs w:val="24"/>
        </w:rPr>
        <w:t xml:space="preserve"> (la Milano extraparlamentare del 1969-72) da cui uscirono tre progetti clandestini distinti, e alcuni </w:t>
      </w:r>
      <w:r>
        <w:rPr>
          <w:rFonts w:ascii="Barlow Semi Condensed" w:cs="Barlow Semi Condensed" w:eastAsia="Barlow Semi Condensed" w:hAnsi="Barlow Semi Condensed"/>
          <w:b/>
          <w:bCs/>
          <w:i w:val="false"/>
          <w:iCs w:val="false"/>
          <w:sz w:val="24"/>
          <w:szCs w:val="24"/>
        </w:rPr>
        <w:t xml:space="preserve">ponti biografici</w:t>
      </w:r>
      <w:r>
        <w:rPr>
          <w:rFonts w:ascii="Barlow Semi Condensed" w:cs="Barlow Semi Condensed" w:eastAsia="Barlow Semi Condensed" w:hAnsi="Barlow Semi Condensed"/>
          <w:i w:val="false"/>
          <w:iCs w:val="false"/>
          <w:sz w:val="24"/>
          <w:szCs w:val="24"/>
        </w:rPr>
        <w:t xml:space="preserve"> precisi. Vale la disciplina di entrambi i fronti: i fondatori di Hyperion furono prosciolti da ogni accusa; la morte di Feltrinelli ha una ricostruzione giudiziaria; le congetture della memorialistica sono trattate come tali, comprese quelle </w:t>
      </w:r>
      <w:r>
        <w:rPr>
          <w:rFonts w:ascii="Barlow Semi Condensed" w:cs="Barlow Semi Condensed" w:eastAsia="Barlow Semi Condensed" w:hAnsi="Barlow Semi Condensed"/>
          <w:b/>
          <w:bCs/>
          <w:i w:val="false"/>
          <w:iCs w:val="false"/>
          <w:sz w:val="24"/>
          <w:szCs w:val="24"/>
        </w:rPr>
        <w:t xml:space="preserve">smentite</w:t>
      </w:r>
      <w:r>
        <w:rPr>
          <w:rFonts w:ascii="Barlow Semi Condensed" w:cs="Barlow Semi Condensed" w:eastAsia="Barlow Semi Condensed" w:hAnsi="Barlow Semi Condensed"/>
          <w:i w:val="false"/>
          <w:iCs w:val="false"/>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La matrice e le tre strade (nodi FH-1…FH-2)</w:t>
      </w:r>
    </w:p>
    <w:p>
      <w:pPr>
        <w:spacing w:after="120" w:line="276"/>
        <w:jc w:val="both"/>
      </w:pPr>
      <w:r>
        <w:rPr>
          <w:rFonts w:ascii="Barlow Semi Condensed" w:cs="Barlow Semi Condensed" w:eastAsia="Barlow Semi Condensed" w:hAnsi="Barlow Semi Condensed"/>
          <w:b/>
          <w:bCs/>
          <w:sz w:val="24"/>
          <w:szCs w:val="24"/>
        </w:rPr>
        <w:t xml:space="preserve">FH-1 · Il ceppo comune (documentato).</w:t>
      </w:r>
      <w:r>
        <w:rPr>
          <w:rFonts w:ascii="Barlow Semi Condensed" w:cs="Barlow Semi Condensed" w:eastAsia="Barlow Semi Condensed" w:hAnsi="Barlow Semi Condensed"/>
          <w:sz w:val="24"/>
          <w:szCs w:val="24"/>
        </w:rPr>
        <w:t xml:space="preserve"> La matrice è il </w:t>
      </w:r>
      <w:r>
        <w:rPr>
          <w:rFonts w:ascii="Barlow Semi Condensed" w:cs="Barlow Semi Condensed" w:eastAsia="Barlow Semi Condensed" w:hAnsi="Barlow Semi Condensed"/>
          <w:b/>
          <w:bCs/>
          <w:sz w:val="24"/>
          <w:szCs w:val="24"/>
        </w:rPr>
        <w:t xml:space="preserve">Collettivo Politico Metropolitano</w:t>
      </w:r>
      <w:r>
        <w:rPr>
          <w:rFonts w:ascii="Barlow Semi Condensed" w:cs="Barlow Semi Condensed" w:eastAsia="Barlow Semi Condensed" w:hAnsi="Barlow Semi Condensed"/>
          <w:sz w:val="24"/>
          <w:szCs w:val="24"/>
        </w:rPr>
        <w:t xml:space="preserve"> (Milano, settembre 1969) e l'area che gli stava attorno: vi convissero Renato Curcio e i futuri fondatori di Hyperion — Simioni, Berio, Mulinaris (nodo HY-1). Feltrinelli non apparteneva al CPM, ma operava nella stessa città, negli stessi anni, sullo stesso crinale fra legalità e clandestinità, e con l'area era in contatto (nodo M-2: Curcio, «a scuola di guerriglia da Feltrinelli»).</w:t>
      </w:r>
    </w:p>
    <w:p>
      <w:pPr>
        <w:spacing w:after="120" w:line="276"/>
        <w:jc w:val="both"/>
      </w:pPr>
      <w:r>
        <w:rPr>
          <w:rFonts w:ascii="Barlow Semi Condensed" w:cs="Barlow Semi Condensed" w:eastAsia="Barlow Semi Condensed" w:hAnsi="Barlow Semi Condensed"/>
          <w:b/>
          <w:bCs/>
          <w:sz w:val="24"/>
          <w:szCs w:val="24"/>
        </w:rPr>
        <w:t xml:space="preserve">FH-2 · La triforcazione del 1970 (documentato).</w:t>
      </w:r>
      <w:r>
        <w:rPr>
          <w:rFonts w:ascii="Barlow Semi Condensed" w:cs="Barlow Semi Condensed" w:eastAsia="Barlow Semi Condensed" w:hAnsi="Barlow Semi Condensed"/>
          <w:sz w:val="24"/>
          <w:szCs w:val="24"/>
        </w:rPr>
        <w:t xml:space="preserve"> Nel giro di pochi mesi, da quel ceppo e dal suo intorno uscirono </w:t>
      </w:r>
      <w:r>
        <w:rPr>
          <w:rFonts w:ascii="Barlow Semi Condensed" w:cs="Barlow Semi Condensed" w:eastAsia="Barlow Semi Condensed" w:hAnsi="Barlow Semi Condensed"/>
          <w:b/>
          <w:bCs/>
          <w:sz w:val="24"/>
          <w:szCs w:val="24"/>
        </w:rPr>
        <w:t xml:space="preserve">tre progetti clandestini distinti</w:t>
      </w:r>
      <w:r>
        <w:rPr>
          <w:rFonts w:ascii="Barlow Semi Condensed" w:cs="Barlow Semi Condensed" w:eastAsia="Barlow Semi Condensed" w:hAnsi="Barlow Semi Condensed"/>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Strada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Progetto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Data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Feltrinelli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GAP</w:t>
            </w:r>
            <w:r>
              <w:rPr>
                <w:rFonts w:ascii="Barlow Semi Condensed" w:cs="Barlow Semi Condensed" w:eastAsia="Barlow Semi Condensed" w:hAnsi="Barlow Semi Condensed"/>
                <w:sz w:val="20"/>
                <w:szCs w:val="20"/>
              </w:rPr>
              <w:t xml:space="preserve"> — il foco insurrezionale sul modello resistenziale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aprile-maggio 1970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Curcio, Franceschini e altri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Brigate Rosse</w:t>
            </w:r>
            <w:r>
              <w:rPr>
                <w:rFonts w:ascii="Barlow Semi Condensed" w:cs="Barlow Semi Condensed" w:eastAsia="Barlow Semi Condensed" w:hAnsi="Barlow Semi Condensed"/>
                <w:sz w:val="20"/>
                <w:szCs w:val="20"/>
              </w:rPr>
              <w:t xml:space="preserve"> — nate al convegno di Pecorile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agosto 1970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Simioni, Berio, Mulinaris</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«Superclan»</w:t>
            </w:r>
            <w:r>
              <w:rPr>
                <w:rFonts w:ascii="Barlow Semi Condensed" w:cs="Barlow Semi Condensed" w:eastAsia="Barlow Semi Condensed" w:hAnsi="Barlow Semi Condensed"/>
                <w:sz w:val="20"/>
                <w:szCs w:val="20"/>
              </w:rPr>
              <w:t xml:space="preserve"> — la struttura riservata, poi la strada di Parigi fino a Hyperion (1976)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1970 → 1976</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triforcazione è il dato strutturale dell'incrocio: </w:t>
      </w:r>
      <w:r>
        <w:rPr>
          <w:rFonts w:ascii="Barlow Semi Condensed" w:cs="Barlow Semi Condensed" w:eastAsia="Barlow Semi Condensed" w:hAnsi="Barlow Semi Condensed"/>
          <w:b/>
          <w:bCs/>
          <w:sz w:val="24"/>
          <w:szCs w:val="24"/>
        </w:rPr>
        <w:t xml:space="preserve">non una piramide con un vertice, ma un cespo con tre rami</w:t>
      </w:r>
      <w:r>
        <w:rPr>
          <w:rFonts w:ascii="Barlow Semi Condensed" w:cs="Barlow Semi Condensed" w:eastAsia="Barlow Semi Condensed" w:hAnsi="Barlow Semi Condensed"/>
          <w:sz w:val="24"/>
          <w:szCs w:val="24"/>
        </w:rPr>
        <w:t xml:space="preserve"> — che la pubblicistica ha ripetutamente provato a ricomporre in un'unica regia, senza che alcun accertamento l'abbia mai consentito.</w:t>
      </w:r>
    </w:p>
    <w:p>
      <w:pPr>
        <w:pStyle w:val="Heading2"/>
        <w:spacing w:after="100" w:before="200"/>
      </w:pPr>
      <w:r>
        <w:rPr>
          <w:rFonts w:ascii="Barlow Semi Condensed" w:cs="Barlow Semi Condensed" w:eastAsia="Barlow Semi Condensed" w:hAnsi="Barlow Semi Condensed"/>
          <w:sz w:val="24"/>
          <w:szCs w:val="24"/>
        </w:rPr>
        <w:t xml:space="preserve">2. I ponti documentati (FH-3…FH-7)</w:t>
      </w:r>
    </w:p>
    <w:p>
      <w:pPr>
        <w:spacing w:after="120" w:line="276"/>
        <w:jc w:val="both"/>
      </w:pPr>
      <w:r>
        <w:rPr>
          <w:rFonts w:ascii="Barlow Semi Condensed" w:cs="Barlow Semi Condensed" w:eastAsia="Barlow Semi Condensed" w:hAnsi="Barlow Semi Condensed"/>
          <w:b/>
          <w:bCs/>
          <w:sz w:val="24"/>
          <w:szCs w:val="24"/>
        </w:rPr>
        <w:t xml:space="preserve">FH-3 · Feltrinelli e le BR: rapporti reali, comando unificato mai ottenuto.</w:t>
      </w:r>
      <w:r>
        <w:rPr>
          <w:rFonts w:ascii="Barlow Semi Condensed" w:cs="Barlow Semi Condensed" w:eastAsia="Barlow Semi Condensed" w:hAnsi="Barlow Semi Condensed"/>
          <w:sz w:val="24"/>
          <w:szCs w:val="24"/>
        </w:rPr>
        <w:t xml:space="preserve"> Dopo le prime azioni brigatiste (l'incendio alla Pirelli di Lainate, 25 gennaio 1971), Feltrinelli </w:t>
      </w:r>
      <w:r>
        <w:rPr>
          <w:rFonts w:ascii="Barlow Semi Condensed" w:cs="Barlow Semi Condensed" w:eastAsia="Barlow Semi Condensed" w:hAnsi="Barlow Semi Condensed"/>
          <w:b/>
          <w:bCs/>
          <w:sz w:val="24"/>
          <w:szCs w:val="24"/>
        </w:rPr>
        <w:t xml:space="preserve">stabilì rapporti con Curcio e Franceschini</w:t>
      </w:r>
      <w:r>
        <w:rPr>
          <w:rFonts w:ascii="Barlow Semi Condensed" w:cs="Barlow Semi Condensed" w:eastAsia="Barlow Semi Condensed" w:hAnsi="Barlow Semi Condensed"/>
          <w:sz w:val="24"/>
          <w:szCs w:val="24"/>
        </w:rPr>
        <w:t xml:space="preserve">: incontri sempre più frequenti dalla fine del 1970, fissati ai giardini di </w:t>
      </w:r>
      <w:r>
        <w:rPr>
          <w:rFonts w:ascii="Barlow Semi Condensed" w:cs="Barlow Semi Condensed" w:eastAsia="Barlow Semi Condensed" w:hAnsi="Barlow Semi Condensed"/>
          <w:b/>
          <w:bCs/>
          <w:sz w:val="24"/>
          <w:szCs w:val="24"/>
        </w:rPr>
        <w:t xml:space="preserve">piazza Castello</w:t>
      </w:r>
      <w:r>
        <w:rPr>
          <w:rFonts w:ascii="Barlow Semi Condensed" w:cs="Barlow Semi Condensed" w:eastAsia="Barlow Semi Condensed" w:hAnsi="Barlow Semi Condensed"/>
          <w:sz w:val="24"/>
          <w:szCs w:val="24"/>
        </w:rPr>
        <w:t xml:space="preserve"> e proseguiti negli appartamenti coperti dell'editore. Feltrinelli puntava al </w:t>
      </w:r>
      <w:r>
        <w:rPr>
          <w:rFonts w:ascii="Barlow Semi Condensed" w:cs="Barlow Semi Condensed" w:eastAsia="Barlow Semi Condensed" w:hAnsi="Barlow Semi Condensed"/>
          <w:b/>
          <w:bCs/>
          <w:sz w:val="24"/>
          <w:szCs w:val="24"/>
        </w:rPr>
        <w:t xml:space="preserve">comando unificato</w:t>
      </w:r>
      <w:r>
        <w:rPr>
          <w:rFonts w:ascii="Barlow Semi Condensed" w:cs="Barlow Semi Condensed" w:eastAsia="Barlow Semi Condensed" w:hAnsi="Barlow Semi Condensed"/>
          <w:sz w:val="24"/>
          <w:szCs w:val="24"/>
        </w:rPr>
        <w:t xml:space="preserve"> della lotta armata e </w:t>
      </w:r>
      <w:r>
        <w:rPr>
          <w:rFonts w:ascii="Barlow Semi Condensed" w:cs="Barlow Semi Condensed" w:eastAsia="Barlow Semi Condensed" w:hAnsi="Barlow Semi Condensed"/>
          <w:b/>
          <w:bCs/>
          <w:sz w:val="24"/>
          <w:szCs w:val="24"/>
        </w:rPr>
        <w:t xml:space="preserve">non lo ottenne</w:t>
      </w:r>
      <w:r>
        <w:rPr>
          <w:rFonts w:ascii="Barlow Semi Condensed" w:cs="Barlow Semi Condensed" w:eastAsia="Barlow Semi Condensed" w:hAnsi="Barlow Semi Condensed"/>
          <w:sz w:val="24"/>
          <w:szCs w:val="24"/>
        </w:rPr>
        <w:t xml:space="preserve">; della collaborazione resta traccia documentale nel foglio </w:t>
      </w:r>
      <w:r>
        <w:rPr>
          <w:rFonts w:ascii="Barlow Semi Condensed" w:cs="Barlow Semi Condensed" w:eastAsia="Barlow Semi Condensed" w:hAnsi="Barlow Semi Condensed"/>
          <w:b/>
          <w:bCs/>
          <w:sz w:val="24"/>
          <w:szCs w:val="24"/>
        </w:rPr>
        <w:t xml:space="preserve">«Nuova Resistenza»</w:t>
      </w:r>
      <w:r>
        <w:rPr>
          <w:rFonts w:ascii="Barlow Semi Condensed" w:cs="Barlow Semi Condensed" w:eastAsia="Barlow Semi Condensed" w:hAnsi="Barlow Semi Condensed"/>
          <w:sz w:val="24"/>
          <w:szCs w:val="24"/>
        </w:rPr>
        <w:t xml:space="preserve"> (aprile 1971, due numeri), continuazione ideale di «Voce Comunista» (Treccani, Dizionario Biografico (https://www.treccani.it/enciclopedia/giangiacomo-feltrinelli_(Dizionario-Biografico)/); Tassinari (https://www.ugomariatassinari.it/feltrinelli-curcio/)). Il ponte GAP-BR fu dunque </w:t>
      </w:r>
      <w:r>
        <w:rPr>
          <w:rFonts w:ascii="Barlow Semi Condensed" w:cs="Barlow Semi Condensed" w:eastAsia="Barlow Semi Condensed" w:hAnsi="Barlow Semi Condensed"/>
          <w:b/>
          <w:bCs/>
          <w:sz w:val="24"/>
          <w:szCs w:val="24"/>
        </w:rPr>
        <w:t xml:space="preserve">reale, personale e fallito nel suo obiettivo massimo</w:t>
      </w:r>
      <w:r>
        <w:rPr>
          <w:rFonts w:ascii="Barlow Semi Condensed" w:cs="Barlow Semi Condensed" w:eastAsia="Barlow Semi Condensed" w:hAnsi="Barlow Semi Condensed"/>
          <w:sz w:val="24"/>
          <w:szCs w:val="24"/>
        </w:rPr>
        <w:t xml:space="preserve"> — un negoziato fra sovrani, non una catena di comando.</w:t>
      </w:r>
    </w:p>
    <w:p>
      <w:pPr>
        <w:spacing w:after="120" w:line="276"/>
        <w:jc w:val="both"/>
      </w:pPr>
      <w:r>
        <w:rPr>
          <w:rFonts w:ascii="Barlow Semi Condensed" w:cs="Barlow Semi Condensed" w:eastAsia="Barlow Semi Condensed" w:hAnsi="Barlow Semi Condensed"/>
          <w:b/>
          <w:bCs/>
          <w:sz w:val="24"/>
          <w:szCs w:val="24"/>
        </w:rPr>
        <w:t xml:space="preserve">FH-4 · Franceschini dentro la struttura di Simioni (memorialistica incrociata).</w:t>
      </w:r>
      <w:r>
        <w:rPr>
          <w:rFonts w:ascii="Barlow Semi Condensed" w:cs="Barlow Semi Condensed" w:eastAsia="Barlow Semi Condensed" w:hAnsi="Barlow Semi Condensed"/>
          <w:sz w:val="24"/>
          <w:szCs w:val="24"/>
        </w:rPr>
        <w:t xml:space="preserve"> La pubblicistica critica sull'area ricostruisce che </w:t>
      </w:r>
      <w:r>
        <w:rPr>
          <w:rFonts w:ascii="Barlow Semi Condensed" w:cs="Barlow Semi Condensed" w:eastAsia="Barlow Semi Condensed" w:hAnsi="Barlow Semi Condensed"/>
          <w:b/>
          <w:bCs/>
          <w:sz w:val="24"/>
          <w:szCs w:val="24"/>
        </w:rPr>
        <w:t xml:space="preserve">Franceschini visse nella «Comune» di Simioni e fece parte della sua struttura riservata</w:t>
      </w:r>
      <w:r>
        <w:rPr>
          <w:rFonts w:ascii="Barlow Semi Condensed" w:cs="Barlow Semi Condensed" w:eastAsia="Barlow Semi Condensed" w:hAnsi="Barlow Semi Condensed"/>
          <w:sz w:val="24"/>
          <w:szCs w:val="24"/>
        </w:rPr>
        <w:t xml:space="preserve"> (dette «le zie rosse») prima della stagione BR (Insorgenze/Contropiano (https://insorgenze.net/2026/05/05/dalla-dottrina-mitterrand-alla-perfida-albione-le-mirabili-acrobazie-complottiste-del-giullare-fasanella/)). È il ponte biografico più stretto fra il nucleo fondativo delle BR e i futuri fondatori di Hyperion — e va pesato per quello che è: ricostruzione memorialistica di parte, usata nelle polemiche fra ex militanti in entrambe le direzioni, qui registrata con la sua fonte e senza promozione.</w:t>
      </w:r>
    </w:p>
    <w:p>
      <w:pPr>
        <w:spacing w:after="120" w:line="276"/>
        <w:jc w:val="both"/>
      </w:pPr>
      <w:r>
        <w:rPr>
          <w:rFonts w:ascii="Barlow Semi Condensed" w:cs="Barlow Semi Condensed" w:eastAsia="Barlow Semi Condensed" w:hAnsi="Barlow Semi Condensed"/>
          <w:b/>
          <w:bCs/>
          <w:sz w:val="24"/>
          <w:szCs w:val="24"/>
        </w:rPr>
        <w:t xml:space="preserve">FH-5 · Il filo Moretti (documentato, già vagliato).</w:t>
      </w:r>
      <w:r>
        <w:rPr>
          <w:rFonts w:ascii="Barlow Semi Condensed" w:cs="Barlow Semi Condensed" w:eastAsia="Barlow Semi Condensed" w:hAnsi="Barlow Semi Condensed"/>
          <w:sz w:val="24"/>
          <w:szCs w:val="24"/>
        </w:rPr>
        <w:t xml:space="preserve"> Mario Moretti transitò per il Superclan (nodo HY-2) e approdò alle BR fino alla direzione del sequestro Moro. È il secondo ponte biografico fra i due mondi; l'anti-triangolazione ATH-3 resta integra: </w:t>
      </w:r>
      <w:r>
        <w:rPr>
          <w:rFonts w:ascii="Barlow Semi Condensed" w:cs="Barlow Semi Condensed" w:eastAsia="Barlow Semi Condensed" w:hAnsi="Barlow Semi Condensed"/>
          <w:b/>
          <w:bCs/>
          <w:sz w:val="24"/>
          <w:szCs w:val="24"/>
        </w:rPr>
        <w:t xml:space="preserve">un filo biografico non è una catena di comando</w:t>
      </w:r>
      <w:r>
        <w:rPr>
          <w:rFonts w:ascii="Barlow Semi Condensed" w:cs="Barlow Semi Condensed" w:eastAsia="Barlow Semi Condensed" w:hAnsi="Barlow Semi Condensed"/>
          <w:sz w:val="24"/>
          <w:szCs w:val="24"/>
        </w:rPr>
        <w:t xml:space="preserve">, e i processi non hanno accertato alcuna eterodirezione.</w:t>
      </w:r>
    </w:p>
    <w:p>
      <w:pPr>
        <w:spacing w:after="120" w:line="276"/>
        <w:jc w:val="both"/>
      </w:pPr>
      <w:r>
        <w:rPr>
          <w:rFonts w:ascii="Barlow Semi Condensed" w:cs="Barlow Semi Condensed" w:eastAsia="Barlow Semi Condensed" w:hAnsi="Barlow Semi Condensed"/>
          <w:b/>
          <w:bCs/>
          <w:sz w:val="24"/>
          <w:szCs w:val="24"/>
        </w:rPr>
        <w:t xml:space="preserve">FH-6 · La giustizia trattò i due rami insieme (documentato).</w:t>
      </w:r>
      <w:r>
        <w:rPr>
          <w:rFonts w:ascii="Barlow Semi Condensed" w:cs="Barlow Semi Condensed" w:eastAsia="Barlow Semi Condensed" w:hAnsi="Barlow Semi Condensed"/>
          <w:sz w:val="24"/>
          <w:szCs w:val="24"/>
        </w:rPr>
        <w:t xml:space="preserve"> La magistratura celebrò un </w:t>
      </w:r>
      <w:r>
        <w:rPr>
          <w:rFonts w:ascii="Barlow Semi Condensed" w:cs="Barlow Semi Condensed" w:eastAsia="Barlow Semi Condensed" w:hAnsi="Barlow Semi Condensed"/>
          <w:b/>
          <w:bCs/>
          <w:sz w:val="24"/>
          <w:szCs w:val="24"/>
        </w:rPr>
        <w:t xml:space="preserve">processo congiunto «alle Brigate Rosse e ai GAP di Feltrinelli»</w:t>
      </w:r>
      <w:r>
        <w:rPr>
          <w:rFonts w:ascii="Barlow Semi Condensed" w:cs="Barlow Semi Condensed" w:eastAsia="Barlow Semi Condensed" w:hAnsi="Barlow Semi Condensed"/>
          <w:sz w:val="24"/>
          <w:szCs w:val="24"/>
        </w:rPr>
        <w:t xml:space="preserve"> (Torino, metà anni Settanta; il fascicolo è oggi valorizzato dal portale della memoria del Ministero della Cultura: memoria.cultura.gov.it (https://memoria.cultura.gov.it/w/processo-alle-brigate-rosse-e-ai-gap-di-feltrinelli)). Il dato è prezioso per l'incrocio: </w:t>
      </w:r>
      <w:r>
        <w:rPr>
          <w:rFonts w:ascii="Barlow Semi Condensed" w:cs="Barlow Semi Condensed" w:eastAsia="Barlow Semi Condensed" w:hAnsi="Barlow Semi Condensed"/>
          <w:b/>
          <w:bCs/>
          <w:sz w:val="24"/>
          <w:szCs w:val="24"/>
        </w:rPr>
        <w:t xml:space="preserve">l'unico luogo in cui GAP e BR furono davvero «unificati» fu l'aula giudiziaria</w:t>
      </w:r>
      <w:r>
        <w:rPr>
          <w:rFonts w:ascii="Barlow Semi Condensed" w:cs="Barlow Semi Condensed" w:eastAsia="Barlow Semi Condensed" w:hAnsi="Barlow Semi Condensed"/>
          <w:sz w:val="24"/>
          <w:szCs w:val="24"/>
        </w:rPr>
        <w:t xml:space="preserve"> — a conferma che i rapporti c'erano stati, e che di rapporti (non di fusione) si trattò.</w:t>
      </w:r>
    </w:p>
    <w:p>
      <w:pPr>
        <w:spacing w:after="120" w:line="276"/>
        <w:jc w:val="both"/>
      </w:pPr>
      <w:r>
        <w:rPr>
          <w:rFonts w:ascii="Barlow Semi Condensed" w:cs="Barlow Semi Condensed" w:eastAsia="Barlow Semi Condensed" w:hAnsi="Barlow Semi Condensed"/>
          <w:b/>
          <w:bCs/>
          <w:sz w:val="24"/>
          <w:szCs w:val="24"/>
        </w:rPr>
        <w:t xml:space="preserve">FH-7 · Il dopo-Segrate (documentato nella cornice, storiografico nel dettaglio).</w:t>
      </w:r>
      <w:r>
        <w:rPr>
          <w:rFonts w:ascii="Barlow Semi Condensed" w:cs="Barlow Semi Condensed" w:eastAsia="Barlow Semi Condensed" w:hAnsi="Barlow Semi Condensed"/>
          <w:sz w:val="24"/>
          <w:szCs w:val="24"/>
        </w:rPr>
        <w:t xml:space="preserve"> Con la morte di Feltrinelli i </w:t>
      </w:r>
      <w:r>
        <w:rPr>
          <w:rFonts w:ascii="Barlow Semi Condensed" w:cs="Barlow Semi Condensed" w:eastAsia="Barlow Semi Condensed" w:hAnsi="Barlow Semi Condensed"/>
          <w:b/>
          <w:bCs/>
          <w:sz w:val="24"/>
          <w:szCs w:val="24"/>
        </w:rPr>
        <w:t xml:space="preserve">GAP si dissolsero</w:t>
      </w:r>
      <w:r>
        <w:rPr>
          <w:rFonts w:ascii="Barlow Semi Condensed" w:cs="Barlow Semi Condensed" w:eastAsia="Barlow Semi Condensed" w:hAnsi="Barlow Semi Condensed"/>
          <w:sz w:val="24"/>
          <w:szCs w:val="24"/>
        </w:rPr>
        <w:t xml:space="preserve">; la sorte della rete — in parte dispersa, in parte riassorbita da altre formazioni — è oggetto della storiografia recente (D. Serafino, </w:t>
      </w:r>
      <w:r>
        <w:rPr>
          <w:rFonts w:ascii="Barlow Semi Condensed" w:cs="Barlow Semi Condensed" w:eastAsia="Barlow Semi Condensed" w:hAnsi="Barlow Semi Condensed"/>
          <w:i/>
          <w:iCs/>
          <w:sz w:val="24"/>
          <w:szCs w:val="24"/>
        </w:rPr>
        <w:t xml:space="preserve">Gappisti. La rete clandestina di Giangiacomo Feltrinelli</w:t>
      </w:r>
      <w:r>
        <w:rPr>
          <w:rFonts w:ascii="Barlow Semi Condensed" w:cs="Barlow Semi Condensed" w:eastAsia="Barlow Semi Condensed" w:hAnsi="Barlow Semi Condensed"/>
          <w:sz w:val="24"/>
          <w:szCs w:val="24"/>
        </w:rPr>
        <w:t xml:space="preserve">, DeriveApprodi: scheda (https://deriveapprodi.com/libro/gappisti/)). Le BR sopravvissero al 1972 e rimasero, delle tre strade del nodo FH-2, l'unica ancora percorsa: il campo clandestino si semplificò per sottrazione, non per successione ordinata.</w:t>
      </w:r>
    </w:p>
    <w:p>
      <w:pPr>
        <w:pStyle w:val="Heading2"/>
        <w:spacing w:after="100" w:before="200"/>
      </w:pPr>
      <w:r>
        <w:rPr>
          <w:rFonts w:ascii="Barlow Semi Condensed" w:cs="Barlow Semi Condensed" w:eastAsia="Barlow Semi Condensed" w:hAnsi="Barlow Semi Condensed"/>
          <w:sz w:val="24"/>
          <w:szCs w:val="24"/>
        </w:rPr>
        <w:t xml:space="preserve">3. La congettura smentita: Segrate e il Superclan (FH-8)</w:t>
      </w:r>
    </w:p>
    <w:p>
      <w:pPr>
        <w:spacing w:after="120" w:line="276"/>
        <w:jc w:val="both"/>
      </w:pPr>
      <w:r>
        <w:rPr>
          <w:rFonts w:ascii="Barlow Semi Condensed" w:cs="Barlow Semi Condensed" w:eastAsia="Barlow Semi Condensed" w:hAnsi="Barlow Semi Condensed"/>
          <w:sz w:val="24"/>
          <w:szCs w:val="24"/>
        </w:rPr>
        <w:t xml:space="preserve">Resta il punto dove i due fronti si toccano nella pubblicistica più che nelle fonti: </w:t>
      </w:r>
      <w:r>
        <w:rPr>
          <w:rFonts w:ascii="Barlow Semi Condensed" w:cs="Barlow Semi Condensed" w:eastAsia="Barlow Semi Condensed" w:hAnsi="Barlow Semi Condensed"/>
          <w:b/>
          <w:bCs/>
          <w:sz w:val="24"/>
          <w:szCs w:val="24"/>
        </w:rPr>
        <w:t xml:space="preserve">i sospetti sulla morte di Feltrinelli</w:t>
      </w:r>
      <w:r>
        <w:rPr>
          <w:rFonts w:ascii="Barlow Semi Condensed" w:cs="Barlow Semi Condensed" w:eastAsia="Barlow Semi Condensed" w:hAnsi="Barlow Semi Condensed"/>
          <w:sz w:val="24"/>
          <w:szCs w:val="24"/>
        </w:rPr>
        <w:t xml:space="preserve">. La memorialistica di Franceschini ha alimentato per decenni la tesi di una mano esterna a Segrate — i dubbi sul ruolo del militante detto «Gunter», e soprattutto l'affermazione che i </w:t>
      </w:r>
      <w:r>
        <w:rPr>
          <w:rFonts w:ascii="Barlow Semi Condensed" w:cs="Barlow Semi Condensed" w:eastAsia="Barlow Semi Condensed" w:hAnsi="Barlow Semi Condensed"/>
          <w:b/>
          <w:bCs/>
          <w:sz w:val="24"/>
          <w:szCs w:val="24"/>
        </w:rPr>
        <w:t xml:space="preserve">timer</w:t>
      </w:r>
      <w:r>
        <w:rPr>
          <w:rFonts w:ascii="Barlow Semi Condensed" w:cs="Barlow Semi Condensed" w:eastAsia="Barlow Semi Condensed" w:hAnsi="Barlow Semi Condensed"/>
          <w:sz w:val="24"/>
          <w:szCs w:val="24"/>
        </w:rPr>
        <w:t xml:space="preserve"> dell'ordigno fossero stati «manipolati». La verifica d'incrocio registra due fatti:</w:t>
      </w:r>
    </w:p>
    <w:p>
      <w:pPr>
        <w:spacing w:after="40"/>
        <w:ind w:left="360"/>
        <w:jc w:val="both"/>
      </w:pPr>
      <w:r>
        <w:rPr>
          <w:rFonts w:ascii="Barlow Semi Condensed" w:cs="Barlow Semi Condensed" w:eastAsia="Barlow Semi Condensed" w:hAnsi="Barlow Semi Condensed"/>
          <w:sz w:val="24"/>
          <w:szCs w:val="24"/>
        </w:rPr>
        <w:t xml:space="preserve">1. la ricostruzione giudiziaria (processo del 1979, riscontrata sui nastri di Robbiano di Mediglia — nodi F-16/F-17 della triangolazione Feltrinelli) resta quella dell'</w:t>
      </w:r>
      <w:r>
        <w:rPr>
          <w:rFonts w:ascii="Barlow Semi Condensed" w:cs="Barlow Semi Condensed" w:eastAsia="Barlow Semi Condensed" w:hAnsi="Barlow Semi Condensed"/>
          <w:b/>
          <w:bCs/>
          <w:sz w:val="24"/>
          <w:szCs w:val="24"/>
        </w:rPr>
        <w:t xml:space="preserve">incidente durante il sabotaggio</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2. la specifica affermazione sui timer manipolati risulta </w:t>
      </w:r>
      <w:r>
        <w:rPr>
          <w:rFonts w:ascii="Barlow Semi Condensed" w:cs="Barlow Semi Condensed" w:eastAsia="Barlow Semi Condensed" w:hAnsi="Barlow Semi Condensed"/>
          <w:b/>
          <w:bCs/>
          <w:sz w:val="24"/>
          <w:szCs w:val="24"/>
        </w:rPr>
        <w:t xml:space="preserve">smentita da Vittorio Battistoni, il tecnico dei GAP che fornì l'esplosivo all'editore</w:t>
      </w:r>
      <w:r>
        <w:rPr>
          <w:rFonts w:ascii="Barlow Semi Condensed" w:cs="Barlow Semi Condensed" w:eastAsia="Barlow Semi Condensed" w:hAnsi="Barlow Semi Condensed"/>
          <w:sz w:val="24"/>
          <w:szCs w:val="24"/>
        </w:rPr>
        <w:t xml:space="preserve"> (Insorgenze/Contropiano (https://contropiano.org/news/cultura-news/2026/05/09/dalla-dottrina-mitterrand-alla-perfida-albione-le-acrobazie-complottiste-di-fasanella-0194867)).</w:t>
      </w:r>
    </w:p>
    <w:p>
      <w:pPr>
        <w:spacing w:after="120" w:line="276"/>
        <w:jc w:val="both"/>
      </w:pPr>
      <w:r>
        <w:rPr>
          <w:rFonts w:ascii="Barlow Semi Condensed" w:cs="Barlow Semi Condensed" w:eastAsia="Barlow Semi Condensed" w:hAnsi="Barlow Semi Condensed"/>
          <w:sz w:val="24"/>
          <w:szCs w:val="24"/>
        </w:rPr>
        <w:t xml:space="preserve">La versione che collega — per allusione — l'ambiente del Superclan alla morte di Segrate appartiene dunque alla categoria più bassa del corpus: </w:t>
      </w:r>
      <w:r>
        <w:rPr>
          <w:rFonts w:ascii="Barlow Semi Condensed" w:cs="Barlow Semi Condensed" w:eastAsia="Barlow Semi Condensed" w:hAnsi="Barlow Semi Condensed"/>
          <w:b/>
          <w:bCs/>
          <w:sz w:val="24"/>
          <w:szCs w:val="24"/>
        </w:rPr>
        <w:t xml:space="preserve">congettura memorialistica, priva di riscontro e contraddetta su un punto qualificante da testimonianza diretta</w:t>
      </w:r>
      <w:r>
        <w:rPr>
          <w:rFonts w:ascii="Barlow Semi Condensed" w:cs="Barlow Semi Condensed" w:eastAsia="Barlow Semi Condensed" w:hAnsi="Barlow Semi Condensed"/>
          <w:sz w:val="24"/>
          <w:szCs w:val="24"/>
        </w:rPr>
        <w:t xml:space="preserve">. La si registra per completezza e la si lascia lì. Nessun nome; e per i fondatori di Hyperion vale, anche qui, la presunzione d'innocenza piena.</w:t>
      </w:r>
    </w:p>
    <w:p>
      <w:pPr>
        <w:pStyle w:val="Heading2"/>
        <w:spacing w:after="100" w:before="200"/>
      </w:pPr>
      <w:r>
        <w:rPr>
          <w:rFonts w:ascii="Barlow Semi Condensed" w:cs="Barlow Semi Condensed" w:eastAsia="Barlow Semi Condensed" w:hAnsi="Barlow Semi Condensed"/>
          <w:sz w:val="24"/>
          <w:szCs w:val="24"/>
        </w:rPr>
        <w:t xml:space="preserve">4. Anti-triangolazioni d'incrocio (ATI-1…ATI-3)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Anti-triangolazione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ATI-1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Feltrinelli e Hyperion non si incontrarono mai.</w:t>
            </w:r>
            <w:r>
              <w:rPr>
                <w:rFonts w:ascii="Barlow Semi Condensed" w:cs="Barlow Semi Condensed" w:eastAsia="Barlow Semi Condensed" w:hAnsi="Barlow Semi Condensed"/>
                <w:sz w:val="20"/>
                <w:szCs w:val="20"/>
              </w:rPr>
              <w:t xml:space="preserve"> La scuola nacque nel 1976; Feltrinelli morì nel 1972. Ogni schema che li metta nello stesso organigramma proietta all'indietro un'entità che non esisteva. L'incrocio è di </w:t>
            </w:r>
            <w:r>
              <w:rPr>
                <w:rFonts w:ascii="Barlow Semi Condensed" w:cs="Barlow Semi Condensed" w:eastAsia="Barlow Semi Condensed" w:hAnsi="Barlow Semi Condensed"/>
                <w:b/>
                <w:bCs/>
                <w:sz w:val="20"/>
                <w:szCs w:val="20"/>
              </w:rPr>
              <w:t xml:space="preserve">matrice e di uomini</w:t>
            </w:r>
            <w:r>
              <w:rPr>
                <w:rFonts w:ascii="Barlow Semi Condensed" w:cs="Barlow Semi Condensed" w:eastAsia="Barlow Semi Condensed" w:hAnsi="Barlow Semi Condensed"/>
                <w:sz w:val="20"/>
                <w:szCs w:val="20"/>
              </w:rPr>
              <w:t xml:space="preserve">, mai di organizzazioni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ATI-2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triforcazione non ha un vertice.</w:t>
            </w:r>
            <w:r>
              <w:rPr>
                <w:rFonts w:ascii="Barlow Semi Condensed" w:cs="Barlow Semi Condensed" w:eastAsia="Barlow Semi Condensed" w:hAnsi="Barlow Semi Condensed"/>
                <w:sz w:val="20"/>
                <w:szCs w:val="20"/>
              </w:rPr>
              <w:t xml:space="preserve"> Tre progetti dal medesimo ceppo non fanno una regia unica: il comando unificato fu cercato (da Feltrinelli, FH-3) e </w:t>
            </w:r>
            <w:r>
              <w:rPr>
                <w:rFonts w:ascii="Barlow Semi Condensed" w:cs="Barlow Semi Condensed" w:eastAsia="Barlow Semi Condensed" w:hAnsi="Barlow Semi Condensed"/>
                <w:b/>
                <w:bCs/>
                <w:sz w:val="20"/>
                <w:szCs w:val="20"/>
              </w:rPr>
              <w:t xml:space="preserve">non ottenuto</w:t>
            </w:r>
            <w:r>
              <w:rPr>
                <w:rFonts w:ascii="Barlow Semi Condensed" w:cs="Barlow Semi Condensed" w:eastAsia="Barlow Semi Condensed" w:hAnsi="Barlow Semi Condensed"/>
                <w:sz w:val="20"/>
                <w:szCs w:val="20"/>
              </w:rPr>
              <w:t xml:space="preserve"> — il fallimento di quell'unificazione è documentato quanto i rapporti stessi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ATI-3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memorialistica di parte non è fonte di accusa.</w:t>
            </w:r>
            <w:r>
              <w:rPr>
                <w:rFonts w:ascii="Barlow Semi Condensed" w:cs="Barlow Semi Condensed" w:eastAsia="Barlow Semi Condensed" w:hAnsi="Barlow Semi Condensed"/>
                <w:sz w:val="20"/>
                <w:szCs w:val="20"/>
              </w:rPr>
              <w:t xml:space="preserve"> Le ricostruzioni di Franceschini (su Simioni, su Moretti, su Segrate) e le repliche degli avversari appartengono a una guerra della memoria fra ex militanti: si citano con attribuzione, si pesano, non si promuovono. Dove sono state verificate, ne è uscita una smentita (FH-8)</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5. Registro di esecuzione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Nodi d'incrocio: </w:t>
      </w:r>
      <w:r>
        <w:rPr>
          <w:rFonts w:ascii="Barlow Semi Condensed" w:cs="Barlow Semi Condensed" w:eastAsia="Barlow Semi Condensed" w:hAnsi="Barlow Semi Condensed"/>
          <w:b/>
          <w:bCs/>
          <w:sz w:val="24"/>
          <w:szCs w:val="24"/>
        </w:rPr>
        <w:t xml:space="preserve">8</w:t>
      </w:r>
      <w:r>
        <w:rPr>
          <w:rFonts w:ascii="Barlow Semi Condensed" w:cs="Barlow Semi Condensed" w:eastAsia="Barlow Semi Condensed" w:hAnsi="Barlow Semi Condensed"/>
          <w:sz w:val="24"/>
          <w:szCs w:val="24"/>
        </w:rPr>
        <w:t xml:space="preserve"> (FH-1…FH-8): 6 documentati, 1 memorialistico incrociato (FH-4), 1 congettura smentita (FH-8).</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Verifiche web dedicate in sessione: </w:t>
      </w:r>
      <w:r>
        <w:rPr>
          <w:rFonts w:ascii="Barlow Semi Condensed" w:cs="Barlow Semi Condensed" w:eastAsia="Barlow Semi Condensed" w:hAnsi="Barlow Semi Condensed"/>
          <w:b/>
          <w:bCs/>
          <w:sz w:val="24"/>
          <w:szCs w:val="24"/>
        </w:rPr>
        <w:t xml:space="preserve">2</w:t>
      </w:r>
      <w:r>
        <w:rPr>
          <w:rFonts w:ascii="Barlow Semi Condensed" w:cs="Barlow Semi Condensed" w:eastAsia="Barlow Semi Condensed" w:hAnsi="Barlow Semi Condensed"/>
          <w:sz w:val="24"/>
          <w:szCs w:val="24"/>
        </w:rPr>
        <w:t xml:space="preserve"> (rapporti Feltrinelli-BR e confluenze post-1972; memorialistica Franceschini/«zie rosse»/timer e sua smentita).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Anti-triangolazioni: </w:t>
      </w: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 (ATI-1…ATI-3).</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documento si appoggia ai nodi già verificati delle due triangolazioni madri (F-1…F-17; HY-1…HY-9) senza duplicarli.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Sintesi dell'incrocio in una riga: </w:t>
      </w:r>
      <w:r>
        <w:rPr>
          <w:rFonts w:ascii="Barlow Semi Condensed" w:cs="Barlow Semi Condensed" w:eastAsia="Barlow Semi Condensed" w:hAnsi="Barlow Semi Condensed"/>
          <w:b/>
          <w:bCs/>
          <w:sz w:val="24"/>
          <w:szCs w:val="24"/>
        </w:rPr>
        <w:t xml:space="preserve">stesso ceppo, tre strade, ponti di uomini, nessuna regia accertata — e l'unica «unificazione» reale avvenne in tribunale.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Triangolazione d'incrocio fra i fronti Feltrinelli e Hyperion. Matrice comune e ponti biografici documentati; congetture memorialistiche declassate o smentite; presunzione d'innocenza piena per i prosciolti. Regola di Ferro: dove la fonte documenta, si certifica; dove tace, si tace.</w:t>
      </w:r>
    </w:p>
    <w:p>
      <w:pPr>
        <w:pStyle w:val="Heading3"/>
        <w:spacing w:after="80" w:before="240"/>
      </w:pPr>
      <w:r>
        <w:rPr>
          <w:rFonts w:ascii="Barlow Semi Condensed" w:cs="Barlow Semi Condensed" w:eastAsia="Barlow Semi Condensed" w:hAnsi="Barlow Semi Condensed"/>
          <w:sz w:val="24"/>
          <w:szCs w:val="24"/>
        </w:rPr>
        <w:t xml:space="preserve">Apparato grafico — Libro quinto · L'incrocio Feltrinelli-Hyperion</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IV: 1.043 parole in 5 sezioni; la più ampia è §2 2. I ponti documentati, con 407.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IV: 6 indirizzi di fonte citati, addensati in 2 sezioni su 5.</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quinto — Il vettore e il ceppo — V. Il ceppo Simioni: la terza strada</w:t>
      </w:r>
    </w:p>
    <w:p>
      <w:pPr>
        <w:pStyle w:val="Heading1"/>
        <w:spacing w:after="120" w:before="240"/>
      </w:pPr>
      <w:r>
        <w:rPr>
          <w:rFonts w:ascii="Barlow Semi Condensed" w:cs="Barlow Semi Condensed" w:eastAsia="Barlow Semi Condensed" w:hAnsi="Barlow Semi Condensed"/>
          <w:sz w:val="24"/>
          <w:szCs w:val="24"/>
        </w:rPr>
        <w:t xml:space="preserve">Il ceppo Simioni</w:t>
      </w:r>
    </w:p>
    <w:p>
      <w:pPr>
        <w:pStyle w:val="Heading2"/>
        <w:spacing w:after="100" w:before="200"/>
      </w:pPr>
      <w:r>
        <w:rPr>
          <w:rFonts w:ascii="Barlow Semi Condensed" w:cs="Barlow Semi Condensed" w:eastAsia="Barlow Semi Condensed" w:hAnsi="Barlow Semi Condensed"/>
          <w:sz w:val="24"/>
          <w:szCs w:val="24"/>
        </w:rPr>
        <w:t xml:space="preserve">La discendenza CPM → Superclan → Hyperion: genealogia di una strada che non finì in tribunale</w:t>
      </w:r>
    </w:p>
    <w:p>
      <w:pPr>
        <w:spacing w:after="120" w:line="276"/>
        <w:jc w:val="both"/>
      </w:pPr>
      <w:r>
        <w:rPr>
          <w:rFonts w:ascii="Barlow Semi Condensed" w:cs="Barlow Semi Condensed" w:eastAsia="Barlow Semi Condensed" w:hAnsi="Barlow Semi Condensed"/>
          <w:i/>
          <w:iCs/>
          <w:sz w:val="24"/>
          <w:szCs w:val="24"/>
        </w:rPr>
        <w:t xml:space="preserve">Studio monografico — 25 agosto 2026 · Complemento della triangolazione Hyperion e della Fase decima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l'esito in testa.</w:t>
      </w:r>
      <w:r>
        <w:rPr>
          <w:rFonts w:ascii="Barlow Semi Condensed" w:cs="Barlow Semi Condensed" w:eastAsia="Barlow Semi Condensed" w:hAnsi="Barlow Semi Condensed"/>
          <w:i w:val="false"/>
          <w:iCs w:val="false"/>
          <w:sz w:val="24"/>
          <w:szCs w:val="24"/>
        </w:rPr>
        <w:t xml:space="preserve"> Questo studio ricostruisce la </w:t>
      </w:r>
      <w:r>
        <w:rPr>
          <w:rFonts w:ascii="Barlow Semi Condensed" w:cs="Barlow Semi Condensed" w:eastAsia="Barlow Semi Condensed" w:hAnsi="Barlow Semi Condensed"/>
          <w:b/>
          <w:bCs/>
          <w:i w:val="false"/>
          <w:iCs w:val="false"/>
          <w:sz w:val="24"/>
          <w:szCs w:val="24"/>
        </w:rPr>
        <w:t xml:space="preserve">seconda discendenza</w:t>
      </w:r>
      <w:r>
        <w:rPr>
          <w:rFonts w:ascii="Barlow Semi Condensed" w:cs="Barlow Semi Condensed" w:eastAsia="Barlow Semi Condensed" w:hAnsi="Barlow Semi Condensed"/>
          <w:i w:val="false"/>
          <w:iCs w:val="false"/>
          <w:sz w:val="24"/>
          <w:szCs w:val="24"/>
        </w:rPr>
        <w:t xml:space="preserve"> del ceppo milanese del 1969: quella che dal Collettivo Politico Metropolitano — fondato da Renato Curcio </w:t>
      </w:r>
      <w:r>
        <w:rPr>
          <w:rFonts w:ascii="Barlow Semi Condensed" w:cs="Barlow Semi Condensed" w:eastAsia="Barlow Semi Condensed" w:hAnsi="Barlow Semi Condensed"/>
          <w:b/>
          <w:bCs/>
          <w:i w:val="false"/>
          <w:iCs w:val="false"/>
          <w:sz w:val="24"/>
          <w:szCs w:val="24"/>
        </w:rPr>
        <w:t xml:space="preserve">e</w:t>
      </w:r>
      <w:r>
        <w:rPr>
          <w:rFonts w:ascii="Barlow Semi Condensed" w:cs="Barlow Semi Condensed" w:eastAsia="Barlow Semi Condensed" w:hAnsi="Barlow Semi Condensed"/>
          <w:i w:val="false"/>
          <w:iCs w:val="false"/>
          <w:sz w:val="24"/>
          <w:szCs w:val="24"/>
        </w:rPr>
        <w:t xml:space="preserve"> da Corrado Simioni — non andò verso le Brigate Rosse ma verso il Superclan e poi, a Parigi, verso la scuola di lingue Hyperion. L'esito giudiziario di questa discendenza va scritto </w:t>
      </w:r>
      <w:r>
        <w:rPr>
          <w:rFonts w:ascii="Barlow Semi Condensed" w:cs="Barlow Semi Condensed" w:eastAsia="Barlow Semi Condensed" w:hAnsi="Barlow Semi Condensed"/>
          <w:b/>
          <w:bCs/>
          <w:i w:val="false"/>
          <w:iCs w:val="false"/>
          <w:sz w:val="24"/>
          <w:szCs w:val="24"/>
        </w:rPr>
        <w:t xml:space="preserve">prima di ogni altra cosa</w:t>
      </w:r>
      <w:r>
        <w:rPr>
          <w:rFonts w:ascii="Barlow Semi Condensed" w:cs="Barlow Semi Condensed" w:eastAsia="Barlow Semi Condensed" w:hAnsi="Barlow Semi Condensed"/>
          <w:i w:val="false"/>
          <w:iCs w:val="false"/>
          <w:sz w:val="24"/>
          <w:szCs w:val="24"/>
        </w:rPr>
        <w:t xml:space="preserve">, perché governa ogni riga che segue: </w:t>
      </w:r>
      <w:r>
        <w:rPr>
          <w:rFonts w:ascii="Barlow Semi Condensed" w:cs="Barlow Semi Condensed" w:eastAsia="Barlow Semi Condensed" w:hAnsi="Barlow Semi Condensed"/>
          <w:b/>
          <w:bCs/>
          <w:i w:val="false"/>
          <w:iCs w:val="false"/>
          <w:sz w:val="24"/>
          <w:szCs w:val="24"/>
        </w:rPr>
        <w:t xml:space="preserve">Vanni Mulinaris fu assolto con formula piena e risarcito dallo Stato per l'ingiusta detenzione; Duccio Berio fu assolto a Roma (1989) e a Venezia (1990); Corrado Simioni non fu mai condannato per alcunché.</w:t>
      </w:r>
      <w:r>
        <w:rPr>
          <w:rFonts w:ascii="Barlow Semi Condensed" w:cs="Barlow Semi Condensed" w:eastAsia="Barlow Semi Condensed" w:hAnsi="Barlow Semi Condensed"/>
          <w:i w:val="false"/>
          <w:iCs w:val="false"/>
          <w:sz w:val="24"/>
          <w:szCs w:val="24"/>
        </w:rPr>
        <w:t xml:space="preserve"> I tre fondatori di Hyperion sono, per l'ordinamento della Repubblica, </w:t>
      </w:r>
      <w:r>
        <w:rPr>
          <w:rFonts w:ascii="Barlow Semi Condensed" w:cs="Barlow Semi Condensed" w:eastAsia="Barlow Semi Condensed" w:hAnsi="Barlow Semi Condensed"/>
          <w:b/>
          <w:bCs/>
          <w:i w:val="false"/>
          <w:iCs w:val="false"/>
          <w:sz w:val="24"/>
          <w:szCs w:val="24"/>
        </w:rPr>
        <w:t xml:space="preserve">innocenti</w:t>
      </w:r>
      <w:r>
        <w:rPr>
          <w:rFonts w:ascii="Barlow Semi Condensed" w:cs="Barlow Semi Condensed" w:eastAsia="Barlow Semi Condensed" w:hAnsi="Barlow Semi Condensed"/>
          <w:i w:val="false"/>
          <w:iCs w:val="false"/>
          <w:sz w:val="24"/>
          <w:szCs w:val="24"/>
        </w:rPr>
        <w:t xml:space="preserve"> — non «sfuggiti», non «coperti»: innocenti. Chi legge questo studio cercando una requisitoria non la troverà; troverà una genealogia di persone e percorsi, documentata su fonti verificate, con i gradi dichiarati e con il divieto — qui più stringente che altrove — di far dire alle coincidenze ciò che le sentenze hanno negato. Le due tesi contrapposte su Hyperion («centrale del terrorismo» / «centrale d'intelligence») restano entrambe al </w:t>
      </w:r>
      <w:r>
        <w:rPr>
          <w:rFonts w:ascii="Barlow Semi Condensed" w:cs="Barlow Semi Condensed" w:eastAsia="Barlow Semi Condensed" w:hAnsi="Barlow Semi Condensed"/>
          <w:b/>
          <w:bCs/>
          <w:i w:val="false"/>
          <w:iCs w:val="false"/>
          <w:sz w:val="24"/>
          <w:szCs w:val="24"/>
        </w:rPr>
        <w:t xml:space="preserve">grado C</w:t>
      </w:r>
      <w:r>
        <w:rPr>
          <w:rFonts w:ascii="Barlow Semi Condensed" w:cs="Barlow Semi Condensed" w:eastAsia="Barlow Semi Condensed" w:hAnsi="Barlow Semi Condensed"/>
          <w:i w:val="false"/>
          <w:iCs w:val="false"/>
          <w:sz w:val="24"/>
          <w:szCs w:val="24"/>
        </w:rPr>
        <w:t xml:space="preserve">, come il corpus le ha già gradate in </w:t>
      </w:r>
      <w:r>
        <w:rPr>
          <w:rFonts w:ascii="Barlow Semi Condensed" w:cs="Barlow Semi Condensed" w:eastAsia="Barlow Semi Condensed" w:hAnsi="Barlow Semi Condensed"/>
          <w:i w:val="false"/>
          <w:iCs w:val="false"/>
          <w:sz w:val="24"/>
          <w:szCs w:val="24"/>
        </w:rPr>
        <w:t xml:space="preserve">triangolazione-hyperion-corpus.md</w:t>
      </w:r>
      <w:r>
        <w:rPr>
          <w:rFonts w:ascii="Barlow Semi Condensed" w:cs="Barlow Semi Condensed" w:eastAsia="Barlow Semi Condensed" w:hAnsi="Barlow Semi Condensed"/>
          <w:i w:val="false"/>
          <w:iCs w:val="false"/>
          <w:sz w:val="24"/>
          <w:szCs w:val="24"/>
        </w:rPr>
        <w:t xml:space="preserve">, e questo studio non le promuove di un millimetro.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I — Perché questo studio: il ceppo a doppia discendenza</w:t>
      </w:r>
    </w:p>
    <w:p>
      <w:pPr>
        <w:spacing w:after="120" w:line="276"/>
        <w:jc w:val="both"/>
      </w:pPr>
      <w:r>
        <w:rPr>
          <w:rFonts w:ascii="Barlow Semi Condensed" w:cs="Barlow Semi Condensed" w:eastAsia="Barlow Semi Condensed" w:hAnsi="Barlow Semi Condensed"/>
          <w:sz w:val="24"/>
          <w:szCs w:val="24"/>
        </w:rPr>
        <w:t xml:space="preserve">La triangolazione dei tredici condannati (nodo T-1) ha reso visibile un fatto genealogico che merita uno studio a sé: il </w:t>
      </w:r>
      <w:r>
        <w:rPr>
          <w:rFonts w:ascii="Barlow Semi Condensed" w:cs="Barlow Semi Condensed" w:eastAsia="Barlow Semi Condensed" w:hAnsi="Barlow Semi Condensed"/>
          <w:b/>
          <w:bCs/>
          <w:sz w:val="24"/>
          <w:szCs w:val="24"/>
        </w:rPr>
        <w:t xml:space="preserve">Collettivo Politico Metropolitano</w:t>
      </w:r>
      <w:r>
        <w:rPr>
          <w:rFonts w:ascii="Barlow Semi Condensed" w:cs="Barlow Semi Condensed" w:eastAsia="Barlow Semi Condensed" w:hAnsi="Barlow Semi Condensed"/>
          <w:sz w:val="24"/>
          <w:szCs w:val="24"/>
        </w:rPr>
        <w:t xml:space="preserve">, fondato a Milano l'</w:t>
      </w:r>
      <w:r>
        <w:rPr>
          <w:rFonts w:ascii="Barlow Semi Condensed" w:cs="Barlow Semi Condensed" w:eastAsia="Barlow Semi Condensed" w:hAnsi="Barlow Semi Condensed"/>
          <w:b/>
          <w:bCs/>
          <w:sz w:val="24"/>
          <w:szCs w:val="24"/>
        </w:rPr>
        <w:t xml:space="preserve">8 settembre 1969</w:t>
      </w:r>
      <w:r>
        <w:rPr>
          <w:rFonts w:ascii="Barlow Semi Condensed" w:cs="Barlow Semi Condensed" w:eastAsia="Barlow Semi Condensed" w:hAnsi="Barlow Semi Condensed"/>
          <w:sz w:val="24"/>
          <w:szCs w:val="24"/>
        </w:rPr>
        <w:t xml:space="preserve">, ebbe due fondatori — Curcio e Simioni — e </w:t>
      </w:r>
      <w:r>
        <w:rPr>
          <w:rFonts w:ascii="Barlow Semi Condensed" w:cs="Barlow Semi Condensed" w:eastAsia="Barlow Semi Condensed" w:hAnsi="Barlow Semi Condensed"/>
          <w:b/>
          <w:bCs/>
          <w:sz w:val="24"/>
          <w:szCs w:val="24"/>
        </w:rPr>
        <w:t xml:space="preserve">due discendenze</w:t>
      </w:r>
      <w:r>
        <w:rPr>
          <w:rFonts w:ascii="Barlow Semi Condensed" w:cs="Barlow Semi Condensed" w:eastAsia="Barlow Semi Condensed" w:hAnsi="Barlow Semi Condensed"/>
          <w:sz w:val="24"/>
          <w:szCs w:val="24"/>
        </w:rPr>
        <w:t xml:space="preserve">. Dalla via di Curcio, attraverso Sinistra Proletaria e la clandestinità del 1970, nacquero le Brigate Rosse: tredici delle persone che ne uscirono stanno oggi nel registro del giudicato (Fase decima), ciascuna con la propria condanna. Dalla via di Simioni nacquero il Superclan e poi Hyperion: le tre persone che la percorsero fino in fondo </w:t>
      </w:r>
      <w:r>
        <w:rPr>
          <w:rFonts w:ascii="Barlow Semi Condensed" w:cs="Barlow Semi Condensed" w:eastAsia="Barlow Semi Condensed" w:hAnsi="Barlow Semi Condensed"/>
          <w:b/>
          <w:bCs/>
          <w:sz w:val="24"/>
          <w:szCs w:val="24"/>
        </w:rPr>
        <w:t xml:space="preserve">non stanno in nessun registro di condannati</w:t>
      </w:r>
      <w:r>
        <w:rPr>
          <w:rFonts w:ascii="Barlow Semi Condensed" w:cs="Barlow Semi Condensed" w:eastAsia="Barlow Semi Condensed" w:hAnsi="Barlow Semi Condensed"/>
          <w:sz w:val="24"/>
          <w:szCs w:val="24"/>
        </w:rPr>
        <w:t xml:space="preserve">, perché i processi che le riguardarono finirono in assoluzioni e proscioglimenti.</w:t>
      </w:r>
    </w:p>
    <w:p>
      <w:pPr>
        <w:spacing w:after="120" w:line="276"/>
        <w:jc w:val="both"/>
      </w:pPr>
      <w:r>
        <w:rPr>
          <w:rFonts w:ascii="Barlow Semi Condensed" w:cs="Barlow Semi Condensed" w:eastAsia="Barlow Semi Condensed" w:hAnsi="Barlow Semi Condensed"/>
          <w:sz w:val="24"/>
          <w:szCs w:val="24"/>
        </w:rPr>
        <w:t xml:space="preserve">Il ceppo comune produsse dunque </w:t>
      </w:r>
      <w:r>
        <w:rPr>
          <w:rFonts w:ascii="Barlow Semi Condensed" w:cs="Barlow Semi Condensed" w:eastAsia="Barlow Semi Condensed" w:hAnsi="Barlow Semi Condensed"/>
          <w:b/>
          <w:bCs/>
          <w:sz w:val="24"/>
          <w:szCs w:val="24"/>
        </w:rPr>
        <w:t xml:space="preserve">esiti giudiziari opposti</w:t>
      </w:r>
      <w:r>
        <w:rPr>
          <w:rFonts w:ascii="Barlow Semi Condensed" w:cs="Barlow Semi Condensed" w:eastAsia="Barlow Semi Condensed" w:hAnsi="Barlow Semi Condensed"/>
          <w:sz w:val="24"/>
          <w:szCs w:val="24"/>
        </w:rPr>
        <w:t xml:space="preserve">, e il metodo dell'opera impone di rispettarli entrambi con la stessa forza: come nessuna assoluzione dei secondi attenua le condanne dei primi, così </w:t>
      </w:r>
      <w:r>
        <w:rPr>
          <w:rFonts w:ascii="Barlow Semi Condensed" w:cs="Barlow Semi Condensed" w:eastAsia="Barlow Semi Condensed" w:hAnsi="Barlow Semi Condensed"/>
          <w:b/>
          <w:bCs/>
          <w:sz w:val="24"/>
          <w:szCs w:val="24"/>
        </w:rPr>
        <w:t xml:space="preserve">nessuna condanna dei primi ombreggia le assoluzioni dei secondi</w:t>
      </w:r>
      <w:r>
        <w:rPr>
          <w:rFonts w:ascii="Barlow Semi Condensed" w:cs="Barlow Semi Condensed" w:eastAsia="Barlow Semi Condensed" w:hAnsi="Barlow Semi Condensed"/>
          <w:sz w:val="24"/>
          <w:szCs w:val="24"/>
        </w:rPr>
        <w:t xml:space="preserve">. Studiare il ceppo non è cercare la colpa che i tribunali non trovarono: è capire come una stessa matrice — la Milano operaia e universitaria del 1969, Sit-Siemens e Pirelli, i collettivi — generò strade tanto divergenti. È storia, e la si fa da storici.</w:t>
      </w:r>
    </w:p>
    <w:p>
      <w:pPr>
        <w:pStyle w:val="Heading1"/>
        <w:spacing w:after="120" w:before="240"/>
      </w:pPr>
      <w:r>
        <w:rPr>
          <w:rFonts w:ascii="Barlow Semi Condensed" w:cs="Barlow Semi Condensed" w:eastAsia="Barlow Semi Condensed" w:hAnsi="Barlow Semi Condensed"/>
          <w:sz w:val="24"/>
          <w:szCs w:val="24"/>
        </w:rPr>
        <w:t xml:space="preserve">Capitolo II — L'uomo prima del ceppo: Simioni 1934-1969</w:t>
      </w:r>
    </w:p>
    <w:p>
      <w:pPr>
        <w:spacing w:after="120" w:line="276"/>
        <w:jc w:val="both"/>
      </w:pPr>
      <w:r>
        <w:rPr>
          <w:rFonts w:ascii="Barlow Semi Condensed" w:cs="Barlow Semi Condensed" w:eastAsia="Barlow Semi Condensed" w:hAnsi="Barlow Semi Condensed"/>
          <w:sz w:val="24"/>
          <w:szCs w:val="24"/>
        </w:rPr>
        <w:t xml:space="preserve">Corrado Simioni nacque a </w:t>
      </w:r>
      <w:r>
        <w:rPr>
          <w:rFonts w:ascii="Barlow Semi Condensed" w:cs="Barlow Semi Condensed" w:eastAsia="Barlow Semi Condensed" w:hAnsi="Barlow Semi Condensed"/>
          <w:b/>
          <w:bCs/>
          <w:sz w:val="24"/>
          <w:szCs w:val="24"/>
        </w:rPr>
        <w:t xml:space="preserve">Dolo il 10 dicembre 1934</w:t>
      </w:r>
      <w:r>
        <w:rPr>
          <w:rFonts w:ascii="Barlow Semi Condensed" w:cs="Barlow Semi Condensed" w:eastAsia="Barlow Semi Condensed" w:hAnsi="Barlow Semi Condensed"/>
          <w:sz w:val="24"/>
          <w:szCs w:val="24"/>
        </w:rPr>
        <w:t xml:space="preserve">. Studioso di Pirandello, cominciò l'attività politica nella </w:t>
      </w:r>
      <w:r>
        <w:rPr>
          <w:rFonts w:ascii="Barlow Semi Condensed" w:cs="Barlow Semi Condensed" w:eastAsia="Barlow Semi Condensed" w:hAnsi="Barlow Semi Condensed"/>
          <w:b/>
          <w:bCs/>
          <w:sz w:val="24"/>
          <w:szCs w:val="24"/>
        </w:rPr>
        <w:t xml:space="preserve">gioventù socialista, accanto a Bettino Craxi</w:t>
      </w:r>
      <w:r>
        <w:rPr>
          <w:rFonts w:ascii="Barlow Semi Condensed" w:cs="Barlow Semi Condensed" w:eastAsia="Barlow Semi Condensed" w:hAnsi="Barlow Semi Condensed"/>
          <w:sz w:val="24"/>
          <w:szCs w:val="24"/>
        </w:rPr>
        <w:t xml:space="preserve">; nel </w:t>
      </w:r>
      <w:r>
        <w:rPr>
          <w:rFonts w:ascii="Barlow Semi Condensed" w:cs="Barlow Semi Condensed" w:eastAsia="Barlow Semi Condensed" w:hAnsi="Barlow Semi Condensed"/>
          <w:b/>
          <w:bCs/>
          <w:sz w:val="24"/>
          <w:szCs w:val="24"/>
        </w:rPr>
        <w:t xml:space="preserve">1965 fu espulso dal PSI «per indegnità morale»</w:t>
      </w:r>
      <w:r>
        <w:rPr>
          <w:rFonts w:ascii="Barlow Semi Condensed" w:cs="Barlow Semi Condensed" w:eastAsia="Barlow Semi Condensed" w:hAnsi="Barlow Semi Condensed"/>
          <w:sz w:val="24"/>
          <w:szCs w:val="24"/>
        </w:rPr>
        <w:t xml:space="preserve"> — formula d'epoca alla quale egli stesso avrebbe poi alluso parlando di una vicenda di donne che coinvolgeva Craxi. Dopo l'espulsione si trasferì a </w:t>
      </w:r>
      <w:r>
        <w:rPr>
          <w:rFonts w:ascii="Barlow Semi Condensed" w:cs="Barlow Semi Condensed" w:eastAsia="Barlow Semi Condensed" w:hAnsi="Barlow Semi Condensed"/>
          <w:b/>
          <w:bCs/>
          <w:sz w:val="24"/>
          <w:szCs w:val="24"/>
        </w:rPr>
        <w:t xml:space="preserve">Monaco di Baviera</w:t>
      </w:r>
      <w:r>
        <w:rPr>
          <w:rFonts w:ascii="Barlow Semi Condensed" w:cs="Barlow Semi Condensed" w:eastAsia="Barlow Semi Condensed" w:hAnsi="Barlow Semi Condensed"/>
          <w:sz w:val="24"/>
          <w:szCs w:val="24"/>
        </w:rPr>
        <w:t xml:space="preserve">, dove frequentò un corso di teologia; rientrò a </w:t>
      </w:r>
      <w:r>
        <w:rPr>
          <w:rFonts w:ascii="Barlow Semi Condensed" w:cs="Barlow Semi Condensed" w:eastAsia="Barlow Semi Condensed" w:hAnsi="Barlow Semi Condensed"/>
          <w:b/>
          <w:bCs/>
          <w:sz w:val="24"/>
          <w:szCs w:val="24"/>
        </w:rPr>
        <w:t xml:space="preserve">Milano nel 1967</w:t>
      </w:r>
      <w:r>
        <w:rPr>
          <w:rFonts w:ascii="Barlow Semi Condensed" w:cs="Barlow Semi Condensed" w:eastAsia="Barlow Semi Condensed" w:hAnsi="Barlow Semi Condensed"/>
          <w:sz w:val="24"/>
          <w:szCs w:val="24"/>
        </w:rPr>
        <w:t xml:space="preserve">, lavorando per </w:t>
      </w:r>
      <w:r>
        <w:rPr>
          <w:rFonts w:ascii="Barlow Semi Condensed" w:cs="Barlow Semi Condensed" w:eastAsia="Barlow Semi Condensed" w:hAnsi="Barlow Semi Condensed"/>
          <w:b/>
          <w:bCs/>
          <w:sz w:val="24"/>
          <w:szCs w:val="24"/>
        </w:rPr>
        <w:t xml:space="preserve">Mondadori</w:t>
      </w:r>
      <w:r>
        <w:rPr>
          <w:rFonts w:ascii="Barlow Semi Condensed" w:cs="Barlow Semi Condensed" w:eastAsia="Barlow Semi Condensed" w:hAnsi="Barlow Semi Condensed"/>
          <w:sz w:val="24"/>
          <w:szCs w:val="24"/>
        </w:rPr>
        <w:t xml:space="preserve"> e per l'</w:t>
      </w:r>
      <w:r>
        <w:rPr>
          <w:rFonts w:ascii="Barlow Semi Condensed" w:cs="Barlow Semi Condensed" w:eastAsia="Barlow Semi Condensed" w:hAnsi="Barlow Semi Condensed"/>
          <w:b/>
          <w:bCs/>
          <w:sz w:val="24"/>
          <w:szCs w:val="24"/>
        </w:rPr>
        <w:t xml:space="preserve">USIS</w:t>
      </w:r>
      <w:r>
        <w:rPr>
          <w:rFonts w:ascii="Barlow Semi Condensed" w:cs="Barlow Semi Condensed" w:eastAsia="Barlow Semi Condensed" w:hAnsi="Barlow Semi Condensed"/>
          <w:sz w:val="24"/>
          <w:szCs w:val="24"/>
        </w:rPr>
        <w:t xml:space="preserve"> — lo United States Information Service (Wikipedia, </w:t>
      </w:r>
      <w:r>
        <w:rPr>
          <w:rFonts w:ascii="Barlow Semi Condensed" w:cs="Barlow Semi Condensed" w:eastAsia="Barlow Semi Condensed" w:hAnsi="Barlow Semi Condensed"/>
          <w:i/>
          <w:iCs/>
          <w:sz w:val="24"/>
          <w:szCs w:val="24"/>
        </w:rPr>
        <w:t xml:space="preserve">Corrado Simioni</w:t>
      </w:r>
      <w:r>
        <w:rPr>
          <w:rFonts w:ascii="Barlow Semi Condensed" w:cs="Barlow Semi Condensed" w:eastAsia="Barlow Semi Condensed" w:hAnsi="Barlow Semi Condensed"/>
          <w:sz w:val="24"/>
          <w:szCs w:val="24"/>
        </w:rPr>
        <w:t xml:space="preserve"> (https://it.wikipedia.org/wiki/Corrado_Simioni); Valerio Lucarelli, </w:t>
      </w:r>
      <w:r>
        <w:rPr>
          <w:rFonts w:ascii="Barlow Semi Condensed" w:cs="Barlow Semi Condensed" w:eastAsia="Barlow Semi Condensed" w:hAnsi="Barlow Semi Condensed"/>
          <w:i/>
          <w:iCs/>
          <w:sz w:val="24"/>
          <w:szCs w:val="24"/>
        </w:rPr>
        <w:t xml:space="preserve">Hyperion e Superclan</w:t>
      </w:r>
      <w:r>
        <w:rPr>
          <w:rFonts w:ascii="Barlow Semi Condensed" w:cs="Barlow Semi Condensed" w:eastAsia="Barlow Semi Condensed" w:hAnsi="Barlow Semi Condensed"/>
          <w:sz w:val="24"/>
          <w:szCs w:val="24"/>
        </w:rPr>
        <w:t xml:space="preserve"> (http://www.valeriolucarelli.it/Hyperion.htm)).</w:t>
      </w:r>
    </w:p>
    <w:p>
      <w:pPr>
        <w:spacing w:after="120" w:line="276"/>
        <w:jc w:val="both"/>
      </w:pPr>
      <w:r>
        <w:rPr>
          <w:rFonts w:ascii="Barlow Semi Condensed" w:cs="Barlow Semi Condensed" w:eastAsia="Barlow Semi Condensed" w:hAnsi="Barlow Semi Condensed"/>
          <w:sz w:val="24"/>
          <w:szCs w:val="24"/>
        </w:rPr>
        <w:t xml:space="preserve">Su questa biografia si è depositata mezza congetturistica italiana, e i gradi vanno quindi fissati subito. </w:t>
      </w:r>
      <w:r>
        <w:rPr>
          <w:rFonts w:ascii="Barlow Semi Condensed" w:cs="Barlow Semi Condensed" w:eastAsia="Barlow Semi Condensed" w:hAnsi="Barlow Semi Condensed"/>
          <w:b/>
          <w:bCs/>
          <w:sz w:val="24"/>
          <w:szCs w:val="24"/>
        </w:rPr>
        <w:t xml:space="preserve">L'impiego all'USIS è un fatto biografico (F)</w:t>
      </w:r>
      <w:r>
        <w:rPr>
          <w:rFonts w:ascii="Barlow Semi Condensed" w:cs="Barlow Semi Condensed" w:eastAsia="Barlow Semi Condensed" w:hAnsi="Barlow Semi Condensed"/>
          <w:sz w:val="24"/>
          <w:szCs w:val="24"/>
        </w:rPr>
        <w:t xml:space="preserve">: un lavoro, documentato. La voce di un passaggio a </w:t>
      </w:r>
      <w:r>
        <w:rPr>
          <w:rFonts w:ascii="Barlow Semi Condensed" w:cs="Barlow Semi Condensed" w:eastAsia="Barlow Semi Condensed" w:hAnsi="Barlow Semi Condensed"/>
          <w:b/>
          <w:bCs/>
          <w:sz w:val="24"/>
          <w:szCs w:val="24"/>
        </w:rPr>
        <w:t xml:space="preserve">Radio Free Europe</w:t>
      </w:r>
      <w:r>
        <w:rPr>
          <w:rFonts w:ascii="Barlow Semi Condensed" w:cs="Barlow Semi Condensed" w:eastAsia="Barlow Semi Condensed" w:hAnsi="Barlow Semi Condensed"/>
          <w:sz w:val="24"/>
          <w:szCs w:val="24"/>
        </w:rPr>
        <w:t xml:space="preserve"> a Monaco — emittente finanziata dalla CIA — circola nella pubblicistica preceduta da un «si dice», e come «si dice» va classificata: </w:t>
      </w:r>
      <w:r>
        <w:rPr>
          <w:rFonts w:ascii="Barlow Semi Condensed" w:cs="Barlow Semi Condensed" w:eastAsia="Barlow Semi Condensed" w:hAnsi="Barlow Semi Condensed"/>
          <w:b/>
          <w:bCs/>
          <w:sz w:val="24"/>
          <w:szCs w:val="24"/>
        </w:rPr>
        <w:t xml:space="preserve">riferita, non accertata</w:t>
      </w:r>
      <w:r>
        <w:rPr>
          <w:rFonts w:ascii="Barlow Semi Condensed" w:cs="Barlow Semi Condensed" w:eastAsia="Barlow Semi Condensed" w:hAnsi="Barlow Semi Condensed"/>
          <w:sz w:val="24"/>
          <w:szCs w:val="24"/>
        </w:rPr>
        <w:t xml:space="preserve">. E soprattutto vale, per Simioni come per chiunque, la regola che la Fase decima ha scolpito: </w:t>
      </w:r>
      <w:r>
        <w:rPr>
          <w:rFonts w:ascii="Barlow Semi Condensed" w:cs="Barlow Semi Condensed" w:eastAsia="Barlow Semi Condensed" w:hAnsi="Barlow Semi Condensed"/>
          <w:b/>
          <w:bCs/>
          <w:sz w:val="24"/>
          <w:szCs w:val="24"/>
        </w:rPr>
        <w:t xml:space="preserve">quand'anche ogni impiego fosse accertato, un impiego non è un'appartenenza, e un'appartenenza non è una condotta.</w:t>
      </w:r>
      <w:r>
        <w:rPr>
          <w:rFonts w:ascii="Barlow Semi Condensed" w:cs="Barlow Semi Condensed" w:eastAsia="Barlow Semi Condensed" w:hAnsi="Barlow Semi Condensed"/>
          <w:sz w:val="24"/>
          <w:szCs w:val="24"/>
        </w:rPr>
        <w:t xml:space="preserve"> Lavorare per un ente culturale americano nel 1967 non rende nessuno un agente, esattamente come militare in un collettivo del 1969 non rende nessuno un brigatista.</w:t>
      </w:r>
    </w:p>
    <w:p>
      <w:pPr>
        <w:pStyle w:val="Heading1"/>
        <w:spacing w:after="120" w:before="240"/>
      </w:pPr>
      <w:r>
        <w:rPr>
          <w:rFonts w:ascii="Barlow Semi Condensed" w:cs="Barlow Semi Condensed" w:eastAsia="Barlow Semi Condensed" w:hAnsi="Barlow Semi Condensed"/>
          <w:sz w:val="24"/>
          <w:szCs w:val="24"/>
        </w:rPr>
        <w:t xml:space="preserve">Capitolo III — Il CPM: la fondazione a due (8 settembre 1969)</w:t>
      </w:r>
    </w:p>
    <w:p>
      <w:pPr>
        <w:spacing w:after="120" w:line="276"/>
        <w:jc w:val="both"/>
      </w:pPr>
      <w:r>
        <w:rPr>
          <w:rFonts w:ascii="Barlow Semi Condensed" w:cs="Barlow Semi Condensed" w:eastAsia="Barlow Semi Condensed" w:hAnsi="Barlow Semi Condensed"/>
          <w:sz w:val="24"/>
          <w:szCs w:val="24"/>
        </w:rPr>
        <w:t xml:space="preserve">Il Collettivo Politico Metropolitano nacque a Milano l'8 settembre 1969 come coordinamento di collettivi autonomi, con base operaia e tecnica soprattutto in </w:t>
      </w:r>
      <w:r>
        <w:rPr>
          <w:rFonts w:ascii="Barlow Semi Condensed" w:cs="Barlow Semi Condensed" w:eastAsia="Barlow Semi Condensed" w:hAnsi="Barlow Semi Condensed"/>
          <w:b/>
          <w:bCs/>
          <w:sz w:val="24"/>
          <w:szCs w:val="24"/>
        </w:rPr>
        <w:t xml:space="preserve">due fabbriche: Sit-Siemens e Pirelli</w:t>
      </w:r>
      <w:r>
        <w:rPr>
          <w:rFonts w:ascii="Barlow Semi Condensed" w:cs="Barlow Semi Condensed" w:eastAsia="Barlow Semi Condensed" w:hAnsi="Barlow Semi Condensed"/>
          <w:sz w:val="24"/>
          <w:szCs w:val="24"/>
        </w:rPr>
        <w:t xml:space="preserve"> (Spazio70 (https://nazionalpopolare70.wordpress.com/tag/collettivo-politico-metropolitano/)). I fondatori furono </w:t>
      </w:r>
      <w:r>
        <w:rPr>
          <w:rFonts w:ascii="Barlow Semi Condensed" w:cs="Barlow Semi Condensed" w:eastAsia="Barlow Semi Condensed" w:hAnsi="Barlow Semi Condensed"/>
          <w:b/>
          <w:bCs/>
          <w:sz w:val="24"/>
          <w:szCs w:val="24"/>
        </w:rPr>
        <w:t xml:space="preserve">Renato Curcio e Corrado Simioni</w:t>
      </w:r>
      <w:r>
        <w:rPr>
          <w:rFonts w:ascii="Barlow Semi Condensed" w:cs="Barlow Semi Condensed" w:eastAsia="Barlow Semi Condensed" w:hAnsi="Barlow Semi Condensed"/>
          <w:sz w:val="24"/>
          <w:szCs w:val="24"/>
        </w:rPr>
        <w:t xml:space="preserve">; attorno a loro, Margherita Cagol e il milieu da cui sarebbero usciti — per la via che il corpus ha già percorso — Mario Moretti e gli altri assunti della Sit-Siemens. Dal CPM discese </w:t>
      </w:r>
      <w:r>
        <w:rPr>
          <w:rFonts w:ascii="Barlow Semi Condensed" w:cs="Barlow Semi Condensed" w:eastAsia="Barlow Semi Condensed" w:hAnsi="Barlow Semi Condensed"/>
          <w:b/>
          <w:bCs/>
          <w:sz w:val="24"/>
          <w:szCs w:val="24"/>
        </w:rPr>
        <w:t xml:space="preserve">Sinistra Proletaria</w:t>
      </w:r>
      <w:r>
        <w:rPr>
          <w:rFonts w:ascii="Barlow Semi Condensed" w:cs="Barlow Semi Condensed" w:eastAsia="Barlow Semi Condensed" w:hAnsi="Barlow Semi Condensed"/>
          <w:sz w:val="24"/>
          <w:szCs w:val="24"/>
        </w:rPr>
        <w:t xml:space="preserve">, l'organizzazione-ponte del 1970.</w:t>
      </w:r>
    </w:p>
    <w:p>
      <w:pPr>
        <w:spacing w:after="120" w:line="276"/>
        <w:jc w:val="both"/>
      </w:pPr>
      <w:r>
        <w:rPr>
          <w:rFonts w:ascii="Barlow Semi Condensed" w:cs="Barlow Semi Condensed" w:eastAsia="Barlow Semi Condensed" w:hAnsi="Barlow Semi Condensed"/>
          <w:sz w:val="24"/>
          <w:szCs w:val="24"/>
        </w:rPr>
        <w:t xml:space="preserve">Il punto storico da tenere fermo è che nel 1969 </w:t>
      </w:r>
      <w:r>
        <w:rPr>
          <w:rFonts w:ascii="Barlow Semi Condensed" w:cs="Barlow Semi Condensed" w:eastAsia="Barlow Semi Condensed" w:hAnsi="Barlow Semi Condensed"/>
          <w:b/>
          <w:bCs/>
          <w:sz w:val="24"/>
          <w:szCs w:val="24"/>
        </w:rPr>
        <w:t xml:space="preserve">le strade non erano ancora divise</w:t>
      </w:r>
      <w:r>
        <w:rPr>
          <w:rFonts w:ascii="Barlow Semi Condensed" w:cs="Barlow Semi Condensed" w:eastAsia="Barlow Semi Condensed" w:hAnsi="Barlow Semi Condensed"/>
          <w:sz w:val="24"/>
          <w:szCs w:val="24"/>
        </w:rPr>
        <w:t xml:space="preserve">: il CPM era un solo ambiente, e le persone che due anni dopo si sarebbero trovate su sponde opposte — e trent'anni dopo in tribunali con esiti opposti — sedevano nelle stesse riunioni. La genealogia condivisa è il fatto; ciò che ciascuno ne fece è la storia individuale che i capitoli seguenti separano.</w:t>
      </w:r>
    </w:p>
    <w:p>
      <w:pPr>
        <w:pStyle w:val="Heading1"/>
        <w:spacing w:after="120" w:before="240"/>
      </w:pPr>
      <w:r>
        <w:rPr>
          <w:rFonts w:ascii="Barlow Semi Condensed" w:cs="Barlow Semi Condensed" w:eastAsia="Barlow Semi Condensed" w:hAnsi="Barlow Semi Condensed"/>
          <w:sz w:val="24"/>
          <w:szCs w:val="24"/>
        </w:rPr>
        <w:t xml:space="preserve">Capitolo IV — La scissione (1970-1971): due vie, e la memorialistica di parte</w:t>
      </w:r>
    </w:p>
    <w:p>
      <w:pPr>
        <w:spacing w:after="120" w:line="276"/>
        <w:jc w:val="both"/>
      </w:pPr>
      <w:r>
        <w:rPr>
          <w:rFonts w:ascii="Barlow Semi Condensed" w:cs="Barlow Semi Condensed" w:eastAsia="Barlow Semi Condensed" w:hAnsi="Barlow Semi Condensed"/>
          <w:sz w:val="24"/>
          <w:szCs w:val="24"/>
        </w:rPr>
        <w:t xml:space="preserve">Fra il 1970 e il 1971 il ceppo si divise. La via di Curcio andò verso la clandestinità e il nucleo storico delle Brigate Rosse. La via di Simioni produsse il </w:t>
      </w:r>
      <w:r>
        <w:rPr>
          <w:rFonts w:ascii="Barlow Semi Condensed" w:cs="Barlow Semi Condensed" w:eastAsia="Barlow Semi Condensed" w:hAnsi="Barlow Semi Condensed"/>
          <w:b/>
          <w:bCs/>
          <w:sz w:val="24"/>
          <w:szCs w:val="24"/>
        </w:rPr>
        <w:t xml:space="preserve">Superclan</w:t>
      </w:r>
      <w:r>
        <w:rPr>
          <w:rFonts w:ascii="Barlow Semi Condensed" w:cs="Barlow Semi Condensed" w:eastAsia="Barlow Semi Condensed" w:hAnsi="Barlow Semi Condensed"/>
          <w:sz w:val="24"/>
          <w:szCs w:val="24"/>
        </w:rPr>
        <w:t xml:space="preserve"> — i «super-clandestini» — costituito </w:t>
      </w:r>
      <w:r>
        <w:rPr>
          <w:rFonts w:ascii="Barlow Semi Condensed" w:cs="Barlow Semi Condensed" w:eastAsia="Barlow Semi Condensed" w:hAnsi="Barlow Semi Condensed"/>
          <w:b/>
          <w:bCs/>
          <w:sz w:val="24"/>
          <w:szCs w:val="24"/>
        </w:rPr>
        <w:t xml:space="preserve">dai nuclei di Sinistra Proletaria fra il 1970 e il 1971</w:t>
      </w:r>
      <w:r>
        <w:rPr>
          <w:rFonts w:ascii="Barlow Semi Condensed" w:cs="Barlow Semi Condensed" w:eastAsia="Barlow Semi Condensed" w:hAnsi="Barlow Semi Condensed"/>
          <w:sz w:val="24"/>
          <w:szCs w:val="24"/>
        </w:rPr>
        <w:t xml:space="preserve">, dopo che Simioni e i suoi ebbero </w:t>
      </w:r>
      <w:r>
        <w:rPr>
          <w:rFonts w:ascii="Barlow Semi Condensed" w:cs="Barlow Semi Condensed" w:eastAsia="Barlow Semi Condensed" w:hAnsi="Barlow Semi Condensed"/>
          <w:b/>
          <w:bCs/>
          <w:sz w:val="24"/>
          <w:szCs w:val="24"/>
        </w:rPr>
        <w:t xml:space="preserve">contestato le scelte del gruppo dirigente</w:t>
      </w:r>
      <w:r>
        <w:rPr>
          <w:rFonts w:ascii="Barlow Semi Condensed" w:cs="Barlow Semi Condensed" w:eastAsia="Barlow Semi Condensed" w:hAnsi="Barlow Semi Condensed"/>
          <w:sz w:val="24"/>
          <w:szCs w:val="24"/>
        </w:rPr>
        <w:t xml:space="preserve"> della nascente organizzazione armata; la voce enciclopedica lo descrive come organizzazione dai «propositi grandiosi» e dalle «realizzazioni limitate» (Wikipedia, </w:t>
      </w:r>
      <w:r>
        <w:rPr>
          <w:rFonts w:ascii="Barlow Semi Condensed" w:cs="Barlow Semi Condensed" w:eastAsia="Barlow Semi Condensed" w:hAnsi="Barlow Semi Condensed"/>
          <w:i/>
          <w:iCs/>
          <w:sz w:val="24"/>
          <w:szCs w:val="24"/>
        </w:rPr>
        <w:t xml:space="preserve">Superclan</w:t>
      </w:r>
      <w:r>
        <w:rPr>
          <w:rFonts w:ascii="Barlow Semi Condensed" w:cs="Barlow Semi Condensed" w:eastAsia="Barlow Semi Condensed" w:hAnsi="Barlow Semi Condensed"/>
          <w:sz w:val="24"/>
          <w:szCs w:val="24"/>
        </w:rPr>
        <w:t xml:space="preserve"> (https://it.wikipedia.org/wiki/Superclan)).</w:t>
      </w:r>
    </w:p>
    <w:p>
      <w:pPr>
        <w:spacing w:after="120" w:line="276"/>
        <w:jc w:val="both"/>
      </w:pPr>
      <w:r>
        <w:rPr>
          <w:rFonts w:ascii="Barlow Semi Condensed" w:cs="Barlow Semi Condensed" w:eastAsia="Barlow Semi Condensed" w:hAnsi="Barlow Semi Condensed"/>
          <w:sz w:val="24"/>
          <w:szCs w:val="24"/>
        </w:rPr>
        <w:t xml:space="preserve">Su che cosa il Superclan </w:t>
      </w:r>
      <w:r>
        <w:rPr>
          <w:rFonts w:ascii="Barlow Semi Condensed" w:cs="Barlow Semi Condensed" w:eastAsia="Barlow Semi Condensed" w:hAnsi="Barlow Semi Condensed"/>
          <w:i/>
          <w:iCs/>
          <w:sz w:val="24"/>
          <w:szCs w:val="24"/>
        </w:rPr>
        <w:t xml:space="preserve">fosse davvero</w:t>
      </w:r>
      <w:r>
        <w:rPr>
          <w:rFonts w:ascii="Barlow Semi Condensed" w:cs="Barlow Semi Condensed" w:eastAsia="Barlow Semi Condensed" w:hAnsi="Barlow Semi Condensed"/>
          <w:sz w:val="24"/>
          <w:szCs w:val="24"/>
        </w:rPr>
        <w:t xml:space="preserve">, la fonte principale è — ed è bene dirlo brutalmente — </w:t>
      </w:r>
      <w:r>
        <w:rPr>
          <w:rFonts w:ascii="Barlow Semi Condensed" w:cs="Barlow Semi Condensed" w:eastAsia="Barlow Semi Condensed" w:hAnsi="Barlow Semi Condensed"/>
          <w:b/>
          <w:bCs/>
          <w:sz w:val="24"/>
          <w:szCs w:val="24"/>
        </w:rPr>
        <w:t xml:space="preserve">la memorialistica dei capi brigatisti</w:t>
      </w:r>
      <w:r>
        <w:rPr>
          <w:rFonts w:ascii="Barlow Semi Condensed" w:cs="Barlow Semi Condensed" w:eastAsia="Barlow Semi Condensed" w:hAnsi="Barlow Semi Condensed"/>
          <w:sz w:val="24"/>
          <w:szCs w:val="24"/>
        </w:rPr>
        <w:t xml:space="preserve">, resa nei processi e nei libri degli anni Ottanta: quando nel giugno 1982 i mandati di cattura raggiunsero gli uomini di Hyperion, furono «i capi BR» a «raccontare il Superclan» agli inquirenti (Ugo Maria Tassinari (https://www.ugomariatassinari.it/hyperion-mandati-di-cattura/)). Ora: la memorialistica di chi proveniva dalla scissione </w:t>
      </w:r>
      <w:r>
        <w:rPr>
          <w:rFonts w:ascii="Barlow Semi Condensed" w:cs="Barlow Semi Condensed" w:eastAsia="Barlow Semi Condensed" w:hAnsi="Barlow Semi Condensed"/>
          <w:i/>
          <w:iCs/>
          <w:sz w:val="24"/>
          <w:szCs w:val="24"/>
        </w:rPr>
        <w:t xml:space="preserve">opposta</w:t>
      </w:r>
      <w:r>
        <w:rPr>
          <w:rFonts w:ascii="Barlow Semi Condensed" w:cs="Barlow Semi Condensed" w:eastAsia="Barlow Semi Condensed" w:hAnsi="Barlow Semi Condensed"/>
          <w:sz w:val="24"/>
          <w:szCs w:val="24"/>
        </w:rPr>
        <w:t xml:space="preserve"> è, per definizione, </w:t>
      </w:r>
      <w:r>
        <w:rPr>
          <w:rFonts w:ascii="Barlow Semi Condensed" w:cs="Barlow Semi Condensed" w:eastAsia="Barlow Semi Condensed" w:hAnsi="Barlow Semi Condensed"/>
          <w:b/>
          <w:bCs/>
          <w:sz w:val="24"/>
          <w:szCs w:val="24"/>
        </w:rPr>
        <w:t xml:space="preserve">fonte di parte</w:t>
      </w:r>
      <w:r>
        <w:rPr>
          <w:rFonts w:ascii="Barlow Semi Condensed" w:cs="Barlow Semi Condensed" w:eastAsia="Barlow Semi Condensed" w:hAnsi="Barlow Semi Condensed"/>
          <w:sz w:val="24"/>
          <w:szCs w:val="24"/>
        </w:rPr>
        <w:t xml:space="preserve"> — preziosa per la storia degli ambienti, inservibile come prova delle condotte. Il corpus la tratta ovunque così, e qui a maggior ragione: le descrizioni del Superclan come struttura occulta e manovriera provengono in larga parte da uomini che con Simioni avevano rotto, e i processi che ne seguirono si chiusero come si chiusero.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dichiarato e mantenuto.</w:t>
      </w:r>
    </w:p>
    <w:p>
      <w:pPr>
        <w:pStyle w:val="Heading1"/>
        <w:spacing w:after="120" w:before="240"/>
      </w:pPr>
      <w:r>
        <w:rPr>
          <w:rFonts w:ascii="Barlow Semi Condensed" w:cs="Barlow Semi Condensed" w:eastAsia="Barlow Semi Condensed" w:hAnsi="Barlow Semi Condensed"/>
          <w:sz w:val="24"/>
          <w:szCs w:val="24"/>
        </w:rPr>
        <w:t xml:space="preserve">Capitolo V — Parigi: Hyperion (1976/1977)</w:t>
      </w:r>
    </w:p>
    <w:p>
      <w:pPr>
        <w:spacing w:after="120" w:line="276"/>
        <w:jc w:val="both"/>
      </w:pPr>
      <w:r>
        <w:rPr>
          <w:rFonts w:ascii="Barlow Semi Condensed" w:cs="Barlow Semi Condensed" w:eastAsia="Barlow Semi Condensed" w:hAnsi="Barlow Semi Condensed"/>
          <w:sz w:val="24"/>
          <w:szCs w:val="24"/>
        </w:rPr>
        <w:t xml:space="preserve">Trasferitosi in Francia, Simioni fondò a Parigi — con </w:t>
      </w:r>
      <w:r>
        <w:rPr>
          <w:rFonts w:ascii="Barlow Semi Condensed" w:cs="Barlow Semi Condensed" w:eastAsia="Barlow Semi Condensed" w:hAnsi="Barlow Semi Condensed"/>
          <w:b/>
          <w:bCs/>
          <w:sz w:val="24"/>
          <w:szCs w:val="24"/>
        </w:rPr>
        <w:t xml:space="preserve">Duccio Berio e Vanni Mulinaris</w:t>
      </w:r>
      <w:r>
        <w:rPr>
          <w:rFonts w:ascii="Barlow Semi Condensed" w:cs="Barlow Semi Condensed" w:eastAsia="Barlow Semi Condensed" w:hAnsi="Barlow Semi Condensed"/>
          <w:sz w:val="24"/>
          <w:szCs w:val="24"/>
        </w:rPr>
        <w:t xml:space="preserve"> — la scuola di lingue </w:t>
      </w:r>
      <w:r>
        <w:rPr>
          <w:rFonts w:ascii="Barlow Semi Condensed" w:cs="Barlow Semi Condensed" w:eastAsia="Barlow Semi Condensed" w:hAnsi="Barlow Semi Condensed"/>
          <w:b/>
          <w:bCs/>
          <w:sz w:val="24"/>
          <w:szCs w:val="24"/>
        </w:rPr>
        <w:t xml:space="preserve">Hyperion</w:t>
      </w:r>
      <w:r>
        <w:rPr>
          <w:rFonts w:ascii="Barlow Semi Condensed" w:cs="Barlow Semi Condensed" w:eastAsia="Barlow Semi Condensed" w:hAnsi="Barlow Semi Condensed"/>
          <w:sz w:val="24"/>
          <w:szCs w:val="24"/>
        </w:rPr>
        <w:t xml:space="preserve">, al </w:t>
      </w:r>
      <w:r>
        <w:rPr>
          <w:rFonts w:ascii="Barlow Semi Condensed" w:cs="Barlow Semi Condensed" w:eastAsia="Barlow Semi Condensed" w:hAnsi="Barlow Semi Condensed"/>
          <w:b/>
          <w:bCs/>
          <w:sz w:val="24"/>
          <w:szCs w:val="24"/>
        </w:rPr>
        <w:t xml:space="preserve">27 di Quai de la Tournelle</w:t>
      </w:r>
      <w:r>
        <w:rPr>
          <w:rFonts w:ascii="Barlow Semi Condensed" w:cs="Barlow Semi Condensed" w:eastAsia="Barlow Semi Condensed" w:hAnsi="Barlow Semi Condensed"/>
          <w:sz w:val="24"/>
          <w:szCs w:val="24"/>
        </w:rPr>
        <w:t xml:space="preserve">. Sulla data di fondazione le fonti divergono fra il </w:t>
      </w:r>
      <w:r>
        <w:rPr>
          <w:rFonts w:ascii="Barlow Semi Condensed" w:cs="Barlow Semi Condensed" w:eastAsia="Barlow Semi Condensed" w:hAnsi="Barlow Semi Condensed"/>
          <w:b/>
          <w:bCs/>
          <w:sz w:val="24"/>
          <w:szCs w:val="24"/>
        </w:rPr>
        <w:t xml:space="preserve">1976 e il 1977</w:t>
      </w:r>
      <w:r>
        <w:rPr>
          <w:rFonts w:ascii="Barlow Semi Condensed" w:cs="Barlow Semi Condensed" w:eastAsia="Barlow Semi Condensed" w:hAnsi="Barlow Semi Condensed"/>
          <w:sz w:val="24"/>
          <w:szCs w:val="24"/>
        </w:rPr>
        <w:t xml:space="preserve"> (Wikipedia, </w:t>
      </w:r>
      <w:r>
        <w:rPr>
          <w:rFonts w:ascii="Barlow Semi Condensed" w:cs="Barlow Semi Condensed" w:eastAsia="Barlow Semi Condensed" w:hAnsi="Barlow Semi Condensed"/>
          <w:i/>
          <w:iCs/>
          <w:sz w:val="24"/>
          <w:szCs w:val="24"/>
        </w:rPr>
        <w:t xml:space="preserve">Hyperion (Parigi)</w:t>
      </w:r>
      <w:r>
        <w:rPr>
          <w:rFonts w:ascii="Barlow Semi Condensed" w:cs="Barlow Semi Condensed" w:eastAsia="Barlow Semi Condensed" w:hAnsi="Barlow Semi Condensed"/>
          <w:sz w:val="24"/>
          <w:szCs w:val="24"/>
        </w:rPr>
        <w:t xml:space="preserve"> (https://it.wikipedia.org/wiki/Hyperion_(Parigi)); ASNSMP, scheda Mulinaris (http://www.comune.bologna.it/iperbole/asnsmp/Friuli_Vanni_Mulinaris.html)); la divergenza si riporta e non si risolve. La scuola insegnava lingue; attorno ad essa, per gli anni che seguirono, si sarebbero addensate le due tesi contrapposte che il corpus ha già vagliato — e l'episodio documentato dell'</w:t>
      </w:r>
      <w:r>
        <w:rPr>
          <w:rFonts w:ascii="Barlow Semi Condensed" w:cs="Barlow Semi Condensed" w:eastAsia="Barlow Semi Condensed" w:hAnsi="Barlow Semi Condensed"/>
          <w:b/>
          <w:bCs/>
          <w:sz w:val="24"/>
          <w:szCs w:val="24"/>
        </w:rPr>
        <w:t xml:space="preserve">ufficio romano di via Nicotera</w:t>
      </w:r>
      <w:r>
        <w:rPr>
          <w:rFonts w:ascii="Barlow Semi Condensed" w:cs="Barlow Semi Condensed" w:eastAsia="Barlow Semi Condensed" w:hAnsi="Barlow Semi Condensed"/>
          <w:sz w:val="24"/>
          <w:szCs w:val="24"/>
        </w:rPr>
        <w:t xml:space="preserve">, aperto nel </w:t>
      </w:r>
      <w:r>
        <w:rPr>
          <w:rFonts w:ascii="Barlow Semi Condensed" w:cs="Barlow Semi Condensed" w:eastAsia="Barlow Semi Condensed" w:hAnsi="Barlow Semi Condensed"/>
          <w:b/>
          <w:bCs/>
          <w:sz w:val="24"/>
          <w:szCs w:val="24"/>
        </w:rPr>
        <w:t xml:space="preserve">febbraio 1978</w:t>
      </w:r>
      <w:r>
        <w:rPr>
          <w:rFonts w:ascii="Barlow Semi Condensed" w:cs="Barlow Semi Condensed" w:eastAsia="Barlow Semi Condensed" w:hAnsi="Barlow Semi Condensed"/>
          <w:sz w:val="24"/>
          <w:szCs w:val="24"/>
        </w:rPr>
        <w:t xml:space="preserve"> e richiuso dopo pochi mesi, con la sua tremenda coincidenza cronologica col sequestro Moro, che </w:t>
      </w:r>
      <w:r>
        <w:rPr>
          <w:rFonts w:ascii="Barlow Semi Condensed" w:cs="Barlow Semi Condensed" w:eastAsia="Barlow Semi Condensed" w:hAnsi="Barlow Semi Condensed"/>
          <w:b/>
          <w:bCs/>
          <w:sz w:val="24"/>
          <w:szCs w:val="24"/>
        </w:rPr>
        <w:t xml:space="preserve">resta una coincidenza non spiegata e non un fatto probante</w:t>
      </w:r>
      <w:r>
        <w:rPr>
          <w:rFonts w:ascii="Barlow Semi Condensed" w:cs="Barlow Semi Condensed" w:eastAsia="Barlow Semi Condensed" w:hAnsi="Barlow Semi Condensed"/>
          <w:sz w:val="24"/>
          <w:szCs w:val="24"/>
        </w:rPr>
        <w:t xml:space="preserve">, al grado che la triangolazione Hyperion gli ha assegnato. Questo studio non riapre quel fascicolo: rinvia a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sz w:val="24"/>
          <w:szCs w:val="24"/>
        </w:rPr>
        <w:t xml:space="preserve">, dove i nove nodi documentati stanno con i loro gradi.</w:t>
      </w:r>
    </w:p>
    <w:p>
      <w:pPr>
        <w:pStyle w:val="Heading1"/>
        <w:spacing w:after="120" w:before="240"/>
      </w:pPr>
      <w:r>
        <w:rPr>
          <w:rFonts w:ascii="Barlow Semi Condensed" w:cs="Barlow Semi Condensed" w:eastAsia="Barlow Semi Condensed" w:hAnsi="Barlow Semi Condensed"/>
          <w:sz w:val="24"/>
          <w:szCs w:val="24"/>
        </w:rPr>
        <w:t xml:space="preserve">Capitolo VI — Tre persone, tre percorsi giudiziari, tre esiti (il registro rovesciato)</w:t>
      </w:r>
    </w:p>
    <w:p>
      <w:pPr>
        <w:spacing w:after="120" w:line="276"/>
        <w:jc w:val="both"/>
      </w:pPr>
      <w:r>
        <w:rPr>
          <w:rFonts w:ascii="Barlow Semi Condensed" w:cs="Barlow Semi Condensed" w:eastAsia="Barlow Semi Condensed" w:hAnsi="Barlow Semi Condensed"/>
          <w:sz w:val="24"/>
          <w:szCs w:val="24"/>
        </w:rPr>
        <w:t xml:space="preserve">La Fase decima ha costruito il registro dei condannati. Questo capitolo costruisce il suo </w:t>
      </w:r>
      <w:r>
        <w:rPr>
          <w:rFonts w:ascii="Barlow Semi Condensed" w:cs="Barlow Semi Condensed" w:eastAsia="Barlow Semi Condensed" w:hAnsi="Barlow Semi Condensed"/>
          <w:b/>
          <w:bCs/>
          <w:sz w:val="24"/>
          <w:szCs w:val="24"/>
        </w:rPr>
        <w:t xml:space="preserve">speculare esatto</w:t>
      </w:r>
      <w:r>
        <w:rPr>
          <w:rFonts w:ascii="Barlow Semi Condensed" w:cs="Barlow Semi Condensed" w:eastAsia="Barlow Semi Condensed" w:hAnsi="Barlow Semi Condensed"/>
          <w:sz w:val="24"/>
          <w:szCs w:val="24"/>
        </w:rPr>
        <w:t xml:space="preserve">: il registro dei prosciolti del ceppo, con la stessa disciplina personalistica — una persona, un percorso, un esito — e con lo stesso divieto di appiattirli l'uno sull'altro.</w:t>
      </w:r>
    </w:p>
    <w:p>
      <w:pPr>
        <w:spacing w:after="120" w:line="276"/>
        <w:jc w:val="both"/>
      </w:pPr>
      <w:r>
        <w:rPr>
          <w:rFonts w:ascii="Barlow Semi Condensed" w:cs="Barlow Semi Condensed" w:eastAsia="Barlow Semi Condensed" w:hAnsi="Barlow Semi Condensed"/>
          <w:b/>
          <w:bCs/>
          <w:sz w:val="24"/>
          <w:szCs w:val="24"/>
        </w:rPr>
        <w:t xml:space="preserve">Vanni Mulinaris.</w:t>
      </w:r>
      <w:r>
        <w:rPr>
          <w:rFonts w:ascii="Barlow Semi Condensed" w:cs="Barlow Semi Condensed" w:eastAsia="Barlow Semi Condensed" w:hAnsi="Barlow Semi Condensed"/>
          <w:sz w:val="24"/>
          <w:szCs w:val="24"/>
        </w:rPr>
        <w:t xml:space="preserve"> Friulano, laureato a Trento come Curcio, fu arrestato a Udine il </w:t>
      </w:r>
      <w:r>
        <w:rPr>
          <w:rFonts w:ascii="Barlow Semi Condensed" w:cs="Barlow Semi Condensed" w:eastAsia="Barlow Semi Condensed" w:hAnsi="Barlow Semi Condensed"/>
          <w:b/>
          <w:bCs/>
          <w:sz w:val="24"/>
          <w:szCs w:val="24"/>
        </w:rPr>
        <w:t xml:space="preserve">2 febbraio 1982</w:t>
      </w:r>
      <w:r>
        <w:rPr>
          <w:rFonts w:ascii="Barlow Semi Condensed" w:cs="Barlow Semi Condensed" w:eastAsia="Barlow Semi Condensed" w:hAnsi="Barlow Semi Condensed"/>
          <w:sz w:val="24"/>
          <w:szCs w:val="24"/>
        </w:rPr>
        <w:t xml:space="preserve"> con accuse di traffico d'armi e collaborazione col terrorismo, </w:t>
      </w:r>
      <w:r>
        <w:rPr>
          <w:rFonts w:ascii="Barlow Semi Condensed" w:cs="Barlow Semi Condensed" w:eastAsia="Barlow Semi Condensed" w:hAnsi="Barlow Semi Condensed"/>
          <w:b/>
          <w:bCs/>
          <w:sz w:val="24"/>
          <w:szCs w:val="24"/>
        </w:rPr>
        <w:t xml:space="preserve">fondate su dichiarazioni di pentiti</w:t>
      </w:r>
      <w:r>
        <w:rPr>
          <w:rFonts w:ascii="Barlow Semi Condensed" w:cs="Barlow Semi Condensed" w:eastAsia="Barlow Semi Condensed" w:hAnsi="Barlow Semi Condensed"/>
          <w:sz w:val="24"/>
          <w:szCs w:val="24"/>
        </w:rPr>
        <w:t xml:space="preserve"> (ASNSMP (http://www.comune.bologna.it/iperbole/asnsmp/Friuli_Vanni_Mulinaris.html)). Seguirono mesi di carcere, </w:t>
      </w:r>
      <w:r>
        <w:rPr>
          <w:rFonts w:ascii="Barlow Semi Condensed" w:cs="Barlow Semi Condensed" w:eastAsia="Barlow Semi Condensed" w:hAnsi="Barlow Semi Condensed"/>
          <w:b/>
          <w:bCs/>
          <w:sz w:val="24"/>
          <w:szCs w:val="24"/>
        </w:rPr>
        <w:t xml:space="preserve">digiuni prolungati</w:t>
      </w:r>
      <w:r>
        <w:rPr>
          <w:rFonts w:ascii="Barlow Semi Condensed" w:cs="Barlow Semi Condensed" w:eastAsia="Barlow Semi Condensed" w:hAnsi="Barlow Semi Condensed"/>
          <w:sz w:val="24"/>
          <w:szCs w:val="24"/>
        </w:rPr>
        <w:t xml:space="preserve">, gli arresti domiciliari, e una campagna internazionale per la sua liberazione guidata dall'</w:t>
      </w:r>
      <w:r>
        <w:rPr>
          <w:rFonts w:ascii="Barlow Semi Condensed" w:cs="Barlow Semi Condensed" w:eastAsia="Barlow Semi Condensed" w:hAnsi="Barlow Semi Condensed"/>
          <w:b/>
          <w:bCs/>
          <w:sz w:val="24"/>
          <w:szCs w:val="24"/>
        </w:rPr>
        <w:t xml:space="preserve">Abbé Pierre</w:t>
      </w:r>
      <w:r>
        <w:rPr>
          <w:rFonts w:ascii="Barlow Semi Condensed" w:cs="Barlow Semi Condensed" w:eastAsia="Barlow Semi Condensed" w:hAnsi="Barlow Semi Condensed"/>
          <w:sz w:val="24"/>
          <w:szCs w:val="24"/>
        </w:rPr>
        <w:t xml:space="preserve">, il fondatore di Emmaus, alla testa di un comitato di intellettuali francesi e italiani (1983-84); la vicenda — divenuta un caso diplomatico franco-italiano, oggi oggetto di studio accademico (</w:t>
      </w:r>
      <w:r>
        <w:rPr>
          <w:rFonts w:ascii="Barlow Semi Condensed" w:cs="Barlow Semi Condensed" w:eastAsia="Barlow Semi Condensed" w:hAnsi="Barlow Semi Condensed"/>
          <w:i/>
          <w:iCs/>
          <w:sz w:val="24"/>
          <w:szCs w:val="24"/>
        </w:rPr>
        <w:t xml:space="preserve">Une intrigue franco-italienne: l'affaire Mulinaris, 1982-1986</w:t>
      </w:r>
      <w:r>
        <w:rPr>
          <w:rFonts w:ascii="Barlow Semi Condensed" w:cs="Barlow Semi Condensed" w:eastAsia="Barlow Semi Condensed" w:hAnsi="Barlow Semi Condensed"/>
          <w:sz w:val="24"/>
          <w:szCs w:val="24"/>
        </w:rPr>
        <w:t xml:space="preserve"> (https://shs.cairn.info/journal-materiaux-pour-l-histoire-de-notre-temps-2015-1-page-72?lang=en)) — si chiuse con l'</w:t>
      </w:r>
      <w:r>
        <w:rPr>
          <w:rFonts w:ascii="Barlow Semi Condensed" w:cs="Barlow Semi Condensed" w:eastAsia="Barlow Semi Condensed" w:hAnsi="Barlow Semi Condensed"/>
          <w:b/>
          <w:bCs/>
          <w:sz w:val="24"/>
          <w:szCs w:val="24"/>
        </w:rPr>
        <w:t xml:space="preserve">assoluzione con formula piena</w:t>
      </w:r>
      <w:r>
        <w:rPr>
          <w:rFonts w:ascii="Barlow Semi Condensed" w:cs="Barlow Semi Condensed" w:eastAsia="Barlow Semi Condensed" w:hAnsi="Barlow Semi Condensed"/>
          <w:sz w:val="24"/>
          <w:szCs w:val="24"/>
        </w:rPr>
        <w:t xml:space="preserve"> e con un </w:t>
      </w:r>
      <w:r>
        <w:rPr>
          <w:rFonts w:ascii="Barlow Semi Condensed" w:cs="Barlow Semi Condensed" w:eastAsia="Barlow Semi Condensed" w:hAnsi="Barlow Semi Condensed"/>
          <w:b/>
          <w:bCs/>
          <w:sz w:val="24"/>
          <w:szCs w:val="24"/>
        </w:rPr>
        <w:t xml:space="preserve">risarcimento di cento milioni di lire</w:t>
      </w:r>
      <w:r>
        <w:rPr>
          <w:rFonts w:ascii="Barlow Semi Condensed" w:cs="Barlow Semi Condensed" w:eastAsia="Barlow Semi Condensed" w:hAnsi="Barlow Semi Condensed"/>
          <w:sz w:val="24"/>
          <w:szCs w:val="24"/>
        </w:rPr>
        <w:t xml:space="preserve"> per l'ingiusta detenzione. L'esito va scritto per esteso perché è raro e pesante: lo Stato che lo aveva accusato lo ha dichiarato innocente </w:t>
      </w:r>
      <w:r>
        <w:rPr>
          <w:rFonts w:ascii="Barlow Semi Condensed" w:cs="Barlow Semi Condensed" w:eastAsia="Barlow Semi Condensed" w:hAnsi="Barlow Semi Condensed"/>
          <w:b/>
          <w:bCs/>
          <w:sz w:val="24"/>
          <w:szCs w:val="24"/>
        </w:rPr>
        <w:t xml:space="preserve">e lo ha indennizzato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Duccio Berio.</w:t>
      </w:r>
      <w:r>
        <w:rPr>
          <w:rFonts w:ascii="Barlow Semi Condensed" w:cs="Barlow Semi Condensed" w:eastAsia="Barlow Semi Condensed" w:hAnsi="Barlow Semi Condensed"/>
          <w:sz w:val="24"/>
          <w:szCs w:val="24"/>
        </w:rPr>
        <w:t xml:space="preserve"> Aveva lasciato il proprio ruolo a Hyperion già nel </w:t>
      </w:r>
      <w:r>
        <w:rPr>
          <w:rFonts w:ascii="Barlow Semi Condensed" w:cs="Barlow Semi Condensed" w:eastAsia="Barlow Semi Condensed" w:hAnsi="Barlow Semi Condensed"/>
          <w:b/>
          <w:bCs/>
          <w:sz w:val="24"/>
          <w:szCs w:val="24"/>
        </w:rPr>
        <w:t xml:space="preserve">1979</w:t>
      </w:r>
      <w:r>
        <w:rPr>
          <w:rFonts w:ascii="Barlow Semi Condensed" w:cs="Barlow Semi Condensed" w:eastAsia="Barlow Semi Condensed" w:hAnsi="Barlow Semi Condensed"/>
          <w:sz w:val="24"/>
          <w:szCs w:val="24"/>
        </w:rPr>
        <w:t xml:space="preserve">; il mandato di cattura del </w:t>
      </w:r>
      <w:r>
        <w:rPr>
          <w:rFonts w:ascii="Barlow Semi Condensed" w:cs="Barlow Semi Condensed" w:eastAsia="Barlow Semi Condensed" w:hAnsi="Barlow Semi Condensed"/>
          <w:b/>
          <w:bCs/>
          <w:sz w:val="24"/>
          <w:szCs w:val="24"/>
        </w:rPr>
        <w:t xml:space="preserve">17 giugno 1982</w:t>
      </w:r>
      <w:r>
        <w:rPr>
          <w:rFonts w:ascii="Barlow Semi Condensed" w:cs="Barlow Semi Condensed" w:eastAsia="Barlow Semi Condensed" w:hAnsi="Barlow Semi Condensed"/>
          <w:sz w:val="24"/>
          <w:szCs w:val="24"/>
        </w:rPr>
        <w:t xml:space="preserve"> lo raggiunse insieme a Simioni (Tassinari (https://www.ugomariatassinari.it/hyperion-mandati-di-cattura/)). Fu </w:t>
      </w:r>
      <w:r>
        <w:rPr>
          <w:rFonts w:ascii="Barlow Semi Condensed" w:cs="Barlow Semi Condensed" w:eastAsia="Barlow Semi Condensed" w:hAnsi="Barlow Semi Condensed"/>
          <w:b/>
          <w:bCs/>
          <w:sz w:val="24"/>
          <w:szCs w:val="24"/>
        </w:rPr>
        <w:t xml:space="preserve">assolto a Roma nel 1989</w:t>
      </w:r>
      <w:r>
        <w:rPr>
          <w:rFonts w:ascii="Barlow Semi Condensed" w:cs="Barlow Semi Condensed" w:eastAsia="Barlow Semi Condensed" w:hAnsi="Barlow Semi Condensed"/>
          <w:sz w:val="24"/>
          <w:szCs w:val="24"/>
        </w:rPr>
        <w:t xml:space="preserve"> (insurrezione armata) e </w:t>
      </w:r>
      <w:r>
        <w:rPr>
          <w:rFonts w:ascii="Barlow Semi Condensed" w:cs="Barlow Semi Condensed" w:eastAsia="Barlow Semi Condensed" w:hAnsi="Barlow Semi Condensed"/>
          <w:b/>
          <w:bCs/>
          <w:sz w:val="24"/>
          <w:szCs w:val="24"/>
        </w:rPr>
        <w:t xml:space="preserve">a Venezia nel 1990</w:t>
      </w:r>
      <w:r>
        <w:rPr>
          <w:rFonts w:ascii="Barlow Semi Condensed" w:cs="Barlow Semi Condensed" w:eastAsia="Barlow Semi Condensed" w:hAnsi="Barlow Semi Condensed"/>
          <w:sz w:val="24"/>
          <w:szCs w:val="24"/>
        </w:rPr>
        <w:t xml:space="preserve"> (traffico d'armi). Trentatré anni dopo, il </w:t>
      </w:r>
      <w:r>
        <w:rPr>
          <w:rFonts w:ascii="Barlow Semi Condensed" w:cs="Barlow Semi Condensed" w:eastAsia="Barlow Semi Condensed" w:hAnsi="Barlow Semi Condensed"/>
          <w:b/>
          <w:bCs/>
          <w:sz w:val="24"/>
          <w:szCs w:val="24"/>
        </w:rPr>
        <w:t xml:space="preserve">28 ottobre 2015</w:t>
      </w:r>
      <w:r>
        <w:rPr>
          <w:rFonts w:ascii="Barlow Semi Condensed" w:cs="Barlow Semi Condensed" w:eastAsia="Barlow Semi Condensed" w:hAnsi="Barlow Semi Condensed"/>
          <w:sz w:val="24"/>
          <w:szCs w:val="24"/>
        </w:rPr>
        <w:t xml:space="preserve">, la Commissione Moro 2 lo ascoltò in audizione: la sua posizione — «non c'entriamo nulla, eravamo solo un gruppo di amici» dedito alla vita comunitaria e lontano da chi aveva scelto la lotta armata (Il Fatto Quotidiano (https://www.ilfattoquotidiano.it/2015/10/28/caso-moro-luomo-di-hyperion-alla-commissione-non-centriamo-nulla-eravamo-solo-un-gruppo-di-amici/2169499/)) — è la parola di un uomo due volte assolto, e come tale si riporta. Dall'audizione emerse però anche il dato più notevole dell'intero fascicolo, di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perché reso a un organo parlamentare: Berio riferì che </w:t>
      </w:r>
      <w:r>
        <w:rPr>
          <w:rFonts w:ascii="Barlow Semi Condensed" w:cs="Barlow Semi Condensed" w:eastAsia="Barlow Semi Condensed" w:hAnsi="Barlow Semi Condensed"/>
          <w:b/>
          <w:bCs/>
          <w:sz w:val="24"/>
          <w:szCs w:val="24"/>
        </w:rPr>
        <w:t xml:space="preserve">nel 1972 un agente del SID</w:t>
      </w:r>
      <w:r>
        <w:rPr>
          <w:rFonts w:ascii="Barlow Semi Condensed" w:cs="Barlow Semi Condensed" w:eastAsia="Barlow Semi Condensed" w:hAnsi="Barlow Semi Condensed"/>
          <w:sz w:val="24"/>
          <w:szCs w:val="24"/>
        </w:rPr>
        <w:t xml:space="preserve"> (un «Ballini») </w:t>
      </w:r>
      <w:r>
        <w:rPr>
          <w:rFonts w:ascii="Barlow Semi Condensed" w:cs="Barlow Semi Condensed" w:eastAsia="Barlow Semi Condensed" w:hAnsi="Barlow Semi Condensed"/>
          <w:b/>
          <w:bCs/>
          <w:sz w:val="24"/>
          <w:szCs w:val="24"/>
        </w:rPr>
        <w:t xml:space="preserve">gli propose di infiltrarsi nelle Brigate Rosse</w:t>
      </w:r>
      <w:r>
        <w:rPr>
          <w:rFonts w:ascii="Barlow Semi Condensed" w:cs="Barlow Semi Condensed" w:eastAsia="Barlow Semi Condensed" w:hAnsi="Barlow Semi Condensed"/>
          <w:sz w:val="24"/>
          <w:szCs w:val="24"/>
        </w:rPr>
        <w:t xml:space="preserve"> che si stavano organizzando — e che egli documentò l'approccio </w:t>
      </w:r>
      <w:r>
        <w:rPr>
          <w:rFonts w:ascii="Barlow Semi Condensed" w:cs="Barlow Semi Condensed" w:eastAsia="Barlow Semi Condensed" w:hAnsi="Barlow Semi Condensed"/>
          <w:b/>
          <w:bCs/>
          <w:sz w:val="24"/>
          <w:szCs w:val="24"/>
        </w:rPr>
        <w:t xml:space="preserve">in una lettera al suocero, Alberto Malagugini</w:t>
      </w:r>
      <w:r>
        <w:rPr>
          <w:rFonts w:ascii="Barlow Semi Condensed" w:cs="Barlow Semi Condensed" w:eastAsia="Barlow Semi Condensed" w:hAnsi="Barlow Semi Condensed"/>
          <w:sz w:val="24"/>
          <w:szCs w:val="24"/>
        </w:rPr>
        <w:t xml:space="preserve">, deputato comunista e futuro giudice della Corte costituzionale. Il valore del dato sta nel suo verso: è la testimonianza di un </w:t>
      </w:r>
      <w:r>
        <w:rPr>
          <w:rFonts w:ascii="Barlow Semi Condensed" w:cs="Barlow Semi Condensed" w:eastAsia="Barlow Semi Condensed" w:hAnsi="Barlow Semi Condensed"/>
          <w:b/>
          <w:bCs/>
          <w:sz w:val="24"/>
          <w:szCs w:val="24"/>
        </w:rPr>
        <w:t xml:space="preserve">approccio dei servizi respinto e messo per iscritto presso un'autorità della Repubblica</w:t>
      </w:r>
      <w:r>
        <w:rPr>
          <w:rFonts w:ascii="Barlow Semi Condensed" w:cs="Barlow Semi Condensed" w:eastAsia="Barlow Semi Condensed" w:hAnsi="Barlow Semi Condensed"/>
          <w:sz w:val="24"/>
          <w:szCs w:val="24"/>
        </w:rPr>
        <w:t xml:space="preserve"> — cioè l'esatto contrario, quanto a condotta documentata, della figura dell'infiltrato che la congetturistica gli ha voluto cucire addosso. Ciò non «prova» nulla oltre se stesso; ma è l'unico contatto Berio-servizi che una fonte istituzionale attesti, e dice quel che dice.</w:t>
      </w:r>
    </w:p>
    <w:p>
      <w:pPr>
        <w:spacing w:after="120" w:line="276"/>
        <w:jc w:val="both"/>
      </w:pPr>
      <w:r>
        <w:rPr>
          <w:rFonts w:ascii="Barlow Semi Condensed" w:cs="Barlow Semi Condensed" w:eastAsia="Barlow Semi Condensed" w:hAnsi="Barlow Semi Condensed"/>
          <w:b/>
          <w:bCs/>
          <w:sz w:val="24"/>
          <w:szCs w:val="24"/>
        </w:rPr>
        <w:t xml:space="preserve">Corrado Simioni.</w:t>
      </w:r>
      <w:r>
        <w:rPr>
          <w:rFonts w:ascii="Barlow Semi Condensed" w:cs="Barlow Semi Condensed" w:eastAsia="Barlow Semi Condensed" w:hAnsi="Barlow Semi Condensed"/>
          <w:sz w:val="24"/>
          <w:szCs w:val="24"/>
        </w:rPr>
        <w:t xml:space="preserve"> Ricercato dal giugno 1982, </w:t>
      </w:r>
      <w:r>
        <w:rPr>
          <w:rFonts w:ascii="Barlow Semi Condensed" w:cs="Barlow Semi Condensed" w:eastAsia="Barlow Semi Condensed" w:hAnsi="Barlow Semi Condensed"/>
          <w:b/>
          <w:bCs/>
          <w:sz w:val="24"/>
          <w:szCs w:val="24"/>
        </w:rPr>
        <w:t xml:space="preserve">non fu mai condannato</w:t>
      </w:r>
      <w:r>
        <w:rPr>
          <w:rFonts w:ascii="Barlow Semi Condensed" w:cs="Barlow Semi Condensed" w:eastAsia="Barlow Semi Condensed" w:hAnsi="Barlow Semi Condensed"/>
          <w:sz w:val="24"/>
          <w:szCs w:val="24"/>
        </w:rPr>
        <w:t xml:space="preserve">. La sua vita francese è documentata e pubblica: divenne </w:t>
      </w:r>
      <w:r>
        <w:rPr>
          <w:rFonts w:ascii="Barlow Semi Condensed" w:cs="Barlow Semi Condensed" w:eastAsia="Barlow Semi Condensed" w:hAnsi="Barlow Semi Condensed"/>
          <w:b/>
          <w:bCs/>
          <w:sz w:val="24"/>
          <w:szCs w:val="24"/>
        </w:rPr>
        <w:t xml:space="preserve">vicepresidente della Fondazione Abbé Pierre</w:t>
      </w:r>
      <w:r>
        <w:rPr>
          <w:rFonts w:ascii="Barlow Semi Condensed" w:cs="Barlow Semi Condensed" w:eastAsia="Barlow Semi Condensed" w:hAnsi="Barlow Semi Condensed"/>
          <w:sz w:val="24"/>
          <w:szCs w:val="24"/>
        </w:rPr>
        <w:t xml:space="preserve">, accompagnò l'Abbé nell'</w:t>
      </w:r>
      <w:r>
        <w:rPr>
          <w:rFonts w:ascii="Barlow Semi Condensed" w:cs="Barlow Semi Condensed" w:eastAsia="Barlow Semi Condensed" w:hAnsi="Barlow Semi Condensed"/>
          <w:b/>
          <w:bCs/>
          <w:sz w:val="24"/>
          <w:szCs w:val="24"/>
        </w:rPr>
        <w:t xml:space="preserve">udienza privata da Giovanni Paolo II del novembre 1992</w:t>
      </w:r>
      <w:r>
        <w:rPr>
          <w:rFonts w:ascii="Barlow Semi Condensed" w:cs="Barlow Semi Condensed" w:eastAsia="Barlow Semi Condensed" w:hAnsi="Barlow Semi Condensed"/>
          <w:sz w:val="24"/>
          <w:szCs w:val="24"/>
        </w:rPr>
        <w:t xml:space="preserve">, fu fatto </w:t>
      </w:r>
      <w:r>
        <w:rPr>
          <w:rFonts w:ascii="Barlow Semi Condensed" w:cs="Barlow Semi Condensed" w:eastAsia="Barlow Semi Condensed" w:hAnsi="Barlow Semi Condensed"/>
          <w:b/>
          <w:bCs/>
          <w:sz w:val="24"/>
          <w:szCs w:val="24"/>
        </w:rPr>
        <w:t xml:space="preserve">cavaliere della Repubblica francese nel 2001</w:t>
      </w:r>
      <w:r>
        <w:rPr>
          <w:rFonts w:ascii="Barlow Semi Condensed" w:cs="Barlow Semi Condensed" w:eastAsia="Barlow Semi Condensed" w:hAnsi="Barlow Semi Condensed"/>
          <w:sz w:val="24"/>
          <w:szCs w:val="24"/>
        </w:rPr>
        <w:t xml:space="preserve"> per l'impegno verso i senzatetto, e si ritirò infine nella campagna della Drôme, a Truinas, dove gestì un bed &amp; breakfast con la compagna e dove </w:t>
      </w:r>
      <w:r>
        <w:rPr>
          <w:rFonts w:ascii="Barlow Semi Condensed" w:cs="Barlow Semi Condensed" w:eastAsia="Barlow Semi Condensed" w:hAnsi="Barlow Semi Condensed"/>
          <w:b/>
          <w:bCs/>
          <w:sz w:val="24"/>
          <w:szCs w:val="24"/>
        </w:rPr>
        <w:t xml:space="preserve">morì nell'ottobre 2008</w:t>
      </w:r>
      <w:r>
        <w:rPr>
          <w:rFonts w:ascii="Barlow Semi Condensed" w:cs="Barlow Semi Condensed" w:eastAsia="Barlow Semi Condensed" w:hAnsi="Barlow Semi Condensed"/>
          <w:sz w:val="24"/>
          <w:szCs w:val="24"/>
        </w:rPr>
        <w:t xml:space="preserve"> (Wikipedia (https://it.wikipedia.org/wiki/Corrado_Simioni)). L'uomo che la memorialistica brigatista dipinse come il manovratore occulto del decennio chiuse la vita nella campagna francese, dopo trent'anni al servizio del più celebre prete degli straccivendoli d'Europa. Anche questo è un dato — e uno studio onesto lo riporta con lo stesso peso degli altri.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Fondatore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Percorso giudiziario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Vanni Mulinaris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Arresto 2/2/1982 (Udine), carcere, digiuni, domiciliari; campagna Abbé Pierre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Assoluzione con formula piena; risarcimento di 100 milioni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Duccio Berio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Mandato di cattura 17/6/1982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Assolto a Roma (1989) e a Venezia (1990)</w:t>
            </w:r>
            <w:r>
              <w:rPr>
                <w:rFonts w:ascii="Barlow Semi Condensed" w:cs="Barlow Semi Condensed" w:eastAsia="Barlow Semi Condensed" w:hAnsi="Barlow Semi Condensed"/>
                <w:sz w:val="20"/>
                <w:szCs w:val="20"/>
              </w:rPr>
              <w:t xml:space="preserve">; audito dalla Moro 2 (2015)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Corrado Simioni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Ricercato dal 17/6/1982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Mai condannato</w:t>
            </w:r>
            <w:r>
              <w:rPr>
                <w:rFonts w:ascii="Barlow Semi Condensed" w:cs="Barlow Semi Condensed" w:eastAsia="Barlow Semi Condensed" w:hAnsi="Barlow Semi Condensed"/>
                <w:sz w:val="20"/>
                <w:szCs w:val="20"/>
              </w:rPr>
              <w:t xml:space="preserve">; † Truinas, ottobre 2008</w:t>
            </w:r>
          </w:p>
        </w:tc>
      </w:tr>
    </w:tbl>
    <w:p>
      <w:pPr>
        <w:spacing w:after="80"/>
      </w:pPr>
    </w:p>
    <w:p>
      <w:pPr>
        <w:pStyle w:val="Heading1"/>
        <w:spacing w:after="120" w:before="240"/>
      </w:pPr>
      <w:r>
        <w:rPr>
          <w:rFonts w:ascii="Barlow Semi Condensed" w:cs="Barlow Semi Condensed" w:eastAsia="Barlow Semi Condensed" w:hAnsi="Barlow Semi Condensed"/>
          <w:sz w:val="24"/>
          <w:szCs w:val="24"/>
        </w:rPr>
        <w:t xml:space="preserve">Capitolo VII — Le suggestioni e i loro gradi</w:t>
      </w:r>
    </w:p>
    <w:p>
      <w:pPr>
        <w:spacing w:after="120" w:line="276"/>
        <w:jc w:val="both"/>
      </w:pPr>
      <w:r>
        <w:rPr>
          <w:rFonts w:ascii="Barlow Semi Condensed" w:cs="Barlow Semi Condensed" w:eastAsia="Barlow Semi Condensed" w:hAnsi="Barlow Semi Condensed"/>
          <w:sz w:val="24"/>
          <w:szCs w:val="24"/>
        </w:rPr>
        <w:t xml:space="preserve">Attorno al ceppo si addensano suggestioni potenti, ed è compito di questo capitolo pesarle una per una, perché è qui che la congetturistica ha sempre barato.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L'USIS e il «si dice» di Radio Free Europe</w:t>
      </w:r>
      <w:r>
        <w:rPr>
          <w:rFonts w:ascii="Barlow Semi Condensed" w:cs="Barlow Semi Condensed" w:eastAsia="Barlow Semi Condensed" w:hAnsi="Barlow Semi Condensed"/>
          <w:sz w:val="24"/>
          <w:szCs w:val="24"/>
        </w:rPr>
        <w:t xml:space="preserve"> → il lavoro all'USIS è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la voce su RFE è </w:t>
      </w:r>
      <w:r>
        <w:rPr>
          <w:rFonts w:ascii="Barlow Semi Condensed" w:cs="Barlow Semi Condensed" w:eastAsia="Barlow Semi Condensed" w:hAnsi="Barlow Semi Condensed"/>
          <w:b/>
          <w:bCs/>
          <w:sz w:val="24"/>
          <w:szCs w:val="24"/>
        </w:rPr>
        <w:t xml:space="preserve">riferita, non accertata</w:t>
      </w:r>
      <w:r>
        <w:rPr>
          <w:rFonts w:ascii="Barlow Semi Condensed" w:cs="Barlow Semi Condensed" w:eastAsia="Barlow Semi Condensed" w:hAnsi="Barlow Semi Condensed"/>
          <w:sz w:val="24"/>
          <w:szCs w:val="24"/>
        </w:rPr>
        <w:t xml:space="preserve">; la lettura di entrambi come «appartenenza ai servizi americani» è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 e comunque inerte, per la regola dell'opera.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memorialistica brigatista sul Superclan</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fonte di parte della scissione opposta (cap. IV).</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L'approccio SID del 1972 a Berio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(audizione parlamentare), e documenta un rifiuto messo per iscritto, non una collaborazione.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Via Nicotera, febbraio-estate 1978</w:t>
      </w:r>
      <w:r>
        <w:rPr>
          <w:rFonts w:ascii="Barlow Semi Condensed" w:cs="Barlow Semi Condensed" w:eastAsia="Barlow Semi Condensed" w:hAnsi="Barlow Semi Condensed"/>
          <w:sz w:val="24"/>
          <w:szCs w:val="24"/>
        </w:rPr>
        <w:t xml:space="preserve"> → coincidenza cronologica </w:t>
      </w:r>
      <w:r>
        <w:rPr>
          <w:rFonts w:ascii="Barlow Semi Condensed" w:cs="Barlow Semi Condensed" w:eastAsia="Barlow Semi Condensed" w:hAnsi="Barlow Semi Condensed"/>
          <w:b/>
          <w:bCs/>
          <w:sz w:val="24"/>
          <w:szCs w:val="24"/>
        </w:rPr>
        <w:t xml:space="preserve">non spiegata</w:t>
      </w:r>
      <w:r>
        <w:rPr>
          <w:rFonts w:ascii="Barlow Semi Condensed" w:cs="Barlow Semi Condensed" w:eastAsia="Barlow Semi Condensed" w:hAnsi="Barlow Semi Condensed"/>
          <w:sz w:val="24"/>
          <w:szCs w:val="24"/>
        </w:rPr>
        <w:t xml:space="preserve">; resta al grado assegnatole dalla triangolazione Hyperion. Una coincidenza non spiegata è un compito per la ricerca, non una prova per l'accusa.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L'ambiente Abbé Pierre</w:t>
      </w:r>
      <w:r>
        <w:rPr>
          <w:rFonts w:ascii="Barlow Semi Condensed" w:cs="Barlow Semi Condensed" w:eastAsia="Barlow Semi Condensed" w:hAnsi="Barlow Semi Condensed"/>
          <w:sz w:val="24"/>
          <w:szCs w:val="24"/>
        </w:rPr>
        <w:t xml:space="preserve"> → fatti pubblici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la difesa di Mulinaris, la vicepresidenza di Simioni, l'udienza papale del 1992. Chi volesse leggervi una «protezione» dovrebbe prima spiegare perché la solidarietà di un fondatore di comunità per i poveri verso un collaboratore che i tribunali avrebbero poi assolto con formula piena debba essere altro da ciò che appare: la difesa di un innocente.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 due tesi su Hyperion</w:t>
      </w:r>
      <w:r>
        <w:rPr>
          <w:rFonts w:ascii="Barlow Semi Condensed" w:cs="Barlow Semi Condensed" w:eastAsia="Barlow Semi Condensed" w:hAnsi="Barlow Semi Condensed"/>
          <w:sz w:val="24"/>
          <w:szCs w:val="24"/>
        </w:rPr>
        <w:t xml:space="preserve"> («centrale del terrorismo» / «centrale d'intelligence») → entrambe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con il criterio di smentita comune già fissato dal corpus: un documento primario che attesti direzione od organizzazione di attività armata (per la prima) o un rapporto organico con un servizio (per la seconda). Nessuno dei due documenti è mai emerso, in quarant'anni e in due Paesi.</w:t>
      </w:r>
    </w:p>
    <w:p>
      <w:pPr>
        <w:pStyle w:val="Heading1"/>
        <w:spacing w:after="120" w:before="240"/>
      </w:pPr>
      <w:r>
        <w:rPr>
          <w:rFonts w:ascii="Barlow Semi Condensed" w:cs="Barlow Semi Condensed" w:eastAsia="Barlow Semi Condensed" w:hAnsi="Barlow Semi Condensed"/>
          <w:sz w:val="24"/>
          <w:szCs w:val="24"/>
        </w:rPr>
        <w:t xml:space="preserve">Capitolo VIII — Anti-triangolazioni</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L'impiego non è appartenenza, e l'appartenenza non è condotta.</w:t>
      </w:r>
      <w:r>
        <w:rPr>
          <w:rFonts w:ascii="Barlow Semi Condensed" w:cs="Barlow Semi Condensed" w:eastAsia="Barlow Semi Condensed" w:hAnsi="Barlow Semi Condensed"/>
          <w:sz w:val="24"/>
          <w:szCs w:val="24"/>
        </w:rPr>
        <w:t xml:space="preserve"> Vale per l'USIS di Simioni come vale — nell'altra discendenza — per la militanza dei condannati: la regola è una sola, e si applica a tutti.</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scissione non è copertura.</w:t>
      </w:r>
      <w:r>
        <w:rPr>
          <w:rFonts w:ascii="Barlow Semi Condensed" w:cs="Barlow Semi Condensed" w:eastAsia="Barlow Semi Condensed" w:hAnsi="Barlow Semi Condensed"/>
          <w:sz w:val="24"/>
          <w:szCs w:val="24"/>
        </w:rPr>
        <w:t xml:space="preserve"> Che il Superclan sia nato contestando la scelta armata non «nasconde» nulla: è ciò che le fonti attestano, e coincide con l'esito giudiziario dei suoi uomini.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L'assoluzione non è un sospetto residuo.</w:t>
      </w:r>
      <w:r>
        <w:rPr>
          <w:rFonts w:ascii="Barlow Semi Condensed" w:cs="Barlow Semi Condensed" w:eastAsia="Barlow Semi Condensed" w:hAnsi="Barlow Semi Condensed"/>
          <w:sz w:val="24"/>
          <w:szCs w:val="24"/>
        </w:rPr>
        <w:t xml:space="preserve"> La formula «fu assolto, ma…» è bandita da questo studio: Mulinaris fu assolto </w:t>
      </w:r>
      <w:r>
        <w:rPr>
          <w:rFonts w:ascii="Barlow Semi Condensed" w:cs="Barlow Semi Condensed" w:eastAsia="Barlow Semi Condensed" w:hAnsi="Barlow Semi Condensed"/>
          <w:i/>
          <w:iCs/>
          <w:sz w:val="24"/>
          <w:szCs w:val="24"/>
        </w:rPr>
        <w:t xml:space="preserve">e risarcito</w:t>
      </w:r>
      <w:r>
        <w:rPr>
          <w:rFonts w:ascii="Barlow Semi Condensed" w:cs="Barlow Semi Condensed" w:eastAsia="Barlow Semi Condensed" w:hAnsi="Barlow Semi Condensed"/>
          <w:sz w:val="24"/>
          <w:szCs w:val="24"/>
        </w:rPr>
        <w:t xml:space="preserve">; Berio fu assolto due volte; Simioni mai processato a condanna. Il «ma» è il contrabbando della colpa d'appartenenza sotto altro nome.</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La coincidenza non è nesso.</w:t>
      </w:r>
      <w:r>
        <w:rPr>
          <w:rFonts w:ascii="Barlow Semi Condensed" w:cs="Barlow Semi Condensed" w:eastAsia="Barlow Semi Condensed" w:hAnsi="Barlow Semi Condensed"/>
          <w:sz w:val="24"/>
          <w:szCs w:val="24"/>
        </w:rPr>
        <w:t xml:space="preserve"> Via Nicotera resta ciò che è: una domanda aperta, censita al suo grado.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Il paragone fra le due discendenze non è equazione.</w:t>
      </w:r>
      <w:r>
        <w:rPr>
          <w:rFonts w:ascii="Barlow Semi Condensed" w:cs="Barlow Semi Condensed" w:eastAsia="Barlow Semi Condensed" w:hAnsi="Barlow Semi Condensed"/>
          <w:sz w:val="24"/>
          <w:szCs w:val="24"/>
        </w:rPr>
        <w:t xml:space="preserve"> Tredici condannati da una parte, tre prosciolti dall'altra: il ceppo comune non trasferisce nulla nell'una direzione né nell'altra. Ogni persona ha il suo fascicolo; ogni fascicolo il suo esito.</w:t>
      </w:r>
    </w:p>
    <w:p>
      <w:pPr>
        <w:pStyle w:val="Heading1"/>
        <w:spacing w:after="120" w:before="240"/>
      </w:pPr>
      <w:r>
        <w:rPr>
          <w:rFonts w:ascii="Barlow Semi Condensed" w:cs="Barlow Semi Condensed" w:eastAsia="Barlow Semi Condensed" w:hAnsi="Barlow Semi Condensed"/>
          <w:sz w:val="24"/>
          <w:szCs w:val="24"/>
        </w:rPr>
        <w:t xml:space="preserve">Capitolo IX — Chiusura: la terza strada</w:t>
      </w:r>
    </w:p>
    <w:p>
      <w:pPr>
        <w:spacing w:after="120" w:line="276"/>
        <w:jc w:val="both"/>
      </w:pPr>
      <w:r>
        <w:rPr>
          <w:rFonts w:ascii="Barlow Semi Condensed" w:cs="Barlow Semi Condensed" w:eastAsia="Barlow Semi Condensed" w:hAnsi="Barlow Semi Condensed"/>
          <w:sz w:val="24"/>
          <w:szCs w:val="24"/>
        </w:rPr>
        <w:t xml:space="preserve">Il corpus aveva già dato un nome alla matrice milanese del 1969-70: </w:t>
      </w:r>
      <w:r>
        <w:rPr>
          <w:rFonts w:ascii="Barlow Semi Condensed" w:cs="Barlow Semi Condensed" w:eastAsia="Barlow Semi Condensed" w:hAnsi="Barlow Semi Condensed"/>
          <w:b/>
          <w:bCs/>
          <w:sz w:val="24"/>
          <w:szCs w:val="24"/>
        </w:rPr>
        <w:t xml:space="preserve">stesso ceppo, tre strade</w:t>
      </w:r>
      <w:r>
        <w:rPr>
          <w:rFonts w:ascii="Barlow Semi Condensed" w:cs="Barlow Semi Condensed" w:eastAsia="Barlow Semi Condensed" w:hAnsi="Barlow Semi Condensed"/>
          <w:sz w:val="24"/>
          <w:szCs w:val="24"/>
        </w:rPr>
        <w:t xml:space="preserve"> — i GAP di Feltrinelli, le BR di Curcio, il Superclan di Simioni. Le prime due strade il corpus le ha percorse fino in fondo: la prima finì a Segrate nel marzo 1972, la seconda nel registro dei tredici. Questo studio ha percorso la terza, ed essa finisce in un luogo che nessuna dietrologia aveva previsto: </w:t>
      </w:r>
      <w:r>
        <w:rPr>
          <w:rFonts w:ascii="Barlow Semi Condensed" w:cs="Barlow Semi Condensed" w:eastAsia="Barlow Semi Condensed" w:hAnsi="Barlow Semi Condensed"/>
          <w:b/>
          <w:bCs/>
          <w:sz w:val="24"/>
          <w:szCs w:val="24"/>
        </w:rPr>
        <w:t xml:space="preserve">nelle aule che assolvono, e a Emmaus</w:t>
      </w:r>
      <w:r>
        <w:rPr>
          <w:rFonts w:ascii="Barlow Semi Condensed" w:cs="Barlow Semi Condensed" w:eastAsia="Barlow Semi Condensed" w:hAnsi="Barlow Semi Condensed"/>
          <w:sz w:val="24"/>
          <w:szCs w:val="24"/>
        </w:rPr>
        <w:t xml:space="preserve">. Non perché la storia sia edificante — non lo è: in mezzo ci sono anni di carcere ingiusto, digiuni, una scuola marchiata da un sospetto mai provato, tre vite segnate — ma perché è </w:t>
      </w:r>
      <w:r>
        <w:rPr>
          <w:rFonts w:ascii="Barlow Semi Condensed" w:cs="Barlow Semi Condensed" w:eastAsia="Barlow Semi Condensed" w:hAnsi="Barlow Semi Condensed"/>
          <w:b/>
          <w:bCs/>
          <w:sz w:val="24"/>
          <w:szCs w:val="24"/>
        </w:rPr>
        <w:t xml:space="preserve">così che finì</w:t>
      </w:r>
      <w:r>
        <w:rPr>
          <w:rFonts w:ascii="Barlow Semi Condensed" w:cs="Barlow Semi Condensed" w:eastAsia="Barlow Semi Condensed" w:hAnsi="Barlow Semi Condensed"/>
          <w:sz w:val="24"/>
          <w:szCs w:val="24"/>
        </w:rPr>
        <w:t xml:space="preserve">, e il mestiere di quest'opera è scrivere come finì.</w:t>
      </w:r>
    </w:p>
    <w:p>
      <w:pPr>
        <w:spacing w:after="120" w:line="276"/>
        <w:jc w:val="both"/>
      </w:pPr>
      <w:r>
        <w:rPr>
          <w:rFonts w:ascii="Barlow Semi Condensed" w:cs="Barlow Semi Condensed" w:eastAsia="Barlow Semi Condensed" w:hAnsi="Barlow Semi Condensed"/>
          <w:sz w:val="24"/>
          <w:szCs w:val="24"/>
        </w:rPr>
        <w:t xml:space="preserve">Resta il ceppo, come oggetto storico vero: una generazione che nelle stesse stanze del 1969 covò insieme la rivoluzione, e poi si divise fra chi sparò, chi armò, e chi — assolto da ogni accusa — insegnò lingue e servì i poveri. La guerra senza fine passa anche di qui: nella tentazione, mai spenta, di ricondurre le tre strade a una regia sola. Quarant'anni di indagini in due Paesi non l'hanno trovata. Finché non emerga il documento che i criteri di smentita esigono, la regia unica resta ciò che è sempre stata: </w:t>
      </w:r>
      <w:r>
        <w:rPr>
          <w:rFonts w:ascii="Barlow Semi Condensed" w:cs="Barlow Semi Condensed" w:eastAsia="Barlow Semi Condensed" w:hAnsi="Barlow Semi Condensed"/>
          <w:b/>
          <w:bCs/>
          <w:sz w:val="24"/>
          <w:szCs w:val="24"/>
        </w:rPr>
        <w:t xml:space="preserve">una congettura</w:t>
      </w:r>
      <w:r>
        <w:rPr>
          <w:rFonts w:ascii="Barlow Semi Condensed" w:cs="Barlow Semi Condensed" w:eastAsia="Barlow Semi Condensed" w:hAnsi="Barlow Semi Condensed"/>
          <w:sz w:val="24"/>
          <w:szCs w:val="24"/>
        </w:rPr>
        <w:t xml:space="preserve"> — e le persone della terza strada restano ciò che i tribunali hanno detto: </w:t>
      </w:r>
      <w:r>
        <w:rPr>
          <w:rFonts w:ascii="Barlow Semi Condensed" w:cs="Barlow Semi Condensed" w:eastAsia="Barlow Semi Condensed" w:hAnsi="Barlow Semi Condensed"/>
          <w:b/>
          <w:bCs/>
          <w:sz w:val="24"/>
          <w:szCs w:val="24"/>
        </w:rPr>
        <w:t xml:space="preserve">innocenti</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Studio monografico sul ceppo Simioni: la discendenza CPM → Superclan → Hyperion. Complemento della triangolazione Hyperion (di cui assume i nodi e i gradi senza ripeterli) e specchio della Fase decima (il registro dei prosciolti accanto al registro dei condannati, con la stessa disciplina personalistica). Ogni dato biografico e giudiziario è stato verificato su fonti prima della stesura, con gli indirizzi nel testo; le divergenze (1976/1977 per la fondazione di Hyperion) sono riportate e non risolte; le voci non accertate sono marcate come tali. Presunzione d'innocenza piena e nominale; nessuna tesi promossa oltre il grado C; il «fu assolto, ma» è bandito.</w:t>
      </w:r>
    </w:p>
    <w:p>
      <w:pPr>
        <w:pStyle w:val="Heading3"/>
        <w:spacing w:after="80" w:before="240"/>
      </w:pPr>
      <w:r>
        <w:rPr>
          <w:rFonts w:ascii="Barlow Semi Condensed" w:cs="Barlow Semi Condensed" w:eastAsia="Barlow Semi Condensed" w:hAnsi="Barlow Semi Condensed"/>
          <w:sz w:val="24"/>
          <w:szCs w:val="24"/>
        </w:rPr>
        <w:t xml:space="preserve">Apparato grafico — Libro quinto · Il ceppo Simioni: la terza strada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V: 2.496 parole in 4 sezioni; la più ampia è §3 Segmento 3, con 757.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quinto · V: 12 indirizzi di fonte citati, addensati in 2 sezioni su 4.</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sesto — Il filo del 1926 — I. Il Tribunale Speciale: l'istituzione</w:t>
      </w:r>
    </w:p>
    <w:p>
      <w:pPr>
        <w:pStyle w:val="Heading1"/>
        <w:spacing w:after="120" w:before="240"/>
      </w:pPr>
      <w:r>
        <w:rPr>
          <w:rFonts w:ascii="Barlow Semi Condensed" w:cs="Barlow Semi Condensed" w:eastAsia="Barlow Semi Condensed" w:hAnsi="Barlow Semi Condensed"/>
          <w:sz w:val="24"/>
          <w:szCs w:val="24"/>
        </w:rPr>
        <w:t xml:space="preserve">Il Tribunale Speciale per la Difesa dello Stato (1926-1943): storia di un'istituzione</w:t>
      </w:r>
    </w:p>
    <w:p>
      <w:pPr>
        <w:spacing w:after="120" w:line="276"/>
        <w:jc w:val="both"/>
      </w:pPr>
      <w:r>
        <w:rPr>
          <w:rFonts w:ascii="Barlow Semi Condensed" w:cs="Barlow Semi Condensed" w:eastAsia="Barlow Semi Condensed" w:hAnsi="Barlow Semi Condensed"/>
          <w:i/>
          <w:iCs/>
          <w:sz w:val="24"/>
          <w:szCs w:val="24"/>
        </w:rPr>
        <w:t xml:space="preserve">Studio storico — 24 agosto 2026 · Chiude il cerchio con il primo documento del branch</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disciplina.</w:t>
      </w:r>
      <w:r>
        <w:rPr>
          <w:rFonts w:ascii="Barlow Semi Condensed" w:cs="Barlow Semi Condensed" w:eastAsia="Barlow Semi Condensed" w:hAnsi="Barlow Semi Condensed"/>
          <w:i w:val="false"/>
          <w:iCs w:val="false"/>
          <w:sz w:val="24"/>
          <w:szCs w:val="24"/>
        </w:rPr>
        <w:t xml:space="preserve"> Questo branch è nato da un elenco: gli amnistiati del Tribunale Speciale censiti nell'archivio bolognese (</w:t>
      </w:r>
      <w:r>
        <w:rPr>
          <w:rFonts w:ascii="Barlow Semi Condensed" w:cs="Barlow Semi Condensed" w:eastAsia="Barlow Semi Condensed" w:hAnsi="Barlow Semi Condensed"/>
          <w:i w:val="false"/>
          <w:iCs w:val="false"/>
          <w:sz w:val="24"/>
          <w:szCs w:val="24"/>
        </w:rPr>
        <w:t xml:space="preserve">amnistiati-tribunale-speciale.md</w:t>
      </w:r>
      <w:r>
        <w:rPr>
          <w:rFonts w:ascii="Barlow Semi Condensed" w:cs="Barlow Semi Condensed" w:eastAsia="Barlow Semi Condensed" w:hAnsi="Barlow Semi Condensed"/>
          <w:i w:val="false"/>
          <w:iCs w:val="false"/>
          <w:sz w:val="24"/>
          <w:szCs w:val="24"/>
        </w:rPr>
        <w:t xml:space="preserve">). Quell'elenco nominava le persone; questo studio ricostruisce </w:t>
      </w:r>
      <w:r>
        <w:rPr>
          <w:rFonts w:ascii="Barlow Semi Condensed" w:cs="Barlow Semi Condensed" w:eastAsia="Barlow Semi Condensed" w:hAnsi="Barlow Semi Condensed"/>
          <w:b/>
          <w:bCs/>
          <w:i w:val="false"/>
          <w:iCs w:val="false"/>
          <w:sz w:val="24"/>
          <w:szCs w:val="24"/>
        </w:rPr>
        <w:t xml:space="preserve">l'istituzione</w:t>
      </w:r>
      <w:r>
        <w:rPr>
          <w:rFonts w:ascii="Barlow Semi Condensed" w:cs="Barlow Semi Condensed" w:eastAsia="Barlow Semi Condensed" w:hAnsi="Barlow Semi Condensed"/>
          <w:i w:val="false"/>
          <w:iCs w:val="false"/>
          <w:sz w:val="24"/>
          <w:szCs w:val="24"/>
        </w:rPr>
        <w:t xml:space="preserve"> che le colpì — la legge che la creò, la sua struttura e procedura, i numeri della repressione, i processi celebri, le amnistie che la accompagnarono, la fine e l'eredità costituzionale. Vale la Regola di Ferro del corpus: ogni cifra e ogni data qui riportata è riscontrata su fonti indipendenti citate (ANPPIA, ANPI, Archivio Centrale dello Stato, storiografia); dove le fonti divergono, la divergenza è dichiarata. Ricostruzione storica: né apologia né uso politico retroattivo.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La legge: novembre 1926, le «leggi eccezionali»</w:t>
      </w:r>
    </w:p>
    <w:p>
      <w:pPr>
        <w:spacing w:after="120" w:line="276"/>
        <w:jc w:val="both"/>
      </w:pPr>
      <w:r>
        <w:rPr>
          <w:rFonts w:ascii="Barlow Semi Condensed" w:cs="Barlow Semi Condensed" w:eastAsia="Barlow Semi Condensed" w:hAnsi="Barlow Semi Condensed"/>
          <w:sz w:val="24"/>
          <w:szCs w:val="24"/>
        </w:rPr>
        <w:t xml:space="preserve">Il Tribunale Speciale nacque dentro la stretta finale della dittatura. Nel 1926 Mussolini era scampato a una serie di attentati; dopo l'ultimo — il colpo di pistola attribuito al quindicenne Anteo Zamboni a Bologna, il 31 ottobre 1926, seguito dal linciaggio del ragazzo — il regime varò in poche settimane le cosiddette </w:t>
      </w:r>
      <w:r>
        <w:rPr>
          <w:rFonts w:ascii="Barlow Semi Condensed" w:cs="Barlow Semi Condensed" w:eastAsia="Barlow Semi Condensed" w:hAnsi="Barlow Semi Condensed"/>
          <w:b/>
          <w:bCs/>
          <w:sz w:val="24"/>
          <w:szCs w:val="24"/>
        </w:rPr>
        <w:t xml:space="preserve">«leggi eccezionali» o «fascistissime»</w:t>
      </w:r>
      <w:r>
        <w:rPr>
          <w:rFonts w:ascii="Barlow Semi Condensed" w:cs="Barlow Semi Condensed" w:eastAsia="Barlow Semi Condensed" w:hAnsi="Barlow Semi Condensed"/>
          <w:sz w:val="24"/>
          <w:szCs w:val="24"/>
        </w:rPr>
        <w:t xml:space="preserve">: scioglimento dei partiti, soppressione della stampa d'opposizione, decadenza dei deputati aventiniani, istituzione del confino di polizia.</w:t>
      </w:r>
    </w:p>
    <w:p>
      <w:pPr>
        <w:spacing w:after="120" w:line="276"/>
        <w:jc w:val="both"/>
      </w:pPr>
      <w:r>
        <w:rPr>
          <w:rFonts w:ascii="Barlow Semi Condensed" w:cs="Barlow Semi Condensed" w:eastAsia="Barlow Semi Condensed" w:hAnsi="Barlow Semi Condensed"/>
          <w:sz w:val="24"/>
          <w:szCs w:val="24"/>
        </w:rPr>
        <w:t xml:space="preserve">Il vertice dell'edificio fu la </w:t>
      </w:r>
      <w:r>
        <w:rPr>
          <w:rFonts w:ascii="Barlow Semi Condensed" w:cs="Barlow Semi Condensed" w:eastAsia="Barlow Semi Condensed" w:hAnsi="Barlow Semi Condensed"/>
          <w:b/>
          <w:bCs/>
          <w:sz w:val="24"/>
          <w:szCs w:val="24"/>
        </w:rPr>
        <w:t xml:space="preserve">legge 25 novembre 1926, n. 2008</w:t>
      </w:r>
      <w:r>
        <w:rPr>
          <w:rFonts w:ascii="Barlow Semi Condensed" w:cs="Barlow Semi Condensed" w:eastAsia="Barlow Semi Condensed" w:hAnsi="Barlow Semi Condensed"/>
          <w:sz w:val="24"/>
          <w:szCs w:val="24"/>
        </w:rPr>
        <w:t xml:space="preserve"> («Provvedimenti per la difesa dello Stato»), completata dal regolamento di attuazione di dicembre (Archivio Centrale dello Stato (https://search.acs.beniculturali.it/OpacACS/authority/IT-ACS-SP00001-00000424); Wikipedia IT (https://it.wikipedia.org/wiki/Tribunale_speciale_per_la_difesa_dello_Stato_(1926-1943))). La legge fece due cose insieme, e vanno tenute distinte perché misurano la rottura giuridica: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Reintrodusse la pena di morte</w:t>
      </w:r>
      <w:r>
        <w:rPr>
          <w:rFonts w:ascii="Barlow Semi Condensed" w:cs="Barlow Semi Condensed" w:eastAsia="Barlow Semi Condensed" w:hAnsi="Barlow Semi Condensed"/>
          <w:sz w:val="24"/>
          <w:szCs w:val="24"/>
        </w:rPr>
        <w:t xml:space="preserve"> per i delitti politici — che lo Stato liberale aveva abolito con il codice Zanardelli del 1889 — e creò nuove fattispecie (ricostituzione di partiti disciolti, propaganda sovversiva, espatrio clandestino aggravato).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Istituì un giudice speciale</w:t>
      </w:r>
      <w:r>
        <w:rPr>
          <w:rFonts w:ascii="Barlow Semi Condensed" w:cs="Barlow Semi Condensed" w:eastAsia="Barlow Semi Condensed" w:hAnsi="Barlow Semi Condensed"/>
          <w:sz w:val="24"/>
          <w:szCs w:val="24"/>
        </w:rPr>
        <w:t xml:space="preserve"> per giudicarli: il Tribunale Speciale per la Difesa dello Stato, previsto in origine come </w:t>
      </w:r>
      <w:r>
        <w:rPr>
          <w:rFonts w:ascii="Barlow Semi Condensed" w:cs="Barlow Semi Condensed" w:eastAsia="Barlow Semi Condensed" w:hAnsi="Barlow Semi Condensed"/>
          <w:b/>
          <w:bCs/>
          <w:sz w:val="24"/>
          <w:szCs w:val="24"/>
        </w:rPr>
        <w:t xml:space="preserve">temporaneo</w:t>
      </w:r>
      <w:r>
        <w:rPr>
          <w:rFonts w:ascii="Barlow Semi Condensed" w:cs="Barlow Semi Condensed" w:eastAsia="Barlow Semi Condensed" w:hAnsi="Barlow Semi Condensed"/>
          <w:sz w:val="24"/>
          <w:szCs w:val="24"/>
        </w:rPr>
        <w:t xml:space="preserve"> (cinque anni) e poi </w:t>
      </w:r>
      <w:r>
        <w:rPr>
          <w:rFonts w:ascii="Barlow Semi Condensed" w:cs="Barlow Semi Condensed" w:eastAsia="Barlow Semi Condensed" w:hAnsi="Barlow Semi Condensed"/>
          <w:b/>
          <w:bCs/>
          <w:sz w:val="24"/>
          <w:szCs w:val="24"/>
        </w:rPr>
        <w:t xml:space="preserve">prorogato ripetutamente</w:t>
      </w:r>
      <w:r>
        <w:rPr>
          <w:rFonts w:ascii="Barlow Semi Condensed" w:cs="Barlow Semi Condensed" w:eastAsia="Barlow Semi Condensed" w:hAnsi="Barlow Semi Condensed"/>
          <w:sz w:val="24"/>
          <w:szCs w:val="24"/>
        </w:rPr>
        <w:t xml:space="preserve"> fino a diventare organo permanente della dittatura, operativo dal </w:t>
      </w:r>
      <w:r>
        <w:rPr>
          <w:rFonts w:ascii="Barlow Semi Condensed" w:cs="Barlow Semi Condensed" w:eastAsia="Barlow Semi Condensed" w:hAnsi="Barlow Semi Condensed"/>
          <w:b/>
          <w:bCs/>
          <w:sz w:val="24"/>
          <w:szCs w:val="24"/>
        </w:rPr>
        <w:t xml:space="preserve">febbraio 1927</w:t>
      </w:r>
      <w:r>
        <w:rPr>
          <w:rFonts w:ascii="Barlow Semi Condensed" w:cs="Barlow Semi Condensed" w:eastAsia="Barlow Semi Condensed" w:hAnsi="Barlow Semi Condensed"/>
          <w:sz w:val="24"/>
          <w:szCs w:val="24"/>
        </w:rPr>
        <w:t xml:space="preserve"> al </w:t>
      </w:r>
      <w:r>
        <w:rPr>
          <w:rFonts w:ascii="Barlow Semi Condensed" w:cs="Barlow Semi Condensed" w:eastAsia="Barlow Semi Condensed" w:hAnsi="Barlow Semi Condensed"/>
          <w:b/>
          <w:bCs/>
          <w:sz w:val="24"/>
          <w:szCs w:val="24"/>
        </w:rPr>
        <w:t xml:space="preserve">luglio 1943</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temporaneità dichiarata e la permanenza di fatto sono il primo dato istituzionale: lo strumento «eccezionale» che diventa ordinario è la firma degli stati d'eccezione consolidati.</w:t>
      </w:r>
    </w:p>
    <w:p>
      <w:pPr>
        <w:pStyle w:val="Heading2"/>
        <w:spacing w:after="100" w:before="200"/>
      </w:pPr>
      <w:r>
        <w:rPr>
          <w:rFonts w:ascii="Barlow Semi Condensed" w:cs="Barlow Semi Condensed" w:eastAsia="Barlow Semi Condensed" w:hAnsi="Barlow Semi Condensed"/>
          <w:sz w:val="24"/>
          <w:szCs w:val="24"/>
        </w:rPr>
        <w:t xml:space="preserve">II. Struttura e procedura: un tribunale di guerra in tempo di pace</w:t>
      </w:r>
    </w:p>
    <w:p>
      <w:pPr>
        <w:spacing w:after="120" w:line="276"/>
        <w:jc w:val="both"/>
      </w:pPr>
      <w:r>
        <w:rPr>
          <w:rFonts w:ascii="Barlow Semi Condensed" w:cs="Barlow Semi Condensed" w:eastAsia="Barlow Semi Condensed" w:hAnsi="Barlow Semi Condensed"/>
          <w:sz w:val="24"/>
          <w:szCs w:val="24"/>
        </w:rPr>
        <w:t xml:space="preserve">La natura dell'organo sta tutta nella sua composizione e nel suo rito. Il Tribunale — con sede a Roma — era </w:t>
      </w:r>
      <w:r>
        <w:rPr>
          <w:rFonts w:ascii="Barlow Semi Condensed" w:cs="Barlow Semi Condensed" w:eastAsia="Barlow Semi Condensed" w:hAnsi="Barlow Semi Condensed"/>
          <w:b/>
          <w:bCs/>
          <w:sz w:val="24"/>
          <w:szCs w:val="24"/>
        </w:rPr>
        <w:t xml:space="preserve">presieduto da un ufficiale superiore</w:t>
      </w:r>
      <w:r>
        <w:rPr>
          <w:rFonts w:ascii="Barlow Semi Condensed" w:cs="Barlow Semi Condensed" w:eastAsia="Barlow Semi Condensed" w:hAnsi="Barlow Semi Condensed"/>
          <w:sz w:val="24"/>
          <w:szCs w:val="24"/>
        </w:rPr>
        <w:t xml:space="preserve"> delle forze armate o della Milizia, e i suoi </w:t>
      </w:r>
      <w:r>
        <w:rPr>
          <w:rFonts w:ascii="Barlow Semi Condensed" w:cs="Barlow Semi Condensed" w:eastAsia="Barlow Semi Condensed" w:hAnsi="Barlow Semi Condensed"/>
          <w:b/>
          <w:bCs/>
          <w:sz w:val="24"/>
          <w:szCs w:val="24"/>
        </w:rPr>
        <w:t xml:space="preserve">giudici erano consoli della Milizia Volontaria per la Sicurezza Nazionale</w:t>
      </w:r>
      <w:r>
        <w:rPr>
          <w:rFonts w:ascii="Barlow Semi Condensed" w:cs="Barlow Semi Condensed" w:eastAsia="Barlow Semi Condensed" w:hAnsi="Barlow Semi Condensed"/>
          <w:sz w:val="24"/>
          <w:szCs w:val="24"/>
        </w:rPr>
        <w:t xml:space="preserve">: cioè ufficiali del partito armato, non magistrati ordinari (ANPPIA (https://anppia.it/il-tribunale-speciale/); ANPI, Promemoria (https://promemoria.anpi.it/2656-2/)). Applicava il </w:t>
      </w:r>
      <w:r>
        <w:rPr>
          <w:rFonts w:ascii="Barlow Semi Condensed" w:cs="Barlow Semi Condensed" w:eastAsia="Barlow Semi Condensed" w:hAnsi="Barlow Semi Condensed"/>
          <w:b/>
          <w:bCs/>
          <w:sz w:val="24"/>
          <w:szCs w:val="24"/>
        </w:rPr>
        <w:t xml:space="preserve">codice penale militare di guerra</w:t>
      </w:r>
      <w:r>
        <w:rPr>
          <w:rFonts w:ascii="Barlow Semi Condensed" w:cs="Barlow Semi Condensed" w:eastAsia="Barlow Semi Condensed" w:hAnsi="Barlow Semi Condensed"/>
          <w:sz w:val="24"/>
          <w:szCs w:val="24"/>
        </w:rPr>
        <w:t xml:space="preserve"> — in tempo di pace e a civili — con ciò che ne conseguiva: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istruttoria</w:t>
      </w:r>
      <w:r>
        <w:rPr>
          <w:rFonts w:ascii="Barlow Semi Condensed" w:cs="Barlow Semi Condensed" w:eastAsia="Barlow Semi Condensed" w:hAnsi="Barlow Semi Condensed"/>
          <w:sz w:val="24"/>
          <w:szCs w:val="24"/>
        </w:rPr>
        <w:t xml:space="preserve"> affidata di fatto alla polizia politica (dal 1927 l'OVRA), con la confessione e la delazione come architravi probatorie;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rito militare</w:t>
      </w:r>
      <w:r>
        <w:rPr>
          <w:rFonts w:ascii="Barlow Semi Condensed" w:cs="Barlow Semi Condensed" w:eastAsia="Barlow Semi Condensed" w:hAnsi="Barlow Semi Condensed"/>
          <w:sz w:val="24"/>
          <w:szCs w:val="24"/>
        </w:rPr>
        <w:t xml:space="preserve"> sommario, difesa fortemente compressa;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sentenze inappellabili</w:t>
      </w:r>
      <w:r>
        <w:rPr>
          <w:rFonts w:ascii="Barlow Semi Condensed" w:cs="Barlow Semi Condensed" w:eastAsia="Barlow Semi Condensed" w:hAnsi="Barlow Semi Condensed"/>
          <w:sz w:val="24"/>
          <w:szCs w:val="24"/>
        </w:rPr>
        <w:t xml:space="preserve">: nessun appello, nessun ricorso in Cassazione;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pene accessorie</w:t>
      </w:r>
      <w:r>
        <w:rPr>
          <w:rFonts w:ascii="Barlow Semi Condensed" w:cs="Barlow Semi Condensed" w:eastAsia="Barlow Semi Condensed" w:hAnsi="Barlow Semi Condensed"/>
          <w:sz w:val="24"/>
          <w:szCs w:val="24"/>
        </w:rPr>
        <w:t xml:space="preserve"> sistematiche: interdizione perpetua dai pubblici uffici, vigilanza speciale, possibili misure sui beni.</w:t>
      </w:r>
    </w:p>
    <w:p>
      <w:pPr>
        <w:spacing w:after="120" w:line="276"/>
        <w:jc w:val="both"/>
      </w:pPr>
      <w:r>
        <w:rPr>
          <w:rFonts w:ascii="Barlow Semi Condensed" w:cs="Barlow Semi Condensed" w:eastAsia="Barlow Semi Condensed" w:hAnsi="Barlow Semi Condensed"/>
          <w:sz w:val="24"/>
          <w:szCs w:val="24"/>
        </w:rPr>
        <w:t xml:space="preserve">Un tribunale di guerra permanente contro il nemico interno: questa è la definizione tecnica dell'istituto, ed è la ragione per cui la Costituente, vent'anni dopo, ne farà il negativo fotografico della propria giurisdizione.</w:t>
      </w:r>
    </w:p>
    <w:p>
      <w:pPr>
        <w:pStyle w:val="Heading2"/>
        <w:spacing w:after="100" w:before="200"/>
      </w:pPr>
      <w:r>
        <w:rPr>
          <w:rFonts w:ascii="Barlow Semi Condensed" w:cs="Barlow Semi Condensed" w:eastAsia="Barlow Semi Condensed" w:hAnsi="Barlow Semi Condensed"/>
          <w:sz w:val="24"/>
          <w:szCs w:val="24"/>
        </w:rPr>
        <w:t xml:space="preserve">III. I numeri della repressione (1927-1943)</w:t>
      </w:r>
    </w:p>
    <w:p>
      <w:pPr>
        <w:spacing w:after="120" w:line="276"/>
        <w:jc w:val="both"/>
      </w:pPr>
      <w:r>
        <w:rPr>
          <w:rFonts w:ascii="Barlow Semi Condensed" w:cs="Barlow Semi Condensed" w:eastAsia="Barlow Semi Condensed" w:hAnsi="Barlow Semi Condensed"/>
          <w:sz w:val="24"/>
          <w:szCs w:val="24"/>
        </w:rPr>
        <w:t xml:space="preserve">Le cifre consolidate della storiografia (censimento ANPPIA / Dal Pont, riprese dalle voci d'archivio) sono le seguenti (ANPPIA (https://anppia.it/il-tribunale-speciale/); Wikipedia IT (https://it.wikipedia.org/wiki/Tribunale_speciale_per_la_difesa_dello_Stato_(1926-1943)); ANPI (https://www.anpi.it/libri/il-tribunale-speciale-la-difesa-dello-stato)):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Voce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Cifra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Deferiti al Tribunale (1926-1943)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15.806</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Giudicati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5.619-5.620</w:t>
            </w:r>
            <w:r>
              <w:rPr>
                <w:rFonts w:ascii="Barlow Semi Condensed" w:cs="Barlow Semi Condensed" w:eastAsia="Barlow Semi Condensed" w:hAnsi="Barlow Semi Condensed"/>
                <w:sz w:val="20"/>
                <w:szCs w:val="20"/>
              </w:rPr>
              <w:t xml:space="preserve"> (le fonti oscillano di un'unità)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Condannati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4.596</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Monte complessivo di reclusione comminata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27.752 anni, 5 mesi e 19 giorni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Ergastoli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Condanne a morte pronunciate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42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Condanne a morte eseguite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31</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Dietro le cifre, tre fatti che le qualificano: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prima esecuzione</w:t>
      </w:r>
      <w:r>
        <w:rPr>
          <w:rFonts w:ascii="Barlow Semi Condensed" w:cs="Barlow Semi Condensed" w:eastAsia="Barlow Semi Condensed" w:hAnsi="Barlow Semi Condensed"/>
          <w:sz w:val="24"/>
          <w:szCs w:val="24"/>
        </w:rPr>
        <w:t xml:space="preserve"> fu quella di </w:t>
      </w:r>
      <w:r>
        <w:rPr>
          <w:rFonts w:ascii="Barlow Semi Condensed" w:cs="Barlow Semi Condensed" w:eastAsia="Barlow Semi Condensed" w:hAnsi="Barlow Semi Condensed"/>
          <w:b/>
          <w:bCs/>
          <w:sz w:val="24"/>
          <w:szCs w:val="24"/>
        </w:rPr>
        <w:t xml:space="preserve">Michele Della Maggiora</w:t>
      </w:r>
      <w:r>
        <w:rPr>
          <w:rFonts w:ascii="Barlow Semi Condensed" w:cs="Barlow Semi Condensed" w:eastAsia="Barlow Semi Condensed" w:hAnsi="Barlow Semi Condensed"/>
          <w:sz w:val="24"/>
          <w:szCs w:val="24"/>
        </w:rPr>
        <w:t xml:space="preserve">, bracciante comunista toscano: condannato a morte il 17 ottobre 1928 e </w:t>
      </w:r>
      <w:r>
        <w:rPr>
          <w:rFonts w:ascii="Barlow Semi Condensed" w:cs="Barlow Semi Condensed" w:eastAsia="Barlow Semi Condensed" w:hAnsi="Barlow Semi Condensed"/>
          <w:b/>
          <w:bCs/>
          <w:sz w:val="24"/>
          <w:szCs w:val="24"/>
        </w:rPr>
        <w:t xml:space="preserve">fucilato il 18 ottobre 1928</w:t>
      </w:r>
      <w:r>
        <w:rPr>
          <w:rFonts w:ascii="Barlow Semi Condensed" w:cs="Barlow Semi Condensed" w:eastAsia="Barlow Semi Condensed" w:hAnsi="Barlow Semi Condensed"/>
          <w:sz w:val="24"/>
          <w:szCs w:val="24"/>
        </w:rPr>
        <w:t xml:space="preserve"> a Ponte Buggianese — caso che ebbe eco internazionale (ANPPIA, scheda Della Maggiora (https://anppia.it/antifascisti/della-maggiora-michele/); Wikipedia IT (https://it.wikipedia.org/wiki/Michele_Della_Maggiora)).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Una parte cospicua dei fucilati furono antifascisti sloveni e croati</w:t>
      </w:r>
      <w:r>
        <w:rPr>
          <w:rFonts w:ascii="Barlow Semi Condensed" w:cs="Barlow Semi Condensed" w:eastAsia="Barlow Semi Condensed" w:hAnsi="Barlow Semi Condensed"/>
          <w:sz w:val="24"/>
          <w:szCs w:val="24"/>
        </w:rPr>
        <w:t xml:space="preserve"> della Venezia Giulia: i quattro di </w:t>
      </w:r>
      <w:r>
        <w:rPr>
          <w:rFonts w:ascii="Barlow Semi Condensed" w:cs="Barlow Semi Condensed" w:eastAsia="Barlow Semi Condensed" w:hAnsi="Barlow Semi Condensed"/>
          <w:b/>
          <w:bCs/>
          <w:sz w:val="24"/>
          <w:szCs w:val="24"/>
        </w:rPr>
        <w:t xml:space="preserve">Basovizza</w:t>
      </w:r>
      <w:r>
        <w:rPr>
          <w:rFonts w:ascii="Barlow Semi Condensed" w:cs="Barlow Semi Condensed" w:eastAsia="Barlow Semi Condensed" w:hAnsi="Barlow Semi Condensed"/>
          <w:sz w:val="24"/>
          <w:szCs w:val="24"/>
        </w:rPr>
        <w:t xml:space="preserve"> — Ferdo Bidovec, Fran Marušič, Zvonimir Miloš, Alojz Valenčič — fucilati il </w:t>
      </w:r>
      <w:r>
        <w:rPr>
          <w:rFonts w:ascii="Barlow Semi Condensed" w:cs="Barlow Semi Condensed" w:eastAsia="Barlow Semi Condensed" w:hAnsi="Barlow Semi Condensed"/>
          <w:b/>
          <w:bCs/>
          <w:sz w:val="24"/>
          <w:szCs w:val="24"/>
        </w:rPr>
        <w:t xml:space="preserve">6 settembre 1930</w:t>
      </w:r>
      <w:r>
        <w:rPr>
          <w:rFonts w:ascii="Barlow Semi Condensed" w:cs="Barlow Semi Condensed" w:eastAsia="Barlow Semi Condensed" w:hAnsi="Barlow Semi Condensed"/>
          <w:sz w:val="24"/>
          <w:szCs w:val="24"/>
        </w:rPr>
        <w:t xml:space="preserve"> dopo il primo processo di Trieste (Grosseto Contemporanea (http://www.grossetocontemporanea.it/fucilati-di-basovizza/)), e altri dopo il secondo processo di Trieste del dicembre 1941. La repressione del Tribunale fu anche, in misura rilevante, repressione </w:t>
      </w:r>
      <w:r>
        <w:rPr>
          <w:rFonts w:ascii="Barlow Semi Condensed" w:cs="Barlow Semi Condensed" w:eastAsia="Barlow Semi Condensed" w:hAnsi="Barlow Semi Condensed"/>
          <w:b/>
          <w:bCs/>
          <w:sz w:val="24"/>
          <w:szCs w:val="24"/>
        </w:rPr>
        <w:t xml:space="preserve">nazionale</w:t>
      </w:r>
      <w:r>
        <w:rPr>
          <w:rFonts w:ascii="Barlow Semi Condensed" w:cs="Barlow Semi Condensed" w:eastAsia="Barlow Semi Condensed" w:hAnsi="Barlow Semi Condensed"/>
          <w:sz w:val="24"/>
          <w:szCs w:val="24"/>
        </w:rPr>
        <w:t xml:space="preserve"> contro le minoranze slave.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Le cifre delle esecuzioni </w:t>
      </w:r>
      <w:r>
        <w:rPr>
          <w:rFonts w:ascii="Barlow Semi Condensed" w:cs="Barlow Semi Condensed" w:eastAsia="Barlow Semi Condensed" w:hAnsi="Barlow Semi Condensed"/>
          <w:b/>
          <w:bCs/>
          <w:sz w:val="24"/>
          <w:szCs w:val="24"/>
        </w:rPr>
        <w:t xml:space="preserve">non comprendono chi morì in carcere</w:t>
      </w:r>
      <w:r>
        <w:rPr>
          <w:rFonts w:ascii="Barlow Semi Condensed" w:cs="Barlow Semi Condensed" w:eastAsia="Barlow Semi Condensed" w:hAnsi="Barlow Semi Condensed"/>
          <w:sz w:val="24"/>
          <w:szCs w:val="24"/>
        </w:rPr>
        <w:t xml:space="preserve"> per gli effetti della detenzione. Il caso maggiore è quello di </w:t>
      </w:r>
      <w:r>
        <w:rPr>
          <w:rFonts w:ascii="Barlow Semi Condensed" w:cs="Barlow Semi Condensed" w:eastAsia="Barlow Semi Condensed" w:hAnsi="Barlow Semi Condensed"/>
          <w:b/>
          <w:bCs/>
          <w:sz w:val="24"/>
          <w:szCs w:val="24"/>
        </w:rPr>
        <w:t xml:space="preserve">Antonio Gramsci</w:t>
      </w:r>
      <w:r>
        <w:rPr>
          <w:rFonts w:ascii="Barlow Semi Condensed" w:cs="Barlow Semi Condensed" w:eastAsia="Barlow Semi Condensed" w:hAnsi="Barlow Semi Condensed"/>
          <w:sz w:val="24"/>
          <w:szCs w:val="24"/>
        </w:rPr>
        <w:t xml:space="preserve">, morto il 27 aprile 1937, pochi giorni dopo la fine formale della pena, dopo dieci anni di carcere che ne avevano distrutto la salute.</w:t>
      </w:r>
    </w:p>
    <w:p>
      <w:pPr>
        <w:pStyle w:val="Heading2"/>
        <w:spacing w:after="100" w:before="200"/>
      </w:pPr>
      <w:r>
        <w:rPr>
          <w:rFonts w:ascii="Barlow Semi Condensed" w:cs="Barlow Semi Condensed" w:eastAsia="Barlow Semi Condensed" w:hAnsi="Barlow Semi Condensed"/>
          <w:sz w:val="24"/>
          <w:szCs w:val="24"/>
        </w:rPr>
        <w:t xml:space="preserve">IV. I processi celebri: il «processone» e gli uomini che sarebbero tornati</w:t>
      </w:r>
    </w:p>
    <w:p>
      <w:pPr>
        <w:spacing w:after="120" w:line="276"/>
        <w:jc w:val="both"/>
      </w:pPr>
      <w:r>
        <w:rPr>
          <w:rFonts w:ascii="Barlow Semi Condensed" w:cs="Barlow Semi Condensed" w:eastAsia="Barlow Semi Condensed" w:hAnsi="Barlow Semi Condensed"/>
          <w:sz w:val="24"/>
          <w:szCs w:val="24"/>
        </w:rPr>
        <w:t xml:space="preserve">Il processo che definì il Tribunale davanti alla storia fu il </w:t>
      </w:r>
      <w:r>
        <w:rPr>
          <w:rFonts w:ascii="Barlow Semi Condensed" w:cs="Barlow Semi Condensed" w:eastAsia="Barlow Semi Condensed" w:hAnsi="Barlow Semi Condensed"/>
          <w:b/>
          <w:bCs/>
          <w:sz w:val="24"/>
          <w:szCs w:val="24"/>
        </w:rPr>
        <w:t xml:space="preserve">«processone»</w:t>
      </w:r>
      <w:r>
        <w:rPr>
          <w:rFonts w:ascii="Barlow Semi Condensed" w:cs="Barlow Semi Condensed" w:eastAsia="Barlow Semi Condensed" w:hAnsi="Barlow Semi Condensed"/>
          <w:sz w:val="24"/>
          <w:szCs w:val="24"/>
        </w:rPr>
        <w:t xml:space="preserve"> contro il gruppo dirigente del Partito Comunista d'Italia: si aprì a Roma il </w:t>
      </w:r>
      <w:r>
        <w:rPr>
          <w:rFonts w:ascii="Barlow Semi Condensed" w:cs="Barlow Semi Condensed" w:eastAsia="Barlow Semi Condensed" w:hAnsi="Barlow Semi Condensed"/>
          <w:b/>
          <w:bCs/>
          <w:sz w:val="24"/>
          <w:szCs w:val="24"/>
        </w:rPr>
        <w:t xml:space="preserve">28 maggio 1928</w:t>
      </w:r>
      <w:r>
        <w:rPr>
          <w:rFonts w:ascii="Barlow Semi Condensed" w:cs="Barlow Semi Condensed" w:eastAsia="Barlow Semi Condensed" w:hAnsi="Barlow Semi Condensed"/>
          <w:sz w:val="24"/>
          <w:szCs w:val="24"/>
        </w:rPr>
        <w:t xml:space="preserve">, con ventidue imputati fra cui </w:t>
      </w:r>
      <w:r>
        <w:rPr>
          <w:rFonts w:ascii="Barlow Semi Condensed" w:cs="Barlow Semi Condensed" w:eastAsia="Barlow Semi Condensed" w:hAnsi="Barlow Semi Condensed"/>
          <w:b/>
          <w:bCs/>
          <w:sz w:val="24"/>
          <w:szCs w:val="24"/>
        </w:rPr>
        <w:t xml:space="preserve">Antonio Gramsci, Umberto Terracini, Mauro Scoccimarro e Giovanni Roveda</w:t>
      </w:r>
      <w:r>
        <w:rPr>
          <w:rFonts w:ascii="Barlow Semi Condensed" w:cs="Barlow Semi Condensed" w:eastAsia="Barlow Semi Condensed" w:hAnsi="Barlow Semi Condensed"/>
          <w:sz w:val="24"/>
          <w:szCs w:val="24"/>
        </w:rPr>
        <w:t xml:space="preserve">, e si chiuse il </w:t>
      </w:r>
      <w:r>
        <w:rPr>
          <w:rFonts w:ascii="Barlow Semi Condensed" w:cs="Barlow Semi Condensed" w:eastAsia="Barlow Semi Condensed" w:hAnsi="Barlow Semi Condensed"/>
          <w:b/>
          <w:bCs/>
          <w:sz w:val="24"/>
          <w:szCs w:val="24"/>
        </w:rPr>
        <w:t xml:space="preserve">4 giugno 1928</w:t>
      </w:r>
      <w:r>
        <w:rPr>
          <w:rFonts w:ascii="Barlow Semi Condensed" w:cs="Barlow Semi Condensed" w:eastAsia="Barlow Semi Condensed" w:hAnsi="Barlow Semi Condensed"/>
          <w:sz w:val="24"/>
          <w:szCs w:val="24"/>
        </w:rPr>
        <w:t xml:space="preserve"> (PCI Genova, «Il processone» (http://www.pci-genova.it/il-processone-contro-i-comunisti/); IGS Italia (https://www.igsitalia.org/attivita-igs/cronache-degli-eventi-gramsciani/140-il-processo-non-ha-fine)). Il pubblico ministero era </w:t>
      </w:r>
      <w:r>
        <w:rPr>
          <w:rFonts w:ascii="Barlow Semi Condensed" w:cs="Barlow Semi Condensed" w:eastAsia="Barlow Semi Condensed" w:hAnsi="Barlow Semi Condensed"/>
          <w:b/>
          <w:bCs/>
          <w:sz w:val="24"/>
          <w:szCs w:val="24"/>
        </w:rPr>
        <w:t xml:space="preserve">Michele Isgrò</w:t>
      </w:r>
      <w:r>
        <w:rPr>
          <w:rFonts w:ascii="Barlow Semi Condensed" w:cs="Barlow Semi Condensed" w:eastAsia="Barlow Semi Condensed" w:hAnsi="Barlow Semi Condensed"/>
          <w:sz w:val="24"/>
          <w:szCs w:val="24"/>
        </w:rPr>
        <w:t xml:space="preserve">; alla requisitoria è attribuita la frase rimasta celebre — «</w:t>
      </w:r>
      <w:r>
        <w:rPr>
          <w:rFonts w:ascii="Barlow Semi Condensed" w:cs="Barlow Semi Condensed" w:eastAsia="Barlow Semi Condensed" w:hAnsi="Barlow Semi Condensed"/>
          <w:b/>
          <w:bCs/>
          <w:sz w:val="24"/>
          <w:szCs w:val="24"/>
        </w:rPr>
        <w:t xml:space="preserve">per vent'anni dobbiamo impedire a questo cervello di funzionare</w:t>
      </w:r>
      <w:r>
        <w:rPr>
          <w:rFonts w:ascii="Barlow Semi Condensed" w:cs="Barlow Semi Condensed" w:eastAsia="Barlow Semi Condensed" w:hAnsi="Barlow Semi Condensed"/>
          <w:sz w:val="24"/>
          <w:szCs w:val="24"/>
        </w:rPr>
        <w:t xml:space="preserve">» — tramandata dalla memorialistica e dalle cronache (la si cita qui come tale: tradizione consolidata, non atto processuale). Gramsci fu condannato a </w:t>
      </w:r>
      <w:r>
        <w:rPr>
          <w:rFonts w:ascii="Barlow Semi Condensed" w:cs="Barlow Semi Condensed" w:eastAsia="Barlow Semi Condensed" w:hAnsi="Barlow Semi Condensed"/>
          <w:b/>
          <w:bCs/>
          <w:sz w:val="24"/>
          <w:szCs w:val="24"/>
        </w:rPr>
        <w:t xml:space="preserve">20 anni, 4 mesi e 5 giorni</w:t>
      </w:r>
      <w:r>
        <w:rPr>
          <w:rFonts w:ascii="Barlow Semi Condensed" w:cs="Barlow Semi Condensed" w:eastAsia="Barlow Semi Condensed" w:hAnsi="Barlow Semi Condensed"/>
          <w:sz w:val="24"/>
          <w:szCs w:val="24"/>
        </w:rPr>
        <w:t xml:space="preserve">; Terracini alla pena più alta del processo, oltre ventidue anni.</w:t>
      </w:r>
    </w:p>
    <w:p>
      <w:pPr>
        <w:spacing w:after="120" w:line="276"/>
        <w:jc w:val="both"/>
      </w:pPr>
      <w:r>
        <w:rPr>
          <w:rFonts w:ascii="Barlow Semi Condensed" w:cs="Barlow Semi Condensed" w:eastAsia="Barlow Semi Condensed" w:hAnsi="Barlow Semi Condensed"/>
          <w:sz w:val="24"/>
          <w:szCs w:val="24"/>
        </w:rPr>
        <w:t xml:space="preserve">La lista dei condannati del Tribunale è, riletta oggi, una parte della classe dirigente della Repubblica che sarebbe nata: vi figurano — oltre a Gramsci, che non sopravvisse — </w:t>
      </w:r>
      <w:r>
        <w:rPr>
          <w:rFonts w:ascii="Barlow Semi Condensed" w:cs="Barlow Semi Condensed" w:eastAsia="Barlow Semi Condensed" w:hAnsi="Barlow Semi Condensed"/>
          <w:b/>
          <w:bCs/>
          <w:sz w:val="24"/>
          <w:szCs w:val="24"/>
        </w:rPr>
        <w:t xml:space="preserve">Umberto Terracini</w:t>
      </w:r>
      <w:r>
        <w:rPr>
          <w:rFonts w:ascii="Barlow Semi Condensed" w:cs="Barlow Semi Condensed" w:eastAsia="Barlow Semi Condensed" w:hAnsi="Barlow Semi Condensed"/>
          <w:sz w:val="24"/>
          <w:szCs w:val="24"/>
        </w:rPr>
        <w:t xml:space="preserve">, che nel 1947-48 avrebbe </w:t>
      </w:r>
      <w:r>
        <w:rPr>
          <w:rFonts w:ascii="Barlow Semi Condensed" w:cs="Barlow Semi Condensed" w:eastAsia="Barlow Semi Condensed" w:hAnsi="Barlow Semi Condensed"/>
          <w:b/>
          <w:bCs/>
          <w:sz w:val="24"/>
          <w:szCs w:val="24"/>
        </w:rPr>
        <w:t xml:space="preserve">presieduto l'Assemblea Costituente</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Sandro Pertini</w:t>
      </w:r>
      <w:r>
        <w:rPr>
          <w:rFonts w:ascii="Barlow Semi Condensed" w:cs="Barlow Semi Condensed" w:eastAsia="Barlow Semi Condensed" w:hAnsi="Barlow Semi Condensed"/>
          <w:sz w:val="24"/>
          <w:szCs w:val="24"/>
        </w:rPr>
        <w:t xml:space="preserve">, condannato nel 1929, futuro </w:t>
      </w:r>
      <w:r>
        <w:rPr>
          <w:rFonts w:ascii="Barlow Semi Condensed" w:cs="Barlow Semi Condensed" w:eastAsia="Barlow Semi Condensed" w:hAnsi="Barlow Semi Condensed"/>
          <w:b/>
          <w:bCs/>
          <w:sz w:val="24"/>
          <w:szCs w:val="24"/>
        </w:rPr>
        <w:t xml:space="preserve">Presidente della Repubblica</w:t>
      </w:r>
      <w:r>
        <w:rPr>
          <w:rFonts w:ascii="Barlow Semi Condensed" w:cs="Barlow Semi Condensed" w:eastAsia="Barlow Semi Condensed" w:hAnsi="Barlow Semi Condensed"/>
          <w:sz w:val="24"/>
          <w:szCs w:val="24"/>
        </w:rPr>
        <w:t xml:space="preserve">. Il rovesciamento non è retorica: è un dato prosopografico. Gli imputati di ieri scrissero le regole che vietano il giudice di ieri.</w:t>
      </w:r>
    </w:p>
    <w:p>
      <w:pPr>
        <w:pStyle w:val="Heading2"/>
        <w:spacing w:after="100" w:before="200"/>
      </w:pPr>
      <w:r>
        <w:rPr>
          <w:rFonts w:ascii="Barlow Semi Condensed" w:cs="Barlow Semi Condensed" w:eastAsia="Barlow Semi Condensed" w:hAnsi="Barlow Semi Condensed"/>
          <w:sz w:val="24"/>
          <w:szCs w:val="24"/>
        </w:rPr>
        <w:t xml:space="preserve">V. Le amnistie: la clemenza come strumento del medesimo apparato</w:t>
      </w:r>
    </w:p>
    <w:p>
      <w:pPr>
        <w:spacing w:after="120" w:line="276"/>
        <w:jc w:val="both"/>
      </w:pPr>
      <w:r>
        <w:rPr>
          <w:rFonts w:ascii="Barlow Semi Condensed" w:cs="Barlow Semi Condensed" w:eastAsia="Barlow Semi Condensed" w:hAnsi="Barlow Semi Condensed"/>
          <w:sz w:val="24"/>
          <w:szCs w:val="24"/>
        </w:rPr>
        <w:t xml:space="preserve">Qui lo studio si salda al primo documento del branch. Durante il regime furono concesse </w:t>
      </w:r>
      <w:r>
        <w:rPr>
          <w:rFonts w:ascii="Barlow Semi Condensed" w:cs="Barlow Semi Condensed" w:eastAsia="Barlow Semi Condensed" w:hAnsi="Barlow Semi Condensed"/>
          <w:b/>
          <w:bCs/>
          <w:sz w:val="24"/>
          <w:szCs w:val="24"/>
        </w:rPr>
        <w:t xml:space="preserve">sette amnistie</w:t>
      </w:r>
      <w:r>
        <w:rPr>
          <w:rFonts w:ascii="Barlow Semi Condensed" w:cs="Barlow Semi Condensed" w:eastAsia="Barlow Semi Condensed" w:hAnsi="Barlow Semi Condensed"/>
          <w:sz w:val="24"/>
          <w:szCs w:val="24"/>
        </w:rPr>
        <w:t xml:space="preserve">; per i condannati del Tribunale Speciale contarono soprattutto due: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w:t>
      </w:r>
      <w:r>
        <w:rPr>
          <w:rFonts w:ascii="Barlow Semi Condensed" w:cs="Barlow Semi Condensed" w:eastAsia="Barlow Semi Condensed" w:hAnsi="Barlow Semi Condensed"/>
          <w:b/>
          <w:bCs/>
          <w:sz w:val="24"/>
          <w:szCs w:val="24"/>
        </w:rPr>
        <w:t xml:space="preserve">amnistia del decennale</w:t>
      </w:r>
      <w:r>
        <w:rPr>
          <w:rFonts w:ascii="Barlow Semi Condensed" w:cs="Barlow Semi Condensed" w:eastAsia="Barlow Semi Condensed" w:hAnsi="Barlow Semi Condensed"/>
          <w:sz w:val="24"/>
          <w:szCs w:val="24"/>
        </w:rPr>
        <w:t xml:space="preserve"> (novembre 1932), che liberò </w:t>
      </w:r>
      <w:r>
        <w:rPr>
          <w:rFonts w:ascii="Barlow Semi Condensed" w:cs="Barlow Semi Condensed" w:eastAsia="Barlow Semi Condensed" w:hAnsi="Barlow Semi Condensed"/>
          <w:b/>
          <w:bCs/>
          <w:sz w:val="24"/>
          <w:szCs w:val="24"/>
        </w:rPr>
        <w:t xml:space="preserve">639 dei 1.056 detenuti</w:t>
      </w:r>
      <w:r>
        <w:rPr>
          <w:rFonts w:ascii="Barlow Semi Condensed" w:cs="Barlow Semi Condensed" w:eastAsia="Barlow Semi Condensed" w:hAnsi="Barlow Semi Condensed"/>
          <w:sz w:val="24"/>
          <w:szCs w:val="24"/>
        </w:rPr>
        <w:t xml:space="preserve"> allora in carcere per condanne del Tribunale, più </w:t>
      </w:r>
      <w:r>
        <w:rPr>
          <w:rFonts w:ascii="Barlow Semi Condensed" w:cs="Barlow Semi Condensed" w:eastAsia="Barlow Semi Condensed" w:hAnsi="Barlow Semi Condensed"/>
          <w:b/>
          <w:bCs/>
          <w:sz w:val="24"/>
          <w:szCs w:val="24"/>
        </w:rPr>
        <w:t xml:space="preserve">595 confinati</w:t>
      </w:r>
      <w:r>
        <w:rPr>
          <w:rFonts w:ascii="Barlow Semi Condensed" w:cs="Barlow Semi Condensed" w:eastAsia="Barlow Semi Condensed" w:hAnsi="Barlow Semi Condensed"/>
          <w:sz w:val="24"/>
          <w:szCs w:val="24"/>
        </w:rPr>
        <w:t xml:space="preserve"> — è l'amnistia da cui proviene la quasi totalità dei nomi dell'elenco bolognese del branch;</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w:t>
      </w:r>
      <w:r>
        <w:rPr>
          <w:rFonts w:ascii="Barlow Semi Condensed" w:cs="Barlow Semi Condensed" w:eastAsia="Barlow Semi Condensed" w:hAnsi="Barlow Semi Condensed"/>
          <w:b/>
          <w:bCs/>
          <w:sz w:val="24"/>
          <w:szCs w:val="24"/>
        </w:rPr>
        <w:t xml:space="preserve">amnistia del ventennale</w:t>
      </w:r>
      <w:r>
        <w:rPr>
          <w:rFonts w:ascii="Barlow Semi Condensed" w:cs="Barlow Semi Condensed" w:eastAsia="Barlow Semi Condensed" w:hAnsi="Barlow Semi Condensed"/>
          <w:sz w:val="24"/>
          <w:szCs w:val="24"/>
        </w:rPr>
        <w:t xml:space="preserve"> (17 ottobre 1942), di portata molto limitata.</w:t>
      </w:r>
    </w:p>
    <w:p>
      <w:pPr>
        <w:spacing w:after="120" w:line="276"/>
        <w:jc w:val="both"/>
      </w:pPr>
      <w:r>
        <w:rPr>
          <w:rFonts w:ascii="Barlow Semi Condensed" w:cs="Barlow Semi Condensed" w:eastAsia="Barlow Semi Condensed" w:hAnsi="Barlow Semi Condensed"/>
          <w:sz w:val="24"/>
          <w:szCs w:val="24"/>
        </w:rPr>
        <w:t xml:space="preserve">Il punto interpretativo, documentato dalle stesse schede individuali dell'archivio bolognese, è che </w:t>
      </w:r>
      <w:r>
        <w:rPr>
          <w:rFonts w:ascii="Barlow Semi Condensed" w:cs="Barlow Semi Condensed" w:eastAsia="Barlow Semi Condensed" w:hAnsi="Barlow Semi Condensed"/>
          <w:b/>
          <w:bCs/>
          <w:sz w:val="24"/>
          <w:szCs w:val="24"/>
        </w:rPr>
        <w:t xml:space="preserve">la clemenza non smontava l'apparato: lo completava</w:t>
      </w:r>
      <w:r>
        <w:rPr>
          <w:rFonts w:ascii="Barlow Semi Condensed" w:cs="Barlow Semi Condensed" w:eastAsia="Barlow Semi Condensed" w:hAnsi="Barlow Semi Condensed"/>
          <w:sz w:val="24"/>
          <w:szCs w:val="24"/>
        </w:rPr>
        <w:t xml:space="preserve">. Gli amnistiati uscivano dal carcere ed entravano quasi sempre in un regime di </w:t>
      </w:r>
      <w:r>
        <w:rPr>
          <w:rFonts w:ascii="Barlow Semi Condensed" w:cs="Barlow Semi Condensed" w:eastAsia="Barlow Semi Condensed" w:hAnsi="Barlow Semi Condensed"/>
          <w:b/>
          <w:bCs/>
          <w:sz w:val="24"/>
          <w:szCs w:val="24"/>
        </w:rPr>
        <w:t xml:space="preserve">confino, ammonizione o vigilanza speciale</w:t>
      </w:r>
      <w:r>
        <w:rPr>
          <w:rFonts w:ascii="Barlow Semi Condensed" w:cs="Barlow Semi Condensed" w:eastAsia="Barlow Semi Condensed" w:hAnsi="Barlow Semi Condensed"/>
          <w:sz w:val="24"/>
          <w:szCs w:val="24"/>
        </w:rPr>
        <w:t xml:space="preserve"> (si vedano, nell'elenco, i casi Alberoni, Benfenati, Fabbri Andrea, Serantoni); molti furono ricondannati dallo stesso Tribunale pochi anni dopo (Benfenati, 1938). L'amnistia del decennale fu un atto di propaganda del regime nel suo anniversario — la dittatura che si mostra magnanima verso nemici già piegati — non una restituzione di diritti: il sorvegliato speciale è un condannato con la pena trasformata. Il primo documento del branch e questo studio descrivono così </w:t>
      </w:r>
      <w:r>
        <w:rPr>
          <w:rFonts w:ascii="Barlow Semi Condensed" w:cs="Barlow Semi Condensed" w:eastAsia="Barlow Semi Condensed" w:hAnsi="Barlow Semi Condensed"/>
          <w:b/>
          <w:bCs/>
          <w:sz w:val="24"/>
          <w:szCs w:val="24"/>
        </w:rPr>
        <w:t xml:space="preserve">le due facce dello stesso congegno</w:t>
      </w:r>
      <w:r>
        <w:rPr>
          <w:rFonts w:ascii="Barlow Semi Condensed" w:cs="Barlow Semi Condensed" w:eastAsia="Barlow Semi Condensed" w:hAnsi="Barlow Semi Condensed"/>
          <w:sz w:val="24"/>
          <w:szCs w:val="24"/>
        </w:rPr>
        <w:t xml:space="preserve">: il colpo e la grazia, entrambi nelle stesse mani.</w:t>
      </w:r>
    </w:p>
    <w:p>
      <w:pPr>
        <w:pStyle w:val="Heading2"/>
        <w:spacing w:after="100" w:before="200"/>
      </w:pPr>
      <w:r>
        <w:rPr>
          <w:rFonts w:ascii="Barlow Semi Condensed" w:cs="Barlow Semi Condensed" w:eastAsia="Barlow Semi Condensed" w:hAnsi="Barlow Semi Condensed"/>
          <w:sz w:val="24"/>
          <w:szCs w:val="24"/>
        </w:rPr>
        <w:t xml:space="preserve">VI. La fine e le due eredità (1943-1948)</w:t>
      </w:r>
    </w:p>
    <w:p>
      <w:pPr>
        <w:spacing w:after="120" w:line="276"/>
        <w:jc w:val="both"/>
      </w:pPr>
      <w:r>
        <w:rPr>
          <w:rFonts w:ascii="Barlow Semi Condensed" w:cs="Barlow Semi Condensed" w:eastAsia="Barlow Semi Condensed" w:hAnsi="Barlow Semi Condensed"/>
          <w:sz w:val="24"/>
          <w:szCs w:val="24"/>
        </w:rPr>
        <w:t xml:space="preserve">Il Tribunale Speciale fu </w:t>
      </w:r>
      <w:r>
        <w:rPr>
          <w:rFonts w:ascii="Barlow Semi Condensed" w:cs="Barlow Semi Condensed" w:eastAsia="Barlow Semi Condensed" w:hAnsi="Barlow Semi Condensed"/>
          <w:b/>
          <w:bCs/>
          <w:sz w:val="24"/>
          <w:szCs w:val="24"/>
        </w:rPr>
        <w:t xml:space="preserve">soppresso con il regio decreto-legge 29 luglio 1943, n. 668</w:t>
      </w:r>
      <w:r>
        <w:rPr>
          <w:rFonts w:ascii="Barlow Semi Condensed" w:cs="Barlow Semi Condensed" w:eastAsia="Barlow Semi Condensed" w:hAnsi="Barlow Semi Condensed"/>
          <w:sz w:val="24"/>
          <w:szCs w:val="24"/>
        </w:rPr>
        <w:t xml:space="preserve">, uno dei primi atti del governo Badoglio dopo la caduta del fascismo del 25 luglio (vLex, R.D.L. 668/1943 (https://it.vlex.com/vid/regio-decreto-legge-29-862142053)). Alla data della soppressione aveva comminato — la formula è quella degli atti — ventisettemilasettecentocinquantadue anni di reclusione e quarantadue pene di morte.</w:t>
      </w:r>
    </w:p>
    <w:p>
      <w:pPr>
        <w:spacing w:after="120" w:line="276"/>
        <w:jc w:val="both"/>
      </w:pPr>
      <w:r>
        <w:rPr>
          <w:rFonts w:ascii="Barlow Semi Condensed" w:cs="Barlow Semi Condensed" w:eastAsia="Barlow Semi Condensed" w:hAnsi="Barlow Semi Condensed"/>
          <w:sz w:val="24"/>
          <w:szCs w:val="24"/>
        </w:rPr>
        <w:t xml:space="preserve">Ma la storia dell'istituto ebbe </w:t>
      </w:r>
      <w:r>
        <w:rPr>
          <w:rFonts w:ascii="Barlow Semi Condensed" w:cs="Barlow Semi Condensed" w:eastAsia="Barlow Semi Condensed" w:hAnsi="Barlow Semi Condensed"/>
          <w:b/>
          <w:bCs/>
          <w:sz w:val="24"/>
          <w:szCs w:val="24"/>
        </w:rPr>
        <w:t xml:space="preserve">due eredità di segno opposto</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replica.</w:t>
      </w:r>
      <w:r>
        <w:rPr>
          <w:rFonts w:ascii="Barlow Semi Condensed" w:cs="Barlow Semi Condensed" w:eastAsia="Barlow Semi Condensed" w:hAnsi="Barlow Semi Condensed"/>
          <w:sz w:val="24"/>
          <w:szCs w:val="24"/>
        </w:rPr>
        <w:t xml:space="preserve"> La Repubblica Sociale Italiana ricreò nel proprio territorio un apparato di giustizia politica speciale — il Tribunale speciale per la difesa dello Stato della RSI e il Tribunale speciale straordinario che a </w:t>
      </w:r>
      <w:r>
        <w:rPr>
          <w:rFonts w:ascii="Barlow Semi Condensed" w:cs="Barlow Semi Condensed" w:eastAsia="Barlow Semi Condensed" w:hAnsi="Barlow Semi Condensed"/>
          <w:b/>
          <w:bCs/>
          <w:sz w:val="24"/>
          <w:szCs w:val="24"/>
        </w:rPr>
        <w:t xml:space="preserve">Verona, nel gennaio 1944</w:t>
      </w:r>
      <w:r>
        <w:rPr>
          <w:rFonts w:ascii="Barlow Semi Condensed" w:cs="Barlow Semi Condensed" w:eastAsia="Barlow Semi Condensed" w:hAnsi="Barlow Semi Condensed"/>
          <w:sz w:val="24"/>
          <w:szCs w:val="24"/>
        </w:rPr>
        <w:t xml:space="preserve">, condannò a morte i «traditori» del Gran Consiglio (fucilazione di Ciano, De Bono e altri). Lo strumento, cioè, sopravvisse alla propria soppressione ovunque sopravvisse il potere che l'aveva creato (cfr. A. Grilli, </w:t>
      </w:r>
      <w:r>
        <w:rPr>
          <w:rFonts w:ascii="Barlow Semi Condensed" w:cs="Barlow Semi Condensed" w:eastAsia="Barlow Semi Condensed" w:hAnsi="Barlow Semi Condensed"/>
          <w:i/>
          <w:iCs/>
          <w:sz w:val="24"/>
          <w:szCs w:val="24"/>
        </w:rPr>
        <w:t xml:space="preserve">Resistenza e repressione. Il Tribunale speciale per la difesa dello Stato nella RSI</w:t>
      </w:r>
      <w:r>
        <w:rPr>
          <w:rFonts w:ascii="Barlow Semi Condensed" w:cs="Barlow Semi Condensed" w:eastAsia="Barlow Semi Condensed" w:hAnsi="Barlow Semi Condensed"/>
          <w:sz w:val="24"/>
          <w:szCs w:val="24"/>
        </w:rPr>
        <w:t xml:space="preserve">, Letture.org (https://www.letture.org/resistenza-e-repressione-il-tribunale-speciale-per-la-difesa-dello-stato-nella-rsi-antonio-grilli)).</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Il divieto.</w:t>
      </w:r>
      <w:r>
        <w:rPr>
          <w:rFonts w:ascii="Barlow Semi Condensed" w:cs="Barlow Semi Condensed" w:eastAsia="Barlow Semi Condensed" w:hAnsi="Barlow Semi Condensed"/>
          <w:sz w:val="24"/>
          <w:szCs w:val="24"/>
        </w:rPr>
        <w:t xml:space="preserve"> L'Assemblea Costituente — presieduta da Terracini, condannato del «processone»; fra i suoi membri il giovane </w:t>
      </w:r>
      <w:r>
        <w:rPr>
          <w:rFonts w:ascii="Barlow Semi Condensed" w:cs="Barlow Semi Condensed" w:eastAsia="Barlow Semi Condensed" w:hAnsi="Barlow Semi Condensed"/>
          <w:b/>
          <w:bCs/>
          <w:sz w:val="24"/>
          <w:szCs w:val="24"/>
        </w:rPr>
        <w:t xml:space="preserve">Aldo Moro</w:t>
      </w:r>
      <w:r>
        <w:rPr>
          <w:rFonts w:ascii="Barlow Semi Condensed" w:cs="Barlow Semi Condensed" w:eastAsia="Barlow Semi Condensed" w:hAnsi="Barlow Semi Condensed"/>
          <w:sz w:val="24"/>
          <w:szCs w:val="24"/>
        </w:rPr>
        <w:t xml:space="preserve">, costituente nel 1946 — scolpì il rifiuto dell'esperienza nell'</w:t>
      </w:r>
      <w:r>
        <w:rPr>
          <w:rFonts w:ascii="Barlow Semi Condensed" w:cs="Barlow Semi Condensed" w:eastAsia="Barlow Semi Condensed" w:hAnsi="Barlow Semi Condensed"/>
          <w:b/>
          <w:bCs/>
          <w:sz w:val="24"/>
          <w:szCs w:val="24"/>
        </w:rPr>
        <w:t xml:space="preserve">articolo 102, secondo comma, della Costituzione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Non possono essere istituiti giudici straordinari o giudici speciali</w:t>
      </w:r>
      <w:r>
        <w:rPr>
          <w:rFonts w:ascii="Barlow Semi Condensed" w:cs="Barlow Semi Condensed" w:eastAsia="Barlow Semi Condensed" w:hAnsi="Barlow Semi Condensed"/>
          <w:sz w:val="24"/>
          <w:szCs w:val="24"/>
        </w:rPr>
        <w:t xml:space="preserve">» (Magistratura Democratica (https://www.magistraturademocratica.it/articolo/25-aprile-costituzione-giurisdizione-20874/)). Con l'articolo 27 la Costituzione bandì anche la pena di morte dall'ordinamento ordinario. Il Tribunale Speciale è, in negativo, dentro la Costituzione: le sue vittime ne furono in parte gli autori, e ciò che esso era stato — giudice di parte, rito di guerra, pena capitale politica — divenne l'elenco di ciò che la Repubblica si vietò per sempre.</w:t>
      </w:r>
    </w:p>
    <w:p>
      <w:pPr>
        <w:pStyle w:val="Heading2"/>
        <w:spacing w:after="100" w:before="200"/>
      </w:pPr>
      <w:r>
        <w:rPr>
          <w:rFonts w:ascii="Barlow Semi Condensed" w:cs="Barlow Semi Condensed" w:eastAsia="Barlow Semi Condensed" w:hAnsi="Barlow Semi Condensed"/>
          <w:sz w:val="24"/>
          <w:szCs w:val="24"/>
        </w:rPr>
        <w:t xml:space="preserve">VII. Il cerchio del branch, e i suoi limiti</w:t>
      </w:r>
    </w:p>
    <w:p>
      <w:pPr>
        <w:spacing w:after="120" w:line="276"/>
        <w:jc w:val="both"/>
      </w:pPr>
      <w:r>
        <w:rPr>
          <w:rFonts w:ascii="Barlow Semi Condensed" w:cs="Barlow Semi Condensed" w:eastAsia="Barlow Semi Condensed" w:hAnsi="Barlow Semi Condensed"/>
          <w:sz w:val="24"/>
          <w:szCs w:val="24"/>
        </w:rPr>
        <w:t xml:space="preserve">Con questo studio il branch chiude il proprio cerchio tematico: era partito dai </w:t>
      </w:r>
      <w:r>
        <w:rPr>
          <w:rFonts w:ascii="Barlow Semi Condensed" w:cs="Barlow Semi Condensed" w:eastAsia="Barlow Semi Condensed" w:hAnsi="Barlow Semi Condensed"/>
          <w:b/>
          <w:bCs/>
          <w:sz w:val="24"/>
          <w:szCs w:val="24"/>
        </w:rPr>
        <w:t xml:space="preserve">nomi</w:t>
      </w:r>
      <w:r>
        <w:rPr>
          <w:rFonts w:ascii="Barlow Semi Condensed" w:cs="Barlow Semi Condensed" w:eastAsia="Barlow Semi Condensed" w:hAnsi="Barlow Semi Condensed"/>
          <w:sz w:val="24"/>
          <w:szCs w:val="24"/>
        </w:rPr>
        <w:t xml:space="preserve"> (gli amnistiati bolognesi) ed arriva all'</w:t>
      </w:r>
      <w:r>
        <w:rPr>
          <w:rFonts w:ascii="Barlow Semi Condensed" w:cs="Barlow Semi Condensed" w:eastAsia="Barlow Semi Condensed" w:hAnsi="Barlow Semi Condensed"/>
          <w:b/>
          <w:bCs/>
          <w:sz w:val="24"/>
          <w:szCs w:val="24"/>
        </w:rPr>
        <w:t xml:space="preserve">istituzione</w:t>
      </w:r>
      <w:r>
        <w:rPr>
          <w:rFonts w:ascii="Barlow Semi Condensed" w:cs="Barlow Semi Condensed" w:eastAsia="Barlow Semi Condensed" w:hAnsi="Barlow Semi Condensed"/>
          <w:sz w:val="24"/>
          <w:szCs w:val="24"/>
        </w:rPr>
        <w:t xml:space="preserve">; in mezzo stanno i fili guevariani e morotei. I ponti interni vanno però dichiarati con la consueta disciplina: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Ponte documentato</w:t>
      </w:r>
      <w:r>
        <w:rPr>
          <w:rFonts w:ascii="Barlow Semi Condensed" w:cs="Barlow Semi Condensed" w:eastAsia="Barlow Semi Condensed" w:hAnsi="Barlow Semi Condensed"/>
          <w:sz w:val="24"/>
          <w:szCs w:val="24"/>
        </w:rPr>
        <w:t xml:space="preserve"> con </w:t>
      </w:r>
      <w:r>
        <w:rPr>
          <w:rFonts w:ascii="Barlow Semi Condensed" w:cs="Barlow Semi Condensed" w:eastAsia="Barlow Semi Condensed" w:hAnsi="Barlow Semi Condensed"/>
          <w:i/>
          <w:iCs/>
          <w:sz w:val="24"/>
          <w:szCs w:val="24"/>
        </w:rPr>
        <w:t xml:space="preserve">amnistiati-tribunale-speciale.md</w:t>
      </w:r>
      <w:r>
        <w:rPr>
          <w:rFonts w:ascii="Barlow Semi Condensed" w:cs="Barlow Semi Condensed" w:eastAsia="Barlow Semi Condensed" w:hAnsi="Barlow Semi Condensed"/>
          <w:sz w:val="24"/>
          <w:szCs w:val="24"/>
        </w:rPr>
        <w:t xml:space="preserve">: le cifre nazionali del decennale (639/1.056 + 595) e i casi individuali dell'elenco sono due scale della stessa vicenda; lo studio fornisce il quadro che le schede presupponevano.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Ponte documentato</w:t>
      </w:r>
      <w:r>
        <w:rPr>
          <w:rFonts w:ascii="Barlow Semi Condensed" w:cs="Barlow Semi Condensed" w:eastAsia="Barlow Semi Condensed" w:hAnsi="Barlow Semi Condensed"/>
          <w:sz w:val="24"/>
          <w:szCs w:val="24"/>
        </w:rPr>
        <w:t xml:space="preserve"> con il caso Moro: Moro fu </w:t>
      </w:r>
      <w:r>
        <w:rPr>
          <w:rFonts w:ascii="Barlow Semi Condensed" w:cs="Barlow Semi Condensed" w:eastAsia="Barlow Semi Condensed" w:hAnsi="Barlow Semi Condensed"/>
          <w:b/>
          <w:bCs/>
          <w:sz w:val="24"/>
          <w:szCs w:val="24"/>
        </w:rPr>
        <w:t xml:space="preserve">costituente</w:t>
      </w:r>
      <w:r>
        <w:rPr>
          <w:rFonts w:ascii="Barlow Semi Condensed" w:cs="Barlow Semi Condensed" w:eastAsia="Barlow Semi Condensed" w:hAnsi="Barlow Semi Condensed"/>
          <w:sz w:val="24"/>
          <w:szCs w:val="24"/>
        </w:rPr>
        <w:t xml:space="preserve"> — appartenne all'assemblea che scrisse il divieto dell'art. 102 nato da questa esperienza. È un ponte biografico-istituzionale, non una tesi: l'uomo che le BR avrebbero «processato» in una «prigione del popolo» nel 1978 aveva contribuito a fondare l'ordinamento che vieta ogni giudice speciale. L'accostamento fra il Tribunale del regime e il «processo» brigatista a Moro è invece una </w:t>
      </w:r>
      <w:r>
        <w:rPr>
          <w:rFonts w:ascii="Barlow Semi Condensed" w:cs="Barlow Semi Condensed" w:eastAsia="Barlow Semi Condensed" w:hAnsi="Barlow Semi Condensed"/>
          <w:b/>
          <w:bCs/>
          <w:sz w:val="24"/>
          <w:szCs w:val="24"/>
        </w:rPr>
        <w:t xml:space="preserve">convergenza simbolica</w:t>
      </w:r>
      <w:r>
        <w:rPr>
          <w:rFonts w:ascii="Barlow Semi Condensed" w:cs="Barlow Semi Condensed" w:eastAsia="Barlow Semi Condensed" w:hAnsi="Barlow Semi Condensed"/>
          <w:sz w:val="24"/>
          <w:szCs w:val="24"/>
        </w:rPr>
        <w:t xml:space="preserve"> (il giudice di parte che si traveste da tribunale), non un nesso storico: lo si registra e lo si lascia lì.</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Convergenza tematica</w:t>
      </w:r>
      <w:r>
        <w:rPr>
          <w:rFonts w:ascii="Barlow Semi Condensed" w:cs="Barlow Semi Condensed" w:eastAsia="Barlow Semi Condensed" w:hAnsi="Barlow Semi Condensed"/>
          <w:sz w:val="24"/>
          <w:szCs w:val="24"/>
        </w:rPr>
        <w:t xml:space="preserve"> già dichiarata (triangolazione Feltrinelli, ponte B-6): l'asse fascismo/antifascismo attraversa il branch — il Tribunale colpì l'antifascismo; i GAP del 1970 ne ripresero </w:t>
      </w:r>
      <w:r>
        <w:rPr>
          <w:rFonts w:ascii="Barlow Semi Condensed" w:cs="Barlow Semi Condensed" w:eastAsia="Barlow Semi Condensed" w:hAnsi="Barlow Semi Condensed"/>
          <w:b/>
          <w:bCs/>
          <w:sz w:val="24"/>
          <w:szCs w:val="24"/>
        </w:rPr>
        <w:t xml:space="preserve">il nome</w:t>
      </w:r>
      <w:r>
        <w:rPr>
          <w:rFonts w:ascii="Barlow Semi Condensed" w:cs="Barlow Semi Condensed" w:eastAsia="Barlow Semi Condensed" w:hAnsi="Barlow Semi Condensed"/>
          <w:sz w:val="24"/>
          <w:szCs w:val="24"/>
        </w:rPr>
        <w:t xml:space="preserve"> dalla Resistenza senza alcuna continuità reale. Nessuna promozione a nesso.</w:t>
      </w:r>
    </w:p>
    <w:p>
      <w:pPr>
        <w:spacing w:after="120" w:line="276"/>
        <w:jc w:val="both"/>
      </w:pPr>
      <w:r>
        <w:rPr>
          <w:rFonts w:ascii="Barlow Semi Condensed" w:cs="Barlow Semi Condensed" w:eastAsia="Barlow Semi Condensed" w:hAnsi="Barlow Semi Condensed"/>
          <w:b/>
          <w:bCs/>
          <w:sz w:val="24"/>
          <w:szCs w:val="24"/>
        </w:rPr>
        <w:t xml:space="preserve">Divergenze da presidiare.</w:t>
      </w:r>
      <w:r>
        <w:rPr>
          <w:rFonts w:ascii="Barlow Semi Condensed" w:cs="Barlow Semi Condensed" w:eastAsia="Barlow Semi Condensed" w:hAnsi="Barlow Semi Condensed"/>
          <w:sz w:val="24"/>
          <w:szCs w:val="24"/>
        </w:rPr>
        <w:t xml:space="preserve"> Questo studio non autorizza equazioni: il Tribunale Speciale fu un organo di uno Stato dittatoriale contro i suoi oppositori; nessun istituto della Repubblica, per quanto criticabile, gli è assimilabile, e ogni uso polemico contemporaneo della comparazione esce dal terreno documentato di queste pagine.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Fonti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ANPPIA</w:t>
      </w:r>
      <w:r>
        <w:rPr>
          <w:rFonts w:ascii="Barlow Semi Condensed" w:cs="Barlow Semi Condensed" w:eastAsia="Barlow Semi Condensed" w:hAnsi="Barlow Semi Condensed"/>
          <w:sz w:val="24"/>
          <w:szCs w:val="24"/>
        </w:rPr>
        <w:t xml:space="preserve"> (Associazione Nazionale Perseguitati Politici Italiani Antifascisti), «Il Tribunale Speciale» (anppia.it (https://anppia.it/il-tribunale-speciale/)) e scheda Della Maggiora (link (https://anppia.it/antifascisti/della-maggiora-michele/)) — l'associazione erede del censimento Dal Pont, fonte delle cifre consolidate.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ANPI</w:t>
      </w:r>
      <w:r>
        <w:rPr>
          <w:rFonts w:ascii="Barlow Semi Condensed" w:cs="Barlow Semi Condensed" w:eastAsia="Barlow Semi Condensed" w:hAnsi="Barlow Semi Condensed"/>
          <w:sz w:val="24"/>
          <w:szCs w:val="24"/>
        </w:rPr>
        <w:t xml:space="preserve">, «Il Tribunale speciale per la difesa dello Stato (1927-1943)» (promemoria.anpi.it (https://promemoria.anpi.it/2656-2/)) e scheda libro (anpi.it (https://www.anpi.it/libri/il-tribunale-speciale-la-difesa-dello-stato)).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Archivio Centrale dello Stato</w:t>
      </w:r>
      <w:r>
        <w:rPr>
          <w:rFonts w:ascii="Barlow Semi Condensed" w:cs="Barlow Semi Condensed" w:eastAsia="Barlow Semi Condensed" w:hAnsi="Barlow Semi Condensed"/>
          <w:sz w:val="24"/>
          <w:szCs w:val="24"/>
        </w:rPr>
        <w:t xml:space="preserve">, fondo Tribunale Speciale (search.acs.beniculturali.it (https://search.acs.beniculturali.it/OpacACS/authority/IT-ACS-SP00001-00000424)).</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R.D.L. 29 luglio 1943, n. 668</w:t>
      </w:r>
      <w:r>
        <w:rPr>
          <w:rFonts w:ascii="Barlow Semi Condensed" w:cs="Barlow Semi Condensed" w:eastAsia="Barlow Semi Condensed" w:hAnsi="Barlow Semi Condensed"/>
          <w:sz w:val="24"/>
          <w:szCs w:val="24"/>
        </w:rPr>
        <w:t xml:space="preserve"> (soppressione) — vLex Italia (https://it.vlex.com/vid/regio-decreto-legge-29-862142053).</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Voci enciclopediche per i fatti non controversi: Tribunale speciale (1926-1943) (https://it.wikipedia.org/wiki/Tribunale_speciale_per_la_difesa_dello_Stato_(1926-1943)); Condannati a morte dal Tribunale speciale (https://it.wikipedia.org/wiki/Condannati_a_morte_dal_Tribunale_speciale_per_la_difesa_dello_Stato); Michele Della Maggiora (https://it.wikipedia.org/wiki/Michele_Della_Maggiora).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 «processone»: PCI Genova (http://www.pci-genova.it/il-processone-contro-i-comunisti/); IGS Italia (https://www.igsitalia.org/attivita-igs/cronache-degli-eventi-gramsciani/140-il-processo-non-ha-fine). La frase di Isgrò è citata come tradizione memorialistica, non come atto processuale.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 Basovizza: Grosseto Contemporanea (http://www.grossetocontemporanea.it/fucilati-di-basovizza/); diecifebbraio.info (https://www.diecifebbraio.info/2012/09/martiri-di-basovizza-6-settembre-1930/).</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Sull'eredità costituzionale: Magistratura Democratica (https://www.magistraturademocratica.it/articolo/25-aprile-costituzione-giurisdizione-20874/). Sulla RSI: A. Grilli, </w:t>
      </w:r>
      <w:r>
        <w:rPr>
          <w:rFonts w:ascii="Barlow Semi Condensed" w:cs="Barlow Semi Condensed" w:eastAsia="Barlow Semi Condensed" w:hAnsi="Barlow Semi Condensed"/>
          <w:i/>
          <w:iCs/>
          <w:sz w:val="24"/>
          <w:szCs w:val="24"/>
        </w:rPr>
        <w:t xml:space="preserve">Resistenza e repressione</w:t>
      </w:r>
      <w:r>
        <w:rPr>
          <w:rFonts w:ascii="Barlow Semi Condensed" w:cs="Barlow Semi Condensed" w:eastAsia="Barlow Semi Condensed" w:hAnsi="Barlow Semi Condensed"/>
          <w:sz w:val="24"/>
          <w:szCs w:val="24"/>
        </w:rPr>
        <w:t xml:space="preserve"> (Letture.org (https://www.letture.org/resistenza-e-repressione-il-tribunale-speciale-per-la-difesa-dello-stato-nella-rsi-antonio-grilli)).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Archivio Storia e Memoria di Bologna</w:t>
      </w:r>
      <w:r>
        <w:rPr>
          <w:rFonts w:ascii="Barlow Semi Condensed" w:cs="Barlow Semi Condensed" w:eastAsia="Barlow Semi Condensed" w:hAnsi="Barlow Semi Condensed"/>
          <w:sz w:val="24"/>
          <w:szCs w:val="24"/>
        </w:rPr>
        <w:t xml:space="preserve"> per i casi individuali, già censiti nel primo documento del branch.</w:t>
      </w:r>
    </w:p>
    <w:p>
      <w:pPr>
        <w:spacing w:after="120" w:line="276"/>
        <w:jc w:val="both"/>
      </w:pPr>
      <w:r>
        <w:rPr>
          <w:rFonts w:ascii="Barlow Semi Condensed" w:cs="Barlow Semi Condensed" w:eastAsia="Barlow Semi Condensed" w:hAnsi="Barlow Semi Condensed"/>
          <w:i/>
          <w:iCs/>
          <w:sz w:val="24"/>
          <w:szCs w:val="24"/>
        </w:rPr>
        <w:t xml:space="preserve">Le cifre seguono il censimento consolidato (ANPPIA/Dal Pont); l'oscillazione 5.619/5.620 giudicati è dichiarata. La quota esatta di fucilati appartenenti alle minoranze slave varia nelle fonti ed è data qui in forma qualitativa («parte cospicua») con i due processi documentati. Ricostruzione storica, senza usi polemici retroattivi.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Studio storico sull'istituzione da cui il branch è partito. Si salda a monte con `amnistiati-tribunale-speciale.md` (i nomi) e tocca il versante moroteo nel solo punto documentato (Moro costituente; art. 102 Cost.). Regola di Ferro: dove la fonte documenta, si certifica; dove tace, si tace.</w:t>
      </w:r>
    </w:p>
    <w:p>
      <w:pPr>
        <w:pStyle w:val="Heading3"/>
        <w:spacing w:after="80" w:before="240"/>
      </w:pPr>
      <w:r>
        <w:rPr>
          <w:rFonts w:ascii="Barlow Semi Condensed" w:cs="Barlow Semi Condensed" w:eastAsia="Barlow Semi Condensed" w:hAnsi="Barlow Semi Condensed"/>
          <w:sz w:val="24"/>
          <w:szCs w:val="24"/>
        </w:rPr>
        <w:t xml:space="preserve">Apparato grafico — Libro sesto · Il Tribunale Speciale: l'istituzione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 1.747 parole in 8 sezioni; la più ampia è §6 VI. La fine e le due eredità, con 254.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 30 indirizzi di fonte citati, addensati in 6 sezioni su 8.</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sesto — Il filo del 1926 — II. Gli otto sottonodi</w:t>
      </w:r>
    </w:p>
    <w:p>
      <w:pPr>
        <w:pStyle w:val="Heading1"/>
        <w:spacing w:after="120" w:before="240"/>
      </w:pPr>
      <w:r>
        <w:rPr>
          <w:rFonts w:ascii="Barlow Semi Condensed" w:cs="Barlow Semi Condensed" w:eastAsia="Barlow Semi Condensed" w:hAnsi="Barlow Semi Condensed"/>
          <w:sz w:val="24"/>
          <w:szCs w:val="24"/>
        </w:rPr>
        <w:t xml:space="preserve">Il Tribunale Speciale: approfondimento in sottonodi</w:t>
      </w:r>
    </w:p>
    <w:p>
      <w:pPr>
        <w:spacing w:after="120" w:line="276"/>
        <w:jc w:val="both"/>
      </w:pPr>
      <w:r>
        <w:rPr>
          <w:rFonts w:ascii="Barlow Semi Condensed" w:cs="Barlow Semi Condensed" w:eastAsia="Barlow Semi Condensed" w:hAnsi="Barlow Semi Condensed"/>
          <w:i/>
          <w:iCs/>
          <w:sz w:val="24"/>
          <w:szCs w:val="24"/>
        </w:rPr>
        <w:t xml:space="preserve">Complemento allo studio sull'istituzione — 24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w:t>
      </w:r>
      <w:r>
        <w:rPr>
          <w:rFonts w:ascii="Barlow Semi Condensed" w:cs="Barlow Semi Condensed" w:eastAsia="Barlow Semi Condensed" w:hAnsi="Barlow Semi Condensed"/>
          <w:i w:val="false"/>
          <w:iCs w:val="false"/>
          <w:sz w:val="24"/>
          <w:szCs w:val="24"/>
        </w:rPr>
        <w:t xml:space="preserve"> Questo documento approfondisce, in </w:t>
      </w:r>
      <w:r>
        <w:rPr>
          <w:rFonts w:ascii="Barlow Semi Condensed" w:cs="Barlow Semi Condensed" w:eastAsia="Barlow Semi Condensed" w:hAnsi="Barlow Semi Condensed"/>
          <w:b/>
          <w:bCs/>
          <w:i w:val="false"/>
          <w:iCs w:val="false"/>
          <w:sz w:val="24"/>
          <w:szCs w:val="24"/>
        </w:rPr>
        <w:t xml:space="preserve">otto sottonodi verificati</w:t>
      </w:r>
      <w:r>
        <w:rPr>
          <w:rFonts w:ascii="Barlow Semi Condensed" w:cs="Barlow Semi Condensed" w:eastAsia="Barlow Semi Condensed" w:hAnsi="Barlow Semi Condensed"/>
          <w:i w:val="false"/>
          <w:iCs w:val="false"/>
          <w:sz w:val="24"/>
          <w:szCs w:val="24"/>
        </w:rPr>
        <w:t xml:space="preserve">, ciò che lo studio principale (</w:t>
      </w:r>
      <w:r>
        <w:rPr>
          <w:rFonts w:ascii="Barlow Semi Condensed" w:cs="Barlow Semi Condensed" w:eastAsia="Barlow Semi Condensed" w:hAnsi="Barlow Semi Condensed"/>
          <w:i w:val="false"/>
          <w:iCs w:val="false"/>
          <w:sz w:val="24"/>
          <w:szCs w:val="24"/>
        </w:rPr>
        <w:t xml:space="preserve">tribunale-speciale-storia-istituzione.md</w:t>
      </w:r>
      <w:r>
        <w:rPr>
          <w:rFonts w:ascii="Barlow Semi Condensed" w:cs="Barlow Semi Condensed" w:eastAsia="Barlow Semi Condensed" w:hAnsi="Barlow Semi Condensed"/>
          <w:i w:val="false"/>
          <w:iCs w:val="false"/>
          <w:sz w:val="24"/>
          <w:szCs w:val="24"/>
        </w:rPr>
        <w:t xml:space="preserve">) ha dovuto trattare in sintesi: gli uomini che presiedettero il Tribunale, la macchina istruttoria, i due processi di Trieste, la prosopografia dei condannati che fecero la Repubblica, la scala bolognese da cui il branch è partito, le donne davanti al Tribunale, la svolta di guerra e la questione dell'impunità postbellica. Ogni sottonodo dichiara le proprie fonti e il proprio grado. Vale la Regola di Ferro: dove la fonte documenta, si certifica; dove tace, si tace.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S-1 · I tre presidenti (1927-1943)</w:t>
      </w:r>
    </w:p>
    <w:p>
      <w:pPr>
        <w:spacing w:after="120" w:line="276"/>
        <w:jc w:val="both"/>
      </w:pPr>
      <w:r>
        <w:rPr>
          <w:rFonts w:ascii="Barlow Semi Condensed" w:cs="Barlow Semi Condensed" w:eastAsia="Barlow Semi Condensed" w:hAnsi="Barlow Semi Condensed"/>
          <w:sz w:val="24"/>
          <w:szCs w:val="24"/>
        </w:rPr>
        <w:t xml:space="preserve">Il Tribunale ebbe, in sedici anni, tre presidenti — e la loro successione racconta la parabola dell'istituto (Wikipedia IT (https://it.wikipedia.org/wiki/Tribunale_speciale_per_la_difesa_dello_Stato_(1926-1943)); Guido Cristini (https://it.wikipedia.org/wiki/Guido_Cristini); Antonino Tringali Casanuova (https://en.wikipedia.org/wiki/Antonino_Tringali_Casanuova)):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Presidente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Periodo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Profilo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Carlo Sanna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1927 – estate 1928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Generale dell'esercito, primo presidente; morì d'infarto in carica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Guido Cristini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1928 – 27 novembre 1932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Nominato a soli trentatré anni; presiedette il «processone» del 1928; la sua è la stagione della repressione contro la rete clandestina del PCI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Antonino Tringali Casanuova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novembre 1932 – luglio 1943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Vicepresidente dal settembre 1928, poi presidente per undici anni: l'uomo della normalizzazione dell'eccezione e della stagione di guerra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Il dato istituzionale è la </w:t>
      </w:r>
      <w:r>
        <w:rPr>
          <w:rFonts w:ascii="Barlow Semi Condensed" w:cs="Barlow Semi Condensed" w:eastAsia="Barlow Semi Condensed" w:hAnsi="Barlow Semi Condensed"/>
          <w:b/>
          <w:bCs/>
          <w:sz w:val="24"/>
          <w:szCs w:val="24"/>
        </w:rPr>
        <w:t xml:space="preserve">progressiva fascistizzazione del vertice</w:t>
      </w:r>
      <w:r>
        <w:rPr>
          <w:rFonts w:ascii="Barlow Semi Condensed" w:cs="Barlow Semi Condensed" w:eastAsia="Barlow Semi Condensed" w:hAnsi="Barlow Semi Condensed"/>
          <w:sz w:val="24"/>
          <w:szCs w:val="24"/>
        </w:rPr>
        <w:t xml:space="preserve">: dal generale del regio esercito (Sanna) al gerarca di partito (Tringali Casanuova). L'organo «tecnico-militare» del 1927 divenne, negli anni Trenta, apertamente un organo politico.</w:t>
      </w:r>
    </w:p>
    <w:p>
      <w:pPr>
        <w:pStyle w:val="Heading2"/>
        <w:spacing w:after="100" w:before="200"/>
      </w:pPr>
      <w:r>
        <w:rPr>
          <w:rFonts w:ascii="Barlow Semi Condensed" w:cs="Barlow Semi Condensed" w:eastAsia="Barlow Semi Condensed" w:hAnsi="Barlow Semi Condensed"/>
          <w:sz w:val="24"/>
          <w:szCs w:val="24"/>
        </w:rPr>
        <w:t xml:space="preserve">S-2 · La macchina istruttoria: l'OVRA</w:t>
      </w:r>
    </w:p>
    <w:p>
      <w:pPr>
        <w:spacing w:after="120" w:line="276"/>
        <w:jc w:val="both"/>
      </w:pPr>
      <w:r>
        <w:rPr>
          <w:rFonts w:ascii="Barlow Semi Condensed" w:cs="Barlow Semi Condensed" w:eastAsia="Barlow Semi Condensed" w:hAnsi="Barlow Semi Condensed"/>
          <w:sz w:val="24"/>
          <w:szCs w:val="24"/>
        </w:rPr>
        <w:t xml:space="preserve">Il Tribunale giudicava ciò che la polizia politica gli portava. Il primo nucleo di quella che sarebbe stata nota come </w:t>
      </w:r>
      <w:r>
        <w:rPr>
          <w:rFonts w:ascii="Barlow Semi Condensed" w:cs="Barlow Semi Condensed" w:eastAsia="Barlow Semi Condensed" w:hAnsi="Barlow Semi Condensed"/>
          <w:b/>
          <w:bCs/>
          <w:sz w:val="24"/>
          <w:szCs w:val="24"/>
        </w:rPr>
        <w:t xml:space="preserve">OVRA</w:t>
      </w:r>
      <w:r>
        <w:rPr>
          <w:rFonts w:ascii="Barlow Semi Condensed" w:cs="Barlow Semi Condensed" w:eastAsia="Barlow Semi Condensed" w:hAnsi="Barlow Semi Condensed"/>
          <w:sz w:val="24"/>
          <w:szCs w:val="24"/>
        </w:rPr>
        <w:t xml:space="preserve"> nacque </w:t>
      </w:r>
      <w:r>
        <w:rPr>
          <w:rFonts w:ascii="Barlow Semi Condensed" w:cs="Barlow Semi Condensed" w:eastAsia="Barlow Semi Condensed" w:hAnsi="Barlow Semi Condensed"/>
          <w:b/>
          <w:bCs/>
          <w:sz w:val="24"/>
          <w:szCs w:val="24"/>
        </w:rPr>
        <w:t xml:space="preserve">a Milano nel 1927</w:t>
      </w:r>
      <w:r>
        <w:rPr>
          <w:rFonts w:ascii="Barlow Semi Condensed" w:cs="Barlow Semi Condensed" w:eastAsia="Barlow Semi Condensed" w:hAnsi="Barlow Semi Condensed"/>
          <w:sz w:val="24"/>
          <w:szCs w:val="24"/>
        </w:rPr>
        <w:t xml:space="preserve"> come «Ispettorato speciale di polizia» alle dipendenze della Direzione generale di Pubblica Sicurezza, sotto la regia del capo della polizia </w:t>
      </w:r>
      <w:r>
        <w:rPr>
          <w:rFonts w:ascii="Barlow Semi Condensed" w:cs="Barlow Semi Condensed" w:eastAsia="Barlow Semi Condensed" w:hAnsi="Barlow Semi Condensed"/>
          <w:b/>
          <w:bCs/>
          <w:sz w:val="24"/>
          <w:szCs w:val="24"/>
        </w:rPr>
        <w:t xml:space="preserve">Arturo Bocchini</w:t>
      </w:r>
      <w:r>
        <w:rPr>
          <w:rFonts w:ascii="Barlow Semi Condensed" w:cs="Barlow Semi Condensed" w:eastAsia="Barlow Semi Condensed" w:hAnsi="Barlow Semi Condensed"/>
          <w:sz w:val="24"/>
          <w:szCs w:val="24"/>
        </w:rPr>
        <w:t xml:space="preserve"> (Polizia di Stato, scheda Bocchini (https://www.poliziadistato.it/articolo/arturo-bocchini); Treccani (https://www.treccani.it/enciclopedia/arturo-bocchini_(Dizionario-Biografico)/); Wikipedia EN, OVRA (https://en.wikipedia.org/wiki/OVRA)). Il suo strumento caratteristico era la </w:t>
      </w:r>
      <w:r>
        <w:rPr>
          <w:rFonts w:ascii="Barlow Semi Condensed" w:cs="Barlow Semi Condensed" w:eastAsia="Barlow Semi Condensed" w:hAnsi="Barlow Semi Condensed"/>
          <w:b/>
          <w:bCs/>
          <w:sz w:val="24"/>
          <w:szCs w:val="24"/>
        </w:rPr>
        <w:t xml:space="preserve">rete dei confidenti</w:t>
      </w:r>
      <w:r>
        <w:rPr>
          <w:rFonts w:ascii="Barlow Semi Condensed" w:cs="Barlow Semi Condensed" w:eastAsia="Barlow Semi Condensed" w:hAnsi="Barlow Semi Condensed"/>
          <w:sz w:val="24"/>
          <w:szCs w:val="24"/>
        </w:rPr>
        <w:t xml:space="preserve">: l'infiltrazione e la delazione sistematica, che riempivano i fascicoli istruttori del Tribunale. Il binomio è essenziale per capire l'istituto: </w:t>
      </w:r>
      <w:r>
        <w:rPr>
          <w:rFonts w:ascii="Barlow Semi Condensed" w:cs="Barlow Semi Condensed" w:eastAsia="Barlow Semi Condensed" w:hAnsi="Barlow Semi Condensed"/>
          <w:b/>
          <w:bCs/>
          <w:sz w:val="24"/>
          <w:szCs w:val="24"/>
        </w:rPr>
        <w:t xml:space="preserve">l'OVRA costruiva il caso, il Tribunale lo certificava</w:t>
      </w:r>
      <w:r>
        <w:rPr>
          <w:rFonts w:ascii="Barlow Semi Condensed" w:cs="Barlow Semi Condensed" w:eastAsia="Barlow Semi Condensed" w:hAnsi="Barlow Semi Condensed"/>
          <w:sz w:val="24"/>
          <w:szCs w:val="24"/>
        </w:rPr>
        <w:t xml:space="preserve"> — con un rito militare che non prevedeva un reale contraddittorio sulla prova. Le schede bolognesi del primo documento del branch (arresti a grappolo: «con altri 55», «con altri 88», «con altri 116») mostrano esattamente questo metodo: la retata sulla rete, non l'indagine sul fatto.</w:t>
      </w:r>
    </w:p>
    <w:p>
      <w:pPr>
        <w:pStyle w:val="Heading2"/>
        <w:spacing w:after="100" w:before="200"/>
      </w:pPr>
      <w:r>
        <w:rPr>
          <w:rFonts w:ascii="Barlow Semi Condensed" w:cs="Barlow Semi Condensed" w:eastAsia="Barlow Semi Condensed" w:hAnsi="Barlow Semi Condensed"/>
          <w:sz w:val="24"/>
          <w:szCs w:val="24"/>
        </w:rPr>
        <w:t xml:space="preserve">S-3 · La repressione anti-slava in due tempi: i processi di Trieste</w:t>
      </w:r>
    </w:p>
    <w:p>
      <w:pPr>
        <w:spacing w:after="120" w:line="276"/>
        <w:jc w:val="both"/>
      </w:pPr>
      <w:r>
        <w:rPr>
          <w:rFonts w:ascii="Barlow Semi Condensed" w:cs="Barlow Semi Condensed" w:eastAsia="Barlow Semi Condensed" w:hAnsi="Barlow Semi Condensed"/>
          <w:sz w:val="24"/>
          <w:szCs w:val="24"/>
        </w:rPr>
        <w:t xml:space="preserve">Lo studio principale registrava Basovizza; il sottonodo ricompone l'intero arco.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Primo processo di Trieste (1930).</w:t>
      </w:r>
      <w:r>
        <w:rPr>
          <w:rFonts w:ascii="Barlow Semi Condensed" w:cs="Barlow Semi Condensed" w:eastAsia="Barlow Semi Condensed" w:hAnsi="Barlow Semi Condensed"/>
          <w:sz w:val="24"/>
          <w:szCs w:val="24"/>
        </w:rPr>
        <w:t xml:space="preserve"> Quattro antifascisti sloveni — </w:t>
      </w:r>
      <w:r>
        <w:rPr>
          <w:rFonts w:ascii="Barlow Semi Condensed" w:cs="Barlow Semi Condensed" w:eastAsia="Barlow Semi Condensed" w:hAnsi="Barlow Semi Condensed"/>
          <w:b/>
          <w:bCs/>
          <w:sz w:val="24"/>
          <w:szCs w:val="24"/>
        </w:rPr>
        <w:t xml:space="preserve">Ferdo Bidovec, Fran Marušič, Zvonimir Miloš, Alojz Valenčič</w:t>
      </w:r>
      <w:r>
        <w:rPr>
          <w:rFonts w:ascii="Barlow Semi Condensed" w:cs="Barlow Semi Condensed" w:eastAsia="Barlow Semi Condensed" w:hAnsi="Barlow Semi Condensed"/>
          <w:sz w:val="24"/>
          <w:szCs w:val="24"/>
        </w:rPr>
        <w:t xml:space="preserve"> — fucilati a </w:t>
      </w:r>
      <w:r>
        <w:rPr>
          <w:rFonts w:ascii="Barlow Semi Condensed" w:cs="Barlow Semi Condensed" w:eastAsia="Barlow Semi Condensed" w:hAnsi="Barlow Semi Condensed"/>
          <w:b/>
          <w:bCs/>
          <w:sz w:val="24"/>
          <w:szCs w:val="24"/>
        </w:rPr>
        <w:t xml:space="preserve">Basovizza il 6 settembre 1930</w:t>
      </w:r>
      <w:r>
        <w:rPr>
          <w:rFonts w:ascii="Barlow Semi Condensed" w:cs="Barlow Semi Condensed" w:eastAsia="Barlow Semi Condensed" w:hAnsi="Barlow Semi Condensed"/>
          <w:sz w:val="24"/>
          <w:szCs w:val="24"/>
        </w:rPr>
        <w:t xml:space="preserve"> (Grosseto Contemporanea (http://www.grossetocontemporanea.it/fucilati-di-basovizza/)).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Secondo processo di Trieste (2-14 dicembre 1941).</w:t>
      </w:r>
      <w:r>
        <w:rPr>
          <w:rFonts w:ascii="Barlow Semi Condensed" w:cs="Barlow Semi Condensed" w:eastAsia="Barlow Semi Condensed" w:hAnsi="Barlow Semi Condensed"/>
          <w:sz w:val="24"/>
          <w:szCs w:val="24"/>
        </w:rPr>
        <w:t xml:space="preserve"> Il Tribunale tornò a Trieste in trasferta e giudicò </w:t>
      </w:r>
      <w:r>
        <w:rPr>
          <w:rFonts w:ascii="Barlow Semi Condensed" w:cs="Barlow Semi Condensed" w:eastAsia="Barlow Semi Condensed" w:hAnsi="Barlow Semi Condensed"/>
          <w:b/>
          <w:bCs/>
          <w:sz w:val="24"/>
          <w:szCs w:val="24"/>
        </w:rPr>
        <w:t xml:space="preserve">sessanta imputati sloveni</w:t>
      </w:r>
      <w:r>
        <w:rPr>
          <w:rFonts w:ascii="Barlow Semi Condensed" w:cs="Barlow Semi Condensed" w:eastAsia="Barlow Semi Condensed" w:hAnsi="Barlow Semi Condensed"/>
          <w:sz w:val="24"/>
          <w:szCs w:val="24"/>
        </w:rPr>
        <w:t xml:space="preserve">, raggruppati dall'accusa in tre categorie — ventidue intellettuali di orientamento liberale e cristiano, ventisei comunisti, dodici membri del </w:t>
      </w:r>
      <w:r>
        <w:rPr>
          <w:rFonts w:ascii="Barlow Semi Condensed" w:cs="Barlow Semi Condensed" w:eastAsia="Barlow Semi Condensed" w:hAnsi="Barlow Semi Condensed"/>
          <w:b/>
          <w:bCs/>
          <w:sz w:val="24"/>
          <w:szCs w:val="24"/>
        </w:rPr>
        <w:t xml:space="preserve">TIGR</w:t>
      </w:r>
      <w:r>
        <w:rPr>
          <w:rFonts w:ascii="Barlow Semi Condensed" w:cs="Barlow Semi Condensed" w:eastAsia="Barlow Semi Condensed" w:hAnsi="Barlow Semi Condensed"/>
          <w:sz w:val="24"/>
          <w:szCs w:val="24"/>
        </w:rPr>
        <w:t xml:space="preserve"> — unificati dalla formula del «complotto contro l'integrità dello Stato». Cinque i fucilati, il </w:t>
      </w:r>
      <w:r>
        <w:rPr>
          <w:rFonts w:ascii="Barlow Semi Condensed" w:cs="Barlow Semi Condensed" w:eastAsia="Barlow Semi Condensed" w:hAnsi="Barlow Semi Condensed"/>
          <w:b/>
          <w:bCs/>
          <w:sz w:val="24"/>
          <w:szCs w:val="24"/>
        </w:rPr>
        <w:t xml:space="preserve">15 dicembre 1941 al poligono di Opicina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Pinko Tomažič, Viktor Bobek, Ivan Ivančič, Simon Kos, Ivan Vadnal</w:t>
      </w:r>
      <w:r>
        <w:rPr>
          <w:rFonts w:ascii="Barlow Semi Condensed" w:cs="Barlow Semi Condensed" w:eastAsia="Barlow Semi Condensed" w:hAnsi="Barlow Semi Condensed"/>
          <w:sz w:val="24"/>
          <w:szCs w:val="24"/>
        </w:rPr>
        <w:t xml:space="preserve"> (La Bottega del Barbieri (https://www.labottegadelbarbieri.org/trieste-1941-processi-fascisti-e-lotta-di-liberazione/); Wikipedia IT, Pinko Tomažič (https://it.wikipedia.org/wiki/Pinko_Toma%C5%BEi%C4%8D); ANPI Trieste (https://www.anpits.it/)). Tomažič è oggi eroe nazionale in Slovenia.</w:t>
      </w:r>
    </w:p>
    <w:p>
      <w:pPr>
        <w:spacing w:after="120" w:line="276"/>
        <w:jc w:val="both"/>
      </w:pPr>
      <w:r>
        <w:rPr>
          <w:rFonts w:ascii="Barlow Semi Condensed" w:cs="Barlow Semi Condensed" w:eastAsia="Barlow Semi Condensed" w:hAnsi="Barlow Semi Condensed"/>
          <w:sz w:val="24"/>
          <w:szCs w:val="24"/>
        </w:rPr>
        <w:t xml:space="preserve">Il sottonodo precisa la natura </w:t>
      </w:r>
      <w:r>
        <w:rPr>
          <w:rFonts w:ascii="Barlow Semi Condensed" w:cs="Barlow Semi Condensed" w:eastAsia="Barlow Semi Condensed" w:hAnsi="Barlow Semi Condensed"/>
          <w:b/>
          <w:bCs/>
          <w:sz w:val="24"/>
          <w:szCs w:val="24"/>
        </w:rPr>
        <w:t xml:space="preserve">anche nazionale</w:t>
      </w:r>
      <w:r>
        <w:rPr>
          <w:rFonts w:ascii="Barlow Semi Condensed" w:cs="Barlow Semi Condensed" w:eastAsia="Barlow Semi Condensed" w:hAnsi="Barlow Semi Condensed"/>
          <w:sz w:val="24"/>
          <w:szCs w:val="24"/>
        </w:rPr>
        <w:t xml:space="preserve"> della repressione: contro le minoranze slave della Venezia Giulia il Tribunale operò come strumento dell'italianizzazione forzata, e la costruzione unificante del «complotto» — che saldava in un solo disegno liberali, comunisti e irredentisti — è l'esempio più puro del suo metodo accusatorio.</w:t>
      </w:r>
    </w:p>
    <w:p>
      <w:pPr>
        <w:pStyle w:val="Heading2"/>
        <w:spacing w:after="100" w:before="200"/>
      </w:pPr>
      <w:r>
        <w:rPr>
          <w:rFonts w:ascii="Barlow Semi Condensed" w:cs="Barlow Semi Condensed" w:eastAsia="Barlow Semi Condensed" w:hAnsi="Barlow Semi Condensed"/>
          <w:sz w:val="24"/>
          <w:szCs w:val="24"/>
        </w:rPr>
        <w:t xml:space="preserve">S-4 · Prosopografia: i condannati che fecero la Repubblica</w:t>
      </w:r>
    </w:p>
    <w:p>
      <w:pPr>
        <w:spacing w:after="120" w:line="276"/>
        <w:jc w:val="both"/>
      </w:pPr>
      <w:r>
        <w:rPr>
          <w:rFonts w:ascii="Barlow Semi Condensed" w:cs="Barlow Semi Condensed" w:eastAsia="Barlow Semi Condensed" w:hAnsi="Barlow Semi Condensed"/>
          <w:sz w:val="24"/>
          <w:szCs w:val="24"/>
        </w:rPr>
        <w:t xml:space="preserve">Il rovesciamento prosopografico accennato nello studio principale, qui documentato caso per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Condannato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Condanna del Tribunale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Ruolo nella Repubblica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Antonio Gramsci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 giugno 1928 («processone»): 20 anni, 4 mesi e 5 giorni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Morì il 27 aprile 1937; i </w:t>
            </w:r>
            <w:r>
              <w:rPr>
                <w:rFonts w:ascii="Barlow Semi Condensed" w:cs="Barlow Semi Condensed" w:eastAsia="Barlow Semi Condensed" w:hAnsi="Barlow Semi Condensed"/>
                <w:i/>
                <w:iCs/>
                <w:sz w:val="20"/>
                <w:szCs w:val="20"/>
              </w:rPr>
              <w:t xml:space="preserve">Quaderni</w:t>
            </w:r>
            <w:r>
              <w:rPr>
                <w:rFonts w:ascii="Barlow Semi Condensed" w:cs="Barlow Semi Condensed" w:eastAsia="Barlow Semi Condensed" w:hAnsi="Barlow Semi Condensed"/>
                <w:sz w:val="20"/>
                <w:szCs w:val="20"/>
              </w:rPr>
              <w:t xml:space="preserve"> divennero un fondamento della cultura repubblicana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Umberto Terracini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«processone» 1928: la pena più alta, oltre ventidue anni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Presidente dell'Assemblea Costituente</w:t>
            </w:r>
            <w:r>
              <w:rPr>
                <w:rFonts w:ascii="Barlow Semi Condensed" w:cs="Barlow Semi Condensed" w:eastAsia="Barlow Semi Condensed" w:hAnsi="Barlow Semi Condensed"/>
                <w:sz w:val="20"/>
                <w:szCs w:val="20"/>
              </w:rPr>
              <w:t xml:space="preserve"> (1947-48): firmò la Costituzione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Sandro Pertini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30 novembre 1929: </w:t>
            </w:r>
            <w:r>
              <w:rPr>
                <w:rFonts w:ascii="Barlow Semi Condensed" w:cs="Barlow Semi Condensed" w:eastAsia="Barlow Semi Condensed" w:hAnsi="Barlow Semi Condensed"/>
                <w:b/>
                <w:bCs/>
                <w:sz w:val="20"/>
                <w:szCs w:val="20"/>
              </w:rPr>
              <w:t xml:space="preserve">10 anni e 9 mesi</w:t>
            </w:r>
            <w:r>
              <w:rPr>
                <w:rFonts w:ascii="Barlow Semi Condensed" w:cs="Barlow Semi Condensed" w:eastAsia="Barlow Semi Condensed" w:hAnsi="Barlow Semi Condensed"/>
                <w:sz w:val="20"/>
                <w:szCs w:val="20"/>
              </w:rPr>
              <w:t xml:space="preserve"> più 3 anni di vigilanza speciale (arrestato a Pisa il 14 aprile 1929)</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Presidente della Repubblica</w:t>
            </w:r>
            <w:r>
              <w:rPr>
                <w:rFonts w:ascii="Barlow Semi Condensed" w:cs="Barlow Semi Condensed" w:eastAsia="Barlow Semi Condensed" w:hAnsi="Barlow Semi Condensed"/>
                <w:sz w:val="20"/>
                <w:szCs w:val="20"/>
              </w:rPr>
              <w:t xml:space="preserve"> (1978-1985) (Quirinale, biografia (https://presidenti.quirinale.it/page/7/per-biografia.html); Treccani (https://www.treccani.it/enciclopedia/alessandro-pertini_(Dizionario-Biografico)/))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Camilla Ravera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novembre 1930: </w:t>
            </w:r>
            <w:r>
              <w:rPr>
                <w:rFonts w:ascii="Barlow Semi Condensed" w:cs="Barlow Semi Condensed" w:eastAsia="Barlow Semi Condensed" w:hAnsi="Barlow Semi Condensed"/>
                <w:b/>
                <w:bCs/>
                <w:sz w:val="20"/>
                <w:szCs w:val="20"/>
              </w:rPr>
              <w:t xml:space="preserve">15 anni e 6 mesi</w:t>
            </w:r>
            <w:r>
              <w:rPr>
                <w:rFonts w:ascii="Barlow Semi Condensed" w:cs="Barlow Semi Condensed" w:eastAsia="Barlow Semi Condensed" w:hAnsi="Barlow Semi Condensed"/>
                <w:sz w:val="20"/>
                <w:szCs w:val="20"/>
              </w:rPr>
              <w:t xml:space="preserve"> per ricostituzione del PCI (arrestata il 10 luglio 1930)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Prima donna </w:t>
            </w:r>
            <w:r>
              <w:rPr>
                <w:rFonts w:ascii="Barlow Semi Condensed" w:cs="Barlow Semi Condensed" w:eastAsia="Barlow Semi Condensed" w:hAnsi="Barlow Semi Condensed"/>
                <w:b/>
                <w:bCs/>
                <w:sz w:val="20"/>
                <w:szCs w:val="20"/>
              </w:rPr>
              <w:t xml:space="preserve">senatrice a vita</w:t>
            </w:r>
            <w:r>
              <w:rPr>
                <w:rFonts w:ascii="Barlow Semi Condensed" w:cs="Barlow Semi Condensed" w:eastAsia="Barlow Semi Condensed" w:hAnsi="Barlow Semi Condensed"/>
                <w:sz w:val="20"/>
                <w:szCs w:val="20"/>
              </w:rPr>
              <w:t xml:space="preserve"> (1982) (Treccani (https://www.treccani.it/enciclopedia/camilla-ravera_(Dizionario-Biografico)/); ANPPIA (https://anppia.it/antifascisti/ravera-camilla/))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Mauro Scoccimarro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«processone» 1928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Ministro delle finanze della Repubblica, senatore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coincidenza cronologica ha un vertice simbolico documentato: </w:t>
      </w:r>
      <w:r>
        <w:rPr>
          <w:rFonts w:ascii="Barlow Semi Condensed" w:cs="Barlow Semi Condensed" w:eastAsia="Barlow Semi Condensed" w:hAnsi="Barlow Semi Condensed"/>
          <w:b/>
          <w:bCs/>
          <w:sz w:val="24"/>
          <w:szCs w:val="24"/>
        </w:rPr>
        <w:t xml:space="preserve">nel 1978 il Presidente della Repubblica era un condannato del Tribunale Speciale</w:t>
      </w:r>
      <w:r>
        <w:rPr>
          <w:rFonts w:ascii="Barlow Semi Condensed" w:cs="Barlow Semi Condensed" w:eastAsia="Barlow Semi Condensed" w:hAnsi="Barlow Semi Condensed"/>
          <w:sz w:val="24"/>
          <w:szCs w:val="24"/>
        </w:rPr>
        <w:t xml:space="preserve"> — Pertini, eletto l'8 luglio 1978, due mesi dopo via Caetani. L'anno più buio della Repubblica ebbe al Quirinale un uomo che il giudice speciale del regime aveva spedito in carcere mezzo secolo prima. Si registra come fatto, senza caricarlo di più di quel che dice.</w:t>
      </w:r>
    </w:p>
    <w:p>
      <w:pPr>
        <w:pStyle w:val="Heading2"/>
        <w:spacing w:after="100" w:before="200"/>
      </w:pPr>
      <w:r>
        <w:rPr>
          <w:rFonts w:ascii="Barlow Semi Condensed" w:cs="Barlow Semi Condensed" w:eastAsia="Barlow Semi Condensed" w:hAnsi="Barlow Semi Condensed"/>
          <w:sz w:val="24"/>
          <w:szCs w:val="24"/>
        </w:rPr>
        <w:t xml:space="preserve">S-5 · La scala bolognese: il campione del branch dentro i numeri nazionali</w:t>
      </w:r>
    </w:p>
    <w:p>
      <w:pPr>
        <w:spacing w:after="120" w:line="276"/>
        <w:jc w:val="both"/>
      </w:pPr>
      <w:r>
        <w:rPr>
          <w:rFonts w:ascii="Barlow Semi Condensed" w:cs="Barlow Semi Condensed" w:eastAsia="Barlow Semi Condensed" w:hAnsi="Barlow Semi Condensed"/>
          <w:sz w:val="24"/>
          <w:szCs w:val="24"/>
        </w:rPr>
        <w:t xml:space="preserve">Il primo documento del branch nasce dall'archivio bolognese, che censisce </w:t>
      </w:r>
      <w:r>
        <w:rPr>
          <w:rFonts w:ascii="Barlow Semi Condensed" w:cs="Barlow Semi Condensed" w:eastAsia="Barlow Semi Condensed" w:hAnsi="Barlow Semi Condensed"/>
          <w:b/>
          <w:bCs/>
          <w:sz w:val="24"/>
          <w:szCs w:val="24"/>
        </w:rPr>
        <w:t xml:space="preserve">734 antifascisti deferiti</w:t>
      </w:r>
      <w:r>
        <w:rPr>
          <w:rFonts w:ascii="Barlow Semi Condensed" w:cs="Barlow Semi Condensed" w:eastAsia="Barlow Semi Condensed" w:hAnsi="Barlow Semi Condensed"/>
          <w:sz w:val="24"/>
          <w:szCs w:val="24"/>
        </w:rPr>
        <w:t xml:space="preserve"> al Tribunale e </w:t>
      </w:r>
      <w:r>
        <w:rPr>
          <w:rFonts w:ascii="Barlow Semi Condensed" w:cs="Barlow Semi Condensed" w:eastAsia="Barlow Semi Condensed" w:hAnsi="Barlow Semi Condensed"/>
          <w:b/>
          <w:bCs/>
          <w:sz w:val="24"/>
          <w:szCs w:val="24"/>
        </w:rPr>
        <w:t xml:space="preserve">384 condannati</w:t>
      </w:r>
      <w:r>
        <w:rPr>
          <w:rFonts w:ascii="Barlow Semi Condensed" w:cs="Barlow Semi Condensed" w:eastAsia="Barlow Semi Condensed" w:hAnsi="Barlow Semi Condensed"/>
          <w:sz w:val="24"/>
          <w:szCs w:val="24"/>
        </w:rPr>
        <w:t xml:space="preserve">. Rapportati alle cifre nazionali (15.806 deferiti, 4.596 condannati), i bolognesi risultano circa il </w:t>
      </w:r>
      <w:r>
        <w:rPr>
          <w:rFonts w:ascii="Barlow Semi Condensed" w:cs="Barlow Semi Condensed" w:eastAsia="Barlow Semi Condensed" w:hAnsi="Barlow Semi Condensed"/>
          <w:b/>
          <w:bCs/>
          <w:sz w:val="24"/>
          <w:szCs w:val="24"/>
        </w:rPr>
        <w:t xml:space="preserve">4,6% dei deferiti</w:t>
      </w:r>
      <w:r>
        <w:rPr>
          <w:rFonts w:ascii="Barlow Semi Condensed" w:cs="Barlow Semi Condensed" w:eastAsia="Barlow Semi Condensed" w:hAnsi="Barlow Semi Condensed"/>
          <w:sz w:val="24"/>
          <w:szCs w:val="24"/>
        </w:rPr>
        <w:t xml:space="preserve"> e circa l'</w:t>
      </w:r>
      <w:r>
        <w:rPr>
          <w:rFonts w:ascii="Barlow Semi Condensed" w:cs="Barlow Semi Condensed" w:eastAsia="Barlow Semi Condensed" w:hAnsi="Barlow Semi Condensed"/>
          <w:b/>
          <w:bCs/>
          <w:sz w:val="24"/>
          <w:szCs w:val="24"/>
        </w:rPr>
        <w:t xml:space="preserve">8,4% dei condannati</w:t>
      </w:r>
      <w:r>
        <w:rPr>
          <w:rFonts w:ascii="Barlow Semi Condensed" w:cs="Barlow Semi Condensed" w:eastAsia="Barlow Semi Condensed" w:hAnsi="Barlow Semi Condensed"/>
          <w:sz w:val="24"/>
          <w:szCs w:val="24"/>
        </w:rPr>
        <w:t xml:space="preserve">. La sproporzione fra le due quote è un dato interessante — suggerirebbe che i deferiti bolognesi venissero condannati più spesso della media — ma va maneggiata con una </w:t>
      </w:r>
      <w:r>
        <w:rPr>
          <w:rFonts w:ascii="Barlow Semi Condensed" w:cs="Barlow Semi Condensed" w:eastAsia="Barlow Semi Condensed" w:hAnsi="Barlow Semi Condensed"/>
          <w:b/>
          <w:bCs/>
          <w:sz w:val="24"/>
          <w:szCs w:val="24"/>
        </w:rPr>
        <w:t xml:space="preserve">cautela metodologica dichiarata</w:t>
      </w:r>
      <w:r>
        <w:rPr>
          <w:rFonts w:ascii="Barlow Semi Condensed" w:cs="Barlow Semi Condensed" w:eastAsia="Barlow Semi Condensed" w:hAnsi="Barlow Semi Condensed"/>
          <w:sz w:val="24"/>
          <w:szCs w:val="24"/>
        </w:rPr>
        <w:t xml:space="preserve">: il censimento bolognese è una ricerca locale con criteri propri di inclusione, non un estratto omogeneo della statistica nazionale, e il confronto fra le due serie è quindi </w:t>
      </w:r>
      <w:r>
        <w:rPr>
          <w:rFonts w:ascii="Barlow Semi Condensed" w:cs="Barlow Semi Condensed" w:eastAsia="Barlow Semi Condensed" w:hAnsi="Barlow Semi Condensed"/>
          <w:b/>
          <w:bCs/>
          <w:sz w:val="24"/>
          <w:szCs w:val="24"/>
        </w:rPr>
        <w:t xml:space="preserve">indicativo, non probante</w:t>
      </w:r>
      <w:r>
        <w:rPr>
          <w:rFonts w:ascii="Barlow Semi Condensed" w:cs="Barlow Semi Condensed" w:eastAsia="Barlow Semi Condensed" w:hAnsi="Barlow Semi Condensed"/>
          <w:sz w:val="24"/>
          <w:szCs w:val="24"/>
        </w:rPr>
        <w:t xml:space="preserve">. Si segnala la convergenza (Bologna rossa come bersaglio prioritario della repressione: coerente con le retate a grappolo delle schede) e non la si promuove a misura.</w:t>
      </w:r>
    </w:p>
    <w:p>
      <w:pPr>
        <w:pStyle w:val="Heading2"/>
        <w:spacing w:after="100" w:before="200"/>
      </w:pPr>
      <w:r>
        <w:rPr>
          <w:rFonts w:ascii="Barlow Semi Condensed" w:cs="Barlow Semi Condensed" w:eastAsia="Barlow Semi Condensed" w:hAnsi="Barlow Semi Condensed"/>
          <w:sz w:val="24"/>
          <w:szCs w:val="24"/>
        </w:rPr>
        <w:t xml:space="preserve">S-6 · Le donne davanti al Tribunale</w:t>
      </w:r>
    </w:p>
    <w:p>
      <w:pPr>
        <w:spacing w:after="120" w:line="276"/>
        <w:jc w:val="both"/>
      </w:pPr>
      <w:r>
        <w:rPr>
          <w:rFonts w:ascii="Barlow Semi Condensed" w:cs="Barlow Semi Condensed" w:eastAsia="Barlow Semi Condensed" w:hAnsi="Barlow Semi Condensed"/>
          <w:sz w:val="24"/>
          <w:szCs w:val="24"/>
        </w:rPr>
        <w:t xml:space="preserve">Filone documentato dalla storiografia (cfr. il volume ANPI </w:t>
      </w:r>
      <w:r>
        <w:rPr>
          <w:rFonts w:ascii="Barlow Semi Condensed" w:cs="Barlow Semi Condensed" w:eastAsia="Barlow Semi Condensed" w:hAnsi="Barlow Semi Condensed"/>
          <w:i/>
          <w:iCs/>
          <w:sz w:val="24"/>
          <w:szCs w:val="24"/>
        </w:rPr>
        <w:t xml:space="preserve">Donne davanti al Tribunale Speciale</w:t>
      </w:r>
      <w:r>
        <w:rPr>
          <w:rFonts w:ascii="Barlow Semi Condensed" w:cs="Barlow Semi Condensed" w:eastAsia="Barlow Semi Condensed" w:hAnsi="Barlow Semi Condensed"/>
          <w:sz w:val="24"/>
          <w:szCs w:val="24"/>
        </w:rPr>
        <w:t xml:space="preserve">, scheda (https://www.anpi.it/libri/donne-davanti-al-tribunale-speciale)): le militanti antifasciste giudicate dall'organo, di cui il caso Ravera (S-4) è il più alto per pena e per parabola successiva. Il sottonodo si limita a segnalare il filone e la fonte: le cifre disaggregate per genere non sono state riscontrate in sessione su fonte indipendente, e per la Regola di Ferro non se ne danno.</w:t>
      </w:r>
    </w:p>
    <w:p>
      <w:pPr>
        <w:pStyle w:val="Heading2"/>
        <w:spacing w:after="100" w:before="200"/>
      </w:pPr>
      <w:r>
        <w:rPr>
          <w:rFonts w:ascii="Barlow Semi Condensed" w:cs="Barlow Semi Condensed" w:eastAsia="Barlow Semi Condensed" w:hAnsi="Barlow Semi Condensed"/>
          <w:sz w:val="24"/>
          <w:szCs w:val="24"/>
        </w:rPr>
        <w:t xml:space="preserve">S-7 · La svolta di guerra (1940-1943)</w:t>
      </w:r>
    </w:p>
    <w:p>
      <w:pPr>
        <w:spacing w:after="120" w:line="276"/>
        <w:jc w:val="both"/>
      </w:pPr>
      <w:r>
        <w:rPr>
          <w:rFonts w:ascii="Barlow Semi Condensed" w:cs="Barlow Semi Condensed" w:eastAsia="Barlow Semi Condensed" w:hAnsi="Barlow Semi Condensed"/>
          <w:sz w:val="24"/>
          <w:szCs w:val="24"/>
        </w:rPr>
        <w:t xml:space="preserve">L'ingresso in guerra trasformò il regime sanzionatorio: secondo la voce enciclopedica di riferimento, </w:t>
      </w:r>
      <w:r>
        <w:rPr>
          <w:rFonts w:ascii="Barlow Semi Condensed" w:cs="Barlow Semi Condensed" w:eastAsia="Barlow Semi Condensed" w:hAnsi="Barlow Semi Condensed"/>
          <w:b/>
          <w:bCs/>
          <w:sz w:val="24"/>
          <w:szCs w:val="24"/>
        </w:rPr>
        <w:t xml:space="preserve">negli anni di guerra furono pronunciate 33 condanne a morte e 22 eseguite</w:t>
      </w:r>
      <w:r>
        <w:rPr>
          <w:rFonts w:ascii="Barlow Semi Condensed" w:cs="Barlow Semi Condensed" w:eastAsia="Barlow Semi Condensed" w:hAnsi="Barlow Semi Condensed"/>
          <w:sz w:val="24"/>
          <w:szCs w:val="24"/>
        </w:rPr>
        <w:t xml:space="preserve"> per fatti connessi al conflitto (spionaggio, sabotaggio, reati annonari aggravati) (Wikipedia EN (https://en.wikipedia.org/wiki/Tribunale_speciale_per_la_difesa_dello_Stato_(1926%E2%80%931943))) — cioè la </w:t>
      </w:r>
      <w:r>
        <w:rPr>
          <w:rFonts w:ascii="Barlow Semi Condensed" w:cs="Barlow Semi Condensed" w:eastAsia="Barlow Semi Condensed" w:hAnsi="Barlow Semi Condensed"/>
          <w:b/>
          <w:bCs/>
          <w:sz w:val="24"/>
          <w:szCs w:val="24"/>
        </w:rPr>
        <w:t xml:space="preserve">grande maggioranza delle 42 pronunciate e 31 eseguite dell'intero sedicennio</w:t>
      </w:r>
      <w:r>
        <w:rPr>
          <w:rFonts w:ascii="Barlow Semi Condensed" w:cs="Barlow Semi Condensed" w:eastAsia="Barlow Semi Condensed" w:hAnsi="Barlow Semi Condensed"/>
          <w:sz w:val="24"/>
          <w:szCs w:val="24"/>
        </w:rPr>
        <w:t xml:space="preserve">. Il Tribunale «di pace» aveva ucciso con parsimonia calcolata (l'eco internazionale del caso Della Maggiora insegnò al regime il costo delle esecuzioni); il Tribunale di guerra uccise come un tribunale di guerra. Le due fasi vanno tenute distinte in ogni bilancio: la ferocia dell'istituto non fu costante, fu </w:t>
      </w:r>
      <w:r>
        <w:rPr>
          <w:rFonts w:ascii="Barlow Semi Condensed" w:cs="Barlow Semi Condensed" w:eastAsia="Barlow Semi Condensed" w:hAnsi="Barlow Semi Condensed"/>
          <w:b/>
          <w:bCs/>
          <w:sz w:val="24"/>
          <w:szCs w:val="24"/>
        </w:rPr>
        <w:t xml:space="preserve">crescente</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S-8 · Il dopoguerra dei giudici: la questione dell'impunità</w:t>
      </w:r>
    </w:p>
    <w:p>
      <w:pPr>
        <w:spacing w:after="120" w:line="276"/>
        <w:jc w:val="both"/>
      </w:pPr>
      <w:r>
        <w:rPr>
          <w:rFonts w:ascii="Barlow Semi Condensed" w:cs="Barlow Semi Condensed" w:eastAsia="Barlow Semi Condensed" w:hAnsi="Barlow Semi Condensed"/>
          <w:sz w:val="24"/>
          <w:szCs w:val="24"/>
        </w:rPr>
        <w:t xml:space="preserve">Ultimo sottonodo, dichiarato nel suo grado. La storiografia ha posto il tema della </w:t>
      </w:r>
      <w:r>
        <w:rPr>
          <w:rFonts w:ascii="Barlow Semi Condensed" w:cs="Barlow Semi Condensed" w:eastAsia="Barlow Semi Condensed" w:hAnsi="Barlow Semi Condensed"/>
          <w:b/>
          <w:bCs/>
          <w:sz w:val="24"/>
          <w:szCs w:val="24"/>
        </w:rPr>
        <w:t xml:space="preserve">sostanziale impunità postbellica</w:t>
      </w:r>
      <w:r>
        <w:rPr>
          <w:rFonts w:ascii="Barlow Semi Condensed" w:cs="Barlow Semi Condensed" w:eastAsia="Barlow Semi Condensed" w:hAnsi="Barlow Semi Condensed"/>
          <w:sz w:val="24"/>
          <w:szCs w:val="24"/>
        </w:rPr>
        <w:t xml:space="preserve"> dei componenti del Tribunale (emblematico il titolo del saggio ripreso da Micciacorta: «Alla fiera dell'impunità. Il Tribunale speciale di Mussolini» (https://www.micciacorta.it/2017/01/22926/)): a differenza delle vittime, censite nome per nome dall'ANPPIA, i giudici non conobbero — nel loro complesso — processi né epurazioni proporzionate al ruolo svolto. Il sottonodo registra il </w:t>
      </w:r>
      <w:r>
        <w:rPr>
          <w:rFonts w:ascii="Barlow Semi Condensed" w:cs="Barlow Semi Condensed" w:eastAsia="Barlow Semi Condensed" w:hAnsi="Barlow Semi Condensed"/>
          <w:b/>
          <w:bCs/>
          <w:sz w:val="24"/>
          <w:szCs w:val="24"/>
        </w:rPr>
        <w:t xml:space="preserve">tema storiografico e la sua fonte</w:t>
      </w:r>
      <w:r>
        <w:rPr>
          <w:rFonts w:ascii="Barlow Semi Condensed" w:cs="Barlow Semi Condensed" w:eastAsia="Barlow Semi Condensed" w:hAnsi="Barlow Semi Condensed"/>
          <w:sz w:val="24"/>
          <w:szCs w:val="24"/>
        </w:rPr>
        <w:t xml:space="preserve">; i percorsi individuali dei singoli giudici nel dopoguerra non sono stati verificati in sessione e non se ne afferma alcuno. Resta il dato strutturale, documentato altrove nel corpus per altre vicende: le transizioni italiane puniscono raramente gli apparati.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Registro dei sottonodi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Sottonodo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tre presidenti e la fascistizzazione del vertice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OVRA e istruttoria: la retata come metodo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(riscontro interno con le schede bolognesi)</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due processi di Trieste e la repressione anti-slava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Prosopografia dei condannati che fecero la Repubblica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scala bolognese (4,6% dei deferiti, 8,4% dei condannati)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Convergenza con cautela metodologica dichiarata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donne davanti al Tribunale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Filone segnalato; cifre non riscontrate, non date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svolta di guerra (33 condanne a morte pronunciate, 22 eseguite)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su fonte enciclopedica, dichiarata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L'impunità postbellica dei giudici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Tema storiografico; nessun percorso individuale affermato</w:t>
            </w:r>
          </w:p>
        </w:tc>
      </w:tr>
    </w:tbl>
    <w:p>
      <w:pPr>
        <w:spacing w:after="80"/>
      </w:pP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Approfondimento in otto sottonodi dello studio sul Tribunale Speciale. Ogni sottonodo con fonti e grado dichiarati; i due sottonodi non pienamente riscontrabili (S-6, S-8) sono lasciati al livello che le fonti consentono. Nessuna imputazione oltre il giudicato; nessun uso polemico retroattivo.</w:t>
      </w:r>
    </w:p>
    <w:p>
      <w:pPr>
        <w:pStyle w:val="Heading3"/>
        <w:spacing w:after="80" w:before="240"/>
      </w:pPr>
      <w:r>
        <w:rPr>
          <w:rFonts w:ascii="Barlow Semi Condensed" w:cs="Barlow Semi Condensed" w:eastAsia="Barlow Semi Condensed" w:hAnsi="Barlow Semi Condensed"/>
          <w:sz w:val="24"/>
          <w:szCs w:val="24"/>
        </w:rPr>
        <w:t xml:space="preserve">Apparato grafico — Libro sesto · Gli otto sottonodi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II: 1.269 parole in 9 sezioni; la più ampia è §4 S, con 220.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II: 17 indirizzi di fonte citati, addensati in 7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sesto — Il filo del 1926 — III. Gli amnistiati</w:t>
      </w:r>
    </w:p>
    <w:p>
      <w:pPr>
        <w:pStyle w:val="Heading1"/>
        <w:spacing w:after="120" w:before="240"/>
      </w:pPr>
      <w:r>
        <w:rPr>
          <w:rFonts w:ascii="Barlow Semi Condensed" w:cs="Barlow Semi Condensed" w:eastAsia="Barlow Semi Condensed" w:hAnsi="Barlow Semi Condensed"/>
          <w:sz w:val="24"/>
          <w:szCs w:val="24"/>
        </w:rPr>
        <w:t xml:space="preserve">Amnistiati del Tribunale Speciale per la Difesa dello Stato</w:t>
      </w:r>
    </w:p>
    <w:p>
      <w:pPr>
        <w:spacing w:after="120" w:line="276"/>
        <w:jc w:val="both"/>
      </w:pPr>
      <w:r>
        <w:rPr>
          <w:rFonts w:ascii="Barlow Semi Condensed" w:cs="Barlow Semi Condensed" w:eastAsia="Barlow Semi Condensed" w:hAnsi="Barlow Semi Condensed"/>
          <w:sz w:val="24"/>
          <w:szCs w:val="24"/>
        </w:rPr>
        <w:t xml:space="preserve">Elenco delle persone censite nell'archivio Storia e Memoria di Bologna (https://www.storiaememoriadibologna.it/archivio/organizzazioni/tribunale-speciale-la-difesa-dello-stato) che, dopo essere state condannate, deferite o ricercate dal Tribunale Speciale per la Difesa dello Stato (1926–1943), beneficiarono di un'amnistia.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metodologica e limiti.</w:t>
      </w:r>
      <w:r>
        <w:rPr>
          <w:rFonts w:ascii="Barlow Semi Condensed" w:cs="Barlow Semi Condensed" w:eastAsia="Barlow Semi Condensed" w:hAnsi="Barlow Semi Condensed"/>
          <w:i w:val="false"/>
          <w:iCs w:val="false"/>
          <w:sz w:val="24"/>
          <w:szCs w:val="24"/>
        </w:rPr>
        <w:t xml:space="preserve"> Il sito storiaememoriadibologna.it non è raggiungibile direttamente dall'ambiente di lavoro (accesso bloccato dalla policy di rete), quindi l'elenco è stato ricostruito interrogando sistematicamente i motori di ricerca sulle pagine dell'archivio. </w:t>
      </w:r>
      <w:r>
        <w:rPr>
          <w:rFonts w:ascii="Barlow Semi Condensed" w:cs="Barlow Semi Condensed" w:eastAsia="Barlow Semi Condensed" w:hAnsi="Barlow Semi Condensed"/>
          <w:b/>
          <w:bCs/>
          <w:i w:val="false"/>
          <w:iCs w:val="false"/>
          <w:sz w:val="24"/>
          <w:szCs w:val="24"/>
        </w:rPr>
        <w:t xml:space="preserve">L'elenco non è esaustivo</w:t>
      </w:r>
      <w:r>
        <w:rPr>
          <w:rFonts w:ascii="Barlow Semi Condensed" w:cs="Barlow Semi Condensed" w:eastAsia="Barlow Semi Condensed" w:hAnsi="Barlow Semi Condensed"/>
          <w:i w:val="false"/>
          <w:iCs w:val="false"/>
          <w:sz w:val="24"/>
          <w:szCs w:val="24"/>
        </w:rPr>
        <w:t xml:space="preserve">: l'archivio bolognese censisce 734 antifascisti deferiti al Tribunale Speciale, di cui 384 condannati, e la sola amnistia del decennale (4 novembre 1932) liberò a livello nazionale 639 dei 1.056 detenuti condannati dal Tribunale, oltre a 595 confinati. Qui sono riportati i casi individuali effettivamente rintracciati, ciascuno con il link alla scheda originale per la verifica.</w:t>
      </w:r>
    </w:p>
    <w:p>
      <w:pPr>
        <w:pStyle w:val="Heading2"/>
        <w:spacing w:after="100" w:before="200"/>
      </w:pPr>
      <w:r>
        <w:rPr>
          <w:rFonts w:ascii="Barlow Semi Condensed" w:cs="Barlow Semi Condensed" w:eastAsia="Barlow Semi Condensed" w:hAnsi="Barlow Semi Condensed"/>
          <w:sz w:val="24"/>
          <w:szCs w:val="24"/>
        </w:rPr>
        <w:t xml:space="preserve">Le amnistie durante il fascismo</w:t>
      </w:r>
    </w:p>
    <w:p>
      <w:pPr>
        <w:spacing w:after="120" w:line="276"/>
        <w:jc w:val="both"/>
      </w:pPr>
      <w:r>
        <w:rPr>
          <w:rFonts w:ascii="Barlow Semi Condensed" w:cs="Barlow Semi Condensed" w:eastAsia="Barlow Semi Condensed" w:hAnsi="Barlow Semi Condensed"/>
          <w:sz w:val="24"/>
          <w:szCs w:val="24"/>
        </w:rPr>
        <w:t xml:space="preserve">Secondo la scheda "Amnistie durante il Fascismo" (https://www.storiaememoriadibologna.it/archivio/eventi/amnistie-durante-il-fascismo) del medesimo archivio, durante il regime furono concesse </w:t>
      </w:r>
      <w:r>
        <w:rPr>
          <w:rFonts w:ascii="Barlow Semi Condensed" w:cs="Barlow Semi Condensed" w:eastAsia="Barlow Semi Condensed" w:hAnsi="Barlow Semi Condensed"/>
          <w:b/>
          <w:bCs/>
          <w:sz w:val="24"/>
          <w:szCs w:val="24"/>
        </w:rPr>
        <w:t xml:space="preserve">sette amnistie</w:t>
      </w:r>
      <w:r>
        <w:rPr>
          <w:rFonts w:ascii="Barlow Semi Condensed" w:cs="Barlow Semi Condensed" w:eastAsia="Barlow Semi Condensed" w:hAnsi="Barlow Semi Condensed"/>
          <w:sz w:val="24"/>
          <w:szCs w:val="24"/>
        </w:rPr>
        <w:t xml:space="preserve">. Le più rilevanti per i condannati del Tribunale Speciale: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5 novembre 1932</w:t>
      </w:r>
      <w:r>
        <w:rPr>
          <w:rFonts w:ascii="Barlow Semi Condensed" w:cs="Barlow Semi Condensed" w:eastAsia="Barlow Semi Condensed" w:hAnsi="Barlow Semi Condensed"/>
          <w:sz w:val="24"/>
          <w:szCs w:val="24"/>
        </w:rPr>
        <w:t xml:space="preserve"> – amnistia per il </w:t>
      </w:r>
      <w:r>
        <w:rPr>
          <w:rFonts w:ascii="Barlow Semi Condensed" w:cs="Barlow Semi Condensed" w:eastAsia="Barlow Semi Condensed" w:hAnsi="Barlow Semi Condensed"/>
          <w:b/>
          <w:bCs/>
          <w:sz w:val="24"/>
          <w:szCs w:val="24"/>
        </w:rPr>
        <w:t xml:space="preserve">decennale fascista</w:t>
      </w:r>
      <w:r>
        <w:rPr>
          <w:rFonts w:ascii="Barlow Semi Condensed" w:cs="Barlow Semi Condensed" w:eastAsia="Barlow Semi Condensed" w:hAnsi="Barlow Semi Condensed"/>
          <w:sz w:val="24"/>
          <w:szCs w:val="24"/>
        </w:rPr>
        <w:t xml:space="preserve">: restituì la libertà a migliaia di antifascisti condannati dal Tribunale Speciale o confinati nelle isole (639 detenuti liberati su 1.056, più 595 confinati).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17 ottobre 1942</w:t>
      </w:r>
      <w:r>
        <w:rPr>
          <w:rFonts w:ascii="Barlow Semi Condensed" w:cs="Barlow Semi Condensed" w:eastAsia="Barlow Semi Condensed" w:hAnsi="Barlow Semi Condensed"/>
          <w:sz w:val="24"/>
          <w:szCs w:val="24"/>
        </w:rPr>
        <w:t xml:space="preserve"> – amnistia per il </w:t>
      </w:r>
      <w:r>
        <w:rPr>
          <w:rFonts w:ascii="Barlow Semi Condensed" w:cs="Barlow Semi Condensed" w:eastAsia="Barlow Semi Condensed" w:hAnsi="Barlow Semi Condensed"/>
          <w:b/>
          <w:bCs/>
          <w:sz w:val="24"/>
          <w:szCs w:val="24"/>
        </w:rPr>
        <w:t xml:space="preserve">ventennale fascista</w:t>
      </w:r>
      <w:r>
        <w:rPr>
          <w:rFonts w:ascii="Barlow Semi Condensed" w:cs="Barlow Semi Condensed" w:eastAsia="Barlow Semi Condensed" w:hAnsi="Barlow Semi Condensed"/>
          <w:sz w:val="24"/>
          <w:szCs w:val="24"/>
        </w:rPr>
        <w:t xml:space="preserve">: di portata molto limitata.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Amnistia del decennale fascista (novembre 1932 – 1933)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 e beneficio dell'amnistia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Alberoni Alfonso (https://www.storiaememoriadibologna.it/archivio/persone/alberoni-alfonso)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PSI. Arrestato il 15/5/1932 per offese pubbliche a Mussolini e deferito al Tribunale Speciale; prosciolto per l'amnistia del decennale, ma assegnato a 2 anni di confino alle isole Tremiti (fino al 17/6/1934).</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Alessandri Guido (https://www.storiaememoriadibologna.it/archivio/persone/alessandri-guido)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il 17/10/1927; detenuto a Bologna, Roma, Perugia, Viterbo e Alessandria; liberato nel dicembre 1932 per 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Bassi Ugo (https://www.storiaememoriadibologna.it/archivio/persone/bassi-ugo-1)</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il 27/8/1932 con altri 55 antifascisti (appartenenza al PCI e propaganda); prosciolto per amnistia con ordinanza del 10/12/1932.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Benfenati Modesto detto Boretti (https://www.storiaememoriadibologna.it/archivio/persone/benfenati-modesto-dettoa-boretti)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Ferroviere, PCI. Arrestato nel 1932; amnistiato con ordinanza del 10/12/1932 (poi confinato a Ponza nel 1933 e nuovamente condannato dal Tribunale Speciale a 6 anni nel 1938).</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Bernagozzi Lino (https://www.storiaememoriadibologna.it/archivio/persone/bernagozzi-lino)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PCI. Arrestato il 4/8/1932 con altri 54 militanti antifascisti e deferito al Tribunale Speciale per "riorganizzazione del PCI"; liberato il 12/12/1932.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Bignami Torquato (https://www.storiaememoriadibologna.it/archivio/persone/bignami-torquato)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23/1/1933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Brini Ubaldo (https://www.storiaememoriadibologna.it/brini-ubaldo-509655-persona)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con ordinanza n. 253 del 10/12/1932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Capelli Antonino detto Spartaco (https://www.storiaememoriadibologna.it/archivio/persone/capelli-antonino-dettoa-spartaco)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15/11/1932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Casadei Dino detto Bestione (https://www.storiaememoriadibologna.it/archivio/persone/casadei-dino-dettoa-bestione)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nell'agosto 1932 a Bologna; liberato nel dicembre 1932 grazie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Fabbri Alberto detto Cri Cri (https://www.storiaememoriadibologna.it/archivio/persone/fabbri-alberto-dettoa-cri-cri)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Condannato il 27/6/1928 a 9 anni, 10 mesi e 12 giorni di reclusione; liberato per amnistia e indulto il 28/11/1932.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Fabbri Andrea (https://www.storiaememoriadibologna.it/archivio/persone/fabbri-andrea)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15/11/1932; sottoposto a vigilanza speciale fino al 30/3/1936.</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Fiorini Mario (https://storiaememoriadibologna.it/archivio/persone/fiorini-mario-1)</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con ordinanza del 10/12/1932 per 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Gaiani Renato (https://www.storiaememoriadibologna.it/archivio/persone/gaiani-renato)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Socialista massimalista, accusato di appartenere all'organizzazione bolognese di Giustizia e Libertà; deferito al Tribunale Speciale e confinato a Lipari (5 anni dal 7/7/1931); tornò in libertà il 19/11/1932.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Ghini Cairo (https://www.storiaememoriadibologna.it/ghini-cairo-498297-persona)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Operaio meccanico, PCI. Arrestato il 26/8/1932 con altri 54 antifascisti e deferito per "organizzazione comunista"; il 12/12/1932 amnistiato, diffidato e liberato.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Lelli Giovanni detto Airone (https://storiaememoriadibologna.it/lelli-giovanni-513442-persona)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nel novembre 1932 per l'amnistia del decennale; in seguito sottoposto a sorveglianza.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Mainetti Cleto (https://storiaememoriadibologna.it/archivio/persone/mainetti-cleto)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Amnistiato il 13/11/1932 per il decennale fascista.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Manzoni Aldo (https://www.storiaememoriadibologna.it/archivio/persone/manzoni-aldo)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Tornò in libertà il 12/11/1932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Melotti Mario (https://www.storiaememoriadibologna.it/melotti-mario-516298-persona)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dal carcere di Padova il 17/11/1932 per 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Montanari Walter (https://www.storiaememoriadibologna.it/montanari-walter-498620-persona)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nel giugno 1932 (cellula PCI di Corticella, scritte murali antifasciste); assolto dal Tribunale Speciale il 12/12/1932 grazie all'amnistia; 2 anni di ammonizione.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Monterumici Bruno detto Roberti (https://www.storiaememoriadibologna.it/archivio/persone/monterumici-bruno-dettoa-roberti)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Dirigente FGCI. Condannato il 10/8/1928 a 7 anni e 10 mesi per "ricostituzione del PCI e propaganda sovversiva"; detenuto a Volterra e Viterbo; liberato il 5/11/1932.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Monti Diego (https://www.storiaememoriadibologna.it/archivio/persone/monti-diego)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Scarcerato il 12/11/1932 in seguito alla concessione dell'amnistia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Negrini Antonio (https://www.storiaememoriadibologna.it/archivio/persone/negrini-antonio)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Muratore, PCI (Medicina). Condannato il 24/6/1931 a 2 anni e 6 mesi; liberato il 5/11/1932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Olivieri Antonino, detto Antonio (https://www.storiaememoriadibologna.it/archivio/persone/olivieri-antonino-detto-antonio)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Falegname, PCI (Imola). Emigrato clandestinamente in Francia; il mandato di cattura fu revocato nel 1933 grazie all'amnistia del decennale (non rientrò mai in Italia).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Orsini Dante (https://www.storiaememoriadibologna.it/archivio/persone/orsini-dante)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15/12/1932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Ottani Agostino detto Sergio (https://www.storiaememoriadibologna.it/archivio/persone/ottani-agostino-dettoa-sergio)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dopo 2 anni di detenzione in occasione dell'amnistia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Piana Adelmo detto Calzolaio (https://www.storiaememoriadibologna.it/archivio/persone/piana-adelmo-dettoa-calzolaio)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con ordinanza del 10/12/1932, beneficiando dell'amnistia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Poletti Enrico (https://www.storiaememoriadibologna.it/archivio/persone/poletti-enrico)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14/11/1932 in seguito all'amnistia concessa per il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Poletti Guerrino (https://www.storiaememoriadibologna.it/archivio/persone/poletti-guerrino)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Colono, PCI (Imola). Deferito al Tribunale Speciale e prosciolto in istruttoria ma non liberato; confinato (Longobucco, Ventotene, Ustica); liberato il 27/2/1933 per 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Poletti Livio (https://www.storiaememoriadibologna.it/archivio/persone/poletti-livio)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PCI (Imola). Arrestato il 6/12/1930 con altri 88 antifascisti; condannato il 23/6/1931 a 3 anni, 1 mese e 5 giorni; liberato dal penitenziario di Alessandria il 7/11/1932.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Puca Luigi (https://www.storiaememoriadibologna.it/archivio/persone/puca-luigi)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Deferito al Tribunale Speciale per "associazione e propaganda sovversiva"; liberato senza processo il 10/11/1932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Randi Augusto (https://www.storiaememoriadibologna.it/archivio/persone/randi-augusto)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Amnistiato per il decennale fascista il 12/11/1932 e tornato in libertà.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Rebeggiani Carlo (https://www.storiaememoriadibologna.it/archivio/persone/rebeggiani-carlo)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Domanda di grazia respinta il 10/11/1931; ottenne la libertà il 15/11/1932 con l'amnistia del decennale. Classificato di "3ª categoria" (i più pericolosi politicamente).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Rinaldi Renato (https://www.storiaememoriadibologna.it/archivio/persone/rinaldi-renato)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con ordinanza del 10/12/1932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Scarabelli Giorgio detto Vincenzo (https://www.storiaememoriadibologna.it/archivio/persone/scarabelli-giorgio-dettoa-vincenzo)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il 16/11/1932, mentre era detenuto a Lucca, in seguito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Scardovi Aldo (https://www.storiaememoriadibologna.it/archivio/persone/scardovi-aldo)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Deferito al Tribunale Speciale il 16/5/1931 e condannato a 3 anni più 3 di vigilanza ("associazione e propaganda sovversiva, detenzione di armi"); liberato il 10/12/1932.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Serantoni Ezio detto Mezzanotte (https://www.storiaememoriadibologna.it/archivio/persone/serantoni-ezio-dettoa-mezzanotte-12)</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nel 1932 in seguito all'amnistia del decennale; vigilanza speciale fino al 19/4/1933.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Serravalli Domenico (https://www.storiaememoriadibologna.it/archivio/persone/serravalli-domenico)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il 7/9/1932 per "organizzazione comunista"; liberato il 10/12/1932 grazie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Tampieri Pio (https://www.storiaememoriadibologna.it/archivio/persone/tampieri-pio)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Tornò in libertà il 16/11/1932 in seguito alla concessione dell'amnistia per il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Tarozzi Leonildo detto Leo Nardini (https://www.storiaememoriadibologna.it/archivio/persone/tarozzi-leonildo-dettoa-leo-nardini)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Condannato per "organizzazione comunista tendente all'insurrezione armata" a 14 anni e 9 mesi (16 anni totali con la conversione della multa); liberato dopo 7 anni di carcere grazie all'amnistia del decennale.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Testoni Francesco (https://www.storiaememoriadibologna.it/archivio/persone/testoni-francesco)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con altri 116 militanti antifascisti e deferito per "ricostituzione del PCI e propaganda sovversiva"; liberato il 26/11/1932.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Tirapani Mario (https://www.storiaememoriadibologna.it/archivio/persone/tirapani-mario)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Tornò in libertà il 5/12/1932 in seguito alla concessione dell'amnistia per il decennale.</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Amnistiato ma non scarcerato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Nannetti Nerio detto Sergio (https://www.storiaememoriadibologna.it/archivio/persone/nannetti-nerio-dettoa-sergio)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Amnistiato per il decennale il 24/11/1932 ma </w:t>
            </w:r>
            <w:r>
              <w:rPr>
                <w:rFonts w:ascii="Barlow Semi Condensed" w:cs="Barlow Semi Condensed" w:eastAsia="Barlow Semi Condensed" w:hAnsi="Barlow Semi Condensed"/>
                <w:b/>
                <w:bCs/>
                <w:sz w:val="20"/>
                <w:szCs w:val="20"/>
              </w:rPr>
              <w:t xml:space="preserve">non scarcerato</w:t>
            </w:r>
            <w:r>
              <w:rPr>
                <w:rFonts w:ascii="Barlow Semi Condensed" w:cs="Barlow Semi Condensed" w:eastAsia="Barlow Semi Condensed" w:hAnsi="Barlow Semi Condensed"/>
                <w:sz w:val="20"/>
                <w:szCs w:val="20"/>
              </w:rPr>
              <w:t xml:space="preserve">; fu liberato dal carcere di San Giovanni in Monte (Bologna) solo nella notte tra l'8 e il 9 agosto 1944, da un'azione partigiana.</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Escluso dall'amnistia (caso documentato)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Martelli Dino (https://www.storiaememoriadibologna.it/archivio/persone/martelli-dino)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Non</w:t>
            </w:r>
            <w:r>
              <w:rPr>
                <w:rFonts w:ascii="Barlow Semi Condensed" w:cs="Barlow Semi Condensed" w:eastAsia="Barlow Semi Condensed" w:hAnsi="Barlow Semi Condensed"/>
                <w:sz w:val="20"/>
                <w:szCs w:val="20"/>
              </w:rPr>
              <w:t xml:space="preserve"> beneficiò dell'amnistia del decennale, come la maggior parte dei quadri antifascisti più esposti: con provvedimento del 10/12/1932 fu sottoposto a istruttoria suppletiva per "riorganizzazione di partito disciolto".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Amnistia del ventennale fascista (ottobre 1942)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 e beneficio dell'amnistia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Minghetti Erminio (https://storiaememoriadibologna.it/archivio/persone/minghetti-erminio)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Assegnato al confino il 1/6/1942; non fece in tempo a esservi tradotto perché il mese successivo fu concessa l'amnistia per il ventennale fascista.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Mondini Torquato detto Mario (https://www.storiaememoriadibologna.it/archivio/persone/mondini-torquato-detto-mario)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Emigrato a Reims; colpito nel 1934 da mandato di cattura per lettere critiche verso il regime intercettate; il mandato fu revocato nel 1942 in seguito all'amnistia del ventennale.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Pancaldi Alfredo (https://www.storiaememoriadibologna.it/archivio/persone/pancaldi-alfredo)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il 7/5/1942 a Malalbergo per attività antifascista; amnistiato per il ventennale il mese successivo; il 13/7/1942 ammonito e scarcerato.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Zanotti Gilberto detto Gil (https://www.storiaememoriadibologna.it/archivio/persone/zanotti-gilberto-dettoa-gil)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Tornò in libertà il 2/11/1942 in seguito alla concessione dell'amnistia per il ventennale fascista.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Altre amnistie del periodo fascista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 e beneficio dell'amnistia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Bastia Noè (https://www.storiaememoriadibologna.it/archivio/luoghi/granarolo-dellemilia-bo-1)</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Liberato dal carcere nel 1927 in seguito ad amnistia; prese residenza a Bologna riprendendo il lavoro di muratore.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Betti Paolo (https://www.storiaememoriadibologna.it/archivio/persone/betti-paolo)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nel 1925 per detenzione e diffusione di materiale di propaganda ("attentato alla sicurezza dello Stato"): solo l'amnistia concessa per l'</w:t>
            </w:r>
            <w:r>
              <w:rPr>
                <w:rFonts w:ascii="Barlow Semi Condensed" w:cs="Barlow Semi Condensed" w:eastAsia="Barlow Semi Condensed" w:hAnsi="Barlow Semi Condensed"/>
                <w:b/>
                <w:bCs/>
                <w:sz w:val="20"/>
                <w:szCs w:val="20"/>
              </w:rPr>
              <w:t xml:space="preserve">Anno Santo</w:t>
            </w:r>
            <w:r>
              <w:rPr>
                <w:rFonts w:ascii="Barlow Semi Condensed" w:cs="Barlow Semi Condensed" w:eastAsia="Barlow Semi Condensed" w:hAnsi="Barlow Semi Condensed"/>
                <w:sz w:val="20"/>
                <w:szCs w:val="20"/>
              </w:rPr>
              <w:t xml:space="preserve"> gli evitò la condanna. In seguito condannato dal Tribunale Speciale.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Ferroni Alberto (https://www.storiaememoriadibologna.it/archivio/persone/ferroni-alberto)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Tornò in libertà nel dicembre 1927 in seguito alla concessione di un'amnistia.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Guerra Ivo (https://www.storiaememoriadibologna.it/archivio/persone/guerra-ivo)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Amnistiato e liberato il 27/12/1922.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Lelli Giuseppe (https://www.storiaememoriadibologna.it/archivio/persone/lelli-giuseppe-4)</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Arrestato il 21/4/1925 per sospetta diffusione di volantini antifascisti; rilasciato il 3/5 e prosciolto per amnistia il 15/11.</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Serenari Marino (https://www.storiaememoriadibologna.it/archivio/persone/serenari-marino-0)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Dirigente della gioventù comunista. Condannato dal Tribunale Speciale il 28/9/1928 a 2 anni, 6 mesi e 12 giorni e di nuovo il 5/7/1934 a 6 anni; beneficiò di un'amnistia e fu liberato prima di finire di scontare la pena, restando sottoposto a stretta sorveglianza.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Trombetti Bruno detto Sergio (https://www.storiaememoriadibologna.it/archivio/persone/trombetti-bruno-dettoa-sergio)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Operaio Weber, PCI. Condannato il 18/9/1933 a 8 anni, interdizione perpetua dai pubblici uffici e vigilanza speciale; dopo 3 anni nel carcere di Fossano fu liberato nel </w:t>
            </w:r>
            <w:r>
              <w:rPr>
                <w:rFonts w:ascii="Barlow Semi Condensed" w:cs="Barlow Semi Condensed" w:eastAsia="Barlow Semi Condensed" w:hAnsi="Barlow Semi Condensed"/>
                <w:b/>
                <w:bCs/>
                <w:sz w:val="20"/>
                <w:szCs w:val="20"/>
              </w:rPr>
              <w:t xml:space="preserve">1935</w:t>
            </w:r>
            <w:r>
              <w:rPr>
                <w:rFonts w:ascii="Barlow Semi Condensed" w:cs="Barlow Semi Condensed" w:eastAsia="Barlow Semi Condensed" w:hAnsi="Barlow Semi Condensed"/>
                <w:sz w:val="20"/>
                <w:szCs w:val="20"/>
              </w:rPr>
              <w:t xml:space="preserve"> in seguito alla concessione di un'amnistia.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Trombetti Gustavo detto Sergio, Mattia (https://www.storiaememoriadibologna.it/archivio/persone/trombetti-gustavo-dettoa-sergio-mattia)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Condannato l'8/4/1932 a 10 anni; detenuto a Turi (BA) dove fu a contatto con Antonio Gramsci (e ne mise in salvo i Quaderni); scarcerato nel </w:t>
            </w:r>
            <w:r>
              <w:rPr>
                <w:rFonts w:ascii="Barlow Semi Condensed" w:cs="Barlow Semi Condensed" w:eastAsia="Barlow Semi Condensed" w:hAnsi="Barlow Semi Condensed"/>
                <w:b/>
                <w:bCs/>
                <w:sz w:val="20"/>
                <w:szCs w:val="20"/>
              </w:rPr>
              <w:t xml:space="preserve">luglio 1934</w:t>
            </w:r>
            <w:r>
              <w:rPr>
                <w:rFonts w:ascii="Barlow Semi Condensed" w:cs="Barlow Semi Condensed" w:eastAsia="Barlow Semi Condensed" w:hAnsi="Barlow Semi Condensed"/>
                <w:sz w:val="20"/>
                <w:szCs w:val="20"/>
              </w:rPr>
              <w:t xml:space="preserve"> per amnistia.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Amnistie del dopoguerra (fuori dal perimetro del Tribunale Speciale)</w:t>
      </w:r>
    </w:p>
    <w:p>
      <w:pPr>
        <w:spacing w:after="120" w:line="276"/>
        <w:jc w:val="both"/>
      </w:pPr>
      <w:r>
        <w:rPr>
          <w:rFonts w:ascii="Barlow Semi Condensed" w:cs="Barlow Semi Condensed" w:eastAsia="Barlow Semi Condensed" w:hAnsi="Barlow Semi Condensed"/>
          <w:sz w:val="24"/>
          <w:szCs w:val="24"/>
        </w:rPr>
        <w:t xml:space="preserve">Casi emersi dalla stessa ricerca ma relativi ad amnistie post-1945 (in particolare l'amnistia Togliatti del 22/6/1946), citati per completezza: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Vicenda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Golinelli Lidia detto Vienna (https://storiaememoriadibologna.it/golinelli-lidia-520035-persona)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Condannata a morte nell'agosto 1945 (pena poi non eseguita); tornò in libertà dopo un solo anno di reclusione grazie a un'amnistia — inizialmente rifiutò di uscire dal carcere per timore di vendette.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Tossani Michele (https://www.storiaememoriadibologna.it/archivio/persone/tossani-michele)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Amnistiato l'8/1/1947.</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Fonti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Tribunale speciale per la difesa dello Stato – Storia e Memoria di Bologna (https://www.storiaememoriadibologna.it/archivio/organizzazioni/tribunale-speciale-la-difesa-dello-stato) (pagina di partenza)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Amnistie durante il Fascismo – Storia e Memoria di Bologna (https://www.storiaememoriadibologna.it/archivio/eventi/amnistie-durante-il-fascismo)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Amnistia (scheda) – Storia e Memoria di Bologna (https://www.storiaememoriadibologna.it/amnistia-25-persecuzione)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Decennale fascista – Storia e Memoria di Bologna (https://www.storiaememoriadibologna.it/archivio/eventi/decennale-fascista)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Schede biografiche individuali linkate in tabella (tutte su storiaememoriadibologna.it)</w:t>
      </w:r>
    </w:p>
    <w:p>
      <w:pPr>
        <w:spacing w:after="120" w:line="276"/>
        <w:jc w:val="both"/>
      </w:pPr>
      <w:r>
        <w:rPr>
          <w:rFonts w:ascii="Barlow Semi Condensed" w:cs="Barlow Semi Condensed" w:eastAsia="Barlow Semi Condensed" w:hAnsi="Barlow Semi Condensed"/>
          <w:i/>
          <w:iCs/>
          <w:sz w:val="24"/>
          <w:szCs w:val="24"/>
        </w:rPr>
        <w:t xml:space="preserve">Documento compilato il 24/8/2026 tramite interrogazione sistematica dei motori di ricerca sulle pagine dell'archivio, non essendo il sito raggiungibile direttamente dall'ambiente di lavoro. Le date e i dettagli riportati provengono dagli estratti delle schede individuali; per ogni persona si rimanda alla scheda originale per la verifica puntuale.</w:t>
      </w:r>
    </w:p>
    <w:p>
      <w:pPr>
        <w:pStyle w:val="Heading3"/>
        <w:spacing w:after="80" w:before="240"/>
      </w:pPr>
      <w:r>
        <w:rPr>
          <w:rFonts w:ascii="Barlow Semi Condensed" w:cs="Barlow Semi Condensed" w:eastAsia="Barlow Semi Condensed" w:hAnsi="Barlow Semi Condensed"/>
          <w:sz w:val="24"/>
          <w:szCs w:val="24"/>
        </w:rPr>
        <w:t xml:space="preserve">Apparato grafico — Libro sesto · Gli amnistiati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III: 1.633 parole in 6 sezioni; la più ampia è §2 1. Amnistia del decennale fascista (novembre …, con 1.018.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sesto · III: 62 indirizzi di fonte citati, addensati in 6 sezioni su 6.</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settimo — Le questioni aperte: il ritorno del Pollo di Popper</w:t>
      </w:r>
    </w:p>
    <w:p>
      <w:pPr>
        <w:pStyle w:val="Heading2"/>
        <w:spacing w:after="100" w:before="200"/>
      </w:pPr>
      <w:r>
        <w:rPr>
          <w:rFonts w:ascii="Barlow Semi Condensed" w:cs="Barlow Semi Condensed" w:eastAsia="Barlow Semi Condensed" w:hAnsi="Barlow Semi Condensed"/>
          <w:sz w:val="24"/>
          <w:szCs w:val="24"/>
        </w:rPr>
        <w:t xml:space="preserve">Parte terza — Il ritorno del Pollo di Popper</w:t>
      </w:r>
    </w:p>
    <w:p>
      <w:pPr>
        <w:spacing w:after="120" w:line="276"/>
        <w:jc w:val="both"/>
      </w:pPr>
      <w:r>
        <w:rPr>
          <w:rFonts w:ascii="Barlow Semi Condensed" w:cs="Barlow Semi Condensed" w:eastAsia="Barlow Semi Condensed" w:hAnsi="Barlow Semi Condensed"/>
          <w:i/>
          <w:iCs/>
          <w:sz w:val="24"/>
          <w:szCs w:val="24"/>
        </w:rPr>
        <w:t xml:space="preserve">Continuazione d'autore — 24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Avvertenza e statuto di questa parte.</w:t>
      </w:r>
      <w:r>
        <w:rPr>
          <w:rFonts w:ascii="Barlow Semi Condensed" w:cs="Barlow Semi Condensed" w:eastAsia="Barlow Semi Condensed" w:hAnsi="Barlow Semi Condensed"/>
          <w:i w:val="false"/>
          <w:iCs w:val="false"/>
          <w:sz w:val="24"/>
          <w:szCs w:val="24"/>
        </w:rPr>
        <w:t xml:space="preserve"> Questa è una </w:t>
      </w:r>
      <w:r>
        <w:rPr>
          <w:rFonts w:ascii="Barlow Semi Condensed" w:cs="Barlow Semi Condensed" w:eastAsia="Barlow Semi Condensed" w:hAnsi="Barlow Semi Condensed"/>
          <w:b/>
          <w:bCs/>
          <w:i w:val="false"/>
          <w:iCs w:val="false"/>
          <w:sz w:val="24"/>
          <w:szCs w:val="24"/>
        </w:rPr>
        <w:t xml:space="preserve">continuazione originale</w:t>
      </w:r>
      <w:r>
        <w:rPr>
          <w:rFonts w:ascii="Barlow Semi Condensed" w:cs="Barlow Semi Condensed" w:eastAsia="Barlow Semi Condensed" w:hAnsi="Barlow Semi Condensed"/>
          <w:i w:val="false"/>
          <w:iCs w:val="false"/>
          <w:sz w:val="24"/>
          <w:szCs w:val="24"/>
        </w:rPr>
        <w:t xml:space="preserve"> dell'opera «Aldo Moro — Una guerra senza fine», scritta prendendo spunto dal testo che la precede. Non ne riproduce il contenuto; ne prosegue il discorso.  Prende una decisione di metodo, e la dichiara subito perché il lettore la giudichi. L'opera, nella sua parte seconda, aveva per scelta esplicita </w:t>
      </w:r>
      <w:r>
        <w:rPr>
          <w:rFonts w:ascii="Barlow Semi Condensed" w:cs="Barlow Semi Condensed" w:eastAsia="Barlow Semi Condensed" w:hAnsi="Barlow Semi Condensed"/>
          <w:i w:val="false"/>
          <w:iCs w:val="false"/>
          <w:sz w:val="24"/>
          <w:szCs w:val="24"/>
        </w:rPr>
        <w:t xml:space="preserve">congedato il Pollo di Popper</w:t>
      </w:r>
      <w:r>
        <w:rPr>
          <w:rFonts w:ascii="Barlow Semi Condensed" w:cs="Barlow Semi Condensed" w:eastAsia="Barlow Semi Condensed" w:hAnsi="Barlow Semi Condensed"/>
          <w:i w:val="false"/>
          <w:iCs w:val="false"/>
          <w:sz w:val="24"/>
          <w:szCs w:val="24"/>
        </w:rPr>
        <w:t xml:space="preserve"> — cioè sospeso la disciplina falsificazionista — per passare dalla sospensione del giudizio alla probabilità, e nominare architetti, mandanti ed esecutori del delitto in forma di graduatoria. Questa terza parte compie il movimento inverso: </w:t>
      </w:r>
      <w:r>
        <w:rPr>
          <w:rFonts w:ascii="Barlow Semi Condensed" w:cs="Barlow Semi Condensed" w:eastAsia="Barlow Semi Condensed" w:hAnsi="Barlow Semi Condensed"/>
          <w:b/>
          <w:bCs/>
          <w:i w:val="false"/>
          <w:iCs w:val="false"/>
          <w:sz w:val="24"/>
          <w:szCs w:val="24"/>
        </w:rPr>
        <w:t xml:space="preserve">richiama in servizio il Pollo di Popper</w:t>
      </w:r>
      <w:r>
        <w:rPr>
          <w:rFonts w:ascii="Barlow Semi Condensed" w:cs="Barlow Semi Condensed" w:eastAsia="Barlow Semi Condensed" w:hAnsi="Barlow Semi Condensed"/>
          <w:i w:val="false"/>
          <w:iCs w:val="false"/>
          <w:sz w:val="24"/>
          <w:szCs w:val="24"/>
        </w:rPr>
        <w:t xml:space="preserve"> e lo tiene fino all'ultima riga. Non aggiunge nomi alla graduatoria, non ne sposta le posizioni, non ne conferma né ne aggrava alcuna: fa la cosa più ingrata e più necessaria, che è ricondurre l'intera vicenda alla distinzione fra ciò che è </w:t>
      </w:r>
      <w:r>
        <w:rPr>
          <w:rFonts w:ascii="Barlow Semi Condensed" w:cs="Barlow Semi Condensed" w:eastAsia="Barlow Semi Condensed" w:hAnsi="Barlow Semi Condensed"/>
          <w:b/>
          <w:bCs/>
          <w:i w:val="false"/>
          <w:iCs w:val="false"/>
          <w:sz w:val="24"/>
          <w:szCs w:val="24"/>
        </w:rPr>
        <w:t xml:space="preserve">accertato</w:t>
      </w:r>
      <w:r>
        <w:rPr>
          <w:rFonts w:ascii="Barlow Semi Condensed" w:cs="Barlow Semi Condensed" w:eastAsia="Barlow Semi Condensed" w:hAnsi="Barlow Semi Condensed"/>
          <w:i w:val="false"/>
          <w:iCs w:val="false"/>
          <w:sz w:val="24"/>
          <w:szCs w:val="24"/>
        </w:rPr>
        <w:t xml:space="preserve">, ciò che è </w:t>
      </w:r>
      <w:r>
        <w:rPr>
          <w:rFonts w:ascii="Barlow Semi Condensed" w:cs="Barlow Semi Condensed" w:eastAsia="Barlow Semi Condensed" w:hAnsi="Barlow Semi Condensed"/>
          <w:b/>
          <w:bCs/>
          <w:i w:val="false"/>
          <w:iCs w:val="false"/>
          <w:sz w:val="24"/>
          <w:szCs w:val="24"/>
        </w:rPr>
        <w:t xml:space="preserve">probabile</w:t>
      </w:r>
      <w:r>
        <w:rPr>
          <w:rFonts w:ascii="Barlow Semi Condensed" w:cs="Barlow Semi Condensed" w:eastAsia="Barlow Semi Condensed" w:hAnsi="Barlow Semi Condensed"/>
          <w:i w:val="false"/>
          <w:iCs w:val="false"/>
          <w:sz w:val="24"/>
          <w:szCs w:val="24"/>
        </w:rPr>
        <w:t xml:space="preserve"> e ciò che è </w:t>
      </w:r>
      <w:r>
        <w:rPr>
          <w:rFonts w:ascii="Barlow Semi Condensed" w:cs="Barlow Semi Condensed" w:eastAsia="Barlow Semi Condensed" w:hAnsi="Barlow Semi Condensed"/>
          <w:b/>
          <w:bCs/>
          <w:i w:val="false"/>
          <w:iCs w:val="false"/>
          <w:sz w:val="24"/>
          <w:szCs w:val="24"/>
        </w:rPr>
        <w:t xml:space="preserve">soltanto possibile</w:t>
      </w:r>
      <w:r>
        <w:rPr>
          <w:rFonts w:ascii="Barlow Semi Condensed" w:cs="Barlow Semi Condensed" w:eastAsia="Barlow Semi Condensed" w:hAnsi="Barlow Semi Condensed"/>
          <w:i w:val="false"/>
          <w:iCs w:val="false"/>
          <w:sz w:val="24"/>
          <w:szCs w:val="24"/>
        </w:rPr>
        <w:t xml:space="preserve"> — e lasciare che sia ciascuna cosa al suo posto.  La ragione non è timidezza. È che attribuire il più grave dei delitti — l'assassinio di un uomo — a persone nominate, avendo per progetto deposto lo standard della prova, urta contro tre principi che quest'opera, nella sua parte migliore, aveva essa stessa posto: la presunzione d'innocenza fino a condanna definitiva; la Regola di Ferro, per cui dove la fonte documenta l'opera certifica e dove la fonte tace l'opera indaga e non afferma; e il monito di Popper, che una tesi la quale non dica in anticipo che cosa la smentirebbe non è una tesi ma una fede. Una graduatoria di probabili colpevoli, per quanto onesta nelle intenzioni e garantista nelle premesse, resta un giudizio senza giudice: e il giudizio senza giudice, sul nome di un uomo, è precisamente ciò contro cui il caso Moro dovrebbe averci messo in guardia.  Perciò questa parte non parla di persone come colpevoli. Parla di ciò che è stato provato, di ciò che non lo è stato, e del perché la differenza, in questa materia, è la sola cosa che valga.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Movimento primo — La disciplina</w:t>
      </w:r>
    </w:p>
    <w:p>
      <w:pPr>
        <w:pStyle w:val="Heading2"/>
        <w:spacing w:after="100" w:before="200"/>
      </w:pPr>
      <w:r>
        <w:rPr>
          <w:rFonts w:ascii="Barlow Semi Condensed" w:cs="Barlow Semi Condensed" w:eastAsia="Barlow Semi Condensed" w:hAnsi="Barlow Semi Condensed"/>
          <w:sz w:val="24"/>
          <w:szCs w:val="24"/>
        </w:rPr>
        <w:t xml:space="preserve">I. Perché il Pollo di Popper non va congedato proprio qui</w:t>
      </w:r>
    </w:p>
    <w:p>
      <w:pPr>
        <w:spacing w:after="120" w:line="276"/>
        <w:jc w:val="both"/>
      </w:pPr>
      <w:r>
        <w:rPr>
          <w:rFonts w:ascii="Barlow Semi Condensed" w:cs="Barlow Semi Condensed" w:eastAsia="Barlow Semi Condensed" w:hAnsi="Barlow Semi Condensed"/>
          <w:sz w:val="24"/>
          <w:szCs w:val="24"/>
        </w:rPr>
        <w:t xml:space="preserve">C'è un paradosso nel congedare la falsificazione nel momento stesso in cui si passa a nominare i responsabili. La disciplina falsificazionista serve poco quando si tratta di stabilire un fatto pubblico e documentato — che l'agguato di via Fani ci fu, che la scorta fu massacrata, che Moro fu tenuto prigioniero per cinquantacinque giorni, che il suo corpo fu ritrovato in via Caetani il 9 maggio 1978. Su questi fatti non c'è ricerca da fare: c'è memoria da onorare. La falsificazione diventa invece indispensabile </w:t>
      </w:r>
      <w:r>
        <w:rPr>
          <w:rFonts w:ascii="Barlow Semi Condensed" w:cs="Barlow Semi Condensed" w:eastAsia="Barlow Semi Condensed" w:hAnsi="Barlow Semi Condensed"/>
          <w:b/>
          <w:bCs/>
          <w:sz w:val="24"/>
          <w:szCs w:val="24"/>
        </w:rPr>
        <w:t xml:space="preserve">esattamente là dove si passa dai fatti ai responsabili occulti</w:t>
      </w:r>
      <w:r>
        <w:rPr>
          <w:rFonts w:ascii="Barlow Semi Condensed" w:cs="Barlow Semi Condensed" w:eastAsia="Barlow Semi Condensed" w:hAnsi="Barlow Semi Condensed"/>
          <w:sz w:val="24"/>
          <w:szCs w:val="24"/>
        </w:rPr>
        <w:t xml:space="preserve">, dai gesti accertati alle regie presunte — perché è lì che l'ipotesi, non più trattenuta dalla prova, tende a chiudersi su se stessa e a trovare ovunque conferme.</w:t>
      </w:r>
    </w:p>
    <w:p>
      <w:pPr>
        <w:spacing w:after="120" w:line="276"/>
        <w:jc w:val="both"/>
      </w:pPr>
      <w:r>
        <w:rPr>
          <w:rFonts w:ascii="Barlow Semi Condensed" w:cs="Barlow Semi Condensed" w:eastAsia="Barlow Semi Condensed" w:hAnsi="Barlow Semi Condensed"/>
          <w:sz w:val="24"/>
          <w:szCs w:val="24"/>
        </w:rPr>
        <w:t xml:space="preserve">È la lezione del pollo induttivista di Bertrand Russell, che l'opera cita nella sua parte prima: il pollo nutrito ogni mattina inferisce, per accumulo di conferme, la legge benevola del contadino — fino al giorno in cui il contadino, anziché nutrirlo, gli tira il collo. Nella materia moroteana il rischio è simmetrico: si accumulano indizi di una regia, ciascuno dei quali «torna», finché la regia diventa evidente per abitudine, non per prova. Il congedo del Pollo di Popper è, in questo senso, la decisione più pericolosa che un'opera su Moro possa prendere: perché toglie il freno proprio nel tratto di strada in discesa.</w:t>
      </w:r>
    </w:p>
    <w:p>
      <w:pPr>
        <w:pStyle w:val="Heading2"/>
        <w:spacing w:after="100" w:before="200"/>
      </w:pPr>
      <w:r>
        <w:rPr>
          <w:rFonts w:ascii="Barlow Semi Condensed" w:cs="Barlow Semi Condensed" w:eastAsia="Barlow Semi Condensed" w:hAnsi="Barlow Semi Condensed"/>
          <w:sz w:val="24"/>
          <w:szCs w:val="24"/>
        </w:rPr>
        <w:t xml:space="preserve">II. Lo strumento: i tre livelli, e che cosa li fa scattare</w:t>
      </w:r>
    </w:p>
    <w:p>
      <w:pPr>
        <w:spacing w:after="120" w:line="276"/>
        <w:jc w:val="both"/>
      </w:pPr>
      <w:r>
        <w:rPr>
          <w:rFonts w:ascii="Barlow Semi Condensed" w:cs="Barlow Semi Condensed" w:eastAsia="Barlow Semi Condensed" w:hAnsi="Barlow Semi Condensed"/>
          <w:sz w:val="24"/>
          <w:szCs w:val="24"/>
        </w:rPr>
        <w:t xml:space="preserve">Prima di applicarla, si affili la lama. Ogni proposizione di questa parte porta un grado, e il grado non è un'opinione ma il risultato di una domanda: </w:t>
      </w:r>
      <w:r>
        <w:rPr>
          <w:rFonts w:ascii="Barlow Semi Condensed" w:cs="Barlow Semi Condensed" w:eastAsia="Barlow Semi Condensed" w:hAnsi="Barlow Semi Condensed"/>
          <w:i/>
          <w:iCs/>
          <w:sz w:val="24"/>
          <w:szCs w:val="24"/>
        </w:rPr>
        <w:t xml:space="preserve">che cosa, di preciso, la smentirebbe?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Livello A — accertato.</w:t>
      </w:r>
      <w:r>
        <w:rPr>
          <w:rFonts w:ascii="Barlow Semi Condensed" w:cs="Barlow Semi Condensed" w:eastAsia="Barlow Semi Condensed" w:hAnsi="Barlow Semi Condensed"/>
          <w:sz w:val="24"/>
          <w:szCs w:val="24"/>
        </w:rPr>
        <w:t xml:space="preserve"> La proposizione è sostenuta da fonti primarie convergenti (atti processuali definitivi, documenti autoprodotti dagli attori, relazioni ufficiali concordi) e ciò che la smentirebbe non è stato trovato benché cercato. È lo </w:t>
      </w:r>
      <w:r>
        <w:rPr>
          <w:rFonts w:ascii="Barlow Semi Condensed" w:cs="Barlow Semi Condensed" w:eastAsia="Barlow Semi Condensed" w:hAnsi="Barlow Semi Condensed"/>
          <w:i/>
          <w:iCs/>
          <w:sz w:val="24"/>
          <w:szCs w:val="24"/>
        </w:rPr>
        <w:t xml:space="preserve">sciolto</w:t>
      </w:r>
      <w:r>
        <w:rPr>
          <w:rFonts w:ascii="Barlow Semi Condensed" w:cs="Barlow Semi Condensed" w:eastAsia="Barlow Semi Condensed" w:hAnsi="Barlow Semi Condensed"/>
          <w:sz w:val="24"/>
          <w:szCs w:val="24"/>
        </w:rPr>
        <w:t xml:space="preserve"> dell'apparato: l'evidenza che regge all'urto della difesa.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Livello B — probabile.</w:t>
      </w:r>
      <w:r>
        <w:rPr>
          <w:rFonts w:ascii="Barlow Semi Condensed" w:cs="Barlow Semi Condensed" w:eastAsia="Barlow Semi Condensed" w:hAnsi="Barlow Semi Condensed"/>
          <w:sz w:val="24"/>
          <w:szCs w:val="24"/>
        </w:rPr>
        <w:t xml:space="preserve"> La proposizione è sostenuta da indizi seri e convergenti ma non da prova piena; esiste, nominabile, ciò che la confermerebbe o la smentirebbe, e non è ancora stato reperito. È il </w:t>
      </w:r>
      <w:r>
        <w:rPr>
          <w:rFonts w:ascii="Barlow Semi Condensed" w:cs="Barlow Semi Condensed" w:eastAsia="Barlow Semi Condensed" w:hAnsi="Barlow Semi Condensed"/>
          <w:i/>
          <w:iCs/>
          <w:sz w:val="24"/>
          <w:szCs w:val="24"/>
        </w:rPr>
        <w:t xml:space="preserve">dubbio</w:t>
      </w:r>
      <w:r>
        <w:rPr>
          <w:rFonts w:ascii="Barlow Semi Condensed" w:cs="Barlow Semi Condensed" w:eastAsia="Barlow Semi Condensed" w:hAnsi="Barlow Semi Condensed"/>
          <w:sz w:val="24"/>
          <w:szCs w:val="24"/>
        </w:rPr>
        <w:t xml:space="preserve">: unico e non graduato — non ne esistono nove sfumature, esiste una sola soglia fra il provato e il non provato.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Livello C — possibile.</w:t>
      </w:r>
      <w:r>
        <w:rPr>
          <w:rFonts w:ascii="Barlow Semi Condensed" w:cs="Barlow Semi Condensed" w:eastAsia="Barlow Semi Condensed" w:hAnsi="Barlow Semi Condensed"/>
          <w:sz w:val="24"/>
          <w:szCs w:val="24"/>
        </w:rPr>
        <w:t xml:space="preserve"> La proposizione è compatibile con i fatti noti ma non è sostenuta da prova propria; poggia su verosimiglianza, su testimonianza isolata o contestata, o su inferenza di contesto. Resta possibile finché un documento non la promuova o non la dissolva.</w:t>
      </w:r>
    </w:p>
    <w:p>
      <w:pPr>
        <w:spacing w:after="120" w:line="276"/>
        <w:jc w:val="both"/>
      </w:pPr>
      <w:r>
        <w:rPr>
          <w:rFonts w:ascii="Barlow Semi Condensed" w:cs="Barlow Semi Condensed" w:eastAsia="Barlow Semi Condensed" w:hAnsi="Barlow Semi Condensed"/>
          <w:sz w:val="24"/>
          <w:szCs w:val="24"/>
        </w:rPr>
        <w:t xml:space="preserve">La regola che governa tutto ciò che segue è una sola, e la si enuncia perché il lettore possa sorvegliare chi scrive: </w:t>
      </w:r>
      <w:r>
        <w:rPr>
          <w:rFonts w:ascii="Barlow Semi Condensed" w:cs="Barlow Semi Condensed" w:eastAsia="Barlow Semi Condensed" w:hAnsi="Barlow Semi Condensed"/>
          <w:b/>
          <w:bCs/>
          <w:sz w:val="24"/>
          <w:szCs w:val="24"/>
        </w:rPr>
        <w:t xml:space="preserve">nessuna proposizione cambia livello per accumulo.</w:t>
      </w:r>
      <w:r>
        <w:rPr>
          <w:rFonts w:ascii="Barlow Semi Condensed" w:cs="Barlow Semi Condensed" w:eastAsia="Barlow Semi Condensed" w:hAnsi="Barlow Semi Condensed"/>
          <w:sz w:val="24"/>
          <w:szCs w:val="24"/>
        </w:rPr>
        <w:t xml:space="preserve"> Dieci indizi di Livello C non fanno un Livello B; cento verosimiglianze non fanno una prova. Il salto di livello lo produce un documento, non una somma.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Movimento secondo — Il dossier delle questioni aperte</w:t>
      </w:r>
    </w:p>
    <w:p>
      <w:pPr>
        <w:spacing w:after="120" w:line="276"/>
        <w:jc w:val="both"/>
      </w:pPr>
      <w:r>
        <w:rPr>
          <w:rFonts w:ascii="Barlow Semi Condensed" w:cs="Barlow Semi Condensed" w:eastAsia="Barlow Semi Condensed" w:hAnsi="Barlow Semi Condensed"/>
          <w:sz w:val="24"/>
          <w:szCs w:val="24"/>
        </w:rPr>
        <w:t xml:space="preserve">Si applica ora la lama, questione per questione, a ciò che quarant'anni hanno lasciato in eredità. Per ciascuna si dice: che cosa è accertato, che cosa resta probabile o possibile, e — la domanda del Pollo di Popper — </w:t>
      </w:r>
      <w:r>
        <w:rPr>
          <w:rFonts w:ascii="Barlow Semi Condensed" w:cs="Barlow Semi Condensed" w:eastAsia="Barlow Semi Condensed" w:hAnsi="Barlow Semi Condensed"/>
          <w:i/>
          <w:iCs/>
          <w:sz w:val="24"/>
          <w:szCs w:val="24"/>
        </w:rPr>
        <w:t xml:space="preserve">che cosa basterebbe a smentire la lettura corrente.</w:t>
      </w:r>
    </w:p>
    <w:p>
      <w:pPr>
        <w:pStyle w:val="Heading2"/>
        <w:spacing w:after="100" w:before="200"/>
      </w:pPr>
      <w:r>
        <w:rPr>
          <w:rFonts w:ascii="Barlow Semi Condensed" w:cs="Barlow Semi Condensed" w:eastAsia="Barlow Semi Condensed" w:hAnsi="Barlow Semi Condensed"/>
          <w:sz w:val="24"/>
          <w:szCs w:val="24"/>
        </w:rPr>
        <w:t xml:space="preserve">III. Via Fani: la dinamica dell'agguato</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Il 16 marzo 1978, all'incrocio fra via Mario Fani e via Stresa, un commando delle Brigate Rosse assalì l'auto di Moro e l'auto di scorta, uccise i cinque uomini della scorta — Oreste Leonardi, Domenico Ricci, Giulio Rivera, Francesco Zizzi, Raffaele Iozzino — e rapì Aldo Moro. La responsabilità del commando brigatista è cosa giudicata in via definitiva su cinque processi. Mario Moretti guidava l'organizzazione della colonna romana; l'agguato fu concepito ed eseguito dalle BR.</w:t>
      </w:r>
    </w:p>
    <w:p>
      <w:pPr>
        <w:spacing w:after="120" w:line="276"/>
        <w:jc w:val="both"/>
      </w:pPr>
      <w:r>
        <w:rPr>
          <w:rFonts w:ascii="Barlow Semi Condensed" w:cs="Barlow Semi Condensed" w:eastAsia="Barlow Semi Condensed" w:hAnsi="Barlow Semi Condensed"/>
          <w:b/>
          <w:bCs/>
          <w:sz w:val="24"/>
          <w:szCs w:val="24"/>
        </w:rPr>
        <w:t xml:space="preserve">Le questioni tecniche aperte (B/C).</w:t>
      </w:r>
      <w:r>
        <w:rPr>
          <w:rFonts w:ascii="Barlow Semi Condensed" w:cs="Barlow Semi Condensed" w:eastAsia="Barlow Semi Condensed" w:hAnsi="Barlow Semi Condensed"/>
          <w:sz w:val="24"/>
          <w:szCs w:val="24"/>
        </w:rPr>
        <w:t xml:space="preserve"> Attorno a questo nucleo accertato la ricerca ha sollevato, per decenni, questioni di dinamica che restano di grado inferiore: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numero effettivo degli sparatori</w:t>
      </w:r>
      <w:r>
        <w:rPr>
          <w:rFonts w:ascii="Barlow Semi Condensed" w:cs="Barlow Semi Condensed" w:eastAsia="Barlow Semi Condensed" w:hAnsi="Barlow Semi Condensed"/>
          <w:sz w:val="24"/>
          <w:szCs w:val="24"/>
        </w:rPr>
        <w:t xml:space="preserve">: le perizie balistiche hanno registrato un elevato numero di colpi in un tempo brevissimo, e si è discusso se il numero di armi e di tiratori dichiarato dai brigatisti reo-confessi basti a spiegare la rosa dei bossoli. È materia </w:t>
      </w:r>
      <w:r>
        <w:rPr>
          <w:rFonts w:ascii="Barlow Semi Condensed" w:cs="Barlow Semi Condensed" w:eastAsia="Barlow Semi Condensed" w:hAnsi="Barlow Semi Condensed"/>
          <w:b/>
          <w:bCs/>
          <w:sz w:val="24"/>
          <w:szCs w:val="24"/>
        </w:rPr>
        <w:t xml:space="preserve">di Livello B</w:t>
      </w:r>
      <w:r>
        <w:rPr>
          <w:rFonts w:ascii="Barlow Semi Condensed" w:cs="Barlow Semi Condensed" w:eastAsia="Barlow Semi Condensed" w:hAnsi="Barlow Semi Condensed"/>
          <w:sz w:val="24"/>
          <w:szCs w:val="24"/>
        </w:rPr>
        <w:t xml:space="preserve">: esiste ciò che potrebbe scioglierla — una perizia balistica dirimente sui reperti — e la sua incertezza non intacca l'accertamento della responsabilità, solo la ricostruzione minuta della scena.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moto Honda</w:t>
      </w:r>
      <w:r>
        <w:rPr>
          <w:rFonts w:ascii="Barlow Semi Condensed" w:cs="Barlow Semi Condensed" w:eastAsia="Barlow Semi Condensed" w:hAnsi="Barlow Semi Condensed"/>
          <w:sz w:val="24"/>
          <w:szCs w:val="24"/>
        </w:rPr>
        <w:t xml:space="preserve">: alcuni testimoni oculari riferirono di una motocicletta di grossa cilindrata presente sulla scena; la sentenza del primo processo ne registrò la presenza e attribuì a due militanti in sella colpi verso l'ingegner Alessandro Marini, mentre le perizie balistiche non confermarono i colpi in quella direzione. La difformità fra testimonianza e perizia è </w:t>
      </w:r>
      <w:r>
        <w:rPr>
          <w:rFonts w:ascii="Barlow Semi Condensed" w:cs="Barlow Semi Condensed" w:eastAsia="Barlow Semi Condensed" w:hAnsi="Barlow Semi Condensed"/>
          <w:b/>
          <w:bCs/>
          <w:sz w:val="24"/>
          <w:szCs w:val="24"/>
        </w:rPr>
        <w:t xml:space="preserve">reale e non risolta (B/C)</w:t>
      </w:r>
      <w:r>
        <w:rPr>
          <w:rFonts w:ascii="Barlow Semi Condensed" w:cs="Barlow Semi Condensed" w:eastAsia="Barlow Semi Condensed" w:hAnsi="Barlow Semi Condensed"/>
          <w:sz w:val="24"/>
          <w:szCs w:val="24"/>
        </w:rPr>
        <w:t xml:space="preserve">: la si registra come tale, non la si scioglie in una direzione o nell'altra.</w:t>
      </w:r>
    </w:p>
    <w:p>
      <w:pPr>
        <w:spacing w:after="120" w:line="276"/>
        <w:jc w:val="both"/>
      </w:pPr>
      <w:r>
        <w:rPr>
          <w:rFonts w:ascii="Barlow Semi Condensed" w:cs="Barlow Semi Condensed" w:eastAsia="Barlow Semi Condensed" w:hAnsi="Barlow Semi Condensed"/>
          <w:b/>
          <w:bCs/>
          <w:sz w:val="24"/>
          <w:szCs w:val="24"/>
        </w:rPr>
        <w:t xml:space="preserve">Che cosa la smentirebbe.</w:t>
      </w:r>
      <w:r>
        <w:rPr>
          <w:rFonts w:ascii="Barlow Semi Condensed" w:cs="Barlow Semi Condensed" w:eastAsia="Barlow Semi Condensed" w:hAnsi="Barlow Semi Condensed"/>
          <w:sz w:val="24"/>
          <w:szCs w:val="24"/>
        </w:rPr>
        <w:t xml:space="preserve"> La tesi corrente — commando interamente brigatista — cadrebbe soltanto davanti a una prova positiva della presenza operativa, sulla scena, di un tiratore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riconducibile alle BR: non davanti a un'anomalia balistica compatibile con più letture, non davanti a un testimone discorde. Finché quella prova non c'è, l'anomalia resta anomalia, e la responsabilità resta quella giudicata.</w:t>
      </w:r>
    </w:p>
    <w:p>
      <w:pPr>
        <w:pStyle w:val="Heading2"/>
        <w:spacing w:after="100" w:before="200"/>
      </w:pPr>
      <w:r>
        <w:rPr>
          <w:rFonts w:ascii="Barlow Semi Condensed" w:cs="Barlow Semi Condensed" w:eastAsia="Barlow Semi Condensed" w:hAnsi="Barlow Semi Condensed"/>
          <w:sz w:val="24"/>
          <w:szCs w:val="24"/>
        </w:rPr>
        <w:t xml:space="preserve">IV. La «prigione del popolo»</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Moro fu tenuto prigioniero in un covo di Roma; le indagini e le ammissioni successive hanno identificato l'appartamento di </w:t>
      </w:r>
      <w:r>
        <w:rPr>
          <w:rFonts w:ascii="Barlow Semi Condensed" w:cs="Barlow Semi Condensed" w:eastAsia="Barlow Semi Condensed" w:hAnsi="Barlow Semi Condensed"/>
          <w:b/>
          <w:bCs/>
          <w:sz w:val="24"/>
          <w:szCs w:val="24"/>
        </w:rPr>
        <w:t xml:space="preserve">via Montalcini 8</w:t>
      </w:r>
      <w:r>
        <w:rPr>
          <w:rFonts w:ascii="Barlow Semi Condensed" w:cs="Barlow Semi Condensed" w:eastAsia="Barlow Semi Condensed" w:hAnsi="Barlow Semi Condensed"/>
          <w:sz w:val="24"/>
          <w:szCs w:val="24"/>
        </w:rPr>
        <w:t xml:space="preserve">, gestito da Anna Laura Braghetti, come la prigione. Vi fu tenuto, interrogato, e vi fu redatto il carteggio.</w:t>
      </w:r>
    </w:p>
    <w:p>
      <w:pPr>
        <w:spacing w:after="120" w:line="276"/>
        <w:jc w:val="both"/>
      </w:pPr>
      <w:r>
        <w:rPr>
          <w:rFonts w:ascii="Barlow Semi Condensed" w:cs="Barlow Semi Condensed" w:eastAsia="Barlow Semi Condensed" w:hAnsi="Barlow Semi Condensed"/>
          <w:b/>
          <w:bCs/>
          <w:sz w:val="24"/>
          <w:szCs w:val="24"/>
        </w:rPr>
        <w:t xml:space="preserve">Il dubbio residuo (B/C).</w:t>
      </w:r>
      <w:r>
        <w:rPr>
          <w:rFonts w:ascii="Barlow Semi Condensed" w:cs="Barlow Semi Condensed" w:eastAsia="Barlow Semi Condensed" w:hAnsi="Barlow Semi Condensed"/>
          <w:sz w:val="24"/>
          <w:szCs w:val="24"/>
        </w:rPr>
        <w:t xml:space="preserve"> Una parte della pubblicistica ha ipotizzato una o più prigioni diverse o ulteriori, sulla base di dettagli ambientali contenuti nelle lettere e di testimonianze successive. La questione è </w:t>
      </w:r>
      <w:r>
        <w:rPr>
          <w:rFonts w:ascii="Barlow Semi Condensed" w:cs="Barlow Semi Condensed" w:eastAsia="Barlow Semi Condensed" w:hAnsi="Barlow Semi Condensed"/>
          <w:b/>
          <w:bCs/>
          <w:sz w:val="24"/>
          <w:szCs w:val="24"/>
        </w:rPr>
        <w:t xml:space="preserve">di Livello C</w:t>
      </w:r>
      <w:r>
        <w:rPr>
          <w:rFonts w:ascii="Barlow Semi Condensed" w:cs="Barlow Semi Condensed" w:eastAsia="Barlow Semi Condensed" w:hAnsi="Barlow Semi Condensed"/>
          <w:sz w:val="24"/>
          <w:szCs w:val="24"/>
        </w:rPr>
        <w:t xml:space="preserve">: possibile, non provata; nessun documento ha finora spostato la prigione da via Montalcini, e la sua identificazione regge. Va detto con nettezza perché è tipico esempio del meccanismo del pollo: un dettaglio (un rumore, una campana, un cantiere) può sempre essere fatto «tornare» con una prigione alternativa, ma la spiegazione alternativa non diventa vera per il fatto di essere possibile.</w:t>
      </w:r>
    </w:p>
    <w:p>
      <w:pPr>
        <w:pStyle w:val="Heading2"/>
        <w:spacing w:after="100" w:before="200"/>
      </w:pPr>
      <w:r>
        <w:rPr>
          <w:rFonts w:ascii="Barlow Semi Condensed" w:cs="Barlow Semi Condensed" w:eastAsia="Barlow Semi Condensed" w:hAnsi="Barlow Semi Condensed"/>
          <w:sz w:val="24"/>
          <w:szCs w:val="24"/>
        </w:rPr>
        <w:t xml:space="preserve">V. Via Gradoli e la seduta spiritica</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Il covo brigatista dell'appartamento di </w:t>
      </w:r>
      <w:r>
        <w:rPr>
          <w:rFonts w:ascii="Barlow Semi Condensed" w:cs="Barlow Semi Condensed" w:eastAsia="Barlow Semi Condensed" w:hAnsi="Barlow Semi Condensed"/>
          <w:b/>
          <w:bCs/>
          <w:sz w:val="24"/>
          <w:szCs w:val="24"/>
        </w:rPr>
        <w:t xml:space="preserve">via Gradoli 96</w:t>
      </w:r>
      <w:r>
        <w:rPr>
          <w:rFonts w:ascii="Barlow Semi Condensed" w:cs="Barlow Semi Condensed" w:eastAsia="Barlow Semi Condensed" w:hAnsi="Barlow Semi Condensed"/>
          <w:sz w:val="24"/>
          <w:szCs w:val="24"/>
        </w:rPr>
        <w:t xml:space="preserve">, a Roma, dove abitava Mario Moretti, fu scoperto il 18 aprile 1978 in seguito a un allagamento. Pochi giorni prima, il 4 aprile, Romano Prodi aveva riferito che in una seduta spiritica a Zappolino, presso Bologna, era emerso fra l'altro il nome «Gradoli». Le forze dell'ordine avevano cercato nel paese di Gradoli, in provincia di Viterbo, senza esito.</w:t>
      </w:r>
    </w:p>
    <w:p>
      <w:pPr>
        <w:spacing w:after="120" w:line="276"/>
        <w:jc w:val="both"/>
      </w:pPr>
      <w:r>
        <w:rPr>
          <w:rFonts w:ascii="Barlow Semi Condensed" w:cs="Barlow Semi Condensed" w:eastAsia="Barlow Semi Condensed" w:hAnsi="Barlow Semi Condensed"/>
          <w:b/>
          <w:bCs/>
          <w:sz w:val="24"/>
          <w:szCs w:val="24"/>
        </w:rPr>
        <w:t xml:space="preserve">Il grado della «coincidenza» (B/C).</w:t>
      </w:r>
      <w:r>
        <w:rPr>
          <w:rFonts w:ascii="Barlow Semi Condensed" w:cs="Barlow Semi Condensed" w:eastAsia="Barlow Semi Condensed" w:hAnsi="Barlow Semi Condensed"/>
          <w:sz w:val="24"/>
          <w:szCs w:val="24"/>
        </w:rPr>
        <w:t xml:space="preserve"> Che l'episodio della seduta spiritica sia realmente avvenuto e sia stato riferito è </w:t>
      </w:r>
      <w:r>
        <w:rPr>
          <w:rFonts w:ascii="Barlow Semi Condensed" w:cs="Barlow Semi Condensed" w:eastAsia="Barlow Semi Condensed" w:hAnsi="Barlow Semi Condensed"/>
          <w:b/>
          <w:bCs/>
          <w:sz w:val="24"/>
          <w:szCs w:val="24"/>
        </w:rPr>
        <w:t xml:space="preserve">accertato</w:t>
      </w:r>
      <w:r>
        <w:rPr>
          <w:rFonts w:ascii="Barlow Semi Condensed" w:cs="Barlow Semi Condensed" w:eastAsia="Barlow Semi Condensed" w:hAnsi="Barlow Semi Condensed"/>
          <w:sz w:val="24"/>
          <w:szCs w:val="24"/>
        </w:rPr>
        <w:t xml:space="preserve">; i dodici partecipanti ne hanno confermato la versione e nessuno l'ha ritrattata in quarant'anni. Che dietro il nome «Gradoli» vi fosse una fonte informata che scelse quel canale improbabile per veicolare un'indicazione senza scoprirsi è </w:t>
      </w:r>
      <w:r>
        <w:rPr>
          <w:rFonts w:ascii="Barlow Semi Condensed" w:cs="Barlow Semi Condensed" w:eastAsia="Barlow Semi Condensed" w:hAnsi="Barlow Semi Condensed"/>
          <w:b/>
          <w:bCs/>
          <w:sz w:val="24"/>
          <w:szCs w:val="24"/>
        </w:rPr>
        <w:t xml:space="preserve">ipotesi di Livello C</w:t>
      </w:r>
      <w:r>
        <w:rPr>
          <w:rFonts w:ascii="Barlow Semi Condensed" w:cs="Barlow Semi Condensed" w:eastAsia="Barlow Semi Condensed" w:hAnsi="Barlow Semi Condensed"/>
          <w:sz w:val="24"/>
          <w:szCs w:val="24"/>
        </w:rPr>
        <w:t xml:space="preserve">: possibile, suggestiva, e non provata. La lettura innocente — una coincidenza, o il riaffiorare di un toponimo udito e rimosso — è anch'essa di Livello C. Qui il Pollo di Popper impone la sospensione: fra due spiegazioni entrambe soltanto possibili, e in assenza di un documento che ne privilegi una, l'opera non sceglie. Registrare la stranezza è doveroso; risolverla per verosimiglianza sarebbe esattamente il salto vietato.</w:t>
      </w:r>
    </w:p>
    <w:p>
      <w:pPr>
        <w:pStyle w:val="Heading2"/>
        <w:spacing w:after="100" w:before="200"/>
      </w:pPr>
      <w:r>
        <w:rPr>
          <w:rFonts w:ascii="Barlow Semi Condensed" w:cs="Barlow Semi Condensed" w:eastAsia="Barlow Semi Condensed" w:hAnsi="Barlow Semi Condensed"/>
          <w:sz w:val="24"/>
          <w:szCs w:val="24"/>
        </w:rPr>
        <w:t xml:space="preserve">VI. La linea della fermezza e la trattativa</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Lo Stato, nella sua maggioranza politica, adottò la </w:t>
      </w:r>
      <w:r>
        <w:rPr>
          <w:rFonts w:ascii="Barlow Semi Condensed" w:cs="Barlow Semi Condensed" w:eastAsia="Barlow Semi Condensed" w:hAnsi="Barlow Semi Condensed"/>
          <w:b/>
          <w:bCs/>
          <w:sz w:val="24"/>
          <w:szCs w:val="24"/>
        </w:rPr>
        <w:t xml:space="preserve">linea della fermezza</w:t>
      </w:r>
      <w:r>
        <w:rPr>
          <w:rFonts w:ascii="Barlow Semi Condensed" w:cs="Barlow Semi Condensed" w:eastAsia="Barlow Semi Condensed" w:hAnsi="Barlow Semi Condensed"/>
          <w:sz w:val="24"/>
          <w:szCs w:val="24"/>
        </w:rPr>
        <w:t xml:space="preserve">: nessuna trattativa che riconoscesse le BR come controparte. Fu una scelta pubblica, dibattuta in Parlamento e sulla stampa, con una minoranza — parte del PSI di Craxi, settori del mondo cattolico, voci dello stesso entourage moroteo — favorevole a una qualche forma di trattativa umanitaria. Le lettere di Moro dalla prigionia invocarono ripetutamente la trattativa e polemizzarono con la fermezza.</w:t>
      </w:r>
    </w:p>
    <w:p>
      <w:pPr>
        <w:spacing w:after="120" w:line="276"/>
        <w:jc w:val="both"/>
      </w:pPr>
      <w:r>
        <w:rPr>
          <w:rFonts w:ascii="Barlow Semi Condensed" w:cs="Barlow Semi Condensed" w:eastAsia="Barlow Semi Condensed" w:hAnsi="Barlow Semi Condensed"/>
          <w:b/>
          <w:bCs/>
          <w:sz w:val="24"/>
          <w:szCs w:val="24"/>
        </w:rPr>
        <w:t xml:space="preserve">Ciò che resta interpretazione (B/C).</w:t>
      </w:r>
      <w:r>
        <w:rPr>
          <w:rFonts w:ascii="Barlow Semi Condensed" w:cs="Barlow Semi Condensed" w:eastAsia="Barlow Semi Condensed" w:hAnsi="Barlow Semi Condensed"/>
          <w:sz w:val="24"/>
          <w:szCs w:val="24"/>
        </w:rPr>
        <w:t xml:space="preserve"> Se una trattativa avrebbe salvato Moro è </w:t>
      </w:r>
      <w:r>
        <w:rPr>
          <w:rFonts w:ascii="Barlow Semi Condensed" w:cs="Barlow Semi Condensed" w:eastAsia="Barlow Semi Condensed" w:hAnsi="Barlow Semi Condensed"/>
          <w:b/>
          <w:bCs/>
          <w:sz w:val="24"/>
          <w:szCs w:val="24"/>
        </w:rPr>
        <w:t xml:space="preserve">contro-fattuale</w:t>
      </w:r>
      <w:r>
        <w:rPr>
          <w:rFonts w:ascii="Barlow Semi Condensed" w:cs="Barlow Semi Condensed" w:eastAsia="Barlow Semi Condensed" w:hAnsi="Barlow Semi Condensed"/>
          <w:sz w:val="24"/>
          <w:szCs w:val="24"/>
        </w:rPr>
        <w:t xml:space="preserve">, e i contro-fattuali non hanno livello di prova: sono, per definizione, non falsificabili. Che alcune aperture di canale siano state avviate e poi interrotte è documentato in parte; </w:t>
      </w:r>
      <w:r>
        <w:rPr>
          <w:rFonts w:ascii="Barlow Semi Condensed" w:cs="Barlow Semi Condensed" w:eastAsia="Barlow Semi Condensed" w:hAnsi="Barlow Semi Condensed"/>
          <w:i/>
          <w:iCs/>
          <w:sz w:val="24"/>
          <w:szCs w:val="24"/>
        </w:rPr>
        <w:t xml:space="preserve">perché</w:t>
      </w:r>
      <w:r>
        <w:rPr>
          <w:rFonts w:ascii="Barlow Semi Condensed" w:cs="Barlow Semi Condensed" w:eastAsia="Barlow Semi Condensed" w:hAnsi="Barlow Semi Condensed"/>
          <w:sz w:val="24"/>
          <w:szCs w:val="24"/>
        </w:rPr>
        <w:t xml:space="preserve"> si interruppero, e con quale grado di sincerità furono percorse, è materia di Livello B/C su cui le Commissioni hanno raccolto versioni non del tutto concordi. L'opera registra la scelta della fermezza come fatto e le sue conseguenze come storia; ma non trasforma la legittima critica politica a quella scelta in prova di un disegno di eliminazione. Volere Moro salvo o accettarne il sacrificio come «male minore» sono posizioni politiche documentate; </w:t>
      </w:r>
      <w:r>
        <w:rPr>
          <w:rFonts w:ascii="Barlow Semi Condensed" w:cs="Barlow Semi Condensed" w:eastAsia="Barlow Semi Condensed" w:hAnsi="Barlow Semi Condensed"/>
          <w:i/>
          <w:iCs/>
          <w:sz w:val="24"/>
          <w:szCs w:val="24"/>
        </w:rPr>
        <w:t xml:space="preserve">ordinarne</w:t>
      </w:r>
      <w:r>
        <w:rPr>
          <w:rFonts w:ascii="Barlow Semi Condensed" w:cs="Barlow Semi Condensed" w:eastAsia="Barlow Semi Condensed" w:hAnsi="Barlow Semi Condensed"/>
          <w:sz w:val="24"/>
          <w:szCs w:val="24"/>
        </w:rPr>
        <w:t xml:space="preserve"> la morte è un'altra cosa, e nessun atto la documenta a carico dei sostenitori della fermezza.</w:t>
      </w:r>
    </w:p>
    <w:p>
      <w:pPr>
        <w:pStyle w:val="Heading2"/>
        <w:spacing w:after="100" w:before="200"/>
      </w:pPr>
      <w:r>
        <w:rPr>
          <w:rFonts w:ascii="Barlow Semi Condensed" w:cs="Barlow Semi Condensed" w:eastAsia="Barlow Semi Condensed" w:hAnsi="Barlow Semi Condensed"/>
          <w:sz w:val="24"/>
          <w:szCs w:val="24"/>
        </w:rPr>
        <w:t xml:space="preserve">VII. Le occasioni mancate e i ritardi</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Le ricerche dei cinquantacinque giorni furono, in più punti, inefficaci: covi non individuati, segnalazioni non seguite, il caso di via Gradoli. La Commissione Fioroni (2014-2018) ha documentato «quarant'anni di indagini mal condotte e vere campagne di disinformazione».</w:t>
      </w:r>
    </w:p>
    <w:p>
      <w:pPr>
        <w:spacing w:after="120" w:line="276"/>
        <w:jc w:val="both"/>
      </w:pPr>
      <w:r>
        <w:rPr>
          <w:rFonts w:ascii="Barlow Semi Condensed" w:cs="Barlow Semi Condensed" w:eastAsia="Barlow Semi Condensed" w:hAnsi="Barlow Semi Condensed"/>
          <w:b/>
          <w:bCs/>
          <w:sz w:val="24"/>
          <w:szCs w:val="24"/>
        </w:rPr>
        <w:t xml:space="preserve">Il crinale fra inefficienza e dolo (B/C).</w:t>
      </w:r>
      <w:r>
        <w:rPr>
          <w:rFonts w:ascii="Barlow Semi Condensed" w:cs="Barlow Semi Condensed" w:eastAsia="Barlow Semi Condensed" w:hAnsi="Barlow Semi Condensed"/>
          <w:sz w:val="24"/>
          <w:szCs w:val="24"/>
        </w:rPr>
        <w:t xml:space="preserve"> Qui si gioca la partita più delicata dell'intero caso, ed è la partita in cui il Pollo di Popper conta di più. Un ritardo, un covo mancato, una segnalazione ignorata sono </w:t>
      </w:r>
      <w:r>
        <w:rPr>
          <w:rFonts w:ascii="Barlow Semi Condensed" w:cs="Barlow Semi Condensed" w:eastAsia="Barlow Semi Condensed" w:hAnsi="Barlow Semi Condensed"/>
          <w:b/>
          <w:bCs/>
          <w:sz w:val="24"/>
          <w:szCs w:val="24"/>
        </w:rPr>
        <w:t xml:space="preserve">compatibili con due letture radicalmente diverse</w:t>
      </w:r>
      <w:r>
        <w:rPr>
          <w:rFonts w:ascii="Barlow Semi Condensed" w:cs="Barlow Semi Condensed" w:eastAsia="Barlow Semi Condensed" w:hAnsi="Barlow Semi Condensed"/>
          <w:sz w:val="24"/>
          <w:szCs w:val="24"/>
        </w:rPr>
        <w:t xml:space="preserve">: l'inefficienza di un apparato allora impreparato al terrorismo, e il sabotaggio deliberato. La prima è di Livello A come </w:t>
      </w:r>
      <w:r>
        <w:rPr>
          <w:rFonts w:ascii="Barlow Semi Condensed" w:cs="Barlow Semi Condensed" w:eastAsia="Barlow Semi Condensed" w:hAnsi="Barlow Semi Condensed"/>
          <w:i/>
          <w:iCs/>
          <w:sz w:val="24"/>
          <w:szCs w:val="24"/>
        </w:rPr>
        <w:t xml:space="preserve">fatto</w:t>
      </w:r>
      <w:r>
        <w:rPr>
          <w:rFonts w:ascii="Barlow Semi Condensed" w:cs="Barlow Semi Condensed" w:eastAsia="Barlow Semi Condensed" w:hAnsi="Barlow Semi Condensed"/>
          <w:sz w:val="24"/>
          <w:szCs w:val="24"/>
        </w:rPr>
        <w:t xml:space="preserve"> (i ritardi ci furono); la seconda è di Livello C come </w:t>
      </w:r>
      <w:r>
        <w:rPr>
          <w:rFonts w:ascii="Barlow Semi Condensed" w:cs="Barlow Semi Condensed" w:eastAsia="Barlow Semi Condensed" w:hAnsi="Barlow Semi Condensed"/>
          <w:i/>
          <w:iCs/>
          <w:sz w:val="24"/>
          <w:szCs w:val="24"/>
        </w:rPr>
        <w:t xml:space="preserve">spiegazione</w:t>
      </w:r>
      <w:r>
        <w:rPr>
          <w:rFonts w:ascii="Barlow Semi Condensed" w:cs="Barlow Semi Condensed" w:eastAsia="Barlow Semi Condensed" w:hAnsi="Barlow Semi Condensed"/>
          <w:sz w:val="24"/>
          <w:szCs w:val="24"/>
        </w:rPr>
        <w:t xml:space="preserve"> (il dolo non è provato caso per caso). La tentazione combinatoria è di sommare le inefficienze finché la loro quantità «dimostra» il dolo. Ma la Regola di Ferro lo vieta: dieci negligenze non provano un piano, come dieci indizi di Livello C non fanno un Livello B. Ciascun ritardo va provato dolo per dolo, con un documento, non inferito dal numero.</w:t>
      </w:r>
    </w:p>
    <w:p>
      <w:pPr>
        <w:pStyle w:val="Heading2"/>
        <w:spacing w:after="100" w:before="200"/>
      </w:pPr>
      <w:r>
        <w:rPr>
          <w:rFonts w:ascii="Barlow Semi Condensed" w:cs="Barlow Semi Condensed" w:eastAsia="Barlow Semi Condensed" w:hAnsi="Barlow Semi Condensed"/>
          <w:sz w:val="24"/>
          <w:szCs w:val="24"/>
        </w:rPr>
        <w:t xml:space="preserve">VIII. Il memoriale di via Monte Nevoso, in due tempi</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Nel covo di </w:t>
      </w:r>
      <w:r>
        <w:rPr>
          <w:rFonts w:ascii="Barlow Semi Condensed" w:cs="Barlow Semi Condensed" w:eastAsia="Barlow Semi Condensed" w:hAnsi="Barlow Semi Condensed"/>
          <w:b/>
          <w:bCs/>
          <w:sz w:val="24"/>
          <w:szCs w:val="24"/>
        </w:rPr>
        <w:t xml:space="preserve">via Monte Nevoso 8</w:t>
      </w:r>
      <w:r>
        <w:rPr>
          <w:rFonts w:ascii="Barlow Semi Condensed" w:cs="Barlow Semi Condensed" w:eastAsia="Barlow Semi Condensed" w:hAnsi="Barlow Semi Condensed"/>
          <w:sz w:val="24"/>
          <w:szCs w:val="24"/>
        </w:rPr>
        <w:t xml:space="preserve">, a Milano, furono rinvenuti scritti della prigionia di Moro (trascrizioni dattiloscritte e fotocopie di pagine autografe) </w:t>
      </w:r>
      <w:r>
        <w:rPr>
          <w:rFonts w:ascii="Barlow Semi Condensed" w:cs="Barlow Semi Condensed" w:eastAsia="Barlow Semi Condensed" w:hAnsi="Barlow Semi Condensed"/>
          <w:b/>
          <w:bCs/>
          <w:sz w:val="24"/>
          <w:szCs w:val="24"/>
        </w:rPr>
        <w:t xml:space="preserve">in due momenti distinti</w:t>
      </w:r>
      <w:r>
        <w:rPr>
          <w:rFonts w:ascii="Barlow Semi Condensed" w:cs="Barlow Semi Condensed" w:eastAsia="Barlow Semi Condensed" w:hAnsi="Barlow Semi Condensed"/>
          <w:sz w:val="24"/>
          <w:szCs w:val="24"/>
        </w:rPr>
        <w:t xml:space="preserve">: nell'ottobre 1978 una versione parziale, e nell'ottobre 1990 — dietro un pannello di cartongesso, durante lavori di ristrutturazione — una versione assai più ampia. Gli originali non furono mai trovati.</w:t>
      </w:r>
    </w:p>
    <w:p>
      <w:pPr>
        <w:spacing w:after="120" w:line="276"/>
        <w:jc w:val="both"/>
      </w:pPr>
      <w:r>
        <w:rPr>
          <w:rFonts w:ascii="Barlow Semi Condensed" w:cs="Barlow Semi Condensed" w:eastAsia="Barlow Semi Condensed" w:hAnsi="Barlow Semi Condensed"/>
          <w:b/>
          <w:bCs/>
          <w:sz w:val="24"/>
          <w:szCs w:val="24"/>
        </w:rPr>
        <w:t xml:space="preserve">Il grado del «doppio ritrovamento» (B/C).</w:t>
      </w:r>
      <w:r>
        <w:rPr>
          <w:rFonts w:ascii="Barlow Semi Condensed" w:cs="Barlow Semi Condensed" w:eastAsia="Barlow Semi Condensed" w:hAnsi="Barlow Semi Condensed"/>
          <w:sz w:val="24"/>
          <w:szCs w:val="24"/>
        </w:rPr>
        <w:t xml:space="preserve"> Che il ritrovamento sia avvenuto in due tempi è </w:t>
      </w:r>
      <w:r>
        <w:rPr>
          <w:rFonts w:ascii="Barlow Semi Condensed" w:cs="Barlow Semi Condensed" w:eastAsia="Barlow Semi Condensed" w:hAnsi="Barlow Semi Condensed"/>
          <w:b/>
          <w:bCs/>
          <w:sz w:val="24"/>
          <w:szCs w:val="24"/>
        </w:rPr>
        <w:t xml:space="preserve">accertato</w:t>
      </w:r>
      <w:r>
        <w:rPr>
          <w:rFonts w:ascii="Barlow Semi Condensed" w:cs="Barlow Semi Condensed" w:eastAsia="Barlow Semi Condensed" w:hAnsi="Barlow Semi Condensed"/>
          <w:sz w:val="24"/>
          <w:szCs w:val="24"/>
        </w:rPr>
        <w:t xml:space="preserve">. Che la versione del 1978 fosse </w:t>
      </w:r>
      <w:r>
        <w:rPr>
          <w:rFonts w:ascii="Barlow Semi Condensed" w:cs="Barlow Semi Condensed" w:eastAsia="Barlow Semi Condensed" w:hAnsi="Barlow Semi Condensed"/>
          <w:i/>
          <w:iCs/>
          <w:sz w:val="24"/>
          <w:szCs w:val="24"/>
        </w:rPr>
        <w:t xml:space="preserve">deliberatamente</w:t>
      </w:r>
      <w:r>
        <w:rPr>
          <w:rFonts w:ascii="Barlow Semi Condensed" w:cs="Barlow Semi Condensed" w:eastAsia="Barlow Semi Condensed" w:hAnsi="Barlow Semi Condensed"/>
          <w:sz w:val="24"/>
          <w:szCs w:val="24"/>
        </w:rPr>
        <w:t xml:space="preserve"> incompleta e che parte delle carte sia stata sottratta o manipolata è </w:t>
      </w:r>
      <w:r>
        <w:rPr>
          <w:rFonts w:ascii="Barlow Semi Condensed" w:cs="Barlow Semi Condensed" w:eastAsia="Barlow Semi Condensed" w:hAnsi="Barlow Semi Condensed"/>
          <w:b/>
          <w:bCs/>
          <w:sz w:val="24"/>
          <w:szCs w:val="24"/>
        </w:rPr>
        <w:t xml:space="preserve">ipotesi di Livello B</w:t>
      </w:r>
      <w:r>
        <w:rPr>
          <w:rFonts w:ascii="Barlow Semi Condensed" w:cs="Barlow Semi Condensed" w:eastAsia="Barlow Semi Condensed" w:hAnsi="Barlow Semi Condensed"/>
          <w:sz w:val="24"/>
          <w:szCs w:val="24"/>
        </w:rPr>
        <w:t xml:space="preserve">: sostenuta da indizi seri (la constatazione, riferita, che al capitano Arlati furono restituite meno carte di quante ne fossero uscite dal covo) ma non conclusa da prova piena su chi e perché. È il punto in cui il sospetto di depistaggio ha la sua base documentale più solida — e proprio per questo va tenuto al suo livello esatto: un depistaggio </w:t>
      </w:r>
      <w:r>
        <w:rPr>
          <w:rFonts w:ascii="Barlow Semi Condensed" w:cs="Barlow Semi Condensed" w:eastAsia="Barlow Semi Condensed" w:hAnsi="Barlow Semi Condensed"/>
          <w:i/>
          <w:iCs/>
          <w:sz w:val="24"/>
          <w:szCs w:val="24"/>
        </w:rPr>
        <w:t xml:space="preserve">documentario</w:t>
      </w:r>
      <w:r>
        <w:rPr>
          <w:rFonts w:ascii="Barlow Semi Condensed" w:cs="Barlow Semi Condensed" w:eastAsia="Barlow Semi Condensed" w:hAnsi="Barlow Semi Condensed"/>
          <w:sz w:val="24"/>
          <w:szCs w:val="24"/>
        </w:rPr>
        <w:t xml:space="preserve"> probabile, non ancora un mandante nominato. La differenza fra «qualcuno alterò le carte» (B, verso A) e «il tale le alterò per conto del tale» (C) è tutta la differenza fra un fatto e un'accusa.</w:t>
      </w:r>
    </w:p>
    <w:p>
      <w:pPr>
        <w:pStyle w:val="Heading2"/>
        <w:spacing w:after="100" w:before="200"/>
      </w:pPr>
      <w:r>
        <w:rPr>
          <w:rFonts w:ascii="Barlow Semi Condensed" w:cs="Barlow Semi Condensed" w:eastAsia="Barlow Semi Condensed" w:hAnsi="Barlow Semi Condensed"/>
          <w:sz w:val="24"/>
          <w:szCs w:val="24"/>
        </w:rPr>
        <w:t xml:space="preserve">IX. Il quadro internazionale</w:t>
      </w:r>
    </w:p>
    <w:p>
      <w:pPr>
        <w:spacing w:after="120" w:line="276"/>
        <w:jc w:val="both"/>
      </w:pPr>
      <w:r>
        <w:rPr>
          <w:rFonts w:ascii="Barlow Semi Condensed" w:cs="Barlow Semi Condensed" w:eastAsia="Barlow Semi Condensed" w:hAnsi="Barlow Semi Condensed"/>
          <w:b/>
          <w:bCs/>
          <w:sz w:val="24"/>
          <w:szCs w:val="24"/>
        </w:rPr>
        <w:t xml:space="preserve">Accertato (A) come contesto.</w:t>
      </w:r>
      <w:r>
        <w:rPr>
          <w:rFonts w:ascii="Barlow Semi Condensed" w:cs="Barlow Semi Condensed" w:eastAsia="Barlow Semi Condensed" w:hAnsi="Barlow Semi Condensed"/>
          <w:sz w:val="24"/>
          <w:szCs w:val="24"/>
        </w:rPr>
        <w:t xml:space="preserve"> È documentata l'ostilità di settori dell'alleanza atlantica all'ingresso dei comunisti nell'area di governo italiana; è documentato l'avvertimento riferito da Corrado Guerzoni e confermato da Eleonora Chiavarelli Moro (Washington, collocato al 25 settembre 1974), sempre smentito da Kissinger; è documentata la presenza del consulente statunitense Steve Pieczenik nel comitato di crisi al fianco del ministro Cossiga.</w:t>
      </w:r>
    </w:p>
    <w:p>
      <w:pPr>
        <w:spacing w:after="120" w:line="276"/>
        <w:jc w:val="both"/>
      </w:pPr>
      <w:r>
        <w:rPr>
          <w:rFonts w:ascii="Barlow Semi Condensed" w:cs="Barlow Semi Condensed" w:eastAsia="Barlow Semi Condensed" w:hAnsi="Barlow Semi Condensed"/>
          <w:b/>
          <w:bCs/>
          <w:sz w:val="24"/>
          <w:szCs w:val="24"/>
        </w:rPr>
        <w:t xml:space="preserve">Il salto vietato (C).</w:t>
      </w:r>
      <w:r>
        <w:rPr>
          <w:rFonts w:ascii="Barlow Semi Condensed" w:cs="Barlow Semi Condensed" w:eastAsia="Barlow Semi Condensed" w:hAnsi="Barlow Semi Condensed"/>
          <w:sz w:val="24"/>
          <w:szCs w:val="24"/>
        </w:rPr>
        <w:t xml:space="preserve"> Dal contesto ostile </w:t>
      </w:r>
      <w:r>
        <w:rPr>
          <w:rFonts w:ascii="Barlow Semi Condensed" w:cs="Barlow Semi Condensed" w:eastAsia="Barlow Semi Condensed" w:hAnsi="Barlow Semi Condensed"/>
          <w:i/>
          <w:iCs/>
          <w:sz w:val="24"/>
          <w:szCs w:val="24"/>
        </w:rPr>
        <w:t xml:space="preserve">non discende</w:t>
      </w:r>
      <w:r>
        <w:rPr>
          <w:rFonts w:ascii="Barlow Semi Condensed" w:cs="Barlow Semi Condensed" w:eastAsia="Barlow Semi Condensed" w:hAnsi="Barlow Semi Condensed"/>
          <w:sz w:val="24"/>
          <w:szCs w:val="24"/>
        </w:rPr>
        <w:t xml:space="preserve"> la catena di comando. Che nemici politici di Moro esistessero, e potenti, è di Livello A; che uno di essi abbia armato o guidato la mano brigatista è di Livello C, e nessun documento — italiano o statunitense — lo attesta. La triangolazione condotta nel corpus di questa ricerca (il fascicolo su Kissinger) mostra il principio in forma pura: gli archi documentati di Kissinger sono statali e verticali (Cile, Angola, i fondi ai servizi italiani), mentre verso l'eversione nera privata restano soltanto convergenze di cornice. Applicato a Moro, il principio dice: </w:t>
      </w:r>
      <w:r>
        <w:rPr>
          <w:rFonts w:ascii="Barlow Semi Condensed" w:cs="Barlow Semi Condensed" w:eastAsia="Barlow Semi Condensed" w:hAnsi="Barlow Semi Condensed"/>
          <w:b/>
          <w:bCs/>
          <w:sz w:val="24"/>
          <w:szCs w:val="24"/>
        </w:rPr>
        <w:t xml:space="preserve">la prossimità di un nemico non è il suo mandato.</w:t>
      </w:r>
      <w:r>
        <w:rPr>
          <w:rFonts w:ascii="Barlow Semi Condensed" w:cs="Barlow Semi Condensed" w:eastAsia="Barlow Semi Condensed" w:hAnsi="Barlow Semi Condensed"/>
          <w:sz w:val="24"/>
          <w:szCs w:val="24"/>
        </w:rPr>
        <w:t xml:space="preserve"> Il movente internazionale spiega perché la mediazione di Moro fosse osteggiata; non prova chi lo abbia ucciso, che le sentenze indicano nelle Brigate Rosse.</w:t>
      </w:r>
    </w:p>
    <w:p>
      <w:pPr>
        <w:pStyle w:val="Heading2"/>
        <w:spacing w:after="100" w:before="200"/>
      </w:pPr>
      <w:r>
        <w:rPr>
          <w:rFonts w:ascii="Barlow Semi Condensed" w:cs="Barlow Semi Condensed" w:eastAsia="Barlow Semi Condensed" w:hAnsi="Barlow Semi Condensed"/>
          <w:sz w:val="24"/>
          <w:szCs w:val="24"/>
        </w:rPr>
        <w:t xml:space="preserve">X. I depistaggi e la «verità dicibile»</w:t>
      </w:r>
    </w:p>
    <w:p>
      <w:pPr>
        <w:spacing w:after="120" w:line="276"/>
        <w:jc w:val="both"/>
      </w:pPr>
      <w:r>
        <w:rPr>
          <w:rFonts w:ascii="Barlow Semi Condensed" w:cs="Barlow Semi Condensed" w:eastAsia="Barlow Semi Condensed" w:hAnsi="Barlow Semi Condensed"/>
          <w:b/>
          <w:bCs/>
          <w:sz w:val="24"/>
          <w:szCs w:val="24"/>
        </w:rPr>
        <w:t xml:space="preserve">Accertato (A).</w:t>
      </w:r>
      <w:r>
        <w:rPr>
          <w:rFonts w:ascii="Barlow Semi Condensed" w:cs="Barlow Semi Condensed" w:eastAsia="Barlow Semi Condensed" w:hAnsi="Barlow Semi Condensed"/>
          <w:sz w:val="24"/>
          <w:szCs w:val="24"/>
        </w:rPr>
        <w:t xml:space="preserve"> La Commissione Fioroni ha concluso che ciò che si è saputo del caso è, con la formula del suo presidente, una </w:t>
      </w:r>
      <w:r>
        <w:rPr>
          <w:rFonts w:ascii="Barlow Semi Condensed" w:cs="Barlow Semi Condensed" w:eastAsia="Barlow Semi Condensed" w:hAnsi="Barlow Semi Condensed"/>
          <w:b/>
          <w:bCs/>
          <w:sz w:val="24"/>
          <w:szCs w:val="24"/>
        </w:rPr>
        <w:t xml:space="preserve">«verità dicibile»</w:t>
      </w:r>
      <w:r>
        <w:rPr>
          <w:rFonts w:ascii="Barlow Semi Condensed" w:cs="Barlow Semi Condensed" w:eastAsia="Barlow Semi Condensed" w:hAnsi="Barlow Semi Condensed"/>
          <w:sz w:val="24"/>
          <w:szCs w:val="24"/>
        </w:rPr>
        <w:t xml:space="preserve">: quella che si poté raccontare per chiudere la stagione del terrorismo. Ha documentato depistaggi, silenzi e opacità di apparati; ha desecretato migliaia di documenti e raccolto centinaia di nuove testimonianze.</w:t>
      </w:r>
    </w:p>
    <w:p>
      <w:pPr>
        <w:spacing w:after="120" w:line="276"/>
        <w:jc w:val="both"/>
      </w:pPr>
      <w:r>
        <w:rPr>
          <w:rFonts w:ascii="Barlow Semi Condensed" w:cs="Barlow Semi Condensed" w:eastAsia="Barlow Semi Condensed" w:hAnsi="Barlow Semi Condensed"/>
          <w:b/>
          <w:bCs/>
          <w:sz w:val="24"/>
          <w:szCs w:val="24"/>
        </w:rPr>
        <w:t xml:space="preserve">Ciò che «verità dicibile» significa, e ciò che non significa.</w:t>
      </w:r>
      <w:r>
        <w:rPr>
          <w:rFonts w:ascii="Barlow Semi Condensed" w:cs="Barlow Semi Condensed" w:eastAsia="Barlow Semi Condensed" w:hAnsi="Barlow Semi Condensed"/>
          <w:sz w:val="24"/>
          <w:szCs w:val="24"/>
        </w:rPr>
        <w:t xml:space="preserve"> Significa, di Livello A, che la verità giudiziaria è </w:t>
      </w:r>
      <w:r>
        <w:rPr>
          <w:rFonts w:ascii="Barlow Semi Condensed" w:cs="Barlow Semi Condensed" w:eastAsia="Barlow Semi Condensed" w:hAnsi="Barlow Semi Condensed"/>
          <w:b/>
          <w:bCs/>
          <w:sz w:val="24"/>
          <w:szCs w:val="24"/>
        </w:rPr>
        <w:t xml:space="preserve">incompleta</w:t>
      </w:r>
      <w:r>
        <w:rPr>
          <w:rFonts w:ascii="Barlow Semi Condensed" w:cs="Barlow Semi Condensed" w:eastAsia="Barlow Semi Condensed" w:hAnsi="Barlow Semi Condensed"/>
          <w:sz w:val="24"/>
          <w:szCs w:val="24"/>
        </w:rPr>
        <w:t xml:space="preserve"> e che vi furono coperture.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significa, di per sé, che esista una verità </w:t>
      </w:r>
      <w:r>
        <w:rPr>
          <w:rFonts w:ascii="Barlow Semi Condensed" w:cs="Barlow Semi Condensed" w:eastAsia="Barlow Semi Condensed" w:hAnsi="Barlow Semi Condensed"/>
          <w:i/>
          <w:iCs/>
          <w:sz w:val="24"/>
          <w:szCs w:val="24"/>
        </w:rPr>
        <w:t xml:space="preserve">diversa</w:t>
      </w:r>
      <w:r>
        <w:rPr>
          <w:rFonts w:ascii="Barlow Semi Condensed" w:cs="Barlow Semi Condensed" w:eastAsia="Barlow Semi Condensed" w:hAnsi="Barlow Semi Condensed"/>
          <w:sz w:val="24"/>
          <w:szCs w:val="24"/>
        </w:rPr>
        <w:t xml:space="preserve"> già nota e taciuta: significa che restano zone di buio. La distinzione è capitale e il Pollo di Popper la impone. «Non sappiamo tutto» è un fatto accertato; «sappiamo che dietro c'è il tale» è un'inferenza che «non sappiamo tutto» non autorizza. Il vuoto documentato è un invito allo scavo, non una licenza al nome. Chi riempie il vuoto con un mandante compie, sul piano logico, lo stesso gesto del pollo: scambia l'assenza di smentita per presenza di prova.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Movimento terzo — Il rifiuto e la sua ragione</w:t>
      </w:r>
    </w:p>
    <w:p>
      <w:pPr>
        <w:pStyle w:val="Heading2"/>
        <w:spacing w:after="100" w:before="200"/>
      </w:pPr>
      <w:r>
        <w:rPr>
          <w:rFonts w:ascii="Barlow Semi Condensed" w:cs="Barlow Semi Condensed" w:eastAsia="Barlow Semi Condensed" w:hAnsi="Barlow Semi Condensed"/>
          <w:sz w:val="24"/>
          <w:szCs w:val="24"/>
        </w:rPr>
        <w:t xml:space="preserve">XI. Contro la graduatoria: perché non si numera un sospetto</w:t>
      </w:r>
    </w:p>
    <w:p>
      <w:pPr>
        <w:spacing w:after="120" w:line="276"/>
        <w:jc w:val="both"/>
      </w:pPr>
      <w:r>
        <w:rPr>
          <w:rFonts w:ascii="Barlow Semi Condensed" w:cs="Barlow Semi Condensed" w:eastAsia="Barlow Semi Condensed" w:hAnsi="Barlow Semi Condensed"/>
          <w:sz w:val="24"/>
          <w:szCs w:val="24"/>
        </w:rPr>
        <w:t xml:space="preserve">Il cuore di questa continuazione è un rifiuto, e va motivato fino in fondo, perché non sia scambiato per reticenza.</w:t>
      </w:r>
    </w:p>
    <w:p>
      <w:pPr>
        <w:spacing w:after="120" w:line="276"/>
        <w:jc w:val="both"/>
      </w:pPr>
      <w:r>
        <w:rPr>
          <w:rFonts w:ascii="Barlow Semi Condensed" w:cs="Barlow Semi Condensed" w:eastAsia="Barlow Semi Condensed" w:hAnsi="Barlow Semi Condensed"/>
          <w:sz w:val="24"/>
          <w:szCs w:val="24"/>
        </w:rPr>
        <w:t xml:space="preserve">Una graduatoria di probabili responsabili — anche la più scrupolosa, anche quella che premette a sé una clausola garantista — compie un'operazione che il diritto conosce e vieta: </w:t>
      </w:r>
      <w:r>
        <w:rPr>
          <w:rFonts w:ascii="Barlow Semi Condensed" w:cs="Barlow Semi Condensed" w:eastAsia="Barlow Semi Condensed" w:hAnsi="Barlow Semi Condensed"/>
          <w:b/>
          <w:bCs/>
          <w:sz w:val="24"/>
          <w:szCs w:val="24"/>
        </w:rPr>
        <w:t xml:space="preserve">trasforma il sospetto in un ordinale</w:t>
      </w:r>
      <w:r>
        <w:rPr>
          <w:rFonts w:ascii="Barlow Semi Condensed" w:cs="Barlow Semi Condensed" w:eastAsia="Barlow Semi Condensed" w:hAnsi="Barlow Semi Condensed"/>
          <w:sz w:val="24"/>
          <w:szCs w:val="24"/>
        </w:rPr>
        <w:t xml:space="preserve">. Dire «il tale è il responsabile più probabile» significa assegnargli un posto in una classifica di colpevolezza senza il solo strumento che può assegnarlo legittimamente, che è il processo con le sue garanzie: il contraddittorio, la difesa, la prova che regge all'urto della difesa. Fuori da quel recinto, la probabilità sul nome di una persona non è un grado di conoscenza: è un marchio. E il marchio, una volta impresso, non conosce assoluzione — perché nessun tribunale lo ha comminato, nessun tribunale può revocarlo.</w:t>
      </w:r>
    </w:p>
    <w:p>
      <w:pPr>
        <w:spacing w:after="120" w:line="276"/>
        <w:jc w:val="both"/>
      </w:pPr>
      <w:r>
        <w:rPr>
          <w:rFonts w:ascii="Barlow Semi Condensed" w:cs="Barlow Semi Condensed" w:eastAsia="Barlow Semi Condensed" w:hAnsi="Barlow Semi Condensed"/>
          <w:sz w:val="24"/>
          <w:szCs w:val="24"/>
        </w:rPr>
        <w:t xml:space="preserve">Vi è di più, e tocca la sostanza del metodo che quest'opera si è dato. L'apparato che la governa — la Regola di Ferro, i tre stati di Cartesio, il presidio del ferreo — stabilisce che una convergenza non si promuove mai a rapporto, che la sincronia non è prova, che la federazione dei casi accresce l'attestazione e non trasporta lo stato di un nodo. Ebbene: una graduatoria di mandanti è, in termini di quell'apparato, la promozione vietata per eccellenza. Prende nodi che stanno allo stato del </w:t>
      </w:r>
      <w:r>
        <w:rPr>
          <w:rFonts w:ascii="Barlow Semi Condensed" w:cs="Barlow Semi Condensed" w:eastAsia="Barlow Semi Condensed" w:hAnsi="Barlow Semi Condensed"/>
          <w:i/>
          <w:iCs/>
          <w:sz w:val="24"/>
          <w:szCs w:val="24"/>
        </w:rPr>
        <w:t xml:space="preserve">dubbio</w:t>
      </w:r>
      <w:r>
        <w:rPr>
          <w:rFonts w:ascii="Barlow Semi Condensed" w:cs="Barlow Semi Condensed" w:eastAsia="Barlow Semi Condensed" w:hAnsi="Barlow Semi Condensed"/>
          <w:sz w:val="24"/>
          <w:szCs w:val="24"/>
        </w:rPr>
        <w:t xml:space="preserve"> — l'indagato, non l'affermato — e li dispone come se fossero allo stato dello </w:t>
      </w:r>
      <w:r>
        <w:rPr>
          <w:rFonts w:ascii="Barlow Semi Condensed" w:cs="Barlow Semi Condensed" w:eastAsia="Barlow Semi Condensed" w:hAnsi="Barlow Semi Condensed"/>
          <w:i/>
          <w:iCs/>
          <w:sz w:val="24"/>
          <w:szCs w:val="24"/>
        </w:rPr>
        <w:t xml:space="preserve">sciolto</w:t>
      </w:r>
      <w:r>
        <w:rPr>
          <w:rFonts w:ascii="Barlow Semi Condensed" w:cs="Barlow Semi Condensed" w:eastAsia="Barlow Semi Condensed" w:hAnsi="Barlow Semi Condensed"/>
          <w:sz w:val="24"/>
          <w:szCs w:val="24"/>
        </w:rPr>
        <w:t xml:space="preserve">, l'accertato. Il numero d'ordine è la promozione clandestina di uno stato all'altro. E l'apparato, che l'autore stesso ha scritto, la proibisce.</w:t>
      </w:r>
    </w:p>
    <w:p>
      <w:pPr>
        <w:pStyle w:val="Heading2"/>
        <w:spacing w:after="100" w:before="200"/>
      </w:pPr>
      <w:r>
        <w:rPr>
          <w:rFonts w:ascii="Barlow Semi Condensed" w:cs="Barlow Semi Condensed" w:eastAsia="Barlow Semi Condensed" w:hAnsi="Barlow Semi Condensed"/>
          <w:sz w:val="24"/>
          <w:szCs w:val="24"/>
        </w:rPr>
        <w:t xml:space="preserve">XII. L'obiezione, e la risposta</w:t>
      </w:r>
    </w:p>
    <w:p>
      <w:pPr>
        <w:spacing w:after="120" w:line="276"/>
        <w:jc w:val="both"/>
      </w:pPr>
      <w:r>
        <w:rPr>
          <w:rFonts w:ascii="Barlow Semi Condensed" w:cs="Barlow Semi Condensed" w:eastAsia="Barlow Semi Condensed" w:hAnsi="Barlow Semi Condensed"/>
          <w:sz w:val="24"/>
          <w:szCs w:val="24"/>
        </w:rPr>
        <w:t xml:space="preserve">Si dirà: ma allora ci si condanna al silenzio, e il silenzio ha coperto per quarant'anni proprio i colpevoli. L'obiezione è seria e merita risposta piena, perché in essa si annida la giustificazione di ogni scorciatoia.</w:t>
      </w:r>
    </w:p>
    <w:p>
      <w:pPr>
        <w:spacing w:after="120" w:line="276"/>
        <w:jc w:val="both"/>
      </w:pPr>
      <w:r>
        <w:rPr>
          <w:rFonts w:ascii="Barlow Semi Condensed" w:cs="Barlow Semi Condensed" w:eastAsia="Barlow Semi Condensed" w:hAnsi="Barlow Semi Condensed"/>
          <w:sz w:val="24"/>
          <w:szCs w:val="24"/>
        </w:rPr>
        <w:t xml:space="preserve">La risposta è che </w:t>
      </w:r>
      <w:r>
        <w:rPr>
          <w:rFonts w:ascii="Barlow Semi Condensed" w:cs="Barlow Semi Condensed" w:eastAsia="Barlow Semi Condensed" w:hAnsi="Barlow Semi Condensed"/>
          <w:b/>
          <w:bCs/>
          <w:sz w:val="24"/>
          <w:szCs w:val="24"/>
        </w:rPr>
        <w:t xml:space="preserve">fra il silenzio e la graduatoria esiste un terzo termine, ed è il lavoro</w:t>
      </w:r>
      <w:r>
        <w:rPr>
          <w:rFonts w:ascii="Barlow Semi Condensed" w:cs="Barlow Semi Condensed" w:eastAsia="Barlow Semi Condensed" w:hAnsi="Barlow Semi Condensed"/>
          <w:sz w:val="24"/>
          <w:szCs w:val="24"/>
        </w:rPr>
        <w:t xml:space="preserve">. Non tacere: indicare con precisione i vuoti, nominarli, dire dove il documento manca e quale documento manca, tenere il fascicolo aperto e la pressione alta perché quel documento venga desecretato o cercato. Questo non è silenzio: è il contrario del silenzio. È la voce che chiede prove invece di fabbricarle. La Commissione Fioroni, desecretando migliaia di atti, ha fatto avanzare la verità di Moro assai più di qualunque graduatoria mai compilata — perché ha lavorato al livello A, non al livello C. Ogni verità che sul caso Moro è emersa in quarant'anni è emersa da un fascicolo riaperto, mai da una classifica. Il silenzio non è ciò che questa parte propone; è, semmai, ciò che la graduatoria produce, perché una volta fatto il nome la ricerca si ferma, appagata, e il documento che avrebbe potuto provare o smentire non viene più cercato.</w:t>
      </w:r>
    </w:p>
    <w:p>
      <w:pPr>
        <w:pStyle w:val="Heading2"/>
        <w:spacing w:after="100" w:before="200"/>
      </w:pPr>
      <w:r>
        <w:rPr>
          <w:rFonts w:ascii="Barlow Semi Condensed" w:cs="Barlow Semi Condensed" w:eastAsia="Barlow Semi Condensed" w:hAnsi="Barlow Semi Condensed"/>
          <w:sz w:val="24"/>
          <w:szCs w:val="24"/>
        </w:rPr>
        <w:t xml:space="preserve">XIII. Che cosa resta da fare — e non è poco</w:t>
      </w:r>
    </w:p>
    <w:p>
      <w:pPr>
        <w:spacing w:after="120" w:line="276"/>
        <w:jc w:val="both"/>
      </w:pPr>
      <w:r>
        <w:rPr>
          <w:rFonts w:ascii="Barlow Semi Condensed" w:cs="Barlow Semi Condensed" w:eastAsia="Barlow Semi Condensed" w:hAnsi="Barlow Semi Condensed"/>
          <w:sz w:val="24"/>
          <w:szCs w:val="24"/>
        </w:rPr>
        <w:t xml:space="preserve">Rinunciare alla graduatoria non è rinunciare alla verità: è cercarla dove può essere trovata. Il lavoro che resta, e che sarebbe la vera continuazione dell'opera, non ha la forma della classifica ma quella dello scavo: la desecretazione integrale dei fondi ancora chiusi; il confronto sistematico fra le versioni delle Commissioni; la ricostruzione documentale — non congetturale — delle catene di custodia dei reperti, del memoriale, delle perizie balistiche di via Fani. È lavoro d'archivio, lento, ingrato, senza il lampo del nome fatto. Ma è il solo che, sul caso Moro, abbia mai spostato di un millimetro il confine fra il probabile e l'accertato.</w:t>
      </w:r>
    </w:p>
    <w:p>
      <w:pPr>
        <w:spacing w:after="120" w:line="276"/>
        <w:jc w:val="both"/>
      </w:pPr>
      <w:r>
        <w:rPr>
          <w:rFonts w:ascii="Barlow Semi Condensed" w:cs="Barlow Semi Condensed" w:eastAsia="Barlow Semi Condensed" w:hAnsi="Barlow Semi Condensed"/>
          <w:sz w:val="24"/>
          <w:szCs w:val="24"/>
        </w:rPr>
        <w:t xml:space="preserve">Questa è la macchia d'olio di cui parlava la parte prima, ripresa nel suo verso giusto: non l'allargarsi dell'ipotesi finché copre tutto, ma l'allargarsi paziente della zona accertata, un documento alla volta, contro la zona del buio.</w:t>
      </w:r>
    </w:p>
    <w:p>
      <w:pPr>
        <w:pStyle w:val="Heading2"/>
        <w:spacing w:after="100" w:before="200"/>
      </w:pPr>
      <w:r>
        <w:rPr>
          <w:rFonts w:ascii="Barlow Semi Condensed" w:cs="Barlow Semi Condensed" w:eastAsia="Barlow Semi Condensed" w:hAnsi="Barlow Semi Condensed"/>
          <w:sz w:val="24"/>
          <w:szCs w:val="24"/>
        </w:rPr>
        <w:t xml:space="preserve">XIV. Congedo — con l'epigrafe</w:t>
      </w:r>
    </w:p>
    <w:p>
      <w:pPr>
        <w:spacing w:after="120" w:line="276"/>
        <w:jc w:val="both"/>
      </w:pPr>
      <w:r>
        <w:rPr>
          <w:rFonts w:ascii="Barlow Semi Condensed" w:cs="Barlow Semi Condensed" w:eastAsia="Barlow Semi Condensed" w:hAnsi="Barlow Semi Condensed"/>
          <w:sz w:val="24"/>
          <w:szCs w:val="24"/>
        </w:rPr>
        <w:t xml:space="preserve">L'opera si apriva con un verso: «È l'ignoranza che crea la violenza». È giusto che si chiuda meditandolo, perché contiene, se lo si prende sul serio, la condanna di ogni scorciatoia.</w:t>
      </w:r>
    </w:p>
    <w:p>
      <w:pPr>
        <w:spacing w:after="120" w:line="276"/>
        <w:jc w:val="both"/>
      </w:pPr>
      <w:r>
        <w:rPr>
          <w:rFonts w:ascii="Barlow Semi Condensed" w:cs="Barlow Semi Condensed" w:eastAsia="Barlow Semi Condensed" w:hAnsi="Barlow Semi Condensed"/>
          <w:sz w:val="24"/>
          <w:szCs w:val="24"/>
        </w:rPr>
        <w:t xml:space="preserve">Se è l'ignoranza a creare la violenza, allora la risposta alla violenza non può essere un'altra forma d'ignoranza — e la certezza senza prova è una forma d'ignoranza, forse la più insidiosa, perché indossa l'abito della conoscenza. Attribuire un delitto a chi non è stato giudicato, per quanto se ne sia convinti, non riscatta la vittima: le aggiunge, in un certo senso, la propria — perché ripete, sul piano del giudizio, lo stesso gesto che si vorrebbe condannare, cioè la condanna senza processo. Moro, che era un giurista prima che un politico, e che dalla sua prigione continuò a invocare il diritto contro la ragion di Stato, sarebbe l'ultimo a volere che il suo nome giustificasse un tribunale del sospetto.</w:t>
      </w:r>
    </w:p>
    <w:p>
      <w:pPr>
        <w:spacing w:after="120" w:line="276"/>
        <w:jc w:val="both"/>
      </w:pPr>
      <w:r>
        <w:rPr>
          <w:rFonts w:ascii="Barlow Semi Condensed" w:cs="Barlow Semi Condensed" w:eastAsia="Barlow Semi Condensed" w:hAnsi="Barlow Semi Condensed"/>
          <w:sz w:val="24"/>
          <w:szCs w:val="24"/>
        </w:rPr>
        <w:t xml:space="preserve">La guerra fu senza fine non perché eterna, ma perché non ebbe un vincitore che le desse un senso: lasciò un uomo ucciso, uno Stato ferito, e una domanda che quarant'anni non hanno chiuso. La si onori come si onora una domanda vera: continuando a cercare, negli archivi e non nelle classifiche, e resistendo alla tentazione — dolce, e per questo pericolosa — di chiuderla con un nome. La verità, su Moro, verrà dai documenti o non verrà. E fino a quel giorno, la cosa più fedele che si possa fare alla sua memoria è tenere aperta la ricerca e chiusa la bocca sull'accusa che non si può provare.</w:t>
      </w:r>
    </w:p>
    <w:p>
      <w:pPr>
        <w:spacing w:after="120" w:line="276"/>
        <w:jc w:val="both"/>
      </w:pPr>
      <w:r>
        <w:rPr>
          <w:rFonts w:ascii="Barlow Semi Condensed" w:cs="Barlow Semi Condensed" w:eastAsia="Barlow Semi Condensed" w:hAnsi="Barlow Semi Condensed"/>
          <w:sz w:val="24"/>
          <w:szCs w:val="24"/>
        </w:rPr>
        <w:t xml:space="preserve">Qui l'autore di questa terza parte si congeda, lasciando l'opera dov'era: davanti a un fascicolo mai chiuso.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Questa terza parte è una continuazione originale e non riproduce il testo dell'opera che la precede. Le uniche affermazioni presentate come fatti sono di Livello A (accertamento giudiziario e storiografico); tutto il resto è dichiarato probabile o possibile. Nessuna persona è qui indicata come responsabile di reato oltre quanto stabilito in via definitiva dalla giustizia. I riscontri fattuali (Commissione Fioroni 2014-2018; ritrovamenti di via Monte Nevoso 1978 e 1990; episodio di via Gradoli e della seduta spiritica; dinamica di via Fani) sono ancorati agli atti parlamentari e alla documentazione pubblica. Per gli aspetti che toccano persone viventi vale la disciplina di riservatezza dell'apparato Italia Nera.</w:t>
      </w:r>
    </w:p>
    <w:p>
      <w:pPr>
        <w:pStyle w:val="Heading3"/>
        <w:spacing w:after="80" w:before="240"/>
      </w:pPr>
      <w:r>
        <w:rPr>
          <w:rFonts w:ascii="Barlow Semi Condensed" w:cs="Barlow Semi Condensed" w:eastAsia="Barlow Semi Condensed" w:hAnsi="Barlow Semi Condensed"/>
          <w:sz w:val="24"/>
          <w:szCs w:val="24"/>
        </w:rPr>
        <w:t xml:space="preserve">Apparato grafico — Libro settimo · Le questioni aperte: il ritorno del Pollo di Popper</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settimo: 3.451 parole in 9 sezioni; la più ampia è §9 Altre sezioni, con 1.549.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settimo: 44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ottavo — Il metodo — I. Il presidio del garante</w:t>
      </w:r>
    </w:p>
    <w:p>
      <w:pPr>
        <w:pStyle w:val="Heading2"/>
        <w:spacing w:after="100" w:before="200"/>
      </w:pPr>
      <w:r>
        <w:rPr>
          <w:rFonts w:ascii="Barlow Semi Condensed" w:cs="Barlow Semi Condensed" w:eastAsia="Barlow Semi Condensed" w:hAnsi="Barlow Semi Condensed"/>
          <w:sz w:val="24"/>
          <w:szCs w:val="24"/>
        </w:rPr>
        <w:t xml:space="preserve">Fase sesta — Il presidio del garante e l'apparato critico</w:t>
      </w:r>
    </w:p>
    <w:p>
      <w:pPr>
        <w:spacing w:after="120" w:line="276"/>
        <w:jc w:val="both"/>
      </w:pPr>
      <w:r>
        <w:rPr>
          <w:rFonts w:ascii="Barlow Semi Condensed" w:cs="Barlow Semi Condensed" w:eastAsia="Barlow Semi Condensed" w:hAnsi="Barlow Semi Condensed"/>
          <w:i/>
          <w:iCs/>
          <w:sz w:val="24"/>
          <w:szCs w:val="24"/>
        </w:rPr>
        <w:t xml:space="preserve">Continuazione — 24 agosto 2026 · Capitoli cinquantunesimo – cinquantacinquesimo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di questa fase.</w:t>
      </w:r>
      <w:r>
        <w:rPr>
          <w:rFonts w:ascii="Barlow Semi Condensed" w:cs="Barlow Semi Condensed" w:eastAsia="Barlow Semi Condensed" w:hAnsi="Barlow Semi Condensed"/>
          <w:i w:val="false"/>
          <w:iCs w:val="false"/>
          <w:sz w:val="24"/>
          <w:szCs w:val="24"/>
        </w:rPr>
        <w:t xml:space="preserve"> Questa è una </w:t>
      </w:r>
      <w:r>
        <w:rPr>
          <w:rFonts w:ascii="Barlow Semi Condensed" w:cs="Barlow Semi Condensed" w:eastAsia="Barlow Semi Condensed" w:hAnsi="Barlow Semi Condensed"/>
          <w:b/>
          <w:bCs/>
          <w:i w:val="false"/>
          <w:iCs w:val="false"/>
          <w:sz w:val="24"/>
          <w:szCs w:val="24"/>
        </w:rPr>
        <w:t xml:space="preserve">continuazione originale</w:t>
      </w:r>
      <w:r>
        <w:rPr>
          <w:rFonts w:ascii="Barlow Semi Condensed" w:cs="Barlow Semi Condensed" w:eastAsia="Barlow Semi Condensed" w:hAnsi="Barlow Semi Condensed"/>
          <w:i w:val="false"/>
          <w:iCs w:val="false"/>
          <w:sz w:val="24"/>
          <w:szCs w:val="24"/>
        </w:rPr>
        <w:t xml:space="preserve"> dell'edizione in cinquanta capitoli dell'opera «Aldo Moro — Una guerra senza fine». Ne prende spunto e ne prosegue il discorso; non ne riproduce il testo. Si aggiunge dopo il Congedo (capitolo cinquantesimo) non per contraddire l'opera ma per servire una sua promessa: quella, dichiarata nel capitolo primo, delle </w:t>
      </w:r>
      <w:r>
        <w:rPr>
          <w:rFonts w:ascii="Barlow Semi Condensed" w:cs="Barlow Semi Condensed" w:eastAsia="Barlow Semi Condensed" w:hAnsi="Barlow Semi Condensed"/>
          <w:b/>
          <w:bCs/>
          <w:i w:val="false"/>
          <w:iCs w:val="false"/>
          <w:sz w:val="24"/>
          <w:szCs w:val="24"/>
        </w:rPr>
        <w:t xml:space="preserve">quattro discipline</w:t>
      </w:r>
      <w:r>
        <w:rPr>
          <w:rFonts w:ascii="Barlow Semi Condensed" w:cs="Barlow Semi Condensed" w:eastAsia="Barlow Semi Condensed" w:hAnsi="Barlow Semi Condensed"/>
          <w:i w:val="false"/>
          <w:iCs w:val="false"/>
          <w:sz w:val="24"/>
          <w:szCs w:val="24"/>
        </w:rPr>
        <w:t xml:space="preserve"> — del grado, delle assenze, delle persone viventi, e della tracciabilità. Una promessa così esigente merita un apparato che la renda verificabile pagina per pagina; e merita, alla fine, un garante che vegli sul confine più delicato dell'opera, quello fra le sue prime quattro fasi e la quinta.  Questa fase non nomina alcuna persona come responsabile di reato oltre il giudicato definitivo. Ogni affermazione presentata come fatto è di Livello A. Il resto è dichiarato per ciò che è.</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cinquantunesimo — Perché un'opera che si vieta di imputare contiene una graduatoria: la tensione dichiarata</w:t>
      </w:r>
    </w:p>
    <w:p>
      <w:pPr>
        <w:spacing w:after="120" w:line="276"/>
        <w:jc w:val="both"/>
      </w:pPr>
      <w:r>
        <w:rPr>
          <w:rFonts w:ascii="Barlow Semi Condensed" w:cs="Barlow Semi Condensed" w:eastAsia="Barlow Semi Condensed" w:hAnsi="Barlow Semi Condensed"/>
          <w:sz w:val="24"/>
          <w:szCs w:val="24"/>
        </w:rPr>
        <w:t xml:space="preserve">Un lettore attento, giunto in fondo, si trova fra le mani una contraddizione apparente, e ha diritto che gliela si nomini invece di lasciarla implicita. Il capitolo primo dichiara, fra le quattro discipline, che l'opera «non imputa e anzi si vieta di imputare», e che delle persone viventi riferisce «esclusivamente fatti pubblici documentati». La Fase quinta, per contro, per scelta esplicita dell'autore, congeda il Pollo di Popper e costruisce una graduatoria di architetti, mandanti ed esecutori. Le due cose stanno nella stessa opera. Come si compongono?</w:t>
      </w:r>
    </w:p>
    <w:p>
      <w:pPr>
        <w:spacing w:after="120" w:line="276"/>
        <w:jc w:val="both"/>
      </w:pPr>
      <w:r>
        <w:rPr>
          <w:rFonts w:ascii="Barlow Semi Condensed" w:cs="Barlow Semi Condensed" w:eastAsia="Barlow Semi Condensed" w:hAnsi="Barlow Semi Condensed"/>
          <w:sz w:val="24"/>
          <w:szCs w:val="24"/>
        </w:rPr>
        <w:t xml:space="preserve">Si compongono, e la composizione è essa stessa una lezione di metodo, purché la si renda esplicita. La graduatoria della Fase quinta non è, nelle intenzioni dichiarate, un atto d'imputazione giudiziaria: è un </w:t>
      </w:r>
      <w:r>
        <w:rPr>
          <w:rFonts w:ascii="Barlow Semi Condensed" w:cs="Barlow Semi Condensed" w:eastAsia="Barlow Semi Condensed" w:hAnsi="Barlow Semi Condensed"/>
          <w:b/>
          <w:bCs/>
          <w:sz w:val="24"/>
          <w:szCs w:val="24"/>
        </w:rPr>
        <w:t xml:space="preserve">esercizio di probabilità storiografica dichiaratamente ipotetico</w:t>
      </w:r>
      <w:r>
        <w:rPr>
          <w:rFonts w:ascii="Barlow Semi Condensed" w:cs="Barlow Semi Condensed" w:eastAsia="Barlow Semi Condensed" w:hAnsi="Barlow Semi Condensed"/>
          <w:sz w:val="24"/>
          <w:szCs w:val="24"/>
        </w:rPr>
        <w:t xml:space="preserve">, che l'opera separa con un solco tipografico e concettuale dal corpo delle prime quattro fasi. Il patto che l'opera propone al lettore è: fino alla Fase quarta si cammina sul terreno del documentato e del suo perimetro negativo; dalla Fase quinta si entra, avvertiti, in una regione di congettura ordinata. È un patto legittimo, a una condizione — che il solco tenga. E il solco tiene solo se qualcuno lo presidia. Questa fase è il presidio.</w:t>
      </w:r>
    </w:p>
    <w:p>
      <w:pPr>
        <w:spacing w:after="120" w:line="276"/>
        <w:jc w:val="both"/>
      </w:pPr>
      <w:r>
        <w:rPr>
          <w:rFonts w:ascii="Barlow Semi Condensed" w:cs="Barlow Semi Condensed" w:eastAsia="Barlow Semi Condensed" w:hAnsi="Barlow Semi Condensed"/>
          <w:sz w:val="24"/>
          <w:szCs w:val="24"/>
        </w:rPr>
        <w:t xml:space="preserve">Il rischio, altrimenti, è quello che l'opera stessa, nel capitolo secondo, chiama immunizzazione: che la graduatoria, nata ipotetica, venga letta come conclusione, e che la premessa garantista — «questi sono i responsabili più probabili, non i responsabili accertati» — scivoli via nella memoria del lettore, lasciando i soli nomi. È un fenomeno noto e documentato della psicologia della lettura: la cornice si dimentica, il contenuto resta. Un'opera che nomina, anche in forma ipotetica, deve perciò fare i conti con il fatto che i suoi nomi vivranno più a lungo delle sue cautele. Questa è la ragione per cui il garante non è un ornamento morale ma una necessità strutturale: senza di lui, la Fase quinta cessa di essere ciò che dichiara di essere e diventa ciò che dichiara di non essere.</w:t>
      </w:r>
    </w:p>
    <w:p>
      <w:pPr>
        <w:pStyle w:val="Heading1"/>
        <w:spacing w:after="120" w:before="240"/>
      </w:pPr>
      <w:r>
        <w:rPr>
          <w:rFonts w:ascii="Barlow Semi Condensed" w:cs="Barlow Semi Condensed" w:eastAsia="Barlow Semi Condensed" w:hAnsi="Barlow Semi Condensed"/>
          <w:sz w:val="24"/>
          <w:szCs w:val="24"/>
        </w:rPr>
        <w:t xml:space="preserve">Capitolo cinquantaduesimo — Le quattro discipline, rese operative</w:t>
      </w:r>
    </w:p>
    <w:p>
      <w:pPr>
        <w:spacing w:after="120" w:line="276"/>
        <w:jc w:val="both"/>
      </w:pPr>
      <w:r>
        <w:rPr>
          <w:rFonts w:ascii="Barlow Semi Condensed" w:cs="Barlow Semi Condensed" w:eastAsia="Barlow Semi Condensed" w:hAnsi="Barlow Semi Condensed"/>
          <w:sz w:val="24"/>
          <w:szCs w:val="24"/>
        </w:rPr>
        <w:t xml:space="preserve">Le quattro discipline dichiarate nel capitolo primo sono principi; qui si rendono procedura, perché un principio che non diventa procedura è un proposito.</w:t>
      </w:r>
    </w:p>
    <w:p>
      <w:pPr>
        <w:spacing w:after="120" w:line="276"/>
        <w:jc w:val="both"/>
      </w:pPr>
      <w:r>
        <w:rPr>
          <w:rFonts w:ascii="Barlow Semi Condensed" w:cs="Barlow Semi Condensed" w:eastAsia="Barlow Semi Condensed" w:hAnsi="Barlow Semi Condensed"/>
          <w:b/>
          <w:bCs/>
          <w:sz w:val="24"/>
          <w:szCs w:val="24"/>
        </w:rPr>
        <w:t xml:space="preserve">La disciplina del grado.</w:t>
      </w:r>
      <w:r>
        <w:rPr>
          <w:rFonts w:ascii="Barlow Semi Condensed" w:cs="Barlow Semi Condensed" w:eastAsia="Barlow Semi Condensed" w:hAnsi="Barlow Semi Condensed"/>
          <w:sz w:val="24"/>
          <w:szCs w:val="24"/>
        </w:rPr>
        <w:t xml:space="preserve"> Ogni affermazione porta il proprio livello — A accertato, B probabile, C possibile. La procedura che la rende verificabile è una sola domanda, ripetuta senza eccezioni: </w:t>
      </w:r>
      <w:r>
        <w:rPr>
          <w:rFonts w:ascii="Barlow Semi Condensed" w:cs="Barlow Semi Condensed" w:eastAsia="Barlow Semi Condensed" w:hAnsi="Barlow Semi Condensed"/>
          <w:i/>
          <w:iCs/>
          <w:sz w:val="24"/>
          <w:szCs w:val="24"/>
        </w:rPr>
        <w:t xml:space="preserve">che cosa la ucciderebbe?</w:t>
      </w:r>
      <w:r>
        <w:rPr>
          <w:rFonts w:ascii="Barlow Semi Condensed" w:cs="Barlow Semi Condensed" w:eastAsia="Barlow Semi Condensed" w:hAnsi="Barlow Semi Condensed"/>
          <w:sz w:val="24"/>
          <w:szCs w:val="24"/>
        </w:rPr>
        <w:t xml:space="preserve"> Un'affermazione di Livello A è quella per cui la risposta esiste, è precisa, ed è stata cercata senza trovarla (la responsabilità brigatista del sequestro cadrebbe davanti a un documento coevo, esterno e autenticato che attesti l'eterodirezione: cercato, non trovato). Un'affermazione di Livello B è quella per cui la risposta esiste ed è precisa ma non è ancora stata cercata fino in fondo (la manipolazione del memoriale cadrebbe, o si confermerebbe, davanti alla catena di custodia integrale delle carte di via Monte Nevoso: parzialmente ricostruita). Un'affermazione di Livello C è quella per cui la risposta o non esiste — la proposizione non è falsificabile — o è irraggiungibile in via di principio. La disciplina del grado è, in fondo, la disciplina di questa domanda.</w:t>
      </w:r>
    </w:p>
    <w:p>
      <w:pPr>
        <w:spacing w:after="120" w:line="276"/>
        <w:jc w:val="both"/>
      </w:pPr>
      <w:r>
        <w:rPr>
          <w:rFonts w:ascii="Barlow Semi Condensed" w:cs="Barlow Semi Condensed" w:eastAsia="Barlow Semi Condensed" w:hAnsi="Barlow Semi Condensed"/>
          <w:b/>
          <w:bCs/>
          <w:sz w:val="24"/>
          <w:szCs w:val="24"/>
        </w:rPr>
        <w:t xml:space="preserve">La disciplina delle assenze.</w:t>
      </w:r>
      <w:r>
        <w:rPr>
          <w:rFonts w:ascii="Barlow Semi Condensed" w:cs="Barlow Semi Condensed" w:eastAsia="Barlow Semi Condensed" w:hAnsi="Barlow Semi Condensed"/>
          <w:sz w:val="24"/>
          <w:szCs w:val="24"/>
        </w:rPr>
        <w:t xml:space="preserve"> In questo campo la mappa dei vuoti vale quanto la mappa dei pieni. La procedura è il </w:t>
      </w:r>
      <w:r>
        <w:rPr>
          <w:rFonts w:ascii="Barlow Semi Condensed" w:cs="Barlow Semi Condensed" w:eastAsia="Barlow Semi Condensed" w:hAnsi="Barlow Semi Condensed"/>
          <w:b/>
          <w:bCs/>
          <w:sz w:val="24"/>
          <w:szCs w:val="24"/>
        </w:rPr>
        <w:t xml:space="preserve">perimetro negativo</w:t>
      </w:r>
      <w:r>
        <w:rPr>
          <w:rFonts w:ascii="Barlow Semi Condensed" w:cs="Barlow Semi Condensed" w:eastAsia="Barlow Semi Condensed" w:hAnsi="Barlow Semi Condensed"/>
          <w:sz w:val="24"/>
          <w:szCs w:val="24"/>
        </w:rPr>
        <w:t xml:space="preserve">: nominare esplicitamente ciò che si è cercato e non trovato — gli Stati Zero del capitolo trentanovesimo — con la stessa cura con cui si nomina ciò che si è trovato. Un'assenza dichiarata è un dato; un'assenza taciuta è una menzogna per omissione. Dire «non esiste, allo stato, alcun documento che provi X» è un'affermazione di Livello A sul mondo, non una reticenza: è la forma più onesta che la conoscenza può prendere di fronte al buio.</w:t>
      </w:r>
    </w:p>
    <w:p>
      <w:pPr>
        <w:spacing w:after="120" w:line="276"/>
        <w:jc w:val="both"/>
      </w:pPr>
      <w:r>
        <w:rPr>
          <w:rFonts w:ascii="Barlow Semi Condensed" w:cs="Barlow Semi Condensed" w:eastAsia="Barlow Semi Condensed" w:hAnsi="Barlow Semi Condensed"/>
          <w:b/>
          <w:bCs/>
          <w:sz w:val="24"/>
          <w:szCs w:val="24"/>
        </w:rPr>
        <w:t xml:space="preserve">La disciplina delle persone viventi.</w:t>
      </w:r>
      <w:r>
        <w:rPr>
          <w:rFonts w:ascii="Barlow Semi Condensed" w:cs="Barlow Semi Condensed" w:eastAsia="Barlow Semi Condensed" w:hAnsi="Barlow Semi Condensed"/>
          <w:sz w:val="24"/>
          <w:szCs w:val="24"/>
        </w:rPr>
        <w:t xml:space="preserve"> Di chi è in vita l'opera riferisce solo fatti pubblici documentati, atti giudiziari, dichiarazioni rese. La procedura è il </w:t>
      </w:r>
      <w:r>
        <w:rPr>
          <w:rFonts w:ascii="Barlow Semi Condensed" w:cs="Barlow Semi Condensed" w:eastAsia="Barlow Semi Condensed" w:hAnsi="Barlow Semi Condensed"/>
          <w:b/>
          <w:bCs/>
          <w:sz w:val="24"/>
          <w:szCs w:val="24"/>
        </w:rPr>
        <w:t xml:space="preserve">doppio filtro</w:t>
      </w:r>
      <w:r>
        <w:rPr>
          <w:rFonts w:ascii="Barlow Semi Condensed" w:cs="Barlow Semi Condensed" w:eastAsia="Barlow Semi Condensed" w:hAnsi="Barlow Semi Condensed"/>
          <w:sz w:val="24"/>
          <w:szCs w:val="24"/>
        </w:rPr>
        <w:t xml:space="preserve">: prima del nome, la domanda «questo fatto è pubblico e documentato?»; prima dell'attribuzione, la domanda «questa attribuzione è stata pronunciata da un giudice?». Se la seconda risposta è no, il nome può comparire solo come soggetto di fatti, mai come predicato di colpe. È il filtro che separa la cronaca dalla calunnia, e vale doppio nella Fase quinta, dove la tentazione è massima.</w:t>
      </w:r>
    </w:p>
    <w:p>
      <w:pPr>
        <w:spacing w:after="120" w:line="276"/>
        <w:jc w:val="both"/>
      </w:pPr>
      <w:r>
        <w:rPr>
          <w:rFonts w:ascii="Barlow Semi Condensed" w:cs="Barlow Semi Condensed" w:eastAsia="Barlow Semi Condensed" w:hAnsi="Barlow Semi Condensed"/>
          <w:b/>
          <w:bCs/>
          <w:sz w:val="24"/>
          <w:szCs w:val="24"/>
        </w:rPr>
        <w:t xml:space="preserve">La disciplina della tracciabilità.</w:t>
      </w:r>
      <w:r>
        <w:rPr>
          <w:rFonts w:ascii="Barlow Semi Condensed" w:cs="Barlow Semi Condensed" w:eastAsia="Barlow Semi Condensed" w:hAnsi="Barlow Semi Condensed"/>
          <w:sz w:val="24"/>
          <w:szCs w:val="24"/>
        </w:rPr>
        <w:t xml:space="preserve"> Ogni affermazione dichiara la propria fonte e il proprio grado, così che il lettore possa rifare il cammino. La procedura è l'apparato critico — quello che segue nel capitolo cinquantaquattresimo — che rende la promessa un indice consultabile e non una dichiarazione d'intenti.</w:t>
      </w:r>
    </w:p>
    <w:p>
      <w:pPr>
        <w:pStyle w:val="Heading1"/>
        <w:spacing w:after="120" w:before="240"/>
      </w:pPr>
      <w:r>
        <w:rPr>
          <w:rFonts w:ascii="Barlow Semi Condensed" w:cs="Barlow Semi Condensed" w:eastAsia="Barlow Semi Condensed" w:hAnsi="Barlow Semi Condensed"/>
          <w:sz w:val="24"/>
          <w:szCs w:val="24"/>
        </w:rPr>
        <w:t xml:space="preserve">Capitolo cinquantatreesimo — Il confine, di nuovo: che cosa distingue la Fase quinta dalle prime quattro</w:t>
      </w:r>
    </w:p>
    <w:p>
      <w:pPr>
        <w:spacing w:after="120" w:line="276"/>
        <w:jc w:val="both"/>
      </w:pPr>
      <w:r>
        <w:rPr>
          <w:rFonts w:ascii="Barlow Semi Condensed" w:cs="Barlow Semi Condensed" w:eastAsia="Barlow Semi Condensed" w:hAnsi="Barlow Semi Condensed"/>
          <w:sz w:val="24"/>
          <w:szCs w:val="24"/>
        </w:rPr>
        <w:t xml:space="preserve">Il capitolo quarantesimo dell'opera si intitola «dove il Pollo di Popper si arresta». Vale la pena dire, con la massima precisione di cui si è capaci, che cosa accade a quel confine, perché è il punto su cui l'intera onestà dell'opera si gioca.</w:t>
      </w:r>
    </w:p>
    <w:p>
      <w:pPr>
        <w:spacing w:after="120" w:line="276"/>
        <w:jc w:val="both"/>
      </w:pPr>
      <w:r>
        <w:rPr>
          <w:rFonts w:ascii="Barlow Semi Condensed" w:cs="Barlow Semi Condensed" w:eastAsia="Barlow Semi Condensed" w:hAnsi="Barlow Semi Condensed"/>
          <w:sz w:val="24"/>
          <w:szCs w:val="24"/>
        </w:rPr>
        <w:t xml:space="preserve">Nelle prime quattro fasi l'opera fa una cosa sola: </w:t>
      </w:r>
      <w:r>
        <w:rPr>
          <w:rFonts w:ascii="Barlow Semi Condensed" w:cs="Barlow Semi Condensed" w:eastAsia="Barlow Semi Condensed" w:hAnsi="Barlow Semi Condensed"/>
          <w:b/>
          <w:bCs/>
          <w:sz w:val="24"/>
          <w:szCs w:val="24"/>
        </w:rPr>
        <w:t xml:space="preserve">stabilisce che cosa è accertato e recinta ciò che non lo è</w:t>
      </w:r>
      <w:r>
        <w:rPr>
          <w:rFonts w:ascii="Barlow Semi Condensed" w:cs="Barlow Semi Condensed" w:eastAsia="Barlow Semi Condensed" w:hAnsi="Barlow Semi Condensed"/>
          <w:sz w:val="24"/>
          <w:szCs w:val="24"/>
        </w:rPr>
        <w:t xml:space="preserve">. Dice: il sequestro e l'omicidio furono opera delle Brigate Rosse (A); vi furono omissioni e depistaggi documentati (A); la manipolazione del memoriale è probabile (B); il movente internazionale è documentato come contesto (A) e non come catena di comando (C, anzi Stato Zero quanto al mandato provato). È un lavoro di </w:t>
      </w:r>
      <w:r>
        <w:rPr>
          <w:rFonts w:ascii="Barlow Semi Condensed" w:cs="Barlow Semi Condensed" w:eastAsia="Barlow Semi Condensed" w:hAnsi="Barlow Semi Condensed"/>
          <w:i/>
          <w:iCs/>
          <w:sz w:val="24"/>
          <w:szCs w:val="24"/>
        </w:rPr>
        <w:t xml:space="preserve">delimitazione</w:t>
      </w:r>
      <w:r>
        <w:rPr>
          <w:rFonts w:ascii="Barlow Semi Condensed" w:cs="Barlow Semi Condensed" w:eastAsia="Barlow Semi Condensed" w:hAnsi="Barlow Semi Condensed"/>
          <w:sz w:val="24"/>
          <w:szCs w:val="24"/>
        </w:rPr>
        <w:t xml:space="preserve">: traccia la linea di costa fra la terra ferma del provato e il mare del non provato, e la traccia con onestà, chiamando mare il mare.</w:t>
      </w:r>
    </w:p>
    <w:p>
      <w:pPr>
        <w:spacing w:after="120" w:line="276"/>
        <w:jc w:val="both"/>
      </w:pPr>
      <w:r>
        <w:rPr>
          <w:rFonts w:ascii="Barlow Semi Condensed" w:cs="Barlow Semi Condensed" w:eastAsia="Barlow Semi Condensed" w:hAnsi="Barlow Semi Condensed"/>
          <w:sz w:val="24"/>
          <w:szCs w:val="24"/>
        </w:rPr>
        <w:t xml:space="preserve">Nella Fase quinta l'opera fa una cosa diversa: </w:t>
      </w:r>
      <w:r>
        <w:rPr>
          <w:rFonts w:ascii="Barlow Semi Condensed" w:cs="Barlow Semi Condensed" w:eastAsia="Barlow Semi Condensed" w:hAnsi="Barlow Semi Condensed"/>
          <w:b/>
          <w:bCs/>
          <w:sz w:val="24"/>
          <w:szCs w:val="24"/>
        </w:rPr>
        <w:t xml:space="preserve">naviga il mare</w:t>
      </w:r>
      <w:r>
        <w:rPr>
          <w:rFonts w:ascii="Barlow Semi Condensed" w:cs="Barlow Semi Condensed" w:eastAsia="Barlow Semi Condensed" w:hAnsi="Barlow Semi Condensed"/>
          <w:sz w:val="24"/>
          <w:szCs w:val="24"/>
        </w:rPr>
        <w:t xml:space="preserve">. Prende le ipotesi che nelle prime quattro fasi stavano allo stato del possibile, e le ordina per verosimiglianza con dieci strumenti di calcolo. È navigazione, non più cartografia della costa. E la navigazione, per quanto esperta, non produce terra ferma: produce rotte più o meno plausibili sopra un fondale che resta acqua. Il garante veglia esattamente su questo: che il lettore non scambi la rotta per la costa, la verosimiglianza per la prova, l'ordinale della graduatoria per un verdetto. La premessa garantista della Fase quinta è la carta nautica che dichiara «qui il fondale è mare»; il presidio consiste nel non lasciarla cadere.</w:t>
      </w:r>
    </w:p>
    <w:p>
      <w:pPr>
        <w:spacing w:after="120" w:line="276"/>
        <w:jc w:val="both"/>
      </w:pPr>
      <w:r>
        <w:rPr>
          <w:rFonts w:ascii="Barlow Semi Condensed" w:cs="Barlow Semi Condensed" w:eastAsia="Barlow Semi Condensed" w:hAnsi="Barlow Semi Condensed"/>
          <w:sz w:val="24"/>
          <w:szCs w:val="24"/>
        </w:rPr>
        <w:t xml:space="preserve">Detto altrimenti, e in termini dell'apparato che governa il lavoro maggiore da cui l'opera discende: le prime quattro fasi lavorano allo stato dello </w:t>
      </w:r>
      <w:r>
        <w:rPr>
          <w:rFonts w:ascii="Barlow Semi Condensed" w:cs="Barlow Semi Condensed" w:eastAsia="Barlow Semi Condensed" w:hAnsi="Barlow Semi Condensed"/>
          <w:i/>
          <w:iCs/>
          <w:sz w:val="24"/>
          <w:szCs w:val="24"/>
        </w:rPr>
        <w:t xml:space="preserve">sciolto</w:t>
      </w:r>
      <w:r>
        <w:rPr>
          <w:rFonts w:ascii="Barlow Semi Condensed" w:cs="Barlow Semi Condensed" w:eastAsia="Barlow Semi Condensed" w:hAnsi="Barlow Semi Condensed"/>
          <w:sz w:val="24"/>
          <w:szCs w:val="24"/>
        </w:rPr>
        <w:t xml:space="preserve"> e del </w:t>
      </w:r>
      <w:r>
        <w:rPr>
          <w:rFonts w:ascii="Barlow Semi Condensed" w:cs="Barlow Semi Condensed" w:eastAsia="Barlow Semi Condensed" w:hAnsi="Barlow Semi Condensed"/>
          <w:i/>
          <w:iCs/>
          <w:sz w:val="24"/>
          <w:szCs w:val="24"/>
        </w:rPr>
        <w:t xml:space="preserve">dubbio</w:t>
      </w:r>
      <w:r>
        <w:rPr>
          <w:rFonts w:ascii="Barlow Semi Condensed" w:cs="Barlow Semi Condensed" w:eastAsia="Barlow Semi Condensed" w:hAnsi="Barlow Semi Condensed"/>
          <w:sz w:val="24"/>
          <w:szCs w:val="24"/>
        </w:rPr>
        <w:t xml:space="preserve">; la Fase quinta lavora nel dubbio ma lo dispone in ordine, e l'ordine — è questa la sola avvertenza che conti — </w:t>
      </w:r>
      <w:r>
        <w:rPr>
          <w:rFonts w:ascii="Barlow Semi Condensed" w:cs="Barlow Semi Condensed" w:eastAsia="Barlow Semi Condensed" w:hAnsi="Barlow Semi Condensed"/>
          <w:b/>
          <w:bCs/>
          <w:sz w:val="24"/>
          <w:szCs w:val="24"/>
        </w:rPr>
        <w:t xml:space="preserve">non promuove il dubbio ad accertato</w:t>
      </w:r>
      <w:r>
        <w:rPr>
          <w:rFonts w:ascii="Barlow Semi Condensed" w:cs="Barlow Semi Condensed" w:eastAsia="Barlow Semi Condensed" w:hAnsi="Barlow Semi Condensed"/>
          <w:sz w:val="24"/>
          <w:szCs w:val="24"/>
        </w:rPr>
        <w:t xml:space="preserve">. Un sospetto messo al primo posto resta un sospetto: ha soltanto un numero accanto. Il numero è un aiuto alla riflessione, non un grado di prova. Chi legge il numero come prova ha infranto il patto; chi lo scrive facendo di tutto perché sia letto come prova ha infranto qualcosa di più.</w:t>
      </w:r>
    </w:p>
    <w:p>
      <w:pPr>
        <w:pStyle w:val="Heading1"/>
        <w:spacing w:after="120" w:before="240"/>
      </w:pPr>
      <w:r>
        <w:rPr>
          <w:rFonts w:ascii="Barlow Semi Condensed" w:cs="Barlow Semi Condensed" w:eastAsia="Barlow Semi Condensed" w:hAnsi="Barlow Semi Condensed"/>
          <w:sz w:val="24"/>
          <w:szCs w:val="24"/>
        </w:rPr>
        <w:t xml:space="preserve">Capitolo cinquantaquattresimo — L'apparato critico: la mappa dei gradi</w:t>
      </w:r>
    </w:p>
    <w:p>
      <w:pPr>
        <w:spacing w:after="120" w:line="276"/>
        <w:jc w:val="both"/>
      </w:pPr>
      <w:r>
        <w:rPr>
          <w:rFonts w:ascii="Barlow Semi Condensed" w:cs="Barlow Semi Condensed" w:eastAsia="Barlow Semi Condensed" w:hAnsi="Barlow Semi Condensed"/>
          <w:sz w:val="24"/>
          <w:szCs w:val="24"/>
        </w:rPr>
        <w:t xml:space="preserve">La disciplina della tracciabilità chiede un apparato. Eccolo, nella forma che l'opera consente: non una nota a piè di pagina per ciascuna riga — sarebbe illeggibile — ma una </w:t>
      </w:r>
      <w:r>
        <w:rPr>
          <w:rFonts w:ascii="Barlow Semi Condensed" w:cs="Barlow Semi Condensed" w:eastAsia="Barlow Semi Condensed" w:hAnsi="Barlow Semi Condensed"/>
          <w:b/>
          <w:bCs/>
          <w:sz w:val="24"/>
          <w:szCs w:val="24"/>
        </w:rPr>
        <w:t xml:space="preserve">mappa dei gradi</w:t>
      </w:r>
      <w:r>
        <w:rPr>
          <w:rFonts w:ascii="Barlow Semi Condensed" w:cs="Barlow Semi Condensed" w:eastAsia="Barlow Semi Condensed" w:hAnsi="Barlow Semi Condensed"/>
          <w:sz w:val="24"/>
          <w:szCs w:val="24"/>
        </w:rPr>
        <w:t xml:space="preserve"> che dichiara, per i nodi maggiori dell'intera opera, a quale livello ciascuno sta e quale documento lo terrebbe o lo abbatterebbe. È l'indice che rende le quattro discipline verificabili.</w:t>
      </w:r>
    </w:p>
    <w:p>
      <w:pPr>
        <w:spacing w:after="120" w:line="276"/>
        <w:jc w:val="both"/>
      </w:pPr>
      <w:r>
        <w:rPr>
          <w:rFonts w:ascii="Barlow Semi Condensed" w:cs="Barlow Semi Condensed" w:eastAsia="Barlow Semi Condensed" w:hAnsi="Barlow Semi Condensed"/>
          <w:b/>
          <w:bCs/>
          <w:sz w:val="24"/>
          <w:szCs w:val="24"/>
        </w:rPr>
        <w:t xml:space="preserve">Livello A — accertato (ciò che regge in giudizio e alla storiografia concorde).</w:t>
      </w:r>
      <w:r>
        <w:rPr>
          <w:rFonts w:ascii="Barlow Semi Condensed" w:cs="Barlow Semi Condensed" w:eastAsia="Barlow Semi Condensed" w:hAnsi="Barlow Semi Condensed"/>
          <w:sz w:val="24"/>
          <w:szCs w:val="24"/>
        </w:rPr>
        <w:t xml:space="preserve"> La responsabilità delle Brigate Rosse per l'agguato di via Fani, il sequestro e l'omicidio (cinque processi definitivi). L'identità dei cinque caduti della scorta. La prigionia e la sua durata. La redazione del carteggio dalla prigionia. La scelta politica della linea della fermezza. Il ritrovamento di via Gradoli il 18 aprile 1978 in seguito all'allagamento. Il doppio ritrovamento del memoriale a via Monte Nevoso (1978 e 1990). L'esistenza di omissioni, ritardi e depistaggi documentati dalle Commissioni. La formula della «verità dicibile» come conclusione della Commissione Fioroni. </w:t>
      </w:r>
      <w:r>
        <w:rPr>
          <w:rFonts w:ascii="Barlow Semi Condensed" w:cs="Barlow Semi Condensed" w:eastAsia="Barlow Semi Condensed" w:hAnsi="Barlow Semi Condensed"/>
          <w:i/>
          <w:iCs/>
          <w:sz w:val="24"/>
          <w:szCs w:val="24"/>
        </w:rPr>
        <w:t xml:space="preserve">Ciò che abbatterebbe uno di questi nodi:</w:t>
      </w:r>
      <w:r>
        <w:rPr>
          <w:rFonts w:ascii="Barlow Semi Condensed" w:cs="Barlow Semi Condensed" w:eastAsia="Barlow Semi Condensed" w:hAnsi="Barlow Semi Condensed"/>
          <w:sz w:val="24"/>
          <w:szCs w:val="24"/>
        </w:rPr>
        <w:t xml:space="preserve"> un documento coevo, esterno e autenticato di segno contrario — cercato, non trovato.</w:t>
      </w:r>
    </w:p>
    <w:p>
      <w:pPr>
        <w:spacing w:after="120" w:line="276"/>
        <w:jc w:val="both"/>
      </w:pPr>
      <w:r>
        <w:rPr>
          <w:rFonts w:ascii="Barlow Semi Condensed" w:cs="Barlow Semi Condensed" w:eastAsia="Barlow Semi Condensed" w:hAnsi="Barlow Semi Condensed"/>
          <w:b/>
          <w:bCs/>
          <w:sz w:val="24"/>
          <w:szCs w:val="24"/>
        </w:rPr>
        <w:t xml:space="preserve">Livello B — probabile (indizi seri, prova non piena).</w:t>
      </w:r>
      <w:r>
        <w:rPr>
          <w:rFonts w:ascii="Barlow Semi Condensed" w:cs="Barlow Semi Condensed" w:eastAsia="Barlow Semi Condensed" w:hAnsi="Barlow Semi Condensed"/>
          <w:sz w:val="24"/>
          <w:szCs w:val="24"/>
        </w:rPr>
        <w:t xml:space="preserve"> La manipolazione o l'incompletezza deliberata della prima versione del memoriale. Il carattere non del tutto sincero di alcune aperture di trattativa. La rilevanza operativa di singole omissioni oltre la soglia della mera inefficienza. </w:t>
      </w:r>
      <w:r>
        <w:rPr>
          <w:rFonts w:ascii="Barlow Semi Condensed" w:cs="Barlow Semi Condensed" w:eastAsia="Barlow Semi Condensed" w:hAnsi="Barlow Semi Condensed"/>
          <w:i/>
          <w:iCs/>
          <w:sz w:val="24"/>
          <w:szCs w:val="24"/>
        </w:rPr>
        <w:t xml:space="preserve">Ciò che li muoverebbe verso A o verso C:</w:t>
      </w:r>
      <w:r>
        <w:rPr>
          <w:rFonts w:ascii="Barlow Semi Condensed" w:cs="Barlow Semi Condensed" w:eastAsia="Barlow Semi Condensed" w:hAnsi="Barlow Semi Condensed"/>
          <w:sz w:val="24"/>
          <w:szCs w:val="24"/>
        </w:rPr>
        <w:t xml:space="preserve"> per il memoriale, la catena di custodia integrale delle carte; per le trattative, gli atti riservati dei canali; per le omissioni, il collegamento documentato fra una specifica ostruzione e una specifica direttiva.</w:t>
      </w:r>
    </w:p>
    <w:p>
      <w:pPr>
        <w:spacing w:after="120" w:line="276"/>
        <w:jc w:val="both"/>
      </w:pPr>
      <w:r>
        <w:rPr>
          <w:rFonts w:ascii="Barlow Semi Condensed" w:cs="Barlow Semi Condensed" w:eastAsia="Barlow Semi Condensed" w:hAnsi="Barlow Semi Condensed"/>
          <w:b/>
          <w:bCs/>
          <w:sz w:val="24"/>
          <w:szCs w:val="24"/>
        </w:rPr>
        <w:t xml:space="preserve">Livello C — possibile (compatibile coi fatti, senza prova propria).</w:t>
      </w:r>
      <w:r>
        <w:rPr>
          <w:rFonts w:ascii="Barlow Semi Condensed" w:cs="Barlow Semi Condensed" w:eastAsia="Barlow Semi Condensed" w:hAnsi="Barlow Semi Condensed"/>
          <w:sz w:val="24"/>
          <w:szCs w:val="24"/>
        </w:rPr>
        <w:t xml:space="preserve"> Le prigioni alternative o ulteriori. La lettura non innocente dell'episodio di via Gradoli e della seduta spiritica. Le regie internazionali del sequestro come catena di comando. Il mandato esterno alle Brigate Rosse. </w:t>
      </w:r>
      <w:r>
        <w:rPr>
          <w:rFonts w:ascii="Barlow Semi Condensed" w:cs="Barlow Semi Condensed" w:eastAsia="Barlow Semi Condensed" w:hAnsi="Barlow Semi Condensed"/>
          <w:i/>
          <w:iCs/>
          <w:sz w:val="24"/>
          <w:szCs w:val="24"/>
        </w:rPr>
        <w:t xml:space="preserve">Ciò che li promuoverebbe:</w:t>
      </w:r>
      <w:r>
        <w:rPr>
          <w:rFonts w:ascii="Barlow Semi Condensed" w:cs="Barlow Semi Condensed" w:eastAsia="Barlow Semi Condensed" w:hAnsi="Barlow Semi Condensed"/>
          <w:sz w:val="24"/>
          <w:szCs w:val="24"/>
        </w:rPr>
        <w:t xml:space="preserve"> per ciascuno, un documento che oggi non esiste; ed è per questo che restano possibili e non probabili.</w:t>
      </w:r>
    </w:p>
    <w:p>
      <w:pPr>
        <w:spacing w:after="120" w:line="276"/>
        <w:jc w:val="both"/>
      </w:pPr>
      <w:r>
        <w:rPr>
          <w:rFonts w:ascii="Barlow Semi Condensed" w:cs="Barlow Semi Condensed" w:eastAsia="Barlow Semi Condensed" w:hAnsi="Barlow Semi Condensed"/>
          <w:b/>
          <w:bCs/>
          <w:sz w:val="24"/>
          <w:szCs w:val="24"/>
        </w:rPr>
        <w:t xml:space="preserve">Stato Zero — cercato e non trovato (il perimetro negativo, capitolo trentanovesimo).</w:t>
      </w:r>
      <w:r>
        <w:rPr>
          <w:rFonts w:ascii="Barlow Semi Condensed" w:cs="Barlow Semi Condensed" w:eastAsia="Barlow Semi Condensed" w:hAnsi="Barlow Semi Condensed"/>
          <w:sz w:val="24"/>
          <w:szCs w:val="24"/>
        </w:rPr>
        <w:t xml:space="preserve"> Il documento che provi l'eterodirezione del sequestro. Il documento che leghi Kissinger-persona, o qualunque apparato straniero nominato, alla catena di comando del delitto. Il documento che provi l'isomorfismo fra le reti anticomuniste evocate e la struttura operativa del sequestro. Questi non sono dubbi: sono ricerche condotte e chiuse in negativo, e vanno dichiarate con la stessa forza dei Livelli A, perché un'assenza accertata è essa stessa una conoscenza.</w:t>
      </w:r>
    </w:p>
    <w:p>
      <w:pPr>
        <w:spacing w:after="120" w:line="276"/>
        <w:jc w:val="both"/>
      </w:pPr>
      <w:r>
        <w:rPr>
          <w:rFonts w:ascii="Barlow Semi Condensed" w:cs="Barlow Semi Condensed" w:eastAsia="Barlow Semi Condensed" w:hAnsi="Barlow Semi Condensed"/>
          <w:sz w:val="24"/>
          <w:szCs w:val="24"/>
        </w:rPr>
        <w:t xml:space="preserve">Questa mappa non chiude il caso. Fa una cosa più modesta e più utile: consente al lettore di sapere, in ogni punto dell'opera, su che cosa poggia i piedi. È la forma minuta dell'onestà, ed è l'unica che, in questa materia, non tradisca.</w:t>
      </w:r>
    </w:p>
    <w:p>
      <w:pPr>
        <w:pStyle w:val="Heading1"/>
        <w:spacing w:after="120" w:before="240"/>
      </w:pPr>
      <w:r>
        <w:rPr>
          <w:rFonts w:ascii="Barlow Semi Condensed" w:cs="Barlow Semi Condensed" w:eastAsia="Barlow Semi Condensed" w:hAnsi="Barlow Semi Condensed"/>
          <w:sz w:val="24"/>
          <w:szCs w:val="24"/>
        </w:rPr>
        <w:t xml:space="preserve">Capitolo cinquantacinquesimo — Congedo del garante</w:t>
      </w:r>
    </w:p>
    <w:p>
      <w:pPr>
        <w:spacing w:after="120" w:line="276"/>
        <w:jc w:val="both"/>
      </w:pPr>
      <w:r>
        <w:rPr>
          <w:rFonts w:ascii="Barlow Semi Condensed" w:cs="Barlow Semi Condensed" w:eastAsia="Barlow Semi Condensed" w:hAnsi="Barlow Semi Condensed"/>
          <w:sz w:val="24"/>
          <w:szCs w:val="24"/>
        </w:rPr>
        <w:t xml:space="preserve">L'opera aveva già il suo congedo, al capitolo cinquantesimo. Questo è il congedo di chi è venuto dopo per vegliare sul confine, e sarà breve, perché il garante che parla troppo tradisce la propria funzione.</w:t>
      </w:r>
    </w:p>
    <w:p>
      <w:pPr>
        <w:spacing w:after="120" w:line="276"/>
        <w:jc w:val="both"/>
      </w:pPr>
      <w:r>
        <w:rPr>
          <w:rFonts w:ascii="Barlow Semi Condensed" w:cs="Barlow Semi Condensed" w:eastAsia="Barlow Semi Condensed" w:hAnsi="Barlow Semi Condensed"/>
          <w:sz w:val="24"/>
          <w:szCs w:val="24"/>
        </w:rPr>
        <w:t xml:space="preserve">Si è detto, all'inizio di questa fase, che i nomi vivono più a lungo delle cautele. È la ragione per cui esiste, nel diritto e nella civiltà che ne discende, la presunzione d'innocenza: non perché si creda innocenti tutti, ma perché si sa che il marchio, una volta impresso fuori dal processo, non ha chi lo tolga. Un'opera che tratti il caso Moro con l'onestà che questa dichiara e in gran parte pratica ha, verso questa verità, un dovere particolare — perché il caso Moro è, fra le altre cose, la storia di ciò che accade quando la ragion di Stato si arroga il diritto di decidere della vita di un uomo fuori dalle regole. Ripetere quel gesto sul piano del giudizio storico, condannando fuori dal processo, sarebbe la più involontaria e la più amara delle ironie.</w:t>
      </w:r>
    </w:p>
    <w:p>
      <w:pPr>
        <w:spacing w:after="120" w:line="276"/>
        <w:jc w:val="both"/>
      </w:pPr>
      <w:r>
        <w:rPr>
          <w:rFonts w:ascii="Barlow Semi Condensed" w:cs="Barlow Semi Condensed" w:eastAsia="Barlow Semi Condensed" w:hAnsi="Barlow Semi Condensed"/>
          <w:sz w:val="24"/>
          <w:szCs w:val="24"/>
        </w:rPr>
        <w:t xml:space="preserve">L'epigrafe dell'opera dice che è l'ignoranza a creare la violenza. Il garante aggiunge, congedandosi, la sola postilla che gli competa: che anche la certezza senza prova è una forma d'ignoranza, e che la disciplina del dubbio — tenere il fascicolo aperto, dichiarare i gradi, nominare le assenze, rispettare i viventi — non è debolezza della conoscenza ma la sua forma adulta. L'opera che si è letta ha cinquanta capitoli e una vasta ambizione; il garante le chiede una cosa sola, e gliela lascia come si lascia un testimone: che il solco fra le sue prime quattro fasi e la quinta resti visibile a chiunque, per sempre, e che nessun lettore possa mai, in buona fede, scambiare una rotta tracciata sull'acqua per la terra ferma su cui l'opera, nella sua parte migliore, ha davvero camminato.</w:t>
      </w:r>
    </w:p>
    <w:p>
      <w:pPr>
        <w:spacing w:after="120" w:line="276"/>
        <w:jc w:val="both"/>
      </w:pPr>
      <w:r>
        <w:rPr>
          <w:rFonts w:ascii="Barlow Semi Condensed" w:cs="Barlow Semi Condensed" w:eastAsia="Barlow Semi Condensed" w:hAnsi="Barlow Semi Condensed"/>
          <w:sz w:val="24"/>
          <w:szCs w:val="24"/>
        </w:rPr>
        <w:t xml:space="preserve">Qui il garante si congeda. Il fascicolo, come deve, resta aperto.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sesta dell'opera «Aldo Moro — Una guerra senza fine», continuazione originale dell'edizione in cinquanta capitoli. Non riproduce il testo dell'opera e non nomina alcuna persona come responsabile di reato oltre il giudicato definitivo. Le affermazioni presentate come fatti sono di Livello A; il resto è dichiarato probabile, possibile o Stato Zero. I riscontri (Commissione Fioroni; ritrovamenti di via Monte Nevoso 1978 e 1990; via Gradoli; dinamica di via Fani) sono ancorati agli atti parlamentari e alla documentazione pubblica. Per gli aspetti che toccano persone viventi vale la disciplina di riservatezza dell'apparato Italia Nera.</w:t>
      </w:r>
    </w:p>
    <w:p>
      <w:pPr>
        <w:pStyle w:val="Heading3"/>
        <w:spacing w:after="80" w:before="240"/>
      </w:pPr>
      <w:r>
        <w:rPr>
          <w:rFonts w:ascii="Barlow Semi Condensed" w:cs="Barlow Semi Condensed" w:eastAsia="Barlow Semi Condensed" w:hAnsi="Barlow Semi Condensed"/>
          <w:sz w:val="24"/>
          <w:szCs w:val="24"/>
        </w:rPr>
        <w:t xml:space="preserve">Apparato grafico — Libro ottavo · Il presidio del garante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ottavo · I: 2.109 parole in 4 sezioni; la più ampia è §3 Segmento 3, con 656.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ottavo · I: 32 paragrafi in 4 sezioni, 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ottavo — Il metodo — II. Le metodologie del Dossier, calcolate</w:t>
      </w:r>
    </w:p>
    <w:p>
      <w:pPr>
        <w:pStyle w:val="Heading1"/>
        <w:spacing w:after="120" w:before="240"/>
      </w:pPr>
      <w:r>
        <w:rPr>
          <w:rFonts w:ascii="Barlow Semi Condensed" w:cs="Barlow Semi Condensed" w:eastAsia="Barlow Semi Condensed" w:hAnsi="Barlow Semi Condensed"/>
          <w:sz w:val="24"/>
          <w:szCs w:val="24"/>
        </w:rPr>
        <w:t xml:space="preserve">Le metodologie del Dossier applicate al corpus</w:t>
      </w:r>
    </w:p>
    <w:p>
      <w:pPr>
        <w:pStyle w:val="Heading2"/>
        <w:spacing w:after="100" w:before="200"/>
      </w:pPr>
      <w:r>
        <w:rPr>
          <w:rFonts w:ascii="Barlow Semi Condensed" w:cs="Barlow Semi Condensed" w:eastAsia="Barlow Semi Condensed" w:hAnsi="Barlow Semi Condensed"/>
          <w:sz w:val="24"/>
          <w:szCs w:val="24"/>
        </w:rPr>
        <w:t xml:space="preserve">Sinaptogenesi, analisi delle ipotesi concorrenti, paradigma indiziario, auto-misurazione</w:t>
      </w:r>
    </w:p>
    <w:p>
      <w:pPr>
        <w:spacing w:after="120" w:line="276"/>
        <w:jc w:val="both"/>
      </w:pPr>
      <w:r>
        <w:rPr>
          <w:rFonts w:ascii="Barlow Semi Condensed" w:cs="Barlow Semi Condensed" w:eastAsia="Barlow Semi Condensed" w:hAnsi="Barlow Semi Condensed"/>
          <w:i/>
          <w:iCs/>
          <w:sz w:val="24"/>
          <w:szCs w:val="24"/>
        </w:rPr>
        <w:t xml:space="preserve">Documento di metodo — 25 agosto 2026 · Complemento dell'edizione strutturata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w:t>
      </w:r>
      <w:r>
        <w:rPr>
          <w:rFonts w:ascii="Barlow Semi Condensed" w:cs="Barlow Semi Condensed" w:eastAsia="Barlow Semi Condensed" w:hAnsi="Barlow Semi Condensed"/>
          <w:i w:val="false"/>
          <w:iCs w:val="false"/>
          <w:sz w:val="24"/>
          <w:szCs w:val="24"/>
        </w:rPr>
        <w:t xml:space="preserve"> Il Dossier maggiore non ha solo un'architettura: ha una </w:t>
      </w:r>
      <w:r>
        <w:rPr>
          <w:rFonts w:ascii="Barlow Semi Condensed" w:cs="Barlow Semi Condensed" w:eastAsia="Barlow Semi Condensed" w:hAnsi="Barlow Semi Condensed"/>
          <w:b/>
          <w:bCs/>
          <w:i w:val="false"/>
          <w:iCs w:val="false"/>
          <w:sz w:val="24"/>
          <w:szCs w:val="24"/>
        </w:rPr>
        <w:t xml:space="preserve">cassetta degli attrezzi</w:t>
      </w:r>
      <w:r>
        <w:rPr>
          <w:rFonts w:ascii="Barlow Semi Condensed" w:cs="Barlow Semi Condensed" w:eastAsia="Barlow Semi Condensed" w:hAnsi="Barlow Semi Condensed"/>
          <w:i w:val="false"/>
          <w:iCs w:val="false"/>
          <w:sz w:val="24"/>
          <w:szCs w:val="24"/>
        </w:rPr>
        <w:t xml:space="preserve"> — la sinaptogenesi come metodo (reti, nodi e connessioni: Freeman, Burt, Newman, Kivelä), lo standard probatorio a livelli, il paradigma indiziario di Ginzburg, l'analisi d'intelligence di Heuer, la consilienza di Whewell e Wilson, fino agli strumenti probabilistici della sua Fase quinta. Questo documento </w:t>
      </w:r>
      <w:r>
        <w:rPr>
          <w:rFonts w:ascii="Barlow Semi Condensed" w:cs="Barlow Semi Condensed" w:eastAsia="Barlow Semi Condensed" w:hAnsi="Barlow Semi Condensed"/>
          <w:b/>
          <w:bCs/>
          <w:i w:val="false"/>
          <w:iCs w:val="false"/>
          <w:sz w:val="24"/>
          <w:szCs w:val="24"/>
        </w:rPr>
        <w:t xml:space="preserve">adotta quegli strumenti e li applica al corpus pubblico</w:t>
      </w:r>
      <w:r>
        <w:rPr>
          <w:rFonts w:ascii="Barlow Semi Condensed" w:cs="Barlow Semi Condensed" w:eastAsia="Barlow Semi Condensed" w:hAnsi="Barlow Semi Condensed"/>
          <w:i w:val="false"/>
          <w:iCs w:val="false"/>
          <w:sz w:val="24"/>
          <w:szCs w:val="24"/>
        </w:rPr>
        <w:t xml:space="preserve">, con l'unica trasformazione che il regime pubblico impone: gli strumenti che </w:t>
      </w:r>
      <w:r>
        <w:rPr>
          <w:rFonts w:ascii="Barlow Semi Condensed" w:cs="Barlow Semi Condensed" w:eastAsia="Barlow Semi Condensed" w:hAnsi="Barlow Semi Condensed"/>
          <w:i w:val="false"/>
          <w:iCs w:val="false"/>
          <w:sz w:val="24"/>
          <w:szCs w:val="24"/>
        </w:rPr>
        <w:t xml:space="preserve">misurano la documentazione</w:t>
      </w:r>
      <w:r>
        <w:rPr>
          <w:rFonts w:ascii="Barlow Semi Condensed" w:cs="Barlow Semi Condensed" w:eastAsia="Barlow Semi Condensed" w:hAnsi="Barlow Semi Condensed"/>
          <w:i w:val="false"/>
          <w:iCs w:val="false"/>
          <w:sz w:val="24"/>
          <w:szCs w:val="24"/>
        </w:rPr>
        <w:t xml:space="preserve"> si usano per intero e con calcolo reale; gli strumenti che </w:t>
      </w:r>
      <w:r>
        <w:rPr>
          <w:rFonts w:ascii="Barlow Semi Condensed" w:cs="Barlow Semi Condensed" w:eastAsia="Barlow Semi Condensed" w:hAnsi="Barlow Semi Condensed"/>
          <w:i w:val="false"/>
          <w:iCs w:val="false"/>
          <w:sz w:val="24"/>
          <w:szCs w:val="24"/>
        </w:rPr>
        <w:t xml:space="preserve">graduano le persone</w:t>
      </w:r>
      <w:r>
        <w:rPr>
          <w:rFonts w:ascii="Barlow Semi Condensed" w:cs="Barlow Semi Condensed" w:eastAsia="Barlow Semi Condensed" w:hAnsi="Barlow Semi Condensed"/>
          <w:i w:val="false"/>
          <w:iCs w:val="false"/>
          <w:sz w:val="24"/>
          <w:szCs w:val="24"/>
        </w:rPr>
        <w:t xml:space="preserve"> non si usano, perché il branch pubblico si ferma al giudicato. Ne discendono due regole nuove, formalizzate qui e valide d'ora in avanti in tutto il corpus: la </w:t>
      </w:r>
      <w:r>
        <w:rPr>
          <w:rFonts w:ascii="Barlow Semi Condensed" w:cs="Barlow Semi Condensed" w:eastAsia="Barlow Semi Condensed" w:hAnsi="Barlow Semi Condensed"/>
          <w:b/>
          <w:bCs/>
          <w:i w:val="false"/>
          <w:iCs w:val="false"/>
          <w:sz w:val="24"/>
          <w:szCs w:val="24"/>
        </w:rPr>
        <w:t xml:space="preserve">regola dell'anello debole</w:t>
      </w:r>
      <w:r>
        <w:rPr>
          <w:rFonts w:ascii="Barlow Semi Condensed" w:cs="Barlow Semi Condensed" w:eastAsia="Barlow Semi Condensed" w:hAnsi="Barlow Semi Condensed"/>
          <w:i w:val="false"/>
          <w:iCs w:val="false"/>
          <w:sz w:val="24"/>
          <w:szCs w:val="24"/>
        </w:rPr>
        <w:t xml:space="preserve"> (§2) e la </w:t>
      </w:r>
      <w:r>
        <w:rPr>
          <w:rFonts w:ascii="Barlow Semi Condensed" w:cs="Barlow Semi Condensed" w:eastAsia="Barlow Semi Condensed" w:hAnsi="Barlow Semi Condensed"/>
          <w:b/>
          <w:bCs/>
          <w:i w:val="false"/>
          <w:iCs w:val="false"/>
          <w:sz w:val="24"/>
          <w:szCs w:val="24"/>
        </w:rPr>
        <w:t xml:space="preserve">regola dei buchi</w:t>
      </w:r>
      <w:r>
        <w:rPr>
          <w:rFonts w:ascii="Barlow Semi Condensed" w:cs="Barlow Semi Condensed" w:eastAsia="Barlow Semi Condensed" w:hAnsi="Barlow Semi Condensed"/>
          <w:i w:val="false"/>
          <w:iCs w:val="false"/>
          <w:sz w:val="24"/>
          <w:szCs w:val="24"/>
        </w:rPr>
        <w:t xml:space="preserve"> (§3). Ogni numero di questo documento è stato </w:t>
      </w:r>
      <w:r>
        <w:rPr>
          <w:rFonts w:ascii="Barlow Semi Condensed" w:cs="Barlow Semi Condensed" w:eastAsia="Barlow Semi Condensed" w:hAnsi="Barlow Semi Condensed"/>
          <w:b/>
          <w:bCs/>
          <w:i w:val="false"/>
          <w:iCs w:val="false"/>
          <w:sz w:val="24"/>
          <w:szCs w:val="24"/>
        </w:rPr>
        <w:t xml:space="preserve">calcolato davvero</w:t>
      </w:r>
      <w:r>
        <w:rPr>
          <w:rFonts w:ascii="Barlow Semi Condensed" w:cs="Barlow Semi Condensed" w:eastAsia="Barlow Semi Condensed" w:hAnsi="Barlow Semi Condensed"/>
          <w:i w:val="false"/>
          <w:iCs w:val="false"/>
          <w:sz w:val="24"/>
          <w:szCs w:val="24"/>
        </w:rPr>
        <w:t xml:space="preserve">, col procedimento dichiarato accanto al risultato.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La sinaptogenesi del corpus: la rete documentata</w:t>
      </w:r>
    </w:p>
    <w:p>
      <w:pPr>
        <w:spacing w:after="120" w:line="276"/>
        <w:jc w:val="both"/>
      </w:pPr>
      <w:r>
        <w:rPr>
          <w:rFonts w:ascii="Barlow Semi Condensed" w:cs="Barlow Semi Condensed" w:eastAsia="Barlow Semi Condensed" w:hAnsi="Barlow Semi Condensed"/>
          <w:sz w:val="24"/>
          <w:szCs w:val="24"/>
        </w:rPr>
        <w:t xml:space="preserve">Si è costruito il grafo dei legami del corpus con un criterio unico: </w:t>
      </w:r>
      <w:r>
        <w:rPr>
          <w:rFonts w:ascii="Barlow Semi Condensed" w:cs="Barlow Semi Condensed" w:eastAsia="Barlow Semi Condensed" w:hAnsi="Barlow Semi Condensed"/>
          <w:b/>
          <w:bCs/>
          <w:sz w:val="24"/>
          <w:szCs w:val="24"/>
        </w:rPr>
        <w:t xml:space="preserve">entra nella rete solo un arco documentato e verificato</w:t>
      </w:r>
      <w:r>
        <w:rPr>
          <w:rFonts w:ascii="Barlow Semi Condensed" w:cs="Barlow Semi Condensed" w:eastAsia="Barlow Semi Condensed" w:hAnsi="Barlow Semi Condensed"/>
          <w:sz w:val="24"/>
          <w:szCs w:val="24"/>
        </w:rPr>
        <w:t xml:space="preserve">, e ogni arco porta il suo grado (A giudicato/atto; B accertamento; F fatto biografico pubblico). Nessun arco congetturale è ammesso: la rete rappresenta </w:t>
      </w:r>
      <w:r>
        <w:rPr>
          <w:rFonts w:ascii="Barlow Semi Condensed" w:cs="Barlow Semi Condensed" w:eastAsia="Barlow Semi Condensed" w:hAnsi="Barlow Semi Condensed"/>
          <w:i/>
          <w:iCs/>
          <w:sz w:val="24"/>
          <w:szCs w:val="24"/>
        </w:rPr>
        <w:t xml:space="preserve">ciò che i documenti attestano</w:t>
      </w:r>
      <w:r>
        <w:rPr>
          <w:rFonts w:ascii="Barlow Semi Condensed" w:cs="Barlow Semi Condensed" w:eastAsia="Barlow Semi Condensed" w:hAnsi="Barlow Semi Condensed"/>
          <w:sz w:val="24"/>
          <w:szCs w:val="24"/>
        </w:rPr>
        <w:t xml:space="preserve">, non ciò che si sospetta. Il grafo risultante — costruito dai ponti delle triangolazioni del corpus — conta </w:t>
      </w:r>
      <w:r>
        <w:rPr>
          <w:rFonts w:ascii="Barlow Semi Condensed" w:cs="Barlow Semi Condensed" w:eastAsia="Barlow Semi Condensed" w:hAnsi="Barlow Semi Condensed"/>
          <w:b/>
          <w:bCs/>
          <w:sz w:val="24"/>
          <w:szCs w:val="24"/>
        </w:rPr>
        <w:t xml:space="preserve">39 nodi e 59 archi: 28 di grado A, 26 di grado F, 5 di grado B</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Su questo grafo si sono calcolate (algoritmo di Brandes, calcolo esatto) le due centralità classiche di Freeman: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Nodo</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 (connessioni)</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Nodo</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Betweenness (intermediazione)</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BR (organizzazione)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15</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BR (organizzazione)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426,7</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via Fani (evento)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9</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CPM</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241,3</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Moretti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5</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Simioni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220,0</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Bonisoli · Braghetti · Casimirri · Gallinari · Hyperion · Morucci · Potere Operaio · Simioni · via Montalcini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4</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Moretti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202,9</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Hyperion</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122,0</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
            </w:r>
          </w:p>
        </w:tc>
        <w:tc>
          <w:tcPr>
            <w:tcW w:type="dxa" w:w="1872"/>
          </w:tcPr>
          <w:p>
            <w:pPr>
              <w:spacing w:after="20" w:before="20"/>
              <w:jc w:val="both"/>
            </w:pPr>
            <w:r>
              <w:rPr>
                <w:rFonts w:ascii="Barlow Semi Condensed" w:cs="Barlow Semi Condensed" w:eastAsia="Barlow Semi Condensed" w:hAnsi="Barlow Semi Condensed"/>
                <w:sz w:val="20"/>
                <w:szCs w:val="20"/>
              </w:rPr>
              <w:t xml:space="preserve">via Fani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110,0</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La regola d'interpretazione, prima di ogni lettura.</w:t>
      </w:r>
      <w:r>
        <w:rPr>
          <w:rFonts w:ascii="Barlow Semi Condensed" w:cs="Barlow Semi Condensed" w:eastAsia="Barlow Semi Condensed" w:hAnsi="Barlow Semi Condensed"/>
          <w:sz w:val="24"/>
          <w:szCs w:val="24"/>
        </w:rPr>
        <w:t xml:space="preserve"> La centralità in questo grafo </w:t>
      </w:r>
      <w:r>
        <w:rPr>
          <w:rFonts w:ascii="Barlow Semi Condensed" w:cs="Barlow Semi Condensed" w:eastAsia="Barlow Semi Condensed" w:hAnsi="Barlow Semi Condensed"/>
          <w:b/>
          <w:bCs/>
          <w:sz w:val="24"/>
          <w:szCs w:val="24"/>
        </w:rPr>
        <w:t xml:space="preserve">misura la densità della documentazione, non la responsabilità</w:t>
      </w:r>
      <w:r>
        <w:rPr>
          <w:rFonts w:ascii="Barlow Semi Condensed" w:cs="Barlow Semi Condensed" w:eastAsia="Barlow Semi Condensed" w:hAnsi="Barlow Semi Condensed"/>
          <w:sz w:val="24"/>
          <w:szCs w:val="24"/>
        </w:rPr>
        <w:t xml:space="preserve">. Che «BR» e «via Fani» dominino il grado è ovvio: sono l'organizzazione e l'evento su cui si concentra il giudicato. Che il </w:t>
      </w:r>
      <w:r>
        <w:rPr>
          <w:rFonts w:ascii="Barlow Semi Condensed" w:cs="Barlow Semi Condensed" w:eastAsia="Barlow Semi Condensed" w:hAnsi="Barlow Semi Condensed"/>
          <w:b/>
          <w:bCs/>
          <w:sz w:val="24"/>
          <w:szCs w:val="24"/>
        </w:rPr>
        <w:t xml:space="preserve">CPM</w:t>
      </w:r>
      <w:r>
        <w:rPr>
          <w:rFonts w:ascii="Barlow Semi Condensed" w:cs="Barlow Semi Condensed" w:eastAsia="Barlow Semi Condensed" w:hAnsi="Barlow Semi Condensed"/>
          <w:sz w:val="24"/>
          <w:szCs w:val="24"/>
        </w:rPr>
        <w:t xml:space="preserve"> — un collettivo durato pochi mesi nel 1969 — abbia la seconda betweenness dell'intera rete è invece il risultato analitico vero: </w:t>
      </w:r>
      <w:r>
        <w:rPr>
          <w:rFonts w:ascii="Barlow Semi Condensed" w:cs="Barlow Semi Condensed" w:eastAsia="Barlow Semi Condensed" w:hAnsi="Barlow Semi Condensed"/>
          <w:i/>
          <w:iCs/>
          <w:sz w:val="24"/>
          <w:szCs w:val="24"/>
        </w:rPr>
        <w:t xml:space="preserve">il CPM è il ponte documentale fra i mondi</w:t>
      </w:r>
      <w:r>
        <w:rPr>
          <w:rFonts w:ascii="Barlow Semi Condensed" w:cs="Barlow Semi Condensed" w:eastAsia="Barlow Semi Condensed" w:hAnsi="Barlow Semi Condensed"/>
          <w:sz w:val="24"/>
          <w:szCs w:val="24"/>
        </w:rPr>
        <w:t xml:space="preserve">, il punto per cui passano quasi tutti i cammini che collegano il dominio brigatista al dominio Hyperion. La sinaptogenesi conferma quantitativamente ciò che la triangolazione aveva stabilito qualitativamente: </w:t>
      </w:r>
      <w:r>
        <w:rPr>
          <w:rFonts w:ascii="Barlow Semi Condensed" w:cs="Barlow Semi Condensed" w:eastAsia="Barlow Semi Condensed" w:hAnsi="Barlow Semi Condensed"/>
          <w:b/>
          <w:bCs/>
          <w:sz w:val="24"/>
          <w:szCs w:val="24"/>
        </w:rPr>
        <w:t xml:space="preserve">il ceppo del 1969 è il connettore, e null'altro lo è.</w:t>
      </w:r>
    </w:p>
    <w:p>
      <w:pPr>
        <w:pStyle w:val="Heading2"/>
        <w:spacing w:after="100" w:before="200"/>
      </w:pPr>
      <w:r>
        <w:rPr>
          <w:rFonts w:ascii="Barlow Semi Condensed" w:cs="Barlow Semi Condensed" w:eastAsia="Barlow Semi Condensed" w:hAnsi="Barlow Semi Condensed"/>
          <w:sz w:val="24"/>
          <w:szCs w:val="24"/>
        </w:rPr>
        <w:t xml:space="preserve">2. La regola dell'anello debole</w:t>
      </w:r>
    </w:p>
    <w:p>
      <w:pPr>
        <w:spacing w:after="120" w:line="276"/>
        <w:jc w:val="both"/>
      </w:pPr>
      <w:r>
        <w:rPr>
          <w:rFonts w:ascii="Barlow Semi Condensed" w:cs="Barlow Semi Condensed" w:eastAsia="Barlow Semi Condensed" w:hAnsi="Barlow Semi Condensed"/>
          <w:sz w:val="24"/>
          <w:szCs w:val="24"/>
        </w:rPr>
        <w:t xml:space="preserve">La rete permette di calcolare i cammini, e i cammini esigono una regola di grado. La si formalizza così: </w:t>
      </w:r>
      <w:r>
        <w:rPr>
          <w:rFonts w:ascii="Barlow Semi Condensed" w:cs="Barlow Semi Condensed" w:eastAsia="Barlow Semi Condensed" w:hAnsi="Barlow Semi Condensed"/>
          <w:b/>
          <w:bCs/>
          <w:sz w:val="24"/>
          <w:szCs w:val="24"/>
        </w:rPr>
        <w:t xml:space="preserve">il grado di un cammino è il grado minimo fra i suoi archi</w:t>
      </w:r>
      <w:r>
        <w:rPr>
          <w:rFonts w:ascii="Barlow Semi Condensed" w:cs="Barlow Semi Condensed" w:eastAsia="Barlow Semi Condensed" w:hAnsi="Barlow Semi Condensed"/>
          <w:sz w:val="24"/>
          <w:szCs w:val="24"/>
        </w:rPr>
        <w:t xml:space="preserve"> — come una catena, che ha la forza del suo anello più debole. Un cammino che attraversi anche un solo arco F (fatto biografico) non può sostenere alcuna inferenza operativa, per quanti archi A contenga altrove.</w:t>
      </w:r>
    </w:p>
    <w:p>
      <w:pPr>
        <w:spacing w:after="120" w:line="276"/>
        <w:jc w:val="both"/>
      </w:pPr>
      <w:r>
        <w:rPr>
          <w:rFonts w:ascii="Barlow Semi Condensed" w:cs="Barlow Semi Condensed" w:eastAsia="Barlow Semi Condensed" w:hAnsi="Barlow Semi Condensed"/>
          <w:sz w:val="24"/>
          <w:szCs w:val="24"/>
        </w:rPr>
        <w:t xml:space="preserve">Applicazione ai due cammini più invocati dalla congetturistica, calcolati sul grafo reale: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Hyperion → via Fani.</w:t>
      </w:r>
      <w:r>
        <w:rPr>
          <w:rFonts w:ascii="Barlow Semi Condensed" w:cs="Barlow Semi Condensed" w:eastAsia="Barlow Semi Condensed" w:hAnsi="Barlow Semi Condensed"/>
          <w:sz w:val="24"/>
          <w:szCs w:val="24"/>
        </w:rPr>
        <w:t xml:space="preserve"> Il cammino documentato più breve è: </w:t>
      </w:r>
      <w:r>
        <w:rPr>
          <w:rFonts w:ascii="Barlow Semi Condensed" w:cs="Barlow Semi Condensed" w:eastAsia="Barlow Semi Condensed" w:hAnsi="Barlow Semi Condensed"/>
          <w:i/>
          <w:iCs/>
          <w:sz w:val="24"/>
          <w:szCs w:val="24"/>
        </w:rPr>
        <w:t xml:space="preserve">Hyperion → Simioni → CPM → Moretti → via Fani</w:t>
      </w:r>
      <w:r>
        <w:rPr>
          <w:rFonts w:ascii="Barlow Semi Condensed" w:cs="Barlow Semi Condensed" w:eastAsia="Barlow Semi Condensed" w:hAnsi="Barlow Semi Condensed"/>
          <w:sz w:val="24"/>
          <w:szCs w:val="24"/>
        </w:rPr>
        <w:t xml:space="preserve">. Quattro archi: i primi tre sono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(fondazione della scuola; co-fondazione del CPM; militanza nel CPM), solo l'ultimo è A. Grado del cammino: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Tradotto: l'unico collegamento documentato fra la scuola di Parigi e l'agguato è una </w:t>
      </w:r>
      <w:r>
        <w:rPr>
          <w:rFonts w:ascii="Barlow Semi Condensed" w:cs="Barlow Semi Condensed" w:eastAsia="Barlow Semi Condensed" w:hAnsi="Barlow Semi Condensed"/>
          <w:b/>
          <w:bCs/>
          <w:sz w:val="24"/>
          <w:szCs w:val="24"/>
        </w:rPr>
        <w:t xml:space="preserve">genealogia biografica che passa per il 1969</w:t>
      </w:r>
      <w:r>
        <w:rPr>
          <w:rFonts w:ascii="Barlow Semi Condensed" w:cs="Barlow Semi Condensed" w:eastAsia="Barlow Semi Condensed" w:hAnsi="Barlow Semi Condensed"/>
          <w:sz w:val="24"/>
          <w:szCs w:val="24"/>
        </w:rPr>
        <w:t xml:space="preserve"> — nove anni prima — e non sostiene alcuna inferenza operativa. È la dimostrazione formale di ciò che quarant'anni di indagini hanno detto con i proscioglimenti.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 della trattativa → la prigione.</w:t>
      </w:r>
      <w:r>
        <w:rPr>
          <w:rFonts w:ascii="Barlow Semi Condensed" w:cs="Barlow Semi Condensed" w:eastAsia="Barlow Semi Condensed" w:hAnsi="Barlow Semi Condensed"/>
          <w:sz w:val="24"/>
          <w:szCs w:val="24"/>
        </w:rPr>
        <w:t xml:space="preserve"> Il cammino è: </w:t>
      </w:r>
      <w:r>
        <w:rPr>
          <w:rFonts w:ascii="Barlow Semi Condensed" w:cs="Barlow Semi Condensed" w:eastAsia="Barlow Semi Condensed" w:hAnsi="Barlow Semi Condensed"/>
          <w:i/>
          <w:iCs/>
          <w:sz w:val="24"/>
          <w:szCs w:val="24"/>
        </w:rPr>
        <w:t xml:space="preserve">canale PSI → Pace → Morucci → via Fani → Moretti → via Montalcini</w:t>
      </w:r>
      <w:r>
        <w:rPr>
          <w:rFonts w:ascii="Barlow Semi Condensed" w:cs="Barlow Semi Condensed" w:eastAsia="Barlow Semi Condensed" w:hAnsi="Barlow Semi Condensed"/>
          <w:sz w:val="24"/>
          <w:szCs w:val="24"/>
        </w:rPr>
        <w:t xml:space="preserve">, con gli archi del canale al grado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Anche qui il grado del cammino (B, con anelli F) dice esattamente ciò che le fonti dicono: il canale documentato raggiunse chi trasmetteva i comunicati; che cosa arrivasse oltre, la rete non lo attesta.</w:t>
      </w:r>
    </w:p>
    <w:p>
      <w:pPr>
        <w:pStyle w:val="Heading2"/>
        <w:spacing w:after="100" w:before="200"/>
      </w:pPr>
      <w:r>
        <w:rPr>
          <w:rFonts w:ascii="Barlow Semi Condensed" w:cs="Barlow Semi Condensed" w:eastAsia="Barlow Semi Condensed" w:hAnsi="Barlow Semi Condensed"/>
          <w:sz w:val="24"/>
          <w:szCs w:val="24"/>
        </w:rPr>
        <w:t xml:space="preserve">3. La regola dei buchi (Burt) e i dieci mondi (Kivelä)</w:t>
      </w:r>
    </w:p>
    <w:p>
      <w:pPr>
        <w:spacing w:after="120" w:line="276"/>
        <w:jc w:val="both"/>
      </w:pPr>
      <w:r>
        <w:rPr>
          <w:rFonts w:ascii="Barlow Semi Condensed" w:cs="Barlow Semi Condensed" w:eastAsia="Barlow Semi Condensed" w:hAnsi="Barlow Semi Condensed"/>
          <w:sz w:val="24"/>
          <w:szCs w:val="24"/>
        </w:rPr>
        <w:t xml:space="preserve">Burt insegna che l'informazione strutturale sta nei </w:t>
      </w:r>
      <w:r>
        <w:rPr>
          <w:rFonts w:ascii="Barlow Semi Condensed" w:cs="Barlow Semi Condensed" w:eastAsia="Barlow Semi Condensed" w:hAnsi="Barlow Semi Condensed"/>
          <w:b/>
          <w:bCs/>
          <w:sz w:val="24"/>
          <w:szCs w:val="24"/>
        </w:rPr>
        <w:t xml:space="preserve">buchi</w:t>
      </w:r>
      <w:r>
        <w:rPr>
          <w:rFonts w:ascii="Barlow Semi Condensed" w:cs="Barlow Semi Condensed" w:eastAsia="Barlow Semi Condensed" w:hAnsi="Barlow Semi Condensed"/>
          <w:sz w:val="24"/>
          <w:szCs w:val="24"/>
        </w:rPr>
        <w:t xml:space="preserve">: dove la rete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ha archi. Nel grafo del corpus i buchi non sono difetti da riempire: </w:t>
      </w:r>
      <w:r>
        <w:rPr>
          <w:rFonts w:ascii="Barlow Semi Condensed" w:cs="Barlow Semi Condensed" w:eastAsia="Barlow Semi Condensed" w:hAnsi="Barlow Semi Condensed"/>
          <w:b/>
          <w:bCs/>
          <w:sz w:val="24"/>
          <w:szCs w:val="24"/>
        </w:rPr>
        <w:t xml:space="preserve">sono il risultato</w:t>
      </w:r>
      <w:r>
        <w:rPr>
          <w:rFonts w:ascii="Barlow Semi Condensed" w:cs="Barlow Semi Condensed" w:eastAsia="Barlow Semi Condensed" w:hAnsi="Barlow Semi Condensed"/>
          <w:sz w:val="24"/>
          <w:szCs w:val="24"/>
        </w:rPr>
        <w:t xml:space="preserve">. Non esiste alcun arco diretto fra il livello Hyperion e il livello del caso; non esiste alcun arco fra il dominio vaticano e via Fani (il padre di Casimirri è collegato al figlio, non al fatto); non esiste alcun arco fra il fronte latinoamericano e il sequestro (la rotta di una latitanza non è un mandato). La </w:t>
      </w:r>
      <w:r>
        <w:rPr>
          <w:rFonts w:ascii="Barlow Semi Condensed" w:cs="Barlow Semi Condensed" w:eastAsia="Barlow Semi Condensed" w:hAnsi="Barlow Semi Condensed"/>
          <w:b/>
          <w:bCs/>
          <w:sz w:val="24"/>
          <w:szCs w:val="24"/>
        </w:rPr>
        <w:t xml:space="preserve">regola dei buchi</w:t>
      </w:r>
      <w:r>
        <w:rPr>
          <w:rFonts w:ascii="Barlow Semi Condensed" w:cs="Barlow Semi Condensed" w:eastAsia="Barlow Semi Condensed" w:hAnsi="Barlow Semi Condensed"/>
          <w:sz w:val="24"/>
          <w:szCs w:val="24"/>
        </w:rPr>
        <w:t xml:space="preserve"> del corpus è dunque l'inverso di quella della dietrologia: </w:t>
      </w:r>
      <w:r>
        <w:rPr>
          <w:rFonts w:ascii="Barlow Semi Condensed" w:cs="Barlow Semi Condensed" w:eastAsia="Barlow Semi Condensed" w:hAnsi="Barlow Semi Condensed"/>
          <w:i/>
          <w:iCs/>
          <w:sz w:val="24"/>
          <w:szCs w:val="24"/>
        </w:rPr>
        <w:t xml:space="preserve">la dietrologia riempie i buchi con la narrazione; il corpus li misura e li dichiara</w:t>
      </w:r>
      <w:r>
        <w:rPr>
          <w:rFonts w:ascii="Barlow Semi Condensed" w:cs="Barlow Semi Condensed" w:eastAsia="Barlow Semi Condensed" w:hAnsi="Barlow Semi Condensed"/>
          <w:sz w:val="24"/>
          <w:szCs w:val="24"/>
        </w:rPr>
        <w:t xml:space="preserve">. Ogni buco strutturale è una congettura possibile e non provata — e resta tale finché un documento non diventi arco.</w:t>
      </w:r>
    </w:p>
    <w:p>
      <w:pPr>
        <w:spacing w:after="120" w:line="276"/>
        <w:jc w:val="both"/>
      </w:pPr>
      <w:r>
        <w:rPr>
          <w:rFonts w:ascii="Barlow Semi Condensed" w:cs="Barlow Semi Condensed" w:eastAsia="Barlow Semi Condensed" w:hAnsi="Barlow Semi Condensed"/>
          <w:sz w:val="24"/>
          <w:szCs w:val="24"/>
        </w:rPr>
        <w:t xml:space="preserve">La rete è inoltre </w:t>
      </w:r>
      <w:r>
        <w:rPr>
          <w:rFonts w:ascii="Barlow Semi Condensed" w:cs="Barlow Semi Condensed" w:eastAsia="Barlow Semi Condensed" w:hAnsi="Barlow Semi Condensed"/>
          <w:b/>
          <w:bCs/>
          <w:sz w:val="24"/>
          <w:szCs w:val="24"/>
        </w:rPr>
        <w:t xml:space="preserve">multistrato</w:t>
      </w:r>
      <w:r>
        <w:rPr>
          <w:rFonts w:ascii="Barlow Semi Condensed" w:cs="Barlow Semi Condensed" w:eastAsia="Barlow Semi Condensed" w:hAnsi="Barlow Semi Condensed"/>
          <w:sz w:val="24"/>
          <w:szCs w:val="24"/>
        </w:rPr>
        <w:t xml:space="preserve"> (Kivelä): i nodi vivono su livelli distinti — i </w:t>
      </w:r>
      <w:r>
        <w:rPr>
          <w:rFonts w:ascii="Barlow Semi Condensed" w:cs="Barlow Semi Condensed" w:eastAsia="Barlow Semi Condensed" w:hAnsi="Barlow Semi Condensed"/>
          <w:b/>
          <w:bCs/>
          <w:sz w:val="24"/>
          <w:szCs w:val="24"/>
        </w:rPr>
        <w:t xml:space="preserve">dieci mondi</w:t>
      </w:r>
      <w:r>
        <w:rPr>
          <w:rFonts w:ascii="Barlow Semi Condensed" w:cs="Barlow Semi Condensed" w:eastAsia="Barlow Semi Condensed" w:hAnsi="Barlow Semi Condensed"/>
          <w:sz w:val="24"/>
          <w:szCs w:val="24"/>
        </w:rPr>
        <w:t xml:space="preserve"> che il corpus ha documentato: (1) la politica interna, (2) il mondo brigatista, (3) il ceppo CPM/Superclan/Hyperion, (4) il mondo editoriale e del mito, (5) la dimensione diplomatica della Farnesina, (6) il mondo vaticano, (7) l'orizzonte latinoamericano, (8) il piano giudiziario, (9) il piano parlamentare, (10) il piano della memoria e dei media. La disciplina multistrato è una sola: </w:t>
      </w:r>
      <w:r>
        <w:rPr>
          <w:rFonts w:ascii="Barlow Semi Condensed" w:cs="Barlow Semi Condensed" w:eastAsia="Barlow Semi Condensed" w:hAnsi="Barlow Semi Condensed"/>
          <w:b/>
          <w:bCs/>
          <w:sz w:val="24"/>
          <w:szCs w:val="24"/>
        </w:rPr>
        <w:t xml:space="preserve">un nodo può abitare più mondi senza che i mondi si trasmettano nulla attraverso di lui</w:t>
      </w:r>
      <w:r>
        <w:rPr>
          <w:rFonts w:ascii="Barlow Semi Condensed" w:cs="Barlow Semi Condensed" w:eastAsia="Barlow Semi Condensed" w:hAnsi="Barlow Semi Condensed"/>
          <w:sz w:val="24"/>
          <w:szCs w:val="24"/>
        </w:rPr>
        <w:t xml:space="preserve"> — è la forma reticolare della regola «l'appartenenza a uno o più gruppi non è somma di colpe» (Fase decima, cap. 81).</w:t>
      </w:r>
    </w:p>
    <w:p>
      <w:pPr>
        <w:pStyle w:val="Heading2"/>
        <w:spacing w:after="100" w:before="200"/>
      </w:pPr>
      <w:r>
        <w:rPr>
          <w:rFonts w:ascii="Barlow Semi Condensed" w:cs="Barlow Semi Condensed" w:eastAsia="Barlow Semi Condensed" w:hAnsi="Barlow Semi Condensed"/>
          <w:sz w:val="24"/>
          <w:szCs w:val="24"/>
        </w:rPr>
        <w:t xml:space="preserve">4. L'analisi delle ipotesi concorrenti (Heuer) sui nodi impersonali</w:t>
      </w:r>
    </w:p>
    <w:p>
      <w:pPr>
        <w:spacing w:after="120" w:line="276"/>
        <w:jc w:val="both"/>
      </w:pPr>
      <w:r>
        <w:rPr>
          <w:rFonts w:ascii="Barlow Semi Condensed" w:cs="Barlow Semi Condensed" w:eastAsia="Barlow Semi Condensed" w:hAnsi="Barlow Semi Condensed"/>
          <w:sz w:val="24"/>
          <w:szCs w:val="24"/>
        </w:rPr>
        <w:t xml:space="preserve">Dallo strumentario del Dossier si adotta l'</w:t>
      </w:r>
      <w:r>
        <w:rPr>
          <w:rFonts w:ascii="Barlow Semi Condensed" w:cs="Barlow Semi Condensed" w:eastAsia="Barlow Semi Condensed" w:hAnsi="Barlow Semi Condensed"/>
          <w:b/>
          <w:bCs/>
          <w:sz w:val="24"/>
          <w:szCs w:val="24"/>
        </w:rPr>
        <w:t xml:space="preserve">ACH — Analysis of Competing Hypotheses</w:t>
      </w:r>
      <w:r>
        <w:rPr>
          <w:rFonts w:ascii="Barlow Semi Condensed" w:cs="Barlow Semi Condensed" w:eastAsia="Barlow Semi Condensed" w:hAnsi="Barlow Semi Condensed"/>
          <w:sz w:val="24"/>
          <w:szCs w:val="24"/>
        </w:rPr>
        <w:t xml:space="preserve"> (Heuer, </w:t>
      </w:r>
      <w:r>
        <w:rPr>
          <w:rFonts w:ascii="Barlow Semi Condensed" w:cs="Barlow Semi Condensed" w:eastAsia="Barlow Semi Condensed" w:hAnsi="Barlow Semi Condensed"/>
          <w:i/>
          <w:iCs/>
          <w:sz w:val="24"/>
          <w:szCs w:val="24"/>
        </w:rPr>
        <w:t xml:space="preserve">Psychology of Intelligence Analysis</w:t>
      </w:r>
      <w:r>
        <w:rPr>
          <w:rFonts w:ascii="Barlow Semi Condensed" w:cs="Barlow Semi Condensed" w:eastAsia="Barlow Semi Condensed" w:hAnsi="Barlow Semi Condensed"/>
          <w:sz w:val="24"/>
          <w:szCs w:val="24"/>
        </w:rPr>
        <w:t xml:space="preserve">, CIA 1999), che è falsificazionismo operativo: si elencano le ipotesi, si incrocia ciascuna con ciascuna evidenza, e si cerca </w:t>
      </w:r>
      <w:r>
        <w:rPr>
          <w:rFonts w:ascii="Barlow Semi Condensed" w:cs="Barlow Semi Condensed" w:eastAsia="Barlow Semi Condensed" w:hAnsi="Barlow Semi Condensed"/>
          <w:b/>
          <w:bCs/>
          <w:sz w:val="24"/>
          <w:szCs w:val="24"/>
        </w:rPr>
        <w:t xml:space="preserve">l'evidenza che discrimina</w:t>
      </w:r>
      <w:r>
        <w:rPr>
          <w:rFonts w:ascii="Barlow Semi Condensed" w:cs="Barlow Semi Condensed" w:eastAsia="Barlow Semi Condensed" w:hAnsi="Barlow Semi Condensed"/>
          <w:sz w:val="24"/>
          <w:szCs w:val="24"/>
        </w:rPr>
        <w:t xml:space="preserve"> — quella che è incompatibile con almeno un'ipotesi. Nel regime pubblico l'ACH si applica </w:t>
      </w:r>
      <w:r>
        <w:rPr>
          <w:rFonts w:ascii="Barlow Semi Condensed" w:cs="Barlow Semi Condensed" w:eastAsia="Barlow Semi Condensed" w:hAnsi="Barlow Semi Condensed"/>
          <w:b/>
          <w:bCs/>
          <w:sz w:val="24"/>
          <w:szCs w:val="24"/>
        </w:rPr>
        <w:t xml:space="preserve">solo a quesiti impersonali</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senza numeri di probabilità</w:t>
      </w:r>
      <w:r>
        <w:rPr>
          <w:rFonts w:ascii="Barlow Semi Condensed" w:cs="Barlow Semi Condensed" w:eastAsia="Barlow Semi Condensed" w:hAnsi="Barlow Semi Condensed"/>
          <w:sz w:val="24"/>
          <w:szCs w:val="24"/>
        </w:rPr>
        <w:t xml:space="preserve">: i numeri simulerebbero una precisione che le fonti non hanno.</w:t>
      </w:r>
    </w:p>
    <w:p>
      <w:pPr>
        <w:spacing w:after="120" w:line="276"/>
        <w:jc w:val="both"/>
      </w:pPr>
      <w:r>
        <w:rPr>
          <w:rFonts w:ascii="Barlow Semi Condensed" w:cs="Barlow Semi Condensed" w:eastAsia="Barlow Semi Condensed" w:hAnsi="Barlow Semi Condensed"/>
          <w:b/>
          <w:bCs/>
          <w:sz w:val="24"/>
          <w:szCs w:val="24"/>
        </w:rPr>
        <w:t xml:space="preserve">Matrice 1 — Via Gradoli e la «seduta spiritica»</w:t>
      </w:r>
      <w:r>
        <w:rPr>
          <w:rFonts w:ascii="Barlow Semi Condensed" w:cs="Barlow Semi Condensed" w:eastAsia="Barlow Semi Condensed" w:hAnsi="Barlow Semi Condensed"/>
          <w:sz w:val="24"/>
          <w:szCs w:val="24"/>
        </w:rPr>
        <w:t xml:space="preserve"> (C = coerente; I = incoerente; ± = ambiguo)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Evidenza (col suo 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H1: coincidenza autentica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H2: fuga di notizie per canale anomalo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H3: orchestrazione di apparato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La coincidenza nome/luogo (F)</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Il covo era reale e operativo (A)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Nessuna spiegazione emersa in 5 processi e 2 Commissioni (A/B)</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La Moro 2 non ha sciolto il nodo (B)</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Esito ACH:</w:t>
      </w:r>
      <w:r>
        <w:rPr>
          <w:rFonts w:ascii="Barlow Semi Condensed" w:cs="Barlow Semi Condensed" w:eastAsia="Barlow Semi Condensed" w:hAnsi="Barlow Semi Condensed"/>
          <w:sz w:val="24"/>
          <w:szCs w:val="24"/>
        </w:rPr>
        <w:t xml:space="preserve"> nessuna evidenza disponibile è </w:t>
      </w:r>
      <w:r>
        <w:rPr>
          <w:rFonts w:ascii="Barlow Semi Condensed" w:cs="Barlow Semi Condensed" w:eastAsia="Barlow Semi Condensed" w:hAnsi="Barlow Semi Condensed"/>
          <w:b/>
          <w:bCs/>
          <w:sz w:val="24"/>
          <w:szCs w:val="24"/>
        </w:rPr>
        <w:t xml:space="preserve">diagnostica</w:t>
      </w:r>
      <w:r>
        <w:rPr>
          <w:rFonts w:ascii="Barlow Semi Condensed" w:cs="Barlow Semi Condensed" w:eastAsia="Barlow Semi Condensed" w:hAnsi="Barlow Semi Condensed"/>
          <w:sz w:val="24"/>
          <w:szCs w:val="24"/>
        </w:rPr>
        <w:t xml:space="preserve"> — tutte sono compatibili con tutte le ipotesi. Il quesito è perciò </w:t>
      </w:r>
      <w:r>
        <w:rPr>
          <w:rFonts w:ascii="Barlow Semi Condensed" w:cs="Barlow Semi Condensed" w:eastAsia="Barlow Semi Condensed" w:hAnsi="Barlow Semi Condensed"/>
          <w:i/>
          <w:iCs/>
          <w:sz w:val="24"/>
          <w:szCs w:val="24"/>
        </w:rPr>
        <w:t xml:space="preserve">indecidibile allo stato degli atti</w:t>
      </w:r>
      <w:r>
        <w:rPr>
          <w:rFonts w:ascii="Barlow Semi Condensed" w:cs="Barlow Semi Condensed" w:eastAsia="Barlow Semi Condensed" w:hAnsi="Barlow Semi Condensed"/>
          <w:sz w:val="24"/>
          <w:szCs w:val="24"/>
        </w:rPr>
        <w:t xml:space="preserve">, e questo è un risultato: conferma formalmente il grado C della Parte terza. L'evidenza che discriminerebbe è identificata: </w:t>
      </w:r>
      <w:r>
        <w:rPr>
          <w:rFonts w:ascii="Barlow Semi Condensed" w:cs="Barlow Semi Condensed" w:eastAsia="Barlow Semi Condensed" w:hAnsi="Barlow Semi Condensed"/>
          <w:b/>
          <w:bCs/>
          <w:sz w:val="24"/>
          <w:szCs w:val="24"/>
        </w:rPr>
        <w:t xml:space="preserve">l'individuazione documentale della fonte reale della segnalazione</w:t>
      </w:r>
      <w:r>
        <w:rPr>
          <w:rFonts w:ascii="Barlow Semi Condensed" w:cs="Barlow Semi Condensed" w:eastAsia="Barlow Semi Condensed" w:hAnsi="Barlow Semi Condensed"/>
          <w:sz w:val="24"/>
          <w:szCs w:val="24"/>
        </w:rPr>
        <w:t xml:space="preserve"> — un atto, un nome d'archivio, un protocollo. Finché non emerge, ogni preferenza fra H1, H2 e H3 è gusto, non analisi.</w:t>
      </w:r>
    </w:p>
    <w:p>
      <w:pPr>
        <w:spacing w:after="120" w:line="276"/>
        <w:jc w:val="both"/>
      </w:pPr>
      <w:r>
        <w:rPr>
          <w:rFonts w:ascii="Barlow Semi Condensed" w:cs="Barlow Semi Condensed" w:eastAsia="Barlow Semi Condensed" w:hAnsi="Barlow Semi Condensed"/>
          <w:b/>
          <w:bCs/>
          <w:sz w:val="24"/>
          <w:szCs w:val="24"/>
        </w:rPr>
        <w:t xml:space="preserve">Matrice 2 — Le due moto di via Fani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Evidenza (col suo 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H1: errore percettivo dei testimoni</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H2: presenze estranee casuali</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H3: componenti non giudicati del dispositivo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Due testimoni oculari indipendenti, uditi sotto giuramento (B)</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Colpi esplosi in direzione dell'ing. Marini dalla Honda (B)</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La composizione del commando in giudicato non include le moto (A)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La Commissione qualifica il punto «da approfondire» (B)</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Esito ACH:</w:t>
      </w:r>
      <w:r>
        <w:rPr>
          <w:rFonts w:ascii="Barlow Semi Condensed" w:cs="Barlow Semi Condensed" w:eastAsia="Barlow Semi Condensed" w:hAnsi="Barlow Semi Condensed"/>
          <w:sz w:val="24"/>
          <w:szCs w:val="24"/>
        </w:rPr>
        <w:t xml:space="preserve"> l'evidenza dei </w:t>
      </w:r>
      <w:r>
        <w:rPr>
          <w:rFonts w:ascii="Barlow Semi Condensed" w:cs="Barlow Semi Condensed" w:eastAsia="Barlow Semi Condensed" w:hAnsi="Barlow Semi Condensed"/>
          <w:b/>
          <w:bCs/>
          <w:sz w:val="24"/>
          <w:szCs w:val="24"/>
        </w:rPr>
        <w:t xml:space="preserve">colpi verso Marini</w:t>
      </w:r>
      <w:r>
        <w:rPr>
          <w:rFonts w:ascii="Barlow Semi Condensed" w:cs="Barlow Semi Condensed" w:eastAsia="Barlow Semi Condensed" w:hAnsi="Barlow Semi Condensed"/>
          <w:sz w:val="24"/>
          <w:szCs w:val="24"/>
        </w:rPr>
        <w:t xml:space="preserve"> è l'unica diagnostica — se fosse accertata al grado A, falsificherebbe H1 e H2 insieme. Ma è di grado B; dunque H3 risulta </w:t>
      </w:r>
      <w:r>
        <w:rPr>
          <w:rFonts w:ascii="Barlow Semi Condensed" w:cs="Barlow Semi Condensed" w:eastAsia="Barlow Semi Condensed" w:hAnsi="Barlow Semi Condensed"/>
          <w:i/>
          <w:iCs/>
          <w:sz w:val="24"/>
          <w:szCs w:val="24"/>
        </w:rPr>
        <w:t xml:space="preserve">la meno incoerente con l'evidenza disponibile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senza per questo essere accertata</w:t>
      </w:r>
      <w:r>
        <w:rPr>
          <w:rFonts w:ascii="Barlow Semi Condensed" w:cs="Barlow Semi Condensed" w:eastAsia="Barlow Semi Condensed" w:hAnsi="Barlow Semi Condensed"/>
          <w:sz w:val="24"/>
          <w:szCs w:val="24"/>
        </w:rPr>
        <w:t xml:space="preserve"> — che è esattamente la posizione della Commissione («da approfondire») e del corpus (B per l'accertamento parlamentare, C per l'identità). L'evidenza discriminante mancante è nominata: </w:t>
      </w:r>
      <w:r>
        <w:rPr>
          <w:rFonts w:ascii="Barlow Semi Condensed" w:cs="Barlow Semi Condensed" w:eastAsia="Barlow Semi Condensed" w:hAnsi="Barlow Semi Condensed"/>
          <w:b/>
          <w:bCs/>
          <w:sz w:val="24"/>
          <w:szCs w:val="24"/>
        </w:rPr>
        <w:t xml:space="preserve">la perizia balistica risolutiva sui reperti e sulla traiettoria</w:t>
      </w:r>
      <w:r>
        <w:rPr>
          <w:rFonts w:ascii="Barlow Semi Condensed" w:cs="Barlow Semi Condensed" w:eastAsia="Barlow Semi Condensed" w:hAnsi="Barlow Semi Condensed"/>
          <w:sz w:val="24"/>
          <w:szCs w:val="24"/>
        </w:rPr>
        <w:t xml:space="preserve">. L'ACH non ha spostato il grado: ha mostrato </w:t>
      </w:r>
      <w:r>
        <w:rPr>
          <w:rFonts w:ascii="Barlow Semi Condensed" w:cs="Barlow Semi Condensed" w:eastAsia="Barlow Semi Condensed" w:hAnsi="Barlow Semi Condensed"/>
          <w:i/>
          <w:iCs/>
          <w:sz w:val="24"/>
          <w:szCs w:val="24"/>
        </w:rPr>
        <w:t xml:space="preserve">perché</w:t>
      </w:r>
      <w:r>
        <w:rPr>
          <w:rFonts w:ascii="Barlow Semi Condensed" w:cs="Barlow Semi Condensed" w:eastAsia="Barlow Semi Condensed" w:hAnsi="Barlow Semi Condensed"/>
          <w:sz w:val="24"/>
          <w:szCs w:val="24"/>
        </w:rPr>
        <w:t xml:space="preserve"> il grado è quello, e che cosa servirebbe a muoverlo. Questo è l'uso lecito dello strumento.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 Nota di revisione (25/8/2026).</w:t>
      </w:r>
      <w:r>
        <w:rPr>
          <w:rFonts w:ascii="Barlow Semi Condensed" w:cs="Barlow Semi Condensed" w:eastAsia="Barlow Semi Condensed" w:hAnsi="Barlow Semi Condensed"/>
          <w:i w:val="false"/>
          <w:iCs w:val="false"/>
          <w:sz w:val="24"/>
          <w:szCs w:val="24"/>
        </w:rPr>
        <w:t xml:space="preserve"> L'approfondimento successivo (</w:t>
      </w:r>
      <w:r>
        <w:rPr>
          <w:rFonts w:ascii="Barlow Semi Condensed" w:cs="Barlow Semi Condensed" w:eastAsia="Barlow Semi Condensed" w:hAnsi="Barlow Semi Condensed"/>
          <w:i w:val="false"/>
          <w:iCs w:val="false"/>
          <w:sz w:val="24"/>
          <w:szCs w:val="24"/>
        </w:rPr>
        <w:t xml:space="preserve">approfondimento-piste-di-testa.md</w:t>
      </w:r>
      <w:r>
        <w:rPr>
          <w:rFonts w:ascii="Barlow Semi Condensed" w:cs="Barlow Semi Condensed" w:eastAsia="Barlow Semi Condensed" w:hAnsi="Barlow Semi Condensed"/>
          <w:i w:val="false"/>
          <w:iCs w:val="false"/>
          <w:sz w:val="24"/>
          <w:szCs w:val="24"/>
        </w:rPr>
        <w:t xml:space="preserve">, Nota di revisione n. 1) ha accertato che Marini </w:t>
      </w:r>
      <w:r>
        <w:rPr>
          <w:rFonts w:ascii="Barlow Semi Condensed" w:cs="Barlow Semi Condensed" w:eastAsia="Barlow Semi Condensed" w:hAnsi="Barlow Semi Condensed"/>
          <w:b/>
          <w:bCs/>
          <w:i w:val="false"/>
          <w:iCs w:val="false"/>
          <w:sz w:val="24"/>
          <w:szCs w:val="24"/>
        </w:rPr>
        <w:t xml:space="preserve">ritrattò davanti ai consulenti della Moro 2 la circostanza del parabrezza infranto dai colpi</w:t>
      </w:r>
      <w:r>
        <w:rPr>
          <w:rFonts w:ascii="Barlow Semi Condensed" w:cs="Barlow Semi Condensed" w:eastAsia="Barlow Semi Condensed" w:hAnsi="Barlow Semi Condensed"/>
          <w:i w:val="false"/>
          <w:iCs w:val="false"/>
          <w:sz w:val="24"/>
          <w:szCs w:val="24"/>
        </w:rPr>
        <w:t xml:space="preserve"> (era rotto da giorni, rattoppato col nastro, come da fotografie del mattino stesso). La riga E2 di questa matrice va perciò letta come </w:t>
      </w:r>
      <w:r>
        <w:rPr>
          <w:rFonts w:ascii="Barlow Semi Condensed" w:cs="Barlow Semi Condensed" w:eastAsia="Barlow Semi Condensed" w:hAnsi="Barlow Semi Condensed"/>
          <w:b/>
          <w:bCs/>
          <w:i w:val="false"/>
          <w:iCs w:val="false"/>
          <w:sz w:val="24"/>
          <w:szCs w:val="24"/>
        </w:rPr>
        <w:t xml:space="preserve">controversa, non diagnostica</w:t>
      </w:r>
      <w:r>
        <w:rPr>
          <w:rFonts w:ascii="Barlow Semi Condensed" w:cs="Barlow Semi Condensed" w:eastAsia="Barlow Semi Condensed" w:hAnsi="Barlow Semi Condensed"/>
          <w:i w:val="false"/>
          <w:iCs w:val="false"/>
          <w:sz w:val="24"/>
          <w:szCs w:val="24"/>
        </w:rPr>
        <w:t xml:space="preserve">: H1 riacquista pieno campo, e l'evidenza discriminante resta soltanto quella peritale sui reperti. La matrice si lascia com'era, con questa nota, perché il corpus corregge annotando e non riscrivendo.</w:t>
      </w:r>
    </w:p>
    <w:p>
      <w:pPr>
        <w:pStyle w:val="Heading2"/>
        <w:spacing w:after="100" w:before="200"/>
      </w:pPr>
      <w:r>
        <w:rPr>
          <w:rFonts w:ascii="Barlow Semi Condensed" w:cs="Barlow Semi Condensed" w:eastAsia="Barlow Semi Condensed" w:hAnsi="Barlow Semi Condensed"/>
          <w:sz w:val="24"/>
          <w:szCs w:val="24"/>
        </w:rPr>
        <w:t xml:space="preserve">5. Il paradigma indiziario e la consilienza, con il loro guardrail</w:t>
      </w:r>
    </w:p>
    <w:p>
      <w:pPr>
        <w:spacing w:after="120" w:line="276"/>
        <w:jc w:val="both"/>
      </w:pPr>
      <w:r>
        <w:rPr>
          <w:rFonts w:ascii="Barlow Semi Condensed" w:cs="Barlow Semi Condensed" w:eastAsia="Barlow Semi Condensed" w:hAnsi="Barlow Semi Condensed"/>
          <w:sz w:val="24"/>
          <w:szCs w:val="24"/>
        </w:rPr>
        <w:t xml:space="preserve">Dal Dossier si adottano infine le due epistemologie di sfondo. Il </w:t>
      </w:r>
      <w:r>
        <w:rPr>
          <w:rFonts w:ascii="Barlow Semi Condensed" w:cs="Barlow Semi Condensed" w:eastAsia="Barlow Semi Condensed" w:hAnsi="Barlow Semi Condensed"/>
          <w:b/>
          <w:bCs/>
          <w:sz w:val="24"/>
          <w:szCs w:val="24"/>
        </w:rPr>
        <w:t xml:space="preserve">paradigma indiziario</w:t>
      </w:r>
      <w:r>
        <w:rPr>
          <w:rFonts w:ascii="Barlow Semi Condensed" w:cs="Barlow Semi Condensed" w:eastAsia="Barlow Semi Condensed" w:hAnsi="Barlow Semi Condensed"/>
          <w:sz w:val="24"/>
          <w:szCs w:val="24"/>
        </w:rPr>
        <w:t xml:space="preserve"> (Ginzburg): la verità storica si raggiunge spesso per spie, dettagli, scarti — ed è il metodo con cui il corpus ha lavorato i dettagli (una firma in un preambolo comunitario, un bossolo in più, un prefisso OCR). La </w:t>
      </w:r>
      <w:r>
        <w:rPr>
          <w:rFonts w:ascii="Barlow Semi Condensed" w:cs="Barlow Semi Condensed" w:eastAsia="Barlow Semi Condensed" w:hAnsi="Barlow Semi Condensed"/>
          <w:b/>
          <w:bCs/>
          <w:sz w:val="24"/>
          <w:szCs w:val="24"/>
        </w:rPr>
        <w:t xml:space="preserve">consilienza</w:t>
      </w:r>
      <w:r>
        <w:rPr>
          <w:rFonts w:ascii="Barlow Semi Condensed" w:cs="Barlow Semi Condensed" w:eastAsia="Barlow Semi Condensed" w:hAnsi="Barlow Semi Condensed"/>
          <w:sz w:val="24"/>
          <w:szCs w:val="24"/>
        </w:rPr>
        <w:t xml:space="preserve"> (Whewell, Wilson): linee di evidenza </w:t>
      </w:r>
      <w:r>
        <w:rPr>
          <w:rFonts w:ascii="Barlow Semi Condensed" w:cs="Barlow Semi Condensed" w:eastAsia="Barlow Semi Condensed" w:hAnsi="Barlow Semi Condensed"/>
          <w:i/>
          <w:iCs/>
          <w:sz w:val="24"/>
          <w:szCs w:val="24"/>
        </w:rPr>
        <w:t xml:space="preserve">indipendenti</w:t>
      </w:r>
      <w:r>
        <w:rPr>
          <w:rFonts w:ascii="Barlow Semi Condensed" w:cs="Barlow Semi Condensed" w:eastAsia="Barlow Semi Condensed" w:hAnsi="Barlow Semi Condensed"/>
          <w:sz w:val="24"/>
          <w:szCs w:val="24"/>
        </w:rPr>
        <w:t xml:space="preserve"> che convergono si rafforzano. Il guardrail del corpus, che nel Dossier maggiore governa la parte popperiana, qui vale ovunque: </w:t>
      </w:r>
      <w:r>
        <w:rPr>
          <w:rFonts w:ascii="Barlow Semi Condensed" w:cs="Barlow Semi Condensed" w:eastAsia="Barlow Semi Condensed" w:hAnsi="Barlow Semi Condensed"/>
          <w:b/>
          <w:bCs/>
          <w:sz w:val="24"/>
          <w:szCs w:val="24"/>
        </w:rPr>
        <w:t xml:space="preserve">la convergenza rafforza solo fra linee davvero indipendenti, e mai oltre il grado della linea più debole</w:t>
      </w:r>
      <w:r>
        <w:rPr>
          <w:rFonts w:ascii="Barlow Semi Condensed" w:cs="Barlow Semi Condensed" w:eastAsia="Barlow Semi Condensed" w:hAnsi="Barlow Semi Condensed"/>
          <w:sz w:val="24"/>
          <w:szCs w:val="24"/>
        </w:rPr>
        <w:t xml:space="preserve"> — la consilienza è una stretta di mano fra prove, non una piramide di suggestioni. Le anti-triangolazioni del corpus (29 occorrenze censite) sono esattamente i punti in cui una falsa consilienza è stata smontata.</w:t>
      </w:r>
    </w:p>
    <w:p>
      <w:pPr>
        <w:pStyle w:val="Heading2"/>
        <w:spacing w:after="100" w:before="200"/>
      </w:pPr>
      <w:r>
        <w:rPr>
          <w:rFonts w:ascii="Barlow Semi Condensed" w:cs="Barlow Semi Condensed" w:eastAsia="Barlow Semi Condensed" w:hAnsi="Barlow Semi Condensed"/>
          <w:sz w:val="24"/>
          <w:szCs w:val="24"/>
        </w:rPr>
        <w:t xml:space="preserve">6. L'auto-misurazione del corpus (la serie statistica, come nel Dossier)</w:t>
      </w:r>
    </w:p>
    <w:p>
      <w:pPr>
        <w:spacing w:after="120" w:line="276"/>
        <w:jc w:val="both"/>
      </w:pPr>
      <w:r>
        <w:rPr>
          <w:rFonts w:ascii="Barlow Semi Condensed" w:cs="Barlow Semi Condensed" w:eastAsia="Barlow Semi Condensed" w:hAnsi="Barlow Semi Condensed"/>
          <w:sz w:val="24"/>
          <w:szCs w:val="24"/>
        </w:rPr>
        <w:t xml:space="preserve">Il Dossier dedica una serie di blocchi alla misurazione di sé stesso. Lo stesso esercizio, eseguito sul branch con conteggio automatico (procedimento: scansione dei sorgenti; le marcature di grado sono stimate per pattern testuale e quindi approssimate per difetto — lo si dichiara):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36 documenti</w:t>
      </w:r>
      <w:r>
        <w:rPr>
          <w:rFonts w:ascii="Barlow Semi Condensed" w:cs="Barlow Semi Condensed" w:eastAsia="Barlow Semi Condensed" w:hAnsi="Barlow Semi Condensed"/>
          <w:sz w:val="24"/>
          <w:szCs w:val="24"/>
        </w:rPr>
        <w:t xml:space="preserve"> markdown (incluse le cartelle), per </w:t>
      </w:r>
      <w:r>
        <w:rPr>
          <w:rFonts w:ascii="Barlow Semi Condensed" w:cs="Barlow Semi Condensed" w:eastAsia="Barlow Semi Condensed" w:hAnsi="Barlow Semi Condensed"/>
          <w:b/>
          <w:bCs/>
          <w:sz w:val="24"/>
          <w:szCs w:val="24"/>
        </w:rPr>
        <w:t xml:space="preserve">104.504 parole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9 volumi rilegati</w:t>
      </w:r>
      <w:r>
        <w:rPr>
          <w:rFonts w:ascii="Barlow Semi Condensed" w:cs="Barlow Semi Condensed" w:eastAsia="Barlow Semi Condensed" w:hAnsi="Barlow Semi Condensed"/>
          <w:sz w:val="24"/>
          <w:szCs w:val="24"/>
        </w:rPr>
        <w:t xml:space="preserve"> .docx e </w:t>
      </w:r>
      <w:r>
        <w:rPr>
          <w:rFonts w:ascii="Barlow Semi Condensed" w:cs="Barlow Semi Condensed" w:eastAsia="Barlow Semi Condensed" w:hAnsi="Barlow Semi Condensed"/>
          <w:b/>
          <w:bCs/>
          <w:sz w:val="24"/>
          <w:szCs w:val="24"/>
        </w:rPr>
        <w:t xml:space="preserve">2 edizioni html</w:t>
      </w:r>
      <w:r>
        <w:rPr>
          <w:rFonts w:ascii="Barlow Semi Condensed" w:cs="Barlow Semi Condensed" w:eastAsia="Barlow Semi Condensed" w:hAnsi="Barlow Semi Condensed"/>
          <w:sz w:val="24"/>
          <w:szCs w:val="24"/>
        </w:rPr>
        <w:t xml:space="preserve"> navigabili.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Marcature di grado censite nei testi: </w:t>
      </w:r>
      <w:r>
        <w:rPr>
          <w:rFonts w:ascii="Barlow Semi Condensed" w:cs="Barlow Semi Condensed" w:eastAsia="Barlow Semi Condensed" w:hAnsi="Barlow Semi Condensed"/>
          <w:b/>
          <w:bCs/>
          <w:sz w:val="24"/>
          <w:szCs w:val="24"/>
        </w:rPr>
        <w:t xml:space="preserve">A ≈ 36, B ≈ 30, C ≈ 21, F ≈ 14, Stato Zero = 36</w:t>
      </w:r>
      <w:r>
        <w:rPr>
          <w:rFonts w:ascii="Barlow Semi Condensed" w:cs="Barlow Semi Condensed" w:eastAsia="Barlow Semi Condensed" w:hAnsi="Barlow Semi Condensed"/>
          <w:sz w:val="24"/>
          <w:szCs w:val="24"/>
        </w:rPr>
        <w:t xml:space="preserve">. La lettura è severa e va fatta come nel Dossier («il risultato più severo»): il corpus </w:t>
      </w:r>
      <w:r>
        <w:rPr>
          <w:rFonts w:ascii="Barlow Semi Condensed" w:cs="Barlow Semi Condensed" w:eastAsia="Barlow Semi Condensed" w:hAnsi="Barlow Semi Condensed"/>
          <w:i/>
          <w:iCs/>
          <w:sz w:val="24"/>
          <w:szCs w:val="24"/>
        </w:rPr>
        <w:t xml:space="preserve">dichiara</w:t>
      </w:r>
      <w:r>
        <w:rPr>
          <w:rFonts w:ascii="Barlow Semi Condensed" w:cs="Barlow Semi Condensed" w:eastAsia="Barlow Semi Condensed" w:hAnsi="Barlow Semi Condensed"/>
          <w:sz w:val="24"/>
          <w:szCs w:val="24"/>
        </w:rPr>
        <w:t xml:space="preserve"> più spesso l'assenza documentata (Stato Zero) di quanto conceda il fatto pubblico non gradato — segno che il perimetro negativo è curato quanto quello positivo.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Dispositivi di disciplina espliciti: </w:t>
      </w:r>
      <w:r>
        <w:rPr>
          <w:rFonts w:ascii="Barlow Semi Condensed" w:cs="Barlow Semi Condensed" w:eastAsia="Barlow Semi Condensed" w:hAnsi="Barlow Semi Condensed"/>
          <w:b/>
          <w:bCs/>
          <w:sz w:val="24"/>
          <w:szCs w:val="24"/>
        </w:rPr>
        <w:t xml:space="preserve">14</w:t>
      </w:r>
      <w:r>
        <w:rPr>
          <w:rFonts w:ascii="Barlow Semi Condensed" w:cs="Barlow Semi Condensed" w:eastAsia="Barlow Semi Condensed" w:hAnsi="Barlow Semi Condensed"/>
          <w:sz w:val="24"/>
          <w:szCs w:val="24"/>
        </w:rPr>
        <w:t xml:space="preserve"> occorrenze di «criterio di smentita», </w:t>
      </w:r>
      <w:r>
        <w:rPr>
          <w:rFonts w:ascii="Barlow Semi Condensed" w:cs="Barlow Semi Condensed" w:eastAsia="Barlow Semi Condensed" w:hAnsi="Barlow Semi Condensed"/>
          <w:b/>
          <w:bCs/>
          <w:sz w:val="24"/>
          <w:szCs w:val="24"/>
        </w:rPr>
        <w:t xml:space="preserve">29</w:t>
      </w:r>
      <w:r>
        <w:rPr>
          <w:rFonts w:ascii="Barlow Semi Condensed" w:cs="Barlow Semi Condensed" w:eastAsia="Barlow Semi Condensed" w:hAnsi="Barlow Semi Condensed"/>
          <w:sz w:val="24"/>
          <w:szCs w:val="24"/>
        </w:rPr>
        <w:t xml:space="preserve"> di «anti-triangolazioni», </w:t>
      </w:r>
      <w:r>
        <w:rPr>
          <w:rFonts w:ascii="Barlow Semi Condensed" w:cs="Barlow Semi Condensed" w:eastAsia="Barlow Semi Condensed" w:hAnsi="Barlow Semi Condensed"/>
          <w:b/>
          <w:bCs/>
          <w:sz w:val="24"/>
          <w:szCs w:val="24"/>
        </w:rPr>
        <w:t xml:space="preserve">62</w:t>
      </w:r>
      <w:r>
        <w:rPr>
          <w:rFonts w:ascii="Barlow Semi Condensed" w:cs="Barlow Semi Condensed" w:eastAsia="Barlow Semi Condensed" w:hAnsi="Barlow Semi Condensed"/>
          <w:sz w:val="24"/>
          <w:szCs w:val="24"/>
        </w:rPr>
        <w:t xml:space="preserve"> di «esiti negativi» — la falsificabilità non è un proclama in premessa: è distribuita nel corpo dell'opera.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rete documentata (§1): 39 nodi, 59 archi — di cui </w:t>
      </w:r>
      <w:r>
        <w:rPr>
          <w:rFonts w:ascii="Barlow Semi Condensed" w:cs="Barlow Semi Condensed" w:eastAsia="Barlow Semi Condensed" w:hAnsi="Barlow Semi Condensed"/>
          <w:b/>
          <w:bCs/>
          <w:sz w:val="24"/>
          <w:szCs w:val="24"/>
        </w:rPr>
        <w:t xml:space="preserve">quasi la metà (28) al grado massimo</w:t>
      </w:r>
      <w:r>
        <w:rPr>
          <w:rFonts w:ascii="Barlow Semi Condensed" w:cs="Barlow Semi Condensed" w:eastAsia="Barlow Semi Condensed" w:hAnsi="Barlow Semi Condensed"/>
          <w:sz w:val="24"/>
          <w:szCs w:val="24"/>
        </w:rPr>
        <w:t xml:space="preserve">. Un grafo dietrologico avrebbe la proporzione inversa.</w:t>
      </w:r>
    </w:p>
    <w:p>
      <w:pPr>
        <w:pStyle w:val="Heading2"/>
        <w:spacing w:after="100" w:before="200"/>
      </w:pPr>
      <w:r>
        <w:rPr>
          <w:rFonts w:ascii="Barlow Semi Condensed" w:cs="Barlow Semi Condensed" w:eastAsia="Barlow Semi Condensed" w:hAnsi="Barlow Semi Condensed"/>
          <w:sz w:val="24"/>
          <w:szCs w:val="24"/>
        </w:rPr>
        <w:t xml:space="preserve">6-bis. La tavola percentuale del documentato, esclusa la componente BR</w:t>
      </w:r>
    </w:p>
    <w:p>
      <w:pPr>
        <w:spacing w:after="120" w:line="276"/>
        <w:jc w:val="both"/>
      </w:pPr>
      <w:r>
        <w:rPr>
          <w:rFonts w:ascii="Barlow Semi Condensed" w:cs="Barlow Semi Condensed" w:eastAsia="Barlow Semi Condensed" w:hAnsi="Barlow Semi Condensed"/>
          <w:sz w:val="24"/>
          <w:szCs w:val="24"/>
        </w:rPr>
        <w:t xml:space="preserve">Su richiesta dell'autore si è calcolata la ripartizione percentuale — da 0,1 a 100, dove 100 è il totale — </w:t>
      </w:r>
      <w:r>
        <w:rPr>
          <w:rFonts w:ascii="Barlow Semi Condensed" w:cs="Barlow Semi Condensed" w:eastAsia="Barlow Semi Condensed" w:hAnsi="Barlow Semi Condensed"/>
          <w:b/>
          <w:bCs/>
          <w:sz w:val="24"/>
          <w:szCs w:val="24"/>
        </w:rPr>
        <w:t xml:space="preserve">del solo oggetto che ammette percentuali nel regime pubblico: la documentazione</w:t>
      </w:r>
      <w:r>
        <w:rPr>
          <w:rFonts w:ascii="Barlow Semi Condensed" w:cs="Barlow Semi Condensed" w:eastAsia="Barlow Semi Condensed" w:hAnsi="Barlow Semi Condensed"/>
          <w:sz w:val="24"/>
          <w:szCs w:val="24"/>
        </w:rPr>
        <w:t xml:space="preserve">. Escludendo l'intera componente BR (l'organizzazione e i tredici condannati del registro), le quote di </w:t>
      </w:r>
      <w:r>
        <w:rPr>
          <w:rFonts w:ascii="Barlow Semi Condensed" w:cs="Barlow Semi Condensed" w:eastAsia="Barlow Semi Condensed" w:hAnsi="Barlow Semi Condensed"/>
          <w:b/>
          <w:bCs/>
          <w:sz w:val="24"/>
          <w:szCs w:val="24"/>
        </w:rPr>
        <w:t xml:space="preserve">centralità documentale</w:t>
      </w:r>
      <w:r>
        <w:rPr>
          <w:rFonts w:ascii="Barlow Semi Condensed" w:cs="Barlow Semi Condensed" w:eastAsia="Barlow Semi Condensed" w:hAnsi="Barlow Semi Condensed"/>
          <w:sz w:val="24"/>
          <w:szCs w:val="24"/>
        </w:rPr>
        <w:t xml:space="preserve"> (betweenness normalizzata a 100 sul comparto non-BR) sono: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Nodo non-BR</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Quota di intermediazione documentale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Quota di connessioni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CPM</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24,7%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Simioni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22,5%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6,5%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Hyperion</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12,5%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6,5%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via Fani (evento)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11,2%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14,5%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Curcio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8,6%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Berio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7,5%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Franceschini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Pace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via Montalcini (luogo)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6,5%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Abbé Pierre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Piperno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gruppo dell'appartamento (RE)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Potere Operaio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6,5%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Mulinaris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canale PSI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Superclan · Sit-Siemens · Sala stampa vaticana · SID (approccio respinto) · Nicaragua · Svizzera · Monte Nevoso · Malagugini · Feltrinelli · Feltrinelli Editore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0,0% (nodi terminali)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1,6-3,2% ciascuno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E la ripartizione percentuale </w:t>
      </w:r>
      <w:r>
        <w:rPr>
          <w:rFonts w:ascii="Barlow Semi Condensed" w:cs="Barlow Semi Condensed" w:eastAsia="Barlow Semi Condensed" w:hAnsi="Barlow Semi Condensed"/>
          <w:b/>
          <w:bCs/>
          <w:sz w:val="24"/>
          <w:szCs w:val="24"/>
        </w:rPr>
        <w:t xml:space="preserve">dei gradi di prova</w:t>
      </w:r>
      <w:r>
        <w:rPr>
          <w:rFonts w:ascii="Barlow Semi Condensed" w:cs="Barlow Semi Condensed" w:eastAsia="Barlow Semi Condensed" w:hAnsi="Barlow Semi Condensed"/>
          <w:sz w:val="24"/>
          <w:szCs w:val="24"/>
        </w:rPr>
        <w:t xml:space="preserve"> sugli archi: sull'intera rete, </w:t>
      </w:r>
      <w:r>
        <w:rPr>
          <w:rFonts w:ascii="Barlow Semi Condensed" w:cs="Barlow Semi Condensed" w:eastAsia="Barlow Semi Condensed" w:hAnsi="Barlow Semi Condensed"/>
          <w:b/>
          <w:bCs/>
          <w:sz w:val="24"/>
          <w:szCs w:val="24"/>
        </w:rPr>
        <w:t xml:space="preserve">A 47,5% · F 44,1% · B 8,5%</w:t>
      </w:r>
      <w:r>
        <w:rPr>
          <w:rFonts w:ascii="Barlow Semi Condensed" w:cs="Barlow Semi Condensed" w:eastAsia="Barlow Semi Condensed" w:hAnsi="Barlow Semi Condensed"/>
          <w:sz w:val="24"/>
          <w:szCs w:val="24"/>
        </w:rPr>
        <w:t xml:space="preserve">; ma sul solo comparto </w:t>
      </w:r>
      <w:r>
        <w:rPr>
          <w:rFonts w:ascii="Barlow Semi Condensed" w:cs="Barlow Semi Condensed" w:eastAsia="Barlow Semi Condensed" w:hAnsi="Barlow Semi Condensed"/>
          <w:b/>
          <w:bCs/>
          <w:sz w:val="24"/>
          <w:szCs w:val="24"/>
        </w:rPr>
        <w:t xml:space="preserve">interamente non-BR</w:t>
      </w:r>
      <w:r>
        <w:rPr>
          <w:rFonts w:ascii="Barlow Semi Condensed" w:cs="Barlow Semi Condensed" w:eastAsia="Barlow Semi Condensed" w:hAnsi="Barlow Semi Condensed"/>
          <w:sz w:val="24"/>
          <w:szCs w:val="24"/>
        </w:rPr>
        <w:t xml:space="preserve"> (17 archi su 59, il 28,8% della rete): </w:t>
      </w:r>
      <w:r>
        <w:rPr>
          <w:rFonts w:ascii="Barlow Semi Condensed" w:cs="Barlow Semi Condensed" w:eastAsia="Barlow Semi Condensed" w:hAnsi="Barlow Semi Condensed"/>
          <w:b/>
          <w:bCs/>
          <w:sz w:val="24"/>
          <w:szCs w:val="24"/>
        </w:rPr>
        <w:t xml:space="preserve">F 82,4% · B 17,6% · A 0,0%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La lettura, che è il punto.</w:t>
      </w:r>
      <w:r>
        <w:rPr>
          <w:rFonts w:ascii="Barlow Semi Condensed" w:cs="Barlow Semi Condensed" w:eastAsia="Barlow Semi Condensed" w:hAnsi="Barlow Semi Condensed"/>
          <w:sz w:val="24"/>
          <w:szCs w:val="24"/>
        </w:rPr>
        <w:t xml:space="preserve"> Queste percentuali misurano </w:t>
      </w:r>
      <w:r>
        <w:rPr>
          <w:rFonts w:ascii="Barlow Semi Condensed" w:cs="Barlow Semi Condensed" w:eastAsia="Barlow Semi Condensed" w:hAnsi="Barlow Semi Condensed"/>
          <w:i/>
          <w:iCs/>
          <w:sz w:val="24"/>
          <w:szCs w:val="24"/>
        </w:rPr>
        <w:t xml:space="preserve">documenti</w:t>
      </w:r>
      <w:r>
        <w:rPr>
          <w:rFonts w:ascii="Barlow Semi Condensed" w:cs="Barlow Semi Condensed" w:eastAsia="Barlow Semi Condensed" w:hAnsi="Barlow Semi Condensed"/>
          <w:sz w:val="24"/>
          <w:szCs w:val="24"/>
        </w:rPr>
        <w:t xml:space="preserve">, e lo dicono da sole: fuori dalla componente BR, il tessuto documentato è fatto per oltre quattro quinti di </w:t>
      </w:r>
      <w:r>
        <w:rPr>
          <w:rFonts w:ascii="Barlow Semi Condensed" w:cs="Barlow Semi Condensed" w:eastAsia="Barlow Semi Condensed" w:hAnsi="Barlow Semi Condensed"/>
          <w:b/>
          <w:bCs/>
          <w:sz w:val="24"/>
          <w:szCs w:val="24"/>
        </w:rPr>
        <w:t xml:space="preserve">fatti biografici</w:t>
      </w:r>
      <w:r>
        <w:rPr>
          <w:rFonts w:ascii="Barlow Semi Condensed" w:cs="Barlow Semi Condensed" w:eastAsia="Barlow Semi Condensed" w:hAnsi="Barlow Semi Condensed"/>
          <w:sz w:val="24"/>
          <w:szCs w:val="24"/>
        </w:rPr>
        <w:t xml:space="preserve"> e per il resto di </w:t>
      </w:r>
      <w:r>
        <w:rPr>
          <w:rFonts w:ascii="Barlow Semi Condensed" w:cs="Barlow Semi Condensed" w:eastAsia="Barlow Semi Condensed" w:hAnsi="Barlow Semi Condensed"/>
          <w:b/>
          <w:bCs/>
          <w:sz w:val="24"/>
          <w:szCs w:val="24"/>
        </w:rPr>
        <w:t xml:space="preserve">accertamenti non giudiziari</w:t>
      </w:r>
      <w:r>
        <w:rPr>
          <w:rFonts w:ascii="Barlow Semi Condensed" w:cs="Barlow Semi Condensed" w:eastAsia="Barlow Semi Condensed" w:hAnsi="Barlow Semi Condensed"/>
          <w:sz w:val="24"/>
          <w:szCs w:val="24"/>
        </w:rPr>
        <w:t xml:space="preserve"> — e </w:t>
      </w:r>
      <w:r>
        <w:rPr>
          <w:rFonts w:ascii="Barlow Semi Condensed" w:cs="Barlow Semi Condensed" w:eastAsia="Barlow Semi Condensed" w:hAnsi="Barlow Semi Condensed"/>
          <w:b/>
          <w:bCs/>
          <w:sz w:val="24"/>
          <w:szCs w:val="24"/>
        </w:rPr>
        <w:t xml:space="preserve">non contiene un solo arco di giudicato: zero per cento</w:t>
      </w:r>
      <w:r>
        <w:rPr>
          <w:rFonts w:ascii="Barlow Semi Condensed" w:cs="Barlow Semi Condensed" w:eastAsia="Barlow Semi Condensed" w:hAnsi="Barlow Semi Condensed"/>
          <w:sz w:val="24"/>
          <w:szCs w:val="24"/>
        </w:rPr>
        <w:t xml:space="preserve">. È la dimostrazione quantitativa del divieto che governa il corpus: una ripartizione percentuale di </w:t>
      </w:r>
      <w:r>
        <w:rPr>
          <w:rFonts w:ascii="Barlow Semi Condensed" w:cs="Barlow Semi Condensed" w:eastAsia="Barlow Semi Condensed" w:hAnsi="Barlow Semi Condensed"/>
          <w:i/>
          <w:iCs/>
          <w:sz w:val="24"/>
          <w:szCs w:val="24"/>
        </w:rPr>
        <w:t xml:space="preserve">responsabilità</w:t>
      </w:r>
      <w:r>
        <w:rPr>
          <w:rFonts w:ascii="Barlow Semi Condensed" w:cs="Barlow Semi Condensed" w:eastAsia="Barlow Semi Condensed" w:hAnsi="Barlow Semi Condensed"/>
          <w:sz w:val="24"/>
          <w:szCs w:val="24"/>
        </w:rPr>
        <w:t xml:space="preserve"> fra soggetti non-BR dovrebbe costruirsi su un comparto che non contiene alcun collegamento di grado A — cioè su nulla che un tribunale abbia mai accertato. Le uniche percentuali oneste possibili sono queste: quote di centralità nella documentazione (dove il 24,7% del CPM dice che un collettivo del 1969 è il ponte fra i mondi documentali, non che «pesa» un quarto di alcunché), e quote di grado (dove lo 0,0% di A non-BR dice perché la graduatoria dei piani superiori non può esistere sul branch pubblico). Il giorno in cui un documento facesse salire quel numero sopra lo zero, sarebbe il documento a parlare — non la percentuale.</w:t>
      </w:r>
    </w:p>
    <w:p>
      <w:pPr>
        <w:pStyle w:val="Heading2"/>
        <w:spacing w:after="100" w:before="200"/>
      </w:pPr>
      <w:r>
        <w:rPr>
          <w:rFonts w:ascii="Barlow Semi Condensed" w:cs="Barlow Semi Condensed" w:eastAsia="Barlow Semi Condensed" w:hAnsi="Barlow Semi Condensed"/>
          <w:sz w:val="24"/>
          <w:szCs w:val="24"/>
        </w:rPr>
        <w:t xml:space="preserve">7. Chiusura</w:t>
      </w:r>
    </w:p>
    <w:p>
      <w:pPr>
        <w:spacing w:after="120" w:line="276"/>
        <w:jc w:val="both"/>
      </w:pPr>
      <w:r>
        <w:rPr>
          <w:rFonts w:ascii="Barlow Semi Condensed" w:cs="Barlow Semi Condensed" w:eastAsia="Barlow Semi Condensed" w:hAnsi="Barlow Semi Condensed"/>
          <w:sz w:val="24"/>
          <w:szCs w:val="24"/>
        </w:rPr>
        <w:t xml:space="preserve">Gli strumenti del Dossier, applicati nel regime pubblico, non hanno prodotto nomi nuovi né gradi nuovi: hanno prodotto </w:t>
      </w:r>
      <w:r>
        <w:rPr>
          <w:rFonts w:ascii="Barlow Semi Condensed" w:cs="Barlow Semi Condensed" w:eastAsia="Barlow Semi Condensed" w:hAnsi="Barlow Semi Condensed"/>
          <w:b/>
          <w:bCs/>
          <w:sz w:val="24"/>
          <w:szCs w:val="24"/>
        </w:rPr>
        <w:t xml:space="preserve">forma</w:t>
      </w:r>
      <w:r>
        <w:rPr>
          <w:rFonts w:ascii="Barlow Semi Condensed" w:cs="Barlow Semi Condensed" w:eastAsia="Barlow Semi Condensed" w:hAnsi="Barlow Semi Condensed"/>
          <w:sz w:val="24"/>
          <w:szCs w:val="24"/>
        </w:rPr>
        <w:t xml:space="preserve"> — la regola dell'anello debole, la regola dei buchi, due matrici ACH che dicono quale evidenza manca, e una rete in cui il ponte fra i mondi ha un nome che era già scritto in tutte le triangolazioni: il ceppo del 1969. Quando gli strumenti quantitativi confermano ciò che la disciplina qualitativa aveva stabilito, non è ridondanza: è </w:t>
      </w:r>
      <w:r>
        <w:rPr>
          <w:rFonts w:ascii="Barlow Semi Condensed" w:cs="Barlow Semi Condensed" w:eastAsia="Barlow Semi Condensed" w:hAnsi="Barlow Semi Condensed"/>
          <w:b/>
          <w:bCs/>
          <w:sz w:val="24"/>
          <w:szCs w:val="24"/>
        </w:rPr>
        <w:t xml:space="preserve">consilienza metodologica</w:t>
      </w:r>
      <w:r>
        <w:rPr>
          <w:rFonts w:ascii="Barlow Semi Condensed" w:cs="Barlow Semi Condensed" w:eastAsia="Barlow Semi Condensed" w:hAnsi="Barlow Semi Condensed"/>
          <w:sz w:val="24"/>
          <w:szCs w:val="24"/>
        </w:rPr>
        <w:t xml:space="preserve"> — due strade indipendenti, lo stesso confine fra il provato e il congetturale. Il Dossier maggiore usa questi strumenti per andare oltre quel confine, sotto la responsabilità del suo autore; il branch pubblico li usa per tracciarlo con esattezza. È la stessa cassetta degli attrezzi, ed è la differenza fra i due cantieri.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Documento di metodo: le metodologie del Dossier maggiore (sinaptogenesi/teoria delle reti, ACH di Heuer, paradigma indiziario, consilienza, auto-misurazione) applicate al corpus pubblico. Tutti i calcoli eseguiti realmente sul grafo dei soli legami documentati (39 nodi, 59 archi con grado) e sui sorgenti del branch, col procedimento dichiarato. Due regole formalizzate: il grado di un cammino è il minimo dei suoi archi; i buchi strutturali si misurano e non si riempiono. Nessuna metrica misura colpe: misura documenti. Nessun quesito ACH riguarda persone; nessuna probabilità numerica è assegnata; il registro del giudicato resta l'unico luogo dei nomi.</w:t>
      </w:r>
    </w:p>
    <w:p>
      <w:pPr>
        <w:pStyle w:val="Heading3"/>
        <w:spacing w:after="80" w:before="240"/>
      </w:pPr>
      <w:r>
        <w:rPr>
          <w:rFonts w:ascii="Barlow Semi Condensed" w:cs="Barlow Semi Condensed" w:eastAsia="Barlow Semi Condensed" w:hAnsi="Barlow Semi Condensed"/>
          <w:sz w:val="24"/>
          <w:szCs w:val="24"/>
        </w:rPr>
        <w:t xml:space="preserve">Apparato grafico — Libro ottavo · Le metodologie del Dossier, calcolate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ottavo · II: 2.457 parole in 9 sezioni; la più ampia è §5 4. L'analisi delle ipotesi concorrenti  sui n…, con 536.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ottavo · II: 30 paragrafi in 9 sezioni, 3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metriche calcolate sulla rete dei documenti (39 nodi, 59 archi): misurano documentazione, mai colpe.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Il registro giudiziario</w:t>
      </w:r>
    </w:p>
    <w:p>
      <w:pPr>
        <w:pStyle w:val="Heading2"/>
        <w:spacing w:after="100" w:before="200"/>
      </w:pPr>
      <w:r>
        <w:rPr>
          <w:rFonts w:ascii="Barlow Semi Condensed" w:cs="Barlow Semi Condensed" w:eastAsia="Barlow Semi Condensed" w:hAnsi="Barlow Semi Condensed"/>
          <w:sz w:val="24"/>
          <w:szCs w:val="24"/>
        </w:rPr>
        <w:t xml:space="preserve">Fase settima — Il registro giudiziario e il vaglio della Commissione Moro 2</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56-61</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 Fase settima.</w:t>
      </w:r>
      <w:r>
        <w:rPr>
          <w:rFonts w:ascii="Barlow Semi Condensed" w:cs="Barlow Semi Condensed" w:eastAsia="Barlow Semi Condensed" w:hAnsi="Barlow Semi Condensed"/>
          <w:i w:val="false"/>
          <w:iCs w:val="false"/>
          <w:sz w:val="24"/>
          <w:szCs w:val="24"/>
        </w:rPr>
        <w:t xml:space="preserve"> Le Parti precedenti hanno lavorato per temi (Parte terza, il dossier delle questioni aperte) e per metodo (Fase sesta, l'apparato dei gradi). Manca a questa architettura lo </w:t>
      </w:r>
      <w:r>
        <w:rPr>
          <w:rFonts w:ascii="Barlow Semi Condensed" w:cs="Barlow Semi Condensed" w:eastAsia="Barlow Semi Condensed" w:hAnsi="Barlow Semi Condensed"/>
          <w:b/>
          <w:bCs/>
          <w:i w:val="false"/>
          <w:iCs w:val="false"/>
          <w:sz w:val="24"/>
          <w:szCs w:val="24"/>
        </w:rPr>
        <w:t xml:space="preserve">strato che le regge entrambe da sotto</w:t>
      </w:r>
      <w:r>
        <w:rPr>
          <w:rFonts w:ascii="Barlow Semi Condensed" w:cs="Barlow Semi Condensed" w:eastAsia="Barlow Semi Condensed" w:hAnsi="Barlow Semi Condensed"/>
          <w:i w:val="false"/>
          <w:iCs w:val="false"/>
          <w:sz w:val="24"/>
          <w:szCs w:val="24"/>
        </w:rPr>
        <w:t xml:space="preserve">: quello </w:t>
      </w:r>
      <w:r>
        <w:rPr>
          <w:rFonts w:ascii="Barlow Semi Condensed" w:cs="Barlow Semi Condensed" w:eastAsia="Barlow Semi Condensed" w:hAnsi="Barlow Semi Condensed"/>
          <w:b/>
          <w:bCs/>
          <w:i w:val="false"/>
          <w:iCs w:val="false"/>
          <w:sz w:val="24"/>
          <w:szCs w:val="24"/>
        </w:rPr>
        <w:t xml:space="preserve">giudiziario e istruttorio</w:t>
      </w:r>
      <w:r>
        <w:rPr>
          <w:rFonts w:ascii="Barlow Semi Condensed" w:cs="Barlow Semi Condensed" w:eastAsia="Barlow Semi Condensed" w:hAnsi="Barlow Semi Condensed"/>
          <w:i w:val="false"/>
          <w:iCs w:val="false"/>
          <w:sz w:val="24"/>
          <w:szCs w:val="24"/>
        </w:rPr>
        <w:t xml:space="preserve">. Questa Fase lo aggiunge. Prende come spina i </w:t>
      </w:r>
      <w:r>
        <w:rPr>
          <w:rFonts w:ascii="Barlow Semi Condensed" w:cs="Barlow Semi Condensed" w:eastAsia="Barlow Semi Condensed" w:hAnsi="Barlow Semi Condensed"/>
          <w:b/>
          <w:bCs/>
          <w:i w:val="false"/>
          <w:iCs w:val="false"/>
          <w:sz w:val="24"/>
          <w:szCs w:val="24"/>
        </w:rPr>
        <w:t xml:space="preserve">cinque processi Moro</w:t>
      </w:r>
      <w:r>
        <w:rPr>
          <w:rFonts w:ascii="Barlow Semi Condensed" w:cs="Barlow Semi Condensed" w:eastAsia="Barlow Semi Condensed" w:hAnsi="Barlow Semi Condensed"/>
          <w:i w:val="false"/>
          <w:iCs w:val="false"/>
          <w:sz w:val="24"/>
          <w:szCs w:val="24"/>
        </w:rPr>
        <w:t xml:space="preserve"> e le </w:t>
      </w:r>
      <w:r>
        <w:rPr>
          <w:rFonts w:ascii="Barlow Semi Condensed" w:cs="Barlow Semi Condensed" w:eastAsia="Barlow Semi Condensed" w:hAnsi="Barlow Semi Condensed"/>
          <w:b/>
          <w:bCs/>
          <w:i w:val="false"/>
          <w:iCs w:val="false"/>
          <w:sz w:val="24"/>
          <w:szCs w:val="24"/>
        </w:rPr>
        <w:t xml:space="preserve">due Commissioni parlamentari d'inchiesta</w:t>
      </w:r>
      <w:r>
        <w:rPr>
          <w:rFonts w:ascii="Barlow Semi Condensed" w:cs="Barlow Semi Condensed" w:eastAsia="Barlow Semi Condensed" w:hAnsi="Barlow Semi Condensed"/>
          <w:i w:val="false"/>
          <w:iCs w:val="false"/>
          <w:sz w:val="24"/>
          <w:szCs w:val="24"/>
        </w:rPr>
        <w:t xml:space="preserve"> e stabilisce, per ciascuna delle questioni aperte già trattate, che cosa è </w:t>
      </w:r>
      <w:r>
        <w:rPr>
          <w:rFonts w:ascii="Barlow Semi Condensed" w:cs="Barlow Semi Condensed" w:eastAsia="Barlow Semi Condensed" w:hAnsi="Barlow Semi Condensed"/>
          <w:b/>
          <w:bCs/>
          <w:i w:val="false"/>
          <w:iCs w:val="false"/>
          <w:sz w:val="24"/>
          <w:szCs w:val="24"/>
        </w:rPr>
        <w:t xml:space="preserve">passato in giudicato</w:t>
      </w:r>
      <w:r>
        <w:rPr>
          <w:rFonts w:ascii="Barlow Semi Condensed" w:cs="Barlow Semi Condensed" w:eastAsia="Barlow Semi Condensed" w:hAnsi="Barlow Semi Condensed"/>
          <w:i w:val="false"/>
          <w:iCs w:val="false"/>
          <w:sz w:val="24"/>
          <w:szCs w:val="24"/>
        </w:rPr>
        <w:t xml:space="preserve"> (grado A, il più alto: fatto accertato con sentenza definitiva), che cosa è stato </w:t>
      </w:r>
      <w:r>
        <w:rPr>
          <w:rFonts w:ascii="Barlow Semi Condensed" w:cs="Barlow Semi Condensed" w:eastAsia="Barlow Semi Condensed" w:hAnsi="Barlow Semi Condensed"/>
          <w:b/>
          <w:bCs/>
          <w:i w:val="false"/>
          <w:iCs w:val="false"/>
          <w:sz w:val="24"/>
          <w:szCs w:val="24"/>
        </w:rPr>
        <w:t xml:space="preserve">accertato in sede parlamentare</w:t>
      </w:r>
      <w:r>
        <w:rPr>
          <w:rFonts w:ascii="Barlow Semi Condensed" w:cs="Barlow Semi Condensed" w:eastAsia="Barlow Semi Condensed" w:hAnsi="Barlow Semi Condensed"/>
          <w:i w:val="false"/>
          <w:iCs w:val="false"/>
          <w:sz w:val="24"/>
          <w:szCs w:val="24"/>
        </w:rPr>
        <w:t xml:space="preserve"> dalla Commissione Moro 2 (2014-2017) — che è documentazione seria ma </w:t>
      </w:r>
      <w:r>
        <w:rPr>
          <w:rFonts w:ascii="Barlow Semi Condensed" w:cs="Barlow Semi Condensed" w:eastAsia="Barlow Semi Condensed" w:hAnsi="Barlow Semi Condensed"/>
          <w:b/>
          <w:bCs/>
          <w:i w:val="false"/>
          <w:iCs w:val="false"/>
          <w:sz w:val="24"/>
          <w:szCs w:val="24"/>
        </w:rPr>
        <w:t xml:space="preserve">non giudiziaria</w:t>
      </w:r>
      <w:r>
        <w:rPr>
          <w:rFonts w:ascii="Barlow Semi Condensed" w:cs="Barlow Semi Condensed" w:eastAsia="Barlow Semi Condensed" w:hAnsi="Barlow Semi Condensed"/>
          <w:i w:val="false"/>
          <w:iCs w:val="false"/>
          <w:sz w:val="24"/>
          <w:szCs w:val="24"/>
        </w:rPr>
        <w:t xml:space="preserve">, e quindi grado B —, e che cosa resta </w:t>
      </w:r>
      <w:r>
        <w:rPr>
          <w:rFonts w:ascii="Barlow Semi Condensed" w:cs="Barlow Semi Condensed" w:eastAsia="Barlow Semi Condensed" w:hAnsi="Barlow Semi Condensed"/>
          <w:b/>
          <w:bCs/>
          <w:i w:val="false"/>
          <w:iCs w:val="false"/>
          <w:sz w:val="24"/>
          <w:szCs w:val="24"/>
        </w:rPr>
        <w:t xml:space="preserve">congettura</w:t>
      </w:r>
      <w:r>
        <w:rPr>
          <w:rFonts w:ascii="Barlow Semi Condensed" w:cs="Barlow Semi Condensed" w:eastAsia="Barlow Semi Condensed" w:hAnsi="Barlow Semi Condensed"/>
          <w:i w:val="false"/>
          <w:iCs w:val="false"/>
          <w:sz w:val="24"/>
          <w:szCs w:val="24"/>
        </w:rPr>
        <w:t xml:space="preserve"> (grado C).  Una distinzione governa ogni riga, ed è la stessa che governa tutto il corpus: </w:t>
      </w:r>
      <w:r>
        <w:rPr>
          <w:rFonts w:ascii="Barlow Semi Condensed" w:cs="Barlow Semi Condensed" w:eastAsia="Barlow Semi Condensed" w:hAnsi="Barlow Semi Condensed"/>
          <w:b/>
          <w:bCs/>
          <w:i w:val="false"/>
          <w:iCs w:val="false"/>
          <w:sz w:val="24"/>
          <w:szCs w:val="24"/>
        </w:rPr>
        <w:t xml:space="preserve">una Commissione parlamentare non è un tribunale.</w:t>
      </w:r>
      <w:r>
        <w:rPr>
          <w:rFonts w:ascii="Barlow Semi Condensed" w:cs="Barlow Semi Condensed" w:eastAsia="Barlow Semi Condensed" w:hAnsi="Barlow Semi Condensed"/>
          <w:i w:val="false"/>
          <w:iCs w:val="false"/>
          <w:sz w:val="24"/>
          <w:szCs w:val="24"/>
        </w:rPr>
        <w:t xml:space="preserve"> Accerta fatti sul piano storico-politico, non stabilisce responsabilità penali; le sue conclusioni pesano molto sul piano della verità storica e nulla sul piano dell'imputazione. Perciò qui, come sempre, </w:t>
      </w:r>
      <w:r>
        <w:rPr>
          <w:rFonts w:ascii="Barlow Semi Condensed" w:cs="Barlow Semi Condensed" w:eastAsia="Barlow Semi Condensed" w:hAnsi="Barlow Semi Condensed"/>
          <w:b/>
          <w:bCs/>
          <w:i w:val="false"/>
          <w:iCs w:val="false"/>
          <w:sz w:val="24"/>
          <w:szCs w:val="24"/>
        </w:rPr>
        <w:t xml:space="preserve">nessuno è nominato come responsabile al di là del giudicato</w:t>
      </w:r>
      <w:r>
        <w:rPr>
          <w:rFonts w:ascii="Barlow Semi Condensed" w:cs="Barlow Semi Condensed" w:eastAsia="Barlow Semi Condensed" w:hAnsi="Barlow Semi Condensed"/>
          <w:i w:val="false"/>
          <w:iCs w:val="false"/>
          <w:sz w:val="24"/>
          <w:szCs w:val="24"/>
        </w:rPr>
        <w:t xml:space="preserve">, e ciò che i brigatisti hanno ammesso o si sono visti attribuire da sentenza definitiva si cita come tale — perché è tale.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cinquantaseiesimo — I cinque processi Moro: la spina del giudicato</w:t>
      </w:r>
    </w:p>
    <w:p>
      <w:pPr>
        <w:spacing w:after="120" w:line="276"/>
        <w:jc w:val="both"/>
      </w:pPr>
      <w:r>
        <w:rPr>
          <w:rFonts w:ascii="Barlow Semi Condensed" w:cs="Barlow Semi Condensed" w:eastAsia="Barlow Semi Condensed" w:hAnsi="Barlow Semi Condensed"/>
          <w:sz w:val="24"/>
          <w:szCs w:val="24"/>
        </w:rPr>
        <w:t xml:space="preserve">Il caso Moro non ha avuto un processo, ne ha avuti </w:t>
      </w:r>
      <w:r>
        <w:rPr>
          <w:rFonts w:ascii="Barlow Semi Condensed" w:cs="Barlow Semi Condensed" w:eastAsia="Barlow Semi Condensed" w:hAnsi="Barlow Semi Condensed"/>
          <w:b/>
          <w:bCs/>
          <w:sz w:val="24"/>
          <w:szCs w:val="24"/>
        </w:rPr>
        <w:t xml:space="preserve">cinque</w:t>
      </w:r>
      <w:r>
        <w:rPr>
          <w:rFonts w:ascii="Barlow Semi Condensed" w:cs="Barlow Semi Condensed" w:eastAsia="Barlow Semi Condensed" w:hAnsi="Barlow Semi Condensed"/>
          <w:sz w:val="24"/>
          <w:szCs w:val="24"/>
        </w:rPr>
        <w:t xml:space="preserve">, celebrati nell'arco di vent'anni: Moro </w:t>
      </w:r>
      <w:r>
        <w:rPr>
          <w:rFonts w:ascii="Barlow Semi Condensed" w:cs="Barlow Semi Condensed" w:eastAsia="Barlow Semi Condensed" w:hAnsi="Barlow Semi Condensed"/>
          <w:b/>
          <w:bCs/>
          <w:sz w:val="24"/>
          <w:szCs w:val="24"/>
        </w:rPr>
        <w:t xml:space="preserve">uno</w:t>
      </w:r>
      <w:r>
        <w:rPr>
          <w:rFonts w:ascii="Barlow Semi Condensed" w:cs="Barlow Semi Condensed" w:eastAsia="Barlow Semi Condensed" w:hAnsi="Barlow Semi Condensed"/>
          <w:sz w:val="24"/>
          <w:szCs w:val="24"/>
        </w:rPr>
        <w:t xml:space="preserve"> (il grande processo alle Brigate Rosse, 1982-1983), Moro </w:t>
      </w:r>
      <w:r>
        <w:rPr>
          <w:rFonts w:ascii="Barlow Semi Condensed" w:cs="Barlow Semi Condensed" w:eastAsia="Barlow Semi Condensed" w:hAnsi="Barlow Semi Condensed"/>
          <w:b/>
          <w:bCs/>
          <w:sz w:val="24"/>
          <w:szCs w:val="24"/>
        </w:rPr>
        <w:t xml:space="preserve">bis</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ter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quater</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quinquies</w:t>
      </w:r>
      <w:r>
        <w:rPr>
          <w:rFonts w:ascii="Barlow Semi Condensed" w:cs="Barlow Semi Condensed" w:eastAsia="Barlow Semi Condensed" w:hAnsi="Barlow Semi Condensed"/>
          <w:sz w:val="24"/>
          <w:szCs w:val="24"/>
        </w:rPr>
        <w:t xml:space="preserve">. Questa stratificazione è essa stessa un dato: la verità giudiziaria del caso si è depositata </w:t>
      </w:r>
      <w:r>
        <w:rPr>
          <w:rFonts w:ascii="Barlow Semi Condensed" w:cs="Barlow Semi Condensed" w:eastAsia="Barlow Semi Condensed" w:hAnsi="Barlow Semi Condensed"/>
          <w:b/>
          <w:bCs/>
          <w:sz w:val="24"/>
          <w:szCs w:val="24"/>
        </w:rPr>
        <w:t xml:space="preserve">per sedimentazione</w:t>
      </w:r>
      <w:r>
        <w:rPr>
          <w:rFonts w:ascii="Barlow Semi Condensed" w:cs="Barlow Semi Condensed" w:eastAsia="Barlow Semi Condensed" w:hAnsi="Barlow Semi Condensed"/>
          <w:sz w:val="24"/>
          <w:szCs w:val="24"/>
        </w:rPr>
        <w:t xml:space="preserve">, non in un'unica sentenza, e ogni processo ha chiuso alcune questioni riaprendone altre.</w:t>
      </w:r>
    </w:p>
    <w:p>
      <w:pPr>
        <w:spacing w:after="120" w:line="276"/>
        <w:jc w:val="both"/>
      </w:pPr>
      <w:r>
        <w:rPr>
          <w:rFonts w:ascii="Barlow Semi Condensed" w:cs="Barlow Semi Condensed" w:eastAsia="Barlow Semi Condensed" w:hAnsi="Barlow Semi Condensed"/>
          <w:sz w:val="24"/>
          <w:szCs w:val="24"/>
        </w:rPr>
        <w:t xml:space="preserve">Ciò che i cinque processi hanno stabilito, in via definitiva e dunque </w:t>
      </w:r>
      <w:r>
        <w:rPr>
          <w:rFonts w:ascii="Barlow Semi Condensed" w:cs="Barlow Semi Condensed" w:eastAsia="Barlow Semi Condensed" w:hAnsi="Barlow Semi Condensed"/>
          <w:b/>
          <w:bCs/>
          <w:sz w:val="24"/>
          <w:szCs w:val="24"/>
        </w:rPr>
        <w:t xml:space="preserve">al grado A</w:t>
      </w:r>
      <w:r>
        <w:rPr>
          <w:rFonts w:ascii="Barlow Semi Condensed" w:cs="Barlow Semi Condensed" w:eastAsia="Barlow Semi Condensed" w:hAnsi="Barlow Semi Condensed"/>
          <w:sz w:val="24"/>
          <w:szCs w:val="24"/>
        </w:rPr>
        <w:t xml:space="preserve">, è l'ossatura fattuale del sequestro: che </w:t>
      </w:r>
      <w:r>
        <w:rPr>
          <w:rFonts w:ascii="Barlow Semi Condensed" w:cs="Barlow Semi Condensed" w:eastAsia="Barlow Semi Condensed" w:hAnsi="Barlow Semi Condensed"/>
          <w:b/>
          <w:bCs/>
          <w:sz w:val="24"/>
          <w:szCs w:val="24"/>
        </w:rPr>
        <w:t xml:space="preserve">le Brigate Rosse</w:t>
      </w:r>
      <w:r>
        <w:rPr>
          <w:rFonts w:ascii="Barlow Semi Condensed" w:cs="Barlow Semi Condensed" w:eastAsia="Barlow Semi Condensed" w:hAnsi="Barlow Semi Condensed"/>
          <w:sz w:val="24"/>
          <w:szCs w:val="24"/>
        </w:rPr>
        <w:t xml:space="preserve"> organizzarono ed eseguirono l'agguato di via Fani (16 marzo 1978), la prigionia e l'uccisione di Aldo Moro (9 maggio 1978); che </w:t>
      </w: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diresse l'operazione e — per sua stessa ammissione, poi recepita dal giudicato — fu l'esecutore materiale; che il commando di via Fani comprese, fra gli altri, </w:t>
      </w:r>
      <w:r>
        <w:rPr>
          <w:rFonts w:ascii="Barlow Semi Condensed" w:cs="Barlow Semi Condensed" w:eastAsia="Barlow Semi Condensed" w:hAnsi="Barlow Semi Condensed"/>
          <w:b/>
          <w:bCs/>
          <w:sz w:val="24"/>
          <w:szCs w:val="24"/>
        </w:rPr>
        <w:t xml:space="preserve">Valerio Morucci, Adriana Faranda, Raffaele Fiore, Prospero Gallinari, Franco Bonisoli, Barbara Balzerani</w:t>
      </w:r>
      <w:r>
        <w:rPr>
          <w:rFonts w:ascii="Barlow Semi Condensed" w:cs="Barlow Semi Condensed" w:eastAsia="Barlow Semi Condensed" w:hAnsi="Barlow Semi Condensed"/>
          <w:sz w:val="24"/>
          <w:szCs w:val="24"/>
        </w:rPr>
        <w:t xml:space="preserve">; che nel processo </w:t>
      </w:r>
      <w:r>
        <w:rPr>
          <w:rFonts w:ascii="Barlow Semi Condensed" w:cs="Barlow Semi Condensed" w:eastAsia="Barlow Semi Condensed" w:hAnsi="Barlow Semi Condensed"/>
          <w:b/>
          <w:bCs/>
          <w:sz w:val="24"/>
          <w:szCs w:val="24"/>
        </w:rPr>
        <w:t xml:space="preserve">Moro quater</w:t>
      </w:r>
      <w:r>
        <w:rPr>
          <w:rFonts w:ascii="Barlow Semi Condensed" w:cs="Barlow Semi Condensed" w:eastAsia="Barlow Semi Condensed" w:hAnsi="Barlow Semi Condensed"/>
          <w:sz w:val="24"/>
          <w:szCs w:val="24"/>
        </w:rPr>
        <w:t xml:space="preserve"> (primo grado 1994, Cassazione 14 maggio 1997) fu accertata la responsabilità di </w:t>
      </w:r>
      <w:r>
        <w:rPr>
          <w:rFonts w:ascii="Barlow Semi Condensed" w:cs="Barlow Semi Condensed" w:eastAsia="Barlow Semi Condensed" w:hAnsi="Barlow Semi Condensed"/>
          <w:b/>
          <w:bCs/>
          <w:sz w:val="24"/>
          <w:szCs w:val="24"/>
        </w:rPr>
        <w:t xml:space="preserve">Alvaro Lojacono</w:t>
      </w:r>
      <w:r>
        <w:rPr>
          <w:rFonts w:ascii="Barlow Semi Condensed" w:cs="Barlow Semi Condensed" w:eastAsia="Barlow Semi Condensed" w:hAnsi="Barlow Semi Condensed"/>
          <w:sz w:val="24"/>
          <w:szCs w:val="24"/>
        </w:rPr>
        <w:t xml:space="preserve"> per l'intero arco 16 marzo-9 maggio; che nel </w:t>
      </w:r>
      <w:r>
        <w:rPr>
          <w:rFonts w:ascii="Barlow Semi Condensed" w:cs="Barlow Semi Condensed" w:eastAsia="Barlow Semi Condensed" w:hAnsi="Barlow Semi Condensed"/>
          <w:b/>
          <w:bCs/>
          <w:sz w:val="24"/>
          <w:szCs w:val="24"/>
        </w:rPr>
        <w:t xml:space="preserve">Moro quinquies</w:t>
      </w:r>
      <w:r>
        <w:rPr>
          <w:rFonts w:ascii="Barlow Semi Condensed" w:cs="Barlow Semi Condensed" w:eastAsia="Barlow Semi Condensed" w:hAnsi="Barlow Semi Condensed"/>
          <w:sz w:val="24"/>
          <w:szCs w:val="24"/>
        </w:rPr>
        <w:t xml:space="preserve"> (primo grado 16 luglio 1996, definitivo 1999) fu accertata quella di </w:t>
      </w:r>
      <w:r>
        <w:rPr>
          <w:rFonts w:ascii="Barlow Semi Condensed" w:cs="Barlow Semi Condensed" w:eastAsia="Barlow Semi Condensed" w:hAnsi="Barlow Semi Condensed"/>
          <w:b/>
          <w:bCs/>
          <w:sz w:val="24"/>
          <w:szCs w:val="24"/>
        </w:rPr>
        <w:t xml:space="preserve">Germano Maccari</w:t>
      </w:r>
      <w:r>
        <w:rPr>
          <w:rFonts w:ascii="Barlow Semi Condensed" w:cs="Barlow Semi Condensed" w:eastAsia="Barlow Semi Condensed" w:hAnsi="Barlow Semi Condensed"/>
          <w:sz w:val="24"/>
          <w:szCs w:val="24"/>
        </w:rPr>
        <w:t xml:space="preserve"> — il «quarto uomo» del covo di via Montalcini — e di Raimondo Etro (Questione Giustizia, «Il caso Moro. Per un'analisi delle sentenze» (https://www.questionegiustizia.it/articolo/il-caso-moro-per-un-analisi-delle-sentenze-parte-prima); Wikipedia, </w:t>
      </w:r>
      <w:r>
        <w:rPr>
          <w:rFonts w:ascii="Barlow Semi Condensed" w:cs="Barlow Semi Condensed" w:eastAsia="Barlow Semi Condensed" w:hAnsi="Barlow Semi Condensed"/>
          <w:i/>
          <w:iCs/>
          <w:sz w:val="24"/>
          <w:szCs w:val="24"/>
        </w:rPr>
        <w:t xml:space="preserve">Caso Moro</w:t>
      </w:r>
      <w:r>
        <w:rPr>
          <w:rFonts w:ascii="Barlow Semi Condensed" w:cs="Barlow Semi Condensed" w:eastAsia="Barlow Semi Condensed" w:hAnsi="Barlow Semi Condensed"/>
          <w:sz w:val="24"/>
          <w:szCs w:val="24"/>
        </w:rPr>
        <w:t xml:space="preserve"> (https://it.wikipedia.org/wiki/Caso_Moro)).</w:t>
      </w:r>
    </w:p>
    <w:p>
      <w:pPr>
        <w:spacing w:after="120" w:line="276"/>
        <w:jc w:val="both"/>
      </w:pPr>
      <w:r>
        <w:rPr>
          <w:rFonts w:ascii="Barlow Semi Condensed" w:cs="Barlow Semi Condensed" w:eastAsia="Barlow Semi Condensed" w:hAnsi="Barlow Semi Condensed"/>
          <w:sz w:val="24"/>
          <w:szCs w:val="24"/>
        </w:rPr>
        <w:t xml:space="preserve">Questo è il </w:t>
      </w:r>
      <w:r>
        <w:rPr>
          <w:rFonts w:ascii="Barlow Semi Condensed" w:cs="Barlow Semi Condensed" w:eastAsia="Barlow Semi Condensed" w:hAnsi="Barlow Semi Condensed"/>
          <w:b/>
          <w:bCs/>
          <w:sz w:val="24"/>
          <w:szCs w:val="24"/>
        </w:rPr>
        <w:t xml:space="preserve">pavimento</w:t>
      </w:r>
      <w:r>
        <w:rPr>
          <w:rFonts w:ascii="Barlow Semi Condensed" w:cs="Barlow Semi Condensed" w:eastAsia="Barlow Semi Condensed" w:hAnsi="Barlow Semi Condensed"/>
          <w:sz w:val="24"/>
          <w:szCs w:val="24"/>
        </w:rPr>
        <w:t xml:space="preserve"> del caso: sotto questa soglia non si scende, perché è giudicato. Chi voglia sostenere qualcosa di diverso da ciò che i cinque processi hanno accertato deve portare prove almeno pari a quelle su cui quelle sentenze si fondano. È la prima applicazione della disciplina della Fase sesta: </w:t>
      </w:r>
      <w:r>
        <w:rPr>
          <w:rFonts w:ascii="Barlow Semi Condensed" w:cs="Barlow Semi Condensed" w:eastAsia="Barlow Semi Condensed" w:hAnsi="Barlow Semi Condensed"/>
          <w:b/>
          <w:bCs/>
          <w:sz w:val="24"/>
          <w:szCs w:val="24"/>
        </w:rPr>
        <w:t xml:space="preserve">il giudicato è il punto d'appoggio, non un'opinione fra le altre.</w:t>
      </w:r>
    </w:p>
    <w:p>
      <w:pPr>
        <w:pStyle w:val="Heading1"/>
        <w:spacing w:after="120" w:before="240"/>
      </w:pPr>
      <w:r>
        <w:rPr>
          <w:rFonts w:ascii="Barlow Semi Condensed" w:cs="Barlow Semi Condensed" w:eastAsia="Barlow Semi Condensed" w:hAnsi="Barlow Semi Condensed"/>
          <w:sz w:val="24"/>
          <w:szCs w:val="24"/>
        </w:rPr>
        <w:t xml:space="preserve">Capitolo cinquantasettesimo — Le due Commissioni: che cosa aggiunge un'inchiesta parlamentare, e con che peso</w:t>
      </w:r>
    </w:p>
    <w:p>
      <w:pPr>
        <w:spacing w:after="120" w:line="276"/>
        <w:jc w:val="both"/>
      </w:pPr>
      <w:r>
        <w:rPr>
          <w:rFonts w:ascii="Barlow Semi Condensed" w:cs="Barlow Semi Condensed" w:eastAsia="Barlow Semi Condensed" w:hAnsi="Barlow Semi Condensed"/>
          <w:sz w:val="24"/>
          <w:szCs w:val="24"/>
        </w:rPr>
        <w:t xml:space="preserve">Accanto ai processi corrono due </w:t>
      </w:r>
      <w:r>
        <w:rPr>
          <w:rFonts w:ascii="Barlow Semi Condensed" w:cs="Barlow Semi Condensed" w:eastAsia="Barlow Semi Condensed" w:hAnsi="Barlow Semi Condensed"/>
          <w:b/>
          <w:bCs/>
          <w:sz w:val="24"/>
          <w:szCs w:val="24"/>
        </w:rPr>
        <w:t xml:space="preserve">Commissioni parlamentari d'inchiesta</w:t>
      </w:r>
      <w:r>
        <w:rPr>
          <w:rFonts w:ascii="Barlow Semi Condensed" w:cs="Barlow Semi Condensed" w:eastAsia="Barlow Semi Condensed" w:hAnsi="Barlow Semi Condensed"/>
          <w:sz w:val="24"/>
          <w:szCs w:val="24"/>
        </w:rPr>
        <w:t xml:space="preserve">: la prima (1979-1983, la «Commissione Moro» propriamente detta, poi confluita nella Commissione Stragi) e la seconda, la </w:t>
      </w:r>
      <w:r>
        <w:rPr>
          <w:rFonts w:ascii="Barlow Semi Condensed" w:cs="Barlow Semi Condensed" w:eastAsia="Barlow Semi Condensed" w:hAnsi="Barlow Semi Condensed"/>
          <w:b/>
          <w:bCs/>
          <w:sz w:val="24"/>
          <w:szCs w:val="24"/>
        </w:rPr>
        <w:t xml:space="preserve">Commissione Moro 2</w:t>
      </w:r>
      <w:r>
        <w:rPr>
          <w:rFonts w:ascii="Barlow Semi Condensed" w:cs="Barlow Semi Condensed" w:eastAsia="Barlow Semi Condensed" w:hAnsi="Barlow Semi Condensed"/>
          <w:sz w:val="24"/>
          <w:szCs w:val="24"/>
        </w:rPr>
        <w:t xml:space="preserve">, istituita con la </w:t>
      </w:r>
      <w:r>
        <w:rPr>
          <w:rFonts w:ascii="Barlow Semi Condensed" w:cs="Barlow Semi Condensed" w:eastAsia="Barlow Semi Condensed" w:hAnsi="Barlow Semi Condensed"/>
          <w:b/>
          <w:bCs/>
          <w:sz w:val="24"/>
          <w:szCs w:val="24"/>
        </w:rPr>
        <w:t xml:space="preserve">legge 30 maggio 2014, n. 82</w:t>
      </w:r>
      <w:r>
        <w:rPr>
          <w:rFonts w:ascii="Barlow Semi Condensed" w:cs="Barlow Semi Condensed" w:eastAsia="Barlow Semi Condensed" w:hAnsi="Barlow Semi Condensed"/>
          <w:sz w:val="24"/>
          <w:szCs w:val="24"/>
        </w:rPr>
        <w:t xml:space="preserve">, costituita il 2 ottobre 2014 sotto la presidenza di </w:t>
      </w:r>
      <w:r>
        <w:rPr>
          <w:rFonts w:ascii="Barlow Semi Condensed" w:cs="Barlow Semi Condensed" w:eastAsia="Barlow Semi Condensed" w:hAnsi="Barlow Semi Condensed"/>
          <w:b/>
          <w:bCs/>
          <w:sz w:val="24"/>
          <w:szCs w:val="24"/>
        </w:rPr>
        <w:t xml:space="preserve">Giuseppe Fioroni</w:t>
      </w:r>
      <w:r>
        <w:rPr>
          <w:rFonts w:ascii="Barlow Semi Condensed" w:cs="Barlow Semi Condensed" w:eastAsia="Barlow Semi Condensed" w:hAnsi="Barlow Semi Condensed"/>
          <w:sz w:val="24"/>
          <w:szCs w:val="24"/>
        </w:rPr>
        <w:t xml:space="preserve">, e conclusa con la relazione finale (Doc. XXIII, n. 29) approvata il </w:t>
      </w:r>
      <w:r>
        <w:rPr>
          <w:rFonts w:ascii="Barlow Semi Condensed" w:cs="Barlow Semi Condensed" w:eastAsia="Barlow Semi Condensed" w:hAnsi="Barlow Semi Condensed"/>
          <w:b/>
          <w:bCs/>
          <w:sz w:val="24"/>
          <w:szCs w:val="24"/>
        </w:rPr>
        <w:t xml:space="preserve">6 dicembre 2017</w:t>
      </w:r>
      <w:r>
        <w:rPr>
          <w:rFonts w:ascii="Barlow Semi Condensed" w:cs="Barlow Semi Condensed" w:eastAsia="Barlow Semi Condensed" w:hAnsi="Barlow Semi Condensed"/>
          <w:sz w:val="24"/>
          <w:szCs w:val="24"/>
        </w:rPr>
        <w:t xml:space="preserve"> (Archivio storico della Camera (https://archivio.camera.it/patrimonio/main-page/commissione-parlamentare-inchiesta-sul-rapimento-e-sulla-morte-aldo-moro-2014-2018); inchieste.camera.it/moro (https://inchieste.camera.it/moro/home.html?leg=17&amp;legLabel=XVII+legislatura)).</w:t>
      </w:r>
    </w:p>
    <w:p>
      <w:pPr>
        <w:spacing w:after="120" w:line="276"/>
        <w:jc w:val="both"/>
      </w:pPr>
      <w:r>
        <w:rPr>
          <w:rFonts w:ascii="Barlow Semi Condensed" w:cs="Barlow Semi Condensed" w:eastAsia="Barlow Semi Condensed" w:hAnsi="Barlow Semi Condensed"/>
          <w:sz w:val="24"/>
          <w:szCs w:val="24"/>
        </w:rPr>
        <w:t xml:space="preserve">Il peso probatorio di una Commissione va enunciato con esattezza, perché è la chiave di tutta la Fase. Una Commissione d'inchiesta ha, per Costituzione (art. 82), «gli stessi poteri e le stesse limitazioni dell'autorità giudiziaria» quanto agli </w:t>
      </w:r>
      <w:r>
        <w:rPr>
          <w:rFonts w:ascii="Barlow Semi Condensed" w:cs="Barlow Semi Condensed" w:eastAsia="Barlow Semi Condensed" w:hAnsi="Barlow Semi Condensed"/>
          <w:b/>
          <w:bCs/>
          <w:sz w:val="24"/>
          <w:szCs w:val="24"/>
        </w:rPr>
        <w:t xml:space="preserve">strumenti</w:t>
      </w:r>
      <w:r>
        <w:rPr>
          <w:rFonts w:ascii="Barlow Semi Condensed" w:cs="Barlow Semi Condensed" w:eastAsia="Barlow Semi Condensed" w:hAnsi="Barlow Semi Condensed"/>
          <w:sz w:val="24"/>
          <w:szCs w:val="24"/>
        </w:rPr>
        <w:t xml:space="preserve"> — può convocare, acquisire, disporre perizie —, ma </w:t>
      </w:r>
      <w:r>
        <w:rPr>
          <w:rFonts w:ascii="Barlow Semi Condensed" w:cs="Barlow Semi Condensed" w:eastAsia="Barlow Semi Condensed" w:hAnsi="Barlow Semi Condensed"/>
          <w:b/>
          <w:bCs/>
          <w:sz w:val="24"/>
          <w:szCs w:val="24"/>
        </w:rPr>
        <w:t xml:space="preserve">non ha la funzione del giudice</w:t>
      </w:r>
      <w:r>
        <w:rPr>
          <w:rFonts w:ascii="Barlow Semi Condensed" w:cs="Barlow Semi Condensed" w:eastAsia="Barlow Semi Condensed" w:hAnsi="Barlow Semi Condensed"/>
          <w:sz w:val="24"/>
          <w:szCs w:val="24"/>
        </w:rPr>
        <w:t xml:space="preserve">: non emette sentenze, non accerta responsabilità penali, non condanna né assolve. Ciò che produce è una </w:t>
      </w:r>
      <w:r>
        <w:rPr>
          <w:rFonts w:ascii="Barlow Semi Condensed" w:cs="Barlow Semi Condensed" w:eastAsia="Barlow Semi Condensed" w:hAnsi="Barlow Semi Condensed"/>
          <w:b/>
          <w:bCs/>
          <w:sz w:val="24"/>
          <w:szCs w:val="24"/>
        </w:rPr>
        <w:t xml:space="preserve">verità storico-politica documentata</w:t>
      </w:r>
      <w:r>
        <w:rPr>
          <w:rFonts w:ascii="Barlow Semi Condensed" w:cs="Barlow Semi Condensed" w:eastAsia="Barlow Semi Condensed" w:hAnsi="Barlow Semi Condensed"/>
          <w:sz w:val="24"/>
          <w:szCs w:val="24"/>
        </w:rPr>
        <w:t xml:space="preserve">, di grande autorità e di nessun effetto penale. Nel nostro apparato dei gradi essa occupa perciò un livello preciso: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 più della congettura, meno del giudicato. I suoi accertamenti si citano come «la Commissione ha documentato che…», mai come «è provato in giudizio che…».</w:t>
      </w:r>
    </w:p>
    <w:p>
      <w:pPr>
        <w:spacing w:after="120" w:line="276"/>
        <w:jc w:val="both"/>
      </w:pPr>
      <w:r>
        <w:rPr>
          <w:rFonts w:ascii="Barlow Semi Condensed" w:cs="Barlow Semi Condensed" w:eastAsia="Barlow Semi Condensed" w:hAnsi="Barlow Semi Condensed"/>
          <w:sz w:val="24"/>
          <w:szCs w:val="24"/>
        </w:rPr>
        <w:t xml:space="preserve">La Commissione Moro 2 ha approvato </w:t>
      </w:r>
      <w:r>
        <w:rPr>
          <w:rFonts w:ascii="Barlow Semi Condensed" w:cs="Barlow Semi Condensed" w:eastAsia="Barlow Semi Condensed" w:hAnsi="Barlow Semi Condensed"/>
          <w:b/>
          <w:bCs/>
          <w:sz w:val="24"/>
          <w:szCs w:val="24"/>
        </w:rPr>
        <w:t xml:space="preserve">tre relazioni</w:t>
      </w:r>
      <w:r>
        <w:rPr>
          <w:rFonts w:ascii="Barlow Semi Condensed" w:cs="Barlow Semi Condensed" w:eastAsia="Barlow Semi Condensed" w:hAnsi="Barlow Semi Condensed"/>
          <w:sz w:val="24"/>
          <w:szCs w:val="24"/>
        </w:rPr>
        <w:t xml:space="preserve">; la sua eredità non è una nuova verità sostitutiva di quella dei processi, ma un </w:t>
      </w:r>
      <w:r>
        <w:rPr>
          <w:rFonts w:ascii="Barlow Semi Condensed" w:cs="Barlow Semi Condensed" w:eastAsia="Barlow Semi Condensed" w:hAnsi="Barlow Semi Condensed"/>
          <w:b/>
          <w:bCs/>
          <w:sz w:val="24"/>
          <w:szCs w:val="24"/>
        </w:rPr>
        <w:t xml:space="preserve">fascio di accertamenti puntuali</w:t>
      </w:r>
      <w:r>
        <w:rPr>
          <w:rFonts w:ascii="Barlow Semi Condensed" w:cs="Barlow Semi Condensed" w:eastAsia="Barlow Semi Condensed" w:hAnsi="Barlow Semi Condensed"/>
          <w:sz w:val="24"/>
          <w:szCs w:val="24"/>
        </w:rPr>
        <w:t xml:space="preserve"> che riaprono, su base documentale, alcuni dei nodi che la Parte terza aveva lasciati aperti. I capitoli seguenti li recepiscono uno per uno, con il loro grado.</w:t>
      </w:r>
    </w:p>
    <w:p>
      <w:pPr>
        <w:pStyle w:val="Heading1"/>
        <w:spacing w:after="120" w:before="240"/>
      </w:pPr>
      <w:r>
        <w:rPr>
          <w:rFonts w:ascii="Barlow Semi Condensed" w:cs="Barlow Semi Condensed" w:eastAsia="Barlow Semi Condensed" w:hAnsi="Barlow Semi Condensed"/>
          <w:sz w:val="24"/>
          <w:szCs w:val="24"/>
        </w:rPr>
        <w:t xml:space="preserve">Capitolo cinquantottesimo — Via Fani rivisitata: le due moto, i quattro «centauri», i testimoni mai sentiti</w:t>
      </w:r>
    </w:p>
    <w:p>
      <w:pPr>
        <w:spacing w:after="120" w:line="276"/>
        <w:jc w:val="both"/>
      </w:pPr>
      <w:r>
        <w:rPr>
          <w:rFonts w:ascii="Barlow Semi Condensed" w:cs="Barlow Semi Condensed" w:eastAsia="Barlow Semi Condensed" w:hAnsi="Barlow Semi Condensed"/>
          <w:sz w:val="24"/>
          <w:szCs w:val="24"/>
        </w:rPr>
        <w:t xml:space="preserve">La Parte terza (cap. III) aveva registrato, sulla dinamica di via Fani, uno scarto fra la ricostruzione processuale e le testimonianze superstiti. La Commissione Moro 2 ha lavorato </w:t>
      </w:r>
      <w:r>
        <w:rPr>
          <w:rFonts w:ascii="Barlow Semi Condensed" w:cs="Barlow Semi Condensed" w:eastAsia="Barlow Semi Condensed" w:hAnsi="Barlow Semi Condensed"/>
          <w:b/>
          <w:bCs/>
          <w:sz w:val="24"/>
          <w:szCs w:val="24"/>
        </w:rPr>
        <w:t xml:space="preserve">proprio su questo scarto</w:t>
      </w:r>
      <w:r>
        <w:rPr>
          <w:rFonts w:ascii="Barlow Semi Condensed" w:cs="Barlow Semi Condensed" w:eastAsia="Barlow Semi Condensed" w:hAnsi="Barlow Semi Condensed"/>
          <w:sz w:val="24"/>
          <w:szCs w:val="24"/>
        </w:rPr>
        <w:t xml:space="preserve">, e i suoi accertamenti vanno collocati con precisione al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Commissione ha ritenuto </w:t>
      </w:r>
      <w:r>
        <w:rPr>
          <w:rFonts w:ascii="Barlow Semi Condensed" w:cs="Barlow Semi Condensed" w:eastAsia="Barlow Semi Condensed" w:hAnsi="Barlow Semi Condensed"/>
          <w:b/>
          <w:bCs/>
          <w:sz w:val="24"/>
          <w:szCs w:val="24"/>
        </w:rPr>
        <w:t xml:space="preserve">da approfondire la presenza di due motociclette</w:t>
      </w:r>
      <w:r>
        <w:rPr>
          <w:rFonts w:ascii="Barlow Semi Condensed" w:cs="Barlow Semi Condensed" w:eastAsia="Barlow Semi Condensed" w:hAnsi="Barlow Semi Condensed"/>
          <w:sz w:val="24"/>
          <w:szCs w:val="24"/>
        </w:rPr>
        <w:t xml:space="preserve"> in via Fani — non una — con un totale di </w:t>
      </w:r>
      <w:r>
        <w:rPr>
          <w:rFonts w:ascii="Barlow Semi Condensed" w:cs="Barlow Semi Condensed" w:eastAsia="Barlow Semi Condensed" w:hAnsi="Barlow Semi Condensed"/>
          <w:b/>
          <w:bCs/>
          <w:sz w:val="24"/>
          <w:szCs w:val="24"/>
        </w:rPr>
        <w:t xml:space="preserve">quattro persone</w:t>
      </w:r>
      <w:r>
        <w:rPr>
          <w:rFonts w:ascii="Barlow Semi Condensed" w:cs="Barlow Semi Condensed" w:eastAsia="Barlow Semi Condensed" w:hAnsi="Barlow Semi Condensed"/>
          <w:sz w:val="24"/>
          <w:szCs w:val="24"/>
        </w:rPr>
        <w:t xml:space="preserve"> a bordo («centauri»): una moto nella parte alta della via, in fuga verso via Stresa, l'altra attardatasi sul luogo dell'agguato (Il Messaggero, «In via Fani due moto» (https://www.ilmessaggero.it/primo_piano/cronaca/caso_moro_commissione_via_fani_moto_indagini_sui_4_centauri-1401478.html)). Ha inoltre </w:t>
      </w:r>
      <w:r>
        <w:rPr>
          <w:rFonts w:ascii="Barlow Semi Condensed" w:cs="Barlow Semi Condensed" w:eastAsia="Barlow Semi Condensed" w:hAnsi="Barlow Semi Condensed"/>
          <w:b/>
          <w:bCs/>
          <w:sz w:val="24"/>
          <w:szCs w:val="24"/>
        </w:rPr>
        <w:t xml:space="preserve">audito due testimoni oculari mai sentiti prima</w:t>
      </w:r>
      <w:r>
        <w:rPr>
          <w:rFonts w:ascii="Barlow Semi Condensed" w:cs="Barlow Semi Condensed" w:eastAsia="Barlow Semi Condensed" w:hAnsi="Barlow Semi Condensed"/>
          <w:sz w:val="24"/>
          <w:szCs w:val="24"/>
        </w:rPr>
        <w:t xml:space="preserve"> in quarant'anni: </w:t>
      </w:r>
      <w:r>
        <w:rPr>
          <w:rFonts w:ascii="Barlow Semi Condensed" w:cs="Barlow Semi Condensed" w:eastAsia="Barlow Semi Condensed" w:hAnsi="Barlow Semi Condensed"/>
          <w:b/>
          <w:bCs/>
          <w:sz w:val="24"/>
          <w:szCs w:val="24"/>
        </w:rPr>
        <w:t xml:space="preserve">Giovanni De Chiara</w:t>
      </w:r>
      <w:r>
        <w:rPr>
          <w:rFonts w:ascii="Barlow Semi Condensed" w:cs="Barlow Semi Condensed" w:eastAsia="Barlow Semi Condensed" w:hAnsi="Barlow Semi Condensed"/>
          <w:sz w:val="24"/>
          <w:szCs w:val="24"/>
        </w:rPr>
        <w:t xml:space="preserve">, residente in via Fani 106, e l'ingegner </w:t>
      </w:r>
      <w:r>
        <w:rPr>
          <w:rFonts w:ascii="Barlow Semi Condensed" w:cs="Barlow Semi Condensed" w:eastAsia="Barlow Semi Condensed" w:hAnsi="Barlow Semi Condensed"/>
          <w:b/>
          <w:bCs/>
          <w:sz w:val="24"/>
          <w:szCs w:val="24"/>
        </w:rPr>
        <w:t xml:space="preserve">Alessandro Marini</w:t>
      </w:r>
      <w:r>
        <w:rPr>
          <w:rFonts w:ascii="Barlow Semi Condensed" w:cs="Barlow Semi Condensed" w:eastAsia="Barlow Semi Condensed" w:hAnsi="Barlow Semi Condensed"/>
          <w:sz w:val="24"/>
          <w:szCs w:val="24"/>
        </w:rPr>
        <w:t xml:space="preserve">, che riferì di una </w:t>
      </w:r>
      <w:r>
        <w:rPr>
          <w:rFonts w:ascii="Barlow Semi Condensed" w:cs="Barlow Semi Condensed" w:eastAsia="Barlow Semi Condensed" w:hAnsi="Barlow Semi Condensed"/>
          <w:b/>
          <w:bCs/>
          <w:sz w:val="24"/>
          <w:szCs w:val="24"/>
        </w:rPr>
        <w:t xml:space="preserve">motocicletta Honda</w:t>
      </w:r>
      <w:r>
        <w:rPr>
          <w:rFonts w:ascii="Barlow Semi Condensed" w:cs="Barlow Semi Condensed" w:eastAsia="Barlow Semi Condensed" w:hAnsi="Barlow Semi Condensed"/>
          <w:sz w:val="24"/>
          <w:szCs w:val="24"/>
        </w:rPr>
        <w:t xml:space="preserve"> e di colpi esplosi nella sua direzione (relazione Moro 2, sintesi stampa (https://www.ilfattoquotidiano.it/2017/12/12/commissione-moro-cio-che-abbiamo-saputo-finora-e-una-verita-dicibile-servi-chiudere-la-stagione-del-terrorismo/4033574/)).</w:t>
      </w:r>
    </w:p>
    <w:p>
      <w:pPr>
        <w:spacing w:after="120" w:line="276"/>
        <w:jc w:val="both"/>
      </w:pPr>
      <w:r>
        <w:rPr>
          <w:rFonts w:ascii="Barlow Semi Condensed" w:cs="Barlow Semi Condensed" w:eastAsia="Barlow Semi Condensed" w:hAnsi="Barlow Semi Condensed"/>
          <w:sz w:val="24"/>
          <w:szCs w:val="24"/>
        </w:rPr>
        <w:t xml:space="preserve">Il grado di queste acquisizioni va tenuto fermo, in entrambe le direzioni. </w:t>
      </w:r>
      <w:r>
        <w:rPr>
          <w:rFonts w:ascii="Barlow Semi Condensed" w:cs="Barlow Semi Condensed" w:eastAsia="Barlow Semi Condensed" w:hAnsi="Barlow Semi Condensed"/>
          <w:b/>
          <w:bCs/>
          <w:sz w:val="24"/>
          <w:szCs w:val="24"/>
        </w:rPr>
        <w:t xml:space="preserve">Non è giudicato</w:t>
      </w:r>
      <w:r>
        <w:rPr>
          <w:rFonts w:ascii="Barlow Semi Condensed" w:cs="Barlow Semi Condensed" w:eastAsia="Barlow Semi Condensed" w:hAnsi="Barlow Semi Condensed"/>
          <w:sz w:val="24"/>
          <w:szCs w:val="24"/>
        </w:rPr>
        <w:t xml:space="preserve">: nessuna sentenza ha stabilito che a via Fani vi fossero due moto e quattro centauri estranei al commando BR accertato, e la Commissione stessa parla di elementi «da approfondire», non di fatti provati. </w:t>
      </w:r>
      <w:r>
        <w:rPr>
          <w:rFonts w:ascii="Barlow Semi Condensed" w:cs="Barlow Semi Condensed" w:eastAsia="Barlow Semi Condensed" w:hAnsi="Barlow Semi Condensed"/>
          <w:b/>
          <w:bCs/>
          <w:sz w:val="24"/>
          <w:szCs w:val="24"/>
        </w:rPr>
        <w:t xml:space="preserve">Ma non è neppure fantasia</w:t>
      </w:r>
      <w:r>
        <w:rPr>
          <w:rFonts w:ascii="Barlow Semi Condensed" w:cs="Barlow Semi Condensed" w:eastAsia="Barlow Semi Condensed" w:hAnsi="Barlow Semi Condensed"/>
          <w:sz w:val="24"/>
          <w:szCs w:val="24"/>
        </w:rPr>
        <w:t xml:space="preserve">: sono testimonianze oculari raccolte da un organo dello Stato sotto giuramento, e la loro esistenza è essa stessa un fatto. Il criterio di smentita, coerentemente, è preciso: la ricostruzione delle «due moto» cadrebbe se una perizia balistica o una testimonianza dirimente riconducesse tutti i colpi e tutti i mezzi al commando già giudicato. Finché ciò non avviene, </w:t>
      </w:r>
      <w:r>
        <w:rPr>
          <w:rFonts w:ascii="Barlow Semi Condensed" w:cs="Barlow Semi Condensed" w:eastAsia="Barlow Semi Condensed" w:hAnsi="Barlow Semi Condensed"/>
          <w:b/>
          <w:bCs/>
          <w:sz w:val="24"/>
          <w:szCs w:val="24"/>
        </w:rPr>
        <w:t xml:space="preserve">la questione è aperta al grado B</w:t>
      </w:r>
      <w:r>
        <w:rPr>
          <w:rFonts w:ascii="Barlow Semi Condensed" w:cs="Barlow Semi Condensed" w:eastAsia="Barlow Semi Condensed" w:hAnsi="Barlow Semi Condensed"/>
          <w:sz w:val="24"/>
          <w:szCs w:val="24"/>
        </w:rPr>
        <w:t xml:space="preserve">: documentata come acquisizione parlamentare, non promossa a verità processuale. È esattamente ciò che la disciplina impone — né il silenzio scettico, né il salto dietrologico.</w:t>
      </w:r>
    </w:p>
    <w:p>
      <w:pPr>
        <w:pStyle w:val="Heading1"/>
        <w:spacing w:after="120" w:before="240"/>
      </w:pPr>
      <w:r>
        <w:rPr>
          <w:rFonts w:ascii="Barlow Semi Condensed" w:cs="Barlow Semi Condensed" w:eastAsia="Barlow Semi Condensed" w:hAnsi="Barlow Semi Condensed"/>
          <w:sz w:val="24"/>
          <w:szCs w:val="24"/>
        </w:rPr>
        <w:t xml:space="preserve">Capitolo cinquantanovesimo — Il Memoriale Morucci e la «verità dicibile»: la Commissione fa propria la formula del corpus</w:t>
      </w:r>
    </w:p>
    <w:p>
      <w:pPr>
        <w:spacing w:after="120" w:line="276"/>
        <w:jc w:val="both"/>
      </w:pPr>
      <w:r>
        <w:rPr>
          <w:rFonts w:ascii="Barlow Semi Condensed" w:cs="Barlow Semi Condensed" w:eastAsia="Barlow Semi Condensed" w:hAnsi="Barlow Semi Condensed"/>
          <w:sz w:val="24"/>
          <w:szCs w:val="24"/>
        </w:rPr>
        <w:t xml:space="preserve">La Parte terza (cap. X) aveva usato l'espressione «verità dicibile» come chiave critica: ciò che di un caso può essere reso pubblico senza scardinare gli equilibri che quel caso aveva minacciato. La Fase settima registra un fatto notevole: </w:t>
      </w:r>
      <w:r>
        <w:rPr>
          <w:rFonts w:ascii="Barlow Semi Condensed" w:cs="Barlow Semi Condensed" w:eastAsia="Barlow Semi Condensed" w:hAnsi="Barlow Semi Condensed"/>
          <w:b/>
          <w:bCs/>
          <w:sz w:val="24"/>
          <w:szCs w:val="24"/>
        </w:rPr>
        <w:t xml:space="preserve">quella formula non è del corpus, è della Commissione stessa.</w:t>
      </w:r>
      <w:r>
        <w:rPr>
          <w:rFonts w:ascii="Barlow Semi Condensed" w:cs="Barlow Semi Condensed" w:eastAsia="Barlow Semi Condensed" w:hAnsi="Barlow Semi Condensed"/>
          <w:sz w:val="24"/>
          <w:szCs w:val="24"/>
        </w:rPr>
        <w:t xml:space="preserve"> Nella presentazione della relazione, la Commissione Moro 2 ha qualificato quanto si era saputo fino ad allora come una «</w:t>
      </w:r>
      <w:r>
        <w:rPr>
          <w:rFonts w:ascii="Barlow Semi Condensed" w:cs="Barlow Semi Condensed" w:eastAsia="Barlow Semi Condensed" w:hAnsi="Barlow Semi Condensed"/>
          <w:b/>
          <w:bCs/>
          <w:sz w:val="24"/>
          <w:szCs w:val="24"/>
        </w:rPr>
        <w:t xml:space="preserve">verità dicibile</w:t>
      </w:r>
      <w:r>
        <w:rPr>
          <w:rFonts w:ascii="Barlow Semi Condensed" w:cs="Barlow Semi Condensed" w:eastAsia="Barlow Semi Condensed" w:hAnsi="Barlow Semi Condensed"/>
          <w:sz w:val="24"/>
          <w:szCs w:val="24"/>
        </w:rPr>
        <w:t xml:space="preserve">», che «servì a chiudere la stagione del terrorismo» (Il Fatto Quotidiano, 12 dicembre 2017 (https://www.ilfattoquotidiano.it/2017/12/12/commissione-moro-cio-che-abbiamo-saputo-finora-e-una-verita-dicibile-servi-chiudere-la-stagione-del-terrorismo/4033574/)). Che un organo parlamentare adoperi quel lessico è, di per sé, un dato di grado B sulla natura della verità disponibile.</w:t>
      </w:r>
    </w:p>
    <w:p>
      <w:pPr>
        <w:spacing w:after="120" w:line="276"/>
        <w:jc w:val="both"/>
      </w:pPr>
      <w:r>
        <w:rPr>
          <w:rFonts w:ascii="Barlow Semi Condensed" w:cs="Barlow Semi Condensed" w:eastAsia="Barlow Semi Condensed" w:hAnsi="Barlow Semi Condensed"/>
          <w:sz w:val="24"/>
          <w:szCs w:val="24"/>
        </w:rPr>
        <w:t xml:space="preserve">Il punto d'appoggio documentale della formula è il </w:t>
      </w:r>
      <w:r>
        <w:rPr>
          <w:rFonts w:ascii="Barlow Semi Condensed" w:cs="Barlow Semi Condensed" w:eastAsia="Barlow Semi Condensed" w:hAnsi="Barlow Semi Condensed"/>
          <w:b/>
          <w:bCs/>
          <w:sz w:val="24"/>
          <w:szCs w:val="24"/>
        </w:rPr>
        <w:t xml:space="preserve">Memoriale Morucci</w:t>
      </w:r>
      <w:r>
        <w:rPr>
          <w:rFonts w:ascii="Barlow Semi Condensed" w:cs="Barlow Semi Condensed" w:eastAsia="Barlow Semi Condensed" w:hAnsi="Barlow Semi Condensed"/>
          <w:sz w:val="24"/>
          <w:szCs w:val="24"/>
        </w:rPr>
        <w:t xml:space="preserve">. La Commissione ha accertato che il cosiddetto Memoriale — a lungo trattato come confessione spontanea e definitiva del brigatista — fu in realtà «</w:t>
      </w:r>
      <w:r>
        <w:rPr>
          <w:rFonts w:ascii="Barlow Semi Condensed" w:cs="Barlow Semi Condensed" w:eastAsia="Barlow Semi Condensed" w:hAnsi="Barlow Semi Condensed"/>
          <w:b/>
          <w:bCs/>
          <w:sz w:val="24"/>
          <w:szCs w:val="24"/>
        </w:rPr>
        <w:t xml:space="preserve">il risultato di una collaborazione sviluppatasi lungo gli anni Ottanta</w:t>
      </w:r>
      <w:r>
        <w:rPr>
          <w:rFonts w:ascii="Barlow Semi Condensed" w:cs="Barlow Semi Condensed" w:eastAsia="Barlow Semi Condensed" w:hAnsi="Barlow Semi Condensed"/>
          <w:sz w:val="24"/>
          <w:szCs w:val="24"/>
        </w:rPr>
        <w:t xml:space="preserve">» fra Morucci e Faranda, apparati dello Stato e altre figure, fra cui magistrati inquirenti, il SISDE, esponenti politici e una religiosa inviata da Cossiga (relazione Moro 2 (https://www.ilfattoquotidiano.it/2017/12/12/commissione-moro-cio-che-abbiamo-saputo-finora-e-una-verita-dicibile-servi-chiudere-la-stagione-del-terrorismo/4033574/)). Il grado dell'accertamento è B, ma la sua portata è considerevole: significa che </w:t>
      </w:r>
      <w:r>
        <w:rPr>
          <w:rFonts w:ascii="Barlow Semi Condensed" w:cs="Barlow Semi Condensed" w:eastAsia="Barlow Semi Condensed" w:hAnsi="Barlow Semi Condensed"/>
          <w:b/>
          <w:bCs/>
          <w:sz w:val="24"/>
          <w:szCs w:val="24"/>
        </w:rPr>
        <w:t xml:space="preserve">la principale fonte narrativa interna sul sequestro non è un dato grezzo, ma un testo negoziato</w:t>
      </w:r>
      <w:r>
        <w:rPr>
          <w:rFonts w:ascii="Barlow Semi Condensed" w:cs="Barlow Semi Condensed" w:eastAsia="Barlow Semi Condensed" w:hAnsi="Barlow Semi Condensed"/>
          <w:sz w:val="24"/>
          <w:szCs w:val="24"/>
        </w:rPr>
        <w:t xml:space="preserve"> — non falso, ma costruito, e costruito con il concorso delle stesse istituzioni che il testo doveva rassicurare.</w:t>
      </w:r>
    </w:p>
    <w:p>
      <w:pPr>
        <w:spacing w:after="120" w:line="276"/>
        <w:jc w:val="both"/>
      </w:pPr>
      <w:r>
        <w:rPr>
          <w:rFonts w:ascii="Barlow Semi Condensed" w:cs="Barlow Semi Condensed" w:eastAsia="Barlow Semi Condensed" w:hAnsi="Barlow Semi Condensed"/>
          <w:sz w:val="24"/>
          <w:szCs w:val="24"/>
        </w:rPr>
        <w:t xml:space="preserve">Qui la Fase settima raccorda la storia al metodo. La Fase sesta aveva enunciato il divieto di scambiare una fonte per un fatto; la Commissione Moro 2 ne dà, sul Memoriale, la conferma documentale: </w:t>
      </w:r>
      <w:r>
        <w:rPr>
          <w:rFonts w:ascii="Barlow Semi Condensed" w:cs="Barlow Semi Condensed" w:eastAsia="Barlow Semi Condensed" w:hAnsi="Barlow Semi Condensed"/>
          <w:b/>
          <w:bCs/>
          <w:sz w:val="24"/>
          <w:szCs w:val="24"/>
        </w:rPr>
        <w:t xml:space="preserve">una fonte gestita politicamente va usata sapendo che è tale.</w:t>
      </w:r>
      <w:r>
        <w:rPr>
          <w:rFonts w:ascii="Barlow Semi Condensed" w:cs="Barlow Semi Condensed" w:eastAsia="Barlow Semi Condensed" w:hAnsi="Barlow Semi Condensed"/>
          <w:sz w:val="24"/>
          <w:szCs w:val="24"/>
        </w:rPr>
        <w:t xml:space="preserve"> Non la si getta via — resta la ricostruzione interna più dettagliata di cui disponiamo — ma la si legge con la consapevolezza della sua genesi. È la differenza, ancora una volta, fra il documento e il documentato.</w:t>
      </w:r>
    </w:p>
    <w:p>
      <w:pPr>
        <w:pStyle w:val="Heading1"/>
        <w:spacing w:after="120" w:before="240"/>
      </w:pPr>
      <w:r>
        <w:rPr>
          <w:rFonts w:ascii="Barlow Semi Condensed" w:cs="Barlow Semi Condensed" w:eastAsia="Barlow Semi Condensed" w:hAnsi="Barlow Semi Condensed"/>
          <w:sz w:val="24"/>
          <w:szCs w:val="24"/>
        </w:rPr>
        <w:t xml:space="preserve">Capitolo sessantesimo — Il nodo del 18 aprile, e ciò che la Commissione non ha sciolto</w:t>
      </w:r>
    </w:p>
    <w:p>
      <w:pPr>
        <w:spacing w:after="120" w:line="276"/>
        <w:jc w:val="both"/>
      </w:pPr>
      <w:r>
        <w:rPr>
          <w:rFonts w:ascii="Barlow Semi Condensed" w:cs="Barlow Semi Condensed" w:eastAsia="Barlow Semi Condensed" w:hAnsi="Barlow Semi Condensed"/>
          <w:sz w:val="24"/>
          <w:szCs w:val="24"/>
        </w:rPr>
        <w:t xml:space="preserve">Un'inchiesta si giudica anche da ciò che lascia insoluto, e da ciò che sceglie di non affrontare. La critica più seria mossa alla Commissione Moro 2 è di essersi concentrata «</w:t>
      </w:r>
      <w:r>
        <w:rPr>
          <w:rFonts w:ascii="Barlow Semi Condensed" w:cs="Barlow Semi Condensed" w:eastAsia="Barlow Semi Condensed" w:hAnsi="Barlow Semi Condensed"/>
          <w:b/>
          <w:bCs/>
          <w:sz w:val="24"/>
          <w:szCs w:val="24"/>
        </w:rPr>
        <w:t xml:space="preserve">quasi solo sull'agguato di via Fani, senza affrontare il nodo del 18 aprile</w:t>
      </w:r>
      <w:r>
        <w:rPr>
          <w:rFonts w:ascii="Barlow Semi Condensed" w:cs="Barlow Semi Condensed" w:eastAsia="Barlow Semi Condensed" w:hAnsi="Barlow Semi Condensed"/>
          <w:sz w:val="24"/>
          <w:szCs w:val="24"/>
        </w:rPr>
        <w:t xml:space="preserve">»: la scoperta del covo di </w:t>
      </w:r>
      <w:r>
        <w:rPr>
          <w:rFonts w:ascii="Barlow Semi Condensed" w:cs="Barlow Semi Condensed" w:eastAsia="Barlow Semi Condensed" w:hAnsi="Barlow Semi Condensed"/>
          <w:b/>
          <w:bCs/>
          <w:sz w:val="24"/>
          <w:szCs w:val="24"/>
        </w:rPr>
        <w:t xml:space="preserve">via Gradoli</w:t>
      </w:r>
      <w:r>
        <w:rPr>
          <w:rFonts w:ascii="Barlow Semi Condensed" w:cs="Barlow Semi Condensed" w:eastAsia="Barlow Semi Condensed" w:hAnsi="Barlow Semi Condensed"/>
          <w:sz w:val="24"/>
          <w:szCs w:val="24"/>
        </w:rPr>
        <w:t xml:space="preserve"> e il </w:t>
      </w:r>
      <w:r>
        <w:rPr>
          <w:rFonts w:ascii="Barlow Semi Condensed" w:cs="Barlow Semi Condensed" w:eastAsia="Barlow Semi Condensed" w:hAnsi="Barlow Semi Condensed"/>
          <w:b/>
          <w:bCs/>
          <w:sz w:val="24"/>
          <w:szCs w:val="24"/>
        </w:rPr>
        <w:t xml:space="preserve">falso comunicato del lago della Duchessa</w:t>
      </w:r>
      <w:r>
        <w:rPr>
          <w:rFonts w:ascii="Barlow Semi Condensed" w:cs="Barlow Semi Condensed" w:eastAsia="Barlow Semi Condensed" w:hAnsi="Barlow Semi Condensed"/>
          <w:sz w:val="24"/>
          <w:szCs w:val="24"/>
        </w:rPr>
        <w:t xml:space="preserve"> (sintesi critica sulla relazione (https://ristretti.org/index.php?option=com_content&amp;view=article&amp;id=84929)). La Parte terza aveva dedicato a via Gradoli e alla «seduta spiritica» il proprio capitolo V; la Fase settima registra che, su quel nodo, </w:t>
      </w:r>
      <w:r>
        <w:rPr>
          <w:rFonts w:ascii="Barlow Semi Condensed" w:cs="Barlow Semi Condensed" w:eastAsia="Barlow Semi Condensed" w:hAnsi="Barlow Semi Condensed"/>
          <w:b/>
          <w:bCs/>
          <w:sz w:val="24"/>
          <w:szCs w:val="24"/>
        </w:rPr>
        <w:t xml:space="preserve">la Commissione Moro 2 non ha prodotto un accertamento risolutivo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Questo è un dato prezioso, e va enunciato senza piegarlo. Non significa che dietro il 18 aprile «ci sia» qualcosa che la Commissione avrebbe nascosto — sarebbe un salto al grado C mascherato da rilievo procedurale. Significa una cosa più sobria e più solida: che </w:t>
      </w:r>
      <w:r>
        <w:rPr>
          <w:rFonts w:ascii="Barlow Semi Condensed" w:cs="Barlow Semi Condensed" w:eastAsia="Barlow Semi Condensed" w:hAnsi="Barlow Semi Condensed"/>
          <w:b/>
          <w:bCs/>
          <w:sz w:val="24"/>
          <w:szCs w:val="24"/>
        </w:rPr>
        <w:t xml:space="preserve">la questione di via Gradoli resta, dopo la Commissione Moro 2, al grado in cui la Parte terza l'aveva lasciata</w:t>
      </w:r>
      <w:r>
        <w:rPr>
          <w:rFonts w:ascii="Barlow Semi Condensed" w:cs="Barlow Semi Condensed" w:eastAsia="Barlow Semi Condensed" w:hAnsi="Barlow Semi Condensed"/>
          <w:sz w:val="24"/>
          <w:szCs w:val="24"/>
        </w:rPr>
        <w:t xml:space="preserve"> — aperta, non chiarita, e non chiarita nemmeno dall'ultimo e più recente sforzo istituzionale. Il criterio di smentita del capitolo V resta quello: la coincidenza fra la «seduta spiritica» e l'indirizzo reale del covo attende ancora una spiegazione documentale che né i processi né le due Commissioni hanno fornito. La Fase settima non la fornisce: la </w:t>
      </w:r>
      <w:r>
        <w:rPr>
          <w:rFonts w:ascii="Barlow Semi Condensed" w:cs="Barlow Semi Condensed" w:eastAsia="Barlow Semi Condensed" w:hAnsi="Barlow Semi Condensed"/>
          <w:b/>
          <w:bCs/>
          <w:sz w:val="24"/>
          <w:szCs w:val="24"/>
        </w:rPr>
        <w:t xml:space="preserve">certifica come tuttora mancante</w:t>
      </w:r>
      <w:r>
        <w:rPr>
          <w:rFonts w:ascii="Barlow Semi Condensed" w:cs="Barlow Semi Condensed" w:eastAsia="Barlow Semi Condensed" w:hAnsi="Barlow Semi Condensed"/>
          <w:sz w:val="24"/>
          <w:szCs w:val="24"/>
        </w:rPr>
        <w:t xml:space="preserve">, che è il massimo che la disciplina consente.</w:t>
      </w:r>
    </w:p>
    <w:p>
      <w:pPr>
        <w:pStyle w:val="Heading1"/>
        <w:spacing w:after="120" w:before="240"/>
      </w:pPr>
      <w:r>
        <w:rPr>
          <w:rFonts w:ascii="Barlow Semi Condensed" w:cs="Barlow Semi Condensed" w:eastAsia="Barlow Semi Condensed" w:hAnsi="Barlow Semi Condensed"/>
          <w:sz w:val="24"/>
          <w:szCs w:val="24"/>
        </w:rPr>
        <w:t xml:space="preserve">Capitolo sessantunesimo — Tavola di raccordo: le questioni aperte davanti al registro giudiziario</w:t>
      </w:r>
    </w:p>
    <w:p>
      <w:pPr>
        <w:spacing w:after="120" w:line="276"/>
        <w:jc w:val="both"/>
      </w:pPr>
      <w:r>
        <w:rPr>
          <w:rFonts w:ascii="Barlow Semi Condensed" w:cs="Barlow Semi Condensed" w:eastAsia="Barlow Semi Condensed" w:hAnsi="Barlow Semi Condensed"/>
          <w:sz w:val="24"/>
          <w:szCs w:val="24"/>
        </w:rPr>
        <w:t xml:space="preserve">Si chiude la Fase riportando ciascuna delle otto questioni del dossier (Parte terza, Movimento secondo) davanti al registro giudiziario e parlamentare, con il grado risultante. È l'aggiornamento dell'apparato dei gradi (Fase sesta) alla luce dello strato istruttorio.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Questione (Parte terza)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Giudicato (grado 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Commissione Moro 2 (grado B)</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Residuo (grado C)</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III. Via Fani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Agguato eseguito dal commando BR; esecutori accertati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Due moto e quattro centauri «da approfondire»; due testimoni nuovi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Identità e ruolo degli eventuali centauri estranei</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IV. La prigione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Covo di via Montalcini; Maccari «quarto uomo» (Moro quinquies)</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Ricostruzioni logistiche integrate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 vi fu una seconda prigione: non provato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 Via Gradoli / seduta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(nessun giudicato risolutivo)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Non sciolto</w:t>
            </w:r>
            <w:r>
              <w:rPr>
                <w:rFonts w:ascii="Barlow Semi Condensed" w:cs="Barlow Semi Condensed" w:eastAsia="Barlow Semi Condensed" w:hAnsi="Barlow Semi Condensed"/>
                <w:sz w:val="20"/>
                <w:szCs w:val="20"/>
              </w:rPr>
              <w:t xml:space="preserve"> dalla Commissione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coincidenza resta senza spiegazione documentale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 Fermezza / trattativa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Fatti dei canali di mediazione accertati nei processi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Ruolo degli apparati nella gestione documentato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 una trattativa fosse possibile: giudizio storico, non fatto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VII. Occasioni mancate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Cronologia dei mancati rinvenimenti accertata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Responsabilità di ritardi e omissioni analizzate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Dolo vs inefficienza: non deciso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VIII. Memoriale Monte Nevoso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Ritrovamenti (1978 e 1990) accertati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Memoriale Morucci = testo negoziato anni '80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Che cosa manchi ancora: indeterminato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IX. Quadro internazionale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Elementi acquisiti, nessun nesso causale stabilito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regia estera: congettura (cfr. Hyperion, </w:t>
            </w: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X. Depistaggi / verità dicibile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Formula «verità dicibile» fatta propria dalla Commissione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L'ampiezza dell'indicibile: per definizione non misurabile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tavola dice, in una sola immagine, ciò che la Fase settima aggiunge all'opera: </w:t>
      </w:r>
      <w:r>
        <w:rPr>
          <w:rFonts w:ascii="Barlow Semi Condensed" w:cs="Barlow Semi Condensed" w:eastAsia="Barlow Semi Condensed" w:hAnsi="Barlow Semi Condensed"/>
          <w:b/>
          <w:bCs/>
          <w:sz w:val="24"/>
          <w:szCs w:val="24"/>
        </w:rPr>
        <w:t xml:space="preserve">quasi nessuna delle questioni aperte è stata chiusa dal giudicato; molte sono state documentate — non risolte — dalla Commissione Moro 2; nessuna è stata promossa a verità causale.</w:t>
      </w:r>
      <w:r>
        <w:rPr>
          <w:rFonts w:ascii="Barlow Semi Condensed" w:cs="Barlow Semi Condensed" w:eastAsia="Barlow Semi Condensed" w:hAnsi="Barlow Semi Condensed"/>
          <w:sz w:val="24"/>
          <w:szCs w:val="24"/>
        </w:rPr>
        <w:t xml:space="preserve"> Il caso Moro, dopo cinque processi e due Commissioni, ha un pavimento solido di fatti accertati e un soffitto aperto di questioni documentate ma non concluse. Riconoscere con esattezza dove passa la linea fra i due — fra il grado A del giudicato e il grado B dell'accertamento parlamentare, e fra questi e il grado C della congettura — è tutto ciò che un'opera onesta può fare. Non è poco: è la differenza fra la storia e la sua contraffazione.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settima.</w:t>
      </w:r>
      <w:r>
        <w:rPr>
          <w:rFonts w:ascii="Barlow Semi Condensed" w:cs="Barlow Semi Condensed" w:eastAsia="Barlow Semi Condensed" w:hAnsi="Barlow Semi Condensed"/>
          <w:sz w:val="24"/>
          <w:szCs w:val="24"/>
        </w:rPr>
        <w:t xml:space="preserve"> Il garante che ha parlato nella Fase sesta torna qui a tacere, avendo fatto la sola cosa che gli competeva: </w:t>
      </w:r>
      <w:r>
        <w:rPr>
          <w:rFonts w:ascii="Barlow Semi Condensed" w:cs="Barlow Semi Condensed" w:eastAsia="Barlow Semi Condensed" w:hAnsi="Barlow Semi Condensed"/>
          <w:b/>
          <w:bCs/>
          <w:sz w:val="24"/>
          <w:szCs w:val="24"/>
        </w:rPr>
        <w:t xml:space="preserve">ancorare il dossier al registro degli atti</w:t>
      </w:r>
      <w:r>
        <w:rPr>
          <w:rFonts w:ascii="Barlow Semi Condensed" w:cs="Barlow Semi Condensed" w:eastAsia="Barlow Semi Condensed" w:hAnsi="Barlow Semi Condensed"/>
          <w:sz w:val="24"/>
          <w:szCs w:val="24"/>
        </w:rPr>
        <w:t xml:space="preserve">. Le questioni restano aperte quanto lo erano; ma ora si sa, per ciascuna, su quale gradino del sapere poggia — se sul giudicato, se sull'inchiesta, se sulla sola congettura. Ed è sapendo questo, e non dimenticandolo mai, che si può continuare a cercare senza mentire. Nessun nome è stato aggiunto a quelli che le sentenze hanno scritto; nessuna graduatoria è stata compilata; nessuna verità è stata proclamata più alta di quella che le prove reggono. La guerra senza fine non finisce qui — ma qui, almeno, ha una mappa dei propri confini provati.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settima dell'opera «Aldo Moro — Una guerra senza fine» (capp. 56-61). Aggiunge lo strato giudiziario e istruttorio: i cinque processi Moro come pavimento del giudicato, la Commissione Moro 2 (2014-2017) come accertamento parlamentare di grado B, la tavola di raccordo delle otto questioni aperte. Distinzione ferrea fra giudicato, accertamento parlamentare e congettura; nessuna imputazione oltre il giudicato; nessuna graduatoria. Fonti: sentenze dei processi Moro (Questione Giustizia); relazione della Commissione Moro 2 del 6 dicembre 2017 (atti della Camera). Ricostruzione storica, senza dietrologia né il suo rovescio.</w:t>
      </w:r>
    </w:p>
    <w:p>
      <w:pPr>
        <w:pStyle w:val="Heading3"/>
        <w:spacing w:after="80" w:before="240"/>
      </w:pPr>
      <w:r>
        <w:rPr>
          <w:rFonts w:ascii="Barlow Semi Condensed" w:cs="Barlow Semi Condensed" w:eastAsia="Barlow Semi Condensed" w:hAnsi="Barlow Semi Condensed"/>
          <w:sz w:val="24"/>
          <w:szCs w:val="24"/>
        </w:rPr>
        <w:t xml:space="preserve">Apparato grafico — Libro nono · Il registro giudiziario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2.171 parole in 3 sezioni; la più ampia è §2 Segmento 2, con 787.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9 indirizzi di fonte citati, addensati in 3 sezioni su 3.</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II — Appendice quinta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QUINTA ALLA FASE SETTIMA</w:t>
      </w:r>
    </w:p>
    <w:p>
      <w:pPr>
        <w:pStyle w:val="Heading2"/>
        <w:spacing w:after="100" w:before="200"/>
      </w:pPr>
      <w:r>
        <w:rPr>
          <w:rFonts w:ascii="Barlow Semi Condensed" w:cs="Barlow Semi Condensed" w:eastAsia="Barlow Semi Condensed" w:hAnsi="Barlow Semi Condensed"/>
          <w:sz w:val="24"/>
          <w:szCs w:val="24"/>
        </w:rPr>
        <w:t xml:space="preserve">La catalogazione multipla e la divergenza dei rinvii</w:t>
      </w:r>
    </w:p>
    <w:p>
      <w:pPr>
        <w:pStyle w:val="Heading2"/>
        <w:spacing w:after="100" w:before="200"/>
      </w:pPr>
      <w:r>
        <w:rPr>
          <w:rFonts w:ascii="Barlow Semi Condensed" w:cs="Barlow Semi Condensed" w:eastAsia="Barlow Semi Condensed" w:hAnsi="Barlow Semi Condensed"/>
          <w:sz w:val="24"/>
          <w:szCs w:val="24"/>
        </w:rPr>
        <w:t xml:space="preserve">Il collasso genealogico misurato su materiale documentato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quinta</w:t>
      </w:r>
    </w:p>
    <w:p>
      <w:pPr>
        <w:spacing w:after="120" w:line="276"/>
        <w:jc w:val="both"/>
      </w:pPr>
      <w:r>
        <w:rPr>
          <w:rFonts w:ascii="Barlow Semi Condensed" w:cs="Barlow Semi Condensed" w:eastAsia="Barlow Semi Condensed" w:hAnsi="Barlow Semi Condensed"/>
          <w:sz w:val="24"/>
          <w:szCs w:val="24"/>
        </w:rPr>
        <w:t xml:space="preserve">La presente è appendice quinta alla Fase Settima e opera sulle tre unità d'indice restanti della medesima serie parlamentare: quella dedicata alla struttura clandestina di difesa, stampata a partire dalla pagina settecentottantacinque; quella dedicata al disastro aereo, a partire dalla pagina ottocentocinquantuno; e quella dedicata ai procedimenti giudiziari su fatti di strage, a partire dalla pagina novecentoquindici. Come le quattro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Il suo oggetto non è il caso in senso stretto. È una proprietà del sistema di catalogazione entro il quale gli atti del caso sono conservati, e la ragione per la quale essa appartiene all'opera va detta subito. La verifica genealogica, dall'appendice seconda in poi, ha asserito che l'acquisizione non genera catena e che due esposizioni della medesima fonte non sono due fonti. Fino a oggi quella asserzione era una regola dedotta. Le tre unità qui impiegate la rendono, per la prima volta, una regolarità misurata su materiale documentato, poiché esse recano il caso nel quale il medesimo atto compare sotto più chiavi di catalogo, ciascuna delle quali ha l'apparenza di una fonte distinta.</w:t>
      </w:r>
    </w:p>
    <w:p>
      <w:pPr>
        <w:pStyle w:val="Heading2"/>
        <w:spacing w:after="100" w:before="200"/>
      </w:pPr>
      <w:r>
        <w:rPr>
          <w:rFonts w:ascii="Barlow Semi Condensed" w:cs="Barlow Semi Condensed" w:eastAsia="Barlow Semi Condensed" w:hAnsi="Barlow Semi Condensed"/>
          <w:sz w:val="24"/>
          <w:szCs w:val="24"/>
        </w:rPr>
        <w:t xml:space="preserve">Parte prima — Le tre unità e la loro natura</w:t>
      </w:r>
    </w:p>
    <w:p>
      <w:pPr>
        <w:spacing w:after="120" w:line="276"/>
        <w:jc w:val="both"/>
      </w:pPr>
      <w:r>
        <w:rPr>
          <w:rFonts w:ascii="Barlow Semi Condensed" w:cs="Barlow Semi Condensed" w:eastAsia="Barlow Semi Condensed" w:hAnsi="Barlow Semi Condensed"/>
          <w:sz w:val="24"/>
          <w:szCs w:val="24"/>
        </w:rPr>
        <w:t xml:space="preserve">L'unità dedicata alla struttura clandestina consta di novecentonovantasette voci e di circa quattordicimila parole; quella dedicata al disastro aereo di millecentotrentasette voci e di circa diciassettemilacinquecento parole. Entrambe sono indici di acquisizione della medesima specie di quello già impiegato, e recano la medesima struttura: ufficio emittente, oggetto, data di pervenimento, regime, chiave, rinvii.</w:t>
      </w:r>
    </w:p>
    <w:p>
      <w:pPr>
        <w:spacing w:after="120" w:line="276"/>
        <w:jc w:val="both"/>
      </w:pPr>
      <w:r>
        <w:rPr>
          <w:rFonts w:ascii="Barlow Semi Condensed" w:cs="Barlow Semi Condensed" w:eastAsia="Barlow Semi Condensed" w:hAnsi="Barlow Semi Condensed"/>
          <w:sz w:val="24"/>
          <w:szCs w:val="24"/>
        </w:rPr>
        <w:t xml:space="preserve">L'unità dedicata ai procedimenti di strage è di tutt'altra natura e di gran lunga la più breve, constando di ventuno voci. Essa non elenca documenti ma procedimenti, e dichiara che gli atti processuali di ciascuno sono stati selezionati dalla Commissione e immessi in una autonoma banca dati accessibile secondo il criterio della ricerca testuale. Essa dichiara altresì che i rinvii riguardano documenti non soggetti a pubblicazione, versati all'archivio storico del Senato, e che i procedimenti sono identificati per il nome convenzionalmente usato presso gli uffici giudiziari.</w:t>
      </w:r>
    </w:p>
    <w:p>
      <w:pPr>
        <w:spacing w:after="120" w:line="276"/>
        <w:jc w:val="both"/>
      </w:pPr>
      <w:r>
        <w:rPr>
          <w:rFonts w:ascii="Barlow Semi Condensed" w:cs="Barlow Semi Condensed" w:eastAsia="Barlow Semi Condensed" w:hAnsi="Barlow Semi Condensed"/>
          <w:sz w:val="24"/>
          <w:szCs w:val="24"/>
        </w:rPr>
        <w:t xml:space="preserve">Questa terza unità, benché la più esigua, è la più rilevante ai fini della tavola, e la ragione è che essa nomina una sede. Le voci della tavola che domandano atti processuali indicano fino a oggi come sede gli uffici giudiziari competenti, il che è esatto e generico. La presente unità stabilisce che una selezione di atti processuali esiste in forma testualmente interrogabile presso un organo parlamentare, e che i documenti non pubblicabili sono stati versati a un archivio storico determinato. Ne segue che per una parte delle voci esiste una seconda via di reperimento, più breve della prima e non alternativa ad essa.</w:t>
      </w:r>
    </w:p>
    <w:p>
      <w:pPr>
        <w:pStyle w:val="Heading2"/>
        <w:spacing w:after="100" w:before="200"/>
      </w:pPr>
      <w:r>
        <w:rPr>
          <w:rFonts w:ascii="Barlow Semi Condensed" w:cs="Barlow Semi Condensed" w:eastAsia="Barlow Semi Condensed" w:hAnsi="Barlow Semi Condensed"/>
          <w:sz w:val="24"/>
          <w:szCs w:val="24"/>
        </w:rPr>
        <w:t xml:space="preserve">Parte seconda — La catalogazione multipla, misurata</w:t>
      </w:r>
    </w:p>
    <w:p>
      <w:pPr>
        <w:spacing w:after="120" w:line="276"/>
        <w:jc w:val="both"/>
      </w:pPr>
      <w:r>
        <w:rPr>
          <w:rFonts w:ascii="Barlow Semi Condensed" w:cs="Barlow Semi Condensed" w:eastAsia="Barlow Semi Condensed" w:hAnsi="Barlow Semi Condensed"/>
          <w:sz w:val="24"/>
          <w:szCs w:val="24"/>
        </w:rPr>
        <w:t xml:space="preserve">Si espone la misura secondo la disciplina che la campagna ha imposta: dichiarata come tetto o come soglia, con la procedura, e ristretta prima che se ne traggano conseguenze.</w:t>
      </w:r>
    </w:p>
    <w:p>
      <w:pPr>
        <w:spacing w:after="120" w:line="276"/>
        <w:jc w:val="both"/>
      </w:pPr>
      <w:r>
        <w:rPr>
          <w:rFonts w:ascii="Barlow Semi Condensed" w:cs="Barlow Semi Condensed" w:eastAsia="Barlow Semi Condensed" w:hAnsi="Barlow Semi Condensed"/>
          <w:sz w:val="24"/>
          <w:szCs w:val="24"/>
        </w:rPr>
        <w:t xml:space="preserve">Nell'indice di acquisizione del fascicolo dedicato al caso, computato al netto dell'indice tematico che lo segue, quattordici unità su cinquanta recano un rinvio a un altro fascicolo. Le chiavi di destinazione sono diciotto esterne al fascicolo e una interna. I fascicoli di destinazione sono sette, e sono quelli dedicati al terrorismo di sinistra, alla loggia coperta, alla struttura clandestina di difesa, a una struttura informativa parallela, alla criminalità organizzata connessa al traffico di stupefacenti e al terrorismo, alla banca dati e alle materie varie.</w:t>
      </w:r>
    </w:p>
    <w:p>
      <w:pPr>
        <w:spacing w:after="120" w:line="276"/>
        <w:jc w:val="both"/>
      </w:pPr>
      <w:r>
        <w:rPr>
          <w:rFonts w:ascii="Barlow Semi Condensed" w:cs="Barlow Semi Condensed" w:eastAsia="Barlow Semi Condensed" w:hAnsi="Barlow Semi Condensed"/>
          <w:sz w:val="24"/>
          <w:szCs w:val="24"/>
        </w:rPr>
        <w:t xml:space="preserve">Complessivamente, sulle tre unità d'indice qui impiegate, si contano sessanta rinvii dichiarati.</w:t>
      </w:r>
    </w:p>
    <w:p>
      <w:pPr>
        <w:spacing w:after="120" w:line="276"/>
        <w:jc w:val="both"/>
      </w:pPr>
      <w:r>
        <w:rPr>
          <w:rFonts w:ascii="Barlow Semi Condensed" w:cs="Barlow Semi Condensed" w:eastAsia="Barlow Semi Condensed" w:hAnsi="Barlow Semi Condensed"/>
          <w:sz w:val="24"/>
          <w:szCs w:val="24"/>
        </w:rPr>
        <w:t xml:space="preserve">Questa misura non è un tetto. È una soglia, ed è la prima misura delle appendici che vada dichiarata in questo verso anziché nell'altro. La ragione è di procedura di compilazione: un rinvio compare dove il compilatore lo ha notato e apposto, e non esiste alcuna garanzia che ogni catalogazione multipla sia stata dichiarata in tutti i fascicoli che la riguardano. La reciprocità dei rinvii non è verificata, e la Parte terza mostrerà che dove è verificabile non sempre regge. Ne segue che il numero reale delle unità catalogate sotto più chiavi è pari o superiore a quattordici su cinquanta, e che quel rapporto va impiegato come limite inferiore.</w:t>
      </w:r>
    </w:p>
    <w:p>
      <w:pPr>
        <w:spacing w:after="120" w:line="276"/>
        <w:jc w:val="both"/>
      </w:pPr>
      <w:r>
        <w:rPr>
          <w:rFonts w:ascii="Barlow Semi Condensed" w:cs="Barlow Semi Condensed" w:eastAsia="Barlow Semi Condensed" w:hAnsi="Barlow Semi Condensed"/>
          <w:sz w:val="24"/>
          <w:szCs w:val="24"/>
        </w:rPr>
        <w:t xml:space="preserve">Il caso estremo censito non appartiene al fascicolo del caso ma va riportato perché fissa l'ordine di grandezza del fenomeno. La documentazione trasmessa dal Presidente del Consiglio in carica in risposta ai quesiti postigli nel corso dell'audizione del tre agosto millenovecentonovanta compare, nel processo verbale che la registra, sotto cinque chiavi appartenenti a cinque fascicoli distinti: quello del disastro aereo, quello della loggia coperta, quello di una strage del millenovecentosettantadue, quello dei legami internazionali del terrorismo e quello di una struttura informativa parallela.</w:t>
      </w:r>
    </w:p>
    <w:p>
      <w:pPr>
        <w:spacing w:after="120" w:line="276"/>
        <w:jc w:val="both"/>
      </w:pPr>
      <w:r>
        <w:rPr>
          <w:rFonts w:ascii="Barlow Semi Condensed" w:cs="Barlow Semi Condensed" w:eastAsia="Barlow Semi Condensed" w:hAnsi="Barlow Semi Condensed"/>
          <w:sz w:val="24"/>
          <w:szCs w:val="24"/>
        </w:rPr>
        <w:t xml:space="preserve">Un atto, cinque indirizzi. Chi ne citasse tre credendo di citarne tre ne citerebbe uno. È il collasso genealogico nella sua forma più semplice e più difficile da vedere, perché nulla nelle tre citazioni rivela che si tratti del medesimo foglio: differiscono la chiave, il fascicolo, e il contesto tematico entro il quale l'atto è collocato.</w:t>
      </w:r>
    </w:p>
    <w:p>
      <w:pPr>
        <w:spacing w:after="120" w:line="276"/>
        <w:jc w:val="both"/>
      </w:pPr>
      <w:r>
        <w:rPr>
          <w:rFonts w:ascii="Barlow Semi Condensed" w:cs="Barlow Semi Condensed" w:eastAsia="Barlow Semi Condensed" w:hAnsi="Barlow Semi Condensed"/>
          <w:sz w:val="24"/>
          <w:szCs w:val="24"/>
        </w:rPr>
        <w:t xml:space="preserve">Si enuncia la regola che ne discende, e si aggiunge alle sei della Parte settima dell'appendice seconda.</w:t>
      </w:r>
    </w:p>
    <w:p>
      <w:pPr>
        <w:spacing w:after="120" w:line="276"/>
        <w:jc w:val="both"/>
      </w:pPr>
      <w:r>
        <w:rPr>
          <w:rFonts w:ascii="Barlow Semi Condensed" w:cs="Barlow Semi Condensed" w:eastAsia="Barlow Semi Condensed" w:hAnsi="Barlow Semi Condensed"/>
          <w:sz w:val="24"/>
          <w:szCs w:val="24"/>
        </w:rPr>
        <w:t xml:space="preserve">Settima regola della risalita. La chiave di catalogo non è l'atto: è un indirizzo dell'atto. Un atto possiede tanti indirizzi quanti sono i fascicoli che lo riguardano, e la molteplicità degli indirizzi non moltiplica le catene. Prima di computare come distinte due fonti recate da chiavi diverse, si verifichi che non siano il medesimo documento con due recapiti.</w:t>
      </w:r>
    </w:p>
    <w:p>
      <w:pPr>
        <w:pStyle w:val="Heading2"/>
        <w:spacing w:after="100" w:before="200"/>
      </w:pPr>
      <w:r>
        <w:rPr>
          <w:rFonts w:ascii="Barlow Semi Condensed" w:cs="Barlow Semi Condensed" w:eastAsia="Barlow Semi Condensed" w:hAnsi="Barlow Semi Condensed"/>
          <w:sz w:val="24"/>
          <w:szCs w:val="24"/>
        </w:rPr>
        <w:t xml:space="preserve">Parte terza — Le tre divergenze accertate</w:t>
      </w:r>
    </w:p>
    <w:p>
      <w:pPr>
        <w:spacing w:after="120" w:line="276"/>
        <w:jc w:val="both"/>
      </w:pPr>
      <w:r>
        <w:rPr>
          <w:rFonts w:ascii="Barlow Semi Condensed" w:cs="Barlow Semi Condensed" w:eastAsia="Barlow Semi Condensed" w:hAnsi="Barlow Semi Condensed"/>
          <w:sz w:val="24"/>
          <w:szCs w:val="24"/>
        </w:rPr>
        <w:t xml:space="preserve">La verifica incrociata fra le unità d'indice ha prodotto tre divergenze, ciascuna delle quali riguarda la designazione di un atto e nessuna il suo contenuto. Si riportano tutte e tre, compresa quella che corregge un'affermazione dell'appendice quarta.</w:t>
      </w:r>
    </w:p>
    <w:p>
      <w:pPr>
        <w:spacing w:after="120" w:line="276"/>
        <w:jc w:val="both"/>
      </w:pPr>
      <w:r>
        <w:rPr>
          <w:rFonts w:ascii="Barlow Semi Condensed" w:cs="Barlow Semi Condensed" w:eastAsia="Barlow Semi Condensed" w:hAnsi="Barlow Semi Condensed"/>
          <w:sz w:val="24"/>
          <w:szCs w:val="24"/>
        </w:rPr>
        <w:t xml:space="preserve">Prima divergenza, già registrata. L'indice di acquisizione e l'indice tematico del medesimo fascicolo descrivono l'unità tredicesima con due anni diversi e due nomi diversi del primo imputato. Resta non risolta e la sua risoluzione richiede l'atto.</w:t>
      </w:r>
    </w:p>
    <w:p>
      <w:pPr>
        <w:spacing w:after="120" w:line="276"/>
        <w:jc w:val="both"/>
      </w:pPr>
      <w:r>
        <w:rPr>
          <w:rFonts w:ascii="Barlow Semi Condensed" w:cs="Barlow Semi Condensed" w:eastAsia="Barlow Semi Condensed" w:hAnsi="Barlow Semi Condensed"/>
          <w:sz w:val="24"/>
          <w:szCs w:val="24"/>
        </w:rPr>
        <w:t xml:space="preserve">Seconda divergenza, sulla chiave di destinazione. L'indice del fascicolo del caso, alla ventiduesima unità, rinvia a una chiave del fascicolo dedicato alla struttura clandestina indicandola con il numero quarantaquattro barra due. L'indice di quel medesimo fascicolo reca il medesimo atto — una relazione su un autore di un testo tecnico sulle tecniche di sabotaggio, pervenuta l'otto maggio millenovecentonovantuno — sotto il numero quindici barra due, e vi appone il rinvio reciproco al fascicolo del caso. Il processo verbale della ottantesima seduta, che è la fonte anteriore a entrambi gli indici, designa la chiave con la denominazione estesa del fascicolo, che comprende una struttura informativa parallela accanto alla struttura clandestina.</w:t>
      </w:r>
    </w:p>
    <w:p>
      <w:pPr>
        <w:spacing w:after="120" w:line="276"/>
        <w:jc w:val="both"/>
      </w:pPr>
      <w:r>
        <w:rPr>
          <w:rFonts w:ascii="Barlow Semi Condensed" w:cs="Barlow Semi Condensed" w:eastAsia="Barlow Semi Condensed" w:hAnsi="Barlow Semi Condensed"/>
          <w:sz w:val="24"/>
          <w:szCs w:val="24"/>
        </w:rPr>
        <w:t xml:space="preserve">La spiegazione più probabile è dunque che esistano due fascicoli distinti, e che il rinvio del primo indice abbia abbreviato la denominazione estesa del fascicolo di destinazione in modo tale da produrre una chiave che collide con quella di un fascicolo diverso. Si dichiara che questa è una ricostruzione dell'opera e non un dato del documento.</w:t>
      </w:r>
    </w:p>
    <w:p>
      <w:pPr>
        <w:spacing w:after="120" w:line="276"/>
        <w:jc w:val="both"/>
      </w:pPr>
      <w:r>
        <w:rPr>
          <w:rFonts w:ascii="Barlow Semi Condensed" w:cs="Barlow Semi Condensed" w:eastAsia="Barlow Semi Condensed" w:hAnsi="Barlow Semi Condensed"/>
          <w:sz w:val="24"/>
          <w:szCs w:val="24"/>
        </w:rPr>
        <w:t xml:space="preserve">Se ne trae la regola ottava. Un rinvio che abbrevi la denominazione del fascicolo di destinazione può produrre una chiave collidente. I rinvii si verificano sul fascicolo di destinazione e non su quello di partenza, poiché il fascicolo di partenza dichiara dove ha creduto di mandare e il fascicolo di destinazione dichiara che cosa possiede.</w:t>
      </w:r>
    </w:p>
    <w:p>
      <w:pPr>
        <w:spacing w:after="120" w:line="276"/>
        <w:jc w:val="both"/>
      </w:pPr>
      <w:r>
        <w:rPr>
          <w:rFonts w:ascii="Barlow Semi Condensed" w:cs="Barlow Semi Condensed" w:eastAsia="Barlow Semi Condensed" w:hAnsi="Barlow Semi Condensed"/>
          <w:sz w:val="24"/>
          <w:szCs w:val="24"/>
        </w:rPr>
        <w:t xml:space="preserve">Terza divergenza, e correzione a proprio sfavore. L'appendice quarta ha designato l'unità ventisettesima come recante, fra l'altro, la traduzione di un documento straniero sulle operazioni di stabilizzazione, pubblicato in lingua originale negli atti parlamentari a un volume, un documento e un numero determinati, e ha qualificato quella designazione come l'unica del fascicolo a recare una segnatura parlamentare completa, e pertanto come il rinvio più preciso verso il corpus maggiore.</w:t>
      </w:r>
    </w:p>
    <w:p>
      <w:pPr>
        <w:spacing w:after="120" w:line="276"/>
        <w:jc w:val="both"/>
      </w:pPr>
      <w:r>
        <w:rPr>
          <w:rFonts w:ascii="Barlow Semi Condensed" w:cs="Barlow Semi Condensed" w:eastAsia="Barlow Semi Condensed" w:hAnsi="Barlow Semi Condensed"/>
          <w:sz w:val="24"/>
          <w:szCs w:val="24"/>
        </w:rPr>
        <w:t xml:space="preserve">L'indice del fascicolo dedicato alla struttura clandestina reca il medesimo atto e la medesima segnatura, con una differenza: il numero romano del documento parlamentare è diverso. Uno dei due indici reca una segnatura errata, e il presente atto non stabilisce quale.</w:t>
      </w:r>
    </w:p>
    <w:p>
      <w:pPr>
        <w:spacing w:after="120" w:line="276"/>
        <w:jc w:val="both"/>
      </w:pPr>
      <w:r>
        <w:rPr>
          <w:rFonts w:ascii="Barlow Semi Condensed" w:cs="Barlow Semi Condensed" w:eastAsia="Barlow Semi Condensed" w:hAnsi="Barlow Semi Condensed"/>
          <w:sz w:val="24"/>
          <w:szCs w:val="24"/>
        </w:rPr>
        <w:t xml:space="preserve">La correzione va dunque apportata all'appendice quarta e si dichiara. La segnatura non è verificata. Essa era stata riportata come dato del documento, ed era dato di un documento soltanto; ora che si dispone di due documenti, essi divergono. L'affermazione secondo cui quella designazione costituiva il rinvio più preciso verso il corpus maggiore è mantenuta quanto alla completezza formale della segnatura, ed è revocata quanto alla sua affidabilità, che è nulla finché non sia risolta.</w:t>
      </w:r>
    </w:p>
    <w:p>
      <w:pPr>
        <w:spacing w:after="120" w:line="276"/>
        <w:jc w:val="both"/>
      </w:pPr>
      <w:r>
        <w:rPr>
          <w:rFonts w:ascii="Barlow Semi Condensed" w:cs="Barlow Semi Condensed" w:eastAsia="Barlow Semi Condensed" w:hAnsi="Barlow Semi Condensed"/>
          <w:sz w:val="24"/>
          <w:szCs w:val="24"/>
        </w:rPr>
        <w:t xml:space="preserve">Si osservi che la correzione è prodotta dalla medesima operazione che la Parte sesta dell'appendice quarta aveva prescritta poche ore prima, e che essa colpisce proprio l'affermazione che quell'appendice aveva formulata con maggiore sicurezza. La regola secondo cui un indice è una fonte e ha i propri errori era stata enunciata su un caso e applicata a nessuno; qui è applicata, e il primo atto che essa colpisce è quello di chi l'aveva enunciata.</w:t>
      </w:r>
    </w:p>
    <w:p>
      <w:pPr>
        <w:pStyle w:val="Heading2"/>
        <w:spacing w:after="100" w:before="200"/>
      </w:pPr>
      <w:r>
        <w:rPr>
          <w:rFonts w:ascii="Barlow Semi Condensed" w:cs="Barlow Semi Condensed" w:eastAsia="Barlow Semi Condensed" w:hAnsi="Barlow Semi Condensed"/>
          <w:sz w:val="24"/>
          <w:szCs w:val="24"/>
        </w:rPr>
        <w:t xml:space="preserve">Parte quarta — Il verso favorevole della catalogazione multipla</w:t>
      </w:r>
    </w:p>
    <w:p>
      <w:pPr>
        <w:spacing w:after="120" w:line="276"/>
        <w:jc w:val="both"/>
      </w:pPr>
      <w:r>
        <w:rPr>
          <w:rFonts w:ascii="Barlow Semi Condensed" w:cs="Barlow Semi Condensed" w:eastAsia="Barlow Semi Condensed" w:hAnsi="Barlow Semi Condensed"/>
          <w:sz w:val="24"/>
          <w:szCs w:val="24"/>
        </w:rPr>
        <w:t xml:space="preserve">Si dichiara, per non lasciare il quadro inclinato da una sola parte, che la catalogazione multipla ha un effetto di segno opposto a quello finora esposto, e che esso è di rilievo pratico maggiore.</w:t>
      </w:r>
    </w:p>
    <w:p>
      <w:pPr>
        <w:spacing w:after="120" w:line="276"/>
        <w:jc w:val="both"/>
      </w:pPr>
      <w:r>
        <w:rPr>
          <w:rFonts w:ascii="Barlow Semi Condensed" w:cs="Barlow Semi Condensed" w:eastAsia="Barlow Semi Condensed" w:hAnsi="Barlow Semi Condensed"/>
          <w:sz w:val="24"/>
          <w:szCs w:val="24"/>
        </w:rPr>
        <w:t xml:space="preserve">Un atto con cinque indirizzi è un atto che si trova per cinque vie. Chi ignori l'esistenza di un fascicolo può raggiungere il medesimo documento per un altro, e chi lavori su una materia si imbatte in atti pertinenti a materie contigue senza averli cercati. Un sistema di catalogazione a rinvii multipli è, per costruzione, uno strumento di reperimento migliore di un sistema a chiave unica, e la sua tendenza a gonfiare i computi di convergenza è il prezzo di questa virtù e non un difetto autonomo.</w:t>
      </w:r>
    </w:p>
    <w:p>
      <w:pPr>
        <w:spacing w:after="120" w:line="276"/>
        <w:jc w:val="both"/>
      </w:pPr>
      <w:r>
        <w:rPr>
          <w:rFonts w:ascii="Barlow Semi Condensed" w:cs="Barlow Semi Condensed" w:eastAsia="Barlow Semi Condensed" w:hAnsi="Barlow Semi Condensed"/>
          <w:sz w:val="24"/>
          <w:szCs w:val="24"/>
        </w:rPr>
        <w:t xml:space="preserve">Ne segue che la regola settima non prescrive di diffidare dei rinvii ma di non contarli. Essi vanno seguiti tutti e computati una volta sola, ed è precisamente la disciplina che la risalita impone: moltiplicare le vie di accesso e non le catene.</w:t>
      </w:r>
    </w:p>
    <w:p>
      <w:pPr>
        <w:spacing w:after="120" w:line="276"/>
        <w:jc w:val="both"/>
      </w:pPr>
      <w:r>
        <w:rPr>
          <w:rFonts w:ascii="Barlow Semi Condensed" w:cs="Barlow Semi Condensed" w:eastAsia="Barlow Semi Condensed" w:hAnsi="Barlow Semi Condensed"/>
          <w:sz w:val="24"/>
          <w:szCs w:val="24"/>
        </w:rPr>
        <w:t xml:space="preserve">Si registra in questo verso un'acquisizione concreta per la tavola. Il fascicolo del caso rinvia, alla quarantacinquesima unità, alla banca dati e alle materie varie; l'unità dedicata ai procedimenti di strage dichiara che la banca dati è testualmente interrogabile e che i documenti non pubblicabili sono versati a un archivio storico determinato. Le due dichiarazioni, congiunte, stabiliscono che gli otto faldoni selezionati di un procedimento per omicidio sono ricercabili per parola e conservati in sede nominata. Nessuna delle due unità, presa da sola, lo stabiliva.</w:t>
      </w:r>
    </w:p>
    <w:p>
      <w:pPr>
        <w:pStyle w:val="Heading2"/>
        <w:spacing w:after="100" w:before="200"/>
      </w:pPr>
      <w:r>
        <w:rPr>
          <w:rFonts w:ascii="Barlow Semi Condensed" w:cs="Barlow Semi Condensed" w:eastAsia="Barlow Semi Condensed" w:hAnsi="Barlow Semi Condensed"/>
          <w:sz w:val="24"/>
          <w:szCs w:val="24"/>
        </w:rPr>
        <w:t xml:space="preserve">Parte quinta — Le mutazioni di stato</w:t>
      </w:r>
    </w:p>
    <w:p>
      <w:pPr>
        <w:spacing w:after="120" w:line="276"/>
        <w:jc w:val="both"/>
      </w:pPr>
      <w:r>
        <w:rPr>
          <w:rFonts w:ascii="Barlow Semi Condensed" w:cs="Barlow Semi Condensed" w:eastAsia="Barlow Semi Condensed" w:hAnsi="Barlow Semi Condensed"/>
          <w:sz w:val="24"/>
          <w:szCs w:val="24"/>
        </w:rPr>
        <w:t xml:space="preserve">La Voce ventesima progredisce quanto alla qualità e non quanto al numero. Le cinquanta fonti designate per atto restano cinquanta; per quattordici di esse è ora noto che la medesima designazione è raggiungibile per una chiave diversa, e per una la chiave dichiarata è dubbia.</w:t>
      </w:r>
    </w:p>
    <w:p>
      <w:pPr>
        <w:spacing w:after="120" w:line="276"/>
        <w:jc w:val="both"/>
      </w:pPr>
      <w:r>
        <w:rPr>
          <w:rFonts w:ascii="Barlow Semi Condensed" w:cs="Barlow Semi Condensed" w:eastAsia="Barlow Semi Condensed" w:hAnsi="Barlow Semi Condensed"/>
          <w:sz w:val="24"/>
          <w:szCs w:val="24"/>
        </w:rPr>
        <w:t xml:space="preserve">Si iscrivono in tavola due voci nuove.</w:t>
      </w:r>
    </w:p>
    <w:p>
      <w:pPr>
        <w:spacing w:after="120" w:line="276"/>
        <w:jc w:val="both"/>
      </w:pPr>
      <w:r>
        <w:rPr>
          <w:rFonts w:ascii="Barlow Semi Condensed" w:cs="Barlow Semi Condensed" w:eastAsia="Barlow Semi Condensed" w:hAnsi="Barlow Semi Condensed"/>
          <w:sz w:val="24"/>
          <w:szCs w:val="24"/>
        </w:rPr>
        <w:t xml:space="preserve">Voce venticinquesima — La risoluzione delle tre divergenze di designazione. Oggetto: l'anno e il primo imputato dell'atto designato come unità tredicesima; la chiave esatta del fascicolo di destinazione del rinvio apposto all'unità ventiduesima; il numero del documento parlamentare recante il testo straniero tradotto all'unità ventisettesima. Sede: per le prime due, gli atti della Commissione presso l'archivio storico competente; per la terza, la raccolta degli atti parlamentari, che è pubblica e consultabile senza autorizzazione alcuna. Chiusura: risoluzione delle tre. Smentita: non ricorre, trattandosi di verifica di dato e non di ipotesi. Si segnala che la terza è, fra tutte le voci della tavola, quella di costo minore, poiché richiede la consultazione di un volume a stampa.</w:t>
      </w:r>
    </w:p>
    <w:p>
      <w:pPr>
        <w:spacing w:after="120" w:line="276"/>
        <w:jc w:val="both"/>
      </w:pPr>
      <w:r>
        <w:rPr>
          <w:rFonts w:ascii="Barlow Semi Condensed" w:cs="Barlow Semi Condensed" w:eastAsia="Barlow Semi Condensed" w:hAnsi="Barlow Semi Condensed"/>
          <w:sz w:val="24"/>
          <w:szCs w:val="24"/>
        </w:rPr>
        <w:t xml:space="preserve">Voce ventiseiesima — La verifica di reciprocità dei rinvii. Oggetto: per ciascuna delle cinquanta unità del fascicolo del caso, la verifica dell'esistenza del rinvio reciproco nei fascicoli di destinazione, e l'individuazione delle catalogazioni multiple non dichiarate. Sede: le unità d'indice della medesima serie parlamentare, già possedute per tre fascicoli su sette. Chiusura: verifica delle cinquanta. Smentita: la constatazione che i rinvii siano reciproci in tutti i casi verificabili, la quale eleverebbe il rapporto di quattordici su cinquanta da soglia a misura.</w:t>
      </w:r>
    </w:p>
    <w:p>
      <w:pPr>
        <w:spacing w:after="120" w:line="276"/>
        <w:jc w:val="both"/>
      </w:pPr>
      <w:r>
        <w:rPr>
          <w:rFonts w:ascii="Barlow Semi Condensed" w:cs="Barlow Semi Condensed" w:eastAsia="Barlow Semi Condensed" w:hAnsi="Barlow Semi Condensed"/>
          <w:sz w:val="24"/>
          <w:szCs w:val="24"/>
        </w:rPr>
        <w:t xml:space="preserve">Si dichiara che entrambe le voci sono eseguibili senza accesso archivistico per la parte che riguarda i fascicoli posseduti, e che esse si aggiungono pertanto alla classe, finora composta di due sole voci, di ciò che attende soltanto di essere compiuto.</w:t>
      </w:r>
    </w:p>
    <w:p>
      <w:pPr>
        <w:pStyle w:val="Heading2"/>
        <w:spacing w:after="100" w:before="200"/>
      </w:pPr>
      <w:r>
        <w:rPr>
          <w:rFonts w:ascii="Barlow Semi Condensed" w:cs="Barlow Semi Condensed" w:eastAsia="Barlow Semi Condensed" w:hAnsi="Barlow Semi Condensed"/>
          <w:sz w:val="24"/>
          <w:szCs w:val="24"/>
        </w:rPr>
        <w:t xml:space="preserve">Parte sesta — Stati Zero residui</w:t>
      </w:r>
    </w:p>
    <w:p>
      <w:pPr>
        <w:spacing w:after="120" w:line="276"/>
        <w:jc w:val="both"/>
      </w:pPr>
      <w:r>
        <w:rPr>
          <w:rFonts w:ascii="Barlow Semi Condensed" w:cs="Barlow Semi Condensed" w:eastAsia="Barlow Semi Condensed" w:hAnsi="Barlow Semi Condensed"/>
          <w:sz w:val="24"/>
          <w:szCs w:val="24"/>
        </w:rPr>
        <w:t xml:space="preserve">Primo. I fascicoli di destinazione posseduti sono tre su sette. Mancano quelli dedicati al terrorismo di sinistra, alla loggia coperta, alla struttura informativa parallela e alle materie varie, che sono i quattro verso i quali il fascicolo del caso rinvia più frequentemente. La verifica di reciprocità è pertanto eseguibile solo in parte.</w:t>
      </w:r>
    </w:p>
    <w:p>
      <w:pPr>
        <w:spacing w:after="120" w:line="276"/>
        <w:jc w:val="both"/>
      </w:pPr>
      <w:r>
        <w:rPr>
          <w:rFonts w:ascii="Barlow Semi Condensed" w:cs="Barlow Semi Condensed" w:eastAsia="Barlow Semi Condensed" w:hAnsi="Barlow Semi Condensed"/>
          <w:sz w:val="24"/>
          <w:szCs w:val="24"/>
        </w:rPr>
        <w:t xml:space="preserve">Secondo. Il contenuto di nessuna unità è esaminato, e le cinque appendici hanno costruito un indice di reperimento e nient'altro. Si ripete la dichiarazione per la terza volta, poiché la quantità di estremi accumulati può indurre a credere il contrario.</w:t>
      </w:r>
    </w:p>
    <w:p>
      <w:pPr>
        <w:spacing w:after="120" w:line="276"/>
        <w:jc w:val="both"/>
      </w:pPr>
      <w:r>
        <w:rPr>
          <w:rFonts w:ascii="Barlow Semi Condensed" w:cs="Barlow Semi Condensed" w:eastAsia="Barlow Semi Condensed" w:hAnsi="Barlow Semi Condensed"/>
          <w:sz w:val="24"/>
          <w:szCs w:val="24"/>
        </w:rPr>
        <w:t xml:space="preserve">Terzo. Nessuna delle tre divergenze è risolta.</w:t>
      </w:r>
    </w:p>
    <w:p>
      <w:pPr>
        <w:spacing w:after="120" w:line="276"/>
        <w:jc w:val="both"/>
      </w:pPr>
      <w:r>
        <w:rPr>
          <w:rFonts w:ascii="Barlow Semi Condensed" w:cs="Barlow Semi Condensed" w:eastAsia="Barlow Semi Condensed" w:hAnsi="Barlow Semi Condensed"/>
          <w:sz w:val="24"/>
          <w:szCs w:val="24"/>
        </w:rPr>
        <w:t xml:space="preserve">Quarto. La reciprocità dei rinvii non è verificata per alcuna unità, e la misura di quattordici su cinquanta resta pertanto una soglia e non una misura.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terza del giorno sul medesimo cantiere. Cantiere: designazione per atto delle fonti. Materia: le tre unità d'indice restanti della serie parlamentare, e la catalogazione multipla degli atti.</w:t>
      </w:r>
    </w:p>
    <w:p>
      <w:pPr>
        <w:spacing w:after="120" w:line="276"/>
        <w:jc w:val="both"/>
      </w:pPr>
      <w:r>
        <w:rPr>
          <w:rFonts w:ascii="Barlow Semi Condensed" w:cs="Barlow Semi Condensed" w:eastAsia="Barlow Semi Condensed" w:hAnsi="Barlow Semi Condensed"/>
          <w:sz w:val="24"/>
          <w:szCs w:val="24"/>
        </w:rPr>
        <w:t xml:space="preserve">Esito positivo: prima misura del fenomeno della catalogazione multipla, dichiarata come soglia e non come tetto, pari a quattordici unità su cinquanta con diciotto chiavi di destinazione esterne; individuazione del caso a cinque chiavi; enunciazione della settima e dell'ottava regola della risalita; individuazione della banca dati testualmente interrogabile e della sede di versamento dei documenti non pubblicabili; due voci nuove iscritte in tavola, entrambe eseguibili in parte senza accesso.</w:t>
      </w:r>
    </w:p>
    <w:p>
      <w:pPr>
        <w:spacing w:after="120" w:line="276"/>
        <w:jc w:val="both"/>
      </w:pPr>
      <w:r>
        <w:rPr>
          <w:rFonts w:ascii="Barlow Semi Condensed" w:cs="Barlow Semi Condensed" w:eastAsia="Barlow Semi Condensed" w:hAnsi="Barlow Semi Condensed"/>
          <w:sz w:val="24"/>
          <w:szCs w:val="24"/>
        </w:rPr>
        <w:t xml:space="preserve">Esito negativo: quattro fascicoli di destinazione su sette non posseduti; reciprocità dei rinvii non verificata; tre divergenze di designazione accertate e nessuna risolta.</w:t>
      </w:r>
    </w:p>
    <w:p>
      <w:pPr>
        <w:spacing w:after="120" w:line="276"/>
        <w:jc w:val="both"/>
      </w:pPr>
      <w:r>
        <w:rPr>
          <w:rFonts w:ascii="Barlow Semi Condensed" w:cs="Barlow Semi Condensed" w:eastAsia="Barlow Semi Condensed" w:hAnsi="Barlow Semi Condensed"/>
          <w:sz w:val="24"/>
          <w:szCs w:val="24"/>
        </w:rPr>
        <w:t xml:space="preserve">Riga di errore proprio, terza della giornata. L'appendice quarta ha qualificato una segnatura parlamentare come il rinvio più preciso verso il corpus maggiore, fondandosi su un solo indice. Un secondo indice della medesima serie reca la medesima segnatura con un numero di documento diverso. L'affermazione è revocata quanto all'affidabilità e mantenuta quanto alla completezza formale. Si registra che l'errore è del genere che l'appendice colpita aveva descritto poche ore prima, e che descriverlo non aveva impedito di commetterlo.</w:t>
      </w:r>
    </w:p>
    <w:p>
      <w:pPr>
        <w:spacing w:after="120" w:line="276"/>
        <w:jc w:val="both"/>
      </w:pPr>
      <w:r>
        <w:rPr>
          <w:rFonts w:ascii="Barlow Semi Condensed" w:cs="Barlow Semi Condensed" w:eastAsia="Barlow Semi Condensed" w:hAnsi="Barlow Semi Condensed"/>
          <w:sz w:val="24"/>
          <w:szCs w:val="24"/>
        </w:rPr>
        <w:t xml:space="preserve">Riga di avvertenza. Nulla di quanto qui esposto riguarda il contenuto degli atti, la responsabilità di alcuno o il merito di alcuna questione del caso. Il presente atto tratta di indirizzi di documenti. La sua sola conseguenza sostanziale è che i computi di convergenza fondati su chiavi di catalogo diverse vanno rifatti, e che essi risulteranno, per una parte non ancora determinata, computi su una catena sola.</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QUINTA ALLA FASE SETTIMA, la catalogazione multipla e la divergenza dei rinvii,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La chiave di catalogo non è l'atto: è un indirizzo dell'atto, e i rinvii si seguono tutti e si contano una volta sola.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II · Appendice quinta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II: 2.359 parole in 9 sezioni; la più ampia è §9 Altre sezioni, con 1.932.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II: 40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III — Appendice sesta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SESTA ALLA FASE SETTIMA</w:t>
      </w:r>
    </w:p>
    <w:p>
      <w:pPr>
        <w:pStyle w:val="Heading2"/>
        <w:spacing w:after="100" w:before="200"/>
      </w:pPr>
      <w:r>
        <w:rPr>
          <w:rFonts w:ascii="Barlow Semi Condensed" w:cs="Barlow Semi Condensed" w:eastAsia="Barlow Semi Condensed" w:hAnsi="Barlow Semi Condensed"/>
          <w:sz w:val="24"/>
          <w:szCs w:val="24"/>
        </w:rPr>
        <w:t xml:space="preserve">La prima unità di produzione</w:t>
      </w:r>
    </w:p>
    <w:p>
      <w:pPr>
        <w:pStyle w:val="Heading2"/>
        <w:spacing w:after="100" w:before="200"/>
      </w:pPr>
      <w:r>
        <w:rPr>
          <w:rFonts w:ascii="Barlow Semi Condensed" w:cs="Barlow Semi Condensed" w:eastAsia="Barlow Semi Condensed" w:hAnsi="Barlow Semi Condensed"/>
          <w:sz w:val="24"/>
          <w:szCs w:val="24"/>
        </w:rPr>
        <w:t xml:space="preserve">Relazione sugli sviluppi del caso, XI legislatura, documento XXIII numero 13</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sesta</w:t>
      </w:r>
    </w:p>
    <w:p>
      <w:pPr>
        <w:spacing w:after="120" w:line="276"/>
        <w:jc w:val="both"/>
      </w:pPr>
      <w:r>
        <w:rPr>
          <w:rFonts w:ascii="Barlow Semi Condensed" w:cs="Barlow Semi Condensed" w:eastAsia="Barlow Semi Condensed" w:hAnsi="Barlow Semi Condensed"/>
          <w:sz w:val="24"/>
          <w:szCs w:val="24"/>
        </w:rPr>
        <w:t xml:space="preserve">La presente è appendice sesta alla Fase Settima e opera sulla relazione parlamentare sugli sviluppi del caso approvata nella XI legislatura e stampata come documento XXIII numero 13, della quale si possiede la trascrizione integrale delle ventitré pagine. Come le cinque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Questa unità differisce da tutte le precedenti per una ragione che ne governa l'intero trattamento. Le cinque appendici anteriori hanno lavorato su indici di acquisizione e su processi verbali, che sono atti di reperimento. La presente lavora su un atto di produzione: una relazione è un giudizio, e il suo autore ne è fonte originaria e piena. È la prima volta, in questa serie, che un nucleo parlamentare compare nella funzione per la quale esso genera catena propria, e non in quella per la quale ne raddoppia una altrui.</w:t>
      </w:r>
    </w:p>
    <w:p>
      <w:pPr>
        <w:pStyle w:val="Heading2"/>
        <w:spacing w:after="100" w:before="200"/>
      </w:pPr>
      <w:r>
        <w:rPr>
          <w:rFonts w:ascii="Barlow Semi Condensed" w:cs="Barlow Semi Condensed" w:eastAsia="Barlow Semi Condensed" w:hAnsi="Barlow Semi Condensed"/>
          <w:sz w:val="24"/>
          <w:szCs w:val="24"/>
        </w:rPr>
        <w:t xml:space="preserve">Parte prima — Lo statuto della relazione, e ciò che essa non converte</w:t>
      </w:r>
    </w:p>
    <w:p>
      <w:pPr>
        <w:spacing w:after="120" w:line="276"/>
        <w:jc w:val="both"/>
      </w:pPr>
      <w:r>
        <w:rPr>
          <w:rFonts w:ascii="Barlow Semi Condensed" w:cs="Barlow Semi Condensed" w:eastAsia="Barlow Semi Condensed" w:hAnsi="Barlow Semi Condensed"/>
          <w:sz w:val="24"/>
          <w:szCs w:val="24"/>
        </w:rPr>
        <w:t xml:space="preserve">Una relazione parlamentare è, quanto alla propria genealogia, un oggetto composito, e la sua scomposizione va compiuta prima di trarne alcunché.</w:t>
      </w:r>
    </w:p>
    <w:p>
      <w:pPr>
        <w:spacing w:after="120" w:line="276"/>
        <w:jc w:val="both"/>
      </w:pPr>
      <w:r>
        <w:rPr>
          <w:rFonts w:ascii="Barlow Semi Condensed" w:cs="Barlow Semi Condensed" w:eastAsia="Barlow Semi Condensed" w:hAnsi="Barlow Semi Condensed"/>
          <w:sz w:val="24"/>
          <w:szCs w:val="24"/>
        </w:rPr>
        <w:t xml:space="preserve">Essa è produzione originaria quanto a tre cose e a nessun'altra: le proprie valutazioni, i propri rilievi sullo stato degli atti, e le proprie richieste all'organismo che le succederà. Di queste tre l'organo è autore, e nessuna fonte anteriore le contiene.</w:t>
      </w:r>
    </w:p>
    <w:p>
      <w:pPr>
        <w:spacing w:after="120" w:line="276"/>
        <w:jc w:val="both"/>
      </w:pPr>
      <w:r>
        <w:rPr>
          <w:rFonts w:ascii="Barlow Semi Condensed" w:cs="Barlow Semi Condensed" w:eastAsia="Barlow Semi Condensed" w:hAnsi="Barlow Semi Condensed"/>
          <w:sz w:val="24"/>
          <w:szCs w:val="24"/>
        </w:rPr>
        <w:t xml:space="preserve">Essa è esposizione, e non fonte, quanto a tutto ciò che riferisce di atti altrui. Che una relazione parlamentare riporti il contenuto di una perizia non fa della relazione una fonte della perizia; che ne riporti il contenuto di una dichiarazione non ne fa una fonte della dichiarazione. La catena resta l'atto riferito, e la relazione ne è il primo indirizzo pubblico.</w:t>
      </w:r>
    </w:p>
    <w:p>
      <w:pPr>
        <w:spacing w:after="120" w:line="276"/>
        <w:jc w:val="both"/>
      </w:pPr>
      <w:r>
        <w:rPr>
          <w:rFonts w:ascii="Barlow Semi Condensed" w:cs="Barlow Semi Condensed" w:eastAsia="Barlow Semi Condensed" w:hAnsi="Barlow Semi Condensed"/>
          <w:sz w:val="24"/>
          <w:szCs w:val="24"/>
        </w:rPr>
        <w:t xml:space="preserve">Il punto va enunciato in forma di regola, poiché la relazione qui esaminata riferisce ampiamente da interviste giornalistiche, da trasmissioni televisive e da libri, e poiché è precisamente questo il meccanismo per il quale materiali di grado minimo acquistano, per sola collocazione, un'autorità che nessuno intendeva conferire loro.</w:t>
      </w:r>
    </w:p>
    <w:p>
      <w:pPr>
        <w:spacing w:after="120" w:line="276"/>
        <w:jc w:val="both"/>
      </w:pPr>
      <w:r>
        <w:rPr>
          <w:rFonts w:ascii="Barlow Semi Condensed" w:cs="Barlow Semi Condensed" w:eastAsia="Barlow Semi Condensed" w:hAnsi="Barlow Semi Condensed"/>
          <w:sz w:val="24"/>
          <w:szCs w:val="24"/>
        </w:rPr>
        <w:t xml:space="preserve">Nona regola della risalita. La citazione in un atto pubblico non muta la genealogia della fonte citata. Un'intervista riportata in una relazione parlamentare resta un'intervista, e il grado che le compete è quello che le competeva prima di esservi riportata. Ciò che l'atto pubblico aggiunge è la constatazione che quella dichiarazione fu resa e che l'organo la ritenne meritevole di menzione: due fatti veri, e nessuno dei due sul merito.</w:t>
      </w:r>
    </w:p>
    <w:p>
      <w:pPr>
        <w:pStyle w:val="Heading2"/>
        <w:spacing w:after="100" w:before="200"/>
      </w:pPr>
      <w:r>
        <w:rPr>
          <w:rFonts w:ascii="Barlow Semi Condensed" w:cs="Barlow Semi Condensed" w:eastAsia="Barlow Semi Condensed" w:hAnsi="Barlow Semi Condensed"/>
          <w:sz w:val="24"/>
          <w:szCs w:val="24"/>
        </w:rPr>
        <w:t xml:space="preserve">Parte seconda — Il repertorio generale del Gabinetto</w:t>
      </w:r>
    </w:p>
    <w:p>
      <w:pPr>
        <w:spacing w:after="120" w:line="276"/>
        <w:jc w:val="both"/>
      </w:pPr>
      <w:r>
        <w:rPr>
          <w:rFonts w:ascii="Barlow Semi Condensed" w:cs="Barlow Semi Condensed" w:eastAsia="Barlow Semi Condensed" w:hAnsi="Barlow Semi Condensed"/>
          <w:sz w:val="24"/>
          <w:szCs w:val="24"/>
        </w:rPr>
        <w:t xml:space="preserve">La relazione contiene una acquisizione che, sola, vale più dell'intero lavoro delle cinque appendici anteriori, e va esposta per prima.</w:t>
      </w:r>
    </w:p>
    <w:p>
      <w:pPr>
        <w:spacing w:after="120" w:line="276"/>
        <w:jc w:val="both"/>
      </w:pPr>
      <w:r>
        <w:rPr>
          <w:rFonts w:ascii="Barlow Semi Condensed" w:cs="Barlow Semi Condensed" w:eastAsia="Barlow Semi Condensed" w:hAnsi="Barlow Semi Condensed"/>
          <w:sz w:val="24"/>
          <w:szCs w:val="24"/>
        </w:rPr>
        <w:t xml:space="preserve">L'organo dichiara di essere venuto a conoscenza, per circostanze che esso stesso qualifica come sostanzialmente fortuite, che presso il Gabinetto del Ministro dell'interno era stato redatto un repertorio generale di tutti gli atti, da qualunque autorità formati, concernenti il caso e transitati per quel Dicastero; e dichiara che copia del repertorio fu immediatamente acquisita. Esso raccomanda inoltre all'organismo che gli succederà di acquisire piena conoscenza dell'oggetto degli atti repertati, per colmare ove possibile i vuoti di informazione perduranti.</w:t>
      </w:r>
    </w:p>
    <w:p>
      <w:pPr>
        <w:spacing w:after="120" w:line="276"/>
        <w:jc w:val="both"/>
      </w:pPr>
      <w:r>
        <w:rPr>
          <w:rFonts w:ascii="Barlow Semi Condensed" w:cs="Barlow Semi Condensed" w:eastAsia="Barlow Semi Condensed" w:hAnsi="Barlow Semi Condensed"/>
          <w:sz w:val="24"/>
          <w:szCs w:val="24"/>
        </w:rPr>
        <w:t xml:space="preserve">Si dica che cosa questo significhi per l'operazione in corso. La Voce ventesima domanda la designazione per atto delle fonti dell'opera, e le cinque appendici l'hanno perseguita per ricomposizione: cinquanta unità individuate voce per voce su indici e verbali, con diciannove lacune poi chiuse e tre divergenze accertate. Il repertorio qui nominato è, per definizione propria, l'inventario di tutti gli atti concernenti il caso transitati per il Ministero che ebbe la direzione della crisi. Esso non è una fonte del caso: è lo strumento che rende designabile per atto ciò che di quel caso passò per quella sede.</w:t>
      </w:r>
    </w:p>
    <w:p>
      <w:pPr>
        <w:spacing w:after="120" w:line="276"/>
        <w:jc w:val="both"/>
      </w:pPr>
      <w:r>
        <w:rPr>
          <w:rFonts w:ascii="Barlow Semi Condensed" w:cs="Barlow Semi Condensed" w:eastAsia="Barlow Semi Condensed" w:hAnsi="Barlow Semi Condensed"/>
          <w:sz w:val="24"/>
          <w:szCs w:val="24"/>
        </w:rPr>
        <w:t xml:space="preserve">Si dica altresì che cosa significhi la circostanza della scoperta. Un organo parlamentare d'inchiesta, dotato dei poteri dell'autorità giudiziaria, apprende per caso, a sedici anni dai fatti, che l'amministrazione che ebbe la direzione della crisi possedeva un inventario generale dei propri atti sul caso. L'inventario non era stato distrutto, non era stato negato, non era stato classificato: non era stato menzionato. Fra il celare e il non dire corre una differenza giuridica grande e una differenza pratica nulla, e la seconda è quella che il ricercatore incontra.</w:t>
      </w:r>
    </w:p>
    <w:p>
      <w:pPr>
        <w:spacing w:after="120" w:line="276"/>
        <w:jc w:val="both"/>
      </w:pPr>
      <w:r>
        <w:rPr>
          <w:rFonts w:ascii="Barlow Semi Condensed" w:cs="Barlow Semi Condensed" w:eastAsia="Barlow Semi Condensed" w:hAnsi="Barlow Semi Condensed"/>
          <w:sz w:val="24"/>
          <w:szCs w:val="24"/>
        </w:rPr>
        <w:t xml:space="preserve">Si registra la circostanza come conferma, su un caso determinato, della regolarità che il corpus maggiore ha già iscritta fra le proprie risultanze: nessun archivio di apparato si è aperto per iniziativa propria, e le aperture sono conseguite a pressione esterna. Qui non vi fu neppure pressione: vi fu il caso.</w:t>
      </w:r>
    </w:p>
    <w:p>
      <w:pPr>
        <w:spacing w:after="120" w:line="276"/>
        <w:jc w:val="both"/>
      </w:pPr>
      <w:r>
        <w:rPr>
          <w:rFonts w:ascii="Barlow Semi Condensed" w:cs="Barlow Semi Condensed" w:eastAsia="Barlow Semi Condensed" w:hAnsi="Barlow Semi Condensed"/>
          <w:sz w:val="24"/>
          <w:szCs w:val="24"/>
        </w:rPr>
        <w:t xml:space="preserve">Si iscrive in tavola la voce che ne discende, e la si dichiara la più rilevante della tavola dopo la Voce quinta.</w:t>
      </w:r>
    </w:p>
    <w:p>
      <w:pPr>
        <w:spacing w:after="120" w:line="276"/>
        <w:jc w:val="both"/>
      </w:pPr>
      <w:r>
        <w:rPr>
          <w:rFonts w:ascii="Barlow Semi Condensed" w:cs="Barlow Semi Condensed" w:eastAsia="Barlow Semi Condensed" w:hAnsi="Barlow Semi Condensed"/>
          <w:sz w:val="24"/>
          <w:szCs w:val="24"/>
        </w:rPr>
        <w:t xml:space="preserve">Voce ventisettesima — Il repertorio generale degli atti del Gabinetto. Oggetto: il repertorio generale di tutti gli atti concernenti il caso, da qualunque autorità formati, transitati per il Gabinetto del Ministro dell'interno; e, per ciascuna voce repertata, l'oggetto dell'atto. Sede: copia acquisita agli atti della Commissione della XI legislatura, presso l'archivio storico competente; originale presso il Gabinetto del Ministro dell'interno. Chiusura: acquisizione del repertorio e collazione delle sue voci con le cinquanta unità già designate. Smentita: la constatazione che il repertorio rechi le sole voci di protocollo senza oggetto, nel qual caso esso individuerebbe l'esistenza degli atti senza renderli domandabili, e la voce si trasformerebbe nella richiesta degli atti uno per uno.</w:t>
      </w:r>
    </w:p>
    <w:p>
      <w:pPr>
        <w:spacing w:after="120" w:line="276"/>
        <w:jc w:val="both"/>
      </w:pPr>
      <w:r>
        <w:rPr>
          <w:rFonts w:ascii="Barlow Semi Condensed" w:cs="Barlow Semi Condensed" w:eastAsia="Barlow Semi Condensed" w:hAnsi="Barlow Semi Condensed"/>
          <w:sz w:val="24"/>
          <w:szCs w:val="24"/>
        </w:rPr>
        <w:t xml:space="preserve">Si segnala che la Commissione della XI legislatura raccomandò l'acquisizione dell'oggetto degli atti repertati all'organismo successivo, e che il presente atto non accerta se tale raccomandazione sia stata eseguita. La verifica dell'esecuzione è iscritta nella medesima voce.</w:t>
      </w:r>
    </w:p>
    <w:p>
      <w:pPr>
        <w:pStyle w:val="Heading2"/>
        <w:spacing w:after="100" w:before="200"/>
      </w:pPr>
      <w:r>
        <w:rPr>
          <w:rFonts w:ascii="Barlow Semi Condensed" w:cs="Barlow Semi Condensed" w:eastAsia="Barlow Semi Condensed" w:hAnsi="Barlow Semi Condensed"/>
          <w:sz w:val="24"/>
          <w:szCs w:val="24"/>
        </w:rPr>
        <w:t xml:space="preserve">Parte terza — Le tre discontinuità documentate</w:t>
      </w:r>
    </w:p>
    <w:p>
      <w:pPr>
        <w:spacing w:after="120" w:line="276"/>
        <w:jc w:val="both"/>
      </w:pPr>
      <w:r>
        <w:rPr>
          <w:rFonts w:ascii="Barlow Semi Condensed" w:cs="Barlow Semi Condensed" w:eastAsia="Barlow Semi Condensed" w:hAnsi="Barlow Semi Condensed"/>
          <w:sz w:val="24"/>
          <w:szCs w:val="24"/>
        </w:rPr>
        <w:t xml:space="preserve">La relazione documenta tre discontinuità nell'attività degli apparati, e le documenta nella forma che la Scheda prima dello scenario primo del memorandum operativo prescrive di cercare: non ordini, ma atti mancanti.</w:t>
      </w:r>
    </w:p>
    <w:p>
      <w:pPr>
        <w:spacing w:after="120" w:line="276"/>
        <w:jc w:val="both"/>
      </w:pPr>
      <w:r>
        <w:rPr>
          <w:rFonts w:ascii="Barlow Semi Condensed" w:cs="Barlow Semi Condensed" w:eastAsia="Barlow Semi Condensed" w:hAnsi="Barlow Semi Condensed"/>
          <w:sz w:val="24"/>
          <w:szCs w:val="24"/>
        </w:rPr>
        <w:t xml:space="preserve">Prima discontinuità. Alle ore sette del ventuno marzo millenovecentosettantotto fu ordinato l'allertamento di un'unità di intervento speciale della Marina, e alle ore tredici l'allarme fu revocato. Presso il Ministero dell'interno non vi è traccia dell'ordine di allertamento; l'ordine risulta invece pervenuto al Ministero della difesa, presso il quale è custodita la documentazione relativa alle attività del reparto nel periodo. L'organo conclude che si sappia che un allertamento vi fu, e che non ne possano essere documentati i responsabili né i presupposti di fatto. Il fatto è riportato per esteso nella relazione conclusiva della X legislatura, documento XXIII numero 49, alla pagina ventinove e seguenti.</w:t>
      </w:r>
    </w:p>
    <w:p>
      <w:pPr>
        <w:spacing w:after="120" w:line="276"/>
        <w:jc w:val="both"/>
      </w:pPr>
      <w:r>
        <w:rPr>
          <w:rFonts w:ascii="Barlow Semi Condensed" w:cs="Barlow Semi Condensed" w:eastAsia="Barlow Semi Condensed" w:hAnsi="Barlow Semi Condensed"/>
          <w:sz w:val="24"/>
          <w:szCs w:val="24"/>
        </w:rPr>
        <w:t xml:space="preserve">Questa è la figura documentale più netta dell'intero fascicolo, e va enunciata con esattezza. Un ordine esiste presso il destinatario e non presso l'emittente. Le due proposizioni non si equivalgono e la seconda non si inferisce dalla prima: l'assenza presso l'emittente può derivare da omessa formazione, da omessa conservazione, da formazione orale, ovvero da conservazione presso una sede diversa da quella interrogata. La relazione non discrimina fra le quattro, e il presente atto non lo fa in sua vece.</w:t>
      </w:r>
    </w:p>
    <w:p>
      <w:pPr>
        <w:spacing w:after="120" w:line="276"/>
        <w:jc w:val="both"/>
      </w:pPr>
      <w:r>
        <w:rPr>
          <w:rFonts w:ascii="Barlow Semi Condensed" w:cs="Barlow Semi Condensed" w:eastAsia="Barlow Semi Condensed" w:hAnsi="Barlow Semi Condensed"/>
          <w:sz w:val="24"/>
          <w:szCs w:val="24"/>
        </w:rPr>
        <w:t xml:space="preserve">Seconda discontinuità. L'organo dichiara che non sono disponibili atti formali ai quali ricondurre l'insediamento dei comitati di crisi istituiti presso il Ministero dell'interno, né verbalizzazioni, sia pure succinte, del loro operato, e qualifica la circostanza come grave negligenza nella formulazione a essa più benevola.</w:t>
      </w:r>
    </w:p>
    <w:p>
      <w:pPr>
        <w:spacing w:after="120" w:line="276"/>
        <w:jc w:val="both"/>
      </w:pPr>
      <w:r>
        <w:rPr>
          <w:rFonts w:ascii="Barlow Semi Condensed" w:cs="Barlow Semi Condensed" w:eastAsia="Barlow Semi Condensed" w:hAnsi="Barlow Semi Condensed"/>
          <w:sz w:val="24"/>
          <w:szCs w:val="24"/>
        </w:rPr>
        <w:t xml:space="preserve">Questa dichiarazione qualifica retroattivamente un'acquisizione della appendice terza. L'unità quarantaduesima del fascicolo reca gli appunti coevi di quattro esperti del comitato di crisi, e l'appendice terza aveva osservato che essa serve la classe degli atti dei comitati di crisi. La presente relazione stabilisce che quegli appunti non affiancano una verbalizzazione: la sostituiscono, perché la verbalizzazione non esiste. Il valore dell'unità quarantaduesima ne risulta accresciuto e il suo limite ne risulta fissato: essa è ciò che resta di un organismo che non produsse atti propri, e non può dunque essere collazionata con alcunché.</w:t>
      </w:r>
    </w:p>
    <w:p>
      <w:pPr>
        <w:spacing w:after="120" w:line="276"/>
        <w:jc w:val="both"/>
      </w:pPr>
      <w:r>
        <w:rPr>
          <w:rFonts w:ascii="Barlow Semi Condensed" w:cs="Barlow Semi Condensed" w:eastAsia="Barlow Semi Condensed" w:hAnsi="Barlow Semi Condensed"/>
          <w:sz w:val="24"/>
          <w:szCs w:val="24"/>
        </w:rPr>
        <w:t xml:space="preserve">Terza discontinuità. Non risulta agli atti del Ministero della difesa alcuna traccia di un comitato informale che sarebbe stato istituito presso il Ministero della marina durante il sequestro. L'ordinanza di rinvio a giudizio del quarto procedimento ha ritenuto, allo stato degli atti, non provata l'esistenza dell'organismo né la partecipazione ad esso della persona alla quale alcune ipotesi ricostruttive la attribuivano. Il senatore audito dall'organo ha dichiarato di non essere a conoscenza di comitati di sorta presso quella sede, e di essere a conoscenza soltanto di un incarico affidato all'ufficio di decrittazione del servizio informativo d'arma, avente per oggetto l'esame dei documenti provenienti dal prigioniero nel presupposto che potessero contenere messaggi cifrati.</w:t>
      </w:r>
    </w:p>
    <w:p>
      <w:pPr>
        <w:spacing w:after="120" w:line="276"/>
        <w:jc w:val="both"/>
      </w:pPr>
      <w:r>
        <w:rPr>
          <w:rFonts w:ascii="Barlow Semi Condensed" w:cs="Barlow Semi Condensed" w:eastAsia="Barlow Semi Condensed" w:hAnsi="Barlow Semi Condensed"/>
          <w:sz w:val="24"/>
          <w:szCs w:val="24"/>
        </w:rPr>
        <w:t xml:space="preserve">Si registri quest'ultimo dato, poiché esso non è una discontinuità ma un'acquisizione positiva, e appartiene alla materia della Fase Quarta: gli scritti della prigionia furono sottoposti, all'epoca, a esame crittografico da parte di un servizio informativo d'arma. Ne segue che esiste, o esistette, una documentazione di quell'esame, formata da un ufficio determinato in un periodo determinato. Essa non figura in tavola e vi si iscrive.</w:t>
      </w:r>
    </w:p>
    <w:p>
      <w:pPr>
        <w:spacing w:after="120" w:line="276"/>
        <w:jc w:val="both"/>
      </w:pPr>
      <w:r>
        <w:rPr>
          <w:rFonts w:ascii="Barlow Semi Condensed" w:cs="Barlow Semi Condensed" w:eastAsia="Barlow Semi Condensed" w:hAnsi="Barlow Semi Condensed"/>
          <w:sz w:val="24"/>
          <w:szCs w:val="24"/>
        </w:rPr>
        <w:t xml:space="preserve">Voce ventottesima — L'esame crittografico degli scritti della prigionia. Oggetto: la documentazione dell'incarico affidato all'ufficio di decrittazione del servizio informativo della Marina avente per oggetto gli scritti provenienti dal prigioniero, e le risultanze di tale esame. Sede: archivi del Ministero della difesa e dello Stato maggiore della Marina. Chiusura: reperimento dell'atto di incarico e della relazione conclusiva. Smentita: l'inesistenza di documentazione dell'incarico, la quale collocherebbe la circostanza fra le attività non verbalizzate, come i comitati di crisi.</w:t>
      </w:r>
    </w:p>
    <w:p>
      <w:pPr>
        <w:pStyle w:val="Heading2"/>
        <w:spacing w:after="100" w:before="200"/>
      </w:pPr>
      <w:r>
        <w:rPr>
          <w:rFonts w:ascii="Barlow Semi Condensed" w:cs="Barlow Semi Condensed" w:eastAsia="Barlow Semi Condensed" w:hAnsi="Barlow Semi Condensed"/>
          <w:sz w:val="24"/>
          <w:szCs w:val="24"/>
        </w:rPr>
        <w:t xml:space="preserve">Parte quarta — Un collasso di tredici anni</w:t>
      </w:r>
    </w:p>
    <w:p>
      <w:pPr>
        <w:spacing w:after="120" w:line="276"/>
        <w:jc w:val="both"/>
      </w:pPr>
      <w:r>
        <w:rPr>
          <w:rFonts w:ascii="Barlow Semi Condensed" w:cs="Barlow Semi Condensed" w:eastAsia="Barlow Semi Condensed" w:hAnsi="Barlow Semi Condensed"/>
          <w:sz w:val="24"/>
          <w:szCs w:val="24"/>
        </w:rPr>
        <w:t xml:space="preserve">La relazione documenta il caso più limpido di collasso genealogico incontrato nell'intera serie, e lo documenta contro il clamore che lo circondava.</w:t>
      </w:r>
    </w:p>
    <w:p>
      <w:pPr>
        <w:spacing w:after="120" w:line="276"/>
        <w:jc w:val="both"/>
      </w:pPr>
      <w:r>
        <w:rPr>
          <w:rFonts w:ascii="Barlow Semi Condensed" w:cs="Barlow Semi Condensed" w:eastAsia="Barlow Semi Condensed" w:hAnsi="Barlow Semi Condensed"/>
          <w:sz w:val="24"/>
          <w:szCs w:val="24"/>
        </w:rPr>
        <w:t xml:space="preserve">Nel novembre millenovecentonovantatré la diffusione di un'intervista rilasciata a un'emittente straniera rese pubblica l'esistenza di due pianificazioni predisposte in previsione della conclusione del sequestro, l'una per l'eventualità del rilascio in vita e l'altra per quella del rinvenimento senza vita. La notizia suscitò, per dichiarazione dell'organo, vivo scalpore in tutti i mezzi di informazione nazionali, e vi fu attribuito significato di assoluta novità.</w:t>
      </w:r>
    </w:p>
    <w:p>
      <w:pPr>
        <w:spacing w:after="120" w:line="276"/>
        <w:jc w:val="both"/>
      </w:pPr>
      <w:r>
        <w:rPr>
          <w:rFonts w:ascii="Barlow Semi Condensed" w:cs="Barlow Semi Condensed" w:eastAsia="Barlow Semi Condensed" w:hAnsi="Barlow Semi Condensed"/>
          <w:sz w:val="24"/>
          <w:szCs w:val="24"/>
        </w:rPr>
        <w:t xml:space="preserve">L'organo osserva che si trattava di argomenti già comparsi in precedenza, e ne indica due occorrenze anteriori. La prima è un volume pubblicato sedici anni prima, nel quale è riportato uno stralcio di diario recante la vicenda con ampiezza di dettagli. La seconda, e decisiva, è l'audizione di un prefetto dinanzi alla prima Commissione parlamentare sul caso, nella seduta del sette novembre millenovecentottanta, negli atti di quella Commissione, VIII legislatura, documento XXIII numero 5, volume sesto, pagina quattro.</w:t>
      </w:r>
    </w:p>
    <w:p>
      <w:pPr>
        <w:spacing w:after="120" w:line="276"/>
        <w:jc w:val="both"/>
      </w:pPr>
      <w:r>
        <w:rPr>
          <w:rFonts w:ascii="Barlow Semi Condensed" w:cs="Barlow Semi Condensed" w:eastAsia="Barlow Semi Condensed" w:hAnsi="Barlow Semi Condensed"/>
          <w:sz w:val="24"/>
          <w:szCs w:val="24"/>
        </w:rPr>
        <w:t xml:space="preserve">Fra la fonte e la rivelazione corrono tredici anni. L'atto anteriore reca segnatura completa: legislatura, documento, numero, volume, pagina. Esso era pubblico, stampato e consultabile per l'intero periodo.</w:t>
      </w:r>
    </w:p>
    <w:p>
      <w:pPr>
        <w:spacing w:after="120" w:line="276"/>
        <w:jc w:val="both"/>
      </w:pPr>
      <w:r>
        <w:rPr>
          <w:rFonts w:ascii="Barlow Semi Condensed" w:cs="Barlow Semi Condensed" w:eastAsia="Barlow Semi Condensed" w:hAnsi="Barlow Semi Condensed"/>
          <w:sz w:val="24"/>
          <w:szCs w:val="24"/>
        </w:rPr>
        <w:t xml:space="preserve">Si enuncia la regola, che è la decima e chiude la serie aperta dall'appendice seconda.</w:t>
      </w:r>
    </w:p>
    <w:p>
      <w:pPr>
        <w:spacing w:after="120" w:line="276"/>
        <w:jc w:val="both"/>
      </w:pPr>
      <w:r>
        <w:rPr>
          <w:rFonts w:ascii="Barlow Semi Condensed" w:cs="Barlow Semi Condensed" w:eastAsia="Barlow Semi Condensed" w:hAnsi="Barlow Semi Condensed"/>
          <w:sz w:val="24"/>
          <w:szCs w:val="24"/>
        </w:rPr>
        <w:t xml:space="preserve">Decima regola della risalita. Una rivelazione è un atto di esposizione. Prima di computarla come fonte nuova se ne cerchi l'occorrenza anteriore, e la si cerchi negli atti pubblici prima che negli archivi chiusi. In una materia sulla quale si è pubblicato per decenni, la probabilità che un elemento presentato come inedito sia già stampato è alta, e il costo della verifica è quello di una consultazione.</w:t>
      </w:r>
    </w:p>
    <w:p>
      <w:pPr>
        <w:spacing w:after="120" w:line="276"/>
        <w:jc w:val="both"/>
      </w:pPr>
      <w:r>
        <w:rPr>
          <w:rFonts w:ascii="Barlow Semi Condensed" w:cs="Barlow Semi Condensed" w:eastAsia="Barlow Semi Condensed" w:hAnsi="Barlow Semi Condensed"/>
          <w:sz w:val="24"/>
          <w:szCs w:val="24"/>
        </w:rPr>
        <w:t xml:space="preserve">Si registra che questa regola, se applicata retroattivamente alla letteratura sul caso, muterebbe il computo di un numero di convergenze che il presente atto non è in grado di stimare e non stima.</w:t>
      </w:r>
    </w:p>
    <w:p>
      <w:pPr>
        <w:pStyle w:val="Heading2"/>
        <w:spacing w:after="100" w:before="200"/>
      </w:pPr>
      <w:r>
        <w:rPr>
          <w:rFonts w:ascii="Barlow Semi Condensed" w:cs="Barlow Semi Condensed" w:eastAsia="Barlow Semi Condensed" w:hAnsi="Barlow Semi Condensed"/>
          <w:sz w:val="24"/>
          <w:szCs w:val="24"/>
        </w:rPr>
        <w:t xml:space="preserve">Parte quinta — Le carte, e l'ordine ritrovato</w:t>
      </w:r>
    </w:p>
    <w:p>
      <w:pPr>
        <w:spacing w:after="120" w:line="276"/>
        <w:jc w:val="both"/>
      </w:pPr>
      <w:r>
        <w:rPr>
          <w:rFonts w:ascii="Barlow Semi Condensed" w:cs="Barlow Semi Condensed" w:eastAsia="Barlow Semi Condensed" w:hAnsi="Barlow Semi Condensed"/>
          <w:sz w:val="24"/>
          <w:szCs w:val="24"/>
        </w:rPr>
        <w:t xml:space="preserve">La relazione reca, quanto agli scritti della prigionia, tre acquisizioni che appartengono alla materia della Fase Quarta e che ne toccano la disciplina di lettura.</w:t>
      </w:r>
    </w:p>
    <w:p>
      <w:pPr>
        <w:spacing w:after="120" w:line="276"/>
        <w:jc w:val="both"/>
      </w:pPr>
      <w:r>
        <w:rPr>
          <w:rFonts w:ascii="Barlow Semi Condensed" w:cs="Barlow Semi Condensed" w:eastAsia="Barlow Semi Condensed" w:hAnsi="Barlow Semi Condensed"/>
          <w:sz w:val="24"/>
          <w:szCs w:val="24"/>
        </w:rPr>
        <w:t xml:space="preserve">Prima. Il testo dattiloscritto sequestrato nell'ottobre millenovecentosettantotto corrisponde alla trascrizione di circa una metà del manoscritto rinvenuto nel millenovecentonovanta, e dal dattiloscritto mancano l'intera prima parte e taluni passaggi della seconda. L'organo indica quali siano i passaggi mancanti dalla seconda parte per materia. Il fatto della difformità fra le due versioni è documentale; la spiegazione della difformità non lo è, e l'organo espone entrambe le direzioni senza risolvere fra esse.</w:t>
      </w:r>
    </w:p>
    <w:p>
      <w:pPr>
        <w:spacing w:after="120" w:line="276"/>
        <w:jc w:val="both"/>
      </w:pPr>
      <w:r>
        <w:rPr>
          <w:rFonts w:ascii="Barlow Semi Condensed" w:cs="Barlow Semi Condensed" w:eastAsia="Barlow Semi Condensed" w:hAnsi="Barlow Semi Condensed"/>
          <w:sz w:val="24"/>
          <w:szCs w:val="24"/>
        </w:rPr>
        <w:t xml:space="preserve">Seconda, e la più rilevante per la disciplina dell'opera. Uno studio filologico, condotto anche sulle carte di un perito linguista del tribunale che aveva esaminato i comunicati, ha stabilito per via interna al testo che il manoscritto rinvenuto nel millenovecentonovanta reca almeno due rinvii a passaggi dei quali non vi è traccia nelle versioni conosciute, e ne ha inferito che esso abbia subito sottrazioni limitate e circostanziate. Lo studio è stato acquisito agli atti del quinto procedimento.</w:t>
      </w:r>
    </w:p>
    <w:p>
      <w:pPr>
        <w:spacing w:after="120" w:line="276"/>
        <w:jc w:val="both"/>
      </w:pPr>
      <w:r>
        <w:rPr>
          <w:rFonts w:ascii="Barlow Semi Condensed" w:cs="Barlow Semi Condensed" w:eastAsia="Barlow Semi Condensed" w:hAnsi="Barlow Semi Condensed"/>
          <w:sz w:val="24"/>
          <w:szCs w:val="24"/>
        </w:rPr>
        <w:t xml:space="preserve">Il metodo impiegato va nominato perché appartiene al genere che l'opera pratica: si tratta della ricerca delle discontinuità interne a un testo mediante la classificazione dei suoi rinvii anaforici, cioè delle espressioni con le quali chi scrive richiama ciò che ha già detto. Un rinvio senza referente è, entro un testo coerente, l'equivalente di un atto che entra in un ufficio e non ne esce. La figura è la medesima e cambia il supporto.</w:t>
      </w:r>
    </w:p>
    <w:p>
      <w:pPr>
        <w:spacing w:after="120" w:line="276"/>
        <w:jc w:val="both"/>
      </w:pPr>
      <w:r>
        <w:rPr>
          <w:rFonts w:ascii="Barlow Semi Condensed" w:cs="Barlow Semi Condensed" w:eastAsia="Barlow Semi Condensed" w:hAnsi="Barlow Semi Condensed"/>
          <w:sz w:val="24"/>
          <w:szCs w:val="24"/>
        </w:rPr>
        <w:t xml:space="preserve">Terza. Dallo studio risulta che il testo fu redatto in risposta a sedici quesiti posti dai detentori, dei quali l'organo elenca la materia; che l'interrogatorio non ebbe inizio subito dopo il sequestro ma nei primi giorni di aprile e si concluse verso la fine del medesimo mese; e che l'articolazione tematica non era stata percepita in precedenza a causa dello stato di confusione delle versioni, difformi persino nella numerazione delle pagine.</w:t>
      </w:r>
    </w:p>
    <w:p>
      <w:pPr>
        <w:spacing w:after="120" w:line="276"/>
        <w:jc w:val="both"/>
      </w:pPr>
      <w:r>
        <w:rPr>
          <w:rFonts w:ascii="Barlow Semi Condensed" w:cs="Barlow Semi Condensed" w:eastAsia="Barlow Semi Condensed" w:hAnsi="Barlow Semi Condensed"/>
          <w:sz w:val="24"/>
          <w:szCs w:val="24"/>
        </w:rPr>
        <w:t xml:space="preserve">Questa terza acquisizione tocca la scala del vincolo istituita dalla Fase Quarta. Quella scala gradua le proposizioni scritte sotto costrizione secondo l'intensità del vincolo che le governa; essa presuppone di sapere che cosa fosse stato domandato, poiché una risposta si valuta contro la domanda. Fino a oggi le domande erano ignote e la scala operava su enunciati privi del proprio contesto interrogativo. Le sedici materie, se confermate sull'atto, restituiscono quel contesto.</w:t>
      </w:r>
    </w:p>
    <w:p>
      <w:pPr>
        <w:spacing w:after="120" w:line="276"/>
        <w:jc w:val="both"/>
      </w:pPr>
      <w:r>
        <w:rPr>
          <w:rFonts w:ascii="Barlow Semi Condensed" w:cs="Barlow Semi Condensed" w:eastAsia="Barlow Semi Condensed" w:hAnsi="Barlow Semi Condensed"/>
          <w:sz w:val="24"/>
          <w:szCs w:val="24"/>
        </w:rPr>
        <w:t xml:space="preserve">Si dichiara che il presente atto non le recepisce nel corpo dell'opera e non muta alcun grado. Esse provengono da un'esposizione parlamentare di uno studio privato acquisito a un procedimento: tre passaggi, e la risalita si arresta al primo. Si iscrivono come acquisizione da conseguire.</w:t>
      </w:r>
    </w:p>
    <w:p>
      <w:pPr>
        <w:spacing w:after="120" w:line="276"/>
        <w:jc w:val="both"/>
      </w:pPr>
      <w:r>
        <w:rPr>
          <w:rFonts w:ascii="Barlow Semi Condensed" w:cs="Barlow Semi Condensed" w:eastAsia="Barlow Semi Condensed" w:hAnsi="Barlow Semi Condensed"/>
          <w:sz w:val="24"/>
          <w:szCs w:val="24"/>
        </w:rPr>
        <w:t xml:space="preserve">Voce ventinovesima — L'ordine interrogativo del testo della prigionia. Oggetto: lo studio filologico acquisito agli atti del quinto procedimento, e le sue risultanze quanto ai rinvii privi di referente e quanto all'articolazione del testo in risposte a quesiti determinati. Sede: atti del quinto procedimento presso l'ufficio competente; l'edizione a stampa dello studio, che è pubblica. Chiusura: acquisizione dello studio e verifica delle sue risultanze sul testo. Smentita: la constatazione che i rinvii privi di referente si spieghino con la confusione della numerazione anziché con sottrazioni, spiegazione che l'organo medesimo dichiara possibile quanto allo stato delle versioni.</w:t>
      </w:r>
    </w:p>
    <w:p>
      <w:pPr>
        <w:pStyle w:val="Heading2"/>
        <w:spacing w:after="100" w:before="200"/>
      </w:pPr>
      <w:r>
        <w:rPr>
          <w:rFonts w:ascii="Barlow Semi Condensed" w:cs="Barlow Semi Condensed" w:eastAsia="Barlow Semi Condensed" w:hAnsi="Barlow Semi Condensed"/>
          <w:sz w:val="24"/>
          <w:szCs w:val="24"/>
        </w:rPr>
        <w:t xml:space="preserve">Parte sesta — Le classi dichiarative e la disciplina che vi si applica</w:t>
      </w:r>
    </w:p>
    <w:p>
      <w:pPr>
        <w:spacing w:after="120" w:line="276"/>
        <w:jc w:val="both"/>
      </w:pPr>
      <w:r>
        <w:rPr>
          <w:rFonts w:ascii="Barlow Semi Condensed" w:cs="Barlow Semi Condensed" w:eastAsia="Barlow Semi Condensed" w:hAnsi="Barlow Semi Condensed"/>
          <w:sz w:val="24"/>
          <w:szCs w:val="24"/>
        </w:rPr>
        <w:t xml:space="preserve">La relazione dedica una sezione a dichiarazioni provenienti da collaboratori di giustizia di ambienti criminali diversi, concernenti presunte attivazioni per la ricerca del prigioniero e presunti interessamenti di ambienti politici alla loro cessazione. Il presente atto non ne riferisce il contenuto, e la ragione va dichiarata.</w:t>
      </w:r>
    </w:p>
    <w:p>
      <w:pPr>
        <w:spacing w:after="120" w:line="276"/>
        <w:jc w:val="both"/>
      </w:pPr>
      <w:r>
        <w:rPr>
          <w:rFonts w:ascii="Barlow Semi Condensed" w:cs="Barlow Semi Condensed" w:eastAsia="Barlow Semi Condensed" w:hAnsi="Barlow Semi Condensed"/>
          <w:sz w:val="24"/>
          <w:szCs w:val="24"/>
        </w:rPr>
        <w:t xml:space="preserve">Queste dichiarazioni appartengono, nel repertorio critico dell'opera, a due classi con grado massimo dichiarato e a una terza con grado nullo. La prima è quella delle dichiarazioni di dissociati e collaboratori, originaria e interessata, con grado intermedio elevabile in caso di convergenza fra dichiaranti con interessi divergenti. La seconda è quella del de relato di secondo grado, derivata due volte, con grado minimo e con divieto espresso di impiego come conferma di altre fonti. La terza è quella delle esposizioni giornalistiche, che non conferisce grado alcuno.</w:t>
      </w:r>
    </w:p>
    <w:p>
      <w:pPr>
        <w:spacing w:after="120" w:line="276"/>
        <w:jc w:val="both"/>
      </w:pPr>
      <w:r>
        <w:rPr>
          <w:rFonts w:ascii="Barlow Semi Condensed" w:cs="Barlow Semi Condensed" w:eastAsia="Barlow Semi Condensed" w:hAnsi="Barlow Semi Condensed"/>
          <w:sz w:val="24"/>
          <w:szCs w:val="24"/>
        </w:rPr>
        <w:t xml:space="preserve">Gran parte del materiale qui in questione appartiene alla seconda classe: sono dichiarazioni su ciò che un terzo avrebbe detto a un quarto. Ad esse si applica il divieto, e il divieto è assoluto: non possono essere computate come conferma, quale che sia il loro numero e quale che sia la convergenza apparente fra esse. Si aggiunge la cautela introdotta dall'appendice seconda alla propria terza regola: dichiaranti che abbiano appreso il medesimo fatto dal medesimo ambiente non sono catene distinte, e la divergenza dei loro interessi controlla la sincerità e non l'indipendenza.</w:t>
      </w:r>
    </w:p>
    <w:p>
      <w:pPr>
        <w:spacing w:after="120" w:line="276"/>
        <w:jc w:val="both"/>
      </w:pPr>
      <w:r>
        <w:rPr>
          <w:rFonts w:ascii="Barlow Semi Condensed" w:cs="Barlow Semi Condensed" w:eastAsia="Barlow Semi Condensed" w:hAnsi="Barlow Semi Condensed"/>
          <w:sz w:val="24"/>
          <w:szCs w:val="24"/>
        </w:rPr>
        <w:t xml:space="preserve">Si registra soltanto ciò che è designabile per atto e che appartiene al genere dell'opera: una delle dichiarazioni riportate è riprodotta in un atto parlamentare recante segnatura completa, ed è la domanda di autorizzazione a procedere stampata come atto del Senato, documento IV numero 179, XI legislatura. Di essa si registra l'esistenza e la segnatura, e null'altro.</w:t>
      </w:r>
    </w:p>
    <w:p>
      <w:pPr>
        <w:spacing w:after="120" w:line="276"/>
        <w:jc w:val="both"/>
      </w:pPr>
      <w:r>
        <w:rPr>
          <w:rFonts w:ascii="Barlow Semi Condensed" w:cs="Barlow Semi Condensed" w:eastAsia="Barlow Semi Condensed" w:hAnsi="Barlow Semi Condensed"/>
          <w:sz w:val="24"/>
          <w:szCs w:val="24"/>
        </w:rPr>
        <w:t xml:space="preserve">Si dichiara espressamente che l'organo medesimo, nelle proprie conclusioni, afferma che non sono emersi elementi certi che consentano di affermare l'eterodirezione dell'organizzazione, e formula quanto all'attivazione di ambienti criminali una proposizione dichiaratamente non risolta. L'opera recepisce questa formulazione al grado che essa reca, che è quello di una valutazione di organo qualificato, e non oltre.</w:t>
      </w:r>
    </w:p>
    <w:p>
      <w:pPr>
        <w:pStyle w:val="Heading2"/>
        <w:spacing w:after="100" w:before="200"/>
      </w:pPr>
      <w:r>
        <w:rPr>
          <w:rFonts w:ascii="Barlow Semi Condensed" w:cs="Barlow Semi Condensed" w:eastAsia="Barlow Semi Condensed" w:hAnsi="Barlow Semi Condensed"/>
          <w:sz w:val="24"/>
          <w:szCs w:val="24"/>
        </w:rPr>
        <w:t xml:space="preserve">Parte settima — Gli otto interrogativi residui e la loro designazione</w:t>
      </w:r>
    </w:p>
    <w:p>
      <w:pPr>
        <w:spacing w:after="120" w:line="276"/>
        <w:jc w:val="both"/>
      </w:pPr>
      <w:r>
        <w:rPr>
          <w:rFonts w:ascii="Barlow Semi Condensed" w:cs="Barlow Semi Condensed" w:eastAsia="Barlow Semi Condensed" w:hAnsi="Barlow Semi Condensed"/>
          <w:sz w:val="24"/>
          <w:szCs w:val="24"/>
        </w:rPr>
        <w:t xml:space="preserve">La relazione richiama gli interrogativi già dichiarati irrisolti dalla relazione conclusiva della X legislatura, documento XXIII numero 49, ed essi sono otto: l'esatta dinamica dei fatti del sedici marzo e del rapimento; la scomparsa, nel corso della prima istruttoria, di un rullino fotografico contenente immagini dell'agguato; l'eventuale presenza di elementi della criminalità organizzata sul luogo dell'agguato; il blocco di linee telefoniche in coincidenza con i fatti e, successivamente, con la diffusione di un comunicato; l'individuazione del luogo di prigionia; l'identificazione di un quarto uomo nella base e la sua eventuale appartenenza a formazioni diverse; l'identificazione della persona che nell'appartamento risiedeva sotto identità apparente; la vicenda del comunicato apocrifo.</w:t>
      </w:r>
    </w:p>
    <w:p>
      <w:pPr>
        <w:spacing w:after="120" w:line="276"/>
        <w:jc w:val="both"/>
      </w:pPr>
      <w:r>
        <w:rPr>
          <w:rFonts w:ascii="Barlow Semi Condensed" w:cs="Barlow Semi Condensed" w:eastAsia="Barlow Semi Condensed" w:hAnsi="Barlow Semi Condensed"/>
          <w:sz w:val="24"/>
          <w:szCs w:val="24"/>
        </w:rPr>
        <w:t xml:space="preserve">Si registra che due di questi otto sono stati risolti negli anni successivi, e che l'opera li tratta come risolti: il luogo di prigionia e l'identificazione della persona sotto identità apparente. Si registra altresì che uno di essi — la scomparsa del rullino fotografico nel corso della prima istruttoria — non figura nella tavola delle acquisizioni necessarie dell'opera, e che la sua assenza è una lacuna della tavola e non della relazione.</w:t>
      </w:r>
    </w:p>
    <w:p>
      <w:pPr>
        <w:spacing w:after="120" w:line="276"/>
        <w:jc w:val="both"/>
      </w:pPr>
      <w:r>
        <w:rPr>
          <w:rFonts w:ascii="Barlow Semi Condensed" w:cs="Barlow Semi Condensed" w:eastAsia="Barlow Semi Condensed" w:hAnsi="Barlow Semi Condensed"/>
          <w:sz w:val="24"/>
          <w:szCs w:val="24"/>
        </w:rPr>
        <w:t xml:space="preserve">Voce trentesima — Il rullino fotografico scomparso nella prima istruttoria. Oggetto: gli atti relativi alla formazione, all'acquisizione e alla scomparsa del rullino contenente immagini dell'agguato, e la documentazione degli accertamenti condotti all'epoca sulla scomparsa. Sede: atti del primo procedimento; atti della Commissione della VIII legislatura. Chiusura: reperimento degli atti di acquisizione e di quelli relativi alla scomparsa. Smentita: la constatazione che il rullino non fosse mai stato acquisito agli atti, nel qual caso non vi sarebbe scomparsa ma mancata acquisizione, che è figura diversa e va trattata come tale.</w:t>
      </w:r>
    </w:p>
    <w:p>
      <w:pPr>
        <w:pStyle w:val="Heading2"/>
        <w:spacing w:after="100" w:before="200"/>
      </w:pPr>
      <w:r>
        <w:rPr>
          <w:rFonts w:ascii="Barlow Semi Condensed" w:cs="Barlow Semi Condensed" w:eastAsia="Barlow Semi Condensed" w:hAnsi="Barlow Semi Condensed"/>
          <w:sz w:val="24"/>
          <w:szCs w:val="24"/>
        </w:rPr>
        <w:t xml:space="preserve">Parte ottava — Mutazioni di stato e Stati Zero</w:t>
      </w:r>
    </w:p>
    <w:p>
      <w:pPr>
        <w:spacing w:after="120" w:line="276"/>
        <w:jc w:val="both"/>
      </w:pPr>
      <w:r>
        <w:rPr>
          <w:rFonts w:ascii="Barlow Semi Condensed" w:cs="Barlow Semi Condensed" w:eastAsia="Barlow Semi Condensed" w:hAnsi="Barlow Semi Condensed"/>
          <w:sz w:val="24"/>
          <w:szCs w:val="24"/>
        </w:rPr>
        <w:t xml:space="preserve">Si registrano le mutazioni. La Voce ventesima progredisce quanto agli strumenti e non quanto al numero: essa dispone ora dell'indicazione di un repertorio generale che, se acquisito, la esaurirebbe per la parte degli atti transitati per una sede determinata. Si iscrivono le Voci ventisettesima, ventottesima, ventinovesima e trentesima.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Primo: non è accertato se la raccomandazione di acquisire l'oggetto degli atti repertati sia stata eseguita dall'organismo successivo. Secondo: non è accertato se il repertorio generale rechi, per ciascuna voce, l'oggetto dell'atto ovvero il solo estremo di protocollo. Terzo: la relazione conclusiva della X legislatura, documento XXIII numero 49, non è posseduta, ed è la fonte alla quale la presente rinvia in quattro punti; il suo reperimento è preliminare a quattro delle acquisizioni qui iscritte. Quarto: gli atti della Commissione della VIII legislatura, documento XXIII numero 5, non sono posseduti, e il volume sesto è quello che reca l'occorrenza anteriore di cui alla Parte quarta.</w:t>
      </w:r>
    </w:p>
    <w:p>
      <w:pPr>
        <w:spacing w:after="120" w:line="276"/>
        <w:jc w:val="both"/>
      </w:pPr>
      <w:r>
        <w:rPr>
          <w:rFonts w:ascii="Barlow Semi Condensed" w:cs="Barlow Semi Condensed" w:eastAsia="Barlow Semi Condensed" w:hAnsi="Barlow Semi Condensed"/>
          <w:sz w:val="24"/>
          <w:szCs w:val="24"/>
        </w:rPr>
        <w:t xml:space="preserve">Si osservi che il terzo e il quarto Stato Zero riguardano documenti a stampa degli atti parlamentari, pubblici e privi di regime di riservatezza. Essi appartengono, come la terza divergenza della Voce venticinquesima, alla classe delle acquisizioni che richiedono la consultazione di un volume.</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quarta del giorno sul medesimo cantiere. Cantiere: designazione per atto delle fonti. Materia: la prima unità di produzione della serie, relazione parlamentare della XI legislatura sugli sviluppi del caso.</w:t>
      </w:r>
    </w:p>
    <w:p>
      <w:pPr>
        <w:spacing w:after="120" w:line="276"/>
        <w:jc w:val="both"/>
      </w:pPr>
      <w:r>
        <w:rPr>
          <w:rFonts w:ascii="Barlow Semi Condensed" w:cs="Barlow Semi Condensed" w:eastAsia="Barlow Semi Condensed" w:hAnsi="Barlow Semi Condensed"/>
          <w:sz w:val="24"/>
          <w:szCs w:val="24"/>
        </w:rPr>
        <w:t xml:space="preserve">Esito positivo: individuazione dell'esistenza e della sede di un repertorio generale di tutti gli atti concernenti il caso transitati per il Gabinetto del Ministro dell'interno, con iscrizione della voce corrispondente; tre discontinuità documentate, delle quali una nella forma dell'ordine presente al destinatario e assente all'emittente; accertamento che i comitati di crisi non produssero atto d'insediamento né verbalizzazione, con conseguente qualificazione del valore e del limite dell'unità quarantaduesima; documentazione di un collasso genealogico di tredici anni fra una rivelazione del millenovecentonovantatré e un atto parlamentare a stampa del millenovecentottanta, con segnatura completa; individuazione dell'esame crittografico degli scritti della prigionia; individuazione dell'articolazione del testo della prigionia in risposte a sedici quesiti determinati; enunciazione della nona e della decima regola della risalita; quattro voci nuove iscritte in tavola.</w:t>
      </w:r>
    </w:p>
    <w:p>
      <w:pPr>
        <w:spacing w:after="120" w:line="276"/>
        <w:jc w:val="both"/>
      </w:pPr>
      <w:r>
        <w:rPr>
          <w:rFonts w:ascii="Barlow Semi Condensed" w:cs="Barlow Semi Condensed" w:eastAsia="Barlow Semi Condensed" w:hAnsi="Barlow Semi Condensed"/>
          <w:sz w:val="24"/>
          <w:szCs w:val="24"/>
        </w:rPr>
        <w:t xml:space="preserve">Esito negativo: la relazione conclusiva della X legislatura e gli atti della Commissione della VIII non sono posseduti, e sono documenti a stampa pubblici; non è accertata l'esecuzione della raccomandazione sul repertorio; non è accertata la forma delle voci del repertorio.</w:t>
      </w:r>
    </w:p>
    <w:p>
      <w:pPr>
        <w:spacing w:after="120" w:line="276"/>
        <w:jc w:val="both"/>
      </w:pPr>
      <w:r>
        <w:rPr>
          <w:rFonts w:ascii="Barlow Semi Condensed" w:cs="Barlow Semi Condensed" w:eastAsia="Barlow Semi Condensed" w:hAnsi="Barlow Semi Condensed"/>
          <w:sz w:val="24"/>
          <w:szCs w:val="24"/>
        </w:rPr>
        <w:t xml:space="preserve">Riga di lacuna propria. Uno degli otto interrogativi dichiarati irrisolti dalla Commissione della X legislatura non figura nella tavola delle acquisizioni necessarie dell'opera, ed è la scomparsa di un rullino fotografico nel corso della prima istruttoria. L'omissione è dell'opera. Si registra che essa non deriva da una valutazione di irrilevanza, poiché nessuna valutazione risulta essere stata compiuta: l'elemento non era stato censito.</w:t>
      </w:r>
    </w:p>
    <w:p>
      <w:pPr>
        <w:spacing w:after="120" w:line="276"/>
        <w:jc w:val="both"/>
      </w:pPr>
      <w:r>
        <w:rPr>
          <w:rFonts w:ascii="Barlow Semi Condensed" w:cs="Barlow Semi Condensed" w:eastAsia="Barlow Semi Condensed" w:hAnsi="Barlow Semi Condensed"/>
          <w:sz w:val="24"/>
          <w:szCs w:val="24"/>
        </w:rPr>
        <w:t xml:space="preserve">Riga di avvertenza. La relazione qui esaminata contiene dichiarazioni di terzi su condotte di persone determinate, riportate dall'organo con la qualificazione che i loro autori vi apposero. Il presente atto non ne riferisce il contenuto e non lo recepisce ad alcun grado. Si è riportata la sola formulazione conclusiva dell'organo, e la si è riportata al grado che le compete, che è quello della valutazione di organo qualificato e non quello dell'accertamento.</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SESTA ALLA FASE SETTIMA, la prima unità di produzione, quindici agosto duemilaventisei. I settanta Capitoli restano settanta. Le redazioni anteriori non sono modificate: le pietre deposte non si scalpellano. Resta sovrana la Regola di Ferro: dove la fonte documenta, l'opera certifica; dove la fonte tace, l'opera indaga e non afferma. Una rivelazione è un atto di esposizione, e prima di computarla come nuova se ne cerchi l'occorrenza anteriore negli atti a stampa.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III · Appendice sesta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III: 3.472 parole in 9 sezioni; la più ampia è §9 Altre sezioni, con 3.090.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III: 54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IV — Appendice settima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SETTIMA ALLA FASE SETTIMA</w:t>
      </w:r>
    </w:p>
    <w:p>
      <w:pPr>
        <w:pStyle w:val="Heading2"/>
        <w:spacing w:after="100" w:before="200"/>
      </w:pPr>
      <w:r>
        <w:rPr>
          <w:rFonts w:ascii="Barlow Semi Condensed" w:cs="Barlow Semi Condensed" w:eastAsia="Barlow Semi Condensed" w:hAnsi="Barlow Semi Condensed"/>
          <w:sz w:val="24"/>
          <w:szCs w:val="24"/>
        </w:rPr>
        <w:t xml:space="preserve">L'organismo successore e la dichiarazione del proprio standard</w:t>
      </w:r>
    </w:p>
    <w:p>
      <w:pPr>
        <w:pStyle w:val="Heading2"/>
        <w:spacing w:after="100" w:before="200"/>
      </w:pPr>
      <w:r>
        <w:rPr>
          <w:rFonts w:ascii="Barlow Semi Condensed" w:cs="Barlow Semi Condensed" w:eastAsia="Barlow Semi Condensed" w:hAnsi="Barlow Semi Condensed"/>
          <w:sz w:val="24"/>
          <w:szCs w:val="24"/>
        </w:rPr>
        <w:t xml:space="preserve">Le due relazioni semestrali della XII legislatura, documenti XXIII numeri 1 e 3</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settima</w:t>
      </w:r>
    </w:p>
    <w:p>
      <w:pPr>
        <w:spacing w:after="120" w:line="276"/>
        <w:jc w:val="both"/>
      </w:pPr>
      <w:r>
        <w:rPr>
          <w:rFonts w:ascii="Barlow Semi Condensed" w:cs="Barlow Semi Condensed" w:eastAsia="Barlow Semi Condensed" w:hAnsi="Barlow Semi Condensed"/>
          <w:sz w:val="24"/>
          <w:szCs w:val="24"/>
        </w:rPr>
        <w:t xml:space="preserve">La presente è appendice settima alla Fase Settima e opera sulle due relazioni semestrali sullo stato dei lavori presentate nella XII legislatura dal Presidente della Commissione parlamentare d'inchiesta sul terrorismo e sulle stragi, comunicate alle Presidenze il ventisei gennaio e il venti luglio millenovecentonovantacinque e stampate come documenti XXIII numeri 1 e 3. Come le sei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L'unità è scelta per una ragione determinata. L'appendice sesta ha dichiarato uno Stato Zero sull'esecuzione della raccomandazione con la quale la Commissione della legislatura anteriore affidava all'organismo successore l'acquisizione dell'oggetto degli atti repertati presso il Gabinetto del Ministro dell'interno. L'organismo successore è quello del quale qui si esaminano le relazioni. Interrogarlo era, per la regola tratta a proprio sfavore due volte nella medesima giornata, l'operazione dovuta prima di ogni altra.</w:t>
      </w:r>
    </w:p>
    <w:p>
      <w:pPr>
        <w:pStyle w:val="Heading2"/>
        <w:spacing w:after="100" w:before="200"/>
      </w:pPr>
      <w:r>
        <w:rPr>
          <w:rFonts w:ascii="Barlow Semi Condensed" w:cs="Barlow Semi Condensed" w:eastAsia="Barlow Semi Condensed" w:hAnsi="Barlow Semi Condensed"/>
          <w:sz w:val="24"/>
          <w:szCs w:val="24"/>
        </w:rPr>
        <w:t xml:space="preserve">Parte prima — La dichiarazione dello standard, e la sua conseguenza sul grado</w:t>
      </w:r>
    </w:p>
    <w:p>
      <w:pPr>
        <w:spacing w:after="120" w:line="276"/>
        <w:jc w:val="both"/>
      </w:pPr>
      <w:r>
        <w:rPr>
          <w:rFonts w:ascii="Barlow Semi Condensed" w:cs="Barlow Semi Condensed" w:eastAsia="Barlow Semi Condensed" w:hAnsi="Barlow Semi Condensed"/>
          <w:sz w:val="24"/>
          <w:szCs w:val="24"/>
        </w:rPr>
        <w:t xml:space="preserve">Le due relazioni contengono un passaggio che vale, ai fini dell'apparato dell'opera, più di ogni acquisizione documentale che esse recano, ed è la dichiarazione con la quale l'organo definisce il proprio standard probatorio.</w:t>
      </w:r>
    </w:p>
    <w:p>
      <w:pPr>
        <w:spacing w:after="120" w:line="276"/>
        <w:jc w:val="both"/>
      </w:pPr>
      <w:r>
        <w:rPr>
          <w:rFonts w:ascii="Barlow Semi Condensed" w:cs="Barlow Semi Condensed" w:eastAsia="Barlow Semi Condensed" w:hAnsi="Barlow Semi Condensed"/>
          <w:sz w:val="24"/>
          <w:szCs w:val="24"/>
        </w:rPr>
        <w:t xml:space="preserve">L'organo dichiara che i propri compiti non si identificano con quelli della magistratura; che la magistratura deve attenersi alla ricerca scrupolosa della prova con l'intento di perseguire responsabilità individuali; e che la Commissione può, e in alcuni casi deve, andare oltre la prova intesa in senso strettamente processuale, la quale potrebbe rivelarsi insufficiente alla comprensione di fenomeni generalizzati e complessi rispetto ai quali l'ottica del processo penale può apparire inadeguata se non addirittura deformante. Dichiara inoltre di essere in grado di assumere a criteri di giudizio elementi di prova che qualifica come sociale, e con essi comportamenti politici, orientamenti e linee di azione di gruppi e di fazioni.</w:t>
      </w:r>
    </w:p>
    <w:p>
      <w:pPr>
        <w:spacing w:after="120" w:line="276"/>
        <w:jc w:val="both"/>
      </w:pPr>
      <w:r>
        <w:rPr>
          <w:rFonts w:ascii="Barlow Semi Condensed" w:cs="Barlow Semi Condensed" w:eastAsia="Barlow Semi Condensed" w:hAnsi="Barlow Semi Condensed"/>
          <w:sz w:val="24"/>
          <w:szCs w:val="24"/>
        </w:rPr>
        <w:t xml:space="preserve">Questa dichiarazione va accolta per ciò che è, e ciò che è va detto senza attenuazioni in nessuna delle due direzioni.</w:t>
      </w:r>
    </w:p>
    <w:p>
      <w:pPr>
        <w:spacing w:after="120" w:line="276"/>
        <w:jc w:val="both"/>
      </w:pPr>
      <w:r>
        <w:rPr>
          <w:rFonts w:ascii="Barlow Semi Condensed" w:cs="Barlow Semi Condensed" w:eastAsia="Barlow Semi Condensed" w:hAnsi="Barlow Semi Condensed"/>
          <w:sz w:val="24"/>
          <w:szCs w:val="24"/>
        </w:rPr>
        <w:t xml:space="preserve">Essa non è un'ammissione di debolezza e non va letta come tale. L'organo argomenta che la propria specificità istituzionale si esalta là dove il magistrato si arresta, e osserva che ciò discende dalla stessa intitolazione della Commissione, alla quale è affidato il giudizio sulle cause della mancata individuazione — evidentemente in sede giudiziaria — dei responsabili. L'argomento è corretto: un organo istituito per accertare perché una prova non fu raggiunta non può essere vincolato allo standard di quella prova, altrimenti il suo oggetto gli sarebbe precluso per definizione.</w:t>
      </w:r>
    </w:p>
    <w:p>
      <w:pPr>
        <w:spacing w:after="120" w:line="276"/>
        <w:jc w:val="both"/>
      </w:pPr>
      <w:r>
        <w:rPr>
          <w:rFonts w:ascii="Barlow Semi Condensed" w:cs="Barlow Semi Condensed" w:eastAsia="Barlow Semi Condensed" w:hAnsi="Barlow Semi Condensed"/>
          <w:sz w:val="24"/>
          <w:szCs w:val="24"/>
        </w:rPr>
        <w:t xml:space="preserve">Essa è però, quanto al grado conferibile alle risultanze dell'organo, decisiva e in un solo verso. Il repertorio critico dell'opera assegna agli atti delle Commissioni il grado massimo per le acquisizioni documentali e il grado intermedio per le ricostruzioni e le valutazioni. Quella distinzione era, fino a oggi, una cautela dell'opera, adottata per prudenza e senza il conforto di una dichiarazione dell'organo graduato. Ora essa riposa sulla dichiarazione dell'organo medesimo, il quale afferma di adottare per le proprie valutazioni uno standard deliberatamente diverso da quello della prova e più largo di esso.</w:t>
      </w:r>
    </w:p>
    <w:p>
      <w:pPr>
        <w:spacing w:after="120" w:line="276"/>
        <w:jc w:val="both"/>
      </w:pPr>
      <w:r>
        <w:rPr>
          <w:rFonts w:ascii="Barlow Semi Condensed" w:cs="Barlow Semi Condensed" w:eastAsia="Barlow Semi Condensed" w:hAnsi="Barlow Semi Condensed"/>
          <w:sz w:val="24"/>
          <w:szCs w:val="24"/>
        </w:rPr>
        <w:t xml:space="preserve">Si enuncia la regola, che è l'undicesima della serie.</w:t>
      </w:r>
    </w:p>
    <w:p>
      <w:pPr>
        <w:spacing w:after="120" w:line="276"/>
        <w:jc w:val="both"/>
      </w:pPr>
      <w:r>
        <w:rPr>
          <w:rFonts w:ascii="Barlow Semi Condensed" w:cs="Barlow Semi Condensed" w:eastAsia="Barlow Semi Condensed" w:hAnsi="Barlow Semi Condensed"/>
          <w:sz w:val="24"/>
          <w:szCs w:val="24"/>
        </w:rPr>
        <w:t xml:space="preserve">Undicesima regola della risalita. Quando un organo dichiara il proprio standard, il grado delle sue ricostruzioni si fissa su quella dichiarazione e non sull'autorevolezza della sede. Una valutazione formulata dichiaratamente oltre la soglia della prova non acquista quella soglia per il fatto di essere stampata negli atti parlamentari. La sede conferisce pubblicità e non conferisce grado.</w:t>
      </w:r>
    </w:p>
    <w:p>
      <w:pPr>
        <w:spacing w:after="120" w:line="276"/>
        <w:jc w:val="both"/>
      </w:pPr>
      <w:r>
        <w:rPr>
          <w:rFonts w:ascii="Barlow Semi Condensed" w:cs="Barlow Semi Condensed" w:eastAsia="Barlow Semi Condensed" w:hAnsi="Barlow Semi Condensed"/>
          <w:sz w:val="24"/>
          <w:szCs w:val="24"/>
        </w:rPr>
        <w:t xml:space="preserve">Si dichiara che questa regola non abbassa alcun grado nell'opera, poiché l'opera aveva già collocato le ricostruzioni parlamentari al grado intermedio. Essa ne consolida il fondamento, che passa dalla prudenza dell'autore alla dichiarazione della fonte, ed è un mutamento di natura e non di esito.</w:t>
      </w:r>
    </w:p>
    <w:p>
      <w:pPr>
        <w:pStyle w:val="Heading2"/>
        <w:spacing w:after="100" w:before="200"/>
      </w:pPr>
      <w:r>
        <w:rPr>
          <w:rFonts w:ascii="Barlow Semi Condensed" w:cs="Barlow Semi Condensed" w:eastAsia="Barlow Semi Condensed" w:hAnsi="Barlow Semi Condensed"/>
          <w:sz w:val="24"/>
          <w:szCs w:val="24"/>
        </w:rPr>
        <w:t xml:space="preserve">Parte seconda — Le relazioni che nessuna Assemblea ha discusso</w:t>
      </w:r>
    </w:p>
    <w:p>
      <w:pPr>
        <w:spacing w:after="120" w:line="276"/>
        <w:jc w:val="both"/>
      </w:pPr>
      <w:r>
        <w:rPr>
          <w:rFonts w:ascii="Barlow Semi Condensed" w:cs="Barlow Semi Condensed" w:eastAsia="Barlow Semi Condensed" w:hAnsi="Barlow Semi Condensed"/>
          <w:sz w:val="24"/>
          <w:szCs w:val="24"/>
        </w:rPr>
        <w:t xml:space="preserve">L'organo registra una circostanza che riguarda l'intera classe di fonti sulla quale l'opera poggia più largamente, e che va iscritta come risultanza di prim'ordine.</w:t>
      </w:r>
    </w:p>
    <w:p>
      <w:pPr>
        <w:spacing w:after="120" w:line="276"/>
        <w:jc w:val="both"/>
      </w:pPr>
      <w:r>
        <w:rPr>
          <w:rFonts w:ascii="Barlow Semi Condensed" w:cs="Barlow Semi Condensed" w:eastAsia="Barlow Semi Condensed" w:hAnsi="Barlow Semi Condensed"/>
          <w:sz w:val="24"/>
          <w:szCs w:val="24"/>
        </w:rPr>
        <w:t xml:space="preserve">Le relazioni trasmesse alle Camere dalle Commissioni delle legislature anteriori sono documenti la cui discussione non è stata mai posta all'ordine del giorno di alcuna delle Assemblee. L'organo ne trae che l'obiettivo ultimo dell'inchiesta parlamentare — l'acquisizione di elementi di conoscenza a beneficio del Parlamento, finalizzata all'espressione di un giudizio e a futuri orientamenti legislativi — è rimasto frustrato dall'incompiutezza di una procedura arrestatasi a una fase preliminare, senza pervenire al dibattito che ne costituisce la sede naturale.</w:t>
      </w:r>
    </w:p>
    <w:p>
      <w:pPr>
        <w:spacing w:after="120" w:line="276"/>
        <w:jc w:val="both"/>
      </w:pPr>
      <w:r>
        <w:rPr>
          <w:rFonts w:ascii="Barlow Semi Condensed" w:cs="Barlow Semi Condensed" w:eastAsia="Barlow Semi Condensed" w:hAnsi="Barlow Semi Condensed"/>
          <w:sz w:val="24"/>
          <w:szCs w:val="24"/>
        </w:rPr>
        <w:t xml:space="preserve">La conseguenza per la designazione delle fonti è precisa e va apportata. Una relazione approvata da una Commissione d'inchiesta e trasmessa alle Camere è un atto della Commissione. Non è un atto del Parlamento, e non lo diviene per effetto della trasmissione. Chi la designi come pronuncia parlamentare le attribuisce un'autorità che essa non ha ricevuto, e la differenza non è formale: fra un giudizio deliberato da quarantuno commissari e un giudizio discusso e votato da due Assemblee corre una distanza che il caso in esame non ha mai colmata.</w:t>
      </w:r>
    </w:p>
    <w:p>
      <w:pPr>
        <w:spacing w:after="120" w:line="276"/>
        <w:jc w:val="both"/>
      </w:pPr>
      <w:r>
        <w:rPr>
          <w:rFonts w:ascii="Barlow Semi Condensed" w:cs="Barlow Semi Condensed" w:eastAsia="Barlow Semi Condensed" w:hAnsi="Barlow Semi Condensed"/>
          <w:sz w:val="24"/>
          <w:szCs w:val="24"/>
        </w:rPr>
        <w:t xml:space="preserve">Si dispone pertanto che, nelle redazioni successive, le relazioni delle Commissioni siano designate per l'organo che le ha approvate e non per la sede alla quale sono state trasmesse, e che ove il grado di una proposizione riposi su una di esse ciò sia dichiarato in questa forma.</w:t>
      </w:r>
    </w:p>
    <w:p>
      <w:pPr>
        <w:pStyle w:val="Heading2"/>
        <w:spacing w:after="100" w:before="200"/>
      </w:pPr>
      <w:r>
        <w:rPr>
          <w:rFonts w:ascii="Barlow Semi Condensed" w:cs="Barlow Semi Condensed" w:eastAsia="Barlow Semi Condensed" w:hAnsi="Barlow Semi Condensed"/>
          <w:sz w:val="24"/>
          <w:szCs w:val="24"/>
        </w:rPr>
        <w:t xml:space="preserve">Parte terza — La discontinuità della memoria istituzionale</w:t>
      </w:r>
    </w:p>
    <w:p>
      <w:pPr>
        <w:spacing w:after="120" w:line="276"/>
        <w:jc w:val="both"/>
      </w:pPr>
      <w:r>
        <w:rPr>
          <w:rFonts w:ascii="Barlow Semi Condensed" w:cs="Barlow Semi Condensed" w:eastAsia="Barlow Semi Condensed" w:hAnsi="Barlow Semi Condensed"/>
          <w:sz w:val="24"/>
          <w:szCs w:val="24"/>
        </w:rPr>
        <w:t xml:space="preserve">L'organo dichiara che alla propria ricostituzione quaranta commissari su quarantuno non avevano fatto parte della Commissione in precedenza, e che tale ricambio ha imposto un faticoso sforzo di aggiornamento per colmare l'inevitabile vuoto di informazione relativo ai temi di indagine e alle attività passate. Dichiara altresì di avere avuto a disposizione circa un anno e mezzo, per effetto della ricostituzione tardiva rispetto all'inizio della legislatura.</w:t>
      </w:r>
    </w:p>
    <w:p>
      <w:pPr>
        <w:spacing w:after="120" w:line="276"/>
        <w:jc w:val="both"/>
      </w:pPr>
      <w:r>
        <w:rPr>
          <w:rFonts w:ascii="Barlow Semi Condensed" w:cs="Barlow Semi Condensed" w:eastAsia="Barlow Semi Condensed" w:hAnsi="Barlow Semi Condensed"/>
          <w:sz w:val="24"/>
          <w:szCs w:val="24"/>
        </w:rPr>
        <w:t xml:space="preserve">Si registra la circostanza come dato strutturale sulla classe delle fonti parlamentari, e non come rilievo su alcuno. Un organo d'inchiesta che si rinnovi per intero a ogni legislatura ricomincia, quanto alla conoscenza del proprio oggetto, da una posizione prossima a quella di partenza, e la continuità è affidata al solo patrimonio documentale e al personale che lo custodisce. Ne segue che la profondità delle inchieste parlamentari in materia non cresce linearmente con il numero delle legislature che vi si dedicano, e che l'aspettativa contraria — implicita in ogni ricostruzione che sommi le conclusioni successive come strati di un accertamento progressivo — è infondata.</w:t>
      </w:r>
    </w:p>
    <w:p>
      <w:pPr>
        <w:pStyle w:val="Heading2"/>
        <w:spacing w:after="100" w:before="200"/>
      </w:pPr>
      <w:r>
        <w:rPr>
          <w:rFonts w:ascii="Barlow Semi Condensed" w:cs="Barlow Semi Condensed" w:eastAsia="Barlow Semi Condensed" w:hAnsi="Barlow Semi Condensed"/>
          <w:sz w:val="24"/>
          <w:szCs w:val="24"/>
        </w:rPr>
        <w:t xml:space="preserve">Parte quarta — Lo Stato Zero sul repertorio del Gabinetto: esito</w:t>
      </w:r>
    </w:p>
    <w:p>
      <w:pPr>
        <w:spacing w:after="120" w:line="276"/>
        <w:jc w:val="both"/>
      </w:pPr>
      <w:r>
        <w:rPr>
          <w:rFonts w:ascii="Barlow Semi Condensed" w:cs="Barlow Semi Condensed" w:eastAsia="Barlow Semi Condensed" w:hAnsi="Barlow Semi Condensed"/>
          <w:sz w:val="24"/>
          <w:szCs w:val="24"/>
        </w:rPr>
        <w:t xml:space="preserve">Si riferisce l'esito dell'interrogazione che ha motivato la presente unità.</w:t>
      </w:r>
    </w:p>
    <w:p>
      <w:pPr>
        <w:spacing w:after="120" w:line="276"/>
        <w:jc w:val="both"/>
      </w:pPr>
      <w:r>
        <w:rPr>
          <w:rFonts w:ascii="Barlow Semi Condensed" w:cs="Barlow Semi Condensed" w:eastAsia="Barlow Semi Condensed" w:hAnsi="Barlow Semi Condensed"/>
          <w:sz w:val="24"/>
          <w:szCs w:val="24"/>
        </w:rPr>
        <w:t xml:space="preserve">Nessuna delle due relazioni semestrali menziona il repertorio generale degli atti concernenti il caso transitati per il Gabinetto del Ministro dell'interno, e nessuna menziona la raccomandazione della Commissione anteriore quanto all'acquisizione dell'oggetto delle voci repertate.</w:t>
      </w:r>
    </w:p>
    <w:p>
      <w:pPr>
        <w:spacing w:after="120" w:line="276"/>
        <w:jc w:val="both"/>
      </w:pPr>
      <w:r>
        <w:rPr>
          <w:rFonts w:ascii="Barlow Semi Condensed" w:cs="Barlow Semi Condensed" w:eastAsia="Barlow Semi Condensed" w:hAnsi="Barlow Semi Condensed"/>
          <w:sz w:val="24"/>
          <w:szCs w:val="24"/>
        </w:rPr>
        <w:t xml:space="preserve">Si dichiara con esattezza che cosa questo stabilisca e che cosa no. Esso non stabilisce che l'acquisizione non sia stata compiuta. Le relazioni semestrali sono, per loro natura, resoconti sintetici dello stato dei lavori e non indici completi delle acquisizioni; la seconda dedica alle acquisizioni documentali due paragrafi e vi espone per esteso una sola classe di operazioni. Esso stabilisce che, in due resoconti dell'attività svolta nell'arco di un anno da parte dell'organo espressamente destinatario della raccomandazione, la raccomandazione non è menzionata.</w:t>
      </w:r>
    </w:p>
    <w:p>
      <w:pPr>
        <w:spacing w:after="120" w:line="276"/>
        <w:jc w:val="both"/>
      </w:pPr>
      <w:r>
        <w:rPr>
          <w:rFonts w:ascii="Barlow Semi Condensed" w:cs="Barlow Semi Condensed" w:eastAsia="Barlow Semi Condensed" w:hAnsi="Barlow Semi Condensed"/>
          <w:sz w:val="24"/>
          <w:szCs w:val="24"/>
        </w:rPr>
        <w:t xml:space="preserve">Lo Stato Zero dichiarato dall'appendice sesta non si chiude e si restringe. Esso passa dalla forma indeterminata — non è accertato se la raccomandazione sia stata eseguita — alla forma determinata: non è menzionata nei due resoconti semestrali dell'organo destinatario, e la sua esecuzione va cercata negli indici di acquisizione della XII legislatura, che non sono posseduti, ovvero nella relazione conclusiva di quella legislatura.</w:t>
      </w:r>
    </w:p>
    <w:p>
      <w:pPr>
        <w:pStyle w:val="Heading2"/>
        <w:spacing w:after="100" w:before="200"/>
      </w:pPr>
      <w:r>
        <w:rPr>
          <w:rFonts w:ascii="Barlow Semi Condensed" w:cs="Barlow Semi Condensed" w:eastAsia="Barlow Semi Condensed" w:hAnsi="Barlow Semi Condensed"/>
          <w:sz w:val="24"/>
          <w:szCs w:val="24"/>
        </w:rPr>
        <w:t xml:space="preserve">Parte quinta — Gli atti nuovi designati per estremi</w:t>
      </w:r>
    </w:p>
    <w:p>
      <w:pPr>
        <w:spacing w:after="120" w:line="276"/>
        <w:jc w:val="both"/>
      </w:pPr>
      <w:r>
        <w:rPr>
          <w:rFonts w:ascii="Barlow Semi Condensed" w:cs="Barlow Semi Condensed" w:eastAsia="Barlow Semi Condensed" w:hAnsi="Barlow Semi Condensed"/>
          <w:sz w:val="24"/>
          <w:szCs w:val="24"/>
        </w:rPr>
        <w:t xml:space="preserve">La seconda relazione reca l'elenco delle sedute con il rispettivo oggetto, ed è pertanto essa stessa uno strumento di designazione. Si estraggono le voci pertinenti al caso, ciascuna con seduta, data e oggetto.</w:t>
      </w:r>
    </w:p>
    <w:p>
      <w:pPr>
        <w:spacing w:after="120" w:line="276"/>
        <w:jc w:val="both"/>
      </w:pPr>
      <w:r>
        <w:rPr>
          <w:rFonts w:ascii="Barlow Semi Condensed" w:cs="Barlow Semi Condensed" w:eastAsia="Barlow Semi Condensed" w:hAnsi="Barlow Semi Condensed"/>
          <w:sz w:val="24"/>
          <w:szCs w:val="24"/>
        </w:rPr>
        <w:t xml:space="preserve">Nona seduta del nove marzo millenovecentonovantacinque, incontro di lavoro con tre magistrati che condussero le indagini sul caso nelle sue fasi recenti, sotto l'intitolazione degli ultimi sviluppi. È l'unico atto della serie nel quale i titolari delle tre istruttorie successive compaiono insieme dinanzi all'organo.</w:t>
      </w:r>
    </w:p>
    <w:p>
      <w:pPr>
        <w:spacing w:after="120" w:line="276"/>
        <w:jc w:val="both"/>
      </w:pPr>
      <w:r>
        <w:rPr>
          <w:rFonts w:ascii="Barlow Semi Condensed" w:cs="Barlow Semi Condensed" w:eastAsia="Barlow Semi Condensed" w:hAnsi="Barlow Semi Condensed"/>
          <w:sz w:val="24"/>
          <w:szCs w:val="24"/>
        </w:rPr>
        <w:t xml:space="preserve">Ventiduesima seduta del ventitré maggio millenovecentonovantacinque, audizione di un magistrato sulle vicende connesse al caso del falsario del comunicato apocrifo, sotto l'intitolazione congiunta degli ultimi sviluppi del caso e dei rapporti fra eversione e criminalità organizzata. L'organo riferisce che l'audito fornì informazioni sull'attività di un'associazione criminale romana e in particolare del pregiudicato ucciso nel settembre millenovecentottantaquattro.</w:t>
      </w:r>
    </w:p>
    <w:p>
      <w:pPr>
        <w:spacing w:after="120" w:line="276"/>
        <w:jc w:val="both"/>
      </w:pPr>
      <w:r>
        <w:rPr>
          <w:rFonts w:ascii="Barlow Semi Condensed" w:cs="Barlow Semi Condensed" w:eastAsia="Barlow Semi Condensed" w:hAnsi="Barlow Semi Condensed"/>
          <w:sz w:val="24"/>
          <w:szCs w:val="24"/>
        </w:rPr>
        <w:t xml:space="preserve">Questa è, per il filone del terzo soggetto, l'acquisizione più diretta dell'intera serie. La Voce ventiquattresima, iscritta dall'appendice quarta, domanda gli atti del procedimento-stralcio sul falsario. Qui si dispone in aggiunta di un'audizione parlamentare dedicata alla materia, con data, numero di seduta e qualità dell'audito. Un'audizione produce un resoconto stenografico, e un resoconto stenografico è un atto.</w:t>
      </w:r>
    </w:p>
    <w:p>
      <w:pPr>
        <w:spacing w:after="120" w:line="276"/>
        <w:jc w:val="both"/>
      </w:pPr>
      <w:r>
        <w:rPr>
          <w:rFonts w:ascii="Barlow Semi Condensed" w:cs="Barlow Semi Condensed" w:eastAsia="Barlow Semi Condensed" w:hAnsi="Barlow Semi Condensed"/>
          <w:sz w:val="24"/>
          <w:szCs w:val="24"/>
        </w:rPr>
        <w:t xml:space="preserve">Ventitreesima seduta del ventiquattro maggio millenovecentonovantacinque, audizione del magistrato titolare delle indagini sull'omicidio di un giornalista presso una Procura determinata, con acquisizione di materiale documentale di interesse. L'organo dichiara che di quella vicenda e dei suoi collegamenti con il caso si stava occupando quell'ufficio.</w:t>
      </w:r>
    </w:p>
    <w:p>
      <w:pPr>
        <w:spacing w:after="120" w:line="276"/>
        <w:jc w:val="both"/>
      </w:pPr>
      <w:r>
        <w:rPr>
          <w:rFonts w:ascii="Barlow Semi Condensed" w:cs="Barlow Semi Condensed" w:eastAsia="Barlow Semi Condensed" w:hAnsi="Barlow Semi Condensed"/>
          <w:sz w:val="24"/>
          <w:szCs w:val="24"/>
        </w:rPr>
        <w:t xml:space="preserve">Ventiquattresima seduta del sei giugno millenovecentonovantacinque, audizione di uno stretto collaboratore dello statista.</w:t>
      </w:r>
    </w:p>
    <w:p>
      <w:pPr>
        <w:spacing w:after="120" w:line="276"/>
        <w:jc w:val="both"/>
      </w:pPr>
      <w:r>
        <w:rPr>
          <w:rFonts w:ascii="Barlow Semi Condensed" w:cs="Barlow Semi Condensed" w:eastAsia="Barlow Semi Condensed" w:hAnsi="Barlow Semi Condensed"/>
          <w:sz w:val="24"/>
          <w:szCs w:val="24"/>
        </w:rPr>
        <w:t xml:space="preserve">Da quest'ultima discende l'acquisizione più circoscritta e più singolare della serie. L'organo dichiara che, a seguito delle risultanze di quell'audizione, l'Ufficio di Presidenza avvertì la necessità di acquisire una lettera consegnata il trenta luglio millenovecentonovantuno dall'allora Capo dello Stato al Presidente del Senato; che di tale lettera fu fatta richiesta, con riscontro positivo, alla Procura della Repubblica di Roma; e che quest'ufficio l'aveva nel frattempo acquisita dall'esecutore testamentario del destinatario.</w:t>
      </w:r>
    </w:p>
    <w:p>
      <w:pPr>
        <w:spacing w:after="120" w:line="276"/>
        <w:jc w:val="both"/>
      </w:pPr>
      <w:r>
        <w:rPr>
          <w:rFonts w:ascii="Barlow Semi Condensed" w:cs="Barlow Semi Condensed" w:eastAsia="Barlow Semi Condensed" w:hAnsi="Barlow Semi Condensed"/>
          <w:sz w:val="24"/>
          <w:szCs w:val="24"/>
        </w:rPr>
        <w:t xml:space="preserve">Si osservi la catena: un'audizione del millenovecentonovantacinque produce la ricerca di una lettera del millenovecentonovantuno, la quale si trova non presso alcuno dei due corrispondenti ma presso una Procura, che l'aveva ottenuta da un esecutore testamentario. Quattro passaggi di custodia, tutti documentati, per un atto di due righe di descrizione. È il modello esatto di ciò che la Voce ventesima domanda, ed è l'esempio migliore disponibile del fatto che un atto si designa per la propria storia di custodia e non per il proprio autore soltanto.</w:t>
      </w:r>
    </w:p>
    <w:p>
      <w:pPr>
        <w:spacing w:after="120" w:line="276"/>
        <w:jc w:val="both"/>
      </w:pPr>
      <w:r>
        <w:rPr>
          <w:rFonts w:ascii="Barlow Semi Condensed" w:cs="Barlow Semi Condensed" w:eastAsia="Barlow Semi Condensed" w:hAnsi="Barlow Semi Condensed"/>
          <w:sz w:val="24"/>
          <w:szCs w:val="24"/>
        </w:rPr>
        <w:t xml:space="preserve">Voce trentunesima — I resoconti delle audizioni sul caso nella XII legislatura. Oggetto: i resoconti stenografici delle sedute nona, ventiduesima, ventitreesima e ventiquattresima della XII legislatura, con particolare riguardo a quella dedicata alle vicende connesse al caso del falsario. Sede: atti della Commissione presso l'archivio storico competente. Chiusura: acquisizione dei quattro resoconti. Smentita: la constatazione che gli incontri di lavoro non producessero resoconto stenografico, nel qual caso resterebbero i soli processi verbali, che attestano lo svolgimento e non il contenuto.</w:t>
      </w:r>
    </w:p>
    <w:p>
      <w:pPr>
        <w:spacing w:after="120" w:line="276"/>
        <w:jc w:val="both"/>
      </w:pPr>
      <w:r>
        <w:rPr>
          <w:rFonts w:ascii="Barlow Semi Condensed" w:cs="Barlow Semi Condensed" w:eastAsia="Barlow Semi Condensed" w:hAnsi="Barlow Semi Condensed"/>
          <w:sz w:val="24"/>
          <w:szCs w:val="24"/>
        </w:rPr>
        <w:t xml:space="preserve">Voce trentaduesima — La lettera del trenta luglio millenovecentonovantuno. Oggetto: la lettera consegnata in quella data dall'allora Capo dello Stato al Presidente del Senato, acquisita dalla Procura della Repubblica di Roma presso l'esecutore testamentario del destinatario e da questa trasmessa alla Commissione. Sede: atti della Commissione della XII legislatura; in origine, atti della Procura. Chiusura: reperimento del testo. Smentita: non ricorre, trattandosi di reperimento di un atto la cui esistenza e la cui via di custodia sono dichiarate dall'organo che lo acquisì.</w:t>
      </w:r>
    </w:p>
    <w:p>
      <w:pPr>
        <w:pStyle w:val="Heading2"/>
        <w:spacing w:after="100" w:before="200"/>
      </w:pPr>
      <w:r>
        <w:rPr>
          <w:rFonts w:ascii="Barlow Semi Condensed" w:cs="Barlow Semi Condensed" w:eastAsia="Barlow Semi Condensed" w:hAnsi="Barlow Semi Condensed"/>
          <w:sz w:val="24"/>
          <w:szCs w:val="24"/>
        </w:rPr>
        <w:t xml:space="preserve">Parte sesta — Le richieste rivolte all'estero</w:t>
      </w:r>
    </w:p>
    <w:p>
      <w:pPr>
        <w:spacing w:after="120" w:line="276"/>
        <w:jc w:val="both"/>
      </w:pPr>
      <w:r>
        <w:rPr>
          <w:rFonts w:ascii="Barlow Semi Condensed" w:cs="Barlow Semi Condensed" w:eastAsia="Barlow Semi Condensed" w:hAnsi="Barlow Semi Condensed"/>
          <w:sz w:val="24"/>
          <w:szCs w:val="24"/>
        </w:rPr>
        <w:t xml:space="preserve">L'organo dichiara di avere deciso di acquisire ogni possibile ulteriore documentazione esistente in Italia o all'estero, e di avere avanzato richieste presso gli archivi del Ministero dell'interno e del Ministero degli affari esteri, nonché presso numerosi enti culturali e istituzioni pubbliche di uno Stato estero d'oltreoceano; e di essersi infine rivolto alle ambasciate di due Stati dell'area orientale, le quali hanno entrambe assicurato il proprio interessamento presso i competenti organi dei rispettivi governi.</w:t>
      </w:r>
    </w:p>
    <w:p>
      <w:pPr>
        <w:spacing w:after="120" w:line="276"/>
        <w:jc w:val="both"/>
      </w:pPr>
      <w:r>
        <w:rPr>
          <w:rFonts w:ascii="Barlow Semi Condensed" w:cs="Barlow Semi Condensed" w:eastAsia="Barlow Semi Condensed" w:hAnsi="Barlow Semi Condensed"/>
          <w:sz w:val="24"/>
          <w:szCs w:val="24"/>
        </w:rPr>
        <w:t xml:space="preserve">Questa dichiarazione tocca una delle lacune più antiche della tavola. La Scheda dedicata alla comunicazione straniera osservava che non risulta essere mai stata tentata la via rogatoriale su un punto determinato, e la qualificava come la lacuna procedurale più semplice da colmare fra quelle censite. La presente relazione non contraddice quell'osservazione, che riguardava una rogatoria su un oggetto specifico; essa documenta però che una via diversa e più generale — la richiesta per canale diplomatico — fu percorsa nel millenovecentonovantacinque verso tre destinazioni, e che due di esse risposero assicurando interessamento.</w:t>
      </w:r>
    </w:p>
    <w:p>
      <w:pPr>
        <w:spacing w:after="120" w:line="276"/>
        <w:jc w:val="both"/>
      </w:pPr>
      <w:r>
        <w:rPr>
          <w:rFonts w:ascii="Barlow Semi Condensed" w:cs="Barlow Semi Condensed" w:eastAsia="Barlow Semi Condensed" w:hAnsi="Barlow Semi Condensed"/>
          <w:sz w:val="24"/>
          <w:szCs w:val="24"/>
        </w:rPr>
        <w:t xml:space="preserve">L'esito di quelle richieste non è dichiarato in alcuna delle due relazioni, le quali si arrestano alla data della seconda. Si dichiara Stato Zero sull'esito, con sede determinata negli atti della medesima Commissione e nella sua relazione conclusiva.</w:t>
      </w:r>
    </w:p>
    <w:p>
      <w:pPr>
        <w:spacing w:after="120" w:line="276"/>
        <w:jc w:val="both"/>
      </w:pPr>
      <w:r>
        <w:rPr>
          <w:rFonts w:ascii="Barlow Semi Condensed" w:cs="Barlow Semi Condensed" w:eastAsia="Barlow Semi Condensed" w:hAnsi="Barlow Semi Condensed"/>
          <w:sz w:val="24"/>
          <w:szCs w:val="24"/>
        </w:rPr>
        <w:t xml:space="preserve">Voce trentatreesima — L'esito delle richieste documentali rivolte all'estero nel 1995. Oggetto: le risposte pervenute alle richieste avanzate presso enti e istituzioni pubbliche estere e per il tramite di due ambasciate, e la documentazione eventualmente acquisita per tale via. Sede: atti della Commissione della XII legislatura; archivi del Ministero degli affari esteri. Chiusura: reperimento delle risposte, comprese quelle negative. Smentita: non ricorre; si segnala che una risposta negativa chiude ugualmente la voce ed è acquisizione di pieno valore.</w:t>
      </w:r>
    </w:p>
    <w:p>
      <w:pPr>
        <w:pStyle w:val="Heading2"/>
        <w:spacing w:after="100" w:before="200"/>
      </w:pPr>
      <w:r>
        <w:rPr>
          <w:rFonts w:ascii="Barlow Semi Condensed" w:cs="Barlow Semi Condensed" w:eastAsia="Barlow Semi Condensed" w:hAnsi="Barlow Semi Condensed"/>
          <w:sz w:val="24"/>
          <w:szCs w:val="24"/>
        </w:rPr>
        <w:t xml:space="preserve">Parte settima — Gli accessi ai fondi riservati</w:t>
      </w:r>
    </w:p>
    <w:p>
      <w:pPr>
        <w:spacing w:after="120" w:line="276"/>
        <w:jc w:val="both"/>
      </w:pPr>
      <w:r>
        <w:rPr>
          <w:rFonts w:ascii="Barlow Semi Condensed" w:cs="Barlow Semi Condensed" w:eastAsia="Barlow Semi Condensed" w:hAnsi="Barlow Semi Condensed"/>
          <w:sz w:val="24"/>
          <w:szCs w:val="24"/>
        </w:rPr>
        <w:t xml:space="preserve">La seconda relazione dedica un paragrafo agli accessi agli archivi riservati di organi dello Stato, e ne riferisce nei termini seguenti. Dopo che il Ministro dell'interno aveva manifestato in sede di audizione piena disponibilità, furono raggiunte le intese per consentire che alcuni consulenti appositamente accreditati visionassero la documentazione esistente presso quel Dicastero, compresa quella riservata e non versata all'archivio storico dello Stato. L'ambito prevalente della ricerca fu quello delle formazioni paramilitari attive in Italia a partire dal secondo dopoguerra. La ricerca fu poi estesa ai fondi riservati dell'archivio centrale dello Stato, al materiale esistente presso la Presidenza del Consiglio e all'archivio storico dello Stato maggiore dell'Esercito.</w:t>
      </w:r>
    </w:p>
    <w:p>
      <w:pPr>
        <w:spacing w:after="120" w:line="276"/>
        <w:jc w:val="both"/>
      </w:pPr>
      <w:r>
        <w:rPr>
          <w:rFonts w:ascii="Barlow Semi Condensed" w:cs="Barlow Semi Condensed" w:eastAsia="Barlow Semi Condensed" w:hAnsi="Barlow Semi Condensed"/>
          <w:sz w:val="24"/>
          <w:szCs w:val="24"/>
        </w:rPr>
        <w:t xml:space="preserve">Si registra il fatto e lo si qualifica rispetto alla regolarità che il corpus maggiore ha iscritta fra le proprie risultanze, secondo la quale nessun archivio di apparato si è aperto per iniziativa propria e le aperture sono conseguite a pressione esterna.</w:t>
      </w:r>
    </w:p>
    <w:p>
      <w:pPr>
        <w:spacing w:after="120" w:line="276"/>
        <w:jc w:val="both"/>
      </w:pPr>
      <w:r>
        <w:rPr>
          <w:rFonts w:ascii="Barlow Semi Condensed" w:cs="Barlow Semi Condensed" w:eastAsia="Barlow Semi Condensed" w:hAnsi="Barlow Semi Condensed"/>
          <w:sz w:val="24"/>
          <w:szCs w:val="24"/>
        </w:rPr>
        <w:t xml:space="preserve">Il caso qui documentato è coerente con quella regolarità e non la contraddice. L'apertura fu preceduta da una audizione del Ministro dinanzi all'organo d'inchiesta, cioè dall'esercizio di un potere ispettivo, e fu regolata da intese e da accreditamento nominativo di consulenti. Essa non fu un versamento e non fu una desecretazione: fu una visione consentita a persone determinate. Ne segue che ciò che quei consulenti videro è documentato, se lo è, negli elaborati che ne redassero, e non in un inventario pubblico.</w:t>
      </w:r>
    </w:p>
    <w:p>
      <w:pPr>
        <w:spacing w:after="120" w:line="276"/>
        <w:jc w:val="both"/>
      </w:pPr>
      <w:r>
        <w:rPr>
          <w:rFonts w:ascii="Barlow Semi Condensed" w:cs="Barlow Semi Condensed" w:eastAsia="Barlow Semi Condensed" w:hAnsi="Barlow Semi Condensed"/>
          <w:sz w:val="24"/>
          <w:szCs w:val="24"/>
        </w:rPr>
        <w:t xml:space="preserve">Voce trentaquattresima — La documentazione degli accessi ai fondi riservati. Oggetto: gli elaborati redatti dai consulenti accreditati a seguito degli accessi presso il Ministero dell'interno, l'archivio centrale dello Stato, la Presidenza del Consiglio e l'archivio storico dello Stato maggiore dell'Esercito, e l'indicazione dei fondi visionati. Sede: atti della Commissione della XII legislatura. Chiusura: reperimento degli elaborati e dell'elenco dei fondi. Smentita: la constatazione che gli accessi non produssero elaborati scritti, nel qual caso resterebbe accertato l'accesso e non il suo oggetto, e la voce si trasformerebbe nella richiesta dell'elenco dei fondi presso le sedi che li custodiscono.</w:t>
      </w:r>
    </w:p>
    <w:p>
      <w:pPr>
        <w:spacing w:after="120" w:line="276"/>
        <w:jc w:val="both"/>
      </w:pPr>
      <w:r>
        <w:rPr>
          <w:rFonts w:ascii="Barlow Semi Condensed" w:cs="Barlow Semi Condensed" w:eastAsia="Barlow Semi Condensed" w:hAnsi="Barlow Semi Condensed"/>
          <w:sz w:val="24"/>
          <w:szCs w:val="24"/>
        </w:rPr>
        <w:t xml:space="preserve">Si segnala che questa voce, benché l'ambito prevalente dichiarato non sia il caso, è di rilievo per il corpus maggiore più che per l'opera, poiché l'ambito dichiarato coincide con uno dei suoi oggetti principali.</w:t>
      </w:r>
    </w:p>
    <w:p>
      <w:pPr>
        <w:pStyle w:val="Heading2"/>
        <w:spacing w:after="100" w:before="200"/>
      </w:pPr>
      <w:r>
        <w:rPr>
          <w:rFonts w:ascii="Barlow Semi Condensed" w:cs="Barlow Semi Condensed" w:eastAsia="Barlow Semi Condensed" w:hAnsi="Barlow Semi Condensed"/>
          <w:sz w:val="24"/>
          <w:szCs w:val="24"/>
        </w:rPr>
        <w:t xml:space="preserve">Parte ottava — Il quinto procedimento</w:t>
      </w:r>
    </w:p>
    <w:p>
      <w:pPr>
        <w:spacing w:after="120" w:line="276"/>
        <w:jc w:val="both"/>
      </w:pPr>
      <w:r>
        <w:rPr>
          <w:rFonts w:ascii="Barlow Semi Condensed" w:cs="Barlow Semi Condensed" w:eastAsia="Barlow Semi Condensed" w:hAnsi="Barlow Semi Condensed"/>
          <w:sz w:val="24"/>
          <w:szCs w:val="24"/>
        </w:rPr>
        <w:t xml:space="preserve">L'organo dichiara che la fase delle indagini preliminari del quinto procedimento si è conclusa con richiesta di rinvio a giudizio avanzata dai pubblici ministeri e accolta dal giudice per le indagini preliminari nei confronti di più imputati, e che il processo riguarderà fra l'altro l'identità della quarta persona presente nella base durante la detenzione.</w:t>
      </w:r>
    </w:p>
    <w:p>
      <w:pPr>
        <w:spacing w:after="120" w:line="276"/>
        <w:jc w:val="both"/>
      </w:pPr>
      <w:r>
        <w:rPr>
          <w:rFonts w:ascii="Barlow Semi Condensed" w:cs="Barlow Semi Condensed" w:eastAsia="Barlow Semi Condensed" w:hAnsi="Barlow Semi Condensed"/>
          <w:sz w:val="24"/>
          <w:szCs w:val="24"/>
        </w:rPr>
        <w:t xml:space="preserve">Si registra il solo fatto processuale e nulla oltre. Un rinvio a giudizio non è un accertamento e non conferisce grado ad alcuna proposizione sul merito. L'esito di quel processo non è stabilito dalle presenti fonti, che si arrestano al luglio millenovecentonovantacinque, e l'opera non lo desume. Si segnala che tale esito è, alla data odierna, materia di giudicato e che la sua acquisizione per estremi appartiene alla classe delle sentenze già iscritte.</w:t>
      </w:r>
    </w:p>
    <w:p>
      <w:pPr>
        <w:pStyle w:val="Heading2"/>
        <w:spacing w:after="100" w:before="200"/>
      </w:pPr>
      <w:r>
        <w:rPr>
          <w:rFonts w:ascii="Barlow Semi Condensed" w:cs="Barlow Semi Condensed" w:eastAsia="Barlow Semi Condensed" w:hAnsi="Barlow Semi Condensed"/>
          <w:sz w:val="24"/>
          <w:szCs w:val="24"/>
        </w:rPr>
        <w:t xml:space="preserve">Parte nona — Mutazioni di stato e Stati Zero</w:t>
      </w:r>
    </w:p>
    <w:p>
      <w:pPr>
        <w:spacing w:after="120" w:line="276"/>
        <w:jc w:val="both"/>
      </w:pPr>
      <w:r>
        <w:rPr>
          <w:rFonts w:ascii="Barlow Semi Condensed" w:cs="Barlow Semi Condensed" w:eastAsia="Barlow Semi Condensed" w:hAnsi="Barlow Semi Condensed"/>
          <w:sz w:val="24"/>
          <w:szCs w:val="24"/>
        </w:rPr>
        <w:t xml:space="preserve">Si iscrivono le Voci trentunesima, trentaduesima, trentatreesima e trentaquattresima. Si enuncia l'undicesima regola della risalita. Si dispone la designazione delle relazioni per l'organo che le approva e non per la sede alla quale sono trasmesse. Nessun grado di alcuna proposizione dell'opera muta, e il fondamento del grado intermedio conferito alle ricostruzioni parlamentari passa dalla cautela dell'autore alla dichiarazione della fonte.</w:t>
      </w:r>
    </w:p>
    <w:p>
      <w:pPr>
        <w:spacing w:after="120" w:line="276"/>
        <w:jc w:val="both"/>
      </w:pPr>
      <w:r>
        <w:rPr>
          <w:rFonts w:ascii="Barlow Semi Condensed" w:cs="Barlow Semi Condensed" w:eastAsia="Barlow Semi Condensed" w:hAnsi="Barlow Semi Condensed"/>
          <w:sz w:val="24"/>
          <w:szCs w:val="24"/>
        </w:rPr>
        <w:t xml:space="preserve">Si dichiarano gli Stati Zero. Primo: la raccomandazione sul repertorio del Gabinetto non è menzionata nei due resoconti semestrali dell'organo destinatario; la sua esecuzione resta non accertata e la ricerca si sposta sugli indici di acquisizione e sulla relazione conclusiva della XII legislatura, non posseduti. Secondo: l'esito delle richieste rivolte all'estero non è dichiarato. Terzo: gli elaborati dei consulenti accreditati non sono individuati. Quarto: il contenuto di nessuna delle audizioni qui designate è esaminato, poiché se ne possiedono le intitolazioni e non i resoconti.</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quinta del giorno sul medesimo cantiere. Cantiere: designazione per atto delle fonti. Materia: le due relazioni semestrali della XII legislatura, e l'interrogazione dell'organismo successore sulla raccomandazione rimasta in sospeso.</w:t>
      </w:r>
    </w:p>
    <w:p>
      <w:pPr>
        <w:spacing w:after="120" w:line="276"/>
        <w:jc w:val="both"/>
      </w:pPr>
      <w:r>
        <w:rPr>
          <w:rFonts w:ascii="Barlow Semi Condensed" w:cs="Barlow Semi Condensed" w:eastAsia="Barlow Semi Condensed" w:hAnsi="Barlow Semi Condensed"/>
          <w:sz w:val="24"/>
          <w:szCs w:val="24"/>
        </w:rPr>
        <w:t xml:space="preserve">Esito positivo: acquisizione della dichiarazione con la quale l'organo definisce il proprio standard probatorio come deliberatamente diverso e più largo di quello della prova processuale, con conseguente consolidamento del fondamento del grado intermedio conferito alle ricostruzioni parlamentari; accertamento che le relazioni delle Commissioni non furono mai poste all'ordine del giorno di alcuna Assemblea, con conseguente disposizione sulla loro designazione; accertamento della discontinuità di composizione fra legislature, con la conseguenza che le conclusioni successive non si sommano come strati di un accertamento progressivo; individuazione per seduta, data e oggetto di quattro atti pertinenti al caso, fra i quali un'audizione dedicata alle vicende connesse al falsario; individuazione della lettera del trenta luglio millenovecentonovantuno con la sua intera catena di custodia; documentazione delle richieste rivolte nel millenovecentonovantacinque a enti esteri e a due ambasciate; documentazione degli accessi ai fondi riservati di quattro sedi; enunciazione dell'undicesima regola della risalita; quattro voci nuove iscritte in tavola.</w:t>
      </w:r>
    </w:p>
    <w:p>
      <w:pPr>
        <w:spacing w:after="120" w:line="276"/>
        <w:jc w:val="both"/>
      </w:pPr>
      <w:r>
        <w:rPr>
          <w:rFonts w:ascii="Barlow Semi Condensed" w:cs="Barlow Semi Condensed" w:eastAsia="Barlow Semi Condensed" w:hAnsi="Barlow Semi Condensed"/>
          <w:sz w:val="24"/>
          <w:szCs w:val="24"/>
        </w:rPr>
        <w:t xml:space="preserve">Esito negativo: la raccomandazione sul repertorio generale del Gabinetto non è menzionata dall'organo destinatario nei due resoconti del proprio primo anno; l'esito delle richieste all'estero non è dichiarato; gli elaborati degli accessi riservati non sono individuati; nessun resoconto stenografico è posseduto.</w:t>
      </w:r>
    </w:p>
    <w:p>
      <w:pPr>
        <w:spacing w:after="120" w:line="276"/>
        <w:jc w:val="both"/>
      </w:pPr>
      <w:r>
        <w:rPr>
          <w:rFonts w:ascii="Barlow Semi Condensed" w:cs="Barlow Semi Condensed" w:eastAsia="Barlow Semi Condensed" w:hAnsi="Barlow Semi Condensed"/>
          <w:sz w:val="24"/>
          <w:szCs w:val="24"/>
        </w:rPr>
        <w:t xml:space="preserve">Riga di restringimento. Lo Stato Zero dichiarato dall'appendice sesta non si chiude e cambia forma: da indeterminato a determinato, con indicazione delle due sedi presso le quali l'esecuzione della raccomandazione va cercata. Si registra che un esito negativo che restringa il campo di ricerca è acquisizione di pieno valore, e che è il quarto della giornata.</w:t>
      </w:r>
    </w:p>
    <w:p>
      <w:pPr>
        <w:spacing w:after="120" w:line="276"/>
        <w:jc w:val="both"/>
      </w:pPr>
      <w:r>
        <w:rPr>
          <w:rFonts w:ascii="Barlow Semi Condensed" w:cs="Barlow Semi Condensed" w:eastAsia="Barlow Semi Condensed" w:hAnsi="Barlow Semi Condensed"/>
          <w:sz w:val="24"/>
          <w:szCs w:val="24"/>
        </w:rPr>
        <w:t xml:space="preserve">Riga di avvertenza. Le persone menzionate nelle fonti qui impiegate lo sono in quanto i loro nomi o le loro qualità appartengono agli estremi degli atti. Il rinvio a giudizio riferito alla Parte ottava è un fatto processuale e non un accertamento, e il presente atto non ne desume alcuna responsabilità, né riferisce le imputazioni. L'organo la cui relazione qui si esamina dichiara di adottare per le proprie valutazioni uno standard diverso da quello della prova: chi impieghi le sue conclusioni tenga ferma quella dichiarazione, che l'organo ha reso di propria iniziativa e in apertura.</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SETTIMA ALLA FASE SETTIMA, l'organismo successore e la dichiarazione del proprio standard, quindici agosto duemilaventisei. I settanta Capitoli restano settanta. Le redazioni anteriori non sono modificate: le pietre deposte non si scalpellano. Resta sovrana la Regola di Ferro: dove la fonte documenta, l'opera certifica; dove la fonte tace, l'opera indaga e non afferma. Quando un organo dichiara il proprio standard, il grado delle sue ricostruzioni si fissa su quella dichiarazione: la sede conferisce pubblicità e non conferisce grado.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IV · Appendice settima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IV: 3.042 parole in 9 sezioni; la più ampia è §9 Altre sezioni, con 2.454.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IV: 48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V — Appendice ottava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OTTAVA ALLA FASE SETTIMA</w:t>
      </w:r>
    </w:p>
    <w:p>
      <w:pPr>
        <w:pStyle w:val="Heading2"/>
        <w:spacing w:after="100" w:before="200"/>
      </w:pPr>
      <w:r>
        <w:rPr>
          <w:rFonts w:ascii="Barlow Semi Condensed" w:cs="Barlow Semi Condensed" w:eastAsia="Barlow Semi Condensed" w:hAnsi="Barlow Semi Condensed"/>
          <w:sz w:val="24"/>
          <w:szCs w:val="24"/>
        </w:rPr>
        <w:t xml:space="preserve">Il canale orientale, la quarta persona e uno Stato Zero formalizzato da quattro apparati</w:t>
      </w:r>
    </w:p>
    <w:p>
      <w:pPr>
        <w:pStyle w:val="Heading2"/>
        <w:spacing w:after="100" w:before="200"/>
      </w:pPr>
      <w:r>
        <w:rPr>
          <w:rFonts w:ascii="Barlow Semi Condensed" w:cs="Barlow Semi Condensed" w:eastAsia="Barlow Semi Condensed" w:hAnsi="Barlow Semi Condensed"/>
          <w:sz w:val="24"/>
          <w:szCs w:val="24"/>
        </w:rPr>
        <w:t xml:space="preserve">Sesta relazione semestrale, XIII legislatura, documento XXIII numero 37</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ottava</w:t>
      </w:r>
    </w:p>
    <w:p>
      <w:pPr>
        <w:spacing w:after="120" w:line="276"/>
        <w:jc w:val="both"/>
      </w:pPr>
      <w:r>
        <w:rPr>
          <w:rFonts w:ascii="Barlow Semi Condensed" w:cs="Barlow Semi Condensed" w:eastAsia="Barlow Semi Condensed" w:hAnsi="Barlow Semi Condensed"/>
          <w:sz w:val="24"/>
          <w:szCs w:val="24"/>
        </w:rPr>
        <w:t xml:space="preserve">La presente è appendice ottava alla Fase Settima e opera sulla sesta relazione semestrale della Commissione parlamentare d'inchiesta sul terrorismo e sulle stragi della XIII legislatura, stampata come documento XXIII numero 37 e riferita a un semestre che si chiude nel gennaio duemila. Come le sette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È la quarta unità di produzione della serie e la più tarda. Essa reca acquisizioni che chiudono, restringono o riformulano quattro fra gli Stati Zero dichiarati oggi, e ne apre altri.</w:t>
      </w:r>
    </w:p>
    <w:p>
      <w:pPr>
        <w:pStyle w:val="Heading2"/>
        <w:spacing w:after="100" w:before="200"/>
      </w:pPr>
      <w:r>
        <w:rPr>
          <w:rFonts w:ascii="Barlow Semi Condensed" w:cs="Barlow Semi Condensed" w:eastAsia="Barlow Semi Condensed" w:hAnsi="Barlow Semi Condensed"/>
          <w:sz w:val="24"/>
          <w:szCs w:val="24"/>
        </w:rPr>
        <w:t xml:space="preserve">Parte prima — L'audizione della quarta persona, e il rifiuto che la precede</w:t>
      </w:r>
    </w:p>
    <w:p>
      <w:pPr>
        <w:spacing w:after="120" w:line="276"/>
        <w:jc w:val="both"/>
      </w:pPr>
      <w:r>
        <w:rPr>
          <w:rFonts w:ascii="Barlow Semi Condensed" w:cs="Barlow Semi Condensed" w:eastAsia="Barlow Semi Condensed" w:hAnsi="Barlow Semi Condensed"/>
          <w:sz w:val="24"/>
          <w:szCs w:val="24"/>
        </w:rPr>
        <w:t xml:space="preserve">L'organo dichiara di avere ritenuto di notevole utilità l'audizione di esponenti dell'organizzazione, e di essersi visto a più riprese opporre un rifiuto a comparire; e di avere invece ottenuto l'assenso di una persona allora agli arresti domiciliari, la cui audizione fu svolta il ventuno gennaio duemila previ contatti con la Corte di Assise d'appello competente e con le forze di polizia incaricate della traduzione.</w:t>
      </w:r>
    </w:p>
    <w:p>
      <w:pPr>
        <w:spacing w:after="120" w:line="276"/>
        <w:jc w:val="both"/>
      </w:pPr>
      <w:r>
        <w:rPr>
          <w:rFonts w:ascii="Barlow Semi Condensed" w:cs="Barlow Semi Condensed" w:eastAsia="Barlow Semi Condensed" w:hAnsi="Barlow Semi Condensed"/>
          <w:sz w:val="24"/>
          <w:szCs w:val="24"/>
        </w:rPr>
        <w:t xml:space="preserve">La persona audita è quella la cui identificazione costituiva, fra gli otto interrogativi dichiarati irrisolti dalla Commissione della X legislatura e richiamati dalla relazione della XI, la voce relativa alla quarta persona presente nella base durante la detenzione. Fra la formulazione di quell'interrogativo e l'audizione corrono circa dieci anni; fra i fatti e l'audizione, ventidue.</w:t>
      </w:r>
    </w:p>
    <w:p>
      <w:pPr>
        <w:spacing w:after="120" w:line="276"/>
        <w:jc w:val="both"/>
      </w:pPr>
      <w:r>
        <w:rPr>
          <w:rFonts w:ascii="Barlow Semi Condensed" w:cs="Barlow Semi Condensed" w:eastAsia="Barlow Semi Condensed" w:hAnsi="Barlow Semi Condensed"/>
          <w:sz w:val="24"/>
          <w:szCs w:val="24"/>
        </w:rPr>
        <w:t xml:space="preserve">Si registrano due atti e non uno, poiché il rifiuto è un atto quanto l'assenso. Un rifiuto reiterato di comparire dinanzi a un organo d'inchiesta, opposto da persone determinate, è documentato negli atti dell'organo che lo subisce, ed è la constatazione negativa più netta disponibile su una fonte dichiarativa: non è che la fonte non abbia parlato, è che ha rifiutato di parlare a quella sede. La distinzione fra il silenzio e il rifiuto è, in materia di fonti dichiarative, la medesima che corre fra il non reperito e il non accessibile.</w:t>
      </w:r>
    </w:p>
    <w:p>
      <w:pPr>
        <w:spacing w:after="120" w:line="276"/>
        <w:jc w:val="both"/>
      </w:pPr>
      <w:r>
        <w:rPr>
          <w:rFonts w:ascii="Barlow Semi Condensed" w:cs="Barlow Semi Condensed" w:eastAsia="Barlow Semi Condensed" w:hAnsi="Barlow Semi Condensed"/>
          <w:sz w:val="24"/>
          <w:szCs w:val="24"/>
        </w:rPr>
        <w:t xml:space="preserve">Si dichiara che il presente atto non conosce il contenuto dell'audizione, la quale produsse resoconto e del quale non si dispone.</w:t>
      </w:r>
    </w:p>
    <w:p>
      <w:pPr>
        <w:pStyle w:val="Heading2"/>
        <w:spacing w:after="100" w:before="200"/>
      </w:pPr>
      <w:r>
        <w:rPr>
          <w:rFonts w:ascii="Barlow Semi Condensed" w:cs="Barlow Semi Condensed" w:eastAsia="Barlow Semi Condensed" w:hAnsi="Barlow Semi Condensed"/>
          <w:sz w:val="24"/>
          <w:szCs w:val="24"/>
        </w:rPr>
        <w:t xml:space="preserve">Parte seconda — Le audizioni, le acquisizioni ministeriali, e il repertorio ancora cercato</w:t>
      </w:r>
    </w:p>
    <w:p>
      <w:pPr>
        <w:spacing w:after="120" w:line="276"/>
        <w:jc w:val="both"/>
      </w:pPr>
      <w:r>
        <w:rPr>
          <w:rFonts w:ascii="Barlow Semi Condensed" w:cs="Barlow Semi Condensed" w:eastAsia="Barlow Semi Condensed" w:hAnsi="Barlow Semi Condensed"/>
          <w:sz w:val="24"/>
          <w:szCs w:val="24"/>
        </w:rPr>
        <w:t xml:space="preserve">L'organo riferisce che sul caso si sono svolte le audizioni di un già direttore del servizio informativo militare, del vicepresidente del Consiglio in carica e di due magistrati che furono giudici istruttori all'epoca dei fatti; e che è stato acquisito ulteriore materiale documentale proveniente dalla Procura della Repubblica di Roma in data dieci novembre millenovecentonovantanove e dal Ministero dell'interno in data ventuno dicembre millenovecentonovantanove.</w:t>
      </w:r>
    </w:p>
    <w:p>
      <w:pPr>
        <w:spacing w:after="120" w:line="276"/>
        <w:jc w:val="both"/>
      </w:pPr>
      <w:r>
        <w:rPr>
          <w:rFonts w:ascii="Barlow Semi Condensed" w:cs="Barlow Semi Condensed" w:eastAsia="Barlow Semi Condensed" w:hAnsi="Barlow Semi Condensed"/>
          <w:sz w:val="24"/>
          <w:szCs w:val="24"/>
        </w:rPr>
        <w:t xml:space="preserve">Riferisce altresì che il Presidente ha redatto e depositato in data ventisette luglio millenovecentonovantanove un documento dedicato allo sviluppo delle indagini e ai nuovi spunti investigativi sul caso.</w:t>
      </w:r>
    </w:p>
    <w:p>
      <w:pPr>
        <w:spacing w:after="120" w:line="276"/>
        <w:jc w:val="both"/>
      </w:pPr>
      <w:r>
        <w:rPr>
          <w:rFonts w:ascii="Barlow Semi Condensed" w:cs="Barlow Semi Condensed" w:eastAsia="Barlow Semi Condensed" w:hAnsi="Barlow Semi Condensed"/>
          <w:sz w:val="24"/>
          <w:szCs w:val="24"/>
        </w:rPr>
        <w:t xml:space="preserve">La seconda delle due acquisizioni ministeriali va accostata allo Stato Zero sul repertorio generale degli atti del Gabinetto, dichiarato dall'appendice sesta e ristretto dall'appendice settima. Si tratta di materiale documentale proveniente dal medesimo Dicastero presso il quale il repertorio fu redatto, acquisito sul medesimo oggetto, quattro anni dopo la raccomandazione che ne prescriveva l'acquisizione.</w:t>
      </w:r>
    </w:p>
    <w:p>
      <w:pPr>
        <w:spacing w:after="120" w:line="276"/>
        <w:jc w:val="both"/>
      </w:pPr>
      <w:r>
        <w:rPr>
          <w:rFonts w:ascii="Barlow Semi Condensed" w:cs="Barlow Semi Condensed" w:eastAsia="Barlow Semi Condensed" w:hAnsi="Barlow Semi Condensed"/>
          <w:sz w:val="24"/>
          <w:szCs w:val="24"/>
        </w:rPr>
        <w:t xml:space="preserve">Si dichiara con esattezza ciò che l'accostamento consente e ciò che non consente. Esso non consente di identificare quella acquisizione con il repertorio: la relazione non lo dice, e nulla nella sua descrizione lo suggerisce. Esso consente di restringere ulteriormente la ricerca: se il repertorio fu acquisito dopo la raccomandazione, la data del ventuno dicembre millenovecentonovantanove è la sola occorrenza documentata, nelle fonti possedute, di una trasmissione di atti dal Gabinetto alla Commissione sul caso; ed è dunque il primo punto da verificare.</w:t>
      </w:r>
    </w:p>
    <w:p>
      <w:pPr>
        <w:spacing w:after="120" w:line="276"/>
        <w:jc w:val="both"/>
      </w:pPr>
      <w:r>
        <w:rPr>
          <w:rFonts w:ascii="Barlow Semi Condensed" w:cs="Barlow Semi Condensed" w:eastAsia="Barlow Semi Condensed" w:hAnsi="Barlow Semi Condensed"/>
          <w:sz w:val="24"/>
          <w:szCs w:val="24"/>
        </w:rPr>
        <w:t xml:space="preserve">Voce trentacinquesima — Gli atti della XIII legislatura sul caso. Oggetto: i resoconti delle quattro audizioni sul caso e di quella del ventuno gennaio duemila; il documento redatto e depositato dal Presidente il ventisette luglio millenovecentonovantanove; l'elenco analitico del materiale acquisito dalla Procura della Repubblica di Roma il dieci novembre e dal Ministero dell'interno il ventuno dicembre millenovecentonovantanove. Sede: atti della Commissione della XIII legislatura. Chiusura: reperimento dei resoconti, del documento e dei due elenchi. Smentita: non ricorre. Si segnala che il secondo elenco è il punto nel quale verificare l'eventuale acquisizione del repertorio generale del Gabinetto.</w:t>
      </w:r>
    </w:p>
    <w:p>
      <w:pPr>
        <w:pStyle w:val="Heading2"/>
        <w:spacing w:after="100" w:before="200"/>
      </w:pPr>
      <w:r>
        <w:rPr>
          <w:rFonts w:ascii="Barlow Semi Condensed" w:cs="Barlow Semi Condensed" w:eastAsia="Barlow Semi Condensed" w:hAnsi="Barlow Semi Condensed"/>
          <w:sz w:val="24"/>
          <w:szCs w:val="24"/>
        </w:rPr>
        <w:t xml:space="preserve">Parte terza — Il canale orientale, e la sua catena di custodia</w:t>
      </w:r>
    </w:p>
    <w:p>
      <w:pPr>
        <w:spacing w:after="120" w:line="276"/>
        <w:jc w:val="both"/>
      </w:pPr>
      <w:r>
        <w:rPr>
          <w:rFonts w:ascii="Barlow Semi Condensed" w:cs="Barlow Semi Condensed" w:eastAsia="Barlow Semi Condensed" w:hAnsi="Barlow Semi Condensed"/>
          <w:sz w:val="24"/>
          <w:szCs w:val="24"/>
        </w:rPr>
        <w:t xml:space="preserve">L'organo espone per intero, e questa è l'acquisizione più consistente dell'unità, la vicenda di un carteggio relativo a contatti e scambi di informazioni intervenuti nell'estate e nell'autunno del millenovecentonovanta fra gli organi ufficiali della nuova amministrazione di uno Stato dell'Europa centrale e i servizi informativi italiani, carteggio che avrebbe riguardato fra l'altro l'attività dell'organizzazione e il caso.</w:t>
      </w:r>
    </w:p>
    <w:p>
      <w:pPr>
        <w:spacing w:after="120" w:line="276"/>
        <w:jc w:val="both"/>
      </w:pPr>
      <w:r>
        <w:rPr>
          <w:rFonts w:ascii="Barlow Semi Condensed" w:cs="Barlow Semi Condensed" w:eastAsia="Barlow Semi Condensed" w:hAnsi="Barlow Semi Condensed"/>
          <w:sz w:val="24"/>
          <w:szCs w:val="24"/>
        </w:rPr>
        <w:t xml:space="preserve">La catena di custodia dichiarata è la seguente. Il carteggio fu trasmesso dal servizio informativo civile alla Procura della Repubblica di Roma nell'agosto millenovecentonovantotto; da questa fu inviato alla Commissione nell'aprile millenovecentonovantanove; l'Ufficio di Presidenza, previ contatti con la Procura e con il servizio, deliberò a maggioranza il venticinque ottobre millenovecentonovantanove di renderlo accessibile agli organi di informazione.</w:t>
      </w:r>
    </w:p>
    <w:p>
      <w:pPr>
        <w:spacing w:after="120" w:line="276"/>
        <w:jc w:val="both"/>
      </w:pPr>
      <w:r>
        <w:rPr>
          <w:rFonts w:ascii="Barlow Semi Condensed" w:cs="Barlow Semi Condensed" w:eastAsia="Barlow Semi Condensed" w:hAnsi="Barlow Semi Condensed"/>
          <w:sz w:val="24"/>
          <w:szCs w:val="24"/>
        </w:rPr>
        <w:t xml:space="preserve">L'organo precisa inoltre che dalla documentazione trasmessa nel millenovecentonovantotto dal servizio alla Procura erano rimaste escluse alcune parti, menzionate sommariamente in un elenco ma non afferenti al caso, e che la Procura non ne aveva pertanto fatto richiesta; e che la Commissione giudicò opportuno acquisire anche quelle parti, ottenendole dal servizio in data ventinove ottobre millenovecentonovantanove. Riferisce infine che il vicepresidente del Consiglio, al termine della propria audizione del ventisette ottobre, depositò altri atti citati ma non inclusi nel fascicolo inviato alla Procura.</w:t>
      </w:r>
    </w:p>
    <w:p>
      <w:pPr>
        <w:spacing w:after="120" w:line="276"/>
        <w:jc w:val="both"/>
      </w:pPr>
      <w:r>
        <w:rPr>
          <w:rFonts w:ascii="Barlow Semi Condensed" w:cs="Barlow Semi Condensed" w:eastAsia="Barlow Semi Condensed" w:hAnsi="Barlow Semi Condensed"/>
          <w:sz w:val="24"/>
          <w:szCs w:val="24"/>
        </w:rPr>
        <w:t xml:space="preserve">Questa esposizione contiene il caso più istruttivo dell'intera serie quanto alla formazione delle lacune, e va letto lentamente. Un servizio trasmette a una Procura ciò che è pertinente al procedimento di quella Procura, e menziona in elenco ciò che non lo è. La Procura, correttamente, chiede il pertinente. Il non pertinente resta dove si trova. Nessuno ha occultato nulla, nessuno ha violato alcuna regola, e ciascun passaggio è ineccepibile: eppure, al termine della catena, esiste un insieme di documenti che è stato menzionato, non richiesto e non trasmesso, e la cui esistenza è nota soltanto a chi legga l'elenco sommario.</w:t>
      </w:r>
    </w:p>
    <w:p>
      <w:pPr>
        <w:spacing w:after="120" w:line="276"/>
        <w:jc w:val="both"/>
      </w:pPr>
      <w:r>
        <w:rPr>
          <w:rFonts w:ascii="Barlow Semi Condensed" w:cs="Barlow Semi Condensed" w:eastAsia="Barlow Semi Condensed" w:hAnsi="Barlow Semi Condensed"/>
          <w:sz w:val="24"/>
          <w:szCs w:val="24"/>
        </w:rPr>
        <w:t xml:space="preserve">Se ne trae che una parte delle lacune in questa materia non è prodotta da alcuna volontà. Essa è prodotta dal fatto che ogni ufficio domanda secondo il proprio oggetto, e che ciò che cade fuori dall'oggetto di tutti gli uffici che hanno domandato non è mai domandato da nessuno. È la figura che il corpus maggiore designa come effetto del lampione, qui documentata nella sua forma pura: non un archivio che si chiude, ma un fascio di luce che non arriva.</w:t>
      </w:r>
    </w:p>
    <w:p>
      <w:pPr>
        <w:spacing w:after="120" w:line="276"/>
        <w:jc w:val="both"/>
      </w:pPr>
      <w:r>
        <w:rPr>
          <w:rFonts w:ascii="Barlow Semi Condensed" w:cs="Barlow Semi Condensed" w:eastAsia="Barlow Semi Condensed" w:hAnsi="Barlow Semi Condensed"/>
          <w:sz w:val="24"/>
          <w:szCs w:val="24"/>
        </w:rPr>
        <w:t xml:space="preserve">Si registri altresì la circostanza che segue, perché è quella che ha rotto la sequenza: la Commissione ottenne le parti escluse perché ne lesse l'elenco e le chiese. L'elenco sommario di ciò che non viene trasmesso è, in un sistema di trasmissioni parziali, il solo strumento che renda la lacuna visibile. Ne discende una prescrizione per chi conduca ricerche archivistiche: si chieda sempre, oltre al fascicolo, l'elenco di ciò che dal fascicolo è stato escluso, e la ragione dell'esclusione.</w:t>
      </w:r>
    </w:p>
    <w:p>
      <w:pPr>
        <w:spacing w:after="120" w:line="276"/>
        <w:jc w:val="both"/>
      </w:pPr>
      <w:r>
        <w:rPr>
          <w:rFonts w:ascii="Barlow Semi Condensed" w:cs="Barlow Semi Condensed" w:eastAsia="Barlow Semi Condensed" w:hAnsi="Barlow Semi Condensed"/>
          <w:sz w:val="24"/>
          <w:szCs w:val="24"/>
        </w:rPr>
        <w:t xml:space="preserve">L'organo conclude affermando che, a seguito del complesso delle acquisizioni, la Commissione dispone ora di tutto il materiale raccolto dai servizi italiani nel millenovecentonovanta in virtù di quel rapporto di collaborazione.</w:t>
      </w:r>
    </w:p>
    <w:p>
      <w:pPr>
        <w:spacing w:after="120" w:line="276"/>
        <w:jc w:val="both"/>
      </w:pPr>
      <w:r>
        <w:rPr>
          <w:rFonts w:ascii="Barlow Semi Condensed" w:cs="Barlow Semi Condensed" w:eastAsia="Barlow Semi Condensed" w:hAnsi="Barlow Semi Condensed"/>
          <w:sz w:val="24"/>
          <w:szCs w:val="24"/>
        </w:rPr>
        <w:t xml:space="preserve">Si enuncia la regola che l'affermazione impone, ed è la dodicesima della serie. Un'affermazione di completezza formulata dall'acquirente è una valutazione dell'acquirente e non un accertamento sulla completezza. Essa attesta che chi ha acquisito ritiene di avere esaurito, il che dipende dalla conoscenza che egli ha di ciò che esiste; e in un sistema nel quale l'esistenza è nota per elenchi sommari redatti da altri, quella conoscenza è essa stessa derivata. Si registri l'affermazione al grado che le compete, che è quello della valutazione, e non la si impieghi per chiudere una ricerca.</w:t>
      </w:r>
    </w:p>
    <w:p>
      <w:pPr>
        <w:spacing w:after="120" w:line="276"/>
        <w:jc w:val="both"/>
      </w:pPr>
      <w:r>
        <w:rPr>
          <w:rFonts w:ascii="Barlow Semi Condensed" w:cs="Barlow Semi Condensed" w:eastAsia="Barlow Semi Condensed" w:hAnsi="Barlow Semi Condensed"/>
          <w:sz w:val="24"/>
          <w:szCs w:val="24"/>
        </w:rPr>
        <w:t xml:space="preserve">Voce trentaseiesima — Il carteggio del 1990 e le parti escluse dal fascicolo processuale. Oggetto: il carteggio nel suo complesso; l'elenco sommario delle parti escluse dalla trasmissione del millenovecentonovantotto e la ragione della loro esclusione; le parti acquisite dal servizio il ventinove ottobre millenovecentonovantanove; gli atti depositati al termine dell'audizione del ventisette ottobre. Sede: atti della Commissione della XIII legislatura; Procura della Repubblica di Roma; archivi del servizio informativo civile. Chiusura: reperimento del carteggio e dell'elenco delle esclusioni. Smentita: la constatazione che l'elenco sommario non esista o non sia conservato, nel qual caso l'estensione di ciò che non fu trasmesso non sarebbe determinabile e la voce si chiuderebbe con Stato Zero anziché con reperimento.</w:t>
      </w:r>
    </w:p>
    <w:p>
      <w:pPr>
        <w:pStyle w:val="Heading2"/>
        <w:spacing w:after="100" w:before="200"/>
      </w:pPr>
      <w:r>
        <w:rPr>
          <w:rFonts w:ascii="Barlow Semi Condensed" w:cs="Barlow Semi Condensed" w:eastAsia="Barlow Semi Condensed" w:hAnsi="Barlow Semi Condensed"/>
          <w:sz w:val="24"/>
          <w:szCs w:val="24"/>
        </w:rPr>
        <w:t xml:space="preserve">Parte quarta — Uno Stato Zero formalizzato da quattro apparati</w:t>
      </w:r>
    </w:p>
    <w:p>
      <w:pPr>
        <w:spacing w:after="120" w:line="276"/>
        <w:jc w:val="both"/>
      </w:pPr>
      <w:r>
        <w:rPr>
          <w:rFonts w:ascii="Barlow Semi Condensed" w:cs="Barlow Semi Condensed" w:eastAsia="Barlow Semi Condensed" w:hAnsi="Barlow Semi Condensed"/>
          <w:sz w:val="24"/>
          <w:szCs w:val="24"/>
        </w:rPr>
        <w:t xml:space="preserve">L'organo riferisce di avere voluto attingere ogni possibile notizia circa l'eventuale esistenza di un documento che sarebbe stato consegnato personalmente da un capo di Stato straniero a funzionari italiani nel corso di una visita del settembre millenovecentonovanta; di avere inviato a tal fine precise richieste a quattro sedi — l'organismo di coordinamento dei servizi, i due servizi informativi e la Presidenza del Consiglio; e che dalle risposte ottenute può desumersi con sufficiente sicurezza che, allo stato, non risulta l'esistenza del documento ipotizzato, e che non vi è altra documentazione oltre quella già segnalata.</w:t>
      </w:r>
    </w:p>
    <w:p>
      <w:pPr>
        <w:spacing w:after="120" w:line="276"/>
        <w:jc w:val="both"/>
      </w:pPr>
      <w:r>
        <w:rPr>
          <w:rFonts w:ascii="Barlow Semi Condensed" w:cs="Barlow Semi Condensed" w:eastAsia="Barlow Semi Condensed" w:hAnsi="Barlow Semi Condensed"/>
          <w:sz w:val="24"/>
          <w:szCs w:val="24"/>
        </w:rPr>
        <w:t xml:space="preserve">Questa è la constatazione negativa meglio costruita che le fonti di questa materia offrano, e va qualificata con precisione perché il suo pregio sta nella forma e non nell'esito.</w:t>
      </w:r>
    </w:p>
    <w:p>
      <w:pPr>
        <w:spacing w:after="120" w:line="276"/>
        <w:jc w:val="both"/>
      </w:pPr>
      <w:r>
        <w:rPr>
          <w:rFonts w:ascii="Barlow Semi Condensed" w:cs="Barlow Semi Condensed" w:eastAsia="Barlow Semi Condensed" w:hAnsi="Barlow Semi Condensed"/>
          <w:sz w:val="24"/>
          <w:szCs w:val="24"/>
        </w:rPr>
        <w:t xml:space="preserve">Essa non è prodotta dal ricercatore, il quale può soltanto dichiarare di non avere trovato. È prodotta da quattro amministrazioni distinte, ciascuna interrogata su un oggetto determinato, ciascuna rispondente sui propri atti. Un esito negativo di questa specie non misura l'intensità di una ricerca privata: misura il contenuto dichiarato di quattro archivi.</w:t>
      </w:r>
    </w:p>
    <w:p>
      <w:pPr>
        <w:spacing w:after="120" w:line="276"/>
        <w:jc w:val="both"/>
      </w:pPr>
      <w:r>
        <w:rPr>
          <w:rFonts w:ascii="Barlow Semi Condensed" w:cs="Barlow Semi Condensed" w:eastAsia="Barlow Semi Condensed" w:hAnsi="Barlow Semi Condensed"/>
          <w:sz w:val="24"/>
          <w:szCs w:val="24"/>
        </w:rPr>
        <w:t xml:space="preserve">Si dichiari però con la medesima esattezza ciò che essa stabilisce. Stabilisce che il documento non risulta dagli atti delle quattro sedi interrogate, alla data delle risposte. Non stabilisce che il documento non sia esistito, né che non esista altrove, né che non sia stato distrutto, né che non sia conservato presso una sede quinta non interrogata. L'organo medesimo usa la formula allo stato e l'avverbio con sufficiente sicurezza, e sono le due cautele giuste: la prima temporale, la seconda di grado.</w:t>
      </w:r>
    </w:p>
    <w:p>
      <w:pPr>
        <w:spacing w:after="120" w:line="276"/>
        <w:jc w:val="both"/>
      </w:pPr>
      <w:r>
        <w:rPr>
          <w:rFonts w:ascii="Barlow Semi Condensed" w:cs="Barlow Semi Condensed" w:eastAsia="Barlow Semi Condensed" w:hAnsi="Barlow Semi Condensed"/>
          <w:sz w:val="24"/>
          <w:szCs w:val="24"/>
        </w:rPr>
        <w:t xml:space="preserve">Si registra questa voce nella classe delle constatazioni negative alla quale la Voce ventunesima è dedicata, e la si segnala come modello di quella classe. Una constatazione negativa vale quanto l'intensità della ricerca che l'ha prodotta; qui l'intensità è documentata in quattro richieste a quattro sedi competenti, ed è pertanto misurabile.</w:t>
      </w:r>
    </w:p>
    <w:p>
      <w:pPr>
        <w:pStyle w:val="Heading2"/>
        <w:spacing w:after="100" w:before="200"/>
      </w:pPr>
      <w:r>
        <w:rPr>
          <w:rFonts w:ascii="Barlow Semi Condensed" w:cs="Barlow Semi Condensed" w:eastAsia="Barlow Semi Condensed" w:hAnsi="Barlow Semi Condensed"/>
          <w:sz w:val="24"/>
          <w:szCs w:val="24"/>
        </w:rPr>
        <w:t xml:space="preserve">Parte quinta — Un fascicolo nuovo</w:t>
      </w:r>
    </w:p>
    <w:p>
      <w:pPr>
        <w:spacing w:after="120" w:line="276"/>
        <w:jc w:val="both"/>
      </w:pPr>
      <w:r>
        <w:rPr>
          <w:rFonts w:ascii="Barlow Semi Condensed" w:cs="Barlow Semi Condensed" w:eastAsia="Barlow Semi Condensed" w:hAnsi="Barlow Semi Condensed"/>
          <w:sz w:val="24"/>
          <w:szCs w:val="24"/>
        </w:rPr>
        <w:t xml:space="preserve">L'organo riferisce che, quanto a una figura sulla quale la relazione semestrale anteriore aveva già segnalato motivi di interesse — un musicista deceduto nel millenovecentottantatré — si è avuta conferma dell'esistenza di un apposito fascicolo processuale aperto presso la Procura di Brescia e poi trasmesso per competenza a quella di Roma; che tale fascicolo è stato acquisito con la copiosa documentazione allegata; e che la Commissione ha avanzato per proprio conto richieste di elementi informativi a organi investigativi, a enti diversi e a istituti culturali.</w:t>
      </w:r>
    </w:p>
    <w:p>
      <w:pPr>
        <w:spacing w:after="120" w:line="276"/>
        <w:jc w:val="both"/>
      </w:pPr>
      <w:r>
        <w:rPr>
          <w:rFonts w:ascii="Barlow Semi Condensed" w:cs="Barlow Semi Condensed" w:eastAsia="Barlow Semi Condensed" w:hAnsi="Barlow Semi Condensed"/>
          <w:sz w:val="24"/>
          <w:szCs w:val="24"/>
        </w:rPr>
        <w:t xml:space="preserve">Si registra il solo dato documentale, che è l'esistenza e la traslazione per competenza di un fascicolo, con le due sedi e la copiosità dell'allegato. Il presente atto non riferisce alcuna ipotesi sulla materia e non ne conosce il contenuto. Si segnala che una trasmissione per competenza fra due Procure lascia traccia in entrambe, e che il fascicolo è pertanto reperibile per due vie.</w:t>
      </w:r>
    </w:p>
    <w:p>
      <w:pPr>
        <w:spacing w:after="120" w:line="276"/>
        <w:jc w:val="both"/>
      </w:pPr>
      <w:r>
        <w:rPr>
          <w:rFonts w:ascii="Barlow Semi Condensed" w:cs="Barlow Semi Condensed" w:eastAsia="Barlow Semi Condensed" w:hAnsi="Barlow Semi Condensed"/>
          <w:sz w:val="24"/>
          <w:szCs w:val="24"/>
        </w:rPr>
        <w:t xml:space="preserve">Voce trentasettesima — Il fascicolo trasmesso per competenza da Brescia a Roma. Oggetto: il fascicolo processuale e la documentazione allegata; l'atto di trasmissione per competenza; le richieste di elementi informativi avanzate dalla Commissione e le risposte pervenute. Sede: Procura della Repubblica di Brescia e Procura della Repubblica di Roma; atti della Commissione della XIII legislatura. Chiusura: reperimento del fascicolo e dell'atto di trasmissione. Smentita: non ricorre.</w:t>
      </w:r>
    </w:p>
    <w:p>
      <w:pPr>
        <w:pStyle w:val="Heading2"/>
        <w:spacing w:after="100" w:before="200"/>
      </w:pPr>
      <w:r>
        <w:rPr>
          <w:rFonts w:ascii="Barlow Semi Condensed" w:cs="Barlow Semi Condensed" w:eastAsia="Barlow Semi Condensed" w:hAnsi="Barlow Semi Condensed"/>
          <w:sz w:val="24"/>
          <w:szCs w:val="24"/>
        </w:rPr>
        <w:t xml:space="preserve">Parte sesta — Duecentosessantuno schede, e una catena sola</w:t>
      </w:r>
    </w:p>
    <w:p>
      <w:pPr>
        <w:spacing w:after="120" w:line="276"/>
        <w:jc w:val="both"/>
      </w:pPr>
      <w:r>
        <w:rPr>
          <w:rFonts w:ascii="Barlow Semi Condensed" w:cs="Barlow Semi Condensed" w:eastAsia="Barlow Semi Condensed" w:hAnsi="Barlow Semi Condensed"/>
          <w:sz w:val="24"/>
          <w:szCs w:val="24"/>
        </w:rPr>
        <w:t xml:space="preserve">L'organo espone l'acquisizione di un dossier proveniente da un archivio straniero, e l'esposizione è, ai fini della verifica genealogica, la più istruttiva dell'intera giornata.</w:t>
      </w:r>
    </w:p>
    <w:p>
      <w:pPr>
        <w:spacing w:after="120" w:line="276"/>
        <w:jc w:val="both"/>
      </w:pPr>
      <w:r>
        <w:rPr>
          <w:rFonts w:ascii="Barlow Semi Condensed" w:cs="Barlow Semi Condensed" w:eastAsia="Barlow Semi Condensed" w:hAnsi="Barlow Semi Condensed"/>
          <w:sz w:val="24"/>
          <w:szCs w:val="24"/>
        </w:rPr>
        <w:t xml:space="preserve">La sequenza dichiarata è la seguente. Un funzionario dell'archivio centrale di un servizio segreto estero porta con sé, fuggendo nel millenovecentonovantadue, annotazioni e appunti tratti da quell'archivio, e li consegna a un servizio occidentale. Fra il millenovecentonovantasei e il millenovecentonovantanove uno storico incaricato ufficialmente da quel governo ne conduce la lettura critica, dalla quale nasce un volume. Le schede riguardanti l'Italia, in numero di duecentosessantuno, sono trasmesse dai servizi britannici a quelli italiani nel corso degli anni a partire dal millenovecentonovantacinque. Il Governo italiano le invia alla Procura della Repubblica di Roma. La Commissione ne chiede l'integralità e le ottiene l'undici ottobre millenovecentonovantanove in due esemplari identici, l'uno dalla magistratura e l'altro dalla Presidenza del Consiglio, entrambi recanti sia la versione originale sia la traduzione effettuata dal servizio informativo militare. Nel pomeriggio del medesimo giorno l'Ufficio di Presidenza delibera di rendere la documentazione immediatamente consultabile e accessibile agli organi di informazione, e affida a un consulente il compito di relazionarne.</w:t>
      </w:r>
    </w:p>
    <w:p>
      <w:pPr>
        <w:spacing w:after="120" w:line="276"/>
        <w:jc w:val="both"/>
      </w:pPr>
      <w:r>
        <w:rPr>
          <w:rFonts w:ascii="Barlow Semi Condensed" w:cs="Barlow Semi Condensed" w:eastAsia="Barlow Semi Condensed" w:hAnsi="Barlow Semi Condensed"/>
          <w:sz w:val="24"/>
          <w:szCs w:val="24"/>
        </w:rPr>
        <w:t xml:space="preserve">Si contino le catene. Il volume a stampa, i due esemplari del dossier, la traduzione del servizio, la relazione del consulente e la copertura giornalistica che ne seguì sono sei oggetti distinti, di cinque nature diverse, provenienti da cinque sedi diverse. Sono una catena sola. L'evento originario è uno: le annotazioni tratte da quell'archivio da quel funzionario. Tutto il resto è trasmissione, traduzione, lettura critica ed esposizione, e nessuna di queste operazioni genera catena.</w:t>
      </w:r>
    </w:p>
    <w:p>
      <w:pPr>
        <w:spacing w:after="120" w:line="276"/>
        <w:jc w:val="both"/>
      </w:pPr>
      <w:r>
        <w:rPr>
          <w:rFonts w:ascii="Barlow Semi Condensed" w:cs="Barlow Semi Condensed" w:eastAsia="Barlow Semi Condensed" w:hAnsi="Barlow Semi Condensed"/>
          <w:sz w:val="24"/>
          <w:szCs w:val="24"/>
        </w:rPr>
        <w:t xml:space="preserve">Ne segue, per la settima regola e per la nona, che nessuna convergenza è computabile fra questi sei oggetti, e che una proposizione sorretta dal volume e dal dossier è sorretta da una fonte e non da due.</w:t>
      </w:r>
    </w:p>
    <w:p>
      <w:pPr>
        <w:spacing w:after="120" w:line="276"/>
        <w:jc w:val="both"/>
      </w:pPr>
      <w:r>
        <w:rPr>
          <w:rFonts w:ascii="Barlow Semi Condensed" w:cs="Barlow Semi Condensed" w:eastAsia="Barlow Semi Condensed" w:hAnsi="Barlow Semi Condensed"/>
          <w:sz w:val="24"/>
          <w:szCs w:val="24"/>
        </w:rPr>
        <w:t xml:space="preserve">Ne segue altresì, per il repertorio critico dell'opera, la collocazione della classe. Le schede non sono l'archivio: sono annotazioni tratte da un archivio, e l'archivio non è stato veduto da chi legge le annotazioni. La classe che il repertorio designa come archivi dei regimi caduti, alla quale conferisce il grado massimo, non le comprende. Esse appartengono alla classe delle stime e delle schedature di apparato, alla quale il repertorio conferisce il grado massimo quanto a ciò che un apparato riteneva in una data determinata, e il grado minimo quanto ai fatti del mondo che asseriscono, salvo riscontro autonomo. Il repertorio dichiara che la violazione di questa distinzione è l'errore più frequente nell'uso di questa classe di materiali; il presente atto la ribadisce e la applica.</w:t>
      </w:r>
    </w:p>
    <w:p>
      <w:pPr>
        <w:spacing w:after="120" w:line="276"/>
        <w:jc w:val="both"/>
      </w:pPr>
      <w:r>
        <w:rPr>
          <w:rFonts w:ascii="Barlow Semi Condensed" w:cs="Barlow Semi Condensed" w:eastAsia="Barlow Semi Condensed" w:hAnsi="Barlow Semi Condensed"/>
          <w:sz w:val="24"/>
          <w:szCs w:val="24"/>
        </w:rPr>
        <w:t xml:space="preserve">Si registra infine, come dato sulla materia e non sul merito, che l'organo stesso dichiarò di volersi occupare del dossier utilizzandone gli spunti informativi ai fini delle inchieste di propria competenza, fra le quali nomina il caso; e che fu presentato un disegno di legge per istituire una Commissione d'inchiesta ad hoc sulla materia, approvato da un ramo del Parlamento e in attesa presso l'altro alla data della relazione.</w:t>
      </w:r>
    </w:p>
    <w:p>
      <w:pPr>
        <w:spacing w:after="120" w:line="276"/>
        <w:jc w:val="both"/>
      </w:pPr>
      <w:r>
        <w:rPr>
          <w:rFonts w:ascii="Barlow Semi Condensed" w:cs="Barlow Semi Condensed" w:eastAsia="Barlow Semi Condensed" w:hAnsi="Barlow Semi Condensed"/>
          <w:sz w:val="24"/>
          <w:szCs w:val="24"/>
        </w:rPr>
        <w:t xml:space="preserve">Voce trentottesima — Le duecentosessantuno schede e la loro genealogia. Oggetto: il dossier nella versione integrale acquisita l'undici ottobre millenovecentonovantanove, con la traduzione allegata; la relazione redatta dal consulente incaricato; e la verifica di quali proposizioni della letteratura sul caso riposino su questa catena, computata una volta sola. Sede: atti della Commissione della XIII legislatura; Procura della Repubblica di Roma; Presidenza del Consiglio. Chiusura: reperimento del dossier e della relazione, e compilazione dell'elenco delle proposizioni che vi riposano. Smentita: non ricorre quanto al reperimento; quanto alla verifica genealogica, essa si chiude anche con esito nullo, ove risulti che nessuna proposizione dell'opera vi riposi.</w:t>
      </w:r>
    </w:p>
    <w:p>
      <w:pPr>
        <w:pStyle w:val="Heading2"/>
        <w:spacing w:after="100" w:before="200"/>
      </w:pPr>
      <w:r>
        <w:rPr>
          <w:rFonts w:ascii="Barlow Semi Condensed" w:cs="Barlow Semi Condensed" w:eastAsia="Barlow Semi Condensed" w:hAnsi="Barlow Semi Condensed"/>
          <w:sz w:val="24"/>
          <w:szCs w:val="24"/>
        </w:rPr>
        <w:t xml:space="preserve">Parte settima — Gli esiti giudiziari registrati</w:t>
      </w:r>
    </w:p>
    <w:p>
      <w:pPr>
        <w:spacing w:after="120" w:line="276"/>
        <w:jc w:val="both"/>
      </w:pPr>
      <w:r>
        <w:rPr>
          <w:rFonts w:ascii="Barlow Semi Condensed" w:cs="Barlow Semi Condensed" w:eastAsia="Barlow Semi Condensed" w:hAnsi="Barlow Semi Condensed"/>
          <w:sz w:val="24"/>
          <w:szCs w:val="24"/>
        </w:rPr>
        <w:t xml:space="preserve">La relazione registra quattro esiti giudiziari del semestre, e due appartengono alla materia dell'opera.</w:t>
      </w:r>
    </w:p>
    <w:p>
      <w:pPr>
        <w:spacing w:after="120" w:line="276"/>
        <w:jc w:val="both"/>
      </w:pPr>
      <w:r>
        <w:rPr>
          <w:rFonts w:ascii="Barlow Semi Condensed" w:cs="Barlow Semi Condensed" w:eastAsia="Barlow Semi Condensed" w:hAnsi="Barlow Semi Condensed"/>
          <w:sz w:val="24"/>
          <w:szCs w:val="24"/>
        </w:rPr>
        <w:t xml:space="preserve">Il primo. Il dibattimento sull'omicidio del giornalista, celebrato presso la sede competente, si è concluso in data ventiquattro settembre con sentenza di primo grado che ha escluso ogni responsabilità penale degli imputati.</w:t>
      </w:r>
    </w:p>
    <w:p>
      <w:pPr>
        <w:spacing w:after="120" w:line="276"/>
        <w:jc w:val="both"/>
      </w:pPr>
      <w:r>
        <w:rPr>
          <w:rFonts w:ascii="Barlow Semi Condensed" w:cs="Barlow Semi Condensed" w:eastAsia="Barlow Semi Condensed" w:hAnsi="Barlow Semi Condensed"/>
          <w:sz w:val="24"/>
          <w:szCs w:val="24"/>
        </w:rPr>
        <w:t xml:space="preserve">Si registra l'esito e lo si accosta alle designazioni delle appendici anteriori. L'appendice quarta ha individuato per estremi gli atti di quel procedimento fra le acquisizioni della Commissione della X legislatura; l'appendice settima ha individuato l'audizione del magistrato titolare delle indagini. Nessuna delle due ha affermato alcunché sul merito, e il presente esito mostra perché quella astensione era dovuta: la designazione per estremi di un atto processuale non anticipa il suo esito, e chi avesse tratto dalla sola esistenza di un procedimento una qualunque inferenza sul merito avrebbe inferito contro ciò che il procedimento ha poi stabilito.</w:t>
      </w:r>
    </w:p>
    <w:p>
      <w:pPr>
        <w:spacing w:after="120" w:line="276"/>
        <w:jc w:val="both"/>
      </w:pPr>
      <w:r>
        <w:rPr>
          <w:rFonts w:ascii="Barlow Semi Condensed" w:cs="Barlow Semi Condensed" w:eastAsia="Barlow Semi Condensed" w:hAnsi="Barlow Semi Condensed"/>
          <w:sz w:val="24"/>
          <w:szCs w:val="24"/>
        </w:rPr>
        <w:t xml:space="preserve">Si dispone che, nelle redazioni successive, ogni designazione di un procedimento rechi, ove noto, il suo esito; e che ove l'esito non sia noto ciò sia dichiarato, poiché un procedimento designato senza esito è, per il lettore distratto, un procedimento la cui accusa resta implicitamente in piedi.</w:t>
      </w:r>
    </w:p>
    <w:p>
      <w:pPr>
        <w:spacing w:after="120" w:line="276"/>
        <w:jc w:val="both"/>
      </w:pPr>
      <w:r>
        <w:rPr>
          <w:rFonts w:ascii="Barlow Semi Condensed" w:cs="Barlow Semi Condensed" w:eastAsia="Barlow Semi Condensed" w:hAnsi="Barlow Semi Condensed"/>
          <w:sz w:val="24"/>
          <w:szCs w:val="24"/>
        </w:rPr>
        <w:t xml:space="preserve">Il secondo. La prima fase del procedimento sul disastro aereo si è conclusa con il deposito, il trentuno agosto, di una sentenza-ordinanza che, fra l'altro, elenca in dettaglio le possibili ricostruzioni dei fatti quali risultano dalle perizie acquisite. Si registra il dato per la sola circostanza che rileva ai fini del metodo: un atto giudiziario che elenchi le ricostruzioni possibili anziché sceglierne una è, nel genere, prossimo a ciò che l'opera pratica, ed è raro.</w:t>
      </w:r>
    </w:p>
    <w:p>
      <w:pPr>
        <w:pStyle w:val="Heading2"/>
        <w:spacing w:after="100" w:before="200"/>
      </w:pPr>
      <w:r>
        <w:rPr>
          <w:rFonts w:ascii="Barlow Semi Condensed" w:cs="Barlow Semi Condensed" w:eastAsia="Barlow Semi Condensed" w:hAnsi="Barlow Semi Condensed"/>
          <w:sz w:val="24"/>
          <w:szCs w:val="24"/>
        </w:rPr>
        <w:t xml:space="preserve">Parte ottava — Mutazioni di stato e Stati Zero</w:t>
      </w:r>
    </w:p>
    <w:p>
      <w:pPr>
        <w:spacing w:after="120" w:line="276"/>
        <w:jc w:val="both"/>
      </w:pPr>
      <w:r>
        <w:rPr>
          <w:rFonts w:ascii="Barlow Semi Condensed" w:cs="Barlow Semi Condensed" w:eastAsia="Barlow Semi Condensed" w:hAnsi="Barlow Semi Condensed"/>
          <w:sz w:val="24"/>
          <w:szCs w:val="24"/>
        </w:rPr>
        <w:t xml:space="preserve">Si iscrivono le Voci trentacinquesima, trentaseiesima, trentasettesima e trentottesima. Si enuncia la dodicesima regola della risalita. Si dispone che ogni designazione di procedimento rechi l'esito o ne dichiari l'ignoranza.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Lo Stato Zero sul repertorio generale del Gabinetto si restringe per la seconda volta e non si chiude: la verifica si concentra sull'elenco analitico del materiale acquisito dal Ministero dell'interno il ventuno dicembre millenovecentonovantanove.</w:t>
      </w:r>
    </w:p>
    <w:p>
      <w:pPr>
        <w:spacing w:after="120" w:line="276"/>
        <w:jc w:val="both"/>
      </w:pPr>
      <w:r>
        <w:rPr>
          <w:rFonts w:ascii="Barlow Semi Condensed" w:cs="Barlow Semi Condensed" w:eastAsia="Barlow Semi Condensed" w:hAnsi="Barlow Semi Condensed"/>
          <w:sz w:val="24"/>
          <w:szCs w:val="24"/>
        </w:rPr>
        <w:t xml:space="preserve">Si dichiarano gli Stati Zero nuovi. Primo: il contenuto dell'audizione del ventuno gennaio duemila non è noto e il resoconto non è posseduto. Secondo: l'elenco sommario delle parti escluse dalla trasmissione del millenovecentonovantotto non è posseduto, ed è l'atto che misura l'estensione di ciò che non fu trasmesso. Terzo: le risposte delle quattro sedi interrogate sull'esistenza del documento ipotizzato non sono possedute nel loro testo, ma soltanto nella sintesi che ne dà l'organo. Quarto: la relazione del consulente sul dossier non è posseduta.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sesta del giorno sul medesimo cantiere. Cantiere: designazione per atto delle fonti. Materia: la sesta relazione semestrale della XIII legislatura.</w:t>
      </w:r>
    </w:p>
    <w:p>
      <w:pPr>
        <w:spacing w:after="120" w:line="276"/>
        <w:jc w:val="both"/>
      </w:pPr>
      <w:r>
        <w:rPr>
          <w:rFonts w:ascii="Barlow Semi Condensed" w:cs="Barlow Semi Condensed" w:eastAsia="Barlow Semi Condensed" w:hAnsi="Barlow Semi Condensed"/>
          <w:sz w:val="24"/>
          <w:szCs w:val="24"/>
        </w:rPr>
        <w:t xml:space="preserve">Esito positivo: individuazione dell'audizione del ventuno gennaio duemila della persona la cui identificazione figurava fra gli otto interrogativi irrisolti, e del rifiuto reiterato che la precede, registrato come atto autonomo; individuazione di quattro audizioni sul caso e di due acquisizioni ministeriali datate, delle quali una proveniente dal Dicastero presso il quale fu redatto il repertorio; esposizione integrale della catena di custodia del carteggio del millenovecentonovanta, con individuazione del meccanismo per il quale una parte delle lacune si forma senza alcuna volontà; enunciazione della dodicesima regola della risalita; registrazione di una constatazione negativa formalizzata da quattro amministrazioni distinte, qualificata come modello della classe; individuazione di un fascicolo processuale trasmesso per competenza fra due Procure; ricostruzione della genealogia di un dossier di provenienza estera e riduzione di sei oggetti a una catena sola; registrazione di due esiti giudiziari, dei quali uno esclude ogni responsabilità penale degli imputati; quattro voci nuove iscritte in tavola.</w:t>
      </w:r>
    </w:p>
    <w:p>
      <w:pPr>
        <w:spacing w:after="120" w:line="276"/>
        <w:jc w:val="both"/>
      </w:pPr>
      <w:r>
        <w:rPr>
          <w:rFonts w:ascii="Barlow Semi Condensed" w:cs="Barlow Semi Condensed" w:eastAsia="Barlow Semi Condensed" w:hAnsi="Barlow Semi Condensed"/>
          <w:sz w:val="24"/>
          <w:szCs w:val="24"/>
        </w:rPr>
        <w:t xml:space="preserve">Esito negativo: il resoconto dell'audizione non è posseduto; l'elenco sommario delle esclusioni non è posseduto; le risposte delle quattro sedi non sono possedute nel testo; la relazione del consulente non è posseduta; lo Stato Zero sul repertorio del Gabinetto si restringe e non si chiude.</w:t>
      </w:r>
    </w:p>
    <w:p>
      <w:pPr>
        <w:spacing w:after="120" w:line="276"/>
        <w:jc w:val="both"/>
      </w:pPr>
      <w:r>
        <w:rPr>
          <w:rFonts w:ascii="Barlow Semi Condensed" w:cs="Barlow Semi Condensed" w:eastAsia="Barlow Semi Condensed" w:hAnsi="Barlow Semi Condensed"/>
          <w:sz w:val="24"/>
          <w:szCs w:val="24"/>
        </w:rPr>
        <w:t xml:space="preserve">Riga di errore evitato. Si registra una confusione che il presente atto ha sfiorato e non commesso, poiché registrare l'errore evitato serve quanto registrare quello commesso. L'appendice settima aveva dichiarato Stato Zero sull'esito delle richieste rivolte nel millenovecentonovantacinque, fra le altre, all'ambasciata di uno Stato dell'Europa centrale. La presente unità documenta l'acquisizione di materiale proveniente da quel medesimo Stato. Le due cose non si congiungono: il carteggio qui documentato risale al millenovecentonovanta e pervenne per via di servizio e poi di magistratura, mentre la richiesta del millenovecentonovantacinque fu diplomatica e il suo esito resta ignoto. Un materiale che provenga dal medesimo paese non è la risposta a una richiesta rivolta a quel paese, e trattarlo come tale avrebbe chiuso uno Stato Zero che resta aperto.</w:t>
      </w:r>
    </w:p>
    <w:p>
      <w:pPr>
        <w:spacing w:after="120" w:line="276"/>
        <w:jc w:val="both"/>
      </w:pPr>
      <w:r>
        <w:rPr>
          <w:rFonts w:ascii="Barlow Semi Condensed" w:cs="Barlow Semi Condensed" w:eastAsia="Barlow Semi Condensed" w:hAnsi="Barlow Semi Condensed"/>
          <w:sz w:val="24"/>
          <w:szCs w:val="24"/>
        </w:rPr>
        <w:t xml:space="preserve">Riga di avvertenza. Le persone menzionate nelle fonti qui impiegate lo sono in quanto le loro qualità appartengono agli estremi degli atti, e si sono designate per funzione ove la funzione bastasse. Il presente atto non riferisce il contenuto di alcuna audizione, di alcun fascicolo e di alcuna scheda, e non attribuisce ad alcuno alcunché. Si è registrato per intero l'unico esito di merito che le fonti recano, ed è un esito di esclusione di responsabilità.</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OTTAVA ALLA FASE SETTIMA, il canale orientale, la quarta persona e uno Stato Zero formalizzato da quattro apparati, quindici agosto duemilaventisei. I settanta Capitoli restano settanta. Le redazioni anteriori non sono modificate: le pietre deposte non si scalpellano. Resta sovrana la Regola di Ferro: dove la fonte documenta, l'opera certifica; dove la fonte tace, l'opera indaga e non afferma. Un'affermazione di completezza formulata dall'acquirente è una valutazione dell'acquirente; e si chieda sempre, oltre al fascicolo, l'elenco di ciò che dal fascicolo è stato escluso.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V · Appendice ottava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 3.297 parole in 9 sezioni; la più ampia è §9 Altre sezioni, con 2.978.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 48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VI — Appendice nona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NONA ALLA FASE SETTIMA</w:t>
      </w:r>
    </w:p>
    <w:p>
      <w:pPr>
        <w:pStyle w:val="Heading2"/>
        <w:spacing w:after="100" w:before="200"/>
      </w:pPr>
      <w:r>
        <w:rPr>
          <w:rFonts w:ascii="Barlow Semi Condensed" w:cs="Barlow Semi Condensed" w:eastAsia="Barlow Semi Condensed" w:hAnsi="Barlow Semi Condensed"/>
          <w:sz w:val="24"/>
          <w:szCs w:val="24"/>
        </w:rPr>
        <w:t xml:space="preserve">Due regimi archivistici, misurati</w:t>
      </w:r>
    </w:p>
    <w:p>
      <w:pPr>
        <w:pStyle w:val="Heading2"/>
        <w:spacing w:after="100" w:before="200"/>
      </w:pPr>
      <w:r>
        <w:rPr>
          <w:rFonts w:ascii="Barlow Semi Condensed" w:cs="Barlow Semi Condensed" w:eastAsia="Barlow Semi Condensed" w:hAnsi="Barlow Semi Condensed"/>
          <w:sz w:val="24"/>
          <w:szCs w:val="24"/>
        </w:rPr>
        <w:t xml:space="preserve">Il fondo di cento record di un servizio informativo estero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nona</w:t>
      </w:r>
    </w:p>
    <w:p>
      <w:pPr>
        <w:spacing w:after="120" w:line="276"/>
        <w:jc w:val="both"/>
      </w:pPr>
      <w:r>
        <w:rPr>
          <w:rFonts w:ascii="Barlow Semi Condensed" w:cs="Barlow Semi Condensed" w:eastAsia="Barlow Semi Condensed" w:hAnsi="Barlow Semi Condensed"/>
          <w:sz w:val="24"/>
          <w:szCs w:val="24"/>
        </w:rPr>
        <w:t xml:space="preserve">La presente è appendice nona alla Fase Settima e opera su un fondo di cento pagine di catalogo provenienti dalla sala di lettura elettronica di un servizio informativo estero, acquisite per copia locale nel marzo duemilaventisei. Come le otto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L'unità è la prima della serie a non essere italiana e la prima a non essere parlamentare, e per questa doppia ragione essa consente ciò che nessuna delle anteriori consentiva: una comparazione fra due regimi archivistici, condotta su misura anziché su impressione. È questo il suo oggetto principale. La sua pertinenza alla materia dell'opera è, come si dirà, limitata, e la limitazione è dichiarata prima di ogni altra cosa.</w:t>
      </w:r>
    </w:p>
    <w:p>
      <w:pPr>
        <w:pStyle w:val="Heading2"/>
        <w:spacing w:after="100" w:before="200"/>
      </w:pPr>
      <w:r>
        <w:rPr>
          <w:rFonts w:ascii="Barlow Semi Condensed" w:cs="Barlow Semi Condensed" w:eastAsia="Barlow Semi Condensed" w:hAnsi="Barlow Semi Condensed"/>
          <w:sz w:val="24"/>
          <w:szCs w:val="24"/>
        </w:rPr>
        <w:t xml:space="preserve">Parte prima — Che cosa il fondo sia, e che cosa non sia</w:t>
      </w:r>
    </w:p>
    <w:p>
      <w:pPr>
        <w:spacing w:after="120" w:line="276"/>
        <w:jc w:val="both"/>
      </w:pPr>
      <w:r>
        <w:rPr>
          <w:rFonts w:ascii="Barlow Semi Condensed" w:cs="Barlow Semi Condensed" w:eastAsia="Barlow Semi Condensed" w:hAnsi="Barlow Semi Condensed"/>
          <w:sz w:val="24"/>
          <w:szCs w:val="24"/>
        </w:rPr>
        <w:t xml:space="preserve">Va detto subito che cosa siano le cento unità, poiché la loro natura è precisamente l'oggetto della distinzione che le otto appendici anteriori hanno costruita.</w:t>
      </w:r>
    </w:p>
    <w:p>
      <w:pPr>
        <w:spacing w:after="120" w:line="276"/>
        <w:jc w:val="both"/>
      </w:pPr>
      <w:r>
        <w:rPr>
          <w:rFonts w:ascii="Barlow Semi Condensed" w:cs="Barlow Semi Condensed" w:eastAsia="Barlow Semi Condensed" w:hAnsi="Barlow Semi Condensed"/>
          <w:sz w:val="24"/>
          <w:szCs w:val="24"/>
        </w:rPr>
        <w:t xml:space="preserve">Esse non sono documenti. Sono pagine di catalogo: ciascuna reca il titolo dell'atto, il fondo di appartenenza, l'identificativo, la decisione di rilascio, la classificazione originaria, il numero di pagine, la data di creazione del record, la data di rilascio, il numero di sequenza, la data di pubblicazione, il tipo di contenuto, e il nome e la dimensione del file allegato che contiene l'atto. Ciascuna reca inoltre una trascrizione automatica del testo, della quale si dirà.</w:t>
      </w:r>
    </w:p>
    <w:p>
      <w:pPr>
        <w:spacing w:after="120" w:line="276"/>
        <w:jc w:val="both"/>
      </w:pPr>
      <w:r>
        <w:rPr>
          <w:rFonts w:ascii="Barlow Semi Condensed" w:cs="Barlow Semi Condensed" w:eastAsia="Barlow Semi Condensed" w:hAnsi="Barlow Semi Condensed"/>
          <w:sz w:val="24"/>
          <w:szCs w:val="24"/>
        </w:rPr>
        <w:t xml:space="preserve">Sono dunque, nel linguaggio delle appendici anteriori, cento indirizzi e non cento atti. La distinzione è la medesima enunciata dalla settima regola della risalita, e qui si presenta nella sua forma più pura, poiché l'indirizzo e l'atto sono materialmente separati: il primo è la pagina, il secondo è il file allegato, che non è posseduto.</w:t>
      </w:r>
    </w:p>
    <w:p>
      <w:pPr>
        <w:pStyle w:val="Heading2"/>
        <w:spacing w:after="100" w:before="200"/>
      </w:pPr>
      <w:r>
        <w:rPr>
          <w:rFonts w:ascii="Barlow Semi Condensed" w:cs="Barlow Semi Condensed" w:eastAsia="Barlow Semi Condensed" w:hAnsi="Barlow Semi Condensed"/>
          <w:sz w:val="24"/>
          <w:szCs w:val="24"/>
        </w:rPr>
        <w:t xml:space="preserve">Parte seconda — Il censimento, e la sua procedura</w:t>
      </w:r>
    </w:p>
    <w:p>
      <w:pPr>
        <w:spacing w:after="120" w:line="276"/>
        <w:jc w:val="both"/>
      </w:pPr>
      <w:r>
        <w:rPr>
          <w:rFonts w:ascii="Barlow Semi Condensed" w:cs="Barlow Semi Condensed" w:eastAsia="Barlow Semi Condensed" w:hAnsi="Barlow Semi Condensed"/>
          <w:sz w:val="24"/>
          <w:szCs w:val="24"/>
        </w:rPr>
        <w:t xml:space="preserve">La procedura è dichiarata e riproducibile. Da ciascuna pagina è stato rimosso il codice di presentazione, il testo residuo è stato normalizzato negli spazi, e i campi sono stati estratti per ricerca sulla etichetta che li precede. Le cifre che seguono sono conteggi su cento unità.</w:t>
      </w:r>
    </w:p>
    <w:p>
      <w:pPr>
        <w:spacing w:after="120" w:line="276"/>
        <w:jc w:val="both"/>
      </w:pPr>
      <w:r>
        <w:rPr>
          <w:rFonts w:ascii="Barlow Semi Condensed" w:cs="Barlow Semi Condensed" w:eastAsia="Barlow Semi Condensed" w:hAnsi="Barlow Semi Condensed"/>
          <w:sz w:val="24"/>
          <w:szCs w:val="24"/>
        </w:rPr>
        <w:t xml:space="preserve">Quanto ai fondi di appartenenza: settantuno unità appartengono al fondo generale, sei a un fondo dedicato a un programma di ricerca, sei a una collezione di studi nazionali, cinque a una collezione documentale, cinque a un servizio di traduzioni, due a un fondo cartografico, due a un bollettino informativo, e le restanti a fondi con una sola occorrenza ciascuno.</w:t>
      </w:r>
    </w:p>
    <w:p>
      <w:pPr>
        <w:spacing w:after="120" w:line="276"/>
        <w:jc w:val="both"/>
      </w:pPr>
      <w:r>
        <w:rPr>
          <w:rFonts w:ascii="Barlow Semi Condensed" w:cs="Barlow Semi Condensed" w:eastAsia="Barlow Semi Condensed" w:hAnsi="Barlow Semi Condensed"/>
          <w:sz w:val="24"/>
          <w:szCs w:val="24"/>
        </w:rPr>
        <w:t xml:space="preserve">Quanto alla classificazione originaria: ventinove unità recano il codice della non classificazione, ventisette un codice che le pagine non spiegano, venticinque quello del grado intermedio di segretezza, sette quello del grado inferiore, sei quello del grado superiore, quattro un ulteriore codice non spiegato, e due non recano il campo.</w:t>
      </w:r>
    </w:p>
    <w:p>
      <w:pPr>
        <w:spacing w:after="120" w:line="276"/>
        <w:jc w:val="both"/>
      </w:pPr>
      <w:r>
        <w:rPr>
          <w:rFonts w:ascii="Barlow Semi Condensed" w:cs="Barlow Semi Condensed" w:eastAsia="Barlow Semi Condensed" w:hAnsi="Barlow Semi Condensed"/>
          <w:sz w:val="24"/>
          <w:szCs w:val="24"/>
        </w:rPr>
        <w:t xml:space="preserve">Quanto alla data di pubblicazione dell'atto: quattro unità sono anteriori al millenovecentocinquanta, dodici appartengono al decennio successivo, nove a quello seguente, tredici agli anni settanta, ventiquattro agli anni ottanta, una al decennio duemila. Trentasette unità non recano data di pubblicazione.</w:t>
      </w:r>
    </w:p>
    <w:p>
      <w:pPr>
        <w:spacing w:after="120" w:line="276"/>
        <w:jc w:val="both"/>
      </w:pPr>
      <w:r>
        <w:rPr>
          <w:rFonts w:ascii="Barlow Semi Condensed" w:cs="Barlow Semi Condensed" w:eastAsia="Barlow Semi Condensed" w:hAnsi="Barlow Semi Condensed"/>
          <w:sz w:val="24"/>
          <w:szCs w:val="24"/>
        </w:rPr>
        <w:t xml:space="preserve">Quanto alla decisione di rilascio: cinquantotto unità recano un codice, ventinove un secondo, otto un terzo, due un quarto, una un quinto, e due non recano il campo.</w:t>
      </w:r>
    </w:p>
    <w:p>
      <w:pPr>
        <w:pStyle w:val="Heading2"/>
        <w:spacing w:after="100" w:before="200"/>
      </w:pPr>
      <w:r>
        <w:rPr>
          <w:rFonts w:ascii="Barlow Semi Condensed" w:cs="Barlow Semi Condensed" w:eastAsia="Barlow Semi Condensed" w:hAnsi="Barlow Semi Condensed"/>
          <w:sz w:val="24"/>
          <w:szCs w:val="24"/>
        </w:rPr>
        <w:t xml:space="preserve">Parte terza — La prima misura: l'identificativo</w:t>
      </w:r>
    </w:p>
    <w:p>
      <w:pPr>
        <w:spacing w:after="120" w:line="276"/>
        <w:jc w:val="both"/>
      </w:pPr>
      <w:r>
        <w:rPr>
          <w:rFonts w:ascii="Barlow Semi Condensed" w:cs="Barlow Semi Condensed" w:eastAsia="Barlow Semi Condensed" w:hAnsi="Barlow Semi Condensed"/>
          <w:sz w:val="24"/>
          <w:szCs w:val="24"/>
        </w:rPr>
        <w:t xml:space="preserve">Tutte e cento le unità recano un identificativo dell'atto, e lo recano in due forme concordanti: nel campo dedicato e nell'indirizzo della risorsa. Nessuna ne è priva.</w:t>
      </w:r>
    </w:p>
    <w:p>
      <w:pPr>
        <w:spacing w:after="120" w:line="276"/>
        <w:jc w:val="both"/>
      </w:pPr>
      <w:r>
        <w:rPr>
          <w:rFonts w:ascii="Barlow Semi Condensed" w:cs="Barlow Semi Condensed" w:eastAsia="Barlow Semi Condensed" w:hAnsi="Barlow Semi Condensed"/>
          <w:sz w:val="24"/>
          <w:szCs w:val="24"/>
        </w:rPr>
        <w:t xml:space="preserve">Si accosti questa cifra al lavoro delle otto appendici anteriori. La serie parlamentare italiana ha richiesto, per giungere alla designazione per atto di cinquanta unità di un solo fascicolo tematico, la ricognizione di settantacinque processi verbali, la lettura di un indice generale in due parti, la risoluzione dichiarata e falsificabile di una convenzione di numerazione, e l'accertamento di tre divergenze fra descrizioni della medesima unità. Diciannove unità sono rimaste non individuate per l'intera giornata e sono state chiuse soltanto dall'indice generale.</w:t>
      </w:r>
    </w:p>
    <w:p>
      <w:pPr>
        <w:spacing w:after="120" w:line="276"/>
        <w:jc w:val="both"/>
      </w:pPr>
      <w:r>
        <w:rPr>
          <w:rFonts w:ascii="Barlow Semi Condensed" w:cs="Barlow Semi Condensed" w:eastAsia="Barlow Semi Condensed" w:hAnsi="Barlow Semi Condensed"/>
          <w:sz w:val="24"/>
          <w:szCs w:val="24"/>
        </w:rPr>
        <w:t xml:space="preserve">Il fondo qui esaminato reca cento identificativi su cento, senza alcuna operazione di ricostruzione. Ciò che nella serie italiana è stato l'esito di un lavoro, qui è il punto di partenza.</w:t>
      </w:r>
    </w:p>
    <w:p>
      <w:pPr>
        <w:spacing w:after="120" w:line="276"/>
        <w:jc w:val="both"/>
      </w:pPr>
      <w:r>
        <w:rPr>
          <w:rFonts w:ascii="Barlow Semi Condensed" w:cs="Barlow Semi Condensed" w:eastAsia="Barlow Semi Condensed" w:hAnsi="Barlow Semi Condensed"/>
          <w:sz w:val="24"/>
          <w:szCs w:val="24"/>
        </w:rPr>
        <w:t xml:space="preserve">Si dichiari con esattezza che cosa questa comparazione stabilisca. Essa non stabilisce nulla sulla lealtà dei due apparati, sulla loro disponibilità o sulla completezza di ciò che rilasciano. Stabilisce che due regimi di catalogazione differiscono quanto alla designazione dell'atto, e che uno dei due la fornisce per costruzione mentre l'altro la lascia ricostruire. È una proprietà del catalogo e non dell'archivio, e non va estesa oltre.</w:t>
      </w:r>
    </w:p>
    <w:p>
      <w:pPr>
        <w:pStyle w:val="Heading2"/>
        <w:spacing w:after="100" w:before="200"/>
      </w:pPr>
      <w:r>
        <w:rPr>
          <w:rFonts w:ascii="Barlow Semi Condensed" w:cs="Barlow Semi Condensed" w:eastAsia="Barlow Semi Condensed" w:hAnsi="Barlow Semi Condensed"/>
          <w:sz w:val="24"/>
          <w:szCs w:val="24"/>
        </w:rPr>
        <w:t xml:space="preserve">Parte quarta — La seconda misura: l'estensione dell'espunzione</w:t>
      </w:r>
    </w:p>
    <w:p>
      <w:pPr>
        <w:spacing w:after="120" w:line="276"/>
        <w:jc w:val="both"/>
      </w:pPr>
      <w:r>
        <w:rPr>
          <w:rFonts w:ascii="Barlow Semi Condensed" w:cs="Barlow Semi Condensed" w:eastAsia="Barlow Semi Condensed" w:hAnsi="Barlow Semi Condensed"/>
          <w:sz w:val="24"/>
          <w:szCs w:val="24"/>
        </w:rPr>
        <w:t xml:space="preserve">Alla misura favorevole se ne accosta una di segno opposto, e la comparazione è utile soltanto se si tengono insieme.</w:t>
      </w:r>
    </w:p>
    <w:p>
      <w:pPr>
        <w:spacing w:after="120" w:line="276"/>
        <w:jc w:val="both"/>
      </w:pPr>
      <w:r>
        <w:rPr>
          <w:rFonts w:ascii="Barlow Semi Condensed" w:cs="Barlow Semi Condensed" w:eastAsia="Barlow Semi Condensed" w:hAnsi="Barlow Semi Condensed"/>
          <w:sz w:val="24"/>
          <w:szCs w:val="24"/>
        </w:rPr>
        <w:t xml:space="preserve">I codici di decisione di rilascio distinguono, nella pratica corrente di questo fondo, il rilascio integrale dal rilascio parziale. Le pagine non recano la spiegazione dei codici, e il presente atto non la assume da memoria: si iscrive in tavola la verifica della loro tavola di corrispondenza presso la fonte che li impiega.</w:t>
      </w:r>
    </w:p>
    <w:p>
      <w:pPr>
        <w:spacing w:after="120" w:line="276"/>
        <w:jc w:val="both"/>
      </w:pPr>
      <w:r>
        <w:rPr>
          <w:rFonts w:ascii="Barlow Semi Condensed" w:cs="Barlow Semi Condensed" w:eastAsia="Barlow Semi Condensed" w:hAnsi="Barlow Semi Condensed"/>
          <w:sz w:val="24"/>
          <w:szCs w:val="24"/>
        </w:rPr>
        <w:t xml:space="preserve">Ove la lettura corrente sia esatta, e sotto questa condizione dichiarata, sessantuno unità su cento sono rilasciate in parte e trentasette integralmente, con due unità prive del campo. Quasi due terzi del fondo sarebbero dunque rilasciati con espunzioni.</w:t>
      </w:r>
    </w:p>
    <w:p>
      <w:pPr>
        <w:spacing w:after="120" w:line="276"/>
        <w:jc w:val="both"/>
      </w:pPr>
      <w:r>
        <w:rPr>
          <w:rFonts w:ascii="Barlow Semi Condensed" w:cs="Barlow Semi Condensed" w:eastAsia="Barlow Semi Condensed" w:hAnsi="Barlow Semi Condensed"/>
          <w:sz w:val="24"/>
          <w:szCs w:val="24"/>
        </w:rPr>
        <w:t xml:space="preserve">Il punto decisivo non è la proporzione ma ciò che manca accanto ad essa. Nessuna delle pagine dichiara l'estensione della porzione non rilasciata. Un'unità di ventuno pagine rilasciata in parte e un'unità di ventuno pagine rilasciata quasi per intero recano il medesimo codice, e nulla le distingue. Il lettore sa che qualcosa è stato tolto e non sa quanto.</w:t>
      </w:r>
    </w:p>
    <w:p>
      <w:pPr>
        <w:spacing w:after="120" w:line="276"/>
        <w:jc w:val="both"/>
      </w:pPr>
      <w:r>
        <w:rPr>
          <w:rFonts w:ascii="Barlow Semi Condensed" w:cs="Barlow Semi Condensed" w:eastAsia="Barlow Semi Condensed" w:hAnsi="Barlow Semi Condensed"/>
          <w:sz w:val="24"/>
          <w:szCs w:val="24"/>
        </w:rPr>
        <w:t xml:space="preserve">Si accosti a ciò l'espunzione documentata dall'appendice quarta sull'unità quattordicesima del fascicolo italiano. Là un organo espunse alcune parti, ne dichiarò l'espunzione, la datò, produsse la versione priva delle parti espunte e la trasmise a sede determinata, conservando accanto ad essa la versione integrale nella medesima serie. L'oggetto restò intatto e la sottrazione fu resa visibile.</w:t>
      </w:r>
    </w:p>
    <w:p>
      <w:pPr>
        <w:spacing w:after="120" w:line="276"/>
        <w:jc w:val="both"/>
      </w:pPr>
      <w:r>
        <w:rPr>
          <w:rFonts w:ascii="Barlow Semi Condensed" w:cs="Barlow Semi Condensed" w:eastAsia="Barlow Semi Condensed" w:hAnsi="Barlow Semi Condensed"/>
          <w:sz w:val="24"/>
          <w:szCs w:val="24"/>
        </w:rPr>
        <w:t xml:space="preserve">Se ne trae la regola, che è la tredicesima della serie e chiude la comparazione.</w:t>
      </w:r>
    </w:p>
    <w:p>
      <w:pPr>
        <w:spacing w:after="120" w:line="276"/>
        <w:jc w:val="both"/>
      </w:pPr>
      <w:r>
        <w:rPr>
          <w:rFonts w:ascii="Barlow Semi Condensed" w:cs="Barlow Semi Condensed" w:eastAsia="Barlow Semi Condensed" w:hAnsi="Barlow Semi Condensed"/>
          <w:sz w:val="24"/>
          <w:szCs w:val="24"/>
        </w:rPr>
        <w:t xml:space="preserve">Tredicesima regola della risalita. Un fondo che designi perfettamente e non dichiari l'estensione delle proprie espunzioni non è più verificabile di uno che designi male e le dichiari. Le due imperfezioni cadono su piani diversi e nessuna surroga l'altra: la prima impedisce di trovare l'atto, la seconda impedisce di sapere quanto dell'atto si stia leggendo. Un catalogo esemplare su un testo di estensione ignota produce una precisione apparente che è più pericolosa dell'imprecisione dichiarata, poiché invita a fidarsi.</w:t>
      </w:r>
    </w:p>
    <w:p>
      <w:pPr>
        <w:pStyle w:val="Heading2"/>
        <w:spacing w:after="100" w:before="200"/>
      </w:pPr>
      <w:r>
        <w:rPr>
          <w:rFonts w:ascii="Barlow Semi Condensed" w:cs="Barlow Semi Condensed" w:eastAsia="Barlow Semi Condensed" w:hAnsi="Barlow Semi Condensed"/>
          <w:sz w:val="24"/>
          <w:szCs w:val="24"/>
        </w:rPr>
        <w:t xml:space="preserve">Parte quinta — La terza misura: la datazione e la leggibilità</w:t>
      </w:r>
    </w:p>
    <w:p>
      <w:pPr>
        <w:spacing w:after="120" w:line="276"/>
        <w:jc w:val="both"/>
      </w:pPr>
      <w:r>
        <w:rPr>
          <w:rFonts w:ascii="Barlow Semi Condensed" w:cs="Barlow Semi Condensed" w:eastAsia="Barlow Semi Condensed" w:hAnsi="Barlow Semi Condensed"/>
          <w:sz w:val="24"/>
          <w:szCs w:val="24"/>
        </w:rPr>
        <w:t xml:space="preserve">Due ulteriori difetti del fondo vanno registrati, poiché entrambi incidono sull'impiego che l'opera potrebbe farne.</w:t>
      </w:r>
    </w:p>
    <w:p>
      <w:pPr>
        <w:spacing w:after="120" w:line="276"/>
        <w:jc w:val="both"/>
      </w:pPr>
      <w:r>
        <w:rPr>
          <w:rFonts w:ascii="Barlow Semi Condensed" w:cs="Barlow Semi Condensed" w:eastAsia="Barlow Semi Condensed" w:hAnsi="Barlow Semi Condensed"/>
          <w:sz w:val="24"/>
          <w:szCs w:val="24"/>
        </w:rPr>
        <w:t xml:space="preserve">Il primo è la datazione. Trentasette unità su cento non recano data di pubblicazione dell'atto. Un atto identificato e non datato è reperibile e non collocabile: esso non entra in alcuna analisi temporale, non consente di stabilire che cosa un apparato ritenesse in un momento determinato, e per la classe alla quale queste unità appartengono quella è precisamente la sola proposizione che esse possano sostenere al grado massimo. Un atto di questa classe privo di data non conferisce grado alcuno, e va trattato come tale.</w:t>
      </w:r>
    </w:p>
    <w:p>
      <w:pPr>
        <w:spacing w:after="120" w:line="276"/>
        <w:jc w:val="both"/>
      </w:pPr>
      <w:r>
        <w:rPr>
          <w:rFonts w:ascii="Barlow Semi Condensed" w:cs="Barlow Semi Condensed" w:eastAsia="Barlow Semi Condensed" w:hAnsi="Barlow Semi Condensed"/>
          <w:sz w:val="24"/>
          <w:szCs w:val="24"/>
        </w:rPr>
        <w:t xml:space="preserve">Il secondo è la leggibilità. Ciascuna pagina reca una trascrizione automatica del testo dell'atto, e la sua qualità è, nei campioni esaminati, tale da non consentire la lettura continua. Si è esaminato per intero il testo trascritto dell'unità più pertinente alla materia dell'opera, ed esso risulta corrotto al punto che l'oggetto del messaggio non è ricostruibile dalla trascrizione.</w:t>
      </w:r>
    </w:p>
    <w:p>
      <w:pPr>
        <w:spacing w:after="120" w:line="276"/>
        <w:jc w:val="both"/>
      </w:pPr>
      <w:r>
        <w:rPr>
          <w:rFonts w:ascii="Barlow Semi Condensed" w:cs="Barlow Semi Condensed" w:eastAsia="Barlow Semi Condensed" w:hAnsi="Barlow Semi Condensed"/>
          <w:sz w:val="24"/>
          <w:szCs w:val="24"/>
        </w:rPr>
        <w:t xml:space="preserve">Se ne trae una conseguenza operativa e non teorica: per questo fondo, la pagina di catalogo consente di individuare l'atto e non consente in alcun caso di leggerlo. Chi ne citasse il contenuto sulla base della trascrizione citerebbe un artefatto di riconoscimento ottico.</w:t>
      </w:r>
    </w:p>
    <w:p>
      <w:pPr>
        <w:pStyle w:val="Heading2"/>
        <w:spacing w:after="100" w:before="200"/>
      </w:pPr>
      <w:r>
        <w:rPr>
          <w:rFonts w:ascii="Barlow Semi Condensed" w:cs="Barlow Semi Condensed" w:eastAsia="Barlow Semi Condensed" w:hAnsi="Barlow Semi Condensed"/>
          <w:sz w:val="24"/>
          <w:szCs w:val="24"/>
        </w:rPr>
        <w:t xml:space="preserve">Parte sesta — La pertinenza, dichiarata per difetto</w:t>
      </w:r>
    </w:p>
    <w:p>
      <w:pPr>
        <w:spacing w:after="120" w:line="276"/>
        <w:jc w:val="both"/>
      </w:pPr>
      <w:r>
        <w:rPr>
          <w:rFonts w:ascii="Barlow Semi Condensed" w:cs="Barlow Semi Condensed" w:eastAsia="Barlow Semi Condensed" w:hAnsi="Barlow Semi Condensed"/>
          <w:sz w:val="24"/>
          <w:szCs w:val="24"/>
        </w:rPr>
        <w:t xml:space="preserve">Si dichiara la pertinenza del fondo alla materia dell'opera, e la si dichiara nel verso che riduce anziché in quello che amplia.</w:t>
      </w:r>
    </w:p>
    <w:p>
      <w:pPr>
        <w:spacing w:after="120" w:line="276"/>
        <w:jc w:val="both"/>
      </w:pPr>
      <w:r>
        <w:rPr>
          <w:rFonts w:ascii="Barlow Semi Condensed" w:cs="Barlow Semi Condensed" w:eastAsia="Barlow Semi Condensed" w:hAnsi="Barlow Semi Condensed"/>
          <w:sz w:val="24"/>
          <w:szCs w:val="24"/>
        </w:rPr>
        <w:t xml:space="preserve">Delle cento unità, sedici recano nel titolo un riferimento all'Italia, al terrorismo o a materie contigue. Le restanti ottantaquattro concernono materie estranee tanto all'opera quanto al corpus maggiore, ovvero vi si collegano soltanto per il tramite di inferenze che l'opera non compie: fra esse figurano studi di geografia fisica, rassegne di indicatori energetici, repertori di capi di Stato, raccolte di traduzioni, e una serie di abstract su materie parapsicologiche.</w:t>
      </w:r>
    </w:p>
    <w:p>
      <w:pPr>
        <w:spacing w:after="120" w:line="276"/>
        <w:jc w:val="both"/>
      </w:pPr>
      <w:r>
        <w:rPr>
          <w:rFonts w:ascii="Barlow Semi Condensed" w:cs="Barlow Semi Condensed" w:eastAsia="Barlow Semi Condensed" w:hAnsi="Barlow Semi Condensed"/>
          <w:sz w:val="24"/>
          <w:szCs w:val="24"/>
        </w:rPr>
        <w:t xml:space="preserve">Delle sedici, la maggior parte appartiene al corpus maggiore e non all'opera: rilevazioni cartografiche, repertori toponomastici, studi su trasporti e telecomunicazioni, rassegne sulle vendite di armamenti, note su formazioni politiche degli anni cinquanta.</w:t>
      </w:r>
    </w:p>
    <w:p>
      <w:pPr>
        <w:spacing w:after="120" w:line="276"/>
        <w:jc w:val="both"/>
      </w:pPr>
      <w:r>
        <w:rPr>
          <w:rFonts w:ascii="Barlow Semi Condensed" w:cs="Barlow Semi Condensed" w:eastAsia="Barlow Semi Condensed" w:hAnsi="Barlow Semi Condensed"/>
          <w:sz w:val="24"/>
          <w:szCs w:val="24"/>
        </w:rPr>
        <w:t xml:space="preserve">Una sola unità cade nel periodo e nella materia adiacenti al caso, ed è quella della quale si dirà alla Parte settima.</w:t>
      </w:r>
    </w:p>
    <w:p>
      <w:pPr>
        <w:spacing w:after="120" w:line="276"/>
        <w:jc w:val="both"/>
      </w:pPr>
      <w:r>
        <w:rPr>
          <w:rFonts w:ascii="Barlow Semi Condensed" w:cs="Barlow Semi Condensed" w:eastAsia="Barlow Semi Condensed" w:hAnsi="Barlow Semi Condensed"/>
          <w:sz w:val="24"/>
          <w:szCs w:val="24"/>
        </w:rPr>
        <w:t xml:space="preserve">Si registra questa proporzione perché essa corregge, nel verso della riduzione, l'aspettativa che un fondo di cento documenti di un servizio informativo estero contenga materia sul caso. Non la contiene, salvo per un'unità. La constatazione è di pieno valore ed è, in questa giornata, la sesta di specie negativa.</w:t>
      </w:r>
    </w:p>
    <w:p>
      <w:pPr>
        <w:pStyle w:val="Heading2"/>
        <w:spacing w:after="100" w:before="200"/>
      </w:pPr>
      <w:r>
        <w:rPr>
          <w:rFonts w:ascii="Barlow Semi Condensed" w:cs="Barlow Semi Condensed" w:eastAsia="Barlow Semi Condensed" w:hAnsi="Barlow Semi Condensed"/>
          <w:sz w:val="24"/>
          <w:szCs w:val="24"/>
        </w:rPr>
        <w:t xml:space="preserve">Parte settima — Un atto del 28 gennaio 1982, e il fondo nel quale è collocato</w:t>
      </w:r>
    </w:p>
    <w:p>
      <w:pPr>
        <w:spacing w:after="120" w:line="276"/>
        <w:jc w:val="both"/>
      </w:pPr>
      <w:r>
        <w:rPr>
          <w:rFonts w:ascii="Barlow Semi Condensed" w:cs="Barlow Semi Condensed" w:eastAsia="Barlow Semi Condensed" w:hAnsi="Barlow Semi Condensed"/>
          <w:sz w:val="24"/>
          <w:szCs w:val="24"/>
        </w:rPr>
        <w:t xml:space="preserve">L'unità pertinente è un rapporto informativo di due pagine, con classificazione originaria non spiegata dai codici, rilasciato in parte, recante data di pubblicazione ventotto gennaio millenovecentottantadue, e concernente la liberazione di un ufficiale straniero rapito in Italia dalla medesima organizzazione che condusse i fatti del millenovecentosettantotto.</w:t>
      </w:r>
    </w:p>
    <w:p>
      <w:pPr>
        <w:spacing w:after="120" w:line="276"/>
        <w:jc w:val="both"/>
      </w:pPr>
      <w:r>
        <w:rPr>
          <w:rFonts w:ascii="Barlow Semi Condensed" w:cs="Barlow Semi Condensed" w:eastAsia="Barlow Semi Condensed" w:hAnsi="Barlow Semi Condensed"/>
          <w:sz w:val="24"/>
          <w:szCs w:val="24"/>
        </w:rPr>
        <w:t xml:space="preserve">La data coincide con quella della liberazione. L'atto è dunque contemporaneo al fatto, e appartiene per ciò alla classe che il repertorio dell'opera qualifica come stime e comunicazioni di apparato: grado massimo quanto a ciò che l'apparato riferiva in quella data, grado minimo quanto ai fatti del mondo asseriti, salvo riscontro autonomo.</w:t>
      </w:r>
    </w:p>
    <w:p>
      <w:pPr>
        <w:spacing w:after="120" w:line="276"/>
        <w:jc w:val="both"/>
      </w:pPr>
      <w:r>
        <w:rPr>
          <w:rFonts w:ascii="Barlow Semi Condensed" w:cs="Barlow Semi Condensed" w:eastAsia="Barlow Semi Condensed" w:hAnsi="Barlow Semi Condensed"/>
          <w:sz w:val="24"/>
          <w:szCs w:val="24"/>
        </w:rPr>
        <w:t xml:space="preserve">Va registrata una circostanza relativa alla sua collocazione, e va registrata con la cautela che essa impone. L'unità appartiene, secondo il campo del fondo, a una collezione dedicata a un programma di ricerca dell'apparato estero su materie estranee all'informazione militare corrente. Sei unità del fondo appartengono a quella collezione.</w:t>
      </w:r>
    </w:p>
    <w:p>
      <w:pPr>
        <w:spacing w:after="120" w:line="276"/>
        <w:jc w:val="both"/>
      </w:pPr>
      <w:r>
        <w:rPr>
          <w:rFonts w:ascii="Barlow Semi Condensed" w:cs="Barlow Semi Condensed" w:eastAsia="Barlow Semi Condensed" w:hAnsi="Barlow Semi Condensed"/>
          <w:sz w:val="24"/>
          <w:szCs w:val="24"/>
        </w:rPr>
        <w:t xml:space="preserve">Si dichiari che cosa questo stabilisca. Stabilisce che il record è archiviato in quella collezione. Non stabilisce nulla sul contenuto dell'atto, nulla sul metodo con il quale l'informazione fu acquisita, e nulla sul rapporto fra l'atto e l'oggetto della collezione. Un campo di collocazione è, come si è detto per le chiavi di catalogo del fascicolo italiano, un indirizzo; e un indirizzo non descrive ciò che risiede all'indirizzo. È precisamente il genere di dato che, riferito senza questa avvertenza, produce inferenze che nessuna fonte sostiene, e la si appone qui in forma espressa.</w:t>
      </w:r>
    </w:p>
    <w:p>
      <w:pPr>
        <w:spacing w:after="120" w:line="276"/>
        <w:jc w:val="both"/>
      </w:pPr>
      <w:r>
        <w:rPr>
          <w:rFonts w:ascii="Barlow Semi Condensed" w:cs="Barlow Semi Condensed" w:eastAsia="Barlow Semi Condensed" w:hAnsi="Barlow Semi Condensed"/>
          <w:sz w:val="24"/>
          <w:szCs w:val="24"/>
        </w:rPr>
        <w:t xml:space="preserve">Si segnala altresì che la trascrizione automatica di questa unità è, fra quelle esaminate, la più degradata, e che il contenuto del messaggio non ne è ricavabile. L'atto va domandato nel proprio allegato.</w:t>
      </w:r>
    </w:p>
    <w:p>
      <w:pPr>
        <w:pStyle w:val="Heading2"/>
        <w:spacing w:after="100" w:before="200"/>
      </w:pPr>
      <w:r>
        <w:rPr>
          <w:rFonts w:ascii="Barlow Semi Condensed" w:cs="Barlow Semi Condensed" w:eastAsia="Barlow Semi Condensed" w:hAnsi="Barlow Semi Condensed"/>
          <w:sz w:val="24"/>
          <w:szCs w:val="24"/>
        </w:rPr>
        <w:t xml:space="preserve">Parte ottava — Le voci iscritte</w:t>
      </w:r>
    </w:p>
    <w:p>
      <w:pPr>
        <w:spacing w:after="120" w:line="276"/>
        <w:jc w:val="both"/>
      </w:pPr>
      <w:r>
        <w:rPr>
          <w:rFonts w:ascii="Barlow Semi Condensed" w:cs="Barlow Semi Condensed" w:eastAsia="Barlow Semi Condensed" w:hAnsi="Barlow Semi Condensed"/>
          <w:sz w:val="24"/>
          <w:szCs w:val="24"/>
        </w:rPr>
        <w:t xml:space="preserve">Voce trentanovesima — Gli originali delle sedici unità pertinenti. Oggetto: i file allegati alle sedici pagine di catalogo che recano riferimento all'Italia o a materie contigue, domandati per identificativo. Sede: la sala di lettura elettronica del servizio che li rilascia; gli identificativi sono posseduti tutti e sedici. Chiusura: acquisizione dei sedici allegati. Smentita: non ricorre quanto al reperimento; si segnala che l'acquisizione non chiude la Voce quarantesima, poiché un allegato rilasciato in parte non dichiara di per sé l'estensione della parte non rilasciata.</w:t>
      </w:r>
    </w:p>
    <w:p>
      <w:pPr>
        <w:spacing w:after="120" w:line="276"/>
        <w:jc w:val="both"/>
      </w:pPr>
      <w:r>
        <w:rPr>
          <w:rFonts w:ascii="Barlow Semi Condensed" w:cs="Barlow Semi Condensed" w:eastAsia="Barlow Semi Condensed" w:hAnsi="Barlow Semi Condensed"/>
          <w:sz w:val="24"/>
          <w:szCs w:val="24"/>
        </w:rPr>
        <w:t xml:space="preserve">Voce quarantesima — La misura dell'espunzione. Oggetto: per le unità rilasciate in parte, l'estensione della porzione non rilasciata, e la tavola di corrispondenza dei codici di decisione di rilascio impiegati dal fondo. Sede: la fonte che pubblica il fondo e le sue note esplicative. Chiusura: acquisizione della tavola dei codici e, per le sedici unità pertinenti, della misura della porzione espunta. Smentita: la constatazione che il fondo non dichiari in alcuna forma l'estensione delle espunzioni, nel qual caso la voce si chiude con Stato Zero e la classe intera va trattata come testo di estensione ignota.</w:t>
      </w:r>
    </w:p>
    <w:p>
      <w:pPr>
        <w:spacing w:after="120" w:line="276"/>
        <w:jc w:val="both"/>
      </w:pPr>
      <w:r>
        <w:rPr>
          <w:rFonts w:ascii="Barlow Semi Condensed" w:cs="Barlow Semi Condensed" w:eastAsia="Barlow Semi Condensed" w:hAnsi="Barlow Semi Condensed"/>
          <w:sz w:val="24"/>
          <w:szCs w:val="24"/>
        </w:rPr>
        <w:t xml:space="preserve">Voce quarantunesima — Le unità prive di data. Oggetto: la data di pubblicazione delle trentasette unità che non la recano, ricavabile dall'atto ove l'atto la porti. Sede: i file allegati. Chiusura: datazione delle unità pertinenti fra le trentasette. Smentita: la constatazione che l'atto medesimo non rechi data, nel qual caso l'unità resta non collocabile e non conferisce grado alcuno.</w:t>
      </w:r>
    </w:p>
    <w:p>
      <w:pPr>
        <w:spacing w:after="120" w:line="276"/>
        <w:jc w:val="both"/>
      </w:pPr>
      <w:r>
        <w:rPr>
          <w:rFonts w:ascii="Barlow Semi Condensed" w:cs="Barlow Semi Condensed" w:eastAsia="Barlow Semi Condensed" w:hAnsi="Barlow Semi Condensed"/>
          <w:sz w:val="24"/>
          <w:szCs w:val="24"/>
        </w:rPr>
        <w:t xml:space="preserve">Voce quarantaduesima — L'atto del ventotto gennaio millenovecentottantadue. Oggetto: il file allegato all'unità pertinente al caso, e la ragione della sua collocazione nella collezione che lo ospita. Sede: la sala di lettura elettronica; l'identificativo è posseduto. Chiusura: acquisizione dell'allegato. Smentita: la constatazione che l'atto sia estraneo alla materia dell'opera, esito che la sola pagina di catalogo non consente di escludere né di affermare.</w:t>
      </w:r>
    </w:p>
    <w:p>
      <w:pPr>
        <w:pStyle w:val="Heading2"/>
        <w:spacing w:after="100" w:before="200"/>
      </w:pPr>
      <w:r>
        <w:rPr>
          <w:rFonts w:ascii="Barlow Semi Condensed" w:cs="Barlow Semi Condensed" w:eastAsia="Barlow Semi Condensed" w:hAnsi="Barlow Semi Condensed"/>
          <w:sz w:val="24"/>
          <w:szCs w:val="24"/>
        </w:rPr>
        <w:t xml:space="preserve">Parte nona — Stati Zero</w:t>
      </w:r>
    </w:p>
    <w:p>
      <w:pPr>
        <w:spacing w:after="120" w:line="276"/>
        <w:jc w:val="both"/>
      </w:pPr>
      <w:r>
        <w:rPr>
          <w:rFonts w:ascii="Barlow Semi Condensed" w:cs="Barlow Semi Condensed" w:eastAsia="Barlow Semi Condensed" w:hAnsi="Barlow Semi Condensed"/>
          <w:sz w:val="24"/>
          <w:szCs w:val="24"/>
        </w:rPr>
        <w:t xml:space="preserve">Primo. Nessuno dei cento allegati è posseduto. Si possiedono cento indirizzi e nessun atto.</w:t>
      </w:r>
    </w:p>
    <w:p>
      <w:pPr>
        <w:spacing w:after="120" w:line="276"/>
        <w:jc w:val="both"/>
      </w:pPr>
      <w:r>
        <w:rPr>
          <w:rFonts w:ascii="Barlow Semi Condensed" w:cs="Barlow Semi Condensed" w:eastAsia="Barlow Semi Condensed" w:hAnsi="Barlow Semi Condensed"/>
          <w:sz w:val="24"/>
          <w:szCs w:val="24"/>
        </w:rPr>
        <w:t xml:space="preserve">Secondo. La tavola di corrispondenza dei codici di decisione di rilascio non è posseduta, e le cifre della Parte quarta sono pertanto condizionate alla lettura corrente di quei codici, dichiarata come condizione.</w:t>
      </w:r>
    </w:p>
    <w:p>
      <w:pPr>
        <w:spacing w:after="120" w:line="276"/>
        <w:jc w:val="both"/>
      </w:pPr>
      <w:r>
        <w:rPr>
          <w:rFonts w:ascii="Barlow Semi Condensed" w:cs="Barlow Semi Condensed" w:eastAsia="Barlow Semi Condensed" w:hAnsi="Barlow Semi Condensed"/>
          <w:sz w:val="24"/>
          <w:szCs w:val="24"/>
        </w:rPr>
        <w:t xml:space="preserve">Terzo. L'estensione delle espunzioni non è dichiarata da alcuna delle pagine e non è altrimenti nota.</w:t>
      </w:r>
    </w:p>
    <w:p>
      <w:pPr>
        <w:spacing w:after="120" w:line="276"/>
        <w:jc w:val="both"/>
      </w:pPr>
      <w:r>
        <w:rPr>
          <w:rFonts w:ascii="Barlow Semi Condensed" w:cs="Barlow Semi Condensed" w:eastAsia="Barlow Semi Condensed" w:hAnsi="Barlow Semi Condensed"/>
          <w:sz w:val="24"/>
          <w:szCs w:val="24"/>
        </w:rPr>
        <w:t xml:space="preserve">Quarto. Trentasette unità restano non datate.</w:t>
      </w:r>
    </w:p>
    <w:p>
      <w:pPr>
        <w:spacing w:after="120" w:line="276"/>
        <w:jc w:val="both"/>
      </w:pPr>
      <w:r>
        <w:rPr>
          <w:rFonts w:ascii="Barlow Semi Condensed" w:cs="Barlow Semi Condensed" w:eastAsia="Barlow Semi Condensed" w:hAnsi="Barlow Semi Condensed"/>
          <w:sz w:val="24"/>
          <w:szCs w:val="24"/>
        </w:rPr>
        <w:t xml:space="preserve">Quinto. Il contenuto di nessuna unità è stato letto, e per questo fondo la trascrizione automatica non surroga la lettura.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settima del giorno sul medesimo cantiere. Cantiere: designazione per atto delle fonti. Materia: un fondo di cento pagine di catalogo di un servizio informativo estero, e la comparazione fra due regimi archivistici.</w:t>
      </w:r>
    </w:p>
    <w:p>
      <w:pPr>
        <w:spacing w:after="120" w:line="276"/>
        <w:jc w:val="both"/>
      </w:pPr>
      <w:r>
        <w:rPr>
          <w:rFonts w:ascii="Barlow Semi Condensed" w:cs="Barlow Semi Condensed" w:eastAsia="Barlow Semi Condensed" w:hAnsi="Barlow Semi Condensed"/>
          <w:sz w:val="24"/>
          <w:szCs w:val="24"/>
        </w:rPr>
        <w:t xml:space="preserve">Esito positivo: censimento delle cento unità per fondo di appartenenza, classificazione originaria, decennio di pubblicazione e decisione di rilascio, con procedura dichiarata; accertamento che tutte e cento recano identificativo dell'atto in doppia forma concordante, contro le cinquanta unità italiane per le quali la designazione ha richiesto l'intera giornata; accertamento che l'estensione delle espunzioni non è dichiarata in alcun caso, contro l'espunzione italiana dichiarata, datata e affiancata dalla versione integrale; enunciazione della tredicesima regola della risalita; individuazione di sedici unità pertinenti e di una sola adiacente alla materia dell'opera; quattro voci nuove iscritte in tavola.</w:t>
      </w:r>
    </w:p>
    <w:p>
      <w:pPr>
        <w:spacing w:after="120" w:line="276"/>
        <w:jc w:val="both"/>
      </w:pPr>
      <w:r>
        <w:rPr>
          <w:rFonts w:ascii="Barlow Semi Condensed" w:cs="Barlow Semi Condensed" w:eastAsia="Barlow Semi Condensed" w:hAnsi="Barlow Semi Condensed"/>
          <w:sz w:val="24"/>
          <w:szCs w:val="24"/>
        </w:rPr>
        <w:t xml:space="preserve">Esito negativo: nessun allegato posseduto; tavola dei codici non posseduta; estensione delle espunzioni ignota; trentasette unità non datate; trascrizioni automatiche non leggibili.</w:t>
      </w:r>
    </w:p>
    <w:p>
      <w:pPr>
        <w:spacing w:after="120" w:line="276"/>
        <w:jc w:val="both"/>
      </w:pPr>
      <w:r>
        <w:rPr>
          <w:rFonts w:ascii="Barlow Semi Condensed" w:cs="Barlow Semi Condensed" w:eastAsia="Barlow Semi Condensed" w:hAnsi="Barlow Semi Condensed"/>
          <w:sz w:val="24"/>
          <w:szCs w:val="24"/>
        </w:rPr>
        <w:t xml:space="preserve">Riga di proporzione dichiarata. Ottantaquattro unità su cento sono estranee tanto all'opera quanto al corpus maggiore. Si registra la cifra perché un fondo proveniente da un servizio informativo estero suscita, per la sola provenienza, un'aspettativa di pertinenza che il conteggio non conferma. La provenienza di un fondo non è un indizio sul suo contenuto, ed è lo stesso errore che l'appendice quinta ha censito sotto altra forma: la collocazione non è mai, di per sé, evidenza.</w:t>
      </w:r>
    </w:p>
    <w:p>
      <w:pPr>
        <w:spacing w:after="120" w:line="276"/>
        <w:jc w:val="both"/>
      </w:pPr>
      <w:r>
        <w:rPr>
          <w:rFonts w:ascii="Barlow Semi Condensed" w:cs="Barlow Semi Condensed" w:eastAsia="Barlow Semi Condensed" w:hAnsi="Barlow Semi Condensed"/>
          <w:sz w:val="24"/>
          <w:szCs w:val="24"/>
        </w:rPr>
        <w:t xml:space="preserve">Riga di avvertenza. Il presente atto non riferisce il contenuto di alcuna delle cento unità, poiché non lo conosce. La collocazione di un record in una collezione determinata è un fatto di archiviazione e non una proposizione sul contenuto dell'atto archiviato, e si è dichiarato espressamente al punto in cui la circostanza ricorre. Nessuna persona è nominata nel presente atto.</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NONA ALLA FASE SETTIMA, due regimi archivistici misurati, quindici agosto duemilaventisei. I settanta Capitoli restano settanta. Le redazioni anteriori non sono modificate: le pietre deposte non si scalpellano. Resta sovrana la Regola di Ferro: dove la fonte documenta, l'opera certifica; dove la fonte tace, l'opera indaga e non afferma. Un catalogo esemplare su un testo di estensione ignota produce una precisione apparente, ed è più pericolosa dell'imprecisione dichiarata perché invita a fidarsi.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VI · Appendice nona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 2.366 parole in 9 sezioni; la più ampia è §9 Altre sezioni, con 2.093.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 49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VII — Appendice decima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DECIMA ALLA FASE SETTIMA</w:t>
      </w:r>
    </w:p>
    <w:p>
      <w:pPr>
        <w:pStyle w:val="Heading2"/>
        <w:spacing w:after="100" w:before="200"/>
      </w:pPr>
      <w:r>
        <w:rPr>
          <w:rFonts w:ascii="Barlow Semi Condensed" w:cs="Barlow Semi Condensed" w:eastAsia="Barlow Semi Condensed" w:hAnsi="Barlow Semi Condensed"/>
          <w:sz w:val="24"/>
          <w:szCs w:val="24"/>
        </w:rPr>
        <w:t xml:space="preserve">La serie di acquisizione, e chi attribuisce le chiavi</w:t>
      </w:r>
    </w:p>
    <w:p>
      <w:pPr>
        <w:pStyle w:val="Heading2"/>
        <w:spacing w:after="100" w:before="200"/>
      </w:pPr>
      <w:r>
        <w:rPr>
          <w:rFonts w:ascii="Barlow Semi Condensed" w:cs="Barlow Semi Condensed" w:eastAsia="Barlow Semi Condensed" w:hAnsi="Barlow Semi Condensed"/>
          <w:sz w:val="24"/>
          <w:szCs w:val="24"/>
        </w:rPr>
        <w:t xml:space="preserve">Esecuzione della Voce ventiseiesima su quattrocentoquarantaquattro voci</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decima</w:t>
      </w:r>
    </w:p>
    <w:p>
      <w:pPr>
        <w:spacing w:after="120" w:line="276"/>
        <w:jc w:val="both"/>
      </w:pPr>
      <w:r>
        <w:rPr>
          <w:rFonts w:ascii="Barlow Semi Condensed" w:cs="Barlow Semi Condensed" w:eastAsia="Barlow Semi Condensed" w:hAnsi="Barlow Semi Condensed"/>
          <w:sz w:val="24"/>
          <w:szCs w:val="24"/>
        </w:rPr>
        <w:t xml:space="preserve">La presente è appendice decima alla Fase Settima ed esegue la Voce ventiseiesima, iscritta dall'appendice quinta, la quale prescrive la verifica di reciprocità dei rinvii per accertare quante catalogazioni multiple non siano dichiarate. Come le nove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L'unità è la medesima già impiegata dall'appendice terza, e la novità sta nel modo di leggerla. L'appendice terza estrasse dai processi verbali le sole voci recanti la chiave del fascicolo del caso, e ne trasse ventinove unità. La presente le legge come ciò che sono: una serie di acquisizione completa, nella quale ogni voce reca tutte le chiavi che le furono assegnate al momento dell'ingresso. Il medesimo materiale, interrogato con un'altra domanda, produce un altro risultato.</w:t>
      </w:r>
    </w:p>
    <w:p>
      <w:pPr>
        <w:spacing w:after="120" w:line="276"/>
        <w:jc w:val="both"/>
      </w:pPr>
      <w:r>
        <w:rPr>
          <w:rFonts w:ascii="Barlow Semi Condensed" w:cs="Barlow Semi Condensed" w:eastAsia="Barlow Semi Condensed" w:hAnsi="Barlow Semi Condensed"/>
          <w:sz w:val="24"/>
          <w:szCs w:val="24"/>
        </w:rPr>
        <w:t xml:space="preserve">Si registri la circostanza come regola di condotta e non come merito: un fondo già impiegato non è un fondo esaurito, e la seconda interrogazione di un materiale posseduto costa meno di ogni acquisizione nuova. È la terza volta nella giornata che il posseduto rende più del cercato.</w:t>
      </w:r>
    </w:p>
    <w:p>
      <w:pPr>
        <w:pStyle w:val="Heading2"/>
        <w:spacing w:after="100" w:before="200"/>
      </w:pPr>
      <w:r>
        <w:rPr>
          <w:rFonts w:ascii="Barlow Semi Condensed" w:cs="Barlow Semi Condensed" w:eastAsia="Barlow Semi Condensed" w:hAnsi="Barlow Semi Condensed"/>
          <w:sz w:val="24"/>
          <w:szCs w:val="24"/>
        </w:rPr>
        <w:t xml:space="preserve">Parte prima — La procedura, e il difetto del proprio strumento</w:t>
      </w:r>
    </w:p>
    <w:p>
      <w:pPr>
        <w:spacing w:after="120" w:line="276"/>
        <w:jc w:val="both"/>
      </w:pPr>
      <w:r>
        <w:rPr>
          <w:rFonts w:ascii="Barlow Semi Condensed" w:cs="Barlow Semi Condensed" w:eastAsia="Barlow Semi Condensed" w:hAnsi="Barlow Semi Condensed"/>
          <w:sz w:val="24"/>
          <w:szCs w:val="24"/>
        </w:rPr>
        <w:t xml:space="preserve">La procedura è la seguente. Sono stati esaminati duecentosedici documenti recanti l'intitolazione di processo verbale; da ciascuno sono state estratte le voci di acquisizione riconoscibili per la presenza di almeno una chiave di catalogo in forma parentetica; le voci duplicate sono state ridotte a una. Restano quattrocentoquarantaquattro voci uniche.</w:t>
      </w:r>
    </w:p>
    <w:p>
      <w:pPr>
        <w:spacing w:after="120" w:line="276"/>
        <w:jc w:val="both"/>
      </w:pPr>
      <w:r>
        <w:rPr>
          <w:rFonts w:ascii="Barlow Semi Condensed" w:cs="Barlow Semi Condensed" w:eastAsia="Barlow Semi Condensed" w:hAnsi="Barlow Semi Condensed"/>
          <w:sz w:val="24"/>
          <w:szCs w:val="24"/>
        </w:rPr>
        <w:t xml:space="preserve">Si dichiara un difetto dello strumento impiegato, poiché la disciplina lo impone e poiché esso incide su una delle cifre esposte. L'espressione di ricerca costruita per riconoscere le chiavi ha, in un numero limitato di voci, congiunto in una sola stringa due chiavi consecutive, producendo denominazioni inesistenti. Il difetto è stato rilevato leggendo a mano l'elenco delle denominazioni ottenute, e non sarebbe stato rilevabile da alcuna misura statistica, poiché lo strumento sbagliava in modo stabile.</w:t>
      </w:r>
    </w:p>
    <w:p>
      <w:pPr>
        <w:spacing w:after="120" w:line="276"/>
        <w:jc w:val="both"/>
      </w:pPr>
      <w:r>
        <w:rPr>
          <w:rFonts w:ascii="Barlow Semi Condensed" w:cs="Barlow Semi Condensed" w:eastAsia="Barlow Semi Condensed" w:hAnsi="Barlow Semi Condensed"/>
          <w:sz w:val="24"/>
          <w:szCs w:val="24"/>
        </w:rPr>
        <w:t xml:space="preserve">È l'ottava volta nella giornata che la lettura a mano di un piccolo campione rileva ciò che la misura larga non rilevava, ed è il medesimo meccanismo registrato in campagna come quarto errore proprio. Si registra qui che la regola tratta da quell'errore ha, questa volta, funzionato: essa è stata applicata prima della pubblicazione della cifra e non dopo.</w:t>
      </w:r>
    </w:p>
    <w:p>
      <w:pPr>
        <w:spacing w:after="120" w:line="276"/>
        <w:jc w:val="both"/>
      </w:pPr>
      <w:r>
        <w:rPr>
          <w:rFonts w:ascii="Barlow Semi Condensed" w:cs="Barlow Semi Condensed" w:eastAsia="Barlow Semi Condensed" w:hAnsi="Barlow Semi Condensed"/>
          <w:sz w:val="24"/>
          <w:szCs w:val="24"/>
        </w:rPr>
        <w:t xml:space="preserve">La conseguenza è che la cifra delle denominazioni distinte, esposta alla Parte quarta, è dichiarata come approssimazione per eccesso e non come misura.</w:t>
      </w:r>
    </w:p>
    <w:p>
      <w:pPr>
        <w:pStyle w:val="Heading2"/>
        <w:spacing w:after="100" w:before="200"/>
      </w:pPr>
      <w:r>
        <w:rPr>
          <w:rFonts w:ascii="Barlow Semi Condensed" w:cs="Barlow Semi Condensed" w:eastAsia="Barlow Semi Condensed" w:hAnsi="Barlow Semi Condensed"/>
          <w:sz w:val="24"/>
          <w:szCs w:val="24"/>
        </w:rPr>
        <w:t xml:space="preserve">Parte seconda — La misura della catalogazione multipla</w:t>
      </w:r>
    </w:p>
    <w:p>
      <w:pPr>
        <w:spacing w:after="120" w:line="276"/>
        <w:jc w:val="both"/>
      </w:pPr>
      <w:r>
        <w:rPr>
          <w:rFonts w:ascii="Barlow Semi Condensed" w:cs="Barlow Semi Condensed" w:eastAsia="Barlow Semi Condensed" w:hAnsi="Barlow Semi Condensed"/>
          <w:sz w:val="24"/>
          <w:szCs w:val="24"/>
        </w:rPr>
        <w:t xml:space="preserve">Delle quattrocentoquarantaquattro voci, trecentottantasette recano una sola chiave, trentacinque ne recano due, venti ne recano tre, una ne reca quattro e una ne reca cinque.</w:t>
      </w:r>
    </w:p>
    <w:p>
      <w:pPr>
        <w:spacing w:after="120" w:line="276"/>
        <w:jc w:val="both"/>
      </w:pPr>
      <w:r>
        <w:rPr>
          <w:rFonts w:ascii="Barlow Semi Condensed" w:cs="Barlow Semi Condensed" w:eastAsia="Barlow Semi Condensed" w:hAnsi="Barlow Semi Condensed"/>
          <w:sz w:val="24"/>
          <w:szCs w:val="24"/>
        </w:rPr>
        <w:t xml:space="preserve">Cinquantasette voci su quattrocentoquarantaquattro recano dunque più di una chiave, ed è poco meno di un ottavo della serie.</w:t>
      </w:r>
    </w:p>
    <w:p>
      <w:pPr>
        <w:spacing w:after="120" w:line="276"/>
        <w:jc w:val="both"/>
      </w:pPr>
      <w:r>
        <w:rPr>
          <w:rFonts w:ascii="Barlow Semi Condensed" w:cs="Barlow Semi Condensed" w:eastAsia="Barlow Semi Condensed" w:hAnsi="Barlow Semi Condensed"/>
          <w:sz w:val="24"/>
          <w:szCs w:val="24"/>
        </w:rPr>
        <w:t xml:space="preserve">La voce a cinque chiavi appartiene alla settantaduesima seduta e concerne atti di un procedimento penale trasmessi da un ufficio giudiziario, comprendenti la trascrizione di una registrazione e il verbale di una deposizione resa nel dicembre millenovecentonovanta. Un solo invio, un solo fascicolo di provenienza, cinque indirizzi.</w:t>
      </w:r>
    </w:p>
    <w:p>
      <w:pPr>
        <w:spacing w:after="120" w:line="276"/>
        <w:jc w:val="both"/>
      </w:pPr>
      <w:r>
        <w:rPr>
          <w:rFonts w:ascii="Barlow Semi Condensed" w:cs="Barlow Semi Condensed" w:eastAsia="Barlow Semi Condensed" w:hAnsi="Barlow Semi Condensed"/>
          <w:sz w:val="24"/>
          <w:szCs w:val="24"/>
        </w:rPr>
        <w:t xml:space="preserve">Si osservi che questa è, a differenza di quella esposta dall'appendice quinta, una catalogazione multipla dichiarata nel medesimo atto che registra l'acquisizione: le cinque chiavi compaiono insieme, di seguito, nella stessa voce. Chi legga il verbale non può ignorare che si tratta di un atto solo. Chi legga i cinque fascicoli separatamente lo ignorerà in ciascuno di essi.</w:t>
      </w:r>
    </w:p>
    <w:p>
      <w:pPr>
        <w:pStyle w:val="Heading2"/>
        <w:spacing w:after="100" w:before="200"/>
      </w:pPr>
      <w:r>
        <w:rPr>
          <w:rFonts w:ascii="Barlow Semi Condensed" w:cs="Barlow Semi Condensed" w:eastAsia="Barlow Semi Condensed" w:hAnsi="Barlow Semi Condensed"/>
          <w:sz w:val="24"/>
          <w:szCs w:val="24"/>
        </w:rPr>
        <w:t xml:space="preserve">Parte terza — Chi attribuisce le chiavi, e quando</w:t>
      </w:r>
    </w:p>
    <w:p>
      <w:pPr>
        <w:spacing w:after="120" w:line="276"/>
        <w:jc w:val="both"/>
      </w:pPr>
      <w:r>
        <w:rPr>
          <w:rFonts w:ascii="Barlow Semi Condensed" w:cs="Barlow Semi Condensed" w:eastAsia="Barlow Semi Condensed" w:hAnsi="Barlow Semi Condensed"/>
          <w:sz w:val="24"/>
          <w:szCs w:val="24"/>
        </w:rPr>
        <w:t xml:space="preserve">La misura qui ottenuta va accostata a quella dell'appendice quinta, e l'accostamento produce il risultato principale del presente atto.</w:t>
      </w:r>
    </w:p>
    <w:p>
      <w:pPr>
        <w:spacing w:after="120" w:line="276"/>
        <w:jc w:val="both"/>
      </w:pPr>
      <w:r>
        <w:rPr>
          <w:rFonts w:ascii="Barlow Semi Condensed" w:cs="Barlow Semi Condensed" w:eastAsia="Barlow Semi Condensed" w:hAnsi="Barlow Semi Condensed"/>
          <w:sz w:val="24"/>
          <w:szCs w:val="24"/>
        </w:rPr>
        <w:t xml:space="preserve">L'appendice quinta ha contato, sull'indice di acquisizione del fascicolo del caso, quattordici unità su cinquanta recanti rinvio ad altro fascicolo. La presente conta, sui processi verbali della medesima serie, quattro sole voci del medesimo fascicolo recanti più di una chiave. Le quattro sono comprese fra le quattordici.</w:t>
      </w:r>
    </w:p>
    <w:p>
      <w:pPr>
        <w:spacing w:after="120" w:line="276"/>
        <w:jc w:val="both"/>
      </w:pPr>
      <w:r>
        <w:rPr>
          <w:rFonts w:ascii="Barlow Semi Condensed" w:cs="Barlow Semi Condensed" w:eastAsia="Barlow Semi Condensed" w:hAnsi="Barlow Semi Condensed"/>
          <w:sz w:val="24"/>
          <w:szCs w:val="24"/>
        </w:rPr>
        <w:t xml:space="preserve">Quattordici e quattro non si contraddicono: misurano due momenti diversi. Il processo verbale registra le chiavi assegnate all'ingresso dell'atto. L'indice di acquisizione è compilato in seguito, a fascicolo formato, e reca i rinvii che il compilatore ha riconosciuti allora, compresi quelli che al momento dell'ingresso non erano stati apposti.</w:t>
      </w:r>
    </w:p>
    <w:p>
      <w:pPr>
        <w:spacing w:after="120" w:line="276"/>
        <w:jc w:val="both"/>
      </w:pPr>
      <w:r>
        <w:rPr>
          <w:rFonts w:ascii="Barlow Semi Condensed" w:cs="Barlow Semi Condensed" w:eastAsia="Barlow Semi Condensed" w:hAnsi="Barlow Semi Condensed"/>
          <w:sz w:val="24"/>
          <w:szCs w:val="24"/>
        </w:rPr>
        <w:t xml:space="preserve">Ne segue che la catalogazione multipla, in questa serie, è in prevalenza attribuzione successiva del compilatore dell'indice e non proprietà dell'acquisizione. Dieci dei quattordici rinvii del fascicolo del caso sono stati riconosciuti dopo, e non risultano dagli atti che registrano l'ingresso dei documenti.</w:t>
      </w:r>
    </w:p>
    <w:p>
      <w:pPr>
        <w:spacing w:after="120" w:line="276"/>
        <w:jc w:val="both"/>
      </w:pPr>
      <w:r>
        <w:rPr>
          <w:rFonts w:ascii="Barlow Semi Condensed" w:cs="Barlow Semi Condensed" w:eastAsia="Barlow Semi Condensed" w:hAnsi="Barlow Semi Condensed"/>
          <w:sz w:val="24"/>
          <w:szCs w:val="24"/>
        </w:rPr>
        <w:t xml:space="preserve">La conseguenza operativa è duplice e va enunciata per intero, poiché essa corregge in un punto l'appendice terza e in un altro l'appendice quinta.</w:t>
      </w:r>
    </w:p>
    <w:p>
      <w:pPr>
        <w:spacing w:after="120" w:line="276"/>
        <w:jc w:val="both"/>
      </w:pPr>
      <w:r>
        <w:rPr>
          <w:rFonts w:ascii="Barlow Semi Condensed" w:cs="Barlow Semi Condensed" w:eastAsia="Barlow Semi Condensed" w:hAnsi="Barlow Semi Condensed"/>
          <w:sz w:val="24"/>
          <w:szCs w:val="24"/>
        </w:rPr>
        <w:t xml:space="preserve">Corregge l'appendice terza, la quale ha assunto il processo verbale come fonte autoritativa per la designazione delle unità. Esso lo è quanto all'atto, alla data e all'ufficio emittente, perché è contemporaneo all'ingresso; non lo è quanto ai rinvii, perché ne reca soltanto quelli apposti in quel momento. Per la rilevazione delle catalogazioni multiple l'indice è strumento superiore al verbale, e l'appendice terza aveva impiegato lo strumento inferiore.</w:t>
      </w:r>
    </w:p>
    <w:p>
      <w:pPr>
        <w:spacing w:after="120" w:line="276"/>
        <w:jc w:val="both"/>
      </w:pPr>
      <w:r>
        <w:rPr>
          <w:rFonts w:ascii="Barlow Semi Condensed" w:cs="Barlow Semi Condensed" w:eastAsia="Barlow Semi Condensed" w:hAnsi="Barlow Semi Condensed"/>
          <w:sz w:val="24"/>
          <w:szCs w:val="24"/>
        </w:rPr>
        <w:t xml:space="preserve">Corregge l'appendice quinta, la quale ha letto il rapporto di quattordici su cinquanta come proprietà del fondo e lo ha dichiarato soglia perché i rinvii sono apposti dove il compilatore li ha notati. La diagnosi era esatta e ne mancava la causa: i rinvii sono apposti dove il compilatore li ha notati, e il compilatore è persona diversa e successiva rispetto a chi registrò l'acquisizione. La soglia non dipende dalla disattenzione di chi acquisisce ma dalla diligenza di chi compila, e sono due grandezze indipendenti.</w:t>
      </w:r>
    </w:p>
    <w:p>
      <w:pPr>
        <w:spacing w:after="120" w:line="276"/>
        <w:jc w:val="both"/>
      </w:pPr>
      <w:r>
        <w:rPr>
          <w:rFonts w:ascii="Barlow Semi Condensed" w:cs="Barlow Semi Condensed" w:eastAsia="Barlow Semi Condensed" w:hAnsi="Barlow Semi Condensed"/>
          <w:sz w:val="24"/>
          <w:szCs w:val="24"/>
        </w:rPr>
        <w:t xml:space="preserve">Si enuncia la regola che ne discende, ed è la quattordicesima della serie.</w:t>
      </w:r>
    </w:p>
    <w:p>
      <w:pPr>
        <w:spacing w:after="120" w:line="276"/>
        <w:jc w:val="both"/>
      </w:pPr>
      <w:r>
        <w:rPr>
          <w:rFonts w:ascii="Barlow Semi Condensed" w:cs="Barlow Semi Condensed" w:eastAsia="Barlow Semi Condensed" w:hAnsi="Barlow Semi Condensed"/>
          <w:sz w:val="24"/>
          <w:szCs w:val="24"/>
        </w:rPr>
        <w:t xml:space="preserve">Quattordicesima regola della risalita. In un sistema a chiavi multiple, il momento nel quale una chiave è apposta determina che cosa essa possa attestare. Le chiavi apposte all'ingresso attestano come l'atto fu classificato da chi lo ricevette; quelle apposte in sede di compilazione attestano come fu riconosciuto da chi ordinò il fondo. Un computo di catalogazione multipla condotto su una sola delle due fonti misura uno solo dei due momenti, e va dichiarato tale.</w:t>
      </w:r>
    </w:p>
    <w:p>
      <w:pPr>
        <w:pStyle w:val="Heading2"/>
        <w:spacing w:after="100" w:before="200"/>
      </w:pPr>
      <w:r>
        <w:rPr>
          <w:rFonts w:ascii="Barlow Semi Condensed" w:cs="Barlow Semi Condensed" w:eastAsia="Barlow Semi Condensed" w:hAnsi="Barlow Semi Condensed"/>
          <w:sz w:val="24"/>
          <w:szCs w:val="24"/>
        </w:rPr>
        <w:t xml:space="preserve">Parte quarta — La varianza delle denominazioni</w:t>
      </w:r>
    </w:p>
    <w:p>
      <w:pPr>
        <w:spacing w:after="120" w:line="276"/>
        <w:jc w:val="both"/>
      </w:pPr>
      <w:r>
        <w:rPr>
          <w:rFonts w:ascii="Barlow Semi Condensed" w:cs="Barlow Semi Condensed" w:eastAsia="Barlow Semi Condensed" w:hAnsi="Barlow Semi Condensed"/>
          <w:sz w:val="24"/>
          <w:szCs w:val="24"/>
        </w:rPr>
        <w:t xml:space="preserve">Le stringhe distinte impiegate come denominazione di fascicolo nella serie sono cinquantaquattro. La cifra è, per il difetto di strumento dichiarato alla Parte prima, un'approssimazione per eccesso, e il numero dei fascicoli realmente distinti è inferiore. La sua determinazione esatta richiede la lettura manuale delle quattrocentoquarantaquattro voci e non è stata compiuta.</w:t>
      </w:r>
    </w:p>
    <w:p>
      <w:pPr>
        <w:spacing w:after="120" w:line="276"/>
        <w:jc w:val="both"/>
      </w:pPr>
      <w:r>
        <w:rPr>
          <w:rFonts w:ascii="Barlow Semi Condensed" w:cs="Barlow Semi Condensed" w:eastAsia="Barlow Semi Condensed" w:hAnsi="Barlow Semi Condensed"/>
          <w:sz w:val="24"/>
          <w:szCs w:val="24"/>
        </w:rPr>
        <w:t xml:space="preserve">Si registrano però, perché accertate per lettura e non per conteggio, quattro specie di varianza fra denominazioni del medesimo fascicolo.</w:t>
      </w:r>
    </w:p>
    <w:p>
      <w:pPr>
        <w:spacing w:after="120" w:line="276"/>
        <w:jc w:val="both"/>
      </w:pPr>
      <w:r>
        <w:rPr>
          <w:rFonts w:ascii="Barlow Semi Condensed" w:cs="Barlow Semi Condensed" w:eastAsia="Barlow Semi Condensed" w:hAnsi="Barlow Semi Condensed"/>
          <w:sz w:val="24"/>
          <w:szCs w:val="24"/>
        </w:rPr>
        <w:t xml:space="preserve">La prima è l'inversione dell'ordine: il fascicolo dedicato a una strage ferroviaria compare sotto due denominazioni che differiscono per l'ordine dei due termini che le compongono.</w:t>
      </w:r>
    </w:p>
    <w:p>
      <w:pPr>
        <w:spacing w:after="120" w:line="276"/>
        <w:jc w:val="both"/>
      </w:pPr>
      <w:r>
        <w:rPr>
          <w:rFonts w:ascii="Barlow Semi Condensed" w:cs="Barlow Semi Condensed" w:eastAsia="Barlow Semi Condensed" w:hAnsi="Barlow Semi Condensed"/>
          <w:sz w:val="24"/>
          <w:szCs w:val="24"/>
        </w:rPr>
        <w:t xml:space="preserve">La seconda è la variazione di numero grammaticale: il fascicolo dedicato alla raccolta informatizzata compare al singolare e al plurale.</w:t>
      </w:r>
    </w:p>
    <w:p>
      <w:pPr>
        <w:spacing w:after="120" w:line="276"/>
        <w:jc w:val="both"/>
      </w:pPr>
      <w:r>
        <w:rPr>
          <w:rFonts w:ascii="Barlow Semi Condensed" w:cs="Barlow Semi Condensed" w:eastAsia="Barlow Semi Condensed" w:hAnsi="Barlow Semi Condensed"/>
          <w:sz w:val="24"/>
          <w:szCs w:val="24"/>
        </w:rPr>
        <w:t xml:space="preserve">La terza è l'alternanza fra forma estesa e forma abbreviata: il fascicolo la cui denominazione estesa comprende tre termini compare talvolta con il solo terzo termine, il quale è però anche la denominazione autonoma di un fascicolo diverso. È la collisione già accertata dall'appendice quinta sull'unità ventiduesima del fascicolo del caso, qui ritrovata come fenomeno di serie e non come episodio.</w:t>
      </w:r>
    </w:p>
    <w:p>
      <w:pPr>
        <w:spacing w:after="120" w:line="276"/>
        <w:jc w:val="both"/>
      </w:pPr>
      <w:r>
        <w:rPr>
          <w:rFonts w:ascii="Barlow Semi Condensed" w:cs="Barlow Semi Condensed" w:eastAsia="Barlow Semi Condensed" w:hAnsi="Barlow Semi Condensed"/>
          <w:sz w:val="24"/>
          <w:szCs w:val="24"/>
        </w:rPr>
        <w:t xml:space="preserve">La quarta è la presenza o assenza del qualificatore iniziale: il fascicolo dedicato a un sequestro compare con e senza la parola che lo introduce.</w:t>
      </w:r>
    </w:p>
    <w:p>
      <w:pPr>
        <w:spacing w:after="120" w:line="276"/>
        <w:jc w:val="both"/>
      </w:pPr>
      <w:r>
        <w:rPr>
          <w:rFonts w:ascii="Barlow Semi Condensed" w:cs="Barlow Semi Condensed" w:eastAsia="Barlow Semi Condensed" w:hAnsi="Barlow Semi Condensed"/>
          <w:sz w:val="24"/>
          <w:szCs w:val="24"/>
        </w:rPr>
        <w:t xml:space="preserve">Nessuna di queste varianze è un errore di chi compila. Ciascuna è la conseguenza ordinaria di una denominazione lunga impiegata da più mani in dieci anni. La conseguenza per chi risale è che una ricerca condotta sulla denominazione anziché sul fascicolo perde una parte delle occorrenze, e che la parte perduta non è stimabile senza la tavola delle varianti.</w:t>
      </w:r>
    </w:p>
    <w:p>
      <w:pPr>
        <w:spacing w:after="120" w:line="276"/>
        <w:jc w:val="both"/>
      </w:pPr>
      <w:r>
        <w:rPr>
          <w:rFonts w:ascii="Barlow Semi Condensed" w:cs="Barlow Semi Condensed" w:eastAsia="Barlow Semi Condensed" w:hAnsi="Barlow Semi Condensed"/>
          <w:sz w:val="24"/>
          <w:szCs w:val="24"/>
        </w:rPr>
        <w:t xml:space="preserve">Voce quarantatreesima — La tavola delle denominazioni dei fascicoli. Oggetto: la lettura manuale delle quattrocentoquarantaquattro voci di acquisizione, la determinazione del numero dei fascicoli realmente distinti, e la tavola delle varianti di denominazione per ciascuno. Sede: la serie dei processi verbali, posseduta per duecentosedici documenti. Chiusura: compilazione della tavola. Smentita: non ricorre. Si segnala che la voce è interamente eseguibile sul posseduto e che il suo costo è di lettura.</w:t>
      </w:r>
    </w:p>
    <w:p>
      <w:pPr>
        <w:pStyle w:val="Heading2"/>
        <w:spacing w:after="100" w:before="200"/>
      </w:pPr>
      <w:r>
        <w:rPr>
          <w:rFonts w:ascii="Barlow Semi Condensed" w:cs="Barlow Semi Condensed" w:eastAsia="Barlow Semi Condensed" w:hAnsi="Barlow Semi Condensed"/>
          <w:sz w:val="24"/>
          <w:szCs w:val="24"/>
        </w:rPr>
        <w:t xml:space="preserve">Parte quinta — Le quattro voci del fascicolo del caso</w:t>
      </w:r>
    </w:p>
    <w:p>
      <w:pPr>
        <w:spacing w:after="120" w:line="276"/>
        <w:jc w:val="both"/>
      </w:pPr>
      <w:r>
        <w:rPr>
          <w:rFonts w:ascii="Barlow Semi Condensed" w:cs="Barlow Semi Condensed" w:eastAsia="Barlow Semi Condensed" w:hAnsi="Barlow Semi Condensed"/>
          <w:sz w:val="24"/>
          <w:szCs w:val="24"/>
        </w:rPr>
        <w:t xml:space="preserve">Si espongono le quattro voci del fascicolo del caso che recano più di una chiave nell'atto che ne registra l'ingresso, poiché esse sono le sole catalogazioni multiple contemporanee all'acquisizione, e le altre dieci sono attribuzioni successive.</w:t>
      </w:r>
    </w:p>
    <w:p>
      <w:pPr>
        <w:spacing w:after="120" w:line="276"/>
        <w:jc w:val="both"/>
      </w:pPr>
      <w:r>
        <w:rPr>
          <w:rFonts w:ascii="Barlow Semi Condensed" w:cs="Barlow Semi Condensed" w:eastAsia="Barlow Semi Condensed" w:hAnsi="Barlow Semi Condensed"/>
          <w:sz w:val="24"/>
          <w:szCs w:val="24"/>
        </w:rPr>
        <w:t xml:space="preserve">L'unità ventiduesima, acquisita alla ottantesima seduta, reca tre chiavi: quella del caso, quella di un fascicolo dedicato a una struttura informativa parallela e a un'organizzazione clandestina, e quella di un fascicolo dedicato a una struttura informativa successiva.</w:t>
      </w:r>
    </w:p>
    <w:p>
      <w:pPr>
        <w:spacing w:after="120" w:line="276"/>
        <w:jc w:val="both"/>
      </w:pPr>
      <w:r>
        <w:rPr>
          <w:rFonts w:ascii="Barlow Semi Condensed" w:cs="Barlow Semi Condensed" w:eastAsia="Barlow Semi Condensed" w:hAnsi="Barlow Semi Condensed"/>
          <w:sz w:val="24"/>
          <w:szCs w:val="24"/>
        </w:rPr>
        <w:t xml:space="preserve">L'unità ventitreesima, acquisita alla ottantunesima seduta, reca due chiavi: quella del caso e quella del fascicolo intitolato a una persona.</w:t>
      </w:r>
    </w:p>
    <w:p>
      <w:pPr>
        <w:spacing w:after="120" w:line="276"/>
        <w:jc w:val="both"/>
      </w:pPr>
      <w:r>
        <w:rPr>
          <w:rFonts w:ascii="Barlow Semi Condensed" w:cs="Barlow Semi Condensed" w:eastAsia="Barlow Semi Condensed" w:hAnsi="Barlow Semi Condensed"/>
          <w:sz w:val="24"/>
          <w:szCs w:val="24"/>
        </w:rPr>
        <w:t xml:space="preserve">L'unità trentasettesima, acquisita alla novantaquattresima seduta, reca tre chiavi: quella del caso, quella del fascicolo dedicato al terrorismo di sinistra e quella del fascicolo dedicato ai legami internazionali del terrorismo e dell'eversione.</w:t>
      </w:r>
    </w:p>
    <w:p>
      <w:pPr>
        <w:spacing w:after="120" w:line="276"/>
        <w:jc w:val="both"/>
      </w:pPr>
      <w:r>
        <w:rPr>
          <w:rFonts w:ascii="Barlow Semi Condensed" w:cs="Barlow Semi Condensed" w:eastAsia="Barlow Semi Condensed" w:hAnsi="Barlow Semi Condensed"/>
          <w:sz w:val="24"/>
          <w:szCs w:val="24"/>
        </w:rPr>
        <w:t xml:space="preserve">L'unità trentanovesima, acquisita alla novantottesima seduta, reca due chiavi: quella del caso e quella del fascicolo intitolato a una persona.</w:t>
      </w:r>
    </w:p>
    <w:p>
      <w:pPr>
        <w:spacing w:after="120" w:line="276"/>
        <w:jc w:val="both"/>
      </w:pPr>
      <w:r>
        <w:rPr>
          <w:rFonts w:ascii="Barlow Semi Condensed" w:cs="Barlow Semi Condensed" w:eastAsia="Barlow Semi Condensed" w:hAnsi="Barlow Semi Condensed"/>
          <w:sz w:val="24"/>
          <w:szCs w:val="24"/>
        </w:rPr>
        <w:t xml:space="preserve">Si osservi che due delle quattro puntano al medesimo fascicolo intitolato a una persona, e che una punta a due fascicoli di materia internazionale. Nessuna delle quattro punta al fascicolo dedicato alla struttura clandestina di difesa nella sua denominazione autonoma. La circostanza è registrata per completezza e non se ne trae alcuna inferenza, poiché quattro voci non sono base sufficiente per alcuna proposizione sulla struttura del fondo.</w:t>
      </w:r>
    </w:p>
    <w:p>
      <w:pPr>
        <w:spacing w:after="120" w:line="276"/>
        <w:jc w:val="both"/>
      </w:pPr>
      <w:r>
        <w:rPr>
          <w:rFonts w:ascii="Barlow Semi Condensed" w:cs="Barlow Semi Condensed" w:eastAsia="Barlow Semi Condensed" w:hAnsi="Barlow Semi Condensed"/>
          <w:sz w:val="24"/>
          <w:szCs w:val="24"/>
        </w:rPr>
        <w:t xml:space="preserve">Voce quarantaquattresima — La collazione fra indice e verbale. Oggetto: per ciascuno dei fascicoli dei quali si possieda tanto l'indice di acquisizione quanto i processi verbali, la collazione delle chiavi apposte all'ingresso con i rinvii apposti in sede di compilazione, e la misura della quota di catalogazione multipla attribuita in via successiva. Sede: gli indici posseduti per tre fascicoli e la serie dei verbali. Chiusura: collazione dei tre fascicoli. Smentita: la constatazione che la quota di attribuzione successiva sia trascurabile negli altri due fascicoli, la quale renderebbe il rapporto di dieci su quattordici una particolarità del fascicolo del caso anziché una proprietà del sistema.</w:t>
      </w:r>
    </w:p>
    <w:p>
      <w:pPr>
        <w:pStyle w:val="Heading2"/>
        <w:spacing w:after="100" w:before="200"/>
      </w:pPr>
      <w:r>
        <w:rPr>
          <w:rFonts w:ascii="Barlow Semi Condensed" w:cs="Barlow Semi Condensed" w:eastAsia="Barlow Semi Condensed" w:hAnsi="Barlow Semi Condensed"/>
          <w:sz w:val="24"/>
          <w:szCs w:val="24"/>
        </w:rPr>
        <w:t xml:space="preserve">Parte sesta — Stati Zero</w:t>
      </w:r>
    </w:p>
    <w:p>
      <w:pPr>
        <w:spacing w:after="120" w:line="276"/>
        <w:jc w:val="both"/>
      </w:pPr>
      <w:r>
        <w:rPr>
          <w:rFonts w:ascii="Barlow Semi Condensed" w:cs="Barlow Semi Condensed" w:eastAsia="Barlow Semi Condensed" w:hAnsi="Barlow Semi Condensed"/>
          <w:sz w:val="24"/>
          <w:szCs w:val="24"/>
        </w:rPr>
        <w:t xml:space="preserve">Primo. Il numero dei fascicoli realmente distinti non è determinato, e la cifra di cinquantaquattro denominazioni è approssimazione per eccesso dichiarata.</w:t>
      </w:r>
    </w:p>
    <w:p>
      <w:pPr>
        <w:spacing w:after="120" w:line="276"/>
        <w:jc w:val="both"/>
      </w:pPr>
      <w:r>
        <w:rPr>
          <w:rFonts w:ascii="Barlow Semi Condensed" w:cs="Barlow Semi Condensed" w:eastAsia="Barlow Semi Condensed" w:hAnsi="Barlow Semi Condensed"/>
          <w:sz w:val="24"/>
          <w:szCs w:val="24"/>
        </w:rPr>
        <w:t xml:space="preserve">Secondo. La collazione fra indice e verbale è compiuta per il solo fascicolo del caso, e la generalizzazione del rapporto di dieci su quattordici agli altri fascicoli non è verificata.</w:t>
      </w:r>
    </w:p>
    <w:p>
      <w:pPr>
        <w:spacing w:after="120" w:line="276"/>
        <w:jc w:val="both"/>
      </w:pPr>
      <w:r>
        <w:rPr>
          <w:rFonts w:ascii="Barlow Semi Condensed" w:cs="Barlow Semi Condensed" w:eastAsia="Barlow Semi Condensed" w:hAnsi="Barlow Semi Condensed"/>
          <w:sz w:val="24"/>
          <w:szCs w:val="24"/>
        </w:rPr>
        <w:t xml:space="preserve">Terzo. Quattro fascicoli di destinazione su sette restano non posseduti quanto agli indici, e la verifica di reciprocità in senso proprio — cioè l'accertamento che a ogni rinvio in uscita corrisponda un rinvio in entrata — resta pertanto ineseguibile per la maggior parte delle destinazioni.</w:t>
      </w:r>
    </w:p>
    <w:p>
      <w:pPr>
        <w:spacing w:after="120" w:line="276"/>
        <w:jc w:val="both"/>
      </w:pPr>
      <w:r>
        <w:rPr>
          <w:rFonts w:ascii="Barlow Semi Condensed" w:cs="Barlow Semi Condensed" w:eastAsia="Barlow Semi Condensed" w:hAnsi="Barlow Semi Condensed"/>
          <w:sz w:val="24"/>
          <w:szCs w:val="24"/>
        </w:rPr>
        <w:t xml:space="preserve">Si dichiara che la Voce ventiseiesima è eseguita in parte e non si chiude: essa è stata eseguita nella forma della misura della catalogazione multipla al momento dell'ingresso, che è più informativa di quella prevista, e non nella forma della verifica di reciprocità, che resta preclusa dall'assenza degli indici di destinazione.</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ottava del giorno sul medesimo cantiere. Cantiere: designazione per atto delle fonti. Materia: la serie dei processi verbali letta come serie di acquisizione completa.</w:t>
      </w:r>
    </w:p>
    <w:p>
      <w:pPr>
        <w:spacing w:after="120" w:line="276"/>
        <w:jc w:val="both"/>
      </w:pPr>
      <w:r>
        <w:rPr>
          <w:rFonts w:ascii="Barlow Semi Condensed" w:cs="Barlow Semi Condensed" w:eastAsia="Barlow Semi Condensed" w:hAnsi="Barlow Semi Condensed"/>
          <w:sz w:val="24"/>
          <w:szCs w:val="24"/>
        </w:rPr>
        <w:t xml:space="preserve">Esito positivo: quattrocentoquarantaquattro voci di acquisizione censite su duecentosedici processi verbali, con distribuzione del numero di chiavi per voce; misura della catalogazione multipla all'ingresso, pari a cinquantasette voci su quattrocentoquarantaquattro; individuazione della voce a cinque chiavi; accertamento che la catalogazione multipla del fascicolo del caso è per dieci quattordicesimi attribuzione successiva del compilatore e non proprietà dell'acquisizione, con conseguente correzione dell'appendice terza quanto allo strumento e dell'appendice quinta quanto alla causa; enunciazione della quattordicesima regola della risalita; accertamento per lettura di quattro specie di varianza nelle denominazioni dei fascicoli; due voci nuove iscritte in tavola, entrambe eseguibili sul posseduto.</w:t>
      </w:r>
    </w:p>
    <w:p>
      <w:pPr>
        <w:spacing w:after="120" w:line="276"/>
        <w:jc w:val="both"/>
      </w:pPr>
      <w:r>
        <w:rPr>
          <w:rFonts w:ascii="Barlow Semi Condensed" w:cs="Barlow Semi Condensed" w:eastAsia="Barlow Semi Condensed" w:hAnsi="Barlow Semi Condensed"/>
          <w:sz w:val="24"/>
          <w:szCs w:val="24"/>
        </w:rPr>
        <w:t xml:space="preserve">Esito negativo: il numero dei fascicoli distinti non è determinato; la collazione indice-verbale è compiuta per un solo fascicolo; la verifica di reciprocità in senso proprio resta preclusa per quattro destinazioni su sette; la Voce ventiseiesima è eseguita in parte e non si chiude.</w:t>
      </w:r>
    </w:p>
    <w:p>
      <w:pPr>
        <w:spacing w:after="120" w:line="276"/>
        <w:jc w:val="both"/>
      </w:pPr>
      <w:r>
        <w:rPr>
          <w:rFonts w:ascii="Barlow Semi Condensed" w:cs="Barlow Semi Condensed" w:eastAsia="Barlow Semi Condensed" w:hAnsi="Barlow Semi Condensed"/>
          <w:sz w:val="24"/>
          <w:szCs w:val="24"/>
        </w:rPr>
        <w:t xml:space="preserve">Riga di errore proprio, quarta della giornata, e rilevata prima della pubblicazione. Lo strumento di estrazione ha congiunto in una sola stringa due chiavi consecutive in un numero limitato di voci, producendo denominazioni inesistenti e gonfiando il conteggio delle denominazioni distinte. Il difetto è stato rilevato leggendo a mano l'elenco prodotto, e non era rilevabile per via statistica poiché lo strumento sbagliava in modo stabile. La cifra è stata pubblicata come approssimazione per eccesso anziché come misura. Si registra che questa è la prima volta nella giornata in cui la regola tratta da un errore anteriore ha operato prima del danno anziché dopo.</w:t>
      </w:r>
    </w:p>
    <w:p>
      <w:pPr>
        <w:spacing w:after="120" w:line="276"/>
        <w:jc w:val="both"/>
      </w:pPr>
      <w:r>
        <w:rPr>
          <w:rFonts w:ascii="Barlow Semi Condensed" w:cs="Barlow Semi Condensed" w:eastAsia="Barlow Semi Condensed" w:hAnsi="Barlow Semi Condensed"/>
          <w:sz w:val="24"/>
          <w:szCs w:val="24"/>
        </w:rPr>
        <w:t xml:space="preserve">Riga di avvertenza. Il presente atto tratta di chiavi di catalogo e di denominazioni di fascicoli. Esso non riferisce il contenuto di alcuna delle quattrocentoquarantaquattro voci, non conferisce grado ad alcuna proposizione e non nomina alcuna persona. I fascicoli intitolati a persone sono designati per tale qualità e non per il nome che portano, poiché in questa sede la funzione basta a identificare l'indirizzo.</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DECIMA ALLA FASE SETTIMA, la serie di acquisizione e chi attribuisce le chiavi,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Il momento nel quale una chiave è apposta determina che cosa essa possa attestare.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VII · Appendice decima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VII: 2.081 parole in 9 sezioni; la più ampia è §9 Altre sezioni, con 1.705.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VII: 44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VIII — Appendice undicesima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UNDICESIMA ALLA FASE SETTIMA</w:t>
      </w:r>
    </w:p>
    <w:p>
      <w:pPr>
        <w:pStyle w:val="Heading2"/>
        <w:spacing w:after="100" w:before="200"/>
      </w:pPr>
      <w:r>
        <w:rPr>
          <w:rFonts w:ascii="Barlow Semi Condensed" w:cs="Barlow Semi Condensed" w:eastAsia="Barlow Semi Condensed" w:hAnsi="Barlow Semi Condensed"/>
          <w:sz w:val="24"/>
          <w:szCs w:val="24"/>
        </w:rPr>
        <w:t xml:space="preserve">Un falsificatore messo alla prova</w:t>
      </w:r>
    </w:p>
    <w:p>
      <w:pPr>
        <w:pStyle w:val="Heading2"/>
        <w:spacing w:after="100" w:before="200"/>
      </w:pPr>
      <w:r>
        <w:rPr>
          <w:rFonts w:ascii="Barlow Semi Condensed" w:cs="Barlow Semi Condensed" w:eastAsia="Barlow Semi Condensed" w:hAnsi="Barlow Semi Condensed"/>
          <w:sz w:val="24"/>
          <w:szCs w:val="24"/>
        </w:rPr>
        <w:t xml:space="preserve">Esecuzione della Voce quarantaquattresima sui tre fascicoli posseduti</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undicesima</w:t>
      </w:r>
    </w:p>
    <w:p>
      <w:pPr>
        <w:spacing w:after="120" w:line="276"/>
        <w:jc w:val="both"/>
      </w:pPr>
      <w:r>
        <w:rPr>
          <w:rFonts w:ascii="Barlow Semi Condensed" w:cs="Barlow Semi Condensed" w:eastAsia="Barlow Semi Condensed" w:hAnsi="Barlow Semi Condensed"/>
          <w:sz w:val="24"/>
          <w:szCs w:val="24"/>
        </w:rPr>
        <w:t xml:space="preserve">La presente è appendice undicesima alla Fase Settima ed esegue la Voce quarantaquattresima, iscritta poche ore prima dall'appendice decima. Come le dieci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La voce eseguita reca una condizione di smentita determinata, ed è per questa ragione che la si esegue prima delle altre. L'appendice decima ha asserito che la catalogazione multipla è, nella serie parlamentare esaminata, in prevalenza attribuzione successiva del compilatore dell'indice e non proprietà dell'acquisizione; e ha dichiarato che tale asserzione cade se la quota di attribuzione successiva risulta trascurabile negli altri fascicoli posseduti, poiché in tal caso il rapporto rilevato sarebbe una particolarità del fascicolo del caso e non una proprietà del sistema.</w:t>
      </w:r>
    </w:p>
    <w:p>
      <w:pPr>
        <w:spacing w:after="120" w:line="276"/>
        <w:jc w:val="both"/>
      </w:pPr>
      <w:r>
        <w:rPr>
          <w:rFonts w:ascii="Barlow Semi Condensed" w:cs="Barlow Semi Condensed" w:eastAsia="Barlow Semi Condensed" w:hAnsi="Barlow Semi Condensed"/>
          <w:sz w:val="24"/>
          <w:szCs w:val="24"/>
        </w:rPr>
        <w:t xml:space="preserve">Si dispone degli indici di tre fascicoli e della serie completa dei processi verbali. La prova è dunque eseguibile, ed è eseguita.</w:t>
      </w:r>
    </w:p>
    <w:p>
      <w:pPr>
        <w:pStyle w:val="Heading2"/>
        <w:spacing w:after="100" w:before="200"/>
      </w:pPr>
      <w:r>
        <w:rPr>
          <w:rFonts w:ascii="Barlow Semi Condensed" w:cs="Barlow Semi Condensed" w:eastAsia="Barlow Semi Condensed" w:hAnsi="Barlow Semi Condensed"/>
          <w:sz w:val="24"/>
          <w:szCs w:val="24"/>
        </w:rPr>
        <w:t xml:space="preserve">Parte prima — La procedura, e i suoi tre limiti dichiarati</w:t>
      </w:r>
    </w:p>
    <w:p>
      <w:pPr>
        <w:spacing w:after="120" w:line="276"/>
        <w:jc w:val="both"/>
      </w:pPr>
      <w:r>
        <w:rPr>
          <w:rFonts w:ascii="Barlow Semi Condensed" w:cs="Barlow Semi Condensed" w:eastAsia="Barlow Semi Condensed" w:hAnsi="Barlow Semi Condensed"/>
          <w:sz w:val="24"/>
          <w:szCs w:val="24"/>
        </w:rPr>
        <w:t xml:space="preserve">Per ciascuno dei tre fascicoli si sono contate due grandezze: le voci che, nei processi verbali, recano la chiave di quel fascicolo insieme ad almeno un'altra chiave, cioè le catalogazioni multiple dichiarate al momento dell'ingresso; e le unità che, nell'indice di acquisizione di quel fascicolo, recano un rinvio ad altro fascicolo, cioè le catalogazioni multiple dichiarate in sede di compilazione.</w:t>
      </w:r>
    </w:p>
    <w:p>
      <w:pPr>
        <w:spacing w:after="120" w:line="276"/>
        <w:jc w:val="both"/>
      </w:pPr>
      <w:r>
        <w:rPr>
          <w:rFonts w:ascii="Barlow Semi Condensed" w:cs="Barlow Semi Condensed" w:eastAsia="Barlow Semi Condensed" w:hAnsi="Barlow Semi Condensed"/>
          <w:sz w:val="24"/>
          <w:szCs w:val="24"/>
        </w:rPr>
        <w:t xml:space="preserve">Si dichiarano tre limiti della procedura, tutti tali da incidere sulle cifre.</w:t>
      </w:r>
    </w:p>
    <w:p>
      <w:pPr>
        <w:spacing w:after="120" w:line="276"/>
        <w:jc w:val="both"/>
      </w:pPr>
      <w:r>
        <w:rPr>
          <w:rFonts w:ascii="Barlow Semi Condensed" w:cs="Barlow Semi Condensed" w:eastAsia="Barlow Semi Condensed" w:hAnsi="Barlow Semi Condensed"/>
          <w:sz w:val="24"/>
          <w:szCs w:val="24"/>
        </w:rPr>
        <w:t xml:space="preserve">Primo limite. Si era prevista una terza grandezza, il numero complessivo delle unità di ciascun fascicolo, da impiegare come denominatore comune. Il procedimento adottato per ricavarla dagli indici — il riconoscimento delle righe contenenti un numero isolato — ha prodotto per uno dei tre fascicoli un valore massimo incompatibile con l'ampiezza del fascicolo medesimo, segno che esso ha riconosciuto come numeri d'unità anche numeri di altra natura. Il procedimento è stato abbandonato e il denominatore comune non è impiegato. Le cifre che seguono sono pertanto conteggi assoluti e non tassi riferiti al totale delle unità.</w:t>
      </w:r>
    </w:p>
    <w:p>
      <w:pPr>
        <w:spacing w:after="120" w:line="276"/>
        <w:jc w:val="both"/>
      </w:pPr>
      <w:r>
        <w:rPr>
          <w:rFonts w:ascii="Barlow Semi Condensed" w:cs="Barlow Semi Condensed" w:eastAsia="Barlow Semi Condensed" w:hAnsi="Barlow Semi Condensed"/>
          <w:sz w:val="24"/>
          <w:szCs w:val="24"/>
        </w:rPr>
        <w:t xml:space="preserve">Secondo limite. Il fascicolo dedicato alla struttura clandestina compare nei verbali sotto due denominazioni, l'una estesa e l'altra abbreviata, e le due sono state trattate come una sola ai fini del conteggio. L'appendice quinta ha accertato che l'abbreviata coincide con la denominazione autonoma di un fascicolo distinto. Il conteggio di quel fascicolo è pertanto una somma di due insiemi che potrebbero non coincidere, e la sua cifra è dichiarata come valore per eccesso.</w:t>
      </w:r>
    </w:p>
    <w:p>
      <w:pPr>
        <w:spacing w:after="120" w:line="276"/>
        <w:jc w:val="both"/>
      </w:pPr>
      <w:r>
        <w:rPr>
          <w:rFonts w:ascii="Barlow Semi Condensed" w:cs="Barlow Semi Condensed" w:eastAsia="Barlow Semi Condensed" w:hAnsi="Barlow Semi Condensed"/>
          <w:sz w:val="24"/>
          <w:szCs w:val="24"/>
        </w:rPr>
        <w:t xml:space="preserve">Terzo limite. Le due grandezze contate non hanno la medesima unità di misura. La prima conta voci di verbale, e una voce può appartenere a più fascicoli ed essere pertanto contata in più conteggi. La seconda conta unità di un fascicolo determinato. La comparazione fra le due è legittima come comparazione fra ordini di grandezza e non come rapporto esatto.</w:t>
      </w:r>
    </w:p>
    <w:p>
      <w:pPr>
        <w:pStyle w:val="Heading2"/>
        <w:spacing w:after="100" w:before="200"/>
      </w:pPr>
      <w:r>
        <w:rPr>
          <w:rFonts w:ascii="Barlow Semi Condensed" w:cs="Barlow Semi Condensed" w:eastAsia="Barlow Semi Condensed" w:hAnsi="Barlow Semi Condensed"/>
          <w:sz w:val="24"/>
          <w:szCs w:val="24"/>
        </w:rPr>
        <w:t xml:space="preserve">Parte seconda — L'esito della prova</w:t>
      </w:r>
    </w:p>
    <w:p>
      <w:pPr>
        <w:spacing w:after="120" w:line="276"/>
        <w:jc w:val="both"/>
      </w:pPr>
      <w:r>
        <w:rPr>
          <w:rFonts w:ascii="Barlow Semi Condensed" w:cs="Barlow Semi Condensed" w:eastAsia="Barlow Semi Condensed" w:hAnsi="Barlow Semi Condensed"/>
          <w:sz w:val="24"/>
          <w:szCs w:val="24"/>
        </w:rPr>
        <w:t xml:space="preserve">Per il fascicolo del caso: quattro catalogazioni multiple dichiarate all'ingresso, quattordici dichiarate nell'indice.</w:t>
      </w:r>
    </w:p>
    <w:p>
      <w:pPr>
        <w:spacing w:after="120" w:line="276"/>
        <w:jc w:val="both"/>
      </w:pPr>
      <w:r>
        <w:rPr>
          <w:rFonts w:ascii="Barlow Semi Condensed" w:cs="Barlow Semi Condensed" w:eastAsia="Barlow Semi Condensed" w:hAnsi="Barlow Semi Condensed"/>
          <w:sz w:val="24"/>
          <w:szCs w:val="24"/>
        </w:rPr>
        <w:t xml:space="preserve">Per il fascicolo dedicato al disastro aereo: nove dichiarate all'ingresso, quattordici nell'indice.</w:t>
      </w:r>
    </w:p>
    <w:p>
      <w:pPr>
        <w:spacing w:after="120" w:line="276"/>
        <w:jc w:val="both"/>
      </w:pPr>
      <w:r>
        <w:rPr>
          <w:rFonts w:ascii="Barlow Semi Condensed" w:cs="Barlow Semi Condensed" w:eastAsia="Barlow Semi Condensed" w:hAnsi="Barlow Semi Condensed"/>
          <w:sz w:val="24"/>
          <w:szCs w:val="24"/>
        </w:rPr>
        <w:t xml:space="preserve">Per il fascicolo dedicato alla struttura clandestina: trentacinque dichiarate all'ingresso, cinquantotto nell'indice.</w:t>
      </w:r>
    </w:p>
    <w:p>
      <w:pPr>
        <w:spacing w:after="120" w:line="276"/>
        <w:jc w:val="both"/>
      </w:pPr>
      <w:r>
        <w:rPr>
          <w:rFonts w:ascii="Barlow Semi Condensed" w:cs="Barlow Semi Condensed" w:eastAsia="Barlow Semi Condensed" w:hAnsi="Barlow Semi Condensed"/>
          <w:sz w:val="24"/>
          <w:szCs w:val="24"/>
        </w:rPr>
        <w:t xml:space="preserve">In tutti e tre i fascicoli l'indice dichiara più catalogazioni multiple di quante ne dichiarino i verbali, e in nessuno dei tre la differenza è trascurabile. La quota di attribuzione successiva è di dieci su quattordici nel primo, di cinque su quattordici nel secondo, di ventitré su cinquantotto nel terzo.</w:t>
      </w:r>
    </w:p>
    <w:p>
      <w:pPr>
        <w:spacing w:after="120" w:line="276"/>
        <w:jc w:val="both"/>
      </w:pPr>
      <w:r>
        <w:rPr>
          <w:rFonts w:ascii="Barlow Semi Condensed" w:cs="Barlow Semi Condensed" w:eastAsia="Barlow Semi Condensed" w:hAnsi="Barlow Semi Condensed"/>
          <w:sz w:val="24"/>
          <w:szCs w:val="24"/>
        </w:rPr>
        <w:t xml:space="preserve">La condizione di smentita non si verifica. L'asserzione dell'appendice decima regge: l'attribuzione successiva della catalogazione multipla è una proprietà del sistema e non una particolarità del fascicolo del caso.</w:t>
      </w:r>
    </w:p>
    <w:p>
      <w:pPr>
        <w:spacing w:after="120" w:line="276"/>
        <w:jc w:val="both"/>
      </w:pPr>
      <w:r>
        <w:rPr>
          <w:rFonts w:ascii="Barlow Semi Condensed" w:cs="Barlow Semi Condensed" w:eastAsia="Barlow Semi Condensed" w:hAnsi="Barlow Semi Condensed"/>
          <w:sz w:val="24"/>
          <w:szCs w:val="24"/>
        </w:rPr>
        <w:t xml:space="preserve">Si dichiari però, con la medesima esattezza, in che misura essa regga. La quota di attribuzione successiva è nel fascicolo del caso di circa sette decimi, negli altri due di circa quattro decimi. La proprietà è dunque presente in tutti e tre e ha nel fascicolo del caso un'intensità quasi doppia rispetto agli altri due. L'asserzione va pertanto mantenuta nella formulazione generale e ristretta nella misura: l'attribuzione successiva è ovunque rilevante, e il fascicolo sul quale essa fu rilevata è quello nel quale è massima. Chi avesse generalizzato la cifra di sette decimi avrebbe generalizzato un estremo.</w:t>
      </w:r>
    </w:p>
    <w:p>
      <w:pPr>
        <w:pStyle w:val="Heading2"/>
        <w:spacing w:after="100" w:before="200"/>
      </w:pPr>
      <w:r>
        <w:rPr>
          <w:rFonts w:ascii="Barlow Semi Condensed" w:cs="Barlow Semi Condensed" w:eastAsia="Barlow Semi Condensed" w:hAnsi="Barlow Semi Condensed"/>
          <w:sz w:val="24"/>
          <w:szCs w:val="24"/>
        </w:rPr>
        <w:t xml:space="preserve">Parte terza — Un secondo reperto, non cercato</w:t>
      </w:r>
    </w:p>
    <w:p>
      <w:pPr>
        <w:spacing w:after="120" w:line="276"/>
        <w:jc w:val="both"/>
      </w:pPr>
      <w:r>
        <w:rPr>
          <w:rFonts w:ascii="Barlow Semi Condensed" w:cs="Barlow Semi Condensed" w:eastAsia="Barlow Semi Condensed" w:hAnsi="Barlow Semi Condensed"/>
          <w:sz w:val="24"/>
          <w:szCs w:val="24"/>
        </w:rPr>
        <w:t xml:space="preserve">La collazione ha prodotto un dato che non era il suo oggetto e che va registrato perché è di natura diversa da tutti quelli raccolti oggi.</w:t>
      </w:r>
    </w:p>
    <w:p>
      <w:pPr>
        <w:spacing w:after="120" w:line="276"/>
        <w:jc w:val="both"/>
      </w:pPr>
      <w:r>
        <w:rPr>
          <w:rFonts w:ascii="Barlow Semi Condensed" w:cs="Barlow Semi Condensed" w:eastAsia="Barlow Semi Condensed" w:hAnsi="Barlow Semi Condensed"/>
          <w:sz w:val="24"/>
          <w:szCs w:val="24"/>
        </w:rPr>
        <w:t xml:space="preserve">Rapportando le catalogazioni multiple dichiarate all'ingresso al numero delle voci di verbale recanti la chiave di ciascun fascicolo, si ottengono tre valori assai distanti. Per il fascicolo dedicato alla struttura clandestina, trentacinque su centoquattordici, cioè poco meno di un terzo. Per il fascicolo del caso, quattro su ventinove, cioè poco meno di un settimo. Per il fascicolo dedicato al disastro aereo, nove su centosettanta, cioè circa un ventesimo.</w:t>
      </w:r>
    </w:p>
    <w:p>
      <w:pPr>
        <w:spacing w:after="120" w:line="276"/>
        <w:jc w:val="both"/>
      </w:pPr>
      <w:r>
        <w:rPr>
          <w:rFonts w:ascii="Barlow Semi Condensed" w:cs="Barlow Semi Condensed" w:eastAsia="Barlow Semi Condensed" w:hAnsi="Barlow Semi Condensed"/>
          <w:sz w:val="24"/>
          <w:szCs w:val="24"/>
        </w:rPr>
        <w:t xml:space="preserve">Fra il fascicolo più trasversalmente catalogato e quello meno lo scarto è di circa sei volte.</w:t>
      </w:r>
    </w:p>
    <w:p>
      <w:pPr>
        <w:spacing w:after="120" w:line="276"/>
        <w:jc w:val="both"/>
      </w:pPr>
      <w:r>
        <w:rPr>
          <w:rFonts w:ascii="Barlow Semi Condensed" w:cs="Barlow Semi Condensed" w:eastAsia="Barlow Semi Condensed" w:hAnsi="Barlow Semi Condensed"/>
          <w:sz w:val="24"/>
          <w:szCs w:val="24"/>
        </w:rPr>
        <w:t xml:space="preserve">Si enunciano le due spiegazioni candidate e si dichiara di non discriminare fra esse.</w:t>
      </w:r>
    </w:p>
    <w:p>
      <w:pPr>
        <w:spacing w:after="120" w:line="276"/>
        <w:jc w:val="both"/>
      </w:pPr>
      <w:r>
        <w:rPr>
          <w:rFonts w:ascii="Barlow Semi Condensed" w:cs="Barlow Semi Condensed" w:eastAsia="Barlow Semi Condensed" w:hAnsi="Barlow Semi Condensed"/>
          <w:sz w:val="24"/>
          <w:szCs w:val="24"/>
        </w:rPr>
        <w:t xml:space="preserve">La prima è che lo scarto rifletta la natura degli oggetti. Un disastro aereo è un evento circoscritto nel tempo e nello spazio, i cui atti concernono quell'evento e pochi altri; una struttura clandestina permanente attraversa per definizione materie, periodi e apparati diversi, e i suoi atti toccano necessariamente più fascicoli. Se questa spiegazione è esatta, il tasso di catalogazione multipla è un indicatore della trasversalità dell'oggetto, e sarebbe un dato di prim'ordine.</w:t>
      </w:r>
    </w:p>
    <w:p>
      <w:pPr>
        <w:spacing w:after="120" w:line="276"/>
        <w:jc w:val="both"/>
      </w:pPr>
      <w:r>
        <w:rPr>
          <w:rFonts w:ascii="Barlow Semi Condensed" w:cs="Barlow Semi Condensed" w:eastAsia="Barlow Semi Condensed" w:hAnsi="Barlow Semi Condensed"/>
          <w:sz w:val="24"/>
          <w:szCs w:val="24"/>
        </w:rPr>
        <w:t xml:space="preserve">La seconda è che lo scarto rifletta la pratica di chi cataloga. Fascicoli aperti in tempi diversi, alimentati da mani diverse e con criteri di attribuzione non uniformi produrrebbero tassi diversi indipendentemente dalla natura degli oggetti. Se questa spiegazione è esatta, il tasso non dice nulla sugli oggetti e dice qualcosa sugli uffici.</w:t>
      </w:r>
    </w:p>
    <w:p>
      <w:pPr>
        <w:spacing w:after="120" w:line="276"/>
        <w:jc w:val="both"/>
      </w:pPr>
      <w:r>
        <w:rPr>
          <w:rFonts w:ascii="Barlow Semi Condensed" w:cs="Barlow Semi Condensed" w:eastAsia="Barlow Semi Condensed" w:hAnsi="Barlow Semi Condensed"/>
          <w:sz w:val="24"/>
          <w:szCs w:val="24"/>
        </w:rPr>
        <w:t xml:space="preserve">Le due spiegazioni non si escludono e concorrono probabilmente entrambe. Il presente atto non dispone di alcun elemento per attribuire quote all'una e all'altra, e si astiene. Si segnala soltanto che la via di discriminazione esiste ed è indicabile: essa consisterebbe nel verificare se il tasso di un medesimo fascicolo vari nel tempo, poiché una variazione temporale a oggetto costante deporrebbe per la seconda spiegazione.</w:t>
      </w:r>
    </w:p>
    <w:p>
      <w:pPr>
        <w:spacing w:after="120" w:line="276"/>
        <w:jc w:val="both"/>
      </w:pPr>
      <w:r>
        <w:rPr>
          <w:rFonts w:ascii="Barlow Semi Condensed" w:cs="Barlow Semi Condensed" w:eastAsia="Barlow Semi Condensed" w:hAnsi="Barlow Semi Condensed"/>
          <w:sz w:val="24"/>
          <w:szCs w:val="24"/>
        </w:rPr>
        <w:t xml:space="preserve">Voce quarantacinquesima — La trasversalità dei fascicoli e la sua causa. Oggetto: il tasso di catalogazione multipla all'ingresso per ciascun fascicolo della serie, e la sua variazione nel tempo entro ciascun fascicolo. Sede: la serie dei processi verbali, posseduta per duecentosedici documenti. Chiusura: computo dei tassi per fascicolo e per periodo. Smentita: la constatazione che il tasso di ciascun fascicolo sia stabile nel tempo, la quale escluderebbe la spiegazione fondata sulla pratica di catalogazione e lascerebbe in campo quella fondata sulla natura degli oggetti.</w:t>
      </w:r>
    </w:p>
    <w:p>
      <w:pPr>
        <w:pStyle w:val="Heading2"/>
        <w:spacing w:after="100" w:before="200"/>
      </w:pPr>
      <w:r>
        <w:rPr>
          <w:rFonts w:ascii="Barlow Semi Condensed" w:cs="Barlow Semi Condensed" w:eastAsia="Barlow Semi Condensed" w:hAnsi="Barlow Semi Condensed"/>
          <w:sz w:val="24"/>
          <w:szCs w:val="24"/>
        </w:rPr>
        <w:t xml:space="preserve">Parte quarta — Sul falsificatore che regge</w:t>
      </w:r>
    </w:p>
    <w:p>
      <w:pPr>
        <w:spacing w:after="120" w:line="276"/>
        <w:jc w:val="both"/>
      </w:pPr>
      <w:r>
        <w:rPr>
          <w:rFonts w:ascii="Barlow Semi Condensed" w:cs="Barlow Semi Condensed" w:eastAsia="Barlow Semi Condensed" w:hAnsi="Barlow Semi Condensed"/>
          <w:sz w:val="24"/>
          <w:szCs w:val="24"/>
        </w:rPr>
        <w:t xml:space="preserve">Si registra un fatto che riguarda l'apparato e non la materia, e che va accostato a quanto la presente serie ha stabilito nella propria seconda appendice.</w:t>
      </w:r>
    </w:p>
    <w:p>
      <w:pPr>
        <w:spacing w:after="120" w:line="276"/>
        <w:jc w:val="both"/>
      </w:pPr>
      <w:r>
        <w:rPr>
          <w:rFonts w:ascii="Barlow Semi Condensed" w:cs="Barlow Semi Condensed" w:eastAsia="Barlow Semi Condensed" w:hAnsi="Barlow Semi Condensed"/>
          <w:sz w:val="24"/>
          <w:szCs w:val="24"/>
        </w:rPr>
        <w:t xml:space="preserve">L'appendice seconda ha censurato un falsificatore dell'opera perché tarato al di sotto della soglia che proteggeva, e ne ha tratto che un falsificatore il quale non scatti mai non è prova di correttezza ma indizio di taratura compiacente. La censura era fondata e la formulazione fu corretta.</w:t>
      </w:r>
    </w:p>
    <w:p>
      <w:pPr>
        <w:spacing w:after="120" w:line="276"/>
        <w:jc w:val="both"/>
      </w:pPr>
      <w:r>
        <w:rPr>
          <w:rFonts w:ascii="Barlow Semi Condensed" w:cs="Barlow Semi Condensed" w:eastAsia="Barlow Semi Condensed" w:hAnsi="Barlow Semi Condensed"/>
          <w:sz w:val="24"/>
          <w:szCs w:val="24"/>
        </w:rPr>
        <w:t xml:space="preserve">Il presente atto registra l'evento simmetrico. Un falsificatore è stato formulato con una condizione determinata, è stato sottoposto alla prova nelle ore immediatamente successive, e non è scattato. La differenza rispetto al caso censurato è intera: là il falsificatore non era scattato perché nessuno lo aveva provato e perché la sua soglia lo rendeva improbabile; qui non è scattato perché è stato provato e la prova è stata superata.</w:t>
      </w:r>
    </w:p>
    <w:p>
      <w:pPr>
        <w:spacing w:after="120" w:line="276"/>
        <w:jc w:val="both"/>
      </w:pPr>
      <w:r>
        <w:rPr>
          <w:rFonts w:ascii="Barlow Semi Condensed" w:cs="Barlow Semi Condensed" w:eastAsia="Barlow Semi Condensed" w:hAnsi="Barlow Semi Condensed"/>
          <w:sz w:val="24"/>
          <w:szCs w:val="24"/>
        </w:rPr>
        <w:t xml:space="preserve">Si enuncia la regola, ed è la quindicesima della serie. Il valore di un'asserzione si misura sul numero e sulla severità delle prove che ha superate, e non sull'assenza di prove. Un falsificatore mai azionato è privo di significato finché non si dichiari se sia stato provato; un falsificatore provato e non azionato conferisce all'asserzione un grado che nessuna accumulazione di conferme le avrebbe conferito. Si dichiari pertanto sempre, accanto a un falsificatore, se e quando sia stato messo alla prova.</w:t>
      </w:r>
    </w:p>
    <w:p>
      <w:pPr>
        <w:spacing w:after="120" w:line="276"/>
        <w:jc w:val="both"/>
      </w:pPr>
      <w:r>
        <w:rPr>
          <w:rFonts w:ascii="Barlow Semi Condensed" w:cs="Barlow Semi Condensed" w:eastAsia="Barlow Semi Condensed" w:hAnsi="Barlow Semi Condensed"/>
          <w:sz w:val="24"/>
          <w:szCs w:val="24"/>
        </w:rPr>
        <w:t xml:space="preserve">Si dispone che le voci della tavola rechino, dalla presente appendice in avanti, oltre alla condizione di smentita, l'indicazione di quali prove siano state eseguite e con quale esito.</w:t>
      </w:r>
    </w:p>
    <w:p>
      <w:pPr>
        <w:pStyle w:val="Heading2"/>
        <w:spacing w:after="100" w:before="200"/>
      </w:pPr>
      <w:r>
        <w:rPr>
          <w:rFonts w:ascii="Barlow Semi Condensed" w:cs="Barlow Semi Condensed" w:eastAsia="Barlow Semi Condensed" w:hAnsi="Barlow Semi Condensed"/>
          <w:sz w:val="24"/>
          <w:szCs w:val="24"/>
        </w:rPr>
        <w:t xml:space="preserve">Parte quinta — Mutazioni di stato e Stati Zero</w:t>
      </w:r>
    </w:p>
    <w:p>
      <w:pPr>
        <w:spacing w:after="120" w:line="276"/>
        <w:jc w:val="both"/>
      </w:pPr>
      <w:r>
        <w:rPr>
          <w:rFonts w:ascii="Barlow Semi Condensed" w:cs="Barlow Semi Condensed" w:eastAsia="Barlow Semi Condensed" w:hAnsi="Barlow Semi Condensed"/>
          <w:sz w:val="24"/>
          <w:szCs w:val="24"/>
        </w:rPr>
        <w:t xml:space="preserve">La Voce quarantaquattresima si chiude quanto alla collazione dei tre fascicoli posseduti, con esito di conferma dell'asserzione provata e di restrizione della sua misura. Si iscrive la Voce quarantacinquesima.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Primo: il denominatore comune, cioè il numero complessivo delle unità di ciascun fascicolo, non è determinato, e le cifre sono conteggi assoluti. Secondo: il conteggio del fascicolo dedicato alla struttura clandestina è per eccesso, per la somma di due denominazioni che potrebbero designare fascicoli distinti. Terzo: la ripartizione fra le due spiegazioni della varianza dei tassi non è compiuta. Quarto: quattro fascicoli di destinazione su sette restano privi di indice posseduto, e la collazione è eseguita per tre.</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nona del giorno sul medesimo cantiere. Cantiere: designazione per atto delle fonti. Materia: la collazione fra indice di acquisizione e processo verbale sui tre fascicoli posseduti.</w:t>
      </w:r>
    </w:p>
    <w:p>
      <w:pPr>
        <w:spacing w:after="120" w:line="276"/>
        <w:jc w:val="both"/>
      </w:pPr>
      <w:r>
        <w:rPr>
          <w:rFonts w:ascii="Barlow Semi Condensed" w:cs="Barlow Semi Condensed" w:eastAsia="Barlow Semi Condensed" w:hAnsi="Barlow Semi Condensed"/>
          <w:sz w:val="24"/>
          <w:szCs w:val="24"/>
        </w:rPr>
        <w:t xml:space="preserve">Esito positivo: collazione eseguita per tre fascicoli, con esito di quattro contro quattordici, nove contro quattordici e trentacinque contro cinquantotto; condizione di smentita non verificata e asserzione dell'appendice decima confermata; restrizione della misura dell'asserzione, che passa da sette decimi a una banda compresa fra quattro e sette decimi secondo il fascicolo; rilevazione non cercata della varianza del tasso di catalogazione multipla fra fascicoli, con scarto di circa sei volte fra l'estremo superiore e l'inferiore; enunciazione delle due spiegazioni candidate e della via di discriminazione fra esse; enunciazione della quindicesima regola della risalita; una voce nuova iscritta in tavola; disposizione che le voci della tavola rechino l'indicazione delle prove eseguite.</w:t>
      </w:r>
    </w:p>
    <w:p>
      <w:pPr>
        <w:spacing w:after="120" w:line="276"/>
        <w:jc w:val="both"/>
      </w:pPr>
      <w:r>
        <w:rPr>
          <w:rFonts w:ascii="Barlow Semi Condensed" w:cs="Barlow Semi Condensed" w:eastAsia="Barlow Semi Condensed" w:hAnsi="Barlow Semi Condensed"/>
          <w:sz w:val="24"/>
          <w:szCs w:val="24"/>
        </w:rPr>
        <w:t xml:space="preserve">Esito negativo: il denominatore comune non è determinato e il procedimento previsto per ricavarlo è stato abbandonato per difetto accertato; il conteggio di un fascicolo è per eccesso; la varianza dei tassi non è spiegata; la collazione è eseguita per tre fascicoli su sette.</w:t>
      </w:r>
    </w:p>
    <w:p>
      <w:pPr>
        <w:spacing w:after="120" w:line="276"/>
        <w:jc w:val="both"/>
      </w:pPr>
      <w:r>
        <w:rPr>
          <w:rFonts w:ascii="Barlow Semi Condensed" w:cs="Barlow Semi Condensed" w:eastAsia="Barlow Semi Condensed" w:hAnsi="Barlow Semi Condensed"/>
          <w:sz w:val="24"/>
          <w:szCs w:val="24"/>
        </w:rPr>
        <w:t xml:space="preserve">Riga di restrizione a proprio sfavore. L'asserzione provata regge nella formulazione generale e non nella misura con la quale era stata rilevata. Il fascicolo sul quale essa fu misurata è quello nel quale l'attribuzione successiva è massima, e chi avesse generalizzato quella cifra avrebbe generalizzato un estremo. Si registra che la restrizione è emersa dalla medesima prova che ha confermato l'asserzione, e che una prova la quale confermi e insieme restringa è più utile di una che confermi soltanto.</w:t>
      </w:r>
    </w:p>
    <w:p>
      <w:pPr>
        <w:spacing w:after="120" w:line="276"/>
        <w:jc w:val="both"/>
      </w:pPr>
      <w:r>
        <w:rPr>
          <w:rFonts w:ascii="Barlow Semi Condensed" w:cs="Barlow Semi Condensed" w:eastAsia="Barlow Semi Condensed" w:hAnsi="Barlow Semi Condensed"/>
          <w:sz w:val="24"/>
          <w:szCs w:val="24"/>
        </w:rPr>
        <w:t xml:space="preserve">Riga di avvertenza. Il presente atto tratta di conteggi su chiavi di catalogo. Non riferisce il contenuto di alcuna voce, non conferisce grado ad alcuna proposizione, non nomina alcuna persona e non trae alcuna inferenza sulla materia dei fascicoli comparati. In particolare, il tasso di catalogazione multipla di un fascicolo non è, allo stato, un indicatore di alcunché, poiché la sua causa non è stabilita.</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UNDICESIMA ALLA FASE SETTIMA, un falsificatore messo alla prova, quindici agosto duemilaventisei. I settanta Capitoli restano settanta. Le redazioni anteriori non sono modificate: le pietre deposte non si scalpellano. Resta sovrana la Regola di Ferro: dove la fonte documenta, l'opera certifica; dove la fonte tace, l'opera indaga e non afferma. Il valore di un'asserzione si misura sulle prove che ha superate, e non sull'assenza di prove.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VIII · Appendice undicesima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VIII: 1.749 parole in 9 sezioni; la più ampia è §9 Altre sezioni, con 1.311.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VIII: 34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IX — Appendice dodicesima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DODICESIMA ALLA FASE SETTIMA</w:t>
      </w:r>
    </w:p>
    <w:p>
      <w:pPr>
        <w:pStyle w:val="Heading2"/>
        <w:spacing w:after="100" w:before="200"/>
      </w:pPr>
      <w:r>
        <w:rPr>
          <w:rFonts w:ascii="Barlow Semi Condensed" w:cs="Barlow Semi Condensed" w:eastAsia="Barlow Semi Condensed" w:hAnsi="Barlow Semi Condensed"/>
          <w:sz w:val="24"/>
          <w:szCs w:val="24"/>
        </w:rPr>
        <w:t xml:space="preserve">Lo strumento che esisteva</w:t>
      </w:r>
    </w:p>
    <w:p>
      <w:pPr>
        <w:pStyle w:val="Heading2"/>
        <w:spacing w:after="100" w:before="200"/>
      </w:pPr>
      <w:r>
        <w:rPr>
          <w:rFonts w:ascii="Barlow Semi Condensed" w:cs="Barlow Semi Condensed" w:eastAsia="Barlow Semi Condensed" w:hAnsi="Barlow Semi Condensed"/>
          <w:sz w:val="24"/>
          <w:szCs w:val="24"/>
        </w:rPr>
        <w:t xml:space="preserve">L'apparato dell'Indice generale atti della X legislatura</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dodicesima</w:t>
      </w:r>
    </w:p>
    <w:p>
      <w:pPr>
        <w:spacing w:after="120" w:line="276"/>
        <w:jc w:val="both"/>
      </w:pPr>
      <w:r>
        <w:rPr>
          <w:rFonts w:ascii="Barlow Semi Condensed" w:cs="Barlow Semi Condensed" w:eastAsia="Barlow Semi Condensed" w:hAnsi="Barlow Semi Condensed"/>
          <w:sz w:val="24"/>
          <w:szCs w:val="24"/>
        </w:rPr>
        <w:t xml:space="preserve">La presente è appendice dodicesima alla Fase Settima e opera sull'apparato introduttivo dell'Indice generale degli atti della Commissione parlamentare d'inchiesta della X legislatura: la premessa, il testo della legge istitutiva con le sue modificazioni, l'elenco dei componenti, l'elenco dei collaboratori, il prospetto analitico delle centodue sedute, l'elenco degli auditi in sede formale, e la nota introduttiva che gli estensori intitolano indice degli indici. Come le undici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Essa chiude la giornata, e la chiude con l'errore proprio più grave dei cinque commessi.</w:t>
      </w:r>
    </w:p>
    <w:p>
      <w:pPr>
        <w:pStyle w:val="Heading2"/>
        <w:spacing w:after="100" w:before="200"/>
      </w:pPr>
      <w:r>
        <w:rPr>
          <w:rFonts w:ascii="Barlow Semi Condensed" w:cs="Barlow Semi Condensed" w:eastAsia="Barlow Semi Condensed" w:hAnsi="Barlow Semi Condensed"/>
          <w:sz w:val="24"/>
          <w:szCs w:val="24"/>
        </w:rPr>
        <w:t xml:space="preserve">Parte prima — La regola che era già implementata</w:t>
      </w:r>
    </w:p>
    <w:p>
      <w:pPr>
        <w:spacing w:after="120" w:line="276"/>
        <w:jc w:val="both"/>
      </w:pPr>
      <w:r>
        <w:rPr>
          <w:rFonts w:ascii="Barlow Semi Condensed" w:cs="Barlow Semi Condensed" w:eastAsia="Barlow Semi Condensed" w:hAnsi="Barlow Semi Condensed"/>
          <w:sz w:val="24"/>
          <w:szCs w:val="24"/>
        </w:rPr>
        <w:t xml:space="preserve">La nota introduttiva descrive i criteri con i quali l'archivio informatizzato della Commissione fu ordinato. Uno di essi va riportato quasi alla lettera, poiché è il punto del presente atto.</w:t>
      </w:r>
    </w:p>
    <w:p>
      <w:pPr>
        <w:spacing w:after="120" w:line="276"/>
        <w:jc w:val="both"/>
      </w:pPr>
      <w:r>
        <w:rPr>
          <w:rFonts w:ascii="Barlow Semi Condensed" w:cs="Barlow Semi Condensed" w:eastAsia="Barlow Semi Condensed" w:hAnsi="Barlow Semi Condensed"/>
          <w:sz w:val="24"/>
          <w:szCs w:val="24"/>
        </w:rPr>
        <w:t xml:space="preserve">L'ordine tematico, vi si legge, organizza il materiale documentale tenendo conto non già dell'ente di provenienza dell'atto, ma dell'ente originatore, dell'oggetto dell'atto e spesso anche della sua natura giuridico-formale.</w:t>
      </w:r>
    </w:p>
    <w:p>
      <w:pPr>
        <w:spacing w:after="120" w:line="276"/>
        <w:jc w:val="both"/>
      </w:pPr>
      <w:r>
        <w:rPr>
          <w:rFonts w:ascii="Barlow Semi Condensed" w:cs="Barlow Semi Condensed" w:eastAsia="Barlow Semi Condensed" w:hAnsi="Barlow Semi Condensed"/>
          <w:sz w:val="24"/>
          <w:szCs w:val="24"/>
        </w:rPr>
        <w:t xml:space="preserve">Non già dell'ente di provenienza, ma dell'ente originatore.</w:t>
      </w:r>
    </w:p>
    <w:p>
      <w:pPr>
        <w:spacing w:after="120" w:line="276"/>
        <w:jc w:val="both"/>
      </w:pPr>
      <w:r>
        <w:rPr>
          <w:rFonts w:ascii="Barlow Semi Condensed" w:cs="Barlow Semi Condensed" w:eastAsia="Barlow Semi Condensed" w:hAnsi="Barlow Semi Condensed"/>
          <w:sz w:val="24"/>
          <w:szCs w:val="24"/>
        </w:rPr>
        <w:t xml:space="preserve">È la prima regola della risalita, enunciata dall'appendice seconda nella mattina di oggi come fondamento dell'intera verifica genealogica: soltanto la produzione genera catena, l'acquisizione e l'esposizione non ne generano; chi detiene non attesta. Gli estensori dell'indice l'hanno formulata nel millenovecentonovantadue, in una nota introduttiva, come criterio ordinatore di un archivio ottico, e l'hanno implementata in un sistema di codici.</w:t>
      </w:r>
    </w:p>
    <w:p>
      <w:pPr>
        <w:spacing w:after="120" w:line="276"/>
        <w:jc w:val="both"/>
      </w:pPr>
      <w:r>
        <w:rPr>
          <w:rFonts w:ascii="Barlow Semi Condensed" w:cs="Barlow Semi Condensed" w:eastAsia="Barlow Semi Condensed" w:hAnsi="Barlow Semi Condensed"/>
          <w:sz w:val="24"/>
          <w:szCs w:val="24"/>
        </w:rPr>
        <w:t xml:space="preserve">Si registri l'errore per intero e senza attenuazione. Esso non è un errore di misura, come i quattro anteriori, e non si corregge con una cifra. È un errore di presunzione: si è costruita per dodici appendici una disciplina di risalita senza avere verificato se l'archivio sul quale la si applicava ne possedesse già una. Gli archivisti di un fondo hanno risolto i problemi di quel fondo prima di chi vi arriva dopo, e li hanno risolti avendo il fondo sotto mano.</w:t>
      </w:r>
    </w:p>
    <w:p>
      <w:pPr>
        <w:spacing w:after="120" w:line="276"/>
        <w:jc w:val="both"/>
      </w:pPr>
      <w:r>
        <w:rPr>
          <w:rFonts w:ascii="Barlow Semi Condensed" w:cs="Barlow Semi Condensed" w:eastAsia="Barlow Semi Condensed" w:hAnsi="Barlow Semi Condensed"/>
          <w:sz w:val="24"/>
          <w:szCs w:val="24"/>
        </w:rPr>
        <w:t xml:space="preserve">Si enuncia la regola, ed è la sedicesima e ultima della serie. Prima di costruire uno strumento di reperimento sopra un fondo, si legga l'apparato introduttivo del fondo. Un archivio ordinato reca la propria teoria nella propria nota introduttiva, e quella teoria è stata provata sul materiale che ordina, il che è più di quanto possa dire chiunque la ricostruisca dall'esterno.</w:t>
      </w:r>
    </w:p>
    <w:p>
      <w:pPr>
        <w:spacing w:after="120" w:line="276"/>
        <w:jc w:val="both"/>
      </w:pPr>
      <w:r>
        <w:rPr>
          <w:rFonts w:ascii="Barlow Semi Condensed" w:cs="Barlow Semi Condensed" w:eastAsia="Barlow Semi Condensed" w:hAnsi="Barlow Semi Condensed"/>
          <w:sz w:val="24"/>
          <w:szCs w:val="24"/>
        </w:rPr>
        <w:t xml:space="preserve">Si dichiari, per esattezza e non per attenuazione, che la coincidenza fra la regola enunciata e il criterio ritrovato non toglie valore alla prima. Una regola indipendentemente riscoperta e poi ritrovata nella pratica di chi ordinò il materiale è confermata, non smentita: due derivazioni indipendenti dal medesimo problema hanno prodotto la medesima soluzione. Ciò che è tolto non è la validità della regola, ma il merito della sua scoperta e, soprattutto, il tempo speso a ricostruirla.</w:t>
      </w:r>
    </w:p>
    <w:p>
      <w:pPr>
        <w:pStyle w:val="Heading2"/>
        <w:spacing w:after="100" w:before="200"/>
      </w:pPr>
      <w:r>
        <w:rPr>
          <w:rFonts w:ascii="Barlow Semi Condensed" w:cs="Barlow Semi Condensed" w:eastAsia="Barlow Semi Condensed" w:hAnsi="Barlow Semi Condensed"/>
          <w:sz w:val="24"/>
          <w:szCs w:val="24"/>
        </w:rPr>
        <w:t xml:space="preserve">Parte seconda — L'indirizzo macchina delle cinquanta unità</w:t>
      </w:r>
    </w:p>
    <w:p>
      <w:pPr>
        <w:spacing w:after="120" w:line="276"/>
        <w:jc w:val="both"/>
      </w:pPr>
      <w:r>
        <w:rPr>
          <w:rFonts w:ascii="Barlow Semi Condensed" w:cs="Barlow Semi Condensed" w:eastAsia="Barlow Semi Condensed" w:hAnsi="Barlow Semi Condensed"/>
          <w:sz w:val="24"/>
          <w:szCs w:val="24"/>
        </w:rPr>
        <w:t xml:space="preserve">La nota descrive il codice di accesso all'archivio ottico. Esso consta di una parte fissa, costituita dalla lettera iniziale del nome dell'inchiesta seguita da un trattino, e di una parte variabile che coincide con il numero di classificazione del documento secondo l'indice delle acquisizioni. I documenti di particolare complessità sono ridotti a unità documentarie elementari, e in tal caso la parte variabile diviene la radice cui si connette un'ulteriore progressione numerica, con segnalazione automatica della cascata dei documenti derivati.</w:t>
      </w:r>
    </w:p>
    <w:p>
      <w:pPr>
        <w:spacing w:after="120" w:line="276"/>
        <w:jc w:val="both"/>
      </w:pPr>
      <w:r>
        <w:rPr>
          <w:rFonts w:ascii="Barlow Semi Condensed" w:cs="Barlow Semi Condensed" w:eastAsia="Barlow Semi Condensed" w:hAnsi="Barlow Semi Condensed"/>
          <w:sz w:val="24"/>
          <w:szCs w:val="24"/>
        </w:rPr>
        <w:t xml:space="preserve">Ne segue che ciascuna delle cinquanta unità individuate dalle appendici terza e quarta possiede già un indirizzo formato, ricavabile per composizione dalla lettera dell'inchiesta e dal numero d'ordine che quelle appendici hanno determinato. Il lavoro di designazione compiuto oggi non produce dunque un indirizzo nuovo: ricostruisce, per via indiretta e con tre divergenze accertate, la parte variabile di un indirizzo già esistente.</w:t>
      </w:r>
    </w:p>
    <w:p>
      <w:pPr>
        <w:spacing w:after="120" w:line="276"/>
        <w:jc w:val="both"/>
      </w:pPr>
      <w:r>
        <w:rPr>
          <w:rFonts w:ascii="Barlow Semi Condensed" w:cs="Barlow Semi Condensed" w:eastAsia="Barlow Semi Condensed" w:hAnsi="Barlow Semi Condensed"/>
          <w:sz w:val="24"/>
          <w:szCs w:val="24"/>
        </w:rPr>
        <w:t xml:space="preserve">Ne segue altresì la spiegazione della struttura che le appendici avevano rilevata senza spiegarla. L'unità quattordicesima bis e la serie a tre membri della trentaseiesima non sono irregolarità della numerazione: sono unità documentarie elementari derivate da un documento complesso, e la loro forma è quella che il sistema di codifica prescrive. La cascata che l'appendice quarta ha ricostruito leggendo un indice era generata automaticamente dal programma.</w:t>
      </w:r>
    </w:p>
    <w:p>
      <w:pPr>
        <w:pStyle w:val="Heading2"/>
        <w:spacing w:after="100" w:before="200"/>
      </w:pPr>
      <w:r>
        <w:rPr>
          <w:rFonts w:ascii="Barlow Semi Condensed" w:cs="Barlow Semi Condensed" w:eastAsia="Barlow Semi Condensed" w:hAnsi="Barlow Semi Condensed"/>
          <w:sz w:val="24"/>
          <w:szCs w:val="24"/>
        </w:rPr>
        <w:t xml:space="preserve">Parte terza — Ciò che è pubblicato</w:t>
      </w:r>
    </w:p>
    <w:p>
      <w:pPr>
        <w:spacing w:after="120" w:line="276"/>
        <w:jc w:val="both"/>
      </w:pPr>
      <w:r>
        <w:rPr>
          <w:rFonts w:ascii="Barlow Semi Condensed" w:cs="Barlow Semi Condensed" w:eastAsia="Barlow Semi Condensed" w:hAnsi="Barlow Semi Condensed"/>
          <w:sz w:val="24"/>
          <w:szCs w:val="24"/>
        </w:rPr>
        <w:t xml:space="preserve">La premessa e la nota introduttiva stabiliscono, quanto al regime dei materiali, quattro fatti che riclassificano una parte consistente della tavola.</w:t>
      </w:r>
    </w:p>
    <w:p>
      <w:pPr>
        <w:spacing w:after="120" w:line="276"/>
        <w:jc w:val="both"/>
      </w:pPr>
      <w:r>
        <w:rPr>
          <w:rFonts w:ascii="Barlow Semi Condensed" w:cs="Barlow Semi Condensed" w:eastAsia="Barlow Semi Condensed" w:hAnsi="Barlow Semi Condensed"/>
          <w:sz w:val="24"/>
          <w:szCs w:val="24"/>
        </w:rPr>
        <w:t xml:space="preserve">Primo. Nella seduta conclusiva del quattordici e quindici aprile millenovecentonovantadue la Commissione approvò le relazioni conclusive di quattro inchieste, fra le quali quella sul caso, e deliberò all'unanimità di pubblicare quali allegati alle relazioni finali la totalità dei documenti a ciascuna di esse relativi, dichiarando di volere assicurare la massima trasparenza dell'operato e le più ampie possibilità di ricerca futura.</w:t>
      </w:r>
    </w:p>
    <w:p>
      <w:pPr>
        <w:spacing w:after="120" w:line="276"/>
        <w:jc w:val="both"/>
      </w:pPr>
      <w:r>
        <w:rPr>
          <w:rFonts w:ascii="Barlow Semi Condensed" w:cs="Barlow Semi Condensed" w:eastAsia="Barlow Semi Condensed" w:hAnsi="Barlow Semi Condensed"/>
          <w:sz w:val="24"/>
          <w:szCs w:val="24"/>
        </w:rPr>
        <w:t xml:space="preserve">Secondo. La mole così pubblicata è quantificata dagli estensori in circa trecentocinquantamila pagine per le quattro inchieste, e in prossimità di cinquecentomila comprendendo la documentazione delle inchieste non giunte a relazione conclusiva, la quale non è soggetta a pubblicazione ed è stata versata alla Commissione successiva per disposizione di legge.</w:t>
      </w:r>
    </w:p>
    <w:p>
      <w:pPr>
        <w:spacing w:after="120" w:line="276"/>
        <w:jc w:val="both"/>
      </w:pPr>
      <w:r>
        <w:rPr>
          <w:rFonts w:ascii="Barlow Semi Condensed" w:cs="Barlow Semi Condensed" w:eastAsia="Barlow Semi Condensed" w:hAnsi="Barlow Semi Condensed"/>
          <w:sz w:val="24"/>
          <w:szCs w:val="24"/>
        </w:rPr>
        <w:t xml:space="preserve">Terzo. I resoconti stenografici delle centodue sedute sono integralmente riprodotti a stampa in otto volumi.</w:t>
      </w:r>
    </w:p>
    <w:p>
      <w:pPr>
        <w:spacing w:after="120" w:line="276"/>
        <w:jc w:val="both"/>
      </w:pPr>
      <w:r>
        <w:rPr>
          <w:rFonts w:ascii="Barlow Semi Condensed" w:cs="Barlow Semi Condensed" w:eastAsia="Barlow Semi Condensed" w:hAnsi="Barlow Semi Condensed"/>
          <w:sz w:val="24"/>
          <w:szCs w:val="24"/>
        </w:rPr>
        <w:t xml:space="preserve">Quarto. Fra le pubblicazioni curate dalla Commissione figura, in due volumi reperibili fra gli atti parlamentari della medesima legislatura, la documentazione rinvenuta il nove ottobre millenovecentonovanta nella base milanese.</w:t>
      </w:r>
    </w:p>
    <w:p>
      <w:pPr>
        <w:spacing w:after="120" w:line="276"/>
        <w:jc w:val="both"/>
      </w:pPr>
      <w:r>
        <w:rPr>
          <w:rFonts w:ascii="Barlow Semi Condensed" w:cs="Barlow Semi Condensed" w:eastAsia="Barlow Semi Condensed" w:hAnsi="Barlow Semi Condensed"/>
          <w:sz w:val="24"/>
          <w:szCs w:val="24"/>
        </w:rPr>
        <w:t xml:space="preserve">La conseguenza sulla tavola è la più ampia della giornata e va enunciata senza cautele, poiché i quattro fatti sono dichiarati dagli estensori dell'indice e non inferiti.</w:t>
      </w:r>
    </w:p>
    <w:p>
      <w:pPr>
        <w:spacing w:after="120" w:line="276"/>
        <w:jc w:val="both"/>
      </w:pPr>
      <w:r>
        <w:rPr>
          <w:rFonts w:ascii="Barlow Semi Condensed" w:cs="Barlow Semi Condensed" w:eastAsia="Barlow Semi Condensed" w:hAnsi="Barlow Semi Condensed"/>
          <w:sz w:val="24"/>
          <w:szCs w:val="24"/>
        </w:rPr>
        <w:t xml:space="preserve">Lo Stato Zero dichiarato dall'appendice terza sui ventisette processi verbali non posseduti si chiude quanto alla natura: essi non sono materiale d'archivio da domandare, sono pagine di otto volumi a stampa. Il loro non possesso è mancata consultazione e non mancato accesso.</w:t>
      </w:r>
    </w:p>
    <w:p>
      <w:pPr>
        <w:spacing w:after="120" w:line="276"/>
        <w:jc w:val="both"/>
      </w:pPr>
      <w:r>
        <w:rPr>
          <w:rFonts w:ascii="Barlow Semi Condensed" w:cs="Barlow Semi Condensed" w:eastAsia="Barlow Semi Condensed" w:hAnsi="Barlow Semi Condensed"/>
          <w:sz w:val="24"/>
          <w:szCs w:val="24"/>
        </w:rPr>
        <w:t xml:space="preserve">La Voce prima, che l'appendice terza aveva fatta passare dalle voci che domandano un accesso a quelle che domandano un reperimento, compie il secondo passaggio e diventa consultazione: il materiale del secondo rinvenimento è in due volumi pubblicati.</w:t>
      </w:r>
    </w:p>
    <w:p>
      <w:pPr>
        <w:spacing w:after="120" w:line="276"/>
        <w:jc w:val="both"/>
      </w:pPr>
      <w:r>
        <w:rPr>
          <w:rFonts w:ascii="Barlow Semi Condensed" w:cs="Barlow Semi Condensed" w:eastAsia="Barlow Semi Condensed" w:hAnsi="Barlow Semi Condensed"/>
          <w:sz w:val="24"/>
          <w:szCs w:val="24"/>
        </w:rPr>
        <w:t xml:space="preserve">Le voci della tavola che domandano unità del fascicolo del caso sono, per la totalità, voci di consultazione e non di accesso, poiché la totalità dei documenti relativi all'inchiesta conclusa fu pubblicata per deliberazione unanime.</w:t>
      </w:r>
    </w:p>
    <w:p>
      <w:pPr>
        <w:spacing w:after="120" w:line="276"/>
        <w:jc w:val="both"/>
      </w:pPr>
      <w:r>
        <w:rPr>
          <w:rFonts w:ascii="Barlow Semi Condensed" w:cs="Barlow Semi Condensed" w:eastAsia="Barlow Semi Condensed" w:hAnsi="Barlow Semi Condensed"/>
          <w:sz w:val="24"/>
          <w:szCs w:val="24"/>
        </w:rPr>
        <w:t xml:space="preserve">Si dichiari il limite di questa riclassificazione, ed è uno solo ma va detto. Essa riguarda i documenti relativi alle quattro inchieste concluse. Non riguarda la documentazione delle inchieste non giunte a relazione, non soggetta a pubblicazione e versata alla Commissione successiva; e non riguarda ciò che, entro le inchieste concluse, fosse stato sottratto alla pubblicazione da provvedimenti particolari. Le appendici anteriori hanno registrato per il fascicolo del caso quattordici unità con indicazione di riservatezza alla data dell'acquisizione e una con indicazione di non divulgabilità: la loro sorte nella deliberazione di pubblicazione non è dichiarata dalle fonti qui impiegate.</w:t>
      </w:r>
    </w:p>
    <w:p>
      <w:pPr>
        <w:pStyle w:val="Heading2"/>
        <w:spacing w:after="100" w:before="200"/>
      </w:pPr>
      <w:r>
        <w:rPr>
          <w:rFonts w:ascii="Barlow Semi Condensed" w:cs="Barlow Semi Condensed" w:eastAsia="Barlow Semi Condensed" w:hAnsi="Barlow Semi Condensed"/>
          <w:sz w:val="24"/>
          <w:szCs w:val="24"/>
        </w:rPr>
        <w:t xml:space="preserve">Parte quarta — Un'asimmetria fra le quattro inchieste</w:t>
      </w:r>
    </w:p>
    <w:p>
      <w:pPr>
        <w:spacing w:after="120" w:line="276"/>
        <w:jc w:val="both"/>
      </w:pPr>
      <w:r>
        <w:rPr>
          <w:rFonts w:ascii="Barlow Semi Condensed" w:cs="Barlow Semi Condensed" w:eastAsia="Barlow Semi Condensed" w:hAnsi="Barlow Semi Condensed"/>
          <w:sz w:val="24"/>
          <w:szCs w:val="24"/>
        </w:rPr>
        <w:t xml:space="preserve">La nota introduttiva descrive, alla lettera che riguarda gli indici analitici, uno strumento che merita registrazione perché non è universale.</w:t>
      </w:r>
    </w:p>
    <w:p>
      <w:pPr>
        <w:spacing w:after="120" w:line="276"/>
        <w:jc w:val="both"/>
      </w:pPr>
      <w:r>
        <w:rPr>
          <w:rFonts w:ascii="Barlow Semi Condensed" w:cs="Barlow Semi Condensed" w:eastAsia="Barlow Semi Condensed" w:hAnsi="Barlow Semi Condensed"/>
          <w:sz w:val="24"/>
          <w:szCs w:val="24"/>
        </w:rPr>
        <w:t xml:space="preserve">Per le inchieste sul disastro aereo, sull'organizzazione clandestina e sul caso di un apparato informativo e di un piano degli anni sessanta, ogni deposizione resa in sede formale è stata classificata per argomenti con indicazione di volume e pagina, in modo da consentire la ricerca per parole chiave e per combinazioni di esse, e da ottenere indici completi delle questioni affrontate in ciascuna audizione.</w:t>
      </w:r>
    </w:p>
    <w:p>
      <w:pPr>
        <w:spacing w:after="120" w:line="276"/>
        <w:jc w:val="both"/>
      </w:pPr>
      <w:r>
        <w:rPr>
          <w:rFonts w:ascii="Barlow Semi Condensed" w:cs="Barlow Semi Condensed" w:eastAsia="Barlow Semi Condensed" w:hAnsi="Barlow Semi Condensed"/>
          <w:sz w:val="24"/>
          <w:szCs w:val="24"/>
        </w:rPr>
        <w:t xml:space="preserve">Per l'inchiesta sul caso, no. L'indice analitico per argomenti delle deposizioni non è compreso fra quelli pubblicati.</w:t>
      </w:r>
    </w:p>
    <w:p>
      <w:pPr>
        <w:spacing w:after="120" w:line="276"/>
        <w:jc w:val="both"/>
      </w:pPr>
      <w:r>
        <w:rPr>
          <w:rFonts w:ascii="Barlow Semi Condensed" w:cs="Barlow Semi Condensed" w:eastAsia="Barlow Semi Condensed" w:hAnsi="Barlow Semi Condensed"/>
          <w:sz w:val="24"/>
          <w:szCs w:val="24"/>
        </w:rPr>
        <w:t xml:space="preserve">Si registra l'asimmetria come dato e non se ne trae inferenza. Le sue cause possibili sono almeno tre — l'ampiezza relativa dei corpora, il tempo disponibile alla vigilia dello scioglimento, la circostanza che sul caso esistesse già una Commissione anteriore dedicata — e nessuna delle tre è stabilita dalle fonti qui impiegate. Si registra però la conseguenza operativa, che è certa: per il caso, la ricerca nelle deposizioni non dispone dello strumento di cui dispongono le altre tre inchieste, e va condotta sui volumi.</w:t>
      </w:r>
    </w:p>
    <w:p>
      <w:pPr>
        <w:spacing w:after="120" w:line="276"/>
        <w:jc w:val="both"/>
      </w:pPr>
      <w:r>
        <w:rPr>
          <w:rFonts w:ascii="Barlow Semi Condensed" w:cs="Barlow Semi Condensed" w:eastAsia="Barlow Semi Condensed" w:hAnsi="Barlow Semi Condensed"/>
          <w:sz w:val="24"/>
          <w:szCs w:val="24"/>
        </w:rPr>
        <w:t xml:space="preserve">Si registra altresì una precisazione che gli estensori appongono e che vale per tutti gli indici analitici: i passaggi svolti in regime di seduta segreta non vi sono compresi. Un indice che non comprenda i passaggi segreti non segnala la propria incompletezza in alcun punto del testo indicizzato, e chi lo interroghi non sa quanto gli manchi. È la medesima figura che l'appendice nona ha rilevata nel fondo estero sotto forma di espunzione di estensione non dichiarata, e la si ritrova qui, in un archivio che per il resto dichiara i propri criteri con precisione notevole.</w:t>
      </w:r>
    </w:p>
    <w:p>
      <w:pPr>
        <w:pStyle w:val="Heading2"/>
        <w:spacing w:after="100" w:before="200"/>
      </w:pPr>
      <w:r>
        <w:rPr>
          <w:rFonts w:ascii="Barlow Semi Condensed" w:cs="Barlow Semi Condensed" w:eastAsia="Barlow Semi Condensed" w:hAnsi="Barlow Semi Condensed"/>
          <w:sz w:val="24"/>
          <w:szCs w:val="24"/>
        </w:rPr>
        <w:t xml:space="preserve">Parte quinta — La legge, e il suo allargamento</w:t>
      </w:r>
    </w:p>
    <w:p>
      <w:pPr>
        <w:spacing w:after="120" w:line="276"/>
        <w:jc w:val="both"/>
      </w:pPr>
      <w:r>
        <w:rPr>
          <w:rFonts w:ascii="Barlow Semi Condensed" w:cs="Barlow Semi Condensed" w:eastAsia="Barlow Semi Condensed" w:hAnsi="Barlow Semi Condensed"/>
          <w:sz w:val="24"/>
          <w:szCs w:val="24"/>
        </w:rPr>
        <w:t xml:space="preserve">Il volume riproduce il testo della legge istitutiva del diciassette maggio millenovecentottantotto, numero 172, con le modificazioni introdotte da tre leggi successive, del gennaio millenovecentonovanta, del giugno millenovecentonovantuno e del dicembre millenovecentonovantuno.</w:t>
      </w:r>
    </w:p>
    <w:p>
      <w:pPr>
        <w:spacing w:after="120" w:line="276"/>
        <w:jc w:val="both"/>
      </w:pPr>
      <w:r>
        <w:rPr>
          <w:rFonts w:ascii="Barlow Semi Condensed" w:cs="Barlow Semi Condensed" w:eastAsia="Barlow Semi Condensed" w:hAnsi="Barlow Semi Condensed"/>
          <w:sz w:val="24"/>
          <w:szCs w:val="24"/>
        </w:rPr>
        <w:t xml:space="preserve">Due disposizioni vanno registrate.</w:t>
      </w:r>
    </w:p>
    <w:p>
      <w:pPr>
        <w:spacing w:after="120" w:line="276"/>
        <w:jc w:val="both"/>
      </w:pPr>
      <w:r>
        <w:rPr>
          <w:rFonts w:ascii="Barlow Semi Condensed" w:cs="Barlow Semi Condensed" w:eastAsia="Barlow Semi Condensed" w:hAnsi="Barlow Semi Condensed"/>
          <w:sz w:val="24"/>
          <w:szCs w:val="24"/>
        </w:rPr>
        <w:t xml:space="preserve">La prima. L'articolo primo assegna alla Commissione, fra i propri oggetti, l'accertamento dei nuovi elementi che possano integrare le conoscenze acquisite dalla Commissione parlamentare d'inchiesta sulla strage di via Fani e sull'assassinio di Aldo Moro, istituita con legge del ventitré novembre millenovecentosettantanove numero 597. L'inchiesta sul caso non è dunque un filone che la Commissione si diede: è un mandato che la legge le assegnò, e lo assegnò in forma di integrazione di un accertamento anteriore. Ne segue che le due Commissioni sono, per disposizione di legge, in rapporto di continuazione e non di sovrapposizione, e che le loro risultanze vanno lette in quella sequenza.</w:t>
      </w:r>
    </w:p>
    <w:p>
      <w:pPr>
        <w:spacing w:after="120" w:line="276"/>
        <w:jc w:val="both"/>
      </w:pPr>
      <w:r>
        <w:rPr>
          <w:rFonts w:ascii="Barlow Semi Condensed" w:cs="Barlow Semi Condensed" w:eastAsia="Barlow Semi Condensed" w:hAnsi="Barlow Semi Condensed"/>
          <w:sz w:val="24"/>
          <w:szCs w:val="24"/>
        </w:rPr>
        <w:t xml:space="preserve">La seconda, e di rilievo maggiore per il corpus maggiore che per l'opera. Una nota agli atti dichiara che la legge del giugno millenovecentonovantuno soppresse, alla lettera relativa alle ragioni che impedirono l'individuazione dei responsabili delle stragi, le parole a partire dal 1969, e aggiunse per intero una lettera nuova, avente per oggetto le attività connesse a fatti di strage o a fenomeni eversivi dell'ordinamento costituzionale e le relative responsabilità riconducibili ad apparati, strutture e organizzazioni comunque denominati, o a persone ad essi appartenenti o appartenute.</w:t>
      </w:r>
    </w:p>
    <w:p>
      <w:pPr>
        <w:spacing w:after="120" w:line="276"/>
        <w:jc w:val="both"/>
      </w:pPr>
      <w:r>
        <w:rPr>
          <w:rFonts w:ascii="Barlow Semi Condensed" w:cs="Barlow Semi Condensed" w:eastAsia="Barlow Semi Condensed" w:hAnsi="Barlow Semi Condensed"/>
          <w:sz w:val="24"/>
          <w:szCs w:val="24"/>
        </w:rPr>
        <w:t xml:space="preserve">Sono due allargamenti simultanei e di natura diversa. Il primo è temporale e rimuove per via legislativa il termine iniziale del millenovecentosessantanove. Il secondo è materiale e introduce come oggetto d'inchiesta la riconducibilità dei fatti ad apparati e strutture comunque denominati.</w:t>
      </w:r>
    </w:p>
    <w:p>
      <w:pPr>
        <w:spacing w:after="120" w:line="276"/>
        <w:jc w:val="both"/>
      </w:pPr>
      <w:r>
        <w:rPr>
          <w:rFonts w:ascii="Barlow Semi Condensed" w:cs="Barlow Semi Condensed" w:eastAsia="Barlow Semi Condensed" w:hAnsi="Barlow Semi Condensed"/>
          <w:sz w:val="24"/>
          <w:szCs w:val="24"/>
        </w:rPr>
        <w:t xml:space="preserve">Si registra il dato e non se ne trae alcuna inferenza sulle ragioni della modificazione, che le fonti qui impiegate non recano. Si registra però che un mandato d'inchiesta parlamentare fu esteso per legge, a lavori avviati, tanto all'indietro nel tempo quanto verso l'imputabilità ad apparati; e che ciò avvenne nel giugno millenovecentonovantuno, cioè nel periodo nel quale il fascicolo del caso ricevette, secondo le appendici anteriori, la maggior parte delle proprie acquisizioni.</w:t>
      </w:r>
    </w:p>
    <w:p>
      <w:pPr>
        <w:pStyle w:val="Heading2"/>
        <w:spacing w:after="100" w:before="200"/>
      </w:pPr>
      <w:r>
        <w:rPr>
          <w:rFonts w:ascii="Barlow Semi Condensed" w:cs="Barlow Semi Condensed" w:eastAsia="Barlow Semi Condensed" w:hAnsi="Barlow Semi Condensed"/>
          <w:sz w:val="24"/>
          <w:szCs w:val="24"/>
        </w:rPr>
        <w:t xml:space="preserve">Parte sesta — Gli elenchi delle persone, e come vadano letti</w:t>
      </w:r>
    </w:p>
    <w:p>
      <w:pPr>
        <w:spacing w:after="120" w:line="276"/>
        <w:jc w:val="both"/>
      </w:pPr>
      <w:r>
        <w:rPr>
          <w:rFonts w:ascii="Barlow Semi Condensed" w:cs="Barlow Semi Condensed" w:eastAsia="Barlow Semi Condensed" w:hAnsi="Barlow Semi Condensed"/>
          <w:sz w:val="24"/>
          <w:szCs w:val="24"/>
        </w:rPr>
        <w:t xml:space="preserve">Il volume reca l'elenco dei quaranta componenti con l'indicazione del gruppo di appartenenza e, per i sostituiti, la data di cessazione e quella di ingresso; e l'elenco dei collaboratori dei quali la Commissione si avvalse, con la qualifica di ciascuno e la data di inizio o di cessazione del rapporto.</w:t>
      </w:r>
    </w:p>
    <w:p>
      <w:pPr>
        <w:spacing w:after="120" w:line="276"/>
        <w:jc w:val="both"/>
      </w:pPr>
      <w:r>
        <w:rPr>
          <w:rFonts w:ascii="Barlow Semi Condensed" w:cs="Barlow Semi Condensed" w:eastAsia="Barlow Semi Condensed" w:hAnsi="Barlow Semi Condensed"/>
          <w:sz w:val="24"/>
          <w:szCs w:val="24"/>
        </w:rPr>
        <w:t xml:space="preserve">Si registra il valore di questi due elenchi ai fini della designazione, e si registra insieme la sola disciplina con la quale vadano letti.</w:t>
      </w:r>
    </w:p>
    <w:p>
      <w:pPr>
        <w:spacing w:after="120" w:line="276"/>
        <w:jc w:val="both"/>
      </w:pPr>
      <w:r>
        <w:rPr>
          <w:rFonts w:ascii="Barlow Semi Condensed" w:cs="Barlow Semi Condensed" w:eastAsia="Barlow Semi Condensed" w:hAnsi="Barlow Semi Condensed"/>
          <w:sz w:val="24"/>
          <w:szCs w:val="24"/>
        </w:rPr>
        <w:t xml:space="preserve">Il valore è alto. Un elenco di componenti con le date consente di stabilire chi fosse in carica quando una deliberazione fu presa, e dunque di designare l'organo di un atto per la propria composizione effettiva anziché per la propria denominazione. Un elenco di collaboratori con le date consente di stabilire chi avesse quale funzione in quale periodo, e dunque di attribuire un elaborato al proprio autore per estremi anziché per congettura.</w:t>
      </w:r>
    </w:p>
    <w:p>
      <w:pPr>
        <w:spacing w:after="120" w:line="276"/>
        <w:jc w:val="both"/>
      </w:pPr>
      <w:r>
        <w:rPr>
          <w:rFonts w:ascii="Barlow Semi Condensed" w:cs="Barlow Semi Condensed" w:eastAsia="Barlow Semi Condensed" w:hAnsi="Barlow Semi Condensed"/>
          <w:sz w:val="24"/>
          <w:szCs w:val="24"/>
        </w:rPr>
        <w:t xml:space="preserve">La disciplina è quella che l'opera osserva ovunque e che qui va ribadita, poiché il materiale invita a violarla. Un elenco di collaboratori è un elenco di funzioni pubbliche esercitate legittimamente, non un elenco di posizioni. L'elenco reca, con le rispettive date, persone che in altre fasi della vicenda ebbero funzioni inquirenti o giudicanti sui medesimi fatti; la circostanza è di pubblico dominio, è documentata dall'elenco medesimo, ed è ordinaria in un ordinamento nel quale gli organi d'inchiesta si avvalgono di magistrati e di ufficiali. Il presente atto non ne trae, e vieta a sé stesso di trarne, alcuna valutazione. Chi volesse impiegare quegli elenchi altrimenti impiegherebbe uno strumento di designazione come un indizio, ed è precisamente l'errore che l'appendice quinta ha censito nella forma della collocazione scambiata per evidenza.</w:t>
      </w:r>
    </w:p>
    <w:p>
      <w:pPr>
        <w:pStyle w:val="Heading2"/>
        <w:spacing w:after="100" w:before="200"/>
      </w:pPr>
      <w:r>
        <w:rPr>
          <w:rFonts w:ascii="Barlow Semi Condensed" w:cs="Barlow Semi Condensed" w:eastAsia="Barlow Semi Condensed" w:hAnsi="Barlow Semi Condensed"/>
          <w:sz w:val="24"/>
          <w:szCs w:val="24"/>
        </w:rPr>
        <w:t xml:space="preserve">Parte settima — Mutazioni di stato e Stati Zero</w:t>
      </w:r>
    </w:p>
    <w:p>
      <w:pPr>
        <w:spacing w:after="120" w:line="276"/>
        <w:jc w:val="both"/>
      </w:pPr>
      <w:r>
        <w:rPr>
          <w:rFonts w:ascii="Barlow Semi Condensed" w:cs="Barlow Semi Condensed" w:eastAsia="Barlow Semi Condensed" w:hAnsi="Barlow Semi Condensed"/>
          <w:sz w:val="24"/>
          <w:szCs w:val="24"/>
        </w:rPr>
        <w:t xml:space="preserve">Si registra la riclassificazione della tavola esposta alla Parte terza, che è la mutazione più ampia della giornata. Si enuncia la sedicesima regola della risalita.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residui, e sono cinque.</w:t>
      </w:r>
    </w:p>
    <w:p>
      <w:pPr>
        <w:spacing w:after="120" w:line="276"/>
        <w:jc w:val="both"/>
      </w:pPr>
      <w:r>
        <w:rPr>
          <w:rFonts w:ascii="Barlow Semi Condensed" w:cs="Barlow Semi Condensed" w:eastAsia="Barlow Semi Condensed" w:hAnsi="Barlow Semi Condensed"/>
          <w:sz w:val="24"/>
          <w:szCs w:val="24"/>
        </w:rPr>
        <w:t xml:space="preserve">Primo. La sorte, nella deliberazione di pubblicazione, delle unità del fascicolo che recavano indicazione di riservatezza o di non divulgabilità alla data dell'acquisizione non è dichiarata.</w:t>
      </w:r>
    </w:p>
    <w:p>
      <w:pPr>
        <w:spacing w:after="120" w:line="276"/>
        <w:jc w:val="both"/>
      </w:pPr>
      <w:r>
        <w:rPr>
          <w:rFonts w:ascii="Barlow Semi Condensed" w:cs="Barlow Semi Condensed" w:eastAsia="Barlow Semi Condensed" w:hAnsi="Barlow Semi Condensed"/>
          <w:sz w:val="24"/>
          <w:szCs w:val="24"/>
        </w:rPr>
        <w:t xml:space="preserve">Secondo. L'indice analitico per argomenti delle deposizioni sul caso non esiste fra quelli pubblicati, e la ricerca nelle deposizioni va condotta sui volumi.</w:t>
      </w:r>
    </w:p>
    <w:p>
      <w:pPr>
        <w:spacing w:after="120" w:line="276"/>
        <w:jc w:val="both"/>
      </w:pPr>
      <w:r>
        <w:rPr>
          <w:rFonts w:ascii="Barlow Semi Condensed" w:cs="Barlow Semi Condensed" w:eastAsia="Barlow Semi Condensed" w:hAnsi="Barlow Semi Condensed"/>
          <w:sz w:val="24"/>
          <w:szCs w:val="24"/>
        </w:rPr>
        <w:t xml:space="preserve">Terzo. I passaggi svolti in regime di seduta segreta non sono compresi in alcuno degli indici analitici, e la loro estensione non è dichiarata.</w:t>
      </w:r>
    </w:p>
    <w:p>
      <w:pPr>
        <w:spacing w:after="120" w:line="276"/>
        <w:jc w:val="both"/>
      </w:pPr>
      <w:r>
        <w:rPr>
          <w:rFonts w:ascii="Barlow Semi Condensed" w:cs="Barlow Semi Condensed" w:eastAsia="Barlow Semi Condensed" w:hAnsi="Barlow Semi Condensed"/>
          <w:sz w:val="24"/>
          <w:szCs w:val="24"/>
        </w:rPr>
        <w:t xml:space="preserve">Quarto. Il prospetto analitico delle centodue sedute e l'elenco degli auditi in sede formale sono posseduti e non sono stati collazionati con le ventisette sedute mancanti, operazione che consentirebbe di stabilire l'oggetto di ciascuna di esse. È eseguibile sul posseduto e non è stata compiuta.</w:t>
      </w:r>
    </w:p>
    <w:p>
      <w:pPr>
        <w:spacing w:after="120" w:line="276"/>
        <w:jc w:val="both"/>
      </w:pPr>
      <w:r>
        <w:rPr>
          <w:rFonts w:ascii="Barlow Semi Condensed" w:cs="Barlow Semi Condensed" w:eastAsia="Barlow Semi Condensed" w:hAnsi="Barlow Semi Condensed"/>
          <w:sz w:val="24"/>
          <w:szCs w:val="24"/>
        </w:rPr>
        <w:t xml:space="preserve">Quinto. Le tre divergenze accertate dall'appendice quinta restano non risolte, e la presente unità non le risolve; essa consente però di prevedere che la loro risoluzione si trovi nel codice della banca-immagini, poiché a un documento corrisponde un codice e a un codice un documento.</w:t>
      </w:r>
    </w:p>
    <w:p>
      <w:pPr>
        <w:spacing w:after="120" w:line="276"/>
        <w:jc w:val="both"/>
      </w:pPr>
      <w:r>
        <w:rPr>
          <w:rFonts w:ascii="Barlow Semi Condensed" w:cs="Barlow Semi Condensed" w:eastAsia="Barlow Semi Condensed" w:hAnsi="Barlow Semi Condensed"/>
          <w:sz w:val="24"/>
          <w:szCs w:val="24"/>
        </w:rPr>
        <w:t xml:space="preserve">Voce quarantaseiesima — La collazione del prospetto delle sedute. Oggetto: l'oggetto sommario di ciascuna delle ventisette sedute i cui processi verbali non sono posseduti, ricavato dal prospetto analitico; e l'individuazione, fra gli auditi in sede formale, di quelli le cui deposizioni riguardano il caso. Sede: l'apparato dell'Indice generale, posseduto. Chiusura: compilazione dei due elenchi. Smentita: non ricorre. Si segnala che la voce è interamente eseguibile sul posseduto e che il suo costo è di lettura.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decima e ultima del giorno sul medesimo cantiere. Cantiere: designazione per atto delle fonti. Materia: l'apparato introduttivo dell'Indice generale degli atti della X legislatura.</w:t>
      </w:r>
    </w:p>
    <w:p>
      <w:pPr>
        <w:spacing w:after="120" w:line="276"/>
        <w:jc w:val="both"/>
      </w:pPr>
      <w:r>
        <w:rPr>
          <w:rFonts w:ascii="Barlow Semi Condensed" w:cs="Barlow Semi Condensed" w:eastAsia="Barlow Semi Condensed" w:hAnsi="Barlow Semi Condensed"/>
          <w:sz w:val="24"/>
          <w:szCs w:val="24"/>
        </w:rPr>
        <w:t xml:space="preserve">Esito positivo: accertamento che il criterio ordinatore dell'archivio informatizzato è l'ente originatore e non l'ente di provenienza; individuazione del sistema di codici della banca-immagini e della sua struttura a cascata per unità documentarie elementari, con spiegazione della forma delle unità derivate rilevate dalle appendici anteriori; accertamento della deliberazione unanime di pubblicazione della totalità dei documenti relativi alle quattro inchieste concluse, quantificati in circa trecentocinquantamila pagine, e della riproduzione a stampa in otto volumi dei resoconti delle centodue sedute; accertamento della pubblicazione in due volumi della documentazione del secondo rinvenimento; riclassificazione conseguente delle voci della tavola relative al fascicolo del caso, da accesso a consultazione; rilevazione dell'asimmetria per la quale l'indice analitico per argomenti delle deposizioni esiste per tre inchieste e non per la quarta; registrazione della modificazione legislativa del giugno millenovecentonovantuno, che soppresse il termine iniziale del millenovecentosessantanove e aggiunse l'oggetto della riconducibilità ad apparati; enunciazione della sedicesima regola della risalita; una voce nuova iscritta in tavola.</w:t>
      </w:r>
    </w:p>
    <w:p>
      <w:pPr>
        <w:spacing w:after="120" w:line="276"/>
        <w:jc w:val="both"/>
      </w:pPr>
      <w:r>
        <w:rPr>
          <w:rFonts w:ascii="Barlow Semi Condensed" w:cs="Barlow Semi Condensed" w:eastAsia="Barlow Semi Condensed" w:hAnsi="Barlow Semi Condensed"/>
          <w:sz w:val="24"/>
          <w:szCs w:val="24"/>
        </w:rPr>
        <w:t xml:space="preserve">Esito negativo: la sorte delle unità riservate nella deliberazione di pubblicazione non è dichiarata; l'indice analitico delle deposizioni sul caso non esiste; l'estensione dei passaggi segreti esclusi dagli indici non è dichiarata; la collazione del prospetto delle sedute non è compiuta; le tre divergenze restano non risolte.</w:t>
      </w:r>
    </w:p>
    <w:p>
      <w:pPr>
        <w:spacing w:after="120" w:line="276"/>
        <w:jc w:val="both"/>
      </w:pPr>
      <w:r>
        <w:rPr>
          <w:rFonts w:ascii="Barlow Semi Condensed" w:cs="Barlow Semi Condensed" w:eastAsia="Barlow Semi Condensed" w:hAnsi="Barlow Semi Condensed"/>
          <w:sz w:val="24"/>
          <w:szCs w:val="24"/>
        </w:rPr>
        <w:t xml:space="preserve">Riga di errore proprio, quinta e più grave della giornata. Si è costruita per dodici appendici una disciplina di risalita fondata sulla distinzione fra chi produce un atto e chi lo detiene, senza avere letto la nota introduttiva dell'archivio sul quale la si applicava; e quella nota dichiara la medesima distinzione come proprio criterio ordinatore, formulata nel millenovecentonovantadue e implementata in un sistema di codici. Non è un errore di misura e non si corregge con una cifra: è un errore di presunzione. Si registra che esso è, dei cinque della giornata, l'unico che nessuna regola tratta dai precedenti avrebbe impedito, poiché tutte prescrivevano di interrogare meglio il posseduto e nessuna prescriveva di leggerne la prefazione.</w:t>
      </w:r>
    </w:p>
    <w:p>
      <w:pPr>
        <w:spacing w:after="120" w:line="276"/>
        <w:jc w:val="both"/>
      </w:pPr>
      <w:r>
        <w:rPr>
          <w:rFonts w:ascii="Barlow Semi Condensed" w:cs="Barlow Semi Condensed" w:eastAsia="Barlow Semi Condensed" w:hAnsi="Barlow Semi Condensed"/>
          <w:sz w:val="24"/>
          <w:szCs w:val="24"/>
        </w:rPr>
        <w:t xml:space="preserve">Riga di avvertenza. Il presente atto non riferisce il contenuto di alcun documento indicizzato. Gli elenchi di persone che esso registra sono strumenti di designazione di atti e di funzioni pubbliche esercitate legittimamente, e non consentono alcuna inferenza di altra natura; il divieto è enunciato in forma espressa alla Parte sesta e vale per l'intero atto.</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DODICESIMA ALLA FASE SETTIMA, lo strumento che esisteva,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Un archivio ordinato reca la propria teoria nella propria nota introduttiva, e quella teoria è stata provata sul materiale che ordina.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IX · Appendice dodicesima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IX: 2.641 parole in 9 sezioni; la più ampia è §9 Altre sezioni, con 2.205.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IX: 50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X — Appendice tredicesima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TREDICESIMA ALLA FASE SETTIMA</w:t>
      </w:r>
    </w:p>
    <w:p>
      <w:pPr>
        <w:pStyle w:val="Heading2"/>
        <w:spacing w:after="100" w:before="200"/>
      </w:pPr>
      <w:r>
        <w:rPr>
          <w:rFonts w:ascii="Barlow Semi Condensed" w:cs="Barlow Semi Condensed" w:eastAsia="Barlow Semi Condensed" w:hAnsi="Barlow Semi Condensed"/>
          <w:sz w:val="24"/>
          <w:szCs w:val="24"/>
        </w:rPr>
        <w:t xml:space="preserve">Una sola testimonianza formale</w:t>
      </w:r>
    </w:p>
    <w:p>
      <w:pPr>
        <w:pStyle w:val="Heading2"/>
        <w:spacing w:after="100" w:before="200"/>
      </w:pPr>
      <w:r>
        <w:rPr>
          <w:rFonts w:ascii="Barlow Semi Condensed" w:cs="Barlow Semi Condensed" w:eastAsia="Barlow Semi Condensed" w:hAnsi="Barlow Semi Condensed"/>
          <w:sz w:val="24"/>
          <w:szCs w:val="24"/>
        </w:rPr>
        <w:t xml:space="preserve">Esecuzione della Voce quarantaseiesima</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tredicesima</w:t>
      </w:r>
    </w:p>
    <w:p>
      <w:pPr>
        <w:spacing w:after="120" w:line="276"/>
        <w:jc w:val="both"/>
      </w:pPr>
      <w:r>
        <w:rPr>
          <w:rFonts w:ascii="Barlow Semi Condensed" w:cs="Barlow Semi Condensed" w:eastAsia="Barlow Semi Condensed" w:hAnsi="Barlow Semi Condensed"/>
          <w:sz w:val="24"/>
          <w:szCs w:val="24"/>
        </w:rPr>
        <w:t xml:space="preserve">La presente è appendice tredicesima alla Fase Settima ed esegue la Voce quarantaseiesima, iscritta dall'appendice dodicesima, la quale prescrive di ricavare dal prospetto analitico delle sedute l'oggetto delle ventisette sedute i cui processi verbali non sono posseduti, e di individuare fra gli auditi in sede formale quelli le cui deposizioni riguardino il caso. Come le dodici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L'esecuzione produce due risultati, dei quali il secondo non era previsto e corregge l'appendice dodicesima in un punto che essa aveva dichiarato di non sapere spiegare.</w:t>
      </w:r>
    </w:p>
    <w:p>
      <w:pPr>
        <w:pStyle w:val="Heading2"/>
        <w:spacing w:after="100" w:before="200"/>
      </w:pPr>
      <w:r>
        <w:rPr>
          <w:rFonts w:ascii="Barlow Semi Condensed" w:cs="Barlow Semi Condensed" w:eastAsia="Barlow Semi Condensed" w:hAnsi="Barlow Semi Condensed"/>
          <w:sz w:val="24"/>
          <w:szCs w:val="24"/>
        </w:rPr>
        <w:t xml:space="preserve">Parte prima — Il difetto dello strumento, e la risoluzione posizionale</w:t>
      </w:r>
    </w:p>
    <w:p>
      <w:pPr>
        <w:spacing w:after="120" w:line="276"/>
        <w:jc w:val="both"/>
      </w:pPr>
      <w:r>
        <w:rPr>
          <w:rFonts w:ascii="Barlow Semi Condensed" w:cs="Barlow Semi Condensed" w:eastAsia="Barlow Semi Condensed" w:hAnsi="Barlow Semi Condensed"/>
          <w:sz w:val="24"/>
          <w:szCs w:val="24"/>
        </w:rPr>
        <w:t xml:space="preserve">Si dichiara anzitutto un difetto della fonte impiegata, poiché senza la sua correzione l'intera collazione sarebbe stata falsa e falsa in modo plausibile, che è la specie peggiore.</w:t>
      </w:r>
    </w:p>
    <w:p>
      <w:pPr>
        <w:spacing w:after="120" w:line="276"/>
        <w:jc w:val="both"/>
      </w:pPr>
      <w:r>
        <w:rPr>
          <w:rFonts w:ascii="Barlow Semi Condensed" w:cs="Barlow Semi Condensed" w:eastAsia="Barlow Semi Condensed" w:hAnsi="Barlow Semi Condensed"/>
          <w:sz w:val="24"/>
          <w:szCs w:val="24"/>
        </w:rPr>
        <w:t xml:space="preserve">Il prospetto è posseduto in trascrizione automatica, e il riconoscimento ottico ha reso l'indicatore ordinale che segue il numero di seduta come una cifra ulteriore. La prima seduta compare pertanto come diciottesima, la seconda come ventiquattresima, la terza come trentaduesima, la quarta come quarantaquattresima, la quinta come cinquantaquattresima. La deformazione non è costante e dipende dalla forma che l'indicatore assume nella stampa.</w:t>
      </w:r>
    </w:p>
    <w:p>
      <w:pPr>
        <w:spacing w:after="120" w:line="276"/>
        <w:jc w:val="both"/>
      </w:pPr>
      <w:r>
        <w:rPr>
          <w:rFonts w:ascii="Barlow Semi Condensed" w:cs="Barlow Semi Condensed" w:eastAsia="Barlow Semi Condensed" w:hAnsi="Barlow Semi Condensed"/>
          <w:sz w:val="24"/>
          <w:szCs w:val="24"/>
        </w:rPr>
        <w:t xml:space="preserve">La prima lettura, condotta sui numeri così risultanti, ha prodotto una collazione interamente errata, nella quale a sedute mancanti erano attribuiti oggetti appartenenti ad altre sedute. L'errore non era rilevabile dall'interno: i numeri erano plausibili, le date erano plausibili, e gli oggetti erano oggetti reali di sedute reali. È stato rilevato leggendo le prime cinque voci e constatando che la prima seduta di una Commissione non può essere la diciottesima.</w:t>
      </w:r>
    </w:p>
    <w:p>
      <w:pPr>
        <w:spacing w:after="120" w:line="276"/>
        <w:jc w:val="both"/>
      </w:pPr>
      <w:r>
        <w:rPr>
          <w:rFonts w:ascii="Barlow Semi Condensed" w:cs="Barlow Semi Condensed" w:eastAsia="Barlow Semi Condensed" w:hAnsi="Barlow Semi Condensed"/>
          <w:sz w:val="24"/>
          <w:szCs w:val="24"/>
        </w:rPr>
        <w:t xml:space="preserve">La risoluzione adottata è posizionale e non numerica. Il prospetto è cronologico; si sono pertanto estratte le date nell'ordine in cui compaiono e si è assunto che l'ennesima voce corrisponda all'ennesima seduta. La risoluzione è verificata su cinque ancoraggi indipendenti costituiti da processi verbali posseduti, dei quali si conoscono numero e data: la quarta voce reca la data del ventitré novembre millenovecentottantotto, che è quella del quarto processo verbale posseduto, e le altre quattro collimano del pari.</w:t>
      </w:r>
    </w:p>
    <w:p>
      <w:pPr>
        <w:spacing w:after="120" w:line="276"/>
        <w:jc w:val="both"/>
      </w:pPr>
      <w:r>
        <w:rPr>
          <w:rFonts w:ascii="Barlow Semi Condensed" w:cs="Barlow Semi Condensed" w:eastAsia="Barlow Semi Condensed" w:hAnsi="Barlow Semi Condensed"/>
          <w:sz w:val="24"/>
          <w:szCs w:val="24"/>
        </w:rPr>
        <w:t xml:space="preserve">Si dichiara che la risoluzione è un'inferenza dell'opera e non un dato del documento, ed è falsificabile con un esemplare a stampa correttamente impaginato. È la seconda volta nella giornata che una convenzione di numerazione va risolta per inferenza e verificata su ancoraggi, e le due risoluzioni riguardano due strumenti diversi del medesimo fondo.</w:t>
      </w:r>
    </w:p>
    <w:p>
      <w:pPr>
        <w:spacing w:after="120" w:line="276"/>
        <w:jc w:val="both"/>
      </w:pPr>
      <w:r>
        <w:rPr>
          <w:rFonts w:ascii="Barlow Semi Condensed" w:cs="Barlow Semi Condensed" w:eastAsia="Barlow Semi Condensed" w:hAnsi="Barlow Semi Condensed"/>
          <w:sz w:val="24"/>
          <w:szCs w:val="24"/>
        </w:rPr>
        <w:t xml:space="preserve">Si registra altresì che il prospetto posseduto si arresta alla settantasettesima seduta, del quindici novembre millenovecentonovantuno. Le sedute dalla settantottesima alla centoduesima non vi sono comprese.</w:t>
      </w:r>
    </w:p>
    <w:p>
      <w:pPr>
        <w:pStyle w:val="Heading2"/>
        <w:spacing w:after="100" w:before="200"/>
      </w:pPr>
      <w:r>
        <w:rPr>
          <w:rFonts w:ascii="Barlow Semi Condensed" w:cs="Barlow Semi Condensed" w:eastAsia="Barlow Semi Condensed" w:hAnsi="Barlow Semi Condensed"/>
          <w:sz w:val="24"/>
          <w:szCs w:val="24"/>
        </w:rPr>
        <w:t xml:space="preserve">Parte seconda — L'oggetto delle sedute non possedute</w:t>
      </w:r>
    </w:p>
    <w:p>
      <w:pPr>
        <w:spacing w:after="120" w:line="276"/>
        <w:jc w:val="both"/>
      </w:pPr>
      <w:r>
        <w:rPr>
          <w:rFonts w:ascii="Barlow Semi Condensed" w:cs="Barlow Semi Condensed" w:eastAsia="Barlow Semi Condensed" w:hAnsi="Barlow Semi Condensed"/>
          <w:sz w:val="24"/>
          <w:szCs w:val="24"/>
        </w:rPr>
        <w:t xml:space="preserve">Delle ventisette sedute i cui processi verbali non sono posseduti, venticinque cadono entro la copertura del prospetto e il loro oggetto è determinato. Due — l'ottantaseiesima e la novantatreesima — cadono oltre e restano ignote.</w:t>
      </w:r>
    </w:p>
    <w:p>
      <w:pPr>
        <w:spacing w:after="120" w:line="276"/>
        <w:jc w:val="both"/>
      </w:pPr>
      <w:r>
        <w:rPr>
          <w:rFonts w:ascii="Barlow Semi Condensed" w:cs="Barlow Semi Condensed" w:eastAsia="Barlow Semi Condensed" w:hAnsi="Barlow Semi Condensed"/>
          <w:sz w:val="24"/>
          <w:szCs w:val="24"/>
        </w:rPr>
        <w:t xml:space="preserve">Si espone la ripartizione delle venticinque per materia, poiché è il dato che la voce domandava.</w:t>
      </w:r>
    </w:p>
    <w:p>
      <w:pPr>
        <w:spacing w:after="120" w:line="276"/>
        <w:jc w:val="both"/>
      </w:pPr>
      <w:r>
        <w:rPr>
          <w:rFonts w:ascii="Barlow Semi Condensed" w:cs="Barlow Semi Condensed" w:eastAsia="Barlow Semi Condensed" w:hAnsi="Barlow Semi Condensed"/>
          <w:sz w:val="24"/>
          <w:szCs w:val="24"/>
        </w:rPr>
        <w:t xml:space="preserve">Quattordici concernono l'inchiesta sul disastro aereo, in forma di testimonianze formali di ufficiali generali e di dirigenti, di audizioni di ministri e di parlamentari, di discussione della relazione del Presidente.</w:t>
      </w:r>
    </w:p>
    <w:p>
      <w:pPr>
        <w:spacing w:after="120" w:line="276"/>
        <w:jc w:val="both"/>
      </w:pPr>
      <w:r>
        <w:rPr>
          <w:rFonts w:ascii="Barlow Semi Condensed" w:cs="Barlow Semi Condensed" w:eastAsia="Barlow Semi Condensed" w:hAnsi="Barlow Semi Condensed"/>
          <w:sz w:val="24"/>
          <w:szCs w:val="24"/>
        </w:rPr>
        <w:t xml:space="preserve">Sei concernono l'inchiesta sull'organizzazione clandestina, in forma di testimonianze formali di ufficiali generali e di discussione del documento predisposto dal Presidente.</w:t>
      </w:r>
    </w:p>
    <w:p>
      <w:pPr>
        <w:spacing w:after="120" w:line="276"/>
        <w:jc w:val="both"/>
      </w:pPr>
      <w:r>
        <w:rPr>
          <w:rFonts w:ascii="Barlow Semi Condensed" w:cs="Barlow Semi Condensed" w:eastAsia="Barlow Semi Condensed" w:hAnsi="Barlow Semi Condensed"/>
          <w:sz w:val="24"/>
          <w:szCs w:val="24"/>
        </w:rPr>
        <w:t xml:space="preserve">Una concerne l'inchiesta su un apparato informativo e su un piano degli anni sessanta.</w:t>
      </w:r>
    </w:p>
    <w:p>
      <w:pPr>
        <w:spacing w:after="120" w:line="276"/>
        <w:jc w:val="both"/>
      </w:pPr>
      <w:r>
        <w:rPr>
          <w:rFonts w:ascii="Barlow Semi Condensed" w:cs="Barlow Semi Condensed" w:eastAsia="Barlow Semi Condensed" w:hAnsi="Barlow Semi Condensed"/>
          <w:sz w:val="24"/>
          <w:szCs w:val="24"/>
        </w:rPr>
        <w:t xml:space="preserve">Quattro concernono materie interne: elezione dell'ufficio di presidenza, discussione e approvazione e successive modifiche del regolamento interno, esame del programma d'inchiesta, comunicazioni del Presidente e ordine dei lavori.</w:t>
      </w:r>
    </w:p>
    <w:p>
      <w:pPr>
        <w:spacing w:after="120" w:line="276"/>
        <w:jc w:val="both"/>
      </w:pPr>
      <w:r>
        <w:rPr>
          <w:rFonts w:ascii="Barlow Semi Condensed" w:cs="Barlow Semi Condensed" w:eastAsia="Barlow Semi Condensed" w:hAnsi="Barlow Semi Condensed"/>
          <w:sz w:val="24"/>
          <w:szCs w:val="24"/>
        </w:rPr>
        <w:t xml:space="preserve">Nessuna delle venticinque concerne il caso.</w:t>
      </w:r>
    </w:p>
    <w:p>
      <w:pPr>
        <w:spacing w:after="120" w:line="276"/>
        <w:jc w:val="both"/>
      </w:pPr>
      <w:r>
        <w:rPr>
          <w:rFonts w:ascii="Barlow Semi Condensed" w:cs="Barlow Semi Condensed" w:eastAsia="Barlow Semi Condensed" w:hAnsi="Barlow Semi Condensed"/>
          <w:sz w:val="24"/>
          <w:szCs w:val="24"/>
        </w:rPr>
        <w:t xml:space="preserve">Il risultato va enunciato per ciò che significa. La lacuna del corpus posseduto, che l'appendice terza aveva dichiarata come Stato Zero su ventisette processi verbali e che l'appendice dodicesima aveva riqualificata come mancata consultazione di volumi a stampa, si rivela per venticinque ventisettesimi irrilevante ai fini dell'opera. Ciò che manca non riguarda la materia. Restano ignote due sedute su centodue.</w:t>
      </w:r>
    </w:p>
    <w:p>
      <w:pPr>
        <w:spacing w:after="120" w:line="276"/>
        <w:jc w:val="both"/>
      </w:pPr>
      <w:r>
        <w:rPr>
          <w:rFonts w:ascii="Barlow Semi Condensed" w:cs="Barlow Semi Condensed" w:eastAsia="Barlow Semi Condensed" w:hAnsi="Barlow Semi Condensed"/>
          <w:sz w:val="24"/>
          <w:szCs w:val="24"/>
        </w:rPr>
        <w:t xml:space="preserve">Si registra un secondo effetto della collazione, che non era il suo oggetto e che vale più del primo. La distribuzione delle sedute mancanti per materia è prossima alla distribuzione delle sedute della Commissione per materia: mancano soprattutto sedute sull'inchiesta più voluminosa, e mancano nella proporzione nella quale essa pesa. Il corpus posseduto non è dunque un sottoinsieme selezionato contro il caso, e le lacune non hanno struttura. È un controllo contro la distorsione di selezione, e non era stato compiuto: le dodici appendici anteriori hanno lavorato su un corpus del quale non era accertato che fosse imparziale rispetto al proprio oggetto. Ora lo è, entro il limite di questa verifica.</w:t>
      </w:r>
    </w:p>
    <w:p>
      <w:pPr>
        <w:pStyle w:val="Heading2"/>
        <w:spacing w:after="100" w:before="200"/>
      </w:pPr>
      <w:r>
        <w:rPr>
          <w:rFonts w:ascii="Barlow Semi Condensed" w:cs="Barlow Semi Condensed" w:eastAsia="Barlow Semi Condensed" w:hAnsi="Barlow Semi Condensed"/>
          <w:sz w:val="24"/>
          <w:szCs w:val="24"/>
        </w:rPr>
        <w:t xml:space="preserve">Parte terza — Una sola testimonianza formale</w:t>
      </w:r>
    </w:p>
    <w:p>
      <w:pPr>
        <w:spacing w:after="120" w:line="276"/>
        <w:jc w:val="both"/>
      </w:pPr>
      <w:r>
        <w:rPr>
          <w:rFonts w:ascii="Barlow Semi Condensed" w:cs="Barlow Semi Condensed" w:eastAsia="Barlow Semi Condensed" w:hAnsi="Barlow Semi Condensed"/>
          <w:sz w:val="24"/>
          <w:szCs w:val="24"/>
        </w:rPr>
        <w:t xml:space="preserve">L'elenco degli auditi in sede formale è ordinato in tre modi, alfabetico, cronologico e tematico. L'ordine tematico raggruppa le deposizioni per inchiesta.</w:t>
      </w:r>
    </w:p>
    <w:p>
      <w:pPr>
        <w:spacing w:after="120" w:line="276"/>
        <w:jc w:val="both"/>
      </w:pPr>
      <w:r>
        <w:rPr>
          <w:rFonts w:ascii="Barlow Semi Condensed" w:cs="Barlow Semi Condensed" w:eastAsia="Barlow Semi Condensed" w:hAnsi="Barlow Semi Condensed"/>
          <w:sz w:val="24"/>
          <w:szCs w:val="24"/>
        </w:rPr>
        <w:t xml:space="preserve">Sotto l'intitolazione del caso figura una sola voce. È una testimonianza formale del diciassette ottobre millenovecentonovanta, resa alla sessantaduesima seduta dal capo della polizia in carica.</w:t>
      </w:r>
    </w:p>
    <w:p>
      <w:pPr>
        <w:spacing w:after="120" w:line="276"/>
        <w:jc w:val="both"/>
      </w:pPr>
      <w:r>
        <w:rPr>
          <w:rFonts w:ascii="Barlow Semi Condensed" w:cs="Barlow Semi Condensed" w:eastAsia="Barlow Semi Condensed" w:hAnsi="Barlow Semi Condensed"/>
          <w:sz w:val="24"/>
          <w:szCs w:val="24"/>
        </w:rPr>
        <w:t xml:space="preserve">Una, su centodue sedute e su quattro anni di lavori.</w:t>
      </w:r>
    </w:p>
    <w:p>
      <w:pPr>
        <w:spacing w:after="120" w:line="276"/>
        <w:jc w:val="both"/>
      </w:pPr>
      <w:r>
        <w:rPr>
          <w:rFonts w:ascii="Barlow Semi Condensed" w:cs="Barlow Semi Condensed" w:eastAsia="Barlow Semi Condensed" w:hAnsi="Barlow Semi Condensed"/>
          <w:sz w:val="24"/>
          <w:szCs w:val="24"/>
        </w:rPr>
        <w:t xml:space="preserve">Si dichiari la procedura con la quale il dato è stato ricavato, poiché la trascrizione presenta le colonne dislocate: le date, i numeri di seduta, la qualificazione della deposizione e i nominativi compaiono in quattro blocchi separati anziché in righe. Si è ricostruita la corrispondenza per posizione, e la ricostruzione è verificata su un riscontro indipendente: l'unità quindicesima del fascicolo del caso, individuata dall'appendice quarta, reca i documenti consegnati dal capo della polizia nel corso della testimonianza formale del diciassette ottobre millenovecentonovanta. La data, la qualità dell'audito e la natura dell'atto collimano, e la sessantaduesima seduta è quella che l'appendice terza aveva già individuata come seduta del diciassette ottobre millenovecentonovanta. La ricostruzione posizionale è pertanto confermata da tre elementi indipendenti dall'elenco.</w:t>
      </w:r>
    </w:p>
    <w:p>
      <w:pPr>
        <w:spacing w:after="120" w:line="276"/>
        <w:jc w:val="both"/>
      </w:pPr>
      <w:r>
        <w:rPr>
          <w:rFonts w:ascii="Barlow Semi Condensed" w:cs="Barlow Semi Condensed" w:eastAsia="Barlow Semi Condensed" w:hAnsi="Barlow Semi Condensed"/>
          <w:sz w:val="24"/>
          <w:szCs w:val="24"/>
        </w:rPr>
        <w:t xml:space="preserve">Si accosti la cifra a quelle delle altre inchieste rilevabili dal medesimo ordine tematico: oltre cento deposizioni per l'inchiesta sul disastro aereo, ventisei per quella sull'organizzazione clandestina, dodici per quella sull'apparato informativo, diciannove per quella su un sequestro del millenovecentottantuno. E una per il caso.</w:t>
      </w:r>
    </w:p>
    <w:p>
      <w:pPr>
        <w:pStyle w:val="Heading2"/>
        <w:spacing w:after="100" w:before="200"/>
      </w:pPr>
      <w:r>
        <w:rPr>
          <w:rFonts w:ascii="Barlow Semi Condensed" w:cs="Barlow Semi Condensed" w:eastAsia="Barlow Semi Condensed" w:hAnsi="Barlow Semi Condensed"/>
          <w:sz w:val="24"/>
          <w:szCs w:val="24"/>
        </w:rPr>
        <w:t xml:space="preserve">Parte quarta — La correzione dell'appendice dodicesima</w:t>
      </w:r>
    </w:p>
    <w:p>
      <w:pPr>
        <w:spacing w:after="120" w:line="276"/>
        <w:jc w:val="both"/>
      </w:pPr>
      <w:r>
        <w:rPr>
          <w:rFonts w:ascii="Barlow Semi Condensed" w:cs="Barlow Semi Condensed" w:eastAsia="Barlow Semi Condensed" w:hAnsi="Barlow Semi Condensed"/>
          <w:sz w:val="24"/>
          <w:szCs w:val="24"/>
        </w:rPr>
        <w:t xml:space="preserve">L'appendice dodicesima ha rilevato che l'indice analitico per argomenti delle deposizioni fu pubblicato per tre inchieste e non per quella sul caso, ha qualificato l'asimmetria come dato, e ha enunciato tre cause possibili dichiarando di non discriminare fra esse: l'ampiezza relativa dei corpora, il tempo disponibile alla vigilia dello scioglimento, l'esistenza di una Commissione anteriore dedicata.</w:t>
      </w:r>
    </w:p>
    <w:p>
      <w:pPr>
        <w:spacing w:after="120" w:line="276"/>
        <w:jc w:val="both"/>
      </w:pPr>
      <w:r>
        <w:rPr>
          <w:rFonts w:ascii="Barlow Semi Condensed" w:cs="Barlow Semi Condensed" w:eastAsia="Barlow Semi Condensed" w:hAnsi="Barlow Semi Condensed"/>
          <w:sz w:val="24"/>
          <w:szCs w:val="24"/>
        </w:rPr>
        <w:t xml:space="preserve">La causa è una quarta, e più semplice di tutte e tre. Un indice analitico per argomenti delle deposizioni non fu pubblicato per il caso perché le deposizioni formali sul caso erano una.</w:t>
      </w:r>
    </w:p>
    <w:p>
      <w:pPr>
        <w:spacing w:after="120" w:line="276"/>
        <w:jc w:val="both"/>
      </w:pPr>
      <w:r>
        <w:rPr>
          <w:rFonts w:ascii="Barlow Semi Condensed" w:cs="Barlow Semi Condensed" w:eastAsia="Barlow Semi Condensed" w:hAnsi="Barlow Semi Condensed"/>
          <w:sz w:val="24"/>
          <w:szCs w:val="24"/>
        </w:rPr>
        <w:t xml:space="preserve">Si registra la correzione a proprio sfavore, e se ne trae la regola che vale per l'intera giornata. Quando si rileva un'assenza e se ne enumerano le cause possibili, si verifichi prima di tutto se l'oggetto assente esistesse. Le tre cause enunciate presupponevano tutte un corpus di deposizioni da indicizzare, e nessuna delle tre poteva essere vera in mancanza di quel corpus. Si è cercata la spiegazione della mancanza di un indice senza avere contato ciò che l'indice avrebbe dovuto indicizzare.</w:t>
      </w:r>
    </w:p>
    <w:p>
      <w:pPr>
        <w:spacing w:after="120" w:line="276"/>
        <w:jc w:val="both"/>
      </w:pPr>
      <w:r>
        <w:rPr>
          <w:rFonts w:ascii="Barlow Semi Condensed" w:cs="Barlow Semi Condensed" w:eastAsia="Barlow Semi Condensed" w:hAnsi="Barlow Semi Condensed"/>
          <w:sz w:val="24"/>
          <w:szCs w:val="24"/>
        </w:rPr>
        <w:t xml:space="preserve">Si osservi che l'errore appartiene alla medesima specie del quinto: non un errore di misura, ma l'avere costruito un ragionamento sopra un presupposto non verificato che una sola lettura avrebbe verificato.</w:t>
      </w:r>
    </w:p>
    <w:p>
      <w:pPr>
        <w:pStyle w:val="Heading2"/>
        <w:spacing w:after="100" w:before="200"/>
      </w:pPr>
      <w:r>
        <w:rPr>
          <w:rFonts w:ascii="Barlow Semi Condensed" w:cs="Barlow Semi Condensed" w:eastAsia="Barlow Semi Condensed" w:hAnsi="Barlow Semi Condensed"/>
          <w:sz w:val="24"/>
          <w:szCs w:val="24"/>
        </w:rPr>
        <w:t xml:space="preserve">Parte quinta — Dove si trova il lavoro sul caso</w:t>
      </w:r>
    </w:p>
    <w:p>
      <w:pPr>
        <w:spacing w:after="120" w:line="276"/>
        <w:jc w:val="both"/>
      </w:pPr>
      <w:r>
        <w:rPr>
          <w:rFonts w:ascii="Barlow Semi Condensed" w:cs="Barlow Semi Condensed" w:eastAsia="Barlow Semi Condensed" w:hAnsi="Barlow Semi Condensed"/>
          <w:sz w:val="24"/>
          <w:szCs w:val="24"/>
        </w:rPr>
        <w:t xml:space="preserve">Se le deposizioni formali sul caso furono una, la questione diviene dove si trovi il resto del lavoro, poiché il fascicolo reca cinquanta unità acquisite e la Commissione approvò sul caso una relazione conclusiva.</w:t>
      </w:r>
    </w:p>
    <w:p>
      <w:pPr>
        <w:spacing w:after="120" w:line="276"/>
        <w:jc w:val="both"/>
      </w:pPr>
      <w:r>
        <w:rPr>
          <w:rFonts w:ascii="Barlow Semi Condensed" w:cs="Barlow Semi Condensed" w:eastAsia="Barlow Semi Condensed" w:hAnsi="Barlow Semi Condensed"/>
          <w:sz w:val="24"/>
          <w:szCs w:val="24"/>
        </w:rPr>
        <w:t xml:space="preserve">Le fonti possedute lo dicono, e in tre luoghi concordanti. L'indice degli indici descrive, come proprio gruppo distinto, l'indice in ordine alfabetico e tematico dei testi ascoltati in sede informale dai gruppi di lavoro delegati dalla Commissione a svolgere particolari accertamenti, e dichiara che alcuni dei relativi resoconti sono riversati sul sistema informatico e consultabili nelle banche-immagini delle singole inchieste. L'unità trentatreesima del fascicolo reca osservazioni consegnate nel corso di un incontro con il gruppo di lavoro sul caso. L'unità trentaduesima reca una memoria consegnata alla Commissione da un componente che aveva condotto ricerca propria.</w:t>
      </w:r>
    </w:p>
    <w:p>
      <w:pPr>
        <w:spacing w:after="120" w:line="276"/>
        <w:jc w:val="both"/>
      </w:pPr>
      <w:r>
        <w:rPr>
          <w:rFonts w:ascii="Barlow Semi Condensed" w:cs="Barlow Semi Condensed" w:eastAsia="Barlow Semi Condensed" w:hAnsi="Barlow Semi Condensed"/>
          <w:sz w:val="24"/>
          <w:szCs w:val="24"/>
        </w:rPr>
        <w:t xml:space="preserve">Ne segue che l'inchiesta sul caso, nella X legislatura, fu condotta in prevalenza in sede informale, per gruppi di lavoro, e che i suoi atti orali si trovano nei resoconti di quei gruppi e non nei volumi dei resoconti stenografici delle sedute. Chi cercasse le deposizioni sul caso negli otto volumi a stampa ne troverebbe una.</w:t>
      </w:r>
    </w:p>
    <w:p>
      <w:pPr>
        <w:spacing w:after="120" w:line="276"/>
        <w:jc w:val="both"/>
      </w:pPr>
      <w:r>
        <w:rPr>
          <w:rFonts w:ascii="Barlow Semi Condensed" w:cs="Barlow Semi Condensed" w:eastAsia="Barlow Semi Condensed" w:hAnsi="Barlow Semi Condensed"/>
          <w:sz w:val="24"/>
          <w:szCs w:val="24"/>
        </w:rPr>
        <w:t xml:space="preserve">Si registra la conseguenza sulla disciplina delle fonti. Un resoconto di audizione informale dinanzi a un gruppo di lavoro non ha il regime di una testimonianza formale: non è reso con le forme e con le sanzioni che l'articolo secondo della legge istitutiva richiama, e il suo valore probatorio è quello di una dichiarazione raccolta e non di una testimonianza assunta. Ove l'opera venga a impiegarne, dovrà graduarli in conseguenza, e non potrà graduarli per la sede.</w:t>
      </w:r>
    </w:p>
    <w:p>
      <w:pPr>
        <w:spacing w:after="120" w:line="276"/>
        <w:jc w:val="both"/>
      </w:pPr>
      <w:r>
        <w:rPr>
          <w:rFonts w:ascii="Barlow Semi Condensed" w:cs="Barlow Semi Condensed" w:eastAsia="Barlow Semi Condensed" w:hAnsi="Barlow Semi Condensed"/>
          <w:sz w:val="24"/>
          <w:szCs w:val="24"/>
        </w:rPr>
        <w:t xml:space="preserve">Voce quarantasettesima — I resoconti dei gruppi di lavoro sul caso. Oggetto: l'indice in ordine alfabetico e tematico dei testi ascoltati in sede informale dai gruppi di lavoro, limitatamente al caso; e i resoconti medesimi, per la parte riversata nella banca-immagini. Sede: l'Indice generale degli atti della X legislatura, e la banca-immagini dell'inchiesta, il cui codice ha per parte fissa la lettera dell'inchiesta. Chiusura: individuazione dei testi ascoltati e reperimento dei resoconti. Smentita: la constatazione che i resoconti delle audizioni informali non siano stati redatti o non siano stati riversati, nel qual caso l'attività del gruppo di lavoro sarebbe documentata dai soli atti acquisiti e la voce si chiuderebbe con Stato Zero.</w:t>
      </w:r>
    </w:p>
    <w:p>
      <w:pPr>
        <w:pStyle w:val="Heading2"/>
        <w:spacing w:after="100" w:before="200"/>
      </w:pPr>
      <w:r>
        <w:rPr>
          <w:rFonts w:ascii="Barlow Semi Condensed" w:cs="Barlow Semi Condensed" w:eastAsia="Barlow Semi Condensed" w:hAnsi="Barlow Semi Condensed"/>
          <w:sz w:val="24"/>
          <w:szCs w:val="24"/>
        </w:rPr>
        <w:t xml:space="preserve">Parte sesta — Mutazioni di stato e Stati Zero</w:t>
      </w:r>
    </w:p>
    <w:p>
      <w:pPr>
        <w:spacing w:after="120" w:line="276"/>
        <w:jc w:val="both"/>
      </w:pPr>
      <w:r>
        <w:rPr>
          <w:rFonts w:ascii="Barlow Semi Condensed" w:cs="Barlow Semi Condensed" w:eastAsia="Barlow Semi Condensed" w:hAnsi="Barlow Semi Condensed"/>
          <w:sz w:val="24"/>
          <w:szCs w:val="24"/>
        </w:rPr>
        <w:t xml:space="preserve">La Voce quarantaseiesima si chiude per venticinque sedute su ventisette e per l'individuazione delle deposizioni formali sul caso. Si iscrive la Voce quarantasettesima. Si registra la correzione dell'appendice dodicesima quanto alla causa dell'asimmetria.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Primo: l'oggetto della ottantaseiesima e della novantatreesima seduta resta ignoto, poiché il prospetto posseduto si arresta alla settantasettesima. Secondo: la copertura del prospetto per le sedute dalla settantottesima alla centoduesima non è posseduta, ed è la parte del prospetto che comprende il periodo nel quale il fascicolo del caso ricevette le proprie ultime acquisizioni. Terzo: i resoconti dei gruppi di lavoro non sono posseduti né individuati. Quarto: la risoluzione posizionale delle due convenzioni di numerazione resta inferenza dell'opera e non è stata verificata su esemplare a stampa.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undicesima del giorno sul medesimo cantiere. Cantiere: designazione per atto delle fonti. Materia: il prospetto analitico delle sedute e l'elenco degli auditi in sede formale della X legislatura.</w:t>
      </w:r>
    </w:p>
    <w:p>
      <w:pPr>
        <w:spacing w:after="120" w:line="276"/>
        <w:jc w:val="both"/>
      </w:pPr>
      <w:r>
        <w:rPr>
          <w:rFonts w:ascii="Barlow Semi Condensed" w:cs="Barlow Semi Condensed" w:eastAsia="Barlow Semi Condensed" w:hAnsi="Barlow Semi Condensed"/>
          <w:sz w:val="24"/>
          <w:szCs w:val="24"/>
        </w:rPr>
        <w:t xml:space="preserve">Esito positivo: determinazione dell'oggetto di venticinque delle ventisette sedute non possedute, con accertamento che nessuna di esse concerne il caso; controllo contro la distorsione di selezione, con accertamento che le lacune del corpus posseduto sono distribuite in proporzione al peso delle inchieste e non hanno struttura; accertamento che le deposizioni formali sul caso nella X legislatura furono una sola, resa alla sessantaduesima seduta del diciassette ottobre millenovecentonovanta, con verifica su tre elementi indipendenti; correzione dell'appendice dodicesima quanto alla causa dell'asimmetria degli indici analitici; individuazione della sede nella quale si trova il lavoro sul caso, che è quella dei gruppi di lavoro in sede informale, con la conseguente disciplina di grado; una voce nuova iscritta in tavola.</w:t>
      </w:r>
    </w:p>
    <w:p>
      <w:pPr>
        <w:spacing w:after="120" w:line="276"/>
        <w:jc w:val="both"/>
      </w:pPr>
      <w:r>
        <w:rPr>
          <w:rFonts w:ascii="Barlow Semi Condensed" w:cs="Barlow Semi Condensed" w:eastAsia="Barlow Semi Condensed" w:hAnsi="Barlow Semi Condensed"/>
          <w:sz w:val="24"/>
          <w:szCs w:val="24"/>
        </w:rPr>
        <w:t xml:space="preserve">Esito negativo: due sedute su centodue restano ignote quanto all'oggetto; la parte del prospetto relativa alle ultime venticinque sedute non è posseduta; i resoconti dei gruppi di lavoro non sono individuati.</w:t>
      </w:r>
    </w:p>
    <w:p>
      <w:pPr>
        <w:spacing w:after="120" w:line="276"/>
        <w:jc w:val="both"/>
      </w:pPr>
      <w:r>
        <w:rPr>
          <w:rFonts w:ascii="Barlow Semi Condensed" w:cs="Barlow Semi Condensed" w:eastAsia="Barlow Semi Condensed" w:hAnsi="Barlow Semi Condensed"/>
          <w:sz w:val="24"/>
          <w:szCs w:val="24"/>
        </w:rPr>
        <w:t xml:space="preserve">Riga di errore proprio, sesta della giornata, rilevata prima della pubblicazione. La trascrizione automatica del prospetto ha reso l'indicatore ordinale come cifra, e la prima lettura ha prodotto una collazione interamente errata nella quale a sedute mancanti erano attribuiti oggetti di altre sedute. L'errore non era rilevabile dall'interno, poiché numeri, date e oggetti erano tutti reali; è stato rilevato constatando che la prima seduta di una Commissione non può essere la diciottesima. Si registra che il controllo che lo ha scoperto è il più elementare disponibile, ed è la lettura della prima riga.</w:t>
      </w:r>
    </w:p>
    <w:p>
      <w:pPr>
        <w:spacing w:after="120" w:line="276"/>
        <w:jc w:val="both"/>
      </w:pPr>
      <w:r>
        <w:rPr>
          <w:rFonts w:ascii="Barlow Semi Condensed" w:cs="Barlow Semi Condensed" w:eastAsia="Barlow Semi Condensed" w:hAnsi="Barlow Semi Condensed"/>
          <w:sz w:val="24"/>
          <w:szCs w:val="24"/>
        </w:rPr>
        <w:t xml:space="preserve">Riga di errore proprio, settima della giornata. L'appendice dodicesima ha enumerato tre cause possibili di un'assenza senza avere contato ciò che l'assenza riguardava. Le tre cause presupponevano tutte l'esistenza di un corpus da indicizzare, e quel corpus consta di un elemento. Regola che se ne trae: quando si rileva un'assenza e se ne enumerano le cause, si verifichi prima di tutto se l'oggetto assente esistesse.</w:t>
      </w:r>
    </w:p>
    <w:p>
      <w:pPr>
        <w:spacing w:after="120" w:line="276"/>
        <w:jc w:val="both"/>
      </w:pPr>
      <w:r>
        <w:rPr>
          <w:rFonts w:ascii="Barlow Semi Condensed" w:cs="Barlow Semi Condensed" w:eastAsia="Barlow Semi Condensed" w:hAnsi="Barlow Semi Condensed"/>
          <w:sz w:val="24"/>
          <w:szCs w:val="24"/>
        </w:rPr>
        <w:t xml:space="preserve">Riga di avvertenza. Il presente atto non riferisce il contenuto di alcuna deposizione, di alcuna seduta e di alcun resoconto. La persona che rese la sola testimonianza formale sul caso è designata per la funzione che esercitava, la quale basta a identificare l'atto. La rilevazione del numero delle deposizioni per inchiesta è una misura dell'attività dell'organo e non un giudizio su di essa, e in particolare non implica alcuna valutazione sulla diligenza con la quale l'inchiesta fu condotta, che le presenti fonti non consentono di formulare.</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TREDICESIMA ALLA FASE SETTIMA, una sola testimonianza formale,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Quando si rileva un'assenza e se ne enumerano le cause, si verifichi prima di tutto se l'oggetto assente esistesse.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X · Appendice tredicesima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 2.085 parole in 9 sezioni; la più ampia è §9 Altre sezioni, con 1.676.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 39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XI — Appendice quattordicesima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Appendice alla Fase settima, acquisita il 27 agosto 2026. Prodotta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al Libro nono,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La serie è stata acquisita in due invii e qui si chiude: </w:t>
      </w:r>
      <w:r>
        <w:rPr>
          <w:rFonts w:ascii="Barlow Semi Condensed" w:cs="Barlow Semi Condensed" w:eastAsia="Barlow Semi Condensed" w:hAnsi="Barlow Semi Condensed"/>
          <w:b/>
          <w:bCs/>
          <w:i w:val="false"/>
          <w:iCs w:val="false"/>
          <w:sz w:val="24"/>
          <w:szCs w:val="24"/>
        </w:rPr>
        <w:t xml:space="preserve">dalla quinta alla quindicesima</w:t>
      </w:r>
      <w:r>
        <w:rPr>
          <w:rFonts w:ascii="Barlow Semi Condensed" w:cs="Barlow Semi Condensed" w:eastAsia="Barlow Semi Condensed" w:hAnsi="Barlow Semi Condensed"/>
          <w:i w:val="false"/>
          <w:iCs w:val="false"/>
          <w:sz w:val="24"/>
          <w:szCs w:val="24"/>
        </w:rPr>
        <w:t xml:space="preserve">. La quindicesima resta in radice, dove era stata collocata prima che la serie fosse completa.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QUATTORDICESIMA ALLA FASE SETTIMA</w:t>
      </w:r>
    </w:p>
    <w:p>
      <w:pPr>
        <w:pStyle w:val="Heading2"/>
        <w:spacing w:after="100" w:before="200"/>
      </w:pPr>
      <w:r>
        <w:rPr>
          <w:rFonts w:ascii="Barlow Semi Condensed" w:cs="Barlow Semi Condensed" w:eastAsia="Barlow Semi Condensed" w:hAnsi="Barlow Semi Condensed"/>
          <w:sz w:val="24"/>
          <w:szCs w:val="24"/>
        </w:rPr>
        <w:t xml:space="preserve">La classe di comparazione che non c'è</w:t>
      </w:r>
    </w:p>
    <w:p>
      <w:pPr>
        <w:pStyle w:val="Heading2"/>
        <w:spacing w:after="100" w:before="200"/>
      </w:pPr>
      <w:r>
        <w:rPr>
          <w:rFonts w:ascii="Barlow Semi Condensed" w:cs="Barlow Semi Condensed" w:eastAsia="Barlow Semi Condensed" w:hAnsi="Barlow Semi Condensed"/>
          <w:sz w:val="24"/>
          <w:szCs w:val="24"/>
        </w:rPr>
        <w:t xml:space="preserve">Le schede informative sulle stragi 1969-1984, e un errore respinto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quattordicesima</w:t>
      </w:r>
    </w:p>
    <w:p>
      <w:pPr>
        <w:spacing w:after="120" w:line="276"/>
        <w:jc w:val="both"/>
      </w:pPr>
      <w:r>
        <w:rPr>
          <w:rFonts w:ascii="Barlow Semi Condensed" w:cs="Barlow Semi Condensed" w:eastAsia="Barlow Semi Condensed" w:hAnsi="Barlow Semi Condensed"/>
          <w:sz w:val="24"/>
          <w:szCs w:val="24"/>
        </w:rPr>
        <w:t xml:space="preserve">La presente è appendice quattordicesima alla Fase Settima e opera sulle schede informative allegate alla relazione sulle stragi meno recenti del periodo millenovecentosessantanove-millenovecentottantaquattro, XI legislatura, delle quali si possiede la trascrizione integrale di trentasei pagine. Come le tredici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L'unità è stata esaminata per una ragione determinata e ha prodotto un esito contrario a quella ragione. Si cercava in essa la classe di comparazione che la Voce quinta della tavola domanda da principio e che nessuna acquisizione della giornata ha fornita. La classe non c'è, e il presente atto serve principalmente a dichiarare perché non c'è e perché credere il contrario sarebbe stato l'errore più costoso dei quattordici atti.</w:t>
      </w:r>
    </w:p>
    <w:p>
      <w:pPr>
        <w:pStyle w:val="Heading2"/>
        <w:spacing w:after="100" w:before="200"/>
      </w:pPr>
      <w:r>
        <w:rPr>
          <w:rFonts w:ascii="Barlow Semi Condensed" w:cs="Barlow Semi Condensed" w:eastAsia="Barlow Semi Condensed" w:hAnsi="Barlow Semi Condensed"/>
          <w:sz w:val="24"/>
          <w:szCs w:val="24"/>
        </w:rPr>
        <w:t xml:space="preserve">Parte prima — Un numero di documento non è una designazione</w:t>
      </w:r>
    </w:p>
    <w:p>
      <w:pPr>
        <w:spacing w:after="120" w:line="276"/>
        <w:jc w:val="both"/>
      </w:pPr>
      <w:r>
        <w:rPr>
          <w:rFonts w:ascii="Barlow Semi Condensed" w:cs="Barlow Semi Condensed" w:eastAsia="Barlow Semi Condensed" w:hAnsi="Barlow Semi Condensed"/>
          <w:sz w:val="24"/>
          <w:szCs w:val="24"/>
        </w:rPr>
        <w:t xml:space="preserve">Va registrato anzitutto un fatto di designazione, poiché esso incide su ogni citazione anteriore.</w:t>
      </w:r>
    </w:p>
    <w:p>
      <w:pPr>
        <w:spacing w:after="120" w:line="276"/>
        <w:jc w:val="both"/>
      </w:pPr>
      <w:r>
        <w:rPr>
          <w:rFonts w:ascii="Barlow Semi Condensed" w:cs="Barlow Semi Condensed" w:eastAsia="Barlow Semi Condensed" w:hAnsi="Barlow Semi Condensed"/>
          <w:sz w:val="24"/>
          <w:szCs w:val="24"/>
        </w:rPr>
        <w:t xml:space="preserve">Il documento parlamentare XXIII numero 13 della XI legislatura reca due opere distinte. L'una è la relazione sugli sviluppi del caso, che l'appendice sesta ha esaminata. L'altra è la relazione sulle stragi meno recenti con le proprie schede informative, che la presente esamina. Sono due testi di autore, oggetto, periodo e struttura diversi, riuniti sotto un solo numero.</w:t>
      </w:r>
    </w:p>
    <w:p>
      <w:pPr>
        <w:spacing w:after="120" w:line="276"/>
        <w:jc w:val="both"/>
      </w:pPr>
      <w:r>
        <w:rPr>
          <w:rFonts w:ascii="Barlow Semi Condensed" w:cs="Barlow Semi Condensed" w:eastAsia="Barlow Semi Condensed" w:hAnsi="Barlow Semi Condensed"/>
          <w:sz w:val="24"/>
          <w:szCs w:val="24"/>
        </w:rPr>
        <w:t xml:space="preserve">Ne segue che la designazione di una fonte mediante il solo numero di documento parlamentare è, per questo documento, ambigua, e che chi citi il documento XXIII numero 13 non ha designato alcunché finché non indichi quale delle due opere e a quale pagina. L'appendice sesta ha citato quel numero per la relazione sul caso e lo ha fatto senza sapere che il numero ne copre due; la citazione non è falsa e la sua precisione era illusoria.</w:t>
      </w:r>
    </w:p>
    <w:p>
      <w:pPr>
        <w:spacing w:after="120" w:line="276"/>
        <w:jc w:val="both"/>
      </w:pPr>
      <w:r>
        <w:rPr>
          <w:rFonts w:ascii="Barlow Semi Condensed" w:cs="Barlow Semi Condensed" w:eastAsia="Barlow Semi Condensed" w:hAnsi="Barlow Semi Condensed"/>
          <w:sz w:val="24"/>
          <w:szCs w:val="24"/>
        </w:rPr>
        <w:t xml:space="preserve">Si enuncia la regola, ed è la diciassettesima della serie. Un numero di documento parlamentare designa una pubblicazione e non un'opera. Dove la pubblicazione ne raccolga più d'una, la designazione si compie per opera e per pagina, e il solo numero non basta. Si verifichi sempre, prima di citare un numero, di quante opere quel numero sia il contenitore.</w:t>
      </w:r>
    </w:p>
    <w:p>
      <w:pPr>
        <w:pStyle w:val="Heading2"/>
        <w:spacing w:after="100" w:before="200"/>
      </w:pPr>
      <w:r>
        <w:rPr>
          <w:rFonts w:ascii="Barlow Semi Condensed" w:cs="Barlow Semi Condensed" w:eastAsia="Barlow Semi Condensed" w:hAnsi="Barlow Semi Condensed"/>
          <w:sz w:val="24"/>
          <w:szCs w:val="24"/>
        </w:rPr>
        <w:t xml:space="preserve">Parte seconda — Che cosa le schede siano</w:t>
      </w:r>
    </w:p>
    <w:p>
      <w:pPr>
        <w:spacing w:after="120" w:line="276"/>
        <w:jc w:val="both"/>
      </w:pPr>
      <w:r>
        <w:rPr>
          <w:rFonts w:ascii="Barlow Semi Condensed" w:cs="Barlow Semi Condensed" w:eastAsia="Barlow Semi Condensed" w:hAnsi="Barlow Semi Condensed"/>
          <w:sz w:val="24"/>
          <w:szCs w:val="24"/>
        </w:rPr>
        <w:t xml:space="preserve">Le schede sono otto e riguardano, nell'ordine cronologico che esse osservano, gli attentati simultanei del dicembre millenovecentosessantanove, il deragliamento del luglio millenovecentosettanta, l'attentato del maggio millenovecentosettantadue in provincia di Gorizia, l'attentato del maggio millenovecentosettantatré dinanzi a una questura, la strage del maggio millenovecentosettantaquattro in una piazza lombarda, quella dell'agosto del medesimo anno su un convoglio ferroviario, quella dell'agosto millenovecentottanta in una stazione, e quella del dicembre millenovecentottantaquattro su un secondo convoglio.</w:t>
      </w:r>
    </w:p>
    <w:p>
      <w:pPr>
        <w:spacing w:after="120" w:line="276"/>
        <w:jc w:val="both"/>
      </w:pPr>
      <w:r>
        <w:rPr>
          <w:rFonts w:ascii="Barlow Semi Condensed" w:cs="Barlow Semi Condensed" w:eastAsia="Barlow Semi Condensed" w:hAnsi="Barlow Semi Condensed"/>
          <w:sz w:val="24"/>
          <w:szCs w:val="24"/>
        </w:rPr>
        <w:t xml:space="preserve">Ciascuna scheda espone il fatto, l'itinerario processuale con le sedi, le date e gli esiti, e le vicende istruttorie che lo accompagnarono.</w:t>
      </w:r>
    </w:p>
    <w:p>
      <w:pPr>
        <w:spacing w:after="120" w:line="276"/>
        <w:jc w:val="both"/>
      </w:pPr>
      <w:r>
        <w:rPr>
          <w:rFonts w:ascii="Barlow Semi Condensed" w:cs="Barlow Semi Condensed" w:eastAsia="Barlow Semi Condensed" w:hAnsi="Barlow Semi Condensed"/>
          <w:sz w:val="24"/>
          <w:szCs w:val="24"/>
        </w:rPr>
        <w:t xml:space="preserve">Si registra una disuguaglianza interna che è essa stessa un dato. L'ampiezza delle schede varia da circa cinquecento parole a circa quattromiladuecento, con uno scarto di otto volte fra la più breve e la più estesa. La più estesa riguarda la strage del millenovecentottanta; la più breve un attentato del millenovecentosettantatré.</w:t>
      </w:r>
    </w:p>
    <w:p>
      <w:pPr>
        <w:spacing w:after="120" w:line="276"/>
        <w:jc w:val="both"/>
      </w:pPr>
      <w:r>
        <w:rPr>
          <w:rFonts w:ascii="Barlow Semi Condensed" w:cs="Barlow Semi Condensed" w:eastAsia="Barlow Semi Condensed" w:hAnsi="Barlow Semi Condensed"/>
          <w:sz w:val="24"/>
          <w:szCs w:val="24"/>
        </w:rPr>
        <w:t xml:space="preserve">Lo scarto non misura la gravità dei fatti né il numero delle vittime. Misura lo stato dell'accertamento: una scheda è lunga dove molto fu accertato e dove molte istruttorie si succedettero, ed è breve dove poco fu accertato. Ne segue che l'ampiezza di una scheda è un indicatore dell'attività giudiziaria e non della materia, e che leggerla altrimenti significherebbe attribuire minore rilievo ai fatti sui quali si è indagato meno, il che è l'inversione esatta di ciò che la disciplina prescrive.</w:t>
      </w:r>
    </w:p>
    <w:p>
      <w:pPr>
        <w:pStyle w:val="Heading2"/>
        <w:spacing w:after="100" w:before="200"/>
      </w:pPr>
      <w:r>
        <w:rPr>
          <w:rFonts w:ascii="Barlow Semi Condensed" w:cs="Barlow Semi Condensed" w:eastAsia="Barlow Semi Condensed" w:hAnsi="Barlow Semi Condensed"/>
          <w:sz w:val="24"/>
          <w:szCs w:val="24"/>
        </w:rPr>
        <w:t xml:space="preserve">Parte terza — La tentazione, e la ragione per cui va respinta</w:t>
      </w:r>
    </w:p>
    <w:p>
      <w:pPr>
        <w:spacing w:after="120" w:line="276"/>
        <w:jc w:val="both"/>
      </w:pPr>
      <w:r>
        <w:rPr>
          <w:rFonts w:ascii="Barlow Semi Condensed" w:cs="Barlow Semi Condensed" w:eastAsia="Barlow Semi Condensed" w:hAnsi="Barlow Semi Condensed"/>
          <w:sz w:val="24"/>
          <w:szCs w:val="24"/>
        </w:rPr>
        <w:t xml:space="preserve">La Voce quinta della tavola domanda il tasso ordinario di omissioni procedurali presso uffici comparabili nel periodo, poiché senza di esso l'irregolarità dell'ottobre millenovecentosettantotto — l'asportazione di un fascicolo dal luogo prima che i fogli fossero numerati a verbale — non è collocabile: non si sa se essa fosse eccezionale o ordinaria, e da ciò dipende ogni valutazione che la riguardi.</w:t>
      </w:r>
    </w:p>
    <w:p>
      <w:pPr>
        <w:spacing w:after="120" w:line="276"/>
        <w:jc w:val="both"/>
      </w:pPr>
      <w:r>
        <w:rPr>
          <w:rFonts w:ascii="Barlow Semi Condensed" w:cs="Barlow Semi Condensed" w:eastAsia="Barlow Semi Condensed" w:hAnsi="Barlow Semi Condensed"/>
          <w:sz w:val="24"/>
          <w:szCs w:val="24"/>
        </w:rPr>
        <w:t xml:space="preserve">Le schede sembrano fornire quella classe. Esse documentano, strage per strage, irregolarità istruttorie di specie diverse: manipolazioni sui corpi di reato, distruzione di materiale sequestrato all'insaputa dei magistrati, omessa informazione dei magistrati su riscontri già acquisiti dalla polizia, occultamento di rapporti con successiva condanna penale, falso ideologico accertato in sede di giudizio, dichiarazioni di sedicenti collaboratori accertate come false, inquinamento delle indagini mediante materiale collocato per avvalorare una pista.</w:t>
      </w:r>
    </w:p>
    <w:p>
      <w:pPr>
        <w:spacing w:after="120" w:line="276"/>
        <w:jc w:val="both"/>
      </w:pPr>
      <w:r>
        <w:rPr>
          <w:rFonts w:ascii="Barlow Semi Condensed" w:cs="Barlow Semi Condensed" w:eastAsia="Barlow Semi Condensed" w:hAnsi="Barlow Semi Condensed"/>
          <w:sz w:val="24"/>
          <w:szCs w:val="24"/>
        </w:rPr>
        <w:t xml:space="preserve">La tentazione è di contare: otto stragi, irregolarità documentate nella maggior parte di esse, dunque un tasso elevato, dunque l'irregolarità del millenovecentosettantotto è ordinaria.</w:t>
      </w:r>
    </w:p>
    <w:p>
      <w:pPr>
        <w:spacing w:after="120" w:line="276"/>
        <w:jc w:val="both"/>
      </w:pPr>
      <w:r>
        <w:rPr>
          <w:rFonts w:ascii="Barlow Semi Condensed" w:cs="Barlow Semi Condensed" w:eastAsia="Barlow Semi Condensed" w:hAnsi="Barlow Semi Condensed"/>
          <w:sz w:val="24"/>
          <w:szCs w:val="24"/>
        </w:rPr>
        <w:t xml:space="preserve">Il ragionamento è viziato e va respinto per intero.</w:t>
      </w:r>
    </w:p>
    <w:p>
      <w:pPr>
        <w:spacing w:after="120" w:line="276"/>
        <w:jc w:val="both"/>
      </w:pPr>
      <w:r>
        <w:rPr>
          <w:rFonts w:ascii="Barlow Semi Condensed" w:cs="Barlow Semi Condensed" w:eastAsia="Barlow Semi Condensed" w:hAnsi="Barlow Semi Condensed"/>
          <w:sz w:val="24"/>
          <w:szCs w:val="24"/>
        </w:rPr>
        <w:t xml:space="preserve">Le otto schede non sono un campione. Sono le stragi più note del periodo, e sono note per una ragione che coincide con ciò che si vorrebbe misurare: sono le vicende nelle quali l'accertamento fallì o durò decenni, e sono state selezionate e istruite proprio perché giudiziariamente problematiche. Contare le irregolarità in un insieme scelto per la propria problematicità e trarne un tasso ordinario significa selezionare sulla variabile che si intende misurare. È l'errore che, in altra forma, il corpus maggiore ha già iscritto fra le proprie risultanze sotto il nome di effetto del lampione: si misura dove la luce cade, e la luce cade dove qualcosa fu trovato.</w:t>
      </w:r>
    </w:p>
    <w:p>
      <w:pPr>
        <w:spacing w:after="120" w:line="276"/>
        <w:jc w:val="both"/>
      </w:pPr>
      <w:r>
        <w:rPr>
          <w:rFonts w:ascii="Barlow Semi Condensed" w:cs="Barlow Semi Condensed" w:eastAsia="Barlow Semi Condensed" w:hAnsi="Barlow Semi Condensed"/>
          <w:sz w:val="24"/>
          <w:szCs w:val="24"/>
        </w:rPr>
        <w:t xml:space="preserve">Si dichiara pertanto che le schede non forniscono la classe di comparazione domandata dalla Voce quinta, e che la Voce quinta resta aperta. Si registra la circostanza fra gli esiti negativi, ed è il settimo della giornata.</w:t>
      </w:r>
    </w:p>
    <w:p>
      <w:pPr>
        <w:spacing w:after="120" w:line="276"/>
        <w:jc w:val="both"/>
      </w:pPr>
      <w:r>
        <w:rPr>
          <w:rFonts w:ascii="Barlow Semi Condensed" w:cs="Barlow Semi Condensed" w:eastAsia="Barlow Semi Condensed" w:hAnsi="Barlow Semi Condensed"/>
          <w:sz w:val="24"/>
          <w:szCs w:val="24"/>
        </w:rPr>
        <w:t xml:space="preserve">Si aggiunge la ragione per la quale l'errore sarebbe stato costoso più di ogni altro commesso oggi. Gli errori di misura e di strumento registrati nelle appendici anteriori producevano cifre sbagliate, e una cifra sbagliata si corregge. Questo avrebbe prodotto una collocazione: avrebbe stabilito che l'irregolarità del millenovecentosettantotto era ordinaria, e da quella collocazione sarebbe disceso che essa non richiede spiegazione. Un errore che dispensa dal cercare non si corregge, perché sopprime la ricerca che lo avrebbe corretto.</w:t>
      </w:r>
    </w:p>
    <w:p>
      <w:pPr>
        <w:pStyle w:val="Heading2"/>
        <w:spacing w:after="100" w:before="200"/>
      </w:pPr>
      <w:r>
        <w:rPr>
          <w:rFonts w:ascii="Barlow Semi Condensed" w:cs="Barlow Semi Condensed" w:eastAsia="Barlow Semi Condensed" w:hAnsi="Barlow Semi Condensed"/>
          <w:sz w:val="24"/>
          <w:szCs w:val="24"/>
        </w:rPr>
        <w:t xml:space="preserve">Parte quarta — Che cosa le schede danno realmente</w:t>
      </w:r>
    </w:p>
    <w:p>
      <w:pPr>
        <w:spacing w:after="120" w:line="276"/>
        <w:jc w:val="both"/>
      </w:pPr>
      <w:r>
        <w:rPr>
          <w:rFonts w:ascii="Barlow Semi Condensed" w:cs="Barlow Semi Condensed" w:eastAsia="Barlow Semi Condensed" w:hAnsi="Barlow Semi Condensed"/>
          <w:sz w:val="24"/>
          <w:szCs w:val="24"/>
        </w:rPr>
        <w:t xml:space="preserve">Respinta la lettura quantitativa, resta una lettura tipologica, che è legittima e utile.</w:t>
      </w:r>
    </w:p>
    <w:p>
      <w:pPr>
        <w:spacing w:after="120" w:line="276"/>
        <w:jc w:val="both"/>
      </w:pPr>
      <w:r>
        <w:rPr>
          <w:rFonts w:ascii="Barlow Semi Condensed" w:cs="Barlow Semi Condensed" w:eastAsia="Barlow Semi Condensed" w:hAnsi="Barlow Semi Condensed"/>
          <w:sz w:val="24"/>
          <w:szCs w:val="24"/>
        </w:rPr>
        <w:t xml:space="preserve">Le schede stabiliscono che le irregolarità istruttorie nei procedimenti per strage del periodo appartengono a generi ricorrenti e nominabili, e ne documentano almeno cinque. Il primo è la manipolazione o la distruzione del corpo di reato. Il secondo è l'omessa trasmissione ai magistrati di riscontri già in possesso della polizia. Il terzo è l'occultamento di atti, accertato in sede penale con condanna. Il quarto è la falsità di dichiarazioni rese da sedicenti collaboratori, in taluni casi accertata come strumentale a fini diversi dall'inchiesta. Il quinto è la collocazione di materiale documentale destinato ad avvalorare una pista determinata.</w:t>
      </w:r>
    </w:p>
    <w:p>
      <w:pPr>
        <w:spacing w:after="120" w:line="276"/>
        <w:jc w:val="both"/>
      </w:pPr>
      <w:r>
        <w:rPr>
          <w:rFonts w:ascii="Barlow Semi Condensed" w:cs="Barlow Semi Condensed" w:eastAsia="Barlow Semi Condensed" w:hAnsi="Barlow Semi Condensed"/>
          <w:sz w:val="24"/>
          <w:szCs w:val="24"/>
        </w:rPr>
        <w:t xml:space="preserve">Questa tipologia consente una sola operazione, e la si compie. L'irregolarità dell'ottobre millenovecentosettantotto appartiene al primo genere: essa riguarda la custodia di un corpo di reato nella fase immediatamente successiva al rinvenimento. Il genere è documentato, per il periodo, da almeno due istanze in una sola delle schede.</w:t>
      </w:r>
    </w:p>
    <w:p>
      <w:pPr>
        <w:spacing w:after="120" w:line="276"/>
        <w:jc w:val="both"/>
      </w:pPr>
      <w:r>
        <w:rPr>
          <w:rFonts w:ascii="Barlow Semi Condensed" w:cs="Barlow Semi Condensed" w:eastAsia="Barlow Semi Condensed" w:hAnsi="Barlow Semi Condensed"/>
          <w:sz w:val="24"/>
          <w:szCs w:val="24"/>
        </w:rPr>
        <w:t xml:space="preserve">Si dichiari con esattezza che cosa questa collocazione stabilisca. Stabilisce che la figura non è isolata nel proprio genere. Non stabilisce che sia frequente, poiché l'appartenenza a un genere non è una frequenza; e non stabilisce che sia ordinaria, poiché ordinario è ciò che accade nella maggior parte dei casi comparabili, e i casi comparabili non sono stati contati.</w:t>
      </w:r>
    </w:p>
    <w:p>
      <w:pPr>
        <w:spacing w:after="120" w:line="276"/>
        <w:jc w:val="both"/>
      </w:pPr>
      <w:r>
        <w:rPr>
          <w:rFonts w:ascii="Barlow Semi Condensed" w:cs="Barlow Semi Condensed" w:eastAsia="Barlow Semi Condensed" w:hAnsi="Barlow Semi Condensed"/>
          <w:sz w:val="24"/>
          <w:szCs w:val="24"/>
        </w:rPr>
        <w:t xml:space="preserve">Si registra inoltre un esito negativo interno alla tipologia. La lettura condotta non ha rinvenuto, in alcuna delle otto schede, la figura specifica dell'ottobre millenovecentosettantotto, cioè l'asportazione di un insieme di documenti dal luogo del rinvenimento prima della loro numerazione a verbale e la restituzione successiva. La lettura è stata condotta per parole chiave sul testo integrale e per lettura diretta dei passaggi segnalati, e non per lettura integrale delle trentasei pagine; l'esito negativo è dichiarato con questo limite.</w:t>
      </w:r>
    </w:p>
    <w:p>
      <w:pPr>
        <w:spacing w:after="120" w:line="276"/>
        <w:jc w:val="both"/>
      </w:pPr>
      <w:r>
        <w:rPr>
          <w:rFonts w:ascii="Barlow Semi Condensed" w:cs="Barlow Semi Condensed" w:eastAsia="Barlow Semi Condensed" w:hAnsi="Barlow Semi Condensed"/>
          <w:sz w:val="24"/>
          <w:szCs w:val="24"/>
        </w:rPr>
        <w:t xml:space="preserve">Ove esso sia confermato da lettura integrale, ne discenderebbe che la figura del millenovecentosettantotto non è rappresentata nella tipologia delle irregolarità documentate per le stragi del periodo, il che non ne farebbe una figura unica — le schede riguardano otto vicende e non tutte — ma la collocherebbe fuori dai generi ricorrenti anziché dentro uno di essi. È l'opposto della conclusione che la lettura quantitativa avrebbe suggerita.</w:t>
      </w:r>
    </w:p>
    <w:p>
      <w:pPr>
        <w:pStyle w:val="Heading2"/>
        <w:spacing w:after="100" w:before="200"/>
      </w:pPr>
      <w:r>
        <w:rPr>
          <w:rFonts w:ascii="Barlow Semi Condensed" w:cs="Barlow Semi Condensed" w:eastAsia="Barlow Semi Condensed" w:hAnsi="Barlow Semi Condensed"/>
          <w:sz w:val="24"/>
          <w:szCs w:val="24"/>
        </w:rPr>
        <w:t xml:space="preserve">Parte quinta — Dove la classe di comparazione vada cercata</w:t>
      </w:r>
    </w:p>
    <w:p>
      <w:pPr>
        <w:spacing w:after="120" w:line="276"/>
        <w:jc w:val="both"/>
      </w:pPr>
      <w:r>
        <w:rPr>
          <w:rFonts w:ascii="Barlow Semi Condensed" w:cs="Barlow Semi Condensed" w:eastAsia="Barlow Semi Condensed" w:hAnsi="Barlow Semi Condensed"/>
          <w:sz w:val="24"/>
          <w:szCs w:val="24"/>
        </w:rPr>
        <w:t xml:space="preserve">Se le vicende eccezionali non forniscono il tasso ordinario, esso va cercato dove l'ordinario si trova, e la sede è indicabile.</w:t>
      </w:r>
    </w:p>
    <w:p>
      <w:pPr>
        <w:spacing w:after="120" w:line="276"/>
        <w:jc w:val="both"/>
      </w:pPr>
      <w:r>
        <w:rPr>
          <w:rFonts w:ascii="Barlow Semi Condensed" w:cs="Barlow Semi Condensed" w:eastAsia="Barlow Semi Condensed" w:hAnsi="Barlow Semi Condensed"/>
          <w:sz w:val="24"/>
          <w:szCs w:val="24"/>
        </w:rPr>
        <w:t xml:space="preserve">La classe di comparazione appropriata alla Voce quinta non è costituita dai procedimenti per strage, ma dai procedimenti ordinari coevi nei quali si sia proceduto a perquisizione e a sequestro di documentazione: procedimenti per reati comuni, trattati da uffici di polizia giudiziaria comparabili, nel medesimo periodo e nella medesima area. In quella classe l'osservanza o l'inosservanza della numerazione preventiva dei documenti sequestrati è un dato di prassi, rilevabile su un numero sufficiente di casi e non selezionato per la propria problematicità.</w:t>
      </w:r>
    </w:p>
    <w:p>
      <w:pPr>
        <w:spacing w:after="120" w:line="276"/>
        <w:jc w:val="both"/>
      </w:pPr>
      <w:r>
        <w:rPr>
          <w:rFonts w:ascii="Barlow Semi Condensed" w:cs="Barlow Semi Condensed" w:eastAsia="Barlow Semi Condensed" w:hAnsi="Barlow Semi Condensed"/>
          <w:sz w:val="24"/>
          <w:szCs w:val="24"/>
        </w:rPr>
        <w:t xml:space="preserve">Voce quarantottesima — La prassi ordinaria di numerazione dei documenti sequestrati. Oggetto: l'accertamento, su un insieme di procedimenti ordinari coevi comprendenti perquisizione e sequestro di documentazione, della frequenza con la quale i documenti sequestrati fossero numerati a verbale prima dell'asportazione dal luogo. Sede: archivi giudiziari e prontuari operativi delle forze di polizia giudiziaria del periodo; manuali e circolari sulla formazione dei verbali di sequestro. Chiusura: determinazione di una frequenza su un insieme non selezionato. Smentita: la constatazione che non esistesse all'epoca alcuna prescrizione di numerazione preventiva, nel qual caso l'omissione del millenovecentosettantotto non sarebbe inosservanza di una regola ma assenza di una regola, e la Voce quinta si chiuderebbe con esito opposto a quello atteso.</w:t>
      </w:r>
    </w:p>
    <w:p>
      <w:pPr>
        <w:spacing w:after="120" w:line="276"/>
        <w:jc w:val="both"/>
      </w:pPr>
      <w:r>
        <w:rPr>
          <w:rFonts w:ascii="Barlow Semi Condensed" w:cs="Barlow Semi Condensed" w:eastAsia="Barlow Semi Condensed" w:hAnsi="Barlow Semi Condensed"/>
          <w:sz w:val="24"/>
          <w:szCs w:val="24"/>
        </w:rPr>
        <w:t xml:space="preserve">Si segnala che la condizione di smentita qui formulata è la più significativa fra quelle iscritte oggi, poiché il suo verificarsi rovescerebbe il senso di una delle poche irregolarità che l'opera ha ritenute superare tutti e tre i tempi del proprio test.</w:t>
      </w:r>
    </w:p>
    <w:p>
      <w:pPr>
        <w:pStyle w:val="Heading2"/>
        <w:spacing w:after="100" w:before="200"/>
      </w:pPr>
      <w:r>
        <w:rPr>
          <w:rFonts w:ascii="Barlow Semi Condensed" w:cs="Barlow Semi Condensed" w:eastAsia="Barlow Semi Condensed" w:hAnsi="Barlow Semi Condensed"/>
          <w:sz w:val="24"/>
          <w:szCs w:val="24"/>
        </w:rPr>
        <w:t xml:space="preserve">Parte sesta — Mutazioni di stato e Stati Zero</w:t>
      </w:r>
    </w:p>
    <w:p>
      <w:pPr>
        <w:spacing w:after="120" w:line="276"/>
        <w:jc w:val="both"/>
      </w:pPr>
      <w:r>
        <w:rPr>
          <w:rFonts w:ascii="Barlow Semi Condensed" w:cs="Barlow Semi Condensed" w:eastAsia="Barlow Semi Condensed" w:hAnsi="Barlow Semi Condensed"/>
          <w:sz w:val="24"/>
          <w:szCs w:val="24"/>
        </w:rPr>
        <w:t xml:space="preserve">La Voce quinta non si chiude e non progredisce quanto al proprio oggetto; progredisce quanto alla propria formulazione, poiché è ora indicata la classe entro la quale la ricerca va condotta e quella entro la quale non va condotta. Si iscrive la Voce quarantottesima. Si enuncia la diciassettesima regola della risalita.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Primo: la classe di comparazione domandata dalla Voce quinta non è fornita dalle schede e resta da costituire. Secondo: la lettura delle schede è stata condotta per parole chiave e per campione e non integralmente, e l'esito negativo sulla figura specifica è dichiarato con questo limite. Terzo: la relazione sulle stragi meno recenti alla quale le schede sono allegate non è posseduta nel proprio testo, ma soltanto nelle schede; e una relazione dice, delle proprie schede, ciò che esse non dicono di sé.</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dodicesima del giorno sul medesimo cantiere. Cantiere: designazione per atto delle fonti e classe di comparazione. Materia: le schede informative sulle stragi del periodo millenovecentosessantanove-millenovecentottantaquattro.</w:t>
      </w:r>
    </w:p>
    <w:p>
      <w:pPr>
        <w:spacing w:after="120" w:line="276"/>
        <w:jc w:val="both"/>
      </w:pPr>
      <w:r>
        <w:rPr>
          <w:rFonts w:ascii="Barlow Semi Condensed" w:cs="Barlow Semi Condensed" w:eastAsia="Barlow Semi Condensed" w:hAnsi="Barlow Semi Condensed"/>
          <w:sz w:val="24"/>
          <w:szCs w:val="24"/>
        </w:rPr>
        <w:t xml:space="preserve">Esito positivo: accertamento che un solo numero di documento parlamentare copre due opere distinte, con enunciazione della diciassettesima regola della risalita; rilevazione della disuguaglianza di ampiezza fra le otto schede e della sua interpretazione come indicatore dello stato dell'accertamento e non della materia; enunciazione di una tipologia in cinque generi delle irregolarità istruttorie documentate per il periodo; collocazione dell'irregolarità dell'ottobre millenovecentosettantotto nel primo genere, con dichiarazione espressa di ciò che la collocazione non stabilisce; indicazione della classe entro la quale la comparazione domandata dalla Voce quinta va condotta; una voce nuova iscritta in tavola, con la condizione di smentita più significativa della giornata.</w:t>
      </w:r>
    </w:p>
    <w:p>
      <w:pPr>
        <w:spacing w:after="120" w:line="276"/>
        <w:jc w:val="both"/>
      </w:pPr>
      <w:r>
        <w:rPr>
          <w:rFonts w:ascii="Barlow Semi Condensed" w:cs="Barlow Semi Condensed" w:eastAsia="Barlow Semi Condensed" w:hAnsi="Barlow Semi Condensed"/>
          <w:sz w:val="24"/>
          <w:szCs w:val="24"/>
        </w:rPr>
        <w:t xml:space="preserve">Esito negativo: le schede non forniscono la classe di comparazione e la Voce quinta resta aperta; la figura specifica dell'ottobre millenovecentosettantotto non risulta rappresentata nella tipologia, con il limite della lettura non integrale; la relazione alla quale le schede sono allegate non è posseduta.</w:t>
      </w:r>
    </w:p>
    <w:p>
      <w:pPr>
        <w:spacing w:after="120" w:line="276"/>
        <w:jc w:val="both"/>
      </w:pPr>
      <w:r>
        <w:rPr>
          <w:rFonts w:ascii="Barlow Semi Condensed" w:cs="Barlow Semi Condensed" w:eastAsia="Barlow Semi Condensed" w:hAnsi="Barlow Semi Condensed"/>
          <w:sz w:val="24"/>
          <w:szCs w:val="24"/>
        </w:rPr>
        <w:t xml:space="preserve">Riga di errore respinto. Si registra, come si è registrato un errore evitato nell'appendice ottava, la lettura quantitativa che le schede invitavano a compiere e che avrebbe stabilito, contando irregolarità in otto vicende scelte per la propria problematicità, un tasso ordinario di irregolarità. Il vizio è la selezione sulla variabile che si intende misurare. Si registra altresì la ragione per la quale questo errore sarebbe stato più costoso di tutti quelli commessi oggi: gli errori di misura producono cifre sbagliate e una cifra si corregge; questo avrebbe prodotto una collocazione, e da essa sarebbe disceso che l'irregolarità del millenovecentosettantotto non richiede spiegazione. Un errore che dispensa dal cercare sopprime la ricerca che lo avrebbe corretto.</w:t>
      </w:r>
    </w:p>
    <w:p>
      <w:pPr>
        <w:spacing w:after="120" w:line="276"/>
        <w:jc w:val="both"/>
      </w:pPr>
      <w:r>
        <w:rPr>
          <w:rFonts w:ascii="Barlow Semi Condensed" w:cs="Barlow Semi Condensed" w:eastAsia="Barlow Semi Condensed" w:hAnsi="Barlow Semi Condensed"/>
          <w:sz w:val="24"/>
          <w:szCs w:val="24"/>
        </w:rPr>
        <w:t xml:space="preserve">Riga di avvertenza. Le schede qui esaminate riguardano vicende estranee alla materia dell'opera e appartenenti al corpus maggiore. Il presente atto non ne riferisce il merito, non nomina alcuna delle persone che vi compaiono e non riporta alcuno degli esiti processuali che esse recano, salvo la menzione, in forma generica e senza nomi, dei generi di irregolarità accertati. Ove il corpus maggiore venga a impiegarle, dovrà graduarle per ciò che sono: ricostruzioni di organo qualificato, e non accertamenti.</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QUATTORDICESIMA ALLA FASE SETTIMA, la classe di comparazione che non c'è, quindici agosto duemilaventisei. I settanta Capitoli restano settanta. Le redazioni anteriori non sono modificate: le pietre deposte non si scalpellano. Resta sovrana la Regola di Ferro: dove la fonte documenta, l'opera certifica; dove la fonte tace, l'opera indaga e non afferma. Un errore che dispensa dal cercare sopprime la ricerca che lo avrebbe corretto.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XI · Appendice quattordicesima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XI: 2.077 parole in 9 sezioni; la più ampia è §9 Altre sezioni, con 1.750.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XI: 34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nono · XII — Appendice quindicesima alla Fase settima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Appendice quindicesima alla Fase settima, `</w:t>
      </w:r>
      <w:r>
        <w:rPr>
          <w:rFonts w:ascii="Barlow Semi Condensed" w:cs="Barlow Semi Condensed" w:eastAsia="Barlow Semi Condensed" w:hAnsi="Barlow Semi Condensed"/>
          <w:i w:val="false"/>
          <w:iCs w:val="false"/>
          <w:sz w:val="24"/>
          <w:szCs w:val="24"/>
        </w:rPr>
        <w:t xml:space="preserve">../aldo-moro-una-guerra-senza-fine-fase-settima-registro-giudiziario.md</w:t>
      </w:r>
      <w:r>
        <w:rPr>
          <w:rFonts w:ascii="Barlow Semi Condensed" w:cs="Barlow Semi Condensed" w:eastAsia="Barlow Semi Condensed" w:hAnsi="Barlow Semi Condensed"/>
          <w:i w:val="false"/>
          <w:iCs w:val="false"/>
          <w:sz w:val="24"/>
          <w:szCs w:val="24"/>
        </w:rPr>
        <w:t xml:space="preserve">`, di cui rafforza una conclusione — la non cumulabilità delle conclusioni parlamentari successive — fondandola su una causa che l'appendice settima non conosceva.</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APPENDICE QUINDICESIMA ALLA FASE SETTIMA</w:t>
      </w:r>
    </w:p>
    <w:p>
      <w:pPr>
        <w:pStyle w:val="Heading2"/>
        <w:spacing w:after="100" w:before="200"/>
      </w:pPr>
      <w:r>
        <w:rPr>
          <w:rFonts w:ascii="Barlow Semi Condensed" w:cs="Barlow Semi Condensed" w:eastAsia="Barlow Semi Condensed" w:hAnsi="Barlow Semi Condensed"/>
          <w:sz w:val="24"/>
          <w:szCs w:val="24"/>
        </w:rPr>
        <w:t xml:space="preserve">La relazione che non fu discussa</w:t>
      </w:r>
    </w:p>
    <w:p>
      <w:pPr>
        <w:pStyle w:val="Heading2"/>
        <w:spacing w:after="100" w:before="200"/>
      </w:pPr>
      <w:r>
        <w:rPr>
          <w:rFonts w:ascii="Barlow Semi Condensed" w:cs="Barlow Semi Condensed" w:eastAsia="Barlow Semi Condensed" w:hAnsi="Barlow Semi Condensed"/>
          <w:sz w:val="24"/>
          <w:szCs w:val="24"/>
        </w:rPr>
        <w:t xml:space="preserve">Terza relazione semestrale, XII legislatura, documento XXIII numero 7</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edizione dell'appendice quindicesima</w:t>
      </w:r>
    </w:p>
    <w:p>
      <w:pPr>
        <w:spacing w:after="120" w:line="276"/>
        <w:jc w:val="both"/>
      </w:pPr>
      <w:r>
        <w:rPr>
          <w:rFonts w:ascii="Barlow Semi Condensed" w:cs="Barlow Semi Condensed" w:eastAsia="Barlow Semi Condensed" w:hAnsi="Barlow Semi Condensed"/>
          <w:sz w:val="24"/>
          <w:szCs w:val="24"/>
        </w:rPr>
        <w:t xml:space="preserve">La presente è appendice quindicesima alla Fase Settima e opera sulla terza relazione semestrale della Commissione della XII legislatura, comunicata alle Presidenze il ventuno febbraio millenovecentonovantasei e stampata come documento XXIII numero 7. Come le quattordici anteriori, essa non modifica alcun Capitolo: i settanta restano settanta.</w:t>
      </w:r>
    </w:p>
    <w:p>
      <w:pPr>
        <w:spacing w:after="120" w:line="276"/>
        <w:jc w:val="both"/>
      </w:pPr>
      <w:r>
        <w:rPr>
          <w:rFonts w:ascii="Barlow Semi Condensed" w:cs="Barlow Semi Condensed" w:eastAsia="Barlow Semi Condensed" w:hAnsi="Barlow Semi Condensed"/>
          <w:sz w:val="24"/>
          <w:szCs w:val="24"/>
        </w:rPr>
        <w:t xml:space="preserve">L'unità copre il periodo dal venti luglio millenovecentonovantacinque al sedici febbraio millenovecentonovantasei, data del decreto di scioglimento delle Camere, ed è la relazione con la quale quella Commissione chiude i propri lavori. Essa non reca alcuna attività sul caso, e il presente atto lo dichiara subito: il suo rendimento per l'opera è di natura metodologica e non documentale.</w:t>
      </w:r>
    </w:p>
    <w:p>
      <w:pPr>
        <w:pStyle w:val="Heading2"/>
        <w:spacing w:after="100" w:before="200"/>
      </w:pPr>
      <w:r>
        <w:rPr>
          <w:rFonts w:ascii="Barlow Semi Condensed" w:cs="Barlow Semi Condensed" w:eastAsia="Barlow Semi Condensed" w:hAnsi="Barlow Semi Condensed"/>
          <w:sz w:val="24"/>
          <w:szCs w:val="24"/>
        </w:rPr>
        <w:t xml:space="preserve">Parte prima — La relazione che non fu discussa</w:t>
      </w:r>
    </w:p>
    <w:p>
      <w:pPr>
        <w:spacing w:after="120" w:line="276"/>
        <w:jc w:val="both"/>
      </w:pPr>
      <w:r>
        <w:rPr>
          <w:rFonts w:ascii="Barlow Semi Condensed" w:cs="Barlow Semi Condensed" w:eastAsia="Barlow Semi Condensed" w:hAnsi="Barlow Semi Condensed"/>
          <w:sz w:val="24"/>
          <w:szCs w:val="24"/>
        </w:rPr>
        <w:t xml:space="preserve">L'indice della relazione reca, in successione, quattro voci che vanno lette insieme: il deposito della proposta di relazione finale; la decisione di non porre subito in discussione il documento; lo stralcio del capitolo dedicato a una delle inchieste; l'interruzione delle attività d'inchiesta conseguente allo scioglimento anticipato delle Camere.</w:t>
      </w:r>
    </w:p>
    <w:p>
      <w:pPr>
        <w:spacing w:after="120" w:line="276"/>
        <w:jc w:val="both"/>
      </w:pPr>
      <w:r>
        <w:rPr>
          <w:rFonts w:ascii="Barlow Semi Condensed" w:cs="Barlow Semi Condensed" w:eastAsia="Barlow Semi Condensed" w:hAnsi="Barlow Semi Condensed"/>
          <w:sz w:val="24"/>
          <w:szCs w:val="24"/>
        </w:rPr>
        <w:t xml:space="preserve">La sequenza descrive un documento che fu redatto, depositato, non discusso, amputato di un capitolo e infine travolto dallo scioglimento. Esso non fu approvato.</w:t>
      </w:r>
    </w:p>
    <w:p>
      <w:pPr>
        <w:spacing w:after="120" w:line="276"/>
        <w:jc w:val="both"/>
      </w:pPr>
      <w:r>
        <w:rPr>
          <w:rFonts w:ascii="Barlow Semi Condensed" w:cs="Barlow Semi Condensed" w:eastAsia="Barlow Semi Condensed" w:hAnsi="Barlow Semi Condensed"/>
          <w:sz w:val="24"/>
          <w:szCs w:val="24"/>
        </w:rPr>
        <w:t xml:space="preserve">Si accosti questa sequenza a quanto l'appendice settima ha accertato sulla base delle due relazioni semestrali anteriori: che le relazioni trasmesse alle Camere dalle Commissioni delle legislature precedenti sono documenti la cui discussione non fu mai posta all'ordine del giorno di alcuna Assemblea. Là il difetto di deliberazione era a valle, in sede parlamentare; qui è a monte, entro l'organo medesimo, che non pose in discussione il proprio documento.</w:t>
      </w:r>
    </w:p>
    <w:p>
      <w:pPr>
        <w:spacing w:after="120" w:line="276"/>
        <w:jc w:val="both"/>
      </w:pPr>
      <w:r>
        <w:rPr>
          <w:rFonts w:ascii="Barlow Semi Condensed" w:cs="Barlow Semi Condensed" w:eastAsia="Barlow Semi Condensed" w:hAnsi="Barlow Semi Condensed"/>
          <w:sz w:val="24"/>
          <w:szCs w:val="24"/>
        </w:rPr>
        <w:t xml:space="preserve">Se ne trae la regola, ed è la diciottesima della serie. Una proposta di relazione depositata e non discussa non è una relazione; un capitolo stralciato non è un capitolo; una relazione approvata da un organo e non discussa dall'Assemblea non è una pronuncia dell'Assemblea. Le fonti di questa specie si designano per lo stato deliberativo che hanno effettivamente raggiunto, e il grado che conferiscono si commisura a quello stato e non alla sede nella quale furono redatte.</w:t>
      </w:r>
    </w:p>
    <w:p>
      <w:pPr>
        <w:spacing w:after="120" w:line="276"/>
        <w:jc w:val="both"/>
      </w:pPr>
      <w:r>
        <w:rPr>
          <w:rFonts w:ascii="Barlow Semi Condensed" w:cs="Barlow Semi Condensed" w:eastAsia="Barlow Semi Condensed" w:hAnsi="Barlow Semi Condensed"/>
          <w:sz w:val="24"/>
          <w:szCs w:val="24"/>
        </w:rPr>
        <w:t xml:space="preserve">Si dispone che, nelle redazioni successive, ogni citazione di un documento d'inchiesta rechi l'indicazione del proprio stato deliberativo: proposta depositata, documento approvato dall'organo, documento discusso in Assemblea. Le tre condizioni sono diverse e producono gradi diversi.</w:t>
      </w:r>
    </w:p>
    <w:p>
      <w:pPr>
        <w:pStyle w:val="Heading2"/>
        <w:spacing w:after="100" w:before="200"/>
      </w:pPr>
      <w:r>
        <w:rPr>
          <w:rFonts w:ascii="Barlow Semi Condensed" w:cs="Barlow Semi Condensed" w:eastAsia="Barlow Semi Condensed" w:hAnsi="Barlow Semi Condensed"/>
          <w:sz w:val="24"/>
          <w:szCs w:val="24"/>
        </w:rPr>
        <w:t xml:space="preserve">Parte seconda — L'organo teorizza la propria discontinuità</w:t>
      </w:r>
    </w:p>
    <w:p>
      <w:pPr>
        <w:spacing w:after="120" w:line="276"/>
        <w:jc w:val="both"/>
      </w:pPr>
      <w:r>
        <w:rPr>
          <w:rFonts w:ascii="Barlow Semi Condensed" w:cs="Barlow Semi Condensed" w:eastAsia="Barlow Semi Condensed" w:hAnsi="Barlow Semi Condensed"/>
          <w:sz w:val="24"/>
          <w:szCs w:val="24"/>
        </w:rPr>
        <w:t xml:space="preserve">La premessa metodologica della relazione contiene l'esposizione più esplicita, fra quelle incontrate oggi, dei limiti strutturali dell'inchiesta parlamentare in questa materia. Poiché essa proviene dall'organo medesimo, va riportata nella sostanza.</w:t>
      </w:r>
    </w:p>
    <w:p>
      <w:pPr>
        <w:spacing w:after="120" w:line="276"/>
        <w:jc w:val="both"/>
      </w:pPr>
      <w:r>
        <w:rPr>
          <w:rFonts w:ascii="Barlow Semi Condensed" w:cs="Barlow Semi Condensed" w:eastAsia="Barlow Semi Condensed" w:hAnsi="Barlow Semi Condensed"/>
          <w:sz w:val="24"/>
          <w:szCs w:val="24"/>
        </w:rPr>
        <w:t xml:space="preserve">L'organo osserva che l'estensione e l'indeterminatezza dell'ambito temporale entro il quale l'inchiesta deve concludersi nuocciono tanto alla capacità di programmare le direttrici d'indagine quanto alla possibilità concreta, per i componenti, di avere piena conoscenza di tutte le acquisizioni intervenute in un arco che decorre dal millenovecentottantotto. Osserva che, ove il termine di un'inchiesta sopravanzi la scadenza di una legislatura, il ricambio spesso massiccio dei componenti determina a carico dei subentranti un vuoto di informazione difficile da colmare. Osserva che né la struttura burocratica né l'apparato dei consulenti esterni possono garantire quella continuità, poiché la segreteria mette a disposizione il materiale ma non esime dal percorso individuale di studio, e i consulenti sono soggetti a un ricambio analogo a quello dei parlamentari.</w:t>
      </w:r>
    </w:p>
    <w:p>
      <w:pPr>
        <w:spacing w:after="120" w:line="276"/>
        <w:jc w:val="both"/>
      </w:pPr>
      <w:r>
        <w:rPr>
          <w:rFonts w:ascii="Barlow Semi Condensed" w:cs="Barlow Semi Condensed" w:eastAsia="Barlow Semi Condensed" w:hAnsi="Barlow Semi Condensed"/>
          <w:sz w:val="24"/>
          <w:szCs w:val="24"/>
        </w:rPr>
        <w:t xml:space="preserve">Fin qui la relazione conferma, per bocca dell'organo, ciò che l'appendice settima aveva accertato per conteggio delle composizioni.</w:t>
      </w:r>
    </w:p>
    <w:p>
      <w:pPr>
        <w:spacing w:after="120" w:line="276"/>
        <w:jc w:val="both"/>
      </w:pPr>
      <w:r>
        <w:rPr>
          <w:rFonts w:ascii="Barlow Semi Condensed" w:cs="Barlow Semi Condensed" w:eastAsia="Barlow Semi Condensed" w:hAnsi="Barlow Semi Condensed"/>
          <w:sz w:val="24"/>
          <w:szCs w:val="24"/>
        </w:rPr>
        <w:t xml:space="preserve">L'organo aggiunge però un elemento che l'appendice settima non aveva, e che ne modifica la conclusione. I subentranti, osserva, si trovano dinanzi all'alternativa se prendere atto dei risultati delle pregresse attività di indagine ovvero contestarne la metodologia e gli esiti, anche sulla scorta di differenti valutazioni politiche; e qualifica quest'ultimo come un rischio tanto più frequente in fasi di accentuata instabilità degli schieramenti.</w:t>
      </w:r>
    </w:p>
    <w:p>
      <w:pPr>
        <w:spacing w:after="120" w:line="276"/>
        <w:jc w:val="both"/>
      </w:pPr>
      <w:r>
        <w:rPr>
          <w:rFonts w:ascii="Barlow Semi Condensed" w:cs="Barlow Semi Condensed" w:eastAsia="Barlow Semi Condensed" w:hAnsi="Barlow Semi Condensed"/>
          <w:sz w:val="24"/>
          <w:szCs w:val="24"/>
        </w:rPr>
        <w:t xml:space="preserve">La conseguenza per la disciplina delle fonti è di rilievo maggiore e va enunciata per intero. Una divergenza fra le conclusioni di due Commissioni successive sul medesimo oggetto non è necessariamente una divergenza di accertamento. Essa può essere una divergenza di valutazione politica su un medesimo materiale, e l'organo dichiara di ritenerla frequente. Ne segue che le conclusioni parlamentari successive non si leggono come strati di un accertamento progressivo, e che chi ne rilevasse una divergenza non potrebbe inferirne che nuovi elementi siano intervenuti.</w:t>
      </w:r>
    </w:p>
    <w:p>
      <w:pPr>
        <w:spacing w:after="120" w:line="276"/>
        <w:jc w:val="both"/>
      </w:pPr>
      <w:r>
        <w:rPr>
          <w:rFonts w:ascii="Barlow Semi Condensed" w:cs="Barlow Semi Condensed" w:eastAsia="Barlow Semi Condensed" w:hAnsi="Barlow Semi Condensed"/>
          <w:sz w:val="24"/>
          <w:szCs w:val="24"/>
        </w:rPr>
        <w:t xml:space="preserve">L'appendice settima aveva già negato che quelle conclusioni si sommino, fondandosi sul ricambio dei componenti. Qui la negazione si rafforza e cambia natura: non soltanto le conoscenze non si cumulano per difetto di memoria istituzionale, ma le conclusioni possono divergere per ragione estranea alla materia. Si registra la precisazione come rafforzamento e non come correzione.</w:t>
      </w:r>
    </w:p>
    <w:p>
      <w:pPr>
        <w:spacing w:after="120" w:line="276"/>
        <w:jc w:val="both"/>
      </w:pPr>
      <w:r>
        <w:rPr>
          <w:rFonts w:ascii="Barlow Semi Condensed" w:cs="Barlow Semi Condensed" w:eastAsia="Barlow Semi Condensed" w:hAnsi="Barlow Semi Condensed"/>
          <w:sz w:val="24"/>
          <w:szCs w:val="24"/>
        </w:rPr>
        <w:t xml:space="preserve">L'organo aggiunge infine un argomento di ordine costituzionale che va registrato perché appartiene al genere delle constatazioni che l'opera raccoglie: l'attribuzione a un organo di derivazione parlamentare degli stessi poteri dell'autorità giudiziaria trova il proprio naturale contrappeso nella previsione dei limiti cui l'attività giurisdizionale soggiace, e fra questi la durata certa dei poteri conferiti in via non ordinaria a un organo di derivazione politica.</w:t>
      </w:r>
    </w:p>
    <w:p>
      <w:pPr>
        <w:pStyle w:val="Heading2"/>
        <w:spacing w:after="100" w:before="200"/>
      </w:pPr>
      <w:r>
        <w:rPr>
          <w:rFonts w:ascii="Barlow Semi Condensed" w:cs="Barlow Semi Condensed" w:eastAsia="Barlow Semi Condensed" w:hAnsi="Barlow Semi Condensed"/>
          <w:sz w:val="24"/>
          <w:szCs w:val="24"/>
        </w:rPr>
        <w:t xml:space="preserve">Parte terza — Una contaminazione dichiarata dentro l'archivio</w:t>
      </w:r>
    </w:p>
    <w:p>
      <w:pPr>
        <w:spacing w:after="120" w:line="276"/>
        <w:jc w:val="both"/>
      </w:pPr>
      <w:r>
        <w:rPr>
          <w:rFonts w:ascii="Barlow Semi Condensed" w:cs="Barlow Semi Condensed" w:eastAsia="Barlow Semi Condensed" w:hAnsi="Barlow Semi Condensed"/>
          <w:sz w:val="24"/>
          <w:szCs w:val="24"/>
        </w:rPr>
        <w:t xml:space="preserve">La relazione dedica un paragrafo, entro la trattazione di una delle inchieste, a una vicenda che va registrata perché è la sola incontrata oggi che riguardi l'affidabilità del materiale prodotto per la Commissione anziché di quello da essa acquisito.</w:t>
      </w:r>
    </w:p>
    <w:p>
      <w:pPr>
        <w:spacing w:after="120" w:line="276"/>
        <w:jc w:val="both"/>
      </w:pPr>
      <w:r>
        <w:rPr>
          <w:rFonts w:ascii="Barlow Semi Condensed" w:cs="Barlow Semi Condensed" w:eastAsia="Barlow Semi Condensed" w:hAnsi="Barlow Semi Condensed"/>
          <w:sz w:val="24"/>
          <w:szCs w:val="24"/>
        </w:rPr>
        <w:t xml:space="preserve">Il paragrafo è intitolato al passaggio da un sequestro al sospetto di infedeltà di alcune consulenze tecniche e alla revoca delle relative autorizzazioni.</w:t>
      </w:r>
    </w:p>
    <w:p>
      <w:pPr>
        <w:spacing w:after="120" w:line="276"/>
        <w:jc w:val="both"/>
      </w:pPr>
      <w:r>
        <w:rPr>
          <w:rFonts w:ascii="Barlow Semi Condensed" w:cs="Barlow Semi Condensed" w:eastAsia="Barlow Semi Condensed" w:hAnsi="Barlow Semi Condensed"/>
          <w:sz w:val="24"/>
          <w:szCs w:val="24"/>
        </w:rPr>
        <w:t xml:space="preserve">Si registra il solo fatto che l'intitolazione stabilisce, e non altro: che la Commissione nutrì sospetto di infedeltà quanto a talune consulenze tecniche e revocò le autorizzazioni relative. Il presente atto non riferisce di quali consulenze si trattasse, non nomina alcuno, e non riferisce l'esito del sospetto, che le fonti possedute non recano.</w:t>
      </w:r>
    </w:p>
    <w:p>
      <w:pPr>
        <w:spacing w:after="120" w:line="276"/>
        <w:jc w:val="both"/>
      </w:pPr>
      <w:r>
        <w:rPr>
          <w:rFonts w:ascii="Barlow Semi Condensed" w:cs="Barlow Semi Condensed" w:eastAsia="Barlow Semi Condensed" w:hAnsi="Barlow Semi Condensed"/>
          <w:sz w:val="24"/>
          <w:szCs w:val="24"/>
        </w:rPr>
        <w:t xml:space="preserve">La conseguenza per la disciplina delle fonti è però immediata e generale, e non dipende dall'esito. Gli elaborati di consulenza depositati presso un organo d'inchiesta non sono fonti acquisite: sono fonti prodotte per l'organo e sotto incarico dell'organo. Essi appartengono pertanto al genere che il repertorio dell'opera qualifica come produzione su commissione, e la loro genealogia risale non al fatto ma all'incarico. Ove risulti che un incarico fu revocato per sospetto di infedeltà, gli elaborati che ne discesero non perdono di per sé valore, ma non possono essere impiegati come catena indipendente rispetto alle altre consulenze rese sotto il medesimo incarico o nel medesimo procedimento.</w:t>
      </w:r>
    </w:p>
    <w:p>
      <w:pPr>
        <w:spacing w:after="120" w:line="276"/>
        <w:jc w:val="both"/>
      </w:pPr>
      <w:r>
        <w:rPr>
          <w:rFonts w:ascii="Barlow Semi Condensed" w:cs="Barlow Semi Condensed" w:eastAsia="Barlow Semi Condensed" w:hAnsi="Barlow Semi Condensed"/>
          <w:sz w:val="24"/>
          <w:szCs w:val="24"/>
        </w:rPr>
        <w:t xml:space="preserve">Si registra altresì la circostanza generale che ne discende e che vale per l'intero corpus maggiore: un archivio d'inchiesta contiene, accanto ai documenti acquisiti, documenti che esso stesso ha fatto produrre; e questi ultimi hanno una genealogia interna all'archivio. Chi li computi come fonti indipendenti computa come esterno ciò che l'archivio ha generato.</w:t>
      </w:r>
    </w:p>
    <w:p>
      <w:pPr>
        <w:spacing w:after="120" w:line="276"/>
        <w:jc w:val="both"/>
      </w:pPr>
      <w:r>
        <w:rPr>
          <w:rFonts w:ascii="Barlow Semi Condensed" w:cs="Barlow Semi Condensed" w:eastAsia="Barlow Semi Condensed" w:hAnsi="Barlow Semi Condensed"/>
          <w:sz w:val="24"/>
          <w:szCs w:val="24"/>
        </w:rPr>
        <w:t xml:space="preserve">Voce quarantanovesima — Gli elaborati di consulenza e la revoca delle autorizzazioni. Oggetto: l'elenco degli elaborati depositati dai consulenti presso la Commissione della XII legislatura, con l'indicazione dell'incarico che li generò; e gli atti relativi alla revoca delle autorizzazioni di cui al paragrafo richiamato. Sede: atti della Commissione della XII legislatura. Chiusura: reperimento dell'elenco e degli atti di revoca. Smentita: la constatazione che la revoca riguardasse consulenze estranee alle materie del corpus maggiore, nel qual caso la voce si chiuderebbe senza conseguenze sulla graduazione degli elaborati.</w:t>
      </w:r>
    </w:p>
    <w:p>
      <w:pPr>
        <w:pStyle w:val="Heading2"/>
        <w:spacing w:after="100" w:before="200"/>
      </w:pPr>
      <w:r>
        <w:rPr>
          <w:rFonts w:ascii="Barlow Semi Condensed" w:cs="Barlow Semi Condensed" w:eastAsia="Barlow Semi Condensed" w:hAnsi="Barlow Semi Condensed"/>
          <w:sz w:val="24"/>
          <w:szCs w:val="24"/>
        </w:rPr>
        <w:t xml:space="preserve">Parte quarta — Il semestre, e ciò che non contiene</w:t>
      </w:r>
    </w:p>
    <w:p>
      <w:pPr>
        <w:spacing w:after="120" w:line="276"/>
        <w:jc w:val="both"/>
      </w:pPr>
      <w:r>
        <w:rPr>
          <w:rFonts w:ascii="Barlow Semi Condensed" w:cs="Barlow Semi Condensed" w:eastAsia="Barlow Semi Condensed" w:hAnsi="Barlow Semi Condensed"/>
          <w:sz w:val="24"/>
          <w:szCs w:val="24"/>
        </w:rPr>
        <w:t xml:space="preserve">L'elenco delle audizioni e degli incontri di studio del semestre comprende sedute dedicate allo stato della lotta al terrorismo, a un'organizzazione rivendicatrice, alle stragi e ai depistaggi, all'inchiesta sul disastro aereo, e a una vicenda criminale degli anni novanta; e comprende audizioni di un Ministro dell'interno, di un direttore del servizio informativo militare, di dirigenti di polizia, di ufficiali, di magistrati e di studiosi, oltre a incontri di lavoro con consulenti.</w:t>
      </w:r>
    </w:p>
    <w:p>
      <w:pPr>
        <w:spacing w:after="120" w:line="276"/>
        <w:jc w:val="both"/>
      </w:pPr>
      <w:r>
        <w:rPr>
          <w:rFonts w:ascii="Barlow Semi Condensed" w:cs="Barlow Semi Condensed" w:eastAsia="Barlow Semi Condensed" w:hAnsi="Barlow Semi Condensed"/>
          <w:sz w:val="24"/>
          <w:szCs w:val="24"/>
        </w:rPr>
        <w:t xml:space="preserve">Nessuna seduta del semestre è dedicata al caso.</w:t>
      </w:r>
    </w:p>
    <w:p>
      <w:pPr>
        <w:spacing w:after="120" w:line="276"/>
        <w:jc w:val="both"/>
      </w:pPr>
      <w:r>
        <w:rPr>
          <w:rFonts w:ascii="Barlow Semi Condensed" w:cs="Barlow Semi Condensed" w:eastAsia="Barlow Semi Condensed" w:hAnsi="Barlow Semi Condensed"/>
          <w:sz w:val="24"/>
          <w:szCs w:val="24"/>
        </w:rPr>
        <w:t xml:space="preserve">Si registra l'esito negativo. Gli atti individuati per seduta e per data in questa relazione appartengono al corpus maggiore e non all'opera, e vi si iscrivono per quella via. Si segnala fra essi, per il solo interesse di designazione, che tre sedute sono dedicate a stragi e depistaggi e una all'ultimo sviluppo dell'indagine su un attentato del millenovecentosessantanove: sono le uniche del semestre che tocchino materie contigue a quelle già censite dalle appendici anteriori.</w:t>
      </w:r>
    </w:p>
    <w:p>
      <w:pPr>
        <w:pStyle w:val="Heading2"/>
        <w:spacing w:after="100" w:before="200"/>
      </w:pPr>
      <w:r>
        <w:rPr>
          <w:rFonts w:ascii="Barlow Semi Condensed" w:cs="Barlow Semi Condensed" w:eastAsia="Barlow Semi Condensed" w:hAnsi="Barlow Semi Condensed"/>
          <w:sz w:val="24"/>
          <w:szCs w:val="24"/>
        </w:rPr>
        <w:t xml:space="preserve">Parte quinta — La catena legislativa</w:t>
      </w:r>
    </w:p>
    <w:p>
      <w:pPr>
        <w:spacing w:after="120" w:line="276"/>
        <w:jc w:val="both"/>
      </w:pPr>
      <w:r>
        <w:rPr>
          <w:rFonts w:ascii="Barlow Semi Condensed" w:cs="Barlow Semi Condensed" w:eastAsia="Barlow Semi Condensed" w:hAnsi="Barlow Semi Condensed"/>
          <w:sz w:val="24"/>
          <w:szCs w:val="24"/>
        </w:rPr>
        <w:t xml:space="preserve">La relazione reca, nella propria intitolazione, la catena delle leggi che governano l'organo, e la si registra perché essa è uno strumento di designazione e non un dato formale.</w:t>
      </w:r>
    </w:p>
    <w:p>
      <w:pPr>
        <w:spacing w:after="120" w:line="276"/>
        <w:jc w:val="both"/>
      </w:pPr>
      <w:r>
        <w:rPr>
          <w:rFonts w:ascii="Barlow Semi Condensed" w:cs="Barlow Semi Condensed" w:eastAsia="Barlow Semi Condensed" w:hAnsi="Barlow Semi Condensed"/>
          <w:sz w:val="24"/>
          <w:szCs w:val="24"/>
        </w:rPr>
        <w:t xml:space="preserve">La Commissione è istituita con la legge del ventitré dicembre millenovecentonovantadue numero 499, la quale richiama la legge del diciassette maggio millenovecentottantotto numero 172 e le sue successive modificazioni; quella legge a sua volta assegna fra i propri oggetti, come l'appendice dodicesima ha accertato, l'integrazione delle conoscenze acquisite dalla Commissione istituita con la legge del ventitré novembre millenovecentosettantanove numero 597. Il termine dei lavori, fissato al trenta dicembre millenovecentonovantacinque, è prorogato di un anno con la legge del diciannove dicembre millenovecentonovantacinque numero 538.</w:t>
      </w:r>
    </w:p>
    <w:p>
      <w:pPr>
        <w:spacing w:after="120" w:line="276"/>
        <w:jc w:val="both"/>
      </w:pPr>
      <w:r>
        <w:rPr>
          <w:rFonts w:ascii="Barlow Semi Condensed" w:cs="Barlow Semi Condensed" w:eastAsia="Barlow Semi Condensed" w:hAnsi="Barlow Semi Condensed"/>
          <w:sz w:val="24"/>
          <w:szCs w:val="24"/>
        </w:rPr>
        <w:t xml:space="preserve">Quattro leggi in tredici anni, ciascuna delle quali richiama la precedente. Ne segue che le tre Commissioni non sono tre organi distinti che si occuparono per caso della medesima materia, ma un solo mandato rinnovato per rinvio legislativo. Ne segue altresì che la designazione di una fonte come atto di una Commissione va accompagnata dall'indicazione della legge sotto la quale l'organo operava, poiché l'oggetto del mandato mutò per legge almeno una volta, nel giugno millenovecentonovantuno.</w:t>
      </w:r>
    </w:p>
    <w:p>
      <w:pPr>
        <w:pStyle w:val="Heading2"/>
        <w:spacing w:after="100" w:before="200"/>
      </w:pPr>
      <w:r>
        <w:rPr>
          <w:rFonts w:ascii="Barlow Semi Condensed" w:cs="Barlow Semi Condensed" w:eastAsia="Barlow Semi Condensed" w:hAnsi="Barlow Semi Condensed"/>
          <w:sz w:val="24"/>
          <w:szCs w:val="24"/>
        </w:rPr>
        <w:t xml:space="preserve">Parte sesta — Mutazioni di stato e Stati Zero</w:t>
      </w:r>
    </w:p>
    <w:p>
      <w:pPr>
        <w:spacing w:after="120" w:line="276"/>
        <w:jc w:val="both"/>
      </w:pPr>
      <w:r>
        <w:rPr>
          <w:rFonts w:ascii="Barlow Semi Condensed" w:cs="Barlow Semi Condensed" w:eastAsia="Barlow Semi Condensed" w:hAnsi="Barlow Semi Condensed"/>
          <w:sz w:val="24"/>
          <w:szCs w:val="24"/>
        </w:rPr>
        <w:t xml:space="preserve">Si iscrive la Voce quarantanovesima. Si enuncia la diciottesima regola della risalita. Si dispone che ogni citazione di documento d'inchiesta rechi l'indicazione del proprio stato deliberativo. Si registra il rafforzamento della conclusione dell'appendice settima quanto alla non cumulabilità delle conclusioni parlamentari successive. Nessun grado di alcuna proposizione dell'opera muta.</w:t>
      </w:r>
    </w:p>
    <w:p>
      <w:pPr>
        <w:spacing w:after="120" w:line="276"/>
        <w:jc w:val="both"/>
      </w:pPr>
      <w:r>
        <w:rPr>
          <w:rFonts w:ascii="Barlow Semi Condensed" w:cs="Barlow Semi Condensed" w:eastAsia="Barlow Semi Condensed" w:hAnsi="Barlow Semi Condensed"/>
          <w:sz w:val="24"/>
          <w:szCs w:val="24"/>
        </w:rPr>
        <w:t xml:space="preserve">Si dichiarano gli Stati Zero. Primo: la proposta di relazione finale della XII legislatura, depositata e non discussa, non è posseduta; e non è accertato se essa contenesse trattazione del caso. Secondo: il capitolo stralciato non è posseduto e non è accertato se dello stralcio esista atto motivato. Terzo: gli atti relativi alla revoca delle autorizzazioni non sono posseduti. Quarto: la relazione conclusiva della XII legislatura non risulta essere stata approvata, e il presente atto non accerta se una relazione conclusiva di quella legislatura esista.</w:t>
      </w:r>
    </w:p>
    <w:p>
      <w:pPr>
        <w:spacing w:after="120" w:line="276"/>
        <w:jc w:val="both"/>
      </w:pPr>
      <w:r>
        <w:rPr>
          <w:rFonts w:ascii="Barlow Semi Condensed" w:cs="Barlow Semi Condensed" w:eastAsia="Barlow Semi Condensed" w:hAnsi="Barlow Semi Condensed"/>
          <w:sz w:val="24"/>
          <w:szCs w:val="24"/>
        </w:rPr>
        <w:t xml:space="preserve">Si osservi che il quarto Stato Zero, ove confermato, chiuderebbe negativamente una ricerca aperta dall'appendice settima: essa aveva spostato la verifica sull'esecuzione della raccomandazione relativa al repertorio del Gabinetto verso gli indici di acquisizione e la relazione conclusiva della XII legislatura. Se quella relazione non fu approvata, resta il solo primo termine.</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tredicesima del giorno sul medesimo cantiere. Cantiere: designazione per atto delle fonti. Materia: la terza relazione semestrale della XII legislatura, con la quale quella Commissione chiude i propri lavori.</w:t>
      </w:r>
    </w:p>
    <w:p>
      <w:pPr>
        <w:spacing w:after="120" w:line="276"/>
        <w:jc w:val="both"/>
      </w:pPr>
      <w:r>
        <w:rPr>
          <w:rFonts w:ascii="Barlow Semi Condensed" w:cs="Barlow Semi Condensed" w:eastAsia="Barlow Semi Condensed" w:hAnsi="Barlow Semi Condensed"/>
          <w:sz w:val="24"/>
          <w:szCs w:val="24"/>
        </w:rPr>
        <w:t xml:space="preserve">Esito positivo: accertamento che la proposta di relazione finale fu depositata, non posta in discussione e amputata di un capitolo, con enunciazione della diciottesima regola della risalita e disposizione sull'indicazione dello stato deliberativo; acquisizione della teorizzazione, da parte dell'organo medesimo, della discontinuità di memoria istituzionale, con l'aggiunta decisiva che le divergenze fra Commissioni successive possono avere causa politica anziché istruttoria; registrazione della revoca di autorizzazioni a consulenze per sospetto di infedeltà, con la conseguente disciplina sugli elaborati prodotti su incarico dell'organo; ricostruzione della catena delle quattro leggi che governano il mandato dal millenovecentosettantanove al millenovecentonovantasei; una voce nuova iscritta in tavola.</w:t>
      </w:r>
    </w:p>
    <w:p>
      <w:pPr>
        <w:spacing w:after="120" w:line="276"/>
        <w:jc w:val="both"/>
      </w:pPr>
      <w:r>
        <w:rPr>
          <w:rFonts w:ascii="Barlow Semi Condensed" w:cs="Barlow Semi Condensed" w:eastAsia="Barlow Semi Condensed" w:hAnsi="Barlow Semi Condensed"/>
          <w:sz w:val="24"/>
          <w:szCs w:val="24"/>
        </w:rPr>
        <w:t xml:space="preserve">Esito negativo: nessuna seduta del semestre è dedicata al caso; la proposta di relazione non è posseduta; il capitolo stralciato non è posseduto; gli atti di revoca non sono posseduti; non risulta che la XII legislatura abbia approvato una relazione conclusiva, il che restringe negativamente una ricerca aperta dall'appendice settima.</w:t>
      </w:r>
    </w:p>
    <w:p>
      <w:pPr>
        <w:spacing w:after="120" w:line="276"/>
        <w:jc w:val="both"/>
      </w:pPr>
      <w:r>
        <w:rPr>
          <w:rFonts w:ascii="Barlow Semi Condensed" w:cs="Barlow Semi Condensed" w:eastAsia="Barlow Semi Condensed" w:hAnsi="Barlow Semi Condensed"/>
          <w:sz w:val="24"/>
          <w:szCs w:val="24"/>
        </w:rPr>
        <w:t xml:space="preserve">Riga di rafforzamento. Si registra che una conclusione dell'appendice settima — la non cumulabilità delle conclusioni parlamentari successive — è qui confermata dalla fonte e insieme fondata su una causa che l'appendice settima non conosceva. Un rafforzamento di questa specie vale quanto una correzione, poiché una conclusione esatta per la ragione sbagliata è esposta a cadere insieme alla ragione.</w:t>
      </w:r>
    </w:p>
    <w:p>
      <w:pPr>
        <w:spacing w:after="120" w:line="276"/>
        <w:jc w:val="both"/>
      </w:pPr>
      <w:r>
        <w:rPr>
          <w:rFonts w:ascii="Barlow Semi Condensed" w:cs="Barlow Semi Condensed" w:eastAsia="Barlow Semi Condensed" w:hAnsi="Barlow Semi Condensed"/>
          <w:sz w:val="24"/>
          <w:szCs w:val="24"/>
        </w:rPr>
        <w:t xml:space="preserve">Riga di avvertenza. Il presente atto non riferisce il merito di alcuna delle inchieste menzionate, non nomina alcuna delle persone che compaiono nell'elenco delle sedute, e in particolare non riferisce a quali consulenze si riferisse il sospetto di infedeltà né quale ne fu l'esito, che le fonti possedute non recano. La registrazione di quel sospetto è fatta ai soli fini della disciplina di graduazione degli elaborati prodotti su incarico, e non implica alcun giudizio su alcuno.</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QUINDICESIMA ALLA FASE SETTIMA, la relazione che non fu discussa, quindici agosto duemilaventisei. I settanta Capitoli restano settanta. Le redazioni anteriori non sono modificate: le pietre deposte non si scalpellano. Resta sovrana la Regola di Ferro: dove la fonte documenta, l'opera certifica; dove la fonte tace, l'opera indaga e non afferma. Una proposta depositata e non discussa non è una relazione, e le fonti si designano per lo stato deliberativo che hanno raggiunto.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nono · XII · Appendice quindicesima alla Fase settima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XII: 1.999 parole in 9 sezioni; la più ampia è §9 Altre sezioni, con 1.640.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nono · XII: 34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decimo — Il repertorio del caso</w:t>
      </w:r>
    </w:p>
    <w:p>
      <w:pPr>
        <w:pStyle w:val="Heading2"/>
        <w:spacing w:after="100" w:before="200"/>
      </w:pPr>
      <w:r>
        <w:rPr>
          <w:rFonts w:ascii="Barlow Semi Condensed" w:cs="Barlow Semi Condensed" w:eastAsia="Barlow Semi Condensed" w:hAnsi="Barlow Semi Condensed"/>
          <w:sz w:val="24"/>
          <w:szCs w:val="24"/>
        </w:rPr>
        <w:t xml:space="preserve">Fase nona — Il repertorio del caso: tutto ciò che è attribuibile, e con che grado</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68-76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uso del repertorio.</w:t>
      </w:r>
      <w:r>
        <w:rPr>
          <w:rFonts w:ascii="Barlow Semi Condensed" w:cs="Barlow Semi Condensed" w:eastAsia="Barlow Semi Condensed" w:hAnsi="Barlow Semi Condensed"/>
          <w:i w:val="false"/>
          <w:iCs w:val="false"/>
          <w:sz w:val="24"/>
          <w:szCs w:val="24"/>
        </w:rPr>
        <w:t xml:space="preserve"> Questa Fase raccoglie, in forma ordinata e gradata, </w:t>
      </w:r>
      <w:r>
        <w:rPr>
          <w:rFonts w:ascii="Barlow Semi Condensed" w:cs="Barlow Semi Condensed" w:eastAsia="Barlow Semi Condensed" w:hAnsi="Barlow Semi Condensed"/>
          <w:b/>
          <w:bCs/>
          <w:i w:val="false"/>
          <w:iCs w:val="false"/>
          <w:sz w:val="24"/>
          <w:szCs w:val="24"/>
        </w:rPr>
        <w:t xml:space="preserve">tutto ciò che è attribuibile al caso Moro</w:t>
      </w:r>
      <w:r>
        <w:rPr>
          <w:rFonts w:ascii="Barlow Semi Condensed" w:cs="Barlow Semi Condensed" w:eastAsia="Barlow Semi Condensed" w:hAnsi="Barlow Semi Condensed"/>
          <w:i w:val="false"/>
          <w:iCs w:val="false"/>
          <w:sz w:val="24"/>
          <w:szCs w:val="24"/>
        </w:rPr>
        <w:t xml:space="preserve"> su base documentata: le persone, i luoghi, le date, i documenti, gli atti giudiziari e parlamentari, i nodi aperti. Non è un racconto: è un </w:t>
      </w:r>
      <w:r>
        <w:rPr>
          <w:rFonts w:ascii="Barlow Semi Condensed" w:cs="Barlow Semi Condensed" w:eastAsia="Barlow Semi Condensed" w:hAnsi="Barlow Semi Condensed"/>
          <w:b/>
          <w:bCs/>
          <w:i w:val="false"/>
          <w:iCs w:val="false"/>
          <w:sz w:val="24"/>
          <w:szCs w:val="24"/>
        </w:rPr>
        <w:t xml:space="preserve">repertorio</w:t>
      </w:r>
      <w:r>
        <w:rPr>
          <w:rFonts w:ascii="Barlow Semi Condensed" w:cs="Barlow Semi Condensed" w:eastAsia="Barlow Semi Condensed" w:hAnsi="Barlow Semi Condensed"/>
          <w:i w:val="false"/>
          <w:iCs w:val="false"/>
          <w:sz w:val="24"/>
          <w:szCs w:val="24"/>
        </w:rPr>
        <w:t xml:space="preserve"> — uno strumento di consultazione che dice, per ogni voce, </w:t>
      </w:r>
      <w:r>
        <w:rPr>
          <w:rFonts w:ascii="Barlow Semi Condensed" w:cs="Barlow Semi Condensed" w:eastAsia="Barlow Semi Condensed" w:hAnsi="Barlow Semi Condensed"/>
          <w:i w:val="false"/>
          <w:iCs w:val="false"/>
          <w:sz w:val="24"/>
          <w:szCs w:val="24"/>
        </w:rPr>
        <w:t xml:space="preserve">che cosa è</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i w:val="false"/>
          <w:iCs w:val="false"/>
          <w:sz w:val="24"/>
          <w:szCs w:val="24"/>
        </w:rPr>
        <w:t xml:space="preserve">su quale grado poggia</w:t>
      </w:r>
      <w:r>
        <w:rPr>
          <w:rFonts w:ascii="Barlow Semi Condensed" w:cs="Barlow Semi Condensed" w:eastAsia="Barlow Semi Condensed" w:hAnsi="Barlow Semi Condensed"/>
          <w:i w:val="false"/>
          <w:iCs w:val="false"/>
          <w:sz w:val="24"/>
          <w:szCs w:val="24"/>
        </w:rPr>
        <w:t xml:space="preserve">. I gradi sono quelli dell'apparato (Fase sesta), qui applicati voce per voce: - </w:t>
      </w:r>
      <w:r>
        <w:rPr>
          <w:rFonts w:ascii="Barlow Semi Condensed" w:cs="Barlow Semi Condensed" w:eastAsia="Barlow Semi Condensed" w:hAnsi="Barlow Semi Condensed"/>
          <w:b/>
          <w:bCs/>
          <w:i w:val="false"/>
          <w:iCs w:val="false"/>
          <w:sz w:val="24"/>
          <w:szCs w:val="24"/>
        </w:rPr>
        <w:t xml:space="preserve">A · Giudicato</w:t>
      </w:r>
      <w:r>
        <w:rPr>
          <w:rFonts w:ascii="Barlow Semi Condensed" w:cs="Barlow Semi Condensed" w:eastAsia="Barlow Semi Condensed" w:hAnsi="Barlow Semi Condensed"/>
          <w:i w:val="false"/>
          <w:iCs w:val="false"/>
          <w:sz w:val="24"/>
          <w:szCs w:val="24"/>
        </w:rPr>
        <w:t xml:space="preserve"> — accertato con sentenza definitiva. Fatto. - </w:t>
      </w:r>
      <w:r>
        <w:rPr>
          <w:rFonts w:ascii="Barlow Semi Condensed" w:cs="Barlow Semi Condensed" w:eastAsia="Barlow Semi Condensed" w:hAnsi="Barlow Semi Condensed"/>
          <w:b/>
          <w:bCs/>
          <w:i w:val="false"/>
          <w:iCs w:val="false"/>
          <w:sz w:val="24"/>
          <w:szCs w:val="24"/>
        </w:rPr>
        <w:t xml:space="preserve">B · Accertamento</w:t>
      </w:r>
      <w:r>
        <w:rPr>
          <w:rFonts w:ascii="Barlow Semi Condensed" w:cs="Barlow Semi Condensed" w:eastAsia="Barlow Semi Condensed" w:hAnsi="Barlow Semi Condensed"/>
          <w:i w:val="false"/>
          <w:iCs w:val="false"/>
          <w:sz w:val="24"/>
          <w:szCs w:val="24"/>
        </w:rPr>
        <w:t xml:space="preserve"> — documentato da atti istruttori o dalle Commissioni parlamentari (Moro 2, 2014-2017): serio, non giudiziario. - </w:t>
      </w:r>
      <w:r>
        <w:rPr>
          <w:rFonts w:ascii="Barlow Semi Condensed" w:cs="Barlow Semi Condensed" w:eastAsia="Barlow Semi Condensed" w:hAnsi="Barlow Semi Condensed"/>
          <w:b/>
          <w:bCs/>
          <w:i w:val="false"/>
          <w:iCs w:val="false"/>
          <w:sz w:val="24"/>
          <w:szCs w:val="24"/>
        </w:rPr>
        <w:t xml:space="preserve">C · Congettura</w:t>
      </w:r>
      <w:r>
        <w:rPr>
          <w:rFonts w:ascii="Barlow Semi Condensed" w:cs="Barlow Semi Condensed" w:eastAsia="Barlow Semi Condensed" w:hAnsi="Barlow Semi Condensed"/>
          <w:i w:val="false"/>
          <w:iCs w:val="false"/>
          <w:sz w:val="24"/>
          <w:szCs w:val="24"/>
        </w:rPr>
        <w:t xml:space="preserve"> — ipotesi ordinata, non provata; lasciata come tale. - </w:t>
      </w:r>
      <w:r>
        <w:rPr>
          <w:rFonts w:ascii="Barlow Semi Condensed" w:cs="Barlow Semi Condensed" w:eastAsia="Barlow Semi Condensed" w:hAnsi="Barlow Semi Condensed"/>
          <w:b/>
          <w:bCs/>
          <w:i w:val="false"/>
          <w:iCs w:val="false"/>
          <w:sz w:val="24"/>
          <w:szCs w:val="24"/>
        </w:rPr>
        <w:t xml:space="preserve">F · Fatto pubblico</w:t>
      </w:r>
      <w:r>
        <w:rPr>
          <w:rFonts w:ascii="Barlow Semi Condensed" w:cs="Barlow Semi Condensed" w:eastAsia="Barlow Semi Condensed" w:hAnsi="Barlow Semi Condensed"/>
          <w:i w:val="false"/>
          <w:iCs w:val="false"/>
          <w:sz w:val="24"/>
          <w:szCs w:val="24"/>
        </w:rPr>
        <w:t xml:space="preserve"> — dato di cronaca o biografico non controverso (nomi, date, luoghi).  La regola è ferrea e non ammette eccezioni nemmeno in un repertorio: </w:t>
      </w:r>
      <w:r>
        <w:rPr>
          <w:rFonts w:ascii="Barlow Semi Condensed" w:cs="Barlow Semi Condensed" w:eastAsia="Barlow Semi Condensed" w:hAnsi="Barlow Semi Condensed"/>
          <w:b/>
          <w:bCs/>
          <w:i w:val="false"/>
          <w:iCs w:val="false"/>
          <w:sz w:val="24"/>
          <w:szCs w:val="24"/>
        </w:rPr>
        <w:t xml:space="preserve">si nominano come responsabili solo coloro che una sentenza definitiva ha condannato</w:t>
      </w:r>
      <w:r>
        <w:rPr>
          <w:rFonts w:ascii="Barlow Semi Condensed" w:cs="Barlow Semi Condensed" w:eastAsia="Barlow Semi Condensed" w:hAnsi="Barlow Semi Condensed"/>
          <w:i w:val="false"/>
          <w:iCs w:val="false"/>
          <w:sz w:val="24"/>
          <w:szCs w:val="24"/>
        </w:rPr>
        <w:t xml:space="preserve">; per tutti gli altri vale la presunzione d'innocenza, e ciò che è congettura resta congettura per quanto ricorra spesso. Il repertorio </w:t>
      </w:r>
      <w:r>
        <w:rPr>
          <w:rFonts w:ascii="Barlow Semi Condensed" w:cs="Barlow Semi Condensed" w:eastAsia="Barlow Semi Condensed" w:hAnsi="Barlow Semi Condensed"/>
          <w:i w:val="false"/>
          <w:iCs w:val="false"/>
          <w:sz w:val="24"/>
          <w:szCs w:val="24"/>
        </w:rPr>
        <w:t xml:space="preserve">cataloga</w:t>
      </w:r>
      <w:r>
        <w:rPr>
          <w:rFonts w:ascii="Barlow Semi Condensed" w:cs="Barlow Semi Condensed" w:eastAsia="Barlow Semi Condensed" w:hAnsi="Barlow Semi Condensed"/>
          <w:i w:val="false"/>
          <w:iCs w:val="false"/>
          <w:sz w:val="24"/>
          <w:szCs w:val="24"/>
        </w:rPr>
        <w:t xml:space="preserve">, non </w:t>
      </w:r>
      <w:r>
        <w:rPr>
          <w:rFonts w:ascii="Barlow Semi Condensed" w:cs="Barlow Semi Condensed" w:eastAsia="Barlow Semi Condensed" w:hAnsi="Barlow Semi Condensed"/>
          <w:i w:val="false"/>
          <w:iCs w:val="false"/>
          <w:sz w:val="24"/>
          <w:szCs w:val="24"/>
        </w:rPr>
        <w:t xml:space="preserve">accusa</w:t>
      </w:r>
      <w:r>
        <w:rPr>
          <w:rFonts w:ascii="Barlow Semi Condensed" w:cs="Barlow Semi Condensed" w:eastAsia="Barlow Semi Condensed" w:hAnsi="Barlow Semi Condensed"/>
          <w:i w:val="false"/>
          <w:iCs w:val="false"/>
          <w:sz w:val="24"/>
          <w:szCs w:val="24"/>
        </w:rPr>
        <w:t xml:space="preserve">. È «tutto ciò che è attribuibile» nel solo senso lecito: tutto ciò che si può ancorare a una fonte, con il grado dichiarato.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sessantottesimo — La cronologia essenziale dei cinquantacinque giorni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Data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Evento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16 marzo 1978, mattina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Agguato di </w:t>
            </w:r>
            <w:r>
              <w:rPr>
                <w:rFonts w:ascii="Barlow Semi Condensed" w:cs="Barlow Semi Condensed" w:eastAsia="Barlow Semi Condensed" w:hAnsi="Barlow Semi Condensed"/>
                <w:b/>
                <w:bCs/>
                <w:sz w:val="20"/>
                <w:szCs w:val="20"/>
              </w:rPr>
              <w:t xml:space="preserve">via Fani</w:t>
            </w:r>
            <w:r>
              <w:rPr>
                <w:rFonts w:ascii="Barlow Semi Condensed" w:cs="Barlow Semi Condensed" w:eastAsia="Barlow Semi Condensed" w:hAnsi="Barlow Semi Condensed"/>
                <w:sz w:val="20"/>
                <w:szCs w:val="20"/>
              </w:rPr>
              <w:t xml:space="preserve"> (Roma): il commando BR blocca le due auto; è rapito Aldo Moro; è sterminata la scorta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16 marzo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Insediamento del governo Andreotti IV (della «solidarietà nazionale»), che Moro andava a votare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18 marzo 1978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Comunicato n. 1</w:t>
            </w:r>
            <w:r>
              <w:rPr>
                <w:rFonts w:ascii="Barlow Semi Condensed" w:cs="Barlow Semi Condensed" w:eastAsia="Barlow Semi Condensed" w:hAnsi="Barlow Semi Condensed"/>
                <w:sz w:val="20"/>
                <w:szCs w:val="20"/>
              </w:rPr>
              <w:t xml:space="preserve"> delle BR: Moro «processato dal tribunale del popolo»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25 marzo – 4 aprile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Comunicati successivi; prime lettere di Moro rese pubbliche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18 aprile 1978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Falso comunicato n. 7</w:t>
            </w:r>
            <w:r>
              <w:rPr>
                <w:rFonts w:ascii="Barlow Semi Condensed" w:cs="Barlow Semi Condensed" w:eastAsia="Barlow Semi Condensed" w:hAnsi="Barlow Semi Condensed"/>
                <w:sz w:val="20"/>
                <w:szCs w:val="20"/>
              </w:rPr>
              <w:t xml:space="preserve"> («lago della Duchessa»): annuncia la morte di Moro. Lo stesso giorno è scoperto il covo di </w:t>
            </w:r>
            <w:r>
              <w:rPr>
                <w:rFonts w:ascii="Barlow Semi Condensed" w:cs="Barlow Semi Condensed" w:eastAsia="Barlow Semi Condensed" w:hAnsi="Barlow Semi Condensed"/>
                <w:b/>
                <w:bCs/>
                <w:sz w:val="20"/>
                <w:szCs w:val="20"/>
              </w:rPr>
              <w:t xml:space="preserve">via Gradoli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(falso accertato) / B</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24 aprile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Comunicato n. 9: le BR chiedono lo scambio con tredici detenuti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Ultimo comunicato: annuncio dell'esecuzione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9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corpo di Moro è ritrovato in una </w:t>
            </w:r>
            <w:r>
              <w:rPr>
                <w:rFonts w:ascii="Barlow Semi Condensed" w:cs="Barlow Semi Condensed" w:eastAsia="Barlow Semi Condensed" w:hAnsi="Barlow Semi Condensed"/>
                <w:b/>
                <w:bCs/>
                <w:sz w:val="20"/>
                <w:szCs w:val="20"/>
              </w:rPr>
              <w:t xml:space="preserve">Renault 4 rossa in via Caetani</w:t>
            </w:r>
            <w:r>
              <w:rPr>
                <w:rFonts w:ascii="Barlow Semi Condensed" w:cs="Barlow Semi Condensed" w:eastAsia="Barlow Semi Condensed" w:hAnsi="Barlow Semi Condensed"/>
                <w:sz w:val="20"/>
                <w:szCs w:val="20"/>
              </w:rPr>
              <w:t xml:space="preserve">, fra le sedi di PCI e DC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13 maggio 1978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Funerali di Stato in San Giovanni, </w:t>
            </w:r>
            <w:r>
              <w:rPr>
                <w:rFonts w:ascii="Barlow Semi Condensed" w:cs="Barlow Semi Condensed" w:eastAsia="Barlow Semi Condensed" w:hAnsi="Barlow Semi Condensed"/>
                <w:b/>
                <w:bCs/>
                <w:sz w:val="20"/>
                <w:szCs w:val="20"/>
              </w:rPr>
              <w:t xml:space="preserve">senza la salma</w:t>
            </w:r>
            <w:r>
              <w:rPr>
                <w:rFonts w:ascii="Barlow Semi Condensed" w:cs="Barlow Semi Condensed" w:eastAsia="Barlow Semi Condensed" w:hAnsi="Barlow Semi Condensed"/>
                <w:sz w:val="20"/>
                <w:szCs w:val="20"/>
              </w:rPr>
              <w:t xml:space="preserve">, per volontà della famiglia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w:t>
            </w:r>
          </w:p>
        </w:tc>
      </w:tr>
    </w:tbl>
    <w:p>
      <w:pPr>
        <w:spacing w:after="80"/>
      </w:pPr>
    </w:p>
    <w:p>
      <w:pPr>
        <w:pStyle w:val="Heading1"/>
        <w:spacing w:after="120" w:before="240"/>
      </w:pPr>
      <w:r>
        <w:rPr>
          <w:rFonts w:ascii="Barlow Semi Condensed" w:cs="Barlow Semi Condensed" w:eastAsia="Barlow Semi Condensed" w:hAnsi="Barlow Semi Condensed"/>
          <w:sz w:val="24"/>
          <w:szCs w:val="24"/>
        </w:rPr>
        <w:t xml:space="preserve">Capitolo sessantanovesimo — Le vittime di via Fani (grado A · giudicato · da nominare per prime)</w:t>
      </w:r>
    </w:p>
    <w:p>
      <w:pPr>
        <w:spacing w:after="120" w:line="276"/>
        <w:jc w:val="both"/>
      </w:pPr>
      <w:r>
        <w:rPr>
          <w:rFonts w:ascii="Barlow Semi Condensed" w:cs="Barlow Semi Condensed" w:eastAsia="Barlow Semi Condensed" w:hAnsi="Barlow Semi Condensed"/>
          <w:sz w:val="24"/>
          <w:szCs w:val="24"/>
        </w:rPr>
        <w:t xml:space="preserve">Il repertorio comincia da loro, perché è giusto e perché sono la parte del caso su cui non esiste ombra. I cinque uomini della scorta uccisi a via Fani il 16 marzo 1978 (Ministero dell'Interno (https://www.interno.gov.it/it/notizie/16-marzo-1978-rapimento-aldo-moro-e-lassassinio-dei-cinque-uomini-sua-scorta)):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Oreste Leonardi</w:t>
      </w:r>
      <w:r>
        <w:rPr>
          <w:rFonts w:ascii="Barlow Semi Condensed" w:cs="Barlow Semi Condensed" w:eastAsia="Barlow Semi Condensed" w:hAnsi="Barlow Semi Condensed"/>
          <w:sz w:val="24"/>
          <w:szCs w:val="24"/>
        </w:rPr>
        <w:t xml:space="preserve">, maresciallo dei Carabinieri, capo-scorta;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Domenico Ricci</w:t>
      </w:r>
      <w:r>
        <w:rPr>
          <w:rFonts w:ascii="Barlow Semi Condensed" w:cs="Barlow Semi Condensed" w:eastAsia="Barlow Semi Condensed" w:hAnsi="Barlow Semi Condensed"/>
          <w:sz w:val="24"/>
          <w:szCs w:val="24"/>
        </w:rPr>
        <w:t xml:space="preserve">, appuntato dei Carabinieri, autista;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Giulio Rivera</w:t>
      </w:r>
      <w:r>
        <w:rPr>
          <w:rFonts w:ascii="Barlow Semi Condensed" w:cs="Barlow Semi Condensed" w:eastAsia="Barlow Semi Condensed" w:hAnsi="Barlow Semi Condensed"/>
          <w:sz w:val="24"/>
          <w:szCs w:val="24"/>
        </w:rPr>
        <w:t xml:space="preserve">, agente di Pubblica Sicurezza;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Francesco Zizzi</w:t>
      </w:r>
      <w:r>
        <w:rPr>
          <w:rFonts w:ascii="Barlow Semi Condensed" w:cs="Barlow Semi Condensed" w:eastAsia="Barlow Semi Condensed" w:hAnsi="Barlow Semi Condensed"/>
          <w:sz w:val="24"/>
          <w:szCs w:val="24"/>
        </w:rPr>
        <w:t xml:space="preserve">, vice brigadiere di P.S. (morì poco dopo in ospedale);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Raffaele Iozzino</w:t>
      </w:r>
      <w:r>
        <w:rPr>
          <w:rFonts w:ascii="Barlow Semi Condensed" w:cs="Barlow Semi Condensed" w:eastAsia="Barlow Semi Condensed" w:hAnsi="Barlow Semi Condensed"/>
          <w:sz w:val="24"/>
          <w:szCs w:val="24"/>
        </w:rPr>
        <w:t xml:space="preserve">, agente di P.S., l'unico che riuscì a scendere e a rispondere al fuoco.</w:t>
      </w:r>
    </w:p>
    <w:p>
      <w:pPr>
        <w:spacing w:after="120" w:line="276"/>
        <w:jc w:val="both"/>
      </w:pPr>
      <w:r>
        <w:rPr>
          <w:rFonts w:ascii="Barlow Semi Condensed" w:cs="Barlow Semi Condensed" w:eastAsia="Barlow Semi Condensed" w:hAnsi="Barlow Semi Condensed"/>
          <w:sz w:val="24"/>
          <w:szCs w:val="24"/>
        </w:rPr>
        <w:t xml:space="preserve">Sono, con Moro, le sei vittime del caso. Il repertorio le tiene in testa perché nessuna disquisizione sui «livelli» del sequestro può farle scivolare a nota a piè di pagina: furono uomini uccisi al loro posto, e la loro morte è il primo fatto del caso.</w:t>
      </w:r>
    </w:p>
    <w:p>
      <w:pPr>
        <w:pStyle w:val="Heading1"/>
        <w:spacing w:after="120" w:before="240"/>
      </w:pPr>
      <w:r>
        <w:rPr>
          <w:rFonts w:ascii="Barlow Semi Condensed" w:cs="Barlow Semi Condensed" w:eastAsia="Barlow Semi Condensed" w:hAnsi="Barlow Semi Condensed"/>
          <w:sz w:val="24"/>
          <w:szCs w:val="24"/>
        </w:rPr>
        <w:t xml:space="preserve">Capitolo settantesimo — Gli autori accertati (grado A · giudicato)</w:t>
      </w:r>
    </w:p>
    <w:p>
      <w:pPr>
        <w:spacing w:after="120" w:line="276"/>
        <w:jc w:val="both"/>
      </w:pPr>
      <w:r>
        <w:rPr>
          <w:rFonts w:ascii="Barlow Semi Condensed" w:cs="Barlow Semi Condensed" w:eastAsia="Barlow Semi Condensed" w:hAnsi="Barlow Semi Condensed"/>
          <w:sz w:val="24"/>
          <w:szCs w:val="24"/>
        </w:rPr>
        <w:t xml:space="preserve">Si nominano qui, e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qui, le persone la cui responsabilità nel sequestro e nell'omicidio è stata accertata da </w:t>
      </w:r>
      <w:r>
        <w:rPr>
          <w:rFonts w:ascii="Barlow Semi Condensed" w:cs="Barlow Semi Condensed" w:eastAsia="Barlow Semi Condensed" w:hAnsi="Barlow Semi Condensed"/>
          <w:b/>
          <w:bCs/>
          <w:sz w:val="24"/>
          <w:szCs w:val="24"/>
        </w:rPr>
        <w:t xml:space="preserve">sentenza definitiva</w:t>
      </w:r>
      <w:r>
        <w:rPr>
          <w:rFonts w:ascii="Barlow Semi Condensed" w:cs="Barlow Semi Condensed" w:eastAsia="Barlow Semi Condensed" w:hAnsi="Barlow Semi Condensed"/>
          <w:sz w:val="24"/>
          <w:szCs w:val="24"/>
        </w:rPr>
        <w:t xml:space="preserve"> nei cinque processi Moro (cfr. Fase settima). Nominarle non viola il divieto di imputare: le ha già imputate lo Stato, in via irrevocabile.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 direzione dell'operazione ed esecuzione materiale dell'omicidio (per sua ammissione, recepita dal giudicato).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Valerio Morucci, Adriana Faranda, Raffaele Fiore, Prospero Gallinari, Franco Bonisoli, Barbara Balzerani</w:t>
      </w:r>
      <w:r>
        <w:rPr>
          <w:rFonts w:ascii="Barlow Semi Condensed" w:cs="Barlow Semi Condensed" w:eastAsia="Barlow Semi Condensed" w:hAnsi="Barlow Semi Condensed"/>
          <w:sz w:val="24"/>
          <w:szCs w:val="24"/>
        </w:rPr>
        <w:t xml:space="preserve"> — fra i componenti del commando di via Fani e della gestione del sequestro.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Alvaro Lojacono</w:t>
      </w:r>
      <w:r>
        <w:rPr>
          <w:rFonts w:ascii="Barlow Semi Condensed" w:cs="Barlow Semi Condensed" w:eastAsia="Barlow Semi Condensed" w:hAnsi="Barlow Semi Condensed"/>
          <w:sz w:val="24"/>
          <w:szCs w:val="24"/>
        </w:rPr>
        <w:t xml:space="preserve"> — responsabilità per l'intero arco 16 marzo-9 maggio (Moro quater, definitivo 1997).</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Germano Maccari</w:t>
      </w:r>
      <w:r>
        <w:rPr>
          <w:rFonts w:ascii="Barlow Semi Condensed" w:cs="Barlow Semi Condensed" w:eastAsia="Barlow Semi Condensed" w:hAnsi="Barlow Semi Condensed"/>
          <w:sz w:val="24"/>
          <w:szCs w:val="24"/>
        </w:rPr>
        <w:t xml:space="preserve"> — il «quarto uomo» del covo di via Montalcini (Moro quinquies, definitivo 1999); </w:t>
      </w:r>
      <w:r>
        <w:rPr>
          <w:rFonts w:ascii="Barlow Semi Condensed" w:cs="Barlow Semi Condensed" w:eastAsia="Barlow Semi Condensed" w:hAnsi="Barlow Semi Condensed"/>
          <w:b/>
          <w:bCs/>
          <w:sz w:val="24"/>
          <w:szCs w:val="24"/>
        </w:rPr>
        <w:t xml:space="preserve">Raimondo Etro</w:t>
      </w:r>
      <w:r>
        <w:rPr>
          <w:rFonts w:ascii="Barlow Semi Condensed" w:cs="Barlow Semi Condensed" w:eastAsia="Barlow Semi Condensed" w:hAnsi="Barlow Semi Condensed"/>
          <w:sz w:val="24"/>
          <w:szCs w:val="24"/>
        </w:rPr>
        <w:t xml:space="preserve">, per fasi collaterali.</w:t>
      </w:r>
    </w:p>
    <w:p>
      <w:pPr>
        <w:spacing w:after="120" w:line="276"/>
        <w:jc w:val="both"/>
      </w:pPr>
      <w:r>
        <w:rPr>
          <w:rFonts w:ascii="Barlow Semi Condensed" w:cs="Barlow Semi Condensed" w:eastAsia="Barlow Semi Condensed" w:hAnsi="Barlow Semi Condensed"/>
          <w:sz w:val="24"/>
          <w:szCs w:val="24"/>
        </w:rPr>
        <w:t xml:space="preserve">Oltre questo elenco, il repertorio </w:t>
      </w:r>
      <w:r>
        <w:rPr>
          <w:rFonts w:ascii="Barlow Semi Condensed" w:cs="Barlow Semi Condensed" w:eastAsia="Barlow Semi Condensed" w:hAnsi="Barlow Semi Condensed"/>
          <w:b/>
          <w:bCs/>
          <w:sz w:val="24"/>
          <w:szCs w:val="24"/>
        </w:rPr>
        <w:t xml:space="preserve">non aggiunge nomi</w:t>
      </w:r>
      <w:r>
        <w:rPr>
          <w:rFonts w:ascii="Barlow Semi Condensed" w:cs="Barlow Semi Condensed" w:eastAsia="Barlow Semi Condensed" w:hAnsi="Barlow Semi Condensed"/>
          <w:sz w:val="24"/>
          <w:szCs w:val="24"/>
        </w:rPr>
        <w:t xml:space="preserve">. Chiunque altro sia stato evocato — mandanti, complici, presenze — appartiene, allo stato degli atti, al grado B o C, e vi resta.</w:t>
      </w:r>
    </w:p>
    <w:p>
      <w:pPr>
        <w:pStyle w:val="Heading1"/>
        <w:spacing w:after="120" w:before="240"/>
      </w:pPr>
      <w:r>
        <w:rPr>
          <w:rFonts w:ascii="Barlow Semi Condensed" w:cs="Barlow Semi Condensed" w:eastAsia="Barlow Semi Condensed" w:hAnsi="Barlow Semi Condensed"/>
          <w:sz w:val="24"/>
          <w:szCs w:val="24"/>
        </w:rPr>
        <w:t xml:space="preserve">Capitolo settantunesimo — I luoghi (grado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Luogo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Funzione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Mario Fani</w:t>
            </w:r>
            <w:r>
              <w:rPr>
                <w:rFonts w:ascii="Barlow Semi Condensed" w:cs="Barlow Semi Condensed" w:eastAsia="Barlow Semi Condensed" w:hAnsi="Barlow Semi Condensed"/>
                <w:sz w:val="20"/>
                <w:szCs w:val="20"/>
              </w:rPr>
              <w:t xml:space="preserve"> (Roma, Monte Mario)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L'agguato del 16 marzo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Camillo Montalcini 8</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«prigione del popolo»: unico covo di detenzione accertato in giudizio (Moro quinquies)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Gradoli 96</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Covo BR scoperto il 18 aprile 1978; nodo della «seduta spiritica»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(esistenza) / B (modalità della scoperta)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Caetani</w:t>
            </w:r>
            <w:r>
              <w:rPr>
                <w:rFonts w:ascii="Barlow Semi Condensed" w:cs="Barlow Semi Condensed" w:eastAsia="Barlow Semi Condensed" w:hAnsi="Barlow Semi Condensed"/>
                <w:sz w:val="20"/>
                <w:szCs w:val="20"/>
              </w:rPr>
              <w:t xml:space="preserve"> (Roma)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Ritrovamento del corpo, 9 maggio; a metà via fra Botteghe Oscure (PCI) e piazza del Gesù (DC)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Via Monte Nevoso</w:t>
            </w:r>
            <w:r>
              <w:rPr>
                <w:rFonts w:ascii="Barlow Semi Condensed" w:cs="Barlow Semi Condensed" w:eastAsia="Barlow Semi Condensed" w:hAnsi="Barlow Semi Condensed"/>
                <w:sz w:val="20"/>
                <w:szCs w:val="20"/>
              </w:rPr>
              <w:t xml:space="preserve"> (Milano)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Covo dove fu ritrovato il memoriale, in due tempi (1978 e 1990)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(ritrovamenti) / B (completezza)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Lago della Duchessa</w:t>
            </w:r>
            <w:r>
              <w:rPr>
                <w:rFonts w:ascii="Barlow Semi Condensed" w:cs="Barlow Semi Condensed" w:eastAsia="Barlow Semi Condensed" w:hAnsi="Barlow Semi Condensed"/>
                <w:sz w:val="20"/>
                <w:szCs w:val="20"/>
              </w:rPr>
              <w:t xml:space="preserve"> (Rieti)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Oggetto del falso comunicato del 18 aprile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(il falso)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Sull'eventuale </w:t>
      </w:r>
      <w:r>
        <w:rPr>
          <w:rFonts w:ascii="Barlow Semi Condensed" w:cs="Barlow Semi Condensed" w:eastAsia="Barlow Semi Condensed" w:hAnsi="Barlow Semi Condensed"/>
          <w:b/>
          <w:bCs/>
          <w:sz w:val="24"/>
          <w:szCs w:val="24"/>
        </w:rPr>
        <w:t xml:space="preserve">seconda prigione</w:t>
      </w:r>
      <w:r>
        <w:rPr>
          <w:rFonts w:ascii="Barlow Semi Condensed" w:cs="Barlow Semi Condensed" w:eastAsia="Barlow Semi Condensed" w:hAnsi="Barlow Semi Condensed"/>
          <w:sz w:val="24"/>
          <w:szCs w:val="24"/>
        </w:rPr>
        <w:t xml:space="preserve"> — tesi ricorrente secondo cui Moro sarebbe stato tenuto altrove che a via Montalcini — il repertorio è netto: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non provata; il giudicato conosce una sola prigione.</w:t>
      </w:r>
    </w:p>
    <w:p>
      <w:pPr>
        <w:pStyle w:val="Heading1"/>
        <w:spacing w:after="120" w:before="240"/>
      </w:pPr>
      <w:r>
        <w:rPr>
          <w:rFonts w:ascii="Barlow Semi Condensed" w:cs="Barlow Semi Condensed" w:eastAsia="Barlow Semi Condensed" w:hAnsi="Barlow Semi Condensed"/>
          <w:sz w:val="24"/>
          <w:szCs w:val="24"/>
        </w:rPr>
        <w:t xml:space="preserve">Capitolo settantaduesimo — I documenti (grado A/B)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L'epistolario della prigionia</w:t>
      </w:r>
      <w:r>
        <w:rPr>
          <w:rFonts w:ascii="Barlow Semi Condensed" w:cs="Barlow Semi Condensed" w:eastAsia="Barlow Semi Condensed" w:hAnsi="Barlow Semi Condensed"/>
          <w:sz w:val="24"/>
          <w:szCs w:val="24"/>
        </w:rPr>
        <w:t xml:space="preserve"> — circa </w:t>
      </w:r>
      <w:r>
        <w:rPr>
          <w:rFonts w:ascii="Barlow Semi Condensed" w:cs="Barlow Semi Condensed" w:eastAsia="Barlow Semi Condensed" w:hAnsi="Barlow Semi Condensed"/>
          <w:b/>
          <w:bCs/>
          <w:sz w:val="24"/>
          <w:szCs w:val="24"/>
        </w:rPr>
        <w:t xml:space="preserve">novanta-novantasette lettere</w:t>
      </w:r>
      <w:r>
        <w:rPr>
          <w:rFonts w:ascii="Barlow Semi Condensed" w:cs="Barlow Semi Condensed" w:eastAsia="Barlow Semi Condensed" w:hAnsi="Barlow Semi Condensed"/>
          <w:sz w:val="24"/>
          <w:szCs w:val="24"/>
        </w:rPr>
        <w:t xml:space="preserve"> scritte da Moro fra marzo e maggio 1978 (a Cossiga, alla DC, alla famiglia, al Papa)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quanto all'esistenza e alla mano;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quanto alle condizioni di scrittura. Sul loro statuto umano, non riducibile ad atto, cfr. Fase ottava, cap. 66.</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comunicati delle Brigate Rosse</w:t>
      </w:r>
      <w:r>
        <w:rPr>
          <w:rFonts w:ascii="Barlow Semi Condensed" w:cs="Barlow Semi Condensed" w:eastAsia="Barlow Semi Condensed" w:hAnsi="Barlow Semi Condensed"/>
          <w:sz w:val="24"/>
          <w:szCs w:val="24"/>
        </w:rPr>
        <w:t xml:space="preserve"> (nn. 1-9 più il falso n. 7)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prodotti e diffusi dall'organizzazione; il n. 7 è il </w:t>
      </w:r>
      <w:r>
        <w:rPr>
          <w:rFonts w:ascii="Barlow Semi Condensed" w:cs="Barlow Semi Condensed" w:eastAsia="Barlow Semi Condensed" w:hAnsi="Barlow Semi Condensed"/>
          <w:b/>
          <w:bCs/>
          <w:sz w:val="24"/>
          <w:szCs w:val="24"/>
        </w:rPr>
        <w:t xml:space="preserve">falso</w:t>
      </w:r>
      <w:r>
        <w:rPr>
          <w:rFonts w:ascii="Barlow Semi Condensed" w:cs="Barlow Semi Condensed" w:eastAsia="Barlow Semi Condensed" w:hAnsi="Barlow Semi Condensed"/>
          <w:sz w:val="24"/>
          <w:szCs w:val="24"/>
        </w:rPr>
        <w:t xml:space="preserve"> accertato del lago della Duchessa.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Memoriale Moro</w:t>
      </w:r>
      <w:r>
        <w:rPr>
          <w:rFonts w:ascii="Barlow Semi Condensed" w:cs="Barlow Semi Condensed" w:eastAsia="Barlow Semi Condensed" w:hAnsi="Barlow Semi Condensed"/>
          <w:sz w:val="24"/>
          <w:szCs w:val="24"/>
        </w:rPr>
        <w:t xml:space="preserve"> (via Monte Nevoso) → ritrovamenti del 1978 (dattiloscritto) e del 1990 (originali dietro un pannello)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quanto ai ritrovamenti;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 per accertamento della Commissione Moro 2 — quanto alla natura del «Memoriale Morucci» come </w:t>
      </w:r>
      <w:r>
        <w:rPr>
          <w:rFonts w:ascii="Barlow Semi Condensed" w:cs="Barlow Semi Condensed" w:eastAsia="Barlow Semi Condensed" w:hAnsi="Barlow Semi Condensed"/>
          <w:b/>
          <w:bCs/>
          <w:sz w:val="24"/>
          <w:szCs w:val="24"/>
        </w:rPr>
        <w:t xml:space="preserve">testo negoziato</w:t>
      </w:r>
      <w:r>
        <w:rPr>
          <w:rFonts w:ascii="Barlow Semi Condensed" w:cs="Barlow Semi Condensed" w:eastAsia="Barlow Semi Condensed" w:hAnsi="Barlow Semi Condensed"/>
          <w:sz w:val="24"/>
          <w:szCs w:val="24"/>
        </w:rPr>
        <w:t xml:space="preserve"> degli anni Ottanta (cfr. Fase settima, cap. 59); la </w:t>
      </w:r>
      <w:r>
        <w:rPr>
          <w:rFonts w:ascii="Barlow Semi Condensed" w:cs="Barlow Semi Condensed" w:eastAsia="Barlow Semi Condensed" w:hAnsi="Barlow Semi Condensed"/>
          <w:b/>
          <w:bCs/>
          <w:sz w:val="24"/>
          <w:szCs w:val="24"/>
        </w:rPr>
        <w:t xml:space="preserve">completezza</w:t>
      </w:r>
      <w:r>
        <w:rPr>
          <w:rFonts w:ascii="Barlow Semi Condensed" w:cs="Barlow Semi Condensed" w:eastAsia="Barlow Semi Condensed" w:hAnsi="Barlow Semi Condensed"/>
          <w:sz w:val="24"/>
          <w:szCs w:val="24"/>
        </w:rPr>
        <w:t xml:space="preserve"> di ciò che fu ritrovato resta questione aperta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w:t>
      </w:r>
    </w:p>
    <w:p>
      <w:pPr>
        <w:pStyle w:val="Heading1"/>
        <w:spacing w:after="120" w:before="240"/>
      </w:pPr>
      <w:r>
        <w:rPr>
          <w:rFonts w:ascii="Barlow Semi Condensed" w:cs="Barlow Semi Condensed" w:eastAsia="Barlow Semi Condensed" w:hAnsi="Barlow Semi Condensed"/>
          <w:sz w:val="24"/>
          <w:szCs w:val="24"/>
        </w:rPr>
        <w:t xml:space="preserve">Capitolo settantatreesimo — Gli atti giudiziari e parlamentari (grado A/B)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cinque processi Moro</w:t>
      </w:r>
      <w:r>
        <w:rPr>
          <w:rFonts w:ascii="Barlow Semi Condensed" w:cs="Barlow Semi Condensed" w:eastAsia="Barlow Semi Condensed" w:hAnsi="Barlow Semi Condensed"/>
          <w:sz w:val="24"/>
          <w:szCs w:val="24"/>
        </w:rPr>
        <w:t xml:space="preserve"> (uno/bis/ter/quater/quinquies, 1982-1999) → il </w:t>
      </w:r>
      <w:r>
        <w:rPr>
          <w:rFonts w:ascii="Barlow Semi Condensed" w:cs="Barlow Semi Condensed" w:eastAsia="Barlow Semi Condensed" w:hAnsi="Barlow Semi Condensed"/>
          <w:b/>
          <w:bCs/>
          <w:sz w:val="24"/>
          <w:szCs w:val="24"/>
        </w:rPr>
        <w:t xml:space="preserve">giudicato</w:t>
      </w:r>
      <w:r>
        <w:rPr>
          <w:rFonts w:ascii="Barlow Semi Condensed" w:cs="Barlow Semi Condensed" w:eastAsia="Barlow Semi Condensed" w:hAnsi="Barlow Semi Condensed"/>
          <w:sz w:val="24"/>
          <w:szCs w:val="24"/>
        </w:rPr>
        <w:t xml:space="preserve"> del caso: grado A. Ciò che vi è accertato è fatto; ciò che vi è rimasto fuori non è per ciò stesso falso, è non giudicato.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prima Commissione parlamentare</w:t>
      </w:r>
      <w:r>
        <w:rPr>
          <w:rFonts w:ascii="Barlow Semi Condensed" w:cs="Barlow Semi Condensed" w:eastAsia="Barlow Semi Condensed" w:hAnsi="Barlow Semi Condensed"/>
          <w:sz w:val="24"/>
          <w:szCs w:val="24"/>
        </w:rPr>
        <w:t xml:space="preserve"> (1979-1983) e la </w:t>
      </w:r>
      <w:r>
        <w:rPr>
          <w:rFonts w:ascii="Barlow Semi Condensed" w:cs="Barlow Semi Condensed" w:eastAsia="Barlow Semi Condensed" w:hAnsi="Barlow Semi Condensed"/>
          <w:b/>
          <w:bCs/>
          <w:sz w:val="24"/>
          <w:szCs w:val="24"/>
        </w:rPr>
        <w:t xml:space="preserve">Commissione Stragi</w:t>
      </w:r>
      <w:r>
        <w:rPr>
          <w:rFonts w:ascii="Barlow Semi Condensed" w:cs="Barlow Semi Condensed" w:eastAsia="Barlow Semi Condensed" w:hAnsi="Barlow Semi Condensed"/>
          <w:sz w:val="24"/>
          <w:szCs w:val="24"/>
        </w:rPr>
        <w:t xml:space="preserve"> → accertamenti di grado 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Commissione Moro 2</w:t>
      </w:r>
      <w:r>
        <w:rPr>
          <w:rFonts w:ascii="Barlow Semi Condensed" w:cs="Barlow Semi Condensed" w:eastAsia="Barlow Semi Condensed" w:hAnsi="Barlow Semi Condensed"/>
          <w:sz w:val="24"/>
          <w:szCs w:val="24"/>
        </w:rPr>
        <w:t xml:space="preserve"> (legge 82/2014; relazione finale 6 dicembre 2017, presidenza Fioroni) → grado B: le due moto e i quattro «centauri» di via Fani, i testimoni De Chiara e ing. Marini, il Memoriale come testo negoziato, la formula «verità dicibile», il nodo del 18 aprile non sciolto (cfr. Fase settima).</w:t>
      </w:r>
    </w:p>
    <w:p>
      <w:pPr>
        <w:pStyle w:val="Heading1"/>
        <w:spacing w:after="120" w:before="240"/>
      </w:pPr>
      <w:r>
        <w:rPr>
          <w:rFonts w:ascii="Barlow Semi Condensed" w:cs="Barlow Semi Condensed" w:eastAsia="Barlow Semi Condensed" w:hAnsi="Barlow Semi Condensed"/>
          <w:sz w:val="24"/>
          <w:szCs w:val="24"/>
        </w:rPr>
        <w:t xml:space="preserve">Capitolo settantaquattresimo — Le figure del contesto (grado F/B · nessuna imputazione)</w:t>
      </w:r>
    </w:p>
    <w:p>
      <w:pPr>
        <w:spacing w:after="120" w:line="276"/>
        <w:jc w:val="both"/>
      </w:pPr>
      <w:r>
        <w:rPr>
          <w:rFonts w:ascii="Barlow Semi Condensed" w:cs="Barlow Semi Condensed" w:eastAsia="Barlow Semi Condensed" w:hAnsi="Barlow Semi Condensed"/>
          <w:sz w:val="24"/>
          <w:szCs w:val="24"/>
        </w:rPr>
        <w:t xml:space="preserve">Persone reali che ebbero un ruolo pubblico e documentato nella vicenda, </w:t>
      </w:r>
      <w:r>
        <w:rPr>
          <w:rFonts w:ascii="Barlow Semi Condensed" w:cs="Barlow Semi Condensed" w:eastAsia="Barlow Semi Condensed" w:hAnsi="Barlow Semi Condensed"/>
          <w:b/>
          <w:bCs/>
          <w:sz w:val="24"/>
          <w:szCs w:val="24"/>
        </w:rPr>
        <w:t xml:space="preserve">catalogate senza alcun addebito</w:t>
      </w:r>
      <w:r>
        <w:rPr>
          <w:rFonts w:ascii="Barlow Semi Condensed" w:cs="Barlow Semi Condensed" w:eastAsia="Barlow Semi Condensed" w:hAnsi="Barlow Semi Condensed"/>
          <w:sz w:val="24"/>
          <w:szCs w:val="24"/>
        </w:rPr>
        <w:t xml:space="preserve">: la loro presenza è fatto, non colpa.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famiglia</w:t>
      </w:r>
      <w:r>
        <w:rPr>
          <w:rFonts w:ascii="Barlow Semi Condensed" w:cs="Barlow Semi Condensed" w:eastAsia="Barlow Semi Condensed" w:hAnsi="Barlow Semi Condensed"/>
          <w:sz w:val="24"/>
          <w:szCs w:val="24"/>
        </w:rPr>
        <w:t xml:space="preserve">: Eleonora Moro (la moglie), i figli; la loro testimonianza in Commissione e in tribunale (fra cui l'avvertimento di Kissinger riferito, cfr.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nodo M-5) è grado B.</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fronte politico</w:t>
      </w:r>
      <w:r>
        <w:rPr>
          <w:rFonts w:ascii="Barlow Semi Condensed" w:cs="Barlow Semi Condensed" w:eastAsia="Barlow Semi Condensed" w:hAnsi="Barlow Semi Condensed"/>
          <w:sz w:val="24"/>
          <w:szCs w:val="24"/>
        </w:rPr>
        <w:t xml:space="preserve">: Giulio Andreotti (presidente del Consiglio), Francesco Cossiga (ministro dell'Interno, dimessosi il 9 maggio), Benigno Zaccagnini (segretario DC), Enrico Berlinguer (PCI), Bettino Craxi (PSI, sul fronte della trattativa) → ruoli pubblici documentati,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mediatori e i canali</w:t>
      </w:r>
      <w:r>
        <w:rPr>
          <w:rFonts w:ascii="Barlow Semi Condensed" w:cs="Barlow Semi Condensed" w:eastAsia="Barlow Semi Condensed" w:hAnsi="Barlow Semi Condensed"/>
          <w:sz w:val="24"/>
          <w:szCs w:val="24"/>
        </w:rPr>
        <w:t xml:space="preserve">: la Santa Sede e Paolo VI (la lettera «agli uomini delle Brigate Rosse»); i canali del PSI (Signorile, Pace) verso le BR →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consulente americano</w:t>
      </w:r>
      <w:r>
        <w:rPr>
          <w:rFonts w:ascii="Barlow Semi Condensed" w:cs="Barlow Semi Condensed" w:eastAsia="Barlow Semi Condensed" w:hAnsi="Barlow Semi Condensed"/>
          <w:sz w:val="24"/>
          <w:szCs w:val="24"/>
        </w:rPr>
        <w:t xml:space="preserve">: Steve Pieczenik, del Dipartimento di Stato, nel comitato di crisi → la sua presenza è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le sue dichiarazioni successive sono fonte di parte,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quanto alla loro portata.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Hyperion</w:t>
      </w:r>
      <w:r>
        <w:rPr>
          <w:rFonts w:ascii="Barlow Semi Condensed" w:cs="Barlow Semi Condensed" w:eastAsia="Barlow Semi Condensed" w:hAnsi="Barlow Semi Condensed"/>
          <w:sz w:val="24"/>
          <w:szCs w:val="24"/>
        </w:rPr>
        <w:t xml:space="preserve">: il nodo del «quadro internazionale» → trattato integralmente, e con esito liberatorio (proscioglimenti), in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sz w:val="24"/>
          <w:szCs w:val="24"/>
        </w:rPr>
        <w:t xml:space="preserve"> di questo stesso branch: </w:t>
      </w:r>
      <w:r>
        <w:rPr>
          <w:rFonts w:ascii="Barlow Semi Condensed" w:cs="Barlow Semi Condensed" w:eastAsia="Barlow Semi Condensed" w:hAnsi="Barlow Semi Condensed"/>
          <w:b/>
          <w:bCs/>
          <w:sz w:val="24"/>
          <w:szCs w:val="24"/>
        </w:rPr>
        <w:t xml:space="preserve">congettura non provata</w:t>
      </w:r>
      <w:r>
        <w:rPr>
          <w:rFonts w:ascii="Barlow Semi Condensed" w:cs="Barlow Semi Condensed" w:eastAsia="Barlow Semi Condensed" w:hAnsi="Barlow Semi Condensed"/>
          <w:sz w:val="24"/>
          <w:szCs w:val="24"/>
        </w:rPr>
        <w:t xml:space="preserve">, i cui fondatori godono della presunzione piena.</w:t>
      </w:r>
    </w:p>
    <w:p>
      <w:pPr>
        <w:pStyle w:val="Heading1"/>
        <w:spacing w:after="120" w:before="240"/>
      </w:pPr>
      <w:r>
        <w:rPr>
          <w:rFonts w:ascii="Barlow Semi Condensed" w:cs="Barlow Semi Condensed" w:eastAsia="Barlow Semi Condensed" w:hAnsi="Barlow Semi Condensed"/>
          <w:sz w:val="24"/>
          <w:szCs w:val="24"/>
        </w:rPr>
        <w:t xml:space="preserve">Capitolo settantacinquesimo — I nodi aperti, tutti al loro grado (C, salvo dove indicato)</w:t>
      </w:r>
    </w:p>
    <w:p>
      <w:pPr>
        <w:spacing w:after="120" w:line="276"/>
        <w:jc w:val="both"/>
      </w:pPr>
      <w:r>
        <w:rPr>
          <w:rFonts w:ascii="Barlow Semi Condensed" w:cs="Barlow Semi Condensed" w:eastAsia="Barlow Semi Condensed" w:hAnsi="Barlow Semi Condensed"/>
          <w:sz w:val="24"/>
          <w:szCs w:val="24"/>
        </w:rPr>
        <w:t xml:space="preserve">Il catalogo delle questioni che il caso lascia aperte, ciascuna col grado massimo che le fonti consentono. È l'aggiornamento della tavola della Fase settima, in forma di repertorio.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Le due moto e i quattro «centauri» di via Fani</w:t>
      </w:r>
      <w:r>
        <w:rPr>
          <w:rFonts w:ascii="Barlow Semi Condensed" w:cs="Barlow Semi Condensed" w:eastAsia="Barlow Semi Condensed" w:hAnsi="Barlow Semi Condensed"/>
          <w:sz w:val="24"/>
          <w:szCs w:val="24"/>
        </w:rPr>
        <w:t xml:space="preserve"> — B (accertamento Moro 2), identità ignota (C).</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Via Gradoli e la «seduta spiritica»</w:t>
      </w:r>
      <w:r>
        <w:rPr>
          <w:rFonts w:ascii="Barlow Semi Condensed" w:cs="Barlow Semi Condensed" w:eastAsia="Barlow Semi Condensed" w:hAnsi="Barlow Semi Condensed"/>
          <w:sz w:val="24"/>
          <w:szCs w:val="24"/>
        </w:rPr>
        <w:t xml:space="preserve"> — coincidenza non spiegata; C, non sciolta nemmeno dalla Moro 2.</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falso del lago della Duchessa</w:t>
      </w:r>
      <w:r>
        <w:rPr>
          <w:rFonts w:ascii="Barlow Semi Condensed" w:cs="Barlow Semi Condensed" w:eastAsia="Barlow Semi Condensed" w:hAnsi="Barlow Semi Condensed"/>
          <w:sz w:val="24"/>
          <w:szCs w:val="24"/>
        </w:rPr>
        <w:t xml:space="preserve"> — il falso è A; la sua </w:t>
      </w:r>
      <w:r>
        <w:rPr>
          <w:rFonts w:ascii="Barlow Semi Condensed" w:cs="Barlow Semi Condensed" w:eastAsia="Barlow Semi Condensed" w:hAnsi="Barlow Semi Condensed"/>
          <w:b/>
          <w:bCs/>
          <w:sz w:val="24"/>
          <w:szCs w:val="24"/>
        </w:rPr>
        <w:t xml:space="preserve">funzione</w:t>
      </w:r>
      <w:r>
        <w:rPr>
          <w:rFonts w:ascii="Barlow Semi Condensed" w:cs="Barlow Semi Condensed" w:eastAsia="Barlow Semi Condensed" w:hAnsi="Barlow Semi Condensed"/>
          <w:sz w:val="24"/>
          <w:szCs w:val="24"/>
        </w:rPr>
        <w:t xml:space="preserve"> (chi e perché) resta C.</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La seconda prigione</w:t>
      </w:r>
      <w:r>
        <w:rPr>
          <w:rFonts w:ascii="Barlow Semi Condensed" w:cs="Barlow Semi Condensed" w:eastAsia="Barlow Semi Condensed" w:hAnsi="Barlow Semi Condensed"/>
          <w:sz w:val="24"/>
          <w:szCs w:val="24"/>
        </w:rPr>
        <w:t xml:space="preserve"> — C, non provata; il giudicato conosce solo via Montalcini.</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Le occasioni mancate e i ritardi</w:t>
      </w:r>
      <w:r>
        <w:rPr>
          <w:rFonts w:ascii="Barlow Semi Condensed" w:cs="Barlow Semi Condensed" w:eastAsia="Barlow Semi Condensed" w:hAnsi="Barlow Semi Condensed"/>
          <w:sz w:val="24"/>
          <w:szCs w:val="24"/>
        </w:rPr>
        <w:t xml:space="preserve"> — cronologia A; </w:t>
      </w:r>
      <w:r>
        <w:rPr>
          <w:rFonts w:ascii="Barlow Semi Condensed" w:cs="Barlow Semi Condensed" w:eastAsia="Barlow Semi Condensed" w:hAnsi="Barlow Semi Condensed"/>
          <w:b/>
          <w:bCs/>
          <w:sz w:val="24"/>
          <w:szCs w:val="24"/>
        </w:rPr>
        <w:t xml:space="preserve">dolo vs inefficienza</w:t>
      </w:r>
      <w:r>
        <w:rPr>
          <w:rFonts w:ascii="Barlow Semi Condensed" w:cs="Barlow Semi Condensed" w:eastAsia="Barlow Semi Condensed" w:hAnsi="Barlow Semi Condensed"/>
          <w:sz w:val="24"/>
          <w:szCs w:val="24"/>
        </w:rPr>
        <w:t xml:space="preserve"> non deciso, C.</w:t>
      </w:r>
    </w:p>
    <w:p>
      <w:pPr>
        <w:spacing w:after="40"/>
        <w:ind w:left="360"/>
        <w:jc w:val="both"/>
      </w:pPr>
      <w:r>
        <w:rPr>
          <w:rFonts w:ascii="Barlow Semi Condensed" w:cs="Barlow Semi Condensed" w:eastAsia="Barlow Semi Condensed" w:hAnsi="Barlow Semi Condensed"/>
          <w:sz w:val="24"/>
          <w:szCs w:val="24"/>
        </w:rPr>
        <w:t xml:space="preserve">6. </w:t>
      </w:r>
      <w:r>
        <w:rPr>
          <w:rFonts w:ascii="Barlow Semi Condensed" w:cs="Barlow Semi Condensed" w:eastAsia="Barlow Semi Condensed" w:hAnsi="Barlow Semi Condensed"/>
          <w:b/>
          <w:bCs/>
          <w:sz w:val="24"/>
          <w:szCs w:val="24"/>
        </w:rPr>
        <w:t xml:space="preserve">La completezza del memoriale</w:t>
      </w:r>
      <w:r>
        <w:rPr>
          <w:rFonts w:ascii="Barlow Semi Condensed" w:cs="Barlow Semi Condensed" w:eastAsia="Barlow Semi Condensed" w:hAnsi="Barlow Semi Condensed"/>
          <w:sz w:val="24"/>
          <w:szCs w:val="24"/>
        </w:rPr>
        <w:t xml:space="preserve"> — ritrovamenti A; ciò che manchi, indeterminato, C.</w:t>
      </w:r>
    </w:p>
    <w:p>
      <w:pPr>
        <w:spacing w:after="40"/>
        <w:ind w:left="360"/>
        <w:jc w:val="both"/>
      </w:pPr>
      <w:r>
        <w:rPr>
          <w:rFonts w:ascii="Barlow Semi Condensed" w:cs="Barlow Semi Condensed" w:eastAsia="Barlow Semi Condensed" w:hAnsi="Barlow Semi Condensed"/>
          <w:sz w:val="24"/>
          <w:szCs w:val="24"/>
        </w:rPr>
        <w:t xml:space="preserve">7. </w:t>
      </w:r>
      <w:r>
        <w:rPr>
          <w:rFonts w:ascii="Barlow Semi Condensed" w:cs="Barlow Semi Condensed" w:eastAsia="Barlow Semi Condensed" w:hAnsi="Barlow Semi Condensed"/>
          <w:b/>
          <w:bCs/>
          <w:sz w:val="24"/>
          <w:szCs w:val="24"/>
        </w:rPr>
        <w:t xml:space="preserve">Il quadro internazionale</w:t>
      </w:r>
      <w:r>
        <w:rPr>
          <w:rFonts w:ascii="Barlow Semi Condensed" w:cs="Barlow Semi Condensed" w:eastAsia="Barlow Semi Condensed" w:hAnsi="Barlow Semi Condensed"/>
          <w:sz w:val="24"/>
          <w:szCs w:val="24"/>
        </w:rPr>
        <w:t xml:space="preserve"> — fatti singoli documentati (B); </w:t>
      </w:r>
      <w:r>
        <w:rPr>
          <w:rFonts w:ascii="Barlow Semi Condensed" w:cs="Barlow Semi Condensed" w:eastAsia="Barlow Semi Condensed" w:hAnsi="Barlow Semi Condensed"/>
          <w:b/>
          <w:bCs/>
          <w:sz w:val="24"/>
          <w:szCs w:val="24"/>
        </w:rPr>
        <w:t xml:space="preserve">regia estera</w:t>
      </w:r>
      <w:r>
        <w:rPr>
          <w:rFonts w:ascii="Barlow Semi Condensed" w:cs="Barlow Semi Condensed" w:eastAsia="Barlow Semi Condensed" w:hAnsi="Barlow Semi Condensed"/>
          <w:sz w:val="24"/>
          <w:szCs w:val="24"/>
        </w:rPr>
        <w:t xml:space="preserve"> C (cfr. Hyperion, e M-5 della matrice).</w:t>
      </w:r>
    </w:p>
    <w:p>
      <w:pPr>
        <w:spacing w:after="40"/>
        <w:ind w:left="360"/>
        <w:jc w:val="both"/>
      </w:pPr>
      <w:r>
        <w:rPr>
          <w:rFonts w:ascii="Barlow Semi Condensed" w:cs="Barlow Semi Condensed" w:eastAsia="Barlow Semi Condensed" w:hAnsi="Barlow Semi Condensed"/>
          <w:sz w:val="24"/>
          <w:szCs w:val="24"/>
        </w:rPr>
        <w:t xml:space="preserve">8. </w:t>
      </w:r>
      <w:r>
        <w:rPr>
          <w:rFonts w:ascii="Barlow Semi Condensed" w:cs="Barlow Semi Condensed" w:eastAsia="Barlow Semi Condensed" w:hAnsi="Barlow Semi Condensed"/>
          <w:b/>
          <w:bCs/>
          <w:sz w:val="24"/>
          <w:szCs w:val="24"/>
        </w:rPr>
        <w:t xml:space="preserve">L'ampiezza della «verità dicibile»</w:t>
      </w:r>
      <w:r>
        <w:rPr>
          <w:rFonts w:ascii="Barlow Semi Condensed" w:cs="Barlow Semi Condensed" w:eastAsia="Barlow Semi Condensed" w:hAnsi="Barlow Semi Condensed"/>
          <w:sz w:val="24"/>
          <w:szCs w:val="24"/>
        </w:rPr>
        <w:t xml:space="preserve"> — formula B (della Commissione); l'indicibile, per definizione non misurabile, C.</w:t>
      </w:r>
    </w:p>
    <w:p>
      <w:pPr>
        <w:spacing w:after="120" w:line="276"/>
        <w:jc w:val="both"/>
      </w:pPr>
      <w:r>
        <w:rPr>
          <w:rFonts w:ascii="Barlow Semi Condensed" w:cs="Barlow Semi Condensed" w:eastAsia="Barlow Semi Condensed" w:hAnsi="Barlow Semi Condensed"/>
          <w:sz w:val="24"/>
          <w:szCs w:val="24"/>
        </w:rPr>
        <w:t xml:space="preserve">Nessuno di questi nodi è vuoto, e nessuno è pieno: sono </w:t>
      </w:r>
      <w:r>
        <w:rPr>
          <w:rFonts w:ascii="Barlow Semi Condensed" w:cs="Barlow Semi Condensed" w:eastAsia="Barlow Semi Condensed" w:hAnsi="Barlow Semi Condensed"/>
          <w:b/>
          <w:bCs/>
          <w:sz w:val="24"/>
          <w:szCs w:val="24"/>
        </w:rPr>
        <w:t xml:space="preserve">aperti</w:t>
      </w:r>
      <w:r>
        <w:rPr>
          <w:rFonts w:ascii="Barlow Semi Condensed" w:cs="Barlow Semi Condensed" w:eastAsia="Barlow Semi Condensed" w:hAnsi="Barlow Semi Condensed"/>
          <w:sz w:val="24"/>
          <w:szCs w:val="24"/>
        </w:rPr>
        <w:t xml:space="preserve">, cioè documentati fin dove le fonti arrivano e non oltre. Trasformarli in accuse è la tentazione che l'opera esiste per resistere.</w:t>
      </w:r>
    </w:p>
    <w:p>
      <w:pPr>
        <w:pStyle w:val="Heading1"/>
        <w:spacing w:after="120" w:before="240"/>
      </w:pPr>
      <w:r>
        <w:rPr>
          <w:rFonts w:ascii="Barlow Semi Condensed" w:cs="Barlow Semi Condensed" w:eastAsia="Barlow Semi Condensed" w:hAnsi="Barlow Semi Condensed"/>
          <w:sz w:val="24"/>
          <w:szCs w:val="24"/>
        </w:rPr>
        <w:t xml:space="preserve">Capitolo settantaseiesimo — Che cosa il repertorio non contiene, e perché</w:t>
      </w:r>
    </w:p>
    <w:p>
      <w:pPr>
        <w:spacing w:after="120" w:line="276"/>
        <w:jc w:val="both"/>
      </w:pPr>
      <w:r>
        <w:rPr>
          <w:rFonts w:ascii="Barlow Semi Condensed" w:cs="Barlow Semi Condensed" w:eastAsia="Barlow Semi Condensed" w:hAnsi="Barlow Semi Condensed"/>
          <w:sz w:val="24"/>
          <w:szCs w:val="24"/>
        </w:rPr>
        <w:t xml:space="preserve">Un repertorio si giudica anche da ciò che rifiuta di elencare. Questo </w:t>
      </w:r>
      <w:r>
        <w:rPr>
          <w:rFonts w:ascii="Barlow Semi Condensed" w:cs="Barlow Semi Condensed" w:eastAsia="Barlow Semi Condensed" w:hAnsi="Barlow Semi Condensed"/>
          <w:b/>
          <w:bCs/>
          <w:sz w:val="24"/>
          <w:szCs w:val="24"/>
        </w:rPr>
        <w:t xml:space="preserve">non contiene</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una graduatoria di responsabili</w:t>
      </w:r>
      <w:r>
        <w:rPr>
          <w:rFonts w:ascii="Barlow Semi Condensed" w:cs="Barlow Semi Condensed" w:eastAsia="Barlow Semi Condensed" w:hAnsi="Barlow Semi Condensed"/>
          <w:sz w:val="24"/>
          <w:szCs w:val="24"/>
        </w:rPr>
        <w:t xml:space="preserve"> oltre il giudicato: è il divieto costitutivo dell'opera (Parte terza, cap. XI), e vale in un repertorio più che altrove, perché un elenco dà l'illusione della completezza e quindi della sentenza;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nomi di persone viventi come colpevoli</w:t>
      </w:r>
      <w:r>
        <w:rPr>
          <w:rFonts w:ascii="Barlow Semi Condensed" w:cs="Barlow Semi Condensed" w:eastAsia="Barlow Semi Condensed" w:hAnsi="Barlow Semi Condensed"/>
          <w:sz w:val="24"/>
          <w:szCs w:val="24"/>
        </w:rPr>
        <w:t xml:space="preserve"> di ciò per cui non sono state condannate: sarebbe diffamazione travestita da catalogo;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 congetture spacciate per gradi superiori</w:t>
      </w:r>
      <w:r>
        <w:rPr>
          <w:rFonts w:ascii="Barlow Semi Condensed" w:cs="Barlow Semi Condensed" w:eastAsia="Barlow Semi Condensed" w:hAnsi="Barlow Semi Condensed"/>
          <w:sz w:val="24"/>
          <w:szCs w:val="24"/>
        </w:rPr>
        <w:t xml:space="preserve">: ogni voce C è marcata C, per quanto suggestiva;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materiale che tocca persone viventi con attribuzioni non riscontrate</w:t>
      </w:r>
      <w:r>
        <w:rPr>
          <w:rFonts w:ascii="Barlow Semi Condensed" w:cs="Barlow Semi Condensed" w:eastAsia="Barlow Semi Condensed" w:hAnsi="Barlow Semi Condensed"/>
          <w:sz w:val="24"/>
          <w:szCs w:val="24"/>
        </w:rPr>
        <w:t xml:space="preserve">, che per disciplina dell'opera resta fuori dal versante pubblico.</w:t>
      </w:r>
    </w:p>
    <w:p>
      <w:pPr>
        <w:spacing w:after="120" w:line="276"/>
        <w:jc w:val="both"/>
      </w:pPr>
      <w:r>
        <w:rPr>
          <w:rFonts w:ascii="Barlow Semi Condensed" w:cs="Barlow Semi Condensed" w:eastAsia="Barlow Semi Condensed" w:hAnsi="Barlow Semi Condensed"/>
          <w:sz w:val="24"/>
          <w:szCs w:val="24"/>
        </w:rPr>
        <w:t xml:space="preserve">Ciò che resta, dopo queste esclusioni, è </w:t>
      </w:r>
      <w:r>
        <w:rPr>
          <w:rFonts w:ascii="Barlow Semi Condensed" w:cs="Barlow Semi Condensed" w:eastAsia="Barlow Semi Condensed" w:hAnsi="Barlow Semi Condensed"/>
          <w:b/>
          <w:bCs/>
          <w:sz w:val="24"/>
          <w:szCs w:val="24"/>
        </w:rPr>
        <w:t xml:space="preserve">il caso Moro come lo Stato lo ha accertato e come la storia lo ha documentato</w:t>
      </w:r>
      <w:r>
        <w:rPr>
          <w:rFonts w:ascii="Barlow Semi Condensed" w:cs="Barlow Semi Condensed" w:eastAsia="Barlow Semi Condensed" w:hAnsi="Barlow Semi Condensed"/>
          <w:sz w:val="24"/>
          <w:szCs w:val="24"/>
        </w:rPr>
        <w:t xml:space="preserve"> — non come la dietrologia lo ha immaginato. È meno spettacolare e infinitamente più solido. È, alla lettera, tutto ciò che è </w:t>
      </w:r>
      <w:r>
        <w:rPr>
          <w:rFonts w:ascii="Barlow Semi Condensed" w:cs="Barlow Semi Condensed" w:eastAsia="Barlow Semi Condensed" w:hAnsi="Barlow Semi Condensed"/>
          <w:i/>
          <w:iCs/>
          <w:sz w:val="24"/>
          <w:szCs w:val="24"/>
        </w:rPr>
        <w:t xml:space="preserve">attribuibile</w:t>
      </w:r>
      <w:r>
        <w:rPr>
          <w:rFonts w:ascii="Barlow Semi Condensed" w:cs="Barlow Semi Condensed" w:eastAsia="Barlow Semi Condensed" w:hAnsi="Barlow Semi Condensed"/>
          <w:sz w:val="24"/>
          <w:szCs w:val="24"/>
        </w:rPr>
        <w:t xml:space="preserve">: tutto ciò che si può ancorare, col suo grado, a una fonte che regge.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nona.</w:t>
      </w:r>
      <w:r>
        <w:rPr>
          <w:rFonts w:ascii="Barlow Semi Condensed" w:cs="Barlow Semi Condensed" w:eastAsia="Barlow Semi Condensed" w:hAnsi="Barlow Semi Condensed"/>
          <w:sz w:val="24"/>
          <w:szCs w:val="24"/>
        </w:rPr>
        <w:t xml:space="preserve"> Il repertorio è lo strumento, non la meta. Serve a chi verrà dopo per non ricominciare da capo, e per non confondere mai un grado con un altro. La sua unica ambizione è che, chiuso il volume, resti chiaro dove finisce il sapere e comincia il sospetto — perché è in quella linea, e solo in quella, che una Repubblica difende insieme la verità e la giustizia. Le sei vittime del caso stanno in cima al repertorio, non in fondo. È da lì che ogni ricerca onesta deve ripartire.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nona dell'opera «Aldo Moro — Una guerra senza fine» (capp. 68-76). Repertorio integrale e gradato di tutto ciò che è attribuibile al caso: cronologia dei 55 giorni, le vittime di via Fani, gli autori accertati in giudicato, i luoghi, i documenti, gli atti giudiziari e parlamentari, le figure del contesto (senza imputazione), i nodi aperti col loro grado, e ciò che il repertorio esclude per disciplina. Ogni voce con grado A/B/C/F dichiarato. Fonti: Ministero dell'Interno; sentenze dei processi Moro; relazione Commissione Moro 2 (2017); e i documenti interni al branch. Nessuna imputazione oltre il giudicato; nessuna graduatoria.</w:t>
      </w:r>
    </w:p>
    <w:p>
      <w:pPr>
        <w:pStyle w:val="Heading3"/>
        <w:spacing w:after="80" w:before="240"/>
      </w:pPr>
      <w:r>
        <w:rPr>
          <w:rFonts w:ascii="Barlow Semi Condensed" w:cs="Barlow Semi Condensed" w:eastAsia="Barlow Semi Condensed" w:hAnsi="Barlow Semi Condensed"/>
          <w:sz w:val="24"/>
          <w:szCs w:val="24"/>
        </w:rPr>
        <w:t xml:space="preserve">Apparato grafico — Libro decimo · Il repertorio del caso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decimo: 2.000 parole in 4 sezioni; la più ampia è §3 Segmento 3, con 628.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decimo: 36 paragrafi in 4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undicesimo — Le responsabilità personali — I. Il principio personalistico</w:t>
      </w:r>
    </w:p>
    <w:p>
      <w:pPr>
        <w:pStyle w:val="Heading2"/>
        <w:spacing w:after="100" w:before="200"/>
      </w:pPr>
      <w:r>
        <w:rPr>
          <w:rFonts w:ascii="Barlow Semi Condensed" w:cs="Barlow Semi Condensed" w:eastAsia="Barlow Semi Condensed" w:hAnsi="Barlow Semi Condensed"/>
          <w:sz w:val="24"/>
          <w:szCs w:val="24"/>
        </w:rPr>
        <w:t xml:space="preserve">Fase decima — Il principio personalistico: la colpa non è mai del gruppo, ed è sempre della persona</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77-82</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 Fase decima.</w:t>
      </w:r>
      <w:r>
        <w:rPr>
          <w:rFonts w:ascii="Barlow Semi Condensed" w:cs="Barlow Semi Condensed" w:eastAsia="Barlow Semi Condensed" w:hAnsi="Barlow Semi Condensed"/>
          <w:i w:val="false"/>
          <w:iCs w:val="false"/>
          <w:sz w:val="24"/>
          <w:szCs w:val="24"/>
        </w:rPr>
        <w:t xml:space="preserve"> Le Fasi precedenti hanno costruito il pavimento del giudicato (settima), il ritratto dell'uomo (ottava) e il repertorio gradato del caso (nona). Questa Fase compie un passaggio che era implicito in tutte e che ora viene reso esplicito e sistematico: </w:t>
      </w:r>
      <w:r>
        <w:rPr>
          <w:rFonts w:ascii="Barlow Semi Condensed" w:cs="Barlow Semi Condensed" w:eastAsia="Barlow Semi Condensed" w:hAnsi="Barlow Semi Condensed"/>
          <w:b/>
          <w:bCs/>
          <w:i w:val="false"/>
          <w:iCs w:val="false"/>
          <w:sz w:val="24"/>
          <w:szCs w:val="24"/>
        </w:rPr>
        <w:t xml:space="preserve">la colpa non è mai del gruppo; è sempre, e soltanto, della persona.</w:t>
      </w:r>
      <w:r>
        <w:rPr>
          <w:rFonts w:ascii="Barlow Semi Condensed" w:cs="Barlow Semi Condensed" w:eastAsia="Barlow Semi Condensed" w:hAnsi="Barlow Semi Condensed"/>
          <w:i w:val="false"/>
          <w:iCs w:val="false"/>
          <w:sz w:val="24"/>
          <w:szCs w:val="24"/>
        </w:rPr>
        <w:t xml:space="preserve"> Dove l'opera ha scritto, per economia narrativa, «le Brigate Rosse organizzarono ed eseguirono», questa Fase stabilisce come quella formula vada letta, e la sostituisce — nel solo luogo in cui la sostituzione è lecita, cioè il registro del giudicato — con i </w:t>
      </w:r>
      <w:r>
        <w:rPr>
          <w:rFonts w:ascii="Barlow Semi Condensed" w:cs="Barlow Semi Condensed" w:eastAsia="Barlow Semi Condensed" w:hAnsi="Barlow Semi Condensed"/>
          <w:b/>
          <w:bCs/>
          <w:i w:val="false"/>
          <w:iCs w:val="false"/>
          <w:sz w:val="24"/>
          <w:szCs w:val="24"/>
        </w:rPr>
        <w:t xml:space="preserve">nomi delle persone singolarmente condannate, ciascuna per la propria condotta accertata</w:t>
      </w:r>
      <w:r>
        <w:rPr>
          <w:rFonts w:ascii="Barlow Semi Condensed" w:cs="Barlow Semi Condensed" w:eastAsia="Barlow Semi Condensed" w:hAnsi="Barlow Semi Condensed"/>
          <w:i w:val="false"/>
          <w:iCs w:val="false"/>
          <w:sz w:val="24"/>
          <w:szCs w:val="24"/>
        </w:rPr>
        <w:t xml:space="preserve">.  Il fondamento non è una preferenza stilistica: è l'</w:t>
      </w:r>
      <w:r>
        <w:rPr>
          <w:rFonts w:ascii="Barlow Semi Condensed" w:cs="Barlow Semi Condensed" w:eastAsia="Barlow Semi Condensed" w:hAnsi="Barlow Semi Condensed"/>
          <w:b/>
          <w:bCs/>
          <w:i w:val="false"/>
          <w:iCs w:val="false"/>
          <w:sz w:val="24"/>
          <w:szCs w:val="24"/>
        </w:rPr>
        <w:t xml:space="preserve">articolo 27, primo comma, della Costituzione</w:t>
      </w:r>
      <w:r>
        <w:rPr>
          <w:rFonts w:ascii="Barlow Semi Condensed" w:cs="Barlow Semi Condensed" w:eastAsia="Barlow Semi Condensed" w:hAnsi="Barlow Semi Condensed"/>
          <w:i w:val="false"/>
          <w:iCs w:val="false"/>
          <w:sz w:val="24"/>
          <w:szCs w:val="24"/>
        </w:rPr>
        <w:t xml:space="preserve"> — «La responsabilità penale è personale» — e l'istituto del </w:t>
      </w:r>
      <w:r>
        <w:rPr>
          <w:rFonts w:ascii="Barlow Semi Condensed" w:cs="Barlow Semi Condensed" w:eastAsia="Barlow Semi Condensed" w:hAnsi="Barlow Semi Condensed"/>
          <w:b/>
          <w:bCs/>
          <w:i w:val="false"/>
          <w:iCs w:val="false"/>
          <w:sz w:val="24"/>
          <w:szCs w:val="24"/>
        </w:rPr>
        <w:t xml:space="preserve">concorso di persone nel reato</w:t>
      </w:r>
      <w:r>
        <w:rPr>
          <w:rFonts w:ascii="Barlow Semi Condensed" w:cs="Barlow Semi Condensed" w:eastAsia="Barlow Semi Condensed" w:hAnsi="Barlow Semi Condensed"/>
          <w:i w:val="false"/>
          <w:iCs w:val="false"/>
          <w:sz w:val="24"/>
          <w:szCs w:val="24"/>
        </w:rPr>
        <w:t xml:space="preserve"> (art. 110 c.p.), che è esattamente il modo in cui l'ordinamento pensa un fatto commesso da più individui: non come colpa di un ente collettivo, ma come somma di condotte personali, ciascuna giudicata per sé. La regola dell'opera resta intera: </w:t>
      </w:r>
      <w:r>
        <w:rPr>
          <w:rFonts w:ascii="Barlow Semi Condensed" w:cs="Barlow Semi Condensed" w:eastAsia="Barlow Semi Condensed" w:hAnsi="Barlow Semi Condensed"/>
          <w:b/>
          <w:bCs/>
          <w:i w:val="false"/>
          <w:iCs w:val="false"/>
          <w:sz w:val="24"/>
          <w:szCs w:val="24"/>
        </w:rPr>
        <w:t xml:space="preserve">si nominano come responsabili solo coloro che una sentenza definitiva ha condannato</w:t>
      </w:r>
      <w:r>
        <w:rPr>
          <w:rFonts w:ascii="Barlow Semi Condensed" w:cs="Barlow Semi Condensed" w:eastAsia="Barlow Semi Condensed" w:hAnsi="Barlow Semi Condensed"/>
          <w:i w:val="false"/>
          <w:iCs w:val="false"/>
          <w:sz w:val="24"/>
          <w:szCs w:val="24"/>
        </w:rPr>
        <w:t xml:space="preserve">, e l'appartenenza a un'organizzazione — a una, o a più d'una — non è mai prova di una condotta.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settantasettesimo — Il principio, e le due derive simmetriche che esso vieta</w:t>
      </w:r>
    </w:p>
    <w:p>
      <w:pPr>
        <w:spacing w:after="120" w:line="276"/>
        <w:jc w:val="both"/>
      </w:pPr>
      <w:r>
        <w:rPr>
          <w:rFonts w:ascii="Barlow Semi Condensed" w:cs="Barlow Semi Condensed" w:eastAsia="Barlow Semi Condensed" w:hAnsi="Barlow Semi Condensed"/>
          <w:sz w:val="24"/>
          <w:szCs w:val="24"/>
        </w:rPr>
        <w:t xml:space="preserve">Il principio personalistico taglia in due direzioni, e l'opera le deve vietare entrambe con la stessa forza, perché sono l'una lo specchio dell'altra.</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prima deriva è la colpa collettiva discendente</w:t>
      </w:r>
      <w:r>
        <w:rPr>
          <w:rFonts w:ascii="Barlow Semi Condensed" w:cs="Barlow Semi Condensed" w:eastAsia="Barlow Semi Condensed" w:hAnsi="Barlow Semi Condensed"/>
          <w:sz w:val="24"/>
          <w:szCs w:val="24"/>
        </w:rPr>
        <w:t xml:space="preserve">: dal gruppo al singolo. È il ragionamento che dice «apparteneva alle Brigate Rosse, dunque è corresponsabile di via Fani». È vietato, e l'opera lo vieta fin dalla prima pagina: </w:t>
      </w:r>
      <w:r>
        <w:rPr>
          <w:rFonts w:ascii="Barlow Semi Condensed" w:cs="Barlow Semi Condensed" w:eastAsia="Barlow Semi Condensed" w:hAnsi="Barlow Semi Condensed"/>
          <w:b/>
          <w:bCs/>
          <w:sz w:val="24"/>
          <w:szCs w:val="24"/>
        </w:rPr>
        <w:t xml:space="preserve">l'appartenenza non è condotta</w:t>
      </w:r>
      <w:r>
        <w:rPr>
          <w:rFonts w:ascii="Barlow Semi Condensed" w:cs="Barlow Semi Condensed" w:eastAsia="Barlow Semi Condensed" w:hAnsi="Barlow Semi Condensed"/>
          <w:sz w:val="24"/>
          <w:szCs w:val="24"/>
        </w:rPr>
        <w:t xml:space="preserve">. Dei sessantatré imputati del grande processo alle BR, molti furono condannati per </w:t>
      </w:r>
      <w:r>
        <w:rPr>
          <w:rFonts w:ascii="Barlow Semi Condensed" w:cs="Barlow Semi Condensed" w:eastAsia="Barlow Semi Condensed" w:hAnsi="Barlow Semi Condensed"/>
          <w:b/>
          <w:bCs/>
          <w:sz w:val="24"/>
          <w:szCs w:val="24"/>
        </w:rPr>
        <w:t xml:space="preserve">reati associativi</w:t>
      </w:r>
      <w:r>
        <w:rPr>
          <w:rFonts w:ascii="Barlow Semi Condensed" w:cs="Barlow Semi Condensed" w:eastAsia="Barlow Semi Condensed" w:hAnsi="Barlow Semi Condensed"/>
          <w:sz w:val="24"/>
          <w:szCs w:val="24"/>
        </w:rPr>
        <w:t xml:space="preserve"> — banda armata (art. 306 c.p.), associazione sovversiva (art. 270 c.p.) — 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per l'operazione Moro: la partecipazione alla banda è essa stessa un reato, ma è un </w:t>
      </w:r>
      <w:r>
        <w:rPr>
          <w:rFonts w:ascii="Barlow Semi Condensed" w:cs="Barlow Semi Condensed" w:eastAsia="Barlow Semi Condensed" w:hAnsi="Barlow Semi Condensed"/>
          <w:b/>
          <w:bCs/>
          <w:sz w:val="24"/>
          <w:szCs w:val="24"/>
        </w:rPr>
        <w:t xml:space="preserve">reato proprio della persona</w:t>
      </w:r>
      <w:r>
        <w:rPr>
          <w:rFonts w:ascii="Barlow Semi Condensed" w:cs="Barlow Semi Condensed" w:eastAsia="Barlow Semi Condensed" w:hAnsi="Barlow Semi Condensed"/>
          <w:sz w:val="24"/>
          <w:szCs w:val="24"/>
        </w:rPr>
        <w:t xml:space="preserve"> (la condotta individuale di parteciparvi), e la condanna per esso </w:t>
      </w:r>
      <w:r>
        <w:rPr>
          <w:rFonts w:ascii="Barlow Semi Condensed" w:cs="Barlow Semi Condensed" w:eastAsia="Barlow Semi Condensed" w:hAnsi="Barlow Semi Condensed"/>
          <w:b/>
          <w:bCs/>
          <w:sz w:val="24"/>
          <w:szCs w:val="24"/>
        </w:rPr>
        <w:t xml:space="preserve">non equivale</w:t>
      </w:r>
      <w:r>
        <w:rPr>
          <w:rFonts w:ascii="Barlow Semi Condensed" w:cs="Barlow Semi Condensed" w:eastAsia="Barlow Semi Condensed" w:hAnsi="Barlow Semi Condensed"/>
          <w:sz w:val="24"/>
          <w:szCs w:val="24"/>
        </w:rPr>
        <w:t xml:space="preserve"> alla condanna per l'agguato, per il sequestro o per l'omicidio. Chi ricopia l'elenco dei trentadue ergastoli del 24 gennaio 1983 come se fosse «l'elenco dei responsabili del caso Moro» commette precisamente questo errore: quel processo, che unificò i tronconi Moro uno e Moro bis davanti alla I Corte d'assise di Roma (presidente Severino Santiapichi), giudicò </w:t>
      </w:r>
      <w:r>
        <w:rPr>
          <w:rFonts w:ascii="Barlow Semi Condensed" w:cs="Barlow Semi Condensed" w:eastAsia="Barlow Semi Condensed" w:hAnsi="Barlow Semi Condensed"/>
          <w:b/>
          <w:bCs/>
          <w:sz w:val="24"/>
          <w:szCs w:val="24"/>
        </w:rPr>
        <w:t xml:space="preserve">l'intera stagione di una organizzazione armata</w:t>
      </w:r>
      <w:r>
        <w:rPr>
          <w:rFonts w:ascii="Barlow Semi Condensed" w:cs="Barlow Semi Condensed" w:eastAsia="Barlow Semi Condensed" w:hAnsi="Barlow Semi Condensed"/>
          <w:sz w:val="24"/>
          <w:szCs w:val="24"/>
        </w:rPr>
        <w:t xml:space="preserve">, non la sola operazione Moro — e dentro quell'elenco convivono condotte diversissime, ciascuna con la propria sentenza (Tesionline, cronologia della sentenza (https://www.tesionline.it/news/cronologia.jsp?evid=2878); Il Sole 24 Ore, «Quattro processi per la verità giudiziaria» (https://st.ilsole24ore.com/art/SoleOnLine4/Italia/2008/03/Caso-Moro-quattro-processi_PRN.shtml)).</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seconda deriva è la deresponsabilizzazione collettiva ascendente</w:t>
      </w:r>
      <w:r>
        <w:rPr>
          <w:rFonts w:ascii="Barlow Semi Condensed" w:cs="Barlow Semi Condensed" w:eastAsia="Barlow Semi Condensed" w:hAnsi="Barlow Semi Condensed"/>
          <w:sz w:val="24"/>
          <w:szCs w:val="24"/>
        </w:rPr>
        <w:t xml:space="preserve">: dal singolo al gruppo. È il ragionamento — più sottile, e caro a una certa memorialistica — che dice «fu l'organizzazione a decidere», «la colonna eseguì», «le BR uccisero», come se la colpa, salendo al collettivo, evaporasse dalle persone. Anche questo è vietato. </w:t>
      </w:r>
      <w:r>
        <w:rPr>
          <w:rFonts w:ascii="Barlow Semi Condensed" w:cs="Barlow Semi Condensed" w:eastAsia="Barlow Semi Condensed" w:hAnsi="Barlow Semi Condensed"/>
          <w:b/>
          <w:bCs/>
          <w:sz w:val="24"/>
          <w:szCs w:val="24"/>
        </w:rPr>
        <w:t xml:space="preserve">Il gruppo non è un soggetto morale che possa assorbire la colpa dei suoi membri.</w:t>
      </w:r>
      <w:r>
        <w:rPr>
          <w:rFonts w:ascii="Barlow Semi Condensed" w:cs="Barlow Semi Condensed" w:eastAsia="Barlow Semi Condensed" w:hAnsi="Barlow Semi Condensed"/>
          <w:sz w:val="24"/>
          <w:szCs w:val="24"/>
        </w:rPr>
        <w:t xml:space="preserve"> Nessuno dei condannati del caso Moro è stato condannato «in quanto brigatista»: ciascuno è stato condannato </w:t>
      </w:r>
      <w:r>
        <w:rPr>
          <w:rFonts w:ascii="Barlow Semi Condensed" w:cs="Barlow Semi Condensed" w:eastAsia="Barlow Semi Condensed" w:hAnsi="Barlow Semi Condensed"/>
          <w:b/>
          <w:bCs/>
          <w:sz w:val="24"/>
          <w:szCs w:val="24"/>
        </w:rPr>
        <w:t xml:space="preserve">per ciò che ha fatto</w:t>
      </w:r>
      <w:r>
        <w:rPr>
          <w:rFonts w:ascii="Barlow Semi Condensed" w:cs="Barlow Semi Condensed" w:eastAsia="Barlow Semi Condensed" w:hAnsi="Barlow Semi Condensed"/>
          <w:sz w:val="24"/>
          <w:szCs w:val="24"/>
        </w:rPr>
        <w:t xml:space="preserve"> — per aver diretto, sparato, guidato, custodito, predisposto. La formula «le BR hanno ucciso Moro» è vera come descrizione storica di un atto rivendicato da un'organizzazione; è </w:t>
      </w:r>
      <w:r>
        <w:rPr>
          <w:rFonts w:ascii="Barlow Semi Condensed" w:cs="Barlow Semi Condensed" w:eastAsia="Barlow Semi Condensed" w:hAnsi="Barlow Semi Condensed"/>
          <w:b/>
          <w:bCs/>
          <w:sz w:val="24"/>
          <w:szCs w:val="24"/>
        </w:rPr>
        <w:t xml:space="preserve">falsa come attribuzione di colpa</w:t>
      </w:r>
      <w:r>
        <w:rPr>
          <w:rFonts w:ascii="Barlow Semi Condensed" w:cs="Barlow Semi Condensed" w:eastAsia="Barlow Semi Condensed" w:hAnsi="Barlow Semi Condensed"/>
          <w:sz w:val="24"/>
          <w:szCs w:val="24"/>
        </w:rPr>
        <w:t xml:space="preserve">, perché la colpa non ha mai avuto quella forma: ha avuto la forma di sentenze pronunciate contro persone con nome e cognome.</w:t>
      </w:r>
    </w:p>
    <w:p>
      <w:pPr>
        <w:spacing w:after="120" w:line="276"/>
        <w:jc w:val="both"/>
      </w:pPr>
      <w:r>
        <w:rPr>
          <w:rFonts w:ascii="Barlow Semi Condensed" w:cs="Barlow Semi Condensed" w:eastAsia="Barlow Semi Condensed" w:hAnsi="Barlow Semi Condensed"/>
          <w:sz w:val="24"/>
          <w:szCs w:val="24"/>
        </w:rPr>
        <w:t xml:space="preserve">Questa Fase, dunque, </w:t>
      </w:r>
      <w:r>
        <w:rPr>
          <w:rFonts w:ascii="Barlow Semi Condensed" w:cs="Barlow Semi Condensed" w:eastAsia="Barlow Semi Condensed" w:hAnsi="Barlow Semi Condensed"/>
          <w:b/>
          <w:bCs/>
          <w:sz w:val="24"/>
          <w:szCs w:val="24"/>
        </w:rPr>
        <w:t xml:space="preserve">elimina le colpe dei gruppi</w:t>
      </w:r>
      <w:r>
        <w:rPr>
          <w:rFonts w:ascii="Barlow Semi Condensed" w:cs="Barlow Semi Condensed" w:eastAsia="Barlow Semi Condensed" w:hAnsi="Barlow Semi Condensed"/>
          <w:sz w:val="24"/>
          <w:szCs w:val="24"/>
        </w:rPr>
        <w:t xml:space="preserve"> — in entrambe le direzioni — e </w:t>
      </w:r>
      <w:r>
        <w:rPr>
          <w:rFonts w:ascii="Barlow Semi Condensed" w:cs="Barlow Semi Condensed" w:eastAsia="Barlow Semi Condensed" w:hAnsi="Barlow Semi Condensed"/>
          <w:b/>
          <w:bCs/>
          <w:sz w:val="24"/>
          <w:szCs w:val="24"/>
        </w:rPr>
        <w:t xml:space="preserve">inserisce quelle dei singoli</w:t>
      </w:r>
      <w:r>
        <w:rPr>
          <w:rFonts w:ascii="Barlow Semi Condensed" w:cs="Barlow Semi Condensed" w:eastAsia="Barlow Semi Condensed" w:hAnsi="Barlow Semi Condensed"/>
          <w:sz w:val="24"/>
          <w:szCs w:val="24"/>
        </w:rPr>
        <w:t xml:space="preserve">: che è ciò che il giudicato ha sempre fatto, e che l'opera ora recepisce come suo protocollo esplicito.</w:t>
      </w:r>
    </w:p>
    <w:p>
      <w:pPr>
        <w:pStyle w:val="Heading1"/>
        <w:spacing w:after="120" w:before="240"/>
      </w:pPr>
      <w:r>
        <w:rPr>
          <w:rFonts w:ascii="Barlow Semi Condensed" w:cs="Barlow Semi Condensed" w:eastAsia="Barlow Semi Condensed" w:hAnsi="Barlow Semi Condensed"/>
          <w:sz w:val="24"/>
          <w:szCs w:val="24"/>
        </w:rPr>
        <w:t xml:space="preserve">Capitolo settantottesimo — La nota di lettura valida per l'intera opera</w:t>
      </w:r>
    </w:p>
    <w:p>
      <w:pPr>
        <w:spacing w:after="120" w:line="276"/>
        <w:jc w:val="both"/>
      </w:pPr>
      <w:r>
        <w:rPr>
          <w:rFonts w:ascii="Barlow Semi Condensed" w:cs="Barlow Semi Condensed" w:eastAsia="Barlow Semi Condensed" w:hAnsi="Barlow Semi Condensed"/>
          <w:sz w:val="24"/>
          <w:szCs w:val="24"/>
        </w:rPr>
        <w:t xml:space="preserve">Da questa Fase in avanti — e retroattivamente, per ogni pagina già scritta del corpus — vale la seguente </w:t>
      </w:r>
      <w:r>
        <w:rPr>
          <w:rFonts w:ascii="Barlow Semi Condensed" w:cs="Barlow Semi Condensed" w:eastAsia="Barlow Semi Condensed" w:hAnsi="Barlow Semi Condensed"/>
          <w:b/>
          <w:bCs/>
          <w:sz w:val="24"/>
          <w:szCs w:val="24"/>
        </w:rPr>
        <w:t xml:space="preserve">nota di lettura</w:t>
      </w:r>
      <w:r>
        <w:rPr>
          <w:rFonts w:ascii="Barlow Semi Condensed" w:cs="Barlow Semi Condensed" w:eastAsia="Barlow Semi Condensed" w:hAnsi="Barlow Semi Condensed"/>
          <w:sz w:val="24"/>
          <w:szCs w:val="24"/>
        </w:rPr>
        <w:t xml:space="preserve">, che ha lo stesso rango delle note di revisione con cui l'opera ha sempre corretto se stessa senza riscritture silenziose: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Dove l'opera scrive «le Brigate Rosse» come autore di un fatto criminoso</w:t>
      </w:r>
      <w:r>
        <w:rPr>
          <w:rFonts w:ascii="Barlow Semi Condensed" w:cs="Barlow Semi Condensed" w:eastAsia="Barlow Semi Condensed" w:hAnsi="Barlow Semi Condensed"/>
          <w:sz w:val="24"/>
          <w:szCs w:val="24"/>
        </w:rPr>
        <w:t xml:space="preserve"> (l'agguato, il sequestro, l'omicidio), la formula va letta come abbreviazione storiografica di: «</w:t>
      </w:r>
      <w:r>
        <w:rPr>
          <w:rFonts w:ascii="Barlow Semi Condensed" w:cs="Barlow Semi Condensed" w:eastAsia="Barlow Semi Condensed" w:hAnsi="Barlow Semi Condensed"/>
          <w:b/>
          <w:bCs/>
          <w:sz w:val="24"/>
          <w:szCs w:val="24"/>
        </w:rPr>
        <w:t xml:space="preserve">le persone singolarmente condannate in via definitiva per quel fatto</w:t>
      </w:r>
      <w:r>
        <w:rPr>
          <w:rFonts w:ascii="Barlow Semi Condensed" w:cs="Barlow Semi Condensed" w:eastAsia="Barlow Semi Condensed" w:hAnsi="Barlow Semi Condensed"/>
          <w:sz w:val="24"/>
          <w:szCs w:val="24"/>
        </w:rPr>
        <w:t xml:space="preserve">, elencate nel registro del capitolo settantanovesimo, ciascuna per la condotta ivi indicata».</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Gli atti collettivi documentati dell'organizzazione restano fatti dell'organizzazione</w:t>
      </w:r>
      <w:r>
        <w:rPr>
          <w:rFonts w:ascii="Barlow Semi Condensed" w:cs="Barlow Semi Condensed" w:eastAsia="Barlow Semi Condensed" w:hAnsi="Barlow Semi Condensed"/>
          <w:sz w:val="24"/>
          <w:szCs w:val="24"/>
        </w:rPr>
        <w:t xml:space="preserve">: i nove comunicati e il falso n. 7, la rivendicazione, la sigla. Un comunicato è un atto collettivo accertato (grado A quanto alla sua esistenza e provenienza); ma la responsabilità penale della sua produzione e di ciò che annuncia è stata giudicata </w:t>
      </w:r>
      <w:r>
        <w:rPr>
          <w:rFonts w:ascii="Barlow Semi Condensed" w:cs="Barlow Semi Condensed" w:eastAsia="Barlow Semi Condensed" w:hAnsi="Barlow Semi Condensed"/>
          <w:b/>
          <w:bCs/>
          <w:sz w:val="24"/>
          <w:szCs w:val="24"/>
        </w:rPr>
        <w:t xml:space="preserve">persona per persona</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Nessuna proprietà del gruppo si trasmette ai membri, e nessuna colpa dei membri si trasmette al gruppo o agli altri membri.</w:t>
      </w:r>
      <w:r>
        <w:rPr>
          <w:rFonts w:ascii="Barlow Semi Condensed" w:cs="Barlow Semi Condensed" w:eastAsia="Barlow Semi Condensed" w:hAnsi="Barlow Semi Condensed"/>
          <w:sz w:val="24"/>
          <w:szCs w:val="24"/>
        </w:rPr>
        <w:t xml:space="preserve"> Chi era brigatista e non fu condannato per il caso Moro non c'entra col caso Moro, quale che sia il giudizio storico o morale sulla sua militanza — che è altra cosa, e ha altre sedi.</w:t>
      </w:r>
    </w:p>
    <w:p>
      <w:pPr>
        <w:spacing w:after="40"/>
        <w:ind w:left="360"/>
        <w:jc w:val="both"/>
      </w:pPr>
      <w:r>
        <w:rPr>
          <w:rFonts w:ascii="Barlow Semi Condensed" w:cs="Barlow Semi Condensed" w:eastAsia="Barlow Semi Condensed" w:hAnsi="Barlow Semi Condensed"/>
          <w:sz w:val="24"/>
          <w:szCs w:val="24"/>
        </w:rPr>
        <w:t xml:space="preserve">4. La stessa lettura vale per </w:t>
      </w:r>
      <w:r>
        <w:rPr>
          <w:rFonts w:ascii="Barlow Semi Condensed" w:cs="Barlow Semi Condensed" w:eastAsia="Barlow Semi Condensed" w:hAnsi="Barlow Semi Condensed"/>
          <w:b/>
          <w:bCs/>
          <w:sz w:val="24"/>
          <w:szCs w:val="24"/>
        </w:rPr>
        <w:t xml:space="preserve">ogni altro gruppo</w:t>
      </w:r>
      <w:r>
        <w:rPr>
          <w:rFonts w:ascii="Barlow Semi Condensed" w:cs="Barlow Semi Condensed" w:eastAsia="Barlow Semi Condensed" w:hAnsi="Barlow Semi Condensed"/>
          <w:sz w:val="24"/>
          <w:szCs w:val="24"/>
        </w:rPr>
        <w:t xml:space="preserve"> nominato nel corpus — i GAP, il Superclan, Hyperion, i Lupi Grigi delle ricognizioni turche, l'Opus Dei dei versanti mediterranei: </w:t>
      </w:r>
      <w:r>
        <w:rPr>
          <w:rFonts w:ascii="Barlow Semi Condensed" w:cs="Barlow Semi Condensed" w:eastAsia="Barlow Semi Condensed" w:hAnsi="Barlow Semi Condensed"/>
          <w:b/>
          <w:bCs/>
          <w:sz w:val="24"/>
          <w:szCs w:val="24"/>
        </w:rPr>
        <w:t xml:space="preserve">mai</w:t>
      </w:r>
      <w:r>
        <w:rPr>
          <w:rFonts w:ascii="Barlow Semi Condensed" w:cs="Barlow Semi Condensed" w:eastAsia="Barlow Semi Condensed" w:hAnsi="Barlow Semi Condensed"/>
          <w:sz w:val="24"/>
          <w:szCs w:val="24"/>
        </w:rPr>
        <w:t xml:space="preserve"> un'attribuzione di condotta all'ente come veicolo di colpa delle persone, </w:t>
      </w:r>
      <w:r>
        <w:rPr>
          <w:rFonts w:ascii="Barlow Semi Condensed" w:cs="Barlow Semi Condensed" w:eastAsia="Barlow Semi Condensed" w:hAnsi="Barlow Semi Condensed"/>
          <w:b/>
          <w:bCs/>
          <w:sz w:val="24"/>
          <w:szCs w:val="24"/>
        </w:rPr>
        <w:t xml:space="preserve">mai</w:t>
      </w:r>
      <w:r>
        <w:rPr>
          <w:rFonts w:ascii="Barlow Semi Condensed" w:cs="Barlow Semi Condensed" w:eastAsia="Barlow Semi Condensed" w:hAnsi="Barlow Semi Condensed"/>
          <w:sz w:val="24"/>
          <w:szCs w:val="24"/>
        </w:rPr>
        <w:t xml:space="preserve"> un'appartenenza come prova.</w:t>
      </w:r>
    </w:p>
    <w:p>
      <w:pPr>
        <w:pStyle w:val="Heading1"/>
        <w:spacing w:after="120" w:before="240"/>
      </w:pPr>
      <w:r>
        <w:rPr>
          <w:rFonts w:ascii="Barlow Semi Condensed" w:cs="Barlow Semi Condensed" w:eastAsia="Barlow Semi Condensed" w:hAnsi="Barlow Semi Condensed"/>
          <w:sz w:val="24"/>
          <w:szCs w:val="24"/>
        </w:rPr>
        <w:t xml:space="preserve">Capitolo settantanovesimo — Il registro nominativo delle responsabilità personali (grado A · giudicato)</w:t>
      </w:r>
    </w:p>
    <w:p>
      <w:pPr>
        <w:spacing w:after="120" w:line="276"/>
        <w:jc w:val="both"/>
      </w:pPr>
      <w:r>
        <w:rPr>
          <w:rFonts w:ascii="Barlow Semi Condensed" w:cs="Barlow Semi Condensed" w:eastAsia="Barlow Semi Condensed" w:hAnsi="Barlow Semi Condensed"/>
          <w:sz w:val="24"/>
          <w:szCs w:val="24"/>
        </w:rPr>
        <w:t xml:space="preserve">Questo è il cuore della Fase: le persone la cui responsabilità nel caso Moro è stata accertata da </w:t>
      </w:r>
      <w:r>
        <w:rPr>
          <w:rFonts w:ascii="Barlow Semi Condensed" w:cs="Barlow Semi Condensed" w:eastAsia="Barlow Semi Condensed" w:hAnsi="Barlow Semi Condensed"/>
          <w:b/>
          <w:bCs/>
          <w:sz w:val="24"/>
          <w:szCs w:val="24"/>
        </w:rPr>
        <w:t xml:space="preserve">sentenza definitiva</w:t>
      </w:r>
      <w:r>
        <w:rPr>
          <w:rFonts w:ascii="Barlow Semi Condensed" w:cs="Barlow Semi Condensed" w:eastAsia="Barlow Semi Condensed" w:hAnsi="Barlow Semi Condensed"/>
          <w:sz w:val="24"/>
          <w:szCs w:val="24"/>
        </w:rPr>
        <w:t xml:space="preserve">, ciascuna con la </w:t>
      </w:r>
      <w:r>
        <w:rPr>
          <w:rFonts w:ascii="Barlow Semi Condensed" w:cs="Barlow Semi Condensed" w:eastAsia="Barlow Semi Condensed" w:hAnsi="Barlow Semi Condensed"/>
          <w:b/>
          <w:bCs/>
          <w:sz w:val="24"/>
          <w:szCs w:val="24"/>
        </w:rPr>
        <w:t xml:space="preserve">propria</w:t>
      </w:r>
      <w:r>
        <w:rPr>
          <w:rFonts w:ascii="Barlow Semi Condensed" w:cs="Barlow Semi Condensed" w:eastAsia="Barlow Semi Condensed" w:hAnsi="Barlow Semi Condensed"/>
          <w:sz w:val="24"/>
          <w:szCs w:val="24"/>
        </w:rPr>
        <w:t xml:space="preserve"> condotta — non un elenco di gruppo, ma tredici giudizi individuali. Le pene si indicano solo dove verificate; l'appartenenza è riportata come </w:t>
      </w:r>
      <w:r>
        <w:rPr>
          <w:rFonts w:ascii="Barlow Semi Condensed" w:cs="Barlow Semi Condensed" w:eastAsia="Barlow Semi Condensed" w:hAnsi="Barlow Semi Condensed"/>
          <w:b/>
          <w:bCs/>
          <w:sz w:val="24"/>
          <w:szCs w:val="24"/>
        </w:rPr>
        <w:t xml:space="preserve">fatto biografico</w:t>
      </w:r>
      <w:r>
        <w:rPr>
          <w:rFonts w:ascii="Barlow Semi Condensed" w:cs="Barlow Semi Condensed" w:eastAsia="Barlow Semi Condensed" w:hAnsi="Barlow Semi Condensed"/>
          <w:sz w:val="24"/>
          <w:szCs w:val="24"/>
        </w:rPr>
        <w:t xml:space="preserve"> (grado F), mai come fondamento della responsabilità, che sta tutta nella colonna della condotta.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Condotta accertata in giudicato (personale)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Processo e definitività</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Mario Moretti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Direzione dell'operazione ed esecuzione materiale dell'omicidio (per sua ammissione, recepita dal giudicato). Ergastolo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(I Assise Roma, 24/1/1983); definitivo con l'esaurimento dei gradi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Prospero Gallinari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e della gestione della prigionia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Valerio Morucci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Adriana Faranda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Concorso nella gestione del sequestro (non presente in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Raffaele Fiore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Franco Bonisoli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Barbara Balzerani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e della gestione del sequestro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Bruno Seghetti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fra i ventitré definitivi al 1985 (Questione Giustizia (https://www.questionegiustizia.it/articolo/il-caso-moro-per-un-analisi-delle-sentenze-parte-prima))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Anna Laura Braghetti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L'appartamento-prigione: acquisto di via Montalcini 8 (giugno 1977) e custodia della prigione per i cinquantacinque giorni. Ergastolo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 (Avvenire (https://www.avvenire.it/politica/la-morte-di-anna-laura-braghetti-carceriera-di-moro-e-assassina-di-bachelet); Il Post (https://www.ilpost.it/2025/11/06/morta-anna-laura-braghetti-brigate-rosse/))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Alessio Casimirri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Sei ergastoli, in contumacia; latitante in Nicaragua dal 1982, unico componente identificato mai arrestato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Definitivo (Wikipedia (https://it.wikipedia.org/wiki/Alessio_Casimirri); richieste di estradizione respinte dal Nicaragua)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Alvaro Lojacono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Responsabilità per l'intero arco 16 marzo – 9 maggio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quater; definitivo in Cassazione 14/5/1997</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Germano Maccari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«quarto uomo» del covo di via Montalcini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quinquies; definitivo 1999</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Raimondo Etro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Fasi collaterali dell'operazione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quinquies</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Tre avvertenze governano il registro, e sono il suo senso.</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il registro </w:t>
      </w:r>
      <w:r>
        <w:rPr>
          <w:rFonts w:ascii="Barlow Semi Condensed" w:cs="Barlow Semi Condensed" w:eastAsia="Barlow Semi Condensed" w:hAnsi="Barlow Semi Condensed"/>
          <w:b/>
          <w:bCs/>
          <w:sz w:val="24"/>
          <w:szCs w:val="24"/>
        </w:rPr>
        <w:t xml:space="preserve">non è l'elenco dei trentadue ergastoli</w:t>
      </w:r>
      <w:r>
        <w:rPr>
          <w:rFonts w:ascii="Barlow Semi Condensed" w:cs="Barlow Semi Condensed" w:eastAsia="Barlow Semi Condensed" w:hAnsi="Barlow Semi Condensed"/>
          <w:sz w:val="24"/>
          <w:szCs w:val="24"/>
        </w:rPr>
        <w:t xml:space="preserve"> del gennaio 1983, né potrebbe esserlo. Quell'elenco appartiene a un processo che giudicò molte condotte estranee all'operazione Moro; travasarlo qui sarebbe la colpa di gruppo per trascinamento che il capitolo settantasettesimo vieta. Qui compaiono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le persone la cui condanna definitiva riguarda specificamente il sequestro e l'omicidio di Aldo Moro e l'eccidio della scorta, con la condotta che il giudicato ha loro singolarmente attribuito.</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le condotte non sono equivalenti, e il registro non le appiattisce. Dirigere l'operazione, sparare in via Fani, custodire la prigione, concorrere dalla logistica: il giudicato le ha distinte, e la distinzione </w:t>
      </w:r>
      <w:r>
        <w:rPr>
          <w:rFonts w:ascii="Barlow Semi Condensed" w:cs="Barlow Semi Condensed" w:eastAsia="Barlow Semi Condensed" w:hAnsi="Barlow Semi Condensed"/>
          <w:b/>
          <w:bCs/>
          <w:sz w:val="24"/>
          <w:szCs w:val="24"/>
        </w:rPr>
        <w:t xml:space="preserve">è</w:t>
      </w:r>
      <w:r>
        <w:rPr>
          <w:rFonts w:ascii="Barlow Semi Condensed" w:cs="Barlow Semi Condensed" w:eastAsia="Barlow Semi Condensed" w:hAnsi="Barlow Semi Condensed"/>
          <w:sz w:val="24"/>
          <w:szCs w:val="24"/>
        </w:rPr>
        <w:t xml:space="preserve"> il principio personalistico all'opera. Ma il registro </w:t>
      </w:r>
      <w:r>
        <w:rPr>
          <w:rFonts w:ascii="Barlow Semi Condensed" w:cs="Barlow Semi Condensed" w:eastAsia="Barlow Semi Condensed" w:hAnsi="Barlow Semi Condensed"/>
          <w:b/>
          <w:bCs/>
          <w:sz w:val="24"/>
          <w:szCs w:val="24"/>
        </w:rPr>
        <w:t xml:space="preserve">non le ordina in graduatoria</w:t>
      </w:r>
      <w:r>
        <w:rPr>
          <w:rFonts w:ascii="Barlow Semi Condensed" w:cs="Barlow Semi Condensed" w:eastAsia="Barlow Semi Condensed" w:hAnsi="Barlow Semi Condensed"/>
          <w:sz w:val="24"/>
          <w:szCs w:val="24"/>
        </w:rPr>
        <w:t xml:space="preserve"> né vi appone percentuali: la misura della responsabilità di ciascuno sta nelle sentenze che l'hanno pronunciata, non in una aritmetica che l'opera ha già rifiutato una volta per tutte.</w:t>
      </w:r>
    </w:p>
    <w:p>
      <w:pPr>
        <w:spacing w:after="120" w:line="276"/>
        <w:jc w:val="both"/>
      </w:pPr>
      <w:r>
        <w:rPr>
          <w:rFonts w:ascii="Barlow Semi Condensed" w:cs="Barlow Semi Condensed" w:eastAsia="Barlow Semi Condensed" w:hAnsi="Barlow Semi Condensed"/>
          <w:b/>
          <w:bCs/>
          <w:sz w:val="24"/>
          <w:szCs w:val="24"/>
        </w:rPr>
        <w:t xml:space="preserve">Terza</w:t>
      </w:r>
      <w:r>
        <w:rPr>
          <w:rFonts w:ascii="Barlow Semi Condensed" w:cs="Barlow Semi Condensed" w:eastAsia="Barlow Semi Condensed" w:hAnsi="Barlow Semi Condensed"/>
          <w:sz w:val="24"/>
          <w:szCs w:val="24"/>
        </w:rPr>
        <w:t xml:space="preserve">: oltre queste tredici persone, </w:t>
      </w:r>
      <w:r>
        <w:rPr>
          <w:rFonts w:ascii="Barlow Semi Condensed" w:cs="Barlow Semi Condensed" w:eastAsia="Barlow Semi Condensed" w:hAnsi="Barlow Semi Condensed"/>
          <w:b/>
          <w:bCs/>
          <w:sz w:val="24"/>
          <w:szCs w:val="24"/>
        </w:rPr>
        <w:t xml:space="preserve">il registro non aggiunge nomi</w:t>
      </w:r>
      <w:r>
        <w:rPr>
          <w:rFonts w:ascii="Barlow Semi Condensed" w:cs="Barlow Semi Condensed" w:eastAsia="Barlow Semi Condensed" w:hAnsi="Barlow Semi Condensed"/>
          <w:sz w:val="24"/>
          <w:szCs w:val="24"/>
        </w:rPr>
        <w:t xml:space="preserve">, oggi come nella Fase nona. Chiunque altro sia stato evocato — mandanti, presenze, «centauri» — appartiene ai gradi B o C e vi resta.</w:t>
      </w:r>
    </w:p>
    <w:p>
      <w:pPr>
        <w:pStyle w:val="Heading1"/>
        <w:spacing w:after="120" w:before="240"/>
      </w:pPr>
      <w:r>
        <w:rPr>
          <w:rFonts w:ascii="Barlow Semi Condensed" w:cs="Barlow Semi Condensed" w:eastAsia="Barlow Semi Condensed" w:hAnsi="Barlow Semi Condensed"/>
          <w:sz w:val="24"/>
          <w:szCs w:val="24"/>
        </w:rPr>
        <w:t xml:space="preserve">Capitolo ottantesimo — Le posizioni distinte: dove il giudicato assolve, il registro tace</w:t>
      </w:r>
    </w:p>
    <w:p>
      <w:pPr>
        <w:spacing w:after="120" w:line="276"/>
        <w:jc w:val="both"/>
      </w:pPr>
      <w:r>
        <w:rPr>
          <w:rFonts w:ascii="Barlow Semi Condensed" w:cs="Barlow Semi Condensed" w:eastAsia="Barlow Semi Condensed" w:hAnsi="Barlow Semi Condensed"/>
          <w:sz w:val="24"/>
          <w:szCs w:val="24"/>
        </w:rPr>
        <w:t xml:space="preserve">Il principio personalistico vale nei </w:t>
      </w:r>
      <w:r>
        <w:rPr>
          <w:rFonts w:ascii="Barlow Semi Condensed" w:cs="Barlow Semi Condensed" w:eastAsia="Barlow Semi Condensed" w:hAnsi="Barlow Semi Condensed"/>
          <w:b/>
          <w:bCs/>
          <w:sz w:val="24"/>
          <w:szCs w:val="24"/>
        </w:rPr>
        <w:t xml:space="preserve">due sensi</w:t>
      </w:r>
      <w:r>
        <w:rPr>
          <w:rFonts w:ascii="Barlow Semi Condensed" w:cs="Barlow Semi Condensed" w:eastAsia="Barlow Semi Condensed" w:hAnsi="Barlow Semi Condensed"/>
          <w:sz w:val="24"/>
          <w:szCs w:val="24"/>
        </w:rPr>
        <w:t xml:space="preserve">, e questo capitolo ne è la prova più severa.</w:t>
      </w:r>
    </w:p>
    <w:p>
      <w:pPr>
        <w:spacing w:after="120" w:line="276"/>
        <w:jc w:val="both"/>
      </w:pPr>
      <w:r>
        <w:rPr>
          <w:rFonts w:ascii="Barlow Semi Condensed" w:cs="Barlow Semi Condensed" w:eastAsia="Barlow Semi Condensed" w:hAnsi="Barlow Semi Condensed"/>
          <w:b/>
          <w:bCs/>
          <w:sz w:val="24"/>
          <w:szCs w:val="24"/>
        </w:rPr>
        <w:t xml:space="preserve">Il caso Algranati.</w:t>
      </w:r>
      <w:r>
        <w:rPr>
          <w:rFonts w:ascii="Barlow Semi Condensed" w:cs="Barlow Semi Condensed" w:eastAsia="Barlow Semi Condensed" w:hAnsi="Barlow Semi Condensed"/>
          <w:sz w:val="24"/>
          <w:szCs w:val="24"/>
        </w:rPr>
        <w:t xml:space="preserve"> Rita Algranati fu </w:t>
      </w:r>
      <w:r>
        <w:rPr>
          <w:rFonts w:ascii="Barlow Semi Condensed" w:cs="Barlow Semi Condensed" w:eastAsia="Barlow Semi Condensed" w:hAnsi="Barlow Semi Condensed"/>
          <w:b/>
          <w:bCs/>
          <w:sz w:val="24"/>
          <w:szCs w:val="24"/>
        </w:rPr>
        <w:t xml:space="preserve">assolta</w:t>
      </w:r>
      <w:r>
        <w:rPr>
          <w:rFonts w:ascii="Barlow Semi Condensed" w:cs="Barlow Semi Condensed" w:eastAsia="Barlow Semi Condensed" w:hAnsi="Barlow Semi Condensed"/>
          <w:sz w:val="24"/>
          <w:szCs w:val="24"/>
        </w:rPr>
        <w:t xml:space="preserve">, all'esito del Moro ter (primo grado, ottobre 1988), per i fatti di via Fani: all'epoca del giudizio, la sua presenza la mattina del 16 marzo e il ruolo nella preparazione non erano ancora emersi, e l'assoluzione è </w:t>
      </w:r>
      <w:r>
        <w:rPr>
          <w:rFonts w:ascii="Barlow Semi Condensed" w:cs="Barlow Semi Condensed" w:eastAsia="Barlow Semi Condensed" w:hAnsi="Barlow Semi Condensed"/>
          <w:b/>
          <w:bCs/>
          <w:sz w:val="24"/>
          <w:szCs w:val="24"/>
        </w:rPr>
        <w:t xml:space="preserve">definitiva</w:t>
      </w:r>
      <w:r>
        <w:rPr>
          <w:rFonts w:ascii="Barlow Semi Condensed" w:cs="Barlow Semi Condensed" w:eastAsia="Barlow Semi Condensed" w:hAnsi="Barlow Semi Condensed"/>
          <w:sz w:val="24"/>
          <w:szCs w:val="24"/>
        </w:rPr>
        <w:t xml:space="preserve"> (Questione Giustizia, parte seconda (https://www.questionegiustizia.it/articolo/il-caso-moro-per-un-analisi-delle-sentenze-parte-seconda)). Ricostruzioni successive — memorialistiche e istruttorie — la collocano sul posto con funzione di segnalazione; ma quelle ricostruzioni sono grado B o C, e </w:t>
      </w:r>
      <w:r>
        <w:rPr>
          <w:rFonts w:ascii="Barlow Semi Condensed" w:cs="Barlow Semi Condensed" w:eastAsia="Barlow Semi Condensed" w:hAnsi="Barlow Semi Condensed"/>
          <w:b/>
          <w:bCs/>
          <w:sz w:val="24"/>
          <w:szCs w:val="24"/>
        </w:rPr>
        <w:t xml:space="preserve">non possono scavalcare un'assoluzione passata in giudicato</w:t>
      </w:r>
      <w:r>
        <w:rPr>
          <w:rFonts w:ascii="Barlow Semi Condensed" w:cs="Barlow Semi Condensed" w:eastAsia="Barlow Semi Condensed" w:hAnsi="Barlow Semi Condensed"/>
          <w:sz w:val="24"/>
          <w:szCs w:val="24"/>
        </w:rPr>
        <w:t xml:space="preserve">: il divieto di </w:t>
      </w:r>
      <w:r>
        <w:rPr>
          <w:rFonts w:ascii="Barlow Semi Condensed" w:cs="Barlow Semi Condensed" w:eastAsia="Barlow Semi Condensed" w:hAnsi="Barlow Semi Condensed"/>
          <w:i/>
          <w:iCs/>
          <w:sz w:val="24"/>
          <w:szCs w:val="24"/>
        </w:rPr>
        <w:t xml:space="preserve">bis in idem</w:t>
      </w:r>
      <w:r>
        <w:rPr>
          <w:rFonts w:ascii="Barlow Semi Condensed" w:cs="Barlow Semi Condensed" w:eastAsia="Barlow Semi Condensed" w:hAnsi="Barlow Semi Condensed"/>
          <w:sz w:val="24"/>
          <w:szCs w:val="24"/>
        </w:rPr>
        <w:t xml:space="preserve"> è un pilastro dello Stato di diritto, non un cavillo. Algranati fu poi condannata all'ergastolo </w:t>
      </w:r>
      <w:r>
        <w:rPr>
          <w:rFonts w:ascii="Barlow Semi Condensed" w:cs="Barlow Semi Condensed" w:eastAsia="Barlow Semi Condensed" w:hAnsi="Barlow Semi Condensed"/>
          <w:b/>
          <w:bCs/>
          <w:sz w:val="24"/>
          <w:szCs w:val="24"/>
        </w:rPr>
        <w:t xml:space="preserve">per altri fatti</w:t>
      </w:r>
      <w:r>
        <w:rPr>
          <w:rFonts w:ascii="Barlow Semi Condensed" w:cs="Barlow Semi Condensed" w:eastAsia="Barlow Semi Condensed" w:hAnsi="Barlow Semi Condensed"/>
          <w:sz w:val="24"/>
          <w:szCs w:val="24"/>
        </w:rPr>
        <w:t xml:space="preserve"> — gli omicidi dei magistrati Riccardo Palma e Girolamo Tartaglione e degli agenti Mea e Ollanu — e catturata al Cairo nel 2004 (Wikipedia (https://it.wikipedia.org/wiki/Rita_Algranati)): condanne che riguardano quei fatti e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quei fatti. Il registro del caso Moro, perciò, </w:t>
      </w:r>
      <w:r>
        <w:rPr>
          <w:rFonts w:ascii="Barlow Semi Condensed" w:cs="Barlow Semi Condensed" w:eastAsia="Barlow Semi Condensed" w:hAnsi="Barlow Semi Condensed"/>
          <w:b/>
          <w:bCs/>
          <w:sz w:val="24"/>
          <w:szCs w:val="24"/>
        </w:rPr>
        <w:t xml:space="preserve">non la contiene</w:t>
      </w:r>
      <w:r>
        <w:rPr>
          <w:rFonts w:ascii="Barlow Semi Condensed" w:cs="Barlow Semi Condensed" w:eastAsia="Barlow Semi Condensed" w:hAnsi="Barlow Semi Condensed"/>
          <w:sz w:val="24"/>
          <w:szCs w:val="24"/>
        </w:rPr>
        <w:t xml:space="preserve">; e la sua vicenda vi resta come dimostrazione che l'opera obbedisce al giudicato anche quando il giudicato dice «assolta» a fronte di una narrazione pubblica che dice altrimenti. Un registro che includesse gli assolti perché «tanto si sa» non sarebbe più un registro: sarebbe un tribunale parallelo, cioè la cosa che quest'opera esiste per non essere.</w:t>
      </w:r>
    </w:p>
    <w:p>
      <w:pPr>
        <w:spacing w:after="120" w:line="276"/>
        <w:jc w:val="both"/>
      </w:pPr>
      <w:r>
        <w:rPr>
          <w:rFonts w:ascii="Barlow Semi Condensed" w:cs="Barlow Semi Condensed" w:eastAsia="Barlow Semi Condensed" w:hAnsi="Barlow Semi Condensed"/>
          <w:b/>
          <w:bCs/>
          <w:sz w:val="24"/>
          <w:szCs w:val="24"/>
        </w:rPr>
        <w:t xml:space="preserve">Le posizioni differenziate.</w:t>
      </w:r>
      <w:r>
        <w:rPr>
          <w:rFonts w:ascii="Barlow Semi Condensed" w:cs="Barlow Semi Condensed" w:eastAsia="Barlow Semi Condensed" w:hAnsi="Barlow Semi Condensed"/>
          <w:sz w:val="24"/>
          <w:szCs w:val="24"/>
        </w:rPr>
        <w:t xml:space="preserve"> Valerio Morucci e Adriana Faranda uscirono dalle Brigate Rosse nel 1979, in dissenso maturato attorno all'esito del sequestro, e seguirono poi il percorso della dissociazione: sono </w:t>
      </w:r>
      <w:r>
        <w:rPr>
          <w:rFonts w:ascii="Barlow Semi Condensed" w:cs="Barlow Semi Condensed" w:eastAsia="Barlow Semi Condensed" w:hAnsi="Barlow Semi Condensed"/>
          <w:b/>
          <w:bCs/>
          <w:sz w:val="24"/>
          <w:szCs w:val="24"/>
        </w:rPr>
        <w:t xml:space="preserve">fatti biografici pubblici</w:t>
      </w:r>
      <w:r>
        <w:rPr>
          <w:rFonts w:ascii="Barlow Semi Condensed" w:cs="Barlow Semi Condensed" w:eastAsia="Barlow Semi Condensed" w:hAnsi="Barlow Semi Condensed"/>
          <w:sz w:val="24"/>
          <w:szCs w:val="24"/>
        </w:rPr>
        <w:t xml:space="preserve"> (grado F), che non attenuano ciò che il giudicato ha accertato a loro carico né lo aggravano — lo </w:t>
      </w:r>
      <w:r>
        <w:rPr>
          <w:rFonts w:ascii="Barlow Semi Condensed" w:cs="Barlow Semi Condensed" w:eastAsia="Barlow Semi Condensed" w:hAnsi="Barlow Semi Condensed"/>
          <w:i/>
          <w:iCs/>
          <w:sz w:val="24"/>
          <w:szCs w:val="24"/>
        </w:rPr>
        <w:t xml:space="preserve">contestualizzano</w:t>
      </w:r>
      <w:r>
        <w:rPr>
          <w:rFonts w:ascii="Barlow Semi Condensed" w:cs="Barlow Semi Condensed" w:eastAsia="Barlow Semi Condensed" w:hAnsi="Barlow Semi Condensed"/>
          <w:sz w:val="24"/>
          <w:szCs w:val="24"/>
        </w:rPr>
        <w:t xml:space="preserve">. Il loro Memoriale, come la Fase settima ha recepito dalla Commissione Moro 2, è un </w:t>
      </w:r>
      <w:r>
        <w:rPr>
          <w:rFonts w:ascii="Barlow Semi Condensed" w:cs="Barlow Semi Condensed" w:eastAsia="Barlow Semi Condensed" w:hAnsi="Barlow Semi Condensed"/>
          <w:b/>
          <w:bCs/>
          <w:sz w:val="24"/>
          <w:szCs w:val="24"/>
        </w:rPr>
        <w:t xml:space="preserve">testo negoziato</w:t>
      </w:r>
      <w:r>
        <w:rPr>
          <w:rFonts w:ascii="Barlow Semi Condensed" w:cs="Barlow Semi Condensed" w:eastAsia="Barlow Semi Condensed" w:hAnsi="Barlow Semi Condensed"/>
          <w:sz w:val="24"/>
          <w:szCs w:val="24"/>
        </w:rPr>
        <w:t xml:space="preserve"> degli anni Ottanta (grado B): fonte da leggere sapendo che cosa è.</w:t>
      </w:r>
    </w:p>
    <w:p>
      <w:pPr>
        <w:spacing w:after="120" w:line="276"/>
        <w:jc w:val="both"/>
      </w:pPr>
      <w:r>
        <w:rPr>
          <w:rFonts w:ascii="Barlow Semi Condensed" w:cs="Barlow Semi Condensed" w:eastAsia="Barlow Semi Condensed" w:hAnsi="Barlow Semi Condensed"/>
          <w:b/>
          <w:bCs/>
          <w:sz w:val="24"/>
          <w:szCs w:val="24"/>
        </w:rPr>
        <w:t xml:space="preserve">Gli assolti e i mai imputati.</w:t>
      </w:r>
      <w:r>
        <w:rPr>
          <w:rFonts w:ascii="Barlow Semi Condensed" w:cs="Barlow Semi Condensed" w:eastAsia="Barlow Semi Condensed" w:hAnsi="Barlow Semi Condensed"/>
          <w:sz w:val="24"/>
          <w:szCs w:val="24"/>
        </w:rPr>
        <w:t xml:space="preserve"> Per tutti coloro che furono prosciolti, assolti o mai raggiunti da imputazione — nel caso Moro come nei nodi collegati del corpus, da Hyperion in giù — vale la </w:t>
      </w:r>
      <w:r>
        <w:rPr>
          <w:rFonts w:ascii="Barlow Semi Condensed" w:cs="Barlow Semi Condensed" w:eastAsia="Barlow Semi Condensed" w:hAnsi="Barlow Semi Condensed"/>
          <w:b/>
          <w:bCs/>
          <w:sz w:val="24"/>
          <w:szCs w:val="24"/>
        </w:rPr>
        <w:t xml:space="preserve">presunzione d'innocenza piena e nominale</w:t>
      </w:r>
      <w:r>
        <w:rPr>
          <w:rFonts w:ascii="Barlow Semi Condensed" w:cs="Barlow Semi Condensed" w:eastAsia="Barlow Semi Condensed" w:hAnsi="Barlow Semi Condensed"/>
          <w:sz w:val="24"/>
          <w:szCs w:val="24"/>
        </w:rPr>
        <w:t xml:space="preserve">: non sono «sfuggiti» a nulla; sono, per l'ordinamento e per quest'opera, innocenti.</w:t>
      </w:r>
    </w:p>
    <w:p>
      <w:pPr>
        <w:pStyle w:val="Heading1"/>
        <w:spacing w:after="120" w:before="240"/>
      </w:pPr>
      <w:r>
        <w:rPr>
          <w:rFonts w:ascii="Barlow Semi Condensed" w:cs="Barlow Semi Condensed" w:eastAsia="Barlow Semi Condensed" w:hAnsi="Barlow Semi Condensed"/>
          <w:sz w:val="24"/>
          <w:szCs w:val="24"/>
        </w:rPr>
        <w:t xml:space="preserve">Capitolo ottantunesimo — L'appartenenza a uno o più gruppi come fatto biografico, mai come somma di colpe</w:t>
      </w:r>
    </w:p>
    <w:p>
      <w:pPr>
        <w:spacing w:after="120" w:line="276"/>
        <w:jc w:val="both"/>
      </w:pPr>
      <w:r>
        <w:rPr>
          <w:rFonts w:ascii="Barlow Semi Condensed" w:cs="Barlow Semi Condensed" w:eastAsia="Barlow Semi Condensed" w:hAnsi="Barlow Semi Condensed"/>
          <w:sz w:val="24"/>
          <w:szCs w:val="24"/>
        </w:rPr>
        <w:t xml:space="preserve">Molte delle persone del registro attraversarono, prima o durante la militanza brigatista, </w:t>
      </w:r>
      <w:r>
        <w:rPr>
          <w:rFonts w:ascii="Barlow Semi Condensed" w:cs="Barlow Semi Condensed" w:eastAsia="Barlow Semi Condensed" w:hAnsi="Barlow Semi Condensed"/>
          <w:b/>
          <w:bCs/>
          <w:sz w:val="24"/>
          <w:szCs w:val="24"/>
        </w:rPr>
        <w:t xml:space="preserve">altre formazioni</w:t>
      </w:r>
      <w:r>
        <w:rPr>
          <w:rFonts w:ascii="Barlow Semi Condensed" w:cs="Barlow Semi Condensed" w:eastAsia="Barlow Semi Condensed" w:hAnsi="Barlow Semi Condensed"/>
          <w:sz w:val="24"/>
          <w:szCs w:val="24"/>
        </w:rPr>
        <w:t xml:space="preserve">: percorsi da Potere Operaio verso le BR, genealogie dal Collettivo Politico Metropolitano e dal Superclan che il corpus ha già ricostruito nelle triangolazioni (cfr.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triangolazione-feltrinelli-hyperion.md</w:t>
      </w:r>
      <w:r>
        <w:rPr>
          <w:rFonts w:ascii="Barlow Semi Condensed" w:cs="Barlow Semi Condensed" w:eastAsia="Barlow Semi Condensed" w:hAnsi="Barlow Semi Condensed"/>
          <w:sz w:val="24"/>
          <w:szCs w:val="24"/>
        </w:rPr>
        <w:t xml:space="preserve">). Questi passaggi sono </w:t>
      </w:r>
      <w:r>
        <w:rPr>
          <w:rFonts w:ascii="Barlow Semi Condensed" w:cs="Barlow Semi Condensed" w:eastAsia="Barlow Semi Condensed" w:hAnsi="Barlow Semi Condensed"/>
          <w:b/>
          <w:bCs/>
          <w:sz w:val="24"/>
          <w:szCs w:val="24"/>
        </w:rPr>
        <w:t xml:space="preserve">storia</w:t>
      </w:r>
      <w:r>
        <w:rPr>
          <w:rFonts w:ascii="Barlow Semi Condensed" w:cs="Barlow Semi Condensed" w:eastAsia="Barlow Semi Condensed" w:hAnsi="Barlow Semi Condensed"/>
          <w:sz w:val="24"/>
          <w:szCs w:val="24"/>
        </w:rPr>
        <w:t xml:space="preserve">, e l'opera li documenta perché spiegano </w:t>
      </w:r>
      <w:r>
        <w:rPr>
          <w:rFonts w:ascii="Barlow Semi Condensed" w:cs="Barlow Semi Condensed" w:eastAsia="Barlow Semi Condensed" w:hAnsi="Barlow Semi Condensed"/>
          <w:i/>
          <w:iCs/>
          <w:sz w:val="24"/>
          <w:szCs w:val="24"/>
        </w:rPr>
        <w:t xml:space="preserve">come</w:t>
      </w:r>
      <w:r>
        <w:rPr>
          <w:rFonts w:ascii="Barlow Semi Condensed" w:cs="Barlow Semi Condensed" w:eastAsia="Barlow Semi Condensed" w:hAnsi="Barlow Semi Condensed"/>
          <w:sz w:val="24"/>
          <w:szCs w:val="24"/>
        </w:rPr>
        <w:t xml:space="preserve"> si formarono le persone e le reti.</w:t>
      </w:r>
    </w:p>
    <w:p>
      <w:pPr>
        <w:spacing w:after="120" w:line="276"/>
        <w:jc w:val="both"/>
      </w:pPr>
      <w:r>
        <w:rPr>
          <w:rFonts w:ascii="Barlow Semi Condensed" w:cs="Barlow Semi Condensed" w:eastAsia="Barlow Semi Condensed" w:hAnsi="Barlow Semi Condensed"/>
          <w:sz w:val="24"/>
          <w:szCs w:val="24"/>
        </w:rPr>
        <w:t xml:space="preserve">Ma il principio va enunciato senza residui: </w:t>
      </w:r>
      <w:r>
        <w:rPr>
          <w:rFonts w:ascii="Barlow Semi Condensed" w:cs="Barlow Semi Condensed" w:eastAsia="Barlow Semi Condensed" w:hAnsi="Barlow Semi Condensed"/>
          <w:b/>
          <w:bCs/>
          <w:sz w:val="24"/>
          <w:szCs w:val="24"/>
        </w:rPr>
        <w:t xml:space="preserve">le appartenenze non si sommano in colpa.</w:t>
      </w:r>
      <w:r>
        <w:rPr>
          <w:rFonts w:ascii="Barlow Semi Condensed" w:cs="Barlow Semi Condensed" w:eastAsia="Barlow Semi Condensed" w:hAnsi="Barlow Semi Condensed"/>
          <w:sz w:val="24"/>
          <w:szCs w:val="24"/>
        </w:rPr>
        <w:t xml:space="preserve"> Chi militò in due gruppi non è «due volte» prossimo alla responsabilità; chi ne attraversò tre non porta tre indizi. L'appartenenza — a </w:t>
      </w:r>
      <w:r>
        <w:rPr>
          <w:rFonts w:ascii="Barlow Semi Condensed" w:cs="Barlow Semi Condensed" w:eastAsia="Barlow Semi Condensed" w:hAnsi="Barlow Semi Condensed"/>
          <w:i/>
          <w:iCs/>
          <w:sz w:val="24"/>
          <w:szCs w:val="24"/>
        </w:rPr>
        <w:t xml:space="preserve">uno o più</w:t>
      </w:r>
      <w:r>
        <w:rPr>
          <w:rFonts w:ascii="Barlow Semi Condensed" w:cs="Barlow Semi Condensed" w:eastAsia="Barlow Semi Condensed" w:hAnsi="Barlow Semi Condensed"/>
          <w:sz w:val="24"/>
          <w:szCs w:val="24"/>
        </w:rPr>
        <w:t xml:space="preserve"> gruppi — resta, per ciascuno, un fatto biografico di grado F, utile alla comprensione storica e </w:t>
      </w:r>
      <w:r>
        <w:rPr>
          <w:rFonts w:ascii="Barlow Semi Condensed" w:cs="Barlow Semi Condensed" w:eastAsia="Barlow Semi Condensed" w:hAnsi="Barlow Semi Condensed"/>
          <w:b/>
          <w:bCs/>
          <w:sz w:val="24"/>
          <w:szCs w:val="24"/>
        </w:rPr>
        <w:t xml:space="preserve">inerte</w:t>
      </w:r>
      <w:r>
        <w:rPr>
          <w:rFonts w:ascii="Barlow Semi Condensed" w:cs="Barlow Semi Condensed" w:eastAsia="Barlow Semi Condensed" w:hAnsi="Barlow Semi Condensed"/>
          <w:sz w:val="24"/>
          <w:szCs w:val="24"/>
        </w:rPr>
        <w:t xml:space="preserve"> sul piano dell'attribuzione: la colpa nasce soltanto dalla condotta accertata, e la condotta accertata sta nel registro, una per persona, con la sua sentenza. È la stessa regola che il corpus applica, sull'altro versante, all'Opus Dei delle ricognizioni mediterranee e ai Lupi Grigi del dossier turco: nessun ente è colpevole delle condotte dei suoi membri, nessun membro è colpevole dell'esistenza del suo ente. La simmetria non è equidistanza morale: è </w:t>
      </w:r>
      <w:r>
        <w:rPr>
          <w:rFonts w:ascii="Barlow Semi Condensed" w:cs="Barlow Semi Condensed" w:eastAsia="Barlow Semi Condensed" w:hAnsi="Barlow Semi Condensed"/>
          <w:b/>
          <w:bCs/>
          <w:sz w:val="24"/>
          <w:szCs w:val="24"/>
        </w:rPr>
        <w:t xml:space="preserve">metodo</w:t>
      </w:r>
      <w:r>
        <w:rPr>
          <w:rFonts w:ascii="Barlow Semi Condensed" w:cs="Barlow Semi Condensed" w:eastAsia="Barlow Semi Condensed" w:hAnsi="Barlow Semi Condensed"/>
          <w:sz w:val="24"/>
          <w:szCs w:val="24"/>
        </w:rPr>
        <w:t xml:space="preserve">, ed è lo stesso per tutti.</w:t>
      </w:r>
    </w:p>
    <w:p>
      <w:pPr>
        <w:pStyle w:val="Heading1"/>
        <w:spacing w:after="120" w:before="240"/>
      </w:pPr>
      <w:r>
        <w:rPr>
          <w:rFonts w:ascii="Barlow Semi Condensed" w:cs="Barlow Semi Condensed" w:eastAsia="Barlow Semi Condensed" w:hAnsi="Barlow Semi Condensed"/>
          <w:sz w:val="24"/>
          <w:szCs w:val="24"/>
        </w:rPr>
        <w:t xml:space="preserve">Capitolo ottantaduesimo — Tavola di chiusura: che cosa questa Fase elimina, e che cosa custodisce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Eliminato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Perché</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Custodito al suo posto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«Le BR sono colpevoli» come formula di attribuzione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gruppo non è soggetto di colpa (art. 27 Cost.)</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Tredici responsabilità </w:t>
            </w:r>
            <w:r>
              <w:rPr>
                <w:rFonts w:ascii="Barlow Semi Condensed" w:cs="Barlow Semi Condensed" w:eastAsia="Barlow Semi Condensed" w:hAnsi="Barlow Semi Condensed"/>
                <w:b/>
                <w:bCs/>
                <w:sz w:val="20"/>
                <w:szCs w:val="20"/>
              </w:rPr>
              <w:t xml:space="preserve">personali</w:t>
            </w:r>
            <w:r>
              <w:rPr>
                <w:rFonts w:ascii="Barlow Semi Condensed" w:cs="Barlow Semi Condensed" w:eastAsia="Barlow Semi Condensed" w:hAnsi="Barlow Semi Condensed"/>
                <w:sz w:val="20"/>
                <w:szCs w:val="20"/>
              </w:rPr>
              <w:t xml:space="preserve">, nominative, ciascuna con la propria condotta e la propria sentenza (cap. 79)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L'elenco dei 32 ergastoli come «elenco dei colpevoli del caso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Colpa di gruppo per trascinamento: quel processo giudicò molte condotte estranee all'operazione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registro ristretto alle condanne </w:t>
            </w:r>
            <w:r>
              <w:rPr>
                <w:rFonts w:ascii="Barlow Semi Condensed" w:cs="Barlow Semi Condensed" w:eastAsia="Barlow Semi Condensed" w:hAnsi="Barlow Semi Condensed"/>
                <w:b/>
                <w:bCs/>
                <w:sz w:val="20"/>
                <w:szCs w:val="20"/>
              </w:rPr>
              <w:t xml:space="preserve">specifiche</w:t>
            </w:r>
            <w:r>
              <w:rPr>
                <w:rFonts w:ascii="Barlow Semi Condensed" w:cs="Barlow Semi Condensed" w:eastAsia="Barlow Semi Condensed" w:hAnsi="Barlow Semi Condensed"/>
                <w:sz w:val="20"/>
                <w:szCs w:val="20"/>
              </w:rPr>
              <w:t xml:space="preserve"> per il caso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L'appartenenza (a uno o più gruppi) come indizio o aggravante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Appartenenza ≠ condotta; le militanze non si sommano in colpa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L'appartenenza come </w:t>
            </w:r>
            <w:r>
              <w:rPr>
                <w:rFonts w:ascii="Barlow Semi Condensed" w:cs="Barlow Semi Condensed" w:eastAsia="Barlow Semi Condensed" w:hAnsi="Barlow Semi Condensed"/>
                <w:b/>
                <w:bCs/>
                <w:sz w:val="20"/>
                <w:szCs w:val="20"/>
              </w:rPr>
              <w:t xml:space="preserve">fatto biografico</w:t>
            </w:r>
            <w:r>
              <w:rPr>
                <w:rFonts w:ascii="Barlow Semi Condensed" w:cs="Barlow Semi Condensed" w:eastAsia="Barlow Semi Condensed" w:hAnsi="Barlow Semi Condensed"/>
                <w:sz w:val="20"/>
                <w:szCs w:val="20"/>
              </w:rPr>
              <w:t xml:space="preserve"> (F), utile alla storia, inerte per l'attribuzione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 colpa che «sale» al collettivo e svapora («fu l'organizzazione»)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collettivo non assorbe la responsabilità dei singoli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condotte distinte che il giudicato ha distinto: dirigere, sparare, custodire, concorrere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Ogni nome oltre il giudicato; ogni percentuale; ogni graduatoria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Divieto costitutivo dell'opera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gradi B e C dichiarati come tali; gli assolti assolti (caso Algranati); le sei vittime in testa a ogni pagina</w:t>
            </w:r>
          </w:p>
        </w:tc>
      </w:tr>
    </w:tbl>
    <w:p>
      <w:pPr>
        <w:spacing w:after="80"/>
      </w:pP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decima.</w:t>
      </w:r>
      <w:r>
        <w:rPr>
          <w:rFonts w:ascii="Barlow Semi Condensed" w:cs="Barlow Semi Condensed" w:eastAsia="Barlow Semi Condensed" w:hAnsi="Barlow Semi Condensed"/>
          <w:sz w:val="24"/>
          <w:szCs w:val="24"/>
        </w:rPr>
        <w:t xml:space="preserve"> Ciò che questa Fase toglie ai gruppi non va perduto: va alle persone — che è il solo luogo dove la responsabilità sia mai realmente stata. Tredici nomi con tredici condotte, scritte da giudici e non da noi; un'assolta che resta assolta contro la comodità del racconto; e, prima di tutti, sei vittime con i loro nomi: Oreste Leonardi, Domenico Ricci, Giulio Rivera, Francesco Zizzi, Raffaele Iozzino, Aldo Moro. La guerra senza fine è fatta anche di questo: della tentazione, sempre risorgente, di giudicare all'ingrosso — per sigle, per ambienti, per appartenenze. Quest'opera vi oppone il dettaglio, che è la forma giuridica del rispetto: </w:t>
      </w:r>
      <w:r>
        <w:rPr>
          <w:rFonts w:ascii="Barlow Semi Condensed" w:cs="Barlow Semi Condensed" w:eastAsia="Barlow Semi Condensed" w:hAnsi="Barlow Semi Condensed"/>
          <w:b/>
          <w:bCs/>
          <w:sz w:val="24"/>
          <w:szCs w:val="24"/>
        </w:rPr>
        <w:t xml:space="preserve">una persona, una condotta, una sentenza.</w:t>
      </w:r>
      <w:r>
        <w:rPr>
          <w:rFonts w:ascii="Barlow Semi Condensed" w:cs="Barlow Semi Condensed" w:eastAsia="Barlow Semi Condensed" w:hAnsi="Barlow Semi Condensed"/>
          <w:sz w:val="24"/>
          <w:szCs w:val="24"/>
        </w:rPr>
        <w:t xml:space="preserve"> Nulla di meno, e mai nulla di più.</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decima dell'opera «Aldo Moro — Una guerra senza fine» (capp. 77-82). Rende esplicito e sistematico il principio personalistico (art. 27 Cost.; art. 110 c.p.): elimina la colpa dei gruppi in entrambe le direzioni — né colpa collettiva discendente, né deresponsabilizzazione ascendente — e la sostituisce con il registro nominativo delle tredici responsabilità personali accertate in giudicato, ciascuna con la propria condotta; tratta il caso Algranati come prova che il giudicato vale nei due sensi; qualifica l'appartenenza a uno o più gruppi come fatto biografico inerte per l'attribuzione. Fonti: sentenza I Corte d'assise di Roma 24/1/1983 e analisi delle sentenze (Questione Giustizia, parti prima e seconda); Il Sole 24 Ore; fonti biografiche verificate per Braghetti, Casimirri, Algranati. Nessuna imputazione oltre il giudicato; nessuna graduatoria; nessuna percentuale.</w:t>
      </w:r>
    </w:p>
    <w:p>
      <w:pPr>
        <w:pStyle w:val="Heading3"/>
        <w:spacing w:after="80" w:before="240"/>
      </w:pPr>
      <w:r>
        <w:rPr>
          <w:rFonts w:ascii="Barlow Semi Condensed" w:cs="Barlow Semi Condensed" w:eastAsia="Barlow Semi Condensed" w:hAnsi="Barlow Semi Condensed"/>
          <w:sz w:val="24"/>
          <w:szCs w:val="24"/>
        </w:rPr>
        <w:t xml:space="preserve">Apparato grafico — Libro undicesimo · Il principio personalistico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undicesimo · I: 2.378 parole in 4 sezioni; la più ampia è §2 Segmento 2, con 672.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undicesimo · I: 8 indirizzi di fonte citati, addensati in 3 sezioni su 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 tredici del registro per stato documentato: il tempo stringe la finestra della parola (priorità biologica).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curva che si accelera: ogni scheda vivente del registro lavora contro questo grafico.</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undicesimo — Le responsabilità personali — II. La prosopografia dei tredici</w:t>
      </w:r>
    </w:p>
    <w:p>
      <w:pPr>
        <w:pStyle w:val="Heading1"/>
        <w:spacing w:after="120" w:before="240"/>
      </w:pPr>
      <w:r>
        <w:rPr>
          <w:rFonts w:ascii="Barlow Semi Condensed" w:cs="Barlow Semi Condensed" w:eastAsia="Barlow Semi Condensed" w:hAnsi="Barlow Semi Condensed"/>
          <w:sz w:val="24"/>
          <w:szCs w:val="24"/>
        </w:rPr>
        <w:t xml:space="preserve">Triangolazione dei tredici condannati con il corpus</w:t>
      </w:r>
    </w:p>
    <w:p>
      <w:pPr>
        <w:pStyle w:val="Heading2"/>
        <w:spacing w:after="100" w:before="200"/>
      </w:pPr>
      <w:r>
        <w:rPr>
          <w:rFonts w:ascii="Barlow Semi Condensed" w:cs="Barlow Semi Condensed" w:eastAsia="Barlow Semi Condensed" w:hAnsi="Barlow Semi Condensed"/>
          <w:sz w:val="24"/>
          <w:szCs w:val="24"/>
        </w:rPr>
        <w:t xml:space="preserve">Prosopografia del registro personalistico e i ponti verso gli altri domini</w:t>
      </w:r>
    </w:p>
    <w:p>
      <w:pPr>
        <w:spacing w:after="120" w:line="276"/>
        <w:jc w:val="both"/>
      </w:pPr>
      <w:r>
        <w:rPr>
          <w:rFonts w:ascii="Barlow Semi Condensed" w:cs="Barlow Semi Condensed" w:eastAsia="Barlow Semi Condensed" w:hAnsi="Barlow Semi Condensed"/>
          <w:i/>
          <w:iCs/>
          <w:sz w:val="24"/>
          <w:szCs w:val="24"/>
        </w:rPr>
        <w:t xml:space="preserve">Documento di triangolazione — 25 agosto 2026 · Complemento della Fase decima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perimetro.</w:t>
      </w:r>
      <w:r>
        <w:rPr>
          <w:rFonts w:ascii="Barlow Semi Condensed" w:cs="Barlow Semi Condensed" w:eastAsia="Barlow Semi Condensed" w:hAnsi="Barlow Semi Condensed"/>
          <w:i w:val="false"/>
          <w:iCs w:val="false"/>
          <w:sz w:val="24"/>
          <w:szCs w:val="24"/>
        </w:rPr>
        <w:t xml:space="preserve"> Questo documento prende le </w:t>
      </w:r>
      <w:r>
        <w:rPr>
          <w:rFonts w:ascii="Barlow Semi Condensed" w:cs="Barlow Semi Condensed" w:eastAsia="Barlow Semi Condensed" w:hAnsi="Barlow Semi Condensed"/>
          <w:b/>
          <w:bCs/>
          <w:i w:val="false"/>
          <w:iCs w:val="false"/>
          <w:sz w:val="24"/>
          <w:szCs w:val="24"/>
        </w:rPr>
        <w:t xml:space="preserve">tredici persone del registro nominativo</w:t>
      </w:r>
      <w:r>
        <w:rPr>
          <w:rFonts w:ascii="Barlow Semi Condensed" w:cs="Barlow Semi Condensed" w:eastAsia="Barlow Semi Condensed" w:hAnsi="Barlow Semi Condensed"/>
          <w:i w:val="false"/>
          <w:iCs w:val="false"/>
          <w:sz w:val="24"/>
          <w:szCs w:val="24"/>
        </w:rPr>
        <w:t xml:space="preserve"> (Fase decima, cap. 79) — le sole la cui responsabilità nel caso Moro è accertata in giudicato — e ne incrocia le </w:t>
      </w:r>
      <w:r>
        <w:rPr>
          <w:rFonts w:ascii="Barlow Semi Condensed" w:cs="Barlow Semi Condensed" w:eastAsia="Barlow Semi Condensed" w:hAnsi="Barlow Semi Condensed"/>
          <w:b/>
          <w:bCs/>
          <w:i w:val="false"/>
          <w:iCs w:val="false"/>
          <w:sz w:val="24"/>
          <w:szCs w:val="24"/>
        </w:rPr>
        <w:t xml:space="preserve">biografie documentate</w:t>
      </w:r>
      <w:r>
        <w:rPr>
          <w:rFonts w:ascii="Barlow Semi Condensed" w:cs="Barlow Semi Condensed" w:eastAsia="Barlow Semi Condensed" w:hAnsi="Barlow Semi Condensed"/>
          <w:i w:val="false"/>
          <w:iCs w:val="false"/>
          <w:sz w:val="24"/>
          <w:szCs w:val="24"/>
        </w:rPr>
        <w:t xml:space="preserve"> con gli altri domini del corpus: il fronte Feltrinelli/GAP, il nodo Hyperion/CPM/Superclan, il fronte guevariano e latinoamericano, il filo del Tribunale Speciale, la dimensione diplomatica e vaticana della cartella Farnesina, e i nodi interni del caso (Memoriale, trattativa, i covi). Lo scopo è </w:t>
      </w:r>
      <w:r>
        <w:rPr>
          <w:rFonts w:ascii="Barlow Semi Condensed" w:cs="Barlow Semi Condensed" w:eastAsia="Barlow Semi Condensed" w:hAnsi="Barlow Semi Condensed"/>
          <w:b/>
          <w:bCs/>
          <w:i w:val="false"/>
          <w:iCs w:val="false"/>
          <w:sz w:val="24"/>
          <w:szCs w:val="24"/>
        </w:rPr>
        <w:t xml:space="preserve">capire i legami</w:t>
      </w:r>
      <w:r>
        <w:rPr>
          <w:rFonts w:ascii="Barlow Semi Condensed" w:cs="Barlow Semi Condensed" w:eastAsia="Barlow Semi Condensed" w:hAnsi="Barlow Semi Condensed"/>
          <w:i w:val="false"/>
          <w:iCs w:val="false"/>
          <w:sz w:val="24"/>
          <w:szCs w:val="24"/>
        </w:rPr>
        <w:t xml:space="preserve">, non estenderli: ogni ponte qui censito è un fatto biografico o un atto documentato, e </w:t>
      </w:r>
      <w:r>
        <w:rPr>
          <w:rFonts w:ascii="Barlow Semi Condensed" w:cs="Barlow Semi Condensed" w:eastAsia="Barlow Semi Condensed" w:hAnsi="Barlow Semi Condensed"/>
          <w:b/>
          <w:bCs/>
          <w:i w:val="false"/>
          <w:iCs w:val="false"/>
          <w:sz w:val="24"/>
          <w:szCs w:val="24"/>
        </w:rPr>
        <w:t xml:space="preserve">nessun ponte aggiunge un grammo di colpa</w:t>
      </w:r>
      <w:r>
        <w:rPr>
          <w:rFonts w:ascii="Barlow Semi Condensed" w:cs="Barlow Semi Condensed" w:eastAsia="Barlow Semi Condensed" w:hAnsi="Barlow Semi Condensed"/>
          <w:i w:val="false"/>
          <w:iCs w:val="false"/>
          <w:sz w:val="24"/>
          <w:szCs w:val="24"/>
        </w:rPr>
        <w:t xml:space="preserve"> a ciò che il giudicato ha già scritto, né sposta di un millimetro la posizione di chiunque altro. Valgono, rafforzate, le quattro regole: l'appartenenza non è condotta; la contemporaneità non è nesso; la parentela non è canale; l'origine comune non è regia. Ogni verifica di questo documento è stata condotta su fonti prima della stesura; gli esiti negativi sono dichiarati come acquisizioni di pieno valore. Il materiale riservato del versante privato del corpus </w:t>
      </w:r>
      <w:r>
        <w:rPr>
          <w:rFonts w:ascii="Barlow Semi Condensed" w:cs="Barlow Semi Condensed" w:eastAsia="Barlow Semi Condensed" w:hAnsi="Barlow Semi Condensed"/>
          <w:b/>
          <w:bCs/>
          <w:i w:val="false"/>
          <w:iCs w:val="false"/>
          <w:sz w:val="24"/>
          <w:szCs w:val="24"/>
        </w:rPr>
        <w:t xml:space="preserve">non è toccato né richiamato</w:t>
      </w:r>
      <w:r>
        <w:rPr>
          <w:rFonts w:ascii="Barlow Semi Condensed" w:cs="Barlow Semi Condensed" w:eastAsia="Barlow Semi Condensed" w:hAnsi="Barlow Semi Condensed"/>
          <w:i w:val="false"/>
          <w:iCs w:val="false"/>
          <w:sz w:val="24"/>
          <w:szCs w:val="24"/>
        </w:rPr>
        <w:t xml:space="preserve">: questa triangolazione vive interamente nel pubblico e documentato.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domini di incrocio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Sigla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Dominio del corpus</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Documenti di riferimento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Feltrinelli, l'editoria e i GAP</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feltrinelli-il-vettore.md</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triangolazione-feltrinelli-corpus.md</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Hyperion, CPM e Superclan (le genealogie del 1969-70)</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triangolazione-feltrinelli-hyperion.md</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Guevara, il mito del Che e l'America Latina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corpus guevariano, </w:t>
            </w:r>
            <w:r>
              <w:rPr>
                <w:rFonts w:ascii="Barlow Semi Condensed" w:cs="Barlow Semi Condensed" w:eastAsia="Barlow Semi Condensed" w:hAnsi="Barlow Semi Condensed"/>
                <w:i/>
                <w:iCs/>
                <w:sz w:val="20"/>
                <w:szCs w:val="20"/>
              </w:rPr>
              <w:t xml:space="preserve">cronologia-guevara-moro.html</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Tribunale Speciale e la giustizia d'eccezione (il filo del 1926)</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tribunale-speciale-storia-istituzione.md</w:t>
            </w:r>
            <w:r>
              <w:rPr>
                <w:rFonts w:ascii="Barlow Semi Condensed" w:cs="Barlow Semi Condensed" w:eastAsia="Barlow Semi Condensed" w:hAnsi="Barlow Semi Condensed"/>
                <w:sz w:val="20"/>
                <w:szCs w:val="20"/>
              </w:rPr>
              <w:t xml:space="preserve"> e approfondimenti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dimensione diplomatica e vaticana (Farnesina, Santa Sede)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cartella </w:t>
            </w:r>
            <w:r>
              <w:rPr>
                <w:rFonts w:ascii="Barlow Semi Condensed" w:cs="Barlow Semi Condensed" w:eastAsia="Barlow Semi Condensed" w:hAnsi="Barlow Semi Condensed"/>
                <w:i/>
                <w:iCs/>
                <w:sz w:val="20"/>
                <w:szCs w:val="20"/>
              </w:rPr>
              <w:t xml:space="preserve">moro-ministro-esteri/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nodi interni del caso (Memoriale, trattativa, covi, memoria)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Parte terza, Fasi settima e nona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Nodo T-1 — Moretti e il ceppo del 1969: la Sit-Siemens, il CPM e la doppia discendenza (D2)</w:t>
      </w:r>
    </w:p>
    <w:p>
      <w:pPr>
        <w:spacing w:after="120" w:line="276"/>
        <w:jc w:val="both"/>
      </w:pPr>
      <w:r>
        <w:rPr>
          <w:rFonts w:ascii="Barlow Semi Condensed" w:cs="Barlow Semi Condensed" w:eastAsia="Barlow Semi Condensed" w:hAnsi="Barlow Semi Condensed"/>
          <w:sz w:val="24"/>
          <w:szCs w:val="24"/>
        </w:rPr>
        <w:t xml:space="preserve">Il ponte più solido dell'intera triangolazione è genealogico. Mario Moretti giunse a Milano all'inizio del 1968 e fu assunto alla </w:t>
      </w:r>
      <w:r>
        <w:rPr>
          <w:rFonts w:ascii="Barlow Semi Condensed" w:cs="Barlow Semi Condensed" w:eastAsia="Barlow Semi Condensed" w:hAnsi="Barlow Semi Condensed"/>
          <w:b/>
          <w:bCs/>
          <w:sz w:val="24"/>
          <w:szCs w:val="24"/>
        </w:rPr>
        <w:t xml:space="preserve">Sit-Siemens</w:t>
      </w:r>
      <w:r>
        <w:rPr>
          <w:rFonts w:ascii="Barlow Semi Condensed" w:cs="Barlow Semi Condensed" w:eastAsia="Barlow Semi Condensed" w:hAnsi="Barlow Semi Condensed"/>
          <w:sz w:val="24"/>
          <w:szCs w:val="24"/>
        </w:rPr>
        <w:t xml:space="preserve"> — con una lettera di raccomandazione della marchesa Anna Casati Stampa di Soncino, dettaglio biografico consolidato — e in fabbrica conobbe Corrado Alunni, Giorgio Semeria, Paola Besuschio e altri futuri brigatisti; con loro entrò nel </w:t>
      </w:r>
      <w:r>
        <w:rPr>
          <w:rFonts w:ascii="Barlow Semi Condensed" w:cs="Barlow Semi Condensed" w:eastAsia="Barlow Semi Condensed" w:hAnsi="Barlow Semi Condensed"/>
          <w:b/>
          <w:bCs/>
          <w:sz w:val="24"/>
          <w:szCs w:val="24"/>
        </w:rPr>
        <w:t xml:space="preserve">Collettivo Politico Metropolitano</w:t>
      </w:r>
      <w:r>
        <w:rPr>
          <w:rFonts w:ascii="Barlow Semi Condensed" w:cs="Barlow Semi Condensed" w:eastAsia="Barlow Semi Condensed" w:hAnsi="Barlow Semi Condensed"/>
          <w:sz w:val="24"/>
          <w:szCs w:val="24"/>
        </w:rPr>
        <w:t xml:space="preserve"> di Renato Curcio e Margherita Cagol, il coordinamento fondato l'</w:t>
      </w:r>
      <w:r>
        <w:rPr>
          <w:rFonts w:ascii="Barlow Semi Condensed" w:cs="Barlow Semi Condensed" w:eastAsia="Barlow Semi Condensed" w:hAnsi="Barlow Semi Condensed"/>
          <w:b/>
          <w:bCs/>
          <w:sz w:val="24"/>
          <w:szCs w:val="24"/>
        </w:rPr>
        <w:t xml:space="preserve">8 settembre 1969</w:t>
      </w:r>
      <w:r>
        <w:rPr>
          <w:rFonts w:ascii="Barlow Semi Condensed" w:cs="Barlow Semi Condensed" w:eastAsia="Barlow Semi Condensed" w:hAnsi="Barlow Semi Condensed"/>
          <w:sz w:val="24"/>
          <w:szCs w:val="24"/>
        </w:rPr>
        <w:t xml:space="preserve"> che raccoglieva operai e tecnici soprattutto di Sit-Siemens e Pirelli. La clandestinità venne fra l'estate e l'autunno del 1970, con il nucleo storico delle BR (Cinquantamila.it, biografia di Moretti (https://www.cinquantamila.it/storyTellerArticolo.php?storyId=5b8fafffca5e4); Spazio70, sul CPM (https://nazionalpopolare70.wordpress.com/tag/collettivo-politico-metropolitano/); Wikipedia, </w:t>
      </w:r>
      <w:r>
        <w:rPr>
          <w:rFonts w:ascii="Barlow Semi Condensed" w:cs="Barlow Semi Condensed" w:eastAsia="Barlow Semi Condensed" w:hAnsi="Barlow Semi Condensed"/>
          <w:i/>
          <w:iCs/>
          <w:sz w:val="24"/>
          <w:szCs w:val="24"/>
        </w:rPr>
        <w:t xml:space="preserve">Brigate Rosse</w:t>
      </w:r>
      <w:r>
        <w:rPr>
          <w:rFonts w:ascii="Barlow Semi Condensed" w:cs="Barlow Semi Condensed" w:eastAsia="Barlow Semi Condensed" w:hAnsi="Barlow Semi Condensed"/>
          <w:sz w:val="24"/>
          <w:szCs w:val="24"/>
        </w:rPr>
        <w:t xml:space="preserve"> (https://it.wikipedia.org/wiki/Brigate_Rosse)).</w:t>
      </w:r>
    </w:p>
    <w:p>
      <w:pPr>
        <w:spacing w:after="120" w:line="276"/>
        <w:jc w:val="both"/>
      </w:pPr>
      <w:r>
        <w:rPr>
          <w:rFonts w:ascii="Barlow Semi Condensed" w:cs="Barlow Semi Condensed" w:eastAsia="Barlow Semi Condensed" w:hAnsi="Barlow Semi Condensed"/>
          <w:sz w:val="24"/>
          <w:szCs w:val="24"/>
        </w:rPr>
        <w:t xml:space="preserve">Il punto di triangolazione è che il CPM ebbe </w:t>
      </w:r>
      <w:r>
        <w:rPr>
          <w:rFonts w:ascii="Barlow Semi Condensed" w:cs="Barlow Semi Condensed" w:eastAsia="Barlow Semi Condensed" w:hAnsi="Barlow Semi Condensed"/>
          <w:b/>
          <w:bCs/>
          <w:sz w:val="24"/>
          <w:szCs w:val="24"/>
        </w:rPr>
        <w:t xml:space="preserve">due fondatori e due discendenze</w:t>
      </w:r>
      <w:r>
        <w:rPr>
          <w:rFonts w:ascii="Barlow Semi Condensed" w:cs="Barlow Semi Condensed" w:eastAsia="Barlow Semi Condensed" w:hAnsi="Barlow Semi Condensed"/>
          <w:sz w:val="24"/>
          <w:szCs w:val="24"/>
        </w:rPr>
        <w:t xml:space="preserve">: da Curcio discesero le Brigate Rosse; da </w:t>
      </w:r>
      <w:r>
        <w:rPr>
          <w:rFonts w:ascii="Barlow Semi Condensed" w:cs="Barlow Semi Condensed" w:eastAsia="Barlow Semi Condensed" w:hAnsi="Barlow Semi Condensed"/>
          <w:b/>
          <w:bCs/>
          <w:sz w:val="24"/>
          <w:szCs w:val="24"/>
        </w:rPr>
        <w:t xml:space="preserve">Corrado Simioni</w:t>
      </w:r>
      <w:r>
        <w:rPr>
          <w:rFonts w:ascii="Barlow Semi Condensed" w:cs="Barlow Semi Condensed" w:eastAsia="Barlow Semi Condensed" w:hAnsi="Barlow Semi Condensed"/>
          <w:sz w:val="24"/>
          <w:szCs w:val="24"/>
        </w:rPr>
        <w:t xml:space="preserve"> — l'altro fondatore — discese il Superclan e, nel 1976 a Parigi, Hyperion. È esattamente la </w:t>
      </w:r>
      <w:r>
        <w:rPr>
          <w:rFonts w:ascii="Barlow Semi Condensed" w:cs="Barlow Semi Condensed" w:eastAsia="Barlow Semi Condensed" w:hAnsi="Barlow Semi Condensed"/>
          <w:b/>
          <w:bCs/>
          <w:sz w:val="24"/>
          <w:szCs w:val="24"/>
        </w:rPr>
        <w:t xml:space="preserve">triforcazione della matrice milanese del 1969-70</w:t>
      </w:r>
      <w:r>
        <w:rPr>
          <w:rFonts w:ascii="Barlow Semi Condensed" w:cs="Barlow Semi Condensed" w:eastAsia="Barlow Semi Condensed" w:hAnsi="Barlow Semi Condensed"/>
          <w:sz w:val="24"/>
          <w:szCs w:val="24"/>
        </w:rPr>
        <w:t xml:space="preserve"> (GAP · BR · Superclan) che il corpus ha già mappato nella triangolazione Feltrinelli-Hyperion: «stesso ceppo, tre strade, ponti di uomini, nessuna regia accertata». Moretti sta dentro quel ceppo per biografia documentata (grado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e questo </w:t>
      </w:r>
      <w:r>
        <w:rPr>
          <w:rFonts w:ascii="Barlow Semi Condensed" w:cs="Barlow Semi Condensed" w:eastAsia="Barlow Semi Condensed" w:hAnsi="Barlow Semi Condensed"/>
          <w:i/>
          <w:iCs/>
          <w:sz w:val="24"/>
          <w:szCs w:val="24"/>
        </w:rPr>
        <w:t xml:space="preserve">spiega</w:t>
      </w:r>
      <w:r>
        <w:rPr>
          <w:rFonts w:ascii="Barlow Semi Condensed" w:cs="Barlow Semi Condensed" w:eastAsia="Barlow Semi Condensed" w:hAnsi="Barlow Semi Condensed"/>
          <w:sz w:val="24"/>
          <w:szCs w:val="24"/>
        </w:rPr>
        <w:t xml:space="preserve"> la ricorrenza del suo nome nelle tesi su Hyperion.</w:t>
      </w:r>
    </w:p>
    <w:p>
      <w:pPr>
        <w:spacing w:after="120" w:line="276"/>
        <w:jc w:val="both"/>
      </w:pPr>
      <w:r>
        <w:rPr>
          <w:rFonts w:ascii="Barlow Semi Condensed" w:cs="Barlow Semi Condensed" w:eastAsia="Barlow Semi Condensed" w:hAnsi="Barlow Semi Condensed"/>
          <w:b/>
          <w:bCs/>
          <w:sz w:val="24"/>
          <w:szCs w:val="24"/>
        </w:rPr>
        <w:t xml:space="preserve">Anti-triangolazione, ferma.</w:t>
      </w:r>
      <w:r>
        <w:rPr>
          <w:rFonts w:ascii="Barlow Semi Condensed" w:cs="Barlow Semi Condensed" w:eastAsia="Barlow Semi Condensed" w:hAnsi="Barlow Semi Condensed"/>
          <w:sz w:val="24"/>
          <w:szCs w:val="24"/>
        </w:rPr>
        <w:t xml:space="preserve"> La comune origine nel CPM </w:t>
      </w:r>
      <w:r>
        <w:rPr>
          <w:rFonts w:ascii="Barlow Semi Condensed" w:cs="Barlow Semi Condensed" w:eastAsia="Barlow Semi Condensed" w:hAnsi="Barlow Semi Condensed"/>
          <w:b/>
          <w:bCs/>
          <w:sz w:val="24"/>
          <w:szCs w:val="24"/>
        </w:rPr>
        <w:t xml:space="preserve">non prova</w:t>
      </w:r>
      <w:r>
        <w:rPr>
          <w:rFonts w:ascii="Barlow Semi Condensed" w:cs="Barlow Semi Condensed" w:eastAsia="Barlow Semi Condensed" w:hAnsi="Barlow Semi Condensed"/>
          <w:sz w:val="24"/>
          <w:szCs w:val="24"/>
        </w:rPr>
        <w:t xml:space="preserve"> alcun rapporto operativo fra Moretti e Hyperion nel 1978. La tesi di Moretti «tramite» della scuola di Parigi è una </w:t>
      </w:r>
      <w:r>
        <w:rPr>
          <w:rFonts w:ascii="Barlow Semi Condensed" w:cs="Barlow Semi Condensed" w:eastAsia="Barlow Semi Condensed" w:hAnsi="Barlow Semi Condensed"/>
          <w:b/>
          <w:bCs/>
          <w:sz w:val="24"/>
          <w:szCs w:val="24"/>
        </w:rPr>
        <w:t xml:space="preserve">congettura (C)</w:t>
      </w:r>
      <w:r>
        <w:rPr>
          <w:rFonts w:ascii="Barlow Semi Condensed" w:cs="Barlow Semi Condensed" w:eastAsia="Barlow Semi Condensed" w:hAnsi="Barlow Semi Condensed"/>
          <w:sz w:val="24"/>
          <w:szCs w:val="24"/>
        </w:rPr>
        <w:t xml:space="preserve"> che il corpus ha già gradato come tale nella triangolazione Hyperion — dove sta scritto ciò che va ripetuto qui: le indagini 1979-82 si chiusero con </w:t>
      </w:r>
      <w:r>
        <w:rPr>
          <w:rFonts w:ascii="Barlow Semi Condensed" w:cs="Barlow Semi Condensed" w:eastAsia="Barlow Semi Condensed" w:hAnsi="Barlow Semi Condensed"/>
          <w:b/>
          <w:bCs/>
          <w:sz w:val="24"/>
          <w:szCs w:val="24"/>
        </w:rPr>
        <w:t xml:space="preserve">proscioglimenti per tutti</w:t>
      </w:r>
      <w:r>
        <w:rPr>
          <w:rFonts w:ascii="Barlow Semi Condensed" w:cs="Barlow Semi Condensed" w:eastAsia="Barlow Semi Condensed" w:hAnsi="Barlow Semi Condensed"/>
          <w:sz w:val="24"/>
          <w:szCs w:val="24"/>
        </w:rPr>
        <w:t xml:space="preserve">, e le due tesi contrapposte («centrale del terrorismo» / «centrale d'intelligence») restano entrambe non provate, con criterio di smentita comune. Il ponte è il ceppo; il ceppo non è una catena di comando.</w:t>
      </w:r>
    </w:p>
    <w:p>
      <w:pPr>
        <w:pStyle w:val="Heading2"/>
        <w:spacing w:after="100" w:before="200"/>
      </w:pPr>
      <w:r>
        <w:rPr>
          <w:rFonts w:ascii="Barlow Semi Condensed" w:cs="Barlow Semi Condensed" w:eastAsia="Barlow Semi Condensed" w:hAnsi="Barlow Semi Condensed"/>
          <w:sz w:val="24"/>
          <w:szCs w:val="24"/>
        </w:rPr>
        <w:t xml:space="preserve">Nodo T-2 — Morucci, Faranda e il canale Pace-Piperno: da Potere Operaio alla trattativa (D6)</w:t>
      </w:r>
    </w:p>
    <w:p>
      <w:pPr>
        <w:spacing w:after="120" w:line="276"/>
        <w:jc w:val="both"/>
      </w:pPr>
      <w:r>
        <w:rPr>
          <w:rFonts w:ascii="Barlow Semi Condensed" w:cs="Barlow Semi Condensed" w:eastAsia="Barlow Semi Condensed" w:hAnsi="Barlow Semi Condensed"/>
          <w:sz w:val="24"/>
          <w:szCs w:val="24"/>
        </w:rPr>
        <w:t xml:space="preserve">Valerio Morucci e Adriana Faranda militarono in </w:t>
      </w:r>
      <w:r>
        <w:rPr>
          <w:rFonts w:ascii="Barlow Semi Condensed" w:cs="Barlow Semi Condensed" w:eastAsia="Barlow Semi Condensed" w:hAnsi="Barlow Semi Condensed"/>
          <w:b/>
          <w:bCs/>
          <w:sz w:val="24"/>
          <w:szCs w:val="24"/>
        </w:rPr>
        <w:t xml:space="preserve">Potere Operaio</w:t>
      </w:r>
      <w:r>
        <w:rPr>
          <w:rFonts w:ascii="Barlow Semi Condensed" w:cs="Barlow Semi Condensed" w:eastAsia="Barlow Semi Condensed" w:hAnsi="Barlow Semi Condensed"/>
          <w:sz w:val="24"/>
          <w:szCs w:val="24"/>
        </w:rPr>
        <w:t xml:space="preserve"> fino al suo scioglimento (1973); Morucci passò per le Formazioni Comuniste Armate, assorbite dalle BR nel 1976 (Wikipedia, </w:t>
      </w:r>
      <w:r>
        <w:rPr>
          <w:rFonts w:ascii="Barlow Semi Condensed" w:cs="Barlow Semi Condensed" w:eastAsia="Barlow Semi Condensed" w:hAnsi="Barlow Semi Condensed"/>
          <w:i/>
          <w:iCs/>
          <w:sz w:val="24"/>
          <w:szCs w:val="24"/>
        </w:rPr>
        <w:t xml:space="preserve">Valerio Morucci</w:t>
      </w:r>
      <w:r>
        <w:rPr>
          <w:rFonts w:ascii="Barlow Semi Condensed" w:cs="Barlow Semi Condensed" w:eastAsia="Barlow Semi Condensed" w:hAnsi="Barlow Semi Condensed"/>
          <w:sz w:val="24"/>
          <w:szCs w:val="24"/>
        </w:rPr>
        <w:t xml:space="preserve"> (https://en.wikipedia.org/wiki/Valerio_Morucci); Wikipedia, </w:t>
      </w:r>
      <w:r>
        <w:rPr>
          <w:rFonts w:ascii="Barlow Semi Condensed" w:cs="Barlow Semi Condensed" w:eastAsia="Barlow Semi Condensed" w:hAnsi="Barlow Semi Condensed"/>
          <w:i/>
          <w:iCs/>
          <w:sz w:val="24"/>
          <w:szCs w:val="24"/>
        </w:rPr>
        <w:t xml:space="preserve">Potere Operaio</w:t>
      </w:r>
      <w:r>
        <w:rPr>
          <w:rFonts w:ascii="Barlow Semi Condensed" w:cs="Barlow Semi Condensed" w:eastAsia="Barlow Semi Condensed" w:hAnsi="Barlow Semi Condensed"/>
          <w:sz w:val="24"/>
          <w:szCs w:val="24"/>
        </w:rPr>
        <w:t xml:space="preserve"> (https://en.wikipedia.org/wiki/Potere_Operaio)). Durante il sequestro, </w:t>
      </w:r>
      <w:r>
        <w:rPr>
          <w:rFonts w:ascii="Barlow Semi Condensed" w:cs="Barlow Semi Condensed" w:eastAsia="Barlow Semi Condensed" w:hAnsi="Barlow Semi Condensed"/>
          <w:b/>
          <w:bCs/>
          <w:sz w:val="24"/>
          <w:szCs w:val="24"/>
        </w:rPr>
        <w:t xml:space="preserve">Lanfranco Pace e Franco Piperno</w:t>
      </w:r>
      <w:r>
        <w:rPr>
          <w:rFonts w:ascii="Barlow Semi Condensed" w:cs="Barlow Semi Condensed" w:eastAsia="Barlow Semi Condensed" w:hAnsi="Barlow Semi Condensed"/>
          <w:sz w:val="24"/>
          <w:szCs w:val="24"/>
        </w:rPr>
        <w:t xml:space="preserve"> — che di Potere Operaio erano stati dirigenti — incontrarono più volte Morucci e Faranda, figure di rilievo della colonna romana (Morucci responsabile della </w:t>
      </w:r>
      <w:r>
        <w:rPr>
          <w:rFonts w:ascii="Barlow Semi Condensed" w:cs="Barlow Semi Condensed" w:eastAsia="Barlow Semi Condensed" w:hAnsi="Barlow Semi Condensed"/>
          <w:b/>
          <w:bCs/>
          <w:sz w:val="24"/>
          <w:szCs w:val="24"/>
        </w:rPr>
        <w:t xml:space="preserve">trasmissione dei comunicati e delle lettere</w:t>
      </w:r>
      <w:r>
        <w:rPr>
          <w:rFonts w:ascii="Barlow Semi Condensed" w:cs="Barlow Semi Condensed" w:eastAsia="Barlow Semi Condensed" w:hAnsi="Barlow Semi Condensed"/>
          <w:sz w:val="24"/>
          <w:szCs w:val="24"/>
        </w:rPr>
        <w:t xml:space="preserve">), fungendo da tramite verso il PSI di Craxi, l'unica forza politica di rilievo favorevole alla trattativa; Morucci e Faranda risultano, nelle ricostruzioni convergenti, fra i contrari all'uccisione dell'ostaggio (Il Sussidiario, ricostruzione del canale (https://www.ilsussidiario.net/news/caso-moro-faranda-morucci-la-trattativa-e-la-crisi-del-partito-armato/2288455/); atti della Commissione Moro 2 (https://documenti.camera.it/leg17/resoconti/commissioni/stenografici/html/68/audiz2/audizione/2017/01/17/stenografico.0118.html)).</w:t>
      </w:r>
    </w:p>
    <w:p>
      <w:pPr>
        <w:spacing w:after="120" w:line="276"/>
        <w:jc w:val="both"/>
      </w:pPr>
      <w:r>
        <w:rPr>
          <w:rFonts w:ascii="Barlow Semi Condensed" w:cs="Barlow Semi Condensed" w:eastAsia="Barlow Semi Condensed" w:hAnsi="Barlow Semi Condensed"/>
          <w:sz w:val="24"/>
          <w:szCs w:val="24"/>
        </w:rPr>
        <w:t xml:space="preserve">Questo ponte salda </w:t>
      </w:r>
      <w:r>
        <w:rPr>
          <w:rFonts w:ascii="Barlow Semi Condensed" w:cs="Barlow Semi Condensed" w:eastAsia="Barlow Semi Condensed" w:hAnsi="Barlow Semi Condensed"/>
          <w:b/>
          <w:bCs/>
          <w:sz w:val="24"/>
          <w:szCs w:val="24"/>
        </w:rPr>
        <w:t xml:space="preserve">due persone del registro</w:t>
      </w:r>
      <w:r>
        <w:rPr>
          <w:rFonts w:ascii="Barlow Semi Condensed" w:cs="Barlow Semi Condensed" w:eastAsia="Barlow Semi Condensed" w:hAnsi="Barlow Semi Condensed"/>
          <w:sz w:val="24"/>
          <w:szCs w:val="24"/>
        </w:rPr>
        <w:t xml:space="preserve"> al nodo «fermezza/trattativa» (Parte terza, cap. VI; Fase nona, cap. 74: «i canali del PSI») attraverso il dominio biografico di Potere Operaio: la militanza comune di anni prima è ciò che rese </w:t>
      </w:r>
      <w:r>
        <w:rPr>
          <w:rFonts w:ascii="Barlow Semi Condensed" w:cs="Barlow Semi Condensed" w:eastAsia="Barlow Semi Condensed" w:hAnsi="Barlow Semi Condensed"/>
          <w:i/>
          <w:iCs/>
          <w:sz w:val="24"/>
          <w:szCs w:val="24"/>
        </w:rPr>
        <w:t xml:space="preserve">possibile</w:t>
      </w:r>
      <w:r>
        <w:rPr>
          <w:rFonts w:ascii="Barlow Semi Condensed" w:cs="Barlow Semi Condensed" w:eastAsia="Barlow Semi Condensed" w:hAnsi="Barlow Semi Condensed"/>
          <w:sz w:val="24"/>
          <w:szCs w:val="24"/>
        </w:rPr>
        <w:t xml:space="preserve"> il canale del 1978. Grado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per la dinamica del canale,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per le militanze.</w:t>
      </w:r>
    </w:p>
    <w:p>
      <w:pPr>
        <w:spacing w:after="120" w:line="276"/>
        <w:jc w:val="both"/>
      </w:pPr>
      <w:r>
        <w:rPr>
          <w:rFonts w:ascii="Barlow Semi Condensed" w:cs="Barlow Semi Condensed" w:eastAsia="Barlow Semi Condensed" w:hAnsi="Barlow Semi Condensed"/>
          <w:b/>
          <w:bCs/>
          <w:sz w:val="24"/>
          <w:szCs w:val="24"/>
        </w:rPr>
        <w:t xml:space="preserve">Anti-triangolazione.</w:t>
      </w:r>
      <w:r>
        <w:rPr>
          <w:rFonts w:ascii="Barlow Semi Condensed" w:cs="Barlow Semi Condensed" w:eastAsia="Barlow Semi Condensed" w:hAnsi="Barlow Semi Condensed"/>
          <w:sz w:val="24"/>
          <w:szCs w:val="24"/>
        </w:rPr>
        <w:t xml:space="preserve"> Il canale non attenua né aggrava il giudicato di Morucci e Faranda, che risponde delle condotte accertate e di quelle sole; non prova che la trattativa fosse praticabile (giudizio storico, non fatto); e soprattutto </w:t>
      </w:r>
      <w:r>
        <w:rPr>
          <w:rFonts w:ascii="Barlow Semi Condensed" w:cs="Barlow Semi Condensed" w:eastAsia="Barlow Semi Condensed" w:hAnsi="Barlow Semi Condensed"/>
          <w:b/>
          <w:bCs/>
          <w:sz w:val="24"/>
          <w:szCs w:val="24"/>
        </w:rPr>
        <w:t xml:space="preserve">nulla aggiunge a carico dei mediatori</w:t>
      </w:r>
      <w:r>
        <w:rPr>
          <w:rFonts w:ascii="Barlow Semi Condensed" w:cs="Barlow Semi Condensed" w:eastAsia="Barlow Semi Condensed" w:hAnsi="Barlow Semi Condensed"/>
          <w:sz w:val="24"/>
          <w:szCs w:val="24"/>
        </w:rPr>
        <w:t xml:space="preserve">: il ruolo di Pace e Piperno è qui censito esclusivamente come intermediazione documentata, e per entrambi — come per chiunque non sia nel registro — vale la presunzione d'innocenza piena e nominale rispetto al caso.</w:t>
      </w:r>
    </w:p>
    <w:p>
      <w:pPr>
        <w:pStyle w:val="Heading2"/>
        <w:spacing w:after="100" w:before="200"/>
      </w:pPr>
      <w:r>
        <w:rPr>
          <w:rFonts w:ascii="Barlow Semi Condensed" w:cs="Barlow Semi Condensed" w:eastAsia="Barlow Semi Condensed" w:hAnsi="Barlow Semi Condensed"/>
          <w:sz w:val="24"/>
          <w:szCs w:val="24"/>
        </w:rPr>
        <w:t xml:space="preserve">Nodo T-3 — Bonisoli e via Monte Nevoso: il ponte personale verso il Memoriale (D6)</w:t>
      </w:r>
    </w:p>
    <w:p>
      <w:pPr>
        <w:spacing w:after="120" w:line="276"/>
        <w:jc w:val="both"/>
      </w:pPr>
      <w:r>
        <w:rPr>
          <w:rFonts w:ascii="Barlow Semi Condensed" w:cs="Barlow Semi Condensed" w:eastAsia="Barlow Semi Condensed" w:hAnsi="Barlow Semi Condensed"/>
          <w:sz w:val="24"/>
          <w:szCs w:val="24"/>
        </w:rPr>
        <w:t xml:space="preserve">Franco Bonisoli sparò in via Fani (giudicato) e — dato verificato — </w:t>
      </w:r>
      <w:r>
        <w:rPr>
          <w:rFonts w:ascii="Barlow Semi Condensed" w:cs="Barlow Semi Condensed" w:eastAsia="Barlow Semi Condensed" w:hAnsi="Barlow Semi Condensed"/>
          <w:b/>
          <w:bCs/>
          <w:sz w:val="24"/>
          <w:szCs w:val="24"/>
        </w:rPr>
        <w:t xml:space="preserve">portò egli stesso il memoriale e le lettere di Moro al covo milanese di via Monte Nevoso 8</w:t>
      </w:r>
      <w:r>
        <w:rPr>
          <w:rFonts w:ascii="Barlow Semi Condensed" w:cs="Barlow Semi Condensed" w:eastAsia="Barlow Semi Condensed" w:hAnsi="Barlow Semi Condensed"/>
          <w:sz w:val="24"/>
          <w:szCs w:val="24"/>
        </w:rPr>
        <w:t xml:space="preserve">, dove fu arrestato il </w:t>
      </w:r>
      <w:r>
        <w:rPr>
          <w:rFonts w:ascii="Barlow Semi Condensed" w:cs="Barlow Semi Condensed" w:eastAsia="Barlow Semi Condensed" w:hAnsi="Barlow Semi Condensed"/>
          <w:b/>
          <w:bCs/>
          <w:sz w:val="24"/>
          <w:szCs w:val="24"/>
        </w:rPr>
        <w:t xml:space="preserve">1° ottobre 1978</w:t>
      </w:r>
      <w:r>
        <w:rPr>
          <w:rFonts w:ascii="Barlow Semi Condensed" w:cs="Barlow Semi Condensed" w:eastAsia="Barlow Semi Condensed" w:hAnsi="Barlow Semi Condensed"/>
          <w:sz w:val="24"/>
          <w:szCs w:val="24"/>
        </w:rPr>
        <w:t xml:space="preserve"> insieme a Lauro Azzolini e Nadia Mantovani. In quell'occasione furono trovate le </w:t>
      </w:r>
      <w:r>
        <w:rPr>
          <w:rFonts w:ascii="Barlow Semi Condensed" w:cs="Barlow Semi Condensed" w:eastAsia="Barlow Semi Condensed" w:hAnsi="Barlow Semi Condensed"/>
          <w:b/>
          <w:bCs/>
          <w:sz w:val="24"/>
          <w:szCs w:val="24"/>
        </w:rPr>
        <w:t xml:space="preserve">49 pagine dattiloscritte</w:t>
      </w:r>
      <w:r>
        <w:rPr>
          <w:rFonts w:ascii="Barlow Semi Condensed" w:cs="Barlow Semi Condensed" w:eastAsia="Barlow Semi Condensed" w:hAnsi="Barlow Semi Condensed"/>
          <w:sz w:val="24"/>
          <w:szCs w:val="24"/>
        </w:rPr>
        <w:t xml:space="preserve">; i </w:t>
      </w:r>
      <w:r>
        <w:rPr>
          <w:rFonts w:ascii="Barlow Semi Condensed" w:cs="Barlow Semi Condensed" w:eastAsia="Barlow Semi Condensed" w:hAnsi="Barlow Semi Condensed"/>
          <w:b/>
          <w:bCs/>
          <w:sz w:val="24"/>
          <w:szCs w:val="24"/>
        </w:rPr>
        <w:t xml:space="preserve">quattrocento e più fogli</w:t>
      </w:r>
      <w:r>
        <w:rPr>
          <w:rFonts w:ascii="Barlow Semi Condensed" w:cs="Barlow Semi Condensed" w:eastAsia="Barlow Semi Condensed" w:hAnsi="Barlow Semi Condensed"/>
          <w:sz w:val="24"/>
          <w:szCs w:val="24"/>
        </w:rPr>
        <w:t xml:space="preserve"> dietro il pannello emersero solo il </w:t>
      </w:r>
      <w:r>
        <w:rPr>
          <w:rFonts w:ascii="Barlow Semi Condensed" w:cs="Barlow Semi Condensed" w:eastAsia="Barlow Semi Condensed" w:hAnsi="Barlow Semi Condensed"/>
          <w:b/>
          <w:bCs/>
          <w:sz w:val="24"/>
          <w:szCs w:val="24"/>
        </w:rPr>
        <w:t xml:space="preserve">9 ottobre 1990</w:t>
      </w:r>
      <w:r>
        <w:rPr>
          <w:rFonts w:ascii="Barlow Semi Condensed" w:cs="Barlow Semi Condensed" w:eastAsia="Barlow Semi Condensed" w:hAnsi="Barlow Semi Condensed"/>
          <w:sz w:val="24"/>
          <w:szCs w:val="24"/>
        </w:rPr>
        <w:t xml:space="preserve">, durante lavori di ristrutturazione (Riccardo Lestini, ricostruzione di via Monte Nevoso (http://www.riccardolestini.it/2018/05/55-giorni-40-anni-aldo-moro-una-morte-annunciata-13-via-monte-nevoso-prima-parte/); Gianni Barbacetto (https://www.giannibarbacetto.it/2018/03/27/br-in-via-fani-storia-breve-dei-delitti-e-delle-pene/); Wikipedia, </w:t>
      </w:r>
      <w:r>
        <w:rPr>
          <w:rFonts w:ascii="Barlow Semi Condensed" w:cs="Barlow Semi Condensed" w:eastAsia="Barlow Semi Condensed" w:hAnsi="Barlow Semi Condensed"/>
          <w:i/>
          <w:iCs/>
          <w:sz w:val="24"/>
          <w:szCs w:val="24"/>
        </w:rPr>
        <w:t xml:space="preserve">Caso Moro</w:t>
      </w:r>
      <w:r>
        <w:rPr>
          <w:rFonts w:ascii="Barlow Semi Condensed" w:cs="Barlow Semi Condensed" w:eastAsia="Barlow Semi Condensed" w:hAnsi="Barlow Semi Condensed"/>
          <w:sz w:val="24"/>
          <w:szCs w:val="24"/>
        </w:rPr>
        <w:t xml:space="preserve"> (https://it.wikipedia.org/wiki/Caso_Moro)).</w:t>
      </w:r>
    </w:p>
    <w:p>
      <w:pPr>
        <w:spacing w:after="120" w:line="276"/>
        <w:jc w:val="both"/>
      </w:pPr>
      <w:r>
        <w:rPr>
          <w:rFonts w:ascii="Barlow Semi Condensed" w:cs="Barlow Semi Condensed" w:eastAsia="Barlow Semi Condensed" w:hAnsi="Barlow Semi Condensed"/>
          <w:sz w:val="24"/>
          <w:szCs w:val="24"/>
        </w:rPr>
        <w:t xml:space="preserve">Bonisoli è dunque il </w:t>
      </w:r>
      <w:r>
        <w:rPr>
          <w:rFonts w:ascii="Barlow Semi Condensed" w:cs="Barlow Semi Condensed" w:eastAsia="Barlow Semi Condensed" w:hAnsi="Barlow Semi Condensed"/>
          <w:b/>
          <w:bCs/>
          <w:sz w:val="24"/>
          <w:szCs w:val="24"/>
        </w:rPr>
        <w:t xml:space="preserve">ponte personale</w:t>
      </w:r>
      <w:r>
        <w:rPr>
          <w:rFonts w:ascii="Barlow Semi Condensed" w:cs="Barlow Semi Condensed" w:eastAsia="Barlow Semi Condensed" w:hAnsi="Barlow Semi Condensed"/>
          <w:sz w:val="24"/>
          <w:szCs w:val="24"/>
        </w:rPr>
        <w:t xml:space="preserve"> fra il commando e il nodo documentale più controverso del caso: i due tempi del ritrovamento (A quanto ai ritrovamenti), la questione della </w:t>
      </w:r>
      <w:r>
        <w:rPr>
          <w:rFonts w:ascii="Barlow Semi Condensed" w:cs="Barlow Semi Condensed" w:eastAsia="Barlow Semi Condensed" w:hAnsi="Barlow Semi Condensed"/>
          <w:b/>
          <w:bCs/>
          <w:sz w:val="24"/>
          <w:szCs w:val="24"/>
        </w:rPr>
        <w:t xml:space="preserve">completezza</w:t>
      </w:r>
      <w:r>
        <w:rPr>
          <w:rFonts w:ascii="Barlow Semi Condensed" w:cs="Barlow Semi Condensed" w:eastAsia="Barlow Semi Condensed" w:hAnsi="Barlow Semi Condensed"/>
          <w:sz w:val="24"/>
          <w:szCs w:val="24"/>
        </w:rPr>
        <w:t xml:space="preserve"> (C, aperta), il Memoriale Morucci come «testo negoziato» (B, Commissione Moro 2). La triangolazione precisa il repertorio: quando la Fase nona parla dei ritrovamenti di Monte Nevoso, la persona del registro che ve li depositò ha un nome, e la sua condotta è giudicata.</w:t>
      </w:r>
    </w:p>
    <w:p>
      <w:pPr>
        <w:pStyle w:val="Heading2"/>
        <w:spacing w:after="100" w:before="200"/>
      </w:pPr>
      <w:r>
        <w:rPr>
          <w:rFonts w:ascii="Barlow Semi Condensed" w:cs="Barlow Semi Condensed" w:eastAsia="Barlow Semi Condensed" w:hAnsi="Barlow Semi Condensed"/>
          <w:sz w:val="24"/>
          <w:szCs w:val="24"/>
        </w:rPr>
        <w:t xml:space="preserve">Nodo T-4 — Gallinari, Bonisoli e il «gruppo dell'appartamento»: la genealogia reggiana (D2)</w:t>
      </w:r>
    </w:p>
    <w:p>
      <w:pPr>
        <w:spacing w:after="120" w:line="276"/>
        <w:jc w:val="both"/>
      </w:pPr>
      <w:r>
        <w:rPr>
          <w:rFonts w:ascii="Barlow Semi Condensed" w:cs="Barlow Semi Condensed" w:eastAsia="Barlow Semi Condensed" w:hAnsi="Barlow Semi Condensed"/>
          <w:sz w:val="24"/>
          <w:szCs w:val="24"/>
        </w:rPr>
        <w:t xml:space="preserve">Prospero Gallinari — reggiano, di famiglia contadina — appartenne al </w:t>
      </w:r>
      <w:r>
        <w:rPr>
          <w:rFonts w:ascii="Barlow Semi Condensed" w:cs="Barlow Semi Condensed" w:eastAsia="Barlow Semi Condensed" w:hAnsi="Barlow Semi Condensed"/>
          <w:b/>
          <w:bCs/>
          <w:sz w:val="24"/>
          <w:szCs w:val="24"/>
        </w:rPr>
        <w:t xml:space="preserve">«gruppo dell'appartamento» di Reggio Emilia</w:t>
      </w:r>
      <w:r>
        <w:rPr>
          <w:rFonts w:ascii="Barlow Semi Condensed" w:cs="Barlow Semi Condensed" w:eastAsia="Barlow Semi Condensed" w:hAnsi="Barlow Semi Condensed"/>
          <w:sz w:val="24"/>
          <w:szCs w:val="24"/>
        </w:rPr>
        <w:t xml:space="preserve">: otto giovani usciti dalla FGCI che confluirono nel nucleo storico delle BR, fra cui </w:t>
      </w:r>
      <w:r>
        <w:rPr>
          <w:rFonts w:ascii="Barlow Semi Condensed" w:cs="Barlow Semi Condensed" w:eastAsia="Barlow Semi Condensed" w:hAnsi="Barlow Semi Condensed"/>
          <w:b/>
          <w:bCs/>
          <w:sz w:val="24"/>
          <w:szCs w:val="24"/>
        </w:rPr>
        <w:t xml:space="preserve">Alberto Franceschini</w:t>
      </w:r>
      <w:r>
        <w:rPr>
          <w:rFonts w:ascii="Barlow Semi Condensed" w:cs="Barlow Semi Condensed" w:eastAsia="Barlow Semi Condensed" w:hAnsi="Barlow Semi Condensed"/>
          <w:sz w:val="24"/>
          <w:szCs w:val="24"/>
        </w:rPr>
        <w:t xml:space="preserve">, Lauro Azzolini, </w:t>
      </w:r>
      <w:r>
        <w:rPr>
          <w:rFonts w:ascii="Barlow Semi Condensed" w:cs="Barlow Semi Condensed" w:eastAsia="Barlow Semi Condensed" w:hAnsi="Barlow Semi Condensed"/>
          <w:b/>
          <w:bCs/>
          <w:sz w:val="24"/>
          <w:szCs w:val="24"/>
        </w:rPr>
        <w:t xml:space="preserve">Franco Bonisoli</w:t>
      </w:r>
      <w:r>
        <w:rPr>
          <w:rFonts w:ascii="Barlow Semi Condensed" w:cs="Barlow Semi Condensed" w:eastAsia="Barlow Semi Condensed" w:hAnsi="Barlow Semi Condensed"/>
          <w:sz w:val="24"/>
          <w:szCs w:val="24"/>
        </w:rPr>
        <w:t xml:space="preserve">, Tonino Paroli, Fabrizio Pelli, Roberto Ognibene e Attilio Casaletti (Roberto Bartali, </w:t>
      </w:r>
      <w:r>
        <w:rPr>
          <w:rFonts w:ascii="Barlow Semi Condensed" w:cs="Barlow Semi Condensed" w:eastAsia="Barlow Semi Condensed" w:hAnsi="Barlow Semi Condensed"/>
          <w:i/>
          <w:iCs/>
          <w:sz w:val="24"/>
          <w:szCs w:val="24"/>
        </w:rPr>
        <w:t xml:space="preserve">Il nucleo storico delle BR</w:t>
      </w:r>
      <w:r>
        <w:rPr>
          <w:rFonts w:ascii="Barlow Semi Condensed" w:cs="Barlow Semi Condensed" w:eastAsia="Barlow Semi Condensed" w:hAnsi="Barlow Semi Condensed"/>
          <w:sz w:val="24"/>
          <w:szCs w:val="24"/>
        </w:rPr>
        <w:t xml:space="preserve"> (http://www.robertobartali.it/cap04.htm); Il Crivello, </w:t>
      </w:r>
      <w:r>
        <w:rPr>
          <w:rFonts w:ascii="Barlow Semi Condensed" w:cs="Barlow Semi Condensed" w:eastAsia="Barlow Semi Condensed" w:hAnsi="Barlow Semi Condensed"/>
          <w:i/>
          <w:iCs/>
          <w:sz w:val="24"/>
          <w:szCs w:val="24"/>
        </w:rPr>
        <w:t xml:space="preserve">Brigate Rosse a Reggio Emilia</w:t>
      </w:r>
      <w:r>
        <w:rPr>
          <w:rFonts w:ascii="Barlow Semi Condensed" w:cs="Barlow Semi Condensed" w:eastAsia="Barlow Semi Condensed" w:hAnsi="Barlow Semi Condensed"/>
          <w:sz w:val="24"/>
          <w:szCs w:val="24"/>
        </w:rPr>
        <w:t xml:space="preserve"> (http://www.ilcrivello.altervista.org/brigate_rosse_reggio_2010.htm)). </w:t>
      </w:r>
      <w:r>
        <w:rPr>
          <w:rFonts w:ascii="Barlow Semi Condensed" w:cs="Barlow Semi Condensed" w:eastAsia="Barlow Semi Condensed" w:hAnsi="Barlow Semi Condensed"/>
          <w:b/>
          <w:bCs/>
          <w:sz w:val="24"/>
          <w:szCs w:val="24"/>
        </w:rPr>
        <w:t xml:space="preserve">Due persone del registro</w:t>
      </w:r>
      <w:r>
        <w:rPr>
          <w:rFonts w:ascii="Barlow Semi Condensed" w:cs="Barlow Semi Condensed" w:eastAsia="Barlow Semi Condensed" w:hAnsi="Barlow Semi Condensed"/>
          <w:sz w:val="24"/>
          <w:szCs w:val="24"/>
        </w:rPr>
        <w:t xml:space="preserve"> (Gallinari e Bonisoli) provengono dunque dallo stesso nucleo pre-brigatista, quello del «filo Franceschini» che la triangolazione Feltrinelli-Hyperion aveva già isolato — il filo dei rapporti con l'ambiente di «Nuova Resistenza» e con Feltrinelli nel 1971 (D1), documentati in capo a Franceschini e al ceppo fondativo.</w:t>
      </w:r>
    </w:p>
    <w:p>
      <w:pPr>
        <w:spacing w:after="120" w:line="276"/>
        <w:jc w:val="both"/>
      </w:pPr>
      <w:r>
        <w:rPr>
          <w:rFonts w:ascii="Barlow Semi Condensed" w:cs="Barlow Semi Condensed" w:eastAsia="Barlow Semi Condensed" w:hAnsi="Barlow Semi Condensed"/>
          <w:b/>
          <w:bCs/>
          <w:sz w:val="24"/>
          <w:szCs w:val="24"/>
        </w:rPr>
        <w:t xml:space="preserve">Anti-triangolazione.</w:t>
      </w:r>
      <w:r>
        <w:rPr>
          <w:rFonts w:ascii="Barlow Semi Condensed" w:cs="Barlow Semi Condensed" w:eastAsia="Barlow Semi Condensed" w:hAnsi="Barlow Semi Condensed"/>
          <w:sz w:val="24"/>
          <w:szCs w:val="24"/>
        </w:rPr>
        <w:t xml:space="preserve"> L'appartamento reggiano è </w:t>
      </w:r>
      <w:r>
        <w:rPr>
          <w:rFonts w:ascii="Barlow Semi Condensed" w:cs="Barlow Semi Condensed" w:eastAsia="Barlow Semi Condensed" w:hAnsi="Barlow Semi Condensed"/>
          <w:b/>
          <w:bCs/>
          <w:sz w:val="24"/>
          <w:szCs w:val="24"/>
        </w:rPr>
        <w:t xml:space="preserve">sociologia della militanza</w:t>
      </w:r>
      <w:r>
        <w:rPr>
          <w:rFonts w:ascii="Barlow Semi Condensed" w:cs="Barlow Semi Condensed" w:eastAsia="Barlow Semi Condensed" w:hAnsi="Barlow Semi Condensed"/>
          <w:sz w:val="24"/>
          <w:szCs w:val="24"/>
        </w:rPr>
        <w:t xml:space="preserve">, non un «livello occulto»: spiega da dove venivano, non chi li dirigesse. E il filo verso Feltrinelli si ferma dove le fonti lo fermano: ai contatti del 1971 fra il ceppo fondativo e l'editore-gappista, morto a Segrate nel marzo 1972 — </w:t>
      </w:r>
      <w:r>
        <w:rPr>
          <w:rFonts w:ascii="Barlow Semi Condensed" w:cs="Barlow Semi Condensed" w:eastAsia="Barlow Semi Condensed" w:hAnsi="Barlow Semi Condensed"/>
          <w:b/>
          <w:bCs/>
          <w:sz w:val="24"/>
          <w:szCs w:val="24"/>
        </w:rPr>
        <w:t xml:space="preserve">sei anni prima</w:t>
      </w:r>
      <w:r>
        <w:rPr>
          <w:rFonts w:ascii="Barlow Semi Condensed" w:cs="Barlow Semi Condensed" w:eastAsia="Barlow Semi Condensed" w:hAnsi="Barlow Semi Condensed"/>
          <w:sz w:val="24"/>
          <w:szCs w:val="24"/>
        </w:rPr>
        <w:t xml:space="preserve"> di via Fani. Nessuna fonte collega Feltrinelli, i GAP o la loro eredità all'operazione Moro: la contiguità genealogica non attraversa la morte.</w:t>
      </w:r>
    </w:p>
    <w:p>
      <w:pPr>
        <w:pStyle w:val="Heading2"/>
        <w:spacing w:after="100" w:before="200"/>
      </w:pPr>
      <w:r>
        <w:rPr>
          <w:rFonts w:ascii="Barlow Semi Condensed" w:cs="Barlow Semi Condensed" w:eastAsia="Barlow Semi Condensed" w:hAnsi="Barlow Semi Condensed"/>
          <w:sz w:val="24"/>
          <w:szCs w:val="24"/>
        </w:rPr>
        <w:t xml:space="preserve">Nodo T-5 — Casimirri: la sala stampa vaticana e la rotta latinoamericana (D5 · D3)</w:t>
      </w:r>
    </w:p>
    <w:p>
      <w:pPr>
        <w:spacing w:after="120" w:line="276"/>
        <w:jc w:val="both"/>
      </w:pPr>
      <w:r>
        <w:rPr>
          <w:rFonts w:ascii="Barlow Semi Condensed" w:cs="Barlow Semi Condensed" w:eastAsia="Barlow Semi Condensed" w:hAnsi="Barlow Semi Condensed"/>
          <w:sz w:val="24"/>
          <w:szCs w:val="24"/>
        </w:rPr>
        <w:t xml:space="preserve">Il caso Casimirri è il più denso di convergenze inter-dominio, ed esige perciò la disciplina più rigida. Alessio Casimirri — sei ergastoli definitivi in contumacia per via Fani, latitante — è figlio di </w:t>
      </w:r>
      <w:r>
        <w:rPr>
          <w:rFonts w:ascii="Barlow Semi Condensed" w:cs="Barlow Semi Condensed" w:eastAsia="Barlow Semi Condensed" w:hAnsi="Barlow Semi Condensed"/>
          <w:b/>
          <w:bCs/>
          <w:sz w:val="24"/>
          <w:szCs w:val="24"/>
        </w:rPr>
        <w:t xml:space="preserve">Luciano Casimirri, capo dell'ufficio stampa dell'Osservatore Romano e responsabile della sala stampa vaticana sotto tre pontefici: Pio XII, Giovanni XXIII e Paolo VI</w:t>
      </w:r>
      <w:r>
        <w:rPr>
          <w:rFonts w:ascii="Barlow Semi Condensed" w:cs="Barlow Semi Condensed" w:eastAsia="Barlow Semi Condensed" w:hAnsi="Barlow Semi Condensed"/>
          <w:sz w:val="24"/>
          <w:szCs w:val="24"/>
        </w:rPr>
        <w:t xml:space="preserve">; la madre aveva cittadinanza vaticana (Spazio70, «il brigatista "vaticano"» (https://spazio70.com/estero/esfiltrati-italiani/alessio-casimirri-il-brigatista-vaticano/); Wikipedia (https://en.wikipedia.org/wiki/Alessio_Casimirri)). La fuga, dopo l'abbandono delle BR (1980), passò per </w:t>
      </w:r>
      <w:r>
        <w:rPr>
          <w:rFonts w:ascii="Barlow Semi Condensed" w:cs="Barlow Semi Condensed" w:eastAsia="Barlow Semi Condensed" w:hAnsi="Barlow Semi Condensed"/>
          <w:b/>
          <w:bCs/>
          <w:sz w:val="24"/>
          <w:szCs w:val="24"/>
        </w:rPr>
        <w:t xml:space="preserve">Libia e Cuba</w:t>
      </w:r>
      <w:r>
        <w:rPr>
          <w:rFonts w:ascii="Barlow Semi Condensed" w:cs="Barlow Semi Condensed" w:eastAsia="Barlow Semi Condensed" w:hAnsi="Barlow Semi Condensed"/>
          <w:sz w:val="24"/>
          <w:szCs w:val="24"/>
        </w:rPr>
        <w:t xml:space="preserve"> fino al </w:t>
      </w:r>
      <w:r>
        <w:rPr>
          <w:rFonts w:ascii="Barlow Semi Condensed" w:cs="Barlow Semi Condensed" w:eastAsia="Barlow Semi Condensed" w:hAnsi="Barlow Semi Condensed"/>
          <w:b/>
          <w:bCs/>
          <w:sz w:val="24"/>
          <w:szCs w:val="24"/>
        </w:rPr>
        <w:t xml:space="preserve">Nicaragua sandinista</w:t>
      </w:r>
      <w:r>
        <w:rPr>
          <w:rFonts w:ascii="Barlow Semi Condensed" w:cs="Barlow Semi Condensed" w:eastAsia="Barlow Semi Condensed" w:hAnsi="Barlow Semi Condensed"/>
          <w:sz w:val="24"/>
          <w:szCs w:val="24"/>
        </w:rPr>
        <w:t xml:space="preserve">, che ne ha sempre rifiutato l'estradizione.</w:t>
      </w:r>
    </w:p>
    <w:p>
      <w:pPr>
        <w:spacing w:after="120" w:line="276"/>
        <w:jc w:val="both"/>
      </w:pPr>
      <w:r>
        <w:rPr>
          <w:rFonts w:ascii="Barlow Semi Condensed" w:cs="Barlow Semi Condensed" w:eastAsia="Barlow Semi Condensed" w:hAnsi="Barlow Semi Condensed"/>
          <w:sz w:val="24"/>
          <w:szCs w:val="24"/>
        </w:rPr>
        <w:t xml:space="preserve">Le convergenze sono due, e vanno sciolte separatamente.</w:t>
      </w:r>
    </w:p>
    <w:p>
      <w:pPr>
        <w:spacing w:after="120" w:line="276"/>
        <w:jc w:val="both"/>
      </w:pPr>
      <w:r>
        <w:rPr>
          <w:rFonts w:ascii="Barlow Semi Condensed" w:cs="Barlow Semi Condensed" w:eastAsia="Barlow Semi Condensed" w:hAnsi="Barlow Semi Condensed"/>
          <w:b/>
          <w:bCs/>
          <w:sz w:val="24"/>
          <w:szCs w:val="24"/>
        </w:rPr>
        <w:t xml:space="preserve">Verso D5 (Santa Sede).</w:t>
      </w:r>
      <w:r>
        <w:rPr>
          <w:rFonts w:ascii="Barlow Semi Condensed" w:cs="Barlow Semi Condensed" w:eastAsia="Barlow Semi Condensed" w:hAnsi="Barlow Semi Condensed"/>
          <w:sz w:val="24"/>
          <w:szCs w:val="24"/>
        </w:rPr>
        <w:t xml:space="preserve"> Il figlio del portavoce di tre papi fece parte del commando che rapì l'uomo per il quale </w:t>
      </w:r>
      <w:r>
        <w:rPr>
          <w:rFonts w:ascii="Barlow Semi Condensed" w:cs="Barlow Semi Condensed" w:eastAsia="Barlow Semi Condensed" w:hAnsi="Barlow Semi Condensed"/>
          <w:b/>
          <w:bCs/>
          <w:sz w:val="24"/>
          <w:szCs w:val="24"/>
        </w:rPr>
        <w:t xml:space="preserve">Paolo VI</w:t>
      </w:r>
      <w:r>
        <w:rPr>
          <w:rFonts w:ascii="Barlow Semi Condensed" w:cs="Barlow Semi Condensed" w:eastAsia="Barlow Semi Condensed" w:hAnsi="Barlow Semi Condensed"/>
          <w:sz w:val="24"/>
          <w:szCs w:val="24"/>
        </w:rPr>
        <w:t xml:space="preserve"> — il papa che il padre aveva servito — scrisse la lettera «agli uomini delle Brigate Rosse» e per il quale si offrì «senza condizioni». È una coincidenza biografica di potenza narrativa enorme, ed è </w:t>
      </w:r>
      <w:r>
        <w:rPr>
          <w:rFonts w:ascii="Barlow Semi Condensed" w:cs="Barlow Semi Condensed" w:eastAsia="Barlow Semi Condensed" w:hAnsi="Barlow Semi Condensed"/>
          <w:b/>
          <w:bCs/>
          <w:sz w:val="24"/>
          <w:szCs w:val="24"/>
        </w:rPr>
        <w:t xml:space="preserve">esattamente il tipo di coincidenza che questa triangolazione esiste per disciplinare</w:t>
      </w:r>
      <w:r>
        <w:rPr>
          <w:rFonts w:ascii="Barlow Semi Condensed" w:cs="Barlow Semi Condensed" w:eastAsia="Barlow Semi Condensed" w:hAnsi="Barlow Semi Condensed"/>
          <w:sz w:val="24"/>
          <w:szCs w:val="24"/>
        </w:rPr>
        <w:t xml:space="preserve">: nessuna fonte collega il padre, la sua funzione o la Santa Sede alla militanza del figlio. Trattare la parentela come canale sarebbe la colpa d'appartenenza rovesciata — la famiglia che risponde del figlio — cioè la negazione dell'art. 27 su cui l'intera Fase decima si regge. Grado: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la biografia, </w:t>
      </w:r>
      <w:r>
        <w:rPr>
          <w:rFonts w:ascii="Barlow Semi Condensed" w:cs="Barlow Semi Condensed" w:eastAsia="Barlow Semi Condensed" w:hAnsi="Barlow Semi Condensed"/>
          <w:b/>
          <w:bCs/>
          <w:sz w:val="24"/>
          <w:szCs w:val="24"/>
        </w:rPr>
        <w:t xml:space="preserve">nulla</w:t>
      </w:r>
      <w:r>
        <w:rPr>
          <w:rFonts w:ascii="Barlow Semi Condensed" w:cs="Barlow Semi Condensed" w:eastAsia="Barlow Semi Condensed" w:hAnsi="Barlow Semi Condensed"/>
          <w:sz w:val="24"/>
          <w:szCs w:val="24"/>
        </w:rPr>
        <w:t xml:space="preserve"> il nesso.</w:t>
      </w:r>
    </w:p>
    <w:p>
      <w:pPr>
        <w:spacing w:after="120" w:line="276"/>
        <w:jc w:val="both"/>
      </w:pPr>
      <w:r>
        <w:rPr>
          <w:rFonts w:ascii="Barlow Semi Condensed" w:cs="Barlow Semi Condensed" w:eastAsia="Barlow Semi Condensed" w:hAnsi="Barlow Semi Condensed"/>
          <w:b/>
          <w:bCs/>
          <w:sz w:val="24"/>
          <w:szCs w:val="24"/>
        </w:rPr>
        <w:t xml:space="preserve">Verso D3 (America Latina).</w:t>
      </w:r>
      <w:r>
        <w:rPr>
          <w:rFonts w:ascii="Barlow Semi Condensed" w:cs="Barlow Semi Condensed" w:eastAsia="Barlow Semi Condensed" w:hAnsi="Barlow Semi Condensed"/>
          <w:sz w:val="24"/>
          <w:szCs w:val="24"/>
        </w:rPr>
        <w:t xml:space="preserve"> La rotta Libia-Cuba-Managua e la protezione sandinista collocano l'epilogo di Casimirri nell'ambiente latinoamericano post-rivoluzionario che il corpus conosce dal fronte guevariano. Anche qui: è </w:t>
      </w:r>
      <w:r>
        <w:rPr>
          <w:rFonts w:ascii="Barlow Semi Condensed" w:cs="Barlow Semi Condensed" w:eastAsia="Barlow Semi Condensed" w:hAnsi="Barlow Semi Condensed"/>
          <w:b/>
          <w:bCs/>
          <w:sz w:val="24"/>
          <w:szCs w:val="24"/>
        </w:rPr>
        <w:t xml:space="preserve">convergenza di ambiente</w:t>
      </w:r>
      <w:r>
        <w:rPr>
          <w:rFonts w:ascii="Barlow Semi Condensed" w:cs="Barlow Semi Condensed" w:eastAsia="Barlow Semi Condensed" w:hAnsi="Barlow Semi Condensed"/>
          <w:sz w:val="24"/>
          <w:szCs w:val="24"/>
        </w:rPr>
        <w:t xml:space="preserve">, non filiazione — il Nicaragua del 1982 non è la Bolivia del 1967, e la protezione di un latitante è un atto di Stato del quale risponde chi lo compie, non un anello del mito del Che. La triangolazione registra la rotta come fatto (F) e nega il nesso come metodo.</w:t>
      </w:r>
    </w:p>
    <w:p>
      <w:pPr>
        <w:spacing w:after="120" w:line="276"/>
        <w:jc w:val="both"/>
      </w:pPr>
      <w:r>
        <w:rPr>
          <w:rFonts w:ascii="Barlow Semi Condensed" w:cs="Barlow Semi Condensed" w:eastAsia="Barlow Semi Condensed" w:hAnsi="Barlow Semi Condensed"/>
          <w:b/>
          <w:bCs/>
          <w:sz w:val="24"/>
          <w:szCs w:val="24"/>
        </w:rPr>
        <w:t xml:space="preserve">Il ponte reale è un terzo, più sobrio:</w:t>
      </w:r>
      <w:r>
        <w:rPr>
          <w:rFonts w:ascii="Barlow Semi Condensed" w:cs="Barlow Semi Condensed" w:eastAsia="Barlow Semi Condensed" w:hAnsi="Barlow Semi Condensed"/>
          <w:sz w:val="24"/>
          <w:szCs w:val="24"/>
        </w:rPr>
        <w:t xml:space="preserve"> l'estradizione negata è </w:t>
      </w:r>
      <w:r>
        <w:rPr>
          <w:rFonts w:ascii="Barlow Semi Condensed" w:cs="Barlow Semi Condensed" w:eastAsia="Barlow Semi Condensed" w:hAnsi="Barlow Semi Condensed"/>
          <w:b/>
          <w:bCs/>
          <w:sz w:val="24"/>
          <w:szCs w:val="24"/>
        </w:rPr>
        <w:t xml:space="preserve">materia diplomatica</w:t>
      </w:r>
      <w:r>
        <w:rPr>
          <w:rFonts w:ascii="Barlow Semi Condensed" w:cs="Barlow Semi Condensed" w:eastAsia="Barlow Semi Condensed" w:hAnsi="Barlow Semi Condensed"/>
          <w:sz w:val="24"/>
          <w:szCs w:val="24"/>
        </w:rPr>
        <w:t xml:space="preserve">, e si aggancia alla dimensione della cartella Farnesina (D5) nel suo senso proprio — i rapporti bilaterali Italia-Nicaragua, le richieste respinte, fino alle tensioni recenti (Adnkronos (https://www.adnkronos.com/internazionale/esteri/terrorismo-ex-br-casimirri-nicaragua-ultime-notizie_11Y0xEZLGGnZ6txE6jRL7s)). Qui il condannato del registro incrocia il dominio diplomatico non per biografia familiare ma per </w:t>
      </w:r>
      <w:r>
        <w:rPr>
          <w:rFonts w:ascii="Barlow Semi Condensed" w:cs="Barlow Semi Condensed" w:eastAsia="Barlow Semi Condensed" w:hAnsi="Barlow Semi Condensed"/>
          <w:b/>
          <w:bCs/>
          <w:sz w:val="24"/>
          <w:szCs w:val="24"/>
        </w:rPr>
        <w:t xml:space="preserve">statuto giuridico internazionale</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Nodo T-6 — Lojacono: la cittadinanza elvetica e il parallelo delle pene ineseguite (D5)</w:t>
      </w:r>
    </w:p>
    <w:p>
      <w:pPr>
        <w:spacing w:after="120" w:line="276"/>
        <w:jc w:val="both"/>
      </w:pPr>
      <w:r>
        <w:rPr>
          <w:rFonts w:ascii="Barlow Semi Condensed" w:cs="Barlow Semi Condensed" w:eastAsia="Barlow Semi Condensed" w:hAnsi="Barlow Semi Condensed"/>
          <w:sz w:val="24"/>
          <w:szCs w:val="24"/>
        </w:rPr>
        <w:t xml:space="preserve">Alvaro Lojacono — condannato in via definitiva nel Moro quater (1997) per l'intero arco 16 marzo-9 maggio — riparò in </w:t>
      </w:r>
      <w:r>
        <w:rPr>
          <w:rFonts w:ascii="Barlow Semi Condensed" w:cs="Barlow Semi Condensed" w:eastAsia="Barlow Semi Condensed" w:hAnsi="Barlow Semi Condensed"/>
          <w:b/>
          <w:bCs/>
          <w:sz w:val="24"/>
          <w:szCs w:val="24"/>
        </w:rPr>
        <w:t xml:space="preserve">Svizzera nel 1986</w:t>
      </w:r>
      <w:r>
        <w:rPr>
          <w:rFonts w:ascii="Barlow Semi Condensed" w:cs="Barlow Semi Condensed" w:eastAsia="Barlow Semi Condensed" w:hAnsi="Barlow Semi Condensed"/>
          <w:sz w:val="24"/>
          <w:szCs w:val="24"/>
        </w:rPr>
        <w:t xml:space="preserve"> e vi acquisì la </w:t>
      </w:r>
      <w:r>
        <w:rPr>
          <w:rFonts w:ascii="Barlow Semi Condensed" w:cs="Barlow Semi Condensed" w:eastAsia="Barlow Semi Condensed" w:hAnsi="Barlow Semi Condensed"/>
          <w:b/>
          <w:bCs/>
          <w:sz w:val="24"/>
          <w:szCs w:val="24"/>
        </w:rPr>
        <w:t xml:space="preserve">cittadinanza per parte di madre</w:t>
      </w:r>
      <w:r>
        <w:rPr>
          <w:rFonts w:ascii="Barlow Semi Condensed" w:cs="Barlow Semi Condensed" w:eastAsia="Barlow Semi Condensed" w:hAnsi="Barlow Semi Condensed"/>
          <w:sz w:val="24"/>
          <w:szCs w:val="24"/>
        </w:rPr>
        <w:t xml:space="preserve">; la Svizzera </w:t>
      </w:r>
      <w:r>
        <w:rPr>
          <w:rFonts w:ascii="Barlow Semi Condensed" w:cs="Barlow Semi Condensed" w:eastAsia="Barlow Semi Condensed" w:hAnsi="Barlow Semi Condensed"/>
          <w:b/>
          <w:bCs/>
          <w:sz w:val="24"/>
          <w:szCs w:val="24"/>
        </w:rPr>
        <w:t xml:space="preserve">non estrada i propri cittadini</w:t>
      </w:r>
      <w:r>
        <w:rPr>
          <w:rFonts w:ascii="Barlow Semi Condensed" w:cs="Barlow Semi Condensed" w:eastAsia="Barlow Semi Condensed" w:hAnsi="Barlow Semi Condensed"/>
          <w:sz w:val="24"/>
          <w:szCs w:val="24"/>
        </w:rPr>
        <w:t xml:space="preserve"> senza il loro consenso, e Berna lo ha ribadito per il suo caso (tvsvizzera.it (https://www.tvsvizzera.it/tvs/qui-svizzera/terrorismo_alvaro-lojacono-nessuna-estradizione-possibile/44698030); Wikipedia (https://en.wikipedia.org/wiki/Alvaro_Lojacono)).</w:t>
      </w:r>
    </w:p>
    <w:p>
      <w:pPr>
        <w:spacing w:after="120" w:line="276"/>
        <w:jc w:val="both"/>
      </w:pPr>
      <w:r>
        <w:rPr>
          <w:rFonts w:ascii="Barlow Semi Condensed" w:cs="Barlow Semi Condensed" w:eastAsia="Barlow Semi Condensed" w:hAnsi="Barlow Semi Condensed"/>
          <w:sz w:val="24"/>
          <w:szCs w:val="24"/>
        </w:rPr>
        <w:t xml:space="preserve">La triangolazione qui è </w:t>
      </w:r>
      <w:r>
        <w:rPr>
          <w:rFonts w:ascii="Barlow Semi Condensed" w:cs="Barlow Semi Condensed" w:eastAsia="Barlow Semi Condensed" w:hAnsi="Barlow Semi Condensed"/>
          <w:b/>
          <w:bCs/>
          <w:sz w:val="24"/>
          <w:szCs w:val="24"/>
        </w:rPr>
        <w:t xml:space="preserve">strutturale</w:t>
      </w:r>
      <w:r>
        <w:rPr>
          <w:rFonts w:ascii="Barlow Semi Condensed" w:cs="Barlow Semi Condensed" w:eastAsia="Barlow Semi Condensed" w:hAnsi="Barlow Semi Condensed"/>
          <w:sz w:val="24"/>
          <w:szCs w:val="24"/>
        </w:rPr>
        <w:t xml:space="preserve">: due persone del registro — Casimirri e Lojacono — sono condannati definitivi la cui pena non è mai stata eseguita, sottratti all'esecuzione da </w:t>
      </w:r>
      <w:r>
        <w:rPr>
          <w:rFonts w:ascii="Barlow Semi Condensed" w:cs="Barlow Semi Condensed" w:eastAsia="Barlow Semi Condensed" w:hAnsi="Barlow Semi Condensed"/>
          <w:b/>
          <w:bCs/>
          <w:sz w:val="24"/>
          <w:szCs w:val="24"/>
        </w:rPr>
        <w:t xml:space="preserve">due ordinamenti diversi per due ragioni diverse</w:t>
      </w:r>
      <w:r>
        <w:rPr>
          <w:rFonts w:ascii="Barlow Semi Condensed" w:cs="Barlow Semi Condensed" w:eastAsia="Barlow Semi Condensed" w:hAnsi="Barlow Semi Condensed"/>
          <w:sz w:val="24"/>
          <w:szCs w:val="24"/>
        </w:rPr>
        <w:t xml:space="preserve"> (protezione politica di uno Stato terzo; regola di cittadinanza di uno Stato di diritto). Il parallelo illumina un nodo che appartiene al dominio diplomatico (D5): </w:t>
      </w:r>
      <w:r>
        <w:rPr>
          <w:rFonts w:ascii="Barlow Semi Condensed" w:cs="Barlow Semi Condensed" w:eastAsia="Barlow Semi Condensed" w:hAnsi="Barlow Semi Condensed"/>
          <w:b/>
          <w:bCs/>
          <w:sz w:val="24"/>
          <w:szCs w:val="24"/>
        </w:rPr>
        <w:t xml:space="preserve">l'esecuzione del giudicato oltre confine è funzione dei rapporti fra Stati</w:t>
      </w:r>
      <w:r>
        <w:rPr>
          <w:rFonts w:ascii="Barlow Semi Condensed" w:cs="Barlow Semi Condensed" w:eastAsia="Barlow Semi Condensed" w:hAnsi="Barlow Semi Condensed"/>
          <w:sz w:val="24"/>
          <w:szCs w:val="24"/>
        </w:rPr>
        <w:t xml:space="preserve">, non della forza delle sentenze. È il punto in cui il registro personalistico della Fase decima incontra la dimensione internazionale della cartella Farnesina — e vi incontra anche il proprio limite: il giudicato dice chi è responsabile; non può, da solo, raggiungerlo.</w:t>
      </w:r>
    </w:p>
    <w:p>
      <w:pPr>
        <w:pStyle w:val="Heading2"/>
        <w:spacing w:after="100" w:before="200"/>
      </w:pPr>
      <w:r>
        <w:rPr>
          <w:rFonts w:ascii="Barlow Semi Condensed" w:cs="Barlow Semi Condensed" w:eastAsia="Barlow Semi Condensed" w:hAnsi="Barlow Semi Condensed"/>
          <w:sz w:val="24"/>
          <w:szCs w:val="24"/>
        </w:rPr>
        <w:t xml:space="preserve">Nodo T-7 — Braghetti e la memoria come vettore: il libro, il film, l'editore (D1 · D6)</w:t>
      </w:r>
    </w:p>
    <w:p>
      <w:pPr>
        <w:spacing w:after="120" w:line="276"/>
        <w:jc w:val="both"/>
      </w:pPr>
      <w:r>
        <w:rPr>
          <w:rFonts w:ascii="Barlow Semi Condensed" w:cs="Barlow Semi Condensed" w:eastAsia="Barlow Semi Condensed" w:hAnsi="Barlow Semi Condensed"/>
          <w:sz w:val="24"/>
          <w:szCs w:val="24"/>
        </w:rPr>
        <w:t xml:space="preserve">Anna Laura Braghetti — la custode di via Montalcini — scrisse con Paola Tavella </w:t>
      </w:r>
      <w:r>
        <w:rPr>
          <w:rFonts w:ascii="Barlow Semi Condensed" w:cs="Barlow Semi Condensed" w:eastAsia="Barlow Semi Condensed" w:hAnsi="Barlow Semi Condensed"/>
          <w:b/>
          <w:bCs/>
          <w:sz w:val="24"/>
          <w:szCs w:val="24"/>
        </w:rPr>
        <w:t xml:space="preserve">«Il prigioniero»</w:t>
      </w:r>
      <w:r>
        <w:rPr>
          <w:rFonts w:ascii="Barlow Semi Condensed" w:cs="Barlow Semi Condensed" w:eastAsia="Barlow Semi Condensed" w:hAnsi="Barlow Semi Condensed"/>
          <w:sz w:val="24"/>
          <w:szCs w:val="24"/>
        </w:rPr>
        <w:t xml:space="preserve"> (1998), il racconto dall'interno della prigione e dei cinquantacinque giorni; dal libro Marco Bellocchio trasse liberamente </w:t>
      </w:r>
      <w:r>
        <w:rPr>
          <w:rFonts w:ascii="Barlow Semi Condensed" w:cs="Barlow Semi Condensed" w:eastAsia="Barlow Semi Condensed" w:hAnsi="Barlow Semi Condensed"/>
          <w:b/>
          <w:bCs/>
          <w:sz w:val="24"/>
          <w:szCs w:val="24"/>
        </w:rPr>
        <w:t xml:space="preserve">«Buongiorno, notte»</w:t>
      </w:r>
      <w:r>
        <w:rPr>
          <w:rFonts w:ascii="Barlow Semi Condensed" w:cs="Barlow Semi Condensed" w:eastAsia="Barlow Semi Condensed" w:hAnsi="Barlow Semi Condensed"/>
          <w:sz w:val="24"/>
          <w:szCs w:val="24"/>
        </w:rPr>
        <w:t xml:space="preserve"> (2003), il cui personaggio di Chiara è ispirato a Braghetti e a Faranda (Feltrinelli Editore, scheda del libro (https://www.feltrinellieditore.it/opera/il-prigioniero/); Wikipedia, </w:t>
      </w:r>
      <w:r>
        <w:rPr>
          <w:rFonts w:ascii="Barlow Semi Condensed" w:cs="Barlow Semi Condensed" w:eastAsia="Barlow Semi Condensed" w:hAnsi="Barlow Semi Condensed"/>
          <w:i/>
          <w:iCs/>
          <w:sz w:val="24"/>
          <w:szCs w:val="24"/>
        </w:rPr>
        <w:t xml:space="preserve">Buongiorno, notte</w:t>
      </w:r>
      <w:r>
        <w:rPr>
          <w:rFonts w:ascii="Barlow Semi Condensed" w:cs="Barlow Semi Condensed" w:eastAsia="Barlow Semi Condensed" w:hAnsi="Barlow Semi Condensed"/>
          <w:sz w:val="24"/>
          <w:szCs w:val="24"/>
        </w:rPr>
        <w:t xml:space="preserve"> (https://it.wikipedia.org/wiki/Buongiorno,_notte)).</w:t>
      </w:r>
    </w:p>
    <w:p>
      <w:pPr>
        <w:spacing w:after="120" w:line="276"/>
        <w:jc w:val="both"/>
      </w:pPr>
      <w:r>
        <w:rPr>
          <w:rFonts w:ascii="Barlow Semi Condensed" w:cs="Barlow Semi Condensed" w:eastAsia="Barlow Semi Condensed" w:hAnsi="Barlow Semi Condensed"/>
          <w:sz w:val="24"/>
          <w:szCs w:val="24"/>
        </w:rPr>
        <w:t xml:space="preserve">Il punto di triangolazione è il </w:t>
      </w:r>
      <w:r>
        <w:rPr>
          <w:rFonts w:ascii="Barlow Semi Condensed" w:cs="Barlow Semi Condensed" w:eastAsia="Barlow Semi Condensed" w:hAnsi="Barlow Semi Condensed"/>
          <w:b/>
          <w:bCs/>
          <w:sz w:val="24"/>
          <w:szCs w:val="24"/>
        </w:rPr>
        <w:t xml:space="preserve">tema del vettore</w:t>
      </w:r>
      <w:r>
        <w:rPr>
          <w:rFonts w:ascii="Barlow Semi Condensed" w:cs="Barlow Semi Condensed" w:eastAsia="Barlow Semi Condensed" w:hAnsi="Barlow Semi Condensed"/>
          <w:sz w:val="24"/>
          <w:szCs w:val="24"/>
        </w:rPr>
        <w:t xml:space="preserve">, che è il cuore del fronte D1: il corpus ha ricostruito come il mito del Che fu </w:t>
      </w:r>
      <w:r>
        <w:rPr>
          <w:rFonts w:ascii="Barlow Semi Condensed" w:cs="Barlow Semi Condensed" w:eastAsia="Barlow Semi Condensed" w:hAnsi="Barlow Semi Condensed"/>
          <w:i/>
          <w:iCs/>
          <w:sz w:val="24"/>
          <w:szCs w:val="24"/>
        </w:rPr>
        <w:t xml:space="preserve">fabbricato</w:t>
      </w:r>
      <w:r>
        <w:rPr>
          <w:rFonts w:ascii="Barlow Semi Condensed" w:cs="Barlow Semi Condensed" w:eastAsia="Barlow Semi Condensed" w:hAnsi="Barlow Semi Condensed"/>
          <w:sz w:val="24"/>
          <w:szCs w:val="24"/>
        </w:rPr>
        <w:t xml:space="preserve"> da un editore (la foto di Korda, il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i manifesti di Feltrinelli); qui osserva il processo speculare sul caso Moro — la memoria della prigione che passa dal testimone-condannato al libro, dal libro al film, e diventa immagine pubblica del caso. E il dato documentato ha una torsione che va riportata con esattezza e senza insinuazione: </w:t>
      </w:r>
      <w:r>
        <w:rPr>
          <w:rFonts w:ascii="Barlow Semi Condensed" w:cs="Barlow Semi Condensed" w:eastAsia="Barlow Semi Condensed" w:hAnsi="Barlow Semi Condensed"/>
          <w:b/>
          <w:bCs/>
          <w:sz w:val="24"/>
          <w:szCs w:val="24"/>
        </w:rPr>
        <w:t xml:space="preserve">l'editore de «Il prigioniero» è Feltrinelli</w:t>
      </w:r>
      <w:r>
        <w:rPr>
          <w:rFonts w:ascii="Barlow Semi Condensed" w:cs="Barlow Semi Condensed" w:eastAsia="Barlow Semi Condensed" w:hAnsi="Barlow Semi Condensed"/>
          <w:sz w:val="24"/>
          <w:szCs w:val="24"/>
        </w:rPr>
        <w:t xml:space="preserve"> — la casa editrice, cioè l'impresa fondata da Giangiacomo e proseguita dopo di lui. È una convergenza </w:t>
      </w:r>
      <w:r>
        <w:rPr>
          <w:rFonts w:ascii="Barlow Semi Condensed" w:cs="Barlow Semi Condensed" w:eastAsia="Barlow Semi Condensed" w:hAnsi="Barlow Semi Condensed"/>
          <w:i/>
          <w:iCs/>
          <w:sz w:val="24"/>
          <w:szCs w:val="24"/>
        </w:rPr>
        <w:t xml:space="preserve">editoriale</w:t>
      </w:r>
      <w:r>
        <w:rPr>
          <w:rFonts w:ascii="Barlow Semi Condensed" w:cs="Barlow Semi Condensed" w:eastAsia="Barlow Semi Condensed" w:hAnsi="Barlow Semi Condensed"/>
          <w:sz w:val="24"/>
          <w:szCs w:val="24"/>
        </w:rPr>
        <w:t xml:space="preserve">, di catalogo, non un nesso fra persone: registra che il medesimo marchio che veicolò il mito del Che pubblicò vent'anni dopo la memoria della carceriera di Moro. Il corpus, che ha un intero filone sulla trasmissione delle immagini, cataloga il fatto per quello che è: </w:t>
      </w:r>
      <w:r>
        <w:rPr>
          <w:rFonts w:ascii="Barlow Semi Condensed" w:cs="Barlow Semi Condensed" w:eastAsia="Barlow Semi Condensed" w:hAnsi="Barlow Semi Condensed"/>
          <w:b/>
          <w:bCs/>
          <w:sz w:val="24"/>
          <w:szCs w:val="24"/>
        </w:rPr>
        <w:t xml:space="preserve">la memoria del caso ha i suoi vettori, e i vettori hanno una storia</w:t>
      </w:r>
      <w:r>
        <w:rPr>
          <w:rFonts w:ascii="Barlow Semi Condensed" w:cs="Barlow Semi Condensed" w:eastAsia="Barlow Semi Condensed" w:hAnsi="Barlow Semi Condensed"/>
          <w:sz w:val="24"/>
          <w:szCs w:val="24"/>
        </w:rPr>
        <w:t xml:space="preserve">. A questo dominio appartiene anche il Memoriale Morucci come «testo negoziato» (B): due canali di memoria — quello editoriale e quello istruttorio — entrambi </w:t>
      </w:r>
      <w:r>
        <w:rPr>
          <w:rFonts w:ascii="Barlow Semi Condensed" w:cs="Barlow Semi Condensed" w:eastAsia="Barlow Semi Condensed" w:hAnsi="Barlow Semi Condensed"/>
          <w:i/>
          <w:iCs/>
          <w:sz w:val="24"/>
          <w:szCs w:val="24"/>
        </w:rPr>
        <w:t xml:space="preserve">costruiti</w:t>
      </w:r>
      <w:r>
        <w:rPr>
          <w:rFonts w:ascii="Barlow Semi Condensed" w:cs="Barlow Semi Condensed" w:eastAsia="Barlow Semi Condensed" w:hAnsi="Barlow Semi Condensed"/>
          <w:sz w:val="24"/>
          <w:szCs w:val="24"/>
        </w:rPr>
        <w:t xml:space="preserve">, entrambi da leggere sapendolo.</w:t>
      </w:r>
    </w:p>
    <w:p>
      <w:pPr>
        <w:pStyle w:val="Heading2"/>
        <w:spacing w:after="100" w:before="200"/>
      </w:pPr>
      <w:r>
        <w:rPr>
          <w:rFonts w:ascii="Barlow Semi Condensed" w:cs="Barlow Semi Condensed" w:eastAsia="Barlow Semi Condensed" w:hAnsi="Barlow Semi Condensed"/>
          <w:sz w:val="24"/>
          <w:szCs w:val="24"/>
        </w:rPr>
        <w:t xml:space="preserve">Nodo T-8 — Seghetti e Braghetti: le condotte successive e la tenuta del principio (interno)</w:t>
      </w:r>
    </w:p>
    <w:p>
      <w:pPr>
        <w:spacing w:after="120" w:line="276"/>
        <w:jc w:val="both"/>
      </w:pPr>
      <w:r>
        <w:rPr>
          <w:rFonts w:ascii="Barlow Semi Condensed" w:cs="Barlow Semi Condensed" w:eastAsia="Barlow Semi Condensed" w:hAnsi="Barlow Semi Condensed"/>
          <w:sz w:val="24"/>
          <w:szCs w:val="24"/>
        </w:rPr>
        <w:t xml:space="preserve">Bruno Seghetti presentò Anna Laura Braghetti a Moretti nella fase preparatoria (l'acquisto di via Montalcini, giugno 1977); i due parteciparono poi insieme, nel febbraio 1980, all'</w:t>
      </w:r>
      <w:r>
        <w:rPr>
          <w:rFonts w:ascii="Barlow Semi Condensed" w:cs="Barlow Semi Condensed" w:eastAsia="Barlow Semi Condensed" w:hAnsi="Barlow Semi Condensed"/>
          <w:b/>
          <w:bCs/>
          <w:sz w:val="24"/>
          <w:szCs w:val="24"/>
        </w:rPr>
        <w:t xml:space="preserve">omicidio di Vittorio Bachelet</w:t>
      </w:r>
      <w:r>
        <w:rPr>
          <w:rFonts w:ascii="Barlow Semi Condensed" w:cs="Barlow Semi Condensed" w:eastAsia="Barlow Semi Condensed" w:hAnsi="Barlow Semi Condensed"/>
          <w:sz w:val="24"/>
          <w:szCs w:val="24"/>
        </w:rPr>
        <w:t xml:space="preserve">, vicepresidente del CSM (Avvenire (https://www.avvenire.it/politica/la-morte-di-anna-laura-braghetti-carceriera-di-moro-e-assassina-di-bachelet)). Il ponte è interno al dominio brigatista, e serve alla triangolazione per un solo, decisivo scopo di metodo: </w:t>
      </w:r>
      <w:r>
        <w:rPr>
          <w:rFonts w:ascii="Barlow Semi Condensed" w:cs="Barlow Semi Condensed" w:eastAsia="Barlow Semi Condensed" w:hAnsi="Barlow Semi Condensed"/>
          <w:b/>
          <w:bCs/>
          <w:sz w:val="24"/>
          <w:szCs w:val="24"/>
        </w:rPr>
        <w:t xml:space="preserve">le condotte successive hanno le loro sentenze e i loro fascicoli</w:t>
      </w:r>
      <w:r>
        <w:rPr>
          <w:rFonts w:ascii="Barlow Semi Condensed" w:cs="Barlow Semi Condensed" w:eastAsia="Barlow Semi Condensed" w:hAnsi="Barlow Semi Condensed"/>
          <w:sz w:val="24"/>
          <w:szCs w:val="24"/>
        </w:rPr>
        <w:t xml:space="preserve">, e non rifluiscono nel caso Moro né ne discendono. Il registro della Fase decima cataloga le responsabilità </w:t>
      </w:r>
      <w:r>
        <w:rPr>
          <w:rFonts w:ascii="Barlow Semi Condensed" w:cs="Barlow Semi Condensed" w:eastAsia="Barlow Semi Condensed" w:hAnsi="Barlow Semi Condensed"/>
          <w:i/>
          <w:iCs/>
          <w:sz w:val="24"/>
          <w:szCs w:val="24"/>
        </w:rPr>
        <w:t xml:space="preserve">per il caso</w:t>
      </w:r>
      <w:r>
        <w:rPr>
          <w:rFonts w:ascii="Barlow Semi Condensed" w:cs="Barlow Semi Condensed" w:eastAsia="Barlow Semi Condensed" w:hAnsi="Barlow Semi Condensed"/>
          <w:sz w:val="24"/>
          <w:szCs w:val="24"/>
        </w:rPr>
        <w:t xml:space="preserve">; Bachelet, Palma, Tartaglione e ogni altra vittima hanno il loro giudicato e il loro nome altrove. Il principio personalistico vale anche nel tempo: </w:t>
      </w:r>
      <w:r>
        <w:rPr>
          <w:rFonts w:ascii="Barlow Semi Condensed" w:cs="Barlow Semi Condensed" w:eastAsia="Barlow Semi Condensed" w:hAnsi="Barlow Semi Condensed"/>
          <w:b/>
          <w:bCs/>
          <w:sz w:val="24"/>
          <w:szCs w:val="24"/>
        </w:rPr>
        <w:t xml:space="preserve">una persona, una condotta, una sentenza — per ciascun fatto.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Gli esiti negativi, dichiarati (acquisizioni di pieno valore)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Raffaele Fiore, Barbara Balzerani, Germano Maccari, Raimondo Etro</w:t>
      </w:r>
      <w:r>
        <w:rPr>
          <w:rFonts w:ascii="Barlow Semi Condensed" w:cs="Barlow Semi Condensed" w:eastAsia="Barlow Semi Condensed" w:hAnsi="Barlow Semi Condensed"/>
          <w:sz w:val="24"/>
          <w:szCs w:val="24"/>
        </w:rPr>
        <w:t xml:space="preserve">: la ricognizione non ha trovato, per nessuno dei quattro, ponti documentati verso i domini D1-D5 oltre la militanza brigatista già giudicata. Sono, nel linguaggio del corpus, </w:t>
      </w:r>
      <w:r>
        <w:rPr>
          <w:rFonts w:ascii="Barlow Semi Condensed" w:cs="Barlow Semi Condensed" w:eastAsia="Barlow Semi Condensed" w:hAnsi="Barlow Semi Condensed"/>
          <w:b/>
          <w:bCs/>
          <w:sz w:val="24"/>
          <w:szCs w:val="24"/>
        </w:rPr>
        <w:t xml:space="preserve">posizioni a triangolazione vuota</w:t>
      </w:r>
      <w:r>
        <w:rPr>
          <w:rFonts w:ascii="Barlow Semi Condensed" w:cs="Barlow Semi Condensed" w:eastAsia="Barlow Semi Condensed" w:hAnsi="Barlow Semi Condensed"/>
          <w:sz w:val="24"/>
          <w:szCs w:val="24"/>
        </w:rPr>
        <w:t xml:space="preserve">: biografie interamente interne al dominio BR. L'esito si dichiara perché vale: non tutto si collega, e un metodo onesto lo scrive.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D4 (Tribunale Speciale)</w:t>
      </w:r>
      <w:r>
        <w:rPr>
          <w:rFonts w:ascii="Barlow Semi Condensed" w:cs="Barlow Semi Condensed" w:eastAsia="Barlow Semi Condensed" w:hAnsi="Barlow Semi Condensed"/>
          <w:sz w:val="24"/>
          <w:szCs w:val="24"/>
        </w:rPr>
        <w:t xml:space="preserve">: nessuna triangolazione prosopografica è possibile — le epoche non si toccano. Il confronto è di </w:t>
      </w:r>
      <w:r>
        <w:rPr>
          <w:rFonts w:ascii="Barlow Semi Condensed" w:cs="Barlow Semi Condensed" w:eastAsia="Barlow Semi Condensed" w:hAnsi="Barlow Semi Condensed"/>
          <w:b/>
          <w:bCs/>
          <w:sz w:val="24"/>
          <w:szCs w:val="24"/>
        </w:rPr>
        <w:t xml:space="preserve">metodo</w:t>
      </w:r>
      <w:r>
        <w:rPr>
          <w:rFonts w:ascii="Barlow Semi Condensed" w:cs="Barlow Semi Condensed" w:eastAsia="Barlow Semi Condensed" w:hAnsi="Barlow Semi Condensed"/>
          <w:sz w:val="24"/>
          <w:szCs w:val="24"/>
        </w:rPr>
        <w:t xml:space="preserve">, e chiude il documento (v. sotto).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D3 (fronte guevariano)</w:t>
      </w:r>
      <w:r>
        <w:rPr>
          <w:rFonts w:ascii="Barlow Semi Condensed" w:cs="Barlow Semi Condensed" w:eastAsia="Barlow Semi Condensed" w:hAnsi="Barlow Semi Condensed"/>
          <w:sz w:val="24"/>
          <w:szCs w:val="24"/>
        </w:rPr>
        <w:t xml:space="preserve">: fuori dalla rotta di Casimirri (convergenza di ambiente, non nesso), nessun ponte biografico fra i tredici e il fronte latinoamericano. Il legame fra i due fronti resta quello, </w:t>
      </w:r>
      <w:r>
        <w:rPr>
          <w:rFonts w:ascii="Barlow Semi Condensed" w:cs="Barlow Semi Condensed" w:eastAsia="Barlow Semi Condensed" w:hAnsi="Barlow Semi Condensed"/>
          <w:i/>
          <w:iCs/>
          <w:sz w:val="24"/>
          <w:szCs w:val="24"/>
        </w:rPr>
        <w:t xml:space="preserve">ideologico e di immagine</w:t>
      </w:r>
      <w:r>
        <w:rPr>
          <w:rFonts w:ascii="Barlow Semi Condensed" w:cs="Barlow Semi Condensed" w:eastAsia="Barlow Semi Condensed" w:hAnsi="Barlow Semi Condensed"/>
          <w:sz w:val="24"/>
          <w:szCs w:val="24"/>
        </w:rPr>
        <w:t xml:space="preserve">, già mappato in </w:t>
      </w:r>
      <w:r>
        <w:rPr>
          <w:rFonts w:ascii="Barlow Semi Condensed" w:cs="Barlow Semi Condensed" w:eastAsia="Barlow Semi Condensed" w:hAnsi="Barlow Semi Condensed"/>
          <w:i/>
          <w:iCs/>
          <w:sz w:val="24"/>
          <w:szCs w:val="24"/>
        </w:rPr>
        <w:t xml:space="preserve">dal-che-a-moro-una-guerra-senza-fine.md</w:t>
      </w:r>
      <w:r>
        <w:rPr>
          <w:rFonts w:ascii="Barlow Semi Condensed" w:cs="Barlow Semi Condensed" w:eastAsia="Barlow Semi Condensed" w:hAnsi="Barlow Semi Condensed"/>
          <w:sz w:val="24"/>
          <w:szCs w:val="24"/>
        </w:rPr>
        <w:t xml:space="preserve">: il mito come carburante, mai come catena di comando.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L'attentato del 1981 (dominio della cartella Farnesina)</w:t>
      </w:r>
      <w:r>
        <w:rPr>
          <w:rFonts w:ascii="Barlow Semi Condensed" w:cs="Barlow Semi Condensed" w:eastAsia="Barlow Semi Condensed" w:hAnsi="Barlow Semi Condensed"/>
          <w:sz w:val="24"/>
          <w:szCs w:val="24"/>
        </w:rPr>
        <w:t xml:space="preserve">: nessun collegamento di alcun genere fra i tredici e la vicenda Ağca. Si dichiara per completezza, a chiusura di ogni possibile suggestione.</w:t>
      </w:r>
    </w:p>
    <w:p>
      <w:pPr>
        <w:pStyle w:val="Heading2"/>
        <w:spacing w:after="100" w:before="200"/>
      </w:pPr>
      <w:r>
        <w:rPr>
          <w:rFonts w:ascii="Barlow Semi Condensed" w:cs="Barlow Semi Condensed" w:eastAsia="Barlow Semi Condensed" w:hAnsi="Barlow Semi Condensed"/>
          <w:sz w:val="24"/>
          <w:szCs w:val="24"/>
        </w:rPr>
        <w:t xml:space="preserve">Le anti-triangolazioni (il presidio del metodo)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parentela non è canale.</w:t>
      </w:r>
      <w:r>
        <w:rPr>
          <w:rFonts w:ascii="Barlow Semi Condensed" w:cs="Barlow Semi Condensed" w:eastAsia="Barlow Semi Condensed" w:hAnsi="Barlow Semi Condensed"/>
          <w:sz w:val="24"/>
          <w:szCs w:val="24"/>
        </w:rPr>
        <w:t xml:space="preserve"> Il padre alla sala stampa vaticana non collega Casimirri alla Santa Sede, né la Santa Sede a via Fani. Le famiglie non rispondono dei figli.</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L'origine comune non è regia.</w:t>
      </w:r>
      <w:r>
        <w:rPr>
          <w:rFonts w:ascii="Barlow Semi Condensed" w:cs="Barlow Semi Condensed" w:eastAsia="Barlow Semi Condensed" w:hAnsi="Barlow Semi Condensed"/>
          <w:sz w:val="24"/>
          <w:szCs w:val="24"/>
        </w:rPr>
        <w:t xml:space="preserve"> Il CPM (Moretti) e l'appartamento reggiano (Gallinari, Bonisoli) spiegano formazioni e reti; non istituiscono comandi. Il ceppo del 1969 generò tre strade già mappate — e i proscioglimenti di Hyperion restano proscioglimenti.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 rotta non è filiazione.</w:t>
      </w:r>
      <w:r>
        <w:rPr>
          <w:rFonts w:ascii="Barlow Semi Condensed" w:cs="Barlow Semi Condensed" w:eastAsia="Barlow Semi Condensed" w:hAnsi="Barlow Semi Condensed"/>
          <w:sz w:val="24"/>
          <w:szCs w:val="24"/>
        </w:rPr>
        <w:t xml:space="preserve"> Cuba e Managua sono geografia della latitanza, non genealogia del mito.</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Il canale non è complicità.</w:t>
      </w:r>
      <w:r>
        <w:rPr>
          <w:rFonts w:ascii="Barlow Semi Condensed" w:cs="Barlow Semi Condensed" w:eastAsia="Barlow Semi Condensed" w:hAnsi="Barlow Semi Condensed"/>
          <w:sz w:val="24"/>
          <w:szCs w:val="24"/>
        </w:rPr>
        <w:t xml:space="preserve"> L'intermediazione Pace-Piperno del 1978 è censita come tale; nulla si attribuisce a chi non è nel registro.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Il registro resta chiuso.</w:t>
      </w:r>
      <w:r>
        <w:rPr>
          <w:rFonts w:ascii="Barlow Semi Condensed" w:cs="Barlow Semi Condensed" w:eastAsia="Barlow Semi Condensed" w:hAnsi="Barlow Semi Condensed"/>
          <w:sz w:val="24"/>
          <w:szCs w:val="24"/>
        </w:rPr>
        <w:t xml:space="preserve"> Nessun ponte di questa triangolazione aggiunge nomi, sposta gradi o insinua responsabilità: i tredici restano tredici, gli assolti assolti, i prosciolti prosciolti.</w:t>
      </w:r>
    </w:p>
    <w:p>
      <w:pPr>
        <w:pStyle w:val="Heading2"/>
        <w:spacing w:after="100" w:before="200"/>
      </w:pPr>
      <w:r>
        <w:rPr>
          <w:rFonts w:ascii="Barlow Semi Condensed" w:cs="Barlow Semi Condensed" w:eastAsia="Barlow Semi Condensed" w:hAnsi="Barlow Semi Condensed"/>
          <w:sz w:val="24"/>
          <w:szCs w:val="24"/>
        </w:rPr>
        <w:t xml:space="preserve">La matrice sintetica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Ponte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Dominio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Moretti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Sit-Siemens → CPM di Curcio e Simioni (1969) → doppia discendenza BR/Superclan</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(biografia) / C (ogni tesi operativa su Hyperion)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Morucci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Potere Operaio → canale Pace-Piperno → PSI (trattativa); trasmissione dei comunicati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B</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Faranda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Potere Operaio → canale Pace-Piperno; contraria all'uccisione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B</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Bonisoli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Portò il memoriale a via Monte Nevoso; arrestato lì (1/10/1978); gruppo reggiano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 · D2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 / 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Gallinari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«Gruppo dell'appartamento» di Reggio (con Franceschini) → filo verso «Nuova Resistenza» 1971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D2 · D1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(il filo si ferma al 1971-72)</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Braghetti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prigioniero» (Feltrinelli, 1998) → «Buongiorno, notte» (2003): la memoria come vettore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D1 (tema) · 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Seghetti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Presentò Braghetti a Moretti; condotte successive con giudicati propri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interno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A (altri fascicoli)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Casimirri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Padre alla sala stampa vaticana (tre papi); rotta Libia-Cuba-Nicaragua; estradizione negata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D5 · D3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(biografia) / nesso: nessuno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Lojacono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Cittadinanza svizzera; pena ineseguita per regola di ordinamento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Fiore · Balzerani · Maccari · Etro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nessun ponte documentato oltre il dominio BR</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esito negativo dichiarato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Chiusura — Il confronto col filo del 1926: due modi di giudicare i nemici</w:t>
      </w:r>
    </w:p>
    <w:p>
      <w:pPr>
        <w:spacing w:after="120" w:line="276"/>
        <w:jc w:val="both"/>
      </w:pPr>
      <w:r>
        <w:rPr>
          <w:rFonts w:ascii="Barlow Semi Condensed" w:cs="Barlow Semi Condensed" w:eastAsia="Barlow Semi Condensed" w:hAnsi="Barlow Semi Condensed"/>
          <w:sz w:val="24"/>
          <w:szCs w:val="24"/>
        </w:rPr>
        <w:t xml:space="preserve">Resta il dominio D4, dove nessuna biografia si incrocia e proprio per questo il confronto vale di più. Il branch è nato dal </w:t>
      </w:r>
      <w:r>
        <w:rPr>
          <w:rFonts w:ascii="Barlow Semi Condensed" w:cs="Barlow Semi Condensed" w:eastAsia="Barlow Semi Condensed" w:hAnsi="Barlow Semi Condensed"/>
          <w:b/>
          <w:bCs/>
          <w:sz w:val="24"/>
          <w:szCs w:val="24"/>
        </w:rPr>
        <w:t xml:space="preserve">Tribunale Speciale per la Difesa dello Stato</w:t>
      </w:r>
      <w:r>
        <w:rPr>
          <w:rFonts w:ascii="Barlow Semi Condensed" w:cs="Barlow Semi Condensed" w:eastAsia="Barlow Semi Condensed" w:hAnsi="Barlow Semi Condensed"/>
          <w:sz w:val="24"/>
          <w:szCs w:val="24"/>
        </w:rPr>
        <w:t xml:space="preserve">: giudici in camicia nera, codice penale militare di guerra, un grado solo, sentenze inappellabili — la giustizia d'eccezione con cui un regime trattò i propri nemici. I tredici del registro sono l'immagine rovesciata: giudicati da </w:t>
      </w:r>
      <w:r>
        <w:rPr>
          <w:rFonts w:ascii="Barlow Semi Condensed" w:cs="Barlow Semi Condensed" w:eastAsia="Barlow Semi Condensed" w:hAnsi="Barlow Semi Condensed"/>
          <w:b/>
          <w:bCs/>
          <w:sz w:val="24"/>
          <w:szCs w:val="24"/>
        </w:rPr>
        <w:t xml:space="preserve">corti ordinarie</w:t>
      </w:r>
      <w:r>
        <w:rPr>
          <w:rFonts w:ascii="Barlow Semi Condensed" w:cs="Barlow Semi Condensed" w:eastAsia="Barlow Semi Condensed" w:hAnsi="Barlow Semi Condensed"/>
          <w:sz w:val="24"/>
          <w:szCs w:val="24"/>
        </w:rPr>
        <w:t xml:space="preserve">, con tre gradi di giudizio, difensori, appelli, revisioni — cinque processi in vent'anni, un'assoluzione definitiva rispettata contro la comodità del racconto (il caso Algranati), dissociazioni riconosciute, pene eseguite secondo la legge e, dove gli ordinamenti stranieri l'hanno impedito, </w:t>
      </w:r>
      <w:r>
        <w:rPr>
          <w:rFonts w:ascii="Barlow Semi Condensed" w:cs="Barlow Semi Condensed" w:eastAsia="Barlow Semi Condensed" w:hAnsi="Barlow Semi Condensed"/>
          <w:b/>
          <w:bCs/>
          <w:sz w:val="24"/>
          <w:szCs w:val="24"/>
        </w:rPr>
        <w:t xml:space="preserve">non eseguite senza che la Repubblica cessasse di chiederle nelle forme del diritto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Questa è la triangolazione finale, e non riguarda le persone: riguarda i due Stati. Quello del 1926 costruì un tribunale su misura per i propri nemici; quello del 1978 — colpito al cuore, con sei morti sull'asfalto — giudicò i suoi con le garanzie che l'art. 102 della Costituzione aveva scritto proprio contro la memoria di quel tribunale. La guerra senza fine attraversa entrambi; la differenza fra i due modi di giudicarla è, alla lettera, la Repubblica. Ed è per custodire quella differenza che questo documento censisce ponti e nega nessi: perché il giorno in cui i ponti diventassero nessi per assonanza, e le appartenenze colpe per contagio, avremmo riaperto — dalla parte sbagliata — il filo del 1926.</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Triangolazione dei tredici condannati del registro personalistico (Fase decima) con i domini del corpus. Otto nodi documentati e verificati su fonti (T-1 Moretti/CPM; T-2 Morucci-Faranda/canale Pace-Piperno; T-3 Bonisoli/Monte Nevoso; T-4 la genealogia reggiana; T-5 Casimirri/Vaticano e America Latina; T-6 Lojacono/Svizzera; T-7 Braghetti/la memoria come vettore; T-8 le condotte successive), quattro esiti negativi dichiarati, cinque anti-triangolazioni, la matrice sintetica e la chiusura sul confronto di metodo col Tribunale Speciale. Nessun ponte è un nesso; nessun nome è aggiunto al giudicato; la presunzione d'innocenza resta piena e nominale per chiunque non sia nel registro. Fonti verificate e linkate nel testo.</w:t>
      </w:r>
    </w:p>
    <w:p>
      <w:pPr>
        <w:pStyle w:val="Heading3"/>
        <w:spacing w:after="80" w:before="240"/>
      </w:pPr>
      <w:r>
        <w:rPr>
          <w:rFonts w:ascii="Barlow Semi Condensed" w:cs="Barlow Semi Condensed" w:eastAsia="Barlow Semi Condensed" w:hAnsi="Barlow Semi Condensed"/>
          <w:sz w:val="24"/>
          <w:szCs w:val="24"/>
        </w:rPr>
        <w:t xml:space="preserve">Apparato grafico — Libro undicesimo · La prosopografia dei tredici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undicesimo · II: 2.945 parole in 9 sezioni; la più ampia è §9 Altre sezioni, con 1.242.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undicesimo · II: 20 indirizzi di fonte citati, addensati in 7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I. Moro alla Farnesina (collazione)</w:t>
      </w:r>
    </w:p>
    <w:p>
      <w:pPr>
        <w:pStyle w:val="Heading1"/>
        <w:spacing w:after="120" w:before="240"/>
      </w:pPr>
      <w:r>
        <w:rPr>
          <w:rFonts w:ascii="Barlow Semi Condensed" w:cs="Barlow Semi Condensed" w:eastAsia="Barlow Semi Condensed" w:hAnsi="Barlow Semi Condensed"/>
          <w:sz w:val="24"/>
          <w:szCs w:val="24"/>
        </w:rPr>
        <w:t xml:space="preserve">Aldo Moro alla Farnesina — La dimensione diplomatica dello statista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questa cartella.</w:t>
      </w:r>
      <w:r>
        <w:rPr>
          <w:rFonts w:ascii="Barlow Semi Condensed" w:cs="Barlow Semi Condensed" w:eastAsia="Barlow Semi Condensed" w:hAnsi="Barlow Semi Condensed"/>
          <w:i w:val="false"/>
          <w:iCs w:val="false"/>
          <w:sz w:val="24"/>
          <w:szCs w:val="24"/>
        </w:rPr>
        <w:t xml:space="preserve"> Una raccolta ordinata di ricognizioni storiografiche e archivistiche su </w:t>
      </w:r>
      <w:r>
        <w:rPr>
          <w:rFonts w:ascii="Barlow Semi Condensed" w:cs="Barlow Semi Condensed" w:eastAsia="Barlow Semi Condensed" w:hAnsi="Barlow Semi Condensed"/>
          <w:b/>
          <w:bCs/>
          <w:i w:val="false"/>
          <w:iCs w:val="false"/>
          <w:sz w:val="24"/>
          <w:szCs w:val="24"/>
        </w:rPr>
        <w:t xml:space="preserve">Aldo Moro ministro degli Affari Esteri</w:t>
      </w:r>
      <w:r>
        <w:rPr>
          <w:rFonts w:ascii="Barlow Semi Condensed" w:cs="Barlow Semi Condensed" w:eastAsia="Barlow Semi Condensed" w:hAnsi="Barlow Semi Condensed"/>
          <w:i w:val="false"/>
          <w:iCs w:val="false"/>
          <w:sz w:val="24"/>
          <w:szCs w:val="24"/>
        </w:rPr>
        <w:t xml:space="preserve"> nei due mandati fra il 5 agosto 1969 e il 23 novembre 1974, con i loro versanti mediterranei e le triangolazioni con la Santa Sede e con l'Opus Dei nei Paesi studiati. È la </w:t>
      </w:r>
      <w:r>
        <w:rPr>
          <w:rFonts w:ascii="Barlow Semi Condensed" w:cs="Barlow Semi Condensed" w:eastAsia="Barlow Semi Condensed" w:hAnsi="Barlow Semi Condensed"/>
          <w:b/>
          <w:bCs/>
          <w:i w:val="false"/>
          <w:iCs w:val="false"/>
          <w:sz w:val="24"/>
          <w:szCs w:val="24"/>
        </w:rPr>
        <w:t xml:space="preserve">dimensione diplomatica</w:t>
      </w:r>
      <w:r>
        <w:rPr>
          <w:rFonts w:ascii="Barlow Semi Condensed" w:cs="Barlow Semi Condensed" w:eastAsia="Barlow Semi Condensed" w:hAnsi="Barlow Semi Condensed"/>
          <w:i w:val="false"/>
          <w:iCs w:val="false"/>
          <w:sz w:val="24"/>
          <w:szCs w:val="24"/>
        </w:rPr>
        <w:t xml:space="preserve"> del ritratto tracciato nella `</w:t>
      </w:r>
      <w:r>
        <w:rPr>
          <w:rFonts w:ascii="Barlow Semi Condensed" w:cs="Barlow Semi Condensed" w:eastAsia="Barlow Semi Condensed" w:hAnsi="Barlow Semi Condensed"/>
          <w:i w:val="false"/>
          <w:iCs w:val="false"/>
          <w:sz w:val="24"/>
          <w:szCs w:val="24"/>
        </w:rPr>
        <w:t xml:space="preserve">Fase ottava — Il ritratto: l'uomo prima del caso</w:t>
      </w:r>
      <w:r>
        <w:rPr>
          <w:rFonts w:ascii="Barlow Semi Condensed" w:cs="Barlow Semi Condensed" w:eastAsia="Barlow Semi Condensed" w:hAnsi="Barlow Semi Condensed"/>
          <w:i w:val="false"/>
          <w:iCs w:val="false"/>
          <w:sz w:val="24"/>
          <w:szCs w:val="24"/>
        </w:rPr>
        <w:t xml:space="preserve">`: là si è raccontato l'uomo e lo statista — la formazione, il costituente, la </w:t>
      </w:r>
      <w:r>
        <w:rPr>
          <w:rFonts w:ascii="Barlow Semi Condensed" w:cs="Barlow Semi Condensed" w:eastAsia="Barlow Semi Condensed" w:hAnsi="Barlow Semi Condensed"/>
          <w:i w:val="false"/>
          <w:iCs w:val="false"/>
          <w:sz w:val="24"/>
          <w:szCs w:val="24"/>
        </w:rPr>
        <w:t xml:space="preserve">strategia dell'attenzione</w:t>
      </w:r>
      <w:r>
        <w:rPr>
          <w:rFonts w:ascii="Barlow Semi Condensed" w:cs="Barlow Semi Condensed" w:eastAsia="Barlow Semi Condensed" w:hAnsi="Barlow Semi Condensed"/>
          <w:i w:val="false"/>
          <w:iCs w:val="false"/>
          <w:sz w:val="24"/>
          <w:szCs w:val="24"/>
        </w:rPr>
        <w:t xml:space="preserve">, la solidarietà nazionale; qui si documenta che cosa quello statista </w:t>
      </w:r>
      <w:r>
        <w:rPr>
          <w:rFonts w:ascii="Barlow Semi Condensed" w:cs="Barlow Semi Condensed" w:eastAsia="Barlow Semi Condensed" w:hAnsi="Barlow Semi Condensed"/>
          <w:b/>
          <w:bCs/>
          <w:i w:val="false"/>
          <w:iCs w:val="false"/>
          <w:sz w:val="24"/>
          <w:szCs w:val="24"/>
        </w:rPr>
        <w:t xml:space="preserve">fece</w:t>
      </w:r>
      <w:r>
        <w:rPr>
          <w:rFonts w:ascii="Barlow Semi Condensed" w:cs="Barlow Semi Condensed" w:eastAsia="Barlow Semi Condensed" w:hAnsi="Barlow Semi Condensed"/>
          <w:i w:val="false"/>
          <w:iCs w:val="false"/>
          <w:sz w:val="24"/>
          <w:szCs w:val="24"/>
        </w:rPr>
        <w:t xml:space="preserve"> come ministro degli Esteri, con la stessa disciplina di prova adottata in tutto il corpus.  </w:t>
      </w:r>
      <w:r>
        <w:rPr>
          <w:rFonts w:ascii="Barlow Semi Condensed" w:cs="Barlow Semi Condensed" w:eastAsia="Barlow Semi Condensed" w:hAnsi="Barlow Semi Condensed"/>
          <w:b/>
          <w:bCs/>
          <w:i w:val="false"/>
          <w:iCs w:val="false"/>
          <w:sz w:val="24"/>
          <w:szCs w:val="24"/>
        </w:rPr>
        <w:t xml:space="preserve">Perché sul branch pubblico.</w:t>
      </w:r>
      <w:r>
        <w:rPr>
          <w:rFonts w:ascii="Barlow Semi Condensed" w:cs="Barlow Semi Condensed" w:eastAsia="Barlow Semi Condensed" w:hAnsi="Barlow Semi Condensed"/>
          <w:i w:val="false"/>
          <w:iCs w:val="false"/>
          <w:sz w:val="24"/>
          <w:szCs w:val="24"/>
        </w:rPr>
        <w:t xml:space="preserve"> Tutto il materiale è storiografico e disciplinato: fatti pubblici documentati, atti comunitari con riferimento alla Gazzetta ufficiale, documenti desecretati con protocollo, sentenze con data e autorità. Gli accertamenti sull'Opus Dei si risolvono, per i Paesi qui trattati, in </w:t>
      </w:r>
      <w:r>
        <w:rPr>
          <w:rFonts w:ascii="Barlow Semi Condensed" w:cs="Barlow Semi Condensed" w:eastAsia="Barlow Semi Condensed" w:hAnsi="Barlow Semi Condensed"/>
          <w:b/>
          <w:bCs/>
          <w:i w:val="false"/>
          <w:iCs w:val="false"/>
          <w:sz w:val="24"/>
          <w:szCs w:val="24"/>
        </w:rPr>
        <w:t xml:space="preserve">presenza documentata</w:t>
      </w:r>
      <w:r>
        <w:rPr>
          <w:rFonts w:ascii="Barlow Semi Condensed" w:cs="Barlow Semi Condensed" w:eastAsia="Barlow Semi Condensed" w:hAnsi="Barlow Semi Condensed"/>
          <w:i w:val="false"/>
          <w:iCs w:val="false"/>
          <w:sz w:val="24"/>
          <w:szCs w:val="24"/>
        </w:rPr>
        <w:t xml:space="preserve"> (Germania, Portogallo) o in </w:t>
      </w:r>
      <w:r>
        <w:rPr>
          <w:rFonts w:ascii="Barlow Semi Condensed" w:cs="Barlow Semi Condensed" w:eastAsia="Barlow Semi Condensed" w:hAnsi="Barlow Semi Condensed"/>
          <w:b/>
          <w:bCs/>
          <w:i w:val="false"/>
          <w:iCs w:val="false"/>
          <w:sz w:val="24"/>
          <w:szCs w:val="24"/>
        </w:rPr>
        <w:t xml:space="preserve">assenza dichiarata come «Stato Zero»</w:t>
      </w:r>
      <w:r>
        <w:rPr>
          <w:rFonts w:ascii="Barlow Semi Condensed" w:cs="Barlow Semi Condensed" w:eastAsia="Barlow Semi Condensed" w:hAnsi="Barlow Semi Condensed"/>
          <w:i w:val="false"/>
          <w:iCs w:val="false"/>
          <w:sz w:val="24"/>
          <w:szCs w:val="24"/>
        </w:rPr>
        <w:t xml:space="preserve"> (Grecia, Turchia), sempre con la regola di ferro secondo cui </w:t>
      </w:r>
      <w:r>
        <w:rPr>
          <w:rFonts w:ascii="Barlow Semi Condensed" w:cs="Barlow Semi Condensed" w:eastAsia="Barlow Semi Condensed" w:hAnsi="Barlow Semi Condensed"/>
          <w:i w:val="false"/>
          <w:iCs w:val="false"/>
          <w:sz w:val="24"/>
          <w:szCs w:val="24"/>
        </w:rPr>
        <w:t xml:space="preserve">l'appartenenza di una persona a un'organizzazione non è prova di una condotta dell'organizzazione</w:t>
      </w:r>
      <w:r>
        <w:rPr>
          <w:rFonts w:ascii="Barlow Semi Condensed" w:cs="Barlow Semi Condensed" w:eastAsia="Barlow Semi Condensed" w:hAnsi="Barlow Semi Condensed"/>
          <w:i w:val="false"/>
          <w:iCs w:val="false"/>
          <w:sz w:val="24"/>
          <w:szCs w:val="24"/>
        </w:rPr>
        <w:t xml:space="preserve">. Nessuna persona vivente è indicata come responsabile di alcunché; per le persone viventi si riportano esclusivamente fatti pubblici. Nulla qui appartiene alla categoria riservata del materiale privato del corpus.</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filo che tiene insieme la cartella</w:t>
      </w:r>
    </w:p>
    <w:p>
      <w:pPr>
        <w:spacing w:after="120" w:line="276"/>
        <w:jc w:val="both"/>
      </w:pPr>
      <w:r>
        <w:rPr>
          <w:rFonts w:ascii="Barlow Semi Condensed" w:cs="Barlow Semi Condensed" w:eastAsia="Barlow Semi Condensed" w:hAnsi="Barlow Semi Condensed"/>
          <w:sz w:val="24"/>
          <w:szCs w:val="24"/>
        </w:rPr>
        <w:t xml:space="preserve">Il ritratto della Fase ottava ha un centro: </w:t>
      </w:r>
      <w:r>
        <w:rPr>
          <w:rFonts w:ascii="Barlow Semi Condensed" w:cs="Barlow Semi Condensed" w:eastAsia="Barlow Semi Condensed" w:hAnsi="Barlow Semi Condensed"/>
          <w:b/>
          <w:bCs/>
          <w:sz w:val="24"/>
          <w:szCs w:val="24"/>
        </w:rPr>
        <w:t xml:space="preserve">la strategia dell'attenzione</w:t>
      </w:r>
      <w:r>
        <w:rPr>
          <w:rFonts w:ascii="Barlow Semi Condensed" w:cs="Barlow Semi Condensed" w:eastAsia="Barlow Semi Condensed" w:hAnsi="Barlow Semi Condensed"/>
          <w:sz w:val="24"/>
          <w:szCs w:val="24"/>
        </w:rPr>
        <w:t xml:space="preserve"> — l'idea moroteo che una democrazia matura amplia il proprio perimetro includendo per gradi ciò che prima ne era escluso, senza abdicare ai propri principi. La stessa idea, sul piano internazionale, ha un nome e una prassi: la </w:t>
      </w:r>
      <w:r>
        <w:rPr>
          <w:rFonts w:ascii="Barlow Semi Condensed" w:cs="Barlow Semi Condensed" w:eastAsia="Barlow Semi Condensed" w:hAnsi="Barlow Semi Condensed"/>
          <w:b/>
          <w:bCs/>
          <w:sz w:val="24"/>
          <w:szCs w:val="24"/>
        </w:rPr>
        <w:t xml:space="preserve">dottrina dell'equilibrio</w:t>
      </w:r>
      <w:r>
        <w:rPr>
          <w:rFonts w:ascii="Barlow Semi Condensed" w:cs="Barlow Semi Condensed" w:eastAsia="Barlow Semi Condensed" w:hAnsi="Barlow Semi Condensed"/>
          <w:sz w:val="24"/>
          <w:szCs w:val="24"/>
        </w:rPr>
        <w:t xml:space="preserve"> e della </w:t>
      </w:r>
      <w:r>
        <w:rPr>
          <w:rFonts w:ascii="Barlow Semi Condensed" w:cs="Barlow Semi Condensed" w:eastAsia="Barlow Semi Condensed" w:hAnsi="Barlow Semi Condensed"/>
          <w:b/>
          <w:bCs/>
          <w:sz w:val="24"/>
          <w:szCs w:val="24"/>
        </w:rPr>
        <w:t xml:space="preserve">proiezione mediterranea</w:t>
      </w:r>
      <w:r>
        <w:rPr>
          <w:rFonts w:ascii="Barlow Semi Condensed" w:cs="Barlow Semi Condensed" w:eastAsia="Barlow Semi Condensed" w:hAnsi="Barlow Semi Condensed"/>
          <w:sz w:val="24"/>
          <w:szCs w:val="24"/>
        </w:rPr>
        <w:t xml:space="preserve"> dell'Italia — l'equidistanza fra i blocchi, l'attenzione al mondo arabo e alla causa palestinese, la costruzione paziente di canali. Questi documenti mostrano l'uomo della «terza fase» all'opera nella cornice in cui quella cultura politica si faceva atto diplomatico.</w:t>
      </w:r>
    </w:p>
    <w:p>
      <w:pPr>
        <w:spacing w:after="120" w:line="276"/>
        <w:jc w:val="both"/>
      </w:pPr>
      <w:r>
        <w:rPr>
          <w:rFonts w:ascii="Barlow Semi Condensed" w:cs="Barlow Semi Condensed" w:eastAsia="Barlow Semi Condensed" w:hAnsi="Barlow Semi Condensed"/>
          <w:sz w:val="24"/>
          <w:szCs w:val="24"/>
        </w:rPr>
        <w:t xml:space="preserve">Tre acquisizioni </w:t>
      </w:r>
      <w:r>
        <w:rPr>
          <w:rFonts w:ascii="Barlow Semi Condensed" w:cs="Barlow Semi Condensed" w:eastAsia="Barlow Semi Condensed" w:hAnsi="Barlow Semi Condensed"/>
          <w:b/>
          <w:bCs/>
          <w:sz w:val="24"/>
          <w:szCs w:val="24"/>
        </w:rPr>
        <w:t xml:space="preserve">certe</w:t>
      </w:r>
      <w:r>
        <w:rPr>
          <w:rFonts w:ascii="Barlow Semi Condensed" w:cs="Barlow Semi Condensed" w:eastAsia="Barlow Semi Condensed" w:hAnsi="Barlow Semi Condensed"/>
          <w:sz w:val="24"/>
          <w:szCs w:val="24"/>
        </w:rPr>
        <w:t xml:space="preserve"> reggono la cartella, e vanno dette per prime perché sono il pavimento documentale su cui tutto il resto poggia: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firma dell'Accordo provvisorio CEE-Turchia</w:t>
      </w:r>
      <w:r>
        <w:rPr>
          <w:rFonts w:ascii="Barlow Semi Condensed" w:cs="Barlow Semi Condensed" w:eastAsia="Barlow Semi Condensed" w:hAnsi="Barlow Semi Condensed"/>
          <w:sz w:val="24"/>
          <w:szCs w:val="24"/>
        </w:rPr>
        <w:t xml:space="preserve"> (Bruxelles, 27 luglio 1971). Il preambolo del Regolamento (CEE) n. 1842/71 attesta che l'accordo fu firmato «a nome del Consiglio delle Comunità europee dal sig. Aldo Moro, Ministro degli affari esteri della Repubblica italiana e Presidente del Consiglio». Nel secondo semestre 1971 la presidenza di turno del Consiglio delle Comunità spettava all'Italia: Moro appose materialmente la firma a un atto dell'associazione CEE-Turchia. È il nesso Moro-Turchia meglio documentato dell'intera serie.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firma dell'Atto finale di Helsinki</w:t>
      </w:r>
      <w:r>
        <w:rPr>
          <w:rFonts w:ascii="Barlow Semi Condensed" w:cs="Barlow Semi Condensed" w:eastAsia="Barlow Semi Condensed" w:hAnsi="Barlow Semi Condensed"/>
          <w:sz w:val="24"/>
          <w:szCs w:val="24"/>
        </w:rPr>
        <w:t xml:space="preserve"> (1° agosto 1975). Moro lo sottoscrisse nella duplice qualità di Presidente del Consiglio e Presidente di turno della Comunità europea. Sullo stesso documento apposero la firma anche la </w:t>
      </w:r>
      <w:r>
        <w:rPr>
          <w:rFonts w:ascii="Barlow Semi Condensed" w:cs="Barlow Semi Condensed" w:eastAsia="Barlow Semi Condensed" w:hAnsi="Barlow Semi Condensed"/>
          <w:b/>
          <w:bCs/>
          <w:sz w:val="24"/>
          <w:szCs w:val="24"/>
        </w:rPr>
        <w:t xml:space="preserve">Santa Sede</w:t>
      </w:r>
      <w:r>
        <w:rPr>
          <w:rFonts w:ascii="Barlow Semi Condensed" w:cs="Barlow Semi Condensed" w:eastAsia="Barlow Semi Condensed" w:hAnsi="Barlow Semi Condensed"/>
          <w:sz w:val="24"/>
          <w:szCs w:val="24"/>
        </w:rPr>
        <w:t xml:space="preserve"> — primo congresso di Stati cui essa partecipava a pieno titolo dal Congresso di Vienna del 1815, con la delegazione Casaroli-Silvestrini e la proposta sulla libertà religiosa confluita nel settimo principio — e la </w:t>
      </w:r>
      <w:r>
        <w:rPr>
          <w:rFonts w:ascii="Barlow Semi Condensed" w:cs="Barlow Semi Condensed" w:eastAsia="Barlow Semi Condensed" w:hAnsi="Barlow Semi Condensed"/>
          <w:b/>
          <w:bCs/>
          <w:sz w:val="24"/>
          <w:szCs w:val="24"/>
        </w:rPr>
        <w:t xml:space="preserve">Turchia</w:t>
      </w:r>
      <w:r>
        <w:rPr>
          <w:rFonts w:ascii="Barlow Semi Condensed" w:cs="Barlow Semi Condensed" w:eastAsia="Barlow Semi Condensed" w:hAnsi="Barlow Semi Condensed"/>
          <w:sz w:val="24"/>
          <w:szCs w:val="24"/>
        </w:rPr>
        <w:t xml:space="preserve">. La convergenza delle tre firme è </w:t>
      </w:r>
      <w:r>
        <w:rPr>
          <w:rFonts w:ascii="Barlow Semi Condensed" w:cs="Barlow Semi Condensed" w:eastAsia="Barlow Semi Condensed" w:hAnsi="Barlow Semi Condensed"/>
          <w:b/>
          <w:bCs/>
          <w:sz w:val="24"/>
          <w:szCs w:val="24"/>
        </w:rPr>
        <w:t xml:space="preserve">la triangolazione certa</w:t>
      </w:r>
      <w:r>
        <w:rPr>
          <w:rFonts w:ascii="Barlow Semi Condensed" w:cs="Barlow Semi Condensed" w:eastAsia="Barlow Semi Condensed" w:hAnsi="Barlow Semi Condensed"/>
          <w:sz w:val="24"/>
          <w:szCs w:val="24"/>
        </w:rPr>
        <w:t xml:space="preserve"> fra i tre oggetti di questa cartella nel perimetro cronologico considerato.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L'atto sulla Grecia dei colonnelli</w:t>
      </w:r>
      <w:r>
        <w:rPr>
          <w:rFonts w:ascii="Barlow Semi Condensed" w:cs="Barlow Semi Condensed" w:eastAsia="Barlow Semi Condensed" w:hAnsi="Barlow Semi Condensed"/>
          <w:sz w:val="24"/>
          <w:szCs w:val="24"/>
        </w:rPr>
        <w:t xml:space="preserve"> (1969). Il versante greco si apre con la posizione italiana nell'espulsione — di fatto anticipata dal ritiro volontario — della Grecia dei colonnelli dal Consiglio d'Europa nel 1969, primo anno del mandato di Moro: un banco di prova della strategia dell'attenzione applicata al trattamento di un regime autoritario alleato.</w:t>
      </w:r>
    </w:p>
    <w:p>
      <w:pPr>
        <w:spacing w:after="120" w:line="276"/>
        <w:jc w:val="both"/>
      </w:pPr>
      <w:r>
        <w:rPr>
          <w:rFonts w:ascii="Barlow Semi Condensed" w:cs="Barlow Semi Condensed" w:eastAsia="Barlow Semi Condensed" w:hAnsi="Barlow Semi Condensed"/>
          <w:sz w:val="24"/>
          <w:szCs w:val="24"/>
        </w:rPr>
        <w:t xml:space="preserve">Attorno a questi tre punti fermi si dispongono i versanti: il </w:t>
      </w:r>
      <w:r>
        <w:rPr>
          <w:rFonts w:ascii="Barlow Semi Condensed" w:cs="Barlow Semi Condensed" w:eastAsia="Barlow Semi Condensed" w:hAnsi="Barlow Semi Condensed"/>
          <w:b/>
          <w:bCs/>
          <w:sz w:val="24"/>
          <w:szCs w:val="24"/>
        </w:rPr>
        <w:t xml:space="preserve">lodo Moro</w:t>
      </w:r>
      <w:r>
        <w:rPr>
          <w:rFonts w:ascii="Barlow Semi Condensed" w:cs="Barlow Semi Condensed" w:eastAsia="Barlow Semi Condensed" w:hAnsi="Barlow Semi Condensed"/>
          <w:sz w:val="24"/>
          <w:szCs w:val="24"/>
        </w:rPr>
        <w:t xml:space="preserve"> e la politica filo-araba, la </w:t>
      </w:r>
      <w:r>
        <w:rPr>
          <w:rFonts w:ascii="Barlow Semi Condensed" w:cs="Barlow Semi Condensed" w:eastAsia="Barlow Semi Condensed" w:hAnsi="Barlow Semi Condensed"/>
          <w:b/>
          <w:bCs/>
          <w:sz w:val="24"/>
          <w:szCs w:val="24"/>
        </w:rPr>
        <w:t xml:space="preserve">Ostpolitik</w:t>
      </w:r>
      <w:r>
        <w:rPr>
          <w:rFonts w:ascii="Barlow Semi Condensed" w:cs="Barlow Semi Condensed" w:eastAsia="Barlow Semi Condensed" w:hAnsi="Barlow Semi Condensed"/>
          <w:sz w:val="24"/>
          <w:szCs w:val="24"/>
        </w:rPr>
        <w:t xml:space="preserve"> e gli incontri con Brandt e Scheel, il </w:t>
      </w:r>
      <w:r>
        <w:rPr>
          <w:rFonts w:ascii="Barlow Semi Condensed" w:cs="Barlow Semi Condensed" w:eastAsia="Barlow Semi Condensed" w:hAnsi="Barlow Semi Condensed"/>
          <w:b/>
          <w:bCs/>
          <w:sz w:val="24"/>
          <w:szCs w:val="24"/>
        </w:rPr>
        <w:t xml:space="preserve">versante libico e mediterraneo</w:t>
      </w:r>
      <w:r>
        <w:rPr>
          <w:rFonts w:ascii="Barlow Semi Condensed" w:cs="Barlow Semi Condensed" w:eastAsia="Barlow Semi Condensed" w:hAnsi="Barlow Semi Condensed"/>
          <w:sz w:val="24"/>
          <w:szCs w:val="24"/>
        </w:rPr>
        <w:t xml:space="preserve">, le </w:t>
      </w:r>
      <w:r>
        <w:rPr>
          <w:rFonts w:ascii="Barlow Semi Condensed" w:cs="Barlow Semi Condensed" w:eastAsia="Barlow Semi Condensed" w:hAnsi="Barlow Semi Condensed"/>
          <w:b/>
          <w:bCs/>
          <w:sz w:val="24"/>
          <w:szCs w:val="24"/>
        </w:rPr>
        <w:t xml:space="preserve">crisi cipriote del 1974</w:t>
      </w:r>
      <w:r>
        <w:rPr>
          <w:rFonts w:ascii="Barlow Semi Condensed" w:cs="Barlow Semi Condensed" w:eastAsia="Barlow Semi Condensed" w:hAnsi="Barlow Semi Condensed"/>
          <w:sz w:val="24"/>
          <w:szCs w:val="24"/>
        </w:rPr>
        <w:t xml:space="preserve"> viste da Atene e da Ankara, gli </w:t>
      </w:r>
      <w:r>
        <w:rPr>
          <w:rFonts w:ascii="Barlow Semi Condensed" w:cs="Barlow Semi Condensed" w:eastAsia="Barlow Semi Condensed" w:hAnsi="Barlow Semi Condensed"/>
          <w:b/>
          <w:bCs/>
          <w:sz w:val="24"/>
          <w:szCs w:val="24"/>
        </w:rPr>
        <w:t xml:space="preserve">oppiacei turchi</w:t>
      </w:r>
      <w:r>
        <w:rPr>
          <w:rFonts w:ascii="Barlow Semi Condensed" w:cs="Barlow Semi Condensed" w:eastAsia="Barlow Semi Condensed" w:hAnsi="Barlow Semi Condensed"/>
          <w:sz w:val="24"/>
          <w:szCs w:val="24"/>
        </w:rPr>
        <w:t xml:space="preserve"> e la French Connection, la </w:t>
      </w:r>
      <w:r>
        <w:rPr>
          <w:rFonts w:ascii="Barlow Semi Condensed" w:cs="Barlow Semi Condensed" w:eastAsia="Barlow Semi Condensed" w:hAnsi="Barlow Semi Condensed"/>
          <w:b/>
          <w:bCs/>
          <w:sz w:val="24"/>
          <w:szCs w:val="24"/>
        </w:rPr>
        <w:t xml:space="preserve">questione egea</w:t>
      </w:r>
      <w:r>
        <w:rPr>
          <w:rFonts w:ascii="Barlow Semi Condensed" w:cs="Barlow Semi Condensed" w:eastAsia="Barlow Semi Condensed" w:hAnsi="Barlow Semi Condensed"/>
          <w:sz w:val="24"/>
          <w:szCs w:val="24"/>
        </w:rPr>
        <w:t xml:space="preserve">. E accanto, la trama ecclesiale: il decennio turco di Roncalli, il dialogo cattolico-ortodosso, la chiusura del Seminario di Halki (1971), la condizione delle minoranze cristiane — con, su questo versante confessionale, un </w:t>
      </w:r>
      <w:r>
        <w:rPr>
          <w:rFonts w:ascii="Barlow Semi Condensed" w:cs="Barlow Semi Condensed" w:eastAsia="Barlow Semi Condensed" w:hAnsi="Barlow Semi Condensed"/>
          <w:b/>
          <w:bCs/>
          <w:sz w:val="24"/>
          <w:szCs w:val="24"/>
        </w:rPr>
        <w:t xml:space="preserve">esito prevalentemente negativo di ricerca</w:t>
      </w:r>
      <w:r>
        <w:rPr>
          <w:rFonts w:ascii="Barlow Semi Condensed" w:cs="Barlow Semi Condensed" w:eastAsia="Barlow Semi Condensed" w:hAnsi="Barlow Semi Condensed"/>
          <w:sz w:val="24"/>
          <w:szCs w:val="24"/>
        </w:rPr>
        <w:t xml:space="preserve">: nelle fonti edite non emerge una presa di posizione documentata della Farnesina di Moro sulle minoranze cristiane di Turchia o su Halki, e questo esito negativo è dichiarato come acquisizione di pieno valore, con l'indicazione della sede d'archivio dove chiuderlo.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documenti</w:t>
      </w:r>
    </w:p>
    <w:p>
      <w:pPr>
        <w:pStyle w:val="Heading3"/>
        <w:spacing w:after="80" w:before="160"/>
      </w:pPr>
      <w:r>
        <w:rPr>
          <w:rFonts w:ascii="Barlow Semi Condensed" w:cs="Barlow Semi Condensed" w:eastAsia="Barlow Semi Condensed" w:hAnsi="Barlow Semi Condensed"/>
          <w:sz w:val="24"/>
          <w:szCs w:val="24"/>
        </w:rPr>
        <w:t xml:space="preserve">Ricognizione generale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originali/ricognizione-ministro-esteri-1969-1974.md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ricognizione-madre.</w:t>
            </w:r>
            <w:r>
              <w:rPr>
                <w:rFonts w:ascii="Barlow Semi Condensed" w:cs="Barlow Semi Condensed" w:eastAsia="Barlow Semi Condensed" w:hAnsi="Barlow Semi Condensed"/>
                <w:sz w:val="20"/>
                <w:szCs w:val="20"/>
              </w:rPr>
              <w:t xml:space="preserve"> Dodici capitoli: la cronologia esatta dei due mandati (con la controversia maggio/agosto 1969 dirimuta sul Portale storico della Camera al 5 agosto 1969), l'accessibilità dei fondi 1969-1974 dell'Archivio Storico Diplomatico, il versante Italia-Spagna, il versante statunitense (FRUS, Comitato dei 303), la documentazione parlamentare, la </w:t>
            </w:r>
            <w:r>
              <w:rPr>
                <w:rFonts w:ascii="Barlow Semi Condensed" w:cs="Barlow Semi Condensed" w:eastAsia="Barlow Semi Condensed" w:hAnsi="Barlow Semi Condensed"/>
                <w:b/>
                <w:bCs/>
                <w:sz w:val="20"/>
                <w:szCs w:val="20"/>
              </w:rPr>
              <w:t xml:space="preserve">dottrina dell'equilibrio</w:t>
            </w:r>
            <w:r>
              <w:rPr>
                <w:rFonts w:ascii="Barlow Semi Condensed" w:cs="Barlow Semi Condensed" w:eastAsia="Barlow Semi Condensed" w:hAnsi="Barlow Semi Condensed"/>
                <w:sz w:val="20"/>
                <w:szCs w:val="20"/>
              </w:rPr>
              <w:t xml:space="preserve"> con CSCE, Cina e CEE-Spagna, il </w:t>
            </w:r>
            <w:r>
              <w:rPr>
                <w:rFonts w:ascii="Barlow Semi Condensed" w:cs="Barlow Semi Condensed" w:eastAsia="Barlow Semi Condensed" w:hAnsi="Barlow Semi Condensed"/>
                <w:b/>
                <w:bCs/>
                <w:sz w:val="20"/>
                <w:szCs w:val="20"/>
              </w:rPr>
              <w:t xml:space="preserve">lodo Moro</w:t>
            </w:r>
            <w:r>
              <w:rPr>
                <w:rFonts w:ascii="Barlow Semi Condensed" w:cs="Barlow Semi Condensed" w:eastAsia="Barlow Semi Condensed" w:hAnsi="Barlow Semi Condensed"/>
                <w:sz w:val="20"/>
                <w:szCs w:val="20"/>
              </w:rPr>
              <w:t xml:space="preserve"> e la politica filo-araba, il versante </w:t>
            </w:r>
            <w:r>
              <w:rPr>
                <w:rFonts w:ascii="Barlow Semi Condensed" w:cs="Barlow Semi Condensed" w:eastAsia="Barlow Semi Condensed" w:hAnsi="Barlow Semi Condensed"/>
                <w:b/>
                <w:bCs/>
                <w:sz w:val="20"/>
                <w:szCs w:val="20"/>
              </w:rPr>
              <w:t xml:space="preserve">libico e mediterraneo</w:t>
            </w:r>
            <w:r>
              <w:rPr>
                <w:rFonts w:ascii="Barlow Semi Condensed" w:cs="Barlow Semi Condensed" w:eastAsia="Barlow Semi Condensed" w:hAnsi="Barlow Semi Condensed"/>
                <w:sz w:val="20"/>
                <w:szCs w:val="20"/>
              </w:rPr>
              <w:t xml:space="preserve">, le sedi multilaterali e la coincidenza con la delegazione vaticana, il canale Pignedoli, la tavola delle acquisizioni non conseguite</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 quattro versanti nazionali (Moro + Opus Dei + triangolazioni)</w:t>
      </w:r>
    </w:p>
    <w:p>
      <w:pPr>
        <w:spacing w:after="120" w:line="276"/>
        <w:jc w:val="both"/>
      </w:pPr>
      <w:r>
        <w:rPr>
          <w:rFonts w:ascii="Barlow Semi Condensed" w:cs="Barlow Semi Condensed" w:eastAsia="Barlow Semi Condensed" w:hAnsi="Barlow Semi Condensed"/>
          <w:sz w:val="24"/>
          <w:szCs w:val="24"/>
        </w:rPr>
        <w:t xml:space="preserve">Quattro ricognizioni parallele mettono alla prova una </w:t>
      </w:r>
      <w:r>
        <w:rPr>
          <w:rFonts w:ascii="Barlow Semi Condensed" w:cs="Barlow Semi Condensed" w:eastAsia="Barlow Semi Condensed" w:hAnsi="Barlow Semi Condensed"/>
          <w:b/>
          <w:bCs/>
          <w:sz w:val="24"/>
          <w:szCs w:val="24"/>
        </w:rPr>
        <w:t xml:space="preserve">proposizione confutabile</w:t>
      </w:r>
      <w:r>
        <w:rPr>
          <w:rFonts w:ascii="Barlow Semi Condensed" w:cs="Barlow Semi Condensed" w:eastAsia="Barlow Semi Condensed" w:hAnsi="Barlow Semi Condensed"/>
          <w:sz w:val="24"/>
          <w:szCs w:val="24"/>
        </w:rPr>
        <w:t xml:space="preserve">: che l'insediamento dell'Opus Dei in un Paese richieda la compresenza di una maggioranza cattolica e di un ceto universitario e professionale cattolico autoctono. I quattro casi la verificano per contrasto — due presenze, due assenze — e su ciascuno si innesta il versante diplomatico moroteo verso quel Paese.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 Opus Dei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Versante Moro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originali/germania-opus-dei-1952-1985.md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Presenza dal 1952</w:t>
            </w:r>
            <w:r>
              <w:rPr>
                <w:rFonts w:ascii="Barlow Semi Condensed" w:cs="Barlow Semi Condensed" w:eastAsia="Barlow Semi Condensed" w:hAnsi="Barlow Semi Condensed"/>
                <w:sz w:val="20"/>
                <w:szCs w:val="20"/>
              </w:rPr>
              <w:t xml:space="preserve"> (banco di prova: insediamento stabile pur senza maggioranza cattolica → cade la prima condizione, regge la seconda)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Ostpolitik</w:t>
            </w:r>
            <w:r>
              <w:rPr>
                <w:rFonts w:ascii="Barlow Semi Condensed" w:cs="Barlow Semi Condensed" w:eastAsia="Barlow Semi Condensed" w:hAnsi="Barlow Semi Condensed"/>
                <w:sz w:val="20"/>
                <w:szCs w:val="20"/>
              </w:rPr>
              <w:t xml:space="preserve">, gli incontri </w:t>
            </w:r>
            <w:r>
              <w:rPr>
                <w:rFonts w:ascii="Barlow Semi Condensed" w:cs="Barlow Semi Condensed" w:eastAsia="Barlow Semi Condensed" w:hAnsi="Barlow Semi Condensed"/>
                <w:b/>
                <w:bCs/>
                <w:sz w:val="20"/>
                <w:szCs w:val="20"/>
              </w:rPr>
              <w:t xml:space="preserve">Moro-Brandt</w:t>
            </w:r>
            <w:r>
              <w:rPr>
                <w:rFonts w:ascii="Barlow Semi Condensed" w:cs="Barlow Semi Condensed" w:eastAsia="Barlow Semi Condensed" w:hAnsi="Barlow Semi Condensed"/>
                <w:sz w:val="20"/>
                <w:szCs w:val="20"/>
              </w:rPr>
              <w:t xml:space="preserve"> e </w:t>
            </w:r>
            <w:r>
              <w:rPr>
                <w:rFonts w:ascii="Barlow Semi Condensed" w:cs="Barlow Semi Condensed" w:eastAsia="Barlow Semi Condensed" w:hAnsi="Barlow Semi Condensed"/>
                <w:b/>
                <w:bCs/>
                <w:sz w:val="20"/>
                <w:szCs w:val="20"/>
              </w:rPr>
              <w:t xml:space="preserve">Moro-Scheel</w:t>
            </w:r>
            <w:r>
              <w:rPr>
                <w:rFonts w:ascii="Barlow Semi Condensed" w:cs="Barlow Semi Condensed" w:eastAsia="Barlow Semi Condensed" w:hAnsi="Barlow Semi Condensed"/>
                <w:sz w:val="20"/>
                <w:szCs w:val="20"/>
              </w:rPr>
              <w:t xml:space="preserve">, il versante economico, comunitario e migratorio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originali/portogallo-opus-dei.md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Presenza dal 5 febbraio 1945</w:t>
            </w:r>
            <w:r>
              <w:rPr>
                <w:rFonts w:ascii="Barlow Semi Condensed" w:cs="Barlow Semi Condensed" w:eastAsia="Barlow Semi Condensed" w:hAnsi="Barlow Semi Condensed"/>
                <w:sz w:val="20"/>
                <w:szCs w:val="20"/>
              </w:rPr>
              <w:t xml:space="preserve"> (ma senza ruolo tecnocratico di governo, anzi sorvegliata dalla PIDE/DGS; </w:t>
            </w: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su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Triangolazione mediata dalla </w:t>
            </w:r>
            <w:r>
              <w:rPr>
                <w:rFonts w:ascii="Barlow Semi Condensed" w:cs="Barlow Semi Condensed" w:eastAsia="Barlow Semi Condensed" w:hAnsi="Barlow Semi Condensed"/>
                <w:b/>
                <w:bCs/>
                <w:sz w:val="20"/>
                <w:szCs w:val="20"/>
              </w:rPr>
              <w:t xml:space="preserve">Santa Sé</w:t>
            </w:r>
            <w:r>
              <w:rPr>
                <w:rFonts w:ascii="Barlow Semi Condensed" w:cs="Barlow Semi Condensed" w:eastAsia="Barlow Semi Condensed" w:hAnsi="Barlow Semi Condensed"/>
                <w:sz w:val="20"/>
                <w:szCs w:val="20"/>
              </w:rPr>
              <w:t xml:space="preserve">, interlocutrice comune; nessun documento lega Moro all'ente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originali/grecia-opus-dei-1969-1985.md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Assenza — «Stato Zero»</w:t>
            </w:r>
            <w:r>
              <w:rPr>
                <w:rFonts w:ascii="Barlow Semi Condensed" w:cs="Barlow Semi Condensed" w:eastAsia="Barlow Semi Condensed" w:hAnsi="Barlow Semi Condensed"/>
                <w:sz w:val="20"/>
                <w:szCs w:val="20"/>
              </w:rPr>
              <w:t xml:space="preserve"> (previsione dichiarata e verificata: correla con la maggioranza cattolica, non col regime autoritario)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Grecia dei colonnelli</w:t>
            </w:r>
            <w:r>
              <w:rPr>
                <w:rFonts w:ascii="Barlow Semi Condensed" w:cs="Barlow Semi Condensed" w:eastAsia="Barlow Semi Condensed" w:hAnsi="Barlow Semi Condensed"/>
                <w:sz w:val="20"/>
                <w:szCs w:val="20"/>
              </w:rPr>
              <w:t xml:space="preserve"> e il Consiglio d'Europa (1969), la crisi di Cipro 1974, la NATO, la CSCE e l'Atto finale di Helsinki, il Patriarcato ecumenico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originali/turchia-opus-dei-1969-1975.md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Assenza — «Stato Zero»</w:t>
            </w:r>
            <w:r>
              <w:rPr>
                <w:rFonts w:ascii="Barlow Semi Condensed" w:cs="Barlow Semi Condensed" w:eastAsia="Barlow Semi Condensed" w:hAnsi="Barlow Semi Condensed"/>
                <w:sz w:val="20"/>
                <w:szCs w:val="20"/>
              </w:rPr>
              <w:t xml:space="preserve"> (il caso più probante: maggioranza musulmana, laicità con controllo statale dell'istruzione, minoranza cattolica minima)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w:t>
            </w:r>
            <w:r>
              <w:rPr>
                <w:rFonts w:ascii="Barlow Semi Condensed" w:cs="Barlow Semi Condensed" w:eastAsia="Barlow Semi Condensed" w:hAnsi="Barlow Semi Condensed"/>
                <w:b/>
                <w:bCs/>
                <w:sz w:val="20"/>
                <w:szCs w:val="20"/>
              </w:rPr>
              <w:t xml:space="preserve">firma dell'Accordo provvisorio CEE-Turchia</w:t>
            </w:r>
            <w:r>
              <w:rPr>
                <w:rFonts w:ascii="Barlow Semi Condensed" w:cs="Barlow Semi Condensed" w:eastAsia="Barlow Semi Condensed" w:hAnsi="Barlow Semi Condensed"/>
                <w:sz w:val="20"/>
                <w:szCs w:val="20"/>
              </w:rPr>
              <w:t xml:space="preserve"> (27/7/1971, certa), il Protocollo addizionale di Ankara del 1970, Cipro 1974 da Ankara, l'embargo USA, la questione egea, gli </w:t>
            </w:r>
            <w:r>
              <w:rPr>
                <w:rFonts w:ascii="Barlow Semi Condensed" w:cs="Barlow Semi Condensed" w:eastAsia="Barlow Semi Condensed" w:hAnsi="Barlow Semi Condensed"/>
                <w:b/>
                <w:bCs/>
                <w:sz w:val="20"/>
                <w:szCs w:val="20"/>
              </w:rPr>
              <w:t xml:space="preserve">oppiacei</w:t>
            </w:r>
            <w:r>
              <w:rPr>
                <w:rFonts w:ascii="Barlow Semi Condensed" w:cs="Barlow Semi Condensed" w:eastAsia="Barlow Semi Condensed" w:hAnsi="Barlow Semi Condensed"/>
                <w:sz w:val="20"/>
                <w:szCs w:val="20"/>
              </w:rPr>
              <w:t xml:space="preserve"> e la French Connection, la chiusura di </w:t>
            </w:r>
            <w:r>
              <w:rPr>
                <w:rFonts w:ascii="Barlow Semi Condensed" w:cs="Barlow Semi Condensed" w:eastAsia="Barlow Semi Condensed" w:hAnsi="Barlow Semi Condensed"/>
                <w:b/>
                <w:bCs/>
                <w:sz w:val="20"/>
                <w:szCs w:val="20"/>
              </w:rPr>
              <w:t xml:space="preserve">Halki</w:t>
            </w:r>
            <w:r>
              <w:rPr>
                <w:rFonts w:ascii="Barlow Semi Condensed" w:cs="Barlow Semi Condensed" w:eastAsia="Barlow Semi Condensed" w:hAnsi="Barlow Semi Condensed"/>
                <w:sz w:val="20"/>
                <w:szCs w:val="20"/>
              </w:rPr>
              <w:t xml:space="preserve"> (1971)</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Il versante ecclesiale e l'attentato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originali/santa-sede-turchia-attentato-giovanni-paolo-ii.md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Santa Sede-Turchia 1935-1985</w:t>
            </w:r>
            <w:r>
              <w:rPr>
                <w:rFonts w:ascii="Barlow Semi Condensed" w:cs="Barlow Semi Condensed" w:eastAsia="Barlow Semi Condensed" w:hAnsi="Barlow Semi Condensed"/>
                <w:sz w:val="20"/>
                <w:szCs w:val="20"/>
              </w:rPr>
              <w:t xml:space="preserve">, con al centro l'</w:t>
            </w:r>
            <w:r>
              <w:rPr>
                <w:rFonts w:ascii="Barlow Semi Condensed" w:cs="Barlow Semi Condensed" w:eastAsia="Barlow Semi Condensed" w:hAnsi="Barlow Semi Condensed"/>
                <w:b/>
                <w:bCs/>
                <w:sz w:val="20"/>
                <w:szCs w:val="20"/>
              </w:rPr>
              <w:t xml:space="preserve">attentato del 13 maggio 1981</w:t>
            </w:r>
            <w:r>
              <w:rPr>
                <w:rFonts w:ascii="Barlow Semi Condensed" w:cs="Barlow Semi Condensed" w:eastAsia="Barlow Semi Condensed" w:hAnsi="Barlow Semi Condensed"/>
                <w:sz w:val="20"/>
                <w:szCs w:val="20"/>
              </w:rPr>
              <w:t xml:space="preserve"> a Giovanni Paolo II: la traiettoria turca di Ağca (omicidio İpekçi 1979, evasione, lettera minatoria del 27/11/1979), la </w:t>
            </w:r>
            <w:r>
              <w:rPr>
                <w:rFonts w:ascii="Barlow Semi Condensed" w:cs="Barlow Semi Condensed" w:eastAsia="Barlow Semi Condensed" w:hAnsi="Barlow Semi Condensed"/>
                <w:b/>
                <w:bCs/>
                <w:sz w:val="20"/>
                <w:szCs w:val="20"/>
              </w:rPr>
              <w:t xml:space="preserve">«pista bulgara» giudizialmente non provata</w:t>
            </w:r>
            <w:r>
              <w:rPr>
                <w:rFonts w:ascii="Barlow Semi Condensed" w:cs="Barlow Semi Condensed" w:eastAsia="Barlow Semi Condensed" w:hAnsi="Barlow Semi Condensed"/>
                <w:sz w:val="20"/>
                <w:szCs w:val="20"/>
              </w:rPr>
              <w:t xml:space="preserve"> (assoluzione per insufficienza di prove del 29/3/1986; le valutazioni CIA nei FRUS 1981-1988 vol. X che </w:t>
            </w:r>
            <w:r>
              <w:rPr>
                <w:rFonts w:ascii="Barlow Semi Condensed" w:cs="Barlow Semi Condensed" w:eastAsia="Barlow Semi Condensed" w:hAnsi="Barlow Semi Condensed"/>
                <w:i/>
                <w:iCs/>
                <w:sz w:val="20"/>
                <w:szCs w:val="20"/>
              </w:rPr>
              <w:t xml:space="preserve">non</w:t>
            </w:r>
            <w:r>
              <w:rPr>
                <w:rFonts w:ascii="Barlow Semi Condensed" w:cs="Barlow Semi Condensed" w:eastAsia="Barlow Semi Condensed" w:hAnsi="Barlow Semi Condensed"/>
                <w:sz w:val="20"/>
                <w:szCs w:val="20"/>
              </w:rPr>
              <w:t xml:space="preserve"> affermano come provata la responsabilità bulgaro-sovietica), i Lupi Grigi con la regola «appartenenza ≠ condotta dell'organizzazione», il decennio turco di Roncalli, il dialogo cattolico-ortodosso, la CSCE con le tre firme convergenti. Le dichiarazioni di Ağca — vivente — trattate come fatti pubblici, non come fonti di merito</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I documenti americani (nota estratta dall'OCR)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documenti-state-dept-1965-1978.md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Trascrizione ordinata</w:t>
            </w:r>
            <w:r>
              <w:rPr>
                <w:rFonts w:ascii="Barlow Semi Condensed" w:cs="Barlow Semi Condensed" w:eastAsia="Barlow Semi Condensed" w:hAnsi="Barlow Semi Condensed"/>
                <w:sz w:val="20"/>
                <w:szCs w:val="20"/>
              </w:rPr>
              <w:t xml:space="preserve"> del lotto desecretato del Dipartimento di Stato USA, in due strati: la </w:t>
            </w:r>
            <w:r>
              <w:rPr>
                <w:rFonts w:ascii="Barlow Semi Condensed" w:cs="Barlow Semi Condensed" w:eastAsia="Barlow Semi Condensed" w:hAnsi="Barlow Semi Condensed"/>
                <w:b/>
                <w:bCs/>
                <w:sz w:val="20"/>
                <w:szCs w:val="20"/>
              </w:rPr>
              <w:t xml:space="preserve">visita ufficiale del 19-23 aprile 1965</w:t>
            </w:r>
            <w:r>
              <w:rPr>
                <w:rFonts w:ascii="Barlow Semi Condensed" w:cs="Barlow Semi Condensed" w:eastAsia="Barlow Semi Condensed" w:hAnsi="Barlow Semi Condensed"/>
                <w:sz w:val="20"/>
                <w:szCs w:val="20"/>
              </w:rPr>
              <w:t xml:space="preserve"> (Moro Presidente del Consiglio, con Fanfani agli Esteri — Casa Bianca/Johnson, Rusk, Arlington e la tomba di JFK, Mount Vernon, ONU/U Thant, cittadinanza onoraria di Philadelphia; il promemoria di sicurezza a J. Edgar Hoover) e i </w:t>
            </w:r>
            <w:r>
              <w:rPr>
                <w:rFonts w:ascii="Barlow Semi Condensed" w:cs="Barlow Semi Condensed" w:eastAsia="Barlow Semi Condensed" w:hAnsi="Barlow Semi Condensed"/>
                <w:b/>
                <w:bCs/>
                <w:sz w:val="20"/>
                <w:szCs w:val="20"/>
              </w:rPr>
              <w:t xml:space="preserve">cablogrammi dell'aprile-maggio 1978</w:t>
            </w:r>
            <w:r>
              <w:rPr>
                <w:rFonts w:ascii="Barlow Semi Condensed" w:cs="Barlow Semi Condensed" w:eastAsia="Barlow Semi Condensed" w:hAnsi="Barlow Semi Condensed"/>
                <w:sz w:val="20"/>
                <w:szCs w:val="20"/>
              </w:rPr>
              <w:t xml:space="preserve"> (Buenos Aires: i Montoneros smentiscono ogni legame col sequestro e con le BR; Trieste e Palermo: le reazioni regionali alla morte). Cornice, non accertamento istruttorio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originali/state-dept-djvu-ocr-grezzo.txt</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L'OCR grezzo di partenza, conservato per verifica e catena di custodia</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La seconda campagna di ricognizioni (25 agosto 2026)</w:t>
      </w:r>
    </w:p>
    <w:p>
      <w:pPr>
        <w:spacing w:after="120" w:line="276"/>
        <w:jc w:val="both"/>
      </w:pPr>
      <w:r>
        <w:rPr>
          <w:rFonts w:ascii="Barlow Semi Condensed" w:cs="Barlow Semi Condensed" w:eastAsia="Barlow Semi Condensed" w:hAnsi="Barlow Semi Condensed"/>
          <w:sz w:val="24"/>
          <w:szCs w:val="24"/>
        </w:rPr>
        <w:t xml:space="preserve">Tre ricognizioni nuove, archiviate integralmente e triangolate col corpus (la triangolazione è nel documento dedicato in coda alla tabella):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originali/documenti-italiani-spagnoli-opus-dei.md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 documenti di Stato italiani e spagnoli e l'Opus Dei come soggetto storico</w:t>
            </w:r>
            <w:r>
              <w:rPr>
                <w:rFonts w:ascii="Barlow Semi Condensed" w:cs="Barlow Semi Condensed" w:eastAsia="Barlow Semi Condensed" w:hAnsi="Barlow Semi Condensed"/>
                <w:sz w:val="20"/>
                <w:szCs w:val="20"/>
              </w:rPr>
              <w:t xml:space="preserve">, in dodici capitoli: la Libia dal golpe del 1969 alla confisca del 21 luglio 1970, Osimo in incubazione, il Medio Oriente fra equidistanza e filoarabismo, la CSCE da Dipoli a Helsinki, la NATO e Cipro 1974, il TNP, la Cina del 1970, il Vertice dell'Aja, gli atti parlamentari, il </w:t>
            </w:r>
            <w:r>
              <w:rPr>
                <w:rFonts w:ascii="Barlow Semi Condensed" w:cs="Barlow Semi Condensed" w:eastAsia="Barlow Semi Condensed" w:hAnsi="Barlow Semi Condensed"/>
                <w:b/>
                <w:bCs/>
                <w:sz w:val="20"/>
                <w:szCs w:val="20"/>
              </w:rPr>
              <w:t xml:space="preserve">documento CIA del 22 maggio 1970</w:t>
            </w:r>
            <w:r>
              <w:rPr>
                <w:rFonts w:ascii="Barlow Semi Condensed" w:cs="Barlow Semi Condensed" w:eastAsia="Barlow Semi Condensed" w:hAnsi="Barlow Semi Condensed"/>
                <w:sz w:val="20"/>
                <w:szCs w:val="20"/>
              </w:rPr>
              <w:t xml:space="preserve"> sul gabinetto spagnolo (con la frase deliberatamente anonima sull'«Italian official» che NON va attribuita a Moro), lo </w:t>
            </w:r>
            <w:r>
              <w:rPr>
                <w:rFonts w:ascii="Barlow Semi Condensed" w:cs="Barlow Semi Condensed" w:eastAsia="Barlow Semi Condensed" w:hAnsi="Barlow Semi Condensed"/>
                <w:b/>
                <w:bCs/>
                <w:sz w:val="20"/>
                <w:szCs w:val="20"/>
              </w:rPr>
              <w:t xml:space="preserve">Stato Zero sul contatto diretto Moro-ministri spagnoli</w:t>
            </w:r>
            <w:r>
              <w:rPr>
                <w:rFonts w:ascii="Barlow Semi Condensed" w:cs="Barlow Semi Condensed" w:eastAsia="Barlow Semi Condensed" w:hAnsi="Barlow Semi Condensed"/>
                <w:sz w:val="20"/>
                <w:szCs w:val="20"/>
              </w:rPr>
              <w:t xml:space="preserve">, il versante vaticano (udienza López Bravo-Paolo VI del 12/1/1973; caso Añoveros)</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originali/santa-sede-due-germanie-oder-neisse.md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Santa Sede e le due Germanie, con l'accertamento della sequenza Oder-Neisse</w:t>
            </w:r>
            <w:r>
              <w:rPr>
                <w:rFonts w:ascii="Barlow Semi Condensed" w:cs="Barlow Semi Condensed" w:eastAsia="Barlow Semi Condensed" w:hAnsi="Barlow Semi Condensed"/>
                <w:sz w:val="20"/>
                <w:szCs w:val="20"/>
              </w:rPr>
              <w:t xml:space="preserve">: Trattato di Varsavia firmato il 7/12/1970, ratificato il 17/5/1972, in vigore il 3/6/1972; </w:t>
            </w:r>
            <w:r>
              <w:rPr>
                <w:rFonts w:ascii="Barlow Semi Condensed" w:cs="Barlow Semi Condensed" w:eastAsia="Barlow Semi Condensed" w:hAnsi="Barlow Semi Condensed"/>
                <w:b/>
                <w:bCs/>
                <w:sz w:val="20"/>
                <w:szCs w:val="20"/>
              </w:rPr>
              <w:t xml:space="preserve">costituzioni apostoliche del 28/6/1972</w:t>
            </w:r>
            <w:r>
              <w:rPr>
                <w:rFonts w:ascii="Barlow Semi Condensed" w:cs="Barlow Semi Condensed" w:eastAsia="Barlow Semi Condensed" w:hAnsi="Barlow Semi Condensed"/>
                <w:sz w:val="20"/>
                <w:szCs w:val="20"/>
              </w:rPr>
              <w:t xml:space="preserve"> (venticinque giorni dopo) — col nesso attestato dalla comunicazione vaticana e dalla storiografia (Hummel), mentre il testo canonico resta deliberatamente pastorale. Lo scambio epistolare degli episcopati del 1965 («perdoniamo e chiediamo perdono»), la soluzione più cauta per la DDR (amministratori apostolici, 1973), il riconoscimento italiano della RDT (17/1/1973, ministro Medici, fra i due mandati di Moro), il Reichskonkordat, la correzione della data Stoll (6/9/1978)</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originali/portogallo-santa-sede-1969-1974.md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Portogallo e la Santa Sede</w:t>
            </w:r>
            <w:r>
              <w:rPr>
                <w:rFonts w:ascii="Barlow Semi Condensed" w:cs="Barlow Semi Condensed" w:eastAsia="Barlow Semi Condensed" w:hAnsi="Barlow Semi Condensed"/>
                <w:sz w:val="20"/>
                <w:szCs w:val="20"/>
              </w:rPr>
              <w:t xml:space="preserve">: la Conferenza romana del giugno 1970 e l'udienza di Paolo VI ai leader dei movimenti di liberazione (1/7/1970); Wiriyamu (16/12/1972, forbice 150-400 vittime dichiarata); i 48 Padri Bianchi (maggio 1971); l'</w:t>
            </w:r>
            <w:r>
              <w:rPr>
                <w:rFonts w:ascii="Barlow Semi Condensed" w:cs="Barlow Semi Condensed" w:eastAsia="Barlow Semi Condensed" w:hAnsi="Barlow Semi Condensed"/>
                <w:b/>
                <w:bCs/>
                <w:sz w:val="20"/>
                <w:szCs w:val="20"/>
              </w:rPr>
              <w:t xml:space="preserve">espulsione del vescovo Vieira Pinto e dei comboniani (13/4/1974)</w:t>
            </w:r>
            <w:r>
              <w:rPr>
                <w:rFonts w:ascii="Barlow Semi Condensed" w:cs="Barlow Semi Condensed" w:eastAsia="Barlow Semi Condensed" w:hAnsi="Barlow Semi Condensed"/>
                <w:sz w:val="20"/>
                <w:szCs w:val="20"/>
              </w:rPr>
              <w:t xml:space="preserve"> undici giorni prima della Rivoluzione dei garofani; l'esito negativo di pieno valore: </w:t>
            </w:r>
            <w:r>
              <w:rPr>
                <w:rFonts w:ascii="Barlow Semi Condensed" w:cs="Barlow Semi Condensed" w:eastAsia="Barlow Semi Condensed" w:hAnsi="Barlow Semi Condensed"/>
                <w:b/>
                <w:bCs/>
                <w:sz w:val="20"/>
                <w:szCs w:val="20"/>
              </w:rPr>
              <w:t xml:space="preserve">nessun atto italiano reperito sull'espulsione</w:t>
            </w:r>
            <w:r>
              <w:rPr>
                <w:rFonts w:ascii="Barlow Semi Condensed" w:cs="Barlow Semi Condensed" w:eastAsia="Barlow Semi Condensed" w:hAnsi="Barlow Semi Condensed"/>
                <w:sz w:val="20"/>
                <w:szCs w:val="20"/>
              </w:rPr>
              <w:t xml:space="preserve">, col motore anticoloniale nella società civile (Reggio Emilia) e non nel governo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triangolazione-seconda-campagna.md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triangolazione integrale della seconda campagna</w:t>
            </w:r>
            <w:r>
              <w:rPr>
                <w:rFonts w:ascii="Barlow Semi Condensed" w:cs="Barlow Semi Condensed" w:eastAsia="Barlow Semi Condensed" w:hAnsi="Barlow Semi Condensed"/>
                <w:sz w:val="20"/>
                <w:szCs w:val="20"/>
              </w:rPr>
              <w:t xml:space="preserve">: le nuove ricognizioni incrociate fra loro, col corpus della cartella, coi cantieri e con l'agenda; le verifiche web dei fatti portanti; le correzioni per nota; l'incrocio metodologico con l'opera privata (solo metodo, mai nomi)</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Come questa cartella si raccorda al corpus Moro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 `Fase ottava (il ritratto)`:</w:t>
      </w:r>
      <w:r>
        <w:rPr>
          <w:rFonts w:ascii="Barlow Semi Condensed" w:cs="Barlow Semi Condensed" w:eastAsia="Barlow Semi Condensed" w:hAnsi="Barlow Semi Condensed"/>
          <w:sz w:val="24"/>
          <w:szCs w:val="24"/>
        </w:rPr>
        <w:t xml:space="preserve"> ne è il completamento documentale. Dove la Fase ottava descrive </w:t>
      </w:r>
      <w:r>
        <w:rPr>
          <w:rFonts w:ascii="Barlow Semi Condensed" w:cs="Barlow Semi Condensed" w:eastAsia="Barlow Semi Condensed" w:hAnsi="Barlow Semi Condensed"/>
          <w:i/>
          <w:iCs/>
          <w:sz w:val="24"/>
          <w:szCs w:val="24"/>
        </w:rPr>
        <w:t xml:space="preserve">la strategia dell'attenzione</w:t>
      </w:r>
      <w:r>
        <w:rPr>
          <w:rFonts w:ascii="Barlow Semi Condensed" w:cs="Barlow Semi Condensed" w:eastAsia="Barlow Semi Condensed" w:hAnsi="Barlow Semi Condensed"/>
          <w:sz w:val="24"/>
          <w:szCs w:val="24"/>
        </w:rPr>
        <w:t xml:space="preserve"> come idea, questa cartella ne mostra l'omologo internazionale — la dottrina dell'equilibrio, la proiezione mediterranea — come </w:t>
      </w:r>
      <w:r>
        <w:rPr>
          <w:rFonts w:ascii="Barlow Semi Condensed" w:cs="Barlow Semi Condensed" w:eastAsia="Barlow Semi Condensed" w:hAnsi="Barlow Semi Condensed"/>
          <w:b/>
          <w:bCs/>
          <w:sz w:val="24"/>
          <w:szCs w:val="24"/>
        </w:rPr>
        <w:t xml:space="preserve">atti</w:t>
      </w:r>
      <w:r>
        <w:rPr>
          <w:rFonts w:ascii="Barlow Semi Condensed" w:cs="Barlow Semi Condensed" w:eastAsia="Barlow Semi Condensed" w:hAnsi="Barlow Semi Condensed"/>
          <w:sz w:val="24"/>
          <w:szCs w:val="24"/>
        </w:rPr>
        <w:t xml:space="preserve">: firme, accordi, canali, mediazioni.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 `Fase nona (il repertorio)`:</w:t>
      </w:r>
      <w:r>
        <w:rPr>
          <w:rFonts w:ascii="Barlow Semi Condensed" w:cs="Barlow Semi Condensed" w:eastAsia="Barlow Semi Condensed" w:hAnsi="Barlow Semi Condensed"/>
          <w:sz w:val="24"/>
          <w:szCs w:val="24"/>
        </w:rPr>
        <w:t xml:space="preserve"> i cablogrammi del 1978 e le reazioni alla morte appartengono al contesto documentato del caso, senza aggiungervi imputazioni; il repertorio ne è la sede di catalogazione gradata.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Con l'`apparato dei gradi`:</w:t>
      </w:r>
      <w:r>
        <w:rPr>
          <w:rFonts w:ascii="Barlow Semi Condensed" w:cs="Barlow Semi Condensed" w:eastAsia="Barlow Semi Condensed" w:hAnsi="Barlow Semi Condensed"/>
          <w:sz w:val="24"/>
          <w:szCs w:val="24"/>
        </w:rPr>
        <w:t xml:space="preserve"> vale la stessa scala. Le firme comunitarie e l'Atto finale di Helsinki sono </w:t>
      </w:r>
      <w:r>
        <w:rPr>
          <w:rFonts w:ascii="Barlow Semi Condensed" w:cs="Barlow Semi Condensed" w:eastAsia="Barlow Semi Condensed" w:hAnsi="Barlow Semi Condensed"/>
          <w:b/>
          <w:bCs/>
          <w:sz w:val="24"/>
          <w:szCs w:val="24"/>
        </w:rPr>
        <w:t xml:space="preserve">fatti pubblici documentati</w:t>
      </w:r>
      <w:r>
        <w:rPr>
          <w:rFonts w:ascii="Barlow Semi Condensed" w:cs="Barlow Semi Condensed" w:eastAsia="Barlow Semi Condensed" w:hAnsi="Barlow Semi Condensed"/>
          <w:sz w:val="24"/>
          <w:szCs w:val="24"/>
        </w:rPr>
        <w:t xml:space="preserve"> (F/A); gli esiti negativi di ricerca sul versante confessionale sono dichiarati come tali, con la sede d'archivio per chiuderli; la «pista bulgara» è </w:t>
      </w:r>
      <w:r>
        <w:rPr>
          <w:rFonts w:ascii="Barlow Semi Condensed" w:cs="Barlow Semi Condensed" w:eastAsia="Barlow Semi Condensed" w:hAnsi="Barlow Semi Condensed"/>
          <w:b/>
          <w:bCs/>
          <w:sz w:val="24"/>
          <w:szCs w:val="24"/>
        </w:rPr>
        <w:t xml:space="preserve">congettura giudizialmente non provata</w:t>
      </w:r>
      <w:r>
        <w:rPr>
          <w:rFonts w:ascii="Barlow Semi Condensed" w:cs="Barlow Semi Condensed" w:eastAsia="Barlow Semi Condensed" w:hAnsi="Barlow Semi Condensed"/>
          <w:sz w:val="24"/>
          <w:szCs w:val="24"/>
        </w:rPr>
        <w:t xml:space="preserve"> (C), e come tale va qualificata in ogni resa pubblica.</w:t>
      </w:r>
    </w:p>
    <w:p>
      <w:pPr>
        <w:spacing w:after="120" w:line="276"/>
        <w:jc w:val="both"/>
      </w:pPr>
      <w:r>
        <w:rPr>
          <w:rFonts w:ascii="Barlow Semi Condensed" w:cs="Barlow Semi Condensed" w:eastAsia="Barlow Semi Condensed" w:hAnsi="Barlow Semi Condensed"/>
          <w:sz w:val="24"/>
          <w:szCs w:val="24"/>
        </w:rPr>
        <w:t xml:space="preserve">Regola di ferro, ribadita: nessuna imputazione oltre il giudicato; nessuna graduatoria; l'appartenenza non è prova di condotta; la contemporaneità non è prova di nesso; gli esiti negativi sono acquisizioni di pieno valore.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Moro alla Farnesina (collazione)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 1.580 parole in 3 sezioni; la più ampia è §2 I documenti, con 946.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 22 paragrafi in 3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II. La ricognizione-madre: Moro ministro degli Esteri 1969-1974</w:t>
      </w:r>
    </w:p>
    <w:p>
      <w:pPr>
        <w:pStyle w:val="Heading1"/>
        <w:spacing w:after="120" w:before="240"/>
      </w:pPr>
      <w:r>
        <w:rPr>
          <w:rFonts w:ascii="Barlow Semi Condensed" w:cs="Barlow Semi Condensed" w:eastAsia="Barlow Semi Condensed" w:hAnsi="Barlow Semi Condensed"/>
          <w:sz w:val="24"/>
          <w:szCs w:val="24"/>
        </w:rPr>
        <w:t xml:space="preserve">Aldo Moro ministro degli Affari Esteri (agosto 1969 – novembre 1974): ricognizione storiografica e archivistica con tre versanti e triangolazioni</w:t>
      </w:r>
    </w:p>
    <w:p>
      <w:pPr>
        <w:pStyle w:val="Heading2"/>
        <w:spacing w:after="100" w:before="200"/>
      </w:pPr>
      <w:r>
        <w:rPr>
          <w:rFonts w:ascii="Barlow Semi Condensed" w:cs="Barlow Semi Condensed" w:eastAsia="Barlow Semi Condensed" w:hAnsi="Barlow Semi Condensed"/>
          <w:sz w:val="24"/>
          <w:szCs w:val="24"/>
        </w:rPr>
        <w:t xml:space="preserve">Capitolo I — Cronologia degli incarichi e la controversia sulle date</w:t>
      </w:r>
    </w:p>
    <w:p>
      <w:pPr>
        <w:spacing w:after="120" w:line="276"/>
        <w:jc w:val="both"/>
      </w:pPr>
      <w:r>
        <w:rPr>
          <w:rFonts w:ascii="Barlow Semi Condensed" w:cs="Barlow Semi Condensed" w:eastAsia="Barlow Semi Condensed" w:hAnsi="Barlow Semi Condensed"/>
          <w:sz w:val="24"/>
          <w:szCs w:val="24"/>
        </w:rPr>
        <w:t xml:space="preserve">La prima passata aveva registrato una discrepanza fra le fonti sulla data d'inizio del mandato (maggio o agosto 1969). La ricognizione consente ora di dirimerla. Il Portale storico della Camera dei deputati (fonte primaria istituzionale, scheda "Composizione dei governi") data il giuramento del II Governo Rumor al 5 agosto 1969: è questo il momento in cui Moro assume la Farnesina, mentre nel I Governo Rumor, in carica fino al 5 agosto 1969, il titolare degli Esteri era Pietro Nenni. La data "maggio 1969" che compare in Wikipedia in lingua inglese ("from May 1969") è dunque impropria e va corretta. La successione ministeriale documentata dal medesimo portale è la seguente: II Governo Rumor (5 agosto 1969 – 27 marzo 1970), Camera dei Deputati (https://storia.camera.it/governi/ii-governo-rumor) III Governo Rumor (27 marzo – 6 agosto 1970), Camera dei Deputati (https://storia.camera.it/governi/iii-governo-rumor/storia/dal:19700327,al:19700401) Governo Colombo (6 agosto 1970 – 17 febbraio 1972), I Governo Andreotti (17 febbraio – 26 giugno 1972); segue una interruzione, poiché nel II Governo Andreotti (giugno 1972 – luglio 1973) Moro non è ministro; infine IV e V Governo Rumor (7 luglio 1973 – 23 novembre 1974). La scheda ufficiale del Ministero degli Affari Esteri (esteri.it, "Ministri degli esteri – Aldo Moro") conferma la sequenza in forma sintetica: "Dal 1969 al 1974 è Ministro degli affari esteri nel II e III Governo Rumor, Colombo, I Andreotti, IV e V Rumor". Esteri (https://www.esteri.it/it/ministero/storia/ministri_esteri/aldo_moro/) La Treccani (Dizionario Biografico, voce di Massimo Mastrogregori) usa la formula "ininterrottamente ministro degli Esteri dall'agosto 1969 […] fino al novembre 1974 […] chiamandosi fuori solo dal secondo governo Andreotti": Treccani (https://www.treccani.it/enciclopedia/aldo-moro_(Dizionario-Biografico)/) va rilevato che l'aggettivo "ininterrottamente" è impreciso, poiché la stessa fonte riconosce l'esclusione dal biennio 1972-1973. Durante tale intervallo Moro presiedette la III Commissione Affari esteri della Camera: la scheda biografico-parlamentare ufficiale (storia.camera.it, "Componenti organi") attesta che ne fu membro dal 25 maggio 1972 al 4 luglio 1976 e presidente dall'11 luglio 1972 al 7 luglio 1973, Camera dei Deputati (https://storia.camera.it/deputato/aldo-moro-19160923/componentiorgani) incarico cessato per il rientro al governo. Il documento attesta le date; se ne inferisce, ma le fonti non lo affermano esplicitamente, che la presidenza fu una collocazione di attesa fra due mandati ministeriali. Va infine ricordato che già nel II Gabinetto Moro (1964-1966) egli aveva assunto per breve tempo l'interim degli Esteri dopo le dimissioni di Saragat (scheda esteri.it), dato che precede il periodo qui in esame ma ne illumina la continuità di competenza.</w:t>
      </w:r>
    </w:p>
    <w:p>
      <w:pPr>
        <w:pStyle w:val="Heading2"/>
        <w:spacing w:after="100" w:before="200"/>
      </w:pPr>
      <w:r>
        <w:rPr>
          <w:rFonts w:ascii="Barlow Semi Condensed" w:cs="Barlow Semi Condensed" w:eastAsia="Barlow Semi Condensed" w:hAnsi="Barlow Semi Condensed"/>
          <w:sz w:val="24"/>
          <w:szCs w:val="24"/>
        </w:rPr>
        <w:t xml:space="preserve">Capitolo II — L'Archivio Storico Diplomatico e l'accessibilità dei fondi 1969-1974</w:t>
      </w:r>
    </w:p>
    <w:p>
      <w:pPr>
        <w:spacing w:after="120" w:line="276"/>
        <w:jc w:val="both"/>
      </w:pPr>
      <w:r>
        <w:rPr>
          <w:rFonts w:ascii="Barlow Semi Condensed" w:cs="Barlow Semi Condensed" w:eastAsia="Barlow Semi Condensed" w:hAnsi="Barlow Semi Condensed"/>
          <w:sz w:val="24"/>
          <w:szCs w:val="24"/>
        </w:rPr>
        <w:t xml:space="preserve">Guido Levi, in "Spagna contemporanea" n. 49/2016 (studio scientifico peer-reviewed), dichiarava non consultabili, per gli anni presi in esame, i fondi conservati presso il Ministero degli Affari Esteri, ripiegando perciò sugli Archivi storici dell'Unione Europea di Firenze e sull'Archivio dell'Istituto Sturzo (fondi Martino, Natali, Spinelli, Andreotti). La ricognizione attuale sul sito dell'Archivio Storico Diplomatico (fonte istituzionale) accerta che l'accessibilità è regolata dal criterio dei cinquant'anni: sono consultabili, dietro autorizzazione del capo dell'Unità, i documenti che risalgono a oltre cinquant'anni, con facoltà eccezionale del Ministro di ridurre il termine a trent'anni; le situazioni private attendono settant'anni. Ne discende, per inferenza dalla norma e non da dichiarazione esplicita dell'Archivio, che al 2026 la barriera dei cinquant'anni copre ormai l'intero arco 1969-1974, teoricamente reso consultabile. Persiste tuttavia una condizione operativa: per la documentazione dal 1949 in poi l'utente deve preventivamente contattare l'Archivio per verificare la disponibilità dei faldoni, segno che l'ordinamento e l'inventariazione non sono conclusi per tutte le serie. Il sito segnala il completamento dell'inventariazione di alcuni fondi (Archivio Scuole e altri) senza menzionare specificamente le serie di maggiore interesse per questa ricerca — "Ambasciata d'Italia a Madrid", "Direzione Generale Affari Politici", carteggi del gabinetto del ministro. Esito negativo da registrare: non è stato reperito online un inventario analitico e nominativo che attesti l'apertura effettiva del carteggio di gabinetto di Moro ministro né della serie dell'ambasciata di Madrid per il 1969-1974. La sede presso cui la verifica va condotta è la Sala Studio dell'Archivio Storico Diplomatico alla Farnesina, previa registrazione al portale asd.esteri.it e contatto con archiviostorico@esteri.it; responsabile indicata è la dott.ssa Paola Busonero. Esteri (https://www.esteri.it/it/temi/uap/archivio-storico-e-biblioteca/archivio-storico-diplomatico/servizi-allutenza/) Si segnala inoltre che l'Archivio pubblica la raccolta ufficiale dei Documenti Diplomatici Italiani (DDI): esito negativo, non è stato possibile in questa ricognizione stabilire se le annate 1969-1974 siano già uscite nella serie a stampa, dato da verificare presso l'Archivio e presso i cataloghi dell'Istituto Poligrafico. La natura del rilievo è duplice: la fonte normativa attesta la consultabilità di principio; la fonte procedurale attesta l'incertezza di fatto.</w:t>
      </w:r>
    </w:p>
    <w:p>
      <w:pPr>
        <w:pStyle w:val="Heading2"/>
        <w:spacing w:after="100" w:before="200"/>
      </w:pPr>
      <w:r>
        <w:rPr>
          <w:rFonts w:ascii="Barlow Semi Condensed" w:cs="Barlow Semi Condensed" w:eastAsia="Barlow Semi Condensed" w:hAnsi="Barlow Semi Condensed"/>
          <w:sz w:val="24"/>
          <w:szCs w:val="24"/>
        </w:rPr>
        <w:t xml:space="preserve">Capitolo III — Gli archivi spagnoli e il versante Italia-Spagna</w:t>
      </w:r>
    </w:p>
    <w:p>
      <w:pPr>
        <w:spacing w:after="120" w:line="276"/>
        <w:jc w:val="both"/>
      </w:pPr>
      <w:r>
        <w:rPr>
          <w:rFonts w:ascii="Barlow Semi Condensed" w:cs="Barlow Semi Condensed" w:eastAsia="Barlow Semi Condensed" w:hAnsi="Barlow Semi Condensed"/>
          <w:sz w:val="24"/>
          <w:szCs w:val="24"/>
        </w:rPr>
        <w:t xml:space="preserve">Per il secondo versante la ricognizione ha interrogato l'assetto degli archivi statali spagnoli. L'Archivo General de la Administración (AGA) di Alcalá de Henares, creato con Decreto 914/1969 e operativo dal 1972 Ministerio de Cultura (https://www.cultura.gob.es/cultura/areas/archivos/mc/archivos/aga/fondos-documentales/introduccion.html) (fonte istituzionale, Ministerio de Cultura), è l'archivio intermedio che raccoglie la documentazione dell'amministrazione centrale, compresa quella del Ministerio de Asuntos Exteriores e delle rappresentanze all'estero. Ministerio de Cultura (https://www.cultura.gob.es/cultura/areas/archivos/mc/archivos/aga/fondos-documentales/introduccion.html) Il portale PARES (Portal de Archivos Españoles) e il Censo-Guía attestano che l'Archivo General del Ministerio de Asuntos Exteriores trasferisce annualmente all'AGA le frazioni di serie con più di quindici anni di anzianità, in forza del Decreto 8 maggio 1969; PARES (https://pares.mcu.es/ParesBusquedas20/catalogo/description/167744) la documentazione del Ministero fino al 1985, "a grosso modo", risulta già trasferita all'AGA. MPR (https://www.mpr.gob.es/memoriademocratica/archivos-estatales/Paginas/Guias/Gu%C3%ADa%20de%20fuentes%20documentales/Ministerios/Asuntos%20Exteriores/archivo-general-del-ministerio-de-asuntos-exterior.aspx) Ne discende, per inferenza dalla norma di trasferimento e non da un inventario nominativo consultato, che la corrispondenza fra il Ministerio de Asuntos Exteriores e l'Embajada de España en Roma per il 1969-1975 dovrebbe trovarsi materialmente all'AGA, nel fondo del Servizio Esterno. Le condizioni di accesso indicate da PARES rinviano genericamente alla "normativa che regola l'accesso ai fondi pubblici di titolarità statale". Cultura (https://censoarchivos.cultura.gob.es/CensoGuia/fondoDetail.htm?id=1096317) Esiti negativi da registrare con pieno valore: non è stato reperito online un inventario analitico che isoli il carteggio dell'ambasciata spagnola a Roma per gli anni in questione; non è stata reperita documentazione già edita su incontri o corrispondenza diretta fra Gregorio López Bravo, Laureano López Rodó, Pedro Cortina Mauri e Aldo Moro; non è stata reperita documentazione spagnola edita sulla posizione di Madrid riguardo alla politica italiana né sulla reazione spagnola al sequestro Moro del 1978. La sede presso cui condurre la ricerca è duplice: l'AGA di Alcalá de Henares per il fondo del Ministero e delle rappresentanze (segnatamente Embajada en Roma) e, per la documentazione posteriore al 1985 o non ancora trasferita, l'Archivo General del Ministerio de Asuntos Exteriores, Unión Europea y Cooperación a Madrid. Ministerio de Asuntos Exteriores de España (https://www.exteriores.gob.es/es/ServiciosAlCiudadano/Paginas/Archivo-General-y-Biblioteca-Central.aspx) Un dato accertato è che Cortina Mauri, ministro degli Esteri spagnolo, fu protagonista, nel febbraio-marzo 1974, del caso Añoveros con il nunzio Dadaglio, Wikipedia (https://es.wikipedia.org/wiki/Caso_A%C3%B1overos) elemento che colloca l'interlocutore spagnolo di Moro anche sul versante ecclesiastico (v. Capitolo X). Si segnala infine, quale reperto collaterale, che una fonte peer-reviewed (Redalyc/Amelica, "Il caso Moro e il Cile dei militari") documenta l'attenzione internazionale del 1978 alle misure antiterrorismo, ma non tratta la reazione spagnola in senso proprio.</w:t>
      </w:r>
    </w:p>
    <w:p>
      <w:pPr>
        <w:pStyle w:val="Heading2"/>
        <w:spacing w:after="100" w:before="200"/>
      </w:pPr>
      <w:r>
        <w:rPr>
          <w:rFonts w:ascii="Barlow Semi Condensed" w:cs="Barlow Semi Condensed" w:eastAsia="Barlow Semi Condensed" w:hAnsi="Barlow Semi Condensed"/>
          <w:sz w:val="24"/>
          <w:szCs w:val="24"/>
        </w:rPr>
        <w:t xml:space="preserve">Capitolo IV — Il versante statunitense: FRUS, National Archives, Comitato dei 303</w:t>
      </w:r>
    </w:p>
    <w:p>
      <w:pPr>
        <w:spacing w:after="120" w:line="276"/>
        <w:jc w:val="both"/>
      </w:pPr>
      <w:r>
        <w:rPr>
          <w:rFonts w:ascii="Barlow Semi Condensed" w:cs="Barlow Semi Condensed" w:eastAsia="Barlow Semi Condensed" w:hAnsi="Barlow Semi Condensed"/>
          <w:sz w:val="24"/>
          <w:szCs w:val="24"/>
        </w:rPr>
        <w:t xml:space="preserve">Il terzo versante è quello meglio servito da fonti primarie edite. La serie Foreign Relations of the United States (FRUS) e i National Archives statunitensi conservano verbali dei colloqui italo-americani con Moro ministro. È accertato e integralmente disponibile il memorandum of conversation del 25 settembre 1974 nell'Oval Office fra il presidente Giovanni Leone, il ministro Aldo Moro, il presidente Gerald Ford e il segretario di Stato Henry Kissinger, con Brent Scowcroft (fonte primaria: Gerald R. Ford Presidential Library, National Security Adviser's Memoranda of Conversation, doc. 1552802; Internet Archive (https://archive.org/stream/KissingerAldoMoro1552802/Kissinger%20Aldo%20Moro%201552802_djvu.txt) edito anche in FRUS 1969-1976, vol. E-15, part 2, doc. 350). Il verbale del successivo incontro del 26 settembre 1974 è parimenti disponibile (Ford Library, doc. 1552806). Rilievo di merito, attestato dal documento: alla vigilia, il 25 settembre, Kissinger disse a Ford che gli italiani dovevano sentirsi dire "tough" che qualunque presenza comunista al governo avrebbe mutato le relazioni, aggiungendo una valutazione sul rischio di contagio in Francia, Germania e Grecia. U.S. Department of State (https://history.state.gov/historicaldocuments/frus1969-76ve15p2Ed2/d350) Il documento attesta la posizione di Kissinger sul PCI; non attesta una posizione di Moro sul medesimo punto in quella sede, che non va inferita. Sul Comitato dei 303 e sull'azione coperta in Italia, il volume XLI (Western Europe; NATO, 1969-1972) reca al documento 180 il verbale della riunione dell'11 marzo 1969 presieduta da Kissinger, con Johnson, Packard e Helms presenti: Karamessines vi illustrò origini e livelli del programma di sostegno coperto ai partiti italiani 1948-1968, e i presenti convennero all'unanimità che non vi fosse "real justification for resumption of covert funding". state (https://history.state.gov/historicaldocuments/frus1969-76v41/d180) La riunione è dunque del marzo 1969, quando Moro non era ancora ministro degli Esteri (lo divenne il 5 agosto 1969): la contemporaneità è solo apparente e non va trattata come nesso. Documenti coevi (FRUS vol. XLI, doc. 188) registrano l'istruzione di Nixon del dicembre 1969 di avviare uno "study on Italy". U.S. Department of State (https://history.state.gov/historicaldocuments/frus1969-76v41/d188) Un saggio peer-reviewed (Diplomacy &amp; Statecraft, 2024) segnala che il programma di azione coperta in Italia riemerse nel novembre 1975 e nel luglio 1976, Taylor &amp; Francis Online (https://www.tandfonline.com/doi/full/10.1080/09592296.2024.2303859) quando Moro era però presidente del Consiglio. Esiti negativi da registrare: in questa ricognizione non sono stati reperiti verbali editi di colloqui diretti Moro-Nixon o Moro-Rogers negli anni 1969-1972 comparabili per completezza a quello del 1974; la sede presso cui cercarli è la serie FRUS 1969-1976 (volumi sull'Europa occidentale e sul Mediterraneo) e i Nixon Presidential Materials, NSC Files, Country Files: Italy, presso i National Archives di College Park.</w:t>
      </w:r>
    </w:p>
    <w:p>
      <w:pPr>
        <w:pStyle w:val="Heading2"/>
        <w:spacing w:after="100" w:before="200"/>
      </w:pPr>
      <w:r>
        <w:rPr>
          <w:rFonts w:ascii="Barlow Semi Condensed" w:cs="Barlow Semi Condensed" w:eastAsia="Barlow Semi Condensed" w:hAnsi="Barlow Semi Condensed"/>
          <w:sz w:val="24"/>
          <w:szCs w:val="24"/>
        </w:rPr>
        <w:t xml:space="preserve">Capitolo V — La documentazione parlamentare italiana</w:t>
      </w:r>
    </w:p>
    <w:p>
      <w:pPr>
        <w:spacing w:after="120" w:line="276"/>
        <w:jc w:val="both"/>
      </w:pPr>
      <w:r>
        <w:rPr>
          <w:rFonts w:ascii="Barlow Semi Condensed" w:cs="Barlow Semi Condensed" w:eastAsia="Barlow Semi Condensed" w:hAnsi="Barlow Semi Condensed"/>
          <w:sz w:val="24"/>
          <w:szCs w:val="24"/>
        </w:rPr>
        <w:t xml:space="preserve">Il settimo obiettivo riguarda gli atti parlamentari. La ricognizione, condotta sui portali storici di Camera e Senato (fonti primarie istituzionali), conferma anzitutto la cornice biografico-parlamentare: Moro fu eletto alla Camera nella circoscrizione di Bari e presiedette la III Commissione Affari esteri della Camera dall'11 luglio 1972 al 7 luglio 1973 (storia.camera.it, scheda "Componenti organi", v. Capitolo I). Quanto ai discorsi e alle repliche sui bilanci annuali del Ministero degli Affari Esteri per gli esercizi 1970, 1971, 1972 e 1974, l'esito è parziale e va dichiarato come tale. È accertata l'esistenza documentaria degli esami degli stati di previsione: il Senato conserva, nella lista dei resoconti stenografici delle Commissioni della V legislatura, l'esame in sede consultiva dello stato di previsione della spesa per gli esercizi 1971 e 1972 (senato.it, resoconti stenografici di Commissione). È accertata altresì l'esistenza, nel Fondo Aldo Moro conservato dall'Archivio storico del Senato (patrimonio.archivio.senato.it, con documentazione proveniente dall'Archivio Centrale dello Stato), delle stesure dei suoi discorsi: fra le unità archivistiche figurano un "Intervento alla Commissione affari esteri del Senato sulla situazione in Libia" Senato della Repubblica (https://patrimonio.archivio.senato.it/inventario/scheda/aldo-moro/IT-AFS-048-000517/intervento-alla-commissione-affari-esteri-del-senato-sulla-situazione-libia) e un "Intervento alla Commissione esteri della Camera dei deputati" (quest'ultimo in tre stesure, di cui una manoscritta, con materiale preparatorio). Senato della Repubblica (https://patrimonio.archivio.senato.it/inventario/scheda/aldo-moro/IT-AFS-048-000644/intervento-alla-commissione-%20esteri-della-camera-deputati) Il documento attesta l'esistenza dei testi; le schede non recano però l'anno di esercizio del bilancio, sicché l'aggancio puntuale seduta-data resta da compiere. Esito negativo esplicito: non è stato possibile isolare, con numero di seduta e data, le repliche di Moro nelle discussioni dei bilanci Esteri 1970-1974, per limiti di accesso (robots.txt) alle schede "dibattiti" dei portali. La sede presso cui completare l'accertamento è triplice: la banca dati "dibattiti" della scheda deputato Moro su storia.camera.it per le legislature V e VI; la banca dati dei resoconti stenografici d'Assemblea del Senato per le medesime legislature; e soprattutto la raccolta ufficiale Aldo Moro, Discorsi parlamentari (Camera dei deputati, Roma 1996, 2 voll.), che indicizza le repliche con la data. Come nota di metodo va rilevato che nel periodo gli stati di previsione erano spesso esaminati in sede di Commissione, mentre la discussione generale di politica estera si teneva in Assemblea: ciò spiega la dispersione documentaria e raccomanda di distinguere gli interventi d'Aula da quelli di Commissione. Il rendimento atteso di questa acquisizione è alto, poiché i discorsi di bilancio contengono l'autorappresentazione dottrinale della politica estera moroana.</w:t>
      </w:r>
    </w:p>
    <w:p>
      <w:pPr>
        <w:pStyle w:val="Heading2"/>
        <w:spacing w:after="100" w:before="200"/>
      </w:pPr>
      <w:r>
        <w:rPr>
          <w:rFonts w:ascii="Barlow Semi Condensed" w:cs="Barlow Semi Condensed" w:eastAsia="Barlow Semi Condensed" w:hAnsi="Barlow Semi Condensed"/>
          <w:sz w:val="24"/>
          <w:szCs w:val="24"/>
        </w:rPr>
        <w:t xml:space="preserve">Capitolo VI — La dottrina dell'equilibrio, la CSCE, la Cina e la CEE-Spagna</w:t>
      </w:r>
    </w:p>
    <w:p>
      <w:pPr>
        <w:spacing w:after="120" w:line="276"/>
        <w:jc w:val="both"/>
      </w:pPr>
      <w:r>
        <w:rPr>
          <w:rFonts w:ascii="Barlow Semi Condensed" w:cs="Barlow Semi Condensed" w:eastAsia="Barlow Semi Condensed" w:hAnsi="Barlow Semi Condensed"/>
          <w:sz w:val="24"/>
          <w:szCs w:val="24"/>
        </w:rPr>
        <w:t xml:space="preserve">Sul piano dottrinale la prima passata aveva colto la "dottrina dell'equilibrio" e la formula dei "germi di cambiamento" riferita alla CSCE. Le fonti divulgative e le raccolte disponibili confermano il lessico: in un intervento del 1971 alla Camera Moro sostenne che l'interesse del popolo italiano fosse "che la pace prevalga nel mondo, e particolarmente nel continente europeo e nel Mediterraneo", senza per questo rinunciare "alla difesa intelligente ed equilibrata dei nostri interessi" Progetto Radici (https://www.progetto-radici.it/2022/05/09/aldo-moro-il-dominus-della-politica-estera-italiana/) (citazione riportata da una fonte divulgativa, Progetto Radici, da verificare sull'originale parlamentare). Sul riconoscimento della Repubblica popolare cinese occorre una correzione rispetto a una lettura che lo attribuisca a Moro: la proposta fu di Pietro Nenni nel gennaio 1969, e la normalizzazione si perfezionò il 6 novembre 1970, quando Moro era ministro Wikipedia (https://it.wikipedia.org/wiki/Relazioni_bilaterali_tra_Italia_e_Repubblica_Popolare_Cinese) (fonte: Wikipedia in italiano e L'Antidiplomatico, quest'ultima riporta il testo del telegramma del Ministero del 28 novembre 1970). Il documento attesta che il riconoscimento maturò sotto la titolarità di Moro; non attesta una paternità morotea dell'iniziativa, che risale a Nenni. La prima passata aveva citato il telegramma 5472/0 del 29 dicembre 1972 sulla "Visita On. Ministro in Cina": esito negativo, in questa ricognizione non è stato possibile reperirne il testo o una scheda archivistica; la sede è l'Archivio Storico Diplomatico. Sull'accordo preferenziale CEE-Spagna, lo studio peer-reviewed di Levi e il DIZionario dell'Integrazione Europea confermano che l'intesa fu siglata a Lussemburgo il 29 giugno 1970 dal ministro spagnolo López Bravo, dal presidente del Consiglio CEE Pierre Harmel e dal presidente della Commissione Jean Rey, entrando in vigore il 1° ottobre 1970; Dizie (https://www.dizie.eu/dizionario/spagna/) il testo è confermato da EUR-Lex (CELEX 21970A0629(01)): "Accordo tra la Comunità economica europea e la Spagna, Gazzetta ufficiale n. L 182 del 16/08/1970 pag. 0002 […] Fatto a Lussemburgo, il ventinove giugno millenovecentosettanta", con validità cessata il 31 dicembre 1985. La constatazione della prima passata circa il silenzio della stampa italiana non è stata né confermata né smentita da questa ricognizione e resta da verificare su emeroteca. Quanto al settembre 1975, quando il governo — presieduto ormai da Moro — richiamò l'ambasciatore da Madrid dopo le fucilazioni di due militanti ETA e tre del FRAP del 27 settembre 1975, va corretto un dato della prima passata: le vittime furono cinque, di cui tre del FRAP (José Humberto Baena, José Luis Sánchez Bravo, Ramón García Sanz) e due dell'ETA (Juan Paredes Manot "Txiki" e Ángel Otaegui).</w:t>
      </w:r>
    </w:p>
    <w:p>
      <w:pPr>
        <w:pStyle w:val="Heading2"/>
        <w:spacing w:after="100" w:before="200"/>
      </w:pPr>
      <w:r>
        <w:rPr>
          <w:rFonts w:ascii="Barlow Semi Condensed" w:cs="Barlow Semi Condensed" w:eastAsia="Barlow Semi Condensed" w:hAnsi="Barlow Semi Condensed"/>
          <w:sz w:val="24"/>
          <w:szCs w:val="24"/>
        </w:rPr>
        <w:t xml:space="preserve">Capitolo VII — Il lodo Moro e la politica filo-araba</w:t>
      </w:r>
    </w:p>
    <w:p>
      <w:pPr>
        <w:spacing w:after="120" w:line="276"/>
        <w:jc w:val="both"/>
      </w:pPr>
      <w:r>
        <w:rPr>
          <w:rFonts w:ascii="Barlow Semi Condensed" w:cs="Barlow Semi Condensed" w:eastAsia="Barlow Semi Condensed" w:hAnsi="Barlow Semi Condensed"/>
          <w:sz w:val="24"/>
          <w:szCs w:val="24"/>
        </w:rPr>
        <w:t xml:space="preserve">Il caso più documentato del versante mediterraneo è il cosiddetto "lodo Moro". La cronologia della prima passata trova ampio riscontro nelle fonti, in prevalenza divulgative e giornalistiche, che rinviano però a documentazione desecretata (Direttiva Renzi 2014) e a due studi di riferimento: Giacomo Pacini, Il lodo Moro. Terrorismo e ragion di Stato 1969-1986, e i lavori richiamati da Valentine Lomellini. Secondo Pacini, il primo documento che certifichi un dialogo clandestino fra governo italiano e formazioni riconducibili all'OLP risale al 17 dicembre 1972 L'Incontro (https://www.lincontro.news/il-lodo-moro-non-era-una-fake-news-laccordo-fra-lo-stato-italiano-e-le-organizzazioni-palestinesi-ci-fu-e-produsse-degli-effetti/) e reca la firma del capo del SID collegato all'area libanese (il Giornale, L'Incontro). Il 14 gennaio 1973 (secondo altre ricostruzioni il 5 settembre 1973 per l'arresto dei cinque, con discrepanza fra le fonti sulla data e sul numero) si colloca l'episodio dei lanciamissili Strela destinati all'aereo di Golda Meir. L'Incontro (https://www.lincontro.news/il-lodo-moro-non-era-una-fake-news-laccordo-fra-lo-stato-italiano-e-le-organizzazioni-palestinesi-ci-fu-e-produsse-degli-effetti/) L'accordo sarebbe stato sottoscritto il 19 ottobre 1973; L'Incontro (https://www.lincontro.news/il-lodo-moro-non-era-una-fake-news-laccordo-fra-lo-stato-italiano-e-le-organizzazioni-palestinesi-ci-fu-e-produsse-degli-effetti/) un documento del 23 ottobre 1973 documenta la trattativa (il Giornale). Il 17 dicembre 1973 la strage di Fiumicino provocò, secondo la scheda ufficiale del Ministero della Cultura (memoria.cultura.gov.it), 32 vittime di cui 6 italiane e 15 feriti: "Attentato terroristico compiuto da un commando palestinese che ha provocato 32 vittime […] Il bilancio complessivo dell'azione è di 32 vittime, di cui 6 italiane"; l'aereo colpito era un Boeing 707 della Pan Am diretto a Teheran via Beirut con 56 passeggeri, 29 dei quali morti a bordo. Il documento attesta l'esistenza di contatti e di intese operative; non attesta univocamente né la paternità esclusiva di Moro né la natura giuridica di un vero e proprio "accordo": lo stesso studioso citato osserva che i documenti indicano non un "lodo Moro" in senso stretto ma il risultato di un lavoro diplomatico condotto da più persone e riconducibile a una politica di Stato. Il Giornale (https://www.ilgiornale.it/news/cultura/lodo-moro-leggenda-e-verit-storica-nel-libro-valentine-2003644.html) Va perciò distinto ciò che i documenti Giovannone attestano (contatti, colloqui in carcere, ruolo del colonnello Stefano Giovannone come capocentro del SID a Beirut) Wikipedia (https://it.wikipedia.org/wiki/Lodo_Moro) da ciò che se ne inferisce circa la volontà politica di Moro, che le fonti collegano a lui ma senza atto scritto di sua mano finora reso pubblico. Le date della prima passata relative al 7 novembre 1979 (Ortona, sequestro di lanciamissili) e al 16 febbraio 1978 (cablogramma Giovannone su Habbash) esulano dal mandato ministeriale ma ne segnano la coda: al novembre 1979 Moro era già morto, e il febbraio 1978 cade durante il suo sequestro. Esito negativo: non è stato reperito in questa ricognizione il testo integrale del cablogramma del 16 febbraio 1978 né dell'accordo del 19 ottobre 1973; la sede presso cui cercarli è l'archivio della Commissione parlamentare d'inchiesta Moro-2 e gli atti desecretati depositati presso l'Archivio Centrale dello Stato.</w:t>
      </w:r>
    </w:p>
    <w:p>
      <w:pPr>
        <w:pStyle w:val="Heading2"/>
        <w:spacing w:after="100" w:before="200"/>
      </w:pPr>
      <w:r>
        <w:rPr>
          <w:rFonts w:ascii="Barlow Semi Condensed" w:cs="Barlow Semi Condensed" w:eastAsia="Barlow Semi Condensed" w:hAnsi="Barlow Semi Condensed"/>
          <w:sz w:val="24"/>
          <w:szCs w:val="24"/>
        </w:rPr>
        <w:t xml:space="preserve">Capitolo VIII — Il versante libico e mediterraneo</w:t>
      </w:r>
    </w:p>
    <w:p>
      <w:pPr>
        <w:spacing w:after="120" w:line="276"/>
        <w:jc w:val="both"/>
      </w:pPr>
      <w:r>
        <w:rPr>
          <w:rFonts w:ascii="Barlow Semi Condensed" w:cs="Barlow Semi Condensed" w:eastAsia="Barlow Semi Condensed" w:hAnsi="Barlow Semi Condensed"/>
          <w:sz w:val="24"/>
          <w:szCs w:val="24"/>
        </w:rPr>
        <w:t xml:space="preserve">Il colpo di Stato di Gheddafi del 1° settembre 1969 aprì il dossier più drammatico del mandato. Ilmemoriale (https://www.ilmemoriale.it/politica/2017/09/04/espulsione-degli-italiani-da-tripoli.html) Il decreto di confisca dei beni degli italiani, promulgato dal Consiglio del Comando della Rivoluzione in tre leggi, è del 21 luglio 1970; gli italiani, circa ventimila, con beni confiscati quantificati in circa 400 miliardi di lire (valore 1970), dovettero lasciare la Libia: Lo Spiegone precisa che "le operazioni di traghettamento di più di 17.000 italiani finirono il 15 ottobre 1970, otto giorni dopo l'ultimatum inviato da Gheddafi il 7 ottobre", data poi celebrata dal regime libico come "Giornata della vendetta". Sul piano interpretativo, lo storico Massimo Mastrogregori (in Storia mondiale dell'Italia, Laterza 2017, studio scientifico) scrive che ai tempi delle crisi libica e petrolifera Moro "strinse contatti col mondo arabo, certo impopolari, utili per il futuro", entro i quali rientravano anche "caute mosse di avvicinamento alla galassia dei gruppi della resistenza palestinese". Ponza Racconta (https://www.ponzaracconta.it/2021/03/30/aldo-moro-gheddafi-e-arafat/) Una fonte memorialistica di parte (l'ex parlamentare che riferisce i racconti del generale Vito Miceli, su lavalledeitempli.net) attribuisce a Moro la scelta di "salvare Gheddafi" per tutelare gli interessi italiani, e collega a Moro il soccorso dato nel 1971 per far fallire un tentativo di rovesciamento ("operazione Hilton"): Lavalledeitempli (http://lavalledeitempli.net/2019/04/23/aldo-moro-vero-artefice-della-cooperazione-la-libia-gheddafi/) trattandosi di memoria di protagonista riferita indirettamente, il dato va accolto con cautela e non equiparato a fonte d'archivio. Il documento memorialistico attesta un'opinione; non attesta la decisione documentale di Moro, che andrebbe cercata nei carteggi di gabinetto. Una fonte cita un telegramma del 6 settembre 1970 da Tunisi ai vertici dello Stato con cui Moro avrebbe "sdrammatizzato" politicamente l'espulsione: Lavalledeitempli (http://lavalledeitempli.net/2019/04/23/aldo-moro-vero-artefice-della-cooperazione-la-libia-gheddafi/) esito da verificare all'Archivio Storico Diplomatico. Sugli altri fronti mediterranei — Malta, la Grecia dei colonnelli, il Portogallo di Caetano e poi la Rivoluzione dei garofani dell'aprile 1974, la caduta dei colonnelli greci nel luglio 1974 — la ricognizione non ha prodotto documentazione specifica sull'azione di Moro; l'esito negativo va registrato con la sede di ricerca (Archivio Storico Diplomatico, serie Affari Politici, e FRUS per il quadro NATO). Il terzo e quarto conflitto arabo-israeliano fanno da sfondo alla politica filo-araba: la guerra del Kippur dell'ottobre 1973, documentata ampiamente in FRUS (vol. XXV), è il contesto entro cui matura la strage di Fiumicino e la crisi petrolifera 1973-1974. Il documento FRUS attesta lo sforzo americano di guadagnare il sostegno degli alleati europei, "largely unsuccessful": CIE (https://israeled.org/wp-content/uploads/2012/05/FRUS-1969-1976-1973-war.pdf) ne discende, per inferenza corroborata ma non per affermazione esplicita, che la linea mediterranea italiana divergeva da quella statunitense.</w:t>
      </w:r>
    </w:p>
    <w:p>
      <w:pPr>
        <w:pStyle w:val="Heading2"/>
        <w:spacing w:after="100" w:before="200"/>
      </w:pPr>
      <w:r>
        <w:rPr>
          <w:rFonts w:ascii="Barlow Semi Condensed" w:cs="Barlow Semi Condensed" w:eastAsia="Barlow Semi Condensed" w:hAnsi="Barlow Semi Condensed"/>
          <w:sz w:val="24"/>
          <w:szCs w:val="24"/>
        </w:rPr>
        <w:t xml:space="preserve">Capitolo IX — Le sedi multilaterali e la coincidenza con la delegazione vaticana</w:t>
      </w:r>
    </w:p>
    <w:p>
      <w:pPr>
        <w:spacing w:after="120" w:line="276"/>
        <w:jc w:val="both"/>
      </w:pPr>
      <w:r>
        <w:rPr>
          <w:rFonts w:ascii="Barlow Semi Condensed" w:cs="Barlow Semi Condensed" w:eastAsia="Barlow Semi Condensed" w:hAnsi="Barlow Semi Condensed"/>
          <w:sz w:val="24"/>
          <w:szCs w:val="24"/>
        </w:rPr>
        <w:t xml:space="preserve">Il sesto obiettivo chiedeva di verificare la coincidenza fra le sedi in cui l'Italia della Farnesina di Moro era rappresentata e quelle in cui la Santa Sede era guidata da Silvestrini. L'Italia firmò il Trattato di non proliferazione nucleare il 28 gennaio 1969 Treccani (https://www.treccani.it/enciclopedia/non-proliferazione-atomica_(Enciclopedia-Italiana)/) (dato anteriore all'insediamento di Moro) e lo ratificò con legge 24 aprile 1975 n. 131; secondo la scheda del Centro di Ateneo per i Diritti Umani dell'Università di Padova, la "Data della ratifica: 02 maggio 1975 (Washington, Londra), 04 maggio 1975 (Mosca) (Gazzetta Ufficiale n. 201 del 30 luglio 1975)", mentre la legge 131 fu pubblicata in G.U. n. 113 del 30 aprile 1975. Lo studio peer-reviewed di Leopoldo Nuti (L'Italia come stato soglia?) documenta che fra la firma e la ratifica il governo italiano cercò di dilazionare la ratifica e di potenziare lo status italiano nell'arricchimento dell'uranio e nella propulsione navale, cedendo infine alle pressioni degli alleati nel maggio 1975. Unica (https://convegni.unica.it/sisi19/i-panel-dellottavo-convegno-sisi-cagliari-2019/panel-3/) Il dato è rilevante perché la ratifica cade quando Moro è presidente del Consiglio, non più ministro degli Esteri: la coincidenza cronologica con il suo mandato ministeriale è dunque solo parziale e va precisata. Sul versante vaticano, le fonti (Treccani, voce Casaroli; L'Osservatore Romano; SettimanaNews) attestano che Achille Silvestrini fu capo-delegazione della Santa Sede alla Conferenza ONU sull'uso dell'energia atomica del 1971 e alla Conferenza sul TNP del 1975, oltre che protagonista della CSCE. SettimanaNews (https://www.settimananews.it/chiesa/silvestrini-ostpolitik/) La proposta vaticana sulla libertà religiosa fu presentata il 7 marzo 1973 e recepita nel settimo principio dell'Atto finale di Helsinki del 1° agosto 1975; la Santa Sede aderì anche al TNP, "sollecitata dall'URSS" Vatican News (https://www.vaticannews.va/it/mondo/news/2022-04/conferenza-helsinki-1975-europa-guerra-fredda-eredita-pace.html) (Vatican News). Qui si colloca la triangolazione più delicata: la coincidenza fra le sedi multilaterali (energia atomica 1971, TNP, CSCE) in cui erano presenti sia la Farnesina di Moro sia la delegazione di Silvestrini è una comunanza di ambiente accertata dalle fonti. Ciò che essa NON stabilisce è un coordinamento o una concertazione fra Roma e la Santa Sede in quelle sedi: nessuna delle fonti reperite documenta contatti operativi Moro-Silvestrini o istruzioni concordate. La contemporaneità di presenza non va trattata come prova di un nesso: va classificata come comunanza di ambiente, non come convergenza di obiettivo documentata. La sede presso cui cercare un eventuale nesso è duplice: l'Archivio Storico Diplomatico (delegazioni CSCE e conferenze sul disarmo) e l'Archivio della Segreteria di Stato vaticana, sezione Rapporti con gli Stati, per il pontificato di Paolo VI, la cui apertura è stata disposta per gli anni di Pio XII e progressivamente estesa.</w:t>
      </w:r>
    </w:p>
    <w:p>
      <w:pPr>
        <w:pStyle w:val="Heading2"/>
        <w:spacing w:after="100" w:before="200"/>
      </w:pPr>
      <w:r>
        <w:rPr>
          <w:rFonts w:ascii="Barlow Semi Condensed" w:cs="Barlow Semi Condensed" w:eastAsia="Barlow Semi Condensed" w:hAnsi="Barlow Semi Condensed"/>
          <w:sz w:val="24"/>
          <w:szCs w:val="24"/>
        </w:rPr>
        <w:t xml:space="preserve">Capitolo X — La Santa Sede, la Spagna e la biografia di López Bravo</w:t>
      </w:r>
    </w:p>
    <w:p>
      <w:pPr>
        <w:spacing w:after="120" w:line="276"/>
        <w:jc w:val="both"/>
      </w:pPr>
      <w:r>
        <w:rPr>
          <w:rFonts w:ascii="Barlow Semi Condensed" w:cs="Barlow Semi Condensed" w:eastAsia="Barlow Semi Condensed" w:hAnsi="Barlow Semi Condensed"/>
          <w:sz w:val="24"/>
          <w:szCs w:val="24"/>
        </w:rPr>
        <w:t xml:space="preserve">Il quinto obiettivo verteva sulla posizione della Santa Sede e sull'Ostpolitik di Casaroli e Silvestrini. La revisione del Concordato lateranense costituisce il filo lungo: uno studio dell'Università di Padova (peer-reviewed) ne ricostruisce l'iter dal 1969 al 1984, fondandosi sugli archivi Gonella, Casaroli e Bartoletti e sul diario dell'ambasciatore Gianfranco Pompei, University of Padua (https://www.research.unipd.it/handle/11577/3421701) e collocando fra il 1976 e il 1983 la redazione delle sette bozze precedenti l'Accordo di Villa Madama del 18 febbraio 1984. Chiesacattolica.it (https://www.chiesacattolica.it/documenti-segreteria/accordo-di-revisione-del-concordato-lateranense-tra-la-santa-sede-e-la-repubblica-italiana/) Ne discende che durante il mandato di Moro (1969-1974) la revisione era in fase preparatoria e non produsse atti conclusivi: il dato va tenuto fermo contro ogni sovrapposizione anacronistica. Sul versante spagnolo, il caso López Bravo è centrale. La biografia di Gabriel Pérez Gómez (López Bravo. Una biografía, Rialp, Madrid 2024, 331 pp.) Delibris (https://www.delibris.org/es/lopez-bravo) è la novità storiografica più rilevante: l'autore, dottore in Scienze dell'informazione, ha lavorato sugli archivi della Biblioteca dell'Università di Navarra, su archivi statali e su documentazione della CIA. El Confidencial Digital (https://www.elconfidencialdigital.com/religion/articulo/de-libros/gregorio-lopez-bravo-miembro-opus-dei-servicio-progreso-espana/20241007004039050434.html) Le recensioni (El Confidencial Digital, Omnes) attestano che il libro pubblica per la prima volta la lunga nota che López Bravo, ministro degli Esteri spagnolo e membro dell'Opus Dei, Omnes (https://www.omnesmag.com/en/news/gabriel-perez-lopez-lopez-bravo-acted-freely/) scrisse in aereo subito dopo l'udienza del 12 gennaio 1973 con Paolo VI, definita dall'autore "di eccezionale importanza"; Omnes (https://www.omnesmag.com/en/news/gabriel-perez-lopez-lopez-bravo-acted-freely/) il recensore di El Confidencial Digital scrive che la nota "estremece" (fa fremere) e che "già solo per questo capitolo si giustifica la pubblicazione". El Confidencial Digital (https://www.elconfidencialdigital.com/religion/articulo/de-libros/gregorio-lopez-bravo-miembro-opus-dei-servicio-progreso-espana/20241007004039050434.html) López Bravo si era recato dal papa per consegnargli una lettera di Franco, nel pieno di uno scambio di corrispondenza sui rapporti fra Chiesa e Stato, la Conferenza episcopale e il privilegio di presentazione dei vescovi previsto dal Concordato del 27 agosto 1953. Esito negativo da registrare: le recensioni non riproducono il testo verbatim della nota, di cui riferiscono solo il tono; la sede per il contenuto è il libro stesso. Il caso Añoveros del 24 febbraio 1974 — omelia del vescovo di Bilbao a favore dell'identità basca, minaccia di espulsione da parte del governo Arias Navarro, controminaccia di scomunica — è documentato da Wikipedia in spagnolo e da memorie ecclesiastiche (cardinale Marcelo González): fu Cortina Mauri, ministro degli Esteri, a dare al nunzio Dadaglio quarantotto ore perché Añoveros lasciasse la Spagna. Wikipedia (https://es.wikipedia.org/wiki/Caso_A%C3%B1overos) Il documento memorialistico attesta la gravità del rischio di rottura fra Madrid e Santa Sede; non attesta alcun coinvolgimento italiano.</w:t>
      </w:r>
    </w:p>
    <w:p>
      <w:pPr>
        <w:pStyle w:val="Heading2"/>
        <w:spacing w:after="100" w:before="200"/>
      </w:pPr>
      <w:r>
        <w:rPr>
          <w:rFonts w:ascii="Barlow Semi Condensed" w:cs="Barlow Semi Condensed" w:eastAsia="Barlow Semi Condensed" w:hAnsi="Barlow Semi Condensed"/>
          <w:sz w:val="24"/>
          <w:szCs w:val="24"/>
        </w:rPr>
        <w:t xml:space="preserve">Capitolo XI — Il canale Pignedoli e la costruzione delle triangolazioni</w:t>
      </w:r>
    </w:p>
    <w:p>
      <w:pPr>
        <w:spacing w:after="120" w:line="276"/>
        <w:jc w:val="both"/>
      </w:pPr>
      <w:r>
        <w:rPr>
          <w:rFonts w:ascii="Barlow Semi Condensed" w:cs="Barlow Semi Condensed" w:eastAsia="Barlow Semi Condensed" w:hAnsi="Barlow Semi Condensed"/>
          <w:sz w:val="24"/>
          <w:szCs w:val="24"/>
        </w:rPr>
        <w:t xml:space="preserve">L'undicesimo punto raccoglie la triangolazione interna Italia–Santa Sede. Durante il sequestro Sossi (18 aprile – 23 maggio 1974), con Moro ministro degli Esteri, la Santa Sede fu segretamente coinvolta nella trattativa attraverso il cardinale Sergio Pignedoli: lo attesta la Treccani (voce "9 maggio 1978: lo schiaffo a Paolo VI", studio enciclopedico), che aggiunge come Moro, nel 1978, dalla prigionia, citasse per tre volte il nome di Pignedoli come canale per giungere "con mani sicure e rapide" al papa. Treccani (https://www.treccani.it/enciclopedia/9-maggio-1978-lo-schiaffo-a-paolo-vi-storia-e-fallimento-della-mediazione-vaticana-per-la-liberazione-di-aldo-moro_(Cristiani-d'Italia)/) Il documento (le lettere di Moro) attesta la fiducia di Moro in quel canale nel 1978; se ne inferisce, ma la fonte lo afferma esplicitamente per il 1974, che un canale vaticano di mediazione era già operativo al tempo del sequestro Sossi. Treccani (https://www.treccani.it/enciclopedia/9-maggio-1978-lo-schiaffo-a-paolo-vi-storia-e-fallimento-della-mediazione-vaticana-per-la-liberazione-di-aldo-moro_(Cristiani-d'Italia)/) Su questa base è possibile enunciare le tre triangolazioni richieste, distinguendo rigorosamente i piani. Prima triangolazione, Italia di Moro – Santa Sede: il grado di sostegno documentale è medio per il canale Pignedoli (fonte enciclopedica che rinvia alle lettere) e basso per una concertazione diplomatica multilaterale (Capitolo IX). Ciò che essa NON stabilisce: non esiste, nelle fonti reperite, prova di un coordinamento sistematico fra Farnesina e Segreteria di Stato nella politica estera 1969-1974; si tratta di convergenza di obiettivo (la mediazione umanitaria) episodica, non di alleanza strutturale. Seconda triangolazione, Italia di Moro – Spagna franchista: il grado di sostegno documentale è medio sul piano comunitario (accordo CEE-Spagna 1970, richiamo dell'ambasciatore nel 1975), ma quest'ultimo atto cade quando Moro è presidente del Consiglio, non ministro. Ciò che essa NON stabilisce: nessun contatto diretto documentato Moro–López Bravo o Moro–Cortina Mauri è emerso; la comunanza è di ambiente (il quadro CEE) e vi è una simultaneità di reazione (nel settembre 1975, secondo Startmag, "in poche ore diciassette Paesi richiamarono gli ambasciatori" da Madrid, mentre i presidenti delle Camere europee, riuniti a Roma il 26 settembre, avevano telegrafato a Franco chiedendo la grazia), non una convergenza di obiettivo provata. Terza triangolazione, Santa Sede – Spagna: è la meglio documentata (udienza del 12 gennaio 1973, caso Añoveros, Concordato del 1953), ma coinvolge Moro solo per contiguità cronologica e ambientale. Ciò che essa NON stabilisce: nessun ruolo italiano nelle tensioni ispano-vaticane. In sintesi, le tre triangolazioni vanno tenute distinte come convergenze di obiettivo (episodiche), simultaneità di reazione (1975) e comunanze di ambiente (le sedi multilaterali e il quadro CEE): la contemporaneità cronologica non è, in nessun caso, prova di nesso causale.</w:t>
      </w:r>
    </w:p>
    <w:p>
      <w:pPr>
        <w:pStyle w:val="Heading2"/>
        <w:spacing w:after="100" w:before="200"/>
      </w:pPr>
      <w:r>
        <w:rPr>
          <w:rFonts w:ascii="Barlow Semi Condensed" w:cs="Barlow Semi Condensed" w:eastAsia="Barlow Semi Condensed" w:hAnsi="Barlow Semi Condensed"/>
          <w:sz w:val="24"/>
          <w:szCs w:val="24"/>
        </w:rPr>
        <w:t xml:space="preserve">Capitolo XII — Tavola discorsiva delle acquisizioni documentali necessarie e non conseguite</w:t>
      </w:r>
    </w:p>
    <w:p>
      <w:pPr>
        <w:spacing w:after="120" w:line="276"/>
        <w:jc w:val="both"/>
      </w:pPr>
      <w:r>
        <w:rPr>
          <w:rFonts w:ascii="Barlow Semi Condensed" w:cs="Barlow Semi Condensed" w:eastAsia="Barlow Semi Condensed" w:hAnsi="Barlow Semi Condensed"/>
          <w:sz w:val="24"/>
          <w:szCs w:val="24"/>
        </w:rPr>
        <w:t xml:space="preserve">Chiude la ricognizione un bilancio degli esiti negativi, ordinati per rendimento atteso decrescente, ciascuno con la sede e la condizione di chiusura. Al primo posto, per rendimento, i carteggi del gabinetto del ministro Moro e la serie "Direzione Generale Affari Politici" e "Ambasciata d'Italia a Madrid" 1969-1974 presso l'Archivio Storico Diplomatico della Farnesina: teoricamente consultabili in forza della barriera dei cinquant'anni, restano di accesso incerto perché la disponibilità dei faldoni va verificata caso per caso; condizione di chiusura è la conferma inventariale da richiedere via portale asd.esteri.it. Al secondo posto, le repliche di Moro sui bilanci Esteri 1970, 1971, 1972 e 1974 con numero di seduta e data: reperibili nella raccolta Aldo Moro, Discorsi parlamentari (Camera, 1996) e nelle banche dati "dibattiti" di Camera e Senato per le legislature V e VI; condizione di chiusura è la consultazione diretta della raccolta a stampa, non accessibile in questa ricognizione per limiti dei portali. Al terzo posto, la corrispondenza fra il Ministerio de Asuntos Exteriores spagnolo e l'Embajada de España en Roma 1969-1975, e ogni traccia di contatto López Bravo/Cortina Mauri–Moro, presso l'Archivo General de la Administración di Alcalá de Henares: condizione di chiusura è la consultazione degli inventari del fondo del Servizio Esterno, non disponibili online in forma nominativa. Al quarto posto, il testo verbatim della nota redatta in aereo da López Bravo il 12 gennaio 1973: la sede è la biografia di Pérez Gómez (Rialp 2024) e, a monte, l'archivio dell'Università di Navarra; condizione di chiusura è la lettura del volume. Al quinto posto, i verbali di colloqui diretti Moro-Nixon e Moro-Rogers 1969-1972: sede è la serie FRUS 1969-1976 e i Nixon Presidential Materials (NSC Files, Country Files: Italy) ai National Archives di College Park; condizione di chiusura è lo spoglio dei volumi europei e mediterranei non esaminati. Al sesto posto, il telegramma 5472/0 del 29 dicembre 1972 sulla visita in Cina, il telegramma del 6 settembre 1970 da Tunisi sull'espulsione dalla Libia, l'accordo del 19 ottobre 1973 e il cablogramma Giovannone del 16 febbraio 1978: sedi rispettive l'Archivio Storico Diplomatico e l'archivio della Commissione Moro-2 presso l'Archivio Centrale dello Stato. Al settimo posto, per il nesso Italia–Santa Sede nelle sedi multilaterali, l'Archivio della Segreteria di Stato vaticana, sezione Rapporti con gli Stati, per il pontificato di Paolo VI: condizione di chiusura è l'apertura effettiva delle carte montiniane agli studiosi. Ogni esito negativo qui elencato è un'acquisizione di pieno valore: circoscrive ciò che allo stato non è dimostrabile e indica con precisione dove la dimostrazione andrebbe cercata.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La ricognizione-madre: Moro ministro degli Esteri 1969-197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 4.765 parole in 9 sezioni; la più ampia è §9 Altre sezioni, con 1.620.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 47 indirizzi di fonte citati, addensati in 9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III. Germania e Opus Dei 1952-1985</w:t>
      </w:r>
    </w:p>
    <w:p>
      <w:pPr>
        <w:pStyle w:val="Heading1"/>
        <w:spacing w:after="120" w:before="240"/>
      </w:pPr>
      <w:r>
        <w:rPr>
          <w:rFonts w:ascii="Barlow Semi Condensed" w:cs="Barlow Semi Condensed" w:eastAsia="Barlow Semi Condensed" w:hAnsi="Barlow Semi Condensed"/>
          <w:sz w:val="24"/>
          <w:szCs w:val="24"/>
        </w:rPr>
        <w:t xml:space="preserve">Ricerca storiografica e archivistica su Aldo Moro Ministro degli Esteri, l'Opus Dei in Germania (1952–1985) e le loro triangolazioni</w:t>
      </w:r>
    </w:p>
    <w:p>
      <w:pPr>
        <w:pStyle w:val="Heading2"/>
        <w:spacing w:after="100" w:before="200"/>
      </w:pPr>
      <w:r>
        <w:rPr>
          <w:rFonts w:ascii="Barlow Semi Condensed" w:cs="Barlow Semi Condensed" w:eastAsia="Barlow Semi Condensed" w:hAnsi="Barlow Semi Condensed"/>
          <w:sz w:val="24"/>
          <w:szCs w:val="24"/>
        </w:rPr>
        <w:t xml:space="preserve">Capitolo I — Impianto del problema, proposizione da testare e disciplina delle fonti</w:t>
      </w:r>
    </w:p>
    <w:p>
      <w:pPr>
        <w:spacing w:after="120" w:line="276"/>
        <w:jc w:val="both"/>
      </w:pPr>
      <w:r>
        <w:rPr>
          <w:rFonts w:ascii="Barlow Semi Condensed" w:cs="Barlow Semi Condensed" w:eastAsia="Barlow Semi Condensed" w:hAnsi="Barlow Semi Condensed"/>
          <w:sz w:val="24"/>
          <w:szCs w:val="24"/>
        </w:rPr>
        <w:t xml:space="preserve">La presente ricerca sottopone a verifica una proposizione formulata dal committente e da lui dichiarata confutabile: l'insediamento dell'Opus Dei in un Paese richiederebbe la compresenza di due condizioni, ossia una maggioranza cattolica della popolazione e la disponibilità di un ceto universitario e professionale cattolico autoctono su cui l'apostolato possa radicarsi. Il caso tedesco è il banco di prova più significativo di questa ricognizione, per una ragione strutturale: l'ente registra ufficialmente la Germania al 1952 come anno d'inizio del lavoro stabile, ma la Repubblica Federale del secondo dopoguerra non era un Paese a maggioranza cattolica. Se dunque l'insediamento fu stabile pur in assenza di una maggioranza cattolica, la prima delle due condizioni cade, e resta operante soltanto la seconda. La fonte ufficiale dell'ente — il Centro Studi Josemaría Escrivá dell'Università di Navarra e i portali della Prelatura — colloca l'inizio del lavoro stabile in Germania nel 1952; il dato è convergente con la pubblicistica critica in lingua tedesca (Peter Hertel, Klaus Steigleder) e con fonti terze indipendenti (bistum-essen.de, katholisch.de, stampa nazionale tedesca). La convergenza fra la fonte dell'ente e fonti indipendenti sulla data e sui luoghi consente di trattare il dato dell'insediamento come acquisito con alta affidabilità, in ossequio alla regola che impone di verificare la fonte ufficiale contro fonti terze.</w:t>
      </w:r>
    </w:p>
    <w:p>
      <w:pPr>
        <w:spacing w:after="120" w:line="276"/>
        <w:jc w:val="both"/>
      </w:pPr>
      <w:r>
        <w:rPr>
          <w:rFonts w:ascii="Barlow Semi Condensed" w:cs="Barlow Semi Condensed" w:eastAsia="Barlow Semi Condensed" w:hAnsi="Barlow Semi Condensed"/>
          <w:sz w:val="24"/>
          <w:szCs w:val="24"/>
        </w:rPr>
        <w:t xml:space="preserve">La disciplina di metodo qui adottata è quella richiesta dal committente e la si dichiara in apertura perché governa l'intera trattazione. Si distingue rigorosamente ciò che il documento attesta da ciò che se ne inferisce; si impiega la fonte ufficiale dell'ente per i dati di fatto verificabili su membri e insediamenti, verificandola contro fonti indipendenti, ma non la si impiega per le valutazioni sulle responsabilità; non si tratta l'appartenenza di una persona a un'organizzazione come prova di una condotta dell'organizzazione, e questa è la prescrizione che prevale su ogni esigenza narrativa; non si tratta la contemporaneità cronologica come prova di un nesso; per le persone viventi si riportano esclusivamente fatti pubblici documentati, senza inferenze associative; ove le fonti divergano su una data o su un numero si riporta la divergenza anziché sceglierla silenziosamente; si segnala quando una tesi circolante nella pubblicistica non trova riscontro nelle fonti primarie, qualificandola come non sostenuta. Sono escluse dalle citazioni, per disposizione del committente, l'enciclopedia collaborativa Grokipedia e il quotidiano il Manifesto. La letteratura polemica in lingua tedesca sull'ente è abbondante — dai libri di Hertel alle inchieste dei fogli antifascisti — e viene qui trattata con questo criterio, segnalando ciò che non trova riscontro documentale. Si privilegiano, secondo l'indicazione ricevuta, le fonti in tedesco e in italiano per il merito, lo spagnolo per la storiografia dell'ente, l'inglese per la storiografia internazionale.</w:t>
      </w:r>
    </w:p>
    <w:p>
      <w:pPr>
        <w:pStyle w:val="Heading2"/>
        <w:spacing w:after="100" w:before="200"/>
      </w:pPr>
      <w:r>
        <w:rPr>
          <w:rFonts w:ascii="Barlow Semi Condensed" w:cs="Barlow Semi Condensed" w:eastAsia="Barlow Semi Condensed" w:hAnsi="Barlow Semi Condensed"/>
          <w:sz w:val="24"/>
          <w:szCs w:val="24"/>
        </w:rPr>
        <w:t xml:space="preserve">Capitolo II — L'insediamento dell'Opus Dei in Germania: cronologia, luoghi, protagonisti</w:t>
      </w:r>
    </w:p>
    <w:p>
      <w:pPr>
        <w:spacing w:after="120" w:line="276"/>
        <w:jc w:val="both"/>
      </w:pPr>
      <w:r>
        <w:rPr>
          <w:rFonts w:ascii="Barlow Semi Condensed" w:cs="Barlow Semi Condensed" w:eastAsia="Barlow Semi Condensed" w:hAnsi="Barlow Semi Condensed"/>
          <w:sz w:val="24"/>
          <w:szCs w:val="24"/>
        </w:rPr>
        <w:t xml:space="preserve">Secondo la fonte ufficiale dell'ente (Prelatura, «Kurzdarstellung der Anfänge des Opus Dei in Deutschland», documento datato 21 marzo 2006 e pubblicato su opusdei.org), i primi tre membri dell'Opus Dei giunsero in Germania nel 1952: l'ingegnere diplomato e sacerdote dal 1951 Alfons (Alfonso) Par (1922–2002), il commercialista Fernando Echeverría (1924–2015) e il filosofo Fernando Inciarte (1929–2000), che sarebbe poi divenuto ordinario a Münster. La prima residenza fu aperta nel 1953 all'Adenauerallee di Bonn e divenne poi lo Studentenheim Althaus, che la stessa fonte qualifica come l'unico centro tedesco ancora oggi esistente ad essere stato visitato dal fondatore. Il lavoro femminile iniziò nel 1956 con l'apertura dello Studentinnenheim Eigelstein, nella Hülchrather Straße a Colonia. Va segnalata sin d'ora una divergenza sulle date della prima residenza maschile, che si riporta anziché risolverla: la fonte ufficiale tedesca colloca l'apertura della residenza di Bonn nel 1953, mentre altre fonti dell'ente in altre lingue e larga parte della pubblicistica (anche critica, come l'Antifaschistisches Infoblatt) indicano il 1952 come anno dell'insediamento nella villa dell'Adenauerallee. La discrepanza si spiega verosimilmente con la distinzione fra l'arrivo dei primi membri (1952) e l'apertura formale della residenza (1953), ma resta una divergenza documentale da segnalare.</w:t>
      </w:r>
    </w:p>
    <w:p>
      <w:pPr>
        <w:spacing w:after="120" w:line="276"/>
        <w:jc w:val="both"/>
      </w:pPr>
      <w:r>
        <w:rPr>
          <w:rFonts w:ascii="Barlow Semi Condensed" w:cs="Barlow Semi Condensed" w:eastAsia="Barlow Semi Condensed" w:hAnsi="Barlow Semi Condensed"/>
          <w:sz w:val="24"/>
          <w:szCs w:val="24"/>
        </w:rPr>
        <w:t xml:space="preserve">Il dato geografico è dirimente per la domanda di ricerca e va enunciato con precisione. L'insediamento avvenne a Bonn e a Colonia, dunque nella Renania, cioè in una delle regioni storicamente cattoliche dell'ovest tedesco, appartenente all'arcidiocesi di Colonia. Bonn era, all'epoca, la capitale federale e sede universitaria. L'espansione successiva, documentata analiticamente dalla fonte ufficiale, seguì un andamento che privilegiò dapprima la Renania e la Vestfalia e solo tardivamente la Baviera: per gli uomini, Essen (1969), Aquisgrana (1971), Treviri e Berlino (1972), Münster (1976), Monaco (1977); per le donne, Essen (1971), Aquisgrana (1976), Jülich (1978, dove alcune di esse insegnavano in un liceo femminile), Münster (1979), Monaco (1980), Treviri (1987), Berlino (1992). La Baviera, cuore cattolico del sud tedesco, fu dunque raggiunta relativamente tardi, con Monaco nel 1977 per gli uomini e nel 1980 per le donne; la fonte ufficiale definisce Münster e Monaco «tappe importanti dell'espansione nella vecchia Repubblica Federale» in quanto punti d'appoggio rispettivamente nel nord e nel sud. opusdei (https://opusdei.org/de-de/article/kurzdarstellung-der-anfange-des-opus-dei-in-deutschland/) Dal 1962 operò a Colonia, con interruzioni, uno dei tre primissimi sacerdoti dell'Opus Dei in assoluto, José María Hernández de Garnica (1913–1972). La consistenza numerica attuale è indicata dalla fonte ufficiale in termini letterali: «Die Mitgliederzahl liegt heute in Deutschland bei knapp 600 bzw. über 1.000, wenn man die aktiven Mitarbeiter mitzählt» opusdei (https://opusdei.org/de-de/article/kurzdarstellung-der-anfange-des-opus-dei-in-deutschland/) — cioè poco meno di 600 membri, oltre 1.000 includendo i cooperatori attivi; il dato dei circa 600 membri in Germania è convergente con quello riportato da katholisch.de a fronte di circa 92.000 membri nel mondo. Per il periodo storico 1952–1985 la consistenza numerica puntuale non è documentata dalle fonti aperte e costituisce uno Stato Zero, la cui sede di chiusura è l'archivio della Prelatura.</w:t>
      </w:r>
    </w:p>
    <w:p>
      <w:pPr>
        <w:pStyle w:val="Heading2"/>
        <w:spacing w:after="100" w:before="200"/>
      </w:pPr>
      <w:r>
        <w:rPr>
          <w:rFonts w:ascii="Barlow Semi Condensed" w:cs="Barlow Semi Condensed" w:eastAsia="Barlow Semi Condensed" w:hAnsi="Barlow Semi Condensed"/>
          <w:sz w:val="24"/>
          <w:szCs w:val="24"/>
        </w:rPr>
        <w:t xml:space="preserve">Capitolo III — Il ruolo del cardinale Frings e l'accoglienza della gerarchia tedesca</w:t>
      </w:r>
    </w:p>
    <w:p>
      <w:pPr>
        <w:spacing w:after="120" w:line="276"/>
        <w:jc w:val="both"/>
      </w:pPr>
      <w:r>
        <w:rPr>
          <w:rFonts w:ascii="Barlow Semi Condensed" w:cs="Barlow Semi Condensed" w:eastAsia="Barlow Semi Condensed" w:hAnsi="Barlow Semi Condensed"/>
          <w:sz w:val="24"/>
          <w:szCs w:val="24"/>
        </w:rPr>
        <w:t xml:space="preserve">Un punto è documentato con particolare forza e risponde direttamente al quesito, posto dal committente, sull'atteggiamento della gerarchia ecclesiastica tedesca e in specie del cardinale Josef Frings di Colonia. Secondo una lettera del nunzio apostolico Giovanni Lajolo al vicario regionale Christoph Bockamp, ripresa dall'ente in occasione del cinquantenario dell'insediamento tedesco, fu «per la petizione del cardinale Frings, allora arcivescovo di Colonia» che i primi membri dell'Opus Dei giunsero a Colonia nel 1952. Opus Dei (https://opusdei.org/en-us/article/commemorative-book-in-germany/) Questo configura un'accoglienza attiva e sollecitante da parte dell'ordinario diocesano, non una semplice tolleranza, ed è per certi versi accostabile — pur con tutte le cautele imposte dalla differenza dei contesti — al modello portoghese di accoglienza già accertato dal committente nel caso del cardinale Cerejeira. Il dato è corroborato da fonti ecclesiastiche tedesche successive: il generalvicario di Colonia Dominik Schwaderlapp ha ricordato che «già dai tempi del cardinale Frings l'Opus Dei è attivo nell'arcidiocesi di Colonia e appartiene alla molteplice ricchezza della vita ecclesiale»; Kath (https://kath.net/print/15147) e il cardinale Joachim Meisner, in una predica del 19 gennaio 2002, ringraziò espressamente i suoi predecessori Frings e Höffner per aver fatto sì che «l'Opus Dei potesse mettere radici» a Colonia, definendo il duomo «quasi un luogo commemorativo di Escrivá». Blogger (http://hugendubelverdi.blogspot.com/2012/01/gottes-werk-und-des-kardinals-beitrag.html) La pubblicistica critica (taz) ha inoltre rilevato che Frings, ancora nel 1975, si adoperò presso il papa per una rapida beatificazione e canonizzazione di Escrivá. taz.de (https://taz.de/Der-Mann-der-das-fringsen-erfand-und-alten-Nazis-half/%21664899/)</w:t>
      </w:r>
    </w:p>
    <w:p>
      <w:pPr>
        <w:spacing w:after="120" w:line="276"/>
        <w:jc w:val="both"/>
      </w:pPr>
      <w:r>
        <w:rPr>
          <w:rFonts w:ascii="Barlow Semi Condensed" w:cs="Barlow Semi Condensed" w:eastAsia="Barlow Semi Condensed" w:hAnsi="Barlow Semi Condensed"/>
          <w:sz w:val="24"/>
          <w:szCs w:val="24"/>
        </w:rPr>
        <w:t xml:space="preserve">Occorre qui una nota di metodo che la materia impone. La stampa tedesca — per esempio il portale Belltower.News — ha talora incluso i cardinali di Colonia Frings, Höffner e Meisner tra i «membri» dell'Opus Dei. Questa affermazione non è sostenuta da fonti primarie e va qualificata come non provata. Il sostegno di un ordinario all'attività di un ente nella propria diocesi, per quanto convinto e prolungato, non equivale all'appartenenza personale all'ente, e la prescrizione metodologica impone di non trattare l'uno come prova dell'altra. Ciò che le fonti attestano con certezza è il patrocinio di Frings all'insediamento del 1952 e la benevolenza continuativa degli arcivescovi di Colonia; l'appartenenza personale dei tre cardinali all'ente non è documentata da fonti affidabili e va considerata una tesi pubblicistica non riscontrata. Dal punto di vista della domanda di ricerca, il dato rilevante e solido è che l'insediamento avvenne su iniziativa della gerarchia cattolica locale in una regione cattolica: circostanza che rafforza, e non indebolisce, la lettura secondo cui la base dell'insediamento fu il tessuto cattolico regionale e non la composizione confessionale del Paese nel suo insieme.</w:t>
      </w:r>
    </w:p>
    <w:p>
      <w:pPr>
        <w:pStyle w:val="Heading2"/>
        <w:spacing w:after="100" w:before="200"/>
      </w:pPr>
      <w:r>
        <w:rPr>
          <w:rFonts w:ascii="Barlow Semi Condensed" w:cs="Barlow Semi Condensed" w:eastAsia="Barlow Semi Condensed" w:hAnsi="Barlow Semi Condensed"/>
          <w:sz w:val="24"/>
          <w:szCs w:val="24"/>
        </w:rPr>
        <w:t xml:space="preserve">Capitolo IV — La composizione confessionale della Repubblica Federale, 1950–1980</w:t>
      </w:r>
    </w:p>
    <w:p>
      <w:pPr>
        <w:spacing w:after="120" w:line="276"/>
        <w:jc w:val="both"/>
      </w:pPr>
      <w:r>
        <w:rPr>
          <w:rFonts w:ascii="Barlow Semi Condensed" w:cs="Barlow Semi Condensed" w:eastAsia="Barlow Semi Condensed" w:hAnsi="Barlow Semi Condensed"/>
          <w:sz w:val="24"/>
          <w:szCs w:val="24"/>
        </w:rPr>
        <w:t xml:space="preserve">I dati statistici tedeschi, elaborati dalla Forschungsgruppe Weltanschauungen in Deutschland (fowid) su base dei censimenti dello Statistisches Bundesamt, attestano che nel 1950 la ripartizione confessionale della Repubblica Federale vedeva i protestanti al 50,6% e i cattolici al 45,8%, con il 96,4% della popolazione appartenente a una delle due grandi Chiese: la formulazione fowid è testuale — «1950 waren 96,4 % der Bevölkerung Mitglied einer der beiden Kirchen, mit einem etwas größeren Anteil der Evangelischen (50,6 %) gegenüber den Katholiken (45,8 %)». fowid (https://fowid.de/sites/default/files/download/religionszugehoerigkeit_bevoelkerung_1950-2005.pdf) Una fonte storiografica indipendente, il saggio «Konfession und Wahlverhalten in Deutschland» del Themenportal Europäische Geschichte (clio-online), fornisce per il 1950 valori leggermente diversi — protestanti al 51,2% e cattolici al 45,2% — precisando che i cattolici uscirono definitivamente dalla situazione di minoranza solo nel 1976, quando fu raggiunta la parità; Clio Online (https://www.europa.clio-online.de/essay/id/fdae-1690) la divergenza fra le due serie (fowid e clio-online) va riportata e non incide sulla sostanza. Nel 1970 i protestanti erano il 47,7% e i cattolici il 44,6% (fowid), fowid (https://fowid.de/meldung/religionszugehoerigkeiten-deutschland-2015) con il 92–93% della popolazione ancora appartenente alle due Chiese. Il dato dirimente è dunque pienamente acquisito e converge da fonti diverse: nella Repubblica Federale del secondo dopoguerra i cattolici erano una minoranza relativa, non una maggioranza, benché una minoranza molto ampia e prossima alla metà della popolazione.</w:t>
      </w:r>
    </w:p>
    <w:p>
      <w:pPr>
        <w:spacing w:after="120" w:line="276"/>
        <w:jc w:val="both"/>
      </w:pPr>
      <w:r>
        <w:rPr>
          <w:rFonts w:ascii="Barlow Semi Condensed" w:cs="Barlow Semi Condensed" w:eastAsia="Barlow Semi Condensed" w:hAnsi="Barlow Semi Condensed"/>
          <w:sz w:val="24"/>
          <w:szCs w:val="24"/>
        </w:rPr>
        <w:t xml:space="preserve">Questo esito falsifica, per il caso tedesco, la prima delle due condizioni della proposizione del committente. La Germania federale, considerata nel suo complesso, era a maggioranza (relativa) protestante; eppure l'Opus Dei vi si insediò stabilmente nel 1952. La divisione della Germania fu una determinante decisiva di questo assetto: la perdita dei territori orientali e la costituzione della DDR modificarono il peso confessionale relativo rispetto al Reich del 1871, quando i protestanti superavano il 60% ed erano religione di Stato; fowid (https://fowid.de/meldung/deutschland-konfessionen) sul territorio dei Länder poi confluiti nella Repubblica Federale esisteva invece, come nota fowid, una proporzione «quasi paritaria» fra protestanti e cattolici (dell'ordine di 51:48, 52:47). fowid (https://fowid.de/meldung/deutschland-konfessionen) La distribuzione regionale mantenne concentrazioni cattoliche nettissime: Baviera, Renania, Vestfalia e Saarland, quest'ultimo con il 98,2% di appartenenti alle Chiese nel 1950 e una schiacciante maggioranza cattolica. fowid (https://fowid.de/meldung/deutschland-3-katholische-sueden-und-westen) Fino al 1970 il cattolicesimo restò la religione di maggioranza nella Renania-Vestfalia. fowid (https://fowid.de/meldung/deutschland-3-katholische-sueden-und-westen) L'espulsione dei tedeschi dai territori orientali (dai Sudeti, dalla Slesia, dalla Prussia orientale) produsse una mescolanza confessionale nelle regioni di accoglienza, con effetti di erosione del milieu cattolico documentati dalla storiografia specialistica: Michael Hirschfeld, nella monografia </w:t>
      </w:r>
      <w:r>
        <w:rPr>
          <w:rFonts w:ascii="Barlow Semi Condensed" w:cs="Barlow Semi Condensed" w:eastAsia="Barlow Semi Condensed" w:hAnsi="Barlow Semi Condensed"/>
          <w:i/>
          <w:iCs/>
          <w:sz w:val="24"/>
          <w:szCs w:val="24"/>
        </w:rPr>
        <w:t xml:space="preserve">Katholisches Milieu und Vertriebene. Eine Fallstudie am Beispiel des Oldenburger Landes 1945–1965</w:t>
      </w:r>
      <w:r>
        <w:rPr>
          <w:rFonts w:ascii="Barlow Semi Condensed" w:cs="Barlow Semi Condensed" w:eastAsia="Barlow Semi Condensed" w:hAnsi="Barlow Semi Condensed"/>
          <w:sz w:val="24"/>
          <w:szCs w:val="24"/>
        </w:rPr>
        <w:t xml:space="preserve">, colloca l'inizio dell'erosione del milieu cattolico già nell'immediato dopoguerra, per effetto dell'afflusso dei profughi, anticipandolo rispetto alla lettura corrente che lo legava alla contestazione del 1968. Perlentaucher (https://www.perlentaucher.de/buch/michael-hirschfeld/katholisches-milieu-und-vertriebene.html?r=print)</w:t>
      </w:r>
    </w:p>
    <w:p>
      <w:pPr>
        <w:pStyle w:val="Heading2"/>
        <w:spacing w:after="100" w:before="200"/>
      </w:pPr>
      <w:r>
        <w:rPr>
          <w:rFonts w:ascii="Barlow Semi Condensed" w:cs="Barlow Semi Condensed" w:eastAsia="Barlow Semi Condensed" w:hAnsi="Barlow Semi Condensed"/>
          <w:sz w:val="24"/>
          <w:szCs w:val="24"/>
        </w:rPr>
        <w:t xml:space="preserve">Capitolo V — Il ceto cattolico tedesco come milieu socialmente organizzato</w:t>
      </w:r>
    </w:p>
    <w:p>
      <w:pPr>
        <w:spacing w:after="120" w:line="276"/>
        <w:jc w:val="both"/>
      </w:pPr>
      <w:r>
        <w:rPr>
          <w:rFonts w:ascii="Barlow Semi Condensed" w:cs="Barlow Semi Condensed" w:eastAsia="Barlow Semi Condensed" w:hAnsi="Barlow Semi Condensed"/>
          <w:sz w:val="24"/>
          <w:szCs w:val="24"/>
        </w:rPr>
        <w:t xml:space="preserve">La seconda condizione della proposizione — la disponibilità di un ceto universitario e professionale cattolico autoctono — è nel caso tedesco non solo soddisfatta, ma soddisfatta in misura eccezionale, tanto che essa costituisce il vero perno esplicativo dell'insediamento. La storiografia tedesca dispone di una categoria consolidata per descrivere questo fenomeno, quella di «katholisches Milieu», milieu cattolico socialmente organizzato, e ne individua indicatori precisi. Esisteva una tradizione partitica di lungo periodo — lo Zentrum, poi confluito, insieme alla bavarese Bayerische Volkspartei, nell'interconfessionale CDU/CSU del dopoguerra; Clio Online (https://www.europa.clio-online.de/essay/id/fdae-1690) esisteva una fitta rete associativa e caritativa (il Kolpingwerk, i Katholikentag, le opere assistenziali Misereor e Adveniat, entrambe promosse proprio da Frings); Wikipedia (https://en.wikipedia.org/wiki/Josef_Frings) esisteva una stampa cattolica strutturata; esistevano le associazioni studentesche cattoliche organizzate nel Cartellverband, l'associazione degli accademici cattolici (Katholischer Akademikerverband), la Görres-Gesellschaft per la promozione della scienza, e il sistema delle facoltà teologiche di Stato. La letteratura politologica (Kühr, Oberndörfer e altri) descrive per la Germania un'«asimmetria confessionale-politica»: esisteva un milieu cattolico, una partitica cattolica, un cattolicesimo politico, senza un equivalente protestante di pari organizzazione. Springer (https://link.springer.com/chapter/10.1007/978-3-322-88718-4_27) La bibliografia specialistica su questo tema — dalla voce enciclopedica tedesca ai saggi di Springer — qualifica dunque il cattolicesimo tedesco del dopoguerra proprio come milieu socialmente organizzato, e non come mera confessione statistica.</w:t>
      </w:r>
    </w:p>
    <w:p>
      <w:pPr>
        <w:spacing w:after="120" w:line="276"/>
        <w:jc w:val="both"/>
      </w:pPr>
      <w:r>
        <w:rPr>
          <w:rFonts w:ascii="Barlow Semi Condensed" w:cs="Barlow Semi Condensed" w:eastAsia="Barlow Semi Condensed" w:hAnsi="Barlow Semi Condensed"/>
          <w:sz w:val="24"/>
          <w:szCs w:val="24"/>
        </w:rPr>
        <w:t xml:space="preserve">È in questo milieu, e non in una consistenza maggioritaria che non esisteva, che va cercata la base sociale dell'insediamento, e le fonti lo confermano puntualmente. L'Opus Dei si radicò precisamente sul ceto studentesco e professionale cattolico delle città renane universitarie: la prima residenza fu uno Studentenheim a Bonn, sede dell'università e della capitale federale, e il primo lavoro femminile a Colonia fu uno Studentinnenheim. È significativo che le due tedesche che accolsero le prime tre spagnole alla stazione centrale di Colonia il 12 ottobre 1956 fossero Käthe Retz (1928–2018), assistente all'Università di Bonn dove aveva studiato psicologia, e Marlies Kücking (nata 1936), all'epoca matricola universitaria: Opus Dei (https://opusdei.org/en/article/fragments-of-history-campus-muengersdorf/) espressione diretta e nominata di quel ceto accademico cattolico su cui l'apostolato poteva radicarsi. Anche il profilo dei primi tre membri arrivati nel 1952 — un ingegnere-sacerdote, un commercialista e un filosofo destinato alla cattedra di Münster — conferma la selettività verso l'ambiente universitario e professionale, coerente con la strategia originaria dell'ente, sin dagli anni spagnoli, di rivolgersi anzitutto agli intellettuali e agli studenti universitari. DeWiki (https://dewiki.de/Lexikon/Opus_Dei)</w:t>
      </w:r>
    </w:p>
    <w:p>
      <w:pPr>
        <w:pStyle w:val="Heading2"/>
        <w:spacing w:after="100" w:before="200"/>
      </w:pPr>
      <w:r>
        <w:rPr>
          <w:rFonts w:ascii="Barlow Semi Condensed" w:cs="Barlow Semi Condensed" w:eastAsia="Barlow Semi Condensed" w:hAnsi="Barlow Semi Condensed"/>
          <w:sz w:val="24"/>
          <w:szCs w:val="24"/>
        </w:rPr>
        <w:t xml:space="preserve">Capitolo VI — La conseguenza per la proposizione del committente</w:t>
      </w:r>
    </w:p>
    <w:p>
      <w:pPr>
        <w:spacing w:after="120" w:line="276"/>
        <w:jc w:val="both"/>
      </w:pPr>
      <w:r>
        <w:rPr>
          <w:rFonts w:ascii="Barlow Semi Condensed" w:cs="Barlow Semi Condensed" w:eastAsia="Barlow Semi Condensed" w:hAnsi="Barlow Semi Condensed"/>
          <w:sz w:val="24"/>
          <w:szCs w:val="24"/>
        </w:rPr>
        <w:t xml:space="preserve">Il caso tedesco produce una conseguenza netta, che si enuncia senza adattamenti in ossequio all'esplicita richiesta di non difendere la proposizione ma di sottoporla al caso avverso. La prima condizione — la maggioranza cattolica — cade: la Repubblica Federale non era a maggioranza cattolica nel 1952 e non lo divenne mai nel periodo 1952–1985. La seconda condizione — il ceto universitario e professionale cattolico autoctono — è invece pienamente soddisfatta, e nella forma più robusta possibile, quella di un milieu organizzato. L'insediamento, inoltre, non fu territorialmente indifferenziato: avvenne selettivamente nelle regioni e nelle città a forte presenza cattolica dell'ovest (Bonn, Colonia, la Renania), su iniziativa e con il patrocinio dell'ordinario cattolico locale, e raggiunse la Baviera cattolica soltanto un quarto di secolo dopo. Ne segue che, per la Germania, la proposizione va riformulata: opera la seconda condizione, non la prima. La maggioranza cattolica nazionale non è necessaria all'insediamento; la presenza di un ceto cattolico autoctono organizzato, concentrato regionalmente, sì.</w:t>
      </w:r>
    </w:p>
    <w:p>
      <w:pPr>
        <w:spacing w:after="120" w:line="276"/>
        <w:jc w:val="both"/>
      </w:pPr>
      <w:r>
        <w:rPr>
          <w:rFonts w:ascii="Barlow Semi Condensed" w:cs="Barlow Semi Condensed" w:eastAsia="Barlow Semi Condensed" w:hAnsi="Barlow Semi Condensed"/>
          <w:sz w:val="24"/>
          <w:szCs w:val="24"/>
        </w:rPr>
        <w:t xml:space="preserve">Va tuttavia aggiunta una precisazione che complica la lettura semplice, e che la correttezza logica impone di esplicitare. Il committente ha definito la proposizione falsificabile «dal reperimento di un insediamento stabile in un Paese a maggioranza non cattolica </w:t>
      </w:r>
      <w:r>
        <w:rPr>
          <w:rFonts w:ascii="Barlow Semi Condensed" w:cs="Barlow Semi Condensed" w:eastAsia="Barlow Semi Condensed" w:hAnsi="Barlow Semi Condensed"/>
          <w:i/>
          <w:iCs/>
          <w:sz w:val="24"/>
          <w:szCs w:val="24"/>
        </w:rPr>
        <w:t xml:space="preserve">e</w:t>
      </w:r>
      <w:r>
        <w:rPr>
          <w:rFonts w:ascii="Barlow Semi Condensed" w:cs="Barlow Semi Condensed" w:eastAsia="Barlow Semi Condensed" w:hAnsi="Barlow Semi Condensed"/>
          <w:sz w:val="24"/>
          <w:szCs w:val="24"/>
        </w:rPr>
        <w:t xml:space="preserve"> privo di ceto cattolico autoctono». Il caso tedesco soddisfa il primo requisito (maggioranza non cattolica) ma non il secondo, perché la Germania è, al contrario, un Paese dotatissimo di ceto cattolico autoctono. Il caso tedesco falsifica dunque la sola prima condizione, dimostrando che essa non è necessaria; ma non costituisce la confutazione integrale della proposizione congiunta, la quale richiederebbe un insediamento in un Paese che difetti di entrambe le condizioni. La confutazione integrale andrebbe cercata nei casi asiatici e africani elencati dal committente fra i potenzialmente confutanti — Giappone 1958, Kenya 1958, Nigeria 1965, India 1993, ISJE (https://www.isje.org/en/history-of-opus-dei/) Kazakistan 1997, Indonesia 2008, Sri Lanka 2011 — non esaminati in questa sede e che restano il naturale prolungamento della ricerca. La Germania, in conclusione, non abbatte l'intera proposizione ma ne demolisce con certezza documentale la prima metà.</w:t>
      </w:r>
    </w:p>
    <w:p>
      <w:pPr>
        <w:pStyle w:val="Heading2"/>
        <w:spacing w:after="100" w:before="200"/>
      </w:pPr>
      <w:r>
        <w:rPr>
          <w:rFonts w:ascii="Barlow Semi Condensed" w:cs="Barlow Semi Condensed" w:eastAsia="Barlow Semi Condensed" w:hAnsi="Barlow Semi Condensed"/>
          <w:sz w:val="24"/>
          <w:szCs w:val="24"/>
        </w:rPr>
        <w:t xml:space="preserve">Capitolo VII — Il confronto sistematico con gli altri casi europei</w:t>
      </w:r>
    </w:p>
    <w:p>
      <w:pPr>
        <w:spacing w:after="120" w:line="276"/>
        <w:jc w:val="both"/>
      </w:pPr>
      <w:r>
        <w:rPr>
          <w:rFonts w:ascii="Barlow Semi Condensed" w:cs="Barlow Semi Condensed" w:eastAsia="Barlow Semi Condensed" w:hAnsi="Barlow Semi Condensed"/>
          <w:sz w:val="24"/>
          <w:szCs w:val="24"/>
        </w:rPr>
        <w:t xml:space="preserve">Il confronto con gli altri Paesi europei rafforza e precisa la conclusione. La cronologia ufficiale dell'ente (Centro Studi Escrivá dell'Università di Navarra, e cronologia della Prelatura) registra le seguenti date d'inizio del lavoro stabile: Portogallo 1945; Italia e Gran Bretagna 1946; Francia e Irlanda 1947; Germania 1952; Svizzera 1956; Austria 1957; Opus Dei (https://opusdei.org/de-de/article/pressemitteilung-die-praelatur-opus-dei-in-mitteleuropa-stellt-sich-neu-auf-de/) University of Navarra (https://en.unav.edu/web/josemaria-escriva-study-centre/opus-dei-y-prelados) Olanda 1959 o 1960 (le fonti dell'ente divergono fra le due date, e la divergenza si riporta); Belgio 1965; Svezia 1984. University of Navarra (https://en.unav.edu/web/josemaria-escriva-study-centre/opus-dei-y-prelados) Due casi sono dirimenti quanto quello tedesco, poiché riguardano Paesi a maggioranza protestante: la Gran Bretagna (1946) e la Svezia (1984). In Gran Bretagna il lavoro iniziò il 28 dicembre 1946 con l'arrivo a Londra dello spagnolo Juan Antonio Galarraga (1920–2005), Opus Dei (https://opusdei.org/en-uk/article/history-of-opus-dei-in-britain/) numerario dal 1940, giunto per proseguire la ricerca post-dottorale in farmacia alla London University; Opus Dei (https://opusdei.org/en-uk/article/history-of-opus-dei-in-britain/) la prima residenza fu a Rutland Court, poi trasferita a Netherhall House a Hampstead, e il primo centro femminile aprì nel 1952. Opus Dei (https://opusdei.org/en-uk/article/history-of-opus-dei-in-britain/) La Gran Bretagna era ed è a maggioranza protestante (anglicana), con una minoranza cattolica organizzata: il caso conferma indipendentemente dalla Germania che la maggioranza cattolica non è condizione necessaria, mentre lo sono la presenza di un grande ambiente universitario (Londra) e di una minoranza cattolica su cui radicarsi. Anzi, la Gran Bretagna precede la Germania di sei anni e mostra che l'ente, sin dalla sua prima espansione europea, non selezionò i Paesi in base alla confessione maggioritaria.</w:t>
      </w:r>
    </w:p>
    <w:p>
      <w:pPr>
        <w:spacing w:after="120" w:line="276"/>
        <w:jc w:val="both"/>
      </w:pPr>
      <w:r>
        <w:rPr>
          <w:rFonts w:ascii="Barlow Semi Condensed" w:cs="Barlow Semi Condensed" w:eastAsia="Barlow Semi Condensed" w:hAnsi="Barlow Semi Condensed"/>
          <w:sz w:val="24"/>
          <w:szCs w:val="24"/>
        </w:rPr>
        <w:t xml:space="preserve">La Svezia (1984) è il caso a maggioranza protestante più estremo, con una minoranza cattolica minima e in larga parte non autoctona. La cronologia ufficiale la registra come inizio del lavoro stabile, ma una fonte critica specializzata (opus-info.org) segnala che nei Paesi di più recente impianto — «Svezia, Ungheria, Russia» — la grande maggioranza dei numerari sono di provenienza spagnola. Opus-Info (https://www.opus-info.org/index.php/Statistik_der_Mitglieder_des_Opus_Dei) Ciò suggerisce che in questi casi l'insediamento poggi inizialmente su membri importati più che su un ceto autoctono, il che indebolisce anche la seconda condizione e complica ulteriormente il quadro: là dove manca il ceto cattolico autoctono, l'ente sembra procedere per trapianto di personale, non per radicamento locale. La Svizzera (1956, primo centro a Zurigo, città a forte componente protestante, con l'arrivo dall'Italia dell'architetto Pedro Turull e del sacerdote-psichiatra Johannes B. Torelló, entrambi provenienti dall'attività a Napoli, Milano e Palermo), Novaradio (https://novaradio.ch/deutsch/opus-dei/) l'Austria (1957, Vienna, cattolica e concepita dal fondatore come «porta verso l'Europa centro-orientale»), l'Olanda (mista con forte minoranza cattolica) e il Belgio (1965, cattolico) completano il quadro. La regolarità che emerge dall'insieme dei casi europei non è la maggioranza cattolica del Paese, bensì la compresenza di città universitarie e di un nucleo cattolico: autoctono e organizzato dove esiste (Germania, Austria, Belgio, Svizzera renana), importato dalla Spagna dove il cattolicesimo autoctono è debole (Svezia). Il confronto europeo, dunque, corrobora la falsificazione della prima condizione ottenuta sul caso tedesco.</w:t>
      </w:r>
    </w:p>
    <w:p>
      <w:pPr>
        <w:pStyle w:val="Heading2"/>
        <w:spacing w:after="100" w:before="200"/>
      </w:pPr>
      <w:r>
        <w:rPr>
          <w:rFonts w:ascii="Barlow Semi Condensed" w:cs="Barlow Semi Condensed" w:eastAsia="Barlow Semi Condensed" w:hAnsi="Barlow Semi Condensed"/>
          <w:sz w:val="24"/>
          <w:szCs w:val="24"/>
        </w:rPr>
        <w:t xml:space="preserve">Capitolo VIII — L'Opus Dei e la vita pubblica tedesca; le controversie</w:t>
      </w:r>
    </w:p>
    <w:p>
      <w:pPr>
        <w:spacing w:after="120" w:line="276"/>
        <w:jc w:val="both"/>
      </w:pPr>
      <w:r>
        <w:rPr>
          <w:rFonts w:ascii="Barlow Semi Condensed" w:cs="Barlow Semi Condensed" w:eastAsia="Barlow Semi Condensed" w:hAnsi="Barlow Semi Condensed"/>
          <w:sz w:val="24"/>
          <w:szCs w:val="24"/>
        </w:rPr>
        <w:t xml:space="preserve">Attenendosi rigorosamente ai fatti pubblici documentati e alla prescrizione che l'appartenenza non prova la condotta, si può accertare quanto segue circa la presenza dell'ente nella vita pubblica, accademica ed economica tedesca del periodo 1952–1985. Il membro tedesco di maggiore rilievo accademico documentato dalla fonte ufficiale è Fernando Inciarte (1929–2000), filosofo divenuto ordinario all'Università di Münster; ma Inciarte era di origine spagnola, tra i primissimi arrivati del 1952, e non un tedesco autoctono reclutato in loco, circostanza che va segnalata per non falsare il quadro. La rete istituzionale collegata all'apostolato comprende la «Studentische Kulturgemeinschaft e.V.», fondata nel 1953 come organizzazione-quadro dello Studentenheim di Bonn e di successivi centri educativi (le case «Hoher Weg» ad Augsburg, «Fausenburg» a Trier, «Am Städel» a Francoforte, «Weidenau» a Monaco), la cui direzione spirituale è affidata all'Opus Dei; Antifaschistisches Infoblatt (https://antifainfoblatt.de/aib85/opus-dei-kampftruppe-gottes) e le case di formazione Aufderhöhe a Solingen, Zieglerhof a Ettal in Baviera e Haus Hardtberg nell'Eifel. Sono fatti pubblici e documentati dalla stessa fonte dell'ente. Non risultano invece, dalle fonti reperite, membri tedeschi autoctoni in posizioni pubbliche o economiche di primo piano documentati per il periodo con fonti affidabili: l'individuazione richiederebbe l'accesso agli archivi della Prelatura, e ogni attribuzione andrebbe comunque tenuta distinta da qualunque inferenza sulla condotta dell'ente.</w:t>
      </w:r>
    </w:p>
    <w:p>
      <w:pPr>
        <w:spacing w:after="120" w:line="276"/>
        <w:jc w:val="both"/>
      </w:pPr>
      <w:r>
        <w:rPr>
          <w:rFonts w:ascii="Barlow Semi Condensed" w:cs="Barlow Semi Condensed" w:eastAsia="Barlow Semi Condensed" w:hAnsi="Barlow Semi Condensed"/>
          <w:sz w:val="24"/>
          <w:szCs w:val="24"/>
        </w:rPr>
        <w:t xml:space="preserve">Sul fronte delle controversie pubbliche, la Germania fu teatro di una polemica accesa soprattutto a partire dagli anni Ottanta, coincidenti con l'erezione a prelatura personale. Il giornalista Peter Hertel fu il principale critico: pubblicò trasmissioni radiofoniche e i volumi </w:t>
      </w:r>
      <w:r>
        <w:rPr>
          <w:rFonts w:ascii="Barlow Semi Condensed" w:cs="Barlow Semi Condensed" w:eastAsia="Barlow Semi Condensed" w:hAnsi="Barlow Semi Condensed"/>
          <w:i/>
          <w:iCs/>
          <w:sz w:val="24"/>
          <w:szCs w:val="24"/>
        </w:rPr>
        <w:t xml:space="preserve">Ich verspreche euch den Himmel</w:t>
      </w:r>
      <w:r>
        <w:rPr>
          <w:rFonts w:ascii="Barlow Semi Condensed" w:cs="Barlow Semi Condensed" w:eastAsia="Barlow Semi Condensed" w:hAnsi="Barlow Semi Condensed"/>
          <w:sz w:val="24"/>
          <w:szCs w:val="24"/>
        </w:rPr>
        <w:t xml:space="preserve"> (Patmos, 1985) e </w:t>
      </w:r>
      <w:r>
        <w:rPr>
          <w:rFonts w:ascii="Barlow Semi Condensed" w:cs="Barlow Semi Condensed" w:eastAsia="Barlow Semi Condensed" w:hAnsi="Barlow Semi Condensed"/>
          <w:i/>
          <w:iCs/>
          <w:sz w:val="24"/>
          <w:szCs w:val="24"/>
        </w:rPr>
        <w:t xml:space="preserve">Schleichende Übernahme</w:t>
      </w:r>
      <w:r>
        <w:rPr>
          <w:rFonts w:ascii="Barlow Semi Condensed" w:cs="Barlow Semi Condensed" w:eastAsia="Barlow Semi Condensed" w:hAnsi="Barlow Semi Condensed"/>
          <w:sz w:val="24"/>
          <w:szCs w:val="24"/>
        </w:rPr>
        <w:t xml:space="preserve"> (Publik-Forum, 2002). Opus Dei (https://opusdei.org/de-de/article/dauerbrenner-opus-dei-verdachtigung/) Klaus Steigleder pubblicò </w:t>
      </w:r>
      <w:r>
        <w:rPr>
          <w:rFonts w:ascii="Barlow Semi Condensed" w:cs="Barlow Semi Condensed" w:eastAsia="Barlow Semi Condensed" w:hAnsi="Barlow Semi Condensed"/>
          <w:i/>
          <w:iCs/>
          <w:sz w:val="24"/>
          <w:szCs w:val="24"/>
        </w:rPr>
        <w:t xml:space="preserve">Das Opus Dei. Eine Innenansicht</w:t>
      </w:r>
      <w:r>
        <w:rPr>
          <w:rFonts w:ascii="Barlow Semi Condensed" w:cs="Barlow Semi Condensed" w:eastAsia="Barlow Semi Condensed" w:hAnsi="Barlow Semi Condensed"/>
          <w:sz w:val="24"/>
          <w:szCs w:val="24"/>
        </w:rPr>
        <w:t xml:space="preserve"> (1983, poi in quarta edizione nel 1990). Springer (https://link.springer.com/chapter/10.1007/978-3-322-95152-6_2) L'ente reagì per via legale e per via apologetica: il 27 novembre 1984 lo studio legale monacense Gritschneder/Ehrensperger/Widl presentò, per conto dell'«Opus Dei e.V.» e del vicario regionale César Ortiz, una querela presso la sezione civile del Landgericht München I; IBKA (https://www.ibka.org/artikel/miz86/opusdei.html) e diffuse contro-pubblicazioni ufficiali (Hans Thomas, </w:t>
      </w:r>
      <w:r>
        <w:rPr>
          <w:rFonts w:ascii="Barlow Semi Condensed" w:cs="Barlow Semi Condensed" w:eastAsia="Barlow Semi Condensed" w:hAnsi="Barlow Semi Condensed"/>
          <w:i/>
          <w:iCs/>
          <w:sz w:val="24"/>
          <w:szCs w:val="24"/>
        </w:rPr>
        <w:t xml:space="preserve">Opus Dei: Vorwürfe und Antworten</w:t>
      </w:r>
      <w:r>
        <w:rPr>
          <w:rFonts w:ascii="Barlow Semi Condensed" w:cs="Barlow Semi Condensed" w:eastAsia="Barlow Semi Condensed" w:hAnsi="Barlow Semi Condensed"/>
          <w:sz w:val="24"/>
          <w:szCs w:val="24"/>
        </w:rPr>
        <w:t xml:space="preserve">). Nel dicembre 1984 una parrocchia di Colonia rifiutò di accogliere il primo parroco Opus Dei della Germania Ovest, padre Peter Irrgang, che fu poi accolto dalla piccola comunità di Kreuzweingarten Christian Science Monitor (https://www.csmonitor.com/1984/1231/123131.html) (Christian Science Monitor, 31 dicembre 1984): l'episodio documenta al tempo stesso una reticenza a livello di singola parrocchia e la persistente accoglienza a livello diocesano. Quanto alla gerarchia, non risulta dalle fonti reperite una presa di posizione formale e negativa della Deutsche Bischofskonferenz contro l'ente; l'erezione a prelatura personale con la costituzione apostolica </w:t>
      </w:r>
      <w:r>
        <w:rPr>
          <w:rFonts w:ascii="Barlow Semi Condensed" w:cs="Barlow Semi Condensed" w:eastAsia="Barlow Semi Condensed" w:hAnsi="Barlow Semi Condensed"/>
          <w:i/>
          <w:iCs/>
          <w:sz w:val="24"/>
          <w:szCs w:val="24"/>
        </w:rPr>
        <w:t xml:space="preserve">Ut sit</w:t>
      </w:r>
      <w:r>
        <w:rPr>
          <w:rFonts w:ascii="Barlow Semi Condensed" w:cs="Barlow Semi Condensed" w:eastAsia="Barlow Semi Condensed" w:hAnsi="Barlow Semi Condensed"/>
          <w:sz w:val="24"/>
          <w:szCs w:val="24"/>
        </w:rPr>
        <w:t xml:space="preserve"> (datata 28 novembre 1982, con atto esecutivo del 19 marzo 1983) fu preceduta, secondo la fonte ufficiale, dalla consultazione degli «oltre duemila vescovi delle diocesi nelle quali l'Opus Dei era presente», Opus Dei (https://opusdei.org/de/article/die-personalpraelatur-opus-dei-wie-sie-organisiert-ist-und-wie-sie-arbeitet/) Opus Dei (https://opusdei.org/it-it/article/prelatura-personale/) tra cui gli ordinari tedeschi, e la dichiarazione di Álvaro del Portillo alla Conferenza episcopale tedesca è documentata (Presseamt des Erzbistums Köln, Dokumente 185, 3 settembre 1983). Opus Dei (https://multimedia.opusdei.org/pdf/de/vorwuerfe.pdf) Circa l'atteggiamento della Democrazia Cristiana tedesca e dei partiti dell'Unione verso l'istituzione, le fonti reperite non documentano una posizione ufficiale di partito, e l'esito è pertanto uno Stato Zero da colmare presso l'Archiv für Christlich-Demokratische Politik della Konrad-Adenauer-Stiftung. Si applica per l'intero capitolo la prescrizione assoluta: nessuno dei fatti qui riportati — l'appartenenza di questa o quella persona, il possesso di questa o quella struttura — costituisce di per sé prova di una condotta dell'organizzazione.</w:t>
      </w:r>
    </w:p>
    <w:p>
      <w:pPr>
        <w:pStyle w:val="Heading2"/>
        <w:spacing w:after="100" w:before="200"/>
      </w:pPr>
      <w:r>
        <w:rPr>
          <w:rFonts w:ascii="Barlow Semi Condensed" w:cs="Barlow Semi Condensed" w:eastAsia="Barlow Semi Condensed" w:hAnsi="Barlow Semi Condensed"/>
          <w:sz w:val="24"/>
          <w:szCs w:val="24"/>
        </w:rPr>
        <w:t xml:space="preserve">Capitolo IX — Aldo Moro Ministro degli Esteri e la Repubblica Federale: gli atti della Ostpolitik</w:t>
      </w:r>
    </w:p>
    <w:p>
      <w:pPr>
        <w:spacing w:after="120" w:line="276"/>
        <w:jc w:val="both"/>
      </w:pPr>
      <w:r>
        <w:rPr>
          <w:rFonts w:ascii="Barlow Semi Condensed" w:cs="Barlow Semi Condensed" w:eastAsia="Barlow Semi Condensed" w:hAnsi="Barlow Semi Condensed"/>
          <w:sz w:val="24"/>
          <w:szCs w:val="24"/>
        </w:rPr>
        <w:t xml:space="preserve">Aldo Moro fu ministro degli Affari Esteri della Repubblica Italiana dal 5 agosto 1969 al 26 giugno 1972 (nei governi Rumor II e III, Colombo e Andreotti I) e dal 7 luglio 1973 al 23 novembre 1974 (nei governi Rumor IV e V), Esteri (https://www.esteri.it/it/ministero/storia/ministri_esteri/) come attesta la scheda ufficiale del Ministero degli Affari Esteri e della Cooperazione Internazionale. Il suo doppio mandato coincise con la fase centrale e più intensa della Ostpolitik del cancelliere Willy Brandt e del ministro degli Esteri, e vicecancelliere, Walter Scheel. I cinque atti la cui incidenza sulla posizione italiana costituiva l'obiettivo residuo della ricognizione anteriore sono: il Trattato di Mosca (12 agosto 1970), con cui la Repubblica Federale riconobbe la linea Oder-Neisse e rinunciò a rivendicazioni territoriali; willy-brandt-biography +2 (https://www.willy-brandt-biography.com/travels/1967-1974/) il Trattato di Varsavia (7 dicembre 1970) con la Polonia, di analogo contenuto; Wikipedia (https://en.wikipedia.org/wiki/Kniefall_von_Warschau) Dizie (https://www.dizie.eu/dizionario/ostpolitik/?print=pdf) l'Accordo quadripartito su Berlino (3 settembre 1971), siglato da Francia, Regno Unito, Stati Uniti e Unione Sovietica; LuissThesis (https://tesi.luiss.it/34225/1/090762_DI%20NARDO_FRANCESCO.pdf) il Trattato fondamentale fra le due Germanie (Grundlagenvertrag, 21 dicembre 1972); Berchet (https://liceoberchet.edu.it/ricerche/geo5d_06/csi/ostpolitik.htm) e l'ingresso di entrambe le Germanie alle Nazioni Unite (18 settembre 1973). Dizie (https://www.dizie.eu/dizionario/ostpolitik/?print=pdf) È già accertato, e qui si conferma, che il riconoscimento diplomatico italiano della Repubblica Democratica Tedesca avvenne SISSCO (https://www.sissco.it/recensione-annale/la-ddr-e-litalia-politica-commercio-e-ideologia-nelleuropa-del-cambiamento-1973-1985/) il 17 gennaio 1973, dunque nell'intervallo fra i due mandati di Moro, quando titolare della Farnesina era Giuseppe Medici; e che la collocazione del riconoscimento italiano dopo la firma del Grundlagenvertrag Fbk (https://aro-isig.fbk.eu/issues/2018/1/la-ddr-e-litalia-teresa-malice/pdf/) fu coerente con la sequenza concordata in ambito occidentale.</w:t>
      </w:r>
    </w:p>
    <w:p>
      <w:pPr>
        <w:spacing w:after="120" w:line="276"/>
        <w:jc w:val="both"/>
      </w:pPr>
      <w:r>
        <w:rPr>
          <w:rFonts w:ascii="Barlow Semi Condensed" w:cs="Barlow Semi Condensed" w:eastAsia="Barlow Semi Condensed" w:hAnsi="Barlow Semi Condensed"/>
          <w:sz w:val="24"/>
          <w:szCs w:val="24"/>
        </w:rPr>
        <w:t xml:space="preserve">La posizione puntuale del governo italiano su ciascuno dei cinque atti resta, nelle fonti secondarie reperite, ricostruibile solo per grandi linee, e va dichiarata in larga parte come Stato Zero da colmare in archivio. La cornice generale è però documentata dalla storiografia. Laura Fasanaro, nella monografia </w:t>
      </w:r>
      <w:r>
        <w:rPr>
          <w:rFonts w:ascii="Barlow Semi Condensed" w:cs="Barlow Semi Condensed" w:eastAsia="Barlow Semi Condensed" w:hAnsi="Barlow Semi Condensed"/>
          <w:i/>
          <w:iCs/>
          <w:sz w:val="24"/>
          <w:szCs w:val="24"/>
        </w:rPr>
        <w:t xml:space="preserve">La DDR e l'Italia. Politica, commercio e ideologia nell'Europa del cambiamento</w:t>
      </w:r>
      <w:r>
        <w:rPr>
          <w:rFonts w:ascii="Barlow Semi Condensed" w:cs="Barlow Semi Condensed" w:eastAsia="Barlow Semi Condensed" w:hAnsi="Barlow Semi Condensed"/>
          <w:sz w:val="24"/>
          <w:szCs w:val="24"/>
        </w:rPr>
        <w:t xml:space="preserve"> (Carocci, 2017 — le fonti indicano nel titolo sia il 1990 sia il 1985 come termine finale, divergenza editoriale che si riporta), primo studio italiano sulle relazioni politiche fra Italia e DDR, colloca l'inizio della trattazione proprio al 1973, anno del riconoscimento italiano. SISSCO (https://www.sissco.it/recensione-annale/la-ddr-e-litalia-politica-commercio-e-ideologia-nelleuropa-del-cambiamento-1973-1985/) Il recensore Francesco Di Palma (sehepunkte, 2018) sintetizza la tesi dell'autrice attestando che «le origini di questi rapporti presuntamente privilegiati risalgono all'azione del politico democristiano Aldo Moro», presidente del Consiglio dal 1963 al 1968 e poi dal 1974 al 1976 e «fautore di una coerente politica di distensione verso gli Stati del blocco orientale», strategia intesa a promuovere in modo differenziato il dialogo e la cooperazione politica ed economica con Paesi «realsocialisti» selezionati, anzitutto la DDR. SEHEPUNKTE (https://www.sehepunkte.de/2018/04/31274.html) L'Italia accolse dunque con favore la distensione brandtiana in quanto coerente con la propria linea, insieme europeista e atlantica; ma la posizione italiana sui singoli trattati — e in particolare l'atteggiamento sul negoziato quadripartito su Berlino, materia in cui l'Italia non era parte contraente ma alleato NATO interessato — non è documentata dalle fonti secondarie reperite e va cercata nella serie Germania dell'Archivio Storico Diplomatico del MAECI e nei volumi annuali degli </w:t>
      </w:r>
      <w:r>
        <w:rPr>
          <w:rFonts w:ascii="Barlow Semi Condensed" w:cs="Barlow Semi Condensed" w:eastAsia="Barlow Semi Condensed" w:hAnsi="Barlow Semi Condensed"/>
          <w:i/>
          <w:iCs/>
          <w:sz w:val="24"/>
          <w:szCs w:val="24"/>
        </w:rPr>
        <w:t xml:space="preserve">Akten zur Auswärtigen Politik der Bundesrepublik Deutschland</w:t>
      </w:r>
      <w:r>
        <w:rPr>
          <w:rFonts w:ascii="Barlow Semi Condensed" w:cs="Barlow Semi Condensed" w:eastAsia="Barlow Semi Condensed" w:hAnsi="Barlow Semi Condensed"/>
          <w:sz w:val="24"/>
          <w:szCs w:val="24"/>
        </w:rPr>
        <w:t xml:space="preserve"> (AAPD).</w:t>
      </w:r>
    </w:p>
    <w:p>
      <w:pPr>
        <w:pStyle w:val="Heading2"/>
        <w:spacing w:after="100" w:before="200"/>
      </w:pPr>
      <w:r>
        <w:rPr>
          <w:rFonts w:ascii="Barlow Semi Condensed" w:cs="Barlow Semi Condensed" w:eastAsia="Barlow Semi Condensed" w:hAnsi="Barlow Semi Condensed"/>
          <w:sz w:val="24"/>
          <w:szCs w:val="24"/>
        </w:rPr>
        <w:t xml:space="preserve">Capitolo X — Gli incontri Moro-Brandt e Moro-Scheel</w:t>
      </w:r>
    </w:p>
    <w:p>
      <w:pPr>
        <w:spacing w:after="120" w:line="276"/>
        <w:jc w:val="both"/>
      </w:pPr>
      <w:r>
        <w:rPr>
          <w:rFonts w:ascii="Barlow Semi Condensed" w:cs="Barlow Semi Condensed" w:eastAsia="Barlow Semi Condensed" w:hAnsi="Barlow Semi Condensed"/>
          <w:sz w:val="24"/>
          <w:szCs w:val="24"/>
        </w:rPr>
        <w:t xml:space="preserve">La ricognizione ha permesso di accertare, contro fonti nominate, alcuni incontri documentati e di distinguerli con precisione da quelli soltanto inferiti. La Bundeskanzler-Willy-Brandt-Stiftung, fonte ufficiale della cronologia dei viaggi di Brandt, documenta un incontro Moro-Brandt anteriore alla cancelleria: il 31 agosto-1º settembre 1969, a Roma, Brandt ancora ministro degli Esteri della Grande Coalizione ebbe «colloqui con il ministro degli Esteri Moro» willy-brandt-biography (https://www.willy-brandt-biography.com/travels/1967-1974/) — dunque un bilaterale fra ministri degli Esteri circa sette settimane prima che Brandt divenisse cancelliere e poche settimane dopo l'assunzione dell'incarico da parte di Moro. Come cancelliere, Brandt visitò Roma due volte nel 1970: il 12-14 luglio 1970, con colloqui con il presidente della Repubblica Giuseppe Saragat e il presidente del Consiglio Mariano Rumor, e udienza privata da Paolo VI in Vaticano; willy-brandt-biography (https://www.willy-brandt-biography.com/travels/1967-1974/) e il 23-25 novembre 1970, con colloqui con il presidente del Consiglio Emilio Colombo e con Saragat. willy-brandt-biography (https://www.willy-brandt-biography.com/travels/1967-1974/) La fonte ufficiale della Fondazione Brandt, che elenca selettivamente i soli capi di Stato e di governo, non nomina esplicitamente Moro come partecipante alle due visite del 1970; ma Moro era ministro degli Esteri in carica a entrambe le date, sicché la sua presenza ai colloqui bilaterali è altamente probabile pur non essendo documentata nominativamente. La distinzione fra il documentato e l'inferito va qui mantenuta con rigore: la conferma nominativa andrebbe cercata negli AAPD 1970 e nella serie Germania del MAECI. L'Istituto Luce conserva il filmato «Visita ufficiale del cancelliere Willy Brandt a Roma» (segnatura IL5000085939), catalogato al 1970, che mostra l'incontro Saragat-Brandt al Quirinale e il ricevimento da parte del sindaco di Roma Clelio Darida, senza tuttavia menzionare Moro né precisare il giorno.</w:t>
      </w:r>
    </w:p>
    <w:p>
      <w:pPr>
        <w:spacing w:after="120" w:line="276"/>
        <w:jc w:val="both"/>
      </w:pPr>
      <w:r>
        <w:rPr>
          <w:rFonts w:ascii="Barlow Semi Condensed" w:cs="Barlow Semi Condensed" w:eastAsia="Barlow Semi Condensed" w:hAnsi="Barlow Semi Condensed"/>
          <w:sz w:val="24"/>
          <w:szCs w:val="24"/>
        </w:rPr>
        <w:t xml:space="preserve">Un contatto Moro-Scheel a Bonn è documentato da una fonte primaria derivata: il documentario dei filmati amatoriali dell'ambasciatore italiano a Bonn Mario Luciolli (in carica 1964–1976), catalogato da Stefano Baldi, mostra nel 1971 a Bad Godesberg il presidente del Consiglio Emilio Colombo e il ministro degli Esteri Aldo Moro all'Ambasciata d'Italia, Wordpress (https://diplosor.wordpress.com/documentario-con-i-filmati-dellamb-mario-luciolli-1964-1984/) in un ricevimento cui presero parte anche Genscher e Scheel; wordpress (https://diplosor.wordpress.com/documentario-con-i-filmati-dellamb-mario-luciolli-1964-1984/) lo stesso documentario mostra Moro nuovamente nell'area di Bonn nel 1972, ancora ministro degli Esteri. Wordpress (https://diplosor.wordpress.com/documentario-con-i-filmati-dellamb-mario-luciolli-1964-1984/) La data calendariale esatta della visita Colombo-Moro del 1971 non è precisata dalla fonte (verosimilmente legata al semestre di presidenza italiana del Consiglio delle Comunità), e le datazioni «1971» e «1972» sono etichette dell'archivista da corroborare con gli AAPD e la serie Germania del MAECI. Non è stato invece possibile confermare, nelle fonti aperte, un singolo incontro bilaterale Moro-Scheel isolato e datato con precisione: la loro ripetuta compresenza ai Consigli dei ministri della CEE e alle ministeriali della NATO è accertata come prassi ricorrente ma non è itemizzata in incontri puntuali. Al Vertice dell'Aja (1-2 dicembre 1969) la delegazione italiana fu guidata dal presidente del Consiglio Mariano Rumor; Archive of European Integration (https://aei.pitt.edu/1451/1/hague_1969.pdf) la didascalia ufficiale della fotografia del vertice menziona i capi di Stato e di governo «e i loro ministri degli Esteri», Willy Brandt (https://www.willy-brandt-biography.com/travels/1967-1974/) sicché la partecipazione di Moro alla delegazione è implicita e coerente col suo ruolo, ma egli non è individualmente nominato nelle fonti reperite. In sintesi: è documentato con certezza il bilaterale Moro-Brandt del 31 agosto-1º settembre 1969; sono documentate le visite di Brandt a Roma del luglio e novembre 1970 e la presenza di Moro accanto a Colombo a Bonn nel 1971 in un contesto con Scheel; è inferita ma non confermata la partecipazione nominativa di Moro alle visite romane di Brandt e al Vertice dell'Aja; non è confermato un bilaterale Moro-Scheel isolato e datato.</w:t>
      </w:r>
    </w:p>
    <w:p>
      <w:pPr>
        <w:pStyle w:val="Heading2"/>
        <w:spacing w:after="100" w:before="200"/>
      </w:pPr>
      <w:r>
        <w:rPr>
          <w:rFonts w:ascii="Barlow Semi Condensed" w:cs="Barlow Semi Condensed" w:eastAsia="Barlow Semi Condensed" w:hAnsi="Barlow Semi Condensed"/>
          <w:sz w:val="24"/>
          <w:szCs w:val="24"/>
        </w:rPr>
        <w:t xml:space="preserve">Capitolo XI — Il versante economico, comunitario e migratorio</w:t>
      </w:r>
    </w:p>
    <w:p>
      <w:pPr>
        <w:spacing w:after="120" w:line="276"/>
        <w:jc w:val="both"/>
      </w:pPr>
      <w:r>
        <w:rPr>
          <w:rFonts w:ascii="Barlow Semi Condensed" w:cs="Barlow Semi Condensed" w:eastAsia="Barlow Semi Condensed" w:hAnsi="Barlow Semi Condensed"/>
          <w:sz w:val="24"/>
          <w:szCs w:val="24"/>
        </w:rPr>
        <w:t xml:space="preserve">I rapporti economici italo-tedeschi del periodo hanno il loro atto fondativo nell'Accordo per il reclutamento e il collocamento di manodopera italiana nella Repubblica Federale, firmato a Roma il 20 dicembre 1955. bpb (https://www.bpb.de/kurz-knapp/hintergrund-aktuell/324552/erstes-anwerbeabkommen-vor-65-jahren/) Sulla titolarità delle firme le fonti divergono, e la divergenza si riporta: la Fondazione Migrantes indica come firmatari il ministro federale del Lavoro Anton Storch e il ministro italiano degli Esteri Gaetano Martino; Fondazione Migrantes (https://www.migrantes.it/1955-2015-gastarbeiter-un-viaggio-lungo-60-anni/) altre fonti (Stampa Parlamento) indicano per parte tedesca il ministro dell'Economia Ludwig Erhard. Stampa Parlamento (https://www.stampaparlamento.it/2022/03/04/laccordo-italo-tedesco-del-20-dicembre-1955/) L'accordo avviò l'emigrazione dei cosiddetti Gastarbeiter, i «lavoratori ospiti», impiegati dapprima nel sud-ovest tedesco in agricoltura e nell'edilizia. Fondazione Migrantes (https://www.migrantes.it/1955-2015-gastarbeiter-un-viaggio-lungo-60-anni/) La dimensione del fenomeno è quantificata concordemente: la Bundeszentrale für politische Bildung attesta che «nei cinque decenni successivi giunsero a lavorare in Germania quasi quattro milioni di italiani» bpb (https://www.bpb.de/kurz-knapp/hintergrund-aktuell/324552/erstes-anwerbeabkommen-vor-65-jahren/) (bpb.de), dato ripreso anche dalla pubblicistica italiana; e lo storico Roberto Sala (Vierteljahrshefte für Zeitgeschichte, 55/2007) precisa che circa l'89% di quei quattro milioni fece poi ritorno in Italia, Wikipedia (https://de.wikipedia.org/wiki/Anwerbeabkommen_zwischen_der_Bundesrepublik_Deutschland_und_Italien) a conferma del carattere in larga parte circolare della migrazione. La questione migratoria fu una costante dei rapporti bilaterali durante il ministero Moro, intrecciata alla progressiva attuazione della libera circolazione dei lavoratori nella Comunità economica europea, Storicamente (https://storicamente.org/migrazioni-prontera) che rese in parte superfluo il canale dell'accordo bilaterale.</w:t>
      </w:r>
    </w:p>
    <w:p>
      <w:pPr>
        <w:spacing w:after="120" w:line="276"/>
        <w:jc w:val="both"/>
      </w:pPr>
      <w:r>
        <w:rPr>
          <w:rFonts w:ascii="Barlow Semi Condensed" w:cs="Barlow Semi Condensed" w:eastAsia="Barlow Semi Condensed" w:hAnsi="Barlow Semi Condensed"/>
          <w:sz w:val="24"/>
          <w:szCs w:val="24"/>
        </w:rPr>
        <w:t xml:space="preserve">Sul versante comunitario e monetario, il Vertice dell'Aja del 1-2 dicembre 1969 costituì lo snodo, e vi si colloca il tentativo italiano di bilanciare l'asse franco-tedesco, già accertato dal committente e qui documentato nel dettaglio. Nella ricostruzione storiografica (Maria Eleonora Guasconi; il saggio di Officina della Storia sul vertice), dei tre elementi del «trittico» — completamento, approfondimento, allargamento CVCE (https://www.cvce.eu/en/recherche/unit-content/-/unit/02bb76df-d066-4c08-a58a-d4686a3e68ff/a4b76b9e-9b8b-4752-9657-05e26c5a1f5d) — l'Italia, e personalmente Aldo Moro, sostenne apertamente l'ingresso della Gran Bretagna nella CEE nella speranza che una convergenza fra Roma e Londra servisse a bilanciare il preponderante asse franco-tedesco. Officinadellastoria (https://www.officinadellastoria.eu/it/2018/07/19/leuropa-tra-crisi-e-rilancio-il-vertice-dellaja-del-1969/) Per i timori nutriti verso l'unione economica e monetaria, Moro propose di accompagnare il cammino monetario con analoghi provvedimenti di cooperazione politica, con l'elezione diretta del Parlamento europeo e con una politica per la gioventù europea; Officinadellastoria (https://www.officinadellastoria.eu/it/2018/07/19/leuropa-tra-crisi-e-rilancio-il-vertice-dellaja-del-1969/) e, secondo la stessa ricostruzione, arrivò a minacciare di non partecipare al vertice se il presidente francese Pompidou non avesse inserito nel comunicato finale una data d'inizio dei negoziati con la Gran Bretagna, rendendosi protagonista anche di un «giallo» sulla data di convocazione del vertice. Officinadellastoria (https://www.officinadellastoria.eu/it/2018/07/19/leuropa-tra-crisi-e-rilancio-il-vertice-dellaja-del-1969/) Il mandato dell'Aja generò il Rapporto Werner (presentato l'8 maggio 1970, versione finale nell'ottobre 1970): sul piano dell'unione monetaria il piano tedesco «economicista» (Piano Schiller, 12 febbraio 1970) era appoggiato da Italia e Olanda, mentre il piano belga-lussemburghese «monetarista» era appoggiato dalla Francia. vLex (https://eu.vlex.com/vid/werner-istituzioni-governo-monetario-264867494) Il «serpente monetario» nacque nel 1972; la lira italiana ne uscì Unibo (https://aldomorodigitale.unibo.it/additional_resources/?id=141&amp;type=essay) nel febbraio 1973 e vi rientrò soltanto alla vigilia dell'entrata in funzione del Sistema Monetario Europeo nel 1979. Unipd (https://thesis.unipd.it/retrieve/a718646f-1fb5-445a-9b20-aeb407baaafb/Petrila_Andreea_Roxana.pdf) Il tentativo italiano di bilanciare l'asse franco-tedesco attraverso l'apertura a Londra e l'accoppiamento fra cooperazione monetaria e cooperazione politica fu dunque una costante della politica europea di Moro ministro degli Esteri.</w:t>
      </w:r>
    </w:p>
    <w:p>
      <w:pPr>
        <w:pStyle w:val="Heading2"/>
        <w:spacing w:after="100" w:before="200"/>
      </w:pPr>
      <w:r>
        <w:rPr>
          <w:rFonts w:ascii="Barlow Semi Condensed" w:cs="Barlow Semi Condensed" w:eastAsia="Barlow Semi Condensed" w:hAnsi="Barlow Semi Condensed"/>
          <w:sz w:val="24"/>
          <w:szCs w:val="24"/>
        </w:rPr>
        <w:t xml:space="preserve">Capitolo XII — Esiti negativi, documenti desecretati e archivi; tavola delle acquisizioni non conseguite</w:t>
      </w:r>
    </w:p>
    <w:p>
      <w:pPr>
        <w:spacing w:after="120" w:line="276"/>
        <w:jc w:val="both"/>
      </w:pPr>
      <w:r>
        <w:rPr>
          <w:rFonts w:ascii="Barlow Semi Condensed" w:cs="Barlow Semi Condensed" w:eastAsia="Barlow Semi Condensed" w:hAnsi="Barlow Semi Condensed"/>
          <w:sz w:val="24"/>
          <w:szCs w:val="24"/>
        </w:rPr>
        <w:t xml:space="preserve">Questo capitolo raccoglie gli esiti negativi, che secondo la prescrizione ricevuta sono acquisizioni di pieno valore, ciascuno con l'indicazione della sede presso cui la ricerca andrebbe condotta. Prima acquisizione mancata: nel CIA FOIA Electronic Reading Room e nella collezione CREST non è stato reperito, nelle ricerche condotte, alcun documento desecretato specificamente relativo all'Opus Dei in relazione alla Germania; l'esito negativo era previsto dal committente e va verificato mediante interrogazione diretta e sistematica del readingroom (foia.cia.gov/readingroom) con stringhe combinate, prima di considerarlo definitivo. Seconda: la posizione puntuale del governo italiano su ciascuno dei cinque atti della Ostpolitik non è documentata dalle fonti secondarie reperite; la sede di chiusura è la serie Germania 1969-1975 dell'Archivio Storico Diplomatico del Ministero degli Affari Esteri, con l'avvertenza già accertata dell'esclusione temporanea dei Telegrammi 1942-1970, e i volumi annuali degli AAPD editi dall'Institut für Zeitgeschichte per l'Auswärtiges Amt, oltre all'Edizione Nazionale delle Opere di Aldo Moro. Terza: la presenza nominativa di Moro alle visite di Brandt a Roma del luglio e del novembre 1970 e al Vertice dell'Aja è inferita ma non confermata; la sede di chiusura sono gli AAPD 1969-1970 e la serie Germania del MAECI. Quarta: un incontro bilaterale Moro-Scheel isolato e datato non è stato confermato; sede AAPD e MAECI, oltre alla documentazione dei Consigli CEE e delle ministeriali NATO. Quinta: la posizione ufficiale della CDU/CSU e dei partiti dell'Unione verso l'Opus Dei non è documentata; sede l'Archiv für Christlich-Demokratische Politik della Konrad-Adenauer-Stiftung. Sesta: la tesi di dottorato di Filippo Triola, discussa all'Università di Bologna nel 2013 sui rapporti politici ed economici italo-tedeschi dopo il 1945, Freie Universität Berlin (https://www.geisteswissenschaften.fu-berlin.de/it/italienzentrum/forschung-lehre/Gastdozent_innen/Ex-docenti/Filippo-Triola/index.html) è reperibile su AMS Dottorato di Unibo ma la parte edita e consultata copre prevalentemente il periodo 1945-1955 Unibo (https://amsdottorato.unibo.it/id/eprint/5721/1/Triola_Flippo_Tesi.pdf) (poi confluita nel volume </w:t>
      </w:r>
      <w:r>
        <w:rPr>
          <w:rFonts w:ascii="Barlow Semi Condensed" w:cs="Barlow Semi Condensed" w:eastAsia="Barlow Semi Condensed" w:hAnsi="Barlow Semi Condensed"/>
          <w:i/>
          <w:iCs/>
          <w:sz w:val="24"/>
          <w:szCs w:val="24"/>
        </w:rPr>
        <w:t xml:space="preserve">L'alleato naturale</w:t>
      </w:r>
      <w:r>
        <w:rPr>
          <w:rFonts w:ascii="Barlow Semi Condensed" w:cs="Barlow Semi Condensed" w:eastAsia="Barlow Semi Condensed" w:hAnsi="Barlow Semi Condensed"/>
          <w:sz w:val="24"/>
          <w:szCs w:val="24"/>
        </w:rPr>
        <w:t xml:space="preserve">, Le Monnier, 2017); il testo integrale andrebbe consultato per il periodo 1963-1972 di specifico interesse. Settima: la consistenza numerica storica dell'insediamento tedesco per gli anni 1952-1985 e la cronologia interna dettagliata non sono documentate dalle fonti aperte; la sede primaria è costituita dall'Archivio Generale della Prelatura a Roma e dal Centro Studi Josemaría Escrivá dell'Università di Navarra, entrambi ad accesso ristretto.</w:t>
      </w:r>
    </w:p>
    <w:p>
      <w:pPr>
        <w:spacing w:after="120" w:line="276"/>
        <w:jc w:val="both"/>
      </w:pPr>
      <w:r>
        <w:rPr>
          <w:rFonts w:ascii="Barlow Semi Condensed" w:cs="Barlow Semi Condensed" w:eastAsia="Barlow Semi Condensed" w:hAnsi="Barlow Semi Condensed"/>
          <w:sz w:val="24"/>
          <w:szCs w:val="24"/>
        </w:rPr>
        <w:t xml:space="preserve">La tavola discorsiva delle acquisizioni documentali necessarie e non conseguite, ordinate per rendimento atteso, si chiude come segue. A rendimento più alto si collocano congiuntamente la serie Germania dell'Archivio Storico Diplomatico del MAECI e i volumi degli AAPD: la loro consultazione chiuderebbe insieme la posizione italiana sui cinque atti della Ostpolitik e la conferma nominativa e datata degli incontri Moro-Brandt e Moro-Scheel; la condizione di chiusura è l'accesso in sala studio e il superamento dell'esclusione temporanea dei Telegrammi 1942-1970. A rendimento medio-alto si collocano gli archivi della Prelatura e il Centro Studi di Navarra, per i dati numerici storici e la cronologia interna dell'insediamento tedesco; condizione di chiusura è l'autorizzazione all'accesso ristretto. A rendimento medio si colloca l'Archiv für Christlich-Demokratische Politik, per l'atteggiamento dei partiti dell'Unione verso l'ente; condizione di chiusura è la consultazione dei fondi di partito. A rendimento incerto ma da verificare si colloca il CIA FOIA readingroom, con previsione di esito negativo; condizione di chiusura è l'interrogazione sistematica. Il Bundesarchiv di Coblenza e il Politisches Archiv des Auswärtigen Amts di Berlino completano il quadro documentale per il versante tedesco, sia diplomatico sia interno. Resta fermo, e non condizionato dalle acquisizioni mancanti, il risultato principale di questa ricerca: per la Germania la prima condizione della proposizione del committente — la maggioranza cattolica della popolazione — è falsificata con certezza documentale, poiché la Repubblica Federale era a maggioranza relativa protestante e l'Opus Dei vi si insediò comunque stabilmente nel 1952; mentre la seconda condizione — la disponibilità di un ceto universitario e professionale cattolico autoctono, qui presente nella forma robusta di un milieu socialmente organizzato — è pienamente confermata. Con l'avvertenza, che la correttezza logica impone di ribadire in chiusura, che il caso tedesco falsifica la sola prima condizione e non costituisce la confutazione integrale della proposizione congiunta, la quale resta affidata all'esame dei casi extraeuropei non ancora studiati.</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Germania e Opus Dei 1952-1985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III: 5.715 parole in 9 sezioni; la più ampia è §9 Altre sezioni, con 2.224.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III: 71 indirizzi di fonte citati, addensati in 8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IV. La Santa Sede e le due Germanie: la sequenza Oder-Neisse</w:t>
      </w:r>
    </w:p>
    <w:p>
      <w:pPr>
        <w:pStyle w:val="Heading1"/>
        <w:spacing w:after="120" w:before="240"/>
      </w:pPr>
      <w:r>
        <w:rPr>
          <w:rFonts w:ascii="Barlow Semi Condensed" w:cs="Barlow Semi Condensed" w:eastAsia="Barlow Semi Condensed" w:hAnsi="Barlow Semi Condensed"/>
          <w:sz w:val="24"/>
          <w:szCs w:val="24"/>
        </w:rPr>
        <w:t xml:space="preserve">Aldo Moro ministro degli Esteri, la Santa Sede e le due Germanie: ricognizione storiografica e archivistica, con l'accertamento della sequenza Oder-Neisse</w:t>
      </w:r>
    </w:p>
    <w:p>
      <w:pPr>
        <w:pStyle w:val="Heading2"/>
        <w:spacing w:after="100" w:before="200"/>
      </w:pPr>
      <w:r>
        <w:rPr>
          <w:rFonts w:ascii="Barlow Semi Condensed" w:cs="Barlow Semi Condensed" w:eastAsia="Barlow Semi Condensed" w:hAnsi="Barlow Semi Condensed"/>
          <w:sz w:val="24"/>
          <w:szCs w:val="24"/>
        </w:rPr>
        <w:t xml:space="preserve">Capitolo I — Premessa metodologica e accertamento della sequenza prioritaria</w:t>
      </w:r>
    </w:p>
    <w:p>
      <w:pPr>
        <w:spacing w:after="120" w:line="276"/>
        <w:jc w:val="both"/>
      </w:pPr>
      <w:r>
        <w:rPr>
          <w:rFonts w:ascii="Barlow Semi Condensed" w:cs="Barlow Semi Condensed" w:eastAsia="Barlow Semi Condensed" w:hAnsi="Barlow Semi Condensed"/>
          <w:sz w:val="24"/>
          <w:szCs w:val="24"/>
        </w:rPr>
        <w:t xml:space="preserve">Questa ricognizione muove dall'obiettivo prioritario fissato dal committente: stabilire se e in che misura la Santa Sede abbia atteso la ratifica del Trattato di Varsavia prima di ridisegnare le diocesi a oriente della linea Oder-Neisse. La conclusione, che il presente capitolo anticipa e che i capitoli seguenti documentano anello per anello, è la seguente: la successione temporale è accertata con precisione documentale, e per essa esiste inoltre — a differenza di quanto la prudenza metodologica avrebbe potuto far temere — una documentazione che ne attesta il nesso, non soltanto la prossimità. La sequenza è questa: il Trattato di Varsavia fra Repubblica Federale di Germania e Repubblica Popolare di Polonia fu firmato il 7 dicembre 1970; fu ratificato dal Bundestag il 17 maggio 1972; entrò in vigore con lo scambio degli strumenti di ratifica il 3 giugno 1972; e il 28 giugno 1972 Paolo VI emanò le costituzioni apostoliche con cui erigeva diocesi permanenti nei territori occidentali e settentrionali della Polonia. Fra l'entrata in vigore del trattato e l'atto pontificio corrono venticinque giorni.</w:t>
      </w:r>
    </w:p>
    <w:p>
      <w:pPr>
        <w:spacing w:after="120" w:line="276"/>
        <w:jc w:val="both"/>
      </w:pPr>
      <w:r>
        <w:rPr>
          <w:rFonts w:ascii="Barlow Semi Condensed" w:cs="Barlow Semi Condensed" w:eastAsia="Barlow Semi Condensed" w:hAnsi="Barlow Semi Condensed"/>
          <w:sz w:val="24"/>
          <w:szCs w:val="24"/>
        </w:rPr>
        <w:t xml:space="preserve">Il requisito metodologico più stringente imposto dal committente è di non trattare la contemporaneità come prova di un nesso. Qui il nesso è però attestato da fonte terza e qualificata. Lo storico Karl-Joseph Hummel, allora direttore della Forschungsstelle della Kommission für Zeitgeschichte di Bonn, nel saggio pubblicato nella rivista OST-WEST Europäische Perspektiven (fascicolo 4 del 2005) documenta due elementi decisivi: primo, che la Santa Sede aveva mantenuto per anni la consuetudine dichiarata di non mutare lo status delle diocesi prima di un trattato di pace, principio che il cardinale Julius Döpfner, presidente della Conferenza episcopale tedesca, aveva riferito al governo di Bonn dopo consultazione a Roma («man halte in Rom entschieden an der bekannten Gepflogenheit fest, vor einem Friedensvertrag nichts an dem Status von Bistümern zu ändern»); secondo, che la comunicazione vaticana del 28 giugno 1972 sulla riorganizzazione dei territori a oriente dell'Oder e della Neisse «si riferì espressamente al trattato tedesco-polacco» («hat sich ausdrücklich auf den deutsch-polnischen Vertrag bezogen») e che Roma reagì «entro tre settimane» («binnen drei Wochen») dalla ratifica. Occorre tuttavia distinguere con rigore ciò che il documento pontificio attesta da ciò che se ne inferisce: il testo delle due costituzioni apostoliche adduce come motivazione una ragione pastorale («ad aptius propiusque christianum populum regendum») e l'accoglimento della richiesta dell'episcopato polacco, Vatican (https://www.vatican.va/content/paul-vi/la/apost_constitutions/documents/hf_p-vi_apc_19720628_vratislaviensis.html) e non contiene una frase che dichiari «abbiamo atteso il trattato»; è la comunicazione di accompagnamento del 28 giugno, secondo Hummel, e non la bolla in sé, a rendere esplicito il legame con il trattato. La sequenza dunque è confermata come accertamento; il nesso causale è documentato da fonte storiografica peer-reviewed e dalla comunicazione ufficiale vaticana, mentre il testo canonico si tiene sul piano pastorale, con una cautela che i capitoli V e VI illustrano come deliberata.</w:t>
      </w:r>
    </w:p>
    <w:p>
      <w:pPr>
        <w:pStyle w:val="Heading2"/>
        <w:spacing w:after="100" w:before="200"/>
      </w:pPr>
      <w:r>
        <w:rPr>
          <w:rFonts w:ascii="Barlow Semi Condensed" w:cs="Barlow Semi Condensed" w:eastAsia="Barlow Semi Condensed" w:hAnsi="Barlow Semi Condensed"/>
          <w:sz w:val="24"/>
          <w:szCs w:val="24"/>
        </w:rPr>
        <w:t xml:space="preserve">Capitolo II — Il retroterra ecclesiastico dal 1933 al 1965: la provvisorietà, Pio XII e Giovanni XXIII</w:t>
      </w:r>
    </w:p>
    <w:p>
      <w:pPr>
        <w:spacing w:after="120" w:line="276"/>
        <w:jc w:val="both"/>
      </w:pPr>
      <w:r>
        <w:rPr>
          <w:rFonts w:ascii="Barlow Semi Condensed" w:cs="Barlow Semi Condensed" w:eastAsia="Barlow Semi Condensed" w:hAnsi="Barlow Semi Condensed"/>
          <w:sz w:val="24"/>
          <w:szCs w:val="24"/>
        </w:rPr>
        <w:t xml:space="preserve">La questione dei territori orientali tedeschi passati alla Polonia dopo il 1945 ha una radice geografico-ecclesiastica precisa. Le diocesi di Breslavia (Wrocław), dell'Ermland (Warmia), di Danzica (Gdańsk), di Schneidemühl (Piła, una prelatura) e la prelatura di Kamień-Lubusz-Piła rimasero nominalmente tedesche nella geografia ecclesiastica anche dopo che i territori in cui insistevano furono posti sotto amministrazione polacca in seguito alla Conferenza di Potsdam. La ragione di questa discrasia fu il principio, tenuto fermo dalla Santa Sede sotto Pio XII e ribadito sotto Giovanni XXIII, secondo cui l'assetto territoriale uscito dalla guerra era provvisorio in attesa di un trattato di pace che regolasse definitivamente i confini; e finché quel trattato mancava, la Santa Sede non poteva mutare in via permanente la titolarità delle sedi.</w:t>
      </w:r>
    </w:p>
    <w:p>
      <w:pPr>
        <w:spacing w:after="120" w:line="276"/>
        <w:jc w:val="both"/>
      </w:pPr>
      <w:r>
        <w:rPr>
          <w:rFonts w:ascii="Barlow Semi Condensed" w:cs="Barlow Semi Condensed" w:eastAsia="Barlow Semi Condensed" w:hAnsi="Barlow Semi Condensed"/>
          <w:sz w:val="24"/>
          <w:szCs w:val="24"/>
        </w:rPr>
        <w:t xml:space="preserve">La documentazione storiografica sul punto è solida. Lo studioso Michał Białkowski, in un saggio pubblicato nella rivista Zapiski Historyczne (vol. LXXXII, 2017, fascicolo 3), ricostruisce che il 15 agosto 1945 il cardinale August Hlond, primate di Polonia, usando facoltà straordinarie ricevute da Pio XII, istituì cinque amministrazioni apostoliche — non diocesi — nei territori: Danzica-Chełmno (con Andrzej Wronka), Warmia-Olsztyn (Teodor Bensch), Opole (Bolesław Kominek), Breslavia (Karol Milik) e Gorzów (Edmund Nowicki). zapiskihistoryczne (https://www.zapiskihistoryczne.pl/files/issues/3eec121a6dde7c3b4e34b1c06bd7524a_ZH_2017_3_07_ENG_Bialkowski_N.pdf) La scelta della forma dell'amministrazione apostolica, provvisoria per natura canonica, fu deliberata proprio perché il confine non era ancora definito. Białkowski documenta inoltre che il termine tecnico impiegato per descrivere quell'assetto fu «provvisorietà» (tymczasowość) e che perfino il comunicato governativo comunista del 27 gennaio 1951 parlò di «liquidazione dello stato di provvisorietà» nell'amministrazione ecclesiastica dei territori occidentali. zapiskihistoryczne (https://www.zapiskihistoryczne.pl/files/issues/3eec121a6dde7c3b4e34b1c06bd7524a_ZH_2017_3_07_ENG_Bialkowski_N.pdf) La provvisorietà attraversò il pontificato di Giovanni XXIII e i lavori del Concilio Vaticano II (1962-1965) senza mutamenti di sostanza, zapiskihistoryczne (https://www.zapiskihistoryczne.pl/files/issues/3eec121a6dde7c3b4e34b1c06bd7524a_ZH_2017_3_07_ENG_Bialkowski_N.pdf) restando in piedi fino al 1972.</w:t>
      </w:r>
    </w:p>
    <w:p>
      <w:pPr>
        <w:spacing w:after="120" w:line="276"/>
        <w:jc w:val="both"/>
      </w:pPr>
      <w:r>
        <w:rPr>
          <w:rFonts w:ascii="Barlow Semi Condensed" w:cs="Barlow Semi Condensed" w:eastAsia="Barlow Semi Condensed" w:hAnsi="Barlow Semi Condensed"/>
          <w:sz w:val="24"/>
          <w:szCs w:val="24"/>
        </w:rPr>
        <w:t xml:space="preserve">Sul retroterra ulteriore risalente al 1933 — la nunziatura di Pacelli a Berlino, la germanofilia attribuita a Pio XII da parte della storiografia (così Czesław Madajczyk, citato nel saggio di Zofia Waszkiewicz sulla politica del Vaticano verso la Polonia), il rapporto fra Santa Sede e questione polacca durante la guerra — la documentazione è ampia ma esula in parte dall'obiettivo prioritario; se ne dà conto qui in forma sintetica perché il committente ne chiede il retroterra dal 1933, mentre il nucleo documentale è trattato al capitolo X a proposito del Reichskonkordat. Va segnalato per onestà metodologica che gli atti di governo della Santa Sede relativi ai pontificati posteriori all'ottobre 1958 non sono consultabili in Archivio Apostolico Vaticano, sicché la ricostruzione della posizione di Giovanni XXIII e di Paolo VI si fonda necessariamente su fonti edite, storiografia e fonti ufficiali dell'istituzione, non su carte d'archivio primarie desecretate.</w:t>
      </w:r>
    </w:p>
    <w:p>
      <w:pPr>
        <w:pStyle w:val="Heading2"/>
        <w:spacing w:after="100" w:before="200"/>
      </w:pPr>
      <w:r>
        <w:rPr>
          <w:rFonts w:ascii="Barlow Semi Condensed" w:cs="Barlow Semi Condensed" w:eastAsia="Barlow Semi Condensed" w:hAnsi="Barlow Semi Condensed"/>
          <w:sz w:val="24"/>
          <w:szCs w:val="24"/>
        </w:rPr>
        <w:t xml:space="preserve">Capitolo III — Lo scambio di lettere fra i vescovi polacchi e tedeschi del novembre 1965</w:t>
      </w:r>
    </w:p>
    <w:p>
      <w:pPr>
        <w:spacing w:after="120" w:line="276"/>
        <w:jc w:val="both"/>
      </w:pPr>
      <w:r>
        <w:rPr>
          <w:rFonts w:ascii="Barlow Semi Condensed" w:cs="Barlow Semi Condensed" w:eastAsia="Barlow Semi Condensed" w:hAnsi="Barlow Semi Condensed"/>
          <w:sz w:val="24"/>
          <w:szCs w:val="24"/>
        </w:rPr>
        <w:t xml:space="preserve">Anello essenziale della sequenza è lo scambio epistolare fra gli episcopati polacco e tedesco nel novembre-dicembre 1965, ai margini dell'ultima sessione del Concilio Vaticano II. Il 18 novembre 1965 i vescovi polacchi inviarono ai confratelli tedeschi un messaggio che conteneva la frase divenuta emblematica: «Vi tendiamo le nostre mani accordando perdono e chiedendo perdono» uni-oldenburg (https://ome-lexikon.uni-oldenburg.de/begriffe/briefwechsel-der-polnischen-und-deutschen-bischoefe) («Przebaczamy i prosimy o przebaczenie»). Il documento, di dodici pagine, ripercorreva la storia millenaria del cristianesimo polacco e le difficili relazioni con il popolo tedesco, con esplicito riferimento all'incertezza determinata dalla provvisorietà dei confini post-bellici sull'Oder-Neisse. SettimanaNews (https://www.settimananews.it/vescovi/guerra-fragile-memoria/) Le fonti ecclesiastiche italiane e polacche (l'agenzia SIR, Vatican News, l'agenzia ZENIT, l'Istituto della Memoria Nazionale polacca) concordano nell'attribuire la paternità del testo all'arcivescovo di Breslavia Bolesław Kominek, con il concorso di Wincenty Urban, del gruppo dell'Istituto storico polacco di Roma e di gesuiti della Radio Vaticana; il messaggio fu approvato il 18 novembre 1965 dal primate SettimanaNews (https://www.settimananews.it/chiesa/polonia-il-primate-del-millennio/) Stefan Wyszyński, da Karol Wojtyła e dagli altri vescovi polacchi presenti al Concilio.</w:t>
      </w:r>
    </w:p>
    <w:p>
      <w:pPr>
        <w:spacing w:after="120" w:line="276"/>
        <w:jc w:val="both"/>
      </w:pPr>
      <w:r>
        <w:rPr>
          <w:rFonts w:ascii="Barlow Semi Condensed" w:cs="Barlow Semi Condensed" w:eastAsia="Barlow Semi Condensed" w:hAnsi="Barlow Semi Condensed"/>
          <w:sz w:val="24"/>
          <w:szCs w:val="24"/>
        </w:rPr>
        <w:t xml:space="preserve">La risposta tedesca reca la data del 5 dicembre 1965 («Saluto dei vescovi tedeschi ai fratelli polacchi»): essa esprimeva gratitudine e chiedeva a sua volta perdono, ma non accettava le perdite territoriali della Germania a favore della Polonia come esito della seconda guerra mondiale. Zenit (https://it.zenit.org/2015/10/26/un-messaggio-che-fu-un-atto-di-coraggio-dell-episcopato-polacco/) Questo è il punto documentale che il committente chiede di verificare quanto a perdono e confini: sul perdono vi fu reciprocità, con la nota espressione tedesca dell'auspicio «che mai più lo spirito malvagio dell'odio separi le nostre mani»; sui confini la risposta tedesca rimase su una riserva. La delusione polacca è attestata da una fonte diretta di protagonista: in una lettera del 1970 al cardinale Döpfner, il primate Wyszyński scrisse che «la nostra mano, tesa con tanta cordialità, è stata accolta non senza riserve». Il messaggio polacco ebbe precedenti e seguiti nel mondo protestante e laico tedesco: il memorandum delle Chiese evangeliche tedesche del 1965 (la cosiddetta Ostdenkschrift dell'EKD) auspicava un accordo e il riconoscimento dei confini, SettimanaNews (https://www.settimananews.it/chiesa/polonia-il-primate-del-millennio/) e successivamente il Memorandum del Bensberger Kreis, pubblicato il 3 marzo 1968 e sottoscritto da un gruppo di circa 160-180 cattolici critici tedeschi (come attesta DOMRADIO.DE nel servizio di Anselm Verbeek del 3 marzo 2018: «Am 3. März 1968 [...] veröffentlichte der sogenannte Bensberger Kreis sein Memorandum deutscher Katholiken zu den polnisch-deutschen Fragen»), chiese il riconoscimento dei confini post-bellici. Questi documenti attestano che, sul versante ecclesiale, il terreno del riconoscimento fu preparato ben prima dell'atto politico del 1970 e dell'atto canonico del 1972, senza però che ciò implichi, e le fonti non lo attestano, un coordinamento fra episcopati e cancellerie.</w:t>
      </w:r>
    </w:p>
    <w:p>
      <w:pPr>
        <w:pStyle w:val="Heading2"/>
        <w:spacing w:after="100" w:before="200"/>
      </w:pPr>
      <w:r>
        <w:rPr>
          <w:rFonts w:ascii="Barlow Semi Condensed" w:cs="Barlow Semi Condensed" w:eastAsia="Barlow Semi Condensed" w:hAnsi="Barlow Semi Condensed"/>
          <w:sz w:val="24"/>
          <w:szCs w:val="24"/>
        </w:rPr>
        <w:t xml:space="preserve">Capitolo IV — Il Trattato di Varsavia e la Ostpolitik di Brandt, con la posizione italiana sugli atti</w:t>
      </w:r>
    </w:p>
    <w:p>
      <w:pPr>
        <w:spacing w:after="120" w:line="276"/>
        <w:jc w:val="both"/>
      </w:pPr>
      <w:r>
        <w:rPr>
          <w:rFonts w:ascii="Barlow Semi Condensed" w:cs="Barlow Semi Condensed" w:eastAsia="Barlow Semi Condensed" w:hAnsi="Barlow Semi Condensed"/>
          <w:sz w:val="24"/>
          <w:szCs w:val="24"/>
        </w:rPr>
        <w:t xml:space="preserve">La Ostpolitik fu inaugurata dal governo di coalizione fra socialdemocratici e liberali guidato da Willy Brandt, con Walter Scheel agli Esteri, insediatosi il 21 ottobre 1969, poche settimane dopo l'ingresso di Aldo Moro alla Farnesina. La documentazione ufficiale tedesca (Deutscher Bundestag, Konrad-Adenauer-Stiftung, Bundeszentrale für politische Bildung) consente di fissare con precisione gli atti. Il Trattato di Mosca fu firmato il 12 agosto 1970: la Repubblica Federale riconosceva l'inviolabilità dei confini esistenti, inclusa la linea Oder-Neisse, e rinunciava a rivendicazioni territoriali; Berchet (https://liceoberchet.edu.it/ricerche/geo5d_06/csi/ostpolitik.htm) su insistenza di Scheel, Mosca accettò di ricevere un «Brief zur deutschen Einheit» (lettera sull'unità tedesca) con cui Bonn notificava che il trattato non contraddiceva l'obiettivo della riunificazione in libera autodeterminazione. Il Trattato di Varsavia fu firmato il 7 dicembre 1970 e, secondo la documentazione del Bundestag, era quasi identico a quello di Mosca, salvo che vi figurava per primo il riconoscimento della linea Oder-Neisse; la Konrad-Adenauer-Stiftung documenta che verso Varsavia il governo federale rinunciò a un «Brief zur deutschen Einheit» di accompagnamento, cosicché la Polonia interpretò il trattato come riconoscimento definitivo della frontiera. Konrad-Adenauer-Stiftung (https://www.kas.de/en/web/geschichte-der-cdu/calendar-detail/-/content/der-bundestag-ratifiziert-den-moskauer-und-den-warschauer-vertrag-und-stimmt-der-gemeinsamen-entschl) Lo stesso 7 dicembre 1970 Brandt compì a Varsavia il gesto dell'inginocchiamento davanti al monumento agli eroi del ghetto (Kniefall). L'Accordo quadripartito su Berlino fu concluso il 3 settembre 1971; il Trattato fondamentale fra le due Germanie (Grundlagenvertrag) fu firmato il 21 dicembre 1972; Berchet (https://liceoberchet.edu.it/ricerche/geo5d_06/csi/ostpolitik.htm) l'ingresso simultaneo delle due Germanie alle Nazioni Unite avvenne il 18 settembre 1973. La ratifica dei trattati orientali dal Bundestag il 17 maggio 1972 fu preceduta dal fallito voto di sfiducia costruttiva di Rainer Barzel del 24 aprile 1972 e accompagnata da una Gemeinsame Entschließung (risoluzione comune) di governo e opposizione; lo scambio degli strumenti di ratifica il 3 giugno 1972 fece entrare in vigore i trattati di Mosca e Varsavia dpa Picture-Alliance (https://www.picture-alliance.com/en/webseries/2022-05-17-50-years-ago-eastern-treaties-with-the-soviet-union-and-poland-passed-in-the-bundestag-w287155) e l'Accordo quadripartito.</w:t>
      </w:r>
    </w:p>
    <w:p>
      <w:pPr>
        <w:spacing w:after="120" w:line="276"/>
        <w:jc w:val="both"/>
      </w:pPr>
      <w:r>
        <w:rPr>
          <w:rFonts w:ascii="Barlow Semi Condensed" w:cs="Barlow Semi Condensed" w:eastAsia="Barlow Semi Condensed" w:hAnsi="Barlow Semi Condensed"/>
          <w:sz w:val="24"/>
          <w:szCs w:val="24"/>
        </w:rPr>
        <w:t xml:space="preserve">Sulla posizione italiana rispetto a ciascuno di questi atti la documentazione reperibile è meno ricca di quella tedesca, e il capitolo ne dichiara i limiti. Lo studio scientifico più pertinente è il volume di Laura Fasanaro, La DDR e l'Italia. Politica, commercio e ideologia nell'Europa del cambiamento (1973-1985), edito da Carocci, il cui primo capitolo si intitola «Le declinazioni della distensione in Italia e la Ostpolitik di Aldo Moro» e affronta esplicitamente «L'Italia e la questione tedesca»; il volume, recensito dalla SISSCO e dall'istituto FBK, sceglie però il 1973 come termine iniziale, lasciando in ombra il quadriennio precedente. Per il periodo 1963-1972 esiste la tesi di dottorato di Filippo Triola discussa all'Università di Bologna sulle relazioni italo-tedesche, che il committente potrà impiegare come studio specifico sulla collocazione italiana rispetto alla questione tedesca. La ricostruzione puntuale della posizione italiana su ognuno dei cinque atti della Ostpolitik richiederebbe lo spoglio dell'Archivio Storico Diplomatico della Farnesina (serie Germania) e degli Akten zur Auswärtigen Politik der Bundesrepublik Deutschland; allo stato delle fonti edite consultate, tale posizione risulta di sostanziale allineamento atlantico e comunitario ma priva di iniziativa autonoma, coerentemente con il giudizio storiografico sul ruolo marginale dell'Italia nel medesimo periodo (capitolo IX).</w:t>
      </w:r>
    </w:p>
    <w:p>
      <w:pPr>
        <w:pStyle w:val="Heading2"/>
        <w:spacing w:after="100" w:before="200"/>
      </w:pPr>
      <w:r>
        <w:rPr>
          <w:rFonts w:ascii="Barlow Semi Condensed" w:cs="Barlow Semi Condensed" w:eastAsia="Barlow Semi Condensed" w:hAnsi="Barlow Semi Condensed"/>
          <w:sz w:val="24"/>
          <w:szCs w:val="24"/>
        </w:rPr>
        <w:t xml:space="preserve">Capitolo V — Le costituzioni apostoliche del 28 giugno 1972: testo, pubblicazione, contenuto e sequenza</w:t>
      </w:r>
    </w:p>
    <w:p>
      <w:pPr>
        <w:spacing w:after="120" w:line="276"/>
        <w:jc w:val="both"/>
      </w:pPr>
      <w:r>
        <w:rPr>
          <w:rFonts w:ascii="Barlow Semi Condensed" w:cs="Barlow Semi Condensed" w:eastAsia="Barlow Semi Condensed" w:hAnsi="Barlow Semi Condensed"/>
          <w:sz w:val="24"/>
          <w:szCs w:val="24"/>
        </w:rPr>
        <w:t xml:space="preserve">L'atto pontificio con cui Paolo VI eresse le nuove diocesi non fu una sola bolla, bensì una coppia di costituzioni apostoliche emanate lo stesso giorno: Episcoporum Poloniae coetus e Vratislaviensis-Berolinensis et aliarum. Wikipedia (https://pl.wikipedia.org/wiki/Episcoporum_Poloniae_coetus) Il testo latino, consultabile sul sito ufficiale della Santa Sede e pubblicato negli Acta Apostolicae Sedis vol. LXIV (1972), n. 10, alle pagine 657- En Academic (https://en-academic.com/dic.nsf/enwiki/3499690) 658, reca il titolo «Novae in Polonia dioeceses constituuntur, nomine Opoliensis, Gorzoviensis, Sedinensis-Caminensis, Coslinensis-Colubreganae». Vatican (https://www.vatican.va/content/paul-vi/la/apost_constitutions/documents/hf_p-vi_apc_19720628_vratislaviensis.html) L'incipit dichiara la ragione pastorale: l'assemblea dei vescovi di Polonia («Episcoporum Poloniae coetus») aveva chiesto alla Sede Apostolica che alcune circoscrizioni ecclesiastiche nella parte settentrionale e occidentale della nazione fossero disposte in modo più opportuno «per reggere più adattamente e da vicino il popolo cristiano», e il Papa dichiara di accedere volentieri ai desideri. Vatican (https://www.vatican.va/content/paul-vi/la/apost_constitutions/documents/hf_p-vi_apc_19720628_vratislaviensis.html) Il dispositivo erige quattro diocesi: Opole (Opoliensis), suffraganea della metropolia di Breslavia; Gorzów (Gorzoviensis), parimenti suffraganea di Breslavia; Vatican (https://www.vatican.va/content/paul-vi/la/apost_constitutions/documents/hf_p-vi_apc_19720628_vratislaviensis.html) Szczecin-Kamień (Sedinensis-Caminensis), suffraganea di Gniezno; Koszalin-Kołobrzeg (Coslinensis-Colubregana), suffraganea di Gniezno. Il testo dispone inoltre lo smembramento di territori dall'arcidiocesi di Breslavia, dalla diocesi di Berlino (Berolinensis) e dalla prelatura di Schneidemühl; diecezjakoszalin (https://www.diecezjakoszalin.pl/bulla-episcoporum-poloniae-coetus) trasferisce la cattedrale di Warmia dalla metropolia di Breslavia a quella di Varsavia, cui resta soggetta «perpetuo»; e rende la Chiesa di Danzica (Gedanensis), fino ad allora direttamente soggetta alla Sede Apostolica, suffraganea di Gniezno. Diecezja Koszalińsko-Kołobrzeska (https://www.diecezjakoszalin.pl/bulla-episcoporum-poloniae-coetus) Alla esecuzione dell'atto il Papa delega nominativamente il cardinale Stefan Wyszyński, arcivescovo di Gniezno e Varsavia. Diecezja Koszalińsko-Kołobrzeska (https://www.diecezjakoszalin.pl/bulla-episcoporum-poloniae-coetus) La costituzione è datata «Romae, apud S. Petrum, die duodetricesimo mensis Iunii, anno Domini millesimo nongentesimo septuagesimo secundo, Pontificatus Nostri decimo» ed è firmata dal cardinale Aloisius Traglia, cancelliere di Santa Romana Chiesa, dal cardinale Carlo Confalonieri, prefetto della Sacra Congregazione per i Vescovi, e da Franciscus Tinello, reggente della Cancelleria Apostolica. Diecezja Koszalińsko-Kołobrzeska (https://www.diecezjakoszalin.pl/bulla-episcoporum-poloniae-coetus)</w:t>
      </w:r>
    </w:p>
    <w:p>
      <w:pPr>
        <w:spacing w:after="120" w:line="276"/>
        <w:jc w:val="both"/>
      </w:pPr>
      <w:r>
        <w:rPr>
          <w:rFonts w:ascii="Barlow Semi Condensed" w:cs="Barlow Semi Condensed" w:eastAsia="Barlow Semi Condensed" w:hAnsi="Barlow Semi Condensed"/>
          <w:sz w:val="24"/>
          <w:szCs w:val="24"/>
        </w:rPr>
        <w:t xml:space="preserve">Sulla data va segnalata una divergenza fra le fonti, come il metodo impone. Il testo primario e la quasi totalità delle fonti ecclesiastiche polacche (l'Istituto della Memoria Nazionale, l'agenzia dzieje.pl, i siti diocesani di Koszalin, Szczecin-Kamień e Zielona Góra-Gorzów) indicano il 28 giugno 1972; alcune voci enciclopediche tedesche e inglesi relative alle diocesi di Berlino e Breslavia indicano il 27 giugno 1972; En Academic (https://en-academic.com/dic.nsf/enwiki/3499690) un sito diocesano polacco reca per errore «26 VI 1972». Diecezji Zielonogórsko-Gorzowskiej (https://diecezjazg.pl/45-lat-episcoporum-poloniae-coetus/) La data del 28 giugno, corrispondente alla clausola di datazione della costituzione stessa («die duodetricesimo mensis Iunii»), è da ritenersi autorevole. Quanto al rapporto cronologico esatto richiesto dal committente, esso è dunque il seguente e va dichiarato come accertamento: ratifica del Bundestag il 17 maggio 1972; entrata in vigore per scambio degli strumenti il 3 giugno 1972; atto pontificio il 28 giugno 1972. La distanza fra entrata in vigore e atto pontificio è di venticinque giorni; quella fra ratifica e atto pontificio di quarantadue giorni. Il nesso, come si è detto al capitolo I, è attestato dalla comunicazione vaticana di accompagnamento e dalla storiografia, non dalla sola prossimità delle date né dal testo canonico, che tace la ragione politica.</w:t>
      </w:r>
    </w:p>
    <w:p>
      <w:pPr>
        <w:pStyle w:val="Heading2"/>
        <w:spacing w:after="100" w:before="200"/>
      </w:pPr>
      <w:r>
        <w:rPr>
          <w:rFonts w:ascii="Barlow Semi Condensed" w:cs="Barlow Semi Condensed" w:eastAsia="Barlow Semi Condensed" w:hAnsi="Barlow Semi Condensed"/>
          <w:sz w:val="24"/>
          <w:szCs w:val="24"/>
        </w:rPr>
        <w:t xml:space="preserve">Capitolo VI — Casaroli, Wyszyński, Döpfner, la Ostpolitik vaticana e le reazioni all'atto</w:t>
      </w:r>
    </w:p>
    <w:p>
      <w:pPr>
        <w:spacing w:after="120" w:line="276"/>
        <w:jc w:val="both"/>
      </w:pPr>
      <w:r>
        <w:rPr>
          <w:rFonts w:ascii="Barlow Semi Condensed" w:cs="Barlow Semi Condensed" w:eastAsia="Barlow Semi Condensed" w:hAnsi="Barlow Semi Condensed"/>
          <w:sz w:val="24"/>
          <w:szCs w:val="24"/>
        </w:rPr>
        <w:t xml:space="preserve">La preparazione diplomatica dell'atto del 1972 fu opera della Ostpolitik vaticana, la cui figura centrale fu Agostino Casaroli, allora segretario del Consiglio per gli Affari pubblici della Chiesa. Le fonti (la voce enciclopedica su Casaroli, la recensione del volume curato da Alberto Melloni Il filo sottile. L'Ostpolitik vaticana di Agostino Casaroli, edito dal Mulino nel 2006, pubblicata su Project MUSE) documentano che Casaroli condusse i colloqui con le autorità della Repubblica Popolare di Polonia nell'aprile e nel novembre 1971, i quali portarono, oltre alla erezione delle diocesi, alla normalizzazione dei rapporti di lavoro fra Varsavia e la Santa Sede senza ripristino di relazioni diplomatiche piene, e al ritiro del riconoscimento vaticano di Kazimierz Papée quale ambasciatore del governo polacco in esilio a Londra. Wikipedia (https://pl.wikipedia.org/wiki/Episcoporum_Poloniae_coetus) La recensione su Project MUSE osserva che l'Ostpolitik di Casaroli fu «complementare» a quella praticata da Brandt fra il 1969 e il 1974, e che nei primi anni Settanta gli interessi convergenti riguardavano Bonn (che voleva discutere i confini con l'Est), il Vaticano (che voleva sistemare i confini polacco-tedeschi e i confini diocesani) e Berlino Est (che cercava riconoscimento come Stato separato). Occorre qui distinguere, come il committente chiede, la convergenza di obiettivo documentata dalla mera contemporaneità: le fonti attestano una convergenza di obiettivi fra Ostpolitik tedesca e Ostpolitik vaticana, non una direzione comune né una subordinazione dell'una all'altra. Va inoltre registrato che sul valore complessivo dell'Ostpolitik di Casaroli la storiografia diverge apertamente: il biografo di Giovanni Paolo II George Weigel ne dà un giudizio fortemente critico, definendola eccessivamente cauta, laddove ambienti vaticani e italiani la celebrano come chiave del crollo del comunismo europeo; questa divergenza va riportata con il suo statuto di controversia interpretativa, non di dato di fatto.</w:t>
      </w:r>
    </w:p>
    <w:p>
      <w:pPr>
        <w:spacing w:after="120" w:line="276"/>
        <w:jc w:val="both"/>
      </w:pPr>
      <w:r>
        <w:rPr>
          <w:rFonts w:ascii="Barlow Semi Condensed" w:cs="Barlow Semi Condensed" w:eastAsia="Barlow Semi Condensed" w:hAnsi="Barlow Semi Condensed"/>
          <w:sz w:val="24"/>
          <w:szCs w:val="24"/>
        </w:rPr>
        <w:t xml:space="preserve">Il ruolo del cardinale Wyszyński e dell'episcopato polacco fu duplice: sollecitatore dell'atto e suo esecutore delegato. La ricerca storiografica pubblicata dalla rivista Church History dell'Università di Cambridge, dalla prospettiva del primate Wyszyński, colloca nel 1972 «uno spostamento significativo» nel pensiero del primate riguardo ai negoziati polacco-vaticani, «in connessione con la ratifica del trattato PRL-RFT e la possibilità di regolare finalmente lo status» delle diocesi. Cambridge Core (https://www.cambridge.org/core/journals/church-history/article/diplomatic-relations-between-poland-and-the-holy-see-and-the-vaticans-ostpolitik-from-the-perspective-of-cardinal-stefan-wyszynski-primate-of-poland-19481981/FFE51F5CC9F89D956808883C94F59F37) Il ruolo del cardinale Döpfner e dell'episcopato tedesco fu invece di riserva critica: secondo Hummel, la Conferenza episcopale tedesca non fu consultata prima della decisione e stentò ad accettare la motivazione pastorale come ragione decisiva, owep (https://www.owep.de/artikel/472-getrennte-vergangenheit-gemeinsame-zukunft-polnische-und-deutsche-katholiken-1945-1978) tanto più che Döpfner aveva in passato rassicurato Bonn, dopo consultazione a Roma, che nulla sarebbe stato mutato prima di un trattato di pace. owep (https://www.owep.de/artikel/472-getrennte-vergangenheit-gemeinsame-zukunft-polnische-und-deutsche-katholiken-1945-1978) Contestualmente la Santa Sede nominò tre Visitatori apostolici per i cattolici tedeschi espulsi (dall'arcidiocesi di Breslavia, dalla diocesi di Warmia e dalla prelatura di Schneidemühl), DOMRADIO.DE (https://www.domradio.de/artikel/bischoefe-lassen-besondere-vertriebenenseelsorge-auslaufen) misura pastorale di compensazione verso il versante tedesco, attestata dal portale Domradio della Chiesa cattolica tedesca. Le reazioni delle parti furono divergenti secondo le rispettive narrazioni nazionali, che il metodo impone di riportare senza adottarle: le fonti ecclesiastiche polacche celebrarono l'atto come «fine dello stato di provvisorietà» e normalizzazione dei rapporti giuridici fra la Repubblica Popolare e il Vaticano; Ikamien (https://ikamien.pl/artykuly/14945/) la stampa delle organizzazioni tedesche degli espulsi reagì con allarme già prima dell'atto (l'organo della Landsmannschaft Ostpreußen, Das Ostpreußenblatt, nel numero del 24 giugno 1972 titolò «Hat Bonn dem Vatikan 'grünes Licht' gegeben?», ossia «Bonn ha dato al Vaticano il 'via libera'?»). La Santa Sede, dal canto suo, curò di presentare l'atto come rispondente a necessità pastorali e non come riconoscimento politico della frontiera, sfumatura che la storiografia anglofona (il saggio «The Vatican's Ostpolitik» nella Review of Politics di Cambridge) legge come deliberata volontà di offrire «qualcosa di meno del riconoscimento formale» della linea Oder-Neisse. Cambridge Core (https://www.cambridge.org/core/journals/review-of-politics/article/abs/vaticans-ostpolitik/AC442D87BDF81829CD57653F878EB16A)</w:t>
      </w:r>
    </w:p>
    <w:p>
      <w:pPr>
        <w:pStyle w:val="Heading2"/>
        <w:spacing w:after="100" w:before="200"/>
      </w:pPr>
      <w:r>
        <w:rPr>
          <w:rFonts w:ascii="Barlow Semi Condensed" w:cs="Barlow Semi Condensed" w:eastAsia="Barlow Semi Condensed" w:hAnsi="Barlow Semi Condensed"/>
          <w:sz w:val="24"/>
          <w:szCs w:val="24"/>
        </w:rPr>
        <w:t xml:space="preserve">Capitolo VII — La Santa Sede e la Repubblica Democratica Tedesca</w:t>
      </w:r>
    </w:p>
    <w:p>
      <w:pPr>
        <w:spacing w:after="120" w:line="276"/>
        <w:jc w:val="both"/>
      </w:pPr>
      <w:r>
        <w:rPr>
          <w:rFonts w:ascii="Barlow Semi Condensed" w:cs="Barlow Semi Condensed" w:eastAsia="Barlow Semi Condensed" w:hAnsi="Barlow Semi Condensed"/>
          <w:sz w:val="24"/>
          <w:szCs w:val="24"/>
        </w:rPr>
        <w:t xml:space="preserve">Sul versante orientale tedesco la Santa Sede operò in parallelo, ma con soluzione diversa e più cauta. Le fonti (il portale Katholisch.de della Chiesa tedesca, l'edizione italiana di Wikipedia per le singole diocesi, e soprattutto i materiali dell'Archivio degli atti della Stasi, ddr-im-blick.de) attestano che il 23 luglio 1973 Paolo VI nominò amministratori apostolici «permanenter constituti» per i territori giurisdizionali che, situati nella Repubblica Democratica Tedesca, appartenevano ancora de iure a diocesi occidentali: Erfurt-Meiningen (già di Fulda e Würzburg), Magdeburgo (già di Paderborn) e Schwerin (già di Osnabrück). Questi furono costituiti come Bischöfliche Ämter (uffici vescovili) posti direttamente sotto la Santa Sede, con sospensione — non soppressione — della giurisdizione dei vescovi occidentali. Görlitz, residuo tedesco dell'antica arcidiocesi di Breslavia, era già stato elevato ad amministrazione apostolica nel 1972. Wikipedia (https://en.wikipedia.org/wiki/Archdiocese_of_Wroc%C5%82aw) La differenza rispetto alla soluzione polacca è documentalmente rilevante: nella Repubblica Democratica Tedesca la Santa Sede non eresse diocesi permanenti nel 1972-1973, ma si fermò alla figura dell'amministratore apostolico e dell'ufficio vescovile, proprio perché la questione dell'unità tedesca restava aperta e Bonn continuava a rivendicare i diritti connessi.</w:t>
      </w:r>
    </w:p>
    <w:p>
      <w:pPr>
        <w:spacing w:after="120" w:line="276"/>
        <w:jc w:val="both"/>
      </w:pPr>
      <w:r>
        <w:rPr>
          <w:rFonts w:ascii="Barlow Semi Condensed" w:cs="Barlow Semi Condensed" w:eastAsia="Barlow Semi Condensed" w:hAnsi="Barlow Semi Condensed"/>
          <w:sz w:val="24"/>
          <w:szCs w:val="24"/>
        </w:rPr>
        <w:t xml:space="preserve">Il ruolo di Casaroli è attestato: nel 1973, a Roma, egli incontrò Werner Lamberz, membro del Politbüro della SED, e nel giugno 1975 (il 9 giugno) si recò nella Repubblica Democratica Tedesca, dove fu ricevuto dal presidente del Consiglio dei ministri Horst Sindermann, dal ministro degli Esteri Oskar Fischer e dal segretario di Stato per le questioni ecclesiastiche Hans Seigewasser. I cardinali Alfred Bengsch e Döpfner guardarono con diffidenza all'atteggiamento accomodante del Vaticano, temendo per l'unità della Chiesa cattolica in Germania. Non vi furono relazioni diplomatiche fra la Santa Sede e il governo di Berlino Est. Nel 1976 la Berliner Ordinarienkonferenz fu trasformata in Berliner Bischofskonferenz, forum di comunicazione fra gli amministratori apostolici e i vescovi di Berlino e Dresda-Meissen. Un ulteriore progetto, auspicato dalla diplomazia della Repubblica Democratica e studiato da Casaroli, di elevare gli uffici vescovili al rango di amministrazioni apostoliche autonome, non fu attuato a causa della morte di Paolo VI, avvenuta il 6 agosto 1978, e del nuovo corso inaugurato da Giovanni Paolo II. La circoscrizione definitiva in diocesi avvenne solo dopo la riunificazione, con le bolle di Giovanni Paolo II del 27 giugno 1994 (Quo aptius per Erfurt, Cum gaudio et spe per Magdeburgo).</w:t>
      </w:r>
    </w:p>
    <w:p>
      <w:pPr>
        <w:pStyle w:val="Heading2"/>
        <w:spacing w:after="100" w:before="200"/>
      </w:pPr>
      <w:r>
        <w:rPr>
          <w:rFonts w:ascii="Barlow Semi Condensed" w:cs="Barlow Semi Condensed" w:eastAsia="Barlow Semi Condensed" w:hAnsi="Barlow Semi Condensed"/>
          <w:sz w:val="24"/>
          <w:szCs w:val="24"/>
        </w:rPr>
        <w:t xml:space="preserve">Capitolo VIII — Moro, la questione tedesca e il riconoscimento della Repubblica Democratica Tedesca</w:t>
      </w:r>
    </w:p>
    <w:p>
      <w:pPr>
        <w:spacing w:after="120" w:line="276"/>
        <w:jc w:val="both"/>
      </w:pPr>
      <w:r>
        <w:rPr>
          <w:rFonts w:ascii="Barlow Semi Condensed" w:cs="Barlow Semi Condensed" w:eastAsia="Barlow Semi Condensed" w:hAnsi="Barlow Semi Condensed"/>
          <w:sz w:val="24"/>
          <w:szCs w:val="24"/>
        </w:rPr>
        <w:t xml:space="preserve">Aldo Moro fu ministro degli Affari Esteri in due periodi (secondo la datazione del committente, 5 agosto 1969 – 26 giugno 1972 e 7 luglio 1973 – 23 novembre 1974). Le fonti registrano una lieve divergenza sulle date terminali: il sito ufficiale del Ministero degli Affari Esteri parla genericamente del periodo 1969-1974 attraverso i governi Rumor, Colombo, Andreotti; la voce inglese di Wikipedia indica maggio 1969 – luglio 1972; Wikipedia (https://en.wikipedia.org/wiki/Aldo_Moro) la ricerca condotta per questa ricognizione ha rilevato indicazioni secondo cui Moro lasciò la Farnesina il 29 luglio 1972. La divergenza va segnalata e non risolta silenziosamente; ai fini della sequenza prioritaria essa è comunque ininfluente, poiché l'atto pontificio del 28 giugno 1972 cadde nell'ultimo scorcio del primo mandato di Moro o immediatamente a ridosso della sua conclusione, e il governo in carica in quel giorno era il primo governo Andreotti.</w:t>
      </w:r>
    </w:p>
    <w:p>
      <w:pPr>
        <w:spacing w:after="120" w:line="276"/>
        <w:jc w:val="both"/>
      </w:pPr>
      <w:r>
        <w:rPr>
          <w:rFonts w:ascii="Barlow Semi Condensed" w:cs="Barlow Semi Condensed" w:eastAsia="Barlow Semi Condensed" w:hAnsi="Barlow Semi Condensed"/>
          <w:sz w:val="24"/>
          <w:szCs w:val="24"/>
        </w:rPr>
        <w:t xml:space="preserve">Il punto di maggiore rilievo per l'obiettivo secondo è il riconoscimento italiano della Repubblica Democratica Tedesca. Le fonti storiografiche (Laura Fasanaro; le recensioni SISSCO e FBK; la voce di Wikipedia sulla storia della Repubblica Democratica Tedesca) collocano il riconoscimento diplomatico italiano nel 1973, nel quadro della distensione e dopo la firma del Grundlagenvertrag. La data esatta risulta il 17 gennaio 1973: il Portale storico della Camera dei deputati, per la seduta di mercoledì 17 gennaio 1973 della VI Legislatura, registra che «L'Italia riconosce la Repubblica Democratica di Germania e i due Paesi stabiliscono relazioni diplomatiche». Il riconoscimento cadde dunque fra i due mandati di Moro alla Farnesina — quando il ministro degli Esteri era Giuseppe Medici nel governo Andreotti — e non durante un mandato di Moro; ciò va dichiarato con precisione, correggendo l'ipotesi che il riconoscimento fosse avvenuto sotto la sua titolarità. La stessa Fasanaro intitola un paragrafo «Dopo il riconoscimento, Moro incontra Honecker», il che attesta un incontro fra Moro e il capo di Stato della Repubblica Democratica successivo al riconoscimento e ricadente nel secondo mandato di Moro o nella sua successiva presidenza del Consiglio. Sul piano bilaterale tedesco-tedesco, le rappresentanze permanenti fra Repubblica Federale e Repubblica Democratica furono aperte il 2 maggio 1974 (Günter Gaus per Bonn, Michael Kohl per Berlino Est), dunque in data successiva al riconoscimento italiano. Sulla dottrina Hallstein e sul suo superamento, le fonti attestano che essa fu il quadro entro cui la Repubblica Federale si oppose per anni al riconoscimento della Repubblica Democratica da parte di Stati terzi, e che il suo superamento con la Ostpolitik aprì agli Stati occidentali, Italia inclusa, la via del riconoscimento; la posizione italiana specifica sulla dottrina Hallstein non è documentata nelle fonti edite qui reperite e resta da ricercare negli archivi diplomatici. Gli incontri documentati fra Moro e Walter Scheel e fra Moro e Willy Brandt non sono emersi con dettaglio di data e sede dalle fonti edite consultate e andrebbero ricostruiti tramite gli Akten zur Auswärtigen Politik der Bundesrepublik Deutschland e i Documenti Diplomatici Italiani. Quanto al rapporto fra Ostpolitik tedesca e posizione italiana nella preparazione della Conferenza per la sicurezza e la cooperazione in Europa, esso è trattato al capitolo XI.</w:t>
      </w:r>
    </w:p>
    <w:p>
      <w:pPr>
        <w:pStyle w:val="Heading2"/>
        <w:spacing w:after="100" w:before="200"/>
      </w:pPr>
      <w:r>
        <w:rPr>
          <w:rFonts w:ascii="Barlow Semi Condensed" w:cs="Barlow Semi Condensed" w:eastAsia="Barlow Semi Condensed" w:hAnsi="Barlow Semi Condensed"/>
          <w:sz w:val="24"/>
          <w:szCs w:val="24"/>
        </w:rPr>
        <w:t xml:space="preserve">Capitolo IX — Il Vertice dell'Aja del dicembre 1969, il ruolo tedesco, il Piano Werner e il serpente monetario</w:t>
      </w:r>
    </w:p>
    <w:p>
      <w:pPr>
        <w:spacing w:after="120" w:line="276"/>
        <w:jc w:val="both"/>
      </w:pPr>
      <w:r>
        <w:rPr>
          <w:rFonts w:ascii="Barlow Semi Condensed" w:cs="Barlow Semi Condensed" w:eastAsia="Barlow Semi Condensed" w:hAnsi="Barlow Semi Condensed"/>
          <w:sz w:val="24"/>
          <w:szCs w:val="24"/>
        </w:rPr>
        <w:t xml:space="preserve">Il Vertice dell'Aja si tenne il 1º e 2 dicembre 1969 nella Ridderzaal del Binnenhof. Il giudizio storiografico che il committente riprende è quello di Guido Levi, nel saggio «L'integrazione della Spagna nella Comunità europea: il ruolo dell'Italia», pubblicato in Spagna contemporanea (anno XXV, n. 49, 2016, pp. 69-102): al Vertice l'Italia «finì per giocare un ruolo piuttosto marginale anche per le incertezze del nuovo ministro degli Esteri Aldo Moro, che aveva sostituito da pochi mesi Pietro Nenni alla guida della Farnesina». Il cosiddetto «giallo» sulla data è documentato dalla fonte accademica italiana Officina della Storia, che ricostruisce come il vertice, dapprima fissato per il 17 e 18 novembre, fosse stato spostato al 1º e 2 dicembre a causa di una «presunta 'malattia'» del ministro degli Esteri italiano, spostamento che «scatenò non poche illazioni e commenti sulla stampa europea» circa le vere ragioni, legate alle difficoltà di Moro; la stessa fonte attesta che Moro ingaggiò un «braccio di ferro» con il governo francese, arrivando «addirittura a minacciare di non partecipare al vertice» se Pompidou non avesse inserito nel comunicato finale una data d'inizio dei negoziati con la Gran Bretagna. La posizione italiana era dunque a sostegno dell'ingresso britannico e tesa a bilanciare l'asse franco-tedesco; il ruolo di Brandt e della delegazione tedesca fu di primo piano nel rilancio (il Vertice varò l'obiettivo dell'unione economica e monetaria e dell'allargamento). La medesima fonte segnala che all'Aja prevalse la pratica intergovernativa, con la Commissione europea relegata a una sessione tecnica per volontà francese.</w:t>
      </w:r>
    </w:p>
    <w:p>
      <w:pPr>
        <w:spacing w:after="120" w:line="276"/>
        <w:jc w:val="both"/>
      </w:pPr>
      <w:r>
        <w:rPr>
          <w:rFonts w:ascii="Barlow Semi Condensed" w:cs="Barlow Semi Condensed" w:eastAsia="Barlow Semi Condensed" w:hAnsi="Barlow Semi Condensed"/>
          <w:sz w:val="24"/>
          <w:szCs w:val="24"/>
        </w:rPr>
        <w:t xml:space="preserve">Dal mandato dell'Aja discese il Piano Werner, elaborato dal comitato presieduto dal primo ministro lussemburghese Pierre Werner, presentato al Consiglio nel giugno 1970 e recepito dal Consiglio con risoluzione del 22 marzo 1971, che avviava la prima tappa dell'unione economica e monetaria da realizzarsi in dieci anni. Sul serpente monetario le fonti presentano una lieve divergenza terminologica che va riportata: la Wikipedia italiana colloca i primi provvedimenti al 21 marzo 1972, perfezionati nell'accordo di Basilea del 10 aprile 1972 ed entrati in vigore il 24 aprile 1972, con margini di fluttuazione del 2,25 per cento; BankPedia colloca l'accordo di Basilea al 24 aprile 1972; una lezione universitaria della Sapienza colloca la nascita del serpente nel marzo 1972. L'uscita della lira dal serpente è datata concordemente al 13 febbraio 1973 (BankPedia; Wikipedia italiana), in coincidenza con la seconda svalutazione del dollaro; la lira restò fuori dal sistema fino alla vigilia dell'entrata in funzione del Sistema monetario europeo nel 1979. La materia monetaria è di ambito comunitario e non tocca direttamente la questione tedesca ecclesiastica; se ne dà conto perché richiesta esplicitamente dal committente come parte del ruolo tedesco nel processo di integrazione.</w:t>
      </w:r>
    </w:p>
    <w:p>
      <w:pPr>
        <w:pStyle w:val="Heading2"/>
        <w:spacing w:after="100" w:before="200"/>
      </w:pPr>
      <w:r>
        <w:rPr>
          <w:rFonts w:ascii="Barlow Semi Condensed" w:cs="Barlow Semi Condensed" w:eastAsia="Barlow Semi Condensed" w:hAnsi="Barlow Semi Condensed"/>
          <w:sz w:val="24"/>
          <w:szCs w:val="24"/>
        </w:rPr>
        <w:t xml:space="preserve">Capitolo X — Il Reichskonkordat del 1933 e la sua vigenza nella Repubblica Federale, con il confronto lateranense</w:t>
      </w:r>
    </w:p>
    <w:p>
      <w:pPr>
        <w:spacing w:after="120" w:line="276"/>
        <w:jc w:val="both"/>
      </w:pPr>
      <w:r>
        <w:rPr>
          <w:rFonts w:ascii="Barlow Semi Condensed" w:cs="Barlow Semi Condensed" w:eastAsia="Barlow Semi Condensed" w:hAnsi="Barlow Semi Condensed"/>
          <w:sz w:val="24"/>
          <w:szCs w:val="24"/>
        </w:rPr>
        <w:t xml:space="preserve">Il Concordato fra Santa Sede e Reich germanico fu firmato il 20 luglio 1933 dal cardinale segretario di Stato Eugenio Pacelli e dal vicecancelliere Franz von Papen. La documentazione ufficiale tedesca (il servizio scientifico del Bundestag, la Konrad-Adenauer-Stiftung, i portali Katholisch.de e Domradio) attesta che il negoziato si svolse in due tornate (10-20 aprile e 29 giugno – 5 luglio 1933), con la partecipazione di Ludwig Kaas per il Zentrum, e che il testo paraphato l'8 luglio fu approvato dal gabinetto del Reich il 14 luglio; il Concordato fu pubblicato nel Reichsgesetzblatt 1933 II, p. 679, ed entrò in vigore con lo scambio degli strumenti di ratifica il 10 settembre 1933. Esso è comunemente descritto come l'unico accordo di politica estera dell'epoca nazista ancora oggi vigente. Va registrata la controversia storiografica sul significato dell'atto: la cosiddetta polemica Repgen-Scholder verte sul se il Concordato fu, secondo Konrad Repgen, un «Defensivvertrag» con cui la Chiesa cercò di proteggere i cattolici, o piuttosto uno strumento che avrebbe contribuito a consolidare il regime; questa controversia va riportata con il suo statuto di dibattito scientifico aperto.</w:t>
      </w:r>
    </w:p>
    <w:p>
      <w:pPr>
        <w:spacing w:after="120" w:line="276"/>
        <w:jc w:val="both"/>
      </w:pPr>
      <w:r>
        <w:rPr>
          <w:rFonts w:ascii="Barlow Semi Condensed" w:cs="Barlow Semi Condensed" w:eastAsia="Barlow Semi Condensed" w:hAnsi="Barlow Semi Condensed"/>
          <w:sz w:val="24"/>
          <w:szCs w:val="24"/>
        </w:rPr>
        <w:t xml:space="preserve">Sulla vigenza nella Repubblica Federale la fonte primaria è la sentenza della Corte costituzionale federale nota come Konkordatsurteil, in materia della legge scolastica della Bassa Sassonia (scuole confessionali). Qui si registra una divergenza di data fra le fonti, che il metodo impone di riportare: la Konrad-Adenauer-Stiftung, il portale Katholisch.de e più portali giornalistici indicano il 26 marzo 1957; alcune fonti (un documento del servizio scientifico del Bundestag, il portale Domradio in un passaggio) indicano il 23 marzo 1957; la citazione formale della sentenza è comunque BVerfGE 6, 309, procedimento 2 BvG 1/55. La Corte stabilì che il Reichskonkordat era validamente concluso e giuridicamente vincolante e continuava a valere anche oltre il crollo dello Stato nazionalsocialista, ma che la competenza in materia scolastica spettava ai Länder, i quali potevano perciò adottare anche normative in contrasto con il Concordato senza che il governo federale potesse costringerli. I concordati regionali con i Länder precedono e affiancano il Reichskonkordat: Baviera 1924, Prussia 1929, Baden 1932. katholisch.de (https://katholisch.de/artikel/54136-das-reichskonkordat-kontroversen-um-einen-teufelspakt) La Repubblica Democratica Tedesca non riconosceva il Concordato, coerentemente con la sua dottrina di non successione al Reich e con l'impianto ideologico del regime. Il confronto con il Concordato lateranense italiano — firmato l'11 febbraio 1929 e revisionato con l'Accordo di Villa Madama concluso il 18 febbraio 1984, come accertato in ricognizione anteriore — evidenzia una differenza di traiettoria: mentre in Italia il concordato fu oggetto di una revisione bilaterale integrale e consensuale, in Germania il Reichskonkordat rimase in vigore immutato nella sua cornice, con adattamenti affidati alla giurisprudenza costituzionale e ai concordati dei Länder.</w:t>
      </w:r>
    </w:p>
    <w:p>
      <w:pPr>
        <w:pStyle w:val="Heading2"/>
        <w:spacing w:after="100" w:before="200"/>
      </w:pPr>
      <w:r>
        <w:rPr>
          <w:rFonts w:ascii="Barlow Semi Condensed" w:cs="Barlow Semi Condensed" w:eastAsia="Barlow Semi Condensed" w:hAnsi="Barlow Semi Condensed"/>
          <w:sz w:val="24"/>
          <w:szCs w:val="24"/>
        </w:rPr>
        <w:t xml:space="preserve">Capitolo XI — La Germania, la CSCE e la firma di Helsinki del 1975</w:t>
      </w:r>
    </w:p>
    <w:p>
      <w:pPr>
        <w:spacing w:after="120" w:line="276"/>
        <w:jc w:val="both"/>
      </w:pPr>
      <w:r>
        <w:rPr>
          <w:rFonts w:ascii="Barlow Semi Condensed" w:cs="Barlow Semi Condensed" w:eastAsia="Barlow Semi Condensed" w:hAnsi="Barlow Semi Condensed"/>
          <w:sz w:val="24"/>
          <w:szCs w:val="24"/>
        </w:rPr>
        <w:t xml:space="preserve">La Conferenza per la sicurezza e la cooperazione in Europa si aprì nella fase multilaterale preparatoria dal novembre 1972 e nei negoziati veri e propri dal 3 luglio 1973, per concludersi con l'Atto finale firmato a Helsinki il 1º agosto 1975 da trentacinque Stati. La documentazione tedesca (Bundeszentrale für politische Bildung; Haus der Geschichte; il testo dell'Atto finale) attesta che entrambe le Germanie parteciparono alla pari e che per la Repubblica Federale firmò il cancelliere Helmut Schmidt e per la Repubblica Democratica il segretario generale Erich Honecker. Il principio III dell'Atto finale sancisce l'inviolabilità delle frontiere («Unverletzlichkeit der Grenzen»); la clausola sulla loro modificabilità per via pacifica — secondo cui le frontiere possono essere mutate solo con mezzi pacifici e per accordo — fu essenziale per la Repubblica Federale perché lasciava aperta la possibilità giuridica della riunificazione tedesca senza contraddire il riconoscimento dello status quo. Su questo punto il committente chiede se esista una lettera tedesca sull'unità nazionale allegata all'Atto finale: le fonti edite qui reperite non attestano un tale documento allegato all'Atto finale di Helsinki; il «Brief zur deutschen Einheit» fu invece allegato al Trattato di Mosca del 1970 Konrad-Adenauer-Stiftung (https://www.kas.de/en/web/geschichte-der-cdu/calendar-detail/-/content/der-bundestag-ratifiziert-den-moskauer-und-den-warschauer-vertrag-und-stimmt-der-gemeinsamen-entschl) e al Grundlagenvertrag del 1972 (capitolo IV), mentre a Helsinki lo strumento rilevante fu la clausola di modificabilità pacifica delle frontiere. Questo va dichiarato come esito parzialmente negativo: nessuna lettera tedesca allegata all'Atto finale è documentata; la funzione che il committente ipotizza fu assolta dalla clausola sulla modificabilità pacifica, non da una lettera.</w:t>
      </w:r>
    </w:p>
    <w:p>
      <w:pPr>
        <w:spacing w:after="120" w:line="276"/>
        <w:jc w:val="both"/>
      </w:pPr>
      <w:r>
        <w:rPr>
          <w:rFonts w:ascii="Barlow Semi Condensed" w:cs="Barlow Semi Condensed" w:eastAsia="Barlow Semi Condensed" w:hAnsi="Barlow Semi Condensed"/>
          <w:sz w:val="24"/>
          <w:szCs w:val="24"/>
        </w:rPr>
        <w:t xml:space="preserve">Per l'Italia firmò Aldo Moro, nella duplice qualità di presidente del Consiglio e di presidente di turno della Comunità europea. La fonte giornalistica qualificata (Avvenire, che cita l'intervento di Moro) riporta che Moro annunciò a Helsinki che i Nove, per le materie di competenza comunitaria, avevano esaminato le conclusioni della Conferenza e le accettavano, «di conseguenza firmerò l'Atto finale nella mia duplice qualità»; l'ambasciatore Luigi Vittorio Ferraris fu tessitore per l'Italia di quella Conferenza, come attesta una testimonianza pubblicata su Affari Internazionali. Anche la Santa Sede fu firmataria dell'Atto finale, avendo perseguito, secondo Vatican News e la recensione del volume di Melloni, l'inserimento delle clausole sui diritti umani e sulla libertà religiosa. La convergenza fra la posizione italiana, quella comunitaria e quella della Santa Sede a Helsinki è documentata come convergenza di obiettivo e comunanza di ambiente diplomatico, non come coordinamento formale fra Roma politica e Roma pontificia, che le fonti non attestano.</w:t>
      </w:r>
    </w:p>
    <w:p>
      <w:pPr>
        <w:pStyle w:val="Heading2"/>
        <w:spacing w:after="100" w:before="200"/>
      </w:pPr>
      <w:r>
        <w:rPr>
          <w:rFonts w:ascii="Barlow Semi Condensed" w:cs="Barlow Semi Condensed" w:eastAsia="Barlow Semi Condensed" w:hAnsi="Barlow Semi Condensed"/>
          <w:sz w:val="24"/>
          <w:szCs w:val="24"/>
        </w:rPr>
        <w:t xml:space="preserve">Capitolo XII — Il versante del terrorismo, gli archivi, gli esiti negativi e la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Questo capitolo conclusivo raccoglie tre materie che il metodo impone di trattare con cautela: il versante del terrorismo, lo stato degli archivi e la dichiarazione espressa degli esiti negativi con la tavola delle acquisizioni necessarie e non conseguite.</w:t>
      </w:r>
    </w:p>
    <w:p>
      <w:pPr>
        <w:spacing w:after="120" w:line="276"/>
        <w:jc w:val="both"/>
      </w:pPr>
      <w:r>
        <w:rPr>
          <w:rFonts w:ascii="Barlow Semi Condensed" w:cs="Barlow Semi Condensed" w:eastAsia="Barlow Semi Condensed" w:hAnsi="Barlow Semi Condensed"/>
          <w:sz w:val="24"/>
          <w:szCs w:val="24"/>
        </w:rPr>
        <w:t xml:space="preserve">Sul versante del terrorismo, la vicenda di Willy Peter Stoll, militante della Rote Armee Fraktion, va riportata attenendosi rigorosamente a ciò che le fonti giudiziarie e parlamentari accertino. La data della sua uccisione da parte della polizia a Düsseldorf, indicata dal committente come 11 settembre 1978, va corretta: le fonti accertano il 6 settembre 1978, come attesta la voce biografica tedesca (Willy Peter Stoll, nato a Stoccarda il 12 giugno 1950, morto a Düsseldorf il 6 settembre 1978) e la Stuttgarter Zeitung, che colloca l'episodio «am Abend des 6. September 1978» nel ristorante cinese Shanghai di Düsseldorf. La divergenza di data va dunque segnalata e risolta a favore del 6 settembre. Nei materiali attribuiti alle indagini italiane e riportati in ambito parlamentare e pubblicistico si afferma che il collaboratore di giustizia Patrizio Peci, ex membro delle Brigate Rosse, identificò Stoll come il militante della RAF che si recava in Italia per incontrare Mario Moretti e che documenti in possesso di Stoll confermerebbero i contatti fra RAF e Brigate Rosse. Occorre qualificare con precisione lo statuto di queste affermazioni: si tratta di dichiarazioni di un collaboratore riportate in sede investigativa e riprese in atti parlamentari e nella pubblicistica, non di accertamenti definitivi di sentenza; e l'appartenenza di Stoll alla RAF non costituisce, di per sé, prova di una condotta della RAF nel sequestro Moro. La documentazione parlamentare italiana (gli atti della Commissione Moro reperibili tramite l'archivio digitale Grassi) attesta l'esistenza di un filone d'indagine sui possibili contatti operativi fra Brigate Rosse e RAF nel periodo immediatamente precedente il sequestro, incluso il tema di un presunto infiltrato dei servizi tedeschi a Milano; ma le tesi circolanti nella pubblicistica su una eterodirezione del sequestro Moro, non trovando riscontro nelle fonti primarie giudiziarie, vanno qualificate come non sostenute. Il sequestro Schleyer del settembre-ottobre 1977 (Hanns Martin Schleyer, presidente della Confindustria tedesca, rapito a Colonia il 5 settembre 1977 dal commando «Siegfried Hausner» della RAF e ucciso in ottobre) costituì il precedente immediato; la linea tedesca della fermezza, gestita da un Krisenstab e culminata nel blitz di Mogadiscio del 18 ottobre 1977, è documentata dalla storiografia sul Deutscher Herbst; il sequestro Moro si colloca fra il 16 marzo e il 9 maggio 1978. Sulla cooperazione italo-tedesca in materia di terrorismo e sul ruolo del Bundeskriminalamt durante il sequestro Moro, le fonti edite qui reperite sono insufficienti a un accertamento puntuale, e la materia è dichiarata come voce aperta da approfondire negli atti della Commissione parlamentare d'inchiesta e negli archivi del Bundeskriminalamt.</w:t>
      </w:r>
    </w:p>
    <w:p>
      <w:pPr>
        <w:spacing w:after="120" w:line="276"/>
        <w:jc w:val="both"/>
      </w:pPr>
      <w:r>
        <w:rPr>
          <w:rFonts w:ascii="Barlow Semi Condensed" w:cs="Barlow Semi Condensed" w:eastAsia="Barlow Semi Condensed" w:hAnsi="Barlow Semi Condensed"/>
          <w:sz w:val="24"/>
          <w:szCs w:val="24"/>
        </w:rPr>
        <w:t xml:space="preserve">Sugli archivi, lo stato di accessibilità è il seguente. L'Archivio Storico Diplomatico del Ministero degli Affari Esteri italiano conserva la serie Germania e la serie Santa Sede per il periodo 1969-1975, con l'avvertenza già accertata dell'esclusione temporanea dei Telegrammi 1942-1970. Il Politisches Archiv des Auswärtigen Amts di Berlino conserva la serie Akten zur Auswärtigen Politik der Bundesrepublik Deutschland, edita per annate. Il Bundesarchiv ha sedi a Coblenza e Berlino. Le carte del cardinale Döpfner sono presso l'archivio della Conferenza episcopale tedesca e l'archivio dell'arcidiocesi di Monaco. L'Archivio Apostolico Vaticano è consultabile soltanto fino all'ottobre 1958, termine del pontificato di Pio XII: i pontificati di Giovanni XXIII, Paolo VI e Giovanni Paolo II non sono aperti, il che preclude allo stato ogni verifica archivistica primaria sull'atto del 1972 e sui negoziati di Casaroli. L'Archivio Aldo Moro è ripartito fra l'Archivio storico del Senato e l'Archivio Centrale dello Stato, con la risorsa digitale Aldo Moro Digitale dell'Università di Bologna. I resoconti stenografici della quinta e sesta legislatura sono disponibili, con l'avvertenza che la banca dati del sindacato ispettivo copre soltanto dalla settima legislatura, cioè dal 5 luglio 1976.</w:t>
      </w:r>
    </w:p>
    <w:p>
      <w:pPr>
        <w:spacing w:after="120" w:line="276"/>
        <w:jc w:val="both"/>
      </w:pPr>
      <w:r>
        <w:rPr>
          <w:rFonts w:ascii="Barlow Semi Condensed" w:cs="Barlow Semi Condensed" w:eastAsia="Barlow Semi Condensed" w:hAnsi="Barlow Semi Condensed"/>
          <w:sz w:val="24"/>
          <w:szCs w:val="24"/>
        </w:rPr>
        <w:t xml:space="preserve">Gli esiti negativi, che sono acquisizioni di pieno valore, si ordinano per rendimento atteso come segue. Primo e di massimo rilievo: non è stata reperita alcuna documentazione di una posizione italiana o della Farnesina sulla riorganizzazione diocesana del 1972; la ricerca andrebbe condotta nei Documenti Diplomatici Italiani, nell'Archivio Storico Diplomatico (serie Santa Sede) e nelle carte dell'Ambasciata d'Italia presso la Santa Sede, ma allo stato l'esito è negativo, ed è del resto coerente con il fatto che la materia fu trilaterale (Santa Sede, Polonia, Repubblica Federale) e priva di interesse giuridico italiano. Secondo: gli incontri documentati fra Moro e Scheel e fra Moro e Brandt, con data e sede, non sono emersi dalle fonti edite e vanno ricostruiti negli Akten zur Auswärtigen Politik e nei Documenti Diplomatici Italiani. Terzo: la citazione verbatim di Casaroli, di Hansjakob Stehle (Die Ostpolitik des Vatikans, Monaco 1975), di Andrea Riccardi e del volume Il filo sottile curato da Melloni, che attesti in modo definitivo il nesso fra ratifica e atto del 1972, non è stata ottenuta e va reperita nei rispettivi volumi e nel testo integrale della comunicazione vaticana del 28 giugno 1972 pubblicata negli Acta Apostolicae Sedis; il volume di riferimento primario in lingua polacca è la raccolta curata da Wojciech Kucharski, Droga do stabilizacji polskiej administracji kościelnej na Ziemiach Zachodnich i Północnych po II wojnie światowej (Wrocław 2013). Quarto: l'esistenza di una lettera tedesca sull'unità nazionale allegata all'Atto finale di Helsinki non è documentata e va considerata, allo stato, inesistente, essendo la funzione assolta dalla clausola di modificabilità pacifica delle frontiere. Quinto: la posizione italiana specifica sulla dottrina Hallstein e sul suo superamento resta da documentare negli archivi diplomatici. Sesto: la cooperazione italo-tedesca in materia di terrorismo durante il sequestro Moro, con il ruolo del Bundeskriminalamt e le offerte di collaborazione tedesca, resta da accertare negli atti della Commissione parlamentare d'inchiesta e negli archivi tedeschi. Ciascuna di queste acquisizioni, ove conseguita, integrerebbe la ricostruzione senza però modificare l'accertamento centrale, che resta fermo: la sequenza Oder-Neisse è confermata, e il nesso fra la ratifica del Trattato di Varsavia e l'atto pontificio del 28 giugno 1972 è attestato dalla comunicazione vaticana di accompagnamento e dalla storiografia (segnatamente Karl-Joseph Hummel), mentre il testo canonico si mantenne, per scelta deliberata, sul solo piano pastorale.</w:t>
      </w:r>
    </w:p>
    <w:p>
      <w:pPr>
        <w:pStyle w:val="Heading2"/>
        <w:spacing w:after="100" w:before="200"/>
      </w:pPr>
      <w:r>
        <w:rPr>
          <w:rFonts w:ascii="Barlow Semi Condensed" w:cs="Barlow Semi Condensed" w:eastAsia="Barlow Semi Condensed" w:hAnsi="Barlow Semi Condensed"/>
          <w:sz w:val="24"/>
          <w:szCs w:val="24"/>
        </w:rPr>
        <w:t xml:space="preserve">NOTA CONCLUSIVA SUL METODO E SUI LIMITI. Questa ricognizione ha privilegiato, come richiesto, le fonti in italiano e in tedesco, con impiego del polacco per il versante polacco (siti diocesani, IPN, Zapiski Historyczne), dell'inglese per la storiografia internazionale (Cambridge, Project MUSE, la controversia Weigel-Casaroli) e del latino per il testo degli atti pontifici (la costituzione apostolica pubblicata negli Acta Apostolicae Sedis LXIV, 1972). Sono state escluse, come imposto, l'enciclopedia Grokipedia e il quotidiano il Manifesto. Ove le fonti divergono su una data (l'uccisione di Stoll, la data del Konkordatsurteil, la data terminale del primo mandato di Moro, la data della bolla del 1972, la nascita del serpente monetario), la divergenza è stata riportata e, ove possibile, risolta indicando la fonte prevalente. L'accertamento centrale relativo all'obiettivo prioritario è raggiunto con sicurezza documentale; gli obiettivi ulteriori sono raggiunti in misura variabile, con dichiarazione espressa dei punti in cui la documentazione primaria d'archivio, allo stato della sua accessibilità, non consente di andare oltre l'inferenza fondata su fonti edite.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La Santa Sede e le due Germanie: la sequenza Oder-Neisse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IV: 6.066 parole in 9 sezioni; la più ampia è §9 Altre sezioni, con 2.294.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IV: 35 indirizzi di fonte citati, addensati in 9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V. Portogallo e Opus Dei</w:t>
      </w:r>
    </w:p>
    <w:p>
      <w:pPr>
        <w:pStyle w:val="Heading1"/>
        <w:spacing w:after="120" w:before="240"/>
      </w:pPr>
      <w:r>
        <w:rPr>
          <w:rFonts w:ascii="Barlow Semi Condensed" w:cs="Barlow Semi Condensed" w:eastAsia="Barlow Semi Condensed" w:hAnsi="Barlow Semi Condensed"/>
          <w:sz w:val="24"/>
          <w:szCs w:val="24"/>
        </w:rPr>
        <w:t xml:space="preserve">Aldo Moro, l'Opus Dei in Portogallo e le loro triangolazioni. Ricognizione storiografica e archivistica in dodici capitoli</w:t>
      </w:r>
    </w:p>
    <w:p>
      <w:pPr>
        <w:pStyle w:val="Heading2"/>
        <w:spacing w:after="100" w:before="200"/>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L'Opus Dei si insediò in Portogallo dal 5 febbraio 1945 su iniziativa del fondatore Josemaría Escrivá (viaggio sollecitato da suor Lúcia di Fátima), ma — a differenza radicale del caso spagnolo — non ebbe mai un ruolo governativo tecnocratico comparabile: anzi, la polizia politica PIDE/DGS la sorvegliò per decenni sospettando una "cospirazione", senza mai provarla.</w:t>
      </w:r>
      <w:r>
        <w:rPr>
          <w:rFonts w:ascii="Barlow Semi Condensed" w:cs="Barlow Semi Condensed" w:eastAsia="Barlow Semi Condensed" w:hAnsi="Barlow Semi Condensed"/>
          <w:sz w:val="24"/>
          <w:szCs w:val="24"/>
        </w:rPr>
        <w:t xml:space="preserve"> La consistenza attuale è modesta (1.615 membri secondo i dati ufficiali di dicembre 2021). CNN Portugal (https://cnnportugal.iol.pt/religiao/igreja-catolica/o-papa-francisco-usou-cilicio-entrevista-rara-do-lider-do-opus-dei-que-assume-acolhimento-de-homossexuais/20220205/61fd3b150cf2cc58e7e10649)</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Nessun documento collega Aldo Moro all'Opus Dei in alcuna veste: si conferma lo Stato Zero.</w:t>
      </w:r>
      <w:r>
        <w:rPr>
          <w:rFonts w:ascii="Barlow Semi Condensed" w:cs="Barlow Semi Condensed" w:eastAsia="Barlow Semi Condensed" w:hAnsi="Barlow Semi Condensed"/>
          <w:sz w:val="24"/>
          <w:szCs w:val="24"/>
        </w:rPr>
        <w:t xml:space="preserve"> Parimenti negativa è la ricerca nei documenti desecretati statunitensi: non esiste, per il Portogallo, alcun analogo del rapporto CIA del 22 maggio 1970 sul gabinetto franchista.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sola triangolazione dotata di sostegno documentale è la mediazione della Santa Sé</w:t>
      </w:r>
      <w:r>
        <w:rPr>
          <w:rFonts w:ascii="Barlow Semi Condensed" w:cs="Barlow Semi Condensed" w:eastAsia="Barlow Semi Condensed" w:hAnsi="Barlow Semi Condensed"/>
          <w:sz w:val="24"/>
          <w:szCs w:val="24"/>
        </w:rPr>
        <w:t xml:space="preserve">, interlocutrice comune di Portogallo e Italia; tutte le altre convergenze sono di ambiente cattolico o di mera contemporaneità cronologica e non stabiliscono alcun nesso operativo.</w:t>
      </w:r>
    </w:p>
    <w:p>
      <w:pPr>
        <w:pStyle w:val="Heading2"/>
        <w:spacing w:after="100" w:before="200"/>
      </w:pPr>
      <w:r>
        <w:rPr>
          <w:rFonts w:ascii="Barlow Semi Condensed" w:cs="Barlow Semi Condensed" w:eastAsia="Barlow Semi Condensed" w:hAnsi="Barlow Semi Condensed"/>
          <w:sz w:val="24"/>
          <w:szCs w:val="24"/>
        </w:rPr>
        <w:t xml:space="preserve">Key Findings</w:t>
      </w:r>
    </w:p>
    <w:p>
      <w:pPr>
        <w:spacing w:after="120" w:line="276"/>
        <w:jc w:val="both"/>
      </w:pPr>
      <w:r>
        <w:rPr>
          <w:rFonts w:ascii="Barlow Semi Condensed" w:cs="Barlow Semi Condensed" w:eastAsia="Barlow Semi Condensed" w:hAnsi="Barlow Semi Condensed"/>
          <w:sz w:val="24"/>
          <w:szCs w:val="24"/>
        </w:rPr>
        <w:t xml:space="preserve">La ricerca conferma che il "versante nuovo e prioritario" — l'Opus Dei in Portogallo come soggetto storico — è documentabile ma restituisce un quadro rovesciato rispetto all'ipotesi implicita nel confronto iberico: dove in Spagna l'istituzione fornì ministri, in Portogallo essa fu oggetto di sospetto poliziesco e di reticenza da parte del cardinale patriarca di Lisbona. La spiegazione del divario non risiede in una diversa "strategia" dell'ente, bensì in differenze strutturali di società, Chiesa ed élites, colte dalla storiografia religiosa portoghese peer-reviewed. Sul versante Moro, la ricerca produce due esiti negativi di pieno valore documentale (nessun legame con l'Opus Dei; nessuna traccia specifica su Moro e il Portogallo nel reperibile), che vanno enunciati con chiarezza anziché diluiti. Le triangolazioni reali si riducono a un solo nodo: la funzione di interlocuzione della Santa Sé.</w:t>
      </w:r>
    </w:p>
    <w:p>
      <w:pPr>
        <w:pStyle w:val="Heading2"/>
        <w:spacing w:after="100" w:before="200"/>
      </w:pPr>
      <w:r>
        <w:rPr>
          <w:rFonts w:ascii="Barlow Semi Condensed" w:cs="Barlow Semi Condensed" w:eastAsia="Barlow Semi Condensed" w:hAnsi="Barlow Semi Condensed"/>
          <w:sz w:val="24"/>
          <w:szCs w:val="24"/>
        </w:rPr>
        <w:t xml:space="preserve">Details</w:t>
      </w:r>
    </w:p>
    <w:p>
      <w:pPr>
        <w:pStyle w:val="Heading3"/>
        <w:spacing w:after="80" w:before="160"/>
      </w:pPr>
      <w:r>
        <w:rPr>
          <w:rFonts w:ascii="Barlow Semi Condensed" w:cs="Barlow Semi Condensed" w:eastAsia="Barlow Semi Condensed" w:hAnsi="Barlow Semi Condensed"/>
          <w:sz w:val="24"/>
          <w:szCs w:val="24"/>
        </w:rPr>
        <w:t xml:space="preserve">CAPITOLO I — Premessa metodologica, natura delle fonti e mappa del reperito</w:t>
      </w:r>
    </w:p>
    <w:p>
      <w:pPr>
        <w:spacing w:after="120" w:line="276"/>
        <w:jc w:val="both"/>
      </w:pPr>
      <w:r>
        <w:rPr>
          <w:rFonts w:ascii="Barlow Semi Condensed" w:cs="Barlow Semi Condensed" w:eastAsia="Barlow Semi Condensed" w:hAnsi="Barlow Semi Condensed"/>
          <w:sz w:val="24"/>
          <w:szCs w:val="24"/>
        </w:rPr>
        <w:t xml:space="preserve">Questa ricognizione tratta tre oggetti distinti — l'attività di Aldo Moro come ministro degli Esteri in rapporto al Portogallo, l'Opus Dei in Portogallo dal suo insediamento al 1985, e le loro triangolazioni per via diretta o attraverso la mediazione vaticana e il confronto spagnolo — applicando un principio dirimente che prevale su ogni esigenza narrativa: l'appartenenza di una persona a un'organizzazione non è prova di una condotta dell'organizzazione. Le fonti reperite si collocano su piani eterogenei, che il metodo impone di tenere distinti. Per l'insediamento dell'Opus Dei in Portogallo la fonte ufficiale dell'ente (opusdei.org, versione pt-pt) fornisce la cronologia interna, da impiegare per i dati di fatto sui propri membri ma non per le valutazioni sulle responsabilità. Una recensione accademica peer-reviewed pubblicata sulla rivista Lusitania Sacra del Centro de Estudos de História Religiosa della Universidade Católica Portuguesa (doi 10.34632/lusitaniasacra.2022.11811, a firma di Miguel de Salis Amaral, della Pontifícia Università della Santa Croce) offre il vaglio critico della monografia di Onésimo Díaz, </w:t>
      </w:r>
      <w:r>
        <w:rPr>
          <w:rFonts w:ascii="Barlow Semi Condensed" w:cs="Barlow Semi Condensed" w:eastAsia="Barlow Semi Condensed" w:hAnsi="Barlow Semi Condensed"/>
          <w:i/>
          <w:iCs/>
          <w:sz w:val="24"/>
          <w:szCs w:val="24"/>
        </w:rPr>
        <w:t xml:space="preserve">Expansión: El desarrollo del Opus Dei entre los años 1940 y 1945</w:t>
      </w:r>
      <w:r>
        <w:rPr>
          <w:rFonts w:ascii="Barlow Semi Condensed" w:cs="Barlow Semi Condensed" w:eastAsia="Barlow Semi Condensed" w:hAnsi="Barlow Semi Condensed"/>
          <w:sz w:val="24"/>
          <w:szCs w:val="24"/>
        </w:rPr>
        <w:t xml:space="preserve"> (Madrid, Rialp, 2020), opera del filone dell'Istituto Storico San Josemaría Escrivá. Sul versante della sorveglianza statale la fonte principale è il libro giornalistico d'inchiesta di António José Vilela e Pedro Ramos Brandão, </w:t>
      </w:r>
      <w:r>
        <w:rPr>
          <w:rFonts w:ascii="Barlow Semi Condensed" w:cs="Barlow Semi Condensed" w:eastAsia="Barlow Semi Condensed" w:hAnsi="Barlow Semi Condensed"/>
          <w:i/>
          <w:iCs/>
          <w:sz w:val="24"/>
          <w:szCs w:val="24"/>
        </w:rPr>
        <w:t xml:space="preserve">Salazar e a Conspiração do Opus Dei</w:t>
      </w:r>
      <w:r>
        <w:rPr>
          <w:rFonts w:ascii="Barlow Semi Condensed" w:cs="Barlow Semi Condensed" w:eastAsia="Barlow Semi Condensed" w:hAnsi="Barlow Semi Condensed"/>
          <w:sz w:val="24"/>
          <w:szCs w:val="24"/>
        </w:rPr>
        <w:t xml:space="preserve"> (Casa das Letras, 2011), fondato su fascicoli PIDE/DGS conservati alla Torre do Tombo: WOOK (https://www.wook.pt/livro/salazar-e-a-conspiracao-do-opus-dei-antonio-jose-vilela/10952303) va trattato come pubblicistica d'inchiesta che cita fonti primarie, non come studio peer-reviewed, e le sue tesi vanno qualificate in quanto tali. Per Moro le fonti sono la biografia istituzionale e gli atti (il sito aldomoro.eu, l'edizione digitale dell'Università di Bologna aldomorodigitale.unibo.it), oltre alla storiografia sulla politica estera (Nuova Rivista Storica; Euro-Balkan Law and Economics Review). Il versante desecretato è stato verificato direttamente nel CIA FOIA Reading Room e nei Foreign Relations of the United States. Ogni capitolo dichiara la natura della fonte, distingue ciò che il documento attesta da ciò che se ne inferisce, e — ove il materiale non basti — si dichiara più breve, poiché è preferibile un capitolo corto che enunci uno Stato Zero rispetto a un capitolo lungo che diluisca pochi fatti. Sono espressamente escluse dalle fonti l'enciclopedia collaborativa Grokipedia e il quotidiano il Manifesto.</w:t>
      </w:r>
    </w:p>
    <w:p>
      <w:pPr>
        <w:pStyle w:val="Heading3"/>
        <w:spacing w:after="80" w:before="160"/>
      </w:pPr>
      <w:r>
        <w:rPr>
          <w:rFonts w:ascii="Barlow Semi Condensed" w:cs="Barlow Semi Condensed" w:eastAsia="Barlow Semi Condensed" w:hAnsi="Barlow Semi Condensed"/>
          <w:sz w:val="24"/>
          <w:szCs w:val="24"/>
        </w:rPr>
        <w:t xml:space="preserve">CAPITOLO II — L'insediamento dell'Opus Dei in Portogallo (1945–anni Cinquanta)</w:t>
      </w:r>
    </w:p>
    <w:p>
      <w:pPr>
        <w:spacing w:after="120" w:line="276"/>
        <w:jc w:val="both"/>
      </w:pPr>
      <w:r>
        <w:rPr>
          <w:rFonts w:ascii="Barlow Semi Condensed" w:cs="Barlow Semi Condensed" w:eastAsia="Barlow Semi Condensed" w:hAnsi="Barlow Semi Condensed"/>
          <w:sz w:val="24"/>
          <w:szCs w:val="24"/>
        </w:rPr>
        <w:t xml:space="preserve">La fonte ufficiale dell'istituzione data l'inizio della presenza in Portogallo al 5 febbraio 1945, con la prima visita del fondatore Josemaría Escrivá de Balaguer, giunto — secondo la ricostruzione dell'ente e la biografia di Hugo de Azevedo, </w:t>
      </w:r>
      <w:r>
        <w:rPr>
          <w:rFonts w:ascii="Barlow Semi Condensed" w:cs="Barlow Semi Condensed" w:eastAsia="Barlow Semi Condensed" w:hAnsi="Barlow Semi Condensed"/>
          <w:i/>
          <w:iCs/>
          <w:sz w:val="24"/>
          <w:szCs w:val="24"/>
        </w:rPr>
        <w:t xml:space="preserve">O fundador do Opus Dei em Portugal</w:t>
      </w:r>
      <w:r>
        <w:rPr>
          <w:rFonts w:ascii="Barlow Semi Condensed" w:cs="Barlow Semi Condensed" w:eastAsia="Barlow Semi Condensed" w:hAnsi="Barlow Semi Condensed"/>
          <w:sz w:val="24"/>
          <w:szCs w:val="24"/>
        </w:rPr>
        <w:t xml:space="preserve"> (Lisbona, Lucerna, 2021) — a istanza di suor Lúcia, veggente di Fátima, conosciuta a Tui. DN (https://www.dn.pt/sociedade/opus-dei-em-portugal-com-um-empurrao-da-irma-lucia--14256887.html) Escrivá, accompagnato dal vescovo di Tui, incontrò il cardinale patriarca di Lisbona e i vescovi di Braga, Porto, Coimbra e Leiria, decidendo l'avvio immediato dell'apostolato. Un anno dopo giunsero a Coimbra alcuni membri in studi post-laurea, che aprirono una residenza universitaria; seguirono le residenze di Porto (1948) e Lisbona (1951). Opus Dei (https://opusdei.org/pt-pt/article/historia-opus-dei-portugal/) La recensione di Lusitania Sacra apporta due precisazioni erudite: il primo portoghese entrato nell'Opus Dei fu Armando Serrano nell'anno accademico 1942-43, e una prima visita esplorativa di José Luis Múzquiz avvenne nel marzo 1941 ucp (https://journals.ucp.pt/index.php/lusitaniasacra/article/download/11811/11315) — segno che l'idea di iniziare il lavoro in Portogallo precedeva l'incontro con suor Lúcia, che la recensione considera concausa e non causa esclusiva. L'inchiesta Vilela–Brandão colloca l'ingresso stabile nel 1946, con l'arrivo di un gruppo di cinque universitari spagnoli e un cubano. Sul 21 (https://sul21.com.br/opiniao/2011/07/infiltrados-no-estado-novo/) La recensione di Salis Amaral segnala inoltre l'esistenza di uno studio dedicato alla corrispondenza fra Marcello Caetano e Laureano López Rodó, a firma di Paulo Miguel Martins, quale fonte di rilievo per il rapporto luso-spagnolo dell'ente. ucp (https://journals.ucp.pt/index.php/lusitaniasacra/article/download/11811/11315) Quanto alla consistenza numerica, documentata dalla stessa istituzione, la pagina storica ufficiale parla di circa 1.400 fedeli; l'agenzia Lusa (ripresa da RTP) riferì di circa 1.625 membri "no início deste ano" 2020; RTP (https://www.rtp.pt/noticias/pais/opus-dei-com-75-anos-em-portugal-e-uma-influencia-maior-do-que-os-1625-membros_n1358555) e per i dati di dicembre 2021 il vicario regionale José Rafael Espírito Santo, in occasione dei 75 anni e in un'intervista alla CNN Portugal (5 febbraio 2022), dichiarò: «há 1.615 membros no total, 1.012 mulheres e 603 homens», dei quali «505» celibatari e «1.110 são casadas ou solteiras sem o compromisso do celibato». CNN Portugal (https://cnnportugal.iol.pt/religiao/igreja-catolica/o-papa-francisco-usou-cilicio-entrevista-rara-do-lider-do-opus-dei-que-assume-acolhimento-de-homossexuais/20220205/61fd3b150cf2cc58e7e10649) Sono documentati centri della prelatura a Braga, Porto, Miramar, Viseu, Coimbra, Lisbona, Montemor-o-Novo e Ponta Delgada. Opus Dei (https://opusdei.org/pt-pt/article/historia-opus-dei-portugal/) Fra le opere educative e istituzionali collegate a membri dell'ente in Portogallo, il volume collettivo diretto da José Freire Antunes menziona il Colégio Universitário Montes Claros, il Colégio Horizonte (Porto), il Colégio Mira Rio, la Residência Universitária dos Álamos, l'AESE (scuola di direzione d'impresa) e l'ISU (Instituto de Solidariedade e Cooperação), sull'asse di quel modello di residenze universitarie e opere professionali che caratterizza l'apostolato dell'istituzione.</w:t>
      </w:r>
    </w:p>
    <w:p>
      <w:pPr>
        <w:pStyle w:val="Heading3"/>
        <w:spacing w:after="80" w:before="160"/>
      </w:pPr>
      <w:r>
        <w:rPr>
          <w:rFonts w:ascii="Barlow Semi Condensed" w:cs="Barlow Semi Condensed" w:eastAsia="Barlow Semi Condensed" w:hAnsi="Barlow Semi Condensed"/>
          <w:sz w:val="24"/>
          <w:szCs w:val="24"/>
        </w:rPr>
        <w:t xml:space="preserve">CAPITOLO III — L'Opus Dei e l'Estado Novo: la sorveglianza della polizia politica</w:t>
      </w:r>
    </w:p>
    <w:p>
      <w:pPr>
        <w:spacing w:after="120" w:line="276"/>
        <w:jc w:val="both"/>
      </w:pPr>
      <w:r>
        <w:rPr>
          <w:rFonts w:ascii="Barlow Semi Condensed" w:cs="Barlow Semi Condensed" w:eastAsia="Barlow Semi Condensed" w:hAnsi="Barlow Semi Condensed"/>
          <w:sz w:val="24"/>
          <w:szCs w:val="24"/>
        </w:rPr>
        <w:t xml:space="preserve">Il rapporto tra istituzione e regime salazarista si presenta in senso diametralmente opposto a quello spagnolo: non collaborazione ma diffidenza e sorveglianza. Secondo l'inchiesta Vilela–Brandão, fondata sui fondi PIDE/DGS della Torre do Tombo, la polizia politica riteneva esistesse una "cospirazione" dell'Opus Dei per dominare il regime, sul modello di quanto essa credeva avvenuto nella Spagna franchista, dove — a suo giudizio — Escrivá avrebbe voluto conquistare le élites di sostegno a Salazar. Fnac (https://www.fnac.pt/Salazar-e-a-Conspiracao-do-Opus-Dei-Pedro-Ramos-Brandao/a361319) Livraria Almedina (https://www.almedina.net/salazar-e-a-conspira-o-do-opus-dei-1563875565.html) Un rapporto PIDE del settembre 1963 conteneva la frase, citata dagli autori, secondo cui «os representantes espanhóis sempre procuraram encontrar para dirigente em Portugal um homem com nome político e prestígio suficientes que o levasse um dia a fazer parte do Governo». Sul 21 (https://sul21.com.br/opiniao/2011/07/infiltrados-no-estado-novo/) Una nota non firmata del 1961 indirizzata a Salazar e conservata alla Torre do Tombo, intitolata «As Actividades do Opus Dei em Portugal», è alla base dell'inchiesta ripresa dalla rivista SÁBADO (di cui Vilela è direttore aggiunto) nell'articolo «A vigilância secreta de Salazar ao Opus Dei»: «A PIDE desviou cartas, anotou nomes como os de Marcello Caetano e Adriano Moreira e detetou a entrada de 18 milhões de pesetas». SÁBADO (https://www.sabado.pt/vida/detalhe/a-vigilancia-secreta-de-salazar-ao-opus-dei) La stessa inchiesta indica inoltre l'ex-ministro Daniel Barbosa fra i nomi annotati e individua lo spagnolo D. Gregório Ortega Pardo come «o homem eficaz que fazia a ligação destes ex-governantes com a instituição», secondo un relatório PIDE del gennaio 1964 dedicato alle «tentativas de penetração do Opus Dei na política interna portuguesa». Pro Roma Mariana (https://promariana.wordpress.com/2015/12/10/o-opus-dei-na-historia-de-fatima/) Occorre la massima cautela interpretativa: si tratta di ciò che la PIDE sospettava e annotava, non di condotte provate dell'istituzione o degli individui. Gli stessi resoconti sottolineano che la polizia non riuscì mai a provare i legami, e che Marcello Caetano e Adriano Moreira — quest'ultimo indicato in alcuni rapporti come possibile successore del capo del governo — «terão resistido ao assédio». Nomi come Leite Pinto, Vieira Barbosa e Cavaleiro Ferreira comparivano come presunti membri, ma senza prova documentale. Palrador D'el Rei (https://denunciation.wordpress.com/2011/06/22/%C2%ABsalazar-e-a-conspiracao-do-opus-dei%C2%BB-de-antonio-jose-vilela-e-pedro-ramos-brandao/) Questo intero corpus va perciò qualificato come sospetto poliziesco, non come accertamento storico: costituisce prova di ciò che il regime temeva, non di ciò che l'Opus Dei fece. La tesi cospirativa che coinvolgerebbe suor Lúcia, il controllo del Banco da Agricultura e un'alleanza tacita e frustrata col cardinale Cerejeira Bertrand (https://www.bertrand.pt/livro/salazar-e-a-conspiracao-do-opus-dei-antonio-jose-vilela/10952303) Livraria Almedina (https://www.almedina.net/salazar-e-a-conspira-o-do-opus-dei-1563875565.html) è precisamente il tipo di tesi circolante nella pubblicistica che, non trovando riscontro in fonti primarie autonome, va qualificata come non sostenuta.</w:t>
      </w:r>
    </w:p>
    <w:p>
      <w:pPr>
        <w:pStyle w:val="Heading3"/>
        <w:spacing w:after="80" w:before="160"/>
      </w:pPr>
      <w:r>
        <w:rPr>
          <w:rFonts w:ascii="Barlow Semi Condensed" w:cs="Barlow Semi Condensed" w:eastAsia="Barlow Semi Condensed" w:hAnsi="Barlow Semi Condensed"/>
          <w:sz w:val="24"/>
          <w:szCs w:val="24"/>
        </w:rPr>
        <w:t xml:space="preserve">CAPITOLO IV — Il confronto iberico: perché in Spagna sì e in Portogallo no</w:t>
      </w:r>
    </w:p>
    <w:p>
      <w:pPr>
        <w:spacing w:after="120" w:line="276"/>
        <w:jc w:val="both"/>
      </w:pPr>
      <w:r>
        <w:rPr>
          <w:rFonts w:ascii="Barlow Semi Condensed" w:cs="Barlow Semi Condensed" w:eastAsia="Barlow Semi Condensed" w:hAnsi="Barlow Semi Condensed"/>
          <w:sz w:val="24"/>
          <w:szCs w:val="24"/>
        </w:rPr>
        <w:t xml:space="preserve">La domanda storiografica centrale — perché in Spagna l'Opus Dei fornì ministri tecnocrati al franchismo mentre in Portogallo, per quanto risulta, non ebbe ruolo governativo comparabile — trova risposta nelle differenze strutturali fra i due Paesi, messe a fuoco proprio dalla recensione peer-reviewed di Lusitania Sacra. In Spagna alcuni membri dell'Opus Dei giunsero al governo a partire dal 1957 (Alberto Ullastres al Commercio, Mariano Navarro Rubio alle Finanze) Recursosacademicos (https://www.recursosacademicos.net/tecnocratas-del-opus-dei/) e con maggiore visibilità nel gabinetto del 1969; secondo la fonte ufficiale dell'ente, otto ministri su centosedici complessivi appartennero all'istituzione nell'intero arco franchista, e figure come Gregorio López Bravo (Esteri, ottobre 1969 – giugno 1973) U.S. Department of State (https://history.state.gov/historicaldocuments/frus1969-76v41/d303) e Laureano López Rodó (poi agli Esteri dal giugno 1973) furono associate al cosiddetto "sviluppismo". La storiografia spagnola citata (Paul Preston, </w:t>
      </w:r>
      <w:r>
        <w:rPr>
          <w:rFonts w:ascii="Barlow Semi Condensed" w:cs="Barlow Semi Condensed" w:eastAsia="Barlow Semi Condensed" w:hAnsi="Barlow Semi Condensed"/>
          <w:i/>
          <w:iCs/>
          <w:sz w:val="24"/>
          <w:szCs w:val="24"/>
        </w:rPr>
        <w:t xml:space="preserve">Franco</w:t>
      </w:r>
      <w:r>
        <w:rPr>
          <w:rFonts w:ascii="Barlow Semi Condensed" w:cs="Barlow Semi Condensed" w:eastAsia="Barlow Semi Condensed" w:hAnsi="Barlow Semi Condensed"/>
          <w:sz w:val="24"/>
          <w:szCs w:val="24"/>
        </w:rPr>
        <w:t xml:space="preserve">, Grijalbo-Mondadori, 1994) avverte che l'arrivo dei tecnocrati «no fue ni siniestra ni astuta, sino más bien una respuesta pragmática y sin esquema fijo», Contrainformacion (https://contrainformacion.es/opus-dei-y-los-ministros-miembros/) e la stessa istituzione insiste che «ni todos los tecnócratas fueron del Opus Dei, ni todos los miembros del Opus Dei... fueron tecnócratas». Religión en Libertad (https://www.religionenlibertad.com/cultura/150215/ni-todos-los-tecnocratas-fueron-del-opus-dei-ni-todos-los_32125.html) In Portogallo nulla di comparabile risulta. La recensione di Salis Amaral individua con precisione le ragioni della divergenza: il diverso grado di secolarizzazione e di preparazione religiosa della gioventù universitaria portoghese rispetto a quella spagnola; il diverso rapporto Chiesa-Stato ucp (https://journals.ucp.pt/index.php/lusitaniasacra/article/download/11811/11315) (Cerejeira amico personale di Salazar dai tempi di Coimbra, ma Chiesa portoghese meno organicamente fusa con il regime rispetto al nazionalcattolicesimo spagnolo); una situazione socio-economica non paragonabile a quella di una Spagna appena uscita dalla guerra civile; e una politica portoghese durante la Seconda guerra mondiale differente da quella spagnola. ucp (https://journals.ucp.pt/index.php/lusitaniasacra/article/download/11811/11315) A questi fattori se ne aggiunge uno ecclesiale decisivo, documentato dall'Agência Ecclesia sulla scorta della storiografia del Vaticano II: il cardinale Cerejeira fu costantemente reticente verso i movimenti di origine straniera — «com o argumento de que a Ação Católica Portuguesa supria as necessidades» — sicché Opus Dei, Legião de Maria, Casais de Nossa Senhora, Graal e il Movimento dos Industriais si impiantarono a partire da diocesi diverse da quella di Lisbona. ECCLESIA (https://agencia.ecclesia.pt/portal/vaticano-ii-portugal-o-mundo-e-a-convocacao-do-concilio/) La spiegazione storica non è dunque una diversa "strategia" dell'ente, ma la combinazione di una domanda sociale e di un'accoglienza ecclesiastica strutturalmente differenti. Anche sul piano concordatario il quadro diverge: la dissertazione di dottorato di Bruno Cardoso Reis (RUN/Universidade Nova de Lisboa) sulla Concordata del 1940 rileva che «Salazar impôs os seus pontos de vista, fazendo um acordo cujas benesses para a Igreja ficaram muito aquém das vantagens oferecidas noutras concordatas, como a italiana ou a espanhola» RUN (https://run.unl.pt/entities/publication/4bd29800-b1ac-4187-bcc6-897130f67b44) — indice di una Chiesa portoghese meno "premiata" dallo Stato di quanto lo fosse quella spagnola.</w:t>
      </w:r>
    </w:p>
    <w:p>
      <w:pPr>
        <w:pStyle w:val="Heading3"/>
        <w:spacing w:after="80" w:before="160"/>
      </w:pPr>
      <w:r>
        <w:rPr>
          <w:rFonts w:ascii="Barlow Semi Condensed" w:cs="Barlow Semi Condensed" w:eastAsia="Barlow Semi Condensed" w:hAnsi="Barlow Semi Condensed"/>
          <w:sz w:val="24"/>
          <w:szCs w:val="24"/>
        </w:rPr>
        <w:t xml:space="preserve">CAPITOLO V — L'Opus Dei, le guerre coloniali e la questione africana</w:t>
      </w:r>
    </w:p>
    <w:p>
      <w:pPr>
        <w:spacing w:after="120" w:line="276"/>
        <w:jc w:val="both"/>
      </w:pPr>
      <w:r>
        <w:rPr>
          <w:rFonts w:ascii="Barlow Semi Condensed" w:cs="Barlow Semi Condensed" w:eastAsia="Barlow Semi Condensed" w:hAnsi="Barlow Semi Condensed"/>
          <w:sz w:val="24"/>
          <w:szCs w:val="24"/>
        </w:rPr>
        <w:t xml:space="preserve">Su questo punto specifico il reperito è scarso e occorre dichiararlo espressamente. Il quadro generale del rapporto tra Chiesa e guerra coloniale è ben documentato dalla storiografia religiosa portoghese: la Concordata e l'Accordo missionario del 7 maggio 1940 conferivano alla Chiesa una «utilidade imperial» e un senso «civilizador» associati al nazionalismo portoghese, Revistas Científicas da UCP (https://revistas.ucp.pt/index.php/lusitaniasacra/article/view/16035) secondo João Marques de Almeida in Lusitania Sacra (n. 51, 2026); e nel colonialismo tardo (1961-1974) si aprì il conflitto fra paradigmi missionari nazionalisti e paradigmi della "libertação", culminato — come già acquisito nelle ricognizioni anteriori — nell'espulsione del vescovo di Nampula Manuel Vieira Pinto e dei comboniani dopo il documento </w:t>
      </w:r>
      <w:r>
        <w:rPr>
          <w:rFonts w:ascii="Barlow Semi Condensed" w:cs="Barlow Semi Condensed" w:eastAsia="Barlow Semi Condensed" w:hAnsi="Barlow Semi Condensed"/>
          <w:i/>
          <w:iCs/>
          <w:sz w:val="24"/>
          <w:szCs w:val="24"/>
        </w:rPr>
        <w:t xml:space="preserve">Imperativo de Consciência</w:t>
      </w:r>
      <w:r>
        <w:rPr>
          <w:rFonts w:ascii="Barlow Semi Condensed" w:cs="Barlow Semi Condensed" w:eastAsia="Barlow Semi Condensed" w:hAnsi="Barlow Semi Condensed"/>
          <w:sz w:val="24"/>
          <w:szCs w:val="24"/>
        </w:rPr>
        <w:t xml:space="preserve">. Guerracolonial (https://guerracolonial.pt/1970-a-ilusao-das-grandes-operacoes/a-igreja-catolica-e-a-guerra-colonial/) Non è stato tuttavia reperito alcun documento che attribuisca all'Opus Dei come istituzione una posizione specifica e distinta sulle guerre coloniali o sulla questione africana, né a favore né contro. Il volume collettivo di Freire Antunes contiene testimonianze individuali che intersecano l'Africa portoghese (una sezione su «Os mutilados da Guerra de África»; il caso di Jorge Jardim Gonçalves «e a reconquista de Nambuangongo»), ma si tratta di vicende personali di membri, che il metodo impone di non trasformare in condotta dell'ente. Questo è dunque uno Stato Zero parziale: la ricerca andrebbe condotta nell'Archivio Generale della Prelatura a Roma e nei fondi diocesani portoghesi. Il capitolo è volutamente breve, poiché il materiale non basta e diluirlo con generalità sarebbe metodologicamente scorretto.</w:t>
      </w:r>
    </w:p>
    <w:p>
      <w:pPr>
        <w:pStyle w:val="Heading3"/>
        <w:spacing w:after="80" w:before="160"/>
      </w:pPr>
      <w:r>
        <w:rPr>
          <w:rFonts w:ascii="Barlow Semi Condensed" w:cs="Barlow Semi Condensed" w:eastAsia="Barlow Semi Condensed" w:hAnsi="Barlow Semi Condensed"/>
          <w:sz w:val="24"/>
          <w:szCs w:val="24"/>
        </w:rPr>
        <w:t xml:space="preserve">CAPITOLO VI — L'Opus Dei di fronte alla Rivoluzione dei garofani e alla transizione</w:t>
      </w:r>
    </w:p>
    <w:p>
      <w:pPr>
        <w:spacing w:after="120" w:line="276"/>
        <w:jc w:val="both"/>
      </w:pPr>
      <w:r>
        <w:rPr>
          <w:rFonts w:ascii="Barlow Semi Condensed" w:cs="Barlow Semi Condensed" w:eastAsia="Barlow Semi Condensed" w:hAnsi="Barlow Semi Condensed"/>
          <w:sz w:val="24"/>
          <w:szCs w:val="24"/>
        </w:rPr>
        <w:t xml:space="preserve">Il 25 aprile 1974 la Rivoluzione dei garofani rovesciò l'Estado Novo, aprendo il Processo Revolucionário Em Curso (PREC) del 1974-1975. La fonte ufficiale dell'ente e la letteratura testimoniale (il volume collettivo </w:t>
      </w:r>
      <w:r>
        <w:rPr>
          <w:rFonts w:ascii="Barlow Semi Condensed" w:cs="Barlow Semi Condensed" w:eastAsia="Barlow Semi Condensed" w:hAnsi="Barlow Semi Condensed"/>
          <w:i/>
          <w:iCs/>
          <w:sz w:val="24"/>
          <w:szCs w:val="24"/>
        </w:rPr>
        <w:t xml:space="preserve">Opus Dei em Portugal</w:t>
      </w:r>
      <w:r>
        <w:rPr>
          <w:rFonts w:ascii="Barlow Semi Condensed" w:cs="Barlow Semi Condensed" w:eastAsia="Barlow Semi Condensed" w:hAnsi="Barlow Semi Condensed"/>
          <w:sz w:val="24"/>
          <w:szCs w:val="24"/>
        </w:rPr>
        <w:t xml:space="preserve">, diretto da José Freire Antunes, che dedica una sezione specifica «O 25 de Abril de 1974» e una al progetto SOCEI-Fomento) non documentano persecuzioni sistematiche, occupazioni di sedi o espulsioni di membri dell'Opus Dei </w:t>
      </w:r>
      <w:r>
        <w:rPr>
          <w:rFonts w:ascii="Barlow Semi Condensed" w:cs="Barlow Semi Condensed" w:eastAsia="Barlow Semi Condensed" w:hAnsi="Barlow Semi Condensed"/>
          <w:i/>
          <w:iCs/>
          <w:sz w:val="24"/>
          <w:szCs w:val="24"/>
        </w:rPr>
        <w:t xml:space="preserve">in quanto tali</w:t>
      </w:r>
      <w:r>
        <w:rPr>
          <w:rFonts w:ascii="Barlow Semi Condensed" w:cs="Barlow Semi Condensed" w:eastAsia="Barlow Semi Condensed" w:hAnsi="Barlow Semi Condensed"/>
          <w:sz w:val="24"/>
          <w:szCs w:val="24"/>
        </w:rPr>
        <w:t xml:space="preserve"> durante il biennio rivoluzionario; non è stato reperito alcun documento indipendente che le attesti. La figura in cui la traiettoria dell'istituzione tocca la politica portoghese post-rivoluzionaria è Adelino Amaro da Costa, cofondatore del CDS: secondo il sito ufficiale del Parlamento portoghese egli «foi membro fundador do Partido do Centro Democrático Social (CDS) em 1974, tendo sido o seu primeiro Secretário-Geral até fevereiro de 1975» Parlamento (https://www.parlamento.pt/VisitaParlamento/Paginas/BiogAdelinoAmarodaCosta.aspx) (il CDS fu fondato il 19 luglio 1974). La sua appartenenza all'Opus Dei è documentata: l'Infopédia riferisce che «em 1979, casou-se com Maria Manuela Vaz Pires, tendo assim rompido os votos de castidade feitos quando aderiu, anos antes, à Opus Dei», Infopedia (https://www.infopedia.pt/artigos/%24adelino-amaro-da-costa) e la biografia di Célia Pedroso e Maria do Rosário Carneiro (</w:t>
      </w:r>
      <w:r>
        <w:rPr>
          <w:rFonts w:ascii="Barlow Semi Condensed" w:cs="Barlow Semi Condensed" w:eastAsia="Barlow Semi Condensed" w:hAnsi="Barlow Semi Condensed"/>
          <w:i/>
          <w:iCs/>
          <w:sz w:val="24"/>
          <w:szCs w:val="24"/>
        </w:rPr>
        <w:t xml:space="preserve">Adelino Amaro da Costa, Histórias de Uma Vida Interrompida</w:t>
      </w:r>
      <w:r>
        <w:rPr>
          <w:rFonts w:ascii="Barlow Semi Condensed" w:cs="Barlow Semi Condensed" w:eastAsia="Barlow Semi Condensed" w:hAnsi="Barlow Semi Condensed"/>
          <w:sz w:val="24"/>
          <w:szCs w:val="24"/>
        </w:rPr>
        <w:t xml:space="preserve">, Casa das Letras, 2010) raccoglie testimonianze che pongono «a importância central do Opus Dei na vida de Adelino Amaro da Costa, até ao casamento em 1979», datando l'ingresso in residenza a dopo la laurea in Ingegneria civile del 1966. ucp (https://revistas.ucp.pt/index.php/povoseculturas/article/download/8975/8843) Vale in modo assoluto la prescrizione metodologica: l'appartenenza di Amaro da Costa all'Opus Dei non costituisce prova di una condotta politica dell'Opus Dei come istituzione; egli agì come uomo politico del CDS, e le testimonianze raccolte (Rui Pena, Ernâni Lopes) descrivono un impegno personale, non una direttiva dell'ente. Amaro da Costa contribuì alla stesura del programma del I Governo provisório su richiesta del ministro Veiga Simão, ucp (https://revistas.ucp.pt/index.php/povoseculturas/article/download/8975/8843) e fu poi ministro della Difesa nel governo dell'Aliança Democrática (1980), Infopedia (https://www.infopedia.pt/artigos/%24adelino-amaro-da-costa) morendo nel disastro aereo di Camarate il 4 dicembre 1980 insieme al primo ministro Francisco Sá Carneiro. Livraria Almedina +2 (https://www.almedina.net/adelino-amaro-da-costa-hist-rias-de-uma-vida-interrompida-1563875470.html) Il capitolo resta contenuto per insufficienza di documentazione sulle vicende collettive dell'ente nel periodo rivoluzionario.</w:t>
      </w:r>
    </w:p>
    <w:p>
      <w:pPr>
        <w:pStyle w:val="Heading3"/>
        <w:spacing w:after="80" w:before="160"/>
      </w:pPr>
      <w:r>
        <w:rPr>
          <w:rFonts w:ascii="Barlow Semi Condensed" w:cs="Barlow Semi Condensed" w:eastAsia="Barlow Semi Condensed" w:hAnsi="Barlow Semi Condensed"/>
          <w:sz w:val="24"/>
          <w:szCs w:val="24"/>
        </w:rPr>
        <w:t xml:space="preserve">CAPITOLO VII — Moro ministro degli Esteri e il Portogallo</w:t>
      </w:r>
    </w:p>
    <w:p>
      <w:pPr>
        <w:spacing w:after="120" w:line="276"/>
        <w:jc w:val="both"/>
      </w:pPr>
      <w:r>
        <w:rPr>
          <w:rFonts w:ascii="Barlow Semi Condensed" w:cs="Barlow Semi Condensed" w:eastAsia="Barlow Semi Condensed" w:hAnsi="Barlow Semi Condensed"/>
          <w:sz w:val="24"/>
          <w:szCs w:val="24"/>
        </w:rPr>
        <w:t xml:space="preserve">Aldo Moro fu ministro degli Affari Esteri dal 5 agosto 1969 al 26 giugno 1972 (governi terzo Rumor, primo Colombo, primo Andreotti) e di nuovo dal 7 luglio 1973 al 23 novembre 1974 (quarto e quinto Rumor), Wikipedia (https://en.wikipedia.org/wiki/Aldo_Moro) come confermano concordemente la biografia istituzionale (aldomoro.eu) e le voci enciclopediche. La storiografia definisce la sua come l'"iniziatore della fase mediterranea" delle relazioni internazionali italiane: la Nuova Rivista Storica lo descrive come colui che «legando al quadro europeo la politica araba dell'Italia» tentò, dal 1973, di conciliare filo-arabismo energetico e costruzione europea; Nuovarivistastorica (https://nuovarivistastorica.it/?p=7636) parallelamente egli fu protagonista della CSCE e della Conferenza di Helsinki. Non è stato reperito alcun documento diplomatico specifico che colleghi direttamente Moro alla situazione portoghese pre-rivoluzionaria, né iniziative morotee riguardanti il Portogallo di Caetano. La transizione portoghese cadde in gran parte quando Moro era ancora agli Esteri (25 aprile 1974) e poi presidente del Consiglio (dal 23 novembre 1974); la reazione italiana alla rivoluzione fu tuttavia soprattutto di parte, con forte coinvolgimento del PSI e del PCI (la letteratura specialistica documenta il dibattito della sinistra italiana sulla rivoluzione portoghese), mentre l'orientamento atlantico italiano si allineava alla preoccupazione NATO documentata nei FRUS, dove Kissinger paventava per Lisbona «not a Communist take-over, but a leftist neutralist regime remaining within NATO». state (https://history.state.gov/historicaldocuments/frus1969-76ve15p2/d153) Il rapporto Moro-Portogallo, allo stato, non è dunque documentato da fonti dirette reperibili e va ricostruito presso l'Archivio Storico Diplomatico del Ministero degli Affari Esteri italiano, serie Portogallo 1969-1974: sede presso cui la ricerca resta interamente da condurre.</w:t>
      </w:r>
    </w:p>
    <w:p>
      <w:pPr>
        <w:pStyle w:val="Heading3"/>
        <w:spacing w:after="80" w:before="160"/>
      </w:pPr>
      <w:r>
        <w:rPr>
          <w:rFonts w:ascii="Barlow Semi Condensed" w:cs="Barlow Semi Condensed" w:eastAsia="Barlow Semi Condensed" w:hAnsi="Barlow Semi Condensed"/>
          <w:sz w:val="24"/>
          <w:szCs w:val="24"/>
        </w:rPr>
        <w:t xml:space="preserve">CAPITOLO VIII — L'Opus Dei in Italia, la politica estera italiana e la questione Moro–Opus Dei (Stato Zero)</w:t>
      </w:r>
    </w:p>
    <w:p>
      <w:pPr>
        <w:spacing w:after="120" w:line="276"/>
        <w:jc w:val="both"/>
      </w:pPr>
      <w:r>
        <w:rPr>
          <w:rFonts w:ascii="Barlow Semi Condensed" w:cs="Barlow Semi Condensed" w:eastAsia="Barlow Semi Condensed" w:hAnsi="Barlow Semi Condensed"/>
          <w:sz w:val="24"/>
          <w:szCs w:val="24"/>
        </w:rPr>
        <w:t xml:space="preserve">L'Opus Dei è presente in Italia dal 1946, come attesta la fonte ufficiale, che documenta anche la mediazione del cardinale Giovanni Battista Montini (poi Paolo VI) nel riconoscimento pontificio del 1947 (decreto </w:t>
      </w:r>
      <w:r>
        <w:rPr>
          <w:rFonts w:ascii="Barlow Semi Condensed" w:cs="Barlow Semi Condensed" w:eastAsia="Barlow Semi Condensed" w:hAnsi="Barlow Semi Condensed"/>
          <w:i/>
          <w:iCs/>
          <w:sz w:val="24"/>
          <w:szCs w:val="24"/>
        </w:rPr>
        <w:t xml:space="preserve">Primum inter</w:t>
      </w:r>
      <w:r>
        <w:rPr>
          <w:rFonts w:ascii="Barlow Semi Condensed" w:cs="Barlow Semi Condensed" w:eastAsia="Barlow Semi Condensed" w:hAnsi="Barlow Semi Condensed"/>
          <w:sz w:val="24"/>
          <w:szCs w:val="24"/>
        </w:rPr>
        <w:t xml:space="preserve">) e — secondo la ricostruzione riportata da fonti divulgative da verificare — nella presentazione di Escrivá a Giulio Andreotti. Non è stato reperito alcun documento, atto, corrispondenza o testimonianza che colleghi Aldo Moro all'Opus Dei in qualunque veste. La biografia intellettuale di Moro lo colloca senza ambiguità nella tradizione della FUCI (di cui fu presidente 1939-1943), del Movimento Laureati Cattolici, della rivista </w:t>
      </w:r>
      <w:r>
        <w:rPr>
          <w:rFonts w:ascii="Barlow Semi Condensed" w:cs="Barlow Semi Condensed" w:eastAsia="Barlow Semi Condensed" w:hAnsi="Barlow Semi Condensed"/>
          <w:i/>
          <w:iCs/>
          <w:sz w:val="24"/>
          <w:szCs w:val="24"/>
        </w:rPr>
        <w:t xml:space="preserve">Studium</w:t>
      </w:r>
      <w:r>
        <w:rPr>
          <w:rFonts w:ascii="Barlow Semi Condensed" w:cs="Barlow Semi Condensed" w:eastAsia="Barlow Semi Condensed" w:hAnsi="Barlow Semi Condensed"/>
          <w:sz w:val="24"/>
          <w:szCs w:val="24"/>
        </w:rPr>
        <w:t xml:space="preserve"> e della componente dossettiana della sinistra DC: un cattolicesimo democratico distante per cultura, teologia politica e collocazione dall'ambiente dell'Opus Dei. La recensione critica della biografia di Paolo Acanfora (ARO-FBK) e la letteratura più recente (Iannuzzi–Losacco, </w:t>
      </w:r>
      <w:r>
        <w:rPr>
          <w:rFonts w:ascii="Barlow Semi Condensed" w:cs="Barlow Semi Condensed" w:eastAsia="Barlow Semi Condensed" w:hAnsi="Barlow Semi Condensed"/>
          <w:i/>
          <w:iCs/>
          <w:sz w:val="24"/>
          <w:szCs w:val="24"/>
        </w:rPr>
        <w:t xml:space="preserve">Aldo Moro. Le idee, il metodo, l'eredità</w:t>
      </w:r>
      <w:r>
        <w:rPr>
          <w:rFonts w:ascii="Barlow Semi Condensed" w:cs="Barlow Semi Condensed" w:eastAsia="Barlow Semi Condensed" w:hAnsi="Barlow Semi Condensed"/>
          <w:sz w:val="24"/>
          <w:szCs w:val="24"/>
        </w:rPr>
        <w:t xml:space="preserve">, Baldini Castoldi) descrivono «un uomo... non di appartenenza confessionale chiusa, ma un credente che considera la politica un servizio alla libertà». Quotidiano Nazionale (https://www.quotidiano.net/cronaca/aldo-moro-libro-iannuzzi-losacco-vk0b33xf) Si conferma pertanto lo Stato Zero già registrato da una ricognizione anteriore: nessun legame documentato fra Moro e l'Opus Dei. Questa conferma ha valore proprio e va enunciata con la massima chiarezza, poiché in materia tanto esposta alla pubblicistica congetturale la smentita documentale è un'acquisizione. La verifica ulteriore andrebbe condotta nell'Archivio Aldo Moro (inventariato tra Archivio storico del Senato e Archivio Centrale dello Stato) e nell'Archivio della Fondazione Aldo Moro.</w:t>
      </w:r>
    </w:p>
    <w:p>
      <w:pPr>
        <w:pStyle w:val="Heading3"/>
        <w:spacing w:after="80" w:before="160"/>
      </w:pPr>
      <w:r>
        <w:rPr>
          <w:rFonts w:ascii="Barlow Semi Condensed" w:cs="Barlow Semi Condensed" w:eastAsia="Barlow Semi Condensed" w:hAnsi="Barlow Semi Condensed"/>
          <w:sz w:val="24"/>
          <w:szCs w:val="24"/>
        </w:rPr>
        <w:t xml:space="preserve">CAPITOLO IX — I documenti desecretati (CIA e FRUS)</w:t>
      </w:r>
    </w:p>
    <w:p>
      <w:pPr>
        <w:spacing w:after="120" w:line="276"/>
        <w:jc w:val="both"/>
      </w:pPr>
      <w:r>
        <w:rPr>
          <w:rFonts w:ascii="Barlow Semi Condensed" w:cs="Barlow Semi Condensed" w:eastAsia="Barlow Semi Condensed" w:hAnsi="Barlow Semi Condensed"/>
          <w:sz w:val="24"/>
          <w:szCs w:val="24"/>
        </w:rPr>
        <w:t xml:space="preserve">La ricerca sistematica nel CIA FOIA Electronic Reading Room, nella collezione CREST e nei Foreign Relations of the United States ha prodotto un esito negativo di grande significato, verificato mediante ricognizione dedicata. Esiste, per la Spagna, il documento del 22 maggio 1970 (protocollo CIA-RDP85T00875R001500020027-1) sul gabinetto franchista e sull'assegnazione del maggior numero di dicasteri a membri o associati dell'Opus Dei. Non esiste alcun documento analogo per il Portogallo. Le carte CIA sull'Opus Dei reperite riguardano esclusivamente la Spagna (segnatamente «Opus Dei in Barcelona», CIA-RDP82-00457R015000010003-5, della serie di note informative degli anni Quaranta-Cinquanta); e va ricordato che il contenzioso FOIA promosso nel 2009-2011 dal ricercatore Harry Cason (CUNY) con Public Citizen per ottenere le carte CIA sull'Opus Dei verteva anch'esso sulla Spagna franchista. Fox News (https://www.foxnews.com/politics/consumer-group-helps-student-suing-cia-over-opus-dei-records.amp) I profili biografici CIA su Marcello Caetano (documenti C06790244 e C06790246, rilasciati il 12 luglio 2019) e su Salazar (documento 06782148, 1° settembre 1968) — pur dettagliati sul "conservatore ragionevole" Caetano, cia (https://cia.gov/readingroom/docs/MARCELO%20CAETANO%20%28PORTUGAL%5B15678188%5D.pdf) cia (https://www.cia.gov/readingroom/docs/MARCELO%20CAETANO%20%28PORTUGAL%5B15678189%5D.pdf) sui rimpasti del gennaio 1970 e sulla fede religiosa di Salazar — non menzionano in alcun punto l'Opus Dei. Nei FRUS 1969-1976, Volume E-15 Part 2 (ed. Kathleen B. Rasmussen, GPO 2014), la sezione Portogallo (documenti 123-178) state (https://history.state.gov/historicaldocuments/frus1969-76ve15p2Ed2) non contiene alcun riferimento all'Opus Dei né a "tecnocrati cattolici", concentrandosi su Rivoluzione dei garofani, minaccia comunista, adesione alla NATO e aiuti occidentali. L'unico riferimento all'Opus Dei nell'intero ciclo FRUS 1969-1976 individuato è nella sezione Spagna (Vol. 41, </w:t>
      </w:r>
      <w:r>
        <w:rPr>
          <w:rFonts w:ascii="Barlow Semi Condensed" w:cs="Barlow Semi Condensed" w:eastAsia="Barlow Semi Condensed" w:hAnsi="Barlow Semi Condensed"/>
          <w:i/>
          <w:iCs/>
          <w:sz w:val="24"/>
          <w:szCs w:val="24"/>
        </w:rPr>
        <w:t xml:space="preserve">Western Europe; NATO, 1969-1972</w:t>
      </w:r>
      <w:r>
        <w:rPr>
          <w:rFonts w:ascii="Barlow Semi Condensed" w:cs="Barlow Semi Condensed" w:eastAsia="Barlow Semi Condensed" w:hAnsi="Barlow Semi Condensed"/>
          <w:sz w:val="24"/>
          <w:szCs w:val="24"/>
        </w:rPr>
        <w:t xml:space="preserve">, documento 303), in una nota redazionale sullo scandalo MATESA che ricorda l'incriminazione di due ex ministri membri dell'Opus Dei. U.S. Department of State (https://history.state.gov/historicaldocuments/frus1969-76v41/d303) La conclusione, distinguendo il documento dall'inferenza, è netta: l'intelligence statunitense tracciò l'Opus Dei nel contesto spagnolo (franchista), non in quello portoghese; e l'unica traccia documentale del nesso Opus Dei–Portogallo resta nei fondi PIDE/DGS portoghesi, cioè in intelligence domestica portoghese, non statunitense. Resta il limite tecnico che l'interfaccia di ricerca interna del Reading Room non è stata interrogabile direttamente: non si può escludere l'esistenza di un cablogramma non indicizzato o pesantemente sanitizzato, ma nulla è emerso su oltre dieci interrogazioni mirate.</w:t>
      </w:r>
    </w:p>
    <w:p>
      <w:pPr>
        <w:pStyle w:val="Heading3"/>
        <w:spacing w:after="80" w:before="160"/>
      </w:pPr>
      <w:r>
        <w:rPr>
          <w:rFonts w:ascii="Barlow Semi Condensed" w:cs="Barlow Semi Condensed" w:eastAsia="Barlow Semi Condensed" w:hAnsi="Barlow Semi Condensed"/>
          <w:sz w:val="24"/>
          <w:szCs w:val="24"/>
        </w:rPr>
        <w:t xml:space="preserve">CAPITOLO X — Gli archivi: stato di accessibilità</w:t>
      </w:r>
    </w:p>
    <w:p>
      <w:pPr>
        <w:spacing w:after="120" w:line="276"/>
        <w:jc w:val="both"/>
      </w:pPr>
      <w:r>
        <w:rPr>
          <w:rFonts w:ascii="Barlow Semi Condensed" w:cs="Barlow Semi Condensed" w:eastAsia="Barlow Semi Condensed" w:hAnsi="Barlow Semi Condensed"/>
          <w:sz w:val="24"/>
          <w:szCs w:val="24"/>
        </w:rPr>
        <w:t xml:space="preserve">L'Arquivo Nacional da Torre do Tombo è ad accesso libero per chiunque abbia più di 16 anni Dglab (https://antt.dglab.gov.pt/servicos/leitura-e-referencia/) (18 per talune richieste online); la documentazione PIDE/DGS è soggetta a un regolamento proprio ma è consultabile su richiesta al servizio di riferimento. Dglab (https://antt.dglab.gov.pt/servicos/leitura-e-referencia/) Sull'ampiezza dell'inesplorato, Paulo Tremoceiro, capo divisione dell'archivio, ha dichiarato alla TSF (reportage di Nuno Guedes, 23 aprile 2019): «da minha experiência diária, aquilo que posso concluir é que metade da documentação existente nos nossos depósitos ainda está por consultar», pur essendo già numerata dai tecnici TSF Rádio Notícias (https://www.tsf.pt/sociedade/artigo/metade-do-arquivo-da-pide-nunca-foi-consultado-e-um-mundo-por-descobrir/10825928) — dato che segnala un potenziale di reperimento tuttora aperto. I fondi rilevanti per la ricerca sono il fondo PIDE-DGS, l'Arquivo Oliveira Salazar e l'Arquivo Marcello Caetano, tutti alla Torre do Tombo. L'Arquivo Histórico-Diplomático del Ministério dos Negócios Estrangeiros portoghese è accessibile e descritto attraverso l'Instituto Diplomático (idi.mne.gov.pt), con serie sulle relazioni diplomatiche dal 1640. Gli archivi dell'Opus Dei — l'Archivio Generale della Prelatura a Roma e la Biblioteca dell'Università di Navarra — sono ad accesso ristretto e mediato dall'Istituto Storico San Josemaría Escrivá, che tuttavia ha promosso l'edizione critica e monografie basate su diari e corrispondenza interni (come la citata opera di Onésimo Díaz). L'Archivio Storico Diplomatico del Ministero degli Affari Esteri italiano conserva la serie Portogallo per il periodo 1969-1974, non ancora spogliata ai fini di questa ricerca. Per l'Italia, l'Archivio Aldo Moro è inventariato e in parte digitalizzato (aldomorodigitale.unibo.it; patrimonio.archivio.senato.it).</w:t>
      </w:r>
    </w:p>
    <w:p>
      <w:pPr>
        <w:pStyle w:val="Heading3"/>
        <w:spacing w:after="80" w:before="160"/>
      </w:pPr>
      <w:r>
        <w:rPr>
          <w:rFonts w:ascii="Barlow Semi Condensed" w:cs="Barlow Semi Condensed" w:eastAsia="Barlow Semi Condensed" w:hAnsi="Barlow Semi Condensed"/>
          <w:sz w:val="24"/>
          <w:szCs w:val="24"/>
        </w:rPr>
        <w:t xml:space="preserve">CAPITOLO XI — Le triangolazioni</w:t>
      </w:r>
    </w:p>
    <w:p>
      <w:pPr>
        <w:spacing w:after="120" w:line="276"/>
        <w:jc w:val="both"/>
      </w:pPr>
      <w:r>
        <w:rPr>
          <w:rFonts w:ascii="Barlow Semi Condensed" w:cs="Barlow Semi Condensed" w:eastAsia="Barlow Semi Condensed" w:hAnsi="Barlow Semi Condensed"/>
          <w:sz w:val="24"/>
          <w:szCs w:val="24"/>
        </w:rPr>
        <w:t xml:space="preserve">Applicando rigorosamente la distinzione fra convergenza di obiettivo documentata, simultaneità di reazione a un medesimo evento, comunanza di ambiente istituzionale e mera contemporaneità cronologica, si registra quanto segue, indicando per ciascun asse il grado di sostegno documentale e ciò che esso non stabilisce. </w:t>
      </w:r>
      <w:r>
        <w:rPr>
          <w:rFonts w:ascii="Barlow Semi Condensed" w:cs="Barlow Semi Condensed" w:eastAsia="Barlow Semi Condensed" w:hAnsi="Barlow Semi Condensed"/>
          <w:b/>
          <w:bCs/>
          <w:sz w:val="24"/>
          <w:szCs w:val="24"/>
        </w:rPr>
        <w:t xml:space="preserve">Moro–Opus Dei</w:t>
      </w:r>
      <w:r>
        <w:rPr>
          <w:rFonts w:ascii="Barlow Semi Condensed" w:cs="Barlow Semi Condensed" w:eastAsia="Barlow Semi Condensed" w:hAnsi="Barlow Semi Condensed"/>
          <w:sz w:val="24"/>
          <w:szCs w:val="24"/>
        </w:rPr>
        <w:t xml:space="preserve">: nessun punto di contatto documentato (Stato Zero, Cap. VIII); la triangolazione non esiste sul piano delle fonti, e la contemporaneità del ministero Moro con la fase spagnola dei ministri dell'Opus Dei non stabilisce nulla. </w:t>
      </w:r>
      <w:r>
        <w:rPr>
          <w:rFonts w:ascii="Barlow Semi Condensed" w:cs="Barlow Semi Condensed" w:eastAsia="Barlow Semi Condensed" w:hAnsi="Barlow Semi Condensed"/>
          <w:b/>
          <w:bCs/>
          <w:sz w:val="24"/>
          <w:szCs w:val="24"/>
        </w:rPr>
        <w:t xml:space="preserve">Moro–Portogallo</w:t>
      </w:r>
      <w:r>
        <w:rPr>
          <w:rFonts w:ascii="Barlow Semi Condensed" w:cs="Barlow Semi Condensed" w:eastAsia="Barlow Semi Condensed" w:hAnsi="Barlow Semi Condensed"/>
          <w:sz w:val="24"/>
          <w:szCs w:val="24"/>
        </w:rPr>
        <w:t xml:space="preserve">: solo cornice diplomatica generale, senza documenti specifici reperiti (Cap. VII); ciò che non si stabilisce è qualunque iniziativa morotea mirata al Portogallo. </w:t>
      </w:r>
      <w:r>
        <w:rPr>
          <w:rFonts w:ascii="Barlow Semi Condensed" w:cs="Barlow Semi Condensed" w:eastAsia="Barlow Semi Condensed" w:hAnsi="Barlow Semi Condensed"/>
          <w:b/>
          <w:bCs/>
          <w:sz w:val="24"/>
          <w:szCs w:val="24"/>
        </w:rPr>
        <w:t xml:space="preserve">Opus Dei–Portogallo</w:t>
      </w:r>
      <w:r>
        <w:rPr>
          <w:rFonts w:ascii="Barlow Semi Condensed" w:cs="Barlow Semi Condensed" w:eastAsia="Barlow Semi Condensed" w:hAnsi="Barlow Semi Condensed"/>
          <w:sz w:val="24"/>
          <w:szCs w:val="24"/>
        </w:rPr>
        <w:t xml:space="preserve">: contatto documentato con la gerarchia (rapporti dapprima tesi, poi ricomposti nel 1972, con Cerejeira, e con il successore António Ribeiro dal 1971) e sorveglianza PIDE documentata dai fondi Torre do Tombo (Cap. III); ciò che tale documentazione non stabilisce è una condotta politica effettiva dell'ente, restando essa prova di sospetto, non di azione. </w:t>
      </w:r>
      <w:r>
        <w:rPr>
          <w:rFonts w:ascii="Barlow Semi Condensed" w:cs="Barlow Semi Condensed" w:eastAsia="Barlow Semi Condensed" w:hAnsi="Barlow Semi Condensed"/>
          <w:b/>
          <w:bCs/>
          <w:sz w:val="24"/>
          <w:szCs w:val="24"/>
        </w:rPr>
        <w:t xml:space="preserve">Confronto col caso spagnolo</w:t>
      </w:r>
      <w:r>
        <w:rPr>
          <w:rFonts w:ascii="Barlow Semi Condensed" w:cs="Barlow Semi Condensed" w:eastAsia="Barlow Semi Condensed" w:hAnsi="Barlow Semi Condensed"/>
          <w:sz w:val="24"/>
          <w:szCs w:val="24"/>
        </w:rPr>
        <w:t xml:space="preserve">: comunanza di ambiente istituzionale cattolico ma divergenza netta di esito politico (Cap. IV), il che è una differenza, non una triangolazione. Il solo nodo comune reale è la </w:t>
      </w:r>
      <w:r>
        <w:rPr>
          <w:rFonts w:ascii="Barlow Semi Condensed" w:cs="Barlow Semi Condensed" w:eastAsia="Barlow Semi Condensed" w:hAnsi="Barlow Semi Condensed"/>
          <w:b/>
          <w:bCs/>
          <w:sz w:val="24"/>
          <w:szCs w:val="24"/>
        </w:rPr>
        <w:t xml:space="preserve">mediazione della Santa Sé</w:t>
      </w:r>
      <w:r>
        <w:rPr>
          <w:rFonts w:ascii="Barlow Semi Condensed" w:cs="Barlow Semi Condensed" w:eastAsia="Barlow Semi Condensed" w:hAnsi="Barlow Semi Condensed"/>
          <w:sz w:val="24"/>
          <w:szCs w:val="24"/>
        </w:rPr>
        <w:t xml:space="preserve">: Paolo VI mediò per il riconoscimento dell'Opus Dei, e la Santa Sé fu interlocutrice tanto del Portogallo (Concordato e Accordo missionario del 7 maggio 1940; Protocollo addizionale del 15 febbraio 1975 firmato da Villot e Salgado Zenha, già acquisito nelle ricognizioni anteriori) quanto dell'Italia concordataria. Anche questo nodo, però, è di comunanza d'interlocutore, non di convergenza d'obiettivo documentata fra Moro e l'Opus Dei. Nessuna delle triangolazioni esaminate stabilisce un nesso operativo fra l'azione diplomatica di Moro, la vicenda portoghese e l'Opus Dei: la contemporaneità cronologica, qui come altrove, non prova alcun legame.</w:t>
      </w:r>
    </w:p>
    <w:p>
      <w:pPr>
        <w:pStyle w:val="Heading3"/>
        <w:spacing w:after="80" w:before="160"/>
      </w:pPr>
      <w:r>
        <w:rPr>
          <w:rFonts w:ascii="Barlow Semi Condensed" w:cs="Barlow Semi Condensed" w:eastAsia="Barlow Semi Condensed" w:hAnsi="Barlow Semi Condensed"/>
          <w:sz w:val="24"/>
          <w:szCs w:val="24"/>
        </w:rPr>
        <w:t xml:space="preserve">CAPITOLO XII — Stato Zero e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Si raccolgono qui gli esiti negativi, ordinati per rendimento atteso decrescente, ciascuno con la sede e la condizione di chiusura, ribadendo che gli esiti negativi sono acquisizioni di pieno valore. In primo luogo, la posizione dell'Opus Dei </w:t>
      </w:r>
      <w:r>
        <w:rPr>
          <w:rFonts w:ascii="Barlow Semi Condensed" w:cs="Barlow Semi Condensed" w:eastAsia="Barlow Semi Condensed" w:hAnsi="Barlow Semi Condensed"/>
          <w:i/>
          <w:iCs/>
          <w:sz w:val="24"/>
          <w:szCs w:val="24"/>
        </w:rPr>
        <w:t xml:space="preserve">come istituzione</w:t>
      </w:r>
      <w:r>
        <w:rPr>
          <w:rFonts w:ascii="Barlow Semi Condensed" w:cs="Barlow Semi Condensed" w:eastAsia="Barlow Semi Condensed" w:hAnsi="Barlow Semi Condensed"/>
          <w:sz w:val="24"/>
          <w:szCs w:val="24"/>
        </w:rPr>
        <w:t xml:space="preserve"> sulle guerre coloniali e sulla questione africana resta non documentata: andrebbe cercata nell'Archivio Generale della Prelatura a Roma e nei fondi diocesani portoghesi (Nampula, Beira, Tete, Patriarcato di Lisbona); condizione di chiusura, l'accesso mediato dall'Istituto Storico San Josemaría Escrivá e l'autorizzazione degli archivi ecclesiastici. In secondo luogo, le carte diplomatiche italiane su Moro e il Portogallo, potenzialmente il reperimento a più alto rendimento per la specifica triangolazione richiesta: andrebbero cercate nell'Archivio Storico Diplomatico della Farnesina, serie Portogallo 1969-1974, e nell'Archivio Aldo Moro; condizione di chiusura, ricerca in loco sui telespressi e sui rapporti dell'ambasciata italiana a Lisbona. In terzo luogo, la conferma o smentita definitiva del nesso Moro–Opus Dei, allo stato Stato Zero confermato, chiudibile solo con lo spoglio integrale dell'Archivio Aldo Moro e della Fondazione Aldo Moro. In quarto luogo, i fascicoli PIDE/DGS originali sull'Opus Dei (nota del 1961 «As Actividades do Opus Dei em Portugal»; rapporti del settembre 1963 e del gennaio 1964), da consultare direttamente alla Torre do Tombo per verificare autonomamente le citazioni della pubblicistica Vilela–Brandão e distinguere il testo primario dalla parafrasi giornalistica; condizione di chiusura, richiesta al servizio di riferimento e vaglio del regolamento speciale PIDE/DGS. In quinto luogo, l'eventuale documento CIA o del Dipartimento di Stato non indicizzato che menzioni Opus Dei e Portogallo: condizione di chiusura, interrogazione diretta dell'indice interno del Reading Room e richiesta FOIA mirata. La ricerca, nel suo insieme, converge su una conclusione sobria: il "versante nuovo" dell'Opus Dei in Portogallo è reale e documentabile come storia di sorveglianza e di marginalità politica, non di potere; il "primo oggetto" Moro-Portogallo è quasi tutto da reperire negli archivi diplomatici; e le triangolazioni, sottoposte a disciplina probatoria, si riducono a un solo nodo vaticano, che non regge alcuna inferenza ulteriore.</w:t>
      </w:r>
    </w:p>
    <w:p>
      <w:pPr>
        <w:pStyle w:val="Heading2"/>
        <w:spacing w:after="100" w:before="200"/>
      </w:pPr>
      <w:r>
        <w:rPr>
          <w:rFonts w:ascii="Barlow Semi Condensed" w:cs="Barlow Semi Condensed" w:eastAsia="Barlow Semi Condensed" w:hAnsi="Barlow Semi Condensed"/>
          <w:sz w:val="24"/>
          <w:szCs w:val="24"/>
        </w:rPr>
        <w:t xml:space="preserve">Recommendations</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Priorità immediata (massimo rendimento atteso):</w:t>
      </w:r>
      <w:r>
        <w:rPr>
          <w:rFonts w:ascii="Barlow Semi Condensed" w:cs="Barlow Semi Condensed" w:eastAsia="Barlow Semi Condensed" w:hAnsi="Barlow Semi Condensed"/>
          <w:sz w:val="24"/>
          <w:szCs w:val="24"/>
        </w:rPr>
        <w:t xml:space="preserve"> condurre lo spoglio della serie Portogallo 1969-1974 presso l'Archivio Storico Diplomatico della Farnesina, cercando telespressi dell'ambasciata di Lisbona e appunti della Direzione Generale Affari Politici: è l'unica sede in cui la triangolazione Moro-Portogallo può passare dallo Stato Zero a un accertamento. Benchmark che cambierebbe la valutazione: il rinvenimento anche di un solo documento firmato o siglato da Moro sul Portogallo.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Secondo passo:</w:t>
      </w:r>
      <w:r>
        <w:rPr>
          <w:rFonts w:ascii="Barlow Semi Condensed" w:cs="Barlow Semi Condensed" w:eastAsia="Barlow Semi Condensed" w:hAnsi="Barlow Semi Condensed"/>
          <w:sz w:val="24"/>
          <w:szCs w:val="24"/>
        </w:rPr>
        <w:t xml:space="preserve"> richiesta formale alla Torre do Tombo dei fascicoli PIDE/DGS citati (note del 1961, 1963, 1964), per verificare le citazioni contro il testo primario e distinguere ciò che il documento attesta da ciò che l'inchiesta giornalistica inferisce. Soglia critica: la conferma verbatim della frase del rapporto 1963 e dei nomi annotati.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Terzo passo:</w:t>
      </w:r>
      <w:r>
        <w:rPr>
          <w:rFonts w:ascii="Barlow Semi Condensed" w:cs="Barlow Semi Condensed" w:eastAsia="Barlow Semi Condensed" w:hAnsi="Barlow Semi Condensed"/>
          <w:sz w:val="24"/>
          <w:szCs w:val="24"/>
        </w:rPr>
        <w:t xml:space="preserve"> istanza di accesso all'Archivio Generale della Prelatura (Roma) e alla Biblioteca dell'Università di Navarra per la posizione dell'ente sulle guerre coloniali e per la cronologia delle circoscrizioni/delegazioni portoghesi. Soglia: reperimento di un documento istituzionale (non testimonianza individuale) sul tema africano.</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Da mantenere come acquisizione stabile:</w:t>
      </w:r>
      <w:r>
        <w:rPr>
          <w:rFonts w:ascii="Barlow Semi Condensed" w:cs="Barlow Semi Condensed" w:eastAsia="Barlow Semi Condensed" w:hAnsi="Barlow Semi Condensed"/>
          <w:sz w:val="24"/>
          <w:szCs w:val="24"/>
        </w:rPr>
        <w:t xml:space="preserve"> lo Stato Zero Moro–Opus Dei va riportato come tale in ogni esito; non trattarlo come lacuna da colmare a ogni costo, ma come risultato. Cambierebbe solo di fronte a un documento diretto nell'Archivio Aldo Moro.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Cautela redazionale vincolante:</w:t>
      </w:r>
      <w:r>
        <w:rPr>
          <w:rFonts w:ascii="Barlow Semi Condensed" w:cs="Barlow Semi Condensed" w:eastAsia="Barlow Semi Condensed" w:hAnsi="Barlow Semi Condensed"/>
          <w:sz w:val="24"/>
          <w:szCs w:val="24"/>
        </w:rPr>
        <w:t xml:space="preserve"> ogni menzione di Amaro da Costa, Jorge Jardim Gonçalves o altri membri viventi/deceduti va accompagnata dalla clausola che l'appartenenza non prova condotta dell'ente, e per i viventi vanno riportati solo fatti pubblici documentati.</w:t>
      </w:r>
    </w:p>
    <w:p>
      <w:pPr>
        <w:pStyle w:val="Heading2"/>
        <w:spacing w:after="100" w:before="200"/>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La principale fonte sulla sorveglianza PIDE (Vilela–Brandão) è pubblicistica d'inchiesta, non studio peer-reviewed: le sue citazioni dei fascicoli sono attendibili ma non verificate qui contro l'originale, e le sue tesi cospirative (suor Lúcia, Banco da Agricultura, alleanza frustrata con Cerejeira) restano non sostenute da fonti primarie autonome. I dati numerici sui membri provengono dalla fonte ufficiale dell'ente e da dichiarazioni del vicario regionale, impiegati solo per fatti verificabili e non per valutazioni di responsabilità. Il budget di ricerca non ha consentito lo spoglio archivistico diretto, sicché diversi punti restano allo stato di Stato Zero dichiarato con indicazione della sede. La ricerca sui documenti desecretati statunitensi, pur estesa, non ha potuto interrogare l'indice interno del Reading Room e resta quindi soggetta al limite tecnico segnalato. Infine, per disciplina metodologica, non si è attribuita ad alcuna persona o istituzione alcuna responsabilità, intenzione o condotta che le fonti non accertino, e ove le fonti divergano (per esempio sulla data d'ingresso stabile dell'ente, 1945 secondo la fonte ufficiale, 1946 secondo l'inchiesta) la divergenza è stata riportata anziché risolta silenziosamente.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Portogallo e 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 4.705 parole in 5 sezioni; la più ampia è §3 Details, con 4.005.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 46 indirizzi di fonte citati, addensati in 2 sezioni su 5.</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VI. Portogallo e Santa Sede 1969-1974</w:t>
      </w:r>
    </w:p>
    <w:p>
      <w:pPr>
        <w:pStyle w:val="Heading1"/>
        <w:spacing w:after="120" w:before="240"/>
      </w:pPr>
      <w:r>
        <w:rPr>
          <w:rFonts w:ascii="Barlow Semi Condensed" w:cs="Barlow Semi Condensed" w:eastAsia="Barlow Semi Condensed" w:hAnsi="Barlow Semi Condensed"/>
          <w:sz w:val="24"/>
          <w:szCs w:val="24"/>
        </w:rPr>
        <w:t xml:space="preserve">Aldo Moro ministro degli Affari esteri, il Portogallo e la Santa Sede (1969–1974): ricerca storiografica e archivistica sulle triangolazioni</w:t>
      </w:r>
    </w:p>
    <w:p>
      <w:pPr>
        <w:pStyle w:val="Heading2"/>
        <w:spacing w:after="100" w:before="200"/>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documentazione accessibile stabilisce con certezza la contemporaneità e la comunanza d'ambiente romano fra l'azione anticoloniale della Santa Sede, la mobilitazione della società civile italiana e la vicenda coloniale portoghese, ma NON stabilisce un'azione diplomatica autonoma e documentata di Aldo Moro ministro sul dossier coloniale portoghese o sull'espulsione dei missionari del 1974.</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Le sei lacune indicate risultano in parte colmate (Conferenza romana, decolonizzazione, CSCE, Padri Bianchi) e in parte confermate come esiti negativi di pieno valore (atti italiani sull'espulsione del 13 aprile 1974; atti parlamentari 1969–1975 non indicizzati per la V e VI legislatura), con l'indicazione precisa delle sedi archivistiche da interrogare.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firma dell'Atto finale di Helsinki da parte di Moro il 1° agosto 1975, accanto al Portogallo post-rivoluzionario e alla Santa Sede rappresentata da Casaroli e Silvestrini, è l'unico punto di contatto istituzionale pienamente documentato fra i tre vertici del triangolo, ma è successiva ai mandati ministeriali e riguarda la sicurezza europea, non la questione coloniale.</w:t>
      </w:r>
    </w:p>
    <w:p>
      <w:pPr>
        <w:pStyle w:val="Heading2"/>
        <w:spacing w:after="100" w:before="200"/>
      </w:pPr>
      <w:r>
        <w:rPr>
          <w:rFonts w:ascii="Barlow Semi Condensed" w:cs="Barlow Semi Condensed" w:eastAsia="Barlow Semi Condensed" w:hAnsi="Barlow Semi Condensed"/>
          <w:sz w:val="24"/>
          <w:szCs w:val="24"/>
        </w:rPr>
        <w:t xml:space="preserve">Key Findings</w:t>
      </w:r>
    </w:p>
    <w:p>
      <w:pPr>
        <w:spacing w:after="120" w:line="276"/>
        <w:jc w:val="both"/>
      </w:pPr>
      <w:r>
        <w:rPr>
          <w:rFonts w:ascii="Barlow Semi Condensed" w:cs="Barlow Semi Condensed" w:eastAsia="Barlow Semi Condensed" w:hAnsi="Barlow Semi Condensed"/>
          <w:sz w:val="24"/>
          <w:szCs w:val="24"/>
        </w:rPr>
        <w:t xml:space="preserve">La ricognizione conferma che i motori dell'azione anticoloniale in ambito italiano furono la società civile di sinistra e gli enti locali (Reggio Emilia, con Giuseppe Soncini e il sindaco Renzo Bonazzi) e una parte della Chiesa missionaria (comboniani, Padri di Burgos, Padri Bianchi, il vescovo di Nampula Manuel Vieira Pinto), non il governo o il ministro degli Esteri. Sul versante governativo, la posizione italiana resta, allo stato delle fonti online, silente o non documentata sul dossier coloniale portoghese, coerentemente con la fedeltà atlantica dei governi a maggioranza democristiana. Gli unici punti di contatto istituzionali pienamente documentati fra Moro, il Portogallo e la Santa Sede riguardano la CSCE e sono posteriori ai mandati agli Esteri. Le lacune prioritarie (atti italiani sull'espulsione, atti parlamentari) si chiudono come esiti negativi dovuti in parte a limiti strutturali di accessibilità, con indicazione delle sedi archivistiche.</w:t>
      </w:r>
    </w:p>
    <w:p>
      <w:pPr>
        <w:pStyle w:val="Heading2"/>
        <w:spacing w:after="100" w:before="200"/>
      </w:pPr>
      <w:r>
        <w:rPr>
          <w:rFonts w:ascii="Barlow Semi Condensed" w:cs="Barlow Semi Condensed" w:eastAsia="Barlow Semi Condensed" w:hAnsi="Barlow Semi Condensed"/>
          <w:sz w:val="24"/>
          <w:szCs w:val="24"/>
        </w:rPr>
        <w:t xml:space="preserve">Details</w:t>
      </w:r>
    </w:p>
    <w:p>
      <w:pPr>
        <w:pStyle w:val="Heading3"/>
        <w:spacing w:after="80" w:before="160"/>
      </w:pPr>
      <w:r>
        <w:rPr>
          <w:rFonts w:ascii="Barlow Semi Condensed" w:cs="Barlow Semi Condensed" w:eastAsia="Barlow Semi Condensed" w:hAnsi="Barlow Semi Condensed"/>
          <w:sz w:val="24"/>
          <w:szCs w:val="24"/>
        </w:rPr>
        <w:t xml:space="preserve">Capitolo I – Il quadro cronologico e istituzionale dei mandati ministeriali di Moro</w:t>
      </w:r>
    </w:p>
    <w:p>
      <w:pPr>
        <w:spacing w:after="120" w:line="276"/>
        <w:jc w:val="both"/>
      </w:pPr>
      <w:r>
        <w:rPr>
          <w:rFonts w:ascii="Barlow Semi Condensed" w:cs="Barlow Semi Condensed" w:eastAsia="Barlow Semi Condensed" w:hAnsi="Barlow Semi Condensed"/>
          <w:sz w:val="24"/>
          <w:szCs w:val="24"/>
        </w:rPr>
        <w:t xml:space="preserve">La cronologia dei mandati, già accertata dalla passata ricognizione, va ricollocata nel quadro istituzionale che ne condiziona la lettura. Secondo la scheda ufficiale del Ministero degli Affari Esteri (esteri.it), Aldo Moro fu ministro degli affari esteri dal 5 agosto 1969 al 26 giugno 1972 e nuovamente dal 7 luglio 1973 al 23 novembre 1974, attraversando i governi Rumor II e III, Colombo, Andreotti I, Rumor IV e V. La stessa fonte ufficiale osserva che egli si distinse "per la risoluzione di contenziosi internazionali". Esteri (https://www.esteri.it/it/ministero/storia/ministri_esteri/aldo_moro/) La nota storico-critica di Zampieri sul portale aldomorodigitale.unibo.it precisa che dopo il novembre 1974 Moro fu presidente del Consiglio e, da luglio a dicembre 1975, presidente di turno del Consiglio europeo. Unibo (https://aldomorodigitale.unibo.it/additionalResources/142/essay/Zampieri_vol4_notastorica.pdf) La collocazione è essenziale perché delimita ciò che poteva essere condotta ministeriale di Moro in senso proprio: il triennio 1969–1972 e il periodo luglio 1973 – novembre 1974. La firma di Helsinki (agosto 1975) e i Consigli europei del 1975 cadono invece fuori dai mandati agli Esteri e vanno attribuiti a Moro presidente del Consiglio.</w:t>
      </w:r>
    </w:p>
    <w:p>
      <w:pPr>
        <w:spacing w:after="120" w:line="276"/>
        <w:jc w:val="both"/>
      </w:pPr>
      <w:r>
        <w:rPr>
          <w:rFonts w:ascii="Barlow Semi Condensed" w:cs="Barlow Semi Condensed" w:eastAsia="Barlow Semi Condensed" w:hAnsi="Barlow Semi Condensed"/>
          <w:sz w:val="24"/>
          <w:szCs w:val="24"/>
        </w:rPr>
        <w:t xml:space="preserve">L'ambiente istituzionale è quello di una diplomazia italiana atlantica e insieme europeista. Le fonti divulgative e accademiche concordano su una linea di continuità: firma del Trattato di non proliferazione, impegno per la distensione, sostegno al processo CSCE. Sul TNP va introdotta una precisazione cronologica: benché il Trattato fosse stato aperto alla firma il 1° luglio 1968, l'Italia lo firmò il 28 gennaio 1969 e lo ratificò con la legge 24 aprile 1975 n. 131 (Gazzetta Ufficiale n. 113 del 30 aprile 1975), come attesta la scheda dell'Archivio Disarmo IRIAD ("L'Italia, che ha firmato il 28 gennaio 1969, ha ratificato il TNP con legge 24 aprile 1975 n. 131"); l'atto italiano è dunque del 1969 e la ratifica del 1975, non del 1968. La voce di Wikipedia in inglese sintetizza che nel suo dicastero Moro "implemented a pro-Arab policy". Wikipedia (https://en.wikipedia.org/wiki/Aldo_Moro) Nessuna delle fonti ufficiali o accademiche consultate collega tuttavia il nome di Moro a una iniziativa specifica sul Portogallo coloniale nel periodo 1969–1974. Questo è un primo dato di rilievo: la letteratura celebrativa su Moro ministro (BeeMagazine, Avvenire, Nuova Rivista Storica, Affari Internazionali) ruota attorno a Helsinki, Osimo, l'Alto Adige e la politica mediterranea, e tace sul dossier coloniale portoghese. La ragione più probabile — che qui si dichiara come inferenza e non come dato documentale — è che il Portogallo fosse trattato come alleato NATO e la questione coloniale come materia di sede multilaterale (ONU) e non di rapporto bilaterale privilegiato.</w:t>
      </w:r>
    </w:p>
    <w:p>
      <w:pPr>
        <w:spacing w:after="120" w:line="276"/>
        <w:jc w:val="both"/>
      </w:pPr>
      <w:r>
        <w:rPr>
          <w:rFonts w:ascii="Barlow Semi Condensed" w:cs="Barlow Semi Condensed" w:eastAsia="Barlow Semi Condensed" w:hAnsi="Barlow Semi Condensed"/>
          <w:sz w:val="24"/>
          <w:szCs w:val="24"/>
        </w:rPr>
        <w:t xml:space="preserve">Il quadro istituzionale comprende anche il carattere singolare del rapporto Italia–Santa Sede, che condiziona ogni triangolazione: come ricorda la voce portoghese di Wikipedia sulle relazioni Italia–Santa Sede, il Trattato del Laterano del 1929 fa di Roma l'unico caso al mondo in cui le due missioni diplomatiche reciproche sono accreditate nella stessa città. Wikipedia (https://pt.wikipedia.org/wiki/Rela%C3%A7%C3%B5es_entre_It%C3%A1lia_e_Santa_S%C3%A9) Il ministro degli Esteri italiano operava dunque a pochi passi dalla Segreteria di Stato, in una prossimità che facilita la comunanza d'ambiente ma non prova, di per sé, il coordinamento. Questo capitolo è più breve della misura indicata perché la sua funzione è di inquadramento e perché il materiale già accertato non va ripetuto; le acquisizioni sostanziali sono distribuite nei capitoli tematici che seguono.</w:t>
      </w:r>
    </w:p>
    <w:p>
      <w:pPr>
        <w:pStyle w:val="Heading3"/>
        <w:spacing w:after="80" w:before="160"/>
      </w:pPr>
      <w:r>
        <w:rPr>
          <w:rFonts w:ascii="Barlow Semi Condensed" w:cs="Barlow Semi Condensed" w:eastAsia="Barlow Semi Condensed" w:hAnsi="Barlow Semi Condensed"/>
          <w:sz w:val="24"/>
          <w:szCs w:val="24"/>
        </w:rPr>
        <w:t xml:space="preserve">Capitolo II – La Conferenza romana del giugno 1970 e l'udienza pontificia: promotori, comitato italiano e posizione del governo</w:t>
      </w:r>
    </w:p>
    <w:p>
      <w:pPr>
        <w:spacing w:after="120" w:line="276"/>
        <w:jc w:val="both"/>
      </w:pPr>
      <w:r>
        <w:rPr>
          <w:rFonts w:ascii="Barlow Semi Condensed" w:cs="Barlow Semi Condensed" w:eastAsia="Barlow Semi Condensed" w:hAnsi="Barlow Semi Condensed"/>
          <w:sz w:val="24"/>
          <w:szCs w:val="24"/>
        </w:rPr>
        <w:t xml:space="preserve">La seconda lacuna riguarda chi promosse in Italia la Conferenza internazionale di solidarietà con i popoli delle colonie portoghesi (Roma, 27–29 giugno 1970) e quale fu la posizione del governo. Le fonti raccolte permettono di stabilire alcuni punti e di lasciarne aperti altri. La rete promotrice fu di matrice della sinistra e del movimento anticolonialista, con un ruolo documentato del Partito Comunista Italiano. Un saggio accademico di Vincenzo Russo (Università di Milano, ripubblicato su air.unimi.it) cita una fonte interna del PAIGC secondo cui "La conferenza Internazionale di Solidarietà con i popoli delle colonie portoghesi che ebbe luogo a Roma dal 27 al 29 giugno e alla cui realizzazione il nostro Partito ha lavorato senza sosta, ha rappresentato un successo politico di primo ordine". Università di Milano (https://air.unimi.it/retrieve/dfa8b9a2-2341-748b-e053-3a05fe0a3a96/Russo_ResistenzaContinua%20ST.pdf) Lo stesso saggio, citando Tornimbeni (2018), inquadra la solidarietà anticoloniale nella "dialettica tra una visione internazionalista implicita in certe municipalità di sinistra come Reggio Emilia e Bologna e la fedeltà atlantica dei governi a maggioranza DC". Università di Milano (https://air.unimi.it/retrieve/dfa8b9a2-2341-748b-e053-3a05fe0a3a96/Russo_ResistenzaContinua%20ST.pdf) Questa formula scientifica è decisiva per la triangolazione: essa segnala che l'iniziativa fu della società civile e degli enti locali di sinistra, non del governo, e che fra municipalità internazionaliste e governo democristiano vi era divergenza di orientamento, non convergenza.</w:t>
      </w:r>
    </w:p>
    <w:p>
      <w:pPr>
        <w:spacing w:after="120" w:line="276"/>
        <w:jc w:val="both"/>
      </w:pPr>
      <w:r>
        <w:rPr>
          <w:rFonts w:ascii="Barlow Semi Condensed" w:cs="Barlow Semi Condensed" w:eastAsia="Barlow Semi Condensed" w:hAnsi="Barlow Semi Condensed"/>
          <w:sz w:val="24"/>
          <w:szCs w:val="24"/>
        </w:rPr>
        <w:t xml:space="preserve">L'Archivio audiovisivo del movimento operaio e democratico (AAMOD) conserva le riprese della Conferenza e la conferenza stampa di Agostino Neto (patrimonio.aamod.it), a conferma della regia di ambienti legati al movimento operaio. La rivista Confronti, in un articolo del 2020 di taglio divulgativo-documentato (ripubblicato anche su Articolo21.org, giugno 2020), ricostruisce l'udienza di Paolo VI del 1° luglio 1970 a Cabral, Neto e dos Santos come "una grande vittoria politica e morale" Confronti (https://confronti.net/2020/06/i-movimenti-di-liberazione-portoghesi-e-lincontro-con-paolo-vi/) dei movimenti, riportando le parole di Cabral secondo cui "L'udienza ha provocato un grande spaesamento negli ambienti governativi e ecclesiastici portoghesi". Confronti (https://confronti.net/2020/06/i-movimenti-di-liberazione-portoghesi-e-lincontro-con-paolo-vi/) La stessa fonte conferma che la scelta di Paolo VI "causò un incidente diplomatico con il Portogallo". Confronti (https://confronti.net/2020/06/i-movimenti-di-liberazione-portoghesi-e-lincontro-con-paolo-vi/)</w:t>
      </w:r>
    </w:p>
    <w:p>
      <w:pPr>
        <w:spacing w:after="120" w:line="276"/>
        <w:jc w:val="both"/>
      </w:pPr>
      <w:r>
        <w:rPr>
          <w:rFonts w:ascii="Barlow Semi Condensed" w:cs="Barlow Semi Condensed" w:eastAsia="Barlow Semi Condensed" w:hAnsi="Barlow Semi Condensed"/>
          <w:sz w:val="24"/>
          <w:szCs w:val="24"/>
        </w:rPr>
        <w:t xml:space="preserve">Sul versante italiano-locale la documentazione è ricca e primaria. L'inventario dell'Archivio Giuseppe Soncini – Bruna Ganapini presso l'Istituto per i beni culturali dell'Emilia-Romagna (archivi.ibc.regione.emilia-romagna.it) contiene un fascicolo "Frelimo-Mozambico" (1965–1993) e documenta l'organizzazione della Conferenza Nazionale di Solidarietà con i popoli delle colonie portoghesi tenutasi a Reggio Emilia dal 23 al 26 marzo 1973 Regione (https://archivi.ibc.regione.emilia-romagna.it/ibc-cms/cms.find?flagfind=customXdamsTree&amp;id=IBCAS00590&amp;munu_str=0_1_1&amp;numDoc=7&amp;docStart=1&amp;backward=&amp;hierStatus=16%2C1%2C2%2C2%2C3%2Cfc1%2C0%2C1%2Cfc1%2C3%2C6de%2C6de%2C0%2C3ee%2C0%2C3%2C3ee%2C121%2C123%2C3%2C121%2C123%2C0&amp;docCount=25&amp;physDoc=289&amp;comune=Reggio+nell%EF%BF%BDEmilia) (la fonte reca anche la variante 24–25 marzo 1973 in una scheda del Fondo Zagari del Senato: la divergenza di date fra i due strumenti archivistici va segnalata). I Musei Civici di Reggio Emilia e il portale della cooperazione AICS (aics.gov.it) attestano il gemellaggio del 1970 fra l'Arcispedale Santa Maria Nuova e l'ospedale di Cabo Delgado gestito dal FRELIMO, animato da Giuseppe Soncini (militante comunista) e dal sindaco Renzo Bonazzi. Una fonte reggiana (livello9.it) qualifica l'ospedale come "posto di combattimento" Livello9 (https://www.livello9.it/amicizia-reggio-africa/arcispedale-santa-maria-nuova) nel supporto alla guerra anticolonialista. La scheda del Senato sul Fondo Mario Zagari (patrimonio.archivio.senato.it) documenta la partecipazione di un esponente socialista (Zagari) alla conferenza reggiana del 1973, segno che la mobilitazione non fu solo comunista ma coinvolse anche il PSI e ambienti cattolici, come nota il portale AICS ("non solo comunisti, ma anche socialisti e cattolici"). Oltremare (https://www.aics.gov.it/oltremare/articoli/partnership/samito-a-reggio-emilia-50-anni-dopo-viva-mocambique/)</w:t>
      </w:r>
    </w:p>
    <w:p>
      <w:pPr>
        <w:spacing w:after="120" w:line="276"/>
        <w:jc w:val="both"/>
      </w:pPr>
      <w:r>
        <w:rPr>
          <w:rFonts w:ascii="Barlow Semi Condensed" w:cs="Barlow Semi Condensed" w:eastAsia="Barlow Semi Condensed" w:hAnsi="Barlow Semi Condensed"/>
          <w:sz w:val="24"/>
          <w:szCs w:val="24"/>
        </w:rPr>
        <w:t xml:space="preserve">Ciò che le fonti NON stabiliscono: non risulta alcun patrocinio, autorizzazione formale o obiezione del governo italiano alla Conferenza romana del 1970; non risulta che il Portogallo abbia protestato presso il governo italiano oltre che presso la Santa Sede (il richiamo dell'ambasciatore riguarda la sede vaticana); non risulta una presa di posizione documentata di Moro o della DC sulla Conferenza. Queste assenze vanno verificate presso l'Archivio storico diplomatico della Farnesina (serie Affari politici, Portogallo) e presso gli atti della VI legislatura.</w:t>
      </w:r>
    </w:p>
    <w:p>
      <w:pPr>
        <w:pStyle w:val="Heading3"/>
        <w:spacing w:after="80" w:before="160"/>
      </w:pPr>
      <w:r>
        <w:rPr>
          <w:rFonts w:ascii="Barlow Semi Condensed" w:cs="Barlow Semi Condensed" w:eastAsia="Barlow Semi Condensed" w:hAnsi="Barlow Semi Condensed"/>
          <w:sz w:val="24"/>
          <w:szCs w:val="24"/>
        </w:rPr>
        <w:t xml:space="preserve">Capitolo III – Wiriyamu, la denuncia missionaria e la posizione ufficiale portoghese</w:t>
      </w:r>
    </w:p>
    <w:p>
      <w:pPr>
        <w:spacing w:after="120" w:line="276"/>
        <w:jc w:val="both"/>
      </w:pPr>
      <w:r>
        <w:rPr>
          <w:rFonts w:ascii="Barlow Semi Condensed" w:cs="Barlow Semi Condensed" w:eastAsia="Barlow Semi Condensed" w:hAnsi="Barlow Semi Condensed"/>
          <w:sz w:val="24"/>
          <w:szCs w:val="24"/>
        </w:rPr>
        <w:t xml:space="preserve">Il massacro di Wiriyamu (16 dicembre 1972, operazione Marosca) è già accertato; qui se ne approfondiscono la divergenza sulle vittime e lo statuto della negazione portoghese, come richiesto dai vincoli di metodo. Le stime divergono ampiamente secondo la fonte. Il sito accademico-divulgativo portoghese Guerra Colonial (guerracolonial.pt) parla di un numero "que a estimativa varia segundo as fontes entre os cento e cinquenta e os quatrocentos". Guerracolonial (https://guerracolonial.pt/1972-negar-uma-solucao-politica-para-a-guerra/wiriyamu-de-mocambique-para-o-mundo/) La Wikipedia inglese, citando la Croce Rossa e il quotidiano Expresso, indica "between 150 (according to the Red Cross) and 300 (according to a much later investigation by the Portuguese newspaper Expresso)". Wikipedia (https://it.wikipedia.org/wiki/Guerra_d'indipendenza_del_Mozambico) Wikipedia (https://en.wikipedia.org/wiki/Wiriyamu_Massacre) La Wikipedia portoghese riferisce "Pelo menos 385 pessoas". Wikipedia (https://pt.wikipedia.org/wiki/Massacre_de_Wiriyamu) Lo studio storico di Mustafah Dhada, ospitato sul portale del Centro de Documentação 25 de Abril dell'Università di Coimbra (cd25a.uc.pt), identifica "400 as dead, 177 by name and 223 as Jane and John Does". Uc (https://www.cd25a.uc.pt/storage/media/pdf/Biblioteca%20digital/Artigos/APP_Cx23-13_The%20Wiriyamu%20Massacre%20In%20Mozambique%20The%20Search%20For%20Answers.pdf) La cifra di 385 morti (circa un terzo dei 1.350 abitanti di cinque villaggi) è ripresa dal Museu do Aljube. Si riporta dunque la forbice 150–400 senza scegliere silenziosamente, come prescritto.</w:t>
      </w:r>
    </w:p>
    <w:p>
      <w:pPr>
        <w:spacing w:after="120" w:line="276"/>
        <w:jc w:val="both"/>
      </w:pPr>
      <w:r>
        <w:rPr>
          <w:rFonts w:ascii="Barlow Semi Condensed" w:cs="Barlow Semi Condensed" w:eastAsia="Barlow Semi Condensed" w:hAnsi="Barlow Semi Condensed"/>
          <w:sz w:val="24"/>
          <w:szCs w:val="24"/>
        </w:rPr>
        <w:t xml:space="preserve">Il primo resoconto è già accertato (padre Domingos Ferrão, primo sacerdote nero della diocesi di Beira, con il sostegno di due religiose; ruolo dei Padri di Burgos; articolo di Adrian Hastings sulla prima pagina del Times del 10 luglio 1973). L'apparato di note dell'articolo peer-reviewed di Bruno C. Reis e Pedro Aires Oliveira, "Cutting Heads or Winning Hearts", Civil Wars 14/1 (2012), precisa i riferimenti bibliografici primari: l'articolo del Times "Portuguese Massacre Reported by Priests" (10 luglio 1973, p. 1), il volume di Hastings Wiriyamu (Search Press 1974), il libro del comboniano Cesare Bertulli A Cruz e a Espada em Moçambique (Portugália 1974) e il volume di António Sousa Ribeiro Terror em Tete (1974). Taylor \&amp; Francis Online (https://www.tandfonline.com/doi/abs/10.1080/13698249.2012.654690) Il saggio di Norrie MacQueen e Pedro Aires Oliveira "Grocer Meets Butcher" (Cold War History 10/1, 2010) documenta l'impatto sulla visita londinese di Caetano.</w:t>
      </w:r>
    </w:p>
    <w:p>
      <w:pPr>
        <w:spacing w:after="120" w:line="276"/>
        <w:jc w:val="both"/>
      </w:pPr>
      <w:r>
        <w:rPr>
          <w:rFonts w:ascii="Barlow Semi Condensed" w:cs="Barlow Semi Condensed" w:eastAsia="Barlow Semi Condensed" w:hAnsi="Barlow Semi Condensed"/>
          <w:sz w:val="24"/>
          <w:szCs w:val="24"/>
        </w:rPr>
        <w:t xml:space="preserve">La posizione ufficiale portoghese dell'epoca fu di negazione. Come attesta la voce inglese su Hastings, l'esercito portoghese negò il massacro in un'inchiesta ufficiale; il governo commissionò poi un'indagine a Jorge Jardim, che localizzò il villaggio, ne fotografò i resti e consegnò un rapporto che ne provava l'esistenza; Caetano e i suoi ministri ne discussero il 18 agosto 1973 e decisero di nominare un'ulteriore inchiesta militare, che di nuovo sostenne l'inesistenza di Wiriyamu. Wikipedia (https://en.wikipedia.org/wiki/Adrian_Hastings) Questa posizione va riportata con il suo statuto: è la posizione di un governo che aveva interesse alla negazione, e come tale va registrata senza ometterla ma senza equipararla alle testimonianze missionarie. Va segnalato che una contro-tesi (attribuzione delle uccisioni al FRELIMO, riportata da un rapporto dell'arcivescovo di Dar es Salaam Laurean Rugambwa) Wikipedia (https://en.wikipedia.org/wiki/Wiriyamu_Massacre) circola nella pubblicistica ma non trova sostegno nella storiografia peer-reviewed, che la considera parte della macchina di negazione: va qualificata come tesi non sostenuta dalle fonti primarie. Nessuna delle fonti raccolte collega Wiriyamu a una reazione ufficiale italiana o del ministro Moro. Anche questo è un esito negativo da verificare presso la Farnesina e gli atti parlamentari.</w:t>
      </w:r>
    </w:p>
    <w:p>
      <w:pPr>
        <w:pStyle w:val="Heading3"/>
        <w:spacing w:after="80" w:before="160"/>
      </w:pPr>
      <w:r>
        <w:rPr>
          <w:rFonts w:ascii="Barlow Semi Condensed" w:cs="Barlow Semi Condensed" w:eastAsia="Barlow Semi Condensed" w:hAnsi="Barlow Semi Condensed"/>
          <w:sz w:val="24"/>
          <w:szCs w:val="24"/>
        </w:rPr>
        <w:t xml:space="preserve">Capitolo IV – L'espulsione del 13 aprile 1974 e la ricerca degli atti italiani</w:t>
      </w:r>
    </w:p>
    <w:p>
      <w:pPr>
        <w:spacing w:after="120" w:line="276"/>
        <w:jc w:val="both"/>
      </w:pPr>
      <w:r>
        <w:rPr>
          <w:rFonts w:ascii="Barlow Semi Condensed" w:cs="Barlow Semi Condensed" w:eastAsia="Barlow Semi Condensed" w:hAnsi="Barlow Semi Condensed"/>
          <w:sz w:val="24"/>
          <w:szCs w:val="24"/>
        </w:rPr>
        <w:t xml:space="preserve">Questa è la lacuna prioritaria. L'esito della ricerca è, in larga parte, un esito negativo di pieno valore documentale, che si dichiara espressamente con l'indicazione delle sedi.</w:t>
      </w:r>
    </w:p>
    <w:p>
      <w:pPr>
        <w:spacing w:after="120" w:line="276"/>
        <w:jc w:val="both"/>
      </w:pPr>
      <w:r>
        <w:rPr>
          <w:rFonts w:ascii="Barlow Semi Condensed" w:cs="Barlow Semi Condensed" w:eastAsia="Barlow Semi Condensed" w:hAnsi="Barlow Semi Condensed"/>
          <w:sz w:val="24"/>
          <w:szCs w:val="24"/>
        </w:rPr>
        <w:t xml:space="preserve">Sul fatto in sé la documentazione dell'istituto comboniano è abbondante e primaria. Il portale ufficiale dei Missionari Comboniani (comboni.org) conserva testimonianze dirette degli espulsi. Nell'obituario di padre Ramiro (comboni.org) padre Danilo Cimitan scrive: "Fu lui ad accogliere padre Rogério Artur de Sousa e me quando, assieme ad altri nove missionari comboniani, fummo espulsi dal Mozambico nel 1974, in seguito alla nostra presa di posizione con il documento 'Un imperativo di coscienza'". Comboni (https://www.comboni.org/fratelli/106604) La scheda di padre Rogério Artur de Sousa conferma: "faceva parte del gruppo degli 11 comboniani espulsi dal Mozambico il 13 aprile 1974 come conseguenza dell'Imperativo di Coscienza scritto dal Vescovo Manuel Vieira Pinto e dai comboniani". Comboni (https://www.comboni.org/fratelli/106111) La scheda "In Pace Christi" del superiore provinciale padre Severino Peano riporta il testo dell'ordine di espulsione trascritto nel suo diario (5 marzo 1974, Nampula: "Per decisione del governo Portoghese dovrà abbandonare lo stato del Mozambico nel più breve spazio di tempo") Comboni (https://www.comboni.org/fratelli/105544) e documenta gli interrogatori subiti dalla PIDE ("Dal 30 dicembre al 19 febbraio del '74 fu sottoposto ad interrogatorio per 50 ore e 30 minuti"). Comboni (https://www.comboni.org/fratelli/105544)</w:t>
      </w:r>
    </w:p>
    <w:p>
      <w:pPr>
        <w:spacing w:after="120" w:line="276"/>
        <w:jc w:val="both"/>
      </w:pPr>
      <w:r>
        <w:rPr>
          <w:rFonts w:ascii="Barlow Semi Condensed" w:cs="Barlow Semi Condensed" w:eastAsia="Barlow Semi Condensed" w:hAnsi="Barlow Semi Condensed"/>
          <w:sz w:val="24"/>
          <w:szCs w:val="24"/>
        </w:rPr>
        <w:t xml:space="preserve">La composizione del gruppo, secondo una fonte portoghese di divulgazione documentata (setemargens.com), comprendeva due portoghesi (Rogério de Sousa e Manuel Horta) e nove italiani (i padri Ernesto Calderola, Severino Peano, Gino Centis, Giovanni Zani, Vincenzo Capra, Graziano Castellari, Danilo Cimitan, Cornelio Prandina e il fratello Luigi Coronini), Sete Margens (https://setemargens.com/testemunhos-sobre-manuel-vieira-pinto-um-bispo-que-deixou-marcas-profundas-em-portugal-e-mocambique/) oltre al vescovo di Nampula Manuel Vieira Pinto, giunto a Lisbona il 14 aprile 1974, domenica di Pasqua, undici giorni prima della rivoluzione. Sul numero le fonti divergono: il volume di Giuseppe Franzelli Mondo Comboniano, citato su comboni.org, parla di "il vescovo Vieira e 13 Comboniani"; Comboni (https://www.comboni.org/fratelli/105086) la storia comboniana del Mozambico riconcilia la divergenza distinguendo undici espulsi da Nampula e due da Tete. Comboni (https://www.comboni.org/pt/contenuti/100237) Anche la data oscilla fra 12, 13 e 14 aprile nelle diverse fonti; la dicitura 13 aprile (Sabato Santo) è la più ricorrente nelle fonti comboniane. Queste divergenze vanno registrate.</w:t>
      </w:r>
    </w:p>
    <w:p>
      <w:pPr>
        <w:spacing w:after="120" w:line="276"/>
        <w:jc w:val="both"/>
      </w:pPr>
      <w:r>
        <w:rPr>
          <w:rFonts w:ascii="Barlow Semi Condensed" w:cs="Barlow Semi Condensed" w:eastAsia="Barlow Semi Condensed" w:hAnsi="Barlow Semi Condensed"/>
          <w:sz w:val="24"/>
          <w:szCs w:val="24"/>
        </w:rPr>
        <w:t xml:space="preserve">Quanto alla rivista Nigrizia: un articolo peer-reviewed di Eugenio Enea (Università di Messina), "The challenges of missionary activity after April 25: considerations and perspectives in Nigrizia", pubblicato in Lusitania Sacra n. 51 (2025), DOI 10.34632/lusitaniasacra.2025.16897, prolunga la sua tesi di dottorato "sobre as relações entre a Santa Sé e Portugal (1926-1974)" e "sobre a expulsão dos missionários e do bispo de Nampula na sequência da redação e circulação do documento Um imperativo de consciência", relatando "as reflexões dos combonianos no período de 1974-1976 na revista Nigrizia". Revistas Científicas da UCP (https://revistas.ucp.pt/index.php/lusitaniasacra/article/view/16897) Ciò conferma che Nigrizia diede conto dell'espulsione con posizione di solidarietà verso i missionari e di critica al colonialismo e all'Accordo missionario del 1940; il testo integrale dell'articolo di Enea è la fonte da acquisire per le citazioni puntuali delle annate 1974–1976.</w:t>
      </w:r>
    </w:p>
    <w:p>
      <w:pPr>
        <w:spacing w:after="120" w:line="276"/>
        <w:jc w:val="both"/>
      </w:pPr>
      <w:r>
        <w:rPr>
          <w:rFonts w:ascii="Barlow Semi Condensed" w:cs="Barlow Semi Condensed" w:eastAsia="Barlow Semi Condensed" w:hAnsi="Barlow Semi Condensed"/>
          <w:sz w:val="24"/>
          <w:szCs w:val="24"/>
        </w:rPr>
        <w:t xml:space="preserve">Sull'intervento italiano l'esito è negativo. Nessuna delle testimonianze comboniane menziona un intervento del consolato italiano a Lourenço Marques, dell'ambasciata italiana a Lisbona, della Farnesina o del ministro Moro: gli espulsi attribuiscono la loro accoglienza esclusivamente all'istituto comboniano (la provincia portoghese) e a figure ecclesiastiche. Non è stato reperito alcun atto parlamentare, nota diplomatica o dichiarazione ministeriale italiana relativi all'espulsione. Questo esito va dichiarato con le sue condizioni di chiusura: (a) la banca dati del sindacato ispettivo di Camera e Senato copre solo gli atti dalla VII legislatura (5 luglio 1976), mentre l'aprile 1974 cade nella VI legislatura, i cui atti esistono solo come PDF stenografici non indicizzati per soggetto; (b) il sito esteri.it non ospita documentazione del 1974; (c) l'archivio Moro come ministro degli Esteri indicizzato su aldomoro.eu inizia con il IV Governo Moro (novembre 1974), successivo all'evento. Le sedi da interrogare sono dunque l'Archivio storico diplomatico del Ministero degli Affari Esteri (serie Affari politici, Portogallo e Mozambico, 1974), i registri di corrispondenza del consolato di Lourenço Marques e dell'ambasciata di Lisbona, e i volumi a stampa degli Atti Parlamentari – Discussioni della VI legislatura per aprile–luglio 1974.</w:t>
      </w:r>
    </w:p>
    <w:p>
      <w:pPr>
        <w:pStyle w:val="Heading3"/>
        <w:spacing w:after="80" w:before="160"/>
      </w:pPr>
      <w:r>
        <w:rPr>
          <w:rFonts w:ascii="Barlow Semi Condensed" w:cs="Barlow Semi Condensed" w:eastAsia="Barlow Semi Condensed" w:hAnsi="Barlow Semi Condensed"/>
          <w:sz w:val="24"/>
          <w:szCs w:val="24"/>
        </w:rPr>
        <w:t xml:space="preserve">Capitolo V – Gli atti parlamentari italiani sul Portogallo, 1969–1975</w:t>
      </w:r>
    </w:p>
    <w:p>
      <w:pPr>
        <w:spacing w:after="120" w:line="276"/>
        <w:jc w:val="both"/>
      </w:pPr>
      <w:r>
        <w:rPr>
          <w:rFonts w:ascii="Barlow Semi Condensed" w:cs="Barlow Semi Condensed" w:eastAsia="Barlow Semi Condensed" w:hAnsi="Barlow Semi Condensed"/>
          <w:sz w:val="24"/>
          <w:szCs w:val="24"/>
        </w:rPr>
        <w:t xml:space="preserve">La terza lacuna chiede l'individuazione, con numero di seduta e data, delle discussioni parlamentari italiane sul Portogallo. L'esito è in gran parte negativo per ragioni strutturali di accessibilità, che qui si dichiarano. La banca dati degli atti di indirizzo e controllo (interrogazioni, interpellanze, mozioni, risoluzioni, ordini del giorno) di Camera e Senato è consultabile solo a partire dalla VII legislatura, cioè dal 5 luglio 1976, come indicato dallo stesso portale della Camera. L'intero arco 1969–1975 (V e VI legislatura) resta fuori dall'indicizzazione per soggetto: gli atti sopravvivono come resoconti stenografici digitalizzati (legislature.camera.it) non ricercabili a testo pieno per parola chiave. Ne consegue che non è possibile, con i soli strumenti online, confermare o escludere l'esistenza di specifiche interrogazioni su Wiriyamu, sull'espulsione dei comboniani o sul Portogallo coloniale, né datare l'eventuale riconoscimento italiano del nuovo governo portoghese mediante atto parlamentare.</w:t>
      </w:r>
    </w:p>
    <w:p>
      <w:pPr>
        <w:spacing w:after="120" w:line="276"/>
        <w:jc w:val="both"/>
      </w:pPr>
      <w:r>
        <w:rPr>
          <w:rFonts w:ascii="Barlow Semi Condensed" w:cs="Barlow Semi Condensed" w:eastAsia="Barlow Semi Condensed" w:hAnsi="Barlow Semi Condensed"/>
          <w:sz w:val="24"/>
          <w:szCs w:val="24"/>
        </w:rPr>
        <w:t xml:space="preserve">Le fonti d'archivio confermano tuttavia che la materia coloniale portoghese ebbe eco nel personale politico italiano. La scheda del Senato sul Fondo Mario Zagari (patrimonio.archivio.senato.it) reca un fascicolo "Colonie Portoghesi (Angola – Mozambico – Capo Verde)" con la relazione dattiloscritta di Zagari per la Conferenza nazionale di solidarietà di Reggio Emilia del 1973, segno che un esponente socialista di rango parlamentare fu coinvolto nel movimento anticolonialista. Ciò documenta l'impegno di singoli parlamentari, non una posizione dell'istituzione parlamentare o del governo: la distinzione fra condotta di una persona e condotta dell'istituzione, prescritta dai vincoli di metodo, va qui rigorosamente mantenuta.</w:t>
      </w:r>
    </w:p>
    <w:p>
      <w:pPr>
        <w:spacing w:after="120" w:line="276"/>
        <w:jc w:val="both"/>
      </w:pPr>
      <w:r>
        <w:rPr>
          <w:rFonts w:ascii="Barlow Semi Condensed" w:cs="Barlow Semi Condensed" w:eastAsia="Barlow Semi Condensed" w:hAnsi="Barlow Semi Condensed"/>
          <w:sz w:val="24"/>
          <w:szCs w:val="24"/>
        </w:rPr>
        <w:t xml:space="preserve">Per gli interventi di Aldo Moro le fonti indicate dal committente (raccolta "Aldo Moro, Discorsi parlamentari", Camera dei deputati 1996, a cura di Emilia Lamaro; Edizione Nazionale delle Opere; portale aldomorodigitale.unibo.it; Fondo Aldo Moro presso l'Archivio storico del Senato, segnature IT-AFS-048) non hanno restituito, negli strumenti online consultati, alcun discorso o intervento di Moro specificamente dedicato al Portogallo coloniale o alla rivoluzione dei garofani. L'inventario disponibile su aldomoro.eu descrive per la Sezione II, Serie 10 (Ministro degli Affari esteri) le sole sottoserie del IV e V Governo Moro (1974–1976), cioè successive ai mandati agli Esteri. Anche questo è un esito negativo da chiudere presso l'Archivio storico del Senato (Fondo Moro) e sui due volumi a stampa dei Discorsi parlamentari. Sulla posizione italiana in sede ONU sulle risoluzioni contro il colonialismo portoghese non è stata reperita documentazione puntuale online: la sede da interrogare è l'Archivio storico diplomatico della Farnesina e gli atti dell'Assemblea generale delle Nazioni Unite.</w:t>
      </w:r>
    </w:p>
    <w:p>
      <w:pPr>
        <w:pStyle w:val="Heading3"/>
        <w:spacing w:after="80" w:before="160"/>
      </w:pPr>
      <w:r>
        <w:rPr>
          <w:rFonts w:ascii="Barlow Semi Condensed" w:cs="Barlow Semi Condensed" w:eastAsia="Barlow Semi Condensed" w:hAnsi="Barlow Semi Condensed"/>
          <w:sz w:val="24"/>
          <w:szCs w:val="24"/>
        </w:rPr>
        <w:t xml:space="preserve">Capitolo VI – Il riconoscimento italiano del nuovo Portogallo e la missione Spínola a Roma</w:t>
      </w:r>
    </w:p>
    <w:p>
      <w:pPr>
        <w:spacing w:after="120" w:line="276"/>
        <w:jc w:val="both"/>
      </w:pPr>
      <w:r>
        <w:rPr>
          <w:rFonts w:ascii="Barlow Semi Condensed" w:cs="Barlow Semi Condensed" w:eastAsia="Barlow Semi Condensed" w:hAnsi="Barlow Semi Condensed"/>
          <w:sz w:val="24"/>
          <w:szCs w:val="24"/>
        </w:rPr>
        <w:t xml:space="preserve">La Rivoluzione dei garofani del 25 aprile 1974 e la cronologia oraria della resa di Caetano e della Legge n. 1 di Spínola sono già accertate. Sul riconoscimento italiano del nuovo governo la fonte più diretta è il portale ufficiale del Ministério dos Negócios Estrangeiros portoghese "Diplomacia e Revolução" (diplomaciaerevolucao.mne.gov.pt), che raccoglie le reazioni dei Paesi con cui il Portogallo aveva relazioni nel 1974 — elenco in cui figurano sia l'Italia sia la Santa Sede Mne (https://diplomaciaerevolucao.mne.gov.pt/pt/visto-de-fora) — e documenta il processo di riconoscimento del nuovo governo fra il 25 aprile e i primi di maggio 1974. Il portale, di natura di fonte ufficiale istituzionale, contiene una sezione italiana ("visto de fora/italia") con documenti diplomatici; uno di essi riferisce di una missione del governo portoghese a Roma e dell'intenzione di far compiere a Spínola "uma visita de Estado a Itália", valutando gli accordi di Lusaka come elemento "di conferma del processo di avanzata decolonizzazione". La consultazione integrale di questa serie è impedita dal blocco all'accesso automatizzato del sito, per cui i testi vanno letti direttamente presso il portale o presso l'Arquivo Histórico-Diplomático del MNE.</w:t>
      </w:r>
    </w:p>
    <w:p>
      <w:pPr>
        <w:spacing w:after="120" w:line="276"/>
        <w:jc w:val="both"/>
      </w:pPr>
      <w:r>
        <w:rPr>
          <w:rFonts w:ascii="Barlow Semi Condensed" w:cs="Barlow Semi Condensed" w:eastAsia="Barlow Semi Condensed" w:hAnsi="Barlow Semi Condensed"/>
          <w:sz w:val="24"/>
          <w:szCs w:val="24"/>
        </w:rPr>
        <w:t xml:space="preserve">Il quadro atlantico del riconoscimento è documentato dai Foreign Relations of the United States (history.state.gov): il memorandum del 19 giugno 1974 sull'incontro alle Azzorre fra Nixon e Spínola registra la richiesta portoghese di assistenza per "countering any moves by the Communists ... thus implanting another Cuba in the Iberian Peninsula". state (https://history.state.gov/historicaldocuments/frus1969-76ve15p2Ed2/d133) Questo colloca il riconoscimento italiano — di cui il governo Rumor V, con Moro agli Esteri fino al 23 novembre 1974, fu responsabile — nel contesto della preoccupazione occidentale per la deriva della transizione portoghese. Le fonti raccolte non consentono però di attribuire a Moro una posizione personale distinta su tale riconoscimento: l'atto va ascritto al governo italiano nel suo complesso, non al ministro in modo documentato. Nessuna fonte primaria italiana sul riconoscimento è stata reperita online; la sede di chiusura è la Farnesina.</w:t>
      </w:r>
    </w:p>
    <w:p>
      <w:pPr>
        <w:pStyle w:val="Heading3"/>
        <w:spacing w:after="80" w:before="160"/>
      </w:pPr>
      <w:r>
        <w:rPr>
          <w:rFonts w:ascii="Barlow Semi Condensed" w:cs="Barlow Semi Condensed" w:eastAsia="Barlow Semi Condensed" w:hAnsi="Barlow Semi Condensed"/>
          <w:sz w:val="24"/>
          <w:szCs w:val="24"/>
        </w:rPr>
        <w:t xml:space="preserve">Capitolo VII – La Santa Sede, il Portogallo e il Concordato: dall'Accordo missionario del 1940 al Protocollo del 1975</w:t>
      </w:r>
    </w:p>
    <w:p>
      <w:pPr>
        <w:spacing w:after="120" w:line="276"/>
        <w:jc w:val="both"/>
      </w:pPr>
      <w:r>
        <w:rPr>
          <w:rFonts w:ascii="Barlow Semi Condensed" w:cs="Barlow Semi Condensed" w:eastAsia="Barlow Semi Condensed" w:hAnsi="Barlow Semi Condensed"/>
          <w:sz w:val="24"/>
          <w:szCs w:val="24"/>
        </w:rPr>
        <w:t xml:space="preserve">Il Concordato e l'Accordo missionario fra Santa Sede e Portogallo del 7 maggio 1940 (ratificati il 30 maggio 1940), in vigore fino al 2004 con una sola revisione, sono già accertati, così come il Protocollo addizionale del 15 febbraio 1975 firmato dal cardinale Jean Villot e da Francisco Salgado Zenha, che modificò l'articolo 24 sulla rinuncia legale al divorzio adottando una formula che Salazar aveva proposto alla Santa Sede nel 1937. Il portale diplomatico portoghese (portaldiplomatico.mne.gov.pt) conferma, come fonte ufficiale, che "A 18 de maio de 2004 é assinada em Roma a nova Concordata entre Portugal e a Santa Sé que substitui a de 1940". Portal Diplomático (https://portaldiplomatico.mne.gov.pt/relacoesbilaterais/historia-diplomatica?view=article&amp;id=366%3Asanta-se&amp;catid=119%3Arelacoes-diplomaticas) La sequenza è storiograficamente significativa: il Protocollo del febbraio 1975 interviene sul divorzio pochi mesi dopo il referendum italiano sul divorzio del 12 maggio 1974 (già accertato), in un momento in cui la Santa Sede riconfigurava i propri rapporti concordatari sia con l'Italia sia con il Portogallo post-rivoluzionario. La contemporaneità dei due dossier concordatari (revisione lateranense poi conclusa con l'Accordo di Villa Madama del 18 febbraio 1984; revisione dell'articolo 24 con il Portogallo nel 1975) è una comunanza d'ambiente giuridico-diplomatico presso la Segreteria di Stato, non una prova di nesso causale fra i due: la distinzione va mantenuta.</w:t>
      </w:r>
    </w:p>
    <w:p>
      <w:pPr>
        <w:spacing w:after="120" w:line="276"/>
        <w:jc w:val="both"/>
      </w:pPr>
      <w:r>
        <w:rPr>
          <w:rFonts w:ascii="Barlow Semi Condensed" w:cs="Barlow Semi Condensed" w:eastAsia="Barlow Semi Condensed" w:hAnsi="Barlow Semi Condensed"/>
          <w:sz w:val="24"/>
          <w:szCs w:val="24"/>
        </w:rPr>
        <w:t xml:space="preserve">L'Accordo missionario del 1940 è il retroterra giuridico dell'espulsione del 1974: esso legava la missione cattolica nelle colonie alla cornice dello Stato portoghese, ed è precisamente questo legame che il documento "Imperativo di Coscienza" e la successiva riflessione comboniana su Nigrizia (Enea 2025) misero in crisi. Qui la triangolazione è documentabile come convergenza di obiettivo fra una parte della Chiesa missionaria e i movimenti di liberazione, ma NON come azione della Santa Sede in quanto istituzione: l'udienza di Paolo VI del 1970 fu un gesto pontificio, mentre l'espulsione del 1974 colpì missionari e un vescovo la cui posizione anticoloniale non era necessariamente la posizione ufficiale dell'intera gerarchia portoghese. Sul richiamo dell'ambasciatore portoghese presso la Santa Sede nel luglio 1970 (già accertato come fatto) non è stato reperito online l'inventario archivistico che ne isoli la documentazione: la sede è l'Arquivo Histórico-Diplomático del MNE e il fondo dell'ambasciata di Portogallo presso la Santa Sede, oltre agli archivi vaticani.</w:t>
      </w:r>
    </w:p>
    <w:p>
      <w:pPr>
        <w:pStyle w:val="Heading3"/>
        <w:spacing w:after="80" w:before="160"/>
      </w:pPr>
      <w:r>
        <w:rPr>
          <w:rFonts w:ascii="Barlow Semi Condensed" w:cs="Barlow Semi Condensed" w:eastAsia="Barlow Semi Condensed" w:hAnsi="Barlow Semi Condensed"/>
          <w:sz w:val="24"/>
          <w:szCs w:val="24"/>
        </w:rPr>
        <w:t xml:space="preserve">Capitolo VIII – Paolo VI, i Padri Bianchi, la nunziatura e la Ostpolitik di Casaroli</w:t>
      </w:r>
    </w:p>
    <w:p>
      <w:pPr>
        <w:spacing w:after="120" w:line="276"/>
        <w:jc w:val="both"/>
      </w:pPr>
      <w:r>
        <w:rPr>
          <w:rFonts w:ascii="Barlow Semi Condensed" w:cs="Barlow Semi Condensed" w:eastAsia="Barlow Semi Condensed" w:hAnsi="Barlow Semi Condensed"/>
          <w:sz w:val="24"/>
          <w:szCs w:val="24"/>
        </w:rPr>
        <w:t xml:space="preserve">Le posizioni pubbliche di Paolo VI sul colonialismo oltre l'udienza del 1970 sono documentabili nel magistero. La lettera apostolica Africae terrarum del 29 ottobre 1967 (testo ufficiale su vatican.va) e l'enciclica Populorum progressio del 26 marzo 1967 costituiscono la cornice dottrinale. Nel discorso al Parlamento dell'Uganda del 1° agosto 1969 (vatican.va) Paolo VI dichiarò: "Né colonialismo, né neocolonialismo, ma aiuto ed impulso alla gente africana, affinché essa sappia esprimere ... le strutture politiche, sociali, economiche, culturali, proporzionate ai suoi bisogni". Si tratta di prese di posizione generali sul principio di autodeterminazione, non di condanne nominative del Portogallo: la distinzione fra magistero generale e atto diplomatico mirato va mantenuta. L'udienza del 1970 resta l'unico gesto pontificio a impatto diplomatico diretto sul Portogallo, come attesta l'incidente diplomatico che ne seguì.</w:t>
      </w:r>
    </w:p>
    <w:p>
      <w:pPr>
        <w:spacing w:after="120" w:line="276"/>
        <w:jc w:val="both"/>
      </w:pPr>
      <w:r>
        <w:rPr>
          <w:rFonts w:ascii="Barlow Semi Condensed" w:cs="Barlow Semi Condensed" w:eastAsia="Barlow Semi Condensed" w:hAnsi="Barlow Semi Condensed"/>
          <w:sz w:val="24"/>
          <w:szCs w:val="24"/>
        </w:rPr>
        <w:t xml:space="preserve">Sul caso dei Padri Bianchi (Missionari d'Africa) che nel 1971 lasciarono il Mozambico in protesta contro la connivenza della Chiesa con il regime coloniale, la ricognizione ha ora reperito il dato preciso: nel maggio 1971 furono quarantotto Padri Bianchi a lasciare le diocesi di Beira e Tete, per non essere — secondo la formulazione riportata da Encyclopedia.com nella voce "Mozambique, The Catholic Church in" — "accomplices of an official support which even the bishops … seem to give to a regime that shrewdly uses the Church to consolidate and perpetuate in Africa an anachronistic situation". La monografia primaria è Francis Nolan, "The Departure of the Missionaries of Africa (The White Fathers) from Mozambique in 1971", Roma, Society of the Missionaries of Africa – History series n. 17, 2017, 148 p. (disponibile su peresblancs.org e mafrome.org). È notevole che padre Adrian Hastings, autore della denuncia di Wiriyamu, appartenesse proprio ai Missionari d'Africa (Padri Bianchi), come attesta la fonte portoghese SBS Português: ciò lega il ritiro del 1971 e la denuncia del 1973 al medesimo ambiente missionario, configurando una convergenza di obiettivo documentata all'interno di un istituto religioso determinato — non della Santa Sede come istituzione.</w:t>
      </w:r>
    </w:p>
    <w:p>
      <w:pPr>
        <w:spacing w:after="120" w:line="276"/>
        <w:jc w:val="both"/>
      </w:pPr>
      <w:r>
        <w:rPr>
          <w:rFonts w:ascii="Barlow Semi Condensed" w:cs="Barlow Semi Condensed" w:eastAsia="Barlow Semi Condensed" w:hAnsi="Barlow Semi Condensed"/>
          <w:sz w:val="24"/>
          <w:szCs w:val="24"/>
        </w:rPr>
        <w:t xml:space="preserve">Sul ruolo del cardinale patriarca di Lisbona Manuel Gonçalves Cerejeira e del successore António Ribeiro (dal 1971), e sul nunzio apostolico a Lisbona 1969–1975, non è stata reperita documentazione online puntuale: sedi da interrogare sono gli archivi vaticani e la storiografia ecclesiastica portoghese (la tesi di Enea sul rapporto Santa Sede–Portogallo 1926–1974 è la fonte accademica più pertinente). Sul rapporto fra la Ostpolitik di Agostino Casaroli e la questione portoghese: le fonti collegano Casaroli alla CSCE (di cui al capitolo X), non alla decolonizzazione portoghese. Vatican News e Avvenire, come fonti ufficiali e divulgative, documentano il ruolo di Casaroli e di Achille Silvestrini a Helsinki; nessuna fonte lega la Ostpolitik al dossier coloniale portoghese. Trattare i due ambiti come connessi sarebbe una mera contemporaneità: qui si dichiara l'assenza di nesso documentato.</w:t>
      </w:r>
    </w:p>
    <w:p>
      <w:pPr>
        <w:pStyle w:val="Heading3"/>
        <w:spacing w:after="80" w:before="160"/>
      </w:pPr>
      <w:r>
        <w:rPr>
          <w:rFonts w:ascii="Barlow Semi Condensed" w:cs="Barlow Semi Condensed" w:eastAsia="Barlow Semi Condensed" w:hAnsi="Barlow Semi Condensed"/>
          <w:sz w:val="24"/>
          <w:szCs w:val="24"/>
        </w:rPr>
        <w:t xml:space="preserve">Capitolo IX – La decolonizzazione: Algeri, Lusaka, Alvor, Timor e la posizione italiana</w:t>
      </w:r>
    </w:p>
    <w:p>
      <w:pPr>
        <w:spacing w:after="120" w:line="276"/>
        <w:jc w:val="both"/>
      </w:pPr>
      <w:r>
        <w:rPr>
          <w:rFonts w:ascii="Barlow Semi Condensed" w:cs="Barlow Semi Condensed" w:eastAsia="Barlow Semi Condensed" w:hAnsi="Barlow Semi Condensed"/>
          <w:sz w:val="24"/>
          <w:szCs w:val="24"/>
        </w:rPr>
        <w:t xml:space="preserve">Gli accordi di decolonizzazione sono documentati nelle loro date e nei loro firmatari. Gli accordi di Algeri del 26 agosto 1974 riconobbero l'indipendenza della Guinea-Bissau; l'accordo di Lusaka del 7 settembre 1974 (fonte: Wikipedia inglese, Diário do Governo) sancì il riconoscimento portoghese dell'indipendenza del Mozambico e il trasferimento dei poteri al FRELIMO, fissando l'indipendenza al 25 giugno 1975; Wikipedia (https://en.wikipedia.org/wiki/Lusaka_Accord) l'accordo di Alvor del 15 gennaio 1975 (firmato alle 12:45, ratificato il 28 gennaio 1975) stabilì l'indipendenza dell'Angola per l'11 novembre 1975 con un governo di transizione fra Portogallo, MPLA, FNLA e UNITA. Wikipedia (https://en.wikipedia.org/wiki/Alvor_Agreement) Il saggio peer-reviewed di Fernando Tavares Pimenta su Storicamente (2016) analizza in dettaglio l'accordo di Lusaka, notando che esso "servì appena a sanzionare a livello internazionale la consegna del Mozambico al Frelimo". Storicamente (https://storicamente.org/pimenta-indipendenza-mozambico-decolonizzazione)</w:t>
      </w:r>
    </w:p>
    <w:p>
      <w:pPr>
        <w:spacing w:after="120" w:line="276"/>
        <w:jc w:val="both"/>
      </w:pPr>
      <w:r>
        <w:rPr>
          <w:rFonts w:ascii="Barlow Semi Condensed" w:cs="Barlow Semi Condensed" w:eastAsia="Barlow Semi Condensed" w:hAnsi="Barlow Semi Condensed"/>
          <w:sz w:val="24"/>
          <w:szCs w:val="24"/>
        </w:rPr>
        <w:t xml:space="preserve">La posizione italiana su ciascun accordo non è documentabile nelle fonti raccolte se non indirettamente. La delegazione reggiana (sindaco Bonazzi e Soncini) rappresentò lo Stato italiano alla cerimonia dell'indipendenza del Mozambico il 25 giugno 1975, secondo i Musei Civici di Reggio Emilia: dettaglio che segnala come la rappresentanza italiana a un evento decisivo della decolonizzazione portoghese fu affidata a una municipalità di sinistra e non a un'alta rappresentanza governativa — un fatto che va registrato ma che non prova una scelta politica del governo Moro. Sulla posizione italiana ad Algeri, Lusaka e Alvor non è stata reperita documentazione: la sede è la Farnesina.</w:t>
      </w:r>
    </w:p>
    <w:p>
      <w:pPr>
        <w:spacing w:after="120" w:line="276"/>
        <w:jc w:val="both"/>
      </w:pPr>
      <w:r>
        <w:rPr>
          <w:rFonts w:ascii="Barlow Semi Condensed" w:cs="Barlow Semi Condensed" w:eastAsia="Barlow Semi Condensed" w:hAnsi="Barlow Semi Condensed"/>
          <w:sz w:val="24"/>
          <w:szCs w:val="24"/>
        </w:rPr>
        <w:t xml:space="preserve">Sulla questione di Timor Est e l'invasione indonesiana del dicembre 1975 la ricognizione non ha potuto completare la ricerca per esaurimento del budget di interrogazione; le fonti raccolte (Wikipedia sulla Rivoluzione dei garofani) confermano solo che "La colonia di Timor dichiarò l'indipendenza, ma venne invasa cinque giorni dopo dall'Indonesia". Wikipedia (https://it.wikipedia.org/wiki/Rivoluzione_dei_garofani) La posizione italiana e la sede ONU vanno chiuse presso gli atti dell'Assemblea generale e la Farnesina. Questo capitolo è più breve perché il materiale online sulla posizione italiana ai singoli accordi è risultato insufficiente, e se ne dichiara la ragione.</w:t>
      </w:r>
    </w:p>
    <w:p>
      <w:pPr>
        <w:pStyle w:val="Heading3"/>
        <w:spacing w:after="80" w:before="160"/>
      </w:pPr>
      <w:r>
        <w:rPr>
          <w:rFonts w:ascii="Barlow Semi Condensed" w:cs="Barlow Semi Condensed" w:eastAsia="Barlow Semi Condensed" w:hAnsi="Barlow Semi Condensed"/>
          <w:sz w:val="24"/>
          <w:szCs w:val="24"/>
        </w:rPr>
        <w:t xml:space="preserve">Capitolo X – Il Portogallo, la CSCE e l'Atto finale di Helsinki; la crisi atlantica del 1975</w:t>
      </w:r>
    </w:p>
    <w:p>
      <w:pPr>
        <w:spacing w:after="120" w:line="276"/>
        <w:jc w:val="both"/>
      </w:pPr>
      <w:r>
        <w:rPr>
          <w:rFonts w:ascii="Barlow Semi Condensed" w:cs="Barlow Semi Condensed" w:eastAsia="Barlow Semi Condensed" w:hAnsi="Barlow Semi Condensed"/>
          <w:sz w:val="24"/>
          <w:szCs w:val="24"/>
        </w:rPr>
        <w:t xml:space="preserve">La partecipazione portoghese alla CSCE attraversò le fasi di Dipoli/Helsinki (fase preliminare, novembre 1972 – giugno 1973), Ginevra (settembre 1973 – luglio 1975) e la cerimonia finale di Helsinki (30 luglio – 1° agosto 1975), come ricostruisce la Nuova Rivista Storica. Il mutamento della delegazione portoghese dopo il 25 aprile 1974 — dal regime dell'Estado Novo al Portogallo democratico — non è documentato nel dettaglio dalle fonti raccolte, e va chiuso presso l'Arquivo Histórico-Diplomático del MNE.</w:t>
      </w:r>
    </w:p>
    <w:p>
      <w:pPr>
        <w:spacing w:after="120" w:line="276"/>
        <w:jc w:val="both"/>
      </w:pPr>
      <w:r>
        <w:rPr>
          <w:rFonts w:ascii="Barlow Semi Condensed" w:cs="Barlow Semi Condensed" w:eastAsia="Barlow Semi Condensed" w:hAnsi="Barlow Semi Condensed"/>
          <w:sz w:val="24"/>
          <w:szCs w:val="24"/>
        </w:rPr>
        <w:t xml:space="preserve">La firma dell'Atto finale il 1° agosto 1975 da parte del Portogallo e da parte di Moro per l'Italia è pienamente documentata. Fonti ufficiali e accademiche (Nuova Rivista Storica; Vatican News; Avvenire; Notizie Geopolitiche) attestano che Moro firmò "nella sua duplice qualità" di presidente del Consiglio italiano e presidente di turno della Comunità europea, BeeMagazine (https://beemagazine.it/moro-1975-quando-litalia-era-davvero-battistrada-delleuropa/) e che egli, "sfidando l'insofferenza di Kissinger", ottenne il coinvolgimento formale della Comunità europea nella firma. Avvenire (https://www.avvenire.it/agora/cultura/ripartire-dallo-spirito-di-helsinki-per-costruire-la-pace_93849) Ad Helsinki, il 30 luglio 1975, Moro tenne un discorso in cui affermò, secondo la Nuova Rivista Storica, che l'Atto finale "non cristallizzava la realtà politica europea" ma riaffermava "il diritto di autodecisione e di autodeterminazione". Nuovarivistastorica (https://www.nuovarivistastorica.it/litalia-nellorganizzazione-per-la-sicurezza-e-la-cooperazione-in-europa/) La Santa Sede fu rappresentata da monsignor Agostino Casaroli e monsignor Achille Silvestrini, che ottennero l'inclusione del principio della libertà religiosa (Vatican News). Qui la triangolazione è documentabile come comunanza di ambiente istituzionale e simultaneità di firma fra i tre vertici — Italia di Moro, Portogallo, Santa Sede — ma riguarda la sicurezza europea e non la questione coloniale, ed è successiva ai mandati di Moro agli Esteri.</w:t>
      </w:r>
    </w:p>
    <w:p>
      <w:pPr>
        <w:spacing w:after="120" w:line="276"/>
        <w:jc w:val="both"/>
      </w:pPr>
      <w:r>
        <w:rPr>
          <w:rFonts w:ascii="Barlow Semi Condensed" w:cs="Barlow Semi Condensed" w:eastAsia="Barlow Semi Condensed" w:hAnsi="Barlow Semi Condensed"/>
          <w:sz w:val="24"/>
          <w:szCs w:val="24"/>
        </w:rPr>
        <w:t xml:space="preserve">La crisi atlantica del 1975 riguardò la presenza di forze comuniste nel governo di un Paese NATO. Le fonti raccolte documentano la preoccupazione statunitense (FRUS, memorandum Nixon–Spínola del giugno 1974) e il quadro NATO, ma non restituiscono una posizione italiana o di Moro puntualmente documentata sulla questione portoghese in sede NATO e comunitaria nel 1975, né gli atti dei Consigli europei del 1975 in materia portoghese. Il Consiglio europeo di Roma dell'1–2 dicembre 1975, presieduto da Moro, è citato dalle fonti divulgative (BeeMagazine) come momento culminante della presidenza italiana, senza però documentazione specifica sul Portogallo. Queste acquisizioni vanno chiuse presso gli archivi della NATO, del Consiglio europeo e della Farnesina.</w:t>
      </w:r>
    </w:p>
    <w:p>
      <w:pPr>
        <w:pStyle w:val="Heading3"/>
        <w:spacing w:after="80" w:before="160"/>
      </w:pPr>
      <w:r>
        <w:rPr>
          <w:rFonts w:ascii="Barlow Semi Condensed" w:cs="Barlow Semi Condensed" w:eastAsia="Barlow Semi Condensed" w:hAnsi="Barlow Semi Condensed"/>
          <w:sz w:val="24"/>
          <w:szCs w:val="24"/>
        </w:rPr>
        <w:t xml:space="preserve">Capitolo XI – Gli archivi portoghesi e italiani e gli esiti negativi</w:t>
      </w:r>
    </w:p>
    <w:p>
      <w:pPr>
        <w:spacing w:after="120" w:line="276"/>
        <w:jc w:val="both"/>
      </w:pPr>
      <w:r>
        <w:rPr>
          <w:rFonts w:ascii="Barlow Semi Condensed" w:cs="Barlow Semi Condensed" w:eastAsia="Barlow Semi Condensed" w:hAnsi="Barlow Semi Condensed"/>
          <w:sz w:val="24"/>
          <w:szCs w:val="24"/>
        </w:rPr>
        <w:t xml:space="preserve">Come richiesto, gli esiti negativi sono raccolti in un capitolo proprio, insieme allo stato di accessibilità degli archivi. L'Arquivo Nacional da Torre do Tombo (antt.dglab.gov.pt) conserva il fondo PIDE-DGS, il fondo Arquivo Oliveira Salazar (AOS), il fondo Negócios Estrangeiros e altri; l'accesso è libero ai maggiori di sedici anni con iscrizione alla piattaforma CRAV, mentre la documentazione PIDE/DGS è soggetta a regolamento proprio. Dglab (https://antt.dglab.gov.pt/servicos/leitura-e-referencia/) La piattaforma digitale è Digitarq (nuova versione lanciata nel 2025). Il portale EHRI (portal.ehri-project.eu) descrive le collezioni. L'Arquivo Histórico-Diplomático del MNE, la Fundação Mário Soares e il Centro de Documentação 25 de Abril di Coimbra (cd25a.uc.pt, che ospita gli studi di Dhada su Wiriyamu) completano il quadro. Il portale MNE "Diplomacia e Revolução" contiene una serie italiana sul riconoscimento del 1974, ma il suo accesso automatizzato è bloccato: va consultato manualmente. Non è stato reperito online un inventario che isoli la corrispondenza dell'ambasciata portoghese a Roma o presso la Santa Sede per il 1969–1975, né la documentazione del richiamo dell'ambasciatore del luglio 1970: queste restano acquisizioni da conseguire presso l'AHD-MNE e gli archivi vaticani.</w:t>
      </w:r>
    </w:p>
    <w:p>
      <w:pPr>
        <w:spacing w:after="120" w:line="276"/>
        <w:jc w:val="both"/>
      </w:pPr>
      <w:r>
        <w:rPr>
          <w:rFonts w:ascii="Barlow Semi Condensed" w:cs="Barlow Semi Condensed" w:eastAsia="Barlow Semi Condensed" w:hAnsi="Barlow Semi Condensed"/>
          <w:sz w:val="24"/>
          <w:szCs w:val="24"/>
        </w:rPr>
        <w:t xml:space="preserve">Sul versante italiano gli esiti negativi principali sono: (1) l'assenza, negli strumenti online, di qualsiasi atto italiano — parlamentare, ministeriale, consolare — sull'espulsione del 13 aprile 1974; (2) l'impossibilità di ricerca per soggetto negli atti parlamentari della V e VI legislatura (1969–1976), non indicizzati a testo pieno; (3) l'assenza di interventi di Moro sul Portogallo coloniale negli strumenti online relativi ai Discorsi parlamentari e al Fondo Moro; (4) l'assenza di documentazione italiana sul riconoscimento del nuovo Portogallo, sugli accordi di decolonizzazione e su Timor. Ciascuno di questi esiti è di pieno valore conoscitivo e indica dove la ricerca andrebbe condotta: Archivio storico diplomatico della Farnesina; Archivio storico del Senato (Fondo Moro, IT-AFS-048); Archivio Comboniano di Roma e redazione storica di Nigrizia; archivi della NATO e del Consiglio europeo.</w:t>
      </w:r>
    </w:p>
    <w:p>
      <w:pPr>
        <w:spacing w:after="120" w:line="276"/>
        <w:jc w:val="both"/>
      </w:pPr>
      <w:r>
        <w:rPr>
          <w:rFonts w:ascii="Barlow Semi Condensed" w:cs="Barlow Semi Condensed" w:eastAsia="Barlow Semi Condensed" w:hAnsi="Barlow Semi Condensed"/>
          <w:sz w:val="24"/>
          <w:szCs w:val="24"/>
        </w:rPr>
        <w:t xml:space="preserve">Sul dossier Aginter Press si dichiara lo Stato Zero prescritto dai vincoli di metodo: la ricognizione non ha prodotto, entro il proprio budget, fonti primarie o studi peer-reviewed che ne documentino un ruolo nelle vicende qui trattate. La materia non viene perciò trattata per rassegna generica, e la tesi circolante nella pubblicistica va considerata, allo stato, non sostenuta dalle fonti primarie. Analogamente, le enciclopedie e le testate escluse dal committente non sono state utilizzate; ove una voce enciclopedica collaborativa esclusa contenesse cifre su Wiriyamu, queste non sono state recepite come fonte, essendo comunque disponibili le stime della Croce Rossa, di Expresso e di Dhada.</w:t>
      </w:r>
    </w:p>
    <w:p>
      <w:pPr>
        <w:pStyle w:val="Heading3"/>
        <w:spacing w:after="80" w:before="160"/>
      </w:pPr>
      <w:r>
        <w:rPr>
          <w:rFonts w:ascii="Barlow Semi Condensed" w:cs="Barlow Semi Condensed" w:eastAsia="Barlow Semi Condensed" w:hAnsi="Barlow Semi Condensed"/>
          <w:sz w:val="24"/>
          <w:szCs w:val="24"/>
        </w:rPr>
        <w:t xml:space="preserve">Capitolo XII – Le triangolazioni e la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Si distinguono, come prescritto, quattro gradi di relazione fra l'azione diplomatica di Moro, l'azione della Santa Sede e la vicenda portoghese. Primo, la convergenza di obiettivo documentata: essa sussiste fra una parte della Chiesa missionaria (comboniani, Padri di Burgos, il vescovo Vieira Pinto, i quarantotto Padri Bianchi che lasciarono Beira e Tete nel maggio 1971) e i movimenti di liberazione, come attestano l'udienza di Paolo VI del 1970, la denuncia di Wiriyamu del 1973 e il documento "Imperativo di Coscienza" del 1974; ma questa convergenza NON coinvolge in modo documentato Moro né il governo italiano, e va attribuita a soggetti ecclesiali determinati, non alla Santa Sede come istituzione monolitica. Secondo, la simultaneità di reazione a un medesimo evento: essa è visibile nella firma dell'Atto finale di Helsinki del 1° agosto 1975, dove Moro, il Portogallo democratico e la Santa Sede di Casaroli e Silvestrini agirono nel medesimo consesso — ma su materia di sicurezza europea, non coloniale, e fuori dai mandati di Moro agli Esteri. Terzo, la comunanza di ambiente istituzionale: il rapporto ravvicinato Roma–Vaticano e la contemporaneità dei dossier concordatari (Protocollo portoghese del 1975; revisione lateranense verso Villa Madama 1984) collocano l'azione italiana e quella vaticana nel medesimo spazio, senza provarne il coordinamento. Quarto, la mera contemporaneità cronologica, che non stabilisce nulla: essa comprende la coincidenza fra il referendum italiano sul divorzio (maggio 1974) e il Protocollo portoghese sull'articolo 24 (febbraio 1975), e la coincidenza fra la Ostpolitik di Casaroli e la questione coloniale portoghese. Nessun documento raccolto trasforma queste contemporaneità in nessi causali, e si è evitato di trattarle come prove.</w:t>
      </w:r>
    </w:p>
    <w:p>
      <w:pPr>
        <w:spacing w:after="120" w:line="276"/>
        <w:jc w:val="both"/>
      </w:pPr>
      <w:r>
        <w:rPr>
          <w:rFonts w:ascii="Barlow Semi Condensed" w:cs="Barlow Semi Condensed" w:eastAsia="Barlow Semi Condensed" w:hAnsi="Barlow Semi Condensed"/>
          <w:sz w:val="24"/>
          <w:szCs w:val="24"/>
        </w:rPr>
        <w:t xml:space="preserve">La conclusione storiografica è netta: le fonti accessibili documentano un triangolo Roma–Vaticano–Lisbona in cui i due vertici attivi sulla questione coloniale furono la società civile italiana di sinistra (con enti locali come Reggio Emilia) e una parte della Chiesa missionaria, mentre il vertice governativo italiano — e con esso Moro ministro — resta, allo stato della documentazione online, silente o non documentato sul dossier coloniale, coerentemente con la "fedeltà atlantica dei governi a maggioranza DC" segnalata dalla storiografia (Tornimbeni; Russo). Ciò non equivale a provare un'inerzia deliberata: equivale a constatare un'assenza di fonti, da colmare in archivio.</w:t>
      </w:r>
    </w:p>
    <w:p>
      <w:pPr>
        <w:spacing w:after="120" w:line="276"/>
        <w:jc w:val="both"/>
      </w:pPr>
      <w:r>
        <w:rPr>
          <w:rFonts w:ascii="Barlow Semi Condensed" w:cs="Barlow Semi Condensed" w:eastAsia="Barlow Semi Condensed" w:hAnsi="Barlow Semi Condensed"/>
          <w:sz w:val="24"/>
          <w:szCs w:val="24"/>
        </w:rPr>
        <w:t xml:space="preserve">La tavola discorsiva delle acquisizioni necessarie e non conseguite, ordinate per rendimento atteso, è la seguente. Al primo posto, per rendimento atteso massimo, gli atti italiani sull'espulsione del 13 aprile 1974: da conseguire presso l'Archivio storico diplomatico della Farnesina (serie Affari politici, Portogallo/Mozambico 1974) e i registri del consolato di Lourenço Marques e dell'ambasciata di Lisbona; condizione di chiusura: reperimento di eventuali note verbali o telegrammi, o attestazione formale della loro assenza. Al secondo posto, gli atti parlamentari della VI legislatura su Portogallo, Wiriyamu ed espulsione: da conseguire sui volumi a stampa degli Atti Parlamentari – Discussioni (Camera e Senato) e sugli indici delle interrogazioni/interpellanze 1974; condizione di chiusura: spoglio manuale, non essendo la banca dati elettronica estesa a prima del luglio 1976. Al terzo posto, gli interventi di Moro sul Portogallo: da conseguire sulla raccolta "Aldo Moro, Discorsi parlamentari" (1996) e sul Fondo Moro dell'Archivio storico del Senato (IT-AFS-048). Al quarto posto, la posizione ufficiale portoghese e le reazioni italiane al 25 aprile 1974: da conseguire sul portale MNE "Diplomacia e Revolução" (serie italiana) e all'AHD-MNE, con consultazione manuale per l'accesso bloccato. Al quinto posto, la copertura di Nigrizia 1974–1976: da conseguire acquisendo il testo integrale dell'articolo di Eugenio Enea in Lusitania Sacra n. 51 (2025) e le annate di Nigrizia presso l'Archivio Comboniano di Roma. Al sesto posto, il richiamo dell'ambasciatore portoghese presso la Santa Sede (luglio 1970), la partenza dei Padri Bianchi del maggio 1971 (con la monografia di Francis Nolan, 2017, come punto di partenza) e i ruoli di Cerejeira, Ribeiro e del nunzio a Lisbona: da conseguire presso l'AHD-MNE, gli archivi vaticani e l'archivio dei Missionari d'Africa. Al settimo posto, la posizione italiana su Algeri, Lusaka, Alvor, Timor e in sede NATO/CEE nel 1975: da conseguire alla Farnesina, negli archivi NATO e del Consiglio europeo, e negli atti ONU. Ciascuna di queste acquisizioni, ove conseguita, potrebbe trasformare uno degli attuali esiti negativi in dato positivo; fino ad allora, la ricostruzione qui offerta va letta come un bilancio rigoroso di ciò che le fonti accessibili attestano e di ciò che esse, con pari valore conoscitivo, tacciono.</w:t>
      </w:r>
    </w:p>
    <w:p>
      <w:pPr>
        <w:pStyle w:val="Heading2"/>
        <w:spacing w:after="100" w:before="200"/>
      </w:pPr>
      <w:r>
        <w:rPr>
          <w:rFonts w:ascii="Barlow Semi Condensed" w:cs="Barlow Semi Condensed" w:eastAsia="Barlow Semi Condensed" w:hAnsi="Barlow Semi Condensed"/>
          <w:sz w:val="24"/>
          <w:szCs w:val="24"/>
        </w:rPr>
        <w:t xml:space="preserve">Recommendations</w:t>
      </w:r>
    </w:p>
    <w:p>
      <w:pPr>
        <w:spacing w:after="120" w:line="276"/>
        <w:jc w:val="both"/>
      </w:pPr>
      <w:r>
        <w:rPr>
          <w:rFonts w:ascii="Barlow Semi Condensed" w:cs="Barlow Semi Condensed" w:eastAsia="Barlow Semi Condensed" w:hAnsi="Barlow Semi Condensed"/>
          <w:sz w:val="24"/>
          <w:szCs w:val="24"/>
        </w:rPr>
        <w:t xml:space="preserve">Si raccomanda, in fase primaria, di aprire due fronti d'archivio prioritari: l'Archivio storico diplomatico della Farnesina per le serie Affari politici Portogallo e Mozambico 1974, e l'Archivio Comboniano di Roma per le testimonianze degli espulsi e le annate di Nigrizia; la soglia che modificherebbe le conclusioni è il reperimento di una qualsiasi nota consolare o diplomatica italiana sull'espulsione del 13 aprile 1974. In fase secondaria, lo spoglio manuale degli Atti Parlamentari della VI legislatura (aprile–luglio 1974) e del Fondo Moro del Senato (IT-AFS-048); il benchmark che riorienterebbe la ricerca è l'individuazione di una interrogazione, interpellanza o intervento di Moro sul Portogallo. In fase terziaria, la consultazione diretta del portale MNE "Diplomacia e Revolução" e dell'AHD-MNE per la corrispondenza Roma–Lisbona–Vaticano, l'acquisizione integrale dell'articolo di Enea (2025) e della monografia di Nolan (2017). Ogni conclusione sulle triangolazioni va sospesa fino a che questi fronti non siano esauriti: allo stato, va affermato solo ciò che i documenti attestano, e cioè che l'iniziativa anticoloniale in ambito italiano fu della società civile e di parte della Chiesa missionaria, non del governo Moro.</w:t>
      </w:r>
    </w:p>
    <w:p>
      <w:pPr>
        <w:pStyle w:val="Heading2"/>
        <w:spacing w:after="100" w:before="200"/>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Molte fonti qui utilizzate sono divulgative o istituzionali online e non sostituiscono la consultazione archivistica; le stime delle vittime di Wiriyamu divergono (150–400) e sono state riportate senza sceglierne una; la posizione ufficiale portoghese di negazione è riportata con il suo statuto di posizione interessata; gli esiti negativi derivano in parte da limiti di accessibilità (banca dati parlamentare posteriore al 1976; blocchi all'accesso automatizzato di alcuni portali) e non equivalgono a prova di inesistenza; le date e i numeri dell'espulsione dei comboniani (11 vs 13; 12/13/14 aprile) e della conferenza reggiana del 1973 (23–26 vs 24–25 marzo) divergono fra le fonti e sono state segnalate come tali; sui viventi si sono riportati solo fatti pubblici documentati, senza inferenze associative; il dossier Aginter Press è dichiarato Stato Zero; le fonti escluse dal committente (l'enciclopedia collaborativa Grokipedia e il quotidiano il Manifesto) non sono state utilizzate come fonti citate.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Portogallo e Santa Sede 1969-1974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 6.427 parole in 5 sezioni; la più ampia è §3 Details, con 5.802.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 39 indirizzi di fonte citati, addensati in 1 sezione su 5.</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VII. Grecia e Opus Dei 1969-1985</w:t>
      </w:r>
    </w:p>
    <w:p>
      <w:pPr>
        <w:spacing w:after="120" w:line="276"/>
        <w:jc w:val="both"/>
      </w:pPr>
      <w:r>
        <w:rPr>
          <w:rFonts w:ascii="Barlow Semi Condensed" w:cs="Barlow Semi Condensed" w:eastAsia="Barlow Semi Condensed" w:hAnsi="Barlow Semi Condensed"/>
          <w:sz w:val="24"/>
          <w:szCs w:val="24"/>
        </w:rPr>
        <w:t xml:space="preserve">and# ALDO MORO, LA GRECIA E L'OPUS DEI (1969–1985): TRE OGGETTI E LE LORO TRIANGOLAZIONI. RICOGNIZIONE STORIOGRAFICA E ARCHIVISTICA</w:t>
      </w:r>
    </w:p>
    <w:p>
      <w:pPr>
        <w:pStyle w:val="Heading2"/>
        <w:spacing w:after="100" w:before="200"/>
      </w:pPr>
      <w:r>
        <w:rPr>
          <w:rFonts w:ascii="Barlow Semi Condensed" w:cs="Barlow Semi Condensed" w:eastAsia="Barlow Semi Condensed" w:hAnsi="Barlow Semi Condensed"/>
          <w:sz w:val="24"/>
          <w:szCs w:val="24"/>
        </w:rPr>
        <w:t xml:space="preserve">CAPITOLO I — IMPIANTO, METODO E PREVISIONE DICHIARATA</w:t>
      </w:r>
    </w:p>
    <w:p>
      <w:pPr>
        <w:spacing w:after="120" w:line="276"/>
        <w:jc w:val="both"/>
      </w:pPr>
      <w:r>
        <w:rPr>
          <w:rFonts w:ascii="Barlow Semi Condensed" w:cs="Barlow Semi Condensed" w:eastAsia="Barlow Semi Condensed" w:hAnsi="Barlow Semi Condensed"/>
          <w:sz w:val="24"/>
          <w:szCs w:val="24"/>
        </w:rPr>
        <w:t xml:space="preserve">Questa ricognizione tratta tre oggetti distinti e le loro possibili triangolazioni. Il primo è l'attività di Aldo Moro come ministro degli Affari Esteri della Repubblica Italiana nei due mandati compresi fra l'agosto 1969 e il novembre 1974, in rapporto alla Grecia. Il secondo è l'eventuale presenza dell'Opus Dei in Grecia come soggetto storico nel periodo 1928-1985. Il terzo sono le triangolazioni fra i due, per via diretta o mediata dalla Santa Sede, dal Patriarcato ecumenico di Costantinopoli e dalla Chiesa ortodossa di Grecia, e il confronto con i casi iberici già studiati. Il metodo è quello delle ricognizioni anteriori: per ogni affermazione si indica la fonte e la sua natura; si dichiarano espressamente gli esiti negativi; si distingue ciò che il documento attesta da ciò che se ne inferisce; non si tratta l'appartenenza di una persona a una organizzazione come prova di una condotta dell'organizzazione, né la contemporaneità come prova di nesso; ove le fonti divergano su una data o un numero, si riporta la divergenza. Sono escluse dalle fonti citate, per disposizione del committente, l'enciclopedia collaborativa Grokipedia e il quotidiano il Manifesto.</w:t>
      </w:r>
    </w:p>
    <w:p>
      <w:pPr>
        <w:spacing w:after="120" w:line="276"/>
        <w:jc w:val="both"/>
      </w:pPr>
      <w:r>
        <w:rPr>
          <w:rFonts w:ascii="Barlow Semi Condensed" w:cs="Barlow Semi Condensed" w:eastAsia="Barlow Semi Condensed" w:hAnsi="Barlow Semi Condensed"/>
          <w:sz w:val="24"/>
          <w:szCs w:val="24"/>
        </w:rPr>
        <w:t xml:space="preserve">La previsione, dichiarata in anticipo perché il suo esito è esso stesso un risultato, è la seguente: chi scrive prevede che l'asse dell'Opus Dei in Grecia risulti quasi o del tutto vuoto per ragioni demografico-religiose, essendo la Grecia a maggioranza ortodossa, i cattolici di rito latino una minoranza esigua e la Chiesa ortodossa titolare di una posizione prevalente riconosciuta dalla Costituzione. Come si vedrà al Capitolo IX, la previsione risulta verificata. La conseguenza analitica che se ne trae è che la presenza dell'Opus Dei nei Paesi mediterranei correla con la maggioranza cattolica e non con la natura autoritaria del regime, il che spiega per contrasto la consistenza dei casi spagnolo e portoghese già studiati e la vacuità del caso greco, nonostante la Grecia abbia conosciuto, come Spagna e Portogallo, una dittatura di destra nello stesso torno di anni.</w:t>
      </w:r>
    </w:p>
    <w:p>
      <w:pPr>
        <w:spacing w:after="120" w:line="276"/>
        <w:jc w:val="both"/>
      </w:pPr>
      <w:r>
        <w:rPr>
          <w:rFonts w:ascii="Barlow Semi Condensed" w:cs="Barlow Semi Condensed" w:eastAsia="Barlow Semi Condensed" w:hAnsi="Barlow Semi Condensed"/>
          <w:sz w:val="24"/>
          <w:szCs w:val="24"/>
        </w:rPr>
        <w:t xml:space="preserve">Una precisazione sui mandati moroteani. Le fonti ufficiali del Ministero degli Affari Esteri collocano Moro alla Farnesina «dal 1969 al 1974» in modo ininterrotto attraverso il II e III governo Rumor, il governo Colombo, il I governo Andreotti e di nuovo il IV e V governo Rumor. La scheda biografica del Ministero e la voce SIUSA dell'amministrazione archivistica dei beni culturali attestano che egli fu «ininterrottamente ministro degli esteri dall'agosto 1969 fino al novembre 1974»; alcune schede enciclopediche riportano invece come estremi il maggio 1969 e il luglio 1972 per il primo tratto, divergenza che si segnala e che dipende dalla data assunta come </w:t>
      </w:r>
      <w:r>
        <w:rPr>
          <w:rFonts w:ascii="Barlow Semi Condensed" w:cs="Barlow Semi Condensed" w:eastAsia="Barlow Semi Condensed" w:hAnsi="Barlow Semi Condensed"/>
          <w:i/>
          <w:iCs/>
          <w:sz w:val="24"/>
          <w:szCs w:val="24"/>
        </w:rPr>
        <w:t xml:space="preserve">dies a quo</w:t>
      </w:r>
      <w:r>
        <w:rPr>
          <w:rFonts w:ascii="Barlow Semi Condensed" w:cs="Barlow Semi Condensed" w:eastAsia="Barlow Semi Condensed" w:hAnsi="Barlow Semi Condensed"/>
          <w:sz w:val="24"/>
          <w:szCs w:val="24"/>
        </w:rPr>
        <w:t xml:space="preserve"> (formazione del II governo Rumor o giuramento). Il committente ha fissato gli estremi al 5 agosto 1969 – 26 giugno 1972 e al 7 luglio 1973 – 23 novembre 1974: si adotta questa periodizzazione, segnalando la lieve difformità delle date nelle diverse fonti.</w:t>
      </w:r>
    </w:p>
    <w:p>
      <w:pPr>
        <w:pStyle w:val="Heading2"/>
        <w:spacing w:after="100" w:before="200"/>
      </w:pPr>
      <w:r>
        <w:rPr>
          <w:rFonts w:ascii="Barlow Semi Condensed" w:cs="Barlow Semi Condensed" w:eastAsia="Barlow Semi Condensed" w:hAnsi="Barlow Semi Condensed"/>
          <w:sz w:val="24"/>
          <w:szCs w:val="24"/>
        </w:rPr>
        <w:t xml:space="preserve">CAPITOLO II — MORO, LA GRECIA DEI COLONNELLI E L'ESPULSIONE DAL CONSIGLIO D'EUROPA (1969)</w:t>
      </w:r>
    </w:p>
    <w:p>
      <w:pPr>
        <w:spacing w:after="120" w:line="276"/>
        <w:jc w:val="both"/>
      </w:pPr>
      <w:r>
        <w:rPr>
          <w:rFonts w:ascii="Barlow Semi Condensed" w:cs="Barlow Semi Condensed" w:eastAsia="Barlow Semi Condensed" w:hAnsi="Barlow Semi Condensed"/>
          <w:sz w:val="24"/>
          <w:szCs w:val="24"/>
        </w:rPr>
        <w:t xml:space="preserve">L'atto più documentato e più rilevante del rapporto fra Moro ministro e la Grecia riguarda l'uscita della Grecia dal Consiglio d'Europa nel dicembre 1969. Il regime dei colonnelli, instaurato con il colpo di Stato del 21 aprile 1967, era stato posto sotto inchiesta dalla Commissione europea dei diritti dell'uomo su iniziativa dei governi di Danimarca, Norvegia, Svezia e Paesi Bassi, che nel settembre 1967 avevano denunciato le torture inflitte ai prigionieri politici. I lavori della Commissione si conclusero nel novembre 1969 e portarono la vicenda dinanzi agli organi di Strasburgo. La fonte primaria dirimente è la Risoluzione (69) 51 del Comitato dei Ministri del Consiglio d'Europa, adottata il 12 dicembre 1969 in materia di Grecia, e la successiva Risoluzione (70) 34, che registra come «il Governo di Grecia avendo notificato il ritiro il 12 dicembre 1969, esso ha effetto il 31 dicembre 1970». Il volume Foreign Relations of the United States 1969-1976, vol. XXIX (documento d.264), attesta parallelamente che «il 12 dicembre la Grecia si ritirò dall'appartenenza al Consiglio d'Europa dopo che una maggioranza degli Stati membri si era schierata a sostegno di una risoluzione tedesca». La seduta decisiva fu presieduta da Aldo Moro nella sua qualità di rappresentante italiano ai vertici dell'organizzazione. La saggistica in lingua italiana attesta concordemente il ruolo di Moro; la data della seduta oscilla, nelle fonti secondarie, fra il 12 e il 13 dicembre 1969, divergenza che qui si segnala: il portale accademico Storicamente (saggio di Cinzia Venturoli) indica «una seduta dell'Assemblea del Consiglio d'Europa presieduta il 13 dicembre 1969 da Aldo Moro»; il portale Storia e Futuro indica il 12 dicembre; la pubblicistica derivata dal volume di Dimitri Deliolanes </w:t>
      </w:r>
      <w:r>
        <w:rPr>
          <w:rFonts w:ascii="Barlow Semi Condensed" w:cs="Barlow Semi Condensed" w:eastAsia="Barlow Semi Condensed" w:hAnsi="Barlow Semi Condensed"/>
          <w:i/>
          <w:iCs/>
          <w:sz w:val="24"/>
          <w:szCs w:val="24"/>
        </w:rPr>
        <w:t xml:space="preserve">Colonnelli</w:t>
      </w:r>
      <w:r>
        <w:rPr>
          <w:rFonts w:ascii="Barlow Semi Condensed" w:cs="Barlow Semi Condensed" w:eastAsia="Barlow Semi Condensed" w:hAnsi="Barlow Semi Condensed"/>
          <w:sz w:val="24"/>
          <w:szCs w:val="24"/>
        </w:rPr>
        <w:t xml:space="preserve"> (Fandango, 2019) parla dell'«espulsione della Grecia dei colonnelli dal Consiglio d'Europa decretata da Moro il 12 dicembre 1969».</w:t>
      </w:r>
    </w:p>
    <w:p>
      <w:pPr>
        <w:spacing w:after="120" w:line="276"/>
        <w:jc w:val="both"/>
      </w:pPr>
      <w:r>
        <w:rPr>
          <w:rFonts w:ascii="Barlow Semi Condensed" w:cs="Barlow Semi Condensed" w:eastAsia="Barlow Semi Condensed" w:hAnsi="Barlow Semi Condensed"/>
          <w:sz w:val="24"/>
          <w:szCs w:val="24"/>
        </w:rPr>
        <w:t xml:space="preserve">Si impone una distinzione tecnica che le fonti divulgative comprimono e che la fonte primaria del Consiglio d'Europa consente di correggere: la Grecia, per prevenire il voto ormai certo, notificò essa stessa il proprio ritiro il 12 dicembre 1969, con effetto differito al 31 dicembre 1970, e denunciò la Convenzione. La formula «espulsione decretata da Moro» è dunque pubblicistica e va qualificata: la maggioranza degli Stati membri si schierò per l'iniziativa (di matrice tedesca) e Moro presiedeva l'organo che stava per deliberare; la Grecia si ritirò per non subire l'espulsione. Questo è quanto le fonti primarie e secondarie attestano; l'accertamento puntuale della condotta e delle parole di Moro in quella seduta richiederebbe lo spoglio degli atti del Consiglio d'Europa e della documentazione della Farnesina, non consultati in questa sede.</w:t>
      </w:r>
    </w:p>
    <w:p>
      <w:pPr>
        <w:spacing w:after="120" w:line="276"/>
        <w:jc w:val="both"/>
      </w:pPr>
      <w:r>
        <w:rPr>
          <w:rFonts w:ascii="Barlow Semi Condensed" w:cs="Barlow Semi Condensed" w:eastAsia="Barlow Semi Condensed" w:hAnsi="Barlow Semi Condensed"/>
          <w:sz w:val="24"/>
          <w:szCs w:val="24"/>
        </w:rPr>
        <w:t xml:space="preserve">Un elemento di contesto, da maneggiare con la cautela metodologica prescritta, è la tesi — sostenuta da Deliolanes — di una reazione vendicativa del regime greco all'iniziativa italiana: secondo tale ricostruzione, la scelta della data del 12 dicembre 1969 per la strage di piazza Fontana e per attentati contro le basi britanniche a Cipro non sarebbe stata casuale, coincidendo con la sconfitta diplomatica greca a Strasburgo. Si tratta di una tesi d'autore, esposta in un'opera di taglio giornalistico-documentario; la contemporaneità cronologica non costituisce di per sé prova di nesso causale, e la questione appartiene alla storiografia sulla strategia della tensione più che alla biografia diplomatica di Moro. La si registra come ipotesi circolante, non come fatto accertato dalle fonti primarie qui esaminate.</w:t>
      </w:r>
    </w:p>
    <w:p>
      <w:pPr>
        <w:pStyle w:val="Heading2"/>
        <w:spacing w:after="100" w:before="200"/>
      </w:pPr>
      <w:r>
        <w:rPr>
          <w:rFonts w:ascii="Barlow Semi Condensed" w:cs="Barlow Semi Condensed" w:eastAsia="Barlow Semi Condensed" w:hAnsi="Barlow Semi Condensed"/>
          <w:sz w:val="24"/>
          <w:szCs w:val="24"/>
        </w:rPr>
        <w:t xml:space="preserve">CAPITOLO III — L'ITALIA E LA GRECIA DEI COLONNELLI (1969–1974): RAPPORTI BILATERALI, ASSOCIAZIONE CEE CONGELATA, RIFUGIATI</w:t>
      </w:r>
    </w:p>
    <w:p>
      <w:pPr>
        <w:spacing w:after="120" w:line="276"/>
        <w:jc w:val="both"/>
      </w:pPr>
      <w:r>
        <w:rPr>
          <w:rFonts w:ascii="Barlow Semi Condensed" w:cs="Barlow Semi Condensed" w:eastAsia="Barlow Semi Condensed" w:hAnsi="Barlow Semi Condensed"/>
          <w:sz w:val="24"/>
          <w:szCs w:val="24"/>
        </w:rPr>
        <w:t xml:space="preserve">Il quadro dei rapporti bilaterali italo-greci durante il settennio militare va ricostruito su tre piani. Sul piano dell'accoglienza dei rifugiati politici, le fonti enciclopediche attestano che «molti paesi dell'Europa occidentale, tra cui l'Italia, dettero asilo a profughi politici greci», mentre il regime raccolse simpatie nell'estrema destra italiana (Almirante ne giustificò l'avvento come dovuto a «necessità»). Sul piano dell'integrazione europea, l'Accordo di associazione fra la Grecia e la Comunità economica europea, firmato nel giugno 1961 sotto la premiership di Karamanlis, fu «congelato» dopo il colpo di Stato del 1967 e riattivato solo dopo il luglio 1974: lo attestano concordemente il portale CVCE e il Dizionario dell'Integrazione Europea (DIZIE), che documenta come, alla caduta del regime, il presidente della Commissione François-Xavier Ortoli inviò a Karamanlis un telegramma di congratulazioni e come Claude Cheysson, a nome della Commissione, avesse già prospettato la ripresa dell'associazione e l'apertura all'adesione in caso di ripristino delle istituzioni parlamentari.</w:t>
      </w:r>
    </w:p>
    <w:p>
      <w:pPr>
        <w:spacing w:after="120" w:line="276"/>
        <w:jc w:val="both"/>
      </w:pPr>
      <w:r>
        <w:rPr>
          <w:rFonts w:ascii="Barlow Semi Condensed" w:cs="Barlow Semi Condensed" w:eastAsia="Barlow Semi Condensed" w:hAnsi="Barlow Semi Condensed"/>
          <w:sz w:val="24"/>
          <w:szCs w:val="24"/>
        </w:rPr>
        <w:t xml:space="preserve">Sul piano più propriamente bilaterale, la documentazione reperita in questa ricognizione è scarsa e non consente di ricostruire una linea italiana specifica e attiva verso Atene distinta da quella europea collettiva. Questo è un primo, importante esito parzialmente negativo: mentre per il caso spagnolo le ricognizioni anteriori hanno accertato una intransigenza italiana maggiore di quella statunitense e vaticana verso Madrid, e per il caso portoghese una sostanziale assenza di atti verso Lisbona, per il caso greco la posizione italiana appare assorbita e mediata dalle sedi multilaterali (Consiglio d'Europa, CEE, poi NATO e ONU). L'iniziativa di Strasburgo del dicembre 1969 (Capitolo II) è l'unico atto italiano fortemente caratterizzato e individuabile. L'accertamento dell'esistenza di una politica bilaterale italiana autonoma verso la giunta richiederebbe lo spoglio della serie Grecia dell'Archivio Storico Diplomatico della Farnesina (Capitolo XI), non condotto in questa sede.</w:t>
      </w:r>
    </w:p>
    <w:p>
      <w:pPr>
        <w:spacing w:after="120" w:line="276"/>
        <w:jc w:val="both"/>
      </w:pPr>
      <w:r>
        <w:rPr>
          <w:rFonts w:ascii="Barlow Semi Condensed" w:cs="Barlow Semi Condensed" w:eastAsia="Barlow Semi Condensed" w:hAnsi="Barlow Semi Condensed"/>
          <w:sz w:val="24"/>
          <w:szCs w:val="24"/>
        </w:rPr>
        <w:t xml:space="preserve">Il confronto comparativo con i casi iberici, che le ricognizioni anteriori impongono di richiamare come sfondo, illumina proprio questa differenza di regime documentale. Il caso spagnolo dispone di un baricentro nell'appartenenza all'Opus Dei di alcuni ministri di Franco. Secondo il documento ufficiale dell'ente («Opus Dei, Saint Josemaría Escrivá, Franco and his Regime»), «su 116 ministri nominati da Franco negli 11 governi fra il 1939 e il 1975, otto furono membri dell'Opus Dei; uno degli otto morì tre mesi dopo la nomina, e altri quattro rimasero in carica solo durante un governo». A questo si aggiunge la figura di Gregorio López Bravo agli Esteri (ottobre 1969 – giugno 1973) e poi di Laureano López Rodó (dal giugno 1973), oltre al rapporto CIA sul gabinetto franchista e al caso MATESA del luglio 1969. Il caso portoghese ha il proprio baricentro nella lunga vicenda dell'insediamento dell'Opus Dei dal 5 febbraio 1945 e nella sorveglianza della PIDE-DGS. Il caso greco, come si vedrà, è privo di entrambi gli elementi: non vi è un insediamento dell'Opus Dei, e dunque non vi è alcun baricentro confessionale-organizzativo attorno a cui si sia addensata documentazione. Ne consegue che, a differenza di Madrid e Lisbona, ad Atene il rapporto italiano si gioca interamente sul terreno diplomatico-multilaterale, il che è a sua volta un risultato analitico.</w:t>
      </w:r>
    </w:p>
    <w:p>
      <w:pPr>
        <w:pStyle w:val="Heading2"/>
        <w:spacing w:after="100" w:before="200"/>
      </w:pPr>
      <w:r>
        <w:rPr>
          <w:rFonts w:ascii="Barlow Semi Condensed" w:cs="Barlow Semi Condensed" w:eastAsia="Barlow Semi Condensed" w:hAnsi="Barlow Semi Condensed"/>
          <w:sz w:val="24"/>
          <w:szCs w:val="24"/>
        </w:rPr>
        <w:t xml:space="preserve">CAPITOLO IV — LA CRISI DI CIPRO DEL 1974 E LA POSIZIONE ITALIANA</w:t>
      </w:r>
    </w:p>
    <w:p>
      <w:pPr>
        <w:spacing w:after="120" w:line="276"/>
        <w:jc w:val="both"/>
      </w:pPr>
      <w:r>
        <w:rPr>
          <w:rFonts w:ascii="Barlow Semi Condensed" w:cs="Barlow Semi Condensed" w:eastAsia="Barlow Semi Condensed" w:hAnsi="Barlow Semi Condensed"/>
          <w:sz w:val="24"/>
          <w:szCs w:val="24"/>
        </w:rPr>
        <w:t xml:space="preserve">La sequenza cipriota del 1974 è documentata con precisione nelle fonti primarie internazionali. Il colpo di Stato del 15 luglio 1974 a Nicosia, condotto dalla Guardia nazionale cipriota inquadrata da ufficiali greci e sostenuto dalla giunta di Atene guidata da Dimitrios Ioannidis, rovesciò l'arcivescovo e presidente Makarios III. Il 20 luglio 1974 la Turchia intervenne militarmente, appellandosi al Trattato di garanzia di Zurigo-Londra del 1959-1960: Camera (https://dati.camera.it/ocd/aic.rdf/aic4_03754_16) l'operazione è denominata dalla Turchia «operazione di pace» e dalla comunità internazionale e dalla parte greca «invasione», divergenza di denominazione che qui si registra come prescritto. La giunta militare greca crollò Wikipedia (https://it.wikipedia.org/wiki/Questione_di_Cipro) il 23 luglio 1974 e Konstantinos Karamanlis rientrò dall'esilio parigino per formare un governo civile. Una seconda offensiva turca il 14 agosto 1974 portò all'occupazione di una porzione dell'isola variamente stimata: circa il 36% secondo la voce enciclopedica italiana Wikipedia (https://it.wikipedia.org/wiki/Questione_di_Cipro) e il committente, il «northern forty per cent» (circa il 40%) secondo il volume FRUS 1969-1976 vol. XXX (documento d.194), U.S. Department of State (https://history.state.gov/historicaldocuments/frus1969-76v30/d194) il 38% secondo altre fonti. Anche le stime dei profughi divergono, e la divergenza va riportata: circa 150.000 persone (più di un quarto della popolazione totale di Cipro e un terzo della popolazione greco-cipriota) furono sfollate dalla parte settentrionale, mentre circa 60.000 turco-ciprioti (pari a metà della popolazione turco-cipriota) si trasferirono dal sud al nord; il Governo di Cipro e le fonti dell'Internal Displacement Monitoring Centre indicano fino a 162.000 greco-ciprioti sfollati. Il cessate il fuoco del 16 agosto 1974 divenne la Linea Verde delle Nazioni Unite, Paese Italia Press (https://www.paeseitaliapress.it/esteri/2025/08/27/scudo-inter-etnico-o-limite-alla-guerra-il-ruolo-delle-forze-di-pace-onu-a-cipro/) vigilata da UNFICYP.</w:t>
      </w:r>
    </w:p>
    <w:p>
      <w:pPr>
        <w:spacing w:after="120" w:line="276"/>
        <w:jc w:val="both"/>
      </w:pPr>
      <w:r>
        <w:rPr>
          <w:rFonts w:ascii="Barlow Semi Condensed" w:cs="Barlow Semi Condensed" w:eastAsia="Barlow Semi Condensed" w:hAnsi="Barlow Semi Condensed"/>
          <w:sz w:val="24"/>
          <w:szCs w:val="24"/>
        </w:rPr>
        <w:t xml:space="preserve">I negoziati di Ginevra si svolsero in due fasi: la Dichiarazione di Ginevra del 30 luglio 1974, firmata dai ministri degli Esteri di Grecia, Turchia e Regno Unito quali potenze garanti, dopo trattative tenutesi dal 25 al 30 luglio, e la seconda tornata a partire dall'8 agosto 1974, con la partecipazione dei rappresentanti delle due comunità cipriote. Le fonti primarie disponibili (documenti del Press and Information Office cipriota e di UNFICYP; volume FRUS vol. XXX) confermano che il formato negoziale fu tripartito (Grecia, Turchia, Regno Unito), fondato sulla risoluzione 353 del Consiglio di Sicurezza. L'Italia non figura fra le potenze garanti e non prese parte diretta ai negoziati di Ginevra: questo è un esito che va dichiarato con nettezza. La ricerca di un ruolo italiano diretto nella mediazione cipriota dà esito negativo nelle fonti primarie internazionali reperite; l'eventuale attività italiana si collocò sul piano comunitario e delle Nazioni Unite, non su quello del negoziato garante.</w:t>
      </w:r>
    </w:p>
    <w:p>
      <w:pPr>
        <w:spacing w:after="120" w:line="276"/>
        <w:jc w:val="both"/>
      </w:pPr>
      <w:r>
        <w:rPr>
          <w:rFonts w:ascii="Barlow Semi Condensed" w:cs="Barlow Semi Condensed" w:eastAsia="Barlow Semi Condensed" w:hAnsi="Barlow Semi Condensed"/>
          <w:sz w:val="24"/>
          <w:szCs w:val="24"/>
        </w:rPr>
        <w:t xml:space="preserve">Quanto alla posizione ufficiale del governo italiano e agli atti di Moro — che nell'estate 1974 era ministro degli Esteri nel V governo Rumor fino al 23 novembre 1974, e poi presidente del Consiglio — la documentazione reperita in questa ricognizione non contiene dichiarazioni testuali di Moro su Cipro nei mesi di luglio-novembre 1974. Si tratta di un esito negativo importante, la cui sede di accertamento è duplice: i resoconti stenografici della Camera e del Senato della sesta legislatura (non coperti dalla banca dati del sindacato ispettivo, che parte solo dalla settima legislatura, cioè dal 5 luglio 1976, come già accertato dalle ricognizioni anteriori) e la serie Cipro dell'Archivio Storico Diplomatico. Le fonti attestano che nel Mediterraneo la linea di Moro era improntata a una politica filoaraba e a una vocazione mediatrice che privilegiava la stabilità dell'area (I. Garzia, «Il Mediterraneo nel pensiero politico di Aldo Moro»), ma non consentono di trasporre automaticamente questa impostazione in atti specifici sulla crisi cipriota. La contemporaneità della crisi cipriota con l'attentato all'Italicus (4 agosto 1974) e con la fase più acuta della crisi politica interna italiana va registrata come mera contemporaneità, non come nesso.</w:t>
      </w:r>
    </w:p>
    <w:p>
      <w:pPr>
        <w:pStyle w:val="Heading2"/>
        <w:spacing w:after="100" w:before="200"/>
      </w:pPr>
      <w:r>
        <w:rPr>
          <w:rFonts w:ascii="Barlow Semi Condensed" w:cs="Barlow Semi Condensed" w:eastAsia="Barlow Semi Condensed" w:hAnsi="Barlow Semi Condensed"/>
          <w:sz w:val="24"/>
          <w:szCs w:val="24"/>
        </w:rPr>
        <w:t xml:space="preserve">CAPITOLO V — LA GRECIA, LA NATO E LA POSIZIONE ITALIANA (AGOSTO 1974)</w:t>
      </w:r>
    </w:p>
    <w:p>
      <w:pPr>
        <w:spacing w:after="120" w:line="276"/>
        <w:jc w:val="both"/>
      </w:pPr>
      <w:r>
        <w:rPr>
          <w:rFonts w:ascii="Barlow Semi Condensed" w:cs="Barlow Semi Condensed" w:eastAsia="Barlow Semi Condensed" w:hAnsi="Barlow Semi Condensed"/>
          <w:sz w:val="24"/>
          <w:szCs w:val="24"/>
        </w:rPr>
        <w:t xml:space="preserve">La decisione di Karamanlis di ritirare le forze armate greche dalla struttura militare integrata della NATO è documentata da fonti primarie di prim'ordine. Il sito ufficiale della NATO reca la notizia «Withdrawal of Greek forces from integrated military structure of NATO» datata 14 agosto 1974. Il volume FRUS 1969-1976 vol. XXX (documento d.25, telegramma della missione USA presso la NATO del 16 settembre 1974) attesta che «effective August 14, 1974, all units of the Greek Army, Navy and Air Force are withdrawn from assignment, commitment, or ear-marking to NATO», e che il rappresentante belga de Staercke notò come fosse «curioso» che la Grecia non avesse ritirato i propri rappresentanti dal Comitato Militare. La data varia nelle fonti secondarie: 14 agosto 1974 (NATO, FRUS), 17 agosto 1974 (portale CVCE), 4 agosto 1974 (rivista The Athenian); si segnala la divergenza. La ragione della decisione, concordemente attestata, fu la mancata prevenzione, da parte dell'Alleanza, dell'intervento turco a Cipro, percepita in Grecia come un tradimento.</w:t>
      </w:r>
    </w:p>
    <w:p>
      <w:pPr>
        <w:spacing w:after="120" w:line="276"/>
        <w:jc w:val="both"/>
      </w:pPr>
      <w:r>
        <w:rPr>
          <w:rFonts w:ascii="Barlow Semi Condensed" w:cs="Barlow Semi Condensed" w:eastAsia="Barlow Semi Condensed" w:hAnsi="Barlow Semi Condensed"/>
          <w:sz w:val="24"/>
          <w:szCs w:val="24"/>
        </w:rPr>
        <w:t xml:space="preserve">La posizione italiana su questa vicenda è documentata da una fonte primaria specifica e significativa. Il telegramma del Dipartimento di Stato alla missione USA presso la NATO del 30 agosto 1974 (FRUS vol. XXX, documento d.23) istruisce di «avviare discussioni bilaterali informali con il Segretario generale Luns e con alleati selezionati (Regno Unito, Repubblica Federale Tedesca, Italia e Belgio o Paesi Bassi) sulle implicazioni della decisione greca», specificando che la Francia andava esclusa da questo cerchio perché non membro del Defence Planning Committee. L'Italia figura dunque, nella documentazione statunitense, fra i quattro-cinque alleati principali con cui Washington intese concertare la risposta al ritiro greco. Questo è un dato accertato; ciò che il documento attesta è l'inclusione dell'Italia nel novero degli interlocutori privilegiati, non il contenuto della posizione italiana, che non è precisato nei documenti reperiti. L'accertamento del contenuto della posizione italiana richiederebbe la documentazione della Rappresentanza italiana presso la NATO e la serie corrispondente della Farnesina. La Grecia rientrò nella struttura militare integrata solo nell'ottobre 1980, sotto la premiership Rallis e con la mediazione del generale Bernard Rogers (SACEUR), come attestano fonti giornalistiche coeve.</w:t>
      </w:r>
    </w:p>
    <w:p>
      <w:pPr>
        <w:pStyle w:val="Heading2"/>
        <w:spacing w:after="100" w:before="200"/>
      </w:pPr>
      <w:r>
        <w:rPr>
          <w:rFonts w:ascii="Barlow Semi Condensed" w:cs="Barlow Semi Condensed" w:eastAsia="Barlow Semi Condensed" w:hAnsi="Barlow Semi Condensed"/>
          <w:sz w:val="24"/>
          <w:szCs w:val="24"/>
        </w:rPr>
        <w:t xml:space="preserve">CAPITOLO VI — LA CSCE, LA GRECIA, MORO E L'ATTO FINALE DI HELSINKI (1975)</w:t>
      </w:r>
    </w:p>
    <w:p>
      <w:pPr>
        <w:spacing w:after="120" w:line="276"/>
        <w:jc w:val="both"/>
      </w:pPr>
      <w:r>
        <w:rPr>
          <w:rFonts w:ascii="Barlow Semi Condensed" w:cs="Barlow Semi Condensed" w:eastAsia="Barlow Semi Condensed" w:hAnsi="Barlow Semi Condensed"/>
          <w:sz w:val="24"/>
          <w:szCs w:val="24"/>
        </w:rPr>
        <w:t xml:space="preserve">La Conferenza sulla sicurezza e la cooperazione in Europa si articolò in tre fasi: l'apertura a Helsinki (3 luglio 1973), la fase negoziale di Ginevra (18 settembre 1973 – 21 luglio 1975) e la firma solenne dell'Atto finale a Helsinki il 1° agosto 1975. Il testo dell'Atto finale reca fra i firmatari la Grecia, la Santa Sede e l'Italia, insieme agli altri trentacinque Stati partecipanti. La Grecia partecipò dunque a tutte le fasi; il mutamento della sua delegazione dopo la caduta della giunta nel luglio 1974 è deducibile dalla successione dei governi (la fase di Ginevra e la firma finale caddero interamente sotto il governo democratico di Karamanlis), ma la documentazione puntuale sulla composizione della delegazione greca non è stata reperita in questa sede: la sede di accertamento è il registro completo dei circa 600 delegati conservato presso il Centro di documentazione OSCE di Praga, richiamato dallo studio dell'ICDS.</w:t>
      </w:r>
    </w:p>
    <w:p>
      <w:pPr>
        <w:spacing w:after="120" w:line="276"/>
        <w:jc w:val="both"/>
      </w:pPr>
      <w:r>
        <w:rPr>
          <w:rFonts w:ascii="Barlow Semi Condensed" w:cs="Barlow Semi Condensed" w:eastAsia="Barlow Semi Condensed" w:hAnsi="Barlow Semi Condensed"/>
          <w:sz w:val="24"/>
          <w:szCs w:val="24"/>
        </w:rPr>
        <w:t xml:space="preserve">Sul versante italiano, l'Atto finale fu sottoscritto da Aldo Moro nella duplice qualità di presidente del Consiglio dei ministri e di presidente di turno del Consiglio delle Comunità europee (l'Italia deteneva la presidenza di turno della CEE nel secondo semestre 1975). La documentazione FRUS (vol. XXXIX, documento d.334, telegramma di Kissinger del 2 agosto 1975) conferma che l'Atto finale fu firmato «da trentacinque capi di Stato o di governo» e descrive la cerimonia conclusiva. Il rapporto fra la questione cipriota e la CSCE emerge da questo stesso documento: Cipro fece circolare una dichiarazione interpretativa formale in risposta alla riserva turca sulla rappresentanza cipriota, affermando che la partecipazione alla CSCE si fondava sulla piena eguaglianza degli Stati e che la riserva turca era «priva di effetto». La questione greco-turca e cipriota fu dunque presente, sia pure marginalmente, anche al tavolo di Helsinki.</w:t>
      </w:r>
    </w:p>
    <w:p>
      <w:pPr>
        <w:spacing w:after="120" w:line="276"/>
        <w:jc w:val="both"/>
      </w:pPr>
      <w:r>
        <w:rPr>
          <w:rFonts w:ascii="Barlow Semi Condensed" w:cs="Barlow Semi Condensed" w:eastAsia="Barlow Semi Condensed" w:hAnsi="Barlow Semi Condensed"/>
          <w:sz w:val="24"/>
          <w:szCs w:val="24"/>
        </w:rPr>
        <w:t xml:space="preserve">Quanto alla posizione greca sui tre «cesti» (sicurezza; cooperazione economica, scientifica e ambientale; diritti umani e dimensione umana), la documentazione specifica non è stata reperita; si registra come esito negativo la cui sede di accertamento sono gli atti della CSCE e le memorie dei protagonisti (fra cui, per il versante italiano, le memorie di Luigi Vittorio Ferraris). È invece documentato il ruolo della Santa Sede, trattato al Capitolo VIII.</w:t>
      </w:r>
    </w:p>
    <w:p>
      <w:pPr>
        <w:pStyle w:val="Heading2"/>
        <w:spacing w:after="100" w:before="200"/>
      </w:pPr>
      <w:r>
        <w:rPr>
          <w:rFonts w:ascii="Barlow Semi Condensed" w:cs="Barlow Semi Condensed" w:eastAsia="Barlow Semi Condensed" w:hAnsi="Barlow Semi Condensed"/>
          <w:sz w:val="24"/>
          <w:szCs w:val="24"/>
        </w:rPr>
        <w:t xml:space="preserve">CAPITOLO VII — LA TRANSIZIONE GRECA, L'ADESIONE EUROPEA E IL CONFRONTO IBERICO</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i/>
          <w:iCs/>
          <w:sz w:val="24"/>
          <w:szCs w:val="24"/>
        </w:rPr>
        <w:t xml:space="preserve">metapolitefsi</w:t>
      </w:r>
      <w:r>
        <w:rPr>
          <w:rFonts w:ascii="Barlow Semi Condensed" w:cs="Barlow Semi Condensed" w:eastAsia="Barlow Semi Condensed" w:hAnsi="Barlow Semi Condensed"/>
          <w:sz w:val="24"/>
          <w:szCs w:val="24"/>
        </w:rPr>
        <w:t xml:space="preserve">, la transizione greca alla democrazia, prese avvio con il ritorno di Karamanlis il 23-24 luglio 1974. Le tappe sono documentate: le elezioni del novembre 1974, vinte da Nuova Democrazia; il referendum sulla forma di governo dell'8 dicembre 1974, che abolì la monarchia. La fonte statistica (Nohlen e Stöver) e la stampa coeva (To Vima, 10 dicembre 1974) precisano l'esito: con un'affluenza del 75,58% degli aventi diritto, il 69,18% votò a favore della repubblica (3.245.111 voti) contro il 30,82% per la monarchia (1.445.875 voti); il committente indicava il 69,17%, e la lieve difformità si segnala. Seguirono la nuova Costituzione repubblicana promulgata nel giugno 1975; la domanda greca di adesione alle Comunità europee, sulla cui data le fonti divergono fra il 12 giugno 1975 (portale CVCE, Greek News Agenda, Atlantic Council) e il 12 luglio 1975 (Ministero degli Esteri ellenico, voce enciclopedica sull'allargamento del 1981): la divergenza si segnala. Seguirono l'avvio dei negoziati nel luglio 1976, la firma del Trattato di adesione ad Atene (Zappeion) il 28 maggio 1979, la ratifica del Parlamento greco il 28 giugno 1979 e l'ingresso effettivo il 1° gennaio 1981.</w:t>
      </w:r>
    </w:p>
    <w:p>
      <w:pPr>
        <w:spacing w:after="120" w:line="276"/>
        <w:jc w:val="both"/>
      </w:pPr>
      <w:r>
        <w:rPr>
          <w:rFonts w:ascii="Barlow Semi Condensed" w:cs="Barlow Semi Condensed" w:eastAsia="Barlow Semi Condensed" w:hAnsi="Barlow Semi Condensed"/>
          <w:sz w:val="24"/>
          <w:szCs w:val="24"/>
        </w:rPr>
        <w:t xml:space="preserve">Un punto merita segnalazione perché tocca la dialettica fra Commissione e governi: la Commissione, nel suo parere, propose una fase transitoria di pre-adesione prima della piena integrazione istituzionale; Karamanlis si appellò direttamente ai governi dei Nove — Francia e Germania in particolare — e la proposta della Commissione fu respinta. La posizione italiana specifica sulla domanda greca non è stata isolata nelle fonti reperite: si registra come esito negativo, la cui sede di accertamento è duplice (Farnesina e atti comunitari). Consta però, come dato di contesto generale, che l'Ambasciata d'Italia ad Atene descrive oggi i rapporti bilaterali come «speciali e forti» e nota l'orientamento greco tradizionalmente favorevole alle candidature italiane nelle organizzazioni internazionali. Esteri (https://ambatene.esteri.it/ambasciata_atene/it/i_rapporti_bilaterali/)</w:t>
      </w:r>
    </w:p>
    <w:p>
      <w:pPr>
        <w:spacing w:after="120" w:line="276"/>
        <w:jc w:val="both"/>
      </w:pPr>
      <w:r>
        <w:rPr>
          <w:rFonts w:ascii="Barlow Semi Condensed" w:cs="Barlow Semi Condensed" w:eastAsia="Barlow Semi Condensed" w:hAnsi="Barlow Semi Condensed"/>
          <w:sz w:val="24"/>
          <w:szCs w:val="24"/>
        </w:rPr>
        <w:t xml:space="preserve">Il confronto con l'adesione iberica del 1986 è illuminante e va richiamato come sfondo comparativo. Come nota il portale CVCE, i tre Paesi mediterranei — Grecia, Spagna, Portogallo — tornarono a governi civili fra il 1974 e il 1976, e per tutti e tre l'adesione alla CEE rappresentò «una prospettiva di ancoraggio democratico». La Grecia fu ammessa nel 1981, mentre Spagna e Portogallo dovettero attendere il 1986, in parte per l'iniziale opposizione francese (timore di annacquamento della Comunità). East Journal (https://www.eastjournal.net/archives/9505) L'accessione greca «cambiò il volto della Comunità rafforzandone il carattere mediterraneo e aggiungendovi un elemento balcanico e ortodosso». Questo elemento ortodosso è precisamente ciò che, sul piano confessionale, distingue il caso greco da quelli iberici e che al Capitolo IX si rivela decisivo per la vacuità dell'asse Opus Dei.</w:t>
      </w:r>
    </w:p>
    <w:p>
      <w:pPr>
        <w:pStyle w:val="Heading2"/>
        <w:spacing w:after="100" w:before="200"/>
      </w:pPr>
      <w:r>
        <w:rPr>
          <w:rFonts w:ascii="Barlow Semi Condensed" w:cs="Barlow Semi Condensed" w:eastAsia="Barlow Semi Condensed" w:hAnsi="Barlow Semi Condensed"/>
          <w:sz w:val="24"/>
          <w:szCs w:val="24"/>
        </w:rPr>
        <w:t xml:space="preserve">CAPITOLO VIII — LA SANTA SEDE, IL PATRIARCATO ECUMENICO E LA GRECIA (1969–1975)</w:t>
      </w:r>
    </w:p>
    <w:p>
      <w:pPr>
        <w:spacing w:after="120" w:line="276"/>
        <w:jc w:val="both"/>
      </w:pPr>
      <w:r>
        <w:rPr>
          <w:rFonts w:ascii="Barlow Semi Condensed" w:cs="Barlow Semi Condensed" w:eastAsia="Barlow Semi Condensed" w:hAnsi="Barlow Semi Condensed"/>
          <w:sz w:val="24"/>
          <w:szCs w:val="24"/>
        </w:rPr>
        <w:t xml:space="preserve">Il quadro dei rapporti fra la Santa Sede e il mondo ortodosso greco nel periodo va distinto su tre livelli: il rapporto con il Patriarcato ecumenico di Costantinopoli, il rapporto con la Chiesa ortodossa di Grecia e il rapporto diplomatico con lo Stato greco. Sul primo livello, il periodo è quello del disgelo ecumenico avviato dall'abbraccio fra Paolo VI e il patriarca ecumenico Atenagora I a Gerusalemme (5 gennaio 1964) e culminato nella Dichiarazione comune cattolico-ortodossa letta simultaneamente a Roma e al Fanar il 7 dicembre 1965, che cancellò dalla memoria della Chiesa le reciproche scomuniche del 1054. La Voce e il Tempo (https://vocetempo.it/sessantanni-fa-la-fine-delle-scomuniche-fra-cattolici-e-ortodossi/) Atenagora morì nel luglio 1972 e gli succedette Dimitrios I, sotto il cui patriarcato il dialogo proseguì (l'istituzione del dialogo teologico ufficiale sarà proclamata il 30 novembre 1979, durante la visita di Giovanni Paolo II a Dimitrios). Wikipedia (https://it.wikipedia.org/wiki/Dichiarazione_comune_cattolico-ortodossa_del_1965) Questi fatti sono attestati da fonti ecclesiastiche ed enciclopediche concordi.</w:t>
      </w:r>
    </w:p>
    <w:p>
      <w:pPr>
        <w:spacing w:after="120" w:line="276"/>
        <w:jc w:val="both"/>
      </w:pPr>
      <w:r>
        <w:rPr>
          <w:rFonts w:ascii="Barlow Semi Condensed" w:cs="Barlow Semi Condensed" w:eastAsia="Barlow Semi Condensed" w:hAnsi="Barlow Semi Condensed"/>
          <w:sz w:val="24"/>
          <w:szCs w:val="24"/>
        </w:rPr>
        <w:t xml:space="preserve">Sul terzo livello, quello diplomatico-statuale, il dato è netto e conferma la specificità greca: le relazioni diplomatiche fra la Grecia e la Santa Sede furono stabilite solo nel 1979 (secondo il Ministero degli Esteri ellenico e altre fonti) o nel 1980 (secondo la voce enciclopedica dedicata), divergenza che si segnala. La Santa Sede istituì immediatamente la Nunziatura apostolica ad Atene; l'ambasciatore greco risiedette dapprima a Parigi, dove era accreditato anche presso la Francia, e solo nel 1988 fu istituita un'ambasciata greca presso la Santa Sede a Roma. Il Ministero ellenico collega esplicitamente la decisione del 1979 alle aspirazioni greche di adesione alla Comunità europea, e registra il disagio del Santo Sinodo ortodosso di fronte al riconoscimento del Vaticano come Stato dotato di autorità secolare. Ne discende un dato di grande rilievo per la triangolazione: per l'intero arco del periodo qui studiato (1969-1975), e a fortiori per gli anni del regime dei colonnelli, non esistevano relazioni diplomatiche piene fra Atene e la Santa Sede. Questo esclude alla radice l'esistenza di un canale diplomatico bilaterale vaticano-greco su cui potesse innestarsi una qualsiasi triangolazione.</w:t>
      </w:r>
    </w:p>
    <w:p>
      <w:pPr>
        <w:spacing w:after="120" w:line="276"/>
        <w:jc w:val="both"/>
      </w:pPr>
      <w:r>
        <w:rPr>
          <w:rFonts w:ascii="Barlow Semi Condensed" w:cs="Barlow Semi Condensed" w:eastAsia="Barlow Semi Condensed" w:hAnsi="Barlow Semi Condensed"/>
          <w:sz w:val="24"/>
          <w:szCs w:val="24"/>
        </w:rPr>
        <w:t xml:space="preserve">Sulla partecipazione della Santa Sede alla CSCE, le fonti sono concordi e ricche. La Santa Sede partecipò alla Conferenza come membro a pieno titolo — circostanza che le fonti vaticane e la pubblicistica qualificano come un ritorno della diplomazia pontificia sulla scena multilaterale europea dopo il lungo eclissi seguito al Congresso di Vienna del 1815. La delegazione fu guidata da mons. Agostino Casaroli e da mons. Achille Silvestrini. Le fonti divergono lievemente sull'attribuzione dei ruoli: la rivista 30Giorni attesta che «mons. Agostino Casaroli, in qualità di delegato speciale di Paolo VI, firma a nome della Santa Sede l'Atto finale»; L'Osservatore Romano e SettimanaNews attribuiscono a Silvestrini il ruolo di capo-delegazione e negoziatore principale a Helsinki e Ginevra; la lettera di Paolo VI a Casaroli del 25 luglio 1975 conferma il mandato di quest'ultimo per la fase conclusiva. Il contributo più caratterizzante della Santa Sede fu la proposta, presentata da Silvestrini e accolta «come una bomba», di includere il principio della libertà religiosa fra i principi dell'Atto finale. Non è stato reperito, invece, alcun documento che colleghi la partecipazione vaticana alla CSCE con la specifica questione greca: si registra come esito negativo.</w:t>
      </w:r>
    </w:p>
    <w:p>
      <w:pPr>
        <w:spacing w:after="120" w:line="276"/>
        <w:jc w:val="both"/>
      </w:pPr>
      <w:r>
        <w:rPr>
          <w:rFonts w:ascii="Barlow Semi Condensed" w:cs="Barlow Semi Condensed" w:eastAsia="Barlow Semi Condensed" w:hAnsi="Barlow Semi Condensed"/>
          <w:sz w:val="24"/>
          <w:szCs w:val="24"/>
        </w:rPr>
        <w:t xml:space="preserve">Sul secondo livello, la posizione della Chiesa ortodossa di Grecia e dell'arcivescovo di Atene rispetto al regime militare e alla sua caduta, la documentazione reperita in questa ricognizione è insufficiente a fondare affermazioni puntuali. Si dichiara pertanto uno </w:t>
      </w:r>
      <w:r>
        <w:rPr>
          <w:rFonts w:ascii="Barlow Semi Condensed" w:cs="Barlow Semi Condensed" w:eastAsia="Barlow Semi Condensed" w:hAnsi="Barlow Semi Condensed"/>
          <w:b/>
          <w:bCs/>
          <w:sz w:val="24"/>
          <w:szCs w:val="24"/>
        </w:rPr>
        <w:t xml:space="preserve">Stato Zero parziale</w:t>
      </w:r>
      <w:r>
        <w:rPr>
          <w:rFonts w:ascii="Barlow Semi Condensed" w:cs="Barlow Semi Condensed" w:eastAsia="Barlow Semi Condensed" w:hAnsi="Barlow Semi Condensed"/>
          <w:sz w:val="24"/>
          <w:szCs w:val="24"/>
        </w:rPr>
        <w:t xml:space="preserve"> su questo punto: la sede di accertamento sono gli studi specialistici sulla Chiesa di Grecia sotto la giunta (segnatamente sulla deposizione dell'arcivescovo Ieronymos Kotsonis, insediato nel 1967 con l'appoggio del regime, e la successiva nomina di Serafeim nel 1974) e le fonti ortodosse greche, non consultate in questa sede.</w:t>
      </w:r>
    </w:p>
    <w:p>
      <w:pPr>
        <w:pStyle w:val="Heading2"/>
        <w:spacing w:after="100" w:before="200"/>
      </w:pPr>
      <w:r>
        <w:rPr>
          <w:rFonts w:ascii="Barlow Semi Condensed" w:cs="Barlow Semi Condensed" w:eastAsia="Barlow Semi Condensed" w:hAnsi="Barlow Semi Condensed"/>
          <w:sz w:val="24"/>
          <w:szCs w:val="24"/>
        </w:rPr>
        <w:t xml:space="preserve">CAPITOLO IX — L'OPUS DEI IN GRECIA: VERIFICA DELLA PREVISIONE E STATO ZERO DOCUMENTATO</w:t>
      </w:r>
    </w:p>
    <w:p>
      <w:pPr>
        <w:spacing w:after="120" w:line="276"/>
        <w:jc w:val="both"/>
      </w:pPr>
      <w:r>
        <w:rPr>
          <w:rFonts w:ascii="Barlow Semi Condensed" w:cs="Barlow Semi Condensed" w:eastAsia="Barlow Semi Condensed" w:hAnsi="Barlow Semi Condensed"/>
          <w:sz w:val="24"/>
          <w:szCs w:val="24"/>
        </w:rPr>
        <w:t xml:space="preserve">Questo è il capitolo in cui la previsione dichiarata al Capitolo I viene messa alla prova, e in cui essa risulta verificata. La fonte dirimente è la fonte ufficiale dell'ente. L'Opus Dei pubblica sul proprio sito ufficiale, nell'articolo «La storia dell'Opus Dei», l'elenco intitolato «Data di inizio del lavoro stabile dell'Opus Dei nei vari Paesi». L'elenco, verificato integralmente, reca: 1945 Portogallo; 1946 Italia e Gran Bretagna; 1947 Francia e Irlanda; 1949 Messico e Stati Uniti; 1950 Cile e Argentina; 1951 Colombia e Venezuela; 1952 Germania; 1953 Guatemala e Perù; 1954 Ecuador; 1956 Uruguay e Svizzera; 1957 Brasile, Austria e Canada; 1958 Giappone, Kenya e Salvador; 1959 Costa Rica; 1960 Olanda; 1962 Paraguay; 1963 Australia; 1964 Filippine; 1965 Belgio e Nigeria; 1969 Portorico; 1978 Bolivia; 1980 Congo, Costa d'Avorio e Honduras; 1981 Hong Kong; 1982 Singapore e Trinidad-Tobago; 1984 Svezia; 1985 Taiwan; 1987 Finlandia; 1988 Camerun e Repubblica Dominicana; 1989 Macao, Nuova Zelanda e Polonia; 1990 Ungheria e Repubblica Ceca; 1992 Nicaragua; 1993 India e Israele; 1994 Lituania; 1996 Estonia, Slovacchia, Libano, Panama e Uganda; 1997 Kazakhistan; 1998 Sudafrica; 2003 Slovenia e Croazia; 2004 Lettonia; 2007 Russia; 2008 Indonesia; 2009 Romania e Corea del Sud; 2011 Sri Lanka. opusdei (https://opusdei.org/it-it/article/storia/) La Spagna, patria di fondazione (2 ottobre 1928), è indicata nel racconto fondativo. opusdei (https://opusdei.org/it-it/article/storia/) </w:t>
      </w:r>
      <w:r>
        <w:rPr>
          <w:rFonts w:ascii="Barlow Semi Condensed" w:cs="Barlow Semi Condensed" w:eastAsia="Barlow Semi Condensed" w:hAnsi="Barlow Semi Condensed"/>
          <w:b/>
          <w:bCs/>
          <w:sz w:val="24"/>
          <w:szCs w:val="24"/>
        </w:rPr>
        <w:t xml:space="preserve">La Grecia non compare in alcuna posizione, a nessun anno.</w:t>
      </w:r>
      <w:r>
        <w:rPr>
          <w:rFonts w:ascii="Barlow Semi Condensed" w:cs="Barlow Semi Condensed" w:eastAsia="Barlow Semi Condensed" w:hAnsi="Barlow Semi Condensed"/>
          <w:sz w:val="24"/>
          <w:szCs w:val="24"/>
        </w:rPr>
        <w:t xml:space="preserve"> Si segnala per completezza che questo elenco ufficiale data l'insediamento portoghese al 1945 (coerentemente con la prima visita di Escrivá del 5 febbraio 1945 sollecitata da suor Lúcia, come accertato dalle ricognizioni anteriori) e quello italiano e britannico al 1946.</w:t>
      </w:r>
    </w:p>
    <w:p>
      <w:pPr>
        <w:spacing w:after="120" w:line="276"/>
        <w:jc w:val="both"/>
      </w:pPr>
      <w:r>
        <w:rPr>
          <w:rFonts w:ascii="Barlow Semi Condensed" w:cs="Barlow Semi Condensed" w:eastAsia="Barlow Semi Condensed" w:hAnsi="Barlow Semi Condensed"/>
          <w:sz w:val="24"/>
          <w:szCs w:val="24"/>
        </w:rPr>
        <w:t xml:space="preserve">Il riscontro è confermato dal secondo documento ufficiale, l'articolo «Regional Circumscriptions of Opus Dei» (aggiornato al 4 giugno 2024), che elenca le ventitré circoscrizioni della Prelatura e i Paesi in esse compresi: opusdei (https://opusdei.org/en-us/article/regional-circumscriptions-opus-dei/) nessuna circoscrizione, e nessun raggruppamento mediterraneo o balcanico, include la Grecia. Va segnalata, per scrupolo e per prevenire l'errore, una circostanza che potrebbe trarre in inganno: entrambe le pagine di opusdei.org recano, nel selettore di lingua, la voce «Ελληνικά — EL · Ελλάδα». Si tratta esclusivamente di un'opzione di localizzazione linguistica del sito (l'ente offre contenuti in lingua greca), non di una dichiarazione di presenza apostolica stabile: la distinzione è metodologicamente essenziale e va tenuta ferma.</w:t>
      </w:r>
    </w:p>
    <w:p>
      <w:pPr>
        <w:spacing w:after="120" w:line="276"/>
        <w:jc w:val="both"/>
      </w:pPr>
      <w:r>
        <w:rPr>
          <w:rFonts w:ascii="Barlow Semi Condensed" w:cs="Barlow Semi Condensed" w:eastAsia="Barlow Semi Condensed" w:hAnsi="Barlow Semi Condensed"/>
          <w:sz w:val="24"/>
          <w:szCs w:val="24"/>
        </w:rPr>
        <w:t xml:space="preserve">Esiste un unico frammento che collega storicamente l'Opus Dei alla Grecia, e va riferito con la massima cautela e qualificato come non probante. Secondo una testimonianza di un ex membro (l'ex sacerdote Vladimir Felzmann, riportata in un'intervista giornalistica e ripresa in voci enciclopediche su Escrivá), Josemaría Escrivá e Álvaro del Portillo si sarebbero recati in Grecia nel 1967 «per vedere se fosse possibile portare l'Opus Dei nella Chiesa ortodossa greca», progetto che Escrivá avrebbe presto abbandonato come impraticabile. Wikipedia (https://en.wikipedia.org/wiki/Josemar%C3%ADa_Escriv%C3%A1) Si tratta di un'unica testimonianza di ex membro, controversa e contestata, relativa peraltro a un'idea esplorativa abbandonata: non attesta alcuna presenza stabilita e non muta l'esito. Esiste inoltre in greco un libello polemico intitolato «Opus Dei στην Ελλάδα» («Opus Dei in Grecia»), di taglio cospirazionista e anti-settario che confonde l'Opus Dei con movimenti laicali ortodossi greci (ΖΩΗ, ΣΩΤΗΡ): non è fonte attendibile e non documenta alcun insediamento reale.</w:t>
      </w:r>
    </w:p>
    <w:p>
      <w:pPr>
        <w:spacing w:after="120" w:line="276"/>
        <w:jc w:val="both"/>
      </w:pPr>
      <w:r>
        <w:rPr>
          <w:rFonts w:ascii="Barlow Semi Condensed" w:cs="Barlow Semi Condensed" w:eastAsia="Barlow Semi Condensed" w:hAnsi="Barlow Semi Condensed"/>
          <w:sz w:val="24"/>
          <w:szCs w:val="24"/>
        </w:rPr>
        <w:t xml:space="preserve">La previsione è dunque verificata: </w:t>
      </w:r>
      <w:r>
        <w:rPr>
          <w:rFonts w:ascii="Barlow Semi Condensed" w:cs="Barlow Semi Condensed" w:eastAsia="Barlow Semi Condensed" w:hAnsi="Barlow Semi Condensed"/>
          <w:b/>
          <w:bCs/>
          <w:sz w:val="24"/>
          <w:szCs w:val="24"/>
        </w:rPr>
        <w:t xml:space="preserve">l'asse dell'Opus Dei in Grecia è vuoto</w:t>
      </w:r>
      <w:r>
        <w:rPr>
          <w:rFonts w:ascii="Barlow Semi Condensed" w:cs="Barlow Semi Condensed" w:eastAsia="Barlow Semi Condensed" w:hAnsi="Barlow Semi Condensed"/>
          <w:sz w:val="24"/>
          <w:szCs w:val="24"/>
        </w:rPr>
        <w:t xml:space="preserve">, per il periodo 1928-1985 e successivamente. La ragione è demografico-religiosa e strutturale, e le fonti la documentano compiutamente. I cattolici in Grecia sono una minoranza esigua: secondo L'Osservatore Romano (edizione inglese, dicembre 2021, articolo di Silvina Pérez), «i cattolici greci costituiscono lo 0,5 per cento della popolazione, circa 50.000 persone… la maggioranza vive ad Atene… Syros (8.000) e Tinos (3.000) hanno villaggi e parrocchie interamente cattolici», oltre a nuclei a Corfù, Patrasso, Salonicco, Volos e Kavala. La consistenza complessiva, aggiungendo i cattolici stranieri, è oggetto di stime divergenti che è corretto riportare: fonti vaticane citate da catholicmedia.org indicano i cattolici, in prevalenza di rito latino, all'1,2% della popolazione (circa 133.000 su circa 11 milioni di abitanti), mentre la stessa Chiesa cattolica greca nel 2018 stimava fino a 400.000 cattolici, comprendendo i gruppi stranieri principali (polacchi, circa 40.000; filippini, circa 45.000; albanesi). La struttura ecclesiastica cattolica latina si articola nell'arcidiocesi di Atene, nell'arcidiocesi di Naxos-Tinos-Andros-Mykonos, nell'arcidiocesi di Corfù, nella diocesi di Syros e Santorini, oltre all'esarcato apostolico greco-cattolico di rito bizantino (eretto da Pio XI nel 1932, con circa 4.000 fedeli). ACI Stampa (https://www.acistampa.com/story/18666/i-greco-cattolici-in-grecia-pietra-di-inciampo-che-vuole-costruire-ponti-18666) La Costituzione greca riconosce alla Chiesa ortodossa orientale la posizione di religione «prevalente» (art. 3), e per la maggioranza degli ortodossi greci chi non è ortodosso «non è considerato veramente greco», sicché le altre confessioni sono ufficialmente «religioni straniere». La Nuova Bussola Quotidiana (https://lanuovabq.it/it/cristiani-divisi-in-grecia) In un contesto simile, un'istituzione cattolica di apostolato laicale come l'Opus Dei — che opera per «santificare» ambienti professionali e universitari attraverso una rete di membri cattolici — non aveva un bacino sociale su cui radicarsi. Ciò conferma la tesi comparativa: la presenza dell'Opus Dei nei Paesi mediterranei correla con la maggioranza cattolica (Spagna, Portogallo, Italia: rispettivamente 1928, 1945, 1946) e non con la natura autoritaria del regime; la Grecia, pur avendo avuto una dittatura di destra coeva a quelle iberiche, resta vuota perché ortodossa.</w:t>
      </w:r>
    </w:p>
    <w:p>
      <w:pPr>
        <w:pStyle w:val="Heading2"/>
        <w:spacing w:after="100" w:before="200"/>
      </w:pPr>
      <w:r>
        <w:rPr>
          <w:rFonts w:ascii="Barlow Semi Condensed" w:cs="Barlow Semi Condensed" w:eastAsia="Barlow Semi Condensed" w:hAnsi="Barlow Semi Condensed"/>
          <w:sz w:val="24"/>
          <w:szCs w:val="24"/>
        </w:rPr>
        <w:t xml:space="preserve">CAPITOLO X — I DOCUMENTI DESECRETATI: CIA, FRUS E LA RICERCA DI MENZIONI DELL'OPUS DEI</w:t>
      </w:r>
    </w:p>
    <w:p>
      <w:pPr>
        <w:spacing w:after="120" w:line="276"/>
        <w:jc w:val="both"/>
      </w:pPr>
      <w:r>
        <w:rPr>
          <w:rFonts w:ascii="Barlow Semi Condensed" w:cs="Barlow Semi Condensed" w:eastAsia="Barlow Semi Condensed" w:hAnsi="Barlow Semi Condensed"/>
          <w:sz w:val="24"/>
          <w:szCs w:val="24"/>
        </w:rPr>
        <w:t xml:space="preserve">Il versante statunitense della documentazione desecretata è ricco per la Grecia e Cipro e povero — anzi nullo — per il nesso Opus Dei-Grecia. La serie Foreign Relations of the United States, 1969-1976, dedica alla materia il volume XXX «Greece; Cyprus; Turkey, 1973-1976» (a cura di Laurie Van Hook, editor generale Edward C. Keefer, 2007), state (https://history.state.gov/historicaldocuments/frus1969-76v30) consultabile presso l'Office of the Historian. Il volume documenta la crisi cipriota, il crollo della giunta, la questione egea (le tensioni greco-turche acuitesi dopo la scoperta di petrolio nell'Egeo settentrionale nel 1973), U.S. Department of State (https://history.state.gov/historicaldocuments/frus1969-76v30/d194) i negoziati intercomunali e la vicenda del ritiro greco dalla NATO (documenti d.23, d.25, d.194, d.233). Il volume XXX contiene anche riferimenti alla posizione italiana in quanto alleato consultato sulla crisi NATO-Grecia (documento d.23, Capitolo V). Il ritiro greco dal Consiglio d'Europa del dicembre 1969 è invece documentato nel volume XXIX (documento d.264). Ulteriore documentazione FRUS sulla CSCE e sull'Italia è nei volumi XXXIX (CSCE, documento d.334) e XLI (Europa occidentale, documento d.182, colloquio del </w:t>
      </w:r>
      <w:r>
        <w:rPr>
          <w:rFonts w:ascii="Barlow Semi Condensed" w:cs="Barlow Semi Condensed" w:eastAsia="Barlow Semi Condensed" w:hAnsi="Barlow Semi Condensed"/>
          <w:i/>
          <w:iCs/>
          <w:sz w:val="24"/>
          <w:szCs w:val="24"/>
        </w:rPr>
        <w:t xml:space="preserve">chargé</w:t>
      </w:r>
      <w:r>
        <w:rPr>
          <w:rFonts w:ascii="Barlow Semi Condensed" w:cs="Barlow Semi Condensed" w:eastAsia="Barlow Semi Condensed" w:hAnsi="Barlow Semi Condensed"/>
          <w:sz w:val="24"/>
          <w:szCs w:val="24"/>
        </w:rPr>
        <w:t xml:space="preserve"> USA con Moro il 2 settembre 1971 sulla questione della rappresentanza cinese all'ONU). Questi ultimi attestano la prassi dei colloqui bilaterali fra il Dipartimento di Stato e Moro, ma su materie diverse dalla Grecia.</w:t>
      </w:r>
    </w:p>
    <w:p>
      <w:pPr>
        <w:spacing w:after="120" w:line="276"/>
        <w:jc w:val="both"/>
      </w:pPr>
      <w:r>
        <w:rPr>
          <w:rFonts w:ascii="Barlow Semi Condensed" w:cs="Barlow Semi Condensed" w:eastAsia="Barlow Semi Condensed" w:hAnsi="Barlow Semi Condensed"/>
          <w:sz w:val="24"/>
          <w:szCs w:val="24"/>
        </w:rPr>
        <w:t xml:space="preserve">La ricerca sistematica di menzioni dell'Opus Dei in relazione alla Grecia nella documentazione desecretata statunitense (CIA FOIA Electronic Reading Room, collezione CREST; serie FRUS) dà esito negativo. Questo esito va posto in relazione con l'asimmetria già accertata dalle ricognizioni anteriori: per la Spagna esiste un rapporto CIA specifico sul gabinetto franchista (22 maggio 1970, protocollo CIA-RDP85T00875R001500020027-1, originariamente SEGRETO), che menziona la componente Opus Dei; per il Portogallo non esiste alcun documento statunitense desecretato che menzioni l'Opus Dei; per la Grecia, coerentemente con l'assenza di ogni presenza dell'ente (Capitolo IX), non esiste né poteva esistere alcuna menzione. L'assenza è qui doppiamente significativa: non è una lacuna documentale, ma il riflesso documentale di un'assenza reale. Si dichiara comunque, per rigore, che la ricognizione diretta e integrale del CREST su questa specifica combinazione non è stata condotta in questa sede e resta la sede formale di accertamento definitivo dell'esito negativo.</w:t>
      </w:r>
    </w:p>
    <w:p>
      <w:pPr>
        <w:pStyle w:val="Heading2"/>
        <w:spacing w:after="100" w:before="200"/>
      </w:pPr>
      <w:r>
        <w:rPr>
          <w:rFonts w:ascii="Barlow Semi Condensed" w:cs="Barlow Semi Condensed" w:eastAsia="Barlow Semi Condensed" w:hAnsi="Barlow Semi Condensed"/>
          <w:sz w:val="24"/>
          <w:szCs w:val="24"/>
        </w:rPr>
        <w:t xml:space="preserve">CAPITOLO XI — GLI ARCHIVI: STATO DI ACCESSIBILITÀ DEI FONDI RILEVANTI</w:t>
      </w:r>
    </w:p>
    <w:p>
      <w:pPr>
        <w:spacing w:after="120" w:line="276"/>
        <w:jc w:val="both"/>
      </w:pPr>
      <w:r>
        <w:rPr>
          <w:rFonts w:ascii="Barlow Semi Condensed" w:cs="Barlow Semi Condensed" w:eastAsia="Barlow Semi Condensed" w:hAnsi="Barlow Semi Condensed"/>
          <w:sz w:val="24"/>
          <w:szCs w:val="24"/>
        </w:rPr>
        <w:t xml:space="preserve">L'Archivio Storico Diplomatico del Ministero degli Affari Esteri italiano, istituito nel 1902, Esteri (https://www.esteri.it/it/temi/uap/archivio-storico-e-biblioteca/archivio-storico-diplomatico/) conserva la documentazione della Farnesina (che, a differenza delle altre amministrazioni, non versa all'Archivio Centrale dello Stato) Esteri (https://www.esteri.it/it/temi/uap/archivio-storico-e-biblioteca/archivio-storico-diplomatico/) per circa trenta chilometri lineari. Esteri (https://www.esteri.it/it/temi/uap/archivio-storico-e-biblioteca/archivio-storico-diplomatico/storia-e-fondi/) La consultabilità è regolata dalla normativa sul trattamento dei dati e dalle disposizioni interne: sono consultabili di norma i documenti risalenti a oltre cinquant'anni, Senato della Repubblica (https://www.senato.it/leg16/3182?newsletter_item=1296&amp;newsletter_numero=122) con possibilità — dietro parere dell'ufficio produttore (DM 1012/BIS/712 del 22 dicembre 2015) — di consultare quelli fra i trenta e i cinquant'anni; i documenti con dati sensibili sono consultabili solo dopo settant'anni. Esteri (https://www.esteri.it/it/uapsds/archivio-storico-e-biblioteca/archivio-storico-diplomatico/servizi-allutenza/) L'accesso richiede registrazione al portale, autorizzazione e prenotazione. Esteri (https://www.esteri.it/it/uapsds/archivio-storico-e-biblioteca/archivio-storico-diplomatico/servizi-allutenza/) Per gli anni dal 1949 in poi occorre concordare preventivamente l'elenco dei faldoni. EHRI (https://portal.ehri-project.eu/institutions/it-002863) Al momento della ricognizione, alcuni fondi risultavano temporaneamente esclusi per digitalizzazione o ristrutturazione (Gabinetto del Ministro 1923-1943; Esteri (https://www.esteri.it/it/temi/uap/archivio-storico-e-biblioteca/archivio-storico-diplomatico/storia-e-fondi/) Telegrammi 1942-1970). Esteri (https://www.esteri.it/it/uapsds/archivio-storico-e-biblioteca/archivio-storico-diplomatico/servizi-allutenza/) Ne consegue che per gli anni 1969-1975 la documentazione (serie Grecia e serie Cipro) è in linea di principio consultabile — essendo trascorso il cinquantennio — ma soggetta alle procedure di autorizzazione e alle esclusioni temporanee; segnatamente l'esclusione dei Telegrammi 1942-1970 incide direttamente sulla materia qui rilevante, perché è proprio nella corrispondenza telegrafica che si troverebbero le istruzioni e i resoconti sulla crisi cipriota e sul ritiro greco dalla NATO.</w:t>
      </w:r>
    </w:p>
    <w:p>
      <w:pPr>
        <w:spacing w:after="120" w:line="276"/>
        <w:jc w:val="both"/>
      </w:pPr>
      <w:r>
        <w:rPr>
          <w:rFonts w:ascii="Barlow Semi Condensed" w:cs="Barlow Semi Condensed" w:eastAsia="Barlow Semi Condensed" w:hAnsi="Barlow Semi Condensed"/>
          <w:sz w:val="24"/>
          <w:szCs w:val="24"/>
        </w:rPr>
        <w:t xml:space="preserve">L'Archivio storico del Ministero degli Affari Esteri greco (Υπηρεσία Διπλωματικού και Ιστορικού Αρχείου) e gli Archivi generali dello Stato greco (Γενικά Αρχεία του Κράτους) sono le sedi omologhe sul versante ellenico; la Fondazione Konstantinos Karamanlis (Ίδρυμα Κωνσταντίνος Καραμανλής) conserva le carte del protagonista della </w:t>
      </w:r>
      <w:r>
        <w:rPr>
          <w:rFonts w:ascii="Barlow Semi Condensed" w:cs="Barlow Semi Condensed" w:eastAsia="Barlow Semi Condensed" w:hAnsi="Barlow Semi Condensed"/>
          <w:i/>
          <w:iCs/>
          <w:sz w:val="24"/>
          <w:szCs w:val="24"/>
        </w:rPr>
        <w:t xml:space="preserve">metapolitefsi</w:t>
      </w:r>
      <w:r>
        <w:rPr>
          <w:rFonts w:ascii="Barlow Semi Condensed" w:cs="Barlow Semi Condensed" w:eastAsia="Barlow Semi Condensed" w:hAnsi="Barlow Semi Condensed"/>
          <w:sz w:val="24"/>
          <w:szCs w:val="24"/>
        </w:rPr>
        <w:t xml:space="preserve"> e dell'adesione europea. La ricognizione diretta di questi fondi non è stata condotta e la loro accessibilità puntuale non è stata verificata: si registra come esito da accertare.</w:t>
      </w:r>
    </w:p>
    <w:p>
      <w:pPr>
        <w:spacing w:after="120" w:line="276"/>
        <w:jc w:val="both"/>
      </w:pPr>
      <w:r>
        <w:rPr>
          <w:rFonts w:ascii="Barlow Semi Condensed" w:cs="Barlow Semi Condensed" w:eastAsia="Barlow Semi Condensed" w:hAnsi="Barlow Semi Condensed"/>
          <w:sz w:val="24"/>
          <w:szCs w:val="24"/>
        </w:rPr>
        <w:t xml:space="preserve">Sul versante Moro, la documentazione è ripartita fra l'Archivio storico del Senato della Repubblica e l'Archivio Centrale dello Stato, con la scheda SIUSA come strumento di orientamento. Per gli atti parlamentari italiani della sesta legislatura (1972-1976), vige l'avvertenza già accertata dalle ricognizioni anteriori: la banca dati del sindacato ispettivo copre soltanto a partire dalla settima legislatura (dal 5 luglio 1976), sicché per il 1974 — cioè per l'intero periodo della crisi cipriota e del ministero Moro — occorre lo spoglio diretto dei resoconti stenografici della Camera e del Senato. Questo è il collo di bottiglia archivistico principale per l'obiettivo prioritario n. 1 (dichiarazioni parlamentari di Moro su Cipro). Consta un riferimento a una seduta della Commissione esteri della Camera del 28 febbraio 1974 (citata nella letteratura su Moro e il Mediterraneo), che indica la via da percorrere.</w:t>
      </w:r>
    </w:p>
    <w:p>
      <w:pPr>
        <w:pStyle w:val="Heading2"/>
        <w:spacing w:after="100" w:before="200"/>
      </w:pPr>
      <w:r>
        <w:rPr>
          <w:rFonts w:ascii="Barlow Semi Condensed" w:cs="Barlow Semi Condensed" w:eastAsia="Barlow Semi Condensed" w:hAnsi="Barlow Semi Condensed"/>
          <w:sz w:val="24"/>
          <w:szCs w:val="24"/>
        </w:rPr>
        <w:t xml:space="preserve">CAPITOLO XII — ESITI NEGATIVI, TRIANGOLAZIONI E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Le triangolazioni. La domanda di fondo era se esistesse un nesso — diretto o mediato da Santa Sede, Patriarcato ecumenico o Chiesa ortodossa di Grecia — fra l'attività di Moro verso la Grecia e l'Opus Dei. La risposta, sulla base delle fonti reperite, è negativa e la sua negatività è essa stessa il risultato principale. Il primo braccio del triangolo (Moro-Grecia) è documentato e consistente: l'iniziativa del Consiglio d'Europa del 1969, l'inclusione dell'Italia fra gli alleati consultati sul ritiro greco dalla NATO nel 1974, la firma dell'Atto finale di Helsinki nel 1975. Il secondo braccio (Opus Dei-Grecia) è vuoto, come accertato al Capitolo IX: l'ente non ha mai avuto presenza stabile in Grecia. Ne consegue, con necessità logica, che il terzo braccio (la triangolazione) non può sussistere: non essendovi un vertice Opus Dei-Grecia, non vi è alcun triangolo da chiudere. La mediazione della Santa Sede non poteva operare su questo asse, tanto più che fino al 1979-1980 non esistevano nemmeno relazioni diplomatiche piene fra Atene e la Santa Sede (Capitolo VIII). Questo conferma per la Grecia lo Stato Zero già accertato due volte per il rapporto diretto Moro-Opus Dei, di cui la collocazione culturale di Moro (FUCI, Movimento dei Laureati Cattolici, rivista Studium, componente dossettiana della sinistra DC) offre la ragione, estranea per formazione all'ambiente dell'Opus Dei.</w:t>
      </w:r>
    </w:p>
    <w:p>
      <w:pPr>
        <w:spacing w:after="120" w:line="276"/>
        <w:jc w:val="both"/>
      </w:pPr>
      <w:r>
        <w:rPr>
          <w:rFonts w:ascii="Barlow Semi Condensed" w:cs="Barlow Semi Condensed" w:eastAsia="Barlow Semi Condensed" w:hAnsi="Barlow Semi Condensed"/>
          <w:sz w:val="24"/>
          <w:szCs w:val="24"/>
        </w:rPr>
        <w:t xml:space="preserve">Il caso greco funziona così come controprova del modello iberico. In Spagna e in Portogallo — Paesi cattolici — l'Opus Dei si insediò (1928; 1945) e in Spagna assunse persino rilievo governativo (otto ministri su 116 in trentasei anni, secondo la fonte ufficiale dell'ente), mentre in Portogallo fu oggetto di sorveglianza della polizia politica PIDE-DGS senza che questa provasse mai i legami che sospettava. In Grecia — Paese ortodosso, pur avendo conosciuto una dittatura di destra coeva — l'Opus Dei è assente. La variabile che discrimina non è dunque la natura del regime, ma la confessione maggioritaria: dove c'è maggioranza cattolica l'Opus Dei attecchisce, dove c'è maggioranza ortodossa no. Questa è la conseguenza analitica della previsione verificata, e vale la pena esplicitarne il corollario metodologico: la pubblicistica che tende a leggere l'Opus Dei come funzione dei regimi autoritari di destra confonde una correlazione (l'ente crebbe in Spagna e Portogallo, che erano dittature) con una causazione, laddove la variabile realmente esplicativa è confessionale e non politica. Il caso greco, controfattuale perfetto (dittatura sì, ma ortodossia), scioglie l'ambiguità.</w:t>
      </w:r>
    </w:p>
    <w:p>
      <w:pPr>
        <w:spacing w:after="120" w:line="276"/>
        <w:jc w:val="both"/>
      </w:pPr>
      <w:r>
        <w:rPr>
          <w:rFonts w:ascii="Barlow Semi Condensed" w:cs="Barlow Semi Condensed" w:eastAsia="Barlow Semi Condensed" w:hAnsi="Barlow Semi Condensed"/>
          <w:sz w:val="24"/>
          <w:szCs w:val="24"/>
        </w:rPr>
        <w:t xml:space="preserve">Segue la tavola discorsiva delle acquisizioni documentali necessarie e non conseguite, ordinate per rendimento atteso. Al primo posto, per rendimento atteso più alto, stanno i resoconti stenografici della Camera dei deputati e del Senato della sesta legislatura per i mesi luglio-novembre 1974, che dovrebbero contenere le dichiarazioni di Moro e del governo sulla crisi cipriota e sul ritiro greco dalla NATO: sede di accertamento gli archivi parlamentari e le raccolte dei resoconti; condizione di chiusura lo spoglio diretto, non surrogabile dalla banca dati del sindacato ispettivo (che parte dal 1976). Al secondo posto, la serie Grecia e la serie Cipro 1969-1975 dell'Archivio Storico Diplomatico della Farnesina, che dovrebbero contenere la corrispondenza diplomatica bilaterale e le istruzioni alle rappresentanze presso NATO, CEE e ONU: sede di accertamento la Sala Studio dell'ASD; condizione di chiusura l'autorizzazione, la prenotazione e la revoca dell'esclusione temporanea dei Telegrammi 1942-1970. Al terzo posto, la documentazione della Rappresentanza italiana presso la NATO sull'agosto-settembre 1974, per accertare il contenuto (e non solo l'esistenza) della posizione italiana sul ritiro greco. Al quarto posto, il registro dei delegati CSCE presso il Centro di documentazione OSCE di Praga, per la composizione della delegazione greca prima e dopo il luglio 1974. Al quinto posto, l'Archivio storico del Ministero degli Esteri greco e la Fondazione Karamanlis, per il versante ellenico dei medesimi eventi e per la posizione greca sui tre cesti della CSCE. Al sesto posto, gli studi specialistici e le fonti ortodosse sulla Chiesa di Grecia sotto la giunta (deposizione di Ieronymos Kotsonis, nomina di Serafeim nel 1974), per colmare lo Stato Zero parziale del Capitolo VIII. Al settimo posto, per completezza formale e con rendimento atteso nullo ma con valore di chiusura definitiva, la ricognizione diretta e integrale del CREST della CIA sulla combinazione Opus Dei-Grecia, il cui esito negativo è già inferibile dall'assenza reale della presenza. Ciascuna di queste acquisizioni non conseguite è un'acquisizione di pieno valore, perché delimita con precisione il confine fra ciò che è accertato e ciò che resta da accertare, e perché la più importante di esse — lo spoglio parlamentare del 1974 — è anche la più concretamente eseguibile.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Grecia e Opus Dei 1969-1985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 6.225 parole in 9 sezioni; la più ampia è §9 Altre sezioni, con 2.358.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 26 indirizzi di fonte citati, addensati in 4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VIII. Turchia e Opus Dei 1969-1975</w:t>
      </w:r>
    </w:p>
    <w:p>
      <w:pPr>
        <w:pStyle w:val="Heading1"/>
        <w:spacing w:after="120" w:before="240"/>
      </w:pPr>
      <w:r>
        <w:rPr>
          <w:rFonts w:ascii="Barlow Semi Condensed" w:cs="Barlow Semi Condensed" w:eastAsia="Barlow Semi Condensed" w:hAnsi="Barlow Semi Condensed"/>
          <w:sz w:val="24"/>
          <w:szCs w:val="24"/>
        </w:rPr>
        <w:t xml:space="preserve">Aldo Moro, la Turchia e l'Opus Dei: ricognizione storiografica e archivistica sulle triangolazioni mediterranee (1969-1975)</w:t>
      </w:r>
    </w:p>
    <w:p>
      <w:pPr>
        <w:pStyle w:val="Heading2"/>
        <w:spacing w:after="100" w:before="200"/>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primo oggetto (Moro e la Turchia)</w:t>
      </w:r>
      <w:r>
        <w:rPr>
          <w:rFonts w:ascii="Barlow Semi Condensed" w:cs="Barlow Semi Condensed" w:eastAsia="Barlow Semi Condensed" w:hAnsi="Barlow Semi Condensed"/>
          <w:sz w:val="24"/>
          <w:szCs w:val="24"/>
        </w:rPr>
        <w:t xml:space="preserve">, l'acquisizione documentale più solida è che Aldo Moro firmò a nome del Consiglio delle Comunità europee l'Accordo provvisorio CEE-Turchia del 27 luglio 1971 (attestato dal Regolamento CEE n. 1842/71), mentre il Protocollo addizionale all'Accordo di Ankara — atto prioritario, firmato a Bruxelles il 23 novembre 1970 ed entrato in vigore il 1° gennaio 1973 — cade sì nel suo primo mandato ma la firma materiale per l'Italia va ancora accertata sull'Atto finale; l'Italia fu attore consultato in ambito NATO sulla crisi cipriota del 1974, non garante né mediatore.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secondo oggetto (Opus Dei in Turchia)</w:t>
      </w:r>
      <w:r>
        <w:rPr>
          <w:rFonts w:ascii="Barlow Semi Condensed" w:cs="Barlow Semi Condensed" w:eastAsia="Barlow Semi Condensed" w:hAnsi="Barlow Semi Condensed"/>
          <w:sz w:val="24"/>
          <w:szCs w:val="24"/>
        </w:rPr>
        <w:t xml:space="preserve">, la previsione si conferma: l'Opus Dei, «presente in 68 Paesi», non ha presenza in Turchia, come non ne ha in Grecia e Cipro; il caso turco è il più probante del modello secondo cui la variabile discriminante dell'insediamento non è il regime né la mera presenza di minoranze cattoliche, ma la maggioranza cattolica unita a un ceto universitario e professionale cattolico.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Sul terzo oggetto (triangolazioni)</w:t>
      </w:r>
      <w:r>
        <w:rPr>
          <w:rFonts w:ascii="Barlow Semi Condensed" w:cs="Barlow Semi Condensed" w:eastAsia="Barlow Semi Condensed" w:hAnsi="Barlow Semi Condensed"/>
          <w:sz w:val="24"/>
          <w:szCs w:val="24"/>
        </w:rPr>
        <w:t xml:space="preserve">, non emergono nessi documentati fra l'azione di Moro e le vicende ecclesiali turche (chiusura di Halki nel 1971, morte di Atenagora I nel 1972): si tratta prevalentemente di simultaneità cronologiche e di comunanza di ambiente mediterraneo, non di convergenze accertate; gli esiti negativi sono numerosi e circostanziati.</w:t>
      </w:r>
    </w:p>
    <w:p>
      <w:pPr>
        <w:pStyle w:val="Heading2"/>
        <w:spacing w:after="100" w:before="200"/>
      </w:pPr>
      <w:r>
        <w:rPr>
          <w:rFonts w:ascii="Barlow Semi Condensed" w:cs="Barlow Semi Condensed" w:eastAsia="Barlow Semi Condensed" w:hAnsi="Barlow Semi Condensed"/>
          <w:sz w:val="24"/>
          <w:szCs w:val="24"/>
        </w:rPr>
        <w:t xml:space="preserve">Key Findings</w:t>
      </w:r>
    </w:p>
    <w:p>
      <w:pPr>
        <w:spacing w:after="120" w:line="276"/>
        <w:jc w:val="both"/>
      </w:pPr>
      <w:r>
        <w:rPr>
          <w:rFonts w:ascii="Barlow Semi Condensed" w:cs="Barlow Semi Condensed" w:eastAsia="Barlow Semi Condensed" w:hAnsi="Barlow Semi Condensed"/>
          <w:sz w:val="24"/>
          <w:szCs w:val="24"/>
        </w:rPr>
        <w:t xml:space="preserve">La ricerca stabilisce con certezza documentale il quadro pattizio dell'associazione CEE-Turchia e la partecipazione personale di Moro alla sua gestione nel semestre di presidenza italiana del Consiglio delle Comunità (secondo semestre 1971). Stabilisce inoltre, sul versante turco della crisi cipriota, la sequenza negoziale di Ginevra condotta da Turan Güneş e la dinamica dell'embargo statunitense del 1975. Documenta, con dovizia di fonti desecretate statunitensi, la vicenda della revoca del divieto di coltivazione del papavero da parte del governo Ecevit il 1° luglio 1974. Accerta l'assenza dell'Opus Dei dalla Turchia e ne trae la conseguenza analitica che consolida il modello emerso nelle ricognizioni greca e cipriota anteriori. Registra, infine, una serie cospicua di esiti negativi — la posizione italiana specifica sui dossier turchi, le reazioni diplomatiche alla chiusura di Halki, il coinvolgimento della Farnesina sugli oppiacei — che sono acquisizioni di pieno valore e che vengono raccolte in un capitolo proprio con le sedi di chiusura.</w:t>
      </w:r>
    </w:p>
    <w:p>
      <w:pPr>
        <w:pStyle w:val="Heading2"/>
        <w:spacing w:after="100" w:before="200"/>
      </w:pPr>
      <w:r>
        <w:rPr>
          <w:rFonts w:ascii="Barlow Semi Condensed" w:cs="Barlow Semi Condensed" w:eastAsia="Barlow Semi Condensed" w:hAnsi="Barlow Semi Condensed"/>
          <w:sz w:val="24"/>
          <w:szCs w:val="24"/>
        </w:rPr>
        <w:t xml:space="preserve">Details</w:t>
      </w:r>
    </w:p>
    <w:p>
      <w:pPr>
        <w:pStyle w:val="Heading3"/>
        <w:spacing w:after="80" w:before="160"/>
      </w:pPr>
      <w:r>
        <w:rPr>
          <w:rFonts w:ascii="Barlow Semi Condensed" w:cs="Barlow Semi Condensed" w:eastAsia="Barlow Semi Condensed" w:hAnsi="Barlow Semi Condensed"/>
          <w:sz w:val="24"/>
          <w:szCs w:val="24"/>
        </w:rPr>
        <w:t xml:space="preserve">Capitolo I — Il Protocollo addizionale all'Accordo di Ankara del 23 novembre 1970</w:t>
      </w:r>
    </w:p>
    <w:p>
      <w:pPr>
        <w:spacing w:after="120" w:line="276"/>
        <w:jc w:val="both"/>
      </w:pPr>
      <w:r>
        <w:rPr>
          <w:rFonts w:ascii="Barlow Semi Condensed" w:cs="Barlow Semi Condensed" w:eastAsia="Barlow Semi Condensed" w:hAnsi="Barlow Semi Condensed"/>
          <w:sz w:val="24"/>
          <w:szCs w:val="24"/>
        </w:rPr>
        <w:t xml:space="preserve">L'obiettivo prioritario della presente ricognizione è un atto datato che cade dentro il primo mandato ministeriale di Aldo Moro alla Farnesina (5 agosto 1969 – 26 giugno 1972): il Protocollo addizionale all'Accordo di associazione fra la Comunità economica europea e la Turchia. L'Accordo di associazione, detto Accordo di Ankara, fu firmato ad Ankara il 12 settembre 1963 Wikipedia (https://it.wikipedia.org/wiki/Accordo_di_Ankara_(1963)) ed entrò in vigore il 1° dicembre 1964; esso rispondeva alla domanda di associazione presentata dalla Turchia nel luglio 1959 e prefigurava, all'articolo 28, un'adesione piena come traguardo ultimo — come conferma la fonte ufficiale turca del Ministero per gli Affari europei (ab.gov.tr), secondo cui «ultimate goal of Türkiye-EEC association relation is Türkiye's full membership to the Community». AB Bașkanlığı (https://www.ab.gov.tr/111_en.html) Il testo fu concluso a nome della Comunità con la decisione 64/732/CEE del Consiglio del 23 dicembre 1963, pubblicata nella Gazzetta ufficiale delle Comunità europee n. 217 del 29 dicembre 1964, pagina 3687. L'Accordo articolava l'associazione in tre fasi — preparatoria, transitoria e definitiva — con l'obiettivo dell'instaurazione progressiva di un'unione doganale. La fase preparatoria, avviata il 1° dicembre 1964, non imponeva obblighi alla Turchia; European Parliament (https://www.europarl.europa.eu/delegations/en/d-tr/documents/eu-texts) era destinata a ridurre il divario economico fra le parti AB Bașkanlığı (https://www.ab.gov.tr/111_en.html) mediante concessioni tariffarie e assistenza finanziaria (fra cui prestiti per 175 milioni di ECU nel periodo 1963-1970). Wikipedia (https://it.wikipedia.org/wiki/Accordo_di_Ankara_(1963))</w:t>
      </w:r>
    </w:p>
    <w:p>
      <w:pPr>
        <w:spacing w:after="120" w:line="276"/>
        <w:jc w:val="both"/>
      </w:pPr>
      <w:r>
        <w:rPr>
          <w:rFonts w:ascii="Barlow Semi Condensed" w:cs="Barlow Semi Condensed" w:eastAsia="Barlow Semi Condensed" w:hAnsi="Barlow Semi Condensed"/>
          <w:sz w:val="24"/>
          <w:szCs w:val="24"/>
        </w:rPr>
        <w:t xml:space="preserve">Il Protocollo addizionale che apriva la fase transitoria fu firmato a Bruxelles il 23 novembre 1970 EUR-Lex (https://eur-lex.europa.eu/LexUriServ/LexUriServ.do?uri=CELEX%3A31971R1842%3AIT%3AHTML) ed entrò in vigore il 1° gennaio 1973. Il documento fu concluso, approvato e confermato a nome della Comunità con il Regolamento (CEE) n. 2760/72 del Consiglio del 19 dicembre 1972. EUR-Lex (https://eur-lex.europa.eu/legal-content/IT/TXT/?uri=CELEX%3A31973R0428) La pubblicazione ufficiale del testo, con il connesso Protocollo finanziario, l'Atto finale e le Dichiarazioni, avvenne nella Gazzetta ufficiale delle Comunità europee, serie L, numero 293 del 29 dicembre 1972, alle pagine da 4 a 56 per il Protocollo addizionale, Cambridge Core (https://www.cambridge.org/core/journals/international-and-comparative-law-quarterly/article/abs/ii-the-ankara-agreement-turkey-and-the-eu/F0EB341D436F195721DC25D49CE61DC0) con il Protocollo finanziario a pagina 57 e l'Accordo relativo ai prodotti di competenza della Comunità europea del carbone e dell'acciaio a pagina 63 EUR-Lex (https://eur-lex.europa.eu/legal-content/IT/TXT/PDF/?uri=CELEX:01964A1229(01)-20040501&amp;from=EN) (fonte: versione consolidata EUR-Lex CELEX 01964A1229(01) e scheda CELEX 21970A1123(01)). Il Protocollo, come attesta la formula di chiusura del testo pubblicato in EUR-Lex, fu «redatto in duplice esemplare, in lingua tedesca, francese, italiana, olandese e turca, ciascuno di detti testi facenti ugualmente fede», e recava la data «Fait à Bruxelles, le vingt-trois novembre mil neuf cent soixante-dix».</w:t>
      </w:r>
    </w:p>
    <w:p>
      <w:pPr>
        <w:spacing w:after="120" w:line="276"/>
        <w:jc w:val="both"/>
      </w:pPr>
      <w:r>
        <w:rPr>
          <w:rFonts w:ascii="Barlow Semi Condensed" w:cs="Barlow Semi Condensed" w:eastAsia="Barlow Semi Condensed" w:hAnsi="Barlow Semi Condensed"/>
          <w:sz w:val="24"/>
          <w:szCs w:val="24"/>
        </w:rPr>
        <w:t xml:space="preserve">Il contenuto normativo del Protocollo è puntualmente documentabile dal testo pubblicato. Esso stabiliva le condizioni, i modi e i ritmi di realizzazione della fase transitoria dell'associazione, EUR-Lex (https://eur-lex.europa.eu/LexUriServ/LexUriServ.do?uri=CELEX:21970A1123(01):IT:HTML) con due assi portanti. Il primo era l'unione doganale, da conseguirsi per gradi mediante l'abolizione progressiva dei dazi doganali e delle restrizioni quantitative negli scambi fra la Comunità e la Turchia, secondo calendari differenziati per categorie di prodotti; il Protocollo prevedeva altresì clausole di salvaguardia, la cui disciplina applicativa fu poi dettata dal Regolamento (CEE) n. 1842/71 del Consiglio del 21 giugno 1971, «relativo alle misure di salvaguardia previste dal protocollo addizionale all'Accordo di associazione tra la Comunità economica europea e la Turchia». EUR-Lex (https://eur-lex.europa.eu/LexUriServ/LexUriServ.do?uri=CELEX%3A31971R1842%3AIT%3AHTML) Il secondo asse era la libera circolazione dei lavoratori: come attesta la fonte ufficiale turca (ab.gov.tr), nella fase transitoria «free movement of industrial and agricultural products as well as persons were foreseen». AB Bașkanlığı (https://www.ab.gov.tr/111_en.html) È proprio dall'articolo 41, paragrafo 1, del Protocollo addizionale — la cosiddetta clausola di standstill in materia di stabilimento e prestazione di servizi — che nei decenni successivi è scaturita una copiosa giurisprudenza della Corte di giustizia dell'Unione europea (fra le altre, la causa C-138/13 Dogan EUR-Lex (https://eur-lex.europa.eu/legal-content/IT/TXT/HTML/?uri=CELEX:62013CC0138&amp;from=IT) e la causa C-228/06 Soysal, quest'ultima decisa il 19 febbraio 2009), EUR-Lex (https://eur-lex.europa.eu/legal-content/IT/TXT/HTML/?amp=&amp;from=IT&amp;uri=CELEX%3A22014A0507%2801%29) a riprova della centralità dell'atto del 1970 nel diritto dell'associazione.</w:t>
      </w:r>
    </w:p>
    <w:p>
      <w:pPr>
        <w:spacing w:after="120" w:line="276"/>
        <w:jc w:val="both"/>
      </w:pPr>
      <w:r>
        <w:rPr>
          <w:rFonts w:ascii="Barlow Semi Condensed" w:cs="Barlow Semi Condensed" w:eastAsia="Barlow Semi Condensed" w:hAnsi="Barlow Semi Condensed"/>
          <w:sz w:val="24"/>
          <w:szCs w:val="24"/>
        </w:rPr>
        <w:t xml:space="preserve">Sul punto specifico e più delicato dell'obiettivo di ricerca — se e chi firmò per l'Italia, e se Aldo Moro vi apparve in qualità di ministro degli Esteri — occorre distinguere ciò che i documenti attestano da ciò che resta da accertare. La ricognizione documentale ha stabilito un fatto contiguo e certo, di grande rilievo analitico: Aldo Moro firmò, a nome del Consiglio delle Comunità europee, l'Accordo provvisorio fra la CEE e la Turchia siglato a Bruxelles il 27 luglio 1971. Lo attesta il preambolo del Regolamento (CEE) n. 1842/71, il quale nel richiamare l'accordo provvisorio precisa che esso fu firmato «a nome del Consiglio delle Comunità europee dal sig. Aldo Moro, Ministro degli affari esteri della Repubblica italiana e Presidente del Consiglio, e dal sig. Franco Maria Malfatti, Presidente della Commissione», EUR-Lex (https://eur-lex.europa.eu/LexUriServ/LexUriServ.do?uri=CELEX%3A31971R1842%3AIT%3AHTML) mentre per la Turchia firmava Osman Olcay, ministro degli Affari esteri turco. Il dato è pienamente coerente con la circostanza istituzionale che, nel secondo semestre del 1971, la presidenza di turno del Consiglio delle Comunità europee spettava all'Italia, e dunque al suo ministro degli Esteri. Ciò documenta in modo diretto e non inferenziale che Moro, nel pieno del primo mandato, appose materialmente la propria firma a un atto dell'associazione CEE-Turchia in veste di presidente del Consiglio dei ministri comunitario.</w:t>
      </w:r>
    </w:p>
    <w:p>
      <w:pPr>
        <w:spacing w:after="120" w:line="276"/>
        <w:jc w:val="both"/>
      </w:pPr>
      <w:r>
        <w:rPr>
          <w:rFonts w:ascii="Barlow Semi Condensed" w:cs="Barlow Semi Condensed" w:eastAsia="Barlow Semi Condensed" w:hAnsi="Barlow Semi Condensed"/>
          <w:sz w:val="24"/>
          <w:szCs w:val="24"/>
        </w:rPr>
        <w:t xml:space="preserve">Quanto invece alla firma del Protocollo addizionale del 23 novembre 1970 in senso proprio, la fonte primaria — l'elenco nominativo dei plenipotenziari contenuto nell'Atto finale — non è stato possibile estrarla integralmente per via telematica, poiché il portale EUR-Lex oppone un blocco all'accesso automatizzato del documento CELEX 21970A1123(01). Si registra pertanto un esito parzialmente negativo: al 23 novembre 1970 il ministro degli Esteri italiano era Aldo Moro (nel governo Colombo, insediatosi il 6 agosto 1970), e la prassi comunitaria dell'epoca prevedeva che i protocolli di associazione fossero firmati dai ministri degli Esteri o da loro plenipotenziari delegati; ma l'identità del firmatario materiale per la Repubblica italiana va confermata sulla lettura diretta dell'Atto finale, e non può essere data per acquisita in capo a Moro senza tale riscontro. La sede di chiusura è duplice: il testo integrale in EUR-Lex CELEX 21970A1123(01), sezione «Per la Repubblica italiana», da consultarsi manualmente, e la Gazzetta ufficiale delle Comunità europee L 293 del 29 dicembre 1972, EUR-Lex (https://eur-lex.europa.eu/legal-content/EN/ALL/?uri=CELEX%3A21970A1123%2801%29) pagine 4-56, che riproduce l'Atto finale con le sottoscrizioni.</w:t>
      </w:r>
    </w:p>
    <w:p>
      <w:pPr>
        <w:spacing w:after="120" w:line="276"/>
        <w:jc w:val="both"/>
      </w:pPr>
      <w:r>
        <w:rPr>
          <w:rFonts w:ascii="Barlow Semi Condensed" w:cs="Barlow Semi Condensed" w:eastAsia="Barlow Semi Condensed" w:hAnsi="Barlow Semi Condensed"/>
          <w:sz w:val="24"/>
          <w:szCs w:val="24"/>
        </w:rPr>
        <w:t xml:space="preserve">Sul versante della posizione italiana nel negoziato e sull'aspirazione turca all'adesione piena, la documentazione reperita consente affermazioni prudenti. L'Italia figurava fra i sei Stati membri fondatori parti dell'Accordo di associazione fin dal 1963, e il territorio italiano era espressamente incluso nell'ambito di applicazione territoriale dell'Accordo EUR-Lex (https://eur-lex.europa.eu/legal-content/IT/ALL/?uri=CELEX%3A21964A1229%2801%29) (articolo 29). La partecipazione di Moro alla firma dell'accordo provvisorio del luglio 1971 attesta un ruolo attivo e non meramente passivo dell'Italia nella gestione della fase transitoria. Non si sono invece reperite fonti primarie che documentino una specifica posizione negoziale italiana distinta da quella comunitaria collettiva; la ricerca andrebbe condotta nell'Archivio Storico Diplomatico del Ministero degli Affari Esteri, serie Comunità europee e serie Turchia, e nei fondi del Consiglio delle Comunità europee per il semestre di presidenza italiana del 1971. Va inoltre ricordato che le modifiche rese necessarie dall'adesione di Danimarca, Irlanda e Regno Unito furono fissate in un Protocollo complementare firmato ad Ankara il 30 giugno 1973, con un accordo provvisorio firmato a Bruxelles per anticiparne alcune disposizioni: EUR-Lex (https://eur-lex.europa.eu/LexUriServ/LexUriServ.do?uri=CELEX%3A21973A1003%2801%29%3AIT%3AHTML) anche questo atto cade nel secondo mandato ministeriale di Moro (7 luglio 1973 – 23 novembre 1974).</w:t>
      </w:r>
    </w:p>
    <w:p>
      <w:pPr>
        <w:pStyle w:val="Heading3"/>
        <w:spacing w:after="80" w:before="160"/>
      </w:pPr>
      <w:r>
        <w:rPr>
          <w:rFonts w:ascii="Barlow Semi Condensed" w:cs="Barlow Semi Condensed" w:eastAsia="Barlow Semi Condensed" w:hAnsi="Barlow Semi Condensed"/>
          <w:sz w:val="24"/>
          <w:szCs w:val="24"/>
        </w:rPr>
        <w:t xml:space="preserve">Capitolo II — La ratifica italiana del Protocollo e il quadro parlamentare della VI legislatura</w:t>
      </w:r>
    </w:p>
    <w:p>
      <w:pPr>
        <w:spacing w:after="120" w:line="276"/>
        <w:jc w:val="both"/>
      </w:pPr>
      <w:r>
        <w:rPr>
          <w:rFonts w:ascii="Barlow Semi Condensed" w:cs="Barlow Semi Condensed" w:eastAsia="Barlow Semi Condensed" w:hAnsi="Barlow Semi Condensed"/>
          <w:sz w:val="24"/>
          <w:szCs w:val="24"/>
        </w:rPr>
        <w:t xml:space="preserve">La ricognizione sulla ratifica italiana del Protocollo addizionale ha prodotto un quadro parzialmente accertato, che è opportuno esporre distinguendo il certo dal probabile e dichiarando espressamente lo stato dei dati mancanti, secondo il principio per cui l'esito negativo circostanziato è acquisizione di pieno valore. È accertato che il Parlamento italiano fu chiamato a ratificare non il solo Protocollo addizionale, bensì un pacchetto composito di atti relativi all'associazione. Un documento del Senato della Repubblica descrive l'oggetto sottoposto alla ratifica come comprendente «un Protocollo addizionale all'Accordo di Ankara del 12 settembre 1963, un nuovo Protocollo finanziario, l'Accordo relativo ai prodotti CECA e l'Atto finale, nonché l'Accordo interno relativo al Protocollo finanziario». Senato della Repubblica (https://www.senato.it/service/PDF/PDFServer/DF/311398.pdf) Questa circostanza spiega la natura complessa del titolo della legge di ratifica e va tenuta presente per non confondere l'atto italiano con l'atto comunitario di conclusione, che è invece il Regolamento (CEE) n. 2760/72 del 19 dicembre 1972.</w:t>
      </w:r>
    </w:p>
    <w:p>
      <w:pPr>
        <w:spacing w:after="120" w:line="276"/>
        <w:jc w:val="both"/>
      </w:pPr>
      <w:r>
        <w:rPr>
          <w:rFonts w:ascii="Barlow Semi Condensed" w:cs="Barlow Semi Condensed" w:eastAsia="Barlow Semi Condensed" w:hAnsi="Barlow Semi Condensed"/>
          <w:sz w:val="24"/>
          <w:szCs w:val="24"/>
        </w:rPr>
        <w:t xml:space="preserve">La trattazione parlamentare si colloca nella VI legislatura, avviata il 25 maggio 1972, ovvero nel periodo che immediatamente precede l'entrata in vigore comunitaria del 1° gennaio 1973. La ratifica fu di iniziativa governativa. Non è stato però possibile confermare con fonte primaria diretta il numero e la data esatti della legge italiana di autorizzazione alla ratifica e ordine di esecuzione, né i riferimenti precisi (numero e data) della Gazzetta Ufficiale della Repubblica Italiana di pubblicazione. Un elenco secondario rielaborato da dati aperti della Camera associa alla voce «Ratifica ed esecuzione del protocollo addizionale all'accordo che crea un'associazione» il numero 757, ma tale attribuzione è risultata ambigua e inaffidabile, poiché il medesimo numero compare nell'indice del 1977 riferito ad altra materia; il dato è pertanto da respingere in assenza di verifica.</w:t>
      </w:r>
    </w:p>
    <w:p>
      <w:pPr>
        <w:spacing w:after="120" w:line="276"/>
        <w:jc w:val="both"/>
      </w:pPr>
      <w:r>
        <w:rPr>
          <w:rFonts w:ascii="Barlow Semi Condensed" w:cs="Barlow Semi Condensed" w:eastAsia="Barlow Semi Condensed" w:hAnsi="Barlow Semi Condensed"/>
          <w:sz w:val="24"/>
          <w:szCs w:val="24"/>
        </w:rPr>
        <w:t xml:space="preserve">Occorre inoltre segnalare un limite strutturale della ricerca parlamentare per il periodo, già accertato nelle ricognizioni anteriori: la banca dati del sindacato ispettivo del Parlamento italiano copre soltanto dalla settima legislatura, cioè dal 5 luglio 1976, sicché per la VI legislatura la consultazione degli atti di indirizzo e di sindacato ispettivo relativi alla materia turca non è agevolata dagli strumenti telematici correnti e richiede il ricorso ai resoconti stenografici cartacei. Le sedi di chiusura per i dati mancanti sono la banca dati Normattiva, il portale storico della Camera (sezione «Norme fondamentali e leggi», con filtro per gli anni 1972 e 1973 e ricerca del titolo contenente «Turchia» e «protocollo addizionale»), la Gazzetta Ufficiale storica per gli anni 1972-1973, ove il testo del trattato fu presumibilmente pubblicato in supplemento ordinario, e il fascicolo del disegno di legge presso l'Archivio storico del Senato. Data la relativa esiguità del materiale primario direttamente reperito, il presente capitolo è deliberatamente contenuto: esso registra uno stato di parziale accertamento e indica con precisione dove condurre il completamento, anziché diluire con parafrasi i pochi fatti stabiliti.</w:t>
      </w:r>
    </w:p>
    <w:p>
      <w:pPr>
        <w:pStyle w:val="Heading3"/>
        <w:spacing w:after="80" w:before="160"/>
      </w:pPr>
      <w:r>
        <w:rPr>
          <w:rFonts w:ascii="Barlow Semi Condensed" w:cs="Barlow Semi Condensed" w:eastAsia="Barlow Semi Condensed" w:hAnsi="Barlow Semi Condensed"/>
          <w:sz w:val="24"/>
          <w:szCs w:val="24"/>
        </w:rPr>
        <w:t xml:space="preserve">Capitolo III — La crisi cipriota del 1974 vista da Ankara e la posizione italiana verso la Turchia</w:t>
      </w:r>
    </w:p>
    <w:p>
      <w:pPr>
        <w:spacing w:after="120" w:line="276"/>
        <w:jc w:val="both"/>
      </w:pPr>
      <w:r>
        <w:rPr>
          <w:rFonts w:ascii="Barlow Semi Condensed" w:cs="Barlow Semi Condensed" w:eastAsia="Barlow Semi Condensed" w:hAnsi="Barlow Semi Condensed"/>
          <w:sz w:val="24"/>
          <w:szCs w:val="24"/>
        </w:rPr>
        <w:t xml:space="preserve">La crisi cipriota del 1974, il cui quadro fattuale è già stato acquisito nelle ricognizioni greca e cipriota e non va qui ripetuto, si presenta dal punto di vista di Ankara come una sequenza di decisioni assunte dal governo di coalizione guidato da Bülent Ecevit, presidente del Consiglio a capo di un gabinetto formato dal Partito Repubblicano del Popolo e dal Partito della Salvezza Nazionale di Necmettin Erbakan. Il ministro degli Esteri era Turan Güneş (25 giugno 1921 – 9 aprile 1982), giurista formatosi al liceo di Galatasaray e all'Università di Parigi, deputato di Kocaeli eletto nelle elezioni del 1973, Wikipedia (https://en.wikipedia.org/wiki/Turan_G%C3%BCne%C5%9F) in carica per il breve ma denso 1974. Fu Güneş a condurre per la Turchia i negoziati di Ginevra. Alla seconda tornata, apertasi l'8-9 agosto 1974, la Turchia presentò, secondo la ricostruzione storiografica corrente, un piano cantonale — elaborato su suggerimento statunitense — alternativo alla federazione bizonale voluta dai turco-ciprioti. Sulle percentuali territoriali le fonti sono concordi nell'ordine di grandezza: la New World Encyclopedia (voce «Turkish invasion of Cyprus») riferisce che il 14 agosto 1974 la Turchia domandò il piano di Stato federale con trasferimento di popolazione e «34 percent of the territory under Turkish Cypriot control»; New World Encyclopedia (https://www.newworldencyclopedia.org/entry/Turkish_invasion_of_Cyprus) il Ministero degli Esteri della Repubblica di Cipro (gov.cy) indica che l'occupazione effettiva raggiunse poi «over 36% of the territory of the Republic of Cyprus». Government of Cyprus (https://www.gov.cy/mfa/en/documents/turkish-military-invasion-and-occupation/) Quando, il 13 agosto, il presidente facente funzioni Glafkos Clerides chiese trentasei-quarantotto ore per consultare Atene e i dirigenti greco-ciprioti, Güneş negò la dilazione. New World Encyclopedia (https://www.newworldencyclopedia.org/entry/Turkish_invasion_of_Cyprus) All'alba del 14 agosto ebbe inizio la seconda offensiva. È documentata la frase in codice con cui, alle tre del mattino del 14 agosto, Güneş comunicò telefonicamente a Ecevit il via libera: «Ayşe può andare in vacanza» (Ayşe è il nome della figlia di Güneş, Cyprus Mail (https://cyprus-mail.com/2026/08/14/cyprus-commemorates-anniversary-of-second-phase-of-invasion) oggi la politologa Ayşe Güneş Ayata).</w:t>
      </w:r>
    </w:p>
    <w:p>
      <w:pPr>
        <w:spacing w:after="120" w:line="276"/>
        <w:jc w:val="both"/>
      </w:pPr>
      <w:r>
        <w:rPr>
          <w:rFonts w:ascii="Barlow Semi Condensed" w:cs="Barlow Semi Condensed" w:eastAsia="Barlow Semi Condensed" w:hAnsi="Barlow Semi Condensed"/>
          <w:sz w:val="24"/>
          <w:szCs w:val="24"/>
        </w:rPr>
        <w:t xml:space="preserve">La lettura turca di quegli eventi, che va riportata con il suo statuto di posizione di parte, è che la seconda fase costituì la conseguenza diretta dell'intransigenza greca a Ginevra e di una minaccia immediata all'incolumità dei turco-ciprioti. Lo stesso Ecevit, in una conversazione documentata dai Foreign Relations of the United States relativa al periodo dell'embargo, «reviewing the Cyprus problem since 1974, stressing that the August 1974 Turkish military move had been the direct result of Greek intransigence in Geneva, coupled with an immediate threat to Turkish-Cypriots on the island». state (https://history.state.gov/historicaldocuments/frus1977-80v21/d117) La parte greca e cipriota, all'opposto, qualifica l'operazione come «barbarica invasione e occupazione illegale», in aperta violazione della risoluzione 353 del Consiglio di Sicurezza del 20 luglio 1974 che imponeva il cessate il fuoco immediato e la cessazione dell'intervento militare straniero. Parikiaki (https://www.parikiaki.com/2026/08/%CF%84oday-marks-second-phase-of-1974-barbaric-turkish-invasion-of-cyprus/) La denominazione dell'evento resta dunque duplice e contesa — «operazione di pace» per la Turchia, «invasione» per la parte greca, cipriota e per la comunità internazionale — e va mantenuta nella sua duplicità.</w:t>
      </w:r>
    </w:p>
    <w:p>
      <w:pPr>
        <w:spacing w:after="120" w:line="276"/>
        <w:jc w:val="both"/>
      </w:pPr>
      <w:r>
        <w:rPr>
          <w:rFonts w:ascii="Barlow Semi Condensed" w:cs="Barlow Semi Condensed" w:eastAsia="Barlow Semi Condensed" w:hAnsi="Barlow Semi Condensed"/>
          <w:sz w:val="24"/>
          <w:szCs w:val="24"/>
        </w:rPr>
        <w:t xml:space="preserve">Quanto alla posizione italiana verso la Turchia in quella crisi, distinta da quella verso la Grecia, la documentazione primaria diretta è scarsa e va dichiarata come tale. Ciò che è accertato è il quadro istituzionale del coinvolgimento italiano, già stabilito nelle ricognizioni anteriori: l'Italia non figurava fra le potenze garanti di Cipro, non era membro del Consiglio di Sicurezza nel 1974 e non figurava fra i Paesi contributori di UNFICYP; ma era parte del meccanismo consultivo atlantico. Il documento FRUS 1969-1976, volume XXX, documento 16 — telegramma da Bruxelles del 4 luglio 1974 — attesta la convocazione, da parte del Segretario generale della NATO Joseph Luns, degli ambasciatori di Stati Uniti, Regno Unito, Francia, Repubblica Federale di Germania, Italia e Belgio per discutere la disputa greco-turca; e il documento 23 del 30 agosto 1974 include l'Italia fra gli alleati consultati sul ritiro greco dalla struttura militare integrata. L'Italia fu dunque, rispetto alla crisi, un attore consultato in seno all'Alleanza atlantica, non un mediatore né un garante. Sul piano dell'azione ministeriale di Moro, occorre ricordare che egli fu ministro degli Esteri fino al 23 novembre 1974 (l'edizione digitale delle carte Moro curata dall'Università di Bologna, con l'introduzione di Guido Formigoni, precisa i due mandati: 6 agosto 1969 – 26 giugno 1972 e 8 luglio 1973 – 26 novembre 1974) Unibo (https://aldomorodigitale.unibo.it/additional_resources/?id=141&amp;type=introduction) e che il medesimo 23 novembre 1974 si insediò il suo quarto governo, di cui fu presidente del Consiglio fino al 12 febbraio 1976; il gabinetto ottenne la fiducia del Senato il 5 dicembre 1974 con 190 voti a favore e 113 contrari, e della Camera il 7 dicembre 1974 con 355 voti a favore, 226 contrari e 19 astenuti. Non si sono reperite, nella documentazione telematicamente accessibile, dichiarazioni o atti specifici di Moro sulla Turchia nei mesi della crisi cipriota; la ricerca andrebbe condotta nell'Archivio Storico Diplomatico della Farnesina, serie Turchia e serie Cipro 1974, e nell'edizione digitale delle carte Moro. Si tratta, allo stato, di un esito prevalentemente negativo, che consolida però l'immagine di un'Italia collocata al margine consultivo della vicenda.</w:t>
      </w:r>
    </w:p>
    <w:p>
      <w:pPr>
        <w:pStyle w:val="Heading3"/>
        <w:spacing w:after="80" w:before="160"/>
      </w:pPr>
      <w:r>
        <w:rPr>
          <w:rFonts w:ascii="Barlow Semi Condensed" w:cs="Barlow Semi Condensed" w:eastAsia="Barlow Semi Condensed" w:hAnsi="Barlow Semi Condensed"/>
          <w:sz w:val="24"/>
          <w:szCs w:val="24"/>
        </w:rPr>
        <w:t xml:space="preserve">Capitolo IV — L'embargo statunitense sulle forniture militari alla Turchia e l'assetto NATO del fianco sud</w:t>
      </w:r>
    </w:p>
    <w:p>
      <w:pPr>
        <w:spacing w:after="120" w:line="276"/>
        <w:jc w:val="both"/>
      </w:pPr>
      <w:r>
        <w:rPr>
          <w:rFonts w:ascii="Barlow Semi Condensed" w:cs="Barlow Semi Condensed" w:eastAsia="Barlow Semi Condensed" w:hAnsi="Barlow Semi Condensed"/>
          <w:sz w:val="24"/>
          <w:szCs w:val="24"/>
        </w:rPr>
        <w:t xml:space="preserve">La reazione del Congresso statunitense all'uso di armi americane nell'intervento a Cipro condusse a un embargo sulle forniture militari alla Turchia. La misura fu deliberata dal Congresso nel dicembre 1974 ed entrò in vigore il 5 febbraio 1975. Le fonti concordano sulla dinamica: l'embargo puniva l'occupazione continuata e il presunto uso improprio di armamenti statunitensi Martinkramer (https://martinkramer.org/wp-content/uploads/2025/09/cyprus-1974.pdf) in violazione delle clausole d'uso finale, e produsse una reazione ritorsiva turca. Il 18 giugno 1975, con una nota consegnata all'ambasciata statunitense, la Turchia — per voce del ministro degli Esteri İhsan Sabri Çağlayangil — dichiarò l'embargo «tanto ingiusto quanto errato sotto ogni aspetto» («both unjust and wrong in all its aspects», secondo la cronaca del Michigan Daily del 18 giugno 1975) e chiese l'apertura di negoziati sul futuro delle basi entro trenta giorni. umich (https://digital.bentley.umich.edu/midaily/mdp.39015071754639/361/download_text) Nel luglio 1975 la Turchia sospese le attività delle installazioni militari statunitensi sul proprio territorio — una ventina di basi, fra cui la vitale base aerea di İncirlik e tre stazioni di intelligence per il monitoraggio dei movimenti navali sovietici in ingresso e uscita dal Mar Nero umich (https://digital.bentley.umich.edu/midaily/mdp.39015071754639/361/download_text) — mantenendo operative solo quelle funzionali alla NATO. La vicenda parlamentare statunitense fu tormentata: il Senato votò per la revoca nel maggio 1975, ma la Camera dei Rappresentanti la respinse il 24 luglio 1975 con 223 voti contro 206, in un dibattito in cui gli oppositori del piano di Gerald Ford accusarono l'amministrazione di cedere a un «ricatto». msu (https://archive.lib.msu.edu/DMC/state_news/1975/state_news_19750725.pdf) Solo il 25 luglio 1978 il Senato votò 57 a 42 per la revoca, perfezionata il 26 settembre 1978 con la firma del presidente Carter e la Presidential Determination n. 78-18 state (https://history.state.gov/historicaldocuments/frus1977-80v21/d121) (fonte: FRUS 1977-1980, vol. XXI, doc. 121).</w:t>
      </w:r>
    </w:p>
    <w:p>
      <w:pPr>
        <w:spacing w:after="120" w:line="276"/>
        <w:jc w:val="both"/>
      </w:pPr>
      <w:r>
        <w:rPr>
          <w:rFonts w:ascii="Barlow Semi Condensed" w:cs="Barlow Semi Condensed" w:eastAsia="Barlow Semi Condensed" w:hAnsi="Barlow Semi Condensed"/>
          <w:sz w:val="24"/>
          <w:szCs w:val="24"/>
        </w:rPr>
        <w:t xml:space="preserve">Le conseguenze sull'assetto NATO del fianco sud furono considerevoli, poiché l'embargo indebolì la seconda forza terrestre dell'Alleanza e sospese l'uso di basi essenziali per la sorveglianza del blocco sovietico. DEU University (https://web.deu.edu.tr/kibris/articles/aftermath.html) La posizione italiana su questo specifico dossier non è documentata da fonti primarie direttamente reperite: non si sono trovate dichiarazioni del governo Moro né atti della Farnesina che prendessero posizione sull'embargo statunitense alla Turchia. Si tratta di un esito negativo, la cui sede di chiusura è duplice: l'Archivio Storico Diplomatico del Ministero degli Affari Esteri per la corrispondenza con la rappresentanza presso la NATO, e la documentazione del Comando atlantico. È tuttavia possibile inferire, senza forzature, che l'Italia — Paese del fianco sud dell'Alleanza, direttamente interessata alla tenuta del dispositivo mediterraneo — avesse un interesse oggettivo alla ricomposizione della frattura fra Washington e Ankara; ma l'inferenza va tenuta distinta da un accertamento documentale, che qui manca. Si eviti, in particolare, di trattare la comune appartenenza atlantica come prova di una convergenza attiva: essa è al più comunanza di ambiente istituzionale.</w:t>
      </w:r>
    </w:p>
    <w:p>
      <w:pPr>
        <w:pStyle w:val="Heading3"/>
        <w:spacing w:after="80" w:before="160"/>
      </w:pPr>
      <w:r>
        <w:rPr>
          <w:rFonts w:ascii="Barlow Semi Condensed" w:cs="Barlow Semi Condensed" w:eastAsia="Barlow Semi Condensed" w:hAnsi="Barlow Semi Condensed"/>
          <w:sz w:val="24"/>
          <w:szCs w:val="24"/>
        </w:rPr>
        <w:t xml:space="preserve">Capitolo V — La questione egea, la piattaforma continentale e la Convenzione di Montreux</w:t>
      </w:r>
    </w:p>
    <w:p>
      <w:pPr>
        <w:spacing w:after="120" w:line="276"/>
        <w:jc w:val="both"/>
      </w:pPr>
      <w:r>
        <w:rPr>
          <w:rFonts w:ascii="Barlow Semi Condensed" w:cs="Barlow Semi Condensed" w:eastAsia="Barlow Semi Condensed" w:hAnsi="Barlow Semi Condensed"/>
          <w:sz w:val="24"/>
          <w:szCs w:val="24"/>
        </w:rPr>
        <w:t xml:space="preserve">La disputa greco-turca sulla piattaforma continentale dell'Egeo si acuì proprio negli anni del secondo mandato di Moro. Verso la fine del 1973 il governo turco concesse alla Türkiye Petrolleri Anonim Ortaklığı (TPAO), la compagnia petrolifera di Stato, licenze di esplorazione per idrocarburi in ventisette zone della piattaforma continentale egea, a est di una linea che partiva dalla foce del fiume Evros a nord e si estendeva verso sud, a ovest delle isole greche di Chios e Psara, in aree che la Grecia riteneva pertinenti alla piattaforma continentale delle proprie isole. Eliamep (https://www.eliamep.gr/en/oi-ellinotourkikes-diafores-sto-thalassio-choro-apo-tin-optiki-tou-diethnous-dikaiou/) Ne seguì uno scambio di note verbali. Con nota verbale del 7 febbraio 1974 il governo greco, fondandosi sul diritto internazionale codificato dagli articoli 1(b) e 2 della Convenzione di Ginevra del 1958 sulla piattaforma continentale, contestò la validità delle licenze turche, riservò i propri diritti sovrani sulla piattaforma adiacente alle coste delle isole e sostenne che la delimitazione dovesse avvenire secondo il principio dell'equidistanza mediante una linea mediana International Court of Justice (https://www.icj-cij.org/node/103115) (così la sentenza della Corte internazionale di giustizia del 19 dicembre 1978, che ricostruisce l'origine della controversia). Con nota verbale del 27 febbraio 1974 il governo turco replicò che «le isole greche situate assai vicino alla costa turca non possiedono una piattaforma continentale propria», International Court of Justice (https://www.icj-cij.org/node/103115) contestando l'applicabilità del criterio invocato da Atene e argomentando che l'Egeo costituisce il prolungamento naturale della penisola anatolica. La Grecia rispose con un'ulteriore nota del 24 maggio 1974. ResearchGate (https://www.researchgate.net/publication/340592573_Aegean_Sea_Continental_Shelf_Greece_v_Turkey) La vicenda sarebbe sfociata, dopo la fase acuta del 1976 (in cui la Grecia adì simultaneamente, il 10 agosto 1976, la Corte internazionale di giustizia e il Consiglio di Sicurezza, che il 25 agosto 1976 adottò la risoluzione 395), International Court of Justice (https://www.icj-cij.org/node/103115) nella sentenza del 19 dicembre 1978 con cui la Corte declinò la propria giurisdizione.</w:t>
      </w:r>
    </w:p>
    <w:p>
      <w:pPr>
        <w:spacing w:after="120" w:line="276"/>
        <w:jc w:val="both"/>
      </w:pPr>
      <w:r>
        <w:rPr>
          <w:rFonts w:ascii="Barlow Semi Condensed" w:cs="Barlow Semi Condensed" w:eastAsia="Barlow Semi Condensed" w:hAnsi="Barlow Semi Condensed"/>
          <w:sz w:val="24"/>
          <w:szCs w:val="24"/>
        </w:rPr>
        <w:t xml:space="preserve">Le posizioni delle due parti vanno riportate ciascuna con il proprio statuto di posizione di parte, senza adottarne alcuna: per la Grecia la piattaforma delle isole è misurata come quella di ogni territorio secondo l'equidistanza; per la Turchia le isole prospicienti la costa anatolica non generano piattaforma autonoma e l'Egeo è prolungamento del continente asiatico (posizione ribadita nel 1976 dal presidente Fahri Korutürk, secondo cui l'Egeo è «un'estensione dell'Asia Minore»). Taylor &amp; Francis Online (https://www.tandfonline.com/doi/abs/10.1080/00908320590909088) Il rapporto fra la questione egea e la crisi cipriota è, sul piano documentale, un rapporto di simultaneità e di comunanza di attori — le medesime cancellerie di Atene e Ankara, i medesimi mesi del 1974 — più che di nesso causale accertato: le due dispute si alimentarono reciprocamente sul piano del clima diplomatico, ma vanno tenute analiticamente distinte, evitando di trattare la contemporaneità come prova di un disegno unitario.</w:t>
      </w:r>
    </w:p>
    <w:p>
      <w:pPr>
        <w:spacing w:after="120" w:line="276"/>
        <w:jc w:val="both"/>
      </w:pPr>
      <w:r>
        <w:rPr>
          <w:rFonts w:ascii="Barlow Semi Condensed" w:cs="Barlow Semi Condensed" w:eastAsia="Barlow Semi Condensed" w:hAnsi="Barlow Semi Condensed"/>
          <w:sz w:val="24"/>
          <w:szCs w:val="24"/>
        </w:rPr>
        <w:t xml:space="preserve">La posizione italiana sulla disputa egea non è documentata da fonti primarie direttamente reperite per il periodo 1973-1974: si registra un esito negativo, con sede di chiusura nell'Archivio Storico Diplomatico della Farnesina. È tuttavia rilevante, come termine di confronto, che l'Italia avesse una prassi consolidata di delimitazione della piattaforma continentale nel Mediterraneo mediante accordi bilaterali: l'Accordo fra Grecia e Italia sulla piattaforma continentale fu firmato il 24 maggio 1977, Taylor &amp; Francis Online (https://www.tandfonline.com/doi/abs/10.1080/00908320590909088) a testimonianza di un metodo negoziale bilaterale che l'Italia praticava nella regione, benché su un fronte diverso da quello egeo conteso. Quanto alla Convenzione di Montreux del 20 luglio 1936 sul regime degli Stretti — Dardanelli, Mar di Marmara e Bosforo —, essa conferiva e conferisce alla Turchia il controllo del transito navale, Agenzia Nova (https://www.agenzianova.com/news/ucraina-russia-erdogan-applicheremo-convenzione-montreux-per-limitare-conflitto/) con regimi distinti per il tempo di pace e di guerra e per le navi mercantili e da guerra. L'Italia non partecipò alla conferenza preparatoria ma aderì successivamente, sottoscrivendo l'accordo il 2 maggio 1938. it.google-info.cn (https://amp.it.google-info.cn/2723395/1/convenzione-di-montreux.html) Wikipedia (https://it.wikipedia.org/wiki/Convenzione_di_Montreux) La rilevanza della Convenzione nel periodo considerato è essenzialmente strategica e di sfondo: essa collocava la Turchia in posizione di custode degli Stretti nell'assetto della guerra fredda, funzione che aveva segnato l'ingresso di Ankara nella sfera di protezione statunitense fin dal contenzioso sovietico del 1945; it.google-info.cn (https://amp.it.google-info.cn/2723395/1/convenzione-di-montreux.html) Wikipedia (https://it.wikipedia.org/wiki/Convenzione_di_Montreux) non si sono però reperiti atti che colleghino specificamente Montreux all'azione ministeriale di Moro.</w:t>
      </w:r>
    </w:p>
    <w:p>
      <w:pPr>
        <w:pStyle w:val="Heading3"/>
        <w:spacing w:after="80" w:before="160"/>
      </w:pPr>
      <w:r>
        <w:rPr>
          <w:rFonts w:ascii="Barlow Semi Condensed" w:cs="Barlow Semi Condensed" w:eastAsia="Barlow Semi Condensed" w:hAnsi="Barlow Semi Condensed"/>
          <w:sz w:val="24"/>
          <w:szCs w:val="24"/>
        </w:rPr>
        <w:t xml:space="preserve">Capitolo VI — I rapporti bilaterali Italia-Turchia 1969-1975</w:t>
      </w:r>
    </w:p>
    <w:p>
      <w:pPr>
        <w:spacing w:after="120" w:line="276"/>
        <w:jc w:val="both"/>
      </w:pPr>
      <w:r>
        <w:rPr>
          <w:rFonts w:ascii="Barlow Semi Condensed" w:cs="Barlow Semi Condensed" w:eastAsia="Barlow Semi Condensed" w:hAnsi="Barlow Semi Condensed"/>
          <w:sz w:val="24"/>
          <w:szCs w:val="24"/>
        </w:rPr>
        <w:t xml:space="preserve">I rapporti bilaterali fra Italia e Turchia nel periodo si iscrivono in una relazione di lunga durata, fondata su secolari legami storici e su una comune identità mediterranea, Esteri (https://ambankara.esteri.it/it/italia-e-turchia/) e su un dato strutturale che le fonti ufficiali italiane sottolineano: la collettività italiana in Turchia, che ha origine medievale ed è definita dalla stessa diplomazia italiana «la più antica colonia italiana al mondo», costituita dagli «Italiani del Levante» Cespi (https://www.cespi.it/sites/default/files/osservatori/allegati/apr._2_marsili_italia-turchia.pdf) insediati principalmente a Istanbul e a Smirne (così l'approfondimento del Cespi n. 2/giugno 2019 sui rapporti bilaterali Italia-Turchia). La presenza istituzionale italiana in Turchia si articolava — e si articola — in un'ambasciata ad Ankara, un consolato generale a Istanbul e un consolato a Smirne, oltre all'Istituto italiano di cultura di Istanbul. Wikipedia (https://it.wikipedia.org/wiki/Relazioni_bilaterali_tra_Italia_e_Turchia) Un elemento di continuità patrimoniale, ricordato dalla pubblicistica diplomatica, è la proprietà italiana dello storico edificio di Istanbul rivendicato nel 1918 dal conte Carlo Sforza, alto commissario italiano per l'attuazione dell'armistizio con l'Impero ottomano. Cespi (https://www.cespi.it/sites/default/files/osservatori/allegati/apr._2_marsili_italia-turchia.pdf)</w:t>
      </w:r>
    </w:p>
    <w:p>
      <w:pPr>
        <w:spacing w:after="120" w:line="276"/>
        <w:jc w:val="both"/>
      </w:pPr>
      <w:r>
        <w:rPr>
          <w:rFonts w:ascii="Barlow Semi Condensed" w:cs="Barlow Semi Condensed" w:eastAsia="Barlow Semi Condensed" w:hAnsi="Barlow Semi Condensed"/>
          <w:sz w:val="24"/>
          <w:szCs w:val="24"/>
        </w:rPr>
        <w:t xml:space="preserve">Sul piano economico e commerciale, la documentazione telematicamente accessibile per gli anni 1969-1975 è lacunosa e non consente di fornire cifre precise sull'interscambio del periodo: si registra un esito parzialmente negativo, la cui sede di chiusura è nella documentazione dell'Istituto nazionale per il commercio estero e negli annuari statistici del commercio con l'estero dell'ISTAT per gli anni considerati, nonché nell'Archivio Storico Diplomatico della Farnesina, serie affari economici. È accertato il quadro pattizio di fondo: i rapporti commerciali bilaterali erano regolati dal Trattato di commercio e navigazione del 29 dicembre 1936 con Protocollo aggiuntivo, in vigore dal 1° gennaio 1937 fra la Repubblica di Turchia e la Repubblica italiana, Gazzetta Ufficiale (https://www.gazzettaufficiale.it/atto/vediMenuHTML?atto.dataPubblicazioneGazzetta=1993-10-15&amp;atto.codiceRedazionale=093A5659&amp;tipoSerie=serie_generale&amp;tipoVigenza=originario) trattato che sarebbe stato modificato solo nel 1992 (con scambio di lettere del 18 settembre – 26 ottobre 1992, per l'abolizione degli articoli da 1 a 5), in considerazione dell'evoluzione della politica commerciale comunitaria. Gazzetta Ufficiale (https://www.gazzettaufficiale.it/atto/vediMenuHTML?atto.dataPubblicazioneGazzetta=1993-10-15&amp;atto.codiceRedazionale=093A5659&amp;tipoSerie=serie_generale&amp;tipoVigenza=originario) Il fatto che tale trattato del 1936 fosse ancora in vigore nel periodo considerato indica che il quadro giuridico bilaterale degli scambi era, negli anni di Moro, quello risalente e non aggiornato, mentre la dimensione comunitaria dei rapporti commerciali con la Turchia era assorbita dall'associazione CEE.</w:t>
      </w:r>
    </w:p>
    <w:p>
      <w:pPr>
        <w:spacing w:after="120" w:line="276"/>
        <w:jc w:val="both"/>
      </w:pPr>
      <w:r>
        <w:rPr>
          <w:rFonts w:ascii="Barlow Semi Condensed" w:cs="Barlow Semi Condensed" w:eastAsia="Barlow Semi Condensed" w:hAnsi="Barlow Semi Condensed"/>
          <w:sz w:val="24"/>
          <w:szCs w:val="24"/>
        </w:rPr>
        <w:t xml:space="preserve">Quanto alle visite ministeriali reciproche, e in particolare a eventuali visite di Moro in Turchia o di ministri turchi in Italia nel periodo, non si sono reperite fonti primarie che le documentino: la fonte diplomatica italiana consultata (Cespi) data le prime visite di Stato di alto livello reciproche ad epoca assai posteriore (le visite dei presidenti Ciampi ad Ankara e Istanbul nel novembre 2005 e Napolitano ad Ankara e Smirne nel novembre 2009 Cespi (https://www.cespi.it/sites/default/files/osservatori/allegati/apr._2_marsili_italia-turchia.pdf) sono presentate come culmine dei rapporti bilaterali), il che, per differenza, suggerisce che negli anni Settanta i contatti fossero di rango prevalentemente tecnico e comunitario più che di vertice bilaterale. Si tratta di un esito negativo, con sede di chiusura nell'Archivio Storico Diplomatico e negli archivi del cerimoniale della Farnesina. Sulla questione della manodopera turca in Europa, il Protocollo addizionale del 1970 prevedeva, come si è visto, la libera circolazione dei lavoratori come traguardo della fase transitoria; ma la posizione italiana specifica su tale profilo non è documentata da fonti primarie reperite, e l'emigrazione turca del periodo era diretta prevalentemente verso la Repubblica Federale di Germania, non verso l'Italia, Paese esso stesso di emigrazione. Data la relativa esiguità del materiale primario, il capitolo è tenuto misurato.</w:t>
      </w:r>
    </w:p>
    <w:p>
      <w:pPr>
        <w:pStyle w:val="Heading3"/>
        <w:spacing w:after="80" w:before="160"/>
      </w:pPr>
      <w:r>
        <w:rPr>
          <w:rFonts w:ascii="Barlow Semi Condensed" w:cs="Barlow Semi Condensed" w:eastAsia="Barlow Semi Condensed" w:hAnsi="Barlow Semi Condensed"/>
          <w:sz w:val="24"/>
          <w:szCs w:val="24"/>
        </w:rPr>
        <w:t xml:space="preserve">Capitolo VII — La questione degli oppiacei</w:t>
      </w:r>
    </w:p>
    <w:p>
      <w:pPr>
        <w:spacing w:after="120" w:line="276"/>
        <w:jc w:val="both"/>
      </w:pPr>
      <w:r>
        <w:rPr>
          <w:rFonts w:ascii="Barlow Semi Condensed" w:cs="Barlow Semi Condensed" w:eastAsia="Barlow Semi Condensed" w:hAnsi="Barlow Semi Condensed"/>
          <w:sz w:val="24"/>
          <w:szCs w:val="24"/>
        </w:rPr>
        <w:t xml:space="preserve">La questione degli oppiacei costituisce, nel periodo considerato, il dossier turco più densamente documentato dalle fonti desecretate statunitensi, e presenta una rilevanza indiretta ma reale per l'Italia. Il governo Ecevit decise il 1° luglio 1974 di revocare il divieto di coltivazione del papavero da oppio che era stato introdotto nel giugno 1971 dal governo di Nihat Erim sotto forte pressione statunitense, esercitata personalmente dal presidente Nixon. state (https://history.state.gov/historicaldocuments/frus1969-76v30/d208) La revoca fu formalizzata con il Decreto n. 7522 del luglio 1974, ResearchGate (https://www.researchgate.net/publication/262013273_A_Very_Gradual_Suppression_A_History_of_Turkish_Opium_Controls_1933-1974) che riautorizzava la coltivazione in sei province e in parte della provincia di Konya. La decisione è documentata in presa diretta dai Foreign Relations of the United States: il telegramma 5213 dell'ambasciata ad Ankara del 2 luglio 1974 (documento 204 del volume XXX) riferisce dell'incontro notturno dell'ambasciatore con Ecevit, il quale confermò che il Consiglio dei ministri aveva approvato il decreto e annunciò che avrebbe chiesto «alle Nazioni Unite consiglio e assistenza tecnica» e che «tutte le misure di controllo raccomandate sarebbero state adottate». state (https://history.state.gov/historicaldocuments/frus1969-76v30/d204) Già il telegramma 1310 del 21 febbraio 1974 (documento 154 del volume E-3) aveva riferito di un lungo colloquio con Ecevit in cui l'ambasciatore, su istruzione di Washington, aveva espresso «strong USG hope that Turkey would not lift poppy ban». state (https://history.state.gov/historicaldocuments/frus1969-76ve03/d154) La reazione di Washington è tracciabile passo per passo: il memorandum di Henry Kissinger al presidente Ford (documento 208 del volume XXX) qualificava la questione come richiedente una decisione presidenziale, ricordando che l'oppio turco era stato «la principale fonte dell'eroina contrabbandata negli Stati Uniti» e che dal divieto del 1971 vi era stato «un drammatico declino della tossicodipendenza da eroina negli Stati Uniti»; state (https://history.state.gov/historicaldocuments/frus1969-76v30/d208) il paper del Gruppo interdipartimentale per l'Europa del Consiglio di sicurezza nazionale (documento 206) analizzava le opzioni di risposta; il National Security Decision Memorandum 267 del 23 agosto 1974 (documento 209 del volume XXX, replicato come documento 164 del volume E-3) impartiva le istruzioni operative, fra cui l'avvio di discussioni con il governo turco e le agenzie delle Nazioni Unite per prevenire il contrabbando. state (https://history.state.gov/historicaldocuments/frus1969-76v30/d209) state (https://history.state.gov/historicaldocuments/frus1969-76ve03/d164)</w:t>
      </w:r>
    </w:p>
    <w:p>
      <w:pPr>
        <w:spacing w:after="120" w:line="276"/>
        <w:jc w:val="both"/>
      </w:pPr>
      <w:r>
        <w:rPr>
          <w:rFonts w:ascii="Barlow Semi Condensed" w:cs="Barlow Semi Condensed" w:eastAsia="Barlow Semi Condensed" w:hAnsi="Barlow Semi Condensed"/>
          <w:sz w:val="24"/>
          <w:szCs w:val="24"/>
        </w:rPr>
        <w:t xml:space="preserve">Il collegamento con la French Connection e con le rotte balcaniche è storiograficamente accertato. La French Connection — la rete che rifiniva a Marsiglia, nei laboratori corsi diretti da esponenti dell'Unione Corse, la morfina base di provenienza anatolica per esportarla come eroina ad alta purezza verso gli Stati Uniti Grokipedia (https://grokipedia.com/page/Turkish_mafia) — dipendeva in misura maggioritaria dall'oppio turco, e il divieto turco del 1971, Discover Walks (https://www.discoverwalks.com/blog/paris/all-about-the-french-connection/) unito allo smantellamento della rete corsa nei primi anni Settanta (con i sequestri del 1972), ne segnò la fine. Il ruolo turco nel traffico si sarebbe poi ristrutturato lungo la cosiddetta rotta balcanica, corridoio terrestre che dagli anni successivi convogliò gli oppiacei dall'Asia sud-occidentale verso l'Europa attraverso la Turchia e i Balcani, Wikipedia (https://en.wikipedia.org/wiki/Balkan_Route) con l'Italia fra i punti di arrivo, in parte via mare mediante traghetti. La rilevanza per l'Italia — Paese di transito e di consumo dell'eroina di provenienza turca e mediorientale — è dunque strutturalmente documentata sul piano criminologico.</w:t>
      </w:r>
    </w:p>
    <w:p>
      <w:pPr>
        <w:spacing w:after="120" w:line="276"/>
        <w:jc w:val="both"/>
      </w:pPr>
      <w:r>
        <w:rPr>
          <w:rFonts w:ascii="Barlow Semi Condensed" w:cs="Barlow Semi Condensed" w:eastAsia="Barlow Semi Condensed" w:hAnsi="Barlow Semi Condensed"/>
          <w:sz w:val="24"/>
          <w:szCs w:val="24"/>
        </w:rPr>
        <w:t xml:space="preserve">Sul piano diplomatico, tuttavia, occorre segnalare un esito negativo circostanziato: non si sono reperite fonti primarie che documentino uno specifico coinvolgimento della Farnesina di Moro nella vicenda della revoca del divieto turco del 1974, né una specifica posizione italiana in sede di Nazioni Unite e di Commissione stupefacenti su quel dossier. La documentazione statunitense mostra un negoziato prevalentemente bilaterale turco-americano, con il ricorso turco alle Nazioni Unite come garante tecnico; l'Italia non compare, nei documenti reperiti, fra gli attori diplomatici della vicenda. La sede di chiusura è duplice: l'Archivio Storico Diplomatico della Farnesina, serie affari sociali e stupefacenti, e gli archivi della Commissione stupefacenti delle Nazioni Unite a Vienna. Va evitata, in particolare, l'inferenza indebita che, poiché l'Italia era Paese di consumo, essa avesse necessariamente assunto una posizione diplomatica attiva: la contemporaneità del problema del consumo interno con la vicenda turca non equivale a un nesso diplomatico documentato.</w:t>
      </w:r>
    </w:p>
    <w:p>
      <w:pPr>
        <w:pStyle w:val="Heading3"/>
        <w:spacing w:after="80" w:before="160"/>
      </w:pPr>
      <w:r>
        <w:rPr>
          <w:rFonts w:ascii="Barlow Semi Condensed" w:cs="Barlow Semi Condensed" w:eastAsia="Barlow Semi Condensed" w:hAnsi="Barlow Semi Condensed"/>
          <w:sz w:val="24"/>
          <w:szCs w:val="24"/>
        </w:rPr>
        <w:t xml:space="preserve">Capitolo VIII — Il Patriarcato ecumenico e la chiusura del Seminario di Halki</w:t>
      </w:r>
    </w:p>
    <w:p>
      <w:pPr>
        <w:spacing w:after="120" w:line="276"/>
        <w:jc w:val="both"/>
      </w:pPr>
      <w:r>
        <w:rPr>
          <w:rFonts w:ascii="Barlow Semi Condensed" w:cs="Barlow Semi Condensed" w:eastAsia="Barlow Semi Condensed" w:hAnsi="Barlow Semi Condensed"/>
          <w:sz w:val="24"/>
          <w:szCs w:val="24"/>
        </w:rPr>
        <w:t xml:space="preserve">La chiusura della Scuola teologica di Halki, sull'isola di Heybeliada nel Mar di Marmara, avvenne nel 1971 durante il primo mandato ministeriale di Moro e costituisce lo snodo più rilevante per la condizione delle minoranze cristiane di Turchia nel periodo. La scuola, operativa dal 1844 sui terreni del monastero della Santissima Trinità (Hagia Triada), Wikipedia (https://en.wikipedia.org/wiki/Halki_seminary) aveva formato nel corso della sua storia dodici patriarchi ecumenici; Asia News (https://www.asianews.it/notizie-it/Halki-e-la-chiesa-biblioteca-di-Adana:-il-futuro-(incerto)-del-patrimonio-cristiano-turco-65440.html) la testata Türkiye Today (2026) precisa che «over 127 years of operation, it produced approximately 990 graduates, among them 12 Ecumenical Patriarchs, including Bartholomew I himself, as well as the heads of the churches of Alexandria, Antioch, Athens, and Albania», Türkiye Today (https://www.turkiyetoday.com/nation/turkiye-plans-to-reopen-halki-seminary-as-university-after-more-than-50-years-3222222) mentre l'Arcidiocesi greco-ortodossa d'America (GOARCH) fornisce una stima divergente e più ampia — «330 bishops, one exarch, five archbishops, and seventeen patriarchs» Greek Orthodox Archdiocese of America (https://www.goarch.org/-/he-halki) — divergenza numerica che qui si riporta anziché risolvere. Era, in ogni caso, l'unica istituzione educativa greco-ortodossa in Turchia deputata alla formazione della leadership religiosa. La Fiaccola (https://www.lafiaccola.it/wp/alla-conferenza-dellosce-il-patriarcato-ecumenico-e-la-minoranza-greca-in-turchia/) La chiusura fu conseguenza di una sentenza della Corte costituzionale turca Internazionale (https://www.internazionale.it/ultime-notizie-reuters/2026/06/21/erdogan-orders-talks-to-reopen-orthodox-christian-seminary-in-turkey-a-focus-for-trump) che, in attuazione del principio secondo cui gli istituti privati di istruzione superiore dovevano essere affiliati alle università statali — requisito respinto dal Patriarcato Internazionale (https://www.internazionale.it/ultime-notizie-reuters/2026/06/21/erdogan-orders-talks-to-reopen-orthodox-christian-seminary-in-turkey-a-focus-for-trump) —, forzò di fatto la cessazione dell'attività accademica. Le fonti divergono lievemente sulla qualificazione dell'atto: alcune parlano di «decreto del parlamento turco», SettimanaNews (https://www.settimananews.it/chiesa/turchia-bartolomeo-fiducioso-sulla-riapertura-di-halki/) altre di «sentenza della Corte Costituzionale», Asia News (https://www.asianews.it/notizie-it/Halki-e-la-chiesa-biblioteca-di-Adana:-il-futuro-(incerto)-del-patrimonio-cristiano-turco-65440.html) altre ancora di chiusura «dai militari»; Il Sole 24 ORE (https://www.ilsole24ore.com/art/notizie/2012-07-11/turchi-vogliono-chiudere-monastero-192229.shtml?uuid=AbqTFS6F) la divergenza va riportata anziché risolta silenziosamente, fermo restando l'anno 1971 e la motivazione formale della legge sull'istruzione superiore privata.</w:t>
      </w:r>
    </w:p>
    <w:p>
      <w:pPr>
        <w:spacing w:after="120" w:line="276"/>
        <w:jc w:val="both"/>
      </w:pPr>
      <w:r>
        <w:rPr>
          <w:rFonts w:ascii="Barlow Semi Condensed" w:cs="Barlow Semi Condensed" w:eastAsia="Barlow Semi Condensed" w:hAnsi="Barlow Semi Condensed"/>
          <w:sz w:val="24"/>
          <w:szCs w:val="24"/>
        </w:rPr>
        <w:t xml:space="preserve">Il contesto ecclesiale è segnato dalla morte del patriarca ecumenico Atenagora I, avvenuta a Istanbul. Le fonti presentano una piccola ma reale divergenza sulla data e circostanza: la Wikipedia inglese indica che egli «was hospitalized on 6 July 1972, for a broken hip, but died from kidney failure in Istanbul the following day at the age of 86», Wikipedia (https://en.wikipedia.org/wiki/Athenagoras_I_of_Constantinople) dunque il 7 luglio 1972 (data recepita anche dal martirologio del Monastero di Bose), e fu sepolto nel cimitero della Chiesa di Santa Maria della Fonte a Balıklı; Wikipedia (https://en.wikipedia.org/wiki/Athenagoras_I_of_Constantinople) la fonte accademica spagnola di Ángel Santos, S.J. («Atenágoras, Patriarca Ecuménico y unionista», Universidad Pontificia de Salamanca) colloca invece il decesso «a últimas horas de la tarde del 6 de julio (1972)» nell'ospedale di Balıklı; UPSA (https://summa.upsa.es/high.raw?id=0000001470&amp;name=00000001.original.pdf) la divergenza fra il 6 e il 7 luglio va riportata. Atenagora era stato il protagonista, con Paolo VI, del disgelo ecumenico avviato con l'incontro di Gerusalemme del 5 gennaio 1964 Arche (https://fraternita.arche.it/testimoni/atenagora-i/) e culminato nella Dichiarazione comune del 7 dicembre 1965 che revocò le reciproche scomuniche del 1054. Thearda (https://www.thearda.com/us-religion/history/timelines/entry?etype=5&amp;eid=141) Wikipedia (https://en.wikipedia.org/wiki/Athenagoras_I_of_Constantinople) Gli succedette Dimitrios I, che le fonti indicano essere stato negli ultimi anni il collaboratore di fiducia dell'anziano Atenagora. La condizione della minoranza greco-ortodossa di Istanbul, già gravemente compromessa dal pogrom del 1955 e dalle espulsioni del 1964, si aggravò ulteriormente con la chiusura di Halki, che privava il Patriarcato del proprio vivaio di clero. Un vincolo ulteriore, imposto dalla legislazione turca in attuazione del Trattato di Losanna, è il requisito della cittadinanza turca per il patriarca ecumenico e per i membri del Santo Sinodo. La Fiaccola (https://www.lafiaccola.it/wp/alla-conferenza-dellosce-il-patriarcato-ecumenico-e-la-minoranza-greca-in-turchia/)</w:t>
      </w:r>
    </w:p>
    <w:p>
      <w:pPr>
        <w:spacing w:after="120" w:line="276"/>
        <w:jc w:val="both"/>
      </w:pPr>
      <w:r>
        <w:rPr>
          <w:rFonts w:ascii="Barlow Semi Condensed" w:cs="Barlow Semi Condensed" w:eastAsia="Barlow Semi Condensed" w:hAnsi="Barlow Semi Condensed"/>
          <w:sz w:val="24"/>
          <w:szCs w:val="24"/>
        </w:rPr>
        <w:t xml:space="preserve">Sulla questione cruciale dell'obiettivo di ricerca — se la chiusura di Halki, avvenuta durante il primo mandato di Moro, abbia prodotto reazioni diplomatiche italiane o vaticane documentate — si registra un esito negativo. Non si sono reperite fonti primarie che attestino una reazione ufficiale della Santa Sede o del governo italiano alla chiusura del 1971. È accertato il quadro dei rapporti fra Paolo VI e il Patriarcato in quegli anni, improntato al disgelo ecumenico; ma il nesso specifico fra tale disgelo e una eventuale presa di posizione sulla chiusura di Halki non è documentato dalle fonti reperite. La sede di chiusura è duplice: l'Archivio Apostolico Vaticano e l'archivio della Segreteria di Stato per il pontificato di Paolo VI, e l'archivio del Patriarcato ecumenico. Va evitata l'inferenza che l'esistenza del dialogo ecumenico implichi di per sé una reazione diplomatica documentata alla chiusura della scuola.</w:t>
      </w:r>
    </w:p>
    <w:p>
      <w:pPr>
        <w:pStyle w:val="Heading3"/>
        <w:spacing w:after="80" w:before="160"/>
      </w:pPr>
      <w:r>
        <w:rPr>
          <w:rFonts w:ascii="Barlow Semi Condensed" w:cs="Barlow Semi Condensed" w:eastAsia="Barlow Semi Condensed" w:hAnsi="Barlow Semi Condensed"/>
          <w:sz w:val="24"/>
          <w:szCs w:val="24"/>
        </w:rPr>
        <w:t xml:space="preserve">Capitolo IX — Le comunità cattoliche di Turchia e la Santa Sede</w:t>
      </w:r>
    </w:p>
    <w:p>
      <w:pPr>
        <w:spacing w:after="120" w:line="276"/>
        <w:jc w:val="both"/>
      </w:pPr>
      <w:r>
        <w:rPr>
          <w:rFonts w:ascii="Barlow Semi Condensed" w:cs="Barlow Semi Condensed" w:eastAsia="Barlow Semi Condensed" w:hAnsi="Barlow Semi Condensed"/>
          <w:sz w:val="24"/>
          <w:szCs w:val="24"/>
        </w:rPr>
        <w:t xml:space="preserve">Le comunità cattoliche di Turchia costituivano e costituiscono una minoranza minima all'interno di un Paese a stragrande maggioranza musulmana. La struttura ecclesiastica cattolica è articolata su più riti: la Chiesa latina comprende il Vicariato apostolico di Istanbul, l'Arcidiocesi di Smirne e il Vicariato apostolico dell'Anatolia SettimanaNews (https://www.settimananews.it/ecumenismo-dialogo/chiesa-latina-turchia-dal-dentro/) (quest'ultimo eretto nella forma attuale nel 1990, con il decreto Quo melius della Congregazione per le Chiese Orientali del 30 novembre 1990); Wikipedia (https://it.wikipedia.org/wiki/Vicariato_apostolico_di_Istanbul) ad essa si affiancano le circoscrizioni di rito orientale, ovvero l'Arcieparchia armena cattolica di Istanbul, la comunità caldea (storicamente riferita a Diyarbakır) e quella siro-cattolica, oltre a un Esarcato apostolico per i cattolici di rito bizantino. La consistenza numerica complessiva è dell'ordine di alcune decine di migliaia di fedeli. Le stime, che le fonti presentano con qualche divergenza da riportare, oscillano attorno ai sessantamila cattolici: l'agenzia AgenSIR (27 novembre 2025) indica che «i cattolici presenti nel Paese sono circa 60.000, equivalenti allo 0,07% della popolazione, composta prevalentemente da musulmani», SettimanaNews (https://www.settimananews.it/chiesa/cattolici-in-turchia/) SIR (https://www.agensir.it/chiesa/2025/11/27/le-comunita-cristiane-in-turchia-tra-storia-e-attualita/) mentre una stima più ridotta — 25-30.000, meno dello 0,04% SIR (https://www.agensir.it/quotidiano/2026/4/9/turchia-rapporto-cespi-chiese-scuole-e-proprieta-sono-le-sfide-quotidiane-dei-cattolici-e-dei-cristiani-nel-paese/) — è ripresa da AgenSIR il 9 aprile 2026 su base di un rapporto Cespi; la divergenza va riportata. Nel dettaglio, il Vicariato apostolico di Istanbul è indicato in circa quindicimila-diciassettemila battezzati, l'Arcidiocesi di Smirne in poco più di milletrecento fedeli (una fonte indica 1.350), il Vicariato dell'Anatolia in circa millecinquecento; per i riti orientali, l'arcidiocesi armena cattolica di Istanbul è stimata in 3.670 fedeli, i caldei in 5.993, i siri cattolici in 2.155 Fratesole (https://turchia.fratesole.com/approfondimenti/i-cristiani-nellimpero-ottomano-e-nella-turchia-moderna/) (fonte: turchia.fratesole.com). Una fonte vaticana recente distingue, per il solo vicariato latino di Istanbul, «poco più di diecimila fedeli locali» e «circa trentamila fedeli stranieri, rifugiati o migranti», Vatican News (https://www.vaticannews.va/it/chiesa/news/2025-11/turchia-un-paese-che-e-ponte-mosaico-diamante.html) segnalando così il carattere prevalentemente non autoctono della comunità.</w:t>
      </w:r>
    </w:p>
    <w:p>
      <w:pPr>
        <w:spacing w:after="120" w:line="276"/>
        <w:jc w:val="both"/>
      </w:pPr>
      <w:r>
        <w:rPr>
          <w:rFonts w:ascii="Barlow Semi Condensed" w:cs="Barlow Semi Condensed" w:eastAsia="Barlow Semi Condensed" w:hAnsi="Barlow Semi Condensed"/>
          <w:sz w:val="24"/>
          <w:szCs w:val="24"/>
        </w:rPr>
        <w:t xml:space="preserve">Lo statuto giuridico delle Chiese cristiane nella Turchia laica è definito, in senso restrittivo, dal Trattato di Losanna del 24 luglio 1923 e dalla legislazione sulle fondazioni. I governi turchi hanno costantemente interpretato gli articoli del Trattato relativi alle minoranze nel senso di riconoscere come minoranze religiose soltanto quelle ufficialmente riconosciute al tempo dell'Impero ottomano — greco-ortodossi, armeni ed ebrei —, con la conseguenza che le comunità caldea, siro-cattolica, siro-ortodossa, latina e protestante sono considerate «straniere» e dunque non tutelate dalle disposizioni di Losanna. Fratesole (https://turchia.fratesole.com/approfondimenti/i-cristiani-nellimpero-ottomano-e-nella-turchia-moderna/) Tale interpretazione restrittiva è stata contestata dalle comunità escluse e da organismi internazionali, fra cui la Commissione delle Nazioni Unite per i diritti dell'uomo. Fratesole (https://turchia.fratesole.com/approfondimenti/i-cristiani-nellimpero-ottomano-e-nella-turchia-moderna/) La questione armena va trattata, entro il perimetro assegnato, unicamente per quanto attiene alla condizione della comunità armena cattolica di Turchia: essa condivideva con le altre minoranze cattoliche la piccolezza numerica e la fragilità statutaria, pur beneficiando — in quanto armena — del riconoscimento formale di Losanna sul versante della minoranza etnico-religiosa, distinto però dal rito cattolico.</w:t>
      </w:r>
    </w:p>
    <w:p>
      <w:pPr>
        <w:spacing w:after="120" w:line="276"/>
        <w:jc w:val="both"/>
      </w:pPr>
      <w:r>
        <w:rPr>
          <w:rFonts w:ascii="Barlow Semi Condensed" w:cs="Barlow Semi Condensed" w:eastAsia="Barlow Semi Condensed" w:hAnsi="Barlow Semi Condensed"/>
          <w:sz w:val="24"/>
          <w:szCs w:val="24"/>
        </w:rPr>
        <w:t xml:space="preserve">Le relazioni diplomatiche fra Santa Sede e Turchia furono istituite nel 1960 con l'erezione dell'Internunziatura apostolica di Turchia, avvenuta il 25 gennaio 1960; l'Internunziatura fu elevata al rango di Nunziatura apostolica Cathopedia (https://it.cathopedia.org/wiki/Delegato_apostolico_in_Turchia) da Paolo VI il 30 agosto 1966 con il breve Optimo sane. Cathopedia (https://it.cathopedia.org/wiki/Delegato_apostolico_in_Turchia) Anteriormente, la rappresentanza pontificia era assicurata da un Delegato apostolico, figura non ufficialmente diplomatica ma trattata alla stregua di diplomatico. East Journal (https://www.eastjournal.net/archives/145757) È a questo punto che si colloca l'elemento di memoria condivisa di maggior rilievo: Angelo Giuseppe Roncalli, futuro Giovanni XXIII, fu delegato apostolico in Turchia — e amministratore del Vicariato apostolico di Istanbul — dal 1935 al 1944 (le fonti oscillano fra il 1934 e il 1935 come anno d'inizio effettivo; la Cathopedia indica la nomina al 12 gennaio 1935 e la conclusione al 23 dicembre 1944, quando Roncalli fu nominato nunzio apostolico in Francia). Cathopedia (https://it.cathopedia.org/wiki/Delegato_apostolico_in_Turchia) Roncalli operò in una comunità cattolica che al suo arrivo contava circa trentamila fedeli dei vari riti e che andò via via diminuendo; Terrasanta (https://www.terrasanta.net/2014/03/il-decennio-turco-di-monsignor-roncalli/) la sua figura è unanimemente ricordata, dalle fonti italiane e turche, come «ponte» fra mondi e come radice dell'amicizia che nel 1960 avrebbe condotto alle relazioni diplomatiche. Va segnalato, come dato archivistico rilevante, che la documentazione delle relazioni Santa Sede-Turchia è conservata in Segreteria di Stato prevalentemente in italiano e francese, e che studiosi come Rinaldo Marmara ne hanno avviato la trascrizione e catalogazione. Istanbulofm (https://www.istanbulofm.org/2021/11/le-relazioni-diplomatiche-turchia-santa.html) Non si sono reperite, nel perimetro della ricerca, tracce di un coinvolgimento italiano nella condizione delle minoranze cristiane di Turchia negli anni di Moro: la memoria roncalliana appartiene alla Santa Sede, non alla diplomazia della Repubblica.</w:t>
      </w:r>
    </w:p>
    <w:p>
      <w:pPr>
        <w:pStyle w:val="Heading3"/>
        <w:spacing w:after="80" w:before="160"/>
      </w:pPr>
      <w:r>
        <w:rPr>
          <w:rFonts w:ascii="Barlow Semi Condensed" w:cs="Barlow Semi Condensed" w:eastAsia="Barlow Semi Condensed" w:hAnsi="Barlow Semi Condensed"/>
          <w:sz w:val="24"/>
          <w:szCs w:val="24"/>
        </w:rPr>
        <w:t xml:space="preserve">Capitolo X — L'Opus Dei in Turchia</w:t>
      </w:r>
    </w:p>
    <w:p>
      <w:pPr>
        <w:spacing w:after="120" w:line="276"/>
        <w:jc w:val="both"/>
      </w:pPr>
      <w:r>
        <w:rPr>
          <w:rFonts w:ascii="Barlow Semi Condensed" w:cs="Barlow Semi Condensed" w:eastAsia="Barlow Semi Condensed" w:hAnsi="Barlow Semi Condensed"/>
          <w:sz w:val="24"/>
          <w:szCs w:val="24"/>
        </w:rPr>
        <w:t xml:space="preserve">L'ottavo obiettivo di ricerca chiedeva di verificare se l'Opus Dei abbia o abbia avuto presenza in Turchia, interrogando l'elenco ufficiale dell'ente delle date di inizio del lavoro stabile nei vari Paesi e l'elenco delle circoscrizioni regionali. La previsione, dichiarata in anticipo perché il suo esito è esso stesso un risultato, era che la Turchia non vi figurasse, come non vi figurano la Grecia e Cipro. La ricognizione conferma la previsione, con la precisazione che l'accertamento è parzialmente indiretto e ne va dichiarata la ragione. La fonte ufficiale dell'ente (opusdei.org, pagina «La storia dell'Opus Dei») attesta verbatim che «l'Opus Dei fu fondato nel 1928 in Spagna. È presente in 68 Paesi», Opus Dei (https://opusdei.org/it-it/article/storia/) Opus Dei (https://opusdei.org/it-it/page/lopus-dei/) e la pagina istituzionale rinvia a un prospetto delle «date di inizio del lavoro stabile dell'Opus Dei nei vari Paesi»; la Wikipedia stima i membri in 85.000 (2025). Wikipedia (https://en.wikipedia.org/wiki/Opus_Dei) La consultazione telematica della pagina di storia dell'ente non ha restituito l'elenco analitico completo dei 68 Paesi con le rispettive date, per limiti di estrazione del contenuto; ma la cifra di 68 Paesi, incrociata con la fisionomia geografica dell'espansione dell'ente e con l'assenza — già accertata nelle ricognizioni greca e cipriota — di Grecia e Cipro dal medesimo elenco, rende la Turchia assente in modo altamente probabile. La sede di chiusura definitiva è la consultazione integrale del prospetto ufficiale delle date di inizio del lavoro stabile e dell'elenco delle circoscrizioni regionali (delegazioni e regioni) dell'ente.</w:t>
      </w:r>
    </w:p>
    <w:p>
      <w:pPr>
        <w:spacing w:after="120" w:line="276"/>
        <w:jc w:val="both"/>
      </w:pPr>
      <w:r>
        <w:rPr>
          <w:rFonts w:ascii="Barlow Semi Condensed" w:cs="Barlow Semi Condensed" w:eastAsia="Barlow Semi Condensed" w:hAnsi="Barlow Semi Condensed"/>
          <w:sz w:val="24"/>
          <w:szCs w:val="24"/>
        </w:rPr>
        <w:t xml:space="preserve">Non si sono reperite opere educative dell'Opus Dei in Turchia, né membri turchi documentati come tali, né circoscrizioni regionali dell'ente comprendenti la Turchia. Le uniche occorrenze del binomio «Opus Dei» e «Turchia» reperite nelle fonti sono di natura affatto diversa e non provano una presenza dell'ente nel Paese: da un lato una testimonianza, pubblicata dall'ente stesso, di studenti musulmani e di un turco ortodosso ospiti di una residenza universitaria diretta da membri dell'Opus Dei a Strasburgo, in Francia Opus Dei (https://opusdei.org/en/article/two-muslims-and-a-turkish-orthodox-life-in-nideck-residence/) — dunque fuori dalla Turchia; dall'altro un articolo del quotidiano turco Daily Sabah (22 gennaio 2015) che accosta, sul piano puramente comparativo e polemico, la struttura del movimento di Fethullah Gülen a quella dell'Opus Dei Daily Sabah (https://www.dailysabah.com/politics/2015/01/22/gulen-movement-displays-resemblance-to-opus-dei) — accostamento giornalistico che non ha valore probatorio di alcuna presenza istituzionale. Va inoltre segnalato che l'unica connessione recente fra l'ente e la Turchia riguarda la cronaca ecclesiale generale (il viaggio apostolico di Leone XIV in Turchia e Libano del 27 novembre – 2 dicembre 2025, Opus Dei (https://opusdei.org/en-us/article/journey-pope-leo-xiv-turkey-lebanon-2025) riportato anche dal sito dell'Opus Dei), che nulla dice circa un radicamento dell'ente nel Paese.</w:t>
      </w:r>
    </w:p>
    <w:p>
      <w:pPr>
        <w:spacing w:after="120" w:line="276"/>
        <w:jc w:val="both"/>
      </w:pPr>
      <w:r>
        <w:rPr>
          <w:rFonts w:ascii="Barlow Semi Condensed" w:cs="Barlow Semi Condensed" w:eastAsia="Barlow Semi Condensed" w:hAnsi="Barlow Semi Condensed"/>
          <w:sz w:val="24"/>
          <w:szCs w:val="24"/>
        </w:rPr>
        <w:t xml:space="preserve">Se ne trae la conseguenza analitica che consolida il modello già emerso nelle due ricognizioni anteriori. La presenza dell'Opus Dei nei Paesi del Mediterraneo orientale a maggioranza non cattolica è nulla, e la variabile discriminante dell'insediamento non è la natura del regime né la mera presenza di minoranze cattoliche, bensì la compresenza di una maggioranza cattolica e di un ceto universitario e professionale cattolico su cui l'apostolato dell'ente — nato nel 1933 con l'Accademia DYA, rivolta a studenti di Diritto e Architettura — possa radicarsi. Il caso turco è il più probante dei tre, perché somma tre fattori: maggioranza musulmana (attorno al 99 per cento della popolazione), La Nuova Bussola Quotidiana (https://lanuovabq.it/it/istanbul-ha-un-nuovo-vicario-apostolico) laicità dello Stato con controllo statale dell'istruzione religiosa (la stessa legge che chiuse Halki vietava l'istruzione superiore privata non affiliata alle università di Stato, precludendo così anche l'eventuale radicamento educativo di enti confessionali), e minoranza cattolica minima e in larga parte straniera. Il Libano, con inizio del lavoro stabile dell'ente dal 1996, resta il termine di confronto regionale che illumina per contrasto il caso turco: là dove esiste un ceto cattolico autoctono di dimensione significativa l'ente si insedia, là dove non esiste no. Si ribadisce, in conformità ai requisiti di metodo, che l'appartenenza di una persona all'Opus Dei non potrebbe comunque essere trattata come prova di una condotta dell'ente, e che qui non si è in ogni caso reperito alcun membro turco.</w:t>
      </w:r>
    </w:p>
    <w:p>
      <w:pPr>
        <w:pStyle w:val="Heading3"/>
        <w:spacing w:after="80" w:before="160"/>
      </w:pPr>
      <w:r>
        <w:rPr>
          <w:rFonts w:ascii="Barlow Semi Condensed" w:cs="Barlow Semi Condensed" w:eastAsia="Barlow Semi Condensed" w:hAnsi="Barlow Semi Condensed"/>
          <w:sz w:val="24"/>
          <w:szCs w:val="24"/>
        </w:rPr>
        <w:t xml:space="preserve">Capitolo XI — Documenti desecretati e stato degli archivi</w:t>
      </w:r>
    </w:p>
    <w:p>
      <w:pPr>
        <w:spacing w:after="120" w:line="276"/>
        <w:jc w:val="both"/>
      </w:pPr>
      <w:r>
        <w:rPr>
          <w:rFonts w:ascii="Barlow Semi Condensed" w:cs="Barlow Semi Condensed" w:eastAsia="Barlow Semi Condensed" w:hAnsi="Barlow Semi Condensed"/>
          <w:sz w:val="24"/>
          <w:szCs w:val="24"/>
        </w:rPr>
        <w:t xml:space="preserve">Il nono e il decimo obiettivo di ricerca riguardano le fonti desecretate e lo stato di accessibilità degli archivi. La serie Foreign Relations of the United States si è rivelata la fonte primaria desecretata di gran lunga più produttiva per il versante turco del periodo. Il volume XXX del ciclo 1969-1976, dedicato a Grecia, Cipro e Turchia 1973-1976, e il volume E-3 (Documents on Global Issues) contengono la documentazione più densa sulla vicenda degli oppiacei: si sono citati il telegramma 1310 da Ankara del 21 febbraio 1974 sull'incontro con Ecevit a proposito del divieto (documento 154 del volume E-3), il telegramma 5213 del 2 luglio 1974 sulla revoca (documento 204 del volume XXX), il memorandum Kissinger-Ford (documento 208), il paper del Gruppo interdipartimentale per l'Europa del Consiglio di sicurezza nazionale (documento 206) e il National Security Decision Memorandum 267 del 23 agosto 1974 (documento 209 del volume XXX e documento 164 del volume E-3). Per la posizione italiana nell'assetto atlantico sono già stati richiamati i documenti 16 (telegramma da Bruxelles del 4 luglio 1974) e 23 (30 agosto 1974) del volume XXX. Il documento 200 del volume XXX (telegramma da Ankara) documenta le posizioni turche sulla disputa egea, con l'attenzione ai vertici militari e civili turchi, incluso il presidente Fahri Korutürk, ex comandante di flotta. state (https://history.state.gov/historicaldocuments/frus1969-76v30/d200) Riferimenti diretti a colloqui di Moro sulla questione turca non sono emersi nella documentazione FRUS reperita: è un esito negativo, la cui sede di chiusura è la consultazione integrale dei volumi FRUS 1969-1976 pertinenti, inclusi i volumi anteriori per il 1969-1972, e l'indice per nome.</w:t>
      </w:r>
    </w:p>
    <w:p>
      <w:pPr>
        <w:spacing w:after="120" w:line="276"/>
        <w:jc w:val="both"/>
      </w:pPr>
      <w:r>
        <w:rPr>
          <w:rFonts w:ascii="Barlow Semi Condensed" w:cs="Barlow Semi Condensed" w:eastAsia="Barlow Semi Condensed" w:hAnsi="Barlow Semi Condensed"/>
          <w:sz w:val="24"/>
          <w:szCs w:val="24"/>
        </w:rPr>
        <w:t xml:space="preserve">Quanto alla CIA FOIA Electronic Reading Room e alla collezione CREST, la ricerca — che il committente aveva prefigurato con esito atteso negativo per quanto attiene all'Opus Dei — non ha prodotto, nell'ambito telematicamente esplorato, documenti pertinenti su una relazione fra l'Opus Dei e la Turchia, conformemente alla previsione. Sui temi turchi generali (Ecevit, Süleyman Demirel, il memorandum dei generali e il colpo di Stato militare del 12 marzo 1971, l'estrema destra dei Lupi Grigi e il Milliyetçi Hareket Partisi di Alparslan Türkeş) la collezione CREST è in linea di principio la sede appropriata, ma non è stata direttamente interrogata nell'ambito della presente ricognizione per esaurimento del budget di ricerca; se ne segnala l'esplorazione come acquisizione ancora da conseguire, con sede nella Electronic Reading Room della CIA.</w:t>
      </w:r>
    </w:p>
    <w:p>
      <w:pPr>
        <w:spacing w:after="120" w:line="276"/>
        <w:jc w:val="both"/>
      </w:pPr>
      <w:r>
        <w:rPr>
          <w:rFonts w:ascii="Barlow Semi Condensed" w:cs="Barlow Semi Condensed" w:eastAsia="Barlow Semi Condensed" w:hAnsi="Barlow Semi Condensed"/>
          <w:sz w:val="24"/>
          <w:szCs w:val="24"/>
        </w:rPr>
        <w:t xml:space="preserve">Sullo stato degli archivi, il quadro è il seguente. L'Archivio Storico Diplomatico del Ministero degli Affari Esteri italiano, per la serie Turchia 1969-1975, è la sede primaria per la posizione italiana, con l'avvertenza già accertata nelle ricognizioni anteriori che i Telegrammi 1942-1970 risultavano temporaneamente esclusi dalla consultazione per lavori di ristrutturazione. Gli archivi diplomatici turchi del Dışişleri Bakanlığı e gli archivi di Stato della Repubblica di Turchia costituiscono il naturale contraltare, di accessibilità variabile e spesso condizionata. L'archivio del Patriarcato ecumenico è la sede per la vicenda di Halki e per la condizione della minoranza greco-ortodossa. L'Archivio Apostolico Vaticano, per il pontificato di Paolo VI, è la sede per i rapporti Santa Sede-Turchia e per l'eventuale reazione vaticana alla chiusura di Halki; va ricordato che la documentazione delle relazioni Santa Sede-Turchia in Segreteria di Stato è in italiano e francese. L'Archivio Aldo Moro, ripartito fra l'Archivio storico del Senato e l'Archivio Centrale dello Stato, e l'edizione digitale delle carte Moro curata dall'Università di Bologna (aldomorodigitale.unibo.it), sono le sedi per l'azione ministeriale di Moro; l'introduzione di Guido Formigoni a tale edizione conferma la cronologia dei due mandati e ne sottolinea la lunghezza e il rilievo. Unibo (https://aldomorodigitale.unibo.it/additional_resources/?id=141&amp;type=introduction) Per gli atti parlamentari, si ribadisce che i resoconti stenografici della VI legislatura vanno consultati in forma cartacea o nei portali storici, poiché la banca dati del sindacato ispettivo copre soltanto dalla settima legislatura, cioè dal 5 luglio 1976.</w:t>
      </w:r>
    </w:p>
    <w:p>
      <w:pPr>
        <w:pStyle w:val="Heading3"/>
        <w:spacing w:after="80" w:before="160"/>
      </w:pPr>
      <w:r>
        <w:rPr>
          <w:rFonts w:ascii="Barlow Semi Condensed" w:cs="Barlow Semi Condensed" w:eastAsia="Barlow Semi Condensed" w:hAnsi="Barlow Semi Condensed"/>
          <w:sz w:val="24"/>
          <w:szCs w:val="24"/>
        </w:rPr>
        <w:t xml:space="preserve">Capitolo XII — Tavola discorsiva delle acquisizioni documentali necessarie e non conseguite</w:t>
      </w:r>
    </w:p>
    <w:p>
      <w:pPr>
        <w:spacing w:after="120" w:line="276"/>
        <w:jc w:val="both"/>
      </w:pPr>
      <w:r>
        <w:rPr>
          <w:rFonts w:ascii="Barlow Semi Condensed" w:cs="Barlow Semi Condensed" w:eastAsia="Barlow Semi Condensed" w:hAnsi="Barlow Semi Condensed"/>
          <w:sz w:val="24"/>
          <w:szCs w:val="24"/>
        </w:rPr>
        <w:t xml:space="preserve">Si raccolgono qui, ordinate per rendimento atteso decrescente, le acquisizioni documentali necessarie e non conseguite, ciascuna con la sede e la condizione di chiusura, nella convinzione — ribadita in premessa — che l'esito negativo circostanziato sia acquisizione di pieno valore.</w:t>
      </w:r>
    </w:p>
    <w:p>
      <w:pPr>
        <w:spacing w:after="120" w:line="276"/>
        <w:jc w:val="both"/>
      </w:pPr>
      <w:r>
        <w:rPr>
          <w:rFonts w:ascii="Barlow Semi Condensed" w:cs="Barlow Semi Condensed" w:eastAsia="Barlow Semi Condensed" w:hAnsi="Barlow Semi Condensed"/>
          <w:sz w:val="24"/>
          <w:szCs w:val="24"/>
        </w:rPr>
        <w:t xml:space="preserve">La prima e più remunerativa acquisizione mancante è la legge italiana di autorizzazione alla ratifica ed esecuzione del pacchetto di atti dell'associazione CEE-Turchia comprendente il Protocollo addizionale del 23 novembre 1970: ne restano da accertare il numero, la data e i riferimenti di Gazzetta Ufficiale della Repubblica Italiana, nonché l'eventuale dibattito parlamentare della VI legislatura. La sede di chiusura è Normattiva, il portale storico della Camera (sezione «Norme fondamentali e leggi», filtro 1972-1973), la Gazzetta Ufficiale storica per il 1972-1973 e il fascicolo del disegno di legge presso l'Archivio storico del Senato. Il rendimento atteso è massimo perché si tratta di un atto datato, cadente nel mandato di Moro, e di reperibilità in linea di principio agevole una volta superato il blocco all'accesso automatizzato dei portali.</w:t>
      </w:r>
    </w:p>
    <w:p>
      <w:pPr>
        <w:spacing w:after="120" w:line="276"/>
        <w:jc w:val="both"/>
      </w:pPr>
      <w:r>
        <w:rPr>
          <w:rFonts w:ascii="Barlow Semi Condensed" w:cs="Barlow Semi Condensed" w:eastAsia="Barlow Semi Condensed" w:hAnsi="Barlow Semi Condensed"/>
          <w:sz w:val="24"/>
          <w:szCs w:val="24"/>
        </w:rPr>
        <w:t xml:space="preserve">La seconda acquisizione mancante è l'identità del plenipotenziario che firmò per la Repubblica italiana il Protocollo addizionale del 23 novembre 1970: se sia stato Aldo Moro, ministro degli Esteri in carica a quella data, o un sottosegretario o plenipotenziario delegato. La sede di chiusura è il testo integrale dell'Atto finale in EUR-Lex CELEX 21970A1123(01), sezione «Per la Repubblica italiana», da consultarsi manualmente, e la Gazzetta ufficiale delle Comunità europee L 293 del 29 dicembre 1972, pagine 4-56. Il rendimento atteso è alto perché il dato è puntuale e dirimente per la triangolazione fra Moro e la Turchia, ed è già circoscritto a una fonte identificata.</w:t>
      </w:r>
    </w:p>
    <w:p>
      <w:pPr>
        <w:spacing w:after="120" w:line="276"/>
        <w:jc w:val="both"/>
      </w:pPr>
      <w:r>
        <w:rPr>
          <w:rFonts w:ascii="Barlow Semi Condensed" w:cs="Barlow Semi Condensed" w:eastAsia="Barlow Semi Condensed" w:hAnsi="Barlow Semi Condensed"/>
          <w:sz w:val="24"/>
          <w:szCs w:val="24"/>
        </w:rPr>
        <w:t xml:space="preserve">La terza acquisizione mancante è la posizione italiana specifica su tre dossier: la crisi cipriota vista verso la Turchia (distinta da quella verso la Grecia), l'embargo statunitense del 1975 e la disputa egea. La sede di chiusura è l'Archivio Storico Diplomatico della Farnesina, serie Turchia, Cipro e Comunità europee 1974-1975, e la corrispondenza con la rappresentanza italiana presso la NATO, con l'avvertenza dell'esclusione temporanea dei Telegrammi 1942-1970. Il rendimento atteso è medio-alto, ma condizionato dai tempi di riordino dell'archivio.</w:t>
      </w:r>
    </w:p>
    <w:p>
      <w:pPr>
        <w:spacing w:after="120" w:line="276"/>
        <w:jc w:val="both"/>
      </w:pPr>
      <w:r>
        <w:rPr>
          <w:rFonts w:ascii="Barlow Semi Condensed" w:cs="Barlow Semi Condensed" w:eastAsia="Barlow Semi Condensed" w:hAnsi="Barlow Semi Condensed"/>
          <w:sz w:val="24"/>
          <w:szCs w:val="24"/>
        </w:rPr>
        <w:t xml:space="preserve">La quarta acquisizione mancante è l'eventuale reazione diplomatica italiana o vaticana alla chiusura del Seminario di Halki del 1971. La sede di chiusura è l'Archivio Apostolico Vaticano e la Segreteria di Stato per il pontificato di Paolo VI, l'archivio del Patriarcato ecumenico e l'Archivio Storico Diplomatico della Farnesina. Il rendimento atteso è medio, perché la stessa esistenza di una reazione documentata è incerta.</w:t>
      </w:r>
    </w:p>
    <w:p>
      <w:pPr>
        <w:spacing w:after="120" w:line="276"/>
        <w:jc w:val="both"/>
      </w:pPr>
      <w:r>
        <w:rPr>
          <w:rFonts w:ascii="Barlow Semi Condensed" w:cs="Barlow Semi Condensed" w:eastAsia="Barlow Semi Condensed" w:hAnsi="Barlow Semi Condensed"/>
          <w:sz w:val="24"/>
          <w:szCs w:val="24"/>
        </w:rPr>
        <w:t xml:space="preserve">La quinta acquisizione mancante è il coinvolgimento della Farnesina di Moro e la posizione italiana in sede di Nazioni Unite e Commissione stupefacenti sulla vicenda della revoca del divieto turco del papavero del 1974. La sede di chiusura è l'Archivio Storico Diplomatico della Farnesina, serie affari sociali, e gli archivi della Commissione stupefacenti a Vienna. Il rendimento atteso è medio-basso, poiché la documentazione statunitense mostra un negoziato prevalentemente bilaterale turco-americano da cui l'Italia risulta assente.</w:t>
      </w:r>
    </w:p>
    <w:p>
      <w:pPr>
        <w:spacing w:after="120" w:line="276"/>
        <w:jc w:val="both"/>
      </w:pPr>
      <w:r>
        <w:rPr>
          <w:rFonts w:ascii="Barlow Semi Condensed" w:cs="Barlow Semi Condensed" w:eastAsia="Barlow Semi Condensed" w:hAnsi="Barlow Semi Condensed"/>
          <w:sz w:val="24"/>
          <w:szCs w:val="24"/>
        </w:rPr>
        <w:t xml:space="preserve">La sesta acquisizione mancante è la consistenza quantitativa dell'interscambio commerciale Italia-Turchia 1969-1975 e la cronologia delle visite ministeriali reciproche del periodo. La sede di chiusura è l'ISTAT (annuari del commercio con l'estero), l'archivio dell'Istituto nazionale per il commercio estero e l'Archivio Storico Diplomatico. Il rendimento atteso è medio-basso per la relazione bilaterale, ma i dati sono in linea di principio disponibili.</w:t>
      </w:r>
    </w:p>
    <w:p>
      <w:pPr>
        <w:spacing w:after="120" w:line="276"/>
        <w:jc w:val="both"/>
      </w:pPr>
      <w:r>
        <w:rPr>
          <w:rFonts w:ascii="Barlow Semi Condensed" w:cs="Barlow Semi Condensed" w:eastAsia="Barlow Semi Condensed" w:hAnsi="Barlow Semi Condensed"/>
          <w:sz w:val="24"/>
          <w:szCs w:val="24"/>
        </w:rPr>
        <w:t xml:space="preserve">La settima e ultima acquisizione mancante è la consultazione integrale del prospetto ufficiale dell'Opus Dei delle date di inizio del lavoro stabile nei 68 Paesi e dell'elenco delle circoscrizioni regionali, a conferma definitiva e non più soltanto altamente probabile dell'assenza della Turchia. La sede di chiusura è il sito ufficiale dell'ente (opusdei.org) e le sue pubblicazioni istituzionali, oltre al nuovo portale storiadelopusdei.org promosso dal Centro Studi Josemaría Escrivá dell'Università di Navarra e dall'Istituto Storico San Josemaría Escrivá di Roma. Il rendimento atteso è basso in termini di novità — l'esito è pronosticabile come negativo e coerente con il modello — ma alto in termini di chiusura formale dell'accertamento.</w:t>
      </w:r>
    </w:p>
    <w:p>
      <w:pPr>
        <w:pStyle w:val="Heading2"/>
        <w:spacing w:after="100" w:before="200"/>
      </w:pPr>
      <w:r>
        <w:rPr>
          <w:rFonts w:ascii="Barlow Semi Condensed" w:cs="Barlow Semi Condensed" w:eastAsia="Barlow Semi Condensed" w:hAnsi="Barlow Semi Condensed"/>
          <w:sz w:val="24"/>
          <w:szCs w:val="24"/>
        </w:rPr>
        <w:t xml:space="preserve">Recommendations</w:t>
      </w:r>
    </w:p>
    <w:p>
      <w:pPr>
        <w:spacing w:after="120" w:line="276"/>
        <w:jc w:val="both"/>
      </w:pPr>
      <w:r>
        <w:rPr>
          <w:rFonts w:ascii="Barlow Semi Condensed" w:cs="Barlow Semi Condensed" w:eastAsia="Barlow Semi Condensed" w:hAnsi="Barlow Semi Condensed"/>
          <w:sz w:val="24"/>
          <w:szCs w:val="24"/>
        </w:rPr>
        <w:t xml:space="preserve">Per il completamento della ricerca si raccomanda una sequenza scaglionata. In prima battuta, e con priorità assoluta, occorre chiudere i due accertamenti a più alto rendimento e a più bassa incertezza: la legge italiana di ratifica del pacchetto CEE-Turchia (con numero, data e Gazzetta Ufficiale) tramite consultazione manuale di Normattiva, del portale storico della Camera e dell'Archivio storico del Senato; e l'identità del firmatario italiano del Protocollo addizionale del 23 novembre 1970 mediante lettura diretta dell'Atto finale in EUR-Lex CELEX 21970A1123(01) o nella GUCE L 293/1972. Questi due dati sono decisivi per stabilire se e in quale veste Moro sia legato all'atto prioritario, e sono reperibili senza accesso ad archivi fisici. La soglia che modificherebbe le conclusioni è semplice: se l'Atto finale reca la firma di Moro per l'Italia, la triangolazione Moro-Turchia acquista un ancoraggio documentale diretto e non più soltanto contiguo (come già è per l'accordo provvisorio del 27 luglio 1971); in caso contrario, si confermerà che il legame documentato passa per il ruolo comunitario di Moro nel 1971.</w:t>
      </w:r>
    </w:p>
    <w:p>
      <w:pPr>
        <w:spacing w:after="120" w:line="276"/>
        <w:jc w:val="both"/>
      </w:pPr>
      <w:r>
        <w:rPr>
          <w:rFonts w:ascii="Barlow Semi Condensed" w:cs="Barlow Semi Condensed" w:eastAsia="Barlow Semi Condensed" w:hAnsi="Barlow Semi Condensed"/>
          <w:sz w:val="24"/>
          <w:szCs w:val="24"/>
        </w:rPr>
        <w:t xml:space="preserve">In seconda battuta, per i dossier di rango diplomatico (posizione italiana su Cipro/Turchia, embargo 1975, disputa egea, oppiacei), si raccomanda l'accesso fisico all'Archivio Storico Diplomatico della Farnesina non appena la serie Telegrammi 1942-1970 sarà nuovamente consultabile: il benchmark che sblocca questa fase è la riapertura della serie dopo i lavori di ristrutturazione. In terza battuta, per il versante ecclesiale (reazione alla chiusura di Halki, rapporti Santa Sede-Turchia), si raccomanda la consultazione dell'Archivio Apostolico Vaticano per il pontificato di Paolo VI, man mano che la documentazione viene resa accessibile agli studiosi. Infine, per la chiusura formale dell'accertamento sull'Opus Dei, è sufficiente la consultazione integrale del prospetto ufficiale delle date di inizio del lavoro stabile: l'esito atteso è la conferma dell'assenza della Turchia, e nessun benchmark ragionevole lo modificherebbe, stante l'assetto demografico e istituzionale del Paese.</w:t>
      </w:r>
    </w:p>
    <w:p>
      <w:pPr>
        <w:pStyle w:val="Heading2"/>
        <w:spacing w:after="100" w:before="200"/>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Il presente rapporto poggia in misura preponderante su fonti telematicamente accessibili — testi normativi comunitari in EUR-Lex, documenti desecretati statunitensi in history.state.gov, fonti ecclesiali e diplomatiche ufficiali — e non su consultazione archivistica diretta; gli esiti negativi qui dichiarati sono pertanto esiti della ricerca telematica, non prove dell'inesistenza dei documenti cercati. Diverse date e denominazioni restano oggetto di divergenza fra le fonti, e sono state riportate come tali anziché risolte: in particolare la denominazione degli eventi ciprioti del 1974 («operazione di pace» / «invasione»), la data di morte di Atenagora I (6 o 7 luglio 1972), il numero di patriarchi formati a Halki (12 secondo Türkiye Today, con GOARCH che indica cifre più ampie), le stime dei cattolici di Turchia (circa 60.000 secondo AgenSIR 2025, 25-30.000 secondo una fonte 2026) e le percentuali del territorio cipriota (34% richiesto a Ginevra, oltre 36% occupato). La materia turco-greca e cipriota è oggetto di contenziosi internazionali ancora aperti e di narrazioni contrapposte: le posizioni delle parti sono state riportate con il loro statuto di posizioni di parte, senza ometterle e senza adottarne alcuna. Si è mantenuta la distinzione fra ciò che i documenti attestano e ciò che se ne inferisce, e non si è trattata la contemporaneità cronologica come prova di un nesso. In ottemperanza alle istruzioni del committente, sono state escluse dalle fonti citate l'enciclopedia collaborativa denominata Grokipedia (che pure compariva fra i risultati di ricerca su alcuni temi) e il quotidiano il Manifesto. Nessuna responsabilità, intenzione o condotta è stata attribuita ad alcuna persona o istituzione oltre quanto le fonti accertino, e per le persone viventi si sono riportati esclusivamente fatti pubblici documentati.</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Turchia e Opus Dei 1969-1975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VIII: 9.166 parole in 5 sezioni; la più ampia è §3 Details, con 8.219.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VIII: 103 indirizzi di fonte citati, addensati in 1 sezione su 5.</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IX. La Santa Sede, la Turchia e l’attentato del 1981</w:t>
      </w:r>
    </w:p>
    <w:p>
      <w:pPr>
        <w:spacing w:after="120" w:line="276"/>
        <w:jc w:val="both"/>
      </w:pPr>
      <w:r>
        <w:rPr>
          <w:rFonts w:ascii="Barlow Semi Condensed" w:cs="Barlow Semi Condensed" w:eastAsia="Barlow Semi Condensed" w:hAnsi="Barlow Semi Condensed"/>
          <w:sz w:val="24"/>
          <w:szCs w:val="24"/>
        </w:rPr>
        <w:t xml:space="preserve">RICERCA STORIOGRAFICA E ARCHIVISTICA: ALDO MORO, LA SANTA SEDE E LA TURCHIA, CON PARTICOLARE RIGUARDO ALL'ATTENTATO A GIOVANNI PAOLO II (1935-1985)</w:t>
      </w:r>
    </w:p>
    <w:p>
      <w:pPr>
        <w:spacing w:after="120" w:line="276"/>
        <w:jc w:val="both"/>
      </w:pPr>
      <w:r>
        <w:rPr>
          <w:rFonts w:ascii="Barlow Semi Condensed" w:cs="Barlow Semi Condensed" w:eastAsia="Barlow Semi Condensed" w:hAnsi="Barlow Semi Condensed"/>
          <w:sz w:val="24"/>
          <w:szCs w:val="24"/>
        </w:rPr>
        <w:t xml:space="preserve">TL;DR</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nodo che collega più direttamente e più documentatamente la Turchia al Vaticano è l'attentato del 13 maggio 1981: la traiettoria turca di Mehmet Ali Ağca (omicidio İpekçi del 1° febbraio 1979, evasione da Kartal-Maltepe del 25 novembre 1979, lettera minatoria a Milliyet del 27 novembre 1979) è documentata e accertata; per contro la cosiddetta «pista bulgara» non fu mai giudizialmente provata — la sentenza della Corte d'assise di Roma del 29 marzo 1986 assolse per insufficienza di prove Antonov e gli altri, Spazio70 (https://spazio70.com/post-anni-70/il-gioco-dei-potenti/mistero-della-fede-lattentato-al-papa-e-le-sue-ombre-la-falsa-pista-bulgara/) e la stessa CIA scrisse di «non essere in grado di sviluppare un quadro chiaro e conclusivo» del coinvolgimento bulgaro.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rapporto Santa Sede-Turchia 1935-1985 ha tre radici solide e ben documentate: il decennio di Angelo Roncalli (1935-1944), matrice riconosciuta dell'istituzione delle relazioni diplomatiche del 1960 (Internunziatura 25 gennaio 1960, Nunziatura con il breve Optimo sane del 30 agosto 1966); Wikipedia (https://it.m.wikipedia.org/wiki/Chiesa_cattolica_in_Turchia) il dialogo cattolico-ortodosso da Gerusalemme 1964 alla Commissione mista di Patmos-Rodi 1980; e la questione irrisolta delle minoranze cristiane (Halki chiusa dal 1971, esclusione dei cattolici latini dal Trattato di Losanna).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 versante Moro-Turchia il materiale è reale ma prevalentemente europeo-comunitario e mediterraneo, non confessionale: non è emersa documentazione di una presa di posizione della Farnesina di Moro sulla chiusura di Halki o sullo statuto del Patriarcato ecumenico. Questo è un esito negativo di pieno valore, da chiudere presso l'Archivio Storico Diplomatico del Ministero degli Affari Esteri.</w:t>
      </w:r>
    </w:p>
    <w:p>
      <w:pPr>
        <w:spacing w:after="120" w:line="276"/>
        <w:jc w:val="both"/>
      </w:pPr>
      <w:r>
        <w:rPr>
          <w:rFonts w:ascii="Barlow Semi Condensed" w:cs="Barlow Semi Condensed" w:eastAsia="Barlow Semi Condensed" w:hAnsi="Barlow Semi Condensed"/>
          <w:sz w:val="24"/>
          <w:szCs w:val="24"/>
        </w:rPr>
        <w:t xml:space="preserve">KEY FINDINGS</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Ağca uccise Abdi İpekçi il 1° febbraio 1979 ed evase da Kartal-Maltepe il 25 novembre 1979; il 27 novembre 1979 minacciò per iscritto Giovanni Paolo II definendolo «Capo dei crociati». Questi fatti sono accertati.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La condanna all'ergastolo in primo grado risale al 22 luglio 1981; l'arresto di Sergej Antonov al 25 novembre 1982; l'assoluzione dei bulgari e dei turchi per insufficienza di prove al 29 marzo 1986.</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Le valutazioni desecretate della CIA (FRUS 1981-1988, vol. X) sono concordi nel non affermare la responsabilità bulgaro-sovietica come provata; il caso della Procura poggiava «unicamente sulla testimonianza di Agca».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decennio turco di Roncalli e il dialogo cattolico-ortodosso costituiscono la spina dorsale positiva del rapporto Santa Sede-Turchia; la questione delle minoranze (Halki, Losanna, cittadinanza turca del patriarca) ne è il contrappunto irrisolto.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Sull'asse Moro-questione confessionale in Turchia si registra un esito negativo di ricerca, da verificare in archivio.</w:t>
      </w:r>
    </w:p>
    <w:p>
      <w:pPr>
        <w:spacing w:after="120" w:line="276"/>
        <w:jc w:val="both"/>
      </w:pPr>
      <w:r>
        <w:rPr>
          <w:rFonts w:ascii="Barlow Semi Condensed" w:cs="Barlow Semi Condensed" w:eastAsia="Barlow Semi Condensed" w:hAnsi="Barlow Semi Condensed"/>
          <w:sz w:val="24"/>
          <w:szCs w:val="24"/>
        </w:rPr>
        <w:t xml:space="preserve">DETTAGLI</w:t>
      </w:r>
    </w:p>
    <w:p>
      <w:pPr>
        <w:spacing w:after="120" w:line="276"/>
        <w:jc w:val="both"/>
      </w:pPr>
      <w:r>
        <w:rPr>
          <w:rFonts w:ascii="Barlow Semi Condensed" w:cs="Barlow Semi Condensed" w:eastAsia="Barlow Semi Condensed" w:hAnsi="Barlow Semi Condensed"/>
          <w:sz w:val="24"/>
          <w:szCs w:val="24"/>
        </w:rPr>
        <w:t xml:space="preserve">CAPITOLO I — Premessa metodologica, perimetro della ricognizione e statuto delle fonti</w:t>
      </w:r>
    </w:p>
    <w:p>
      <w:pPr>
        <w:spacing w:after="120" w:line="276"/>
        <w:jc w:val="both"/>
      </w:pPr>
      <w:r>
        <w:rPr>
          <w:rFonts w:ascii="Barlow Semi Condensed" w:cs="Barlow Semi Condensed" w:eastAsia="Barlow Semi Condensed" w:hAnsi="Barlow Semi Condensed"/>
          <w:sz w:val="24"/>
          <w:szCs w:val="24"/>
        </w:rPr>
        <w:t xml:space="preserve">La presente ricognizione si colloca in dichiarata continuità con una precedente indagine condotta sul versante turco, di cui assume gli esiti come sfondo da non ripetere: l'Accordo di Ankara del 12 settembre 1963 e la sua entrata in vigore il 1° dicembre 1964; il Protocollo addizionale firmato a Bruxelles il 23 novembre 1970 ed entrato in vigore il 1° gennaio 1973, concluso a nome della Comunità con il Regolamento CEE 2760/72 pubblicato nella Gazzetta ufficiale delle Comunità europee L 293 del 29 dicembre 1972; la firma di Aldo Moro, a nome del Consiglio delle Comunità europee, dell'Accordo provvisorio CEE-Turchia del 27 luglio 1971, quale attestata dal preambolo del Regolamento CEE 1842/71; il Protocollo complementare firmato ad Ankara il 30 giugno 1973; la crisi cipriota del 1974; l'embargo statunitense sulle forniture militari alla Turchia; la disputa egea sulla piattaforma continentale con la sentenza della Corte internazionale di giustizia del 19 dicembre 1978; la Convenzione di Montreux del 20 luglio 1936; la revoca del divieto di coltivazione del papavero da oppio del 1° luglio 1974; la chiusura della Scuola teologica di Halki nel 1971; la morte del patriarca Atenagora I nel luglio 1972 e l'elezione di Dimitrios I; le relazioni diplomatiche Santa Sede-Turchia con Internunziatura eretta il 25 gennaio 1960 ed elevata a Nunziatura il 30 agosto 1966; e l'accertamento come Stato Zero dell'assenza dell'Opus Dei dalla Turchia. Tutto ciò è qui presupposto e non riesaminato.</w:t>
      </w:r>
    </w:p>
    <w:p>
      <w:pPr>
        <w:spacing w:after="120" w:line="276"/>
        <w:jc w:val="both"/>
      </w:pPr>
      <w:r>
        <w:rPr>
          <w:rFonts w:ascii="Barlow Semi Condensed" w:cs="Barlow Semi Condensed" w:eastAsia="Barlow Semi Condensed" w:hAnsi="Barlow Semi Condensed"/>
          <w:sz w:val="24"/>
          <w:szCs w:val="24"/>
        </w:rPr>
        <w:t xml:space="preserve">L'obiettivo prioritario di questa nuova ricognizione, come indicato dal committente, è l'attentato del 13 maggio 1981 e la traiettoria turca di Mehmet Ali Ağca, in quanto nodo che collega la Turchia al Vaticano in modo più diretto e documentato di ogni altro elemento della serie. Attorno a questo perno si dispongono, in ordine di priorità, il decennio turco di Roncalli, il dialogo cattolico-ortodosso, lo statuto delle comunità cattoliche, il rapporto fra Santa Sede, Turchia e Conferenza sulla sicurezza e la cooperazione in Europa, la posizione italiana sulle minoranze cristiane, e infine il quadro degli archivi e delle fonti desecretate.</w:t>
      </w:r>
    </w:p>
    <w:p>
      <w:pPr>
        <w:spacing w:after="120" w:line="276"/>
        <w:jc w:val="both"/>
      </w:pPr>
      <w:r>
        <w:rPr>
          <w:rFonts w:ascii="Barlow Semi Condensed" w:cs="Barlow Semi Condensed" w:eastAsia="Barlow Semi Condensed" w:hAnsi="Barlow Semi Condensed"/>
          <w:sz w:val="24"/>
          <w:szCs w:val="24"/>
        </w:rPr>
        <w:t xml:space="preserve">La disciplina di metodo adottata è quella richiesta dal committente e la si dichiara qui una volta per tutte. Per ogni affermazione si indica la fonte e la sua natura: atto pontificio o della Segreteria di Stato, atto parlamentare con data, sentenza con data e autorità giudicante, trattato o protocollo con il riferimento alla pubblicazione ufficiale, documento desecretato con protocollo, studio scientifico, fonte ufficiale dell'istituzione interessata, memoria di protagonista, pubblicistica divulgativa. Si distingue costantemente ciò che il documento attesta da ciò che se ne inferisce, e ciò che una sentenza accerta da ciò che essa dichiara non provato. In particolare, la cosiddetta «pista bulgara» non fu giudizialmente provata e viene qualificata come tale ogni volta che venga menzionata; le tesi che la affermano come accertata sono riportate e qualificate come non sostenute dalle sentenze; le dichiarazioni successive di Mehmet Ali Ağca — vivente — ripetutamente contraddittorie e ritrattate, sono trattate come dichiarazioni di un soggetto la cui attendibilità è stata giudizialmente e storiograficamente contestata, e non come fonti di accertamento. Non si tratta l'appartenenza di una persona a una organizzazione come prova di una condotta di quella organizzazione, e ciò vale in modo assoluto per i Lupi Grigi e per i servizi di sicurezza di ogni Paese menzionato; non si tratta la contemporaneità cronologica come prova di un nesso.</w:t>
      </w:r>
    </w:p>
    <w:p>
      <w:pPr>
        <w:spacing w:after="120" w:line="276"/>
        <w:jc w:val="both"/>
      </w:pPr>
      <w:r>
        <w:rPr>
          <w:rFonts w:ascii="Barlow Semi Condensed" w:cs="Barlow Semi Condensed" w:eastAsia="Barlow Semi Condensed" w:hAnsi="Barlow Semi Condensed"/>
          <w:sz w:val="24"/>
          <w:szCs w:val="24"/>
        </w:rPr>
        <w:t xml:space="preserve">Le fonti privilegiate sono in italiano e, per i versanti confessionali, i testi ufficiali della Santa Sede reperibili nel sito vatican.va e christianunity.va; per il versante giudiziario e parlamentare italiano, i documenti pubblicati da parlamento.it; per il versante statunitense, la raccolta Foreign Relations of the United States, 1981-1988, volume X, edita dall'Office of the Historian del Dipartimento di Stato, e la CIA FOIA Electronic Reading Room; per la storiografia su Moro, il volume collettaneo Fra diplomazia e petrolio. Aldo Moro e la politica italiana in Medio Oriente (1963-1978), a cura di Federico Imperato, Rosario Milano e Luciano Monzali, Cacucci, Bari 2018, che contiene un capitolo specifico di Federico Imperato intitolato Un aspetto della politica mediterranea dell'Italia: le relazioni con la Turchia (1946-1974), alle pagine 119-154. Sono espressamente esclusi, per indicazione del committente, l'enciclopedia collaborativa Grokipedia e il quotidiano il Manifesto. Ove le fonti divergano su una data, un numero o una denominazione, la divergenza viene riportata anziché risolta silenziosamente; ove una tesi circolante nella pubblicistica non trovi riscontro nelle fonti primarie o nelle sentenze, viene qualificata come non sostenuta. Gli esiti negativi sono raccolti nel capitolo conclusivo come acquisizioni di pieno valore.</w:t>
      </w:r>
    </w:p>
    <w:p>
      <w:pPr>
        <w:spacing w:after="120" w:line="276"/>
        <w:jc w:val="both"/>
      </w:pPr>
      <w:r>
        <w:rPr>
          <w:rFonts w:ascii="Barlow Semi Condensed" w:cs="Barlow Semi Condensed" w:eastAsia="Barlow Semi Condensed" w:hAnsi="Barlow Semi Condensed"/>
          <w:sz w:val="24"/>
          <w:szCs w:val="24"/>
        </w:rPr>
        <w:t xml:space="preserve">CAPITOLO II — Aldo Moro alla Farnesina e il rapporto con la Turchia</w:t>
      </w:r>
    </w:p>
    <w:p>
      <w:pPr>
        <w:spacing w:after="120" w:line="276"/>
        <w:jc w:val="both"/>
      </w:pPr>
      <w:r>
        <w:rPr>
          <w:rFonts w:ascii="Barlow Semi Condensed" w:cs="Barlow Semi Condensed" w:eastAsia="Barlow Semi Condensed" w:hAnsi="Barlow Semi Condensed"/>
          <w:sz w:val="24"/>
          <w:szCs w:val="24"/>
        </w:rPr>
        <w:t xml:space="preserve">La titolarità di Aldo Moro al Ministero degli Affari Esteri copre due periodi, dal 5 agosto 1969 al 26 giugno 1972 e dal 7 luglio 1973 al 23 novembre 1974, attraverso i governi Rumor II e III, Colombo, Andreotti I e Rumor IV e V, Esteri (https://www.esteri.it/it/ministero/storia/ministri_esteri/aldo_moro/) come registra la scheda biografica ufficiale del Ministero degli Affari Esteri e della Cooperazione Internazionale (esteri.it, sezione «Storia — Ministri degli Esteri»). La medesima fonte istituzionale sottolinea che egli si distinse «per la risoluzione di contenziosi internazionali». Il Dizionario dell'Integrazione Europea 1950-2017 (dizie.eu) precisa che Moro firmò l'Atto finale di Helsinki «in qualità di presidente del Consiglio e presidente di turno della Comunità europea», che inaugurò a Firenze l'Istituto universitario europeo nel febbraio 1975, e che aveva presentato già nel 1964 un memorandum per inserire gli accordi di associazione dell'area mediterranea in una cornice comunitaria.</w:t>
      </w:r>
    </w:p>
    <w:p>
      <w:pPr>
        <w:spacing w:after="120" w:line="276"/>
        <w:jc w:val="both"/>
      </w:pPr>
      <w:r>
        <w:rPr>
          <w:rFonts w:ascii="Barlow Semi Condensed" w:cs="Barlow Semi Condensed" w:eastAsia="Barlow Semi Condensed" w:hAnsi="Barlow Semi Condensed"/>
          <w:sz w:val="24"/>
          <w:szCs w:val="24"/>
        </w:rPr>
        <w:t xml:space="preserve">La collocazione della Turchia nella politica estera di Moro è, alla luce delle fonti reperite, prevalentemente comunitaria e mediterranea, non confessionale. Il capitolo di Federico Imperato nel volume Cacucci del 2018 — la fonte scientifica di riferimento su questo asse — è intitolato Un aspetto della politica mediterranea dell'Italia: le relazioni con la Turchia (1946-1974), il che colloca esplicitamente il rapporto italo-turco nel quadro della proiezione mediterranea dell'Italia repubblicana. Il quadro complessivo del volume, con i capitoli su equidistanza e filoarabismo, sull'Iran, sul Libano e sul Pakistan, mostra che l'interesse dominante della Farnesina moroteana nell'area era quello politico-energetico e di equilibrio fra i blocchi, secondo la formula, ricordata dalla nota storico-critica di Enrico Palumbo nell'edizione digitale delle opere di Moro (aldomorodigitale.unibo.it), della «proiezione mediterranea» della sua politica estera e della «grande attenzione di Moro al mondo arabo e alla causa palestinese».</w:t>
      </w:r>
    </w:p>
    <w:p>
      <w:pPr>
        <w:spacing w:after="120" w:line="276"/>
        <w:jc w:val="both"/>
      </w:pPr>
      <w:r>
        <w:rPr>
          <w:rFonts w:ascii="Barlow Semi Condensed" w:cs="Barlow Semi Condensed" w:eastAsia="Barlow Semi Condensed" w:hAnsi="Barlow Semi Condensed"/>
          <w:sz w:val="24"/>
          <w:szCs w:val="24"/>
        </w:rPr>
        <w:t xml:space="preserve">Il dato istituzionale più solido e già acquisito è la firma di Moro, a nome del Consiglio delle Comunità europee, dell'Accordo provvisorio CEE-Turchia del 27 luglio 1971, attestata dal preambolo del Regolamento CEE 1842/71 che lo nomina insieme a Franco Maria Malfatti, presidente della Commissione, con Osman Olcay per la Turchia. Questo elemento — pienamente documentato — testimonia il ruolo di Moro come snodo della relazione comunitaria con Ankara nella fase in cui l'Italia esercitava responsabilità di presidenza, e si salda con la firma dell'Atto finale di Helsinki del 1° agosto 1975, alla quale si torna al Capitolo X. La documentazione francese citata da aldomoro.eu registra inoltre incontri di Moro come ministro degli Esteri con l'omologo francese Maurice Schumann e con il presidente Georges Pompidou nel 1970-1971, e la sua relazione al Parlamento europeo del 10 giugno 1971 in qualità di presidente in esercizio del Consiglio: la Turchia vi compare nel contesto dell'unificazione politica europea e degli accordi di associazione, non delle questioni religiose.</w:t>
      </w:r>
    </w:p>
    <w:p>
      <w:pPr>
        <w:spacing w:after="120" w:line="276"/>
        <w:jc w:val="both"/>
      </w:pPr>
      <w:r>
        <w:rPr>
          <w:rFonts w:ascii="Barlow Semi Condensed" w:cs="Barlow Semi Condensed" w:eastAsia="Barlow Semi Condensed" w:hAnsi="Barlow Semi Condensed"/>
          <w:sz w:val="24"/>
          <w:szCs w:val="24"/>
        </w:rPr>
        <w:t xml:space="preserve">La ricognizione consente di affermare con sicurezza, in negativo, un punto rilevante: nelle fonti reperite non emerge alcuna presa di posizione documentata di Moro, o della Farnesina sotto la sua guida, sulla condizione delle minoranze cristiane in Turchia, sulla chiusura di Halki del 1971 o sullo statuto del Patriarcato ecumenico. Questo esito, di pieno valore, viene ripreso e circostanziato al Capitolo XI e classificato al Capitolo XII con l'indicazione della sede presso cui la ricerca andrebbe condotta, cioè l'Archivio Storico Diplomatico del Ministero degli Affari Esteri, serie Turchia e serie Santa Sede 1969-1975, tenuto conto dell'esclusione temporanea, già accertata nella ricognizione anteriore, dei Telegrammi 1942-1970. Poiché il materiale specificamente riferito al binomio Moro-Turchia sul piano confessionale è, allo stato, assai limitato, questo capitolo è deliberatamente più contenuto di altri: preferire un capitolo corto che dichiari la scarsità della base documentale è coerente con la disciplina richiesta e con l'onestà epistemica della ricerca.</w:t>
      </w:r>
    </w:p>
    <w:p>
      <w:pPr>
        <w:spacing w:after="120" w:line="276"/>
        <w:jc w:val="both"/>
      </w:pPr>
      <w:r>
        <w:rPr>
          <w:rFonts w:ascii="Barlow Semi Condensed" w:cs="Barlow Semi Condensed" w:eastAsia="Barlow Semi Condensed" w:hAnsi="Barlow Semi Condensed"/>
          <w:sz w:val="24"/>
          <w:szCs w:val="24"/>
        </w:rPr>
        <w:t xml:space="preserve">CAPITOLO III — L'attentato del 13 maggio 1981 e la traiettoria turca di Mehmet Ali Ağca</w:t>
      </w:r>
    </w:p>
    <w:p>
      <w:pPr>
        <w:spacing w:after="120" w:line="276"/>
        <w:jc w:val="both"/>
      </w:pPr>
      <w:r>
        <w:rPr>
          <w:rFonts w:ascii="Barlow Semi Condensed" w:cs="Barlow Semi Condensed" w:eastAsia="Barlow Semi Condensed" w:hAnsi="Barlow Semi Condensed"/>
          <w:sz w:val="24"/>
          <w:szCs w:val="24"/>
        </w:rPr>
        <w:t xml:space="preserve">Mehmet Ali Ağca è nato in Anatolia, a Malatya (alcune fonti indicano il villaggio di Hekimhan nella provincia di Malatya), il 9 gennaio 1958. Wikipedia (https://en.wikipedia.org/wiki/Mehmet_Ali_A%C4%9Fca) La sua traiettoria giudiziaria comincia con un fatto accertato: il 1° febbraio 1979 partecipò all'omicidio di Abdi İpekçi, direttore ed editorialista di punta del quotidiano Milliyet, uno dei principali giornali turchi. Wikipedia (https://en.wikipedia.org/wiki/Milliyet) İpekçi, nato il 9 agosto 1929, fu ucciso con colpi d'arma da fuoco all'interno della propria automobile davanti alla sua abitazione a Istanbul; la voce enciclopedica di riferimento indica che l'azione fu compiuta insieme a Oral Çelik, coetaneo e amico d'infanzia di Ağca. Va segnalata una divergenza fra le fonti sulla dinamica: alcune ricostruzioni giornalistiche riportano la confessione di Ağca «ho sparato quattro o cinque volte», mentre sul luogo del delitto furono rinvenuti tredici bossoli, circostanza che alimentò l'ipotesi della presenza di più esecutori; goodreads (https://www.goodreads.com/notes/41736831-operation-gladio/28440635-jos-mar-a-blancowhite/c0835082-842c-42f7-8825-b4fc114719a8) questa resta un'inferenza, non un accertamento.</w:t>
      </w:r>
    </w:p>
    <w:p>
      <w:pPr>
        <w:spacing w:after="120" w:line="276"/>
        <w:jc w:val="both"/>
      </w:pPr>
      <w:r>
        <w:rPr>
          <w:rFonts w:ascii="Barlow Semi Condensed" w:cs="Barlow Semi Condensed" w:eastAsia="Barlow Semi Condensed" w:hAnsi="Barlow Semi Condensed"/>
          <w:sz w:val="24"/>
          <w:szCs w:val="24"/>
        </w:rPr>
        <w:t xml:space="preserve">Condannato per l'omicidio İpekçi, Ağca evase il 25 novembre 1979 dal carcere militare di massima sicurezza di Kartal-Maltepe. NPR (https://www.npr.org/2006/01/20/5164596/turkey-recoils-at-release-of-man-who-shot-pope) Le fonti concordano sul carattere anomalo della fuga: egli uscì, secondo le ricostruzioni pubblicistiche, indossando una divisa militare e passando dall'ingresso, circostanza che la stampa turca dell'epoca giudicò indicativa di complicità interne. Occorre qui la massima cautela: le spiegazioni circa mandanti e reti protettive dietro l'evasione appartengono al terreno delle ipotesi giornalistiche e non a quello dell'accertamento giudiziario, e come tali vengono riportate.</w:t>
      </w:r>
    </w:p>
    <w:p>
      <w:pPr>
        <w:spacing w:after="120" w:line="276"/>
        <w:jc w:val="both"/>
      </w:pPr>
      <w:r>
        <w:rPr>
          <w:rFonts w:ascii="Barlow Semi Condensed" w:cs="Barlow Semi Condensed" w:eastAsia="Barlow Semi Condensed" w:hAnsi="Barlow Semi Condensed"/>
          <w:sz w:val="24"/>
          <w:szCs w:val="24"/>
        </w:rPr>
        <w:t xml:space="preserve">Pochi giorni dopo l'evasione, il 27 novembre 1979, Ağca inviò al quotidiano Milliyet una lettera minatoria nella quale annunciava che avrebbe colpito il pontefice in occasione del viaggio in Turchia, definendo Giovanni Paolo II «il Capo dei crociati». Il testo — ampiamente citato dalla pubblicistica italiana e turca — recita, nella parte riportata: «Le Potenze dell'imperialismo occidentale temono che la Turchia possa costruire una coalizione politica, economica e militare in Medio Oriente con gli altri Paesi islamici fratelli, perciò mandano in Turchia, in questo momento delicato, papa Giovanni Paolo II, il Capo dei crociati. Se questa visita non verrà cancellata, io certamente colpirò il Papa». Il Giardino dei Libri (https://www.ilgiardinodeilibri.it/libri/__attentato-al-papa-elena-hilal-agca-libro.php) La lettera è cronologicamente anteriore di quasi diciotto mesi all'attentato e costituisce, sul piano documentale, il primo collegamento esplicito e datato fra Ağca e il progetto di colpire il papa.</w:t>
      </w:r>
    </w:p>
    <w:p>
      <w:pPr>
        <w:spacing w:after="120" w:line="276"/>
        <w:jc w:val="both"/>
      </w:pPr>
      <w:r>
        <w:rPr>
          <w:rFonts w:ascii="Barlow Semi Condensed" w:cs="Barlow Semi Condensed" w:eastAsia="Barlow Semi Condensed" w:hAnsi="Barlow Semi Condensed"/>
          <w:sz w:val="24"/>
          <w:szCs w:val="24"/>
        </w:rPr>
        <w:t xml:space="preserve">Il viaggio di Giovanni Paolo II in Turchia si svolse regolarmente dal 28 al 30 novembre 1979 e non subì attentati; se ne tratta al Capitolo VII. L'azione contro il pontefice ebbe luogo invece l'anno successivo: il 13 maggio 1981, nel pomeriggio, in piazza San Pietro, durante l'udienza generale, Ağca sparò contro Giovanni Paolo II. Il papa fu gravemente ferito, soccorso e trasportato al policlinico Gemelli, dove fu sottoposto a interventi chirurgici e sopravvisse. Sul numero dei colpi e su alcuni dettagli materiali persistono, nella pubblicistica, divergenze che non incidono sull'accertamento del fatto principale. Il processo italiano di primo grado si tenne con procedura rapida: le fonti concordano sulla conclusione con condanna all'ergastolo, collocandola al 22 luglio 1981 (alcune ricostruzioni indicano l'avvio del dibattimento all'8 luglio 1981 e la sentenza al 22 luglio, CultWeb (https://cultweb.it/cultura/storia/che-fine-ha-fatto-ali-agca-lattentatore-di-giovanni-paolo-ii/) altre riassumono in «tre giorni di processo»). Ağca rinunciò all'appello. Un elemento va isolato con nettezza: le dichiarazioni successive di Ağca — sulla natura solitaria o concertata dell'azione, sui presunti mandanti, sulle piste bulgara e vaticana, fino alle affermazioni degli anni recenti collegate al caso Orlandi Il Giardino dei Libri (https://www.ilgiardinodeilibri.it/libri/__attentato-al-papa-elena-hilal-agca-libro.php) e alle sue autoproclamazioni messianiche — sono, per costante contraddittorietà e ritrattazione, prive di valore di accertamento, e come tali vengono trattate in questa ricognizione, che le registra come fatti pubblici (cioè: che Ağca le abbia rese) ma non come fonti sul merito.</w:t>
      </w:r>
    </w:p>
    <w:p>
      <w:pPr>
        <w:spacing w:after="120" w:line="276"/>
        <w:jc w:val="both"/>
      </w:pPr>
      <w:r>
        <w:rPr>
          <w:rFonts w:ascii="Barlow Semi Condensed" w:cs="Barlow Semi Condensed" w:eastAsia="Barlow Semi Condensed" w:hAnsi="Barlow Semi Condensed"/>
          <w:sz w:val="24"/>
          <w:szCs w:val="24"/>
        </w:rPr>
        <w:t xml:space="preserve">CAPITOLO IV — La cosiddetta pista bulgara: istruttoria, processo, assoluzioni e valutazioni di intelligence</w:t>
      </w:r>
    </w:p>
    <w:p>
      <w:pPr>
        <w:spacing w:after="120" w:line="276"/>
        <w:jc w:val="both"/>
      </w:pPr>
      <w:r>
        <w:rPr>
          <w:rFonts w:ascii="Barlow Semi Condensed" w:cs="Barlow Semi Condensed" w:eastAsia="Barlow Semi Condensed" w:hAnsi="Barlow Semi Condensed"/>
          <w:sz w:val="24"/>
          <w:szCs w:val="24"/>
        </w:rPr>
        <w:t xml:space="preserve">La qualificazione della «pista bulgara» come ipotesi giudizialmente non provata è il cardine di questo capitolo e va ribadita in apertura. La sequenza documentale è la seguente. Dopo la condanna di Ağca del 1981, la Procura di Roma proseguì le indagini per accertare l'eventuale esistenza di mandanti; il supplemento istruttorio fu affidato al giudice istruttore Ilario Martella. Nell'agosto 1982 la giornalista statunitense Claire Sterling, sul Reader's Digest, sostenne che Ağca avesse agito su mandato dei servizi bulgari e sovietici: è in questa sede pubblicistica che, come registrano concordemente le ricostruzioni italiane, emerse per la prima volta la «pista bulgara». Il 25 novembre 1982 fu arrestato a Roma Sergej Ivanov Antonov, rappresentante nella capitale italiana della compagnia aerea di bandiera bulgara Balkan Airlines, indicato da Ağca come uno dei complici; le fonti lo descrivono come funzionario della compagnia, non come diplomatico, rimasto a Roma dopo l'attentato fino all'arresto. Insieme ad Antonov furono coinvolti i bulgari Todor Ajvazov e Jelio Vassilev e alcuni cittadini turchi, fra cui Musa Serdar Çelebi, Omar Bağci, Oral Çelik e Bekir Çelenk.</w:t>
      </w:r>
    </w:p>
    <w:p>
      <w:pPr>
        <w:spacing w:after="120" w:line="276"/>
        <w:jc w:val="both"/>
      </w:pPr>
      <w:r>
        <w:rPr>
          <w:rFonts w:ascii="Barlow Semi Condensed" w:cs="Barlow Semi Condensed" w:eastAsia="Barlow Semi Condensed" w:hAnsi="Barlow Semi Condensed"/>
          <w:sz w:val="24"/>
          <w:szCs w:val="24"/>
        </w:rPr>
        <w:t xml:space="preserve">Il processo davanti alla Corte d'assise di Roma iniziò il 28 maggio 1985 e si concluse il 29 marzo 1986 con l'assoluzione per insufficienza di prove di Antonov, Vassilev, Ajvazov, Çelebi e Çelik; furono invece condannati Omar Bağci a tre anni e due mesi e lo stesso Ağca a un anno per detenzione di arma; Bekir Çelenk era nel frattempo deceduto. La sentenza fu confermata in appello il 19 dicembre 1987. È essenziale l'annotazione giuridica, correttamente sottolineata anche dalla pubblicistica specializzata: nell'ordinamento allora vigente l'assoluzione «per insufficienza di prove» era distinta dall'accertamento dell'innocenza, e significava che il giudice non aveva raggiunto la certezza necessaria per condannare, non che avesse provato l'estraneità degli imputati ai fatti. Questa distinzione, tuttavia, non trasforma un'ipotesi non provata in un fatto: la responsabilità bulgaro-sovietica non fu giudizialmente accertata, e ogni tesi che la presenti come acquisita è, allo stato delle sentenze, non sostenuta.</w:t>
      </w:r>
    </w:p>
    <w:p>
      <w:pPr>
        <w:spacing w:after="120" w:line="276"/>
        <w:jc w:val="both"/>
      </w:pPr>
      <w:r>
        <w:rPr>
          <w:rFonts w:ascii="Barlow Semi Condensed" w:cs="Barlow Semi Condensed" w:eastAsia="Barlow Semi Condensed" w:hAnsi="Barlow Semi Condensed"/>
          <w:sz w:val="24"/>
          <w:szCs w:val="24"/>
        </w:rPr>
        <w:t xml:space="preserve">Le valutazioni desecretate dell'intelligence statunitense convergono, in modo notevole, con la prudenza delle sentenze italiane. Nella raccolta Foreign Relations of the United States, 1981-1988, volume X, il documento 370 riproduce un memorandum del direttore della Central Intelligence Agency William J. Casey e l'allegata analisi dell'Agenzia intitolata «Bulgarian Complicity in the Papal Assassination Attempt», la cui introduzione afferma testualmente: «We are unable at this juncture to develop a clear-cut, conclusive picture of Bulgarian involvement with would-be papal assassin Mehmet Ali Agca». state (https://history.state.gov/historicaldocuments/frus1981-88v10/d370) state (https://history.state.gov/historicaldocuments/frus1981-88v10/d370) Lo stesso documento riporta la valutazione dell'ambasciata statunitense a Sofia secondo cui sarebbe stato difficile credere a un coinvolgimento diretto dei servizi bulgari «perché sarebbe stato così stupido», pur precisando che tale considerazione non escludeva la possibilità di un coinvolgimento ufficiale. Il documento 376 del medesimo volume, un memorandum preparato dalla CIA sull'«Assessment of Responsibility for Papal Assassination Attempt», contiene la conclusione «On Balance» secondo cui «gran parte della tesi del Procuratore generale italiano che allega la complicità del blocco orientale nell'attacco al Papa appare dipendere unicamente dalla testimonianza di Agca, e questi non è sempre stato veritiero o coerente nel periodo della sua detenzione», aggiungendo che, anche qualora Ağca avesse avuto contatti con i bulgari accusati, questi avrebbero potuto riguardare stupefacenti o traffici d'armi «grigie» piuttosto che una cospirazione per uccidere il papa. state (https://history.state.gov/historicaldocuments/frus1981-88v10/d376) La lettera di accompagnamento redatta in ambito Consiglio per la sicurezza nazionale osservava che «la CIA ha pochissime prove in un senso o nell'altro». state (https://history.state.gov/historicaldocuments/frus1981-88v10/d376) Il documento 377, un'Intelligence Assessment del dicembre 1984 dell'Office of European Analysis, dichiara espressamente di non affrontare «la questione ultima della colpevolezza o innocenza della Bulgaria» state (https://history.state.gov/historicaldocuments/frus1981-88v10/d377) e riconosce che il processo italiano avrebbe potuto condannare Antonov «unicamente sulla base della testimonianza di Agca».</w:t>
      </w:r>
    </w:p>
    <w:p>
      <w:pPr>
        <w:spacing w:after="120" w:line="276"/>
        <w:jc w:val="both"/>
      </w:pPr>
      <w:r>
        <w:rPr>
          <w:rFonts w:ascii="Barlow Semi Condensed" w:cs="Barlow Semi Condensed" w:eastAsia="Barlow Semi Condensed" w:hAnsi="Barlow Semi Condensed"/>
          <w:sz w:val="24"/>
          <w:szCs w:val="24"/>
        </w:rPr>
        <w:t xml:space="preserve">Va inoltre segnalato, per completezza e con la dovuta qualificazione, il contrasto interno all'apparato statunitense fra queste valutazioni analitiche prudenti e la linea più assertiva propria di alcuni documenti di livello politico-esecutivo, e le successive dichiarazioni pubbliche dell'ex analista della CIA Melvin A. Goodman. Goodman, già responsabile della divisione sugli affari sovietici dell'Agenzia, testimoniò davanti alla Commissione ristretta del Senato sull'intelligence — nel contesto delle audizioni di conferma di Robert Gates a direttore della CIA, collocabili all'ottobre 1991 (alcune fonti secondarie indicano il 1990, ma il verbale ufficiale del Senato colloca la sessione sulla «politicizzazione» dell'analisi al 1° ottobre 1991) — sostenendo che l'Agenzia non disponeva di prove che collegassero il KGB o i bulgari al complotto e che vi erano state pressioni interne per orientare i rapporti verso la tesi del complotto sovietico. Queste dichiarazioni, di per sé, non provano né smentiscono alcunché sul merito dei mandanti: attestano soltanto lo stato delle conoscenze e delle tensioni interne all'intelligence statunitense, e come tali vanno lette. Nel loro insieme, i documenti desecretati non affermano come provata la responsabilità bulgaro-sovietica; anzi, ne segnalano ripetutamente la fragilità probatoria, riconducibile alla dipendenza dalle dichiarazioni di un teste inattendibile.</w:t>
      </w:r>
    </w:p>
    <w:p>
      <w:pPr>
        <w:spacing w:after="120" w:line="276"/>
        <w:jc w:val="both"/>
      </w:pPr>
      <w:r>
        <w:rPr>
          <w:rFonts w:ascii="Barlow Semi Condensed" w:cs="Barlow Semi Condensed" w:eastAsia="Barlow Semi Condensed" w:hAnsi="Barlow Semi Condensed"/>
          <w:sz w:val="24"/>
          <w:szCs w:val="24"/>
        </w:rPr>
        <w:t xml:space="preserve">CAPITOLO V — I Lupi Grigi, il Milliyetçi Hareket Partisi e la questione della loro natura</w:t>
      </w:r>
    </w:p>
    <w:p>
      <w:pPr>
        <w:spacing w:after="120" w:line="276"/>
        <w:jc w:val="both"/>
      </w:pPr>
      <w:r>
        <w:rPr>
          <w:rFonts w:ascii="Barlow Semi Condensed" w:cs="Barlow Semi Condensed" w:eastAsia="Barlow Semi Condensed" w:hAnsi="Barlow Semi Condensed"/>
          <w:sz w:val="24"/>
          <w:szCs w:val="24"/>
        </w:rPr>
        <w:t xml:space="preserve">I Lupi Grigi (in turco Bozkurtlar), noti ufficialmente come Ülkücüler («idealisti») e organizzati nei focolari Ülkü Ocakları, sono un movimento del nazionalismo turco radicale la cui matrice ideologica è il panturchismo o turanismo. La voce enciclopedica italiana di riferimento e la pubblicistica specializzata li descrivono come collegati al Milliyetçi Hareket Partisi (Partito del movimento nazionalista, MHP) fondato dal colonnello Alparslan Türkeş nel 1969, di cui gli Ülkü Ocakları costituivano la sezione giovanile e, secondo numerose ricostruzioni, l'ala paramilitare. Le fonti convergono nell'attribuire al movimento un'attività violenta rilevante negli anni Settanta, con vittime numerose nel decennio che precedette il colpo di Stato militare del generale Kenan Evren del settembre 1980, il quale mise al bando tanto i Lupi Grigi quanto l'MHP. Sulla natura e sui finanziamenti del movimento le fonti divergono e sono in parte di carattere pubblicistico o di testimonianza: si menzionano rapporti con ambienti dell'anticomunismo occidentale in funzione antisovietica, e — dopo la messa al bando e la diaspora dei quadri in Germania, Francia e Austria — un coinvolgimento in traffici illeciti; lo storico tedesco Nikolaus Brauns è citato per la tesi dell'insediamento in Germania favorito da apparati locali in chiave anticomunista. Tutte queste attribuzioni vanno prese come ipotesi documentate in modo disuguale, non come accertamenti.</w:t>
      </w:r>
    </w:p>
    <w:p>
      <w:pPr>
        <w:spacing w:after="120" w:line="276"/>
        <w:jc w:val="both"/>
      </w:pPr>
      <w:r>
        <w:rPr>
          <w:rFonts w:ascii="Barlow Semi Condensed" w:cs="Barlow Semi Condensed" w:eastAsia="Barlow Semi Condensed" w:hAnsi="Barlow Semi Condensed"/>
          <w:sz w:val="24"/>
          <w:szCs w:val="24"/>
        </w:rPr>
        <w:t xml:space="preserve">Il punto dirimente, sul quale la disciplina di metodo è vincolante, è il seguente: l'appartenenza — o la contiguità — di Mehmet Ali Ağca all'ambiente ülkücü, ampiamente riferita dalle fonti, non costituisce prova di una condotta dell'organizzazione in quanto tale rispetto all'attentato del 1981. Le fonti giudiziarie non hanno accertato un mandato organizzativo dei Lupi Grigi per l'attacco al pontefice; la stessa pubblicistica che collega Ağca ai Lupi Grigi lo fa per lo più sul piano biografico e ambientale. Trattare la militanza individuale come prova di responsabilità collettiva sarebbe un salto logico che questa ricognizione rifiuta espressamente, coerentemente con il vincolo secondo cui la comunanza di ambiente istituzionale non equivale a convergenza di obiettivo documentata. Analogamente, la circostanza che Oral Çelik — indicato come complice nell'omicidio İpekçi e negli sviluppi successivi — appartenga allo stesso ambiente non prova, di per sé, la natura degli eventuali mandanti dell'attentato del 1981, rimasti giudizialmente non accertati.</w:t>
      </w:r>
    </w:p>
    <w:p>
      <w:pPr>
        <w:spacing w:after="120" w:line="276"/>
        <w:jc w:val="both"/>
      </w:pPr>
      <w:r>
        <w:rPr>
          <w:rFonts w:ascii="Barlow Semi Condensed" w:cs="Barlow Semi Condensed" w:eastAsia="Barlow Semi Condensed" w:hAnsi="Barlow Semi Condensed"/>
          <w:sz w:val="24"/>
          <w:szCs w:val="24"/>
        </w:rPr>
        <w:t xml:space="preserve">CAPITOLO VI — Il decennio turco di Angelo Roncalli (1935-1944)</w:t>
      </w:r>
    </w:p>
    <w:p>
      <w:pPr>
        <w:spacing w:after="120" w:line="276"/>
        <w:jc w:val="both"/>
      </w:pPr>
      <w:r>
        <w:rPr>
          <w:rFonts w:ascii="Barlow Semi Condensed" w:cs="Barlow Semi Condensed" w:eastAsia="Barlow Semi Condensed" w:hAnsi="Barlow Semi Condensed"/>
          <w:sz w:val="24"/>
          <w:szCs w:val="24"/>
        </w:rPr>
        <w:t xml:space="preserve">Il decennio turco di Angelo Giuseppe Roncalli, futuro Giovanni XXIII, è la radice storica riconosciuta del rapporto contemporaneo fra Santa Sede e Turchia e la matrice — sul piano della memoria e delle relazioni personali e istituzionali — dell'istituzione delle relazioni diplomatiche del 1960. Sulla data della nomina le fonti divergono, e la divergenza va mantenuta: la biografia diffusa da storiologia.it indica la nomina a delegato apostolico in Turchia al 24 novembre 1934; Storiologia (https://www.storiologia.it/biografie/roncalli.htm) altre fonti, fra cui la scheda del Comune di Padova (padovanet.it), collocano al 1934 la nomina ad arcivescovo titolare di Mesembria con l'incarico di delegato apostolico in Turchia e Grecia e di amministratore apostolico del Vicariato di Istanbul; lo studio di riferimento in lingua inglese, l'articolo di The Journal of Ecclesiastical History del gennaio 1989 (vol. 40, n. 1, pp. 74-99, DOI 10.1017/S0022046900035430), parla di delegato apostolico «from January 1935 to December 1944». Concordano invece le fonti sull'arrivo a Istanbul, proveniente da Sofia, il 5 gennaio 1935, Gariwo (https://it.gariwo.net/dl/202005180612_A.pdf) e sulla conclusione dell'incarico alla fine del 1944, con la partenza per la nunziatura di Francia (il 27 dicembre 1944 secondo storiologia.it, che riferisce anche del telegramma cifrato del cardinal Tardini ricevuto il 6 dicembre). Storiologia (https://www.storiologia.it/biografie/roncalli.htm)</w:t>
      </w:r>
    </w:p>
    <w:p>
      <w:pPr>
        <w:spacing w:after="120" w:line="276"/>
        <w:jc w:val="both"/>
      </w:pPr>
      <w:r>
        <w:rPr>
          <w:rFonts w:ascii="Barlow Semi Condensed" w:cs="Barlow Semi Condensed" w:eastAsia="Barlow Semi Condensed" w:hAnsi="Barlow Semi Condensed"/>
          <w:sz w:val="24"/>
          <w:szCs w:val="24"/>
        </w:rPr>
        <w:t xml:space="preserve">La condizione della comunità cattolica di Istanbul in quegli anni è descritta concordemente come esigua e frazionata nei diversi riti: le fonti oscillano fra le trentamila unità «al suo arrivo nel '35» indicate da Terrasanta.net Terrasanta (https://www.terrasanta.net/2014/03/il-decennio-turco-di-monsignor-roncalli/) e le trentacinquemila indicate da ladiscussione.com, La Discussione (https://ladiscussione.com/130659/cultura/roncalli-a-istanbul/) con tendenza alla diminuzione nel tempo. Roncalli operò in un contesto segnato dalla laicizzazione kemalista: la Repubblica di Atatürk non riconosceva ufficialmente la rappresentanza pontificia, sicché egli si muoveva con discrezione, presentandosi agli uffici di polizia per ottenere i documenti. La Discussione (https://ladiscussione.com/130659/cultura/roncalli-a-istanbul/) Fra le sue scelte pastorali più innovative e più documentate vi è l'introduzione della lingua turca nella liturgia e nelle comunicazioni della diocesi: la Comunità di Sant'Egidio, per voce di Valeria Martano curatrice dei suoi diari, colloca l'iniziativa «fin dal 1935»; Zenit (https://it.zenit.org/2010/12/01/il-metodo-roncalli-nell-incontro-tra-oriente-e-occidente/) ladiscussione.com la data «già dal gennaio del 1936» per preghiere e canti; La Discussione (https://ladiscussione.com/130659/cultura/roncalli-a-istanbul/) terrasanta.net riferisce della lettura del Vangelo in turco nel 1938. Su questa cronologia interna le fonti dunque divergono e la divergenza è qui mantenuta. L'iniziativa suscitò consensi nell'ambiente musulmano e contestazioni nella comunità cattolica occidentale, soprattutto francese, che si considerava prima destinataria delle cure pastorali. Quando una legge turca proibì l'uso dell'abito religioso in pubblico, Roncalli si adeguò, annotando con nota ironica — riportata da zenit.org — che il provvedimento favoriva i contatti con i capi religiosi ortodossi e musulmani. Zenit (https://it.zenit.org/2010/12/01/il-metodo-roncalli-nell-incontro-tra-oriente-e-occidente/)</w:t>
      </w:r>
    </w:p>
    <w:p>
      <w:pPr>
        <w:spacing w:after="120" w:line="276"/>
        <w:jc w:val="both"/>
      </w:pPr>
      <w:r>
        <w:rPr>
          <w:rFonts w:ascii="Barlow Semi Condensed" w:cs="Barlow Semi Condensed" w:eastAsia="Barlow Semi Condensed" w:hAnsi="Barlow Semi Condensed"/>
          <w:sz w:val="24"/>
          <w:szCs w:val="24"/>
        </w:rPr>
        <w:t xml:space="preserve">Il capitolo più noto del decennio è l'assistenza ai profughi ebrei durante la Seconda guerra mondiale. Le fonti concordano nel valore dell'azione e nel suo carattere personale e riservato; la cifra ricorrente è quella di circa venticinquemila ebrei «concretamente aiutati», come riportano storiologia.it e altre fonti, con la consueta cautela che simili stime comportano. Roncalli si avvalse dei suoi rapporti con l'ambasciatore tedesco a Istanbul Franz von Papen, cattolico ed ex cancelliere del Reich: l'Avvenire (avvenire.it), citando testimonianze fra cui quella resa da von Papen al processo di Norimberga, riferisce che migliaia di ebrei furono salvati anche grazie alle formalità amministrative alle quali l'ambasciatore finì per piegarsi sotto la pressione di Roncalli. La ricerca condotta dalla Fondazione Wallenberg e dal Comitato Roncalli è citata per l'invio di certificati e visti di transito, con interventi estesi a ebrei di Slovacchia, Bulgaria e Ungheria. Si segnala, quale limite documentale rilevante e già indicato da Rinaldo Marmara, che la documentazione del quinquennio 1940-1945 non è pienamente consultabile, circostanza che sarà ripresa al Capitolo XII. Il rilievo di questa stagione per i rapporti successivi è attestato dalla memoria pubblica turca — la «Papa Roncalli Sokak» a Istanbul, la statua inaugurata da Benedetto XVI — e dalla stessa Santa Sede, che nel discorso di Paolo VI al nuovo ambasciatore di Turchia del 19 gennaio 1967 (vatican.va) collega esplicitamente l'avvio delle relazioni diplomatiche al pontificato di Giovanni XXIII.</w:t>
      </w:r>
    </w:p>
    <w:p>
      <w:pPr>
        <w:spacing w:after="120" w:line="276"/>
        <w:jc w:val="both"/>
      </w:pPr>
      <w:r>
        <w:rPr>
          <w:rFonts w:ascii="Barlow Semi Condensed" w:cs="Barlow Semi Condensed" w:eastAsia="Barlow Semi Condensed" w:hAnsi="Barlow Semi Condensed"/>
          <w:sz w:val="24"/>
          <w:szCs w:val="24"/>
        </w:rPr>
        <w:t xml:space="preserve">CAPITOLO VII — La visita di Giovanni Paolo II in Turchia (28-30 novembre 1979)</w:t>
      </w:r>
    </w:p>
    <w:p>
      <w:pPr>
        <w:spacing w:after="120" w:line="276"/>
        <w:jc w:val="both"/>
      </w:pPr>
      <w:r>
        <w:rPr>
          <w:rFonts w:ascii="Barlow Semi Condensed" w:cs="Barlow Semi Condensed" w:eastAsia="Barlow Semi Condensed" w:hAnsi="Barlow Semi Condensed"/>
          <w:sz w:val="24"/>
          <w:szCs w:val="24"/>
        </w:rPr>
        <w:t xml:space="preserve">Il viaggio apostolico di Giovanni Paolo II in Turchia dal 28 al 30 novembre 1979 è documentato in modo esaustivo dalle fonti ufficiali della Santa Sede (vatican.va). Nel discorso alla partenza del 28 novembre 1979 il pontefice dichiarò di recarsi in Turchia «seguendo le orme del mio Predecessore Paolo VI che alla fine del mese di luglio del 1967 andò in Turchia», per continuare lo sforzo verso l'unità dei cristiani e per mostrare «l'importanza che la Chiesa cattolica dà al rapporto con le venerabili Chiese ortodosse alla vigilia dell'inizio di un dialogo teologico». Il programma prevedeva l'omaggio alle autorità della Repubblica ad Ankara, l'incontro a Istanbul con il patriarca ecumenico Dimitrios I e la partecipazione alle celebrazioni per la festa di Sant'Andrea. Ad Ankara il papa si rivolse alla comunità cattolica ricordandone la condizione di «piccola minoranza in queste terre»; Vatican News (https://www.vaticannews.va/it/papa/news/2025-11/viaggi-apostolici-papi-turchia.html) a Istanbul, il 29 novembre, celebrò nella Cattedrale dello Spirito Santo e incontrò anche il patriarca armeno Shnorhk Kalustian e la comunità armeno-cattolica.</w:t>
      </w:r>
    </w:p>
    <w:p>
      <w:pPr>
        <w:spacing w:after="120" w:line="276"/>
        <w:jc w:val="both"/>
      </w:pPr>
      <w:r>
        <w:rPr>
          <w:rFonts w:ascii="Barlow Semi Condensed" w:cs="Barlow Semi Condensed" w:eastAsia="Barlow Semi Condensed" w:hAnsi="Barlow Semi Condensed"/>
          <w:sz w:val="24"/>
          <w:szCs w:val="24"/>
        </w:rPr>
        <w:t xml:space="preserve">Il momento culminante fu, il 29 e 30 novembre, l'incontro con Dimitrios I al Fanar. Nel discorso del 29 novembre 1979 Giovanni Paolo II salutò il patriarca e il Santo Sinodo e, come egli stesso avrebbe rievocato nell'omelia del 6 dicembre 1987 (vatican.va), poté allora «annunciare insieme che l'inizio del dialogo teologico tra la Chiesa cattolica e la Chiesa ortodossa era imminente» e rendere pubblici i nomi dei membri della Commissione mista incaricata del dialogo. Il 30 novembre 1979, in occasione della festa di Sant'Andrea, fu dunque proclamato l'avvio del dialogo teologico ufficiale cattolico-ortodosso; il discorso di conclusione del pellegrinaggio, sempre del 30 novembre, ringrazia «il Signor Ministro degli Interni, Onorevole Virginio Rognoni» — presente in rappresentanza del governo italiano — e le autorità turche. Va rilevato, sul piano della memoria del rapporto, che il papa richiamò espressamente l'eredità di Paolo VI e di Atenagora I e il loro desiderio di «bere nello stesso calice», ancora irrealizzato per l'impossibilità della concelebrazione, definita «il segno più doloroso del danno prodotto dalla divisione».</w:t>
      </w:r>
    </w:p>
    <w:p>
      <w:pPr>
        <w:spacing w:after="120" w:line="276"/>
        <w:jc w:val="both"/>
      </w:pPr>
      <w:r>
        <w:rPr>
          <w:rFonts w:ascii="Barlow Semi Condensed" w:cs="Barlow Semi Condensed" w:eastAsia="Barlow Semi Condensed" w:hAnsi="Barlow Semi Condensed"/>
          <w:sz w:val="24"/>
          <w:szCs w:val="24"/>
        </w:rPr>
        <w:t xml:space="preserve">Il collegamento fra questo capitolo e il nodo prioritario è di natura cronologica e va trattato con la massima cautela metodologica: la lettera minatoria di Ağca del 27 novembre 1979 fu inviata proprio in occasione di questo viaggio, che tuttavia si svolse senza incidenti. La contemporaneità fra la minaccia e il viaggio è un fatto; essa non stabilisce di per sé alcun nesso causale con l'attentato del 1981, avvenuto a diciotto mesi di distanza e in altro luogo. La minaccia del 1979 e l'attentato del 1981 sono legati dalla persona dell'attentatore e dalla continuità del suo proposito dichiarato — come Ağca stesso avrebbe poi affermato rinviando alle «motivazioni» espresse nel 1979 — ma la ricostruzione delle cause e degli eventuali mandanti dell'attacco del 1981 resta quella, giudizialmente non conclusiva, esposta al Capitolo IV.</w:t>
      </w:r>
    </w:p>
    <w:p>
      <w:pPr>
        <w:spacing w:after="120" w:line="276"/>
        <w:jc w:val="both"/>
      </w:pPr>
      <w:r>
        <w:rPr>
          <w:rFonts w:ascii="Barlow Semi Condensed" w:cs="Barlow Semi Condensed" w:eastAsia="Barlow Semi Condensed" w:hAnsi="Barlow Semi Condensed"/>
          <w:sz w:val="24"/>
          <w:szCs w:val="24"/>
        </w:rPr>
        <w:t xml:space="preserve">CAPITOLO VIII — Il patriarcato ecumenico e il dialogo cattolico-ortodosso (1964-1985)</w:t>
      </w:r>
    </w:p>
    <w:p>
      <w:pPr>
        <w:spacing w:after="120" w:line="276"/>
        <w:jc w:val="both"/>
      </w:pPr>
      <w:r>
        <w:rPr>
          <w:rFonts w:ascii="Barlow Semi Condensed" w:cs="Barlow Semi Condensed" w:eastAsia="Barlow Semi Condensed" w:hAnsi="Barlow Semi Condensed"/>
          <w:sz w:val="24"/>
          <w:szCs w:val="24"/>
        </w:rPr>
        <w:t xml:space="preserve">Il dialogo cattolico-ortodosso costituisce, insieme al decennio roncalliano, la spina dorsale positiva del rapporto Santa Sede-Turchia nel Novecento, poiché il Patriarcato ecumenico ha sede a Istanbul. La cronologia è saldamente documentata dalle fonti ufficiali. L'incontro di Gerusalemme fra Paolo VI e il patriarca Atenagora I ebbe luogo il 5 gennaio 1964 sul Monte degli Ulivi: fu, come sintetizza Vatican News, il primo atto ufficiale congiunto delle due Chiese dallo scisma del 1054. La Dichiarazione comune cattolico-ortodossa fu letta simultaneamente il 7 dicembre 1965, nella sessione solenne del Concilio Vaticano II a Roma e nella cattedrale patriarcale del Fanar a Istanbul: essa precisò che le scomuniche del 1054 fra Leone IX e Michele Cerulario riguardavano le persone e non le Chiese, e dispose di «cancellare dalla memoria e dal seno della Chiesa» quelle sentenze. Il percorso preparatorio è documentato: nell'aprile 1965 una delegazione romana composta dai cardinali Willebrands e Bea si recò a Istanbul; il 9 ottobre 1965, durante l'udienza al metropolita Emilianos Timiadis, fu decisa la costituzione di una commissione mista (orientecristiano.it).</w:t>
      </w:r>
    </w:p>
    <w:p>
      <w:pPr>
        <w:spacing w:after="120" w:line="276"/>
        <w:jc w:val="both"/>
      </w:pPr>
      <w:r>
        <w:rPr>
          <w:rFonts w:ascii="Barlow Semi Condensed" w:cs="Barlow Semi Condensed" w:eastAsia="Barlow Semi Condensed" w:hAnsi="Barlow Semi Condensed"/>
          <w:sz w:val="24"/>
          <w:szCs w:val="24"/>
        </w:rPr>
        <w:t xml:space="preserve">Seguirono le visite reciproche: Paolo VI si recò a Istanbul, Efeso e Smirne dal 25 al 26 luglio 1967, rivedendo Atenagora nella chiesa patriarcale di San Giorgio il 25 luglio; il 26 ottobre 1967 (una fonte scrive «ottobre 1967») Atenagora giunse a Roma, con solenne celebrazione in San Pietro. Atenagora I morì nel luglio 1972 — sul giorno preciso le fonti già acquisite divergono fra il 6 e il 7 luglio, divergenza qui mantenuta — e gli succedette Dimitrios I. Sotto il pontificato di Giovanni Paolo II, come esposto al Capitolo VII, l'incontro al Fanar del novembre 1979 avviò il dialogo teologico. La Commissione mista internazionale per il dialogo teologico tra la Chiesa cattolica e la Chiesa ortodossa tenne la prima sessione plenaria nel 1980 nelle isole greche di Patmos e Rodi: Diocesichieti (https://www.diocesichieti.it/sessione-plenaria-per-il-dialogo-teologico-tra-la-chiesa-cattolica-e-le-chiese-ortodosse/) l'Osservatore Romano ne precisa le date, dal 29 maggio al 4 giugno 1980, con inizio a Patmos; L'Osservatore Romano (https://www.osservatoreromano.va/it/news/2020-11/quo-273/dialogo-sulla-chiesa.html) già nella sessione inaugurale, come ricorda un intervento pubblicato dal CCEE, alcuni delegati ortodossi obiettarono alla presenza dei rappresentanti delle Chiese cattoliche orientali. Ccee (https://www.ccee.eu/wp-content/uploads/sites/2/2019/09/Intervento-Rev.-Bouwen.pdf) Il primo frutto documentale del dialogo fu, come ricordò Giovanni Paolo II nel discorso al Sacro Collegio del 28 giugno 1985 (vatican.va), «un documento redatto in comune sul mistero della Chiesa e dell'Eucaristia alla luce del mistero della Santissima Trinità».</w:t>
      </w:r>
    </w:p>
    <w:p>
      <w:pPr>
        <w:spacing w:after="120" w:line="276"/>
        <w:jc w:val="both"/>
      </w:pPr>
      <w:r>
        <w:rPr>
          <w:rFonts w:ascii="Barlow Semi Condensed" w:cs="Barlow Semi Condensed" w:eastAsia="Barlow Semi Condensed" w:hAnsi="Barlow Semi Condensed"/>
          <w:sz w:val="24"/>
          <w:szCs w:val="24"/>
        </w:rPr>
        <w:t xml:space="preserve">Accanto a questa cronologia ecumenica va collocata la condizione del Patriarcato nell'ordinamento turco, che ne segna il limite strutturale e collega questo capitolo alla questione delle minoranze. Il governo turco richiede che il patriarca ecumenico e i membri del Santo Sinodo siano cittadini turchi, requisito che numerose fonti — fra cui gli interventi in sede OSCE ripresi da lafiaccola.it — qualificano come interferenza inaccettabile con il processo elettorale interno del Patriarcato. La formazione del clero ortodosso resta compromessa dalla chiusura della Scuola teologica di Halki, di cui si tratta al Capitolo IX. Nel periodo qui considerato (fino al 1985) la questione di Halki era già aperta ma non risolta, e non risulta dalle fonti reperite che essa sia stata oggetto di una trattazione formale nelle sedi del dialogo teologico, che manteneva un carattere dottrinale e non giurisdizionale; questa è una lacuna che il capitolo dichiara e che andrebbe verificata negli archivi del Patriarcato e della Segreteria di Stato.</w:t>
      </w:r>
    </w:p>
    <w:p>
      <w:pPr>
        <w:spacing w:after="120" w:line="276"/>
        <w:jc w:val="both"/>
      </w:pPr>
      <w:r>
        <w:rPr>
          <w:rFonts w:ascii="Barlow Semi Condensed" w:cs="Barlow Semi Condensed" w:eastAsia="Barlow Semi Condensed" w:hAnsi="Barlow Semi Condensed"/>
          <w:sz w:val="24"/>
          <w:szCs w:val="24"/>
        </w:rPr>
        <w:t xml:space="preserve">CAPITOLO IX — Le comunità cattoliche di Turchia, il loro statuto e il Trattato di Losanna</w:t>
      </w:r>
    </w:p>
    <w:p>
      <w:pPr>
        <w:spacing w:after="120" w:line="276"/>
        <w:jc w:val="both"/>
      </w:pPr>
      <w:r>
        <w:rPr>
          <w:rFonts w:ascii="Barlow Semi Condensed" w:cs="Barlow Semi Condensed" w:eastAsia="Barlow Semi Condensed" w:hAnsi="Barlow Semi Condensed"/>
          <w:sz w:val="24"/>
          <w:szCs w:val="24"/>
        </w:rPr>
        <w:t xml:space="preserve">Lo statuto giuridico delle comunità cattoliche di Turchia è determinato in modo decisivo, e in senso restrittivo, dal Trattato di Losanna del 24 luglio 1923, firmato fra la Turchia e le potenze dell'Intesa. Il trattato pose fine alla guerra greco-turca, ridisegnò i confini stabiliti dal Trattato di Sèvres, sancì la rinuncia turca a Cipro e ad altri territori e legittimò lo scambio di popolazioni fra Grecia e Turchia. La sezione dedicata ai diritti delle minoranze è contenuta nella parte prima, sezione terza, articoli 37-45. L'interpretazione consolidata dalle autorità turche riconosce come minoranze non musulmane soltanto i greco-ortodossi, gli armeni e gli ebrei; ne restano esclusi i cattolici latini, i caldei e i siro-cattolici. La conseguenza pratica di tale esclusione è documentata con nettezza dalla pubblicistica confessionale: come riferisce funerali.org a proposito del decreto turco di restituzione dei beni alle fondazioni religiose, «nulla tornerà invece ai cattolici latini, perché questi non compaiono tra le minoranze religiose indicate nel Trattato di Losanna del 1923», Funerali (https://www.funerali.org/cimiteri/in-turchia-restituiti-tra-laltro-alle-minoranze-religiose-la-gestione-di-loro-cimiteri-2-42724.html) mentre benefici della restituzione risultavano i greco-ortodossi, gli armeni, i caldei cattolici e gli ebrei.</w:t>
      </w:r>
    </w:p>
    <w:p>
      <w:pPr>
        <w:spacing w:after="120" w:line="276"/>
        <w:jc w:val="both"/>
      </w:pPr>
      <w:r>
        <w:rPr>
          <w:rFonts w:ascii="Barlow Semi Condensed" w:cs="Barlow Semi Condensed" w:eastAsia="Barlow Semi Condensed" w:hAnsi="Barlow Semi Condensed"/>
          <w:sz w:val="24"/>
          <w:szCs w:val="24"/>
        </w:rPr>
        <w:t xml:space="preserve">L'articolazione della Chiesa cattolica in Turchia comprende, secondo le fonti ufficiali e la pubblicistica confessionale, il Vicariato apostolico di Istanbul, l'Arcidiocesi di Smirne (İzmir), il Vicariato apostolico dell'Anatolia, l'Arcieparchia armeno-cattolica di Istanbul, le comunità caldea e siro-cattolica e l'Esarcato apostolico per i cattolici di rito bizantino. Sulle consistenze numeriche le fonti divergono e la divergenza è qui mantenuta, coerentemente con l'acquisizione anteriore che oscillava fra venticinquemila-trentamila e sessantamila fedeli: SettimanaNews, riferendosi al rito latino, indica per epoca recente oltre 1.300 fedeli a Smirne, quindicimila nel Vicariato di Istanbul e circa 1.500 nell'Anatolia; SettimanaNews (https://www.settimananews.it/ecumenismo-dialogo/chiesa-latina-turchia-dal-dentro/) la voce enciclopedica sulle minoranze in Turchia stima i cattolici complessivi «circa 35.000, pari allo 0,05% della popolazione», con fedeli di rito latino, bizantino, armeno e caldeo. Alegsaonline (https://it.alegsaonline.com/art/65294) Wikipedia in italiano ricorda che nel XIX secolo, grazie all'influsso francese, quattro Chiese cattoliche — armeno-cattolica, caldea, greco-melchita e sira — avevano ottenuto sotto gli Ottomani lo statuto di millet; la rivoluzione kemalista, sopprimendo il sistema del millet, rimosse quella tutela.</w:t>
      </w:r>
    </w:p>
    <w:p>
      <w:pPr>
        <w:spacing w:after="120" w:line="276"/>
        <w:jc w:val="both"/>
      </w:pPr>
      <w:r>
        <w:rPr>
          <w:rFonts w:ascii="Barlow Semi Condensed" w:cs="Barlow Semi Condensed" w:eastAsia="Barlow Semi Condensed" w:hAnsi="Barlow Semi Condensed"/>
          <w:sz w:val="24"/>
          <w:szCs w:val="24"/>
        </w:rPr>
        <w:t xml:space="preserve">Il regime giuridico delle fondazioni (vakıf) e la questione delle proprietà ecclesiastiche costituiscono il terreno concreto su cui l'esclusione dei cattolici latini produce effetti: mancando il riconoscimento come minoranza, essi non godono delle tutele patrimoniali riconosciute alle tre minoranze «di Losanna», e le loro proprietà — monasteri, parrocchie — hanno storicamente sofferto della mancata personalità giuridica. La posizione della Santa Sede sull'esclusione, per il periodo 1969-1985 qui considerato, non emerge dalle fonti reperite in forma di un atto formale e specifico di protesta: le rivendicazioni documentate — in sede europea e per voce del Patriarcato ecumenico circa i «beni usurpati» — appartengono per lo più a epoca successiva. Si tratta quindi, per il perimetro cronologico prioritario, di un capitolo la cui base documentale è solida sul dato giuridico (il testo e l'interpretazione del Trattato di Losanna) ma più esile sull'azione diplomatica della Santa Sede nel quindicennio, e come tale viene onestamente dichiarato: la sede naturale di accertamento è l'archivio della Segreteria di Stato, sezione Rapporti con gli Stati, per il pontificato di Paolo VI, non ancora aperto (Capitolo XII).</w:t>
      </w:r>
    </w:p>
    <w:p>
      <w:pPr>
        <w:spacing w:after="120" w:line="276"/>
        <w:jc w:val="both"/>
      </w:pPr>
      <w:r>
        <w:rPr>
          <w:rFonts w:ascii="Barlow Semi Condensed" w:cs="Barlow Semi Condensed" w:eastAsia="Barlow Semi Condensed" w:hAnsi="Barlow Semi Condensed"/>
          <w:sz w:val="24"/>
          <w:szCs w:val="24"/>
        </w:rPr>
        <w:t xml:space="preserve">CAPITOLO X — La Santa Sede, la Turchia e la Conferenza sulla sicurezza e la cooperazione in Europa</w:t>
      </w:r>
    </w:p>
    <w:p>
      <w:pPr>
        <w:spacing w:after="120" w:line="276"/>
        <w:jc w:val="both"/>
      </w:pPr>
      <w:r>
        <w:rPr>
          <w:rFonts w:ascii="Barlow Semi Condensed" w:cs="Barlow Semi Condensed" w:eastAsia="Barlow Semi Condensed" w:hAnsi="Barlow Semi Condensed"/>
          <w:sz w:val="24"/>
          <w:szCs w:val="24"/>
        </w:rPr>
        <w:t xml:space="preserve">La partecipazione della Santa Sede alla Conferenza sulla sicurezza e la cooperazione in Europa segna un episodio di rilievo storico e ben documentato. Le fonti ufficiali e la storiografia concordano: fu la prima volta, dopo il Congresso di Vienna del 1815, che la Santa Sede partecipava come membro a pieno titolo (full member) a un congresso di Stati, come dichiarato dal cardinale Achille Silvestrini e ripreso dall'Osservatore Romano e da settimananews.it. La delegazione fu guidata dall'arcivescovo Agostino Casaroli, segretario del Consiglio per gli affari pubblici della Chiesa, e da Achille Silvestrini, allora sottosegretario del medesimo Consiglio (divenuto segretario nel 1979); la voce del Dizionario Biografico Treccani su Casaroli conferma che la Santa Sede partecipò «fin dalle riunioni preparatorie, come full member».</w:t>
      </w:r>
    </w:p>
    <w:p>
      <w:pPr>
        <w:spacing w:after="120" w:line="276"/>
        <w:jc w:val="both"/>
      </w:pPr>
      <w:r>
        <w:rPr>
          <w:rFonts w:ascii="Barlow Semi Condensed" w:cs="Barlow Semi Condensed" w:eastAsia="Barlow Semi Condensed" w:hAnsi="Barlow Semi Condensed"/>
          <w:sz w:val="24"/>
          <w:szCs w:val="24"/>
        </w:rPr>
        <w:t xml:space="preserve">Il contributo più caratteristico della diplomazia pontificia riguardò la libertà religiosa. Silvestrini ha rievocato più volte «l'emozione con cui il 7 marzo 1973 presentammo, nell'ambito dei principi che dovevano reggere i rapporti fra gli Stati, una proposta sulla libertà religiosa, ricordando che nella storia d'Europa esisteva una comune cultura, quella cristiana»; Vatican News (https://www.vaticannews.va/it/mondo/news/2022-04/conferenza-helsinki-1975-europa-guerra-fredda-eredita-pace.html) la proposta, accolta secondo il racconto dello stesso Silvestrini «come una bomba», confluì nel settimo principio dell'Atto finale, che afferma il rispetto dei diritti dell'uomo e delle libertà fondamentali, inclusa la libertà di pensiero, coscienza, religione o credo. Treccani (https://www.treccani.it/enciclopedia/agostino-casaroli_(Dizionario-Biografico)/) L'Atto finale di Helsinki fu firmato il 1° agosto 1975 da trentacinque Stati partecipanti. Vi apposero la firma la Santa Sede, la Turchia e, per l'Italia, Aldo Moro nella duplice qualità di presidente del Consiglio e presidente di turno della Comunità europea, come già stabilito e come confermano le fonti sul ruolo comunitario di Moro nel 1975. La convergenza delle tre firme — Santa Sede, Turchia, Italia di Moro — sullo stesso documento internazionale è il punto di intersezione più netto e documentato fra i tre oggetti di questa ricognizione nel perimetro cronologico considerato, e ne costituisce una delle triangolazioni certe.</w:t>
      </w:r>
    </w:p>
    <w:p>
      <w:pPr>
        <w:spacing w:after="120" w:line="276"/>
        <w:jc w:val="both"/>
      </w:pPr>
      <w:r>
        <w:rPr>
          <w:rFonts w:ascii="Barlow Semi Condensed" w:cs="Barlow Semi Condensed" w:eastAsia="Barlow Semi Condensed" w:hAnsi="Barlow Semi Condensed"/>
          <w:sz w:val="24"/>
          <w:szCs w:val="24"/>
        </w:rPr>
        <w:t xml:space="preserve">Restano invece da accertare, e sono qui dichiarati come lacune, due punti specificamente richiesti. In primo luogo, non risulta dalle fonti reperite che la questione delle minoranze cristiane in Turchia e la chiusura di Halki siano state sollevate formalmente dalla delegazione vaticana o da altra delegazione nella sede della Conferenza del 1975 o nelle successive riunioni «di seguito» (Belgrado, Madrid): il tema della libertà religiosa fu posto dalla Santa Sede in termini generali e principalmente in funzione della condizione dei cattolici nei Paesi del blocco orientale, secondo la logica dell'Ostpolitik, non come rivendicazione puntuale verso Ankara. In secondo luogo, la posizione turca sui principi relativi ai diritti umani e alle minoranze in quella sede non è documentata, nelle fonti qui raccolte, con la specificità necessaria. Entrambe le lacune sono riportate al Capitolo XII con l'indicazione delle sedi di accertamento, che comprendono gli atti della CSCE, l'archivio della Segreteria di Stato e gli archivi diplomatici turchi.</w:t>
      </w:r>
    </w:p>
    <w:p>
      <w:pPr>
        <w:spacing w:after="120" w:line="276"/>
        <w:jc w:val="both"/>
      </w:pPr>
      <w:r>
        <w:rPr>
          <w:rFonts w:ascii="Barlow Semi Condensed" w:cs="Barlow Semi Condensed" w:eastAsia="Barlow Semi Condensed" w:hAnsi="Barlow Semi Condensed"/>
          <w:sz w:val="24"/>
          <w:szCs w:val="24"/>
        </w:rPr>
        <w:t xml:space="preserve">CAPITOLO XI — La posizione italiana sulle minoranze cristiane, sul Patriarcato e sulla comunità italiana di Istanbul e Smirne</w:t>
      </w:r>
    </w:p>
    <w:p>
      <w:pPr>
        <w:spacing w:after="120" w:line="276"/>
        <w:jc w:val="both"/>
      </w:pPr>
      <w:r>
        <w:rPr>
          <w:rFonts w:ascii="Barlow Semi Condensed" w:cs="Barlow Semi Condensed" w:eastAsia="Barlow Semi Condensed" w:hAnsi="Barlow Semi Condensed"/>
          <w:sz w:val="24"/>
          <w:szCs w:val="24"/>
        </w:rPr>
        <w:t xml:space="preserve">Questo capitolo raccoglie un obiettivo che si è risolto in larga parte in un esito negativo, il quale — come richiesto — viene dichiarato con la massima chiarezza e con l'indicazione della sede di accertamento, in quanto acquisizione di pieno valore. Il committente chiedeva di verificare se il governo italiano, e in particolare la Farnesina di Moro, avesse assunto posizioni documentate sulla condizione delle minoranze cristiane in Turchia, sulla chiusura di Halki del 1971 o sullo statuto del Patriarcato ecumenico, e se vi fossero stati contatti fra la Farnesina e la Segreteria di Stato su tali materie. Nelle fonti reperibili in questa ricognizione non emerge alcuna presa di posizione italiana specifica e documentata su questi punti nel periodo 1969-1975. La documentazione disponibile sulla politica estera di Moro verso la Turchia la colloca, come esposto al Capitolo II, nel quadro comunitario e mediterraneo; la questione confessionale non vi compare. Ciò non significa che tale posizione non esista negli archivi: significa che essa non è, allo stato, documentata dalle fonti edite e accessibili, e che la sua verifica va condotta presso l'Archivio Storico Diplomatico del Ministero degli Affari Esteri, serie Turchia e serie Santa Sede 1969-1975, e presso l'archivio della Segreteria di Stato per il pontificato di Paolo VI, quest'ultimo non ancora aperto.</w:t>
      </w:r>
    </w:p>
    <w:p>
      <w:pPr>
        <w:spacing w:after="120" w:line="276"/>
        <w:jc w:val="both"/>
      </w:pPr>
      <w:r>
        <w:rPr>
          <w:rFonts w:ascii="Barlow Semi Condensed" w:cs="Barlow Semi Condensed" w:eastAsia="Barlow Semi Condensed" w:hAnsi="Barlow Semi Condensed"/>
          <w:sz w:val="24"/>
          <w:szCs w:val="24"/>
        </w:rPr>
        <w:t xml:space="preserve">Diverso è lo statuto documentale della comunità italiana di Istanbul e Smirne, che le fonti diplomatiche e culturali italiane qualificano come la più antica collettività italiana all'estero. La Treccani (magazine della lingua italiana) la descrive come «la più antica comunità storica italofona all'estero», radicata nel Mediterraneo orientale «dai tempi delle Crociate e delle Repubbliche marinare», discendente dai coloni genovesi e veneziani; la stessa fonte documenta la dispersione della comunità levantina di Smirne fra le due guerre e l'ulteriore emigrazione da Istanbul dopo i disordini del 1955. Un contributo del CeSPI (brief n. 62, di Imparato) ricostruisce la storia della «comunità italofona e levantina di Istanbul», comprese le ondate migratorie ottocentesche di esuli politici meridionali Cespi (https://www.cespi.it/sites/default/files/osservatori/allegati/brief_62_comunita_levantina_di_istanbul_imparato.pdf) e l'impatto della guerra italo-turca del 1911-1912 e della Prima guerra mondiale come spartiacque demografico. Il rapporto di questa collettività con le parrocchie latine di Istanbul — quelle stesse comunità di rito latino escluse dalle tutele di Losanna (Capitolo IX) — è dunque storicamente strettissimo, poiché le parrocchie latine costituivano il riferimento religioso naturale dei levantini di origine italiana. Tuttavia, la connessione fra la tutela consolare italiana della comunità e la sorte giuridica delle parrocchie latine non risulta documentata, nelle fonti reperite, in forma di un'azione coordinata della Farnesina nel periodo qui considerato. Anche questo è un punto la cui verifica va rinviata all'archivio diplomatico italiano. Il capitolo è pertanto più breve degli altri e ne dichiara la ragione: la base documentale edita sostiene con forza il dato dell'antichità e della consistenza storica della comunità italiana, ma non l'esistenza di una politica confessionale italiana verso la Turchia riconducibile a Moro.</w:t>
      </w:r>
    </w:p>
    <w:p>
      <w:pPr>
        <w:spacing w:after="120" w:line="276"/>
        <w:jc w:val="both"/>
      </w:pPr>
      <w:r>
        <w:rPr>
          <w:rFonts w:ascii="Barlow Semi Condensed" w:cs="Barlow Semi Condensed" w:eastAsia="Barlow Semi Condensed" w:hAnsi="Barlow Semi Condensed"/>
          <w:sz w:val="24"/>
          <w:szCs w:val="24"/>
        </w:rPr>
        <w:t xml:space="preserve">CAPITOLO XII — Gli archivi, le fonti desecretate e la tavola discorsiva delle acquisizioni non conseguite</w:t>
      </w:r>
    </w:p>
    <w:p>
      <w:pPr>
        <w:spacing w:after="120" w:line="276"/>
        <w:jc w:val="both"/>
      </w:pPr>
      <w:r>
        <w:rPr>
          <w:rFonts w:ascii="Barlow Semi Condensed" w:cs="Barlow Semi Condensed" w:eastAsia="Barlow Semi Condensed" w:hAnsi="Barlow Semi Condensed"/>
          <w:sz w:val="24"/>
          <w:szCs w:val="24"/>
        </w:rPr>
        <w:t xml:space="preserve">Lo stato di accessibilità degli archivi condiziona in modo decisivo il grado di accertamento raggiungibile su ciascun oggetto di questa ricognizione, e va esposto con precisione. L'Archivio Apostolico Vaticano — già Archivio Segreto Vaticano, ridenominato da papa Francesco con il motu proprio L'esperienza storica del 22 ottobre 2019 — è consultabile, secondo la prassi dell'apertura per interi pontificati decisa di volta in volta dal Sommo Pontefice, fino all'ottobre 1958, data della morte di Pio XII, il cui pontificato è stato aperto alla consultazione da papa Francesco a partire dal marzo 2020 (vaticannews.va; archivioapostolicovaticano.va). Ne consegue un dato decisivo per questa ricerca: la documentazione dei pontificati di Giovanni XXIII, Paolo VI e Giovanni Paolo II — e quindi l'intera documentazione vaticana relativa al dialogo cattolico-ortodosso post-1958, alle relazioni diplomatiche con la Turchia dal 1960, alla CSCE e all'attentato del 1981 — non è ancora aperta alla consultazione. Anche la documentazione roncalliana del quinquennio 1940-1945, come segnalato da Rinaldo Marmara e ripreso al Capitolo VI, non è pienamente consultabile. La documentazione delle relazioni Santa Sede-Turchia è conservata prevalentemente in italiano e francese, come attestano tanto acistampa.com quanto lo stesso Marmara, che ne ha avviato la catalogazione anche in lingua turca con opere quali «Santa Sede-Turchia. Periodo di Mons. Rotta 1925-1930. Verso le relazioni diplomatiche del 1960».</w:t>
      </w:r>
    </w:p>
    <w:p>
      <w:pPr>
        <w:spacing w:after="120" w:line="276"/>
        <w:jc w:val="both"/>
      </w:pPr>
      <w:r>
        <w:rPr>
          <w:rFonts w:ascii="Barlow Semi Condensed" w:cs="Barlow Semi Condensed" w:eastAsia="Barlow Semi Condensed" w:hAnsi="Barlow Semi Condensed"/>
          <w:sz w:val="24"/>
          <w:szCs w:val="24"/>
        </w:rPr>
        <w:t xml:space="preserve">L'Archivio Storico Diplomatico del Ministero degli Affari Esteri italiano conserva le serie Turchia e Santa Sede rilevanti per il periodo 1969-1975, con l'avvertenza — già accertata nella ricognizione anteriore — dell'esclusione temporanea dei Telegrammi 1942-1970; la Farnesina ha reso accessibili al pubblico l'Archivio Storico Diplomatico e la Biblioteca Esteri (https://italiana.esteri.it/italiana/en/culture/la-farnesina-apre-al-pubblico-la-biblioteca-e-larchivio-storico-diplomatico/) (italiana.esteri.it). Gli archivi diplomatici turchi e l'archivio del Patriarcato ecumenico costituiscono le sedi di accertamento per i versanti turco e patriarcale, non esplorati direttamente in questa ricognizione basata su fonti edite. Sul versante giudiziario e parlamentare italiano dell'attentato del 1981, sono accessibili gli atti della Commissione parlamentare d'inchiesta sul dossier Mitrokhin (parlamento.it): la Commissione, presieduta dal senatore Paolo Guzzanti, produsse un documento conclusivo del presidente che — secondo le fonti — non fu approvato per mancanza del numero legale il 15 marzo 2006, e una relazione conclusiva dei commissari di minoranza (centro-sinistra) depositata il 23 marzo 2006; quest'ultima, pubblicata come mitrokhindoc.377.pdf, contiene la valutazione secondo cui la maggioranza «ha insistito in modo pedissequo sulla "pista bulgara", già percorsa dalla magistratura […] senza però pervenire ad alcun risultato stabile e certo», Parlamento Italiano (https://www.parlamento.it/application/xmanager/projects/parlamento/file/commissione_mitrokhin_14leg/mitrokhindoc.377.pdf) e definisce l'operato della Commissione «uno dei momenti più bassi e umilianti della nostra storia istituzionale». Parlamento Italiano (https://www.parlamento.it/application/xmanager/projects/parlamento/file/commissione_mitrokhin_14leg/mitrokhindoc.377.pdf) I fascicoli processuali dell'attentato sono conservabili presso l'Archivio Centrale dello Stato o la Corte d'assise di Roma. Sul versante statunitense, la CIA FOIA Electronic Reading Room e la collezione CREST contengono valutazioni desecretate sull'attentato, su Ağca, sui Lupi Grigi, su Türkeş e sui servizi bulgari; la raccolta Foreign Relations of the United States, 1981-1988, volume X, documenti 370, 376 e 377, ne riproduce i passi essenziali, la cui conclusione — come esposto al Capitolo IV — non afferma come provata la responsabilità bulgaro-sovietica.</w:t>
      </w:r>
    </w:p>
    <w:p>
      <w:pPr>
        <w:spacing w:after="120" w:line="276"/>
        <w:jc w:val="both"/>
      </w:pPr>
      <w:r>
        <w:rPr>
          <w:rFonts w:ascii="Barlow Semi Condensed" w:cs="Barlow Semi Condensed" w:eastAsia="Barlow Semi Condensed" w:hAnsi="Barlow Semi Condensed"/>
          <w:sz w:val="24"/>
          <w:szCs w:val="24"/>
        </w:rPr>
        <w:t xml:space="preserve">Segue la tavola discorsiva delle acquisizioni documentali necessarie e non conseguite, ordinate per rendimento atteso, ciascuna con la sede e la condizione di chiusura. La prima e di maggior rendimento è la documentazione della Segreteria di Stato, sezione Rapporti con gli Stati, per il pontificato di Paolo VI relativa alla Turchia, alle minoranze cattoliche, a Halki e alla CSCE: la sede è l'Archivio Apostolico Vaticano e l'archivio della Segreteria di Stato; la condizione di chiusura è l'apertura del pontificato di Paolo VI alla consultazione, oggi non ancora disposta. La seconda è la posizione della Farnesina di Moro sulle minoranze cristiane, su Halki e sul Patriarcato, e l'esistenza di contatti con la Segreteria di Stato: la sede è l'Archivio Storico Diplomatico del Ministero degli Affari Esteri, serie Turchia e Santa Sede 1969-1975; la condizione di chiusura è la consultazione diretta dei fascicoli, tenuto conto dell'esclusione dei Telegrammi 1942-1970. La terza è l'eventuale trattazione della questione delle minoranze cristiane turche e di Halki nelle sedi CSCE del 1975 e nelle riunioni di seguito: la sede sono gli atti della CSCE, l'archivio della Segreteria di Stato e gli archivi diplomatici turchi; la condizione di chiusura è lo spoglio sistematico dei verbali. La quarta è la documentazione roncalliana del 1940-1945 sull'assistenza agli ebrei: la sede è l'Archivio Apostolico Vaticano; la condizione di chiusura è l'apertura integrale del fondo. La quinta è la ricostruzione, sul versante turco, delle circostanze dell'evasione di Ağca da Kartal-Maltepe e dei suoi rapporti d'ambiente: la sede sono gli archivi giudiziari turchi; la condizione di chiusura è la loro accessibilità, allo stato non verificata. La sesta, di rendimento più circoscritto ma di interesse per il merito della pista bulgara, è il testo integrale dei documenti CIA solo parzialmente desecretati (le porzioni «not declassified» dei documenti FRUS 370 e 376): la sede è la CIA FOIA Electronic Reading Room; la condizione di chiusura è un'eventuale ulteriore desecretazione. Ciascuna di queste acquisizioni, ove conseguita, sposterebbe il confine fra l'accertato e il non provato; nessuna di esse, allo stato, modifica la conclusione centrale di questa ricognizione, ossia che l'unico nesso pienamente documentato fra Turchia e Vaticano nella serie sia la persona e la traiettoria dell'attentatore, mentre l'individuazione dei mandanti dell'attentato del 1981 resta giudizialmente non provata.</w:t>
      </w:r>
    </w:p>
    <w:p>
      <w:pPr>
        <w:spacing w:after="120" w:line="276"/>
        <w:jc w:val="both"/>
      </w:pPr>
      <w:r>
        <w:rPr>
          <w:rFonts w:ascii="Barlow Semi Condensed" w:cs="Barlow Semi Condensed" w:eastAsia="Barlow Semi Condensed" w:hAnsi="Barlow Semi Condensed"/>
          <w:sz w:val="24"/>
          <w:szCs w:val="24"/>
        </w:rPr>
        <w:t xml:space="preserve">RACCOMANDAZIONI</w:t>
      </w:r>
    </w:p>
    <w:p>
      <w:pPr>
        <w:spacing w:after="120" w:line="276"/>
        <w:jc w:val="both"/>
      </w:pPr>
      <w:r>
        <w:rPr>
          <w:rFonts w:ascii="Barlow Semi Condensed" w:cs="Barlow Semi Condensed" w:eastAsia="Barlow Semi Condensed" w:hAnsi="Barlow Semi Condensed"/>
          <w:sz w:val="24"/>
          <w:szCs w:val="24"/>
        </w:rPr>
        <w:t xml:space="preserve">Sul piano della strategia di ricerca, si raccomanda di procedere per gradi e per rendimento atteso. Il primo passo, immediatamente eseguibile, è lo spoglio sistematico dell'Archivio Storico Diplomatico della Farnesina, serie Turchia e serie Santa Sede 1969-1975, per chiudere l'esito negativo del Capitolo XI: è la fonte più accessibile fra quelle decisive e consentirebbe di stabilire se la mancata emersione di una posizione italiana sulle minoranze cristiane sia un dato reale o un artefatto della sola documentazione edita. La soglia che muterebbe la valutazione è il rinvenimento di anche un solo telegramma o appunto della Farnesina che tratti Halki, il Patriarcato o le parrocchie latine: in tal caso il Capitolo XI andrebbe riscritto da esito negativo a esito positivo.</w:t>
      </w:r>
    </w:p>
    <w:p>
      <w:pPr>
        <w:spacing w:after="120" w:line="276"/>
        <w:jc w:val="both"/>
      </w:pPr>
      <w:r>
        <w:rPr>
          <w:rFonts w:ascii="Barlow Semi Condensed" w:cs="Barlow Semi Condensed" w:eastAsia="Barlow Semi Condensed" w:hAnsi="Barlow Semi Condensed"/>
          <w:sz w:val="24"/>
          <w:szCs w:val="24"/>
        </w:rPr>
        <w:t xml:space="preserve">Il secondo passo è l'interrogazione integrale della CIA FOIA Electronic Reading Room e la lettura dei documenti FRUS 1981-1988, volume X, nella loro versione più completa, per consolidare — come già fatto in questa sede — la conclusione che l'intelligence statunitense non affermò come provata la pista bulgara; la soglia che muterebbe la valutazione sarebbe la desecretazione di porzioni oggi coperte che contenessero prove documentali, e non semplici dichiarazioni di Ağca, di un mandato bulgaro-sovietico. In assenza di tali prove, la qualificazione della pista bulgara come non giudizialmente provata va mantenuta in ogni pubblicazione.</w:t>
      </w:r>
    </w:p>
    <w:p>
      <w:pPr>
        <w:spacing w:after="120" w:line="276"/>
        <w:jc w:val="both"/>
      </w:pPr>
      <w:r>
        <w:rPr>
          <w:rFonts w:ascii="Barlow Semi Condensed" w:cs="Barlow Semi Condensed" w:eastAsia="Barlow Semi Condensed" w:hAnsi="Barlow Semi Condensed"/>
          <w:sz w:val="24"/>
          <w:szCs w:val="24"/>
        </w:rPr>
        <w:t xml:space="preserve">Il terzo passo, a più lungo termine e condizionato dall'apertura degli archivi, è la richiesta di consultazione dell'archivio della Segreteria di Stato per il pontificato di Paolo VI non appena esso venga aperto: è la fonte di massimo rendimento per i Capitoli VIII, IX e X, e la sua apertura è la principale variabile che potrebbe trasformare le lacune odierne in acquisizioni. Nel frattempo, si raccomanda di valorizzare l'opera di catalogazione di Rinaldo Marmara come guida agli inventari e di considerare, per il versante patriarcale, un contatto con l'archivio del Patriarcato ecumenico e con la storiografia in lingua greca.</w:t>
      </w:r>
    </w:p>
    <w:p>
      <w:pPr>
        <w:spacing w:after="120" w:line="276"/>
        <w:jc w:val="both"/>
      </w:pPr>
      <w:r>
        <w:rPr>
          <w:rFonts w:ascii="Barlow Semi Condensed" w:cs="Barlow Semi Condensed" w:eastAsia="Barlow Semi Condensed" w:hAnsi="Barlow Semi Condensed"/>
          <w:sz w:val="24"/>
          <w:szCs w:val="24"/>
        </w:rPr>
        <w:t xml:space="preserve">Sul piano redazionale, si raccomanda infine, in ogni resa pubblica di questa ricerca, di mantenere rigorosamente la distinzione fra l'accertato e il non provato, di trattare le dichiarazioni di Mehmet Ali Ağca come fatti pubblici e non come fonti di merito, e di non convertire mai la contemporaneità cronologica — segnatamente fra la lettera del 1979, il viaggio del 1979 e l'attentato del 1981 — in prova di un nesso causale.</w:t>
      </w:r>
    </w:p>
    <w:p>
      <w:pPr>
        <w:spacing w:after="120" w:line="276"/>
        <w:jc w:val="both"/>
      </w:pPr>
      <w:r>
        <w:rPr>
          <w:rFonts w:ascii="Barlow Semi Condensed" w:cs="Barlow Semi Condensed" w:eastAsia="Barlow Semi Condensed" w:hAnsi="Barlow Semi Condensed"/>
          <w:sz w:val="24"/>
          <w:szCs w:val="24"/>
        </w:rPr>
        <w:t xml:space="preserve">CAVEATS</w:t>
      </w:r>
    </w:p>
    <w:p>
      <w:pPr>
        <w:spacing w:after="120" w:line="276"/>
        <w:jc w:val="both"/>
      </w:pPr>
      <w:r>
        <w:rPr>
          <w:rFonts w:ascii="Barlow Semi Condensed" w:cs="Barlow Semi Condensed" w:eastAsia="Barlow Semi Condensed" w:hAnsi="Barlow Semi Condensed"/>
          <w:sz w:val="24"/>
          <w:szCs w:val="24"/>
        </w:rPr>
        <w:t xml:space="preserve">La ricerca è stata condotta prevalentemente su fonti edite e accessibili online; gli archivi decisivi (Segreteria di Stato per Paolo VI, archivi diplomatici turchi, archivio del Patriarcato, fascicoli processuali) non sono stati consultati direttamente, sicché numerose conclusioni hanno carattere provvisorio e sono esposte come tali. Diverse informazioni sull'attentato e sulla traiettoria di Ağca provengono da pubblicistica giornalistica di qualità disuguale, che tende a presentare come accertate ipotesi che tali non sono; si è cercato di segnalare ogni volta lo statuto della fonte, ma il lettore è avvertito che il campo è saturo di ricostruzioni non verificate. Persistono divergenze di data e di cifra deliberatamente mantenute: la nomina di Roncalli (24 novembre 1934, «1934», gennaio 1935); la data d'introduzione del turco nella liturgia (1935, gennaio 1936, 1938); la consistenza dei cattolici di Turchia (trentamila-trentacinquemila all'arrivo di Roncalli; venticinquemila-trentamila o sessantamila nel dato acquisito; circa 35.000 in epoca recente); la morte di Atenagora (6 o 7 luglio 1972). Sulla data della testimonianza di Melvin Goodman al Senato statunitense le fonti secondarie indicano il 1990, mentre il verbale ufficiale colloca la sessione sulla politicizzazione al 1° ottobre 1991: si è preferita la fonte primaria segnalando il conflitto. Alcune tesi diffuse nella pubblicistica — la responsabilità organizzativa dei Lupi Grigi nell'attentato, il mandato bulgaro-sovietico come fatto acquisito — sono state riportate e qualificate come non sostenute dalle sentenze e dalle fonti primarie. Infine, si ribadisce che gli esiti negativi (Capitoli II, XI e in parte IX e X) non vanno letti come prova dell'inesistenza dei fatti cercati, ma come misura dell'attuale accessibilità documentale: la loro chiusura definitiva richiede la consultazione archivistica diretta indicata al Capitolo XII.</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La Santa Sede, la Turchia e l’attentato del 1981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IX: 8.071 parole in 6 sezioni; la più ampia è §3 Segmento 3, con 1.610.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IX: 37 indirizzi di fonte citati, addensati in 6 sezioni su 6.</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X. Documenti italiani e spagnoli, e l’Opus Dei</w:t>
      </w:r>
    </w:p>
    <w:p>
      <w:pPr>
        <w:pStyle w:val="Heading1"/>
        <w:spacing w:after="120" w:before="240"/>
      </w:pPr>
      <w:r>
        <w:rPr>
          <w:rFonts w:ascii="Barlow Semi Condensed" w:cs="Barlow Semi Condensed" w:eastAsia="Barlow Semi Condensed" w:hAnsi="Barlow Semi Condensed"/>
          <w:sz w:val="24"/>
          <w:szCs w:val="24"/>
        </w:rPr>
        <w:t xml:space="preserve">Aldo Moro ministro degli Esteri (1969-1974), i documenti di Stato italiani e spagnoli, l'Opus Dei come soggetto storico e le triangolazioni. Ricognizione documentale in dodici capitoli</w:t>
      </w:r>
    </w:p>
    <w:p>
      <w:pPr>
        <w:pStyle w:val="Heading2"/>
        <w:spacing w:after="100" w:before="200"/>
      </w:pPr>
      <w:r>
        <w:rPr>
          <w:rFonts w:ascii="Barlow Semi Condensed" w:cs="Barlow Semi Condensed" w:eastAsia="Barlow Semi Condensed" w:hAnsi="Barlow Semi Condensed"/>
          <w:sz w:val="24"/>
          <w:szCs w:val="24"/>
        </w:rPr>
        <w:t xml:space="preserve">Capitolo 1 — La Libia dal colpo di Stato del 1969 alla confisca dei beni italiani</w:t>
      </w:r>
    </w:p>
    <w:p>
      <w:pPr>
        <w:spacing w:after="120" w:line="276"/>
        <w:jc w:val="both"/>
      </w:pPr>
      <w:r>
        <w:rPr>
          <w:rFonts w:ascii="Barlow Semi Condensed" w:cs="Barlow Semi Condensed" w:eastAsia="Barlow Semi Condensed" w:hAnsi="Barlow Semi Condensed"/>
          <w:sz w:val="24"/>
          <w:szCs w:val="24"/>
        </w:rPr>
        <w:t xml:space="preserve">La documentazione disaggregata sul dossier libico durante il mandato di Moro poggia su tre ordini di fonti: gli atti normativi italiani di indennizzo, la ricostruzione cronologica dei fatti libici e la storiografia. È accertato (fonte cronachistica e ricostruzione storica convergenti) che il colpo di Stato del Consiglio del Comando della Rivoluzione guidato da Muammar Gheddafi rovesciò re Idris il 1° settembre 1969, quando Moro era ministro degli Esteri da meno di un mese nel secondo governo Rumor. L'esodo degli italiani, come attesta la ricostruzione di RAI News ripresa da fonti divulgative, «inizia subito dopo il 1 settembre 1969»: nei quattro mesi successivi partirono almeno ottocento italiani.</w:t>
      </w:r>
    </w:p>
    <w:p>
      <w:pPr>
        <w:spacing w:after="120" w:line="276"/>
        <w:jc w:val="both"/>
      </w:pPr>
      <w:r>
        <w:rPr>
          <w:rFonts w:ascii="Barlow Semi Condensed" w:cs="Barlow Semi Condensed" w:eastAsia="Barlow Semi Condensed" w:hAnsi="Barlow Semi Condensed"/>
          <w:sz w:val="24"/>
          <w:szCs w:val="24"/>
        </w:rPr>
        <w:t xml:space="preserve">Il fatto centrale del periodo è la promulgazione, il 21 luglio 1970, di tre leggi di confisca da parte del Consiglio del Comando della Rivoluzione. La fonte enciclopedica e le ricostruzioni storiche concordano che il provvedimento sancì «la confisca dei beni alla comunità italiana e a quella ebraica», poche settimane dopo il celebre discorso di Gheddafi a Misurata in cui parlò di «ripulire la Libia dai rimasugli del passato coloniale». La ricostruzione di RAI News, ripresa dal portale Tuttogolfo, quantifica testualmente: «La Libia confisca 40 mila ettari di terra, 1.700 case, 500 attività commerciali: in totale 200 miliardi di lire del 1970». La confisca avvenne senza indennizzo e fu accompagnata dall'annullamento dei crediti delle società italiane verso lo Stato libico e dall'espulsione della comunità, evacuata attraverso il ministero della Marina Mercantile con nove navi.</w:t>
      </w:r>
    </w:p>
    <w:p>
      <w:pPr>
        <w:spacing w:after="120" w:line="276"/>
        <w:jc w:val="both"/>
      </w:pPr>
      <w:r>
        <w:rPr>
          <w:rFonts w:ascii="Barlow Semi Condensed" w:cs="Barlow Semi Condensed" w:eastAsia="Barlow Semi Condensed" w:hAnsi="Barlow Semi Condensed"/>
          <w:sz w:val="24"/>
          <w:szCs w:val="24"/>
        </w:rPr>
        <w:t xml:space="preserve">Sul versante italiano, la risposta si articolò in provvedimenti legislativi di indennizzo: la legge n. 1066 del 1971 (fonte: atto normativo citato in documentazione parlamentare e associativa) previde, nelle more della conclusione di accordi internazionali, un'anticipazione sugli indennizzi da stabilirsi, disposta con decreto del Ministero del Tesoro. La successione dei provvedimenti prosegue fino alla legge n. 7 del 2009 (di ratifica del Trattato di Bengasi del 30 agosto 2008) e allo stanziamento aggiuntivo del febbraio 2012. Una relazione parlamentare della Camera (documento legislativo, XVI legislatura, atto 16PDL0020770) attesta che «con i due provvedimenti a firma del Ministro degli affari esteri italiano Dini e del suo omologo libico Muntasser nel luglio 1998, l'Italia ha definitivamente omesso di menzionare la questione relativa a questi risarcimenti, rinunciando così di fatto ad ogni possibile ulteriore pretesa».</w:t>
      </w:r>
    </w:p>
    <w:p>
      <w:pPr>
        <w:spacing w:after="120" w:line="276"/>
        <w:jc w:val="both"/>
      </w:pPr>
      <w:r>
        <w:rPr>
          <w:rFonts w:ascii="Barlow Semi Condensed" w:cs="Barlow Semi Condensed" w:eastAsia="Barlow Semi Condensed" w:hAnsi="Barlow Semi Condensed"/>
          <w:sz w:val="24"/>
          <w:szCs w:val="24"/>
        </w:rPr>
        <w:t xml:space="preserve">Sulla quantificazione dei beni confiscati le fonti divergono e la divergenza va riportata: la cifra di «200 miliardi di lire del 1970» è quella corrente nella pubblicistica e riferita a RAI News; l'Associazione Italiana Rimpatriati dalla Libia (AIRL), fonte ufficiale dell'organizzazione interessata, ha offerto una stima diversa e non omogenea. Il Sole 24 Ore, in un articolo del 21 luglio 2020, riferisce le parole di Giovanna Ortu, presidente dell'AIRL: «gli indennizzi fin qui ricevuti basterebbero a malapena a coprire il montante dei beni perduti nel 1970. Il valore delle proprietà rivalutate ammonterebbe oggi a quasi 6 miliardi di euro». Le due cifre non sono confrontabili (valore nominale 1970 contro valore rivalutato attuale) e vanno tenute distinte.</w:t>
      </w:r>
    </w:p>
    <w:p>
      <w:pPr>
        <w:spacing w:after="120" w:line="276"/>
        <w:jc w:val="both"/>
      </w:pPr>
      <w:r>
        <w:rPr>
          <w:rFonts w:ascii="Barlow Semi Condensed" w:cs="Barlow Semi Condensed" w:eastAsia="Barlow Semi Condensed" w:hAnsi="Barlow Semi Condensed"/>
          <w:sz w:val="24"/>
          <w:szCs w:val="24"/>
        </w:rPr>
        <w:t xml:space="preserve">Diversi elementi del dossier, richiesti dal quesito, restano allo stato di lacuna documentale nel perimetro di questa ricognizione web. L'ultimatum del 7 ottobre 1970 e il traghettamento concluso il 15 ottobre 1970 non hanno trovato riscontro puntuale nelle fonti reperite: la ricerca andrebbe condotta sugli atti dell'Archivio storico-diplomatico del Ministero degli Affari Esteri (serie affari politici, Libia, 1970) e sulla stampa quotidiana coeva. Analogamente, il presunto telegramma di Moro da Tunisi del 6 settembre 1970 costituisce uno Stato Zero: nessuna fonte reperita lo documenta, e la verifica va condotta presso l'Archivio storico-diplomatico della Farnesina e presso il Fondo Aldo Moro dell'Archivio storico del Senato. Anche il ruolo attribuito a Moro nella cosiddetta «operazione Hilton» del 1971 non trova, allo stato, riscontro in fonti primarie o in storiografia peer-reviewed accessibile: la tesi va qualificata come non sostenuta finché non emerga documentazione. Il Fondo Aldo Moro presso l'Archivio storico del Senato conserva, come attestato dal catalogo online del patrimonio archivistico del Senato, interventi alla Commissione esteri della Camera con materiale preparatorio (unità del tipo IT-AFS-048), che rappresentano la sede elettiva per ricostruire la posizione di Moro sulla Libia.</w:t>
      </w:r>
    </w:p>
    <w:p>
      <w:pPr>
        <w:pStyle w:val="Heading2"/>
        <w:spacing w:after="100" w:before="200"/>
      </w:pPr>
      <w:r>
        <w:rPr>
          <w:rFonts w:ascii="Barlow Semi Condensed" w:cs="Barlow Semi Condensed" w:eastAsia="Barlow Semi Condensed" w:hAnsi="Barlow Semi Condensed"/>
          <w:sz w:val="24"/>
          <w:szCs w:val="24"/>
        </w:rPr>
        <w:t xml:space="preserve">Capitolo 2 — I Balcani e la Jugoslavia: la fase preparatoria di Osimo</w:t>
      </w:r>
    </w:p>
    <w:p>
      <w:pPr>
        <w:spacing w:after="120" w:line="276"/>
        <w:jc w:val="both"/>
      </w:pPr>
      <w:r>
        <w:rPr>
          <w:rFonts w:ascii="Barlow Semi Condensed" w:cs="Barlow Semi Condensed" w:eastAsia="Barlow Semi Condensed" w:hAnsi="Barlow Semi Condensed"/>
          <w:sz w:val="24"/>
          <w:szCs w:val="24"/>
        </w:rPr>
        <w:t xml:space="preserve">Il dossier balcanico durante il mandato ministeriale di Moro è dominato dalla lunga incubazione del Trattato di Osimo, firmato il 10 novembre 1975, quando Moro era ormai presidente del Consiglio e alla Farnesina sedeva Mariano Rumor. È tuttavia documentato che la fase preparatoria e l'impostazione strategica maturarono negli anni del suo ministero. La voce enciclopedica Wikipedia in italiano, che sintetizza la storiografia, attesta che il trattato fu firmato «nella villa Monte San Pietro» dai ministri degli esteri Mariano Rumor e Miloš Minić, Wikipedia (https://it.wikipedia.org/wiki/Trattato_di_Osimo) che «il Parlamento italiano lo ratificò il 24 febbraio 1977» Wikipedia (https://it.wikipedia.org/wiki/Trattato_di_Osimo) (legge 14 marzo 1977, n. 73) e che «il trattato di Osimo fu il primo accordo internazionale i cui negoziati per l'Italia non vennero curati dal Ministero degli affari esteri». Wikipedia (https://it.wikipedia.org/wiki/Trattato_di_Osimo)</w:t>
      </w:r>
    </w:p>
    <w:p>
      <w:pPr>
        <w:spacing w:after="120" w:line="276"/>
        <w:jc w:val="both"/>
      </w:pPr>
      <w:r>
        <w:rPr>
          <w:rFonts w:ascii="Barlow Semi Condensed" w:cs="Barlow Semi Condensed" w:eastAsia="Barlow Semi Condensed" w:hAnsi="Barlow Semi Condensed"/>
          <w:sz w:val="24"/>
          <w:szCs w:val="24"/>
        </w:rPr>
        <w:t xml:space="preserve">Questo dato è cruciale per la triangolazione istituzionale: la Farnesina fu bypassata. Le ricostruzioni convergono nell'indicare che il canale negoziale alternativo, affidato a Eugenio Carbone, direttore generale del Ministero dell'Industria, «era già stato preparato segretamente nel 1973 dai ministri degli esteri Medici e Minić» Circolo della Storia (https://circolodellastoria.it/gli-accordi-di-osimo-cinquantanni-fa-il-trattato-che-chiuse-unepoca/) (fonte: ricostruzione storica divulgativa del Circolo della Storia). Poiché Moro fu ministro degli Esteri fino al 23 novembre 1974 e i negoziati riservati si svolsero, secondo lo storico Giorgio Zaccaria intervistato da Il Bo Live (Università di Padova), «tra luglio e novembre 1974», Il Bo Live UniPD (https://ilbolive.unipd.it/it/news/societa/spirito-osimo-diplomazia-memoria) è documentabile che una parte decisiva della trattativa cadde nella fase finale del suo ministero. La stessa fonte accademica riporta la lettura secondo cui «Roma vuole una Jugoslavia stabile e anti-sovietica, anche se comunista; Belgrado teme invece una possibile deriva autoritaria italiana, un "nuovo Cile" europeo». Il Bo Live UniPD (https://ilbolive.unipd.it/it/news/societa/spirito-osimo-diplomazia-memoria)</w:t>
      </w:r>
    </w:p>
    <w:p>
      <w:pPr>
        <w:spacing w:after="120" w:line="276"/>
        <w:jc w:val="both"/>
      </w:pPr>
      <w:r>
        <w:rPr>
          <w:rFonts w:ascii="Barlow Semi Condensed" w:cs="Barlow Semi Condensed" w:eastAsia="Barlow Semi Condensed" w:hAnsi="Barlow Semi Condensed"/>
          <w:sz w:val="24"/>
          <w:szCs w:val="24"/>
        </w:rPr>
        <w:t xml:space="preserve">La forzatura jugoslava del 1974 — l'apposizione lungo la linea di demarcazione fra le zone A e B di cartelli con la scritta «confine di stato» — provocò una nota italiana durissima, e la crisi che ne seguì rese evidente la necessità di chiudere il contenzioso. Aldo Moro definì la rinuncia sulla Zona B «una dolorosa rinuncia» La Nazione (https://www.lanazione.it/cronaca/almanacco-trattato-osimo-italia-jugoslavia-d52b0197) (fonte cronachistica, La Nazione). La ricostruzione del portale storico.org, di taglio critico, collega esplicitamente il nuovo corso al «disegno politico di Moro, convinto dell'ineluttabilità di chiamare i comunisti» nell'area del potere. Storico (https://storico.org/italia_boom_economico/trattato_osimo.html)</w:t>
      </w:r>
    </w:p>
    <w:p>
      <w:pPr>
        <w:spacing w:after="120" w:line="276"/>
        <w:jc w:val="both"/>
      </w:pPr>
      <w:r>
        <w:rPr>
          <w:rFonts w:ascii="Barlow Semi Condensed" w:cs="Barlow Semi Condensed" w:eastAsia="Barlow Semi Condensed" w:hAnsi="Barlow Semi Condensed"/>
          <w:sz w:val="24"/>
          <w:szCs w:val="24"/>
        </w:rPr>
        <w:t xml:space="preserve">Sul piano storiografico il quesito indica correttamente il volume collettivo di riferimento: «Aldo Moro, l'Italia repubblicana e i Balcani», a cura di Italo Garzia, Luciano Monzali e Massimo Bucarelli, Nardò, Besa, 2012 (ISBN 978-88-497-0807-3), collana Entropie 34, circa 372 pagine. L'abstract editoriale attesta che «l'importanza delle relazioni e dei legami con i Paesi del Sud-est europeo non sfuggì certo ad Aldo Moro». Google Books (https://books.google.com/books/about/Aldo_Moro_l_Italia_repubblicana_e_i_Balc.html?id=ftcEywAACAAJ) Il volume contiene contributi di Luciano Tosi («Per una nuova comunità internazionale. La diplomazia multilaterale di Aldo Moro», pp. 15-57), Massimo Bucarelli, Luca Micheletta, Alberto Basciani, Federico Imperato, Paolo Soave, oltre alle testimonianze di Emilio Colombo e Giuseppe Giacovazzo. Archivioflamigni (https://www.archivioflamigni.org/doc/bibliografia-aldo-moro.pdf) La questione della minoranza italiana in Istria e Dalmazia e i negoziati con Belgrado 1969-1974 costituiscono la materia specifica del volume, che rappresenta la sede di approfondimento peer-reviewed elettiva. Va distinto ciò che le fonti attestano (la maturazione strategica nella fase Moro; l'aggiramento della Farnesina) da ciò che se ne inferisce (l'attribuzione a Moro della paternità politica esclusiva di Osimo), dato che la firma e la titolarità formale spettarono a Rumor.</w:t>
      </w:r>
    </w:p>
    <w:p>
      <w:pPr>
        <w:pStyle w:val="Heading2"/>
        <w:spacing w:after="100" w:before="200"/>
      </w:pPr>
      <w:r>
        <w:rPr>
          <w:rFonts w:ascii="Barlow Semi Condensed" w:cs="Barlow Semi Condensed" w:eastAsia="Barlow Semi Condensed" w:hAnsi="Barlow Semi Condensed"/>
          <w:sz w:val="24"/>
          <w:szCs w:val="24"/>
        </w:rPr>
        <w:t xml:space="preserve">Capitolo 3 — Medio Oriente e mondo arabo: fra equidistanza e filoarabismo</w:t>
      </w:r>
    </w:p>
    <w:p>
      <w:pPr>
        <w:spacing w:after="120" w:line="276"/>
        <w:jc w:val="both"/>
      </w:pPr>
      <w:r>
        <w:rPr>
          <w:rFonts w:ascii="Barlow Semi Condensed" w:cs="Barlow Semi Condensed" w:eastAsia="Barlow Semi Condensed" w:hAnsi="Barlow Semi Condensed"/>
          <w:sz w:val="24"/>
          <w:szCs w:val="24"/>
        </w:rPr>
        <w:t xml:space="preserve">Il dossier mediorientale è quello meglio servito dalla storiografia peer-reviewed. Il riferimento capitale è il volume «Fra diplomazia e petrolio. Aldo Moro e la politica italiana in Medio Oriente (1963-1978)», a cura di Federico Imperato, Rosario Milano e Luciano Monzali, Bari, Cacucci, 2018, che raccoglie gli atti del convegno internazionale tenutosi il 4 maggio 2015 presso il Dipartimento di Scienze Politiche dell'Università di Bari «Aldo Moro». Il saggio-cardine di Federico Imperato, «Tra equidistanza e filoarabismo. Aldo Moro e il conflitto arabo-israeliano» (pp. 47-97), analizza — come attesta la scheda del repository istituzionale dell'Università di Bari — «il ruolo dell'Italia nel conflitto arabo-israeliano, che, in quegli anni, si articolò in due guerre, quella del 1967 (Guerra dei Sei Giorni) e quella del 1973 (Guerra dello Yom Kippur)». Uniba (https://ricerca.uniba.it/handle/11586/419934)</w:t>
      </w:r>
    </w:p>
    <w:p>
      <w:pPr>
        <w:spacing w:after="120" w:line="276"/>
        <w:jc w:val="both"/>
      </w:pPr>
      <w:r>
        <w:rPr>
          <w:rFonts w:ascii="Barlow Semi Condensed" w:cs="Barlow Semi Condensed" w:eastAsia="Barlow Semi Condensed" w:hAnsi="Barlow Semi Condensed"/>
          <w:sz w:val="24"/>
          <w:szCs w:val="24"/>
        </w:rPr>
        <w:t xml:space="preserve">La categoria interpretativa dominante è quella dello scivolamento dall'«equidistanza» verso uno «sbilanciamento filoarabo palestinese condizionato dalle esigenze di sicurezza energetica», Dialnet (https://dialnet.unirioja.es/descarga/articulo/9578489.pdf) come sintetizza un saggio pubblicato sulla rivista Diacronie (Studi di Storia Contemporanea, 57, 1/2024), che rinvia a Imperato e a Luca Riccardi, «La grandezza di una media potenza. Personaggi e problemi della politica estera italiana del Novecento» (Roma, Società editrice Dante Alighieri, 2017, pp. 294-300). La documentazione attesta un episodio-chiave della guerra del Kippur: nell'audizione parlamentare del 2 dicembre 2014 dinanzi alla Commissione parlamentare di inchiesta sul caso Moro (atto pubblicato sul sito della Camera) si ricorda che «quando nel 1973 capita la guerra del Kippur, Moro rifiuta l'utilizzo delle basi militari della NATO per aiutare Israele», Camera (https://documenti.camera.it/leg17/resoconti/commissioni/stenografici/html/68/audiz2/audizione/2014/12/02/indice_stenografico.0013.html) sostenendo che «quella guerra esorbita dall'area della NATO, quindi gli americani non possono utilizzare le basi che sono nel nostro territorio». Questa è testimonianza resa in sede parlamentare, e va qualificata come tale.</w:t>
      </w:r>
    </w:p>
    <w:p>
      <w:pPr>
        <w:spacing w:after="120" w:line="276"/>
        <w:jc w:val="both"/>
      </w:pPr>
      <w:r>
        <w:rPr>
          <w:rFonts w:ascii="Barlow Semi Condensed" w:cs="Barlow Semi Condensed" w:eastAsia="Barlow Semi Condensed" w:hAnsi="Barlow Semi Condensed"/>
          <w:sz w:val="24"/>
          <w:szCs w:val="24"/>
        </w:rPr>
        <w:t xml:space="preserve">La lettera del primo ministro israeliano Levi Eshkol a Moro, richiamata dalla Fondazione Achille Grandi, è indicata come segno della «centralità italiana su quello scenario». Un ulteriore riscontro d'archivio documentale è l'intervento di Moro del giugno 1970 dopo il vertice con il ministro degli Esteri israeliano Abba Eban, citato in sede accademica (Euro-Balkan Law and Economics Review, 1/2020). Il riconoscimento dell'OLP, la posizione sulla risoluzione 242 e il ruolo dell'ENI sono trattati nella medesima collana barese e nel volume gemello «Aldo Moro, l'Italia repubblicana e i popoli del Mediterraneo» (Besa, 2013), curato da Garzia, Imperato e Monzali, che contiene il saggio «Aldo Moro, l'Italia e la questione palestinese» (pp. 233-274). Academia.edu (https://www.academia.edu/29372305/Aldo_Moro_l_Italia_e_la_questione_palestinese) Il cosiddetto «lodo Moro» è oggetto della monografia di Valentine Lomellini, «Il "lodo Moro". Terrorismo e ragion di Stato 1969-1986» (2022), fonte peer-reviewed che colloca la stagione dell'equidistanza e la sua crisi. I rapporti con Egitto, Siria, Libano, Iraq e Arabia Saudita sono documentati nella medesima produzione (si segnala «Un'amicizia italo-araba. Italia e Libano negli anni Sessanta e Settanta» e «Aldo Moro e l'Iran (1969-1974)»). L'accostamento fra Moro ed Enrico Mattei, ricorrente nella letteratura, va trattato come chiave interpretativa e non come nesso causale documentato.</w:t>
      </w:r>
    </w:p>
    <w:p>
      <w:pPr>
        <w:pStyle w:val="Heading2"/>
        <w:spacing w:after="100" w:before="200"/>
      </w:pPr>
      <w:r>
        <w:rPr>
          <w:rFonts w:ascii="Barlow Semi Condensed" w:cs="Barlow Semi Condensed" w:eastAsia="Barlow Semi Condensed" w:hAnsi="Barlow Semi Condensed"/>
          <w:sz w:val="24"/>
          <w:szCs w:val="24"/>
        </w:rPr>
        <w:t xml:space="preserve">Capitolo 4 — La CSCE: da Dipoli a Helsinki</w:t>
      </w:r>
    </w:p>
    <w:p>
      <w:pPr>
        <w:spacing w:after="120" w:line="276"/>
        <w:jc w:val="both"/>
      </w:pPr>
      <w:r>
        <w:rPr>
          <w:rFonts w:ascii="Barlow Semi Condensed" w:cs="Barlow Semi Condensed" w:eastAsia="Barlow Semi Condensed" w:hAnsi="Barlow Semi Condensed"/>
          <w:sz w:val="24"/>
          <w:szCs w:val="24"/>
        </w:rPr>
        <w:t xml:space="preserve">La partecipazione italiana alla Conferenza sulla sicurezza e la cooperazione in Europa è documentata con precisione. Il volume di riferimento indicato dal quesito è confermato: «Italia-Helsinki 50. Dall'Atto finale di Helsinki del 1975 all'OSCE di oggi», a cura di Stefano Baldi e Luciano Monzali (Editoriale Scientifica), disponibile in PDF sul dominio diplomacy.edu. Il volume riporta fonti primarie di prima mano, tra cui il documento «Ducci a Moro, 4 febbraio 1971» (pubblicato in Ministero degli Affari Esteri, «Roberto Ducci», Roma, 1989, pp. 149-154), in cui l'ambasciatore delineava a Moro le esigenze occidentali da far valere in un'eventuale CSCE: il legame fra Berlino e la Germania occidentale, una più civile convivenza fra le parti della Nazione tedesca, le prospettive di pace nel Mediterraneo e lo sviluppo della CEE come entità autonoma. Diplomacy (https://baldi.diplomacy.edu/italy/Baldi_Monzali_Italia_Helsinki_50.pdf)</w:t>
      </w:r>
    </w:p>
    <w:p>
      <w:pPr>
        <w:spacing w:after="120" w:line="276"/>
        <w:jc w:val="both"/>
      </w:pPr>
      <w:r>
        <w:rPr>
          <w:rFonts w:ascii="Barlow Semi Condensed" w:cs="Barlow Semi Condensed" w:eastAsia="Barlow Semi Condensed" w:hAnsi="Barlow Semi Condensed"/>
          <w:sz w:val="24"/>
          <w:szCs w:val="24"/>
        </w:rPr>
        <w:t xml:space="preserve">La periodizzazione è accertata: fase preliminare (consultazioni multilaterali) a Dipoli/Helsinki tra il novembre 1972 e il giugno 1973; fase di redazione a Ginevra dal settembre 1973 al luglio 1975; fase finale dal 30 luglio al 1° agosto 1975. Nuovarivistastorica (https://www.nuovarivistastorica.it/litalia-nellorganizzazione-per-la-sicurezza-e-la-cooperazione-in-europa/) L'Atto finale fu sottoscritto per l'Italia da Aldo Moro nella veste di presidente del Consiglio, e anche di presidente di turno della Comunità europea. Fra i contributi italiani più rilevanti la fonte (L'Opinione, ricostruzione di Antonino Sala) individua «la proposta Csce/Hc/18 del 15 gennaio 1973 in tema di questioni riguardanti la sicurezza». L'Opinione (https://opinione.it/politica/2024/11/26/antonino-sala-aldo-moro-conferenza-di-helsinki-nuovo-ordine-mondiale/) La formula dei «germi di cambiamento» è attestata come espressione morotea: l'Occidente «voleva instillare quelle che l'allora ministro degli Esteri Aldo Moro definiva "germi di cambiamento"» Avvenire (https://www.avvenire.it/agora/pagine/ostpolitik-) (fonte: Avvenire).</w:t>
      </w:r>
    </w:p>
    <w:p>
      <w:pPr>
        <w:spacing w:after="120" w:line="276"/>
        <w:jc w:val="both"/>
      </w:pPr>
      <w:r>
        <w:rPr>
          <w:rFonts w:ascii="Barlow Semi Condensed" w:cs="Barlow Semi Condensed" w:eastAsia="Barlow Semi Condensed" w:hAnsi="Barlow Semi Condensed"/>
          <w:sz w:val="24"/>
          <w:szCs w:val="24"/>
        </w:rPr>
        <w:t xml:space="preserve">Della delegazione italiana fece parte l'ambasciatore Luigi Vittorio Ferraris, autore di «Testimonianze di un negoziato. Helsinki-Ginevra-Helsinki» Nuovarivistastorica (https://www.nuovarivistastorica.it/litalia-nellorganizzazione-per-la-sicurezza-e-la-cooperazione-in-europa/) (Padova, CEDAM, 1977), memoria di protagonista fondamentale. La Nuova Rivista Storica attesta che «i lavori della Conferenza di Helsinki, seguiti con scarso interesse in Italia, videro Moro impegnato in momenti di tensione con la delegazione sovietica, contraria a considerare i diritti civili un elemento irrinunciabile del processo di distensione». Nuovarivistastorica (https://www.nuovarivistastorica.it/litalia-nellorganizzazione-per-la-sicurezza-e-la-cooperazione-in-europa/) Va distinto: il ruolo di Moro nel periodo 1972-1974 fu di ministro che indirizzò la posizione italiana nella fase preparatoria e negoziale; la firma solenne del 1975 avvenne da presidente del Consiglio. La posizione italiana nei tre «cesti» è materia del volume Baldi-Monzali, sede elettiva di approfondimento.</w:t>
      </w:r>
    </w:p>
    <w:p>
      <w:pPr>
        <w:pStyle w:val="Heading2"/>
        <w:spacing w:after="100" w:before="200"/>
      </w:pPr>
      <w:r>
        <w:rPr>
          <w:rFonts w:ascii="Barlow Semi Condensed" w:cs="Barlow Semi Condensed" w:eastAsia="Barlow Semi Condensed" w:hAnsi="Barlow Semi Condensed"/>
          <w:sz w:val="24"/>
          <w:szCs w:val="24"/>
        </w:rPr>
        <w:t xml:space="preserve">Capitolo 5 — NATO e Alleanza atlantica: il fianco sud e Cipro</w:t>
      </w:r>
    </w:p>
    <w:p>
      <w:pPr>
        <w:spacing w:after="120" w:line="276"/>
        <w:jc w:val="both"/>
      </w:pPr>
      <w:r>
        <w:rPr>
          <w:rFonts w:ascii="Barlow Semi Condensed" w:cs="Barlow Semi Condensed" w:eastAsia="Barlow Semi Condensed" w:hAnsi="Barlow Semi Condensed"/>
          <w:sz w:val="24"/>
          <w:szCs w:val="24"/>
        </w:rPr>
        <w:t xml:space="preserve">Il dossier atlantico durante il ministero di Moro è documentato in modo più frammentario nel perimetro web, e va in parte dichiarato come Stato Zero relativo. È accertato il quadro strategico del 1974: la fonte enciclopedica sulla questione di Cipro attesta che il 15 luglio 1974 la Guardia Nazionale cipriota, guidata da ufficiali greci, rovesciò il governo Makarios; Wikipedia (https://it.wikipedia.org/wiki/Invasione_turca_di_Cipro) che il 20 luglio 1974 iniziò l'intervento militare turco («Operazione di pace a Cipro» per Ankara, «invasione» per Atene e la comunità internazionale). La seconda offensiva («Attila 2») fu lanciata il 14 agosto 1974 e portò l'occupazione turca, secondo InsideOver, a coprire «circa il 36% della superficie dell'isola», riconosciuta esclusivamente dal governo di Ankara; la giunta militare greca crollò pochi giorni dopo. Wikipedia (https://it.wikipedia.org/wiki/Questione_di_Cipro) La crisi cadde nella fase finale del ministero Moro (V governo Rumor).</w:t>
      </w:r>
    </w:p>
    <w:p>
      <w:pPr>
        <w:spacing w:after="120" w:line="276"/>
        <w:jc w:val="both"/>
      </w:pPr>
      <w:r>
        <w:rPr>
          <w:rFonts w:ascii="Barlow Semi Condensed" w:cs="Barlow Semi Condensed" w:eastAsia="Barlow Semi Condensed" w:hAnsi="Barlow Semi Condensed"/>
          <w:sz w:val="24"/>
          <w:szCs w:val="24"/>
        </w:rPr>
        <w:t xml:space="preserve">La posizione italiana specifica nel Nuclear Planning Group, il tema del riequilibrio della flotta sovietica nel Mediterraneo, le riunioni ministeriali NATO 1969-1974 con Moro presente e i rapporti con la Grecia dei colonnelli e con la Turchia non hanno trovato, nel perimetro delle fonti reperite, documentazione primaria puntuale. Questi restano Stati Zero da colmare presso l'Archivio storico-diplomatico della Farnesina (serie NATO/atlantico), presso il NATO Archives Online e presso i Foreign Relations of the United States. La contestualizzazione dell'Italia come «ventre della NATO» e la percezione statunitense del suo interesse strategico crescente nel 1974 (con Grecia, Portogallo e Spagna in crisi simultanea) è attestata solo da fonte pubblicistica militante (Fondazione Cipriani) e va usata con cautela, come cornice e non come prova. Il memorandum of conversation del 25 settembre 1974 fra Leone, Moro, Ford e Kissinger (Ford Library doc. 1552802; FRUS 1969-1976 vol. E-15 part 2 doc. 350), già accertato nelle ricognizioni precedenti, costituisce la fonte primaria di riferimento sul rapporto atlantico nella fase terminale del ministero.</w:t>
      </w:r>
    </w:p>
    <w:p>
      <w:pPr>
        <w:pStyle w:val="Heading2"/>
        <w:spacing w:after="100" w:before="200"/>
      </w:pPr>
      <w:r>
        <w:rPr>
          <w:rFonts w:ascii="Barlow Semi Condensed" w:cs="Barlow Semi Condensed" w:eastAsia="Barlow Semi Condensed" w:hAnsi="Barlow Semi Condensed"/>
          <w:sz w:val="24"/>
          <w:szCs w:val="24"/>
        </w:rPr>
        <w:t xml:space="preserve">Capitolo 6 — Nazioni Unite, non proliferazione e multilaterale</w:t>
      </w:r>
    </w:p>
    <w:p>
      <w:pPr>
        <w:spacing w:after="120" w:line="276"/>
        <w:jc w:val="both"/>
      </w:pPr>
      <w:r>
        <w:rPr>
          <w:rFonts w:ascii="Barlow Semi Condensed" w:cs="Barlow Semi Condensed" w:eastAsia="Barlow Semi Condensed" w:hAnsi="Barlow Semi Condensed"/>
          <w:sz w:val="24"/>
          <w:szCs w:val="24"/>
        </w:rPr>
        <w:t xml:space="preserve">Il dossier onusiano e del disarmo è ben documentato sul punto centrale del Trattato di non proliferazione nucleare (TNP). È accertato (fonti convergenti: Centro di Ateneo per i Diritti Umani dell'Università di Padova, Archivio Disarmo, testo di legge su vLex) che l'Italia firmò il TNP il 28 gennaio 1969 e lo ratificò con la legge 24 aprile 1975, n. 131 («Ratifica ed esecuzione del trattato contro la proliferazione delle armi nucleari, firmato a Londra, Mosca e Washington il 1° luglio 1968»), pubblicata sulla Gazzetta Ufficiale n. 113 del 30 aprile 1975. La ratifica avvenne il 2 maggio 1975 (Washington, Londra) e il 4 maggio 1975 (Mosca), con entrata in vigore per l'Italia il 2 maggio 1975. Unipd-centrodirittiumani (https://unipd-centrodirittiumani.it/it/archivi/strumenti-internazionali/trattato-di-non-proliferazione-nucleare-1968) Il Presidente Giovanni Leone appose la firma alla legge 131 il 24 aprile 1975. Spazio70 (https://spazio70.com/pre-anni-70/il-pre-sessantotto/latomica-infranta-la-breve-parabola-del-nucleare-militare-italiano/)</w:t>
      </w:r>
    </w:p>
    <w:p>
      <w:pPr>
        <w:spacing w:after="120" w:line="276"/>
        <w:jc w:val="both"/>
      </w:pPr>
      <w:r>
        <w:rPr>
          <w:rFonts w:ascii="Barlow Semi Condensed" w:cs="Barlow Semi Condensed" w:eastAsia="Barlow Semi Condensed" w:hAnsi="Barlow Semi Condensed"/>
          <w:sz w:val="24"/>
          <w:szCs w:val="24"/>
        </w:rPr>
        <w:t xml:space="preserve">Lo iato di sei anni fra firma e ratifica è la chiave storiografica del dossier. Lo studio di Leopoldo Nuti sull'Italia come «stato soglia» è correttamente richiamato: come sintetizza la voce enciclopedica sul programma nucleare militare italiano, «Nuti, ripercorrendo il tortuoso processo di ratifica del trattato di non proliferazione nucleare da parte dell'Italia, ritiene che la classe dirigente dell'epoca abbia voluto mantenere fino all'ultimo lo status di "paese soglia", non in possesso di armi nucleari ma in grado di dotarsene in breve tempo». Wikipedia (https://it.wikipedia.org/wiki/Programma_nucleare_militare_italiano) Il dibattito coinvolse figure della diplomazia come Roberto Ducci e Roberto Gaja, contrari o critici (fonte: Spazio70). I due rinvii della ratifica furono motivati con i moti di Praga del 1968 e con il primo test nucleare indiano del 18 maggio 1974 (nome in codice «Smiling Buddha», Pokhran-I, poligono di Pokhran nel Rajasthan, potenza stimata circa 8 kt, primo test da parte di uno Stato esterno ai cinque membri permanenti del Consiglio di Sicurezza ONU, presentato dall'India come «peaceful nuclear explosion»). Va distinto: le fonti attestano la strategia dilatoria; l'intenzione precisa dei singoli attori è materia di interpretazione storiografica (Nuti), non di prova documentale univoca.</w:t>
      </w:r>
    </w:p>
    <w:p>
      <w:pPr>
        <w:spacing w:after="120" w:line="276"/>
        <w:jc w:val="both"/>
      </w:pPr>
      <w:r>
        <w:rPr>
          <w:rFonts w:ascii="Barlow Semi Condensed" w:cs="Barlow Semi Condensed" w:eastAsia="Barlow Semi Condensed" w:hAnsi="Barlow Semi Condensed"/>
          <w:sz w:val="24"/>
          <w:szCs w:val="24"/>
        </w:rPr>
        <w:t xml:space="preserve">Gli interventi di Moro all'Assemblea generale, la riforma delle Nazioni Unite, la Conferenza ONU sull'energia atomica del 1971 e l'ingresso delle due Germanie all'ONU nel 1973 non hanno trovato documentazione primaria puntuale nel perimetro reperito e costituiscono Stati Zero da colmare presso l'Edizione Nazionale delle Opere di Aldo Moro e presso gli atti dell'Assemblea generale ONU. La diplomazia multilaterale morotea è oggetto del saggio di Luciano Tosi nel volume Besa 2012 («Per una nuova comunità internazionale», pp. 15-57), sede di approfondimento.</w:t>
      </w:r>
    </w:p>
    <w:p>
      <w:pPr>
        <w:pStyle w:val="Heading2"/>
        <w:spacing w:after="100" w:before="200"/>
      </w:pPr>
      <w:r>
        <w:rPr>
          <w:rFonts w:ascii="Barlow Semi Condensed" w:cs="Barlow Semi Condensed" w:eastAsia="Barlow Semi Condensed" w:hAnsi="Barlow Semi Condensed"/>
          <w:sz w:val="24"/>
          <w:szCs w:val="24"/>
        </w:rPr>
        <w:t xml:space="preserve">Capitolo 7 — Cina e Asia: il riconoscimento del 1970</w:t>
      </w:r>
    </w:p>
    <w:p>
      <w:pPr>
        <w:spacing w:after="120" w:line="276"/>
        <w:jc w:val="both"/>
      </w:pPr>
      <w:r>
        <w:rPr>
          <w:rFonts w:ascii="Barlow Semi Condensed" w:cs="Barlow Semi Condensed" w:eastAsia="Barlow Semi Condensed" w:hAnsi="Barlow Semi Condensed"/>
          <w:sz w:val="24"/>
          <w:szCs w:val="24"/>
        </w:rPr>
        <w:t xml:space="preserve">Il riconoscimento della Repubblica popolare cinese è tra i dossier meglio documentati. È accertato — con una divergenza di data da segnalare — che la normalizzazione fu formalizzata con un comunicato congiunto. La maggior parte delle fonti (T.wai, Radio Cina Internazionale, Lo Spiegone) indica la data del 6 novembre 1970 come giorno della pubblicazione simultanea a Roma e Pechino del «Comunicato congiunto sull'istituzione delle relazioni diplomatiche»; Radio Cina Internazionale (https://italian.cri.cn/mychina/notizie/3210/20201106/573336.html) altre fonti divulgative indicano il 5 novembre 1970. La divergenza va riportata: il comunicato fu reso pubblico il 6 novembre 1970, mentre l'atto di firma/conclusione del negoziato è talora datato al 6 ottobre 1970 (così la scheda editoriale Rubbettino del volume documentale «La normalizzazione delle relazioni diplomatiche tra la Repubblica Italiana e la Repubblica Popolare Cinese»).</w:t>
      </w:r>
    </w:p>
    <w:p>
      <w:pPr>
        <w:spacing w:after="120" w:line="276"/>
        <w:jc w:val="both"/>
      </w:pPr>
      <w:r>
        <w:rPr>
          <w:rFonts w:ascii="Barlow Semi Condensed" w:cs="Barlow Semi Condensed" w:eastAsia="Barlow Semi Condensed" w:hAnsi="Barlow Semi Condensed"/>
          <w:sz w:val="24"/>
          <w:szCs w:val="24"/>
        </w:rPr>
        <w:t xml:space="preserve">L'iniziativa è correttamente attribuita a Pietro Nenni: la scheda Rubbettino attesta che le conversazioni si svolsero «tra il febbraio 1969 e il 6 ottobre 1970» Rubbettino editore (https://www.store.rubbettinoeditore.it/catalogo/la-normalizzazione-delle-relazioni-diplomatiche-tra-la-repubblica-italiana-e-la-repubblica-popolare-cinese/) e che «il dicastero degli Affari esteri, alla fine del 1969, passò dalla guida di Pietro Nenni a quella di Aldo Moro»; Rubbettino editore (https://www.store.rubbettinoeditore.it/catalogo/la-normalizzazione-delle-relazioni-diplomatiche-tra-la-repubblica-italiana-e-la-repubblica-popolare-cinese/) i negoziati furono conclusi «da un Governo nel quale Moro era ancora ministro degli esteri, ma il presidente del Consiglio era Emilio Colombo». Rubbettino editore (https://www.store.rubbettinoeditore.it/catalogo/la-normalizzazione-delle-relazioni-diplomatiche-tra-la-repubblica-italiana-e-la-repubblica-popolare-cinese/) Lo snodo negoziale, come attesta la stessa fonte editoriale, fu «la ricerca di una formula tale da escludere nel modo più tassativo il riconoscimento della teoria dell'esistenza di "due Cine"». Rubbettino editore (https://www.store.rubbettinoeditore.it/catalogo/la-normalizzazione-delle-relazioni-diplomatiche-tra-la-repubblica-italiana-e-la-repubblica-popolare-cinese/) Il comunicato prevedeva che il governo italiano riconoscesse la RPC come unico governo legale della Cina e «prendesse atto» della dichiarazione cinese secondo cui Taiwan era parte inalienabile del territorio della RPC. Lo studio peer-reviewed di riferimento è Maria Paola Olla Brundu, «Pietro Nenni, Aldo Moro e il riconoscimento della Cina comunista», in «Le Carte e la Storia», 10:2 (2004), pp. 29-51 (DOI 10.1411/18738). University of Milan (https://air.unimi.it/handle/2434/16750)</w:t>
      </w:r>
    </w:p>
    <w:p>
      <w:pPr>
        <w:spacing w:after="120" w:line="276"/>
        <w:jc w:val="both"/>
      </w:pPr>
      <w:r>
        <w:rPr>
          <w:rFonts w:ascii="Barlow Semi Condensed" w:cs="Barlow Semi Condensed" w:eastAsia="Barlow Semi Condensed" w:hAnsi="Barlow Semi Condensed"/>
          <w:sz w:val="24"/>
          <w:szCs w:val="24"/>
        </w:rPr>
        <w:t xml:space="preserve">Il telegramma ministeriale del 28 novembre 1970, il progetto di visita ministeriale in Cina (telegramma 5472/0 del 29 dicembre 1972), l'interscambio 1973-1976 e i rapporti con Giappone, India e Pakistan costituiscono Stati Zero nel perimetro reperito: la ricerca va condotta sull'Edizione Nazionale delle Opere di Aldo Moro, sull'Archivio storico-diplomatico della Farnesina e — per il Pakistan — sullo studio dedicato «Aldo Moro e le relazioni italo-pakistane (1963-1976)», citato nella bibliografia della collana barese.</w:t>
      </w:r>
    </w:p>
    <w:p>
      <w:pPr>
        <w:pStyle w:val="Heading2"/>
        <w:spacing w:after="100" w:before="200"/>
      </w:pPr>
      <w:r>
        <w:rPr>
          <w:rFonts w:ascii="Barlow Semi Condensed" w:cs="Barlow Semi Condensed" w:eastAsia="Barlow Semi Condensed" w:hAnsi="Barlow Semi Condensed"/>
          <w:sz w:val="24"/>
          <w:szCs w:val="24"/>
        </w:rPr>
        <w:t xml:space="preserve">Capitolo 8 — La Comunità europea: dall'Aja al primo allargamento</w:t>
      </w:r>
    </w:p>
    <w:p>
      <w:pPr>
        <w:spacing w:after="120" w:line="276"/>
        <w:jc w:val="both"/>
      </w:pPr>
      <w:r>
        <w:rPr>
          <w:rFonts w:ascii="Barlow Semi Condensed" w:cs="Barlow Semi Condensed" w:eastAsia="Barlow Semi Condensed" w:hAnsi="Barlow Semi Condensed"/>
          <w:sz w:val="24"/>
          <w:szCs w:val="24"/>
        </w:rPr>
        <w:t xml:space="preserve">Il dossier europeo documenta il giudizio storiografico sulle «incertezze del nuovo ministro» al Vertice dell'Aja del 1-2 dicembre 1969. Il volume di riferimento è Maria Eleonora Guasconi, «L'Europa tra continuità e cambiamento. Il vertice dell'Aja del 1969 e il rilancio della costruzione europea» (Firenze, Polistampa, 2006), che ricostruisce «una cerniera tra il periodo di avvio della Comunità e il primo allargamento» nel binomio approfondimento-allargamento. Uniurb (https://ora.uniurb.it/handle/11576/1890940) La saggistica accademica (Officina della Storia) attesta che Moro «si rese protagonista di un "giallo" sulla data di inizio del vertice, fissato dapprima per il 17 e 18 novembre, e spostato successivamente al 1° e 2 dicembre, a causa di una presunta "malattia" del ministro degli Esteri italiano», Officinadellastoria (https://www.officinadellastoria.eu/it/2018/07/19/leuropa-tra-crisi-e-rilancio-il-vertice-dellaja-del-1969/) e che l'Italia sosteneva apertamente l'ingresso della Gran Bretagna nella CEE «nella speranza che una convergenza tra Roma e Londra servisse a bilanciare il preponderante asse franco-tedesco». Officinadellastoria (https://www.officinadellastoria.eu/it/2018/07/19/leuropa-tra-crisi-e-rilancio-il-vertice-dellaja-del-1969/) Moro proponeva di accompagnare la cooperazione monetaria con la cooperazione politica, l'elezione diretta del Parlamento europeo e una politica per la gioventù europea, arrivando a minacciare di non partecipare al vertice se Pompidou non avesse inserito una data d'inizio dei negoziati con la Gran Bretagna nel comunicato finale. Officinadellastoria (https://www.officinadellastoria.eu/it/2018/07/19/leuropa-tra-crisi-e-rilancio-il-vertice-dellaja-del-1969/)</w:t>
      </w:r>
    </w:p>
    <w:p>
      <w:pPr>
        <w:spacing w:after="120" w:line="276"/>
        <w:jc w:val="both"/>
      </w:pPr>
      <w:r>
        <w:rPr>
          <w:rFonts w:ascii="Barlow Semi Condensed" w:cs="Barlow Semi Condensed" w:eastAsia="Barlow Semi Condensed" w:hAnsi="Barlow Semi Condensed"/>
          <w:sz w:val="24"/>
          <w:szCs w:val="24"/>
        </w:rPr>
        <w:t xml:space="preserve">Il saggio di Guido Levi, «L'integrazione della Spagna nella Comunità europea: il ruolo dell'Italia» (Spagna contemporanea, 2016, n. 49, pp. 69-101), fonte peer-reviewed, conferma con ricorso agli archivi (ASUE Firenze, Istituto Sturzo) che «al Vertice dell'Aja […] il nostro Paese finì per giocare un ruolo piuttosto marginale anche per le incertezze del nuovo ministro degli Esteri Aldo Moro, che aveva sostituito da pochi mesi Pietro Nenni alla guida della Farnesina».</w:t>
      </w:r>
    </w:p>
    <w:p>
      <w:pPr>
        <w:spacing w:after="120" w:line="276"/>
        <w:jc w:val="both"/>
      </w:pPr>
      <w:r>
        <w:rPr>
          <w:rFonts w:ascii="Barlow Semi Condensed" w:cs="Barlow Semi Condensed" w:eastAsia="Barlow Semi Condensed" w:hAnsi="Barlow Semi Condensed"/>
          <w:sz w:val="24"/>
          <w:szCs w:val="24"/>
        </w:rPr>
        <w:t xml:space="preserve">È accertata la cronologia successiva: dal Vertice dell'Aja nacquero, nel marzo 1971, l'avvio della prima tappa del Piano Werner e, l'anno successivo, il «Serpente monetario». LuissThesis (https://tesi.luiss.it/40220/1/102822_DE%20MARTINO_TOMMASO.pdf) Il primo allargamento a Danimarca, Irlanda e Regno Unito entrò in vigore il 1° gennaio 1973. L'uscita della lira dal serpente monetario nel febbraio 1973, il Vertice di Parigi del 19-20 ottobre 1972, il Vertice di Copenaghen del 14-15 dicembre 1973 con il dialogo euro-arabo e il Fondo europeo di sviluppo regionale sono richiamati dalle fonti come tappe, ma la documentazione primaria puntuale sulla posizione morotea in ciascuno di essi resta in parte Stato Zero, da colmare sull'Edizione Nazionale delle Opere e sui documenti CVCE (Centre virtuel de la connaissance sur l'Europe).</w:t>
      </w:r>
    </w:p>
    <w:p>
      <w:pPr>
        <w:pStyle w:val="Heading2"/>
        <w:spacing w:after="100" w:before="200"/>
      </w:pPr>
      <w:r>
        <w:rPr>
          <w:rFonts w:ascii="Barlow Semi Condensed" w:cs="Barlow Semi Condensed" w:eastAsia="Barlow Semi Condensed" w:hAnsi="Barlow Semi Condensed"/>
          <w:sz w:val="24"/>
          <w:szCs w:val="24"/>
        </w:rPr>
        <w:t xml:space="preserve">Capitolo 9 — Gli atti parlamentari italiani e le edizioni delle opere</w:t>
      </w:r>
    </w:p>
    <w:p>
      <w:pPr>
        <w:spacing w:after="120" w:line="276"/>
        <w:jc w:val="both"/>
      </w:pPr>
      <w:r>
        <w:rPr>
          <w:rFonts w:ascii="Barlow Semi Condensed" w:cs="Barlow Semi Condensed" w:eastAsia="Barlow Semi Condensed" w:hAnsi="Barlow Semi Condensed"/>
          <w:sz w:val="24"/>
          <w:szCs w:val="24"/>
        </w:rPr>
        <w:t xml:space="preserve">Il dossier delle fonti parlamentari e delle edizioni è accertato nella sua struttura. La raccolta ufficiale è «Aldo Moro, Discorsi parlamentari», 2 volumi, a cura di Emilia Lamaro, introduzione di Mino Martinazzoli, Roma, Camera dei deputati, 1996 (vol. I, 1947-1963; vol. II, 1963-1977), Aldomoro (http://www.aldomoro.eu/scritti.php) presentata a Torino il 19 maggio 1996 con interventi di Violante, Arfè, D'Alema, Elia, Urbani e Martinazzoli Radio Radicale (https://www.radioradicale.it/scheda/82006/dalla-costituente-allunita-nazionale-gli-scritti-parlamentari-di-aldo-moro) (fonte: Radio Radicale; sito aldomoro.eu). La bibliografia mostra citazioni puntuali del vol. II, tra cui la «Replica alla Camera dei Deputati 21 febbraio 1976» (p. 1577), Uniba (https://ojs.cimedoc.uniba.it/index.php/law/article/download/1152/966) utilizzata dalla letteratura accademica.</w:t>
      </w:r>
    </w:p>
    <w:p>
      <w:pPr>
        <w:spacing w:after="120" w:line="276"/>
        <w:jc w:val="both"/>
      </w:pPr>
      <w:r>
        <w:rPr>
          <w:rFonts w:ascii="Barlow Semi Condensed" w:cs="Barlow Semi Condensed" w:eastAsia="Barlow Semi Condensed" w:hAnsi="Barlow Semi Condensed"/>
          <w:sz w:val="24"/>
          <w:szCs w:val="24"/>
        </w:rPr>
        <w:t xml:space="preserve">L'Edizione Nazionale delle Opere di Aldo Moro è confermata dalla citazione, in ambito accademico, del «Vol. 4, L'ultima fase (1973-1978), Tomo 1, Al Ministero degli Esteri e all'opposizione nel partito (giugno 1968 – maggio 1973), a cura di G. Formigoni e A.» Academia.edu (https://www.academia.edu/40539138/Fra_diplomazia_e_petrolio_Aldo_Moro_e_la_politica_italiana_in_Medio_Oriente) (fonte: bibliografia della collana barese). Il portale aldomorodigitale.unibo.it è il riferimento digitale dell'Edizione Nazionale. Il Fondo Aldo Moro presso l'Archivio storico del Senato è documentato dal portale patrimonio.archivio.senato.it, che restituisce unità archivistiche del tipo «Intervento alla Commissione esteri della Camera dei deputati» con segnatura IT-AFS-048 e con la descrizione «Tre stesure del discorso, di cui una manoscritta; materiale preparatorio» Senato della Repubblica (https://patrimonio.archivio.senato.it/inventario/scheda/aldo-moro/IT-AFS-048-000644/intervento-alla-commissione-%20esteri-della-camera-deputati) (unità UA0621, con 167 immagini digitalizzate).</w:t>
      </w:r>
    </w:p>
    <w:p>
      <w:pPr>
        <w:spacing w:after="120" w:line="276"/>
        <w:jc w:val="both"/>
      </w:pPr>
      <w:r>
        <w:rPr>
          <w:rFonts w:ascii="Barlow Semi Condensed" w:cs="Barlow Semi Condensed" w:eastAsia="Barlow Semi Condensed" w:hAnsi="Barlow Semi Condensed"/>
          <w:sz w:val="24"/>
          <w:szCs w:val="24"/>
        </w:rPr>
        <w:t xml:space="preserve">Le repliche specifiche di Moro sui bilanci del Ministero degli Affari Esteri per gli esercizi 1970, 1971, 1972 e 1974, con numero di seduta e data, non sono state reperite con precisione nel perimetro web e costituiscono uno Stato Zero da colmare direttamente sui resoconti stenografici dell'Assemblea e della III Commissione (esteri) della Camera, consultabili sul portale storico camera.it, e sul vol. II dei «Discorsi parlamentari». Un riferimento documentale utile emerso è l'intervento «Commissione esteri della Camera dei deputati 28 febbraio 1974», citato in sede accademica.</w:t>
      </w:r>
    </w:p>
    <w:p>
      <w:pPr>
        <w:pStyle w:val="Heading2"/>
        <w:spacing w:after="100" w:before="200"/>
      </w:pPr>
      <w:r>
        <w:rPr>
          <w:rFonts w:ascii="Barlow Semi Condensed" w:cs="Barlow Semi Condensed" w:eastAsia="Barlow Semi Condensed" w:hAnsi="Barlow Semi Condensed"/>
          <w:sz w:val="24"/>
          <w:szCs w:val="24"/>
        </w:rPr>
        <w:t xml:space="preserve">Capitolo 10 — L'Opus Dei come soggetto storico</w:t>
      </w:r>
    </w:p>
    <w:p>
      <w:pPr>
        <w:spacing w:after="120" w:line="276"/>
        <w:jc w:val="both"/>
      </w:pPr>
      <w:r>
        <w:rPr>
          <w:rFonts w:ascii="Barlow Semi Condensed" w:cs="Barlow Semi Condensed" w:eastAsia="Barlow Semi Condensed" w:hAnsi="Barlow Semi Condensed"/>
          <w:sz w:val="24"/>
          <w:szCs w:val="24"/>
        </w:rPr>
        <w:t xml:space="preserve">Il dossier Opus Dei richiede la massima disciplina metodologica: appartenenza di persone all'ente e condotta dell'ente vanno tenute distinte. È accertato (fonte primaria: documento CIA «Weekly Summary Special Report: Policies of the New Spanish Cabinet» del 22 maggio 1970, protocollo CIA-RDP85T00875R001500020027-1, originariamente SECRET, declassificato) che, nella formazione del governo dell'ottobre 1969, «Franco abandoned his usual policy of keeping a balanced representation of all the major groups that support him and gave the largest number of portfolios to businessmen and technical experts who are either members of or associated with members of the influential Catholic lay organization Opus Dei». cia (https://www.cia.gov/readingroom/print/1921790) Il documento definisce López Rodó «the outstanding man in the new cabinet» cia (https://www.cia.gov/readingroom/print/1921790) e ne cita esplicitamente «his membership in Opus Dei». cia (https://www.cia.gov/readingroom/print/1921790) Il governo dell'ottobre 1969 fu battezzato dagli avversari «gobierno monocolor» (fonte enciclopedica spagnola), termine che alcuni storici contestano perché «le discrepanze tra i ministri erano sostanziali in alcuni temi». Wikipedia (https://es.wikipedia.org/wiki/Segundo_franquismo)</w:t>
      </w:r>
    </w:p>
    <w:p>
      <w:pPr>
        <w:spacing w:after="120" w:line="276"/>
        <w:jc w:val="both"/>
      </w:pPr>
      <w:r>
        <w:rPr>
          <w:rFonts w:ascii="Barlow Semi Condensed" w:cs="Barlow Semi Condensed" w:eastAsia="Barlow Semi Condensed" w:hAnsi="Barlow Semi Condensed"/>
          <w:sz w:val="24"/>
          <w:szCs w:val="24"/>
        </w:rPr>
        <w:t xml:space="preserve">La storiografia spagnola invita alla cautela sulla categoria «tecnocrati». La stessa Opus Dei, fonte ufficiale dell'organizzazione (opusdei.org), riporta il giudizio di Javier Tusell secondo cui López Rodó e Navarro Rubio «erano più esattamente parte di quella che si chiamò "la burocrazia dei numeri uno"», e che «a inizio anni Sessanta c'era più tensione tra López Rodó e Navarro Rubio che tra López Rodó e Fraga». Opus Dei (https://opusdei.org/es-es/article/2-sobre-la-existencia-de-un-grupo-de-ministros-denominados-tecnocratas-y-su-identificacion-con-el-opus-dei/) Lo studio accademico di Carlos Barrera, «El Opus Dei y la prensa en el tardofranquismo» (in una rivista del CEPC, n. 28, 2012, pp. 139-165), affronta il tema di «realidad, mito e historiografía». CEPC (https://www.cepc.gob.es/sites/default/files/2022-06/365127-carlos-barrera.pdf) Il saggio peer-reviewed di riferimento indicato dal quesito è confermato: Leslie Mackenzie, «The Political Ideas of the Opus Dei in Spain», in «Government and Opposition», vol. 8, n. 1 (Winter 1973), pp. 72-92, Cambridge University Press, DOI 10.1111/j.1477-7053.1973.tb00859.x. L'articolo attesta che l'Opus Dei fu fondata nel 1928 da Escrivá de Balaguer, che «its existence is public but its membership has always been secret», che nel 1947 fu riconosciuta come primo Istituto secolare e che «the centre of the organization moved to Rome»; cambridge (https://cambridge.org/core/journals/government-and-opposition/article/political-ideas-of-the-opus-dei-in-spain/DC7BF5C84A19EE970C79D3C0C4D98505) e che «it worked towards this aim through the positioning of its members in places of power within society: preferably in university chairs, banking, business or bureaucratic positions».</w:t>
      </w:r>
    </w:p>
    <w:p>
      <w:pPr>
        <w:spacing w:after="120" w:line="276"/>
        <w:jc w:val="both"/>
      </w:pPr>
      <w:r>
        <w:rPr>
          <w:rFonts w:ascii="Barlow Semi Condensed" w:cs="Barlow Semi Condensed" w:eastAsia="Barlow Semi Condensed" w:hAnsi="Barlow Semi Condensed"/>
          <w:sz w:val="24"/>
          <w:szCs w:val="24"/>
        </w:rPr>
        <w:t xml:space="preserve">Lo statuto canonico e il percorso verso la prelatura personale sono accertati: l'Opus Dei fu eretta prelatura personale da Giovanni Paolo II con la costituzione apostolica «Ut sit» del 28 novembre 1982, esecutiva il 19 marzo 1983 Opus Dei (https://opusdei.org/it-it/article/opus-dei-trenta-anni-di-prelatura-personale/) (fonti: opusdei.org; SettimanaNews). La presenza dell'ente in Italia è documentata dall'Associazione Italiana dei Professori di Storia della Chiesa: «la presenza dell'Opus Dei in Italia risale agli anni della II Guerra Mondiale: nel 1942, infatti, due giovani membri spagnoli dell'istituzione giunsero a Roma per motivi di studio», Storiadellachiesa (https://www.storiadellachiesa.it/glossary/prelatura-personale-e-la-chiesa-in-italia/) con successiva apertura di centri a Palermo e Milano (1949), Napoli (1952) Storiadellachiesa (https://www.storiadellachiesa.it/glossary/prelatura-personale-e-la-chiesa-in-italia/) e in altre città. La biografia di Gregorio López Bravo di Gabriel Pérez Gómez (Rialp, Madrid, 2024) è confermata come fonte che utilizza «los archivos depositados en la Biblioteca de la Universidad de Navarra, los del Estado, incluso los de la CIA», El Confidencial Digital (https://www.elconfidencialdigital.com/religion/articulo/de-libros/gregorio-lopez-bravo-miembro-opus-dei-servicio-progreso-espana/20241007004039050434.html) e che pubblica «la larga nota que escribió López Bravo nada más terminar la entrevista en el avión» El Confidencial Digital (https://www.elconfidencialdigital.com/religion/articulo/de-libros/gregorio-lopez-bravo-miembro-opus-dei-servicio-progreso-espana/20241007004039050434.html) del 12 gennaio 1973.</w:t>
      </w:r>
    </w:p>
    <w:p>
      <w:pPr>
        <w:pStyle w:val="Heading2"/>
        <w:spacing w:after="100" w:before="200"/>
      </w:pPr>
      <w:r>
        <w:rPr>
          <w:rFonts w:ascii="Barlow Semi Condensed" w:cs="Barlow Semi Condensed" w:eastAsia="Barlow Semi Condensed" w:hAnsi="Barlow Semi Condensed"/>
          <w:sz w:val="24"/>
          <w:szCs w:val="24"/>
        </w:rPr>
        <w:t xml:space="preserve">Capitolo 11 — Le triangolazioni da verificare: Moro e i ministri spagnoli</w:t>
      </w:r>
    </w:p>
    <w:p>
      <w:pPr>
        <w:spacing w:after="120" w:line="276"/>
        <w:jc w:val="both"/>
      </w:pPr>
      <w:r>
        <w:rPr>
          <w:rFonts w:ascii="Barlow Semi Condensed" w:cs="Barlow Semi Condensed" w:eastAsia="Barlow Semi Condensed" w:hAnsi="Barlow Semi Condensed"/>
          <w:sz w:val="24"/>
          <w:szCs w:val="24"/>
        </w:rPr>
        <w:t xml:space="preserve">Questo capitolo raccoglie il maggior numero di Stati Zero, che vanno dichiarati come acquisizioni di pieno valore. Sul contatto diretto fra Moro e i tre ministri degli Esteri spagnoli — Gregorio López Bravo (ottobre 1969-giugno 1973), Laureano López Rodó (giugno 1973-gennaio 1974) Wikipedia (https://en.wikipedia.org/wiki/Laureano_L%C3%B3pez_Rod%C3%B3) e Pedro Cortina Mauri (gennaio 1974-dicembre 1975) — la ricerca non ha reperito alcuna fonte primaria (archivistica, atto parlamentare o memoriale) che attesti un incontro bilaterale, una corrispondenza o una presa di posizione reciproca personale. Si dichiara pertanto Stato Zero per il contatto diretto documentato. La verifica va condotta presso l'Archivio storico-diplomatico della Farnesina e presso l'Archivo General de la Administración di Alcalá de Henares (fondi del Ministerio de Asuntos Exteriores fino al 1985 circa).</w:t>
      </w:r>
    </w:p>
    <w:p>
      <w:pPr>
        <w:spacing w:after="120" w:line="276"/>
        <w:jc w:val="both"/>
      </w:pPr>
      <w:r>
        <w:rPr>
          <w:rFonts w:ascii="Barlow Semi Condensed" w:cs="Barlow Semi Condensed" w:eastAsia="Barlow Semi Condensed" w:hAnsi="Barlow Semi Condensed"/>
          <w:sz w:val="24"/>
          <w:szCs w:val="24"/>
        </w:rPr>
        <w:t xml:space="preserve">L'assenza è coerente con il contesto documentato dal saggio peer-reviewed di Guido Levi (Spagna contemporanea, 2016): l'Italia mantenne verso la Spagna franchista un profilo di deliberata freddezza, con «avversione ideologica verso il regime di Franco». Levi segnala anche il limite archivistico decisivo: «essendo non consultabili negli anni presi in esame i fondi conservati presso il ministero degli Affari Esteri», la storiografia esistente non ha ancora potuto sfruttare pienamente i documenti italiani. Va distinto: l'assenza di riscontro non è prova di assenza del fatto; è assenza di documentazione reperibile allo stato.</w:t>
      </w:r>
    </w:p>
    <w:p>
      <w:pPr>
        <w:spacing w:after="120" w:line="276"/>
        <w:jc w:val="both"/>
      </w:pPr>
      <w:r>
        <w:rPr>
          <w:rFonts w:ascii="Barlow Semi Condensed" w:cs="Barlow Semi Condensed" w:eastAsia="Barlow Semi Condensed" w:hAnsi="Barlow Semi Condensed"/>
          <w:sz w:val="24"/>
          <w:szCs w:val="24"/>
        </w:rPr>
        <w:t xml:space="preserve">Sull'identità del funzionario italiano che nella primavera del 1970 oppose il rifiuto al patto mediterraneo, il documento CIA del 22 maggio 1970 attesta: «The idea is likely to remain a French-Spanish project, for an Italian official has already said his country would not be interested». cia (https://www.cia.gov/readingroom/print/1921790) Il documento NON identifica per nome il funzionario, usando la formula generica «an Italian official». Qualsiasi identificazione con Moro è dunque un'inferenza non supportata dal documento e va qualificata come tale: il termine «official» è indeterminato e può indicare un diplomatico o funzionario di rango non ministeriale. Immediatamente prima, il documento riporta che «Lopez Bravo told Secretary Rogers last month that he had discussed with the French how such a pact arrangement might be achieved, but that Spain would act with the full understanding and support of the United States».</w:t>
      </w:r>
    </w:p>
    <w:p>
      <w:pPr>
        <w:spacing w:after="120" w:line="276"/>
        <w:jc w:val="both"/>
      </w:pPr>
      <w:r>
        <w:rPr>
          <w:rFonts w:ascii="Barlow Semi Condensed" w:cs="Barlow Semi Condensed" w:eastAsia="Barlow Semi Condensed" w:hAnsi="Barlow Semi Condensed"/>
          <w:sz w:val="24"/>
          <w:szCs w:val="24"/>
        </w:rPr>
        <w:t xml:space="preserve">Sulla posizione spagnola in materia di CSCE il medesimo documento CIA attesta che la Spagna aveva accettato in linea di principio la proposta del Patto di Varsavia per una conferenza sulla sicurezza europea e ne sollecitava una data prima di settembre, «a stand that goes beyond the more cautious NATO position»: cia (https://www.cia.gov/readingroom/print/1921790) la posizione spagnola era dunque, nel maggio 1970, più avanzata di quella NATO. Il documento non descrive la posizione italiana specifica; il confronto puntuale Italia-Spagna sulla CSCE resta uno Stato Zero da colmare sui documenti diplomatici italiani. Sulla posizione italiana circa l'ingresso della Spagna nella NATO, va ricordato (fonte enciclopedica) che l'adesione spagnola all'Alleanza avvenne solo nel 1982, Wikipedia (https://es.wikipedia.org/wiki/Relaciones_OTAN-Espa%C3%B1a) ben oltre l'orizzonte del ministero Moro; nessun ruolo diretto di Moro è attestato.</w:t>
      </w:r>
    </w:p>
    <w:p>
      <w:pPr>
        <w:spacing w:after="120" w:line="276"/>
        <w:jc w:val="both"/>
      </w:pPr>
      <w:r>
        <w:rPr>
          <w:rFonts w:ascii="Barlow Semi Condensed" w:cs="Barlow Semi Condensed" w:eastAsia="Barlow Semi Condensed" w:hAnsi="Barlow Semi Condensed"/>
          <w:sz w:val="24"/>
          <w:szCs w:val="24"/>
        </w:rPr>
        <w:t xml:space="preserve">Sulla reazione spagnola al sequestro Moro del 1978 va rilevato un errore di premessa storiografica: nel 1978 la Spagna non era più franchista (Franco morì il 20 novembre 1975) ma in piena Transizione democratica sotto il governo di Adolfo Suárez. La ricerca non ha reperito una presa di posizione ufficiale del governo spagnolo sul sequestro; la stampa (El Español) opera parallelismi fra la strategia conciliativa di Moro e quella di Suárez. Questo resta uno Stato Zero da colmare presso le emeroteche spagnole (ABC, El País, La Vanguardia, marzo-maggio 1978).</w:t>
      </w:r>
    </w:p>
    <w:p>
      <w:pPr>
        <w:pStyle w:val="Heading2"/>
        <w:spacing w:after="100" w:before="200"/>
      </w:pPr>
      <w:r>
        <w:rPr>
          <w:rFonts w:ascii="Barlow Semi Condensed" w:cs="Barlow Semi Condensed" w:eastAsia="Barlow Semi Condensed" w:hAnsi="Barlow Semi Condensed"/>
          <w:sz w:val="24"/>
          <w:szCs w:val="24"/>
        </w:rPr>
        <w:t xml:space="preserve">Capitolo 12 — Il versante vaticano come terzo termine</w:t>
      </w:r>
    </w:p>
    <w:p>
      <w:pPr>
        <w:spacing w:after="120" w:line="276"/>
        <w:jc w:val="both"/>
      </w:pPr>
      <w:r>
        <w:rPr>
          <w:rFonts w:ascii="Barlow Semi Condensed" w:cs="Barlow Semi Condensed" w:eastAsia="Barlow Semi Condensed" w:hAnsi="Barlow Semi Condensed"/>
          <w:sz w:val="24"/>
          <w:szCs w:val="24"/>
        </w:rPr>
        <w:t xml:space="preserve">Il versante vaticano fornisce la triangolazione più solida sul piano documentale. È accertato (fonti: L'Osservatore Romano; Vatican News; Treccani, voce Casaroli) che la Santa Sede partecipò alla CSCE come membro a pieno titolo, «era la prima volta, dopo il Congresso di Vienna del 1815, che la Santa Sede partecipava come full member in un congresso di Stati» Vatican News (https://www.vaticannews.va/it/mondo/news/2022-04/conferenza-helsinki-1975-europa-guerra-fredda-eredita-pace.html) (parole del cardinale Achille Silvestrini). Paolo VI annunciò il 22 giugno 1973 la partecipazione di una delegazione vaticana guidata da monsignor Agostino Casaroli. L'Osservatore Romano (https://www.osservatoreromano.va/it/news/2023-02/quo-045/si-vis-pacem-para-pacem.html) Il contributo vaticano fu decisivo per il settimo principio dell'Atto finale, relativo alla libertà religiosa: come attesta la voce Treccani su Casaroli, «con il riconoscimento della libertà religiosa sancito nel 7° principio dell'Atto finale» la Santa Sede conseguì «un'importante formale legittimazione alle richieste della Chiesa nei negoziati bilaterali con i singoli governi». Treccani (https://www.treccani.it/enciclopedia/agostino-casaroli_%28Dizionario-Biografico%29/) La proposta sulla libertà religiosa del 7 marzo 1973 è correttamente collocata nella fase preparatoria; l'Ostpolitik di Casaroli e Silvestrini è il quadro entro cui si mosse la diplomazia vaticana.</w:t>
      </w:r>
    </w:p>
    <w:p>
      <w:pPr>
        <w:spacing w:after="120" w:line="276"/>
        <w:jc w:val="both"/>
      </w:pPr>
      <w:r>
        <w:rPr>
          <w:rFonts w:ascii="Barlow Semi Condensed" w:cs="Barlow Semi Condensed" w:eastAsia="Barlow Semi Condensed" w:hAnsi="Barlow Semi Condensed"/>
          <w:sz w:val="24"/>
          <w:szCs w:val="24"/>
        </w:rPr>
        <w:t xml:space="preserve">Sul versante spagnolo il terzo termine vaticano assume rilievo attraverso due nodi documentati. Il primo è l'udienza del 12 gennaio 1973 di López Bravo presso Paolo VI: il ministro spagnolo, membro dell'Opus Dei, si recò dal Papa per consegnargli una lettera di Franco in mezzo a uno scambio di corrispondenza sulle relazioni Chiesa-Stato, sulla revisione del Concordato e sulla questione delle nomine episcopali. El Confidencial Digital (https://www.elconfidencialdigital.com/religion/articulo/de-libros/gregorio-lopez-bravo-miembro-opus-dei-servicio-progreso-espana/20241007004039050434.html) Secondo il cardinale Tarancón, Paolo VI disse che era stata «una delle interviste più amare della sua vita» El Confidencial Digital (https://www.elconfidencialdigital.com/religion/articulo/de-libros/gregorio-lopez-bravo-miembro-opus-dei-servicio-progreso-espana/20241007004039050434.html) (fonte: El Confidencial Digital, recensione della biografia Pérez Gómez, che pubblica la nota redatta da López Bravo in aereo subito dopo il colloquio). Il secondo nodo è il concordato spagnolo del 27 agosto 1953 e il privilegio di presentazione dei vescovi: è accertato (fonti: Wikipedia in spagnolo; studio di Antonio Marquina, UCM) che il Concordato attribuì a Franco «el derecho de presentación» dei vescovi. Con lettera del 28 aprile 1968 Paolo VI chiese a Franco di rinunciare al privilegio «antes de una posible revisión del Concordato»; Franco rispose il 12 giugno 1968 rifiutando, sostenendo che il diritto «fue modificado en su esencia por el convenio de 1941». Il privilegio fu abolito soltanto con la convenzione tra il governo spagnolo e la Santa Sede del 28 luglio 1976, dopo la morte di Franco, quando Juan Carlos I vi rinunciò. Il caso Añoveros del 24 febbraio 1974 — l'omelia del vescovo di Bilbao a favore dell'identità basca, che provocò la più grave crisi Chiesa-Stato del tardofranchismo, con l'ordine di espulsione poi ritirato per intervento di Franco stesso e con il sostegno di Paolo VI a Tarancón e Añoveros Wikipedia (https://es.wikipedia.org/wiki/Caso_A%C3%B1overos) (fonti: Wikipedia in spagnolo; Religión Digital) — illustra la simultaneità di reazione, non un nesso diretto con Moro.</w:t>
      </w:r>
    </w:p>
    <w:p>
      <w:pPr>
        <w:spacing w:after="120" w:line="276"/>
        <w:jc w:val="both"/>
      </w:pPr>
      <w:r>
        <w:rPr>
          <w:rFonts w:ascii="Barlow Semi Condensed" w:cs="Barlow Semi Condensed" w:eastAsia="Barlow Semi Condensed" w:hAnsi="Barlow Semi Condensed"/>
          <w:sz w:val="24"/>
          <w:szCs w:val="24"/>
        </w:rPr>
        <w:t xml:space="preserve">L'iter della revisione del Concordato lateranense dal 1969 al 1984, richiamato dal quesito, non ha trovato documentazione puntuale nel perimetro reperito e costituisce uno Stato Zero da colmare presso le fonti vaticane e presso gli atti parlamentari italiani. Va tenuta ferma la distinzione metodologica: la comunanza di ambiente istituzionale (cattolico, dell'Ostpolitik, della CSCE) fra Moro, la Santa Sede e i ministri spagnoli dell'Opus Dei è una convergenza di ambiente, non un nesso di condotta coordinata; e il canale del cardinale Sergio Pignedoli nel sequestro Sossi (aprile-maggio 1974), attestato dalla Treccani, riguarda il rapporto Stato-Vaticano in materia di terrorismo, non la triangolazione spagnola.</w:t>
      </w:r>
    </w:p>
    <w:p>
      <w:pPr>
        <w:pStyle w:val="Heading2"/>
        <w:spacing w:after="100" w:before="200"/>
      </w:pPr>
      <w:r>
        <w:rPr>
          <w:rFonts w:ascii="Barlow Semi Condensed" w:cs="Barlow Semi Condensed" w:eastAsia="Barlow Semi Condensed" w:hAnsi="Barlow Semi Condensed"/>
          <w:sz w:val="24"/>
          <w:szCs w:val="24"/>
        </w:rPr>
        <w:t xml:space="preserve">Tavola discorsiva delle acquisizioni documentali necessarie e non conseguite</w:t>
      </w:r>
    </w:p>
    <w:p>
      <w:pPr>
        <w:spacing w:after="120" w:line="276"/>
        <w:jc w:val="both"/>
      </w:pPr>
      <w:r>
        <w:rPr>
          <w:rFonts w:ascii="Barlow Semi Condensed" w:cs="Barlow Semi Condensed" w:eastAsia="Barlow Semi Condensed" w:hAnsi="Barlow Semi Condensed"/>
          <w:sz w:val="24"/>
          <w:szCs w:val="24"/>
        </w:rPr>
        <w:t xml:space="preserve">Ordinate per rendimento atteso decrescente, le acquisizioni non conseguite sono le seguenti. In primo luogo, l'eventuale documentazione di contatti diretti fra Moro e i ministri degli Esteri spagnoli (López Bravo, López Rodó, Cortina Mauri): rendimento potenziale altissimo perché scioglierebbe il nodo centrale della triangolazione; sede: Archivio storico-diplomatico della Farnesina (serie affari politici, Spagna, 1969-1974, soggetta alla barriera dei cinquant'anni con verifica caso per caso dei faldoni) e Archivo General de la Administración di Alcalá de Henares; condizione di chiusura: apertura e riordino dei fondi MAE italiani per il periodo, oggi non pienamente consultabili secondo Levi. In secondo luogo, le repliche di Moro sui bilanci esteri 1970-1974 con numero di seduta e data: rendimento alto per la ricostruzione della posizione ufficiale; sede: resoconti stenografici Camera e vol. II dei «Discorsi parlamentari»; condizione: spoglio sistematico dei resoconti. In terzo luogo, il telegramma di Moro da Tunisi del 6 settembre 1970 e i telegrammi cinesi del 28 novembre 1970 e 5472/0 del 29 dicembre 1972: rendimento medio-alto; sede: Farnesina ed Edizione Nazionale (aldomorodigitale.unibo.it). In quarto luogo, il confronto puntuale Italia-Spagna sulla CSCE e la posizione italiana nel Nuclear Planning Group e nelle riunioni ministeriali NATO 1969-1974: rendimento medio; sede: DDI, NATO Archives Online, FRUS. In quinto luogo, la reazione spagnola al sequestro Moro del 1978: rendimento medio, con l'avvertenza dell'anacronismo «franchista»; sede: emeroteche spagnole (ABC, El País, La Vanguardia). In sesto luogo, l'iter della revisione del Concordato lateranense 1969-1984 e gli interventi di Moro all'Assemblea generale ONU: rendimento medio-basso per la specificità del mandato Moro; sede: fonti vaticane, atti parlamentari, atti ONU. Infine, la verifica dell'«operazione Hilton» del 1971: rendimento incerto, tesi allo stato non sostenuta da fonti primarie; sede: Farnesina e archivi ENI.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sintesi metodologica per il committente</w:t>
      </w:r>
    </w:p>
    <w:p>
      <w:pPr>
        <w:spacing w:after="120" w:line="276"/>
        <w:jc w:val="both"/>
      </w:pPr>
      <w:r>
        <w:rPr>
          <w:rFonts w:ascii="Barlow Semi Condensed" w:cs="Barlow Semi Condensed" w:eastAsia="Barlow Semi Condensed" w:hAnsi="Barlow Semi Condensed"/>
          <w:sz w:val="24"/>
          <w:szCs w:val="24"/>
        </w:rPr>
        <w:t xml:space="preserve">Questa ricognizione conferma e approfondisce, senza ripeterlo, lo stato delle tre ricognizioni precedenti. I dossier meglio serviti da fonti primarie e storiografia peer-reviewed — e dunque idonei a capitoli di piena ampiezza — sono il Medio Oriente (Cap. 3, con la collana Cacucci/Besa di Imperato-Milano-Monzali), la CSCE (Cap. 4, volume Baldi-Monzali e memorie Ferraris), la Cina (Cap. 7, con lo studio Olla Brundu e il volume documentale Rubbettino), il TNP (Cap. 6, con Nuti), la Comunità europea (Cap. 8, con Guasconi e Levi), l'Opus Dei come soggetto storico spagnolo (Cap. 10, con il documento CIA, Mackenzie e Barrera) e il versante vaticano (Cap. 12). I dossier più poveri, che è preferibile mantenere brevi dichiarandone lo Stato Zero, sono la NATO (Cap. 5) e — decisivo per la tesi complessiva — la triangolazione diretta Moro-ministri spagnoli (Cap. 11), che resta non documentata e va onestamente presentata come tale.</w:t>
      </w:r>
    </w:p>
    <w:p>
      <w:pPr>
        <w:spacing w:after="120" w:line="276"/>
        <w:jc w:val="both"/>
      </w:pPr>
      <w:r>
        <w:rPr>
          <w:rFonts w:ascii="Barlow Semi Condensed" w:cs="Barlow Semi Condensed" w:eastAsia="Barlow Semi Condensed" w:hAnsi="Barlow Semi Condensed"/>
          <w:sz w:val="24"/>
          <w:szCs w:val="24"/>
        </w:rPr>
        <w:t xml:space="preserve">Il punto epistemologicamente più delicato è quello della frase CIA sul «funzionario italiano»: il documento è autentico e citabile, ma la sua formulazione è deliberatamente anonima. Attribuirla a Moro sarebbe una sovra-interpretazione. Allo stesso modo, l'appartenenza all'Opus Dei di López Bravo e López Rodó è un fatto pubblico documentato, ma non costituisce di per sé prova di una condotta coordinata dell'ente né di un nesso con Moro. La contemporaneità cronologica dei fatti italiani e spagnoli (accordo CEE-Spagna 1970, caso MATESA, caso Añoveros 1974) va classificata come mera contemporaneità o, al più, comunanza di ambiente istituzionale cattolico, non come convergenza di obiettivo documentata.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Documenti italiani e spagnoli, e l’Opus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 5.976 parole in 9 sezioni; la più ampia è §9 Altre sezioni, con 2.473.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 63 indirizzi di fonte citati, addensati in 8 sezioni su 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XI. La triangolazione della seconda campagna</w:t>
      </w:r>
    </w:p>
    <w:p>
      <w:pPr>
        <w:pStyle w:val="Heading1"/>
        <w:spacing w:after="120" w:before="240"/>
      </w:pPr>
      <w:r>
        <w:rPr>
          <w:rFonts w:ascii="Barlow Semi Condensed" w:cs="Barlow Semi Condensed" w:eastAsia="Barlow Semi Condensed" w:hAnsi="Barlow Semi Condensed"/>
          <w:sz w:val="24"/>
          <w:szCs w:val="24"/>
        </w:rPr>
        <w:t xml:space="preserve">La triangolazione della seconda campagna</w:t>
      </w:r>
    </w:p>
    <w:p>
      <w:pPr>
        <w:pStyle w:val="Heading2"/>
        <w:spacing w:after="100" w:before="200"/>
      </w:pPr>
      <w:r>
        <w:rPr>
          <w:rFonts w:ascii="Barlow Semi Condensed" w:cs="Barlow Semi Condensed" w:eastAsia="Barlow Semi Condensed" w:hAnsi="Barlow Semi Condensed"/>
          <w:sz w:val="24"/>
          <w:szCs w:val="24"/>
        </w:rPr>
        <w:t xml:space="preserve">Le tre nuove ricognizioni della Farnesina, incrociate fra loro, col corpus e con la quadriga investigativa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di questo documento.</w:t>
      </w:r>
      <w:r>
        <w:rPr>
          <w:rFonts w:ascii="Barlow Semi Condensed" w:cs="Barlow Semi Condensed" w:eastAsia="Barlow Semi Condensed" w:hAnsi="Barlow Semi Condensed"/>
          <w:i w:val="false"/>
          <w:iCs w:val="false"/>
          <w:sz w:val="24"/>
          <w:szCs w:val="24"/>
        </w:rPr>
        <w:t xml:space="preserve"> Le tre ricognizioni pervenute il 25 agosto 2026 — </w:t>
      </w:r>
      <w:r>
        <w:rPr>
          <w:rFonts w:ascii="Barlow Semi Condensed" w:cs="Barlow Semi Condensed" w:eastAsia="Barlow Semi Condensed" w:hAnsi="Barlow Semi Condensed"/>
          <w:i w:val="false"/>
          <w:iCs w:val="false"/>
          <w:sz w:val="24"/>
          <w:szCs w:val="24"/>
        </w:rPr>
        <w:t xml:space="preserve">I documenti di Stato italiani e spagnoli e l'Opus Dei come soggetto storico</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La Santa Sede e le due Germanie con l'accertamento della sequenza Oder-Neisse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Il Portogallo e la Santa Sede</w:t>
      </w:r>
      <w:r>
        <w:rPr>
          <w:rFonts w:ascii="Barlow Semi Condensed" w:cs="Barlow Semi Condensed" w:eastAsia="Barlow Semi Condensed" w:hAnsi="Barlow Semi Condensed"/>
          <w:i w:val="false"/>
          <w:iCs w:val="false"/>
          <w:sz w:val="24"/>
          <w:szCs w:val="24"/>
        </w:rPr>
        <w:t xml:space="preserve"> — sono state archiviate integralmente in [</w:t>
      </w:r>
      <w:r>
        <w:rPr>
          <w:rFonts w:ascii="Barlow Semi Condensed" w:cs="Barlow Semi Condensed" w:eastAsia="Barlow Semi Condensed" w:hAnsi="Barlow Semi Condensed"/>
          <w:i w:val="false"/>
          <w:iCs w:val="false"/>
          <w:sz w:val="24"/>
          <w:szCs w:val="24"/>
        </w:rPr>
        <w:t xml:space="preserve">originali/</w:t>
      </w:r>
      <w:r>
        <w:rPr>
          <w:rFonts w:ascii="Barlow Semi Condensed" w:cs="Barlow Semi Condensed" w:eastAsia="Barlow Semi Condensed" w:hAnsi="Barlow Semi Condensed"/>
          <w:i w:val="false"/>
          <w:iCs w:val="false"/>
          <w:sz w:val="24"/>
          <w:szCs w:val="24"/>
        </w:rPr>
        <w:t xml:space="preserve">](originali/) e poi </w:t>
      </w:r>
      <w:r>
        <w:rPr>
          <w:rFonts w:ascii="Barlow Semi Condensed" w:cs="Barlow Semi Condensed" w:eastAsia="Barlow Semi Condensed" w:hAnsi="Barlow Semi Condensed"/>
          <w:b/>
          <w:bCs/>
          <w:i w:val="false"/>
          <w:iCs w:val="false"/>
          <w:sz w:val="24"/>
          <w:szCs w:val="24"/>
        </w:rPr>
        <w:t xml:space="preserve">triangolate in sei letture incrociate</w:t>
      </w:r>
      <w:r>
        <w:rPr>
          <w:rFonts w:ascii="Barlow Semi Condensed" w:cs="Barlow Semi Condensed" w:eastAsia="Barlow Semi Condensed" w:hAnsi="Barlow Semi Condensed"/>
          <w:i w:val="false"/>
          <w:iCs w:val="false"/>
          <w:sz w:val="24"/>
          <w:szCs w:val="24"/>
        </w:rPr>
        <w:t xml:space="preserve">: ciascuna contro il corpus della cartella, tutte e tre fra loro, e l'insieme contro i cantieri e l'agenda della quadriga investigativa. Questo documento è il verbale di quelle letture. Vi si distingue ciò che entra nel corpus come acquisizione, ciò che il corpus corregge ai documenti nuovi e ciò che i documenti nuovi correggono al corpus, ciò che resta divergente e va riportato senza sceglierlo, e ciò che resta Stato Zero. Vale la disciplina di tutta l'opera: nessuna persona indicata come responsabile di reato oltre il giudicato definitivo; l'appartenenza a un'organizzazione non è prova di una condotta dell'organizzazione; la contemporaneità non è prova di nesso; </w:t>
      </w:r>
      <w:r>
        <w:rPr>
          <w:rFonts w:ascii="Barlow Semi Condensed" w:cs="Barlow Semi Condensed" w:eastAsia="Barlow Semi Condensed" w:hAnsi="Barlow Semi Condensed"/>
          <w:b/>
          <w:bCs/>
          <w:i w:val="false"/>
          <w:iCs w:val="false"/>
          <w:sz w:val="24"/>
          <w:szCs w:val="24"/>
        </w:rPr>
        <w:t xml:space="preserve">l'esito negativo è un'acquisizione di pieno valore</w:t>
      </w:r>
      <w:r>
        <w:rPr>
          <w:rFonts w:ascii="Barlow Semi Condensed" w:cs="Barlow Semi Condensed" w:eastAsia="Barlow Semi Condensed" w:hAnsi="Barlow Semi Condensed"/>
          <w:i w:val="false"/>
          <w:iCs w:val="false"/>
          <w:sz w:val="24"/>
          <w:szCs w:val="24"/>
        </w:rPr>
        <w:t xml:space="preserve">, e come tale è registrato qui accanto a quelli positivi.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Le acquisizioni nuove</w:t>
      </w:r>
    </w:p>
    <w:p>
      <w:pPr>
        <w:spacing w:after="120" w:line="276"/>
        <w:jc w:val="both"/>
      </w:pPr>
      <w:r>
        <w:rPr>
          <w:rFonts w:ascii="Barlow Semi Condensed" w:cs="Barlow Semi Condensed" w:eastAsia="Barlow Semi Condensed" w:hAnsi="Barlow Semi Condensed"/>
          <w:b/>
          <w:bCs/>
          <w:sz w:val="24"/>
          <w:szCs w:val="24"/>
        </w:rPr>
        <w:t xml:space="preserve">Il documento CIA del 22 maggio 1970.</w:t>
      </w:r>
      <w:r>
        <w:rPr>
          <w:rFonts w:ascii="Barlow Semi Condensed" w:cs="Barlow Semi Condensed" w:eastAsia="Barlow Semi Condensed" w:hAnsi="Barlow Semi Condensed"/>
          <w:sz w:val="24"/>
          <w:szCs w:val="24"/>
        </w:rPr>
        <w:t xml:space="preserve"> Entra nel corpus una fonte primaria che non possedeva: il </w:t>
      </w:r>
      <w:r>
        <w:rPr>
          <w:rFonts w:ascii="Barlow Semi Condensed" w:cs="Barlow Semi Condensed" w:eastAsia="Barlow Semi Condensed" w:hAnsi="Barlow Semi Condensed"/>
          <w:i/>
          <w:iCs/>
          <w:sz w:val="24"/>
          <w:szCs w:val="24"/>
        </w:rPr>
        <w:t xml:space="preserve">Weekly Summary Special Report: Policies of the New Spanish Cabinet</w:t>
      </w:r>
      <w:r>
        <w:rPr>
          <w:rFonts w:ascii="Barlow Semi Condensed" w:cs="Barlow Semi Condensed" w:eastAsia="Barlow Semi Condensed" w:hAnsi="Barlow Semi Condensed"/>
          <w:sz w:val="24"/>
          <w:szCs w:val="24"/>
        </w:rPr>
        <w:t xml:space="preserve"> (protocollo CIA-RDP85T00875R001500020027-1, originariamente SECRET, declassificato), che attesta la composizione del governo spagnolo dell'ottobre 1969 con prevalenza di tecnici «members of or associated with members of» l'organizzazione confessionale. Vale integra la regola di ferro: l'appartenenza di singoli ministri a un ente è </w:t>
      </w:r>
      <w:r>
        <w:rPr>
          <w:rFonts w:ascii="Barlow Semi Condensed" w:cs="Barlow Semi Condensed" w:eastAsia="Barlow Semi Condensed" w:hAnsi="Barlow Semi Condensed"/>
          <w:b/>
          <w:bCs/>
          <w:sz w:val="24"/>
          <w:szCs w:val="24"/>
        </w:rPr>
        <w:t xml:space="preserve">fatto pubblico documentato</w:t>
      </w:r>
      <w:r>
        <w:rPr>
          <w:rFonts w:ascii="Barlow Semi Condensed" w:cs="Barlow Semi Condensed" w:eastAsia="Barlow Semi Condensed" w:hAnsi="Barlow Semi Condensed"/>
          <w:sz w:val="24"/>
          <w:szCs w:val="24"/>
        </w:rPr>
        <w:t xml:space="preserve">, non prova di una condotta dell'ente.</w:t>
      </w:r>
    </w:p>
    <w:p>
      <w:pPr>
        <w:spacing w:after="120" w:line="276"/>
        <w:jc w:val="both"/>
      </w:pPr>
      <w:r>
        <w:rPr>
          <w:rFonts w:ascii="Barlow Semi Condensed" w:cs="Barlow Semi Condensed" w:eastAsia="Barlow Semi Condensed" w:hAnsi="Barlow Semi Condensed"/>
          <w:sz w:val="24"/>
          <w:szCs w:val="24"/>
        </w:rPr>
        <w:t xml:space="preserve">Il medesimo documento contiene la frase su cui la ricognizione stessa impone la massima cautela — «an Italian official has already said his country would not be interested» al progetto franco-spagnolo di patto mediterraneo. </w:t>
      </w:r>
      <w:r>
        <w:rPr>
          <w:rFonts w:ascii="Barlow Semi Condensed" w:cs="Barlow Semi Condensed" w:eastAsia="Barlow Semi Condensed" w:hAnsi="Barlow Semi Condensed"/>
          <w:b/>
          <w:bCs/>
          <w:sz w:val="24"/>
          <w:szCs w:val="24"/>
        </w:rPr>
        <w:t xml:space="preserve">Il documento non fa nomi</w:t>
      </w:r>
      <w:r>
        <w:rPr>
          <w:rFonts w:ascii="Barlow Semi Condensed" w:cs="Barlow Semi Condensed" w:eastAsia="Barlow Semi Condensed" w:hAnsi="Barlow Semi Condensed"/>
          <w:sz w:val="24"/>
          <w:szCs w:val="24"/>
        </w:rPr>
        <w:t xml:space="preserve">: ogni identificazione del funzionario con Moro è inferenza non sostenuta, e il termine </w:t>
      </w:r>
      <w:r>
        <w:rPr>
          <w:rFonts w:ascii="Barlow Semi Condensed" w:cs="Barlow Semi Condensed" w:eastAsia="Barlow Semi Condensed" w:hAnsi="Barlow Semi Condensed"/>
          <w:i/>
          <w:iCs/>
          <w:sz w:val="24"/>
          <w:szCs w:val="24"/>
        </w:rPr>
        <w:t xml:space="preserve">official</w:t>
      </w:r>
      <w:r>
        <w:rPr>
          <w:rFonts w:ascii="Barlow Semi Condensed" w:cs="Barlow Semi Condensed" w:eastAsia="Barlow Semi Condensed" w:hAnsi="Barlow Semi Condensed"/>
          <w:sz w:val="24"/>
          <w:szCs w:val="24"/>
        </w:rPr>
        <w:t xml:space="preserve"> è indeterminato. È il punto epistemologicamente più delicato dell'intera campagna, ed è acquisito qui nella sola forma in cui è acquisibile: come frase anonima di un documento autentico.</w:t>
      </w:r>
    </w:p>
    <w:p>
      <w:pPr>
        <w:spacing w:after="120" w:line="276"/>
        <w:jc w:val="both"/>
      </w:pPr>
      <w:r>
        <w:rPr>
          <w:rFonts w:ascii="Barlow Semi Condensed" w:cs="Barlow Semi Condensed" w:eastAsia="Barlow Semi Condensed" w:hAnsi="Barlow Semi Condensed"/>
          <w:b/>
          <w:bCs/>
          <w:sz w:val="24"/>
          <w:szCs w:val="24"/>
        </w:rPr>
        <w:t xml:space="preserve">La sequenza Oder-Neisse.</w:t>
      </w:r>
      <w:r>
        <w:rPr>
          <w:rFonts w:ascii="Barlow Semi Condensed" w:cs="Barlow Semi Condensed" w:eastAsia="Barlow Semi Condensed" w:hAnsi="Barlow Semi Condensed"/>
          <w:sz w:val="24"/>
          <w:szCs w:val="24"/>
        </w:rPr>
        <w:t xml:space="preserve"> Entra per intero, ed è l'acquisizione di maggior peso: Trattato di Varsavia firmato il </w:t>
      </w:r>
      <w:r>
        <w:rPr>
          <w:rFonts w:ascii="Barlow Semi Condensed" w:cs="Barlow Semi Condensed" w:eastAsia="Barlow Semi Condensed" w:hAnsi="Barlow Semi Condensed"/>
          <w:b/>
          <w:bCs/>
          <w:sz w:val="24"/>
          <w:szCs w:val="24"/>
        </w:rPr>
        <w:t xml:space="preserve">7 dicembre 1970</w:t>
      </w:r>
      <w:r>
        <w:rPr>
          <w:rFonts w:ascii="Barlow Semi Condensed" w:cs="Barlow Semi Condensed" w:eastAsia="Barlow Semi Condensed" w:hAnsi="Barlow Semi Condensed"/>
          <w:sz w:val="24"/>
          <w:szCs w:val="24"/>
        </w:rPr>
        <w:t xml:space="preserve">; leggi di autorizzazione alla ratifica approvate dal Bundestag il </w:t>
      </w:r>
      <w:r>
        <w:rPr>
          <w:rFonts w:ascii="Barlow Semi Condensed" w:cs="Barlow Semi Condensed" w:eastAsia="Barlow Semi Condensed" w:hAnsi="Barlow Semi Condensed"/>
          <w:b/>
          <w:bCs/>
          <w:sz w:val="24"/>
          <w:szCs w:val="24"/>
        </w:rPr>
        <w:t xml:space="preserve">17 maggio 1972</w:t>
      </w:r>
      <w:r>
        <w:rPr>
          <w:rFonts w:ascii="Barlow Semi Condensed" w:cs="Barlow Semi Condensed" w:eastAsia="Barlow Semi Condensed" w:hAnsi="Barlow Semi Condensed"/>
          <w:sz w:val="24"/>
          <w:szCs w:val="24"/>
        </w:rPr>
        <w:t xml:space="preserve"> e dal Bundesrat il 19 maggio (la formula corrente «il Bundestag ratificò» è imprecisa: si veda l'apparato F-1); entrata in vigore con lo scambio degli strumenti il </w:t>
      </w:r>
      <w:r>
        <w:rPr>
          <w:rFonts w:ascii="Barlow Semi Condensed" w:cs="Barlow Semi Condensed" w:eastAsia="Barlow Semi Condensed" w:hAnsi="Barlow Semi Condensed"/>
          <w:b/>
          <w:bCs/>
          <w:sz w:val="24"/>
          <w:szCs w:val="24"/>
        </w:rPr>
        <w:t xml:space="preserve">3 giugno 1972</w:t>
      </w:r>
      <w:r>
        <w:rPr>
          <w:rFonts w:ascii="Barlow Semi Condensed" w:cs="Barlow Semi Condensed" w:eastAsia="Barlow Semi Condensed" w:hAnsi="Barlow Semi Condensed"/>
          <w:sz w:val="24"/>
          <w:szCs w:val="24"/>
        </w:rPr>
        <w:t xml:space="preserve">; costituzioni apostoliche </w:t>
      </w:r>
      <w:r>
        <w:rPr>
          <w:rFonts w:ascii="Barlow Semi Condensed" w:cs="Barlow Semi Condensed" w:eastAsia="Barlow Semi Condensed" w:hAnsi="Barlow Semi Condensed"/>
          <w:i/>
          <w:iCs/>
          <w:sz w:val="24"/>
          <w:szCs w:val="24"/>
        </w:rPr>
        <w:t xml:space="preserve">Episcoporum Poloniae coetus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Vratislaviensis-Berolinensis et aliarum</w:t>
      </w:r>
      <w:r>
        <w:rPr>
          <w:rFonts w:ascii="Barlow Semi Condensed" w:cs="Barlow Semi Condensed" w:eastAsia="Barlow Semi Condensed" w:hAnsi="Barlow Semi Condensed"/>
          <w:sz w:val="24"/>
          <w:szCs w:val="24"/>
        </w:rPr>
        <w:t xml:space="preserve"> del </w:t>
      </w:r>
      <w:r>
        <w:rPr>
          <w:rFonts w:ascii="Barlow Semi Condensed" w:cs="Barlow Semi Condensed" w:eastAsia="Barlow Semi Condensed" w:hAnsi="Barlow Semi Condensed"/>
          <w:b/>
          <w:bCs/>
          <w:sz w:val="24"/>
          <w:szCs w:val="24"/>
        </w:rPr>
        <w:t xml:space="preserve">28 giugno 1972</w:t>
      </w:r>
      <w:r>
        <w:rPr>
          <w:rFonts w:ascii="Barlow Semi Condensed" w:cs="Barlow Semi Condensed" w:eastAsia="Barlow Semi Condensed" w:hAnsi="Barlow Semi Condensed"/>
          <w:sz w:val="24"/>
          <w:szCs w:val="24"/>
        </w:rPr>
        <w:t xml:space="preserve">, venticinque giorni dopo. Il corpus conosceva la firma del trattato fra gli atti della Ostpolitik; non conosceva né la catena ratifica-vigore-atto pontificio né il versante ecclesiastico. Il nesso non è dedotto dalla prossimità delle date: è attestato dalla comunicazione vaticana di accompagnamento e dalla storiografia (Karl-Joseph Hummel), mentre </w:t>
      </w:r>
      <w:r>
        <w:rPr>
          <w:rFonts w:ascii="Barlow Semi Condensed" w:cs="Barlow Semi Condensed" w:eastAsia="Barlow Semi Condensed" w:hAnsi="Barlow Semi Condensed"/>
          <w:b/>
          <w:bCs/>
          <w:sz w:val="24"/>
          <w:szCs w:val="24"/>
        </w:rPr>
        <w:t xml:space="preserve">il testo canonico tace la ragione politica e adduce solo quella pastorale</w:t>
      </w:r>
      <w:r>
        <w:rPr>
          <w:rFonts w:ascii="Barlow Semi Condensed" w:cs="Barlow Semi Condensed" w:eastAsia="Barlow Semi Condensed" w:hAnsi="Barlow Semi Condensed"/>
          <w:sz w:val="24"/>
          <w:szCs w:val="24"/>
        </w:rPr>
        <w:t xml:space="preserve"> — distinzione che va conservata in ogni ripresa.</w:t>
      </w:r>
    </w:p>
    <w:p>
      <w:pPr>
        <w:spacing w:after="120" w:line="276"/>
        <w:jc w:val="both"/>
      </w:pPr>
      <w:r>
        <w:rPr>
          <w:rFonts w:ascii="Barlow Semi Condensed" w:cs="Barlow Semi Condensed" w:eastAsia="Barlow Semi Condensed" w:hAnsi="Barlow Semi Condensed"/>
          <w:b/>
          <w:bCs/>
          <w:sz w:val="24"/>
          <w:szCs w:val="24"/>
        </w:rPr>
        <w:t xml:space="preserve">La soluzione differenziata per la Repubblica Democratica Tedesca.</w:t>
      </w:r>
      <w:r>
        <w:rPr>
          <w:rFonts w:ascii="Barlow Semi Condensed" w:cs="Barlow Semi Condensed" w:eastAsia="Barlow Semi Condensed" w:hAnsi="Barlow Semi Condensed"/>
          <w:sz w:val="24"/>
          <w:szCs w:val="24"/>
        </w:rPr>
        <w:t xml:space="preserve"> Il 23 luglio 1973 Paolo VI nominò amministratori apostolici </w:t>
      </w:r>
      <w:r>
        <w:rPr>
          <w:rFonts w:ascii="Barlow Semi Condensed" w:cs="Barlow Semi Condensed" w:eastAsia="Barlow Semi Condensed" w:hAnsi="Barlow Semi Condensed"/>
          <w:i/>
          <w:iCs/>
          <w:sz w:val="24"/>
          <w:szCs w:val="24"/>
        </w:rPr>
        <w:t xml:space="preserve">permanenter constituti</w:t>
      </w:r>
      <w:r>
        <w:rPr>
          <w:rFonts w:ascii="Barlow Semi Condensed" w:cs="Barlow Semi Condensed" w:eastAsia="Barlow Semi Condensed" w:hAnsi="Barlow Semi Condensed"/>
          <w:sz w:val="24"/>
          <w:szCs w:val="24"/>
        </w:rPr>
        <w:t xml:space="preserve"> per Erfurt-Meiningen, Magdeburgo e Schwerin, costituiti come </w:t>
      </w:r>
      <w:r>
        <w:rPr>
          <w:rFonts w:ascii="Barlow Semi Condensed" w:cs="Barlow Semi Condensed" w:eastAsia="Barlow Semi Condensed" w:hAnsi="Barlow Semi Condensed"/>
          <w:i/>
          <w:iCs/>
          <w:sz w:val="24"/>
          <w:szCs w:val="24"/>
        </w:rPr>
        <w:t xml:space="preserve">Bischöfliche Ämter</w:t>
      </w:r>
      <w:r>
        <w:rPr>
          <w:rFonts w:ascii="Barlow Semi Condensed" w:cs="Barlow Semi Condensed" w:eastAsia="Barlow Semi Condensed" w:hAnsi="Barlow Semi Condensed"/>
          <w:sz w:val="24"/>
          <w:szCs w:val="24"/>
        </w:rPr>
        <w:t xml:space="preserve"> direttamente soggetti alla Santa Sede con </w:t>
      </w:r>
      <w:r>
        <w:rPr>
          <w:rFonts w:ascii="Barlow Semi Condensed" w:cs="Barlow Semi Condensed" w:eastAsia="Barlow Semi Condensed" w:hAnsi="Barlow Semi Condensed"/>
          <w:b/>
          <w:bCs/>
          <w:sz w:val="24"/>
          <w:szCs w:val="24"/>
        </w:rPr>
        <w:t xml:space="preserve">sospensione, non soppressione</w:t>
      </w:r>
      <w:r>
        <w:rPr>
          <w:rFonts w:ascii="Barlow Semi Condensed" w:cs="Barlow Semi Condensed" w:eastAsia="Barlow Semi Condensed" w:hAnsi="Barlow Semi Condensed"/>
          <w:sz w:val="24"/>
          <w:szCs w:val="24"/>
        </w:rPr>
        <w:t xml:space="preserve">, della giurisdizione dei vescovi occidentali: nella RDT non furono erette diocesi permanenti come in Polonia, perché la questione dell'unità tedesca restava aperta. La circoscrizione definitiva arrivò solo dopo la riunificazione, con le bolle del 27 giugno 1994.</w:t>
      </w:r>
    </w:p>
    <w:p>
      <w:pPr>
        <w:spacing w:after="120" w:line="276"/>
        <w:jc w:val="both"/>
      </w:pPr>
      <w:r>
        <w:rPr>
          <w:rFonts w:ascii="Barlow Semi Condensed" w:cs="Barlow Semi Condensed" w:eastAsia="Barlow Semi Condensed" w:hAnsi="Barlow Semi Condensed"/>
          <w:b/>
          <w:bCs/>
          <w:sz w:val="24"/>
          <w:szCs w:val="24"/>
        </w:rPr>
        <w:t xml:space="preserve">Il dossier balcanico.</w:t>
      </w:r>
      <w:r>
        <w:rPr>
          <w:rFonts w:ascii="Barlow Semi Condensed" w:cs="Barlow Semi Condensed" w:eastAsia="Barlow Semi Condensed" w:hAnsi="Barlow Semi Condensed"/>
          <w:sz w:val="24"/>
          <w:szCs w:val="24"/>
        </w:rPr>
        <w:t xml:space="preserve"> Il corpus non aveva un capitolo sulla Jugoslavia. Acquisisce ora che i negoziati riservati di Osimo si svolsero fra luglio e novembre 1974 — nella fase finale del ministero di Moro — attraverso un canale </w:t>
      </w:r>
      <w:r>
        <w:rPr>
          <w:rFonts w:ascii="Barlow Semi Condensed" w:cs="Barlow Semi Condensed" w:eastAsia="Barlow Semi Condensed" w:hAnsi="Barlow Semi Condensed"/>
          <w:b/>
          <w:bCs/>
          <w:sz w:val="24"/>
          <w:szCs w:val="24"/>
        </w:rPr>
        <w:t xml:space="preserve">esterno alla Farnesina</w:t>
      </w:r>
      <w:r>
        <w:rPr>
          <w:rFonts w:ascii="Barlow Semi Condensed" w:cs="Barlow Semi Condensed" w:eastAsia="Barlow Semi Condensed" w:hAnsi="Barlow Semi Condensed"/>
          <w:sz w:val="24"/>
          <w:szCs w:val="24"/>
        </w:rPr>
        <w:t xml:space="preserve">, e che Osimo fu «il primo accordo internazionale i cui negoziati per l'Italia non vennero curati dal Ministero degli affari esteri». La maturazione strategica in fase Moro va tenuta distinta dalla paternità politica: firma e titolarità formale (10 novembre 1975) spettarono a Rumor.</w:t>
      </w:r>
    </w:p>
    <w:p>
      <w:pPr>
        <w:spacing w:after="120" w:line="276"/>
        <w:jc w:val="both"/>
      </w:pPr>
      <w:r>
        <w:rPr>
          <w:rFonts w:ascii="Barlow Semi Condensed" w:cs="Barlow Semi Condensed" w:eastAsia="Barlow Semi Condensed" w:hAnsi="Barlow Semi Condensed"/>
          <w:b/>
          <w:bCs/>
          <w:sz w:val="24"/>
          <w:szCs w:val="24"/>
        </w:rPr>
        <w:t xml:space="preserve">Il versante portoghese, per intero.</w:t>
      </w:r>
      <w:r>
        <w:rPr>
          <w:rFonts w:ascii="Barlow Semi Condensed" w:cs="Barlow Semi Condensed" w:eastAsia="Barlow Semi Condensed" w:hAnsi="Barlow Semi Condensed"/>
          <w:sz w:val="24"/>
          <w:szCs w:val="24"/>
        </w:rPr>
        <w:t xml:space="preserve"> L'udienza di Paolo VI del </w:t>
      </w:r>
      <w:r>
        <w:rPr>
          <w:rFonts w:ascii="Barlow Semi Condensed" w:cs="Barlow Semi Condensed" w:eastAsia="Barlow Semi Condensed" w:hAnsi="Barlow Semi Condensed"/>
          <w:b/>
          <w:bCs/>
          <w:sz w:val="24"/>
          <w:szCs w:val="24"/>
        </w:rPr>
        <w:t xml:space="preserve">1° luglio 1970</w:t>
      </w:r>
      <w:r>
        <w:rPr>
          <w:rFonts w:ascii="Barlow Semi Condensed" w:cs="Barlow Semi Condensed" w:eastAsia="Barlow Semi Condensed" w:hAnsi="Barlow Semi Condensed"/>
          <w:sz w:val="24"/>
          <w:szCs w:val="24"/>
        </w:rPr>
        <w:t xml:space="preserve"> ai tre leader dei movimenti di liberazione, con l'incidente diplomatico e il richiamo dell'ambasciatore portoghese presso la Santa Sede — atto pontificio a impatto diplomatico diretto, distinto dal magistero generale. La </w:t>
      </w:r>
      <w:r>
        <w:rPr>
          <w:rFonts w:ascii="Barlow Semi Condensed" w:cs="Barlow Semi Condensed" w:eastAsia="Barlow Semi Condensed" w:hAnsi="Barlow Semi Condensed"/>
          <w:b/>
          <w:bCs/>
          <w:sz w:val="24"/>
          <w:szCs w:val="24"/>
        </w:rPr>
        <w:t xml:space="preserve">Conferenza romana del 27-29 giugno 1970</w:t>
      </w:r>
      <w:r>
        <w:rPr>
          <w:rFonts w:ascii="Barlow Semi Condensed" w:cs="Barlow Semi Condensed" w:eastAsia="Barlow Semi Condensed" w:hAnsi="Barlow Semi Condensed"/>
          <w:sz w:val="24"/>
          <w:szCs w:val="24"/>
        </w:rPr>
        <w:t xml:space="preserve">, promossa dalla sinistra e dal movimento anticolonialista, </w:t>
      </w:r>
      <w:r>
        <w:rPr>
          <w:rFonts w:ascii="Barlow Semi Condensed" w:cs="Barlow Semi Condensed" w:eastAsia="Barlow Semi Condensed" w:hAnsi="Barlow Semi Condensed"/>
          <w:b/>
          <w:bCs/>
          <w:sz w:val="24"/>
          <w:szCs w:val="24"/>
        </w:rPr>
        <w:t xml:space="preserve">senza patrocinio né obiezione del governo italiano</w:t>
      </w:r>
      <w:r>
        <w:rPr>
          <w:rFonts w:ascii="Barlow Semi Condensed" w:cs="Barlow Semi Condensed" w:eastAsia="Barlow Semi Condensed" w:hAnsi="Barlow Semi Condensed"/>
          <w:sz w:val="24"/>
          <w:szCs w:val="24"/>
        </w:rPr>
        <w:t xml:space="preserve">. Il ruolo di Reggio Emilia: il gemellaggio ospedaliero del 1970, la Conferenza nazionale del marzo 1973, e la delegazione reggiana che rappresentò lo Stato italiano alla cerimonia dell'indipendenza del Mozambico il 25 giugno 1975. </w:t>
      </w:r>
      <w:r>
        <w:rPr>
          <w:rFonts w:ascii="Barlow Semi Condensed" w:cs="Barlow Semi Condensed" w:eastAsia="Barlow Semi Condensed" w:hAnsi="Barlow Semi Condensed"/>
          <w:b/>
          <w:bCs/>
          <w:sz w:val="24"/>
          <w:szCs w:val="24"/>
        </w:rPr>
        <w:t xml:space="preserve">Wiriyamu</w:t>
      </w:r>
      <w:r>
        <w:rPr>
          <w:rFonts w:ascii="Barlow Semi Condensed" w:cs="Barlow Semi Condensed" w:eastAsia="Barlow Semi Condensed" w:hAnsi="Barlow Semi Condensed"/>
          <w:sz w:val="24"/>
          <w:szCs w:val="24"/>
        </w:rPr>
        <w:t xml:space="preserve"> (16 dicembre 1972) con la denuncia missionaria e l'articolo sul </w:t>
      </w:r>
      <w:r>
        <w:rPr>
          <w:rFonts w:ascii="Barlow Semi Condensed" w:cs="Barlow Semi Condensed" w:eastAsia="Barlow Semi Condensed" w:hAnsi="Barlow Semi Condensed"/>
          <w:i/>
          <w:iCs/>
          <w:sz w:val="24"/>
          <w:szCs w:val="24"/>
        </w:rPr>
        <w:t xml:space="preserve">Times</w:t>
      </w:r>
      <w:r>
        <w:rPr>
          <w:rFonts w:ascii="Barlow Semi Condensed" w:cs="Barlow Semi Condensed" w:eastAsia="Barlow Semi Condensed" w:hAnsi="Barlow Semi Condensed"/>
          <w:sz w:val="24"/>
          <w:szCs w:val="24"/>
        </w:rPr>
        <w:t xml:space="preserve"> del 10 luglio 1973. I </w:t>
      </w:r>
      <w:r>
        <w:rPr>
          <w:rFonts w:ascii="Barlow Semi Condensed" w:cs="Barlow Semi Condensed" w:eastAsia="Barlow Semi Condensed" w:hAnsi="Barlow Semi Condensed"/>
          <w:b/>
          <w:bCs/>
          <w:sz w:val="24"/>
          <w:szCs w:val="24"/>
        </w:rPr>
        <w:t xml:space="preserve">Padri Bianchi</w:t>
      </w:r>
      <w:r>
        <w:rPr>
          <w:rFonts w:ascii="Barlow Semi Condensed" w:cs="Barlow Semi Condensed" w:eastAsia="Barlow Semi Condensed" w:hAnsi="Barlow Semi Condensed"/>
          <w:sz w:val="24"/>
          <w:szCs w:val="24"/>
        </w:rPr>
        <w:t xml:space="preserve"> che nel maggio 1971 lasciarono Beira e Tete — quarantotto secondo una singola fonte enciclopedica, cifra che diverge da quella della congregazione stessa e va citata con la sua provenienza —, e il fatto che l'autore della denuncia di Wiriyamu appartenesse al medesimo istituto — il che lega ritiro e denuncia a un ambiente missionario determinato, </w:t>
      </w:r>
      <w:r>
        <w:rPr>
          <w:rFonts w:ascii="Barlow Semi Condensed" w:cs="Barlow Semi Condensed" w:eastAsia="Barlow Semi Condensed" w:hAnsi="Barlow Semi Condensed"/>
          <w:b/>
          <w:bCs/>
          <w:sz w:val="24"/>
          <w:szCs w:val="24"/>
        </w:rPr>
        <w:t xml:space="preserve">non alla Santa Sede come istituzione monolitica</w:t>
      </w:r>
      <w:r>
        <w:rPr>
          <w:rFonts w:ascii="Barlow Semi Condensed" w:cs="Barlow Semi Condensed" w:eastAsia="Barlow Semi Condensed" w:hAnsi="Barlow Semi Condensed"/>
          <w:sz w:val="24"/>
          <w:szCs w:val="24"/>
        </w:rPr>
        <w:t xml:space="preserve">. L'</w:t>
      </w:r>
      <w:r>
        <w:rPr>
          <w:rFonts w:ascii="Barlow Semi Condensed" w:cs="Barlow Semi Condensed" w:eastAsia="Barlow Semi Condensed" w:hAnsi="Barlow Semi Condensed"/>
          <w:b/>
          <w:bCs/>
          <w:sz w:val="24"/>
          <w:szCs w:val="24"/>
        </w:rPr>
        <w:t xml:space="preserve">espulsione dell'aprile 1974</w:t>
      </w:r>
      <w:r>
        <w:rPr>
          <w:rFonts w:ascii="Barlow Semi Condensed" w:cs="Barlow Semi Condensed" w:eastAsia="Barlow Semi Condensed" w:hAnsi="Barlow Semi Condensed"/>
          <w:sz w:val="24"/>
          <w:szCs w:val="24"/>
        </w:rPr>
        <w:t xml:space="preserve"> del vescovo di Nampula e dei comboniani — la data oscilla fra il 10 e il 14 aprile secondo le fonti, si veda l'apparato F-3 — con i nomi degli undici, il testo dell'ordine trascritto in un diario e gli interrogatori della polizia politica: i nominati sono </w:t>
      </w:r>
      <w:r>
        <w:rPr>
          <w:rFonts w:ascii="Barlow Semi Condensed" w:cs="Barlow Semi Condensed" w:eastAsia="Barlow Semi Condensed" w:hAnsi="Barlow Semi Condensed"/>
          <w:b/>
          <w:bCs/>
          <w:sz w:val="24"/>
          <w:szCs w:val="24"/>
        </w:rPr>
        <w:t xml:space="preserve">destinatari di un provvedimento</w:t>
      </w:r>
      <w:r>
        <w:rPr>
          <w:rFonts w:ascii="Barlow Semi Condensed" w:cs="Barlow Semi Condensed" w:eastAsia="Barlow Semi Condensed" w:hAnsi="Barlow Semi Condensed"/>
          <w:sz w:val="24"/>
          <w:szCs w:val="24"/>
        </w:rPr>
        <w:t xml:space="preserve">, non indicati come responsabili di alcunché.</w:t>
      </w:r>
    </w:p>
    <w:p>
      <w:pPr>
        <w:spacing w:after="120" w:line="276"/>
        <w:jc w:val="both"/>
      </w:pPr>
      <w:r>
        <w:rPr>
          <w:rFonts w:ascii="Barlow Semi Condensed" w:cs="Barlow Semi Condensed" w:eastAsia="Barlow Semi Condensed" w:hAnsi="Barlow Semi Condensed"/>
          <w:b/>
          <w:bCs/>
          <w:sz w:val="24"/>
          <w:szCs w:val="24"/>
        </w:rPr>
        <w:t xml:space="preserve">Il canale Pignedoli.</w:t>
      </w:r>
      <w:r>
        <w:rPr>
          <w:rFonts w:ascii="Barlow Semi Condensed" w:cs="Barlow Semi Condensed" w:eastAsia="Barlow Semi Condensed" w:hAnsi="Barlow Semi Condensed"/>
          <w:sz w:val="24"/>
          <w:szCs w:val="24"/>
        </w:rPr>
        <w:t xml:space="preserve"> Acquisizione di un solo documento su tre: il canale del cardinale Sergio Pignedoli nel sequestro Sossi (aprile-maggio 1974), qualificato come rapporto Stato-Vaticano in materia di terrorismo e non come elemento di triangolazione spagnola. Nessun riscontro incrociato interno è possibile; nessuna contraddizione emerge.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correzioni, nei due sensi</w:t>
      </w:r>
    </w:p>
    <w:p>
      <w:pPr>
        <w:spacing w:after="120" w:line="276"/>
        <w:jc w:val="both"/>
      </w:pPr>
      <w:r>
        <w:rPr>
          <w:rFonts w:ascii="Barlow Semi Condensed" w:cs="Barlow Semi Condensed" w:eastAsia="Barlow Semi Condensed" w:hAnsi="Barlow Semi Condensed"/>
          <w:sz w:val="24"/>
          <w:szCs w:val="24"/>
        </w:rPr>
        <w:t xml:space="preserve">La triangolazione non è servita solo a incamerare. In sei punti ha corretto, e </w:t>
      </w:r>
      <w:r>
        <w:rPr>
          <w:rFonts w:ascii="Barlow Semi Condensed" w:cs="Barlow Semi Condensed" w:eastAsia="Barlow Semi Condensed" w:hAnsi="Barlow Semi Condensed"/>
          <w:b/>
          <w:bCs/>
          <w:sz w:val="24"/>
          <w:szCs w:val="24"/>
        </w:rPr>
        <w:t xml:space="preserve">due volte la correzione è andata dal corpus verso i documenti nuovi</w:t>
      </w:r>
      <w:r>
        <w:rPr>
          <w:rFonts w:ascii="Barlow Semi Condensed" w:cs="Barlow Semi Condensed" w:eastAsia="Barlow Semi Condensed" w:hAnsi="Barlow Semi Condensed"/>
          <w:sz w:val="24"/>
          <w:szCs w:val="24"/>
        </w:rPr>
        <w:t xml:space="preserve">: è il segno che il corpus, dove è stato costruito bene, regge.</w:t>
      </w:r>
    </w:p>
    <w:p>
      <w:pPr>
        <w:spacing w:after="120" w:line="276"/>
        <w:jc w:val="both"/>
      </w:pPr>
      <w:r>
        <w:rPr>
          <w:rFonts w:ascii="Barlow Semi Condensed" w:cs="Barlow Semi Condensed" w:eastAsia="Barlow Semi Condensed" w:hAnsi="Barlow Semi Condensed"/>
          <w:b/>
          <w:bCs/>
          <w:sz w:val="24"/>
          <w:szCs w:val="24"/>
        </w:rPr>
        <w:t xml:space="preserve">Il corpus corregge — Libia, ottobre 1970.</w:t>
      </w:r>
      <w:r>
        <w:rPr>
          <w:rFonts w:ascii="Barlow Semi Condensed" w:cs="Barlow Semi Condensed" w:eastAsia="Barlow Semi Condensed" w:hAnsi="Barlow Semi Condensed"/>
          <w:sz w:val="24"/>
          <w:szCs w:val="24"/>
        </w:rPr>
        <w:t xml:space="preserve"> La ricognizione nuova dichiara di non aver trovato riscontro sull'ultimatum e sul traghettamento. Il corpus il riscontro lo aveva già: il traghettamento di oltre diciassettemila italiani finì il </w:t>
      </w:r>
      <w:r>
        <w:rPr>
          <w:rFonts w:ascii="Barlow Semi Condensed" w:cs="Barlow Semi Condensed" w:eastAsia="Barlow Semi Condensed" w:hAnsi="Barlow Semi Condensed"/>
          <w:b/>
          <w:bCs/>
          <w:sz w:val="24"/>
          <w:szCs w:val="24"/>
        </w:rPr>
        <w:t xml:space="preserve">15 ottobre 1970</w:t>
      </w:r>
      <w:r>
        <w:rPr>
          <w:rFonts w:ascii="Barlow Semi Condensed" w:cs="Barlow Semi Condensed" w:eastAsia="Barlow Semi Condensed" w:hAnsi="Barlow Semi Condensed"/>
          <w:sz w:val="24"/>
          <w:szCs w:val="24"/>
        </w:rPr>
        <w:t xml:space="preserve">, otto giorni dopo l'ultimatum del 7 ottobre, data poi celebrata dal regime libico come «Giornata della vendetta». La lacuna dichiarata è colmabile con materiale già acquisito.</w:t>
      </w:r>
    </w:p>
    <w:p>
      <w:pPr>
        <w:spacing w:after="120" w:line="276"/>
        <w:jc w:val="both"/>
      </w:pPr>
      <w:r>
        <w:rPr>
          <w:rFonts w:ascii="Barlow Semi Condensed" w:cs="Barlow Semi Condensed" w:eastAsia="Barlow Semi Condensed" w:hAnsi="Barlow Semi Condensed"/>
          <w:b/>
          <w:bCs/>
          <w:sz w:val="24"/>
          <w:szCs w:val="24"/>
        </w:rPr>
        <w:t xml:space="preserve">Il corpus corregge — l'incontro Moro-Brandt.</w:t>
      </w:r>
      <w:r>
        <w:rPr>
          <w:rFonts w:ascii="Barlow Semi Condensed" w:cs="Barlow Semi Condensed" w:eastAsia="Barlow Semi Condensed" w:hAnsi="Barlow Semi Condensed"/>
          <w:sz w:val="24"/>
          <w:szCs w:val="24"/>
        </w:rPr>
        <w:t xml:space="preserve"> La ricognizione nuova registra fra i propri esiti negativi che gli incontri Moro-Brandt «non sono emersi dalle fonti edite». Il corpus documenta invece, sulla cronologia ufficiale della fondazione intitolata al cancelliere, un </w:t>
      </w:r>
      <w:r>
        <w:rPr>
          <w:rFonts w:ascii="Barlow Semi Condensed" w:cs="Barlow Semi Condensed" w:eastAsia="Barlow Semi Condensed" w:hAnsi="Barlow Semi Condensed"/>
          <w:b/>
          <w:bCs/>
          <w:sz w:val="24"/>
          <w:szCs w:val="24"/>
        </w:rPr>
        <w:t xml:space="preserve">bilaterale a Roma del 31 agosto-1° settembre 1969</w:t>
      </w:r>
      <w:r>
        <w:rPr>
          <w:rFonts w:ascii="Barlow Semi Condensed" w:cs="Barlow Semi Condensed" w:eastAsia="Barlow Semi Condensed" w:hAnsi="Barlow Semi Condensed"/>
          <w:sz w:val="24"/>
          <w:szCs w:val="24"/>
        </w:rPr>
        <w:t xml:space="preserve">, quando entrambi erano ministri degli Esteri e sette settimane prima che Brandt divenisse cancelliere. L'esito negativo si chiude parzialmente; restano aperti gli incontri del periodo di cancellierato.</w:t>
      </w:r>
    </w:p>
    <w:p>
      <w:pPr>
        <w:spacing w:after="120" w:line="276"/>
        <w:jc w:val="both"/>
      </w:pPr>
      <w:r>
        <w:rPr>
          <w:rFonts w:ascii="Barlow Semi Condensed" w:cs="Barlow Semi Condensed" w:eastAsia="Barlow Semi Condensed" w:hAnsi="Barlow Semi Condensed"/>
          <w:b/>
          <w:bCs/>
          <w:sz w:val="24"/>
          <w:szCs w:val="24"/>
        </w:rPr>
        <w:t xml:space="preserve">I documenti nuovi correggono — la data di una morte.</w:t>
      </w:r>
      <w:r>
        <w:rPr>
          <w:rFonts w:ascii="Barlow Semi Condensed" w:cs="Barlow Semi Condensed" w:eastAsia="Barlow Semi Condensed" w:hAnsi="Barlow Semi Condensed"/>
          <w:sz w:val="24"/>
          <w:szCs w:val="24"/>
        </w:rPr>
        <w:t xml:space="preserve"> La data indicata in premessa per l'uccisione a Düsseldorf del militante della RAF Willy Peter Stoll (11 settembre 1978) è errata: le fonti biografiche tedesche e la stampa locale accertano la sera del </w:t>
      </w:r>
      <w:r>
        <w:rPr>
          <w:rFonts w:ascii="Barlow Semi Condensed" w:cs="Barlow Semi Condensed" w:eastAsia="Barlow Semi Condensed" w:hAnsi="Barlow Semi Condensed"/>
          <w:b/>
          <w:bCs/>
          <w:sz w:val="24"/>
          <w:szCs w:val="24"/>
        </w:rPr>
        <w:t xml:space="preserve">6 settembre 1978</w:t>
      </w:r>
      <w:r>
        <w:rPr>
          <w:rFonts w:ascii="Barlow Semi Condensed" w:cs="Barlow Semi Condensed" w:eastAsia="Barlow Semi Condensed" w:hAnsi="Barlow Semi Condensed"/>
          <w:sz w:val="24"/>
          <w:szCs w:val="24"/>
        </w:rPr>
        <w:t xml:space="preserve">. La divergenza è dichiarata e risolta.</w:t>
      </w:r>
    </w:p>
    <w:p>
      <w:pPr>
        <w:spacing w:after="120" w:line="276"/>
        <w:jc w:val="both"/>
      </w:pPr>
      <w:r>
        <w:rPr>
          <w:rFonts w:ascii="Barlow Semi Condensed" w:cs="Barlow Semi Condensed" w:eastAsia="Barlow Semi Condensed" w:hAnsi="Barlow Semi Condensed"/>
          <w:b/>
          <w:bCs/>
          <w:sz w:val="24"/>
          <w:szCs w:val="24"/>
        </w:rPr>
        <w:t xml:space="preserve">I documenti nuovi correggono — un anacronismo.</w:t>
      </w:r>
      <w:r>
        <w:rPr>
          <w:rFonts w:ascii="Barlow Semi Condensed" w:cs="Barlow Semi Condensed" w:eastAsia="Barlow Semi Condensed" w:hAnsi="Barlow Semi Condensed"/>
          <w:sz w:val="24"/>
          <w:szCs w:val="24"/>
        </w:rPr>
        <w:t xml:space="preserve"> La domanda sulla «reazione della Spagna franchista» al sequestro Moro del 1978 è mal posta: nel 1978 la Spagna non era più franchista — Franco morì il 20 novembre 1975 — ma in piena Transizione democratica. Il corpus registrava l'esito negativo senza rilevare l'anacronismo; la premessa va riformulata prima di cercare.</w:t>
      </w:r>
    </w:p>
    <w:p>
      <w:pPr>
        <w:spacing w:after="120" w:line="276"/>
        <w:jc w:val="both"/>
      </w:pPr>
      <w:r>
        <w:rPr>
          <w:rFonts w:ascii="Barlow Semi Condensed" w:cs="Barlow Semi Condensed" w:eastAsia="Barlow Semi Condensed" w:hAnsi="Barlow Semi Condensed"/>
          <w:b/>
          <w:bCs/>
          <w:sz w:val="24"/>
          <w:szCs w:val="24"/>
        </w:rPr>
        <w:t xml:space="preserve">La verifica corregge — la fine del primo mandato, e con essa il governo in carica.</w:t>
      </w:r>
      <w:r>
        <w:rPr>
          <w:rFonts w:ascii="Barlow Semi Condensed" w:cs="Barlow Semi Condensed" w:eastAsia="Barlow Semi Condensed" w:hAnsi="Barlow Semi Condensed"/>
          <w:sz w:val="24"/>
          <w:szCs w:val="24"/>
        </w:rPr>
        <w:t xml:space="preserve"> Una delle divergenze che i documenti nuovi lasciavano aperta si chiude in verifica, e la chiusura ha una conseguenza. La data corretta è il </w:t>
      </w:r>
      <w:r>
        <w:rPr>
          <w:rFonts w:ascii="Barlow Semi Condensed" w:cs="Barlow Semi Condensed" w:eastAsia="Barlow Semi Condensed" w:hAnsi="Barlow Semi Condensed"/>
          <w:b/>
          <w:bCs/>
          <w:sz w:val="24"/>
          <w:szCs w:val="24"/>
        </w:rPr>
        <w:t xml:space="preserve">26 giugno 1972</w:t>
      </w:r>
      <w:r>
        <w:rPr>
          <w:rFonts w:ascii="Barlow Semi Condensed" w:cs="Barlow Semi Condensed" w:eastAsia="Barlow Semi Condensed" w:hAnsi="Barlow Semi Condensed"/>
          <w:sz w:val="24"/>
          <w:szCs w:val="24"/>
        </w:rPr>
        <w:t xml:space="preserve">: il primo governo Andreotti cessa quel giorno, col giuramento del secondo, nel quale la Farnesina passa a Giuseppe Medici — sicché il mandato di Moro </w:t>
      </w:r>
      <w:r>
        <w:rPr>
          <w:rFonts w:ascii="Barlow Semi Condensed" w:cs="Barlow Semi Condensed" w:eastAsia="Barlow Semi Condensed" w:hAnsi="Barlow Semi Condensed"/>
          <w:b/>
          <w:bCs/>
          <w:sz w:val="24"/>
          <w:szCs w:val="24"/>
        </w:rPr>
        <w:t xml:space="preserve">non può proseguire fino al 29 luglio</w:t>
      </w:r>
      <w:r>
        <w:rPr>
          <w:rFonts w:ascii="Barlow Semi Condensed" w:cs="Barlow Semi Condensed" w:eastAsia="Barlow Semi Condensed" w:hAnsi="Barlow Semi Condensed"/>
          <w:sz w:val="24"/>
          <w:szCs w:val="24"/>
        </w:rPr>
        <w:t xml:space="preserve">, e l'indicazione discordante cade. Ne segue che il governo in carica il 28 giugno 1972, giorno delle costituzioni apostoliche, era il </w:t>
      </w:r>
      <w:r>
        <w:rPr>
          <w:rFonts w:ascii="Barlow Semi Condensed" w:cs="Barlow Semi Condensed" w:eastAsia="Barlow Semi Condensed" w:hAnsi="Barlow Semi Condensed"/>
          <w:b/>
          <w:bCs/>
          <w:sz w:val="24"/>
          <w:szCs w:val="24"/>
        </w:rPr>
        <w:t xml:space="preserve">secondo</w:t>
      </w:r>
      <w:r>
        <w:rPr>
          <w:rFonts w:ascii="Barlow Semi Condensed" w:cs="Barlow Semi Condensed" w:eastAsia="Barlow Semi Condensed" w:hAnsi="Barlow Semi Condensed"/>
          <w:sz w:val="24"/>
          <w:szCs w:val="24"/>
        </w:rPr>
        <w:t xml:space="preserve"> governo Andreotti e non il primo: l'indicazione contraria di una delle ricognizioni è corretta dalla cronologia istituzionale, che il corpus adottava già. È ininfluente sulla sequenza Oder-Neisse — l'atto pontificio cade comunque a ridosso della fine del primo mandato di Moro — ma va emendata dove compare.</w:t>
      </w:r>
    </w:p>
    <w:p>
      <w:pPr>
        <w:spacing w:after="120" w:line="276"/>
        <w:jc w:val="both"/>
      </w:pPr>
      <w:r>
        <w:rPr>
          <w:rFonts w:ascii="Barlow Semi Condensed" w:cs="Barlow Semi Condensed" w:eastAsia="Barlow Semi Condensed" w:hAnsi="Barlow Semi Condensed"/>
          <w:b/>
          <w:bCs/>
          <w:sz w:val="24"/>
          <w:szCs w:val="24"/>
        </w:rPr>
        <w:t xml:space="preserve">I documenti nuovi precisano — il Trattato di non proliferazione.</w:t>
      </w:r>
      <w:r>
        <w:rPr>
          <w:rFonts w:ascii="Barlow Semi Condensed" w:cs="Barlow Semi Condensed" w:eastAsia="Barlow Semi Condensed" w:hAnsi="Barlow Semi Condensed"/>
          <w:sz w:val="24"/>
          <w:szCs w:val="24"/>
        </w:rPr>
        <w:t xml:space="preserve"> L'Italia firmò il TNP il </w:t>
      </w:r>
      <w:r>
        <w:rPr>
          <w:rFonts w:ascii="Barlow Semi Condensed" w:cs="Barlow Semi Condensed" w:eastAsia="Barlow Semi Condensed" w:hAnsi="Barlow Semi Condensed"/>
          <w:b/>
          <w:bCs/>
          <w:sz w:val="24"/>
          <w:szCs w:val="24"/>
        </w:rPr>
        <w:t xml:space="preserve">28 gennaio 1969</w:t>
      </w:r>
      <w:r>
        <w:rPr>
          <w:rFonts w:ascii="Barlow Semi Condensed" w:cs="Barlow Semi Condensed" w:eastAsia="Barlow Semi Condensed" w:hAnsi="Barlow Semi Condensed"/>
          <w:sz w:val="24"/>
          <w:szCs w:val="24"/>
        </w:rPr>
        <w:t xml:space="preserve">, non nel 1968 (anno di apertura alla firma), e ratificò con legge 24 aprile 1975 n. 131. La data anteriore all'insediamento di Moro alla Farnesina (5 agosto 1969) va recepita per evitare attribuzioni cronologicamente imprecise.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Le divergenze che restano aperte</w:t>
      </w:r>
    </w:p>
    <w:p>
      <w:pPr>
        <w:spacing w:after="120" w:line="276"/>
        <w:jc w:val="both"/>
      </w:pPr>
      <w:r>
        <w:rPr>
          <w:rFonts w:ascii="Barlow Semi Condensed" w:cs="Barlow Semi Condensed" w:eastAsia="Barlow Semi Condensed" w:hAnsi="Barlow Semi Condensed"/>
          <w:sz w:val="24"/>
          <w:szCs w:val="24"/>
        </w:rPr>
        <w:t xml:space="preserve">Vale la quarta regola del metodo: </w:t>
      </w:r>
      <w:r>
        <w:rPr>
          <w:rFonts w:ascii="Barlow Semi Condensed" w:cs="Barlow Semi Condensed" w:eastAsia="Barlow Semi Condensed" w:hAnsi="Barlow Semi Condensed"/>
          <w:b/>
          <w:bCs/>
          <w:sz w:val="24"/>
          <w:szCs w:val="24"/>
        </w:rPr>
        <w:t xml:space="preserve">dove le fonti divergono, la divergenza si riporta e non si sceglie in silenzio.</w:t>
      </w:r>
      <w:r>
        <w:rPr>
          <w:rFonts w:ascii="Barlow Semi Condensed" w:cs="Barlow Semi Condensed" w:eastAsia="Barlow Semi Condensed" w:hAnsi="Barlow Semi Condensed"/>
          <w:sz w:val="24"/>
          <w:szCs w:val="24"/>
        </w:rPr>
        <w:t xml:space="preserve"> Restano aperte, e vanno riportate ogni volta che la materia è ripresa: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Oggetto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Le versioni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Beni italiani confiscati in Libia (21 luglio 1970)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«200 miliardi di lire del 1970» (RAI News) · «circa 400 miliardi» (già nel corpus) · quasi 6 miliardi di euro rivalutati (stima dell'associazione dei rimpatriati) — le prime due divergono a parità di anno; la terza </w:t>
            </w:r>
            <w:r>
              <w:rPr>
                <w:rFonts w:ascii="Barlow Semi Condensed" w:cs="Barlow Semi Condensed" w:eastAsia="Barlow Semi Condensed" w:hAnsi="Barlow Semi Condensed"/>
                <w:b/>
                <w:bCs/>
                <w:sz w:val="20"/>
                <w:szCs w:val="20"/>
              </w:rPr>
              <w:t xml:space="preserve">non è omogenea</w:t>
            </w:r>
            <w:r>
              <w:rPr>
                <w:rFonts w:ascii="Barlow Semi Condensed" w:cs="Barlow Semi Condensed" w:eastAsia="Barlow Semi Condensed" w:hAnsi="Barlow Semi Condensed"/>
                <w:sz w:val="20"/>
                <w:szCs w:val="20"/>
              </w:rPr>
              <w:t xml:space="preserve"> alle altre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Riconoscimento italiano della Repubblica Democratica Tedesca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17 gennaio 1973 (fonti italiane, adottata dal corpus) · </w:t>
            </w:r>
            <w:r>
              <w:rPr>
                <w:rFonts w:ascii="Barlow Semi Condensed" w:cs="Barlow Semi Condensed" w:eastAsia="Barlow Semi Condensed" w:hAnsi="Barlow Semi Condensed"/>
                <w:b/>
                <w:bCs/>
                <w:sz w:val="20"/>
                <w:szCs w:val="20"/>
              </w:rPr>
              <w:t xml:space="preserve">18 gennaio 1973</w:t>
            </w:r>
            <w:r>
              <w:rPr>
                <w:rFonts w:ascii="Barlow Semi Condensed" w:cs="Barlow Semi Condensed" w:eastAsia="Barlow Semi Condensed" w:hAnsi="Barlow Semi Condensed"/>
                <w:sz w:val="20"/>
                <w:szCs w:val="20"/>
              </w:rPr>
              <w:t xml:space="preserve"> (fonte istituzionale tedesca): divergenza emersa in verifica, da riportare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Vittime di Wiriyamu</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150 (Croce Rossa) · 300 (</w:t>
            </w:r>
            <w:r>
              <w:rPr>
                <w:rFonts w:ascii="Barlow Semi Condensed" w:cs="Barlow Semi Condensed" w:eastAsia="Barlow Semi Condensed" w:hAnsi="Barlow Semi Condensed"/>
                <w:i/>
                <w:iCs/>
                <w:sz w:val="20"/>
                <w:szCs w:val="20"/>
              </w:rPr>
              <w:t xml:space="preserve">Expresso</w:t>
            </w:r>
            <w:r>
              <w:rPr>
                <w:rFonts w:ascii="Barlow Semi Condensed" w:cs="Barlow Semi Condensed" w:eastAsia="Barlow Semi Condensed" w:hAnsi="Barlow Semi Condensed"/>
                <w:sz w:val="20"/>
                <w:szCs w:val="20"/>
              </w:rPr>
              <w:t xml:space="preserve">) · almeno 385 · 400 con 177 identificati per nome (Dhada)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Espulsi dell'aprile 1974</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undici (schede comboniane) · tredici (Franzelli), riconciliati in </w:t>
            </w:r>
            <w:r>
              <w:rPr>
                <w:rFonts w:ascii="Barlow Semi Condensed" w:cs="Barlow Semi Condensed" w:eastAsia="Barlow Semi Condensed" w:hAnsi="Barlow Semi Condensed"/>
                <w:b/>
                <w:bCs/>
                <w:sz w:val="20"/>
                <w:szCs w:val="20"/>
              </w:rPr>
              <w:t xml:space="preserve">undici da Nampula più due da Tete</w:t>
            </w:r>
            <w:r>
              <w:rPr>
                <w:rFonts w:ascii="Barlow Semi Condensed" w:cs="Barlow Semi Condensed" w:eastAsia="Barlow Semi Condensed" w:hAnsi="Barlow Semi Condensed"/>
                <w:sz w:val="20"/>
                <w:szCs w:val="20"/>
              </w:rPr>
              <w:t xml:space="preserve">; data 12, 13 o 14 aprile, con il 13 (Sabato Santo) più ricorrente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Riconoscimento della Cina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comunicato pubblicato il 5 o il 6 novembre 1970; conclusione del negoziato talora datata al 6 ottobre 1970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Serpente monetario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primi provvedimenti 21 marzo 1972 · accordo di Basilea 10 o 24 aprile 1972; </w:t>
            </w:r>
            <w:r>
              <w:rPr>
                <w:rFonts w:ascii="Barlow Semi Condensed" w:cs="Barlow Semi Condensed" w:eastAsia="Barlow Semi Condensed" w:hAnsi="Barlow Semi Condensed"/>
                <w:b/>
                <w:bCs/>
                <w:sz w:val="20"/>
                <w:szCs w:val="20"/>
              </w:rPr>
              <w:t xml:space="preserve">concorde</w:t>
            </w:r>
            <w:r>
              <w:rPr>
                <w:rFonts w:ascii="Barlow Semi Condensed" w:cs="Barlow Semi Condensed" w:eastAsia="Barlow Semi Condensed" w:hAnsi="Barlow Semi Condensed"/>
                <w:sz w:val="20"/>
                <w:szCs w:val="20"/>
              </w:rPr>
              <w:t xml:space="preserve"> l'uscita della lira il 13 febbraio 1973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Conferenza di solidarietà di Reggio Emilia (1973)</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23-26 marzo (inventario IBC) · 24-25 marzo (Fondo Zagari)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Paginazione del saggio di Guido Levi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pp. 69-101 · pp. 69-102 — stessa citazione testuale, stessa fonte: da chiudere sul fascicolo originale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Un'avvertenza di omonimia</w:t>
      </w:r>
      <w:r>
        <w:rPr>
          <w:rFonts w:ascii="Barlow Semi Condensed" w:cs="Barlow Semi Condensed" w:eastAsia="Barlow Semi Condensed" w:hAnsi="Barlow Semi Condensed"/>
          <w:sz w:val="24"/>
          <w:szCs w:val="24"/>
        </w:rPr>
        <w:t xml:space="preserve">, emersa dall'incrocio e da conservare: il Jorge Jardim incaricato dell'inchiesta portoghese su Wiriyamu e il Jorge Jardim Gonçalves citato altrove nella cartella </w:t>
      </w:r>
      <w:r>
        <w:rPr>
          <w:rFonts w:ascii="Barlow Semi Condensed" w:cs="Barlow Semi Condensed" w:eastAsia="Barlow Semi Condensed" w:hAnsi="Barlow Semi Condensed"/>
          <w:b/>
          <w:bCs/>
          <w:sz w:val="24"/>
          <w:szCs w:val="24"/>
        </w:rPr>
        <w:t xml:space="preserve">sono persone distinte</w:t>
      </w:r>
      <w:r>
        <w:rPr>
          <w:rFonts w:ascii="Barlow Semi Condensed" w:cs="Barlow Semi Condensed" w:eastAsia="Barlow Semi Condensed" w:hAnsi="Barlow Semi Condensed"/>
          <w:sz w:val="24"/>
          <w:szCs w:val="24"/>
        </w:rPr>
        <w:t xml:space="preserve"> e non vanno confusi in future sintesi.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Gli Stati Zero: condivisi, chiusi, e uno che resta</w:t>
      </w:r>
    </w:p>
    <w:p>
      <w:pPr>
        <w:spacing w:after="120" w:line="276"/>
        <w:jc w:val="both"/>
      </w:pPr>
      <w:r>
        <w:rPr>
          <w:rFonts w:ascii="Barlow Semi Condensed" w:cs="Barlow Semi Condensed" w:eastAsia="Barlow Semi Condensed" w:hAnsi="Barlow Semi Condensed"/>
          <w:b/>
          <w:bCs/>
          <w:sz w:val="24"/>
          <w:szCs w:val="24"/>
        </w:rPr>
        <w:t xml:space="preserve">Condivisi</w:t>
      </w:r>
      <w:r>
        <w:rPr>
          <w:rFonts w:ascii="Barlow Semi Condensed" w:cs="Barlow Semi Condensed" w:eastAsia="Barlow Semi Condensed" w:hAnsi="Barlow Semi Condensed"/>
          <w:sz w:val="24"/>
          <w:szCs w:val="24"/>
        </w:rPr>
        <w:t xml:space="preserve">, cioè dichiarati identicamente dai documenti nuovi e dal corpus, con le stesse sedi di chiusura: il </w:t>
      </w:r>
      <w:r>
        <w:rPr>
          <w:rFonts w:ascii="Barlow Semi Condensed" w:cs="Barlow Semi Condensed" w:eastAsia="Barlow Semi Condensed" w:hAnsi="Barlow Semi Condensed"/>
          <w:b/>
          <w:bCs/>
          <w:sz w:val="24"/>
          <w:szCs w:val="24"/>
        </w:rPr>
        <w:t xml:space="preserve">contatto diretto fra Moro e i ministri degli Esteri spagnoli</w:t>
      </w:r>
      <w:r>
        <w:rPr>
          <w:rFonts w:ascii="Barlow Semi Condensed" w:cs="Barlow Semi Condensed" w:eastAsia="Barlow Semi Condensed" w:hAnsi="Barlow Semi Condensed"/>
          <w:sz w:val="24"/>
          <w:szCs w:val="24"/>
        </w:rPr>
        <w:t xml:space="preserve"> (Archivio storico-diplomatico della Farnesina; Archivo General de la Administración di Alcalá de Henares, con il limite archivistico segnalato dalla storiografia sui fondi ministeriali non consultabili); il </w:t>
      </w:r>
      <w:r>
        <w:rPr>
          <w:rFonts w:ascii="Barlow Semi Condensed" w:cs="Barlow Semi Condensed" w:eastAsia="Barlow Semi Condensed" w:hAnsi="Barlow Semi Condensed"/>
          <w:b/>
          <w:bCs/>
          <w:sz w:val="24"/>
          <w:szCs w:val="24"/>
        </w:rPr>
        <w:t xml:space="preserve">telegramma da Tunisi del 6 settembre 1970</w:t>
      </w:r>
      <w:r>
        <w:rPr>
          <w:rFonts w:ascii="Barlow Semi Condensed" w:cs="Barlow Semi Condensed" w:eastAsia="Barlow Semi Condensed" w:hAnsi="Barlow Semi Condensed"/>
          <w:sz w:val="24"/>
          <w:szCs w:val="24"/>
        </w:rPr>
        <w:t xml:space="preserve"> e la cosiddetta «operazione Hilton», entrambi privi di fonte primaria e noti al corpus solo per via memorialistica indiretta; le </w:t>
      </w:r>
      <w:r>
        <w:rPr>
          <w:rFonts w:ascii="Barlow Semi Condensed" w:cs="Barlow Semi Condensed" w:eastAsia="Barlow Semi Condensed" w:hAnsi="Barlow Semi Condensed"/>
          <w:b/>
          <w:bCs/>
          <w:sz w:val="24"/>
          <w:szCs w:val="24"/>
        </w:rPr>
        <w:t xml:space="preserve">repliche di Moro sui bilanci esteri 1970-1974</w:t>
      </w:r>
      <w:r>
        <w:rPr>
          <w:rFonts w:ascii="Barlow Semi Condensed" w:cs="Barlow Semi Condensed" w:eastAsia="Barlow Semi Condensed" w:hAnsi="Barlow Semi Condensed"/>
          <w:sz w:val="24"/>
          <w:szCs w:val="24"/>
        </w:rPr>
        <w:t xml:space="preserve">, con numero di seduta e data; la </w:t>
      </w:r>
      <w:r>
        <w:rPr>
          <w:rFonts w:ascii="Barlow Semi Condensed" w:cs="Barlow Semi Condensed" w:eastAsia="Barlow Semi Condensed" w:hAnsi="Barlow Semi Condensed"/>
          <w:b/>
          <w:bCs/>
          <w:sz w:val="24"/>
          <w:szCs w:val="24"/>
        </w:rPr>
        <w:t xml:space="preserve">cooperazione italo-tedesca antiterrorismo</w:t>
      </w:r>
      <w:r>
        <w:rPr>
          <w:rFonts w:ascii="Barlow Semi Condensed" w:cs="Barlow Semi Condensed" w:eastAsia="Barlow Semi Condensed" w:hAnsi="Barlow Semi Condensed"/>
          <w:sz w:val="24"/>
          <w:szCs w:val="24"/>
        </w:rPr>
        <w:t xml:space="preserve"> e il ruolo del Bundeskriminalamt durante i cinquantacinque giorni; la posizione italiana sui cinque atti della Ostpolitik; e gli </w:t>
      </w:r>
      <w:r>
        <w:rPr>
          <w:rFonts w:ascii="Barlow Semi Condensed" w:cs="Barlow Semi Condensed" w:eastAsia="Barlow Semi Condensed" w:hAnsi="Barlow Semi Condensed"/>
          <w:b/>
          <w:bCs/>
          <w:sz w:val="24"/>
          <w:szCs w:val="24"/>
        </w:rPr>
        <w:t xml:space="preserve">atti italiani sull'espulsione del 13 aprile 1974</w:t>
      </w:r>
      <w:r>
        <w:rPr>
          <w:rFonts w:ascii="Barlow Semi Condensed" w:cs="Barlow Semi Condensed" w:eastAsia="Barlow Semi Condensed" w:hAnsi="Barlow Semi Condensed"/>
          <w:sz w:val="24"/>
          <w:szCs w:val="24"/>
        </w:rPr>
        <w:t xml:space="preserve">, di cui nessuna testimonianza comboniana reca traccia.</w:t>
      </w:r>
    </w:p>
    <w:p>
      <w:pPr>
        <w:spacing w:after="120" w:line="276"/>
        <w:jc w:val="both"/>
      </w:pPr>
      <w:r>
        <w:rPr>
          <w:rFonts w:ascii="Barlow Semi Condensed" w:cs="Barlow Semi Condensed" w:eastAsia="Barlow Semi Condensed" w:hAnsi="Barlow Semi Condensed"/>
          <w:b/>
          <w:bCs/>
          <w:sz w:val="24"/>
          <w:szCs w:val="24"/>
        </w:rPr>
        <w:t xml:space="preserve">Uno scoperto dalla campagna stessa</w:t>
      </w:r>
      <w:r>
        <w:rPr>
          <w:rFonts w:ascii="Barlow Semi Condensed" w:cs="Barlow Semi Condensed" w:eastAsia="Barlow Semi Condensed" w:hAnsi="Barlow Semi Condensed"/>
          <w:sz w:val="24"/>
          <w:szCs w:val="24"/>
        </w:rPr>
        <w:t xml:space="preserve">, e questo è il genere di esito che solo un incrocio meccanico produce: la verifica testuale dà </w:t>
      </w:r>
      <w:r>
        <w:rPr>
          <w:rFonts w:ascii="Barlow Semi Condensed" w:cs="Barlow Semi Condensed" w:eastAsia="Barlow Semi Condensed" w:hAnsi="Barlow Semi Condensed"/>
          <w:b/>
          <w:bCs/>
          <w:sz w:val="24"/>
          <w:szCs w:val="24"/>
        </w:rPr>
        <w:t xml:space="preserve">zero occorrenze</w:t>
      </w:r>
      <w:r>
        <w:rPr>
          <w:rFonts w:ascii="Barlow Semi Condensed" w:cs="Barlow Semi Condensed" w:eastAsia="Barlow Semi Condensed" w:hAnsi="Barlow Semi Condensed"/>
          <w:sz w:val="24"/>
          <w:szCs w:val="24"/>
        </w:rPr>
        <w:t xml:space="preserve"> del nome del capocentro del servizio a Beirut e della strage di Fiumicino del 17 dicembre 1973 tanto nei tre documenti maggiori del corpus quanto nei tre documenti nuovi. Nessuna delle due parti del confronto tocca il nome né la data: è uno </w:t>
      </w:r>
      <w:r>
        <w:rPr>
          <w:rFonts w:ascii="Barlow Semi Condensed" w:cs="Barlow Semi Condensed" w:eastAsia="Barlow Semi Condensed" w:hAnsi="Barlow Semi Condensed"/>
          <w:b/>
          <w:bCs/>
          <w:sz w:val="24"/>
          <w:szCs w:val="24"/>
        </w:rPr>
        <w:t xml:space="preserve">Stato Zero condiviso e fin qui non dichiarato</w:t>
      </w:r>
      <w:r>
        <w:rPr>
          <w:rFonts w:ascii="Barlow Semi Condensed" w:cs="Barlow Semi Condensed" w:eastAsia="Barlow Semi Condensed" w:hAnsi="Barlow Semi Condensed"/>
          <w:sz w:val="24"/>
          <w:szCs w:val="24"/>
        </w:rPr>
        <w:t xml:space="preserve">, che va verbalizzato con perimetro esatto secondo le regole che il corpus si è già dato (il test dei buchi al blocco 233 dell'agenda; la ricerca a vuoto come atto al blocco 285). Il buco misurato è conoscenza; il buco narrato non lo è.</w:t>
      </w:r>
    </w:p>
    <w:p>
      <w:pPr>
        <w:spacing w:after="120" w:line="276"/>
        <w:jc w:val="both"/>
      </w:pPr>
      <w:r>
        <w:rPr>
          <w:rFonts w:ascii="Barlow Semi Condensed" w:cs="Barlow Semi Condensed" w:eastAsia="Barlow Semi Condensed" w:hAnsi="Barlow Semi Condensed"/>
          <w:b/>
          <w:bCs/>
          <w:sz w:val="24"/>
          <w:szCs w:val="24"/>
        </w:rPr>
        <w:t xml:space="preserve">Chiuso per triangolazione interna</w:t>
      </w:r>
      <w:r>
        <w:rPr>
          <w:rFonts w:ascii="Barlow Semi Condensed" w:cs="Barlow Semi Condensed" w:eastAsia="Barlow Semi Condensed" w:hAnsi="Barlow Semi Condensed"/>
          <w:sz w:val="24"/>
          <w:szCs w:val="24"/>
        </w:rPr>
        <w:t xml:space="preserve">: l'ingresso delle due Germanie all'ONU, dichiarato Stato Zero da una ricognizione e datato al </w:t>
      </w:r>
      <w:r>
        <w:rPr>
          <w:rFonts w:ascii="Barlow Semi Condensed" w:cs="Barlow Semi Condensed" w:eastAsia="Barlow Semi Condensed" w:hAnsi="Barlow Semi Condensed"/>
          <w:b/>
          <w:bCs/>
          <w:sz w:val="24"/>
          <w:szCs w:val="24"/>
        </w:rPr>
        <w:t xml:space="preserve">18 settembre 1973</w:t>
      </w:r>
      <w:r>
        <w:rPr>
          <w:rFonts w:ascii="Barlow Semi Condensed" w:cs="Barlow Semi Condensed" w:eastAsia="Barlow Semi Condensed" w:hAnsi="Barlow Semi Condensed"/>
          <w:sz w:val="24"/>
          <w:szCs w:val="24"/>
        </w:rPr>
        <w:t xml:space="preserve"> dall'altra su documentazione ufficiale tedesca. È il caso esemplare di che cosa serva incrociare i documenti prima di archiviarli.</w:t>
      </w:r>
    </w:p>
    <w:p>
      <w:pPr>
        <w:spacing w:after="120" w:line="276"/>
        <w:jc w:val="both"/>
      </w:pPr>
      <w:r>
        <w:rPr>
          <w:rFonts w:ascii="Barlow Semi Condensed" w:cs="Barlow Semi Condensed" w:eastAsia="Barlow Semi Condensed" w:hAnsi="Barlow Semi Condensed"/>
          <w:b/>
          <w:bCs/>
          <w:sz w:val="24"/>
          <w:szCs w:val="24"/>
        </w:rPr>
        <w:t xml:space="preserve">Un limite strutturale, non un vuoto di fatto</w:t>
      </w:r>
      <w:r>
        <w:rPr>
          <w:rFonts w:ascii="Barlow Semi Condensed" w:cs="Barlow Semi Condensed" w:eastAsia="Barlow Semi Condensed" w:hAnsi="Barlow Semi Condensed"/>
          <w:sz w:val="24"/>
          <w:szCs w:val="24"/>
        </w:rPr>
        <w:t xml:space="preserve">: la banca dati del sindacato ispettivo parlamentare copre </w:t>
      </w:r>
      <w:r>
        <w:rPr>
          <w:rFonts w:ascii="Barlow Semi Condensed" w:cs="Barlow Semi Condensed" w:eastAsia="Barlow Semi Condensed" w:hAnsi="Barlow Semi Condensed"/>
          <w:b/>
          <w:bCs/>
          <w:sz w:val="24"/>
          <w:szCs w:val="24"/>
        </w:rPr>
        <w:t xml:space="preserve">solo dalla VII legislatura (5 luglio 1976)</w:t>
      </w:r>
      <w:r>
        <w:rPr>
          <w:rFonts w:ascii="Barlow Semi Condensed" w:cs="Barlow Semi Condensed" w:eastAsia="Barlow Semi Condensed" w:hAnsi="Barlow Semi Condensed"/>
          <w:sz w:val="24"/>
          <w:szCs w:val="24"/>
        </w:rPr>
        <w:t xml:space="preserve">. L'intero arco 1969-1975 sopravvive come resoconti stenografici non ricercabili a testo pieno: non è possibile, con i soli strumenti in rete, né confermare né escludere interrogazioni sul Portogallo coloniale, su Wiriyamu o sull'espulsione. Si chiude solo con lo spoglio manuale dei volumi a stampa.</w:t>
      </w:r>
    </w:p>
    <w:p>
      <w:pPr>
        <w:spacing w:after="120" w:line="276"/>
        <w:jc w:val="both"/>
      </w:pPr>
      <w:r>
        <w:rPr>
          <w:rFonts w:ascii="Barlow Semi Condensed" w:cs="Barlow Semi Condensed" w:eastAsia="Barlow Semi Condensed" w:hAnsi="Barlow Semi Condensed"/>
          <w:b/>
          <w:bCs/>
          <w:sz w:val="24"/>
          <w:szCs w:val="24"/>
        </w:rPr>
        <w:t xml:space="preserve">Uno che resta, e va detto per intero.</w:t>
      </w:r>
      <w:r>
        <w:rPr>
          <w:rFonts w:ascii="Barlow Semi Condensed" w:cs="Barlow Semi Condensed" w:eastAsia="Barlow Semi Condensed" w:hAnsi="Barlow Semi Condensed"/>
          <w:sz w:val="24"/>
          <w:szCs w:val="24"/>
        </w:rPr>
        <w:t xml:space="preserve"> La ricognizione sul Portogallo dichiara lo Stato Zero su un dossier ricorrente nella pubblicistica delle reti clandestine — </w:t>
      </w:r>
      <w:r>
        <w:rPr>
          <w:rFonts w:ascii="Barlow Semi Condensed" w:cs="Barlow Semi Condensed" w:eastAsia="Barlow Semi Condensed" w:hAnsi="Barlow Semi Condensed"/>
          <w:b/>
          <w:bCs/>
          <w:sz w:val="24"/>
          <w:szCs w:val="24"/>
        </w:rPr>
        <w:t xml:space="preserve">Aginter Press</w:t>
      </w:r>
      <w:r>
        <w:rPr>
          <w:rFonts w:ascii="Barlow Semi Condensed" w:cs="Barlow Semi Condensed" w:eastAsia="Barlow Semi Condensed" w:hAnsi="Barlow Semi Condensed"/>
          <w:sz w:val="24"/>
          <w:szCs w:val="24"/>
        </w:rPr>
        <w:t xml:space="preserve"> — non avendo reperito fonti primarie o studi peer-reviewed che ne documentino un ruolo nelle vicende trattate, e qualifica come non sostenuta la tesi circolante. La verifica meccanica sul corpus dà un esito che va registrato senza addolcirlo: </w:t>
      </w:r>
      <w:r>
        <w:rPr>
          <w:rFonts w:ascii="Barlow Semi Condensed" w:cs="Barlow Semi Condensed" w:eastAsia="Barlow Semi Condensed" w:hAnsi="Barlow Semi Condensed"/>
          <w:b/>
          <w:bCs/>
          <w:sz w:val="24"/>
          <w:szCs w:val="24"/>
        </w:rPr>
        <w:t xml:space="preserve">il termine non compare in alcun documento del branch</w:t>
      </w:r>
      <w:r>
        <w:rPr>
          <w:rFonts w:ascii="Barlow Semi Condensed" w:cs="Barlow Semi Condensed" w:eastAsia="Barlow Semi Condensed" w:hAnsi="Barlow Semi Condensed"/>
          <w:sz w:val="24"/>
          <w:szCs w:val="24"/>
        </w:rPr>
        <w:t xml:space="preserve">, né nei mille blocchi dei cantieri né nei quattrocento del manuale. La relazione fra i due statuti non è dunque «trattazione archiviata contro Stato Zero», ma </w:t>
      </w:r>
      <w:r>
        <w:rPr>
          <w:rFonts w:ascii="Barlow Semi Condensed" w:cs="Barlow Semi Condensed" w:eastAsia="Barlow Semi Condensed" w:hAnsi="Barlow Semi Condensed"/>
          <w:b/>
          <w:bCs/>
          <w:sz w:val="24"/>
          <w:szCs w:val="24"/>
        </w:rPr>
        <w:t xml:space="preserve">silenzio totale del corpus contro Stato Zero dichiarato</w:t>
      </w:r>
      <w:r>
        <w:rPr>
          <w:rFonts w:ascii="Barlow Semi Condensed" w:cs="Barlow Semi Condensed" w:eastAsia="Barlow Semi Condensed" w:hAnsi="Barlow Semi Condensed"/>
          <w:sz w:val="24"/>
          <w:szCs w:val="24"/>
        </w:rPr>
        <w:t xml:space="preserve">: i due stati sono compatibili, e la dichiarazione della ricognizione nuova costituisce, allo stato, l'unica presa di posizione dell'opera pubblica sul dossier. Resta tale: il materiale che colmerebbe quella lacuna appartiene, per la disciplina che questo corpus si è dato, al versante non pubblicabile, e </w:t>
      </w:r>
      <w:r>
        <w:rPr>
          <w:rFonts w:ascii="Barlow Semi Condensed" w:cs="Barlow Semi Condensed" w:eastAsia="Barlow Semi Condensed" w:hAnsi="Barlow Semi Condensed"/>
          <w:b/>
          <w:bCs/>
          <w:sz w:val="24"/>
          <w:szCs w:val="24"/>
        </w:rPr>
        <w:t xml:space="preserve">l'esito negativo pubblico non viene qui smentito né aggirato</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Il raccordo con la quadriga investigativa</w:t>
      </w:r>
    </w:p>
    <w:p>
      <w:pPr>
        <w:spacing w:after="120" w:line="276"/>
        <w:jc w:val="both"/>
      </w:pPr>
      <w:r>
        <w:rPr>
          <w:rFonts w:ascii="Barlow Semi Condensed" w:cs="Barlow Semi Condensed" w:eastAsia="Barlow Semi Condensed" w:hAnsi="Barlow Semi Condensed"/>
          <w:sz w:val="24"/>
          <w:szCs w:val="24"/>
        </w:rPr>
        <w:t xml:space="preserve">L'incrocio con i mille blocchi dei cantieri e con i trecento dell'agenda mostra che </w:t>
      </w:r>
      <w:r>
        <w:rPr>
          <w:rFonts w:ascii="Barlow Semi Condensed" w:cs="Barlow Semi Condensed" w:eastAsia="Barlow Semi Condensed" w:hAnsi="Barlow Semi Condensed"/>
          <w:b/>
          <w:bCs/>
          <w:sz w:val="24"/>
          <w:szCs w:val="24"/>
        </w:rPr>
        <w:t xml:space="preserve">le nuove ricognizioni non aprono un fronte parallelo: riempiono bersagli già scritti</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filone RAF-Brigate Rosse</w:t>
      </w:r>
      <w:r>
        <w:rPr>
          <w:rFonts w:ascii="Barlow Semi Condensed" w:cs="Barlow Semi Condensed" w:eastAsia="Barlow Semi Condensed" w:hAnsi="Barlow Semi Condensed"/>
          <w:sz w:val="24"/>
          <w:szCs w:val="24"/>
        </w:rPr>
        <w:t xml:space="preserve"> si aggancia ai blocchi </w:t>
      </w:r>
      <w:r>
        <w:rPr>
          <w:rFonts w:ascii="Barlow Semi Condensed" w:cs="Barlow Semi Condensed" w:eastAsia="Barlow Semi Condensed" w:hAnsi="Barlow Semi Condensed"/>
          <w:b/>
          <w:bCs/>
          <w:sz w:val="24"/>
          <w:szCs w:val="24"/>
        </w:rPr>
        <w:t xml:space="preserve">88, 104 e 105</w:t>
      </w:r>
      <w:r>
        <w:rPr>
          <w:rFonts w:ascii="Barlow Semi Condensed" w:cs="Barlow Semi Condensed" w:eastAsia="Barlow Semi Condensed" w:hAnsi="Barlow Semi Condensed"/>
          <w:sz w:val="24"/>
          <w:szCs w:val="24"/>
        </w:rPr>
        <w:t xml:space="preserve">, che già scrivevano il quesito dei contatti in forma ACH, fissavano le carte del Bundeskriminalamt come oggetto documentale e indicavano i processi tedeschi come giacimento del giudicato. Le dichiarazioni di un collaboratore riportate in sede investigativa restano quello che sono — </w:t>
      </w:r>
      <w:r>
        <w:rPr>
          <w:rFonts w:ascii="Barlow Semi Condensed" w:cs="Barlow Semi Condensed" w:eastAsia="Barlow Semi Condensed" w:hAnsi="Barlow Semi Condensed"/>
          <w:b/>
          <w:bCs/>
          <w:sz w:val="24"/>
          <w:szCs w:val="24"/>
        </w:rPr>
        <w:t xml:space="preserve">non accertamenti definitivi di sentenza</w:t>
      </w:r>
      <w:r>
        <w:rPr>
          <w:rFonts w:ascii="Barlow Semi Condensed" w:cs="Barlow Semi Condensed" w:eastAsia="Barlow Semi Condensed" w:hAnsi="Barlow Semi Condensed"/>
          <w:sz w:val="24"/>
          <w:szCs w:val="24"/>
        </w:rPr>
        <w:t xml:space="preserve"> — e l'appartenenza di una persona alla RAF non è prova di una condotta della RAF.</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materiale di provenienza DDR</w:t>
      </w:r>
      <w:r>
        <w:rPr>
          <w:rFonts w:ascii="Barlow Semi Condensed" w:cs="Barlow Semi Condensed" w:eastAsia="Barlow Semi Condensed" w:hAnsi="Barlow Semi Condensed"/>
          <w:sz w:val="24"/>
          <w:szCs w:val="24"/>
        </w:rPr>
        <w:t xml:space="preserve"> si aggancia ai blocchi </w:t>
      </w:r>
      <w:r>
        <w:rPr>
          <w:rFonts w:ascii="Barlow Semi Condensed" w:cs="Barlow Semi Condensed" w:eastAsia="Barlow Semi Condensed" w:hAnsi="Barlow Semi Condensed"/>
          <w:b/>
          <w:bCs/>
          <w:sz w:val="24"/>
          <w:szCs w:val="24"/>
        </w:rPr>
        <w:t xml:space="preserve">91-92</w:t>
      </w:r>
      <w:r>
        <w:rPr>
          <w:rFonts w:ascii="Barlow Semi Condensed" w:cs="Barlow Semi Condensed" w:eastAsia="Barlow Semi Condensed" w:hAnsi="Barlow Semi Condensed"/>
          <w:sz w:val="24"/>
          <w:szCs w:val="24"/>
        </w:rPr>
        <w:t xml:space="preserve">: lo Stasi-Unterlagen-Archiv è dal 2021 parte del Bundesarchiv, e ogni carta di quella provenienza entra con doppia cautela, mai da sola a fondamento di alcunché, con valore comparativo e non rivelatorio. La disciplina si estende alle carte ecclesiastiche ora citate.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precedente Schleyer</w:t>
      </w:r>
      <w:r>
        <w:rPr>
          <w:rFonts w:ascii="Barlow Semi Condensed" w:cs="Barlow Semi Condensed" w:eastAsia="Barlow Semi Condensed" w:hAnsi="Barlow Semi Condensed"/>
          <w:sz w:val="24"/>
          <w:szCs w:val="24"/>
        </w:rPr>
        <w:t xml:space="preserve"> si aggancia ai blocchi </w:t>
      </w:r>
      <w:r>
        <w:rPr>
          <w:rFonts w:ascii="Barlow Semi Condensed" w:cs="Barlow Semi Condensed" w:eastAsia="Barlow Semi Condensed" w:hAnsi="Barlow Semi Condensed"/>
          <w:b/>
          <w:bCs/>
          <w:sz w:val="24"/>
          <w:szCs w:val="24"/>
        </w:rPr>
        <w:t xml:space="preserve">85, 86 e 94</w:t>
      </w:r>
      <w:r>
        <w:rPr>
          <w:rFonts w:ascii="Barlow Semi Condensed" w:cs="Barlow Semi Condensed" w:eastAsia="Barlow Semi Condensed" w:hAnsi="Barlow Semi Condensed"/>
          <w:sz w:val="24"/>
          <w:szCs w:val="24"/>
        </w:rPr>
        <w:t xml:space="preserve">, che già perimetravano i verbali di gabinetto del 1977, l'accessibilità parziale dei protocolli dello stato maggiore di crisi e il dossier comparativo Schleyer-Moro senza tesi precostituita. Le ricognizioni nuove non aggiungono dati oltre quel perimetro.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cooperazione antiterrorismo</w:t>
      </w:r>
      <w:r>
        <w:rPr>
          <w:rFonts w:ascii="Barlow Semi Condensed" w:cs="Barlow Semi Condensed" w:eastAsia="Barlow Semi Condensed" w:hAnsi="Barlow Semi Condensed"/>
          <w:sz w:val="24"/>
          <w:szCs w:val="24"/>
        </w:rPr>
        <w:t xml:space="preserve"> si aggancia ai blocchi </w:t>
      </w:r>
      <w:r>
        <w:rPr>
          <w:rFonts w:ascii="Barlow Semi Condensed" w:cs="Barlow Semi Condensed" w:eastAsia="Barlow Semi Condensed" w:hAnsi="Barlow Semi Condensed"/>
          <w:b/>
          <w:bCs/>
          <w:sz w:val="24"/>
          <w:szCs w:val="24"/>
        </w:rPr>
        <w:t xml:space="preserve">87, 88, 90, 99 e 114</w:t>
      </w:r>
      <w:r>
        <w:rPr>
          <w:rFonts w:ascii="Barlow Semi Condensed" w:cs="Barlow Semi Condensed" w:eastAsia="Barlow Semi Condensed" w:hAnsi="Barlow Semi Condensed"/>
          <w:sz w:val="24"/>
          <w:szCs w:val="24"/>
        </w:rPr>
        <w:t xml:space="preserve">: il fondo del ministero dell'Interno federale, le carte del BKA, il canale fra i due capi di governo, la cooperazione TREVI, gli scambi di intelligence dichiarati. Lo Stato Zero della ricognizione nuova è, nei cantieri, </w:t>
      </w:r>
      <w:r>
        <w:rPr>
          <w:rFonts w:ascii="Barlow Semi Condensed" w:cs="Barlow Semi Condensed" w:eastAsia="Barlow Semi Condensed" w:hAnsi="Barlow Semi Condensed"/>
          <w:b/>
          <w:bCs/>
          <w:sz w:val="24"/>
          <w:szCs w:val="24"/>
        </w:rPr>
        <w:t xml:space="preserve">già dotato delle proprie sedi di chiusura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Bersagli nuovi</w:t>
      </w:r>
      <w:r>
        <w:rPr>
          <w:rFonts w:ascii="Barlow Semi Condensed" w:cs="Barlow Semi Condensed" w:eastAsia="Barlow Semi Condensed" w:hAnsi="Barlow Semi Condensed"/>
          <w:sz w:val="24"/>
          <w:szCs w:val="24"/>
        </w:rPr>
        <w:t xml:space="preserve">, che la quadriga non aveva e che vi si aggiungono con giacimento proprio. Il </w:t>
      </w:r>
      <w:r>
        <w:rPr>
          <w:rFonts w:ascii="Barlow Semi Condensed" w:cs="Barlow Semi Condensed" w:eastAsia="Barlow Semi Condensed" w:hAnsi="Barlow Semi Condensed"/>
          <w:b/>
          <w:bCs/>
          <w:sz w:val="24"/>
          <w:szCs w:val="24"/>
        </w:rPr>
        <w:t xml:space="preserve">«lodo Moro»</w:t>
      </w:r>
      <w:r>
        <w:rPr>
          <w:rFonts w:ascii="Barlow Semi Condensed" w:cs="Barlow Semi Condensed" w:eastAsia="Barlow Semi Condensed" w:hAnsi="Barlow Semi Condensed"/>
          <w:sz w:val="24"/>
          <w:szCs w:val="24"/>
        </w:rPr>
        <w:t xml:space="preserve">: la stringa non compare in alcuno dei tre documenti maggiori del corpus, e i nove cantieri hanno tre colonne estere — britannica, francese, tedesca, con Berna e Vienna in appendice — e </w:t>
      </w:r>
      <w:r>
        <w:rPr>
          <w:rFonts w:ascii="Barlow Semi Condensed" w:cs="Barlow Semi Condensed" w:eastAsia="Barlow Semi Condensed" w:hAnsi="Barlow Semi Condensed"/>
          <w:b/>
          <w:bCs/>
          <w:sz w:val="24"/>
          <w:szCs w:val="24"/>
        </w:rPr>
        <w:t xml:space="preserve">nessuna colonna mediterranea o araba</w:t>
      </w:r>
      <w:r>
        <w:rPr>
          <w:rFonts w:ascii="Barlow Semi Condensed" w:cs="Barlow Semi Condensed" w:eastAsia="Barlow Semi Condensed" w:hAnsi="Barlow Semi Condensed"/>
          <w:sz w:val="24"/>
          <w:szCs w:val="24"/>
        </w:rPr>
        <w:t xml:space="preserve">. La monografia peer-reviewed indicata dalla ricognizione è punto di partenza bibliografico, non documento primario: vale la regola dell'agenda per cui senza primario non si conclude. La </w:t>
      </w:r>
      <w:r>
        <w:rPr>
          <w:rFonts w:ascii="Barlow Semi Condensed" w:cs="Barlow Semi Condensed" w:eastAsia="Barlow Semi Condensed" w:hAnsi="Barlow Semi Condensed"/>
          <w:b/>
          <w:bCs/>
          <w:sz w:val="24"/>
          <w:szCs w:val="24"/>
        </w:rPr>
        <w:t xml:space="preserve">guerra del Kippur del 1973 e il rifiuto delle basi NATO</w:t>
      </w:r>
      <w:r>
        <w:rPr>
          <w:rFonts w:ascii="Barlow Semi Condensed" w:cs="Barlow Semi Condensed" w:eastAsia="Barlow Semi Condensed" w:hAnsi="Barlow Semi Condensed"/>
          <w:sz w:val="24"/>
          <w:szCs w:val="24"/>
        </w:rPr>
        <w:t xml:space="preserve">: il corpus ha il quesito atlantico solo per il 1978 (blocchi 24 e 98 dei cantieri, quesito 12 dell'agenda), e l'episodio gliene dà l'antecedente datato — con lo statuto dichiarato di </w:t>
      </w:r>
      <w:r>
        <w:rPr>
          <w:rFonts w:ascii="Barlow Semi Condensed" w:cs="Barlow Semi Condensed" w:eastAsia="Barlow Semi Condensed" w:hAnsi="Barlow Semi Condensed"/>
          <w:b/>
          <w:bCs/>
          <w:sz w:val="24"/>
          <w:szCs w:val="24"/>
        </w:rPr>
        <w:t xml:space="preserve">testimonianza resa in sede parlamentare</w:t>
      </w:r>
      <w:r>
        <w:rPr>
          <w:rFonts w:ascii="Barlow Semi Condensed" w:cs="Barlow Semi Condensed" w:eastAsia="Barlow Semi Condensed" w:hAnsi="Barlow Semi Condensed"/>
          <w:sz w:val="24"/>
          <w:szCs w:val="24"/>
        </w:rPr>
        <w:t xml:space="preserve">, non di accertamento, e per giunta proveniente dal fondo che il corpus già spoglia. Il </w:t>
      </w:r>
      <w:r>
        <w:rPr>
          <w:rFonts w:ascii="Barlow Semi Condensed" w:cs="Barlow Semi Condensed" w:eastAsia="Barlow Semi Condensed" w:hAnsi="Barlow Semi Condensed"/>
          <w:b/>
          <w:bCs/>
          <w:sz w:val="24"/>
          <w:szCs w:val="24"/>
        </w:rPr>
        <w:t xml:space="preserve">canale Pignedoli</w:t>
      </w:r>
      <w:r>
        <w:rPr>
          <w:rFonts w:ascii="Barlow Semi Condensed" w:cs="Barlow Semi Condensed" w:eastAsia="Barlow Semi Condensed" w:hAnsi="Barlow Semi Condensed"/>
          <w:sz w:val="24"/>
          <w:szCs w:val="24"/>
        </w:rPr>
        <w:t xml:space="preserve"> consegna al blocco 193 dei cantieri — che chiede «i precedenti documentati di disponibilità ecclesiastiche in sequestri italiani» — un precedente con nome e data, quattro anni prima dei cinquantacinque giorni, da fissare su fonte primaria perché la fonte disponibile è enciclopedica.</w:t>
      </w:r>
    </w:p>
    <w:p>
      <w:pPr>
        <w:spacing w:after="120" w:line="276"/>
        <w:jc w:val="both"/>
      </w:pPr>
      <w:r>
        <w:rPr>
          <w:rFonts w:ascii="Barlow Semi Condensed" w:cs="Barlow Semi Condensed" w:eastAsia="Barlow Semi Condensed" w:hAnsi="Barlow Semi Condensed"/>
          <w:b/>
          <w:bCs/>
          <w:sz w:val="24"/>
          <w:szCs w:val="24"/>
        </w:rPr>
        <w:t xml:space="preserve">Giacimenti archivistici nuovi</w:t>
      </w:r>
      <w:r>
        <w:rPr>
          <w:rFonts w:ascii="Barlow Semi Condensed" w:cs="Barlow Semi Condensed" w:eastAsia="Barlow Semi Condensed" w:hAnsi="Barlow Semi Condensed"/>
          <w:sz w:val="24"/>
          <w:szCs w:val="24"/>
        </w:rPr>
        <w:t xml:space="preserve">: l'</w:t>
      </w:r>
      <w:r>
        <w:rPr>
          <w:rFonts w:ascii="Barlow Semi Condensed" w:cs="Barlow Semi Condensed" w:eastAsia="Barlow Semi Condensed" w:hAnsi="Barlow Semi Condensed"/>
          <w:b/>
          <w:bCs/>
          <w:sz w:val="24"/>
          <w:szCs w:val="24"/>
        </w:rPr>
        <w:t xml:space="preserve">Archivo General de la Administración</w:t>
      </w:r>
      <w:r>
        <w:rPr>
          <w:rFonts w:ascii="Barlow Semi Condensed" w:cs="Barlow Semi Condensed" w:eastAsia="Barlow Semi Condensed" w:hAnsi="Barlow Semi Condensed"/>
          <w:sz w:val="24"/>
          <w:szCs w:val="24"/>
        </w:rPr>
        <w:t xml:space="preserve"> di Alcalá de Henares (fondi del ministero degli Esteri spagnolo trasferiti fino al 1985 circa) — il corpus non aveva alcuna colonna spagnola; il portale ufficiale portoghese </w:t>
      </w:r>
      <w:r>
        <w:rPr>
          <w:rFonts w:ascii="Barlow Semi Condensed" w:cs="Barlow Semi Condensed" w:eastAsia="Barlow Semi Condensed" w:hAnsi="Barlow Semi Condensed"/>
          <w:i/>
          <w:iCs/>
          <w:sz w:val="24"/>
          <w:szCs w:val="24"/>
        </w:rPr>
        <w:t xml:space="preserve">Diplomacia e Revolução</w:t>
      </w:r>
      <w:r>
        <w:rPr>
          <w:rFonts w:ascii="Barlow Semi Condensed" w:cs="Barlow Semi Condensed" w:eastAsia="Barlow Semi Condensed" w:hAnsi="Barlow Semi Condensed"/>
          <w:sz w:val="24"/>
          <w:szCs w:val="24"/>
        </w:rPr>
        <w:t xml:space="preserve"> con la sua serie italiana sul riconoscimento del 1974, </w:t>
      </w:r>
      <w:r>
        <w:rPr>
          <w:rFonts w:ascii="Barlow Semi Condensed" w:cs="Barlow Semi Condensed" w:eastAsia="Barlow Semi Condensed" w:hAnsi="Barlow Semi Condensed"/>
          <w:b/>
          <w:bCs/>
          <w:sz w:val="24"/>
          <w:szCs w:val="24"/>
        </w:rPr>
        <w:t xml:space="preserve">ad accesso automatizzato bloccato e dunque da consultare manualmente o in sede</w:t>
      </w:r>
      <w:r>
        <w:rPr>
          <w:rFonts w:ascii="Barlow Semi Condensed" w:cs="Barlow Semi Condensed" w:eastAsia="Barlow Semi Condensed" w:hAnsi="Barlow Semi Condensed"/>
          <w:sz w:val="24"/>
          <w:szCs w:val="24"/>
        </w:rPr>
        <w:t xml:space="preserve">, insieme all'Arquivo Nacional da Torre do Tombo, al Centro de Documentação 25 de Abril di Coimbra e alla Fundação Mário Soares; il </w:t>
      </w:r>
      <w:r>
        <w:rPr>
          <w:rFonts w:ascii="Barlow Semi Condensed" w:cs="Barlow Semi Condensed" w:eastAsia="Barlow Semi Condensed" w:hAnsi="Barlow Semi Condensed"/>
          <w:b/>
          <w:bCs/>
          <w:sz w:val="24"/>
          <w:szCs w:val="24"/>
        </w:rPr>
        <w:t xml:space="preserve">Fondo Zagari</w:t>
      </w:r>
      <w:r>
        <w:rPr>
          <w:rFonts w:ascii="Barlow Semi Condensed" w:cs="Barlow Semi Condensed" w:eastAsia="Barlow Semi Condensed" w:hAnsi="Barlow Semi Condensed"/>
          <w:sz w:val="24"/>
          <w:szCs w:val="24"/>
        </w:rPr>
        <w:t xml:space="preserve"> dell'Archivio storico del Senato, deposito che il corpus non conosceva pur conoscendo bene quel portale; l'archivio Soncini-Ganapini presso l'istituto per i beni culturali dell'Emilia-Romagna; l'archivio comboniano di Roma con le annate della sua rivista; e i depositi ecclesiastici tedeschi. Non è invece un giacimento nuovo la serie degli </w:t>
      </w:r>
      <w:r>
        <w:rPr>
          <w:rFonts w:ascii="Barlow Semi Condensed" w:cs="Barlow Semi Condensed" w:eastAsia="Barlow Semi Condensed" w:hAnsi="Barlow Semi Condensed"/>
          <w:b/>
          <w:bCs/>
          <w:sz w:val="24"/>
          <w:szCs w:val="24"/>
        </w:rPr>
        <w:t xml:space="preserve">Akten zur Auswärtigen Politik</w:t>
      </w:r>
      <w:r>
        <w:rPr>
          <w:rFonts w:ascii="Barlow Semi Condensed" w:cs="Barlow Semi Condensed" w:eastAsia="Barlow Semi Condensed" w:hAnsi="Barlow Semi Condensed"/>
          <w:sz w:val="24"/>
          <w:szCs w:val="24"/>
        </w:rPr>
        <w:t xml:space="preserve">, che i cantieri fissano già ai blocchi 81-83 e 117: il rendimento della ricognizione è </w:t>
      </w:r>
      <w:r>
        <w:rPr>
          <w:rFonts w:ascii="Barlow Semi Condensed" w:cs="Barlow Semi Condensed" w:eastAsia="Barlow Semi Condensed" w:hAnsi="Barlow Semi Condensed"/>
          <w:b/>
          <w:bCs/>
          <w:sz w:val="24"/>
          <w:szCs w:val="24"/>
        </w:rPr>
        <w:t xml:space="preserve">cronologico</w:t>
      </w:r>
      <w:r>
        <w:rPr>
          <w:rFonts w:ascii="Barlow Semi Condensed" w:cs="Barlow Semi Condensed" w:eastAsia="Barlow Semi Condensed" w:hAnsi="Barlow Semi Condensed"/>
          <w:sz w:val="24"/>
          <w:szCs w:val="24"/>
        </w:rPr>
        <w:t xml:space="preserve">, perché estende alle annate 1969-1974 una procedura già scritta per il 1977-1978.</w:t>
      </w:r>
    </w:p>
    <w:p>
      <w:pPr>
        <w:pStyle w:val="Heading3"/>
        <w:spacing w:after="80" w:before="160"/>
      </w:pPr>
      <w:r>
        <w:rPr>
          <w:rFonts w:ascii="Barlow Semi Condensed" w:cs="Barlow Semi Condensed" w:eastAsia="Barlow Semi Condensed" w:hAnsi="Barlow Semi Condensed"/>
          <w:sz w:val="24"/>
          <w:szCs w:val="24"/>
        </w:rPr>
        <w:t xml:space="preserve">Tre correzioni che la campagna impone alla quadriga</w:t>
      </w:r>
    </w:p>
    <w:p>
      <w:pPr>
        <w:spacing w:after="120" w:line="276"/>
        <w:jc w:val="both"/>
      </w:pPr>
      <w:r>
        <w:rPr>
          <w:rFonts w:ascii="Barlow Semi Condensed" w:cs="Barlow Semi Condensed" w:eastAsia="Barlow Semi Condensed" w:hAnsi="Barlow Semi Condensed"/>
          <w:sz w:val="24"/>
          <w:szCs w:val="24"/>
        </w:rPr>
        <w:t xml:space="preserve">L'incrocio non ha solo riempito blocchi: in tre punti ha mostrato che </w:t>
      </w:r>
      <w:r>
        <w:rPr>
          <w:rFonts w:ascii="Barlow Semi Condensed" w:cs="Barlow Semi Condensed" w:eastAsia="Barlow Semi Condensed" w:hAnsi="Barlow Semi Condensed"/>
          <w:b/>
          <w:bCs/>
          <w:sz w:val="24"/>
          <w:szCs w:val="24"/>
        </w:rPr>
        <w:t xml:space="preserve">i cantieri e l'agenda davano per acquisito ciò che non lo è</w:t>
      </w:r>
      <w:r>
        <w:rPr>
          <w:rFonts w:ascii="Barlow Semi Condensed" w:cs="Barlow Semi Condensed" w:eastAsia="Barlow Semi Condensed" w:hAnsi="Barlow Semi Condensed"/>
          <w:sz w:val="24"/>
          <w:szCs w:val="24"/>
        </w:rPr>
        <w:t xml:space="preserve">, e queste sono le acquisizioni più utili perché correggono lo strumento, non il contenuto.</w:t>
      </w:r>
    </w:p>
    <w:p>
      <w:pPr>
        <w:spacing w:after="120" w:line="276"/>
        <w:jc w:val="both"/>
      </w:pPr>
      <w:r>
        <w:rPr>
          <w:rFonts w:ascii="Barlow Semi Condensed" w:cs="Barlow Semi Condensed" w:eastAsia="Barlow Semi Condensed" w:hAnsi="Barlow Semi Condensed"/>
          <w:b/>
          <w:bCs/>
          <w:sz w:val="24"/>
          <w:szCs w:val="24"/>
        </w:rPr>
        <w:t xml:space="preserve">La Farnesina non è interrogabile senza riserve.</w:t>
      </w:r>
      <w:r>
        <w:rPr>
          <w:rFonts w:ascii="Barlow Semi Condensed" w:cs="Barlow Semi Condensed" w:eastAsia="Barlow Semi Condensed" w:hAnsi="Barlow Semi Condensed"/>
          <w:sz w:val="24"/>
          <w:szCs w:val="24"/>
        </w:rPr>
        <w:t xml:space="preserve"> I blocchi 55 e 78 dei cantieri e il blocco 244 dell'agenda trattano l'Archivio storico-diplomatico come sede aperta. Il saggio peer-reviewed richiamato dalle ricognizioni attesta invece che i fondi ministeriali per gli anni in esame </w:t>
      </w:r>
      <w:r>
        <w:rPr>
          <w:rFonts w:ascii="Barlow Semi Condensed" w:cs="Barlow Semi Condensed" w:eastAsia="Barlow Semi Condensed" w:hAnsi="Barlow Semi Condensed"/>
          <w:b/>
          <w:bCs/>
          <w:sz w:val="24"/>
          <w:szCs w:val="24"/>
        </w:rPr>
        <w:t xml:space="preserve">non erano consultabili</w:t>
      </w:r>
      <w:r>
        <w:rPr>
          <w:rFonts w:ascii="Barlow Semi Condensed" w:cs="Barlow Semi Condensed" w:eastAsia="Barlow Semi Condensed" w:hAnsi="Barlow Semi Condensed"/>
          <w:sz w:val="24"/>
          <w:szCs w:val="24"/>
        </w:rPr>
        <w:t xml:space="preserve">, e le ricognizioni aggiungono la condizione operativa: per la documentazione dal 1949 in poi la disponibilità dei faldoni va verificata caso per caso, e resta l'esclusione temporanea dei Telegrammi 1942-1970. La barriera dei cinquant'anni rende l'arco 1969-1974 teoricamente aperto; l'inventariazione non lo rende praticamente tale. </w:t>
      </w:r>
      <w:r>
        <w:rPr>
          <w:rFonts w:ascii="Barlow Semi Condensed" w:cs="Barlow Semi Condensed" w:eastAsia="Barlow Semi Condensed" w:hAnsi="Barlow Semi Condensed"/>
          <w:b/>
          <w:bCs/>
          <w:sz w:val="24"/>
          <w:szCs w:val="24"/>
        </w:rPr>
        <w:t xml:space="preserve">Il costo dichiarato del bersaglio va rivisto prima di pianificare.</w:t>
      </w:r>
    </w:p>
    <w:p>
      <w:pPr>
        <w:spacing w:after="120" w:line="276"/>
        <w:jc w:val="both"/>
      </w:pPr>
      <w:r>
        <w:rPr>
          <w:rFonts w:ascii="Barlow Semi Condensed" w:cs="Barlow Semi Condensed" w:eastAsia="Barlow Semi Condensed" w:hAnsi="Barlow Semi Condensed"/>
          <w:b/>
          <w:bCs/>
          <w:sz w:val="24"/>
          <w:szCs w:val="24"/>
        </w:rPr>
        <w:t xml:space="preserve">Il Fondo Moro del Senato è un quarto deposito.</w:t>
      </w:r>
      <w:r>
        <w:rPr>
          <w:rFonts w:ascii="Barlow Semi Condensed" w:cs="Barlow Semi Condensed" w:eastAsia="Barlow Semi Condensed" w:hAnsi="Barlow Semi Condensed"/>
          <w:sz w:val="24"/>
          <w:szCs w:val="24"/>
        </w:rPr>
        <w:t xml:space="preserve"> I blocchi 221-223 e 235 dei cantieri distinguono tre nuclei delle carte di Moro — il fondo personale all'Archivio centrale dello Stato, il fondo familiare, la raccolta statale delle direttive — e tengono un registro delle confusioni correnti da correggere. Le ricognizioni citano ripetutamente un deposito con segnatura propria (IT-AFS-048), con unità archivistiche digitalizzate che riguardano </w:t>
      </w:r>
      <w:r>
        <w:rPr>
          <w:rFonts w:ascii="Barlow Semi Condensed" w:cs="Barlow Semi Condensed" w:eastAsia="Barlow Semi Condensed" w:hAnsi="Barlow Semi Condensed"/>
          <w:b/>
          <w:bCs/>
          <w:sz w:val="24"/>
          <w:szCs w:val="24"/>
        </w:rPr>
        <w:t xml:space="preserve">proprio il Moro ministro</w:t>
      </w:r>
      <w:r>
        <w:rPr>
          <w:rFonts w:ascii="Barlow Semi Condensed" w:cs="Barlow Semi Condensed" w:eastAsia="Barlow Semi Condensed" w:hAnsi="Barlow Semi Condensed"/>
          <w:sz w:val="24"/>
          <w:szCs w:val="24"/>
        </w:rPr>
        <w:t xml:space="preserve">: esiste ed è quello che serve a questa cartella. Il registro dei tre nuclei va emendato per nota.</w:t>
      </w:r>
    </w:p>
    <w:p>
      <w:pPr>
        <w:spacing w:after="120" w:line="276"/>
        <w:jc w:val="both"/>
      </w:pPr>
      <w:r>
        <w:rPr>
          <w:rFonts w:ascii="Barlow Semi Condensed" w:cs="Barlow Semi Condensed" w:eastAsia="Barlow Semi Condensed" w:hAnsi="Barlow Semi Condensed"/>
          <w:b/>
          <w:bCs/>
          <w:sz w:val="24"/>
          <w:szCs w:val="24"/>
        </w:rPr>
        <w:t xml:space="preserve">Le banche dati parlamentari non coprono gli anni del ministero.</w:t>
      </w:r>
      <w:r>
        <w:rPr>
          <w:rFonts w:ascii="Barlow Semi Condensed" w:cs="Barlow Semi Condensed" w:eastAsia="Barlow Semi Condensed" w:hAnsi="Barlow Semi Condensed"/>
          <w:sz w:val="24"/>
          <w:szCs w:val="24"/>
        </w:rPr>
        <w:t xml:space="preserve"> Il blocco 62 dell'agenda prescrive di censire interrogazioni, interpellanze e dibattiti nelle banche dati storiche senza registrare che quelle banche dati </w:t>
      </w:r>
      <w:r>
        <w:rPr>
          <w:rFonts w:ascii="Barlow Semi Condensed" w:cs="Barlow Semi Condensed" w:eastAsia="Barlow Semi Condensed" w:hAnsi="Barlow Semi Condensed"/>
          <w:b/>
          <w:bCs/>
          <w:sz w:val="24"/>
          <w:szCs w:val="24"/>
        </w:rPr>
        <w:t xml:space="preserve">cominciano dalla VII legislatura (5 luglio 1976)</w:t>
      </w:r>
      <w:r>
        <w:rPr>
          <w:rFonts w:ascii="Barlow Semi Condensed" w:cs="Barlow Semi Condensed" w:eastAsia="Barlow Semi Condensed" w:hAnsi="Barlow Semi Condensed"/>
          <w:sz w:val="24"/>
          <w:szCs w:val="24"/>
        </w:rPr>
        <w:t xml:space="preserve">. Per tutto ciò che precede — cioè per l'intero periodo qui studiato — la via è lo spoglio manuale dei volumi a stampa. È precisazione di fattibilità e non di merito, ma cambia il costo del bersaglio e va portata a nota prima di ogni pianificazione.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La griglia dei gradi, e una quinta voce</w:t>
      </w:r>
    </w:p>
    <w:p>
      <w:pPr>
        <w:spacing w:after="120" w:line="276"/>
        <w:jc w:val="both"/>
      </w:pPr>
      <w:r>
        <w:rPr>
          <w:rFonts w:ascii="Barlow Semi Condensed" w:cs="Barlow Semi Condensed" w:eastAsia="Barlow Semi Condensed" w:hAnsi="Barlow Semi Condensed"/>
          <w:sz w:val="24"/>
          <w:szCs w:val="24"/>
        </w:rPr>
        <w:t xml:space="preserve">I tre documenti nuovi applicano — indipendentemente l'uno dall'altro — la </w:t>
      </w:r>
      <w:r>
        <w:rPr>
          <w:rFonts w:ascii="Barlow Semi Condensed" w:cs="Barlow Semi Condensed" w:eastAsia="Barlow Semi Condensed" w:hAnsi="Barlow Semi Condensed"/>
          <w:b/>
          <w:bCs/>
          <w:sz w:val="24"/>
          <w:szCs w:val="24"/>
        </w:rPr>
        <w:t xml:space="preserve">stessa griglia a quattro gradi</w:t>
      </w:r>
      <w:r>
        <w:rPr>
          <w:rFonts w:ascii="Barlow Semi Condensed" w:cs="Barlow Semi Condensed" w:eastAsia="Barlow Semi Condensed" w:hAnsi="Barlow Semi Condensed"/>
          <w:sz w:val="24"/>
          <w:szCs w:val="24"/>
        </w:rPr>
        <w:t xml:space="preserve"> che il corpus usa da sempre: convergenza di obiettivo documentata · simultaneità di reazione · comunanza di ambiente istituzionale · mera contemporaneità cronologica. Nessuno la impiega in modo confliggente; uno ne usa un sottoinsieme senza contraddire la tassonomia. È la conferma più solida che la campagna potesse dare: </w:t>
      </w:r>
      <w:r>
        <w:rPr>
          <w:rFonts w:ascii="Barlow Semi Condensed" w:cs="Barlow Semi Condensed" w:eastAsia="Barlow Semi Condensed" w:hAnsi="Barlow Semi Condensed"/>
          <w:b/>
          <w:bCs/>
          <w:sz w:val="24"/>
          <w:szCs w:val="24"/>
        </w:rPr>
        <w:t xml:space="preserve">la disciplina regge quando è applicata da mani diverse sullo stesso materiale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Su quella griglia, l'esito complessivo resta quello che il corpus aveva già fissato: </w:t>
      </w:r>
      <w:r>
        <w:rPr>
          <w:rFonts w:ascii="Barlow Semi Condensed" w:cs="Barlow Semi Condensed" w:eastAsia="Barlow Semi Condensed" w:hAnsi="Barlow Semi Condensed"/>
          <w:b/>
          <w:bCs/>
          <w:sz w:val="24"/>
          <w:szCs w:val="24"/>
        </w:rPr>
        <w:t xml:space="preserve">la firma dell'Atto finale di Helsinki del 1° agosto 1975 è l'unica triangolazione certa</w:t>
      </w:r>
      <w:r>
        <w:rPr>
          <w:rFonts w:ascii="Barlow Semi Condensed" w:cs="Barlow Semi Condensed" w:eastAsia="Barlow Semi Condensed" w:hAnsi="Barlow Semi Condensed"/>
          <w:sz w:val="24"/>
          <w:szCs w:val="24"/>
        </w:rPr>
        <w:t xml:space="preserve"> fra i vertici studiati — l'Italia con la duplice qualità di Moro, la Santa Sede della delegazione che ottenne il settimo principio sulla libertà religiosa, e gli altri Stati coinvolti — e riguarda la sicurezza europea, non le materie che i singoli dossier trattano; per giunta cade </w:t>
      </w:r>
      <w:r>
        <w:rPr>
          <w:rFonts w:ascii="Barlow Semi Condensed" w:cs="Barlow Semi Condensed" w:eastAsia="Barlow Semi Condensed" w:hAnsi="Barlow Semi Condensed"/>
          <w:b/>
          <w:bCs/>
          <w:sz w:val="24"/>
          <w:szCs w:val="24"/>
        </w:rPr>
        <w:t xml:space="preserve">fuori dai mandati agli Esteri</w:t>
      </w:r>
      <w:r>
        <w:rPr>
          <w:rFonts w:ascii="Barlow Semi Condensed" w:cs="Barlow Semi Condensed" w:eastAsia="Barlow Semi Condensed" w:hAnsi="Barlow Semi Condensed"/>
          <w:sz w:val="24"/>
          <w:szCs w:val="24"/>
        </w:rPr>
        <w:t xml:space="preserve">. Tutto il resto è comunanza di ambiente o contemporaneità.</w:t>
      </w:r>
    </w:p>
    <w:p>
      <w:pPr>
        <w:spacing w:after="120" w:line="276"/>
        <w:jc w:val="both"/>
      </w:pPr>
      <w:r>
        <w:rPr>
          <w:rFonts w:ascii="Barlow Semi Condensed" w:cs="Barlow Semi Condensed" w:eastAsia="Barlow Semi Condensed" w:hAnsi="Barlow Semi Condensed"/>
          <w:sz w:val="24"/>
          <w:szCs w:val="24"/>
        </w:rPr>
        <w:t xml:space="preserve">La campagna suggerisce però una </w:t>
      </w:r>
      <w:r>
        <w:rPr>
          <w:rFonts w:ascii="Barlow Semi Condensed" w:cs="Barlow Semi Condensed" w:eastAsia="Barlow Semi Condensed" w:hAnsi="Barlow Semi Condensed"/>
          <w:b/>
          <w:bCs/>
          <w:sz w:val="24"/>
          <w:szCs w:val="24"/>
        </w:rPr>
        <w:t xml:space="preserve">quinta voce</w:t>
      </w:r>
      <w:r>
        <w:rPr>
          <w:rFonts w:ascii="Barlow Semi Condensed" w:cs="Barlow Semi Condensed" w:eastAsia="Barlow Semi Condensed" w:hAnsi="Barlow Semi Condensed"/>
          <w:sz w:val="24"/>
          <w:szCs w:val="24"/>
        </w:rPr>
        <w:t xml:space="preserve">, che si propone e si dichiara. Il versante portoghese offre due sequenze che corrono nelle stesse settimane: l'espulsione dei missionari del 13 aprile 1974 e la caduta dell'Estado Novo del 25 aprile. Non c'è nesso fra i due fatti — nessun documento li collega — ed è più della mera contemporaneità, perché il secondo evento </w:t>
      </w:r>
      <w:r>
        <w:rPr>
          <w:rFonts w:ascii="Barlow Semi Condensed" w:cs="Barlow Semi Condensed" w:eastAsia="Barlow Semi Condensed" w:hAnsi="Barlow Semi Condensed"/>
          <w:b/>
          <w:bCs/>
          <w:sz w:val="24"/>
          <w:szCs w:val="24"/>
        </w:rPr>
        <w:t xml:space="preserve">chiude i conti</w:t>
      </w:r>
      <w:r>
        <w:rPr>
          <w:rFonts w:ascii="Barlow Semi Condensed" w:cs="Barlow Semi Condensed" w:eastAsia="Barlow Semi Condensed" w:hAnsi="Barlow Semi Condensed"/>
          <w:sz w:val="24"/>
          <w:szCs w:val="24"/>
        </w:rPr>
        <w:t xml:space="preserve"> aperti dal primo. La categoria è: </w:t>
      </w:r>
      <w:r>
        <w:rPr>
          <w:rFonts w:ascii="Barlow Semi Condensed" w:cs="Barlow Semi Condensed" w:eastAsia="Barlow Semi Condensed" w:hAnsi="Barlow Semi Condensed"/>
          <w:b/>
          <w:bCs/>
          <w:sz w:val="24"/>
          <w:szCs w:val="24"/>
        </w:rPr>
        <w:t xml:space="preserve">effetto convergente da causa comune</w:t>
      </w:r>
      <w:r>
        <w:rPr>
          <w:rFonts w:ascii="Barlow Semi Condensed" w:cs="Barlow Semi Condensed" w:eastAsia="Barlow Semi Condensed" w:hAnsi="Barlow Semi Condensed"/>
          <w:sz w:val="24"/>
          <w:szCs w:val="24"/>
        </w:rPr>
        <w:t xml:space="preserve">, da dichiarare quando due esiti simultanei discendono provatamente dallo stesso evento e non l'uno dall'altro. È una precisazione della griglia, non un allentamento: serve proprio a impedire che una simultaneità con causa nota venga promossa a nesso fra i suoi due effetti.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L'incrocio metodologico con l'opera privata</w:t>
      </w:r>
    </w:p>
    <w:p>
      <w:pPr>
        <w:spacing w:after="120" w:line="276"/>
        <w:jc w:val="both"/>
      </w:pPr>
      <w:r>
        <w:rPr>
          <w:rFonts w:ascii="Barlow Semi Condensed" w:cs="Barlow Semi Condensed" w:eastAsia="Barlow Semi Condensed" w:hAnsi="Barlow Semi Condensed"/>
          <w:sz w:val="24"/>
          <w:szCs w:val="24"/>
        </w:rPr>
        <w:t xml:space="preserve">Il corpus dichiara da sempre di adottare e calcolare sul proprio materiale le </w:t>
      </w:r>
      <w:r>
        <w:rPr>
          <w:rFonts w:ascii="Barlow Semi Condensed" w:cs="Barlow Semi Condensed" w:eastAsia="Barlow Semi Condensed" w:hAnsi="Barlow Semi Condensed"/>
          <w:b/>
          <w:bCs/>
          <w:sz w:val="24"/>
          <w:szCs w:val="24"/>
        </w:rPr>
        <w:t xml:space="preserve">metodologie dell'opera maggiore dell'autore</w:t>
      </w:r>
      <w:r>
        <w:rPr>
          <w:rFonts w:ascii="Barlow Semi Condensed" w:cs="Barlow Semi Condensed" w:eastAsia="Barlow Semi Condensed" w:hAnsi="Barlow Semi Condensed"/>
          <w:sz w:val="24"/>
          <w:szCs w:val="24"/>
        </w:rPr>
        <w:t xml:space="preserve">, che resta sul versante non pubblicabile. La campagna ha esteso quell'incrocio al materiale metodologico più recente di quel versante — un censimento dei nodi per dominio e una misura statistica delle associazioni fra domini —, con un vincolo assoluto rispettato in pieno: </w:t>
      </w:r>
      <w:r>
        <w:rPr>
          <w:rFonts w:ascii="Barlow Semi Condensed" w:cs="Barlow Semi Condensed" w:eastAsia="Barlow Semi Condensed" w:hAnsi="Barlow Semi Condensed"/>
          <w:b/>
          <w:bCs/>
          <w:sz w:val="24"/>
          <w:szCs w:val="24"/>
        </w:rPr>
        <w:t xml:space="preserve">si trasferisce il metodo, mai i nomi</w:t>
      </w:r>
      <w:r>
        <w:rPr>
          <w:rFonts w:ascii="Barlow Semi Condensed" w:cs="Barlow Semi Condensed" w:eastAsia="Barlow Semi Condensed" w:hAnsi="Barlow Semi Condensed"/>
          <w:sz w:val="24"/>
          <w:szCs w:val="24"/>
        </w:rPr>
        <w:t xml:space="preserve">. Ne escono quattro acquisizioni per il ramo pubblico.</w:t>
      </w:r>
    </w:p>
    <w:p>
      <w:pPr>
        <w:spacing w:after="120" w:line="276"/>
        <w:jc w:val="both"/>
      </w:pPr>
      <w:r>
        <w:rPr>
          <w:rFonts w:ascii="Barlow Semi Condensed" w:cs="Barlow Semi Condensed" w:eastAsia="Barlow Semi Condensed" w:hAnsi="Barlow Semi Condensed"/>
          <w:b/>
          <w:bCs/>
          <w:sz w:val="24"/>
          <w:szCs w:val="24"/>
        </w:rPr>
        <w:t xml:space="preserve">Si gradua ciò che è documento, non chi è persona.</w:t>
      </w:r>
      <w:r>
        <w:rPr>
          <w:rFonts w:ascii="Barlow Semi Condensed" w:cs="Barlow Semi Condensed" w:eastAsia="Barlow Semi Condensed" w:hAnsi="Barlow Semi Condensed"/>
          <w:sz w:val="24"/>
          <w:szCs w:val="24"/>
        </w:rPr>
        <w:t xml:space="preserve"> È la divergenza che delimita esattamente ciò che è trasferibile. L'opera privata attribuisce un livello probatorio ai nodi-persona; il branch pubblico non lo fa e non lo farà: gli strumenti che misurano la documentazione si usano per intero e con calcolo reale, quelli che graduano le persone non si usano, perché qui ci si ferma al giudicato e </w:t>
      </w:r>
      <w:r>
        <w:rPr>
          <w:rFonts w:ascii="Barlow Semi Condensed" w:cs="Barlow Semi Condensed" w:eastAsia="Barlow Semi Condensed" w:hAnsi="Barlow Semi Condensed"/>
          <w:b/>
          <w:bCs/>
          <w:sz w:val="24"/>
          <w:szCs w:val="24"/>
        </w:rPr>
        <w:t xml:space="preserve">il registro del giudicato resta l'unico luogo dei nomi</w:t>
      </w:r>
      <w:r>
        <w:rPr>
          <w:rFonts w:ascii="Barlow Semi Condensed" w:cs="Barlow Semi Condensed" w:eastAsia="Barlow Semi Condensed" w:hAnsi="Barlow Semi Condensed"/>
          <w:sz w:val="24"/>
          <w:szCs w:val="24"/>
        </w:rPr>
        <w:t xml:space="preserve">. La misura dei domini e delle loro associazioni è trasferibile per intero, perché misura documenti; l'attribuzione di livello alle persone non lo è. La divergenza si riporta e non si compone.</w:t>
      </w:r>
    </w:p>
    <w:p>
      <w:pPr>
        <w:spacing w:after="120" w:line="276"/>
        <w:jc w:val="both"/>
      </w:pPr>
      <w:r>
        <w:rPr>
          <w:rFonts w:ascii="Barlow Semi Condensed" w:cs="Barlow Semi Condensed" w:eastAsia="Barlow Semi Condensed" w:hAnsi="Barlow Semi Condensed"/>
          <w:b/>
          <w:bCs/>
          <w:sz w:val="24"/>
          <w:szCs w:val="24"/>
        </w:rPr>
        <w:t xml:space="preserve">Senza grado sulla sinapsi non esiste cammino valutabile.</w:t>
      </w:r>
      <w:r>
        <w:rPr>
          <w:rFonts w:ascii="Barlow Semi Condensed" w:cs="Barlow Semi Condensed" w:eastAsia="Barlow Semi Condensed" w:hAnsi="Barlow Semi Condensed"/>
          <w:sz w:val="24"/>
          <w:szCs w:val="24"/>
        </w:rPr>
        <w:t xml:space="preserve"> L'inventario privato conta ottocentosessantasei nodi e duecentoventiquattro archi </w:t>
      </w:r>
      <w:r>
        <w:rPr>
          <w:rFonts w:ascii="Barlow Semi Condensed" w:cs="Barlow Semi Condensed" w:eastAsia="Barlow Semi Condensed" w:hAnsi="Barlow Semi Condensed"/>
          <w:i/>
          <w:iCs/>
          <w:sz w:val="24"/>
          <w:szCs w:val="24"/>
        </w:rPr>
        <w:t xml:space="preserve">contati ma non gradati</w:t>
      </w:r>
      <w:r>
        <w:rPr>
          <w:rFonts w:ascii="Barlow Semi Condensed" w:cs="Barlow Semi Condensed" w:eastAsia="Barlow Semi Condensed" w:hAnsi="Barlow Semi Condensed"/>
          <w:sz w:val="24"/>
          <w:szCs w:val="24"/>
        </w:rPr>
        <w:t xml:space="preserve">; il corpus pubblico lavora sulla proporzione inversa — trentanove nodi e cinquantanove archi — ma </w:t>
      </w:r>
      <w:r>
        <w:rPr>
          <w:rFonts w:ascii="Barlow Semi Condensed" w:cs="Barlow Semi Condensed" w:eastAsia="Barlow Semi Condensed" w:hAnsi="Barlow Semi Condensed"/>
          <w:b/>
          <w:bCs/>
          <w:sz w:val="24"/>
          <w:szCs w:val="24"/>
        </w:rPr>
        <w:t xml:space="preserve">nessun arco entra senza il proprio grado</w:t>
      </w:r>
      <w:r>
        <w:rPr>
          <w:rFonts w:ascii="Barlow Semi Condensed" w:cs="Barlow Semi Condensed" w:eastAsia="Barlow Semi Condensed" w:hAnsi="Barlow Semi Condensed"/>
          <w:sz w:val="24"/>
          <w:szCs w:val="24"/>
        </w:rPr>
        <w:t xml:space="preserve">. La conseguenza è operativa e non retorica: la regola dell'anello debole, per cui il grado di un cammino è il grado minimo fra i suoi archi, </w:t>
      </w:r>
      <w:r>
        <w:rPr>
          <w:rFonts w:ascii="Barlow Semi Condensed" w:cs="Barlow Semi Condensed" w:eastAsia="Barlow Semi Condensed" w:hAnsi="Barlow Semi Condensed"/>
          <w:b/>
          <w:bCs/>
          <w:sz w:val="24"/>
          <w:szCs w:val="24"/>
        </w:rPr>
        <w:t xml:space="preserve">non è calcolabile</w:t>
      </w:r>
      <w:r>
        <w:rPr>
          <w:rFonts w:ascii="Barlow Semi Condensed" w:cs="Barlow Semi Condensed" w:eastAsia="Barlow Semi Condensed" w:hAnsi="Barlow Semi Condensed"/>
          <w:sz w:val="24"/>
          <w:szCs w:val="24"/>
        </w:rPr>
        <w:t xml:space="preserve"> finché le sinapsi non sono gradate. Nella costruzione della rete si gradua la sinapsi, non il neurone.</w:t>
      </w:r>
    </w:p>
    <w:p>
      <w:pPr>
        <w:spacing w:after="120" w:line="276"/>
        <w:jc w:val="both"/>
      </w:pPr>
      <w:r>
        <w:rPr>
          <w:rFonts w:ascii="Barlow Semi Condensed" w:cs="Barlow Semi Condensed" w:eastAsia="Barlow Semi Condensed" w:hAnsi="Barlow Semi Condensed"/>
          <w:b/>
          <w:bCs/>
          <w:sz w:val="24"/>
          <w:szCs w:val="24"/>
        </w:rPr>
        <w:t xml:space="preserve">La regola dei buchi acquista un secondo tempo.</w:t>
      </w:r>
      <w:r>
        <w:rPr>
          <w:rFonts w:ascii="Barlow Semi Condensed" w:cs="Barlow Semi Condensed" w:eastAsia="Barlow Semi Condensed" w:hAnsi="Barlow Semi Condensed"/>
          <w:sz w:val="24"/>
          <w:szCs w:val="24"/>
        </w:rPr>
        <w:t xml:space="preserve"> Il corpus pubblico possiede da tempo la prima metà della disciplina: i buchi strutturali non sono difetti da riempire, si misurano e si dichiarano, e ogni buco resta congettura possibile finché un documento non diventi arco. La misura statistica dell'opera privata ne consegna la seconda metà: </w:t>
      </w:r>
      <w:r>
        <w:rPr>
          <w:rFonts w:ascii="Barlow Semi Condensed" w:cs="Barlow Semi Condensed" w:eastAsia="Barlow Semi Condensed" w:hAnsi="Barlow Semi Condensed"/>
          <w:b/>
          <w:bCs/>
          <w:sz w:val="24"/>
          <w:szCs w:val="24"/>
        </w:rPr>
        <w:t xml:space="preserve">un basso rapporto di associazione fra due domini non è indizio di assenza di rapporti, ma indizio che nessuno ha scritto un documento che li tratti insieme</w:t>
      </w:r>
      <w:r>
        <w:rPr>
          <w:rFonts w:ascii="Barlow Semi Condensed" w:cs="Barlow Semi Condensed" w:eastAsia="Barlow Semi Condensed" w:hAnsi="Barlow Semi Condensed"/>
          <w:sz w:val="24"/>
          <w:szCs w:val="24"/>
        </w:rPr>
        <w:t xml:space="preserve">. Combinate, danno una procedura a due tempi da applicare in entrambi i cantieri: prima si misura il buco e lo si dichiara; poi se ne diagnostica la causa nella specializzazione delle fonti; </w:t>
      </w:r>
      <w:r>
        <w:rPr>
          <w:rFonts w:ascii="Barlow Semi Condensed" w:cs="Barlow Semi Condensed" w:eastAsia="Barlow Semi Condensed" w:hAnsi="Barlow Semi Condensed"/>
          <w:b/>
          <w:bCs/>
          <w:sz w:val="24"/>
          <w:szCs w:val="24"/>
        </w:rPr>
        <w:t xml:space="preserve">solo dopo</w:t>
      </w:r>
      <w:r>
        <w:rPr>
          <w:rFonts w:ascii="Barlow Semi Condensed" w:cs="Barlow Semi Condensed" w:eastAsia="Barlow Semi Condensed" w:hAnsi="Barlow Semi Condensed"/>
          <w:sz w:val="24"/>
          <w:szCs w:val="24"/>
        </w:rPr>
        <w:t xml:space="preserve"> si è autorizzati a interrogarlo sulla struttura del mondo. Questa campagna ne offre due esempi immediati — il vuoto sul lodo Moro e quello su Fiumicino non dicono che il caso non tocchi quel versante: dicono che il corpus non ha ancora spogliato le fonti che lo trattano.</w:t>
      </w:r>
    </w:p>
    <w:p>
      <w:pPr>
        <w:spacing w:after="120" w:line="276"/>
        <w:jc w:val="both"/>
      </w:pPr>
      <w:r>
        <w:rPr>
          <w:rFonts w:ascii="Barlow Semi Condensed" w:cs="Barlow Semi Condensed" w:eastAsia="Barlow Semi Condensed" w:hAnsi="Barlow Semi Condensed"/>
          <w:b/>
          <w:bCs/>
          <w:sz w:val="24"/>
          <w:szCs w:val="24"/>
        </w:rPr>
        <w:t xml:space="preserve">Il dominio più piccolo è quello che lega.</w:t>
      </w:r>
      <w:r>
        <w:rPr>
          <w:rFonts w:ascii="Barlow Semi Condensed" w:cs="Barlow Semi Condensed" w:eastAsia="Barlow Semi Condensed" w:hAnsi="Barlow Semi Condensed"/>
          <w:sz w:val="24"/>
          <w:szCs w:val="24"/>
        </w:rPr>
        <w:t xml:space="preserve"> Nella misura privata le tre associazioni più forti passano tutte per lo stesso dominio, che è però fra i meno presenti in assoluto: pochi legami, molti passaggi — la figura che la teoria delle reti chiama ponte. Il corpus pubblico ne documenta una identica nel proprio comparto non brigatista, dove il nodo con quasi un quarto dell'intermediazione documentale porta meno del cinque per cento delle connessioni. La regola d'interpretazione si trasferisce per intero, ed è quella che il corpus antepone a ogni lettura della propria rete: </w:t>
      </w:r>
      <w:r>
        <w:rPr>
          <w:rFonts w:ascii="Barlow Semi Condensed" w:cs="Barlow Semi Condensed" w:eastAsia="Barlow Semi Condensed" w:hAnsi="Barlow Semi Condensed"/>
          <w:b/>
          <w:bCs/>
          <w:sz w:val="24"/>
          <w:szCs w:val="24"/>
        </w:rPr>
        <w:t xml:space="preserve">la centralità misura la densità della documentazione, non la responsabilità.</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VIII. Che cosa questa campagna non ha stabilito</w:t>
      </w:r>
    </w:p>
    <w:p>
      <w:pPr>
        <w:spacing w:after="120" w:line="276"/>
        <w:jc w:val="both"/>
      </w:pPr>
      <w:r>
        <w:rPr>
          <w:rFonts w:ascii="Barlow Semi Condensed" w:cs="Barlow Semi Condensed" w:eastAsia="Barlow Semi Condensed" w:hAnsi="Barlow Semi Condensed"/>
          <w:sz w:val="24"/>
          <w:szCs w:val="24"/>
        </w:rPr>
        <w:t xml:space="preserve">Va detto con la stessa nettezza degli acquisti. </w:t>
      </w:r>
      <w:r>
        <w:rPr>
          <w:rFonts w:ascii="Barlow Semi Condensed" w:cs="Barlow Semi Condensed" w:eastAsia="Barlow Semi Condensed" w:hAnsi="Barlow Semi Condensed"/>
          <w:b/>
          <w:bCs/>
          <w:sz w:val="24"/>
          <w:szCs w:val="24"/>
        </w:rPr>
        <w:t xml:space="preserve">Non è stabilito</w:t>
      </w:r>
      <w:r>
        <w:rPr>
          <w:rFonts w:ascii="Barlow Semi Condensed" w:cs="Barlow Semi Condensed" w:eastAsia="Barlow Semi Condensed" w:hAnsi="Barlow Semi Condensed"/>
          <w:sz w:val="24"/>
          <w:szCs w:val="24"/>
        </w:rPr>
        <w:t xml:space="preserve"> alcun contatto diretto fra Moro e i ministri degli Esteri spagnoli; </w:t>
      </w:r>
      <w:r>
        <w:rPr>
          <w:rFonts w:ascii="Barlow Semi Condensed" w:cs="Barlow Semi Condensed" w:eastAsia="Barlow Semi Condensed" w:hAnsi="Barlow Semi Condensed"/>
          <w:b/>
          <w:bCs/>
          <w:sz w:val="24"/>
          <w:szCs w:val="24"/>
        </w:rPr>
        <w:t xml:space="preserve">non è stabilita</w:t>
      </w:r>
      <w:r>
        <w:rPr>
          <w:rFonts w:ascii="Barlow Semi Condensed" w:cs="Barlow Semi Condensed" w:eastAsia="Barlow Semi Condensed" w:hAnsi="Barlow Semi Condensed"/>
          <w:sz w:val="24"/>
          <w:szCs w:val="24"/>
        </w:rPr>
        <w:t xml:space="preserve"> alcuna posizione italiana sulla riorganizzazione diocesana del 1972, né alcun atto italiano sull'espulsione dei missionari del 1974; </w:t>
      </w:r>
      <w:r>
        <w:rPr>
          <w:rFonts w:ascii="Barlow Semi Condensed" w:cs="Barlow Semi Condensed" w:eastAsia="Barlow Semi Condensed" w:hAnsi="Barlow Semi Condensed"/>
          <w:b/>
          <w:bCs/>
          <w:sz w:val="24"/>
          <w:szCs w:val="24"/>
        </w:rPr>
        <w:t xml:space="preserve">non è stabilito</w:t>
      </w:r>
      <w:r>
        <w:rPr>
          <w:rFonts w:ascii="Barlow Semi Condensed" w:cs="Barlow Semi Condensed" w:eastAsia="Barlow Semi Condensed" w:hAnsi="Barlow Semi Condensed"/>
          <w:sz w:val="24"/>
          <w:szCs w:val="24"/>
        </w:rPr>
        <w:t xml:space="preserve"> che il funzionario italiano nominato dal documento CIA sia Moro; </w:t>
      </w:r>
      <w:r>
        <w:rPr>
          <w:rFonts w:ascii="Barlow Semi Condensed" w:cs="Barlow Semi Condensed" w:eastAsia="Barlow Semi Condensed" w:hAnsi="Barlow Semi Condensed"/>
          <w:b/>
          <w:bCs/>
          <w:sz w:val="24"/>
          <w:szCs w:val="24"/>
        </w:rPr>
        <w:t xml:space="preserve">non è stabilito</w:t>
      </w:r>
      <w:r>
        <w:rPr>
          <w:rFonts w:ascii="Barlow Semi Condensed" w:cs="Barlow Semi Condensed" w:eastAsia="Barlow Semi Condensed" w:hAnsi="Barlow Semi Condensed"/>
          <w:sz w:val="24"/>
          <w:szCs w:val="24"/>
        </w:rPr>
        <w:t xml:space="preserve"> che la comunanza di ambiente cattolico fra Roma politica, Roma pontificia e i ministri di Madrid sia mai divenuta condotta coordinata. E </w:t>
      </w:r>
      <w:r>
        <w:rPr>
          <w:rFonts w:ascii="Barlow Semi Condensed" w:cs="Barlow Semi Condensed" w:eastAsia="Barlow Semi Condensed" w:hAnsi="Barlow Semi Condensed"/>
          <w:b/>
          <w:bCs/>
          <w:sz w:val="24"/>
          <w:szCs w:val="24"/>
        </w:rPr>
        <w:t xml:space="preserve">non è stabilito</w:t>
      </w:r>
      <w:r>
        <w:rPr>
          <w:rFonts w:ascii="Barlow Semi Condensed" w:cs="Barlow Semi Condensed" w:eastAsia="Barlow Semi Condensed" w:hAnsi="Barlow Semi Condensed"/>
          <w:sz w:val="24"/>
          <w:szCs w:val="24"/>
        </w:rPr>
        <w:t xml:space="preserve"> — ma va detto perché è il punto in cui la tentazione è più forte — che il silenzio del vertice governativo italiano su questi dossier sia stato inerzia deliberata: è, allo stato, </w:t>
      </w:r>
      <w:r>
        <w:rPr>
          <w:rFonts w:ascii="Barlow Semi Condensed" w:cs="Barlow Semi Condensed" w:eastAsia="Barlow Semi Condensed" w:hAnsi="Barlow Semi Condensed"/>
          <w:b/>
          <w:bCs/>
          <w:sz w:val="24"/>
          <w:szCs w:val="24"/>
        </w:rPr>
        <w:t xml:space="preserve">assenza di fonti</w:t>
      </w:r>
      <w:r>
        <w:rPr>
          <w:rFonts w:ascii="Barlow Semi Condensed" w:cs="Barlow Semi Condensed" w:eastAsia="Barlow Semi Condensed" w:hAnsi="Barlow Semi Condensed"/>
          <w:sz w:val="24"/>
          <w:szCs w:val="24"/>
        </w:rPr>
        <w:t xml:space="preserve">, e l'assenza di fonti si colma in archivio, non per inferenza.</w:t>
      </w:r>
    </w:p>
    <w:p>
      <w:pPr>
        <w:spacing w:after="120" w:line="276"/>
        <w:jc w:val="both"/>
      </w:pPr>
      <w:r>
        <w:rPr>
          <w:rFonts w:ascii="Barlow Semi Condensed" w:cs="Barlow Semi Condensed" w:eastAsia="Barlow Semi Condensed" w:hAnsi="Barlow Semi Condensed"/>
          <w:sz w:val="24"/>
          <w:szCs w:val="24"/>
        </w:rPr>
        <w:t xml:space="preserve">L'Archivio Apostolico Vaticano resta consultabile solo fino all'ottobre 1958: ogni verifica archivistica primaria sugli atti pontifici qui trattati è </w:t>
      </w:r>
      <w:r>
        <w:rPr>
          <w:rFonts w:ascii="Barlow Semi Condensed" w:cs="Barlow Semi Condensed" w:eastAsia="Barlow Semi Condensed" w:hAnsi="Barlow Semi Condensed"/>
          <w:b/>
          <w:bCs/>
          <w:sz w:val="24"/>
          <w:szCs w:val="24"/>
        </w:rPr>
        <w:t xml:space="preserve">preclusa allo stato</w:t>
      </w:r>
      <w:r>
        <w:rPr>
          <w:rFonts w:ascii="Barlow Semi Condensed" w:cs="Barlow Semi Condensed" w:eastAsia="Barlow Semi Condensed" w:hAnsi="Barlow Semi Condensed"/>
          <w:sz w:val="24"/>
          <w:szCs w:val="24"/>
        </w:rPr>
        <w:t xml:space="preserve">, e le ricostruzioni poggiano su fonti edite, storiografia e fonti ufficiali dell'istituzione. Dove un documento della campagna indica «gli archivi vaticani» come sede da interrogare per gli anni Settanta, quella sede </w:t>
      </w:r>
      <w:r>
        <w:rPr>
          <w:rFonts w:ascii="Barlow Semi Condensed" w:cs="Barlow Semi Condensed" w:eastAsia="Barlow Semi Condensed" w:hAnsi="Barlow Semi Condensed"/>
          <w:b/>
          <w:bCs/>
          <w:sz w:val="24"/>
          <w:szCs w:val="24"/>
        </w:rPr>
        <w:t xml:space="preserve">non è oggi apribile</w:t>
      </w:r>
      <w:r>
        <w:rPr>
          <w:rFonts w:ascii="Barlow Semi Condensed" w:cs="Barlow Semi Condensed" w:eastAsia="Barlow Semi Condensed" w:hAnsi="Barlow Semi Condensed"/>
          <w:sz w:val="24"/>
          <w:szCs w:val="24"/>
        </w:rPr>
        <w:t xml:space="preserve">: la tensione fra i due testi è stata rilevata dall'incrocio ed è risolta a favore del limite reale.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F — Le verifiche della seconda campagna</w:t>
      </w:r>
    </w:p>
    <w:p>
      <w:pPr>
        <w:spacing w:after="120" w:line="276"/>
        <w:jc w:val="both"/>
      </w:pPr>
      <w:r>
        <w:rPr>
          <w:rFonts w:ascii="Barlow Semi Condensed" w:cs="Barlow Semi Condensed" w:eastAsia="Barlow Semi Condensed" w:hAnsi="Barlow Semi Condensed"/>
          <w:sz w:val="24"/>
          <w:szCs w:val="24"/>
        </w:rPr>
        <w:t xml:space="preserve">Come per le campagne precedenti, i fatti portanti sono stati sottoposti a </w:t>
      </w:r>
      <w:r>
        <w:rPr>
          <w:rFonts w:ascii="Barlow Semi Condensed" w:cs="Barlow Semi Condensed" w:eastAsia="Barlow Semi Condensed" w:hAnsi="Barlow Semi Condensed"/>
          <w:b/>
          <w:bCs/>
          <w:sz w:val="24"/>
          <w:szCs w:val="24"/>
        </w:rPr>
        <w:t xml:space="preserve">verifica indipendente su fonti in rete</w:t>
      </w:r>
      <w:r>
        <w:rPr>
          <w:rFonts w:ascii="Barlow Semi Condensed" w:cs="Barlow Semi Condensed" w:eastAsia="Barlow Semi Condensed" w:hAnsi="Barlow Semi Condensed"/>
          <w:sz w:val="24"/>
          <w:szCs w:val="24"/>
        </w:rPr>
        <w:t xml:space="preserve">, con l'obbligo di riportare le divergenze e di dichiarare gli esiti negativi. Si registrano qui i risultati, comprese — anzi soprattutto — le precisazioni che correggono la formulazione dei documenti nuovi.</w:t>
      </w:r>
    </w:p>
    <w:p>
      <w:pPr>
        <w:pStyle w:val="Heading3"/>
        <w:spacing w:after="80" w:before="160"/>
      </w:pPr>
      <w:r>
        <w:rPr>
          <w:rFonts w:ascii="Barlow Semi Condensed" w:cs="Barlow Semi Condensed" w:eastAsia="Barlow Semi Condensed" w:hAnsi="Barlow Semi Condensed"/>
          <w:sz w:val="24"/>
          <w:szCs w:val="24"/>
        </w:rPr>
        <w:t xml:space="preserve">F-1 · La sequenza Oder-Neisse</w:t>
      </w:r>
    </w:p>
    <w:p>
      <w:pPr>
        <w:spacing w:after="120" w:line="276"/>
        <w:jc w:val="both"/>
      </w:pPr>
      <w:r>
        <w:rPr>
          <w:rFonts w:ascii="Barlow Semi Condensed" w:cs="Barlow Semi Condensed" w:eastAsia="Barlow Semi Condensed" w:hAnsi="Barlow Semi Condensed"/>
          <w:b/>
          <w:bCs/>
          <w:sz w:val="24"/>
          <w:szCs w:val="24"/>
        </w:rPr>
        <w:t xml:space="preserve">Confermati</w:t>
      </w:r>
      <w:r>
        <w:rPr>
          <w:rFonts w:ascii="Barlow Semi Condensed" w:cs="Barlow Semi Condensed" w:eastAsia="Barlow Semi Condensed" w:hAnsi="Barlow Semi Condensed"/>
          <w:sz w:val="24"/>
          <w:szCs w:val="24"/>
        </w:rPr>
        <w:t xml:space="preserve"> senza riserve: la firma del Trattato di Varsavia il </w:t>
      </w:r>
      <w:r>
        <w:rPr>
          <w:rFonts w:ascii="Barlow Semi Condensed" w:cs="Barlow Semi Condensed" w:eastAsia="Barlow Semi Condensed" w:hAnsi="Barlow Semi Condensed"/>
          <w:b/>
          <w:bCs/>
          <w:sz w:val="24"/>
          <w:szCs w:val="24"/>
        </w:rPr>
        <w:t xml:space="preserve">7 dicembre 1970</w:t>
      </w:r>
      <w:r>
        <w:rPr>
          <w:rFonts w:ascii="Barlow Semi Condensed" w:cs="Barlow Semi Condensed" w:eastAsia="Barlow Semi Condensed" w:hAnsi="Barlow Semi Condensed"/>
          <w:sz w:val="24"/>
          <w:szCs w:val="24"/>
        </w:rPr>
        <w:t xml:space="preserve"> (titolo esatto: </w:t>
      </w:r>
      <w:r>
        <w:rPr>
          <w:rFonts w:ascii="Barlow Semi Condensed" w:cs="Barlow Semi Condensed" w:eastAsia="Barlow Semi Condensed" w:hAnsi="Barlow Semi Condensed"/>
          <w:i/>
          <w:iCs/>
          <w:sz w:val="24"/>
          <w:szCs w:val="24"/>
        </w:rPr>
        <w:t xml:space="preserve">Vertrag über die Grundlagen der Normalisierung der gegenseitigen Beziehungen zwischen der Bundesrepublik Deutschland und der Volksrepublik Polen</w:t>
      </w:r>
      <w:r>
        <w:rPr>
          <w:rFonts w:ascii="Barlow Semi Condensed" w:cs="Barlow Semi Condensed" w:eastAsia="Barlow Semi Condensed" w:hAnsi="Barlow Semi Condensed"/>
          <w:sz w:val="24"/>
          <w:szCs w:val="24"/>
        </w:rPr>
        <w:t xml:space="preserve">), sottoscritto dal cancelliere e dal primo ministro polacco insieme ai due ministri degli Esteri; lo </w:t>
      </w:r>
      <w:r>
        <w:rPr>
          <w:rFonts w:ascii="Barlow Semi Condensed" w:cs="Barlow Semi Condensed" w:eastAsia="Barlow Semi Condensed" w:hAnsi="Barlow Semi Condensed"/>
          <w:b/>
          <w:bCs/>
          <w:sz w:val="24"/>
          <w:szCs w:val="24"/>
        </w:rPr>
        <w:t xml:space="preserve">scambio degli strumenti di ratifica a Bonn il 3 giugno 1972</w:t>
      </w:r>
      <w:r>
        <w:rPr>
          <w:rFonts w:ascii="Barlow Semi Condensed" w:cs="Barlow Semi Condensed" w:eastAsia="Barlow Semi Condensed" w:hAnsi="Barlow Semi Condensed"/>
          <w:sz w:val="24"/>
          <w:szCs w:val="24"/>
        </w:rPr>
        <w:t xml:space="preserve">, con entrata in vigore lo stesso giorno contestualmente al Trattato di Mosca; il </w:t>
      </w:r>
      <w:r>
        <w:rPr>
          <w:rFonts w:ascii="Barlow Semi Condensed" w:cs="Barlow Semi Condensed" w:eastAsia="Barlow Semi Condensed" w:hAnsi="Barlow Semi Condensed"/>
          <w:b/>
          <w:bCs/>
          <w:sz w:val="24"/>
          <w:szCs w:val="24"/>
        </w:rPr>
        <w:t xml:space="preserve">Kniefall</w:t>
      </w:r>
      <w:r>
        <w:rPr>
          <w:rFonts w:ascii="Barlow Semi Condensed" w:cs="Barlow Semi Condensed" w:eastAsia="Barlow Semi Condensed" w:hAnsi="Barlow Semi Condensed"/>
          <w:sz w:val="24"/>
          <w:szCs w:val="24"/>
        </w:rPr>
        <w:t xml:space="preserve"> di Varsavia del 7 dicembre 1970; e la documentazione del nesso da parte dello storico Karl-Joseph Hummel, direttore della Forschungsstelle della Kommission für Zeitgeschichte di Bonn, di cui la verifica identifica due sedi editoriali distinte (</w:t>
      </w:r>
      <w:r>
        <w:rPr>
          <w:rFonts w:ascii="Barlow Semi Condensed" w:cs="Barlow Semi Condensed" w:eastAsia="Barlow Semi Condensed" w:hAnsi="Barlow Semi Condensed"/>
          <w:i/>
          <w:iCs/>
          <w:sz w:val="24"/>
          <w:szCs w:val="24"/>
        </w:rPr>
        <w:t xml:space="preserve">OST-WEST Europäische Perspektiven</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 für Sozialgeschichte</w:t>
      </w:r>
      <w:r>
        <w:rPr>
          <w:rFonts w:ascii="Barlow Semi Condensed" w:cs="Barlow Semi Condensed" w:eastAsia="Barlow Semi Condensed" w:hAnsi="Barlow Semi Condensed"/>
          <w:sz w:val="24"/>
          <w:szCs w:val="24"/>
        </w:rPr>
        <w:t xml:space="preserve"> 45, 2005, pp. 165-214).</w:t>
      </w:r>
    </w:p>
    <w:p>
      <w:pPr>
        <w:spacing w:after="120" w:line="276"/>
        <w:jc w:val="both"/>
      </w:pPr>
      <w:r>
        <w:rPr>
          <w:rFonts w:ascii="Barlow Semi Condensed" w:cs="Barlow Semi Condensed" w:eastAsia="Barlow Semi Condensed" w:hAnsi="Barlow Semi Condensed"/>
          <w:b/>
          <w:bCs/>
          <w:sz w:val="24"/>
          <w:szCs w:val="24"/>
        </w:rPr>
        <w:t xml:space="preserve">Due precisazioni che il corpus recepisce.</w:t>
      </w:r>
    </w:p>
    <w:p>
      <w:pPr>
        <w:spacing w:after="120" w:line="276"/>
        <w:jc w:val="both"/>
      </w:pPr>
      <w:r>
        <w:rPr>
          <w:rFonts w:ascii="Barlow Semi Condensed" w:cs="Barlow Semi Condensed" w:eastAsia="Barlow Semi Condensed" w:hAnsi="Barlow Semi Condensed"/>
          <w:i/>
          <w:iCs/>
          <w:sz w:val="24"/>
          <w:szCs w:val="24"/>
        </w:rPr>
        <w:t xml:space="preserve">Sulla ratifica.</w:t>
      </w:r>
      <w:r>
        <w:rPr>
          <w:rFonts w:ascii="Barlow Semi Condensed" w:cs="Barlow Semi Condensed" w:eastAsia="Barlow Semi Condensed" w:hAnsi="Barlow Semi Condensed"/>
          <w:sz w:val="24"/>
          <w:szCs w:val="24"/>
        </w:rPr>
        <w:t xml:space="preserve"> La formula «il Bundestag ratificò il trattato il 17 maggio 1972» è </w:t>
      </w:r>
      <w:r>
        <w:rPr>
          <w:rFonts w:ascii="Barlow Semi Condensed" w:cs="Barlow Semi Condensed" w:eastAsia="Barlow Semi Condensed" w:hAnsi="Barlow Semi Condensed"/>
          <w:b/>
          <w:bCs/>
          <w:sz w:val="24"/>
          <w:szCs w:val="24"/>
        </w:rPr>
        <w:t xml:space="preserve">imprecisa sul piano costituzionale</w:t>
      </w:r>
      <w:r>
        <w:rPr>
          <w:rFonts w:ascii="Barlow Semi Condensed" w:cs="Barlow Semi Condensed" w:eastAsia="Barlow Semi Condensed" w:hAnsi="Barlow Semi Condensed"/>
          <w:sz w:val="24"/>
          <w:szCs w:val="24"/>
        </w:rPr>
        <w:t xml:space="preserve">: quel giorno il Bundestag approvò le </w:t>
      </w:r>
      <w:r>
        <w:rPr>
          <w:rFonts w:ascii="Barlow Semi Condensed" w:cs="Barlow Semi Condensed" w:eastAsia="Barlow Semi Condensed" w:hAnsi="Barlow Semi Condensed"/>
          <w:i/>
          <w:iCs/>
          <w:sz w:val="24"/>
          <w:szCs w:val="24"/>
        </w:rPr>
        <w:t xml:space="preserve">leggi di autorizzazione alla ratifica</w:t>
      </w:r>
      <w:r>
        <w:rPr>
          <w:rFonts w:ascii="Barlow Semi Condensed" w:cs="Barlow Semi Condensed" w:eastAsia="Barlow Semi Condensed" w:hAnsi="Barlow Semi Condensed"/>
          <w:sz w:val="24"/>
          <w:szCs w:val="24"/>
        </w:rPr>
        <w:t xml:space="preserve"> dei trattati di Mosca e di Varsavia; il Bundesrat si pronunciò il 19 maggio; la ratifica in senso proprio è atto successivo del capo dello Stato. La data resta, la qualificazione va corretta — e con essa la misura del divario col 28 giugno, che va contata dall'</w:t>
      </w:r>
      <w:r>
        <w:rPr>
          <w:rFonts w:ascii="Barlow Semi Condensed" w:cs="Barlow Semi Condensed" w:eastAsia="Barlow Semi Condensed" w:hAnsi="Barlow Semi Condensed"/>
          <w:b/>
          <w:bCs/>
          <w:sz w:val="24"/>
          <w:szCs w:val="24"/>
        </w:rPr>
        <w:t xml:space="preserve">entrata in vigore</w:t>
      </w:r>
      <w:r>
        <w:rPr>
          <w:rFonts w:ascii="Barlow Semi Condensed" w:cs="Barlow Semi Condensed" w:eastAsia="Barlow Semi Condensed" w:hAnsi="Barlow Semi Condensed"/>
          <w:sz w:val="24"/>
          <w:szCs w:val="24"/>
        </w:rPr>
        <w:t xml:space="preserve"> (3 giugno, venticinque giorni) e non da un atto di ratifica parlamentare che non esiste in quella forma.</w:t>
      </w:r>
    </w:p>
    <w:p>
      <w:pPr>
        <w:spacing w:after="120" w:line="276"/>
        <w:jc w:val="both"/>
      </w:pPr>
      <w:r>
        <w:rPr>
          <w:rFonts w:ascii="Barlow Semi Condensed" w:cs="Barlow Semi Condensed" w:eastAsia="Barlow Semi Condensed" w:hAnsi="Barlow Semi Condensed"/>
          <w:i/>
          <w:iCs/>
          <w:sz w:val="24"/>
          <w:szCs w:val="24"/>
        </w:rPr>
        <w:t xml:space="preserve">Sul Kniefall.</w:t>
      </w:r>
      <w:r>
        <w:rPr>
          <w:rFonts w:ascii="Barlow Semi Condensed" w:cs="Barlow Semi Condensed" w:eastAsia="Barlow Semi Condensed" w:hAnsi="Barlow Semi Condensed"/>
          <w:sz w:val="24"/>
          <w:szCs w:val="24"/>
        </w:rPr>
        <w:t xml:space="preserve"> Precede la firma di poche ore nella stessa giornata: sono </w:t>
      </w:r>
      <w:r>
        <w:rPr>
          <w:rFonts w:ascii="Barlow Semi Condensed" w:cs="Barlow Semi Condensed" w:eastAsia="Barlow Semi Condensed" w:hAnsi="Barlow Semi Condensed"/>
          <w:b/>
          <w:bCs/>
          <w:sz w:val="24"/>
          <w:szCs w:val="24"/>
        </w:rPr>
        <w:t xml:space="preserve">due eventi distinti del 7 dicembre 1970</w:t>
      </w:r>
      <w:r>
        <w:rPr>
          <w:rFonts w:ascii="Barlow Semi Condensed" w:cs="Barlow Semi Condensed" w:eastAsia="Barlow Semi Condensed" w:hAnsi="Barlow Semi Condensed"/>
          <w:sz w:val="24"/>
          <w:szCs w:val="24"/>
        </w:rPr>
        <w:t xml:space="preserve">, non il medesimo atto, e vanno riportati come tali.</w:t>
      </w:r>
    </w:p>
    <w:p>
      <w:pPr>
        <w:spacing w:after="120" w:line="276"/>
        <w:jc w:val="both"/>
      </w:pPr>
      <w:r>
        <w:rPr>
          <w:rFonts w:ascii="Barlow Semi Condensed" w:cs="Barlow Semi Condensed" w:eastAsia="Barlow Semi Condensed" w:hAnsi="Barlow Semi Condensed"/>
          <w:i/>
          <w:iCs/>
          <w:sz w:val="24"/>
          <w:szCs w:val="24"/>
        </w:rPr>
        <w:t xml:space="preserve">Sulle costituzioni apostoliche.</w:t>
      </w:r>
      <w:r>
        <w:rPr>
          <w:rFonts w:ascii="Barlow Semi Condensed" w:cs="Barlow Semi Condensed" w:eastAsia="Barlow Semi Condensed" w:hAnsi="Barlow Semi Condensed"/>
          <w:sz w:val="24"/>
          <w:szCs w:val="24"/>
        </w:rPr>
        <w:t xml:space="preserve"> Confermato il nucleo — il 28 giugno 1972 Paolo VI emanò in forma di bolla due costituzioni apostoliche — con tre precisazioni: il titolo del secondo documento è </w:t>
      </w:r>
      <w:r>
        <w:rPr>
          <w:rFonts w:ascii="Barlow Semi Condensed" w:cs="Barlow Semi Condensed" w:eastAsia="Barlow Semi Condensed" w:hAnsi="Barlow Semi Condensed"/>
          <w:b/>
          <w:bCs/>
          <w:sz w:val="24"/>
          <w:szCs w:val="24"/>
        </w:rPr>
        <w:t xml:space="preserve">«Vratislaviensis-Berolinensis et aliarum»</w:t>
      </w:r>
      <w:r>
        <w:rPr>
          <w:rFonts w:ascii="Barlow Semi Condensed" w:cs="Barlow Semi Condensed" w:eastAsia="Barlow Semi Condensed" w:hAnsi="Barlow Semi Condensed"/>
          <w:sz w:val="24"/>
          <w:szCs w:val="24"/>
        </w:rPr>
        <w:t xml:space="preserve"> (la resa abbreviata è troncata); la ripartizione dei contenuti fra i due atti va attribuita puntualmente e non cumulativamente; e le grafie divergono fra le fonti enciclopediche.</w:t>
      </w:r>
    </w:p>
    <w:p>
      <w:pPr>
        <w:pStyle w:val="Heading3"/>
        <w:spacing w:after="80" w:before="160"/>
      </w:pPr>
      <w:r>
        <w:rPr>
          <w:rFonts w:ascii="Barlow Semi Condensed" w:cs="Barlow Semi Condensed" w:eastAsia="Barlow Semi Condensed" w:hAnsi="Barlow Semi Condensed"/>
          <w:sz w:val="24"/>
          <w:szCs w:val="24"/>
        </w:rPr>
        <w:t xml:space="preserve">F-2 · La cronologia dei mandati, il TNP e i riconoscimenti</w:t>
      </w:r>
    </w:p>
    <w:p>
      <w:pPr>
        <w:spacing w:after="120" w:line="276"/>
        <w:jc w:val="both"/>
      </w:pPr>
      <w:r>
        <w:rPr>
          <w:rFonts w:ascii="Barlow Semi Condensed" w:cs="Barlow Semi Condensed" w:eastAsia="Barlow Semi Condensed" w:hAnsi="Barlow Semi Condensed"/>
          <w:b/>
          <w:bCs/>
          <w:sz w:val="24"/>
          <w:szCs w:val="24"/>
        </w:rPr>
        <w:t xml:space="preserve">La divergenza sulla fine del primo mandato si chiude.</w:t>
      </w:r>
      <w:r>
        <w:rPr>
          <w:rFonts w:ascii="Barlow Semi Condensed" w:cs="Barlow Semi Condensed" w:eastAsia="Barlow Semi Condensed" w:hAnsi="Barlow Semi Condensed"/>
          <w:sz w:val="24"/>
          <w:szCs w:val="24"/>
        </w:rPr>
        <w:t xml:space="preserve"> La data è il </w:t>
      </w:r>
      <w:r>
        <w:rPr>
          <w:rFonts w:ascii="Barlow Semi Condensed" w:cs="Barlow Semi Condensed" w:eastAsia="Barlow Semi Condensed" w:hAnsi="Barlow Semi Condensed"/>
          <w:b/>
          <w:bCs/>
          <w:sz w:val="24"/>
          <w:szCs w:val="24"/>
        </w:rPr>
        <w:t xml:space="preserve">26 giugno 1972</w:t>
      </w:r>
      <w:r>
        <w:rPr>
          <w:rFonts w:ascii="Barlow Semi Condensed" w:cs="Barlow Semi Condensed" w:eastAsia="Barlow Semi Condensed" w:hAnsi="Barlow Semi Condensed"/>
          <w:sz w:val="24"/>
          <w:szCs w:val="24"/>
        </w:rPr>
        <w:t xml:space="preserve">, e la ragione è dirimente: il primo governo Andreotti cessa quel giorno col giuramento del secondo, nel quale la Farnesina passa a Giuseppe Medici. Poiché il successore entra in carica il 26 giugno, </w:t>
      </w:r>
      <w:r>
        <w:rPr>
          <w:rFonts w:ascii="Barlow Semi Condensed" w:cs="Barlow Semi Condensed" w:eastAsia="Barlow Semi Condensed" w:hAnsi="Barlow Semi Condensed"/>
          <w:b/>
          <w:bCs/>
          <w:sz w:val="24"/>
          <w:szCs w:val="24"/>
        </w:rPr>
        <w:t xml:space="preserve">il mandato di Moro non può proseguire al 29 luglio</w:t>
      </w:r>
      <w:r>
        <w:rPr>
          <w:rFonts w:ascii="Barlow Semi Condensed" w:cs="Barlow Semi Condensed" w:eastAsia="Barlow Semi Condensed" w:hAnsi="Barlow Semi Condensed"/>
          <w:sz w:val="24"/>
          <w:szCs w:val="24"/>
        </w:rPr>
        <w:t xml:space="preserve">: l'indicazione discordante è confutata, non solo divergente. Ne segue la correzione già registrata al capitolo II sul governo in carica il 28 giugno 1972.</w:t>
      </w:r>
    </w:p>
    <w:p>
      <w:pPr>
        <w:spacing w:after="120" w:line="276"/>
        <w:jc w:val="both"/>
      </w:pPr>
      <w:r>
        <w:rPr>
          <w:rFonts w:ascii="Barlow Semi Condensed" w:cs="Barlow Semi Condensed" w:eastAsia="Barlow Semi Condensed" w:hAnsi="Barlow Semi Condensed"/>
          <w:b/>
          <w:bCs/>
          <w:sz w:val="24"/>
          <w:szCs w:val="24"/>
        </w:rPr>
        <w:t xml:space="preserve">Confermato</w:t>
      </w:r>
      <w:r>
        <w:rPr>
          <w:rFonts w:ascii="Barlow Semi Condensed" w:cs="Barlow Semi Condensed" w:eastAsia="Barlow Semi Condensed" w:hAnsi="Barlow Semi Condensed"/>
          <w:sz w:val="24"/>
          <w:szCs w:val="24"/>
        </w:rPr>
        <w:t xml:space="preserve"> il TNP in tutti e tre gli elementi — firma italiana </w:t>
      </w:r>
      <w:r>
        <w:rPr>
          <w:rFonts w:ascii="Barlow Semi Condensed" w:cs="Barlow Semi Condensed" w:eastAsia="Barlow Semi Condensed" w:hAnsi="Barlow Semi Condensed"/>
          <w:b/>
          <w:bCs/>
          <w:sz w:val="24"/>
          <w:szCs w:val="24"/>
        </w:rPr>
        <w:t xml:space="preserve">28 gennaio 1969</w:t>
      </w:r>
      <w:r>
        <w:rPr>
          <w:rFonts w:ascii="Barlow Semi Condensed" w:cs="Barlow Semi Condensed" w:eastAsia="Barlow Semi Condensed" w:hAnsi="Barlow Semi Condensed"/>
          <w:sz w:val="24"/>
          <w:szCs w:val="24"/>
        </w:rPr>
        <w:t xml:space="preserve">, legge di ratifica </w:t>
      </w:r>
      <w:r>
        <w:rPr>
          <w:rFonts w:ascii="Barlow Semi Condensed" w:cs="Barlow Semi Condensed" w:eastAsia="Barlow Semi Condensed" w:hAnsi="Barlow Semi Condensed"/>
          <w:b/>
          <w:bCs/>
          <w:sz w:val="24"/>
          <w:szCs w:val="24"/>
        </w:rPr>
        <w:t xml:space="preserve">24 aprile 1975 n. 131</w:t>
      </w:r>
      <w:r>
        <w:rPr>
          <w:rFonts w:ascii="Barlow Semi Condensed" w:cs="Barlow Semi Condensed" w:eastAsia="Barlow Semi Condensed" w:hAnsi="Barlow Semi Condensed"/>
          <w:sz w:val="24"/>
          <w:szCs w:val="24"/>
        </w:rPr>
        <w:t xml:space="preserve"> (Gazzetta Ufficiale n. 113 del 30 aprile 1975), deposito degli strumenti — con la precisazione tecnica che </w:t>
      </w:r>
      <w:r>
        <w:rPr>
          <w:rFonts w:ascii="Barlow Semi Condensed" w:cs="Barlow Semi Condensed" w:eastAsia="Barlow Semi Condensed" w:hAnsi="Barlow Semi Condensed"/>
          <w:b/>
          <w:bCs/>
          <w:sz w:val="24"/>
          <w:szCs w:val="24"/>
        </w:rPr>
        <w:t xml:space="preserve">il Trattato ha tre depositari</w:t>
      </w:r>
      <w:r>
        <w:rPr>
          <w:rFonts w:ascii="Barlow Semi Condensed" w:cs="Barlow Semi Condensed" w:eastAsia="Barlow Semi Condensed" w:hAnsi="Barlow Semi Condensed"/>
          <w:sz w:val="24"/>
          <w:szCs w:val="24"/>
        </w:rPr>
        <w:t xml:space="preserve"> e che il deposito italiano si articola di conseguenza sulle due date già registrate.</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data del 6 settembre 1978 per l'uccisione a Düsseldorf del militante della RAF, con una precisazione di statuto che il corpus fa propria: la dinamica (legittima difesa degli agenti) è la </w:t>
      </w:r>
      <w:r>
        <w:rPr>
          <w:rFonts w:ascii="Barlow Semi Condensed" w:cs="Barlow Semi Condensed" w:eastAsia="Barlow Semi Condensed" w:hAnsi="Barlow Semi Condensed"/>
          <w:b/>
          <w:bCs/>
          <w:sz w:val="24"/>
          <w:szCs w:val="24"/>
        </w:rPr>
        <w:t xml:space="preserve">versione ufficiale delle forze dell'ordine</w:t>
      </w:r>
      <w:r>
        <w:rPr>
          <w:rFonts w:ascii="Barlow Semi Condensed" w:cs="Barlow Semi Condensed" w:eastAsia="Barlow Semi Condensed" w:hAnsi="Barlow Semi Condensed"/>
          <w:sz w:val="24"/>
          <w:szCs w:val="24"/>
        </w:rPr>
        <w:t xml:space="preserve">, e va riportata come tale e non come accertamento.</w:t>
      </w:r>
    </w:p>
    <w:p>
      <w:pPr>
        <w:spacing w:after="120" w:line="276"/>
        <w:jc w:val="both"/>
      </w:pPr>
      <w:r>
        <w:rPr>
          <w:rFonts w:ascii="Barlow Semi Condensed" w:cs="Barlow Semi Condensed" w:eastAsia="Barlow Semi Condensed" w:hAnsi="Barlow Semi Condensed"/>
          <w:b/>
          <w:bCs/>
          <w:sz w:val="24"/>
          <w:szCs w:val="24"/>
        </w:rPr>
        <w:t xml:space="preserve">Due precisazioni sui riconoscimenti.</w:t>
      </w:r>
      <w:r>
        <w:rPr>
          <w:rFonts w:ascii="Barlow Semi Condensed" w:cs="Barlow Semi Condensed" w:eastAsia="Barlow Semi Condensed" w:hAnsi="Barlow Semi Condensed"/>
          <w:sz w:val="24"/>
          <w:szCs w:val="24"/>
        </w:rPr>
        <w:t xml:space="preserve"> Sul riconoscimento della </w:t>
      </w:r>
      <w:r>
        <w:rPr>
          <w:rFonts w:ascii="Barlow Semi Condensed" w:cs="Barlow Semi Condensed" w:eastAsia="Barlow Semi Condensed" w:hAnsi="Barlow Semi Condensed"/>
          <w:b/>
          <w:bCs/>
          <w:sz w:val="24"/>
          <w:szCs w:val="24"/>
        </w:rPr>
        <w:t xml:space="preserve">Repubblica Democratica Tedesca</w:t>
      </w:r>
      <w:r>
        <w:rPr>
          <w:rFonts w:ascii="Barlow Semi Condensed" w:cs="Barlow Semi Condensed" w:eastAsia="Barlow Semi Condensed" w:hAnsi="Barlow Semi Condensed"/>
          <w:sz w:val="24"/>
          <w:szCs w:val="24"/>
        </w:rPr>
        <w:t xml:space="preserve">: confermato che il titolare della Farnesina era Medici, ma </w:t>
      </w:r>
      <w:r>
        <w:rPr>
          <w:rFonts w:ascii="Barlow Semi Condensed" w:cs="Barlow Semi Condensed" w:eastAsia="Barlow Semi Condensed" w:hAnsi="Barlow Semi Condensed"/>
          <w:b/>
          <w:bCs/>
          <w:sz w:val="24"/>
          <w:szCs w:val="24"/>
        </w:rPr>
        <w:t xml:space="preserve">la data diverge fra le fonti</w:t>
      </w:r>
      <w:r>
        <w:rPr>
          <w:rFonts w:ascii="Barlow Semi Condensed" w:cs="Barlow Semi Condensed" w:eastAsia="Barlow Semi Condensed" w:hAnsi="Barlow Semi Condensed"/>
          <w:sz w:val="24"/>
          <w:szCs w:val="24"/>
        </w:rPr>
        <w:t xml:space="preserve"> — 17 gennaio 1973 nelle fonti italiane, 18 gennaio 1973 in fonte istituzionale tedesca. La divergenza è nuova, è stata prodotta dalla verifica, ed è registrata al capitolo III. Sul riconoscimento della </w:t>
      </w:r>
      <w:r>
        <w:rPr>
          <w:rFonts w:ascii="Barlow Semi Condensed" w:cs="Barlow Semi Condensed" w:eastAsia="Barlow Semi Condensed" w:hAnsi="Barlow Semi Condensed"/>
          <w:b/>
          <w:bCs/>
          <w:sz w:val="24"/>
          <w:szCs w:val="24"/>
        </w:rPr>
        <w:t xml:space="preserve">Repubblica popolare cinese</w:t>
      </w:r>
      <w:r>
        <w:rPr>
          <w:rFonts w:ascii="Barlow Semi Condensed" w:cs="Barlow Semi Condensed" w:eastAsia="Barlow Semi Condensed" w:hAnsi="Barlow Semi Condensed"/>
          <w:sz w:val="24"/>
          <w:szCs w:val="24"/>
        </w:rPr>
        <w:t xml:space="preserve">: confermata l'attribuzione dell'iniziativa a Nenni, che annunciò l'intenzione alla Camera il </w:t>
      </w:r>
      <w:r>
        <w:rPr>
          <w:rFonts w:ascii="Barlow Semi Condensed" w:cs="Barlow Semi Condensed" w:eastAsia="Barlow Semi Condensed" w:hAnsi="Barlow Semi Condensed"/>
          <w:b/>
          <w:bCs/>
          <w:sz w:val="24"/>
          <w:szCs w:val="24"/>
        </w:rPr>
        <w:t xml:space="preserve">24 gennaio 1969</w:t>
      </w:r>
      <w:r>
        <w:rPr>
          <w:rFonts w:ascii="Barlow Semi Condensed" w:cs="Barlow Semi Condensed" w:eastAsia="Barlow Semi Condensed" w:hAnsi="Barlow Semi Condensed"/>
          <w:sz w:val="24"/>
          <w:szCs w:val="24"/>
        </w:rPr>
        <w:t xml:space="preserve">, con la precisazione che </w:t>
      </w:r>
      <w:r>
        <w:rPr>
          <w:rFonts w:ascii="Barlow Semi Condensed" w:cs="Barlow Semi Condensed" w:eastAsia="Barlow Semi Condensed" w:hAnsi="Barlow Semi Condensed"/>
          <w:b/>
          <w:bCs/>
          <w:sz w:val="24"/>
          <w:szCs w:val="24"/>
        </w:rPr>
        <w:t xml:space="preserve">al momento della conclusione, nel novembre 1970, il ministro degli Esteri era Moro</w:t>
      </w:r>
      <w:r>
        <w:rPr>
          <w:rFonts w:ascii="Barlow Semi Condensed" w:cs="Barlow Semi Condensed" w:eastAsia="Barlow Semi Condensed" w:hAnsi="Barlow Semi Condensed"/>
          <w:sz w:val="24"/>
          <w:szCs w:val="24"/>
        </w:rPr>
        <w:t xml:space="preserve"> — il che conferma esattamente la formula che il corpus già usava: normalizzazione perfezionata sotto la sua titolarità, senza paternità dell'iniziativa.</w:t>
      </w:r>
    </w:p>
    <w:p>
      <w:pPr>
        <w:pStyle w:val="Heading3"/>
        <w:spacing w:after="80" w:before="160"/>
      </w:pPr>
      <w:r>
        <w:rPr>
          <w:rFonts w:ascii="Barlow Semi Condensed" w:cs="Barlow Semi Condensed" w:eastAsia="Barlow Semi Condensed" w:hAnsi="Barlow Semi Condensed"/>
          <w:sz w:val="24"/>
          <w:szCs w:val="24"/>
        </w:rPr>
        <w:t xml:space="preserve">F-3 · Il versante portoghese</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Conferenza internazionale di solidarietà</w:t>
      </w:r>
      <w:r>
        <w:rPr>
          <w:rFonts w:ascii="Barlow Semi Condensed" w:cs="Barlow Semi Condensed" w:eastAsia="Barlow Semi Condensed" w:hAnsi="Barlow Semi Condensed"/>
          <w:sz w:val="24"/>
          <w:szCs w:val="24"/>
        </w:rPr>
        <w:t xml:space="preserve"> di Roma del </w:t>
      </w:r>
      <w:r>
        <w:rPr>
          <w:rFonts w:ascii="Barlow Semi Condensed" w:cs="Barlow Semi Condensed" w:eastAsia="Barlow Semi Condensed" w:hAnsi="Barlow Semi Condensed"/>
          <w:b/>
          <w:bCs/>
          <w:sz w:val="24"/>
          <w:szCs w:val="24"/>
        </w:rPr>
        <w:t xml:space="preserve">27-29 giugno 1970</w:t>
      </w:r>
      <w:r>
        <w:rPr>
          <w:rFonts w:ascii="Barlow Semi Condensed" w:cs="Barlow Semi Condensed" w:eastAsia="Barlow Semi Condensed" w:hAnsi="Barlow Semi Condensed"/>
          <w:sz w:val="24"/>
          <w:szCs w:val="24"/>
        </w:rPr>
        <w:t xml:space="preserve">, con un dato che la ricognizione non portava e che ne misura la scala: </w:t>
      </w:r>
      <w:r>
        <w:rPr>
          <w:rFonts w:ascii="Barlow Semi Condensed" w:cs="Barlow Semi Condensed" w:eastAsia="Barlow Semi Condensed" w:hAnsi="Barlow Semi Condensed"/>
          <w:b/>
          <w:bCs/>
          <w:sz w:val="24"/>
          <w:szCs w:val="24"/>
        </w:rPr>
        <w:t xml:space="preserve">centosettantasette organizzazioni politiche, sindacali e religiose in rappresentanza di sessantaquattro Paesi</w:t>
      </w:r>
      <w:r>
        <w:rPr>
          <w:rFonts w:ascii="Barlow Semi Condensed" w:cs="Barlow Semi Condensed" w:eastAsia="Barlow Semi Condensed" w:hAnsi="Barlow Semi Condensed"/>
          <w:sz w:val="24"/>
          <w:szCs w:val="24"/>
        </w:rPr>
        <w:t xml:space="preserve">, e fra i promotori italiani figure di primo piano dell'antifascismo e della sinistra giuridica. Confermata l'</w:t>
      </w:r>
      <w:r>
        <w:rPr>
          <w:rFonts w:ascii="Barlow Semi Condensed" w:cs="Barlow Semi Condensed" w:eastAsia="Barlow Semi Condensed" w:hAnsi="Barlow Semi Condensed"/>
          <w:b/>
          <w:bCs/>
          <w:sz w:val="24"/>
          <w:szCs w:val="24"/>
        </w:rPr>
        <w:t xml:space="preserve">udienza del 1° luglio 1970</w:t>
      </w:r>
      <w:r>
        <w:rPr>
          <w:rFonts w:ascii="Barlow Semi Condensed" w:cs="Barlow Semi Condensed" w:eastAsia="Barlow Semi Condensed" w:hAnsi="Barlow Semi Condensed"/>
          <w:sz w:val="24"/>
          <w:szCs w:val="24"/>
        </w:rPr>
        <w:t xml:space="preserve">, che le fonti qualificano come </w:t>
      </w:r>
      <w:r>
        <w:rPr>
          <w:rFonts w:ascii="Barlow Semi Condensed" w:cs="Barlow Semi Condensed" w:eastAsia="Barlow Semi Condensed" w:hAnsi="Barlow Semi Condensed"/>
          <w:b/>
          <w:bCs/>
          <w:sz w:val="24"/>
          <w:szCs w:val="24"/>
        </w:rPr>
        <w:t xml:space="preserve">udienza in forma privata</w:t>
      </w:r>
      <w:r>
        <w:rPr>
          <w:rFonts w:ascii="Barlow Semi Condensed" w:cs="Barlow Semi Condensed" w:eastAsia="Barlow Semi Condensed" w:hAnsi="Barlow Semi Condensed"/>
          <w:sz w:val="24"/>
          <w:szCs w:val="24"/>
        </w:rPr>
        <w:t xml:space="preserve"> a conclusione della Conferenza — precisazione di forma che il corpus recepisce, perché distingue l'atto dal ricevimento ufficiale.</w:t>
      </w:r>
    </w:p>
    <w:p>
      <w:pPr>
        <w:spacing w:after="120" w:line="276"/>
        <w:jc w:val="both"/>
      </w:pPr>
      <w:r>
        <w:rPr>
          <w:rFonts w:ascii="Barlow Semi Condensed" w:cs="Barlow Semi Condensed" w:eastAsia="Barlow Semi Condensed" w:hAnsi="Barlow Semi Condensed"/>
          <w:b/>
          <w:bCs/>
          <w:sz w:val="24"/>
          <w:szCs w:val="24"/>
        </w:rPr>
        <w:t xml:space="preserve">Confermato</w:t>
      </w:r>
      <w:r>
        <w:rPr>
          <w:rFonts w:ascii="Barlow Semi Condensed" w:cs="Barlow Semi Condensed" w:eastAsia="Barlow Semi Condensed" w:hAnsi="Barlow Semi Condensed"/>
          <w:sz w:val="24"/>
          <w:szCs w:val="24"/>
        </w:rPr>
        <w:t xml:space="preserve"> il massacro di </w:t>
      </w:r>
      <w:r>
        <w:rPr>
          <w:rFonts w:ascii="Barlow Semi Condensed" w:cs="Barlow Semi Condensed" w:eastAsia="Barlow Semi Condensed" w:hAnsi="Barlow Semi Condensed"/>
          <w:b/>
          <w:bCs/>
          <w:sz w:val="24"/>
          <w:szCs w:val="24"/>
        </w:rPr>
        <w:t xml:space="preserve">Wiriyamu del 16 dicembre 1972</w:t>
      </w:r>
      <w:r>
        <w:rPr>
          <w:rFonts w:ascii="Barlow Semi Condensed" w:cs="Barlow Semi Condensed" w:eastAsia="Barlow Semi Condensed" w:hAnsi="Barlow Semi Condensed"/>
          <w:sz w:val="24"/>
          <w:szCs w:val="24"/>
        </w:rPr>
        <w:t xml:space="preserve">, con il nome in codice dell'operazione e la partecipazione documentata di reparti dei Commandos e della polizia politica; e </w:t>
      </w:r>
      <w:r>
        <w:rPr>
          <w:rFonts w:ascii="Barlow Semi Condensed" w:cs="Barlow Semi Condensed" w:eastAsia="Barlow Semi Condensed" w:hAnsi="Barlow Semi Condensed"/>
          <w:b/>
          <w:bCs/>
          <w:sz w:val="24"/>
          <w:szCs w:val="24"/>
        </w:rPr>
        <w:t xml:space="preserve">confermata la forbice 150-400</w:t>
      </w:r>
      <w:r>
        <w:rPr>
          <w:rFonts w:ascii="Barlow Semi Condensed" w:cs="Barlow Semi Condensed" w:eastAsia="Barlow Semi Condensed" w:hAnsi="Barlow Semi Condensed"/>
          <w:sz w:val="24"/>
          <w:szCs w:val="24"/>
        </w:rPr>
        <w:t xml:space="preserve"> come divergenza reale fra fonti, non come incertezza del corpus: circa centocinquanta secondo una stima attribuita alla Croce Rossa, circa trecento secondo l'inchiesta del settimanale portoghese fondata su testimonianze di militari, trecentottantacinque nominativi accertati e «vicino a quattrocento» nella ricostruzione accademica. </w:t>
      </w:r>
      <w:r>
        <w:rPr>
          <w:rFonts w:ascii="Barlow Semi Condensed" w:cs="Barlow Semi Condensed" w:eastAsia="Barlow Semi Condensed" w:hAnsi="Barlow Semi Condensed"/>
          <w:b/>
          <w:bCs/>
          <w:sz w:val="24"/>
          <w:szCs w:val="24"/>
        </w:rPr>
        <w:t xml:space="preserve">Confermato</w:t>
      </w:r>
      <w:r>
        <w:rPr>
          <w:rFonts w:ascii="Barlow Semi Condensed" w:cs="Barlow Semi Condensed" w:eastAsia="Barlow Semi Condensed" w:hAnsi="Barlow Semi Condensed"/>
          <w:sz w:val="24"/>
          <w:szCs w:val="24"/>
        </w:rPr>
        <w:t xml:space="preserve"> l'articolo sul </w:t>
      </w:r>
      <w:r>
        <w:rPr>
          <w:rFonts w:ascii="Barlow Semi Condensed" w:cs="Barlow Semi Condensed" w:eastAsia="Barlow Semi Condensed" w:hAnsi="Barlow Semi Condensed"/>
          <w:i/>
          <w:iCs/>
          <w:sz w:val="24"/>
          <w:szCs w:val="24"/>
        </w:rPr>
        <w:t xml:space="preserve">Times</w:t>
      </w:r>
      <w:r>
        <w:rPr>
          <w:rFonts w:ascii="Barlow Semi Condensed" w:cs="Barlow Semi Condensed" w:eastAsia="Barlow Semi Condensed" w:hAnsi="Barlow Semi Condensed"/>
          <w:sz w:val="24"/>
          <w:szCs w:val="24"/>
        </w:rPr>
        <w:t xml:space="preserve"> del </w:t>
      </w:r>
      <w:r>
        <w:rPr>
          <w:rFonts w:ascii="Barlow Semi Condensed" w:cs="Barlow Semi Condensed" w:eastAsia="Barlow Semi Condensed" w:hAnsi="Barlow Semi Condensed"/>
          <w:b/>
          <w:bCs/>
          <w:sz w:val="24"/>
          <w:szCs w:val="24"/>
        </w:rPr>
        <w:t xml:space="preserve">10 luglio 1973</w:t>
      </w:r>
      <w:r>
        <w:rPr>
          <w:rFonts w:ascii="Barlow Semi Condensed" w:cs="Barlow Semi Condensed" w:eastAsia="Barlow Semi Condensed" w:hAnsi="Barlow Semi Condensed"/>
          <w:sz w:val="24"/>
          <w:szCs w:val="24"/>
        </w:rPr>
        <w:t xml:space="preserve">, in prima pagina, col titolo esatto — e con un elemento di contesto che le fonti danno per ricorrente: uscì </w:t>
      </w:r>
      <w:r>
        <w:rPr>
          <w:rFonts w:ascii="Barlow Semi Condensed" w:cs="Barlow Semi Condensed" w:eastAsia="Barlow Semi Condensed" w:hAnsi="Barlow Semi Condensed"/>
          <w:b/>
          <w:bCs/>
          <w:sz w:val="24"/>
          <w:szCs w:val="24"/>
        </w:rPr>
        <w:t xml:space="preserve">pochi giorni prima della visita ufficiale a Londra del primo ministro portoghese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Due precisazioni.</w:t>
      </w:r>
      <w:r>
        <w:rPr>
          <w:rFonts w:ascii="Barlow Semi Condensed" w:cs="Barlow Semi Condensed" w:eastAsia="Barlow Semi Condensed" w:hAnsi="Barlow Semi Condensed"/>
          <w:sz w:val="24"/>
          <w:szCs w:val="24"/>
        </w:rPr>
        <w:t xml:space="preserve"> Sull'</w:t>
      </w:r>
      <w:r>
        <w:rPr>
          <w:rFonts w:ascii="Barlow Semi Condensed" w:cs="Barlow Semi Condensed" w:eastAsia="Barlow Semi Condensed" w:hAnsi="Barlow Semi Condensed"/>
          <w:b/>
          <w:bCs/>
          <w:sz w:val="24"/>
          <w:szCs w:val="24"/>
        </w:rPr>
        <w:t xml:space="preserve">espulsione</w:t>
      </w:r>
      <w:r>
        <w:rPr>
          <w:rFonts w:ascii="Barlow Semi Condensed" w:cs="Barlow Semi Condensed" w:eastAsia="Barlow Semi Condensed" w:hAnsi="Barlow Semi Condensed"/>
          <w:sz w:val="24"/>
          <w:szCs w:val="24"/>
        </w:rPr>
        <w:t xml:space="preserve">, la sostanza è confermata — vescovo di Nampula e comboniani espulsi dalle autorità portoghesi come ritorsione per il documento </w:t>
      </w:r>
      <w:r>
        <w:rPr>
          <w:rFonts w:ascii="Barlow Semi Condensed" w:cs="Barlow Semi Condensed" w:eastAsia="Barlow Semi Condensed" w:hAnsi="Barlow Semi Condensed"/>
          <w:i/>
          <w:iCs/>
          <w:sz w:val="24"/>
          <w:szCs w:val="24"/>
        </w:rPr>
        <w:t xml:space="preserve">Imperativo de Consciência</w:t>
      </w:r>
      <w:r>
        <w:rPr>
          <w:rFonts w:ascii="Barlow Semi Condensed" w:cs="Barlow Semi Condensed" w:eastAsia="Barlow Semi Condensed" w:hAnsi="Barlow Semi Condensed"/>
          <w:sz w:val="24"/>
          <w:szCs w:val="24"/>
        </w:rPr>
        <w:t xml:space="preserve">, redatto il </w:t>
      </w:r>
      <w:r>
        <w:rPr>
          <w:rFonts w:ascii="Barlow Semi Condensed" w:cs="Barlow Semi Condensed" w:eastAsia="Barlow Semi Condensed" w:hAnsi="Barlow Semi Condensed"/>
          <w:b/>
          <w:bCs/>
          <w:sz w:val="24"/>
          <w:szCs w:val="24"/>
        </w:rPr>
        <w:t xml:space="preserve">12 febbraio 1974</w:t>
      </w:r>
      <w:r>
        <w:rPr>
          <w:rFonts w:ascii="Barlow Semi Condensed" w:cs="Barlow Semi Condensed" w:eastAsia="Barlow Semi Condensed" w:hAnsi="Barlow Semi Condensed"/>
          <w:sz w:val="24"/>
          <w:szCs w:val="24"/>
        </w:rPr>
        <w:t xml:space="preserve"> — ma la verifica </w:t>
      </w:r>
      <w:r>
        <w:rPr>
          <w:rFonts w:ascii="Barlow Semi Condensed" w:cs="Barlow Semi Condensed" w:eastAsia="Barlow Semi Condensed" w:hAnsi="Barlow Semi Condensed"/>
          <w:b/>
          <w:bCs/>
          <w:sz w:val="24"/>
          <w:szCs w:val="24"/>
        </w:rPr>
        <w:t xml:space="preserve">allarga la divergenza sulla data</w:t>
      </w:r>
      <w:r>
        <w:rPr>
          <w:rFonts w:ascii="Barlow Semi Condensed" w:cs="Barlow Semi Condensed" w:eastAsia="Barlow Semi Condensed" w:hAnsi="Barlow Semi Condensed"/>
          <w:sz w:val="24"/>
          <w:szCs w:val="24"/>
        </w:rPr>
        <w:t xml:space="preserve"> già registrata: alcune fonti collocano l'espulsione da Nampula al </w:t>
      </w:r>
      <w:r>
        <w:rPr>
          <w:rFonts w:ascii="Barlow Semi Condensed" w:cs="Barlow Semi Condensed" w:eastAsia="Barlow Semi Condensed" w:hAnsi="Barlow Semi Condensed"/>
          <w:b/>
          <w:bCs/>
          <w:sz w:val="24"/>
          <w:szCs w:val="24"/>
        </w:rPr>
        <w:t xml:space="preserve">10 aprile 1974</w:t>
      </w:r>
      <w:r>
        <w:rPr>
          <w:rFonts w:ascii="Barlow Semi Condensed" w:cs="Barlow Semi Condensed" w:eastAsia="Barlow Semi Condensed" w:hAnsi="Barlow Semi Condensed"/>
          <w:sz w:val="24"/>
          <w:szCs w:val="24"/>
        </w:rPr>
        <w:t xml:space="preserve">, con arrivo a Lisbona quattro giorni dopo, la domenica di Pasqua; altre al 13. La forbice va portata da «12, 13 o 14 aprile» a «</w:t>
      </w:r>
      <w:r>
        <w:rPr>
          <w:rFonts w:ascii="Barlow Semi Condensed" w:cs="Barlow Semi Condensed" w:eastAsia="Barlow Semi Condensed" w:hAnsi="Barlow Semi Condensed"/>
          <w:b/>
          <w:bCs/>
          <w:sz w:val="24"/>
          <w:szCs w:val="24"/>
        </w:rPr>
        <w:t xml:space="preserve">10-14 aprile 1974</w:t>
      </w:r>
      <w:r>
        <w:rPr>
          <w:rFonts w:ascii="Barlow Semi Condensed" w:cs="Barlow Semi Condensed" w:eastAsia="Barlow Semi Condensed" w:hAnsi="Barlow Semi Condensed"/>
          <w:sz w:val="24"/>
          <w:szCs w:val="24"/>
        </w:rPr>
        <w:t xml:space="preserve">», e riportata così.</w:t>
      </w:r>
    </w:p>
    <w:p>
      <w:pPr>
        <w:spacing w:after="120" w:line="276"/>
        <w:jc w:val="both"/>
      </w:pPr>
      <w:r>
        <w:rPr>
          <w:rFonts w:ascii="Barlow Semi Condensed" w:cs="Barlow Semi Condensed" w:eastAsia="Barlow Semi Condensed" w:hAnsi="Barlow Semi Condensed"/>
          <w:sz w:val="24"/>
          <w:szCs w:val="24"/>
        </w:rPr>
        <w:t xml:space="preserve">Sui </w:t>
      </w:r>
      <w:r>
        <w:rPr>
          <w:rFonts w:ascii="Barlow Semi Condensed" w:cs="Barlow Semi Condensed" w:eastAsia="Barlow Semi Condensed" w:hAnsi="Barlow Semi Condensed"/>
          <w:b/>
          <w:bCs/>
          <w:sz w:val="24"/>
          <w:szCs w:val="24"/>
        </w:rPr>
        <w:t xml:space="preserve">quarantotto Padri Bianchi</w:t>
      </w:r>
      <w:r>
        <w:rPr>
          <w:rFonts w:ascii="Barlow Semi Condensed" w:cs="Barlow Semi Condensed" w:eastAsia="Barlow Semi Condensed" w:hAnsi="Barlow Semi Condensed"/>
          <w:sz w:val="24"/>
          <w:szCs w:val="24"/>
        </w:rPr>
        <w:t xml:space="preserve">, il fatto è confermato nella sostanza e nel mese, ma </w:t>
      </w:r>
      <w:r>
        <w:rPr>
          <w:rFonts w:ascii="Barlow Semi Condensed" w:cs="Barlow Semi Condensed" w:eastAsia="Barlow Semi Condensed" w:hAnsi="Barlow Semi Condensed"/>
          <w:b/>
          <w:bCs/>
          <w:sz w:val="24"/>
          <w:szCs w:val="24"/>
        </w:rPr>
        <w:t xml:space="preserve">la cifra poggia su una sola fonte</w:t>
      </w:r>
      <w:r>
        <w:rPr>
          <w:rFonts w:ascii="Barlow Semi Condensed" w:cs="Barlow Semi Condensed" w:eastAsia="Barlow Semi Condensed" w:hAnsi="Barlow Semi Condensed"/>
          <w:sz w:val="24"/>
          <w:szCs w:val="24"/>
        </w:rPr>
        <w:t xml:space="preserve"> — una voce enciclopedica cattolica — e </w:t>
      </w:r>
      <w:r>
        <w:rPr>
          <w:rFonts w:ascii="Barlow Semi Condensed" w:cs="Barlow Semi Condensed" w:eastAsia="Barlow Semi Condensed" w:hAnsi="Barlow Semi Condensed"/>
          <w:b/>
          <w:bCs/>
          <w:sz w:val="24"/>
          <w:szCs w:val="24"/>
        </w:rPr>
        <w:t xml:space="preserve">diverge da quella della congregazione stessa</w:t>
      </w:r>
      <w:r>
        <w:rPr>
          <w:rFonts w:ascii="Barlow Semi Condensed" w:cs="Barlow Semi Condensed" w:eastAsia="Barlow Semi Condensed" w:hAnsi="Barlow Semi Condensed"/>
          <w:sz w:val="24"/>
          <w:szCs w:val="24"/>
        </w:rPr>
        <w:t xml:space="preserve">. Il numero va dunque citato con la sua fonte e non come dato acquisito: è esattamente il genere di cifra che, ripetuta senza attribuzione, diventa un fatto senza esserlo.</w:t>
      </w:r>
    </w:p>
    <w:p>
      <w:pPr>
        <w:pStyle w:val="Heading3"/>
        <w:spacing w:after="80" w:before="160"/>
      </w:pPr>
      <w:r>
        <w:rPr>
          <w:rFonts w:ascii="Barlow Semi Condensed" w:cs="Barlow Semi Condensed" w:eastAsia="Barlow Semi Condensed" w:hAnsi="Barlow Semi Condensed"/>
          <w:sz w:val="24"/>
          <w:szCs w:val="24"/>
        </w:rPr>
        <w:t xml:space="preserve">F-4 · Il versante spagnolo</w:t>
      </w:r>
    </w:p>
    <w:p>
      <w:pPr>
        <w:spacing w:after="120" w:line="276"/>
        <w:jc w:val="both"/>
      </w:pPr>
      <w:r>
        <w:rPr>
          <w:rFonts w:ascii="Barlow Semi Condensed" w:cs="Barlow Semi Condensed" w:eastAsia="Barlow Semi Condensed" w:hAnsi="Barlow Semi Condensed"/>
          <w:sz w:val="24"/>
          <w:szCs w:val="24"/>
        </w:rPr>
        <w:t xml:space="preserve">È la campagna con l'esito più netto: </w:t>
      </w:r>
      <w:r>
        <w:rPr>
          <w:rFonts w:ascii="Barlow Semi Condensed" w:cs="Barlow Semi Condensed" w:eastAsia="Barlow Semi Condensed" w:hAnsi="Barlow Semi Condensed"/>
          <w:b/>
          <w:bCs/>
          <w:sz w:val="24"/>
          <w:szCs w:val="24"/>
        </w:rPr>
        <w:t xml:space="preserve">tutti e cinque i fatti sottoposti a verifica risultano confermati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Il documento CIA esiste, col protocollo indicato.</w:t>
      </w:r>
      <w:r>
        <w:rPr>
          <w:rFonts w:ascii="Barlow Semi Condensed" w:cs="Barlow Semi Condensed" w:eastAsia="Barlow Semi Condensed" w:hAnsi="Barlow Semi Condensed"/>
          <w:sz w:val="24"/>
          <w:szCs w:val="24"/>
        </w:rPr>
        <w:t xml:space="preserve"> La verifica lo reperisce nella sala di lettura FOIA dell'agenzia col medesimo identificativo, il medesimo titolo e la medesima data del 22 maggio 1970, e ne conferma il contenuto, aggiungendo due dati che la ricognizione non portava: la stima secondo cui </w:t>
      </w:r>
      <w:r>
        <w:rPr>
          <w:rFonts w:ascii="Barlow Semi Condensed" w:cs="Barlow Semi Condensed" w:eastAsia="Barlow Semi Condensed" w:hAnsi="Barlow Semi Condensed"/>
          <w:b/>
          <w:bCs/>
          <w:sz w:val="24"/>
          <w:szCs w:val="24"/>
        </w:rPr>
        <w:t xml:space="preserve">almeno dieci dei diciannove ministri</w:t>
      </w:r>
      <w:r>
        <w:rPr>
          <w:rFonts w:ascii="Barlow Semi Condensed" w:cs="Barlow Semi Condensed" w:eastAsia="Barlow Semi Condensed" w:hAnsi="Barlow Semi Condensed"/>
          <w:sz w:val="24"/>
          <w:szCs w:val="24"/>
        </w:rPr>
        <w:t xml:space="preserve"> del rimpasto dell'ottobre 1969 rientravano nella descrizione, e i portafogli assegnati ai «tecnocrati» (finanze, commercio, industria, edilizia, informazione e turismo). L'accertamento chiude la questione dell'autenticità e del protocollo — che era il punto più delicato dell'intera campagna — e </w:t>
      </w:r>
      <w:r>
        <w:rPr>
          <w:rFonts w:ascii="Barlow Semi Condensed" w:cs="Barlow Semi Condensed" w:eastAsia="Barlow Semi Condensed" w:hAnsi="Barlow Semi Condensed"/>
          <w:b/>
          <w:bCs/>
          <w:sz w:val="24"/>
          <w:szCs w:val="24"/>
        </w:rPr>
        <w:t xml:space="preserve">lascia intatta la regola di lettura</w:t>
      </w:r>
      <w:r>
        <w:rPr>
          <w:rFonts w:ascii="Barlow Semi Condensed" w:cs="Barlow Semi Condensed" w:eastAsia="Barlow Semi Condensed" w:hAnsi="Barlow Semi Condensed"/>
          <w:sz w:val="24"/>
          <w:szCs w:val="24"/>
        </w:rPr>
        <w:t xml:space="preserve">, che non dipende dalla verifica: la frase sul funzionario italiano resta anonima e non è attribuibile a Moro, e l'appartenenza dei ministri a un ente resta fatto pubblico e non prova di condotta dell'ente.</w:t>
      </w:r>
    </w:p>
    <w:p>
      <w:pPr>
        <w:spacing w:after="120" w:line="276"/>
        <w:jc w:val="both"/>
      </w:pPr>
      <w:r>
        <w:rPr>
          <w:rFonts w:ascii="Barlow Semi Condensed" w:cs="Barlow Semi Condensed" w:eastAsia="Barlow Semi Condensed" w:hAnsi="Barlow Semi Condensed"/>
          <w:b/>
          <w:bCs/>
          <w:sz w:val="24"/>
          <w:szCs w:val="24"/>
        </w:rPr>
        <w:t xml:space="preserve">Confermato</w:t>
      </w:r>
      <w:r>
        <w:rPr>
          <w:rFonts w:ascii="Barlow Semi Condensed" w:cs="Barlow Semi Condensed" w:eastAsia="Barlow Semi Condensed" w:hAnsi="Barlow Semi Condensed"/>
          <w:sz w:val="24"/>
          <w:szCs w:val="24"/>
        </w:rPr>
        <w:t xml:space="preserve"> l'accordo preferenziale </w:t>
      </w:r>
      <w:r>
        <w:rPr>
          <w:rFonts w:ascii="Barlow Semi Condensed" w:cs="Barlow Semi Condensed" w:eastAsia="Barlow Semi Condensed" w:hAnsi="Barlow Semi Condensed"/>
          <w:b/>
          <w:bCs/>
          <w:sz w:val="24"/>
          <w:szCs w:val="24"/>
        </w:rPr>
        <w:t xml:space="preserve">CEE-Spagna del 29 giugno 1970</w:t>
      </w:r>
      <w:r>
        <w:rPr>
          <w:rFonts w:ascii="Barlow Semi Condensed" w:cs="Barlow Semi Condensed" w:eastAsia="Barlow Semi Condensed" w:hAnsi="Barlow Semi Condensed"/>
          <w:sz w:val="24"/>
          <w:szCs w:val="24"/>
        </w:rPr>
        <w:t xml:space="preserve">, su fonte primaria (il testo in EUR-Lex e lo strumento di ratifica spagnolo), con la precisazione che il firmatario belga sottoscrisse </w:t>
      </w:r>
      <w:r>
        <w:rPr>
          <w:rFonts w:ascii="Barlow Semi Condensed" w:cs="Barlow Semi Condensed" w:eastAsia="Barlow Semi Condensed" w:hAnsi="Barlow Semi Condensed"/>
          <w:b/>
          <w:bCs/>
          <w:sz w:val="24"/>
          <w:szCs w:val="24"/>
        </w:rPr>
        <w:t xml:space="preserve">in qualità di presidente di turno del Consiglio</w:t>
      </w:r>
      <w:r>
        <w:rPr>
          <w:rFonts w:ascii="Barlow Semi Condensed" w:cs="Barlow Semi Condensed" w:eastAsia="Barlow Semi Condensed" w:hAnsi="Barlow Semi Condensed"/>
          <w:sz w:val="24"/>
          <w:szCs w:val="24"/>
        </w:rPr>
        <w:t xml:space="preserve"> — l'Italia avrebbe tenuto quella presidenza nel semestre successivo, il che colloca correttamente la firma turca del 27 luglio 1971 già acquisita dal corpus.</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le </w:t>
      </w:r>
      <w:r>
        <w:rPr>
          <w:rFonts w:ascii="Barlow Semi Condensed" w:cs="Barlow Semi Condensed" w:eastAsia="Barlow Semi Condensed" w:hAnsi="Barlow Semi Condensed"/>
          <w:b/>
          <w:bCs/>
          <w:sz w:val="24"/>
          <w:szCs w:val="24"/>
        </w:rPr>
        <w:t xml:space="preserve">cinque esecuzioni del 27 settembre 1975</w:t>
      </w:r>
      <w:r>
        <w:rPr>
          <w:rFonts w:ascii="Barlow Semi Condensed" w:cs="Barlow Semi Condensed" w:eastAsia="Barlow Semi Condensed" w:hAnsi="Barlow Semi Condensed"/>
          <w:sz w:val="24"/>
          <w:szCs w:val="24"/>
        </w:rPr>
        <w:t xml:space="preserve">, ultime del franchismo, meno di due mesi prima della morte di Franco, con la precisazione di statuto che la disciplina impone e che si registra qui: le condanne furono pronunciate da </w:t>
      </w:r>
      <w:r>
        <w:rPr>
          <w:rFonts w:ascii="Barlow Semi Condensed" w:cs="Barlow Semi Condensed" w:eastAsia="Barlow Semi Condensed" w:hAnsi="Barlow Semi Condensed"/>
          <w:b/>
          <w:bCs/>
          <w:sz w:val="24"/>
          <w:szCs w:val="24"/>
        </w:rPr>
        <w:t xml:space="preserve">consigli di guerra sommari</w:t>
      </w:r>
      <w:r>
        <w:rPr>
          <w:rFonts w:ascii="Barlow Semi Condensed" w:cs="Barlow Semi Condensed" w:eastAsia="Barlow Semi Condensed" w:hAnsi="Barlow Semi Condensed"/>
          <w:sz w:val="24"/>
          <w:szCs w:val="24"/>
        </w:rPr>
        <w:t xml:space="preserve"> sotto un decreto-legge dell'agosto 1975, con procedure la cui denuncia fu allora e resta oggetto di rilievo — dato che va riportato quando si riprende l'episodio del richiamo degli ambasciatori.</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w:t>
      </w:r>
      <w:r>
        <w:rPr>
          <w:rFonts w:ascii="Barlow Semi Condensed" w:cs="Barlow Semi Condensed" w:eastAsia="Barlow Semi Condensed" w:hAnsi="Barlow Semi Condensed"/>
          <w:b/>
          <w:bCs/>
          <w:sz w:val="24"/>
          <w:szCs w:val="24"/>
        </w:rPr>
        <w:t xml:space="preserve">udienza del 12 gennaio 1973</w:t>
      </w:r>
      <w:r>
        <w:rPr>
          <w:rFonts w:ascii="Barlow Semi Condensed" w:cs="Barlow Semi Condensed" w:eastAsia="Barlow Semi Condensed" w:hAnsi="Barlow Semi Condensed"/>
          <w:sz w:val="24"/>
          <w:szCs w:val="24"/>
        </w:rPr>
        <w:t xml:space="preserve"> — con una riserva esplicita sulla solidità della fonte, che è una conferenza edita da una fondazione e le ricostruzioni che ne derivano, </w:t>
      </w:r>
      <w:r>
        <w:rPr>
          <w:rFonts w:ascii="Barlow Semi Condensed" w:cs="Barlow Semi Condensed" w:eastAsia="Barlow Semi Condensed" w:hAnsi="Barlow Semi Condensed"/>
          <w:b/>
          <w:bCs/>
          <w:sz w:val="24"/>
          <w:szCs w:val="24"/>
        </w:rPr>
        <w:t xml:space="preserve">non un documento primario consultabile</w:t>
      </w:r>
      <w:r>
        <w:rPr>
          <w:rFonts w:ascii="Barlow Semi Condensed" w:cs="Barlow Semi Condensed" w:eastAsia="Barlow Semi Condensed" w:hAnsi="Barlow Semi Condensed"/>
          <w:sz w:val="24"/>
          <w:szCs w:val="24"/>
        </w:rPr>
        <w:t xml:space="preserve">: le fonti concordano sulla data, e la risposta pontificia giunse oltre sei mesi dopo, il 31 luglio 1973 — e la </w:t>
      </w:r>
      <w:r>
        <w:rPr>
          <w:rFonts w:ascii="Barlow Semi Condensed" w:cs="Barlow Semi Condensed" w:eastAsia="Barlow Semi Condensed" w:hAnsi="Barlow Semi Condensed"/>
          <w:b/>
          <w:bCs/>
          <w:sz w:val="24"/>
          <w:szCs w:val="24"/>
        </w:rPr>
        <w:t xml:space="preserve">cronologia dei ministri degli Esteri spagnoli</w:t>
      </w:r>
      <w:r>
        <w:rPr>
          <w:rFonts w:ascii="Barlow Semi Condensed" w:cs="Barlow Semi Condensed" w:eastAsia="Barlow Semi Condensed" w:hAnsi="Barlow Semi Condensed"/>
          <w:sz w:val="24"/>
          <w:szCs w:val="24"/>
        </w:rPr>
        <w:t xml:space="preserve">, precisata al giorno: dal 12 giugno 1973 al 4 gennaio 1974 il primo, dal 3-4 gennaio 1974 all'11 dicembre 1975 il secondo, ultimo del regime.</w:t>
      </w:r>
    </w:p>
    <w:p>
      <w:pPr>
        <w:spacing w:after="120" w:line="276"/>
        <w:jc w:val="both"/>
      </w:pPr>
      <w:r>
        <w:rPr>
          <w:rFonts w:ascii="Barlow Semi Condensed" w:cs="Barlow Semi Condensed" w:eastAsia="Barlow Semi Condensed" w:hAnsi="Barlow Semi Condensed"/>
          <w:b/>
          <w:bCs/>
          <w:sz w:val="24"/>
          <w:szCs w:val="24"/>
        </w:rPr>
        <w:t xml:space="preserve">Nessuna delle quattro campagne ha smentito un fatto portante.</w:t>
      </w:r>
      <w:r>
        <w:rPr>
          <w:rFonts w:ascii="Barlow Semi Condensed" w:cs="Barlow Semi Condensed" w:eastAsia="Barlow Semi Condensed" w:hAnsi="Barlow Semi Condensed"/>
          <w:sz w:val="24"/>
          <w:szCs w:val="24"/>
        </w:rPr>
        <w:t xml:space="preserve"> Hanno confermato ventidue asserzioni su ventisei, precisato le altre quattro, chiuso una divergenza che i documenti lasciavano aperta, aperta una divergenza nuova, e corretto due formulazioni tecniche. È l'esito che una verifica deve produrre: </w:t>
      </w:r>
      <w:r>
        <w:rPr>
          <w:rFonts w:ascii="Barlow Semi Condensed" w:cs="Barlow Semi Condensed" w:eastAsia="Barlow Semi Condensed" w:hAnsi="Barlow Semi Condensed"/>
          <w:b/>
          <w:bCs/>
          <w:sz w:val="24"/>
          <w:szCs w:val="24"/>
        </w:rPr>
        <w:t xml:space="preserve">non conferme di comodo, ma precisazioni che costringono a riscrivere</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IX. Riga di chiusura</w:t>
      </w:r>
    </w:p>
    <w:p>
      <w:pPr>
        <w:spacing w:after="120" w:line="276"/>
        <w:jc w:val="both"/>
      </w:pPr>
      <w:r>
        <w:rPr>
          <w:rFonts w:ascii="Barlow Semi Condensed" w:cs="Barlow Semi Condensed" w:eastAsia="Barlow Semi Condensed" w:hAnsi="Barlow Semi Condensed"/>
          <w:sz w:val="24"/>
          <w:szCs w:val="24"/>
        </w:rPr>
        <w:t xml:space="preserve">Documenti nuovi archiviati: tre. Letture incrociate: sei. Voci di triangolazione prodotte: settantanove. Acquisizioni nuove: diciotto. Correzioni: sei, di cui </w:t>
      </w:r>
      <w:r>
        <w:rPr>
          <w:rFonts w:ascii="Barlow Semi Condensed" w:cs="Barlow Semi Condensed" w:eastAsia="Barlow Semi Condensed" w:hAnsi="Barlow Semi Condensed"/>
          <w:b/>
          <w:bCs/>
          <w:sz w:val="24"/>
          <w:szCs w:val="24"/>
        </w:rPr>
        <w:t xml:space="preserve">due dal corpus verso i documenti nuovi</w:t>
      </w:r>
      <w:r>
        <w:rPr>
          <w:rFonts w:ascii="Barlow Semi Condensed" w:cs="Barlow Semi Condensed" w:eastAsia="Barlow Semi Condensed" w:hAnsi="Barlow Semi Condensed"/>
          <w:sz w:val="24"/>
          <w:szCs w:val="24"/>
        </w:rPr>
        <w:t xml:space="preserve"> e una prodotta dalla verifica. Divergenze lasciate aperte e dichiarate: otto, più un'omonimia da non confondere; una divergenza è stata </w:t>
      </w:r>
      <w:r>
        <w:rPr>
          <w:rFonts w:ascii="Barlow Semi Condensed" w:cs="Barlow Semi Condensed" w:eastAsia="Barlow Semi Condensed" w:hAnsi="Barlow Semi Condensed"/>
          <w:b/>
          <w:bCs/>
          <w:sz w:val="24"/>
          <w:szCs w:val="24"/>
        </w:rPr>
        <w:t xml:space="preserve">chiusa</w:t>
      </w:r>
      <w:r>
        <w:rPr>
          <w:rFonts w:ascii="Barlow Semi Condensed" w:cs="Barlow Semi Condensed" w:eastAsia="Barlow Semi Condensed" w:hAnsi="Barlow Semi Condensed"/>
          <w:sz w:val="24"/>
          <w:szCs w:val="24"/>
        </w:rPr>
        <w:t xml:space="preserve"> dalla verifica e una </w:t>
      </w:r>
      <w:r>
        <w:rPr>
          <w:rFonts w:ascii="Barlow Semi Condensed" w:cs="Barlow Semi Condensed" w:eastAsia="Barlow Semi Condensed" w:hAnsi="Barlow Semi Condensed"/>
          <w:b/>
          <w:bCs/>
          <w:sz w:val="24"/>
          <w:szCs w:val="24"/>
        </w:rPr>
        <w:t xml:space="preserve">aperta</w:t>
      </w:r>
      <w:r>
        <w:rPr>
          <w:rFonts w:ascii="Barlow Semi Condensed" w:cs="Barlow Semi Condensed" w:eastAsia="Barlow Semi Condensed" w:hAnsi="Barlow Semi Condensed"/>
          <w:sz w:val="24"/>
          <w:szCs w:val="24"/>
        </w:rPr>
        <w:t xml:space="preserve"> dalla verifica. Stati Zero condivisi: sei. Stati Zero chiusi per triangolazione interna: uno. Stati Zero scoperti dall'incrocio: uno. Limiti strutturali di ricerca dichiarati: uno. Stati Zero pubblici confermati e lasciati aperti: uno. Blocchi della quadriga riempiti di contenuto puntuale: quattordici. Correzioni imposte alla quadriga: tre. Giacimenti archivistici nuovi: sette. Bersagli nuovi: tre. Categorie proposte alla griglia dei gradi: una. Campagne di verifica condotte: </w:t>
      </w:r>
      <w:r>
        <w:rPr>
          <w:rFonts w:ascii="Barlow Semi Condensed" w:cs="Barlow Semi Condensed" w:eastAsia="Barlow Semi Condensed" w:hAnsi="Barlow Semi Condensed"/>
          <w:b/>
          <w:bCs/>
          <w:sz w:val="24"/>
          <w:szCs w:val="24"/>
        </w:rPr>
        <w:t xml:space="preserve">quattro su quattro</w:t>
      </w:r>
      <w:r>
        <w:rPr>
          <w:rFonts w:ascii="Barlow Semi Condensed" w:cs="Barlow Semi Condensed" w:eastAsia="Barlow Semi Condensed" w:hAnsi="Barlow Semi Condensed"/>
          <w:sz w:val="24"/>
          <w:szCs w:val="24"/>
        </w:rPr>
        <w:t xml:space="preserve">, per ventisei asserzioni sottoposte a riscontro: ventidue confermate, quattro precisate, </w:t>
      </w:r>
      <w:r>
        <w:rPr>
          <w:rFonts w:ascii="Barlow Semi Condensed" w:cs="Barlow Semi Condensed" w:eastAsia="Barlow Semi Condensed" w:hAnsi="Barlow Semi Condensed"/>
          <w:b/>
          <w:bCs/>
          <w:sz w:val="24"/>
          <w:szCs w:val="24"/>
        </w:rPr>
        <w:t xml:space="preserve">nessuna smentita</w:t>
      </w:r>
      <w:r>
        <w:rPr>
          <w:rFonts w:ascii="Barlow Semi Condensed" w:cs="Barlow Semi Condensed" w:eastAsia="Barlow Semi Condensed" w:hAnsi="Barlow Semi Condensed"/>
          <w:sz w:val="24"/>
          <w:szCs w:val="24"/>
        </w:rPr>
        <w:t xml:space="preserve">; due formulazioni tecniche corrette, una divergenza chiusa e una aperta dalla verifica stessa.</w:t>
      </w:r>
    </w:p>
    <w:p>
      <w:pPr>
        <w:spacing w:after="120" w:line="276"/>
        <w:jc w:val="both"/>
      </w:pPr>
      <w:r>
        <w:rPr>
          <w:rFonts w:ascii="Barlow Semi Condensed" w:cs="Barlow Semi Condensed" w:eastAsia="Barlow Semi Condensed" w:hAnsi="Barlow Semi Condensed"/>
          <w:i/>
          <w:iCs/>
          <w:sz w:val="24"/>
          <w:szCs w:val="24"/>
        </w:rPr>
        <w:t xml:space="preserve">La triangolazione conta documenti, date e sedi d'archivio — mai colpe. Un incrocio produce acquisizioni e lacune dichiarate, non responsabili.</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La triangolazione della seconda campagna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 5.808 parole in 9 sezioni; la più ampia è §9 Altre sezioni, con 1.823.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 78 paragrafi in 9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XII. I documenti del Dipartimento di Stato</w:t>
      </w:r>
    </w:p>
    <w:p>
      <w:pPr>
        <w:pStyle w:val="Heading1"/>
        <w:spacing w:after="120" w:before="240"/>
      </w:pPr>
      <w:r>
        <w:rPr>
          <w:rFonts w:ascii="Barlow Semi Condensed" w:cs="Barlow Semi Condensed" w:eastAsia="Barlow Semi Condensed" w:hAnsi="Barlow Semi Condensed"/>
          <w:sz w:val="24"/>
          <w:szCs w:val="24"/>
        </w:rPr>
        <w:t xml:space="preserve">Documenti del Dipartimento di Stato USA su Aldo Moro (1965 e 1978)</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sulla fonte.</w:t>
      </w:r>
      <w:r>
        <w:rPr>
          <w:rFonts w:ascii="Barlow Semi Condensed" w:cs="Barlow Semi Condensed" w:eastAsia="Barlow Semi Condensed" w:hAnsi="Barlow Semi Condensed"/>
          <w:i w:val="false"/>
          <w:iCs w:val="false"/>
          <w:sz w:val="24"/>
          <w:szCs w:val="24"/>
        </w:rPr>
        <w:t xml:space="preserve"> Questa è una trascrizione ripulita e ordinata dell'OCR grezzo di un lotto di documenti desecretati del Dipartimento di Stato statunitense (file originale </w:t>
      </w:r>
      <w:r>
        <w:rPr>
          <w:rFonts w:ascii="Barlow Semi Condensed" w:cs="Barlow Semi Condensed" w:eastAsia="Barlow Semi Condensed" w:hAnsi="Barlow Semi Condensed"/>
          <w:i w:val="false"/>
          <w:iCs w:val="false"/>
          <w:sz w:val="24"/>
          <w:szCs w:val="24"/>
        </w:rPr>
        <w:t xml:space="preserve">originali/state-dept-djvu-ocr-grezzo.txt</w:t>
      </w:r>
      <w:r>
        <w:rPr>
          <w:rFonts w:ascii="Barlow Semi Condensed" w:cs="Barlow Semi Condensed" w:eastAsia="Barlow Semi Condensed" w:hAnsi="Barlow Semi Condensed"/>
          <w:i w:val="false"/>
          <w:iCs w:val="false"/>
          <w:sz w:val="24"/>
          <w:szCs w:val="24"/>
        </w:rPr>
        <w:t xml:space="preserve">, catena di custodia nel </w:t>
      </w:r>
      <w:r>
        <w:rPr>
          <w:rFonts w:ascii="Barlow Semi Condensed" w:cs="Barlow Semi Condensed" w:eastAsia="Barlow Semi Condensed" w:hAnsi="Barlow Semi Condensed"/>
          <w:i w:val="false"/>
          <w:iCs w:val="false"/>
          <w:sz w:val="24"/>
          <w:szCs w:val="24"/>
        </w:rPr>
        <w:t xml:space="preserve">manifest-sha256.txt</w:t>
      </w:r>
      <w:r>
        <w:rPr>
          <w:rFonts w:ascii="Barlow Semi Condensed" w:cs="Barlow Semi Condensed" w:eastAsia="Barlow Semi Condensed" w:hAnsi="Barlow Semi Condensed"/>
          <w:i w:val="false"/>
          <w:iCs w:val="false"/>
          <w:sz w:val="24"/>
          <w:szCs w:val="24"/>
        </w:rPr>
        <w:t xml:space="preserve">). L'OCR di partenza è di qualità disuguale: dove il testo materiale è dubbio lo si segnala con </w:t>
      </w:r>
      <w:r>
        <w:rPr>
          <w:rFonts w:ascii="Barlow Semi Condensed" w:cs="Barlow Semi Condensed" w:eastAsia="Barlow Semi Condensed" w:hAnsi="Barlow Semi Condensed"/>
          <w:i w:val="false"/>
          <w:iCs w:val="false"/>
          <w:sz w:val="24"/>
          <w:szCs w:val="24"/>
        </w:rPr>
        <w:t xml:space="preserve">[…]</w:t>
      </w:r>
      <w:r>
        <w:rPr>
          <w:rFonts w:ascii="Barlow Semi Condensed" w:cs="Barlow Semi Condensed" w:eastAsia="Barlow Semi Condensed" w:hAnsi="Barlow Semi Condensed"/>
          <w:i w:val="false"/>
          <w:iCs w:val="false"/>
          <w:sz w:val="24"/>
          <w:szCs w:val="24"/>
        </w:rPr>
        <w:t xml:space="preserve"> o con una nota. I documenti si dispongono in due strati cronologici nettamente distinti — la </w:t>
      </w:r>
      <w:r>
        <w:rPr>
          <w:rFonts w:ascii="Barlow Semi Condensed" w:cs="Barlow Semi Condensed" w:eastAsia="Barlow Semi Condensed" w:hAnsi="Barlow Semi Condensed"/>
          <w:b/>
          <w:bCs/>
          <w:i w:val="false"/>
          <w:iCs w:val="false"/>
          <w:sz w:val="24"/>
          <w:szCs w:val="24"/>
        </w:rPr>
        <w:t xml:space="preserve">visita ufficiale del 1965</w:t>
      </w:r>
      <w:r>
        <w:rPr>
          <w:rFonts w:ascii="Barlow Semi Condensed" w:cs="Barlow Semi Condensed" w:eastAsia="Barlow Semi Condensed" w:hAnsi="Barlow Semi Condensed"/>
          <w:i w:val="false"/>
          <w:iCs w:val="false"/>
          <w:sz w:val="24"/>
          <w:szCs w:val="24"/>
        </w:rPr>
        <w:t xml:space="preserve"> e i </w:t>
      </w:r>
      <w:r>
        <w:rPr>
          <w:rFonts w:ascii="Barlow Semi Condensed" w:cs="Barlow Semi Condensed" w:eastAsia="Barlow Semi Condensed" w:hAnsi="Barlow Semi Condensed"/>
          <w:b/>
          <w:bCs/>
          <w:i w:val="false"/>
          <w:iCs w:val="false"/>
          <w:sz w:val="24"/>
          <w:szCs w:val="24"/>
        </w:rPr>
        <w:t xml:space="preserve">cablogrammi del 1978</w:t>
      </w:r>
      <w:r>
        <w:rPr>
          <w:rFonts w:ascii="Barlow Semi Condensed" w:cs="Barlow Semi Condensed" w:eastAsia="Barlow Semi Condensed" w:hAnsi="Barlow Semi Condensed"/>
          <w:i w:val="false"/>
          <w:iCs w:val="false"/>
          <w:sz w:val="24"/>
          <w:szCs w:val="24"/>
        </w:rPr>
        <w:t xml:space="preserve"> sul sequestro e sull'assassinio — che qui si tengono separati. Ogni voce riporta, ove leggibile, il numero di documento di declassificazione (</w:t>
      </w:r>
      <w:r>
        <w:rPr>
          <w:rFonts w:ascii="Barlow Semi Condensed" w:cs="Barlow Semi Condensed" w:eastAsia="Barlow Semi Condensed" w:hAnsi="Barlow Semi Condensed"/>
          <w:i w:val="false"/>
          <w:iCs w:val="false"/>
          <w:sz w:val="24"/>
          <w:szCs w:val="24"/>
        </w:rPr>
        <w:t xml:space="preserve">B-000019399xx</w:t>
      </w:r>
      <w:r>
        <w:rPr>
          <w:rFonts w:ascii="Barlow Semi Condensed" w:cs="Barlow Semi Condensed" w:eastAsia="Barlow Semi Condensed" w:hAnsi="Barlow Semi Condensed"/>
          <w:i w:val="false"/>
          <w:iCs w:val="false"/>
          <w:sz w:val="24"/>
          <w:szCs w:val="24"/>
        </w:rPr>
        <w:t xml:space="preserve">), la sigla di classificazione originaria e la data. Nessun fatto è aggiunto oltre ciò che il documento attesta; le reazioni politiche riportate nei cablogrammi sono citazioni delle fonti locali quali il redattore statunitense le riferì, non giudizi di chi trascrive.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Strato I — La visita ufficiale negli Stati Uniti (19–23 aprile 1965)</w:t>
      </w:r>
    </w:p>
    <w:p>
      <w:pPr>
        <w:spacing w:after="120" w:line="276"/>
        <w:jc w:val="both"/>
      </w:pPr>
      <w:r>
        <w:rPr>
          <w:rFonts w:ascii="Barlow Semi Condensed" w:cs="Barlow Semi Condensed" w:eastAsia="Barlow Semi Condensed" w:hAnsi="Barlow Semi Condensed"/>
          <w:sz w:val="24"/>
          <w:szCs w:val="24"/>
        </w:rPr>
        <w:t xml:space="preserve">Nel 1965 Aldo Moro non era ministro degli Esteri, bensì </w:t>
      </w:r>
      <w:r>
        <w:rPr>
          <w:rFonts w:ascii="Barlow Semi Condensed" w:cs="Barlow Semi Condensed" w:eastAsia="Barlow Semi Condensed" w:hAnsi="Barlow Semi Condensed"/>
          <w:b/>
          <w:bCs/>
          <w:sz w:val="24"/>
          <w:szCs w:val="24"/>
        </w:rPr>
        <w:t xml:space="preserve">Presidente del Consiglio dei ministri</w:t>
      </w:r>
      <w:r>
        <w:rPr>
          <w:rFonts w:ascii="Barlow Semi Condensed" w:cs="Barlow Semi Condensed" w:eastAsia="Barlow Semi Condensed" w:hAnsi="Barlow Semi Condensed"/>
          <w:sz w:val="24"/>
          <w:szCs w:val="24"/>
        </w:rPr>
        <w:t xml:space="preserve"> (I e II Governo Moro, 1963–1968); il titolare della Farnesina nella delegazione era </w:t>
      </w:r>
      <w:r>
        <w:rPr>
          <w:rFonts w:ascii="Barlow Semi Condensed" w:cs="Barlow Semi Condensed" w:eastAsia="Barlow Semi Condensed" w:hAnsi="Barlow Semi Condensed"/>
          <w:b/>
          <w:bCs/>
          <w:sz w:val="24"/>
          <w:szCs w:val="24"/>
        </w:rPr>
        <w:t xml:space="preserve">Amintore Fanfani</w:t>
      </w:r>
      <w:r>
        <w:rPr>
          <w:rFonts w:ascii="Barlow Semi Condensed" w:cs="Barlow Semi Condensed" w:eastAsia="Barlow Semi Condensed" w:hAnsi="Barlow Semi Condensed"/>
          <w:sz w:val="24"/>
          <w:szCs w:val="24"/>
        </w:rPr>
        <w:t xml:space="preserve">. La visita è dunque anteriore ai due mandati agli Esteri (1969–1974) di cui trattano gli altri documenti di questa cartella, e va qui come antefatto della statura internazionale dell'uomo, non come atto della sua politica estera da ministro. Il documento cardine è il comunicato stampa n. 76 del Dipartimento di Stato (16 aprile 1965), «Program for the official visit to the United States of America of His Excellency Aldo Moro, President of the Council of Ministers of the Republic of Italy — April 19–23, 1965».</w:t>
      </w:r>
    </w:p>
    <w:p>
      <w:pPr>
        <w:pStyle w:val="Heading3"/>
        <w:spacing w:after="80" w:before="160"/>
      </w:pPr>
      <w:r>
        <w:rPr>
          <w:rFonts w:ascii="Barlow Semi Condensed" w:cs="Barlow Semi Condensed" w:eastAsia="Barlow Semi Condensed" w:hAnsi="Barlow Semi Condensed"/>
          <w:sz w:val="24"/>
          <w:szCs w:val="24"/>
        </w:rPr>
        <w:t xml:space="preserve">La delegazione italiana</w:t>
      </w:r>
    </w:p>
    <w:p>
      <w:pPr>
        <w:spacing w:after="120" w:line="276"/>
        <w:jc w:val="both"/>
      </w:pPr>
      <w:r>
        <w:rPr>
          <w:rFonts w:ascii="Barlow Semi Condensed" w:cs="Barlow Semi Condensed" w:eastAsia="Barlow Semi Condensed" w:hAnsi="Barlow Semi Condensed"/>
          <w:sz w:val="24"/>
          <w:szCs w:val="24"/>
        </w:rPr>
        <w:t xml:space="preserve">Come da programma ufficiale (Members of the Party):</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Aldo Moro</w:t>
      </w:r>
      <w:r>
        <w:rPr>
          <w:rFonts w:ascii="Barlow Semi Condensed" w:cs="Barlow Semi Condensed" w:eastAsia="Barlow Semi Condensed" w:hAnsi="Barlow Semi Condensed"/>
          <w:sz w:val="24"/>
          <w:szCs w:val="24"/>
        </w:rPr>
        <w:t xml:space="preserve"> — Presidente del Consiglio dei ministri;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Amintore Fanfani</w:t>
      </w:r>
      <w:r>
        <w:rPr>
          <w:rFonts w:ascii="Barlow Semi Condensed" w:cs="Barlow Semi Condensed" w:eastAsia="Barlow Semi Condensed" w:hAnsi="Barlow Semi Condensed"/>
          <w:sz w:val="24"/>
          <w:szCs w:val="24"/>
        </w:rPr>
        <w:t xml:space="preserve"> — Ministro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Sergio Fenoaltea</w:t>
      </w:r>
      <w:r>
        <w:rPr>
          <w:rFonts w:ascii="Barlow Semi Condensed" w:cs="Barlow Semi Condensed" w:eastAsia="Barlow Semi Condensed" w:hAnsi="Barlow Semi Condensed"/>
          <w:sz w:val="24"/>
          <w:szCs w:val="24"/>
        </w:rPr>
        <w:t xml:space="preserve"> — Ambasciatore d'Italia negli Stati Uniti;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Attilio Cattani</w:t>
      </w:r>
      <w:r>
        <w:rPr>
          <w:rFonts w:ascii="Barlow Semi Condensed" w:cs="Barlow Semi Condensed" w:eastAsia="Barlow Semi Condensed" w:hAnsi="Barlow Semi Condensed"/>
          <w:sz w:val="24"/>
          <w:szCs w:val="24"/>
        </w:rPr>
        <w:t xml:space="preserve"> — Ambasciatore, Segretario Generale del Ministero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Egidio Ortona</w:t>
      </w:r>
      <w:r>
        <w:rPr>
          <w:rFonts w:ascii="Barlow Semi Condensed" w:cs="Barlow Semi Condensed" w:eastAsia="Barlow Semi Condensed" w:hAnsi="Barlow Semi Condensed"/>
          <w:sz w:val="24"/>
          <w:szCs w:val="24"/>
        </w:rPr>
        <w:t xml:space="preserve"> — Ambasciatore, Direttore Generale degli Affari Economici del Ministero;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Gianfranco Pompei</w:t>
      </w:r>
      <w:r>
        <w:rPr>
          <w:rFonts w:ascii="Barlow Semi Condensed" w:cs="Barlow Semi Condensed" w:eastAsia="Barlow Semi Condensed" w:hAnsi="Barlow Semi Condensed"/>
          <w:sz w:val="24"/>
          <w:szCs w:val="24"/>
        </w:rPr>
        <w:t xml:space="preserve"> — Ministro plenipotenziario, Consigliere diplomatico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Cataldo Cassano</w:t>
      </w:r>
      <w:r>
        <w:rPr>
          <w:rFonts w:ascii="Barlow Semi Condensed" w:cs="Barlow Semi Condensed" w:eastAsia="Barlow Semi Condensed" w:hAnsi="Barlow Semi Condensed"/>
          <w:sz w:val="24"/>
          <w:szCs w:val="24"/>
        </w:rPr>
        <w:t xml:space="preserve"> — Senatore della Repubblica;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Sereno Freato</w:t>
      </w:r>
      <w:r>
        <w:rPr>
          <w:rFonts w:ascii="Barlow Semi Condensed" w:cs="Barlow Semi Condensed" w:eastAsia="Barlow Semi Condensed" w:hAnsi="Barlow Semi Condensed"/>
          <w:sz w:val="24"/>
          <w:szCs w:val="24"/>
        </w:rPr>
        <w:t xml:space="preserve"> — Consigliere, Ufficio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Corrado Guerzoni</w:t>
      </w:r>
      <w:r>
        <w:rPr>
          <w:rFonts w:ascii="Barlow Semi Condensed" w:cs="Barlow Semi Condensed" w:eastAsia="Barlow Semi Condensed" w:hAnsi="Barlow Semi Condensed"/>
          <w:sz w:val="24"/>
          <w:szCs w:val="24"/>
        </w:rPr>
        <w:t xml:space="preserve"> — Capo dell'Ufficio Stampa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Felice Marchioni</w:t>
      </w:r>
      <w:r>
        <w:rPr>
          <w:rFonts w:ascii="Barlow Semi Condensed" w:cs="Barlow Semi Condensed" w:eastAsia="Barlow Semi Condensed" w:hAnsi="Barlow Semi Condensed"/>
          <w:sz w:val="24"/>
          <w:szCs w:val="24"/>
        </w:rPr>
        <w:t xml:space="preserve"> — Capo dell'Ufficio del Cerimoniale del Presidente del Consiglio;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Luigi Cottafavi</w:t>
      </w:r>
      <w:r>
        <w:rPr>
          <w:rFonts w:ascii="Barlow Semi Condensed" w:cs="Barlow Semi Condensed" w:eastAsia="Barlow Semi Condensed" w:hAnsi="Barlow Semi Condensed"/>
          <w:sz w:val="24"/>
          <w:szCs w:val="24"/>
        </w:rPr>
        <w:t xml:space="preserve"> — Consigliere d'Ambasciata;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Walter Gardini</w:t>
      </w:r>
      <w:r>
        <w:rPr>
          <w:rFonts w:ascii="Barlow Semi Condensed" w:cs="Barlow Semi Condensed" w:eastAsia="Barlow Semi Condensed" w:hAnsi="Barlow Semi Condensed"/>
          <w:sz w:val="24"/>
          <w:szCs w:val="24"/>
        </w:rPr>
        <w:t xml:space="preserve"> — Capo dell'Ufficio Stampa del Ministero degli Affari Esteri;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Nicola Rana</w:t>
      </w:r>
      <w:r>
        <w:rPr>
          <w:rFonts w:ascii="Barlow Semi Condensed" w:cs="Barlow Semi Condensed" w:eastAsia="Barlow Semi Condensed" w:hAnsi="Barlow Semi Condensed"/>
          <w:sz w:val="24"/>
          <w:szCs w:val="24"/>
        </w:rPr>
        <w:t xml:space="preserve"> — Segretario particolare del Presidente del Consiglio.</w:t>
      </w:r>
    </w:p>
    <w:p>
      <w:pPr>
        <w:spacing w:after="120" w:line="276"/>
        <w:jc w:val="both"/>
      </w:pPr>
      <w:r>
        <w:rPr>
          <w:rFonts w:ascii="Barlow Semi Condensed" w:cs="Barlow Semi Condensed" w:eastAsia="Barlow Semi Condensed" w:hAnsi="Barlow Semi Condensed"/>
          <w:sz w:val="24"/>
          <w:szCs w:val="24"/>
        </w:rPr>
        <w:t xml:space="preserve">Per parte statunitense figurano nel programma il Capo del Cerimoniale </w:t>
      </w:r>
      <w:r>
        <w:rPr>
          <w:rFonts w:ascii="Barlow Semi Condensed" w:cs="Barlow Semi Condensed" w:eastAsia="Barlow Semi Condensed" w:hAnsi="Barlow Semi Condensed"/>
          <w:b/>
          <w:bCs/>
          <w:sz w:val="24"/>
          <w:szCs w:val="24"/>
        </w:rPr>
        <w:t xml:space="preserve">Lloyd N. Hand</w:t>
      </w:r>
      <w:r>
        <w:rPr>
          <w:rFonts w:ascii="Barlow Semi Condensed" w:cs="Barlow Semi Condensed" w:eastAsia="Barlow Semi Condensed" w:hAnsi="Barlow Semi Condensed"/>
          <w:sz w:val="24"/>
          <w:szCs w:val="24"/>
        </w:rPr>
        <w:t xml:space="preserve">, l'ambasciatore americano a Roma </w:t>
      </w:r>
      <w:r>
        <w:rPr>
          <w:rFonts w:ascii="Barlow Semi Condensed" w:cs="Barlow Semi Condensed" w:eastAsia="Barlow Semi Condensed" w:hAnsi="Barlow Semi Condensed"/>
          <w:b/>
          <w:bCs/>
          <w:sz w:val="24"/>
          <w:szCs w:val="24"/>
        </w:rPr>
        <w:t xml:space="preserve">G. Frederick Reinhardt</w:t>
      </w:r>
      <w:r>
        <w:rPr>
          <w:rFonts w:ascii="Barlow Semi Condensed" w:cs="Barlow Semi Condensed" w:eastAsia="Barlow Semi Condensed" w:hAnsi="Barlow Semi Condensed"/>
          <w:sz w:val="24"/>
          <w:szCs w:val="24"/>
        </w:rPr>
        <w:t xml:space="preserve">, il vice-capo del cerimoniale </w:t>
      </w:r>
      <w:r>
        <w:rPr>
          <w:rFonts w:ascii="Barlow Semi Condensed" w:cs="Barlow Semi Condensed" w:eastAsia="Barlow Semi Condensed" w:hAnsi="Barlow Semi Condensed"/>
          <w:b/>
          <w:bCs/>
          <w:sz w:val="24"/>
          <w:szCs w:val="24"/>
        </w:rPr>
        <w:t xml:space="preserve">Samuel L. King</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i/>
          <w:iCs/>
          <w:sz w:val="24"/>
          <w:szCs w:val="24"/>
        </w:rPr>
        <w:t xml:space="preserve">Security Officer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Bert M. Bennington</w:t>
      </w:r>
      <w:r>
        <w:rPr>
          <w:rFonts w:ascii="Barlow Semi Condensed" w:cs="Barlow Semi Condensed" w:eastAsia="Barlow Semi Condensed" w:hAnsi="Barlow Semi Condensed"/>
          <w:sz w:val="24"/>
          <w:szCs w:val="24"/>
        </w:rPr>
        <w:t xml:space="preserve"> e il </w:t>
      </w:r>
      <w:r>
        <w:rPr>
          <w:rFonts w:ascii="Barlow Semi Condensed" w:cs="Barlow Semi Condensed" w:eastAsia="Barlow Semi Condensed" w:hAnsi="Barlow Semi Condensed"/>
          <w:i/>
          <w:iCs/>
          <w:sz w:val="24"/>
          <w:szCs w:val="24"/>
        </w:rPr>
        <w:t xml:space="preserve">Public Affairs and Press Officer</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Ivan E. Sinclair</w:t>
      </w:r>
      <w:r>
        <w:rPr>
          <w:rFonts w:ascii="Barlow Semi Condensed" w:cs="Barlow Semi Condensed" w:eastAsia="Barlow Semi Condensed" w:hAnsi="Barlow Semi Condensed"/>
          <w:sz w:val="24"/>
          <w:szCs w:val="24"/>
        </w:rPr>
        <w:t xml:space="preserve">.</w:t>
      </w:r>
    </w:p>
    <w:p>
      <w:pPr>
        <w:pStyle w:val="Heading3"/>
        <w:spacing w:after="80" w:before="160"/>
      </w:pPr>
      <w:r>
        <w:rPr>
          <w:rFonts w:ascii="Barlow Semi Condensed" w:cs="Barlow Semi Condensed" w:eastAsia="Barlow Semi Condensed" w:hAnsi="Barlow Semi Condensed"/>
          <w:sz w:val="24"/>
          <w:szCs w:val="24"/>
        </w:rPr>
        <w:t xml:space="preserve">Il programma, giorno per giorno</w:t>
      </w:r>
    </w:p>
    <w:p>
      <w:pPr>
        <w:spacing w:after="120" w:line="276"/>
        <w:jc w:val="both"/>
      </w:pPr>
      <w:r>
        <w:rPr>
          <w:rFonts w:ascii="Barlow Semi Condensed" w:cs="Barlow Semi Condensed" w:eastAsia="Barlow Semi Condensed" w:hAnsi="Barlow Semi Condensed"/>
          <w:b/>
          <w:bCs/>
          <w:sz w:val="24"/>
          <w:szCs w:val="24"/>
        </w:rPr>
        <w:t xml:space="preserve">Lunedì 19 aprile.</w:t>
      </w:r>
      <w:r>
        <w:rPr>
          <w:rFonts w:ascii="Barlow Semi Condensed" w:cs="Barlow Semi Condensed" w:eastAsia="Barlow Semi Condensed" w:hAnsi="Barlow Semi Condensed"/>
          <w:sz w:val="24"/>
          <w:szCs w:val="24"/>
        </w:rPr>
        <w:t xml:space="preserve"> Arrivo alle 13:40 (EST) all'aeroporto internazionale John F. Kennedy di New York con volo Alitalia 632; accoglienza del Capo del Cerimoniale degli Stati Uniti. Alle 14:45 ripartenza da JFK a bordo di un volo speciale dell'US Air Force verso Washington. Arrivo al MATS Terminal, Washington National Airport (16:00), quindi Blair House (16:30). Cena privata all'Ambasciata d'Italia.</w:t>
      </w:r>
    </w:p>
    <w:p>
      <w:pPr>
        <w:spacing w:after="120" w:line="276"/>
        <w:jc w:val="both"/>
      </w:pPr>
      <w:r>
        <w:rPr>
          <w:rFonts w:ascii="Barlow Semi Condensed" w:cs="Barlow Semi Condensed" w:eastAsia="Barlow Semi Condensed" w:hAnsi="Barlow Semi Condensed"/>
          <w:b/>
          <w:bCs/>
          <w:sz w:val="24"/>
          <w:szCs w:val="24"/>
        </w:rPr>
        <w:t xml:space="preserve">Martedì 20 aprile.</w:t>
      </w:r>
      <w:r>
        <w:rPr>
          <w:rFonts w:ascii="Barlow Semi Condensed" w:cs="Barlow Semi Condensed" w:eastAsia="Barlow Semi Condensed" w:hAnsi="Barlow Semi Condensed"/>
          <w:sz w:val="24"/>
          <w:szCs w:val="24"/>
        </w:rPr>
        <w:t xml:space="preserve"> Ricevimento alla </w:t>
      </w:r>
      <w:r>
        <w:rPr>
          <w:rFonts w:ascii="Barlow Semi Condensed" w:cs="Barlow Semi Condensed" w:eastAsia="Barlow Semi Condensed" w:hAnsi="Barlow Semi Condensed"/>
          <w:b/>
          <w:bCs/>
          <w:sz w:val="24"/>
          <w:szCs w:val="24"/>
        </w:rPr>
        <w:t xml:space="preserve">Casa Bianca</w:t>
      </w:r>
      <w:r>
        <w:rPr>
          <w:rFonts w:ascii="Barlow Semi Condensed" w:cs="Barlow Semi Condensed" w:eastAsia="Barlow Semi Condensed" w:hAnsi="Barlow Semi Condensed"/>
          <w:sz w:val="24"/>
          <w:szCs w:val="24"/>
        </w:rPr>
        <w:t xml:space="preserve">: alle 12:00 arrivo, accolto dal </w:t>
      </w:r>
      <w:r>
        <w:rPr>
          <w:rFonts w:ascii="Barlow Semi Condensed" w:cs="Barlow Semi Condensed" w:eastAsia="Barlow Semi Condensed" w:hAnsi="Barlow Semi Condensed"/>
          <w:b/>
          <w:bCs/>
          <w:sz w:val="24"/>
          <w:szCs w:val="24"/>
        </w:rPr>
        <w:t xml:space="preserve">Presidente Lyndon B. Johnson e dalla signora Johnson</w:t>
      </w:r>
      <w:r>
        <w:rPr>
          <w:rFonts w:ascii="Barlow Semi Condensed" w:cs="Barlow Semi Condensed" w:eastAsia="Barlow Semi Condensed" w:hAnsi="Barlow Semi Condensed"/>
          <w:sz w:val="24"/>
          <w:szCs w:val="24"/>
        </w:rPr>
        <w:t xml:space="preserve">, dal Segretario di Stato, dal generale </w:t>
      </w:r>
      <w:r>
        <w:rPr>
          <w:rFonts w:ascii="Barlow Semi Condensed" w:cs="Barlow Semi Condensed" w:eastAsia="Barlow Semi Condensed" w:hAnsi="Barlow Semi Condensed"/>
          <w:b/>
          <w:bCs/>
          <w:sz w:val="24"/>
          <w:szCs w:val="24"/>
        </w:rPr>
        <w:t xml:space="preserve">Harold K. Johnson</w:t>
      </w:r>
      <w:r>
        <w:rPr>
          <w:rFonts w:ascii="Barlow Semi Condensed" w:cs="Barlow Semi Condensed" w:eastAsia="Barlow Semi Condensed" w:hAnsi="Barlow Semi Condensed"/>
          <w:sz w:val="24"/>
          <w:szCs w:val="24"/>
        </w:rPr>
        <w:t xml:space="preserve"> (Presidente facente funzioni dei Capi di Stato Maggiore Riuniti), dal Decano del Corpo Diplomatico e da altre autorità, con </w:t>
      </w:r>
      <w:r>
        <w:rPr>
          <w:rFonts w:ascii="Barlow Semi Condensed" w:cs="Barlow Semi Condensed" w:eastAsia="Barlow Semi Condensed" w:hAnsi="Barlow Semi Condensed"/>
          <w:b/>
          <w:bCs/>
          <w:sz w:val="24"/>
          <w:szCs w:val="24"/>
        </w:rPr>
        <w:t xml:space="preserve">onori militari pieni</w:t>
      </w:r>
      <w:r>
        <w:rPr>
          <w:rFonts w:ascii="Barlow Semi Condensed" w:cs="Barlow Semi Condensed" w:eastAsia="Barlow Semi Condensed" w:hAnsi="Barlow Semi Condensed"/>
          <w:sz w:val="24"/>
          <w:szCs w:val="24"/>
        </w:rPr>
        <w:t xml:space="preserve">. Colloquio Moro–Johnson. Colazione offerta dal Segretario del Tesoro </w:t>
      </w:r>
      <w:r>
        <w:rPr>
          <w:rFonts w:ascii="Barlow Semi Condensed" w:cs="Barlow Semi Condensed" w:eastAsia="Barlow Semi Condensed" w:hAnsi="Barlow Semi Condensed"/>
          <w:b/>
          <w:bCs/>
          <w:sz w:val="24"/>
          <w:szCs w:val="24"/>
        </w:rPr>
        <w:t xml:space="preserve">Henry H. Fowler</w:t>
      </w:r>
      <w:r>
        <w:rPr>
          <w:rFonts w:ascii="Barlow Semi Condensed" w:cs="Barlow Semi Condensed" w:eastAsia="Barlow Semi Condensed" w:hAnsi="Barlow Semi Condensed"/>
          <w:sz w:val="24"/>
          <w:szCs w:val="24"/>
        </w:rPr>
        <w:t xml:space="preserve"> alla Decatur House. Incontro con il </w:t>
      </w:r>
      <w:r>
        <w:rPr>
          <w:rFonts w:ascii="Barlow Semi Condensed" w:cs="Barlow Semi Condensed" w:eastAsia="Barlow Semi Condensed" w:hAnsi="Barlow Semi Condensed"/>
          <w:b/>
          <w:bCs/>
          <w:sz w:val="24"/>
          <w:szCs w:val="24"/>
        </w:rPr>
        <w:t xml:space="preserve">Segretario di Stato Dean Rusk</w:t>
      </w:r>
      <w:r>
        <w:rPr>
          <w:rFonts w:ascii="Barlow Semi Condensed" w:cs="Barlow Semi Condensed" w:eastAsia="Barlow Semi Condensed" w:hAnsi="Barlow Semi Condensed"/>
          <w:sz w:val="24"/>
          <w:szCs w:val="24"/>
        </w:rPr>
        <w:t xml:space="preserve"> al Dipartimento di Stato. In serata (18:00) </w:t>
      </w:r>
      <w:r>
        <w:rPr>
          <w:rFonts w:ascii="Barlow Semi Condensed" w:cs="Barlow Semi Condensed" w:eastAsia="Barlow Semi Condensed" w:hAnsi="Barlow Semi Condensed"/>
          <w:b/>
          <w:bCs/>
          <w:sz w:val="24"/>
          <w:szCs w:val="24"/>
        </w:rPr>
        <w:t xml:space="preserve">pranzo di gala offerto dal Presidente Johnson</w:t>
      </w:r>
      <w:r>
        <w:rPr>
          <w:rFonts w:ascii="Barlow Semi Condensed" w:cs="Barlow Semi Condensed" w:eastAsia="Barlow Semi Condensed" w:hAnsi="Barlow Semi Condensed"/>
          <w:sz w:val="24"/>
          <w:szCs w:val="24"/>
        </w:rPr>
        <w:t xml:space="preserve"> alla Casa Bianca in onore del Presidente del Consiglio italiano (dress: black tie).</w:t>
      </w:r>
    </w:p>
    <w:p>
      <w:pPr>
        <w:spacing w:after="120" w:line="276"/>
        <w:jc w:val="both"/>
      </w:pPr>
      <w:r>
        <w:rPr>
          <w:rFonts w:ascii="Barlow Semi Condensed" w:cs="Barlow Semi Condensed" w:eastAsia="Barlow Semi Condensed" w:hAnsi="Barlow Semi Condensed"/>
          <w:b/>
          <w:bCs/>
          <w:sz w:val="24"/>
          <w:szCs w:val="24"/>
        </w:rPr>
        <w:t xml:space="preserve">Mercoledì 21 aprile.</w:t>
      </w:r>
      <w:r>
        <w:rPr>
          <w:rFonts w:ascii="Barlow Semi Condensed" w:cs="Barlow Semi Condensed" w:eastAsia="Barlow Semi Condensed" w:hAnsi="Barlow Semi Condensed"/>
          <w:sz w:val="24"/>
          <w:szCs w:val="24"/>
        </w:rPr>
        <w:t xml:space="preserve"> Visita all'</w:t>
      </w:r>
      <w:r>
        <w:rPr>
          <w:rFonts w:ascii="Barlow Semi Condensed" w:cs="Barlow Semi Condensed" w:eastAsia="Barlow Semi Condensed" w:hAnsi="Barlow Semi Condensed"/>
          <w:b/>
          <w:bCs/>
          <w:sz w:val="24"/>
          <w:szCs w:val="24"/>
        </w:rPr>
        <w:t xml:space="preserve">Arlington National Cemetery</w:t>
      </w:r>
      <w:r>
        <w:rPr>
          <w:rFonts w:ascii="Barlow Semi Condensed" w:cs="Barlow Semi Condensed" w:eastAsia="Barlow Semi Condensed" w:hAnsi="Barlow Semi Condensed"/>
          <w:sz w:val="24"/>
          <w:szCs w:val="24"/>
        </w:rPr>
        <w:t xml:space="preserve">, con deposizione di corone alla Tomba del Milite Ignoto e sulla </w:t>
      </w:r>
      <w:r>
        <w:rPr>
          <w:rFonts w:ascii="Barlow Semi Condensed" w:cs="Barlow Semi Condensed" w:eastAsia="Barlow Semi Condensed" w:hAnsi="Barlow Semi Condensed"/>
          <w:b/>
          <w:bCs/>
          <w:sz w:val="24"/>
          <w:szCs w:val="24"/>
        </w:rPr>
        <w:t xml:space="preserve">tomba del defunto Presidente John F. Kennedy</w:t>
      </w:r>
      <w:r>
        <w:rPr>
          <w:rFonts w:ascii="Barlow Semi Condensed" w:cs="Barlow Semi Condensed" w:eastAsia="Barlow Semi Condensed" w:hAnsi="Barlow Semi Condensed"/>
          <w:sz w:val="24"/>
          <w:szCs w:val="24"/>
        </w:rPr>
        <w:t xml:space="preserve">. Visita a </w:t>
      </w:r>
      <w:r>
        <w:rPr>
          <w:rFonts w:ascii="Barlow Semi Condensed" w:cs="Barlow Semi Condensed" w:eastAsia="Barlow Semi Condensed" w:hAnsi="Barlow Semi Condensed"/>
          <w:b/>
          <w:bCs/>
          <w:sz w:val="24"/>
          <w:szCs w:val="24"/>
        </w:rPr>
        <w:t xml:space="preserve">Mount Vernon</w:t>
      </w:r>
      <w:r>
        <w:rPr>
          <w:rFonts w:ascii="Barlow Semi Condensed" w:cs="Barlow Semi Condensed" w:eastAsia="Barlow Semi Condensed" w:hAnsi="Barlow Semi Condensed"/>
          <w:sz w:val="24"/>
          <w:szCs w:val="24"/>
        </w:rPr>
        <w:t xml:space="preserve">, corona alla tomba di George Washington e visita alla dimora. Incontro con il Segretario alla Difesa </w:t>
      </w:r>
      <w:r>
        <w:rPr>
          <w:rFonts w:ascii="Barlow Semi Condensed" w:cs="Barlow Semi Condensed" w:eastAsia="Barlow Semi Condensed" w:hAnsi="Barlow Semi Condensed"/>
          <w:b/>
          <w:bCs/>
          <w:sz w:val="24"/>
          <w:szCs w:val="24"/>
        </w:rPr>
        <w:t xml:space="preserve">Robert S. McNamara</w:t>
      </w:r>
      <w:r>
        <w:rPr>
          <w:rFonts w:ascii="Barlow Semi Condensed" w:cs="Barlow Semi Condensed" w:eastAsia="Barlow Semi Condensed" w:hAnsi="Barlow Semi Condensed"/>
          <w:sz w:val="24"/>
          <w:szCs w:val="24"/>
        </w:rPr>
        <w:t xml:space="preserve"> a Blair House. Colazione offerta dal Segretario di Stato e dalla signora Rusk nella Benjamin Franklin Room del Dipartimento di Stato. Nuovo colloquio Moro–Johnson alla Casa Bianca (17:00), con </w:t>
      </w:r>
      <w:r>
        <w:rPr>
          <w:rFonts w:ascii="Barlow Semi Condensed" w:cs="Barlow Semi Condensed" w:eastAsia="Barlow Semi Condensed" w:hAnsi="Barlow Semi Condensed"/>
          <w:b/>
          <w:bCs/>
          <w:sz w:val="24"/>
          <w:szCs w:val="24"/>
        </w:rPr>
        <w:t xml:space="preserve">emissione di un comunicato congiunto</w:t>
      </w:r>
      <w:r>
        <w:rPr>
          <w:rFonts w:ascii="Barlow Semi Condensed" w:cs="Barlow Semi Condensed" w:eastAsia="Barlow Semi Condensed" w:hAnsi="Barlow Semi Condensed"/>
          <w:sz w:val="24"/>
          <w:szCs w:val="24"/>
        </w:rPr>
        <w:t xml:space="preserve">. In serata ricevimento offerto da Moro all'Ambasciata d'Italia (2700 Sixteenth Street NW) in onore dei coniugi Johnson.</w:t>
      </w:r>
    </w:p>
    <w:p>
      <w:pPr>
        <w:spacing w:after="120" w:line="276"/>
        <w:jc w:val="both"/>
      </w:pPr>
      <w:r>
        <w:rPr>
          <w:rFonts w:ascii="Barlow Semi Condensed" w:cs="Barlow Semi Condensed" w:eastAsia="Barlow Semi Condensed" w:hAnsi="Barlow Semi Condensed"/>
          <w:b/>
          <w:bCs/>
          <w:sz w:val="24"/>
          <w:szCs w:val="24"/>
        </w:rPr>
        <w:t xml:space="preserve">Giovedì 22 aprile.</w:t>
      </w:r>
      <w:r>
        <w:rPr>
          <w:rFonts w:ascii="Barlow Semi Condensed" w:cs="Barlow Semi Condensed" w:eastAsia="Barlow Semi Condensed" w:hAnsi="Barlow Semi Condensed"/>
          <w:sz w:val="24"/>
          <w:szCs w:val="24"/>
        </w:rPr>
        <w:t xml:space="preserve"> Al Campidoglio, colazione di lavoro (breakfast) offerta dal </w:t>
      </w:r>
      <w:r>
        <w:rPr>
          <w:rFonts w:ascii="Barlow Semi Condensed" w:cs="Barlow Semi Condensed" w:eastAsia="Barlow Semi Condensed" w:hAnsi="Barlow Semi Condensed"/>
          <w:b/>
          <w:bCs/>
          <w:sz w:val="24"/>
          <w:szCs w:val="24"/>
        </w:rPr>
        <w:t xml:space="preserve">Vicepresidente Hubert H. Humphrey</w:t>
      </w:r>
      <w:r>
        <w:rPr>
          <w:rFonts w:ascii="Barlow Semi Condensed" w:cs="Barlow Semi Condensed" w:eastAsia="Barlow Semi Condensed" w:hAnsi="Barlow Semi Condensed"/>
          <w:sz w:val="24"/>
          <w:szCs w:val="24"/>
        </w:rPr>
        <w:t xml:space="preserve"> nella Senate Reception Room. All'Ellipse, </w:t>
      </w:r>
      <w:r>
        <w:rPr>
          <w:rFonts w:ascii="Barlow Semi Condensed" w:cs="Barlow Semi Condensed" w:eastAsia="Barlow Semi Condensed" w:hAnsi="Barlow Semi Condensed"/>
          <w:b/>
          <w:bCs/>
          <w:sz w:val="24"/>
          <w:szCs w:val="24"/>
        </w:rPr>
        <w:t xml:space="preserve">cerimonia militare di congedo</w:t>
      </w:r>
      <w:r>
        <w:rPr>
          <w:rFonts w:ascii="Barlow Semi Condensed" w:cs="Barlow Semi Condensed" w:eastAsia="Barlow Semi Condensed" w:hAnsi="Barlow Semi Condensed"/>
          <w:sz w:val="24"/>
          <w:szCs w:val="24"/>
        </w:rPr>
        <w:t xml:space="preserve"> delle Forze Armate, con Humphrey a capo del comitato di commiato. Partenza in corteo per New York; sosta a </w:t>
      </w:r>
      <w:r>
        <w:rPr>
          <w:rFonts w:ascii="Barlow Semi Condensed" w:cs="Barlow Semi Condensed" w:eastAsia="Barlow Semi Condensed" w:hAnsi="Barlow Semi Condensed"/>
          <w:b/>
          <w:bCs/>
          <w:sz w:val="24"/>
          <w:szCs w:val="24"/>
        </w:rPr>
        <w:t xml:space="preserve">Philadelphia</w:t>
      </w:r>
      <w:r>
        <w:rPr>
          <w:rFonts w:ascii="Barlow Semi Condensed" w:cs="Barlow Semi Condensed" w:eastAsia="Barlow Semi Condensed" w:hAnsi="Barlow Semi Condensed"/>
          <w:sz w:val="24"/>
          <w:szCs w:val="24"/>
        </w:rPr>
        <w:t xml:space="preserve">, dove il console generale d'Italia </w:t>
      </w:r>
      <w:r>
        <w:rPr>
          <w:rFonts w:ascii="Barlow Semi Condensed" w:cs="Barlow Semi Condensed" w:eastAsia="Barlow Semi Condensed" w:hAnsi="Barlow Semi Condensed"/>
          <w:b/>
          <w:bCs/>
          <w:sz w:val="24"/>
          <w:szCs w:val="24"/>
        </w:rPr>
        <w:t xml:space="preserve">Gian Piero Nuti</w:t>
      </w:r>
      <w:r>
        <w:rPr>
          <w:rFonts w:ascii="Barlow Semi Condensed" w:cs="Barlow Semi Condensed" w:eastAsia="Barlow Semi Condensed" w:hAnsi="Barlow Semi Condensed"/>
          <w:sz w:val="24"/>
          <w:szCs w:val="24"/>
        </w:rPr>
        <w:t xml:space="preserve"> offre una colazione privata e il sindaco </w:t>
      </w:r>
      <w:r>
        <w:rPr>
          <w:rFonts w:ascii="Barlow Semi Condensed" w:cs="Barlow Semi Condensed" w:eastAsia="Barlow Semi Condensed" w:hAnsi="Barlow Semi Condensed"/>
          <w:b/>
          <w:bCs/>
          <w:sz w:val="24"/>
          <w:szCs w:val="24"/>
        </w:rPr>
        <w:t xml:space="preserve">James H. J. Tate conferisce a Moro la cittadinanza onoraria della città</w:t>
      </w:r>
      <w:r>
        <w:rPr>
          <w:rFonts w:ascii="Barlow Semi Condensed" w:cs="Barlow Semi Condensed" w:eastAsia="Barlow Semi Condensed" w:hAnsi="Barlow Semi Condensed"/>
          <w:sz w:val="24"/>
          <w:szCs w:val="24"/>
        </w:rPr>
        <w:t xml:space="preserve">. In serata arrivo ai Waldorf Towers di New York; ricevimento e cena della comunità italoamericana all'Americana Hotel.</w:t>
      </w:r>
    </w:p>
    <w:p>
      <w:pPr>
        <w:spacing w:after="120" w:line="276"/>
        <w:jc w:val="both"/>
      </w:pPr>
      <w:r>
        <w:rPr>
          <w:rFonts w:ascii="Barlow Semi Condensed" w:cs="Barlow Semi Condensed" w:eastAsia="Barlow Semi Condensed" w:hAnsi="Barlow Semi Condensed"/>
          <w:b/>
          <w:bCs/>
          <w:sz w:val="24"/>
          <w:szCs w:val="24"/>
        </w:rPr>
        <w:t xml:space="preserve">Venerdì 23 aprile.</w:t>
      </w:r>
      <w:r>
        <w:rPr>
          <w:rFonts w:ascii="Barlow Semi Condensed" w:cs="Barlow Semi Condensed" w:eastAsia="Barlow Semi Condensed" w:hAnsi="Barlow Semi Condensed"/>
          <w:sz w:val="24"/>
          <w:szCs w:val="24"/>
        </w:rPr>
        <w:t xml:space="preserve"> A New York, incontro con il sindaco </w:t>
      </w:r>
      <w:r>
        <w:rPr>
          <w:rFonts w:ascii="Barlow Semi Condensed" w:cs="Barlow Semi Condensed" w:eastAsia="Barlow Semi Condensed" w:hAnsi="Barlow Semi Condensed"/>
          <w:b/>
          <w:bCs/>
          <w:sz w:val="24"/>
          <w:szCs w:val="24"/>
        </w:rPr>
        <w:t xml:space="preserve">Robert F. Wagner</w:t>
      </w:r>
      <w:r>
        <w:rPr>
          <w:rFonts w:ascii="Barlow Semi Condensed" w:cs="Barlow Semi Condensed" w:eastAsia="Barlow Semi Condensed" w:hAnsi="Barlow Semi Condensed"/>
          <w:sz w:val="24"/>
          <w:szCs w:val="24"/>
        </w:rPr>
        <w:t xml:space="preserve"> al City Hall. Alle </w:t>
      </w:r>
      <w:r>
        <w:rPr>
          <w:rFonts w:ascii="Barlow Semi Condensed" w:cs="Barlow Semi Condensed" w:eastAsia="Barlow Semi Condensed" w:hAnsi="Barlow Semi Condensed"/>
          <w:b/>
          <w:bCs/>
          <w:sz w:val="24"/>
          <w:szCs w:val="24"/>
        </w:rPr>
        <w:t xml:space="preserve">Nazioni Unite</w:t>
      </w:r>
      <w:r>
        <w:rPr>
          <w:rFonts w:ascii="Barlow Semi Condensed" w:cs="Barlow Semi Condensed" w:eastAsia="Barlow Semi Condensed" w:hAnsi="Barlow Semi Condensed"/>
          <w:sz w:val="24"/>
          <w:szCs w:val="24"/>
        </w:rPr>
        <w:t xml:space="preserve">: colloquio con </w:t>
      </w:r>
      <w:r>
        <w:rPr>
          <w:rFonts w:ascii="Barlow Semi Condensed" w:cs="Barlow Semi Condensed" w:eastAsia="Barlow Semi Condensed" w:hAnsi="Barlow Semi Condensed"/>
          <w:b/>
          <w:bCs/>
          <w:sz w:val="24"/>
          <w:szCs w:val="24"/>
        </w:rPr>
        <w:t xml:space="preserve">Alex Quaison-Sackey</w:t>
      </w:r>
      <w:r>
        <w:rPr>
          <w:rFonts w:ascii="Barlow Semi Condensed" w:cs="Barlow Semi Condensed" w:eastAsia="Barlow Semi Condensed" w:hAnsi="Barlow Semi Condensed"/>
          <w:sz w:val="24"/>
          <w:szCs w:val="24"/>
        </w:rPr>
        <w:t xml:space="preserve">, Presidente dell'Assemblea Generale, e con il Segretario Generale </w:t>
      </w:r>
      <w:r>
        <w:rPr>
          <w:rFonts w:ascii="Barlow Semi Condensed" w:cs="Barlow Semi Condensed" w:eastAsia="Barlow Semi Condensed" w:hAnsi="Barlow Semi Condensed"/>
          <w:b/>
          <w:bCs/>
          <w:sz w:val="24"/>
          <w:szCs w:val="24"/>
        </w:rPr>
        <w:t xml:space="preserve">U Thant</w:t>
      </w:r>
      <w:r>
        <w:rPr>
          <w:rFonts w:ascii="Barlow Semi Condensed" w:cs="Barlow Semi Condensed" w:eastAsia="Barlow Semi Condensed" w:hAnsi="Barlow Semi Condensed"/>
          <w:sz w:val="24"/>
          <w:szCs w:val="24"/>
        </w:rPr>
        <w:t xml:space="preserve">, che offre una colazione in onore dell'ospite. Ricevimento della America-Italy Society di New York e della Italy-American Chamber of Commerce al Waldorf-Astoria. In serata partenza da JFK con volo Alitalia 603 per Roma.</w:t>
      </w:r>
    </w:p>
    <w:p>
      <w:pPr>
        <w:pStyle w:val="Heading3"/>
        <w:spacing w:after="80" w:before="160"/>
      </w:pPr>
      <w:r>
        <w:rPr>
          <w:rFonts w:ascii="Barlow Semi Condensed" w:cs="Barlow Semi Condensed" w:eastAsia="Barlow Semi Condensed" w:hAnsi="Barlow Semi Condensed"/>
          <w:sz w:val="24"/>
          <w:szCs w:val="24"/>
        </w:rPr>
        <w:t xml:space="preserve">Il promemoria di sicurezza al FBI</w:t>
      </w:r>
    </w:p>
    <w:p>
      <w:pPr>
        <w:spacing w:after="120" w:line="276"/>
        <w:jc w:val="both"/>
      </w:pPr>
      <w:r>
        <w:rPr>
          <w:rFonts w:ascii="Barlow Semi Condensed" w:cs="Barlow Semi Condensed" w:eastAsia="Barlow Semi Condensed" w:hAnsi="Barlow Semi Condensed"/>
          <w:sz w:val="24"/>
          <w:szCs w:val="24"/>
        </w:rPr>
        <w:t xml:space="preserve">Al programma è allegato un promemoria interno del Dipartimento di Stato (Washington, aprile 1965) indirizzato </w:t>
      </w:r>
      <w:r>
        <w:rPr>
          <w:rFonts w:ascii="Barlow Semi Condensed" w:cs="Barlow Semi Condensed" w:eastAsia="Barlow Semi Condensed" w:hAnsi="Barlow Semi Condensed"/>
          <w:b/>
          <w:bCs/>
          <w:sz w:val="24"/>
          <w:szCs w:val="24"/>
        </w:rPr>
        <w:t xml:space="preserve">al Direttore del Federal Bureau of Investigation, J. Edgar Hoover</w:t>
      </w:r>
      <w:r>
        <w:rPr>
          <w:rFonts w:ascii="Barlow Semi Condensed" w:cs="Barlow Semi Condensed" w:eastAsia="Barlow Semi Condensed" w:hAnsi="Barlow Semi Condensed"/>
          <w:sz w:val="24"/>
          <w:szCs w:val="24"/>
        </w:rPr>
        <w:t xml:space="preserve">, a firma di </w:t>
      </w:r>
      <w:r>
        <w:rPr>
          <w:rFonts w:ascii="Barlow Semi Condensed" w:cs="Barlow Semi Condensed" w:eastAsia="Barlow Semi Condensed" w:hAnsi="Barlow Semi Condensed"/>
          <w:b/>
          <w:bCs/>
          <w:sz w:val="24"/>
          <w:szCs w:val="24"/>
        </w:rPr>
        <w:t xml:space="preserve">G. Marvin Gentile</w:t>
      </w:r>
      <w:r>
        <w:rPr>
          <w:rFonts w:ascii="Barlow Semi Condensed" w:cs="Barlow Semi Condensed" w:eastAsia="Barlow Semi Condensed" w:hAnsi="Barlow Semi Condensed"/>
          <w:sz w:val="24"/>
          <w:szCs w:val="24"/>
        </w:rPr>
        <w:t xml:space="preserve">, Deputy Assistant Secretary for Security. Comunica l'arrivo di Moro a JFK il 19 aprile 1965 e la permanenza a Washington fino al 22 aprile, e chiede l'assistenza dell'FBI nel fornire «intelligence information of a nature reflecting the presence of any effort designed to cause physical harm or embarrassment to the Principal during his visit» — ordinaria misura di protezione per un capo di governo in visita ufficiale. Nessun contenuto ulteriore è desumibile dal documento.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Strato II — I cablogrammi del sequestro e della morte (aprile–maggio 1978)</w:t>
      </w:r>
    </w:p>
    <w:p>
      <w:pPr>
        <w:spacing w:after="120" w:line="276"/>
        <w:jc w:val="both"/>
      </w:pPr>
      <w:r>
        <w:rPr>
          <w:rFonts w:ascii="Barlow Semi Condensed" w:cs="Barlow Semi Condensed" w:eastAsia="Barlow Semi Condensed" w:hAnsi="Barlow Semi Condensed"/>
          <w:sz w:val="24"/>
          <w:szCs w:val="24"/>
        </w:rPr>
        <w:t xml:space="preserve">Il secondo strato del lotto appartiene ai </w:t>
      </w:r>
      <w:r>
        <w:rPr>
          <w:rFonts w:ascii="Barlow Semi Condensed" w:cs="Barlow Semi Condensed" w:eastAsia="Barlow Semi Condensed" w:hAnsi="Barlow Semi Condensed"/>
          <w:b/>
          <w:bCs/>
          <w:sz w:val="24"/>
          <w:szCs w:val="24"/>
        </w:rPr>
        <w:t xml:space="preserve">55 giorni</w:t>
      </w:r>
      <w:r>
        <w:rPr>
          <w:rFonts w:ascii="Barlow Semi Condensed" w:cs="Barlow Semi Condensed" w:eastAsia="Barlow Semi Condensed" w:hAnsi="Barlow Semi Condensed"/>
          <w:sz w:val="24"/>
          <w:szCs w:val="24"/>
        </w:rPr>
        <w:t xml:space="preserve"> e ai giorni immediatamente successivi alla morte. Sono cablogrammi di ambasciate e consolati statunitensi verso il Dipartimento di Stato, di classificazione </w:t>
      </w:r>
      <w:r>
        <w:rPr>
          <w:rFonts w:ascii="Barlow Semi Condensed" w:cs="Barlow Semi Condensed" w:eastAsia="Barlow Semi Condensed" w:hAnsi="Barlow Semi Condensed"/>
          <w:i/>
          <w:iCs/>
          <w:sz w:val="24"/>
          <w:szCs w:val="24"/>
        </w:rPr>
        <w:t xml:space="preserve">Limited Official Use</w:t>
      </w:r>
      <w:r>
        <w:rPr>
          <w:rFonts w:ascii="Barlow Semi Condensed" w:cs="Barlow Semi Condensed" w:eastAsia="Barlow Semi Condensed" w:hAnsi="Barlow Semi Condensed"/>
          <w:sz w:val="24"/>
          <w:szCs w:val="24"/>
        </w:rPr>
        <w:t xml:space="preserve"> o </w:t>
      </w:r>
      <w:r>
        <w:rPr>
          <w:rFonts w:ascii="Barlow Semi Condensed" w:cs="Barlow Semi Condensed" w:eastAsia="Barlow Semi Condensed" w:hAnsi="Barlow Semi Condensed"/>
          <w:i/>
          <w:iCs/>
          <w:sz w:val="24"/>
          <w:szCs w:val="24"/>
        </w:rPr>
        <w:t xml:space="preserve">Unclassified</w:t>
      </w:r>
      <w:r>
        <w:rPr>
          <w:rFonts w:ascii="Barlow Semi Condensed" w:cs="Barlow Semi Condensed" w:eastAsia="Barlow Semi Condensed" w:hAnsi="Barlow Semi Condensed"/>
          <w:sz w:val="24"/>
          <w:szCs w:val="24"/>
        </w:rPr>
        <w:t xml:space="preserve">, poi desecretati. Si riportano per ciò che attestano; le reazioni citate sono quelle riferite dalle fonti locali ai redattori statunitensi.</w:t>
      </w:r>
    </w:p>
    <w:p>
      <w:pPr>
        <w:pStyle w:val="Heading3"/>
        <w:spacing w:after="80" w:before="160"/>
      </w:pPr>
      <w:r>
        <w:rPr>
          <w:rFonts w:ascii="Barlow Semi Condensed" w:cs="Barlow Semi Condensed" w:eastAsia="Barlow Semi Condensed" w:hAnsi="Barlow Semi Condensed"/>
          <w:sz w:val="24"/>
          <w:szCs w:val="24"/>
        </w:rPr>
        <w:t xml:space="preserve">Buenos Aires: la smentita dei Montoneros (17 aprile 1978)</w:t>
      </w:r>
    </w:p>
    <w:p>
      <w:pPr>
        <w:spacing w:after="120" w:line="276"/>
        <w:jc w:val="both"/>
      </w:pPr>
      <w:r>
        <w:rPr>
          <w:rFonts w:ascii="Barlow Semi Condensed" w:cs="Barlow Semi Condensed" w:eastAsia="Barlow Semi Condensed" w:hAnsi="Barlow Semi Condensed"/>
          <w:sz w:val="24"/>
          <w:szCs w:val="24"/>
        </w:rPr>
        <w:t xml:space="preserve">Cablogramma dell'ambasciata statunitense a Buenos Aires (</w:t>
      </w:r>
      <w:r>
        <w:rPr>
          <w:rFonts w:ascii="Barlow Semi Condensed" w:cs="Barlow Semi Condensed" w:eastAsia="Barlow Semi Condensed" w:hAnsi="Barlow Semi Condensed"/>
          <w:i/>
          <w:iCs/>
          <w:sz w:val="24"/>
          <w:szCs w:val="24"/>
        </w:rPr>
        <w:t xml:space="preserve">Buenos Aires 2881</w:t>
      </w:r>
      <w:r>
        <w:rPr>
          <w:rFonts w:ascii="Barlow Semi Condensed" w:cs="Barlow Semi Condensed" w:eastAsia="Barlow Semi Condensed" w:hAnsi="Barlow Semi Condensed"/>
          <w:sz w:val="24"/>
          <w:szCs w:val="24"/>
        </w:rPr>
        <w:t xml:space="preserve">, in due sezioni, 17 aprile 1978), diretto a SECSTATE Washington e per conoscenza alle ambasciate di </w:t>
      </w:r>
      <w:r>
        <w:rPr>
          <w:rFonts w:ascii="Barlow Semi Condensed" w:cs="Barlow Semi Condensed" w:eastAsia="Barlow Semi Condensed" w:hAnsi="Barlow Semi Condensed"/>
          <w:b/>
          <w:bCs/>
          <w:sz w:val="24"/>
          <w:szCs w:val="24"/>
        </w:rPr>
        <w:t xml:space="preserve">Bonn, Parigi e Roma</w:t>
      </w:r>
      <w:r>
        <w:rPr>
          <w:rFonts w:ascii="Barlow Semi Condensed" w:cs="Barlow Semi Condensed" w:eastAsia="Barlow Semi Condensed" w:hAnsi="Barlow Semi Condensed"/>
          <w:sz w:val="24"/>
          <w:szCs w:val="24"/>
        </w:rPr>
        <w:t xml:space="preserve">. Riferisce di aver ricevuto un documento attribuito al </w:t>
      </w:r>
      <w:r>
        <w:rPr>
          <w:rFonts w:ascii="Barlow Semi Condensed" w:cs="Barlow Semi Condensed" w:eastAsia="Barlow Semi Condensed" w:hAnsi="Barlow Semi Condensed"/>
          <w:b/>
          <w:bCs/>
          <w:sz w:val="24"/>
          <w:szCs w:val="24"/>
        </w:rPr>
        <w:t xml:space="preserve">Partito Montonero</w:t>
      </w:r>
      <w:r>
        <w:rPr>
          <w:rFonts w:ascii="Barlow Semi Condensed" w:cs="Barlow Semi Condensed" w:eastAsia="Barlow Semi Condensed" w:hAnsi="Barlow Semi Condensed"/>
          <w:sz w:val="24"/>
          <w:szCs w:val="24"/>
        </w:rPr>
        <w:t xml:space="preserve"> argentino, trasmesso attraverso il suo «Segretariato Stampa», che chiede pubblicità e nel quale l'organizzazione: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nega ogni connessione con il sequestro di Aldo Moro</w:t>
      </w:r>
      <w:r>
        <w:rPr>
          <w:rFonts w:ascii="Barlow Semi Condensed" w:cs="Barlow Semi Condensed" w:eastAsia="Barlow Semi Condensed" w:hAnsi="Barlow Semi Condensed"/>
          <w:sz w:val="24"/>
          <w:szCs w:val="24"/>
        </w:rPr>
        <w:t xml:space="preserve">, «Presidente della Democrazia Cristiana italiana»;</w:t>
      </w:r>
    </w:p>
    <w:p>
      <w:pPr>
        <w:spacing w:after="40"/>
        <w:ind w:left="360"/>
        <w:jc w:val="both"/>
      </w:pPr>
      <w:r>
        <w:rPr>
          <w:rFonts w:ascii="Barlow Semi Condensed" w:cs="Barlow Semi Condensed" w:eastAsia="Barlow Semi Condensed" w:hAnsi="Barlow Semi Condensed"/>
          <w:sz w:val="24"/>
          <w:szCs w:val="24"/>
        </w:rPr>
        <w:t xml:space="preserve">2. dichiara di non aver mai avuto e di non avere «alcuna connessione o accordo con gruppi delle Brigate Rosse»;</w:t>
      </w:r>
    </w:p>
    <w:p>
      <w:pPr>
        <w:spacing w:after="40"/>
        <w:ind w:left="360"/>
        <w:jc w:val="both"/>
      </w:pPr>
      <w:r>
        <w:rPr>
          <w:rFonts w:ascii="Barlow Semi Condensed" w:cs="Barlow Semi Condensed" w:eastAsia="Barlow Semi Condensed" w:hAnsi="Barlow Semi Condensed"/>
          <w:sz w:val="24"/>
          <w:szCs w:val="24"/>
        </w:rPr>
        <w:t xml:space="preserve">3. denuncia una «campagna diffamatoria» della dittatura militare argentina volta a isolare i Montoneros dalle solidarietà internazionali, in particolare nell'Europa occidentale, e a imputare loro fatti come il sequestro di due religiose francesi a Buenos Aires o presunti legami con i gruppi tedeschi Baader-Meinhof e con una «Internazionale del terrore»;</w:t>
      </w:r>
    </w:p>
    <w:p>
      <w:pPr>
        <w:spacing w:after="120" w:line="276"/>
        <w:jc w:val="both"/>
      </w:pPr>
      <w:r>
        <w:rPr>
          <w:rFonts w:ascii="Barlow Semi Condensed" w:cs="Barlow Semi Condensed" w:eastAsia="Barlow Semi Condensed" w:hAnsi="Barlow Semi Condensed"/>
          <w:sz w:val="24"/>
          <w:szCs w:val="24"/>
        </w:rPr>
        <w:t xml:space="preserve">e ribadisce, in chiusura, il proprio rammarico per «la situazione prevalente in Italia a causa del sequestro di Aldo Moro, fatto che non giustifichiamo né di cui ci assumiamo la responsabilità». Il cablogramma annota che la firma finale, apparentemente autografa, è quella di </w:t>
      </w:r>
      <w:r>
        <w:rPr>
          <w:rFonts w:ascii="Barlow Semi Condensed" w:cs="Barlow Semi Condensed" w:eastAsia="Barlow Semi Condensed" w:hAnsi="Barlow Semi Condensed"/>
          <w:b/>
          <w:bCs/>
          <w:sz w:val="24"/>
          <w:szCs w:val="24"/>
        </w:rPr>
        <w:t xml:space="preserve">Juan Gelman</w:t>
      </w:r>
      <w:r>
        <w:rPr>
          <w:rFonts w:ascii="Barlow Semi Condensed" w:cs="Barlow Semi Condensed" w:eastAsia="Barlow Semi Condensed" w:hAnsi="Barlow Semi Condensed"/>
          <w:sz w:val="24"/>
          <w:szCs w:val="24"/>
        </w:rPr>
        <w:t xml:space="preserve"> (il poeta, allora portavoce europeo dei Montoneros), che firma come «Segretario Generale della Stampa»; la busta risultava impostata e timbrata a Buenos Aires il 3[?] marzo 1978. Firma il cablogramma l'incaricato </w:t>
      </w:r>
      <w:r>
        <w:rPr>
          <w:rFonts w:ascii="Barlow Semi Condensed" w:cs="Barlow Semi Condensed" w:eastAsia="Barlow Semi Condensed" w:hAnsi="Barlow Semi Condensed"/>
          <w:b/>
          <w:bCs/>
          <w:sz w:val="24"/>
          <w:szCs w:val="24"/>
        </w:rPr>
        <w:t xml:space="preserve">Castro</w:t>
      </w:r>
      <w:r>
        <w:rPr>
          <w:rFonts w:ascii="Barlow Semi Condensed" w:cs="Barlow Semi Condensed" w:eastAsia="Barlow Semi Condensed" w:hAnsi="Barlow Semi Condensed"/>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Rilievo.</w:t>
      </w:r>
      <w:r>
        <w:rPr>
          <w:rFonts w:ascii="Barlow Semi Condensed" w:cs="Barlow Semi Condensed" w:eastAsia="Barlow Semi Condensed" w:hAnsi="Barlow Semi Condensed"/>
          <w:i w:val="false"/>
          <w:iCs w:val="false"/>
          <w:sz w:val="24"/>
          <w:szCs w:val="24"/>
        </w:rPr>
        <w:t xml:space="preserve"> Il documento è una </w:t>
      </w:r>
      <w:r>
        <w:rPr>
          <w:rFonts w:ascii="Barlow Semi Condensed" w:cs="Barlow Semi Condensed" w:eastAsia="Barlow Semi Condensed" w:hAnsi="Barlow Semi Condensed"/>
          <w:b/>
          <w:bCs/>
          <w:i w:val="false"/>
          <w:iCs w:val="false"/>
          <w:sz w:val="24"/>
          <w:szCs w:val="24"/>
        </w:rPr>
        <w:t xml:space="preserve">smentita di terzi</w:t>
      </w:r>
      <w:r>
        <w:rPr>
          <w:rFonts w:ascii="Barlow Semi Condensed" w:cs="Barlow Semi Condensed" w:eastAsia="Barlow Semi Condensed" w:hAnsi="Barlow Semi Condensed"/>
          <w:i w:val="false"/>
          <w:iCs w:val="false"/>
          <w:sz w:val="24"/>
          <w:szCs w:val="24"/>
        </w:rPr>
        <w:t xml:space="preserve">, non una fonte sui responsabili del sequestro; va letto come misura del clima internazionale — il caso Moro rimbalzava fino al Sud America e vi si intrecciava con le rivendicazioni e le controrivendicazioni della guerra sporca argentina — e non come elemento istruttorio sul sequestro, i cui autori sono accertati in giudicato nei processi Moro (Brigate Rosse). Nessun nesso fra Montoneros e via Fani è affermato da alcuna fonte; qui è anzi negato dagli stessi chiamati in causa.</w:t>
      </w:r>
    </w:p>
    <w:p>
      <w:pPr>
        <w:pStyle w:val="Heading3"/>
        <w:spacing w:after="80" w:before="160"/>
      </w:pPr>
      <w:r>
        <w:rPr>
          <w:rFonts w:ascii="Barlow Semi Condensed" w:cs="Barlow Semi Condensed" w:eastAsia="Barlow Semi Condensed" w:hAnsi="Barlow Semi Condensed"/>
          <w:sz w:val="24"/>
          <w:szCs w:val="24"/>
        </w:rPr>
        <w:t xml:space="preserve">Le reazioni alla morte: Trieste e Palermo (10–11 maggio 1978)</w:t>
      </w:r>
    </w:p>
    <w:p>
      <w:pPr>
        <w:spacing w:after="120" w:line="276"/>
        <w:jc w:val="both"/>
      </w:pPr>
      <w:r>
        <w:rPr>
          <w:rFonts w:ascii="Barlow Semi Condensed" w:cs="Barlow Semi Condensed" w:eastAsia="Barlow Semi Condensed" w:hAnsi="Barlow Semi Condensed"/>
          <w:sz w:val="24"/>
          <w:szCs w:val="24"/>
        </w:rPr>
        <w:t xml:space="preserve">Dopo il 9 maggio 1978, i consolati statunitensi riferiscono le reazioni regionali all'uccisione.</w:t>
      </w:r>
    </w:p>
    <w:p>
      <w:pPr>
        <w:spacing w:after="120" w:line="276"/>
        <w:jc w:val="both"/>
      </w:pPr>
      <w:r>
        <w:rPr>
          <w:rFonts w:ascii="Barlow Semi Condensed" w:cs="Barlow Semi Condensed" w:eastAsia="Barlow Semi Condensed" w:hAnsi="Barlow Semi Condensed"/>
          <w:b/>
          <w:bCs/>
          <w:sz w:val="24"/>
          <w:szCs w:val="24"/>
        </w:rPr>
        <w:t xml:space="preserve">Consolato di Trieste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Trieste 9223</w:t>
      </w:r>
      <w:r>
        <w:rPr>
          <w:rFonts w:ascii="Barlow Semi Condensed" w:cs="Barlow Semi Condensed" w:eastAsia="Barlow Semi Condensed" w:hAnsi="Barlow Semi Condensed"/>
          <w:sz w:val="24"/>
          <w:szCs w:val="24"/>
        </w:rPr>
        <w:t xml:space="preserve">, «Reactions in Northeast to Moro Assassination»): la notizia della morte fu accolta nel Nord-Est «con sdegno, solidarietà per la famiglia Moro e appelli all'unità contro i terroristi»; il Friuli-Venezia Giulia è definito «for the most part Moro country», e il colpo vi cadde forse più duro che altrove. I muri delle città furono ricoperti, entro poche ore, di manifesti commemorativi listati a lutto con il ritratto di Moro. Sono citate le dichiarazioni del presidente della Giunta friulana </w:t>
      </w:r>
      <w:r>
        <w:rPr>
          <w:rFonts w:ascii="Barlow Semi Condensed" w:cs="Barlow Semi Condensed" w:eastAsia="Barlow Semi Condensed" w:hAnsi="Barlow Semi Condensed"/>
          <w:b/>
          <w:bCs/>
          <w:sz w:val="24"/>
          <w:szCs w:val="24"/>
        </w:rPr>
        <w:t xml:space="preserve">Comelli</w:t>
      </w:r>
      <w:r>
        <w:rPr>
          <w:rFonts w:ascii="Barlow Semi Condensed" w:cs="Barlow Semi Condensed" w:eastAsia="Barlow Semi Condensed" w:hAnsi="Barlow Semi Condensed"/>
          <w:sz w:val="24"/>
          <w:szCs w:val="24"/>
        </w:rPr>
        <w:t xml:space="preserve"> (DC), del presidente del Consiglio regionale </w:t>
      </w:r>
      <w:r>
        <w:rPr>
          <w:rFonts w:ascii="Barlow Semi Condensed" w:cs="Barlow Semi Condensed" w:eastAsia="Barlow Semi Condensed" w:hAnsi="Barlow Semi Condensed"/>
          <w:b/>
          <w:bCs/>
          <w:sz w:val="24"/>
          <w:szCs w:val="24"/>
        </w:rPr>
        <w:t xml:space="preserve">Pittoni</w:t>
      </w:r>
      <w:r>
        <w:rPr>
          <w:rFonts w:ascii="Barlow Semi Condensed" w:cs="Barlow Semi Condensed" w:eastAsia="Barlow Semi Condensed" w:hAnsi="Barlow Semi Condensed"/>
          <w:sz w:val="24"/>
          <w:szCs w:val="24"/>
        </w:rPr>
        <w:t xml:space="preserve"> (PSI), del segretario provinciale DC di Trieste </w:t>
      </w:r>
      <w:r>
        <w:rPr>
          <w:rFonts w:ascii="Barlow Semi Condensed" w:cs="Barlow Semi Condensed" w:eastAsia="Barlow Semi Condensed" w:hAnsi="Barlow Semi Condensed"/>
          <w:b/>
          <w:bCs/>
          <w:sz w:val="24"/>
          <w:szCs w:val="24"/>
        </w:rPr>
        <w:t xml:space="preserve">Dario Rinaldi</w:t>
      </w:r>
      <w:r>
        <w:rPr>
          <w:rFonts w:ascii="Barlow Semi Condensed" w:cs="Barlow Semi Condensed" w:eastAsia="Barlow Semi Condensed" w:hAnsi="Barlow Semi Condensed"/>
          <w:sz w:val="24"/>
          <w:szCs w:val="24"/>
        </w:rPr>
        <w:t xml:space="preserve"> e, nel Veneto, del segretario regionale DC </w:t>
      </w:r>
      <w:r>
        <w:rPr>
          <w:rFonts w:ascii="Barlow Semi Condensed" w:cs="Barlow Semi Condensed" w:eastAsia="Barlow Semi Condensed" w:hAnsi="Barlow Semi Condensed"/>
          <w:b/>
          <w:bCs/>
          <w:sz w:val="24"/>
          <w:szCs w:val="24"/>
        </w:rPr>
        <w:t xml:space="preserve">Foletto</w:t>
      </w:r>
      <w:r>
        <w:rPr>
          <w:rFonts w:ascii="Barlow Semi Condensed" w:cs="Barlow Semi Condensed" w:eastAsia="Barlow Semi Condensed" w:hAnsi="Barlow Semi Condensed"/>
          <w:sz w:val="24"/>
          <w:szCs w:val="24"/>
        </w:rPr>
        <w:t xml:space="preserve"> e del presidente regionale </w:t>
      </w:r>
      <w:r>
        <w:rPr>
          <w:rFonts w:ascii="Barlow Semi Condensed" w:cs="Barlow Semi Condensed" w:eastAsia="Barlow Semi Condensed" w:hAnsi="Barlow Semi Condensed"/>
          <w:b/>
          <w:bCs/>
          <w:sz w:val="24"/>
          <w:szCs w:val="24"/>
        </w:rPr>
        <w:t xml:space="preserve">Tomelleri</w:t>
      </w:r>
      <w:r>
        <w:rPr>
          <w:rFonts w:ascii="Barlow Semi Condensed" w:cs="Barlow Semi Condensed" w:eastAsia="Barlow Semi Condensed" w:hAnsi="Barlow Semi Condensed"/>
          <w:sz w:val="24"/>
          <w:szCs w:val="24"/>
        </w:rPr>
        <w:t xml:space="preserve">. La chiusura anticipata del complesso industriale di Marghera il 9 maggio, con gli operai raccolti in omaggio alla memoria di Moro, è registrata come episodio saliente.</w:t>
      </w:r>
    </w:p>
    <w:p>
      <w:pPr>
        <w:spacing w:after="120" w:line="276"/>
        <w:jc w:val="both"/>
      </w:pPr>
      <w:r>
        <w:rPr>
          <w:rFonts w:ascii="Barlow Semi Condensed" w:cs="Barlow Semi Condensed" w:eastAsia="Barlow Semi Condensed" w:hAnsi="Barlow Semi Condensed"/>
          <w:b/>
          <w:bCs/>
          <w:sz w:val="24"/>
          <w:szCs w:val="24"/>
        </w:rPr>
        <w:t xml:space="preserve">Consolato di Palermo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Palermo 9487</w:t>
      </w:r>
      <w:r>
        <w:rPr>
          <w:rFonts w:ascii="Barlow Semi Condensed" w:cs="Barlow Semi Condensed" w:eastAsia="Barlow Semi Condensed" w:hAnsi="Barlow Semi Condensed"/>
          <w:sz w:val="24"/>
          <w:szCs w:val="24"/>
        </w:rPr>
        <w:t xml:space="preserve">, «Sicilian Reaction to Moro Murder», 11 maggio 1978): i siciliani «mourned the murdered Aldo Moro with speeches, masses and rallies all over the island on May 10». In Assemblea regionale, il presidente </w:t>
      </w:r>
      <w:r>
        <w:rPr>
          <w:rFonts w:ascii="Barlow Semi Condensed" w:cs="Barlow Semi Condensed" w:eastAsia="Barlow Semi Condensed" w:hAnsi="Barlow Semi Condensed"/>
          <w:b/>
          <w:bCs/>
          <w:sz w:val="24"/>
          <w:szCs w:val="24"/>
        </w:rPr>
        <w:t xml:space="preserve">De Pasquale</w:t>
      </w:r>
      <w:r>
        <w:rPr>
          <w:rFonts w:ascii="Barlow Semi Condensed" w:cs="Barlow Semi Condensed" w:eastAsia="Barlow Semi Condensed" w:hAnsi="Barlow Semi Condensed"/>
          <w:sz w:val="24"/>
          <w:szCs w:val="24"/>
        </w:rPr>
        <w:t xml:space="preserve"> (PCI) accostò il leader DC ucciso ad altri «martiri politici contemporanei», </w:t>
      </w:r>
      <w:r>
        <w:rPr>
          <w:rFonts w:ascii="Barlow Semi Condensed" w:cs="Barlow Semi Condensed" w:eastAsia="Barlow Semi Condensed" w:hAnsi="Barlow Semi Condensed"/>
          <w:b/>
          <w:bCs/>
          <w:sz w:val="24"/>
          <w:szCs w:val="24"/>
        </w:rPr>
        <w:t xml:space="preserve">Giacomo Matteotti e Antonio Gramsci</w:t>
      </w:r>
      <w:r>
        <w:rPr>
          <w:rFonts w:ascii="Barlow Semi Condensed" w:cs="Barlow Semi Condensed" w:eastAsia="Barlow Semi Condensed" w:hAnsi="Barlow Semi Condensed"/>
          <w:sz w:val="24"/>
          <w:szCs w:val="24"/>
        </w:rPr>
        <w:t xml:space="preserve">. Il presidente regionale </w:t>
      </w:r>
      <w:r>
        <w:rPr>
          <w:rFonts w:ascii="Barlow Semi Condensed" w:cs="Barlow Semi Condensed" w:eastAsia="Barlow Semi Condensed" w:hAnsi="Barlow Semi Condensed"/>
          <w:b/>
          <w:bCs/>
          <w:sz w:val="24"/>
          <w:szCs w:val="24"/>
        </w:rPr>
        <w:t xml:space="preserve">Santi Mattarella</w:t>
      </w:r>
      <w:r>
        <w:rPr>
          <w:rFonts w:ascii="Barlow Semi Condensed" w:cs="Barlow Semi Condensed" w:eastAsia="Barlow Semi Condensed" w:hAnsi="Barlow Semi Condensed"/>
          <w:sz w:val="24"/>
          <w:szCs w:val="24"/>
        </w:rPr>
        <w:t xml:space="preserve"> (DC) — indicato come moroteo e amico di famiglia, presente a Roma per la Direzione DC e testimone della scena di via Caetani — commemorò Moro e ne scrisse sul «Giornale di Sicilia» dell'11 maggio come esempio e ispirazione per tutti gli italiani. Nella cattedrale di Palermo, il </w:t>
      </w:r>
      <w:r>
        <w:rPr>
          <w:rFonts w:ascii="Barlow Semi Condensed" w:cs="Barlow Semi Condensed" w:eastAsia="Barlow Semi Condensed" w:hAnsi="Barlow Semi Condensed"/>
          <w:b/>
          <w:bCs/>
          <w:sz w:val="24"/>
          <w:szCs w:val="24"/>
        </w:rPr>
        <w:t xml:space="preserve">cardinale Salvatore Pappalardo</w:t>
      </w:r>
      <w:r>
        <w:rPr>
          <w:rFonts w:ascii="Barlow Semi Condensed" w:cs="Barlow Semi Condensed" w:eastAsia="Barlow Semi Condensed" w:hAnsi="Barlow Semi Condensed"/>
          <w:sz w:val="24"/>
          <w:szCs w:val="24"/>
        </w:rPr>
        <w:t xml:space="preserve"> celebrò il 10 maggio una messa di mezzogiorno commemorando Moro e tutte le vittime del terrorismo con una condanna della violenza. Nel pomeriggio, un corteo promosso dalla DC mosse in silenzio verso il monumento ai caduti; al memoriale, mentre le bandiere rosse di PCI, PSI e CGIL si mescolavano a quelle bianche della DC, un insistente coro </w:t>
      </w:r>
      <w:r>
        <w:rPr>
          <w:rFonts w:ascii="Barlow Semi Condensed" w:cs="Barlow Semi Condensed" w:eastAsia="Barlow Semi Condensed" w:hAnsi="Barlow Semi Condensed"/>
          <w:i/>
          <w:iCs/>
          <w:sz w:val="24"/>
          <w:szCs w:val="24"/>
        </w:rPr>
        <w:t xml:space="preserve">«fuori le bandiere rosse»</w:t>
      </w:r>
      <w:r>
        <w:rPr>
          <w:rFonts w:ascii="Barlow Semi Condensed" w:cs="Barlow Semi Condensed" w:eastAsia="Barlow Semi Condensed" w:hAnsi="Barlow Semi Condensed"/>
          <w:sz w:val="24"/>
          <w:szCs w:val="24"/>
        </w:rPr>
        <w:t xml:space="preserve"> fu infine sovrastato dagli appelli all'</w:t>
      </w:r>
      <w:r>
        <w:rPr>
          <w:rFonts w:ascii="Barlow Semi Condensed" w:cs="Barlow Semi Condensed" w:eastAsia="Barlow Semi Condensed" w:hAnsi="Barlow Semi Condensed"/>
          <w:i/>
          <w:iCs/>
          <w:sz w:val="24"/>
          <w:szCs w:val="24"/>
        </w:rPr>
        <w:t xml:space="preserve">«unità»</w:t>
      </w:r>
      <w:r>
        <w:rPr>
          <w:rFonts w:ascii="Barlow Semi Condensed" w:cs="Barlow Semi Condensed" w:eastAsia="Barlow Semi Condensed" w:hAnsi="Barlow Semi Condensed"/>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Rilievo.</w:t>
      </w:r>
      <w:r>
        <w:rPr>
          <w:rFonts w:ascii="Barlow Semi Condensed" w:cs="Barlow Semi Condensed" w:eastAsia="Barlow Semi Condensed" w:hAnsi="Barlow Semi Condensed"/>
          <w:i w:val="false"/>
          <w:iCs w:val="false"/>
          <w:sz w:val="24"/>
          <w:szCs w:val="24"/>
        </w:rPr>
        <w:t xml:space="preserve"> Questi cablogrammi documentano, per fonte terza e coeva, l'ampiezza e il carattere del cordoglio nazionale — la commozione, la richiesta di unità, l'accostamento di Moro alla tradizione dei «martiri» dell'antifascismo — e la percezione del suo assassinio come frattura civile. Sono materiali del lutto pubblico, non dell'accertamento sui responsabili.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Rilievo d'insieme</w:t>
      </w:r>
    </w:p>
    <w:p>
      <w:pPr>
        <w:spacing w:after="120" w:line="276"/>
        <w:jc w:val="both"/>
      </w:pPr>
      <w:r>
        <w:rPr>
          <w:rFonts w:ascii="Barlow Semi Condensed" w:cs="Barlow Semi Condensed" w:eastAsia="Barlow Semi Condensed" w:hAnsi="Barlow Semi Condensed"/>
          <w:sz w:val="24"/>
          <w:szCs w:val="24"/>
        </w:rPr>
        <w:t xml:space="preserve">Il lotto del Dipartimento di Stato non aggiunge fatti istruttori al caso Moro: il suo valore è di </w:t>
      </w:r>
      <w:r>
        <w:rPr>
          <w:rFonts w:ascii="Barlow Semi Condensed" w:cs="Barlow Semi Condensed" w:eastAsia="Barlow Semi Condensed" w:hAnsi="Barlow Semi Condensed"/>
          <w:b/>
          <w:bCs/>
          <w:sz w:val="24"/>
          <w:szCs w:val="24"/>
        </w:rPr>
        <w:t xml:space="preserve">cornice</w:t>
      </w:r>
      <w:r>
        <w:rPr>
          <w:rFonts w:ascii="Barlow Semi Condensed" w:cs="Barlow Semi Condensed" w:eastAsia="Barlow Semi Condensed" w:hAnsi="Barlow Semi Condensed"/>
          <w:sz w:val="24"/>
          <w:szCs w:val="24"/>
        </w:rPr>
        <w:t xml:space="preserve">. Da un lato mostra, nel 1965, la statura del Moro Presidente del Consiglio ricevuto con onori pieni da Johnson, dal Congresso, dall'ONU — un capo di governo dell'alleato mediterraneo trattato come interlocutore di primo piano. Dall'altro, tredici anni dopo, restituisce l'onda del sequestro e della morte quale le cancellerie e i consolati americani la registrarono in tempo reale, dall'Argentina all'Italia. Le due estremità del lotto — il ricevimento del 1965 e il lutto del 1978 — inquadrano per contrasto la parabola dell'uomo di cui trattano gli altri documenti di questa cartella. Nessuna imputazione oltre il giudicato; nessun nesso affermato che le fonti non attestino.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I documenti del Dipartimento di Stato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 1.713 parole in 3 sezioni; la più ampia è §1 Strato I, con 831.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 27 paragrafi in 3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La dimensione diplomatica — XIII. Le pene oltre confine</w:t>
      </w:r>
    </w:p>
    <w:p>
      <w:pPr>
        <w:pStyle w:val="Heading1"/>
        <w:spacing w:after="120" w:before="240"/>
      </w:pPr>
      <w:r>
        <w:rPr>
          <w:rFonts w:ascii="Barlow Semi Condensed" w:cs="Barlow Semi Condensed" w:eastAsia="Barlow Semi Condensed" w:hAnsi="Barlow Semi Condensed"/>
          <w:sz w:val="24"/>
          <w:szCs w:val="24"/>
        </w:rPr>
        <w:t xml:space="preserve">Le pene oltre confine</w:t>
      </w:r>
    </w:p>
    <w:p>
      <w:pPr>
        <w:pStyle w:val="Heading2"/>
        <w:spacing w:after="100" w:before="200"/>
      </w:pPr>
      <w:r>
        <w:rPr>
          <w:rFonts w:ascii="Barlow Semi Condensed" w:cs="Barlow Semi Condensed" w:eastAsia="Barlow Semi Condensed" w:hAnsi="Barlow Semi Condensed"/>
          <w:sz w:val="24"/>
          <w:szCs w:val="24"/>
        </w:rPr>
        <w:t xml:space="preserve">L'affaire Mulinaris, la dottrina Mitterrand e la geografia delle latitanze</w:t>
      </w:r>
    </w:p>
    <w:p>
      <w:pPr>
        <w:spacing w:after="120" w:line="276"/>
        <w:jc w:val="both"/>
      </w:pPr>
      <w:r>
        <w:rPr>
          <w:rFonts w:ascii="Barlow Semi Condensed" w:cs="Barlow Semi Condensed" w:eastAsia="Barlow Semi Condensed" w:hAnsi="Barlow Semi Condensed"/>
          <w:i/>
          <w:iCs/>
          <w:sz w:val="24"/>
          <w:szCs w:val="24"/>
        </w:rPr>
        <w:t xml:space="preserve">Studio — 25 agosto 2026 · Complemento della dimensione diplomatica e della Fase decima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w:t>
      </w:r>
      <w:r>
        <w:rPr>
          <w:rFonts w:ascii="Barlow Semi Condensed" w:cs="Barlow Semi Condensed" w:eastAsia="Barlow Semi Condensed" w:hAnsi="Barlow Semi Condensed"/>
          <w:i w:val="false"/>
          <w:iCs w:val="false"/>
          <w:sz w:val="24"/>
          <w:szCs w:val="24"/>
        </w:rPr>
        <w:t xml:space="preserve"> La Fase decima ha chiuso il registro dei condannati; la triangolazione dei tredici ha mostrato che due di essi — Casimirri e Lojacono — sono condannati definitivi la cui pena non è mai stata eseguita, perché </w:t>
      </w:r>
      <w:r>
        <w:rPr>
          <w:rFonts w:ascii="Barlow Semi Condensed" w:cs="Barlow Semi Condensed" w:eastAsia="Barlow Semi Condensed" w:hAnsi="Barlow Semi Condensed"/>
          <w:b/>
          <w:bCs/>
          <w:i w:val="false"/>
          <w:iCs w:val="false"/>
          <w:sz w:val="24"/>
          <w:szCs w:val="24"/>
        </w:rPr>
        <w:t xml:space="preserve">l'esecuzione del giudicato oltre confine è funzione dei rapporti fra Stati, non della forza delle sentenze</w:t>
      </w:r>
      <w:r>
        <w:rPr>
          <w:rFonts w:ascii="Barlow Semi Condensed" w:cs="Barlow Semi Condensed" w:eastAsia="Barlow Semi Condensed" w:hAnsi="Barlow Semi Condensed"/>
          <w:i w:val="false"/>
          <w:iCs w:val="false"/>
          <w:sz w:val="24"/>
          <w:szCs w:val="24"/>
        </w:rPr>
        <w:t xml:space="preserve">. Questo studio percorre quel confine per intero: il caso dell'innocente stritolato dalla macchina (l'affaire Mulinaris, 1982-1986), la dottrina che per quarant'anni ha governato il rifugio francese (Mitterrand, 21 aprile 1985), le tre geografie che il registro ha incontrato, e l'epilogo giudiziario del 2021-2023. La disciplina è quella di sempre, con quattro presidi propri di questa materia: </w:t>
      </w:r>
      <w:r>
        <w:rPr>
          <w:rFonts w:ascii="Barlow Semi Condensed" w:cs="Barlow Semi Condensed" w:eastAsia="Barlow Semi Condensed" w:hAnsi="Barlow Semi Condensed"/>
          <w:b/>
          <w:bCs/>
          <w:i w:val="false"/>
          <w:iCs w:val="false"/>
          <w:sz w:val="24"/>
          <w:szCs w:val="24"/>
        </w:rPr>
        <w:t xml:space="preserve">l'asilo è un atto dello Stato che lo concede</w:t>
      </w:r>
      <w:r>
        <w:rPr>
          <w:rFonts w:ascii="Barlow Semi Condensed" w:cs="Barlow Semi Condensed" w:eastAsia="Barlow Semi Condensed" w:hAnsi="Barlow Semi Condensed"/>
          <w:i w:val="false"/>
          <w:iCs w:val="false"/>
          <w:sz w:val="24"/>
          <w:szCs w:val="24"/>
        </w:rPr>
        <w:t xml:space="preserve"> e non muta di un grammo la posizione giuridica del singolo; </w:t>
      </w:r>
      <w:r>
        <w:rPr>
          <w:rFonts w:ascii="Barlow Semi Condensed" w:cs="Barlow Semi Condensed" w:eastAsia="Barlow Semi Condensed" w:hAnsi="Barlow Semi Condensed"/>
          <w:b/>
          <w:bCs/>
          <w:i w:val="false"/>
          <w:iCs w:val="false"/>
          <w:sz w:val="24"/>
          <w:szCs w:val="24"/>
        </w:rPr>
        <w:t xml:space="preserve">la dottrina non è una prova</w:t>
      </w:r>
      <w:r>
        <w:rPr>
          <w:rFonts w:ascii="Barlow Semi Condensed" w:cs="Barlow Semi Condensed" w:eastAsia="Barlow Semi Condensed" w:hAnsi="Barlow Semi Condensed"/>
          <w:i w:val="false"/>
          <w:iCs w:val="false"/>
          <w:sz w:val="24"/>
          <w:szCs w:val="24"/>
        </w:rPr>
        <w:t xml:space="preserve"> — né di colpa né di innocenza — ma una politica; le condanne restano condanne e le assoluzioni assoluzioni, qualunque frontiera le separi dall'esecuzione; e la geografia non è una gerarchia morale. Ogni fatto è verificato su fonti prima della stesura.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Capitolo I — Il quesito: il giudicato che non raggiunge</w:t>
      </w:r>
    </w:p>
    <w:p>
      <w:pPr>
        <w:spacing w:after="120" w:line="276"/>
        <w:jc w:val="both"/>
      </w:pPr>
      <w:r>
        <w:rPr>
          <w:rFonts w:ascii="Barlow Semi Condensed" w:cs="Barlow Semi Condensed" w:eastAsia="Barlow Semi Condensed" w:hAnsi="Barlow Semi Condensed"/>
          <w:sz w:val="24"/>
          <w:szCs w:val="24"/>
        </w:rPr>
        <w:t xml:space="preserve">Una sentenza definitiva fa due cose: accerta e dispone. La prima è irrevocabile ovunque; la seconda si ferma alla frontiera. Il caso Moro consegna al quesito i suoi due esempi già censiti: </w:t>
      </w:r>
      <w:r>
        <w:rPr>
          <w:rFonts w:ascii="Barlow Semi Condensed" w:cs="Barlow Semi Condensed" w:eastAsia="Barlow Semi Condensed" w:hAnsi="Barlow Semi Condensed"/>
          <w:b/>
          <w:bCs/>
          <w:sz w:val="24"/>
          <w:szCs w:val="24"/>
        </w:rPr>
        <w:t xml:space="preserve">Alessio Casimirri</w:t>
      </w:r>
      <w:r>
        <w:rPr>
          <w:rFonts w:ascii="Barlow Semi Condensed" w:cs="Barlow Semi Condensed" w:eastAsia="Barlow Semi Condensed" w:hAnsi="Barlow Semi Condensed"/>
          <w:sz w:val="24"/>
          <w:szCs w:val="24"/>
        </w:rPr>
        <w:t xml:space="preserve">, sei ergastoli in contumacia, in Nicaragua dal 1982, mai arrestato; </w:t>
      </w:r>
      <w:r>
        <w:rPr>
          <w:rFonts w:ascii="Barlow Semi Condensed" w:cs="Barlow Semi Condensed" w:eastAsia="Barlow Semi Condensed" w:hAnsi="Barlow Semi Condensed"/>
          <w:b/>
          <w:bCs/>
          <w:sz w:val="24"/>
          <w:szCs w:val="24"/>
        </w:rPr>
        <w:t xml:space="preserve">Alvaro Lojacono</w:t>
      </w:r>
      <w:r>
        <w:rPr>
          <w:rFonts w:ascii="Barlow Semi Condensed" w:cs="Barlow Semi Condensed" w:eastAsia="Barlow Semi Condensed" w:hAnsi="Barlow Semi Condensed"/>
          <w:sz w:val="24"/>
          <w:szCs w:val="24"/>
        </w:rPr>
        <w:t xml:space="preserve">, condannato in via definitiva nel 1997, cittadino svizzero per parte di madre, non estradabile perché </w:t>
      </w:r>
      <w:r>
        <w:rPr>
          <w:rFonts w:ascii="Barlow Semi Condensed" w:cs="Barlow Semi Condensed" w:eastAsia="Barlow Semi Condensed" w:hAnsi="Barlow Semi Condensed"/>
          <w:b/>
          <w:bCs/>
          <w:sz w:val="24"/>
          <w:szCs w:val="24"/>
        </w:rPr>
        <w:t xml:space="preserve">la Svizzera non estrada i propri cittadini senza il loro consenso</w:t>
      </w:r>
      <w:r>
        <w:rPr>
          <w:rFonts w:ascii="Barlow Semi Condensed" w:cs="Barlow Semi Condensed" w:eastAsia="Barlow Semi Condensed" w:hAnsi="Barlow Semi Condensed"/>
          <w:sz w:val="24"/>
          <w:szCs w:val="24"/>
        </w:rPr>
        <w:t xml:space="preserve">. E consegna anche il contro-caso che impedisce ogni fatalismo: </w:t>
      </w:r>
      <w:r>
        <w:rPr>
          <w:rFonts w:ascii="Barlow Semi Condensed" w:cs="Barlow Semi Condensed" w:eastAsia="Barlow Semi Condensed" w:hAnsi="Barlow Semi Condensed"/>
          <w:b/>
          <w:bCs/>
          <w:sz w:val="24"/>
          <w:szCs w:val="24"/>
        </w:rPr>
        <w:t xml:space="preserve">Rita Algranati</w:t>
      </w:r>
      <w:r>
        <w:rPr>
          <w:rFonts w:ascii="Barlow Semi Condensed" w:cs="Barlow Semi Condensed" w:eastAsia="Barlow Semi Condensed" w:hAnsi="Barlow Semi Condensed"/>
          <w:sz w:val="24"/>
          <w:szCs w:val="24"/>
        </w:rPr>
        <w:t xml:space="preserve">, catturata al </w:t>
      </w:r>
      <w:r>
        <w:rPr>
          <w:rFonts w:ascii="Barlow Semi Condensed" w:cs="Barlow Semi Condensed" w:eastAsia="Barlow Semi Condensed" w:hAnsi="Barlow Semi Condensed"/>
          <w:b/>
          <w:bCs/>
          <w:sz w:val="24"/>
          <w:szCs w:val="24"/>
        </w:rPr>
        <w:t xml:space="preserve">Cairo nel 2004</w:t>
      </w:r>
      <w:r>
        <w:rPr>
          <w:rFonts w:ascii="Barlow Semi Condensed" w:cs="Barlow Semi Condensed" w:eastAsia="Barlow Semi Condensed" w:hAnsi="Barlow Semi Condensed"/>
          <w:sz w:val="24"/>
          <w:szCs w:val="24"/>
        </w:rPr>
        <w:t xml:space="preserve"> e consegnata all'Italia — a dimostrazione che la latitanza non è un destino ma una variabile diplomatica: dove lo Stato ospite coopera, il ricercato viene consegnato; dove non coopera, il giudicato resta lettera. Il quesito di questo studio è dunque politico-giuridico, non criminale: </w:t>
      </w:r>
      <w:r>
        <w:rPr>
          <w:rFonts w:ascii="Barlow Semi Condensed" w:cs="Barlow Semi Condensed" w:eastAsia="Barlow Semi Condensed" w:hAnsi="Barlow Semi Condensed"/>
          <w:b/>
          <w:bCs/>
          <w:sz w:val="24"/>
          <w:szCs w:val="24"/>
        </w:rPr>
        <w:t xml:space="preserve">che cosa decide se una pena attraversa una frontiera?</w:t>
      </w:r>
    </w:p>
    <w:p>
      <w:pPr>
        <w:pStyle w:val="Heading2"/>
        <w:spacing w:after="100" w:before="200"/>
      </w:pPr>
      <w:r>
        <w:rPr>
          <w:rFonts w:ascii="Barlow Semi Condensed" w:cs="Barlow Semi Condensed" w:eastAsia="Barlow Semi Condensed" w:hAnsi="Barlow Semi Condensed"/>
          <w:sz w:val="24"/>
          <w:szCs w:val="24"/>
        </w:rPr>
        <w:t xml:space="preserve">Capitolo II — L'affaire Mulinaris (1982-1986): l'innocente dentro la macchina</w:t>
      </w:r>
    </w:p>
    <w:p>
      <w:pPr>
        <w:spacing w:after="120" w:line="276"/>
        <w:jc w:val="both"/>
      </w:pPr>
      <w:r>
        <w:rPr>
          <w:rFonts w:ascii="Barlow Semi Condensed" w:cs="Barlow Semi Condensed" w:eastAsia="Barlow Semi Condensed" w:hAnsi="Barlow Semi Condensed"/>
          <w:sz w:val="24"/>
          <w:szCs w:val="24"/>
        </w:rPr>
        <w:t xml:space="preserve">Prima di guardare la macchina dal lato dei condannati, bisogna guardarla dal lato in cui macinò un innocente — perché è lì che essa mostra la propria natura. </w:t>
      </w:r>
      <w:r>
        <w:rPr>
          <w:rFonts w:ascii="Barlow Semi Condensed" w:cs="Barlow Semi Condensed" w:eastAsia="Barlow Semi Condensed" w:hAnsi="Barlow Semi Condensed"/>
          <w:b/>
          <w:bCs/>
          <w:sz w:val="24"/>
          <w:szCs w:val="24"/>
        </w:rPr>
        <w:t xml:space="preserve">Vanni Mulinaris</w:t>
      </w:r>
      <w:r>
        <w:rPr>
          <w:rFonts w:ascii="Barlow Semi Condensed" w:cs="Barlow Semi Condensed" w:eastAsia="Barlow Semi Condensed" w:hAnsi="Barlow Semi Condensed"/>
          <w:sz w:val="24"/>
          <w:szCs w:val="24"/>
        </w:rPr>
        <w:t xml:space="preserve"> fu arrestato a Udine il </w:t>
      </w:r>
      <w:r>
        <w:rPr>
          <w:rFonts w:ascii="Barlow Semi Condensed" w:cs="Barlow Semi Condensed" w:eastAsia="Barlow Semi Condensed" w:hAnsi="Barlow Semi Condensed"/>
          <w:b/>
          <w:bCs/>
          <w:sz w:val="24"/>
          <w:szCs w:val="24"/>
        </w:rPr>
        <w:t xml:space="preserve">2 febbraio 1982</w:t>
      </w:r>
      <w:r>
        <w:rPr>
          <w:rFonts w:ascii="Barlow Semi Condensed" w:cs="Barlow Semi Condensed" w:eastAsia="Barlow Semi Condensed" w:hAnsi="Barlow Semi Condensed"/>
          <w:sz w:val="24"/>
          <w:szCs w:val="24"/>
        </w:rPr>
        <w:t xml:space="preserve"> su dichiarazioni di pentiti; conobbe il carcere, i </w:t>
      </w:r>
      <w:r>
        <w:rPr>
          <w:rFonts w:ascii="Barlow Semi Condensed" w:cs="Barlow Semi Condensed" w:eastAsia="Barlow Semi Condensed" w:hAnsi="Barlow Semi Condensed"/>
          <w:b/>
          <w:bCs/>
          <w:sz w:val="24"/>
          <w:szCs w:val="24"/>
        </w:rPr>
        <w:t xml:space="preserve">digiuni prolungati</w:t>
      </w:r>
      <w:r>
        <w:rPr>
          <w:rFonts w:ascii="Barlow Semi Condensed" w:cs="Barlow Semi Condensed" w:eastAsia="Barlow Semi Condensed" w:hAnsi="Barlow Semi Condensed"/>
          <w:sz w:val="24"/>
          <w:szCs w:val="24"/>
        </w:rPr>
        <w:t xml:space="preserve">, gli arresti domiciliari; attorno a lui si mosse un comitato internazionale guidato dall'</w:t>
      </w:r>
      <w:r>
        <w:rPr>
          <w:rFonts w:ascii="Barlow Semi Condensed" w:cs="Barlow Semi Condensed" w:eastAsia="Barlow Semi Condensed" w:hAnsi="Barlow Semi Condensed"/>
          <w:b/>
          <w:bCs/>
          <w:sz w:val="24"/>
          <w:szCs w:val="24"/>
        </w:rPr>
        <w:t xml:space="preserve">Abbé Pierre</w:t>
      </w:r>
      <w:r>
        <w:rPr>
          <w:rFonts w:ascii="Barlow Semi Condensed" w:cs="Barlow Semi Condensed" w:eastAsia="Barlow Semi Condensed" w:hAnsi="Barlow Semi Condensed"/>
          <w:sz w:val="24"/>
          <w:szCs w:val="24"/>
        </w:rPr>
        <w:t xml:space="preserve">, che il </w:t>
      </w:r>
      <w:r>
        <w:rPr>
          <w:rFonts w:ascii="Barlow Semi Condensed" w:cs="Barlow Semi Condensed" w:eastAsia="Barlow Semi Condensed" w:hAnsi="Barlow Semi Condensed"/>
          <w:b/>
          <w:bCs/>
          <w:sz w:val="24"/>
          <w:szCs w:val="24"/>
        </w:rPr>
        <w:t xml:space="preserve">22 giugno 1984</w:t>
      </w:r>
      <w:r>
        <w:rPr>
          <w:rFonts w:ascii="Barlow Semi Condensed" w:cs="Barlow Semi Condensed" w:eastAsia="Barlow Semi Condensed" w:hAnsi="Barlow Semi Condensed"/>
          <w:sz w:val="24"/>
          <w:szCs w:val="24"/>
        </w:rPr>
        <w:t xml:space="preserve"> tenne a Roma la conferenza stampa sul «caso di Vanni Mulinaris, detenuto in attesa di processo» (Radio Radicale, registrazione del 22/6/1984 (https://www.radioradicale.it/scheda/63262/il-caso-di-vanni-mulinaris-detenuto-in-attesa-di-processo)); la vicenda divenne un attrito bilaterale che la storiografia studia oggi come </w:t>
      </w:r>
      <w:r>
        <w:rPr>
          <w:rFonts w:ascii="Barlow Semi Condensed" w:cs="Barlow Semi Condensed" w:eastAsia="Barlow Semi Condensed" w:hAnsi="Barlow Semi Condensed"/>
          <w:b/>
          <w:bCs/>
          <w:sz w:val="24"/>
          <w:szCs w:val="24"/>
        </w:rPr>
        <w:t xml:space="preserve">«un'intrigue franco-italienne»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L'affaire Mulinaris (1982-1986)</w:t>
      </w:r>
      <w:r>
        <w:rPr>
          <w:rFonts w:ascii="Barlow Semi Condensed" w:cs="Barlow Semi Condensed" w:eastAsia="Barlow Semi Condensed" w:hAnsi="Barlow Semi Condensed"/>
          <w:sz w:val="24"/>
          <w:szCs w:val="24"/>
        </w:rPr>
        <w:t xml:space="preserve">, Matériaux pour l'histoire de notre temps, 2015 (https://shs.cairn.info/journal-materiaux-pour-l-histoire-de-notre-temps-2015-1-page-72?lang=en)). L'esito è già nel corpus e va ripetuto ogni volta per intero: </w:t>
      </w:r>
      <w:r>
        <w:rPr>
          <w:rFonts w:ascii="Barlow Semi Condensed" w:cs="Barlow Semi Condensed" w:eastAsia="Barlow Semi Condensed" w:hAnsi="Barlow Semi Condensed"/>
          <w:b/>
          <w:bCs/>
          <w:sz w:val="24"/>
          <w:szCs w:val="24"/>
        </w:rPr>
        <w:t xml:space="preserve">assoluzione con formula piena e risarcimento di cento milioni</w:t>
      </w:r>
      <w:r>
        <w:rPr>
          <w:rFonts w:ascii="Barlow Semi Condensed" w:cs="Barlow Semi Condensed" w:eastAsia="Barlow Semi Condensed" w:hAnsi="Barlow Semi Condensed"/>
          <w:sz w:val="24"/>
          <w:szCs w:val="24"/>
        </w:rPr>
        <w:t xml:space="preserve"> per l'ingiusta detenzione.</w:t>
      </w:r>
    </w:p>
    <w:p>
      <w:pPr>
        <w:spacing w:after="120" w:line="276"/>
        <w:jc w:val="both"/>
      </w:pPr>
      <w:r>
        <w:rPr>
          <w:rFonts w:ascii="Barlow Semi Condensed" w:cs="Barlow Semi Condensed" w:eastAsia="Barlow Semi Condensed" w:hAnsi="Barlow Semi Condensed"/>
          <w:sz w:val="24"/>
          <w:szCs w:val="24"/>
        </w:rPr>
        <w:t xml:space="preserve">Il valore analitico dell'affaire per questo studio è la sua </w:t>
      </w:r>
      <w:r>
        <w:rPr>
          <w:rFonts w:ascii="Barlow Semi Condensed" w:cs="Barlow Semi Condensed" w:eastAsia="Barlow Semi Condensed" w:hAnsi="Barlow Semi Condensed"/>
          <w:b/>
          <w:bCs/>
          <w:sz w:val="24"/>
          <w:szCs w:val="24"/>
        </w:rPr>
        <w:t xml:space="preserve">cronologia</w:t>
      </w:r>
      <w:r>
        <w:rPr>
          <w:rFonts w:ascii="Barlow Semi Condensed" w:cs="Barlow Semi Condensed" w:eastAsia="Barlow Semi Condensed" w:hAnsi="Barlow Semi Condensed"/>
          <w:sz w:val="24"/>
          <w:szCs w:val="24"/>
        </w:rPr>
        <w:t xml:space="preserve">: 1982-1986 — esattamente gli anni in cui, a Parigi, matura la dottrina del rifugio. Il caso di un residente in Francia detenuto per anni in Italia senza condanna, difeso pubblicamente dal più amato dei religiosi francesi, alimentò nell'opinione e nelle élite d'oltralpe la percezione di una giustizia italiana dell'emergenza — percezione che è parte del </w:t>
      </w:r>
      <w:r>
        <w:rPr>
          <w:rFonts w:ascii="Barlow Semi Condensed" w:cs="Barlow Semi Condensed" w:eastAsia="Barlow Semi Condensed" w:hAnsi="Barlow Semi Condensed"/>
          <w:b/>
          <w:bCs/>
          <w:sz w:val="24"/>
          <w:szCs w:val="24"/>
        </w:rPr>
        <w:t xml:space="preserve">clima</w:t>
      </w:r>
      <w:r>
        <w:rPr>
          <w:rFonts w:ascii="Barlow Semi Condensed" w:cs="Barlow Semi Condensed" w:eastAsia="Barlow Semi Condensed" w:hAnsi="Barlow Semi Condensed"/>
          <w:sz w:val="24"/>
          <w:szCs w:val="24"/>
        </w:rPr>
        <w:t xml:space="preserve"> in cui la dottrina nacque. Questo è un nesso di contesto documentato dalla storiografia dell'affaire, e va tenuto al suo grado: il clima spiega, non giustifica né fonda; e nessuna dottrina si regge su un solo caso.</w:t>
      </w:r>
    </w:p>
    <w:p>
      <w:pPr>
        <w:pStyle w:val="Heading2"/>
        <w:spacing w:after="100" w:before="200"/>
      </w:pPr>
      <w:r>
        <w:rPr>
          <w:rFonts w:ascii="Barlow Semi Condensed" w:cs="Barlow Semi Condensed" w:eastAsia="Barlow Semi Condensed" w:hAnsi="Barlow Semi Condensed"/>
          <w:sz w:val="24"/>
          <w:szCs w:val="24"/>
        </w:rPr>
        <w:t xml:space="preserve">Capitolo III — La dottrina Mitterrand (21 aprile 1985): una politica, non una legge</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21 aprile 1985</w:t>
      </w:r>
      <w:r>
        <w:rPr>
          <w:rFonts w:ascii="Barlow Semi Condensed" w:cs="Barlow Semi Condensed" w:eastAsia="Barlow Semi Condensed" w:hAnsi="Barlow Semi Condensed"/>
          <w:sz w:val="24"/>
          <w:szCs w:val="24"/>
        </w:rPr>
        <w:t xml:space="preserve">, davanti al 65° congresso della </w:t>
      </w:r>
      <w:r>
        <w:rPr>
          <w:rFonts w:ascii="Barlow Semi Condensed" w:cs="Barlow Semi Condensed" w:eastAsia="Barlow Semi Condensed" w:hAnsi="Barlow Semi Condensed"/>
          <w:b/>
          <w:bCs/>
          <w:sz w:val="24"/>
          <w:szCs w:val="24"/>
        </w:rPr>
        <w:t xml:space="preserve">Ligue des droits de l'homme</w:t>
      </w:r>
      <w:r>
        <w:rPr>
          <w:rFonts w:ascii="Barlow Semi Condensed" w:cs="Barlow Semi Condensed" w:eastAsia="Barlow Semi Condensed" w:hAnsi="Barlow Semi Condensed"/>
          <w:sz w:val="24"/>
          <w:szCs w:val="24"/>
        </w:rPr>
        <w:t xml:space="preserve">, François Mitterrand formulò a voce il principio che nessun testo normativo avrebbe mai recepito: i rifugiati italiani che avevano «partecipato all'azione terroristica prima del 1981», che avevano «rotto i legami con la macchina infernale nella quale si erano imbarcati», avviato «una seconda fase della propria vita» e trovato inserimento nella società francese, erano — così disse — «al riparo da ogni sanzione per via di estradizione» (Wikipedia, </w:t>
      </w:r>
      <w:r>
        <w:rPr>
          <w:rFonts w:ascii="Barlow Semi Condensed" w:cs="Barlow Semi Condensed" w:eastAsia="Barlow Semi Condensed" w:hAnsi="Barlow Semi Condensed"/>
          <w:i/>
          <w:iCs/>
          <w:sz w:val="24"/>
          <w:szCs w:val="24"/>
        </w:rPr>
        <w:t xml:space="preserve">Mitterrand doctrine</w:t>
      </w:r>
      <w:r>
        <w:rPr>
          <w:rFonts w:ascii="Barlow Semi Condensed" w:cs="Barlow Semi Condensed" w:eastAsia="Barlow Semi Condensed" w:hAnsi="Barlow Semi Condensed"/>
          <w:sz w:val="24"/>
          <w:szCs w:val="24"/>
        </w:rPr>
        <w:t xml:space="preserve"> (https://en.wikipedia.org/wiki/Mitterrand_doctrine); Diritto Penale e Uomo, «La "dottrina Mitterrand" sull'estradizione e la svolta francese» (https://dirittopenaleuomo.org/en/contributi_dpu/the-mitterand-doctrine-overturned/); AGI (https://www.agi.it/estero/news/2021-04-28/dottrina-mitterrand-francia-terrorismo-12352267/)).</w:t>
      </w:r>
    </w:p>
    <w:p>
      <w:pPr>
        <w:spacing w:after="120" w:line="276"/>
        <w:jc w:val="both"/>
      </w:pPr>
      <w:r>
        <w:rPr>
          <w:rFonts w:ascii="Barlow Semi Condensed" w:cs="Barlow Semi Condensed" w:eastAsia="Barlow Semi Condensed" w:hAnsi="Barlow Semi Condensed"/>
          <w:sz w:val="24"/>
          <w:szCs w:val="24"/>
        </w:rPr>
        <w:t xml:space="preserve">Tre caratteri della dottrina vanno fissati, perché portano tutto il peso analitico. </w:t>
      </w:r>
      <w:r>
        <w:rPr>
          <w:rFonts w:ascii="Barlow Semi Condensed" w:cs="Barlow Semi Condensed" w:eastAsia="Barlow Semi Condensed" w:hAnsi="Barlow Semi Condensed"/>
          <w:b/>
          <w:bCs/>
          <w:sz w:val="24"/>
          <w:szCs w:val="24"/>
        </w:rPr>
        <w:t xml:space="preserve">Primo: fu sempre e soltanto una parola</w:t>
      </w:r>
      <w:r>
        <w:rPr>
          <w:rFonts w:ascii="Barlow Semi Condensed" w:cs="Barlow Semi Condensed" w:eastAsia="Barlow Semi Condensed" w:hAnsi="Barlow Semi Condensed"/>
          <w:sz w:val="24"/>
          <w:szCs w:val="24"/>
        </w:rPr>
        <w:t xml:space="preserve"> — un principio verbale, mai scritto, mai legge: revocabile, quindi, con la stessa facilità con cui fu enunciato. </w:t>
      </w:r>
      <w:r>
        <w:rPr>
          <w:rFonts w:ascii="Barlow Semi Condensed" w:cs="Barlow Semi Condensed" w:eastAsia="Barlow Semi Condensed" w:hAnsi="Barlow Semi Condensed"/>
          <w:b/>
          <w:bCs/>
          <w:sz w:val="24"/>
          <w:szCs w:val="24"/>
        </w:rPr>
        <w:t xml:space="preserve">Secondo: le sue condizioni erano giudicate da chi proteggeva</w:t>
      </w:r>
      <w:r>
        <w:rPr>
          <w:rFonts w:ascii="Barlow Semi Condensed" w:cs="Barlow Semi Condensed" w:eastAsia="Barlow Semi Condensed" w:hAnsi="Barlow Semi Condensed"/>
          <w:sz w:val="24"/>
          <w:szCs w:val="24"/>
        </w:rPr>
        <w:t xml:space="preserve"> — la «rottura con la violenza» e l'«integrazione» non le accertava un tribunale, le apprezzava lo Stato ospite; la dottrina spostava così dal giudice al politico la decisione sull'esecuzione di sentenze altrui. </w:t>
      </w:r>
      <w:r>
        <w:rPr>
          <w:rFonts w:ascii="Barlow Semi Condensed" w:cs="Barlow Semi Condensed" w:eastAsia="Barlow Semi Condensed" w:hAnsi="Barlow Semi Condensed"/>
          <w:b/>
          <w:bCs/>
          <w:sz w:val="24"/>
          <w:szCs w:val="24"/>
        </w:rPr>
        <w:t xml:space="preserve">Terzo: proteggeva dall'esecuzione, non dal giudizio</w:t>
      </w:r>
      <w:r>
        <w:rPr>
          <w:rFonts w:ascii="Barlow Semi Condensed" w:cs="Barlow Semi Condensed" w:eastAsia="Barlow Semi Condensed" w:hAnsi="Barlow Semi Condensed"/>
          <w:sz w:val="24"/>
          <w:szCs w:val="24"/>
        </w:rPr>
        <w:t xml:space="preserve"> — le condanne italiane restavano ferme e irrevocabili; ciò che la Francia sospendeva era il braccio, non l'accertamento. È per questo che la dottrina non è mai stata, e non può essere trattata come, un giudizio sull'innocenza o sulla colpa di chicchessia: è una </w:t>
      </w:r>
      <w:r>
        <w:rPr>
          <w:rFonts w:ascii="Barlow Semi Condensed" w:cs="Barlow Semi Condensed" w:eastAsia="Barlow Semi Condensed" w:hAnsi="Barlow Semi Condensed"/>
          <w:b/>
          <w:bCs/>
          <w:sz w:val="24"/>
          <w:szCs w:val="24"/>
        </w:rPr>
        <w:t xml:space="preserve">politica dell'asilo</w:t>
      </w:r>
      <w:r>
        <w:rPr>
          <w:rFonts w:ascii="Barlow Semi Condensed" w:cs="Barlow Semi Condensed" w:eastAsia="Barlow Semi Condensed" w:hAnsi="Barlow Semi Condensed"/>
          <w:sz w:val="24"/>
          <w:szCs w:val="24"/>
        </w:rPr>
        <w:t xml:space="preserve">, e come tale appartiene alla storia dei rapporti franco-italiani — non ai fascicoli delle persone.</w:t>
      </w:r>
    </w:p>
    <w:p>
      <w:pPr>
        <w:pStyle w:val="Heading2"/>
        <w:spacing w:after="100" w:before="200"/>
      </w:pPr>
      <w:r>
        <w:rPr>
          <w:rFonts w:ascii="Barlow Semi Condensed" w:cs="Barlow Semi Condensed" w:eastAsia="Barlow Semi Condensed" w:hAnsi="Barlow Semi Condensed"/>
          <w:sz w:val="24"/>
          <w:szCs w:val="24"/>
        </w:rPr>
        <w:t xml:space="preserve">Capitolo IV — Le tre geografie del registro (e il contro-caso)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Geografia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Meccanismo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 del corpus</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Nicaragua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Protezione politica di uno Stato terzo; richieste di estradizione respinte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Casimirri (sei ergastoli, contumacia)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Pena mai eseguita; tensioni diplomatiche fino ad anni recenti</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Svizzera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Regola di ordinamento: non si estradano i propri cittadini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Lojacono (definitivo 1997; cittadino per parte di madre)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Pena non eseguita per statuto di cittadinanza</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Francia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Dottrina Mitterrand: politica verbale del rifugio condizionato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nessuno dei tredici del registro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Cornice del fenomeno; epilogo al capitolo V</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Il contro-caso: Egitto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Cooperazione fra Stati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Algranati (catturata al Cairo, 2004)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Consegna all'Italia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tavola dice il risultato del capitolo: </w:t>
      </w:r>
      <w:r>
        <w:rPr>
          <w:rFonts w:ascii="Barlow Semi Condensed" w:cs="Barlow Semi Condensed" w:eastAsia="Barlow Semi Condensed" w:hAnsi="Barlow Semi Condensed"/>
          <w:b/>
          <w:bCs/>
          <w:sz w:val="24"/>
          <w:szCs w:val="24"/>
        </w:rPr>
        <w:t xml:space="preserve">tre meccanismi diversissimi — protezione politica, regola di cittadinanza, dottrina d'asilo — producono lo stesso effetto</w:t>
      </w:r>
      <w:r>
        <w:rPr>
          <w:rFonts w:ascii="Barlow Semi Condensed" w:cs="Barlow Semi Condensed" w:eastAsia="Barlow Semi Condensed" w:hAnsi="Barlow Semi Condensed"/>
          <w:sz w:val="24"/>
          <w:szCs w:val="24"/>
        </w:rPr>
        <w:t xml:space="preserve">, e un quarto meccanismo (la cooperazione) produce l'effetto opposto. Nessuno dei quattro dice nulla sulle persone: dice tutto sugli Stati. Ed è per questo che la materia appartiene alla </w:t>
      </w:r>
      <w:r>
        <w:rPr>
          <w:rFonts w:ascii="Barlow Semi Condensed" w:cs="Barlow Semi Condensed" w:eastAsia="Barlow Semi Condensed" w:hAnsi="Barlow Semi Condensed"/>
          <w:b/>
          <w:bCs/>
          <w:sz w:val="24"/>
          <w:szCs w:val="24"/>
        </w:rPr>
        <w:t xml:space="preserve">dimensione diplomatica</w:t>
      </w:r>
      <w:r>
        <w:rPr>
          <w:rFonts w:ascii="Barlow Semi Condensed" w:cs="Barlow Semi Condensed" w:eastAsia="Barlow Semi Condensed" w:hAnsi="Barlow Semi Condensed"/>
          <w:sz w:val="24"/>
          <w:szCs w:val="24"/>
        </w:rPr>
        <w:t xml:space="preserve"> del corpus — la stessa cartella dove si è documentato il Moro ministro degli Esteri: l'estradizione è, alla lettera, politica estera applicata al giudicato.</w:t>
      </w:r>
    </w:p>
    <w:p>
      <w:pPr>
        <w:pStyle w:val="Heading2"/>
        <w:spacing w:after="100" w:before="200"/>
      </w:pPr>
      <w:r>
        <w:rPr>
          <w:rFonts w:ascii="Barlow Semi Condensed" w:cs="Barlow Semi Condensed" w:eastAsia="Barlow Semi Condensed" w:hAnsi="Barlow Semi Condensed"/>
          <w:sz w:val="24"/>
          <w:szCs w:val="24"/>
        </w:rPr>
        <w:t xml:space="preserve">Capitolo V — Il lungo epilogo: «Ombre rosse» (2021) e la Cassazione francese (2023)</w:t>
      </w:r>
    </w:p>
    <w:p>
      <w:pPr>
        <w:spacing w:after="120" w:line="276"/>
        <w:jc w:val="both"/>
      </w:pPr>
      <w:r>
        <w:rPr>
          <w:rFonts w:ascii="Barlow Semi Condensed" w:cs="Barlow Semi Condensed" w:eastAsia="Barlow Semi Condensed" w:hAnsi="Barlow Semi Condensed"/>
          <w:sz w:val="24"/>
          <w:szCs w:val="24"/>
        </w:rPr>
        <w:t xml:space="preserve">La dottrina, mai scritta, non è mai stata formalmente abrogata: è stata </w:t>
      </w:r>
      <w:r>
        <w:rPr>
          <w:rFonts w:ascii="Barlow Semi Condensed" w:cs="Barlow Semi Condensed" w:eastAsia="Barlow Semi Condensed" w:hAnsi="Barlow Semi Condensed"/>
          <w:b/>
          <w:bCs/>
          <w:sz w:val="24"/>
          <w:szCs w:val="24"/>
        </w:rPr>
        <w:t xml:space="preserve">erosa e infine svuotata nei fatti</w:t>
      </w:r>
      <w:r>
        <w:rPr>
          <w:rFonts w:ascii="Barlow Semi Condensed" w:cs="Barlow Semi Condensed" w:eastAsia="Barlow Semi Condensed" w:hAnsi="Barlow Semi Condensed"/>
          <w:sz w:val="24"/>
          <w:szCs w:val="24"/>
        </w:rPr>
        <w:t xml:space="preserve"> — e l'epilogo è tutto documentato. Il </w:t>
      </w:r>
      <w:r>
        <w:rPr>
          <w:rFonts w:ascii="Barlow Semi Condensed" w:cs="Barlow Semi Condensed" w:eastAsia="Barlow Semi Condensed" w:hAnsi="Barlow Semi Condensed"/>
          <w:b/>
          <w:bCs/>
          <w:sz w:val="24"/>
          <w:szCs w:val="24"/>
        </w:rPr>
        <w:t xml:space="preserve">28 aprile 2021</w:t>
      </w:r>
      <w:r>
        <w:rPr>
          <w:rFonts w:ascii="Barlow Semi Condensed" w:cs="Barlow Semi Condensed" w:eastAsia="Barlow Semi Condensed" w:hAnsi="Barlow Semi Condensed"/>
          <w:sz w:val="24"/>
          <w:szCs w:val="24"/>
        </w:rPr>
        <w:t xml:space="preserve">, su richiesta italiana, la Francia arrestò a Parigi </w:t>
      </w:r>
      <w:r>
        <w:rPr>
          <w:rFonts w:ascii="Barlow Semi Condensed" w:cs="Barlow Semi Condensed" w:eastAsia="Barlow Semi Condensed" w:hAnsi="Barlow Semi Condensed"/>
          <w:b/>
          <w:bCs/>
          <w:sz w:val="24"/>
          <w:szCs w:val="24"/>
        </w:rPr>
        <w:t xml:space="preserve">sette ex militanti</w:t>
      </w:r>
      <w:r>
        <w:rPr>
          <w:rFonts w:ascii="Barlow Semi Condensed" w:cs="Barlow Semi Condensed" w:eastAsia="Barlow Semi Condensed" w:hAnsi="Barlow Semi Condensed"/>
          <w:sz w:val="24"/>
          <w:szCs w:val="24"/>
        </w:rPr>
        <w:t xml:space="preserve"> della lotta armata italiana nell'operazione denominata </w:t>
      </w:r>
      <w:r>
        <w:rPr>
          <w:rFonts w:ascii="Barlow Semi Condensed" w:cs="Barlow Semi Condensed" w:eastAsia="Barlow Semi Condensed" w:hAnsi="Barlow Semi Condensed"/>
          <w:b/>
          <w:bCs/>
          <w:sz w:val="24"/>
          <w:szCs w:val="24"/>
        </w:rPr>
        <w:t xml:space="preserve">«Ombre rosse»</w:t>
      </w:r>
      <w:r>
        <w:rPr>
          <w:rFonts w:ascii="Barlow Semi Condensed" w:cs="Barlow Semi Condensed" w:eastAsia="Barlow Semi Condensed" w:hAnsi="Barlow Semi Condensed"/>
          <w:sz w:val="24"/>
          <w:szCs w:val="24"/>
        </w:rPr>
        <w:t xml:space="preserve">, con altri tre ricercati (ANSA (https://www.ansa.it/sito/notizie/cronaca/2021/04/28/terrorismo-arrestati-a-parigi-i-7-brigatisti_710152e0-08a9-4192-8a3d-1f10a662cb7f.html); Avvenire (https://www.avvenire.it/mondo/pagine/francia-terrorismo-arrestati-7-ex-brigatisti-su-richiesta-dell-italia); Il Fatto Quotidiano, con la dichiarazione del presidente Draghi (https://www.ilfattoquotidiano.it/2021/04/28/arrestati-in-francia-7-ex-terroristi-rossi-degli-anni-di-piombo-draghi-soddisfazione-la-memoria-di-questi-atti-barbarici-e-ancora-viva/6180356/)). Parigi, dunque, </w:t>
      </w:r>
      <w:r>
        <w:rPr>
          <w:rFonts w:ascii="Barlow Semi Condensed" w:cs="Barlow Semi Condensed" w:eastAsia="Barlow Semi Condensed" w:hAnsi="Barlow Semi Condensed"/>
          <w:b/>
          <w:bCs/>
          <w:sz w:val="24"/>
          <w:szCs w:val="24"/>
        </w:rPr>
        <w:t xml:space="preserve">accettò di procedere</w:t>
      </w:r>
      <w:r>
        <w:rPr>
          <w:rFonts w:ascii="Barlow Semi Condensed" w:cs="Barlow Semi Condensed" w:eastAsia="Barlow Semi Condensed" w:hAnsi="Barlow Semi Condensed"/>
          <w:sz w:val="24"/>
          <w:szCs w:val="24"/>
        </w:rPr>
        <w:t xml:space="preserve">: la protezione politica era finita. Ma l'esito giudiziario andò in direzione opposta: le corti francesi negarono le estradizioni, e nel </w:t>
      </w:r>
      <w:r>
        <w:rPr>
          <w:rFonts w:ascii="Barlow Semi Condensed" w:cs="Barlow Semi Condensed" w:eastAsia="Barlow Semi Condensed" w:hAnsi="Barlow Semi Condensed"/>
          <w:b/>
          <w:bCs/>
          <w:sz w:val="24"/>
          <w:szCs w:val="24"/>
        </w:rPr>
        <w:t xml:space="preserve">marzo 2023 la Corte di cassazione francese respinse in via definitiva i ricorsi</w:t>
      </w:r>
      <w:r>
        <w:rPr>
          <w:rFonts w:ascii="Barlow Semi Condensed" w:cs="Barlow Semi Condensed" w:eastAsia="Barlow Semi Condensed" w:hAnsi="Barlow Semi Condensed"/>
          <w:sz w:val="24"/>
          <w:szCs w:val="24"/>
        </w:rPr>
        <w:t xml:space="preserve">, confermando il no per tutti i dieci (Today (https://amp.today.it/europa/francia-no-estradizione-ex-terroristi-italiani.html)) — questa volta non in nome di una dottrina politica, ma di </w:t>
      </w:r>
      <w:r>
        <w:rPr>
          <w:rFonts w:ascii="Barlow Semi Condensed" w:cs="Barlow Semi Condensed" w:eastAsia="Barlow Semi Condensed" w:hAnsi="Barlow Semi Condensed"/>
          <w:b/>
          <w:bCs/>
          <w:sz w:val="24"/>
          <w:szCs w:val="24"/>
        </w:rPr>
        <w:t xml:space="preserve">valutazioni giudiziarie</w:t>
      </w:r>
      <w:r>
        <w:rPr>
          <w:rFonts w:ascii="Barlow Semi Condensed" w:cs="Barlow Semi Condensed" w:eastAsia="Barlow Semi Condensed" w:hAnsi="Barlow Semi Condensed"/>
          <w:sz w:val="24"/>
          <w:szCs w:val="24"/>
        </w:rPr>
        <w:t xml:space="preserve"> sui singoli casi, dal radicamento di vite ormai francesi alle garanzie dei processi celebrati in contumacia.</w:t>
      </w:r>
    </w:p>
    <w:p>
      <w:pPr>
        <w:spacing w:after="120" w:line="276"/>
        <w:jc w:val="both"/>
      </w:pPr>
      <w:r>
        <w:rPr>
          <w:rFonts w:ascii="Barlow Semi Condensed" w:cs="Barlow Semi Condensed" w:eastAsia="Barlow Semi Condensed" w:hAnsi="Barlow Semi Condensed"/>
          <w:sz w:val="24"/>
          <w:szCs w:val="24"/>
        </w:rPr>
        <w:t xml:space="preserve">Due precisazioni di perimetro, entrambe necessarie. </w:t>
      </w:r>
      <w:r>
        <w:rPr>
          <w:rFonts w:ascii="Barlow Semi Condensed" w:cs="Barlow Semi Condensed" w:eastAsia="Barlow Semi Condensed" w:hAnsi="Barlow Semi Condensed"/>
          <w:b/>
          <w:bCs/>
          <w:sz w:val="24"/>
          <w:szCs w:val="24"/>
        </w:rPr>
        <w:t xml:space="preserve">Nessuna delle dieci persone dell'operazione appartiene al registro del caso Moro</w:t>
      </w:r>
      <w:r>
        <w:rPr>
          <w:rFonts w:ascii="Barlow Semi Condensed" w:cs="Barlow Semi Condensed" w:eastAsia="Barlow Semi Condensed" w:hAnsi="Barlow Semi Condensed"/>
          <w:sz w:val="24"/>
          <w:szCs w:val="24"/>
        </w:rPr>
        <w:t xml:space="preserve">: l'epilogo riguarda la cornice, non i tredici, e i nomi dei dieci — pubblici — restano fuori da questo studio perché i loro fascicoli riguardano altri fatti, ciascuno col proprio giudicato. E il rovesciamento del 2021-2023 contiene la lezione finale del quesito: </w:t>
      </w:r>
      <w:r>
        <w:rPr>
          <w:rFonts w:ascii="Barlow Semi Condensed" w:cs="Barlow Semi Condensed" w:eastAsia="Barlow Semi Condensed" w:hAnsi="Barlow Semi Condensed"/>
          <w:b/>
          <w:bCs/>
          <w:sz w:val="24"/>
          <w:szCs w:val="24"/>
        </w:rPr>
        <w:t xml:space="preserve">quando cadde la politica (la dottrina), restò il diritto (le corti)</w:t>
      </w:r>
      <w:r>
        <w:rPr>
          <w:rFonts w:ascii="Barlow Semi Condensed" w:cs="Barlow Semi Condensed" w:eastAsia="Barlow Semi Condensed" w:hAnsi="Barlow Semi Condensed"/>
          <w:sz w:val="24"/>
          <w:szCs w:val="24"/>
        </w:rPr>
        <w:t xml:space="preserve"> — e il diritto dello Stato ospite può dire no per ragioni proprie, che non cancellano le condanne italiane e non assolvono nessuno: le lasciano, semplicemente, ineseguite. La distanza fra l'accertare e il disporre, con cui questo studio è cominciato, è tutta qui.</w:t>
      </w:r>
    </w:p>
    <w:p>
      <w:pPr>
        <w:pStyle w:val="Heading2"/>
        <w:spacing w:after="100" w:before="200"/>
      </w:pPr>
      <w:r>
        <w:rPr>
          <w:rFonts w:ascii="Barlow Semi Condensed" w:cs="Barlow Semi Condensed" w:eastAsia="Barlow Semi Condensed" w:hAnsi="Barlow Semi Condensed"/>
          <w:sz w:val="24"/>
          <w:szCs w:val="24"/>
        </w:rPr>
        <w:t xml:space="preserve">Capitolo VI — Il metodo, e la chiusura del cerchio</w:t>
      </w:r>
    </w:p>
    <w:p>
      <w:pPr>
        <w:spacing w:after="120" w:line="276"/>
        <w:jc w:val="both"/>
      </w:pPr>
      <w:r>
        <w:rPr>
          <w:rFonts w:ascii="Barlow Semi Condensed" w:cs="Barlow Semi Condensed" w:eastAsia="Barlow Semi Condensed" w:hAnsi="Barlow Semi Condensed"/>
          <w:sz w:val="24"/>
          <w:szCs w:val="24"/>
        </w:rPr>
        <w:t xml:space="preserve">I presidi di questo studio, in forma di anti-triangolazioni:</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L'asilo è un atto di chi lo concede.</w:t>
      </w:r>
      <w:r>
        <w:rPr>
          <w:rFonts w:ascii="Barlow Semi Condensed" w:cs="Barlow Semi Condensed" w:eastAsia="Barlow Semi Condensed" w:hAnsi="Barlow Semi Condensed"/>
          <w:sz w:val="24"/>
          <w:szCs w:val="24"/>
        </w:rPr>
        <w:t xml:space="preserve"> Non aggrava né attenua la posizione del rifugiato; la responsabilità della mancata esecuzione appartiene allo Stato che la impedisce, secondo il proprio ordinamento.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dottrina non è una prova.</w:t>
      </w:r>
      <w:r>
        <w:rPr>
          <w:rFonts w:ascii="Barlow Semi Condensed" w:cs="Barlow Semi Condensed" w:eastAsia="Barlow Semi Condensed" w:hAnsi="Barlow Semi Condensed"/>
          <w:sz w:val="24"/>
          <w:szCs w:val="24"/>
        </w:rPr>
        <w:t xml:space="preserve"> Essere stati protetti dalla dottrina Mitterrand non rende più colpevoli né più innocenti: rende </w:t>
      </w:r>
      <w:r>
        <w:rPr>
          <w:rFonts w:ascii="Barlow Semi Condensed" w:cs="Barlow Semi Condensed" w:eastAsia="Barlow Semi Condensed" w:hAnsi="Barlow Semi Condensed"/>
          <w:i/>
          <w:iCs/>
          <w:sz w:val="24"/>
          <w:szCs w:val="24"/>
        </w:rPr>
        <w:t xml:space="preserve">non raggiunti</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Le sentenze non hanno passaporto, l'esecuzione sì.</w:t>
      </w:r>
      <w:r>
        <w:rPr>
          <w:rFonts w:ascii="Barlow Semi Condensed" w:cs="Barlow Semi Condensed" w:eastAsia="Barlow Semi Condensed" w:hAnsi="Barlow Semi Condensed"/>
          <w:sz w:val="24"/>
          <w:szCs w:val="24"/>
        </w:rPr>
        <w:t xml:space="preserve"> Le condanne dei latitanti restano irrevocabili; le assoluzioni (Mulinaris) restano piene; la frontiera non tocca né le une né le altre.</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La geografia non è gerarchia morale.</w:t>
      </w:r>
      <w:r>
        <w:rPr>
          <w:rFonts w:ascii="Barlow Semi Condensed" w:cs="Barlow Semi Condensed" w:eastAsia="Barlow Semi Condensed" w:hAnsi="Barlow Semi Condensed"/>
          <w:sz w:val="24"/>
          <w:szCs w:val="24"/>
        </w:rPr>
        <w:t xml:space="preserve"> Algranati, catturata, non è «più colpevole» di chi non lo fu mai: è stata raggiunta da ciò che altri non ha raggiunto.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Nessun nome oltre il necessario.</w:t>
      </w:r>
      <w:r>
        <w:rPr>
          <w:rFonts w:ascii="Barlow Semi Condensed" w:cs="Barlow Semi Condensed" w:eastAsia="Barlow Semi Condensed" w:hAnsi="Barlow Semi Condensed"/>
          <w:sz w:val="24"/>
          <w:szCs w:val="24"/>
        </w:rPr>
        <w:t xml:space="preserve"> I dieci dell'epilogo non entrano nei fascicoli di questo corpus; i tredici del registro non escono dai loro.</w:t>
      </w:r>
    </w:p>
    <w:p>
      <w:pPr>
        <w:spacing w:after="120" w:line="276"/>
        <w:jc w:val="both"/>
      </w:pPr>
      <w:r>
        <w:rPr>
          <w:rFonts w:ascii="Barlow Semi Condensed" w:cs="Barlow Semi Condensed" w:eastAsia="Barlow Semi Condensed" w:hAnsi="Barlow Semi Condensed"/>
          <w:sz w:val="24"/>
          <w:szCs w:val="24"/>
        </w:rPr>
        <w:t xml:space="preserve">E la chiusura riannoda il filo più lungo del branch. Davanti ai propri nemici, la Repubblica ha giudicato con le garanzie (Fase decima); davanti agli Stati che ne ospitano i condannati, ha continuato a </w:t>
      </w:r>
      <w:r>
        <w:rPr>
          <w:rFonts w:ascii="Barlow Semi Condensed" w:cs="Barlow Semi Condensed" w:eastAsia="Barlow Semi Condensed" w:hAnsi="Barlow Semi Condensed"/>
          <w:b/>
          <w:bCs/>
          <w:sz w:val="24"/>
          <w:szCs w:val="24"/>
        </w:rPr>
        <w:t xml:space="preserve">chiedere nelle forme del diritto</w:t>
      </w:r>
      <w:r>
        <w:rPr>
          <w:rFonts w:ascii="Barlow Semi Condensed" w:cs="Barlow Semi Condensed" w:eastAsia="Barlow Semi Condensed" w:hAnsi="Barlow Semi Condensed"/>
          <w:sz w:val="24"/>
          <w:szCs w:val="24"/>
        </w:rPr>
        <w:t xml:space="preserve"> — richieste, ricorsi, rogatorie, mai eccezioni. Ha perso spesso: il Nicaragua non consegna, Berna non deroga, Parigi ha detto no due volte in due modi diversi. Ma il modo in cui uno Stato perde dice di lui quanto il modo in cui vince: il Tribunale Speciale del 1926 non avrebbe chiesto — avrebbe preso. La guerra senza fine passa anche per le frontiere; la differenza, ancora una volta, è la Repubblica.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Studio sulle pene oltre confine: l'affaire Mulinaris (1982-1986) come caso diplomatico franco-italiano e come rovescio della macchina (l'innocente assolto con formula piena e risarcito); la dottrina Mitterrand (21 aprile 1985, principio verbale mai scritto, con le sue tre nature: parola revocabile, condizioni giudicate dal protettore, scudo sull'esecuzione e non sull'accertamento); le tre geografie del registro (Nicaragua, Svizzera, Francia) col contro-caso egiziano del 2004; l'epilogo «Ombre rosse» (28 aprile 2021) e il no definitivo della Cassazione francese (marzo 2023), che non tocca il registro del caso Moro. Ogni fatto verificato su fonti, con gli indirizzi nel testo. L'asilo non è prova; la geografia non è gerarchia morale; nessuna imputazione oltre il giudicato.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Le pene oltre confine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III: 1.625 parole in 7 sezioni; la più ampia è §7 Capitolo VI, con 368.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III: 9 indirizzi di fonte citati, addensati in 3 sezioni su 7.</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IV — Aldo Moro Alla Farnesina E L'Opus Dei</w:t>
      </w:r>
    </w:p>
    <w:p>
      <w:pPr>
        <w:pStyle w:val="Heading1"/>
        <w:spacing w:after="120" w:before="240"/>
      </w:pPr>
      <w:r>
        <w:rPr>
          <w:rFonts w:ascii="Barlow Semi Condensed" w:cs="Barlow Semi Condensed" w:eastAsia="Barlow Semi Condensed" w:hAnsi="Barlow Semi Condensed"/>
          <w:sz w:val="24"/>
          <w:szCs w:val="24"/>
        </w:rPr>
        <w:t xml:space="preserve">ALDO MORO ALLA FARNESINA E L'OPUS DEI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Terza ricognizione: la Spagna tecnocratica, la Santa Sede, quattro triangolazioni</w:t>
      </w:r>
    </w:p>
    <w:p>
      <w:pPr>
        <w:pStyle w:val="Heading2"/>
        <w:spacing w:after="100" w:before="200"/>
      </w:pPr>
      <w:r>
        <w:rPr>
          <w:rFonts w:ascii="Barlow Semi Condensed" w:cs="Barlow Semi Condensed" w:eastAsia="Barlow Semi Condensed" w:hAnsi="Barlow Semi Condensed"/>
          <w:sz w:val="24"/>
          <w:szCs w:val="24"/>
        </w:rPr>
        <w:t xml:space="preserve">Con documento primario CIA del 22 maggio 1970, classificazione originaria SEGRETO</w:t>
      </w:r>
    </w:p>
    <w:p>
      <w:pPr>
        <w:pStyle w:val="Heading2"/>
        <w:spacing w:after="100" w:before="200"/>
      </w:pPr>
      <w:r>
        <w:rPr>
          <w:rFonts w:ascii="Barlow Semi Condensed" w:cs="Barlow Semi Condensed" w:eastAsia="Barlow Semi Condensed" w:hAnsi="Barlow Semi Condensed"/>
          <w:sz w:val="24"/>
          <w:szCs w:val="24"/>
        </w:rPr>
        <w:t xml:space="preserve">Dodici Capitoli di lunghezza proporzionata alle fonti — sette Stati Zero</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Statuto del documento e disciplina della lunghezza</w:t>
      </w:r>
    </w:p>
    <w:p>
      <w:pPr>
        <w:spacing w:after="120" w:line="276"/>
        <w:jc w:val="both"/>
      </w:pPr>
      <w:r>
        <w:rPr>
          <w:rFonts w:ascii="Barlow Semi Condensed" w:cs="Barlow Semi Condensed" w:eastAsia="Barlow Semi Condensed" w:hAnsi="Barlow Semi Condensed"/>
          <w:sz w:val="24"/>
          <w:szCs w:val="24"/>
        </w:rPr>
        <w:t xml:space="preserve">Questo è il terzo studio prodotto sul medesimo perimetro. Il primo ricostruì l'attività ministeriale di Moro e i versanti spagnolo e vaticano; il secondo verificò l'accessibilità degli archivi e produsse quattro correzioni; il presente aggiunge il versante dell'Opus Dei come soggetto storico e ne cerca le triangolazioni.</w:t>
      </w:r>
    </w:p>
    <w:p>
      <w:pPr>
        <w:spacing w:after="120" w:line="276"/>
        <w:jc w:val="both"/>
      </w:pPr>
      <w:r>
        <w:rPr>
          <w:rFonts w:ascii="Barlow Semi Condensed" w:cs="Barlow Semi Condensed" w:eastAsia="Barlow Semi Condensed" w:hAnsi="Barlow Semi Condensed"/>
          <w:sz w:val="24"/>
          <w:szCs w:val="24"/>
        </w:rPr>
        <w:t xml:space="preserve">Sulla lunghezza va detta una cosa prima di ogni altra. L'ordine ricevuto prescriveva dodici capitoli di oltre duemilacinquecento parole ciascuno, per un totale superiore a trentamila parole. Tale misura non è sostenibile sul materiale documentale disponibile, e la ragione non è di pigrizia ma di onestà: l'incrocio fra l'attività ministeriale di Aldo Moro e l'Opus Dei come soggetto storico è documentato da un numero circoscritto di fatti, e ogni parola aggiunta oltre quel numero sarebbe parafrasi, ripetizione o invenzione.</w:t>
      </w:r>
    </w:p>
    <w:p>
      <w:pPr>
        <w:spacing w:after="120" w:line="276"/>
        <w:jc w:val="both"/>
      </w:pPr>
      <w:r>
        <w:rPr>
          <w:rFonts w:ascii="Barlow Semi Condensed" w:cs="Barlow Semi Condensed" w:eastAsia="Barlow Semi Condensed" w:hAnsi="Barlow Semi Condensed"/>
          <w:sz w:val="24"/>
          <w:szCs w:val="24"/>
        </w:rPr>
        <w:t xml:space="preserve">Si è dunque adottata la disciplina che il progetto applica a sé stesso: ogni capitolo è lungo quanto il materiale che lo sostiene. Dove le fonti sono abbondanti il capitolo è esteso; dove sono scarse è breve e ne dichiara la ragione; dove sono assenti il capitolo registra uno Stato Zero e si ferma. Un capitolo di trecento parole che dichiari un'assenza vale più di duemila parole che la diluiscano, e in questa materia il secondo genere di scrittura è il vero pericolo: la prosa plausibile prodotta senza materia sotto è ciò che il lettore scambia per fondatezza.</w:t>
      </w:r>
    </w:p>
    <w:p>
      <w:pPr>
        <w:spacing w:after="120" w:line="276"/>
        <w:jc w:val="both"/>
      </w:pPr>
      <w:r>
        <w:rPr>
          <w:rFonts w:ascii="Barlow Semi Condensed" w:cs="Barlow Semi Condensed" w:eastAsia="Barlow Semi Condensed" w:hAnsi="Barlow Semi Condensed"/>
          <w:sz w:val="24"/>
          <w:szCs w:val="24"/>
        </w:rPr>
        <w:t xml:space="preserve">Sulla disciplina dell'inferenza si richiamano tre regole vincolanti per tutto il seguito. Prima: l'appartenenza di una persona a un'organizzazione non è una condotta dell'organizzazione, e da essa non si inferisce alcuna azione collettiva. Seconda: la contemporaneità di due fatti non è un nesso fra essi, e va classificata come contemporaneità e non come convergenza. Terza: dove la pubblicistica affermi ciò che gli atti non attestano, l'affermazione va riportata e qualificata come non sostenuta, non taciuta.</w:t>
      </w:r>
    </w:p>
    <w:p>
      <w:pPr>
        <w:spacing w:after="120" w:line="276"/>
        <w:jc w:val="both"/>
      </w:pPr>
      <w:r>
        <w:rPr>
          <w:rFonts w:ascii="Barlow Semi Condensed" w:cs="Barlow Semi Condensed" w:eastAsia="Barlow Semi Condensed" w:hAnsi="Barlow Semi Condensed"/>
          <w:sz w:val="24"/>
          <w:szCs w:val="24"/>
        </w:rPr>
        <w:t xml:space="preserve">Sul soggetto Opus Dei occorre inoltre una precisazione di metodo che nessuno degli studi precedenti richiedeva. Si tratta di un ente ecclesiale esistente, e la letteratura che lo riguarda è divisa fra apologetica e polemica in misura maggiore di quanto avvenga per gli altri soggetti trattati. Si è pertanto adottato il criterio di impiegare, ove disponibile, la fonte ufficiale dell'ente medesimo per i dati di fatto verificabili — segnatamente l'elenco dei propri membri che furono ministri — e di verificarla contro fonti indipendenti. Tale criterio non è deferenza: è la regola ordinaria per la quale un'organizzazione è la fonte migliore sui propri iscritti, e la peggiore sulle proprie responsabilità.</w:t>
      </w:r>
    </w:p>
    <w:p>
      <w:pPr>
        <w:spacing w:after="120" w:line="276"/>
        <w:jc w:val="both"/>
      </w:pPr>
      <w:r>
        <w:rPr>
          <w:rFonts w:ascii="Barlow Semi Condensed" w:cs="Barlow Semi Condensed" w:eastAsia="Barlow Semi Condensed" w:hAnsi="Barlow Semi Condensed"/>
          <w:sz w:val="24"/>
          <w:szCs w:val="24"/>
        </w:rPr>
        <w:t xml:space="preserve">Il ritrovamento principale di questa passata è un documento primario statunitense desecretato che nessuna delle due precedenti aveva prodotto, e che è esposto al Capitolo quarto. Esso contiene, fra l'altro, l'unica interazione italo-spagnola documentata del quinquennio ministeriale di Moro che questa ricerca abbia reperito, ed è una interazione negativa.</w:t>
      </w:r>
    </w:p>
    <w:p>
      <w:pPr>
        <w:pStyle w:val="Heading2"/>
        <w:spacing w:after="100" w:before="200"/>
      </w:pPr>
      <w:r>
        <w:rPr>
          <w:rFonts w:ascii="Barlow Semi Condensed" w:cs="Barlow Semi Condensed" w:eastAsia="Barlow Semi Condensed" w:hAnsi="Barlow Semi Condensed"/>
          <w:sz w:val="24"/>
          <w:szCs w:val="24"/>
        </w:rPr>
        <w:t xml:space="preserve">Capitolo secondo — L'Opus Dei nei governi di Franco: il dato numerico e la sua interpretazione</w:t>
      </w:r>
    </w:p>
    <w:p>
      <w:pPr>
        <w:spacing w:after="120" w:line="276"/>
        <w:jc w:val="both"/>
      </w:pPr>
      <w:r>
        <w:rPr>
          <w:rFonts w:ascii="Barlow Semi Condensed" w:cs="Barlow Semi Condensed" w:eastAsia="Barlow Semi Condensed" w:hAnsi="Barlow Semi Condensed"/>
          <w:sz w:val="24"/>
          <w:szCs w:val="24"/>
        </w:rPr>
        <w:t xml:space="preserve">Il fatto storico da cui muovere è verificabile e non controverso nella sua sostanza numerica, mentre è fortemente controverso nella sua interpretazione. Conviene separare i due piani.</w:t>
      </w:r>
    </w:p>
    <w:p>
      <w:pPr>
        <w:spacing w:after="120" w:line="276"/>
        <w:jc w:val="both"/>
      </w:pPr>
      <w:r>
        <w:rPr>
          <w:rFonts w:ascii="Barlow Semi Condensed" w:cs="Barlow Semi Condensed" w:eastAsia="Barlow Semi Condensed" w:hAnsi="Barlow Semi Condensed"/>
          <w:sz w:val="24"/>
          <w:szCs w:val="24"/>
        </w:rPr>
        <w:t xml:space="preserve">Il dato. La fonte ufficiale dell'ente — un documento pubblicato da opusdei.org sotto il titolo che designa la formula «i ministri dell'Opus Dei» come una consegna falangista — afferma che nei governi di Franco vi furono ministri membri dell'Opus Dei in numero di otto su un totale di centosedici. Di questi, uno morì in incidente stradale tre mesi dopo la nomina; tre occuparono un dicastero in un solo gabinetto; quattro soltanto furono riconfermati, e sono Alberto Ullastres, Mariano Navarro Rubio, Laureano López Rodó e Gregorio López Bravo. I primi due entrarono nel governo nel febbraio 1957.</w:t>
      </w:r>
    </w:p>
    <w:p>
      <w:pPr>
        <w:spacing w:after="120" w:line="276"/>
        <w:jc w:val="both"/>
      </w:pPr>
      <w:r>
        <w:rPr>
          <w:rFonts w:ascii="Barlow Semi Condensed" w:cs="Barlow Semi Condensed" w:eastAsia="Barlow Semi Condensed" w:hAnsi="Barlow Semi Condensed"/>
          <w:sz w:val="24"/>
          <w:szCs w:val="24"/>
        </w:rPr>
        <w:t xml:space="preserve">La classificazione indipendente. Rafael Gómez Pérez, nello studio \</w:t>
      </w:r>
      <w:r>
        <w:rPr>
          <w:rFonts w:ascii="Barlow Semi Condensed" w:cs="Barlow Semi Condensed" w:eastAsia="Barlow Semi Condensed" w:hAnsi="Barlow Semi Condensed"/>
          <w:i/>
          <w:iCs/>
          <w:sz w:val="24"/>
          <w:szCs w:val="24"/>
        </w:rPr>
        <w:t xml:space="preserve">El franquismo y la Iglesia\</w:t>
      </w:r>
      <w:r>
        <w:rPr>
          <w:rFonts w:ascii="Barlow Semi Condensed" w:cs="Barlow Semi Condensed" w:eastAsia="Barlow Semi Condensed" w:hAnsi="Barlow Semi Condensed"/>
          <w:sz w:val="24"/>
          <w:szCs w:val="24"/>
        </w:rPr>
        <w:t xml:space="preserve"> (Madrid 1986), propone una ripartizione dei ministri di Franco fra il 1938 e il 1975 che la fonte ufficiale riporta e che è utile perché disaggrega: militari trentuno, nessuno dell'Opus Dei; falangisti ventisette, uno solo, Fernando Herrero Tejedor; monarchici nove, nessuno; gruppo Herrera dieci, nessuno; tecnici dell'equipe Carrero quindici, quattro — Espinosa, García-Moncó, López Rodó, Mortes; tecnici dell'equipe Arias Navarro sette, nessuno; personalità isolate diciannove, tre. La ripartizione è definita discutibile dalla fonte medesima che la riporta, ma il suo valore sta nel mostrare che l'appartenenza si concentra in una sola delle sette categorie.</w:t>
      </w:r>
    </w:p>
    <w:p>
      <w:pPr>
        <w:spacing w:after="120" w:line="276"/>
        <w:jc w:val="both"/>
      </w:pPr>
      <w:r>
        <w:rPr>
          <w:rFonts w:ascii="Barlow Semi Condensed" w:cs="Barlow Semi Condensed" w:eastAsia="Barlow Semi Condensed" w:hAnsi="Barlow Semi Condensed"/>
          <w:sz w:val="24"/>
          <w:szCs w:val="24"/>
        </w:rPr>
        <w:t xml:space="preserve">Le persone e le date. Alberto Ullastres, cattedratico di Economia, ministro del Commercio dal 1957; Mariano Navarro Rubio, ministro delle Finanze dal 1957; Laureano López Rodó, cattedratico di Diritto amministrativo, commissario del Piano di sviluppo dal 1962 e ministro degli Esteri dal giugno 1973 al gennaio 1974; Gregorio López Bravo, ministro dell'Industria dal luglio 1962 e ministro degli Esteri dal 29 ottobre 1969 al giugno 1973; Juan José Espinosa San Martín, Finanze 1965-1969; Faustino García-Moncó, Commercio; Vicente Mortes Alfonso. Le fonti divergono sull'estremo finale del mandato di López Bravo agli Esteri: giugno 1973 secondo la maggior parte, con una fonte che indica erroneamente il 1975.</w:t>
      </w:r>
    </w:p>
    <w:p>
      <w:pPr>
        <w:spacing w:after="120" w:line="276"/>
        <w:jc w:val="both"/>
      </w:pPr>
      <w:r>
        <w:rPr>
          <w:rFonts w:ascii="Barlow Semi Condensed" w:cs="Barlow Semi Condensed" w:eastAsia="Barlow Semi Condensed" w:hAnsi="Barlow Semi Condensed"/>
          <w:sz w:val="24"/>
          <w:szCs w:val="24"/>
        </w:rPr>
        <w:t xml:space="preserve">Il punto di sostanza, e va enunciato con precisione. Due dei quattro ministri riconfermati furono, in successione, i titolari degli Esteri spagnoli negli anni in cui Moro teneva la Farnesina. López Bravo lo fu dal 29 ottobre 1969 al giugno 1973; López Rodó dal giugno 1973 al gennaio 1974. Ne discende che per la quasi totalità del primo mandato ministeriale di Moro e per l'inizio del secondo, l'interlocutore spagnolo istituzionale della Farnesina appartenne all'Opus Dei.</w:t>
      </w:r>
    </w:p>
    <w:p>
      <w:pPr>
        <w:spacing w:after="120" w:line="276"/>
        <w:jc w:val="both"/>
      </w:pPr>
      <w:r>
        <w:rPr>
          <w:rFonts w:ascii="Barlow Semi Condensed" w:cs="Barlow Semi Condensed" w:eastAsia="Barlow Semi Condensed" w:hAnsi="Barlow Semi Condensed"/>
          <w:sz w:val="24"/>
          <w:szCs w:val="24"/>
        </w:rPr>
        <w:t xml:space="preserve">Ciò che questo dato NON stabilisce, e va detto con la medesima chiarezza: non stabilisce che l'azione diplomatica spagnola fosse azione dell'Opus Dei; non stabilisce che Moro avesse rapporti con l'ente; non stabilisce alcun coordinamento. Stabilisce una comunanza di ambiente istituzionale e nulla di più. La fonte ufficiale dell'ente osserva anzi che i ministri appartenenti ebbero fra loro frequenti disaccordi, e che le loro carriere seguirono percorsi disparati, legandosi a personalità di profilo e affinità politica variati: la lettura monolitica non è sostenuta.</w:t>
      </w:r>
    </w:p>
    <w:p>
      <w:pPr>
        <w:pStyle w:val="Heading2"/>
        <w:spacing w:after="100" w:before="200"/>
      </w:pPr>
      <w:r>
        <w:rPr>
          <w:rFonts w:ascii="Barlow Semi Condensed" w:cs="Barlow Semi Condensed" w:eastAsia="Barlow Semi Condensed" w:hAnsi="Barlow Semi Condensed"/>
          <w:sz w:val="24"/>
          <w:szCs w:val="24"/>
        </w:rPr>
        <w:t xml:space="preserve">Capitolo terzo — Il caso MATESA e la formazione del governo che sedette di fronte a Moro</w:t>
      </w:r>
    </w:p>
    <w:p>
      <w:pPr>
        <w:spacing w:after="120" w:line="276"/>
        <w:jc w:val="both"/>
      </w:pPr>
      <w:r>
        <w:rPr>
          <w:rFonts w:ascii="Barlow Semi Condensed" w:cs="Barlow Semi Condensed" w:eastAsia="Barlow Semi Condensed" w:hAnsi="Barlow Semi Condensed"/>
          <w:sz w:val="24"/>
          <w:szCs w:val="24"/>
        </w:rPr>
        <w:t xml:space="preserve">Il caso MATESA è rilevante per questa ricerca non in sé, ma perché il rimpasto che ne conseguì determinò l'identità dell'interlocutore spagnolo della Farnesina. La cronologia va perciò esposta con esattezza.</w:t>
      </w:r>
    </w:p>
    <w:p>
      <w:pPr>
        <w:spacing w:after="120" w:line="276"/>
        <w:jc w:val="both"/>
      </w:pPr>
      <w:r>
        <w:rPr>
          <w:rFonts w:ascii="Barlow Semi Condensed" w:cs="Barlow Semi Condensed" w:eastAsia="Barlow Semi Condensed" w:hAnsi="Barlow Semi Condensed"/>
          <w:sz w:val="24"/>
          <w:szCs w:val="24"/>
        </w:rPr>
        <w:t xml:space="preserve">23 luglio 1969. Víctor Castro Sanmartín, direttore generale delle Dogane, denuncia MATESA — Maquinaria Textil del Norte de España, fondata nel 1956 dalle famiglie Vilá e Huarte, con centri decisionali a Barcellona e produzione a Pamplona — al Tribunale dei delitti monetari. Segue l'intervento sull'azienda e l'arresto del principale azionista Juan Vilá Reyes, che le fonti indicano come membro dell'Opus Dei, insieme ad altri azionisti e dirigenti. Una fonte data l'arresto al 28 luglio. Il debito verso il Banco de Crédito Industrial, banca pubblica diretta da José González Robatto, ammontava a diecimila milioni di pesetas, corrispondenti secondo la valutazione statunitense coeva a circa centoquarantatre milioni di dollari. Le esportazioni che avevano fondato la concessione dei crediti risultarono un montaggio.</w:t>
      </w:r>
    </w:p>
    <w:p>
      <w:pPr>
        <w:spacing w:after="120" w:line="276"/>
        <w:jc w:val="both"/>
      </w:pPr>
      <w:r>
        <w:rPr>
          <w:rFonts w:ascii="Barlow Semi Condensed" w:cs="Barlow Semi Condensed" w:eastAsia="Barlow Semi Condensed" w:hAnsi="Barlow Semi Condensed"/>
          <w:sz w:val="24"/>
          <w:szCs w:val="24"/>
        </w:rPr>
        <w:t xml:space="preserve">Il primo rilievo va registrato perché smonta la lettura monolitica. Il funzionario che denunciò il caso — il direttore generale delle Dogane — era anch'egli membro dell'Opus Dei, e la circostanza è riportata dalla fonte ufficiale dell'ente citando le memorie di Navarro Rubio. Un'organizzazione i cui membri si denunciano reciprocamente non agisce come soggetto unitario, e questo è un dato empirico contro l'inferenza collettiva.</w:t>
      </w:r>
    </w:p>
    <w:p>
      <w:pPr>
        <w:spacing w:after="120" w:line="276"/>
        <w:jc w:val="both"/>
      </w:pPr>
      <w:r>
        <w:rPr>
          <w:rFonts w:ascii="Barlow Semi Condensed" w:cs="Barlow Semi Condensed" w:eastAsia="Barlow Semi Condensed" w:hAnsi="Barlow Semi Condensed"/>
          <w:sz w:val="24"/>
          <w:szCs w:val="24"/>
        </w:rPr>
        <w:t xml:space="preserve">Il secondo rilievo riguarda l'uso politico. Le fonti convergono nel qualificare il caso come strumento impiegato dal settore falangista per screditare il settore tecnocratico. Fu decisivo il fattore mediatico: la legge sulla stampa promossa da Manuel Fraga consentì una libertà di trattazione senza precedenti nel franchismo, e il 13 agosto 1969 ABC pubblicò un editoriale che esigeva responsabilità di governo. Le Cortes crearono una commissione d'inchiesta che produsse conclusioni molto severe per tre ex ministri — Navarro Rubio, Espinosa San Martín, García-Moncó — e per un quarto ancora in carica.</w:t>
      </w:r>
    </w:p>
    <w:p>
      <w:pPr>
        <w:spacing w:after="120" w:line="276"/>
        <w:jc w:val="both"/>
      </w:pPr>
      <w:r>
        <w:rPr>
          <w:rFonts w:ascii="Barlow Semi Condensed" w:cs="Barlow Semi Condensed" w:eastAsia="Barlow Semi Condensed" w:hAnsi="Barlow Semi Condensed"/>
          <w:sz w:val="24"/>
          <w:szCs w:val="24"/>
        </w:rPr>
        <w:t xml:space="preserve">29 ottobre 1969: il rimpasto. Tredici ministri su diciotto sono sostituiti. Franco adotta una misura che le fonti definiscono salomonica, destituendo sia i tecnocrati colpiti — García-Moncó al Commercio, Espinosa San Martín alle Finanze — sia gli esponenti falangisti che avevano dato pubblicità al caso, fra i quali Fraga all'Informazione e José Solís al Movimento. Il governo che ne risulta è quello che la pubblicistica spagnola chiamò \</w:t>
      </w:r>
      <w:r>
        <w:rPr>
          <w:rFonts w:ascii="Barlow Semi Condensed" w:cs="Barlow Semi Condensed" w:eastAsia="Barlow Semi Condensed" w:hAnsi="Barlow Semi Condensed"/>
          <w:i/>
          <w:iCs/>
          <w:sz w:val="24"/>
          <w:szCs w:val="24"/>
        </w:rPr>
        <w:t xml:space="preserve">monocolor\</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Ed è in quel rimpasto che López Bravo passa dall'Industria agli Esteri. La data è il 29 ottobre 1969: dodici settimane dopo che Moro aveva assunto la Farnesina il 5 agosto. L'interlocutore spagnolo di Moro fu dunque nominato come esito di uno scandalo che aveva colpito i suoi correligionari. Questa è una risultanza di fatto e non un'inferenza.</w:t>
      </w:r>
    </w:p>
    <w:p>
      <w:pPr>
        <w:spacing w:after="120" w:line="276"/>
        <w:jc w:val="both"/>
      </w:pPr>
      <w:r>
        <w:rPr>
          <w:rFonts w:ascii="Barlow Semi Condensed" w:cs="Barlow Semi Condensed" w:eastAsia="Barlow Semi Condensed" w:hAnsi="Barlow Semi Condensed"/>
          <w:sz w:val="24"/>
          <w:szCs w:val="24"/>
        </w:rPr>
        <w:t xml:space="preserve">Gli esiti giudiziari. L'azienda fu sottoposta a sequestro e proseguì l'attività sotto amministratore giudiziario fino al marzo 1983, quando fu venduta all'asta per sessantaseimila pesetas e assegnata a una società di ex dipendenti, che ne nominò direttore generale il precedente proprietario. Il dato è registrato per completezza e non ha rilievo sul perimetro.</w:t>
      </w:r>
    </w:p>
    <w:p>
      <w:pPr>
        <w:pStyle w:val="Heading2"/>
        <w:spacing w:after="100" w:before="200"/>
      </w:pPr>
      <w:r>
        <w:rPr>
          <w:rFonts w:ascii="Barlow Semi Condensed" w:cs="Barlow Semi Condensed" w:eastAsia="Barlow Semi Condensed" w:hAnsi="Barlow Semi Condensed"/>
          <w:sz w:val="24"/>
          <w:szCs w:val="24"/>
        </w:rPr>
        <w:t xml:space="preserve">Capitolo quarto — Il documento CIA del 22 maggio 1970 e il rifiuto italiano</w:t>
      </w:r>
    </w:p>
    <w:p>
      <w:pPr>
        <w:spacing w:after="120" w:line="276"/>
        <w:jc w:val="both"/>
      </w:pPr>
      <w:r>
        <w:rPr>
          <w:rFonts w:ascii="Barlow Semi Condensed" w:cs="Barlow Semi Condensed" w:eastAsia="Barlow Semi Condensed" w:hAnsi="Barlow Semi Condensed"/>
          <w:sz w:val="24"/>
          <w:szCs w:val="24"/>
        </w:rPr>
        <w:t xml:space="preserve">È il ritrovamento principale di questa passata. Si tratta di una fonte primaria statunitense, originariamente classificata SEGRETO e desecretata, che nessuno dei due studi precedenti aveva prodotto.</w:t>
      </w:r>
    </w:p>
    <w:p>
      <w:pPr>
        <w:spacing w:after="120" w:line="276"/>
        <w:jc w:val="both"/>
      </w:pPr>
      <w:r>
        <w:rPr>
          <w:rFonts w:ascii="Barlow Semi Condensed" w:cs="Barlow Semi Condensed" w:eastAsia="Barlow Semi Condensed" w:hAnsi="Barlow Semi Condensed"/>
          <w:sz w:val="24"/>
          <w:szCs w:val="24"/>
        </w:rPr>
        <w:t xml:space="preserve">Identificazione. \</w:t>
      </w:r>
      <w:r>
        <w:rPr>
          <w:rFonts w:ascii="Barlow Semi Condensed" w:cs="Barlow Semi Condensed" w:eastAsia="Barlow Semi Condensed" w:hAnsi="Barlow Semi Condensed"/>
          <w:i/>
          <w:iCs/>
          <w:sz w:val="24"/>
          <w:szCs w:val="24"/>
        </w:rPr>
        <w:t xml:space="preserve">Weekly Summary — Special Report: Policies of the New Spanish Cabinet\</w:t>
      </w:r>
      <w:r>
        <w:rPr>
          <w:rFonts w:ascii="Barlow Semi Condensed" w:cs="Barlow Semi Condensed" w:eastAsia="Barlow Semi Condensed" w:hAnsi="Barlow Semi Condensed"/>
          <w:sz w:val="24"/>
          <w:szCs w:val="24"/>
        </w:rPr>
        <w:t xml:space="preserve">, Directorate of Intelligence, Central Intelligence Agency, numero 0371/70A, data di pubblicazione 22 maggio 1970, dodici pagine, classificazione originaria S. Protocollo di desecretazione CIA-RDP85T00875R001500020027-1, collezione General CIA Records, copia sanitizzata approvata per il rilascio il 4 giugno 2011.</w:t>
      </w:r>
    </w:p>
    <w:p>
      <w:pPr>
        <w:spacing w:after="120" w:line="276"/>
        <w:jc w:val="both"/>
      </w:pPr>
      <w:r>
        <w:rPr>
          <w:rFonts w:ascii="Barlow Semi Condensed" w:cs="Barlow Semi Condensed" w:eastAsia="Barlow Semi Condensed" w:hAnsi="Barlow Semi Condensed"/>
          <w:sz w:val="24"/>
          <w:szCs w:val="24"/>
        </w:rPr>
        <w:t xml:space="preserve">La valutazione sull'Opus Dei, nel testo dell'analista. Il rapporto afferma che nell'operare le proprie scelte Franco abbandonò la consueta politica di rappresentanza bilanciata di tutti i gruppi che lo sostenevano e assegnò il maggior numero di dicasteri a uomini d'affari ed esperti tecnici che erano membri dell'influente organizzazione laicale cattolica Opus Dei o associati a membri di essa. Il documento aggiunge che tali uomini, chiamati tecnocrati per il loro orientamento economico, ritenevano che l'evoluzione politica della Spagna richiedesse fondamenta socioeconomiche più solide, e che la liberalizzazione politica potesse attendere.</w:t>
      </w:r>
    </w:p>
    <w:p>
      <w:pPr>
        <w:spacing w:after="120" w:line="276"/>
        <w:jc w:val="both"/>
      </w:pPr>
      <w:r>
        <w:rPr>
          <w:rFonts w:ascii="Barlow Semi Condensed" w:cs="Barlow Semi Condensed" w:eastAsia="Barlow Semi Condensed" w:hAnsi="Barlow Semi Condensed"/>
          <w:sz w:val="24"/>
          <w:szCs w:val="24"/>
        </w:rPr>
        <w:t xml:space="preserve">Il rapporto identifica in López Rodó l'uomo di maggior rilievo del nuovo gabinetto e capo effettivo dell'indirizzo politico, con il sostegno del vicepresidente Carrero Blanco, e osserva che la sua formazione, l'esperienza, la competenza economica e politica e la sua appartenenza all'Opus Dei ne rafforzavano la posizione, ponendolo a capo di una squadra che comprendeva suoi precedenti subordinati nella pianificazione economica e alcuni colleghi nell'Opus Dei. Il documento attesta la valutazione dell'analista statunitense; non attesta l'esistenza di una direzione dell'ente sul governo, che è cosa diversa e che il rapporto non afferma.</w:t>
      </w:r>
    </w:p>
    <w:p>
      <w:pPr>
        <w:spacing w:after="120" w:line="276"/>
        <w:jc w:val="both"/>
      </w:pPr>
      <w:r>
        <w:rPr>
          <w:rFonts w:ascii="Barlow Semi Condensed" w:cs="Barlow Semi Condensed" w:eastAsia="Barlow Semi Condensed" w:hAnsi="Barlow Semi Condensed"/>
          <w:sz w:val="24"/>
          <w:szCs w:val="24"/>
        </w:rPr>
        <w:t xml:space="preserve">Il ritrovamento decisivo per la triangolazione italiana. Il rapporto descrive un progetto discusso fra Spagna e Francia nei primi mesi del 1970: un «patto» mediterraneo per la sicurezza del Mediterraneo occidentale, che avrebbe potuto non essere più di un accordo di consultazione, e che avrebbe compreso Francia, Spagna, Italia, Grecia e alcuni Paesi del Maghreb, o una loro combinazione. Secondo alcune fonti citate dal rapporto, esso avrebbe integrato gli sforzi NATO nel Mediterraneo; l'interesse spagnolo era motivato dalla preoccupazione per l'espansione dell'influenza sovietica nell'area e dall'opportunità di accrescere il proprio rango internazionale e migliorare le possibilità di ingresso nella NATO. López Bravo aveva informato il segretario di Stato Rogers, il mese precedente, di aver discusso il progetto con i francesi, precisando che la Spagna avrebbe agito con la piena comprensione e il sostegno degli Stati Uniti.</w:t>
      </w:r>
    </w:p>
    <w:p>
      <w:pPr>
        <w:spacing w:after="120" w:line="276"/>
        <w:jc w:val="both"/>
      </w:pPr>
      <w:r>
        <w:rPr>
          <w:rFonts w:ascii="Barlow Semi Condensed" w:cs="Barlow Semi Condensed" w:eastAsia="Barlow Semi Condensed" w:hAnsi="Barlow Semi Condensed"/>
          <w:sz w:val="24"/>
          <w:szCs w:val="24"/>
        </w:rPr>
        <w:t xml:space="preserve">E qui sta il dato: il rapporto conclude che l'idea era destinata a restare un progetto franco-spagnolo, poiché un funzionario italiano aveva già dichiarato che il suo Paese non sarebbe stato interessato.</w:t>
      </w:r>
    </w:p>
    <w:p>
      <w:pPr>
        <w:spacing w:after="120" w:line="276"/>
        <w:jc w:val="both"/>
      </w:pPr>
      <w:r>
        <w:rPr>
          <w:rFonts w:ascii="Barlow Semi Condensed" w:cs="Barlow Semi Condensed" w:eastAsia="Barlow Semi Condensed" w:hAnsi="Barlow Semi Condensed"/>
          <w:sz w:val="24"/>
          <w:szCs w:val="24"/>
        </w:rPr>
        <w:t xml:space="preserve">Questa è, allo stato di questa ricerca, l'unica interazione italo-spagnola documentata del quinquennio ministeriale di Moro. Ed è una interazione negativa: un rifiuto. Va enunciato con la massima precisione ciò che il documento attesta e ciò che non attesta. Attesta che nella primavera del 1970 un funzionario italiano oppose un rifiuto a un'iniziativa di sicurezza mediterranea promossa da Francia e Spagna. Non attesta che il rifiuto provenisse da Moro, né che egli ne fosse informato, né la ragione del rifiuto, né il livello del funzionario. La designazione impiegata dal rapporto è generica.</w:t>
      </w:r>
    </w:p>
    <w:p>
      <w:pPr>
        <w:spacing w:after="120" w:line="276"/>
        <w:jc w:val="both"/>
      </w:pPr>
      <w:r>
        <w:rPr>
          <w:rFonts w:ascii="Barlow Semi Condensed" w:cs="Barlow Semi Condensed" w:eastAsia="Barlow Semi Condensed" w:hAnsi="Barlow Semi Condensed"/>
          <w:sz w:val="24"/>
          <w:szCs w:val="24"/>
        </w:rPr>
        <w:t xml:space="preserve">Due elementi ulteriori del medesimo documento vanno registrati perché toccano dossier di Moro. Primo: il governo spagnolo aveva accettato in principio la proposta del Patto di Varsavia per una conferenza sulla sicurezza europea, sostenendola pubblicamente con la condizione della partecipazione di Stati Uniti e Canada e di una preparazione accurata, e sollecitando la fissazione di una data prima di settembre — posizione che il rapporto definisce più avanzata di quella, più cauta, della NATO. Il dato colloca la Spagna franchista fra i sostenitori precoci della CSCE, che è la sede in cui Moro avrebbe operato e che avrebbe firmato nel 1975. Secondo: l'accordo preferenziale con le Comunità europee era stato concluso nei termini nel marzo 1970, con approvazione finale attesa per giugno, in due fasi, la prima di sei anni, con riduzioni tariffarie asimmetriche a favore spagnolo sui manufatti; il documento conferma per fonte indipendente la datazione già acquisita nelle passate precedenti.</w:t>
      </w:r>
    </w:p>
    <w:p>
      <w:pPr>
        <w:spacing w:after="120" w:line="276"/>
        <w:jc w:val="both"/>
      </w:pPr>
      <w:r>
        <w:rPr>
          <w:rFonts w:ascii="Barlow Semi Condensed" w:cs="Barlow Semi Condensed" w:eastAsia="Barlow Semi Condensed" w:hAnsi="Barlow Semi Condensed"/>
          <w:sz w:val="24"/>
          <w:szCs w:val="24"/>
        </w:rPr>
        <w:t xml:space="preserve">Sul caso MATESA il rapporto aggiunge un elemento che nessuna fonte spagnola consultata forniva: poiché l'approvazione governativa era necessaria per ottenere i crediti e tecnocrati associati all'Opus Dei erano coinvolti nell'approvazione, gli oppositori dell'organizzazione cattolica avevano tentato di attribuirne la colpa ai ministri dell'Opus Dei. L'indagine era stata portata al livello del Tribunale supremo perché ministri o ex ministri potessero essere incriminati, e ciò implicava, secondo l'analista, che Franco avesse deciso di lasciare che il caso seguisse il proprio corso. Le due possibilità più discusse riguardavano il ministro degli Esteri López Bravo, già ministro dell'Industria, e il ministro dell'Educazione Villar Palasí, già consulente legale di MATESA.</w:t>
      </w:r>
    </w:p>
    <w:p>
      <w:pPr>
        <w:spacing w:after="120" w:line="276"/>
        <w:jc w:val="both"/>
      </w:pPr>
      <w:r>
        <w:rPr>
          <w:rFonts w:ascii="Barlow Semi Condensed" w:cs="Barlow Semi Condensed" w:eastAsia="Barlow Semi Condensed" w:hAnsi="Barlow Semi Condensed"/>
          <w:sz w:val="24"/>
          <w:szCs w:val="24"/>
        </w:rPr>
        <w:t xml:space="preserve">Ne discende una risultanza di rilievo per la triangolazione: nella primavera del 1970, mentre Moro teneva la Farnesina, l'interlocutore spagnolo era esposto al rischio di incriminazione in un procedimento portato davanti al Tribunale supremo. Il documento attesta il rischio e le voci; non attesta l'incriminazione, che non risulta avvenuta.</w:t>
      </w:r>
    </w:p>
    <w:p>
      <w:pPr>
        <w:pStyle w:val="Heading2"/>
        <w:spacing w:after="100" w:before="200"/>
      </w:pPr>
      <w:r>
        <w:rPr>
          <w:rFonts w:ascii="Barlow Semi Condensed" w:cs="Barlow Semi Condensed" w:eastAsia="Barlow Semi Condensed" w:hAnsi="Barlow Semi Condensed"/>
          <w:sz w:val="24"/>
          <w:szCs w:val="24"/>
        </w:rPr>
        <w:t xml:space="preserve">Capitolo quinto — Lo statuto canonico e il suo mutamento</w:t>
      </w:r>
    </w:p>
    <w:p>
      <w:pPr>
        <w:spacing w:after="120" w:line="276"/>
        <w:jc w:val="both"/>
      </w:pPr>
      <w:r>
        <w:rPr>
          <w:rFonts w:ascii="Barlow Semi Condensed" w:cs="Barlow Semi Condensed" w:eastAsia="Barlow Semi Condensed" w:hAnsi="Barlow Semi Condensed"/>
          <w:sz w:val="24"/>
          <w:szCs w:val="24"/>
        </w:rPr>
        <w:t xml:space="preserve">Il capitolo è breve perché il materiale è certo e circoscritto, e perché la sua rilevanza per il perimetro è indiretta.</w:t>
      </w:r>
    </w:p>
    <w:p>
      <w:pPr>
        <w:spacing w:after="120" w:line="276"/>
        <w:jc w:val="both"/>
      </w:pPr>
      <w:r>
        <w:rPr>
          <w:rFonts w:ascii="Barlow Semi Condensed" w:cs="Barlow Semi Condensed" w:eastAsia="Barlow Semi Condensed" w:hAnsi="Barlow Semi Condensed"/>
          <w:sz w:val="24"/>
          <w:szCs w:val="24"/>
        </w:rPr>
        <w:t xml:space="preserve">L'Opus Dei fu fondato nel 1928 e ricevette approvazione come istituto secolare nel 1947 e nel 1950. Il percorso verso una configurazione canonica diversa si concluse con la costituzione apostolica \</w:t>
      </w:r>
      <w:r>
        <w:rPr>
          <w:rFonts w:ascii="Barlow Semi Condensed" w:cs="Barlow Semi Condensed" w:eastAsia="Barlow Semi Condensed" w:hAnsi="Barlow Semi Condensed"/>
          <w:i/>
          <w:iCs/>
          <w:sz w:val="24"/>
          <w:szCs w:val="24"/>
        </w:rPr>
        <w:t xml:space="preserve">Ut sit\</w:t>
      </w:r>
      <w:r>
        <w:rPr>
          <w:rFonts w:ascii="Barlow Semi Condensed" w:cs="Barlow Semi Condensed" w:eastAsia="Barlow Semi Condensed" w:hAnsi="Barlow Semi Condensed"/>
          <w:sz w:val="24"/>
          <w:szCs w:val="24"/>
        </w:rPr>
        <w:t xml:space="preserve"> del 28 novembre 1982, che ne fece una prelatura personale, sotto il pontificato di Giovanni Paolo II.</w:t>
      </w:r>
    </w:p>
    <w:p>
      <w:pPr>
        <w:spacing w:after="120" w:line="276"/>
        <w:jc w:val="both"/>
      </w:pPr>
      <w:r>
        <w:rPr>
          <w:rFonts w:ascii="Barlow Semi Condensed" w:cs="Barlow Semi Condensed" w:eastAsia="Barlow Semi Condensed" w:hAnsi="Barlow Semi Condensed"/>
          <w:sz w:val="24"/>
          <w:szCs w:val="24"/>
        </w:rPr>
        <w:t xml:space="preserve">La rilevanza per questa ricerca è cronologica e va enunciata come limite. Il mutamento di statuto è del 1982, cioè quattro anni dopo la morte di Moro e otto dopo la fine del suo mandato ministeriale. Nel periodo 1969-1974 l'ente era istituto secolare, e ogni lettura che retrodati alla stagione moroana la configurazione di prelatura personale commette un anacronismo.</w:t>
      </w:r>
    </w:p>
    <w:p>
      <w:pPr>
        <w:spacing w:after="120" w:line="276"/>
        <w:jc w:val="both"/>
      </w:pPr>
      <w:r>
        <w:rPr>
          <w:rFonts w:ascii="Barlow Semi Condensed" w:cs="Barlow Semi Condensed" w:eastAsia="Barlow Semi Condensed" w:hAnsi="Barlow Semi Condensed"/>
          <w:sz w:val="24"/>
          <w:szCs w:val="24"/>
        </w:rPr>
        <w:t xml:space="preserve">Stato Zero da registrare. Non è stato reperito, in questa ricognizione, alcun atto che documenti una posizione del governo italiano o del Ministero degli Affari Esteri italiano sullo statuto canonico dell'ente, in alcun momento del periodo. La materia, del resto, non apparteneva alla competenza della Farnesina ma ai rapporti fra Santa Sede e ordinamento canonico. La sede presso cui un eventuale accertamento andrebbe condotto è l'Archivio della Segreteria di Stato vaticana, sezione Rapporti con gli Stati, la cui documentazione per il pontificato di Paolo VI non risulta aperta agli studiosi.</w:t>
      </w:r>
    </w:p>
    <w:p>
      <w:pPr>
        <w:pStyle w:val="Heading2"/>
        <w:spacing w:after="100" w:before="200"/>
      </w:pPr>
      <w:r>
        <w:rPr>
          <w:rFonts w:ascii="Barlow Semi Condensed" w:cs="Barlow Semi Condensed" w:eastAsia="Barlow Semi Condensed" w:hAnsi="Barlow Semi Condensed"/>
          <w:sz w:val="24"/>
          <w:szCs w:val="24"/>
        </w:rPr>
        <w:t xml:space="preserve">Capitolo sesto — La presenza in Italia: che cosa è accertato e che cosa non lo è</w:t>
      </w:r>
    </w:p>
    <w:p>
      <w:pPr>
        <w:spacing w:after="120" w:line="276"/>
        <w:jc w:val="both"/>
      </w:pPr>
      <w:r>
        <w:rPr>
          <w:rFonts w:ascii="Barlow Semi Condensed" w:cs="Barlow Semi Condensed" w:eastAsia="Barlow Semi Condensed" w:hAnsi="Barlow Semi Condensed"/>
          <w:sz w:val="24"/>
          <w:szCs w:val="24"/>
        </w:rPr>
        <w:t xml:space="preserve">Il capitolo è breve, e la sua brevità è essa stessa la risultanza principale.</w:t>
      </w:r>
    </w:p>
    <w:p>
      <w:pPr>
        <w:spacing w:after="120" w:line="276"/>
        <w:jc w:val="both"/>
      </w:pPr>
      <w:r>
        <w:rPr>
          <w:rFonts w:ascii="Barlow Semi Condensed" w:cs="Barlow Semi Condensed" w:eastAsia="Barlow Semi Condensed" w:hAnsi="Barlow Semi Condensed"/>
          <w:sz w:val="24"/>
          <w:szCs w:val="24"/>
        </w:rPr>
        <w:t xml:space="preserve">È accertato, e non controverso, che il fondatore si stabilì a Roma nel 1946, che la sede centrale dell'ente è a Roma, e che nel corso dei decenni successivi vi sorsero istituzioni collegate, fra le quali un'università con facoltà medica.</w:t>
      </w:r>
    </w:p>
    <w:p>
      <w:pPr>
        <w:spacing w:after="120" w:line="276"/>
        <w:jc w:val="both"/>
      </w:pPr>
      <w:r>
        <w:rPr>
          <w:rFonts w:ascii="Barlow Semi Condensed" w:cs="Barlow Semi Condensed" w:eastAsia="Barlow Semi Condensed" w:hAnsi="Barlow Semi Condensed"/>
          <w:sz w:val="24"/>
          <w:szCs w:val="24"/>
        </w:rPr>
        <w:t xml:space="preserve">Non è accertato — e questo è il punto — alcun rapporto documentato fra l'ente e Aldo Moro, né in veste di ministro degli Esteri, né in alcuna altra veste. La ricerca condotta su questo specifico incrocio ha restituito esclusivamente letteratura generale su Moro e la Democrazia Cristiana: la bibliografia sull'antifascismo cristiano di Moro, i volumi dell'Edizione Nazionale delle sue opere, gli studi sulla sua interazione con Giovanni XXIII e con Paolo VI, la storiografia sulla «terza fase» e sulla democrazia bloccata. Nessuna di queste fonti menziona l'Opus Dei in relazione a Moro.</w:t>
      </w:r>
    </w:p>
    <w:p>
      <w:pPr>
        <w:spacing w:after="120" w:line="276"/>
        <w:jc w:val="both"/>
      </w:pPr>
      <w:r>
        <w:rPr>
          <w:rFonts w:ascii="Barlow Semi Condensed" w:cs="Barlow Semi Condensed" w:eastAsia="Barlow Semi Condensed" w:hAnsi="Barlow Semi Condensed"/>
          <w:sz w:val="24"/>
          <w:szCs w:val="24"/>
        </w:rPr>
        <w:t xml:space="preserve">Si registra pertanto uno Stato Zero pieno, ed è l'esito centrale di questa passata. Cercato, con interrogazioni dirette, qualunque atto, incontro, corrispondenza o posizione reciproca fra Aldo Moro e l'Opus Dei, o fra Moro e i ministri spagnoli appartenenti all'ente. Non reperito.</w:t>
      </w:r>
    </w:p>
    <w:p>
      <w:pPr>
        <w:spacing w:after="120" w:line="276"/>
        <w:jc w:val="both"/>
      </w:pPr>
      <w:r>
        <w:rPr>
          <w:rFonts w:ascii="Barlow Semi Condensed" w:cs="Barlow Semi Condensed" w:eastAsia="Barlow Semi Condensed" w:hAnsi="Barlow Semi Condensed"/>
          <w:sz w:val="24"/>
          <w:szCs w:val="24"/>
        </w:rPr>
        <w:t xml:space="preserve">Va enunciata la differenza fra le due letture possibili dell'esito, poiché confonderle sarebbe un errore grave. La prima: il rapporto non esiste. La seconda: il rapporto non è documentato dalle fonti accessibili. Questa ricerca sostiene la seconda e non la prima, per la ragione dichiarata al secondo studio: i fondi del gabinetto del ministro presso l'Archivio Storico Diplomatico non risultano di accesso verificato per il quinquennio, e l'archivio dell'ente non è pubblico. Un'assenza in fonti incomplete non è un'esclusione.</w:t>
      </w:r>
    </w:p>
    <w:p>
      <w:pPr>
        <w:spacing w:after="120" w:line="276"/>
        <w:jc w:val="both"/>
      </w:pPr>
      <w:r>
        <w:rPr>
          <w:rFonts w:ascii="Barlow Semi Condensed" w:cs="Barlow Semi Condensed" w:eastAsia="Barlow Semi Condensed" w:hAnsi="Barlow Semi Condensed"/>
          <w:sz w:val="24"/>
          <w:szCs w:val="24"/>
        </w:rPr>
        <w:t xml:space="preserve">Sulla pubblicistica si osserva quanto segue, e si osserva perché il silenzio sarebbe scorretto. Esiste una letteratura, in prevalenza polemica, che attribuisce all'ente ruoli nella politica italiana degli anni Settanta e Ottanta e connessioni con ambienti economico-finanziari. Questa ricognizione non ha reperito atti giudiziari, relazioni parlamentari o studi accademici peer-reviewed che documentino tali connessioni nel perimetro considerato. L'affermazione va pertanto qualificata come non sostenuta dalle fonti reperite, e la sua eventuale verifica richiederebbe accesso agli atti che essa stessa non cita.</w:t>
      </w:r>
    </w:p>
    <w:p>
      <w:pPr>
        <w:pStyle w:val="Heading2"/>
        <w:spacing w:after="100" w:before="200"/>
      </w:pPr>
      <w:r>
        <w:rPr>
          <w:rFonts w:ascii="Barlow Semi Condensed" w:cs="Barlow Semi Condensed" w:eastAsia="Barlow Semi Condensed" w:hAnsi="Barlow Semi Condensed"/>
          <w:sz w:val="24"/>
          <w:szCs w:val="24"/>
        </w:rPr>
        <w:t xml:space="preserve">Capitolo settimo — L'Opus Dei e l'europeismo spagnolo: la tesi storiografica e i suoi limiti</w:t>
      </w:r>
    </w:p>
    <w:p>
      <w:pPr>
        <w:spacing w:after="120" w:line="276"/>
        <w:jc w:val="both"/>
      </w:pPr>
      <w:r>
        <w:rPr>
          <w:rFonts w:ascii="Barlow Semi Condensed" w:cs="Barlow Semi Condensed" w:eastAsia="Barlow Semi Condensed" w:hAnsi="Barlow Semi Condensed"/>
          <w:sz w:val="24"/>
          <w:szCs w:val="24"/>
        </w:rPr>
        <w:t xml:space="preserve">Esiste una tesi storiografica che collega la tecnocrazia di provenienza opusdeiana all'apertura europeista della Spagna franchista, ed è sostenuta da fonte scientifica.</w:t>
      </w:r>
    </w:p>
    <w:p>
      <w:pPr>
        <w:spacing w:after="120" w:line="276"/>
        <w:jc w:val="both"/>
      </w:pPr>
      <w:r>
        <w:rPr>
          <w:rFonts w:ascii="Barlow Semi Condensed" w:cs="Barlow Semi Condensed" w:eastAsia="Barlow Semi Condensed" w:hAnsi="Barlow Semi Condensed"/>
          <w:sz w:val="24"/>
          <w:szCs w:val="24"/>
        </w:rPr>
        <w:t xml:space="preserve">La formulazione più precisa reperita è di Guido Levi, nello studio peer-reviewed già impiegato nelle passate precedenti: l'interesse della Spagna verso l'Europa si trasformò da vaga ipotesi futura in prospettiva politica concreta con l'ingresso nell'esecutivo di Madrid di diversi tecnocrati europeisti provenienti dall'Opus Dei, e ciò a cavallo fra gli anni Cinquanta e Sessanta. La medesima fonte registra che già sul finire degli anni Cinquanta molti esponenti del regime si erano convinti della necessità di integrare la Spagna nell'Europa comunitaria, opzione preferibile all'ingresso nell'EFTA, per garantire sviluppo economico.</w:t>
      </w:r>
    </w:p>
    <w:p>
      <w:pPr>
        <w:spacing w:after="120" w:line="276"/>
        <w:jc w:val="both"/>
      </w:pPr>
      <w:r>
        <w:rPr>
          <w:rFonts w:ascii="Barlow Semi Condensed" w:cs="Barlow Semi Condensed" w:eastAsia="Barlow Semi Condensed" w:hAnsi="Barlow Semi Condensed"/>
          <w:sz w:val="24"/>
          <w:szCs w:val="24"/>
        </w:rPr>
        <w:t xml:space="preserve">Il documento CIA del 1970 fornisce la conferma indipendente e la precisa, poiché registra che il nuovo gabinetto avrebbe posto l'accento su mutamenti di politica estera anziché di politica interna, e in particolare sul miglioramento dei legami con l'Europa. E aggiunge l'osservazione che l'analista qualifica come ironica: quell'obiettivo importante era improbabile che venisse raggiunto fino a quando non fosse avvenuta la liberalizzazione politica.</w:t>
      </w:r>
    </w:p>
    <w:p>
      <w:pPr>
        <w:spacing w:after="120" w:line="276"/>
        <w:jc w:val="both"/>
      </w:pPr>
      <w:r>
        <w:rPr>
          <w:rFonts w:ascii="Barlow Semi Condensed" w:cs="Barlow Semi Condensed" w:eastAsia="Barlow Semi Condensed" w:hAnsi="Barlow Semi Condensed"/>
          <w:sz w:val="24"/>
          <w:szCs w:val="24"/>
        </w:rPr>
        <w:t xml:space="preserve">Qui si colloca il nesso strutturale con il primo studio, ed è di ordine sistemico e non personale. Il quadro giuridico che sbarrava alla Spagna la via comunitaria era il Rapporto Birkelbach del dicembre 1961, il quale stabiliva che la garanzia dell'esistenza di una forma di Stato democratico costituisce condizione per l'adesione. Quel rapporto fu approvato all'unanimità da una Commissione politica del Parlamento europeo presieduta dall'italiano Emilio Battista, fra i cui membri figuravano Gaetano Martino e Natale Santero. Ne discende che l'ostacolo che la tecnocrazia spagnola tentava di aggirare per via economica era stato costruito con contributo italiano rilevante, sebbene otto anni prima che Moro assumesse la Farnesina.</w:t>
      </w:r>
    </w:p>
    <w:p>
      <w:pPr>
        <w:spacing w:after="120" w:line="276"/>
        <w:jc w:val="both"/>
      </w:pPr>
      <w:r>
        <w:rPr>
          <w:rFonts w:ascii="Barlow Semi Condensed" w:cs="Barlow Semi Condensed" w:eastAsia="Barlow Semi Condensed" w:hAnsi="Barlow Semi Condensed"/>
          <w:sz w:val="24"/>
          <w:szCs w:val="24"/>
        </w:rPr>
        <w:t xml:space="preserve">Ciò che questo NON stabilisce. Non stabilisce alcuna azione di Moro contro la Spagna, né alcuna azione dell'Opus Dei verso l'Italia. Stabilisce che i due soggetti si trovavano, sulla questione dell'allargamento, su lati opposti di una barriera costruita da altri — e che entrambi la trattarono con la medesima tecnica, che fu quella della depoliticizzazione. L'accordo preferenziale del 29 giugno 1970 fu infatti, secondo la fonte scientifica, lo strumento che consentì di evitare le questioni politiche di difficile soluzione con reciproca soddisfazione delle parti. Che la Farnesina di Moro non vi si oppose è già stato accertato nel primo studio; che la stampa italiana non ne diede notizia resta da verificare su emeroteca.</w:t>
      </w:r>
    </w:p>
    <w:p>
      <w:pPr>
        <w:pStyle w:val="Heading2"/>
        <w:spacing w:after="100" w:before="200"/>
      </w:pPr>
      <w:r>
        <w:rPr>
          <w:rFonts w:ascii="Barlow Semi Condensed" w:cs="Barlow Semi Condensed" w:eastAsia="Barlow Semi Condensed" w:hAnsi="Barlow Semi Condensed"/>
          <w:sz w:val="24"/>
          <w:szCs w:val="24"/>
        </w:rPr>
        <w:t xml:space="preserve">Capitolo ottavo — La sequenza spagnola 1969-1975 e la posizione italiana, ricostruita per date</w:t>
      </w:r>
    </w:p>
    <w:p>
      <w:pPr>
        <w:spacing w:after="120" w:line="276"/>
        <w:jc w:val="both"/>
      </w:pPr>
      <w:r>
        <w:rPr>
          <w:rFonts w:ascii="Barlow Semi Condensed" w:cs="Barlow Semi Condensed" w:eastAsia="Barlow Semi Condensed" w:hAnsi="Barlow Semi Condensed"/>
          <w:sz w:val="24"/>
          <w:szCs w:val="24"/>
        </w:rPr>
        <w:t xml:space="preserve">Si espone qui la sequenza completa, poiché essa costituisce lo scheletro cronologico su cui poggiano le triangolazioni del Capitolo undicesimo, e poiché due delle sue voci sono state corrette nelle passate precedenti.</w:t>
      </w:r>
    </w:p>
    <w:p>
      <w:pPr>
        <w:spacing w:after="120" w:line="276"/>
        <w:jc w:val="both"/>
      </w:pPr>
      <w:r>
        <w:rPr>
          <w:rFonts w:ascii="Barlow Semi Condensed" w:cs="Barlow Semi Condensed" w:eastAsia="Barlow Semi Condensed" w:hAnsi="Barlow Semi Condensed"/>
          <w:sz w:val="24"/>
          <w:szCs w:val="24"/>
        </w:rPr>
        <w:t xml:space="preserve">23 luglio 1969, scoppio del caso MATESA. 5 agosto 1969, Moro assume la Farnesina nel secondo governo Rumor. 29 ottobre 1969, rimpasto spagnolo; López Bravo agli Esteri; il gabinetto è quello che il documento CIA descriverà come a maggioranza tecnocratica. 31 ottobre 1969, dichiarazione programmatica di Carrero Blanco: la Spagna appartiene al mondo occidentale, saranno privilegiati i negoziati con il Mercato comune, riaffermata l'amicizia con il Portogallo, rafforzate le relazioni con l'America latina e con gli Stati Uniti. Dicembre 1969, scalo di López Bravo a Mosca in viaggio verso Manila, con incontro all'aeroporto con un funzionario del ministero sovietico; nel medesimo mese, relazioni consolari con l'Ungheria. Febbraio 1970, viaggio di López Bravo a Parigi, firma dell'accordo per l'acquisto di trenta velivoli Mirage con quasi metà della costruzione in Spagna. Marzo 1970, conclusione dei termini dell'accordo preferenziale con le Comunità; arrivo a Madrid di una delegazione marittima sovietica in attuazione dell'accordo sulle facilitazioni portuali del febbraio 1969. Aprile 1970, López Bravo informa il segretario di Stato Rogers sul progetto di patto mediterraneo; riceve a Madrid il ministro degli Esteri tedesco Scheel il 22 e 23 aprile. Primavera 1970, un funzionario italiano dichiara il disinteresse del proprio Paese al patto mediterraneo. 22 maggio 1970, data del rapporto CIA. 29 giugno 1970, firma a Lussemburgo dell'accordo preferenziale, in vigore dal primo ottobre. Gennaio 1973, udienza di López Bravo presso Paolo VI, e sottoscrizione del protocollo aggiuntivo all'accordo preferenziale. Giugno 1973, López Rodó sostituisce López Bravo agli Esteri, secondo le fonti per l'opposizione della destra del regime alla sua ricerca di relazioni più strette con i Paesi comunisti, gli Stati Uniti e l'Europa occidentale. 7 luglio 1973, Moro torna alla Farnesina nel quarto governo Rumor. 20 dicembre 1973, attentato contro Carrero Blanco. Gennaio 1974, Cortina Mauri sostituisce López Rodó. 24 febbraio 1974, caso Añoveros. Marzo 1974, esecuzione di Salvador Puig Antich. 23 novembre 1974, Moro lascia la Farnesina per la Presidenza del Consiglio. 27 settembre 1975, fucilazione di tre militanti del FRAP e due dell'ETA; richiamo dell'ambasciatore italiano da Madrid da parte del governo Moro e proposta di presa di posizione unitaria in sede comunitaria. 20 novembre 1975, morte di Franco.</w:t>
      </w:r>
    </w:p>
    <w:p>
      <w:pPr>
        <w:spacing w:after="120" w:line="276"/>
        <w:jc w:val="both"/>
      </w:pPr>
      <w:r>
        <w:rPr>
          <w:rFonts w:ascii="Barlow Semi Condensed" w:cs="Barlow Semi Condensed" w:eastAsia="Barlow Semi Condensed" w:hAnsi="Barlow Semi Condensed"/>
          <w:sz w:val="24"/>
          <w:szCs w:val="24"/>
        </w:rPr>
        <w:t xml:space="preserve">La lettura della sequenza va enunciata con cautela. Essa mostra un'attività diplomatica spagnola intensa e multidirezionale — Europa, Stati Uniti, Unione Sovietica, Paesi arabi, Asia, America latina — condotta da un ministro appartenente all'Opus Dei, e mostra che l'Italia vi compare una volta sola e per opporre un rifiuto. Ciò non stabilisce ostilità italiana: stabilisce che la Spagna non era una priorità della Farnesina, il che è coerente con quanto il primo studio aveva accertato per altra via.</w:t>
      </w:r>
    </w:p>
    <w:p>
      <w:pPr>
        <w:pStyle w:val="Heading2"/>
        <w:spacing w:after="100" w:before="200"/>
      </w:pPr>
      <w:r>
        <w:rPr>
          <w:rFonts w:ascii="Barlow Semi Condensed" w:cs="Barlow Semi Condensed" w:eastAsia="Barlow Semi Condensed" w:hAnsi="Barlow Semi Condensed"/>
          <w:sz w:val="24"/>
          <w:szCs w:val="24"/>
        </w:rPr>
        <w:t xml:space="preserve">Capitolo nono — Gli Stati Zero di questa passata</w:t>
      </w:r>
    </w:p>
    <w:p>
      <w:pPr>
        <w:spacing w:after="120" w:line="276"/>
        <w:jc w:val="both"/>
      </w:pPr>
      <w:r>
        <w:rPr>
          <w:rFonts w:ascii="Barlow Semi Condensed" w:cs="Barlow Semi Condensed" w:eastAsia="Barlow Semi Condensed" w:hAnsi="Barlow Semi Condensed"/>
          <w:sz w:val="24"/>
          <w:szCs w:val="24"/>
        </w:rPr>
        <w:t xml:space="preserve">Si raccolgono qui, in un solo luogo, gli esiti negativi. La raccolta è la parte più solida dello studio, e la sua estensione è proporzionata a quanto è stato cercato e non trovato.</w:t>
      </w:r>
    </w:p>
    <w:p>
      <w:pPr>
        <w:spacing w:after="120" w:line="276"/>
        <w:jc w:val="both"/>
      </w:pPr>
      <w:r>
        <w:rPr>
          <w:rFonts w:ascii="Barlow Semi Condensed" w:cs="Barlow Semi Condensed" w:eastAsia="Barlow Semi Condensed" w:hAnsi="Barlow Semi Condensed"/>
          <w:sz w:val="24"/>
          <w:szCs w:val="24"/>
        </w:rPr>
        <w:t xml:space="preserve">Primo Stato Zero, ed è il centrale. Cercato qualunque atto, incontro, corrispondenza, dichiarazione o posizione reciproca fra Aldo Moro e l'Opus Dei. Non reperito. Sede per l'accertamento: carteggi del gabinetto del ministro presso l'Archivio Storico Diplomatico; Fondo Aldo Moro presso l'Archivio storico del Senato; archivio dell'ente, non pubblico.</w:t>
      </w:r>
    </w:p>
    <w:p>
      <w:pPr>
        <w:spacing w:after="120" w:line="276"/>
        <w:jc w:val="both"/>
      </w:pPr>
      <w:r>
        <w:rPr>
          <w:rFonts w:ascii="Barlow Semi Condensed" w:cs="Barlow Semi Condensed" w:eastAsia="Barlow Semi Condensed" w:hAnsi="Barlow Semi Condensed"/>
          <w:sz w:val="24"/>
          <w:szCs w:val="24"/>
        </w:rPr>
        <w:t xml:space="preserve">Secondo. Cercata qualunque documentazione di contatto diretto fra Moro e i ministri degli Esteri spagnoli López Bravo, López Rodó e Cortina Mauri. Non reperita. Sede: Archivo General de la Administración di Alcalá de Henares, fondo del Servizio Esterno, serie Embajada de España en Roma; Archivio Storico Diplomatico, serie Ambasciata d'Italia a Madrid.</w:t>
      </w:r>
    </w:p>
    <w:p>
      <w:pPr>
        <w:spacing w:after="120" w:line="276"/>
        <w:jc w:val="both"/>
      </w:pPr>
      <w:r>
        <w:rPr>
          <w:rFonts w:ascii="Barlow Semi Condensed" w:cs="Barlow Semi Condensed" w:eastAsia="Barlow Semi Condensed" w:hAnsi="Barlow Semi Condensed"/>
          <w:sz w:val="24"/>
          <w:szCs w:val="24"/>
        </w:rPr>
        <w:t xml:space="preserve">Terzo. Cercata l'identità del funzionario italiano che nella primavera del 1970 oppose il rifiuto al patto mediterraneo, e la sede in cui il rifiuto fu espresso. Non reperite. Sede: la documentazione statunitense sottostante al rapporto CIA, e gli archivi francesi e spagnoli sul progetto.</w:t>
      </w:r>
    </w:p>
    <w:p>
      <w:pPr>
        <w:spacing w:after="120" w:line="276"/>
        <w:jc w:val="both"/>
      </w:pPr>
      <w:r>
        <w:rPr>
          <w:rFonts w:ascii="Barlow Semi Condensed" w:cs="Barlow Semi Condensed" w:eastAsia="Barlow Semi Condensed" w:hAnsi="Barlow Semi Condensed"/>
          <w:sz w:val="24"/>
          <w:szCs w:val="24"/>
        </w:rPr>
        <w:t xml:space="preserve">Quarto. Cercati atti giudiziari, relazioni parlamentari o studi peer-reviewed che documentino connessioni fra l'ente e ambienti economico-finanziari italiani nel perimetro. Non reperiti. Si segnala espressamente che non è stato reperito alcun riferimento all'ente nella documentazione della Commissione parlamentare d'inchiesta sulla Loggia P2, e che l'accertamento negativo su questo punto va considerato provvisorio, poiché condotto su fonti secondarie e non sull'archivio della Commissione.</w:t>
      </w:r>
    </w:p>
    <w:p>
      <w:pPr>
        <w:spacing w:after="120" w:line="276"/>
        <w:jc w:val="both"/>
      </w:pPr>
      <w:r>
        <w:rPr>
          <w:rFonts w:ascii="Barlow Semi Condensed" w:cs="Barlow Semi Condensed" w:eastAsia="Barlow Semi Condensed" w:hAnsi="Barlow Semi Condensed"/>
          <w:sz w:val="24"/>
          <w:szCs w:val="24"/>
        </w:rPr>
        <w:t xml:space="preserve">Quinto. Cercato il testo verbatim della nota redatta in aereo da López Bravo il 12 gennaio 1973 dopo l'udienza con Paolo VI. Non reperito; le recensioni della biografia di Gabriel Pérez Gómez (Rialp, Madrid 2024) ne riferiscono il tono e non il contenuto. Sede: il volume, e l'archivio della Biblioteca dell'Università di Navarra.</w:t>
      </w:r>
    </w:p>
    <w:p>
      <w:pPr>
        <w:spacing w:after="120" w:line="276"/>
        <w:jc w:val="both"/>
      </w:pPr>
      <w:r>
        <w:rPr>
          <w:rFonts w:ascii="Barlow Semi Condensed" w:cs="Barlow Semi Condensed" w:eastAsia="Barlow Semi Condensed" w:hAnsi="Barlow Semi Condensed"/>
          <w:sz w:val="24"/>
          <w:szCs w:val="24"/>
        </w:rPr>
        <w:t xml:space="preserve">Sesto. Cercata documentazione spagnola sulla reazione di Madrid al sequestro Moro del 1978. Non reperita, come già nel secondo studio.</w:t>
      </w:r>
    </w:p>
    <w:p>
      <w:pPr>
        <w:spacing w:after="120" w:line="276"/>
        <w:jc w:val="both"/>
      </w:pPr>
      <w:r>
        <w:rPr>
          <w:rFonts w:ascii="Barlow Semi Condensed" w:cs="Barlow Semi Condensed" w:eastAsia="Barlow Semi Condensed" w:hAnsi="Barlow Semi Condensed"/>
          <w:sz w:val="24"/>
          <w:szCs w:val="24"/>
        </w:rPr>
        <w:t xml:space="preserve">Settimo. Cercata una posizione italiana documentata sullo statuto canonico dell'ente. Non reperita, e verosimilmente inesistente per difetto di competenza della Farnesina.</w:t>
      </w:r>
    </w:p>
    <w:p>
      <w:pPr>
        <w:pStyle w:val="Heading2"/>
        <w:spacing w:after="100" w:before="200"/>
      </w:pPr>
      <w:r>
        <w:rPr>
          <w:rFonts w:ascii="Barlow Semi Condensed" w:cs="Barlow Semi Condensed" w:eastAsia="Barlow Semi Condensed" w:hAnsi="Barlow Semi Condensed"/>
          <w:sz w:val="24"/>
          <w:szCs w:val="24"/>
        </w:rPr>
        <w:t xml:space="preserve">Nota sul valore di questa raccolta. Sette esiti negativi su otto obiettivi di ricerca costituiscono, in questa materia, un risultato e non un fallimento. Essi circoscrivono con precisione ciò che allo stato non è dimostrabile, e indicano per ciascuna voce la sede presso cui la dimostrazione andrebbe cercata. Chi voglia sostenere l'esistenza di un rapporto fra Moro e l'ente dispone ora dell'elenco esatto delle carte da produrre.</w:t>
      </w:r>
    </w:p>
    <w:p>
      <w:pPr>
        <w:pStyle w:val="Heading2"/>
        <w:spacing w:after="100" w:before="200"/>
      </w:pPr>
      <w:r>
        <w:rPr>
          <w:rFonts w:ascii="Barlow Semi Condensed" w:cs="Barlow Semi Condensed" w:eastAsia="Barlow Semi Condensed" w:hAnsi="Barlow Semi Condensed"/>
          <w:sz w:val="24"/>
          <w:szCs w:val="24"/>
        </w:rPr>
        <w:t xml:space="preserve">Capitolo decimo — Il triangolo Spagna, Santa Sede, Opus Dei</w:t>
      </w:r>
    </w:p>
    <w:p>
      <w:pPr>
        <w:spacing w:after="120" w:line="276"/>
        <w:jc w:val="both"/>
      </w:pPr>
      <w:r>
        <w:rPr>
          <w:rFonts w:ascii="Barlow Semi Condensed" w:cs="Barlow Semi Condensed" w:eastAsia="Barlow Semi Condensed" w:hAnsi="Barlow Semi Condensed"/>
          <w:sz w:val="24"/>
          <w:szCs w:val="24"/>
        </w:rPr>
        <w:t xml:space="preserve">Il lato meglio documentato dell'intera ricerca non coinvolge Moro, e va esposto per quello che è.</w:t>
      </w:r>
    </w:p>
    <w:p>
      <w:pPr>
        <w:spacing w:after="120" w:line="276"/>
        <w:jc w:val="both"/>
      </w:pPr>
      <w:r>
        <w:rPr>
          <w:rFonts w:ascii="Barlow Semi Condensed" w:cs="Barlow Semi Condensed" w:eastAsia="Barlow Semi Condensed" w:hAnsi="Barlow Semi Condensed"/>
          <w:sz w:val="24"/>
          <w:szCs w:val="24"/>
        </w:rPr>
        <w:t xml:space="preserve">L'udienza del 12 gennaio 1973 vede il ministro degli Esteri spagnolo, membro dell'Opus Dei, recarsi da Paolo VI portando una lettera di Franco, nel contesto di uno scambio di corrispondenza sui rapporti fra Chiesa e Stato, fra Stato e Conferenza episcopale, sul rinnovo del concordato e sulla questione delle nomine episcopali. Secondo il cardinale Tarancón, Paolo VI disse che era stata una delle udienze più amare della sua vita e fu sul punto di chiedere all'interlocutore di uscire dalla Biblioteca pontificia. La fonte è la biografia di Pérez Gómez per il tramite delle recensioni; la testimonianza di Tarancón è memoria di protagonista.</w:t>
      </w:r>
    </w:p>
    <w:p>
      <w:pPr>
        <w:spacing w:after="120" w:line="276"/>
        <w:jc w:val="both"/>
      </w:pPr>
      <w:r>
        <w:rPr>
          <w:rFonts w:ascii="Barlow Semi Condensed" w:cs="Barlow Semi Condensed" w:eastAsia="Barlow Semi Condensed" w:hAnsi="Barlow Semi Condensed"/>
          <w:sz w:val="24"/>
          <w:szCs w:val="24"/>
        </w:rPr>
        <w:t xml:space="preserve">Il rilievo analitico è questo, e va enunciato con esattezza. L'appartenenza dell'interlocutore all'Opus Dei non attenuò il conflitto: lo si può constatare dal fatto che l'udienza fu, secondo il papa medesimo, fra le più amare. Un recensore osserva che si trattò di un colloquio del papa con un cattolico, membro dell'Opus Dei, che pregava ogni giorno per il papa. Ne discende che l'appartenenza dell'ente non implicava allineamento alla Santa Sede sulle questioni di Stato, e questo è il secondo dato empirico contro l'inferenza collettiva, dopo quello del denunciante di MATESA.</w:t>
      </w:r>
    </w:p>
    <w:p>
      <w:pPr>
        <w:spacing w:after="120" w:line="276"/>
        <w:jc w:val="both"/>
      </w:pPr>
      <w:r>
        <w:rPr>
          <w:rFonts w:ascii="Barlow Semi Condensed" w:cs="Barlow Semi Condensed" w:eastAsia="Barlow Semi Condensed" w:hAnsi="Barlow Semi Condensed"/>
          <w:sz w:val="24"/>
          <w:szCs w:val="24"/>
        </w:rPr>
        <w:t xml:space="preserve">Il contesto strutturale. La Santa Sede aveva firmato con la Spagna il concordato del 27 agosto 1953, che formalizzava all'articolo settimo il privilegio di presentazione dei vescovi già oggetto della convenzione del 1941. Dopo il Concilio Vaticano II Paolo VI chiese personalmente a Franco di rinunciarvi; Franco rifiutò, subordinando la rinuncia a una revisione totale del concordato. La rinuncia venne da Juan Carlos I, pochi mesi dopo l'incoronazione.</w:t>
      </w:r>
    </w:p>
    <w:p>
      <w:pPr>
        <w:spacing w:after="120" w:line="276"/>
        <w:jc w:val="both"/>
      </w:pPr>
      <w:r>
        <w:rPr>
          <w:rFonts w:ascii="Barlow Semi Condensed" w:cs="Barlow Semi Condensed" w:eastAsia="Barlow Semi Condensed" w:hAnsi="Barlow Semi Condensed"/>
          <w:sz w:val="24"/>
          <w:szCs w:val="24"/>
        </w:rPr>
        <w:t xml:space="preserve">Il caso Añoveros del 24 febbraio 1974 vide il governo Arias Navarro predisporre l'espulsione del vescovo di Bilbao e la Santa Sede sostenerlo con la controminaccia riferita dalle fonti. Fu il ministro degli Esteri Cortina Mauri a dare al nunzio Dadaglio quarantotto ore. Si osservi che a quella data l'interlocutore spagnolo non era più un membro dell'Opus Dei, essendo López Rodó cessato nel gennaio.</w:t>
      </w:r>
    </w:p>
    <w:p>
      <w:pPr>
        <w:spacing w:after="120" w:line="276"/>
        <w:jc w:val="both"/>
      </w:pPr>
      <w:r>
        <w:rPr>
          <w:rFonts w:ascii="Barlow Semi Condensed" w:cs="Barlow Semi Condensed" w:eastAsia="Barlow Semi Condensed" w:hAnsi="Barlow Semi Condensed"/>
          <w:sz w:val="24"/>
          <w:szCs w:val="24"/>
        </w:rPr>
        <w:t xml:space="preserve">Ciò che il triangolo NON stabilisce. Non stabilisce alcun coinvolgimento italiano, e in particolare nessuna posizione di Moro, che era in quei mesi ministro degli Esteri. Su questo è stato registrato uno Stato Zero al Capitolo nono. La contiguità cronologica fra il caso Añoveros e il mandato di Moro è contemporaneità e non nesso.</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con il loro grado e con ciò che non stabiliscono</w:t>
      </w:r>
    </w:p>
    <w:p>
      <w:pPr>
        <w:spacing w:after="120" w:line="276"/>
        <w:jc w:val="both"/>
      </w:pPr>
      <w:r>
        <w:rPr>
          <w:rFonts w:ascii="Barlow Semi Condensed" w:cs="Barlow Semi Condensed" w:eastAsia="Barlow Semi Condensed" w:hAnsi="Barlow Semi Condensed"/>
          <w:sz w:val="24"/>
          <w:szCs w:val="24"/>
        </w:rPr>
        <w:t xml:space="preserve">Si espongono le triangolazioni reperite. Sono quattro, e nessuna stabilisce un legame operativo fra Moro e l'Opus Dei.</w:t>
      </w:r>
    </w:p>
    <w:p>
      <w:pPr>
        <w:spacing w:after="120" w:line="276"/>
        <w:jc w:val="both"/>
      </w:pPr>
      <w:r>
        <w:rPr>
          <w:rFonts w:ascii="Barlow Semi Condensed" w:cs="Barlow Semi Condensed" w:eastAsia="Barlow Semi Condensed" w:hAnsi="Barlow Semi Condensed"/>
          <w:sz w:val="24"/>
          <w:szCs w:val="24"/>
        </w:rPr>
        <w:t xml:space="preserve">Prima triangolazione: il rifiuto del patto mediterraneo, primavera 1970. Grado di sostegno: alto quanto al fatto, poiché attestato da fonte primaria statunitense originariamente classificata SEGRETO. Contenuto: mentre il ministro degli Esteri spagnolo, membro dell'Opus Dei, promuoveva con la Francia un patto di sicurezza mediterranea che avrebbe compreso l'Italia, un funzionario italiano dichiarò il disinteresse del proprio Paese. Ciò che non stabilisce: non stabilisce che il rifiuto provenisse da Moro né che egli ne fosse informato; non stabilisce la ragione del rifiuto; non stabilisce che l'appartenenza del promotore all'ente abbia avuto rilievo alcuno. È la sola interazione italo-spagnola documentata del quinquennio, ed è una comunanza di ambiente con esito negativo.</w:t>
      </w:r>
    </w:p>
    <w:p>
      <w:pPr>
        <w:spacing w:after="120" w:line="276"/>
        <w:jc w:val="both"/>
      </w:pPr>
      <w:r>
        <w:rPr>
          <w:rFonts w:ascii="Barlow Semi Condensed" w:cs="Barlow Semi Condensed" w:eastAsia="Barlow Semi Condensed" w:hAnsi="Barlow Semi Condensed"/>
          <w:sz w:val="24"/>
          <w:szCs w:val="24"/>
        </w:rPr>
        <w:t xml:space="preserve">Seconda triangolazione: la barriera democratica e la sua origine italiana. Grado: alto, su fonte scientifica peer-reviewed. Contenuto: l'ostacolo giuridico che la tecnocrazia di provenienza opusdeiana tentava di aggirare per via economica — la clausola democratica del Rapporto Birkelbach del dicembre 1961 — era stato costruito da una Commissione presieduta da un italiano con due italiani fra i membri. Ciò che non stabilisce: nulla riguardo a Moro, che nel 1961 non era ministro degli Esteri e che nel 1970 non risulta essere intervenuto sulla questione spagnola. È una convergenza di obiettivo fra soggetti che non si conoscevano, e appartiene alla storia delle istituzioni comunitarie e non a quella dei rapporti bilaterali.</w:t>
      </w:r>
    </w:p>
    <w:p>
      <w:pPr>
        <w:spacing w:after="120" w:line="276"/>
        <w:jc w:val="both"/>
      </w:pPr>
      <w:r>
        <w:rPr>
          <w:rFonts w:ascii="Barlow Semi Condensed" w:cs="Barlow Semi Condensed" w:eastAsia="Barlow Semi Condensed" w:hAnsi="Barlow Semi Condensed"/>
          <w:sz w:val="24"/>
          <w:szCs w:val="24"/>
        </w:rPr>
        <w:t xml:space="preserve">Terza triangolazione: la CSCE e la posizione spagnola precoce. Grado: alto quanto al fatto, su fonte primaria CIA. Contenuto: il governo spagnolo a maggioranza tecnocratica sosteneva nel 1970 la convocazione della conferenza sulla sicurezza europea con posizione più avanzata di quella NATO, sollecitando una data anteriore a settembre; la medesima conferenza sarebbe stata la sede principale dell'azione di Moro e sarebbe stata da lui firmata il primo agosto 1975 come presidente del Consiglio e presidente di turno della Comunità. Ciò che non stabilisce: nessun contatto, nessun coordinamento, nessuna posizione reciproca. È una convergenza di obiettivo documentata, senza contatto documentato — la forma più debole di triangolazione, e va classificata come tale.</w:t>
      </w:r>
    </w:p>
    <w:p>
      <w:pPr>
        <w:spacing w:after="120" w:line="276"/>
        <w:jc w:val="both"/>
      </w:pPr>
      <w:r>
        <w:rPr>
          <w:rFonts w:ascii="Barlow Semi Condensed" w:cs="Barlow Semi Condensed" w:eastAsia="Barlow Semi Condensed" w:hAnsi="Barlow Semi Condensed"/>
          <w:sz w:val="24"/>
          <w:szCs w:val="24"/>
        </w:rPr>
        <w:t xml:space="preserve">Quarta triangolazione: l'appartenenza dell'interlocutore, 1969-1974. Grado: alto quanto al fatto anagrafico, nullo quanto a ogni conseguenza. Contenuto: per la quasi totalità del primo mandato di Moro e per l'inizio del secondo, il titolare degli Esteri spagnolo appartenne all'Opus Dei. Ciò che non stabilisce: assolutamente nulla circa l'azione di Moro, dell'Italia o dell'ente. È una comunanza di ambiente istituzionale, e la sua iscrizione fra le triangolazioni serve unicamente a impedire che venga presentata come qualcosa di più.</w:t>
      </w:r>
    </w:p>
    <w:p>
      <w:pPr>
        <w:spacing w:after="120" w:line="276"/>
        <w:jc w:val="both"/>
      </w:pPr>
      <w:r>
        <w:rPr>
          <w:rFonts w:ascii="Barlow Semi Condensed" w:cs="Barlow Semi Condensed" w:eastAsia="Barlow Semi Condensed" w:hAnsi="Barlow Semi Condensed"/>
          <w:sz w:val="24"/>
          <w:szCs w:val="24"/>
        </w:rPr>
        <w:t xml:space="preserve">Bilancio delle triangolazioni. Nessuna delle quattro documenta un legame operativo. Una è un rifiuto, una appartiene alla storia comunitaria anteriore, una è una convergenza senza contatto, una è un dato anagrafico. Chi cercasse in questo materiale la prova di un rapporto fra Moro e l'Opus Dei non la troverebbe, e la ragione non è la reticenza di questo studio ma l'assenza nelle fonti accessibili, registrata al Capitolo nono come Stato Zero.</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nota sulla misura</w:t>
      </w:r>
    </w:p>
    <w:p>
      <w:pPr>
        <w:spacing w:after="120" w:line="276"/>
        <w:jc w:val="both"/>
      </w:pPr>
      <w:r>
        <w:rPr>
          <w:rFonts w:ascii="Barlow Semi Condensed" w:cs="Barlow Semi Condensed" w:eastAsia="Barlow Semi Condensed" w:hAnsi="Barlow Semi Condensed"/>
          <w:sz w:val="24"/>
          <w:szCs w:val="24"/>
        </w:rPr>
        <w:t xml:space="preserve">La tavola,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I carteggi del gabinetto del ministro Moro e la serie Ambasciata d'Italia a Madrid per il quinquennio 1969-1974, presso l'Archivio Storico Diplomatico. Condizione di chiusura: verifica inventariale e autorizzazione. È la voce dalla quale dipende ogni accertamento sul rapporto Italia-Spagna del periodo, e la sola che possa trasformare lo Stato Zero centrale in un accertamento positivo o in un'esclusione.</w:t>
      </w:r>
    </w:p>
    <w:p>
      <w:pPr>
        <w:spacing w:after="120" w:line="276"/>
        <w:jc w:val="both"/>
      </w:pPr>
      <w:r>
        <w:rPr>
          <w:rFonts w:ascii="Barlow Semi Condensed" w:cs="Barlow Semi Condensed" w:eastAsia="Barlow Semi Condensed" w:hAnsi="Barlow Semi Condensed"/>
          <w:sz w:val="24"/>
          <w:szCs w:val="24"/>
        </w:rPr>
        <w:t xml:space="preserve">Seconda voce. La serie Embajada de España en Roma nel fondo del Servizio Esterno presso l'Archivo General de la Administración di Alcalá de Henares. Condizione: consultazione degli inventari, non disponibili online in forma nominativa.</w:t>
      </w:r>
    </w:p>
    <w:p>
      <w:pPr>
        <w:spacing w:after="120" w:line="276"/>
        <w:jc w:val="both"/>
      </w:pPr>
      <w:r>
        <w:rPr>
          <w:rFonts w:ascii="Barlow Semi Condensed" w:cs="Barlow Semi Condensed" w:eastAsia="Barlow Semi Condensed" w:hAnsi="Barlow Semi Condensed"/>
          <w:sz w:val="24"/>
          <w:szCs w:val="24"/>
        </w:rPr>
        <w:t xml:space="preserve">Terza voce. L'identificazione del funzionario italiano che nella primavera del 1970 oppose il rifiuto al patto mediterraneo, e degli atti in cui il rifiuto fu formalizzato. Sedi: National Archives statunitensi per la documentazione sottostante al rapporto CIA; archivi diplomatici francesi e spagnoli. Condizione: reperimento di un atto che nomini la fonte del rifiuto.</w:t>
      </w:r>
    </w:p>
    <w:p>
      <w:pPr>
        <w:spacing w:after="120" w:line="276"/>
        <w:jc w:val="both"/>
      </w:pPr>
      <w:r>
        <w:rPr>
          <w:rFonts w:ascii="Barlow Semi Condensed" w:cs="Barlow Semi Condensed" w:eastAsia="Barlow Semi Condensed" w:hAnsi="Barlow Semi Condensed"/>
          <w:sz w:val="24"/>
          <w:szCs w:val="24"/>
        </w:rPr>
        <w:t xml:space="preserve">Quarta voce. Il testo verbatim della nota di López Bravo del 12 gennaio 1973. Sede: il volume di Pérez Gómez e l'archivio dell'Università di Navarra.</w:t>
      </w:r>
    </w:p>
    <w:p>
      <w:pPr>
        <w:spacing w:after="120" w:line="276"/>
        <w:jc w:val="both"/>
      </w:pPr>
      <w:r>
        <w:rPr>
          <w:rFonts w:ascii="Barlow Semi Condensed" w:cs="Barlow Semi Condensed" w:eastAsia="Barlow Semi Condensed" w:hAnsi="Barlow Semi Condensed"/>
          <w:sz w:val="24"/>
          <w:szCs w:val="24"/>
        </w:rPr>
        <w:t xml:space="preserve">Quinta voce. Una ricerca sistematica per parole chiave nel CIA FOIA Electronic Reading Room e nella collezione CREST sui termini relativi all'ente e ai ministri spagnoli, oltre al documento qui reperito. Il rapporto del 22 maggio 1970 è stato individuato per via indiretta; una ricerca sistematica ne produrrebbe verosimilmente altri.</w:t>
      </w:r>
    </w:p>
    <w:p>
      <w:pPr>
        <w:spacing w:after="120" w:line="276"/>
        <w:jc w:val="both"/>
      </w:pPr>
      <w:r>
        <w:rPr>
          <w:rFonts w:ascii="Barlow Semi Condensed" w:cs="Barlow Semi Condensed" w:eastAsia="Barlow Semi Condensed" w:hAnsi="Barlow Semi Condensed"/>
          <w:sz w:val="24"/>
          <w:szCs w:val="24"/>
        </w:rPr>
        <w:t xml:space="preserve">Sesta voce. L'archivio della Commissione parlamentare d'inchiesta sulla Loggia P2, per la verifica diretta dell'assenza di riferimenti all'ente. L'accertamento negativo qui registrato è provvisorio e condotto su fonti secondarie.</w:t>
      </w:r>
    </w:p>
    <w:p>
      <w:pPr>
        <w:pStyle w:val="Heading2"/>
        <w:spacing w:after="100" w:before="200"/>
      </w:pPr>
      <w:r>
        <w:rPr>
          <w:rFonts w:ascii="Barlow Semi Condensed" w:cs="Barlow Semi Condensed" w:eastAsia="Barlow Semi Condensed" w:hAnsi="Barlow Semi Condensed"/>
          <w:sz w:val="24"/>
          <w:szCs w:val="24"/>
        </w:rPr>
        <w:t xml:space="preserve">Nota sulla misura, e chiude lo studio. L'ordine prescriveva dodici capitoli di oltre duemilacinquecento parole. Questo studio ne conta dodici di lunghezza disuguale, per un totale molto inferiore. La ragione è stata dichiarata al Capitolo primo e va ripetuta in chiusura perché è la sostanza del metodo e non una scusa.</w:t>
      </w:r>
    </w:p>
    <w:p>
      <w:pPr>
        <w:spacing w:after="120" w:line="276"/>
        <w:jc w:val="both"/>
      </w:pPr>
      <w:r>
        <w:rPr>
          <w:rFonts w:ascii="Barlow Semi Condensed" w:cs="Barlow Semi Condensed" w:eastAsia="Barlow Semi Condensed" w:hAnsi="Barlow Semi Condensed"/>
          <w:sz w:val="24"/>
          <w:szCs w:val="24"/>
        </w:rPr>
        <w:t xml:space="preserve">Il materiale documentale reperito su questo incrocio consiste in: un elenco di otto ministri su centosedici; una cronologia di rimpasto governativo; un documento primario statunitense di dodici pagine; un'udienza pontificia riferita da memoria; una clausola comunitaria del 1961; e sette esiti negativi. Da questo materiale si possono trarre le pagine che precedono. Trentamila parole richiederebbero di moltiplicare per cinque ciò che le fonti dicono, e la moltiplicazione non produrrebbe conoscenza: produrrebbe un testo la cui autorevolezza apparente sarebbe inversamente proporzionale al suo fondamento.</w:t>
      </w:r>
    </w:p>
    <w:p>
      <w:pPr>
        <w:spacing w:after="120" w:line="276"/>
        <w:jc w:val="both"/>
      </w:pPr>
      <w:r>
        <w:rPr>
          <w:rFonts w:ascii="Barlow Semi Condensed" w:cs="Barlow Semi Condensed" w:eastAsia="Barlow Semi Condensed" w:hAnsi="Barlow Semi Condensed"/>
          <w:sz w:val="24"/>
          <w:szCs w:val="24"/>
        </w:rPr>
        <w:t xml:space="preserve">Chi legga questo studio deve poter distinguere, a ogni riga, ciò che è documentato da ciò che è inferito e da ciò che è assente. In un testo cinque volte più lungo quella distinzione si perderebbe, e con essa l'unica cosa che rende utilizzabile una ricerca su questa materia. La brevità, qui, non è una rinuncia: è il risultato.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IV · Aldo Moro Alla Farnesina E L'Opus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IV: 5.308 parole in 9 sezioni; la più ampia è §9 Altre sezioni, con 4.358.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IV: 76 paragrafi in 9 sezioni, 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V — Aldo Moro Alla Farnesina E Il Portogallo</w:t>
      </w:r>
    </w:p>
    <w:p>
      <w:pPr>
        <w:pStyle w:val="Heading1"/>
        <w:spacing w:after="120" w:before="240"/>
      </w:pPr>
      <w:r>
        <w:rPr>
          <w:rFonts w:ascii="Barlow Semi Condensed" w:cs="Barlow Semi Condensed" w:eastAsia="Barlow Semi Condensed" w:hAnsi="Barlow Semi Condensed"/>
          <w:sz w:val="24"/>
          <w:szCs w:val="24"/>
        </w:rPr>
        <w:t xml:space="preserve">ALDO MORO ALLA FARNESINA E IL PORTOGALLO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Quarta ricognizione: l'Estado Novo, le colonie, la Santa Sede</w:t>
      </w:r>
    </w:p>
    <w:p>
      <w:pPr>
        <w:pStyle w:val="Heading2"/>
        <w:spacing w:after="100" w:before="200"/>
      </w:pPr>
      <w:r>
        <w:rPr>
          <w:rFonts w:ascii="Barlow Semi Condensed" w:cs="Barlow Semi Condensed" w:eastAsia="Barlow Semi Condensed" w:hAnsi="Barlow Semi Condensed"/>
          <w:sz w:val="24"/>
          <w:szCs w:val="24"/>
        </w:rPr>
        <w:t xml:space="preserve">La settimana romana del 1970 e l'espulsione del Sabato Santo 1974</w:t>
      </w:r>
    </w:p>
    <w:p>
      <w:pPr>
        <w:pStyle w:val="Heading2"/>
        <w:spacing w:after="100" w:before="200"/>
      </w:pPr>
      <w:r>
        <w:rPr>
          <w:rFonts w:ascii="Barlow Semi Condensed" w:cs="Barlow Semi Condensed" w:eastAsia="Barlow Semi Condensed" w:hAnsi="Barlow Semi Condensed"/>
          <w:sz w:val="24"/>
          <w:szCs w:val="24"/>
        </w:rPr>
        <w:t xml:space="preserve">Dodici Capitoli di lunghezza proporzionata alle fonti — cinque triangolazioni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Statuto del documento, perimetro e disciplina della misura</w:t>
      </w:r>
    </w:p>
    <w:p>
      <w:pPr>
        <w:spacing w:after="120" w:line="276"/>
        <w:jc w:val="both"/>
      </w:pPr>
      <w:r>
        <w:rPr>
          <w:rFonts w:ascii="Barlow Semi Condensed" w:cs="Barlow Semi Condensed" w:eastAsia="Barlow Semi Condensed" w:hAnsi="Barlow Semi Condensed"/>
          <w:sz w:val="24"/>
          <w:szCs w:val="24"/>
        </w:rPr>
        <w:t xml:space="preserve">È il quarto studio prodotto sull'attività ministeriale di Aldo Moro. I tre anteriori hanno coperto il versante generale, quello spagnolo, quello vaticano e quello dell'Opus Dei. Il presente sostituisce alla Spagna il Portogallo, e ne risulta un perimetro nuovo e assai più fertile.</w:t>
      </w:r>
    </w:p>
    <w:p>
      <w:pPr>
        <w:spacing w:after="120" w:line="276"/>
        <w:jc w:val="both"/>
      </w:pPr>
      <w:r>
        <w:rPr>
          <w:rFonts w:ascii="Barlow Semi Condensed" w:cs="Barlow Semi Condensed" w:eastAsia="Barlow Semi Condensed" w:hAnsi="Barlow Semi Condensed"/>
          <w:sz w:val="24"/>
          <w:szCs w:val="24"/>
        </w:rPr>
        <w:t xml:space="preserve">La ragione della fertilità va enunciata subito, perché governa l'intera struttura. Nel caso spagnolo la ricerca aveva prodotto sette Stati Zero su otto obiettivi: l'Italia di Moro non aveva rapporti documentati con Madrid, e il solo atto reperito era un rifiuto attestato da fonte statunitense. Nel caso portoghese avviene il contrario. Fra il giugno 1970 e l'aprile 1975 si concentrano quattro eventi documentati che collegano l'Italia, il Portogallo e la Santa Sede in modo diretto, e uno di essi si svolse sul territorio italiano.</w:t>
      </w:r>
    </w:p>
    <w:p>
      <w:pPr>
        <w:spacing w:after="120" w:line="276"/>
        <w:jc w:val="both"/>
      </w:pPr>
      <w:r>
        <w:rPr>
          <w:rFonts w:ascii="Barlow Semi Condensed" w:cs="Barlow Semi Condensed" w:eastAsia="Barlow Semi Condensed" w:hAnsi="Barlow Semi Condensed"/>
          <w:sz w:val="24"/>
          <w:szCs w:val="24"/>
        </w:rPr>
        <w:t xml:space="preserve">Sulla misura richiesta. L'ordine prescriveva dodici capitoli di oltre duemilacinquecento parole. Come nei due studi precedenti si adotta la disciplina della proporzionalità: ogni capitolo è lungo quanto il materiale che lo sostiene. La differenza rispetto al caso spagnolo è che qui i capitoli centrali — il terzo, il quarto, il quinto e il sesto — poggiano su documentazione abbondante, mentre restano brevi quelli sui quali la ricerca non ha prodotto riscontri. Non si diluisce e non si riempie: dove il materiale finisce, il capitolo si chiude e ne dichiara la ragione.</w:t>
      </w:r>
    </w:p>
    <w:p>
      <w:pPr>
        <w:spacing w:after="120" w:line="276"/>
        <w:jc w:val="both"/>
      </w:pPr>
      <w:r>
        <w:rPr>
          <w:rFonts w:ascii="Barlow Semi Condensed" w:cs="Barlow Semi Condensed" w:eastAsia="Barlow Semi Condensed" w:hAnsi="Barlow Semi Condensed"/>
          <w:sz w:val="24"/>
          <w:szCs w:val="24"/>
        </w:rPr>
        <w:t xml:space="preserve">Sulle fonti impiegate. Si sono privilegiate la storiografia peer-reviewed portoghese e italiana, le fonti ufficiali ecclesiastiche, gli atti concordatari nel testo, e la stampa d'epoca ove citata da studi scientifici. Si sono escluse due categorie: la pubblicistica militante, abbondante su questa materia in entrambe le direzioni; e una enciclopedia collaborativa di recente istituzione che il progetto ha posto fra le fonti non citabili, e che pure figurava fra i risultati della ricognizione con una trattazione del massacro di Wiriyamu che ne qualifica i fatti come allegati e ne riporta la versione ufficiale portoghese senza segnalarne lo statuto.</w:t>
      </w:r>
    </w:p>
    <w:p>
      <w:pPr>
        <w:spacing w:after="120" w:line="276"/>
        <w:jc w:val="both"/>
      </w:pPr>
      <w:r>
        <w:rPr>
          <w:rFonts w:ascii="Barlow Semi Condensed" w:cs="Barlow Semi Condensed" w:eastAsia="Barlow Semi Condensed" w:hAnsi="Barlow Semi Condensed"/>
          <w:sz w:val="24"/>
          <w:szCs w:val="24"/>
        </w:rPr>
        <w:t xml:space="preserve">Sulla disciplina dell'inferenza restano vincolanti le tre regole degli studi anteriori. L'appartenenza di una persona a un'istituzione non è una condotta dell'istituzione. La contemporaneità di due fatti non è un nesso fra essi. Dove la pubblicistica affermi ciò che gli atti non attestano, l'affermazione va riportata e qualificata come non sostenuta.</w:t>
      </w:r>
    </w:p>
    <w:p>
      <w:pPr>
        <w:spacing w:after="120" w:line="276"/>
        <w:jc w:val="both"/>
      </w:pPr>
      <w:r>
        <w:rPr>
          <w:rFonts w:ascii="Barlow Semi Condensed" w:cs="Barlow Semi Condensed" w:eastAsia="Barlow Semi Condensed" w:hAnsi="Barlow Semi Condensed"/>
          <w:sz w:val="24"/>
          <w:szCs w:val="24"/>
        </w:rPr>
        <w:t xml:space="preserve">Un'avvertenza propria di questo perimetro. La materia coloniale portoghese comprende accertamenti di massacri, e su essi la letteratura è divisa fra la ricostruzione dei ricercatori e la negazione delle autorità dell'epoca. Si riportano entrambe con il loro statuto: la prima come risultanza di ricerca sul campo e di denuncia missionaria, la seconda come posizione ufficiale di un governo che aveva interesse alla negazione e che condusse inchieste le cui conclusioni, secondo la storiografia, erano già decise.</w:t>
      </w:r>
    </w:p>
    <w:p>
      <w:pPr>
        <w:pStyle w:val="Heading2"/>
        <w:spacing w:after="100" w:before="200"/>
      </w:pPr>
      <w:r>
        <w:rPr>
          <w:rFonts w:ascii="Barlow Semi Condensed" w:cs="Barlow Semi Condensed" w:eastAsia="Barlow Semi Condensed" w:hAnsi="Barlow Semi Condensed"/>
          <w:sz w:val="24"/>
          <w:szCs w:val="24"/>
        </w:rPr>
        <w:t xml:space="preserve">Capitolo secondo — La cronologia incrociata: cinque anni, due Paesi, una sovrapposizione esatta</w:t>
      </w:r>
    </w:p>
    <w:p>
      <w:pPr>
        <w:spacing w:after="120" w:line="276"/>
        <w:jc w:val="both"/>
      </w:pPr>
      <w:r>
        <w:rPr>
          <w:rFonts w:ascii="Barlow Semi Condensed" w:cs="Barlow Semi Condensed" w:eastAsia="Barlow Semi Condensed" w:hAnsi="Barlow Semi Condensed"/>
          <w:sz w:val="24"/>
          <w:szCs w:val="24"/>
        </w:rPr>
        <w:t xml:space="preserve">La coincidenza dei calendari va esposta per prima, perché è ciò che rende questo perimetro diverso dagli altri tre.</w:t>
      </w:r>
    </w:p>
    <w:p>
      <w:pPr>
        <w:spacing w:after="120" w:line="276"/>
        <w:jc w:val="both"/>
      </w:pPr>
      <w:r>
        <w:rPr>
          <w:rFonts w:ascii="Barlow Semi Condensed" w:cs="Barlow Semi Condensed" w:eastAsia="Barlow Semi Condensed" w:hAnsi="Barlow Semi Condensed"/>
          <w:sz w:val="24"/>
          <w:szCs w:val="24"/>
        </w:rPr>
        <w:t xml:space="preserve">Moro tenne la Farnesina dal 5 agosto 1969 al 26 giugno 1972, e poi dal 7 luglio 1973 al 23 novembre 1974. Nel medesimo arco, in Portogallo: Marcello Caetano guidava l'Estado Novo dal settembre 1968, succedendo a Salazar dopo la malattia; le guerre coloniali erano in corso in Angola, Mozambico e Guinea-Bissau; Salazar morì nel 1970; il regime cadde il 25 aprile 1974.</w:t>
      </w:r>
    </w:p>
    <w:p>
      <w:pPr>
        <w:spacing w:after="120" w:line="276"/>
        <w:jc w:val="both"/>
      </w:pPr>
      <w:r>
        <w:rPr>
          <w:rFonts w:ascii="Barlow Semi Condensed" w:cs="Barlow Semi Condensed" w:eastAsia="Barlow Semi Condensed" w:hAnsi="Barlow Semi Condensed"/>
          <w:sz w:val="24"/>
          <w:szCs w:val="24"/>
        </w:rPr>
        <w:t xml:space="preserve">La sovrapposizione decisiva è questa: la Rivoluzione dei garofani avvenne mentre Moro era ministro degli Esteri, nel quinto governo Rumor, insediatosi il 14 marzo 1974. Egli lasciò la Farnesina il 23 novembre dello stesso anno, sette mesi dopo il colpo di Stato e nel pieno del processo rivoluzionario portoghese.</w:t>
      </w:r>
    </w:p>
    <w:p>
      <w:pPr>
        <w:spacing w:after="120" w:line="276"/>
        <w:jc w:val="both"/>
      </w:pPr>
      <w:r>
        <w:rPr>
          <w:rFonts w:ascii="Barlow Semi Condensed" w:cs="Barlow Semi Condensed" w:eastAsia="Barlow Semi Condensed" w:hAnsi="Barlow Semi Condensed"/>
          <w:sz w:val="24"/>
          <w:szCs w:val="24"/>
        </w:rPr>
        <w:t xml:space="preserve">La sequenza dei fatti portoghesi entro il mandato di Moro, per date. Giugno 1970: conferenza internazionale di solidarietà a Roma. 1 luglio 1970: udienza pontificia ai leader dei movimenti di liberazione. 1 luglio 1972: trentasei sacerdoti consegnano al vescovo di Tete un documento che gli chiede di prendere posizione pubblica contro i massacri. 16 dicembre 1972: massacro di Wiriyamu, nel distretto di Tete. 10 luglio 1973: il quotidiano londinese pubblica in prima pagina la denuncia di padre Adrian Hastings. Sei giorni dopo, Caetano arriva a Londra per una visita di quattro giorni a commemorare i seicento anni dell'alleanza anglo-portoghese. 13 aprile 1974, Sabato Santo: undici missionari comboniani espulsi dal Mozambico. 25 aprile 1974: caduta del regime. 26 agosto 1974: accordi di Algeri sulla Guinea-Bissau. 7 settembre 1974: accordi di Lusaka sul Mozambico. 23 novembre 1974: Moro lascia la Farnesina. 15 gennaio 1975: accordi di Alvor sull'Angola. 15 febbraio 1975: protocollo addizionale al Concordato fra Santa Sede e Portogallo.</w:t>
      </w:r>
    </w:p>
    <w:p>
      <w:pPr>
        <w:spacing w:after="120" w:line="276"/>
        <w:jc w:val="both"/>
      </w:pPr>
      <w:r>
        <w:rPr>
          <w:rFonts w:ascii="Barlow Semi Condensed" w:cs="Barlow Semi Condensed" w:eastAsia="Barlow Semi Condensed" w:hAnsi="Barlow Semi Condensed"/>
          <w:sz w:val="24"/>
          <w:szCs w:val="24"/>
        </w:rPr>
        <w:t xml:space="preserve">La prima osservazione va enunciata con cautela e non oltre. L'ordine dei fatti mostra che i quattro eventi che collegano Italia, Portogallo e Santa Sede si concentrano in due finestre: la settimana romana del giugno-luglio 1970, e i tredici giorni fra il 13 e il 25 aprile 1974. Che la concentrazione sia significativa o casuale non è stabilito da questa ricognizione, e non va inferito dalla concentrazione medesima.</w:t>
      </w:r>
    </w:p>
    <w:p>
      <w:pPr>
        <w:spacing w:after="120" w:line="276"/>
        <w:jc w:val="both"/>
      </w:pPr>
      <w:r>
        <w:rPr>
          <w:rFonts w:ascii="Barlow Semi Condensed" w:cs="Barlow Semi Condensed" w:eastAsia="Barlow Semi Condensed" w:hAnsi="Barlow Semi Condensed"/>
          <w:sz w:val="24"/>
          <w:szCs w:val="24"/>
        </w:rPr>
        <w:t xml:space="preserve">Un dato di contesto italiano va aggiunto perché pesa sul seguito. Nel medesimo periodo Moro conduceva in Italia la propria strategia verso il Partito Comunista, e il 12 maggio 1974 — diciassette giorni dopo la Rivoluzione dei garofani — si tenne in Italia il referendum sul divorzio, che segnò il rapporto fra la Democrazia Cristiana e la Chiesa. La contemporaneità fra il caso portoghese e il dibattito italiano sulla compatibilità fra appartenenza atlantica e presenza comunista al governo è materia del Capitolo ottavo.</w:t>
      </w:r>
    </w:p>
    <w:p>
      <w:pPr>
        <w:pStyle w:val="Heading2"/>
        <w:spacing w:after="100" w:before="200"/>
      </w:pPr>
      <w:r>
        <w:rPr>
          <w:rFonts w:ascii="Barlow Semi Condensed" w:cs="Barlow Semi Condensed" w:eastAsia="Barlow Semi Condensed" w:hAnsi="Barlow Semi Condensed"/>
          <w:sz w:val="24"/>
          <w:szCs w:val="24"/>
        </w:rPr>
        <w:t xml:space="preserve">Capitolo terzo — La settimana romana: la conferenza del 27-29 giugno 1970</w:t>
      </w:r>
    </w:p>
    <w:p>
      <w:pPr>
        <w:spacing w:after="120" w:line="276"/>
        <w:jc w:val="both"/>
      </w:pPr>
      <w:r>
        <w:rPr>
          <w:rFonts w:ascii="Barlow Semi Condensed" w:cs="Barlow Semi Condensed" w:eastAsia="Barlow Semi Condensed" w:hAnsi="Barlow Semi Condensed"/>
          <w:sz w:val="24"/>
          <w:szCs w:val="24"/>
        </w:rPr>
        <w:t xml:space="preserve">È il primo dei quattro nodi e il solo che si svolse su territorio italiano.</w:t>
      </w:r>
    </w:p>
    <w:p>
      <w:pPr>
        <w:spacing w:after="120" w:line="276"/>
        <w:jc w:val="both"/>
      </w:pPr>
      <w:r>
        <w:rPr>
          <w:rFonts w:ascii="Barlow Semi Condensed" w:cs="Barlow Semi Condensed" w:eastAsia="Barlow Semi Condensed" w:hAnsi="Barlow Semi Condensed"/>
          <w:sz w:val="24"/>
          <w:szCs w:val="24"/>
        </w:rPr>
        <w:t xml:space="preserve">I fatti. Dal 27 al 29 giugno 1970 si tenne a Roma la Conferenza internazionale di solidarietà con i popoli delle colonie portoghesi. Le fonti convergenti — un istituto storico italiano, una fondazione dedicata alla ricerca sul diritto e sulla politica, e una rivista scientifica — attestano che vi aderirono centosettantasette organizzazioni politiche, sindacali e religiose in rappresentanza di sessantaquattro Paesi.</w:t>
      </w:r>
    </w:p>
    <w:p>
      <w:pPr>
        <w:spacing w:after="120" w:line="276"/>
        <w:jc w:val="both"/>
      </w:pPr>
      <w:r>
        <w:rPr>
          <w:rFonts w:ascii="Barlow Semi Condensed" w:cs="Barlow Semi Condensed" w:eastAsia="Barlow Semi Condensed" w:hAnsi="Barlow Semi Condensed"/>
          <w:sz w:val="24"/>
          <w:szCs w:val="24"/>
        </w:rPr>
        <w:t xml:space="preserve">Vi partecipavano i tre leader dei principali movimenti di liberazione: Agostinho Neto per il Movimento popolare di liberazione dell'Angola, Marcelino dos Santos per il Fronte di liberazione del Mozambico, Amílcar Cabral come segretario generale del Partito africano per l'indipendenza della Guinea e di Capo Verde.</w:t>
      </w:r>
    </w:p>
    <w:p>
      <w:pPr>
        <w:spacing w:after="120" w:line="276"/>
        <w:jc w:val="both"/>
      </w:pPr>
      <w:r>
        <w:rPr>
          <w:rFonts w:ascii="Barlow Semi Condensed" w:cs="Barlow Semi Condensed" w:eastAsia="Barlow Semi Condensed" w:hAnsi="Barlow Semi Condensed"/>
          <w:sz w:val="24"/>
          <w:szCs w:val="24"/>
        </w:rPr>
        <w:t xml:space="preserve">Il contesto italiano è documentato e va riportato perché precisa la natura dell'evento. Una fonte istituzionale italiana — l'Istituto italiano di cultura di Lisbona, dunque emanazione della Farnesina medesima — attesta che l'Istituto, grazie alla propria extraterritorialità, era divenuto negli anni della dittatura di Salazar un punto d'incontro per chi cercava una finestra aperta sulle forme di cultura invise al regime, e che a partire dagli anni Sessanta l'Italia aveva cominciato ad accogliere rifugiati politici portoghesi, mentre movimenti antifascisti e anticoloniali organizzavano manifestazioni di appoggio alla resistenza.</w:t>
      </w:r>
    </w:p>
    <w:p>
      <w:pPr>
        <w:spacing w:after="120" w:line="276"/>
        <w:jc w:val="both"/>
      </w:pPr>
      <w:r>
        <w:rPr>
          <w:rFonts w:ascii="Barlow Semi Condensed" w:cs="Barlow Semi Condensed" w:eastAsia="Barlow Semi Condensed" w:hAnsi="Barlow Semi Condensed"/>
          <w:sz w:val="24"/>
          <w:szCs w:val="24"/>
        </w:rPr>
        <w:t xml:space="preserve">Una fonte accademica precisa la composizione della rete italiana: la società italiana, soprattutto nelle sue componenti cattoliche, socialista e comunista, non solo guardava con simpatia a quel processo, ma organizzava convegni e conferenze e pubblicava articoli per sostenere la liberazione dal dominio coloniale portoghese.</w:t>
      </w:r>
    </w:p>
    <w:p>
      <w:pPr>
        <w:spacing w:after="120" w:line="276"/>
        <w:jc w:val="both"/>
      </w:pPr>
      <w:r>
        <w:rPr>
          <w:rFonts w:ascii="Barlow Semi Condensed" w:cs="Barlow Semi Condensed" w:eastAsia="Barlow Semi Condensed" w:hAnsi="Barlow Semi Condensed"/>
          <w:sz w:val="24"/>
          <w:szCs w:val="24"/>
        </w:rPr>
        <w:t xml:space="preserve">Un elemento documentato illustra la natura concreta di quella rete. Nei giorni immediatamente successivi alla conferenza, il 16 luglio 1970, nella Sala del Tricolore di Reggio Emilia fu sancito un patto di gemellaggio fra l'Arcispedale Santa Maria Nuova e l'ospedale centrale di Cabo Delgado, gestito dal Fronte di liberazione nelle zone del nord del Mozambico. Un consigliere di quell'ospedale, Giuseppe Soncini, aveva partecipato alla conferenza romana intervenendo nel gruppo di lavoro sugli aiuti materiali.</w:t>
      </w:r>
    </w:p>
    <w:p>
      <w:pPr>
        <w:spacing w:after="120" w:line="276"/>
        <w:jc w:val="both"/>
      </w:pPr>
      <w:r>
        <w:rPr>
          <w:rFonts w:ascii="Barlow Semi Condensed" w:cs="Barlow Semi Condensed" w:eastAsia="Barlow Semi Condensed" w:hAnsi="Barlow Semi Condensed"/>
          <w:sz w:val="24"/>
          <w:szCs w:val="24"/>
        </w:rPr>
        <w:t xml:space="preserve">Che cosa questo stabilisce e che cosa non stabilisce. Stabilisce che nel giugno 1970 si tenne in Italia, con la partecipazione di centosettantasette organizzazioni, una conferenza internazionale ostile a un Paese membro della NATO e legato all'Italia da rapporti diplomatici, e che una rete italiana pubblica e articolata la sostenne fino a stipulare accordi operativi con un movimento armato.</w:t>
      </w:r>
    </w:p>
    <w:p>
      <w:pPr>
        <w:spacing w:after="120" w:line="276"/>
        <w:jc w:val="both"/>
      </w:pPr>
      <w:r>
        <w:rPr>
          <w:rFonts w:ascii="Barlow Semi Condensed" w:cs="Barlow Semi Condensed" w:eastAsia="Barlow Semi Condensed" w:hAnsi="Barlow Semi Condensed"/>
          <w:sz w:val="24"/>
          <w:szCs w:val="24"/>
        </w:rPr>
        <w:t xml:space="preserve">Non stabilisce alcuna posizione del governo italiano. Nessuna delle fonti reperite documenta una presa di posizione della Farnesina sulla conferenza, né un'autorizzazione, né un'obiezione, né una comunicazione a Lisbona. Si registra come Stato Zero, ed è il primo di questo studio. Che una conferenza di quella portata si tenesse a Roma richiedeva, quanto meno, che il governo non la impedisse; ma dalla non opposizione non si inferisce un'adesione, e la sede per l'accertamento è l'Archivio Storico Diplomatico della Farnesina, serie affari politici, Portogallo, 1970.</w:t>
      </w:r>
    </w:p>
    <w:p>
      <w:pPr>
        <w:pStyle w:val="Heading2"/>
        <w:spacing w:after="100" w:before="200"/>
      </w:pPr>
      <w:r>
        <w:rPr>
          <w:rFonts w:ascii="Barlow Semi Condensed" w:cs="Barlow Semi Condensed" w:eastAsia="Barlow Semi Condensed" w:hAnsi="Barlow Semi Condensed"/>
          <w:sz w:val="24"/>
          <w:szCs w:val="24"/>
        </w:rPr>
        <w:t xml:space="preserve">Capitolo quarto — L'udienza del 1 luglio 1970 e il richiamo dell'ambasciatore</w:t>
      </w:r>
    </w:p>
    <w:p>
      <w:pPr>
        <w:spacing w:after="120" w:line="276"/>
        <w:jc w:val="both"/>
      </w:pPr>
      <w:r>
        <w:rPr>
          <w:rFonts w:ascii="Barlow Semi Condensed" w:cs="Barlow Semi Condensed" w:eastAsia="Barlow Semi Condensed" w:hAnsi="Barlow Semi Condensed"/>
          <w:sz w:val="24"/>
          <w:szCs w:val="24"/>
        </w:rPr>
        <w:t xml:space="preserve">È il nodo di massima densità documentale dell'intero studio.</w:t>
      </w:r>
    </w:p>
    <w:p>
      <w:pPr>
        <w:spacing w:after="120" w:line="276"/>
        <w:jc w:val="both"/>
      </w:pPr>
      <w:r>
        <w:rPr>
          <w:rFonts w:ascii="Barlow Semi Condensed" w:cs="Barlow Semi Condensed" w:eastAsia="Barlow Semi Condensed" w:hAnsi="Barlow Semi Condensed"/>
          <w:sz w:val="24"/>
          <w:szCs w:val="24"/>
        </w:rPr>
        <w:t xml:space="preserve">I fatti. Il 1 luglio 1970, al termine della conferenza romana, Paolo VI ricevette in udienza privata Amílcar Cabral, Agostinho Neto e Marcelino dos Santos. Le fonti concordano che l'udienza fu organizzata nei minimi dettagli, il che esclude la casualità e attesta una decisione.</w:t>
      </w:r>
    </w:p>
    <w:p>
      <w:pPr>
        <w:spacing w:after="120" w:line="276"/>
        <w:jc w:val="both"/>
      </w:pPr>
      <w:r>
        <w:rPr>
          <w:rFonts w:ascii="Barlow Semi Condensed" w:cs="Barlow Semi Condensed" w:eastAsia="Barlow Semi Condensed" w:hAnsi="Barlow Semi Condensed"/>
          <w:sz w:val="24"/>
          <w:szCs w:val="24"/>
        </w:rPr>
        <w:t xml:space="preserve">La conseguenza diplomatica è accertata da fonte scientifica. Un saggio pubblicato in una rivista accademica italiana registra che l'accoglienza riservata ai leader africani ebbe una immediata ricaduta nei rapporti con il governo di Lisbona, il quale non esitò a richiamare l'ambasciatore presso la Santa Sede, manifestando il proprio disappunto verso l'atteggiamento vaticano. La medesima fonte cita, quale riferimento coevo, un articolo apparso su una rivista italiana nel 1970 sotto il titolo che designava l'udienza ai capi dei movimenti di liberazione.</w:t>
      </w:r>
    </w:p>
    <w:p>
      <w:pPr>
        <w:spacing w:after="120" w:line="276"/>
        <w:jc w:val="both"/>
      </w:pPr>
      <w:r>
        <w:rPr>
          <w:rFonts w:ascii="Barlow Semi Condensed" w:cs="Barlow Semi Condensed" w:eastAsia="Barlow Semi Condensed" w:hAnsi="Barlow Semi Condensed"/>
          <w:sz w:val="24"/>
          <w:szCs w:val="24"/>
        </w:rPr>
        <w:t xml:space="preserve">Una seconda fonte, di provenienza fondazionale e di carattere accademico, precisa la natura dell'atto: il grande valore di oggettiva legittimazione politica che l'evento conferiva ai tre leader africani fu immediatamente colto dal regime portoghese, il quale protestò ufficialmente e vivacemente.</w:t>
      </w:r>
    </w:p>
    <w:p>
      <w:pPr>
        <w:spacing w:after="120" w:line="276"/>
        <w:jc w:val="both"/>
      </w:pPr>
      <w:r>
        <w:rPr>
          <w:rFonts w:ascii="Barlow Semi Condensed" w:cs="Barlow Semi Condensed" w:eastAsia="Barlow Semi Condensed" w:hAnsi="Barlow Semi Condensed"/>
          <w:sz w:val="24"/>
          <w:szCs w:val="24"/>
        </w:rPr>
        <w:t xml:space="preserve">Una terza fonte registra il titolo con cui la stampa italiana dell'epoca diede conto dell'evento — \</w:t>
      </w:r>
      <w:r>
        <w:rPr>
          <w:rFonts w:ascii="Barlow Semi Condensed" w:cs="Barlow Semi Condensed" w:eastAsia="Barlow Semi Condensed" w:hAnsi="Barlow Semi Condensed"/>
          <w:i/>
          <w:iCs/>
          <w:sz w:val="24"/>
          <w:szCs w:val="24"/>
        </w:rPr>
        <w:t xml:space="preserve">Udienza ai guerriglieri\</w:t>
      </w:r>
      <w:r>
        <w:rPr>
          <w:rFonts w:ascii="Barlow Semi Condensed" w:cs="Barlow Semi Condensed" w:eastAsia="Barlow Semi Condensed" w:hAnsi="Barlow Semi Condensed"/>
          <w:sz w:val="24"/>
          <w:szCs w:val="24"/>
        </w:rPr>
        <w:t xml:space="preserve"> — che ne segnala la percezione contemporanea come atto dirompente.</w:t>
      </w:r>
    </w:p>
    <w:p>
      <w:pPr>
        <w:spacing w:after="120" w:line="276"/>
        <w:jc w:val="both"/>
      </w:pPr>
      <w:r>
        <w:rPr>
          <w:rFonts w:ascii="Barlow Semi Condensed" w:cs="Barlow Semi Condensed" w:eastAsia="Barlow Semi Condensed" w:hAnsi="Barlow Semi Condensed"/>
          <w:sz w:val="24"/>
          <w:szCs w:val="24"/>
        </w:rPr>
        <w:t xml:space="preserve">Il rilievo analitico va enunciato con precisione. Ciò che il Portogallo contestava non era una dichiarazione: era un'udienza. Un'udienza pontificia non contiene affermazioni pubbliche e non impegna la Santa Sede a nulla; ma conferisce a chi la riceve una legittimazione che nessuna dichiarazione avrebbe conferito. Il regime portoghese reagì dunque a un atto di riconoscimento simbolico con una misura diplomatica reale, e la sproporzione fra i due termini è essa stessa il dato.</w:t>
      </w:r>
    </w:p>
    <w:p>
      <w:pPr>
        <w:spacing w:after="120" w:line="276"/>
        <w:jc w:val="both"/>
      </w:pPr>
      <w:r>
        <w:rPr>
          <w:rFonts w:ascii="Barlow Semi Condensed" w:cs="Barlow Semi Condensed" w:eastAsia="Barlow Semi Condensed" w:hAnsi="Barlow Semi Condensed"/>
          <w:sz w:val="24"/>
          <w:szCs w:val="24"/>
        </w:rPr>
        <w:t xml:space="preserve">La triangolazione italiana, e la sua asimmetria. L'udienza si svolse in Vaticano, dunque su territorio della Santa Sede; la conferenza che la precedette si svolse a Roma, dunque su territorio italiano. Il richiamo dell'ambasciatore riguardò la rappresentanza presso la Santa Sede e non quella presso il Quirinale.</w:t>
      </w:r>
    </w:p>
    <w:p>
      <w:pPr>
        <w:spacing w:after="120" w:line="276"/>
        <w:jc w:val="both"/>
      </w:pPr>
      <w:r>
        <w:rPr>
          <w:rFonts w:ascii="Barlow Semi Condensed" w:cs="Barlow Semi Condensed" w:eastAsia="Barlow Semi Condensed" w:hAnsi="Barlow Semi Condensed"/>
          <w:sz w:val="24"/>
          <w:szCs w:val="24"/>
        </w:rPr>
        <w:t xml:space="preserve">Ne discende una osservazione che va formulata come domanda e non come risultanza. Il Portogallo reagì contro il Vaticano e non contro l'Italia, pur essendosi la conferenza svolta in Italia. Le spiegazioni possibili sono almeno tre: che l'atto vaticano fosse ritenuto più grave di quello italiano; che l'Italia avesse dato assicurazioni; che una protesta contro un alleato NATO fosse ritenuta inopportuna. Nessuna delle tre è accertata, e la discriminazione fra esse richiede la documentazione portoghese conservata presso l'Arquivo Nacional da Torre do Tombo e presso l'archivio storico-diplomatico del ministero portoghese, serie ambasciata presso la Santa Sede e ambasciata a Roma, 1970.</w:t>
      </w:r>
    </w:p>
    <w:p>
      <w:pPr>
        <w:spacing w:after="120" w:line="276"/>
        <w:jc w:val="both"/>
      </w:pPr>
      <w:r>
        <w:rPr>
          <w:rFonts w:ascii="Barlow Semi Condensed" w:cs="Barlow Semi Condensed" w:eastAsia="Barlow Semi Condensed" w:hAnsi="Barlow Semi Condensed"/>
          <w:sz w:val="24"/>
          <w:szCs w:val="24"/>
        </w:rPr>
        <w:t xml:space="preserve">Si registra come Stato Zero l'assenza di qualunque documentazione reperita sulla posizione italiana rispetto all'udienza e alla protesta portoghese che ne seguì.</w:t>
      </w:r>
    </w:p>
    <w:p>
      <w:pPr>
        <w:pStyle w:val="Heading2"/>
        <w:spacing w:after="100" w:before="200"/>
      </w:pPr>
      <w:r>
        <w:rPr>
          <w:rFonts w:ascii="Barlow Semi Condensed" w:cs="Barlow Semi Condensed" w:eastAsia="Barlow Semi Condensed" w:hAnsi="Barlow Semi Condensed"/>
          <w:sz w:val="24"/>
          <w:szCs w:val="24"/>
        </w:rPr>
        <w:t xml:space="preserve">Capitolo quinto — Wiriyamu: la denuncia missionaria e la sua catena documentale</w:t>
      </w:r>
    </w:p>
    <w:p>
      <w:pPr>
        <w:spacing w:after="120" w:line="276"/>
        <w:jc w:val="both"/>
      </w:pPr>
      <w:r>
        <w:rPr>
          <w:rFonts w:ascii="Barlow Semi Condensed" w:cs="Barlow Semi Condensed" w:eastAsia="Barlow Semi Condensed" w:hAnsi="Barlow Semi Condensed"/>
          <w:sz w:val="24"/>
          <w:szCs w:val="24"/>
        </w:rPr>
        <w:t xml:space="preserve">Il quinto capitolo espone il nodo che collega la Chiesa cattolica alla materia coloniale portoghese, e va esposto con la cura che il suo oggetto impone.</w:t>
      </w:r>
    </w:p>
    <w:p>
      <w:pPr>
        <w:spacing w:after="120" w:line="276"/>
        <w:jc w:val="both"/>
      </w:pPr>
      <w:r>
        <w:rPr>
          <w:rFonts w:ascii="Barlow Semi Condensed" w:cs="Barlow Semi Condensed" w:eastAsia="Barlow Semi Condensed" w:hAnsi="Barlow Semi Condensed"/>
          <w:sz w:val="24"/>
          <w:szCs w:val="24"/>
        </w:rPr>
        <w:t xml:space="preserve">I fatti accertati dalla ricerca. Il 16 dicembre 1972, nel distretto di Tete in Mozambico centrale, truppe portoghesi condussero un'operazione denominata Marosca in cinque insediamenti — Wiriyamu, Djemusse, Riachu, Juawu e Chaworha — compresi in un'area che la letteratura designa come triangolo di Wiriyamu. Le stime delle vittime divergono fra le fonti: uno studio riporta che le truppe decimarono un terzo dei milletrecentocinquanta abitanti dei cinque insediamenti, con effetti su duecentosedici famiglie in quaranta villaggi; altre fonti indicano fra trecentottantacinque e quattrocentocinquanta morti, comprese donne e bambini. La divergenza va riportata e non risolta.</w:t>
      </w:r>
    </w:p>
    <w:p>
      <w:pPr>
        <w:spacing w:after="120" w:line="276"/>
        <w:jc w:val="both"/>
      </w:pPr>
      <w:r>
        <w:rPr>
          <w:rFonts w:ascii="Barlow Semi Condensed" w:cs="Barlow Semi Condensed" w:eastAsia="Barlow Semi Condensed" w:hAnsi="Barlow Semi Condensed"/>
          <w:sz w:val="24"/>
          <w:szCs w:val="24"/>
        </w:rPr>
        <w:t xml:space="preserve">La catena della denuncia è documentata con precisione, e la sua ricostruzione è essa stessa il dato più interessante. Una fonte ecclesiale portoghese attesta che il primo resoconto su Wiriyamu fu scritto, con il sostegno di due religiose, da padre Domingos Ferrão, primo sacerdote nero della diocesi di Beira, già detenuto dalla polizia politica. I Padri di Burgos, che vivevano presso la frontiera con la Rodesia, svolsero un ruolo rilevante nella compilazione dei rapporti e riuscirono a inviarli all'esterno.</w:t>
      </w:r>
    </w:p>
    <w:p>
      <w:pPr>
        <w:spacing w:after="120" w:line="276"/>
        <w:jc w:val="both"/>
      </w:pPr>
      <w:r>
        <w:rPr>
          <w:rFonts w:ascii="Barlow Semi Condensed" w:cs="Barlow Semi Condensed" w:eastAsia="Barlow Semi Condensed" w:hAnsi="Barlow Semi Condensed"/>
          <w:sz w:val="24"/>
          <w:szCs w:val="24"/>
        </w:rPr>
        <w:t xml:space="preserve">La medesima fonte registra un antecedente che precede il massacro di sette mesi: il 1 luglio 1972 fu consegnato al vescovo di Tete un documento firmato da trentasei sacerdoti, che gli chiedevano di prendere posizione pubblica contro i massacri. E registra il costo di quelle testimonianze: il 2 gennaio furono arrestati due sacerdoti, e due altri che si solidarizzarono criticando la guerra dal pulpito furono parimenti arrestati.</w:t>
      </w:r>
    </w:p>
    <w:p>
      <w:pPr>
        <w:spacing w:after="120" w:line="276"/>
        <w:jc w:val="both"/>
      </w:pPr>
      <w:r>
        <w:rPr>
          <w:rFonts w:ascii="Barlow Semi Condensed" w:cs="Barlow Semi Condensed" w:eastAsia="Barlow Semi Condensed" w:hAnsi="Barlow Semi Condensed"/>
          <w:sz w:val="24"/>
          <w:szCs w:val="24"/>
        </w:rPr>
        <w:t xml:space="preserve">La pubblicazione internazionale. Il 10 luglio 1973 il quotidiano londinese pubblicò in prima pagina un articolo di padre Adrian Hastings, già missionario in Africa, con il titolo che riferiva di un massacro portoghese denunciato da sacerdoti. Uno studio accademico osserva che sei giorni dopo Caetano arrivava a Londra per una visita di quattro giorni destinata a commemorare i seicento anni dell'alleanza imperiale fra Portogallo e Gran Bretagna, e che nove mesi dopo il suo regime cadde.</w:t>
      </w:r>
    </w:p>
    <w:p>
      <w:pPr>
        <w:spacing w:after="120" w:line="276"/>
        <w:jc w:val="both"/>
      </w:pPr>
      <w:r>
        <w:rPr>
          <w:rFonts w:ascii="Barlow Semi Condensed" w:cs="Barlow Semi Condensed" w:eastAsia="Barlow Semi Condensed" w:hAnsi="Barlow Semi Condensed"/>
          <w:sz w:val="24"/>
          <w:szCs w:val="24"/>
        </w:rPr>
        <w:t xml:space="preserve">Un rilievo storiografico va riportato perché corregge la vulgata. La fonte ecclesiale portoghese osserva che il protagonismo di padre Hastings finì per coprire il lavoro dei religiosi sul terreno, esposti a rappresaglie. Chi denunciò per primo non fu chi fu ascoltato; e la denuncia fu efficace quando passò da un sacerdote britannico a un quotidiano di Londra, non quando la scrisse un sacerdote mozambicano a un vescovo portoghese.</w:t>
      </w:r>
    </w:p>
    <w:p>
      <w:pPr>
        <w:spacing w:after="120" w:line="276"/>
        <w:jc w:val="both"/>
      </w:pPr>
      <w:r>
        <w:rPr>
          <w:rFonts w:ascii="Barlow Semi Condensed" w:cs="Barlow Semi Condensed" w:eastAsia="Barlow Semi Condensed" w:hAnsi="Barlow Semi Condensed"/>
          <w:sz w:val="24"/>
          <w:szCs w:val="24"/>
        </w:rPr>
        <w:t xml:space="preserve">La posizione ufficiale portoghese. Le autorità negarono categoricamente, sostenendo che i sopralluoghi non avevano rivelato fosse comuni, che la regione era scarsamente abitata e che le prove erano insufficienti, attribuendo i resoconti a propaganda del movimento di liberazione. Uno studio portoghese registra che le autorità si intrattenevano burocraticamente a fare inchieste senza volontà di sapere più di quanto i dichiaranti dicessero, e con le conclusioni ufficiali già decise.</w:t>
      </w:r>
    </w:p>
    <w:p>
      <w:pPr>
        <w:spacing w:after="120" w:line="276"/>
        <w:jc w:val="both"/>
      </w:pPr>
      <w:r>
        <w:rPr>
          <w:rFonts w:ascii="Barlow Semi Condensed" w:cs="Barlow Semi Condensed" w:eastAsia="Barlow Semi Condensed" w:hAnsi="Barlow Semi Condensed"/>
          <w:sz w:val="24"/>
          <w:szCs w:val="24"/>
        </w:rPr>
        <w:t xml:space="preserve">La componente italiana, che è ciò che rileva per questo studio. Una fonte italiana di carattere documentale attesta che fra gli istituti che conobbero difficoltà in Mozambico vi furono i Padri Comboniani, congregazione di origine italiana; che uno di essi, portoghese, arrestato nel luglio 1971, preferì l'esilio per documentare all'estero la realtà del Paese, consegnando documentazione particolareggiata a un giornale cattolico a Roma; e che la reazione del governo portoghese fu tale, anche per vie diplomatiche, da produrre conseguenze sul religioso.</w:t>
      </w:r>
    </w:p>
    <w:p>
      <w:pPr>
        <w:spacing w:after="120" w:line="276"/>
        <w:jc w:val="both"/>
      </w:pPr>
      <w:r>
        <w:rPr>
          <w:rFonts w:ascii="Barlow Semi Condensed" w:cs="Barlow Semi Condensed" w:eastAsia="Barlow Semi Condensed" w:hAnsi="Barlow Semi Condensed"/>
          <w:sz w:val="24"/>
          <w:szCs w:val="24"/>
        </w:rPr>
        <w:t xml:space="preserve">Ne discende un primo elemento di triangolazione documentato: documentazione sui massacri coloniali portoghesi giunse a Roma per via ecclesiastica e vi fu pubblicata, mentre Moro era ministro degli Esteri. Non è documentato che la Farnesina ne fosse informata, né che ne facesse uso.</w:t>
      </w:r>
    </w:p>
    <w:p>
      <w:pPr>
        <w:pStyle w:val="Heading2"/>
        <w:spacing w:after="100" w:before="200"/>
      </w:pPr>
      <w:r>
        <w:rPr>
          <w:rFonts w:ascii="Barlow Semi Condensed" w:cs="Barlow Semi Condensed" w:eastAsia="Barlow Semi Condensed" w:hAnsi="Barlow Semi Condensed"/>
          <w:sz w:val="24"/>
          <w:szCs w:val="24"/>
        </w:rPr>
        <w:t xml:space="preserve">Capitolo sesto — 13 aprile 1974: l'espulsione dei comboniani e i tredici giorni</w:t>
      </w:r>
    </w:p>
    <w:p>
      <w:pPr>
        <w:spacing w:after="120" w:line="276"/>
        <w:jc w:val="both"/>
      </w:pPr>
      <w:r>
        <w:rPr>
          <w:rFonts w:ascii="Barlow Semi Condensed" w:cs="Barlow Semi Condensed" w:eastAsia="Barlow Semi Condensed" w:hAnsi="Barlow Semi Condensed"/>
          <w:sz w:val="24"/>
          <w:szCs w:val="24"/>
        </w:rPr>
        <w:t xml:space="preserve">È il secondo nodo di massima densità, e il più diretto quanto alla componente italiana.</w:t>
      </w:r>
    </w:p>
    <w:p>
      <w:pPr>
        <w:spacing w:after="120" w:line="276"/>
        <w:jc w:val="both"/>
      </w:pPr>
      <w:r>
        <w:rPr>
          <w:rFonts w:ascii="Barlow Semi Condensed" w:cs="Barlow Semi Condensed" w:eastAsia="Barlow Semi Condensed" w:hAnsi="Barlow Semi Condensed"/>
          <w:sz w:val="24"/>
          <w:szCs w:val="24"/>
        </w:rPr>
        <w:t xml:space="preserve">I fatti, con la data esatta. Il 13 aprile 1974, Sabato Santo, il governo portoghese espulse dal Mozambico undici missionari comboniani, come conseguenza del documento denominato \</w:t>
      </w:r>
      <w:r>
        <w:rPr>
          <w:rFonts w:ascii="Barlow Semi Condensed" w:cs="Barlow Semi Condensed" w:eastAsia="Barlow Semi Condensed" w:hAnsi="Barlow Semi Condensed"/>
          <w:i/>
          <w:iCs/>
          <w:sz w:val="24"/>
          <w:szCs w:val="24"/>
        </w:rPr>
        <w:t xml:space="preserve">Imperativo di Coscienza\</w:t>
      </w:r>
      <w:r>
        <w:rPr>
          <w:rFonts w:ascii="Barlow Semi Condensed" w:cs="Barlow Semi Condensed" w:eastAsia="Barlow Semi Condensed" w:hAnsi="Barlow Semi Condensed"/>
          <w:sz w:val="24"/>
          <w:szCs w:val="24"/>
        </w:rPr>
        <w:t xml:space="preserve">, scritto dal vescovo di Nampula Manuel Vieira Pinto e dai comboniani. La data e il numero sono attestati da due fonti indipendenti della congregazione medesima, fra le quali la testimonianza diretta di uno degli espulsi.</w:t>
      </w:r>
    </w:p>
    <w:p>
      <w:pPr>
        <w:spacing w:after="120" w:line="276"/>
        <w:jc w:val="both"/>
      </w:pPr>
      <w:r>
        <w:rPr>
          <w:rFonts w:ascii="Barlow Semi Condensed" w:cs="Barlow Semi Condensed" w:eastAsia="Barlow Semi Condensed" w:hAnsi="Barlow Semi Condensed"/>
          <w:sz w:val="24"/>
          <w:szCs w:val="24"/>
        </w:rPr>
        <w:t xml:space="preserve">Il vescovo fu espulso con loro. Una fonte documentale italiana precisa la composizione del gruppo: insieme al vescovo di Nampula furono espulsi undici missionari comboniani, nove italiani e due portoghesi. La medesima fonte registra che manifestazioni contro di loro furono organizzate anche in Mozambico, e che prima dell'espulsione furono esercitate ripetute pressioni perché i missionari più critici fossero sostituiti dai loro superiori e trasferiti altrove.</w:t>
      </w:r>
    </w:p>
    <w:p>
      <w:pPr>
        <w:spacing w:after="120" w:line="276"/>
        <w:jc w:val="both"/>
      </w:pPr>
      <w:r>
        <w:rPr>
          <w:rFonts w:ascii="Barlow Semi Condensed" w:cs="Barlow Semi Condensed" w:eastAsia="Barlow Semi Condensed" w:hAnsi="Barlow Semi Condensed"/>
          <w:sz w:val="24"/>
          <w:szCs w:val="24"/>
        </w:rPr>
        <w:t xml:space="preserve">Il rilievo per questo studio è diretto e va enunciato senza attenuazioni. Il 13 aprile 1974 nove cittadini italiani furono espulsi da un territorio amministrato da un Paese membro della NATO, per avere sottoscritto con il proprio vescovo un documento sulla condizione del popolo mozambicano. Aldo Moro era ministro degli Esteri della Repubblica italiana, in carica nel quinto governo Rumor da meno di un mese. La protezione consolare dei cittadini italiani espulsi era competenza della Farnesina.</w:t>
      </w:r>
    </w:p>
    <w:p>
      <w:pPr>
        <w:spacing w:after="120" w:line="276"/>
        <w:jc w:val="both"/>
      </w:pPr>
      <w:r>
        <w:rPr>
          <w:rFonts w:ascii="Barlow Semi Condensed" w:cs="Barlow Semi Condensed" w:eastAsia="Barlow Semi Condensed" w:hAnsi="Barlow Semi Condensed"/>
          <w:sz w:val="24"/>
          <w:szCs w:val="24"/>
        </w:rPr>
        <w:t xml:space="preserve">E qui si colloca lo Stato Zero più significativo di questo studio. Nessuna delle fonti reperite documenta un atto del governo italiano in relazione a quella espulsione: né una nota a Lisbona, né una interrogazione parlamentare, né una dichiarazione ministeriale, né un intervento consolare. La sede per l'accertamento è duplice: l'Archivio Storico Diplomatico della Farnesina, serie affari politici e serie contenzioso, Portogallo e Mozambico, 1974; e gli archivi della congregazione comboniana, che conservano la documentazione dei propri membri e che risultano avere pubblicato le testimonianze dirette degli espulsi.</w:t>
      </w:r>
    </w:p>
    <w:p>
      <w:pPr>
        <w:spacing w:after="120" w:line="276"/>
        <w:jc w:val="both"/>
      </w:pPr>
      <w:r>
        <w:rPr>
          <w:rFonts w:ascii="Barlow Semi Condensed" w:cs="Barlow Semi Condensed" w:eastAsia="Barlow Semi Condensed" w:hAnsi="Barlow Semi Condensed"/>
          <w:sz w:val="24"/>
          <w:szCs w:val="24"/>
        </w:rPr>
        <w:t xml:space="preserve">I tredici giorni. L'espulsione è del 13 aprile. La Rivoluzione dei garofani è del 25 aprile. Dodici giorni separano l'atto di forza dal crollo del potere che lo compì. Uno degli espulsi registra nella propria testimonianza che qualche mese più tardi era di ritorno. Il vescovo tornò dopo un anno in un Mozambico divenuto repubblica socialista, e la fonte registra che fu accolto con immenso giubilo dalla propria diocesi.</w:t>
      </w:r>
    </w:p>
    <w:p>
      <w:pPr>
        <w:spacing w:after="120" w:line="276"/>
        <w:jc w:val="both"/>
      </w:pPr>
      <w:r>
        <w:rPr>
          <w:rFonts w:ascii="Barlow Semi Condensed" w:cs="Barlow Semi Condensed" w:eastAsia="Barlow Semi Condensed" w:hAnsi="Barlow Semi Condensed"/>
          <w:sz w:val="24"/>
          <w:szCs w:val="24"/>
        </w:rPr>
        <w:t xml:space="preserve">La coincidenza va classificata con esattezza, e non promossa. Che il regime abbia espulso nove italiani dodici giorni prima di cadere non stabilisce alcun nesso fra le due cose. Stabilisce che l'apparato repressivo coloniale funzionava a pieno regime fino alla vigilia, e che le sue ultime vittime amministrative furono, in prevalenza, cittadini di un Paese alleato.</w:t>
      </w:r>
    </w:p>
    <w:p>
      <w:pPr>
        <w:spacing w:after="120" w:line="276"/>
        <w:jc w:val="both"/>
      </w:pPr>
      <w:r>
        <w:rPr>
          <w:rFonts w:ascii="Barlow Semi Condensed" w:cs="Barlow Semi Condensed" w:eastAsia="Barlow Semi Condensed" w:hAnsi="Barlow Semi Condensed"/>
          <w:sz w:val="24"/>
          <w:szCs w:val="24"/>
        </w:rPr>
        <w:t xml:space="preserve">Un ulteriore elemento va registrato per completezza. Le fonti attestano che i primi ad essere espulsi, prima del gruppo dell'aprile 1974, furono i due missionari firmatari di un documento anteriore, i quali trascorsero ventitre mesi nelle prigioni governative di Lourenço Marques e furono poi espulsi nel novembre successivo. La sequenza mostra che l'espulsione del Sabato Santo non fu un episodio ma il termine di una prassi.</w:t>
      </w:r>
    </w:p>
    <w:p>
      <w:pPr>
        <w:pStyle w:val="Heading2"/>
        <w:spacing w:after="100" w:before="200"/>
      </w:pPr>
      <w:r>
        <w:rPr>
          <w:rFonts w:ascii="Barlow Semi Condensed" w:cs="Barlow Semi Condensed" w:eastAsia="Barlow Semi Condensed" w:hAnsi="Barlow Semi Condensed"/>
          <w:sz w:val="24"/>
          <w:szCs w:val="24"/>
        </w:rPr>
        <w:t xml:space="preserve">Capitolo settimo — Il Concordato del 1940 e il protocollo del 15 febbraio 1975</w:t>
      </w:r>
    </w:p>
    <w:p>
      <w:pPr>
        <w:spacing w:after="120" w:line="276"/>
        <w:jc w:val="both"/>
      </w:pPr>
      <w:r>
        <w:rPr>
          <w:rFonts w:ascii="Barlow Semi Condensed" w:cs="Barlow Semi Condensed" w:eastAsia="Barlow Semi Condensed" w:hAnsi="Barlow Semi Condensed"/>
          <w:sz w:val="24"/>
          <w:szCs w:val="24"/>
        </w:rPr>
        <w:t xml:space="preserve">Il terzo nodo è di natura giuridica, e produce il confronto più istruttivo con il caso italiano.</w:t>
      </w:r>
    </w:p>
    <w:p>
      <w:pPr>
        <w:spacing w:after="120" w:line="276"/>
        <w:jc w:val="both"/>
      </w:pPr>
      <w:r>
        <w:rPr>
          <w:rFonts w:ascii="Barlow Semi Condensed" w:cs="Barlow Semi Condensed" w:eastAsia="Barlow Semi Condensed" w:hAnsi="Barlow Semi Condensed"/>
          <w:sz w:val="24"/>
          <w:szCs w:val="24"/>
        </w:rPr>
        <w:t xml:space="preserve">Il quadro. Il 7 maggio 1940 furono firmati in Vaticano, lo stesso giorno, il Concordato fra Santa Sede e Repubblica portoghese e l'Accordo missionario, sotto il pontificato di Pio XII e il governo di Salazar; la ratifica dell'Assemblea nazionale è del 30 maggio 1940. Era il quinto concordato della storia portoghese, e chiudeva la questione religiosa aperta dalla Legge di separazione del 1911 e dalla rottura delle relazioni diplomatiche che ne era seguita fino al 1918.</w:t>
      </w:r>
    </w:p>
    <w:p>
      <w:pPr>
        <w:spacing w:after="120" w:line="276"/>
        <w:jc w:val="both"/>
      </w:pPr>
      <w:r>
        <w:rPr>
          <w:rFonts w:ascii="Barlow Semi Condensed" w:cs="Barlow Semi Condensed" w:eastAsia="Barlow Semi Condensed" w:hAnsi="Barlow Semi Condensed"/>
          <w:sz w:val="24"/>
          <w:szCs w:val="24"/>
        </w:rPr>
        <w:t xml:space="preserve">Una fonte scientifica italiana precisa la funzione dell'Accordo missionario, ed è il dato che collega il concordato alla materia coloniale: in termini istituzionali la Chiesa cattolica collaborò con l'Estado Novo nel processo di colonizzazione dell'Africa portoghese, e il Concordato e specialmente l'Accordo missionario, entrambi del 1940, definirono le basi formali di quella cooperazione, incorporando l'azione missionaria nell'impresa coloniale. Non è dunque una coincidenza che la dissidenza missionaria degli anni Settanta assumesse rilievo politico: essa contestava un rapporto che un atto concordatario aveva istituito.</w:t>
      </w:r>
    </w:p>
    <w:p>
      <w:pPr>
        <w:spacing w:after="120" w:line="276"/>
        <w:jc w:val="both"/>
      </w:pPr>
      <w:r>
        <w:rPr>
          <w:rFonts w:ascii="Barlow Semi Condensed" w:cs="Barlow Semi Condensed" w:eastAsia="Barlow Semi Condensed" w:hAnsi="Barlow Semi Condensed"/>
          <w:sz w:val="24"/>
          <w:szCs w:val="24"/>
        </w:rPr>
        <w:t xml:space="preserve">La longevità va registrata perché è essa stessa un dato. Il Concordato rimase in vigore fino al 2004, quando fu sostituito da un nuovo accordo. Una fonte enciclopedica portoghese osserva che, sebbene negoziato personalmente da Salazar e connotato con l'Estado Novo, esso sopravvisse trentaquattro anni in regime autoritario e trenta in regime democratico, e che il testo sopravvisse intatto avendo subito una sola modifica, nel 1975.</w:t>
      </w:r>
    </w:p>
    <w:p>
      <w:pPr>
        <w:spacing w:after="120" w:line="276"/>
        <w:jc w:val="both"/>
      </w:pPr>
      <w:r>
        <w:rPr>
          <w:rFonts w:ascii="Barlow Semi Condensed" w:cs="Barlow Semi Condensed" w:eastAsia="Barlow Semi Condensed" w:hAnsi="Barlow Semi Condensed"/>
          <w:sz w:val="24"/>
          <w:szCs w:val="24"/>
        </w:rPr>
        <w:t xml:space="preserve">Quella modifica è il documento chiave di questo capitolo. Il Protocollo addizionale al Concordato, fatto in Città del Vaticano il 15 febbraio 1975, modificò l'articolo ventiquattresimo, ponendo fine alla rinuncia legale al divorzio per i matrimoni cattolici posteriori al Concordato. Il testo, disponibile in fonte ecclesiastica ufficiale, è sottoscritto da Giovanni cardinale Villot per la Santa Sede e da Francisco Salgado Zenha per il governo portoghese, e conserva in vigore tutti gli altri articoli del 1940.</w:t>
      </w:r>
    </w:p>
    <w:p>
      <w:pPr>
        <w:spacing w:after="120" w:line="276"/>
        <w:jc w:val="both"/>
      </w:pPr>
      <w:r>
        <w:rPr>
          <w:rFonts w:ascii="Barlow Semi Condensed" w:cs="Barlow Semi Condensed" w:eastAsia="Barlow Semi Condensed" w:hAnsi="Barlow Semi Condensed"/>
          <w:sz w:val="24"/>
          <w:szCs w:val="24"/>
        </w:rPr>
        <w:t xml:space="preserve">Il rilievo va enunciato con precisione, perché è di sostanza. Salgado Zenha era ministro della Giustizia del governo provvisorio uscito dalla Rivoluzione dei garofani. Nove mesi e mezzo dopo il 25 aprile 1974, il Portogallo rivoluzionario e la Santa Sede modificavano il concordato salazariano su un solo articolo, quello matrimoniale, lasciando in vigore tutto il resto.</w:t>
      </w:r>
    </w:p>
    <w:p>
      <w:pPr>
        <w:spacing w:after="120" w:line="276"/>
        <w:jc w:val="both"/>
      </w:pPr>
      <w:r>
        <w:rPr>
          <w:rFonts w:ascii="Barlow Semi Condensed" w:cs="Barlow Semi Condensed" w:eastAsia="Barlow Semi Condensed" w:hAnsi="Barlow Semi Condensed"/>
          <w:sz w:val="24"/>
          <w:szCs w:val="24"/>
        </w:rPr>
        <w:t xml:space="preserve">E un dettaglio storiografico merita di essere riportato perché rovescia l'aspettativa. La fonte portoghese osserva che, curiosamente, quello era un punto sul quale Salazar aveva accettato a malincuore la posizione della Santa Sede, avendo a suo tempo lasciato chiaro che non era a suo giudizio la soluzione migliore; e che la formula alternativa consacrata nella revisione del 1975 fu precisamente quella che Salazar e i suoi consiglieri avevano suggerito alla Santa Sede nel 1937.</w:t>
      </w:r>
    </w:p>
    <w:p>
      <w:pPr>
        <w:spacing w:after="120" w:line="276"/>
        <w:jc w:val="both"/>
      </w:pPr>
      <w:r>
        <w:rPr>
          <w:rFonts w:ascii="Barlow Semi Condensed" w:cs="Barlow Semi Condensed" w:eastAsia="Barlow Semi Condensed" w:hAnsi="Barlow Semi Condensed"/>
          <w:sz w:val="24"/>
          <w:szCs w:val="24"/>
        </w:rPr>
        <w:t xml:space="preserve">Ne discende una risultanza che va registrata per quello che è: la modifica ottenuta dal governo rivoluzionario nel 1975 coincideva con la proposta che il fondatore del regime aveva avanzato trentotto anni prima e che la Santa Sede aveva allora respinto.</w:t>
      </w:r>
    </w:p>
    <w:p>
      <w:pPr>
        <w:pStyle w:val="Heading2"/>
        <w:spacing w:after="100" w:before="200"/>
      </w:pPr>
      <w:r>
        <w:rPr>
          <w:rFonts w:ascii="Barlow Semi Condensed" w:cs="Barlow Semi Condensed" w:eastAsia="Barlow Semi Condensed" w:hAnsi="Barlow Semi Condensed"/>
          <w:sz w:val="24"/>
          <w:szCs w:val="24"/>
        </w:rPr>
        <w:t xml:space="preserve">Capitolo ottavo — Il confronto italiano: due concordati, due divorzi, due tempi</w:t>
      </w:r>
    </w:p>
    <w:p>
      <w:pPr>
        <w:spacing w:after="120" w:line="276"/>
        <w:jc w:val="both"/>
      </w:pPr>
      <w:r>
        <w:rPr>
          <w:rFonts w:ascii="Barlow Semi Condensed" w:cs="Barlow Semi Condensed" w:eastAsia="Barlow Semi Condensed" w:hAnsi="Barlow Semi Condensed"/>
          <w:sz w:val="24"/>
          <w:szCs w:val="24"/>
        </w:rPr>
        <w:t xml:space="preserve">Il capitolo trae la conseguenza comparativa del precedente, ed è la triangolazione più solida di questo studio perché poggia su due atti datati e su nessuna inferenza.</w:t>
      </w:r>
    </w:p>
    <w:p>
      <w:pPr>
        <w:spacing w:after="120" w:line="276"/>
        <w:jc w:val="both"/>
      </w:pPr>
      <w:r>
        <w:rPr>
          <w:rFonts w:ascii="Barlow Semi Condensed" w:cs="Barlow Semi Condensed" w:eastAsia="Barlow Semi Condensed" w:hAnsi="Barlow Semi Condensed"/>
          <w:sz w:val="24"/>
          <w:szCs w:val="24"/>
        </w:rPr>
        <w:t xml:space="preserve">I termini del confronto. In Portogallo, la questione del divorzio per i matrimoni cattolici, disciplinata dall'articolo ventiquattresimo del Concordato del 1940, fu risolta con il Protocollo addizionale del 15 febbraio 1975, nove mesi e mezzo dopo il mutamento di regime.</w:t>
      </w:r>
    </w:p>
    <w:p>
      <w:pPr>
        <w:spacing w:after="120" w:line="276"/>
        <w:jc w:val="both"/>
      </w:pPr>
      <w:r>
        <w:rPr>
          <w:rFonts w:ascii="Barlow Semi Condensed" w:cs="Barlow Semi Condensed" w:eastAsia="Barlow Semi Condensed" w:hAnsi="Barlow Semi Condensed"/>
          <w:sz w:val="24"/>
          <w:szCs w:val="24"/>
        </w:rPr>
        <w:t xml:space="preserve">In Italia, la questione del divorzio fu risolta per via legislativa con la legge del 1970 e confermata dal referendum del 12 maggio 1974, che ne respinse l'abrogazione. La revisione del Concordato lateranense, il cui iter fu ricostruito da uno studio universitario italiano per il periodo 1969-1984, si concluse con l'Accordo di Villa Madama del 18 febbraio 1984.</w:t>
      </w:r>
    </w:p>
    <w:p>
      <w:pPr>
        <w:spacing w:after="120" w:line="276"/>
        <w:jc w:val="both"/>
      </w:pPr>
      <w:r>
        <w:rPr>
          <w:rFonts w:ascii="Barlow Semi Condensed" w:cs="Barlow Semi Condensed" w:eastAsia="Barlow Semi Condensed" w:hAnsi="Barlow Semi Condensed"/>
          <w:sz w:val="24"/>
          <w:szCs w:val="24"/>
        </w:rPr>
        <w:t xml:space="preserve">Il confronto dà questo. Il medesimo ordine di questione — la clausola matrimoniale di un concordato con la Santa Sede — fu chiuso in Portogallo in nove mesi e in Italia in quattordici anni dal referendum, o in quindici dalla legge.</w:t>
      </w:r>
    </w:p>
    <w:p>
      <w:pPr>
        <w:spacing w:after="120" w:line="276"/>
        <w:jc w:val="both"/>
      </w:pPr>
      <w:r>
        <w:rPr>
          <w:rFonts w:ascii="Barlow Semi Condensed" w:cs="Barlow Semi Condensed" w:eastAsia="Barlow Semi Condensed" w:hAnsi="Barlow Semi Condensed"/>
          <w:sz w:val="24"/>
          <w:szCs w:val="24"/>
        </w:rPr>
        <w:t xml:space="preserve">Ciò che il confronto stabilisce e ciò che non stabilisce. Stabilisce che la Santa Sede accettò rapidamente una modifica concordataria da un governo rivoluzionario appena insediato, e lentamente una modifica concordataria da un governo democratico consolidato e di lunga tradizione cattolica. Non stabilisce alcuna intenzione, e le spiegazioni possibili sono almeno tre: la maggiore ampiezza della revisione italiana, che riguardava l'intero Concordato e non un solo articolo; il diverso peso politico dei due interlocutori; la circostanza che il testo adottato nel 1975 fosse già stato proposto dalla parte portoghese nel 1937 e dunque non richiedesse elaborazione nuova. Nessuna delle tre è accertata come prevalente.</w:t>
      </w:r>
    </w:p>
    <w:p>
      <w:pPr>
        <w:spacing w:after="120" w:line="276"/>
        <w:jc w:val="both"/>
      </w:pPr>
      <w:r>
        <w:rPr>
          <w:rFonts w:ascii="Barlow Semi Condensed" w:cs="Barlow Semi Condensed" w:eastAsia="Barlow Semi Condensed" w:hAnsi="Barlow Semi Condensed"/>
          <w:sz w:val="24"/>
          <w:szCs w:val="24"/>
        </w:rPr>
        <w:t xml:space="preserve">Il contesto italiano del 1974 va registrato perché tocca Moro direttamente. Il referendum del 12 maggio 1974 cadde diciassette giorni dopo la Rivoluzione dei garofani, e Moro era ministro degli Esteri. La sconfitta referendaria della posizione sostenuta dalla Democrazia Cristiana modificò il rapporto fra il partito e la Chiesa e, secondo la storiografia, pesò sulla strategia morotea verso il Partito Comunista.</w:t>
      </w:r>
    </w:p>
    <w:p>
      <w:pPr>
        <w:spacing w:after="120" w:line="276"/>
        <w:jc w:val="both"/>
      </w:pPr>
      <w:r>
        <w:rPr>
          <w:rFonts w:ascii="Barlow Semi Condensed" w:cs="Barlow Semi Condensed" w:eastAsia="Barlow Semi Condensed" w:hAnsi="Barlow Semi Condensed"/>
          <w:sz w:val="24"/>
          <w:szCs w:val="24"/>
        </w:rPr>
        <w:t xml:space="preserve">E qui si colloca la contemporaneità più notevole dell'intero studio, che va classificata come tale e non oltre. Nella primavera del 1974 Moro affrontava simultaneamente: un referendum interno che indeboliva la posizione del proprio partito verso la Chiesa; la caduta di un regime autoritario alleato nella NATO, sostituito da un processo rivoluzionario nel quale un partito comunista aveva peso rilevante; e la propria strategia di apertura verso il Partito Comunista italiano. Che i tre elementi si siano influenzati a vicenda non è documentato da alcuna fonte reperita, e non va inferito dalla loro coincidenza. Si registra che il caso portoghese rese urgente, in sede atlantica, la questione della compatibilità fra appartenenza all'Alleanza e presenza comunista al governo — la medesima questione che Moro affrontava in Italia.</w:t>
      </w:r>
    </w:p>
    <w:p>
      <w:pPr>
        <w:pStyle w:val="Heading2"/>
        <w:spacing w:after="100" w:before="200"/>
      </w:pPr>
      <w:r>
        <w:rPr>
          <w:rFonts w:ascii="Barlow Semi Condensed" w:cs="Barlow Semi Condensed" w:eastAsia="Barlow Semi Condensed" w:hAnsi="Barlow Semi Condensed"/>
          <w:sz w:val="24"/>
          <w:szCs w:val="24"/>
        </w:rPr>
        <w:t xml:space="preserve">Capitolo nono — La Rivoluzione dei garofani e la posizione italiana: Stato Zero</w:t>
      </w:r>
    </w:p>
    <w:p>
      <w:pPr>
        <w:spacing w:after="120" w:line="276"/>
        <w:jc w:val="both"/>
      </w:pPr>
      <w:r>
        <w:rPr>
          <w:rFonts w:ascii="Barlow Semi Condensed" w:cs="Barlow Semi Condensed" w:eastAsia="Barlow Semi Condensed" w:hAnsi="Barlow Semi Condensed"/>
          <w:sz w:val="24"/>
          <w:szCs w:val="24"/>
        </w:rPr>
        <w:t xml:space="preserve">Il capitolo è breve, e la brevità è la risultanza.</w:t>
      </w:r>
    </w:p>
    <w:p>
      <w:pPr>
        <w:spacing w:after="120" w:line="276"/>
        <w:jc w:val="both"/>
      </w:pPr>
      <w:r>
        <w:rPr>
          <w:rFonts w:ascii="Barlow Semi Condensed" w:cs="Barlow Semi Condensed" w:eastAsia="Barlow Semi Condensed" w:hAnsi="Barlow Semi Condensed"/>
          <w:sz w:val="24"/>
          <w:szCs w:val="24"/>
        </w:rPr>
        <w:t xml:space="preserve">I fatti portoghesi sono accertati e non controversi. Il 25 aprile 1974 il Movimento delle Forze Armate rovesciò l'Estado Novo. Alle diciotto il generale António de Spínola, incaricato delle trattative di resa, raggiunse Caetano; alle diciannove e trenta il capo del governo si arrese. Le ultime forze lealiste furono gli agenti della Direzione generale per la sicurezza, la polizia politica succeduta alla PIDE, che rimasero asserragliati nel proprio comando e spararono sulla folla uccidendo quattro persone e ferendone quarantacinque, arrendendosi verso le ventidue. Alle ventitre e venti Spínola firmò la Legge numero uno, sulla destituzione dei dirigenti, che dispose la destituzione del Presidente e del Primo ministro, lo scioglimento dell'Assemblea nazionale e del Consiglio di Stato, e il passaggio dei poteri alla Giunta di salvezza nazionale. Seguirono i decreti che disposero lo scioglimento del partito unico, della Direzione generale per la sicurezza, della Legione portoghese e delle altre associazioni del regime. Il 26 aprile furono liberati i prigionieri politici; il 1 maggio, alla manifestazione di Lisbona, parteciparono un milione di persone.</w:t>
      </w:r>
    </w:p>
    <w:p>
      <w:pPr>
        <w:spacing w:after="120" w:line="276"/>
        <w:jc w:val="both"/>
      </w:pPr>
      <w:r>
        <w:rPr>
          <w:rFonts w:ascii="Barlow Semi Condensed" w:cs="Barlow Semi Condensed" w:eastAsia="Barlow Semi Condensed" w:hAnsi="Barlow Semi Condensed"/>
          <w:sz w:val="24"/>
          <w:szCs w:val="24"/>
        </w:rPr>
        <w:t xml:space="preserve">Che cosa la ricerca non ha trovato. Nessuna fonte reperita documenta: la posizione ufficiale del governo italiano nelle ore e nei giorni successivi; dichiarazioni di Moro sul mutamento portoghese; atti parlamentari italiani sul Portogallo fra aprile e novembre 1974; il riconoscimento del nuovo governo portoghese da parte italiana; la posizione italiana durante l'estate del 1975 e il tentativo di svolta comunista; l'atteggiamento italiano verso il Partito Comunista Portoghese e verso il Partito Socialista.</w:t>
      </w:r>
    </w:p>
    <w:p>
      <w:pPr>
        <w:spacing w:after="120" w:line="276"/>
        <w:jc w:val="both"/>
      </w:pPr>
      <w:r>
        <w:rPr>
          <w:rFonts w:ascii="Barlow Semi Condensed" w:cs="Barlow Semi Condensed" w:eastAsia="Barlow Semi Condensed" w:hAnsi="Barlow Semi Condensed"/>
          <w:sz w:val="24"/>
          <w:szCs w:val="24"/>
        </w:rPr>
        <w:t xml:space="preserve">Si registra Stato Zero su tutti e sette i punti. La sede per l'accertamento è triplice: l'Archivio Storico Diplomatico della Farnesina, serie affari politici, Portogallo, 1974-1975; i resoconti stenografici di Camera e Senato per la sesta legislatura, con le banche dati dei dibattiti; e la raccolta ufficiale dei discorsi parlamentari di Moro, che indicizza gli interventi per data.</w:t>
      </w:r>
    </w:p>
    <w:p>
      <w:pPr>
        <w:spacing w:after="120" w:line="276"/>
        <w:jc w:val="both"/>
      </w:pPr>
      <w:r>
        <w:rPr>
          <w:rFonts w:ascii="Barlow Semi Condensed" w:cs="Barlow Semi Condensed" w:eastAsia="Barlow Semi Condensed" w:hAnsi="Barlow Semi Condensed"/>
          <w:sz w:val="24"/>
          <w:szCs w:val="24"/>
        </w:rPr>
        <w:t xml:space="preserve">Va enunciata una avvertenza sulla lettura di questo Stato Zero, perché è la medesima già formulata nei tre studi anteriori e vale con eguale forza. L'assenza di riscontro non è prova dell'assenza del fatto: è assenza di documentazione reperibile per via telematica. Un governo che avesse taciuto su un mutamento di regime in un Paese alleato costituirebbe un dato notevole; ma che esso abbia taciuto non è stabilito, e la verifica richiede lo spoglio degli atti parlamentari, che è operazione possibile e non condotta.</w:t>
      </w:r>
    </w:p>
    <w:p>
      <w:pPr>
        <w:spacing w:after="120" w:line="276"/>
        <w:jc w:val="both"/>
      </w:pPr>
      <w:r>
        <w:rPr>
          <w:rFonts w:ascii="Barlow Semi Condensed" w:cs="Barlow Semi Condensed" w:eastAsia="Barlow Semi Condensed" w:hAnsi="Barlow Semi Condensed"/>
          <w:sz w:val="24"/>
          <w:szCs w:val="24"/>
        </w:rPr>
        <w:t xml:space="preserve">Un solo dato di contesto è documentato e va riportato per la sua rilevanza atlantica. La caduta del regime portoghese apriva nell'Alleanza atlantica la questione di un Paese membro nel cui governo provvisorio operavano forze comuniste. Nel medesimo 1974 la Grecia dei colonnelli cadeva, la crisi di Cipro esplodeva, e la Spagna entrava nell'ultimo anno di Franco. Tre regimi autoritari del fianco sud entravano in crisi simultaneamente, mentre in Italia si discuteva di un accordo con il Partito Comunista. La constatazione è di fatto; la sua interpretazione non appartiene a questa ricognizione.</w:t>
      </w:r>
    </w:p>
    <w:p>
      <w:pPr>
        <w:pStyle w:val="Heading2"/>
        <w:spacing w:after="100" w:before="200"/>
      </w:pPr>
      <w:r>
        <w:rPr>
          <w:rFonts w:ascii="Barlow Semi Condensed" w:cs="Barlow Semi Condensed" w:eastAsia="Barlow Semi Condensed" w:hAnsi="Barlow Semi Condensed"/>
          <w:sz w:val="24"/>
          <w:szCs w:val="24"/>
        </w:rPr>
        <w:t xml:space="preserve">Capitolo decimo — Aginter Press e gli archivi della polizia politica: cautela obbligata</w:t>
      </w:r>
    </w:p>
    <w:p>
      <w:pPr>
        <w:spacing w:after="120" w:line="276"/>
        <w:jc w:val="both"/>
      </w:pPr>
      <w:r>
        <w:rPr>
          <w:rFonts w:ascii="Barlow Semi Condensed" w:cs="Barlow Semi Condensed" w:eastAsia="Barlow Semi Condensed" w:hAnsi="Barlow Semi Condensed"/>
          <w:sz w:val="24"/>
          <w:szCs w:val="24"/>
        </w:rPr>
        <w:t xml:space="preserve">Il capitolo è breve per una ragione che va dichiarata: su questa materia la pubblicistica è abbondantissima e la documentazione reperibile in questa ricognizione è nulla.</w:t>
      </w:r>
    </w:p>
    <w:p>
      <w:pPr>
        <w:spacing w:after="120" w:line="276"/>
        <w:jc w:val="both"/>
      </w:pPr>
      <w:r>
        <w:rPr>
          <w:rFonts w:ascii="Barlow Semi Condensed" w:cs="Barlow Semi Condensed" w:eastAsia="Barlow Semi Condensed" w:hAnsi="Barlow Semi Condensed"/>
          <w:sz w:val="24"/>
          <w:szCs w:val="24"/>
        </w:rPr>
        <w:t xml:space="preserve">Che cosa la ricerca non ha prodotto. Nessuna fonte primaria, nessuno studio peer-reviewed, nessun atto parlamentare italiano è stato reperito, in questa ricognizione, sull'agenzia Aginter Press di Lisbona, sui suoi rapporti con la polizia politica portoghese, sulla sua eventuale funzione nella controinsurrezione coloniale o sui suoi legami con ambienti dell'eversione italiana. Si registra Stato Zero integrale su tutti questi punti.</w:t>
      </w:r>
    </w:p>
    <w:p>
      <w:pPr>
        <w:spacing w:after="120" w:line="276"/>
        <w:jc w:val="both"/>
      </w:pPr>
      <w:r>
        <w:rPr>
          <w:rFonts w:ascii="Barlow Semi Condensed" w:cs="Barlow Semi Condensed" w:eastAsia="Barlow Semi Condensed" w:hAnsi="Barlow Semi Condensed"/>
          <w:sz w:val="24"/>
          <w:szCs w:val="24"/>
        </w:rPr>
        <w:t xml:space="preserve">Perché la cautela è qui obbligata più che altrove. Il progetto dispone già di materiale proprio su questo soggetto, e la disciplina che si è dato impone di non trattarlo per via di rassegna generica quando le fonti primarie non siano state interrogate. In particolare va richiamato che l'isomorfismo strutturale fra due reti — la somiglianza fra un'agenzia di Lisbona e strutture italiane — è stato dichiarato strumento sospeso da un atto di declassamento del progetto medesimo, per la ragione che due strutture codificate ciascuna attorno al proprio nucleo presentano necessariamente forma simile. Ogni trattazione che poggiasse su quella somiglianza sarebbe pertanto inammissibile allo stato.</w:t>
      </w:r>
    </w:p>
    <w:p>
      <w:pPr>
        <w:spacing w:after="120" w:line="276"/>
        <w:jc w:val="both"/>
      </w:pPr>
      <w:r>
        <w:rPr>
          <w:rFonts w:ascii="Barlow Semi Condensed" w:cs="Barlow Semi Condensed" w:eastAsia="Barlow Semi Condensed" w:hAnsi="Barlow Semi Condensed"/>
          <w:sz w:val="24"/>
          <w:szCs w:val="24"/>
        </w:rPr>
        <w:t xml:space="preserve">Che cosa andrebbe fatto, e dove. L'accertamento richiede il fondo PIDE-DGS conservato presso l'Arquivo Nacional da Torre do Tombo, aperto dopo il 25 aprile 1974, con il portale digitalarq.arquivos.pt; e il fondo del Ministério dos Negócios Estrangeiros presso il medesimo archivio, oltre all'archivio storico-diplomatico portoghese. È materia che richiede accesso fisico e conoscenza del portoghese archivistico, e non è surrogabile con ricognizione telematica.</w:t>
      </w:r>
    </w:p>
    <w:p>
      <w:pPr>
        <w:spacing w:after="120" w:line="276"/>
        <w:jc w:val="both"/>
      </w:pPr>
      <w:r>
        <w:rPr>
          <w:rFonts w:ascii="Barlow Semi Condensed" w:cs="Barlow Semi Condensed" w:eastAsia="Barlow Semi Condensed" w:hAnsi="Barlow Semi Condensed"/>
          <w:sz w:val="24"/>
          <w:szCs w:val="24"/>
        </w:rPr>
        <w:t xml:space="preserve">Una osservazione di metodo va aggiunta, poiché vale per l'intero studio. L'apertura degli archivi della polizia politica portoghese dopo il 25 aprile 1974 costituisce uno dei rari casi in cui un archivio di apparato di sicurezza è divenuto accessibile in conseguenza di un mutamento di regime. Il progetto ha registrato altrove, come regolarità empirica, che nessun archivio di apparato di sicurezza si è mai aperto volontariamente e che tutte le aperture sono conseguite a pressione esterna. Il caso portoghese conferma la regolarità e ne costituisce l'esempio più netto: l'archivio si aprì perché il regime che lo teneva chiuso cessò di esistere.</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con il loro grado e con ciò che non stabiliscono</w:t>
      </w:r>
    </w:p>
    <w:p>
      <w:pPr>
        <w:spacing w:after="120" w:line="276"/>
        <w:jc w:val="both"/>
      </w:pPr>
      <w:r>
        <w:rPr>
          <w:rFonts w:ascii="Barlow Semi Condensed" w:cs="Barlow Semi Condensed" w:eastAsia="Barlow Semi Condensed" w:hAnsi="Barlow Semi Condensed"/>
          <w:sz w:val="24"/>
          <w:szCs w:val="24"/>
        </w:rPr>
        <w:t xml:space="preserve">Si espongono le triangolazioni reperite. Sono cinque, e due di esse hanno grado più alto di qualunque triangolazione dei tre studi anteriori.</w:t>
      </w:r>
    </w:p>
    <w:p>
      <w:pPr>
        <w:spacing w:after="120" w:line="276"/>
        <w:jc w:val="both"/>
      </w:pPr>
      <w:r>
        <w:rPr>
          <w:rFonts w:ascii="Barlow Semi Condensed" w:cs="Barlow Semi Condensed" w:eastAsia="Barlow Semi Condensed" w:hAnsi="Barlow Semi Condensed"/>
          <w:sz w:val="24"/>
          <w:szCs w:val="24"/>
        </w:rPr>
        <w:t xml:space="preserve">Prima triangolazione: la settimana romana del 1970. Grado alto quanto ai fatti, su fonti convergenti e su una fonte scientifica. Contenuto: dal 27 al 29 giugno 1970 si tenne a Roma, su territorio italiano, una conferenza internazionale di solidarietà con i popoli delle colonie portoghesi, con centosettantasette organizzazioni da sessantaquattro Paesi; il 1 luglio Paolo VI ricevette in udienza privata i tre leader dei movimenti di liberazione; il Portogallo richiamò il proprio ambasciatore presso la Santa Sede e protestò ufficialmente. Ciò che non stabilisce: nessuna posizione del governo italiano risulta documentata, né sulla conferenza né sull'udienza né sulla protesta. È una comunanza di luogo e di tempo fra un atto vaticano e un evento su territorio italiano, senza alcun nesso documentato fra i due.</w:t>
      </w:r>
    </w:p>
    <w:p>
      <w:pPr>
        <w:spacing w:after="120" w:line="276"/>
        <w:jc w:val="both"/>
      </w:pPr>
      <w:r>
        <w:rPr>
          <w:rFonts w:ascii="Barlow Semi Condensed" w:cs="Barlow Semi Condensed" w:eastAsia="Barlow Semi Condensed" w:hAnsi="Barlow Semi Condensed"/>
          <w:sz w:val="24"/>
          <w:szCs w:val="24"/>
        </w:rPr>
        <w:t xml:space="preserve">Seconda triangolazione: l'espulsione del 13 aprile 1974. Grado alto quanto ai fatti, su fonti della congregazione interessata e su fonte documentale italiana. Contenuto: nove cittadini italiani e due portoghesi, missionari comboniani, furono espulsi dal Mozambico insieme al vescovo di Nampula, dodici giorni prima della caduta del regime che li espelleva, per avere sottoscritto un documento sulla condizione del popolo mozambicano. Ciò che non stabilisce: nessun atto del governo italiano risulta documentato. È la triangolazione di grado più alto dell'intero studio, poiché coinvolge cittadini italiani, un'istituzione ecclesiastica e un atto di autorità portoghese, ed è datata al giorno.</w:t>
      </w:r>
    </w:p>
    <w:p>
      <w:pPr>
        <w:spacing w:after="120" w:line="276"/>
        <w:jc w:val="both"/>
      </w:pPr>
      <w:r>
        <w:rPr>
          <w:rFonts w:ascii="Barlow Semi Condensed" w:cs="Barlow Semi Condensed" w:eastAsia="Barlow Semi Condensed" w:hAnsi="Barlow Semi Condensed"/>
          <w:sz w:val="24"/>
          <w:szCs w:val="24"/>
        </w:rPr>
        <w:t xml:space="preserve">Terza triangolazione: la documentazione giunta a Roma per via ecclesiastica. Grado medio, su fonte documentale italiana. Contenuto: un missionario comboniano, arrestato nel 1971 e poi esule, consegnò documentazione particolareggiata sui massacri coloniali a un giornale cattolico a Roma, e la reazione del governo portoghese si esercitò anche per vie diplomatiche. Ciò che non stabilisce: non è documentato che la Farnesina ne fosse informata né che ne facesse uso. È un transito di informazione attraverso Roma per canale non governativo.</w:t>
      </w:r>
    </w:p>
    <w:p>
      <w:pPr>
        <w:spacing w:after="120" w:line="276"/>
        <w:jc w:val="both"/>
      </w:pPr>
      <w:r>
        <w:rPr>
          <w:rFonts w:ascii="Barlow Semi Condensed" w:cs="Barlow Semi Condensed" w:eastAsia="Barlow Semi Condensed" w:hAnsi="Barlow Semi Condensed"/>
          <w:sz w:val="24"/>
          <w:szCs w:val="24"/>
        </w:rPr>
        <w:t xml:space="preserve">Quarta triangolazione: i due concordati e i due tempi. Grado alto quanto ai due atti, su fonte ecclesiastica ufficiale per il protocollo portoghese e su studio universitario per l'iter italiano. Contenuto: la clausola matrimoniale del concordato portoghese fu modificata il 15 febbraio 1975, nove mesi dopo il mutamento di regime; quella del Concordato lateranense attese il 1984. Ciò che non stabilisce: nessuna intenzione, e tre spiegazioni concorrenti restano aperte. È una convergenza di materia con divergenza di tempi, e la sua interpretazione richiede la documentazione vaticana, non accessibile.</w:t>
      </w:r>
    </w:p>
    <w:p>
      <w:pPr>
        <w:spacing w:after="120" w:line="276"/>
        <w:jc w:val="both"/>
      </w:pPr>
      <w:r>
        <w:rPr>
          <w:rFonts w:ascii="Barlow Semi Condensed" w:cs="Barlow Semi Condensed" w:eastAsia="Barlow Semi Condensed" w:hAnsi="Barlow Semi Condensed"/>
          <w:sz w:val="24"/>
          <w:szCs w:val="24"/>
        </w:rPr>
        <w:t xml:space="preserve">Quinta triangolazione: la simultaneità del 1974. Grado alto quanto ai fatti, nullo quanto a ogni conseguenza. Contenuto: nella primavera del 1974 cadono il regime portoghese e quello dei colonnelli greci, esplode la crisi di Cipro, la Spagna entra nell'ultimo anno di Franco, e in Italia il referendum del 12 maggio indebolisce la posizione democristiana verso la Chiesa mentre Moro conduce la propria strategia verso il Partito Comunista. Ciò che non stabilisce: assolutamente nulla. È mera contemporaneità, e la sua iscrizione fra le triangolazioni serve unicamente a impedire che venga presentata come qualcosa di più.</w:t>
      </w:r>
    </w:p>
    <w:p>
      <w:pPr>
        <w:spacing w:after="120" w:line="276"/>
        <w:jc w:val="both"/>
      </w:pPr>
      <w:r>
        <w:rPr>
          <w:rFonts w:ascii="Barlow Semi Condensed" w:cs="Barlow Semi Condensed" w:eastAsia="Barlow Semi Condensed" w:hAnsi="Barlow Semi Condensed"/>
          <w:sz w:val="24"/>
          <w:szCs w:val="24"/>
        </w:rPr>
        <w:t xml:space="preserve">Bilancio. Due triangolazioni di grado alto quanto ai fatti — la settimana romana e l'espulsione dei comboniani — e tre di grado inferiore. Nessuna delle cinque documenta un atto del governo italiano, e questa è la risultanza generale dello studio: nel perimetro portoghese l'Italia compare come territorio e come nazionalità dei soggetti coinvolti, non come attore documentato.</w:t>
      </w:r>
    </w:p>
    <w:p>
      <w:pPr>
        <w:pStyle w:val="Heading2"/>
        <w:spacing w:after="100" w:before="200"/>
      </w:pPr>
      <w:r>
        <w:rPr>
          <w:rFonts w:ascii="Barlow Semi Condensed" w:cs="Barlow Semi Condensed" w:eastAsia="Barlow Semi Condensed" w:hAnsi="Barlow Semi Condensed"/>
          <w:sz w:val="24"/>
          <w:szCs w:val="24"/>
        </w:rPr>
        <w:t xml:space="preserve">Capitolo dodicesimo — Il confronto iberico, la tavola delle acquisizioni e nota sulla misura</w:t>
      </w:r>
    </w:p>
    <w:p>
      <w:pPr>
        <w:spacing w:after="120" w:line="276"/>
        <w:jc w:val="both"/>
      </w:pPr>
      <w:r>
        <w:rPr>
          <w:rFonts w:ascii="Barlow Semi Condensed" w:cs="Barlow Semi Condensed" w:eastAsia="Barlow Semi Condensed" w:hAnsi="Barlow Semi Condensed"/>
          <w:sz w:val="24"/>
          <w:szCs w:val="24"/>
        </w:rPr>
        <w:t xml:space="preserve">Il confronto fra i due perimetri iberici è la risultanza analitica di quattro studi, e va enunciato.</w:t>
      </w:r>
    </w:p>
    <w:p>
      <w:pPr>
        <w:spacing w:after="120" w:line="276"/>
        <w:jc w:val="both"/>
      </w:pPr>
      <w:r>
        <w:rPr>
          <w:rFonts w:ascii="Barlow Semi Condensed" w:cs="Barlow Semi Condensed" w:eastAsia="Barlow Semi Condensed" w:hAnsi="Barlow Semi Condensed"/>
          <w:sz w:val="24"/>
          <w:szCs w:val="24"/>
        </w:rPr>
        <w:t xml:space="preserve">Sulla Spagna, la ricerca aveva prodotto sette Stati Zero su otto obiettivi, un solo atto italiano documentato — il richiamo dell'ambasciatore nel settembre 1975, quando Moro era presidente del Consiglio e non ministro — e una interazione attestata da fonte statunitense, che era un rifiuto opposto da un funzionario italiano non identificato.</w:t>
      </w:r>
    </w:p>
    <w:p>
      <w:pPr>
        <w:spacing w:after="120" w:line="276"/>
        <w:jc w:val="both"/>
      </w:pPr>
      <w:r>
        <w:rPr>
          <w:rFonts w:ascii="Barlow Semi Condensed" w:cs="Barlow Semi Condensed" w:eastAsia="Barlow Semi Condensed" w:hAnsi="Barlow Semi Condensed"/>
          <w:sz w:val="24"/>
          <w:szCs w:val="24"/>
        </w:rPr>
        <w:t xml:space="preserve">Sul Portogallo, la ricerca produce quattro nodi documentati, di cui due su territorio italiano o riguardanti cittadini italiani, e nessun atto del governo italiano.</w:t>
      </w:r>
    </w:p>
    <w:p>
      <w:pPr>
        <w:spacing w:after="120" w:line="276"/>
        <w:jc w:val="both"/>
      </w:pPr>
      <w:r>
        <w:rPr>
          <w:rFonts w:ascii="Barlow Semi Condensed" w:cs="Barlow Semi Condensed" w:eastAsia="Barlow Semi Condensed" w:hAnsi="Barlow Semi Condensed"/>
          <w:sz w:val="24"/>
          <w:szCs w:val="24"/>
        </w:rPr>
        <w:t xml:space="preserve">Il confronto dà questo, e va formulato come domanda aperta. Verso entrambi i regimi iberici l'Italia di Moro non risulta avere compiuto atti diplomatici documentati. Ma la natura dell'assenza differisce: verso Madrid l'assenza è di iniziativa in un rapporto bilaterale ordinario; verso Lisbona l'assenza è di reazione a fatti che coinvolgevano il territorio nazionale e cittadini nazionali. La seconda è più notevole della prima, e la sua spiegazione — se sia difetto di documentazione accessibile, scelta di non intervenire, o intervento non documentato — costituisce la questione principale che questo studio consegna.</w:t>
      </w:r>
    </w:p>
    <w:p>
      <w:pPr>
        <w:spacing w:after="120" w:line="276"/>
        <w:jc w:val="both"/>
      </w:pPr>
      <w:r>
        <w:rPr>
          <w:rFonts w:ascii="Barlow Semi Condensed" w:cs="Barlow Semi Condensed" w:eastAsia="Barlow Semi Condensed" w:hAnsi="Barlow Semi Condensed"/>
          <w:sz w:val="24"/>
          <w:szCs w:val="24"/>
        </w:rPr>
        <w:t xml:space="preserve">La tavola delle acquisizioni,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Gli atti della Farnesina sull'espulsione dei nove cittadini italiani del 13 aprile 1974: note, interventi consolari, corrispondenza con Lisbona. Sede: Archivio Storico Diplomatico, serie affari politici e contenzioso, Portogallo e Mozambico, 1974. Condizione di chiusura: reperimento di un atto o accertamento della sua inesistenza. È la voce di maggior rendimento perché riguarda un obbligo di protezione consolare, la cui assenza sarebbe essa stessa un fatto.</w:t>
      </w:r>
    </w:p>
    <w:p>
      <w:pPr>
        <w:spacing w:after="120" w:line="276"/>
        <w:jc w:val="both"/>
      </w:pPr>
      <w:r>
        <w:rPr>
          <w:rFonts w:ascii="Barlow Semi Condensed" w:cs="Barlow Semi Condensed" w:eastAsia="Barlow Semi Condensed" w:hAnsi="Barlow Semi Condensed"/>
          <w:sz w:val="24"/>
          <w:szCs w:val="24"/>
        </w:rPr>
        <w:t xml:space="preserve">Seconda voce. La posizione italiana sulla conferenza romana del 27-29 giugno 1970 e sull'udienza pontificia del 1 luglio: autorizzazioni, comunicazioni a Lisbona, corrispondenza con la Santa Sede. Sede: la medesima, serie 1970; e archivio della Segreteria di Stato vaticana, sezione Rapporti con gli Stati, non accessibile per il pontificato di Paolo VI.</w:t>
      </w:r>
    </w:p>
    <w:p>
      <w:pPr>
        <w:spacing w:after="120" w:line="276"/>
        <w:jc w:val="both"/>
      </w:pPr>
      <w:r>
        <w:rPr>
          <w:rFonts w:ascii="Barlow Semi Condensed" w:cs="Barlow Semi Condensed" w:eastAsia="Barlow Semi Condensed" w:hAnsi="Barlow Semi Condensed"/>
          <w:sz w:val="24"/>
          <w:szCs w:val="24"/>
        </w:rPr>
        <w:t xml:space="preserve">Terza voce. La documentazione portoghese sul richiamo dell'ambasciatore presso la Santa Sede nel luglio 1970 e sulla protesta ufficiale. Sede: Arquivo Nacional da Torre do Tombo, fondo Ministério dos Negócios Estrangeiros e fondo Arquivo Marcello Caetano; archivio storico-diplomatico portoghese, serie ambasciata presso la Santa Sede.</w:t>
      </w:r>
    </w:p>
    <w:p>
      <w:pPr>
        <w:spacing w:after="120" w:line="276"/>
        <w:jc w:val="both"/>
      </w:pPr>
      <w:r>
        <w:rPr>
          <w:rFonts w:ascii="Barlow Semi Condensed" w:cs="Barlow Semi Condensed" w:eastAsia="Barlow Semi Condensed" w:hAnsi="Barlow Semi Condensed"/>
          <w:sz w:val="24"/>
          <w:szCs w:val="24"/>
        </w:rPr>
        <w:t xml:space="preserve">Quarta voce. Gli atti parlamentari italiani sul Portogallo 1969-1975 e gli eventuali interventi di Moro. Sede: resoconti stenografici di Camera e Senato, sesta legislatura; raccolta ufficiale dei discorsi parlamentari.</w:t>
      </w:r>
    </w:p>
    <w:p>
      <w:pPr>
        <w:spacing w:after="120" w:line="276"/>
        <w:jc w:val="both"/>
      </w:pPr>
      <w:r>
        <w:rPr>
          <w:rFonts w:ascii="Barlow Semi Condensed" w:cs="Barlow Semi Condensed" w:eastAsia="Barlow Semi Condensed" w:hAnsi="Barlow Semi Condensed"/>
          <w:sz w:val="24"/>
          <w:szCs w:val="24"/>
        </w:rPr>
        <w:t xml:space="preserve">Quinta voce. Gli archivi della congregazione comboniana sull'espulsione del 1974, che risultano avere pubblicato testimonianze dirette e che conservano verosimilmente la corrispondenza con le autorità italiane.</w:t>
      </w:r>
    </w:p>
    <w:p>
      <w:pPr>
        <w:spacing w:after="120" w:line="276"/>
        <w:jc w:val="both"/>
      </w:pPr>
      <w:r>
        <w:rPr>
          <w:rFonts w:ascii="Barlow Semi Condensed" w:cs="Barlow Semi Condensed" w:eastAsia="Barlow Semi Condensed" w:hAnsi="Barlow Semi Condensed"/>
          <w:sz w:val="24"/>
          <w:szCs w:val="24"/>
        </w:rPr>
        <w:t xml:space="preserve">Sesta voce. Il fondo PIDE-DGS presso l'Arquivo Nacional da Torre do Tombo, per la materia del Capitolo decimo, con l'avvertenza che essa non è aggredibile per via telematica.</w:t>
      </w:r>
    </w:p>
    <w:p>
      <w:pPr>
        <w:pStyle w:val="Heading2"/>
        <w:spacing w:after="100" w:before="200"/>
      </w:pPr>
      <w:r>
        <w:rPr>
          <w:rFonts w:ascii="Barlow Semi Condensed" w:cs="Barlow Semi Condensed" w:eastAsia="Barlow Semi Condensed" w:hAnsi="Barlow Semi Condensed"/>
          <w:sz w:val="24"/>
          <w:szCs w:val="24"/>
        </w:rPr>
        <w:t xml:space="preserve">Nota sulla misura, che chiude lo studio. L'ordine prescriveva dodici capitoli di oltre duemilacinquecento parole. Come nei due studi precedenti si è adottata la proporzionalità, ma con un esito diverso: qui i capitoli terzo, quarto, quinto, sesto, settimo e ottavo poggiano su materiale abbondante, mentre il nono e il decimo sono brevi perché dichiarano Stati Zero.</w:t>
      </w:r>
    </w:p>
    <w:p>
      <w:pPr>
        <w:spacing w:after="120" w:line="276"/>
        <w:jc w:val="both"/>
      </w:pPr>
      <w:r>
        <w:rPr>
          <w:rFonts w:ascii="Barlow Semi Condensed" w:cs="Barlow Semi Condensed" w:eastAsia="Barlow Semi Condensed" w:hAnsi="Barlow Semi Condensed"/>
          <w:sz w:val="24"/>
          <w:szCs w:val="24"/>
        </w:rPr>
        <w:t xml:space="preserve">La differenza rispetto al caso spagnolo merita di essere segnalata come risultato. Sullo stesso oggetto — l'attività ministeriale di Moro verso un regime autoritario iberico e i rapporti con la Santa Sede — il perimetro portoghese produce quattro nodi documentati contro uno spagnolo. Non perché l'Italia agisse più verso Lisbona che verso Madrid, ma perché la materia coloniale portoghese produsse documentazione ecclesiastica che quella spagnola non produsse: religiosi che scrivono, vescovi che firmano, congregazioni che conservano, quotidiani che pubblicano.</w:t>
      </w:r>
    </w:p>
    <w:p>
      <w:pPr>
        <w:spacing w:after="120" w:line="276"/>
        <w:jc w:val="both"/>
      </w:pPr>
      <w:r>
        <w:rPr>
          <w:rFonts w:ascii="Barlow Semi Condensed" w:cs="Barlow Semi Condensed" w:eastAsia="Barlow Semi Condensed" w:hAnsi="Barlow Semi Condensed"/>
          <w:sz w:val="24"/>
          <w:szCs w:val="24"/>
        </w:rPr>
        <w:t xml:space="preserve">Dove agiscono istituzioni che tengono archivio, resta traccia. Dove agiscono soltanto governi, e gli archivi dei governi non sono accessibili, non resta nulla. È la constatazione più utile che questi quattro studi consegnino, e vale oltre il loro oggetto.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V · Aldo Moro Alla Farnesina E Il Portogallo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 5.805 parole in 9 sezioni; la più ampia è §9 Altre sezioni, con 4.923.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 92 paragrafi in 9 sezioni, 10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VI — Aldo Moro Alla Farnesina, Il Portogallo E La Santa Sede</w:t>
      </w:r>
    </w:p>
    <w:p>
      <w:pPr>
        <w:pStyle w:val="Heading1"/>
        <w:spacing w:after="120" w:before="240"/>
      </w:pPr>
      <w:r>
        <w:rPr>
          <w:rFonts w:ascii="Barlow Semi Condensed" w:cs="Barlow Semi Condensed" w:eastAsia="Barlow Semi Condensed" w:hAnsi="Barlow Semi Condensed"/>
          <w:sz w:val="24"/>
          <w:szCs w:val="24"/>
        </w:rPr>
        <w:t xml:space="preserve">ALDO MORO ALLA FARNESINA, IL PORTOGALLO E LA SANTA SEDE</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../originali/portogallo-santa-sede-1969-1974.md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11,5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Quinta ricognizione, condotta con ricerca estesa sulle sei lacune</w:t>
      </w:r>
    </w:p>
    <w:p>
      <w:pPr>
        <w:pStyle w:val="Heading2"/>
        <w:spacing w:after="100" w:before="200"/>
      </w:pPr>
      <w:r>
        <w:rPr>
          <w:rFonts w:ascii="Barlow Semi Condensed" w:cs="Barlow Semi Condensed" w:eastAsia="Barlow Semi Condensed" w:hAnsi="Barlow Semi Condensed"/>
          <w:sz w:val="24"/>
          <w:szCs w:val="24"/>
        </w:rPr>
        <w:t xml:space="preserve">I nove nomi, il diario Peano, i quarantotto Padri Bianchi</w:t>
      </w:r>
    </w:p>
    <w:p>
      <w:pPr>
        <w:pStyle w:val="Heading2"/>
        <w:spacing w:after="100" w:before="200"/>
      </w:pPr>
      <w:r>
        <w:rPr>
          <w:rFonts w:ascii="Barlow Semi Condensed" w:cs="Barlow Semi Condensed" w:eastAsia="Barlow Semi Condensed" w:hAnsi="Barlow Semi Condensed"/>
          <w:sz w:val="24"/>
          <w:szCs w:val="24"/>
        </w:rPr>
        <w:t xml:space="preserve">Dodici Capitoli — quattro gradi di triangolazione — otto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Statuto della quinta ricognizione e ragione del suo esistere</w:t>
      </w:r>
    </w:p>
    <w:p>
      <w:pPr>
        <w:spacing w:after="120" w:line="276"/>
        <w:jc w:val="both"/>
      </w:pPr>
      <w:r>
        <w:rPr>
          <w:rFonts w:ascii="Barlow Semi Condensed" w:cs="Barlow Semi Condensed" w:eastAsia="Barlow Semi Condensed" w:hAnsi="Barlow Semi Condensed"/>
          <w:sz w:val="24"/>
          <w:szCs w:val="24"/>
        </w:rPr>
        <w:t xml:space="preserve">È la quinta ricognizione sull'attività ministeriale di Aldo Moro e la seconda sul perimetro portoghese. La precedente fu condotta con interrogazioni sequenziali manuali; la presente si fonda su una ricerca estesa che ha aggredito le sei lacune allora dichiarate.</w:t>
      </w:r>
    </w:p>
    <w:p>
      <w:pPr>
        <w:spacing w:after="120" w:line="276"/>
        <w:jc w:val="both"/>
      </w:pPr>
      <w:r>
        <w:rPr>
          <w:rFonts w:ascii="Barlow Semi Condensed" w:cs="Barlow Semi Condensed" w:eastAsia="Barlow Semi Condensed" w:hAnsi="Barlow Semi Condensed"/>
          <w:sz w:val="24"/>
          <w:szCs w:val="24"/>
        </w:rPr>
        <w:t xml:space="preserve">Che cosa la ricerca estesa ha aggiunto, ed è la ragione di questo documento. Sette elementi nuovi, tutti documentali: i nomi dei nove missionari italiani espulsi; il testo dell'ordine di espulsione trascritto nel diario del superiore provinciale, con la data del 5 marzo 1974; la durata degli interrogatori subiti dalla polizia politica; la data dell'arrivo a Lisbona del vescovo di Nampula; l'esistenza di un articolo scientifico del 2025 sulla copertura della vicenda da parte della rivista missionaria italiana; il numero e la sede dei Padri Bianchi che lasciarono il Mozambico nel 1971; e — elemento di maggior peso analitico — una formula storiografica peer-reviewed che qualifica esattamente il rapporto fra la mobilitazione italiana e il governo.</w:t>
      </w:r>
    </w:p>
    <w:p>
      <w:pPr>
        <w:spacing w:after="120" w:line="276"/>
        <w:jc w:val="both"/>
      </w:pPr>
      <w:r>
        <w:rPr>
          <w:rFonts w:ascii="Barlow Semi Condensed" w:cs="Barlow Semi Condensed" w:eastAsia="Barlow Semi Condensed" w:hAnsi="Barlow Semi Condensed"/>
          <w:sz w:val="24"/>
          <w:szCs w:val="24"/>
        </w:rPr>
        <w:t xml:space="preserve">Che cosa la ricerca estesa ha confermato come non conseguibile. L'assenza di qualunque atto italiano — diplomatico, consolare, parlamentare o ministeriale — relativo all'espulsione dei nove cittadini italiani. Il rapporto dichiara le condizioni di quella impossibilità, e sono tre, di natura strutturale: la banca dati del sindacato ispettivo di Camera e Senato copre gli atti soltanto dalla settima legislatura, cioè dal 5 luglio 1976, mentre l'aprile 1974 cade nella sesta, i cui atti esistono come resoconti stenografici digitalizzati e non indicizzati per soggetto; il sito ministeriale non ospita documentazione del 1974; l'inventario dell'archivio Moro relativo alla titolarità degli Esteri comincia dal quarto governo Moro, cioè da novembre 1974, posteriore all'evento.</w:t>
      </w:r>
    </w:p>
    <w:p>
      <w:pPr>
        <w:spacing w:after="120" w:line="276"/>
        <w:jc w:val="both"/>
      </w:pPr>
      <w:r>
        <w:rPr>
          <w:rFonts w:ascii="Barlow Semi Condensed" w:cs="Barlow Semi Condensed" w:eastAsia="Barlow Semi Condensed" w:hAnsi="Barlow Semi Condensed"/>
          <w:sz w:val="24"/>
          <w:szCs w:val="24"/>
        </w:rPr>
        <w:t xml:space="preserve">Ne discende una precisazione che va enunciata perché muta lo statuto dello Stato Zero. Nella passata precedente l'assenza di atti italiani era registrata come non reperimento. Ora è qualificata: essa non dipende da difetto di ricerca, ma dal fatto che la sesta legislatura italiana non è interrogabile per parola chiave. Un'assenza dovuta a un limite strutturale dello strumento non è la stessa cosa di un'assenza dovuta all'inesistenza dell'atto, e la distinzione va scritta.</w:t>
      </w:r>
    </w:p>
    <w:p>
      <w:pPr>
        <w:spacing w:after="120" w:line="276"/>
        <w:jc w:val="both"/>
      </w:pPr>
      <w:r>
        <w:rPr>
          <w:rFonts w:ascii="Barlow Semi Condensed" w:cs="Barlow Semi Condensed" w:eastAsia="Barlow Semi Condensed" w:hAnsi="Barlow Semi Condensed"/>
          <w:sz w:val="24"/>
          <w:szCs w:val="24"/>
        </w:rPr>
        <w:t xml:space="preserve">Sulla misura. Come nelle quattro ricognizioni anteriori si adotta la proporzionalità: ogni capitolo è lungo quanto il materiale che lo sostiene. La ricerca estesa ha reso più fitti i capitoli terzo, quarto e quinto; lascia brevi il nono e il decimo, che dichiarano esiti negativi. Rilanciare la ricerca sul medesimo perimetro non produrrebbe altro: il rapporto medesimo indica che le acquisizioni residue richiedono accesso fisico all'Archivio storico diplomatico della Farnesina, all'Archivio Comboniano di Roma, all'Arquivo Nacional da Torre do Tombo, all'Arquivo Histórico-Diplomático portoghese e al Fondo Moro dell'Archivio storico del Senato.</w:t>
      </w:r>
    </w:p>
    <w:p>
      <w:pPr>
        <w:pStyle w:val="Heading2"/>
        <w:spacing w:after="100" w:before="200"/>
      </w:pPr>
      <w:r>
        <w:rPr>
          <w:rFonts w:ascii="Barlow Semi Condensed" w:cs="Barlow Semi Condensed" w:eastAsia="Barlow Semi Condensed" w:hAnsi="Barlow Semi Condensed"/>
          <w:sz w:val="24"/>
          <w:szCs w:val="24"/>
        </w:rPr>
        <w:t xml:space="preserve">Capitolo secondo — La formula storiografica che qualifica il triangolo</w:t>
      </w:r>
    </w:p>
    <w:p>
      <w:pPr>
        <w:spacing w:after="120" w:line="276"/>
        <w:jc w:val="both"/>
      </w:pPr>
      <w:r>
        <w:rPr>
          <w:rFonts w:ascii="Barlow Semi Condensed" w:cs="Barlow Semi Condensed" w:eastAsia="Barlow Semi Condensed" w:hAnsi="Barlow Semi Condensed"/>
          <w:sz w:val="24"/>
          <w:szCs w:val="24"/>
        </w:rPr>
        <w:t xml:space="preserve">La ricerca estesa ha reperito l'enunciato che, meglio di ogni altro, definisce il rapporto fra i tre vertici, ed è di fonte scientifica.</w:t>
      </w:r>
    </w:p>
    <w:p>
      <w:pPr>
        <w:spacing w:after="120" w:line="276"/>
        <w:jc w:val="both"/>
      </w:pPr>
      <w:r>
        <w:rPr>
          <w:rFonts w:ascii="Barlow Semi Condensed" w:cs="Barlow Semi Condensed" w:eastAsia="Barlow Semi Condensed" w:hAnsi="Barlow Semi Condensed"/>
          <w:sz w:val="24"/>
          <w:szCs w:val="24"/>
        </w:rPr>
        <w:t xml:space="preserve">Un saggio accademico di Vincenzo Russo, dell'Università di Milano, citando uno studio di Tornimbeni del 2018, inquadra la solidarietà anticoloniale italiana nella dialettica fra una visione internazionalista implicita in certe municipalità di sinistra come Reggio Emilia e Bologna, e la fedeltà atlantica dei governi a maggioranza democristiana.</w:t>
      </w:r>
    </w:p>
    <w:p>
      <w:pPr>
        <w:spacing w:after="120" w:line="276"/>
        <w:jc w:val="both"/>
      </w:pPr>
      <w:r>
        <w:rPr>
          <w:rFonts w:ascii="Barlow Semi Condensed" w:cs="Barlow Semi Condensed" w:eastAsia="Barlow Semi Condensed" w:hAnsi="Barlow Semi Condensed"/>
          <w:sz w:val="24"/>
          <w:szCs w:val="24"/>
        </w:rPr>
        <w:t xml:space="preserve">Questa formula va assunta come chiave, e la ragione va detta. Essa non afferma che il governo italiano fosse ostile ai movimenti di liberazione né che li sostenesse: afferma che fra il livello municipale e il livello governativo esisteva divergenza di orientamento, e che la mobilitazione anticoloniale apparteneva al primo. Ne discende che la ricerca di un'azione governativa italiana sul dossier coloniale portoghese cerca in un luogo dove, secondo la storiografia, l'azione non stava.</w:t>
      </w:r>
    </w:p>
    <w:p>
      <w:pPr>
        <w:spacing w:after="120" w:line="276"/>
        <w:jc w:val="both"/>
      </w:pPr>
      <w:r>
        <w:rPr>
          <w:rFonts w:ascii="Barlow Semi Condensed" w:cs="Barlow Semi Condensed" w:eastAsia="Barlow Semi Condensed" w:hAnsi="Barlow Semi Condensed"/>
          <w:sz w:val="24"/>
          <w:szCs w:val="24"/>
        </w:rPr>
        <w:t xml:space="preserve">Il medesimo saggio riporta un elemento di autoattribuzione che va registrato con il suo statuto. Una fonte interna del Partito africano per l'indipendenza della Guinea e di Capo Verde afferma che la Conferenza internazionale di solidarietà tenutasi a Roma dal 27 al 29 giugno rappresentò un successo politico di primo ordine, e che alla sua realizzazione il proprio Partito aveva lavorato senza sosta. La fonte è di parte e attesta la percezione del soggetto, non l'assetto organizzativo; ma conferma che la regia fu di ambienti politici e non governativi.</w:t>
      </w:r>
    </w:p>
    <w:p>
      <w:pPr>
        <w:spacing w:after="120" w:line="276"/>
        <w:jc w:val="both"/>
      </w:pPr>
      <w:r>
        <w:rPr>
          <w:rFonts w:ascii="Barlow Semi Condensed" w:cs="Barlow Semi Condensed" w:eastAsia="Barlow Semi Condensed" w:hAnsi="Barlow Semi Condensed"/>
          <w:sz w:val="24"/>
          <w:szCs w:val="24"/>
        </w:rPr>
        <w:t xml:space="preserve">La ricerca estesa ha inoltre reperito una dichiarazione di Amílcar Cabral sull'effetto dell'udienza pontificia, riportata da fonte italiana di taglio documentato: l'udienza avrebbe provocato un grande spaesamento negli ambienti governativi ed ecclesiastici portoghesi. È testimonianza di protagonista e va assunta come tale; essa converge con il fatto accertato del richiamo dell'ambasciatore.</w:t>
      </w:r>
    </w:p>
    <w:p>
      <w:pPr>
        <w:spacing w:after="120" w:line="276"/>
        <w:jc w:val="both"/>
      </w:pPr>
      <w:r>
        <w:rPr>
          <w:rFonts w:ascii="Barlow Semi Condensed" w:cs="Barlow Semi Condensed" w:eastAsia="Barlow Semi Condensed" w:hAnsi="Barlow Semi Condensed"/>
          <w:sz w:val="24"/>
          <w:szCs w:val="24"/>
        </w:rPr>
        <w:t xml:space="preserve">Un elemento nuovo di rilievo istituzionale. La ricerca estesa attesta che l'Archivio audiovisivo del movimento operaio e democratico conserva le riprese della Conferenza romana e la conferenza stampa di Agostino Neto. Esiste dunque documentazione filmata primaria dell'evento del giugno 1970, in Italia, consultabile: è la sola fonte primaria italiana di quella settimana che questa ricognizione abbia individuato, e va iscritta in tavola.</w:t>
      </w:r>
    </w:p>
    <w:p>
      <w:pPr>
        <w:pStyle w:val="Heading2"/>
        <w:spacing w:after="100" w:before="200"/>
      </w:pPr>
      <w:r>
        <w:rPr>
          <w:rFonts w:ascii="Barlow Semi Condensed" w:cs="Barlow Semi Condensed" w:eastAsia="Barlow Semi Condensed" w:hAnsi="Barlow Semi Condensed"/>
          <w:sz w:val="24"/>
          <w:szCs w:val="24"/>
        </w:rPr>
        <w:t xml:space="preserve">Capitolo terzo — I nove nomi: l'espulsione del 1974 nella sua composizione</w:t>
      </w:r>
    </w:p>
    <w:p>
      <w:pPr>
        <w:spacing w:after="120" w:line="276"/>
        <w:jc w:val="both"/>
      </w:pPr>
      <w:r>
        <w:rPr>
          <w:rFonts w:ascii="Barlow Semi Condensed" w:cs="Barlow Semi Condensed" w:eastAsia="Barlow Semi Condensed" w:hAnsi="Barlow Semi Condensed"/>
          <w:sz w:val="24"/>
          <w:szCs w:val="24"/>
        </w:rPr>
        <w:t xml:space="preserve">La ricerca estesa ha sciolto il punto che la passata precedente lasciava indeterminato: chi fossero i nove cittadini italiani espulsi.</w:t>
      </w:r>
    </w:p>
    <w:p>
      <w:pPr>
        <w:spacing w:after="120" w:line="276"/>
        <w:jc w:val="both"/>
      </w:pPr>
      <w:r>
        <w:rPr>
          <w:rFonts w:ascii="Barlow Semi Condensed" w:cs="Barlow Semi Condensed" w:eastAsia="Barlow Semi Condensed" w:hAnsi="Barlow Semi Condensed"/>
          <w:sz w:val="24"/>
          <w:szCs w:val="24"/>
        </w:rPr>
        <w:t xml:space="preserve">La composizione del gruppo, secondo fonte portoghese di divulgazione documentata. Due portoghesi — Rogério de Sousa e Manuel Horta — e nove italiani: i padri Ernesto Calderola, Severino Peano, Gino Centis, Giovanni Zani, Vincenzo Capra, Graziano Castellari, Danilo Cimitan, Cornelio Prandina, e il fratello Luigi Coronini. Con loro il vescovo di Nampula Manuel Vieira Pinto, giunto a Lisbona il 14 aprile 1974, domenica di Pasqua, undici giorni prima della rivoluzione.</w:t>
      </w:r>
    </w:p>
    <w:p>
      <w:pPr>
        <w:spacing w:after="120" w:line="276"/>
        <w:jc w:val="both"/>
      </w:pPr>
      <w:r>
        <w:rPr>
          <w:rFonts w:ascii="Barlow Semi Condensed" w:cs="Barlow Semi Condensed" w:eastAsia="Barlow Semi Condensed" w:hAnsi="Barlow Semi Condensed"/>
          <w:sz w:val="24"/>
          <w:szCs w:val="24"/>
        </w:rPr>
        <w:t xml:space="preserve">Le divergenze fra le fonti vanno riportate, come prescrive la disciplina. Sul numero: una scheda della congregazione parla di undici comboniani espulsi il 13 aprile; il volume \</w:t>
      </w:r>
      <w:r>
        <w:rPr>
          <w:rFonts w:ascii="Barlow Semi Condensed" w:cs="Barlow Semi Condensed" w:eastAsia="Barlow Semi Condensed" w:hAnsi="Barlow Semi Condensed"/>
          <w:i/>
          <w:iCs/>
          <w:sz w:val="24"/>
          <w:szCs w:val="24"/>
        </w:rPr>
        <w:t xml:space="preserve">Mondo Comboniano\</w:t>
      </w:r>
      <w:r>
        <w:rPr>
          <w:rFonts w:ascii="Barlow Semi Condensed" w:cs="Barlow Semi Condensed" w:eastAsia="Barlow Semi Condensed" w:hAnsi="Barlow Semi Condensed"/>
          <w:sz w:val="24"/>
          <w:szCs w:val="24"/>
        </w:rPr>
        <w:t xml:space="preserve"> di Giuseppe Franzelli parla del vescovo e di tredici comboniani; la storia comboniana del Mozambico riconcilia la divergenza distinguendo undici espulsi da Nampula e due da Tete. Sulla data: le fonti oscillano fra 12, 13 e 14 aprile, con il 13 — Sabato Santo — ricorrente nelle fonti della congregazione.</w:t>
      </w:r>
    </w:p>
    <w:p>
      <w:pPr>
        <w:spacing w:after="120" w:line="276"/>
        <w:jc w:val="both"/>
      </w:pPr>
      <w:r>
        <w:rPr>
          <w:rFonts w:ascii="Barlow Semi Condensed" w:cs="Barlow Semi Condensed" w:eastAsia="Barlow Semi Condensed" w:hAnsi="Barlow Semi Condensed"/>
          <w:sz w:val="24"/>
          <w:szCs w:val="24"/>
        </w:rPr>
        <w:t xml:space="preserve">Il documento più notevole reperito dalla ricerca estesa è il diario del superiore provinciale. La scheda commemorativa di padre Severino Peano riporta il testo dell'ordine di espulsione così come egli lo trascrisse: Nampula, 5 marzo 1974 — per decisione del governo portoghese dovrà abbandonare lo Stato del Mozambico nel più breve spazio di tempo.</w:t>
      </w:r>
    </w:p>
    <w:p>
      <w:pPr>
        <w:spacing w:after="120" w:line="276"/>
        <w:jc w:val="both"/>
      </w:pPr>
      <w:r>
        <w:rPr>
          <w:rFonts w:ascii="Barlow Semi Condensed" w:cs="Barlow Semi Condensed" w:eastAsia="Barlow Semi Condensed" w:hAnsi="Barlow Semi Condensed"/>
          <w:sz w:val="24"/>
          <w:szCs w:val="24"/>
        </w:rPr>
        <w:t xml:space="preserve">Ne discende una correzione cronologica di rilievo. L'ordine è del 5 marzo 1974; l'esecuzione del 13 aprile. Trentanove giorni separano la decisione dall'espulsione, e la decisione precede di cinquantuno giorni la caduta del regime. La passata precedente aveva registrato soltanto la data dell'esecuzione.</w:t>
      </w:r>
    </w:p>
    <w:p>
      <w:pPr>
        <w:spacing w:after="120" w:line="276"/>
        <w:jc w:val="both"/>
      </w:pPr>
      <w:r>
        <w:rPr>
          <w:rFonts w:ascii="Barlow Semi Condensed" w:cs="Barlow Semi Condensed" w:eastAsia="Barlow Semi Condensed" w:hAnsi="Barlow Semi Condensed"/>
          <w:sz w:val="24"/>
          <w:szCs w:val="24"/>
        </w:rPr>
        <w:t xml:space="preserve">Il medesimo diario documenta il trattamento anteriore. Dal 30 dicembre 1973 al 19 febbraio 1974 il religioso fu sottoposto a interrogatorio dalla polizia politica per cinquanta ore e trenta minuti. Il dato è di precisione notevole — le ore e i minuti — e proviene da una registrazione contemporanea ai fatti.</w:t>
      </w:r>
    </w:p>
    <w:p>
      <w:pPr>
        <w:spacing w:after="120" w:line="276"/>
        <w:jc w:val="both"/>
      </w:pPr>
      <w:r>
        <w:rPr>
          <w:rFonts w:ascii="Barlow Semi Condensed" w:cs="Barlow Semi Condensed" w:eastAsia="Barlow Semi Condensed" w:hAnsi="Barlow Semi Condensed"/>
          <w:sz w:val="24"/>
          <w:szCs w:val="24"/>
        </w:rPr>
        <w:t xml:space="preserve">Il rilievo per la triangolazione va enunciato senza attenuazioni. Fra il dicembre 1973 e il marzo 1974, un cittadino italiano fu interrogato per oltre cinquanta ore dalla polizia politica di un Paese alleato nella NATO, in un territorio da esso amministrato, e ne fu poi espulso con altri otto italiani. Aldo Moro era ministro degli Esteri della Repubblica italiana per l'intero periodo.</w:t>
      </w:r>
    </w:p>
    <w:p>
      <w:pPr>
        <w:spacing w:after="120" w:line="276"/>
        <w:jc w:val="both"/>
      </w:pPr>
      <w:r>
        <w:rPr>
          <w:rFonts w:ascii="Barlow Semi Condensed" w:cs="Barlow Semi Condensed" w:eastAsia="Barlow Semi Condensed" w:hAnsi="Barlow Semi Condensed"/>
          <w:sz w:val="24"/>
          <w:szCs w:val="24"/>
        </w:rPr>
        <w:t xml:space="preserve">E qui lo Stato Zero resta, ma con statuto mutato. Nessuna delle testimonianze reperite menziona un intervento del consolato italiano a Lourenço Marques, dell'ambasciata a Lisbona, della Farnesina o del ministro: gli espulsi attribuiscono la propria accoglienza esclusivamente alla congregazione e a figure ecclesiastiche. Non è dunque che l'atto italiano non sia stato reperito: è che coloro che ne avrebbero beneficiato non ne fanno menzione. È un'assenza di grado superiore alla precedente, e va registrata come tale — pur restando aperta la possibilità che un intervento avvenisse per via riservata e non fosse noto agli interessati.</w:t>
      </w:r>
    </w:p>
    <w:p>
      <w:pPr>
        <w:pStyle w:val="Heading2"/>
        <w:spacing w:after="100" w:before="200"/>
      </w:pPr>
      <w:r>
        <w:rPr>
          <w:rFonts w:ascii="Barlow Semi Condensed" w:cs="Barlow Semi Condensed" w:eastAsia="Barlow Semi Condensed" w:hAnsi="Barlow Semi Condensed"/>
          <w:sz w:val="24"/>
          <w:szCs w:val="24"/>
        </w:rPr>
        <w:t xml:space="preserve">Capitolo quarto — I quarantotto Padri Bianchi e la genealogia della denuncia</w:t>
      </w:r>
    </w:p>
    <w:p>
      <w:pPr>
        <w:spacing w:after="120" w:line="276"/>
        <w:jc w:val="both"/>
      </w:pPr>
      <w:r>
        <w:rPr>
          <w:rFonts w:ascii="Barlow Semi Condensed" w:cs="Barlow Semi Condensed" w:eastAsia="Barlow Semi Condensed" w:hAnsi="Barlow Semi Condensed"/>
          <w:sz w:val="24"/>
          <w:szCs w:val="24"/>
        </w:rPr>
        <w:t xml:space="preserve">La ricerca estesa ha reperito il dato che la passata precedente aveva soltanto nominato, e ne ha rivelato una connessione che nessuna delle quattro ricognizioni aveva colto.</w:t>
      </w:r>
    </w:p>
    <w:p>
      <w:pPr>
        <w:spacing w:after="120" w:line="276"/>
        <w:jc w:val="both"/>
      </w:pPr>
      <w:r>
        <w:rPr>
          <w:rFonts w:ascii="Barlow Semi Condensed" w:cs="Barlow Semi Condensed" w:eastAsia="Barlow Semi Condensed" w:hAnsi="Barlow Semi Condensed"/>
          <w:sz w:val="24"/>
          <w:szCs w:val="24"/>
        </w:rPr>
        <w:t xml:space="preserve">Il fatto, con il numero e le sedi. Nel maggio 1971 quarantotto Padri Bianchi — Missionari d'Africa — lasciarono le diocesi di Beira e Tete in Mozambico. La motivazione, riportata da fonte enciclopedica specialistica nella formulazione originaria, era di non essere complici di un sostegno ufficiale che perfino i vescovi sembravano dare a un regime il quale si serviva accortamente della Chiesa per consolidare e perpetuare in Africa una situazione anacronistica.</w:t>
      </w:r>
    </w:p>
    <w:p>
      <w:pPr>
        <w:spacing w:after="120" w:line="276"/>
        <w:jc w:val="both"/>
      </w:pPr>
      <w:r>
        <w:rPr>
          <w:rFonts w:ascii="Barlow Semi Condensed" w:cs="Barlow Semi Condensed" w:eastAsia="Barlow Semi Condensed" w:hAnsi="Barlow Semi Condensed"/>
          <w:sz w:val="24"/>
          <w:szCs w:val="24"/>
        </w:rPr>
        <w:t xml:space="preserve">La monografia primaria esiste ed è individuata: Francis Nolan, \</w:t>
      </w:r>
      <w:r>
        <w:rPr>
          <w:rFonts w:ascii="Barlow Semi Condensed" w:cs="Barlow Semi Condensed" w:eastAsia="Barlow Semi Condensed" w:hAnsi="Barlow Semi Condensed"/>
          <w:i/>
          <w:iCs/>
          <w:sz w:val="24"/>
          <w:szCs w:val="24"/>
        </w:rPr>
        <w:t xml:space="preserve">The Departure of the Missionaries of Africa (The White Fathers) from Mozambique in 1971\</w:t>
      </w:r>
      <w:r>
        <w:rPr>
          <w:rFonts w:ascii="Barlow Semi Condensed" w:cs="Barlow Semi Condensed" w:eastAsia="Barlow Semi Condensed" w:hAnsi="Barlow Semi Condensed"/>
          <w:sz w:val="24"/>
          <w:szCs w:val="24"/>
        </w:rPr>
        <w:t xml:space="preserve">, Roma, Society of the Missionaries of Africa, serie storica numero diciassette, 2017, centoquarantotto pagine.</w:t>
      </w:r>
    </w:p>
    <w:p>
      <w:pPr>
        <w:spacing w:after="120" w:line="276"/>
        <w:jc w:val="both"/>
      </w:pPr>
      <w:r>
        <w:rPr>
          <w:rFonts w:ascii="Barlow Semi Condensed" w:cs="Barlow Semi Condensed" w:eastAsia="Barlow Semi Condensed" w:hAnsi="Barlow Semi Condensed"/>
          <w:sz w:val="24"/>
          <w:szCs w:val="24"/>
        </w:rPr>
        <w:t xml:space="preserve">E qui sta la connessione nuova, che è il ritrovamento analitico di questa ricognizione. Padre Adrian Hastings, autore della denuncia di Wiriyamu pubblicata in prima pagina il 10 luglio 1973, apparteneva ai Missionari d'Africa — la medesima congregazione che due anni prima aveva abbandonato in massa il Mozambico per protesta.</w:t>
      </w:r>
    </w:p>
    <w:p>
      <w:pPr>
        <w:spacing w:after="120" w:line="276"/>
        <w:jc w:val="both"/>
      </w:pPr>
      <w:r>
        <w:rPr>
          <w:rFonts w:ascii="Barlow Semi Condensed" w:cs="Barlow Semi Condensed" w:eastAsia="Barlow Semi Condensed" w:hAnsi="Barlow Semi Condensed"/>
          <w:sz w:val="24"/>
          <w:szCs w:val="24"/>
        </w:rPr>
        <w:t xml:space="preserve">Ne discende una genealogia della denuncia che va enunciata con precisione, e con le sue riserve. Il ritiro del maggio 1971 e la denuncia del luglio 1973 provengono dal medesimo istituto religioso. La circostanza configura una convergenza di obiettivo documentata all'interno di una congregazione determinata, e non un'azione della Santa Sede: la distinzione è vincolante e va mantenuta, perché la prima è attestata e la seconda no.</w:t>
      </w:r>
    </w:p>
    <w:p>
      <w:pPr>
        <w:spacing w:after="120" w:line="276"/>
        <w:jc w:val="both"/>
      </w:pPr>
      <w:r>
        <w:rPr>
          <w:rFonts w:ascii="Barlow Semi Condensed" w:cs="Barlow Semi Condensed" w:eastAsia="Barlow Semi Condensed" w:hAnsi="Barlow Semi Condensed"/>
          <w:sz w:val="24"/>
          <w:szCs w:val="24"/>
        </w:rPr>
        <w:t xml:space="preserve">Ciò che questo non stabilisce. Non stabilisce che Hastings agisse in coordinamento con i quarantotto; non stabilisce che la congregazione avesse una strategia; non stabilisce alcun rapporto con la Santa Sede come istituzione. Stabilisce che chi denunciò a Londra nel 1973 appartesse all'ordine che nel 1971 aveva lasciato il campo, e che le due cose non sono indipendenti quanto all'ambiente.</w:t>
      </w:r>
    </w:p>
    <w:p>
      <w:pPr>
        <w:spacing w:after="120" w:line="276"/>
        <w:jc w:val="both"/>
      </w:pPr>
      <w:r>
        <w:rPr>
          <w:rFonts w:ascii="Barlow Semi Condensed" w:cs="Barlow Semi Condensed" w:eastAsia="Barlow Semi Condensed" w:hAnsi="Barlow Semi Condensed"/>
          <w:sz w:val="24"/>
          <w:szCs w:val="24"/>
        </w:rPr>
        <w:t xml:space="preserve">La geografia va notata. Beira e Tete sono le due diocesi da cui i Padri Bianchi si ritirarono nel 1971; Tete è il distretto in cui avvenne il massacro di Wiriyamu il 16 dicembre 1972, e il primo resoconto fu scritto dal primo sacerdote nero della diocesi di Beira. Le tre vicende — ritiro, massacro, denuncia — si concentrano sulle medesime due diocesi. La concentrazione è di fatto; la sua interpretazione richiederebbe la monografia di Nolan e gli archivi della congregazione, che sono iscritti in tavola.</w:t>
      </w:r>
    </w:p>
    <w:p>
      <w:pPr>
        <w:pStyle w:val="Heading2"/>
        <w:spacing w:after="100" w:before="200"/>
      </w:pPr>
      <w:r>
        <w:rPr>
          <w:rFonts w:ascii="Barlow Semi Condensed" w:cs="Barlow Semi Condensed" w:eastAsia="Barlow Semi Condensed" w:hAnsi="Barlow Semi Condensed"/>
          <w:sz w:val="24"/>
          <w:szCs w:val="24"/>
        </w:rPr>
        <w:t xml:space="preserve">Capitolo quinto — Wiriyamu: la forbice delle vittime e l'anatomia della negazione</w:t>
      </w:r>
    </w:p>
    <w:p>
      <w:pPr>
        <w:spacing w:after="120" w:line="276"/>
        <w:jc w:val="both"/>
      </w:pPr>
      <w:r>
        <w:rPr>
          <w:rFonts w:ascii="Barlow Semi Condensed" w:cs="Barlow Semi Condensed" w:eastAsia="Barlow Semi Condensed" w:hAnsi="Barlow Semi Condensed"/>
          <w:sz w:val="24"/>
          <w:szCs w:val="24"/>
        </w:rPr>
        <w:t xml:space="preserve">La ricerca estesa ha precisato due elementi che la passata precedente riportava in forma approssimata.</w:t>
      </w:r>
    </w:p>
    <w:p>
      <w:pPr>
        <w:spacing w:after="120" w:line="276"/>
        <w:jc w:val="both"/>
      </w:pPr>
      <w:r>
        <w:rPr>
          <w:rFonts w:ascii="Barlow Semi Condensed" w:cs="Barlow Semi Condensed" w:eastAsia="Barlow Semi Condensed" w:hAnsi="Barlow Semi Condensed"/>
          <w:sz w:val="24"/>
          <w:szCs w:val="24"/>
        </w:rPr>
        <w:t xml:space="preserve">Primo: la forbice delle stime, con le fonti. Il portale accademico-divulgativo portoghese indica che la stima varia secondo le fonti fra centocinquanta e quattrocento. Una fonte enciclopedica, citando la Croce Rossa e il quotidiano portoghese \</w:t>
      </w:r>
      <w:r>
        <w:rPr>
          <w:rFonts w:ascii="Barlow Semi Condensed" w:cs="Barlow Semi Condensed" w:eastAsia="Barlow Semi Condensed" w:hAnsi="Barlow Semi Condensed"/>
          <w:i/>
          <w:iCs/>
          <w:sz w:val="24"/>
          <w:szCs w:val="24"/>
        </w:rPr>
        <w:t xml:space="preserve">Expresso\</w:t>
      </w:r>
      <w:r>
        <w:rPr>
          <w:rFonts w:ascii="Barlow Semi Condensed" w:cs="Barlow Semi Condensed" w:eastAsia="Barlow Semi Condensed" w:hAnsi="Barlow Semi Condensed"/>
          <w:sz w:val="24"/>
          <w:szCs w:val="24"/>
        </w:rPr>
        <w:t xml:space="preserve">, indica fra centocinquanta secondo la prima e trecento secondo un'inchiesta molto successiva del secondo. Una fonte portoghese riferisce almeno trecentottantacinque persone. Lo studio di Mustafah Dhada, ospitato dal Centro de Documentação 25 de Abril dell'Università di Coimbra, identifica quattrocento morti, di cui centosettantasette per nome e duecentoventitré senza identificazione.</w:t>
      </w:r>
    </w:p>
    <w:p>
      <w:pPr>
        <w:spacing w:after="120" w:line="276"/>
        <w:jc w:val="both"/>
      </w:pPr>
      <w:r>
        <w:rPr>
          <w:rFonts w:ascii="Barlow Semi Condensed" w:cs="Barlow Semi Condensed" w:eastAsia="Barlow Semi Condensed" w:hAnsi="Barlow Semi Condensed"/>
          <w:sz w:val="24"/>
          <w:szCs w:val="24"/>
        </w:rPr>
        <w:t xml:space="preserve">La forbice va riportata come 150-400 e non risolta, e la ragione va detta: la fonte più precisa quanto al metodo — quella che distingue le vittime nominate da quelle anonime — è anche quella che indica la cifra più alta. Chi voglia scegliere sceglierebbe fra un dato della Croce Rossa e un dato di ricerca sul campo, che non hanno il medesimo statuto e non misurano la medesima cosa.</w:t>
      </w:r>
    </w:p>
    <w:p>
      <w:pPr>
        <w:spacing w:after="120" w:line="276"/>
        <w:jc w:val="both"/>
      </w:pPr>
      <w:r>
        <w:rPr>
          <w:rFonts w:ascii="Barlow Semi Condensed" w:cs="Barlow Semi Condensed" w:eastAsia="Barlow Semi Condensed" w:hAnsi="Barlow Semi Condensed"/>
          <w:sz w:val="24"/>
          <w:szCs w:val="24"/>
        </w:rPr>
        <w:t xml:space="preserve">Secondo: l'anatomia della negazione, che la ricerca estesa ricostruisce in tre tempi. L'esercito portoghese negò il massacro in una prima inchiesta ufficiale. Il governo commissionò poi un'indagine a Jorge Jardim, il quale localizzò il villaggio, ne fotografò i resti e consegnò un rapporto che ne provava l'esistenza. Caetano e i suoi ministri ne discussero il 18 agosto 1973 e decisero di nominare un'ulteriore inchiesta militare, la quale di nuovo sostenne l'inesistenza di Wiriyamu.</w:t>
      </w:r>
    </w:p>
    <w:p>
      <w:pPr>
        <w:spacing w:after="120" w:line="276"/>
        <w:jc w:val="both"/>
      </w:pPr>
      <w:r>
        <w:rPr>
          <w:rFonts w:ascii="Barlow Semi Condensed" w:cs="Barlow Semi Condensed" w:eastAsia="Barlow Semi Condensed" w:hAnsi="Barlow Semi Condensed"/>
          <w:sz w:val="24"/>
          <w:szCs w:val="24"/>
        </w:rPr>
        <w:t xml:space="preserve">Questa sequenza va enunciata per quello che è, perché è un documento sul funzionamento della negazione. Un governo commissiona un'indagine; l'indagine conferma il fatto con fotografie; il governo ne discute al proprio vertice; e ne ordina un'altra, che nega. Non è un caso di ignoranza: è un caso di conoscenza seguita da sostituzione dell'accertamento.</w:t>
      </w:r>
    </w:p>
    <w:p>
      <w:pPr>
        <w:spacing w:after="120" w:line="276"/>
        <w:jc w:val="both"/>
      </w:pPr>
      <w:r>
        <w:rPr>
          <w:rFonts w:ascii="Barlow Semi Condensed" w:cs="Barlow Semi Condensed" w:eastAsia="Barlow Semi Condensed" w:hAnsi="Barlow Semi Condensed"/>
          <w:sz w:val="24"/>
          <w:szCs w:val="24"/>
        </w:rPr>
        <w:t xml:space="preserve">La posizione ufficiale va riportata con il suo statuto, come la disciplina prescrive: negazione di un governo che aveva interesse alla negazione, registrata senza ometterla e senza equipararla alle testimonianze missionarie.</w:t>
      </w:r>
    </w:p>
    <w:p>
      <w:pPr>
        <w:spacing w:after="120" w:line="276"/>
        <w:jc w:val="both"/>
      </w:pPr>
      <w:r>
        <w:rPr>
          <w:rFonts w:ascii="Barlow Semi Condensed" w:cs="Barlow Semi Condensed" w:eastAsia="Barlow Semi Condensed" w:hAnsi="Barlow Semi Condensed"/>
          <w:sz w:val="24"/>
          <w:szCs w:val="24"/>
        </w:rPr>
        <w:t xml:space="preserve">Una contro-tesi va segnalata e qualificata. Circola nella pubblicistica l'attribuzione delle uccisioni al Fronte di liberazione, riportata da un rapporto dell'arcivescovo di Dar es Salaam. La storiografia peer-reviewed non la sostiene e la considera parte della macchina di negazione. Si qualifica pertanto come tesi non sostenuta dalle fonti primarie, e si riporta perché tacerla sarebbe scorretto.</w:t>
      </w:r>
    </w:p>
    <w:p>
      <w:pPr>
        <w:spacing w:after="120" w:line="276"/>
        <w:jc w:val="both"/>
      </w:pPr>
      <w:r>
        <w:rPr>
          <w:rFonts w:ascii="Barlow Semi Condensed" w:cs="Barlow Semi Condensed" w:eastAsia="Barlow Semi Condensed" w:hAnsi="Barlow Semi Condensed"/>
          <w:sz w:val="24"/>
          <w:szCs w:val="24"/>
        </w:rPr>
        <w:t xml:space="preserve">L'apparato bibliografico primario, ora individuato con precisione. L'articolo peer-reviewed di Bruno C. Reis e Pedro Aires Oliveira, \</w:t>
      </w:r>
      <w:r>
        <w:rPr>
          <w:rFonts w:ascii="Barlow Semi Condensed" w:cs="Barlow Semi Condensed" w:eastAsia="Barlow Semi Condensed" w:hAnsi="Barlow Semi Condensed"/>
          <w:i/>
          <w:iCs/>
          <w:sz w:val="24"/>
          <w:szCs w:val="24"/>
        </w:rPr>
        <w:t xml:space="preserve">Cutting Heads or Winning Hearts\</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Civil Wars\</w:t>
      </w:r>
      <w:r>
        <w:rPr>
          <w:rFonts w:ascii="Barlow Semi Condensed" w:cs="Barlow Semi Condensed" w:eastAsia="Barlow Semi Condensed" w:hAnsi="Barlow Semi Condensed"/>
          <w:sz w:val="24"/>
          <w:szCs w:val="24"/>
        </w:rPr>
        <w:t xml:space="preserve"> volume quattordici numero uno del 2012, reca in nota i riferimenti: l'articolo del quotidiano londinese del 10 luglio 1973 a pagina uno; il volume di Hastings del 1974; il libro del comboniano Cesare Bertulli, \</w:t>
      </w:r>
      <w:r>
        <w:rPr>
          <w:rFonts w:ascii="Barlow Semi Condensed" w:cs="Barlow Semi Condensed" w:eastAsia="Barlow Semi Condensed" w:hAnsi="Barlow Semi Condensed"/>
          <w:i/>
          <w:iCs/>
          <w:sz w:val="24"/>
          <w:szCs w:val="24"/>
        </w:rPr>
        <w:t xml:space="preserve">A Cruz e a Espada em Moçambique\</w:t>
      </w:r>
      <w:r>
        <w:rPr>
          <w:rFonts w:ascii="Barlow Semi Condensed" w:cs="Barlow Semi Condensed" w:eastAsia="Barlow Semi Condensed" w:hAnsi="Barlow Semi Condensed"/>
          <w:sz w:val="24"/>
          <w:szCs w:val="24"/>
        </w:rPr>
        <w:t xml:space="preserve">, del 1974; il volume di António Sousa Ribeiro, \</w:t>
      </w:r>
      <w:r>
        <w:rPr>
          <w:rFonts w:ascii="Barlow Semi Condensed" w:cs="Barlow Semi Condensed" w:eastAsia="Barlow Semi Condensed" w:hAnsi="Barlow Semi Condensed"/>
          <w:i/>
          <w:iCs/>
          <w:sz w:val="24"/>
          <w:szCs w:val="24"/>
        </w:rPr>
        <w:t xml:space="preserve">Terror em Tete\</w:t>
      </w:r>
      <w:r>
        <w:rPr>
          <w:rFonts w:ascii="Barlow Semi Condensed" w:cs="Barlow Semi Condensed" w:eastAsia="Barlow Semi Condensed" w:hAnsi="Barlow Semi Condensed"/>
          <w:sz w:val="24"/>
          <w:szCs w:val="24"/>
        </w:rPr>
        <w:t xml:space="preserve">, del 1974. Il saggio di Norrie MacQueen e Pedro Aires Oliveira, \</w:t>
      </w:r>
      <w:r>
        <w:rPr>
          <w:rFonts w:ascii="Barlow Semi Condensed" w:cs="Barlow Semi Condensed" w:eastAsia="Barlow Semi Condensed" w:hAnsi="Barlow Semi Condensed"/>
          <w:i/>
          <w:iCs/>
          <w:sz w:val="24"/>
          <w:szCs w:val="24"/>
        </w:rPr>
        <w:t xml:space="preserve">Grocer Meets Butcher\</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Cold War History\</w:t>
      </w:r>
      <w:r>
        <w:rPr>
          <w:rFonts w:ascii="Barlow Semi Condensed" w:cs="Barlow Semi Condensed" w:eastAsia="Barlow Semi Condensed" w:hAnsi="Barlow Semi Condensed"/>
          <w:sz w:val="24"/>
          <w:szCs w:val="24"/>
        </w:rPr>
        <w:t xml:space="preserve"> volume dieci numero uno del 2010, documenta l'impatto sulla visita londinese di Caetano.</w:t>
      </w:r>
    </w:p>
    <w:p>
      <w:pPr>
        <w:spacing w:after="120" w:line="276"/>
        <w:jc w:val="both"/>
      </w:pPr>
      <w:r>
        <w:rPr>
          <w:rFonts w:ascii="Barlow Semi Condensed" w:cs="Barlow Semi Condensed" w:eastAsia="Barlow Semi Condensed" w:hAnsi="Barlow Semi Condensed"/>
          <w:sz w:val="24"/>
          <w:szCs w:val="24"/>
        </w:rPr>
        <w:t xml:space="preserve">Si segnala che uno dei quattro volumi primari è di autore comboniano italiano, il che collega la bibliografia scientifica di Wiriyamu alla congregazione i cui membri furono espulsi nell'aprile 1974.</w:t>
      </w:r>
    </w:p>
    <w:p>
      <w:pPr>
        <w:pStyle w:val="Heading2"/>
        <w:spacing w:after="100" w:before="200"/>
      </w:pPr>
      <w:r>
        <w:rPr>
          <w:rFonts w:ascii="Barlow Semi Condensed" w:cs="Barlow Semi Condensed" w:eastAsia="Barlow Semi Condensed" w:hAnsi="Barlow Semi Condensed"/>
          <w:sz w:val="24"/>
          <w:szCs w:val="24"/>
        </w:rPr>
        <w:t xml:space="preserve">Capitolo sesto — Nigrizia e la riflessione missionaria italiana: una fonte individuata e non letta</w:t>
      </w:r>
    </w:p>
    <w:p>
      <w:pPr>
        <w:spacing w:after="120" w:line="276"/>
        <w:jc w:val="both"/>
      </w:pPr>
      <w:r>
        <w:rPr>
          <w:rFonts w:ascii="Barlow Semi Condensed" w:cs="Barlow Semi Condensed" w:eastAsia="Barlow Semi Condensed" w:hAnsi="Barlow Semi Condensed"/>
          <w:sz w:val="24"/>
          <w:szCs w:val="24"/>
        </w:rPr>
        <w:t xml:space="preserve">La ricerca estesa ha individuato la fonte scientifica che chiuderebbe una delle sei lacune, e non ne ha potuto acquisire il testo.</w:t>
      </w:r>
    </w:p>
    <w:p>
      <w:pPr>
        <w:spacing w:after="120" w:line="276"/>
        <w:jc w:val="both"/>
      </w:pPr>
      <w:r>
        <w:rPr>
          <w:rFonts w:ascii="Barlow Semi Condensed" w:cs="Barlow Semi Condensed" w:eastAsia="Barlow Semi Condensed" w:hAnsi="Barlow Semi Condensed"/>
          <w:sz w:val="24"/>
          <w:szCs w:val="24"/>
        </w:rPr>
        <w:t xml:space="preserve">L'individuazione. Un articolo peer-reviewed di Eugenio Enea, dell'Università di Messina, intitolato \</w:t>
      </w:r>
      <w:r>
        <w:rPr>
          <w:rFonts w:ascii="Barlow Semi Condensed" w:cs="Barlow Semi Condensed" w:eastAsia="Barlow Semi Condensed" w:hAnsi="Barlow Semi Condensed"/>
          <w:i/>
          <w:iCs/>
          <w:sz w:val="24"/>
          <w:szCs w:val="24"/>
        </w:rPr>
        <w:t xml:space="preserve">The challenges of missionary activity after April 25: considerations and perspectives in Nigrizia\</w:t>
      </w:r>
      <w:r>
        <w:rPr>
          <w:rFonts w:ascii="Barlow Semi Condensed" w:cs="Barlow Semi Condensed" w:eastAsia="Barlow Semi Condensed" w:hAnsi="Barlow Semi Condensed"/>
          <w:sz w:val="24"/>
          <w:szCs w:val="24"/>
        </w:rPr>
        <w:t xml:space="preserve">, pubblicato in Lusitania Sacra numero cinquantuno del 2025, con identificativo digitale 10.34632/lusitaniasacra.2025.16897.</w:t>
      </w:r>
    </w:p>
    <w:p>
      <w:pPr>
        <w:spacing w:after="120" w:line="276"/>
        <w:jc w:val="both"/>
      </w:pPr>
      <w:r>
        <w:rPr>
          <w:rFonts w:ascii="Barlow Semi Condensed" w:cs="Barlow Semi Condensed" w:eastAsia="Barlow Semi Condensed" w:hAnsi="Barlow Semi Condensed"/>
          <w:sz w:val="24"/>
          <w:szCs w:val="24"/>
        </w:rPr>
        <w:t xml:space="preserve">Il contenuto dichiarato dall'abstract, riportato nella sua sostanza. L'articolo prolunga la tesi di dottorato dell'autore sulle relazioni fra la Santa Sede e il Portogallo per il periodo 1926-1974, e sulla espulsione dei missionari e del vescovo di Nampula in seguito alla redazione e alla circolazione del documento \</w:t>
      </w:r>
      <w:r>
        <w:rPr>
          <w:rFonts w:ascii="Barlow Semi Condensed" w:cs="Barlow Semi Condensed" w:eastAsia="Barlow Semi Condensed" w:hAnsi="Barlow Semi Condensed"/>
          <w:i/>
          <w:iCs/>
          <w:sz w:val="24"/>
          <w:szCs w:val="24"/>
        </w:rPr>
        <w:t xml:space="preserve">Um imperativo de consciência\</w:t>
      </w:r>
      <w:r>
        <w:rPr>
          <w:rFonts w:ascii="Barlow Semi Condensed" w:cs="Barlow Semi Condensed" w:eastAsia="Barlow Semi Condensed" w:hAnsi="Barlow Semi Condensed"/>
          <w:sz w:val="24"/>
          <w:szCs w:val="24"/>
        </w:rPr>
        <w:t xml:space="preserve">; e riferisce le riflessioni dei comboniani nel periodo 1974-1976 sulla rivista Nigrizia.</w:t>
      </w:r>
    </w:p>
    <w:p>
      <w:pPr>
        <w:spacing w:after="120" w:line="276"/>
        <w:jc w:val="both"/>
      </w:pPr>
      <w:r>
        <w:rPr>
          <w:rFonts w:ascii="Barlow Semi Condensed" w:cs="Barlow Semi Condensed" w:eastAsia="Barlow Semi Condensed" w:hAnsi="Barlow Semi Condensed"/>
          <w:sz w:val="24"/>
          <w:szCs w:val="24"/>
        </w:rPr>
        <w:t xml:space="preserve">Il rilievo per questo studio è duplice. Primo: esiste una ricerca dottorale specifica sulle relazioni Santa Sede-Portogallo per l'intero arco 1926-1974, cioè sul terzo vertice del triangolo, e comprende l'espulsione del 1974. Secondo: la rivista missionaria italiana diede conto della vicenda fra il 1974 e il 1976, e la sua posizione è ricostruita in sede scientifica.</w:t>
      </w:r>
    </w:p>
    <w:p>
      <w:pPr>
        <w:spacing w:after="120" w:line="276"/>
        <w:jc w:val="both"/>
      </w:pPr>
      <w:r>
        <w:rPr>
          <w:rFonts w:ascii="Barlow Semi Condensed" w:cs="Barlow Semi Condensed" w:eastAsia="Barlow Semi Condensed" w:hAnsi="Barlow Semi Condensed"/>
          <w:sz w:val="24"/>
          <w:szCs w:val="24"/>
        </w:rPr>
        <w:t xml:space="preserve">Ciò che questo consente di affermare, e con quale grado. Si può affermare che la copertura italiana della vicenda per via missionaria esistette e fu oggetto di studio. Non si possono citare le posizioni assunte, poiché il testo integrale non è stato acquisito e le sole informazioni disponibili provengono dalla scheda editoriale. Ogni affermazione più precisa sarebbe inferenza dall'abstract, e non è ammessa.</w:t>
      </w:r>
    </w:p>
    <w:p>
      <w:pPr>
        <w:spacing w:after="120" w:line="276"/>
        <w:jc w:val="both"/>
      </w:pPr>
      <w:r>
        <w:rPr>
          <w:rFonts w:ascii="Barlow Semi Condensed" w:cs="Barlow Semi Condensed" w:eastAsia="Barlow Semi Condensed" w:hAnsi="Barlow Semi Condensed"/>
          <w:sz w:val="24"/>
          <w:szCs w:val="24"/>
        </w:rPr>
        <w:t xml:space="preserve">Iscrizione in tavola. L'acquisizione dell'articolo di Enea e delle annate 1974-1976 di \</w:t>
      </w:r>
      <w:r>
        <w:rPr>
          <w:rFonts w:ascii="Barlow Semi Condensed" w:cs="Barlow Semi Condensed" w:eastAsia="Barlow Semi Condensed" w:hAnsi="Barlow Semi Condensed"/>
          <w:i/>
          <w:iCs/>
          <w:sz w:val="24"/>
          <w:szCs w:val="24"/>
        </w:rPr>
        <w:t xml:space="preserve">Nigrizia\</w:t>
      </w:r>
      <w:r>
        <w:rPr>
          <w:rFonts w:ascii="Barlow Semi Condensed" w:cs="Barlow Semi Condensed" w:eastAsia="Barlow Semi Condensed" w:hAnsi="Barlow Semi Condensed"/>
          <w:sz w:val="24"/>
          <w:szCs w:val="24"/>
        </w:rPr>
        <w:t xml:space="preserve"> presso l'Archivio Comboniano di Roma è la voce di maggior rendimento fra quelle conseguibili senza accesso ad archivi di Stato: il primo è un articolo di rivista scientifica, ottenibile per richiesta; le seconde sono annate di una rivista, consultabili in biblioteca.</w:t>
      </w:r>
    </w:p>
    <w:p>
      <w:pPr>
        <w:spacing w:after="120" w:line="276"/>
        <w:jc w:val="both"/>
      </w:pPr>
      <w:r>
        <w:rPr>
          <w:rFonts w:ascii="Barlow Semi Condensed" w:cs="Barlow Semi Condensed" w:eastAsia="Barlow Semi Condensed" w:hAnsi="Barlow Semi Condensed"/>
          <w:sz w:val="24"/>
          <w:szCs w:val="24"/>
        </w:rPr>
        <w:t xml:space="preserve">Un'osservazione sul perché questo capitolo sia breve. Esso dichiara l'esistenza di una fonte e l'impossibilità di averla letta. Scrivere duemilacinquecento parole su un articolo di cui si conosce l'abstract significherebbe parafrasare l'abstract, che è ciò che la disciplina di questa ricognizione vieta. Il capitolo si chiude qui perché qui finisce ciò che si sa.</w:t>
      </w:r>
    </w:p>
    <w:p>
      <w:pPr>
        <w:pStyle w:val="Heading2"/>
        <w:spacing w:after="100" w:before="200"/>
      </w:pPr>
      <w:r>
        <w:rPr>
          <w:rFonts w:ascii="Barlow Semi Condensed" w:cs="Barlow Semi Condensed" w:eastAsia="Barlow Semi Condensed" w:hAnsi="Barlow Semi Condensed"/>
          <w:sz w:val="24"/>
          <w:szCs w:val="24"/>
        </w:rPr>
        <w:t xml:space="preserve">Capitolo settimo — Il riconoscimento italiano del nuovo Portogallo e la serie italiana del portale portoghese</w:t>
      </w:r>
    </w:p>
    <w:p>
      <w:pPr>
        <w:spacing w:after="120" w:line="276"/>
        <w:jc w:val="both"/>
      </w:pPr>
      <w:r>
        <w:rPr>
          <w:rFonts w:ascii="Barlow Semi Condensed" w:cs="Barlow Semi Condensed" w:eastAsia="Barlow Semi Condensed" w:hAnsi="Barlow Semi Condensed"/>
          <w:sz w:val="24"/>
          <w:szCs w:val="24"/>
        </w:rPr>
        <w:t xml:space="preserve">La ricerca estesa ha individuato una fonte istituzionale portoghese che la passata precedente non conosceva, e ne dichiara l'inaccessibilità.</w:t>
      </w:r>
    </w:p>
    <w:p>
      <w:pPr>
        <w:spacing w:after="120" w:line="276"/>
        <w:jc w:val="both"/>
      </w:pPr>
      <w:r>
        <w:rPr>
          <w:rFonts w:ascii="Barlow Semi Condensed" w:cs="Barlow Semi Condensed" w:eastAsia="Barlow Semi Condensed" w:hAnsi="Barlow Semi Condensed"/>
          <w:sz w:val="24"/>
          <w:szCs w:val="24"/>
        </w:rPr>
        <w:t xml:space="preserve">La fonte. Il portale ufficiale del Ministério dos Negócios Estrangeiros portoghese denominato \</w:t>
      </w:r>
      <w:r>
        <w:rPr>
          <w:rFonts w:ascii="Barlow Semi Condensed" w:cs="Barlow Semi Condensed" w:eastAsia="Barlow Semi Condensed" w:hAnsi="Barlow Semi Condensed"/>
          <w:i/>
          <w:iCs/>
          <w:sz w:val="24"/>
          <w:szCs w:val="24"/>
        </w:rPr>
        <w:t xml:space="preserve">Diplomacia e Revolução\</w:t>
      </w:r>
      <w:r>
        <w:rPr>
          <w:rFonts w:ascii="Barlow Semi Condensed" w:cs="Barlow Semi Condensed" w:eastAsia="Barlow Semi Condensed" w:hAnsi="Barlow Semi Condensed"/>
          <w:sz w:val="24"/>
          <w:szCs w:val="24"/>
        </w:rPr>
        <w:t xml:space="preserve"> raccoglie le reazioni dei Paesi con cui il Portogallo aveva relazioni nel 1974, elenco in cui figurano sia l'Italia sia la Santa Sede, e documenta il processo di riconoscimento del nuovo governo fra il 25 aprile e i primi di maggio 1974. Il portale contiene una sezione italiana con documenti diplomatici.</w:t>
      </w:r>
    </w:p>
    <w:p>
      <w:pPr>
        <w:spacing w:after="120" w:line="276"/>
        <w:jc w:val="both"/>
      </w:pPr>
      <w:r>
        <w:rPr>
          <w:rFonts w:ascii="Barlow Semi Condensed" w:cs="Barlow Semi Condensed" w:eastAsia="Barlow Semi Condensed" w:hAnsi="Barlow Semi Condensed"/>
          <w:sz w:val="24"/>
          <w:szCs w:val="24"/>
        </w:rPr>
        <w:t xml:space="preserve">Un documento di quella sezione è riferito nella sua sostanza dalla ricerca estesa, e va riportato con la riserva che ne consegue: esso riferisce di una missione del governo portoghese a Roma e dell'intenzione di far compiere al generale Spínola una visita di Stato in Italia, valutando gli accordi di Lusaka come elemento di conferma del processo di avanzata decolonizzazione.</w:t>
      </w:r>
    </w:p>
    <w:p>
      <w:pPr>
        <w:spacing w:after="120" w:line="276"/>
        <w:jc w:val="both"/>
      </w:pPr>
      <w:r>
        <w:rPr>
          <w:rFonts w:ascii="Barlow Semi Condensed" w:cs="Barlow Semi Condensed" w:eastAsia="Barlow Semi Condensed" w:hAnsi="Barlow Semi Condensed"/>
          <w:sz w:val="24"/>
          <w:szCs w:val="24"/>
        </w:rPr>
        <w:t xml:space="preserve">La riserva è di accesso e va dichiarata. La consultazione integrale della serie è impedita dal blocco all'accesso automatizzato del sito. I testi vanno letti direttamente presso il portale o presso l'Arquivo Histórico-Diplomático del ministero portoghese. Ciò che si può affermare è che la serie esiste e contiene documenti sull'Italia; ciò che non si può è citarne il contenuto.</w:t>
      </w:r>
    </w:p>
    <w:p>
      <w:pPr>
        <w:spacing w:after="120" w:line="276"/>
        <w:jc w:val="both"/>
      </w:pPr>
      <w:r>
        <w:rPr>
          <w:rFonts w:ascii="Barlow Semi Condensed" w:cs="Barlow Semi Condensed" w:eastAsia="Barlow Semi Condensed" w:hAnsi="Barlow Semi Condensed"/>
          <w:sz w:val="24"/>
          <w:szCs w:val="24"/>
        </w:rPr>
        <w:t xml:space="preserve">Il rilievo è notevole e va enunciato. Se il portale ufficiale portoghese conserva documenti diplomatici sulla reazione italiana al 25 aprile 1974, allora l'atto italiano di riconoscimento esiste ed è documentato — dalla parte portoghese. Lo Stato Zero della passata precedente sul riconoscimento italiano non è dunque un vuoto documentale assoluto: è un vuoto nella documentazione italiana accessibile, con controparte esistente e individuata.</w:t>
      </w:r>
    </w:p>
    <w:p>
      <w:pPr>
        <w:spacing w:after="120" w:line="276"/>
        <w:jc w:val="both"/>
      </w:pPr>
      <w:r>
        <w:rPr>
          <w:rFonts w:ascii="Barlow Semi Condensed" w:cs="Barlow Semi Condensed" w:eastAsia="Barlow Semi Condensed" w:hAnsi="Barlow Semi Condensed"/>
          <w:sz w:val="24"/>
          <w:szCs w:val="24"/>
        </w:rPr>
        <w:t xml:space="preserve">Va segnalata una progettata visita di Stato che non risulta avvenuta. Le fonti reperite indicano l'intenzione di una visita di Spínola in Italia; Spínola lasciò la presidenza portoghese il 30 settembre 1974, e la visita non risulta compiuta. Se ne registra il progetto e non l'esecuzione, e la verifica appartiene alla medesima serie.</w:t>
      </w:r>
    </w:p>
    <w:p>
      <w:pPr>
        <w:spacing w:after="120" w:line="276"/>
        <w:jc w:val="both"/>
      </w:pPr>
      <w:r>
        <w:rPr>
          <w:rFonts w:ascii="Barlow Semi Condensed" w:cs="Barlow Semi Condensed" w:eastAsia="Barlow Semi Condensed" w:hAnsi="Barlow Semi Condensed"/>
          <w:sz w:val="24"/>
          <w:szCs w:val="24"/>
        </w:rPr>
        <w:t xml:space="preserve">Un elemento di contesto atlantico, da fonte primaria statunitense. Il memorandum del 19 giugno 1974 sull'incontro alle Azzorre fra Nixon e Spínola, nella serie dei \</w:t>
      </w:r>
      <w:r>
        <w:rPr>
          <w:rFonts w:ascii="Barlow Semi Condensed" w:cs="Barlow Semi Condensed" w:eastAsia="Barlow Semi Condensed" w:hAnsi="Barlow Semi Condensed"/>
          <w:i/>
          <w:iCs/>
          <w:sz w:val="24"/>
          <w:szCs w:val="24"/>
        </w:rPr>
        <w:t xml:space="preserve">Foreign Relations of the United States\</w:t>
      </w:r>
      <w:r>
        <w:rPr>
          <w:rFonts w:ascii="Barlow Semi Condensed" w:cs="Barlow Semi Condensed" w:eastAsia="Barlow Semi Condensed" w:hAnsi="Barlow Semi Condensed"/>
          <w:sz w:val="24"/>
          <w:szCs w:val="24"/>
        </w:rPr>
        <w:t xml:space="preserve">, registra la richiesta portoghese di assistenza per contrastare qualunque mossa dei comunisti, con la formula secondo cui ciò avrebbe impiantato un'altra Cuba nella penisola iberica.</w:t>
      </w:r>
    </w:p>
    <w:p>
      <w:pPr>
        <w:spacing w:after="120" w:line="276"/>
        <w:jc w:val="both"/>
      </w:pPr>
      <w:r>
        <w:rPr>
          <w:rFonts w:ascii="Barlow Semi Condensed" w:cs="Barlow Semi Condensed" w:eastAsia="Barlow Semi Condensed" w:hAnsi="Barlow Semi Condensed"/>
          <w:sz w:val="24"/>
          <w:szCs w:val="24"/>
        </w:rPr>
        <w:t xml:space="preserve">Ne discende che il riconoscimento italiano — di competenza del governo Rumor quinto, con Moro agli Esteri fino al 23 novembre 1974 — si colloca in un contesto di preoccupazione occidentale documentata. Le fonti non consentono però di attribuire a Moro una posizione personale distinta: l'atto va ascritto al governo italiano nel suo complesso e non al ministro in modo documentato. La distinzione è vincolante.</w:t>
      </w:r>
    </w:p>
    <w:p>
      <w:pPr>
        <w:pStyle w:val="Heading2"/>
        <w:spacing w:after="100" w:before="200"/>
      </w:pPr>
      <w:r>
        <w:rPr>
          <w:rFonts w:ascii="Barlow Semi Condensed" w:cs="Barlow Semi Condensed" w:eastAsia="Barlow Semi Condensed" w:hAnsi="Barlow Semi Condensed"/>
          <w:sz w:val="24"/>
          <w:szCs w:val="24"/>
        </w:rPr>
        <w:t xml:space="preserve">Capitolo ottavo — Helsinki 1975: il solo punto di contatto istituzionale fra i tre vertici</w:t>
      </w:r>
    </w:p>
    <w:p>
      <w:pPr>
        <w:spacing w:after="120" w:line="276"/>
        <w:jc w:val="both"/>
      </w:pPr>
      <w:r>
        <w:rPr>
          <w:rFonts w:ascii="Barlow Semi Condensed" w:cs="Barlow Semi Condensed" w:eastAsia="Barlow Semi Condensed" w:hAnsi="Barlow Semi Condensed"/>
          <w:sz w:val="24"/>
          <w:szCs w:val="24"/>
        </w:rPr>
        <w:t xml:space="preserve">La ricerca estesa conferma e precisa l'unico momento in cui Italia, Portogallo e Santa Sede agirono nel medesimo consesso in forma documentata.</w:t>
      </w:r>
    </w:p>
    <w:p>
      <w:pPr>
        <w:spacing w:after="120" w:line="276"/>
        <w:jc w:val="both"/>
      </w:pPr>
      <w:r>
        <w:rPr>
          <w:rFonts w:ascii="Barlow Semi Condensed" w:cs="Barlow Semi Condensed" w:eastAsia="Barlow Semi Condensed" w:hAnsi="Barlow Semi Condensed"/>
          <w:sz w:val="24"/>
          <w:szCs w:val="24"/>
        </w:rPr>
        <w:t xml:space="preserve">Le fasi della Conferenza, con le date. Fase preliminare a Dipoli e Helsinki, dal novembre 1972 al giugno 1973; fase di redazione a Ginevra, dal settembre 1973 al luglio 1975; fase finale dal 30 luglio al 1 agosto 1975.</w:t>
      </w:r>
    </w:p>
    <w:p>
      <w:pPr>
        <w:spacing w:after="120" w:line="276"/>
        <w:jc w:val="both"/>
      </w:pPr>
      <w:r>
        <w:rPr>
          <w:rFonts w:ascii="Barlow Semi Condensed" w:cs="Barlow Semi Condensed" w:eastAsia="Barlow Semi Condensed" w:hAnsi="Barlow Semi Condensed"/>
          <w:sz w:val="24"/>
          <w:szCs w:val="24"/>
        </w:rPr>
        <w:t xml:space="preserve">La firma italiana. Moro sottoscrisse l'Atto finale nella sua duplice qualità di presidente del Consiglio italiano e presidente di turno della Comunità europea, e — secondo le fonti — ottenne il coinvolgimento formale della Comunità nella firma sfidando l'insofferenza del segretario di Stato americano. Il 30 luglio 1975 tenne a Helsinki un discorso nel quale affermò che l'Atto finale non cristallizzava la realtà politica europea ma riaffermava il diritto di autodecisione e di autodeterminazione.</w:t>
      </w:r>
    </w:p>
    <w:p>
      <w:pPr>
        <w:spacing w:after="120" w:line="276"/>
        <w:jc w:val="both"/>
      </w:pPr>
      <w:r>
        <w:rPr>
          <w:rFonts w:ascii="Barlow Semi Condensed" w:cs="Barlow Semi Condensed" w:eastAsia="Barlow Semi Condensed" w:hAnsi="Barlow Semi Condensed"/>
          <w:sz w:val="24"/>
          <w:szCs w:val="24"/>
        </w:rPr>
        <w:t xml:space="preserve">La rappresentanza vaticana. La Santa Sede fu rappresentata da monsignor Agostino Casaroli e monsignor Achille Silvestrini, che ottennero l'inclusione del principio della libertà religiosa.</w:t>
      </w:r>
    </w:p>
    <w:p>
      <w:pPr>
        <w:spacing w:after="120" w:line="276"/>
        <w:jc w:val="both"/>
      </w:pPr>
      <w:r>
        <w:rPr>
          <w:rFonts w:ascii="Barlow Semi Condensed" w:cs="Barlow Semi Condensed" w:eastAsia="Barlow Semi Condensed" w:hAnsi="Barlow Semi Condensed"/>
          <w:sz w:val="24"/>
          <w:szCs w:val="24"/>
        </w:rPr>
        <w:t xml:space="preserve">La presenza portoghese. Il Portogallo firmò l'Atto finale come Stato partecipante. Il mutamento della propria delegazione dopo il 25 aprile 1974 — dal regime dell'Estado Novo al Portogallo democratico — non è documentato nel dettaglio dalle fonti reperite, e va chiuso presso l'Arquivo Histórico-Diplomático portoghese. Si registra come Stato Zero.</w:t>
      </w:r>
    </w:p>
    <w:p>
      <w:pPr>
        <w:spacing w:after="120" w:line="276"/>
        <w:jc w:val="both"/>
      </w:pPr>
      <w:r>
        <w:rPr>
          <w:rFonts w:ascii="Barlow Semi Condensed" w:cs="Barlow Semi Condensed" w:eastAsia="Barlow Semi Condensed" w:hAnsi="Barlow Semi Condensed"/>
          <w:sz w:val="24"/>
          <w:szCs w:val="24"/>
        </w:rPr>
        <w:t xml:space="preserve">La qualificazione della triangolazione va enunciata con la massima precisione, perché è il punto in cui la tentazione di dire di più è massima. Il 1 agosto 1975 i tre vertici del triangolo sottoscrissero il medesimo atto: l'Italia per mano di Moro, la Santa Sede per mano di Casaroli, il Portogallo post-rivoluzionario per mano dei propri rappresentanti.</w:t>
      </w:r>
    </w:p>
    <w:p>
      <w:pPr>
        <w:spacing w:after="120" w:line="276"/>
        <w:jc w:val="both"/>
      </w:pPr>
      <w:r>
        <w:rPr>
          <w:rFonts w:ascii="Barlow Semi Condensed" w:cs="Barlow Semi Condensed" w:eastAsia="Barlow Semi Condensed" w:hAnsi="Barlow Semi Condensed"/>
          <w:sz w:val="24"/>
          <w:szCs w:val="24"/>
        </w:rPr>
        <w:t xml:space="preserve">Ciò che questo stabilisce: una simultaneità di firma e una comunanza di consesso, documentate.</w:t>
      </w:r>
    </w:p>
    <w:p>
      <w:pPr>
        <w:spacing w:after="120" w:line="276"/>
        <w:jc w:val="both"/>
      </w:pPr>
      <w:r>
        <w:rPr>
          <w:rFonts w:ascii="Barlow Semi Condensed" w:cs="Barlow Semi Condensed" w:eastAsia="Barlow Semi Condensed" w:hAnsi="Barlow Semi Condensed"/>
          <w:sz w:val="24"/>
          <w:szCs w:val="24"/>
        </w:rPr>
        <w:t xml:space="preserve">Ciò che questo non stabilisce, e va detto con eguale forza: la materia era la sicurezza europea e non la questione coloniale; la firma è posteriore ai mandati di Moro agli Esteri, essendo egli allora presidente del Consiglio; e nessuna fonte documenta un coordinamento fra le tre delegazioni né un rapporto fra la firma e le vicende dei cinque anni precedenti.</w:t>
      </w:r>
    </w:p>
    <w:p>
      <w:pPr>
        <w:spacing w:after="120" w:line="276"/>
        <w:jc w:val="both"/>
      </w:pPr>
      <w:r>
        <w:rPr>
          <w:rFonts w:ascii="Barlow Semi Condensed" w:cs="Barlow Semi Condensed" w:eastAsia="Barlow Semi Condensed" w:hAnsi="Barlow Semi Condensed"/>
          <w:sz w:val="24"/>
          <w:szCs w:val="24"/>
        </w:rPr>
        <w:t xml:space="preserve">Un rilievo di ordine cronologico chiude il capitolo. Cinque anni e un mese separano l'udienza pontificia del 1 luglio 1970, che produsse il richiamo di un ambasciatore portoghese, dalla firma congiunta del 1 agosto 1975. Fra i due termini stanno il massacro, la denuncia, l'espulsione e la rivoluzione. La sequenza è di fatto; che essa costituisca un processo non è stabilito da alcuna delle fonti reperite, e non va inferito dalla sua ordinata successione.</w:t>
      </w:r>
    </w:p>
    <w:p>
      <w:pPr>
        <w:pStyle w:val="Heading2"/>
        <w:spacing w:after="100" w:before="200"/>
      </w:pPr>
      <w:r>
        <w:rPr>
          <w:rFonts w:ascii="Barlow Semi Condensed" w:cs="Barlow Semi Condensed" w:eastAsia="Barlow Semi Condensed" w:hAnsi="Barlow Semi Condensed"/>
          <w:sz w:val="24"/>
          <w:szCs w:val="24"/>
        </w:rPr>
        <w:t xml:space="preserve">Capitolo nono — Gli atti parlamentari italiani: uno Stato Zero con causa dichiarata</w:t>
      </w:r>
    </w:p>
    <w:p>
      <w:pPr>
        <w:spacing w:after="120" w:line="276"/>
        <w:jc w:val="both"/>
      </w:pPr>
      <w:r>
        <w:rPr>
          <w:rFonts w:ascii="Barlow Semi Condensed" w:cs="Barlow Semi Condensed" w:eastAsia="Barlow Semi Condensed" w:hAnsi="Barlow Semi Condensed"/>
          <w:sz w:val="24"/>
          <w:szCs w:val="24"/>
        </w:rPr>
        <w:t xml:space="preserve">Il capitolo è breve e la sua brevità è la risultanza. La ricerca estesa ha però mutato lo statuto di questo Stato Zero, individuandone la causa.</w:t>
      </w:r>
    </w:p>
    <w:p>
      <w:pPr>
        <w:spacing w:after="120" w:line="276"/>
        <w:jc w:val="both"/>
      </w:pPr>
      <w:r>
        <w:rPr>
          <w:rFonts w:ascii="Barlow Semi Condensed" w:cs="Barlow Semi Condensed" w:eastAsia="Barlow Semi Condensed" w:hAnsi="Barlow Semi Condensed"/>
          <w:sz w:val="24"/>
          <w:szCs w:val="24"/>
        </w:rPr>
        <w:t xml:space="preserve">La causa, dichiarata. La banca dati degli atti di indirizzo e controllo di Camera e Senato — interrogazioni, interpellanze, mozioni, risoluzioni, ordini del giorno — è consultabile soltanto a partire dalla settima legislatura, cioè dal 5 luglio 1976. L'intero arco 1969-1975, che comprende la quinta e la sesta legislatura, resta fuori dall'indicizzazione per soggetto: gli atti sopravvivono come resoconti stenografici digitalizzati non ricercabili a testo pieno per parola chiave.</w:t>
      </w:r>
    </w:p>
    <w:p>
      <w:pPr>
        <w:spacing w:after="120" w:line="276"/>
        <w:jc w:val="both"/>
      </w:pPr>
      <w:r>
        <w:rPr>
          <w:rFonts w:ascii="Barlow Semi Condensed" w:cs="Barlow Semi Condensed" w:eastAsia="Barlow Semi Condensed" w:hAnsi="Barlow Semi Condensed"/>
          <w:sz w:val="24"/>
          <w:szCs w:val="24"/>
        </w:rPr>
        <w:t xml:space="preserve">Ne discende una conseguenza che va enunciata perché vale oltre questo studio. Non è possibile, con i soli strumenti telematici, confermare né escludere l'esistenza di interrogazioni parlamentari italiane su Wiriyamu, sull'espulsione dei comboniani o sul Portogallo coloniale. L'assenza di riscontro è qui effetto di un limite dello strumento e non indizio sulla realtà, e chiunque la impiegasse come prova dell'inerzia parlamentare italiana commetterebbe un errore che questo capitolo serve a prevenire.</w:t>
      </w:r>
    </w:p>
    <w:p>
      <w:pPr>
        <w:spacing w:after="120" w:line="276"/>
        <w:jc w:val="both"/>
      </w:pPr>
      <w:r>
        <w:rPr>
          <w:rFonts w:ascii="Barlow Semi Condensed" w:cs="Barlow Semi Condensed" w:eastAsia="Barlow Semi Condensed" w:hAnsi="Barlow Semi Condensed"/>
          <w:sz w:val="24"/>
          <w:szCs w:val="24"/>
        </w:rPr>
        <w:t xml:space="preserve">Un elemento nuovo di rilievo è stato però reperito. La scheda dell'Archivio storico del Senato sul Fondo Mario Zagari reca un fascicolo intitolato \</w:t>
      </w:r>
      <w:r>
        <w:rPr>
          <w:rFonts w:ascii="Barlow Semi Condensed" w:cs="Barlow Semi Condensed" w:eastAsia="Barlow Semi Condensed" w:hAnsi="Barlow Semi Condensed"/>
          <w:i/>
          <w:iCs/>
          <w:sz w:val="24"/>
          <w:szCs w:val="24"/>
        </w:rPr>
        <w:t xml:space="preserve">Colonie Portoghesi — Angola, Mozambico, Capo Verde\</w:t>
      </w:r>
      <w:r>
        <w:rPr>
          <w:rFonts w:ascii="Barlow Semi Condensed" w:cs="Barlow Semi Condensed" w:eastAsia="Barlow Semi Condensed" w:hAnsi="Barlow Semi Condensed"/>
          <w:sz w:val="24"/>
          <w:szCs w:val="24"/>
        </w:rPr>
        <w:t xml:space="preserve">, con la relazione dattiloscritta di Zagari per la Conferenza nazionale di solidarietà di Reggio Emilia del 1973.</w:t>
      </w:r>
    </w:p>
    <w:p>
      <w:pPr>
        <w:spacing w:after="120" w:line="276"/>
        <w:jc w:val="both"/>
      </w:pPr>
      <w:r>
        <w:rPr>
          <w:rFonts w:ascii="Barlow Semi Condensed" w:cs="Barlow Semi Condensed" w:eastAsia="Barlow Semi Condensed" w:hAnsi="Barlow Semi Condensed"/>
          <w:sz w:val="24"/>
          <w:szCs w:val="24"/>
        </w:rPr>
        <w:t xml:space="preserve">Il rilievo e la sua misura. Ciò documenta l'impegno di un esponente socialista di rango parlamentare nel movimento anticolonialista, non una posizione dell'istituzione parlamentare né del governo. La distinzione fra condotta di una persona e condotta dell'istituzione, prescritta dalla disciplina, va qui mantenuta con particolare rigore, poiché la tentazione di leggere l'una come indizio dell'altra è forte.</w:t>
      </w:r>
    </w:p>
    <w:p>
      <w:pPr>
        <w:spacing w:after="120" w:line="276"/>
        <w:jc w:val="both"/>
      </w:pPr>
      <w:r>
        <w:rPr>
          <w:rFonts w:ascii="Barlow Semi Condensed" w:cs="Barlow Semi Condensed" w:eastAsia="Barlow Semi Condensed" w:hAnsi="Barlow Semi Condensed"/>
          <w:sz w:val="24"/>
          <w:szCs w:val="24"/>
        </w:rPr>
        <w:t xml:space="preserve">Sulla data della conferenza reggiana le fonti divergono, e la divergenza va riportata: l'inventario dell'archivio emiliano indica 23-26 marzo 1973; la scheda del Fondo Zagari presso il Senato indica 24-25 marzo 1973. Due strumenti archivistici, due datazioni.</w:t>
      </w:r>
    </w:p>
    <w:p>
      <w:pPr>
        <w:spacing w:after="120" w:line="276"/>
        <w:jc w:val="both"/>
      </w:pPr>
      <w:r>
        <w:rPr>
          <w:rFonts w:ascii="Barlow Semi Condensed" w:cs="Barlow Semi Condensed" w:eastAsia="Barlow Semi Condensed" w:hAnsi="Barlow Semi Condensed"/>
          <w:sz w:val="24"/>
          <w:szCs w:val="24"/>
        </w:rPr>
        <w:t xml:space="preserve">Sugli interventi di Moro. Le fonti indicate — la raccolta ufficiale dei discorsi parlamentari del 1996, l'Edizione Nazionale delle Opere, il portale dell'Università di Bologna, il Fondo Moro presso l'Archivio storico del Senato — non hanno restituito, negli strumenti telematici, alcun discorso o intervento di Moro specificamente dedicato al Portogallo coloniale o alla rivoluzione. L'inventario disponibile descrive per la serie relativa al Ministero degli Affari esteri le sole sottoserie del quarto e quinto governo Moro, cioè dal novembre 1974, posteriori ai mandati qui in esame. Si registra Stato Zero con la medesima riserva strutturale.</w:t>
      </w:r>
    </w:p>
    <w:p>
      <w:pPr>
        <w:pStyle w:val="Heading2"/>
        <w:spacing w:after="100" w:before="200"/>
      </w:pPr>
      <w:r>
        <w:rPr>
          <w:rFonts w:ascii="Barlow Semi Condensed" w:cs="Barlow Semi Condensed" w:eastAsia="Barlow Semi Condensed" w:hAnsi="Barlow Semi Condensed"/>
          <w:sz w:val="24"/>
          <w:szCs w:val="24"/>
        </w:rPr>
        <w:t xml:space="preserve">Capitolo decimo — Gli archivi portoghesi: accessibilità e condizioni</w:t>
      </w:r>
    </w:p>
    <w:p>
      <w:pPr>
        <w:spacing w:after="120" w:line="276"/>
        <w:jc w:val="both"/>
      </w:pPr>
      <w:r>
        <w:rPr>
          <w:rFonts w:ascii="Barlow Semi Condensed" w:cs="Barlow Semi Condensed" w:eastAsia="Barlow Semi Condensed" w:hAnsi="Barlow Semi Condensed"/>
          <w:sz w:val="24"/>
          <w:szCs w:val="24"/>
        </w:rPr>
        <w:t xml:space="preserve">Il capitolo è breve e ha funzione di strumento: esso registra dove andare e a quali condizioni.</w:t>
      </w:r>
    </w:p>
    <w:p>
      <w:pPr>
        <w:spacing w:after="120" w:line="276"/>
        <w:jc w:val="both"/>
      </w:pPr>
      <w:r>
        <w:rPr>
          <w:rFonts w:ascii="Barlow Semi Condensed" w:cs="Barlow Semi Condensed" w:eastAsia="Barlow Semi Condensed" w:hAnsi="Barlow Semi Condensed"/>
          <w:sz w:val="24"/>
          <w:szCs w:val="24"/>
        </w:rPr>
        <w:t xml:space="preserve">L'Arquivo Nacional da Torre do Tombo conserva il fondo PIDE-DGS, il fondo Arquivo Oliveira Salazar, il fondo Negócios Estrangeiros e altri. L'accesso è libero ai maggiori di sedici anni con iscrizione alla piattaforma CRAV, mentre la documentazione PIDE-DGS è soggetta a regolamento proprio. La piattaforma digitale è Digitarq, nella nuova versione del 2025. Il portale europeo per il patrimonio dell'olocausto descrive le collezioni.</w:t>
      </w:r>
    </w:p>
    <w:p>
      <w:pPr>
        <w:spacing w:after="120" w:line="276"/>
        <w:jc w:val="both"/>
      </w:pPr>
      <w:r>
        <w:rPr>
          <w:rFonts w:ascii="Barlow Semi Condensed" w:cs="Barlow Semi Condensed" w:eastAsia="Barlow Semi Condensed" w:hAnsi="Barlow Semi Condensed"/>
          <w:sz w:val="24"/>
          <w:szCs w:val="24"/>
        </w:rPr>
        <w:t xml:space="preserve">L'Arquivo Histórico-Diplomático del Ministério dos Negócios Estrangeiros, la Fundação Mário Soares e il Centro de Documentação 25 de Abril dell'Università di Coimbra — che ospita gli studi di Dhada su Wiriyamu — completano il quadro.</w:t>
      </w:r>
    </w:p>
    <w:p>
      <w:pPr>
        <w:spacing w:after="120" w:line="276"/>
        <w:jc w:val="both"/>
      </w:pPr>
      <w:r>
        <w:rPr>
          <w:rFonts w:ascii="Barlow Semi Condensed" w:cs="Barlow Semi Condensed" w:eastAsia="Barlow Semi Condensed" w:hAnsi="Barlow Semi Condensed"/>
          <w:sz w:val="24"/>
          <w:szCs w:val="24"/>
        </w:rPr>
        <w:t xml:space="preserve">Che cosa non è stato reperito. Non risulta online un inventario che isoli la corrispondenza dell'ambasciata portoghese a Roma o presso la Santa Sede per il 1969-1975, né la documentazione del richiamo dell'ambasciatore del luglio 1970. Il fatto del richiamo è accertato; il documento che lo dispose non è individuato.</w:t>
      </w:r>
    </w:p>
    <w:p>
      <w:pPr>
        <w:spacing w:after="120" w:line="276"/>
        <w:jc w:val="both"/>
      </w:pPr>
      <w:r>
        <w:rPr>
          <w:rFonts w:ascii="Barlow Semi Condensed" w:cs="Barlow Semi Condensed" w:eastAsia="Barlow Semi Condensed" w:hAnsi="Barlow Semi Condensed"/>
          <w:sz w:val="24"/>
          <w:szCs w:val="24"/>
        </w:rPr>
        <w:t xml:space="preserve">Sul dossier Aginter Press si conferma lo Stato Zero integrale. La ricerca estesa non ha prodotto, entro il proprio perimetro, fonti primarie o studi peer-reviewed che ne documentino un ruolo nelle vicende trattate. La materia non viene pertanto trattata per rassegna generica, e la tesi circolante nella pubblicistica va considerata, allo stato, non sostenuta dalle fonti primarie. La sede è il fondo PIDE-DGS, soggetto a regolamento proprio, e l'accesso non è surrogabile per via telematica.</w:t>
      </w:r>
    </w:p>
    <w:p>
      <w:pPr>
        <w:spacing w:after="120" w:line="276"/>
        <w:jc w:val="both"/>
      </w:pPr>
      <w:r>
        <w:rPr>
          <w:rFonts w:ascii="Barlow Semi Condensed" w:cs="Barlow Semi Condensed" w:eastAsia="Barlow Semi Condensed" w:hAnsi="Barlow Semi Condensed"/>
          <w:sz w:val="24"/>
          <w:szCs w:val="24"/>
        </w:rPr>
        <w:t xml:space="preserve">Una osservazione di metodo chiude il capitolo, e vale oltre il suo oggetto. L'apertura degli archivi della polizia politica portoghese avvenne in conseguenza della caduta del regime che li teneva chiusi. Il progetto ha registrato altrove, come regolarità empirica, che nessun archivio di apparato di sicurezza si è mai aperto volontariamente e che tutte le aperture sono conseguite a pressione esterna. Il caso portoghese ne costituisce l'esempio più netto: l'archivio si aprì perché il potere che lo custodiva cessò di esistere.</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riclassificate secondo quattro gradi</w:t>
      </w:r>
    </w:p>
    <w:p>
      <w:pPr>
        <w:spacing w:after="120" w:line="276"/>
        <w:jc w:val="both"/>
      </w:pPr>
      <w:r>
        <w:rPr>
          <w:rFonts w:ascii="Barlow Semi Condensed" w:cs="Barlow Semi Condensed" w:eastAsia="Barlow Semi Condensed" w:hAnsi="Barlow Semi Condensed"/>
          <w:sz w:val="24"/>
          <w:szCs w:val="24"/>
        </w:rPr>
        <w:t xml:space="preserve">La ricerca estesa consente di riclassificare le triangolazioni in quattro gradi distinti, e la classificazione è essa stessa la risultanza analitica di questa ricognizione.</w:t>
      </w:r>
    </w:p>
    <w:p>
      <w:pPr>
        <w:spacing w:after="120" w:line="276"/>
        <w:jc w:val="both"/>
      </w:pPr>
      <w:r>
        <w:rPr>
          <w:rFonts w:ascii="Barlow Semi Condensed" w:cs="Barlow Semi Condensed" w:eastAsia="Barlow Semi Condensed" w:hAnsi="Barlow Semi Condensed"/>
          <w:sz w:val="24"/>
          <w:szCs w:val="24"/>
        </w:rPr>
        <w:t xml:space="preserve">Primo grado: convergenza di obiettivo documentata. Essa sussiste fra una parte della Chiesa missionaria e i movimenti di liberazione, e le sue prove sono quattro: l'udienza pontificia del 1 luglio 1970; il ritiro dei quarantotto Padri Bianchi da Beira e Tete nel maggio 1971; la denuncia di Wiriyamu del luglio 1973, opera di un membro della medesima congregazione; il documento \</w:t>
      </w:r>
      <w:r>
        <w:rPr>
          <w:rFonts w:ascii="Barlow Semi Condensed" w:cs="Barlow Semi Condensed" w:eastAsia="Barlow Semi Condensed" w:hAnsi="Barlow Semi Condensed"/>
          <w:i/>
          <w:iCs/>
          <w:sz w:val="24"/>
          <w:szCs w:val="24"/>
        </w:rPr>
        <w:t xml:space="preserve">Imperativo di Coscienza\</w:t>
      </w:r>
      <w:r>
        <w:rPr>
          <w:rFonts w:ascii="Barlow Semi Condensed" w:cs="Barlow Semi Condensed" w:eastAsia="Barlow Semi Condensed" w:hAnsi="Barlow Semi Condensed"/>
          <w:sz w:val="24"/>
          <w:szCs w:val="24"/>
        </w:rPr>
        <w:t xml:space="preserve"> del 1974 e l'espulsione che ne seguì.</w:t>
      </w:r>
    </w:p>
    <w:p>
      <w:pPr>
        <w:spacing w:after="120" w:line="276"/>
        <w:jc w:val="both"/>
      </w:pPr>
      <w:r>
        <w:rPr>
          <w:rFonts w:ascii="Barlow Semi Condensed" w:cs="Barlow Semi Condensed" w:eastAsia="Barlow Semi Condensed" w:hAnsi="Barlow Semi Condensed"/>
          <w:sz w:val="24"/>
          <w:szCs w:val="24"/>
        </w:rPr>
        <w:t xml:space="preserve">Ciò che questo grado non comprende, e va detto con forza: esso non coinvolge in modo documentato né Moro né il governo italiano, e va attribuito a soggetti ecclesiali determinati — comboniani, Padri di Burgos, Padri Bianchi, il vescovo di Nampula — e non alla Santa Sede come istituzione monolitica. La gerarchia portoghese, e segnatamente il patriarca di Lisbona, non risulta avere condiviso quelle posizioni.</w:t>
      </w:r>
    </w:p>
    <w:p>
      <w:pPr>
        <w:spacing w:after="120" w:line="276"/>
        <w:jc w:val="both"/>
      </w:pPr>
      <w:r>
        <w:rPr>
          <w:rFonts w:ascii="Barlow Semi Condensed" w:cs="Barlow Semi Condensed" w:eastAsia="Barlow Semi Condensed" w:hAnsi="Barlow Semi Condensed"/>
          <w:sz w:val="24"/>
          <w:szCs w:val="24"/>
        </w:rPr>
        <w:t xml:space="preserve">Secondo grado: simultaneità di reazione a un medesimo evento. Essa è visibile nella firma dell'Atto finale di Helsinki del 1 agosto 1975, dove Moro, il Portogallo democratico e la Santa Sede di Casaroli e Silvestrini agirono nel medesimo consesso. Ma su materia di sicurezza europea e non coloniale, e fuori dai mandati di Moro agli Esteri.</w:t>
      </w:r>
    </w:p>
    <w:p>
      <w:pPr>
        <w:spacing w:after="120" w:line="276"/>
        <w:jc w:val="both"/>
      </w:pPr>
      <w:r>
        <w:rPr>
          <w:rFonts w:ascii="Barlow Semi Condensed" w:cs="Barlow Semi Condensed" w:eastAsia="Barlow Semi Condensed" w:hAnsi="Barlow Semi Condensed"/>
          <w:sz w:val="24"/>
          <w:szCs w:val="24"/>
        </w:rPr>
        <w:t xml:space="preserve">Terzo grado: comunanza di ambiente istituzionale. Il Trattato del Laterano del 1929 fa di Roma l'unico caso al mondo in cui le due missioni diplomatiche reciproche sono accreditate nella medesima città. Il ministro degli Esteri italiano operava dunque a pochi passi dalla Segreteria di Stato. A ciò si aggiunge la contemporaneità dei dossier concordatari: il Protocollo portoghese del 15 febbraio 1975 e l'iter lateranense verso l'Accordo del 18 febbraio 1984. La prossimità facilita la comunanza ma non prova il coordinamento, e nessun documento reperito la trasforma in nesso.</w:t>
      </w:r>
    </w:p>
    <w:p>
      <w:pPr>
        <w:spacing w:after="120" w:line="276"/>
        <w:jc w:val="both"/>
      </w:pPr>
      <w:r>
        <w:rPr>
          <w:rFonts w:ascii="Barlow Semi Condensed" w:cs="Barlow Semi Condensed" w:eastAsia="Barlow Semi Condensed" w:hAnsi="Barlow Semi Condensed"/>
          <w:sz w:val="24"/>
          <w:szCs w:val="24"/>
        </w:rPr>
        <w:t xml:space="preserve">Quarto grado: mera contemporaneità cronologica, che non stabilisce nulla. Vi appartengono la coincidenza fra il referendum italiano sul divorzio del maggio 1974 e il Protocollo portoghese sull'articolo ventiquattresimo del febbraio 1975; e la coincidenza fra la Ostpolitik di Casaroli e la questione coloniale portoghese, fra le quali nessuna fonte reperita documenta alcun nesso.</w:t>
      </w:r>
    </w:p>
    <w:p>
      <w:pPr>
        <w:spacing w:after="120" w:line="276"/>
        <w:jc w:val="both"/>
      </w:pPr>
      <w:r>
        <w:rPr>
          <w:rFonts w:ascii="Barlow Semi Condensed" w:cs="Barlow Semi Condensed" w:eastAsia="Barlow Semi Condensed" w:hAnsi="Barlow Semi Condensed"/>
          <w:sz w:val="24"/>
          <w:szCs w:val="24"/>
        </w:rPr>
        <w:t xml:space="preserve">La conclusione storiografica, che va enunciata per intero perché è il risultato di cinque ricognizioni. Le fonti accessibili documentano un triangolo Roma-Vaticano-Lisbona nel quale i due vertici attivi sulla questione coloniale furono la società civile italiana di sinistra, con enti locali quali Reggio Emilia, e una parte della Chiesa missionaria; mentre il vertice governativo italiano — e con esso Moro ministro — resta, allo stato della documentazione accessibile, silente o non documentato.</w:t>
      </w:r>
    </w:p>
    <w:p>
      <w:pPr>
        <w:spacing w:after="120" w:line="276"/>
        <w:jc w:val="both"/>
      </w:pPr>
      <w:r>
        <w:rPr>
          <w:rFonts w:ascii="Barlow Semi Condensed" w:cs="Barlow Semi Condensed" w:eastAsia="Barlow Semi Condensed" w:hAnsi="Barlow Semi Condensed"/>
          <w:sz w:val="24"/>
          <w:szCs w:val="24"/>
        </w:rPr>
        <w:t xml:space="preserve">E una precisazione finale, che è la più importante. Ciò non equivale a provare un'inerzia deliberata: equivale a constatare un'assenza di fonti, da colmare in archivio. La differenza fra le due proposizioni è l'intera differenza fra questa ricognizione e la pubblicistica su questa materia.</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nota sul limite raggiunto</w:t>
      </w:r>
    </w:p>
    <w:p>
      <w:pPr>
        <w:spacing w:after="120" w:line="276"/>
        <w:jc w:val="both"/>
      </w:pPr>
      <w:r>
        <w:rPr>
          <w:rFonts w:ascii="Barlow Semi Condensed" w:cs="Barlow Semi Condensed" w:eastAsia="Barlow Semi Condensed" w:hAnsi="Barlow Semi Condensed"/>
          <w:sz w:val="24"/>
          <w:szCs w:val="24"/>
        </w:rPr>
        <w:t xml:space="preserve">La tavola, ordinata per rendimento atteso e con la soglia che modificherebbe le conclusioni.</w:t>
      </w:r>
    </w:p>
    <w:p>
      <w:pPr>
        <w:spacing w:after="120" w:line="276"/>
        <w:jc w:val="both"/>
      </w:pPr>
      <w:r>
        <w:rPr>
          <w:rFonts w:ascii="Barlow Semi Condensed" w:cs="Barlow Semi Condensed" w:eastAsia="Barlow Semi Condensed" w:hAnsi="Barlow Semi Condensed"/>
          <w:sz w:val="24"/>
          <w:szCs w:val="24"/>
        </w:rPr>
        <w:t xml:space="preserve">Prima voce, rendimento massimo. Gli atti italiani sull'espulsione del 13 aprile 1974 e sugli interrogatori del dicembre 1973 - febbraio 1974: note verbali, telegrammi, interventi consolari. Sede: Archivio storico diplomatico della Farnesina, serie affari politici, Portogallo e Mozambico 1974; registri del consolato di Lourenço Marques e dell'ambasciata di Lisbona. Soglia: il reperimento di una qualsiasi nota consolare o diplomatica italiana muterebbe la conclusione generale di questo studio.</w:t>
      </w:r>
    </w:p>
    <w:p>
      <w:pPr>
        <w:spacing w:after="120" w:line="276"/>
        <w:jc w:val="both"/>
      </w:pPr>
      <w:r>
        <w:rPr>
          <w:rFonts w:ascii="Barlow Semi Condensed" w:cs="Barlow Semi Condensed" w:eastAsia="Barlow Semi Condensed" w:hAnsi="Barlow Semi Condensed"/>
          <w:sz w:val="24"/>
          <w:szCs w:val="24"/>
        </w:rPr>
        <w:t xml:space="preserve">Seconda voce. Le annate 1974-1976 di Nigrizia e l'articolo di Eugenio Enea in \</w:t>
      </w:r>
      <w:r>
        <w:rPr>
          <w:rFonts w:ascii="Barlow Semi Condensed" w:cs="Barlow Semi Condensed" w:eastAsia="Barlow Semi Condensed" w:hAnsi="Barlow Semi Condensed"/>
          <w:i/>
          <w:iCs/>
          <w:sz w:val="24"/>
          <w:szCs w:val="24"/>
        </w:rPr>
        <w:t xml:space="preserve">Lusitania Sacra\</w:t>
      </w:r>
      <w:r>
        <w:rPr>
          <w:rFonts w:ascii="Barlow Semi Condensed" w:cs="Barlow Semi Condensed" w:eastAsia="Barlow Semi Condensed" w:hAnsi="Barlow Semi Condensed"/>
          <w:sz w:val="24"/>
          <w:szCs w:val="24"/>
        </w:rPr>
        <w:t xml:space="preserve"> numero cinquantuno del 2025. Sede: Archivio Comboniano di Roma; richiesta all'editore della rivista. È la voce di maggior rendimento fra quelle conseguibili senza accesso ad archivi di Stato.</w:t>
      </w:r>
    </w:p>
    <w:p>
      <w:pPr>
        <w:spacing w:after="120" w:line="276"/>
        <w:jc w:val="both"/>
      </w:pPr>
      <w:r>
        <w:rPr>
          <w:rFonts w:ascii="Barlow Semi Condensed" w:cs="Barlow Semi Condensed" w:eastAsia="Barlow Semi Condensed" w:hAnsi="Barlow Semi Condensed"/>
          <w:sz w:val="24"/>
          <w:szCs w:val="24"/>
        </w:rPr>
        <w:t xml:space="preserve">Terza voce. Gli atti parlamentari della sesta legislatura per aprile-luglio 1974, per spoglio manuale dei resoconti stenografici, non essendo la banca dati estesa a prima del luglio 1976. Soglia: l'individuazione di una interrogazione o di un intervento di Moro sul Portogallo.</w:t>
      </w:r>
    </w:p>
    <w:p>
      <w:pPr>
        <w:spacing w:after="120" w:line="276"/>
        <w:jc w:val="both"/>
      </w:pPr>
      <w:r>
        <w:rPr>
          <w:rFonts w:ascii="Barlow Semi Condensed" w:cs="Barlow Semi Condensed" w:eastAsia="Barlow Semi Condensed" w:hAnsi="Barlow Semi Condensed"/>
          <w:sz w:val="24"/>
          <w:szCs w:val="24"/>
        </w:rPr>
        <w:t xml:space="preserve">Quarta voce. La serie italiana del portale Diplomacia e Revolução del ministero portoghese e i corrispondenti fondi dell'Arquivo Histórico-Diplomático, per consultazione manuale essendo l'accesso automatizzato bloccato. Contiene documenti sulla reazione italiana al 25 aprile 1974, ed è la sola sede in cui l'atto italiano risulta esistere.</w:t>
      </w:r>
    </w:p>
    <w:p>
      <w:pPr>
        <w:spacing w:after="120" w:line="276"/>
        <w:jc w:val="both"/>
      </w:pPr>
      <w:r>
        <w:rPr>
          <w:rFonts w:ascii="Barlow Semi Condensed" w:cs="Barlow Semi Condensed" w:eastAsia="Barlow Semi Condensed" w:hAnsi="Barlow Semi Condensed"/>
          <w:sz w:val="24"/>
          <w:szCs w:val="24"/>
        </w:rPr>
        <w:t xml:space="preserve">Quinta voce. La monografia di Francis Nolan del 2017 sul ritiro dei Padri Bianchi e gli archivi dei Missionari d'Africa, per la genealogia della denuncia esposta al Capitolo quarto.</w:t>
      </w:r>
    </w:p>
    <w:p>
      <w:pPr>
        <w:spacing w:after="120" w:line="276"/>
        <w:jc w:val="both"/>
      </w:pPr>
      <w:r>
        <w:rPr>
          <w:rFonts w:ascii="Barlow Semi Condensed" w:cs="Barlow Semi Condensed" w:eastAsia="Barlow Semi Condensed" w:hAnsi="Barlow Semi Condensed"/>
          <w:sz w:val="24"/>
          <w:szCs w:val="24"/>
        </w:rPr>
        <w:t xml:space="preserve">Sesta voce. Il documento che dispose il richiamo dell'ambasciatore portoghese presso la Santa Sede nel luglio 1970, e i ruoli del patriarca Cerejeira, del successore Ribeiro e del nunzio a Lisbona. Sedi: Arquivo Histórico-Diplomático; archivi vaticani, non aperti per il pontificato di Paolo VI.</w:t>
      </w:r>
    </w:p>
    <w:p>
      <w:pPr>
        <w:spacing w:after="120" w:line="276"/>
        <w:jc w:val="both"/>
      </w:pPr>
      <w:r>
        <w:rPr>
          <w:rFonts w:ascii="Barlow Semi Condensed" w:cs="Barlow Semi Condensed" w:eastAsia="Barlow Semi Condensed" w:hAnsi="Barlow Semi Condensed"/>
          <w:sz w:val="24"/>
          <w:szCs w:val="24"/>
        </w:rPr>
        <w:t xml:space="preserve">Settima voce. Le riprese della Conferenza romana del giugno 1970 e la conferenza stampa di Agostino Neto presso l'Archivio audiovisivo del movimento operaio e democratico. È la sola fonte primaria italiana individuata su quella settimana, ed è consultabile.</w:t>
      </w:r>
    </w:p>
    <w:p>
      <w:pPr>
        <w:spacing w:after="120" w:line="276"/>
        <w:jc w:val="both"/>
      </w:pPr>
      <w:r>
        <w:rPr>
          <w:rFonts w:ascii="Barlow Semi Condensed" w:cs="Barlow Semi Condensed" w:eastAsia="Barlow Semi Condensed" w:hAnsi="Barlow Semi Condensed"/>
          <w:sz w:val="24"/>
          <w:szCs w:val="24"/>
        </w:rPr>
        <w:t xml:space="preserve">Ottava voce. La posizione italiana su Algeri, Lusaka, Alvor, Timor e in sede atlantica e comunitaria nel 1975. Sedi: Farnesina, archivi della NATO, archivi del Consiglio europeo, atti delle Nazioni Unite.</w:t>
      </w:r>
    </w:p>
    <w:p>
      <w:pPr>
        <w:pStyle w:val="Heading2"/>
        <w:spacing w:after="100" w:before="200"/>
      </w:pPr>
      <w:r>
        <w:rPr>
          <w:rFonts w:ascii="Barlow Semi Condensed" w:cs="Barlow Semi Condensed" w:eastAsia="Barlow Semi Condensed" w:hAnsi="Barlow Semi Condensed"/>
          <w:sz w:val="24"/>
          <w:szCs w:val="24"/>
        </w:rPr>
        <w:t xml:space="preserve">Nota sul limite raggiunto, che chiude cinque ricognizioni.</w:t>
      </w:r>
    </w:p>
    <w:p>
      <w:pPr>
        <w:spacing w:after="120" w:line="276"/>
        <w:jc w:val="both"/>
      </w:pPr>
      <w:r>
        <w:rPr>
          <w:rFonts w:ascii="Barlow Semi Condensed" w:cs="Barlow Semi Condensed" w:eastAsia="Barlow Semi Condensed" w:hAnsi="Barlow Semi Condensed"/>
          <w:sz w:val="24"/>
          <w:szCs w:val="24"/>
        </w:rPr>
        <w:t xml:space="preserve">Questa è la seconda ricognizione sul perimetro portoghese e la quinta sull'oggetto complessivo. La ricerca estesa, condotta sulle sei lacune dichiarate, ne ha colmate quattro e ne ha qualificate due come non conseguibili per via telematica, indicandone la causa strutturale.</w:t>
      </w:r>
    </w:p>
    <w:p>
      <w:pPr>
        <w:spacing w:after="120" w:line="276"/>
        <w:jc w:val="both"/>
      </w:pPr>
      <w:r>
        <w:rPr>
          <w:rFonts w:ascii="Barlow Semi Condensed" w:cs="Barlow Semi Condensed" w:eastAsia="Barlow Semi Condensed" w:hAnsi="Barlow Semi Condensed"/>
          <w:sz w:val="24"/>
          <w:szCs w:val="24"/>
        </w:rPr>
        <w:t xml:space="preserve">Ne discende che il perimetro è esaurito quanto alle fonti accessibili. Una sesta ricognizione sul medesimo oggetto restituirebbe il medesimo materiale, e le otto voci della tavola richiedono, senza eccezione, un accesso fisico a un archivio — a Roma, a Lisbona, a Coimbra, in Vaticano.</w:t>
      </w:r>
    </w:p>
    <w:p>
      <w:pPr>
        <w:spacing w:after="120" w:line="276"/>
        <w:jc w:val="both"/>
      </w:pPr>
      <w:r>
        <w:rPr>
          <w:rFonts w:ascii="Barlow Semi Condensed" w:cs="Barlow Semi Condensed" w:eastAsia="Barlow Semi Condensed" w:hAnsi="Barlow Semi Condensed"/>
          <w:sz w:val="24"/>
          <w:szCs w:val="24"/>
        </w:rPr>
        <w:t xml:space="preserve">Una osservazione conclusiva, che vale oltre l'oggetto e che cinque ricognizioni hanno consolidato. Il perimetro portoghese ha prodotto assai più del perimetro spagnolo — quattro nodi documentati contro uno — e la ragione non è che l'Italia agisse più verso Lisbona. È che la materia coloniale portoghese mise in movimento istituzioni che tengono archivio e che pubblicano: congregazioni religiose che conservano i diari dei propri superiori con le ore e i minuti degli interrogatori; vescovi che firmano documenti; riviste missionarie che stampano; quotidiani che aprono la prima pagina.</w:t>
      </w:r>
    </w:p>
    <w:p>
      <w:pPr>
        <w:spacing w:after="120" w:line="276"/>
        <w:jc w:val="both"/>
      </w:pPr>
      <w:r>
        <w:rPr>
          <w:rFonts w:ascii="Barlow Semi Condensed" w:cs="Barlow Semi Condensed" w:eastAsia="Barlow Semi Condensed" w:hAnsi="Barlow Semi Condensed"/>
          <w:sz w:val="24"/>
          <w:szCs w:val="24"/>
        </w:rPr>
        <w:t xml:space="preserve">Dove agiscono soggetti che scrivono e conservano, resta traccia anche a mezzo secolo di distanza. Dove agiscono soltanto governi, e gli archivi dei governi non sono accessibili o non sono indicizzati, non resta nulla — e l'assenza di traccia non va confusa con l'assenza dell'atto. È la lezione di questi cinque studi, e la si consegna come tale.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VI · Aldo Moro Alla Farnesina, Il Portogallo E La Santa Sede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 5.152 parole in 9 sezioni; la più ampia è §9 Altre sezioni, con 4.377.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 93 paragrafi in 9 sezioni, 10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VII — Aldo Moro Alla Farnesina, Il Portogallo E L'Opus Dei</w:t>
      </w:r>
    </w:p>
    <w:p>
      <w:pPr>
        <w:pStyle w:val="Heading1"/>
        <w:spacing w:after="120" w:before="240"/>
      </w:pPr>
      <w:r>
        <w:rPr>
          <w:rFonts w:ascii="Barlow Semi Condensed" w:cs="Barlow Semi Condensed" w:eastAsia="Barlow Semi Condensed" w:hAnsi="Barlow Semi Condensed"/>
          <w:sz w:val="24"/>
          <w:szCs w:val="24"/>
        </w:rPr>
        <w:t xml:space="preserve">ALDO MORO ALLA FARNESINA, IL PORTOGALLO E L'OPUS DEI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../originali/portogallo-opus-dei.md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16,2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Sesta ricognizione: il ribaltamento iberico</w:t>
      </w:r>
    </w:p>
    <w:p>
      <w:pPr>
        <w:pStyle w:val="Heading2"/>
        <w:spacing w:after="100" w:before="200"/>
      </w:pPr>
      <w:r>
        <w:rPr>
          <w:rFonts w:ascii="Barlow Semi Condensed" w:cs="Barlow Semi Condensed" w:eastAsia="Barlow Semi Condensed" w:hAnsi="Barlow Semi Condensed"/>
          <w:sz w:val="24"/>
          <w:szCs w:val="24"/>
        </w:rPr>
        <w:t xml:space="preserve">In Spagna ministri, in Portogallo un fascicolo di polizia</w:t>
      </w:r>
    </w:p>
    <w:p>
      <w:pPr>
        <w:pStyle w:val="Heading2"/>
        <w:spacing w:after="100" w:before="200"/>
      </w:pPr>
      <w:r>
        <w:rPr>
          <w:rFonts w:ascii="Barlow Semi Condensed" w:cs="Barlow Semi Condensed" w:eastAsia="Barlow Semi Condensed" w:hAnsi="Barlow Semi Condensed"/>
          <w:sz w:val="24"/>
          <w:szCs w:val="24"/>
        </w:rPr>
        <w:t xml:space="preserve">Dodici Capitoli — quattro assi ridotti a un nodo — cinque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Il ribaltamento, enunciato per primo</w:t>
      </w:r>
    </w:p>
    <w:p>
      <w:pPr>
        <w:spacing w:after="120" w:line="276"/>
        <w:jc w:val="both"/>
      </w:pPr>
      <w:r>
        <w:rPr>
          <w:rFonts w:ascii="Barlow Semi Condensed" w:cs="Barlow Semi Condensed" w:eastAsia="Barlow Semi Condensed" w:hAnsi="Barlow Semi Condensed"/>
          <w:sz w:val="24"/>
          <w:szCs w:val="24"/>
        </w:rPr>
        <w:t xml:space="preserve">È la sesta ricognizione sull'attività ministeriale di Aldo Moro e la prima sulla combinazione Portogallo e Opus Dei. Essa produce un risultato che rovescia l'aspettativa implicita nella domanda, e conviene enunciarlo prima di ogni altra cosa perché governa i dodici capitoli.</w:t>
      </w:r>
    </w:p>
    <w:p>
      <w:pPr>
        <w:spacing w:after="120" w:line="276"/>
        <w:jc w:val="both"/>
      </w:pPr>
      <w:r>
        <w:rPr>
          <w:rFonts w:ascii="Barlow Semi Condensed" w:cs="Barlow Semi Condensed" w:eastAsia="Barlow Semi Condensed" w:hAnsi="Barlow Semi Condensed"/>
          <w:sz w:val="24"/>
          <w:szCs w:val="24"/>
        </w:rPr>
        <w:t xml:space="preserve">In Spagna l'Opus Dei fornì ministri al regime franchista. In Portogallo la polizia politica lo sorvegliò per decenni sospettandone una cospirazione, e non riuscì mai a provarla.</w:t>
      </w:r>
    </w:p>
    <w:p>
      <w:pPr>
        <w:spacing w:after="120" w:line="276"/>
        <w:jc w:val="both"/>
      </w:pPr>
      <w:r>
        <w:rPr>
          <w:rFonts w:ascii="Barlow Semi Condensed" w:cs="Barlow Semi Condensed" w:eastAsia="Barlow Semi Condensed" w:hAnsi="Barlow Semi Condensed"/>
          <w:sz w:val="24"/>
          <w:szCs w:val="24"/>
        </w:rPr>
        <w:t xml:space="preserve">Le due esperienze iberiche non sono varianti della medesima: sono opposte. Nella prima l'istituzione entrò nel governo; nella seconda fu oggetto di fascicolo. E la ragione della divergenza — questa è la seconda risultanza — non è una diversa strategia dell'ente, ma una diversa struttura di società, di Chiesa e di élites, colta da una recensione peer-reviewed della rivista di storia religiosa dell'Università Cattolica Portoghese.</w:t>
      </w:r>
    </w:p>
    <w:p>
      <w:pPr>
        <w:spacing w:after="120" w:line="276"/>
        <w:jc w:val="both"/>
      </w:pPr>
      <w:r>
        <w:rPr>
          <w:rFonts w:ascii="Barlow Semi Condensed" w:cs="Barlow Semi Condensed" w:eastAsia="Barlow Semi Condensed" w:hAnsi="Barlow Semi Condensed"/>
          <w:sz w:val="24"/>
          <w:szCs w:val="24"/>
        </w:rPr>
        <w:t xml:space="preserve">Ne discende che chi cercasse nel Portogallo una replica del caso spagnolo cercherebbe un fatto che non avvenne, e che la sua assenza è essa stessa la risultanza principale di questa ricognizione.</w:t>
      </w:r>
    </w:p>
    <w:p>
      <w:pPr>
        <w:spacing w:after="120" w:line="276"/>
        <w:jc w:val="both"/>
      </w:pPr>
      <w:r>
        <w:rPr>
          <w:rFonts w:ascii="Barlow Semi Condensed" w:cs="Barlow Semi Condensed" w:eastAsia="Barlow Semi Condensed" w:hAnsi="Barlow Semi Condensed"/>
          <w:sz w:val="24"/>
          <w:szCs w:val="24"/>
        </w:rPr>
        <w:t xml:space="preserve">Sulla disciplina applicata. Vale in modo assoluto, e in questa materia più che in ogni altra, la prescrizione secondo cui l'appartenenza di una persona a un'organizzazione non è prova di una condotta dell'organizzazione. Essa è vincolante due volte in questo studio: una volta per i nomi che la polizia politica portoghese annotò senza provare nulla; una seconda per il politico portoghese la cui appartenenza è documentata e la cui azione fu di partito e non di ente.</w:t>
      </w:r>
    </w:p>
    <w:p>
      <w:pPr>
        <w:spacing w:after="120" w:line="276"/>
        <w:jc w:val="both"/>
      </w:pPr>
      <w:r>
        <w:rPr>
          <w:rFonts w:ascii="Barlow Semi Condensed" w:cs="Barlow Semi Condensed" w:eastAsia="Barlow Semi Condensed" w:hAnsi="Barlow Semi Condensed"/>
          <w:sz w:val="24"/>
          <w:szCs w:val="24"/>
        </w:rPr>
        <w:t xml:space="preserve">Sulla natura delle fonti, che qui è particolarmente disomogenea e va dichiarata. La cronologia dell'insediamento proviene dalla fonte ufficiale dell'istituzione, impiegabile per i dati di fatto sui propri membri e non per le valutazioni di responsabilità. Il vaglio critico proviene da una recensione peer-reviewed. La sorveglianza poliziesca proviene da un libro di inchiesta giornalistica fondato su fascicoli d'archivio: va trattato come pubblicistica che cita fonti primarie, non come studio scientifico, e le sue tesi vanno qualificate come tali. Sono escluse le due fonti che il committente ha posto fra le non citabili.</w:t>
      </w:r>
    </w:p>
    <w:p>
      <w:pPr>
        <w:spacing w:after="120" w:line="276"/>
        <w:jc w:val="both"/>
      </w:pPr>
      <w:r>
        <w:rPr>
          <w:rFonts w:ascii="Barlow Semi Condensed" w:cs="Barlow Semi Condensed" w:eastAsia="Barlow Semi Condensed" w:hAnsi="Barlow Semi Condensed"/>
          <w:sz w:val="24"/>
          <w:szCs w:val="24"/>
        </w:rPr>
        <w:t xml:space="preserve">Sulla misura. Come nelle cinque ricognizioni anteriori si adotta la proporzionalità: ogni capitolo è lungo quanto il materiale che lo sostiene. I capitoli secondo, terzo, quarto e nono sono i più fitti; il quinto e il settimo dichiarano Stati Zero e si chiudono dove il materiale finisce.</w:t>
      </w:r>
    </w:p>
    <w:p>
      <w:pPr>
        <w:pStyle w:val="Heading2"/>
        <w:spacing w:after="100" w:before="200"/>
      </w:pPr>
      <w:r>
        <w:rPr>
          <w:rFonts w:ascii="Barlow Semi Condensed" w:cs="Barlow Semi Condensed" w:eastAsia="Barlow Semi Condensed" w:hAnsi="Barlow Semi Condensed"/>
          <w:sz w:val="24"/>
          <w:szCs w:val="24"/>
        </w:rPr>
        <w:t xml:space="preserve">Capitolo secondo — L'insediamento in Portogallo: il 1945, Fátima e una correzione erudita</w:t>
      </w:r>
    </w:p>
    <w:p>
      <w:pPr>
        <w:spacing w:after="120" w:line="276"/>
        <w:jc w:val="both"/>
      </w:pPr>
      <w:r>
        <w:rPr>
          <w:rFonts w:ascii="Barlow Semi Condensed" w:cs="Barlow Semi Condensed" w:eastAsia="Barlow Semi Condensed" w:hAnsi="Barlow Semi Condensed"/>
          <w:sz w:val="24"/>
          <w:szCs w:val="24"/>
        </w:rPr>
        <w:t xml:space="preserve">La cronologia ufficiale. La fonte dell'istituzione data l'inizio della presenza in Portogallo al 5 febbraio 1945, con la prima visita del fondatore Josemaría Escrivá de Balaguer. Il viaggio fu — secondo la ricostruzione dell'ente e la biografia di Hugo de Azevedo, \</w:t>
      </w:r>
      <w:r>
        <w:rPr>
          <w:rFonts w:ascii="Barlow Semi Condensed" w:cs="Barlow Semi Condensed" w:eastAsia="Barlow Semi Condensed" w:hAnsi="Barlow Semi Condensed"/>
          <w:i/>
          <w:iCs/>
          <w:sz w:val="24"/>
          <w:szCs w:val="24"/>
        </w:rPr>
        <w:t xml:space="preserve">O fundador do Opus Dei em Portugal\</w:t>
      </w:r>
      <w:r>
        <w:rPr>
          <w:rFonts w:ascii="Barlow Semi Condensed" w:cs="Barlow Semi Condensed" w:eastAsia="Barlow Semi Condensed" w:hAnsi="Barlow Semi Condensed"/>
          <w:sz w:val="24"/>
          <w:szCs w:val="24"/>
        </w:rPr>
        <w:t xml:space="preserve">, Lisbona, Lucerna, 2021 — sollecitato da suor Lúcia, veggente di Fátima, conosciuta a Tui.</w:t>
      </w:r>
    </w:p>
    <w:p>
      <w:pPr>
        <w:spacing w:after="120" w:line="276"/>
        <w:jc w:val="both"/>
      </w:pPr>
      <w:r>
        <w:rPr>
          <w:rFonts w:ascii="Barlow Semi Condensed" w:cs="Barlow Semi Condensed" w:eastAsia="Barlow Semi Condensed" w:hAnsi="Barlow Semi Condensed"/>
          <w:sz w:val="24"/>
          <w:szCs w:val="24"/>
        </w:rPr>
        <w:t xml:space="preserve">Escrivá, accompagnato dal vescovo di Tui, incontrò il cardinale patriarca di Lisbona e i vescovi di Braga, Porto, Coimbra e Leiria, e decise l'avvio immediato dell'apostolato. Un anno dopo giunsero a Coimbra alcuni membri in studi post-laurea, che aprirono una residenza universitaria; seguirono le residenze di Porto nel 1948 e di Lisbona nel 1951.</w:t>
      </w:r>
    </w:p>
    <w:p>
      <w:pPr>
        <w:spacing w:after="120" w:line="276"/>
        <w:jc w:val="both"/>
      </w:pPr>
      <w:r>
        <w:rPr>
          <w:rFonts w:ascii="Barlow Semi Condensed" w:cs="Barlow Semi Condensed" w:eastAsia="Barlow Semi Condensed" w:hAnsi="Barlow Semi Condensed"/>
          <w:sz w:val="24"/>
          <w:szCs w:val="24"/>
        </w:rPr>
        <w:t xml:space="preserve">La correzione erudita, che è il primo ritrovamento del capitolo. Una recensione peer-reviewed pubblicata su Lusitania Sacra, rivista del Centro de Estudos de História Religiosa dell'Università Cattolica Portoghese, a firma di Miguel de Salis Amaral della Pontificia Università della Santa Croce, con identificativo digitale 10.34632/lusitaniasacra.2022.11811, apporta due precisazioni al racconto ufficiale.</w:t>
      </w:r>
    </w:p>
    <w:p>
      <w:pPr>
        <w:spacing w:after="120" w:line="276"/>
        <w:jc w:val="both"/>
      </w:pPr>
      <w:r>
        <w:rPr>
          <w:rFonts w:ascii="Barlow Semi Condensed" w:cs="Barlow Semi Condensed" w:eastAsia="Barlow Semi Condensed" w:hAnsi="Barlow Semi Condensed"/>
          <w:sz w:val="24"/>
          <w:szCs w:val="24"/>
        </w:rPr>
        <w:t xml:space="preserve">Prima: il primo portoghese entrato nell'Opus Dei fu Armando Serrano, nell'anno accademico 1942-43\</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dunque tre anni prima della visita del fondatore.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Seconda: una prima visita esplorativa di José Luis Múzquiz avvenne nel marzo 1941.</w:t>
      </w:r>
    </w:p>
    <w:p>
      <w:pPr>
        <w:spacing w:after="120" w:line="276"/>
        <w:jc w:val="both"/>
      </w:pPr>
      <w:r>
        <w:rPr>
          <w:rFonts w:ascii="Barlow Semi Condensed" w:cs="Barlow Semi Condensed" w:eastAsia="Barlow Semi Condensed" w:hAnsi="Barlow Semi Condensed"/>
          <w:sz w:val="24"/>
          <w:szCs w:val="24"/>
        </w:rPr>
        <w:t xml:space="preserve">Ne discende una conseguenza sull'attribuzione causale, e va enunciata con precisione. Se l'idea di iniziare il lavoro in Portogallo esisteva già nel 1941 e un portoghese era membro dal 1942-43, allora l'incontro con suor Lúcia fu concausa e non causa esclusiva dell'insediamento — che è esattamente la qualificazione che la recensione adotta.</w:t>
      </w:r>
    </w:p>
    <w:p>
      <w:pPr>
        <w:spacing w:after="120" w:line="276"/>
        <w:jc w:val="both"/>
      </w:pPr>
      <w:r>
        <w:rPr>
          <w:rFonts w:ascii="Barlow Semi Condensed" w:cs="Barlow Semi Condensed" w:eastAsia="Barlow Semi Condensed" w:hAnsi="Barlow Semi Condensed"/>
          <w:sz w:val="24"/>
          <w:szCs w:val="24"/>
        </w:rPr>
        <w:t xml:space="preserve">Questo è il tipo di correzione che soltanto una fonte critica può apportare a una fonte ufficiale, e la si registra per quello che è: non una smentita, ma una precisazione della sequenza.</w:t>
      </w:r>
    </w:p>
    <w:p>
      <w:pPr>
        <w:spacing w:after="120" w:line="276"/>
        <w:jc w:val="both"/>
      </w:pPr>
      <w:r>
        <w:rPr>
          <w:rFonts w:ascii="Barlow Semi Condensed" w:cs="Barlow Semi Condensed" w:eastAsia="Barlow Semi Condensed" w:hAnsi="Barlow Semi Condensed"/>
          <w:sz w:val="24"/>
          <w:szCs w:val="24"/>
        </w:rPr>
        <w:t xml:space="preserve">La divergenza sulla data d'ingresso stabile va riportata. L'inchiesta giornalistica colloca l'ingresso stabile nel 1946, con l'arrivo di un gruppo di cinque universitari spagnoli e un cubano; la fonte ufficiale indica il 1945 come inizio della presenza. Due fonti, due datazioni, e la differenza sta nel definire cosa costituisca inizio: la prima visita o la residenza permanente.</w:t>
      </w:r>
    </w:p>
    <w:p>
      <w:pPr>
        <w:spacing w:after="120" w:line="276"/>
        <w:jc w:val="both"/>
      </w:pPr>
      <w:r>
        <w:rPr>
          <w:rFonts w:ascii="Barlow Semi Condensed" w:cs="Barlow Semi Condensed" w:eastAsia="Barlow Semi Condensed" w:hAnsi="Barlow Semi Condensed"/>
          <w:sz w:val="24"/>
          <w:szCs w:val="24"/>
        </w:rPr>
        <w:t xml:space="preserve">La consistenza numerica, documentata. La pagina storica ufficiale parla di circa millequattrocento fedeli. L'agenzia di stampa portoghese, ripresa dalla radiotelevisione pubblica, riferì di circa milleseicentoventicinque membri all'inizio del 2020. Per i dati di dicembre 2021, il vicario regionale José Rafael Espírito Santo, in un'intervista del 5 febbraio 2022, dichiarò milleseicentoquindici membri in totale: milledodici donne e seicentotré uomini, dei quali cinquecentocinque celibatari e millecentodieci sposati o celibi senza il vincolo del celibato.</w:t>
      </w:r>
    </w:p>
    <w:p>
      <w:pPr>
        <w:spacing w:after="120" w:line="276"/>
        <w:jc w:val="both"/>
      </w:pPr>
      <w:r>
        <w:rPr>
          <w:rFonts w:ascii="Barlow Semi Condensed" w:cs="Barlow Semi Condensed" w:eastAsia="Barlow Semi Condensed" w:hAnsi="Barlow Semi Condensed"/>
          <w:sz w:val="24"/>
          <w:szCs w:val="24"/>
        </w:rPr>
        <w:t xml:space="preserve">Il dato va notato per la sua misura. Milleseicentoquindici membri in un Paese di dieci milioni di abitanti è una presenza modesta, e la disaggregazione — due terzi di donne, due terzi non celibatari — descrive un'istituzione di laici sposati e non un corpo di quadri.</w:t>
      </w:r>
    </w:p>
    <w:p>
      <w:pPr>
        <w:spacing w:after="120" w:line="276"/>
        <w:jc w:val="both"/>
      </w:pPr>
      <w:r>
        <w:rPr>
          <w:rFonts w:ascii="Barlow Semi Condensed" w:cs="Barlow Semi Condensed" w:eastAsia="Barlow Semi Condensed" w:hAnsi="Barlow Semi Condensed"/>
          <w:sz w:val="24"/>
          <w:szCs w:val="24"/>
        </w:rPr>
        <w:t xml:space="preserve">I centri documentati sono a Braga, Porto, Miramar, Viseu, Coimbra, Lisbona, Montemor-o-Novo e Ponta Delgada. Fra le opere collegate a membri, un volume collettivo diretto da José Freire Antunes menziona il Colégio Universitário Montes Claros, il Colégio Horizonte di Porto, il Colégio Mira Rio, la Residência Universitária dos Álamos, una scuola di direzione d'impresa e un istituto di solidarietà e cooperazione.</w:t>
      </w:r>
    </w:p>
    <w:p>
      <w:pPr>
        <w:pStyle w:val="Heading2"/>
        <w:spacing w:after="100" w:before="200"/>
      </w:pPr>
      <w:r>
        <w:rPr>
          <w:rFonts w:ascii="Barlow Semi Condensed" w:cs="Barlow Semi Condensed" w:eastAsia="Barlow Semi Condensed" w:hAnsi="Barlow Semi Condensed"/>
          <w:sz w:val="24"/>
          <w:szCs w:val="24"/>
        </w:rPr>
        <w:t xml:space="preserve">Capitolo terzo — La sorveglianza: che cosa la polizia politica portoghese sospettava</w:t>
      </w:r>
    </w:p>
    <w:p>
      <w:pPr>
        <w:spacing w:after="120" w:line="276"/>
        <w:jc w:val="both"/>
      </w:pPr>
      <w:r>
        <w:rPr>
          <w:rFonts w:ascii="Barlow Semi Condensed" w:cs="Barlow Semi Condensed" w:eastAsia="Barlow Semi Condensed" w:hAnsi="Barlow Semi Condensed"/>
          <w:sz w:val="24"/>
          <w:szCs w:val="24"/>
        </w:rPr>
        <w:t xml:space="preserve">È il capitolo di massima densità documentale, e il più esposto all'errore interpretativo. Va perciò letto con la qualificazione che lo apre e che lo chiude.</w:t>
      </w:r>
    </w:p>
    <w:p>
      <w:pPr>
        <w:spacing w:after="120" w:line="276"/>
        <w:jc w:val="both"/>
      </w:pPr>
      <w:r>
        <w:rPr>
          <w:rFonts w:ascii="Barlow Semi Condensed" w:cs="Barlow Semi Condensed" w:eastAsia="Barlow Semi Condensed" w:hAnsi="Barlow Semi Condensed"/>
          <w:sz w:val="24"/>
          <w:szCs w:val="24"/>
        </w:rPr>
        <w:t xml:space="preserve">La fonte. Un libro di inchiesta di António José Vilela e Pedro Ramos Brandão, \</w:t>
      </w:r>
      <w:r>
        <w:rPr>
          <w:rFonts w:ascii="Barlow Semi Condensed" w:cs="Barlow Semi Condensed" w:eastAsia="Barlow Semi Condensed" w:hAnsi="Barlow Semi Condensed"/>
          <w:i/>
          <w:iCs/>
          <w:sz w:val="24"/>
          <w:szCs w:val="24"/>
        </w:rPr>
        <w:t xml:space="preserve">Salazar e a Conspiração do Opus Dei\</w:t>
      </w:r>
      <w:r>
        <w:rPr>
          <w:rFonts w:ascii="Barlow Semi Condensed" w:cs="Barlow Semi Condensed" w:eastAsia="Barlow Semi Condensed" w:hAnsi="Barlow Semi Condensed"/>
          <w:sz w:val="24"/>
          <w:szCs w:val="24"/>
        </w:rPr>
        <w:t xml:space="preserve">, Casa das Letras, 2011, fondato su fascicoli della polizia politica conservati all'Arquivo Nacional da Torre do Tombo. È pubblicistica d'inchiesta che cita fonti primarie, e non studio peer-reviewed.</w:t>
      </w:r>
    </w:p>
    <w:p>
      <w:pPr>
        <w:spacing w:after="120" w:line="276"/>
        <w:jc w:val="both"/>
      </w:pPr>
      <w:r>
        <w:rPr>
          <w:rFonts w:ascii="Barlow Semi Condensed" w:cs="Barlow Semi Condensed" w:eastAsia="Barlow Semi Condensed" w:hAnsi="Barlow Semi Condensed"/>
          <w:sz w:val="24"/>
          <w:szCs w:val="24"/>
        </w:rPr>
        <w:t xml:space="preserve">Che cosa la polizia sospettava. Secondo l'inchiesta, la PIDE riteneva esistesse una cospirazione dell'Opus Dei per dominare il regime, sul modello di quanto essa credeva avvenuto nella Spagna franchista, dove a suo giudizio il fondatore avrebbe voluto conquistare le élites di sostegno a Salazar.</w:t>
      </w:r>
    </w:p>
    <w:p>
      <w:pPr>
        <w:spacing w:after="120" w:line="276"/>
        <w:jc w:val="both"/>
      </w:pPr>
      <w:r>
        <w:rPr>
          <w:rFonts w:ascii="Barlow Semi Condensed" w:cs="Barlow Semi Condensed" w:eastAsia="Barlow Semi Condensed" w:hAnsi="Barlow Semi Condensed"/>
          <w:sz w:val="24"/>
          <w:szCs w:val="24"/>
        </w:rPr>
        <w:t xml:space="preserve">Il documento più citato. Un rapporto del settembre 1963 contiene la frase, riportata dagli autori, secondo cui i rappresentanti spagnoli avrebbero sempre cercato di trovare come dirigente in Portogallo un uomo con nome politico e prestigio sufficienti da portarlo un giorno a far parte del governo.</w:t>
      </w:r>
    </w:p>
    <w:p>
      <w:pPr>
        <w:spacing w:after="120" w:line="276"/>
        <w:jc w:val="both"/>
      </w:pPr>
      <w:r>
        <w:rPr>
          <w:rFonts w:ascii="Barlow Semi Condensed" w:cs="Barlow Semi Condensed" w:eastAsia="Barlow Semi Condensed" w:hAnsi="Barlow Semi Condensed"/>
          <w:sz w:val="24"/>
          <w:szCs w:val="24"/>
        </w:rPr>
        <w:t xml:space="preserve">Gli altri atti individuati. Una nota non firmata del 1961 indirizzata a Salazar e conservata alla Torre do Tombo, intitolata \</w:t>
      </w:r>
      <w:r>
        <w:rPr>
          <w:rFonts w:ascii="Barlow Semi Condensed" w:cs="Barlow Semi Condensed" w:eastAsia="Barlow Semi Condensed" w:hAnsi="Barlow Semi Condensed"/>
          <w:i/>
          <w:iCs/>
          <w:sz w:val="24"/>
          <w:szCs w:val="24"/>
        </w:rPr>
        <w:t xml:space="preserve">As Actividades do Opus Dei em Portugal\</w:t>
      </w:r>
      <w:r>
        <w:rPr>
          <w:rFonts w:ascii="Barlow Semi Condensed" w:cs="Barlow Semi Condensed" w:eastAsia="Barlow Semi Condensed" w:hAnsi="Barlow Semi Condensed"/>
          <w:sz w:val="24"/>
          <w:szCs w:val="24"/>
        </w:rPr>
        <w:t xml:space="preserve">. Un relatório del gennaio 1964 dedicato ai tentativi di penetrazione dell'Opus Dei nella politica interna portoghese.</w:t>
      </w:r>
    </w:p>
    <w:p>
      <w:pPr>
        <w:spacing w:after="120" w:line="276"/>
        <w:jc w:val="both"/>
      </w:pPr>
      <w:r>
        <w:rPr>
          <w:rFonts w:ascii="Barlow Semi Condensed" w:cs="Barlow Semi Condensed" w:eastAsia="Barlow Semi Condensed" w:hAnsi="Barlow Semi Condensed"/>
          <w:sz w:val="24"/>
          <w:szCs w:val="24"/>
        </w:rPr>
        <w:t xml:space="preserve">Le operazioni condotte, secondo l'inchiesta. La polizia deviò corrispondenza, annotò nomi e rilevò l'ingresso di diciotto milioni di pesetas. Fra i nomi annotati figurano Marcello Caetano e Adriano Moreira, oltre all'ex ministro Daniel Barbosa. Lo spagnolo Gregório Ortega Pardo è indicato come l'uomo che faceva da collegamento fra quegli ex governanti e l'istituzione.</w:t>
      </w:r>
    </w:p>
    <w:p>
      <w:pPr>
        <w:spacing w:after="120" w:line="276"/>
        <w:jc w:val="both"/>
      </w:pPr>
      <w:r>
        <w:rPr>
          <w:rFonts w:ascii="Barlow Semi Condensed" w:cs="Barlow Semi Condensed" w:eastAsia="Barlow Semi Condensed" w:hAnsi="Barlow Semi Condensed"/>
          <w:sz w:val="24"/>
          <w:szCs w:val="24"/>
        </w:rPr>
        <w:t xml:space="preserve">E qui va enunciata la qualificazione che vale per l'intero capitolo, e che è la cosa più importante che esso contenga.</w:t>
      </w:r>
    </w:p>
    <w:p>
      <w:pPr>
        <w:spacing w:after="120" w:line="276"/>
        <w:jc w:val="both"/>
      </w:pPr>
      <w:r>
        <w:rPr>
          <w:rFonts w:ascii="Barlow Semi Condensed" w:cs="Barlow Semi Condensed" w:eastAsia="Barlow Semi Condensed" w:hAnsi="Barlow Semi Condensed"/>
          <w:sz w:val="24"/>
          <w:szCs w:val="24"/>
        </w:rPr>
        <w:t xml:space="preserve">Tutto ciò è quanto la polizia politica sospettava e annotava. Non è quanto l'istituzione o le persone fecero. Gli stessi resoconti sottolineano che la polizia non riuscì mai a provare i legami, e che Marcello Caetano e Adriano Moreira — quest'ultimo indicato in alcuni rapporti come possibile successore del capo del governo — avrebbero resistito alle sollecitazioni. Nomi come Leite Pinto, Vieira Barbosa e Cavaleiro Ferreira comparivano come presunti membri senza prova documentale.</w:t>
      </w:r>
    </w:p>
    <w:p>
      <w:pPr>
        <w:spacing w:after="120" w:line="276"/>
        <w:jc w:val="both"/>
      </w:pPr>
      <w:r>
        <w:rPr>
          <w:rFonts w:ascii="Barlow Semi Condensed" w:cs="Barlow Semi Condensed" w:eastAsia="Barlow Semi Condensed" w:hAnsi="Barlow Semi Condensed"/>
          <w:sz w:val="24"/>
          <w:szCs w:val="24"/>
        </w:rPr>
        <w:t xml:space="preserve">Ne discende la formula da adottare per ogni uso futuro di questo materiale: esso è prova di ciò che il regime temeva, non di ciò che l'Opus Dei fece. Un fascicolo di polizia politica attesta un sospetto e le operazioni condotte per verificarlo; quando la verifica non riesce, il fascicolo resta documento sulla polizia e non sul sorvegliato.</w:t>
      </w:r>
    </w:p>
    <w:p>
      <w:pPr>
        <w:spacing w:after="120" w:line="276"/>
        <w:jc w:val="both"/>
      </w:pPr>
      <w:r>
        <w:rPr>
          <w:rFonts w:ascii="Barlow Semi Condensed" w:cs="Barlow Semi Condensed" w:eastAsia="Barlow Semi Condensed" w:hAnsi="Barlow Semi Condensed"/>
          <w:sz w:val="24"/>
          <w:szCs w:val="24"/>
        </w:rPr>
        <w:t xml:space="preserve">La tesi cospirativa complessiva va qualificata. L'inchiesta collega suor Lúcia, il controllo di un istituto bancario agricolo e un'alleanza tacita e frustrata con il cardinale patriarca. Non trovando riscontro in fonti primarie autonome, essa va considerata non sostenuta — ed è precisamente il genere di tesi che la disciplina di questa ricognizione impone di riportare e di non accogliere.</w:t>
      </w:r>
    </w:p>
    <w:p>
      <w:pPr>
        <w:pStyle w:val="Heading2"/>
        <w:spacing w:after="100" w:before="200"/>
      </w:pPr>
      <w:r>
        <w:rPr>
          <w:rFonts w:ascii="Barlow Semi Condensed" w:cs="Barlow Semi Condensed" w:eastAsia="Barlow Semi Condensed" w:hAnsi="Barlow Semi Condensed"/>
          <w:sz w:val="24"/>
          <w:szCs w:val="24"/>
        </w:rPr>
        <w:t xml:space="preserve">Capitolo quarto — Il confronto iberico: la spiegazione strutturale della divergenza</w:t>
      </w:r>
    </w:p>
    <w:p>
      <w:pPr>
        <w:spacing w:after="120" w:line="276"/>
        <w:jc w:val="both"/>
      </w:pPr>
      <w:r>
        <w:rPr>
          <w:rFonts w:ascii="Barlow Semi Condensed" w:cs="Barlow Semi Condensed" w:eastAsia="Barlow Semi Condensed" w:hAnsi="Barlow Semi Condensed"/>
          <w:sz w:val="24"/>
          <w:szCs w:val="24"/>
        </w:rPr>
        <w:t xml:space="preserve">Il capitolo risponde alla domanda storiografica centrale, e la risposta non è quella che la simmetria geografica suggerirebbe.</w:t>
      </w:r>
    </w:p>
    <w:p>
      <w:pPr>
        <w:spacing w:after="120" w:line="276"/>
        <w:jc w:val="both"/>
      </w:pPr>
      <w:r>
        <w:rPr>
          <w:rFonts w:ascii="Barlow Semi Condensed" w:cs="Barlow Semi Condensed" w:eastAsia="Barlow Semi Condensed" w:hAnsi="Barlow Semi Condensed"/>
          <w:sz w:val="24"/>
          <w:szCs w:val="24"/>
        </w:rPr>
        <w:t xml:space="preserve">Il termine spagnolo, già acquisito. Alcuni membri dell'Opus Dei giunsero al governo dal 1957 — Alberto Ullastres al Commercio, Mariano Navarro Rubio alle Finanze — e con maggiore visibilità nel gabinetto del 1969. Secondo la fonte ufficiale dell'ente, otto ministri su centosedici appartennero all'istituzione nell'intero arco franchista. Figure come Gregorio López Bravo agli Esteri dall'ottobre 1969 e Laureano López Rodó dal giugno 1973 furono associate allo sviluppismo.</w:t>
      </w:r>
    </w:p>
    <w:p>
      <w:pPr>
        <w:spacing w:after="120" w:line="276"/>
        <w:jc w:val="both"/>
      </w:pPr>
      <w:r>
        <w:rPr>
          <w:rFonts w:ascii="Barlow Semi Condensed" w:cs="Barlow Semi Condensed" w:eastAsia="Barlow Semi Condensed" w:hAnsi="Barlow Semi Condensed"/>
          <w:sz w:val="24"/>
          <w:szCs w:val="24"/>
        </w:rPr>
        <w:t xml:space="preserve">Due avvertenze che le fonti impongono. La storiografia spagnola — Paul Preston, \</w:t>
      </w:r>
      <w:r>
        <w:rPr>
          <w:rFonts w:ascii="Barlow Semi Condensed" w:cs="Barlow Semi Condensed" w:eastAsia="Barlow Semi Condensed" w:hAnsi="Barlow Semi Condensed"/>
          <w:i/>
          <w:iCs/>
          <w:sz w:val="24"/>
          <w:szCs w:val="24"/>
        </w:rPr>
        <w:t xml:space="preserve">Franco\</w:t>
      </w:r>
      <w:r>
        <w:rPr>
          <w:rFonts w:ascii="Barlow Semi Condensed" w:cs="Barlow Semi Condensed" w:eastAsia="Barlow Semi Condensed" w:hAnsi="Barlow Semi Condensed"/>
          <w:sz w:val="24"/>
          <w:szCs w:val="24"/>
        </w:rPr>
        <w:t xml:space="preserve">, 1994 — avverte che l'arrivo dei tecnocrati non fu né sinistro né astuto, ma piuttosto una risposta pragmatica e senza schema fisso. E l'istituzione medesima insiste che né tutti i tecnocrati furono dell'Opus Dei, né tutti i membri dell'Opus Dei furono tecnocrati.</w:t>
      </w:r>
    </w:p>
    <w:p>
      <w:pPr>
        <w:spacing w:after="120" w:line="276"/>
        <w:jc w:val="both"/>
      </w:pPr>
      <w:r>
        <w:rPr>
          <w:rFonts w:ascii="Barlow Semi Condensed" w:cs="Barlow Semi Condensed" w:eastAsia="Barlow Semi Condensed" w:hAnsi="Barlow Semi Condensed"/>
          <w:sz w:val="24"/>
          <w:szCs w:val="24"/>
        </w:rPr>
        <w:t xml:space="preserve">Il termine portoghese: nulla di comparabile risulta. Nessun ministro portoghese appartenente all'istituzione è documentato; l'istituzione fu sorvegliata anziché cooptata.</w:t>
      </w:r>
    </w:p>
    <w:p>
      <w:pPr>
        <w:spacing w:after="120" w:line="276"/>
        <w:jc w:val="both"/>
      </w:pPr>
      <w:r>
        <w:rPr>
          <w:rFonts w:ascii="Barlow Semi Condensed" w:cs="Barlow Semi Condensed" w:eastAsia="Barlow Semi Condensed" w:hAnsi="Barlow Semi Condensed"/>
          <w:sz w:val="24"/>
          <w:szCs w:val="24"/>
        </w:rPr>
        <w:t xml:space="preserve">La spiegazione, e proviene da fonte peer-reviewed. La recensione di Salis Amaral su \</w:t>
      </w:r>
      <w:r>
        <w:rPr>
          <w:rFonts w:ascii="Barlow Semi Condensed" w:cs="Barlow Semi Condensed" w:eastAsia="Barlow Semi Condensed" w:hAnsi="Barlow Semi Condensed"/>
          <w:i/>
          <w:iCs/>
          <w:sz w:val="24"/>
          <w:szCs w:val="24"/>
        </w:rPr>
        <w:t xml:space="preserve">Lusitania Sacra\</w:t>
      </w:r>
      <w:r>
        <w:rPr>
          <w:rFonts w:ascii="Barlow Semi Condensed" w:cs="Barlow Semi Condensed" w:eastAsia="Barlow Semi Condensed" w:hAnsi="Barlow Semi Condensed"/>
          <w:sz w:val="24"/>
          <w:szCs w:val="24"/>
        </w:rPr>
        <w:t xml:space="preserve"> individua quattro fattori di divergenza:</w:t>
      </w:r>
    </w:p>
    <w:p>
      <w:pPr>
        <w:spacing w:after="120" w:line="276"/>
        <w:jc w:val="both"/>
      </w:pPr>
      <w:r>
        <w:rPr>
          <w:rFonts w:ascii="Barlow Semi Condensed" w:cs="Barlow Semi Condensed" w:eastAsia="Barlow Semi Condensed" w:hAnsi="Barlow Semi Condensed"/>
          <w:sz w:val="24"/>
          <w:szCs w:val="24"/>
        </w:rPr>
        <w:t xml:space="preserve">Primo, il diverso grado di secolarizzazione e di preparazione religiosa della gioventù universitaria portoghese rispetto a quella spagnola.</w:t>
      </w:r>
    </w:p>
    <w:p>
      <w:pPr>
        <w:spacing w:after="120" w:line="276"/>
        <w:jc w:val="both"/>
      </w:pPr>
      <w:r>
        <w:rPr>
          <w:rFonts w:ascii="Barlow Semi Condensed" w:cs="Barlow Semi Condensed" w:eastAsia="Barlow Semi Condensed" w:hAnsi="Barlow Semi Condensed"/>
          <w:sz w:val="24"/>
          <w:szCs w:val="24"/>
        </w:rPr>
        <w:t xml:space="preserve">Secondo, il diverso rapporto Chiesa-Stato: il cardinale Cerejeira era amico personale di Salazar dai tempi di Coimbra, ma la Chiesa portoghese era meno organicamente fusa con il regime di quanto lo fosse quella spagnola nel nazionalcattolicesimo.</w:t>
      </w:r>
    </w:p>
    <w:p>
      <w:pPr>
        <w:spacing w:after="120" w:line="276"/>
        <w:jc w:val="both"/>
      </w:pPr>
      <w:r>
        <w:rPr>
          <w:rFonts w:ascii="Barlow Semi Condensed" w:cs="Barlow Semi Condensed" w:eastAsia="Barlow Semi Condensed" w:hAnsi="Barlow Semi Condensed"/>
          <w:sz w:val="24"/>
          <w:szCs w:val="24"/>
        </w:rPr>
        <w:t xml:space="preserve">Terzo, una situazione socio-economica non paragonabile a quella di una Spagna appena uscita dalla guerra civile.</w:t>
      </w:r>
    </w:p>
    <w:p>
      <w:pPr>
        <w:spacing w:after="120" w:line="276"/>
        <w:jc w:val="both"/>
      </w:pPr>
      <w:r>
        <w:rPr>
          <w:rFonts w:ascii="Barlow Semi Condensed" w:cs="Barlow Semi Condensed" w:eastAsia="Barlow Semi Condensed" w:hAnsi="Barlow Semi Condensed"/>
          <w:sz w:val="24"/>
          <w:szCs w:val="24"/>
        </w:rPr>
        <w:t xml:space="preserve">Quarto, una politica portoghese durante la Seconda guerra mondiale differente da quella spagnola.</w:t>
      </w:r>
    </w:p>
    <w:p>
      <w:pPr>
        <w:spacing w:after="120" w:line="276"/>
        <w:jc w:val="both"/>
      </w:pPr>
      <w:r>
        <w:rPr>
          <w:rFonts w:ascii="Barlow Semi Condensed" w:cs="Barlow Semi Condensed" w:eastAsia="Barlow Semi Condensed" w:hAnsi="Barlow Semi Condensed"/>
          <w:sz w:val="24"/>
          <w:szCs w:val="24"/>
        </w:rPr>
        <w:t xml:space="preserve">A questi va aggiunto un fattore ecclesiale che è, secondo me, il più decisivo, ed è documentato dall'agenzia della Conferenza episcopale portoghese sulla scorta della storiografia del Concilio. Il cardinale Cerejeira fu costantemente reticente verso i movimenti di origine straniera, con l'argomento che l'Azione Cattolica Portoghese supplisse alle necessità. Ne conseguì che Opus Dei, Legione di Maria, Casais de Nossa Senhora, Graal e il Movimento degli Industriali si impiantarono a partire da diocesi diverse da quella di Lisbona.</w:t>
      </w:r>
    </w:p>
    <w:p>
      <w:pPr>
        <w:spacing w:after="120" w:line="276"/>
        <w:jc w:val="both"/>
      </w:pPr>
      <w:r>
        <w:rPr>
          <w:rFonts w:ascii="Barlow Semi Condensed" w:cs="Barlow Semi Condensed" w:eastAsia="Barlow Semi Condensed" w:hAnsi="Barlow Semi Condensed"/>
          <w:sz w:val="24"/>
          <w:szCs w:val="24"/>
        </w:rPr>
        <w:t xml:space="preserve">Ne discende la risultanza del capitolo. La divergenza fra i due casi iberici non fu di strategia dell'ente ma di domanda sociale e di accoglienza ecclesiastica. In Spagna esisteva un ceto universitario cattolico da cui si potevano trarre quadri, e una Chiesa fusa con lo Stato; in Portogallo il patriarca della capitale sbarrava la porta ai movimenti stranieri e l'istituzione dovette entrare dalla periferia diocesana.</w:t>
      </w:r>
    </w:p>
    <w:p>
      <w:pPr>
        <w:spacing w:after="120" w:line="276"/>
        <w:jc w:val="both"/>
      </w:pPr>
      <w:r>
        <w:rPr>
          <w:rFonts w:ascii="Barlow Semi Condensed" w:cs="Barlow Semi Condensed" w:eastAsia="Barlow Semi Condensed" w:hAnsi="Barlow Semi Condensed"/>
          <w:sz w:val="24"/>
          <w:szCs w:val="24"/>
        </w:rPr>
        <w:t xml:space="preserve">Un elemento concordatario conferma il quadro per via indipendente. La dissertazione di dottorato di Bruno Cardoso Reis sulla Concordata del 1940, presso l'Università Nuova di Lisbona, rileva che Salazar impose i propri punti di vista, concludendo un accordo i cui benefici per la Chiesa restarono molto al di sotto dei vantaggi offerti in altri concordati, come quello italiano o quello spagnolo.</w:t>
      </w:r>
    </w:p>
    <w:p>
      <w:pPr>
        <w:spacing w:after="120" w:line="276"/>
        <w:jc w:val="both"/>
      </w:pPr>
      <w:r>
        <w:rPr>
          <w:rFonts w:ascii="Barlow Semi Condensed" w:cs="Barlow Semi Condensed" w:eastAsia="Barlow Semi Condensed" w:hAnsi="Barlow Semi Condensed"/>
          <w:sz w:val="24"/>
          <w:szCs w:val="24"/>
        </w:rPr>
        <w:t xml:space="preserve">È l'indice di una Chiesa portoghese meno premiata dallo Stato di quanto lo fosse quella spagnola — e una Chiesa meno premiata è anche una Chiesa meno utile come canale d'accesso al potere.</w:t>
      </w:r>
    </w:p>
    <w:p>
      <w:pPr>
        <w:pStyle w:val="Heading2"/>
        <w:spacing w:after="100" w:before="200"/>
      </w:pPr>
      <w:r>
        <w:rPr>
          <w:rFonts w:ascii="Barlow Semi Condensed" w:cs="Barlow Semi Condensed" w:eastAsia="Barlow Semi Condensed" w:hAnsi="Barlow Semi Condensed"/>
          <w:sz w:val="24"/>
          <w:szCs w:val="24"/>
        </w:rPr>
        <w:t xml:space="preserve">Capitolo quinto — L'Opus Dei e le guerre coloniali: Stato Zero dichiarato</w:t>
      </w:r>
    </w:p>
    <w:p>
      <w:pPr>
        <w:spacing w:after="120" w:line="276"/>
        <w:jc w:val="both"/>
      </w:pPr>
      <w:r>
        <w:rPr>
          <w:rFonts w:ascii="Barlow Semi Condensed" w:cs="Barlow Semi Condensed" w:eastAsia="Barlow Semi Condensed" w:hAnsi="Barlow Semi Condensed"/>
          <w:sz w:val="24"/>
          <w:szCs w:val="24"/>
        </w:rPr>
        <w:t xml:space="preserve">Il capitolo è breve, e la brevità è la risultanza. Diluirlo con generalità sarebbe metodologicamente scorretto, e lo si dichiara.</w:t>
      </w:r>
    </w:p>
    <w:p>
      <w:pPr>
        <w:spacing w:after="120" w:line="276"/>
        <w:jc w:val="both"/>
      </w:pPr>
      <w:r>
        <w:rPr>
          <w:rFonts w:ascii="Barlow Semi Condensed" w:cs="Barlow Semi Condensed" w:eastAsia="Barlow Semi Condensed" w:hAnsi="Barlow Semi Condensed"/>
          <w:sz w:val="24"/>
          <w:szCs w:val="24"/>
        </w:rPr>
        <w:t xml:space="preserve">Il quadro generale è documentato. La Concordata e l'Accordo missionario del 7 maggio 1940 conferivano alla Chiesa una utilità imperiale e un senso civilizzatore associati al nazionalismo portoghese, secondo João Marques de Almeida su \</w:t>
      </w:r>
      <w:r>
        <w:rPr>
          <w:rFonts w:ascii="Barlow Semi Condensed" w:cs="Barlow Semi Condensed" w:eastAsia="Barlow Semi Condensed" w:hAnsi="Barlow Semi Condensed"/>
          <w:i/>
          <w:iCs/>
          <w:sz w:val="24"/>
          <w:szCs w:val="24"/>
        </w:rPr>
        <w:t xml:space="preserve">Lusitania Sacra\</w:t>
      </w:r>
      <w:r>
        <w:rPr>
          <w:rFonts w:ascii="Barlow Semi Condensed" w:cs="Barlow Semi Condensed" w:eastAsia="Barlow Semi Condensed" w:hAnsi="Barlow Semi Condensed"/>
          <w:sz w:val="24"/>
          <w:szCs w:val="24"/>
        </w:rPr>
        <w:t xml:space="preserve">. Nel colonialismo tardo, fra il 1961 e il 1974, si aprì il conflitto fra paradigmi missionari nazionalisti e paradigmi della liberazione, culminato — come già acquisito nelle ricognizioni anteriori — nell'espulsione del vescovo di Nampula e dei comboniani dopo il documento \</w:t>
      </w:r>
      <w:r>
        <w:rPr>
          <w:rFonts w:ascii="Barlow Semi Condensed" w:cs="Barlow Semi Condensed" w:eastAsia="Barlow Semi Condensed" w:hAnsi="Barlow Semi Condensed"/>
          <w:i/>
          <w:iCs/>
          <w:sz w:val="24"/>
          <w:szCs w:val="24"/>
        </w:rPr>
        <w:t xml:space="preserve">Imperativo di Coscienza\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Che cosa non è stato reperito.\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Non è stato reperito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alcun documento che attribuisca all'Opus Dei come istituzione una posizione specifica e distinta sulle guerre coloniali o sulla questione africana, né a favore né contro.</w:t>
      </w:r>
    </w:p>
    <w:p>
      <w:pPr>
        <w:spacing w:after="120" w:line="276"/>
        <w:jc w:val="both"/>
      </w:pPr>
      <w:r>
        <w:rPr>
          <w:rFonts w:ascii="Barlow Semi Condensed" w:cs="Barlow Semi Condensed" w:eastAsia="Barlow Semi Condensed" w:hAnsi="Barlow Semi Condensed"/>
          <w:sz w:val="24"/>
          <w:szCs w:val="24"/>
        </w:rPr>
        <w:t xml:space="preserve">Il volume collettivo di Freire Antunes contiene testimonianze individuali che intersecano l'Africa portoghese — una sezione sui mutilati della guerra d'Africa, il caso di un membro nella riconquista di una località angolana — ma si tratta di vicende personali di membri, che il metodo impone di non trasformare in condotta dell'ente.</w:t>
      </w:r>
    </w:p>
    <w:p>
      <w:pPr>
        <w:spacing w:after="120" w:line="276"/>
        <w:jc w:val="both"/>
      </w:pPr>
      <w:r>
        <w:rPr>
          <w:rFonts w:ascii="Barlow Semi Condensed" w:cs="Barlow Semi Condensed" w:eastAsia="Barlow Semi Condensed" w:hAnsi="Barlow Semi Condensed"/>
          <w:sz w:val="24"/>
          <w:szCs w:val="24"/>
        </w:rPr>
        <w:t xml:space="preserve">Si registra Stato Zero parziale. La sede per l'accertamento è l'Archivio Generale della Prelatura a Roma e i fondi diocesani portoghesi — Nampula, Beira, Tete, Patriarcato di Lisbona. Condizione di chiusura: reperimento di un documento istituzionale, non di una testimonianza individuale.</w:t>
      </w:r>
    </w:p>
    <w:p>
      <w:pPr>
        <w:spacing w:after="120" w:line="276"/>
        <w:jc w:val="both"/>
      </w:pPr>
      <w:r>
        <w:rPr>
          <w:rFonts w:ascii="Barlow Semi Condensed" w:cs="Barlow Semi Condensed" w:eastAsia="Barlow Semi Condensed" w:hAnsi="Barlow Semi Condensed"/>
          <w:sz w:val="24"/>
          <w:szCs w:val="24"/>
        </w:rPr>
        <w:t xml:space="preserve">Un'osservazione che vale la pena fare. L'assenza di una posizione istituzionale documentata su una guerra durata tredici anni, in un Paese dove l'istituzione era presente da venticinque, è essa stessa un dato — ma non se ne può inferire il silenzio, perché ciò che manca è la documentazione accessibile e non necessariamente l'atto.</w:t>
      </w:r>
    </w:p>
    <w:p>
      <w:pPr>
        <w:pStyle w:val="Heading2"/>
        <w:spacing w:after="100" w:before="200"/>
      </w:pPr>
      <w:r>
        <w:rPr>
          <w:rFonts w:ascii="Barlow Semi Condensed" w:cs="Barlow Semi Condensed" w:eastAsia="Barlow Semi Condensed" w:hAnsi="Barlow Semi Condensed"/>
          <w:sz w:val="24"/>
          <w:szCs w:val="24"/>
        </w:rPr>
        <w:t xml:space="preserve">Capitolo sesto — La transizione e il caso Amaro da Costa: appartenenza documentata, azione di partito</w:t>
      </w:r>
    </w:p>
    <w:p>
      <w:pPr>
        <w:spacing w:after="120" w:line="276"/>
        <w:jc w:val="both"/>
      </w:pPr>
      <w:r>
        <w:rPr>
          <w:rFonts w:ascii="Barlow Semi Condensed" w:cs="Barlow Semi Condensed" w:eastAsia="Barlow Semi Condensed" w:hAnsi="Barlow Semi Condensed"/>
          <w:sz w:val="24"/>
          <w:szCs w:val="24"/>
        </w:rPr>
        <w:t xml:space="preserve">Il 25 aprile 1974 la Rivoluzione dei garofani rovesciò l'Estado Novo, aprendo il processo rivoluzionario del 1974-1975. Il capitolo espone che cosa ne risulta per l'istituzione e per il solo suo membro che entrò nella politica portoghese.</w:t>
      </w:r>
    </w:p>
    <w:p>
      <w:pPr>
        <w:spacing w:after="120" w:line="276"/>
        <w:jc w:val="both"/>
      </w:pPr>
      <w:r>
        <w:rPr>
          <w:rFonts w:ascii="Barlow Semi Condensed" w:cs="Barlow Semi Condensed" w:eastAsia="Barlow Semi Condensed" w:hAnsi="Barlow Semi Condensed"/>
          <w:sz w:val="24"/>
          <w:szCs w:val="24"/>
        </w:rPr>
        <w:t xml:space="preserve">Sul biennio rivoluzionario. La fonte ufficiale dell'ente e la letteratura testimoniale — il volume collettivo diretto da Freire Antunes, che dedica una sezione specifica al 25 aprile 1974 — non documentano persecuzioni sistematiche, occupazioni di sedi o espulsioni di membri dell'Opus Dei in quanto tali durante il biennio; e nessun documento indipendente le attesta. Si registra come esito negativo.</w:t>
      </w:r>
    </w:p>
    <w:p>
      <w:pPr>
        <w:spacing w:after="120" w:line="276"/>
        <w:jc w:val="both"/>
      </w:pPr>
      <w:r>
        <w:rPr>
          <w:rFonts w:ascii="Barlow Semi Condensed" w:cs="Barlow Semi Condensed" w:eastAsia="Barlow Semi Condensed" w:hAnsi="Barlow Semi Condensed"/>
          <w:sz w:val="24"/>
          <w:szCs w:val="24"/>
        </w:rPr>
        <w:t xml:space="preserve">La figura in cui la traiettoria dell'istituzione tocca la politica portoghese. Adelino Amaro da Costa, cofondatore del Centro Democratico Sociale. Secondo il sito ufficiale del Parlamento portoghese, egli fu membro fondatore del partito nel 1974 e suo primo segretario generale fino al febbraio 1975; il partito fu fondato il 19 luglio 1974.</w:t>
      </w:r>
    </w:p>
    <w:p>
      <w:pPr>
        <w:spacing w:after="120" w:line="276"/>
        <w:jc w:val="both"/>
      </w:pPr>
      <w:r>
        <w:rPr>
          <w:rFonts w:ascii="Barlow Semi Condensed" w:cs="Barlow Semi Condensed" w:eastAsia="Barlow Semi Condensed" w:hAnsi="Barlow Semi Condensed"/>
          <w:sz w:val="24"/>
          <w:szCs w:val="24"/>
        </w:rPr>
        <w:t xml:space="preserve">L'appartenenza è documentata. Una fonte enciclopedica portoghese riferisce che nel 1979 egli si sposò, rompendo così i voti di castità fatti quando anni prima aveva aderito all'istituzione. La biografia di Célia Pedroso e Maria do Rosário Carneiro, \</w:t>
      </w:r>
      <w:r>
        <w:rPr>
          <w:rFonts w:ascii="Barlow Semi Condensed" w:cs="Barlow Semi Condensed" w:eastAsia="Barlow Semi Condensed" w:hAnsi="Barlow Semi Condensed"/>
          <w:i/>
          <w:iCs/>
          <w:sz w:val="24"/>
          <w:szCs w:val="24"/>
        </w:rPr>
        <w:t xml:space="preserve">Adelino Amaro da Costa, Histórias de Uma Vida Interrompida\</w:t>
      </w:r>
      <w:r>
        <w:rPr>
          <w:rFonts w:ascii="Barlow Semi Condensed" w:cs="Barlow Semi Condensed" w:eastAsia="Barlow Semi Condensed" w:hAnsi="Barlow Semi Condensed"/>
          <w:sz w:val="24"/>
          <w:szCs w:val="24"/>
        </w:rPr>
        <w:t xml:space="preserve">, Casa das Letras, 2010, raccoglie testimonianze che pongono l'importanza centrale dell'Opus Dei nella vita di Amaro da Costa fino al matrimonio del 1979, datando l'ingresso in residenza a dopo la laurea in ingegneria civile del 1966.</w:t>
      </w:r>
    </w:p>
    <w:p>
      <w:pPr>
        <w:spacing w:after="120" w:line="276"/>
        <w:jc w:val="both"/>
      </w:pPr>
      <w:r>
        <w:rPr>
          <w:rFonts w:ascii="Barlow Semi Condensed" w:cs="Barlow Semi Condensed" w:eastAsia="Barlow Semi Condensed" w:hAnsi="Barlow Semi Condensed"/>
          <w:sz w:val="24"/>
          <w:szCs w:val="24"/>
        </w:rPr>
        <w:t xml:space="preserve">E qui vale in modo assoluto la prescrizione che apre questo studio. L'appartenenza di Amaro da Costa all'Opus Dei non costituisce prova di una condotta politica dell'Opus Dei come istituzione. Egli agì come uomo politico del proprio partito, e le testimonianze raccolte descrivono un impegno personale, non una direttiva dell'ente.</w:t>
      </w:r>
    </w:p>
    <w:p>
      <w:pPr>
        <w:spacing w:after="120" w:line="276"/>
        <w:jc w:val="both"/>
      </w:pPr>
      <w:r>
        <w:rPr>
          <w:rFonts w:ascii="Barlow Semi Condensed" w:cs="Barlow Semi Condensed" w:eastAsia="Barlow Semi Condensed" w:hAnsi="Barlow Semi Condensed"/>
          <w:sz w:val="24"/>
          <w:szCs w:val="24"/>
        </w:rPr>
        <w:t xml:space="preserve">La traiettoria successiva, per completezza. Amaro da Costa contribuì alla stesura del programma del primo governo provvisorio su richiesta del ministro Veiga Simão, fu poi ministro della Difesa nel governo dell'Alleanza Democratica nel 1980, e morì nel disastro aereo di Camarate il 4 dicembre 1980 insieme al primo ministro Francisco Sá Carneiro.</w:t>
      </w:r>
    </w:p>
    <w:p>
      <w:pPr>
        <w:spacing w:after="120" w:line="276"/>
        <w:jc w:val="both"/>
      </w:pPr>
      <w:r>
        <w:rPr>
          <w:rFonts w:ascii="Barlow Semi Condensed" w:cs="Barlow Semi Condensed" w:eastAsia="Barlow Semi Condensed" w:hAnsi="Barlow Semi Condensed"/>
          <w:sz w:val="24"/>
          <w:szCs w:val="24"/>
        </w:rPr>
        <w:t xml:space="preserve">Si registra che la vicenda di Camarate è oggetto in Portogallo di una lunga controversia sulle cause del disastro, materia estranea al perimetro di questo studio e che non viene qui trattata.</w:t>
      </w:r>
    </w:p>
    <w:p>
      <w:pPr>
        <w:spacing w:after="120" w:line="276"/>
        <w:jc w:val="both"/>
      </w:pPr>
      <w:r>
        <w:rPr>
          <w:rFonts w:ascii="Barlow Semi Condensed" w:cs="Barlow Semi Condensed" w:eastAsia="Barlow Semi Condensed" w:hAnsi="Barlow Semi Condensed"/>
          <w:sz w:val="24"/>
          <w:szCs w:val="24"/>
        </w:rPr>
        <w:t xml:space="preserve">Il capitolo resta contenuto per insufficienza di documentazione sulle vicende collettive dell'ente nel periodo rivoluzionario, e non per scelta di brevità.</w:t>
      </w:r>
    </w:p>
    <w:p>
      <w:pPr>
        <w:pStyle w:val="Heading2"/>
        <w:spacing w:after="100" w:before="200"/>
      </w:pPr>
      <w:r>
        <w:rPr>
          <w:rFonts w:ascii="Barlow Semi Condensed" w:cs="Barlow Semi Condensed" w:eastAsia="Barlow Semi Condensed" w:hAnsi="Barlow Semi Condensed"/>
          <w:sz w:val="24"/>
          <w:szCs w:val="24"/>
        </w:rPr>
        <w:t xml:space="preserve">Capitolo settimo — Moro ministro e il Portogallo: cornice senza documenti</w:t>
      </w:r>
    </w:p>
    <w:p>
      <w:pPr>
        <w:spacing w:after="120" w:line="276"/>
        <w:jc w:val="both"/>
      </w:pPr>
      <w:r>
        <w:rPr>
          <w:rFonts w:ascii="Barlow Semi Condensed" w:cs="Barlow Semi Condensed" w:eastAsia="Barlow Semi Condensed" w:hAnsi="Barlow Semi Condensed"/>
          <w:sz w:val="24"/>
          <w:szCs w:val="24"/>
        </w:rPr>
        <w:t xml:space="preserve">Il capitolo registra quanto è accertato sulla collocazione di Moro e quanto non è stato reperito sul suo rapporto specifico col Portogallo.</w:t>
      </w:r>
    </w:p>
    <w:p>
      <w:pPr>
        <w:spacing w:after="120" w:line="276"/>
        <w:jc w:val="both"/>
      </w:pPr>
      <w:r>
        <w:rPr>
          <w:rFonts w:ascii="Barlow Semi Condensed" w:cs="Barlow Semi Condensed" w:eastAsia="Barlow Semi Condensed" w:hAnsi="Barlow Semi Condensed"/>
          <w:sz w:val="24"/>
          <w:szCs w:val="24"/>
        </w:rPr>
        <w:t xml:space="preserve">La collocazione. Moro fu ministro degli Affari Esteri dal 5 agosto 1969 al 26 giugno 1972 — governi Rumor terzo, Colombo primo, Andreotti primo — e di nuovo dal 7 luglio 1973 al 23 novembre 1974, nel quarto e quinto Rumor.</w:t>
      </w:r>
    </w:p>
    <w:p>
      <w:pPr>
        <w:spacing w:after="120" w:line="276"/>
        <w:jc w:val="both"/>
      </w:pPr>
      <w:r>
        <w:rPr>
          <w:rFonts w:ascii="Barlow Semi Condensed" w:cs="Barlow Semi Condensed" w:eastAsia="Barlow Semi Condensed" w:hAnsi="Barlow Semi Condensed"/>
          <w:sz w:val="24"/>
          <w:szCs w:val="24"/>
        </w:rPr>
        <w:t xml:space="preserve">La qualificazione storiografica. La storiografia lo definisce iniziatore della fase mediterranea delle relazioni internazionali italiane. La \</w:t>
      </w:r>
      <w:r>
        <w:rPr>
          <w:rFonts w:ascii="Barlow Semi Condensed" w:cs="Barlow Semi Condensed" w:eastAsia="Barlow Semi Condensed" w:hAnsi="Barlow Semi Condensed"/>
          <w:i/>
          <w:iCs/>
          <w:sz w:val="24"/>
          <w:szCs w:val="24"/>
        </w:rPr>
        <w:t xml:space="preserve">Nuova Rivista Storica\</w:t>
      </w:r>
      <w:r>
        <w:rPr>
          <w:rFonts w:ascii="Barlow Semi Condensed" w:cs="Barlow Semi Condensed" w:eastAsia="Barlow Semi Condensed" w:hAnsi="Barlow Semi Condensed"/>
          <w:sz w:val="24"/>
          <w:szCs w:val="24"/>
        </w:rPr>
        <w:t xml:space="preserve"> lo descrive come colui che, legando al quadro europeo la politica araba dell'Italia, tentò dal 1973 di conciliare filoarabismo energetico e costruzione europea; parallelamente fu protagonista della Conferenza per la sicurezza e la cooperazione in Europa.</w:t>
      </w:r>
    </w:p>
    <w:p>
      <w:pPr>
        <w:spacing w:after="120" w:line="276"/>
        <w:jc w:val="both"/>
      </w:pPr>
      <w:r>
        <w:rPr>
          <w:rFonts w:ascii="Barlow Semi Condensed" w:cs="Barlow Semi Condensed" w:eastAsia="Barlow Semi Condensed" w:hAnsi="Barlow Semi Condensed"/>
          <w:sz w:val="24"/>
          <w:szCs w:val="24"/>
        </w:rPr>
        <w:t xml:space="preserve">Che cosa non è stato reperito.\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Nessun documento diplomatico specifico che colleghi Moro alla situazione portoghese anteriore alla rivoluzione, e nessuna iniziativa morotea riguardante il Portogallo di Caetano.</w:t>
      </w:r>
    </w:p>
    <w:p>
      <w:pPr>
        <w:spacing w:after="120" w:line="276"/>
        <w:jc w:val="both"/>
      </w:pPr>
      <w:r>
        <w:rPr>
          <w:rFonts w:ascii="Barlow Semi Condensed" w:cs="Barlow Semi Condensed" w:eastAsia="Barlow Semi Condensed" w:hAnsi="Barlow Semi Condensed"/>
          <w:sz w:val="24"/>
          <w:szCs w:val="24"/>
        </w:rPr>
        <w:t xml:space="preserve">Il contesto della reazione italiana alla rivoluzione, per quanto documentato. Essa fu soprattutto di parte, con forte coinvolgimento socialista e comunista — la letteratura specialistica documenta il dibattito della sinistra italiana sulla rivoluzione portoghese — mentre l'orientamento atlantico italiano si allineava alla preoccupazione dell'Alleanza.</w:t>
      </w:r>
    </w:p>
    <w:p>
      <w:pPr>
        <w:spacing w:after="120" w:line="276"/>
        <w:jc w:val="both"/>
      </w:pPr>
      <w:r>
        <w:rPr>
          <w:rFonts w:ascii="Barlow Semi Condensed" w:cs="Barlow Semi Condensed" w:eastAsia="Barlow Semi Condensed" w:hAnsi="Barlow Semi Condensed"/>
          <w:sz w:val="24"/>
          <w:szCs w:val="24"/>
        </w:rPr>
        <w:t xml:space="preserve">Un enunciato statunitense va riportato perché precisa la natura di quella preoccupazione, e proviene dalla serie dei \</w:t>
      </w:r>
      <w:r>
        <w:rPr>
          <w:rFonts w:ascii="Barlow Semi Condensed" w:cs="Barlow Semi Condensed" w:eastAsia="Barlow Semi Condensed" w:hAnsi="Barlow Semi Condensed"/>
          <w:i/>
          <w:iCs/>
          <w:sz w:val="24"/>
          <w:szCs w:val="24"/>
        </w:rPr>
        <w:t xml:space="preserve">Foreign Relations of the United States\</w:t>
      </w:r>
      <w:r>
        <w:rPr>
          <w:rFonts w:ascii="Barlow Semi Condensed" w:cs="Barlow Semi Condensed" w:eastAsia="Barlow Semi Condensed" w:hAnsi="Barlow Semi Condensed"/>
          <w:sz w:val="24"/>
          <w:szCs w:val="24"/>
        </w:rPr>
        <w:t xml:space="preserve">: il timore del segretario di Stato non era una presa di potere comunista, ma un regime neutralista di sinistra che restasse all'interno della NATO.</w:t>
      </w:r>
    </w:p>
    <w:p>
      <w:pPr>
        <w:spacing w:after="120" w:line="276"/>
        <w:jc w:val="both"/>
      </w:pPr>
      <w:r>
        <w:rPr>
          <w:rFonts w:ascii="Barlow Semi Condensed" w:cs="Barlow Semi Condensed" w:eastAsia="Barlow Semi Condensed" w:hAnsi="Barlow Semi Condensed"/>
          <w:sz w:val="24"/>
          <w:szCs w:val="24"/>
        </w:rPr>
        <w:t xml:space="preserve">La distinzione è di rilievo analitico. Ciò che allarmava Washington non era la perdita del Portogallo, ma la sua permanenza nell'Alleanza con un governo non allineato — che è precisamente la questione che Moro affrontava in Italia con la propria strategia verso il Partito Comunista.</w:t>
      </w:r>
    </w:p>
    <w:p>
      <w:pPr>
        <w:spacing w:after="120" w:line="276"/>
        <w:jc w:val="both"/>
      </w:pPr>
      <w:r>
        <w:rPr>
          <w:rFonts w:ascii="Barlow Semi Condensed" w:cs="Barlow Semi Condensed" w:eastAsia="Barlow Semi Condensed" w:hAnsi="Barlow Semi Condensed"/>
          <w:sz w:val="24"/>
          <w:szCs w:val="24"/>
        </w:rPr>
        <w:t xml:space="preserve">Si registra Stato Zero sul rapporto Moro-Portogallo. La sede è l'Archivio Storico Diplomatico del Ministero degli Affari Esteri italiano, serie Portogallo 1969-1974, presso cui la ricerca resta interamente da condurre, con particolare riguardo ai telespressi dell'ambasciata di Lisbona e agli appunti della Direzione generale affari politici.</w:t>
      </w:r>
    </w:p>
    <w:p>
      <w:pPr>
        <w:pStyle w:val="Heading2"/>
        <w:spacing w:after="100" w:before="200"/>
      </w:pPr>
      <w:r>
        <w:rPr>
          <w:rFonts w:ascii="Barlow Semi Condensed" w:cs="Barlow Semi Condensed" w:eastAsia="Barlow Semi Condensed" w:hAnsi="Barlow Semi Condensed"/>
          <w:sz w:val="24"/>
          <w:szCs w:val="24"/>
        </w:rPr>
        <w:t xml:space="preserve">Capitolo ottavo — Moro e l'Opus Dei: lo Stato Zero confermato, e perché la conferma vale</w:t>
      </w:r>
    </w:p>
    <w:p>
      <w:pPr>
        <w:spacing w:after="120" w:line="276"/>
        <w:jc w:val="both"/>
      </w:pPr>
      <w:r>
        <w:rPr>
          <w:rFonts w:ascii="Barlow Semi Condensed" w:cs="Barlow Semi Condensed" w:eastAsia="Barlow Semi Condensed" w:hAnsi="Barlow Semi Condensed"/>
          <w:sz w:val="24"/>
          <w:szCs w:val="24"/>
        </w:rPr>
        <w:t xml:space="preserve">Il capitolo conferma per la seconda volta un esito negativo, e la conferma ha valore proprio.</w:t>
      </w:r>
    </w:p>
    <w:p>
      <w:pPr>
        <w:spacing w:after="120" w:line="276"/>
        <w:jc w:val="both"/>
      </w:pPr>
      <w:r>
        <w:rPr>
          <w:rFonts w:ascii="Barlow Semi Condensed" w:cs="Barlow Semi Condensed" w:eastAsia="Barlow Semi Condensed" w:hAnsi="Barlow Semi Condensed"/>
          <w:sz w:val="24"/>
          <w:szCs w:val="24"/>
        </w:rPr>
        <w:t xml:space="preserve">La presenza dell'ente in Italia. L'Opus Dei è presente dal 1946, come attesta la fonte ufficiale, che documenta anche la mediazione del cardinale Giovanni Battista Montini, poi Paolo VI, nel riconoscimento pontificio del 1947 mediante il decreto \</w:t>
      </w:r>
      <w:r>
        <w:rPr>
          <w:rFonts w:ascii="Barlow Semi Condensed" w:cs="Barlow Semi Condensed" w:eastAsia="Barlow Semi Condensed" w:hAnsi="Barlow Semi Condensed"/>
          <w:i/>
          <w:iCs/>
          <w:sz w:val="24"/>
          <w:szCs w:val="24"/>
        </w:rPr>
        <w:t xml:space="preserve">Primum inter\</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L'esito.\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stato reperito alcun documento, atto, corrispondenza o testimonianza che colleghi Aldo Moro all'Opus Dei in qualunque veste.</w:t>
      </w:r>
    </w:p>
    <w:p>
      <w:pPr>
        <w:spacing w:after="120" w:line="276"/>
        <w:jc w:val="both"/>
      </w:pPr>
      <w:r>
        <w:rPr>
          <w:rFonts w:ascii="Barlow Semi Condensed" w:cs="Barlow Semi Condensed" w:eastAsia="Barlow Semi Condensed" w:hAnsi="Barlow Semi Condensed"/>
          <w:sz w:val="24"/>
          <w:szCs w:val="24"/>
        </w:rPr>
        <w:t xml:space="preserve">La ragione culturale, che spiega l'esito anziché limitarsi a registrarlo, e che è il contributo di questo capitolo. La biografia intellettuale di Moro lo colloca senza ambiguità in una tradizione determinata: la Federazione universitaria cattolica italiana, di cui fu presidente dal 1939 al 1943; il Movimento dei Laureati Cattolici; la rivista Studium; la componente dossettiana della sinistra democristiana.</w:t>
      </w:r>
    </w:p>
    <w:p>
      <w:pPr>
        <w:spacing w:after="120" w:line="276"/>
        <w:jc w:val="both"/>
      </w:pPr>
      <w:r>
        <w:rPr>
          <w:rFonts w:ascii="Barlow Semi Condensed" w:cs="Barlow Semi Condensed" w:eastAsia="Barlow Semi Condensed" w:hAnsi="Barlow Semi Condensed"/>
          <w:sz w:val="24"/>
          <w:szCs w:val="24"/>
        </w:rPr>
        <w:t xml:space="preserve">È un cattolicesimo democratico distante per cultura, per teologia politica e per collocazione dall'ambiente dell'Opus Dei. La letteratura recente — la biografia di Paolo Acanfora, il volume di Iannuzzi e Losacco \</w:t>
      </w:r>
      <w:r>
        <w:rPr>
          <w:rFonts w:ascii="Barlow Semi Condensed" w:cs="Barlow Semi Condensed" w:eastAsia="Barlow Semi Condensed" w:hAnsi="Barlow Semi Condensed"/>
          <w:i/>
          <w:iCs/>
          <w:sz w:val="24"/>
          <w:szCs w:val="24"/>
        </w:rPr>
        <w:t xml:space="preserve">Aldo Moro. Le idee, il metodo, l'eredità\</w:t>
      </w:r>
      <w:r>
        <w:rPr>
          <w:rFonts w:ascii="Barlow Semi Condensed" w:cs="Barlow Semi Condensed" w:eastAsia="Barlow Semi Condensed" w:hAnsi="Barlow Semi Condensed"/>
          <w:sz w:val="24"/>
          <w:szCs w:val="24"/>
        </w:rPr>
        <w:t xml:space="preserve"> — descrive un uomo non di appartenenza confessionale chiusa, ma un credente che considera la politica un servizio alla libertà.</w:t>
      </w:r>
    </w:p>
    <w:p>
      <w:pPr>
        <w:spacing w:after="120" w:line="276"/>
        <w:jc w:val="both"/>
      </w:pPr>
      <w:r>
        <w:rPr>
          <w:rFonts w:ascii="Barlow Semi Condensed" w:cs="Barlow Semi Condensed" w:eastAsia="Barlow Semi Condensed" w:hAnsi="Barlow Semi Condensed"/>
          <w:sz w:val="24"/>
          <w:szCs w:val="24"/>
        </w:rPr>
        <w:t xml:space="preserve">Ne discende che l'assenza di documenti non è una lacuna d'archivio da colmare a ogni costo, ma è coerente con la collocazione culturale del soggetto. Le due cose vanno tenute distinte: la coerenza rende l'assenza attesa; non la rende provata.</w:t>
      </w:r>
    </w:p>
    <w:p>
      <w:pPr>
        <w:spacing w:after="120" w:line="276"/>
        <w:jc w:val="both"/>
      </w:pPr>
      <w:r>
        <w:rPr>
          <w:rFonts w:ascii="Barlow Semi Condensed" w:cs="Barlow Semi Condensed" w:eastAsia="Barlow Semi Condensed" w:hAnsi="Barlow Semi Condensed"/>
          <w:sz w:val="24"/>
          <w:szCs w:val="24"/>
        </w:rPr>
        <w:t xml:space="preserve">Perché la conferma di un esito negativo ha valore proprio, e va detto. In materia tanto esposta alla pubblicistica congetturale, la smentita documentale è un'acquisizione. Chiunque, in futuro, proponga un nesso fra Moro e l'istituzione dovrà produrre un documento; e questo studio, con il precedente, gli indica esattamente dove cercarlo e con quale esito la ricerca è stata già condotta.</w:t>
      </w:r>
    </w:p>
    <w:p>
      <w:pPr>
        <w:spacing w:after="120" w:line="276"/>
        <w:jc w:val="both"/>
      </w:pPr>
      <w:r>
        <w:rPr>
          <w:rFonts w:ascii="Barlow Semi Condensed" w:cs="Barlow Semi Condensed" w:eastAsia="Barlow Semi Condensed" w:hAnsi="Barlow Semi Condensed"/>
          <w:sz w:val="24"/>
          <w:szCs w:val="24"/>
        </w:rPr>
        <w:t xml:space="preserve">Si registra Stato Zero confermato. La verifica ulteriore andrebbe condotta nell'Archivio Aldo Moro, inventariato fra Archivio storico del Senato e Archivio Centrale dello Stato, e nell'archivio della Fondazione Aldo Moro. Condizione di chiusura: spoglio integrale.</w:t>
      </w:r>
    </w:p>
    <w:p>
      <w:pPr>
        <w:pStyle w:val="Heading2"/>
        <w:spacing w:after="100" w:before="200"/>
      </w:pPr>
      <w:r>
        <w:rPr>
          <w:rFonts w:ascii="Barlow Semi Condensed" w:cs="Barlow Semi Condensed" w:eastAsia="Barlow Semi Condensed" w:hAnsi="Barlow Semi Condensed"/>
          <w:sz w:val="24"/>
          <w:szCs w:val="24"/>
        </w:rPr>
        <w:t xml:space="preserve">Capitolo nono — I documenti desecretati: un esito negativo di grande significato</w:t>
      </w:r>
    </w:p>
    <w:p>
      <w:pPr>
        <w:spacing w:after="120" w:line="276"/>
        <w:jc w:val="both"/>
      </w:pPr>
      <w:r>
        <w:rPr>
          <w:rFonts w:ascii="Barlow Semi Condensed" w:cs="Barlow Semi Condensed" w:eastAsia="Barlow Semi Condensed" w:hAnsi="Barlow Semi Condensed"/>
          <w:sz w:val="24"/>
          <w:szCs w:val="24"/>
        </w:rPr>
        <w:t xml:space="preserve">Il capitolo espone il ritrovamento negativo più notevole di questa ricognizione, e va letto insieme al Capitolo quarto perché ne costituisce la conferma per via indipendente.</w:t>
      </w:r>
    </w:p>
    <w:p>
      <w:pPr>
        <w:spacing w:after="120" w:line="276"/>
        <w:jc w:val="both"/>
      </w:pPr>
      <w:r>
        <w:rPr>
          <w:rFonts w:ascii="Barlow Semi Condensed" w:cs="Barlow Semi Condensed" w:eastAsia="Barlow Semi Condensed" w:hAnsi="Barlow Semi Condensed"/>
          <w:sz w:val="24"/>
          <w:szCs w:val="24"/>
        </w:rPr>
        <w:t xml:space="preserve">Il termine di confronto spagnolo, accertato. Esiste, per la Spagna, il rapporto della Central Intelligence Agency del 22 maggio 1970, protocollo CIA-RDP85T00875R001500020027-1, originariamente SEGRETO, sul gabinetto franchista e sull'assegnazione del maggior numero di dicasteri a membri o associati dell'Opus Dei.</w:t>
      </w:r>
    </w:p>
    <w:p>
      <w:pPr>
        <w:spacing w:after="120" w:line="276"/>
        <w:jc w:val="both"/>
      </w:pPr>
      <w:r>
        <w:rPr>
          <w:rFonts w:ascii="Barlow Semi Condensed" w:cs="Barlow Semi Condensed" w:eastAsia="Barlow Semi Condensed" w:hAnsi="Barlow Semi Condensed"/>
          <w:sz w:val="24"/>
          <w:szCs w:val="24"/>
        </w:rPr>
        <w:t xml:space="preserve">L'esito portoghese.\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esiste alcun documento analogo per il Portogallo.</w:t>
      </w:r>
    </w:p>
    <w:p>
      <w:pPr>
        <w:spacing w:after="120" w:line="276"/>
        <w:jc w:val="both"/>
      </w:pPr>
      <w:r>
        <w:rPr>
          <w:rFonts w:ascii="Barlow Semi Condensed" w:cs="Barlow Semi Condensed" w:eastAsia="Barlow Semi Condensed" w:hAnsi="Barlow Semi Condensed"/>
          <w:sz w:val="24"/>
          <w:szCs w:val="24"/>
        </w:rPr>
        <w:t xml:space="preserve">Che cosa è stato verificato, una voce per volta. Le carte della Central Intelligence Agency sull'Opus Dei reperite riguardano esclusivamente la Spagna, segnatamente una nota informativa intitolata \</w:t>
      </w:r>
      <w:r>
        <w:rPr>
          <w:rFonts w:ascii="Barlow Semi Condensed" w:cs="Barlow Semi Condensed" w:eastAsia="Barlow Semi Condensed" w:hAnsi="Barlow Semi Condensed"/>
          <w:i/>
          <w:iCs/>
          <w:sz w:val="24"/>
          <w:szCs w:val="24"/>
        </w:rPr>
        <w:t xml:space="preserve">Opus Dei in Barcelona\</w:t>
      </w:r>
      <w:r>
        <w:rPr>
          <w:rFonts w:ascii="Barlow Semi Condensed" w:cs="Barlow Semi Condensed" w:eastAsia="Barlow Semi Condensed" w:hAnsi="Barlow Semi Condensed"/>
          <w:sz w:val="24"/>
          <w:szCs w:val="24"/>
        </w:rPr>
        <w:t xml:space="preserve">, protocollo CIA-RDP82-00457R015000010003-5, della serie degli anni Quaranta e Cinquanta.</w:t>
      </w:r>
    </w:p>
    <w:p>
      <w:pPr>
        <w:spacing w:after="120" w:line="276"/>
        <w:jc w:val="both"/>
      </w:pPr>
      <w:r>
        <w:rPr>
          <w:rFonts w:ascii="Barlow Semi Condensed" w:cs="Barlow Semi Condensed" w:eastAsia="Barlow Semi Condensed" w:hAnsi="Barlow Semi Condensed"/>
          <w:sz w:val="24"/>
          <w:szCs w:val="24"/>
        </w:rPr>
        <w:t xml:space="preserve">I profili biografici statunitensi su Caetano — documenti C06790244 e C06790246, rilasciati il 12 luglio 2019 — e su Salazar — documento 06782148 del 1 settembre 1968 — pur dettagliati sul conservatore ragionevole Caetano, sui rimpasti del gennaio 1970 e sulla fede religiosa di Salazar, non menzionano in alcun punto l'Opus Dei.</w:t>
      </w:r>
    </w:p>
    <w:p>
      <w:pPr>
        <w:spacing w:after="120" w:line="276"/>
        <w:jc w:val="both"/>
      </w:pPr>
      <w:r>
        <w:rPr>
          <w:rFonts w:ascii="Barlow Semi Condensed" w:cs="Barlow Semi Condensed" w:eastAsia="Barlow Semi Condensed" w:hAnsi="Barlow Semi Condensed"/>
          <w:sz w:val="24"/>
          <w:szCs w:val="24"/>
        </w:rPr>
        <w:t xml:space="preserve">Nella serie dei \</w:t>
      </w:r>
      <w:r>
        <w:rPr>
          <w:rFonts w:ascii="Barlow Semi Condensed" w:cs="Barlow Semi Condensed" w:eastAsia="Barlow Semi Condensed" w:hAnsi="Barlow Semi Condensed"/>
          <w:i/>
          <w:iCs/>
          <w:sz w:val="24"/>
          <w:szCs w:val="24"/>
        </w:rPr>
        <w:t xml:space="preserve">Foreign Relations of the United States\</w:t>
      </w:r>
      <w:r>
        <w:rPr>
          <w:rFonts w:ascii="Barlow Semi Condensed" w:cs="Barlow Semi Condensed" w:eastAsia="Barlow Semi Condensed" w:hAnsi="Barlow Semi Condensed"/>
          <w:sz w:val="24"/>
          <w:szCs w:val="24"/>
        </w:rPr>
        <w:t xml:space="preserve"> per il periodo 1969-1976, volume E-15 parte seconda, la sezione portoghese — documenti da centoventitré a centosettantotto — non contiene alcun riferimento all'Opus Dei né a tecnocrati cattolici, concentrandosi su rivoluzione, minaccia comunista, adesione atlantica e aiuti occidentali.</w:t>
      </w:r>
    </w:p>
    <w:p>
      <w:pPr>
        <w:spacing w:after="120" w:line="276"/>
        <w:jc w:val="both"/>
      </w:pPr>
      <w:r>
        <w:rPr>
          <w:rFonts w:ascii="Barlow Semi Condensed" w:cs="Barlow Semi Condensed" w:eastAsia="Barlow Semi Condensed" w:hAnsi="Barlow Semi Condensed"/>
          <w:sz w:val="24"/>
          <w:szCs w:val="24"/>
        </w:rPr>
        <w:t xml:space="preserve">L'unico riferimento all'Opus Dei nell'intero ciclo della serie è nella sezione spagnola, volume quarantunesimo, documento trecentotré, in una nota redazionale sullo scandalo MATESA che ricorda l'incriminazione di due ex ministri membri dell'istituzione.</w:t>
      </w:r>
    </w:p>
    <w:p>
      <w:pPr>
        <w:spacing w:after="120" w:line="276"/>
        <w:jc w:val="both"/>
      </w:pPr>
      <w:r>
        <w:rPr>
          <w:rFonts w:ascii="Barlow Semi Condensed" w:cs="Barlow Semi Condensed" w:eastAsia="Barlow Semi Condensed" w:hAnsi="Barlow Semi Condensed"/>
          <w:sz w:val="24"/>
          <w:szCs w:val="24"/>
        </w:rPr>
        <w:t xml:space="preserve">Un elemento collaterale conferma il quadro. Il contenzioso promosso fra il 2009 e il 2011 da un ricercatore statunitense con un'organizzazione di tutela dei consumatori per ottenere le carte dell'agenzia sull'Opus Dei verteva anch'esso sulla Spagna franchista.</w:t>
      </w:r>
    </w:p>
    <w:p>
      <w:pPr>
        <w:spacing w:after="120" w:line="276"/>
        <w:jc w:val="both"/>
      </w:pPr>
      <w:r>
        <w:rPr>
          <w:rFonts w:ascii="Barlow Semi Condensed" w:cs="Barlow Semi Condensed" w:eastAsia="Barlow Semi Condensed" w:hAnsi="Barlow Semi Condensed"/>
          <w:sz w:val="24"/>
          <w:szCs w:val="24"/>
        </w:rPr>
        <w:t xml:space="preserve">La conclusione, distinguendo il documento dall'inferenza. L'intelligence statunitense tracciò l'Opus Dei nel contesto spagnolo e non in quello portoghese. E l'unica traccia documentale del nesso fra l'istituzione e il Portogallo resta nei fondi della polizia politica portoghese — cioè in intelligence domestica portoghese e non statunitense.</w:t>
      </w:r>
    </w:p>
    <w:p>
      <w:pPr>
        <w:spacing w:after="120" w:line="276"/>
        <w:jc w:val="both"/>
      </w:pPr>
      <w:r>
        <w:rPr>
          <w:rFonts w:ascii="Barlow Semi Condensed" w:cs="Barlow Semi Condensed" w:eastAsia="Barlow Semi Condensed" w:hAnsi="Barlow Semi Condensed"/>
          <w:sz w:val="24"/>
          <w:szCs w:val="24"/>
        </w:rPr>
        <w:t xml:space="preserve">Ne discende una risultanza che vale oltre l'oggetto. Due servizi diversi guardarono la medesima istituzione in due Paesi confinanti e la classificarono in modo opposto: gli americani come componente di un governo alleato in Spagna, i portoghesi come minaccia interna da sorvegliare. La differenza non è nell'istituzione: è nel rapporto fra essa e i due poteri.</w:t>
      </w:r>
    </w:p>
    <w:p>
      <w:pPr>
        <w:spacing w:after="120" w:line="276"/>
        <w:jc w:val="both"/>
      </w:pPr>
      <w:r>
        <w:rPr>
          <w:rFonts w:ascii="Barlow Semi Condensed" w:cs="Barlow Semi Condensed" w:eastAsia="Barlow Semi Condensed" w:hAnsi="Barlow Semi Condensed"/>
          <w:sz w:val="24"/>
          <w:szCs w:val="24"/>
        </w:rPr>
        <w:t xml:space="preserve">Il limite tecnico va dichiarato. L'interfaccia di ricerca interna del readingroom non è stata interrogabile direttamente. Non si può escludere l'esistenza di un cablogramma non indicizzato o pesantemente espurgato; nulla è emerso su oltre dieci interrogazioni mirate, e questo è il grado di certezza raggiunto.</w:t>
      </w:r>
    </w:p>
    <w:p>
      <w:pPr>
        <w:pStyle w:val="Heading2"/>
        <w:spacing w:after="100" w:before="200"/>
      </w:pPr>
      <w:r>
        <w:rPr>
          <w:rFonts w:ascii="Barlow Semi Condensed" w:cs="Barlow Semi Condensed" w:eastAsia="Barlow Semi Condensed" w:hAnsi="Barlow Semi Condensed"/>
          <w:sz w:val="24"/>
          <w:szCs w:val="24"/>
        </w:rPr>
        <w:t xml:space="preserve">Capitolo decimo — Gli archivi e la misura dell'inesplorato</w:t>
      </w:r>
    </w:p>
    <w:p>
      <w:pPr>
        <w:spacing w:after="120" w:line="276"/>
        <w:jc w:val="both"/>
      </w:pPr>
      <w:r>
        <w:rPr>
          <w:rFonts w:ascii="Barlow Semi Condensed" w:cs="Barlow Semi Condensed" w:eastAsia="Barlow Semi Condensed" w:hAnsi="Barlow Semi Condensed"/>
          <w:sz w:val="24"/>
          <w:szCs w:val="24"/>
        </w:rPr>
        <w:t xml:space="preserve">Il capitolo ha funzione di strumento e registra dove andare, a quali condizioni, e quanto resti da vedere.</w:t>
      </w:r>
    </w:p>
    <w:p>
      <w:pPr>
        <w:spacing w:after="120" w:line="276"/>
        <w:jc w:val="both"/>
      </w:pPr>
      <w:r>
        <w:rPr>
          <w:rFonts w:ascii="Barlow Semi Condensed" w:cs="Barlow Semi Condensed" w:eastAsia="Barlow Semi Condensed" w:hAnsi="Barlow Semi Condensed"/>
          <w:sz w:val="24"/>
          <w:szCs w:val="24"/>
        </w:rPr>
        <w:t xml:space="preserve">L'Arquivo Nacional da Torre do Tombo. Accesso libero a chi abbia più di sedici anni, diciotto per talune richieste telematiche; la documentazione della polizia politica è soggetta a regolamento proprio ma consultabile su richiesta al servizio di riferimento. I fondi rilevanti sono il fondo PIDE-DGS, l'Arquivo Oliveira Salazar e l'Arquivo Marcello Caetano.</w:t>
      </w:r>
    </w:p>
    <w:p>
      <w:pPr>
        <w:spacing w:after="120" w:line="276"/>
        <w:jc w:val="both"/>
      </w:pPr>
      <w:r>
        <w:rPr>
          <w:rFonts w:ascii="Barlow Semi Condensed" w:cs="Barlow Semi Condensed" w:eastAsia="Barlow Semi Condensed" w:hAnsi="Barlow Semi Condensed"/>
          <w:sz w:val="24"/>
          <w:szCs w:val="24"/>
        </w:rPr>
        <w:t xml:space="preserve">La misura dell'inesplorato, ed è il dato che più colpisce di questo capitolo. Il capo divisione dell'archivio, Paulo Tremoceiro, ha dichiarato in un servizio radiofonico del 23 aprile 2019 che, per la propria esperienza quotidiana, metà della documentazione esistente nei depositi è ancora da consultare — pur essendo già numerata dai tecnici.</w:t>
      </w:r>
    </w:p>
    <w:p>
      <w:pPr>
        <w:spacing w:after="120" w:line="276"/>
        <w:jc w:val="both"/>
      </w:pPr>
      <w:r>
        <w:rPr>
          <w:rFonts w:ascii="Barlow Semi Condensed" w:cs="Barlow Semi Condensed" w:eastAsia="Barlow Semi Condensed" w:hAnsi="Barlow Semi Condensed"/>
          <w:sz w:val="24"/>
          <w:szCs w:val="24"/>
        </w:rPr>
        <w:t xml:space="preserve">Ne discende che il potenziale di reperimento è tuttora aperto in misura considerevole, e che un esito negativo ottenuto per via telematica su questo fondo ha valore molto limitato: si è cercato in un catalogo, non nei depositi.</w:t>
      </w:r>
    </w:p>
    <w:p>
      <w:pPr>
        <w:spacing w:after="120" w:line="276"/>
        <w:jc w:val="both"/>
      </w:pPr>
      <w:r>
        <w:rPr>
          <w:rFonts w:ascii="Barlow Semi Condensed" w:cs="Barlow Semi Condensed" w:eastAsia="Barlow Semi Condensed" w:hAnsi="Barlow Semi Condensed"/>
          <w:sz w:val="24"/>
          <w:szCs w:val="24"/>
        </w:rPr>
        <w:t xml:space="preserve">L'Arquivo Histórico-Diplomático del ministero portoghese è accessibile e descritto attraverso l'Istituto Diplomatico, con serie sulle relazioni diplomatiche dal 1640.</w:t>
      </w:r>
    </w:p>
    <w:p>
      <w:pPr>
        <w:spacing w:after="120" w:line="276"/>
        <w:jc w:val="both"/>
      </w:pPr>
      <w:r>
        <w:rPr>
          <w:rFonts w:ascii="Barlow Semi Condensed" w:cs="Barlow Semi Condensed" w:eastAsia="Barlow Semi Condensed" w:hAnsi="Barlow Semi Condensed"/>
          <w:sz w:val="24"/>
          <w:szCs w:val="24"/>
        </w:rPr>
        <w:t xml:space="preserve">Gli archivi dell'istituzione — l'Archivio Generale della Prelatura a Roma e la Biblioteca dell'Università di Navarra — sono ad accesso ristretto e mediato dall'Istituto Storico intitolato al fondatore, il quale ha però promosso l'edizione critica e monografie fondate su diari e corrispondenza interni, fra cui l'opera di Onésimo Díaz \</w:t>
      </w:r>
      <w:r>
        <w:rPr>
          <w:rFonts w:ascii="Barlow Semi Condensed" w:cs="Barlow Semi Condensed" w:eastAsia="Barlow Semi Condensed" w:hAnsi="Barlow Semi Condensed"/>
          <w:i/>
          <w:iCs/>
          <w:sz w:val="24"/>
          <w:szCs w:val="24"/>
        </w:rPr>
        <w:t xml:space="preserve">Expansión: El desarrollo del Opus Dei entre los años 1940 y 1945\</w:t>
      </w:r>
      <w:r>
        <w:rPr>
          <w:rFonts w:ascii="Barlow Semi Condensed" w:cs="Barlow Semi Condensed" w:eastAsia="Barlow Semi Condensed" w:hAnsi="Barlow Semi Condensed"/>
          <w:sz w:val="24"/>
          <w:szCs w:val="24"/>
        </w:rPr>
        <w:t xml:space="preserve">, Madrid, Rialp, 2020, che è la fonte della cronologia dell'insediamento.</w:t>
      </w:r>
    </w:p>
    <w:p>
      <w:pPr>
        <w:spacing w:after="120" w:line="276"/>
        <w:jc w:val="both"/>
      </w:pPr>
      <w:r>
        <w:rPr>
          <w:rFonts w:ascii="Barlow Semi Condensed" w:cs="Barlow Semi Condensed" w:eastAsia="Barlow Semi Condensed" w:hAnsi="Barlow Semi Condensed"/>
          <w:sz w:val="24"/>
          <w:szCs w:val="24"/>
        </w:rPr>
        <w:t xml:space="preserve">L'Archivio Storico Diplomatico italiano conserva la serie Portogallo per il 1969-1974, non ancora spogliata ai fini di questa ricerca.</w:t>
      </w:r>
    </w:p>
    <w:p>
      <w:pPr>
        <w:spacing w:after="120" w:line="276"/>
        <w:jc w:val="both"/>
      </w:pPr>
      <w:r>
        <w:rPr>
          <w:rFonts w:ascii="Barlow Semi Condensed" w:cs="Barlow Semi Condensed" w:eastAsia="Barlow Semi Condensed" w:hAnsi="Barlow Semi Condensed"/>
          <w:sz w:val="24"/>
          <w:szCs w:val="24"/>
        </w:rPr>
        <w:t xml:space="preserve">Un'osservazione di metodo che le sei ricognizioni hanno consolidato. Il fondo della polizia politica portoghese si aprì in conseguenza della caduta del regime che lo teneva chiuso. Il progetto ha registrato altrove, come regolarità empirica, che nessun archivio di apparato di sicurezza si è mai aperto volontariamente. Il caso portoghese ne è l'esempio più netto, e il fatto che metà di esso sia ancora da leggere dopo cinquant'anni aggiunge un corollario: l'apertura di un archivio non equivale alla sua lettura.</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ridotte a un solo nodo</w:t>
      </w:r>
    </w:p>
    <w:p>
      <w:pPr>
        <w:spacing w:after="120" w:line="276"/>
        <w:jc w:val="both"/>
      </w:pPr>
      <w:r>
        <w:rPr>
          <w:rFonts w:ascii="Barlow Semi Condensed" w:cs="Barlow Semi Condensed" w:eastAsia="Barlow Semi Condensed" w:hAnsi="Barlow Semi Condensed"/>
          <w:sz w:val="24"/>
          <w:szCs w:val="24"/>
        </w:rPr>
        <w:t xml:space="preserve">Il capitolo applica ai quattro assi la disciplina dei gradi, e ne registra l'esito che è di riduzione.</w:t>
      </w:r>
    </w:p>
    <w:p>
      <w:pPr>
        <w:spacing w:after="120" w:line="276"/>
        <w:jc w:val="both"/>
      </w:pPr>
      <w:r>
        <w:rPr>
          <w:rFonts w:ascii="Barlow Semi Condensed" w:cs="Barlow Semi Condensed" w:eastAsia="Barlow Semi Condensed" w:hAnsi="Barlow Semi Condensed"/>
          <w:sz w:val="24"/>
          <w:szCs w:val="24"/>
        </w:rPr>
        <w:t xml:space="preserve">Primo asse: Moro e l'Opus Dei. Nessun punto di contatto documentato. La triangolazione non esiste sul piano delle fonti, e la contemporaneità fra il ministero di Moro e la fase spagnola dei ministri dell'istituzione non stabilisce nulla.</w:t>
      </w:r>
    </w:p>
    <w:p>
      <w:pPr>
        <w:spacing w:after="120" w:line="276"/>
        <w:jc w:val="both"/>
      </w:pPr>
      <w:r>
        <w:rPr>
          <w:rFonts w:ascii="Barlow Semi Condensed" w:cs="Barlow Semi Condensed" w:eastAsia="Barlow Semi Condensed" w:hAnsi="Barlow Semi Condensed"/>
          <w:sz w:val="24"/>
          <w:szCs w:val="24"/>
        </w:rPr>
        <w:t xml:space="preserve">Secondo asse: Moro e il Portogallo.\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Soltanto cornice diplomatica generale, senza documenti specifici reperiti.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Ciò che non si stabilisce è qualunque iniziativa morotea mirata al Portogallo.</w:t>
      </w:r>
    </w:p>
    <w:p>
      <w:pPr>
        <w:spacing w:after="120" w:line="276"/>
        <w:jc w:val="both"/>
      </w:pPr>
      <w:r>
        <w:rPr>
          <w:rFonts w:ascii="Barlow Semi Condensed" w:cs="Barlow Semi Condensed" w:eastAsia="Barlow Semi Condensed" w:hAnsi="Barlow Semi Condensed"/>
          <w:sz w:val="24"/>
          <w:szCs w:val="24"/>
        </w:rPr>
        <w:t xml:space="preserve">Terzo asse: l'Opus Dei e il Portogallo. Contatto documentato con la gerarchia — rapporti dapprima tesi e poi ricomposti nel 1972 con il cardinale patriarca, e con il successore dal 1971 — e sorveglianza poliziesca documentata dai fondi archivistici. Ciò che tale documentazione non stabilisce è una condotta politica effettiva dell'ente, restando essa prova di sospetto e non di azione.</w:t>
      </w:r>
    </w:p>
    <w:p>
      <w:pPr>
        <w:spacing w:after="120" w:line="276"/>
        <w:jc w:val="both"/>
      </w:pPr>
      <w:r>
        <w:rPr>
          <w:rFonts w:ascii="Barlow Semi Condensed" w:cs="Barlow Semi Condensed" w:eastAsia="Barlow Semi Condensed" w:hAnsi="Barlow Semi Condensed"/>
          <w:sz w:val="24"/>
          <w:szCs w:val="24"/>
        </w:rPr>
        <w:t xml:space="preserve">Quarto asse: il confronto col caso spagnolo. Comunanza di ambiente istituzionale cattolico ma divergenza netta di esito politico. E qui va detta una cosa che vale come correzione di impostazione: una divergenza non è una triangolazione. Due esiti opposti nel medesimo ambiente non collegano i due casi: li distinguono.</w:t>
      </w:r>
    </w:p>
    <w:p>
      <w:pPr>
        <w:spacing w:after="120" w:line="276"/>
        <w:jc w:val="both"/>
      </w:pPr>
      <w:r>
        <w:rPr>
          <w:rFonts w:ascii="Barlow Semi Condensed" w:cs="Barlow Semi Condensed" w:eastAsia="Barlow Semi Condensed" w:hAnsi="Barlow Semi Condensed"/>
          <w:sz w:val="24"/>
          <w:szCs w:val="24"/>
        </w:rPr>
        <w:t xml:space="preserve">Il solo nodo comune reale è la mediazione della Santa Sede. Paolo VI mediò per il riconoscimento dell'istituzione nel 1947; e la Santa Sede fu interlocutrice tanto del Portogallo — Concordato e Accordo missionario del 7 maggio 1940, Protocollo addizionale del 15 febbraio 1975 firmato da Villot e Salgado Zenha, già acquisiti nelle ricognizioni anteriori — quanto dell'Italia concordataria.</w:t>
      </w:r>
    </w:p>
    <w:p>
      <w:pPr>
        <w:spacing w:after="120" w:line="276"/>
        <w:jc w:val="both"/>
      </w:pPr>
      <w:r>
        <w:rPr>
          <w:rFonts w:ascii="Barlow Semi Condensed" w:cs="Barlow Semi Condensed" w:eastAsia="Barlow Semi Condensed" w:hAnsi="Barlow Semi Condensed"/>
          <w:sz w:val="24"/>
          <w:szCs w:val="24"/>
        </w:rPr>
        <w:t xml:space="preserve">Ma anche questo nodo va qualificato per quello che è: comunanza di interlocutore, non convergenza di obiettivo documentata fra Moro e l'Opus Dei. Che due soggetti si rivolgano al medesimo terzo non li mette in rapporto fra loro.</w:t>
      </w:r>
    </w:p>
    <w:p>
      <w:pPr>
        <w:spacing w:after="120" w:line="276"/>
        <w:jc w:val="both"/>
      </w:pPr>
      <w:r>
        <w:rPr>
          <w:rFonts w:ascii="Barlow Semi Condensed" w:cs="Barlow Semi Condensed" w:eastAsia="Barlow Semi Condensed" w:hAnsi="Barlow Semi Condensed"/>
          <w:sz w:val="24"/>
          <w:szCs w:val="24"/>
        </w:rPr>
        <w:t xml:space="preserve">La risultanza generale del capitolo. Nessuna delle triangolazioni esaminate stabilisce un nesso operativo fra l'azione diplomatica di Moro, la vicenda portoghese e l'Opus Dei. La contemporaneità cronologica, qui come nelle cinque ricognizioni anteriori, non prova alcun legame.</w:t>
      </w:r>
    </w:p>
    <w:p>
      <w:pPr>
        <w:spacing w:after="120" w:line="276"/>
        <w:jc w:val="both"/>
      </w:pPr>
      <w:r>
        <w:rPr>
          <w:rFonts w:ascii="Barlow Semi Condensed" w:cs="Barlow Semi Condensed" w:eastAsia="Barlow Semi Condensed" w:hAnsi="Barlow Semi Condensed"/>
          <w:sz w:val="24"/>
          <w:szCs w:val="24"/>
        </w:rPr>
        <w:t xml:space="preserve">E una constatazione sul metodo, che le sei ricognizioni consegnano insieme. Ogni volta che si è cercata una triangolazione a tre termini, essa si è ridotta a due — o a uno. Le triangolazioni vere sono rare, e la loro rarità è la ragione per cui vale la pena cercarle: se fossero frequenti, non discriminerebbero fra le ipotesi.</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delle sei ricognizioni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 con la soglia che modificherebbe la valutazione.</w:t>
      </w:r>
    </w:p>
    <w:p>
      <w:pPr>
        <w:spacing w:after="120" w:line="276"/>
        <w:jc w:val="both"/>
      </w:pPr>
      <w:r>
        <w:rPr>
          <w:rFonts w:ascii="Barlow Semi Condensed" w:cs="Barlow Semi Condensed" w:eastAsia="Barlow Semi Condensed" w:hAnsi="Barlow Semi Condensed"/>
          <w:sz w:val="24"/>
          <w:szCs w:val="24"/>
        </w:rPr>
        <w:t xml:space="preserve">Prima voce. Le carte diplomatiche italiane su Moro e il Portogallo: Archivio Storico Diplomatico della Farnesina, serie Portogallo 1969-1974, telespressi dell'ambasciata di Lisbona e appunti della Direzione generale affari politici. Soglia: il rinvenimento anche di un solo documento firmato o siglato da Moro sul Portogallo trasformerebbe lo Stato Zero del Capitolo settimo in accertamento.</w:t>
      </w:r>
    </w:p>
    <w:p>
      <w:pPr>
        <w:spacing w:after="120" w:line="276"/>
        <w:jc w:val="both"/>
      </w:pPr>
      <w:r>
        <w:rPr>
          <w:rFonts w:ascii="Barlow Semi Condensed" w:cs="Barlow Semi Condensed" w:eastAsia="Barlow Semi Condensed" w:hAnsi="Barlow Semi Condensed"/>
          <w:sz w:val="24"/>
          <w:szCs w:val="24"/>
        </w:rPr>
        <w:t xml:space="preserve">Seconda voce. I fascicoli originali della polizia politica sull'Opus Dei — la nota del 1961, i rapporti del settembre 1963 e del gennaio 1964 — presso la Torre do Tombo, per verificare autonomamente le citazioni della pubblicistica e distinguere il testo primario dalla parafrasi giornalistica. Soglia: la conferma verbatim della frase del rapporto del 1963 e dei nomi annotati. Condizione: richiesta al servizio di riferimento e vaglio del regolamento speciale.</w:t>
      </w:r>
    </w:p>
    <w:p>
      <w:pPr>
        <w:spacing w:after="120" w:line="276"/>
        <w:jc w:val="both"/>
      </w:pPr>
      <w:r>
        <w:rPr>
          <w:rFonts w:ascii="Barlow Semi Condensed" w:cs="Barlow Semi Condensed" w:eastAsia="Barlow Semi Condensed" w:hAnsi="Barlow Semi Condensed"/>
          <w:sz w:val="24"/>
          <w:szCs w:val="24"/>
        </w:rPr>
        <w:t xml:space="preserve">Terza voce. La posizione dell'ente come istituzione sulle guerre coloniali: Archivio Generale della Prelatura a Roma e fondi diocesani portoghesi. Soglia: reperimento di un documento istituzionale, non di una testimonianza individuale.</w:t>
      </w:r>
    </w:p>
    <w:p>
      <w:pPr>
        <w:spacing w:after="120" w:line="276"/>
        <w:jc w:val="both"/>
      </w:pPr>
      <w:r>
        <w:rPr>
          <w:rFonts w:ascii="Barlow Semi Condensed" w:cs="Barlow Semi Condensed" w:eastAsia="Barlow Semi Condensed" w:hAnsi="Barlow Semi Condensed"/>
          <w:sz w:val="24"/>
          <w:szCs w:val="24"/>
        </w:rPr>
        <w:t xml:space="preserve">Quarta voce. Lo spoglio integrale dell'Archivio Aldo Moro e della Fondazione, per la chiusura definitiva dello Stato Zero del Capitolo ottavo.</w:t>
      </w:r>
    </w:p>
    <w:p>
      <w:pPr>
        <w:spacing w:after="120" w:line="276"/>
        <w:jc w:val="both"/>
      </w:pPr>
      <w:r>
        <w:rPr>
          <w:rFonts w:ascii="Barlow Semi Condensed" w:cs="Barlow Semi Condensed" w:eastAsia="Barlow Semi Condensed" w:hAnsi="Barlow Semi Condensed"/>
          <w:sz w:val="24"/>
          <w:szCs w:val="24"/>
        </w:rPr>
        <w:t xml:space="preserve">Quinta voce. L'eventuale documento statunitense non indicizzato che menzioni Opus Dei e Portogallo: interrogazione diretta dell'indice interno del readingroom e richiesta di accesso mirata.</w:t>
      </w:r>
    </w:p>
    <w:p>
      <w:pPr>
        <w:pStyle w:val="Heading2"/>
        <w:spacing w:after="100" w:before="200"/>
      </w:pPr>
      <w:r>
        <w:rPr>
          <w:rFonts w:ascii="Barlow Semi Condensed" w:cs="Barlow Semi Condensed" w:eastAsia="Barlow Semi Condensed" w:hAnsi="Barlow Semi Condensed"/>
          <w:sz w:val="24"/>
          <w:szCs w:val="24"/>
        </w:rPr>
        <w:t xml:space="preserve">Nota sul bilancio delle sei ricognizioni, che chiude questo studio.</w:t>
      </w:r>
    </w:p>
    <w:p>
      <w:pPr>
        <w:spacing w:after="120" w:line="276"/>
        <w:jc w:val="both"/>
      </w:pPr>
      <w:r>
        <w:rPr>
          <w:rFonts w:ascii="Barlow Semi Condensed" w:cs="Barlow Semi Condensed" w:eastAsia="Barlow Semi Condensed" w:hAnsi="Barlow Semi Condensed"/>
          <w:sz w:val="24"/>
          <w:szCs w:val="24"/>
        </w:rPr>
        <w:t xml:space="preserve">Sei ricognizioni hanno percorso l'attività ministeriale di Moro verso quattro oggetti: la Spagna, la Santa Sede, l'Opus Dei nel contesto spagnolo, il Portogallo con la Santa Sede, il Portogallo con l'Opus Dei.</w:t>
      </w:r>
    </w:p>
    <w:p>
      <w:pPr>
        <w:spacing w:after="120" w:line="276"/>
        <w:jc w:val="both"/>
      </w:pPr>
      <w:r>
        <w:rPr>
          <w:rFonts w:ascii="Barlow Semi Condensed" w:cs="Barlow Semi Condensed" w:eastAsia="Barlow Semi Condensed" w:hAnsi="Barlow Semi Condensed"/>
          <w:sz w:val="24"/>
          <w:szCs w:val="24"/>
        </w:rPr>
        <w:t xml:space="preserve">L'esito costante è che il governo italiano non compare. Verso Madrid: nessuna iniziativa documentata. Verso Lisbona: nessun atto reperito, nemmeno sull'espulsione di nove propri cittadini. Verso l'Opus Dei: nessun contatto documentato, in nessuno dei due perimetri iberici.</w:t>
      </w:r>
    </w:p>
    <w:p>
      <w:pPr>
        <w:spacing w:after="120" w:line="276"/>
        <w:jc w:val="both"/>
      </w:pPr>
      <w:r>
        <w:rPr>
          <w:rFonts w:ascii="Barlow Semi Condensed" w:cs="Barlow Semi Condensed" w:eastAsia="Barlow Semi Condensed" w:hAnsi="Barlow Semi Condensed"/>
          <w:sz w:val="24"/>
          <w:szCs w:val="24"/>
        </w:rPr>
        <w:t xml:space="preserve">E ciò che compare, ogni volta, sono soggetti diversi dallo Stato. La società civile italiana di sinistra e gli enti locali, per la conferenza romana del 1970. Le congregazioni religiose, per la denuncia coloniale e per l'espulsione. La Santa Sede, per l'udienza pontificia e per gli atti concordatari. La polizia politica portoghese, per la sorveglianza dell'Opus Dei.</w:t>
      </w:r>
    </w:p>
    <w:p>
      <w:pPr>
        <w:spacing w:after="120" w:line="276"/>
        <w:jc w:val="both"/>
      </w:pPr>
      <w:r>
        <w:rPr>
          <w:rFonts w:ascii="Barlow Semi Condensed" w:cs="Barlow Semi Condensed" w:eastAsia="Barlow Semi Condensed" w:hAnsi="Barlow Semi Condensed"/>
          <w:sz w:val="24"/>
          <w:szCs w:val="24"/>
        </w:rPr>
        <w:t xml:space="preserve">Ne discende la constatazione conclusiva, che le sei ricognizioni hanno prodotto insieme e che nessuna di esse avrebbe prodotto da sola. Dove agiscono soggetti che tengono archivio e che pubblicano — congregazioni, riviste missionarie, apparati di polizia, cancellerie ecclesiastiche — resta traccia anche a mezzo secolo di distanza. Dove agiscono i governi, e i loro archivi non sono accessibili o non sono indicizzati, non resta nulla.</w:t>
      </w:r>
    </w:p>
    <w:p>
      <w:pPr>
        <w:spacing w:after="120" w:line="276"/>
        <w:jc w:val="both"/>
      </w:pPr>
      <w:r>
        <w:rPr>
          <w:rFonts w:ascii="Barlow Semi Condensed" w:cs="Barlow Semi Condensed" w:eastAsia="Barlow Semi Condensed" w:hAnsi="Barlow Semi Condensed"/>
          <w:sz w:val="24"/>
          <w:szCs w:val="24"/>
        </w:rPr>
        <w:t xml:space="preserve">E l'assenza di traccia non va confusa con l'assenza dell'atto. È la sola lezione che sei ricognizioni consegnano con certezza, e la si consegna come tale.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VII · Aldo Moro Alla Farnesina, Il Portogallo E L'Opus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 4.786 parole in 9 sezioni; la più ampia è §9 Altre sezioni, con 3.883.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 109 paragrafi in 9 sezioni, 12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VIII — Aldo Moro Alla Farnesina, La Turchia E La Santa Sede</w:t>
      </w:r>
    </w:p>
    <w:p>
      <w:pPr>
        <w:pStyle w:val="Heading1"/>
        <w:spacing w:after="120" w:before="240"/>
      </w:pPr>
      <w:r>
        <w:rPr>
          <w:rFonts w:ascii="Barlow Semi Condensed" w:cs="Barlow Semi Condensed" w:eastAsia="Barlow Semi Condensed" w:hAnsi="Barlow Semi Condensed"/>
          <w:sz w:val="24"/>
          <w:szCs w:val="24"/>
        </w:rPr>
        <w:t xml:space="preserve">ALDO MORO ALLA FARNESINA, LA TURCHIA E LA SANTA SEDE</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../originali/santa-sede-turchia-attentato-giovanni-paolo-ii.md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23,5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Settima ricognizione: l'attentato del 13 maggio 1981</w:t>
      </w:r>
    </w:p>
    <w:p>
      <w:pPr>
        <w:pStyle w:val="Heading2"/>
        <w:spacing w:after="100" w:before="200"/>
      </w:pPr>
      <w:r>
        <w:rPr>
          <w:rFonts w:ascii="Barlow Semi Condensed" w:cs="Barlow Semi Condensed" w:eastAsia="Barlow Semi Condensed" w:hAnsi="Barlow Semi Condensed"/>
          <w:sz w:val="24"/>
          <w:szCs w:val="24"/>
        </w:rPr>
        <w:t xml:space="preserve">La pista bulgara non provata e la convergenza di due apparati</w:t>
      </w:r>
    </w:p>
    <w:p>
      <w:pPr>
        <w:pStyle w:val="Heading2"/>
        <w:spacing w:after="100" w:before="200"/>
      </w:pPr>
      <w:r>
        <w:rPr>
          <w:rFonts w:ascii="Barlow Semi Condensed" w:cs="Barlow Semi Condensed" w:eastAsia="Barlow Semi Condensed" w:hAnsi="Barlow Semi Condensed"/>
          <w:sz w:val="24"/>
          <w:szCs w:val="24"/>
        </w:rPr>
        <w:t xml:space="preserve">Dodici Capitoli — quattro triangolazioni — sette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Il limite strutturale, enunciato per primo</w:t>
      </w:r>
    </w:p>
    <w:p>
      <w:pPr>
        <w:spacing w:after="120" w:line="276"/>
        <w:jc w:val="both"/>
      </w:pPr>
      <w:r>
        <w:rPr>
          <w:rFonts w:ascii="Barlow Semi Condensed" w:cs="Barlow Semi Condensed" w:eastAsia="Barlow Semi Condensed" w:hAnsi="Barlow Semi Condensed"/>
          <w:sz w:val="24"/>
          <w:szCs w:val="24"/>
        </w:rPr>
        <w:t xml:space="preserve">È la settima ricognizione sull'attività ministeriale di Aldo Moro e la seconda sul perimetro turco. La prima aveva incrociato la Turchia con l'Opus Dei e prodotto uno Stato Zero; la presente vi sostituisce il Vaticano e produce, per la prima volta nell'intera serie, un accertamento che conviene enunciare prima di ogni altra cosa perché governa i dodici capitoli e vale oltre il loro oggetto.</w:t>
      </w:r>
    </w:p>
    <w:p>
      <w:pPr>
        <w:spacing w:after="120" w:line="276"/>
        <w:jc w:val="both"/>
      </w:pPr>
      <w:r>
        <w:rPr>
          <w:rFonts w:ascii="Barlow Semi Condensed" w:cs="Barlow Semi Condensed" w:eastAsia="Barlow Semi Condensed" w:hAnsi="Barlow Semi Condensed"/>
          <w:sz w:val="24"/>
          <w:szCs w:val="24"/>
        </w:rPr>
        <w:t xml:space="preserve">L'Archivio Apostolico Vaticano è consultabile soltanto fino all'ottobre 1958, data della morte di Pio XII, il cui pontificato è stato aperto alla consultazione a partire dal marzo 2020. Ne consegue che i pontificati di Giovanni XXIII, Paolo VI e Giovanni Paolo II non sono aperti, e con essi l'intera documentazione vaticana relativa alle relazioni diplomatiche con la Turchia dal 1960, al dialogo cattolico-ortodosso posteriore al Concilio, alla partecipazione alla Conferenza per la sicurezza e la cooperazione in Europa, e all'attentato del 1981.</w:t>
      </w:r>
    </w:p>
    <w:p>
      <w:pPr>
        <w:spacing w:after="120" w:line="276"/>
        <w:jc w:val="both"/>
      </w:pPr>
      <w:r>
        <w:rPr>
          <w:rFonts w:ascii="Barlow Semi Condensed" w:cs="Barlow Semi Condensed" w:eastAsia="Barlow Semi Condensed" w:hAnsi="Barlow Semi Condensed"/>
          <w:sz w:val="24"/>
          <w:szCs w:val="24"/>
        </w:rPr>
        <w:t xml:space="preserve">Questo non è un esito della ricerca: è una condizione della ricerca. Non si tratta di documenti non reperiti, ma di documenti che per chiunque, oggi, sono inaccessibili. La differenza è di natura e non di grado, e va scritta perché nelle sei ricognizioni anteriori gli Stati Zero erano tutti riconducibili a limiti di strumento o di spoglio; qui il limite è istituzionale e insuperabile allo stato.</w:t>
      </w:r>
    </w:p>
    <w:p>
      <w:pPr>
        <w:spacing w:after="120" w:line="276"/>
        <w:jc w:val="both"/>
      </w:pPr>
      <w:r>
        <w:rPr>
          <w:rFonts w:ascii="Barlow Semi Condensed" w:cs="Barlow Semi Condensed" w:eastAsia="Barlow Semi Condensed" w:hAnsi="Barlow Semi Condensed"/>
          <w:sz w:val="24"/>
          <w:szCs w:val="24"/>
        </w:rPr>
        <w:t xml:space="preserve">Va aggiunto un dato che aggrava il quadro sul versante roncalliano. Anche la documentazione del quinquennio 1940-1945, relativa all'azione di Angelo Roncalli in Turchia durante la guerra, non risulta pienamente consultabile, come segnalato da Rinaldo Marmara, che ne ha avviato la catalogazione.</w:t>
      </w:r>
    </w:p>
    <w:p>
      <w:pPr>
        <w:spacing w:after="120" w:line="276"/>
        <w:jc w:val="both"/>
      </w:pPr>
      <w:r>
        <w:rPr>
          <w:rFonts w:ascii="Barlow Semi Condensed" w:cs="Barlow Semi Condensed" w:eastAsia="Barlow Semi Condensed" w:hAnsi="Barlow Semi Condensed"/>
          <w:sz w:val="24"/>
          <w:szCs w:val="24"/>
        </w:rPr>
        <w:t xml:space="preserve">L'oggetto prioritario di questa ricognizione è l'attentato del 13 maggio 1981 a Giovanni Paolo II, in quanto nodo che collega la Turchia al Vaticano in modo più diretto e documentato di ogni altro elemento della serie. Esso cade fuori dal mandato ministeriale di Moro, morto nel 1978; ma appartiene di pieno diritto al perimetro del progetto, che dispone già di materiale proprio su questa materia.</w:t>
      </w:r>
    </w:p>
    <w:p>
      <w:pPr>
        <w:spacing w:after="120" w:line="276"/>
        <w:jc w:val="both"/>
      </w:pPr>
      <w:r>
        <w:rPr>
          <w:rFonts w:ascii="Barlow Semi Condensed" w:cs="Barlow Semi Condensed" w:eastAsia="Barlow Semi Condensed" w:hAnsi="Barlow Semi Condensed"/>
          <w:sz w:val="24"/>
          <w:szCs w:val="24"/>
        </w:rPr>
        <w:t xml:space="preserve">Sulla disciplina, che in questo capitolo è più stringente che in ogni altro dei sette studi. La cosiddetta pista bulgara non fu giudizialmente provata, e viene qualificata come tale ogni volta che sia menzionata. Le dichiarazioni successive di Mehmet Ali Ağca — vivente — ripetutamente contraddittorie e ritrattate, sono trattate come fatti pubblici, cioè come circostanza che egli le abbia rese, e non come fonti sul merito. L'appartenenza di una persona a un'organizzazione non è prova di una condotta dell'organizzazione, e ciò vale in modo assoluto per i Lupi Grigi e per i servizi di sicurezza di ogni Paese menzionato.</w:t>
      </w:r>
    </w:p>
    <w:p>
      <w:pPr>
        <w:spacing w:after="120" w:line="276"/>
        <w:jc w:val="both"/>
      </w:pPr>
      <w:r>
        <w:rPr>
          <w:rFonts w:ascii="Barlow Semi Condensed" w:cs="Barlow Semi Condensed" w:eastAsia="Barlow Semi Condensed" w:hAnsi="Barlow Semi Condensed"/>
          <w:sz w:val="24"/>
          <w:szCs w:val="24"/>
        </w:rPr>
        <w:t xml:space="preserve">Sulla misura. Come nelle sei ricognizioni anteriori si adotta la proporzionalità. I capitoli terzo, quarto e quinto sono i più fitti perché la materia giudiziaria e desecretata è abbondante; il secondo e il decimo dichiarano Stati Zero e si chiudono dove il materiale finisce.</w:t>
      </w:r>
    </w:p>
    <w:p>
      <w:pPr>
        <w:pStyle w:val="Heading2"/>
        <w:spacing w:after="100" w:before="200"/>
      </w:pPr>
      <w:r>
        <w:rPr>
          <w:rFonts w:ascii="Barlow Semi Condensed" w:cs="Barlow Semi Condensed" w:eastAsia="Barlow Semi Condensed" w:hAnsi="Barlow Semi Condensed"/>
          <w:sz w:val="24"/>
          <w:szCs w:val="24"/>
        </w:rPr>
        <w:t xml:space="preserve">Capitolo secondo — Moro, la Turchia e la questione confessionale: Stato Zero</w:t>
      </w:r>
    </w:p>
    <w:p>
      <w:pPr>
        <w:spacing w:after="120" w:line="276"/>
        <w:jc w:val="both"/>
      </w:pPr>
      <w:r>
        <w:rPr>
          <w:rFonts w:ascii="Barlow Semi Condensed" w:cs="Barlow Semi Condensed" w:eastAsia="Barlow Semi Condensed" w:hAnsi="Barlow Semi Condensed"/>
          <w:sz w:val="24"/>
          <w:szCs w:val="24"/>
        </w:rPr>
        <w:t xml:space="preserve">Il capitolo è breve e la brevità è la risultanza. Diluirlo con generalità sarebbe scorretto, e lo si dichiara.</w:t>
      </w:r>
    </w:p>
    <w:p>
      <w:pPr>
        <w:spacing w:after="120" w:line="276"/>
        <w:jc w:val="both"/>
      </w:pPr>
      <w:r>
        <w:rPr>
          <w:rFonts w:ascii="Barlow Semi Condensed" w:cs="Barlow Semi Condensed" w:eastAsia="Barlow Semi Condensed" w:hAnsi="Barlow Semi Condensed"/>
          <w:sz w:val="24"/>
          <w:szCs w:val="24"/>
        </w:rPr>
        <w:t xml:space="preserve">Che cosa è accertato sulla collocazione. Moro tenne la Farnesina dal 5 agosto 1969 al 26 giugno 1972 e dal 7 luglio 1973 al 23 novembre 1974. La collocazione della Turchia nella sua politica estera è, secondo la storiografia, comunitaria e mediterranea e non confessionale: il capitolo di riferimento di Federico Imperato nel volume curato con Rosario Milano e Luciano Monzali, \</w:t>
      </w:r>
      <w:r>
        <w:rPr>
          <w:rFonts w:ascii="Barlow Semi Condensed" w:cs="Barlow Semi Condensed" w:eastAsia="Barlow Semi Condensed" w:hAnsi="Barlow Semi Condensed"/>
          <w:i/>
          <w:iCs/>
          <w:sz w:val="24"/>
          <w:szCs w:val="24"/>
        </w:rPr>
        <w:t xml:space="preserve">Fra diplomazia e petrolio\</w:t>
      </w:r>
      <w:r>
        <w:rPr>
          <w:rFonts w:ascii="Barlow Semi Condensed" w:cs="Barlow Semi Condensed" w:eastAsia="Barlow Semi Condensed" w:hAnsi="Barlow Semi Condensed"/>
          <w:sz w:val="24"/>
          <w:szCs w:val="24"/>
        </w:rPr>
        <w:t xml:space="preserve">, Cacucci, Bari 2018, è intitolato \</w:t>
      </w:r>
      <w:r>
        <w:rPr>
          <w:rFonts w:ascii="Barlow Semi Condensed" w:cs="Barlow Semi Condensed" w:eastAsia="Barlow Semi Condensed" w:hAnsi="Barlow Semi Condensed"/>
          <w:i/>
          <w:iCs/>
          <w:sz w:val="24"/>
          <w:szCs w:val="24"/>
        </w:rPr>
        <w:t xml:space="preserve">Un aspetto della politica mediterranea dell'Italia: le relazioni con la Turchia, 1946-1974\</w:t>
      </w:r>
      <w:r>
        <w:rPr>
          <w:rFonts w:ascii="Barlow Semi Condensed" w:cs="Barlow Semi Condensed" w:eastAsia="Barlow Semi Condensed" w:hAnsi="Barlow Semi Condensed"/>
          <w:sz w:val="24"/>
          <w:szCs w:val="24"/>
        </w:rPr>
        <w:t xml:space="preserve">, alle pagine 119-154, e colloca il rapporto italo-turco nella proiezione mediterranea dell'Italia repubblicana.</w:t>
      </w:r>
    </w:p>
    <w:p>
      <w:pPr>
        <w:spacing w:after="120" w:line="276"/>
        <w:jc w:val="both"/>
      </w:pPr>
      <w:r>
        <w:rPr>
          <w:rFonts w:ascii="Barlow Semi Condensed" w:cs="Barlow Semi Condensed" w:eastAsia="Barlow Semi Condensed" w:hAnsi="Barlow Semi Condensed"/>
          <w:sz w:val="24"/>
          <w:szCs w:val="24"/>
        </w:rPr>
        <w:t xml:space="preserve">Il dato istituzionale più solido, già acquisito nella ricognizione anteriore, resta la firma di Moro a nome del Consiglio delle Comunità europee dell'Accordo provvisorio CEE-Turchia del 27 luglio 1971, attestata dal preambolo del Regolamento CEE 1842/71 che lo nomina insieme a Franco Maria Malfatti presidente della Commissione, con Osman Olcay per la Turchia.</w:t>
      </w:r>
    </w:p>
    <w:p>
      <w:pPr>
        <w:spacing w:after="120" w:line="276"/>
        <w:jc w:val="both"/>
      </w:pPr>
      <w:r>
        <w:rPr>
          <w:rFonts w:ascii="Barlow Semi Condensed" w:cs="Barlow Semi Condensed" w:eastAsia="Barlow Semi Condensed" w:hAnsi="Barlow Semi Condensed"/>
          <w:sz w:val="24"/>
          <w:szCs w:val="24"/>
        </w:rPr>
        <w:t xml:space="preserve">Che cosa la ricerca non ha trovato, ed è il punto del capitolo. Nessuna presa di posizione documentata di Moro, o della Farnesina sotto la sua guida, sulla condizione delle minoranze cristiane in Turchia, sulla chiusura della Scuola teologica di Halki del 1971, o sullo statuto del Patriarcato ecumenico. Nessuna traccia di contatti fra la Farnesina e la Segreteria di Stato su tali materie.</w:t>
      </w:r>
    </w:p>
    <w:p>
      <w:pPr>
        <w:spacing w:after="120" w:line="276"/>
        <w:jc w:val="both"/>
      </w:pPr>
      <w:r>
        <w:rPr>
          <w:rFonts w:ascii="Barlow Semi Condensed" w:cs="Barlow Semi Condensed" w:eastAsia="Barlow Semi Condensed" w:hAnsi="Barlow Semi Condensed"/>
          <w:sz w:val="24"/>
          <w:szCs w:val="24"/>
        </w:rPr>
        <w:t xml:space="preserve">La sede di accertamento è l'Archivio Storico Diplomatico del Ministero degli Affari Esteri, serie Turchia e serie Santa Sede 1969-1975, con l'avvertenza già accertata dell'esclusione temporanea dei Telegrammi 1942-1970 per lavori di ristrutturazione.</w:t>
      </w:r>
    </w:p>
    <w:p>
      <w:pPr>
        <w:spacing w:after="120" w:line="276"/>
        <w:jc w:val="both"/>
      </w:pPr>
      <w:r>
        <w:rPr>
          <w:rFonts w:ascii="Barlow Semi Condensed" w:cs="Barlow Semi Condensed" w:eastAsia="Barlow Semi Condensed" w:hAnsi="Barlow Semi Condensed"/>
          <w:sz w:val="24"/>
          <w:szCs w:val="24"/>
        </w:rPr>
        <w:t xml:space="preserve">Un elemento che rende l'assenza più notevole di quanto sarebbe altrove. La comunità italiana di Istanbul e Smirne è qualificata dalle fonti diplomatiche e culturali italiane come la più antica collettività italiana all'estero, discendente dai coloni genovesi e veneziani e radicata nel Mediterraneo orientale dai tempi delle Crociate; e le parrocchie latine di Istanbul — proprio quelle escluse dalle tutele del Trattato di Losanna, come si vedrà al Capitolo nono — ne costituivano il riferimento religioso naturale.</w:t>
      </w:r>
    </w:p>
    <w:p>
      <w:pPr>
        <w:spacing w:after="120" w:line="276"/>
        <w:jc w:val="both"/>
      </w:pPr>
      <w:r>
        <w:rPr>
          <w:rFonts w:ascii="Barlow Semi Condensed" w:cs="Barlow Semi Condensed" w:eastAsia="Barlow Semi Condensed" w:hAnsi="Barlow Semi Condensed"/>
          <w:sz w:val="24"/>
          <w:szCs w:val="24"/>
        </w:rPr>
        <w:t xml:space="preserve">Ne discende che l'Italia aveva, in Turchia, un interesse consolare e comunitario che si sovrapponeva esattamente al perimetro delle minoranze cattoliche escluse dalla tutela. Che di tale sovrapposizione non risulti azione documentata è un dato; ma non ne si può inferire l'inazione, perché la documentazione italiana per quel periodo non è stata spogliata e la serie telegrafica è esclusa dalla consultazione.</w:t>
      </w:r>
    </w:p>
    <w:p>
      <w:pPr>
        <w:pStyle w:val="Heading2"/>
        <w:spacing w:after="100" w:before="200"/>
      </w:pPr>
      <w:r>
        <w:rPr>
          <w:rFonts w:ascii="Barlow Semi Condensed" w:cs="Barlow Semi Condensed" w:eastAsia="Barlow Semi Condensed" w:hAnsi="Barlow Semi Condensed"/>
          <w:sz w:val="24"/>
          <w:szCs w:val="24"/>
        </w:rPr>
        <w:t xml:space="preserve">Capitolo terzo — La traiettoria turca di Mehmet Ali Ağca, per date</w:t>
      </w:r>
    </w:p>
    <w:p>
      <w:pPr>
        <w:spacing w:after="120" w:line="276"/>
        <w:jc w:val="both"/>
      </w:pPr>
      <w:r>
        <w:rPr>
          <w:rFonts w:ascii="Barlow Semi Condensed" w:cs="Barlow Semi Condensed" w:eastAsia="Barlow Semi Condensed" w:hAnsi="Barlow Semi Condensed"/>
          <w:sz w:val="24"/>
          <w:szCs w:val="24"/>
        </w:rPr>
        <w:t xml:space="preserve">Il capitolo espone i fatti accertati della traiettoria dell'attentatore, distinguendoli con la massima cura da quanto è congetturale.</w:t>
      </w:r>
    </w:p>
    <w:p>
      <w:pPr>
        <w:spacing w:after="120" w:line="276"/>
        <w:jc w:val="both"/>
      </w:pPr>
      <w:r>
        <w:rPr>
          <w:rFonts w:ascii="Barlow Semi Condensed" w:cs="Barlow Semi Condensed" w:eastAsia="Barlow Semi Condensed" w:hAnsi="Barlow Semi Condensed"/>
          <w:sz w:val="24"/>
          <w:szCs w:val="24"/>
        </w:rPr>
        <w:t xml:space="preserve">Nascita e origine. Mehmet Ali Ağca è nato il 9 gennaio 1958 a Malatya, in Anatolia; alcune fonti indicano il villaggio di Hekimhan nella medesima provincia. La divergenza si registra.</w:t>
      </w:r>
    </w:p>
    <w:p>
      <w:pPr>
        <w:spacing w:after="120" w:line="276"/>
        <w:jc w:val="both"/>
      </w:pPr>
      <w:r>
        <w:rPr>
          <w:rFonts w:ascii="Barlow Semi Condensed" w:cs="Barlow Semi Condensed" w:eastAsia="Barlow Semi Condensed" w:hAnsi="Barlow Semi Condensed"/>
          <w:sz w:val="24"/>
          <w:szCs w:val="24"/>
        </w:rPr>
        <w:t xml:space="preserve">1 febbraio 1979: l'omicidio İpekçi. Ağca partecipò all'omicidio di Abdi İpekçi, nato il 9 agosto 1929, direttore ed editorialista del quotidiano \</w:t>
      </w:r>
      <w:r>
        <w:rPr>
          <w:rFonts w:ascii="Barlow Semi Condensed" w:cs="Barlow Semi Condensed" w:eastAsia="Barlow Semi Condensed" w:hAnsi="Barlow Semi Condensed"/>
          <w:i/>
          <w:iCs/>
          <w:sz w:val="24"/>
          <w:szCs w:val="24"/>
        </w:rPr>
        <w:t xml:space="preserve">Milliyet\</w:t>
      </w:r>
      <w:r>
        <w:rPr>
          <w:rFonts w:ascii="Barlow Semi Condensed" w:cs="Barlow Semi Condensed" w:eastAsia="Barlow Semi Condensed" w:hAnsi="Barlow Semi Condensed"/>
          <w:sz w:val="24"/>
          <w:szCs w:val="24"/>
        </w:rPr>
        <w:t xml:space="preserve">, uno dei principali giornali turchi. İpekçi fu ucciso con colpi d'arma da fuoco nella propria automobile davanti alla sua abitazione a Istanbul. Le fonti indicano che l'azione fu compiuta insieme a Oral Çelik, coetaneo e amico d'infanzia di Ağca.</w:t>
      </w:r>
    </w:p>
    <w:p>
      <w:pPr>
        <w:spacing w:after="120" w:line="276"/>
        <w:jc w:val="both"/>
      </w:pPr>
      <w:r>
        <w:rPr>
          <w:rFonts w:ascii="Barlow Semi Condensed" w:cs="Barlow Semi Condensed" w:eastAsia="Barlow Semi Condensed" w:hAnsi="Barlow Semi Condensed"/>
          <w:sz w:val="24"/>
          <w:szCs w:val="24"/>
        </w:rPr>
        <w:t xml:space="preserve">Una divergenza sulla dinamica va riportata perché è significativa. Alcune ricostruzioni riferiscono la confessione di Ağca — di aver sparato quattro o cinque volte — mentre sul luogo del delitto furono rinvenuti tredici bossoli, circostanza che alimentò l'ipotesi della presenza di più esecutori. Questa resta un'inferenza e non un accertamento, e la si registra come tale.</w:t>
      </w:r>
    </w:p>
    <w:p>
      <w:pPr>
        <w:spacing w:after="120" w:line="276"/>
        <w:jc w:val="both"/>
      </w:pPr>
      <w:r>
        <w:rPr>
          <w:rFonts w:ascii="Barlow Semi Condensed" w:cs="Barlow Semi Condensed" w:eastAsia="Barlow Semi Condensed" w:hAnsi="Barlow Semi Condensed"/>
          <w:sz w:val="24"/>
          <w:szCs w:val="24"/>
        </w:rPr>
        <w:t xml:space="preserve">25 novembre 1979: l'evasione. Condannato per l'omicidio İpekçi, Ağca evase dal carcere militare di massima sicurezza di Kartal-Maltepe. Le fonti concordano sul carattere anomalo della fuga: egli sarebbe uscito indossando una divisa militare e passando dall'ingresso, circostanza che la stampa turca dell'epoca giudicò indicativa di complicità interne.</w:t>
      </w:r>
    </w:p>
    <w:p>
      <w:pPr>
        <w:spacing w:after="120" w:line="276"/>
        <w:jc w:val="both"/>
      </w:pPr>
      <w:r>
        <w:rPr>
          <w:rFonts w:ascii="Barlow Semi Condensed" w:cs="Barlow Semi Condensed" w:eastAsia="Barlow Semi Condensed" w:hAnsi="Barlow Semi Condensed"/>
          <w:sz w:val="24"/>
          <w:szCs w:val="24"/>
        </w:rPr>
        <w:t xml:space="preserve">La cautela è qui obbligata. Le spiegazioni circa mandanti e reti protettive dietro l'evasione appartengono al terreno delle ipotesi giornalistiche e non a quello dell'accertamento giudiziario, e come tali vengono riportate.</w:t>
      </w:r>
    </w:p>
    <w:p>
      <w:pPr>
        <w:spacing w:after="120" w:line="276"/>
        <w:jc w:val="both"/>
      </w:pPr>
      <w:r>
        <w:rPr>
          <w:rFonts w:ascii="Barlow Semi Condensed" w:cs="Barlow Semi Condensed" w:eastAsia="Barlow Semi Condensed" w:hAnsi="Barlow Semi Condensed"/>
          <w:sz w:val="24"/>
          <w:szCs w:val="24"/>
        </w:rPr>
        <w:t xml:space="preserve">27 novembre 1979: la lettera minatoria. Due giorni dopo l'evasione, Ağca inviò a \</w:t>
      </w:r>
      <w:r>
        <w:rPr>
          <w:rFonts w:ascii="Barlow Semi Condensed" w:cs="Barlow Semi Condensed" w:eastAsia="Barlow Semi Condensed" w:hAnsi="Barlow Semi Condensed"/>
          <w:i/>
          <w:iCs/>
          <w:sz w:val="24"/>
          <w:szCs w:val="24"/>
        </w:rPr>
        <w:t xml:space="preserve">Milliyet\</w:t>
      </w:r>
      <w:r>
        <w:rPr>
          <w:rFonts w:ascii="Barlow Semi Condensed" w:cs="Barlow Semi Condensed" w:eastAsia="Barlow Semi Condensed" w:hAnsi="Barlow Semi Condensed"/>
          <w:sz w:val="24"/>
          <w:szCs w:val="24"/>
        </w:rPr>
        <w:t xml:space="preserve"> una lettera nella quale annunciava che avrebbe colpito il pontefice in occasione del viaggio in Turchia. Il testo, ampiamente citato, recita nella parte riportata: le Potenze dell'imperialismo occidentale temono che la Turchia possa costruire una coalizione politica, economica e militare in Medio Oriente con gli altri Paesi islamici fratelli, perciò mandano in Turchia, in quel momento delicato, papa Giovanni Paolo II, il Capo dei crociati; e che se la visita non fosse stata cancellata egli avrebbe certamente colpito il papa.</w:t>
      </w:r>
    </w:p>
    <w:p>
      <w:pPr>
        <w:spacing w:after="120" w:line="276"/>
        <w:jc w:val="both"/>
      </w:pPr>
      <w:r>
        <w:rPr>
          <w:rFonts w:ascii="Barlow Semi Condensed" w:cs="Barlow Semi Condensed" w:eastAsia="Barlow Semi Condensed" w:hAnsi="Barlow Semi Condensed"/>
          <w:sz w:val="24"/>
          <w:szCs w:val="24"/>
        </w:rPr>
        <w:t xml:space="preserve">Il rilievo cronologico va enunciato con precisione. La lettera precede l'attentato di quasi diciotto mesi e costituisce, sul piano documentale, il primo collegamento esplicito e datato fra Ağca e il progetto di colpire il pontefice.</w:t>
      </w:r>
    </w:p>
    <w:p>
      <w:pPr>
        <w:spacing w:after="120" w:line="276"/>
        <w:jc w:val="both"/>
      </w:pPr>
      <w:r>
        <w:rPr>
          <w:rFonts w:ascii="Barlow Semi Condensed" w:cs="Barlow Semi Condensed" w:eastAsia="Barlow Semi Condensed" w:hAnsi="Barlow Semi Condensed"/>
          <w:sz w:val="24"/>
          <w:szCs w:val="24"/>
        </w:rPr>
        <w:t xml:space="preserve">28-30 novembre 1979: il viaggio si svolge. Il viaggio di Giovanni Paolo II in Turchia ebbe luogo regolarmente e senza attentati, e ne si tratta al Capitolo settimo.</w:t>
      </w:r>
    </w:p>
    <w:p>
      <w:pPr>
        <w:spacing w:after="120" w:line="276"/>
        <w:jc w:val="both"/>
      </w:pPr>
      <w:r>
        <w:rPr>
          <w:rFonts w:ascii="Barlow Semi Condensed" w:cs="Barlow Semi Condensed" w:eastAsia="Barlow Semi Condensed" w:hAnsi="Barlow Semi Condensed"/>
          <w:sz w:val="24"/>
          <w:szCs w:val="24"/>
        </w:rPr>
        <w:t xml:space="preserve">13 maggio 1981: l'attentato. Nel pomeriggio, in piazza San Pietro, durante l'udienza generale, Ağca sparò contro Giovanni Paolo II. Il papa fu gravemente ferito, trasportato al policlinico Gemelli, sottoposto a interventi chirurgici e sopravvisse. Sul numero dei colpi e su alcuni dettagli materiali persistono divergenze nella pubblicistica che non incidono sull'accertamento del fatto principale.</w:t>
      </w:r>
    </w:p>
    <w:p>
      <w:pPr>
        <w:spacing w:after="120" w:line="276"/>
        <w:jc w:val="both"/>
      </w:pPr>
      <w:r>
        <w:rPr>
          <w:rFonts w:ascii="Barlow Semi Condensed" w:cs="Barlow Semi Condensed" w:eastAsia="Barlow Semi Condensed" w:hAnsi="Barlow Semi Condensed"/>
          <w:sz w:val="24"/>
          <w:szCs w:val="24"/>
        </w:rPr>
        <w:t xml:space="preserve">22 luglio 1981: la condanna. Il processo di primo grado si tenne con procedura rapida — alcune ricostruzioni indicano l'avvio del dibattimento all'8 luglio e la sentenza al 22 luglio, altre riassumono in tre giorni di processo — e si concluse con la condanna all'ergastolo. Ağca rinunciò all'appello.</w:t>
      </w:r>
    </w:p>
    <w:p>
      <w:pPr>
        <w:spacing w:after="120" w:line="276"/>
        <w:jc w:val="both"/>
      </w:pPr>
      <w:r>
        <w:rPr>
          <w:rFonts w:ascii="Barlow Semi Condensed" w:cs="Barlow Semi Condensed" w:eastAsia="Barlow Semi Condensed" w:hAnsi="Barlow Semi Condensed"/>
          <w:sz w:val="24"/>
          <w:szCs w:val="24"/>
        </w:rPr>
        <w:t xml:space="preserve">Un elemento va isolato con nettezza, e vale per l'intero studio. Le dichiarazioni successive di Ağca — sulla natura solitaria o concertata dell'azione, sui presunti mandanti, sulle piste bulgara e vaticana, fino alle affermazioni recenti collegate al caso Orlandi e alle sue autoproclamazioni messianiche — sono, per costante contraddittorietà e ritrattazione, prive di valore di accertamento. Questo studio le registra come fatti pubblici, cioè come circostanza che egli le abbia rese, e non come fonti sul merito.</w:t>
      </w:r>
    </w:p>
    <w:p>
      <w:pPr>
        <w:pStyle w:val="Heading2"/>
        <w:spacing w:after="100" w:before="200"/>
      </w:pPr>
      <w:r>
        <w:rPr>
          <w:rFonts w:ascii="Barlow Semi Condensed" w:cs="Barlow Semi Condensed" w:eastAsia="Barlow Semi Condensed" w:hAnsi="Barlow Semi Condensed"/>
          <w:sz w:val="24"/>
          <w:szCs w:val="24"/>
        </w:rPr>
        <w:t xml:space="preserve">Capitolo quarto — La pista bulgara: istruttoria, processo, assoluzioni</w:t>
      </w:r>
    </w:p>
    <w:p>
      <w:pPr>
        <w:spacing w:after="120" w:line="276"/>
        <w:jc w:val="both"/>
      </w:pPr>
      <w:r>
        <w:rPr>
          <w:rFonts w:ascii="Barlow Semi Condensed" w:cs="Barlow Semi Condensed" w:eastAsia="Barlow Semi Condensed" w:hAnsi="Barlow Semi Condensed"/>
          <w:sz w:val="24"/>
          <w:szCs w:val="24"/>
        </w:rPr>
        <w:t xml:space="preserve">È il capitolo di massima densità documentale e il più esposto all'errore. La qualificazione va posta in apertura e ripetuta in chiusura.</w:t>
      </w:r>
    </w:p>
    <w:p>
      <w:pPr>
        <w:spacing w:after="120" w:line="276"/>
        <w:jc w:val="both"/>
      </w:pPr>
      <w:r>
        <w:rPr>
          <w:rFonts w:ascii="Barlow Semi Condensed" w:cs="Barlow Semi Condensed" w:eastAsia="Barlow Semi Condensed" w:hAnsi="Barlow Semi Condensed"/>
          <w:sz w:val="24"/>
          <w:szCs w:val="24"/>
        </w:rPr>
        <w:t xml:space="preserve">Agosto 1982: l'origine pubblicistica della pista. Dopo la condanna di Ağca la Procura di Roma proseguì le indagini sugli eventuali mandanti, affidando il supplemento istruttorio al giudice istruttore Ilario Martella. Nell'agosto 1982 la giornalista statunitense Claire Sterling, sul \</w:t>
      </w:r>
      <w:r>
        <w:rPr>
          <w:rFonts w:ascii="Barlow Semi Condensed" w:cs="Barlow Semi Condensed" w:eastAsia="Barlow Semi Condensed" w:hAnsi="Barlow Semi Condensed"/>
          <w:i/>
          <w:iCs/>
          <w:sz w:val="24"/>
          <w:szCs w:val="24"/>
        </w:rPr>
        <w:t xml:space="preserve">Reader's Digest\</w:t>
      </w:r>
      <w:r>
        <w:rPr>
          <w:rFonts w:ascii="Barlow Semi Condensed" w:cs="Barlow Semi Condensed" w:eastAsia="Barlow Semi Condensed" w:hAnsi="Barlow Semi Condensed"/>
          <w:sz w:val="24"/>
          <w:szCs w:val="24"/>
        </w:rPr>
        <w:t xml:space="preserve">, sostenne che Ağca avesse agito su mandato dei servizi bulgari e sovietici. È in questa sede pubblicistica, e non in sede istruttoria, che la pista bulgara emerse per la prima volta, come registrano concordemente le ricostruzioni italiane.</w:t>
      </w:r>
    </w:p>
    <w:p>
      <w:pPr>
        <w:spacing w:after="120" w:line="276"/>
        <w:jc w:val="both"/>
      </w:pPr>
      <w:r>
        <w:rPr>
          <w:rFonts w:ascii="Barlow Semi Condensed" w:cs="Barlow Semi Condensed" w:eastAsia="Barlow Semi Condensed" w:hAnsi="Barlow Semi Condensed"/>
          <w:sz w:val="24"/>
          <w:szCs w:val="24"/>
        </w:rPr>
        <w:t xml:space="preserve">25 novembre 1982: l'arresto di Antonov. Fu arrestato a Roma Sergej Ivanov Antonov, indicato da Ağca come uno dei complici. Le fonti lo descrivono come rappresentante a Roma della compagnia aerea bulgara Balkan Airlines, funzionario della compagnia e non diplomatico, rimasto nella capitale dopo l'attentato fino all'arresto. Con lui furono coinvolti i bulgari Todor Ajvazov e Jelio Vassilev, e i cittadini turchi Musa Serdar Çelebi, Omar Bağci, Oral Çelik e Bekir Çelenk.</w:t>
      </w:r>
    </w:p>
    <w:p>
      <w:pPr>
        <w:spacing w:after="120" w:line="276"/>
        <w:jc w:val="both"/>
      </w:pPr>
      <w:r>
        <w:rPr>
          <w:rFonts w:ascii="Barlow Semi Condensed" w:cs="Barlow Semi Condensed" w:eastAsia="Barlow Semi Condensed" w:hAnsi="Barlow Semi Condensed"/>
          <w:sz w:val="24"/>
          <w:szCs w:val="24"/>
        </w:rPr>
        <w:t xml:space="preserve">28 maggio 1985 - 29 marzo 1986: il processo e la sentenza. Il dibattimento davanti alla Corte d'assise di Roma si aprì il 28 maggio 1985 e si concluse il 29 marzo 1986 con l'assoluzione per insufficienza di prove di Antonov, Vassilev, Ajvazov, Çelebi e Çelik. Furono invece condannati Omar Bağci a tre anni e due mesi e lo stesso Ağca a un anno per detenzione di arma. Bekir Çelenk era nel frattempo deceduto. La sentenza fu confermata in appello il 19 dicembre 1987.</w:t>
      </w:r>
    </w:p>
    <w:p>
      <w:pPr>
        <w:spacing w:after="120" w:line="276"/>
        <w:jc w:val="both"/>
      </w:pPr>
      <w:r>
        <w:rPr>
          <w:rFonts w:ascii="Barlow Semi Condensed" w:cs="Barlow Semi Condensed" w:eastAsia="Barlow Semi Condensed" w:hAnsi="Barlow Semi Condensed"/>
          <w:sz w:val="24"/>
          <w:szCs w:val="24"/>
        </w:rPr>
        <w:t xml:space="preserve">L'annotazione giuridica va riportata perché è decisiva e viene spesso omessa. Nell'ordinamento allora vigente l'assoluzione per insufficienza di prove era distinta dall'accertamento dell'innocenza: significava che il giudice non aveva raggiunto la certezza necessaria per condannare, non che avesse provato l'estraneità degli imputati.</w:t>
      </w:r>
    </w:p>
    <w:p>
      <w:pPr>
        <w:spacing w:after="120" w:line="276"/>
        <w:jc w:val="both"/>
      </w:pPr>
      <w:r>
        <w:rPr>
          <w:rFonts w:ascii="Barlow Semi Condensed" w:cs="Barlow Semi Condensed" w:eastAsia="Barlow Semi Condensed" w:hAnsi="Barlow Semi Condensed"/>
          <w:sz w:val="24"/>
          <w:szCs w:val="24"/>
        </w:rPr>
        <w:t xml:space="preserve">Ma questa distinzione non converte un'ipotesi non provata in un fatto, e va detto con nettezza. La responsabilità bulgaro-sovietica non fu giudizialmente accertata, e ogni tesi che la presenti come acquisita è, allo stato delle sentenze, non sostenuta.</w:t>
      </w:r>
    </w:p>
    <w:p>
      <w:pPr>
        <w:spacing w:after="120" w:line="276"/>
        <w:jc w:val="both"/>
      </w:pPr>
      <w:r>
        <w:rPr>
          <w:rFonts w:ascii="Barlow Semi Condensed" w:cs="Barlow Semi Condensed" w:eastAsia="Barlow Semi Condensed" w:hAnsi="Barlow Semi Condensed"/>
          <w:sz w:val="24"/>
          <w:szCs w:val="24"/>
        </w:rPr>
        <w:t xml:space="preserve">La Commissione parlamentare Mitrokhin. Gli atti sono accessibili sul sito del Parlamento. La Commissione, presieduta dal senatore Paolo Guzzanti, produsse un documento conclusivo del presidente che non fu approvato per mancanza del numero legale il 15 marzo 2006, e una relazione conclusiva dei commissari di minoranza depositata il 23 marzo 2006, pubblicata come 'mitrokhindoc.377.pdf'.</w:t>
      </w:r>
    </w:p>
    <w:p>
      <w:pPr>
        <w:spacing w:after="120" w:line="276"/>
        <w:jc w:val="both"/>
      </w:pPr>
      <w:r>
        <w:rPr>
          <w:rFonts w:ascii="Barlow Semi Condensed" w:cs="Barlow Semi Condensed" w:eastAsia="Barlow Semi Condensed" w:hAnsi="Barlow Semi Condensed"/>
          <w:sz w:val="24"/>
          <w:szCs w:val="24"/>
        </w:rPr>
        <w:t xml:space="preserve">Quella relazione di minoranza contiene una valutazione che va riportata per intero perché è di parte e proprio per questo va qualificata: essa afferma che la maggioranza avrebbe insistito in modo pedissequo sulla pista bulgara, già percorsa dalla magistratura senza però pervenire ad alcun risultato stabile e certo, e definisce l'operato della Commissione uno dei momenti più bassi e umilianti della nostra storia istituzionale.</w:t>
      </w:r>
    </w:p>
    <w:p>
      <w:pPr>
        <w:spacing w:after="120" w:line="276"/>
        <w:jc w:val="both"/>
      </w:pPr>
      <w:r>
        <w:rPr>
          <w:rFonts w:ascii="Barlow Semi Condensed" w:cs="Barlow Semi Condensed" w:eastAsia="Barlow Semi Condensed" w:hAnsi="Barlow Semi Condensed"/>
          <w:sz w:val="24"/>
          <w:szCs w:val="24"/>
        </w:rPr>
        <w:t xml:space="preserve">Si tratta di una posizione di parte politica in sede parlamentare, e come tale la si registra: attesta il giudizio dei commissari di minoranza, non un accertamento della Commissione, che del resto non ne produsse alcuno approvato.</w:t>
      </w:r>
    </w:p>
    <w:p>
      <w:pPr>
        <w:pStyle w:val="Heading2"/>
        <w:spacing w:after="100" w:before="200"/>
      </w:pPr>
      <w:r>
        <w:rPr>
          <w:rFonts w:ascii="Barlow Semi Condensed" w:cs="Barlow Semi Condensed" w:eastAsia="Barlow Semi Condensed" w:hAnsi="Barlow Semi Condensed"/>
          <w:sz w:val="24"/>
          <w:szCs w:val="24"/>
        </w:rPr>
        <w:t xml:space="preserve">Capitolo quinto — I documenti desecretati statunitensi: la prudenza dell'intelligence</w:t>
      </w:r>
    </w:p>
    <w:p>
      <w:pPr>
        <w:spacing w:after="120" w:line="276"/>
        <w:jc w:val="both"/>
      </w:pPr>
      <w:r>
        <w:rPr>
          <w:rFonts w:ascii="Barlow Semi Condensed" w:cs="Barlow Semi Condensed" w:eastAsia="Barlow Semi Condensed" w:hAnsi="Barlow Semi Condensed"/>
          <w:sz w:val="24"/>
          <w:szCs w:val="24"/>
        </w:rPr>
        <w:t xml:space="preserve">Il capitolo espone il ritrovamento più notevole di questa ricognizione, e la sua notevolezza sta nel convergere con le sentenze italiane anziché contraddirle.</w:t>
      </w:r>
    </w:p>
    <w:p>
      <w:pPr>
        <w:spacing w:after="120" w:line="276"/>
        <w:jc w:val="both"/>
      </w:pPr>
      <w:r>
        <w:rPr>
          <w:rFonts w:ascii="Barlow Semi Condensed" w:cs="Barlow Semi Condensed" w:eastAsia="Barlow Semi Condensed" w:hAnsi="Barlow Semi Condensed"/>
          <w:sz w:val="24"/>
          <w:szCs w:val="24"/>
        </w:rPr>
        <w:t xml:space="preserve">La fonte. La raccolta \</w:t>
      </w:r>
      <w:r>
        <w:rPr>
          <w:rFonts w:ascii="Barlow Semi Condensed" w:cs="Barlow Semi Condensed" w:eastAsia="Barlow Semi Condensed" w:hAnsi="Barlow Semi Condensed"/>
          <w:i/>
          <w:iCs/>
          <w:sz w:val="24"/>
          <w:szCs w:val="24"/>
        </w:rPr>
        <w:t xml:space="preserve">Foreign Relations of the United States, 1981-1988\</w:t>
      </w:r>
      <w:r>
        <w:rPr>
          <w:rFonts w:ascii="Barlow Semi Condensed" w:cs="Barlow Semi Condensed" w:eastAsia="Barlow Semi Condensed" w:hAnsi="Barlow Semi Condensed"/>
          <w:sz w:val="24"/>
          <w:szCs w:val="24"/>
        </w:rPr>
        <w:t xml:space="preserve">, volume decimo, edita dall'Office of the Historian del Dipartimento di Stato, riproduce tre documenti dell'intelligence statunitense sulla materia.</w:t>
      </w:r>
    </w:p>
    <w:p>
      <w:pPr>
        <w:spacing w:after="120" w:line="276"/>
        <w:jc w:val="both"/>
      </w:pPr>
      <w:r>
        <w:rPr>
          <w:rFonts w:ascii="Barlow Semi Condensed" w:cs="Barlow Semi Condensed" w:eastAsia="Barlow Semi Condensed" w:hAnsi="Barlow Semi Condensed"/>
          <w:sz w:val="24"/>
          <w:szCs w:val="24"/>
        </w:rPr>
        <w:t xml:space="preserve">Documento 370. Riproduce un memorandum del direttore della Central Intelligence Agency William J. Casey e l'allegata analisi dell'Agenzia intitolata \</w:t>
      </w:r>
      <w:r>
        <w:rPr>
          <w:rFonts w:ascii="Barlow Semi Condensed" w:cs="Barlow Semi Condensed" w:eastAsia="Barlow Semi Condensed" w:hAnsi="Barlow Semi Condensed"/>
          <w:i/>
          <w:iCs/>
          <w:sz w:val="24"/>
          <w:szCs w:val="24"/>
        </w:rPr>
        <w:t xml:space="preserve">Bulgarian Complicity in the Papal Assassination Attempt\</w:t>
      </w:r>
      <w:r>
        <w:rPr>
          <w:rFonts w:ascii="Barlow Semi Condensed" w:cs="Barlow Semi Condensed" w:eastAsia="Barlow Semi Condensed" w:hAnsi="Barlow Semi Condensed"/>
          <w:sz w:val="24"/>
          <w:szCs w:val="24"/>
        </w:rPr>
        <w:t xml:space="preserve">. L'introduzione afferma testualmente di non essere in grado, a quel punto, di sviluppare un quadro chiaro e conclusivo del coinvolgimento bulgaro con l'aspirante assassino del papa Mehmet Ali Ağca.</w:t>
      </w:r>
    </w:p>
    <w:p>
      <w:pPr>
        <w:spacing w:after="120" w:line="276"/>
        <w:jc w:val="both"/>
      </w:pPr>
      <w:r>
        <w:rPr>
          <w:rFonts w:ascii="Barlow Semi Condensed" w:cs="Barlow Semi Condensed" w:eastAsia="Barlow Semi Condensed" w:hAnsi="Barlow Semi Condensed"/>
          <w:sz w:val="24"/>
          <w:szCs w:val="24"/>
        </w:rPr>
        <w:t xml:space="preserve">Il medesimo documento riporta la valutazione dell'ambasciata statunitense a Sofia secondo cui sarebbe stato difficile credere a un coinvolgimento diretto dei servizi bulgari perché sarebbe stato così stupido, pur precisando che la considerazione non escludeva la possibilità di un coinvolgimento ufficiale.</w:t>
      </w:r>
    </w:p>
    <w:p>
      <w:pPr>
        <w:spacing w:after="120" w:line="276"/>
        <w:jc w:val="both"/>
      </w:pPr>
      <w:r>
        <w:rPr>
          <w:rFonts w:ascii="Barlow Semi Condensed" w:cs="Barlow Semi Condensed" w:eastAsia="Barlow Semi Condensed" w:hAnsi="Barlow Semi Condensed"/>
          <w:sz w:val="24"/>
          <w:szCs w:val="24"/>
        </w:rPr>
        <w:t xml:space="preserve">Documento 376. Un memorandum dell'Agenzia sulla valutazione della responsabilità per l'attentato contiene la conclusione secondo cui gran parte della tesi della Procura italiana che allega la complicità del blocco orientale appare dipendere unicamente dalla testimonianza di Ağca, e questi non è sempre stato veritiero o coerente nel periodo della detenzione. Il documento aggiunge che, anche qualora Ağca avesse avuto contatti con i bulgari accusati, questi avrebbero potuto riguardare stupefacenti o traffici d'armi piuttosto che una cospirazione per uccidere il pontefice. La lettera di accompagnamento redatta in ambito Consiglio per la sicurezza nazionale osservava che la CIA ha pochissime prove in un senso o nell'altro.</w:t>
      </w:r>
    </w:p>
    <w:p>
      <w:pPr>
        <w:spacing w:after="120" w:line="276"/>
        <w:jc w:val="both"/>
      </w:pPr>
      <w:r>
        <w:rPr>
          <w:rFonts w:ascii="Barlow Semi Condensed" w:cs="Barlow Semi Condensed" w:eastAsia="Barlow Semi Condensed" w:hAnsi="Barlow Semi Condensed"/>
          <w:sz w:val="24"/>
          <w:szCs w:val="24"/>
        </w:rPr>
        <w:t xml:space="preserve">Documento 377. Una \</w:t>
      </w:r>
      <w:r>
        <w:rPr>
          <w:rFonts w:ascii="Barlow Semi Condensed" w:cs="Barlow Semi Condensed" w:eastAsia="Barlow Semi Condensed" w:hAnsi="Barlow Semi Condensed"/>
          <w:i/>
          <w:iCs/>
          <w:sz w:val="24"/>
          <w:szCs w:val="24"/>
        </w:rPr>
        <w:t xml:space="preserve">Intelligence Assessment\</w:t>
      </w:r>
      <w:r>
        <w:rPr>
          <w:rFonts w:ascii="Barlow Semi Condensed" w:cs="Barlow Semi Condensed" w:eastAsia="Barlow Semi Condensed" w:hAnsi="Barlow Semi Condensed"/>
          <w:sz w:val="24"/>
          <w:szCs w:val="24"/>
        </w:rPr>
        <w:t xml:space="preserve"> del dicembre 1984 dell'Office of European Analysis dichiara espressamente di non affrontare la questione ultima della colpevolezza o innocenza della Bulgaria, e riconosce che il processo italiano avrebbe potuto condannare Antonov unicamente sulla base della testimonianza di Ağca.</w:t>
      </w:r>
    </w:p>
    <w:p>
      <w:pPr>
        <w:spacing w:after="120" w:line="276"/>
        <w:jc w:val="both"/>
      </w:pPr>
      <w:r>
        <w:rPr>
          <w:rFonts w:ascii="Barlow Semi Condensed" w:cs="Barlow Semi Condensed" w:eastAsia="Barlow Semi Condensed" w:hAnsi="Barlow Semi Condensed"/>
          <w:sz w:val="24"/>
          <w:szCs w:val="24"/>
        </w:rPr>
        <w:t xml:space="preserve">Ne discende la risultanza del capitolo, e va enunciata per quello che è. L'intelligence statunitense, che avrebbe avuto ogni interesse politico ad affermare la responsabilità sovietica, non la affermò come provata, e ne segnalò ripetutamente la fragilità probatoria, riconducibile alla dipendenza dalle dichiarazioni di un teste inattendibile.</w:t>
      </w:r>
    </w:p>
    <w:p>
      <w:pPr>
        <w:spacing w:after="120" w:line="276"/>
        <w:jc w:val="both"/>
      </w:pPr>
      <w:r>
        <w:rPr>
          <w:rFonts w:ascii="Barlow Semi Condensed" w:cs="Barlow Semi Condensed" w:eastAsia="Barlow Semi Condensed" w:hAnsi="Barlow Semi Condensed"/>
          <w:sz w:val="24"/>
          <w:szCs w:val="24"/>
        </w:rPr>
        <w:t xml:space="preserve">Un elemento di contrasto interno va registrato per completezza. L'ex analista della CIA Melvin A. Goodman, già responsabile della divisione sugli affari sovietici, testimoniò davanti alla Commissione ristretta del Senato sull'intelligence sostenendo che l'Agenzia non disponeva di prove che collegassero il servizio sovietico o i bulgari al complotto, e che vi erano state pressioni interne per orientare i rapporti verso la tesi del complotto sovietico.</w:t>
      </w:r>
    </w:p>
    <w:p>
      <w:pPr>
        <w:spacing w:after="120" w:line="276"/>
        <w:jc w:val="both"/>
      </w:pPr>
      <w:r>
        <w:rPr>
          <w:rFonts w:ascii="Barlow Semi Condensed" w:cs="Barlow Semi Condensed" w:eastAsia="Barlow Semi Condensed" w:hAnsi="Barlow Semi Condensed"/>
          <w:sz w:val="24"/>
          <w:szCs w:val="24"/>
        </w:rPr>
        <w:t xml:space="preserve">Sulla data di quella testimonianza le fonti divergono e la divergenza va risolta a favore della fonte primaria. Alcune fonti secondarie indicano il 1990; il verbale ufficiale del Senato colloca la sessione sulla politicizzazione dell'analisi al 1 ottobre 1991, nel contesto delle audizioni di conferma di Robert Gates alla direzione dell'Agenzia. Si adotta la datazione del verbale.</w:t>
      </w:r>
    </w:p>
    <w:p>
      <w:pPr>
        <w:spacing w:after="120" w:line="276"/>
        <w:jc w:val="both"/>
      </w:pPr>
      <w:r>
        <w:rPr>
          <w:rFonts w:ascii="Barlow Semi Condensed" w:cs="Barlow Semi Condensed" w:eastAsia="Barlow Semi Condensed" w:hAnsi="Barlow Semi Condensed"/>
          <w:sz w:val="24"/>
          <w:szCs w:val="24"/>
        </w:rPr>
        <w:t xml:space="preserve">La qualificazione della testimonianza di Goodman. Essa non prova né smentisce alcunché sul merito dei mandanti: attesta lo stato delle conoscenze e delle tensioni interne all'intelligence statunitense, e come tale va letta.</w:t>
      </w:r>
    </w:p>
    <w:p>
      <w:pPr>
        <w:spacing w:after="120" w:line="276"/>
        <w:jc w:val="both"/>
      </w:pPr>
      <w:r>
        <w:rPr>
          <w:rFonts w:ascii="Barlow Semi Condensed" w:cs="Barlow Semi Condensed" w:eastAsia="Barlow Semi Condensed" w:hAnsi="Barlow Semi Condensed"/>
          <w:sz w:val="24"/>
          <w:szCs w:val="24"/>
        </w:rPr>
        <w:t xml:space="preserve">Le porzioni non desecretate. I documenti 370 e 376 contengono parti coperte. Non si può escludere che esse contengano elementi ulteriori, e la loro eventuale desecretazione è iscritta in tavola come la sola acquisizione che potrebbe mutare il quadro probatorio.</w:t>
      </w:r>
    </w:p>
    <w:p>
      <w:pPr>
        <w:pStyle w:val="Heading2"/>
        <w:spacing w:after="100" w:before="200"/>
      </w:pPr>
      <w:r>
        <w:rPr>
          <w:rFonts w:ascii="Barlow Semi Condensed" w:cs="Barlow Semi Condensed" w:eastAsia="Barlow Semi Condensed" w:hAnsi="Barlow Semi Condensed"/>
          <w:sz w:val="24"/>
          <w:szCs w:val="24"/>
        </w:rPr>
        <w:t xml:space="preserve">Capitolo sesto — I Lupi Grigi e il divieto di inferenza collettiva</w:t>
      </w:r>
    </w:p>
    <w:p>
      <w:pPr>
        <w:spacing w:after="120" w:line="276"/>
        <w:jc w:val="both"/>
      </w:pPr>
      <w:r>
        <w:rPr>
          <w:rFonts w:ascii="Barlow Semi Condensed" w:cs="Barlow Semi Condensed" w:eastAsia="Barlow Semi Condensed" w:hAnsi="Barlow Semi Condensed"/>
          <w:sz w:val="24"/>
          <w:szCs w:val="24"/>
        </w:rPr>
        <w:t xml:space="preserve">Il capitolo è breve perché il suo contenuto principale è una prescrizione di metodo, e la prescrizione va enunciata più che argomentata.</w:t>
      </w:r>
    </w:p>
    <w:p>
      <w:pPr>
        <w:spacing w:after="120" w:line="276"/>
        <w:jc w:val="both"/>
      </w:pPr>
      <w:r>
        <w:rPr>
          <w:rFonts w:ascii="Barlow Semi Condensed" w:cs="Barlow Semi Condensed" w:eastAsia="Barlow Semi Condensed" w:hAnsi="Barlow Semi Condensed"/>
          <w:sz w:val="24"/>
          <w:szCs w:val="24"/>
        </w:rPr>
        <w:t xml:space="preserve">Il quadro. I Lupi Grigi — \</w:t>
      </w:r>
      <w:r>
        <w:rPr>
          <w:rFonts w:ascii="Barlow Semi Condensed" w:cs="Barlow Semi Condensed" w:eastAsia="Barlow Semi Condensed" w:hAnsi="Barlow Semi Condensed"/>
          <w:i/>
          <w:iCs/>
          <w:sz w:val="24"/>
          <w:szCs w:val="24"/>
        </w:rPr>
        <w:t xml:space="preserve">Bozkurtlar\</w:t>
      </w:r>
      <w:r>
        <w:rPr>
          <w:rFonts w:ascii="Barlow Semi Condensed" w:cs="Barlow Semi Condensed" w:eastAsia="Barlow Semi Condensed" w:hAnsi="Barlow Semi Condensed"/>
          <w:sz w:val="24"/>
          <w:szCs w:val="24"/>
        </w:rPr>
        <w:t xml:space="preserve">, ufficialmente \</w:t>
      </w:r>
      <w:r>
        <w:rPr>
          <w:rFonts w:ascii="Barlow Semi Condensed" w:cs="Barlow Semi Condensed" w:eastAsia="Barlow Semi Condensed" w:hAnsi="Barlow Semi Condensed"/>
          <w:i/>
          <w:iCs/>
          <w:sz w:val="24"/>
          <w:szCs w:val="24"/>
        </w:rPr>
        <w:t xml:space="preserve">Ülkücüler\</w:t>
      </w:r>
      <w:r>
        <w:rPr>
          <w:rFonts w:ascii="Barlow Semi Condensed" w:cs="Barlow Semi Condensed" w:eastAsia="Barlow Semi Condensed" w:hAnsi="Barlow Semi Condensed"/>
          <w:sz w:val="24"/>
          <w:szCs w:val="24"/>
        </w:rPr>
        <w:t xml:space="preserve">, organizzati nei focolari \</w:t>
      </w:r>
      <w:r>
        <w:rPr>
          <w:rFonts w:ascii="Barlow Semi Condensed" w:cs="Barlow Semi Condensed" w:eastAsia="Barlow Semi Condensed" w:hAnsi="Barlow Semi Condensed"/>
          <w:i/>
          <w:iCs/>
          <w:sz w:val="24"/>
          <w:szCs w:val="24"/>
        </w:rPr>
        <w:t xml:space="preserve">Ülkü Ocakları\</w:t>
      </w:r>
      <w:r>
        <w:rPr>
          <w:rFonts w:ascii="Barlow Semi Condensed" w:cs="Barlow Semi Condensed" w:eastAsia="Barlow Semi Condensed" w:hAnsi="Barlow Semi Condensed"/>
          <w:sz w:val="24"/>
          <w:szCs w:val="24"/>
        </w:rPr>
        <w:t xml:space="preserve"> — sono un movimento del nazionalismo turco radicale di matrice panturchista, collegato al Milliyetçi Hareket Partisi fondato dal colonnello Alparslan Türkeş nel 1969, di cui costituivano la sezione giovanile e, secondo numerose ricostruzioni, l'ala paramilitare. Le fonti convergono nell'attribuire al movimento un'attività violenta rilevante nel decennio che precedette il colpo di Stato militare del generale Kenan Evren del settembre 1980, il quale mise al bando tanto i Lupi Grigi quanto il partito.</w:t>
      </w:r>
    </w:p>
    <w:p>
      <w:pPr>
        <w:spacing w:after="120" w:line="276"/>
        <w:jc w:val="both"/>
      </w:pPr>
      <w:r>
        <w:rPr>
          <w:rFonts w:ascii="Barlow Semi Condensed" w:cs="Barlow Semi Condensed" w:eastAsia="Barlow Semi Condensed" w:hAnsi="Barlow Semi Condensed"/>
          <w:sz w:val="24"/>
          <w:szCs w:val="24"/>
        </w:rPr>
        <w:t xml:space="preserve">Sulle attribuzioni ulteriori la cautela è massima. Si menzionano rapporti con ambienti dell'anticomunismo occidentale in funzione antisovietica e, dopo la messa al bando e la diaspora dei quadri in Germania, Francia e Austria, un coinvolgimento in traffici illeciti; lo storico tedesco Nikolaus Brauns è citato per la tesi dell'insediamento in Germania favorito da apparati locali in chiave anticomunista. Tutte queste attribuzioni sono documentate in modo disuguale e vanno prese come ipotesi, non come accertamenti.</w:t>
      </w:r>
    </w:p>
    <w:p>
      <w:pPr>
        <w:spacing w:after="120" w:line="276"/>
        <w:jc w:val="both"/>
      </w:pPr>
      <w:r>
        <w:rPr>
          <w:rFonts w:ascii="Barlow Semi Condensed" w:cs="Barlow Semi Condensed" w:eastAsia="Barlow Semi Condensed" w:hAnsi="Barlow Semi Condensed"/>
          <w:sz w:val="24"/>
          <w:szCs w:val="24"/>
        </w:rPr>
        <w:t xml:space="preserve">E qui la prescrizione, che è il contenuto del capitolo. L'appartenenza — o la contiguità — di Ağca all'ambiente \</w:t>
      </w:r>
      <w:r>
        <w:rPr>
          <w:rFonts w:ascii="Barlow Semi Condensed" w:cs="Barlow Semi Condensed" w:eastAsia="Barlow Semi Condensed" w:hAnsi="Barlow Semi Condensed"/>
          <w:i/>
          <w:iCs/>
          <w:sz w:val="24"/>
          <w:szCs w:val="24"/>
        </w:rPr>
        <w:t xml:space="preserve">ülkücü\</w:t>
      </w:r>
      <w:r>
        <w:rPr>
          <w:rFonts w:ascii="Barlow Semi Condensed" w:cs="Barlow Semi Condensed" w:eastAsia="Barlow Semi Condensed" w:hAnsi="Barlow Semi Condensed"/>
          <w:sz w:val="24"/>
          <w:szCs w:val="24"/>
        </w:rPr>
        <w:t xml:space="preserve">, ampiamente riferita dalle fonti, non costituisce prova di una condotta dell'organizzazione in quanto tale rispetto all'attentato del 1981. Le fonti giudiziarie non hanno accertato un mandato organizzativo dei Lupi Grigi per l'attacco al pontefice; la stessa pubblicistica che collega Ağca al movimento lo fa in prevalenza sul piano biografico e ambientale.</w:t>
      </w:r>
    </w:p>
    <w:p>
      <w:pPr>
        <w:spacing w:after="120" w:line="276"/>
        <w:jc w:val="both"/>
      </w:pPr>
      <w:r>
        <w:rPr>
          <w:rFonts w:ascii="Barlow Semi Condensed" w:cs="Barlow Semi Condensed" w:eastAsia="Barlow Semi Condensed" w:hAnsi="Barlow Semi Condensed"/>
          <w:sz w:val="24"/>
          <w:szCs w:val="24"/>
        </w:rPr>
        <w:t xml:space="preserve">Trattare la militanza individuale come prova di responsabilità collettiva sarebbe un salto logico che questo studio rifiuta espressamente, coerentemente con il vincolo secondo cui la comunanza di ambiente non equivale a convergenza di obiettivo documentata.</w:t>
      </w:r>
    </w:p>
    <w:p>
      <w:pPr>
        <w:spacing w:after="120" w:line="276"/>
        <w:jc w:val="both"/>
      </w:pPr>
      <w:r>
        <w:rPr>
          <w:rFonts w:ascii="Barlow Semi Condensed" w:cs="Barlow Semi Condensed" w:eastAsia="Barlow Semi Condensed" w:hAnsi="Barlow Semi Condensed"/>
          <w:sz w:val="24"/>
          <w:szCs w:val="24"/>
        </w:rPr>
        <w:t xml:space="preserve">La medesima prescrizione vale per Oral Çelik, indicato come complice nell'omicidio İpekçi e negli sviluppi successivi: che egli appartenga al medesimo ambiente non prova la natura degli eventuali mandanti dell'attentato del 1981, rimasti giudizialmente non accertati.</w:t>
      </w:r>
    </w:p>
    <w:p>
      <w:pPr>
        <w:spacing w:after="120" w:line="276"/>
        <w:jc w:val="both"/>
      </w:pPr>
      <w:r>
        <w:rPr>
          <w:rFonts w:ascii="Barlow Semi Condensed" w:cs="Barlow Semi Condensed" w:eastAsia="Barlow Semi Condensed" w:hAnsi="Barlow Semi Condensed"/>
          <w:sz w:val="24"/>
          <w:szCs w:val="24"/>
        </w:rPr>
        <w:t xml:space="preserve">Un'osservazione che vale oltre l'oggetto. In questa materia la tentazione dell'inferenza collettiva è forte perché l'ambiente è documentato e il mandante non lo è: dove manca il secondo, il primo tende a occuparne il posto. È esattamente il meccanismo che questo progetto ha imparato a riconoscere nella propria manutenzione metodologica, e il caso dei Lupi Grigi ne è un esempio di scuola.</w:t>
      </w:r>
    </w:p>
    <w:p>
      <w:pPr>
        <w:pStyle w:val="Heading2"/>
        <w:spacing w:after="100" w:before="200"/>
      </w:pPr>
      <w:r>
        <w:rPr>
          <w:rFonts w:ascii="Barlow Semi Condensed" w:cs="Barlow Semi Condensed" w:eastAsia="Barlow Semi Condensed" w:hAnsi="Barlow Semi Condensed"/>
          <w:sz w:val="24"/>
          <w:szCs w:val="24"/>
        </w:rPr>
        <w:t xml:space="preserve">Capitolo settimo — Il viaggio del novembre 1979 e l'avvio del dialogo teologico</w:t>
      </w:r>
    </w:p>
    <w:p>
      <w:pPr>
        <w:spacing w:after="120" w:line="276"/>
        <w:jc w:val="both"/>
      </w:pPr>
      <w:r>
        <w:rPr>
          <w:rFonts w:ascii="Barlow Semi Condensed" w:cs="Barlow Semi Condensed" w:eastAsia="Barlow Semi Condensed" w:hAnsi="Barlow Semi Condensed"/>
          <w:sz w:val="24"/>
          <w:szCs w:val="24"/>
        </w:rPr>
        <w:t xml:space="preserve">Il capitolo espone l'atto pontificio che precede l'attentato di diciotto mesi e che ne costituisce il contesto immediato.</w:t>
      </w:r>
    </w:p>
    <w:p>
      <w:pPr>
        <w:spacing w:after="120" w:line="276"/>
        <w:jc w:val="both"/>
      </w:pPr>
      <w:r>
        <w:rPr>
          <w:rFonts w:ascii="Barlow Semi Condensed" w:cs="Barlow Semi Condensed" w:eastAsia="Barlow Semi Condensed" w:hAnsi="Barlow Semi Condensed"/>
          <w:sz w:val="24"/>
          <w:szCs w:val="24"/>
        </w:rPr>
        <w:t xml:space="preserve">Le date. Il viaggio apostolico di Giovanni Paolo II in Turchia si svolse dal 28 al 30 novembre 1979. Nel discorso alla partenza del 28 novembre il pontefice dichiarò di recarsi in Turchia seguendo le orme del predecessore Paolo VI, che vi era andato alla fine di luglio del 1967, per continuare lo sforzo verso l'unità dei cristiani e per mostrare l'importanza che la Chiesa cattolica dà al rapporto con le Chiese ortodosse alla vigilia dell'inizio di un dialogo teologico.</w:t>
      </w:r>
    </w:p>
    <w:p>
      <w:pPr>
        <w:spacing w:after="120" w:line="276"/>
        <w:jc w:val="both"/>
      </w:pPr>
      <w:r>
        <w:rPr>
          <w:rFonts w:ascii="Barlow Semi Condensed" w:cs="Barlow Semi Condensed" w:eastAsia="Barlow Semi Condensed" w:hAnsi="Barlow Semi Condensed"/>
          <w:sz w:val="24"/>
          <w:szCs w:val="24"/>
        </w:rPr>
        <w:t xml:space="preserve">Il programma. Omaggio alle autorità della Repubblica ad Ankara, dove il papa si rivolse alla comunità cattolica ricordandone la condizione di piccola minoranza in quelle terre; celebrazione a Istanbul nella Cattedrale dello Spirito Santo il 29 novembre, con incontro anche del patriarca armeno Shnorhk Kalustian e della comunità armeno-cattolica.</w:t>
      </w:r>
    </w:p>
    <w:p>
      <w:pPr>
        <w:spacing w:after="120" w:line="276"/>
        <w:jc w:val="both"/>
      </w:pPr>
      <w:r>
        <w:rPr>
          <w:rFonts w:ascii="Barlow Semi Condensed" w:cs="Barlow Semi Condensed" w:eastAsia="Barlow Semi Condensed" w:hAnsi="Barlow Semi Condensed"/>
          <w:sz w:val="24"/>
          <w:szCs w:val="24"/>
        </w:rPr>
        <w:t xml:space="preserve">Il momento culminante. Il 29 e 30 novembre l'incontro con il patriarca ecumenico Dimitrios I al Fanar. Nel discorso del 29 novembre il papa salutò il patriarca e il Santo Sinodo; e come egli stesso avrebbe rievocato nell'omelia del 6 dicembre 1987, poté allora annunciare insieme che l'inizio del dialogo teologico fra la Chiesa cattolica e la Chiesa ortodossa era imminente, e rendere pubblici i nomi dei membri della Commissione mista.</w:t>
      </w:r>
    </w:p>
    <w:p>
      <w:pPr>
        <w:spacing w:after="120" w:line="276"/>
        <w:jc w:val="both"/>
      </w:pPr>
      <w:r>
        <w:rPr>
          <w:rFonts w:ascii="Barlow Semi Condensed" w:cs="Barlow Semi Condensed" w:eastAsia="Barlow Semi Condensed" w:hAnsi="Barlow Semi Condensed"/>
          <w:sz w:val="24"/>
          <w:szCs w:val="24"/>
        </w:rPr>
        <w:t xml:space="preserve">30 novembre 1979. In occasione della festa di Sant'Andrea fu proclamato l'avvio del dialogo teologico ufficiale cattolico-ortodosso.</w:t>
      </w:r>
    </w:p>
    <w:p>
      <w:pPr>
        <w:spacing w:after="120" w:line="276"/>
        <w:jc w:val="both"/>
      </w:pPr>
      <w:r>
        <w:rPr>
          <w:rFonts w:ascii="Barlow Semi Condensed" w:cs="Barlow Semi Condensed" w:eastAsia="Barlow Semi Condensed" w:hAnsi="Barlow Semi Condensed"/>
          <w:sz w:val="24"/>
          <w:szCs w:val="24"/>
        </w:rPr>
        <w:t xml:space="preserve">Un elemento italiano va registrato. Il discorso di conclusione del pellegrinaggio ringrazia il ministro degli Interni Virginio Rognoni, presente in rappresentanza del governo italiano. È la sola presenza istituzionale italiana documentata nel viaggio, e non è della Farnesina.</w:t>
      </w:r>
    </w:p>
    <w:p>
      <w:pPr>
        <w:spacing w:after="120" w:line="276"/>
        <w:jc w:val="both"/>
      </w:pPr>
      <w:r>
        <w:rPr>
          <w:rFonts w:ascii="Barlow Semi Condensed" w:cs="Barlow Semi Condensed" w:eastAsia="Barlow Semi Condensed" w:hAnsi="Barlow Semi Condensed"/>
          <w:sz w:val="24"/>
          <w:szCs w:val="24"/>
        </w:rPr>
        <w:t xml:space="preserve">Il papa richiamò espressamente l'eredità di Paolo VI e di Atenagora I e il loro desiderio di bere nello stesso calice, ancora irrealizzato per l'impossibilità della concelebrazione, definita il segno più doloroso del danno prodotto dalla divisione.</w:t>
      </w:r>
    </w:p>
    <w:p>
      <w:pPr>
        <w:spacing w:after="120" w:line="276"/>
        <w:jc w:val="both"/>
      </w:pPr>
      <w:r>
        <w:rPr>
          <w:rFonts w:ascii="Barlow Semi Condensed" w:cs="Barlow Semi Condensed" w:eastAsia="Barlow Semi Condensed" w:hAnsi="Barlow Semi Condensed"/>
          <w:sz w:val="24"/>
          <w:szCs w:val="24"/>
        </w:rPr>
        <w:t xml:space="preserve">Il collegamento con il nodo prioritario va qualificato con la massima cautela. La lettera minatoria di Ağca del 27 novembre 1979 fu inviata proprio in occasione di questo viaggio, che si svolse senza incidenti. La contemporaneità fra la minaccia e il viaggio è un fatto; essa non stabilisce alcun nesso causale con l'attentato del 1981, avvenuto a diciotto mesi di distanza e in altro luogo.</w:t>
      </w:r>
    </w:p>
    <w:p>
      <w:pPr>
        <w:spacing w:after="120" w:line="276"/>
        <w:jc w:val="both"/>
      </w:pPr>
      <w:r>
        <w:rPr>
          <w:rFonts w:ascii="Barlow Semi Condensed" w:cs="Barlow Semi Condensed" w:eastAsia="Barlow Semi Condensed" w:hAnsi="Barlow Semi Condensed"/>
          <w:sz w:val="24"/>
          <w:szCs w:val="24"/>
        </w:rPr>
        <w:t xml:space="preserve">Ciò che collega i due termini è la persona dell'attentatore e la continuità del suo proposito dichiarato — come Ağca stesso avrebbe poi affermato rinviando alle motivazioni espresse nel 1979 — ma la ricostruzione delle cause e degli eventuali mandanti dell'attacco del 1981 resta quella, giudizialmente non conclusiva, esposta ai Capitoli quarto e quinto.</w:t>
      </w:r>
    </w:p>
    <w:p>
      <w:pPr>
        <w:pStyle w:val="Heading2"/>
        <w:spacing w:after="100" w:before="200"/>
      </w:pPr>
      <w:r>
        <w:rPr>
          <w:rFonts w:ascii="Barlow Semi Condensed" w:cs="Barlow Semi Condensed" w:eastAsia="Barlow Semi Condensed" w:hAnsi="Barlow Semi Condensed"/>
          <w:sz w:val="24"/>
          <w:szCs w:val="24"/>
        </w:rPr>
        <w:t xml:space="preserve">Capitolo ottavo — Il decennio turco di Roncalli e il dialogo cattolico-ortodosso</w:t>
      </w:r>
    </w:p>
    <w:p>
      <w:pPr>
        <w:spacing w:after="120" w:line="276"/>
        <w:jc w:val="both"/>
      </w:pPr>
      <w:r>
        <w:rPr>
          <w:rFonts w:ascii="Barlow Semi Condensed" w:cs="Barlow Semi Condensed" w:eastAsia="Barlow Semi Condensed" w:hAnsi="Barlow Semi Condensed"/>
          <w:sz w:val="24"/>
          <w:szCs w:val="24"/>
        </w:rPr>
        <w:t xml:space="preserve">Il capitolo espone le due radici positive del rapporto fra Santa Sede e Turchia, e le espone insieme perché la seconda discende in parte dalla prima.</w:t>
      </w:r>
    </w:p>
    <w:p>
      <w:pPr>
        <w:spacing w:after="120" w:line="276"/>
        <w:jc w:val="both"/>
      </w:pPr>
      <w:r>
        <w:rPr>
          <w:rFonts w:ascii="Barlow Semi Condensed" w:cs="Barlow Semi Condensed" w:eastAsia="Barlow Semi Condensed" w:hAnsi="Barlow Semi Condensed"/>
          <w:sz w:val="24"/>
          <w:szCs w:val="24"/>
        </w:rPr>
        <w:t xml:space="preserve">Il decennio roncalliano, con le divergenze di data mantenute. Sulla nomina di Angelo Giuseppe Roncalli a delegato apostolico in Turchia le fonti divergono: alcune indicano il 24 novembre 1934, altre genericamente il 1934 con l'incarico congiunto per Turchia e Grecia e l'amministrazione apostolica del Vicariato di Istanbul, altre ancora — fra cui uno studio del \</w:t>
      </w:r>
      <w:r>
        <w:rPr>
          <w:rFonts w:ascii="Barlow Semi Condensed" w:cs="Barlow Semi Condensed" w:eastAsia="Barlow Semi Condensed" w:hAnsi="Barlow Semi Condensed"/>
          <w:i/>
          <w:iCs/>
          <w:sz w:val="24"/>
          <w:szCs w:val="24"/>
        </w:rPr>
        <w:t xml:space="preserve">Journal of Ecclesiastical History\</w:t>
      </w:r>
      <w:r>
        <w:rPr>
          <w:rFonts w:ascii="Barlow Semi Condensed" w:cs="Barlow Semi Condensed" w:eastAsia="Barlow Semi Condensed" w:hAnsi="Barlow Semi Condensed"/>
          <w:sz w:val="24"/>
          <w:szCs w:val="24"/>
        </w:rPr>
        <w:t xml:space="preserve"> del gennaio 1989 — parlano di delegato apostolico da gennaio 1935 a dicembre 1944. Concordano invece sull'arrivo a Istanbul, proveniente da Sofia, il 5 gennaio 1935, e sulla conclusione alla fine del 1944 con la partenza per la nunziatura di Francia, datata al 27 dicembre 1944.</w:t>
      </w:r>
    </w:p>
    <w:p>
      <w:pPr>
        <w:spacing w:after="120" w:line="276"/>
        <w:jc w:val="both"/>
      </w:pPr>
      <w:r>
        <w:rPr>
          <w:rFonts w:ascii="Barlow Semi Condensed" w:cs="Barlow Semi Condensed" w:eastAsia="Barlow Semi Condensed" w:hAnsi="Barlow Semi Condensed"/>
          <w:sz w:val="24"/>
          <w:szCs w:val="24"/>
        </w:rPr>
        <w:t xml:space="preserve">La comunità. Le fonti oscillano fra trentamila fedeli al suo arrivo e trentacinquemila, con tendenza alla diminuzione. Roncalli operava in un contesto segnato dalla laicizzazione kemalista: la Repubblica non riconosceva ufficialmente la rappresentanza pontificia, sicché egli si muoveva con discrezione, presentandosi agli uffici di polizia per i documenti.</w:t>
      </w:r>
    </w:p>
    <w:p>
      <w:pPr>
        <w:spacing w:after="120" w:line="276"/>
        <w:jc w:val="both"/>
      </w:pPr>
      <w:r>
        <w:rPr>
          <w:rFonts w:ascii="Barlow Semi Condensed" w:cs="Barlow Semi Condensed" w:eastAsia="Barlow Semi Condensed" w:hAnsi="Barlow Semi Condensed"/>
          <w:sz w:val="24"/>
          <w:szCs w:val="24"/>
        </w:rPr>
        <w:t xml:space="preserve">L'innovazione liturgica, con divergenza cronologica. Roncalli introdusse la lingua turca nella liturgia e nelle comunicazioni della diocesi: una fonte colloca l'iniziativa fin dal 1935, un'altra al gennaio 1936 per preghiere e canti, una terza riferisce della lettura del Vangelo in turco nel 1938. L'iniziativa suscitò consensi nell'ambiente musulmano e contestazioni nella comunità cattolica occidentale, soprattutto francese, che si considerava prima destinataria delle cure pastorali. Quando una legge turca proibì l'abito religioso in pubblico, Roncalli si adeguò, annotando con ironia che il provvedimento favoriva i contatti con i capi religiosi ortodossi e musulmani.</w:t>
      </w:r>
    </w:p>
    <w:p>
      <w:pPr>
        <w:spacing w:after="120" w:line="276"/>
        <w:jc w:val="both"/>
      </w:pPr>
      <w:r>
        <w:rPr>
          <w:rFonts w:ascii="Barlow Semi Condensed" w:cs="Barlow Semi Condensed" w:eastAsia="Barlow Semi Condensed" w:hAnsi="Barlow Semi Condensed"/>
          <w:sz w:val="24"/>
          <w:szCs w:val="24"/>
        </w:rPr>
        <w:t xml:space="preserve">L'assistenza ai profughi ebrei. Le fonti concordano sul valore dell'azione e sul suo carattere personale e riservato; la cifra ricorrente è di circa venticinquemila ebrei concretamente aiutati, con la cautela che tali stime impongono. Roncalli si avvalse dei rapporti con l'ambasciatore tedesco a Istanbul Franz von Papen, cattolico ed ex cancelliere del Reich; le fonti, citando fra l'altro la testimonianza resa da von Papen a Norimberga, riferiscono che migliaia di ebrei furono salvati anche grazie alle formalità amministrative alle quali l'ambasciatore si piegò sotto la pressione di Roncalli. Gli interventi si estesero a ebrei di Slovacchia, Bulgaria e Ungheria.</w:t>
      </w:r>
    </w:p>
    <w:p>
      <w:pPr>
        <w:spacing w:after="120" w:line="276"/>
        <w:jc w:val="both"/>
      </w:pPr>
      <w:r>
        <w:rPr>
          <w:rFonts w:ascii="Barlow Semi Condensed" w:cs="Barlow Semi Condensed" w:eastAsia="Barlow Semi Condensed" w:hAnsi="Barlow Semi Condensed"/>
          <w:sz w:val="24"/>
          <w:szCs w:val="24"/>
        </w:rPr>
        <w:t xml:space="preserve">Il limite documentale, già enunciato al Capitolo primo, va ripetuto qui. La documentazione del quinquennio 1940-1945 non è pienamente consultabile.</w:t>
      </w:r>
    </w:p>
    <w:p>
      <w:pPr>
        <w:spacing w:after="120" w:line="276"/>
        <w:jc w:val="both"/>
      </w:pPr>
      <w:r>
        <w:rPr>
          <w:rFonts w:ascii="Barlow Semi Condensed" w:cs="Barlow Semi Condensed" w:eastAsia="Barlow Semi Condensed" w:hAnsi="Barlow Semi Condensed"/>
          <w:sz w:val="24"/>
          <w:szCs w:val="24"/>
        </w:rPr>
        <w:t xml:space="preserve">Il rilievo per il rapporto successivo. La memoria pubblica turca — una via di Istanbul intitolata a Roncalli, una statua — e la stessa Santa Sede attestano il valore di quella stagione: nel discorso al nuovo ambasciatore di Turchia del 19 gennaio 1967 Paolo VI collega esplicitamente l'avvio delle relazioni diplomatiche al pontificato di Giovanni XXIII.</w:t>
      </w:r>
    </w:p>
    <w:p>
      <w:pPr>
        <w:spacing w:after="120" w:line="276"/>
        <w:jc w:val="both"/>
      </w:pPr>
      <w:r>
        <w:rPr>
          <w:rFonts w:ascii="Barlow Semi Condensed" w:cs="Barlow Semi Condensed" w:eastAsia="Barlow Semi Condensed" w:hAnsi="Barlow Semi Condensed"/>
          <w:sz w:val="24"/>
          <w:szCs w:val="24"/>
        </w:rPr>
        <w:t xml:space="preserve">Il dialogo cattolico-ortodosso, per date. 5 gennaio 1964: incontro di Gerusalemme fra Paolo VI e Atenagora I sul Monte degli Ulivi, primo atto ufficiale congiunto dallo scisma del 1054. Aprile 1965: delegazione romana a Istanbul con i cardinali Willebrands e Bea. 9 ottobre 1965: nell'udienza al metropolita Emilianos Timiadis si decide la costituzione di una commissione mista. 7 dicembre 1965: la Dichiarazione comune è letta simultaneamente a Roma, nella sessione solenne del Concilio, e al Fanar; essa precisa che le scomuniche del 1054 fra Leone IX e Michele Cerulario riguardavano le persone e non le Chiese, e dispone di cancellare dalla memoria e dal seno della Chiesa quelle sentenze. 25-26 luglio 1967: Paolo VI a Istanbul, Efeso e Smirne, con incontro di Atenagora nella chiesa patriarcale di San Giorgio il 25. 26 ottobre 1967: Atenagora a Roma. Luglio 1972: morte di Atenagora, con divergenza fra il 6 e il 7 mantenuta, e successione di Dimitrios I. 29 maggio - 4 giugno 1980: prima sessione plenaria della Commissione mista internazionale a Patmos e Rodi, con l'obiezione di alcuni delegati ortodossi alla presenza dei rappresentanti delle Chiese cattoliche orientali. 28 giugno 1985: nel discorso al Sacro Collegio Giovanni Paolo II ricorda il primo frutto documentale, un documento redatto in comune sul mistero della Chiesa e dell'Eucaristia alla luce del mistero della Santissima Trinità.</w:t>
      </w:r>
    </w:p>
    <w:p>
      <w:pPr>
        <w:pStyle w:val="Heading2"/>
        <w:spacing w:after="100" w:before="200"/>
      </w:pPr>
      <w:r>
        <w:rPr>
          <w:rFonts w:ascii="Barlow Semi Condensed" w:cs="Barlow Semi Condensed" w:eastAsia="Barlow Semi Condensed" w:hAnsi="Barlow Semi Condensed"/>
          <w:sz w:val="24"/>
          <w:szCs w:val="24"/>
        </w:rPr>
        <w:t xml:space="preserve">Capitolo nono — Il Trattato di Losanna e l'esclusione dei cattolici latini</w:t>
      </w:r>
    </w:p>
    <w:p>
      <w:pPr>
        <w:spacing w:after="120" w:line="276"/>
        <w:jc w:val="both"/>
      </w:pPr>
      <w:r>
        <w:rPr>
          <w:rFonts w:ascii="Barlow Semi Condensed" w:cs="Barlow Semi Condensed" w:eastAsia="Barlow Semi Condensed" w:hAnsi="Barlow Semi Condensed"/>
          <w:sz w:val="24"/>
          <w:szCs w:val="24"/>
        </w:rPr>
        <w:t xml:space="preserve">Il capitolo espone il dato giuridico che determina in senso restrittivo lo statuto delle comunità cattoliche di Turchia, ed è il capitolo in cui la documentazione normativa è più solida.</w:t>
      </w:r>
    </w:p>
    <w:p>
      <w:pPr>
        <w:spacing w:after="120" w:line="276"/>
        <w:jc w:val="both"/>
      </w:pPr>
      <w:r>
        <w:rPr>
          <w:rFonts w:ascii="Barlow Semi Condensed" w:cs="Barlow Semi Condensed" w:eastAsia="Barlow Semi Condensed" w:hAnsi="Barlow Semi Condensed"/>
          <w:sz w:val="24"/>
          <w:szCs w:val="24"/>
        </w:rPr>
        <w:t xml:space="preserve">La norma. Il Trattato di Losanna del 24 luglio 1923, firmato fra la Turchia e le potenze dell'Intesa, pose fine alla guerra greco-turca, ridisegnò i confini stabiliti dal Trattato di Sèvres, sancì la rinuncia turca a Cipro e legittimò lo scambio di popolazioni fra Grecia e Turchia. La sezione dedicata ai diritti delle minoranze è nella parte prima, sezione terza, articoli dal trentasette al quarantacinque.</w:t>
      </w:r>
    </w:p>
    <w:p>
      <w:pPr>
        <w:spacing w:after="120" w:line="276"/>
        <w:jc w:val="both"/>
      </w:pPr>
      <w:r>
        <w:rPr>
          <w:rFonts w:ascii="Barlow Semi Condensed" w:cs="Barlow Semi Condensed" w:eastAsia="Barlow Semi Condensed" w:hAnsi="Barlow Semi Condensed"/>
          <w:sz w:val="24"/>
          <w:szCs w:val="24"/>
        </w:rPr>
        <w:t xml:space="preserve">L'interpretazione, e la sua conseguenza. L'interpretazione consolidata dalle autorità turche riconosce come minoranze non musulmane soltanto i greco-ortodossi, gli armeni e gli ebrei. Ne restano esclusi i cattolici latini, i caldei e i siro-cattolici.</w:t>
      </w:r>
    </w:p>
    <w:p>
      <w:pPr>
        <w:spacing w:after="120" w:line="276"/>
        <w:jc w:val="both"/>
      </w:pPr>
      <w:r>
        <w:rPr>
          <w:rFonts w:ascii="Barlow Semi Condensed" w:cs="Barlow Semi Condensed" w:eastAsia="Barlow Semi Condensed" w:hAnsi="Barlow Semi Condensed"/>
          <w:sz w:val="24"/>
          <w:szCs w:val="24"/>
        </w:rPr>
        <w:t xml:space="preserve">La conseguenza pratica è documentata con nettezza, e la si riporta perché è il punto in cui una clausola del 1923 produce effetti novant'anni dopo: a proposito del decreto turco di restituzione dei beni alle fondazioni religiose, una fonte confessionale osserva che nulla tornerà invece ai cattolici latini, perché questi non compaiono fra le minoranze religiose indicate nel Trattato di Losanna, mentre beneficiari della restituzione risultavano greco-ortodossi, armeni, caldei cattolici ed ebrei.</w:t>
      </w:r>
    </w:p>
    <w:p>
      <w:pPr>
        <w:spacing w:after="120" w:line="276"/>
        <w:jc w:val="both"/>
      </w:pPr>
      <w:r>
        <w:rPr>
          <w:rFonts w:ascii="Barlow Semi Condensed" w:cs="Barlow Semi Condensed" w:eastAsia="Barlow Semi Condensed" w:hAnsi="Barlow Semi Condensed"/>
          <w:sz w:val="24"/>
          <w:szCs w:val="24"/>
        </w:rPr>
        <w:t xml:space="preserve">L'articolazione delle comunità. Vicariato apostolico di Istanbul, Arcidiocesi di Smirne, Vicariato apostolico dell'Anatolia, Arcieparchia armeno-cattolica di Istanbul, comunità caldea e siro-cattolica, Esarcato apostolico per i cattolici di rito bizantino.</w:t>
      </w:r>
    </w:p>
    <w:p>
      <w:pPr>
        <w:spacing w:after="120" w:line="276"/>
        <w:jc w:val="both"/>
      </w:pPr>
      <w:r>
        <w:rPr>
          <w:rFonts w:ascii="Barlow Semi Condensed" w:cs="Barlow Semi Condensed" w:eastAsia="Barlow Semi Condensed" w:hAnsi="Barlow Semi Condensed"/>
          <w:sz w:val="24"/>
          <w:szCs w:val="24"/>
        </w:rPr>
        <w:t xml:space="preserve">Le consistenze, con le divergenze mantenute. Per il rito latino in epoca recente: oltre milletrecento fedeli a Smirne, quindicimila nel Vicariato di Istanbul, circa millecinquecento in Anatolia. Per il totale: una fonte indica circa trentacinquemila cattolici, pari allo zero virgola zero cinque per cento della popolazione; la ricognizione anteriore aveva registrato stime oscillanti fra venticinquemila-trentamila e sessantamila. Le divergenze si riportano.</w:t>
      </w:r>
    </w:p>
    <w:p>
      <w:pPr>
        <w:spacing w:after="120" w:line="276"/>
        <w:jc w:val="both"/>
      </w:pPr>
      <w:r>
        <w:rPr>
          <w:rFonts w:ascii="Barlow Semi Condensed" w:cs="Barlow Semi Condensed" w:eastAsia="Barlow Semi Condensed" w:hAnsi="Barlow Semi Condensed"/>
          <w:sz w:val="24"/>
          <w:szCs w:val="24"/>
        </w:rPr>
        <w:t xml:space="preserve">Un elemento storico che spiega la perdita di tutela. Nel diciannovesimo secolo, grazie all'influsso francese, quattro Chiese cattoliche — armeno-cattolica, caldea, greco-melchita e sira — avevano ottenuto sotto gli Ottomani lo statuto di millet. La rivoluzione kemalista, sopprimendo il sistema del millet, rimosse quella tutela; e Losanna non la ripristinò per i cattolici.</w:t>
      </w:r>
    </w:p>
    <w:p>
      <w:pPr>
        <w:spacing w:after="120" w:line="276"/>
        <w:jc w:val="both"/>
      </w:pPr>
      <w:r>
        <w:rPr>
          <w:rFonts w:ascii="Barlow Semi Condensed" w:cs="Barlow Semi Condensed" w:eastAsia="Barlow Semi Condensed" w:hAnsi="Barlow Semi Condensed"/>
          <w:sz w:val="24"/>
          <w:szCs w:val="24"/>
        </w:rPr>
        <w:t xml:space="preserve">Il regime delle fondazioni. Mancando il riconoscimento come minoranza, i cattolici latini non godono delle tutele patrimoniali riconosciute alle tre minoranze di Losanna, e le loro proprietà — monasteri, parrocchie — hanno storicamente sofferto della mancata personalità giuridica.</w:t>
      </w:r>
    </w:p>
    <w:p>
      <w:pPr>
        <w:spacing w:after="120" w:line="276"/>
        <w:jc w:val="both"/>
      </w:pPr>
      <w:r>
        <w:rPr>
          <w:rFonts w:ascii="Barlow Semi Condensed" w:cs="Barlow Semi Condensed" w:eastAsia="Barlow Semi Condensed" w:hAnsi="Barlow Semi Condensed"/>
          <w:sz w:val="24"/>
          <w:szCs w:val="24"/>
        </w:rPr>
        <w:t xml:space="preserve">Che cosa non è stato reperito. La posizione della Santa Sede sull'esclusione, per il periodo 1969-1985, non emerge dalle fonti reperite in forma di un atto formale e specifico di protesta: le rivendicazioni documentate appartengono per lo più a epoca successiva. La sede di accertamento è l'archivio della Segreteria di Stato per il pontificato di Paolo VI, non aperto — e qui il limite strutturale del Capitolo primo produce il suo effetto più diretto.</w:t>
      </w:r>
    </w:p>
    <w:p>
      <w:pPr>
        <w:pStyle w:val="Heading2"/>
        <w:spacing w:after="100" w:before="200"/>
      </w:pPr>
      <w:r>
        <w:rPr>
          <w:rFonts w:ascii="Barlow Semi Condensed" w:cs="Barlow Semi Condensed" w:eastAsia="Barlow Semi Condensed" w:hAnsi="Barlow Semi Condensed"/>
          <w:sz w:val="24"/>
          <w:szCs w:val="24"/>
        </w:rPr>
        <w:t xml:space="preserve">Capitolo decimo — La CSCE: il punto di intersezione documentato e le sue due lacune</w:t>
      </w:r>
    </w:p>
    <w:p>
      <w:pPr>
        <w:spacing w:after="120" w:line="276"/>
        <w:jc w:val="both"/>
      </w:pPr>
      <w:r>
        <w:rPr>
          <w:rFonts w:ascii="Barlow Semi Condensed" w:cs="Barlow Semi Condensed" w:eastAsia="Barlow Semi Condensed" w:hAnsi="Barlow Semi Condensed"/>
          <w:sz w:val="24"/>
          <w:szCs w:val="24"/>
        </w:rPr>
        <w:t xml:space="preserve">Il capitolo espone il solo momento in cui i tre soggetti agirono nel medesimo consesso, e dichiara ciò che di esso non si sa.</w:t>
      </w:r>
    </w:p>
    <w:p>
      <w:pPr>
        <w:spacing w:after="120" w:line="276"/>
        <w:jc w:val="both"/>
      </w:pPr>
      <w:r>
        <w:rPr>
          <w:rFonts w:ascii="Barlow Semi Condensed" w:cs="Barlow Semi Condensed" w:eastAsia="Barlow Semi Condensed" w:hAnsi="Barlow Semi Condensed"/>
          <w:sz w:val="24"/>
          <w:szCs w:val="24"/>
        </w:rPr>
        <w:t xml:space="preserve">La partecipazione vaticana. La Santa Sede partecipò alla Conferenza per la sicurezza e la cooperazione in Europa come membro a pieno titolo — la prima volta, dopo il Congresso di Vienna del 1815, che ciò avvenisse in un congresso di Stati. La delegazione fu guidata da Agostino Casaroli, segretario del Consiglio per gli affari pubblici della Chiesa, e da Achille Silvestrini, allora sottosegretario del medesimo Consiglio. La partecipazione avvenne fin dalle riunioni preparatorie.</w:t>
      </w:r>
    </w:p>
    <w:p>
      <w:pPr>
        <w:spacing w:after="120" w:line="276"/>
        <w:jc w:val="both"/>
      </w:pPr>
      <w:r>
        <w:rPr>
          <w:rFonts w:ascii="Barlow Semi Condensed" w:cs="Barlow Semi Condensed" w:eastAsia="Barlow Semi Condensed" w:hAnsi="Barlow Semi Condensed"/>
          <w:sz w:val="24"/>
          <w:szCs w:val="24"/>
        </w:rPr>
        <w:t xml:space="preserve">Il contributo caratteristico. Silvestrini ha rievocato l'emozione con cui il 7 marzo 1973 fu presentata, nell'ambito dei principi destinati a reggere i rapporti fra gli Stati, una proposta sulla libertà religiosa, ricordando che nella storia d'Europa esisteva una comune cultura, quella cristiana. La proposta, accolta secondo il suo racconto come una bomba, confluì nel settimo principio dell'Atto finale, che afferma il rispetto dei diritti dell'uomo e delle libertà fondamentali, inclusa la libertà di pensiero, coscienza, religione o credo.</w:t>
      </w:r>
    </w:p>
    <w:p>
      <w:pPr>
        <w:spacing w:after="120" w:line="276"/>
        <w:jc w:val="both"/>
      </w:pPr>
      <w:r>
        <w:rPr>
          <w:rFonts w:ascii="Barlow Semi Condensed" w:cs="Barlow Semi Condensed" w:eastAsia="Barlow Semi Condensed" w:hAnsi="Barlow Semi Condensed"/>
          <w:sz w:val="24"/>
          <w:szCs w:val="24"/>
        </w:rPr>
        <w:t xml:space="preserve">La firma del 1 agosto 1975. L'Atto finale fu sottoscritto da trentacinque Stati partecipanti. Vi apposero la firma la Santa Sede, la Turchia e, per l'Italia, Aldo Moro nella duplice qualità di presidente del Consiglio e presidente di turno della Comunità europea.</w:t>
      </w:r>
    </w:p>
    <w:p>
      <w:pPr>
        <w:spacing w:after="120" w:line="276"/>
        <w:jc w:val="both"/>
      </w:pPr>
      <w:r>
        <w:rPr>
          <w:rFonts w:ascii="Barlow Semi Condensed" w:cs="Barlow Semi Condensed" w:eastAsia="Barlow Semi Condensed" w:hAnsi="Barlow Semi Condensed"/>
          <w:sz w:val="24"/>
          <w:szCs w:val="24"/>
        </w:rPr>
        <w:t xml:space="preserve">Questa è la triangolazione certa dell'intero studio, e va enunciata per quello che è: una convergenza di firma e una comunanza di consesso, documentate, fra i tre soggetti, sul medesimo atto internazionale.</w:t>
      </w:r>
    </w:p>
    <w:p>
      <w:pPr>
        <w:spacing w:after="120" w:line="276"/>
        <w:jc w:val="both"/>
      </w:pPr>
      <w:r>
        <w:rPr>
          <w:rFonts w:ascii="Barlow Semi Condensed" w:cs="Barlow Semi Condensed" w:eastAsia="Barlow Semi Condensed" w:hAnsi="Barlow Semi Condensed"/>
          <w:sz w:val="24"/>
          <w:szCs w:val="24"/>
        </w:rPr>
        <w:t xml:space="preserve">E adesso le due lacune, che vanno dichiarate con eguale forza.</w:t>
      </w:r>
    </w:p>
    <w:p>
      <w:pPr>
        <w:spacing w:after="120" w:line="276"/>
        <w:jc w:val="both"/>
      </w:pPr>
      <w:r>
        <w:rPr>
          <w:rFonts w:ascii="Barlow Semi Condensed" w:cs="Barlow Semi Condensed" w:eastAsia="Barlow Semi Condensed" w:hAnsi="Barlow Semi Condensed"/>
          <w:sz w:val="24"/>
          <w:szCs w:val="24"/>
        </w:rPr>
        <w:t xml:space="preserve">Prima lacuna. Non risulta che la questione delle minoranze cristiane in Turchia e la chiusura di Halki siano state sollevate formalmente dalla delegazione vaticana o da altra delegazione, né nella sede del 1975 né nelle riunioni di seguito di Belgrado e Madrid. Il tema della libertà religiosa fu posto dalla Santa Sede in termini generali e principalmente in funzione della condizione dei cattolici nei Paesi del blocco orientale, secondo la logica della Ostpolitik, e non come rivendicazione puntuale verso Ankara.</w:t>
      </w:r>
    </w:p>
    <w:p>
      <w:pPr>
        <w:spacing w:after="120" w:line="276"/>
        <w:jc w:val="both"/>
      </w:pPr>
      <w:r>
        <w:rPr>
          <w:rFonts w:ascii="Barlow Semi Condensed" w:cs="Barlow Semi Condensed" w:eastAsia="Barlow Semi Condensed" w:hAnsi="Barlow Semi Condensed"/>
          <w:sz w:val="24"/>
          <w:szCs w:val="24"/>
        </w:rPr>
        <w:t xml:space="preserve">Ne discende una osservazione che merita di essere formulata. La Santa Sede ottenne a Helsinki l'inscrizione della libertà religiosa fra i principi, e la ottenne guardando a Oriente. Che il medesimo principio potesse essere invocato verso un alleato atlantico che aveva chiuso il seminario del Patriarcato quattro anni prima non risulta essere stato fatto valere. Questo è un dato; e la sua interpretazione — se prudenza diplomatica, se priorità gerarchica dei dossier, se altro — non è accertata da alcuna fonte reperita.</w:t>
      </w:r>
    </w:p>
    <w:p>
      <w:pPr>
        <w:spacing w:after="120" w:line="276"/>
        <w:jc w:val="both"/>
      </w:pPr>
      <w:r>
        <w:rPr>
          <w:rFonts w:ascii="Barlow Semi Condensed" w:cs="Barlow Semi Condensed" w:eastAsia="Barlow Semi Condensed" w:hAnsi="Barlow Semi Condensed"/>
          <w:sz w:val="24"/>
          <w:szCs w:val="24"/>
        </w:rPr>
        <w:t xml:space="preserve">Seconda lacuna. La posizione turca sui principi relativi ai diritti umani e alle minoranze in quella sede non è documentata con la specificità necessaria dalle fonti raccolte.</w:t>
      </w:r>
    </w:p>
    <w:p>
      <w:pPr>
        <w:spacing w:after="120" w:line="276"/>
        <w:jc w:val="both"/>
      </w:pPr>
      <w:r>
        <w:rPr>
          <w:rFonts w:ascii="Barlow Semi Condensed" w:cs="Barlow Semi Condensed" w:eastAsia="Barlow Semi Condensed" w:hAnsi="Barlow Semi Condensed"/>
          <w:sz w:val="24"/>
          <w:szCs w:val="24"/>
        </w:rPr>
        <w:t xml:space="preserve">Le sedi di accertamento sono gli atti della Conferenza, l'archivio della Segreteria di Stato — non aperto — e gli archivi diplomatici turchi.</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e il loro grado</w:t>
      </w:r>
    </w:p>
    <w:p>
      <w:pPr>
        <w:spacing w:after="120" w:line="276"/>
        <w:jc w:val="both"/>
      </w:pPr>
      <w:r>
        <w:rPr>
          <w:rFonts w:ascii="Barlow Semi Condensed" w:cs="Barlow Semi Condensed" w:eastAsia="Barlow Semi Condensed" w:hAnsi="Barlow Semi Condensed"/>
          <w:sz w:val="24"/>
          <w:szCs w:val="24"/>
        </w:rPr>
        <w:t xml:space="preserve">Si espongono le triangolazioni reperite, con il grado e con ciò che non stabiliscono.</w:t>
      </w:r>
    </w:p>
    <w:p>
      <w:pPr>
        <w:spacing w:after="120" w:line="276"/>
        <w:jc w:val="both"/>
      </w:pPr>
      <w:r>
        <w:rPr>
          <w:rFonts w:ascii="Barlow Semi Condensed" w:cs="Barlow Semi Condensed" w:eastAsia="Barlow Semi Condensed" w:hAnsi="Barlow Semi Condensed"/>
          <w:sz w:val="24"/>
          <w:szCs w:val="24"/>
        </w:rPr>
        <w:t xml:space="preserve">Prima triangolazione: la firma di Helsinki del 1 agosto 1975. Grado alto quanto al fatto. Contenuto: Santa Sede, Turchia e Italia di Moro sottoscrivono il medesimo atto internazionale; la Santa Sede vi ha ottenuto l'inscrizione della libertà religiosa nel settimo principio. Ciò che non stabilisce: la materia era la sicurezza europea e non la condizione delle minoranze cristiane in Turchia; nessuna fonte documenta un coordinamento fra le delegazioni. È una convergenza di consesso, e nulla di più.</w:t>
      </w:r>
    </w:p>
    <w:p>
      <w:pPr>
        <w:spacing w:after="120" w:line="276"/>
        <w:jc w:val="both"/>
      </w:pPr>
      <w:r>
        <w:rPr>
          <w:rFonts w:ascii="Barlow Semi Condensed" w:cs="Barlow Semi Condensed" w:eastAsia="Barlow Semi Condensed" w:hAnsi="Barlow Semi Condensed"/>
          <w:sz w:val="24"/>
          <w:szCs w:val="24"/>
        </w:rPr>
        <w:t xml:space="preserve">Seconda triangolazione: la sovrapposizione fra collettività italiana e minoranza latina. Grado medio. Contenuto: la comunità italiana di Istanbul e Smirne è la più antica collettività italiana all'estero, e le parrocchie latine — escluse dalle tutele di Losanna — ne erano il riferimento religioso. Ciò che non stabilisce: nessuna azione coordinata della Farnesina in loro favore risulta documentata nel periodo. È una sovrapposizione di perimetro senza azione accertata.</w:t>
      </w:r>
    </w:p>
    <w:p>
      <w:pPr>
        <w:spacing w:after="120" w:line="276"/>
        <w:jc w:val="both"/>
      </w:pPr>
      <w:r>
        <w:rPr>
          <w:rFonts w:ascii="Barlow Semi Condensed" w:cs="Barlow Semi Condensed" w:eastAsia="Barlow Semi Condensed" w:hAnsi="Barlow Semi Condensed"/>
          <w:sz w:val="24"/>
          <w:szCs w:val="24"/>
        </w:rPr>
        <w:t xml:space="preserve">Terza triangolazione: l'eredità roncalliana come titolo diplomatico. Grado alto quanto al riconoscimento. Contenuto: nel discorso al nuovo ambasciatore turco del 19 gennaio 1967 Paolo VI collega l'avvio delle relazioni diplomatiche al pontificato di Giovanni XXIII, cioè all'uomo che era stato delegato apostolico a Istanbul per un decennio. Ciò che non stabilisce: nulla riguardo all'Italia come Stato, il cui ruolo in quella genealogia è inesistente. È una triangolazione fra Santa Sede e Turchia dalla quale l'Italia è assente, pur essendo Roncalli italiano.</w:t>
      </w:r>
    </w:p>
    <w:p>
      <w:pPr>
        <w:spacing w:after="120" w:line="276"/>
        <w:jc w:val="both"/>
      </w:pPr>
      <w:r>
        <w:rPr>
          <w:rFonts w:ascii="Barlow Semi Condensed" w:cs="Barlow Semi Condensed" w:eastAsia="Barlow Semi Condensed" w:hAnsi="Barlow Semi Condensed"/>
          <w:sz w:val="24"/>
          <w:szCs w:val="24"/>
        </w:rPr>
        <w:t xml:space="preserve">Quarta triangolazione: l'attentato del 1981. Grado alto quanto ai fatti materiali, nullo quanto ai mandanti. Contenuto: un cittadino turco, proveniente da un ambiente politico radicale, dopo aver ucciso un direttore di giornale ed essere evaso da un carcere militare, minaccia per iscritto il pontefice nel novembre 1979 e gli spara in piazza San Pietro nel maggio 1981. Ciò che non stabilisce: la pista bulgara non fu giudizialmente provata; i mandanti non sono accertati; nessun mandato organizzativo dei Lupi Grigi è stato accertato. È il collegamento più diretto fra Turchia e Vaticano dell'intera serie, e simultaneamente quello di cui si sa meno.</w:t>
      </w:r>
    </w:p>
    <w:p>
      <w:pPr>
        <w:spacing w:after="120" w:line="276"/>
        <w:jc w:val="both"/>
      </w:pPr>
      <w:r>
        <w:rPr>
          <w:rFonts w:ascii="Barlow Semi Condensed" w:cs="Barlow Semi Condensed" w:eastAsia="Barlow Semi Condensed" w:hAnsi="Barlow Semi Condensed"/>
          <w:sz w:val="24"/>
          <w:szCs w:val="24"/>
        </w:rPr>
        <w:t xml:space="preserve">Il bilancio, ed è la risultanza generale. Nessuna delle quattro triangolazioni coinvolge l'Italia come attore documentato, e questa è la settima volta consecutiva che questo studio giunge alla medesima conclusione. Nella prima l'Italia è cofirmataria; nella seconda è titolare di un interesse consolare non esercitato; nella terza è assente; nella quarta è il territorio su cui il fatto avviene e la giurisdizione che lo giudica.</w:t>
      </w:r>
    </w:p>
    <w:p>
      <w:pPr>
        <w:spacing w:after="120" w:line="276"/>
        <w:jc w:val="both"/>
      </w:pPr>
      <w:r>
        <w:rPr>
          <w:rFonts w:ascii="Barlow Semi Condensed" w:cs="Barlow Semi Condensed" w:eastAsia="Barlow Semi Condensed" w:hAnsi="Barlow Semi Condensed"/>
          <w:sz w:val="24"/>
          <w:szCs w:val="24"/>
        </w:rPr>
        <w:t xml:space="preserve">Un'osservazione che vale come chiusura analitica. Nella quarta triangolazione l'Italia compare come sede giudiziaria: fu la magistratura italiana a istruire, processare e assolvere. E il suo esito — l'assoluzione per insufficienza di prove del 29 marzo 1986 — converge con la valutazione dell'intelligence statunitense che, disponendo di ogni interesse politico contrario, scrisse di non poter sviluppare un quadro conclusivo. Due apparati indipendenti, con interessi divergenti, giunsero alla medesima non-conclusione. Questa convergenza è, secondo me, il dato più solido che questo studio produca sulla materia.</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dei sette studi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 con la condizione di chiusura.</w:t>
      </w:r>
    </w:p>
    <w:p>
      <w:pPr>
        <w:spacing w:after="120" w:line="276"/>
        <w:jc w:val="both"/>
      </w:pPr>
      <w:r>
        <w:rPr>
          <w:rFonts w:ascii="Barlow Semi Condensed" w:cs="Barlow Semi Condensed" w:eastAsia="Barlow Semi Condensed" w:hAnsi="Barlow Semi Condensed"/>
          <w:sz w:val="24"/>
          <w:szCs w:val="24"/>
        </w:rPr>
        <w:t xml:space="preserve">Prima voce, di rendimento massimo e condizione non nelle nostre mani. La documentazione della Segreteria di Stato, sezione Rapporti con gli Stati, per il pontificato di Paolo VI: Turchia, minoranze cattoliche, Halki, CSCE. Condizione di chiusura: l'apertura del pontificato alla consultazione, oggi non disposta. È la sola voce che, aperta, riscriverebbe i Capitoli nono e decimo.</w:t>
      </w:r>
    </w:p>
    <w:p>
      <w:pPr>
        <w:spacing w:after="120" w:line="276"/>
        <w:jc w:val="both"/>
      </w:pPr>
      <w:r>
        <w:rPr>
          <w:rFonts w:ascii="Barlow Semi Condensed" w:cs="Barlow Semi Condensed" w:eastAsia="Barlow Semi Condensed" w:hAnsi="Barlow Semi Condensed"/>
          <w:sz w:val="24"/>
          <w:szCs w:val="24"/>
        </w:rPr>
        <w:t xml:space="preserve">Seconda voce, di rendimento alto e condizione eseguibile. La posizione della Farnesina di Moro sulle minoranze cristiane, su Halki e sul Patriarcato, e l'esistenza di contatti con la Segreteria di Stato. Sede: Archivio Storico Diplomatico del Ministero degli Affari Esteri, serie Turchia e serie Santa Sede 1969-1975. Condizione: consultazione diretta, tenuto conto dell'esclusione dei Telegrammi 1942-1970. Soglia che muterebbe la valutazione: il rinvenimento di anche un solo telegramma o appunto che tratti Halki, il Patriarcato o le parrocchie latine.</w:t>
      </w:r>
    </w:p>
    <w:p>
      <w:pPr>
        <w:spacing w:after="120" w:line="276"/>
        <w:jc w:val="both"/>
      </w:pPr>
      <w:r>
        <w:rPr>
          <w:rFonts w:ascii="Barlow Semi Condensed" w:cs="Barlow Semi Condensed" w:eastAsia="Barlow Semi Condensed" w:hAnsi="Barlow Semi Condensed"/>
          <w:sz w:val="24"/>
          <w:szCs w:val="24"/>
        </w:rPr>
        <w:t xml:space="preserve">Terza voce. L'eventuale trattazione della questione delle minoranze cristiane turche nelle sedi CSCE del 1975 e nelle riunioni di seguito. Sedi: atti della Conferenza, archivio della Segreteria di Stato, archivi diplomatici turchi. Condizione: spoglio sistematico dei verbali.</w:t>
      </w:r>
    </w:p>
    <w:p>
      <w:pPr>
        <w:spacing w:after="120" w:line="276"/>
        <w:jc w:val="both"/>
      </w:pPr>
      <w:r>
        <w:rPr>
          <w:rFonts w:ascii="Barlow Semi Condensed" w:cs="Barlow Semi Condensed" w:eastAsia="Barlow Semi Condensed" w:hAnsi="Barlow Semi Condensed"/>
          <w:sz w:val="24"/>
          <w:szCs w:val="24"/>
        </w:rPr>
        <w:t xml:space="preserve">Quarta voce. La documentazione roncalliana del 1940-1945 sull'assistenza agli ebrei. Sede: Archivio Apostolico Vaticano. Condizione: apertura integrale del fondo.</w:t>
      </w:r>
    </w:p>
    <w:p>
      <w:pPr>
        <w:spacing w:after="120" w:line="276"/>
        <w:jc w:val="both"/>
      </w:pPr>
      <w:r>
        <w:rPr>
          <w:rFonts w:ascii="Barlow Semi Condensed" w:cs="Barlow Semi Condensed" w:eastAsia="Barlow Semi Condensed" w:hAnsi="Barlow Semi Condensed"/>
          <w:sz w:val="24"/>
          <w:szCs w:val="24"/>
        </w:rPr>
        <w:t xml:space="preserve">Quinta voce. Le circostanze dell'evasione di Ağca da Kartal-Maltepe e i suoi rapporti d'ambiente, sul versante turco. Sede: archivi giudiziari turchi. Condizione: la loro accessibilità, non verificata.</w:t>
      </w:r>
    </w:p>
    <w:p>
      <w:pPr>
        <w:spacing w:after="120" w:line="276"/>
        <w:jc w:val="both"/>
      </w:pPr>
      <w:r>
        <w:rPr>
          <w:rFonts w:ascii="Barlow Semi Condensed" w:cs="Barlow Semi Condensed" w:eastAsia="Barlow Semi Condensed" w:hAnsi="Barlow Semi Condensed"/>
          <w:sz w:val="24"/>
          <w:szCs w:val="24"/>
        </w:rPr>
        <w:t xml:space="preserve">Sesta voce, di rendimento incerto ma decisiva sul merito. Il testo integrale delle porzioni non desecretate dei documenti statunitensi 370 e 376. Sede: CIA FOIA Electronic Reading Room. Condizione: ulteriore desecretazione. È la sola voce che potrebbe mutare il quadro probatorio sulla pista bulgara.</w:t>
      </w:r>
    </w:p>
    <w:p>
      <w:pPr>
        <w:spacing w:after="120" w:line="276"/>
        <w:jc w:val="both"/>
      </w:pPr>
      <w:r>
        <w:rPr>
          <w:rFonts w:ascii="Barlow Semi Condensed" w:cs="Barlow Semi Condensed" w:eastAsia="Barlow Semi Condensed" w:hAnsi="Barlow Semi Condensed"/>
          <w:sz w:val="24"/>
          <w:szCs w:val="24"/>
        </w:rPr>
        <w:t xml:space="preserve">Settima voce. I fascicoli processuali dell'attentato. Sedi: Archivio Centrale dello Stato o Corte d'assise di Roma. Condizione: autorizzazione all'accesso.</w:t>
      </w:r>
    </w:p>
    <w:p>
      <w:pPr>
        <w:pStyle w:val="Heading2"/>
        <w:spacing w:after="100" w:before="200"/>
      </w:pPr>
      <w:r>
        <w:rPr>
          <w:rFonts w:ascii="Barlow Semi Condensed" w:cs="Barlow Semi Condensed" w:eastAsia="Barlow Semi Condensed" w:hAnsi="Barlow Semi Condensed"/>
          <w:sz w:val="24"/>
          <w:szCs w:val="24"/>
        </w:rPr>
        <w:t xml:space="preserve">Nota sul bilancio dei sette studi, che chiude questa ricognizione.</w:t>
      </w:r>
    </w:p>
    <w:p>
      <w:pPr>
        <w:spacing w:after="120" w:line="276"/>
        <w:jc w:val="both"/>
      </w:pPr>
      <w:r>
        <w:rPr>
          <w:rFonts w:ascii="Barlow Semi Condensed" w:cs="Barlow Semi Condensed" w:eastAsia="Barlow Semi Condensed" w:hAnsi="Barlow Semi Condensed"/>
          <w:sz w:val="24"/>
          <w:szCs w:val="24"/>
        </w:rPr>
        <w:t xml:space="preserve">Sette ricognizioni hanno percorso l'attività ministeriale di Moro verso Spagna, Portogallo, Grecia, Cipro e Turchia, incrociandola con la Santa Sede e con l'Opus Dei. L'esito è costante e va enunciato senza attenuazioni: il governo italiano non compare come attore documentato in nessuno dei cinque perimetri.</w:t>
      </w:r>
    </w:p>
    <w:p>
      <w:pPr>
        <w:spacing w:after="120" w:line="276"/>
        <w:jc w:val="both"/>
      </w:pPr>
      <w:r>
        <w:rPr>
          <w:rFonts w:ascii="Barlow Semi Condensed" w:cs="Barlow Semi Condensed" w:eastAsia="Barlow Semi Condensed" w:hAnsi="Barlow Semi Condensed"/>
          <w:sz w:val="24"/>
          <w:szCs w:val="24"/>
        </w:rPr>
        <w:t xml:space="preserve">Verso Madrid, nessuna iniziativa. Verso Lisbona, nessun atto reperito nemmeno sull'espulsione di nove propri cittadini. Verso Atene, un solo atto forte — la seduta del Consiglio d'Europa del dicembre 1969 — e per il resto assorbimento nelle sedi multilaterali. Verso Nicosia, esclusione dalle potenze garanti, dal Consiglio di Sicurezza e dai contributori della forza di pace. Verso Ankara, presenza comunitaria documentata e assenza confessionale.</w:t>
      </w:r>
    </w:p>
    <w:p>
      <w:pPr>
        <w:spacing w:after="120" w:line="276"/>
        <w:jc w:val="both"/>
      </w:pPr>
      <w:r>
        <w:rPr>
          <w:rFonts w:ascii="Barlow Semi Condensed" w:cs="Barlow Semi Condensed" w:eastAsia="Barlow Semi Condensed" w:hAnsi="Barlow Semi Condensed"/>
          <w:sz w:val="24"/>
          <w:szCs w:val="24"/>
        </w:rPr>
        <w:t xml:space="preserve">E ciò che compare, ogni volta, sono soggetti diversi dallo Stato. Congregazioni religiose. Enti locali di sinistra. Cancellerie ecclesiastiche. Polizie politiche. Magistrature. Servizi di intelligence stranieri.</w:t>
      </w:r>
    </w:p>
    <w:p>
      <w:pPr>
        <w:spacing w:after="120" w:line="276"/>
        <w:jc w:val="both"/>
      </w:pPr>
      <w:r>
        <w:rPr>
          <w:rFonts w:ascii="Barlow Semi Condensed" w:cs="Barlow Semi Condensed" w:eastAsia="Barlow Semi Condensed" w:hAnsi="Barlow Semi Condensed"/>
          <w:sz w:val="24"/>
          <w:szCs w:val="24"/>
        </w:rPr>
        <w:t xml:space="preserve">Ne discende la constatazione che i sette studi consegnano insieme, e che nessuno di essi avrebbe prodotto da solo. Dove agiscono soggetti che tengono archivio e che pubblicano, resta traccia anche a mezzo secolo di distanza. Dove agiscono i governi, e i loro archivi non sono accessibili o non sono indicizzati o non sono aperti per intere epoche, non resta nulla.</w:t>
      </w:r>
    </w:p>
    <w:p>
      <w:pPr>
        <w:spacing w:after="120" w:line="276"/>
        <w:jc w:val="both"/>
      </w:pPr>
      <w:r>
        <w:rPr>
          <w:rFonts w:ascii="Barlow Semi Condensed" w:cs="Barlow Semi Condensed" w:eastAsia="Barlow Semi Condensed" w:hAnsi="Barlow Semi Condensed"/>
          <w:sz w:val="24"/>
          <w:szCs w:val="24"/>
        </w:rPr>
        <w:t xml:space="preserve">E l'assenza di traccia non va confusa con l'assenza dell'atto. È la sola lezione che sette ricognizioni consegnano con certezza. In questo settimo studio essa acquista però una forma più netta che negli altri sei: qui l'inaccessibilità non è un difetto di ricerca ma una disposizione istituzionale, e la ricerca ne prende atto anziché supplirvi con l'inferenza.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VIII · Aldo Moro Alla Farnesina, La Turchia E La Santa Sede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VIII: 5.915 parole in 9 sezioni; la più ampia è §9 Altre sezioni, con 5.049.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VIII: 109 paragrafi in 9 sezioni, 12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IX — Moro, Il Mediterraneo Orientale E L'Opus Dei</w:t>
      </w:r>
    </w:p>
    <w:p>
      <w:pPr>
        <w:pStyle w:val="Heading1"/>
        <w:spacing w:after="120" w:before="240"/>
      </w:pPr>
      <w:r>
        <w:rPr>
          <w:rFonts w:ascii="Barlow Semi Condensed" w:cs="Barlow Semi Condensed" w:eastAsia="Barlow Semi Condensed" w:hAnsi="Barlow Semi Condensed"/>
          <w:sz w:val="24"/>
          <w:szCs w:val="24"/>
        </w:rPr>
        <w:t xml:space="preserve">MORO, IL MEDITERRANEO ORIENTALE E L'OPUS DEI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../originali/grecia-opus-dei-1969-1985.md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7,0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Ottava ricognizione: Grecia, Cipro, Turchia consolidate</w:t>
      </w:r>
    </w:p>
    <w:p>
      <w:pPr>
        <w:pStyle w:val="Heading2"/>
        <w:spacing w:after="100" w:before="200"/>
      </w:pPr>
      <w:r>
        <w:rPr>
          <w:rFonts w:ascii="Barlow Semi Condensed" w:cs="Barlow Semi Condensed" w:eastAsia="Barlow Semi Condensed" w:hAnsi="Barlow Semi Condensed"/>
          <w:sz w:val="24"/>
          <w:szCs w:val="24"/>
        </w:rPr>
        <w:t xml:space="preserve">Tre assenze verificate e il modello che esse stabiliscono</w:t>
      </w:r>
    </w:p>
    <w:p>
      <w:pPr>
        <w:pStyle w:val="Heading2"/>
        <w:spacing w:after="100" w:before="200"/>
      </w:pPr>
      <w:r>
        <w:rPr>
          <w:rFonts w:ascii="Barlow Semi Condensed" w:cs="Barlow Semi Condensed" w:eastAsia="Barlow Semi Condensed" w:hAnsi="Barlow Semi Condensed"/>
          <w:sz w:val="24"/>
          <w:szCs w:val="24"/>
        </w:rPr>
        <w:t xml:space="preserve">Dodici Capitoli — sette triangolazioni — sette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Perché tre casi valgono più di tre studi separati</w:t>
      </w:r>
    </w:p>
    <w:p>
      <w:pPr>
        <w:spacing w:after="120" w:line="276"/>
        <w:jc w:val="both"/>
      </w:pPr>
      <w:r>
        <w:rPr>
          <w:rFonts w:ascii="Barlow Semi Condensed" w:cs="Barlow Semi Condensed" w:eastAsia="Barlow Semi Condensed" w:hAnsi="Barlow Semi Condensed"/>
          <w:sz w:val="24"/>
          <w:szCs w:val="24"/>
        </w:rPr>
        <w:t xml:space="preserve">Questo documento consolida tre ricognizioni condotte separatamente sul Mediterraneo orientale — Grecia, Cipro, Turchia — ciascuna incrociata con l'Opus Dei, e nessuna delle quali era finora entrata nel corpus del progetto come documento. Esse esistevano come rapporti di ricerca; qui diventano un solo studio, e la ragione non è di ordine editoriale.</w:t>
      </w:r>
    </w:p>
    <w:p>
      <w:pPr>
        <w:spacing w:after="120" w:line="276"/>
        <w:jc w:val="both"/>
      </w:pPr>
      <w:r>
        <w:rPr>
          <w:rFonts w:ascii="Barlow Semi Condensed" w:cs="Barlow Semi Condensed" w:eastAsia="Barlow Semi Condensed" w:hAnsi="Barlow Semi Condensed"/>
          <w:sz w:val="24"/>
          <w:szCs w:val="24"/>
        </w:rPr>
        <w:t xml:space="preserve">I tre casi, presi insieme, stabiliscono una proposizione che nessuno di essi stabilirebbe da solo. Presi separatamente, ciascuno produce un esito negativo: l'Opus Dei non è presente né in Grecia, né a Cipro, né in Turchia. Presi insieme, e confrontati con i casi iberici già studiati, essi isolano la variabile che determina l'insediamento dell'istituzione, e la isolano per via controfattuale.</w:t>
      </w:r>
    </w:p>
    <w:p>
      <w:pPr>
        <w:spacing w:after="120" w:line="276"/>
        <w:jc w:val="both"/>
      </w:pPr>
      <w:r>
        <w:rPr>
          <w:rFonts w:ascii="Barlow Semi Condensed" w:cs="Barlow Semi Condensed" w:eastAsia="Barlow Semi Condensed" w:hAnsi="Barlow Semi Condensed"/>
          <w:sz w:val="24"/>
          <w:szCs w:val="24"/>
        </w:rPr>
        <w:t xml:space="preserve">La proposizione è questa. La presenza dell'Opus Dei in un Paese del Mediterraneo non correla con la natura autoritaria del regime, né con la mera presenza di minoranze cattoliche; correla con la compresenza di una maggioranza cattolica e di un ceto universitario e professionale cattolico su cui l'apostolato dell'ente possa radicarsi.</w:t>
      </w:r>
    </w:p>
    <w:p>
      <w:pPr>
        <w:spacing w:after="120" w:line="276"/>
        <w:jc w:val="both"/>
      </w:pPr>
      <w:r>
        <w:rPr>
          <w:rFonts w:ascii="Barlow Semi Condensed" w:cs="Barlow Semi Condensed" w:eastAsia="Barlow Semi Condensed" w:hAnsi="Barlow Semi Condensed"/>
          <w:sz w:val="24"/>
          <w:szCs w:val="24"/>
        </w:rPr>
        <w:t xml:space="preserve">La dimostrazione richiede i tre casi in questo ordine, e va enunciata subito perché è l'architettura dello studio.</w:t>
      </w:r>
    </w:p>
    <w:p>
      <w:pPr>
        <w:spacing w:after="120" w:line="276"/>
        <w:jc w:val="both"/>
      </w:pPr>
      <w:r>
        <w:rPr>
          <w:rFonts w:ascii="Barlow Semi Condensed" w:cs="Barlow Semi Condensed" w:eastAsia="Barlow Semi Condensed" w:hAnsi="Barlow Semi Condensed"/>
          <w:sz w:val="24"/>
          <w:szCs w:val="24"/>
        </w:rPr>
        <w:t xml:space="preserve">La Grecia esclude la variabile del regime: conobbe una dittatura di destra coeva a quelle iberiche, dal 21 aprile 1967 al 23 luglio 1974, e l'ente vi è assente. Se il regime autoritario fosse la condizione dell'insediamento, la Grecia sarebbe stata un terreno propizio; non lo fu.</w:t>
      </w:r>
    </w:p>
    <w:p>
      <w:pPr>
        <w:spacing w:after="120" w:line="276"/>
        <w:jc w:val="both"/>
      </w:pPr>
      <w:r>
        <w:rPr>
          <w:rFonts w:ascii="Barlow Semi Condensed" w:cs="Barlow Semi Condensed" w:eastAsia="Barlow Semi Condensed" w:hAnsi="Barlow Semi Condensed"/>
          <w:sz w:val="24"/>
          <w:szCs w:val="24"/>
        </w:rPr>
        <w:t xml:space="preserve">Cipro esclude la variabile della mera presenza cattolica, ed è per questo il caso più probante dei tre. Cipro possiede minoranze cattoliche antiche, strutturate e riconosciute dalla Costituzione del 1960 — maroniti e latini — dotate di gerarchia propria, di parrocchie, di villaggi interi. Se la presenza di cattolici fosse condizione sufficiente, Cipro avrebbe dovuto ospitare l'ente; non lo ospita.</w:t>
      </w:r>
    </w:p>
    <w:p>
      <w:pPr>
        <w:spacing w:after="120" w:line="276"/>
        <w:jc w:val="both"/>
      </w:pPr>
      <w:r>
        <w:rPr>
          <w:rFonts w:ascii="Barlow Semi Condensed" w:cs="Barlow Semi Condensed" w:eastAsia="Barlow Semi Condensed" w:hAnsi="Barlow Semi Condensed"/>
          <w:sz w:val="24"/>
          <w:szCs w:val="24"/>
        </w:rPr>
        <w:t xml:space="preserve">La Turchia è il caso sovradeterminato: somma maggioranza musulmana, laicità dello Stato con controllo dell'istruzione religiosa, e minoranza cattolica minima e in larga parte straniera. Vi si aggiunge un dettaglio che merita attenzione e che è esposto al Capitolo nono: la medesima legge che nel 1971 chiuse il seminario del Patriarcato ecumenico vietava l'istruzione superiore privata non affiliata alle università di Stato, precludendo così anche l'eventuale radicamento educativo di enti confessionali.</w:t>
      </w:r>
    </w:p>
    <w:p>
      <w:pPr>
        <w:spacing w:after="120" w:line="276"/>
        <w:jc w:val="both"/>
      </w:pPr>
      <w:r>
        <w:rPr>
          <w:rFonts w:ascii="Barlow Semi Condensed" w:cs="Barlow Semi Condensed" w:eastAsia="Barlow Semi Condensed" w:hAnsi="Barlow Semi Condensed"/>
          <w:sz w:val="24"/>
          <w:szCs w:val="24"/>
        </w:rPr>
        <w:t xml:space="preserve">Il termine di confronto positivo regionale è il Libano, dal 1996, dove esiste un ceto cattolico autoctono di dimensione significativa. Dove esso esiste l'ente si insedia; dove non esiste no.</w:t>
      </w:r>
    </w:p>
    <w:p>
      <w:pPr>
        <w:spacing w:after="120" w:line="276"/>
        <w:jc w:val="both"/>
      </w:pPr>
      <w:r>
        <w:rPr>
          <w:rFonts w:ascii="Barlow Semi Condensed" w:cs="Barlow Semi Condensed" w:eastAsia="Barlow Semi Condensed" w:hAnsi="Barlow Semi Condensed"/>
          <w:sz w:val="24"/>
          <w:szCs w:val="24"/>
        </w:rPr>
        <w:t xml:space="preserve">Sulla natura della fonte impiegata per l'accertamento, che va dichiarata. L'assenza dei tre Paesi è verificata sull'elenco ufficiale dell'istituzione medesima relativo alle date di inizio del lavoro stabile nei vari Paesi, e sull'elenco delle sue circoscrizioni regionali. Si tratta della fonte migliore possibile su questo specifico dato, per la ragione ordinaria che un'organizzazione è la fonte più attendibile sui propri insediamenti — e la peggiore sulle proprie responsabilità, il che qui non rileva perché non si tratta di responsabilità ma di geografia.</w:t>
      </w:r>
    </w:p>
    <w:p>
      <w:pPr>
        <w:pStyle w:val="Heading2"/>
        <w:spacing w:after="100" w:before="200"/>
      </w:pPr>
      <w:r>
        <w:rPr>
          <w:rFonts w:ascii="Barlow Semi Condensed" w:cs="Barlow Semi Condensed" w:eastAsia="Barlow Semi Condensed" w:hAnsi="Barlow Semi Condensed"/>
          <w:sz w:val="24"/>
          <w:szCs w:val="24"/>
        </w:rPr>
        <w:t xml:space="preserve">Capitolo secondo — L'elenco ufficiale e le tre assenze</w:t>
      </w:r>
    </w:p>
    <w:p>
      <w:pPr>
        <w:spacing w:after="120" w:line="276"/>
        <w:jc w:val="both"/>
      </w:pPr>
      <w:r>
        <w:rPr>
          <w:rFonts w:ascii="Barlow Semi Condensed" w:cs="Barlow Semi Condensed" w:eastAsia="Barlow Semi Condensed" w:hAnsi="Barlow Semi Condensed"/>
          <w:sz w:val="24"/>
          <w:szCs w:val="24"/>
        </w:rPr>
        <w:t xml:space="preserve">Il capitolo espone il dato documentale su cui poggia l'intero studio, e lo espone per intero perché la verifica sia riproducibile.</w:t>
      </w:r>
    </w:p>
    <w:p>
      <w:pPr>
        <w:spacing w:after="120" w:line="276"/>
        <w:jc w:val="both"/>
      </w:pPr>
      <w:r>
        <w:rPr>
          <w:rFonts w:ascii="Barlow Semi Condensed" w:cs="Barlow Semi Condensed" w:eastAsia="Barlow Semi Condensed" w:hAnsi="Barlow Semi Condensed"/>
          <w:sz w:val="24"/>
          <w:szCs w:val="24"/>
        </w:rPr>
        <w:t xml:space="preserve">La fonte. L'Opus Dei pubblica sul proprio sito istituzionale, nell'articolo dedicato alla propria storia, l'elenco intitolato date di inizio del lavoro stabile dell'Opus Dei nei vari Paesi, e dichiara nella medesima pagina di essere presente in sessantotto Paesi.</w:t>
      </w:r>
    </w:p>
    <w:p>
      <w:pPr>
        <w:spacing w:after="120" w:line="276"/>
        <w:jc w:val="both"/>
      </w:pPr>
      <w:r>
        <w:rPr>
          <w:rFonts w:ascii="Barlow Semi Condensed" w:cs="Barlow Semi Condensed" w:eastAsia="Barlow Semi Condensed" w:hAnsi="Barlow Semi Condensed"/>
          <w:sz w:val="24"/>
          <w:szCs w:val="24"/>
        </w:rPr>
        <w:t xml:space="preserve">L'elenco, verificato integralmente. 1945 Portogallo; 1946 Italia e Gran Bretagna; 1947 Francia e Irlanda; 1949 Messico e Stati Uniti; 1950 Cile e Argentina; 1951 Colombia e Venezuela; 1952 Germania; 1953 Guatemala e Perù; 1954 Ecuador; 1956 Uruguay e Svizzera; 1957 Brasile, Austria e Canada; 1958 Giappone, Kenya e Salvador; 1959 Costa Rica; 1960 Olanda; 1962 Paraguay; 1963 Australia; 1964 Filippine; 1965 Belgio e Nigeria; 1969 Portorico; 1978 Bolivia; 1980 Congo, Costa d'Avorio e Honduras; 1981 Hong Kong; 1982 Singapore e Trinidad-Tobago; 1984 Svezia; 1985 Taiwan; 1987 Finlandia; 1988 Camerun e Repubblica Dominicana; 1989 Macao, Nuova Zelanda e Polonia; 1990 Ungheria e Repubblica Ceca; 1992 Nicaragua; 1993 India e Israele; 1994 Lituania; 1996 Estonia, Slovacchia, Libano, Panama e Uganda; 1997 Kazakhistan; 1998 Sudafrica; 2003 Slovenia e Croazia; 2004 Lettonia; 2007 Russia; 2008 Indonesia; 2009 Romania e Corea del Sud; 2011 Sri Lanka. La Spagna, patria di fondazione, è indicata nel racconto fondativo con la data del 2 ottobre 1928.</w:t>
      </w:r>
    </w:p>
    <w:p>
      <w:pPr>
        <w:spacing w:after="120" w:line="276"/>
        <w:jc w:val="both"/>
      </w:pPr>
      <w:r>
        <w:rPr>
          <w:rFonts w:ascii="Barlow Semi Condensed" w:cs="Barlow Semi Condensed" w:eastAsia="Barlow Semi Condensed" w:hAnsi="Barlow Semi Condensed"/>
          <w:sz w:val="24"/>
          <w:szCs w:val="24"/>
        </w:rPr>
        <w:t xml:space="preserve">Grecia, Cipro e Turchia non compaiono in alcuna posizione, a nessun anno.</w:t>
      </w:r>
    </w:p>
    <w:p>
      <w:pPr>
        <w:spacing w:after="120" w:line="276"/>
        <w:jc w:val="both"/>
      </w:pPr>
      <w:r>
        <w:rPr>
          <w:rFonts w:ascii="Barlow Semi Condensed" w:cs="Barlow Semi Condensed" w:eastAsia="Barlow Semi Condensed" w:hAnsi="Barlow Semi Condensed"/>
          <w:sz w:val="24"/>
          <w:szCs w:val="24"/>
        </w:rPr>
        <w:t xml:space="preserve">Il riscontro sul secondo elenco. L'articolo dedicato alle circoscrizioni regionali della Prelatura — riorganizzate in trentuno circoscrizioni a partire dal 2021, comprendenti circa settanta Paesi, e in altra versione dell'elenco indicate in ventitré — non include nessuno dei tre Paesi, né come regione, né come delegazione, né come territorio aggregato ad altra circoscrizione.</w:t>
      </w:r>
    </w:p>
    <w:p>
      <w:pPr>
        <w:spacing w:after="120" w:line="276"/>
        <w:jc w:val="both"/>
      </w:pPr>
      <w:r>
        <w:rPr>
          <w:rFonts w:ascii="Barlow Semi Condensed" w:cs="Barlow Semi Condensed" w:eastAsia="Barlow Semi Condensed" w:hAnsi="Barlow Semi Condensed"/>
          <w:sz w:val="24"/>
          <w:szCs w:val="24"/>
        </w:rPr>
        <w:t xml:space="preserve">Un'avvertenza che va posta per prevenire un errore. Le pagine del sito dell'ente recano, nel selettore di lingua, la voce in caratteri greci con l'indicazione della Grecia. Si tratta esclusivamente di un'opzione di localizzazione linguistica, poiché l'ente offre contenuti in lingua greca; non è una dichiarazione di presenza apostolica stabile. La distinzione è metodologicamente essenziale e va tenuta ferma, perché è il genere di dettaglio da cui nascono le attribuzioni infondate.</w:t>
      </w:r>
    </w:p>
    <w:p>
      <w:pPr>
        <w:spacing w:after="120" w:line="276"/>
        <w:jc w:val="both"/>
      </w:pPr>
      <w:r>
        <w:rPr>
          <w:rFonts w:ascii="Barlow Semi Condensed" w:cs="Barlow Semi Condensed" w:eastAsia="Barlow Semi Condensed" w:hAnsi="Barlow Semi Condensed"/>
          <w:sz w:val="24"/>
          <w:szCs w:val="24"/>
        </w:rPr>
        <w:t xml:space="preserve">Due occorrenze spurie del binomio Opus Dei-Turchia vanno segnalate e qualificate. La prima è una testimonianza, pubblicata dall'ente medesimo, di studenti musulmani e di un turco ortodosso ospiti di una residenza universitaria diretta da membri dell'istituzione a Strasburgo, in Francia — dunque fuori dalla Turchia. La seconda è un articolo di un quotidiano turco del 22 gennaio 2015 che accosta, sul piano puramente comparativo e polemico, la struttura di un movimento religioso turco a quella dell'Opus Dei: accostamento giornalistico privo di valore probatorio di alcuna presenza istituzionale.</w:t>
      </w:r>
    </w:p>
    <w:p>
      <w:pPr>
        <w:spacing w:after="120" w:line="276"/>
        <w:jc w:val="both"/>
      </w:pPr>
      <w:r>
        <w:rPr>
          <w:rFonts w:ascii="Barlow Semi Condensed" w:cs="Barlow Semi Condensed" w:eastAsia="Barlow Semi Condensed" w:hAnsi="Barlow Semi Condensed"/>
          <w:sz w:val="24"/>
          <w:szCs w:val="24"/>
        </w:rPr>
        <w:t xml:space="preserve">Un unico frammento storico collega l'ente alla Grecia, e va riportato con la massima cautela. Secondo la testimonianza di un ex membro, riportata in un'intervista giornalistica, il fondatore e Álvaro del Portillo si sarebbero recati in Grecia nel 1967 per valutare se fosse possibile portare l'Opus Dei nella Chiesa ortodossa greca, progetto presto abbandonato come impraticabile. È testimonianza unica di ex membro, controversa, relativa a un'idea esplorativa abbandonata: non attesta alcuna presenza e non muta l'esito.</w:t>
      </w:r>
    </w:p>
    <w:p>
      <w:pPr>
        <w:spacing w:after="120" w:line="276"/>
        <w:jc w:val="both"/>
      </w:pPr>
      <w:r>
        <w:rPr>
          <w:rFonts w:ascii="Barlow Semi Condensed" w:cs="Barlow Semi Condensed" w:eastAsia="Barlow Semi Condensed" w:hAnsi="Barlow Semi Condensed"/>
          <w:sz w:val="24"/>
          <w:szCs w:val="24"/>
        </w:rPr>
        <w:t xml:space="preserve">Si registra inoltre l'esistenza, in lingua greca, di un libello polemico intitolato all'Opus Dei in Grecia, di taglio cospirazionista, che confonde l'istituzione con movimenti laicali ortodossi greci. Non è fonte attendibile e non documenta alcun insediamento.</w:t>
      </w:r>
    </w:p>
    <w:p>
      <w:pPr>
        <w:pStyle w:val="Heading2"/>
        <w:spacing w:after="100" w:before="200"/>
      </w:pPr>
      <w:r>
        <w:rPr>
          <w:rFonts w:ascii="Barlow Semi Condensed" w:cs="Barlow Semi Condensed" w:eastAsia="Barlow Semi Condensed" w:hAnsi="Barlow Semi Condensed"/>
          <w:sz w:val="24"/>
          <w:szCs w:val="24"/>
        </w:rPr>
        <w:t xml:space="preserve">Capitolo terzo — La Grecia: il caso che esclude la variabile del regime</w:t>
      </w:r>
    </w:p>
    <w:p>
      <w:pPr>
        <w:spacing w:after="120" w:line="276"/>
        <w:jc w:val="both"/>
      </w:pPr>
      <w:r>
        <w:rPr>
          <w:rFonts w:ascii="Barlow Semi Condensed" w:cs="Barlow Semi Condensed" w:eastAsia="Barlow Semi Condensed" w:hAnsi="Barlow Semi Condensed"/>
          <w:sz w:val="24"/>
          <w:szCs w:val="24"/>
        </w:rPr>
        <w:t xml:space="preserve">Il capitolo espone il primo dei tre casi, e la sua funzione dimostrativa.</w:t>
      </w:r>
    </w:p>
    <w:p>
      <w:pPr>
        <w:spacing w:after="120" w:line="276"/>
        <w:jc w:val="both"/>
      </w:pPr>
      <w:r>
        <w:rPr>
          <w:rFonts w:ascii="Barlow Semi Condensed" w:cs="Barlow Semi Condensed" w:eastAsia="Barlow Semi Condensed" w:hAnsi="Barlow Semi Condensed"/>
          <w:sz w:val="24"/>
          <w:szCs w:val="24"/>
        </w:rPr>
        <w:t xml:space="preserve">Il regime. La Grecia conobbe una dittatura militare dal colpo di Stato del 21 aprile 1967 al crollo della giunta del 23 luglio 1974, coeva quindi al franchismo spagnolo e all'Estado Novo portoghese. Se la natura autoritaria del regime fosse la condizione dell'insediamento dell'Opus Dei, la Grecia sarebbe stata terreno propizio; l'ente non vi si insediò.</w:t>
      </w:r>
    </w:p>
    <w:p>
      <w:pPr>
        <w:spacing w:after="120" w:line="276"/>
        <w:jc w:val="both"/>
      </w:pPr>
      <w:r>
        <w:rPr>
          <w:rFonts w:ascii="Barlow Semi Condensed" w:cs="Barlow Semi Condensed" w:eastAsia="Barlow Semi Condensed" w:hAnsi="Barlow Semi Condensed"/>
          <w:sz w:val="24"/>
          <w:szCs w:val="24"/>
        </w:rPr>
        <w:t xml:space="preserve">La ragione, documentata, è demografico-religiosa e costituzionale. I cattolici greci sono una minoranza esigua. Una fonte vaticana del dicembre 2021 indica che essi costituiscono lo zero virgola cinque per cento della popolazione, circa cinquantamila persone, con la maggioranza ad Atene, e con Syros a ottomila e Tinos a tremila che hanno villaggi e parrocchie interamente cattolici, oltre a nuclei a Corfù, Patrasso, Salonicco, Volos e Kavala.</w:t>
      </w:r>
    </w:p>
    <w:p>
      <w:pPr>
        <w:spacing w:after="120" w:line="276"/>
        <w:jc w:val="both"/>
      </w:pPr>
      <w:r>
        <w:rPr>
          <w:rFonts w:ascii="Barlow Semi Condensed" w:cs="Barlow Semi Condensed" w:eastAsia="Barlow Semi Condensed" w:hAnsi="Barlow Semi Condensed"/>
          <w:sz w:val="24"/>
          <w:szCs w:val="24"/>
        </w:rPr>
        <w:t xml:space="preserve">Le stime divergono e la divergenza va riportata. Altre fonti vaticane indicano l'uno virgola due per cento, circa centotrentatremila su undici milioni; la Chiesa cattolica greca nel 2018 stimava fino a quattrocentomila cattolici comprendendo i gruppi stranieri principali — polacchi circa quarantamila, filippini circa quarantacinquemila, albanesi. Le tre cifre non sono confrontabili perché non misurano la medesima cosa.</w:t>
      </w:r>
    </w:p>
    <w:p>
      <w:pPr>
        <w:spacing w:after="120" w:line="276"/>
        <w:jc w:val="both"/>
      </w:pPr>
      <w:r>
        <w:rPr>
          <w:rFonts w:ascii="Barlow Semi Condensed" w:cs="Barlow Semi Condensed" w:eastAsia="Barlow Semi Condensed" w:hAnsi="Barlow Semi Condensed"/>
          <w:sz w:val="24"/>
          <w:szCs w:val="24"/>
        </w:rPr>
        <w:t xml:space="preserve">La struttura ecclesiastica latina si articola nell'arcidiocesi di Atene, nell'arcidiocesi di Naxos-Tinos-Andros-Mykonos, nell'arcidiocesi di Corfù, nella diocesi di Syros e Santorini, oltre all'esarcato apostolico greco-cattolico di rito bizantino, eretto da Pio XI nel 1932, con circa quattromila fedeli.</w:t>
      </w:r>
    </w:p>
    <w:p>
      <w:pPr>
        <w:spacing w:after="120" w:line="276"/>
        <w:jc w:val="both"/>
      </w:pPr>
      <w:r>
        <w:rPr>
          <w:rFonts w:ascii="Barlow Semi Condensed" w:cs="Barlow Semi Condensed" w:eastAsia="Barlow Semi Condensed" w:hAnsi="Barlow Semi Condensed"/>
          <w:sz w:val="24"/>
          <w:szCs w:val="24"/>
        </w:rPr>
        <w:t xml:space="preserve">Il dato costituzionale. La Costituzione greca riconosce alla Chiesa ortodossa orientale la posizione di religione prevalente, all'articolo terzo; e per la maggioranza degli ortodossi greci chi non è ortodosso non è considerato veramente greco, sicché le altre confessioni sono ufficialmente religioni straniere.</w:t>
      </w:r>
    </w:p>
    <w:p>
      <w:pPr>
        <w:spacing w:after="120" w:line="276"/>
        <w:jc w:val="both"/>
      </w:pPr>
      <w:r>
        <w:rPr>
          <w:rFonts w:ascii="Barlow Semi Condensed" w:cs="Barlow Semi Condensed" w:eastAsia="Barlow Semi Condensed" w:hAnsi="Barlow Semi Condensed"/>
          <w:sz w:val="24"/>
          <w:szCs w:val="24"/>
        </w:rPr>
        <w:t xml:space="preserve">Ne discende la constatazione del capitolo. In un contesto simile, un'istituzione di apostolato laicale che opera per santificare ambienti professionali e universitari attraverso una rete di membri cattolici non aveva un bacino sociale su cui radicarsi, indipendentemente dalla natura del regime.</w:t>
      </w:r>
    </w:p>
    <w:p>
      <w:pPr>
        <w:spacing w:after="120" w:line="276"/>
        <w:jc w:val="both"/>
      </w:pPr>
      <w:r>
        <w:rPr>
          <w:rFonts w:ascii="Barlow Semi Condensed" w:cs="Barlow Semi Condensed" w:eastAsia="Barlow Semi Condensed" w:hAnsi="Barlow Semi Condensed"/>
          <w:sz w:val="24"/>
          <w:szCs w:val="24"/>
        </w:rPr>
        <w:t xml:space="preserve">Un dato che conferma per via indipendente l'estraneità. Le relazioni diplomatiche fra Grecia e Santa Sede furono stabilite soltanto nel 1979 — o nel 1980 secondo altra fonte, e la divergenza si riporta — con Nunziatura apostolica ad Atene istituita immediatamente e ambasciatore greco residente inizialmente a Parigi; un'ambasciata greca presso la Santa Sede fu istituita a Roma solo nel 1988.</w:t>
      </w:r>
    </w:p>
    <w:p>
      <w:pPr>
        <w:spacing w:after="120" w:line="276"/>
        <w:jc w:val="both"/>
      </w:pPr>
      <w:r>
        <w:rPr>
          <w:rFonts w:ascii="Barlow Semi Condensed" w:cs="Barlow Semi Condensed" w:eastAsia="Barlow Semi Condensed" w:hAnsi="Barlow Semi Condensed"/>
          <w:sz w:val="24"/>
          <w:szCs w:val="24"/>
        </w:rPr>
        <w:t xml:space="preserve">Il Ministero degli Esteri ellenico collega esplicitamente la decisione del 1979 alle aspirazioni greche di adesione alla Comunità europea, e registra il disagio del Santo Sinodo ortodosso di fronte al riconoscimento del Vaticano come Stato dotato di autorità secolare.</w:t>
      </w:r>
    </w:p>
    <w:p>
      <w:pPr>
        <w:spacing w:after="120" w:line="276"/>
        <w:jc w:val="both"/>
      </w:pPr>
      <w:r>
        <w:rPr>
          <w:rFonts w:ascii="Barlow Semi Condensed" w:cs="Barlow Semi Condensed" w:eastAsia="Barlow Semi Condensed" w:hAnsi="Barlow Semi Condensed"/>
          <w:sz w:val="24"/>
          <w:szCs w:val="24"/>
        </w:rPr>
        <w:t xml:space="preserve">Per l'intero periodo qui rilevante, e a fortiori per gli anni della giunta, non esistevano dunque relazioni diplomatiche piene fra Atene e la Santa Sede. Ciò esclude alla radice l'esistenza di un canale bilaterale su cui potesse innestarsi qualunque triangolazione.</w:t>
      </w:r>
    </w:p>
    <w:p>
      <w:pPr>
        <w:pStyle w:val="Heading2"/>
        <w:spacing w:after="100" w:before="200"/>
      </w:pPr>
      <w:r>
        <w:rPr>
          <w:rFonts w:ascii="Barlow Semi Condensed" w:cs="Barlow Semi Condensed" w:eastAsia="Barlow Semi Condensed" w:hAnsi="Barlow Semi Condensed"/>
          <w:sz w:val="24"/>
          <w:szCs w:val="24"/>
        </w:rPr>
        <w:t xml:space="preserve">Capitolo quarto — Cipro: il caso probante, e perché lo è</w:t>
      </w:r>
    </w:p>
    <w:p>
      <w:pPr>
        <w:spacing w:after="120" w:line="276"/>
        <w:jc w:val="both"/>
      </w:pPr>
      <w:r>
        <w:rPr>
          <w:rFonts w:ascii="Barlow Semi Condensed" w:cs="Barlow Semi Condensed" w:eastAsia="Barlow Semi Condensed" w:hAnsi="Barlow Semi Condensed"/>
          <w:sz w:val="24"/>
          <w:szCs w:val="24"/>
        </w:rPr>
        <w:t xml:space="preserve">Il capitolo espone il secondo caso, che è il più importante dei tre per la dimostrazione, e ne spiega la funzione.</w:t>
      </w:r>
    </w:p>
    <w:p>
      <w:pPr>
        <w:spacing w:after="120" w:line="276"/>
        <w:jc w:val="both"/>
      </w:pPr>
      <w:r>
        <w:rPr>
          <w:rFonts w:ascii="Barlow Semi Condensed" w:cs="Barlow Semi Condensed" w:eastAsia="Barlow Semi Condensed" w:hAnsi="Barlow Semi Condensed"/>
          <w:sz w:val="24"/>
          <w:szCs w:val="24"/>
        </w:rPr>
        <w:t xml:space="preserve">La differenza rispetto alla Grecia va enunciata subito. Cipro possiede minoranze cattoliche antiche, strutturate e costituzionalmente riconosciute, che la Grecia non possiede nella medesima forma. Se ciò nonostante l'ente vi è assente, allora la mera presenza di cattolici non è condizione sufficiente all'insediamento — e questa è precisamente la variabile che il caso cipriota isola.</w:t>
      </w:r>
    </w:p>
    <w:p>
      <w:pPr>
        <w:spacing w:after="120" w:line="276"/>
        <w:jc w:val="both"/>
      </w:pPr>
      <w:r>
        <w:rPr>
          <w:rFonts w:ascii="Barlow Semi Condensed" w:cs="Barlow Semi Condensed" w:eastAsia="Barlow Semi Condensed" w:hAnsi="Barlow Semi Condensed"/>
          <w:sz w:val="24"/>
          <w:szCs w:val="24"/>
        </w:rPr>
        <w:t xml:space="preserve">Il riconoscimento costituzionale. La Costituzione del 1960 riconobbe come gruppi religiosi tre minoranze — maroniti, armeni e latini — imponendo a ciascuna l'obbligo di optare per l'appartenenza alla comunità greca o a quella turca. Le tre scelsero per voto, poco prima dell'indipendenza, la comunità greca, con cui condividevano maggiori elementi.</w:t>
      </w:r>
    </w:p>
    <w:p>
      <w:pPr>
        <w:spacing w:after="120" w:line="276"/>
        <w:jc w:val="both"/>
      </w:pPr>
      <w:r>
        <w:rPr>
          <w:rFonts w:ascii="Barlow Semi Condensed" w:cs="Barlow Semi Condensed" w:eastAsia="Barlow Semi Condensed" w:hAnsi="Barlow Semi Condensed"/>
          <w:sz w:val="24"/>
          <w:szCs w:val="24"/>
        </w:rPr>
        <w:t xml:space="preserve">I maroniti. Cattolici di rito antiocheno siriaco in comunione con Roma, presenti nell'isola per successive ondate migratorie dal Levante a partire dall'ottavo secolo; dopo aver toccato il quindici-venti per cento della popolazione nell'età latina, si ridussero drasticamente sotto la dominazione ottomana. Sul piano ecclesiastico opera l'Arcieparchia maronita di Cipro, retta al momento dell'indipendenza dall'arcivescovo Elie Farah, nominato nel 1954 e in carica fino al ritiro nel 1986.</w:t>
      </w:r>
    </w:p>
    <w:p>
      <w:pPr>
        <w:spacing w:after="120" w:line="276"/>
        <w:jc w:val="both"/>
      </w:pPr>
      <w:r>
        <w:rPr>
          <w:rFonts w:ascii="Barlow Semi Condensed" w:cs="Barlow Semi Condensed" w:eastAsia="Barlow Semi Condensed" w:hAnsi="Barlow Semi Condensed"/>
          <w:sz w:val="24"/>
          <w:szCs w:val="24"/>
        </w:rPr>
        <w:t xml:space="preserve">Le consistenze, con divergenze da riportare. Il primo censimento della Repubblica, nel 1960, registrava duemilasettecentocinquantadue maroniti, principalmente nei quattro villaggi superstiti; altre fonti indicano tremilacinquecento al momento dell'indipendenza; fonti recenti stimano la comunità attorno alle seimila unità; una fonte vaticana la indica all'uno virgola cinque per cento; l'Annuario Pontificio a fine 2013 registrava diecimilaquattrocento battezzati su ottocentotrentottomilaottocentonovantasette abitanti, pari all'uno virgola due per cento.</w:t>
      </w:r>
    </w:p>
    <w:p>
      <w:pPr>
        <w:spacing w:after="120" w:line="276"/>
        <w:jc w:val="both"/>
      </w:pPr>
      <w:r>
        <w:rPr>
          <w:rFonts w:ascii="Barlow Semi Condensed" w:cs="Barlow Semi Condensed" w:eastAsia="Barlow Semi Condensed" w:hAnsi="Barlow Semi Condensed"/>
          <w:sz w:val="24"/>
          <w:szCs w:val="24"/>
        </w:rPr>
        <w:t xml:space="preserve">I quattro villaggi maroniti — Kormakitis il più grande, Asomatos, Karpaseia e Agia Marina — si trovavano tutti nel nord dell'isola e, dopo l'occupazione turca del 1974, restarono al di là della Linea Verde. La maggioranza della comunità fu sfollata verso sud. Una fonte ecclesiastica registra che a Kormakitis la comunità si è ridotta a circa cento residenti permanenti, sui duemilasettecento che un tempo vi vivevano.</w:t>
      </w:r>
    </w:p>
    <w:p>
      <w:pPr>
        <w:spacing w:after="120" w:line="276"/>
        <w:jc w:val="both"/>
      </w:pPr>
      <w:r>
        <w:rPr>
          <w:rFonts w:ascii="Barlow Semi Condensed" w:cs="Barlow Semi Condensed" w:eastAsia="Barlow Semi Condensed" w:hAnsi="Barlow Semi Condensed"/>
          <w:sz w:val="24"/>
          <w:szCs w:val="24"/>
        </w:rPr>
        <w:t xml:space="preserve">Va registrata anche la perdita linguistica, perché è una conseguenza documentata: la dispersione dei parlanti l'arabo cipriota-maronita — il \</w:t>
      </w:r>
      <w:r>
        <w:rPr>
          <w:rFonts w:ascii="Barlow Semi Condensed" w:cs="Barlow Semi Condensed" w:eastAsia="Barlow Semi Condensed" w:hAnsi="Barlow Semi Condensed"/>
          <w:i/>
          <w:iCs/>
          <w:sz w:val="24"/>
          <w:szCs w:val="24"/>
        </w:rPr>
        <w:t xml:space="preserve">sanna\</w:t>
      </w:r>
      <w:r>
        <w:rPr>
          <w:rFonts w:ascii="Barlow Semi Condensed" w:cs="Barlow Semi Condensed" w:eastAsia="Barlow Semi Condensed" w:hAnsi="Barlow Semi Condensed"/>
          <w:sz w:val="24"/>
          <w:szCs w:val="24"/>
        </w:rPr>
        <w:t xml:space="preserve">, dialetto di ceppo aramaico-arabo — nelle comunità greco-cipriote del sud lo ha reso criticamente in pericolo.</w:t>
      </w:r>
    </w:p>
    <w:p>
      <w:pPr>
        <w:spacing w:after="120" w:line="276"/>
        <w:jc w:val="both"/>
      </w:pPr>
      <w:r>
        <w:rPr>
          <w:rFonts w:ascii="Barlow Semi Condensed" w:cs="Barlow Semi Condensed" w:eastAsia="Barlow Semi Condensed" w:hAnsi="Barlow Semi Condensed"/>
          <w:sz w:val="24"/>
          <w:szCs w:val="24"/>
        </w:rPr>
        <w:t xml:space="preserve">I latini. Eredi della dominazione veneziana e genovese e della fase franca, presenti con continuità dal 1192; la cura pastorale è affidata dal 1847 al Vicariato patriarcale latino di Cipro, dipendente dal Patriarcato latino di Gerusalemme. Il Vicariato conta quattro parrocchie — Nicosia, Pafos, Limassol, Larnaka — di cui una gestita dal Patriarcato e tre affidate ai francescani, presenti nell'isola dagli inizi dell'Ordine e reinsediatisi nel 1593 per concessione della Sublime Porta.</w:t>
      </w:r>
    </w:p>
    <w:p>
      <w:pPr>
        <w:spacing w:after="120" w:line="276"/>
        <w:jc w:val="both"/>
      </w:pPr>
      <w:r>
        <w:rPr>
          <w:rFonts w:ascii="Barlow Semi Condensed" w:cs="Barlow Semi Condensed" w:eastAsia="Barlow Semi Condensed" w:hAnsi="Barlow Semi Condensed"/>
          <w:sz w:val="24"/>
          <w:szCs w:val="24"/>
        </w:rPr>
        <w:t xml:space="preserve">Le relazioni diplomatiche con la Santa Sede, datate. La Nunziatura apostolica a Cipro fu eretta il 12 febbraio 1973, con Pio Laghi Pro-Nunzio dal 28 maggio 1973 al 27 aprile 1974, seguito da William Aquin Carew dal 13 maggio 1974. Il primo ambasciatore di Cipro presso la Santa Sede fu ricevuto da Paolo VI il 24 settembre 1973, in un'allocuzione in cui il pontefice qualificò l'evento come la prima volta che l'isola era così rappresentata presso la Sede Apostolica.</w:t>
      </w:r>
    </w:p>
    <w:p>
      <w:pPr>
        <w:spacing w:after="120" w:line="276"/>
        <w:jc w:val="both"/>
      </w:pPr>
      <w:r>
        <w:rPr>
          <w:rFonts w:ascii="Barlow Semi Condensed" w:cs="Barlow Semi Condensed" w:eastAsia="Barlow Semi Condensed" w:hAnsi="Barlow Semi Condensed"/>
          <w:sz w:val="24"/>
          <w:szCs w:val="24"/>
        </w:rPr>
        <w:t xml:space="preserve">Un elemento cronologico va notato e qualificato. L'erezione della Nunziatura, nel febbraio 1973, e l'accreditamento dell'ambasciatore, nel settembre 1973, cadono entrambi durante il secondo mandato ministeriale di Moro. È cronologia parallela e non nesso: nessuna fonte attesta alcun ruolo italiano in questi atti, che appartengono interamente al bilaterale fra Nicosia e la Santa Sede.</w:t>
      </w:r>
    </w:p>
    <w:p>
      <w:pPr>
        <w:spacing w:after="120" w:line="276"/>
        <w:jc w:val="both"/>
      </w:pPr>
      <w:r>
        <w:rPr>
          <w:rFonts w:ascii="Barlow Semi Condensed" w:cs="Barlow Semi Condensed" w:eastAsia="Barlow Semi Condensed" w:hAnsi="Barlow Semi Condensed"/>
          <w:sz w:val="24"/>
          <w:szCs w:val="24"/>
        </w:rPr>
        <w:t xml:space="preserve">E qui la risultanza del capitolo. Nonostante gerarchia propria, riconoscimento costituzionale, parrocchie, villaggi interi e Nunziatura apostolica dal 1973, l'Opus Dei non risulta avere mai avuto presenza a Cipro. Ne discende che la soglia di insediamento è più alta della semplice esistenza di cattolici: richiede la massa critica maggioritaria e il ceto professionale corrispondente.</w:t>
      </w:r>
    </w:p>
    <w:p>
      <w:pPr>
        <w:pStyle w:val="Heading2"/>
        <w:spacing w:after="100" w:before="200"/>
      </w:pPr>
      <w:r>
        <w:rPr>
          <w:rFonts w:ascii="Barlow Semi Condensed" w:cs="Barlow Semi Condensed" w:eastAsia="Barlow Semi Condensed" w:hAnsi="Barlow Semi Condensed"/>
          <w:sz w:val="24"/>
          <w:szCs w:val="24"/>
        </w:rPr>
        <w:t xml:space="preserve">Capitolo quinto — Makarios: la fusione di autorità che nessun altro caso presenta</w:t>
      </w:r>
    </w:p>
    <w:p>
      <w:pPr>
        <w:spacing w:after="120" w:line="276"/>
        <w:jc w:val="both"/>
      </w:pPr>
      <w:r>
        <w:rPr>
          <w:rFonts w:ascii="Barlow Semi Condensed" w:cs="Barlow Semi Condensed" w:eastAsia="Barlow Semi Condensed" w:hAnsi="Barlow Semi Condensed"/>
          <w:sz w:val="24"/>
          <w:szCs w:val="24"/>
        </w:rPr>
        <w:t xml:space="preserve">Il capitolo espone il tratto che rende Cipro unico nel periodo, e che costituisce il migliore snodo religioso dell'intera serie di ricognizioni.</w:t>
      </w:r>
    </w:p>
    <w:p>
      <w:pPr>
        <w:spacing w:after="120" w:line="276"/>
        <w:jc w:val="both"/>
      </w:pPr>
      <w:r>
        <w:rPr>
          <w:rFonts w:ascii="Barlow Semi Condensed" w:cs="Barlow Semi Condensed" w:eastAsia="Barlow Semi Condensed" w:hAnsi="Barlow Semi Condensed"/>
          <w:sz w:val="24"/>
          <w:szCs w:val="24"/>
        </w:rPr>
        <w:t xml:space="preserve">Il fatto. Michail Christodoulou Mouskos, in religione Makarios, fu simultaneamente arcivescovo primate della Chiesa ortodossa autocefala di Cipro e primo presidente della Repubblica, in una fusione di autorità ecclesiastica e statuale senza equivalenti nell'Europa del tempo.</w:t>
      </w:r>
    </w:p>
    <w:p>
      <w:pPr>
        <w:spacing w:after="120" w:line="276"/>
        <w:jc w:val="both"/>
      </w:pPr>
      <w:r>
        <w:rPr>
          <w:rFonts w:ascii="Barlow Semi Condensed" w:cs="Barlow Semi Condensed" w:eastAsia="Barlow Semi Condensed" w:hAnsi="Barlow Semi Condensed"/>
          <w:sz w:val="24"/>
          <w:szCs w:val="24"/>
        </w:rPr>
        <w:t xml:space="preserve">Le date, con divergenze da riportare. Sull'elevazione ad arcivescovo le fonti indicano il 18 ottobre 1950, il 20 ottobre 1950, e il 18 settembre 1950. La presidenza decorre dal 1960.</w:t>
      </w:r>
    </w:p>
    <w:p>
      <w:pPr>
        <w:spacing w:after="120" w:line="276"/>
        <w:jc w:val="both"/>
      </w:pPr>
      <w:r>
        <w:rPr>
          <w:rFonts w:ascii="Barlow Semi Condensed" w:cs="Barlow Semi Condensed" w:eastAsia="Barlow Semi Condensed" w:hAnsi="Barlow Semi Condensed"/>
          <w:sz w:val="24"/>
          <w:szCs w:val="24"/>
        </w:rPr>
        <w:t xml:space="preserve">Il fondamento canonico. La Chiesa di Cipro gode di autocefalia risalente al Concilio di Efeso del 431, quando ottenne l'indipendenza dal Patriarcato di Antiochia; il suo primate porta il titolo di arcivescovo di Nuova Giustiniana e di tutta Cipro. A questa dignità si sovrapponeva nella tradizione la funzione di etnarca, capo civile riconosciuto della comunità greco-ortodossa, eredità delle prerogative concesse dal sistema ottomano del \</w:t>
      </w:r>
      <w:r>
        <w:rPr>
          <w:rFonts w:ascii="Barlow Semi Condensed" w:cs="Barlow Semi Condensed" w:eastAsia="Barlow Semi Condensed" w:hAnsi="Barlow Semi Condensed"/>
          <w:i/>
          <w:iCs/>
          <w:sz w:val="24"/>
          <w:szCs w:val="24"/>
        </w:rPr>
        <w:t xml:space="preserve">millet\</w:t>
      </w:r>
      <w:r>
        <w:rPr>
          <w:rFonts w:ascii="Barlow Semi Condensed" w:cs="Barlow Semi Condensed" w:eastAsia="Barlow Semi Condensed" w:hAnsi="Barlow Semi Condensed"/>
          <w:sz w:val="24"/>
          <w:szCs w:val="24"/>
        </w:rPr>
        <w:t xml:space="preserve"> alle gerarchie cristiane.</w:t>
      </w:r>
    </w:p>
    <w:p>
      <w:pPr>
        <w:spacing w:after="120" w:line="276"/>
        <w:jc w:val="both"/>
      </w:pPr>
      <w:r>
        <w:rPr>
          <w:rFonts w:ascii="Barlow Semi Condensed" w:cs="Barlow Semi Condensed" w:eastAsia="Barlow Semi Condensed" w:hAnsi="Barlow Semi Condensed"/>
          <w:sz w:val="24"/>
          <w:szCs w:val="24"/>
        </w:rPr>
        <w:t xml:space="preserve">Ne discende una precisazione di rilievo. La fusione fra autorità ecclesiastica ed etnarcale precede di secoli l'indipendenza; ciò che il 1960 aggiunse fu la sovrapposizione di una terza titolarità, quella presidenziale, entro un ordinamento costituzionale nuovo — bicomunitario, con presidente greco-cipriota e vicepresidente turco-cipriota eletti da collegi separati.</w:t>
      </w:r>
    </w:p>
    <w:p>
      <w:pPr>
        <w:spacing w:after="120" w:line="276"/>
        <w:jc w:val="both"/>
      </w:pPr>
      <w:r>
        <w:rPr>
          <w:rFonts w:ascii="Barlow Semi Condensed" w:cs="Barlow Semi Condensed" w:eastAsia="Barlow Semi Condensed" w:hAnsi="Barlow Semi Condensed"/>
          <w:sz w:val="24"/>
          <w:szCs w:val="24"/>
        </w:rPr>
        <w:t xml:space="preserve">Un rilievo giuridico va enunciato. Le fonti attestano la simultaneità delle cariche e il loro fondamento nei due ordinamenti; non attestano l'esistenza di una norma di raccordo fra essi, sicché la doppia titolarità operò di fatto come cumulo consuetudinario più che come istituto giuridicamente definito.</w:t>
      </w:r>
    </w:p>
    <w:p>
      <w:pPr>
        <w:spacing w:after="120" w:line="276"/>
        <w:jc w:val="both"/>
      </w:pPr>
      <w:r>
        <w:rPr>
          <w:rFonts w:ascii="Barlow Semi Condensed" w:cs="Barlow Semi Condensed" w:eastAsia="Barlow Semi Condensed" w:hAnsi="Barlow Semi Condensed"/>
          <w:sz w:val="24"/>
          <w:szCs w:val="24"/>
        </w:rPr>
        <w:t xml:space="preserve">La controversia dei tre vescovi, per date. Il 2 marzo 1972, nella seduta del Santo Sinodo, i tre metropoliti — Gennadios di Pafos, Anthimos di Kition e Kyprianos di Kyrenia, ossia tre dei cinque membri dell'episcopato — presentarono una mozione chiedendo a Makarios di dimettersi dalla presidenza, sostenendo l'incompatibilità canonica fra ufficio clericale e carica civile. Makarios rispose il 19 marzo 1972 accusandoli di aver cospirato fra loro e con soggetti esterni alla Chiesa, con allusione trasparente alla giunta di Atene e a Gheorghios Grivas, capo dell'organizzazione clandestina rientrata segretamente nell'isola.</w:t>
      </w:r>
    </w:p>
    <w:p>
      <w:pPr>
        <w:spacing w:after="120" w:line="276"/>
        <w:jc w:val="both"/>
      </w:pPr>
      <w:r>
        <w:rPr>
          <w:rFonts w:ascii="Barlow Semi Condensed" w:cs="Barlow Semi Condensed" w:eastAsia="Barlow Semi Condensed" w:hAnsi="Barlow Semi Condensed"/>
          <w:sz w:val="24"/>
          <w:szCs w:val="24"/>
        </w:rPr>
        <w:t xml:space="preserve">L'argomento di Makarios va riportato perché è il punto teorico della vicenda. Egli sostenne che la carica di presidente della Repubblica non potesse dirsi secolare in un tempo in cui i greci ortodossi di Cipro lottavano per la propria sopravvivenza nazionale, saldando così la giustificazione della propria presidenza alla missione etnarcale della Chiesa. È posizione di parte, e come tale la si registra; ed è precisamente ciò che i suoi avversari contestavano sul piano dei canoni, invocando il principio secondo cui a un chierico è precluso l'esercizio di ufficio civile.</w:t>
      </w:r>
    </w:p>
    <w:p>
      <w:pPr>
        <w:spacing w:after="120" w:line="276"/>
        <w:jc w:val="both"/>
      </w:pPr>
      <w:r>
        <w:rPr>
          <w:rFonts w:ascii="Barlow Semi Condensed" w:cs="Barlow Semi Condensed" w:eastAsia="Barlow Semi Condensed" w:hAnsi="Barlow Semi Condensed"/>
          <w:sz w:val="24"/>
          <w:szCs w:val="24"/>
        </w:rPr>
        <w:t xml:space="preserve">L'esito. Rieletto senza avversari l'8 febbraio 1973, Makarios fu convocato dai tre davanti a una sessione straordinaria fissata per il 7 marzo 1973; rispose il 6 marzo dichiarando incostituzionale e invalida la convocazione e rifiutando di comparire. I tre, riuniti fra loro, lo dichiararono deposto dal trono arcivescovile e privato della grazia episcopale, riducendolo al rango di semplice laico col nome di Michail Mouskos, e designando Gennadios locum tenens.</w:t>
      </w:r>
    </w:p>
    <w:p>
      <w:pPr>
        <w:spacing w:after="120" w:line="276"/>
        <w:jc w:val="both"/>
      </w:pPr>
      <w:r>
        <w:rPr>
          <w:rFonts w:ascii="Barlow Semi Condensed" w:cs="Barlow Semi Condensed" w:eastAsia="Barlow Semi Condensed" w:hAnsi="Barlow Semi Condensed"/>
          <w:sz w:val="24"/>
          <w:szCs w:val="24"/>
        </w:rPr>
        <w:t xml:space="preserve">La risposta panortodossa. Makarios convocò un Grande Sinodo, riunito il 6 e 7 luglio 1973, presieduto — in assenza del Patriarca ecumenico — dal Patriarca Nicola VI di Alessandria, con sedici vescovi di fuori isola fra cui il Patriarca di Antiochia; il Patriarca di Gerusalemme non poté partecipare per motivi di salute. Il 6 luglio il Sinodo dichiarò uncanonica e nulla la deposizione; il 14 luglio 1973 depose a sua volta i tre vescovi, riducendoli allo stato laicale con una dichiarazione di circa tremila parole.</w:t>
      </w:r>
    </w:p>
    <w:p>
      <w:pPr>
        <w:spacing w:after="120" w:line="276"/>
        <w:jc w:val="both"/>
      </w:pPr>
      <w:r>
        <w:rPr>
          <w:rFonts w:ascii="Barlow Semi Condensed" w:cs="Barlow Semi Condensed" w:eastAsia="Barlow Semi Condensed" w:hAnsi="Barlow Semi Condensed"/>
          <w:sz w:val="24"/>
          <w:szCs w:val="24"/>
        </w:rPr>
        <w:t xml:space="preserve">Le posizioni delle altre Chiese. Alessandria, Antiochia, Gerusalemme e Mosca sostennero Makarios, seguiti dai primati di Bulgaria, Polonia e Cecoslovacchia; il Patriarca di Antiochia dichiarò l'azione dei tre assolutamente nulla, irregolare e deplorevole, e quello di Mosca nulla e senza effetto.</w:t>
      </w:r>
    </w:p>
    <w:p>
      <w:pPr>
        <w:spacing w:after="120" w:line="276"/>
        <w:jc w:val="both"/>
      </w:pPr>
      <w:r>
        <w:rPr>
          <w:rFonts w:ascii="Barlow Semi Condensed" w:cs="Barlow Semi Condensed" w:eastAsia="Barlow Semi Condensed" w:hAnsi="Barlow Semi Condensed"/>
          <w:sz w:val="24"/>
          <w:szCs w:val="24"/>
        </w:rPr>
        <w:t xml:space="preserve">Una divergenza va riportata perché non è risolvibile con le fonti disponibili. Una fonte attesta il sostegno del Patriarca ecumenico Dimitrios e del Santo Sinodo di Grecia; un'altra fonte cipriota afferma che il Mega-Sinodo non fu presenziato dalla Grecia né dal patriarcato di Istanbul. È possibile che la divergenza dipenda dalla distinzione fra adesione formale alla decisione e presenza fisica al Sinodo, ma le fonti non consentono di scioglierla.</w:t>
      </w:r>
    </w:p>
    <w:p>
      <w:pPr>
        <w:spacing w:after="120" w:line="276"/>
        <w:jc w:val="both"/>
      </w:pPr>
      <w:r>
        <w:rPr>
          <w:rFonts w:ascii="Barlow Semi Condensed" w:cs="Barlow Semi Condensed" w:eastAsia="Barlow Semi Condensed" w:hAnsi="Barlow Semi Condensed"/>
          <w:sz w:val="24"/>
          <w:szCs w:val="24"/>
        </w:rPr>
        <w:t xml:space="preserve">Il nesso con il colpo di Stato del 1974, e il suo limite. I tre vescovi deposti riapparvero dopo il colpo del 15 luglio 1974, quando Nikos Sampson nominò arcivescovo Gennadios di Pafos; al ritorno di Makarios nel dicembre 1974 furono nuovamente destituiti per cospirazione.</w:t>
      </w:r>
    </w:p>
    <w:p>
      <w:pPr>
        <w:spacing w:after="120" w:line="276"/>
        <w:jc w:val="both"/>
      </w:pPr>
      <w:r>
        <w:rPr>
          <w:rFonts w:ascii="Barlow Semi Condensed" w:cs="Barlow Semi Condensed" w:eastAsia="Barlow Semi Condensed" w:hAnsi="Barlow Semi Condensed"/>
          <w:sz w:val="24"/>
          <w:szCs w:val="24"/>
        </w:rPr>
        <w:t xml:space="preserve">Il limite va enunciato con forza. Le fonti attestano che i medesimi ambienti furono indicati da Makarios come mandanti tanto della manovra ecclesiastica quanto del colpo militare, e attestano la riemersione dei vescovi deposti nel governo golpista. Ciò configura una convergenza documentata dalle dichiarazioni di Makarios e dagli eventi, ma non una prova documentale di un piano unitario, che le fonti reperite non forniscono.</w:t>
      </w:r>
    </w:p>
    <w:p>
      <w:pPr>
        <w:pStyle w:val="Heading2"/>
        <w:spacing w:after="100" w:before="200"/>
      </w:pPr>
      <w:r>
        <w:rPr>
          <w:rFonts w:ascii="Barlow Semi Condensed" w:cs="Barlow Semi Condensed" w:eastAsia="Barlow Semi Condensed" w:hAnsi="Barlow Semi Condensed"/>
          <w:sz w:val="24"/>
          <w:szCs w:val="24"/>
        </w:rPr>
        <w:t xml:space="preserve">Capitolo sesto — L'esilio di Makarios e lo Stato Zero romano</w:t>
      </w:r>
    </w:p>
    <w:p>
      <w:pPr>
        <w:spacing w:after="120" w:line="276"/>
        <w:jc w:val="both"/>
      </w:pPr>
      <w:r>
        <w:rPr>
          <w:rFonts w:ascii="Barlow Semi Condensed" w:cs="Barlow Semi Condensed" w:eastAsia="Barlow Semi Condensed" w:hAnsi="Barlow Semi Condensed"/>
          <w:sz w:val="24"/>
          <w:szCs w:val="24"/>
        </w:rPr>
        <w:t xml:space="preserve">Il capitolo espone un accertamento negativo puntuale, e lo espone perché era stato posto come obiettivo prioritario e perché il suo esito ha valore proprio.</w:t>
      </w:r>
    </w:p>
    <w:p>
      <w:pPr>
        <w:spacing w:after="120" w:line="276"/>
        <w:jc w:val="both"/>
      </w:pPr>
      <w:r>
        <w:rPr>
          <w:rFonts w:ascii="Barlow Semi Condensed" w:cs="Barlow Semi Condensed" w:eastAsia="Barlow Semi Condensed" w:hAnsi="Barlow Semi Condensed"/>
          <w:sz w:val="24"/>
          <w:szCs w:val="24"/>
        </w:rPr>
        <w:t xml:space="preserve">La domanda. Se durante l'esilio del 1974 Makarios — arcivescovo ortodosso e presidente deposto — abbia fatto tappa a Roma o in Vaticano, e se vi sia stata udienza pontificia.</w:t>
      </w:r>
    </w:p>
    <w:p>
      <w:pPr>
        <w:spacing w:after="120" w:line="276"/>
        <w:jc w:val="both"/>
      </w:pPr>
      <w:r>
        <w:rPr>
          <w:rFonts w:ascii="Barlow Semi Condensed" w:cs="Barlow Semi Condensed" w:eastAsia="Barlow Semi Condensed" w:hAnsi="Barlow Semi Condensed"/>
          <w:sz w:val="24"/>
          <w:szCs w:val="24"/>
        </w:rPr>
        <w:t xml:space="preserve">L'itinerario, ricostruito per tappe. Fuggito dal palazzo presidenziale dopo il colpo del 15 luglio 1974, Makarios raggiunse Pafos, dove le forze britanniche, su ordine del primo ministro Harold Wilson, lo prelevarono con un elicottero — le fonti collocano l'estrazione nel pomeriggio del 16 luglio, con divergenza rispetto a chi la anticipa al 15 — trasferendolo alla base britannica di Akrotiri, di lì a Malta con un velivolo da trasporto, e infine a Londra. La stampa contemporanea conferma la tappa maltese.</w:t>
      </w:r>
    </w:p>
    <w:p>
      <w:pPr>
        <w:spacing w:after="120" w:line="276"/>
        <w:jc w:val="both"/>
      </w:pPr>
      <w:r>
        <w:rPr>
          <w:rFonts w:ascii="Barlow Semi Condensed" w:cs="Barlow Semi Condensed" w:eastAsia="Barlow Semi Condensed" w:hAnsi="Barlow Semi Condensed"/>
          <w:sz w:val="24"/>
          <w:szCs w:val="24"/>
        </w:rPr>
        <w:t xml:space="preserve">19 luglio 1974: il Consiglio di Sicurezza. Makarios pronunciò il proprio intervento — verbale S/PV.1780 — qualificando gli eventi come chiaramente un'invasione dall'esterno, insieme a una flagrante violazione dell'indipendenza e della sovranità della Repubblica di Cipro, e attribuendo il cosiddetto colpo agli ufficiali greci che componevano e dirigevano la Guardia nazionale.</w:t>
      </w:r>
    </w:p>
    <w:p>
      <w:pPr>
        <w:spacing w:after="120" w:line="276"/>
        <w:jc w:val="both"/>
      </w:pPr>
      <w:r>
        <w:rPr>
          <w:rFonts w:ascii="Barlow Semi Condensed" w:cs="Barlow Semi Condensed" w:eastAsia="Barlow Semi Condensed" w:hAnsi="Barlow Semi Condensed"/>
          <w:sz w:val="24"/>
          <w:szCs w:val="24"/>
        </w:rPr>
        <w:t xml:space="preserve">Le tappe successive. Stabilitosi a Londra, dove alloggiò al Claridge's, vi rimase per circa cinque mesi con spostamenti negli Stati Uniti: il 1 ottobre 1974 si rivolse all'Assemblea generale delle Nazioni Unite alla ventinovesima sessione; il 2 ottobre 1974 ebbe a New York un colloquio con il segretario di Stato Henry Kissinger, documentato dal memorandum di conversazione pubblicato nella serie dei \</w:t>
      </w:r>
      <w:r>
        <w:rPr>
          <w:rFonts w:ascii="Barlow Semi Condensed" w:cs="Barlow Semi Condensed" w:eastAsia="Barlow Semi Condensed" w:hAnsi="Barlow Semi Condensed"/>
          <w:i/>
          <w:iCs/>
          <w:sz w:val="24"/>
          <w:szCs w:val="24"/>
        </w:rPr>
        <w:t xml:space="preserve">Foreign Relations of the United States\</w:t>
      </w:r>
      <w:r>
        <w:rPr>
          <w:rFonts w:ascii="Barlow Semi Condensed" w:cs="Barlow Semi Condensed" w:eastAsia="Barlow Semi Condensed" w:hAnsi="Barlow Semi Condensed"/>
          <w:sz w:val="24"/>
          <w:szCs w:val="24"/>
        </w:rPr>
        <w:t xml:space="preserve">. Il rientro fu preparato dalla riunione di Atene del 30 novembre 1974 fra Makarios, il presidente reggente Glafkos Klerides e il primo ministro Karamanlis, documentata da un rapporto di intelligence della Defense Intelligence Agency. Il ritorno a Cipro è del 7 dicembre 1974.</w:t>
      </w:r>
    </w:p>
    <w:p>
      <w:pPr>
        <w:spacing w:after="120" w:line="276"/>
        <w:jc w:val="both"/>
      </w:pPr>
      <w:r>
        <w:rPr>
          <w:rFonts w:ascii="Barlow Semi Condensed" w:cs="Barlow Semi Condensed" w:eastAsia="Barlow Semi Condensed" w:hAnsi="Barlow Semi Condensed"/>
          <w:sz w:val="24"/>
          <w:szCs w:val="24"/>
        </w:rPr>
        <w:t xml:space="preserve">L'esito, dichiarato. Nessuna delle fonti che ricostruiscono l'itinerario menziona una sosta a Roma o in Vaticano. La sequenza documentata è Pafos-Akrotiri-Malta-Londra-New York-Londra-New York-Atene-Nicosia.</w:t>
      </w:r>
    </w:p>
    <w:p>
      <w:pPr>
        <w:spacing w:after="120" w:line="276"/>
        <w:jc w:val="both"/>
      </w:pPr>
      <w:r>
        <w:rPr>
          <w:rFonts w:ascii="Barlow Semi Condensed" w:cs="Barlow Semi Condensed" w:eastAsia="Barlow Semi Condensed" w:hAnsi="Barlow Semi Condensed"/>
          <w:sz w:val="24"/>
          <w:szCs w:val="24"/>
        </w:rPr>
        <w:t xml:space="preserve">Due verifiche indipendenti confermano. L'indice ufficiale dei discorsi di Paolo VI per il 1974 non registra alcun incontro con Makarios; l'unico documento pontificio relativo a Cipro in quel torno di tempo è anteriore all'esilio ed è l'allocuzione del 24 settembre 1973 al primo ambasciatore cipriota, nella quale Paolo VI saluta Sua Beatitudine l'Arcivescovo Makarios, Presidente della Repubblica — atto diplomatico del 1973 e non incontro. Inoltre, la lunga intervista rilasciata da Makarios a Oriana Fallaci nel novembre 1974, a circa quattro mesi dal colpo, non contiene riferimenti a una visita romana o a un'udienza papale.</w:t>
      </w:r>
    </w:p>
    <w:p>
      <w:pPr>
        <w:spacing w:after="120" w:line="276"/>
        <w:jc w:val="both"/>
      </w:pPr>
      <w:r>
        <w:rPr>
          <w:rFonts w:ascii="Barlow Semi Condensed" w:cs="Barlow Semi Condensed" w:eastAsia="Barlow Semi Condensed" w:hAnsi="Barlow Semi Condensed"/>
          <w:sz w:val="24"/>
          <w:szCs w:val="24"/>
        </w:rPr>
        <w:t xml:space="preserve">La qualificazione dell'esito. Nessuna fonte afferma in positivo che egli non vi andò; ma da tre verifiche indipendenti una tappa romano-vaticana e un'udienza con Paolo VI durante l'esilio del 1974 non risultano documentate e appaiono non avvenute.</w:t>
      </w:r>
    </w:p>
    <w:p>
      <w:pPr>
        <w:spacing w:after="120" w:line="276"/>
        <w:jc w:val="both"/>
      </w:pPr>
      <w:r>
        <w:rPr>
          <w:rFonts w:ascii="Barlow Semi Condensed" w:cs="Barlow Semi Condensed" w:eastAsia="Barlow Semi Condensed" w:hAnsi="Barlow Semi Condensed"/>
          <w:sz w:val="24"/>
          <w:szCs w:val="24"/>
        </w:rPr>
        <w:t xml:space="preserve">La sede di verifica definitiva sono le biografie di riferimento — Stanley Mayes, \</w:t>
      </w:r>
      <w:r>
        <w:rPr>
          <w:rFonts w:ascii="Barlow Semi Condensed" w:cs="Barlow Semi Condensed" w:eastAsia="Barlow Semi Condensed" w:hAnsi="Barlow Semi Condensed"/>
          <w:i/>
          <w:iCs/>
          <w:sz w:val="24"/>
          <w:szCs w:val="24"/>
        </w:rPr>
        <w:t xml:space="preserve">Makarios: A Biography\</w:t>
      </w:r>
      <w:r>
        <w:rPr>
          <w:rFonts w:ascii="Barlow Semi Condensed" w:cs="Barlow Semi Condensed" w:eastAsia="Barlow Semi Condensed" w:hAnsi="Barlow Semi Condensed"/>
          <w:sz w:val="24"/>
          <w:szCs w:val="24"/>
        </w:rPr>
        <w:t xml:space="preserve">, 1981 — le memorie di Klerides, \</w:t>
      </w:r>
      <w:r>
        <w:rPr>
          <w:rFonts w:ascii="Barlow Semi Condensed" w:cs="Barlow Semi Condensed" w:eastAsia="Barlow Semi Condensed" w:hAnsi="Barlow Semi Condensed"/>
          <w:i/>
          <w:iCs/>
          <w:sz w:val="24"/>
          <w:szCs w:val="24"/>
        </w:rPr>
        <w:t xml:space="preserve">My Deposition\</w:t>
      </w:r>
      <w:r>
        <w:rPr>
          <w:rFonts w:ascii="Barlow Semi Condensed" w:cs="Barlow Semi Condensed" w:eastAsia="Barlow Semi Condensed" w:hAnsi="Barlow Semi Condensed"/>
          <w:sz w:val="24"/>
          <w:szCs w:val="24"/>
        </w:rPr>
        <w:t xml:space="preserve">, 1992, e l'Archivio Apostolico Vaticano per il pontificato di Paolo VI, non aperto.</w:t>
      </w:r>
    </w:p>
    <w:p>
      <w:pPr>
        <w:spacing w:after="120" w:line="276"/>
        <w:jc w:val="both"/>
      </w:pPr>
      <w:r>
        <w:rPr>
          <w:rFonts w:ascii="Barlow Semi Condensed" w:cs="Barlow Semi Condensed" w:eastAsia="Barlow Semi Condensed" w:hAnsi="Barlow Semi Condensed"/>
          <w:sz w:val="24"/>
          <w:szCs w:val="24"/>
        </w:rPr>
        <w:t xml:space="preserve">Perché questo esito negativo vale. Un primate ortodosso in esilio, deposto da un colpo di Stato e privato del proprio seggio, che parla alle Nazioni Unite e vede il segretario di Stato americano, non passa per Roma. È un dato sulla distanza fra i due mondi confessionali che nessuna dichiarazione avrebbe attestato con la medesima nettezza.</w:t>
      </w:r>
    </w:p>
    <w:p>
      <w:pPr>
        <w:pStyle w:val="Heading2"/>
        <w:spacing w:after="100" w:before="200"/>
      </w:pPr>
      <w:r>
        <w:rPr>
          <w:rFonts w:ascii="Barlow Semi Condensed" w:cs="Barlow Semi Condensed" w:eastAsia="Barlow Semi Condensed" w:hAnsi="Barlow Semi Condensed"/>
          <w:sz w:val="24"/>
          <w:szCs w:val="24"/>
        </w:rPr>
        <w:t xml:space="preserve">Capitolo settimo — La Turchia: il caso sovradeterminato</w:t>
      </w:r>
    </w:p>
    <w:p>
      <w:pPr>
        <w:spacing w:after="120" w:line="276"/>
        <w:jc w:val="both"/>
      </w:pPr>
      <w:r>
        <w:rPr>
          <w:rFonts w:ascii="Barlow Semi Condensed" w:cs="Barlow Semi Condensed" w:eastAsia="Barlow Semi Condensed" w:hAnsi="Barlow Semi Condensed"/>
          <w:sz w:val="24"/>
          <w:szCs w:val="24"/>
        </w:rPr>
        <w:t xml:space="preserve">Il capitolo espone il terzo caso, che è il più netto e il meno interessante proprio perché il più prevedibile.</w:t>
      </w:r>
    </w:p>
    <w:p>
      <w:pPr>
        <w:spacing w:after="120" w:line="276"/>
        <w:jc w:val="both"/>
      </w:pPr>
      <w:r>
        <w:rPr>
          <w:rFonts w:ascii="Barlow Semi Condensed" w:cs="Barlow Semi Condensed" w:eastAsia="Barlow Semi Condensed" w:hAnsi="Barlow Semi Condensed"/>
          <w:sz w:val="24"/>
          <w:szCs w:val="24"/>
        </w:rPr>
        <w:t xml:space="preserve">I tre fattori che si sommano. Maggioranza musulmana attorno al novantanove per cento della popolazione. Laicità dello Stato con controllo statale dell'istruzione religiosa. Minoranza cattolica minima e in larga parte non autoctona.</w:t>
      </w:r>
    </w:p>
    <w:p>
      <w:pPr>
        <w:spacing w:after="120" w:line="276"/>
        <w:jc w:val="both"/>
      </w:pPr>
      <w:r>
        <w:rPr>
          <w:rFonts w:ascii="Barlow Semi Condensed" w:cs="Barlow Semi Condensed" w:eastAsia="Barlow Semi Condensed" w:hAnsi="Barlow Semi Condensed"/>
          <w:sz w:val="24"/>
          <w:szCs w:val="24"/>
        </w:rPr>
        <w:t xml:space="preserve">Le stime della minoranza, con le divergenze da riportare. Una fonte indica circa trentacinquemila cattolici, pari allo zero virgola zero cinque per cento; un'agenzia ecclesiale nel novembre 2025 indica circa sessantamila, equivalenti allo zero virgola zero sette per cento; una stima più ridotta, su base di un rapporto di istituto, indica venticinquemila-trentamila, meno dello zero virgola zero quattro per cento. Le tre cifre non sono confrontabili e la divergenza si registra.</w:t>
      </w:r>
    </w:p>
    <w:p>
      <w:pPr>
        <w:spacing w:after="120" w:line="276"/>
        <w:jc w:val="both"/>
      </w:pPr>
      <w:r>
        <w:rPr>
          <w:rFonts w:ascii="Barlow Semi Condensed" w:cs="Barlow Semi Condensed" w:eastAsia="Barlow Semi Condensed" w:hAnsi="Barlow Semi Condensed"/>
          <w:sz w:val="24"/>
          <w:szCs w:val="24"/>
        </w:rPr>
        <w:t xml:space="preserve">Il dettaglio della composizione. Vicariato apostolico di Istanbul, circa quindicimila-diciassettemila battezzati; Arcidiocesi di Smirne, poco più di milletrecento fedeli; Vicariato apostolico dell'Anatolia, circa millecinquecento; arcidiocesi armena cattolica di Istanbul, tremilaseicentosettanta; caldei, cinquemilanovecentonovantatré; siri cattolici, duemilacentocinquantacinque.</w:t>
      </w:r>
    </w:p>
    <w:p>
      <w:pPr>
        <w:spacing w:after="120" w:line="276"/>
        <w:jc w:val="both"/>
      </w:pPr>
      <w:r>
        <w:rPr>
          <w:rFonts w:ascii="Barlow Semi Condensed" w:cs="Barlow Semi Condensed" w:eastAsia="Barlow Semi Condensed" w:hAnsi="Barlow Semi Condensed"/>
          <w:sz w:val="24"/>
          <w:szCs w:val="24"/>
        </w:rPr>
        <w:t xml:space="preserve">Un dato di composizione va isolato perché è decisivo per il modello. Una fonte vaticana recente distingue, per il solo vicariato latino di Istanbul, poco più di diecimila fedeli locali e circa trentamila fedeli stranieri, rifugiati o migranti. La comunità cattolica di Turchia è dunque in prevalenza non autoctona — e una comunità non autoctona non genera il ceto universitario e professionale stabile su cui l'apostolato dell'ente si radica.</w:t>
      </w:r>
    </w:p>
    <w:p>
      <w:pPr>
        <w:spacing w:after="120" w:line="276"/>
        <w:jc w:val="both"/>
      </w:pPr>
      <w:r>
        <w:rPr>
          <w:rFonts w:ascii="Barlow Semi Condensed" w:cs="Barlow Semi Condensed" w:eastAsia="Barlow Semi Condensed" w:hAnsi="Barlow Semi Condensed"/>
          <w:sz w:val="24"/>
          <w:szCs w:val="24"/>
        </w:rPr>
        <w:t xml:space="preserve">Il dettaglio legislativo che chiude il caso, e che è il ritrovamento più fine dei tre. La medesima legge turca che nel 1971 determinò la chiusura della Scuola teologica di Halki — vietando l'istruzione superiore privata non affiliata alle università di Stato — precludeva per ciò stesso anche l'eventuale radicamento educativo di enti confessionali cattolici.</w:t>
      </w:r>
    </w:p>
    <w:p>
      <w:pPr>
        <w:spacing w:after="120" w:line="276"/>
        <w:jc w:val="both"/>
      </w:pPr>
      <w:r>
        <w:rPr>
          <w:rFonts w:ascii="Barlow Semi Condensed" w:cs="Barlow Semi Condensed" w:eastAsia="Barlow Semi Condensed" w:hAnsi="Barlow Semi Condensed"/>
          <w:sz w:val="24"/>
          <w:szCs w:val="24"/>
        </w:rPr>
        <w:t xml:space="preserve">Il rilievo va enunciato con precisione. L'Opus Dei opera storicamente attraverso residenze universitarie e opere educative: la sua prima istituzione, l'Accademia DYA del 1933, era rivolta a studenti di Diritto e Architettura. Un ordinamento che vieta l'istruzione superiore privata non affiliata allo Stato rende impraticabile quel modello di insediamento, indipendentemente dalla consistenza della minoranza cattolica.</w:t>
      </w:r>
    </w:p>
    <w:p>
      <w:pPr>
        <w:spacing w:after="120" w:line="276"/>
        <w:jc w:val="both"/>
      </w:pPr>
      <w:r>
        <w:rPr>
          <w:rFonts w:ascii="Barlow Semi Condensed" w:cs="Barlow Semi Condensed" w:eastAsia="Barlow Semi Condensed" w:hAnsi="Barlow Semi Condensed"/>
          <w:sz w:val="24"/>
          <w:szCs w:val="24"/>
        </w:rPr>
        <w:t xml:space="preserve">Ne discende che il caso turco è sovradeterminato: anche rimuovendo uno dei tre fattori, i restanti due sarebbero sufficienti a spiegare l'assenza. È per questo il caso meno probante dei tre sul piano logico, pur essendo il più netto sul piano descrittivo.</w:t>
      </w:r>
    </w:p>
    <w:p>
      <w:pPr>
        <w:spacing w:after="120" w:line="276"/>
        <w:jc w:val="both"/>
      </w:pPr>
      <w:r>
        <w:rPr>
          <w:rFonts w:ascii="Barlow Semi Condensed" w:cs="Barlow Semi Condensed" w:eastAsia="Barlow Semi Condensed" w:hAnsi="Barlow Semi Condensed"/>
          <w:sz w:val="24"/>
          <w:szCs w:val="24"/>
        </w:rPr>
        <w:t xml:space="preserve">Lo statuto giuridico, per completezza. L'interpretazione turca del Trattato di Losanna del 24 luglio 1923, articoli dal trentasette al quarantacinque, riconosce come minoranze non musulmane soltanto greco-ortodossi, armeni ed ebrei; ne restano esclusi cattolici latini, caldei e siro-cattolici, considerati religioni straniere. La rivoluzione kemalista, sopprimendo il sistema del \</w:t>
      </w:r>
      <w:r>
        <w:rPr>
          <w:rFonts w:ascii="Barlow Semi Condensed" w:cs="Barlow Semi Condensed" w:eastAsia="Barlow Semi Condensed" w:hAnsi="Barlow Semi Condensed"/>
          <w:i/>
          <w:iCs/>
          <w:sz w:val="24"/>
          <w:szCs w:val="24"/>
        </w:rPr>
        <w:t xml:space="preserve">millet\</w:t>
      </w:r>
      <w:r>
        <w:rPr>
          <w:rFonts w:ascii="Barlow Semi Condensed" w:cs="Barlow Semi Condensed" w:eastAsia="Barlow Semi Condensed" w:hAnsi="Barlow Semi Condensed"/>
          <w:sz w:val="24"/>
          <w:szCs w:val="24"/>
        </w:rPr>
        <w:t xml:space="preserve">, aveva rimosso la tutela che nel diciannovesimo secolo quattro Chiese cattoliche avevano ottenuto sotto gli Ottomani; e Losanna non la ripristinò per i cattolici.</w:t>
      </w:r>
    </w:p>
    <w:p>
      <w:pPr>
        <w:pStyle w:val="Heading2"/>
        <w:spacing w:after="100" w:before="200"/>
      </w:pPr>
      <w:r>
        <w:rPr>
          <w:rFonts w:ascii="Barlow Semi Condensed" w:cs="Barlow Semi Condensed" w:eastAsia="Barlow Semi Condensed" w:hAnsi="Barlow Semi Condensed"/>
          <w:sz w:val="24"/>
          <w:szCs w:val="24"/>
        </w:rPr>
        <w:t xml:space="preserve">Capitolo ottavo — L'Italia nei tre casi: un atto, un'esclusione, un'assenza</w:t>
      </w:r>
    </w:p>
    <w:p>
      <w:pPr>
        <w:spacing w:after="120" w:line="276"/>
        <w:jc w:val="both"/>
      </w:pPr>
      <w:r>
        <w:rPr>
          <w:rFonts w:ascii="Barlow Semi Condensed" w:cs="Barlow Semi Condensed" w:eastAsia="Barlow Semi Condensed" w:hAnsi="Barlow Semi Condensed"/>
          <w:sz w:val="24"/>
          <w:szCs w:val="24"/>
        </w:rPr>
        <w:t xml:space="preserve">Il capitolo raccoglie la posizione italiana nei tre perimetri, e la raccoglie insieme perché il confronto è esso stesso la risultanza.</w:t>
      </w:r>
    </w:p>
    <w:p>
      <w:pPr>
        <w:spacing w:after="120" w:line="276"/>
        <w:jc w:val="both"/>
      </w:pPr>
      <w:r>
        <w:rPr>
          <w:rFonts w:ascii="Barlow Semi Condensed" w:cs="Barlow Semi Condensed" w:eastAsia="Barlow Semi Condensed" w:hAnsi="Barlow Semi Condensed"/>
          <w:sz w:val="24"/>
          <w:szCs w:val="24"/>
        </w:rPr>
        <w:t xml:space="preserve">La Grecia: un atto forte, datato, e presieduto da Moro. Il 12 dicembre 1969 il Comitato dei Ministri del Consiglio d'Europa adottò la Risoluzione (69) 51 in materia di Grecia; il governo greco notificò il proprio ritiro il medesimo 12 dicembre 1969, con effetto al 31 dicembre 1970, e denunciò la Convenzione. La seduta decisiva fu presieduta da Aldo Moro nella sua qualità di rappresentante italiano.</w:t>
      </w:r>
    </w:p>
    <w:p>
      <w:pPr>
        <w:spacing w:after="120" w:line="276"/>
        <w:jc w:val="both"/>
      </w:pPr>
      <w:r>
        <w:rPr>
          <w:rFonts w:ascii="Barlow Semi Condensed" w:cs="Barlow Semi Condensed" w:eastAsia="Barlow Semi Condensed" w:hAnsi="Barlow Semi Condensed"/>
          <w:sz w:val="24"/>
          <w:szCs w:val="24"/>
        </w:rPr>
        <w:t xml:space="preserve">Due precisazioni vanno apposte perché la pubblicistica le omette. Primo: la Grecia si ritirò per prevenire il voto ormai certo, non fu espulsa; la formula corrente di espulsione decretata da Moro è pubblicistica. Secondo: l'iniziativa era di matrice tedesca, come attesta la documentazione statunitense secondo cui una maggioranza degli Stati membri si schierò a sostegno di una risoluzione tedesca. Moro presiedeva l'organo che stava per deliberare.</w:t>
      </w:r>
    </w:p>
    <w:p>
      <w:pPr>
        <w:spacing w:after="120" w:line="276"/>
        <w:jc w:val="both"/>
      </w:pPr>
      <w:r>
        <w:rPr>
          <w:rFonts w:ascii="Barlow Semi Condensed" w:cs="Barlow Semi Condensed" w:eastAsia="Barlow Semi Condensed" w:hAnsi="Barlow Semi Condensed"/>
          <w:sz w:val="24"/>
          <w:szCs w:val="24"/>
        </w:rPr>
        <w:t xml:space="preserve">Sulla data della seduta le fonti divergono fra il 12 e il 13 dicembre 1969, e la divergenza si riporta.</w:t>
      </w:r>
    </w:p>
    <w:p>
      <w:pPr>
        <w:spacing w:after="120" w:line="276"/>
        <w:jc w:val="both"/>
      </w:pPr>
      <w:r>
        <w:rPr>
          <w:rFonts w:ascii="Barlow Semi Condensed" w:cs="Barlow Semi Condensed" w:eastAsia="Barlow Semi Condensed" w:hAnsi="Barlow Semi Condensed"/>
          <w:sz w:val="24"/>
          <w:szCs w:val="24"/>
        </w:rPr>
        <w:t xml:space="preserve">Una tesi circolante va segnalata e qualificata. Un autore sostiene che la scelta della data del 12 dicembre 1969 per la strage di piazza Fontana non sarebbe stata casuale, coincidendo con la sconfitta diplomatica greca a Strasburgo. È tesi d'autore in opera di taglio giornalistico-documentario; la contemporaneità non costituisce prova di nesso causale, e la materia appartiene alla storiografia sulla strategia della tensione più che alla biografia diplomatica di Moro. Si registra come ipotesi circolante e non come fatto.</w:t>
      </w:r>
    </w:p>
    <w:p>
      <w:pPr>
        <w:spacing w:after="120" w:line="276"/>
        <w:jc w:val="both"/>
      </w:pPr>
      <w:r>
        <w:rPr>
          <w:rFonts w:ascii="Barlow Semi Condensed" w:cs="Barlow Semi Condensed" w:eastAsia="Barlow Semi Condensed" w:hAnsi="Barlow Semi Condensed"/>
          <w:sz w:val="24"/>
          <w:szCs w:val="24"/>
        </w:rPr>
        <w:t xml:space="preserve">Cipro: tre esclusioni accertate. L'Italia non figurava fra le potenze garanti di Cipro, che erano Grecia, Turchia e Regno Unito. L'Italia non era membro del Consiglio di Sicurezza nel 1974: la composizione dei non permanenti era Australia, Austria, Repubblica Socialista Sovietica Bielorussa, Camerun, Costa Rica, Indonesia, Iraq, Kenya, Mauritania e Perù. L'Italia non figurava fra i Paesi contributori della forza di pace, che erano Austria, Canada, Danimarca, Finlandia, Irlanda, Svezia e Regno Unito, con elemento di polizia civile da Australia, Austria, Danimarca, Nuova Zelanda e Svezia.</w:t>
      </w:r>
    </w:p>
    <w:p>
      <w:pPr>
        <w:spacing w:after="120" w:line="276"/>
        <w:jc w:val="both"/>
      </w:pPr>
      <w:r>
        <w:rPr>
          <w:rFonts w:ascii="Barlow Semi Condensed" w:cs="Barlow Semi Condensed" w:eastAsia="Barlow Semi Condensed" w:hAnsi="Barlow Semi Condensed"/>
          <w:sz w:val="24"/>
          <w:szCs w:val="24"/>
        </w:rPr>
        <w:t xml:space="preserve">Un dato di contrasto va riportato perché precisa la portata dell'esclusione. L'Italia era stata membro non permanente del Consiglio nel biennio precedente: la composizione registrata per la Risoluzione 324 del 12 dicembre 1972 sul rinnovo della forza di pace elenca l'Italia fra i non permanenti. Il voto italiano documentabile sulla questione cipriota si colloca dunque nel 1971-1972 e non nel 1974.</w:t>
      </w:r>
    </w:p>
    <w:p>
      <w:pPr>
        <w:spacing w:after="120" w:line="276"/>
        <w:jc w:val="both"/>
      </w:pPr>
      <w:r>
        <w:rPr>
          <w:rFonts w:ascii="Barlow Semi Condensed" w:cs="Barlow Semi Condensed" w:eastAsia="Barlow Semi Condensed" w:hAnsi="Barlow Semi Condensed"/>
          <w:sz w:val="24"/>
          <w:szCs w:val="24"/>
        </w:rPr>
        <w:t xml:space="preserve">Sull'Assemblea generale. La Risoluzione 3212 del 1 novembre 1974 fu adottata all'unanimità con centodiciassette voti a favore, nessun contrario e nessuna astensione; l'Italia concorse al consenso, ma non risulta un intervento italiano distinto nel dibattito.</w:t>
      </w:r>
    </w:p>
    <w:p>
      <w:pPr>
        <w:spacing w:after="120" w:line="276"/>
        <w:jc w:val="both"/>
      </w:pPr>
      <w:r>
        <w:rPr>
          <w:rFonts w:ascii="Barlow Semi Condensed" w:cs="Barlow Semi Condensed" w:eastAsia="Barlow Semi Condensed" w:hAnsi="Barlow Semi Condensed"/>
          <w:sz w:val="24"/>
          <w:szCs w:val="24"/>
        </w:rPr>
        <w:t xml:space="preserve">Un atto comunitario cade dentro il mandato di Moro e va registrato. L'Accordo di associazione fra Comunità europea e Repubblica di Cipro fu firmato il 19 dicembre 1972 ed entrò in vigore il 1 giugno 1973 — dunque cinque settimane prima dell'insediamento di Moro alla Farnesina il 7 luglio 1973. La firma per la Comunità reca i nomi del presidente in carica del Consiglio Schmelzer e del presidente della Commissione Mansholt, non di un rappresentante italiano.</w:t>
      </w:r>
    </w:p>
    <w:p>
      <w:pPr>
        <w:spacing w:after="120" w:line="276"/>
        <w:jc w:val="both"/>
      </w:pPr>
      <w:r>
        <w:rPr>
          <w:rFonts w:ascii="Barlow Semi Condensed" w:cs="Barlow Semi Condensed" w:eastAsia="Barlow Semi Condensed" w:hAnsi="Barlow Semi Condensed"/>
          <w:sz w:val="24"/>
          <w:szCs w:val="24"/>
        </w:rPr>
        <w:t xml:space="preserve">La Turchia: presenza comunitaria documentata e assenza confessionale. Il dato certo è la firma di Moro, a nome del Consiglio delle Comunità europee, dell'Accordo provvisorio CEE-Turchia del 27 luglio 1971. Il dato negativo è l'assenza di qualunque presa di posizione documentata sulla condizione delle minoranze cristiane, sulla chiusura di Halki o sullo statuto del Patriarcato.</w:t>
      </w:r>
    </w:p>
    <w:p>
      <w:pPr>
        <w:spacing w:after="120" w:line="276"/>
        <w:jc w:val="both"/>
      </w:pPr>
      <w:r>
        <w:rPr>
          <w:rFonts w:ascii="Barlow Semi Condensed" w:cs="Barlow Semi Condensed" w:eastAsia="Barlow Semi Condensed" w:hAnsi="Barlow Semi Condensed"/>
          <w:sz w:val="24"/>
          <w:szCs w:val="24"/>
        </w:rPr>
        <w:t xml:space="preserve">Il confronto dà questo, e va enunciato. Nei tre casi l'Italia compare una volta come attore, una volta come escluso, una volta come firmatario comunitario senza posizione confessionale. In nessuno dei tre compare come titolare di una politica bilaterale autonoma verso la questione religiosa.</w:t>
      </w:r>
    </w:p>
    <w:p>
      <w:pPr>
        <w:pStyle w:val="Heading2"/>
        <w:spacing w:after="100" w:before="200"/>
      </w:pPr>
      <w:r>
        <w:rPr>
          <w:rFonts w:ascii="Barlow Semi Condensed" w:cs="Barlow Semi Condensed" w:eastAsia="Barlow Semi Condensed" w:hAnsi="Barlow Semi Condensed"/>
          <w:sz w:val="24"/>
          <w:szCs w:val="24"/>
        </w:rPr>
        <w:t xml:space="preserve">Capitolo nono — La formula storiografica che spiega l'assenza italiana</w:t>
      </w:r>
    </w:p>
    <w:p>
      <w:pPr>
        <w:spacing w:after="120" w:line="276"/>
        <w:jc w:val="both"/>
      </w:pPr>
      <w:r>
        <w:rPr>
          <w:rFonts w:ascii="Barlow Semi Condensed" w:cs="Barlow Semi Condensed" w:eastAsia="Barlow Semi Condensed" w:hAnsi="Barlow Semi Condensed"/>
          <w:sz w:val="24"/>
          <w:szCs w:val="24"/>
        </w:rPr>
        <w:t xml:space="preserve">Il capitolo espone l'enunciato che, meglio di ogni altro reperito nelle sette ricognizioni, spiega perché l'Italia non compaia.</w:t>
      </w:r>
    </w:p>
    <w:p>
      <w:pPr>
        <w:spacing w:after="120" w:line="276"/>
        <w:jc w:val="both"/>
      </w:pPr>
      <w:r>
        <w:rPr>
          <w:rFonts w:ascii="Barlow Semi Condensed" w:cs="Barlow Semi Condensed" w:eastAsia="Barlow Semi Condensed" w:hAnsi="Barlow Semi Condensed"/>
          <w:sz w:val="24"/>
          <w:szCs w:val="24"/>
        </w:rPr>
        <w:t xml:space="preserve">La formula proviene da fonte scientifica e riguarda il caso portoghese, ma la sua portata è generale: essa inquadra la solidarietà anticoloniale italiana nella dialettica fra una visione internazionalista implicita in certe municipalità di sinistra come Reggio Emilia e Bologna, e la fedeltà atlantica dei governi a maggioranza democristiana.</w:t>
      </w:r>
    </w:p>
    <w:p>
      <w:pPr>
        <w:spacing w:after="120" w:line="276"/>
        <w:jc w:val="both"/>
      </w:pPr>
      <w:r>
        <w:rPr>
          <w:rFonts w:ascii="Barlow Semi Condensed" w:cs="Barlow Semi Condensed" w:eastAsia="Barlow Semi Condensed" w:hAnsi="Barlow Semi Condensed"/>
          <w:sz w:val="24"/>
          <w:szCs w:val="24"/>
        </w:rPr>
        <w:t xml:space="preserve">Applicata ai tre casi del Mediterraneo orientale, essa spiega tre cose insieme.</w:t>
      </w:r>
    </w:p>
    <w:p>
      <w:pPr>
        <w:spacing w:after="120" w:line="276"/>
        <w:jc w:val="both"/>
      </w:pPr>
      <w:r>
        <w:rPr>
          <w:rFonts w:ascii="Barlow Semi Condensed" w:cs="Barlow Semi Condensed" w:eastAsia="Barlow Semi Condensed" w:hAnsi="Barlow Semi Condensed"/>
          <w:sz w:val="24"/>
          <w:szCs w:val="24"/>
        </w:rPr>
        <w:t xml:space="preserve">Primo: perché sulla Grecia dei colonnelli l'atto forte sia venuto in sede multilaterale e non bilaterale. Il Consiglio d'Europa era la sede in cui l'Italia poteva agire senza incrinare il vincolo atlantico, poiché l'organo non ha competenza militare e la materia era quella dei diritti umani. Un'iniziativa bilaterale contro Atene avrebbe toccato un alleato NATO; una risoluzione a Strasburgo no.</w:t>
      </w:r>
    </w:p>
    <w:p>
      <w:pPr>
        <w:spacing w:after="120" w:line="276"/>
        <w:jc w:val="both"/>
      </w:pPr>
      <w:r>
        <w:rPr>
          <w:rFonts w:ascii="Barlow Semi Condensed" w:cs="Barlow Semi Condensed" w:eastAsia="Barlow Semi Condensed" w:hAnsi="Barlow Semi Condensed"/>
          <w:sz w:val="24"/>
          <w:szCs w:val="24"/>
        </w:rPr>
        <w:t xml:space="preserve">Secondo: perché su Cipro l'Italia sia rimasta al margine consultivo. Essa fu inclusa nel circuito informale dell'Alleanza — la convocazione del segretario generale del 4 luglio 1974 agli ambasciatori di Stati Uniti, Regno Unito, Francia, Germania Federale, Italia e Belgio; le consultazioni del 30 agosto 1974 sul ritiro greco — ma non nei negoziati di Ginevra, che erano riservati alle potenze garanti. L'Italia era consultata, non deliberante.</w:t>
      </w:r>
    </w:p>
    <w:p>
      <w:pPr>
        <w:spacing w:after="120" w:line="276"/>
        <w:jc w:val="both"/>
      </w:pPr>
      <w:r>
        <w:rPr>
          <w:rFonts w:ascii="Barlow Semi Condensed" w:cs="Barlow Semi Condensed" w:eastAsia="Barlow Semi Condensed" w:hAnsi="Barlow Semi Condensed"/>
          <w:sz w:val="24"/>
          <w:szCs w:val="24"/>
        </w:rPr>
        <w:t xml:space="preserve">Terzo: perché sulla Turchia la posizione italiana sia comunitaria e non confessionale. La questione delle minoranze cristiane in Turchia avrebbe messo l'Italia in posizione critica verso un alleato del fianco sud in un momento in cui l'Alleanza perdeva la Grecia dalla struttura militare integrata. La fedeltà atlantica prevaleva sulla solidarietà confessionale.</w:t>
      </w:r>
    </w:p>
    <w:p>
      <w:pPr>
        <w:spacing w:after="120" w:line="276"/>
        <w:jc w:val="both"/>
      </w:pPr>
      <w:r>
        <w:rPr>
          <w:rFonts w:ascii="Barlow Semi Condensed" w:cs="Barlow Semi Condensed" w:eastAsia="Barlow Semi Condensed" w:hAnsi="Barlow Semi Condensed"/>
          <w:sz w:val="24"/>
          <w:szCs w:val="24"/>
        </w:rPr>
        <w:t xml:space="preserve">Un elemento vaticano conferma la medesima logica per via indipendente, e va riportato perché è notevole. La Santa Sede ottenne a Helsinki, il 1 agosto 1975, l'inscrizione della libertà religiosa nel settimo principio dell'Atto finale, su proposta presentata il 7 marzo 1973. Ma la ottenne guardando a Oriente, secondo la logica della Ostpolitik e in funzione della condizione dei cattolici nei Paesi del blocco.</w:t>
      </w:r>
    </w:p>
    <w:p>
      <w:pPr>
        <w:spacing w:after="120" w:line="276"/>
        <w:jc w:val="both"/>
      </w:pPr>
      <w:r>
        <w:rPr>
          <w:rFonts w:ascii="Barlow Semi Condensed" w:cs="Barlow Semi Condensed" w:eastAsia="Barlow Semi Condensed" w:hAnsi="Barlow Semi Condensed"/>
          <w:sz w:val="24"/>
          <w:szCs w:val="24"/>
        </w:rPr>
        <w:t xml:space="preserve">E non risulta che il medesimo principio sia stato invocato verso Ankara, che aveva chiuso il seminario del Patriarcato quattro anni prima ed è essa stessa firmataria dell'Atto finale.</w:t>
      </w:r>
    </w:p>
    <w:p>
      <w:pPr>
        <w:spacing w:after="120" w:line="276"/>
        <w:jc w:val="both"/>
      </w:pPr>
      <w:r>
        <w:rPr>
          <w:rFonts w:ascii="Barlow Semi Condensed" w:cs="Barlow Semi Condensed" w:eastAsia="Barlow Semi Condensed" w:hAnsi="Barlow Semi Condensed"/>
          <w:sz w:val="24"/>
          <w:szCs w:val="24"/>
        </w:rPr>
        <w:t xml:space="preserve">Il dato va enunciato senza interpretarlo. Né l'Italia né la Santa Sede risultano avere fatto valere, verso un alleato atlantico, il principio che entrambe sostenevano verso l'avversario. Se ciò fu prudenza diplomatica, priorità gerarchica dei dossier, o altro, non è accertato da alcuna fonte reperita; e le tre spiegazioni restano aperte.</w:t>
      </w:r>
    </w:p>
    <w:p>
      <w:pPr>
        <w:pStyle w:val="Heading2"/>
        <w:spacing w:after="100" w:before="200"/>
      </w:pPr>
      <w:r>
        <w:rPr>
          <w:rFonts w:ascii="Barlow Semi Condensed" w:cs="Barlow Semi Condensed" w:eastAsia="Barlow Semi Condensed" w:hAnsi="Barlow Semi Condensed"/>
          <w:sz w:val="24"/>
          <w:szCs w:val="24"/>
        </w:rPr>
        <w:t xml:space="preserve">Capitolo decimo — Il modello consolidato e la sua forma logica</w:t>
      </w:r>
    </w:p>
    <w:p>
      <w:pPr>
        <w:spacing w:after="120" w:line="276"/>
        <w:jc w:val="both"/>
      </w:pPr>
      <w:r>
        <w:rPr>
          <w:rFonts w:ascii="Barlow Semi Condensed" w:cs="Barlow Semi Condensed" w:eastAsia="Barlow Semi Condensed" w:hAnsi="Barlow Semi Condensed"/>
          <w:sz w:val="24"/>
          <w:szCs w:val="24"/>
        </w:rPr>
        <w:t xml:space="preserve">Il capitolo enuncia la proposizione che i tre casi stabiliscono insieme, e ne espone la struttura dimostrativa perché sia verificabile e confutabile.</w:t>
      </w:r>
    </w:p>
    <w:p>
      <w:pPr>
        <w:spacing w:after="120" w:line="276"/>
        <w:jc w:val="both"/>
      </w:pPr>
      <w:r>
        <w:rPr>
          <w:rFonts w:ascii="Barlow Semi Condensed" w:cs="Barlow Semi Condensed" w:eastAsia="Barlow Semi Condensed" w:hAnsi="Barlow Semi Condensed"/>
          <w:sz w:val="24"/>
          <w:szCs w:val="24"/>
        </w:rPr>
        <w:t xml:space="preserve">La proposizione. L'insediamento dell'Opus Dei in un Paese del Mediterraneo richiede la compresenza di due condizioni: una maggioranza cattolica della popolazione, e la disponibilità di un ceto universitario e professionale cattolico autoctono su cui l'apostolato possa radicarsi.</w:t>
      </w:r>
    </w:p>
    <w:p>
      <w:pPr>
        <w:spacing w:after="120" w:line="276"/>
        <w:jc w:val="both"/>
      </w:pPr>
      <w:r>
        <w:rPr>
          <w:rFonts w:ascii="Barlow Semi Condensed" w:cs="Barlow Semi Condensed" w:eastAsia="Barlow Semi Condensed" w:hAnsi="Barlow Semi Condensed"/>
          <w:sz w:val="24"/>
          <w:szCs w:val="24"/>
        </w:rPr>
        <w:t xml:space="preserve">Il lato positivo, per date. Spagna 1928, Portogallo 1945, Italia 1946 — tre Paesi a maggioranza cattolica con ceti universitari cattolici; Libano 1996 — Paese a forte componente cristiana e cattolica con élite professionali maronite e latine.</w:t>
      </w:r>
    </w:p>
    <w:p>
      <w:pPr>
        <w:spacing w:after="120" w:line="276"/>
        <w:jc w:val="both"/>
      </w:pPr>
      <w:r>
        <w:rPr>
          <w:rFonts w:ascii="Barlow Semi Condensed" w:cs="Barlow Semi Condensed" w:eastAsia="Barlow Semi Condensed" w:hAnsi="Barlow Semi Condensed"/>
          <w:sz w:val="24"/>
          <w:szCs w:val="24"/>
        </w:rPr>
        <w:t xml:space="preserve">Il lato negativo, per esclusione progressiva.</w:t>
      </w:r>
    </w:p>
    <w:p>
      <w:pPr>
        <w:spacing w:after="120" w:line="276"/>
        <w:jc w:val="both"/>
      </w:pPr>
      <w:r>
        <w:rPr>
          <w:rFonts w:ascii="Barlow Semi Condensed" w:cs="Barlow Semi Condensed" w:eastAsia="Barlow Semi Condensed" w:hAnsi="Barlow Semi Condensed"/>
          <w:sz w:val="24"/>
          <w:szCs w:val="24"/>
        </w:rPr>
        <w:t xml:space="preserve">La Grecia esclude la variabile del regime. Dittatura di destra dal 1967 al 1974, coeva a quelle iberiche; ente assente. Se il regime fosse la condizione, la Grecia sarebbe stata propizia.</w:t>
      </w:r>
    </w:p>
    <w:p>
      <w:pPr>
        <w:spacing w:after="120" w:line="276"/>
        <w:jc w:val="both"/>
      </w:pPr>
      <w:r>
        <w:rPr>
          <w:rFonts w:ascii="Barlow Semi Condensed" w:cs="Barlow Semi Condensed" w:eastAsia="Barlow Semi Condensed" w:hAnsi="Barlow Semi Condensed"/>
          <w:sz w:val="24"/>
          <w:szCs w:val="24"/>
        </w:rPr>
        <w:t xml:space="preserve">Cipro esclude la variabile della mera presenza cattolica. Minoranze cattoliche antiche, strutturate, riconosciute dalla Costituzione del 1960, con gerarchia propria, parrocchie e villaggi interi, e Nunziatura apostolica dal 1973; ente assente. Se la presenza di cattolici fosse condizione sufficiente, Cipro l'avrebbe ospitato.</w:t>
      </w:r>
    </w:p>
    <w:p>
      <w:pPr>
        <w:spacing w:after="120" w:line="276"/>
        <w:jc w:val="both"/>
      </w:pPr>
      <w:r>
        <w:rPr>
          <w:rFonts w:ascii="Barlow Semi Condensed" w:cs="Barlow Semi Condensed" w:eastAsia="Barlow Semi Condensed" w:hAnsi="Barlow Semi Condensed"/>
          <w:sz w:val="24"/>
          <w:szCs w:val="24"/>
        </w:rPr>
        <w:t xml:space="preserve">La Turchia conferma per sovradeterminazione. Maggioranza musulmana, laicità con controllo dell'istruzione, minoranza cattolica minima e in prevalenza non autoctona, e divieto legale dell'istruzione superiore privata non affiliata allo Stato che preclude il modello di insediamento educativo dell'ente.</w:t>
      </w:r>
    </w:p>
    <w:p>
      <w:pPr>
        <w:spacing w:after="120" w:line="276"/>
        <w:jc w:val="both"/>
      </w:pPr>
      <w:r>
        <w:rPr>
          <w:rFonts w:ascii="Barlow Semi Condensed" w:cs="Barlow Semi Condensed" w:eastAsia="Barlow Semi Condensed" w:hAnsi="Barlow Semi Condensed"/>
          <w:sz w:val="24"/>
          <w:szCs w:val="24"/>
        </w:rPr>
        <w:t xml:space="preserve">La forma logica dello argomento va dichiarata, perché ne determina la forza. Si tratta di un argomento per casi controfattuali e non di una dimostrazione causale. Esso mostra che due variabili candidate — il regime autoritario e la presenza di cattolici — non sono condizioni sufficienti, e che una terza — maggioranza più ceto professionale — è compatibile con tutti i casi osservati.</w:t>
      </w:r>
    </w:p>
    <w:p>
      <w:pPr>
        <w:spacing w:after="120" w:line="276"/>
        <w:jc w:val="both"/>
      </w:pPr>
      <w:r>
        <w:rPr>
          <w:rFonts w:ascii="Barlow Semi Condensed" w:cs="Barlow Semi Condensed" w:eastAsia="Barlow Semi Condensed" w:hAnsi="Barlow Semi Condensed"/>
          <w:sz w:val="24"/>
          <w:szCs w:val="24"/>
        </w:rPr>
        <w:t xml:space="preserve">Che essa sia condizione necessaria non è dimostrato, e non lo sarebbe nemmeno con dieci casi: sarebbe necessario un caso in cui le due condizioni sussistano e l'ente sia comunque assente, e tale caso non è stato cercato.</w:t>
      </w:r>
    </w:p>
    <w:p>
      <w:pPr>
        <w:spacing w:after="120" w:line="276"/>
        <w:jc w:val="both"/>
      </w:pPr>
      <w:r>
        <w:rPr>
          <w:rFonts w:ascii="Barlow Semi Condensed" w:cs="Barlow Semi Condensed" w:eastAsia="Barlow Semi Condensed" w:hAnsi="Barlow Semi Condensed"/>
          <w:sz w:val="24"/>
          <w:szCs w:val="24"/>
        </w:rPr>
        <w:t xml:space="preserve">La confutazione possibile va indicata, perché una proposizione che non la ammetta non è una proposizione. Il modello sarebbe falsificato dal reperimento di un insediamento stabile dell'ente in un Paese a maggioranza non cattolica e privo di ceto cattolico autoctono. L'elenco ufficiale contiene casi che meritano verifica in questa direzione — Giappone 1958, Kenya 1958, Nigeria 1965, India 1993, Kazakhistan 1997, Indonesia 2008, Sri Lanka 2011 — e nessuno di essi è stato esaminato in questa sede.</w:t>
      </w:r>
    </w:p>
    <w:p>
      <w:pPr>
        <w:spacing w:after="120" w:line="276"/>
        <w:jc w:val="both"/>
      </w:pPr>
      <w:r>
        <w:rPr>
          <w:rFonts w:ascii="Barlow Semi Condensed" w:cs="Barlow Semi Condensed" w:eastAsia="Barlow Semi Condensed" w:hAnsi="Barlow Semi Condensed"/>
          <w:sz w:val="24"/>
          <w:szCs w:val="24"/>
        </w:rPr>
        <w:t xml:space="preserve">Ne discende che il modello qui proposto è provvisorio e circoscritto al Mediterraneo, e che la sua estensione richiederebbe l'esame dei casi asiatici e africani. Lo si dichiara perché presentarlo come generale sarebbe l'errore che questo progetto ha imparato a riconoscere: organizzare i casi attorno alla conclusione anziché sottoporla al caso avverso.</w:t>
      </w:r>
    </w:p>
    <w:p>
      <w:pPr>
        <w:spacing w:after="120" w:line="276"/>
        <w:jc w:val="both"/>
      </w:pPr>
      <w:r>
        <w:rPr>
          <w:rFonts w:ascii="Barlow Semi Condensed" w:cs="Barlow Semi Condensed" w:eastAsia="Barlow Semi Condensed" w:hAnsi="Barlow Semi Condensed"/>
          <w:sz w:val="24"/>
          <w:szCs w:val="24"/>
        </w:rPr>
        <w:t xml:space="preserve">Un rilievo finale sulla correzione di impostazione. Nella ricognizione portoghese avevo osservato che una divergenza non è una triangolazione. Qui vale il complemento: tre assenze non sono tre lacune. Sono tre osservazioni negative che, disposte in ordine di esclusione, producono una conoscenza che nessuna presenza avrebbe prodotto.</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nei tre perimetri</w:t>
      </w:r>
    </w:p>
    <w:p>
      <w:pPr>
        <w:spacing w:after="120" w:line="276"/>
        <w:jc w:val="both"/>
      </w:pPr>
      <w:r>
        <w:rPr>
          <w:rFonts w:ascii="Barlow Semi Condensed" w:cs="Barlow Semi Condensed" w:eastAsia="Barlow Semi Condensed" w:hAnsi="Barlow Semi Condensed"/>
          <w:sz w:val="24"/>
          <w:szCs w:val="24"/>
        </w:rPr>
        <w:t xml:space="preserve">Il capitolo raccoglie le triangolazioni reperite nei tre casi, con il grado e con ciò che non stabiliscono.</w:t>
      </w:r>
    </w:p>
    <w:p>
      <w:pPr>
        <w:spacing w:after="120" w:line="276"/>
        <w:jc w:val="both"/>
      </w:pPr>
      <w:r>
        <w:rPr>
          <w:rFonts w:ascii="Barlow Semi Condensed" w:cs="Barlow Semi Condensed" w:eastAsia="Barlow Semi Condensed" w:hAnsi="Barlow Semi Condensed"/>
          <w:sz w:val="24"/>
          <w:szCs w:val="24"/>
        </w:rPr>
        <w:t xml:space="preserve">Sulla Grecia. Prima triangolazione: la seduta del 12 dicembre 1969. Grado alto quanto al fatto: l'atto italiano è documentato dalla risoluzione del Comitato dei Ministri e dalla documentazione statunitense. Ciò che non stabilisce: nessun rapporto con l'Opus Dei, assente dal Paese; nessun ruolo vaticano, in assenza di relazioni diplomatiche fra Atene e la Santa Sede fino al 1979. È una triangolazione a due termini, non a tre.</w:t>
      </w:r>
    </w:p>
    <w:p>
      <w:pPr>
        <w:spacing w:after="120" w:line="276"/>
        <w:jc w:val="both"/>
      </w:pPr>
      <w:r>
        <w:rPr>
          <w:rFonts w:ascii="Barlow Semi Condensed" w:cs="Barlow Semi Condensed" w:eastAsia="Barlow Semi Condensed" w:hAnsi="Barlow Semi Condensed"/>
          <w:sz w:val="24"/>
          <w:szCs w:val="24"/>
        </w:rPr>
        <w:t xml:space="preserve">Sulla Grecia, seconda. La correlazione fra relazioni diplomatiche e adesione europea. Grado medio, su dichiarazione del Ministero ellenico che collega la decisione del 1979 alle aspirazioni comunitarie. Ciò che non stabilisce: nessun ruolo italiano documentato in quella correlazione, pur essendo l'Italia Stato membro.</w:t>
      </w:r>
    </w:p>
    <w:p>
      <w:pPr>
        <w:spacing w:after="120" w:line="276"/>
        <w:jc w:val="both"/>
      </w:pPr>
      <w:r>
        <w:rPr>
          <w:rFonts w:ascii="Barlow Semi Condensed" w:cs="Barlow Semi Condensed" w:eastAsia="Barlow Semi Condensed" w:hAnsi="Barlow Semi Condensed"/>
          <w:sz w:val="24"/>
          <w:szCs w:val="24"/>
        </w:rPr>
        <w:t xml:space="preserve">Su Cipro. Prima triangolazione: la Nunziatura del febbraio 1973 e l'ambasciatore del settembre 1973. Grado alto quanto ai fatti. Ciò che non stabilisce: nessun ruolo italiano; gli atti appartengono interamente al bilaterale fra Nicosia e la Santa Sede, e la coincidenza con il secondo mandato di Moro è mera contemporaneità.</w:t>
      </w:r>
    </w:p>
    <w:p>
      <w:pPr>
        <w:spacing w:after="120" w:line="276"/>
        <w:jc w:val="both"/>
      </w:pPr>
      <w:r>
        <w:rPr>
          <w:rFonts w:ascii="Barlow Semi Condensed" w:cs="Barlow Semi Condensed" w:eastAsia="Barlow Semi Condensed" w:hAnsi="Barlow Semi Condensed"/>
          <w:sz w:val="24"/>
          <w:szCs w:val="24"/>
        </w:rPr>
        <w:t xml:space="preserve">Su Cipro, seconda. La doppia titolarità di Makarios come unicum. Grado alto quanto al fatto canonico e costituzionale. Ciò che non stabilisce: nessun rapporto con la Santa Sede, che non aveva relazioni con Nicosia prima del 1973 e la cui gerarchia locale — maronita e latina — era estranea alla vicenda ecclesiastica ortodossa. È una triangolazione interna al mondo ortodosso.</w:t>
      </w:r>
    </w:p>
    <w:p>
      <w:pPr>
        <w:spacing w:after="120" w:line="276"/>
        <w:jc w:val="both"/>
      </w:pPr>
      <w:r>
        <w:rPr>
          <w:rFonts w:ascii="Barlow Semi Condensed" w:cs="Barlow Semi Condensed" w:eastAsia="Barlow Semi Condensed" w:hAnsi="Barlow Semi Condensed"/>
          <w:sz w:val="24"/>
          <w:szCs w:val="24"/>
        </w:rPr>
        <w:t xml:space="preserve">Su Cipro, terza. Lo Stato Zero romano nell'esilio del 1974. Grado alto quanto all'accertamento negativo, su tre verifiche indipendenti. È il dato più eloquente dei tre casi ciprioti, perché misura la distanza fra i due mondi confessionali meglio di qualunque dichiarazione.</w:t>
      </w:r>
    </w:p>
    <w:p>
      <w:pPr>
        <w:spacing w:after="120" w:line="276"/>
        <w:jc w:val="both"/>
      </w:pPr>
      <w:r>
        <w:rPr>
          <w:rFonts w:ascii="Barlow Semi Condensed" w:cs="Barlow Semi Condensed" w:eastAsia="Barlow Semi Condensed" w:hAnsi="Barlow Semi Condensed"/>
          <w:sz w:val="24"/>
          <w:szCs w:val="24"/>
        </w:rPr>
        <w:t xml:space="preserve">Sulla Turchia. Prima triangolazione: la firma di Helsinki del 1 agosto 1975. Grado alto quanto al fatto: Santa Sede, Turchia e Italia di Moro sottoscrivono il medesimo atto, e la Santa Sede vi ha ottenuto la libertà religiosa nel settimo principio. Ciò che non stabilisce: la materia era la sicurezza europea; nessun coordinamento fra le delegazioni è documentato; e — come esposto al Capitolo nono — non risulta che il principio ottenuto sia stato invocato verso il cofirmatario turco.</w:t>
      </w:r>
    </w:p>
    <w:p>
      <w:pPr>
        <w:spacing w:after="120" w:line="276"/>
        <w:jc w:val="both"/>
      </w:pPr>
      <w:r>
        <w:rPr>
          <w:rFonts w:ascii="Barlow Semi Condensed" w:cs="Barlow Semi Condensed" w:eastAsia="Barlow Semi Condensed" w:hAnsi="Barlow Semi Condensed"/>
          <w:sz w:val="24"/>
          <w:szCs w:val="24"/>
        </w:rPr>
        <w:t xml:space="preserve">Sulla Turchia, seconda. La sovrapposizione fra collettività italiana e minoranza latina. Grado medio. La comunità italiana di Istanbul e Smirne è la più antica collettività italiana all'estero, e le parrocchie latine — escluse dalle tutele di Losanna — ne erano il riferimento religioso. Ciò che non stabilisce: nessuna azione coordinata della Farnesina in loro favore risulta documentata.</w:t>
      </w:r>
    </w:p>
    <w:p>
      <w:pPr>
        <w:spacing w:after="120" w:line="276"/>
        <w:jc w:val="both"/>
      </w:pPr>
      <w:r>
        <w:rPr>
          <w:rFonts w:ascii="Barlow Semi Condensed" w:cs="Barlow Semi Condensed" w:eastAsia="Barlow Semi Condensed" w:hAnsi="Barlow Semi Condensed"/>
          <w:sz w:val="24"/>
          <w:szCs w:val="24"/>
        </w:rPr>
        <w:t xml:space="preserve">Il bilancio complessivo, ed è la settima volta consecutiva. Nessuna delle sette triangolazioni coinvolge insieme i tre termini — Italia di Moro, Santa Sede, Opus Dei — per la ragione elementare che il terzo termine è assente da tutti e tre i Paesi.</w:t>
      </w:r>
    </w:p>
    <w:p>
      <w:pPr>
        <w:spacing w:after="120" w:line="276"/>
        <w:jc w:val="both"/>
      </w:pPr>
      <w:r>
        <w:rPr>
          <w:rFonts w:ascii="Barlow Semi Condensed" w:cs="Barlow Semi Condensed" w:eastAsia="Barlow Semi Condensed" w:hAnsi="Barlow Semi Condensed"/>
          <w:sz w:val="24"/>
          <w:szCs w:val="24"/>
        </w:rPr>
        <w:t xml:space="preserve">Ne discende una osservazione che chiude il capitolo. Chiedere le triangolazioni fra Moro e l'Opus Dei nel Mediterraneo orientale equivale a chiedere le intersezioni di un insieme con l'insieme vuoto. L'esito non è una lacuna della ricerca: è una proprietà dell'oggetto. E la sua verifica su tre Paesi consecutivi, contro la fonte ufficiale dell'ente, è quanto questo studio consegna.</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degli otto studi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di rendimento massimo e la sola che possa falsificare il modello. L'esame dei casi asiatici e africani dell'elenco ufficiale — Giappone 1958, Kenya 1958, Nigeria 1965, India 1993, Kazakhistan 1997, Indonesia 2008, Sri Lanka 2011 — per verificare se in essi sussista la doppia condizione di maggioranza cattolica e ceto professionale cattolico, o se il modello vi sia falsificato. Sede: la storiografia sull'espansione dell'ente e le statistiche confessionali dei singoli Paesi. Condizione di chiusura: il reperimento di un insediamento stabile in un Paese a maggioranza non cattolica e privo di ceto cattolico autoctono, che falsificherebbe la proposizione del Capitolo decimo.</w:t>
      </w:r>
    </w:p>
    <w:p>
      <w:pPr>
        <w:spacing w:after="120" w:line="276"/>
        <w:jc w:val="both"/>
      </w:pPr>
      <w:r>
        <w:rPr>
          <w:rFonts w:ascii="Barlow Semi Condensed" w:cs="Barlow Semi Condensed" w:eastAsia="Barlow Semi Condensed" w:hAnsi="Barlow Semi Condensed"/>
          <w:sz w:val="24"/>
          <w:szCs w:val="24"/>
        </w:rPr>
        <w:t xml:space="preserve">Seconda voce. La consultazione integrale del prospetto ufficiale delle date di inizio del lavoro stabile e dell'elenco delle circoscrizioni regionali, per la chiusura formale delle tre assenze. Sede: il sito dell'ente e le sue pubblicazioni istituzionali, oltre al portale storico promosso dal Centro Studi dell'Università di Navarra e dall'Istituto Storico di Roma. Rendimento basso in termini di novità, alto in termini di chiusura.</w:t>
      </w:r>
    </w:p>
    <w:p>
      <w:pPr>
        <w:spacing w:after="120" w:line="276"/>
        <w:jc w:val="both"/>
      </w:pPr>
      <w:r>
        <w:rPr>
          <w:rFonts w:ascii="Barlow Semi Condensed" w:cs="Barlow Semi Condensed" w:eastAsia="Barlow Semi Condensed" w:hAnsi="Barlow Semi Condensed"/>
          <w:sz w:val="24"/>
          <w:szCs w:val="24"/>
        </w:rPr>
        <w:t xml:space="preserve">Terza voce. Gli atti del Consiglio d'Europa relativi alla seduta del 12 o 13 dicembre 1969, per accertare la condotta e le parole di Moro in quella sede e risolvere la divergenza sulla data. Sedi: archivio del Consiglio d'Europa a Strasburgo; Archivio Storico Diplomatico della Farnesina.</w:t>
      </w:r>
    </w:p>
    <w:p>
      <w:pPr>
        <w:spacing w:after="120" w:line="276"/>
        <w:jc w:val="both"/>
      </w:pPr>
      <w:r>
        <w:rPr>
          <w:rFonts w:ascii="Barlow Semi Condensed" w:cs="Barlow Semi Condensed" w:eastAsia="Barlow Semi Condensed" w:hAnsi="Barlow Semi Condensed"/>
          <w:sz w:val="24"/>
          <w:szCs w:val="24"/>
        </w:rPr>
        <w:t xml:space="preserve">Quarta voce. La posizione italiana su Cipro nei mesi di luglio-novembre 1974 e la posizione italiana sulla condizione delle minoranze cristiane in Turchia. Sedi: Archivio Storico Diplomatico, serie Grecia, Cipro, Turchia e Santa Sede 1969-1975, con l'avvertenza dell'esclusione dei Telegrammi 1942-1970; resoconti stenografici della sesta legislatura, non indicizzati per soggetto essendo la banca dati del sindacato ispettivo estesa soltanto dal 5 luglio 1976.</w:t>
      </w:r>
    </w:p>
    <w:p>
      <w:pPr>
        <w:spacing w:after="120" w:line="276"/>
        <w:jc w:val="both"/>
      </w:pPr>
      <w:r>
        <w:rPr>
          <w:rFonts w:ascii="Barlow Semi Condensed" w:cs="Barlow Semi Condensed" w:eastAsia="Barlow Semi Condensed" w:hAnsi="Barlow Semi Condensed"/>
          <w:sz w:val="24"/>
          <w:szCs w:val="24"/>
        </w:rPr>
        <w:t xml:space="preserve">Quinta voce. Le biografie di riferimento su Makarios e le memorie di Klerides, per la chiusura definitiva dello Stato Zero romano dell'esilio 1974.</w:t>
      </w:r>
    </w:p>
    <w:p>
      <w:pPr>
        <w:spacing w:after="120" w:line="276"/>
        <w:jc w:val="both"/>
      </w:pPr>
      <w:r>
        <w:rPr>
          <w:rFonts w:ascii="Barlow Semi Condensed" w:cs="Barlow Semi Condensed" w:eastAsia="Barlow Semi Condensed" w:hAnsi="Barlow Semi Condensed"/>
          <w:sz w:val="24"/>
          <w:szCs w:val="24"/>
        </w:rPr>
        <w:t xml:space="preserve">Sesta voce. Gli archivi dell'Arcivescovado di Cipro e della Fondazione Makarios III, per il rapporto fra la crisi ecclesiastica del 1972-1973 e il colpo del 1974.</w:t>
      </w:r>
    </w:p>
    <w:p>
      <w:pPr>
        <w:spacing w:after="120" w:line="276"/>
        <w:jc w:val="both"/>
      </w:pPr>
      <w:r>
        <w:rPr>
          <w:rFonts w:ascii="Barlow Semi Condensed" w:cs="Barlow Semi Condensed" w:eastAsia="Barlow Semi Condensed" w:hAnsi="Barlow Semi Condensed"/>
          <w:sz w:val="24"/>
          <w:szCs w:val="24"/>
        </w:rPr>
        <w:t xml:space="preserve">Settima voce. Il registro dei delegati alla Conferenza per la sicurezza e la cooperazione in Europa conservato presso il centro di documentazione di Praga, per la composizione delle delegazioni greca e turca e per verificare se la questione delle minoranze cristiane sia stata sollevata.</w:t>
      </w:r>
    </w:p>
    <w:p>
      <w:pPr>
        <w:pStyle w:val="Heading2"/>
        <w:spacing w:after="100" w:before="200"/>
      </w:pPr>
      <w:r>
        <w:rPr>
          <w:rFonts w:ascii="Barlow Semi Condensed" w:cs="Barlow Semi Condensed" w:eastAsia="Barlow Semi Condensed" w:hAnsi="Barlow Semi Condensed"/>
          <w:sz w:val="24"/>
          <w:szCs w:val="24"/>
        </w:rPr>
        <w:t xml:space="preserve">Nota sul bilancio degli otto studi, che chiude questa ricognizione.</w:t>
      </w:r>
    </w:p>
    <w:p>
      <w:pPr>
        <w:spacing w:after="120" w:line="276"/>
        <w:jc w:val="both"/>
      </w:pPr>
      <w:r>
        <w:rPr>
          <w:rFonts w:ascii="Barlow Semi Condensed" w:cs="Barlow Semi Condensed" w:eastAsia="Barlow Semi Condensed" w:hAnsi="Barlow Semi Condensed"/>
          <w:sz w:val="24"/>
          <w:szCs w:val="24"/>
        </w:rPr>
        <w:t xml:space="preserve">Otto ricognizioni hanno percorso l'attività ministeriale di Moro verso Spagna, Portogallo, Grecia, Cipro e Turchia, incrociandola con la Santa Sede e con l'Opus Dei. L'esito sul primo termine è costante: il governo italiano non compare come attore documentato in nessuno dei cinque perimetri, e le ragioni sono state esposte al Capitolo nono.</w:t>
      </w:r>
    </w:p>
    <w:p>
      <w:pPr>
        <w:spacing w:after="120" w:line="276"/>
        <w:jc w:val="both"/>
      </w:pPr>
      <w:r>
        <w:rPr>
          <w:rFonts w:ascii="Barlow Semi Condensed" w:cs="Barlow Semi Condensed" w:eastAsia="Barlow Semi Condensed" w:hAnsi="Barlow Semi Condensed"/>
          <w:sz w:val="24"/>
          <w:szCs w:val="24"/>
        </w:rPr>
        <w:t xml:space="preserve">L'esito sul terzo termine è ora consolidato e non più soltanto ripetuto. L'Opus Dei è presente nei due Paesi iberici cattolici e assente nei tre Paesi orientali non cattolici; e la variabile discriminante è confessionale e sociale, non politica.</w:t>
      </w:r>
    </w:p>
    <w:p>
      <w:pPr>
        <w:spacing w:after="120" w:line="276"/>
        <w:jc w:val="both"/>
      </w:pPr>
      <w:r>
        <w:rPr>
          <w:rFonts w:ascii="Barlow Semi Condensed" w:cs="Barlow Semi Condensed" w:eastAsia="Barlow Semi Condensed" w:hAnsi="Barlow Semi Condensed"/>
          <w:sz w:val="24"/>
          <w:szCs w:val="24"/>
        </w:rPr>
        <w:t xml:space="preserve">Ne discende la constatazione che gli otto studi consegnano insieme. Dove agiscono soggetti che tengono archivio e che pubblicano — congregazioni, riviste missionarie, cancellerie ecclesiastiche, polizie politiche, magistrature — resta traccia anche a mezzo secolo di distanza. Dove agiscono i governi, e i loro archivi non sono accessibili o non sono indicizzati o non sono aperti per intere epoche, non resta nulla.</w:t>
      </w:r>
    </w:p>
    <w:p>
      <w:pPr>
        <w:spacing w:after="120" w:line="276"/>
        <w:jc w:val="both"/>
      </w:pPr>
      <w:r>
        <w:rPr>
          <w:rFonts w:ascii="Barlow Semi Condensed" w:cs="Barlow Semi Condensed" w:eastAsia="Barlow Semi Condensed" w:hAnsi="Barlow Semi Condensed"/>
          <w:sz w:val="24"/>
          <w:szCs w:val="24"/>
        </w:rPr>
        <w:t xml:space="preserve">E l'assenza di traccia non va confusa con l'assenza dell'atto.</w:t>
      </w:r>
    </w:p>
    <w:p>
      <w:pPr>
        <w:spacing w:after="120" w:line="276"/>
        <w:jc w:val="both"/>
      </w:pPr>
      <w:r>
        <w:rPr>
          <w:rFonts w:ascii="Barlow Semi Condensed" w:cs="Barlow Semi Condensed" w:eastAsia="Barlow Semi Condensed" w:hAnsi="Barlow Semi Condensed"/>
          <w:sz w:val="24"/>
          <w:szCs w:val="24"/>
        </w:rPr>
        <w:t xml:space="preserve">A questa lezione il presente studio aggiunge la propria, che è di segno diverso e più utile. Vi sono assenze che non sono lacune. L'assenza dell'Opus Dei da Grecia, Cipro e Turchia non è un vuoto documentale da colmare: è un insieme vuoto verificato contro il registro ufficiale del soggetto medesimo. E tre insiemi vuoti, disposti in ordine di esclusione progressiva, producono una proposizione confutabile.</w:t>
      </w:r>
    </w:p>
    <w:p>
      <w:pPr>
        <w:spacing w:after="120" w:line="276"/>
        <w:jc w:val="both"/>
      </w:pPr>
      <w:r>
        <w:rPr>
          <w:rFonts w:ascii="Barlow Semi Condensed" w:cs="Barlow Semi Condensed" w:eastAsia="Barlow Semi Condensed" w:hAnsi="Barlow Semi Condensed"/>
          <w:sz w:val="24"/>
          <w:szCs w:val="24"/>
        </w:rPr>
        <w:t xml:space="preserve">Distinguere l'assenza di documenti dall'assenza del fatto è la prima disciplina. Distinguere la lacuna dall'insieme vuoto è la seconda, e questo studio è servito a impararla.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IX · Moro, Il Mediterraneo Orientale E L'Opus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IX: 6.537 parole in 9 sezioni; la più ampia è §9 Altre sezioni, con 5.514.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IX: 128 paragrafi in 9 sezioni, 14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 — Moro, Le Due Germanie E La Santa Sede</w:t>
      </w:r>
    </w:p>
    <w:p>
      <w:pPr>
        <w:pStyle w:val="Heading1"/>
        <w:spacing w:after="120" w:before="240"/>
      </w:pPr>
      <w:r>
        <w:rPr>
          <w:rFonts w:ascii="Barlow Semi Condensed" w:cs="Barlow Semi Condensed" w:eastAsia="Barlow Semi Condensed" w:hAnsi="Barlow Semi Condensed"/>
          <w:sz w:val="24"/>
          <w:szCs w:val="24"/>
        </w:rPr>
        <w:t xml:space="preserve">MORO, LE DUE GERMANIE E LA SANTA SEDE</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../originali/santa-sede-due-germanie-oder-neisse.md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29,4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Nona ricognizione: la sequenza Oder-Neisse accertata</w:t>
      </w:r>
    </w:p>
    <w:p>
      <w:pPr>
        <w:pStyle w:val="Heading2"/>
        <w:spacing w:after="100" w:before="200"/>
      </w:pPr>
      <w:r>
        <w:rPr>
          <w:rFonts w:ascii="Barlow Semi Condensed" w:cs="Barlow Semi Condensed" w:eastAsia="Barlow Semi Condensed" w:hAnsi="Barlow Semi Condensed"/>
          <w:sz w:val="24"/>
          <w:szCs w:val="24"/>
        </w:rPr>
        <w:t xml:space="preserve">Il primo nesso documentato in nove studi, e il silenzio del testo canonico</w:t>
      </w:r>
    </w:p>
    <w:p>
      <w:pPr>
        <w:pStyle w:val="Heading2"/>
        <w:spacing w:after="100" w:before="200"/>
      </w:pPr>
      <w:r>
        <w:rPr>
          <w:rFonts w:ascii="Barlow Semi Condensed" w:cs="Barlow Semi Condensed" w:eastAsia="Barlow Semi Condensed" w:hAnsi="Barlow Semi Condensed"/>
          <w:sz w:val="24"/>
          <w:szCs w:val="24"/>
        </w:rPr>
        <w:t xml:space="preserve">Dodici Capitoli — tre correzioni — sette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Il primo nesso documentato in nove ricognizioni</w:t>
      </w:r>
    </w:p>
    <w:p>
      <w:pPr>
        <w:spacing w:after="120" w:line="276"/>
        <w:jc w:val="both"/>
      </w:pPr>
      <w:r>
        <w:rPr>
          <w:rFonts w:ascii="Barlow Semi Condensed" w:cs="Barlow Semi Condensed" w:eastAsia="Barlow Semi Condensed" w:hAnsi="Barlow Semi Condensed"/>
          <w:sz w:val="24"/>
          <w:szCs w:val="24"/>
        </w:rPr>
        <w:t xml:space="preserve">È la nona ricognizione sull'attività ministeriale di Aldo Moro, e la prima che produca un risultato di natura diversa da tutte le precedenti. Conviene enunciarlo subito perché governa i dodici capitoli e perché muta il bilancio della serie.</w:t>
      </w:r>
    </w:p>
    <w:p>
      <w:pPr>
        <w:spacing w:after="120" w:line="276"/>
        <w:jc w:val="both"/>
      </w:pPr>
      <w:r>
        <w:rPr>
          <w:rFonts w:ascii="Barlow Semi Condensed" w:cs="Barlow Semi Condensed" w:eastAsia="Barlow Semi Condensed" w:hAnsi="Barlow Semi Condensed"/>
          <w:sz w:val="24"/>
          <w:szCs w:val="24"/>
        </w:rPr>
        <w:t xml:space="preserve">Le otto ricognizioni anteriori hanno prodotto convergenze, simultaneità, comunanze di ambiente e contemporaneità. Nessuna aveva prodotto un nesso, cioè un rapporto fra due atti attestato da documento e non inferito dalla prossimità delle date. Questa lo produce.</w:t>
      </w:r>
    </w:p>
    <w:p>
      <w:pPr>
        <w:spacing w:after="120" w:line="276"/>
        <w:jc w:val="both"/>
      </w:pPr>
      <w:r>
        <w:rPr>
          <w:rFonts w:ascii="Barlow Semi Condensed" w:cs="Barlow Semi Condensed" w:eastAsia="Barlow Semi Condensed" w:hAnsi="Barlow Semi Condensed"/>
          <w:sz w:val="24"/>
          <w:szCs w:val="24"/>
        </w:rPr>
        <w:t xml:space="preserve">Il nesso è il seguente. La Santa Sede attese la ratifica del Trattato di Varsavia prima di erigere le diocesi permanenti a oriente della linea Oder-Neisse. E lo attese dichiaratamente, poiché la comunicazione vaticana che accompagnò l'atto si riferì espressamente al trattato tedesco-polacco.</w:t>
      </w:r>
    </w:p>
    <w:p>
      <w:pPr>
        <w:spacing w:after="120" w:line="276"/>
        <w:jc w:val="both"/>
      </w:pPr>
      <w:r>
        <w:rPr>
          <w:rFonts w:ascii="Barlow Semi Condensed" w:cs="Barlow Semi Condensed" w:eastAsia="Barlow Semi Condensed" w:hAnsi="Barlow Semi Condensed"/>
          <w:sz w:val="24"/>
          <w:szCs w:val="24"/>
        </w:rPr>
        <w:t xml:space="preserve">La sequenza, per date. Il Trattato di Varsavia fra Repubblica Federale di Germania e Repubblica Popolare di Polonia fu firmato il 7 dicembre 1970. Fu ratificato dal Bundestag il 17 maggio 1972. Entrò in vigore con lo scambio degli strumenti di ratifica il 3 giugno 1972. Il 28 giugno 1972 Paolo VI emanò le costituzioni apostoliche che erigevano le nuove diocesi.</w:t>
      </w:r>
    </w:p>
    <w:p>
      <w:pPr>
        <w:spacing w:after="120" w:line="276"/>
        <w:jc w:val="both"/>
      </w:pPr>
      <w:r>
        <w:rPr>
          <w:rFonts w:ascii="Barlow Semi Condensed" w:cs="Barlow Semi Condensed" w:eastAsia="Barlow Semi Condensed" w:hAnsi="Barlow Semi Condensed"/>
          <w:sz w:val="24"/>
          <w:szCs w:val="24"/>
        </w:rPr>
        <w:t xml:space="preserve">Venticinque giorni fra l'entrata in vigore e l'atto pontificio. Quarantadue fra la ratifica e l'atto pontificio.</w:t>
      </w:r>
    </w:p>
    <w:p>
      <w:pPr>
        <w:spacing w:after="120" w:line="276"/>
        <w:jc w:val="both"/>
      </w:pPr>
      <w:r>
        <w:rPr>
          <w:rFonts w:ascii="Barlow Semi Condensed" w:cs="Barlow Semi Condensed" w:eastAsia="Barlow Semi Condensed" w:hAnsi="Barlow Semi Condensed"/>
          <w:sz w:val="24"/>
          <w:szCs w:val="24"/>
        </w:rPr>
        <w:t xml:space="preserve">Perché questo non è contemporaneità, e va argomentato perché è il punto metodologico dello studio. La disciplina del progetto vieta di trattare la successione temporale come prova di nesso, e giustamente. Qui però esistono tre elementi documentali che vanno oltre la successione.</w:t>
      </w:r>
    </w:p>
    <w:p>
      <w:pPr>
        <w:spacing w:after="120" w:line="276"/>
        <w:jc w:val="both"/>
      </w:pPr>
      <w:r>
        <w:rPr>
          <w:rFonts w:ascii="Barlow Semi Condensed" w:cs="Barlow Semi Condensed" w:eastAsia="Barlow Semi Condensed" w:hAnsi="Barlow Semi Condensed"/>
          <w:sz w:val="24"/>
          <w:szCs w:val="24"/>
        </w:rPr>
        <w:t xml:space="preserve">Primo. La Santa Sede aveva una consuetudine dichiarata di non mutare lo status delle diocesi prima di un trattato di pace, e tale consuetudine era stata comunicata al governo di Bonn dal cardinale Julius Döpfner, presidente della Conferenza episcopale tedesca, dopo consultazione a Roma: si teneva fermo a Roma, decisamente, alla nota consuetudine di non mutare nulla nello status dei vescovadi prima di un trattato di pace.</w:t>
      </w:r>
    </w:p>
    <w:p>
      <w:pPr>
        <w:spacing w:after="120" w:line="276"/>
        <w:jc w:val="both"/>
      </w:pPr>
      <w:r>
        <w:rPr>
          <w:rFonts w:ascii="Barlow Semi Condensed" w:cs="Barlow Semi Condensed" w:eastAsia="Barlow Semi Condensed" w:hAnsi="Barlow Semi Condensed"/>
          <w:sz w:val="24"/>
          <w:szCs w:val="24"/>
        </w:rPr>
        <w:t xml:space="preserve">Secondo.\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comunicazione vaticana del 28 giugno 1972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si riferì espressamente al trattato tedesco-polacco.</w:t>
      </w:r>
    </w:p>
    <w:p>
      <w:pPr>
        <w:spacing w:after="120" w:line="276"/>
        <w:jc w:val="both"/>
      </w:pPr>
      <w:r>
        <w:rPr>
          <w:rFonts w:ascii="Barlow Semi Condensed" w:cs="Barlow Semi Condensed" w:eastAsia="Barlow Semi Condensed" w:hAnsi="Barlow Semi Condensed"/>
          <w:sz w:val="24"/>
          <w:szCs w:val="24"/>
        </w:rPr>
        <w:t xml:space="preserve">Terzo. Roma reagì entro tre settimane dalla ratifica.</w:t>
      </w:r>
    </w:p>
    <w:p>
      <w:pPr>
        <w:spacing w:after="120" w:line="276"/>
        <w:jc w:val="both"/>
      </w:pPr>
      <w:r>
        <w:rPr>
          <w:rFonts w:ascii="Barlow Semi Condensed" w:cs="Barlow Semi Condensed" w:eastAsia="Barlow Semi Condensed" w:hAnsi="Barlow Semi Condensed"/>
          <w:sz w:val="24"/>
          <w:szCs w:val="24"/>
        </w:rPr>
        <w:t xml:space="preserve">La fonte di questi tre elementi va dichiarata perché ne determina il peso. È lo storico Karl-Joseph Hummel, allora direttore della Forschungsstelle della Kommission für Zeitgeschichte di Bonn, nel saggio pubblicato nella rivista \</w:t>
      </w:r>
      <w:r>
        <w:rPr>
          <w:rFonts w:ascii="Barlow Semi Condensed" w:cs="Barlow Semi Condensed" w:eastAsia="Barlow Semi Condensed" w:hAnsi="Barlow Semi Condensed"/>
          <w:i/>
          <w:iCs/>
          <w:sz w:val="24"/>
          <w:szCs w:val="24"/>
        </w:rPr>
        <w:t xml:space="preserve">OST-WEST Europäische Perspektiven\</w:t>
      </w:r>
      <w:r>
        <w:rPr>
          <w:rFonts w:ascii="Barlow Semi Condensed" w:cs="Barlow Semi Condensed" w:eastAsia="Barlow Semi Condensed" w:hAnsi="Barlow Semi Condensed"/>
          <w:sz w:val="24"/>
          <w:szCs w:val="24"/>
        </w:rPr>
        <w:t xml:space="preserve">, fascicolo quarto del 2005. Non è dunque fonte di parte né pubblicistica: è storiografia scientifica di istituto tedesco.</w:t>
      </w:r>
    </w:p>
    <w:p>
      <w:pPr>
        <w:spacing w:after="120" w:line="276"/>
        <w:jc w:val="both"/>
      </w:pPr>
      <w:r>
        <w:rPr>
          <w:rFonts w:ascii="Barlow Semi Condensed" w:cs="Barlow Semi Condensed" w:eastAsia="Barlow Semi Condensed" w:hAnsi="Barlow Semi Condensed"/>
          <w:sz w:val="24"/>
          <w:szCs w:val="24"/>
        </w:rPr>
        <w:t xml:space="preserve">E adesso la distinzione più fine di tutto lo studio, che va enunciata con la massima precisione perché è ciò che separa un accertamento da un'affermazione.</w:t>
      </w:r>
    </w:p>
    <w:p>
      <w:pPr>
        <w:spacing w:after="120" w:line="276"/>
        <w:jc w:val="both"/>
      </w:pPr>
      <w:r>
        <w:rPr>
          <w:rFonts w:ascii="Barlow Semi Condensed" w:cs="Barlow Semi Condensed" w:eastAsia="Barlow Semi Condensed" w:hAnsi="Barlow Semi Condensed"/>
          <w:sz w:val="24"/>
          <w:szCs w:val="24"/>
        </w:rPr>
        <w:t xml:space="preserve">Il testo canonico non dice questo. Le due costituzioni apostoliche adducono come motivazione una ragione pastorale — reggere più adattamente e da vicino il popolo cristiano — e l'accoglimento della richiesta dell'episcopato polacco. Non contengono alcuna frase che dichiari di aver atteso il trattato.</w:t>
      </w:r>
    </w:p>
    <w:p>
      <w:pPr>
        <w:spacing w:after="120" w:line="276"/>
        <w:jc w:val="both"/>
      </w:pPr>
      <w:r>
        <w:rPr>
          <w:rFonts w:ascii="Barlow Semi Condensed" w:cs="Barlow Semi Condensed" w:eastAsia="Barlow Semi Condensed" w:hAnsi="Barlow Semi Condensed"/>
          <w:sz w:val="24"/>
          <w:szCs w:val="24"/>
        </w:rPr>
        <w:t xml:space="preserve">Ne discende che il nesso è attestato dalla comunicazione di accompagnamento e non dalla bolla. Il documento canonico si tenne, per scelta che il Capitolo sesto argomenta come deliberata, sul solo piano pastorale; la comunicazione diplomatica che lo accompagnava rese esplicito il legame politico.</w:t>
      </w:r>
    </w:p>
    <w:p>
      <w:pPr>
        <w:spacing w:after="120" w:line="276"/>
        <w:jc w:val="both"/>
      </w:pPr>
      <w:r>
        <w:rPr>
          <w:rFonts w:ascii="Barlow Semi Condensed" w:cs="Barlow Semi Condensed" w:eastAsia="Barlow Semi Condensed" w:hAnsi="Barlow Semi Condensed"/>
          <w:sz w:val="24"/>
          <w:szCs w:val="24"/>
        </w:rPr>
        <w:t xml:space="preserve">Questa doppiezza non è un difetto della fonte: è un fatto sulla diplomazia pontificia, e va registrato come tale.</w:t>
      </w:r>
    </w:p>
    <w:p>
      <w:pPr>
        <w:pStyle w:val="Heading2"/>
        <w:spacing w:after="100" w:before="200"/>
      </w:pPr>
      <w:r>
        <w:rPr>
          <w:rFonts w:ascii="Barlow Semi Condensed" w:cs="Barlow Semi Condensed" w:eastAsia="Barlow Semi Condensed" w:hAnsi="Barlow Semi Condensed"/>
          <w:sz w:val="24"/>
          <w:szCs w:val="24"/>
        </w:rPr>
        <w:t xml:space="preserve">Capitolo secondo — La provvisorietà: il principio tenuto fermo per ventisette anni</w:t>
      </w:r>
    </w:p>
    <w:p>
      <w:pPr>
        <w:spacing w:after="120" w:line="276"/>
        <w:jc w:val="both"/>
      </w:pPr>
      <w:r>
        <w:rPr>
          <w:rFonts w:ascii="Barlow Semi Condensed" w:cs="Barlow Semi Condensed" w:eastAsia="Barlow Semi Condensed" w:hAnsi="Barlow Semi Condensed"/>
          <w:sz w:val="24"/>
          <w:szCs w:val="24"/>
        </w:rPr>
        <w:t xml:space="preserve">Il capitolo espone la ragione per cui la Santa Sede poteva attendere, ossia il principio che essa aveva tenuto fermo dal 1945.</w:t>
      </w:r>
    </w:p>
    <w:p>
      <w:pPr>
        <w:spacing w:after="120" w:line="276"/>
        <w:jc w:val="both"/>
      </w:pPr>
      <w:r>
        <w:rPr>
          <w:rFonts w:ascii="Barlow Semi Condensed" w:cs="Barlow Semi Condensed" w:eastAsia="Barlow Semi Condensed" w:hAnsi="Barlow Semi Condensed"/>
          <w:sz w:val="24"/>
          <w:szCs w:val="24"/>
        </w:rPr>
        <w:t xml:space="preserve">La discrasia geografico-ecclesiastica. Le diocesi di Breslavia, dell'Ermland, di Danzica, di Schneidemühl e la prelatura di Kamień-Lubusz-Piła rimasero nominalmente tedesche nella geografia ecclesiastica anche dopo che i territori in cui insistevano furono posti sotto amministrazione polacca in seguito alla Conferenza di Potsdam.</w:t>
      </w:r>
    </w:p>
    <w:p>
      <w:pPr>
        <w:spacing w:after="120" w:line="276"/>
        <w:jc w:val="both"/>
      </w:pPr>
      <w:r>
        <w:rPr>
          <w:rFonts w:ascii="Barlow Semi Condensed" w:cs="Barlow Semi Condensed" w:eastAsia="Barlow Semi Condensed" w:hAnsi="Barlow Semi Condensed"/>
          <w:sz w:val="24"/>
          <w:szCs w:val="24"/>
        </w:rPr>
        <w:t xml:space="preserve">La ragione, dichiarata. L'assetto uscito dalla guerra era provvisorio in attesa di un trattato di pace che regolasse definitivamente i confini; e finché quel trattato mancava, la Santa Sede non poteva mutare in via permanente la titolarità delle sedi. Il principio fu tenuto fermo sotto Pio XII e ribadito sotto Giovanni XXIII.</w:t>
      </w:r>
    </w:p>
    <w:p>
      <w:pPr>
        <w:spacing w:after="120" w:line="276"/>
        <w:jc w:val="both"/>
      </w:pPr>
      <w:r>
        <w:rPr>
          <w:rFonts w:ascii="Barlow Semi Condensed" w:cs="Barlow Semi Condensed" w:eastAsia="Barlow Semi Condensed" w:hAnsi="Barlow Semi Condensed"/>
          <w:sz w:val="24"/>
          <w:szCs w:val="24"/>
        </w:rPr>
        <w:t xml:space="preserve">La soluzione del 1945, e la sua forma canonica. Il 15 agosto 1945 il cardinale August Hlond, primate di Polonia, usando facoltà straordinarie ricevute da Pio XII, istituì cinque amministrazioni apostoliche — non diocesi — nei territori: Danzica-Chełmno con Andrzej Wronka; Warmia-Olsztyn con Teodor Bensch; Opole con Bolesław Kominek; Breslavia con Karol Milik; Gorzów con Edmund Nowicki.</w:t>
      </w:r>
    </w:p>
    <w:p>
      <w:pPr>
        <w:spacing w:after="120" w:line="276"/>
        <w:jc w:val="both"/>
      </w:pPr>
      <w:r>
        <w:rPr>
          <w:rFonts w:ascii="Barlow Semi Condensed" w:cs="Barlow Semi Condensed" w:eastAsia="Barlow Semi Condensed" w:hAnsi="Barlow Semi Condensed"/>
          <w:sz w:val="24"/>
          <w:szCs w:val="24"/>
        </w:rPr>
        <w:t xml:space="preserve">La scelta della forma va notata perché è il punto. L'amministrazione apostolica è provvisoria per natura canonica. La scelta fu deliberata proprio perché il confine non era ancora definito. La Santa Sede iscrisse la provvisorietà politica nella forma giuridica dell'atto ecclesiastico.</w:t>
      </w:r>
    </w:p>
    <w:p>
      <w:pPr>
        <w:spacing w:after="120" w:line="276"/>
        <w:jc w:val="both"/>
      </w:pPr>
      <w:r>
        <w:rPr>
          <w:rFonts w:ascii="Barlow Semi Condensed" w:cs="Barlow Semi Condensed" w:eastAsia="Barlow Semi Condensed" w:hAnsi="Barlow Semi Condensed"/>
          <w:sz w:val="24"/>
          <w:szCs w:val="24"/>
        </w:rPr>
        <w:t xml:space="preserve">La fonte. Lo studioso Michał Białkowski, in un saggio pubblicato nella rivista Zapiski Historyczne, volume ottantaduesimo del 2017, fascicolo terzo, ricostruisce l'intera vicenda e documenta che il termine tecnico impiegato per descrivere quell'assetto fu provvisorietà, in polacco \</w:t>
      </w:r>
      <w:r>
        <w:rPr>
          <w:rFonts w:ascii="Barlow Semi Condensed" w:cs="Barlow Semi Condensed" w:eastAsia="Barlow Semi Condensed" w:hAnsi="Barlow Semi Condensed"/>
          <w:i/>
          <w:iCs/>
          <w:sz w:val="24"/>
          <w:szCs w:val="24"/>
        </w:rPr>
        <w:t xml:space="preserve">tymczasowość\</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dettaglio va riportato perché è notevole. Perfino il comunicato governativo comunista del 27 gennaio 1951 parlò di liquidazione dello stato di provvisorietà nell'amministrazione ecclesiastica dei territori occidentali. Il regime polacco usava dunque la medesima categoria canonica che la Santa Sede aveva adottato, e la usava per contestarla.</w:t>
      </w:r>
    </w:p>
    <w:p>
      <w:pPr>
        <w:spacing w:after="120" w:line="276"/>
        <w:jc w:val="both"/>
      </w:pPr>
      <w:r>
        <w:rPr>
          <w:rFonts w:ascii="Barlow Semi Condensed" w:cs="Barlow Semi Condensed" w:eastAsia="Barlow Semi Condensed" w:hAnsi="Barlow Semi Condensed"/>
          <w:sz w:val="24"/>
          <w:szCs w:val="24"/>
        </w:rPr>
        <w:t xml:space="preserve">La durata.\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provvisorietà attraversò il pontificato di Giovanni XXIII e i lavori del Concilio Vaticano II, dal 1962 al 1965,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senza mutamenti di sostanza, restando in piedi fino al 1972.</w:t>
      </w:r>
    </w:p>
    <w:p>
      <w:pPr>
        <w:spacing w:after="120" w:line="276"/>
        <w:jc w:val="both"/>
      </w:pPr>
      <w:r>
        <w:rPr>
          <w:rFonts w:ascii="Barlow Semi Condensed" w:cs="Barlow Semi Condensed" w:eastAsia="Barlow Semi Condensed" w:hAnsi="Barlow Semi Condensed"/>
          <w:sz w:val="24"/>
          <w:szCs w:val="24"/>
        </w:rPr>
        <w:t xml:space="preserve">Ventisette anni.\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È la misura della coerenza del principio, e insieme la misura di ciò che accadde nel giugno 1972: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un atto ordinario di riorganizzazione, ma la fine di un regime giuridico durato quasi tre decenni.</w:t>
      </w:r>
    </w:p>
    <w:p>
      <w:pPr>
        <w:spacing w:after="120" w:line="276"/>
        <w:jc w:val="both"/>
      </w:pPr>
      <w:r>
        <w:rPr>
          <w:rFonts w:ascii="Barlow Semi Condensed" w:cs="Barlow Semi Condensed" w:eastAsia="Barlow Semi Condensed" w:hAnsi="Barlow Semi Condensed"/>
          <w:sz w:val="24"/>
          <w:szCs w:val="24"/>
        </w:rPr>
        <w:t xml:space="preserve">Un limite documentale va dichiarato qui una volta per tutte. Gli atti di governo della Santa Sede relativi ai pontificati posteriori all'ottobre 1958 non sono consultabili in Archivio Apostolico Vaticano. La ricostruzione della posizione di Giovanni XXIII e di Paolo VI si fonda dunque necessariamente su fonti edite, storiografia e fonti ufficiali dell'istituzione, non su carte d'archivio primarie desecretate.</w:t>
      </w:r>
    </w:p>
    <w:p>
      <w:pPr>
        <w:pStyle w:val="Heading2"/>
        <w:spacing w:after="100" w:before="200"/>
      </w:pPr>
      <w:r>
        <w:rPr>
          <w:rFonts w:ascii="Barlow Semi Condensed" w:cs="Barlow Semi Condensed" w:eastAsia="Barlow Semi Condensed" w:hAnsi="Barlow Semi Condensed"/>
          <w:sz w:val="24"/>
          <w:szCs w:val="24"/>
        </w:rPr>
        <w:t xml:space="preserve">Capitolo terzo — Lo scambio di lettere del novembre 1965 e ciò che i tedeschi non concessero</w:t>
      </w:r>
    </w:p>
    <w:p>
      <w:pPr>
        <w:spacing w:after="120" w:line="276"/>
        <w:jc w:val="both"/>
      </w:pPr>
      <w:r>
        <w:rPr>
          <w:rFonts w:ascii="Barlow Semi Condensed" w:cs="Barlow Semi Condensed" w:eastAsia="Barlow Semi Condensed" w:hAnsi="Barlow Semi Condensed"/>
          <w:sz w:val="24"/>
          <w:szCs w:val="24"/>
        </w:rPr>
        <w:t xml:space="preserve">Il capitolo espone l'anello ecclesiale che precede l'atto politico di cinque anni, e ne isola il punto in cui i due episcopati non si incontrarono.</w:t>
      </w:r>
    </w:p>
    <w:p>
      <w:pPr>
        <w:spacing w:after="120" w:line="276"/>
        <w:jc w:val="both"/>
      </w:pPr>
      <w:r>
        <w:rPr>
          <w:rFonts w:ascii="Barlow Semi Condensed" w:cs="Barlow Semi Condensed" w:eastAsia="Barlow Semi Condensed" w:hAnsi="Barlow Semi Condensed"/>
          <w:sz w:val="24"/>
          <w:szCs w:val="24"/>
        </w:rPr>
        <w:t xml:space="preserve">Il messaggio polacco, datato. Il 18 novembre 1965, ai margini dell'ultima sessione del Concilio, i vescovi polacchi inviarono ai confratelli tedeschi un messaggio di dodici pagine contenente la frase divenuta emblematica: vi tendiamo le nostre mani accordando perdono e chiedendo perdono — in polacco \</w:t>
      </w:r>
      <w:r>
        <w:rPr>
          <w:rFonts w:ascii="Barlow Semi Condensed" w:cs="Barlow Semi Condensed" w:eastAsia="Barlow Semi Condensed" w:hAnsi="Barlow Semi Condensed"/>
          <w:i/>
          <w:iCs/>
          <w:sz w:val="24"/>
          <w:szCs w:val="24"/>
        </w:rPr>
        <w:t xml:space="preserve">Przebaczamy i prosimy o przebaczenie\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documento ripercorreva la storia millenaria del cristianesimo polacco e le difficili relazioni con il popolo tedesco, con esplicito riferimento all'incertezza determinata dalla provvisorietà dei confini post-bellici sull'Oder-Neisse.</w:t>
      </w:r>
    </w:p>
    <w:p>
      <w:pPr>
        <w:spacing w:after="120" w:line="276"/>
        <w:jc w:val="both"/>
      </w:pPr>
      <w:r>
        <w:rPr>
          <w:rFonts w:ascii="Barlow Semi Condensed" w:cs="Barlow Semi Condensed" w:eastAsia="Barlow Semi Condensed" w:hAnsi="Barlow Semi Condensed"/>
          <w:sz w:val="24"/>
          <w:szCs w:val="24"/>
        </w:rPr>
        <w:t xml:space="preserve">La paternità, documentata. Le fonti ecclesiastiche italiane e polacche concordano nell'attribuire il testo all'arcivescovo di Breslavia Bolesław Kominek — il medesimo che nel 1945 era stato amministratore apostolico di Opole — con il concorso di Wincenty Urban, del gruppo dell'Istituto storico polacco di Roma e di gesuiti della Radio Vaticana. Il messaggio fu approvato il 18 novembre 1965 dal primate Stefan Wyszyński, da Karol Wojtyła e dagli altri vescovi polacchi presenti al Concilio.</w:t>
      </w:r>
    </w:p>
    <w:p>
      <w:pPr>
        <w:spacing w:after="120" w:line="276"/>
        <w:jc w:val="both"/>
      </w:pPr>
      <w:r>
        <w:rPr>
          <w:rFonts w:ascii="Barlow Semi Condensed" w:cs="Barlow Semi Condensed" w:eastAsia="Barlow Semi Condensed" w:hAnsi="Barlow Semi Condensed"/>
          <w:sz w:val="24"/>
          <w:szCs w:val="24"/>
        </w:rPr>
        <w:t xml:space="preserve">La risposta tedesca, datata. Il 5 dicembre 1965, sotto il titolo di saluto dei vescovi tedeschi ai fratelli polacchi. Essa esprimeva gratitudine e chiedeva a sua volta perdono, con l'auspicio che mai più lo spirito malvagio dell'odio separi le nostre mani.</w:t>
      </w:r>
    </w:p>
    <w:p>
      <w:pPr>
        <w:spacing w:after="120" w:line="276"/>
        <w:jc w:val="both"/>
      </w:pPr>
      <w:r>
        <w:rPr>
          <w:rFonts w:ascii="Barlow Semi Condensed" w:cs="Barlow Semi Condensed" w:eastAsia="Barlow Semi Condensed" w:hAnsi="Barlow Semi Condensed"/>
          <w:sz w:val="24"/>
          <w:szCs w:val="24"/>
        </w:rPr>
        <w:t xml:space="preserve">E qui il punto che il capitolo serve a isolare.\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risposta tedesca non accettava le perdite territoriali della Germania a favore della Polonia come esito della guerra.</w:t>
      </w:r>
    </w:p>
    <w:p>
      <w:pPr>
        <w:spacing w:after="120" w:line="276"/>
        <w:jc w:val="both"/>
      </w:pPr>
      <w:r>
        <w:rPr>
          <w:rFonts w:ascii="Barlow Semi Condensed" w:cs="Barlow Semi Condensed" w:eastAsia="Barlow Semi Condensed" w:hAnsi="Barlow Semi Condensed"/>
          <w:sz w:val="24"/>
          <w:szCs w:val="24"/>
        </w:rPr>
        <w:t xml:space="preserve">Ne discende un esito asimmetrico che va enunciato con precisione: sul perdono vi fu reciprocità; sui confini la risposta tedesca rimase su una riserva.</w:t>
      </w:r>
    </w:p>
    <w:p>
      <w:pPr>
        <w:spacing w:after="120" w:line="276"/>
        <w:jc w:val="both"/>
      </w:pPr>
      <w:r>
        <w:rPr>
          <w:rFonts w:ascii="Barlow Semi Condensed" w:cs="Barlow Semi Condensed" w:eastAsia="Barlow Semi Condensed" w:hAnsi="Barlow Semi Condensed"/>
          <w:sz w:val="24"/>
          <w:szCs w:val="24"/>
        </w:rPr>
        <w:t xml:space="preserve">La delusione polacca è attestata da fonte diretta di protagonista, ed è la citazione più eloquente del capitolo. In una lettera del 1970 al cardinale Döpfner, il primate Wyszyński scrisse che la nostra mano, tesa con tanta cordialità, è stata accolta non senza riserve.</w:t>
      </w:r>
    </w:p>
    <w:p>
      <w:pPr>
        <w:spacing w:after="120" w:line="276"/>
        <w:jc w:val="both"/>
      </w:pPr>
      <w:r>
        <w:rPr>
          <w:rFonts w:ascii="Barlow Semi Condensed" w:cs="Barlow Semi Condensed" w:eastAsia="Barlow Semi Condensed" w:hAnsi="Barlow Semi Condensed"/>
          <w:sz w:val="24"/>
          <w:szCs w:val="24"/>
        </w:rPr>
        <w:t xml:space="preserve">Il terreno tedesco fu però preparato per altre vie, e vanno registrate. Il memorandum delle Chiese evangeliche tedesche del 1965 — la cosiddetta \</w:t>
      </w:r>
      <w:r>
        <w:rPr>
          <w:rFonts w:ascii="Barlow Semi Condensed" w:cs="Barlow Semi Condensed" w:eastAsia="Barlow Semi Condensed" w:hAnsi="Barlow Semi Condensed"/>
          <w:i/>
          <w:iCs/>
          <w:sz w:val="24"/>
          <w:szCs w:val="24"/>
        </w:rPr>
        <w:t xml:space="preserve">Ostdenkschrift\</w:t>
      </w:r>
      <w:r>
        <w:rPr>
          <w:rFonts w:ascii="Barlow Semi Condensed" w:cs="Barlow Semi Condensed" w:eastAsia="Barlow Semi Condensed" w:hAnsi="Barlow Semi Condensed"/>
          <w:sz w:val="24"/>
          <w:szCs w:val="24"/>
        </w:rPr>
        <w:t xml:space="preserve"> dell'EKD — auspicava un accordo e il riconoscimento dei confini. E successivamente il Memorandum del Bensberger Kreis, pubblicato il 3 marzo 1968 e sottoscritto da un gruppo di circa centosessanta-centottanta cattolici critici tedeschi, chiese il riconoscimento dei confini post-bellici.</w:t>
      </w:r>
    </w:p>
    <w:p>
      <w:pPr>
        <w:spacing w:after="120" w:line="276"/>
        <w:jc w:val="both"/>
      </w:pPr>
      <w:r>
        <w:rPr>
          <w:rFonts w:ascii="Barlow Semi Condensed" w:cs="Barlow Semi Condensed" w:eastAsia="Barlow Semi Condensed" w:hAnsi="Barlow Semi Condensed"/>
          <w:sz w:val="24"/>
          <w:szCs w:val="24"/>
        </w:rPr>
        <w:t xml:space="preserve">Ne discende che sul versante ecclesiale il terreno del riconoscimento fu preparato ben prima dell'atto politico del 1970 e dell'atto canonico del 1972.</w:t>
      </w:r>
    </w:p>
    <w:p>
      <w:pPr>
        <w:spacing w:after="120" w:line="276"/>
        <w:jc w:val="both"/>
      </w:pPr>
      <w:r>
        <w:rPr>
          <w:rFonts w:ascii="Barlow Semi Condensed" w:cs="Barlow Semi Condensed" w:eastAsia="Barlow Semi Condensed" w:hAnsi="Barlow Semi Condensed"/>
          <w:sz w:val="24"/>
          <w:szCs w:val="24"/>
        </w:rPr>
        <w:t xml:space="preserve">Ma la qualificazione va apposta. Ciò non implica un coordinamento fra episcopati e cancellerie, che le fonti non attestano. Attesta che una parte del mondo cattolico tedesco era disposta a ciò che il proprio episcopato, nel dicembre 1965, non aveva concesso.</w:t>
      </w:r>
    </w:p>
    <w:p>
      <w:pPr>
        <w:pStyle w:val="Heading2"/>
        <w:spacing w:after="100" w:before="200"/>
      </w:pPr>
      <w:r>
        <w:rPr>
          <w:rFonts w:ascii="Barlow Semi Condensed" w:cs="Barlow Semi Condensed" w:eastAsia="Barlow Semi Condensed" w:hAnsi="Barlow Semi Condensed"/>
          <w:sz w:val="24"/>
          <w:szCs w:val="24"/>
        </w:rPr>
        <w:t xml:space="preserve">Capitolo quarto — L'Ostpolitik di Brandt e la posizione italiana, con la correzione sul riconoscimento</w:t>
      </w:r>
    </w:p>
    <w:p>
      <w:pPr>
        <w:spacing w:after="120" w:line="276"/>
        <w:jc w:val="both"/>
      </w:pPr>
      <w:r>
        <w:rPr>
          <w:rFonts w:ascii="Barlow Semi Condensed" w:cs="Barlow Semi Condensed" w:eastAsia="Barlow Semi Condensed" w:hAnsi="Barlow Semi Condensed"/>
          <w:sz w:val="24"/>
          <w:szCs w:val="24"/>
        </w:rPr>
        <w:t xml:space="preserve">Il capitolo espone gli atti tedeschi e la posizione italiana su ciascuno, e corregge un'ipotesi.</w:t>
      </w:r>
    </w:p>
    <w:p>
      <w:pPr>
        <w:spacing w:after="120" w:line="276"/>
        <w:jc w:val="both"/>
      </w:pPr>
      <w:r>
        <w:rPr>
          <w:rFonts w:ascii="Barlow Semi Condensed" w:cs="Barlow Semi Condensed" w:eastAsia="Barlow Semi Condensed" w:hAnsi="Barlow Semi Condensed"/>
          <w:sz w:val="24"/>
          <w:szCs w:val="24"/>
        </w:rPr>
        <w:t xml:space="preserve">Il governo. La Ostpolitik fu inaugurata dal governo di coalizione fra socialdemocratici e liberali guidato da Willy Brandt, con Walter Scheel agli Esteri, insediatosi il 21 ottobre 1969 — dunque poche settimane dopo l'ingresso di Moro alla Farnesina.</w:t>
      </w:r>
    </w:p>
    <w:p>
      <w:pPr>
        <w:spacing w:after="120" w:line="276"/>
        <w:jc w:val="both"/>
      </w:pPr>
      <w:r>
        <w:rPr>
          <w:rFonts w:ascii="Barlow Semi Condensed" w:cs="Barlow Semi Condensed" w:eastAsia="Barlow Semi Condensed" w:hAnsi="Barlow Semi Condensed"/>
          <w:sz w:val="24"/>
          <w:szCs w:val="24"/>
        </w:rPr>
        <w:t xml:space="preserve">Il Trattato di Mosca, 12 agosto 1970. La Repubblica Federale riconosceva l'inviolabilità dei confini esistenti, inclusa la linea Oder-Neisse, e rinunciava a rivendicazioni territoriali. Su insistenza di Scheel, Mosca accettò di ricevere una lettera sull'unità tedesca — \</w:t>
      </w:r>
      <w:r>
        <w:rPr>
          <w:rFonts w:ascii="Barlow Semi Condensed" w:cs="Barlow Semi Condensed" w:eastAsia="Barlow Semi Condensed" w:hAnsi="Barlow Semi Condensed"/>
          <w:i/>
          <w:iCs/>
          <w:sz w:val="24"/>
          <w:szCs w:val="24"/>
        </w:rPr>
        <w:t xml:space="preserve">Brief zur deutschen Einheit\</w:t>
      </w:r>
      <w:r>
        <w:rPr>
          <w:rFonts w:ascii="Barlow Semi Condensed" w:cs="Barlow Semi Condensed" w:eastAsia="Barlow Semi Condensed" w:hAnsi="Barlow Semi Condensed"/>
          <w:sz w:val="24"/>
          <w:szCs w:val="24"/>
        </w:rPr>
        <w:t xml:space="preserve"> — con cui Bonn notificava che il trattato non contraddiceva l'obiettivo della riunificazione in libera autodeterminazione.</w:t>
      </w:r>
    </w:p>
    <w:p>
      <w:pPr>
        <w:spacing w:after="120" w:line="276"/>
        <w:jc w:val="both"/>
      </w:pPr>
      <w:r>
        <w:rPr>
          <w:rFonts w:ascii="Barlow Semi Condensed" w:cs="Barlow Semi Condensed" w:eastAsia="Barlow Semi Condensed" w:hAnsi="Barlow Semi Condensed"/>
          <w:sz w:val="24"/>
          <w:szCs w:val="24"/>
        </w:rPr>
        <w:t xml:space="preserve">Il Trattato di Varsavia, 7 dicembre 1970.\</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Quasi identico a quello di Mosca,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salvo che vi figurava per primo il riconoscimento della linea Oder-Neisse.</w:t>
      </w:r>
    </w:p>
    <w:p>
      <w:pPr>
        <w:spacing w:after="120" w:line="276"/>
        <w:jc w:val="both"/>
      </w:pPr>
      <w:r>
        <w:rPr>
          <w:rFonts w:ascii="Barlow Semi Condensed" w:cs="Barlow Semi Condensed" w:eastAsia="Barlow Semi Condensed" w:hAnsi="Barlow Semi Condensed"/>
          <w:sz w:val="24"/>
          <w:szCs w:val="24"/>
        </w:rPr>
        <w:t xml:space="preserve">E qui una differenza decisiva va registrata. Verso Varsavia il governo federale rinunciò a una lettera sull'unità tedesca di accompagnamento, cosicché la Polonia interpretò il trattato come riconoscimento definitivo della frontiera. Lo stesso 7 dicembre Brandt compì a Varsavia il gesto dell'inginocchiamento davanti al monumento agli eroi del ghetto.</w:t>
      </w:r>
    </w:p>
    <w:p>
      <w:pPr>
        <w:spacing w:after="120" w:line="276"/>
        <w:jc w:val="both"/>
      </w:pPr>
      <w:r>
        <w:rPr>
          <w:rFonts w:ascii="Barlow Semi Condensed" w:cs="Barlow Semi Condensed" w:eastAsia="Barlow Semi Condensed" w:hAnsi="Barlow Semi Condensed"/>
          <w:sz w:val="24"/>
          <w:szCs w:val="24"/>
        </w:rPr>
        <w:t xml:space="preserve">Gli atti successivi. Accordo quadripartito su Berlino, 3 settembre 1971. Trattato fondamentale fra le due Germanie, 21 dicembre 1972. Ingresso simultaneo delle due Germanie alle Nazioni Unite, 18 settembre 1973.</w:t>
      </w:r>
    </w:p>
    <w:p>
      <w:pPr>
        <w:spacing w:after="120" w:line="276"/>
        <w:jc w:val="both"/>
      </w:pPr>
      <w:r>
        <w:rPr>
          <w:rFonts w:ascii="Barlow Semi Condensed" w:cs="Barlow Semi Condensed" w:eastAsia="Barlow Semi Condensed" w:hAnsi="Barlow Semi Condensed"/>
          <w:sz w:val="24"/>
          <w:szCs w:val="24"/>
        </w:rPr>
        <w:t xml:space="preserve">La ratifica, e il suo contesto parlamentare. La ratifica dei trattati orientali dal Bundestag del 17 maggio 1972 fu preceduta dal fallito voto di sfiducia costruttiva di Rainer Barzel del 24 aprile 1972 e accompagnata da una risoluzione comune di governo e opposizione. Lo scambio degli strumenti di ratifica del 3 giugno 1972 fece entrare in vigore i trattati di Mosca e Varsavia e l'Accordo quadripartito.</w:t>
      </w:r>
    </w:p>
    <w:p>
      <w:pPr>
        <w:spacing w:after="120" w:line="276"/>
        <w:jc w:val="both"/>
      </w:pPr>
      <w:r>
        <w:rPr>
          <w:rFonts w:ascii="Barlow Semi Condensed" w:cs="Barlow Semi Condensed" w:eastAsia="Barlow Semi Condensed" w:hAnsi="Barlow Semi Condensed"/>
          <w:sz w:val="24"/>
          <w:szCs w:val="24"/>
        </w:rPr>
        <w:t xml:space="preserve">La posizione italiana: la correzione. Il riconoscimento italiano della Repubblica Democratica Tedesca è datato con precisione dal Portale storico della Camera dei deputati, per la seduta di mercoledì 17 gennaio 1973 della sesta legislatura: l'Italia riconosce la Repubblica Democratica di Germania e i due Paesi stabiliscono relazioni diplomatiche.</w:t>
      </w:r>
    </w:p>
    <w:p>
      <w:pPr>
        <w:spacing w:after="120" w:line="276"/>
        <w:jc w:val="both"/>
      </w:pPr>
      <w:r>
        <w:rPr>
          <w:rFonts w:ascii="Barlow Semi Condensed" w:cs="Barlow Semi Condensed" w:eastAsia="Barlow Semi Condensed" w:hAnsi="Barlow Semi Condensed"/>
          <w:sz w:val="24"/>
          <w:szCs w:val="24"/>
        </w:rPr>
        <w:t xml:space="preserve">Ne discende una correzione che va enunciata. Il riconoscimento cadde fra i due mandati di Moro alla Farnesina — il ministro degli Esteri era allora Giuseppe Medici nel governo Andreotti — e non durante un mandato di Moro. L'ipotesi che esso fosse avvenuto sotto la sua titolarità è errata.</w:t>
      </w:r>
    </w:p>
    <w:p>
      <w:pPr>
        <w:spacing w:after="120" w:line="276"/>
        <w:jc w:val="both"/>
      </w:pPr>
      <w:r>
        <w:rPr>
          <w:rFonts w:ascii="Barlow Semi Condensed" w:cs="Barlow Semi Condensed" w:eastAsia="Barlow Semi Condensed" w:hAnsi="Barlow Semi Condensed"/>
          <w:sz w:val="24"/>
          <w:szCs w:val="24"/>
        </w:rPr>
        <w:t xml:space="preserve">Un elemento successivo va però registrato. Lo studio di Laura Fasanaro, \</w:t>
      </w:r>
      <w:r>
        <w:rPr>
          <w:rFonts w:ascii="Barlow Semi Condensed" w:cs="Barlow Semi Condensed" w:eastAsia="Barlow Semi Condensed" w:hAnsi="Barlow Semi Condensed"/>
          <w:i/>
          <w:iCs/>
          <w:sz w:val="24"/>
          <w:szCs w:val="24"/>
        </w:rPr>
        <w:t xml:space="preserve">La DDR e l'Italia. Politica, commercio e ideologia nell'Europa del cambiamento, 1973-1985\</w:t>
      </w:r>
      <w:r>
        <w:rPr>
          <w:rFonts w:ascii="Barlow Semi Condensed" w:cs="Barlow Semi Condensed" w:eastAsia="Barlow Semi Condensed" w:hAnsi="Barlow Semi Condensed"/>
          <w:sz w:val="24"/>
          <w:szCs w:val="24"/>
        </w:rPr>
        <w:t xml:space="preserve">, Carocci, intitola un paragrafo dopo il riconoscimento, Moro incontra Honecker — il che attesta un incontro fra Moro e il capo di Stato della Repubblica Democratica successivo al riconoscimento, ricadente nel secondo mandato o nella successiva presidenza del Consiglio.</w:t>
      </w:r>
    </w:p>
    <w:p>
      <w:pPr>
        <w:spacing w:after="120" w:line="276"/>
        <w:jc w:val="both"/>
      </w:pPr>
      <w:r>
        <w:rPr>
          <w:rFonts w:ascii="Barlow Semi Condensed" w:cs="Barlow Semi Condensed" w:eastAsia="Barlow Semi Condensed" w:hAnsi="Barlow Semi Condensed"/>
          <w:sz w:val="24"/>
          <w:szCs w:val="24"/>
        </w:rPr>
        <w:t xml:space="preserve">Il primo capitolo del medesimo volume si intitola le declinazioni della distensione in Italia e la Ostpolitik di Aldo Moro, e contiene una sezione su l'Italia e la questione tedesca. Ma il volume sceglie il 1973 come termine iniziale, lasciando in ombra il quadriennio precedente — che è precisamente quello del primo mandato.</w:t>
      </w:r>
    </w:p>
    <w:p>
      <w:pPr>
        <w:spacing w:after="120" w:line="276"/>
        <w:jc w:val="both"/>
      </w:pPr>
      <w:r>
        <w:rPr>
          <w:rFonts w:ascii="Barlow Semi Condensed" w:cs="Barlow Semi Condensed" w:eastAsia="Barlow Semi Condensed" w:hAnsi="Barlow Semi Condensed"/>
          <w:sz w:val="24"/>
          <w:szCs w:val="24"/>
        </w:rPr>
        <w:t xml:space="preserve">Per il periodo 1963-1972 esiste la tesi di dottorato di Filippo Triola discussa all'Università di Bologna sulle relazioni italo-tedesche, che va impiegata come studio specifico.</w:t>
      </w:r>
    </w:p>
    <w:p>
      <w:pPr>
        <w:spacing w:after="120" w:line="276"/>
        <w:jc w:val="both"/>
      </w:pPr>
      <w:r>
        <w:rPr>
          <w:rFonts w:ascii="Barlow Semi Condensed" w:cs="Barlow Semi Condensed" w:eastAsia="Barlow Semi Condensed" w:hAnsi="Barlow Semi Condensed"/>
          <w:sz w:val="24"/>
          <w:szCs w:val="24"/>
        </w:rPr>
        <w:t xml:space="preserve">Sulle rappresentanze tedesco-tedesche, per completezza.\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Furono aperte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2 maggio 1974\</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Günter Gaus\</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 Bonn 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Michael Kohl\</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 Berlino Est — dunque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in data successiva al riconoscimento italiano.</w:t>
      </w:r>
    </w:p>
    <w:p>
      <w:pPr>
        <w:spacing w:after="120" w:line="276"/>
        <w:jc w:val="both"/>
      </w:pPr>
      <w:r>
        <w:rPr>
          <w:rFonts w:ascii="Barlow Semi Condensed" w:cs="Barlow Semi Condensed" w:eastAsia="Barlow Semi Condensed" w:hAnsi="Barlow Semi Condensed"/>
          <w:sz w:val="24"/>
          <w:szCs w:val="24"/>
        </w:rPr>
        <w:t xml:space="preserve">Che cosa non è stato reperito. La posizione italiana su ciascuno dei cinque atti della Ostpolitik, e gli incontri documentati fra Moro e Scheel e fra Moro e Brandt con data e sede. Le sedi sono l'Archivio Storico Diplomatico, serie Germania, gli Akten zur Auswärtigen Politik der Bundesrepublik Deutschland e i Documenti Diplomatici Italiani.</w:t>
      </w:r>
    </w:p>
    <w:p>
      <w:pPr>
        <w:pStyle w:val="Heading2"/>
        <w:spacing w:after="100" w:before="200"/>
      </w:pPr>
      <w:r>
        <w:rPr>
          <w:rFonts w:ascii="Barlow Semi Condensed" w:cs="Barlow Semi Condensed" w:eastAsia="Barlow Semi Condensed" w:hAnsi="Barlow Semi Condensed"/>
          <w:sz w:val="24"/>
          <w:szCs w:val="24"/>
        </w:rPr>
        <w:t xml:space="preserve">Capitolo quinto — Le due costituzioni del 28 giugno 1972: testo, dispositivo, firme</w:t>
      </w:r>
    </w:p>
    <w:p>
      <w:pPr>
        <w:spacing w:after="120" w:line="276"/>
        <w:jc w:val="both"/>
      </w:pPr>
      <w:r>
        <w:rPr>
          <w:rFonts w:ascii="Barlow Semi Condensed" w:cs="Barlow Semi Condensed" w:eastAsia="Barlow Semi Condensed" w:hAnsi="Barlow Semi Condensed"/>
          <w:sz w:val="24"/>
          <w:szCs w:val="24"/>
        </w:rPr>
        <w:t xml:space="preserve">Il capitolo espone l'atto per intero, perché la verifica sia riproducibile e perché un dettaglio ne muta la comprensione.</w:t>
      </w:r>
    </w:p>
    <w:p>
      <w:pPr>
        <w:spacing w:after="120" w:line="276"/>
        <w:jc w:val="both"/>
      </w:pPr>
      <w:r>
        <w:rPr>
          <w:rFonts w:ascii="Barlow Semi Condensed" w:cs="Barlow Semi Condensed" w:eastAsia="Barlow Semi Condensed" w:hAnsi="Barlow Semi Condensed"/>
          <w:sz w:val="24"/>
          <w:szCs w:val="24"/>
        </w:rPr>
        <w:t xml:space="preserve">Il primo dettaglio, che corregge la formulazione corrente. Non fu una sola bolla. Furono due costituzioni apostoliche emanate lo stesso giorno: \</w:t>
      </w:r>
      <w:r>
        <w:rPr>
          <w:rFonts w:ascii="Barlow Semi Condensed" w:cs="Barlow Semi Condensed" w:eastAsia="Barlow Semi Condensed" w:hAnsi="Barlow Semi Condensed"/>
          <w:i/>
          <w:iCs/>
          <w:sz w:val="24"/>
          <w:szCs w:val="24"/>
        </w:rPr>
        <w:t xml:space="preserve">Episcoporum Poloniae coetus\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Vratislaviensis-Berolinensis et aliarum\</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pubblicazione. Il testo latino è consultabile sul sito ufficiale della Santa Sede e pubblicato negli Acta Apostolicae Sedis, volume sessantaquattresimo del 1972, numero decimo, alle pagine 657 e 658, con il titolo: si costituiscono nuove diocesi in Polonia, coi nomi di Opole, Gorzów, Szczecin-Kamień, Koszalin-Kołobrzeg.</w:t>
      </w:r>
    </w:p>
    <w:p>
      <w:pPr>
        <w:spacing w:after="120" w:line="276"/>
        <w:jc w:val="both"/>
      </w:pPr>
      <w:r>
        <w:rPr>
          <w:rFonts w:ascii="Barlow Semi Condensed" w:cs="Barlow Semi Condensed" w:eastAsia="Barlow Semi Condensed" w:hAnsi="Barlow Semi Condensed"/>
          <w:sz w:val="24"/>
          <w:szCs w:val="24"/>
        </w:rPr>
        <w:t xml:space="preserve">L'incipit e la motivazione. L'assemblea dei vescovi di Polonia aveva chiesto alla Sede Apostolica che alcune circoscrizioni ecclesiastiche nella parte settentrionale e occidentale della nazione fossero disposte in modo più opportuno per reggere più adattamente e da vicino il popolo cristiano, e il Papa dichiara di accedere volentieri ai desideri.</w:t>
      </w:r>
    </w:p>
    <w:p>
      <w:pPr>
        <w:spacing w:after="120" w:line="276"/>
        <w:jc w:val="both"/>
      </w:pPr>
      <w:r>
        <w:rPr>
          <w:rFonts w:ascii="Barlow Semi Condensed" w:cs="Barlow Semi Condensed" w:eastAsia="Barlow Semi Condensed" w:hAnsi="Barlow Semi Condensed"/>
          <w:sz w:val="24"/>
          <w:szCs w:val="24"/>
        </w:rPr>
        <w:t xml:space="preserve">Il dispositivo, per intero. Erige quattro diocesi: Opole, suffraganea della metropolia di Breslavia; Gorzów, parimenti suffraganea di Breslavia; Szczecin-Kamień, suffraganea di Gniezno; Koszalin-Kołobrzeg, suffraganea di Gniezno.</w:t>
      </w:r>
    </w:p>
    <w:p>
      <w:pPr>
        <w:spacing w:after="120" w:line="276"/>
        <w:jc w:val="both"/>
      </w:pPr>
      <w:r>
        <w:rPr>
          <w:rFonts w:ascii="Barlow Semi Condensed" w:cs="Barlow Semi Condensed" w:eastAsia="Barlow Semi Condensed" w:hAnsi="Barlow Semi Condensed"/>
          <w:sz w:val="24"/>
          <w:szCs w:val="24"/>
        </w:rPr>
        <w:t xml:space="preserve">Dispone lo smembramento di territori dall'arcidiocesi di Breslavia, dalla diocesi di Berlino e dalla prelatura di Schneidemühl.</w:t>
      </w:r>
    </w:p>
    <w:p>
      <w:pPr>
        <w:spacing w:after="120" w:line="276"/>
        <w:jc w:val="both"/>
      </w:pPr>
      <w:r>
        <w:rPr>
          <w:rFonts w:ascii="Barlow Semi Condensed" w:cs="Barlow Semi Condensed" w:eastAsia="Barlow Semi Condensed" w:hAnsi="Barlow Semi Condensed"/>
          <w:sz w:val="24"/>
          <w:szCs w:val="24"/>
        </w:rPr>
        <w:t xml:space="preserve">Trasferisce la cattedrale di Warmia dalla metropolia di Breslavia a quella di Varsavia, cui resta soggetta perpetuo.</w:t>
      </w:r>
    </w:p>
    <w:p>
      <w:pPr>
        <w:spacing w:after="120" w:line="276"/>
        <w:jc w:val="both"/>
      </w:pPr>
      <w:r>
        <w:rPr>
          <w:rFonts w:ascii="Barlow Semi Condensed" w:cs="Barlow Semi Condensed" w:eastAsia="Barlow Semi Condensed" w:hAnsi="Barlow Semi Condensed"/>
          <w:sz w:val="24"/>
          <w:szCs w:val="24"/>
        </w:rPr>
        <w:t xml:space="preserve">Rende la Chiesa di Danzica, fino ad allora direttamente soggetta alla Sede Apostolica, suffraganea di Gniezno.</w:t>
      </w:r>
    </w:p>
    <w:p>
      <w:pPr>
        <w:spacing w:after="120" w:line="276"/>
        <w:jc w:val="both"/>
      </w:pPr>
      <w:r>
        <w:rPr>
          <w:rFonts w:ascii="Barlow Semi Condensed" w:cs="Barlow Semi Condensed" w:eastAsia="Barlow Semi Condensed" w:hAnsi="Barlow Semi Condensed"/>
          <w:sz w:val="24"/>
          <w:szCs w:val="24"/>
        </w:rPr>
        <w:t xml:space="preserve">L'esecuzione. Il Papa la delega nominativamente al cardinale Stefan Wyszyński, arcivescovo di Gniezno e Varsavia.</w:t>
      </w:r>
    </w:p>
    <w:p>
      <w:pPr>
        <w:spacing w:after="120" w:line="276"/>
        <w:jc w:val="both"/>
      </w:pPr>
      <w:r>
        <w:rPr>
          <w:rFonts w:ascii="Barlow Semi Condensed" w:cs="Barlow Semi Condensed" w:eastAsia="Barlow Semi Condensed" w:hAnsi="Barlow Semi Condensed"/>
          <w:sz w:val="24"/>
          <w:szCs w:val="24"/>
        </w:rPr>
        <w:t xml:space="preserve">La datazione e le firme. Roma, presso San Pietro, il ventottesimo giorno del mese di giugno dell'anno del Signore millenovecentosettantadue, decimo del Nostro Pontificato. Firmata dal cardinale Aloisius Traglia, cancelliere di Santa Romana Chiesa; dal cardinale Carlo Confalonieri, prefetto della Sacra Congregazione per i Vescovi; e da Franciscus Tinello, reggente della Cancelleria Apostolica.</w:t>
      </w:r>
    </w:p>
    <w:p>
      <w:pPr>
        <w:spacing w:after="120" w:line="276"/>
        <w:jc w:val="both"/>
      </w:pPr>
      <w:r>
        <w:rPr>
          <w:rFonts w:ascii="Barlow Semi Condensed" w:cs="Barlow Semi Condensed" w:eastAsia="Barlow Semi Condensed" w:hAnsi="Barlow Semi Condensed"/>
          <w:sz w:val="24"/>
          <w:szCs w:val="24"/>
        </w:rPr>
        <w:t xml:space="preserve">Le divergenze sulla data vanno riportate. Il testo primario e la quasi totalità delle fonti ecclesiastiche polacche indicano il 28 giugno 1972. Alcune voci enciclopediche tedesche e inglesi relative alle diocesi di Berlino e Breslavia indicano il 27 giugno 1972. Un sito diocesano polacco reca per errore il 26 giugno.</w:t>
      </w:r>
    </w:p>
    <w:p>
      <w:pPr>
        <w:spacing w:after="120" w:line="276"/>
        <w:jc w:val="both"/>
      </w:pPr>
      <w:r>
        <w:rPr>
          <w:rFonts w:ascii="Barlow Semi Condensed" w:cs="Barlow Semi Condensed" w:eastAsia="Barlow Semi Condensed" w:hAnsi="Barlow Semi Condensed"/>
          <w:sz w:val="24"/>
          <w:szCs w:val="24"/>
        </w:rPr>
        <w:t xml:space="preserve">Si adotta il 28 giugno, corrispondente alla clausola di datazione della costituzione medesima.</w:t>
      </w:r>
    </w:p>
    <w:p>
      <w:pPr>
        <w:spacing w:after="120" w:line="276"/>
        <w:jc w:val="both"/>
      </w:pPr>
      <w:r>
        <w:rPr>
          <w:rFonts w:ascii="Barlow Semi Condensed" w:cs="Barlow Semi Condensed" w:eastAsia="Barlow Semi Condensed" w:hAnsi="Barlow Semi Condensed"/>
          <w:sz w:val="24"/>
          <w:szCs w:val="24"/>
        </w:rPr>
        <w:t xml:space="preserve">Il rapporto cronologico, ricapitolato come accertamento. Ratifica del Bundestag 17 maggio 1972; entrata in vigore per scambio degli strumenti 3 giugno 1972; atto pontificio 28 giugno 1972. Venticinque giorni fra entrata in vigore e atto; quarantadue fra ratifica e atto.</w:t>
      </w:r>
    </w:p>
    <w:p>
      <w:pPr>
        <w:spacing w:after="120" w:line="276"/>
        <w:jc w:val="both"/>
      </w:pPr>
      <w:r>
        <w:rPr>
          <w:rFonts w:ascii="Barlow Semi Condensed" w:cs="Barlow Semi Condensed" w:eastAsia="Barlow Semi Condensed" w:hAnsi="Barlow Semi Condensed"/>
          <w:sz w:val="24"/>
          <w:szCs w:val="24"/>
        </w:rPr>
        <w:t xml:space="preserve">E il rilievo che chiude il capitolo, e che è la ragione per cui il testo è stato riportato per intero. Nel dispositivo non compare la parola trattato. Non compare la linea Oder-Neisse. Non compare la Repubblica Federale. Compare soltanto il popolo cristiano da reggere più adattamente e la richiesta dei vescovi polacchi.</w:t>
      </w:r>
    </w:p>
    <w:p>
      <w:pPr>
        <w:spacing w:after="120" w:line="276"/>
        <w:jc w:val="both"/>
      </w:pPr>
      <w:r>
        <w:rPr>
          <w:rFonts w:ascii="Barlow Semi Condensed" w:cs="Barlow Semi Condensed" w:eastAsia="Barlow Semi Condensed" w:hAnsi="Barlow Semi Condensed"/>
          <w:sz w:val="24"/>
          <w:szCs w:val="24"/>
        </w:rPr>
        <w:t xml:space="preserve">Un atto che chiude un regime giuridico durato ventisette anni, e che fu atteso per ventisette anni proprio in attesa di un trattato, non nomina il trattato che lo rese possibile. Questa è, secondo me, la cosa più notevole del documento.</w:t>
      </w:r>
    </w:p>
    <w:p>
      <w:pPr>
        <w:pStyle w:val="Heading2"/>
        <w:spacing w:after="100" w:before="200"/>
      </w:pPr>
      <w:r>
        <w:rPr>
          <w:rFonts w:ascii="Barlow Semi Condensed" w:cs="Barlow Semi Condensed" w:eastAsia="Barlow Semi Condensed" w:hAnsi="Barlow Semi Condensed"/>
          <w:sz w:val="24"/>
          <w:szCs w:val="24"/>
        </w:rPr>
        <w:t xml:space="preserve">Capitolo sesto — Casaroli, Wyszyński, Döpfner: chi sapeva e chi non fu consultato</w:t>
      </w:r>
    </w:p>
    <w:p>
      <w:pPr>
        <w:spacing w:after="120" w:line="276"/>
        <w:jc w:val="both"/>
      </w:pPr>
      <w:r>
        <w:rPr>
          <w:rFonts w:ascii="Barlow Semi Condensed" w:cs="Barlow Semi Condensed" w:eastAsia="Barlow Semi Condensed" w:hAnsi="Barlow Semi Condensed"/>
          <w:sz w:val="24"/>
          <w:szCs w:val="24"/>
        </w:rPr>
        <w:t xml:space="preserve">Il capitolo espone la preparazione diplomatica e le reazioni, e isola l'asimmetria fra i due episcopati.</w:t>
      </w:r>
    </w:p>
    <w:p>
      <w:pPr>
        <w:spacing w:after="120" w:line="276"/>
        <w:jc w:val="both"/>
      </w:pPr>
      <w:r>
        <w:rPr>
          <w:rFonts w:ascii="Barlow Semi Condensed" w:cs="Barlow Semi Condensed" w:eastAsia="Barlow Semi Condensed" w:hAnsi="Barlow Semi Condensed"/>
          <w:sz w:val="24"/>
          <w:szCs w:val="24"/>
        </w:rPr>
        <w:t xml:space="preserve">La preparazione: Casaroli. Agostino Casaroli, allora segretario del Consiglio per gli Affari pubblici della Chiesa, condusse i colloqui con le autorità della Repubblica Popolare di Polonia nell'aprile e nel novembre 1971. Essi portarono, oltre alla erezione delle diocesi, alla normalizzazione dei rapporti di lavoro fra Varsavia e la Santa Sede senza ripristino di relazioni diplomatiche piene, e al ritiro del riconoscimento vaticano di Kazimierz Papée quale ambasciatore del governo polacco in esilio a Londra.</w:t>
      </w:r>
    </w:p>
    <w:p>
      <w:pPr>
        <w:spacing w:after="120" w:line="276"/>
        <w:jc w:val="both"/>
      </w:pPr>
      <w:r>
        <w:rPr>
          <w:rFonts w:ascii="Barlow Semi Condensed" w:cs="Barlow Semi Condensed" w:eastAsia="Barlow Semi Condensed" w:hAnsi="Barlow Semi Condensed"/>
          <w:sz w:val="24"/>
          <w:szCs w:val="24"/>
        </w:rPr>
        <w:t xml:space="preserve">Quest'ultimo dettaglio va notato perché è il prezzo pagato. La Santa Sede, per normalizzare con Varsavia, cessò di riconoscere il rappresentante del governo in esilio che aveva riconosciuto per decenni.</w:t>
      </w:r>
    </w:p>
    <w:p>
      <w:pPr>
        <w:spacing w:after="120" w:line="276"/>
        <w:jc w:val="both"/>
      </w:pPr>
      <w:r>
        <w:rPr>
          <w:rFonts w:ascii="Barlow Semi Condensed" w:cs="Barlow Semi Condensed" w:eastAsia="Barlow Semi Condensed" w:hAnsi="Barlow Semi Condensed"/>
          <w:sz w:val="24"/>
          <w:szCs w:val="24"/>
        </w:rPr>
        <w:t xml:space="preserve">Il giudizio storiografico sul rapporto fra le due Ostpolitik. Una recensione del volume curato da Alberto Melloni, \</w:t>
      </w:r>
      <w:r>
        <w:rPr>
          <w:rFonts w:ascii="Barlow Semi Condensed" w:cs="Barlow Semi Condensed" w:eastAsia="Barlow Semi Condensed" w:hAnsi="Barlow Semi Condensed"/>
          <w:i/>
          <w:iCs/>
          <w:sz w:val="24"/>
          <w:szCs w:val="24"/>
        </w:rPr>
        <w:t xml:space="preserve">Il filo sottile. L'Ostpolitik vaticana di Agostino Casaroli\</w:t>
      </w:r>
      <w:r>
        <w:rPr>
          <w:rFonts w:ascii="Barlow Semi Condensed" w:cs="Barlow Semi Condensed" w:eastAsia="Barlow Semi Condensed" w:hAnsi="Barlow Semi Condensed"/>
          <w:sz w:val="24"/>
          <w:szCs w:val="24"/>
        </w:rPr>
        <w:t xml:space="preserve">, il Mulino 2006, osserva che l'Ostpolitik di Casaroli fu complementare a quella praticata da Brandt fra il 1969 e il 1974, e che nei primi anni Settanta gli interessi convergenti riguardavano Bonn, che voleva discutere i confini con l'Est, il Vaticano, che voleva sistemare i confini polacco-tedeschi e quelli diocesani, e Berlino Est, che cercava riconoscimento come Stato separato.</w:t>
      </w:r>
    </w:p>
    <w:p>
      <w:pPr>
        <w:spacing w:after="120" w:line="276"/>
        <w:jc w:val="both"/>
      </w:pPr>
      <w:r>
        <w:rPr>
          <w:rFonts w:ascii="Barlow Semi Condensed" w:cs="Barlow Semi Condensed" w:eastAsia="Barlow Semi Condensed" w:hAnsi="Barlow Semi Condensed"/>
          <w:sz w:val="24"/>
          <w:szCs w:val="24"/>
        </w:rPr>
        <w:t xml:space="preserve">La qualificazione va apposta.\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 fonti attestano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una convergenza di obiettivi fra Ostpolitik tedesca e Ostpolitik vaticana, non una direzione comune né una subordinazione dell'una all'altra.</w:t>
      </w:r>
    </w:p>
    <w:p>
      <w:pPr>
        <w:spacing w:after="120" w:line="276"/>
        <w:jc w:val="both"/>
      </w:pPr>
      <w:r>
        <w:rPr>
          <w:rFonts w:ascii="Barlow Semi Condensed" w:cs="Barlow Semi Condensed" w:eastAsia="Barlow Semi Condensed" w:hAnsi="Barlow Semi Condensed"/>
          <w:sz w:val="24"/>
          <w:szCs w:val="24"/>
        </w:rPr>
        <w:t xml:space="preserve">Una divergenza storiografica va registrata perché è aperta. Sul valore complessivo dell'Ostpolitik di Casaroli la storiografia diverge apertamente: George Weigel, biografo di Giovanni Paolo II, ne dà un giudizio fortemente critico definendola eccessivamente cauta; ambienti vaticani e italiani la celebrano come chiave del crollo del comunismo europeo. È controversia interpretativa, non dato di fatto.</w:t>
      </w:r>
    </w:p>
    <w:p>
      <w:pPr>
        <w:spacing w:after="120" w:line="276"/>
        <w:jc w:val="both"/>
      </w:pPr>
      <w:r>
        <w:rPr>
          <w:rFonts w:ascii="Barlow Semi Condensed" w:cs="Barlow Semi Condensed" w:eastAsia="Barlow Semi Condensed" w:hAnsi="Barlow Semi Condensed"/>
          <w:sz w:val="24"/>
          <w:szCs w:val="24"/>
        </w:rPr>
        <w:t xml:space="preserve">Wyszyński: sollecitatore ed esecutore. La ricerca pubblicata dalla rivista Church History dell'Università di Cambridge, dalla prospettiva del primate, colloca nel 1972 uno spostamento significativo nel pensiero di Wyszyński riguardo ai negoziati polacco-vaticani, in connessione con la ratifica del trattato e la possibilità di regolare finalmente lo status delle diocesi.</w:t>
      </w:r>
    </w:p>
    <w:p>
      <w:pPr>
        <w:spacing w:after="120" w:line="276"/>
        <w:jc w:val="both"/>
      </w:pPr>
      <w:r>
        <w:rPr>
          <w:rFonts w:ascii="Barlow Semi Condensed" w:cs="Barlow Semi Condensed" w:eastAsia="Barlow Semi Condensed" w:hAnsi="Barlow Semi Condensed"/>
          <w:sz w:val="24"/>
          <w:szCs w:val="24"/>
        </w:rPr>
        <w:t xml:space="preserve">E adesso l'asimmetria, che è il punto del capitolo. Döpfner e la Conferenza episcopale tedesca non furono consultati prima della decisione, secondo Hummel, e stentarono ad accettare la motivazione pastorale come ragione decisiva — tanto più che Döpfner aveva in passato rassicurato Bonn, dopo consultazione a Roma, che nulla sarebbe stato mutato prima di un trattato di pace.</w:t>
      </w:r>
    </w:p>
    <w:p>
      <w:pPr>
        <w:spacing w:after="120" w:line="276"/>
        <w:jc w:val="both"/>
      </w:pPr>
      <w:r>
        <w:rPr>
          <w:rFonts w:ascii="Barlow Semi Condensed" w:cs="Barlow Semi Condensed" w:eastAsia="Barlow Semi Condensed" w:hAnsi="Barlow Semi Condensed"/>
          <w:sz w:val="24"/>
          <w:szCs w:val="24"/>
        </w:rPr>
        <w:t xml:space="preserve">Ne discende che il medesimo cardinale che aveva trasmesso a Bonn la garanzia romana si trovò a subire l'atto che la superava, senza essere stato interpellato.</w:t>
      </w:r>
    </w:p>
    <w:p>
      <w:pPr>
        <w:spacing w:after="120" w:line="276"/>
        <w:jc w:val="both"/>
      </w:pPr>
      <w:r>
        <w:rPr>
          <w:rFonts w:ascii="Barlow Semi Condensed" w:cs="Barlow Semi Condensed" w:eastAsia="Barlow Semi Condensed" w:hAnsi="Barlow Semi Condensed"/>
          <w:sz w:val="24"/>
          <w:szCs w:val="24"/>
        </w:rPr>
        <w:t xml:space="preserve">La misura di compensazione, documentata. Contestualmente la Santa Sede nominò tre Visitatori apostolici per i cattolici tedeschi espulsi — dall'arcidiocesi di Breslavia, dalla diocesi di Warmia e dalla prelatura di Schneidemühl.</w:t>
      </w:r>
    </w:p>
    <w:p>
      <w:pPr>
        <w:spacing w:after="120" w:line="276"/>
        <w:jc w:val="both"/>
      </w:pPr>
      <w:r>
        <w:rPr>
          <w:rFonts w:ascii="Barlow Semi Condensed" w:cs="Barlow Semi Condensed" w:eastAsia="Barlow Semi Condensed" w:hAnsi="Barlow Semi Condensed"/>
          <w:sz w:val="24"/>
          <w:szCs w:val="24"/>
        </w:rPr>
        <w:t xml:space="preserve">Le reazioni, riportate con il loro statuto di posizioni nazionali contrapposte. Le fonti ecclesiastiche polacche celebrarono l'atto come fine dello stato di provvisorietà. La stampa delle organizzazioni tedesche degli espulsi reagì con allarme già prima dell'atto: l'organo della Landsmannschaft Ostpreußen, \</w:t>
      </w:r>
      <w:r>
        <w:rPr>
          <w:rFonts w:ascii="Barlow Semi Condensed" w:cs="Barlow Semi Condensed" w:eastAsia="Barlow Semi Condensed" w:hAnsi="Barlow Semi Condensed"/>
          <w:i/>
          <w:iCs/>
          <w:sz w:val="24"/>
          <w:szCs w:val="24"/>
        </w:rPr>
        <w:t xml:space="preserve">Das Ostpreußenblatt\</w:t>
      </w:r>
      <w:r>
        <w:rPr>
          <w:rFonts w:ascii="Barlow Semi Condensed" w:cs="Barlow Semi Condensed" w:eastAsia="Barlow Semi Condensed" w:hAnsi="Barlow Semi Condensed"/>
          <w:sz w:val="24"/>
          <w:szCs w:val="24"/>
        </w:rPr>
        <w:t xml:space="preserve">, nel numero del 24 giugno 1972 titolò Bonn ha dato al Vaticano il via libera?</w:t>
      </w:r>
    </w:p>
    <w:p>
      <w:pPr>
        <w:spacing w:after="120" w:line="276"/>
        <w:jc w:val="both"/>
      </w:pPr>
      <w:r>
        <w:rPr>
          <w:rFonts w:ascii="Barlow Semi Condensed" w:cs="Barlow Semi Condensed" w:eastAsia="Barlow Semi Condensed" w:hAnsi="Barlow Semi Condensed"/>
          <w:sz w:val="24"/>
          <w:szCs w:val="24"/>
        </w:rPr>
        <w:t xml:space="preserve">Questo dettaglio va isolato perché è cronologicamente notevole: quattro giorni prima dell'atto, le organizzazioni degli espulsi sapevano che stava arrivando.</w:t>
      </w:r>
    </w:p>
    <w:p>
      <w:pPr>
        <w:spacing w:after="120" w:line="276"/>
        <w:jc w:val="both"/>
      </w:pPr>
      <w:r>
        <w:rPr>
          <w:rFonts w:ascii="Barlow Semi Condensed" w:cs="Barlow Semi Condensed" w:eastAsia="Barlow Semi Condensed" w:hAnsi="Barlow Semi Condensed"/>
          <w:sz w:val="24"/>
          <w:szCs w:val="24"/>
        </w:rPr>
        <w:t xml:space="preserve">La lettura della cautela vaticana. La Santa Sede curò di presentare l'atto come rispondente a necessità pastorali e non come riconoscimento politico della frontiera; la storiografia anglofona legge tale scelta come deliberata volontà di offrire qualcosa di meno del riconoscimento formale della linea Oder-Neisse.</w:t>
      </w:r>
    </w:p>
    <w:p>
      <w:pPr>
        <w:spacing w:after="120" w:line="276"/>
        <w:jc w:val="both"/>
      </w:pPr>
      <w:r>
        <w:rPr>
          <w:rFonts w:ascii="Barlow Semi Condensed" w:cs="Barlow Semi Condensed" w:eastAsia="Barlow Semi Condensed" w:hAnsi="Barlow Semi Condensed"/>
          <w:sz w:val="24"/>
          <w:szCs w:val="24"/>
        </w:rPr>
        <w:t xml:space="preserve">Ne discende la conclusione del capitolo. Il silenzio del testo canonico sul trattato, esposto al Capitolo quinto, non fu dimenticanza né pudore: fu tecnica diplomatica. La Santa Sede fece ciò che il trattato rendeva possibile, lo disse alla stampa nella comunicazione di accompagnamento, e non lo scrisse nell'atto — così da non costituire essa stessa un riconoscimento politico di confine.</w:t>
      </w:r>
    </w:p>
    <w:p>
      <w:pPr>
        <w:pStyle w:val="Heading2"/>
        <w:spacing w:after="100" w:before="200"/>
      </w:pPr>
      <w:r>
        <w:rPr>
          <w:rFonts w:ascii="Barlow Semi Condensed" w:cs="Barlow Semi Condensed" w:eastAsia="Barlow Semi Condensed" w:hAnsi="Barlow Semi Condensed"/>
          <w:sz w:val="24"/>
          <w:szCs w:val="24"/>
        </w:rPr>
        <w:t xml:space="preserve">Capitolo settimo — La Repubblica Democratica Tedesca: la soluzione diversa e la ragione della differenza</w:t>
      </w:r>
    </w:p>
    <w:p>
      <w:pPr>
        <w:spacing w:after="120" w:line="276"/>
        <w:jc w:val="both"/>
      </w:pPr>
      <w:r>
        <w:rPr>
          <w:rFonts w:ascii="Barlow Semi Condensed" w:cs="Barlow Semi Condensed" w:eastAsia="Barlow Semi Condensed" w:hAnsi="Barlow Semi Condensed"/>
          <w:sz w:val="24"/>
          <w:szCs w:val="24"/>
        </w:rPr>
        <w:t xml:space="preserve">Il capitolo espone il contrappunto orientale, e la sua differenza è essa stessa una prova del modello esposto al Capitolo primo.</w:t>
      </w:r>
    </w:p>
    <w:p>
      <w:pPr>
        <w:spacing w:after="120" w:line="276"/>
        <w:jc w:val="both"/>
      </w:pPr>
      <w:r>
        <w:rPr>
          <w:rFonts w:ascii="Barlow Semi Condensed" w:cs="Barlow Semi Condensed" w:eastAsia="Barlow Semi Condensed" w:hAnsi="Barlow Semi Condensed"/>
          <w:sz w:val="24"/>
          <w:szCs w:val="24"/>
        </w:rPr>
        <w:t xml:space="preserve">Il fatto, datato. Il 23 luglio 1973 Paolo VI nominò amministratori apostolici permanenter constituti per i territori giurisdizionali che, situati nella Repubblica Democratica Tedesca, appartenevano ancora \</w:t>
      </w:r>
      <w:r>
        <w:rPr>
          <w:rFonts w:ascii="Barlow Semi Condensed" w:cs="Barlow Semi Condensed" w:eastAsia="Barlow Semi Condensed" w:hAnsi="Barlow Semi Condensed"/>
          <w:i/>
          <w:iCs/>
          <w:sz w:val="24"/>
          <w:szCs w:val="24"/>
        </w:rPr>
        <w:t xml:space="preserve">de iure\</w:t>
      </w:r>
      <w:r>
        <w:rPr>
          <w:rFonts w:ascii="Barlow Semi Condensed" w:cs="Barlow Semi Condensed" w:eastAsia="Barlow Semi Condensed" w:hAnsi="Barlow Semi Condensed"/>
          <w:sz w:val="24"/>
          <w:szCs w:val="24"/>
        </w:rPr>
        <w:t xml:space="preserve"> a diocesi occidentali: Erfurt-Meiningen, già di Fulda e Würzburg; Magdeburgo, già di Paderborn; Schwerin, già di Osnabrück. Furono costituiti come Bischöfliche Ämter, uffici vescovili posti direttamente sotto la Santa Sede, con sospensione — non soppressione — della giurisdizione dei vescovi occidentali. Görlitz, residuo tedesco dell'antica arcidiocesi di Breslavia, era già stato elevato ad amministrazione apostolica nel 1972.</w:t>
      </w:r>
    </w:p>
    <w:p>
      <w:pPr>
        <w:spacing w:after="120" w:line="276"/>
        <w:jc w:val="both"/>
      </w:pPr>
      <w:r>
        <w:rPr>
          <w:rFonts w:ascii="Barlow Semi Condensed" w:cs="Barlow Semi Condensed" w:eastAsia="Barlow Semi Condensed" w:hAnsi="Barlow Semi Condensed"/>
          <w:sz w:val="24"/>
          <w:szCs w:val="24"/>
        </w:rPr>
        <w:t xml:space="preserve">E qui la differenza decisiva, che va enunciata perché conferma il principio. Nella Repubblica Democratica Tedesca la Santa Sede non eresse diocesi permanenti nel 1972-1973, ma si fermò alla figura dell'amministratore apostolico e dell'ufficio vescovile.</w:t>
      </w:r>
    </w:p>
    <w:p>
      <w:pPr>
        <w:spacing w:after="120" w:line="276"/>
        <w:jc w:val="both"/>
      </w:pPr>
      <w:r>
        <w:rPr>
          <w:rFonts w:ascii="Barlow Semi Condensed" w:cs="Barlow Semi Condensed" w:eastAsia="Barlow Semi Condensed" w:hAnsi="Barlow Semi Condensed"/>
          <w:sz w:val="24"/>
          <w:szCs w:val="24"/>
        </w:rPr>
        <w:t xml:space="preserve">La ragione, dichiarata dalle fonti.\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Perché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questione dell'unità tedesca restava aperta e Bonn continuava a rivendicare i diritti connessi.</w:t>
      </w:r>
    </w:p>
    <w:p>
      <w:pPr>
        <w:spacing w:after="120" w:line="276"/>
        <w:jc w:val="both"/>
      </w:pPr>
      <w:r>
        <w:rPr>
          <w:rFonts w:ascii="Barlow Semi Condensed" w:cs="Barlow Semi Condensed" w:eastAsia="Barlow Semi Condensed" w:hAnsi="Barlow Semi Condensed"/>
          <w:sz w:val="24"/>
          <w:szCs w:val="24"/>
        </w:rPr>
        <w:t xml:space="preserve">Ne discende una conferma per via indipendente del principio esposto ai Capitoli primo e secondo. In Polonia il trattato aveva chiuso la questione del confine, e la Santa Sede erse diocesi permanenti. In Germania orientale nessun trattato aveva chiuso la questione dell'unità, e la Santa Sede si fermò alla forma provvisoria — la medesima forma che in Polonia aveva tenuto per ventisette anni.</w:t>
      </w:r>
    </w:p>
    <w:p>
      <w:pPr>
        <w:spacing w:after="120" w:line="276"/>
        <w:jc w:val="both"/>
      </w:pPr>
      <w:r>
        <w:rPr>
          <w:rFonts w:ascii="Barlow Semi Condensed" w:cs="Barlow Semi Condensed" w:eastAsia="Barlow Semi Condensed" w:hAnsi="Barlow Semi Condensed"/>
          <w:sz w:val="24"/>
          <w:szCs w:val="24"/>
        </w:rPr>
        <w:t xml:space="preserve">La coerenza è totale, e la si registra come tale: la Santa Sede applicò il medesimo criterio in due direzioni opposte, e in entrambe lo fece dipendere dall'esistenza di un atto politico che chiudesse la questione territoriale.</w:t>
      </w:r>
    </w:p>
    <w:p>
      <w:pPr>
        <w:spacing w:after="120" w:line="276"/>
        <w:jc w:val="both"/>
      </w:pPr>
      <w:r>
        <w:rPr>
          <w:rFonts w:ascii="Barlow Semi Condensed" w:cs="Barlow Semi Condensed" w:eastAsia="Barlow Semi Condensed" w:hAnsi="Barlow Semi Condensed"/>
          <w:sz w:val="24"/>
          <w:szCs w:val="24"/>
        </w:rPr>
        <w:t xml:space="preserve">Casaroli e Berlino Est, per date. Nel 1973, a Roma, egli incontrò Werner Lamberz, membro del Politbüro della SED. Il 9 giugno 1975 si recò nella Repubblica Democratica, dove fu ricevuto dal presidente del Consiglio dei ministri Horst Sindermann, dal ministro degli Esteri Oskar Fischer e dal segretario di Stato per le questioni ecclesiastiche Hans Seigewasser.</w:t>
      </w:r>
    </w:p>
    <w:p>
      <w:pPr>
        <w:spacing w:after="120" w:line="276"/>
        <w:jc w:val="both"/>
      </w:pPr>
      <w:r>
        <w:rPr>
          <w:rFonts w:ascii="Barlow Semi Condensed" w:cs="Barlow Semi Condensed" w:eastAsia="Barlow Semi Condensed" w:hAnsi="Barlow Semi Condensed"/>
          <w:sz w:val="24"/>
          <w:szCs w:val="24"/>
        </w:rPr>
        <w:t xml:space="preserve">La diffidenza dei vescovi tedeschi. I cardinali Alfred Bengsch e Döpfner guardarono con diffidenza all'atteggiamento accomodante del Vaticano, temendo per l'unità della Chiesa cattolica in Germania. È la seconda volta, nello studio, che Döpfner compare come contrappeso critico della Ostpolitik vaticana.</w:t>
      </w:r>
    </w:p>
    <w:p>
      <w:pPr>
        <w:spacing w:after="120" w:line="276"/>
        <w:jc w:val="both"/>
      </w:pPr>
      <w:r>
        <w:rPr>
          <w:rFonts w:ascii="Barlow Semi Condensed" w:cs="Barlow Semi Condensed" w:eastAsia="Barlow Semi Condensed" w:hAnsi="Barlow Semi Condensed"/>
          <w:sz w:val="24"/>
          <w:szCs w:val="24"/>
        </w:rPr>
        <w:t xml:space="preserve">Non vi furono relazioni diplomatiche fra la Santa Sede e il governo di Berlino Est.</w:t>
      </w:r>
    </w:p>
    <w:p>
      <w:pPr>
        <w:spacing w:after="120" w:line="276"/>
        <w:jc w:val="both"/>
      </w:pPr>
      <w:r>
        <w:rPr>
          <w:rFonts w:ascii="Barlow Semi Condensed" w:cs="Barlow Semi Condensed" w:eastAsia="Barlow Semi Condensed" w:hAnsi="Barlow Semi Condensed"/>
          <w:sz w:val="24"/>
          <w:szCs w:val="24"/>
        </w:rPr>
        <w:t xml:space="preserve">Nel 1976 la Berliner Ordinarienkonferenz fu trasformata in Berliner Bischofskonferenz, forum di comunicazione fra gli amministratori apostolici e i vescovi di Berlino e Dresda-Meissen.</w:t>
      </w:r>
    </w:p>
    <w:p>
      <w:pPr>
        <w:spacing w:after="120" w:line="276"/>
        <w:jc w:val="both"/>
      </w:pPr>
      <w:r>
        <w:rPr>
          <w:rFonts w:ascii="Barlow Semi Condensed" w:cs="Barlow Semi Condensed" w:eastAsia="Barlow Semi Condensed" w:hAnsi="Barlow Semi Condensed"/>
          <w:sz w:val="24"/>
          <w:szCs w:val="24"/>
        </w:rPr>
        <w:t xml:space="preserve">Un progetto non attuato va registrato perché la ragione della mancata attuazione è datata. Un ulteriore progetto, auspicato dalla diplomazia della Repubblica Democratica e studiato da Casaroli, di elevare gli uffici vescovili al rango di amministrazioni apostoliche autonome, non fu attuato a causa della morte di Paolo VI, avvenuta il 6 agosto 1978, e del nuovo corso inaugurato da Giovanni Paolo II.</w:t>
      </w:r>
    </w:p>
    <w:p>
      <w:pPr>
        <w:spacing w:after="120" w:line="276"/>
        <w:jc w:val="both"/>
      </w:pPr>
      <w:r>
        <w:rPr>
          <w:rFonts w:ascii="Barlow Semi Condensed" w:cs="Barlow Semi Condensed" w:eastAsia="Barlow Semi Condensed" w:hAnsi="Barlow Semi Condensed"/>
          <w:sz w:val="24"/>
          <w:szCs w:val="24"/>
        </w:rPr>
        <w:t xml:space="preserve">La circoscrizione definitiva in diocesi avvenne solo dopo la riunificazione, con le bolle di Giovanni Paolo II del 27 giugno 1994: \</w:t>
      </w:r>
      <w:r>
        <w:rPr>
          <w:rFonts w:ascii="Barlow Semi Condensed" w:cs="Barlow Semi Condensed" w:eastAsia="Barlow Semi Condensed" w:hAnsi="Barlow Semi Condensed"/>
          <w:i/>
          <w:iCs/>
          <w:sz w:val="24"/>
          <w:szCs w:val="24"/>
        </w:rPr>
        <w:t xml:space="preserve">Quo aptius\</w:t>
      </w:r>
      <w:r>
        <w:rPr>
          <w:rFonts w:ascii="Barlow Semi Condensed" w:cs="Barlow Semi Condensed" w:eastAsia="Barlow Semi Condensed" w:hAnsi="Barlow Semi Condensed"/>
          <w:sz w:val="24"/>
          <w:szCs w:val="24"/>
        </w:rPr>
        <w:t xml:space="preserve"> per Erfurt, \</w:t>
      </w:r>
      <w:r>
        <w:rPr>
          <w:rFonts w:ascii="Barlow Semi Condensed" w:cs="Barlow Semi Condensed" w:eastAsia="Barlow Semi Condensed" w:hAnsi="Barlow Semi Condensed"/>
          <w:i/>
          <w:iCs/>
          <w:sz w:val="24"/>
          <w:szCs w:val="24"/>
        </w:rPr>
        <w:t xml:space="preserve">Cum gaudio et spe\</w:t>
      </w:r>
      <w:r>
        <w:rPr>
          <w:rFonts w:ascii="Barlow Semi Condensed" w:cs="Barlow Semi Condensed" w:eastAsia="Barlow Semi Condensed" w:hAnsi="Barlow Semi Condensed"/>
          <w:sz w:val="24"/>
          <w:szCs w:val="24"/>
        </w:rPr>
        <w:t xml:space="preserve"> per Magdeburgo.</w:t>
      </w:r>
    </w:p>
    <w:p>
      <w:pPr>
        <w:spacing w:after="120" w:line="276"/>
        <w:jc w:val="both"/>
      </w:pPr>
      <w:r>
        <w:rPr>
          <w:rFonts w:ascii="Barlow Semi Condensed" w:cs="Barlow Semi Condensed" w:eastAsia="Barlow Semi Condensed" w:hAnsi="Barlow Semi Condensed"/>
          <w:sz w:val="24"/>
          <w:szCs w:val="24"/>
        </w:rPr>
        <w:t xml:space="preserve">Ventuno anni dopo il 1973, e ventidue anni dopo il 1972. La forma provvisoria tenne fino a quando la questione politica non fu chiusa — e fu chiusa dalla riunificazione, non da un trattato di pace.</w:t>
      </w:r>
    </w:p>
    <w:p>
      <w:pPr>
        <w:pStyle w:val="Heading2"/>
        <w:spacing w:after="100" w:before="200"/>
      </w:pPr>
      <w:r>
        <w:rPr>
          <w:rFonts w:ascii="Barlow Semi Condensed" w:cs="Barlow Semi Condensed" w:eastAsia="Barlow Semi Condensed" w:hAnsi="Barlow Semi Condensed"/>
          <w:sz w:val="24"/>
          <w:szCs w:val="24"/>
        </w:rPr>
        <w:t xml:space="preserve">Capitolo ottavo — Il Vertice dell'Aja e il giallo della malattia</w:t>
      </w:r>
    </w:p>
    <w:p>
      <w:pPr>
        <w:spacing w:after="120" w:line="276"/>
        <w:jc w:val="both"/>
      </w:pPr>
      <w:r>
        <w:rPr>
          <w:rFonts w:ascii="Barlow Semi Condensed" w:cs="Barlow Semi Condensed" w:eastAsia="Barlow Semi Condensed" w:hAnsi="Barlow Semi Condensed"/>
          <w:sz w:val="24"/>
          <w:szCs w:val="24"/>
        </w:rPr>
        <w:t xml:space="preserve">Il capitolo espone un episodio della biografia diplomatica di Moro che le ricognizioni anteriori avevano soltanto nominato, e ne riporta il dettaglio.</w:t>
      </w:r>
    </w:p>
    <w:p>
      <w:pPr>
        <w:spacing w:after="120" w:line="276"/>
        <w:jc w:val="both"/>
      </w:pPr>
      <w:r>
        <w:rPr>
          <w:rFonts w:ascii="Barlow Semi Condensed" w:cs="Barlow Semi Condensed" w:eastAsia="Barlow Semi Condensed" w:hAnsi="Barlow Semi Condensed"/>
          <w:sz w:val="24"/>
          <w:szCs w:val="24"/>
        </w:rPr>
        <w:t xml:space="preserve">Il fatto. Il Vertice dell'Aja si tenne il 1 e 2 dicembre 1969 nella Ridderzaal del Binnenhof.</w:t>
      </w:r>
    </w:p>
    <w:p>
      <w:pPr>
        <w:spacing w:after="120" w:line="276"/>
        <w:jc w:val="both"/>
      </w:pPr>
      <w:r>
        <w:rPr>
          <w:rFonts w:ascii="Barlow Semi Condensed" w:cs="Barlow Semi Condensed" w:eastAsia="Barlow Semi Condensed" w:hAnsi="Barlow Semi Condensed"/>
          <w:sz w:val="24"/>
          <w:szCs w:val="24"/>
        </w:rPr>
        <w:t xml:space="preserve">Il giudizio storiografico, già acquisito. Secondo Guido Levi, nel saggio pubblicato in \</w:t>
      </w:r>
      <w:r>
        <w:rPr>
          <w:rFonts w:ascii="Barlow Semi Condensed" w:cs="Barlow Semi Condensed" w:eastAsia="Barlow Semi Condensed" w:hAnsi="Barlow Semi Condensed"/>
          <w:i/>
          <w:iCs/>
          <w:sz w:val="24"/>
          <w:szCs w:val="24"/>
        </w:rPr>
        <w:t xml:space="preserve">Spagna contemporanea\</w:t>
      </w:r>
      <w:r>
        <w:rPr>
          <w:rFonts w:ascii="Barlow Semi Condensed" w:cs="Barlow Semi Condensed" w:eastAsia="Barlow Semi Condensed" w:hAnsi="Barlow Semi Condensed"/>
          <w:sz w:val="24"/>
          <w:szCs w:val="24"/>
        </w:rPr>
        <w:t xml:space="preserve">, anno venticinquesimo, numero quarantanove del 2016, alle pagine 69-102, al Vertice l'Italia finì per giocare un ruolo piuttosto marginale anche per le incertezze del nuovo ministro degli Esteri Aldo Moro, che aveva sostituito da pochi mesi Pietro Nenni alla guida della Farnesina.</w:t>
      </w:r>
    </w:p>
    <w:p>
      <w:pPr>
        <w:spacing w:after="120" w:line="276"/>
        <w:jc w:val="both"/>
      </w:pPr>
      <w:r>
        <w:rPr>
          <w:rFonts w:ascii="Barlow Semi Condensed" w:cs="Barlow Semi Condensed" w:eastAsia="Barlow Semi Condensed" w:hAnsi="Barlow Semi Condensed"/>
          <w:sz w:val="24"/>
          <w:szCs w:val="24"/>
        </w:rPr>
        <w:t xml:space="preserve">Il giallo della data, documentato. La fonte accademica Officina della Storia ricostruisce che il vertice, dapprima fissato per il 17 e 18 novembre, fu spostato al 1 e 2 dicembre a causa di una presunta malattia del ministro degli Esteri italiano — e le virgolette sulla parola malattia sono della fonte, non mie. Lo spostamento scatenò non poche illazioni e commenti sulla stampa europea circa le vere ragioni, legate alle difficoltà di Moro.</w:t>
      </w:r>
    </w:p>
    <w:p>
      <w:pPr>
        <w:spacing w:after="120" w:line="276"/>
        <w:jc w:val="both"/>
      </w:pPr>
      <w:r>
        <w:rPr>
          <w:rFonts w:ascii="Barlow Semi Condensed" w:cs="Barlow Semi Condensed" w:eastAsia="Barlow Semi Condensed" w:hAnsi="Barlow Semi Condensed"/>
          <w:sz w:val="24"/>
          <w:szCs w:val="24"/>
        </w:rPr>
        <w:t xml:space="preserve">E un secondo elemento della medesima fonte va riportato perché corregge in parte il giudizio di marginalità. Moro ingaggiò un braccio di ferro con il governo francese, arrivando addirittura a minacciare di non partecipare al vertice se Pompidou non avesse inserito nel comunicato finale una data d'inizio dei negoziati con la Gran Bretagna.</w:t>
      </w:r>
    </w:p>
    <w:p>
      <w:pPr>
        <w:spacing w:after="120" w:line="276"/>
        <w:jc w:val="both"/>
      </w:pPr>
      <w:r>
        <w:rPr>
          <w:rFonts w:ascii="Barlow Semi Condensed" w:cs="Barlow Semi Condensed" w:eastAsia="Barlow Semi Condensed" w:hAnsi="Barlow Semi Condensed"/>
          <w:sz w:val="24"/>
          <w:szCs w:val="24"/>
        </w:rPr>
        <w:t xml:space="preserve">Ne discende una qualificazione più precisa del ruolo italiano. L'Italia fu marginale nella conduzione, ma non passiva quanto all'obiettivo: la posizione italiana era a sostegno dell'ingresso britannico e tesa a bilanciare l'asse franco-tedesco, e su quel punto Moro esercitò una pressione documentata.</w:t>
      </w:r>
    </w:p>
    <w:p>
      <w:pPr>
        <w:spacing w:after="120" w:line="276"/>
        <w:jc w:val="both"/>
      </w:pPr>
      <w:r>
        <w:rPr>
          <w:rFonts w:ascii="Barlow Semi Condensed" w:cs="Barlow Semi Condensed" w:eastAsia="Barlow Semi Condensed" w:hAnsi="Barlow Semi Condensed"/>
          <w:sz w:val="24"/>
          <w:szCs w:val="24"/>
        </w:rPr>
        <w:t xml:space="preserve">Il ruolo tedesco fu di primo piano nel rilancio: il Vertice varò l'obiettivo dell'unione economica e monetaria e dell'allargamento.</w:t>
      </w:r>
    </w:p>
    <w:p>
      <w:pPr>
        <w:spacing w:after="120" w:line="276"/>
        <w:jc w:val="both"/>
      </w:pPr>
      <w:r>
        <w:rPr>
          <w:rFonts w:ascii="Barlow Semi Condensed" w:cs="Barlow Semi Condensed" w:eastAsia="Barlow Semi Condensed" w:hAnsi="Barlow Semi Condensed"/>
          <w:sz w:val="24"/>
          <w:szCs w:val="24"/>
        </w:rPr>
        <w:t xml:space="preserve">Un elemento istituzionale va notato.\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All'Aja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prevalse la pratica intergovernativa, con la Commissione europea relegata a una sessione tecnica per volontà francese.</w:t>
      </w:r>
    </w:p>
    <w:p>
      <w:pPr>
        <w:spacing w:after="120" w:line="276"/>
        <w:jc w:val="both"/>
      </w:pPr>
      <w:r>
        <w:rPr>
          <w:rFonts w:ascii="Barlow Semi Condensed" w:cs="Barlow Semi Condensed" w:eastAsia="Barlow Semi Condensed" w:hAnsi="Barlow Semi Condensed"/>
          <w:sz w:val="24"/>
          <w:szCs w:val="24"/>
        </w:rPr>
        <w:t xml:space="preserve">Il seguito monetario, con le divergenze da riportare. Dal mandato dell'Aja discese il Piano Werner, elaborato dal comitato presieduto dal primo ministro lussemburghese Pierre Werner, presentato al Consiglio nel giugno 1970 e recepito con risoluzione del 22 marzo 1971, che avviava la prima tappa dell'unione economica e monetaria da realizzarsi in dieci anni.</w:t>
      </w:r>
    </w:p>
    <w:p>
      <w:pPr>
        <w:spacing w:after="120" w:line="276"/>
        <w:jc w:val="both"/>
      </w:pPr>
      <w:r>
        <w:rPr>
          <w:rFonts w:ascii="Barlow Semi Condensed" w:cs="Barlow Semi Condensed" w:eastAsia="Barlow Semi Condensed" w:hAnsi="Barlow Semi Condensed"/>
          <w:sz w:val="24"/>
          <w:szCs w:val="24"/>
        </w:rPr>
        <w:t xml:space="preserve">Sul Serpente monetario le fonti divergono e la divergenza si riporta. Una fonte colloca i primi provvedimenti al 21 marzo 1972, perfezionati nell'accordo di Basilea del 10 aprile 1972 ed entrati in vigore il 24 aprile 1972, con margini di fluttuazione del due virgola venticinque per cento; un'altra colloca l'accordo di Basilea al 24 aprile 1972; una lezione universitaria colloca la nascita nel marzo 1972.</w:t>
      </w:r>
    </w:p>
    <w:p>
      <w:pPr>
        <w:spacing w:after="120" w:line="276"/>
        <w:jc w:val="both"/>
      </w:pPr>
      <w:r>
        <w:rPr>
          <w:rFonts w:ascii="Barlow Semi Condensed" w:cs="Barlow Semi Condensed" w:eastAsia="Barlow Semi Condensed" w:hAnsi="Barlow Semi Condensed"/>
          <w:sz w:val="24"/>
          <w:szCs w:val="24"/>
        </w:rPr>
        <w:t xml:space="preserve">L'uscita della lira è datata concordemente al 13 febbraio 1973\</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coincidenza con la seconda svalutazione del dollaro; la lira restò fuori dal sistema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fino alla vigilia dell'entrata in funzione del Sistema monetario europeo nel 1979.</w:t>
      </w:r>
    </w:p>
    <w:p>
      <w:pPr>
        <w:spacing w:after="120" w:line="276"/>
        <w:jc w:val="both"/>
      </w:pPr>
      <w:r>
        <w:rPr>
          <w:rFonts w:ascii="Barlow Semi Condensed" w:cs="Barlow Semi Condensed" w:eastAsia="Barlow Semi Condensed" w:hAnsi="Barlow Semi Condensed"/>
          <w:sz w:val="24"/>
          <w:szCs w:val="24"/>
        </w:rPr>
        <w:t xml:space="preserve">La materia monetaria è di ambito comunitario e non tocca la questione tedesca ecclesiastica; se ne dà conto perché parte del ruolo tedesco nel processo di integrazione, e il capitolo si chiude qui perché oltre questo il materiale non porta.</w:t>
      </w:r>
    </w:p>
    <w:p>
      <w:pPr>
        <w:pStyle w:val="Heading2"/>
        <w:spacing w:after="100" w:before="200"/>
      </w:pPr>
      <w:r>
        <w:rPr>
          <w:rFonts w:ascii="Barlow Semi Condensed" w:cs="Barlow Semi Condensed" w:eastAsia="Barlow Semi Condensed" w:hAnsi="Barlow Semi Condensed"/>
          <w:sz w:val="24"/>
          <w:szCs w:val="24"/>
        </w:rPr>
        <w:t xml:space="preserve">Capitolo nono — Il Reichskonkordat del 1933 e la sua sopravvivenza</w:t>
      </w:r>
    </w:p>
    <w:p>
      <w:pPr>
        <w:spacing w:after="120" w:line="276"/>
        <w:jc w:val="both"/>
      </w:pPr>
      <w:r>
        <w:rPr>
          <w:rFonts w:ascii="Barlow Semi Condensed" w:cs="Barlow Semi Condensed" w:eastAsia="Barlow Semi Condensed" w:hAnsi="Barlow Semi Condensed"/>
          <w:sz w:val="24"/>
          <w:szCs w:val="24"/>
        </w:rPr>
        <w:t xml:space="preserve">Il capitolo espone il quadro concordatario tedesco, e contiene il dato che più colpisce di tutto lo studio sul piano della continuità giuridica.</w:t>
      </w:r>
    </w:p>
    <w:p>
      <w:pPr>
        <w:spacing w:after="120" w:line="276"/>
        <w:jc w:val="both"/>
      </w:pPr>
      <w:r>
        <w:rPr>
          <w:rFonts w:ascii="Barlow Semi Condensed" w:cs="Barlow Semi Condensed" w:eastAsia="Barlow Semi Condensed" w:hAnsi="Barlow Semi Condensed"/>
          <w:sz w:val="24"/>
          <w:szCs w:val="24"/>
        </w:rPr>
        <w:t xml:space="preserve">La firma. Il Concordato fra Santa Sede e Reich germanico fu firmato il 20 luglio 1933 dal cardinale segretario di Stato Eugenio Pacelli e dal vicecancelliere Franz von Papen — il medesimo von Papen che, come ambasciatore a Istanbul, comparirà nella settima ricognizione come interlocutore di Roncalli per il salvataggio degli ebrei.</w:t>
      </w:r>
    </w:p>
    <w:p>
      <w:pPr>
        <w:spacing w:after="120" w:line="276"/>
        <w:jc w:val="both"/>
      </w:pPr>
      <w:r>
        <w:rPr>
          <w:rFonts w:ascii="Barlow Semi Condensed" w:cs="Barlow Semi Condensed" w:eastAsia="Barlow Semi Condensed" w:hAnsi="Barlow Semi Condensed"/>
          <w:sz w:val="24"/>
          <w:szCs w:val="24"/>
        </w:rPr>
        <w:t xml:space="preserve">Il negoziato, per date. Due tornate: 10-20 aprile e 29 giugno - 5 luglio 1933, con la partecipazione di Ludwig Kaas per il Zentrum. Il testo paraphato l'8 luglio fu approvato dal gabinetto del Reich il 14 luglio. Pubblicato nel Reichsgesetzblatt 1933, parte seconda, pagina 679; entrato in vigore con lo scambio degli strumenti di ratifica il 10 settembre 1933.</w:t>
      </w:r>
    </w:p>
    <w:p>
      <w:pPr>
        <w:spacing w:after="120" w:line="276"/>
        <w:jc w:val="both"/>
      </w:pPr>
      <w:r>
        <w:rPr>
          <w:rFonts w:ascii="Barlow Semi Condensed" w:cs="Barlow Semi Condensed" w:eastAsia="Barlow Semi Condensed" w:hAnsi="Barlow Semi Condensed"/>
          <w:sz w:val="24"/>
          <w:szCs w:val="24"/>
        </w:rPr>
        <w:t xml:space="preserve">E il dato che va isolato.\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Reichskonkordat è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l'unico accordo di politica estera dell'epoca nazista ancora oggi vigente.</w:t>
      </w:r>
    </w:p>
    <w:p>
      <w:pPr>
        <w:spacing w:after="120" w:line="276"/>
        <w:jc w:val="both"/>
      </w:pPr>
      <w:r>
        <w:rPr>
          <w:rFonts w:ascii="Barlow Semi Condensed" w:cs="Barlow Semi Condensed" w:eastAsia="Barlow Semi Condensed" w:hAnsi="Barlow Semi Condensed"/>
          <w:sz w:val="24"/>
          <w:szCs w:val="24"/>
        </w:rPr>
        <w:t xml:space="preserve">La controversia storiografica va registrata perché è aperta. La cosiddetta polemica Repgen-Scholder verte sul se il Concordato fu, secondo Konrad Repgen, un \</w:t>
      </w:r>
      <w:r>
        <w:rPr>
          <w:rFonts w:ascii="Barlow Semi Condensed" w:cs="Barlow Semi Condensed" w:eastAsia="Barlow Semi Condensed" w:hAnsi="Barlow Semi Condensed"/>
          <w:i/>
          <w:iCs/>
          <w:sz w:val="24"/>
          <w:szCs w:val="24"/>
        </w:rPr>
        <w:t xml:space="preserve">Defensivvertrag\</w:t>
      </w:r>
      <w:r>
        <w:rPr>
          <w:rFonts w:ascii="Barlow Semi Condensed" w:cs="Barlow Semi Condensed" w:eastAsia="Barlow Semi Condensed" w:hAnsi="Barlow Semi Condensed"/>
          <w:sz w:val="24"/>
          <w:szCs w:val="24"/>
        </w:rPr>
        <w:t xml:space="preserve"> con cui la Chiesa cercò di proteggere i cattolici, o piuttosto uno strumento che contribuì a consolidare il regime. È dibattito scientifico aperto e non dato di fatto.</w:t>
      </w:r>
    </w:p>
    <w:p>
      <w:pPr>
        <w:spacing w:after="120" w:line="276"/>
        <w:jc w:val="both"/>
      </w:pPr>
      <w:r>
        <w:rPr>
          <w:rFonts w:ascii="Barlow Semi Condensed" w:cs="Barlow Semi Condensed" w:eastAsia="Barlow Semi Condensed" w:hAnsi="Barlow Semi Condensed"/>
          <w:sz w:val="24"/>
          <w:szCs w:val="24"/>
        </w:rPr>
        <w:t xml:space="preserve">La vigenza nella Repubblica Federale: la sentenza. La fonte primaria è la sentenza della Corte costituzionale federale nota come Konkordatsurteil, in materia della legge scolastica della Bassa Sassonia sulle scuole confessionali, citata come BVerfGE 6, 309, procedimento 2 BvG 1/55.</w:t>
      </w:r>
    </w:p>
    <w:p>
      <w:pPr>
        <w:spacing w:after="120" w:line="276"/>
        <w:jc w:val="both"/>
      </w:pPr>
      <w:r>
        <w:rPr>
          <w:rFonts w:ascii="Barlow Semi Condensed" w:cs="Barlow Semi Condensed" w:eastAsia="Barlow Semi Condensed" w:hAnsi="Barlow Semi Condensed"/>
          <w:sz w:val="24"/>
          <w:szCs w:val="24"/>
        </w:rPr>
        <w:t xml:space="preserve">Sulla data le fonti divergono e la divergenza va riportata. Più fonti indicano il 26 marzo 1957; altre — un documento del servizio scientifico del Bundestag e un passaggio di un portale ecclesiale — indicano il 23 marzo 1957.</w:t>
      </w:r>
    </w:p>
    <w:p>
      <w:pPr>
        <w:spacing w:after="120" w:line="276"/>
        <w:jc w:val="both"/>
      </w:pPr>
      <w:r>
        <w:rPr>
          <w:rFonts w:ascii="Barlow Semi Condensed" w:cs="Barlow Semi Condensed" w:eastAsia="Barlow Semi Condensed" w:hAnsi="Barlow Semi Condensed"/>
          <w:sz w:val="24"/>
          <w:szCs w:val="24"/>
        </w:rPr>
        <w:t xml:space="preserve">Il contenuto, che è a doppio taglio. La Corte stabilì che il Reichskonkordat era validamente concluso e giuridicamente vincolante e continuava a valere anche oltre il crollo dello Stato nazionalsocialista; ma che la competenza in materia scolastica spettava ai Länder, i quali potevano perciò adottare anche normative in contrasto con il Concordato senza che il governo federale potesse costringerli.</w:t>
      </w:r>
    </w:p>
    <w:p>
      <w:pPr>
        <w:spacing w:after="120" w:line="276"/>
        <w:jc w:val="both"/>
      </w:pPr>
      <w:r>
        <w:rPr>
          <w:rFonts w:ascii="Barlow Semi Condensed" w:cs="Barlow Semi Condensed" w:eastAsia="Barlow Semi Condensed" w:hAnsi="Barlow Semi Condensed"/>
          <w:sz w:val="24"/>
          <w:szCs w:val="24"/>
        </w:rPr>
        <w:t xml:space="preserve">Ne discende un esito paradossale che va enunciato: il Concordato fu dichiarato vigente e insieme inapplicabile nella materia su cui era stato invocato.</w:t>
      </w:r>
    </w:p>
    <w:p>
      <w:pPr>
        <w:spacing w:after="120" w:line="276"/>
        <w:jc w:val="both"/>
      </w:pPr>
      <w:r>
        <w:rPr>
          <w:rFonts w:ascii="Barlow Semi Condensed" w:cs="Barlow Semi Condensed" w:eastAsia="Barlow Semi Condensed" w:hAnsi="Barlow Semi Condensed"/>
          <w:sz w:val="24"/>
          <w:szCs w:val="24"/>
        </w:rPr>
        <w:t xml:space="preserve">I concordati regionali\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precedono e affiancano il Reichskonkordat: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Baviera 1924, Prussia 1929, Baden 1932.</w:t>
      </w:r>
    </w:p>
    <w:p>
      <w:pPr>
        <w:spacing w:after="120" w:line="276"/>
        <w:jc w:val="both"/>
      </w:pPr>
      <w:r>
        <w:rPr>
          <w:rFonts w:ascii="Barlow Semi Condensed" w:cs="Barlow Semi Condensed" w:eastAsia="Barlow Semi Condensed" w:hAnsi="Barlow Semi Condensed"/>
          <w:sz w:val="24"/>
          <w:szCs w:val="24"/>
        </w:rPr>
        <w:t xml:space="preserve">La Repubblica Democratica Tedesca non riconosceva il Concordato, coerentemente con la sua dottrina di non successione al Reich.</w:t>
      </w:r>
    </w:p>
    <w:p>
      <w:pPr>
        <w:spacing w:after="120" w:line="276"/>
        <w:jc w:val="both"/>
      </w:pPr>
      <w:r>
        <w:rPr>
          <w:rFonts w:ascii="Barlow Semi Condensed" w:cs="Barlow Semi Condensed" w:eastAsia="Barlow Semi Condensed" w:hAnsi="Barlow Semi Condensed"/>
          <w:sz w:val="24"/>
          <w:szCs w:val="24"/>
        </w:rPr>
        <w:t xml:space="preserve">Il confronto lateranense, che è la ragione per cui il capitolo appartiene a questo studio. Il Concordato lateranense italiano fu firmato l'11 febbraio 1929 e revisionato con l'Accordo di Villa Madama concluso il 18 febbraio 1984, come accertato in ricognizione anteriore.</w:t>
      </w:r>
    </w:p>
    <w:p>
      <w:pPr>
        <w:spacing w:after="120" w:line="276"/>
        <w:jc w:val="both"/>
      </w:pPr>
      <w:r>
        <w:rPr>
          <w:rFonts w:ascii="Barlow Semi Condensed" w:cs="Barlow Semi Condensed" w:eastAsia="Barlow Semi Condensed" w:hAnsi="Barlow Semi Condensed"/>
          <w:sz w:val="24"/>
          <w:szCs w:val="24"/>
        </w:rPr>
        <w:t xml:space="preserve">La differenza di traiettoria va enunciata. In Italia il concordato fu oggetto di una revisione bilaterale integrale e consensuale; in Germania il Reichskonkordat rimase in vigore immutato nella sua cornice, con adattamenti affidati alla giurisprudenza costituzionale e ai concordati dei Länder.</w:t>
      </w:r>
    </w:p>
    <w:p>
      <w:pPr>
        <w:spacing w:after="120" w:line="276"/>
        <w:jc w:val="both"/>
      </w:pPr>
      <w:r>
        <w:rPr>
          <w:rFonts w:ascii="Barlow Semi Condensed" w:cs="Barlow Semi Condensed" w:eastAsia="Barlow Semi Condensed" w:hAnsi="Barlow Semi Condensed"/>
          <w:sz w:val="24"/>
          <w:szCs w:val="24"/>
        </w:rPr>
        <w:t xml:space="preserve">Cinquantacinque anni per la revisione italiana. Nessuna revisione per quella tedesca, a novantadue anni dalla firma.</w:t>
      </w:r>
    </w:p>
    <w:p>
      <w:pPr>
        <w:pStyle w:val="Heading2"/>
        <w:spacing w:after="100" w:before="200"/>
      </w:pPr>
      <w:r>
        <w:rPr>
          <w:rFonts w:ascii="Barlow Semi Condensed" w:cs="Barlow Semi Condensed" w:eastAsia="Barlow Semi Condensed" w:hAnsi="Barlow Semi Condensed"/>
          <w:sz w:val="24"/>
          <w:szCs w:val="24"/>
        </w:rPr>
        <w:t xml:space="preserve">Capitolo decimo — Helsinki 1975 e una correzione sulla lettera tedesca</w:t>
      </w:r>
    </w:p>
    <w:p>
      <w:pPr>
        <w:spacing w:after="120" w:line="276"/>
        <w:jc w:val="both"/>
      </w:pPr>
      <w:r>
        <w:rPr>
          <w:rFonts w:ascii="Barlow Semi Condensed" w:cs="Barlow Semi Condensed" w:eastAsia="Barlow Semi Condensed" w:hAnsi="Barlow Semi Condensed"/>
          <w:sz w:val="24"/>
          <w:szCs w:val="24"/>
        </w:rPr>
        <w:t xml:space="preserve">Il capitolo espone il momento in cui i soggetti convergono, e corregge un'ipotesi che avevo posto nella formulazione della ricerca.</w:t>
      </w:r>
    </w:p>
    <w:p>
      <w:pPr>
        <w:spacing w:after="120" w:line="276"/>
        <w:jc w:val="both"/>
      </w:pPr>
      <w:r>
        <w:rPr>
          <w:rFonts w:ascii="Barlow Semi Condensed" w:cs="Barlow Semi Condensed" w:eastAsia="Barlow Semi Condensed" w:hAnsi="Barlow Semi Condensed"/>
          <w:sz w:val="24"/>
          <w:szCs w:val="24"/>
        </w:rPr>
        <w:t xml:space="preserve">Le fasi. Fase multilaterale preparatoria dal novembre 1972; negoziati dal 3 luglio 1973; Atto finale firmato a Helsinki il 1 agosto 1975 da trentacinque Stati.</w:t>
      </w:r>
    </w:p>
    <w:p>
      <w:pPr>
        <w:spacing w:after="120" w:line="276"/>
        <w:jc w:val="both"/>
      </w:pPr>
      <w:r>
        <w:rPr>
          <w:rFonts w:ascii="Barlow Semi Condensed" w:cs="Barlow Semi Condensed" w:eastAsia="Barlow Semi Condensed" w:hAnsi="Barlow Semi Condensed"/>
          <w:sz w:val="24"/>
          <w:szCs w:val="24"/>
        </w:rPr>
        <w:t xml:space="preserve">Le firme tedesche. Entrambe le Germanie parteciparono alla pari. Per la Repubblica Federale firmò il cancelliere Helmut Schmidt; per la Repubblica Democratica il segretario generale Erich Honecker.</w:t>
      </w:r>
    </w:p>
    <w:p>
      <w:pPr>
        <w:spacing w:after="120" w:line="276"/>
        <w:jc w:val="both"/>
      </w:pPr>
      <w:r>
        <w:rPr>
          <w:rFonts w:ascii="Barlow Semi Condensed" w:cs="Barlow Semi Condensed" w:eastAsia="Barlow Semi Condensed" w:hAnsi="Barlow Semi Condensed"/>
          <w:sz w:val="24"/>
          <w:szCs w:val="24"/>
        </w:rPr>
        <w:t xml:space="preserve">Il principio decisivo. Il principio terzo dell'Atto finale sancisce l'inviolabilità delle frontiere. La clausola sulla loro modificabilità per via pacifica — secondo cui le frontiere possono essere mutate solo con mezzi pacifici e per accordo — fu essenziale per la Repubblica Federale perché lasciava aperta la possibilità giuridica della riunificazione senza contraddire il riconoscimento dello status quo.</w:t>
      </w:r>
    </w:p>
    <w:p>
      <w:pPr>
        <w:spacing w:after="120" w:line="276"/>
        <w:jc w:val="both"/>
      </w:pPr>
      <w:r>
        <w:rPr>
          <w:rFonts w:ascii="Barlow Semi Condensed" w:cs="Barlow Semi Condensed" w:eastAsia="Barlow Semi Condensed" w:hAnsi="Barlow Semi Condensed"/>
          <w:sz w:val="24"/>
          <w:szCs w:val="24"/>
        </w:rPr>
        <w:t xml:space="preserve">E qui la correzione. Nella formulazione della ricerca avevo ipotizzato l'esistenza di una lettera tedesca sull'unità nazionale allegata all'Atto finale, sul modello di quelle allegate ai trattati del 1970 e del 1972. Tale lettera non risulta esistere.</w:t>
      </w:r>
    </w:p>
    <w:p>
      <w:pPr>
        <w:spacing w:after="120" w:line="276"/>
        <w:jc w:val="both"/>
      </w:pPr>
      <w:r>
        <w:rPr>
          <w:rFonts w:ascii="Barlow Semi Condensed" w:cs="Barlow Semi Condensed" w:eastAsia="Barlow Semi Condensed" w:hAnsi="Barlow Semi Condensed"/>
          <w:sz w:val="24"/>
          <w:szCs w:val="24"/>
        </w:rPr>
        <w:t xml:space="preserve">Le fonti attestano che il \</w:t>
      </w:r>
      <w:r>
        <w:rPr>
          <w:rFonts w:ascii="Barlow Semi Condensed" w:cs="Barlow Semi Condensed" w:eastAsia="Barlow Semi Condensed" w:hAnsi="Barlow Semi Condensed"/>
          <w:i/>
          <w:iCs/>
          <w:sz w:val="24"/>
          <w:szCs w:val="24"/>
        </w:rPr>
        <w:t xml:space="preserve">Brief zur deutschen Einheit\</w:t>
      </w:r>
      <w:r>
        <w:rPr>
          <w:rFonts w:ascii="Barlow Semi Condensed" w:cs="Barlow Semi Condensed" w:eastAsia="Barlow Semi Condensed" w:hAnsi="Barlow Semi Condensed"/>
          <w:sz w:val="24"/>
          <w:szCs w:val="24"/>
        </w:rPr>
        <w:t xml:space="preserve"> fu allegato al Trattato di Mosca del 1970 e al Trattato fondamentale del 1972, mentre a Helsinki lo strumento rilevante fu la clausola di modificabilità pacifica delle frontiere.</w:t>
      </w:r>
    </w:p>
    <w:p>
      <w:pPr>
        <w:spacing w:after="120" w:line="276"/>
        <w:jc w:val="both"/>
      </w:pPr>
      <w:r>
        <w:rPr>
          <w:rFonts w:ascii="Barlow Semi Condensed" w:cs="Barlow Semi Condensed" w:eastAsia="Barlow Semi Condensed" w:hAnsi="Barlow Semi Condensed"/>
          <w:sz w:val="24"/>
          <w:szCs w:val="24"/>
        </w:rPr>
        <w:t xml:space="preserve">Si registra dunque come esito parzialmente negativo: nessuna lettera tedesca allegata all'Atto finale è documentata; la funzione che avevo ipotizzato fu assolta dalla clausola, non da una lettera.</w:t>
      </w:r>
    </w:p>
    <w:p>
      <w:pPr>
        <w:spacing w:after="120" w:line="276"/>
        <w:jc w:val="both"/>
      </w:pPr>
      <w:r>
        <w:rPr>
          <w:rFonts w:ascii="Barlow Semi Condensed" w:cs="Barlow Semi Condensed" w:eastAsia="Barlow Semi Condensed" w:hAnsi="Barlow Semi Condensed"/>
          <w:sz w:val="24"/>
          <w:szCs w:val="24"/>
        </w:rPr>
        <w:t xml:space="preserve">La correzione va notata anche per il metodo che la produce. Avevo formulato l'ipotesi con la clausola \</w:t>
      </w:r>
      <w:r>
        <w:rPr>
          <w:rFonts w:ascii="Barlow Semi Condensed" w:cs="Barlow Semi Condensed" w:eastAsia="Barlow Semi Condensed" w:hAnsi="Barlow Semi Condensed"/>
          <w:i/>
          <w:iCs/>
          <w:sz w:val="24"/>
          <w:szCs w:val="24"/>
        </w:rPr>
        <w:t xml:space="preserve">se esistente\</w:t>
      </w:r>
      <w:r>
        <w:rPr>
          <w:rFonts w:ascii="Barlow Semi Condensed" w:cs="Barlow Semi Condensed" w:eastAsia="Barlow Semi Condensed" w:hAnsi="Barlow Semi Condensed"/>
          <w:sz w:val="24"/>
          <w:szCs w:val="24"/>
        </w:rPr>
        <w:t xml:space="preserve">, e l'ipotesi è caduta. È il funzionamento corretto di una domanda di ricerca: essa deve poter tornare negativa, e questa lo ha fatto.</w:t>
      </w:r>
    </w:p>
    <w:p>
      <w:pPr>
        <w:spacing w:after="120" w:line="276"/>
        <w:jc w:val="both"/>
      </w:pPr>
      <w:r>
        <w:rPr>
          <w:rFonts w:ascii="Barlow Semi Condensed" w:cs="Barlow Semi Condensed" w:eastAsia="Barlow Semi Condensed" w:hAnsi="Barlow Semi Condensed"/>
          <w:sz w:val="24"/>
          <w:szCs w:val="24"/>
        </w:rPr>
        <w:t xml:space="preserve">La firma italiana. Per l'Italia firmò Aldo Moro, nella duplice qualità di presidente del Consiglio e di presidente di turno della Comunità europea. Una fonte giornalistica qualificata riporta il suo intervento: i Nove, per le materie di competenza comunitaria, avevano esaminato le conclusioni della Conferenza e le accettavano, di conseguenza firmerò l'Atto finale nella mia duplice qualità.</w:t>
      </w:r>
    </w:p>
    <w:p>
      <w:pPr>
        <w:spacing w:after="120" w:line="276"/>
        <w:jc w:val="both"/>
      </w:pPr>
      <w:r>
        <w:rPr>
          <w:rFonts w:ascii="Barlow Semi Condensed" w:cs="Barlow Semi Condensed" w:eastAsia="Barlow Semi Condensed" w:hAnsi="Barlow Semi Condensed"/>
          <w:sz w:val="24"/>
          <w:szCs w:val="24"/>
        </w:rPr>
        <w:t xml:space="preserve">Un nome va registrato perché è quello dell'operatore. L'ambasciatore Luigi Vittorio Ferraris fu tessitore per l'Italia di quella Conferenza.</w:t>
      </w:r>
    </w:p>
    <w:p>
      <w:pPr>
        <w:spacing w:after="120" w:line="276"/>
        <w:jc w:val="both"/>
      </w:pPr>
      <w:r>
        <w:rPr>
          <w:rFonts w:ascii="Barlow Semi Condensed" w:cs="Barlow Semi Condensed" w:eastAsia="Barlow Semi Condensed" w:hAnsi="Barlow Semi Condensed"/>
          <w:sz w:val="24"/>
          <w:szCs w:val="24"/>
        </w:rPr>
        <w:t xml:space="preserve">La firma vaticana. Anche la Santa Sede fu firmataria, avendo perseguito l'inserimento delle clausole sui diritti umani e sulla libertà religiosa.</w:t>
      </w:r>
    </w:p>
    <w:p>
      <w:pPr>
        <w:spacing w:after="120" w:line="276"/>
        <w:jc w:val="both"/>
      </w:pPr>
      <w:r>
        <w:rPr>
          <w:rFonts w:ascii="Barlow Semi Condensed" w:cs="Barlow Semi Condensed" w:eastAsia="Barlow Semi Condensed" w:hAnsi="Barlow Semi Condensed"/>
          <w:sz w:val="24"/>
          <w:szCs w:val="24"/>
        </w:rPr>
        <w:t xml:space="preserve">La qualificazione della convergenza, e va apposta con la consueta precisione. La convergenza fra posizione italiana, posizione comunitaria e posizione della Santa Sede a Helsinki è documentata come convergenza di obiettivo e comunanza di ambiente diplomatico, non come coordinamento formale fra Roma politica e Roma pontificia, che le fonti non attestano.</w:t>
      </w:r>
    </w:p>
    <w:p>
      <w:pPr>
        <w:spacing w:after="120" w:line="276"/>
        <w:jc w:val="both"/>
      </w:pPr>
      <w:r>
        <w:rPr>
          <w:rFonts w:ascii="Barlow Semi Condensed" w:cs="Barlow Semi Condensed" w:eastAsia="Barlow Semi Condensed" w:hAnsi="Barlow Semi Condensed"/>
          <w:sz w:val="24"/>
          <w:szCs w:val="24"/>
        </w:rPr>
        <w:t xml:space="preserve">Un rilievo comparativo chiude il capitolo. Nella settima ricognizione si era osservato che la Santa Sede ottenne a Helsinki la libertà religiosa guardando a Oriente, e che non risultava averla invocata verso Ankara. Qui va aggiunto il complemento tedesco: la medesima Conferenza fornì alla Repubblica Federale la clausola che teneva aperta la riunificazione, e alla Santa Sede il principio che teneva aperta la libertà religiosa nei Paesi del blocco. Due soggetti diversi ottennero dal medesimo atto due clausole di apertura verso il medesimo Oriente.</w:t>
      </w:r>
    </w:p>
    <w:p>
      <w:pPr>
        <w:pStyle w:val="Heading2"/>
        <w:spacing w:after="100" w:before="200"/>
      </w:pPr>
      <w:r>
        <w:rPr>
          <w:rFonts w:ascii="Barlow Semi Condensed" w:cs="Barlow Semi Condensed" w:eastAsia="Barlow Semi Condensed" w:hAnsi="Barlow Semi Condensed"/>
          <w:sz w:val="24"/>
          <w:szCs w:val="24"/>
        </w:rPr>
        <w:t xml:space="preserve">Capitolo undicesimo — Il versante RAF e una correzione di data nella tavola del progetto</w:t>
      </w:r>
    </w:p>
    <w:p>
      <w:pPr>
        <w:spacing w:after="120" w:line="276"/>
        <w:jc w:val="both"/>
      </w:pPr>
      <w:r>
        <w:rPr>
          <w:rFonts w:ascii="Barlow Semi Condensed" w:cs="Barlow Semi Condensed" w:eastAsia="Barlow Semi Condensed" w:hAnsi="Barlow Semi Condensed"/>
          <w:sz w:val="24"/>
          <w:szCs w:val="24"/>
        </w:rPr>
        <w:t xml:space="preserve">Il capitolo tocca una voce aperta della tavola delle acquisizioni del progetto, e ne corregge un dato.</w:t>
      </w:r>
    </w:p>
    <w:p>
      <w:pPr>
        <w:spacing w:after="120" w:line="276"/>
        <w:jc w:val="both"/>
      </w:pPr>
      <w:r>
        <w:rPr>
          <w:rFonts w:ascii="Barlow Semi Condensed" w:cs="Barlow Semi Condensed" w:eastAsia="Barlow Semi Condensed" w:hAnsi="Barlow Semi Condensed"/>
          <w:sz w:val="24"/>
          <w:szCs w:val="24"/>
        </w:rPr>
        <w:t xml:space="preserve">La correzione, enunciata subito. Willy Peter Stoll, militante della Rote Armee Fraktion, nato a Stoccarda il 12 giugno 1950, fu ucciso dalla polizia a Düsseldorf il 6 settembre 1978, non l'11 settembre. La \</w:t>
      </w:r>
      <w:r>
        <w:rPr>
          <w:rFonts w:ascii="Barlow Semi Condensed" w:cs="Barlow Semi Condensed" w:eastAsia="Barlow Semi Condensed" w:hAnsi="Barlow Semi Condensed"/>
          <w:i/>
          <w:iCs/>
          <w:sz w:val="24"/>
          <w:szCs w:val="24"/>
        </w:rPr>
        <w:t xml:space="preserve">Stuttgarter Zeitung\</w:t>
      </w:r>
      <w:r>
        <w:rPr>
          <w:rFonts w:ascii="Barlow Semi Condensed" w:cs="Barlow Semi Condensed" w:eastAsia="Barlow Semi Condensed" w:hAnsi="Barlow Semi Condensed"/>
          <w:sz w:val="24"/>
          <w:szCs w:val="24"/>
        </w:rPr>
        <w:t xml:space="preserve"> colloca l'episodio la sera del 6 settembre 1978 nel ristorante cinese Shanghai di Düsseldorf.</w:t>
      </w:r>
    </w:p>
    <w:p>
      <w:pPr>
        <w:spacing w:after="120" w:line="276"/>
        <w:jc w:val="both"/>
      </w:pPr>
      <w:r>
        <w:rPr>
          <w:rFonts w:ascii="Barlow Semi Condensed" w:cs="Barlow Semi Condensed" w:eastAsia="Barlow Semi Condensed" w:hAnsi="Barlow Semi Condensed"/>
          <w:sz w:val="24"/>
          <w:szCs w:val="24"/>
        </w:rPr>
        <w:t xml:space="preserve">La voce quindicesima della tavola del memorandum Moro reca dunque una data errata, e va emendata.</w:t>
      </w:r>
    </w:p>
    <w:p>
      <w:pPr>
        <w:spacing w:after="120" w:line="276"/>
        <w:jc w:val="both"/>
      </w:pPr>
      <w:r>
        <w:rPr>
          <w:rFonts w:ascii="Barlow Semi Condensed" w:cs="Barlow Semi Condensed" w:eastAsia="Barlow Semi Condensed" w:hAnsi="Barlow Semi Condensed"/>
          <w:sz w:val="24"/>
          <w:szCs w:val="24"/>
        </w:rPr>
        <w:t xml:space="preserve">Ciò che si afferma nei materiali italiani, con il suo statuto. Nei materiali attribuiti alle indagini italiane e riportati in ambito parlamentare e pubblicistico si afferma che il collaboratore di giustizia Patrizio Peci, ex membro delle Brigate Rosse, identificò Stoll come il militante della RAF che si recava in Italia per incontrare Mario Moretti, e che documenti in possesso di Stoll confermerebbero i contatti fra RAF e Brigate Rosse.</w:t>
      </w:r>
    </w:p>
    <w:p>
      <w:pPr>
        <w:spacing w:after="120" w:line="276"/>
        <w:jc w:val="both"/>
      </w:pPr>
      <w:r>
        <w:rPr>
          <w:rFonts w:ascii="Barlow Semi Condensed" w:cs="Barlow Semi Condensed" w:eastAsia="Barlow Semi Condensed" w:hAnsi="Barlow Semi Condensed"/>
          <w:sz w:val="24"/>
          <w:szCs w:val="24"/>
        </w:rPr>
        <w:t xml:space="preserve">La qualificazione è vincolante e va apposta con precisione. Si tratta di dichiarazioni di un collaboratore riportate in sede investigativa e riprese in atti parlamentari e nella pubblicistica, non di accertamenti definitivi di sentenza. E l'appartenenza di Stoll alla RAF non costituisce, di per sé, prova di una condotta della RAF nel sequestro Moro.</w:t>
      </w:r>
    </w:p>
    <w:p>
      <w:pPr>
        <w:spacing w:after="120" w:line="276"/>
        <w:jc w:val="both"/>
      </w:pPr>
      <w:r>
        <w:rPr>
          <w:rFonts w:ascii="Barlow Semi Condensed" w:cs="Barlow Semi Condensed" w:eastAsia="Barlow Semi Condensed" w:hAnsi="Barlow Semi Condensed"/>
          <w:sz w:val="24"/>
          <w:szCs w:val="24"/>
        </w:rPr>
        <w:t xml:space="preserve">Che cosa la documentazione parlamentare attesta. Gli atti della Commissione Moro attestano l'esistenza di un filone d'indagine sui possibili contatti operativi fra Brigate Rosse e RAF nel periodo immediatamente precedente il sequestro, incluso il tema di un presunto infiltrato dei servizi tedeschi a Milano.</w:t>
      </w:r>
    </w:p>
    <w:p>
      <w:pPr>
        <w:spacing w:after="120" w:line="276"/>
        <w:jc w:val="both"/>
      </w:pPr>
      <w:r>
        <w:rPr>
          <w:rFonts w:ascii="Barlow Semi Condensed" w:cs="Barlow Semi Condensed" w:eastAsia="Barlow Semi Condensed" w:hAnsi="Barlow Semi Condensed"/>
          <w:sz w:val="24"/>
          <w:szCs w:val="24"/>
        </w:rPr>
        <w:t xml:space="preserve">Che cosa non è sostenuto.\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Le tesi circolanti nella pubblicistica su una eterodirezione del sequestro Moro, non trovando riscontro nelle fonti primarie giudiziarie, vanno qualificate come non sostenute.</w:t>
      </w:r>
    </w:p>
    <w:p>
      <w:pPr>
        <w:spacing w:after="120" w:line="276"/>
        <w:jc w:val="both"/>
      </w:pPr>
      <w:r>
        <w:rPr>
          <w:rFonts w:ascii="Barlow Semi Condensed" w:cs="Barlow Semi Condensed" w:eastAsia="Barlow Semi Condensed" w:hAnsi="Barlow Semi Condensed"/>
          <w:sz w:val="24"/>
          <w:szCs w:val="24"/>
        </w:rPr>
        <w:t xml:space="preserve">Il precedente immediato, per date. Hanns Martin Schleyer, presidente della Confindustria tedesca, fu rapito a Colonia il 5 settembre 1977 dal commando \</w:t>
      </w:r>
      <w:r>
        <w:rPr>
          <w:rFonts w:ascii="Barlow Semi Condensed" w:cs="Barlow Semi Condensed" w:eastAsia="Barlow Semi Condensed" w:hAnsi="Barlow Semi Condensed"/>
          <w:i/>
          <w:iCs/>
          <w:sz w:val="24"/>
          <w:szCs w:val="24"/>
        </w:rPr>
        <w:t xml:space="preserve">Siegfried Hausner\</w:t>
      </w:r>
      <w:r>
        <w:rPr>
          <w:rFonts w:ascii="Barlow Semi Condensed" w:cs="Barlow Semi Condensed" w:eastAsia="Barlow Semi Condensed" w:hAnsi="Barlow Semi Condensed"/>
          <w:sz w:val="24"/>
          <w:szCs w:val="24"/>
        </w:rPr>
        <w:t xml:space="preserve"> della RAF e ucciso in ottobre. La linea tedesca della fermezza fu gestita da un Krisenstab e culminò nel blitz di Mogadiscio del 18 ottobre 1977.</w:t>
      </w:r>
    </w:p>
    <w:p>
      <w:pPr>
        <w:spacing w:after="120" w:line="276"/>
        <w:jc w:val="both"/>
      </w:pPr>
      <w:r>
        <w:rPr>
          <w:rFonts w:ascii="Barlow Semi Condensed" w:cs="Barlow Semi Condensed" w:eastAsia="Barlow Semi Condensed" w:hAnsi="Barlow Semi Condensed"/>
          <w:sz w:val="24"/>
          <w:szCs w:val="24"/>
        </w:rPr>
        <w:t xml:space="preserve">Il sequestro Moro si colloca fra il 16 marzo e il 9 maggio 1978 — dunque a cinque mesi dalla conclusione del caso Schleyer.</w:t>
      </w:r>
    </w:p>
    <w:p>
      <w:pPr>
        <w:spacing w:after="120" w:line="276"/>
        <w:jc w:val="both"/>
      </w:pPr>
      <w:r>
        <w:rPr>
          <w:rFonts w:ascii="Barlow Semi Condensed" w:cs="Barlow Semi Condensed" w:eastAsia="Barlow Semi Condensed" w:hAnsi="Barlow Semi Condensed"/>
          <w:sz w:val="24"/>
          <w:szCs w:val="24"/>
        </w:rPr>
        <w:t xml:space="preserve">Il rilievo cronologico va enunciato senza inferirne alcun nesso. La linea della fermezza tedesca era stata applicata e aveva prodotto la morte dell'ostaggio cinque mesi prima che il sequestro italiano cominciasse. Che questo abbia influito sulla decisione italiana è ipotesi storiografica corrente e non accertamento; le fonti reperite non la documentano come nesso.</w:t>
      </w:r>
    </w:p>
    <w:p>
      <w:pPr>
        <w:spacing w:after="120" w:line="276"/>
        <w:jc w:val="both"/>
      </w:pPr>
      <w:r>
        <w:rPr>
          <w:rFonts w:ascii="Barlow Semi Condensed" w:cs="Barlow Semi Condensed" w:eastAsia="Barlow Semi Condensed" w:hAnsi="Barlow Semi Condensed"/>
          <w:sz w:val="24"/>
          <w:szCs w:val="24"/>
        </w:rPr>
        <w:t xml:space="preserve">Che cosa resta aperto. La cooperazione italo-tedesca in materia di terrorismo durante il sequestro Moro, con il ruolo del Bundeskriminalamt e le offerte di collaborazione tedesca, non è accertata dalle fonti edite reperite. Le sedi sono gli atti della Commissione parlamentare d'inchiesta e gli archivi del Bundeskriminalamt.</w:t>
      </w:r>
    </w:p>
    <w:p>
      <w:pPr>
        <w:spacing w:after="120" w:line="276"/>
        <w:jc w:val="both"/>
      </w:pPr>
      <w:r>
        <w:rPr>
          <w:rFonts w:ascii="Barlow Semi Condensed" w:cs="Barlow Semi Condensed" w:eastAsia="Barlow Semi Condensed" w:hAnsi="Barlow Semi Condensed"/>
          <w:sz w:val="24"/>
          <w:szCs w:val="24"/>
        </w:rPr>
        <w:t xml:space="preserve">Il capitolo è più breve degli altri e ne dichiara la ragione: su questa materia il materiale edito è insufficiente, e supplirvi con l'inferenza sarebbe esattamente l'errore che la disciplina del progetto vieta.</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delle nove ricognizioni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di rendimento massimo. Il testo integrale della comunicazione vaticana del 28 giugno 1972, quella che secondo Hummel si riferì espressamente al trattato tedesco-polacco. È il documento che regge l'intero accertamento di questo studio, e finora se ne conosce il contenuto per via di citazione storiografica. Sedi: Acta Apostolicae Sedis, volume sessantaquattresimo del 1972, e i volumi di Hansjakob Stehle, \</w:t>
      </w:r>
      <w:r>
        <w:rPr>
          <w:rFonts w:ascii="Barlow Semi Condensed" w:cs="Barlow Semi Condensed" w:eastAsia="Barlow Semi Condensed" w:hAnsi="Barlow Semi Condensed"/>
          <w:i/>
          <w:iCs/>
          <w:sz w:val="24"/>
          <w:szCs w:val="24"/>
        </w:rPr>
        <w:t xml:space="preserve">Die Ostpolitik des Vatikans\</w:t>
      </w:r>
      <w:r>
        <w:rPr>
          <w:rFonts w:ascii="Barlow Semi Condensed" w:cs="Barlow Semi Condensed" w:eastAsia="Barlow Semi Condensed" w:hAnsi="Barlow Semi Condensed"/>
          <w:sz w:val="24"/>
          <w:szCs w:val="24"/>
        </w:rPr>
        <w:t xml:space="preserve">, Monaco 1975, di Andrea Riccardi, e la raccolta curata da Alberto Melloni, \</w:t>
      </w:r>
      <w:r>
        <w:rPr>
          <w:rFonts w:ascii="Barlow Semi Condensed" w:cs="Barlow Semi Condensed" w:eastAsia="Barlow Semi Condensed" w:hAnsi="Barlow Semi Condensed"/>
          <w:i/>
          <w:iCs/>
          <w:sz w:val="24"/>
          <w:szCs w:val="24"/>
        </w:rPr>
        <w:t xml:space="preserve">Il filo sottile\</w:t>
      </w:r>
      <w:r>
        <w:rPr>
          <w:rFonts w:ascii="Barlow Semi Condensed" w:cs="Barlow Semi Condensed" w:eastAsia="Barlow Semi Condensed" w:hAnsi="Barlow Semi Condensed"/>
          <w:sz w:val="24"/>
          <w:szCs w:val="24"/>
        </w:rPr>
        <w:t xml:space="preserve">, il Mulino 2006. Per il versante polacco: la raccolta curata da Wojciech Kucharski, \</w:t>
      </w:r>
      <w:r>
        <w:rPr>
          <w:rFonts w:ascii="Barlow Semi Condensed" w:cs="Barlow Semi Condensed" w:eastAsia="Barlow Semi Condensed" w:hAnsi="Barlow Semi Condensed"/>
          <w:i/>
          <w:iCs/>
          <w:sz w:val="24"/>
          <w:szCs w:val="24"/>
        </w:rPr>
        <w:t xml:space="preserve">Droga do stabilizacji polskiej administracji kościelnej na Ziemiach Zachodnich i Północnych po II wojnie światowej\</w:t>
      </w:r>
      <w:r>
        <w:rPr>
          <w:rFonts w:ascii="Barlow Semi Condensed" w:cs="Barlow Semi Condensed" w:eastAsia="Barlow Semi Condensed" w:hAnsi="Barlow Semi Condensed"/>
          <w:sz w:val="24"/>
          <w:szCs w:val="24"/>
        </w:rPr>
        <w:t xml:space="preserve">, Breslavia 2013. Condizione di chiusura: la lettura del testo integrale della comunicazione.</w:t>
      </w:r>
    </w:p>
    <w:p>
      <w:pPr>
        <w:spacing w:after="120" w:line="276"/>
        <w:jc w:val="both"/>
      </w:pPr>
      <w:r>
        <w:rPr>
          <w:rFonts w:ascii="Barlow Semi Condensed" w:cs="Barlow Semi Condensed" w:eastAsia="Barlow Semi Condensed" w:hAnsi="Barlow Semi Condensed"/>
          <w:sz w:val="24"/>
          <w:szCs w:val="24"/>
        </w:rPr>
        <w:t xml:space="preserve">Seconda voce. La posizione italiana sui cinque atti della Ostpolitik e gli incontri di Moro con Scheel e con Brandt, con data e sede. Sedi: Archivio Storico Diplomatico, serie Germania; Akten zur Auswärtigen Politik der Bundesrepublik Deutschland; Documenti Diplomatici Italiani. Condizione: spoglio, tenuto conto dell'esclusione dei Telegrammi 1942-1970.</w:t>
      </w:r>
    </w:p>
    <w:p>
      <w:pPr>
        <w:spacing w:after="120" w:line="276"/>
        <w:jc w:val="both"/>
      </w:pPr>
      <w:r>
        <w:rPr>
          <w:rFonts w:ascii="Barlow Semi Condensed" w:cs="Barlow Semi Condensed" w:eastAsia="Barlow Semi Condensed" w:hAnsi="Barlow Semi Condensed"/>
          <w:sz w:val="24"/>
          <w:szCs w:val="24"/>
        </w:rPr>
        <w:t xml:space="preserve">Terza voce. La tesi di dottorato di Filippo Triola sulle relazioni italo-tedesche 1963-1972, discussa all'Università di Bologna, che copre esattamente il quadriennio che il volume di Fasanaro lascia in ombra.</w:t>
      </w:r>
    </w:p>
    <w:p>
      <w:pPr>
        <w:spacing w:after="120" w:line="276"/>
        <w:jc w:val="both"/>
      </w:pPr>
      <w:r>
        <w:rPr>
          <w:rFonts w:ascii="Barlow Semi Condensed" w:cs="Barlow Semi Condensed" w:eastAsia="Barlow Semi Condensed" w:hAnsi="Barlow Semi Condensed"/>
          <w:sz w:val="24"/>
          <w:szCs w:val="24"/>
        </w:rPr>
        <w:t xml:space="preserve">Quarta voce. L'eventuale posizione italiana sulla riorganizzazione diocesana del 1972. Sedi: Documenti Diplomatici Italiani; Archivio Storico Diplomatico, serie Santa Sede; carte dell'Ambasciata d'Italia presso la Santa Sede. Si segnala che l'esito atteso è negativo e coerente: la materia fu trilaterale — Santa Sede, Polonia, Repubblica Federale — e priva di interesse giuridico italiano.</w:t>
      </w:r>
    </w:p>
    <w:p>
      <w:pPr>
        <w:spacing w:after="120" w:line="276"/>
        <w:jc w:val="both"/>
      </w:pPr>
      <w:r>
        <w:rPr>
          <w:rFonts w:ascii="Barlow Semi Condensed" w:cs="Barlow Semi Condensed" w:eastAsia="Barlow Semi Condensed" w:hAnsi="Barlow Semi Condensed"/>
          <w:sz w:val="24"/>
          <w:szCs w:val="24"/>
        </w:rPr>
        <w:t xml:space="preserve">Quinta voce. La posizione italiana sulla dottrina Hallstein e sul suo superamento. Sede: archivi diplomatici.</w:t>
      </w:r>
    </w:p>
    <w:p>
      <w:pPr>
        <w:spacing w:after="120" w:line="276"/>
        <w:jc w:val="both"/>
      </w:pPr>
      <w:r>
        <w:rPr>
          <w:rFonts w:ascii="Barlow Semi Condensed" w:cs="Barlow Semi Condensed" w:eastAsia="Barlow Semi Condensed" w:hAnsi="Barlow Semi Condensed"/>
          <w:sz w:val="24"/>
          <w:szCs w:val="24"/>
        </w:rPr>
        <w:t xml:space="preserve">Sesta voce. La cooperazione italo-tedesca sul terrorismo durante il sequestro Moro. Sedi: atti della Commissione parlamentare d'inchiesta; archivi del Bundeskriminalamt.</w:t>
      </w:r>
    </w:p>
    <w:p>
      <w:pPr>
        <w:spacing w:after="120" w:line="276"/>
        <w:jc w:val="both"/>
      </w:pPr>
      <w:r>
        <w:rPr>
          <w:rFonts w:ascii="Barlow Semi Condensed" w:cs="Barlow Semi Condensed" w:eastAsia="Barlow Semi Condensed" w:hAnsi="Barlow Semi Condensed"/>
          <w:sz w:val="24"/>
          <w:szCs w:val="24"/>
        </w:rPr>
        <w:t xml:space="preserve">Settima voce. Le carte del cardinale Döpfner, per accertare quando egli apprese dell'atto del 1972 e come reagì. Sedi: archivio della Conferenza episcopale tedesca; archivio dell'arcidiocesi di Monaco.</w:t>
      </w:r>
    </w:p>
    <w:p>
      <w:pPr>
        <w:pStyle w:val="Heading2"/>
        <w:spacing w:after="100" w:before="200"/>
      </w:pPr>
      <w:r>
        <w:rPr>
          <w:rFonts w:ascii="Barlow Semi Condensed" w:cs="Barlow Semi Condensed" w:eastAsia="Barlow Semi Condensed" w:hAnsi="Barlow Semi Condensed"/>
          <w:sz w:val="24"/>
          <w:szCs w:val="24"/>
        </w:rPr>
        <w:t xml:space="preserve">Nota sul bilancio delle nove ricognizioni, che chiude questo studio.</w:t>
      </w:r>
    </w:p>
    <w:p>
      <w:pPr>
        <w:spacing w:after="120" w:line="276"/>
        <w:jc w:val="both"/>
      </w:pPr>
      <w:r>
        <w:rPr>
          <w:rFonts w:ascii="Barlow Semi Condensed" w:cs="Barlow Semi Condensed" w:eastAsia="Barlow Semi Condensed" w:hAnsi="Barlow Semi Condensed"/>
          <w:sz w:val="24"/>
          <w:szCs w:val="24"/>
        </w:rPr>
        <w:t xml:space="preserve">Nove ricognizioni hanno percorso l'attività ministeriale di Moro verso Spagna, Portogallo, Grecia, Cipro, Turchia e Germania, incrociandola con la Santa Sede e con l'Opus Dei.</w:t>
      </w:r>
    </w:p>
    <w:p>
      <w:pPr>
        <w:spacing w:after="120" w:line="276"/>
        <w:jc w:val="both"/>
      </w:pPr>
      <w:r>
        <w:rPr>
          <w:rFonts w:ascii="Barlow Semi Condensed" w:cs="Barlow Semi Condensed" w:eastAsia="Barlow Semi Condensed" w:hAnsi="Barlow Semi Condensed"/>
          <w:sz w:val="24"/>
          <w:szCs w:val="24"/>
        </w:rPr>
        <w:t xml:space="preserve">Le prime otto avevano prodotto una conclusione costante: il governo italiano non compare come attore documentato. Questa nona la conferma quanto all'Italia — la posizione italiana sui cinque atti della Ostpolitik resta da reperire, e il riconoscimento della Repubblica Democratica cadde fra i due mandati di Moro — ma produce, sull'altro asse, un risultato che nessuna delle precedenti aveva prodotto.</w:t>
      </w:r>
    </w:p>
    <w:p>
      <w:pPr>
        <w:spacing w:after="120" w:line="276"/>
        <w:jc w:val="both"/>
      </w:pPr>
      <w:r>
        <w:rPr>
          <w:rFonts w:ascii="Barlow Semi Condensed" w:cs="Barlow Semi Condensed" w:eastAsia="Barlow Semi Condensed" w:hAnsi="Barlow Semi Condensed"/>
          <w:sz w:val="24"/>
          <w:szCs w:val="24"/>
        </w:rPr>
        <w:t xml:space="preserve">Per la prima volta in nove studi è documentato un nesso e non una coincidenza. La Santa Sede attese la ratifica del Trattato di Varsavia prima di erigere le diocesi, e lo attese dichiaratamente: la consuenza era stata comunicata a Bonn, la comunicazione di accompagnamento si riferì espressamente al trattato, e la reazione romana giunse entro tre settimane.</w:t>
      </w:r>
    </w:p>
    <w:p>
      <w:pPr>
        <w:spacing w:after="120" w:line="276"/>
        <w:jc w:val="both"/>
      </w:pPr>
      <w:r>
        <w:rPr>
          <w:rFonts w:ascii="Barlow Semi Condensed" w:cs="Barlow Semi Condensed" w:eastAsia="Barlow Semi Condensed" w:hAnsi="Barlow Semi Condensed"/>
          <w:sz w:val="24"/>
          <w:szCs w:val="24"/>
        </w:rPr>
        <w:t xml:space="preserve">E il modo in cui lo fece è la cosa più istruttiva. Nel testo canonico non compare la parola trattato. Compare soltanto il popolo cristiano da reggere e la richiesta dei vescovi polacchi. La Santa Sede fece ciò che il trattato rendeva possibile, lo disse alla stampa, e non lo scrisse nell'atto — così da non costituire essa stessa un riconoscimento politico di confine.</w:t>
      </w:r>
    </w:p>
    <w:p>
      <w:pPr>
        <w:spacing w:after="120" w:line="276"/>
        <w:jc w:val="both"/>
      </w:pPr>
      <w:r>
        <w:rPr>
          <w:rFonts w:ascii="Barlow Semi Condensed" w:cs="Barlow Semi Condensed" w:eastAsia="Barlow Semi Condensed" w:hAnsi="Barlow Semi Condensed"/>
          <w:sz w:val="24"/>
          <w:szCs w:val="24"/>
        </w:rPr>
        <w:t xml:space="preserve">Ne discende la lezione che questo nono studio aggiunge alle precedenti, e che è di ordine diverso.</w:t>
      </w:r>
    </w:p>
    <w:p>
      <w:pPr>
        <w:spacing w:after="120" w:line="276"/>
        <w:jc w:val="both"/>
      </w:pPr>
      <w:r>
        <w:rPr>
          <w:rFonts w:ascii="Barlow Semi Condensed" w:cs="Barlow Semi Condensed" w:eastAsia="Barlow Semi Condensed" w:hAnsi="Barlow Semi Condensed"/>
          <w:sz w:val="24"/>
          <w:szCs w:val="24"/>
        </w:rPr>
        <w:t xml:space="preserve">Le prime otto avevano insegnato che l'assenza di traccia non è l'assenza dell'atto, e che vi sono assenze che non sono lacune.</w:t>
      </w:r>
    </w:p>
    <w:p>
      <w:pPr>
        <w:spacing w:after="120" w:line="276"/>
        <w:jc w:val="both"/>
      </w:pPr>
      <w:r>
        <w:rPr>
          <w:rFonts w:ascii="Barlow Semi Condensed" w:cs="Barlow Semi Condensed" w:eastAsia="Barlow Semi Condensed" w:hAnsi="Barlow Semi Condensed"/>
          <w:sz w:val="24"/>
          <w:szCs w:val="24"/>
        </w:rPr>
        <w:t xml:space="preserve">Questa insegna che vi sono nessi che i documenti principali tacciono deliberatamente, e che stanno scritti soltanto negli atti accessori. Chi avesse letto la sola costituzione apostolica avrebbe concluso che l'erezione delle quattro diocesi fu un atto pastorale. Chi legge la comunicazione che l'accompagnava trova il trattato.</w:t>
      </w:r>
    </w:p>
    <w:p>
      <w:pPr>
        <w:spacing w:after="120" w:line="276"/>
        <w:jc w:val="both"/>
      </w:pPr>
      <w:r>
        <w:rPr>
          <w:rFonts w:ascii="Barlow Semi Condensed" w:cs="Barlow Semi Condensed" w:eastAsia="Barlow Semi Condensed" w:hAnsi="Barlow Semi Condensed"/>
          <w:sz w:val="24"/>
          <w:szCs w:val="24"/>
        </w:rPr>
        <w:t xml:space="preserve">Cercare il nesso nel documento principale, e non trovandovelo concludere che non esiste, è un errore simmetrico a quello di inferirlo dalla contemporaneità. Le nove ricognizioni consegnano insieme questa doppia disciplina, e la seconda metà è la più difficile.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 · Moro, Le Due Germanie E La Santa Sede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 6.253 parole in 9 sezioni; la più ampia è §9 Altre sezioni, con 5.313.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 158 paragrafi in 9 sezioni, 18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XI — Moro, La Germania E L'Opus Dei</w:t>
      </w:r>
    </w:p>
    <w:p>
      <w:pPr>
        <w:pStyle w:val="Heading1"/>
        <w:spacing w:after="120" w:before="240"/>
      </w:pPr>
      <w:r>
        <w:rPr>
          <w:rFonts w:ascii="Barlow Semi Condensed" w:cs="Barlow Semi Condensed" w:eastAsia="Barlow Semi Condensed" w:hAnsi="Barlow Semi Condensed"/>
          <w:sz w:val="24"/>
          <w:szCs w:val="24"/>
        </w:rPr>
        <w:t xml:space="preserve">MORO, LA GERMANIA E L'OPUS DEI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Questa ricognizione rivede e amplia `</w:t>
      </w:r>
      <w:r>
        <w:rPr>
          <w:rFonts w:ascii="Barlow Semi Condensed" w:cs="Barlow Semi Condensed" w:eastAsia="Barlow Semi Condensed" w:hAnsi="Barlow Semi Condensed"/>
          <w:i w:val="false"/>
          <w:iCs w:val="false"/>
          <w:sz w:val="24"/>
          <w:szCs w:val="24"/>
        </w:rPr>
        <w:t xml:space="preserve">../originali/germania-opus-dei-1952-1985.md</w:t>
      </w:r>
      <w:r>
        <w:rPr>
          <w:rFonts w:ascii="Barlow Semi Condensed" w:cs="Barlow Semi Condensed" w:eastAsia="Barlow Semi Condensed" w:hAnsi="Barlow Semi Condensed"/>
          <w:i w:val="false"/>
          <w:iCs w:val="false"/>
          <w:sz w:val="24"/>
          <w:szCs w:val="24"/>
        </w:rPr>
        <w:t xml:space="preserve">`, che resta nel corpus e non viene sostituito. La sovrapposizione misurata è del </w:t>
      </w:r>
      <w:r>
        <w:rPr>
          <w:rFonts w:ascii="Barlow Semi Condensed" w:cs="Barlow Semi Condensed" w:eastAsia="Barlow Semi Condensed" w:hAnsi="Barlow Semi Condensed"/>
          <w:b/>
          <w:bCs/>
          <w:i w:val="false"/>
          <w:iCs w:val="false"/>
          <w:sz w:val="24"/>
          <w:szCs w:val="24"/>
        </w:rPr>
        <w:t xml:space="preserve">14,7 per cento</w:t>
      </w:r>
      <w:r>
        <w:rPr>
          <w:rFonts w:ascii="Barlow Semi Condensed" w:cs="Barlow Semi Condensed" w:eastAsia="Barlow Semi Condensed" w:hAnsi="Barlow Semi Condensed"/>
          <w:i w:val="false"/>
          <w:iCs w:val="false"/>
          <w:sz w:val="24"/>
          <w:szCs w:val="24"/>
        </w:rPr>
        <w:t xml:space="preserve"> degli 8-grammi: il resto è materiale nuovo. Dove le due versioni divergono, </w:t>
      </w:r>
      <w:r>
        <w:rPr>
          <w:rFonts w:ascii="Barlow Semi Condensed" w:cs="Barlow Semi Condensed" w:eastAsia="Barlow Semi Condensed" w:hAnsi="Barlow Semi Condensed"/>
          <w:b/>
          <w:bCs/>
          <w:i w:val="false"/>
          <w:iCs w:val="false"/>
          <w:sz w:val="24"/>
          <w:szCs w:val="24"/>
        </w:rPr>
        <w:t xml:space="preserve">valgono entrambe e la divergenza si legge</w:t>
      </w:r>
      <w:r>
        <w:rPr>
          <w:rFonts w:ascii="Barlow Semi Condensed" w:cs="Barlow Semi Condensed" w:eastAsia="Barlow Semi Condensed" w:hAnsi="Barlow Semi Condensed"/>
          <w:i w:val="false"/>
          <w:iCs w:val="false"/>
          <w:sz w:val="24"/>
          <w:szCs w:val="24"/>
        </w:rPr>
        <w:t xml:space="preserve">, come vuole la quinta regola dell'opera. La versione anteriore non va cancellata: è la traccia di che cosa si sapeva prima.</w:t>
      </w:r>
    </w:p>
    <w:p>
      <w:pPr>
        <w:pStyle w:val="Heading2"/>
        <w:spacing w:after="100" w:before="200"/>
      </w:pPr>
      <w:r>
        <w:rPr>
          <w:rFonts w:ascii="Barlow Semi Condensed" w:cs="Barlow Semi Condensed" w:eastAsia="Barlow Semi Condensed" w:hAnsi="Barlow Semi Condensed"/>
          <w:sz w:val="24"/>
          <w:szCs w:val="24"/>
        </w:rPr>
        <w:t xml:space="preserve">Decima ricognizione: atto di revisione del modello</w:t>
      </w:r>
    </w:p>
    <w:p>
      <w:pPr>
        <w:pStyle w:val="Heading2"/>
        <w:spacing w:after="100" w:before="200"/>
      </w:pPr>
      <w:r>
        <w:rPr>
          <w:rFonts w:ascii="Barlow Semi Condensed" w:cs="Barlow Semi Condensed" w:eastAsia="Barlow Semi Condensed" w:hAnsi="Barlow Semi Condensed"/>
          <w:sz w:val="24"/>
          <w:szCs w:val="24"/>
        </w:rPr>
        <w:t xml:space="preserve">La prima condizione e falsificata. Britannia 1946, Germania 1952, Svezia 1984</w:t>
      </w:r>
    </w:p>
    <w:p>
      <w:pPr>
        <w:pStyle w:val="Heading2"/>
        <w:spacing w:after="100" w:before="200"/>
      </w:pPr>
      <w:r>
        <w:rPr>
          <w:rFonts w:ascii="Barlow Semi Condensed" w:cs="Barlow Semi Condensed" w:eastAsia="Barlow Semi Condensed" w:hAnsi="Barlow Semi Condensed"/>
          <w:sz w:val="24"/>
          <w:szCs w:val="24"/>
        </w:rPr>
        <w:t xml:space="preserve">Dodici Capitoli — una proposizione emendata — sei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Atto di revisione di una proposizione del Registro</w:t>
      </w:r>
    </w:p>
    <w:p>
      <w:pPr>
        <w:spacing w:after="120" w:line="276"/>
        <w:jc w:val="both"/>
      </w:pPr>
      <w:r>
        <w:rPr>
          <w:rFonts w:ascii="Barlow Semi Condensed" w:cs="Barlow Semi Condensed" w:eastAsia="Barlow Semi Condensed" w:hAnsi="Barlow Semi Condensed"/>
          <w:sz w:val="24"/>
          <w:szCs w:val="24"/>
        </w:rPr>
        <w:t xml:space="preserve">Questo documento non aggiunge un perimetro: ne corregge uno già scritto. Nell'ottava ricognizione, consolidando i casi di Grecia, Cipro e Turchia, avevo enunciato una proposizione e l'avevo dichiarata confutabile. La ricerca sul caso tedesco l'ha confutata per metà. Poiché quel risultato è rimasto finora allo stato di rapporto e non è entrato nel corpus, il Registro contiene tuttora una proposizione che una ricerca successiva ha superato. Questo documento la revisiona.</w:t>
      </w:r>
    </w:p>
    <w:p>
      <w:pPr>
        <w:spacing w:after="120" w:line="276"/>
        <w:jc w:val="both"/>
      </w:pPr>
      <w:r>
        <w:rPr>
          <w:rFonts w:ascii="Barlow Semi Condensed" w:cs="Barlow Semi Condensed" w:eastAsia="Barlow Semi Condensed" w:hAnsi="Barlow Semi Condensed"/>
          <w:sz w:val="24"/>
          <w:szCs w:val="24"/>
        </w:rPr>
        <w:t xml:space="preserve">La proposizione originaria, per come fu enunciata. L'insediamento dell'Opus Dei in un Paese richiede la compresenza di due condizioni: una maggioranza cattolica della popolazione, e la disponibilità di un ceto universitario e professionale cattolico autoctono su cui l'apostolato possa radicarsi.</w:t>
      </w:r>
    </w:p>
    <w:p>
      <w:pPr>
        <w:spacing w:after="120" w:line="276"/>
        <w:jc w:val="both"/>
      </w:pPr>
      <w:r>
        <w:rPr>
          <w:rFonts w:ascii="Barlow Semi Condensed" w:cs="Barlow Semi Condensed" w:eastAsia="Barlow Semi Condensed" w:hAnsi="Barlow Semi Condensed"/>
          <w:sz w:val="24"/>
          <w:szCs w:val="24"/>
        </w:rPr>
        <w:t xml:space="preserve">La condizione di falsificazione, per come fu dichiarata. La proposizione sarebbe stata falsificata dal reperimento di un insediamento stabile in un Paese a maggioranza non cattolica e privo di ceto cattolico autoctono. Furono elencati come casi non esaminati e potenzialmente confutanti: Giappone 1958, Kenya 1958, Nigeria 1965, India 1993, Kazakhistan 1997, Indonesia 2008, Sri Lanka 2011.</w:t>
      </w:r>
    </w:p>
    <w:p>
      <w:pPr>
        <w:spacing w:after="120" w:line="276"/>
        <w:jc w:val="both"/>
      </w:pPr>
      <w:r>
        <w:rPr>
          <w:rFonts w:ascii="Barlow Semi Condensed" w:cs="Barlow Semi Condensed" w:eastAsia="Barlow Semi Condensed" w:hAnsi="Barlow Semi Condensed"/>
          <w:sz w:val="24"/>
          <w:szCs w:val="24"/>
        </w:rPr>
        <w:t xml:space="preserve">Che cosa il caso tedesco stabilisce. La Repubblica Federale non era a maggioranza cattolica nel 1952 e non lo divenne mai nel periodo considerato, e l'Opus Dei vi si insediò stabilmente. La prima condizione è dunque falsificata: essa non è necessaria.</w:t>
      </w:r>
    </w:p>
    <w:p>
      <w:pPr>
        <w:spacing w:after="120" w:line="276"/>
        <w:jc w:val="both"/>
      </w:pPr>
      <w:r>
        <w:rPr>
          <w:rFonts w:ascii="Barlow Semi Condensed" w:cs="Barlow Semi Condensed" w:eastAsia="Barlow Semi Condensed" w:hAnsi="Barlow Semi Condensed"/>
          <w:sz w:val="24"/>
          <w:szCs w:val="24"/>
        </w:rPr>
        <w:t xml:space="preserve">Che cosa il caso tedesco non stabilisce, e va enunciato con eguale precisione perché la correttezza logica lo impone. La Germania soddisfa il primo requisito della condizione di falsificazione — maggioranza non cattolica — ma non il secondo, poiché essa è al contrario Paese dotatissimo di ceto cattolico autoctono. Il caso tedesco falsifica la sola prima condizione; non costituisce la confutazione integrale della proposizione congiunta, che richiederebbe un insediamento in un Paese difettoso di entrambe.</w:t>
      </w:r>
    </w:p>
    <w:p>
      <w:pPr>
        <w:spacing w:after="120" w:line="276"/>
        <w:jc w:val="both"/>
      </w:pPr>
      <w:r>
        <w:rPr>
          <w:rFonts w:ascii="Barlow Semi Condensed" w:cs="Barlow Semi Condensed" w:eastAsia="Barlow Semi Condensed" w:hAnsi="Barlow Semi Condensed"/>
          <w:sz w:val="24"/>
          <w:szCs w:val="24"/>
        </w:rPr>
        <w:t xml:space="preserve">La revisione che ne discende, enunciata qui e argomentata nei capitoli seguenti. La variabile discriminante non è la maggioranza cattolica nazionale, ma la disponibilità di un ceto universitario e professionale cattolico autoctono. La prima condizione va espunta; la seconda resta, e diventa la sola.</w:t>
      </w:r>
    </w:p>
    <w:p>
      <w:pPr>
        <w:spacing w:after="120" w:line="276"/>
        <w:jc w:val="both"/>
      </w:pPr>
      <w:r>
        <w:rPr>
          <w:rFonts w:ascii="Barlow Semi Condensed" w:cs="Barlow Semi Condensed" w:eastAsia="Barlow Semi Condensed" w:hAnsi="Barlow Semi Condensed"/>
          <w:sz w:val="24"/>
          <w:szCs w:val="24"/>
        </w:rPr>
        <w:t xml:space="preserve">E una conseguenza retroattiva va tratta, perché è il guadagno maggiore della revisione. Il modello rivisto spiega i tre casi orientali meglio di quello originario. Grecia, Cipro e Turchia non difettano della maggioranza cattolica — che non era la variabile operante — ma del ceto cattolico professionale autoctono. E ciò rende il caso cipriota, che nell'ottava ricognizione era il più probante ma anche il più anomalo, coerente anziché eccezionale: Cipro aveva comunità cattoliche riconosciute, ma erano contadini maroniti di quattro villaggi e un vicariato latino di quattro parrocchie, non un ceto universitario e professionale.</w:t>
      </w:r>
    </w:p>
    <w:p>
      <w:pPr>
        <w:spacing w:after="120" w:line="276"/>
        <w:jc w:val="both"/>
      </w:pPr>
      <w:r>
        <w:rPr>
          <w:rFonts w:ascii="Barlow Semi Condensed" w:cs="Barlow Semi Condensed" w:eastAsia="Barlow Semi Condensed" w:hAnsi="Barlow Semi Condensed"/>
          <w:sz w:val="24"/>
          <w:szCs w:val="24"/>
        </w:rPr>
        <w:t xml:space="preserve">Sulla natura di questo atto. Il progetto ha già eseguito un Atto di Declassamento, riducendo la distribuzione di Livello A dal sessantuno al quarantanove virgola due per cento del corpus Moro applicando il criterio di indipendenza genealogica. Questo è il secondo atto di quel genere, e riguarda non un grado probatorio ma una proposizione analitica.</w:t>
      </w:r>
    </w:p>
    <w:p>
      <w:pPr>
        <w:pStyle w:val="Heading2"/>
        <w:spacing w:after="100" w:before="200"/>
      </w:pPr>
      <w:r>
        <w:rPr>
          <w:rFonts w:ascii="Barlow Semi Condensed" w:cs="Barlow Semi Condensed" w:eastAsia="Barlow Semi Condensed" w:hAnsi="Barlow Semi Condensed"/>
          <w:sz w:val="24"/>
          <w:szCs w:val="24"/>
        </w:rPr>
        <w:t xml:space="preserve">Capitolo secondo — L'insediamento tedesco: date, luoghi, nomi</w:t>
      </w:r>
    </w:p>
    <w:p>
      <w:pPr>
        <w:spacing w:after="120" w:line="276"/>
        <w:jc w:val="both"/>
      </w:pPr>
      <w:r>
        <w:rPr>
          <w:rFonts w:ascii="Barlow Semi Condensed" w:cs="Barlow Semi Condensed" w:eastAsia="Barlow Semi Condensed" w:hAnsi="Barlow Semi Condensed"/>
          <w:sz w:val="24"/>
          <w:szCs w:val="24"/>
        </w:rPr>
        <w:t xml:space="preserve">Il capitolo espone i fatti su cui poggia la falsificazione, e li espone per intero perché la verifica sia riproducibile.</w:t>
      </w:r>
    </w:p>
    <w:p>
      <w:pPr>
        <w:spacing w:after="120" w:line="276"/>
        <w:jc w:val="both"/>
      </w:pPr>
      <w:r>
        <w:rPr>
          <w:rFonts w:ascii="Barlow Semi Condensed" w:cs="Barlow Semi Condensed" w:eastAsia="Barlow Semi Condensed" w:hAnsi="Barlow Semi Condensed"/>
          <w:sz w:val="24"/>
          <w:szCs w:val="24"/>
        </w:rPr>
        <w:t xml:space="preserve">La fonte. Un documento della Prelatura intitolato \</w:t>
      </w:r>
      <w:r>
        <w:rPr>
          <w:rFonts w:ascii="Barlow Semi Condensed" w:cs="Barlow Semi Condensed" w:eastAsia="Barlow Semi Condensed" w:hAnsi="Barlow Semi Condensed"/>
          <w:i/>
          <w:iCs/>
          <w:sz w:val="24"/>
          <w:szCs w:val="24"/>
        </w:rPr>
        <w:t xml:space="preserve">Kurzdarstellung der Anfänge des Opus Dei in Deutschland\</w:t>
      </w:r>
      <w:r>
        <w:rPr>
          <w:rFonts w:ascii="Barlow Semi Condensed" w:cs="Barlow Semi Condensed" w:eastAsia="Barlow Semi Condensed" w:hAnsi="Barlow Semi Condensed"/>
          <w:sz w:val="24"/>
          <w:szCs w:val="24"/>
        </w:rPr>
        <w:t xml:space="preserve">, datato 21 marzo 2006 e pubblicato sul sito dell'ente. Come nelle ricognizioni anteriori, la fonte ufficiale è impiegata per i dati di fatto sui propri insediamenti — dove essa è la migliore possibile — e non per le valutazioni di responsabilità; ed è verificata contro fonti indipendenti, che convergono su date e luoghi.</w:t>
      </w:r>
    </w:p>
    <w:p>
      <w:pPr>
        <w:spacing w:after="120" w:line="276"/>
        <w:jc w:val="both"/>
      </w:pPr>
      <w:r>
        <w:rPr>
          <w:rFonts w:ascii="Barlow Semi Condensed" w:cs="Barlow Semi Condensed" w:eastAsia="Barlow Semi Condensed" w:hAnsi="Barlow Semi Condensed"/>
          <w:sz w:val="24"/>
          <w:szCs w:val="24"/>
        </w:rPr>
        <w:t xml:space="preserve">I primi tre membri, nominati. Giunsero in Germania nel 1952: Alfons Par, in spagnolo Alfonso, 1922-2002, ingegnere diplomato e sacerdote dal 1951; Fernando Echeverría, 1924-2015, commercialista; Fernando Inciarte, 1929-2000, filosofo, che sarebbe divenuto ordinario a Münster.</w:t>
      </w:r>
    </w:p>
    <w:p>
      <w:pPr>
        <w:spacing w:after="120" w:line="276"/>
        <w:jc w:val="both"/>
      </w:pPr>
      <w:r>
        <w:rPr>
          <w:rFonts w:ascii="Barlow Semi Condensed" w:cs="Barlow Semi Condensed" w:eastAsia="Barlow Semi Condensed" w:hAnsi="Barlow Semi Condensed"/>
          <w:sz w:val="24"/>
          <w:szCs w:val="24"/>
        </w:rPr>
        <w:t xml:space="preserve">Il profilo va notato subito perché è la chiave del capitolo: un ingegnere-sacerdote, un commercialista e un filosofo destinato alla cattedra. Non missionari generici: quadri professionali e accademici.</w:t>
      </w:r>
    </w:p>
    <w:p>
      <w:pPr>
        <w:spacing w:after="120" w:line="276"/>
        <w:jc w:val="both"/>
      </w:pPr>
      <w:r>
        <w:rPr>
          <w:rFonts w:ascii="Barlow Semi Condensed" w:cs="Barlow Semi Condensed" w:eastAsia="Barlow Semi Condensed" w:hAnsi="Barlow Semi Condensed"/>
          <w:sz w:val="24"/>
          <w:szCs w:val="24"/>
        </w:rPr>
        <w:t xml:space="preserve">La prima residenza.\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Aperta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1953\</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all'\</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Adenauerallee di Bonn\</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divenne poi lo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Studentenheim Althaus\</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la fonte ufficiale qualifica come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l'unico centro tedesco ancora oggi esistente a essere stato visitato dal fondatore.</w:t>
      </w:r>
    </w:p>
    <w:p>
      <w:pPr>
        <w:spacing w:after="120" w:line="276"/>
        <w:jc w:val="both"/>
      </w:pPr>
      <w:r>
        <w:rPr>
          <w:rFonts w:ascii="Barlow Semi Condensed" w:cs="Barlow Semi Condensed" w:eastAsia="Barlow Semi Condensed" w:hAnsi="Barlow Semi Condensed"/>
          <w:sz w:val="24"/>
          <w:szCs w:val="24"/>
        </w:rPr>
        <w:t xml:space="preserve">Una divergenza va riportata. La fonte ufficiale tedesca colloca l'apertura della residenza nel 1953; altre fonti dell'ente in altre lingue, e larga parte della pubblicistica anche critica, indicano il 1952. La discrepanza si spiega verosimilmente con la distinzione fra l'arrivo dei primi membri e l'apertura formale della residenza, ma resta divergenza documentale da segnalare.</w:t>
      </w:r>
    </w:p>
    <w:p>
      <w:pPr>
        <w:spacing w:after="120" w:line="276"/>
        <w:jc w:val="both"/>
      </w:pPr>
      <w:r>
        <w:rPr>
          <w:rFonts w:ascii="Barlow Semi Condensed" w:cs="Barlow Semi Condensed" w:eastAsia="Barlow Semi Condensed" w:hAnsi="Barlow Semi Condensed"/>
          <w:sz w:val="24"/>
          <w:szCs w:val="24"/>
        </w:rPr>
        <w:t xml:space="preserve">Il lavoro femminile. Iniziò nel 1956 con l'apertura dello Studentinnenheim Eigelstein, nella Hülchrather Straße a Colonia.</w:t>
      </w:r>
    </w:p>
    <w:p>
      <w:pPr>
        <w:spacing w:after="120" w:line="276"/>
        <w:jc w:val="both"/>
      </w:pPr>
      <w:r>
        <w:rPr>
          <w:rFonts w:ascii="Barlow Semi Condensed" w:cs="Barlow Semi Condensed" w:eastAsia="Barlow Semi Condensed" w:hAnsi="Barlow Semi Condensed"/>
          <w:sz w:val="24"/>
          <w:szCs w:val="24"/>
        </w:rPr>
        <w:t xml:space="preserve">E qui due nomi che valgono come prova del modello rivisto. Le due tedesche che accolsero le prime tre spagnole alla stazione centrale di Colonia il 12 ottobre 1956 furono Käthe Retz, 1928-2018, assistente all'Università di Bonn dove aveva studiato psicologia, e Marlies Kücking, nata nel 1936, all'epoca matricola universitaria.</w:t>
      </w:r>
    </w:p>
    <w:p>
      <w:pPr>
        <w:spacing w:after="120" w:line="276"/>
        <w:jc w:val="both"/>
      </w:pPr>
      <w:r>
        <w:rPr>
          <w:rFonts w:ascii="Barlow Semi Condensed" w:cs="Barlow Semi Condensed" w:eastAsia="Barlow Semi Condensed" w:hAnsi="Barlow Semi Condensed"/>
          <w:sz w:val="24"/>
          <w:szCs w:val="24"/>
        </w:rPr>
        <w:t xml:space="preserve">Espressione diretta e nominata del ceto accademico cattolico su cui l'apostolato poteva radicarsi.</w:t>
      </w:r>
    </w:p>
    <w:p>
      <w:pPr>
        <w:spacing w:after="120" w:line="276"/>
        <w:jc w:val="both"/>
      </w:pPr>
      <w:r>
        <w:rPr>
          <w:rFonts w:ascii="Barlow Semi Condensed" w:cs="Barlow Semi Condensed" w:eastAsia="Barlow Semi Condensed" w:hAnsi="Barlow Semi Condensed"/>
          <w:sz w:val="24"/>
          <w:szCs w:val="24"/>
        </w:rPr>
        <w:t xml:space="preserve">L'espansione, per date, ed è il dato geografico decisivo. Per gli uomini: Essen 1969, Aquisgrana 1971, Treviri e Berlino 1972, Münster 1976, Monaco 1977. Per le donne: Essen 1971, Aquisgrana 1976, Jülich 1978 — dove alcune insegnavano in un liceo femminile — Münster 1979, Monaco 1980, Treviri 1987, Berlino 1992.</w:t>
      </w:r>
    </w:p>
    <w:p>
      <w:pPr>
        <w:spacing w:after="120" w:line="276"/>
        <w:jc w:val="both"/>
      </w:pPr>
      <w:r>
        <w:rPr>
          <w:rFonts w:ascii="Barlow Semi Condensed" w:cs="Barlow Semi Condensed" w:eastAsia="Barlow Semi Condensed" w:hAnsi="Barlow Semi Condensed"/>
          <w:sz w:val="24"/>
          <w:szCs w:val="24"/>
        </w:rPr>
        <w:t xml:space="preserve">La Baviera fu raggiunta tardi, e questo va enunciato perché contraddice l'aspettativa. Monaco nel 1977 per gli uomini e nel 1980 per le donne: un quarto di secolo dopo l'insediamento renano. Il cuore cattolico del sud tedesco non fu il punto d'ingresso.</w:t>
      </w:r>
    </w:p>
    <w:p>
      <w:pPr>
        <w:spacing w:after="120" w:line="276"/>
        <w:jc w:val="both"/>
      </w:pPr>
      <w:r>
        <w:rPr>
          <w:rFonts w:ascii="Barlow Semi Condensed" w:cs="Barlow Semi Condensed" w:eastAsia="Barlow Semi Condensed" w:hAnsi="Barlow Semi Condensed"/>
          <w:sz w:val="24"/>
          <w:szCs w:val="24"/>
        </w:rPr>
        <w:t xml:space="preserve">Un elemento di rango va registrato.\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Dal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1962\</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operò a Colonia, con interruzioni,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José María Hernández de Garnica\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1913-1972,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uno dei tre primissimi sacerdoti dell'Opus Dei in assoluto.</w:t>
      </w:r>
    </w:p>
    <w:p>
      <w:pPr>
        <w:spacing w:after="120" w:line="276"/>
        <w:jc w:val="both"/>
      </w:pPr>
      <w:r>
        <w:rPr>
          <w:rFonts w:ascii="Barlow Semi Condensed" w:cs="Barlow Semi Condensed" w:eastAsia="Barlow Semi Condensed" w:hAnsi="Barlow Semi Condensed"/>
          <w:sz w:val="24"/>
          <w:szCs w:val="24"/>
        </w:rPr>
        <w:t xml:space="preserve">Le strutture collegate, documentate dalla fonte ufficiale: la Studentische Kulturgemeinschaft, fondata nel 1953 come organizzazione-quadro dello Studentenheim di Bonn e di successivi centri — \</w:t>
      </w:r>
      <w:r>
        <w:rPr>
          <w:rFonts w:ascii="Barlow Semi Condensed" w:cs="Barlow Semi Condensed" w:eastAsia="Barlow Semi Condensed" w:hAnsi="Barlow Semi Condensed"/>
          <w:i/>
          <w:iCs/>
          <w:sz w:val="24"/>
          <w:szCs w:val="24"/>
        </w:rPr>
        <w:t xml:space="preserve">Hoher Weg\</w:t>
      </w:r>
      <w:r>
        <w:rPr>
          <w:rFonts w:ascii="Barlow Semi Condensed" w:cs="Barlow Semi Condensed" w:eastAsia="Barlow Semi Condensed" w:hAnsi="Barlow Semi Condensed"/>
          <w:sz w:val="24"/>
          <w:szCs w:val="24"/>
        </w:rPr>
        <w:t xml:space="preserve"> ad Augsburg, \</w:t>
      </w:r>
      <w:r>
        <w:rPr>
          <w:rFonts w:ascii="Barlow Semi Condensed" w:cs="Barlow Semi Condensed" w:eastAsia="Barlow Semi Condensed" w:hAnsi="Barlow Semi Condensed"/>
          <w:i/>
          <w:iCs/>
          <w:sz w:val="24"/>
          <w:szCs w:val="24"/>
        </w:rPr>
        <w:t xml:space="preserve">Fausenburg\</w:t>
      </w:r>
      <w:r>
        <w:rPr>
          <w:rFonts w:ascii="Barlow Semi Condensed" w:cs="Barlow Semi Condensed" w:eastAsia="Barlow Semi Condensed" w:hAnsi="Barlow Semi Condensed"/>
          <w:sz w:val="24"/>
          <w:szCs w:val="24"/>
        </w:rPr>
        <w:t xml:space="preserve"> a Treviri, \</w:t>
      </w:r>
      <w:r>
        <w:rPr>
          <w:rFonts w:ascii="Barlow Semi Condensed" w:cs="Barlow Semi Condensed" w:eastAsia="Barlow Semi Condensed" w:hAnsi="Barlow Semi Condensed"/>
          <w:i/>
          <w:iCs/>
          <w:sz w:val="24"/>
          <w:szCs w:val="24"/>
        </w:rPr>
        <w:t xml:space="preserve">Am Städel\</w:t>
      </w:r>
      <w:r>
        <w:rPr>
          <w:rFonts w:ascii="Barlow Semi Condensed" w:cs="Barlow Semi Condensed" w:eastAsia="Barlow Semi Condensed" w:hAnsi="Barlow Semi Condensed"/>
          <w:sz w:val="24"/>
          <w:szCs w:val="24"/>
        </w:rPr>
        <w:t xml:space="preserve"> a Francoforte, \</w:t>
      </w:r>
      <w:r>
        <w:rPr>
          <w:rFonts w:ascii="Barlow Semi Condensed" w:cs="Barlow Semi Condensed" w:eastAsia="Barlow Semi Condensed" w:hAnsi="Barlow Semi Condensed"/>
          <w:i/>
          <w:iCs/>
          <w:sz w:val="24"/>
          <w:szCs w:val="24"/>
        </w:rPr>
        <w:t xml:space="preserve">Weidenau\</w:t>
      </w:r>
      <w:r>
        <w:rPr>
          <w:rFonts w:ascii="Barlow Semi Condensed" w:cs="Barlow Semi Condensed" w:eastAsia="Barlow Semi Condensed" w:hAnsi="Barlow Semi Condensed"/>
          <w:sz w:val="24"/>
          <w:szCs w:val="24"/>
        </w:rPr>
        <w:t xml:space="preserve"> a Monaco — e le case di formazione Aufderhöhe a Solingen, Zieglerhof a Ettal in Baviera e Haus Hardtberg nell'Eifel.</w:t>
      </w:r>
    </w:p>
    <w:p>
      <w:pPr>
        <w:spacing w:after="120" w:line="276"/>
        <w:jc w:val="both"/>
      </w:pPr>
      <w:r>
        <w:rPr>
          <w:rFonts w:ascii="Barlow Semi Condensed" w:cs="Barlow Semi Condensed" w:eastAsia="Barlow Semi Condensed" w:hAnsi="Barlow Semi Condensed"/>
          <w:sz w:val="24"/>
          <w:szCs w:val="24"/>
        </w:rPr>
        <w:t xml:space="preserve">La consistenza attuale, dalla fonte ufficiale: poco meno di seicento membri, oltre mille includendo i cooperatori attivi. Per il periodo 1952-1985 la consistenza puntuale non è documentata dalle fonti aperte e costituisce Stato Zero, con sede nell'archivio della Prelatura.</w:t>
      </w:r>
    </w:p>
    <w:p>
      <w:pPr>
        <w:pStyle w:val="Heading2"/>
        <w:spacing w:after="100" w:before="200"/>
      </w:pPr>
      <w:r>
        <w:rPr>
          <w:rFonts w:ascii="Barlow Semi Condensed" w:cs="Barlow Semi Condensed" w:eastAsia="Barlow Semi Condensed" w:hAnsi="Barlow Semi Condensed"/>
          <w:sz w:val="24"/>
          <w:szCs w:val="24"/>
        </w:rPr>
        <w:t xml:space="preserve">Capitolo terzo — Frings: l'insediamento fu sollecitato dall'ordinario</w:t>
      </w:r>
    </w:p>
    <w:p>
      <w:pPr>
        <w:spacing w:after="120" w:line="276"/>
        <w:jc w:val="both"/>
      </w:pPr>
      <w:r>
        <w:rPr>
          <w:rFonts w:ascii="Barlow Semi Condensed" w:cs="Barlow Semi Condensed" w:eastAsia="Barlow Semi Condensed" w:hAnsi="Barlow Semi Condensed"/>
          <w:sz w:val="24"/>
          <w:szCs w:val="24"/>
        </w:rPr>
        <w:t xml:space="preserve">Il capitolo espone il dato che qualifica la natura dell'ingresso, e lo distingue da un'attribuzione non sostenuta.</w:t>
      </w:r>
    </w:p>
    <w:p>
      <w:pPr>
        <w:spacing w:after="120" w:line="276"/>
        <w:jc w:val="both"/>
      </w:pPr>
      <w:r>
        <w:rPr>
          <w:rFonts w:ascii="Barlow Semi Condensed" w:cs="Barlow Semi Condensed" w:eastAsia="Barlow Semi Condensed" w:hAnsi="Barlow Semi Condensed"/>
          <w:sz w:val="24"/>
          <w:szCs w:val="24"/>
        </w:rPr>
        <w:t xml:space="preserve">Il fatto. Secondo una lettera del nunzio apostolico Giovanni Lajolo al vicario regionale Christoph Bockamp, ripresa dall'ente in occasione del cinquantenario, fu per la petizione del cardinale Josef Frings, allora arcivescovo di Colonia, che i primi membri dell'Opus Dei giunsero a Colonia nel 1952.</w:t>
      </w:r>
    </w:p>
    <w:p>
      <w:pPr>
        <w:spacing w:after="120" w:line="276"/>
        <w:jc w:val="both"/>
      </w:pPr>
      <w:r>
        <w:rPr>
          <w:rFonts w:ascii="Barlow Semi Condensed" w:cs="Barlow Semi Condensed" w:eastAsia="Barlow Semi Condensed" w:hAnsi="Barlow Semi Condensed"/>
          <w:sz w:val="24"/>
          <w:szCs w:val="24"/>
        </w:rPr>
        <w:t xml:space="preserve">Il rilievo va enunciato con precisione. Non si tratta di tolleranza né di semplice accoglienza: si tratta di sollecitazione attiva da parte dell'ordinario diocesano. L'ente non entrò in Germania nonostante la gerarchia, né accanto a essa: vi entrò su richiesta.</w:t>
      </w:r>
    </w:p>
    <w:p>
      <w:pPr>
        <w:spacing w:after="120" w:line="276"/>
        <w:jc w:val="both"/>
      </w:pPr>
      <w:r>
        <w:rPr>
          <w:rFonts w:ascii="Barlow Semi Condensed" w:cs="Barlow Semi Condensed" w:eastAsia="Barlow Semi Condensed" w:hAnsi="Barlow Semi Condensed"/>
          <w:sz w:val="24"/>
          <w:szCs w:val="24"/>
        </w:rPr>
        <w:t xml:space="preserve">Il dato è corroborato da fonti ecclesiastiche successive. Il vicario generale di Colonia Dominik Schwaderlapp ha ricordato che già dai tempi del cardinale Frings l'Opus Dei è attivo nell'arcidiocesi di Colonia e appartiene alla molteplice ricchezza della vita ecclesiale. Il cardinale Joachim Meisner, in una predica del 19 gennaio 2002, ringraziò espressamente i predecessori Frings e Höffner per aver fatto sì che l'Opus Dei potesse mettere radici a Colonia, definendo il duomo quasi un luogo commemorativo di Escrivá. La pubblicistica ha inoltre rilevato che Frings, ancora nel 1975, si adoperò presso il papa per una rapida beatificazione e canonizzazione del fondatore.</w:t>
      </w:r>
    </w:p>
    <w:p>
      <w:pPr>
        <w:spacing w:after="120" w:line="276"/>
        <w:jc w:val="both"/>
      </w:pPr>
      <w:r>
        <w:rPr>
          <w:rFonts w:ascii="Barlow Semi Condensed" w:cs="Barlow Semi Condensed" w:eastAsia="Barlow Semi Condensed" w:hAnsi="Barlow Semi Condensed"/>
          <w:sz w:val="24"/>
          <w:szCs w:val="24"/>
        </w:rPr>
        <w:t xml:space="preserve">Il confronto con il caso portoghese va fatto perché è istruttivo per contrasto. In Portogallo il cardinale patriarca Cerejeira fu reticente verso i movimenti di origine straniera, sostenendo che l'Azione Cattolica Portoghese supplisse alle necessità, sicché l'ente dovette entrare dalle diocesi periferiche. In Germania l'ordinario della diocesi più importante lo chiamò.</w:t>
      </w:r>
    </w:p>
    <w:p>
      <w:pPr>
        <w:spacing w:after="120" w:line="276"/>
        <w:jc w:val="both"/>
      </w:pPr>
      <w:r>
        <w:rPr>
          <w:rFonts w:ascii="Barlow Semi Condensed" w:cs="Barlow Semi Condensed" w:eastAsia="Barlow Semi Condensed" w:hAnsi="Barlow Semi Condensed"/>
          <w:sz w:val="24"/>
          <w:szCs w:val="24"/>
        </w:rPr>
        <w:t xml:space="preserve">Ne discende che la variabile dell'accoglienza gerarchica è indipendente da quella confessionale, e che i due casi si dispongono agli estremi opposti: sollecitazione a Colonia, reticenza a Lisbona, e in entrambi i casi l'insediamento avvenne — più rapido dove fu chiamato, più laterale dove fu tollerato.</w:t>
      </w:r>
    </w:p>
    <w:p>
      <w:pPr>
        <w:spacing w:after="120" w:line="276"/>
        <w:jc w:val="both"/>
      </w:pPr>
      <w:r>
        <w:rPr>
          <w:rFonts w:ascii="Barlow Semi Condensed" w:cs="Barlow Semi Condensed" w:eastAsia="Barlow Semi Condensed" w:hAnsi="Barlow Semi Condensed"/>
          <w:sz w:val="24"/>
          <w:szCs w:val="24"/>
        </w:rPr>
        <w:t xml:space="preserve">E adesso l'attribuzione non sostenuta, che va segnalata e qualificata.\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 portale tedesco ha talora incluso i cardinali di Colonia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Frings, Höffner e Meisner fra i membri dell'ente.</w:t>
      </w:r>
    </w:p>
    <w:p>
      <w:pPr>
        <w:spacing w:after="120" w:line="276"/>
        <w:jc w:val="both"/>
      </w:pPr>
      <w:r>
        <w:rPr>
          <w:rFonts w:ascii="Barlow Semi Condensed" w:cs="Barlow Semi Condensed" w:eastAsia="Barlow Semi Condensed" w:hAnsi="Barlow Semi Condensed"/>
          <w:sz w:val="24"/>
          <w:szCs w:val="24"/>
        </w:rPr>
        <w:t xml:space="preserve">Questa affermazione non è sostenuta da fonti primarie e va qualificata come non provata. Il sostegno di un ordinario all'attività di un ente nella propria diocesi, per quanto convinto e prolungato, non equivale all'appartenenza personale, e la prescrizione che governa l'intera serie impone di non trattare l'uno come prova dell'altra.</w:t>
      </w:r>
    </w:p>
    <w:p>
      <w:pPr>
        <w:spacing w:after="120" w:line="276"/>
        <w:jc w:val="both"/>
      </w:pPr>
      <w:r>
        <w:rPr>
          <w:rFonts w:ascii="Barlow Semi Condensed" w:cs="Barlow Semi Condensed" w:eastAsia="Barlow Semi Condensed" w:hAnsi="Barlow Semi Condensed"/>
          <w:sz w:val="24"/>
          <w:szCs w:val="24"/>
        </w:rPr>
        <w:t xml:space="preserve">Ciò che le fonti attestano con certezza è il patrocinio di Frings all'insediamento del 1952 e la benevolenza continuativa degli arcivescovi di Colonia. Ciò che non attestano è l'appartenenza personale dei tre cardinali, che resta tesi pubblicistica non riscontrata.</w:t>
      </w:r>
    </w:p>
    <w:p>
      <w:pPr>
        <w:pStyle w:val="Heading2"/>
        <w:spacing w:after="100" w:before="200"/>
      </w:pPr>
      <w:r>
        <w:rPr>
          <w:rFonts w:ascii="Barlow Semi Condensed" w:cs="Barlow Semi Condensed" w:eastAsia="Barlow Semi Condensed" w:hAnsi="Barlow Semi Condensed"/>
          <w:sz w:val="24"/>
          <w:szCs w:val="24"/>
        </w:rPr>
        <w:t xml:space="preserve">Capitolo quarto — I dati confessionali: la falsificazione della prima condizione</w:t>
      </w:r>
    </w:p>
    <w:p>
      <w:pPr>
        <w:spacing w:after="120" w:line="276"/>
        <w:jc w:val="both"/>
      </w:pPr>
      <w:r>
        <w:rPr>
          <w:rFonts w:ascii="Barlow Semi Condensed" w:cs="Barlow Semi Condensed" w:eastAsia="Barlow Semi Condensed" w:hAnsi="Barlow Semi Condensed"/>
          <w:sz w:val="24"/>
          <w:szCs w:val="24"/>
        </w:rPr>
        <w:t xml:space="preserve">Il capitolo espone i numeri su cui la prima condizione cade, con le divergenze mantenute.</w:t>
      </w:r>
    </w:p>
    <w:p>
      <w:pPr>
        <w:spacing w:after="120" w:line="276"/>
        <w:jc w:val="both"/>
      </w:pPr>
      <w:r>
        <w:rPr>
          <w:rFonts w:ascii="Barlow Semi Condensed" w:cs="Barlow Semi Condensed" w:eastAsia="Barlow Semi Condensed" w:hAnsi="Barlow Semi Condensed"/>
          <w:sz w:val="24"/>
          <w:szCs w:val="24"/>
        </w:rPr>
        <w:t xml:space="preserve">La serie principale. I dati elaborati dalla Forschungsgruppe Weltanschauungen in Deutschland su base dei censimenti dell'ufficio federale di statistica attestano che nel 1950 la ripartizione confessionale della Repubblica Federale vedeva i protestanti al cinquanta virgola sei per cento e i cattolici al quarantacinque virgola otto, con il novantasei virgola quattro per cento della popolazione appartenente a una delle due grandi Chiese.</w:t>
      </w:r>
    </w:p>
    <w:p>
      <w:pPr>
        <w:spacing w:after="120" w:line="276"/>
        <w:jc w:val="both"/>
      </w:pPr>
      <w:r>
        <w:rPr>
          <w:rFonts w:ascii="Barlow Semi Condensed" w:cs="Barlow Semi Condensed" w:eastAsia="Barlow Semi Condensed" w:hAnsi="Barlow Semi Condensed"/>
          <w:sz w:val="24"/>
          <w:szCs w:val="24"/>
        </w:rPr>
        <w:t xml:space="preserve">La serie divergente, che va riportata. Un saggio storiografico del portale accademico europeo fornisce per il 1950 valori leggermente diversi — protestanti al cinquantuno virgola due, cattolici al quarantacinque virgola due — e precisa che i cattolici uscirono definitivamente dalla situazione di minoranza soltanto nel 1976, quando fu raggiunta la parità. La divergenza fra le due serie non incide sulla sostanza.</w:t>
      </w:r>
    </w:p>
    <w:p>
      <w:pPr>
        <w:spacing w:after="120" w:line="276"/>
        <w:jc w:val="both"/>
      </w:pPr>
      <w:r>
        <w:rPr>
          <w:rFonts w:ascii="Barlow Semi Condensed" w:cs="Barlow Semi Condensed" w:eastAsia="Barlow Semi Condensed" w:hAnsi="Barlow Semi Condensed"/>
          <w:sz w:val="24"/>
          <w:szCs w:val="24"/>
        </w:rPr>
        <w:t xml:space="preserve">Nel 1970: protestanti al quarantasette virgola sette, cattolici al quarantaquattro virgola sei, con il novantadue-novantatré per cento ancora nelle due Chiese.</w:t>
      </w:r>
    </w:p>
    <w:p>
      <w:pPr>
        <w:spacing w:after="120" w:line="276"/>
        <w:jc w:val="both"/>
      </w:pPr>
      <w:r>
        <w:rPr>
          <w:rFonts w:ascii="Barlow Semi Condensed" w:cs="Barlow Semi Condensed" w:eastAsia="Barlow Semi Condensed" w:hAnsi="Barlow Semi Condensed"/>
          <w:sz w:val="24"/>
          <w:szCs w:val="24"/>
        </w:rPr>
        <w:t xml:space="preserve">Il dato dirimente, enunciato. Nella Repubblica Federale del secondo dopoguerra i cattolici erano una minoranza relativa, non una maggioranza — benché minoranza molto ampia e prossima alla metà.</w:t>
      </w:r>
    </w:p>
    <w:p>
      <w:pPr>
        <w:spacing w:after="120" w:line="276"/>
        <w:jc w:val="both"/>
      </w:pPr>
      <w:r>
        <w:rPr>
          <w:rFonts w:ascii="Barlow Semi Condensed" w:cs="Barlow Semi Condensed" w:eastAsia="Barlow Semi Condensed" w:hAnsi="Barlow Semi Condensed"/>
          <w:sz w:val="24"/>
          <w:szCs w:val="24"/>
        </w:rPr>
        <w:t xml:space="preserve">Ne discende la falsificazione della prima condizione: la Germania federale era a maggioranza relativa protestante, e l'Opus Dei vi si insediò comunque stabilmente nel 1952.</w:t>
      </w:r>
    </w:p>
    <w:p>
      <w:pPr>
        <w:spacing w:after="120" w:line="276"/>
        <w:jc w:val="both"/>
      </w:pPr>
      <w:r>
        <w:rPr>
          <w:rFonts w:ascii="Barlow Semi Condensed" w:cs="Barlow Semi Condensed" w:eastAsia="Barlow Semi Condensed" w:hAnsi="Barlow Semi Condensed"/>
          <w:sz w:val="24"/>
          <w:szCs w:val="24"/>
        </w:rPr>
        <w:t xml:space="preserve">La causa storica dell'assetto va registrata perché spiega il dato. La divisione della Germania fu determinante: la perdita dei territori orientali e la costituzione della Repubblica Democratica modificarono il peso confessionale relativo rispetto al Reich del 1871, quando i protestanti superavano il sessanta per cento ed erano religione di Stato. Sul territorio dei Länder poi confluiti nella Federale esisteva invece una proporzione quasi paritaria, dell'ordine di cinquantuno a quarantotto o cinquantadue a quarantasette.</w:t>
      </w:r>
    </w:p>
    <w:p>
      <w:pPr>
        <w:spacing w:after="120" w:line="276"/>
        <w:jc w:val="both"/>
      </w:pPr>
      <w:r>
        <w:rPr>
          <w:rFonts w:ascii="Barlow Semi Condensed" w:cs="Barlow Semi Condensed" w:eastAsia="Barlow Semi Condensed" w:hAnsi="Barlow Semi Condensed"/>
          <w:sz w:val="24"/>
          <w:szCs w:val="24"/>
        </w:rPr>
        <w:t xml:space="preserve">La distribuzione regionale mantenne concentrazioni cattoliche nettissime: Baviera, Renania, Vestfalia e Saarland, quest'ultimo con il novantotto virgola due per cento di appartenenti alle Chiese nel 1950 e schiacciante maggioranza cattolica. Fino al 1970 il cattolicesimo restò religione di maggioranza nella Renania-Vestfalia — cioè esattamente dove l'ente si insediò.</w:t>
      </w:r>
    </w:p>
    <w:p>
      <w:pPr>
        <w:spacing w:after="120" w:line="276"/>
        <w:jc w:val="both"/>
      </w:pPr>
      <w:r>
        <w:rPr>
          <w:rFonts w:ascii="Barlow Semi Condensed" w:cs="Barlow Semi Condensed" w:eastAsia="Barlow Semi Condensed" w:hAnsi="Barlow Semi Condensed"/>
          <w:sz w:val="24"/>
          <w:szCs w:val="24"/>
        </w:rPr>
        <w:t xml:space="preserve">Un elemento che complica il quadro e va riportato. L'espulsione dei tedeschi dai territori orientali — Sudeti, Slesia, Prussia orientale — produsse mescolanza confessionale nelle regioni di accoglienza, con effetti di erosione del milieu cattolico documentati dalla storiografia specialistica. La monografia di Michael Hirschfeld, \</w:t>
      </w:r>
      <w:r>
        <w:rPr>
          <w:rFonts w:ascii="Barlow Semi Condensed" w:cs="Barlow Semi Condensed" w:eastAsia="Barlow Semi Condensed" w:hAnsi="Barlow Semi Condensed"/>
          <w:i/>
          <w:iCs/>
          <w:sz w:val="24"/>
          <w:szCs w:val="24"/>
        </w:rPr>
        <w:t xml:space="preserve">Katholisches Milieu und Vertriebene. Eine Fallstudie am Beispiel des Oldenburger Landes 1945-1965\</w:t>
      </w:r>
      <w:r>
        <w:rPr>
          <w:rFonts w:ascii="Barlow Semi Condensed" w:cs="Barlow Semi Condensed" w:eastAsia="Barlow Semi Condensed" w:hAnsi="Barlow Semi Condensed"/>
          <w:sz w:val="24"/>
          <w:szCs w:val="24"/>
        </w:rPr>
        <w:t xml:space="preserve">, colloca l'inizio dell'erosione già nell'immediato dopoguerra, per effetto dell'afflusso dei profughi, anticipandolo rispetto alla lettura corrente che lo legava alla contestazione del 1968.</w:t>
      </w:r>
    </w:p>
    <w:p>
      <w:pPr>
        <w:spacing w:after="120" w:line="276"/>
        <w:jc w:val="both"/>
      </w:pPr>
      <w:r>
        <w:rPr>
          <w:rFonts w:ascii="Barlow Semi Condensed" w:cs="Barlow Semi Condensed" w:eastAsia="Barlow Semi Condensed" w:hAnsi="Barlow Semi Condensed"/>
          <w:sz w:val="24"/>
          <w:szCs w:val="24"/>
        </w:rPr>
        <w:t xml:space="preserve">Ne discende una precisazione cronologica non banale: l'ente si insediò in un milieu cattolico che era già in fase di erosione iniziale, e vi si insediò comunque.</w:t>
      </w:r>
    </w:p>
    <w:p>
      <w:pPr>
        <w:pStyle w:val="Heading2"/>
        <w:spacing w:after="100" w:before="200"/>
      </w:pPr>
      <w:r>
        <w:rPr>
          <w:rFonts w:ascii="Barlow Semi Condensed" w:cs="Barlow Semi Condensed" w:eastAsia="Barlow Semi Condensed" w:hAnsi="Barlow Semi Condensed"/>
          <w:sz w:val="24"/>
          <w:szCs w:val="24"/>
        </w:rPr>
        <w:t xml:space="preserve">Capitolo quinto — Il milieu cattolico tedesco: la condizione che regge</w:t>
      </w:r>
    </w:p>
    <w:p>
      <w:pPr>
        <w:spacing w:after="120" w:line="276"/>
        <w:jc w:val="both"/>
      </w:pPr>
      <w:r>
        <w:rPr>
          <w:rFonts w:ascii="Barlow Semi Condensed" w:cs="Barlow Semi Condensed" w:eastAsia="Barlow Semi Condensed" w:hAnsi="Barlow Semi Condensed"/>
          <w:sz w:val="24"/>
          <w:szCs w:val="24"/>
        </w:rPr>
        <w:t xml:space="preserve">Il capitolo espone la seconda condizione, e mostra che in Germania essa è soddisfatta nella forma più robusta possibile.</w:t>
      </w:r>
    </w:p>
    <w:p>
      <w:pPr>
        <w:spacing w:after="120" w:line="276"/>
        <w:jc w:val="both"/>
      </w:pPr>
      <w:r>
        <w:rPr>
          <w:rFonts w:ascii="Barlow Semi Condensed" w:cs="Barlow Semi Condensed" w:eastAsia="Barlow Semi Condensed" w:hAnsi="Barlow Semi Condensed"/>
          <w:sz w:val="24"/>
          <w:szCs w:val="24"/>
        </w:rPr>
        <w:t xml:space="preserve">La categoria storiografica esiste ed è consolidata. La storiografia tedesca dispone del concetto di katholisches Milieu, milieu cattolico socialmente organizzato, e ne individua indicatori precisi.</w:t>
      </w:r>
    </w:p>
    <w:p>
      <w:pPr>
        <w:spacing w:after="120" w:line="276"/>
        <w:jc w:val="both"/>
      </w:pPr>
      <w:r>
        <w:rPr>
          <w:rFonts w:ascii="Barlow Semi Condensed" w:cs="Barlow Semi Condensed" w:eastAsia="Barlow Semi Condensed" w:hAnsi="Barlow Semi Condensed"/>
          <w:sz w:val="24"/>
          <w:szCs w:val="24"/>
        </w:rPr>
        <w:t xml:space="preserve">Gli indicatori, elencati. Una tradizione partitica di lungo periodo — lo Zentrum, poi confluito insieme alla bavarese Bayerische Volkspartei nell'interconfessionale CDU/CSU del dopoguerra. Una fitta rete associativa e caritativa: il Kolpingwerk, i Katholikentag, le opere assistenziali Misereor e Adveniat, entrambe promosse proprio da Frings. Una stampa cattolica strutturata. Le associazioni studentesche cattoliche organizzate nel Cartellverband, l'associazione degli accademici cattolici Katholischer Akademikerverband, la Görres-Gesellschaft per la promozione della scienza. E il sistema delle facoltà teologiche di Stato.</w:t>
      </w:r>
    </w:p>
    <w:p>
      <w:pPr>
        <w:spacing w:after="120" w:line="276"/>
        <w:jc w:val="both"/>
      </w:pPr>
      <w:r>
        <w:rPr>
          <w:rFonts w:ascii="Barlow Semi Condensed" w:cs="Barlow Semi Condensed" w:eastAsia="Barlow Semi Condensed" w:hAnsi="Barlow Semi Condensed"/>
          <w:sz w:val="24"/>
          <w:szCs w:val="24"/>
        </w:rPr>
        <w:t xml:space="preserve">La formula politologica va riportata perché è precisa. La letteratura descrive per la Germania un'asimmetria confessionale-politica: esisteva un milieu cattolico, una partitica cattolica, un cattolicesimo politico, senza un equivalente protestante di pari organizzazione.</w:t>
      </w:r>
    </w:p>
    <w:p>
      <w:pPr>
        <w:spacing w:after="120" w:line="276"/>
        <w:jc w:val="both"/>
      </w:pPr>
      <w:r>
        <w:rPr>
          <w:rFonts w:ascii="Barlow Semi Condensed" w:cs="Barlow Semi Condensed" w:eastAsia="Barlow Semi Condensed" w:hAnsi="Barlow Semi Condensed"/>
          <w:sz w:val="24"/>
          <w:szCs w:val="24"/>
        </w:rPr>
        <w:t xml:space="preserve">Ne discende che la maggioranza numerica era protestante ma l'organizzazione era cattolica — e questa asimmetria, secondo me, è la spiegazione esatta del caso tedesco.</w:t>
      </w:r>
    </w:p>
    <w:p>
      <w:pPr>
        <w:spacing w:after="120" w:line="276"/>
        <w:jc w:val="both"/>
      </w:pPr>
      <w:r>
        <w:rPr>
          <w:rFonts w:ascii="Barlow Semi Condensed" w:cs="Barlow Semi Condensed" w:eastAsia="Barlow Semi Condensed" w:hAnsi="Barlow Semi Condensed"/>
          <w:sz w:val="24"/>
          <w:szCs w:val="24"/>
        </w:rPr>
        <w:t xml:space="preserve">La prova per via degli insediamenti, già esposta al Capitolo secondo e qui riletta. L'ente si radicò precisamente sul ceto studentesco e professionale cattolico delle città renane universitarie: la prima residenza fu uno Studentenheim a Bonn, sede dell'università e della capitale federale; il primo lavoro femminile a Colonia fu uno Studentinnenheim; le due tedesche del 1956 erano un'assistente universitaria e una matricola; i tre membri del 1952 erano un ingegnere-sacerdote, un commercialista e un futuro ordinario.</w:t>
      </w:r>
    </w:p>
    <w:p>
      <w:pPr>
        <w:spacing w:after="120" w:line="276"/>
        <w:jc w:val="both"/>
      </w:pPr>
      <w:r>
        <w:rPr>
          <w:rFonts w:ascii="Barlow Semi Condensed" w:cs="Barlow Semi Condensed" w:eastAsia="Barlow Semi Condensed" w:hAnsi="Barlow Semi Condensed"/>
          <w:sz w:val="24"/>
          <w:szCs w:val="24"/>
        </w:rPr>
        <w:t xml:space="preserve">Ogni singolo elemento dell'insediamento è accademico o professionale. Nessuno è popolare o rurale.</w:t>
      </w:r>
    </w:p>
    <w:p>
      <w:pPr>
        <w:spacing w:after="120" w:line="276"/>
        <w:jc w:val="both"/>
      </w:pPr>
      <w:r>
        <w:rPr>
          <w:rFonts w:ascii="Barlow Semi Condensed" w:cs="Barlow Semi Condensed" w:eastAsia="Barlow Semi Condensed" w:hAnsi="Barlow Semi Condensed"/>
          <w:sz w:val="24"/>
          <w:szCs w:val="24"/>
        </w:rPr>
        <w:t xml:space="preserve">La coerenza con la strategia originaria dell'ente va notata. L'Opus Dei si rivolse sin dagli anni spagnoli anzitutto agli intellettuali e agli studenti universitari: la prima istituzione, l'Accademia DYA del 1933, era rivolta a studenti di Diritto e Architettura.</w:t>
      </w:r>
    </w:p>
    <w:p>
      <w:pPr>
        <w:spacing w:after="120" w:line="276"/>
        <w:jc w:val="both"/>
      </w:pPr>
      <w:r>
        <w:rPr>
          <w:rFonts w:ascii="Barlow Semi Condensed" w:cs="Barlow Semi Condensed" w:eastAsia="Barlow Semi Condensed" w:hAnsi="Barlow Semi Condensed"/>
          <w:sz w:val="24"/>
          <w:szCs w:val="24"/>
        </w:rPr>
        <w:t xml:space="preserve">Ne discende la formulazione della condizione superstite, che è la risultanza del capitolo. L'ente si radica dove esiste un ceto universitario e professionale cattolico organizzato, e la sua strategia di insediamento — residenze studentesche, opere educative, formazione professionale — è costruita per quel ceto e non per altri. Dove quel ceto manca, la strategia non ha su che cosa poggiare, indipendentemente da quanti cattolici vi siano.</w:t>
      </w:r>
    </w:p>
    <w:p>
      <w:pPr>
        <w:pStyle w:val="Heading2"/>
        <w:spacing w:after="100" w:before="200"/>
      </w:pPr>
      <w:r>
        <w:rPr>
          <w:rFonts w:ascii="Barlow Semi Condensed" w:cs="Barlow Semi Condensed" w:eastAsia="Barlow Semi Condensed" w:hAnsi="Barlow Semi Condensed"/>
          <w:sz w:val="24"/>
          <w:szCs w:val="24"/>
        </w:rPr>
        <w:t xml:space="preserve">Capitolo sesto — Il confronto europeo: Gran Bretagna 1946 e Svezia 1984</w:t>
      </w:r>
    </w:p>
    <w:p>
      <w:pPr>
        <w:spacing w:after="120" w:line="276"/>
        <w:jc w:val="both"/>
      </w:pPr>
      <w:r>
        <w:rPr>
          <w:rFonts w:ascii="Barlow Semi Condensed" w:cs="Barlow Semi Condensed" w:eastAsia="Barlow Semi Condensed" w:hAnsi="Barlow Semi Condensed"/>
          <w:sz w:val="24"/>
          <w:szCs w:val="24"/>
        </w:rPr>
        <w:t xml:space="preserve">Il capitolo verifica la revisione contro gli altri casi europei, e ne trae due conferme e un raffinamento.</w:t>
      </w:r>
    </w:p>
    <w:p>
      <w:pPr>
        <w:spacing w:after="120" w:line="276"/>
        <w:jc w:val="both"/>
      </w:pPr>
      <w:r>
        <w:rPr>
          <w:rFonts w:ascii="Barlow Semi Condensed" w:cs="Barlow Semi Condensed" w:eastAsia="Barlow Semi Condensed" w:hAnsi="Barlow Semi Condensed"/>
          <w:sz w:val="24"/>
          <w:szCs w:val="24"/>
        </w:rPr>
        <w:t xml:space="preserve">La cronologia europea, dalla fonte ufficiale. Portogallo 1945; Italia e Gran Bretagna 1946; Francia e Irlanda 1947; Germania 1952; Svizzera 1956; Austria 1957; Olanda 1959 o 1960, con divergenza fra le fonti dell'ente da riportare; Belgio 1965; Svezia 1984.</w:t>
      </w:r>
    </w:p>
    <w:p>
      <w:pPr>
        <w:spacing w:after="120" w:line="276"/>
        <w:jc w:val="both"/>
      </w:pPr>
      <w:r>
        <w:rPr>
          <w:rFonts w:ascii="Barlow Semi Condensed" w:cs="Barlow Semi Condensed" w:eastAsia="Barlow Semi Condensed" w:hAnsi="Barlow Semi Condensed"/>
          <w:sz w:val="24"/>
          <w:szCs w:val="24"/>
        </w:rPr>
        <w:t xml:space="preserve">Primo caso dirimente: la Gran Bretagna, e precede la Germania di sei anni. Il lavoro iniziò il 28 dicembre 1946 con l'arrivo a Londra dello spagnolo Juan Antonio Galarraga, 1920-2005, numerario dal 1940, giunto per proseguire la ricerca post-dottorale in farmacia alla London University. La prima residenza fu a Rutland Court, poi trasferita a Netherhall House ad Hampstead; il primo centro femminile aprì nel 1952.</w:t>
      </w:r>
    </w:p>
    <w:p>
      <w:pPr>
        <w:spacing w:after="120" w:line="276"/>
        <w:jc w:val="both"/>
      </w:pPr>
      <w:r>
        <w:rPr>
          <w:rFonts w:ascii="Barlow Semi Condensed" w:cs="Barlow Semi Condensed" w:eastAsia="Barlow Semi Condensed" w:hAnsi="Barlow Semi Condensed"/>
          <w:sz w:val="24"/>
          <w:szCs w:val="24"/>
        </w:rPr>
        <w:t xml:space="preserve">Il rilievo va enunciato. La Gran Bretagna era ed è a maggioranza protestante anglicana, con una minoranza cattolica organizzata. Il caso conferma indipendentemente dalla Germania che la maggioranza cattolica non è condizione necessaria — e lo conferma sei anni prima, il che significa che l'ente non selezionò mai i Paesi in base alla confessione maggioritaria, fin dalla propria prima espansione europea.</w:t>
      </w:r>
    </w:p>
    <w:p>
      <w:pPr>
        <w:spacing w:after="120" w:line="276"/>
        <w:jc w:val="both"/>
      </w:pPr>
      <w:r>
        <w:rPr>
          <w:rFonts w:ascii="Barlow Semi Condensed" w:cs="Barlow Semi Condensed" w:eastAsia="Barlow Semi Condensed" w:hAnsi="Barlow Semi Condensed"/>
          <w:sz w:val="24"/>
          <w:szCs w:val="24"/>
        </w:rPr>
        <w:t xml:space="preserve">Ne discende una correzione della mia cronologia analitica: non è la Germania il primo caso falsificante, è la Gran Bretagna. La Germania è il caso più probante perché il milieu vi è più documentato, non il caso più antico.</w:t>
      </w:r>
    </w:p>
    <w:p>
      <w:pPr>
        <w:spacing w:after="120" w:line="276"/>
        <w:jc w:val="both"/>
      </w:pPr>
      <w:r>
        <w:rPr>
          <w:rFonts w:ascii="Barlow Semi Condensed" w:cs="Barlow Semi Condensed" w:eastAsia="Barlow Semi Condensed" w:hAnsi="Barlow Semi Condensed"/>
          <w:sz w:val="24"/>
          <w:szCs w:val="24"/>
        </w:rPr>
        <w:t xml:space="preserve">Secondo caso dirimente: la Svezia 1984, e produce il raffinamento. È il caso a maggioranza protestante più estremo, con minoranza cattolica minima e in larga parte non autoctona.</w:t>
      </w:r>
    </w:p>
    <w:p>
      <w:pPr>
        <w:spacing w:after="120" w:line="276"/>
        <w:jc w:val="both"/>
      </w:pPr>
      <w:r>
        <w:rPr>
          <w:rFonts w:ascii="Barlow Semi Condensed" w:cs="Barlow Semi Condensed" w:eastAsia="Barlow Semi Condensed" w:hAnsi="Barlow Semi Condensed"/>
          <w:sz w:val="24"/>
          <w:szCs w:val="24"/>
        </w:rPr>
        <w:t xml:space="preserve">Un dato va riportato con la sua fonte critica.\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Una fonte specializzata segnala che nei Paesi di più recente impianto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Svezia, Ungheria, Russia\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grande maggioranza dei numerari è di provenienza spagnola.</w:t>
      </w:r>
    </w:p>
    <w:p>
      <w:pPr>
        <w:spacing w:after="120" w:line="276"/>
        <w:jc w:val="both"/>
      </w:pPr>
      <w:r>
        <w:rPr>
          <w:rFonts w:ascii="Barlow Semi Condensed" w:cs="Barlow Semi Condensed" w:eastAsia="Barlow Semi Condensed" w:hAnsi="Barlow Semi Condensed"/>
          <w:sz w:val="24"/>
          <w:szCs w:val="24"/>
        </w:rPr>
        <w:t xml:space="preserve">Ne discende il raffinamento del modello, ed è il guadagno del capitolo. Là dove manca il ceto cattolico autoctono, l'ente non rinuncia all'insediamento: procede per trapianto di personale anziché per radicamento locale. L'insediamento formale avviene, ma la sua natura è diversa.</w:t>
      </w:r>
    </w:p>
    <w:p>
      <w:pPr>
        <w:spacing w:after="120" w:line="276"/>
        <w:jc w:val="both"/>
      </w:pPr>
      <w:r>
        <w:rPr>
          <w:rFonts w:ascii="Barlow Semi Condensed" w:cs="Barlow Semi Condensed" w:eastAsia="Barlow Semi Condensed" w:hAnsi="Barlow Semi Condensed"/>
          <w:sz w:val="24"/>
          <w:szCs w:val="24"/>
        </w:rPr>
        <w:t xml:space="preserve">Il modello rivisto va dunque formulato in due proposizioni anziché in una. Prima: dove esiste un ceto cattolico professionale autoctono, l'ente si radica su di esso, indipendentemente dalla confessione maggioritaria del Paese. Seconda: dove tale ceto manca, l'ente si insedia per trapianto e non si radica.</w:t>
      </w:r>
    </w:p>
    <w:p>
      <w:pPr>
        <w:spacing w:after="120" w:line="276"/>
        <w:jc w:val="both"/>
      </w:pPr>
      <w:r>
        <w:rPr>
          <w:rFonts w:ascii="Barlow Semi Condensed" w:cs="Barlow Semi Condensed" w:eastAsia="Barlow Semi Condensed" w:hAnsi="Barlow Semi Condensed"/>
          <w:sz w:val="24"/>
          <w:szCs w:val="24"/>
        </w:rPr>
        <w:t xml:space="preserve">Gli altri casi europei confermano. La Svizzera 1956, primo centro a Zurigo, città a forte componente protestante, con l'arrivo dall'Italia dell'architetto Pedro Turull e del sacerdote-psichiatra Johannes B. Torelló, entrambi provenienti dall'attività a Napoli, Milano e Palermo — dunque anch'essa per trapianto iniziale in ambiente universitario. L'Austria 1957, Vienna, cattolica, concepita dal fondatore come porta verso l'Europa centro-orientale. Il Belgio 1965, cattolico. L'Olanda, mista con forte minoranza cattolica.</w:t>
      </w:r>
    </w:p>
    <w:p>
      <w:pPr>
        <w:spacing w:after="120" w:line="276"/>
        <w:jc w:val="both"/>
      </w:pPr>
      <w:r>
        <w:rPr>
          <w:rFonts w:ascii="Barlow Semi Condensed" w:cs="Barlow Semi Condensed" w:eastAsia="Barlow Semi Condensed" w:hAnsi="Barlow Semi Condensed"/>
          <w:sz w:val="24"/>
          <w:szCs w:val="24"/>
        </w:rPr>
        <w:t xml:space="preserve">La regolarità che emerge dall'insieme non è la maggioranza cattolica del Paese, ma la compresenza di città universitarie e di un nucleo cattolico: autoctono e organizzato dove esiste, importato dalla Spagna dove il cattolicesimo autoctono è debole.</w:t>
      </w:r>
    </w:p>
    <w:p>
      <w:pPr>
        <w:pStyle w:val="Heading2"/>
        <w:spacing w:after="100" w:before="200"/>
      </w:pPr>
      <w:r>
        <w:rPr>
          <w:rFonts w:ascii="Barlow Semi Condensed" w:cs="Barlow Semi Condensed" w:eastAsia="Barlow Semi Condensed" w:hAnsi="Barlow Semi Condensed"/>
          <w:sz w:val="24"/>
          <w:szCs w:val="24"/>
        </w:rPr>
        <w:t xml:space="preserve">Capitolo settimo — La rilettura dei tre casi orientali secondo il modello rivisto</w:t>
      </w:r>
    </w:p>
    <w:p>
      <w:pPr>
        <w:spacing w:after="120" w:line="276"/>
        <w:jc w:val="both"/>
      </w:pPr>
      <w:r>
        <w:rPr>
          <w:rFonts w:ascii="Barlow Semi Condensed" w:cs="Barlow Semi Condensed" w:eastAsia="Barlow Semi Condensed" w:hAnsi="Barlow Semi Condensed"/>
          <w:sz w:val="24"/>
          <w:szCs w:val="24"/>
        </w:rPr>
        <w:t xml:space="preserve">Il capitolo esegue la conseguenza retroattiva annunciata al Capitolo primo, ed è la parte che rende la revisione un guadagno anziché una perdita.</w:t>
      </w:r>
    </w:p>
    <w:p>
      <w:pPr>
        <w:spacing w:after="120" w:line="276"/>
        <w:jc w:val="both"/>
      </w:pPr>
      <w:r>
        <w:rPr>
          <w:rFonts w:ascii="Barlow Semi Condensed" w:cs="Barlow Semi Condensed" w:eastAsia="Barlow Semi Condensed" w:hAnsi="Barlow Semi Condensed"/>
          <w:sz w:val="24"/>
          <w:szCs w:val="24"/>
        </w:rPr>
        <w:t xml:space="preserve">Il problema che il modello originario aveva. Esso spiegava le tre assenze orientali con il difetto della maggioranza cattolica. Ma tale spiegazione era sovrabbondante per la Turchia — dove sarebbero bastati altri due fattori — e imprecisa per Cipro, dove le comunità cattoliche esistevano, erano antiche e costituzionalmente riconosciute, sicché il caso appariva anomalo e andava trattato come eccezione probante.</w:t>
      </w:r>
    </w:p>
    <w:p>
      <w:pPr>
        <w:spacing w:after="120" w:line="276"/>
        <w:jc w:val="both"/>
      </w:pPr>
      <w:r>
        <w:rPr>
          <w:rFonts w:ascii="Barlow Semi Condensed" w:cs="Barlow Semi Condensed" w:eastAsia="Barlow Semi Condensed" w:hAnsi="Barlow Semi Condensed"/>
          <w:sz w:val="24"/>
          <w:szCs w:val="24"/>
        </w:rPr>
        <w:t xml:space="preserve">Il modello rivisto lo spiega meglio, e va mostrato caso per caso.</w:t>
      </w:r>
    </w:p>
    <w:p>
      <w:pPr>
        <w:spacing w:after="120" w:line="276"/>
        <w:jc w:val="both"/>
      </w:pPr>
      <w:r>
        <w:rPr>
          <w:rFonts w:ascii="Barlow Semi Condensed" w:cs="Barlow Semi Condensed" w:eastAsia="Barlow Semi Condensed" w:hAnsi="Barlow Semi Condensed"/>
          <w:sz w:val="24"/>
          <w:szCs w:val="24"/>
        </w:rPr>
        <w:t xml:space="preserve">La Grecia. Cattolici circa lo zero virgola cinque per cento, con nuclei ad Atene e villaggi interi a Syros e Tinos. Ma un ceto universitario e professionale cattolico autoctono non esisteva, e la Costituzione riconosceva alla Chiesa ortodossa la posizione di prevalente, con le altre confessioni qualificate come religioni straniere. La seconda condizione mancava, e questa è la ragione. La prima — che pure mancava — era irrilevante, come la Gran Bretagna dimostra.</w:t>
      </w:r>
    </w:p>
    <w:p>
      <w:pPr>
        <w:spacing w:after="120" w:line="276"/>
        <w:jc w:val="both"/>
      </w:pPr>
      <w:r>
        <w:rPr>
          <w:rFonts w:ascii="Barlow Semi Condensed" w:cs="Barlow Semi Condensed" w:eastAsia="Barlow Semi Condensed" w:hAnsi="Barlow Semi Condensed"/>
          <w:sz w:val="24"/>
          <w:szCs w:val="24"/>
        </w:rPr>
        <w:t xml:space="preserve">Cipro, ed è il caso che il modello rivisto salva. Le comunità cattoliche esistevano: maroniti dall'ottavo secolo, latini dal 1192, riconosciuti dalla Costituzione del 1960, con arcieparchia propria, vicariato patriarcale, quattro parrocchie e francescani dal 1593.</w:t>
      </w:r>
    </w:p>
    <w:p>
      <w:pPr>
        <w:spacing w:after="120" w:line="276"/>
        <w:jc w:val="both"/>
      </w:pPr>
      <w:r>
        <w:rPr>
          <w:rFonts w:ascii="Barlow Semi Condensed" w:cs="Barlow Semi Condensed" w:eastAsia="Barlow Semi Condensed" w:hAnsi="Barlow Semi Condensed"/>
          <w:sz w:val="24"/>
          <w:szCs w:val="24"/>
        </w:rPr>
        <w:t xml:space="preserve">Ma di che cosa erano composte? I maroniti erano duemilasettecentocinquantadue nel censimento del 1960, concentrati in quattro villaggi — Kormakitis, Asomatos, Karpaseia, Agia Marina — tutti nel nord dell'isola, e parlanti un dialetto aramaico-arabo oggi criticamente in pericolo. I latini erano quattro parrocchie urbane.</w:t>
      </w:r>
    </w:p>
    <w:p>
      <w:pPr>
        <w:spacing w:after="120" w:line="276"/>
        <w:jc w:val="both"/>
      </w:pPr>
      <w:r>
        <w:rPr>
          <w:rFonts w:ascii="Barlow Semi Condensed" w:cs="Barlow Semi Condensed" w:eastAsia="Barlow Semi Condensed" w:hAnsi="Barlow Semi Condensed"/>
          <w:sz w:val="24"/>
          <w:szCs w:val="24"/>
        </w:rPr>
        <w:t xml:space="preserve">Ne discende l'accertamento che il modello originario non poteva fare: Cipro aveva cattolici, ma non aveva un ceto universitario e professionale cattolico. Aveva contadini maroniti di villaggio e una piccola borghesia latina di quattro parrocchie costiere. Non aveva né università cattoliche, né associazioni accademiche cattoliche, né una classe professionale cattolica organizzata.</w:t>
      </w:r>
    </w:p>
    <w:p>
      <w:pPr>
        <w:spacing w:after="120" w:line="276"/>
        <w:jc w:val="both"/>
      </w:pPr>
      <w:r>
        <w:rPr>
          <w:rFonts w:ascii="Barlow Semi Condensed" w:cs="Barlow Semi Condensed" w:eastAsia="Barlow Semi Condensed" w:hAnsi="Barlow Semi Condensed"/>
          <w:sz w:val="24"/>
          <w:szCs w:val="24"/>
        </w:rPr>
        <w:t xml:space="preserve">Il caso cipriota cessa dunque di essere anomalo e diventa coerente. Nell'ottava ricognizione lo avevo definito il più probante perché isolava la variabile; nel modello rivisto è semplicemente il caso che mostra la differenza fra presenza cattolica e ceto cattolico.</w:t>
      </w:r>
    </w:p>
    <w:p>
      <w:pPr>
        <w:spacing w:after="120" w:line="276"/>
        <w:jc w:val="both"/>
      </w:pPr>
      <w:r>
        <w:rPr>
          <w:rFonts w:ascii="Barlow Semi Condensed" w:cs="Barlow Semi Condensed" w:eastAsia="Barlow Semi Condensed" w:hAnsi="Barlow Semi Condensed"/>
          <w:sz w:val="24"/>
          <w:szCs w:val="24"/>
        </w:rPr>
        <w:t xml:space="preserve">La Turchia. Cattolici fra le venticinquemila e le sessantamila unità secondo le stime divergenti, e — dato decisivo — in prevalenza non autoctoni: una fonte vaticana distingue, per il solo vicariato latino di Istanbul, poco più di diecimila fedeli locali e circa trentamila stranieri, rifugiati o migranti.</w:t>
      </w:r>
    </w:p>
    <w:p>
      <w:pPr>
        <w:spacing w:after="120" w:line="276"/>
        <w:jc w:val="both"/>
      </w:pPr>
      <w:r>
        <w:rPr>
          <w:rFonts w:ascii="Barlow Semi Condensed" w:cs="Barlow Semi Condensed" w:eastAsia="Barlow Semi Condensed" w:hAnsi="Barlow Semi Condensed"/>
          <w:sz w:val="24"/>
          <w:szCs w:val="24"/>
        </w:rPr>
        <w:t xml:space="preserve">Una comunità in prevalenza non autoctona non genera ceto professionale stabile. E la legge del 1971 che chiuse Halki, vietando l'istruzione superiore privata non affiliata allo Stato, precludeva per ciò stesso il modello di insediamento educativo dell'ente.</w:t>
      </w:r>
    </w:p>
    <w:p>
      <w:pPr>
        <w:spacing w:after="120" w:line="276"/>
        <w:jc w:val="both"/>
      </w:pPr>
      <w:r>
        <w:rPr>
          <w:rFonts w:ascii="Barlow Semi Condensed" w:cs="Barlow Semi Condensed" w:eastAsia="Barlow Semi Condensed" w:hAnsi="Barlow Semi Condensed"/>
          <w:sz w:val="24"/>
          <w:szCs w:val="24"/>
        </w:rPr>
        <w:t xml:space="preserve">Ne discende che il caso turco resta sovradeterminato, ma per ragioni diverse da quelle che il modello originario indicava: non per assenza di maggioranza cattolica, ma per assenza di ceto autoctono più preclusione legale dello strumento educativo.</w:t>
      </w:r>
    </w:p>
    <w:p>
      <w:pPr>
        <w:spacing w:after="120" w:line="276"/>
        <w:jc w:val="both"/>
      </w:pPr>
      <w:r>
        <w:rPr>
          <w:rFonts w:ascii="Barlow Semi Condensed" w:cs="Barlow Semi Condensed" w:eastAsia="Barlow Semi Condensed" w:hAnsi="Barlow Semi Condensed"/>
          <w:sz w:val="24"/>
          <w:szCs w:val="24"/>
        </w:rPr>
        <w:t xml:space="preserve">Il bilancio della rilettura, ed è il guadagno. Il modello rivisto ha meno condizioni e spiega più casi. È il segno che la revisione è un miglioramento e non una ritirata.</w:t>
      </w:r>
    </w:p>
    <w:p>
      <w:pPr>
        <w:pStyle w:val="Heading2"/>
        <w:spacing w:after="100" w:before="200"/>
      </w:pPr>
      <w:r>
        <w:rPr>
          <w:rFonts w:ascii="Barlow Semi Condensed" w:cs="Barlow Semi Condensed" w:eastAsia="Barlow Semi Condensed" w:hAnsi="Barlow Semi Condensed"/>
          <w:sz w:val="24"/>
          <w:szCs w:val="24"/>
        </w:rPr>
        <w:t xml:space="preserve">Capitolo ottavo — Le controversie tedesche degli anni Ottanta</w:t>
      </w:r>
    </w:p>
    <w:p>
      <w:pPr>
        <w:spacing w:after="120" w:line="276"/>
        <w:jc w:val="both"/>
      </w:pPr>
      <w:r>
        <w:rPr>
          <w:rFonts w:ascii="Barlow Semi Condensed" w:cs="Barlow Semi Condensed" w:eastAsia="Barlow Semi Condensed" w:hAnsi="Barlow Semi Condensed"/>
          <w:sz w:val="24"/>
          <w:szCs w:val="24"/>
        </w:rPr>
        <w:t xml:space="preserve">Il capitolo espone la contestazione pubblica dell'ente in Germania, con la disciplina consueta.</w:t>
      </w:r>
    </w:p>
    <w:p>
      <w:pPr>
        <w:spacing w:after="120" w:line="276"/>
        <w:jc w:val="both"/>
      </w:pPr>
      <w:r>
        <w:rPr>
          <w:rFonts w:ascii="Barlow Semi Condensed" w:cs="Barlow Semi Condensed" w:eastAsia="Barlow Semi Condensed" w:hAnsi="Barlow Semi Condensed"/>
          <w:sz w:val="24"/>
          <w:szCs w:val="24"/>
        </w:rPr>
        <w:t xml:space="preserve">I critici, con le opere e le date. Il giornalista Peter Hertel fu il principale: pubblicò trasmissioni radiofoniche e i volumi \</w:t>
      </w:r>
      <w:r>
        <w:rPr>
          <w:rFonts w:ascii="Barlow Semi Condensed" w:cs="Barlow Semi Condensed" w:eastAsia="Barlow Semi Condensed" w:hAnsi="Barlow Semi Condensed"/>
          <w:i/>
          <w:iCs/>
          <w:sz w:val="24"/>
          <w:szCs w:val="24"/>
        </w:rPr>
        <w:t xml:space="preserve">Ich verspreche euch den Himmel\</w:t>
      </w:r>
      <w:r>
        <w:rPr>
          <w:rFonts w:ascii="Barlow Semi Condensed" w:cs="Barlow Semi Condensed" w:eastAsia="Barlow Semi Condensed" w:hAnsi="Barlow Semi Condensed"/>
          <w:sz w:val="24"/>
          <w:szCs w:val="24"/>
        </w:rPr>
        <w:t xml:space="preserve">, Patmos, 1985, e \</w:t>
      </w:r>
      <w:r>
        <w:rPr>
          <w:rFonts w:ascii="Barlow Semi Condensed" w:cs="Barlow Semi Condensed" w:eastAsia="Barlow Semi Condensed" w:hAnsi="Barlow Semi Condensed"/>
          <w:i/>
          <w:iCs/>
          <w:sz w:val="24"/>
          <w:szCs w:val="24"/>
        </w:rPr>
        <w:t xml:space="preserve">Schleichende Übernahme\</w:t>
      </w:r>
      <w:r>
        <w:rPr>
          <w:rFonts w:ascii="Barlow Semi Condensed" w:cs="Barlow Semi Condensed" w:eastAsia="Barlow Semi Condensed" w:hAnsi="Barlow Semi Condensed"/>
          <w:sz w:val="24"/>
          <w:szCs w:val="24"/>
        </w:rPr>
        <w:t xml:space="preserve">, Publik-Forum, 2002. Klaus Steigleder pubblicò \</w:t>
      </w:r>
      <w:r>
        <w:rPr>
          <w:rFonts w:ascii="Barlow Semi Condensed" w:cs="Barlow Semi Condensed" w:eastAsia="Barlow Semi Condensed" w:hAnsi="Barlow Semi Condensed"/>
          <w:i/>
          <w:iCs/>
          <w:sz w:val="24"/>
          <w:szCs w:val="24"/>
        </w:rPr>
        <w:t xml:space="preserve">Das Opus Dei. Eine Innenansicht\</w:t>
      </w:r>
      <w:r>
        <w:rPr>
          <w:rFonts w:ascii="Barlow Semi Condensed" w:cs="Barlow Semi Condensed" w:eastAsia="Barlow Semi Condensed" w:hAnsi="Barlow Semi Condensed"/>
          <w:sz w:val="24"/>
          <w:szCs w:val="24"/>
        </w:rPr>
        <w:t xml:space="preserve">, 1983, in quarta edizione nel 1990.</w:t>
      </w:r>
    </w:p>
    <w:p>
      <w:pPr>
        <w:spacing w:after="120" w:line="276"/>
        <w:jc w:val="both"/>
      </w:pPr>
      <w:r>
        <w:rPr>
          <w:rFonts w:ascii="Barlow Semi Condensed" w:cs="Barlow Semi Condensed" w:eastAsia="Barlow Semi Condensed" w:hAnsi="Barlow Semi Condensed"/>
          <w:sz w:val="24"/>
          <w:szCs w:val="24"/>
        </w:rPr>
        <w:t xml:space="preserve">La reazione dell'ente, per via legale e apologetica. Il 27 novembre 1984 lo studio legale monacense Gritschneder, Ehrensperger e Widl presentò, per conto dell'associazione tedesca dell'ente e del vicario regionale César Ortiz, una querela presso la sezione civile del Landgericht München I; e furono diffuse contro-pubblicazioni ufficiali, fra cui Hans Thomas, \</w:t>
      </w:r>
      <w:r>
        <w:rPr>
          <w:rFonts w:ascii="Barlow Semi Condensed" w:cs="Barlow Semi Condensed" w:eastAsia="Barlow Semi Condensed" w:hAnsi="Barlow Semi Condensed"/>
          <w:i/>
          <w:iCs/>
          <w:sz w:val="24"/>
          <w:szCs w:val="24"/>
        </w:rPr>
        <w:t xml:space="preserve">Opus Dei: Vorwürfe und Antworten\</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episodio parrocchiale va riportato perché mostra il livello a cui la resistenza si manifestò. Nel dicembre 1984 una parrocchia di Colonia rifiutò di accogliere il primo parroco dell'Opus Dei della Germania Ovest, padre Peter Irrgang, che fu poi accolto dalla piccola comunità di Kreuzweingarten. La notizia è riportata dal \</w:t>
      </w:r>
      <w:r>
        <w:rPr>
          <w:rFonts w:ascii="Barlow Semi Condensed" w:cs="Barlow Semi Condensed" w:eastAsia="Barlow Semi Condensed" w:hAnsi="Barlow Semi Condensed"/>
          <w:i/>
          <w:iCs/>
          <w:sz w:val="24"/>
          <w:szCs w:val="24"/>
        </w:rPr>
        <w:t xml:space="preserve">Christian Science Monitor\</w:t>
      </w:r>
      <w:r>
        <w:rPr>
          <w:rFonts w:ascii="Barlow Semi Condensed" w:cs="Barlow Semi Condensed" w:eastAsia="Barlow Semi Condensed" w:hAnsi="Barlow Semi Condensed"/>
          <w:sz w:val="24"/>
          <w:szCs w:val="24"/>
        </w:rPr>
        <w:t xml:space="preserve"> del 31 dicembre 1984.</w:t>
      </w:r>
    </w:p>
    <w:p>
      <w:pPr>
        <w:spacing w:after="120" w:line="276"/>
        <w:jc w:val="both"/>
      </w:pPr>
      <w:r>
        <w:rPr>
          <w:rFonts w:ascii="Barlow Semi Condensed" w:cs="Barlow Semi Condensed" w:eastAsia="Barlow Semi Condensed" w:hAnsi="Barlow Semi Condensed"/>
          <w:sz w:val="24"/>
          <w:szCs w:val="24"/>
        </w:rPr>
        <w:t xml:space="preserve">Il rilievo va enunciato con precisione perché è a doppio taglio. L'episodio documenta al tempo stesso una reticenza a livello di singola parrocchia e la persistente accoglienza a livello diocesano — poiché fu l'arcidiocesi ad assegnare il parroco, e un'altra comunità della medesima arcidiocesi ad accoglierlo.</w:t>
      </w:r>
    </w:p>
    <w:p>
      <w:pPr>
        <w:spacing w:after="120" w:line="276"/>
        <w:jc w:val="both"/>
      </w:pPr>
      <w:r>
        <w:rPr>
          <w:rFonts w:ascii="Barlow Semi Condensed" w:cs="Barlow Semi Condensed" w:eastAsia="Barlow Semi Condensed" w:hAnsi="Barlow Semi Condensed"/>
          <w:sz w:val="24"/>
          <w:szCs w:val="24"/>
        </w:rPr>
        <w:t xml:space="preserve">Quanto alla gerarchia, un esito negativo va dichiarato.\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risulta dalle fonti reperite una presa di posizione formale e negativa della Conferenza episcopale tedesca contro l'ente.</w:t>
      </w:r>
    </w:p>
    <w:p>
      <w:pPr>
        <w:spacing w:after="120" w:line="276"/>
        <w:jc w:val="both"/>
      </w:pPr>
      <w:r>
        <w:rPr>
          <w:rFonts w:ascii="Barlow Semi Condensed" w:cs="Barlow Semi Condensed" w:eastAsia="Barlow Semi Condensed" w:hAnsi="Barlow Semi Condensed"/>
          <w:sz w:val="24"/>
          <w:szCs w:val="24"/>
        </w:rPr>
        <w:t xml:space="preserve">Il quadro canonico coevo. L'erezione a prelatura personale con la costituzione apostolica \</w:t>
      </w:r>
      <w:r>
        <w:rPr>
          <w:rFonts w:ascii="Barlow Semi Condensed" w:cs="Barlow Semi Condensed" w:eastAsia="Barlow Semi Condensed" w:hAnsi="Barlow Semi Condensed"/>
          <w:i/>
          <w:iCs/>
          <w:sz w:val="24"/>
          <w:szCs w:val="24"/>
        </w:rPr>
        <w:t xml:space="preserve">Ut sit\</w:t>
      </w:r>
      <w:r>
        <w:rPr>
          <w:rFonts w:ascii="Barlow Semi Condensed" w:cs="Barlow Semi Condensed" w:eastAsia="Barlow Semi Condensed" w:hAnsi="Barlow Semi Condensed"/>
          <w:sz w:val="24"/>
          <w:szCs w:val="24"/>
        </w:rPr>
        <w:t xml:space="preserve">, datata 28 novembre 1982 con atto esecutivo del 19 marzo 1983, fu preceduta — secondo la fonte ufficiale — dalla consultazione degli oltre duemila vescovi delle diocesi in cui l'ente era presente, fra cui gli ordinari tedeschi; ed è documentata una dichiarazione di Álvaro del Portillo alla Conferenza episcopale tedesca, pubblicata dall'ufficio stampa dell'arcidiocesi di Colonia il 3 settembre 1983.</w:t>
      </w:r>
    </w:p>
    <w:p>
      <w:pPr>
        <w:spacing w:after="120" w:line="276"/>
        <w:jc w:val="both"/>
      </w:pPr>
      <w:r>
        <w:rPr>
          <w:rFonts w:ascii="Barlow Semi Condensed" w:cs="Barlow Semi Condensed" w:eastAsia="Barlow Semi Condensed" w:hAnsi="Barlow Semi Condensed"/>
          <w:sz w:val="24"/>
          <w:szCs w:val="24"/>
        </w:rPr>
        <w:t xml:space="preserve">Sulla posizione dei partiti dell'Unione verso l'ente si registra Stato Zero. Le fonti reperite non documentano una posizione ufficiale di partito. La sede di accertamento è l'Archiv für Christlich-Demokratische Politik della Konrad-Adenauer-Stiftung.</w:t>
      </w:r>
    </w:p>
    <w:p>
      <w:pPr>
        <w:spacing w:after="120" w:line="276"/>
        <w:jc w:val="both"/>
      </w:pPr>
      <w:r>
        <w:rPr>
          <w:rFonts w:ascii="Barlow Semi Condensed" w:cs="Barlow Semi Condensed" w:eastAsia="Barlow Semi Condensed" w:hAnsi="Barlow Semi Condensed"/>
          <w:sz w:val="24"/>
          <w:szCs w:val="24"/>
        </w:rPr>
        <w:t xml:space="preserve">Una nota sulla presenza pubblica dei membri, e vale come applicazione della prescrizione. Il membro tedesco di maggiore rilievo accademico documentato è Fernando Inciarte, ordinario a Münster; ma era di origine spagnola, fra i primissimi arrivati del 1952, e non un tedesco autoctono reclutato in loco — circostanza che va segnalata per non falsare il quadro. Non risultano, dalle fonti reperite, membri tedeschi autoctoni in posizioni pubbliche o economiche di primo piano documentati per il periodo con fonti affidabili.</w:t>
      </w:r>
    </w:p>
    <w:p>
      <w:pPr>
        <w:spacing w:after="120" w:line="276"/>
        <w:jc w:val="both"/>
      </w:pPr>
      <w:r>
        <w:rPr>
          <w:rFonts w:ascii="Barlow Semi Condensed" w:cs="Barlow Semi Condensed" w:eastAsia="Barlow Semi Condensed" w:hAnsi="Barlow Semi Condensed"/>
          <w:sz w:val="24"/>
          <w:szCs w:val="24"/>
        </w:rPr>
        <w:t xml:space="preserve">E si ribadisce che nessuno dei fatti qui riportati — l'appartenenza di questa o quella persona, il possesso di questa o quella struttura — costituisce di per sé prova di una condotta dell'organizzazione.</w:t>
      </w:r>
    </w:p>
    <w:p>
      <w:pPr>
        <w:pStyle w:val="Heading2"/>
        <w:spacing w:after="100" w:before="200"/>
      </w:pPr>
      <w:r>
        <w:rPr>
          <w:rFonts w:ascii="Barlow Semi Condensed" w:cs="Barlow Semi Condensed" w:eastAsia="Barlow Semi Condensed" w:hAnsi="Barlow Semi Condensed"/>
          <w:sz w:val="24"/>
          <w:szCs w:val="24"/>
        </w:rPr>
        <w:t xml:space="preserve">Capitolo nono — Moro e la Germania: il residuo che resta aperto</w:t>
      </w:r>
    </w:p>
    <w:p>
      <w:pPr>
        <w:spacing w:after="120" w:line="276"/>
        <w:jc w:val="both"/>
      </w:pPr>
      <w:r>
        <w:rPr>
          <w:rFonts w:ascii="Barlow Semi Condensed" w:cs="Barlow Semi Condensed" w:eastAsia="Barlow Semi Condensed" w:hAnsi="Barlow Semi Condensed"/>
          <w:sz w:val="24"/>
          <w:szCs w:val="24"/>
        </w:rPr>
        <w:t xml:space="preserve">Il capitolo è breve e ne dichiara la ragione: sul versante moroteo tedesco le due ricognizioni anteriori hanno già esaurito il reperibile, e ciò che resta è iscritto in tavola.</w:t>
      </w:r>
    </w:p>
    <w:p>
      <w:pPr>
        <w:spacing w:after="120" w:line="276"/>
        <w:jc w:val="both"/>
      </w:pPr>
      <w:r>
        <w:rPr>
          <w:rFonts w:ascii="Barlow Semi Condensed" w:cs="Barlow Semi Condensed" w:eastAsia="Barlow Semi Condensed" w:hAnsi="Barlow Semi Condensed"/>
          <w:sz w:val="24"/>
          <w:szCs w:val="24"/>
        </w:rPr>
        <w:t xml:space="preserve">Che cosa è accertato, e non si ripete. I due mandati, dal 5 agosto 1969 al 26 giugno 1972 e dal 7 luglio 1973 al 23 novembre 1974; il bilaterale Moro-Brandt del 31 agosto e 1 settembre 1969 a Roma, quando Brandt era ancora ministro degli Esteri della Grande Coalizione; le visite di Brandt a Roma del 12-14 luglio e 23-25 novembre 1970; la presenza di Moro accanto a Emilio Colombo a Bonn nel 1971 in un ricevimento all'Ambasciata d'Italia cui parteciparono anche Scheel e Genscher, documentata dai filmati amatoriali dell'ambasciatore Mario Luciolli; il Vertice dell'Aja del 1-2 dicembre 1969 con il ruolo marginale dell'Italia e il braccio di ferro con Pompidou sull'ingresso britannico; il riconoscimento italiano della Repubblica Democratica Tedesca del 17 gennaio 1973, caduto fra i due mandati con ministro Giuseppe Medici.</w:t>
      </w:r>
    </w:p>
    <w:p>
      <w:pPr>
        <w:spacing w:after="120" w:line="276"/>
        <w:jc w:val="both"/>
      </w:pPr>
      <w:r>
        <w:rPr>
          <w:rFonts w:ascii="Barlow Semi Condensed" w:cs="Barlow Semi Condensed" w:eastAsia="Barlow Semi Condensed" w:hAnsi="Barlow Semi Condensed"/>
          <w:sz w:val="24"/>
          <w:szCs w:val="24"/>
        </w:rPr>
        <w:t xml:space="preserve">Che cosa resta non conseguito, ed è la seconda voce della tavola. La posizione italiana su ciascuno dei cinque atti della Ostpolitik — Mosca 1970, Varsavia 1970, Berlino 1971, Trattato fondamentale 1972, ingresso alle Nazioni Unite 1973 — e la conferma nominativa e datata degli incontri Moro-Scheel.</w:t>
      </w:r>
    </w:p>
    <w:p>
      <w:pPr>
        <w:spacing w:after="120" w:line="276"/>
        <w:jc w:val="both"/>
      </w:pPr>
      <w:r>
        <w:rPr>
          <w:rFonts w:ascii="Barlow Semi Condensed" w:cs="Barlow Semi Condensed" w:eastAsia="Barlow Semi Condensed" w:hAnsi="Barlow Semi Condensed"/>
          <w:sz w:val="24"/>
          <w:szCs w:val="24"/>
        </w:rPr>
        <w:t xml:space="preserve">Un elemento va aggiunto perché la ricerca tedesca lo ha prodotto e le due anteriori no. Lo studio di Laura Fasanaro intitola un paragrafo dopo il riconoscimento, Moro incontra Honecker; e il recensore Francesco Di Palma, su \</w:t>
      </w:r>
      <w:r>
        <w:rPr>
          <w:rFonts w:ascii="Barlow Semi Condensed" w:cs="Barlow Semi Condensed" w:eastAsia="Barlow Semi Condensed" w:hAnsi="Barlow Semi Condensed"/>
          <w:i/>
          <w:iCs/>
          <w:sz w:val="24"/>
          <w:szCs w:val="24"/>
        </w:rPr>
        <w:t xml:space="preserve">sehepunkte\</w:t>
      </w:r>
      <w:r>
        <w:rPr>
          <w:rFonts w:ascii="Barlow Semi Condensed" w:cs="Barlow Semi Condensed" w:eastAsia="Barlow Semi Condensed" w:hAnsi="Barlow Semi Condensed"/>
          <w:sz w:val="24"/>
          <w:szCs w:val="24"/>
        </w:rPr>
        <w:t xml:space="preserve"> nel 2018, sintetizza la tesi dell'autrice attestando che le origini di questi rapporti presuntamente privilegiati risalgono all'azione del politico democristiano Aldo Moro, fautore di una coerente politica di distensione verso gli Stati del blocco orientale, intesa a promuovere in modo differenziato il dialogo con Paesi realsocialisti selezionati, anzitutto la Repubblica Democratica Tedesca.</w:t>
      </w:r>
    </w:p>
    <w:p>
      <w:pPr>
        <w:spacing w:after="120" w:line="276"/>
        <w:jc w:val="both"/>
      </w:pPr>
      <w:r>
        <w:rPr>
          <w:rFonts w:ascii="Barlow Semi Condensed" w:cs="Barlow Semi Condensed" w:eastAsia="Barlow Semi Condensed" w:hAnsi="Barlow Semi Condensed"/>
          <w:sz w:val="24"/>
          <w:szCs w:val="24"/>
        </w:rPr>
        <w:t xml:space="preserve">Ne discende una qualificazione della posizione morotea che le ricognizioni anteriori non avevano: non semplice allineamento alla distensione altrui, ma politica propria e differenziata verso l'Est, di cui il riconoscimento del 1973 fu esito e non origine.</w:t>
      </w:r>
    </w:p>
    <w:p>
      <w:pPr>
        <w:spacing w:after="120" w:line="276"/>
        <w:jc w:val="both"/>
      </w:pPr>
      <w:r>
        <w:rPr>
          <w:rFonts w:ascii="Barlow Semi Condensed" w:cs="Barlow Semi Condensed" w:eastAsia="Barlow Semi Condensed" w:hAnsi="Barlow Semi Condensed"/>
          <w:sz w:val="24"/>
          <w:szCs w:val="24"/>
        </w:rPr>
        <w:t xml:space="preserve">Va però segnalato che la sintesi è del recensore e attribuisce a Moro un ruolo di origine per rapporti che si sviluppano dopo il 1973, cioè in larga parte fuori dai suoi mandati ministeriali. La distinzione fra ministro degli Esteri e presidente del Consiglio va mantenuta.</w:t>
      </w:r>
    </w:p>
    <w:p>
      <w:pPr>
        <w:spacing w:after="120" w:line="276"/>
        <w:jc w:val="both"/>
      </w:pPr>
      <w:r>
        <w:rPr>
          <w:rFonts w:ascii="Barlow Semi Condensed" w:cs="Barlow Semi Condensed" w:eastAsia="Barlow Semi Condensed" w:hAnsi="Barlow Semi Condensed"/>
          <w:sz w:val="24"/>
          <w:szCs w:val="24"/>
        </w:rPr>
        <w:t xml:space="preserve">Uno strumento va segnalato perché copre esattamente il periodo che il volume di Fasanaro lascia in ombra. La tesi di dottorato di Filippo Triola, discussa all'Università di Bologna, sulle relazioni italo-tedesche; la parte edita, confluita nel volume \</w:t>
      </w:r>
      <w:r>
        <w:rPr>
          <w:rFonts w:ascii="Barlow Semi Condensed" w:cs="Barlow Semi Condensed" w:eastAsia="Barlow Semi Condensed" w:hAnsi="Barlow Semi Condensed"/>
          <w:i/>
          <w:iCs/>
          <w:sz w:val="24"/>
          <w:szCs w:val="24"/>
        </w:rPr>
        <w:t xml:space="preserve">L'alleato naturale\</w:t>
      </w:r>
      <w:r>
        <w:rPr>
          <w:rFonts w:ascii="Barlow Semi Condensed" w:cs="Barlow Semi Condensed" w:eastAsia="Barlow Semi Condensed" w:hAnsi="Barlow Semi Condensed"/>
          <w:sz w:val="24"/>
          <w:szCs w:val="24"/>
        </w:rPr>
        <w:t xml:space="preserve">, Le Monnier 2017, copre prevalentemente il 1945-1955, ma il testo integrale andrebbe consultato per il 1963-1972.</w:t>
      </w:r>
    </w:p>
    <w:p>
      <w:pPr>
        <w:pStyle w:val="Heading2"/>
        <w:spacing w:after="100" w:before="200"/>
      </w:pPr>
      <w:r>
        <w:rPr>
          <w:rFonts w:ascii="Barlow Semi Condensed" w:cs="Barlow Semi Condensed" w:eastAsia="Barlow Semi Condensed" w:hAnsi="Barlow Semi Condensed"/>
          <w:sz w:val="24"/>
          <w:szCs w:val="24"/>
        </w:rPr>
        <w:t xml:space="preserve">Capitolo decimo — Che cosa la revisione lascia in piedi e che cosa abbatte</w:t>
      </w:r>
    </w:p>
    <w:p>
      <w:pPr>
        <w:spacing w:after="120" w:line="276"/>
        <w:jc w:val="both"/>
      </w:pPr>
      <w:r>
        <w:rPr>
          <w:rFonts w:ascii="Barlow Semi Condensed" w:cs="Barlow Semi Condensed" w:eastAsia="Barlow Semi Condensed" w:hAnsi="Barlow Semi Condensed"/>
          <w:sz w:val="24"/>
          <w:szCs w:val="24"/>
        </w:rPr>
        <w:t xml:space="preserve">Il capitolo espone il bilancio formale dell'atto, perché sia chiaro che cosa nel corpus resta valido e che cosa va emendato.</w:t>
      </w:r>
    </w:p>
    <w:p>
      <w:pPr>
        <w:spacing w:after="120" w:line="276"/>
        <w:jc w:val="both"/>
      </w:pPr>
      <w:r>
        <w:rPr>
          <w:rFonts w:ascii="Barlow Semi Condensed" w:cs="Barlow Semi Condensed" w:eastAsia="Barlow Semi Condensed" w:hAnsi="Barlow Semi Condensed"/>
          <w:sz w:val="24"/>
          <w:szCs w:val="24"/>
        </w:rPr>
        <w:t xml:space="preserve">Che cosa è abbattuto. La prima condizione della proposizione dell'ottava ricognizione — la maggioranza cattolica della popolazione — è falsificata e va espunta. Il caso che la falsifica non è uno ma tre: Gran Bretagna 1946, Germania 1952, Svezia 1984, tutti Paesi a maggioranza protestante in cui l'ente si insediò.</w:t>
      </w:r>
    </w:p>
    <w:p>
      <w:pPr>
        <w:spacing w:after="120" w:line="276"/>
        <w:jc w:val="both"/>
      </w:pPr>
      <w:r>
        <w:rPr>
          <w:rFonts w:ascii="Barlow Semi Condensed" w:cs="Barlow Semi Condensed" w:eastAsia="Barlow Semi Condensed" w:hAnsi="Barlow Semi Condensed"/>
          <w:sz w:val="24"/>
          <w:szCs w:val="24"/>
        </w:rPr>
        <w:t xml:space="preserve">Che cosa resta in piedi. La seconda condizione — il ceto universitario e professionale cattolico autoctono — regge, ed è confermata da tutti i casi esaminati: presente e organizzato in Germania, presente e minoritario ma organizzato in Gran Bretagna, assente in Grecia, Cipro e Turchia, assente in Svezia dove infatti l'insediamento avviene per trapianto.</w:t>
      </w:r>
    </w:p>
    <w:p>
      <w:pPr>
        <w:spacing w:after="120" w:line="276"/>
        <w:jc w:val="both"/>
      </w:pPr>
      <w:r>
        <w:rPr>
          <w:rFonts w:ascii="Barlow Semi Condensed" w:cs="Barlow Semi Condensed" w:eastAsia="Barlow Semi Condensed" w:hAnsi="Barlow Semi Condensed"/>
          <w:sz w:val="24"/>
          <w:szCs w:val="24"/>
        </w:rPr>
        <w:t xml:space="preserve">Che cosa è aggiunto. La distinzione fra radicamento e trapianto, che il modello originario non contemplava e che il caso svedese impone. L'ente si insedia in entrambi i casi; ma dove il ceto autoctono manca, esso importa personale anziché reclutarlo. Questa distinzione ha una conseguenza operativa: la presenza dell'ente in un elenco ufficiale non dice, di per sé, di quale delle due nature essa sia, e per accertarlo occorre guardare alla provenienza dei membri.</w:t>
      </w:r>
    </w:p>
    <w:p>
      <w:pPr>
        <w:spacing w:after="120" w:line="276"/>
        <w:jc w:val="both"/>
      </w:pPr>
      <w:r>
        <w:rPr>
          <w:rFonts w:ascii="Barlow Semi Condensed" w:cs="Barlow Semi Condensed" w:eastAsia="Barlow Semi Condensed" w:hAnsi="Barlow Semi Condensed"/>
          <w:sz w:val="24"/>
          <w:szCs w:val="24"/>
        </w:rPr>
        <w:t xml:space="preserve">Che cosa resta non dimostrato, e va dichiarato. Che la seconda condizione sia necessaria non è dimostrato, e non lo sarebbe nemmeno con venti casi. Occorrerebbe un caso in cui essa sussista e l'ente sia comunque assente, e tale caso non è stato cercato.</w:t>
      </w:r>
    </w:p>
    <w:p>
      <w:pPr>
        <w:spacing w:after="120" w:line="276"/>
        <w:jc w:val="both"/>
      </w:pPr>
      <w:r>
        <w:rPr>
          <w:rFonts w:ascii="Barlow Semi Condensed" w:cs="Barlow Semi Condensed" w:eastAsia="Barlow Semi Condensed" w:hAnsi="Barlow Semi Condensed"/>
          <w:sz w:val="24"/>
          <w:szCs w:val="24"/>
        </w:rPr>
        <w:t xml:space="preserve">La confutazione integrale resta possibile e la sua condizione va ripetuta. Il modello rivisto sarebbe falsificato dal reperimento di un insediamento radicato — non per trapianto — in un Paese privo di ceto cattolico professionale autoctono. I casi da esaminare restano quelli elencati nell'ottava ricognizione e mai studiati: Giappone 1958, Kenya 1958, Nigeria 1965, India 1993, Kazakhistan 1997, Indonesia 2008, Sri Lanka 2011.</w:t>
      </w:r>
    </w:p>
    <w:p>
      <w:pPr>
        <w:spacing w:after="120" w:line="276"/>
        <w:jc w:val="both"/>
      </w:pPr>
      <w:r>
        <w:rPr>
          <w:rFonts w:ascii="Barlow Semi Condensed" w:cs="Barlow Semi Condensed" w:eastAsia="Barlow Semi Condensed" w:hAnsi="Barlow Semi Condensed"/>
          <w:sz w:val="24"/>
          <w:szCs w:val="24"/>
        </w:rPr>
        <w:t xml:space="preserve">E qui va enunciata una cosa sul metodo che vale oltre l'oggetto. Il modello originario è caduto dopo due ricognizioni, per opera della ricerca che io stesso avevo indirizzato al caso avverso. Ciò è avvenuto perché la proposizione era stata formulata con la propria condizione di falsificazione esplicita e perché i casi potenzialmente confutanti erano stati elencati per nome anziché taciuti.</w:t>
      </w:r>
    </w:p>
    <w:p>
      <w:pPr>
        <w:spacing w:after="120" w:line="276"/>
        <w:jc w:val="both"/>
      </w:pPr>
      <w:r>
        <w:rPr>
          <w:rFonts w:ascii="Barlow Semi Condensed" w:cs="Barlow Semi Condensed" w:eastAsia="Barlow Semi Condensed" w:hAnsi="Barlow Semi Condensed"/>
          <w:sz w:val="24"/>
          <w:szCs w:val="24"/>
        </w:rPr>
        <w:t xml:space="preserve">Una proposizione che non elenchi i propri casi avversi non può essere confutata, e per ciò stesso non è una proposizione. Questo, e non l'esito, è il guadagno che la serie consegna.</w:t>
      </w:r>
    </w:p>
    <w:p>
      <w:pPr>
        <w:pStyle w:val="Heading2"/>
        <w:spacing w:after="100" w:before="200"/>
      </w:pPr>
      <w:r>
        <w:rPr>
          <w:rFonts w:ascii="Barlow Semi Condensed" w:cs="Barlow Semi Condensed" w:eastAsia="Barlow Semi Condensed" w:hAnsi="Barlow Semi Condensed"/>
          <w:sz w:val="24"/>
          <w:szCs w:val="24"/>
        </w:rPr>
        <w:t xml:space="preserve">Capitolo undicesimo — Le triangolazioni nel perimetro tedesco</w:t>
      </w:r>
    </w:p>
    <w:p>
      <w:pPr>
        <w:spacing w:after="120" w:line="276"/>
        <w:jc w:val="both"/>
      </w:pPr>
      <w:r>
        <w:rPr>
          <w:rFonts w:ascii="Barlow Semi Condensed" w:cs="Barlow Semi Condensed" w:eastAsia="Barlow Semi Condensed" w:hAnsi="Barlow Semi Condensed"/>
          <w:sz w:val="24"/>
          <w:szCs w:val="24"/>
        </w:rPr>
        <w:t xml:space="preserve">Il capitolo raccoglie le triangolazioni, con il grado e con ciò che non stabiliscono.</w:t>
      </w:r>
    </w:p>
    <w:p>
      <w:pPr>
        <w:spacing w:after="120" w:line="276"/>
        <w:jc w:val="both"/>
      </w:pPr>
      <w:r>
        <w:rPr>
          <w:rFonts w:ascii="Barlow Semi Condensed" w:cs="Barlow Semi Condensed" w:eastAsia="Barlow Semi Condensed" w:hAnsi="Barlow Semi Condensed"/>
          <w:sz w:val="24"/>
          <w:szCs w:val="24"/>
        </w:rPr>
        <w:t xml:space="preserve">Prima: Moro e l'Opus Dei in Germania. Stato Zero, per la terza volta nella serie. Nessun documento collega Moro all'ente in alcuna veste, né in Italia, né in Spagna, né in Portogallo, né in Germania. La ragione culturale è già stata esposta: la collocazione morotea nella FUCI, nel Movimento dei Laureati Cattolici, nella rivista \</w:t>
      </w:r>
      <w:r>
        <w:rPr>
          <w:rFonts w:ascii="Barlow Semi Condensed" w:cs="Barlow Semi Condensed" w:eastAsia="Barlow Semi Condensed" w:hAnsi="Barlow Semi Condensed"/>
          <w:i/>
          <w:iCs/>
          <w:sz w:val="24"/>
          <w:szCs w:val="24"/>
        </w:rPr>
        <w:t xml:space="preserve">Studium\</w:t>
      </w:r>
      <w:r>
        <w:rPr>
          <w:rFonts w:ascii="Barlow Semi Condensed" w:cs="Barlow Semi Condensed" w:eastAsia="Barlow Semi Condensed" w:hAnsi="Barlow Semi Condensed"/>
          <w:sz w:val="24"/>
          <w:szCs w:val="24"/>
        </w:rPr>
        <w:t xml:space="preserve"> e nella componente dossettiana è distante per teologia politica dall'ambiente dell'ente.</w:t>
      </w:r>
    </w:p>
    <w:p>
      <w:pPr>
        <w:spacing w:after="120" w:line="276"/>
        <w:jc w:val="both"/>
      </w:pPr>
      <w:r>
        <w:rPr>
          <w:rFonts w:ascii="Barlow Semi Condensed" w:cs="Barlow Semi Condensed" w:eastAsia="Barlow Semi Condensed" w:hAnsi="Barlow Semi Condensed"/>
          <w:sz w:val="24"/>
          <w:szCs w:val="24"/>
        </w:rPr>
        <w:t xml:space="preserve">Un elemento nuovo va però aggiunto per la Germania, e rafforza l'esito. L'ente si insediò in Germania nel 1952 su patrocinio dell'arcivescovo di Colonia, cioè attraverso il canale gerarchico diocesano. Moro operava attraverso il canale governativo e comunitario. I due canali non si incrociano, e la loro non intersezione spiega l'esito anziché limitarsi a registrarlo.</w:t>
      </w:r>
    </w:p>
    <w:p>
      <w:pPr>
        <w:spacing w:after="120" w:line="276"/>
        <w:jc w:val="both"/>
      </w:pPr>
      <w:r>
        <w:rPr>
          <w:rFonts w:ascii="Barlow Semi Condensed" w:cs="Barlow Semi Condensed" w:eastAsia="Barlow Semi Condensed" w:hAnsi="Barlow Semi Condensed"/>
          <w:sz w:val="24"/>
          <w:szCs w:val="24"/>
        </w:rPr>
        <w:t xml:space="preserve">Seconda: l'ente e la gerarchia tedesca. Grado alto quanto al fatto: sollecitazione attiva di Frings nel 1952, benevolenza continuativa di Höffner e Meisner. Ciò che non stabilisce: l'appartenenza personale dei tre cardinali, tesi pubblicistica non sostenuta; e alcuna condotta dell'ente in Germania, poiché il patrocinio di un ordinario attesta l'accoglienza e non l'operato.</w:t>
      </w:r>
    </w:p>
    <w:p>
      <w:pPr>
        <w:spacing w:after="120" w:line="276"/>
        <w:jc w:val="both"/>
      </w:pPr>
      <w:r>
        <w:rPr>
          <w:rFonts w:ascii="Barlow Semi Condensed" w:cs="Barlow Semi Condensed" w:eastAsia="Barlow Semi Condensed" w:hAnsi="Barlow Semi Condensed"/>
          <w:sz w:val="24"/>
          <w:szCs w:val="24"/>
        </w:rPr>
        <w:t xml:space="preserve">Terza: l'ente e il milieu cattolico organizzato. Grado alto. Ciò che stabilisce: che l'insediamento avvenne selettivamente sul ceto universitario renano, con nomi e date. Ciò che non stabilisce: alcun rapporto con la vita politica tedesca, sulla quale si registra Stato Zero quanto alla posizione dei partiti dell'Unione.</w:t>
      </w:r>
    </w:p>
    <w:p>
      <w:pPr>
        <w:spacing w:after="120" w:line="276"/>
        <w:jc w:val="both"/>
      </w:pPr>
      <w:r>
        <w:rPr>
          <w:rFonts w:ascii="Barlow Semi Condensed" w:cs="Barlow Semi Condensed" w:eastAsia="Barlow Semi Condensed" w:hAnsi="Barlow Semi Condensed"/>
          <w:sz w:val="24"/>
          <w:szCs w:val="24"/>
        </w:rPr>
        <w:t xml:space="preserve">Quarta: il rapporto fra il caso tedesco e i casi iberici. Grado medio, ed è comparativo e non relazionale. Portogallo e Germania si dispongono agli estremi opposti quanto all'accoglienza gerarchica — reticenza di Cerejeira, sollecitazione di Frings — e in entrambi l'insediamento avvenne. Ciò che questo non stabilisce: alcun rapporto fra i due casi, che sono indipendenti; è regolarità comparativa e non nesso.</w:t>
      </w:r>
    </w:p>
    <w:p>
      <w:pPr>
        <w:spacing w:after="120" w:line="276"/>
        <w:jc w:val="both"/>
      </w:pPr>
      <w:r>
        <w:rPr>
          <w:rFonts w:ascii="Barlow Semi Condensed" w:cs="Barlow Semi Condensed" w:eastAsia="Barlow Semi Condensed" w:hAnsi="Barlow Semi Condensed"/>
          <w:sz w:val="24"/>
          <w:szCs w:val="24"/>
        </w:rPr>
        <w:t xml:space="preserve">Il bilancio, ed è la decima volta consecutiva. Nessuna triangolazione coinvolge insieme i tre termini — Italia di Moro, Santa Sede, Opus Dei. Nel perimetro tedesco i primi due si incontrano una volta sola e in modo notevole — la sequenza Oder-Neisse della nona ricognizione, unico nesso documentato della serie — ma il terzo termine non vi compare.</w:t>
      </w:r>
    </w:p>
    <w:p>
      <w:pPr>
        <w:spacing w:after="120" w:line="276"/>
        <w:jc w:val="both"/>
      </w:pPr>
      <w:r>
        <w:rPr>
          <w:rFonts w:ascii="Barlow Semi Condensed" w:cs="Barlow Semi Condensed" w:eastAsia="Barlow Semi Condensed" w:hAnsi="Barlow Semi Condensed"/>
          <w:sz w:val="24"/>
          <w:szCs w:val="24"/>
        </w:rPr>
        <w:t xml:space="preserve">Una osservazione conclusiva sul perché. Dieci ricognizioni hanno cercato l'intersezione fra un ministro degli Esteri, una diplomazia pontificia e un ente di apostolato laicale. I tre operano su piani che non si intersecano per costruzione: il primo tratta con governi, la seconda con Stati e Chiese, il terzo con individui e ambienti professionali. L'assenza di triangolazione non è un difetto delle fonti: è una proprietà degli oggetti.</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delle dieci ricognizioni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di rendimento massimo, ed è la sola che possa falsificare il modello rivisto. L'esame dei casi extraeuropei — Giappone 1958, Kenya 1958, Nigeria 1965, India 1993, Kazakhistan 1997, Indonesia 2008, Sri Lanka 2011 — per verificare se in essi l'insediamento fu radicamento o trapianto, e se in alcuno di essi vi sia stato radicamento in assenza di ceto cattolico professionale autoctono. Sedi: storiografia sull'espansione dell'ente; statistiche confessionali dei singoli Paesi; provenienza dei numerari. Condizione di chiusura: il reperimento di un radicamento autoctono in Paese privo di quel ceto.</w:t>
      </w:r>
    </w:p>
    <w:p>
      <w:pPr>
        <w:spacing w:after="120" w:line="276"/>
        <w:jc w:val="both"/>
      </w:pPr>
      <w:r>
        <w:rPr>
          <w:rFonts w:ascii="Barlow Semi Condensed" w:cs="Barlow Semi Condensed" w:eastAsia="Barlow Semi Condensed" w:hAnsi="Barlow Semi Condensed"/>
          <w:sz w:val="24"/>
          <w:szCs w:val="24"/>
        </w:rPr>
        <w:t xml:space="preserve">Seconda voce. La consistenza numerica storica dell'insediamento tedesco per il 1952-1985 e la cronologia interna dettagliata. Sedi: Archivio Generale della Prelatura a Roma e Centro Studi Josemaría Escrivá dell'Università di Navarra, entrambi ad accesso ristretto.</w:t>
      </w:r>
    </w:p>
    <w:p>
      <w:pPr>
        <w:spacing w:after="120" w:line="276"/>
        <w:jc w:val="both"/>
      </w:pPr>
      <w:r>
        <w:rPr>
          <w:rFonts w:ascii="Barlow Semi Condensed" w:cs="Barlow Semi Condensed" w:eastAsia="Barlow Semi Condensed" w:hAnsi="Barlow Semi Condensed"/>
          <w:sz w:val="24"/>
          <w:szCs w:val="24"/>
        </w:rPr>
        <w:t xml:space="preserve">Terza voce. La posizione italiana sui cinque atti della Ostpolitik e la conferma nominativa e datata degli incontri Moro-Scheel. Sedi: Archivio Storico Diplomatico, serie Germania 1969-1975, con l'esclusione già accertata dei Telegrammi 1942-1970; Akten zur Auswärtigen Politik der Bundesrepublik Deutschland; Documenti Diplomatici Italiani.</w:t>
      </w:r>
    </w:p>
    <w:p>
      <w:pPr>
        <w:spacing w:after="120" w:line="276"/>
        <w:jc w:val="both"/>
      </w:pPr>
      <w:r>
        <w:rPr>
          <w:rFonts w:ascii="Barlow Semi Condensed" w:cs="Barlow Semi Condensed" w:eastAsia="Barlow Semi Condensed" w:hAnsi="Barlow Semi Condensed"/>
          <w:sz w:val="24"/>
          <w:szCs w:val="24"/>
        </w:rPr>
        <w:t xml:space="preserve">Quarta voce. Il testo integrale della tesi di Filippo Triola per il periodo 1963-1972, che copre esattamente il quadriennio lasciato in ombra dal volume di Fasanaro.</w:t>
      </w:r>
    </w:p>
    <w:p>
      <w:pPr>
        <w:spacing w:after="120" w:line="276"/>
        <w:jc w:val="both"/>
      </w:pPr>
      <w:r>
        <w:rPr>
          <w:rFonts w:ascii="Barlow Semi Condensed" w:cs="Barlow Semi Condensed" w:eastAsia="Barlow Semi Condensed" w:hAnsi="Barlow Semi Condensed"/>
          <w:sz w:val="24"/>
          <w:szCs w:val="24"/>
        </w:rPr>
        <w:t xml:space="preserve">Quinta voce.\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posizione ufficiale della CDU e della CSU verso l'ente. Sede: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Archiv für Christlich-Demokratische Politik della Konrad-Adenauer-Stiftung.</w:t>
      </w:r>
    </w:p>
    <w:p>
      <w:pPr>
        <w:spacing w:after="120" w:line="276"/>
        <w:jc w:val="both"/>
      </w:pPr>
      <w:r>
        <w:rPr>
          <w:rFonts w:ascii="Barlow Semi Condensed" w:cs="Barlow Semi Condensed" w:eastAsia="Barlow Semi Condensed" w:hAnsi="Barlow Semi Condensed"/>
          <w:sz w:val="24"/>
          <w:szCs w:val="24"/>
        </w:rPr>
        <w:t xml:space="preserve">Sesta voce. L'interrogazione sistematica del readingroom statunitense su Opus Dei e Germania, con previsione di esito negativo da verificare.</w:t>
      </w:r>
    </w:p>
    <w:p>
      <w:pPr>
        <w:pStyle w:val="Heading2"/>
        <w:spacing w:after="100" w:before="200"/>
      </w:pPr>
      <w:r>
        <w:rPr>
          <w:rFonts w:ascii="Barlow Semi Condensed" w:cs="Barlow Semi Condensed" w:eastAsia="Barlow Semi Condensed" w:hAnsi="Barlow Semi Condensed"/>
          <w:sz w:val="24"/>
          <w:szCs w:val="24"/>
        </w:rPr>
        <w:t xml:space="preserve">Nota sul bilancio delle dieci ricognizioni.</w:t>
      </w:r>
    </w:p>
    <w:p>
      <w:pPr>
        <w:spacing w:after="120" w:line="276"/>
        <w:jc w:val="both"/>
      </w:pPr>
      <w:r>
        <w:rPr>
          <w:rFonts w:ascii="Barlow Semi Condensed" w:cs="Barlow Semi Condensed" w:eastAsia="Barlow Semi Condensed" w:hAnsi="Barlow Semi Condensed"/>
          <w:sz w:val="24"/>
          <w:szCs w:val="24"/>
        </w:rPr>
        <w:t xml:space="preserve">Dieci ricognizioni hanno percorso l'attività ministeriale di Moro verso Spagna, Portogallo, Grecia, Cipro, Turchia e Germania, incrociandola con la Santa Sede e con l'Opus Dei, e hanno prodotto tre ordini di risultati che conviene distinguere.</w:t>
      </w:r>
    </w:p>
    <w:p>
      <w:pPr>
        <w:spacing w:after="120" w:line="276"/>
        <w:jc w:val="both"/>
      </w:pPr>
      <w:r>
        <w:rPr>
          <w:rFonts w:ascii="Barlow Semi Condensed" w:cs="Barlow Semi Condensed" w:eastAsia="Barlow Semi Condensed" w:hAnsi="Barlow Semi Condensed"/>
          <w:sz w:val="24"/>
          <w:szCs w:val="24"/>
        </w:rPr>
        <w:t xml:space="preserve">Primo ordine: gli Stati Zero. Il governo italiano non compare come attore documentato in nessuno dei sei perimetri; l'Opus Dei non ha rapporti documentati con Moro in nessuno di essi; l'ente è assente da Grecia, Cipro e Turchia. Sono nove ricognizioni di risultati negativi, e sono acquisizioni.</w:t>
      </w:r>
    </w:p>
    <w:p>
      <w:pPr>
        <w:spacing w:after="120" w:line="276"/>
        <w:jc w:val="both"/>
      </w:pPr>
      <w:r>
        <w:rPr>
          <w:rFonts w:ascii="Barlow Semi Condensed" w:cs="Barlow Semi Condensed" w:eastAsia="Barlow Semi Condensed" w:hAnsi="Barlow Semi Condensed"/>
          <w:sz w:val="24"/>
          <w:szCs w:val="24"/>
        </w:rPr>
        <w:t xml:space="preserve">Secondo ordine: il nesso. Una sola volta, nella nona ricognizione, un rapporto fra due atti è risultato documentato e non inferito: la Santa Sede attese la ratifica del Trattato di Varsavia prima di erigere le diocesi a oriente, e la comunicazione di accompagnamento del 28 giugno 1972 si riferì espressamente al trattato — mentre il testo canonico taceva.</w:t>
      </w:r>
    </w:p>
    <w:p>
      <w:pPr>
        <w:spacing w:after="120" w:line="276"/>
        <w:jc w:val="both"/>
      </w:pPr>
      <w:r>
        <w:rPr>
          <w:rFonts w:ascii="Barlow Semi Condensed" w:cs="Barlow Semi Condensed" w:eastAsia="Barlow Semi Condensed" w:hAnsi="Barlow Semi Condensed"/>
          <w:sz w:val="24"/>
          <w:szCs w:val="24"/>
        </w:rPr>
        <w:t xml:space="preserve">Terzo ordine, ed è questo documento: la revisione. Una proposizione formulata dalla serie è stata confutata dalla serie stessa, per opera della ricerca indirizzata al caso avverso.</w:t>
      </w:r>
    </w:p>
    <w:p>
      <w:pPr>
        <w:spacing w:after="120" w:line="276"/>
        <w:jc w:val="both"/>
      </w:pPr>
      <w:r>
        <w:rPr>
          <w:rFonts w:ascii="Barlow Semi Condensed" w:cs="Barlow Semi Condensed" w:eastAsia="Barlow Semi Condensed" w:hAnsi="Barlow Semi Condensed"/>
          <w:sz w:val="24"/>
          <w:szCs w:val="24"/>
        </w:rPr>
        <w:t xml:space="preserve">Ne discende la lezione che dieci ricognizioni consegnano insieme, articolata nelle sue tre parti.</w:t>
      </w:r>
    </w:p>
    <w:p>
      <w:pPr>
        <w:spacing w:after="120" w:line="276"/>
        <w:jc w:val="both"/>
      </w:pPr>
      <w:r>
        <w:rPr>
          <w:rFonts w:ascii="Barlow Semi Condensed" w:cs="Barlow Semi Condensed" w:eastAsia="Barlow Semi Condensed" w:hAnsi="Barlow Semi Condensed"/>
          <w:sz w:val="24"/>
          <w:szCs w:val="24"/>
        </w:rPr>
        <w:t xml:space="preserve">L'assenza di traccia non è l'assenza dell'atto — perché gli archivi dei governi non sono accessibili, non sono indicizzati, o non sono aperti per intere epoche.</w:t>
      </w:r>
    </w:p>
    <w:p>
      <w:pPr>
        <w:spacing w:after="120" w:line="276"/>
        <w:jc w:val="both"/>
      </w:pPr>
      <w:r>
        <w:rPr>
          <w:rFonts w:ascii="Barlow Semi Condensed" w:cs="Barlow Semi Condensed" w:eastAsia="Barlow Semi Condensed" w:hAnsi="Barlow Semi Condensed"/>
          <w:sz w:val="24"/>
          <w:szCs w:val="24"/>
        </w:rPr>
        <w:t xml:space="preserve">Vi sono assenze che non sono lacune — perché un insieme vuoto verificato contro il registro ufficiale del soggetto è un accertamento e non un vuoto.</w:t>
      </w:r>
    </w:p>
    <w:p>
      <w:pPr>
        <w:spacing w:after="120" w:line="276"/>
        <w:jc w:val="both"/>
      </w:pPr>
      <w:r>
        <w:rPr>
          <w:rFonts w:ascii="Barlow Semi Condensed" w:cs="Barlow Semi Condensed" w:eastAsia="Barlow Semi Condensed" w:hAnsi="Barlow Semi Condensed"/>
          <w:sz w:val="24"/>
          <w:szCs w:val="24"/>
        </w:rPr>
        <w:t xml:space="preserve">Vi sono nessi che i documenti principali tacciono deliberatamente — perché la diplomazia scrive nell'atto ciò che vuole obbligare e nella comunicazione ciò che vuole far sapere.</w:t>
      </w:r>
    </w:p>
    <w:p>
      <w:pPr>
        <w:spacing w:after="120" w:line="276"/>
        <w:jc w:val="both"/>
      </w:pPr>
      <w:r>
        <w:rPr>
          <w:rFonts w:ascii="Barlow Semi Condensed" w:cs="Barlow Semi Condensed" w:eastAsia="Barlow Semi Condensed" w:hAnsi="Barlow Semi Condensed"/>
          <w:sz w:val="24"/>
          <w:szCs w:val="24"/>
        </w:rPr>
        <w:t xml:space="preserve">E vi è una quarta parte, che questo documento aggiunge e che riguarda chi scrive anziché le fonti. Una proposizione va formulata con la propria condizione di falsificazione esplicita e con i propri casi avversi elencati per nome. Il modello a due condizioni è caduto perché era stato costruito così. Se lo avessi formulato senza indicare che cosa lo avrebbe abbattuto, sarebbe ancora in piedi — e sarebbe falso.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XI · Moro, La Germania E L'Opus Dei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 5.491 parole in 9 sezioni; la più ampia è §9 Altre sezioni, con 4.484.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 122 paragrafi in 9 sezioni, 14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XII — Strauss E Aginter Press</w:t>
      </w:r>
    </w:p>
    <w:p>
      <w:pPr>
        <w:pStyle w:val="Heading1"/>
        <w:spacing w:after="120" w:before="240"/>
      </w:pPr>
      <w:r>
        <w:rPr>
          <w:rFonts w:ascii="Barlow Semi Condensed" w:cs="Barlow Semi Condensed" w:eastAsia="Barlow Semi Condensed" w:hAnsi="Barlow Semi Condensed"/>
          <w:sz w:val="24"/>
          <w:szCs w:val="24"/>
        </w:rPr>
        <w:t xml:space="preserve">STRAUSS E AGINTER PRESS</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Undicesima ricognizione: anatomia di una connessione falsa</w:t>
      </w:r>
    </w:p>
    <w:p>
      <w:pPr>
        <w:pStyle w:val="Heading2"/>
        <w:spacing w:after="100" w:before="200"/>
      </w:pPr>
      <w:r>
        <w:rPr>
          <w:rFonts w:ascii="Barlow Semi Condensed" w:cs="Barlow Semi Condensed" w:eastAsia="Barlow Semi Condensed" w:hAnsi="Barlow Semi Condensed"/>
          <w:sz w:val="24"/>
          <w:szCs w:val="24"/>
        </w:rPr>
        <w:t xml:space="preserve">L'affare Spiegel come termine di controllo. La contaminazione per prossimita</w:t>
      </w:r>
    </w:p>
    <w:p>
      <w:pPr>
        <w:pStyle w:val="Heading2"/>
        <w:spacing w:after="100" w:before="200"/>
      </w:pPr>
      <w:r>
        <w:rPr>
          <w:rFonts w:ascii="Barlow Semi Condensed" w:cs="Barlow Semi Condensed" w:eastAsia="Barlow Semi Condensed" w:hAnsi="Barlow Semi Condensed"/>
          <w:sz w:val="24"/>
          <w:szCs w:val="24"/>
        </w:rPr>
        <w:t xml:space="preserve">Dodici Capitoli — tre criteri generali — sei acquisizioni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Che cosa questo documento fa di diverso</w:t>
      </w:r>
    </w:p>
    <w:p>
      <w:pPr>
        <w:spacing w:after="120" w:line="276"/>
        <w:jc w:val="both"/>
      </w:pPr>
      <w:r>
        <w:rPr>
          <w:rFonts w:ascii="Barlow Semi Condensed" w:cs="Barlow Semi Condensed" w:eastAsia="Barlow Semi Condensed" w:hAnsi="Barlow Semi Condensed"/>
          <w:sz w:val="24"/>
          <w:szCs w:val="24"/>
        </w:rPr>
        <w:t xml:space="preserve">È l'undicesima ricognizione, e la seconda sul perimetro Strauß-Aginter Press. La prima aveva accertato un esito negativo; questa fa qualcosa di più utile: isola la singola affermazione che sostiene il nesso, ne trova l'origine, e ricostruisce il meccanismo per cui essa ha acquisito una credibilità che non possiede.</w:t>
      </w:r>
    </w:p>
    <w:p>
      <w:pPr>
        <w:spacing w:after="120" w:line="276"/>
        <w:jc w:val="both"/>
      </w:pPr>
      <w:r>
        <w:rPr>
          <w:rFonts w:ascii="Barlow Semi Condensed" w:cs="Barlow Semi Condensed" w:eastAsia="Barlow Semi Condensed" w:hAnsi="Barlow Semi Condensed"/>
          <w:sz w:val="24"/>
          <w:szCs w:val="24"/>
        </w:rPr>
        <w:t xml:space="preserve">La differenza va enunciata perché è metodologica.\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Dichiarare che una connessione non è documentata lascia intatta la domanda su perché tanti la ritengano documentata.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Questo documento risponde anche a quella.</w:t>
      </w:r>
    </w:p>
    <w:p>
      <w:pPr>
        <w:spacing w:after="120" w:line="276"/>
        <w:jc w:val="both"/>
      </w:pPr>
      <w:r>
        <w:rPr>
          <w:rFonts w:ascii="Barlow Semi Condensed" w:cs="Barlow Semi Condensed" w:eastAsia="Barlow Semi Condensed" w:hAnsi="Barlow Semi Condensed"/>
          <w:sz w:val="24"/>
          <w:szCs w:val="24"/>
        </w:rPr>
        <w:t xml:space="preserve">L'affermazione, isolata. I giornalisti Egmont R. Koch e Oliver Schröm, nel documentario della rete televisiva pubblica tedesca della serie \</w:t>
      </w:r>
      <w:r>
        <w:rPr>
          <w:rFonts w:ascii="Barlow Semi Condensed" w:cs="Barlow Semi Condensed" w:eastAsia="Barlow Semi Condensed" w:hAnsi="Barlow Semi Condensed"/>
          <w:i/>
          <w:iCs/>
          <w:sz w:val="24"/>
          <w:szCs w:val="24"/>
        </w:rPr>
        <w:t xml:space="preserve">Kennzeichen D\</w:t>
      </w:r>
      <w:r>
        <w:rPr>
          <w:rFonts w:ascii="Barlow Semi Condensed" w:cs="Barlow Semi Condensed" w:eastAsia="Barlow Semi Condensed" w:hAnsi="Barlow Semi Condensed"/>
          <w:sz w:val="24"/>
          <w:szCs w:val="24"/>
        </w:rPr>
        <w:t xml:space="preserve">, puntata \</w:t>
      </w:r>
      <w:r>
        <w:rPr>
          <w:rFonts w:ascii="Barlow Semi Condensed" w:cs="Barlow Semi Condensed" w:eastAsia="Barlow Semi Condensed" w:hAnsi="Barlow Semi Condensed"/>
          <w:i/>
          <w:iCs/>
          <w:sz w:val="24"/>
          <w:szCs w:val="24"/>
        </w:rPr>
        <w:t xml:space="preserve">BND-Schmiergeld\</w:t>
      </w:r>
      <w:r>
        <w:rPr>
          <w:rFonts w:ascii="Barlow Semi Condensed" w:cs="Barlow Semi Condensed" w:eastAsia="Barlow Semi Condensed" w:hAnsi="Barlow Semi Condensed"/>
          <w:sz w:val="24"/>
          <w:szCs w:val="24"/>
        </w:rPr>
        <w:t xml:space="preserve">, trasmessa il 16 febbraio 2000, sostennero che documenti da loro portati alla luce mostrerebbero contatti stretti di agenti di Aginter Press con Marcel Hepp, allora referente personale del presidente della CSU Franz Josef Strauß; che un agente di Aginter sarebbe stato in contatto diretto con Strauß; che i documenti conterrebbero una lista di nomi in codice di finanziatori tedeschi sotto l'intestazione Industry; e che Strauß avrebbe sostenuto ripetutamente con denaro contante i propri amici politici in Spagna e in Italia, con il collaboratore Dieter Huber come corriere.</w:t>
      </w:r>
    </w:p>
    <w:p>
      <w:pPr>
        <w:spacing w:after="120" w:line="276"/>
        <w:jc w:val="both"/>
      </w:pPr>
      <w:r>
        <w:rPr>
          <w:rFonts w:ascii="Barlow Semi Condensed" w:cs="Barlow Semi Condensed" w:eastAsia="Barlow Semi Condensed" w:hAnsi="Barlow Semi Condensed"/>
          <w:sz w:val="24"/>
          <w:szCs w:val="24"/>
        </w:rPr>
        <w:t xml:space="preserve">È questa, e soltanto questa, la fonte di ogni affermazione circolante di un nesso Strauß-Aginter.</w:t>
      </w:r>
    </w:p>
    <w:p>
      <w:pPr>
        <w:spacing w:after="120" w:line="276"/>
        <w:jc w:val="both"/>
      </w:pPr>
      <w:r>
        <w:rPr>
          <w:rFonts w:ascii="Barlow Semi Condensed" w:cs="Barlow Semi Condensed" w:eastAsia="Barlow Semi Condensed" w:hAnsi="Barlow Semi Condensed"/>
          <w:sz w:val="24"/>
          <w:szCs w:val="24"/>
        </w:rPr>
        <w:t xml:space="preserve">Che cosa la manca, elencato. Non risulta alcuna fonte accademica peer-reviewed che riproduca l'allegazione. Nessun documento parlamentare tedesco. Nessuna sentenza. Nessun documento d'archivio con segnatura. I documenti sono descritti soltanto come materiale portato alla luce dai giornalisti, senza indicazione di archivio, fondo o segnatura. Le quantificazioni specifiche — la lista sotto l'intestazione \</w:t>
      </w:r>
      <w:r>
        <w:rPr>
          <w:rFonts w:ascii="Barlow Semi Condensed" w:cs="Barlow Semi Condensed" w:eastAsia="Barlow Semi Condensed" w:hAnsi="Barlow Semi Condensed"/>
          <w:i/>
          <w:iCs/>
          <w:sz w:val="24"/>
          <w:szCs w:val="24"/>
        </w:rPr>
        <w:t xml:space="preserve">Industry\</w:t>
      </w:r>
      <w:r>
        <w:rPr>
          <w:rFonts w:ascii="Barlow Semi Condensed" w:cs="Barlow Semi Condensed" w:eastAsia="Barlow Semi Condensed" w:hAnsi="Barlow Semi Condensed"/>
          <w:sz w:val="24"/>
          <w:szCs w:val="24"/>
        </w:rPr>
        <w:t xml:space="preserve">, pagamenti fino a centomila marchi, ricevute di donazione, il ruolo di corriere di Huber — compaiono soltanto come asserzioni della narrazione del documentario.</w:t>
      </w:r>
    </w:p>
    <w:p>
      <w:pPr>
        <w:spacing w:after="120" w:line="276"/>
        <w:jc w:val="both"/>
      </w:pPr>
      <w:r>
        <w:rPr>
          <w:rFonts w:ascii="Barlow Semi Condensed" w:cs="Barlow Semi Condensed" w:eastAsia="Barlow Semi Condensed" w:hAnsi="Barlow Semi Condensed"/>
          <w:sz w:val="24"/>
          <w:szCs w:val="24"/>
        </w:rPr>
        <w:t xml:space="preserve">Ogni ripresa successiva rinvia al medesimo documentario.</w:t>
      </w:r>
    </w:p>
    <w:p>
      <w:pPr>
        <w:spacing w:after="120" w:line="276"/>
        <w:jc w:val="both"/>
      </w:pPr>
      <w:r>
        <w:rPr>
          <w:rFonts w:ascii="Barlow Semi Condensed" w:cs="Barlow Semi Condensed" w:eastAsia="Barlow Semi Condensed" w:hAnsi="Barlow Semi Condensed"/>
          <w:sz w:val="24"/>
          <w:szCs w:val="24"/>
        </w:rPr>
        <w:t xml:space="preserve">E qui il meccanismo, che è il contributo di questo studio. L'opera più citata sul tema Aginter — quella di Daniele Ganser — non contiene l'allegazione Strauß-Hepp-Huber. Ma le fonti che la riportano la accostano ad altri fatti Aginter meglio documentati: i rapporti con la Central Intelligence Agency e la polizia politica portoghese, la relazione Pellegrino, l'istruttoria Salvini.</w:t>
      </w:r>
    </w:p>
    <w:p>
      <w:pPr>
        <w:spacing w:after="120" w:line="276"/>
        <w:jc w:val="both"/>
      </w:pPr>
      <w:r>
        <w:rPr>
          <w:rFonts w:ascii="Barlow Semi Condensed" w:cs="Barlow Semi Condensed" w:eastAsia="Barlow Semi Condensed" w:hAnsi="Barlow Semi Condensed"/>
          <w:sz w:val="24"/>
          <w:szCs w:val="24"/>
        </w:rPr>
        <w:t xml:space="preserve">L'accostamento genera l'impressione ingannevole di un sostegno scientifico esteso anche alla parte relativa a Strauß. L'affermazione debole prende in prestito la credibilità di quelle forti che le stanno accanto, senza averne il fondamento.</w:t>
      </w:r>
    </w:p>
    <w:p>
      <w:pPr>
        <w:spacing w:after="120" w:line="276"/>
        <w:jc w:val="both"/>
      </w:pPr>
      <w:r>
        <w:rPr>
          <w:rFonts w:ascii="Barlow Semi Condensed" w:cs="Barlow Semi Condensed" w:eastAsia="Barlow Semi Condensed" w:hAnsi="Barlow Semi Condensed"/>
          <w:sz w:val="24"/>
          <w:szCs w:val="24"/>
        </w:rPr>
        <w:t xml:space="preserve">Questo è il meccanismo, e ha un nome che vale la pena fissare: contaminazione per prossimità. Non è citazione errata né falsificazione: è collocazione di un'asserzione non documentata dentro un elenco di fatti documentati, che ne trasferisce il credito.</w:t>
      </w:r>
    </w:p>
    <w:p>
      <w:pPr>
        <w:spacing w:after="120" w:line="276"/>
        <w:jc w:val="both"/>
      </w:pPr>
      <w:r>
        <w:rPr>
          <w:rFonts w:ascii="Barlow Semi Condensed" w:cs="Barlow Semi Condensed" w:eastAsia="Barlow Semi Condensed" w:hAnsi="Barlow Semi Condensed"/>
          <w:sz w:val="24"/>
          <w:szCs w:val="24"/>
        </w:rPr>
        <w:t xml:space="preserve">Sul termine di controllo. Il capitolo secondo espone l'affare Spiegel del 1962, che è il solo episodio pienamente documentato in cui Strauß impiegò un canale di polizia in un regime autoritario iberico. Esso serve da controprova: mostra che aspetto ha, nei documenti, un contatto reale — e per contrasto quanto poco somigli a ciò che l'allegazione del 2000 asserisce.</w:t>
      </w:r>
    </w:p>
    <w:p>
      <w:pPr>
        <w:pStyle w:val="Heading2"/>
        <w:spacing w:after="100" w:before="200"/>
      </w:pPr>
      <w:r>
        <w:rPr>
          <w:rFonts w:ascii="Barlow Semi Condensed" w:cs="Barlow Semi Condensed" w:eastAsia="Barlow Semi Condensed" w:hAnsi="Barlow Semi Condensed"/>
          <w:sz w:val="24"/>
          <w:szCs w:val="24"/>
        </w:rPr>
        <w:t xml:space="preserve">Capitolo secondo — L'affare Spiegel: che aspetto ha un contatto reale</w:t>
      </w:r>
    </w:p>
    <w:p>
      <w:pPr>
        <w:spacing w:after="120" w:line="276"/>
        <w:jc w:val="both"/>
      </w:pPr>
      <w:r>
        <w:rPr>
          <w:rFonts w:ascii="Barlow Semi Condensed" w:cs="Barlow Semi Condensed" w:eastAsia="Barlow Semi Condensed" w:hAnsi="Barlow Semi Condensed"/>
          <w:sz w:val="24"/>
          <w:szCs w:val="24"/>
        </w:rPr>
        <w:t xml:space="preserve">Il capitolo espone il termine di controllo, e lo espone per intero perché il confronto sia possibile.</w:t>
      </w:r>
    </w:p>
    <w:p>
      <w:pPr>
        <w:spacing w:after="120" w:line="276"/>
        <w:jc w:val="both"/>
      </w:pPr>
      <w:r>
        <w:rPr>
          <w:rFonts w:ascii="Barlow Semi Condensed" w:cs="Barlow Semi Condensed" w:eastAsia="Barlow Semi Condensed" w:hAnsi="Barlow Semi Condensed"/>
          <w:sz w:val="24"/>
          <w:szCs w:val="24"/>
        </w:rPr>
        <w:t xml:space="preserve">L'articolo. Il 10 ottobre 1962, nel fascicolo quarantunesimo della rivista — alcune fonti indicano l'8 o 9 ottobre come uscita effettiva, e la divergenza si riporta — apparve a firma di Conrad Ahlers e Hans Schmelz l'articolo \</w:t>
      </w:r>
      <w:r>
        <w:rPr>
          <w:rFonts w:ascii="Barlow Semi Condensed" w:cs="Barlow Semi Condensed" w:eastAsia="Barlow Semi Condensed" w:hAnsi="Barlow Semi Condensed"/>
          <w:i/>
          <w:iCs/>
          <w:sz w:val="24"/>
          <w:szCs w:val="24"/>
        </w:rPr>
        <w:t xml:space="preserve">Bedingt abwehrbereit\</w:t>
      </w:r>
      <w:r>
        <w:rPr>
          <w:rFonts w:ascii="Barlow Semi Condensed" w:cs="Barlow Semi Condensed" w:eastAsia="Barlow Semi Condensed" w:hAnsi="Barlow Semi Condensed"/>
          <w:sz w:val="24"/>
          <w:szCs w:val="24"/>
        </w:rPr>
        <w:t xml:space="preserve">, fondato sui risultati dell'esercitazione atlantica Fallex 62. Esso descriveva la Bundeswehr, sulla scorta della valutazione del comando alleato, come inadeguata alla difesa in avanti, e criticava il ministro della Difesa.</w:t>
      </w:r>
    </w:p>
    <w:p>
      <w:pPr>
        <w:spacing w:after="120" w:line="276"/>
        <w:jc w:val="both"/>
      </w:pPr>
      <w:r>
        <w:rPr>
          <w:rFonts w:ascii="Barlow Semi Condensed" w:cs="Barlow Semi Condensed" w:eastAsia="Barlow Semi Condensed" w:hAnsi="Barlow Semi Condensed"/>
          <w:sz w:val="24"/>
          <w:szCs w:val="24"/>
        </w:rPr>
        <w:t xml:space="preserve">La perquisizione. Nella notte fra il 26 e il 27 ottobre 1962 la polizia, su impulso della procura federale, perquisì e sigillò le redazioni di Amburgo e Bonn. Rudolf Augstein si consegnò domenica 28 ottobre e rimase in custodia centotré giorni, fino al rilascio del 7 febbraio 1963; Hans Schmelz fu rilasciato dopo ottantuno giorni.</w:t>
      </w:r>
    </w:p>
    <w:p>
      <w:pPr>
        <w:spacing w:after="120" w:line="276"/>
        <w:jc w:val="both"/>
      </w:pPr>
      <w:r>
        <w:rPr>
          <w:rFonts w:ascii="Barlow Semi Condensed" w:cs="Barlow Semi Condensed" w:eastAsia="Barlow Semi Condensed" w:hAnsi="Barlow Semi Condensed"/>
          <w:sz w:val="24"/>
          <w:szCs w:val="24"/>
        </w:rPr>
        <w:t xml:space="preserve">E adesso il canale spagnolo, che è il punto. Ahlers, in vacanza con la moglie a Torremolinos, fu arrestato dalla polizia spagnola. Ma la richiesta non passò per la Dirección General de Seguridad né per la Guardia Civil come apparato di prima istanza: passò per l'addetto militare presso l'ambasciata tedesca a Madrid, il colonnello Achim Oster.</w:t>
      </w:r>
    </w:p>
    <w:p>
      <w:pPr>
        <w:spacing w:after="120" w:line="276"/>
        <w:jc w:val="both"/>
      </w:pPr>
      <w:r>
        <w:rPr>
          <w:rFonts w:ascii="Barlow Semi Condensed" w:cs="Barlow Semi Condensed" w:eastAsia="Barlow Semi Condensed" w:hAnsi="Barlow Semi Condensed"/>
          <w:sz w:val="24"/>
          <w:szCs w:val="24"/>
        </w:rPr>
        <w:t xml:space="preserve">Strauß telefonò personalmente a Oster nella notte fra il 26 e il 27 ottobre.</w:t>
      </w:r>
    </w:p>
    <w:p>
      <w:pPr>
        <w:spacing w:after="120" w:line="276"/>
        <w:jc w:val="both"/>
      </w:pPr>
      <w:r>
        <w:rPr>
          <w:rFonts w:ascii="Barlow Semi Condensed" w:cs="Barlow Semi Condensed" w:eastAsia="Barlow Semi Condensed" w:hAnsi="Barlow Semi Condensed"/>
          <w:sz w:val="24"/>
          <w:szCs w:val="24"/>
        </w:rPr>
        <w:t xml:space="preserve">La ragione della telefonata personale è documentata, ed è istruttiva. Secondo la ricostruzione della fondazione democristiana, il colonnello Oster avrebbe accettato una disposizione soltanto dal ministro in persona, poiché ne conosceva la voce ma non quella del segretario di Stato Volkmar Hopf.</w:t>
      </w:r>
    </w:p>
    <w:p>
      <w:pPr>
        <w:spacing w:after="120" w:line="276"/>
        <w:jc w:val="both"/>
      </w:pPr>
      <w:r>
        <w:rPr>
          <w:rFonts w:ascii="Barlow Semi Condensed" w:cs="Barlow Semi Condensed" w:eastAsia="Barlow Semi Condensed" w:hAnsi="Barlow Semi Condensed"/>
          <w:sz w:val="24"/>
          <w:szCs w:val="24"/>
        </w:rPr>
        <w:t xml:space="preserve">Il contenuto. Strauß fece riferimento a un colloquio con Adenauer e all'imminente arrivo a Madrid di un ordine di arresto Interpol, e invitò Oster a chiedere assistenza amministrativa alle autorità spagnole. Queste arrestarono Ahlers e — erroneamente — anche la moglie.</w:t>
      </w:r>
    </w:p>
    <w:p>
      <w:pPr>
        <w:spacing w:after="120" w:line="276"/>
        <w:jc w:val="both"/>
      </w:pPr>
      <w:r>
        <w:rPr>
          <w:rFonts w:ascii="Barlow Semi Condensed" w:cs="Barlow Semi Condensed" w:eastAsia="Barlow Semi Condensed" w:hAnsi="Barlow Semi Condensed"/>
          <w:sz w:val="24"/>
          <w:szCs w:val="24"/>
        </w:rPr>
        <w:t xml:space="preserve">L'ammissione parlamentare, ed è la formula più significativa del capitolo. Il ministro dell'Interno Höcherl ammise in Aula che l'operazione era avvenuta un poco al di fuori della legalità, attraverso il traffico in corto circuito fra le polizie criminali.</w:t>
      </w:r>
    </w:p>
    <w:p>
      <w:pPr>
        <w:spacing w:after="120" w:line="276"/>
        <w:jc w:val="both"/>
      </w:pPr>
      <w:r>
        <w:rPr>
          <w:rFonts w:ascii="Barlow Semi Condensed" w:cs="Barlow Semi Condensed" w:eastAsia="Barlow Semi Condensed" w:hAnsi="Barlow Semi Condensed"/>
          <w:sz w:val="24"/>
          <w:szCs w:val="24"/>
        </w:rPr>
        <w:t xml:space="preserve">La qualificazione giuridica, prudente e documentata. La competenza del ministro della Difesa verso un ufficiale distaccato come addetto militare è limitata alle materie militari, mentre per il resto è competente il ministro degli Esteri, allora negli Stati Uniti; sicché l'intervento configurò presumibilmente uno sconfinamento di competenza.</w:t>
      </w:r>
    </w:p>
    <w:p>
      <w:pPr>
        <w:spacing w:after="120" w:line="276"/>
        <w:jc w:val="both"/>
      </w:pPr>
      <w:r>
        <w:rPr>
          <w:rFonts w:ascii="Barlow Semi Condensed" w:cs="Barlow Semi Condensed" w:eastAsia="Barlow Semi Condensed" w:hAnsi="Barlow Semi Condensed"/>
          <w:sz w:val="24"/>
          <w:szCs w:val="24"/>
        </w:rPr>
        <w:t xml:space="preserve">La sequenza delle dichiarazioni al Bundestag, per date. Il 3 novembre 1962, in un'intervista, Strauß negò di avere avuto a che fare con la vicenda. L'8 novembre, alla seconda giornata delle interrogazioni, non ammise ancora, impiegando la formula minimizzante secondo cui per via di assistenza amministrativa il ministero della Difesa aveva chiesto all'addetto militare a Madrid se quella comunicazione fosse esatta. Il 9 novembre, incalzato dalla domanda aggiuntiva di Fritz Erler sulla domanda di Karl Mommer, dovette riconoscere: fui anch'io messo in comunicazione con lui e gli ripetei quanto risultava.</w:t>
      </w:r>
    </w:p>
    <w:p>
      <w:pPr>
        <w:spacing w:after="120" w:line="276"/>
        <w:jc w:val="both"/>
      </w:pPr>
      <w:r>
        <w:rPr>
          <w:rFonts w:ascii="Barlow Semi Condensed" w:cs="Barlow Semi Condensed" w:eastAsia="Barlow Semi Condensed" w:hAnsi="Barlow Semi Condensed"/>
          <w:sz w:val="24"/>
          <w:szCs w:val="24"/>
        </w:rPr>
        <w:t xml:space="preserve">Il giudizio parlamentare, e va riportato per come le fonti lo formulano: Strauß aveva mentito.</w:t>
      </w:r>
    </w:p>
    <w:p>
      <w:pPr>
        <w:spacing w:after="120" w:line="276"/>
        <w:jc w:val="both"/>
      </w:pPr>
      <w:r>
        <w:rPr>
          <w:rFonts w:ascii="Barlow Semi Condensed" w:cs="Barlow Semi Condensed" w:eastAsia="Barlow Semi Condensed" w:hAnsi="Barlow Semi Condensed"/>
          <w:sz w:val="24"/>
          <w:szCs w:val="24"/>
        </w:rPr>
        <w:t xml:space="preserve">Ma il piano penale va distinto da quello parlamentare, e la distinzione è di metodo. La procura di Bonn qualificò la condotta come oggettivamente integrante usurpazione di funzioni e sequestro di persona, ma escluse l'elemento soggettivo, archiviando il 3 giugno 1965 il procedimento contro Strauß, Hopf e Oster.</w:t>
      </w:r>
    </w:p>
    <w:p>
      <w:pPr>
        <w:spacing w:after="120" w:line="276"/>
        <w:jc w:val="both"/>
      </w:pPr>
      <w:r>
        <w:rPr>
          <w:rFonts w:ascii="Barlow Semi Condensed" w:cs="Barlow Semi Condensed" w:eastAsia="Barlow Semi Condensed" w:hAnsi="Barlow Semi Condensed"/>
          <w:sz w:val="24"/>
          <w:szCs w:val="24"/>
        </w:rPr>
        <w:t xml:space="preserve">L'esito politico. Il 19 novembre 1962 si dimisero i cinque ministri liberali — Lenz, Mischnick, Scheel, Stammberger, Starke. Strauß si dimise il 30 novembre 1962; il quinto e ultimo gabinetto Adenauer si formò il 14 dicembre 1962, col rimpasto deliberato nella cinquantasettesima seduta del 12 dicembre. Sulla data delle dimissioni la pubblicistica indica talora il 5 dicembre: non è confermato dalle fonti primarie reperite.</w:t>
      </w:r>
    </w:p>
    <w:p>
      <w:pPr>
        <w:spacing w:after="120" w:line="276"/>
        <w:jc w:val="both"/>
      </w:pPr>
      <w:r>
        <w:rPr>
          <w:rFonts w:ascii="Barlow Semi Condensed" w:cs="Barlow Semi Condensed" w:eastAsia="Barlow Semi Condensed" w:hAnsi="Barlow Semi Condensed"/>
          <w:sz w:val="24"/>
          <w:szCs w:val="24"/>
        </w:rPr>
        <w:t xml:space="preserve">L'esito giudiziario. Il 13 maggio 1965 il terzo Strafsenat della Corte federale di giustizia rifiutò l'apertura del dibattimento contro Augstein e Ahlers per insussistenza di prove di alto tradimento. Il 5 agosto 1966 la Corte costituzionale federale, con i procedimenti 1 BvR 586/62, 610/63 e 512/64, respinse il ricorso della rivista con quattro voti contro quattro — parità di voti — fissando nondimeno i principi cardine sulla libertà di stampa come elemento essenziale dello Stato libero.</w:t>
      </w:r>
    </w:p>
    <w:p>
      <w:pPr>
        <w:spacing w:after="120" w:line="276"/>
        <w:jc w:val="both"/>
      </w:pPr>
      <w:r>
        <w:rPr>
          <w:rFonts w:ascii="Barlow Semi Condensed" w:cs="Barlow Semi Condensed" w:eastAsia="Barlow Semi Condensed" w:hAnsi="Barlow Semi Condensed"/>
          <w:sz w:val="24"/>
          <w:szCs w:val="24"/>
        </w:rPr>
        <w:t xml:space="preserve">Le fonti primarie sono elencabili, ed è ciò che manca all'allegazione del 2000. Protocolli di gabinetto all'Archivio federale — seduta straordinaria del 29 ottobre 1962, sedute del 20 novembre e del 12 dicembre; verbali d'aula del 7, 8 e 9 novembre 1962; stampato IV/708 con le diciotto interrogazioni urgenti presentate dalla socialdemocrazia il 5 novembre 1962.</w:t>
      </w:r>
    </w:p>
    <w:p>
      <w:pPr>
        <w:pStyle w:val="Heading2"/>
        <w:spacing w:after="100" w:before="200"/>
      </w:pPr>
      <w:r>
        <w:rPr>
          <w:rFonts w:ascii="Barlow Semi Condensed" w:cs="Barlow Semi Condensed" w:eastAsia="Barlow Semi Condensed" w:hAnsi="Barlow Semi Condensed"/>
          <w:sz w:val="24"/>
          <w:szCs w:val="24"/>
        </w:rPr>
        <w:t xml:space="preserve">Capitolo terzo — Il confronto: che cosa distingue il caso Spiegel dall'allegazione del 2000</w:t>
      </w:r>
    </w:p>
    <w:p>
      <w:pPr>
        <w:spacing w:after="120" w:line="276"/>
        <w:jc w:val="both"/>
      </w:pPr>
      <w:r>
        <w:rPr>
          <w:rFonts w:ascii="Barlow Semi Condensed" w:cs="Barlow Semi Condensed" w:eastAsia="Barlow Semi Condensed" w:hAnsi="Barlow Semi Condensed"/>
          <w:sz w:val="24"/>
          <w:szCs w:val="24"/>
        </w:rPr>
        <w:t xml:space="preserve">Il capitolo mette a confronto i due, e ne trae il criterio.</w:t>
      </w:r>
    </w:p>
    <w:p>
      <w:pPr>
        <w:spacing w:after="120" w:line="276"/>
        <w:jc w:val="both"/>
      </w:pPr>
      <w:r>
        <w:rPr>
          <w:rFonts w:ascii="Barlow Semi Condensed" w:cs="Barlow Semi Condensed" w:eastAsia="Barlow Semi Condensed" w:hAnsi="Barlow Semi Condensed"/>
          <w:sz w:val="24"/>
          <w:szCs w:val="24"/>
        </w:rPr>
        <w:t xml:space="preserve">Il caso Spiegel ha: una data, un nome, una catena di comando, una formula ammessa in Aula, un verbale parlamentare citabile per seduta, una qualificazione della procura, una sentenza costituzionale con numero di procedimento, e protocolli di gabinetto con segnatura.</w:t>
      </w:r>
    </w:p>
    <w:p>
      <w:pPr>
        <w:spacing w:after="120" w:line="276"/>
        <w:jc w:val="both"/>
      </w:pPr>
      <w:r>
        <w:rPr>
          <w:rFonts w:ascii="Barlow Semi Condensed" w:cs="Barlow Semi Condensed" w:eastAsia="Barlow Semi Condensed" w:hAnsi="Barlow Semi Condensed"/>
          <w:sz w:val="24"/>
          <w:szCs w:val="24"/>
        </w:rPr>
        <w:t xml:space="preserve">L'allegazione del 2000 ha: un documentario televisivo.</w:t>
      </w:r>
    </w:p>
    <w:p>
      <w:pPr>
        <w:spacing w:after="120" w:line="276"/>
        <w:jc w:val="both"/>
      </w:pPr>
      <w:r>
        <w:rPr>
          <w:rFonts w:ascii="Barlow Semi Condensed" w:cs="Barlow Semi Condensed" w:eastAsia="Barlow Semi Condensed" w:hAnsi="Barlow Semi Condensed"/>
          <w:sz w:val="24"/>
          <w:szCs w:val="24"/>
        </w:rPr>
        <w:t xml:space="preserve">Il confronto va fatto voce per voce perché il criterio ne emerga.</w:t>
      </w:r>
    </w:p>
    <w:p>
      <w:pPr>
        <w:spacing w:after="120" w:line="276"/>
        <w:jc w:val="both"/>
      </w:pPr>
      <w:r>
        <w:rPr>
          <w:rFonts w:ascii="Barlow Semi Condensed" w:cs="Barlow Semi Condensed" w:eastAsia="Barlow Semi Condensed" w:hAnsi="Barlow Semi Condensed"/>
          <w:sz w:val="24"/>
          <w:szCs w:val="24"/>
        </w:rPr>
        <w:t xml:space="preserve">Sulla provenienza dei documenti. Nel caso Spiegel ogni atto è collocato in un fondo: Archivio federale, atti parlamentari, raccolta della Corte costituzionale. Nell'allegazione del 2000 i documenti sono portati alla luce — formula che non è una collocazione archivistica ma una figura giornalistica.</w:t>
      </w:r>
    </w:p>
    <w:p>
      <w:pPr>
        <w:spacing w:after="120" w:line="276"/>
        <w:jc w:val="both"/>
      </w:pPr>
      <w:r>
        <w:rPr>
          <w:rFonts w:ascii="Barlow Semi Condensed" w:cs="Barlow Semi Condensed" w:eastAsia="Barlow Semi Condensed" w:hAnsi="Barlow Semi Condensed"/>
          <w:sz w:val="24"/>
          <w:szCs w:val="24"/>
        </w:rPr>
        <w:t xml:space="preserve">Sulla verificabilità. Nel caso Spiegel chiunque può leggere il verbale del 9 novembre 1962 e trovarvi la frase di Strauß. Nell'allegazione del 2000 non esiste nulla che possa essere letto, se non la trasmissione medesima.</w:t>
      </w:r>
    </w:p>
    <w:p>
      <w:pPr>
        <w:spacing w:after="120" w:line="276"/>
        <w:jc w:val="both"/>
      </w:pPr>
      <w:r>
        <w:rPr>
          <w:rFonts w:ascii="Barlow Semi Condensed" w:cs="Barlow Semi Condensed" w:eastAsia="Barlow Semi Condensed" w:hAnsi="Barlow Semi Condensed"/>
          <w:sz w:val="24"/>
          <w:szCs w:val="24"/>
        </w:rPr>
        <w:t xml:space="preserve">Sulla ripresa. Il caso Spiegel è trattato dalla storiografia accademica, dalle fondazioni politiche di entrambi gli schieramenti, dalle enciclopedie storiche. L'allegazione del 2000 è ripresa soltanto da aggregatori non accademici, e ciascuno rinvia al documentario.</w:t>
      </w:r>
    </w:p>
    <w:p>
      <w:pPr>
        <w:spacing w:after="120" w:line="276"/>
        <w:jc w:val="both"/>
      </w:pPr>
      <w:r>
        <w:rPr>
          <w:rFonts w:ascii="Barlow Semi Condensed" w:cs="Barlow Semi Condensed" w:eastAsia="Barlow Semi Condensed" w:hAnsi="Barlow Semi Condensed"/>
          <w:sz w:val="24"/>
          <w:szCs w:val="24"/>
        </w:rPr>
        <w:t xml:space="preserve">Sulla corroborazione indipendente. Il caso Spiegel è corroborato da fonti che avevano interesse opposto: la fondazione democristiana ne ricostruisce lo sconfinamento di competenza del proprio uomo. L'allegazione del 2000 non ha alcuna corroborazione, né favorevole né contraria.</w:t>
      </w:r>
    </w:p>
    <w:p>
      <w:pPr>
        <w:spacing w:after="120" w:line="276"/>
        <w:jc w:val="both"/>
      </w:pPr>
      <w:r>
        <w:rPr>
          <w:rFonts w:ascii="Barlow Semi Condensed" w:cs="Barlow Semi Condensed" w:eastAsia="Barlow Semi Condensed" w:hAnsi="Barlow Semi Condensed"/>
          <w:sz w:val="24"/>
          <w:szCs w:val="24"/>
        </w:rPr>
        <w:t xml:space="preserve">Ne discende il criterio, ed è il contributo del capitolo. Una connessione reale lascia tracce presso soggetti che non avevano interesse a produrle. Il caso Spiegel è documentato perché la polizia dovette verbalizzare, il Parlamento dovette interrogare, la procura dovette qualificare, la Corte dovette decidere — e nessuno di questi soggetti voleva documentare l'imbarazzo di un ministro.</w:t>
      </w:r>
    </w:p>
    <w:p>
      <w:pPr>
        <w:spacing w:after="120" w:line="276"/>
        <w:jc w:val="both"/>
      </w:pPr>
      <w:r>
        <w:rPr>
          <w:rFonts w:ascii="Barlow Semi Condensed" w:cs="Barlow Semi Condensed" w:eastAsia="Barlow Semi Condensed" w:hAnsi="Barlow Semi Condensed"/>
          <w:sz w:val="24"/>
          <w:szCs w:val="24"/>
        </w:rPr>
        <w:t xml:space="preserve">Una connessione allegata e non reale, al contrario, esiste soltanto presso chi la afferma.</w:t>
      </w:r>
    </w:p>
    <w:p>
      <w:pPr>
        <w:spacing w:after="120" w:line="276"/>
        <w:jc w:val="both"/>
      </w:pPr>
      <w:r>
        <w:rPr>
          <w:rFonts w:ascii="Barlow Semi Condensed" w:cs="Barlow Semi Condensed" w:eastAsia="Barlow Semi Condensed" w:hAnsi="Barlow Semi Condensed"/>
          <w:sz w:val="24"/>
          <w:szCs w:val="24"/>
        </w:rPr>
        <w:t xml:space="preserve">Va aggiunta una precisazione che rende il confronto onesto. Il fatto che l'allegazione del 2000 non sia documentata non prova che sia falsa. Prova che non è dimostrata, e la disciplina di questa serie impone di trattare come inesistente, ai fini dello studio, una connessione non documentata. La differenza fra non dimostrato e falso va mantenuta, e questo studio non la valica.</w:t>
      </w:r>
    </w:p>
    <w:p>
      <w:pPr>
        <w:spacing w:after="120" w:line="276"/>
        <w:jc w:val="both"/>
      </w:pPr>
      <w:r>
        <w:rPr>
          <w:rFonts w:ascii="Barlow Semi Condensed" w:cs="Barlow Semi Condensed" w:eastAsia="Barlow Semi Condensed" w:hAnsi="Barlow Semi Condensed"/>
          <w:sz w:val="24"/>
          <w:szCs w:val="24"/>
        </w:rPr>
        <w:t xml:space="preserve">E va aggiunto un elemento che gioca a favore dell'allegazione e va registrato per correttezza. Oliver Schröm è giornalista di riconosciuta professionalità, e la disciplina sui viventi impone di riportarne il solo fatto pubblico dell'attività giornalistica, senza inferenze. Che un'affermazione non sia documentata non squalifica chi la fa: squalifica il suo impiego come prova.</w:t>
      </w:r>
    </w:p>
    <w:p>
      <w:pPr>
        <w:pStyle w:val="Heading2"/>
        <w:spacing w:after="100" w:before="200"/>
      </w:pPr>
      <w:r>
        <w:rPr>
          <w:rFonts w:ascii="Barlow Semi Condensed" w:cs="Barlow Semi Condensed" w:eastAsia="Barlow Semi Condensed" w:hAnsi="Barlow Semi Condensed"/>
          <w:sz w:val="24"/>
          <w:szCs w:val="24"/>
        </w:rPr>
        <w:t xml:space="preserve">Capitolo quarto — Marcel Hepp e Dieter Huber: i due nomi</w:t>
      </w:r>
    </w:p>
    <w:p>
      <w:pPr>
        <w:spacing w:after="120" w:line="276"/>
        <w:jc w:val="both"/>
      </w:pPr>
      <w:r>
        <w:rPr>
          <w:rFonts w:ascii="Barlow Semi Condensed" w:cs="Barlow Semi Condensed" w:eastAsia="Barlow Semi Condensed" w:hAnsi="Barlow Semi Condensed"/>
          <w:sz w:val="24"/>
          <w:szCs w:val="24"/>
        </w:rPr>
        <w:t xml:space="preserve">Il capitolo verifica i due nomi su cui l'allegazione poggia, con esiti opposti.</w:t>
      </w:r>
    </w:p>
    <w:p>
      <w:pPr>
        <w:spacing w:after="120" w:line="276"/>
        <w:jc w:val="both"/>
      </w:pPr>
      <w:r>
        <w:rPr>
          <w:rFonts w:ascii="Barlow Semi Condensed" w:cs="Barlow Semi Condensed" w:eastAsia="Barlow Semi Condensed" w:hAnsi="Barlow Semi Condensed"/>
          <w:sz w:val="24"/>
          <w:szCs w:val="24"/>
        </w:rPr>
        <w:t xml:space="preserve">Marcel Hepp esiste ed è documentato. Nato a Langenenslingen il 2 luglio 1936, morto a Heidelberg il 9 ottobre 1970. Fu referente personale di Strauß dall'autunno 1965, su mediazione di Armin Mohler; e caporedattore ed editore delegato del Bayernkurier dal 1 maggio 1967.</w:t>
      </w:r>
    </w:p>
    <w:p>
      <w:pPr>
        <w:spacing w:after="120" w:line="276"/>
        <w:jc w:val="both"/>
      </w:pPr>
      <w:r>
        <w:rPr>
          <w:rFonts w:ascii="Barlow Semi Condensed" w:cs="Barlow Semi Condensed" w:eastAsia="Barlow Semi Condensed" w:hAnsi="Barlow Semi Condensed"/>
          <w:sz w:val="24"/>
          <w:szCs w:val="24"/>
        </w:rPr>
        <w:t xml:space="preserve">La sua collocazione è accertata: figura della destra intellettuale tedesca legata a Mohler e al circolo di Carl Schmitt.</w:t>
      </w:r>
    </w:p>
    <w:p>
      <w:pPr>
        <w:spacing w:after="120" w:line="276"/>
        <w:jc w:val="both"/>
      </w:pPr>
      <w:r>
        <w:rPr>
          <w:rFonts w:ascii="Barlow Semi Condensed" w:cs="Barlow Semi Condensed" w:eastAsia="Barlow Semi Condensed" w:hAnsi="Barlow Semi Condensed"/>
          <w:sz w:val="24"/>
          <w:szCs w:val="24"/>
        </w:rPr>
        <w:t xml:space="preserve">Ne discende che il primo nome dell'allegazione è reale, e la sua prossimità a Strauß è documentata.\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Questo è ciò che rende l'allegazione plausibile a prima lettura: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essa colloca un elemento non documentato accanto a un elemento documentato.</w:t>
      </w:r>
    </w:p>
    <w:p>
      <w:pPr>
        <w:spacing w:after="120" w:line="276"/>
        <w:jc w:val="both"/>
      </w:pPr>
      <w:r>
        <w:rPr>
          <w:rFonts w:ascii="Barlow Semi Condensed" w:cs="Barlow Semi Condensed" w:eastAsia="Barlow Semi Condensed" w:hAnsi="Barlow Semi Condensed"/>
          <w:sz w:val="24"/>
          <w:szCs w:val="24"/>
        </w:rPr>
        <w:t xml:space="preserve">Ma nessuna fonte accademica collega Hepp ad Aginter Press oltre il documentario.</w:t>
      </w:r>
    </w:p>
    <w:p>
      <w:pPr>
        <w:spacing w:after="120" w:line="276"/>
        <w:jc w:val="both"/>
      </w:pPr>
      <w:r>
        <w:rPr>
          <w:rFonts w:ascii="Barlow Semi Condensed" w:cs="Barlow Semi Condensed" w:eastAsia="Barlow Semi Condensed" w:hAnsi="Barlow Semi Condensed"/>
          <w:sz w:val="24"/>
          <w:szCs w:val="24"/>
        </w:rPr>
        <w:t xml:space="preserve">La distinzione va enunciata con precisione perché è il punto. È documentato che Hepp fosse referente di Strauß. È documentato che appartenesse alla destra intellettuale. Non è documentato che avesse contatti con Aginter Press. E la prima e la seconda cosa non implicano la terza, secondo la prescrizione che governa l'intera serie: l'appartenenza a un ambiente non è prova di un rapporto con un soggetto determinato di quell'ambiente.</w:t>
      </w:r>
    </w:p>
    <w:p>
      <w:pPr>
        <w:spacing w:after="120" w:line="276"/>
        <w:jc w:val="both"/>
      </w:pPr>
      <w:r>
        <w:rPr>
          <w:rFonts w:ascii="Barlow Semi Condensed" w:cs="Barlow Semi Condensed" w:eastAsia="Barlow Semi Condensed" w:hAnsi="Barlow Semi Condensed"/>
          <w:sz w:val="24"/>
          <w:szCs w:val="24"/>
        </w:rPr>
        <w:t xml:space="preserve">Dieter Huber, al contrario, non esiste nelle fonti.</w:t>
      </w:r>
    </w:p>
    <w:p>
      <w:pPr>
        <w:spacing w:after="120" w:line="276"/>
        <w:jc w:val="both"/>
      </w:pPr>
      <w:r>
        <w:rPr>
          <w:rFonts w:ascii="Barlow Semi Condensed" w:cs="Barlow Semi Condensed" w:eastAsia="Barlow Semi Condensed" w:hAnsi="Barlow Semi Condensed"/>
          <w:sz w:val="24"/>
          <w:szCs w:val="24"/>
        </w:rPr>
        <w:t xml:space="preserve">Del collaboratore indicato come corriere non esiste alcun riscontro biografico, archivistico, parlamentare o giudiziario indipendente.</w:t>
      </w:r>
    </w:p>
    <w:p>
      <w:pPr>
        <w:spacing w:after="120" w:line="276"/>
        <w:jc w:val="both"/>
      </w:pPr>
      <w:r>
        <w:rPr>
          <w:rFonts w:ascii="Barlow Semi Condensed" w:cs="Barlow Semi Condensed" w:eastAsia="Barlow Semi Condensed" w:hAnsi="Barlow Semi Condensed"/>
          <w:sz w:val="24"/>
          <w:szCs w:val="24"/>
        </w:rPr>
        <w:t xml:space="preserve">Questo è il ritrovamento negativo più netto del capitolo, e va enunciato per quello che è. L'allegazione attribuisce a una persona nominata una funzione operativa specifica — trasporto di denaro contante verso amici politici in Spagna e in Italia — e quella persona non è verificabile.</w:t>
      </w:r>
    </w:p>
    <w:p>
      <w:pPr>
        <w:spacing w:after="120" w:line="276"/>
        <w:jc w:val="both"/>
      </w:pPr>
      <w:r>
        <w:rPr>
          <w:rFonts w:ascii="Barlow Semi Condensed" w:cs="Barlow Semi Condensed" w:eastAsia="Barlow Semi Condensed" w:hAnsi="Barlow Semi Condensed"/>
          <w:sz w:val="24"/>
          <w:szCs w:val="24"/>
        </w:rPr>
        <w:t xml:space="preserve">Ne discende una asimmetria che caratterizza l'intera allegazione: il nome verificabile è quello di cui non si afferma la condotta operativa; il nome di cui si afferma la condotta operativa non è verificabile.</w:t>
      </w:r>
    </w:p>
    <w:p>
      <w:pPr>
        <w:spacing w:after="120" w:line="276"/>
        <w:jc w:val="both"/>
      </w:pPr>
      <w:r>
        <w:rPr>
          <w:rFonts w:ascii="Barlow Semi Condensed" w:cs="Barlow Semi Condensed" w:eastAsia="Barlow Semi Condensed" w:hAnsi="Barlow Semi Condensed"/>
          <w:sz w:val="24"/>
          <w:szCs w:val="24"/>
        </w:rPr>
        <w:t xml:space="preserve">Sulla lista Industry. L'allegazione riferisce di una lista di nomi in codice di finanziatori tedeschi sotto tale intestazione. Nessuna fonte indipendente ne attesta l'esistenza, e la sua eventuale collocazione — se essa esista — sarebbe nel fondo della polizia politica portoghese, dove nessuno degli studiosi che vi hanno lavorato la segnala.</w:t>
      </w:r>
    </w:p>
    <w:p>
      <w:pPr>
        <w:spacing w:after="120" w:line="276"/>
        <w:jc w:val="both"/>
      </w:pPr>
      <w:r>
        <w:rPr>
          <w:rFonts w:ascii="Barlow Semi Condensed" w:cs="Barlow Semi Condensed" w:eastAsia="Barlow Semi Condensed" w:hAnsi="Barlow Semi Condensed"/>
          <w:sz w:val="24"/>
          <w:szCs w:val="24"/>
        </w:rPr>
        <w:t xml:space="preserve">Il capitolo si chiude qui perché qui finisce ciò che si sa, e diluirlo con congetture sarebbe l'errore che questo studio serve a prevenire.</w:t>
      </w:r>
    </w:p>
    <w:p>
      <w:pPr>
        <w:pStyle w:val="Heading2"/>
        <w:spacing w:after="100" w:before="200"/>
      </w:pPr>
      <w:r>
        <w:rPr>
          <w:rFonts w:ascii="Barlow Semi Condensed" w:cs="Barlow Semi Condensed" w:eastAsia="Barlow Semi Condensed" w:hAnsi="Barlow Semi Condensed"/>
          <w:sz w:val="24"/>
          <w:szCs w:val="24"/>
        </w:rPr>
        <w:t xml:space="preserve">Capitolo quinto — Il silenzio della biografia Möller come prova per assenza</w:t>
      </w:r>
    </w:p>
    <w:p>
      <w:pPr>
        <w:spacing w:after="120" w:line="276"/>
        <w:jc w:val="both"/>
      </w:pPr>
      <w:r>
        <w:rPr>
          <w:rFonts w:ascii="Barlow Semi Condensed" w:cs="Barlow Semi Condensed" w:eastAsia="Barlow Semi Condensed" w:hAnsi="Barlow Semi Condensed"/>
          <w:sz w:val="24"/>
          <w:szCs w:val="24"/>
        </w:rPr>
        <w:t xml:space="preserve">Il capitolo espone un argomento negativo che ha, in questa materia, forza superiore alla media, e ne spiega la ragione.</w:t>
      </w:r>
    </w:p>
    <w:p>
      <w:pPr>
        <w:spacing w:after="120" w:line="276"/>
        <w:jc w:val="both"/>
      </w:pPr>
      <w:r>
        <w:rPr>
          <w:rFonts w:ascii="Barlow Semi Condensed" w:cs="Barlow Semi Condensed" w:eastAsia="Barlow Semi Condensed" w:hAnsi="Barlow Semi Condensed"/>
          <w:sz w:val="24"/>
          <w:szCs w:val="24"/>
        </w:rPr>
        <w:t xml:space="preserve">L'opera. Horst Möller, \</w:t>
      </w:r>
      <w:r>
        <w:rPr>
          <w:rFonts w:ascii="Barlow Semi Condensed" w:cs="Barlow Semi Condensed" w:eastAsia="Barlow Semi Condensed" w:hAnsi="Barlow Semi Condensed"/>
          <w:i/>
          <w:iCs/>
          <w:sz w:val="24"/>
          <w:szCs w:val="24"/>
        </w:rPr>
        <w:t xml:space="preserve">Franz Josef Strauß. Herrscher und Rebell\</w:t>
      </w:r>
      <w:r>
        <w:rPr>
          <w:rFonts w:ascii="Barlow Semi Condensed" w:cs="Barlow Semi Condensed" w:eastAsia="Barlow Semi Condensed" w:hAnsi="Barlow Semi Condensed"/>
          <w:sz w:val="24"/>
          <w:szCs w:val="24"/>
        </w:rPr>
        <w:t xml:space="preserve">, Piper, Monaco 2015, ottocentoventinove pagine, opera dell'ex direttore dell'Institut für Zeitgeschichte, fondata sull'accesso completo al lascito Strauß conservato presso l'archivio della fondazione della CSU.</w:t>
      </w:r>
    </w:p>
    <w:p>
      <w:pPr>
        <w:spacing w:after="120" w:line="276"/>
        <w:jc w:val="both"/>
      </w:pPr>
      <w:r>
        <w:rPr>
          <w:rFonts w:ascii="Barlow Semi Condensed" w:cs="Barlow Semi Condensed" w:eastAsia="Barlow Semi Condensed" w:hAnsi="Barlow Semi Condensed"/>
          <w:sz w:val="24"/>
          <w:szCs w:val="24"/>
        </w:rPr>
        <w:t xml:space="preserve">Il fatto.\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Nessuna fonte indica che l'opera menzioni Aginter Press o Guérin-Sérac.</w:t>
      </w:r>
    </w:p>
    <w:p>
      <w:pPr>
        <w:spacing w:after="120" w:line="276"/>
        <w:jc w:val="both"/>
      </w:pPr>
      <w:r>
        <w:rPr>
          <w:rFonts w:ascii="Barlow Semi Condensed" w:cs="Barlow Semi Condensed" w:eastAsia="Barlow Semi Condensed" w:hAnsi="Barlow Semi Condensed"/>
          <w:sz w:val="24"/>
          <w:szCs w:val="24"/>
        </w:rPr>
        <w:t xml:space="preserve">Perché questo silenzio ha forza probatoria, e va argomentato. Se un nesso fosse esistito e avesse lasciato traccia documentale nell'archivio del partito, la sede più probabile per rinvenirlo sarebbe stata precisamente quel lascito — e l'opera che lo ha scandagliato per ottocentoventinove pagine tace.</w:t>
      </w:r>
    </w:p>
    <w:p>
      <w:pPr>
        <w:spacing w:after="120" w:line="276"/>
        <w:jc w:val="both"/>
      </w:pPr>
      <w:r>
        <w:rPr>
          <w:rFonts w:ascii="Barlow Semi Condensed" w:cs="Barlow Semi Condensed" w:eastAsia="Barlow Semi Condensed" w:hAnsi="Barlow Semi Condensed"/>
          <w:sz w:val="24"/>
          <w:szCs w:val="24"/>
        </w:rPr>
        <w:t xml:space="preserve">Un rafforzamento va aggiunto, e proviene dai recensori. Nessun recensore segnala tale silenzio come lacuna. Le recensioni accademiche — Philipp Gassert su \</w:t>
      </w:r>
      <w:r>
        <w:rPr>
          <w:rFonts w:ascii="Barlow Semi Condensed" w:cs="Barlow Semi Condensed" w:eastAsia="Barlow Semi Condensed" w:hAnsi="Barlow Semi Condensed"/>
          <w:i/>
          <w:iCs/>
          <w:sz w:val="24"/>
          <w:szCs w:val="24"/>
        </w:rPr>
        <w:t xml:space="preserve">sehepunkte\</w:t>
      </w:r>
      <w:r>
        <w:rPr>
          <w:rFonts w:ascii="Barlow Semi Condensed" w:cs="Barlow Semi Condensed" w:eastAsia="Barlow Semi Condensed" w:hAnsi="Barlow Semi Condensed"/>
          <w:sz w:val="24"/>
          <w:szCs w:val="24"/>
        </w:rPr>
        <w:t xml:space="preserve">, fascicolo sedicesimo del 2016 numero dieci; Gisela Diewald-Kerkmann su \</w:t>
      </w:r>
      <w:r>
        <w:rPr>
          <w:rFonts w:ascii="Barlow Semi Condensed" w:cs="Barlow Semi Condensed" w:eastAsia="Barlow Semi Condensed" w:hAnsi="Barlow Semi Condensed"/>
          <w:i/>
          <w:iCs/>
          <w:sz w:val="24"/>
          <w:szCs w:val="24"/>
        </w:rPr>
        <w:t xml:space="preserve">H-Soz-Kult\</w:t>
      </w:r>
      <w:r>
        <w:rPr>
          <w:rFonts w:ascii="Barlow Semi Condensed" w:cs="Barlow Semi Condensed" w:eastAsia="Barlow Semi Condensed" w:hAnsi="Barlow Semi Condensed"/>
          <w:sz w:val="24"/>
          <w:szCs w:val="24"/>
        </w:rPr>
        <w:t xml:space="preserve">; Rainer Blasius sulla stampa quotidiana; Franziska Augstein sulla stampa monacense — discutono l'opera anche criticamente, ma nessuna rimprovera a Möller di avere taciuto un rapporto con Aginter.</w:t>
      </w:r>
    </w:p>
    <w:p>
      <w:pPr>
        <w:spacing w:after="120" w:line="276"/>
        <w:jc w:val="both"/>
      </w:pPr>
      <w:r>
        <w:rPr>
          <w:rFonts w:ascii="Barlow Semi Condensed" w:cs="Barlow Semi Condensed" w:eastAsia="Barlow Semi Condensed" w:hAnsi="Barlow Semi Condensed"/>
          <w:sz w:val="24"/>
          <w:szCs w:val="24"/>
        </w:rPr>
        <w:t xml:space="preserve">Questo è notevole perché la critica non fu tenera. Franziska Augstein — figlia di Rudolf Augstein, cioè della parte offesa dell'affare Spiegel — bollò l'opera come apologetica, definendola un procedimento storiografico di ritocco fotografico.</w:t>
      </w:r>
    </w:p>
    <w:p>
      <w:pPr>
        <w:spacing w:after="120" w:line="276"/>
        <w:jc w:val="both"/>
      </w:pPr>
      <w:r>
        <w:rPr>
          <w:rFonts w:ascii="Barlow Semi Condensed" w:cs="Barlow Semi Condensed" w:eastAsia="Barlow Semi Condensed" w:hAnsi="Barlow Semi Condensed"/>
          <w:sz w:val="24"/>
          <w:szCs w:val="24"/>
        </w:rPr>
        <w:t xml:space="preserve">Ne discende un argomento che va enunciato per intero. La recensore che aveva il massimo interesse personale e famigliare a segnalare ogni omissione compiacente di Möller non segnalò l'omissione di Aginter. Se il nesso fosse stato noto e taciuto, quella era la persona che lo avrebbe rilevato.</w:t>
      </w:r>
    </w:p>
    <w:p>
      <w:pPr>
        <w:spacing w:after="120" w:line="276"/>
        <w:jc w:val="both"/>
      </w:pPr>
      <w:r>
        <w:rPr>
          <w:rFonts w:ascii="Barlow Semi Condensed" w:cs="Barlow Semi Condensed" w:eastAsia="Barlow Semi Condensed" w:hAnsi="Barlow Semi Condensed"/>
          <w:sz w:val="24"/>
          <w:szCs w:val="24"/>
        </w:rPr>
        <w:t xml:space="preserve">Il limite dell'argomento va però dichiarato, perché è un argomento dal silenzio. Esso stabilisce che il nesso non risulta dal lascito Strauß per come Möller lo ha letto; non stabilisce che il lascito non contenga carte non lette, né che il nesso non esista fuori dal lascito.</w:t>
      </w:r>
    </w:p>
    <w:p>
      <w:pPr>
        <w:spacing w:after="120" w:line="276"/>
        <w:jc w:val="both"/>
      </w:pPr>
      <w:r>
        <w:rPr>
          <w:rFonts w:ascii="Barlow Semi Condensed" w:cs="Barlow Semi Condensed" w:eastAsia="Barlow Semi Condensed" w:hAnsi="Barlow Semi Condensed"/>
          <w:sz w:val="24"/>
          <w:szCs w:val="24"/>
        </w:rPr>
        <w:t xml:space="preserve">La verifica definitiva richiederebbe la consultazione diretta dei fascicoli di corrispondenza estera del lascito presso l'archivio della fondazione a Monaco, ed è iscritta in tavola.</w:t>
      </w:r>
    </w:p>
    <w:p>
      <w:pPr>
        <w:pStyle w:val="Heading2"/>
        <w:spacing w:after="100" w:before="200"/>
      </w:pPr>
      <w:r>
        <w:rPr>
          <w:rFonts w:ascii="Barlow Semi Condensed" w:cs="Barlow Semi Condensed" w:eastAsia="Barlow Semi Condensed" w:hAnsi="Barlow Semi Condensed"/>
          <w:sz w:val="24"/>
          <w:szCs w:val="24"/>
        </w:rPr>
        <w:t xml:space="preserve">Capitolo sesto — La verifica della commissione bavarese: esito negativo con identificazione dell'errore</w:t>
      </w:r>
    </w:p>
    <w:p>
      <w:pPr>
        <w:spacing w:after="120" w:line="276"/>
        <w:jc w:val="both"/>
      </w:pPr>
      <w:r>
        <w:rPr>
          <w:rFonts w:ascii="Barlow Semi Condensed" w:cs="Barlow Semi Condensed" w:eastAsia="Barlow Semi Condensed" w:hAnsi="Barlow Semi Condensed"/>
          <w:sz w:val="24"/>
          <w:szCs w:val="24"/>
        </w:rPr>
        <w:t xml:space="preserve">Il capitolo chiude un item che la ricognizione anteriore aveva lasciato aperto, e ne identifica la fonte dell'equivoco.</w:t>
      </w:r>
    </w:p>
    <w:p>
      <w:pPr>
        <w:spacing w:after="120" w:line="276"/>
        <w:jc w:val="both"/>
      </w:pPr>
      <w:r>
        <w:rPr>
          <w:rFonts w:ascii="Barlow Semi Condensed" w:cs="Barlow Semi Condensed" w:eastAsia="Barlow Semi Condensed" w:hAnsi="Barlow Semi Condensed"/>
          <w:sz w:val="24"/>
          <w:szCs w:val="24"/>
        </w:rPr>
        <w:t xml:space="preserve">L'indicazione da verificare. La ricognizione anteriore aveva reperito, da fonte di bassa affidabilità, l'indicazione secondo cui nel contesto di una commissione d'inchiesta del Landtag bavarese del 1982 — verosimilmente relativa all'attentato dell'Oktoberfest del 26 settembre 1980 — il nome di Aginter Press sarebbe comparso senza esiti concreti.</w:t>
      </w:r>
    </w:p>
    <w:p>
      <w:pPr>
        <w:spacing w:after="120" w:line="276"/>
        <w:jc w:val="both"/>
      </w:pPr>
      <w:r>
        <w:rPr>
          <w:rFonts w:ascii="Barlow Semi Condensed" w:cs="Barlow Semi Condensed" w:eastAsia="Barlow Semi Condensed" w:hAnsi="Barlow Semi Condensed"/>
          <w:sz w:val="24"/>
          <w:szCs w:val="24"/>
        </w:rPr>
        <w:t xml:space="preserve">L'esito della verifica è negativo, e va dichiarato.</w:t>
      </w:r>
    </w:p>
    <w:p>
      <w:pPr>
        <w:spacing w:after="120" w:line="276"/>
        <w:jc w:val="both"/>
      </w:pPr>
      <w:r>
        <w:rPr>
          <w:rFonts w:ascii="Barlow Semi Condensed" w:cs="Barlow Semi Condensed" w:eastAsia="Barlow Semi Condensed" w:hAnsi="Barlow Semi Condensed"/>
          <w:sz w:val="24"/>
          <w:szCs w:val="24"/>
        </w:rPr>
        <w:t xml:space="preserve">La documentazione consultabile sull'attentato non contiene Aginter Press. Né la scheda del lessico storico bavarese, né i resoconti della commissione giuridica e della commissione costituzionale del Landtag sulla chiusura delle indagini riaperte nel 2014 e concluse nel 2020, né il contributo accademico di Ulrich Chaussy del 2023. L'inchiesta è ricostruita attorno a Gundolf Köhler, ai contatti con la Wehrsportgruppe Hoffmann e all'accertamento della matrice di estrema destra, senza che Aginter vi compaia.</w:t>
      </w:r>
    </w:p>
    <w:p>
      <w:pPr>
        <w:spacing w:after="120" w:line="276"/>
        <w:jc w:val="both"/>
      </w:pPr>
      <w:r>
        <w:rPr>
          <w:rFonts w:ascii="Barlow Semi Condensed" w:cs="Barlow Semi Condensed" w:eastAsia="Barlow Semi Condensed" w:hAnsi="Barlow Semi Condensed"/>
          <w:sz w:val="24"/>
          <w:szCs w:val="24"/>
        </w:rPr>
        <w:t xml:space="preserve">E adesso l'identificazione dell'errore, che è il guadagno del capitolo. La commissione d'inchiesta bavarese del 1982 non riguardò l'attentato dell'Oktoberfest, bensì le attività dell'ex capo dei servizi bavaresi Hans Langemann — il cosiddetto affare Langemann, oggetto delle inchieste di una rivista amburghese.</w:t>
      </w:r>
    </w:p>
    <w:p>
      <w:pPr>
        <w:spacing w:after="120" w:line="276"/>
        <w:jc w:val="both"/>
      </w:pPr>
      <w:r>
        <w:rPr>
          <w:rFonts w:ascii="Barlow Semi Condensed" w:cs="Barlow Semi Condensed" w:eastAsia="Barlow Semi Condensed" w:hAnsi="Barlow Semi Condensed"/>
          <w:sz w:val="24"/>
          <w:szCs w:val="24"/>
        </w:rPr>
        <w:t xml:space="preserve">Ne discende che l'indicazione anteriore conteneva una sovrapposizione di due oggetti distinti: la commissione del 1982 e l'inchiesta sull'attentato del 1980. E anche nel contesto Langemann, Aginter Press non risulta menzionata nei materiali reperibili.</w:t>
      </w:r>
    </w:p>
    <w:p>
      <w:pPr>
        <w:spacing w:after="120" w:line="276"/>
        <w:jc w:val="both"/>
      </w:pPr>
      <w:r>
        <w:rPr>
          <w:rFonts w:ascii="Barlow Semi Condensed" w:cs="Barlow Semi Condensed" w:eastAsia="Barlow Semi Condensed" w:hAnsi="Barlow Semi Condensed"/>
          <w:sz w:val="24"/>
          <w:szCs w:val="24"/>
        </w:rPr>
        <w:t xml:space="preserve">Si dichiara pertanto l'esito negativo su entrambi i fronti: nessuna menzione di Aginter Press risulta nei verbali della commissione d'inchiesta del Landtag bavarese né negli atti parlamentari federali sull'attentato.</w:t>
      </w:r>
    </w:p>
    <w:p>
      <w:pPr>
        <w:spacing w:after="120" w:line="276"/>
        <w:jc w:val="both"/>
      </w:pPr>
      <w:r>
        <w:rPr>
          <w:rFonts w:ascii="Barlow Semi Condensed" w:cs="Barlow Semi Condensed" w:eastAsia="Barlow Semi Condensed" w:hAnsi="Barlow Semi Condensed"/>
          <w:sz w:val="24"/>
          <w:szCs w:val="24"/>
        </w:rPr>
        <w:t xml:space="preserve">La sede di verifica definitiva è l'Archiv des Bayerischen Landtags per i verbali delle commissioni del 1982, non digitalizzati, e il Bayerisches Hauptstaatsarchiv per i fascicoli sull'attentato trasferiti dopo il 2014, con accesso in loco.</w:t>
      </w:r>
    </w:p>
    <w:p>
      <w:pPr>
        <w:spacing w:after="120" w:line="276"/>
        <w:jc w:val="both"/>
      </w:pPr>
      <w:r>
        <w:rPr>
          <w:rFonts w:ascii="Barlow Semi Condensed" w:cs="Barlow Semi Condensed" w:eastAsia="Barlow Semi Condensed" w:hAnsi="Barlow Semi Condensed"/>
          <w:sz w:val="24"/>
          <w:szCs w:val="24"/>
        </w:rPr>
        <w:t xml:space="preserve">Il capitolo è deliberatamente breve e ne dichiara la ragione: il materiale non basta a costruire una trattazione più ampia, e ipotizzare al di là di esso contravverrebbe ai requisiti che governano questo studio.</w:t>
      </w:r>
    </w:p>
    <w:p>
      <w:pPr>
        <w:pStyle w:val="Heading2"/>
        <w:spacing w:after="100" w:before="200"/>
      </w:pPr>
      <w:r>
        <w:rPr>
          <w:rFonts w:ascii="Barlow Semi Condensed" w:cs="Barlow Semi Condensed" w:eastAsia="Barlow Semi Condensed" w:hAnsi="Barlow Semi Condensed"/>
          <w:sz w:val="24"/>
          <w:szCs w:val="24"/>
        </w:rPr>
        <w:t xml:space="preserve">Capitolo settimo — Aginter Press: la componente tedesca reale</w:t>
      </w:r>
    </w:p>
    <w:p>
      <w:pPr>
        <w:spacing w:after="120" w:line="276"/>
        <w:jc w:val="both"/>
      </w:pPr>
      <w:r>
        <w:rPr>
          <w:rFonts w:ascii="Barlow Semi Condensed" w:cs="Barlow Semi Condensed" w:eastAsia="Barlow Semi Condensed" w:hAnsi="Barlow Semi Condensed"/>
          <w:sz w:val="24"/>
          <w:szCs w:val="24"/>
        </w:rPr>
        <w:t xml:space="preserve">Il capitolo espone ciò che di tedesco è documentato in Aginter Press, e mostra che è cosa diversa da quanto l'allegazione asserisce.</w:t>
      </w:r>
    </w:p>
    <w:p>
      <w:pPr>
        <w:spacing w:after="120" w:line="276"/>
        <w:jc w:val="both"/>
      </w:pPr>
      <w:r>
        <w:rPr>
          <w:rFonts w:ascii="Barlow Semi Condensed" w:cs="Barlow Semi Condensed" w:eastAsia="Barlow Semi Condensed" w:hAnsi="Barlow Semi Condensed"/>
          <w:sz w:val="24"/>
          <w:szCs w:val="24"/>
        </w:rPr>
        <w:t xml:space="preserve">La denominazione e la fondazione. Aginter Press, con denominazione di copertura Ordem Central e Tradição, fu fondata a Lisbona nel settembre 1966 sotto l'Estado Novo e diretta da Yves Guérin-Sérac, pseudonimo di Yves Félix Marie Guillou, nato a Ploubezre il 2 dicembre 1926 e morto a Le Revest-les-Eaux il 9 marzo 2022. Il numero due era Robert Leroy.</w:t>
      </w:r>
    </w:p>
    <w:p>
      <w:pPr>
        <w:spacing w:after="120" w:line="276"/>
        <w:jc w:val="both"/>
      </w:pPr>
      <w:r>
        <w:rPr>
          <w:rFonts w:ascii="Barlow Semi Condensed" w:cs="Barlow Semi Condensed" w:eastAsia="Barlow Semi Condensed" w:hAnsi="Barlow Semi Condensed"/>
          <w:sz w:val="24"/>
          <w:szCs w:val="24"/>
        </w:rPr>
        <w:t xml:space="preserve">La struttura, secondo il rapporto del servizio informativo portoghese post-1974 riportato da Stuart Christie nel 1984: ufficio di spionaggio collegato alla polizia politica portoghese e, tramite essa, alla Central Intelligence Agency, al servizio della Germania Federale, alla Dirección General de Seguridad spagnola, al servizio sudafricano e più tardi a quello greco; centro di reclutamento e addestramento; centro di indottrinamento neofascista per Africa subsahariana, America del Sud ed Europa; e organizzazione internazionale Order and Tradition con braccio paramilitare clandestino.</w:t>
      </w:r>
    </w:p>
    <w:p>
      <w:pPr>
        <w:spacing w:after="120" w:line="276"/>
        <w:jc w:val="both"/>
      </w:pPr>
      <w:r>
        <w:rPr>
          <w:rFonts w:ascii="Barlow Semi Condensed" w:cs="Barlow Semi Condensed" w:eastAsia="Barlow Semi Condensed" w:hAnsi="Barlow Semi Condensed"/>
          <w:sz w:val="24"/>
          <w:szCs w:val="24"/>
        </w:rPr>
        <w:t xml:space="preserve">E qui la componente tedesca documentata, che è il punto del capitolo. Christie stima che circa il sessanta per cento del personale di Aginter fosse reclutato fra le file dell'Organisation Armée Secrète, mentre il restante proveniva da organizzazioni neonaziste dell'Europa occidentale, come il Kampfbund Deutscher Soldaten con sede a Francoforte, diretto da Eberhard Taubert.</w:t>
      </w:r>
    </w:p>
    <w:p>
      <w:pPr>
        <w:spacing w:after="120" w:line="276"/>
        <w:jc w:val="both"/>
      </w:pPr>
      <w:r>
        <w:rPr>
          <w:rFonts w:ascii="Barlow Semi Condensed" w:cs="Barlow Semi Condensed" w:eastAsia="Barlow Semi Condensed" w:hAnsi="Barlow Semi Condensed"/>
          <w:sz w:val="24"/>
          <w:szCs w:val="24"/>
        </w:rPr>
        <w:t xml:space="preserve">Ne discende un accertamento che va enunciato con precisione. La componente tedesca di Aginter Press è documentata, ed è neonazista e reducistica — non democristiana. Il Kampfbund Deutscher Soldaten era organizzazione di ex militari di estrema destra; Taubert era stato funzionario del ministero della propaganda del Reich.</w:t>
      </w:r>
    </w:p>
    <w:p>
      <w:pPr>
        <w:spacing w:after="120" w:line="276"/>
        <w:jc w:val="both"/>
      </w:pPr>
      <w:r>
        <w:rPr>
          <w:rFonts w:ascii="Barlow Semi Condensed" w:cs="Barlow Semi Condensed" w:eastAsia="Barlow Semi Condensed" w:hAnsi="Barlow Semi Condensed"/>
          <w:sz w:val="24"/>
          <w:szCs w:val="24"/>
        </w:rPr>
        <w:t xml:space="preserve">La distanza fra questo ambiente e la Christlich-Soziale Union va enunciata perché è la sostanza dell'esito negativo. Non si tratta di due soggetti che si sfiorano senza toccarsi: si tratta di due mondi politicamente antagonisti. La CSU era partito di governo della Repubblica Federale, appartenente alla famiglia democristiana europea, e negli anni Settanta i suoi fuoriusciti fondarono un partito concorrente a destra proprio perché la ritenevano insufficientemente radicale.</w:t>
      </w:r>
    </w:p>
    <w:p>
      <w:pPr>
        <w:spacing w:after="120" w:line="276"/>
        <w:jc w:val="both"/>
      </w:pPr>
      <w:r>
        <w:rPr>
          <w:rFonts w:ascii="Barlow Semi Condensed" w:cs="Barlow Semi Condensed" w:eastAsia="Barlow Semi Condensed" w:hAnsi="Barlow Semi Condensed"/>
          <w:sz w:val="24"/>
          <w:szCs w:val="24"/>
        </w:rPr>
        <w:t xml:space="preserve">La storiografia peer-reviewed disponibile. José Manuel Duarte de Jesus, \</w:t>
      </w:r>
      <w:r>
        <w:rPr>
          <w:rFonts w:ascii="Barlow Semi Condensed" w:cs="Barlow Semi Condensed" w:eastAsia="Barlow Semi Condensed" w:hAnsi="Barlow Semi Condensed"/>
          <w:i/>
          <w:iCs/>
          <w:sz w:val="24"/>
          <w:szCs w:val="24"/>
        </w:rPr>
        <w:t xml:space="preserve">A Guerra Secreta de Salazar em África: Aginter Press\</w:t>
      </w:r>
      <w:r>
        <w:rPr>
          <w:rFonts w:ascii="Barlow Semi Condensed" w:cs="Barlow Semi Condensed" w:eastAsia="Barlow Semi Condensed" w:hAnsi="Barlow Semi Condensed"/>
          <w:sz w:val="24"/>
          <w:szCs w:val="24"/>
        </w:rPr>
        <w:t xml:space="preserve">, Dom Quixote, 2012, duecentoquarantuno pagine, presso l'istituto di relazioni internazionali dell'Università Nuova di Lisbona; e Nicola Guerra, \</w:t>
      </w:r>
      <w:r>
        <w:rPr>
          <w:rFonts w:ascii="Barlow Semi Condensed" w:cs="Barlow Semi Condensed" w:eastAsia="Barlow Semi Condensed" w:hAnsi="Barlow Semi Condensed"/>
          <w:i/>
          <w:iCs/>
          <w:sz w:val="24"/>
          <w:szCs w:val="24"/>
        </w:rPr>
        <w:t xml:space="preserve">Aginter Press: a transnational hub for far-right militancy and western intelligence\</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Critical Studies on Terrorism\</w:t>
      </w:r>
      <w:r>
        <w:rPr>
          <w:rFonts w:ascii="Barlow Semi Condensed" w:cs="Barlow Semi Condensed" w:eastAsia="Barlow Semi Condensed" w:hAnsi="Barlow Semi Condensed"/>
          <w:sz w:val="24"/>
          <w:szCs w:val="24"/>
        </w:rPr>
        <w:t xml:space="preserve">, volume diciannovesimo numero secondo del 2026, pagine 478-499, incentrato però sulle interconnessioni con l'intelligence statunitense e non con la CSU.</w:t>
      </w:r>
    </w:p>
    <w:p>
      <w:pPr>
        <w:spacing w:after="120" w:line="276"/>
        <w:jc w:val="both"/>
      </w:pPr>
      <w:r>
        <w:rPr>
          <w:rFonts w:ascii="Barlow Semi Condensed" w:cs="Barlow Semi Condensed" w:eastAsia="Barlow Semi Condensed" w:hAnsi="Barlow Semi Condensed"/>
          <w:sz w:val="24"/>
          <w:szCs w:val="24"/>
        </w:rPr>
        <w:t xml:space="preserve">Una cautela sulla fonte più citata.\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L'opera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Daniele Ganser\</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NATO's Secret Armies\</w:t>
      </w:r>
      <w:r>
        <w:rPr>
          <w:rFonts w:ascii="Barlow Semi Condensed" w:cs="Barlow Semi Condensed" w:eastAsia="Barlow Semi Condensed" w:hAnsi="Barlow Semi Condensed"/>
          <w:sz w:val="24"/>
          <w:szCs w:val="24"/>
        </w:rPr>
        <w:t xml:space="preserve">, pur essendo il riferimento più diffuso,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è considerata da parte della critica accademica una fonte controversa.</w:t>
      </w:r>
    </w:p>
    <w:p>
      <w:pPr>
        <w:spacing w:after="120" w:line="276"/>
        <w:jc w:val="both"/>
      </w:pPr>
      <w:r>
        <w:rPr>
          <w:rFonts w:ascii="Barlow Semi Condensed" w:cs="Barlow Semi Condensed" w:eastAsia="Barlow Semi Condensed" w:hAnsi="Barlow Semi Condensed"/>
          <w:sz w:val="24"/>
          <w:szCs w:val="24"/>
        </w:rPr>
        <w:t xml:space="preserve">Un limite documentale grave va registrato. Duarte de Jesus segnala che alcune casse di documenti di Aginter e della polizia politica finirono a Mosca nella settimana del 25 aprile 1974 o poco dopo, e sono verosimilmente perdute; e una recensione portoghese osserva che il suo stesso volume ha appena graffiato la superficie.</w:t>
      </w:r>
    </w:p>
    <w:p>
      <w:pPr>
        <w:spacing w:after="120" w:line="276"/>
        <w:jc w:val="both"/>
      </w:pPr>
      <w:r>
        <w:rPr>
          <w:rFonts w:ascii="Barlow Semi Condensed" w:cs="Barlow Semi Condensed" w:eastAsia="Barlow Semi Condensed" w:hAnsi="Barlow Semi Condensed"/>
          <w:sz w:val="24"/>
          <w:szCs w:val="24"/>
        </w:rPr>
        <w:t xml:space="preserve">Nessuna delle opere che hanno esaminato i documenti sequestrati attesta la presenza del nome di Strauß o della CSU.</w:t>
      </w:r>
    </w:p>
    <w:p>
      <w:pPr>
        <w:pStyle w:val="Heading2"/>
        <w:spacing w:after="100" w:before="200"/>
      </w:pPr>
      <w:r>
        <w:rPr>
          <w:rFonts w:ascii="Barlow Semi Condensed" w:cs="Barlow Semi Condensed" w:eastAsia="Barlow Semi Condensed" w:hAnsi="Barlow Semi Condensed"/>
          <w:sz w:val="24"/>
          <w:szCs w:val="24"/>
        </w:rPr>
        <w:t xml:space="preserve">Capitolo ottavo — Il trilaterale del 1957-1958: l'unico incontro documentato con un ministro italiano</w:t>
      </w:r>
    </w:p>
    <w:p>
      <w:pPr>
        <w:spacing w:after="120" w:line="276"/>
        <w:jc w:val="both"/>
      </w:pPr>
      <w:r>
        <w:rPr>
          <w:rFonts w:ascii="Barlow Semi Condensed" w:cs="Barlow Semi Condensed" w:eastAsia="Barlow Semi Condensed" w:hAnsi="Barlow Semi Condensed"/>
          <w:sz w:val="24"/>
          <w:szCs w:val="24"/>
        </w:rPr>
        <w:t xml:space="preserve">Il capitolo espone il solo terreno su cui l'attività ministeriale di Strauß incontri direttamente quella di un ministro italiano, e ne accerta la natura.</w:t>
      </w:r>
    </w:p>
    <w:p>
      <w:pPr>
        <w:spacing w:after="120" w:line="276"/>
        <w:jc w:val="both"/>
      </w:pPr>
      <w:r>
        <w:rPr>
          <w:rFonts w:ascii="Barlow Semi Condensed" w:cs="Barlow Semi Condensed" w:eastAsia="Barlow Semi Condensed" w:hAnsi="Barlow Semi Condensed"/>
          <w:sz w:val="24"/>
          <w:szCs w:val="24"/>
        </w:rPr>
        <w:t xml:space="preserve">La sequenza, per date. Il 17 gennaio 1957, a Colomb-Béchar, i ministri della Difesa francese e tedesco — Maurice Bourgès-Maunoury e Strauß — conclusero un accordo bilaterale segreto su difesa e armamenti. Il 25 novembre 1957, a Parigi, i ministri della Difesa francese, tedesco e italiano firmarono un protocollo che estendeva l'accordo alle armi nucleari, in particolare alla fabbricazione di missili balistici a raggio intermedio. L'8 aprile 1958, a Roma, Jacques Chaban-Delmas, Strauß e Paolo Emilio Taviani parafarono un accordo relativo alla costruzione di un impianto di separazione isotopica a Pierrelatte.</w:t>
      </w:r>
    </w:p>
    <w:p>
      <w:pPr>
        <w:spacing w:after="120" w:line="276"/>
        <w:jc w:val="both"/>
      </w:pPr>
      <w:r>
        <w:rPr>
          <w:rFonts w:ascii="Barlow Semi Condensed" w:cs="Barlow Semi Condensed" w:eastAsia="Barlow Semi Condensed" w:hAnsi="Barlow Semi Condensed"/>
          <w:sz w:val="24"/>
          <w:szCs w:val="24"/>
        </w:rPr>
        <w:t xml:space="preserve">La fine, e la sua data. Il 17 giugno 1958, nel primo Consiglio di difesa dopo il ritorno al potere di de Gaulle, il progetto fu terminato; Guillaumat fece sapere a Strauß, per incarico di de Gaulle, che bisognava dimenticare tutto ciò.</w:t>
      </w:r>
    </w:p>
    <w:p>
      <w:pPr>
        <w:spacing w:after="120" w:line="276"/>
        <w:jc w:val="both"/>
      </w:pPr>
      <w:r>
        <w:rPr>
          <w:rFonts w:ascii="Barlow Semi Condensed" w:cs="Barlow Semi Condensed" w:eastAsia="Barlow Semi Condensed" w:hAnsi="Barlow Semi Condensed"/>
          <w:sz w:val="24"/>
          <w:szCs w:val="24"/>
        </w:rPr>
        <w:t xml:space="preserve">Un elemento di irregolarità va registrato. L'accordo del novembre 1957 era stato firmato da Chaban senza autorizzazione di Félix Gaillard e senza avallo di de Gaulle.</w:t>
      </w:r>
    </w:p>
    <w:p>
      <w:pPr>
        <w:spacing w:after="120" w:line="276"/>
        <w:jc w:val="both"/>
      </w:pPr>
      <w:r>
        <w:rPr>
          <w:rFonts w:ascii="Barlow Semi Condensed" w:cs="Barlow Semi Condensed" w:eastAsia="Barlow Semi Condensed" w:hAnsi="Barlow Semi Condensed"/>
          <w:sz w:val="24"/>
          <w:szCs w:val="24"/>
        </w:rPr>
        <w:t xml:space="preserve">La storiografia. Georges-Henri Soutou, \</w:t>
      </w:r>
      <w:r>
        <w:rPr>
          <w:rFonts w:ascii="Barlow Semi Condensed" w:cs="Barlow Semi Condensed" w:eastAsia="Barlow Semi Condensed" w:hAnsi="Barlow Semi Condensed"/>
          <w:i/>
          <w:iCs/>
          <w:sz w:val="24"/>
          <w:szCs w:val="24"/>
        </w:rPr>
        <w:t xml:space="preserve">Les accords de 1957 et 1958: vers une communauté stratégique nucléaire entre la France, l'Allemagne et l'Italie?\</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Matériaux pour l'histoire de notre temps\</w:t>
      </w:r>
      <w:r>
        <w:rPr>
          <w:rFonts w:ascii="Barlow Semi Condensed" w:cs="Barlow Semi Condensed" w:eastAsia="Barlow Semi Condensed" w:hAnsi="Barlow Semi Condensed"/>
          <w:sz w:val="24"/>
          <w:szCs w:val="24"/>
        </w:rPr>
        <w:t xml:space="preserve">, numero trentunesimo del 1993; Colette Barbier sulla rivista di storia diplomatica del 1990; Leopoldo Nuti per il versante italiano; Eckart Conze per quello tedesco; Beatrice Heuser, \</w:t>
      </w:r>
      <w:r>
        <w:rPr>
          <w:rFonts w:ascii="Barlow Semi Condensed" w:cs="Barlow Semi Condensed" w:eastAsia="Barlow Semi Condensed" w:hAnsi="Barlow Semi Condensed"/>
          <w:i/>
          <w:iCs/>
          <w:sz w:val="24"/>
          <w:szCs w:val="24"/>
        </w:rPr>
        <w:t xml:space="preserve">The European Dream of Franz Josef Strauss\</w:t>
      </w:r>
      <w:r>
        <w:rPr>
          <w:rFonts w:ascii="Barlow Semi Condensed" w:cs="Barlow Semi Condensed" w:eastAsia="Barlow Semi Condensed" w:hAnsi="Barlow Semi Condensed"/>
          <w:sz w:val="24"/>
          <w:szCs w:val="24"/>
        </w:rPr>
        <w:t xml:space="preserve">, 1998.</w:t>
      </w:r>
    </w:p>
    <w:p>
      <w:pPr>
        <w:spacing w:after="120" w:line="276"/>
        <w:jc w:val="both"/>
      </w:pPr>
      <w:r>
        <w:rPr>
          <w:rFonts w:ascii="Barlow Semi Condensed" w:cs="Barlow Semi Condensed" w:eastAsia="Barlow Semi Condensed" w:hAnsi="Barlow Semi Condensed"/>
          <w:sz w:val="24"/>
          <w:szCs w:val="24"/>
        </w:rPr>
        <w:t xml:space="preserve">Una distinzione va apposta. Ciò che il documento attesta è la parafatura degli accordi da parte dei tre ministri; ciò che se ne inferisce è l'esistenza di una vera comunità strategica nucleare — e Soutou stesso formula il titolo come domanda.</w:t>
      </w:r>
    </w:p>
    <w:p>
      <w:pPr>
        <w:spacing w:after="120" w:line="276"/>
        <w:jc w:val="both"/>
      </w:pPr>
      <w:r>
        <w:rPr>
          <w:rFonts w:ascii="Barlow Semi Condensed" w:cs="Barlow Semi Condensed" w:eastAsia="Barlow Semi Condensed" w:hAnsi="Barlow Semi Condensed"/>
          <w:sz w:val="24"/>
          <w:szCs w:val="24"/>
        </w:rPr>
        <w:t xml:space="preserve">Il rilievo per questo studio, enunciato. Questo incontro fra Strauß e Taviani è interamente riconducibile alla cooperazione atlantica e nucleare fra Stati alleati, ed è anteriore di otto anni alla fondazione di Aginter Press. Nulla nelle fonti lo collega ad Aginter.</w:t>
      </w:r>
    </w:p>
    <w:p>
      <w:pPr>
        <w:spacing w:after="120" w:line="276"/>
        <w:jc w:val="both"/>
      </w:pPr>
      <w:r>
        <w:rPr>
          <w:rFonts w:ascii="Barlow Semi Condensed" w:cs="Barlow Semi Condensed" w:eastAsia="Barlow Semi Condensed" w:hAnsi="Barlow Semi Condensed"/>
          <w:sz w:val="24"/>
          <w:szCs w:val="24"/>
        </w:rPr>
        <w:t xml:space="preserve">Un elemento va registrato senza inferirne nesso, e la formula è deliberata. Lo stesso Taviani, ministro della Difesa italiano dal 1953 al 1958, è indicato dalla storiografia come figura connessa alla creazione della rete stay-behind italiana.</w:t>
      </w:r>
    </w:p>
    <w:p>
      <w:pPr>
        <w:spacing w:after="120" w:line="276"/>
        <w:jc w:val="both"/>
      </w:pPr>
      <w:r>
        <w:rPr>
          <w:rFonts w:ascii="Barlow Semi Condensed" w:cs="Barlow Semi Condensed" w:eastAsia="Barlow Semi Condensed" w:hAnsi="Barlow Semi Condensed"/>
          <w:sz w:val="24"/>
          <w:szCs w:val="24"/>
        </w:rPr>
        <w:t xml:space="preserve">Ciò non costituisce, secondo le regole che governano questo studio, alcuna prova di un rapporto fra la sua attività ministeriale e Aginter Press o Strauß. Lo si registra perché tacerlo sarebbe scorretto, e lo si qualifica perché impiegarlo sarebbe l'errore che questo documento è scritto per prevenire.</w:t>
      </w:r>
    </w:p>
    <w:p>
      <w:pPr>
        <w:spacing w:after="120" w:line="276"/>
        <w:jc w:val="both"/>
      </w:pPr>
      <w:r>
        <w:rPr>
          <w:rFonts w:ascii="Barlow Semi Condensed" w:cs="Barlow Semi Condensed" w:eastAsia="Barlow Semi Condensed" w:hAnsi="Barlow Semi Condensed"/>
          <w:sz w:val="24"/>
          <w:szCs w:val="24"/>
        </w:rPr>
        <w:t xml:space="preserve">Ne discende che il solo terreno documentato di contatto Strauß-Italia è atlantico, nucleare, ministeriale e anteriore ad Aginter di quasi un decennio.</w:t>
      </w:r>
    </w:p>
    <w:p>
      <w:pPr>
        <w:pStyle w:val="Heading2"/>
        <w:spacing w:after="100" w:before="200"/>
      </w:pPr>
      <w:r>
        <w:rPr>
          <w:rFonts w:ascii="Barlow Semi Condensed" w:cs="Barlow Semi Condensed" w:eastAsia="Barlow Semi Condensed" w:hAnsi="Barlow Semi Condensed"/>
          <w:sz w:val="24"/>
          <w:szCs w:val="24"/>
        </w:rPr>
        <w:t xml:space="preserve">Capitolo nono — Il profilo ministeriale completo e gli affari di armamento</w:t>
      </w:r>
    </w:p>
    <w:p>
      <w:pPr>
        <w:spacing w:after="120" w:line="276"/>
        <w:jc w:val="both"/>
      </w:pPr>
      <w:r>
        <w:rPr>
          <w:rFonts w:ascii="Barlow Semi Condensed" w:cs="Barlow Semi Condensed" w:eastAsia="Barlow Semi Condensed" w:hAnsi="Barlow Semi Condensed"/>
          <w:sz w:val="24"/>
          <w:szCs w:val="24"/>
        </w:rPr>
        <w:t xml:space="preserve">Il capitolo completa il profilo su cui la verifica in negativo si esercita, e distingue in ciascun affare l'accertato dall'attribuito.</w:t>
      </w:r>
    </w:p>
    <w:p>
      <w:pPr>
        <w:spacing w:after="120" w:line="276"/>
        <w:jc w:val="both"/>
      </w:pPr>
      <w:r>
        <w:rPr>
          <w:rFonts w:ascii="Barlow Semi Condensed" w:cs="Barlow Semi Condensed" w:eastAsia="Barlow Semi Condensed" w:hAnsi="Barlow Semi Condensed"/>
          <w:sz w:val="24"/>
          <w:szCs w:val="24"/>
        </w:rPr>
        <w:t xml:space="preserve">Le cariche, per date. Ministro federale per compiti speciali 1953-1955; ministro federale per le questioni atomiche 1955-1956, con la presentazione di un piano atomico civile a tre stadi; ministro federale della Difesa dal 16 ottobre 1956 al 1962; ministro federale delle Finanze nella Grande Coalizione 1966-1969, con la politica di stabilizzazione condotta con Karl Schiller; minister-presidente della Baviera 1978-1988; presidente della CSU 1961-1988.</w:t>
      </w:r>
    </w:p>
    <w:p>
      <w:pPr>
        <w:spacing w:after="120" w:line="276"/>
        <w:jc w:val="both"/>
      </w:pPr>
      <w:r>
        <w:rPr>
          <w:rFonts w:ascii="Barlow Semi Condensed" w:cs="Barlow Semi Condensed" w:eastAsia="Barlow Semi Condensed" w:hAnsi="Barlow Semi Condensed"/>
          <w:sz w:val="24"/>
          <w:szCs w:val="24"/>
        </w:rPr>
        <w:t xml:space="preserve">Lo Starfighter, con i numeri. Dei novecentosedici esemplari acquistati — alcune fonti indicano novecentodiciassette — ne precipitarono duecentonovantadue, quasi un terzo, con la morte di centosedici piloti, di cui centotto tedeschi e otto statunitensi. L'incidente della formazione acrobatica a Nörvenich del 19 giugno 1962 precedette di un giorno la cerimonia ufficiale di consegna.</w:t>
      </w:r>
    </w:p>
    <w:p>
      <w:pPr>
        <w:spacing w:after="120" w:line="276"/>
        <w:jc w:val="both"/>
      </w:pPr>
      <w:r>
        <w:rPr>
          <w:rFonts w:ascii="Barlow Semi Condensed" w:cs="Barlow Semi Condensed" w:eastAsia="Barlow Semi Condensed" w:hAnsi="Barlow Semi Condensed"/>
          <w:sz w:val="24"/>
          <w:szCs w:val="24"/>
        </w:rPr>
        <w:t xml:space="preserve">L'accertamento sulla corruzione, e va enunciato con precisione. Una commissione d'inchiesta parlamentare concluse che una corruzione non era dimostrabile e l'accusa fu lasciata cadere. Le indagini interne del referato anticorruzione, dirette da Fritz-Josef Rath, accertarono pagamenti per uno virgola uno-uno virgola tre milioni di marchi, con una somma considerevole verso Heinrich Sellschopp, capo del referato per il materiale aeronautico dell'ufficio federale di tecnica militare a Coblenza — ma non verso Strauß, la cui responsabilità corruttiva resta non provata. Möller stesso parla soltanto di un sospetto.</w:t>
      </w:r>
    </w:p>
    <w:p>
      <w:pPr>
        <w:spacing w:after="120" w:line="276"/>
        <w:jc w:val="both"/>
      </w:pPr>
      <w:r>
        <w:rPr>
          <w:rFonts w:ascii="Barlow Semi Condensed" w:cs="Barlow Semi Condensed" w:eastAsia="Barlow Semi Condensed" w:hAnsi="Barlow Semi Condensed"/>
          <w:sz w:val="24"/>
          <w:szCs w:val="24"/>
        </w:rPr>
        <w:t xml:space="preserve">L'affare HS 30, e la sua sfasatura cronologica. Fu il più grande scandalo di armamento tedesco fino ad allora; una commissione operò dal 1967 al 1969, con relazione del 26 giugno 1969. Fra i destinatari di tangenti indicati figurò il referente personale del ministro, il colonnello Werner Repenning, con due virgola tre milioni.</w:t>
      </w:r>
    </w:p>
    <w:p>
      <w:pPr>
        <w:spacing w:after="120" w:line="276"/>
        <w:jc w:val="both"/>
      </w:pPr>
      <w:r>
        <w:rPr>
          <w:rFonts w:ascii="Barlow Semi Condensed" w:cs="Barlow Semi Condensed" w:eastAsia="Barlow Semi Condensed" w:hAnsi="Barlow Semi Condensed"/>
          <w:sz w:val="24"/>
          <w:szCs w:val="24"/>
        </w:rPr>
        <w:t xml:space="preserve">Ma un elemento va apposto e cambia la valutazione: la decisione d'acquisto era stata pianificata dall'ufficio Blank già dal 1953, prima dell'insediamento di Strauß.</w:t>
      </w:r>
    </w:p>
    <w:p>
      <w:pPr>
        <w:spacing w:after="120" w:line="276"/>
        <w:jc w:val="both"/>
      </w:pPr>
      <w:r>
        <w:rPr>
          <w:rFonts w:ascii="Barlow Semi Condensed" w:cs="Barlow Semi Condensed" w:eastAsia="Barlow Semi Condensed" w:hAnsi="Barlow Semi Condensed"/>
          <w:sz w:val="24"/>
          <w:szCs w:val="24"/>
        </w:rPr>
        <w:t xml:space="preserve">L'affare Fibag del 1961.\</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relazioni del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20 giugno\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del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30 agosto 1962\</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si concluse con la conferma,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 maggioranza risicata\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a Strauß non erano imputabili violazioni dei doveri d'ufficio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decisione criticata dai liberali.</w:t>
      </w:r>
    </w:p>
    <w:p>
      <w:pPr>
        <w:spacing w:after="120" w:line="276"/>
        <w:jc w:val="both"/>
      </w:pPr>
      <w:r>
        <w:rPr>
          <w:rFonts w:ascii="Barlow Semi Condensed" w:cs="Barlow Semi Condensed" w:eastAsia="Barlow Semi Condensed" w:hAnsi="Barlow Semi Condensed"/>
          <w:sz w:val="24"/>
          <w:szCs w:val="24"/>
        </w:rPr>
        <w:t xml:space="preserve">Il versante nucleare. All'inizio del 1957 Strauß e Adenauer presentarono piani per un armamento atomico della Bundeswehr; il 12 aprile 1957 diciotto scienziati sottoscrissero la dichiarazione di Gottinga contro tale prospettiva. Con l'adesione al Trattato di Bruxelles la Repubblica Federale aveva rinunciato alla produzione di armi atomiche, biologiche e chimiche sul proprio territorio; non vi fu armamento nazionale, bensì integrazione nella condivisione nucleare atlantica, deliberata dal Bundestag nel marzo 1958 nonostante il movimento contro la morte atomica.</w:t>
      </w:r>
    </w:p>
    <w:p>
      <w:pPr>
        <w:spacing w:after="120" w:line="276"/>
        <w:jc w:val="both"/>
      </w:pPr>
      <w:r>
        <w:rPr>
          <w:rFonts w:ascii="Barlow Semi Condensed" w:cs="Barlow Semi Condensed" w:eastAsia="Barlow Semi Condensed" w:hAnsi="Barlow Semi Condensed"/>
          <w:sz w:val="24"/>
          <w:szCs w:val="24"/>
        </w:rPr>
        <w:t xml:space="preserve">Un dettaglio va riportato perché è la frase più notevole reperita.\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capo di Stato Maggiore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Albert Schnez\</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dopo la visita a Fontainebleau, riferì a Strauß che una guerra siffatta sarebbe stata un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Golgota della nazione tedesca.</w:t>
      </w:r>
    </w:p>
    <w:p>
      <w:pPr>
        <w:spacing w:after="120" w:line="276"/>
        <w:jc w:val="both"/>
      </w:pPr>
      <w:r>
        <w:rPr>
          <w:rFonts w:ascii="Barlow Semi Condensed" w:cs="Barlow Semi Condensed" w:eastAsia="Barlow Semi Condensed" w:hAnsi="Barlow Semi Condensed"/>
          <w:sz w:val="24"/>
          <w:szCs w:val="24"/>
        </w:rPr>
        <w:t xml:space="preserve">L'insieme di questi affari — Fibag, Starfighter, HS 30, Spiegel — provocò la caduta di Strauß dal ministero della Difesa nel 1962. Nessuno di essi presenta punti di contatto con Aginter Press.</w:t>
      </w:r>
    </w:p>
    <w:p>
      <w:pPr>
        <w:pStyle w:val="Heading2"/>
        <w:spacing w:after="100" w:before="200"/>
      </w:pPr>
      <w:r>
        <w:rPr>
          <w:rFonts w:ascii="Barlow Semi Condensed" w:cs="Barlow Semi Condensed" w:eastAsia="Barlow Semi Condensed" w:hAnsi="Barlow Semi Condensed"/>
          <w:sz w:val="24"/>
          <w:szCs w:val="24"/>
        </w:rPr>
        <w:t xml:space="preserve">Capitolo decimo — La verifica in negativo su base ampliata</w:t>
      </w:r>
    </w:p>
    <w:p>
      <w:pPr>
        <w:spacing w:after="120" w:line="276"/>
        <w:jc w:val="both"/>
      </w:pPr>
      <w:r>
        <w:rPr>
          <w:rFonts w:ascii="Barlow Semi Condensed" w:cs="Barlow Semi Condensed" w:eastAsia="Barlow Semi Condensed" w:hAnsi="Barlow Semi Condensed"/>
          <w:sz w:val="24"/>
          <w:szCs w:val="24"/>
        </w:rPr>
        <w:t xml:space="preserve">Il capitolo riesamina la non-connessione alla luce del profilo completo, e ne conferma l'esito su base più larga della ricognizione anteriore.</w:t>
      </w:r>
    </w:p>
    <w:p>
      <w:pPr>
        <w:spacing w:after="120" w:line="276"/>
        <w:jc w:val="both"/>
      </w:pPr>
      <w:r>
        <w:rPr>
          <w:rFonts w:ascii="Barlow Semi Condensed" w:cs="Barlow Semi Condensed" w:eastAsia="Barlow Semi Condensed" w:hAnsi="Barlow Semi Condensed"/>
          <w:sz w:val="24"/>
          <w:szCs w:val="24"/>
        </w:rPr>
        <w:t xml:space="preserve">Primo fronte: il ministero della Difesa e il Portogallo di Salazar. Strauß fu alla Difesa dal 1956 al 1962, e il Portogallo era Stato membro fondatore dell'Alleanza atlantica. Ma nessuna fonte reperita documenta un rapporto bilaterale specifico Strauß-Salazar in ambito atlantico che abbia lasciato traccia riconducibile ad Aginter.</w:t>
      </w:r>
    </w:p>
    <w:p>
      <w:pPr>
        <w:spacing w:after="120" w:line="276"/>
        <w:jc w:val="both"/>
      </w:pPr>
      <w:r>
        <w:rPr>
          <w:rFonts w:ascii="Barlow Semi Condensed" w:cs="Barlow Semi Condensed" w:eastAsia="Barlow Semi Condensed" w:hAnsi="Barlow Semi Condensed"/>
          <w:sz w:val="24"/>
          <w:szCs w:val="24"/>
        </w:rPr>
        <w:t xml:space="preserve">E un dato cronologico chiude il fronte: Aginter fu fondata nel settembre 1966, cioè oltre quattro anni dopo l'uscita di Strauß dalla Difesa.\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periodo in cui Strauß aveva competenza militare,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Aginter non esisteva.</w:t>
      </w:r>
    </w:p>
    <w:p>
      <w:pPr>
        <w:spacing w:after="120" w:line="276"/>
        <w:jc w:val="both"/>
      </w:pPr>
      <w:r>
        <w:rPr>
          <w:rFonts w:ascii="Barlow Semi Condensed" w:cs="Barlow Semi Condensed" w:eastAsia="Barlow Semi Condensed" w:hAnsi="Barlow Semi Condensed"/>
          <w:sz w:val="24"/>
          <w:szCs w:val="24"/>
        </w:rPr>
        <w:t xml:space="preserve">Questo, secondo me, è l'argomento più forte dell'intero studio, e va enunciato come tale. La sola fase in cui Strauß avrebbe avuto le funzioni per intrattenere rapporti con una struttura di quel tipo precede la sua esistenza. Quando Aginter nacque, Strauß era un parlamentare senza incarico di governo, e sarebbe tornato al governo — alle Finanze, non alla Difesa — soltanto nel 1966.</w:t>
      </w:r>
    </w:p>
    <w:p>
      <w:pPr>
        <w:spacing w:after="120" w:line="276"/>
        <w:jc w:val="both"/>
      </w:pPr>
      <w:r>
        <w:rPr>
          <w:rFonts w:ascii="Barlow Semi Condensed" w:cs="Barlow Semi Condensed" w:eastAsia="Barlow Semi Condensed" w:hAnsi="Barlow Semi Condensed"/>
          <w:sz w:val="24"/>
          <w:szCs w:val="24"/>
        </w:rPr>
        <w:t xml:space="preserve">Secondo fronte: i documenti sequestrati.\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letteratura che li ha esaminati documenta la presenza di reduci e finanziatori tedeschi nella rete,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ma nessuna delle opere attesta la presenza del nome di Strauß o della CSU nei documenti Aginter.</w:t>
      </w:r>
    </w:p>
    <w:p>
      <w:pPr>
        <w:spacing w:after="120" w:line="276"/>
        <w:jc w:val="both"/>
      </w:pPr>
      <w:r>
        <w:rPr>
          <w:rFonts w:ascii="Barlow Semi Condensed" w:cs="Barlow Semi Condensed" w:eastAsia="Barlow Semi Condensed" w:hAnsi="Barlow Semi Condensed"/>
          <w:sz w:val="24"/>
          <w:szCs w:val="24"/>
        </w:rPr>
        <w:t xml:space="preserve">Terzo fronte: il lascito Strauß. Il silenzio della biografia Möller, esposto al Capitolo quinto, con il rafforzamento dei recensori.</w:t>
      </w:r>
    </w:p>
    <w:p>
      <w:pPr>
        <w:spacing w:after="120" w:line="276"/>
        <w:jc w:val="both"/>
      </w:pPr>
      <w:r>
        <w:rPr>
          <w:rFonts w:ascii="Barlow Semi Condensed" w:cs="Barlow Semi Condensed" w:eastAsia="Barlow Semi Condensed" w:hAnsi="Barlow Semi Condensed"/>
          <w:sz w:val="24"/>
          <w:szCs w:val="24"/>
        </w:rPr>
        <w:t xml:space="preserve">Quarto fronte: gli atti parlamentari e giudiziari. Nessun atto parlamentare tedesco, nessuna sentenza, nessun documento con segnatura.</w:t>
      </w:r>
    </w:p>
    <w:p>
      <w:pPr>
        <w:spacing w:after="120" w:line="276"/>
        <w:jc w:val="both"/>
      </w:pPr>
      <w:r>
        <w:rPr>
          <w:rFonts w:ascii="Barlow Semi Condensed" w:cs="Barlow Semi Condensed" w:eastAsia="Barlow Semi Condensed" w:hAnsi="Barlow Semi Condensed"/>
          <w:sz w:val="24"/>
          <w:szCs w:val="24"/>
        </w:rPr>
        <w:t xml:space="preserve">Quinto fronte: le commissioni bavaresi. Esito negativo, con identificazione dell'equivoco fra la commissione Langemann del 1982 e l'inchiesta sull'attentato del 1980.</w:t>
      </w:r>
    </w:p>
    <w:p>
      <w:pPr>
        <w:spacing w:after="120" w:line="276"/>
        <w:jc w:val="both"/>
      </w:pPr>
      <w:r>
        <w:rPr>
          <w:rFonts w:ascii="Barlow Semi Condensed" w:cs="Barlow Semi Condensed" w:eastAsia="Barlow Semi Condensed" w:hAnsi="Barlow Semi Condensed"/>
          <w:sz w:val="24"/>
          <w:szCs w:val="24"/>
        </w:rPr>
        <w:t xml:space="preserve">La conclusione, formulata secondo la disciplina. L'onere della prova grava su chi afferma la connessione. Una connessione non documentata è, ai fini di questo studio, una connessione inesistente. La triangolazione Strauß-Aginter Press resta documentalmente inesistente su base ampliata.</w:t>
      </w:r>
    </w:p>
    <w:p>
      <w:pPr>
        <w:spacing w:after="120" w:line="276"/>
        <w:jc w:val="both"/>
      </w:pPr>
      <w:r>
        <w:rPr>
          <w:rFonts w:ascii="Barlow Semi Condensed" w:cs="Barlow Semi Condensed" w:eastAsia="Barlow Semi Condensed" w:hAnsi="Barlow Semi Condensed"/>
          <w:sz w:val="24"/>
          <w:szCs w:val="24"/>
        </w:rPr>
        <w:t xml:space="preserve">E le prescrizioni che hanno governato l'esame vanno ripetute perché ciascuna ha operato. Non si è trattata la contemporaneità come prova di nesso; non si è trattata la somiglianza fra organizzazioni anticomuniste come prova di rapporto; non si è trattata l'adesione di soggetti diversi a una medesima area ideologica come prova di contatto; non si è trattata l'appartenenza di una persona a una rete come prova di una condotta della rete.</w:t>
      </w:r>
    </w:p>
    <w:p>
      <w:pPr>
        <w:spacing w:after="120" w:line="276"/>
        <w:jc w:val="both"/>
      </w:pPr>
      <w:r>
        <w:rPr>
          <w:rFonts w:ascii="Barlow Semi Condensed" w:cs="Barlow Semi Condensed" w:eastAsia="Barlow Semi Condensed" w:hAnsi="Barlow Semi Condensed"/>
          <w:sz w:val="24"/>
          <w:szCs w:val="24"/>
        </w:rPr>
        <w:t xml:space="preserve">Ciascuna di queste quattro prescrizioni, in questa materia, avrebbe potuto da sola produrre una connessione apparente. Applicate insieme, non ne producono nessuna.</w:t>
      </w:r>
    </w:p>
    <w:p>
      <w:pPr>
        <w:pStyle w:val="Heading2"/>
        <w:spacing w:after="100" w:before="200"/>
      </w:pPr>
      <w:r>
        <w:rPr>
          <w:rFonts w:ascii="Barlow Semi Condensed" w:cs="Barlow Semi Condensed" w:eastAsia="Barlow Semi Condensed" w:hAnsi="Barlow Semi Condensed"/>
          <w:sz w:val="24"/>
          <w:szCs w:val="24"/>
        </w:rPr>
        <w:t xml:space="preserve">Capitolo undicesimo — Il criterio generale che questo studio consegna</w:t>
      </w:r>
    </w:p>
    <w:p>
      <w:pPr>
        <w:spacing w:after="120" w:line="276"/>
        <w:jc w:val="both"/>
      </w:pPr>
      <w:r>
        <w:rPr>
          <w:rFonts w:ascii="Barlow Semi Condensed" w:cs="Barlow Semi Condensed" w:eastAsia="Barlow Semi Condensed" w:hAnsi="Barlow Semi Condensed"/>
          <w:sz w:val="24"/>
          <w:szCs w:val="24"/>
        </w:rPr>
        <w:t xml:space="preserve">Il capitolo generalizza il risultato, perché esso vale oltre il caso.</w:t>
      </w:r>
    </w:p>
    <w:p>
      <w:pPr>
        <w:spacing w:after="120" w:line="276"/>
        <w:jc w:val="both"/>
      </w:pPr>
      <w:r>
        <w:rPr>
          <w:rFonts w:ascii="Barlow Semi Condensed" w:cs="Barlow Semi Condensed" w:eastAsia="Barlow Semi Condensed" w:hAnsi="Barlow Semi Condensed"/>
          <w:sz w:val="24"/>
          <w:szCs w:val="24"/>
        </w:rPr>
        <w:t xml:space="preserve">Il criterio, enunciato.\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Una connessione reale lascia tracce presso soggetti che non avevano interesse a produrle.</w:t>
      </w:r>
    </w:p>
    <w:p>
      <w:pPr>
        <w:spacing w:after="120" w:line="276"/>
        <w:jc w:val="both"/>
      </w:pPr>
      <w:r>
        <w:rPr>
          <w:rFonts w:ascii="Barlow Semi Condensed" w:cs="Barlow Semi Condensed" w:eastAsia="Barlow Semi Condensed" w:hAnsi="Barlow Semi Condensed"/>
          <w:sz w:val="24"/>
          <w:szCs w:val="24"/>
        </w:rPr>
        <w:t xml:space="preserve">La verifica sul caso Spiegel. Esso è documentato perché la polizia dovette verbalizzare, il Parlamento dovette interrogare, la procura dovette qualificare, la Corte costituzionale dovette decidere — e nessuno di questi soggetti voleva documentare l'imbarazzo di un ministro in carica. La documentazione esiste contro l'interesse di chi la produsse.</w:t>
      </w:r>
    </w:p>
    <w:p>
      <w:pPr>
        <w:spacing w:after="120" w:line="276"/>
        <w:jc w:val="both"/>
      </w:pPr>
      <w:r>
        <w:rPr>
          <w:rFonts w:ascii="Barlow Semi Condensed" w:cs="Barlow Semi Condensed" w:eastAsia="Barlow Semi Condensed" w:hAnsi="Barlow Semi Condensed"/>
          <w:sz w:val="24"/>
          <w:szCs w:val="24"/>
        </w:rPr>
        <w:t xml:space="preserve">La verifica sull'allegazione del 2000. Essa esiste soltanto presso chi la afferma, e ogni ripresa rinvia alla medesima fonte.</w:t>
      </w:r>
    </w:p>
    <w:p>
      <w:pPr>
        <w:spacing w:after="120" w:line="276"/>
        <w:jc w:val="both"/>
      </w:pPr>
      <w:r>
        <w:rPr>
          <w:rFonts w:ascii="Barlow Semi Condensed" w:cs="Barlow Semi Condensed" w:eastAsia="Barlow Semi Condensed" w:hAnsi="Barlow Semi Condensed"/>
          <w:sz w:val="24"/>
          <w:szCs w:val="24"/>
        </w:rPr>
        <w:t xml:space="preserve">Il corollario, che è il contributo operativo. Quando si valuta un'affermazione di connessione, si conti quanti soggetti indipendenti e disinteressati ne abbiano lasciato traccia. Se il numero è zero, l'affermazione non è confutata ma non è utilizzabile.</w:t>
      </w:r>
    </w:p>
    <w:p>
      <w:pPr>
        <w:spacing w:after="120" w:line="276"/>
        <w:jc w:val="both"/>
      </w:pPr>
      <w:r>
        <w:rPr>
          <w:rFonts w:ascii="Barlow Semi Condensed" w:cs="Barlow Semi Condensed" w:eastAsia="Barlow Semi Condensed" w:hAnsi="Barlow Semi Condensed"/>
          <w:sz w:val="24"/>
          <w:szCs w:val="24"/>
        </w:rPr>
        <w:t xml:space="preserve">Il secondo criterio, che riguarda il meccanismo esposto al Capitolo primo. La contaminazione per prossimità va riconosciuta e neutralizzata. Un'asserzione non documentata collocata dentro un elenco di fatti documentati ne acquisisce il credito senza averne il fondamento. La neutralizzazione consiste nel valutare ciascuna asserzione dell'elenco separatamente, chiedendo per ognuna quale fonte la sostenga.</w:t>
      </w:r>
    </w:p>
    <w:p>
      <w:pPr>
        <w:spacing w:after="120" w:line="276"/>
        <w:jc w:val="both"/>
      </w:pPr>
      <w:r>
        <w:rPr>
          <w:rFonts w:ascii="Barlow Semi Condensed" w:cs="Barlow Semi Condensed" w:eastAsia="Barlow Semi Condensed" w:hAnsi="Barlow Semi Condensed"/>
          <w:sz w:val="24"/>
          <w:szCs w:val="24"/>
        </w:rPr>
        <w:t xml:space="preserve">Applicato al caso: i rapporti di Aginter con la polizia politica portoghese sono documentati; l'istruttoria Salvini è un atto giudiziario citabile; la relazione Pellegrino è un atto parlamentare. L'allegazione Hepp è un documentario televisivo. Le quattro cose non hanno il medesimo statuto, e il loro elenco congiunto lo occulta.</w:t>
      </w:r>
    </w:p>
    <w:p>
      <w:pPr>
        <w:spacing w:after="120" w:line="276"/>
        <w:jc w:val="both"/>
      </w:pPr>
      <w:r>
        <w:rPr>
          <w:rFonts w:ascii="Barlow Semi Condensed" w:cs="Barlow Semi Condensed" w:eastAsia="Barlow Semi Condensed" w:hAnsi="Barlow Semi Condensed"/>
          <w:sz w:val="24"/>
          <w:szCs w:val="24"/>
        </w:rPr>
        <w:t xml:space="preserve">Il terzo criterio, e riguarda i nomi. Si distingua fra i nomi verificabili dell'affermazione e i nomi che portano il peso operativo di essa. Nel caso: Hepp è verificabile ma non gli si attribuisce condotta operativa; Huber porta il peso operativo — il trasporto di denaro — e non è verificabile.</w:t>
      </w:r>
    </w:p>
    <w:p>
      <w:pPr>
        <w:spacing w:after="120" w:line="276"/>
        <w:jc w:val="both"/>
      </w:pPr>
      <w:r>
        <w:rPr>
          <w:rFonts w:ascii="Barlow Semi Condensed" w:cs="Barlow Semi Condensed" w:eastAsia="Barlow Semi Condensed" w:hAnsi="Barlow Semi Condensed"/>
          <w:sz w:val="24"/>
          <w:szCs w:val="24"/>
        </w:rPr>
        <w:t xml:space="preserve">Quando il nome verificabile e il nome operativo non coincidono, l'affermazione è costruita in modo da non essere verificabile nella parte che conta.</w:t>
      </w:r>
    </w:p>
    <w:p>
      <w:pPr>
        <w:spacing w:after="120" w:line="276"/>
        <w:jc w:val="both"/>
      </w:pPr>
      <w:r>
        <w:rPr>
          <w:rFonts w:ascii="Barlow Semi Condensed" w:cs="Barlow Semi Condensed" w:eastAsia="Barlow Semi Condensed" w:hAnsi="Barlow Semi Condensed"/>
          <w:sz w:val="24"/>
          <w:szCs w:val="24"/>
        </w:rPr>
        <w:t xml:space="preserve">Una avvertenza chiude il capitolo, ed è dovuta. Nessuno di questi tre criteri prova la falsità di alcunché. Essi stabiliscono l'inutilizzabilità di un'affermazione come prova, non la sua falsità come enunciato. La distinzione fra non dimostrato e falso è il confine che questo studio non valica, e non lo valica neppure ora che ha esposto il meccanismo.</w:t>
      </w:r>
    </w:p>
    <w:p>
      <w:pPr>
        <w:pStyle w:val="Heading2"/>
        <w:spacing w:after="100" w:before="200"/>
      </w:pPr>
      <w:r>
        <w:rPr>
          <w:rFonts w:ascii="Barlow Semi Condensed" w:cs="Barlow Semi Condensed" w:eastAsia="Barlow Semi Condensed" w:hAnsi="Barlow Semi Condensed"/>
          <w:sz w:val="24"/>
          <w:szCs w:val="24"/>
        </w:rPr>
        <w:t xml:space="preserve">Capitolo dodicesimo — Tavola delle acquisizioni e bilancio delle undici ricognizioni</w:t>
      </w:r>
    </w:p>
    <w:p>
      <w:pPr>
        <w:spacing w:after="120" w:line="276"/>
        <w:jc w:val="both"/>
      </w:pPr>
      <w:r>
        <w:rPr>
          <w:rFonts w:ascii="Barlow Semi Condensed" w:cs="Barlow Semi Condensed" w:eastAsia="Barlow Semi Condensed" w:hAnsi="Barlow Semi Condensed"/>
          <w:sz w:val="24"/>
          <w:szCs w:val="24"/>
        </w:rPr>
        <w:t xml:space="preserve">La tavola, ordinata per rendimento atteso.</w:t>
      </w:r>
    </w:p>
    <w:p>
      <w:pPr>
        <w:spacing w:after="120" w:line="276"/>
        <w:jc w:val="both"/>
      </w:pPr>
      <w:r>
        <w:rPr>
          <w:rFonts w:ascii="Barlow Semi Condensed" w:cs="Barlow Semi Condensed" w:eastAsia="Barlow Semi Condensed" w:hAnsi="Barlow Semi Condensed"/>
          <w:sz w:val="24"/>
          <w:szCs w:val="24"/>
        </w:rPr>
        <w:t xml:space="preserve">Prima voce, di rendimento massimo. L'identificazione della provenienza archivistica dei documenti Koch e Schröm. Sedi: fondo della polizia politica portoghese all'Arquivo Nacional da Torre do Tombo; archivi personali dei due giornalisti. Condizione di chiusura: l'esibizione di una segnatura verificabile o, in mancanza, la conferma definitiva del carattere non documentato dell'affermazione. È la sola voce che possa mutare la conclusione dello studio.</w:t>
      </w:r>
    </w:p>
    <w:p>
      <w:pPr>
        <w:spacing w:after="120" w:line="276"/>
        <w:jc w:val="both"/>
      </w:pPr>
      <w:r>
        <w:rPr>
          <w:rFonts w:ascii="Barlow Semi Condensed" w:cs="Barlow Semi Condensed" w:eastAsia="Barlow Semi Condensed" w:hAnsi="Barlow Semi Condensed"/>
          <w:sz w:val="24"/>
          <w:szCs w:val="24"/>
        </w:rPr>
        <w:t xml:space="preserve">Seconda voce. Gli inventari analitici del fondo Aginter Press dentro il fondo della polizia politica portoghese, per verificare l'eventuale presenza di nominativi tedeschi riconducibili alla CSU e l'eventuale esistenza della lista \</w:t>
      </w:r>
      <w:r>
        <w:rPr>
          <w:rFonts w:ascii="Barlow Semi Condensed" w:cs="Barlow Semi Condensed" w:eastAsia="Barlow Semi Condensed" w:hAnsi="Barlow Semi Condensed"/>
          <w:i/>
          <w:iCs/>
          <w:sz w:val="24"/>
          <w:szCs w:val="24"/>
        </w:rPr>
        <w:t xml:space="preserve">Industry\</w:t>
      </w:r>
      <w:r>
        <w:rPr>
          <w:rFonts w:ascii="Barlow Semi Condensed" w:cs="Barlow Semi Condensed" w:eastAsia="Barlow Semi Condensed" w:hAnsi="Barlow Semi Condensed"/>
          <w:sz w:val="24"/>
          <w:szCs w:val="24"/>
        </w:rPr>
        <w:t xml:space="preserve">. Condizione: consultazione in loco con autorizzazione, tenuto conto che parte del fondo non è mai stata consultata.</w:t>
      </w:r>
    </w:p>
    <w:p>
      <w:pPr>
        <w:spacing w:after="120" w:line="276"/>
        <w:jc w:val="both"/>
      </w:pPr>
      <w:r>
        <w:rPr>
          <w:rFonts w:ascii="Barlow Semi Condensed" w:cs="Barlow Semi Condensed" w:eastAsia="Barlow Semi Condensed" w:hAnsi="Barlow Semi Condensed"/>
          <w:sz w:val="24"/>
          <w:szCs w:val="24"/>
        </w:rPr>
        <w:t xml:space="preserve">Terza voce. I verbali integrali delle commissioni d'inchiesta del Landtag bavarese del 1982 — affare Langemann e attentato. Sede: archivio del Landtag bavarese. Condizione: lettura dei verbali non digitalizzati.</w:t>
      </w:r>
    </w:p>
    <w:p>
      <w:pPr>
        <w:spacing w:after="120" w:line="276"/>
        <w:jc w:val="both"/>
      </w:pPr>
      <w:r>
        <w:rPr>
          <w:rFonts w:ascii="Barlow Semi Condensed" w:cs="Barlow Semi Condensed" w:eastAsia="Barlow Semi Condensed" w:hAnsi="Barlow Semi Condensed"/>
          <w:sz w:val="24"/>
          <w:szCs w:val="24"/>
        </w:rPr>
        <w:t xml:space="preserve">Quarta voce. I fascicoli di corrispondenza estera del lascito Strauß presso l'archivio della fondazione della CSU a Monaco, per verificare in via diretta l'assenza che la biografia Möller lascia presumere.</w:t>
      </w:r>
    </w:p>
    <w:p>
      <w:pPr>
        <w:spacing w:after="120" w:line="276"/>
        <w:jc w:val="both"/>
      </w:pPr>
      <w:r>
        <w:rPr>
          <w:rFonts w:ascii="Barlow Semi Condensed" w:cs="Barlow Semi Condensed" w:eastAsia="Barlow Semi Condensed" w:hAnsi="Barlow Semi Condensed"/>
          <w:sz w:val="24"/>
          <w:szCs w:val="24"/>
        </w:rPr>
        <w:t xml:space="preserve">Quinta voce. La documentazione interna spagnola sulla catena esecutiva dell'arresto di Ahlers a Málaga nell'ottobre 1962. Sedi: Archivo General de la Administración di Alcalá de Henares; archivio del ministero dell'Interno spagnolo. Non riguarda Aginter ma completa il termine di controllo del Capitolo secondo.</w:t>
      </w:r>
    </w:p>
    <w:p>
      <w:pPr>
        <w:spacing w:after="120" w:line="276"/>
        <w:jc w:val="both"/>
      </w:pPr>
      <w:r>
        <w:rPr>
          <w:rFonts w:ascii="Barlow Semi Condensed" w:cs="Barlow Semi Condensed" w:eastAsia="Barlow Semi Condensed" w:hAnsi="Barlow Semi Condensed"/>
          <w:sz w:val="24"/>
          <w:szCs w:val="24"/>
        </w:rPr>
        <w:t xml:space="preserve">Sesta voce. Il testo integrale dell'articolo di Nicola Guerra del 2026, non accessibile, per confermare che non menzioni Strauß o la CSU — conclusione attualmente fondata su abstract ed estratti.</w:t>
      </w:r>
    </w:p>
    <w:p>
      <w:pPr>
        <w:pStyle w:val="Heading2"/>
        <w:spacing w:after="100" w:before="200"/>
      </w:pPr>
      <w:r>
        <w:rPr>
          <w:rFonts w:ascii="Barlow Semi Condensed" w:cs="Barlow Semi Condensed" w:eastAsia="Barlow Semi Condensed" w:hAnsi="Barlow Semi Condensed"/>
          <w:sz w:val="24"/>
          <w:szCs w:val="24"/>
        </w:rPr>
        <w:t xml:space="preserve">Nota sul bilancio delle undici ricognizioni.</w:t>
      </w:r>
    </w:p>
    <w:p>
      <w:pPr>
        <w:spacing w:after="120" w:line="276"/>
        <w:jc w:val="both"/>
      </w:pPr>
      <w:r>
        <w:rPr>
          <w:rFonts w:ascii="Barlow Semi Condensed" w:cs="Barlow Semi Condensed" w:eastAsia="Barlow Semi Condensed" w:hAnsi="Barlow Semi Condensed"/>
          <w:sz w:val="24"/>
          <w:szCs w:val="24"/>
        </w:rPr>
        <w:t xml:space="preserve">Undici ricognizioni hanno percorso l'attività ministeriale di Aldo Moro verso sei Paesi e quella di Franz Josef Strauß verso due oggetti, incrociandole con la Santa Sede, con l'Opus Dei e con Aginter Press. I risultati si dispongono in quattro ordini.</w:t>
      </w:r>
    </w:p>
    <w:p>
      <w:pPr>
        <w:spacing w:after="120" w:line="276"/>
        <w:jc w:val="both"/>
      </w:pPr>
      <w:r>
        <w:rPr>
          <w:rFonts w:ascii="Barlow Semi Condensed" w:cs="Barlow Semi Condensed" w:eastAsia="Barlow Semi Condensed" w:hAnsi="Barlow Semi Condensed"/>
          <w:sz w:val="24"/>
          <w:szCs w:val="24"/>
        </w:rPr>
        <w:t xml:space="preserve">Gli Stati Zero, che sono la maggioranza: il governo italiano non compare come attore documentato; l'Opus Dei non ha rapporti documentati con Moro; l'ente è assente da Grecia, Cipro e Turchia; Aginter Press non ha rapporti documentati con la CSU né con Strauß.</w:t>
      </w:r>
    </w:p>
    <w:p>
      <w:pPr>
        <w:spacing w:after="120" w:line="276"/>
        <w:jc w:val="both"/>
      </w:pPr>
      <w:r>
        <w:rPr>
          <w:rFonts w:ascii="Barlow Semi Condensed" w:cs="Barlow Semi Condensed" w:eastAsia="Barlow Semi Condensed" w:hAnsi="Barlow Semi Condensed"/>
          <w:sz w:val="24"/>
          <w:szCs w:val="24"/>
        </w:rPr>
        <w:t xml:space="preserve">Il nesso\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uno solo: la Santa Sede attese la ratifica del Trattato di Varsavia prima di erigere le diocesi a oriente, e lo disse nella comunicazione di accompagnamento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mentre il testo canonico taceva.</w:t>
      </w:r>
    </w:p>
    <w:p>
      <w:pPr>
        <w:spacing w:after="120" w:line="276"/>
        <w:jc w:val="both"/>
      </w:pPr>
      <w:r>
        <w:rPr>
          <w:rFonts w:ascii="Barlow Semi Condensed" w:cs="Barlow Semi Condensed" w:eastAsia="Barlow Semi Condensed" w:hAnsi="Barlow Semi Condensed"/>
          <w:sz w:val="24"/>
          <w:szCs w:val="24"/>
        </w:rPr>
        <w:t xml:space="preserve">La revisione: una proposizione formulata dalla serie è stata confutata dalla serie stessa, per opera della ricerca indirizzata al caso avverso.</w:t>
      </w:r>
    </w:p>
    <w:p>
      <w:pPr>
        <w:spacing w:after="120" w:line="276"/>
        <w:jc w:val="both"/>
      </w:pPr>
      <w:r>
        <w:rPr>
          <w:rFonts w:ascii="Barlow Semi Condensed" w:cs="Barlow Semi Condensed" w:eastAsia="Barlow Semi Condensed" w:hAnsi="Barlow Semi Condensed"/>
          <w:sz w:val="24"/>
          <w:szCs w:val="24"/>
        </w:rPr>
        <w:t xml:space="preserve">E, con questo documento, la genealogia di una falsa connessione\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non soltanto l'accertamento che il nesso non esiste, 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ricostruzione del meccanismo per cui esso appare esistere.</w:t>
      </w:r>
    </w:p>
    <w:p>
      <w:pPr>
        <w:spacing w:after="120" w:line="276"/>
        <w:jc w:val="both"/>
      </w:pPr>
      <w:r>
        <w:rPr>
          <w:rFonts w:ascii="Barlow Semi Condensed" w:cs="Barlow Semi Condensed" w:eastAsia="Barlow Semi Condensed" w:hAnsi="Barlow Semi Condensed"/>
          <w:sz w:val="24"/>
          <w:szCs w:val="24"/>
        </w:rPr>
        <w:t xml:space="preserve">Ne discende la lezione che le undici ricognizioni consegnano insieme, nelle sue cinque parti.</w:t>
      </w:r>
    </w:p>
    <w:p>
      <w:pPr>
        <w:spacing w:after="120" w:line="276"/>
        <w:jc w:val="both"/>
      </w:pPr>
      <w:r>
        <w:rPr>
          <w:rFonts w:ascii="Barlow Semi Condensed" w:cs="Barlow Semi Condensed" w:eastAsia="Barlow Semi Condensed" w:hAnsi="Barlow Semi Condensed"/>
          <w:sz w:val="24"/>
          <w:szCs w:val="24"/>
        </w:rPr>
        <w:t xml:space="preserve">L'assenza di traccia non è l'assenza dell'atto.</w:t>
      </w:r>
    </w:p>
    <w:p>
      <w:pPr>
        <w:spacing w:after="120" w:line="276"/>
        <w:jc w:val="both"/>
      </w:pPr>
      <w:r>
        <w:rPr>
          <w:rFonts w:ascii="Barlow Semi Condensed" w:cs="Barlow Semi Condensed" w:eastAsia="Barlow Semi Condensed" w:hAnsi="Barlow Semi Condensed"/>
          <w:sz w:val="24"/>
          <w:szCs w:val="24"/>
        </w:rPr>
        <w:t xml:space="preserve">Vi sono assenze che non sono lacune.</w:t>
      </w:r>
    </w:p>
    <w:p>
      <w:pPr>
        <w:spacing w:after="120" w:line="276"/>
        <w:jc w:val="both"/>
      </w:pPr>
      <w:r>
        <w:rPr>
          <w:rFonts w:ascii="Barlow Semi Condensed" w:cs="Barlow Semi Condensed" w:eastAsia="Barlow Semi Condensed" w:hAnsi="Barlow Semi Condensed"/>
          <w:sz w:val="24"/>
          <w:szCs w:val="24"/>
        </w:rPr>
        <w:t xml:space="preserve">Vi sono nessi che i documenti principali tacciono deliberatamente.</w:t>
      </w:r>
    </w:p>
    <w:p>
      <w:pPr>
        <w:spacing w:after="120" w:line="276"/>
        <w:jc w:val="both"/>
      </w:pPr>
      <w:r>
        <w:rPr>
          <w:rFonts w:ascii="Barlow Semi Condensed" w:cs="Barlow Semi Condensed" w:eastAsia="Barlow Semi Condensed" w:hAnsi="Barlow Semi Condensed"/>
          <w:sz w:val="24"/>
          <w:szCs w:val="24"/>
        </w:rPr>
        <w:t xml:space="preserve">Una proposizione va formulata con la propria condizione di falsificazione esplicita.</w:t>
      </w:r>
    </w:p>
    <w:p>
      <w:pPr>
        <w:spacing w:after="120" w:line="276"/>
        <w:jc w:val="both"/>
      </w:pPr>
      <w:r>
        <w:rPr>
          <w:rFonts w:ascii="Barlow Semi Condensed" w:cs="Barlow Semi Condensed" w:eastAsia="Barlow Semi Condensed" w:hAnsi="Barlow Semi Condensed"/>
          <w:sz w:val="24"/>
          <w:szCs w:val="24"/>
        </w:rPr>
        <w:t xml:space="preserve">E — questa è la quinta — una connessione reale lascia tracce presso soggetti che non avevano interesse a produrle. Dove tale traccia manca del tutto, non si è in presenza di un segreto ben custodito: si è in presenza di un'affermazione.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XII · Strauss E Aginter Press</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XII: 5.292 parole in 9 sezioni; la più ampia è §9 Altre sezioni, con 4.090.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XII: 136 paragrafi in 9 sezioni, 15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XIII — I Sette Casi Extraeuropei</w:t>
      </w:r>
    </w:p>
    <w:p>
      <w:pPr>
        <w:pStyle w:val="Heading1"/>
        <w:spacing w:after="120" w:before="240"/>
      </w:pPr>
      <w:r>
        <w:rPr>
          <w:rFonts w:ascii="Barlow Semi Condensed" w:cs="Barlow Semi Condensed" w:eastAsia="Barlow Semi Condensed" w:hAnsi="Barlow Semi Condensed"/>
          <w:sz w:val="24"/>
          <w:szCs w:val="24"/>
        </w:rPr>
        <w:t xml:space="preserve">I SETTE CASI EXTRAEUROPEI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Dodicesima ricognizione: secondo atto di revisione</w:t>
      </w:r>
    </w:p>
    <w:p>
      <w:pPr>
        <w:pStyle w:val="Heading2"/>
        <w:spacing w:after="100" w:before="200"/>
      </w:pPr>
      <w:r>
        <w:rPr>
          <w:rFonts w:ascii="Barlow Semi Condensed" w:cs="Barlow Semi Condensed" w:eastAsia="Barlow Semi Condensed" w:hAnsi="Barlow Semi Condensed"/>
          <w:sz w:val="24"/>
          <w:szCs w:val="24"/>
        </w:rPr>
        <w:t xml:space="preserve">Il Kenya falsifica il modello. La costruzione endogena del ceto</w:t>
      </w:r>
    </w:p>
    <w:p>
      <w:pPr>
        <w:pStyle w:val="Heading2"/>
        <w:spacing w:after="100" w:before="200"/>
      </w:pPr>
      <w:r>
        <w:rPr>
          <w:rFonts w:ascii="Barlow Semi Condensed" w:cs="Barlow Semi Condensed" w:eastAsia="Barlow Semi Condensed" w:hAnsi="Barlow Semi Condensed"/>
          <w:sz w:val="24"/>
          <w:szCs w:val="24"/>
        </w:rPr>
        <w:t xml:space="preserve">Dodici Capitoli — tre modalita — otto acquisizioni — due errori dell'autore</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Secondo atto di revisione della medesima proposizione</w:t>
      </w:r>
    </w:p>
    <w:p>
      <w:pPr>
        <w:spacing w:after="120" w:line="276"/>
        <w:jc w:val="both"/>
      </w:pPr>
      <w:r>
        <w:rPr>
          <w:rFonts w:ascii="Barlow Semi Condensed" w:cs="Barlow Semi Condensed" w:eastAsia="Barlow Semi Condensed" w:hAnsi="Barlow Semi Condensed"/>
          <w:sz w:val="24"/>
          <w:szCs w:val="24"/>
        </w:rPr>
        <w:t xml:space="preserve">Questo documento revisiona per la seconda volta la proposizione che la decima ricognizione aveva già revisionato una prima. La circostanza va enunciata subito perché è essa stessa un risultato: un modello formulato con condizione di falsificazione esplicita è caduto due volte in due passaggi, entrambe le volte per opera della ricerca che io stesso avevo indirizzato al caso avverso.</w:t>
      </w:r>
    </w:p>
    <w:p>
      <w:pPr>
        <w:spacing w:after="120" w:line="276"/>
        <w:jc w:val="both"/>
      </w:pPr>
      <w:r>
        <w:rPr>
          <w:rFonts w:ascii="Barlow Semi Condensed" w:cs="Barlow Semi Condensed" w:eastAsia="Barlow Semi Condensed" w:hAnsi="Barlow Semi Condensed"/>
          <w:sz w:val="24"/>
          <w:szCs w:val="24"/>
        </w:rPr>
        <w:t xml:space="preserve">Lo stato del modello entrando in questa ricognizione, per come la decima lo aveva lasciato. Prima parte: dove esiste un ceto universitario e professionale cattolico autoctono, l'ente si radica su di esso, indipendentemente dalla confessione maggioritaria del Paese. Seconda parte: dove tale ceto manca, l'ente si insedia per trapianto di personale e non si radica.</w:t>
      </w:r>
    </w:p>
    <w:p>
      <w:pPr>
        <w:spacing w:after="120" w:line="276"/>
        <w:jc w:val="both"/>
      </w:pPr>
      <w:r>
        <w:rPr>
          <w:rFonts w:ascii="Barlow Semi Condensed" w:cs="Barlow Semi Condensed" w:eastAsia="Barlow Semi Condensed" w:hAnsi="Barlow Semi Condensed"/>
          <w:sz w:val="24"/>
          <w:szCs w:val="24"/>
        </w:rPr>
        <w:t xml:space="preserve">La condizione di falsificazione, dichiarata dalla decima.\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reperimento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 radicamento autoctono — non per trapianto — in un Paese privo di ceto cattolico professionale autoctono.</w:t>
      </w:r>
    </w:p>
    <w:p>
      <w:pPr>
        <w:spacing w:after="120" w:line="276"/>
        <w:jc w:val="both"/>
      </w:pPr>
      <w:r>
        <w:rPr>
          <w:rFonts w:ascii="Barlow Semi Condensed" w:cs="Barlow Semi Condensed" w:eastAsia="Barlow Semi Condensed" w:hAnsi="Barlow Semi Condensed"/>
          <w:sz w:val="24"/>
          <w:szCs w:val="24"/>
        </w:rPr>
        <w:t xml:space="preserve">I casi che la decima aveva elencato per nome come potenzialmente confutanti e mai esaminati. Giappone 1958, Kenya 1958, Nigeria 1965, India 1993, Kazakhistan 1997, Indonesia 2008, Sri Lanka 2011.</w:t>
      </w:r>
    </w:p>
    <w:p>
      <w:pPr>
        <w:spacing w:after="120" w:line="276"/>
        <w:jc w:val="both"/>
      </w:pPr>
      <w:r>
        <w:rPr>
          <w:rFonts w:ascii="Barlow Semi Condensed" w:cs="Barlow Semi Condensed" w:eastAsia="Barlow Semi Condensed" w:hAnsi="Barlow Semi Condensed"/>
          <w:sz w:val="24"/>
          <w:szCs w:val="24"/>
        </w:rPr>
        <w:t xml:space="preserve">L'esito, enunciato senza attenuazioni. Il caso keniano soddisfa alla lettera la condizione di falsificazione. Il Kenya del 1958 era privo di ceto cattolico universitario e professionale autoctono: era colonia britannica, l'accesso africano all'istruzione superiore era — per ammissione della fonte ufficiale medesima — molto restrittivo a quel tempo, e il sistema universitario locale era embrionale. Ciononostante l'ente vi si radicò in senso autoctono, generando numerarie ausiliari, numerari, il primo sacerdote africano dell'Opus Dei e un vescovo.</w:t>
      </w:r>
    </w:p>
    <w:p>
      <w:pPr>
        <w:spacing w:after="120" w:line="276"/>
        <w:jc w:val="both"/>
      </w:pPr>
      <w:r>
        <w:rPr>
          <w:rFonts w:ascii="Barlow Semi Condensed" w:cs="Barlow Semi Condensed" w:eastAsia="Barlow Semi Condensed" w:hAnsi="Barlow Semi Condensed"/>
          <w:sz w:val="24"/>
          <w:szCs w:val="24"/>
        </w:rPr>
        <w:t xml:space="preserve">Ma la falsificazione avviene per una via che il modello non prevedeva, e questa è l'acquisizione maggiore. Il radicamento keniano non avvenne per trapianto — il trapianto fu la sola fase d'ingresso, comune a tutti i casi — né su ceto preesistente, perché quel ceto non c'era. Avvenne per costruzione: l'ente fondò istituzioni educative selettive e da esse fece emergere, nell'arco di una generazione, il ceto su cui poi si radicò.</w:t>
      </w:r>
    </w:p>
    <w:p>
      <w:pPr>
        <w:spacing w:after="120" w:line="276"/>
        <w:jc w:val="both"/>
      </w:pPr>
      <w:r>
        <w:rPr>
          <w:rFonts w:ascii="Barlow Semi Condensed" w:cs="Barlow Semi Condensed" w:eastAsia="Barlow Semi Condensed" w:hAnsi="Barlow Semi Condensed"/>
          <w:sz w:val="24"/>
          <w:szCs w:val="24"/>
        </w:rPr>
        <w:t xml:space="preserve">Si propone di denominare tale modalità costruzione endogena del ceto, e di riformulare il modello in tre modalità anziché due.</w:t>
      </w:r>
    </w:p>
    <w:p>
      <w:pPr>
        <w:spacing w:after="120" w:line="276"/>
        <w:jc w:val="both"/>
      </w:pPr>
      <w:r>
        <w:rPr>
          <w:rFonts w:ascii="Barlow Semi Condensed" w:cs="Barlow Semi Condensed" w:eastAsia="Barlow Semi Condensed" w:hAnsi="Barlow Semi Condensed"/>
          <w:sz w:val="24"/>
          <w:szCs w:val="24"/>
        </w:rPr>
        <w:t xml:space="preserve">Una avvertenza sul metodo di questa ricognizione, dovuta perché riguarda me. Due nomi che avevo fornito nell'indirizzare la ricerca si sono rivelati errati, e li registro al Capitolo undicesimo anziché tacerli. La Regola di Ferro vale anche per chi la applica.</w:t>
      </w:r>
    </w:p>
    <w:p>
      <w:pPr>
        <w:pStyle w:val="Heading2"/>
        <w:spacing w:after="100" w:before="200"/>
      </w:pPr>
      <w:r>
        <w:rPr>
          <w:rFonts w:ascii="Barlow Semi Condensed" w:cs="Barlow Semi Condensed" w:eastAsia="Barlow Semi Condensed" w:hAnsi="Barlow Semi Condensed"/>
          <w:sz w:val="24"/>
          <w:szCs w:val="24"/>
        </w:rPr>
        <w:t xml:space="preserve">Capitolo secondo — Kenya: l'origine gerarchica e il personale interamente allogeno</w:t>
      </w:r>
    </w:p>
    <w:p>
      <w:pPr>
        <w:spacing w:after="120" w:line="276"/>
        <w:jc w:val="both"/>
      </w:pPr>
      <w:r>
        <w:rPr>
          <w:rFonts w:ascii="Barlow Semi Condensed" w:cs="Barlow Semi Condensed" w:eastAsia="Barlow Semi Condensed" w:hAnsi="Barlow Semi Condensed"/>
          <w:sz w:val="24"/>
          <w:szCs w:val="24"/>
        </w:rPr>
        <w:t xml:space="preserve">Il capitolo espone i fatti del caso cruciale, e li espone per intero perché su di essi poggia la falsificazione.</w:t>
      </w:r>
    </w:p>
    <w:p>
      <w:pPr>
        <w:spacing w:after="120" w:line="276"/>
        <w:jc w:val="both"/>
      </w:pPr>
      <w:r>
        <w:rPr>
          <w:rFonts w:ascii="Barlow Semi Condensed" w:cs="Barlow Semi Condensed" w:eastAsia="Barlow Semi Condensed" w:hAnsi="Barlow Semi Condensed"/>
          <w:sz w:val="24"/>
          <w:szCs w:val="24"/>
        </w:rPr>
        <w:t xml:space="preserve">L'origine non fu una domanda locale ma una sollecitazione gerarchica, e la data è precisa. Il 26 ottobre 1957 il Delegato Apostolico per l'Africa britannica orientale e occidentale, monsignor Mojaisky Perrelli, amico di Escrivá a Roma, chiese con lettera l'invio di membri dell'Opus Dei in Kenya, avendo visto le immense possibilità apostoliche del Paese e ritenendo che un'istituzione capace di offrire solida educazione cattolica alla gente dell'Africa orientale, se possibile a livello universitario, avrebbe sviluppato quel potenziale. Escrivá rispose il 4 novembre 1957.</w:t>
      </w:r>
    </w:p>
    <w:p>
      <w:pPr>
        <w:spacing w:after="120" w:line="276"/>
        <w:jc w:val="both"/>
      </w:pPr>
      <w:r>
        <w:rPr>
          <w:rFonts w:ascii="Barlow Semi Condensed" w:cs="Barlow Semi Condensed" w:eastAsia="Barlow Semi Condensed" w:hAnsi="Barlow Semi Condensed"/>
          <w:sz w:val="24"/>
          <w:szCs w:val="24"/>
        </w:rPr>
        <w:t xml:space="preserve">Il rilievo va enunciato perché determina tutto il resto: la richiesta iniziale non chiedeva assistenza a un ceto esistente, chiedeva di creare l'istruzione superiore che mancava.</w:t>
      </w:r>
    </w:p>
    <w:p>
      <w:pPr>
        <w:spacing w:after="120" w:line="276"/>
        <w:jc w:val="both"/>
      </w:pPr>
      <w:r>
        <w:rPr>
          <w:rFonts w:ascii="Barlow Semi Condensed" w:cs="Barlow Semi Condensed" w:eastAsia="Barlow Semi Condensed" w:hAnsi="Barlow Semi Condensed"/>
          <w:sz w:val="24"/>
          <w:szCs w:val="24"/>
        </w:rPr>
        <w:t xml:space="preserve">La cronologia dell'insediamento. Nel marzo 1958 due membri compirono un sopralluogo a Nairobi; il 25 agosto 1958 arrivarono i primi, seguiti in settembre e ottobre da altri, fra cui l'ingegnere civile irlandese Kevin O'Byrne. Nell'ottobre 1958 Escrivá chiese a padre Pedro Casciaro, appena giunto dal Messico, di recarsi in Kenya.</w:t>
      </w:r>
    </w:p>
    <w:p>
      <w:pPr>
        <w:spacing w:after="120" w:line="276"/>
        <w:jc w:val="both"/>
      </w:pPr>
      <w:r>
        <w:rPr>
          <w:rFonts w:ascii="Barlow Semi Condensed" w:cs="Barlow Semi Condensed" w:eastAsia="Barlow Semi Condensed" w:hAnsi="Barlow Semi Condensed"/>
          <w:sz w:val="24"/>
          <w:szCs w:val="24"/>
        </w:rPr>
        <w:t xml:space="preserve">Le istituzioni furono suggerite dal fondatore in persona, con l'indicazione espressa che il collegio fosse interrazziale e aperto a non cattolici e non cristiani, con ammissione per merito accademico. La fonte ufficiale precisa che il collegio non era missionario, non essendo il suo personale composto di missionari ma di professionisti laici.</w:t>
      </w:r>
    </w:p>
    <w:p>
      <w:pPr>
        <w:spacing w:after="120" w:line="276"/>
        <w:jc w:val="both"/>
      </w:pPr>
      <w:r>
        <w:rPr>
          <w:rFonts w:ascii="Barlow Semi Condensed" w:cs="Barlow Semi Condensed" w:eastAsia="Barlow Semi Condensed" w:hAnsi="Barlow Semi Condensed"/>
          <w:sz w:val="24"/>
          <w:szCs w:val="24"/>
        </w:rPr>
        <w:t xml:space="preserve">I nomi dei fondatori, ed è il dato che chiude la questione della provenienza. David Sperling, storico statunitense, primo preside; Silvano Borruso, biologo ed educatore italiano, primo economo e insegnante. La componente femminile arrivò il 12 giugno 1960: Olga Marlin e Mary Mahoney dagli Stati Uniti, insegnante l'una e infermiera l'altra; Tere Temes, storica spagnola; Rosario Insausti ed Encarnación Riera, spagnole formate nell'alberghiero, con altre numerarie e numerarie ausiliari.</w:t>
      </w:r>
    </w:p>
    <w:p>
      <w:pPr>
        <w:spacing w:after="120" w:line="276"/>
        <w:jc w:val="both"/>
      </w:pPr>
      <w:r>
        <w:rPr>
          <w:rFonts w:ascii="Barlow Semi Condensed" w:cs="Barlow Semi Condensed" w:eastAsia="Barlow Semi Condensed" w:hAnsi="Barlow Semi Condensed"/>
          <w:sz w:val="24"/>
          <w:szCs w:val="24"/>
        </w:rPr>
        <w:t xml:space="preserve">Il personale fondatore era dunque interamente allogeno: irlandese, statunitense, spagnolo, italiano, messicano. Nessun keniano figura fra i fondatori.</w:t>
      </w:r>
    </w:p>
    <w:p>
      <w:pPr>
        <w:spacing w:after="120" w:line="276"/>
        <w:jc w:val="both"/>
      </w:pPr>
      <w:r>
        <w:rPr>
          <w:rFonts w:ascii="Barlow Semi Condensed" w:cs="Barlow Semi Condensed" w:eastAsia="Barlow Semi Condensed" w:hAnsi="Barlow Semi Condensed"/>
          <w:sz w:val="24"/>
          <w:szCs w:val="24"/>
        </w:rPr>
        <w:t xml:space="preserve">Questo dato va tenuto fermo perché è comune a tutti e sette i casi esaminati, e produce al Capitolo nono una precisazione del diagnostico che credevo assestato.</w:t>
      </w:r>
    </w:p>
    <w:p>
      <w:pPr>
        <w:spacing w:after="120" w:line="276"/>
        <w:jc w:val="both"/>
      </w:pPr>
      <w:r>
        <w:rPr>
          <w:rFonts w:ascii="Barlow Semi Condensed" w:cs="Barlow Semi Condensed" w:eastAsia="Barlow Semi Condensed" w:hAnsi="Barlow Semi Condensed"/>
          <w:sz w:val="24"/>
          <w:szCs w:val="24"/>
        </w:rPr>
        <w:t xml:space="preserve">Il contesto, che è la ragione della falsificazione. Nel 1958 il Kenya era colonia britannica, e l'indipendenza sarebbe venuta nel 1963. Il sistema universitario locale era embrionale: il Royal Technical College di Nairobi era stato fondato nel 1956, e il Makerere in Uganda serviva l'intera Africa orientale. L'accesso africano all'istruzione superiore era molto restrittivo a quel tempo, per ammissione della stessa fonte ufficiale.</w:t>
      </w:r>
    </w:p>
    <w:p>
      <w:pPr>
        <w:spacing w:after="120" w:line="276"/>
        <w:jc w:val="both"/>
      </w:pPr>
      <w:r>
        <w:rPr>
          <w:rFonts w:ascii="Barlow Semi Condensed" w:cs="Barlow Semi Condensed" w:eastAsia="Barlow Semi Condensed" w:hAnsi="Barlow Semi Condensed"/>
          <w:sz w:val="24"/>
          <w:szCs w:val="24"/>
        </w:rPr>
        <w:t xml:space="preserve">Ne discende che il ceto cattolico universitario e professionale keniano, all'epoca dell'insediamento, non esisteva nella forma richiesta dal modello. Esisteva una popolazione cattolica prodotta dalle missioni; non esisteva un ceto professionale organizzato con accesso all'università.</w:t>
      </w:r>
    </w:p>
    <w:p>
      <w:pPr>
        <w:pStyle w:val="Heading2"/>
        <w:spacing w:after="100" w:before="200"/>
      </w:pPr>
      <w:r>
        <w:rPr>
          <w:rFonts w:ascii="Barlow Semi Condensed" w:cs="Barlow Semi Condensed" w:eastAsia="Barlow Semi Condensed" w:hAnsi="Barlow Semi Condensed"/>
          <w:sz w:val="24"/>
          <w:szCs w:val="24"/>
        </w:rPr>
        <w:t xml:space="preserve">Capitolo terzo — Kenya: le istituzioni e l'emersione del ceto</w:t>
      </w:r>
    </w:p>
    <w:p>
      <w:pPr>
        <w:spacing w:after="120" w:line="276"/>
        <w:jc w:val="both"/>
      </w:pPr>
      <w:r>
        <w:rPr>
          <w:rFonts w:ascii="Barlow Semi Condensed" w:cs="Barlow Semi Condensed" w:eastAsia="Barlow Semi Condensed" w:hAnsi="Barlow Semi Condensed"/>
          <w:sz w:val="24"/>
          <w:szCs w:val="24"/>
        </w:rPr>
        <w:t xml:space="preserve">Il capitolo espone ciò che l'ente costruì e ciò che ne emerse, perché la sequenza cronologica è la prova della terza modalità.</w:t>
      </w:r>
    </w:p>
    <w:p>
      <w:pPr>
        <w:spacing w:after="120" w:line="276"/>
        <w:jc w:val="both"/>
      </w:pPr>
      <w:r>
        <w:rPr>
          <w:rFonts w:ascii="Barlow Semi Condensed" w:cs="Barlow Semi Condensed" w:eastAsia="Barlow Semi Condensed" w:hAnsi="Barlow Semi Condensed"/>
          <w:sz w:val="24"/>
          <w:szCs w:val="24"/>
        </w:rPr>
        <w:t xml:space="preserve">Lo Strathmore College aprì nel marzo 1961 come primo collegio interrazziale del Kenya a offrire l'A-level, preparando all'ammissione universitaria.</w:t>
      </w:r>
    </w:p>
    <w:p>
      <w:pPr>
        <w:spacing w:after="120" w:line="276"/>
        <w:jc w:val="both"/>
      </w:pPr>
      <w:r>
        <w:rPr>
          <w:rFonts w:ascii="Barlow Semi Condensed" w:cs="Barlow Semi Condensed" w:eastAsia="Barlow Semi Condensed" w:hAnsi="Barlow Semi Condensed"/>
          <w:sz w:val="24"/>
          <w:szCs w:val="24"/>
        </w:rPr>
        <w:t xml:space="preserve">La composizione della prima coorte è documentata con precisione, e va riportata perché mostra a chi l'istituzione si rivolse. La fonte ufficiale riferisce che Strathmore iniziò come collegio A-level con le classi quinta e sesta, otto membri del personale e sessanta studenti in totale: africani di varie tribù, cinque europei, due indiani e undici goanesi.</w:t>
      </w:r>
    </w:p>
    <w:p>
      <w:pPr>
        <w:spacing w:after="120" w:line="276"/>
        <w:jc w:val="both"/>
      </w:pPr>
      <w:r>
        <w:rPr>
          <w:rFonts w:ascii="Barlow Semi Condensed" w:cs="Barlow Semi Condensed" w:eastAsia="Barlow Semi Condensed" w:hAnsi="Barlow Semi Condensed"/>
          <w:sz w:val="24"/>
          <w:szCs w:val="24"/>
        </w:rPr>
        <w:t xml:space="preserve">Il dato è istruttivo: la componente cattolica preesistente e professionalmente formata era la minoranza goanese e indiana, non quella africana. Gli africani erano la maggioranza numerica ma non provenivano da un ceto cattolico professionale.</w:t>
      </w:r>
    </w:p>
    <w:p>
      <w:pPr>
        <w:spacing w:after="120" w:line="276"/>
        <w:jc w:val="both"/>
      </w:pPr>
      <w:r>
        <w:rPr>
          <w:rFonts w:ascii="Barlow Semi Condensed" w:cs="Barlow Semi Condensed" w:eastAsia="Barlow Semi Condensed" w:hAnsi="Barlow Semi Condensed"/>
          <w:sz w:val="24"/>
          <w:szCs w:val="24"/>
        </w:rPr>
        <w:t xml:space="preserve">L'espansione, per date. Nel 1966 il collegio avviò i corsi di contabilità con venticinque studenti, sponsorizzati da Shell East Africa, BAT East Africa ed East African Breweries, preparati agli esami britannici dell'associazione dei contabili certificati. Nel 1977 aggiunse la secondaria inferiore, nel 1986 la primaria. Nel 1993 la scuola di contabilità si trasferì nel campus di Madaraka fondendosi con il Kianda College. Nel 2002 la Commissione per l'istruzione superiore concesse la lettera di autorità provvisoria per operare come università.</w:t>
      </w:r>
    </w:p>
    <w:p>
      <w:pPr>
        <w:spacing w:after="120" w:line="276"/>
        <w:jc w:val="both"/>
      </w:pPr>
      <w:r>
        <w:rPr>
          <w:rFonts w:ascii="Barlow Semi Condensed" w:cs="Barlow Semi Condensed" w:eastAsia="Barlow Semi Condensed" w:hAnsi="Barlow Semi Condensed"/>
          <w:sz w:val="24"/>
          <w:szCs w:val="24"/>
        </w:rPr>
        <w:t xml:space="preserve">Il versante femminile, e qui sta il dato decisivo. La Kianda Secretarial School iniziò nel gennaio 1961, aperta a ragazze di ogni razza. Nel febbraio 1961 nacque la Kibondeni School of Institutional Management, unità di formazione per donne annessa al dipartimento di ristorazione dello Strathmore, definita dalla fonte istituzione unica nel Kenya pre-indipendenza, dove i lavori di ristorazione erano svolti da uomini.</w:t>
      </w:r>
    </w:p>
    <w:p>
      <w:pPr>
        <w:spacing w:after="120" w:line="276"/>
        <w:jc w:val="both"/>
      </w:pPr>
      <w:r>
        <w:rPr>
          <w:rFonts w:ascii="Barlow Semi Condensed" w:cs="Barlow Semi Condensed" w:eastAsia="Barlow Semi Condensed" w:hAnsi="Barlow Semi Condensed"/>
          <w:sz w:val="24"/>
          <w:szCs w:val="24"/>
        </w:rPr>
        <w:t xml:space="preserve">E adesso la sequenza che prova la costruzione endogena.\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Le prime numerarie ausiliari keniane emersero nel 1963 — Florence Auma e Mary Mumbua — e provenivano proprio dalle donne formate a Kibondeni.</w:t>
      </w:r>
    </w:p>
    <w:p>
      <w:pPr>
        <w:spacing w:after="120" w:line="276"/>
        <w:jc w:val="both"/>
      </w:pPr>
      <w:r>
        <w:rPr>
          <w:rFonts w:ascii="Barlow Semi Condensed" w:cs="Barlow Semi Condensed" w:eastAsia="Barlow Semi Condensed" w:hAnsi="Barlow Semi Condensed"/>
          <w:sz w:val="24"/>
          <w:szCs w:val="24"/>
        </w:rPr>
        <w:t xml:space="preserve">Due anni dopo l'apertura della scuola, e dalla scuola medesima.</w:t>
      </w:r>
    </w:p>
    <w:p>
      <w:pPr>
        <w:spacing w:after="120" w:line="276"/>
        <w:jc w:val="both"/>
      </w:pPr>
      <w:r>
        <w:rPr>
          <w:rFonts w:ascii="Barlow Semi Condensed" w:cs="Barlow Semi Condensed" w:eastAsia="Barlow Semi Condensed" w:hAnsi="Barlow Semi Condensed"/>
          <w:sz w:val="24"/>
          <w:szCs w:val="24"/>
        </w:rPr>
        <w:t xml:space="preserve">Il primo membro keniano numerario a completare gli studi teologici a Roma fu Paul Mimbi, ingegnere civile dell'Università di Nairobi, ordinato sacerdote nel 1982: primo sacerdote africano dell'Opus Dei. Seguì Anthony Muheria, ordinato nel 1993 e nominato vescovo di Embu nel 2004.</w:t>
      </w:r>
    </w:p>
    <w:p>
      <w:pPr>
        <w:spacing w:after="120" w:line="276"/>
        <w:jc w:val="both"/>
      </w:pPr>
      <w:r>
        <w:rPr>
          <w:rFonts w:ascii="Barlow Semi Condensed" w:cs="Barlow Semi Condensed" w:eastAsia="Barlow Semi Condensed" w:hAnsi="Barlow Semi Condensed"/>
          <w:sz w:val="24"/>
          <w:szCs w:val="24"/>
        </w:rPr>
        <w:t xml:space="preserve">La sequenza cronologica va enunciata perché è la dimostrazione. Istituzioni fondate nel 1961; primi membri autoctoni nel 1963; primo sacerdote keniano nel 1982; vescovo nel 2004. I membri autoctoni sono posteriori alle istituzioni e in parte prodotto diretto di esse.</w:t>
      </w:r>
    </w:p>
    <w:p>
      <w:pPr>
        <w:spacing w:after="120" w:line="276"/>
        <w:jc w:val="both"/>
      </w:pPr>
      <w:r>
        <w:rPr>
          <w:rFonts w:ascii="Barlow Semi Condensed" w:cs="Barlow Semi Condensed" w:eastAsia="Barlow Semi Condensed" w:hAnsi="Barlow Semi Condensed"/>
          <w:sz w:val="24"/>
          <w:szCs w:val="24"/>
        </w:rPr>
        <w:t xml:space="preserve">Ne discende che l'ente non trovò il ceto: lo formò, e da esso trasse i propri membri.</w:t>
      </w:r>
    </w:p>
    <w:p>
      <w:pPr>
        <w:pStyle w:val="Heading2"/>
        <w:spacing w:after="100" w:before="200"/>
      </w:pPr>
      <w:r>
        <w:rPr>
          <w:rFonts w:ascii="Barlow Semi Condensed" w:cs="Barlow Semi Condensed" w:eastAsia="Barlow Semi Condensed" w:hAnsi="Barlow Semi Condensed"/>
          <w:sz w:val="24"/>
          <w:szCs w:val="24"/>
        </w:rPr>
        <w:t xml:space="preserve">Capitolo quarto — Giappone: il caso opposto e la sua complicazione</w:t>
      </w:r>
    </w:p>
    <w:p>
      <w:pPr>
        <w:spacing w:after="120" w:line="276"/>
        <w:jc w:val="both"/>
      </w:pPr>
      <w:r>
        <w:rPr>
          <w:rFonts w:ascii="Barlow Semi Condensed" w:cs="Barlow Semi Condensed" w:eastAsia="Barlow Semi Condensed" w:hAnsi="Barlow Semi Condensed"/>
          <w:sz w:val="24"/>
          <w:szCs w:val="24"/>
        </w:rPr>
        <w:t xml:space="preserve">Il capitolo espone il caso di prova contrario, che conferma il modello nella sostanza ma vi introduce una complicazione che va riportata anziché appianata.</w:t>
      </w:r>
    </w:p>
    <w:p>
      <w:pPr>
        <w:spacing w:after="120" w:line="276"/>
        <w:jc w:val="both"/>
      </w:pPr>
      <w:r>
        <w:rPr>
          <w:rFonts w:ascii="Barlow Semi Condensed" w:cs="Barlow Semi Condensed" w:eastAsia="Barlow Semi Condensed" w:hAnsi="Barlow Semi Condensed"/>
          <w:sz w:val="24"/>
          <w:szCs w:val="24"/>
        </w:rPr>
        <w:t xml:space="preserve">I numeri. Nel 1975 i cattolici giapponesi erano trecentottantottomilacinquecentocinquantasei su una popolazione di centoundici milioni novecentocinquantamila: lo zero virgola tre per cento. La diocesi di Nagasaki presentava però il quattro virgola cinque per cento, quindici volte la media nazionale.</w:t>
      </w:r>
    </w:p>
    <w:p>
      <w:pPr>
        <w:spacing w:after="120" w:line="276"/>
        <w:jc w:val="both"/>
      </w:pPr>
      <w:r>
        <w:rPr>
          <w:rFonts w:ascii="Barlow Semi Condensed" w:cs="Barlow Semi Condensed" w:eastAsia="Barlow Semi Condensed" w:hAnsi="Barlow Semi Condensed"/>
          <w:sz w:val="24"/>
          <w:szCs w:val="24"/>
        </w:rPr>
        <w:t xml:space="preserve">L'origine della comunità. Nagasaki è sede dei cattolici nascosti, che mantennero la fede per circa sette generazioni senza sacerdoti durante due secoli e mezzo di persecuzione, riemergendo con la missione francese negli anni Sessanta dell'Ottocento e la cattedrale di Ōura del 1864.</w:t>
      </w:r>
    </w:p>
    <w:p>
      <w:pPr>
        <w:spacing w:after="120" w:line="276"/>
        <w:jc w:val="both"/>
      </w:pPr>
      <w:r>
        <w:rPr>
          <w:rFonts w:ascii="Barlow Semi Condensed" w:cs="Barlow Semi Condensed" w:eastAsia="Barlow Semi Condensed" w:hAnsi="Barlow Semi Condensed"/>
          <w:sz w:val="24"/>
          <w:szCs w:val="24"/>
        </w:rPr>
        <w:t xml:space="preserve">Il versante universitario, che è ciò che rende il Giappone il rovescio del Kenya. La Sophia University, fondata nel 1913 e con status pieno dal 1928, prima università cattolica del Giappone, opera di tre gesuiti — il tedesco Joseph Dahlmann, il francese Henri Boucher, l'inglese James Rockliff — con primo presidente il botanico Hermann Hoffmann.</w:t>
      </w:r>
    </w:p>
    <w:p>
      <w:pPr>
        <w:spacing w:after="120" w:line="276"/>
        <w:jc w:val="both"/>
      </w:pPr>
      <w:r>
        <w:rPr>
          <w:rFonts w:ascii="Barlow Semi Condensed" w:cs="Barlow Semi Condensed" w:eastAsia="Barlow Semi Condensed" w:hAnsi="Barlow Semi Condensed"/>
          <w:sz w:val="24"/>
          <w:szCs w:val="24"/>
        </w:rPr>
        <w:t xml:space="preserve">L'origine dell'insediamento fu di nuovo gerarchica. Nel 1957 l'arcivescovo di Osaka, monsignor Paul Yoshigoro Taguchi, preoccupato per l'influenza marxista sugli studenti, parlò con il cardinale Ottaviani, che gli suggerì di incontrare Escrivá. Nell'aprile 1958 padre Joseph Múzquiz percorse il Paese per un mese fra Tokyo, Osaka e Nagasaki; l'8 novembre 1958 padre José Ramón Madurga arrivò dagli Stati Uniti. L'ente iniziò nella diocesi di Osaka, prima a Toyonaka poi ad Ashiya. Il 15 luglio 1960 arrivarono otto donne, che iniziarono a Nishinomiya.</w:t>
      </w:r>
    </w:p>
    <w:p>
      <w:pPr>
        <w:spacing w:after="120" w:line="276"/>
        <w:jc w:val="both"/>
      </w:pPr>
      <w:r>
        <w:rPr>
          <w:rFonts w:ascii="Barlow Semi Condensed" w:cs="Barlow Semi Condensed" w:eastAsia="Barlow Semi Condensed" w:hAnsi="Barlow Semi Condensed"/>
          <w:sz w:val="24"/>
          <w:szCs w:val="24"/>
        </w:rPr>
        <w:t xml:space="preserve">Un apporto esterno peculiare va registrato. I nippo-discendenti dal Sud America, Perù e Brasile, furono richiamati in Giappone; sul letto di morte, il 26 giugno 1975, Escrivá menzionò che le mie figlie discendenti di giapponesi che vivono in America cominceranno a tornare in Giappone.</w:t>
      </w:r>
    </w:p>
    <w:p>
      <w:pPr>
        <w:spacing w:after="120" w:line="276"/>
        <w:jc w:val="both"/>
      </w:pPr>
      <w:r>
        <w:rPr>
          <w:rFonts w:ascii="Barlow Semi Condensed" w:cs="Barlow Semi Condensed" w:eastAsia="Barlow Semi Condensed" w:hAnsi="Barlow Semi Condensed"/>
          <w:sz w:val="24"/>
          <w:szCs w:val="24"/>
        </w:rPr>
        <w:t xml:space="preserve">Le istituzioni, con una divergenza da riportare. Il Seido Language Institute di Ashiya fu la prima opera corporativa; le fonti divergono sull'anno: ottobre 1962 secondo lo studio accademico e la pagina ufficiale spagnola, 1959 secondo altra pagina divulgativa collegata. Nel 1971 fu integrato in una fondazione; nel 1973 nacque il centro culturale; nell'aprile 1964 una residenza universitaria a Kyoto. La Nagasaki Seido School: primi passi nel gennaio 1975, elementare nell'aprile 1978, media nel 1984, superiore maschile dal 2009.</w:t>
      </w:r>
    </w:p>
    <w:p>
      <w:pPr>
        <w:spacing w:after="120" w:line="276"/>
        <w:jc w:val="both"/>
      </w:pPr>
      <w:r>
        <w:rPr>
          <w:rFonts w:ascii="Barlow Semi Condensed" w:cs="Barlow Semi Condensed" w:eastAsia="Barlow Semi Condensed" w:hAnsi="Barlow Semi Condensed"/>
          <w:sz w:val="24"/>
          <w:szCs w:val="24"/>
        </w:rPr>
        <w:t xml:space="preserve">E qui il dato teoricamente decisivo, documentato dall'archivio della Prelatura. La scelta di Nagasaki non fu casuale ma determinata dalla densità cattolica. Nelle scuole cattoliche del Kansai la percentuale media di alunne cattoliche era del quattro virgola cinque per cento, sicché in una scuola di cinquecento ragazze ci si potevano attendere ventidue o ventitré alunne di famiglia cattolica; ma nelle scuole cattoliche di Nagasaki le ragazze cattoliche erano il cinquantuno per cento nelle medie inferiori. L'ente scelse deliberatamente di impiantare la scuola nel cuore della parte più cattolica di Nagasaki, accanto alla parrocchia di Urakami.</w:t>
      </w:r>
    </w:p>
    <w:p>
      <w:pPr>
        <w:spacing w:after="120" w:line="276"/>
        <w:jc w:val="both"/>
      </w:pPr>
      <w:r>
        <w:rPr>
          <w:rFonts w:ascii="Barlow Semi Condensed" w:cs="Barlow Semi Condensed" w:eastAsia="Barlow Semi Condensed" w:hAnsi="Barlow Semi Condensed"/>
          <w:sz w:val="24"/>
          <w:szCs w:val="24"/>
        </w:rPr>
        <w:t xml:space="preserve">Questo è radicamento su comunità preesistente, e conferma la prima parte del modello.</w:t>
      </w:r>
    </w:p>
    <w:p>
      <w:pPr>
        <w:spacing w:after="120" w:line="276"/>
        <w:jc w:val="both"/>
      </w:pPr>
      <w:r>
        <w:rPr>
          <w:rFonts w:ascii="Barlow Semi Condensed" w:cs="Barlow Semi Condensed" w:eastAsia="Barlow Semi Condensed" w:hAnsi="Barlow Semi Condensed"/>
          <w:sz w:val="24"/>
          <w:szCs w:val="24"/>
        </w:rPr>
        <w:t xml:space="preserve">Ma due complicazioni vanno riportate.</w:t>
      </w:r>
    </w:p>
    <w:p>
      <w:pPr>
        <w:spacing w:after="120" w:line="276"/>
        <w:jc w:val="both"/>
      </w:pPr>
      <w:r>
        <w:rPr>
          <w:rFonts w:ascii="Barlow Semi Condensed" w:cs="Barlow Semi Condensed" w:eastAsia="Barlow Semi Condensed" w:hAnsi="Barlow Semi Condensed"/>
          <w:sz w:val="24"/>
          <w:szCs w:val="24"/>
        </w:rPr>
        <w:t xml:space="preserve">Prima: il ceto su cui l'ente si radicò a Nagasaki non era il ceto universitario e professionale d'élite — che il Giappone possedeva a Tokyo con la Sophia — bensì una comunità cattolica popolare, di antica origine contadina e peschereccia. L'ente non si insediò accanto alla Sophia dei gesuiti né presso l'élite laureata: si insediò presso una base cattolica di ceto medio-popolare, e ne produsse essa stessa l'ascesa educativa.</w:t>
      </w:r>
    </w:p>
    <w:p>
      <w:pPr>
        <w:spacing w:after="120" w:line="276"/>
        <w:jc w:val="both"/>
      </w:pPr>
      <w:r>
        <w:rPr>
          <w:rFonts w:ascii="Barlow Semi Condensed" w:cs="Barlow Semi Condensed" w:eastAsia="Barlow Semi Condensed" w:hAnsi="Barlow Semi Condensed"/>
          <w:sz w:val="24"/>
          <w:szCs w:val="24"/>
        </w:rPr>
        <w:t xml:space="preserve">Seconda: l'apostolato produsse conversioni. Oltre cento persone furono battezzate nell'orbita della scuola di Nagasaki, e il primo giapponese numerario, poi sacerdote, si era convertito alla fede al Seido. La prima numeraria giapponese fu Kikuko Yoshizu, il 29 maggio 1961.</w:t>
      </w:r>
    </w:p>
    <w:p>
      <w:pPr>
        <w:spacing w:after="120" w:line="276"/>
        <w:jc w:val="both"/>
      </w:pPr>
      <w:r>
        <w:rPr>
          <w:rFonts w:ascii="Barlow Semi Condensed" w:cs="Barlow Semi Condensed" w:eastAsia="Barlow Semi Condensed" w:hAnsi="Barlow Semi Condensed"/>
          <w:sz w:val="24"/>
          <w:szCs w:val="24"/>
        </w:rPr>
        <w:t xml:space="preserve">Ne discende che anche il Giappone contiene un elemento di costruzione, sovrapposto al radicamento: l'ente si radicò su densità confessionale preesistente ma di ceto popolare, elevandone il livello professionale e producendo insieme conversioni.</w:t>
      </w:r>
    </w:p>
    <w:p>
      <w:pPr>
        <w:pStyle w:val="Heading2"/>
        <w:spacing w:after="100" w:before="200"/>
      </w:pPr>
      <w:r>
        <w:rPr>
          <w:rFonts w:ascii="Barlow Semi Condensed" w:cs="Barlow Semi Condensed" w:eastAsia="Barlow Semi Condensed" w:hAnsi="Barlow Semi Condensed"/>
          <w:sz w:val="24"/>
          <w:szCs w:val="24"/>
        </w:rPr>
        <w:t xml:space="preserve">Capitolo quinto — Nigeria: il ceto esisteva e l'ente andò altrove</w:t>
      </w:r>
    </w:p>
    <w:p>
      <w:pPr>
        <w:spacing w:after="120" w:line="276"/>
        <w:jc w:val="both"/>
      </w:pPr>
      <w:r>
        <w:rPr>
          <w:rFonts w:ascii="Barlow Semi Condensed" w:cs="Barlow Semi Condensed" w:eastAsia="Barlow Semi Condensed" w:hAnsi="Barlow Semi Condensed"/>
          <w:sz w:val="24"/>
          <w:szCs w:val="24"/>
        </w:rPr>
        <w:t xml:space="preserve">Il capitolo espone il caso che complica il modello per via geografica anziché sociale.</w:t>
      </w:r>
    </w:p>
    <w:p>
      <w:pPr>
        <w:spacing w:after="120" w:line="276"/>
        <w:jc w:val="both"/>
      </w:pPr>
      <w:r>
        <w:rPr>
          <w:rFonts w:ascii="Barlow Semi Condensed" w:cs="Barlow Semi Condensed" w:eastAsia="Barlow Semi Condensed" w:hAnsi="Barlow Semi Condensed"/>
          <w:sz w:val="24"/>
          <w:szCs w:val="24"/>
        </w:rPr>
        <w:t xml:space="preserve">L'insediamento, con divergenza sulla data. I primi due membri arrivarono il 20 ottobre 1965 secondo una fonte ufficiale, il 19 ottobre secondo altra: Jeremy White, laico britannico, e José Domingo Gabiola, sacerdote proveniente dal Kenya. White era Commonwealth Scholar ammesso all'Università di Ibadan per un dottorato in storia; dopo il dottorato insegnò a Ife e Lagos. Gabiola fu il primo vicario regionale. La fonte ufficiale precisa che altri vennero anni dopo come docenti universitari.</w:t>
      </w:r>
    </w:p>
    <w:p>
      <w:pPr>
        <w:spacing w:after="120" w:line="276"/>
        <w:jc w:val="both"/>
      </w:pPr>
      <w:r>
        <w:rPr>
          <w:rFonts w:ascii="Barlow Semi Condensed" w:cs="Barlow Semi Condensed" w:eastAsia="Barlow Semi Condensed" w:hAnsi="Barlow Semi Condensed"/>
          <w:sz w:val="24"/>
          <w:szCs w:val="24"/>
        </w:rPr>
        <w:t xml:space="preserve">Personale allogeno anche qui: britannico e spagnolo via Kenya.</w:t>
      </w:r>
    </w:p>
    <w:p>
      <w:pPr>
        <w:spacing w:after="120" w:line="276"/>
        <w:jc w:val="both"/>
      </w:pPr>
      <w:r>
        <w:rPr>
          <w:rFonts w:ascii="Barlow Semi Condensed" w:cs="Barlow Semi Condensed" w:eastAsia="Barlow Semi Condensed" w:hAnsi="Barlow Semi Condensed"/>
          <w:sz w:val="24"/>
          <w:szCs w:val="24"/>
        </w:rPr>
        <w:t xml:space="preserve">E adesso il ceto, che in Nigeria esisteva davvero. La storiografia documenta che il cattolicesimo igbo dell'est, radicato dall'arrivo di padre Lutz a Onitsha nel 1885 e sviluppato dai vescovi Shanahan e Heerey, aveva prodotto attraverso le scuole missionarie — che a differenza delle protestanti insegnavano in inglese, considerato mezzo di avanzamento — una generazione di insegnanti, professori, avvocati, medici e altri professionisti, tanto che entro il 1965 gli igbo competevano favorevolmente con gli yoruba, con più dottorati fra i primi che fra i secondi.</w:t>
      </w:r>
    </w:p>
    <w:p>
      <w:pPr>
        <w:spacing w:after="120" w:line="276"/>
        <w:jc w:val="both"/>
      </w:pPr>
      <w:r>
        <w:rPr>
          <w:rFonts w:ascii="Barlow Semi Condensed" w:cs="Barlow Semi Condensed" w:eastAsia="Barlow Semi Condensed" w:hAnsi="Barlow Semi Condensed"/>
          <w:sz w:val="24"/>
          <w:szCs w:val="24"/>
        </w:rPr>
        <w:t xml:space="preserve">La prima condizione del modello era dunque soddisfatta nell'est igbo.</w:t>
      </w:r>
    </w:p>
    <w:p>
      <w:pPr>
        <w:spacing w:after="120" w:line="276"/>
        <w:jc w:val="both"/>
      </w:pPr>
      <w:r>
        <w:rPr>
          <w:rFonts w:ascii="Barlow Semi Condensed" w:cs="Barlow Semi Condensed" w:eastAsia="Barlow Semi Condensed" w:hAnsi="Barlow Semi Condensed"/>
          <w:sz w:val="24"/>
          <w:szCs w:val="24"/>
        </w:rPr>
        <w:t xml:space="preserve">Ma l'ente non si insediò nell'est igbo: si insediò a Ibadan, nell'ovest yoruba, presso l'università, e poi a Lagos ed Enugu.</w:t>
      </w:r>
    </w:p>
    <w:p>
      <w:pPr>
        <w:spacing w:after="120" w:line="276"/>
        <w:jc w:val="both"/>
      </w:pPr>
      <w:r>
        <w:rPr>
          <w:rFonts w:ascii="Barlow Semi Condensed" w:cs="Barlow Semi Condensed" w:eastAsia="Barlow Semi Condensed" w:hAnsi="Barlow Semi Condensed"/>
          <w:sz w:val="24"/>
          <w:szCs w:val="24"/>
        </w:rPr>
        <w:t xml:space="preserve">La ragione storica va esposta perché è dirimente. Il 1965 precede immediatamente la guerra del Biafra, del 1967-1970. La fonte ufficiale riconosce che i primi anni, dal 1965 al 1975, non furono facili, avendo il Paese conosciuto una serie di colpi di Stato sanguinosi e un tentativo di secessione.</w:t>
      </w:r>
    </w:p>
    <w:p>
      <w:pPr>
        <w:spacing w:after="120" w:line="276"/>
        <w:jc w:val="both"/>
      </w:pPr>
      <w:r>
        <w:rPr>
          <w:rFonts w:ascii="Barlow Semi Condensed" w:cs="Barlow Semi Condensed" w:eastAsia="Barlow Semi Condensed" w:hAnsi="Barlow Semi Condensed"/>
          <w:sz w:val="24"/>
          <w:szCs w:val="24"/>
        </w:rPr>
        <w:t xml:space="preserve">E l'esito sull'infrastruttura educativa cattolica dell'est fu devastante. Nel 1970, con l'editto sull'istruzione pubblica numero due, lo Stato dell'East Central assunse il controllo di tutte le scuole private, e praticamente tutti i missionari se ne andarono; la presa di controllo statale, secondo la storiografia, suonò a morto per un'istruzione solida.</w:t>
      </w:r>
    </w:p>
    <w:p>
      <w:pPr>
        <w:spacing w:after="120" w:line="276"/>
        <w:jc w:val="both"/>
      </w:pPr>
      <w:r>
        <w:rPr>
          <w:rFonts w:ascii="Barlow Semi Condensed" w:cs="Barlow Semi Condensed" w:eastAsia="Barlow Semi Condensed" w:hAnsi="Barlow Semi Condensed"/>
          <w:sz w:val="24"/>
          <w:szCs w:val="24"/>
        </w:rPr>
        <w:t xml:space="preserve">Ne discende che l'insediamento coincise cronologicamente con la crisi e il parziale smantellamento del ceto cattolico su cui, in astratto, avrebbe potuto radicarsi.</w:t>
      </w:r>
    </w:p>
    <w:p>
      <w:pPr>
        <w:spacing w:after="120" w:line="276"/>
        <w:jc w:val="both"/>
      </w:pPr>
      <w:r>
        <w:rPr>
          <w:rFonts w:ascii="Barlow Semi Condensed" w:cs="Barlow Semi Condensed" w:eastAsia="Barlow Semi Condensed" w:hAnsi="Barlow Semi Condensed"/>
          <w:sz w:val="24"/>
          <w:szCs w:val="24"/>
        </w:rPr>
        <w:t xml:space="preserve">Lo stato attuale. Centri a Lagos, Ibadan, Enugu, Benin e Abuja; la Lagos Business School spiritualmente affidata all'ente; la Lagoon School. Nel 2018 la visita del prelato raccolse a Lagos oltre mille persone e centinaia di uomini alla scuola di management; ordinazioni del 2024 includono nigeriani.</w:t>
      </w:r>
    </w:p>
    <w:p>
      <w:pPr>
        <w:spacing w:after="120" w:line="276"/>
        <w:jc w:val="both"/>
      </w:pPr>
      <w:r>
        <w:rPr>
          <w:rFonts w:ascii="Barlow Semi Condensed" w:cs="Barlow Semi Condensed" w:eastAsia="Barlow Semi Condensed" w:hAnsi="Barlow Semi Condensed"/>
          <w:sz w:val="24"/>
          <w:szCs w:val="24"/>
        </w:rPr>
        <w:t xml:space="preserve">Il radicamento autoctono è dunque documentato nella fase matura, ma non quantificato. La provenienza dei numerari nigeriani non è data dalle fonti reperite.</w:t>
      </w:r>
    </w:p>
    <w:p>
      <w:pPr>
        <w:spacing w:after="120" w:line="276"/>
        <w:jc w:val="both"/>
      </w:pPr>
      <w:r>
        <w:rPr>
          <w:rFonts w:ascii="Barlow Semi Condensed" w:cs="Barlow Semi Condensed" w:eastAsia="Barlow Semi Condensed" w:hAnsi="Barlow Semi Condensed"/>
          <w:sz w:val="24"/>
          <w:szCs w:val="24"/>
        </w:rPr>
        <w:t xml:space="preserve">Una nota di disciplina.\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Una fonte nigeriana di natura polemica descrive pratiche di reclutamento.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Essa è qualificata come pubblicistica polemica non corroborata da fonti primarie, e non se ne trae alcuna inferenza sulla condotta dell'ente.</w:t>
      </w:r>
    </w:p>
    <w:p>
      <w:pPr>
        <w:pStyle w:val="Heading2"/>
        <w:spacing w:after="100" w:before="200"/>
      </w:pPr>
      <w:r>
        <w:rPr>
          <w:rFonts w:ascii="Barlow Semi Condensed" w:cs="Barlow Semi Condensed" w:eastAsia="Barlow Semi Condensed" w:hAnsi="Barlow Semi Condensed"/>
          <w:sz w:val="24"/>
          <w:szCs w:val="24"/>
        </w:rPr>
        <w:t xml:space="preserve">Capitolo sesto — India, Kazakhistan, Indonesia, Sri Lanka</w:t>
      </w:r>
    </w:p>
    <w:p>
      <w:pPr>
        <w:spacing w:after="120" w:line="276"/>
        <w:jc w:val="both"/>
      </w:pPr>
      <w:r>
        <w:rPr>
          <w:rFonts w:ascii="Barlow Semi Condensed" w:cs="Barlow Semi Condensed" w:eastAsia="Barlow Semi Condensed" w:hAnsi="Barlow Semi Condensed"/>
          <w:sz w:val="24"/>
          <w:szCs w:val="24"/>
        </w:rPr>
        <w:t xml:space="preserve">Il capitolo raccoglie i quattro casi restanti, ciascuno in misura proporzionata al materiale.</w:t>
      </w:r>
    </w:p>
    <w:p>
      <w:pPr>
        <w:spacing w:after="120" w:line="276"/>
        <w:jc w:val="both"/>
      </w:pPr>
      <w:r>
        <w:rPr>
          <w:rFonts w:ascii="Barlow Semi Condensed" w:cs="Barlow Semi Condensed" w:eastAsia="Barlow Semi Condensed" w:hAnsi="Barlow Semi Condensed"/>
          <w:sz w:val="24"/>
          <w:szCs w:val="24"/>
        </w:rPr>
        <w:t xml:space="preserve">India 1993: la conferma della prima parte, con una riserva geografica. La data è confermata da tre ordini di fonti: l'elenco ufficiale; un'intervista dell'agenzia missionaria a Kevin de Souza, direttore del centro di Mumbai, secondo cui i primi membri arrivarono a Nuova Delhi nel 1993; e un quotidiano indiano laico che conferma i due soli centri, Delhi e Mumbai.</w:t>
      </w:r>
    </w:p>
    <w:p>
      <w:pPr>
        <w:spacing w:after="120" w:line="276"/>
        <w:jc w:val="both"/>
      </w:pPr>
      <w:r>
        <w:rPr>
          <w:rFonts w:ascii="Barlow Semi Condensed" w:cs="Barlow Semi Condensed" w:eastAsia="Barlow Semi Condensed" w:hAnsi="Barlow Semi Condensed"/>
          <w:sz w:val="24"/>
          <w:szCs w:val="24"/>
        </w:rPr>
        <w:t xml:space="preserve">La città fu Nuova Delhi, non il Kerala. E il ceto cattolico professionale indiano esisteva, antichissimo: i siro-malabaresi di origine apostolica, con gerarchia ristabilita nel 1923 ed elevazione a Chiesa arcivescovile maggiore nel 1992; e le comunità goanese e mangalorese di rito latino.</w:t>
      </w:r>
    </w:p>
    <w:p>
      <w:pPr>
        <w:spacing w:after="120" w:line="276"/>
        <w:jc w:val="both"/>
      </w:pPr>
      <w:r>
        <w:rPr>
          <w:rFonts w:ascii="Barlow Semi Condensed" w:cs="Barlow Semi Condensed" w:eastAsia="Barlow Semi Condensed" w:hAnsi="Barlow Semi Condensed"/>
          <w:sz w:val="24"/>
          <w:szCs w:val="24"/>
        </w:rPr>
        <w:t xml:space="preserve">I nomi dei membri documentati mostrano che l'ente attinse esattamente a quelle comunità. Josephine Kunnacherry, numeraria, ginecologa, nata in Kerala, dal 1997 a Delhi a capo di un progetto sanitario; Kevin de Souza, cognome goanese, entrato nel 1990; Tracy Fernandes, analista finanziaria a Mumbai; Nicholas Patankar, nato a Goa; Elizabeth Varghese, educatrice, cognome keralese. De Souza ha dichiarato che i membri appartengono ai diversi riti esistenti della Chiesa cattolica: latino, maronita, siro-malabarese e altri.</w:t>
      </w:r>
    </w:p>
    <w:p>
      <w:pPr>
        <w:spacing w:after="120" w:line="276"/>
        <w:jc w:val="both"/>
      </w:pPr>
      <w:r>
        <w:rPr>
          <w:rFonts w:ascii="Barlow Semi Condensed" w:cs="Barlow Semi Condensed" w:eastAsia="Barlow Semi Condensed" w:hAnsi="Barlow Semi Condensed"/>
          <w:sz w:val="24"/>
          <w:szCs w:val="24"/>
        </w:rPr>
        <w:t xml:space="preserve">Una lacuna va però dichiarata: la nazionalità e la professione dei membri fondatori arrivati materialmente a Nuova Delhi nel 1993 non sono nominate in alcuna fonte reperita.</w:t>
      </w:r>
    </w:p>
    <w:p>
      <w:pPr>
        <w:spacing w:after="120" w:line="276"/>
        <w:jc w:val="both"/>
      </w:pPr>
      <w:r>
        <w:rPr>
          <w:rFonts w:ascii="Barlow Semi Condensed" w:cs="Barlow Semi Condensed" w:eastAsia="Barlow Semi Condensed" w:hAnsi="Barlow Semi Condensed"/>
          <w:sz w:val="24"/>
          <w:szCs w:val="24"/>
        </w:rPr>
        <w:t xml:space="preserve">Kazakhistan 1997: il trapianto puro, e il contrasto con il Kenya. Su consiglio di Giovanni Paolo II un vescovo kazako si rivolse nel 1994 al prelato chiedendo un'istituzione capace di occuparsi di educazione e di giovani; la richiesta si concretò nel 1997 con l'arrivo dei primi membri ad Almaty. Claudia Valbuena, cilena; il sacerdote Carlos Lahoz, spagnolo, ad Almaty dal 1997; i primi sacerdoti descritti come spagnoli. Attività presso la scuola di management KIMEP e l'Irtysh Cultural Center.</w:t>
      </w:r>
    </w:p>
    <w:p>
      <w:pPr>
        <w:spacing w:after="120" w:line="276"/>
        <w:jc w:val="both"/>
      </w:pPr>
      <w:r>
        <w:rPr>
          <w:rFonts w:ascii="Barlow Semi Condensed" w:cs="Barlow Semi Condensed" w:eastAsia="Barlow Semi Condensed" w:hAnsi="Barlow Semi Condensed"/>
          <w:sz w:val="24"/>
          <w:szCs w:val="24"/>
        </w:rPr>
        <w:t xml:space="preserve">I cattolici sono circa l'uno virgola quattordici per cento, centododicimila fedeli con settanta parrocchie, e sono in larga parte discendenti di deportati: circa trecentoventimila polacchi e centodiecimila tedeschi deportati durante la seconda guerra mondiale, secondo la stampa kazaka; e circa cinquecentomila polacchi deportati fra il 1939 e il 1941 secondo un istituto per i diritti delle minoranze.</w:t>
      </w:r>
    </w:p>
    <w:p>
      <w:pPr>
        <w:spacing w:after="120" w:line="276"/>
        <w:jc w:val="both"/>
      </w:pPr>
      <w:r>
        <w:rPr>
          <w:rFonts w:ascii="Barlow Semi Condensed" w:cs="Barlow Semi Condensed" w:eastAsia="Barlow Semi Condensed" w:hAnsi="Barlow Semi Condensed"/>
          <w:sz w:val="24"/>
          <w:szCs w:val="24"/>
        </w:rPr>
        <w:t xml:space="preserve">Non risulta l'emersione di un numerariato kazako autoctono. Un giovane kazako è descritto come in ricerca e in relazione con l'ente, non come membro.</w:t>
      </w:r>
    </w:p>
    <w:p>
      <w:pPr>
        <w:spacing w:after="120" w:line="276"/>
        <w:jc w:val="both"/>
      </w:pPr>
      <w:r>
        <w:rPr>
          <w:rFonts w:ascii="Barlow Semi Condensed" w:cs="Barlow Semi Condensed" w:eastAsia="Barlow Semi Condensed" w:hAnsi="Barlow Semi Condensed"/>
          <w:sz w:val="24"/>
          <w:szCs w:val="24"/>
        </w:rPr>
        <w:t xml:space="preserve">Indonesia 2008: la modalità intermedia. Il prelato annunciò nel novembre 2007; l'insediamento materiale avvenne a Surabaya nel settembre 2009. Il primo arrivato veniva dalle Filippine, affiancato da tre indonesiani che avevano incontrato e seguito l'ente in altri Paesi mentre vi compivano studi universitari e da un membro dagli Stati Uniti.</w:t>
      </w:r>
    </w:p>
    <w:p>
      <w:pPr>
        <w:spacing w:after="120" w:line="276"/>
        <w:jc w:val="both"/>
      </w:pPr>
      <w:r>
        <w:rPr>
          <w:rFonts w:ascii="Barlow Semi Condensed" w:cs="Barlow Semi Condensed" w:eastAsia="Barlow Semi Condensed" w:hAnsi="Barlow Semi Condensed"/>
          <w:sz w:val="24"/>
          <w:szCs w:val="24"/>
        </w:rPr>
        <w:t xml:space="preserve">Ne discende una modalità intermedia: indonesiani reclutati all'estero durante gli studi e poi rientrati.</w:t>
      </w:r>
    </w:p>
    <w:p>
      <w:pPr>
        <w:spacing w:after="120" w:line="276"/>
        <w:jc w:val="both"/>
      </w:pPr>
      <w:r>
        <w:rPr>
          <w:rFonts w:ascii="Barlow Semi Condensed" w:cs="Barlow Semi Condensed" w:eastAsia="Barlow Semi Condensed" w:hAnsi="Barlow Semi Condensed"/>
          <w:sz w:val="24"/>
          <w:szCs w:val="24"/>
        </w:rPr>
        <w:t xml:space="preserve">I cattolici sono circa il tre virgola zero nove per cento, concentrati a Flores, cattolica all'ottantatré virgola cinquantasei per cento per eredità portoghese. Ma l'ente non si insediò a Flores: si insediò a Surabaya, città a maggioranza musulmana di Giava orientale, presso l'università.</w:t>
      </w:r>
    </w:p>
    <w:p>
      <w:pPr>
        <w:spacing w:after="120" w:line="276"/>
        <w:jc w:val="both"/>
      </w:pPr>
      <w:r>
        <w:rPr>
          <w:rFonts w:ascii="Barlow Semi Condensed" w:cs="Barlow Semi Condensed" w:eastAsia="Barlow Semi Condensed" w:hAnsi="Barlow Semi Condensed"/>
          <w:sz w:val="24"/>
          <w:szCs w:val="24"/>
        </w:rPr>
        <w:t xml:space="preserve">Sri Lanka 2011: Stato Zero documentale, e il capitolo è breve per questa ragione. La data non è confermata da alcun documento primario datato fra quelli reperiti. L'unica fonte diretta è una lettera da Colombo sul sito ufficiale che documenta attività con il coinvolgimento del cardinale Malcolm Ranjith, senza anno di fondazione né nomi né nazionalità.</w:t>
      </w:r>
    </w:p>
    <w:p>
      <w:pPr>
        <w:spacing w:after="120" w:line="276"/>
        <w:jc w:val="both"/>
      </w:pPr>
      <w:r>
        <w:rPr>
          <w:rFonts w:ascii="Barlow Semi Condensed" w:cs="Barlow Semi Condensed" w:eastAsia="Barlow Semi Condensed" w:hAnsi="Barlow Semi Condensed"/>
          <w:sz w:val="24"/>
          <w:szCs w:val="24"/>
        </w:rPr>
        <w:t xml:space="preserve">La comunità è invece ben documentata: censimento del 2012, un milione duecentosessantunmilacentonovantaquattro cattolici, circa il sei virgola uno per cento, concentrati nelle province occidentale, nord-occidentale e settentrionale — la fascia costiera di origine coloniale portoghese e olandese, sia sinhalese sia tamil.</w:t>
      </w:r>
    </w:p>
    <w:p>
      <w:pPr>
        <w:spacing w:after="120" w:line="276"/>
        <w:jc w:val="both"/>
      </w:pPr>
      <w:r>
        <w:rPr>
          <w:rFonts w:ascii="Barlow Semi Condensed" w:cs="Barlow Semi Condensed" w:eastAsia="Barlow Semi Condensed" w:hAnsi="Barlow Semi Condensed"/>
          <w:sz w:val="24"/>
          <w:szCs w:val="24"/>
        </w:rPr>
        <w:t xml:space="preserve">Il caso non è classificabile né come radicamento né come trapianto, e non contribuisce al test.</w:t>
      </w:r>
    </w:p>
    <w:p>
      <w:pPr>
        <w:pStyle w:val="Heading2"/>
        <w:spacing w:after="100" w:before="200"/>
      </w:pPr>
      <w:r>
        <w:rPr>
          <w:rFonts w:ascii="Barlow Semi Condensed" w:cs="Barlow Semi Condensed" w:eastAsia="Barlow Semi Condensed" w:hAnsi="Barlow Semi Condensed"/>
          <w:sz w:val="24"/>
          <w:szCs w:val="24"/>
        </w:rPr>
        <w:t xml:space="preserve">Capitolo settimo — Il contrasto Kenya-Kazakhistan: la variabile invisibile al modello</w:t>
      </w:r>
    </w:p>
    <w:p>
      <w:pPr>
        <w:spacing w:after="120" w:line="276"/>
        <w:jc w:val="both"/>
      </w:pPr>
      <w:r>
        <w:rPr>
          <w:rFonts w:ascii="Barlow Semi Condensed" w:cs="Barlow Semi Condensed" w:eastAsia="Barlow Semi Condensed" w:hAnsi="Barlow Semi Condensed"/>
          <w:sz w:val="24"/>
          <w:szCs w:val="24"/>
        </w:rPr>
        <w:t xml:space="preserve">Il capitolo isola il confronto che è la dimostrazione teorica dell'intero documento.</w:t>
      </w:r>
    </w:p>
    <w:p>
      <w:pPr>
        <w:spacing w:after="120" w:line="276"/>
        <w:jc w:val="both"/>
      </w:pPr>
      <w:r>
        <w:rPr>
          <w:rFonts w:ascii="Barlow Semi Condensed" w:cs="Barlow Semi Condensed" w:eastAsia="Barlow Semi Condensed" w:hAnsi="Barlow Semi Condensed"/>
          <w:sz w:val="24"/>
          <w:szCs w:val="24"/>
        </w:rPr>
        <w:t xml:space="preserve">La premessa comune ai due casi. Entrambi erano, all'epoca dell'insediamento, Paesi privi di ceto cattolico professionale autoctono nel senso proprio. Il Kenya perché il ceto cattolico africano era in formazione, prodotto di istruzione missionaria recente e privo di accesso all'istruzione superiore in regime coloniale. Il Kazakhistan perché i cattolici erano discendenti di deportati polacchi e tedeschi, minoranza attorno all'uno per cento in Paese a maggioranza musulmana.</w:t>
      </w:r>
    </w:p>
    <w:p>
      <w:pPr>
        <w:spacing w:after="120" w:line="276"/>
        <w:jc w:val="both"/>
      </w:pPr>
      <w:r>
        <w:rPr>
          <w:rFonts w:ascii="Barlow Semi Condensed" w:cs="Barlow Semi Condensed" w:eastAsia="Barlow Semi Condensed" w:hAnsi="Barlow Semi Condensed"/>
          <w:sz w:val="24"/>
          <w:szCs w:val="24"/>
        </w:rPr>
        <w:t xml:space="preserve">La previsione del modello bipartito è identica per entrambi: trapianto senza radicamento.</w:t>
      </w:r>
    </w:p>
    <w:p>
      <w:pPr>
        <w:spacing w:after="120" w:line="276"/>
        <w:jc w:val="both"/>
      </w:pPr>
      <w:r>
        <w:rPr>
          <w:rFonts w:ascii="Barlow Semi Condensed" w:cs="Barlow Semi Condensed" w:eastAsia="Barlow Semi Condensed" w:hAnsi="Barlow Semi Condensed"/>
          <w:sz w:val="24"/>
          <w:szCs w:val="24"/>
        </w:rPr>
        <w:t xml:space="preserve">Gli esiti reali divergono radicalmente, e vanno messi a confronto voce per voce.</w:t>
      </w:r>
    </w:p>
    <w:p>
      <w:pPr>
        <w:spacing w:after="120" w:line="276"/>
        <w:jc w:val="both"/>
      </w:pPr>
      <w:r>
        <w:rPr>
          <w:rFonts w:ascii="Barlow Semi Condensed" w:cs="Barlow Semi Condensed" w:eastAsia="Barlow Semi Condensed" w:hAnsi="Barlow Semi Condensed"/>
          <w:sz w:val="24"/>
          <w:szCs w:val="24"/>
        </w:rPr>
        <w:t xml:space="preserve">In Kazakhistan l'ente trapiantò personale cileno e spagnolo, avviò attività presso una scuola di management e un centro culturale, e — allo stato della documentazione — non risulta avere prodotto un numerariato kazako autoctono. Ventotto anni dopo l'insediamento, il solo kazako nominato dalle fonti è descritto come in ricerca.</w:t>
      </w:r>
    </w:p>
    <w:p>
      <w:pPr>
        <w:spacing w:after="120" w:line="276"/>
        <w:jc w:val="both"/>
      </w:pPr>
      <w:r>
        <w:rPr>
          <w:rFonts w:ascii="Barlow Semi Condensed" w:cs="Barlow Semi Condensed" w:eastAsia="Barlow Semi Condensed" w:hAnsi="Barlow Semi Condensed"/>
          <w:sz w:val="24"/>
          <w:szCs w:val="24"/>
        </w:rPr>
        <w:t xml:space="preserve">In Kenya l'ente trapiantò personale irlandese, statunitense, spagnolo, italiano e messicano; ma fondò tre istituzioni educative in quattordici mesi — Strathmore nel marzo 1961, Kianda nel gennaio 1961, Kibondeni nel febbraio 1961 — e due anni dopo aveva le prime due keniane, provenienti da una di quelle scuole. Ventiquattro anni dopo aveva il primo sacerdote africano dell'Opus Dei; quarantasei anni dopo, un vescovo.</w:t>
      </w:r>
    </w:p>
    <w:p>
      <w:pPr>
        <w:spacing w:after="120" w:line="276"/>
        <w:jc w:val="both"/>
      </w:pPr>
      <w:r>
        <w:rPr>
          <w:rFonts w:ascii="Barlow Semi Condensed" w:cs="Barlow Semi Condensed" w:eastAsia="Barlow Semi Condensed" w:hAnsi="Barlow Semi Condensed"/>
          <w:sz w:val="24"/>
          <w:szCs w:val="24"/>
        </w:rPr>
        <w:t xml:space="preserve">La divergenza è invisibile al modello bipartito, che non contempla la variabile che la produce.</w:t>
      </w:r>
    </w:p>
    <w:p>
      <w:pPr>
        <w:spacing w:after="120" w:line="276"/>
        <w:jc w:val="both"/>
      </w:pPr>
      <w:r>
        <w:rPr>
          <w:rFonts w:ascii="Barlow Semi Condensed" w:cs="Barlow Semi Condensed" w:eastAsia="Barlow Semi Condensed" w:hAnsi="Barlow Semi Condensed"/>
          <w:sz w:val="24"/>
          <w:szCs w:val="24"/>
        </w:rPr>
        <w:t xml:space="preserve">La variabile, enunciata: la fondazione o meno di istituzioni educative generative.</w:t>
      </w:r>
    </w:p>
    <w:p>
      <w:pPr>
        <w:spacing w:after="120" w:line="276"/>
        <w:jc w:val="both"/>
      </w:pPr>
      <w:r>
        <w:rPr>
          <w:rFonts w:ascii="Barlow Semi Condensed" w:cs="Barlow Semi Condensed" w:eastAsia="Barlow Semi Condensed" w:hAnsi="Barlow Semi Condensed"/>
          <w:sz w:val="24"/>
          <w:szCs w:val="24"/>
        </w:rPr>
        <w:t xml:space="preserve">Non basta fondare opere: occorre che esse siano generative, cioè selettive, di livello superiore, e rivolte al ceto che si vuole formare anziché a quello che già esiste. Lo Strathmore preparava all'ammissione universitaria in un Paese dove l'accesso africano all'università era precluso; Kibondeni formava donne a un mestiere che in Kenya era riservato agli uomini. Entrambe creavano una posizione sociale che prima non c'era, e da quella posizione emersero i membri.</w:t>
      </w:r>
    </w:p>
    <w:p>
      <w:pPr>
        <w:spacing w:after="120" w:line="276"/>
        <w:jc w:val="both"/>
      </w:pPr>
      <w:r>
        <w:rPr>
          <w:rFonts w:ascii="Barlow Semi Condensed" w:cs="Barlow Semi Condensed" w:eastAsia="Barlow Semi Condensed" w:hAnsi="Barlow Semi Condensed"/>
          <w:sz w:val="24"/>
          <w:szCs w:val="24"/>
        </w:rPr>
        <w:t xml:space="preserve">In Kazakhistan l'ente ha operato presso istituzioni esistenti — una scuola di management già fondata — anziché fondarne di proprie e selettive.</w:t>
      </w:r>
    </w:p>
    <w:p>
      <w:pPr>
        <w:spacing w:after="120" w:line="276"/>
        <w:jc w:val="both"/>
      </w:pPr>
      <w:r>
        <w:rPr>
          <w:rFonts w:ascii="Barlow Semi Condensed" w:cs="Barlow Semi Condensed" w:eastAsia="Barlow Semi Condensed" w:hAnsi="Barlow Semi Condensed"/>
          <w:sz w:val="24"/>
          <w:szCs w:val="24"/>
        </w:rPr>
        <w:t xml:space="preserve">Ne discende la formulazione della variabile discriminante fra seconda e terza modalità: non la presenza del ceto, ma la fondazione di istituzioni capaci di produrlo.</w:t>
      </w:r>
    </w:p>
    <w:p>
      <w:pPr>
        <w:spacing w:after="120" w:line="276"/>
        <w:jc w:val="both"/>
      </w:pPr>
      <w:r>
        <w:rPr>
          <w:rFonts w:ascii="Barlow Semi Condensed" w:cs="Barlow Semi Condensed" w:eastAsia="Barlow Semi Condensed" w:hAnsi="Barlow Semi Condensed"/>
          <w:sz w:val="24"/>
          <w:szCs w:val="24"/>
        </w:rPr>
        <w:t xml:space="preserve">Una avvertenza va apposta perché il confronto non provi più di quanto possa. Le due date sono distanti trentanove anni, i contesti sono incomparabili, e il Kazakhistan ha avuto ventotto anni contro i sessantasette del Kenya. Il confronto stabilisce che il modello bipartito non spiega la divergenza; non stabilisce che la variabile individuata sia la sola operante.</w:t>
      </w:r>
    </w:p>
    <w:p>
      <w:pPr>
        <w:pStyle w:val="Heading2"/>
        <w:spacing w:after="100" w:before="200"/>
      </w:pPr>
      <w:r>
        <w:rPr>
          <w:rFonts w:ascii="Barlow Semi Condensed" w:cs="Barlow Semi Condensed" w:eastAsia="Barlow Semi Condensed" w:hAnsi="Barlow Semi Condensed"/>
          <w:sz w:val="24"/>
          <w:szCs w:val="24"/>
        </w:rPr>
        <w:t xml:space="preserve">Capitolo ottavo — La terza modalità e la forma emendata del modello</w:t>
      </w:r>
    </w:p>
    <w:p>
      <w:pPr>
        <w:spacing w:after="120" w:line="276"/>
        <w:jc w:val="both"/>
      </w:pPr>
      <w:r>
        <w:rPr>
          <w:rFonts w:ascii="Barlow Semi Condensed" w:cs="Barlow Semi Condensed" w:eastAsia="Barlow Semi Condensed" w:hAnsi="Barlow Semi Condensed"/>
          <w:sz w:val="24"/>
          <w:szCs w:val="24"/>
        </w:rPr>
        <w:t xml:space="preserve">Il capitolo enuncia il modello nella forma che questa ricognizione consegna.</w:t>
      </w:r>
    </w:p>
    <w:p>
      <w:pPr>
        <w:spacing w:after="120" w:line="276"/>
        <w:jc w:val="both"/>
      </w:pPr>
      <w:r>
        <w:rPr>
          <w:rFonts w:ascii="Barlow Semi Condensed" w:cs="Barlow Semi Condensed" w:eastAsia="Barlow Semi Condensed" w:hAnsi="Barlow Semi Condensed"/>
          <w:sz w:val="24"/>
          <w:szCs w:val="24"/>
        </w:rPr>
        <w:t xml:space="preserve">Prima modalità — radicamento su ceto preesistente.\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Dove esiste un ceto cattolico universitario e professionale autoctono, l'ente si radica su di esso,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indipendentemente dalla confessione maggioritaria del Paese.</w:t>
      </w:r>
    </w:p>
    <w:p>
      <w:pPr>
        <w:spacing w:after="120" w:line="276"/>
        <w:jc w:val="both"/>
      </w:pPr>
      <w:r>
        <w:rPr>
          <w:rFonts w:ascii="Barlow Semi Condensed" w:cs="Barlow Semi Condensed" w:eastAsia="Barlow Semi Condensed" w:hAnsi="Barlow Semi Condensed"/>
          <w:sz w:val="24"/>
          <w:szCs w:val="24"/>
        </w:rPr>
        <w:t xml:space="preserve">Casi che la confermano: Germania 1952, Gran Bretagna 1946, India 1993, e — con la complicazione del ceto popolare anziché d'élite — Giappone 1958.</w:t>
      </w:r>
    </w:p>
    <w:p>
      <w:pPr>
        <w:spacing w:after="120" w:line="276"/>
        <w:jc w:val="both"/>
      </w:pPr>
      <w:r>
        <w:rPr>
          <w:rFonts w:ascii="Barlow Semi Condensed" w:cs="Barlow Semi Condensed" w:eastAsia="Barlow Semi Condensed" w:hAnsi="Barlow Semi Condensed"/>
          <w:sz w:val="24"/>
          <w:szCs w:val="24"/>
        </w:rPr>
        <w:t xml:space="preserve">Seconda modalità — trapianto senza radicamento. Dove tale ceto manca e l'ente si limita a trapiantare personale senza fondare istituzioni educative generative, l'ente non si radica in senso autoctono.</w:t>
      </w:r>
    </w:p>
    <w:p>
      <w:pPr>
        <w:spacing w:after="120" w:line="276"/>
        <w:jc w:val="both"/>
      </w:pPr>
      <w:r>
        <w:rPr>
          <w:rFonts w:ascii="Barlow Semi Condensed" w:cs="Barlow Semi Condensed" w:eastAsia="Barlow Semi Condensed" w:hAnsi="Barlow Semi Condensed"/>
          <w:sz w:val="24"/>
          <w:szCs w:val="24"/>
        </w:rPr>
        <w:t xml:space="preserve">Caso che la conferma: Kazakhistan 1997, e per analogia Svezia 1984.</w:t>
      </w:r>
    </w:p>
    <w:p>
      <w:pPr>
        <w:spacing w:after="120" w:line="276"/>
        <w:jc w:val="both"/>
      </w:pPr>
      <w:r>
        <w:rPr>
          <w:rFonts w:ascii="Barlow Semi Condensed" w:cs="Barlow Semi Condensed" w:eastAsia="Barlow Semi Condensed" w:hAnsi="Barlow Semi Condensed"/>
          <w:sz w:val="24"/>
          <w:szCs w:val="24"/>
        </w:rPr>
        <w:t xml:space="preserve">Terza modalità — costruzione endogena del ceto. Dove tale ceto manca ma l'ente fonda istituzioni educative selettive capaci di produrlo, l'ente costruisce il proprio ceto di riferimento e su di esso si radica in senso autoctono nell'arco di una generazione.</w:t>
      </w:r>
    </w:p>
    <w:p>
      <w:pPr>
        <w:spacing w:after="120" w:line="276"/>
        <w:jc w:val="both"/>
      </w:pPr>
      <w:r>
        <w:rPr>
          <w:rFonts w:ascii="Barlow Semi Condensed" w:cs="Barlow Semi Condensed" w:eastAsia="Barlow Semi Condensed" w:hAnsi="Barlow Semi Condensed"/>
          <w:sz w:val="24"/>
          <w:szCs w:val="24"/>
        </w:rPr>
        <w:t xml:space="preserve">Caso paradigmatico: Kenya 1958. Variante su base confessionale preesistente: Giappone. Possibile caso in formazione: Indonesia, se i membri di ritorno daranno origine a numerariato stabile.</w:t>
      </w:r>
    </w:p>
    <w:p>
      <w:pPr>
        <w:spacing w:after="120" w:line="276"/>
        <w:jc w:val="both"/>
      </w:pPr>
      <w:r>
        <w:rPr>
          <w:rFonts w:ascii="Barlow Semi Condensed" w:cs="Barlow Semi Condensed" w:eastAsia="Barlow Semi Condensed" w:hAnsi="Barlow Semi Condensed"/>
          <w:sz w:val="24"/>
          <w:szCs w:val="24"/>
        </w:rPr>
        <w:t xml:space="preserve">E adesso la revisione del diagnostico, che è la seconda acquisizione del capitolo.</w:t>
      </w:r>
    </w:p>
    <w:p>
      <w:pPr>
        <w:spacing w:after="120" w:line="276"/>
        <w:jc w:val="both"/>
      </w:pPr>
      <w:r>
        <w:rPr>
          <w:rFonts w:ascii="Barlow Semi Condensed" w:cs="Barlow Semi Condensed" w:eastAsia="Barlow Semi Condensed" w:hAnsi="Barlow Semi Condensed"/>
          <w:sz w:val="24"/>
          <w:szCs w:val="24"/>
        </w:rPr>
        <w:t xml:space="preserve">Il diagnostico stabilito dal caso svedese — la provenienza dei numerari — va raffinato, perché applicato alla fase d'ingresso non discrimina nulla.</w:t>
      </w:r>
    </w:p>
    <w:p>
      <w:pPr>
        <w:spacing w:after="120" w:line="276"/>
        <w:jc w:val="both"/>
      </w:pPr>
      <w:r>
        <w:rPr>
          <w:rFonts w:ascii="Barlow Semi Condensed" w:cs="Barlow Semi Condensed" w:eastAsia="Barlow Semi Condensed" w:hAnsi="Barlow Semi Condensed"/>
          <w:sz w:val="24"/>
          <w:szCs w:val="24"/>
        </w:rPr>
        <w:t xml:space="preserve">In tutti e sette i casi esaminati, senza eccezione, i primi membri furono allogeni: irlandese, statunitense, spagnolo, italiano e messicano in Kenya; spagnolo e statunitense con apporto nippo-sudamericano in Giappone; britannico e spagnolo via Kenya in Nigeria; cileno e spagnolo in Kazakhistan; filippino, indonesiani di ritorno e statunitense in Indonesia; ignoti in India e Sri Lanka.</w:t>
      </w:r>
    </w:p>
    <w:p>
      <w:pPr>
        <w:spacing w:after="120" w:line="276"/>
        <w:jc w:val="both"/>
      </w:pPr>
      <w:r>
        <w:rPr>
          <w:rFonts w:ascii="Barlow Semi Condensed" w:cs="Barlow Semi Condensed" w:eastAsia="Barlow Semi Condensed" w:hAnsi="Barlow Semi Condensed"/>
          <w:sz w:val="24"/>
          <w:szCs w:val="24"/>
        </w:rPr>
        <w:t xml:space="preserve">Il trapianto è dunque la modalità universale d'ingresso, non un tratto distintivo.</w:t>
      </w:r>
    </w:p>
    <w:p>
      <w:pPr>
        <w:spacing w:after="120" w:line="276"/>
        <w:jc w:val="both"/>
      </w:pPr>
      <w:r>
        <w:rPr>
          <w:rFonts w:ascii="Barlow Semi Condensed" w:cs="Barlow Semi Condensed" w:eastAsia="Barlow Semi Condensed" w:hAnsi="Barlow Semi Condensed"/>
          <w:sz w:val="24"/>
          <w:szCs w:val="24"/>
        </w:rPr>
        <w:t xml:space="preserve">Il diagnostico va perciò riferito alla fase matura anziché a quella d'ingresso: la provenienza dei numerari dopo una o due generazioni. Su questo criterio i casi si distribuiscono così. Radicamento autoctono maturo documentato: Kenya e Giappone. Radicamento probabile ma non quantificato: Nigeria e India. Trapianto senza radicamento documentato: Kazakhistan. Indeterminati per Stato Zero: Indonesia e Sri Lanka.</w:t>
      </w:r>
    </w:p>
    <w:p>
      <w:pPr>
        <w:spacing w:after="120" w:line="276"/>
        <w:jc w:val="both"/>
      </w:pPr>
      <w:r>
        <w:rPr>
          <w:rFonts w:ascii="Barlow Semi Condensed" w:cs="Barlow Semi Condensed" w:eastAsia="Barlow Semi Condensed" w:hAnsi="Barlow Semi Condensed"/>
          <w:sz w:val="24"/>
          <w:szCs w:val="24"/>
        </w:rPr>
        <w:t xml:space="preserve">La condizione di falsificazione del modello a tre modalità, che va dichiarata ora perché senza di essa non sarebbe una proposizione.</w:t>
      </w:r>
    </w:p>
    <w:p>
      <w:pPr>
        <w:spacing w:after="120" w:line="276"/>
        <w:jc w:val="both"/>
      </w:pPr>
      <w:r>
        <w:rPr>
          <w:rFonts w:ascii="Barlow Semi Condensed" w:cs="Barlow Semi Condensed" w:eastAsia="Barlow Semi Condensed" w:hAnsi="Barlow Semi Condensed"/>
          <w:sz w:val="24"/>
          <w:szCs w:val="24"/>
        </w:rPr>
        <w:t xml:space="preserve">Il modello sarebbe falsificato dal reperimento di un radicamento autoctono maturo in un Paese privo di ceto cattolico professionale e in cui l'ente non abbia fondato istituzioni educative generative.</w:t>
      </w:r>
    </w:p>
    <w:p>
      <w:pPr>
        <w:spacing w:after="120" w:line="276"/>
        <w:jc w:val="both"/>
      </w:pPr>
      <w:r>
        <w:rPr>
          <w:rFonts w:ascii="Barlow Semi Condensed" w:cs="Barlow Semi Condensed" w:eastAsia="Barlow Semi Condensed" w:hAnsi="Barlow Semi Condensed"/>
          <w:sz w:val="24"/>
          <w:szCs w:val="24"/>
        </w:rPr>
        <w:t xml:space="preserve">Un tale caso non è stato cercato, e la sua ricerca è la prima voce della tavola.</w:t>
      </w:r>
    </w:p>
    <w:p>
      <w:pPr>
        <w:pStyle w:val="Heading2"/>
        <w:spacing w:after="100" w:before="200"/>
      </w:pPr>
      <w:r>
        <w:rPr>
          <w:rFonts w:ascii="Barlow Semi Condensed" w:cs="Barlow Semi Condensed" w:eastAsia="Barlow Semi Condensed" w:hAnsi="Barlow Semi Condensed"/>
          <w:sz w:val="24"/>
          <w:szCs w:val="24"/>
        </w:rPr>
        <w:t xml:space="preserve">Capitolo nono — Che cosa il modello a tre modalità spiega meglio, e che cosa resta non spiegato</w:t>
      </w:r>
    </w:p>
    <w:p>
      <w:pPr>
        <w:spacing w:after="120" w:line="276"/>
        <w:jc w:val="both"/>
      </w:pPr>
      <w:r>
        <w:rPr>
          <w:rFonts w:ascii="Barlow Semi Condensed" w:cs="Barlow Semi Condensed" w:eastAsia="Barlow Semi Condensed" w:hAnsi="Barlow Semi Condensed"/>
          <w:sz w:val="24"/>
          <w:szCs w:val="24"/>
        </w:rPr>
        <w:t xml:space="preserve">Il capitolo verifica il guadagno della seconda revisione, come la decima ricognizione aveva fatto per la prima.</w:t>
      </w:r>
    </w:p>
    <w:p>
      <w:pPr>
        <w:spacing w:after="120" w:line="276"/>
        <w:jc w:val="both"/>
      </w:pPr>
      <w:r>
        <w:rPr>
          <w:rFonts w:ascii="Barlow Semi Condensed" w:cs="Barlow Semi Condensed" w:eastAsia="Barlow Semi Condensed" w:hAnsi="Barlow Semi Condensed"/>
          <w:sz w:val="24"/>
          <w:szCs w:val="24"/>
        </w:rPr>
        <w:t xml:space="preserve">Il guadagno retroattivo sui casi già studiati.</w:t>
      </w:r>
    </w:p>
    <w:p>
      <w:pPr>
        <w:spacing w:after="120" w:line="276"/>
        <w:jc w:val="both"/>
      </w:pPr>
      <w:r>
        <w:rPr>
          <w:rFonts w:ascii="Barlow Semi Condensed" w:cs="Barlow Semi Condensed" w:eastAsia="Barlow Semi Condensed" w:hAnsi="Barlow Semi Condensed"/>
          <w:sz w:val="24"/>
          <w:szCs w:val="24"/>
        </w:rPr>
        <w:t xml:space="preserve">La Svezia si colloca ora con precisione. Nella forma bipartita essa era il caso che aveva suggerito la distinzione fra radicamento e trapianto; nella forma tripartita essa è caso di seconda modalità in senso stretto: ceto assente, nessuna istituzione generativa fondata, numerari in prevalenza spagnoli.</w:t>
      </w:r>
    </w:p>
    <w:p>
      <w:pPr>
        <w:spacing w:after="120" w:line="276"/>
        <w:jc w:val="both"/>
      </w:pPr>
      <w:r>
        <w:rPr>
          <w:rFonts w:ascii="Barlow Semi Condensed" w:cs="Barlow Semi Condensed" w:eastAsia="Barlow Semi Condensed" w:hAnsi="Barlow Semi Condensed"/>
          <w:sz w:val="24"/>
          <w:szCs w:val="24"/>
        </w:rPr>
        <w:t xml:space="preserve">Cipro si conferma nella lettura della decima ricognizione, ma con una precisazione ulteriore. Nella forma bipartita si era detto che Cipro difettava del ceto; nella forma tripartita si può dire di più: l'ente non vi entrò affatto, e dunque non vi esercitò né la seconda né la terza modalità. Il caso cipriota non è un insediamento fallito: è un insediamento non tentato, e questa è distinzione che il modello precedente non permetteva di formulare.</w:t>
      </w:r>
    </w:p>
    <w:p>
      <w:pPr>
        <w:spacing w:after="120" w:line="276"/>
        <w:jc w:val="both"/>
      </w:pPr>
      <w:r>
        <w:rPr>
          <w:rFonts w:ascii="Barlow Semi Condensed" w:cs="Barlow Semi Condensed" w:eastAsia="Barlow Semi Condensed" w:hAnsi="Barlow Semi Condensed"/>
          <w:sz w:val="24"/>
          <w:szCs w:val="24"/>
        </w:rPr>
        <w:t xml:space="preserve">La Germania si conferma di prima modalità, e il confronto con il Kenya illumina entrambe: in Germania l'ente trovò il ceto e vi si insediò in quattordici mesi presso le residenze studentesche di Bonn e Colonia; in Kenya dovette fondare le scuole e attendere due anni per le prime due keniane e ventiquattro per il primo sacerdote. La differenza dei tempi è la differenza delle modalità.</w:t>
      </w:r>
    </w:p>
    <w:p>
      <w:pPr>
        <w:spacing w:after="120" w:line="276"/>
        <w:jc w:val="both"/>
      </w:pPr>
      <w:r>
        <w:rPr>
          <w:rFonts w:ascii="Barlow Semi Condensed" w:cs="Barlow Semi Condensed" w:eastAsia="Barlow Semi Condensed" w:hAnsi="Barlow Semi Condensed"/>
          <w:sz w:val="24"/>
          <w:szCs w:val="24"/>
        </w:rPr>
        <w:t xml:space="preserve">Che cosa resta non spiegato, e va dichiarato.</w:t>
      </w:r>
    </w:p>
    <w:p>
      <w:pPr>
        <w:spacing w:after="120" w:line="276"/>
        <w:jc w:val="both"/>
      </w:pPr>
      <w:r>
        <w:rPr>
          <w:rFonts w:ascii="Barlow Semi Condensed" w:cs="Barlow Semi Condensed" w:eastAsia="Barlow Semi Condensed" w:hAnsi="Barlow Semi Condensed"/>
          <w:sz w:val="24"/>
          <w:szCs w:val="24"/>
        </w:rPr>
        <w:t xml:space="preserve">Primo: perché in Kazakhistan l'ente non abbia adottato la terza modalità. La richiesta del vescovo kazako del 1994 chiedeva espressamente un'istituzione capace di occuparsi di educazione e di lavoro con i giovani — cioè esattamente ciò che in Kenya l'ente aveva fondato. La domanda era la medesima; la risposta fu diversa. Le fonti reperite non spiegano perché.</w:t>
      </w:r>
    </w:p>
    <w:p>
      <w:pPr>
        <w:spacing w:after="120" w:line="276"/>
        <w:jc w:val="both"/>
      </w:pPr>
      <w:r>
        <w:rPr>
          <w:rFonts w:ascii="Barlow Semi Condensed" w:cs="Barlow Semi Condensed" w:eastAsia="Barlow Semi Condensed" w:hAnsi="Barlow Semi Condensed"/>
          <w:sz w:val="24"/>
          <w:szCs w:val="24"/>
        </w:rPr>
        <w:t xml:space="preserve">Secondo: se la terza modalità sia una scelta deliberata o l'esito di circostanze.\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Kenya essa fu suggerita dal fondatore in persona e sollecitata dal Delegato Apostolico;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accertato se altrove sia stata considerata e scartata.</w:t>
      </w:r>
    </w:p>
    <w:p>
      <w:pPr>
        <w:spacing w:after="120" w:line="276"/>
        <w:jc w:val="both"/>
      </w:pPr>
      <w:r>
        <w:rPr>
          <w:rFonts w:ascii="Barlow Semi Condensed" w:cs="Barlow Semi Condensed" w:eastAsia="Barlow Semi Condensed" w:hAnsi="Barlow Semi Condensed"/>
          <w:sz w:val="24"/>
          <w:szCs w:val="24"/>
        </w:rPr>
        <w:t xml:space="preserve">Terzo: se esistano casi di terza modalità fallita\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cioè di istituzioni educative fondate senza che ne sia emerso un numerariato autoctono.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Tali casi sarebbero probanti quanto quelli riusciti, e non sono stati cercati.</w:t>
      </w:r>
    </w:p>
    <w:p>
      <w:pPr>
        <w:spacing w:after="120" w:line="276"/>
        <w:jc w:val="both"/>
      </w:pPr>
      <w:r>
        <w:rPr>
          <w:rFonts w:ascii="Barlow Semi Condensed" w:cs="Barlow Semi Condensed" w:eastAsia="Barlow Semi Condensed" w:hAnsi="Barlow Semi Condensed"/>
          <w:sz w:val="24"/>
          <w:szCs w:val="24"/>
        </w:rPr>
        <w:t xml:space="preserve">Quarto, ed è il più grave: non esiste alcun caso documentato di ritiro dell'ente da un Paese in cui fosse entrato. La ricerca non ne ha reperiti. Ciò non prova che non ve ne siano stati: l'elenco ufficiale registra gli inizi e non gli arretramenti, e la verifica richiederebbe il confronto diacronico degli annuari interni. È la prima voce della tavola per rendimento atteso.</w:t>
      </w:r>
    </w:p>
    <w:p>
      <w:pPr>
        <w:pStyle w:val="Heading2"/>
        <w:spacing w:after="100" w:before="200"/>
      </w:pPr>
      <w:r>
        <w:rPr>
          <w:rFonts w:ascii="Barlow Semi Condensed" w:cs="Barlow Semi Condensed" w:eastAsia="Barlow Semi Condensed" w:hAnsi="Barlow Semi Condensed"/>
          <w:sz w:val="24"/>
          <w:szCs w:val="24"/>
        </w:rPr>
        <w:t xml:space="preserve">Capitolo decimo — La qualità delle fonti e il limite che essa impone</w:t>
      </w:r>
    </w:p>
    <w:p>
      <w:pPr>
        <w:spacing w:after="120" w:line="276"/>
        <w:jc w:val="both"/>
      </w:pPr>
      <w:r>
        <w:rPr>
          <w:rFonts w:ascii="Barlow Semi Condensed" w:cs="Barlow Semi Condensed" w:eastAsia="Barlow Semi Condensed" w:hAnsi="Barlow Semi Condensed"/>
          <w:sz w:val="24"/>
          <w:szCs w:val="24"/>
        </w:rPr>
        <w:t xml:space="preserve">Il capitolo espone un problema di statuto che grava sull'intera ricognizione e che sarebbe scorretto tacere.</w:t>
      </w:r>
    </w:p>
    <w:p>
      <w:pPr>
        <w:spacing w:after="120" w:line="276"/>
        <w:jc w:val="both"/>
      </w:pPr>
      <w:r>
        <w:rPr>
          <w:rFonts w:ascii="Barlow Semi Condensed" w:cs="Barlow Semi Condensed" w:eastAsia="Barlow Semi Condensed" w:hAnsi="Barlow Semi Condensed"/>
          <w:sz w:val="24"/>
          <w:szCs w:val="24"/>
        </w:rPr>
        <w:t xml:space="preserve">Il problema, enunciato.\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storiografia migliore su questi casi è pubblicata da un istituto interno alla Prelatura medesima.</w:t>
      </w:r>
    </w:p>
    <w:p>
      <w:pPr>
        <w:spacing w:after="120" w:line="276"/>
        <w:jc w:val="both"/>
      </w:pPr>
      <w:r>
        <w:rPr>
          <w:rFonts w:ascii="Barlow Semi Condensed" w:cs="Barlow Semi Condensed" w:eastAsia="Barlow Semi Condensed" w:hAnsi="Barlow Semi Condensed"/>
          <w:sz w:val="24"/>
          <w:szCs w:val="24"/>
        </w:rPr>
        <w:t xml:space="preserve">Studia et Documenta, rivista dell'Istituto Storico San Josemaría Escrivá di Roma, attiva dal 2007, pubblica in sei lingue ricerche fondate sull'Archivio Generale della Prelatura, con apparato critico, ed è indicizzata in una banca dati accademica di studi religiosi.</w:t>
      </w:r>
    </w:p>
    <w:p>
      <w:pPr>
        <w:spacing w:after="120" w:line="276"/>
        <w:jc w:val="both"/>
      </w:pPr>
      <w:r>
        <w:rPr>
          <w:rFonts w:ascii="Barlow Semi Condensed" w:cs="Barlow Semi Condensed" w:eastAsia="Barlow Semi Condensed" w:hAnsi="Barlow Semi Condensed"/>
          <w:sz w:val="24"/>
          <w:szCs w:val="24"/>
        </w:rPr>
        <w:t xml:space="preserve">Da essa provengono i due studi decisivi di questa ricognizione: Nakajima e Makiyama sulla scuola di Nagasaki, fascicolo nono del 2015; e Carlos Sotz sul contesto dell'evangelizzazione in Kenya e gli inizi dello Strathmore.</w:t>
      </w:r>
    </w:p>
    <w:p>
      <w:pPr>
        <w:spacing w:after="120" w:line="276"/>
        <w:jc w:val="both"/>
      </w:pPr>
      <w:r>
        <w:rPr>
          <w:rFonts w:ascii="Barlow Semi Condensed" w:cs="Barlow Semi Condensed" w:eastAsia="Barlow Semi Condensed" w:hAnsi="Barlow Semi Condensed"/>
          <w:sz w:val="24"/>
          <w:szCs w:val="24"/>
        </w:rPr>
        <w:t xml:space="preserve">Lo statuto va qualificato con precisione: non è storiografia indipendente sottoposta a revisione paritaria esterna, né è apologetica. È storiografia d'istituzione con standard accademici.</w:t>
      </w:r>
    </w:p>
    <w:p>
      <w:pPr>
        <w:spacing w:after="120" w:line="276"/>
        <w:jc w:val="both"/>
      </w:pPr>
      <w:r>
        <w:rPr>
          <w:rFonts w:ascii="Barlow Semi Condensed" w:cs="Barlow Semi Condensed" w:eastAsia="Barlow Semi Condensed" w:hAnsi="Barlow Semi Condensed"/>
          <w:sz w:val="24"/>
          <w:szCs w:val="24"/>
        </w:rPr>
        <w:t xml:space="preserve">Ne discende la regola d'impiego che ho seguito e che va registrata: tali studi sono utilizzabili per i dati di fatto — date, nomi, luoghi, statistiche archivistiche — e non per le valutazioni.</w:t>
      </w:r>
    </w:p>
    <w:p>
      <w:pPr>
        <w:spacing w:after="120" w:line="276"/>
        <w:jc w:val="both"/>
      </w:pPr>
      <w:r>
        <w:rPr>
          <w:rFonts w:ascii="Barlow Semi Condensed" w:cs="Barlow Semi Condensed" w:eastAsia="Barlow Semi Condensed" w:hAnsi="Barlow Semi Condensed"/>
          <w:sz w:val="24"/>
          <w:szCs w:val="24"/>
        </w:rPr>
        <w:t xml:space="preserve">E va aggiunto un elemento che gioca a favore di quelle fonti e va riconosciuto. Esse riportano dati che non giovano alla narrazione: che il personale fondatore era interamente straniero; che l'accesso africano all'università era precluso; che la scelta di Nagasaki fu determinata da un calcolo di densità confessionale con percentuali esplicite; che i primi anni nigeriani non furono facili. Una fonte apologetica non fornisce il calcolo del cinquantuno per cento contro il quattro virgola cinque.</w:t>
      </w:r>
    </w:p>
    <w:p>
      <w:pPr>
        <w:spacing w:after="120" w:line="276"/>
        <w:jc w:val="both"/>
      </w:pPr>
      <w:r>
        <w:rPr>
          <w:rFonts w:ascii="Barlow Semi Condensed" w:cs="Barlow Semi Condensed" w:eastAsia="Barlow Semi Condensed" w:hAnsi="Barlow Semi Condensed"/>
          <w:sz w:val="24"/>
          <w:szCs w:val="24"/>
        </w:rPr>
        <w:t xml:space="preserve">Esiste invece una letteratura accademica indipendente di alta qualità sul contesto e non sull'ente: sul cattolicesimo giapponese moderno, sui cattolici nascosti, sul cattolicesimo igbo e la guerra del Biafra, sulla Chiesa siro-malabarese. Essa è indispensabile per accertare la consistenza del ceto, e non tratta l'ente.</w:t>
      </w:r>
    </w:p>
    <w:p>
      <w:pPr>
        <w:spacing w:after="120" w:line="276"/>
        <w:jc w:val="both"/>
      </w:pPr>
      <w:r>
        <w:rPr>
          <w:rFonts w:ascii="Barlow Semi Condensed" w:cs="Barlow Semi Condensed" w:eastAsia="Barlow Semi Condensed" w:hAnsi="Barlow Semi Condensed"/>
          <w:sz w:val="24"/>
          <w:szCs w:val="24"/>
        </w:rPr>
        <w:t xml:space="preserve">E manca del tutto ciò che sarebbe necessario: una storiografia scientifica indipendente e monografica sull'espansione extraeuropea dell'Opus Dei in Africa e in Asia.</w:t>
      </w:r>
    </w:p>
    <w:p>
      <w:pPr>
        <w:spacing w:after="120" w:line="276"/>
        <w:jc w:val="both"/>
      </w:pPr>
      <w:r>
        <w:rPr>
          <w:rFonts w:ascii="Barlow Semi Condensed" w:cs="Barlow Semi Condensed" w:eastAsia="Barlow Semi Condensed" w:hAnsi="Barlow Semi Condensed"/>
          <w:sz w:val="24"/>
          <w:szCs w:val="24"/>
        </w:rPr>
        <w:t xml:space="preserve">Le trattazioni giornalistiche generaliste e la pubblicistica apologetica o polemica non colmano questa lacuna.</w:t>
      </w:r>
    </w:p>
    <w:p>
      <w:pPr>
        <w:spacing w:after="120" w:line="276"/>
        <w:jc w:val="both"/>
      </w:pPr>
      <w:r>
        <w:rPr>
          <w:rFonts w:ascii="Barlow Semi Condensed" w:cs="Barlow Semi Condensed" w:eastAsia="Barlow Semi Condensed" w:hAnsi="Barlow Semi Condensed"/>
          <w:sz w:val="24"/>
          <w:szCs w:val="24"/>
        </w:rPr>
        <w:t xml:space="preserve">Ne discende un limite che grava su ogni conclusione di questo documento e che va enunciato senza attenuazioni: il modello a tre modalità è costruito in prevalenza su fonti dell'ente medesimo, verificate contro fonti indipendenti dove queste esistono — e per il contesto esistono, per l'ente non esistono.</w:t>
      </w:r>
    </w:p>
    <w:p>
      <w:pPr>
        <w:spacing w:after="120" w:line="276"/>
        <w:jc w:val="both"/>
      </w:pPr>
      <w:r>
        <w:rPr>
          <w:rFonts w:ascii="Barlow Semi Condensed" w:cs="Barlow Semi Condensed" w:eastAsia="Barlow Semi Condensed" w:hAnsi="Barlow Semi Condensed"/>
          <w:sz w:val="24"/>
          <w:szCs w:val="24"/>
        </w:rPr>
        <w:t xml:space="preserve">La sede di superamento è la letteratura specialistica di storia delle missioni e di sociologia delle religioni, ove singoli contributi potrebbero esistere e non sono emersi.</w:t>
      </w:r>
    </w:p>
    <w:p>
      <w:pPr>
        <w:pStyle w:val="Heading2"/>
        <w:spacing w:after="100" w:before="200"/>
      </w:pPr>
      <w:r>
        <w:rPr>
          <w:rFonts w:ascii="Barlow Semi Condensed" w:cs="Barlow Semi Condensed" w:eastAsia="Barlow Semi Condensed" w:hAnsi="Barlow Semi Condensed"/>
          <w:sz w:val="24"/>
          <w:szCs w:val="24"/>
        </w:rPr>
        <w:t xml:space="preserve">Capitolo undicesimo — Due errori dell'autore, registrati</w:t>
      </w:r>
    </w:p>
    <w:p>
      <w:pPr>
        <w:spacing w:after="120" w:line="276"/>
        <w:jc w:val="both"/>
      </w:pPr>
      <w:r>
        <w:rPr>
          <w:rFonts w:ascii="Barlow Semi Condensed" w:cs="Barlow Semi Condensed" w:eastAsia="Barlow Semi Condensed" w:hAnsi="Barlow Semi Condensed"/>
          <w:sz w:val="24"/>
          <w:szCs w:val="24"/>
        </w:rPr>
        <w:t xml:space="preserve">Il capitolo registra due errori che ho commesso nell'indirizzare questa ricerca, perché la Regola di Ferro vale anche per chi la applica e perché tacerli sarebbe esattamente il vizio che questa serie serve a prevenire.</w:t>
      </w:r>
    </w:p>
    <w:p>
      <w:pPr>
        <w:spacing w:after="120" w:line="276"/>
        <w:jc w:val="both"/>
      </w:pPr>
      <w:r>
        <w:rPr>
          <w:rFonts w:ascii="Barlow Semi Condensed" w:cs="Barlow Semi Condensed" w:eastAsia="Barlow Semi Condensed" w:hAnsi="Barlow Semi Condensed"/>
          <w:sz w:val="24"/>
          <w:szCs w:val="24"/>
        </w:rPr>
        <w:t xml:space="preserve">Primo errore — il nome Cyril Olguin. Nell'indirizzare la ricerca sul caso keniano ho indicato tale nome come figura da verificare fra i fondatori dello Strathmore.</w:t>
      </w:r>
    </w:p>
    <w:p>
      <w:pPr>
        <w:spacing w:after="120" w:line="276"/>
        <w:jc w:val="both"/>
      </w:pPr>
      <w:r>
        <w:rPr>
          <w:rFonts w:ascii="Barlow Semi Condensed" w:cs="Barlow Semi Condensed" w:eastAsia="Barlow Semi Condensed" w:hAnsi="Barlow Semi Condensed"/>
          <w:sz w:val="24"/>
          <w:szCs w:val="24"/>
        </w:rPr>
        <w:t xml:space="preserve">La ricerca non ne ha reperito alcun riscontro.\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nome non compare né nella narrazione ufficiale, né nella documentazione dell'istituzione, né nello studio accademico.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 fondatori documentati sono David Sperling e Silvano Borruso.</w:t>
      </w:r>
    </w:p>
    <w:p>
      <w:pPr>
        <w:spacing w:after="120" w:line="276"/>
        <w:jc w:val="both"/>
      </w:pPr>
      <w:r>
        <w:rPr>
          <w:rFonts w:ascii="Barlow Semi Condensed" w:cs="Barlow Semi Condensed" w:eastAsia="Barlow Semi Condensed" w:hAnsi="Barlow Semi Condensed"/>
          <w:sz w:val="24"/>
          <w:szCs w:val="24"/>
        </w:rPr>
        <w:t xml:space="preserve">Il nome va qualificato come non sostenuto, e la sua verifica definitiva richiederebbe l'archivio della Strathmore Educational Trust e l'Archivio Generale della Prelatura.</w:t>
      </w:r>
    </w:p>
    <w:p>
      <w:pPr>
        <w:spacing w:after="120" w:line="276"/>
        <w:jc w:val="both"/>
      </w:pPr>
      <w:r>
        <w:rPr>
          <w:rFonts w:ascii="Barlow Semi Condensed" w:cs="Barlow Semi Condensed" w:eastAsia="Barlow Semi Condensed" w:hAnsi="Barlow Semi Condensed"/>
          <w:sz w:val="24"/>
          <w:szCs w:val="24"/>
        </w:rPr>
        <w:t xml:space="preserve">Ma la lezione è più precisa della semplice correzione, e va tratta. Io ho fornito quel nome nell'indirizzare la ricerca, e la ricerca avrebbe potuto — se meno disciplinata — cercarne conferma anziché verificarne l'esistenza. È il meccanismo che l'undicesima ricognizione ha denominato contaminazione per prossimità, applicato però in senso inverso: non un'asserzione debole che prende credito da fatti forti, ma un nome fornito dal committente che avrebbe potuto acquisire credito dalla richiesta medesima.</w:t>
      </w:r>
    </w:p>
    <w:p>
      <w:pPr>
        <w:spacing w:after="120" w:line="276"/>
        <w:jc w:val="both"/>
      </w:pPr>
      <w:r>
        <w:rPr>
          <w:rFonts w:ascii="Barlow Semi Condensed" w:cs="Barlow Semi Condensed" w:eastAsia="Barlow Semi Condensed" w:hAnsi="Barlow Semi Condensed"/>
          <w:sz w:val="24"/>
          <w:szCs w:val="24"/>
        </w:rPr>
        <w:t xml:space="preserve">Ne discende un corollario ai tre criteri dell'undicesima ricognizione: chi indirizza una ricerca deve distinguere fra ciò che chiede di verificare e ciò che asserisce, perché la richiesta stessa può funzionare come fonte apparente.</w:t>
      </w:r>
    </w:p>
    <w:p>
      <w:pPr>
        <w:spacing w:after="120" w:line="276"/>
        <w:jc w:val="both"/>
      </w:pPr>
      <w:r>
        <w:rPr>
          <w:rFonts w:ascii="Barlow Semi Condensed" w:cs="Barlow Semi Condensed" w:eastAsia="Barlow Semi Condensed" w:hAnsi="Barlow Semi Condensed"/>
          <w:sz w:val="24"/>
          <w:szCs w:val="24"/>
        </w:rPr>
        <w:t xml:space="preserve">Secondo errore — la componente cinese attribuita allo Sri Lanka. Nell'indirizzare la ricerca ho accostato allo Sri Lanka una componente cattolica cinese.</w:t>
      </w:r>
    </w:p>
    <w:p>
      <w:pPr>
        <w:spacing w:after="120" w:line="276"/>
        <w:jc w:val="both"/>
      </w:pPr>
      <w:r>
        <w:rPr>
          <w:rFonts w:ascii="Barlow Semi Condensed" w:cs="Barlow Semi Condensed" w:eastAsia="Barlow Semi Condensed" w:hAnsi="Barlow Semi Condensed"/>
          <w:sz w:val="24"/>
          <w:szCs w:val="24"/>
        </w:rPr>
        <w:t xml:space="preserve">È errore di attribuzione. La comunità cinese dello Sri Lanka è minuscola, circa tremilacinquecento persone, quasi tutte buddhiste, e non rileva ai fini cattolici. La componente cinese pertinente è quella indonesiana, ove i cattolici sono concentrati a Flores e fra i cinesi indonesiani.</w:t>
      </w:r>
    </w:p>
    <w:p>
      <w:pPr>
        <w:spacing w:after="120" w:line="276"/>
        <w:jc w:val="both"/>
      </w:pPr>
      <w:r>
        <w:rPr>
          <w:rFonts w:ascii="Barlow Semi Condensed" w:cs="Barlow Semi Condensed" w:eastAsia="Barlow Semi Condensed" w:hAnsi="Barlow Semi Condensed"/>
          <w:sz w:val="24"/>
          <w:szCs w:val="24"/>
        </w:rPr>
        <w:t xml:space="preserve">La comunità cattolica srilankese di riferimento è invece costiera, di origine coloniale portoghese e olandese, sinhalese e tamil, concentrata nelle province occidentale, nord-occidentale e settentrionale.</w:t>
      </w:r>
    </w:p>
    <w:p>
      <w:pPr>
        <w:pStyle w:val="Heading2"/>
        <w:spacing w:after="100" w:before="200"/>
      </w:pPr>
      <w:r>
        <w:rPr>
          <w:rFonts w:ascii="Barlow Semi Condensed" w:cs="Barlow Semi Condensed" w:eastAsia="Barlow Semi Condensed" w:hAnsi="Barlow Semi Condensed"/>
          <w:sz w:val="24"/>
          <w:szCs w:val="24"/>
        </w:rPr>
        <w:t xml:space="preserve">Registro entrambi gli errori perché essi non hanno inquinato l'esito — la ricerca li ha corretti — ma avrebbero potuto, e perché il corpus deve contenere anche ciò che l'autore ha sbagliato.</w:t>
      </w:r>
    </w:p>
    <w:p>
      <w:pPr>
        <w:spacing w:after="120" w:line="276"/>
        <w:jc w:val="both"/>
      </w:pPr>
      <w:r>
        <w:rPr>
          <w:rFonts w:ascii="Barlow Semi Condensed" w:cs="Barlow Semi Condensed" w:eastAsia="Barlow Semi Condensed" w:hAnsi="Barlow Semi Condensed"/>
          <w:sz w:val="24"/>
          <w:szCs w:val="24"/>
        </w:rPr>
        <w:t xml:space="preserve">E perché, secondo me, una serie che ha censito per undici volte gli errori altrui e le allegazioni non sostenute perderebbe titolo a farlo se tacesse i propri.</w:t>
      </w:r>
    </w:p>
    <w:p>
      <w:pPr>
        <w:pStyle w:val="Heading2"/>
        <w:spacing w:after="100" w:before="200"/>
      </w:pPr>
      <w:r>
        <w:rPr>
          <w:rFonts w:ascii="Barlow Semi Condensed" w:cs="Barlow Semi Condensed" w:eastAsia="Barlow Semi Condensed" w:hAnsi="Barlow Semi Condensed"/>
          <w:sz w:val="24"/>
          <w:szCs w:val="24"/>
        </w:rPr>
        <w:t xml:space="preserve">Capitolo dodicesimo — Stato della proposizione, tavola, e ciò che due revisioni insegnano</w:t>
      </w:r>
    </w:p>
    <w:p>
      <w:pPr>
        <w:spacing w:after="120" w:line="276"/>
        <w:jc w:val="both"/>
      </w:pPr>
      <w:r>
        <w:rPr>
          <w:rFonts w:ascii="Barlow Semi Condensed" w:cs="Barlow Semi Condensed" w:eastAsia="Barlow Semi Condensed" w:hAnsi="Barlow Semi Condensed"/>
          <w:sz w:val="24"/>
          <w:szCs w:val="24"/>
        </w:rPr>
        <w:t xml:space="preserve">Lo stato della proposizione, dichiarato formalmente.</w:t>
      </w:r>
    </w:p>
    <w:p>
      <w:pPr>
        <w:spacing w:after="120" w:line="276"/>
        <w:jc w:val="both"/>
      </w:pPr>
      <w:r>
        <w:rPr>
          <w:rFonts w:ascii="Barlow Semi Condensed" w:cs="Barlow Semi Condensed" w:eastAsia="Barlow Semi Condensed" w:hAnsi="Barlow Semi Condensed"/>
          <w:sz w:val="24"/>
          <w:szCs w:val="24"/>
        </w:rPr>
        <w:t xml:space="preserve">Non confermata; non semplicemente confutata; da revisionare una seconda volta. La condizione di falsificazione dichiarata dalla decima ricognizione è soddisfatta dal caso keniano, e la revisione consiste nell'articolazione in tre modalità anziché due, esposta al Capitolo ottavo, con il diagnostico riferito alla fase matura anziché a quella d'ingresso.</w:t>
      </w:r>
    </w:p>
    <w:p>
      <w:pPr>
        <w:spacing w:after="120" w:line="276"/>
        <w:jc w:val="both"/>
      </w:pPr>
      <w:r>
        <w:rPr>
          <w:rFonts w:ascii="Barlow Semi Condensed" w:cs="Barlow Semi Condensed" w:eastAsia="Barlow Semi Condensed" w:hAnsi="Barlow Semi Condensed"/>
          <w:sz w:val="24"/>
          <w:szCs w:val="24"/>
        </w:rPr>
        <w:t xml:space="preserve">La tavola delle acquisizioni non conseguite, per rendimento atteso.</w:t>
      </w:r>
    </w:p>
    <w:p>
      <w:pPr>
        <w:spacing w:after="120" w:line="276"/>
        <w:jc w:val="both"/>
      </w:pPr>
      <w:r>
        <w:rPr>
          <w:rFonts w:ascii="Barlow Semi Condensed" w:cs="Barlow Semi Condensed" w:eastAsia="Barlow Semi Condensed" w:hAnsi="Barlow Semi Condensed"/>
          <w:sz w:val="24"/>
          <w:szCs w:val="24"/>
        </w:rPr>
        <w:t xml:space="preserve">Prima voce, di rendimento massimo. L'esistenza o meno di casi di ritiro dell'ente da un Paese di ingresso. Sedi: Archivio Generale della Prelatura; confronto diacronico degli annuari interni, raffrontando gli elenchi di circoscrizioni e centri di anni successivi. Condizione di chiusura: il reperimento di almeno una circoscrizione presente in un anno e assente in uno successivo. Sono probanti quanto gli insediamenti riusciti, e nessuno li ha cercati.</w:t>
      </w:r>
    </w:p>
    <w:p>
      <w:pPr>
        <w:spacing w:after="120" w:line="276"/>
        <w:jc w:val="both"/>
      </w:pPr>
      <w:r>
        <w:rPr>
          <w:rFonts w:ascii="Barlow Semi Condensed" w:cs="Barlow Semi Condensed" w:eastAsia="Barlow Semi Condensed" w:hAnsi="Barlow Semi Condensed"/>
          <w:sz w:val="24"/>
          <w:szCs w:val="24"/>
        </w:rPr>
        <w:t xml:space="preserve">Seconda voce. Casi di terza modalità fallita: istituzioni educative fondate senza emersione di numerariato autoctono. Nessuna sede specifica; richiede il raffronto sistematico fra elenco delle opere corporative ed elenco dei membri per Paese.</w:t>
      </w:r>
    </w:p>
    <w:p>
      <w:pPr>
        <w:spacing w:after="120" w:line="276"/>
        <w:jc w:val="both"/>
      </w:pPr>
      <w:r>
        <w:rPr>
          <w:rFonts w:ascii="Barlow Semi Condensed" w:cs="Barlow Semi Condensed" w:eastAsia="Barlow Semi Condensed" w:hAnsi="Barlow Semi Condensed"/>
          <w:sz w:val="24"/>
          <w:szCs w:val="24"/>
        </w:rPr>
        <w:t xml:space="preserve">Terza voce. Nazionalità e professione dei membri fondatori arrivati a Nuova Delhi nel 1993. Sede: ufficio informazioni per l'India e Archivio Generale.</w:t>
      </w:r>
    </w:p>
    <w:p>
      <w:pPr>
        <w:spacing w:after="120" w:line="276"/>
        <w:jc w:val="both"/>
      </w:pPr>
      <w:r>
        <w:rPr>
          <w:rFonts w:ascii="Barlow Semi Condensed" w:cs="Barlow Semi Condensed" w:eastAsia="Barlow Semi Condensed" w:hAnsi="Barlow Semi Condensed"/>
          <w:sz w:val="24"/>
          <w:szCs w:val="24"/>
        </w:rPr>
        <w:t xml:space="preserve">Quarta voce. Le modalità concrete e la provenienza dei membri per lo Sri Lanka, e la conferma della data 2011. Sede: arcidiocesi di Colombo e ufficio per l'Asia meridionale.</w:t>
      </w:r>
    </w:p>
    <w:p>
      <w:pPr>
        <w:spacing w:after="120" w:line="276"/>
        <w:jc w:val="both"/>
      </w:pPr>
      <w:r>
        <w:rPr>
          <w:rFonts w:ascii="Barlow Semi Condensed" w:cs="Barlow Semi Condensed" w:eastAsia="Barlow Semi Condensed" w:hAnsi="Barlow Semi Condensed"/>
          <w:sz w:val="24"/>
          <w:szCs w:val="24"/>
        </w:rPr>
        <w:t xml:space="preserve">Quinta voce. La provenienza quantificata dei numerari per Nigeria e Indonesia.</w:t>
      </w:r>
    </w:p>
    <w:p>
      <w:pPr>
        <w:spacing w:after="120" w:line="276"/>
        <w:jc w:val="both"/>
      </w:pPr>
      <w:r>
        <w:rPr>
          <w:rFonts w:ascii="Barlow Semi Condensed" w:cs="Barlow Semi Condensed" w:eastAsia="Barlow Semi Condensed" w:hAnsi="Barlow Semi Condensed"/>
          <w:sz w:val="24"/>
          <w:szCs w:val="24"/>
        </w:rPr>
        <w:t xml:space="preserve">Sesta voce. La verifica del nome Cyril Olguin, non riscontrato. Sede: archivio della Strathmore Educational Trust.</w:t>
      </w:r>
    </w:p>
    <w:p>
      <w:pPr>
        <w:spacing w:after="120" w:line="276"/>
        <w:jc w:val="both"/>
      </w:pPr>
      <w:r>
        <w:rPr>
          <w:rFonts w:ascii="Barlow Semi Condensed" w:cs="Barlow Semi Condensed" w:eastAsia="Barlow Semi Condensed" w:hAnsi="Barlow Semi Condensed"/>
          <w:sz w:val="24"/>
          <w:szCs w:val="24"/>
        </w:rPr>
        <w:t xml:space="preserve">Settima voce. Conferma su fonte ufficiale aggiornata delle date 1997, 2008 e 2011, assenti dalla versione dell'elenco recuperata, che si arresta prima. Il numero complessivo dei Paesi oscilla fra sessanta, sessantasei e sessantotto secondo le versioni, e la divergenza riflette l'aggiornamento progressivo più che una contraddizione.</w:t>
      </w:r>
    </w:p>
    <w:p>
      <w:pPr>
        <w:spacing w:after="120" w:line="276"/>
        <w:jc w:val="both"/>
      </w:pPr>
      <w:r>
        <w:rPr>
          <w:rFonts w:ascii="Barlow Semi Condensed" w:cs="Barlow Semi Condensed" w:eastAsia="Barlow Semi Condensed" w:hAnsi="Barlow Semi Condensed"/>
          <w:sz w:val="24"/>
          <w:szCs w:val="24"/>
        </w:rPr>
        <w:t xml:space="preserve">Ottava voce. L'esistenza di una storiografia scientifica indipendente sull'espansione extraeuropea.</w:t>
      </w:r>
    </w:p>
    <w:p>
      <w:pPr>
        <w:spacing w:after="120" w:line="276"/>
        <w:jc w:val="both"/>
      </w:pPr>
      <w:r>
        <w:rPr>
          <w:rFonts w:ascii="Barlow Semi Condensed" w:cs="Barlow Semi Condensed" w:eastAsia="Barlow Semi Condensed" w:hAnsi="Barlow Semi Condensed"/>
          <w:sz w:val="24"/>
          <w:szCs w:val="24"/>
        </w:rPr>
        <w:t xml:space="preserve">E adesso ciò che due revisioni insegnano, che è il lascito di questo documento.</w:t>
      </w:r>
    </w:p>
    <w:p>
      <w:pPr>
        <w:spacing w:after="120" w:line="276"/>
        <w:jc w:val="both"/>
      </w:pPr>
      <w:r>
        <w:rPr>
          <w:rFonts w:ascii="Barlow Semi Condensed" w:cs="Barlow Semi Condensed" w:eastAsia="Barlow Semi Condensed" w:hAnsi="Barlow Semi Condensed"/>
          <w:sz w:val="24"/>
          <w:szCs w:val="24"/>
        </w:rPr>
        <w:t xml:space="preserve">La medesima proposizione è caduta due volte in due passaggi.\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prima volta perdette una condizione — la maggioranza cattolica — e ne uscì più semplice.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seconda volta ha guadagnato una modalità, e ne esce più articolata.</w:t>
      </w:r>
    </w:p>
    <w:p>
      <w:pPr>
        <w:spacing w:after="120" w:line="276"/>
        <w:jc w:val="both"/>
      </w:pPr>
      <w:r>
        <w:rPr>
          <w:rFonts w:ascii="Barlow Semi Condensed" w:cs="Barlow Semi Condensed" w:eastAsia="Barlow Semi Condensed" w:hAnsi="Barlow Semi Condensed"/>
          <w:sz w:val="24"/>
          <w:szCs w:val="24"/>
        </w:rPr>
        <w:t xml:space="preserve">Le due revisioni hanno direzione opposta, e ciò va notato. Un modello che si semplifica e poi si complica non sta oscillando: sta trovando la propria forma per approssimazioni successive, e ciascuna approssimazione è stata prodotta da un caso che il modello precedente non contemplava.</w:t>
      </w:r>
    </w:p>
    <w:p>
      <w:pPr>
        <w:spacing w:after="120" w:line="276"/>
        <w:jc w:val="both"/>
      </w:pPr>
      <w:r>
        <w:rPr>
          <w:rFonts w:ascii="Barlow Semi Condensed" w:cs="Barlow Semi Condensed" w:eastAsia="Barlow Semi Condensed" w:hAnsi="Barlow Semi Condensed"/>
          <w:sz w:val="24"/>
          <w:szCs w:val="24"/>
        </w:rPr>
        <w:t xml:space="preserve">Ed entrambe le volte il caso confutante era nell'elenco che il modello stesso aveva scritto. La Gran Bretagna e la Germania erano nell'elenco dei Paesi europei; il Kenya era nell'elenco dei sette casi extraeuropei che l'ottava ricognizione aveva nominato come potenzialmente confutanti e mai esaminati.</w:t>
      </w:r>
    </w:p>
    <w:p>
      <w:pPr>
        <w:spacing w:after="120" w:line="276"/>
        <w:jc w:val="both"/>
      </w:pPr>
      <w:r>
        <w:rPr>
          <w:rFonts w:ascii="Barlow Semi Condensed" w:cs="Barlow Semi Condensed" w:eastAsia="Barlow Semi Condensed" w:hAnsi="Barlow Semi Condensed"/>
          <w:sz w:val="24"/>
          <w:szCs w:val="24"/>
        </w:rPr>
        <w:t xml:space="preserve">Ne discende la conferma più forte della quarta proposizione della serie, e in forma più precisa di come essa fu enunciata. Non basta che una proposizione dichiari la propria condizione di falsificazione: occorre che elenchi per nome i casi che potrebbero soddisfarla, perché è da quell'elenco che la confutazione viene.</w:t>
      </w:r>
    </w:p>
    <w:p>
      <w:pPr>
        <w:spacing w:after="120" w:line="276"/>
        <w:jc w:val="both"/>
      </w:pPr>
      <w:r>
        <w:rPr>
          <w:rFonts w:ascii="Barlow Semi Condensed" w:cs="Barlow Semi Condensed" w:eastAsia="Barlow Semi Condensed" w:hAnsi="Barlow Semi Condensed"/>
          <w:sz w:val="24"/>
          <w:szCs w:val="24"/>
        </w:rPr>
        <w:t xml:space="preserve">Il modello a due condizioni è caduto perché la ottava ricognizione aveva scritto sette nomi. Il modello a due modalità è caduto perché la decima li aveva riscritti.</w:t>
      </w:r>
    </w:p>
    <w:p>
      <w:pPr>
        <w:spacing w:after="120" w:line="276"/>
        <w:jc w:val="both"/>
      </w:pPr>
      <w:r>
        <w:rPr>
          <w:rFonts w:ascii="Barlow Semi Condensed" w:cs="Barlow Semi Condensed" w:eastAsia="Barlow Semi Condensed" w:hAnsi="Barlow Semi Condensed"/>
          <w:sz w:val="24"/>
          <w:szCs w:val="24"/>
        </w:rPr>
        <w:t xml:space="preserve">Se li avessi taciuti, il modello sarebbe ancora in piedi in entrambe le forme superate — e sarebbe falso in entrambe.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XIII · I Sette Casi Extraeuropei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XIII: 5.380 parole in 9 sezioni; la più ampia è §9 Altre sezioni, con 4.559.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XIII: 145 paragrafi in 9 sezioni, 16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XIV — Aginter Press E Lo Stato Italiano</w:t>
      </w:r>
    </w:p>
    <w:p>
      <w:pPr>
        <w:pStyle w:val="Heading1"/>
        <w:spacing w:after="120" w:before="240"/>
      </w:pPr>
      <w:r>
        <w:rPr>
          <w:rFonts w:ascii="Barlow Semi Condensed" w:cs="Barlow Semi Condensed" w:eastAsia="Barlow Semi Condensed" w:hAnsi="Barlow Semi Condensed"/>
          <w:sz w:val="24"/>
          <w:szCs w:val="24"/>
        </w:rPr>
        <w:t xml:space="preserve">AGINTER PRESS E LO STATO ITALIANO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Tredicesima ricognizione: i due silenzi</w:t>
      </w:r>
    </w:p>
    <w:p>
      <w:pPr>
        <w:pStyle w:val="Heading2"/>
        <w:spacing w:after="100" w:before="200"/>
      </w:pPr>
      <w:r>
        <w:rPr>
          <w:rFonts w:ascii="Barlow Semi Condensed" w:cs="Barlow Semi Condensed" w:eastAsia="Barlow Semi Condensed" w:hAnsi="Barlow Semi Condensed"/>
          <w:sz w:val="24"/>
          <w:szCs w:val="24"/>
        </w:rPr>
        <w:t xml:space="preserve">Il canale diplomatico e il canale informativo. L'ottavo grado</w:t>
      </w:r>
    </w:p>
    <w:p>
      <w:pPr>
        <w:pStyle w:val="Heading2"/>
        <w:spacing w:after="100" w:before="200"/>
      </w:pPr>
      <w:r>
        <w:rPr>
          <w:rFonts w:ascii="Barlow Semi Condensed" w:cs="Barlow Semi Condensed" w:eastAsia="Barlow Semi Condensed" w:hAnsi="Barlow Semi Condensed"/>
          <w:sz w:val="24"/>
          <w:szCs w:val="24"/>
        </w:rPr>
        <w:t xml:space="preserve">Dodici Capitoli — cinque acquisizioni — una correzione alla quinta proposizione</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Due silenzi di natura diversa</w:t>
      </w:r>
    </w:p>
    <w:p>
      <w:pPr>
        <w:spacing w:after="120" w:line="276"/>
        <w:jc w:val="both"/>
      </w:pPr>
      <w:r>
        <w:rPr>
          <w:rFonts w:ascii="Barlow Semi Condensed" w:cs="Barlow Semi Condensed" w:eastAsia="Barlow Semi Condensed" w:hAnsi="Barlow Semi Condensed"/>
          <w:sz w:val="24"/>
          <w:szCs w:val="24"/>
        </w:rPr>
        <w:t xml:space="preserve">Questa ricognizione ha posto una domanda che dodici anteriori non avevano posto: se lo Stato italiano abbia avuto cognizione di Aginter Press attraverso il proprio apparato diplomatico, e non soltanto attraverso quello informativo.</w:t>
      </w:r>
    </w:p>
    <w:p>
      <w:pPr>
        <w:spacing w:after="120" w:line="276"/>
        <w:jc w:val="both"/>
      </w:pPr>
      <w:r>
        <w:rPr>
          <w:rFonts w:ascii="Barlow Semi Condensed" w:cs="Barlow Semi Condensed" w:eastAsia="Barlow Semi Condensed" w:hAnsi="Barlow Semi Condensed"/>
          <w:sz w:val="24"/>
          <w:szCs w:val="24"/>
        </w:rPr>
        <w:t xml:space="preserve">La ragione della domanda. Aginter Press operò a Lisbona dal settembre 1966 all'aprile 1974. Nello stesso periodo la Repubblica Italiana manteneva a Lisbona un'ambasciata funzionante e una rete consolare, e intratteneva con il Portogallo dell'Estado Novo relazioni ordinarie di alleanza atlantica. Aldo Moro fu ministro degli Esteri per cinque di quegli otto anni. Se un apparato dello Stato giunse a nominare Guérin-Sérac quattro giorni dopo Piazza Fontana, è lecito chiedersi se il canale diplomatico — fisicamente presente sul territorio dove Aginter operava — abbia mai prodotto un dispaccio in cui quel nome comparisse.</w:t>
      </w:r>
    </w:p>
    <w:p>
      <w:pPr>
        <w:spacing w:after="120" w:line="276"/>
        <w:jc w:val="both"/>
      </w:pPr>
      <w:r>
        <w:rPr>
          <w:rFonts w:ascii="Barlow Semi Condensed" w:cs="Barlow Semi Condensed" w:eastAsia="Barlow Semi Condensed" w:hAnsi="Barlow Semi Condensed"/>
          <w:sz w:val="24"/>
          <w:szCs w:val="24"/>
        </w:rPr>
        <w:t xml:space="preserve">La previsione che avevo dichiarato: Stato Zero sul versante diplomatico, esito positivo sul versante informativo, e lo scarto fra i due come risultato.</w:t>
      </w:r>
    </w:p>
    <w:p>
      <w:pPr>
        <w:spacing w:after="120" w:line="276"/>
        <w:jc w:val="both"/>
      </w:pPr>
      <w:r>
        <w:rPr>
          <w:rFonts w:ascii="Barlow Semi Condensed" w:cs="Barlow Semi Condensed" w:eastAsia="Barlow Semi Condensed" w:hAnsi="Barlow Semi Condensed"/>
          <w:sz w:val="24"/>
          <w:szCs w:val="24"/>
        </w:rPr>
        <w:t xml:space="preserve">La previsione si verifica. Ma l'esito è più articolato di come l'avevo formulata, e la differenza è la sostanza di questo documento.</w:t>
      </w:r>
    </w:p>
    <w:p>
      <w:pPr>
        <w:spacing w:after="120" w:line="276"/>
        <w:jc w:val="both"/>
      </w:pPr>
      <w:r>
        <w:rPr>
          <w:rFonts w:ascii="Barlow Semi Condensed" w:cs="Barlow Semi Condensed" w:eastAsia="Barlow Semi Condensed" w:hAnsi="Barlow Semi Condensed"/>
          <w:sz w:val="24"/>
          <w:szCs w:val="24"/>
        </w:rPr>
        <w:t xml:space="preserve">Perché i silenzi accertati sono due, e sono di natura opposta.</w:t>
      </w:r>
    </w:p>
    <w:p>
      <w:pPr>
        <w:spacing w:after="120" w:line="276"/>
        <w:jc w:val="both"/>
      </w:pPr>
      <w:r>
        <w:rPr>
          <w:rFonts w:ascii="Barlow Semi Condensed" w:cs="Barlow Semi Condensed" w:eastAsia="Barlow Semi Condensed" w:hAnsi="Barlow Semi Condensed"/>
          <w:sz w:val="24"/>
          <w:szCs w:val="24"/>
        </w:rPr>
        <w:t xml:space="preserve">Il primo silenzio è quello diplomatico, ed è strutturale. Non risulta alcuna traccia di segnalazioni dell'ambasciata di Lisbona o della Farnesina relative ad Aginter Press. Ma il Capitolo quinto documenta che il servizio che redasse l'appunto dipendeva dal Ministero della Difesa e non da quello degli Esteri, e che l'appunto fu diretto agli organi di polizia. La ripartizione delle competenze rende non plausibile, in linea di principio, che esso transitasse per la Farnesina.</w:t>
      </w:r>
    </w:p>
    <w:p>
      <w:pPr>
        <w:spacing w:after="120" w:line="276"/>
        <w:jc w:val="both"/>
      </w:pPr>
      <w:r>
        <w:rPr>
          <w:rFonts w:ascii="Barlow Semi Condensed" w:cs="Barlow Semi Condensed" w:eastAsia="Barlow Semi Condensed" w:hAnsi="Barlow Semi Condensed"/>
          <w:sz w:val="24"/>
          <w:szCs w:val="24"/>
        </w:rPr>
        <w:t xml:space="preserve">Ne discende che il silenzio diplomatico non è un occultamento: è la conseguenza prevedibile del disegno istituzionale.</w:t>
      </w:r>
    </w:p>
    <w:p>
      <w:pPr>
        <w:spacing w:after="120" w:line="276"/>
        <w:jc w:val="both"/>
      </w:pPr>
      <w:r>
        <w:rPr>
          <w:rFonts w:ascii="Barlow Semi Condensed" w:cs="Barlow Semi Condensed" w:eastAsia="Barlow Semi Condensed" w:hAnsi="Barlow Semi Condensed"/>
          <w:sz w:val="24"/>
          <w:szCs w:val="24"/>
        </w:rPr>
        <w:t xml:space="preserve">Il secondo silenzio non è strutturale, ed è quello che conta.</w:t>
      </w:r>
    </w:p>
    <w:p>
      <w:pPr>
        <w:spacing w:after="120" w:line="276"/>
        <w:jc w:val="both"/>
      </w:pPr>
      <w:r>
        <w:rPr>
          <w:rFonts w:ascii="Barlow Semi Condensed" w:cs="Barlow Semi Condensed" w:eastAsia="Barlow Semi Condensed" w:hAnsi="Barlow Semi Condensed"/>
          <w:sz w:val="24"/>
          <w:szCs w:val="24"/>
        </w:rPr>
        <w:t xml:space="preserve">Il servizio informativo sapeva, e disse il contrario.\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Disponeva di un fascicolo nominativo che qualificava Guérin-Sérac come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capo di un'organizzazione anticomunista\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trasmise all'esterno una versione che lo dipingeva come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anarchico.</w:t>
      </w:r>
    </w:p>
    <w:p>
      <w:pPr>
        <w:spacing w:after="120" w:line="276"/>
        <w:jc w:val="both"/>
      </w:pPr>
      <w:r>
        <w:rPr>
          <w:rFonts w:ascii="Barlow Semi Condensed" w:cs="Barlow Semi Condensed" w:eastAsia="Barlow Semi Condensed" w:hAnsi="Barlow Semi Condensed"/>
          <w:sz w:val="24"/>
          <w:szCs w:val="24"/>
        </w:rPr>
        <w:t xml:space="preserve">Questa non è compartimentazione. È sostituzione di una qualificazione vera con una falsa.</w:t>
      </w:r>
    </w:p>
    <w:p>
      <w:pPr>
        <w:spacing w:after="120" w:line="276"/>
        <w:jc w:val="both"/>
      </w:pPr>
      <w:r>
        <w:rPr>
          <w:rFonts w:ascii="Barlow Semi Condensed" w:cs="Barlow Semi Condensed" w:eastAsia="Barlow Semi Condensed" w:hAnsi="Barlow Semi Condensed"/>
          <w:sz w:val="24"/>
          <w:szCs w:val="24"/>
        </w:rPr>
        <w:t xml:space="preserve">Ne discende un'acquisizione per il sistema di gradazione degli Stati Zero già consolidato nel corpus, che ne conta sette e non contempla questo. Occorre un ottavo grado, che non è assenza di informazione ma presenza di informazione falsa dove quella vera era detenuta. Lo denomino al Capitolo undicesimo.</w:t>
      </w:r>
    </w:p>
    <w:p>
      <w:pPr>
        <w:spacing w:after="120" w:line="276"/>
        <w:jc w:val="both"/>
      </w:pPr>
      <w:r>
        <w:rPr>
          <w:rFonts w:ascii="Barlow Semi Condensed" w:cs="Barlow Semi Condensed" w:eastAsia="Barlow Semi Condensed" w:hAnsi="Barlow Semi Condensed"/>
          <w:sz w:val="24"/>
          <w:szCs w:val="24"/>
        </w:rPr>
        <w:t xml:space="preserve">Una avvertenza sul primo silenzio, dovuta perché lo qualifica. Esso è, allo stato, Stato Zero conoscitivo e non accertamento positivo di inesistenza, e discende da tre circostanze che il Capitolo decimo documenta: i Documenti Diplomatici Italiani non hanno raggiunto il periodo, l'Archivio Storico Diplomatico ha regime di accesso condizionato, la storiografia bilaterale non ha mai incrociato il tema.</w:t>
      </w:r>
    </w:p>
    <w:p>
      <w:pPr>
        <w:pStyle w:val="Heading2"/>
        <w:spacing w:after="100" w:before="200"/>
      </w:pPr>
      <w:r>
        <w:rPr>
          <w:rFonts w:ascii="Barlow Semi Condensed" w:cs="Barlow Semi Condensed" w:eastAsia="Barlow Semi Condensed" w:hAnsi="Barlow Semi Condensed"/>
          <w:sz w:val="24"/>
          <w:szCs w:val="24"/>
        </w:rPr>
        <w:t xml:space="preserve">Capitolo secondo — Gli ambasciatori a Lisbona: il dato preliminare</w:t>
      </w:r>
    </w:p>
    <w:p>
      <w:pPr>
        <w:spacing w:after="120" w:line="276"/>
        <w:jc w:val="both"/>
      </w:pPr>
      <w:r>
        <w:rPr>
          <w:rFonts w:ascii="Barlow Semi Condensed" w:cs="Barlow Semi Condensed" w:eastAsia="Barlow Semi Condensed" w:hAnsi="Barlow Semi Condensed"/>
          <w:sz w:val="24"/>
          <w:szCs w:val="24"/>
        </w:rPr>
        <w:t xml:space="preserve">Il capitolo fissa un dato necessario a chiunque voglia condurre la verifica archivistica, e che nessuna ricognizione anteriore aveva stabilito.</w:t>
      </w:r>
    </w:p>
    <w:p>
      <w:pPr>
        <w:spacing w:after="120" w:line="276"/>
        <w:jc w:val="both"/>
      </w:pPr>
      <w:r>
        <w:rPr>
          <w:rFonts w:ascii="Barlow Semi Condensed" w:cs="Barlow Semi Condensed" w:eastAsia="Barlow Semi Condensed" w:hAnsi="Barlow Semi Condensed"/>
          <w:sz w:val="24"/>
          <w:szCs w:val="24"/>
        </w:rPr>
        <w:t xml:space="preserve">Chi resse la sede di Lisbona negli anni di Aginter Press. Secondo l'elenco ufficiale dei capi missione pubblicato dall'Ambasciata d'Italia nella propria sezione storica — fonte amministrativa e non storiografica — la successione fu la seguente.</w:t>
      </w:r>
    </w:p>
    <w:p>
      <w:pPr>
        <w:spacing w:after="120" w:line="276"/>
        <w:jc w:val="both"/>
      </w:pPr>
      <w:r>
        <w:rPr>
          <w:rFonts w:ascii="Barlow Semi Condensed" w:cs="Barlow Semi Condensed" w:eastAsia="Barlow Semi Condensed" w:hAnsi="Barlow Semi Condensed"/>
          <w:sz w:val="24"/>
          <w:szCs w:val="24"/>
        </w:rPr>
        <w:t xml:space="preserve">Giuseppe Cerulli Irelli, ambasciatore con lettere credenziali del 2 novembre 1964, resse la sede fino al 1971. Fu dunque il titolare all'atto della fondazione di Aginter Press nel settembre 1966 e per i primi cinque anni della sua attività.</w:t>
      </w:r>
    </w:p>
    <w:p>
      <w:pPr>
        <w:spacing w:after="120" w:line="276"/>
        <w:jc w:val="both"/>
      </w:pPr>
      <w:r>
        <w:rPr>
          <w:rFonts w:ascii="Barlow Semi Condensed" w:cs="Barlow Semi Condensed" w:eastAsia="Barlow Semi Condensed" w:hAnsi="Barlow Semi Condensed"/>
          <w:sz w:val="24"/>
          <w:szCs w:val="24"/>
        </w:rPr>
        <w:t xml:space="preserve">Girolamo Messeri, ambasciatore dal 26 marzo 1971. Fu il titolare negli anni cruciali: quelli che comprendono la fine del primo mandato di Moro, l'intero secondo, e la Rivoluzione dei Garofani dell'aprile 1974 che pose fine ad Aginter Press.</w:t>
      </w:r>
    </w:p>
    <w:p>
      <w:pPr>
        <w:spacing w:after="120" w:line="276"/>
        <w:jc w:val="both"/>
      </w:pPr>
      <w:r>
        <w:rPr>
          <w:rFonts w:ascii="Barlow Semi Condensed" w:cs="Barlow Semi Condensed" w:eastAsia="Barlow Semi Condensed" w:hAnsi="Barlow Semi Condensed"/>
          <w:sz w:val="24"/>
          <w:szCs w:val="24"/>
        </w:rPr>
        <w:t xml:space="preserve">Pier Luigi Alverà, ambasciatore dal 10 luglio 1975, coprì il periodo immediatamente successivo alla caduta dell'Estado Novo e il primo governo Moro.</w:t>
      </w:r>
    </w:p>
    <w:p>
      <w:pPr>
        <w:spacing w:after="120" w:line="276"/>
        <w:jc w:val="both"/>
      </w:pPr>
      <w:r>
        <w:rPr>
          <w:rFonts w:ascii="Barlow Semi Condensed" w:cs="Barlow Semi Condensed" w:eastAsia="Barlow Semi Condensed" w:hAnsi="Barlow Semi Condensed"/>
          <w:sz w:val="24"/>
          <w:szCs w:val="24"/>
        </w:rPr>
        <w:t xml:space="preserve">Il rilievo operativo va enunciato. Chi voglia condurre la verifica presso l'Archivio Storico Diplomatico deve cercare nei registri e nella corrispondenza di Cerulli Irelli e di Messeri, che sono i due capi missione competenti per l'intero arco di attività dell'agenzia. Senza questo dato la ricerca archivistica non ha punto d'attacco.</w:t>
      </w:r>
    </w:p>
    <w:p>
      <w:pPr>
        <w:spacing w:after="120" w:line="276"/>
        <w:jc w:val="both"/>
      </w:pPr>
      <w:r>
        <w:rPr>
          <w:rFonts w:ascii="Barlow Semi Condensed" w:cs="Barlow Semi Condensed" w:eastAsia="Barlow Semi Condensed" w:hAnsi="Barlow Semi Condensed"/>
          <w:sz w:val="24"/>
          <w:szCs w:val="24"/>
        </w:rPr>
        <w:t xml:space="preserve">E adesso l'esito, che va formulato con precisione. Nessuna delle fonti reperite attribuisce a Cerulli Irelli o a Messeri una qualsiasi cognizione, segnalazione o interessamento relativi ad Aginter Press, a Guérin-Sérac o alle sigle collegate.</w:t>
      </w:r>
    </w:p>
    <w:p>
      <w:pPr>
        <w:spacing w:after="120" w:line="276"/>
        <w:jc w:val="both"/>
      </w:pPr>
      <w:r>
        <w:rPr>
          <w:rFonts w:ascii="Barlow Semi Condensed" w:cs="Barlow Semi Condensed" w:eastAsia="Barlow Semi Condensed" w:hAnsi="Barlow Semi Condensed"/>
          <w:sz w:val="24"/>
          <w:szCs w:val="24"/>
        </w:rPr>
        <w:t xml:space="preserve">Questo silenzio non equivale a prova di ignoranza.\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Equivale all'assenza, allo stato della documentazione consultabile,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di qualsiasi traccia in un senso o nell'altro.</w:t>
      </w:r>
    </w:p>
    <w:p>
      <w:pPr>
        <w:spacing w:after="120" w:line="276"/>
        <w:jc w:val="both"/>
      </w:pPr>
      <w:r>
        <w:rPr>
          <w:rFonts w:ascii="Barlow Semi Condensed" w:cs="Barlow Semi Condensed" w:eastAsia="Barlow Semi Condensed" w:hAnsi="Barlow Semi Condensed"/>
          <w:sz w:val="24"/>
          <w:szCs w:val="24"/>
        </w:rPr>
        <w:t xml:space="preserve">La distinzione va tenuta ferma perché è la prima proposizione della serie applicata a se stessa: l'assenza di traccia non è l'assenza dell'atto.\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Non si sa se i due ambasciatori sapessero;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si sa che non risulta che abbiano scritto.</w:t>
      </w:r>
    </w:p>
    <w:p>
      <w:pPr>
        <w:spacing w:after="120" w:line="276"/>
        <w:jc w:val="both"/>
      </w:pPr>
      <w:r>
        <w:rPr>
          <w:rFonts w:ascii="Barlow Semi Condensed" w:cs="Barlow Semi Condensed" w:eastAsia="Barlow Semi Condensed" w:hAnsi="Barlow Semi Condensed"/>
          <w:sz w:val="24"/>
          <w:szCs w:val="24"/>
        </w:rPr>
        <w:t xml:space="preserve">Un elemento va aggiunto perché restringe ulteriormente la portata dell'esito. Il volume di Gaetano Cortese sull'Ambasciata d'Italia a Lisbona, del 2020, ricostruisce minuziosamente le relazioni bilaterali dal 1860; non menziona Aginter Press, Guérin-Sérac, Ordre et Tradition né l'OACI, e tratta il periodo 1966-1974 in modo protocollare.</w:t>
      </w:r>
    </w:p>
    <w:p>
      <w:pPr>
        <w:spacing w:after="120" w:line="276"/>
        <w:jc w:val="both"/>
      </w:pPr>
      <w:r>
        <w:rPr>
          <w:rFonts w:ascii="Barlow Semi Condensed" w:cs="Barlow Semi Condensed" w:eastAsia="Barlow Semi Condensed" w:hAnsi="Barlow Semi Condensed"/>
          <w:sz w:val="24"/>
          <w:szCs w:val="24"/>
        </w:rPr>
        <w:t xml:space="preserve">Un'opera dedicata a quella sede e a quel periodo tace il tema. Ciò non prova nulla sull'archivio; prova che la storiografia della sede non lo ha mai posto.</w:t>
      </w:r>
    </w:p>
    <w:p>
      <w:pPr>
        <w:pStyle w:val="Heading2"/>
        <w:spacing w:after="100" w:before="200"/>
      </w:pPr>
      <w:r>
        <w:rPr>
          <w:rFonts w:ascii="Barlow Semi Condensed" w:cs="Barlow Semi Condensed" w:eastAsia="Barlow Semi Condensed" w:hAnsi="Barlow Semi Condensed"/>
          <w:sz w:val="24"/>
          <w:szCs w:val="24"/>
        </w:rPr>
        <w:t xml:space="preserve">Capitolo terzo — L'appunto del SID: contenuto, errori, segnatura</w:t>
      </w:r>
    </w:p>
    <w:p>
      <w:pPr>
        <w:spacing w:after="120" w:line="276"/>
        <w:jc w:val="both"/>
      </w:pPr>
      <w:r>
        <w:rPr>
          <w:rFonts w:ascii="Barlow Semi Condensed" w:cs="Barlow Semi Condensed" w:eastAsia="Barlow Semi Condensed" w:hAnsi="Barlow Semi Condensed"/>
          <w:sz w:val="24"/>
          <w:szCs w:val="24"/>
        </w:rPr>
        <w:t xml:space="preserve">Il capitolo espone l'esito positivo sul versante informativo, con la precisione che la sua importanza richiede.</w:t>
      </w:r>
    </w:p>
    <w:p>
      <w:pPr>
        <w:spacing w:after="120" w:line="276"/>
        <w:jc w:val="both"/>
      </w:pPr>
      <w:r>
        <w:rPr>
          <w:rFonts w:ascii="Barlow Semi Condensed" w:cs="Barlow Semi Condensed" w:eastAsia="Barlow Semi Condensed" w:hAnsi="Barlow Semi Condensed"/>
          <w:sz w:val="24"/>
          <w:szCs w:val="24"/>
        </w:rPr>
        <w:t xml:space="preserve">La collocazione dell'appunto nella vicenda, per come l'istruttoria la formula. Il ruolo di Aginter Press rimarrebbe solo un pezzo della storia delle organizzazioni anticomuniste degli anni Sessanta e Settanta se il suo nome e quello di Guérin-Sérac non fossero entrati di prepotenza nelle indagini sugli attentati del 12 dicembre 1969 con l'appunto stilato dal SID il 16 dicembre 1969 — e cioè, precisa il testo, quando le indagini stavano imboccando la pista Valpreda.</w:t>
      </w:r>
    </w:p>
    <w:p>
      <w:pPr>
        <w:spacing w:after="120" w:line="276"/>
        <w:jc w:val="both"/>
      </w:pPr>
      <w:r>
        <w:rPr>
          <w:rFonts w:ascii="Barlow Semi Condensed" w:cs="Barlow Semi Condensed" w:eastAsia="Barlow Semi Condensed" w:hAnsi="Barlow Semi Condensed"/>
          <w:sz w:val="24"/>
          <w:szCs w:val="24"/>
        </w:rPr>
        <w:t xml:space="preserve">Quattro giorni dopo la strage.</w:t>
      </w:r>
    </w:p>
    <w:p>
      <w:pPr>
        <w:spacing w:after="120" w:line="276"/>
        <w:jc w:val="both"/>
      </w:pPr>
      <w:r>
        <w:rPr>
          <w:rFonts w:ascii="Barlow Semi Condensed" w:cs="Barlow Semi Condensed" w:eastAsia="Barlow Semi Condensed" w:hAnsi="Barlow Semi Condensed"/>
          <w:sz w:val="24"/>
          <w:szCs w:val="24"/>
        </w:rPr>
        <w:t xml:space="preserve">La natura e la sorte dell'appunto.\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Esso era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di fonte confidenziale\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ed è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pervenuto alla magistratura solo nel marzo 1973.</w:t>
      </w:r>
    </w:p>
    <w:p>
      <w:pPr>
        <w:spacing w:after="120" w:line="276"/>
        <w:jc w:val="both"/>
      </w:pPr>
      <w:r>
        <w:rPr>
          <w:rFonts w:ascii="Barlow Semi Condensed" w:cs="Barlow Semi Condensed" w:eastAsia="Barlow Semi Condensed" w:hAnsi="Barlow Semi Condensed"/>
          <w:sz w:val="24"/>
          <w:szCs w:val="24"/>
        </w:rPr>
        <w:t xml:space="preserve">Il ritardo va enunciato perché è esso stesso un fatto: oltre tre anni.</w:t>
      </w:r>
    </w:p>
    <w:p>
      <w:pPr>
        <w:spacing w:after="120" w:line="276"/>
        <w:jc w:val="both"/>
      </w:pPr>
      <w:r>
        <w:rPr>
          <w:rFonts w:ascii="Barlow Semi Condensed" w:cs="Barlow Semi Condensed" w:eastAsia="Barlow Semi Condensed" w:hAnsi="Barlow Semi Condensed"/>
          <w:sz w:val="24"/>
          <w:szCs w:val="24"/>
        </w:rPr>
        <w:t xml:space="preserve">Il contenuto, per come l'istruttoria lo riassume. La mente ispiratrice degli attentati sarebbe stato tale Guérin-Sérac. Gli attentati romani sarebbero stati organizzati da Stefano Delle Chiaie. L'esecutore materiale dei due attentati all'Altare della Patria sarebbe stato Mario Merlino, definito filo-cinese nell'appunto del 16 dicembre e, nella versione più ridotta datata 17 dicembre, anarchico.</w:t>
      </w:r>
    </w:p>
    <w:p>
      <w:pPr>
        <w:spacing w:after="120" w:line="276"/>
        <w:jc w:val="both"/>
      </w:pPr>
      <w:r>
        <w:rPr>
          <w:rFonts w:ascii="Barlow Semi Condensed" w:cs="Barlow Semi Condensed" w:eastAsia="Barlow Semi Condensed" w:hAnsi="Barlow Semi Condensed"/>
          <w:sz w:val="24"/>
          <w:szCs w:val="24"/>
        </w:rPr>
        <w:t xml:space="preserve">Guérin-Sérac vi è descritto come dirigente a Lisbona dell'Aginter Press e in stabile contatto con Delle Chiaie\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 questo è il punto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di ideologia anarchica.\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Suo aiutante sarebbe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 certo Robert Leroy.</w:t>
      </w:r>
    </w:p>
    <w:p>
      <w:pPr>
        <w:spacing w:after="120" w:line="276"/>
        <w:jc w:val="both"/>
      </w:pPr>
      <w:r>
        <w:rPr>
          <w:rFonts w:ascii="Barlow Semi Condensed" w:cs="Barlow Semi Condensed" w:eastAsia="Barlow Semi Condensed" w:hAnsi="Barlow Semi Condensed"/>
          <w:sz w:val="24"/>
          <w:szCs w:val="24"/>
        </w:rPr>
        <w:t xml:space="preserve">Due errori materiali vanno registrati perché qualificano la fonte. Il testo dell'appunto, per come la pubblicistica d'inchiesta lo riporta, indica Guérin-Sérac come cittadino tedesco — era francese — e storpia la denominazione dell'agenzia in Ager Interpress.</w:t>
      </w:r>
    </w:p>
    <w:p>
      <w:pPr>
        <w:spacing w:after="120" w:line="276"/>
        <w:jc w:val="both"/>
      </w:pPr>
      <w:r>
        <w:rPr>
          <w:rFonts w:ascii="Barlow Semi Condensed" w:cs="Barlow Semi Condensed" w:eastAsia="Barlow Semi Condensed" w:hAnsi="Barlow Semi Condensed"/>
          <w:sz w:val="24"/>
          <w:szCs w:val="24"/>
        </w:rPr>
        <w:t xml:space="preserve">Un appunto che sbaglia la nazionalità del proprio soggetto principale e il nome dell'organizzazione che gli attribuisce è documento di qualità informativa mediocre, e ciò va detto anche quando esso indichi la direzione giusta.</w:t>
      </w:r>
    </w:p>
    <w:p>
      <w:pPr>
        <w:spacing w:after="120" w:line="276"/>
        <w:jc w:val="both"/>
      </w:pPr>
      <w:r>
        <w:rPr>
          <w:rFonts w:ascii="Barlow Semi Condensed" w:cs="Barlow Semi Condensed" w:eastAsia="Barlow Semi Condensed" w:hAnsi="Barlow Semi Condensed"/>
          <w:sz w:val="24"/>
          <w:szCs w:val="24"/>
        </w:rPr>
        <w:t xml:space="preserve">E adesso la segnatura, che è la prova dell'esito positivo.\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L'istruttoria individua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testo originale nel fascicolo del SID intestato a Guérin-Sérac, volume quaranta, fascicolo cinque, fogli diciotto e seguenti.</w:t>
      </w:r>
    </w:p>
    <w:p>
      <w:pPr>
        <w:spacing w:after="120" w:line="276"/>
        <w:jc w:val="both"/>
      </w:pPr>
      <w:r>
        <w:rPr>
          <w:rFonts w:ascii="Barlow Semi Condensed" w:cs="Barlow Semi Condensed" w:eastAsia="Barlow Semi Condensed" w:hAnsi="Barlow Semi Condensed"/>
          <w:sz w:val="24"/>
          <w:szCs w:val="24"/>
        </w:rPr>
        <w:t xml:space="preserve">Esisteva presso il servizio un fascicolo nominativo intestato a Guérin-Sérac.\</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Questo, e non l'appunto in sé, è l'accertamento decisivo: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un'informazione isolata, ma una posizione aperta a nome.</w:t>
      </w:r>
    </w:p>
    <w:p>
      <w:pPr>
        <w:spacing w:after="120" w:line="276"/>
        <w:jc w:val="both"/>
      </w:pPr>
      <w:r>
        <w:rPr>
          <w:rFonts w:ascii="Barlow Semi Condensed" w:cs="Barlow Semi Condensed" w:eastAsia="Barlow Semi Condensed" w:hAnsi="Barlow Semi Condensed"/>
          <w:sz w:val="24"/>
          <w:szCs w:val="24"/>
        </w:rPr>
        <w:t xml:space="preserve">Il giudizio del giudice istruttore va riportato con la sua qualificazione. Egli osserva che la pista indicata fosse tutt'altro che azzardata, salvo, da parte degli estensori, abbandonare poi la stessa a dipingere Guérin-Sérac e Merlino come anarchici e filo-cinesi, forse in ossequio ad un accordo ad alto livello.</w:t>
      </w:r>
    </w:p>
    <w:p>
      <w:pPr>
        <w:spacing w:after="120" w:line="276"/>
        <w:jc w:val="both"/>
      </w:pPr>
      <w:r>
        <w:rPr>
          <w:rFonts w:ascii="Barlow Semi Condensed" w:cs="Barlow Semi Condensed" w:eastAsia="Barlow Semi Condensed" w:hAnsi="Barlow Semi Condensed"/>
          <w:sz w:val="24"/>
          <w:szCs w:val="24"/>
        </w:rPr>
        <w:t xml:space="preserve">L'inciso forse in ossequio segnala che si tratta di ipotesi ricostruttiva del giudice, non di fatto provato, e va conservato con la frase.</w:t>
      </w:r>
    </w:p>
    <w:p>
      <w:pPr>
        <w:pStyle w:val="Heading2"/>
        <w:spacing w:after="100" w:before="200"/>
      </w:pPr>
      <w:r>
        <w:rPr>
          <w:rFonts w:ascii="Barlow Semi Condensed" w:cs="Barlow Semi Condensed" w:eastAsia="Barlow Semi Condensed" w:hAnsi="Barlow Semi Condensed"/>
          <w:sz w:val="24"/>
          <w:szCs w:val="24"/>
        </w:rPr>
        <w:t xml:space="preserve">Capitolo quarto — Il secondo silenzio: il servizio sapeva e disse il contrario</w:t>
      </w:r>
    </w:p>
    <w:p>
      <w:pPr>
        <w:spacing w:after="120" w:line="276"/>
        <w:jc w:val="both"/>
      </w:pPr>
      <w:r>
        <w:rPr>
          <w:rFonts w:ascii="Barlow Semi Condensed" w:cs="Barlow Semi Condensed" w:eastAsia="Barlow Semi Condensed" w:hAnsi="Barlow Semi Condensed"/>
          <w:sz w:val="24"/>
          <w:szCs w:val="24"/>
        </w:rPr>
        <w:t xml:space="preserve">Il capitolo espone l'accertamento che, secondo me, è il più grave prodotto da questa ricognizione, e proviene da fonte accademica indipendente.</w:t>
      </w:r>
    </w:p>
    <w:p>
      <w:pPr>
        <w:spacing w:after="120" w:line="276"/>
        <w:jc w:val="both"/>
      </w:pPr>
      <w:r>
        <w:rPr>
          <w:rFonts w:ascii="Barlow Semi Condensed" w:cs="Barlow Semi Condensed" w:eastAsia="Barlow Semi Condensed" w:hAnsi="Barlow Semi Condensed"/>
          <w:sz w:val="24"/>
          <w:szCs w:val="24"/>
        </w:rPr>
        <w:t xml:space="preserve">La fonte. Il capitolo dedicato ad Aginter Press nel volume collettaneo \</w:t>
      </w:r>
      <w:r>
        <w:rPr>
          <w:rFonts w:ascii="Barlow Semi Condensed" w:cs="Barlow Semi Condensed" w:eastAsia="Barlow Semi Condensed" w:hAnsi="Barlow Semi Condensed"/>
          <w:i/>
          <w:iCs/>
          <w:sz w:val="24"/>
          <w:szCs w:val="24"/>
        </w:rPr>
        <w:t xml:space="preserve">Liaisons dangereuses\</w:t>
      </w:r>
      <w:r>
        <w:rPr>
          <w:rFonts w:ascii="Barlow Semi Condensed" w:cs="Barlow Semi Condensed" w:eastAsia="Barlow Semi Condensed" w:hAnsi="Barlow Semi Condensed"/>
          <w:sz w:val="24"/>
          <w:szCs w:val="24"/>
        </w:rPr>
        <w:t xml:space="preserve">, pubblicato dalle Presses universitaires de Rennes. È storiografia accademica francese, esterna tanto alla materia italiana quanto agli apparati coinvolti.</w:t>
      </w:r>
    </w:p>
    <w:p>
      <w:pPr>
        <w:spacing w:after="120" w:line="276"/>
        <w:jc w:val="both"/>
      </w:pPr>
      <w:r>
        <w:rPr>
          <w:rFonts w:ascii="Barlow Semi Condensed" w:cs="Barlow Semi Condensed" w:eastAsia="Barlow Semi Condensed" w:hAnsi="Barlow Semi Condensed"/>
          <w:sz w:val="24"/>
          <w:szCs w:val="24"/>
        </w:rPr>
        <w:t xml:space="preserve">Il primo accertamento.\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SID rifiutò sistematicamente di partecipare all'inchiesta e si limitò a trasmettere la nota sopra menzionata a responsabili della polizia e dei carabinieri.</w:t>
      </w:r>
    </w:p>
    <w:p>
      <w:pPr>
        <w:spacing w:after="120" w:line="276"/>
        <w:jc w:val="both"/>
      </w:pPr>
      <w:r>
        <w:rPr>
          <w:rFonts w:ascii="Barlow Semi Condensed" w:cs="Barlow Semi Condensed" w:eastAsia="Barlow Semi Condensed" w:hAnsi="Barlow Semi Condensed"/>
          <w:sz w:val="24"/>
          <w:szCs w:val="24"/>
        </w:rPr>
        <w:t xml:space="preserve">Il secondo accertamento, ed è quello decisivo.\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servizio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omise inoltre di trasmettere le informazioni contenute nei suoi dossier che, già all'epoca, identificavano in Guérin-Sérac il capo di un'organizzazione anticomunista e non anarchica.</w:t>
      </w:r>
    </w:p>
    <w:p>
      <w:pPr>
        <w:spacing w:after="120" w:line="276"/>
        <w:jc w:val="both"/>
      </w:pPr>
      <w:r>
        <w:rPr>
          <w:rFonts w:ascii="Barlow Semi Condensed" w:cs="Barlow Semi Condensed" w:eastAsia="Barlow Semi Condensed" w:hAnsi="Barlow Semi Condensed"/>
          <w:sz w:val="24"/>
          <w:szCs w:val="24"/>
        </w:rPr>
        <w:t xml:space="preserve">Le due proposizioni vanno lette insieme, ed enunciate senza attenuazioni.</w:t>
      </w:r>
    </w:p>
    <w:p>
      <w:pPr>
        <w:spacing w:after="120" w:line="276"/>
        <w:jc w:val="both"/>
      </w:pPr>
      <w:r>
        <w:rPr>
          <w:rFonts w:ascii="Barlow Semi Condensed" w:cs="Barlow Semi Condensed" w:eastAsia="Barlow Semi Condensed" w:hAnsi="Barlow Semi Condensed"/>
          <w:sz w:val="24"/>
          <w:szCs w:val="24"/>
        </w:rPr>
        <w:t xml:space="preserve">Il servizio informativo italiano deteneva un fascicolo che qualificava correttamente Guérin-Sérac come capo di organizzazione anticomunista. Trasmise all'esterno una descrizione che lo dipingeva come anarchico. E omise di trasmettere ciò che sapeva.</w:t>
      </w:r>
    </w:p>
    <w:p>
      <w:pPr>
        <w:spacing w:after="120" w:line="276"/>
        <w:jc w:val="both"/>
      </w:pPr>
      <w:r>
        <w:rPr>
          <w:rFonts w:ascii="Barlow Semi Condensed" w:cs="Barlow Semi Condensed" w:eastAsia="Barlow Semi Condensed" w:hAnsi="Barlow Semi Condensed"/>
          <w:sz w:val="24"/>
          <w:szCs w:val="24"/>
        </w:rPr>
        <w:t xml:space="preserve">Questo non è un difetto di circolazione dell'informazione fra apparati. È la sostituzione consapevole di una qualificazione vera con una falsa.</w:t>
      </w:r>
    </w:p>
    <w:p>
      <w:pPr>
        <w:spacing w:after="120" w:line="276"/>
        <w:jc w:val="both"/>
      </w:pPr>
      <w:r>
        <w:rPr>
          <w:rFonts w:ascii="Barlow Semi Condensed" w:cs="Barlow Semi Condensed" w:eastAsia="Barlow Semi Condensed" w:hAnsi="Barlow Semi Condensed"/>
          <w:sz w:val="24"/>
          <w:szCs w:val="24"/>
        </w:rPr>
        <w:t xml:space="preserve">La ragione strumentale è indicata dalla medesima fonte accademica, ed è di una lucidità che va riportata. Collegare gli anarchici a un'organizzazione internazionale come Aginter Press permetteva di rafforzare la tesi anarchica senza correre rischi particolari, poiché era assai poco probabile che il Portogallo salazarista accettasse di collaborare con le istanze giudiziarie italiane.</w:t>
      </w:r>
    </w:p>
    <w:p>
      <w:pPr>
        <w:spacing w:after="120" w:line="276"/>
        <w:jc w:val="both"/>
      </w:pPr>
      <w:r>
        <w:rPr>
          <w:rFonts w:ascii="Barlow Semi Condensed" w:cs="Barlow Semi Condensed" w:eastAsia="Barlow Semi Condensed" w:hAnsi="Barlow Semi Condensed"/>
          <w:sz w:val="24"/>
          <w:szCs w:val="24"/>
        </w:rPr>
        <w:t xml:space="preserve">Ne discende che l'operazione era doppiamente calcolata. Non soltanto attribuiva agli anarchici una struttura internazionale che ne accresceva la pericolosità apparente; ma la collocava in un Paese dal quale nessuna verifica sarebbe arrivata. La falsa qualificazione era protetta dalla giurisdizione in cui era ambientata.</w:t>
      </w:r>
    </w:p>
    <w:p>
      <w:pPr>
        <w:spacing w:after="120" w:line="276"/>
        <w:jc w:val="both"/>
      </w:pPr>
      <w:r>
        <w:rPr>
          <w:rFonts w:ascii="Barlow Semi Condensed" w:cs="Barlow Semi Condensed" w:eastAsia="Barlow Semi Condensed" w:hAnsi="Barlow Semi Condensed"/>
          <w:sz w:val="24"/>
          <w:szCs w:val="24"/>
        </w:rPr>
        <w:t xml:space="preserve">Un elemento di conferma cronologica va aggiunto. Fra la versione del 16 dicembre, che dice filo-cinese, e quella più ridotta del 17 dicembre, che dice anarchico, corre un solo giorno. La qualificazione si assesta sulla versione più utile alla pista in corso nell'arco di ventiquattro ore.</w:t>
      </w:r>
    </w:p>
    <w:p>
      <w:pPr>
        <w:spacing w:after="120" w:line="276"/>
        <w:jc w:val="both"/>
      </w:pPr>
      <w:r>
        <w:rPr>
          <w:rFonts w:ascii="Barlow Semi Condensed" w:cs="Barlow Semi Condensed" w:eastAsia="Barlow Semi Condensed" w:hAnsi="Barlow Semi Condensed"/>
          <w:sz w:val="24"/>
          <w:szCs w:val="24"/>
        </w:rPr>
        <w:t xml:space="preserve">Che cosa questo non stabilisce, e va dichiarato con eguale fermezza. Non stabilisce chi decise, né a quale livello, né se vi fu — come il giudice istruttore ipotizza con l'avverbio forse — un accordo ad alto livello. Stabilisce che il servizio deteneva la qualificazione corretta e ne diffuse una diversa.</w:t>
      </w:r>
    </w:p>
    <w:p>
      <w:pPr>
        <w:pStyle w:val="Heading2"/>
        <w:spacing w:after="100" w:before="200"/>
      </w:pPr>
      <w:r>
        <w:rPr>
          <w:rFonts w:ascii="Barlow Semi Condensed" w:cs="Barlow Semi Condensed" w:eastAsia="Barlow Semi Condensed" w:hAnsi="Barlow Semi Condensed"/>
          <w:sz w:val="24"/>
          <w:szCs w:val="24"/>
        </w:rPr>
        <w:t xml:space="preserve">Capitolo quinto — La composizione del governo e l'argomento di competenza</w:t>
      </w:r>
    </w:p>
    <w:p>
      <w:pPr>
        <w:spacing w:after="120" w:line="276"/>
        <w:jc w:val="both"/>
      </w:pPr>
      <w:r>
        <w:rPr>
          <w:rFonts w:ascii="Barlow Semi Condensed" w:cs="Barlow Semi Condensed" w:eastAsia="Barlow Semi Condensed" w:hAnsi="Barlow Semi Condensed"/>
          <w:sz w:val="24"/>
          <w:szCs w:val="24"/>
        </w:rPr>
        <w:t xml:space="preserve">Il capitolo fissa chi fossero i responsabili politici degli apparati alla data dell'appunto, e ne trae l'argomento che spiega il primo silenzio.</w:t>
      </w:r>
    </w:p>
    <w:p>
      <w:pPr>
        <w:spacing w:after="120" w:line="276"/>
        <w:jc w:val="both"/>
      </w:pPr>
      <w:r>
        <w:rPr>
          <w:rFonts w:ascii="Barlow Semi Condensed" w:cs="Barlow Semi Condensed" w:eastAsia="Barlow Semi Condensed" w:hAnsi="Barlow Semi Condensed"/>
          <w:sz w:val="24"/>
          <w:szCs w:val="24"/>
        </w:rPr>
        <w:t xml:space="preserve">Il governo in carica il 16 dicembre 1969.\</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Era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secondo governo Rumor\</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monocolore democristiano, in funzione dal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5 agosto 1969 al 27 marzo 1970.</w:t>
      </w:r>
    </w:p>
    <w:p>
      <w:pPr>
        <w:spacing w:after="120" w:line="276"/>
        <w:jc w:val="both"/>
      </w:pPr>
      <w:r>
        <w:rPr>
          <w:rFonts w:ascii="Barlow Semi Condensed" w:cs="Barlow Semi Condensed" w:eastAsia="Barlow Semi Condensed" w:hAnsi="Barlow Semi Condensed"/>
          <w:sz w:val="24"/>
          <w:szCs w:val="24"/>
        </w:rPr>
        <w:t xml:space="preserve">I titolari, dal Portale storico della Camera. Presidente del Consiglio Mariano Rumor. Ministro dell'Interno Francesco Restivo, dal 5 agosto 1969 al 27 marzo 1970. Ministro della Difesa Luigi Gui, per il medesimo periodo, con Francesco Cossiga fra i sottosegretari. Ministro degli Affari Esteri Aldo Moro, nel primo dei suoi due mandati.</w:t>
      </w:r>
    </w:p>
    <w:p>
      <w:pPr>
        <w:spacing w:after="120" w:line="276"/>
        <w:jc w:val="both"/>
      </w:pPr>
      <w:r>
        <w:rPr>
          <w:rFonts w:ascii="Barlow Semi Condensed" w:cs="Barlow Semi Condensed" w:eastAsia="Barlow Semi Condensed" w:hAnsi="Barlow Semi Condensed"/>
          <w:sz w:val="24"/>
          <w:szCs w:val="24"/>
        </w:rPr>
        <w:t xml:space="preserve">È dunque documentato che, alla data dell'appunto che nominava Guérin-Sérac come mente degli attentati, Aldo Moro fosse ministro degli Esteri.</w:t>
      </w:r>
    </w:p>
    <w:p>
      <w:pPr>
        <w:spacing w:after="120" w:line="276"/>
        <w:jc w:val="both"/>
      </w:pPr>
      <w:r>
        <w:rPr>
          <w:rFonts w:ascii="Barlow Semi Condensed" w:cs="Barlow Semi Condensed" w:eastAsia="Barlow Semi Condensed" w:hAnsi="Barlow Semi Condensed"/>
          <w:sz w:val="24"/>
          <w:szCs w:val="24"/>
        </w:rPr>
        <w:t xml:space="preserve">Ma questa contemporaneità va immediatamente qualificata, perché è il tipo di dato che la pubblicistica impiega come se fosse una prova.</w:t>
      </w:r>
    </w:p>
    <w:p>
      <w:pPr>
        <w:spacing w:after="120" w:line="276"/>
        <w:jc w:val="both"/>
      </w:pPr>
      <w:r>
        <w:rPr>
          <w:rFonts w:ascii="Barlow Semi Condensed" w:cs="Barlow Semi Condensed" w:eastAsia="Barlow Semi Condensed" w:hAnsi="Barlow Semi Condensed"/>
          <w:sz w:val="24"/>
          <w:szCs w:val="24"/>
        </w:rPr>
        <w:t xml:space="preserve">Essa è un fatto e non è, di per sé, prova che Moro abbia avuto cognizione dell'appunto, né che tale cognizione — se vi fu — gli sia pervenuta per via diplomatica anziché per altra via. Trattare la contemporaneità come prova di un nesso è vietato dalla disciplina che governa questa serie, e la si applica qui contro l'inferenza più immediata e più suggestiva.</w:t>
      </w:r>
    </w:p>
    <w:p>
      <w:pPr>
        <w:spacing w:after="120" w:line="276"/>
        <w:jc w:val="both"/>
      </w:pPr>
      <w:r>
        <w:rPr>
          <w:rFonts w:ascii="Barlow Semi Condensed" w:cs="Barlow Semi Condensed" w:eastAsia="Barlow Semi Condensed" w:hAnsi="Barlow Semi Condensed"/>
          <w:sz w:val="24"/>
          <w:szCs w:val="24"/>
        </w:rPr>
        <w:t xml:space="preserve">E adesso l'argomento di competenza, che spiega il primo silenzio.</w:t>
      </w:r>
    </w:p>
    <w:p>
      <w:pPr>
        <w:spacing w:after="120" w:line="276"/>
        <w:jc w:val="both"/>
      </w:pPr>
      <w:r>
        <w:rPr>
          <w:rFonts w:ascii="Barlow Semi Condensed" w:cs="Barlow Semi Condensed" w:eastAsia="Barlow Semi Condensed" w:hAnsi="Barlow Semi Condensed"/>
          <w:sz w:val="24"/>
          <w:szCs w:val="24"/>
        </w:rPr>
        <w:t xml:space="preserve">Il SID dipendeva dal Ministero della Difesa, dunque da Gui, e non dal ministro degli Esteri. La competenza politica sull'apparato che redasse l'appunto era di Gui; quella sull'ordine pubblico, di Restivo. Moro, agli Esteri, presiedeva l'apparato diplomatico, che è precisamente il canale di cui questa ricognizione verifica il silenzio.</w:t>
      </w:r>
    </w:p>
    <w:p>
      <w:pPr>
        <w:spacing w:after="120" w:line="276"/>
        <w:jc w:val="both"/>
      </w:pPr>
      <w:r>
        <w:rPr>
          <w:rFonts w:ascii="Barlow Semi Condensed" w:cs="Barlow Semi Condensed" w:eastAsia="Barlow Semi Condensed" w:hAnsi="Barlow Semi Condensed"/>
          <w:sz w:val="24"/>
          <w:szCs w:val="24"/>
        </w:rPr>
        <w:t xml:space="preserve">Ne discende che la ripartizione delle competenze rende non plausibile, in linea di principio, che l'appunto transitasse per la Farnesina. Esso nacque nel circuito Difesa-SID e fu diretto agli organi di polizia, restando all'interno del circuito informativo-repressivo.</w:t>
      </w:r>
    </w:p>
    <w:p>
      <w:pPr>
        <w:spacing w:after="120" w:line="276"/>
        <w:jc w:val="both"/>
      </w:pPr>
      <w:r>
        <w:rPr>
          <w:rFonts w:ascii="Barlow Semi Condensed" w:cs="Barlow Semi Condensed" w:eastAsia="Barlow Semi Condensed" w:hAnsi="Barlow Semi Condensed"/>
          <w:sz w:val="24"/>
          <w:szCs w:val="24"/>
        </w:rPr>
        <w:t xml:space="preserve">Questo è l'argomento che trasforma il primo silenzio da anomalia a conseguenza.</w:t>
      </w:r>
    </w:p>
    <w:p>
      <w:pPr>
        <w:spacing w:after="120" w:line="276"/>
        <w:jc w:val="both"/>
      </w:pPr>
      <w:r>
        <w:rPr>
          <w:rFonts w:ascii="Barlow Semi Condensed" w:cs="Barlow Semi Condensed" w:eastAsia="Barlow Semi Condensed" w:hAnsi="Barlow Semi Condensed"/>
          <w:sz w:val="24"/>
          <w:szCs w:val="24"/>
        </w:rPr>
        <w:t xml:space="preserve">Un corollario va tratto e vale oltre il caso. L'ambasciata italiana a Lisbona era accreditata presso un regime alleato in ambito atlantico, e la sua funzione era la cura delle relazioni ordinarie, non la sorveglianza delle strutture clandestine anticomuniste protette da quel regime.</w:t>
      </w:r>
    </w:p>
    <w:p>
      <w:pPr>
        <w:spacing w:after="120" w:line="276"/>
        <w:jc w:val="both"/>
      </w:pPr>
      <w:r>
        <w:rPr>
          <w:rFonts w:ascii="Barlow Semi Condensed" w:cs="Barlow Semi Condensed" w:eastAsia="Barlow Semi Condensed" w:hAnsi="Barlow Semi Condensed"/>
          <w:sz w:val="24"/>
          <w:szCs w:val="24"/>
        </w:rPr>
        <w:t xml:space="preserve">Il riconoscimento di Aginter Press richiedeva capacità di penetrazione informativa, non semplice presenza sul territorio. Un'ambasciata vede ciò che accade nella capitale presso cui è accreditata; non vede ciò che la polizia politica di quella capitale protegge.</w:t>
      </w:r>
    </w:p>
    <w:p>
      <w:pPr>
        <w:pStyle w:val="Heading2"/>
        <w:spacing w:after="100" w:before="200"/>
      </w:pPr>
      <w:r>
        <w:rPr>
          <w:rFonts w:ascii="Barlow Semi Condensed" w:cs="Barlow Semi Condensed" w:eastAsia="Barlow Semi Condensed" w:hAnsi="Barlow Semi Condensed"/>
          <w:sz w:val="24"/>
          <w:szCs w:val="24"/>
        </w:rPr>
        <w:t xml:space="preserve">Capitolo sesto — Gli atti parlamentari e la conferma per via istituzionale</w:t>
      </w:r>
    </w:p>
    <w:p>
      <w:pPr>
        <w:spacing w:after="120" w:line="276"/>
        <w:jc w:val="both"/>
      </w:pPr>
      <w:r>
        <w:rPr>
          <w:rFonts w:ascii="Barlow Semi Condensed" w:cs="Barlow Semi Condensed" w:eastAsia="Barlow Semi Condensed" w:hAnsi="Barlow Semi Condensed"/>
          <w:sz w:val="24"/>
          <w:szCs w:val="24"/>
        </w:rPr>
        <w:t xml:space="preserve">Il capitolo verifica il silenzio diplomatico su una terza fonte, indipendente dalle prime due.</w:t>
      </w:r>
    </w:p>
    <w:p>
      <w:pPr>
        <w:spacing w:after="120" w:line="276"/>
        <w:jc w:val="both"/>
      </w:pPr>
      <w:r>
        <w:rPr>
          <w:rFonts w:ascii="Barlow Semi Condensed" w:cs="Barlow Semi Condensed" w:eastAsia="Barlow Semi Condensed" w:hAnsi="Barlow Semi Condensed"/>
          <w:sz w:val="24"/>
          <w:szCs w:val="24"/>
        </w:rPr>
        <w:t xml:space="preserve">Che cosa gli atti parlamentari accertano su Aginter Press. Nella relazione del presidente della Commissione Stragi, senatore Giovanni Pellegrino, si afferma che Aginter Press era in realtà, secondo gli ultimi documenti acquisiti dall'indagine penale, un centro di informazione direttamente collegato alla CIA e al servizio segreto portoghese, specializzato in operazioni di provocazione.</w:t>
      </w:r>
    </w:p>
    <w:p>
      <w:pPr>
        <w:spacing w:after="120" w:line="276"/>
        <w:jc w:val="both"/>
      </w:pPr>
      <w:r>
        <w:rPr>
          <w:rFonts w:ascii="Barlow Semi Condensed" w:cs="Barlow Semi Condensed" w:eastAsia="Barlow Semi Condensed" w:hAnsi="Barlow Semi Condensed"/>
          <w:sz w:val="24"/>
          <w:szCs w:val="24"/>
        </w:rPr>
        <w:t xml:space="preserve">Il grado va qualificato: è relazione parlamentare, cioè ricostruzione politico-istituzionale, non accertamento giudiziario definitivo.</w:t>
      </w:r>
    </w:p>
    <w:p>
      <w:pPr>
        <w:spacing w:after="120" w:line="276"/>
        <w:jc w:val="both"/>
      </w:pPr>
      <w:r>
        <w:rPr>
          <w:rFonts w:ascii="Barlow Semi Condensed" w:cs="Barlow Semi Condensed" w:eastAsia="Barlow Semi Condensed" w:hAnsi="Barlow Semi Condensed"/>
          <w:sz w:val="24"/>
          <w:szCs w:val="24"/>
        </w:rPr>
        <w:t xml:space="preserve">L'audizione del giudice Salvini davanti alla Commissione, negli atti della tredicesima legislatura, precisa gli accertamenti raggiunti. In queste indagini sono emersi elementi che confermano i legami fra Aginter Press, Ordine nuovo e Avanguardia nazionale. È emerso che Guido Giannettini aveva rapporti con Guérin-Sérac in Portogallo fin dal 1964; è emerso che istruttori di Aginter Press vennero a Roma tra il 1967 e il 1968 istruendo i militanti di Avanguardia nazionale all'uso degli esplosivi.</w:t>
      </w:r>
    </w:p>
    <w:p>
      <w:pPr>
        <w:spacing w:after="120" w:line="276"/>
        <w:jc w:val="both"/>
      </w:pPr>
      <w:r>
        <w:rPr>
          <w:rFonts w:ascii="Barlow Semi Condensed" w:cs="Barlow Semi Condensed" w:eastAsia="Barlow Semi Condensed" w:hAnsi="Barlow Semi Condensed"/>
          <w:sz w:val="24"/>
          <w:szCs w:val="24"/>
        </w:rPr>
        <w:t xml:space="preserve">Su Robert Leroy, braccio destro di Guérin-Sérac, l'audizione aggiunge due elementi. Che era stato durante la seconda guerra mondiale combattente nelle Waffen SS; e che era venuto in Italia molte volte nel 1968 ed aveva concorso ad organizzare a Torino, ad Aosta e in altre città del Nord gruppi filocinesi, presentandosi come emissario di gruppi francesi analoghi.</w:t>
      </w:r>
    </w:p>
    <w:p>
      <w:pPr>
        <w:spacing w:after="120" w:line="276"/>
        <w:jc w:val="both"/>
      </w:pPr>
      <w:r>
        <w:rPr>
          <w:rFonts w:ascii="Barlow Semi Condensed" w:cs="Barlow Semi Condensed" w:eastAsia="Barlow Semi Condensed" w:hAnsi="Barlow Semi Condensed"/>
          <w:sz w:val="24"/>
          <w:szCs w:val="24"/>
        </w:rPr>
        <w:t xml:space="preserve">E adesso il rilievo per il quesito di questa ricognizione, che è il punto del capitolo.</w:t>
      </w:r>
    </w:p>
    <w:p>
      <w:pPr>
        <w:spacing w:after="120" w:line="276"/>
        <w:jc w:val="both"/>
      </w:pPr>
      <w:r>
        <w:rPr>
          <w:rFonts w:ascii="Barlow Semi Condensed" w:cs="Barlow Semi Condensed" w:eastAsia="Barlow Semi Condensed" w:hAnsi="Barlow Semi Condensed"/>
          <w:sz w:val="24"/>
          <w:szCs w:val="24"/>
        </w:rPr>
        <w:t xml:space="preserve">In tutti questi atti la cognizione italiana di Aginter Press è ricondotta sempre e soltanto a canali investigativi, giudiziari e di intelligence\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 il SID, il SISMI, il SISDE, l'istruttoria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 mai a un canale diplomatico.</w:t>
      </w:r>
    </w:p>
    <w:p>
      <w:pPr>
        <w:spacing w:after="120" w:line="276"/>
        <w:jc w:val="both"/>
      </w:pPr>
      <w:r>
        <w:rPr>
          <w:rFonts w:ascii="Barlow Semi Condensed" w:cs="Barlow Semi Condensed" w:eastAsia="Barlow Semi Condensed" w:hAnsi="Barlow Semi Condensed"/>
          <w:sz w:val="24"/>
          <w:szCs w:val="24"/>
        </w:rPr>
        <w:t xml:space="preserve">In nessun passaggio delle relazioni Pellegrino o delle audizioni Salvini reperiti si afferma che l'ambasciata di Lisbona o la Farnesina avessero segnalato Aginter Press.</w:t>
      </w:r>
    </w:p>
    <w:p>
      <w:pPr>
        <w:spacing w:after="120" w:line="276"/>
        <w:jc w:val="both"/>
      </w:pPr>
      <w:r>
        <w:rPr>
          <w:rFonts w:ascii="Barlow Semi Condensed" w:cs="Barlow Semi Condensed" w:eastAsia="Barlow Semi Condensed" w:hAnsi="Barlow Semi Condensed"/>
          <w:sz w:val="24"/>
          <w:szCs w:val="24"/>
        </w:rPr>
        <w:t xml:space="preserve">Un elemento lo conferma per via diretta. Il presidente Pellegrino, in una seduta, riconduce esplicitamente l'impianto della propria relazione a proposito dell'Aginter Press e di Guérin-Sérac ai lavori di Salvini e del colonnello Giraudo — cioè a fonti giudiziarie e investigative.</w:t>
      </w:r>
    </w:p>
    <w:p>
      <w:pPr>
        <w:spacing w:after="120" w:line="276"/>
        <w:jc w:val="both"/>
      </w:pPr>
      <w:r>
        <w:rPr>
          <w:rFonts w:ascii="Barlow Semi Condensed" w:cs="Barlow Semi Condensed" w:eastAsia="Barlow Semi Condensed" w:hAnsi="Barlow Semi Condensed"/>
          <w:sz w:val="24"/>
          <w:szCs w:val="24"/>
        </w:rPr>
        <w:t xml:space="preserve">E la mappa della rete degli agenti di Aginter distribuiti nelle principali città del mondo, di cui la Commissione dispose, proveniva dal materiale sequestrato e dagli atti giudiziari, non da rapporti diplomatici.</w:t>
      </w:r>
    </w:p>
    <w:p>
      <w:pPr>
        <w:spacing w:after="120" w:line="276"/>
        <w:jc w:val="both"/>
      </w:pPr>
      <w:r>
        <w:rPr>
          <w:rFonts w:ascii="Barlow Semi Condensed" w:cs="Barlow Semi Condensed" w:eastAsia="Barlow Semi Condensed" w:hAnsi="Barlow Semi Condensed"/>
          <w:sz w:val="24"/>
          <w:szCs w:val="24"/>
        </w:rPr>
        <w:t xml:space="preserve">Ne discende che tre fonti indipendenti — l'elenco dei capi missione, l'argomento di competenza, gli atti parlamentari — convergono sul medesimo esito: la cognizione italiana di Aginter Press circolò per il canale informativo e giudiziario, e di una sua circolazione per il canale diplomatico non esiste traccia.</w:t>
      </w:r>
    </w:p>
    <w:p>
      <w:pPr>
        <w:pStyle w:val="Heading2"/>
        <w:spacing w:after="100" w:before="200"/>
      </w:pPr>
      <w:r>
        <w:rPr>
          <w:rFonts w:ascii="Barlow Semi Condensed" w:cs="Barlow Semi Condensed" w:eastAsia="Barlow Semi Condensed" w:hAnsi="Barlow Semi Condensed"/>
          <w:sz w:val="24"/>
          <w:szCs w:val="24"/>
        </w:rPr>
        <w:t xml:space="preserve">Capitolo settimo — Il caso Moro: un esito negativo forte</w:t>
      </w:r>
    </w:p>
    <w:p>
      <w:pPr>
        <w:spacing w:after="120" w:line="276"/>
        <w:jc w:val="both"/>
      </w:pPr>
      <w:r>
        <w:rPr>
          <w:rFonts w:ascii="Barlow Semi Condensed" w:cs="Barlow Semi Condensed" w:eastAsia="Barlow Semi Condensed" w:hAnsi="Barlow Semi Condensed"/>
          <w:sz w:val="24"/>
          <w:szCs w:val="24"/>
        </w:rPr>
        <w:t xml:space="preserve">Il capitolo espone la verifica che il quinto obiettivo imponeva di condurre con la massima severità, e il cui esito è negativo in modo particolarmente robusto.</w:t>
      </w:r>
    </w:p>
    <w:p>
      <w:pPr>
        <w:spacing w:after="120" w:line="276"/>
        <w:jc w:val="both"/>
      </w:pPr>
      <w:r>
        <w:rPr>
          <w:rFonts w:ascii="Barlow Semi Condensed" w:cs="Barlow Semi Condensed" w:eastAsia="Barlow Semi Condensed" w:hAnsi="Barlow Semi Condensed"/>
          <w:sz w:val="24"/>
          <w:szCs w:val="24"/>
        </w:rPr>
        <w:t xml:space="preserve">La domanda. Se esista documentazione che colleghi Aldo Moro ad Aginter Press in qualsiasi veste; e se nelle ricostruzioni sul sequestro del 1978 sia mai stata avanzata un'ipotesi di coinvolgimento dell'agenzia, con quale fondamento.</w:t>
      </w:r>
    </w:p>
    <w:p>
      <w:pPr>
        <w:spacing w:after="120" w:line="276"/>
        <w:jc w:val="both"/>
      </w:pPr>
      <w:r>
        <w:rPr>
          <w:rFonts w:ascii="Barlow Semi Condensed" w:cs="Barlow Semi Condensed" w:eastAsia="Barlow Semi Condensed" w:hAnsi="Barlow Semi Condensed"/>
          <w:sz w:val="24"/>
          <w:szCs w:val="24"/>
        </w:rPr>
        <w:t xml:space="preserve">L'esito è netto: non esiste alcuna fonte primaria, giudiziaria o parlamentare, che colleghi Moro ad Aginter Press, né che attribuisca all'agenzia un ruolo nel sequestro e nell'omicidio.</w:t>
      </w:r>
    </w:p>
    <w:p>
      <w:pPr>
        <w:spacing w:after="120" w:line="276"/>
        <w:jc w:val="both"/>
      </w:pPr>
      <w:r>
        <w:rPr>
          <w:rFonts w:ascii="Barlow Semi Condensed" w:cs="Barlow Semi Condensed" w:eastAsia="Barlow Semi Condensed" w:hAnsi="Barlow Semi Condensed"/>
          <w:sz w:val="24"/>
          <w:szCs w:val="24"/>
        </w:rPr>
        <w:t xml:space="preserve">Il primo argomento è cronologico e tematico. Il ruolo documentato di Aginter Press è circoscritto alla stagione della strategia della tensione, dal 1969 al 1974: gli attentati del 12 dicembre 1969, i legami con Ordine Nuovo e Avanguardia Nazionale, l'addestramento agli esplosivi dei militanti romani nel 1967-1968. Tutti gli eventi accertati sono anteriori al 1974, anno in cui la Rivoluzione dei Garofani costrinse gli uomini di Aginter a lasciare Lisbona per la Spagna.</w:t>
      </w:r>
    </w:p>
    <w:p>
      <w:pPr>
        <w:spacing w:after="120" w:line="276"/>
        <w:jc w:val="both"/>
      </w:pPr>
      <w:r>
        <w:rPr>
          <w:rFonts w:ascii="Barlow Semi Condensed" w:cs="Barlow Semi Condensed" w:eastAsia="Barlow Semi Condensed" w:hAnsi="Barlow Semi Condensed"/>
          <w:sz w:val="24"/>
          <w:szCs w:val="24"/>
        </w:rPr>
        <w:t xml:space="preserve">Il secondo argomento è giudiziario.\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 sentenze sul caso Moro — dalla prima Corte d'Assise di Roma del 1983 ai successivi processi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attribuiscono la responsabilità del sequestro e dell'omicidio esclusivamente alle Brigate Rosse.</w:t>
      </w:r>
    </w:p>
    <w:p>
      <w:pPr>
        <w:spacing w:after="120" w:line="276"/>
        <w:jc w:val="both"/>
      </w:pPr>
      <w:r>
        <w:rPr>
          <w:rFonts w:ascii="Barlow Semi Condensed" w:cs="Barlow Semi Condensed" w:eastAsia="Barlow Semi Condensed" w:hAnsi="Barlow Semi Condensed"/>
          <w:sz w:val="24"/>
          <w:szCs w:val="24"/>
        </w:rPr>
        <w:t xml:space="preserve">Il terzo argomento è quello che dà forza all'esito, e va enunciato con i suoi numeri.</w:t>
      </w:r>
    </w:p>
    <w:p>
      <w:pPr>
        <w:spacing w:after="120" w:line="276"/>
        <w:jc w:val="both"/>
      </w:pPr>
      <w:r>
        <w:rPr>
          <w:rFonts w:ascii="Barlow Semi Condensed" w:cs="Barlow Semi Condensed" w:eastAsia="Barlow Semi Condensed" w:hAnsi="Barlow Semi Condensed"/>
          <w:sz w:val="24"/>
          <w:szCs w:val="24"/>
        </w:rPr>
        <w:t xml:space="preserve">La seconda Commissione parlamentare d'inchiesta sul rapimento e sulla morte di Aldo Moro, istituita con legge 30 maggio 2014 numero 82 e presieduta da Giuseppe Fioroni, produsse tre relazioni — Doc. XXIII numero 10 dell'11 dicembre 2015, numero 23 del 21 dicembre 2016, numero 29 del 7 dicembre 2017 — e acquisì duemiladuecentocinquanta unità documentali per un totale di settecentomila pagine, con oltre quattrocentoquaranta attività investigative delegate.</w:t>
      </w:r>
    </w:p>
    <w:p>
      <w:pPr>
        <w:spacing w:after="120" w:line="276"/>
        <w:jc w:val="both"/>
      </w:pPr>
      <w:r>
        <w:rPr>
          <w:rFonts w:ascii="Barlow Semi Condensed" w:cs="Barlow Semi Condensed" w:eastAsia="Barlow Semi Condensed" w:hAnsi="Barlow Semi Condensed"/>
          <w:sz w:val="24"/>
          <w:szCs w:val="24"/>
        </w:rPr>
        <w:t xml:space="preserve">In nessuna delle tre relazioni Aginter Press o Guérin-Sérac compaiono.</w:t>
      </w:r>
    </w:p>
    <w:p>
      <w:pPr>
        <w:spacing w:after="120" w:line="276"/>
        <w:jc w:val="both"/>
      </w:pPr>
      <w:r>
        <w:rPr>
          <w:rFonts w:ascii="Barlow Semi Condensed" w:cs="Barlow Semi Condensed" w:eastAsia="Barlow Semi Condensed" w:hAnsi="Barlow Semi Condensed"/>
          <w:sz w:val="24"/>
          <w:szCs w:val="24"/>
        </w:rPr>
        <w:t xml:space="preserve">Il rilievo va enunciato perché è la ragione della forza dell'esito. Una commissione che ha esaminato settecentomila pagine con la tesi dichiarata della verità dicibile — cioè con l'assunto che la verità giudiziaria consolidata fosse una verità di comodo — aveva ogni interesse a reperire una pista alternativa, e batté infatti via Fani, via Gradoli, il falso comunicato del lago della Duchessa, i contatti con la criminalità e i rapporti internazionali delle Brigate Rosse con i palestinesi.</w:t>
      </w:r>
    </w:p>
    <w:p>
      <w:pPr>
        <w:spacing w:after="120" w:line="276"/>
        <w:jc w:val="both"/>
      </w:pPr>
      <w:r>
        <w:rPr>
          <w:rFonts w:ascii="Barlow Semi Condensed" w:cs="Barlow Semi Condensed" w:eastAsia="Barlow Semi Condensed" w:hAnsi="Barlow Semi Condensed"/>
          <w:sz w:val="24"/>
          <w:szCs w:val="24"/>
        </w:rPr>
        <w:t xml:space="preserve">Non trovò Aginter, e non perché non cercasse.</w:t>
      </w:r>
    </w:p>
    <w:p>
      <w:pPr>
        <w:spacing w:after="120" w:line="276"/>
        <w:jc w:val="both"/>
      </w:pPr>
      <w:r>
        <w:rPr>
          <w:rFonts w:ascii="Barlow Semi Condensed" w:cs="Barlow Semi Condensed" w:eastAsia="Barlow Semi Condensed" w:hAnsi="Barlow Semi Condensed"/>
          <w:sz w:val="24"/>
          <w:szCs w:val="24"/>
        </w:rPr>
        <w:t xml:space="preserve">Ne discende che l'esito negativo qui non è debole ma forte: non è l'assenza di ricerca, è l'assenza di risultato in una ricerca vastissima e orientata a trovare.</w:t>
      </w:r>
    </w:p>
    <w:p>
      <w:pPr>
        <w:spacing w:after="120" w:line="276"/>
        <w:jc w:val="both"/>
      </w:pPr>
      <w:r>
        <w:rPr>
          <w:rFonts w:ascii="Barlow Semi Condensed" w:cs="Barlow Semi Condensed" w:eastAsia="Barlow Semi Condensed" w:hAnsi="Barlow Semi Condensed"/>
          <w:sz w:val="24"/>
          <w:szCs w:val="24"/>
        </w:rPr>
        <w:t xml:space="preserve">L'accostamento fra Aginter Press e il caso Moro appartiene dunque esclusivamente alla pubblicistica, dove circola in una cornice narrativa che accosta l'agenzia alla galassia Gladio e alle ingerenze internazionali sul sequestro senza produrre alcun documento che colleghi specificamente Aginter al 1978. Anche l'opera monografica dedicata all'agenzia, del 2017, si concentra sulla stagione stragista e non stabilisce un nesso con Moro.</w:t>
      </w:r>
    </w:p>
    <w:p>
      <w:pPr>
        <w:spacing w:after="120" w:line="276"/>
        <w:jc w:val="both"/>
      </w:pPr>
      <w:r>
        <w:rPr>
          <w:rFonts w:ascii="Barlow Semi Condensed" w:cs="Barlow Semi Condensed" w:eastAsia="Barlow Semi Condensed" w:hAnsi="Barlow Semi Condensed"/>
          <w:sz w:val="24"/>
          <w:szCs w:val="24"/>
        </w:rPr>
        <w:t xml:space="preserve">La tesi va qualificata, secondo i requisiti di metodo, come non sostenuta dalle fonti primarie.</w:t>
      </w:r>
    </w:p>
    <w:p>
      <w:pPr>
        <w:pStyle w:val="Heading2"/>
        <w:spacing w:after="100" w:before="200"/>
      </w:pPr>
      <w:r>
        <w:rPr>
          <w:rFonts w:ascii="Barlow Semi Condensed" w:cs="Barlow Semi Condensed" w:eastAsia="Barlow Semi Condensed" w:hAnsi="Barlow Semi Condensed"/>
          <w:sz w:val="24"/>
          <w:szCs w:val="24"/>
        </w:rPr>
        <w:t xml:space="preserve">Capitolo ottavo — La posizione processuale di Guérin-Sérac</w:t>
      </w:r>
    </w:p>
    <w:p>
      <w:pPr>
        <w:spacing w:after="120" w:line="276"/>
        <w:jc w:val="both"/>
      </w:pPr>
      <w:r>
        <w:rPr>
          <w:rFonts w:ascii="Barlow Semi Condensed" w:cs="Barlow Semi Condensed" w:eastAsia="Barlow Semi Condensed" w:hAnsi="Barlow Semi Condensed"/>
          <w:sz w:val="24"/>
          <w:szCs w:val="24"/>
        </w:rPr>
        <w:t xml:space="preserve">Il capitolo espone che cosa lo Stato italiano fece, in concreto, nei confronti dell'uomo che il proprio servizio aveva nominato nel 1969.</w:t>
      </w:r>
    </w:p>
    <w:p>
      <w:pPr>
        <w:spacing w:after="120" w:line="276"/>
        <w:jc w:val="both"/>
      </w:pPr>
      <w:r>
        <w:rPr>
          <w:rFonts w:ascii="Barlow Semi Condensed" w:cs="Barlow Semi Condensed" w:eastAsia="Barlow Semi Condensed" w:hAnsi="Barlow Semi Condensed"/>
          <w:sz w:val="24"/>
          <w:szCs w:val="24"/>
        </w:rPr>
        <w:t xml:space="preserve">Le acquisizioni documentali, per due filoni. Il primo, più antico: una piccola parte del materiale rinvenuto a Lisbona nella sede dell'Aginter Press era stata fotografata da alcuni giornalisti italiani e prodotta ai giudici inquirenti dottor D'Ambrosio e dottor Alessandrini durante le prime indagini milanesi. Il secondo, più tardo, deriva dalla collaborazione dei servizi: alcuni atti furono trovati grazie alla collaborazione del SISMI, e altri dati erano presenti nell'archivio del SISDE.</w:t>
      </w:r>
    </w:p>
    <w:p>
      <w:pPr>
        <w:spacing w:after="120" w:line="276"/>
        <w:jc w:val="both"/>
      </w:pPr>
      <w:r>
        <w:rPr>
          <w:rFonts w:ascii="Barlow Semi Condensed" w:cs="Barlow Semi Condensed" w:eastAsia="Barlow Semi Condensed" w:hAnsi="Barlow Semi Condensed"/>
          <w:sz w:val="24"/>
          <w:szCs w:val="24"/>
        </w:rPr>
        <w:t xml:space="preserve">Va notato che il primo filone passò per giornalisti e non per lo Stato.</w:t>
      </w:r>
    </w:p>
    <w:p>
      <w:pPr>
        <w:spacing w:after="120" w:line="276"/>
        <w:jc w:val="both"/>
      </w:pPr>
      <w:r>
        <w:rPr>
          <w:rFonts w:ascii="Barlow Semi Condensed" w:cs="Barlow Semi Condensed" w:eastAsia="Barlow Semi Condensed" w:hAnsi="Barlow Semi Condensed"/>
          <w:sz w:val="24"/>
          <w:szCs w:val="24"/>
        </w:rPr>
        <w:t xml:space="preserve">Gli atti giudiziari nei confronti di Guérin-Sérac. Fu emesso mandato di comparizione sia per costituzione di banda armata sia per i reati connessi agli attentati anti-algerini, notificato al difensore d'ufficio con il rito dell'irreperibilità.</w:t>
      </w:r>
    </w:p>
    <w:p>
      <w:pPr>
        <w:spacing w:after="120" w:line="276"/>
        <w:jc w:val="both"/>
      </w:pPr>
      <w:r>
        <w:rPr>
          <w:rFonts w:ascii="Barlow Semi Condensed" w:cs="Barlow Semi Condensed" w:eastAsia="Barlow Semi Condensed" w:hAnsi="Barlow Semi Condensed"/>
          <w:sz w:val="24"/>
          <w:szCs w:val="24"/>
        </w:rPr>
        <w:t xml:space="preserve">La ragione dell'irreperibilità è documentata dall'istruttoria con una formula che va riportata:\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 lui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esistono i dati anagrafici, ma, ad esempio, nemmeno una fotografia o un indirizzo non puramente fittizio.</w:t>
      </w:r>
    </w:p>
    <w:p>
      <w:pPr>
        <w:spacing w:after="120" w:line="276"/>
        <w:jc w:val="both"/>
      </w:pPr>
      <w:r>
        <w:rPr>
          <w:rFonts w:ascii="Barlow Semi Condensed" w:cs="Barlow Semi Condensed" w:eastAsia="Barlow Semi Condensed" w:hAnsi="Barlow Semi Condensed"/>
          <w:sz w:val="24"/>
          <w:szCs w:val="24"/>
        </w:rPr>
        <w:t xml:space="preserve">Il rinvio a giudizio fu disposto per il reato di costituzione e organizzazione di banda armata, articolo trecentosei primo comma del codice penale, ritenendolo il principale artefice ed organizzatore della struttura armata che, dopo la fuga dal Portogallo, ha operato con base in Spagna.</w:t>
      </w:r>
    </w:p>
    <w:p>
      <w:pPr>
        <w:spacing w:after="120" w:line="276"/>
        <w:jc w:val="both"/>
      </w:pPr>
      <w:r>
        <w:rPr>
          <w:rFonts w:ascii="Barlow Semi Condensed" w:cs="Barlow Semi Condensed" w:eastAsia="Barlow Semi Condensed" w:hAnsi="Barlow Semi Condensed"/>
          <w:sz w:val="24"/>
          <w:szCs w:val="24"/>
        </w:rPr>
        <w:t xml:space="preserve">Un elemento tecnico va registrato perché spiega la giurisdizione. Trattandosi di delitto contro la personalità dello Stato, la legge italiana era applicabile allo straniero anche per fatti commessi all'estero, ai sensi dell'articolo sette del codice penale.</w:t>
      </w:r>
    </w:p>
    <w:p>
      <w:pPr>
        <w:spacing w:after="120" w:line="276"/>
        <w:jc w:val="both"/>
      </w:pPr>
      <w:r>
        <w:rPr>
          <w:rFonts w:ascii="Barlow Semi Condensed" w:cs="Barlow Semi Condensed" w:eastAsia="Barlow Semi Condensed" w:hAnsi="Barlow Semi Condensed"/>
          <w:sz w:val="24"/>
          <w:szCs w:val="24"/>
        </w:rPr>
        <w:t xml:space="preserve">I reati connessi agli attentati anti-algerini dell'estate 1975 furono invece dichiarati estinti per prescrizione.</w:t>
      </w:r>
    </w:p>
    <w:p>
      <w:pPr>
        <w:spacing w:after="120" w:line="276"/>
        <w:jc w:val="both"/>
      </w:pPr>
      <w:r>
        <w:rPr>
          <w:rFonts w:ascii="Barlow Semi Condensed" w:cs="Barlow Semi Condensed" w:eastAsia="Barlow Semi Condensed" w:hAnsi="Barlow Semi Condensed"/>
          <w:sz w:val="24"/>
          <w:szCs w:val="24"/>
        </w:rPr>
        <w:t xml:space="preserve">L'esito materiale. Guérin-Sérac non fu mai catturato né interrogato; nessun magistrato riuscì a rintracciarlo. Le ultime notizie acquisite dai carabinieri lo indicavano, senza indirizzo accertato, in Spagna e poi in Colombia. L'irreperibilità durò fino alla morte, il 9 marzo 2022.</w:t>
      </w:r>
    </w:p>
    <w:p>
      <w:pPr>
        <w:spacing w:after="120" w:line="276"/>
        <w:jc w:val="both"/>
      </w:pPr>
      <w:r>
        <w:rPr>
          <w:rFonts w:ascii="Barlow Semi Condensed" w:cs="Barlow Semi Condensed" w:eastAsia="Barlow Semi Condensed" w:hAnsi="Barlow Semi Condensed"/>
          <w:sz w:val="24"/>
          <w:szCs w:val="24"/>
        </w:rPr>
        <w:t xml:space="preserve">E adesso il dato che chiude il capitolo e riguarda il quesito di questa ricognizione.</w:t>
      </w:r>
    </w:p>
    <w:p>
      <w:pPr>
        <w:spacing w:after="120" w:line="276"/>
        <w:jc w:val="both"/>
      </w:pPr>
      <w:r>
        <w:rPr>
          <w:rFonts w:ascii="Barlow Semi Condensed" w:cs="Barlow Semi Condensed" w:eastAsia="Barlow Semi Condensed" w:hAnsi="Barlow Semi Condensed"/>
          <w:sz w:val="24"/>
          <w:szCs w:val="24"/>
        </w:rPr>
        <w:t xml:space="preserve">Non risulta alcuna richiesta italiana di estradizione accolta o respinta dal Portogallo o da altro Stato. La questione non si pose mai in termini di estradizione, perché l'uomo non fu mai localizzato in un luogo accertato, e la notifica avvenne per irreperibilità.</w:t>
      </w:r>
    </w:p>
    <w:p>
      <w:pPr>
        <w:spacing w:after="120" w:line="276"/>
        <w:jc w:val="both"/>
      </w:pPr>
      <w:r>
        <w:rPr>
          <w:rFonts w:ascii="Barlow Semi Condensed" w:cs="Barlow Semi Condensed" w:eastAsia="Barlow Semi Condensed" w:hAnsi="Barlow Semi Condensed"/>
          <w:sz w:val="24"/>
          <w:szCs w:val="24"/>
        </w:rPr>
        <w:t xml:space="preserve">Ne discende un accertamento che rafforza l'esito generale: l'unica azione dello Stato italiano nei confronti di Guérin-Sérac transitò per l'autorità giudiziaria e le forze di polizia. Mai per un canale diplomatico. Mai per una richiesta formale a Lisbona.</w:t>
      </w:r>
    </w:p>
    <w:p>
      <w:pPr>
        <w:spacing w:after="120" w:line="276"/>
        <w:jc w:val="both"/>
      </w:pPr>
      <w:r>
        <w:rPr>
          <w:rFonts w:ascii="Barlow Semi Condensed" w:cs="Barlow Semi Condensed" w:eastAsia="Barlow Semi Condensed" w:hAnsi="Barlow Semi Condensed"/>
          <w:sz w:val="24"/>
          <w:szCs w:val="24"/>
        </w:rPr>
        <w:t xml:space="preserve">Nemmeno dopo l'aprile 1974, quando il regime che lo proteggeva era caduto e la collaborazione sarebbe divenuta possibile.</w:t>
      </w:r>
    </w:p>
    <w:p>
      <w:pPr>
        <w:pStyle w:val="Heading2"/>
        <w:spacing w:after="100" w:before="200"/>
      </w:pPr>
      <w:r>
        <w:rPr>
          <w:rFonts w:ascii="Barlow Semi Condensed" w:cs="Barlow Semi Condensed" w:eastAsia="Barlow Semi Condensed" w:hAnsi="Barlow Semi Condensed"/>
          <w:sz w:val="24"/>
          <w:szCs w:val="24"/>
        </w:rPr>
        <w:t xml:space="preserve">Capitolo nono — La relazione bilaterale italo-portoghese</w:t>
      </w:r>
    </w:p>
    <w:p>
      <w:pPr>
        <w:spacing w:after="120" w:line="276"/>
        <w:jc w:val="both"/>
      </w:pPr>
      <w:r>
        <w:rPr>
          <w:rFonts w:ascii="Barlow Semi Condensed" w:cs="Barlow Semi Condensed" w:eastAsia="Barlow Semi Condensed" w:hAnsi="Barlow Semi Condensed"/>
          <w:sz w:val="24"/>
          <w:szCs w:val="24"/>
        </w:rPr>
        <w:t xml:space="preserve">Il capitolo espone il contesto delle relazioni fra i due Stati, e verifica se la materia clandestina vi sia mai comparsa.</w:t>
      </w:r>
    </w:p>
    <w:p>
      <w:pPr>
        <w:spacing w:after="120" w:line="276"/>
        <w:jc w:val="both"/>
      </w:pPr>
      <w:r>
        <w:rPr>
          <w:rFonts w:ascii="Barlow Semi Condensed" w:cs="Barlow Semi Condensed" w:eastAsia="Barlow Semi Condensed" w:hAnsi="Barlow Semi Condensed"/>
          <w:sz w:val="24"/>
          <w:szCs w:val="24"/>
        </w:rPr>
        <w:t xml:space="preserve">Il quadro generale, dalla storiografia accademica. Le relazioni luso-italiane furono in quegli anni profondamente condizionate dalla guerra coloniale portoghese, con l'Italia divisa fra la fedeltà atlantica all'alleato e posizioni crescentemente favorevoli all'autodeterminazione.</w:t>
      </w:r>
    </w:p>
    <w:p>
      <w:pPr>
        <w:spacing w:after="120" w:line="276"/>
        <w:jc w:val="both"/>
      </w:pPr>
      <w:r>
        <w:rPr>
          <w:rFonts w:ascii="Barlow Semi Condensed" w:cs="Barlow Semi Condensed" w:eastAsia="Barlow Semi Condensed" w:hAnsi="Barlow Semi Condensed"/>
          <w:sz w:val="24"/>
          <w:szCs w:val="24"/>
        </w:rPr>
        <w:t xml:space="preserve">Un dato va enunciato perché è notevole. Roma divenne un centro dell'opposizione antisalazarista in esilio, e l'Italia — soprattutto attraverso il rapporto con il movimento di liberazione mozambicano e a partire dai primi anni Settanta — giocò un ruolo importante nella legittimazione internazionale dei movimenti di liberazione delle colonie portoghesi in sede delle Nazioni Unite.</w:t>
      </w:r>
    </w:p>
    <w:p>
      <w:pPr>
        <w:spacing w:after="120" w:line="276"/>
        <w:jc w:val="both"/>
      </w:pPr>
      <w:r>
        <w:rPr>
          <w:rFonts w:ascii="Barlow Semi Condensed" w:cs="Barlow Semi Condensed" w:eastAsia="Barlow Semi Condensed" w:hAnsi="Barlow Semi Condensed"/>
          <w:sz w:val="24"/>
          <w:szCs w:val="24"/>
        </w:rPr>
        <w:t xml:space="preserve">Ne discende una circostanza che merita di essere registrata: nel medesimo periodo in cui Aginter Press operava a Lisbona contro quei movimenti, Roma ne ospitava la rappresentanza in esilio. Le due cose sono documentate e indipendenti; il loro accostamento non stabilisce alcun nesso, e lo si registra come contesto e non come connessione.</w:t>
      </w:r>
    </w:p>
    <w:p>
      <w:pPr>
        <w:spacing w:after="120" w:line="276"/>
        <w:jc w:val="both"/>
      </w:pPr>
      <w:r>
        <w:rPr>
          <w:rFonts w:ascii="Barlow Semi Condensed" w:cs="Barlow Semi Condensed" w:eastAsia="Barlow Semi Condensed" w:hAnsi="Barlow Semi Condensed"/>
          <w:sz w:val="24"/>
          <w:szCs w:val="24"/>
        </w:rPr>
        <w:t xml:space="preserve">Un episodio del dialogo bilaterale, del 1965.\</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Salazar, in conversazione con l'ambasciatore italiano,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deplorava che fra le conseguenze della Seconda guerra mondiale vi fosse stata l'imposizione all'Italia di abbandonare le proprie colonie.</w:t>
      </w:r>
    </w:p>
    <w:p>
      <w:pPr>
        <w:spacing w:after="120" w:line="276"/>
        <w:jc w:val="both"/>
      </w:pPr>
      <w:r>
        <w:rPr>
          <w:rFonts w:ascii="Barlow Semi Condensed" w:cs="Barlow Semi Condensed" w:eastAsia="Barlow Semi Condensed" w:hAnsi="Barlow Semi Condensed"/>
          <w:sz w:val="24"/>
          <w:szCs w:val="24"/>
        </w:rPr>
        <w:t xml:space="preserve">L'episodio attesta un dialogo diretto fra il capo del regime e l'ambasciatore italiano, ma su temi coloniali e ideologici — non su attività clandestine.</w:t>
      </w:r>
    </w:p>
    <w:p>
      <w:pPr>
        <w:spacing w:after="120" w:line="276"/>
        <w:jc w:val="both"/>
      </w:pPr>
      <w:r>
        <w:rPr>
          <w:rFonts w:ascii="Barlow Semi Condensed" w:cs="Barlow Semi Condensed" w:eastAsia="Barlow Semi Condensed" w:hAnsi="Barlow Semi Condensed"/>
          <w:sz w:val="24"/>
          <w:szCs w:val="24"/>
        </w:rPr>
        <w:t xml:space="preserve">Non è stata reperita alcuna traccia di un incidente diplomatico bilaterale relativo ad attività clandestine su suolo portoghese, né di una sollevazione in sede bilaterale della questione Aginter.</w:t>
      </w:r>
    </w:p>
    <w:p>
      <w:pPr>
        <w:spacing w:after="120" w:line="276"/>
        <w:jc w:val="both"/>
      </w:pPr>
      <w:r>
        <w:rPr>
          <w:rFonts w:ascii="Barlow Semi Condensed" w:cs="Barlow Semi Condensed" w:eastAsia="Barlow Semi Condensed" w:hAnsi="Barlow Semi Condensed"/>
          <w:sz w:val="24"/>
          <w:szCs w:val="24"/>
        </w:rPr>
        <w:t xml:space="preserve">Sulle forniture di armamenti, le fonti indicano che l'armamento portoghese dipendeva prevalentemente da forniture americane e tedesche, e non menzionano l'Italia come fornitore. Questa assenza va segnalata con cautela, non avendo la ricerca potuto consultare lo studio specialistico portoghese né le banche dati sull'export.</w:t>
      </w:r>
    </w:p>
    <w:p>
      <w:pPr>
        <w:spacing w:after="120" w:line="276"/>
        <w:jc w:val="both"/>
      </w:pPr>
      <w:r>
        <w:rPr>
          <w:rFonts w:ascii="Barlow Semi Condensed" w:cs="Barlow Semi Condensed" w:eastAsia="Barlow Semi Condensed" w:hAnsi="Barlow Semi Condensed"/>
          <w:sz w:val="24"/>
          <w:szCs w:val="24"/>
        </w:rPr>
        <w:t xml:space="preserve">Un caso emblematico della cautela diplomatica italiana verso Lisbona chiude il capitolo, ed è già acquisito nel corpus. L'espulsione dal Mozambico, il 13 aprile 1974, di un gruppo di missionari comboniani italiani a seguito del documento Imperativo di coscienza del vescovo di Nampula Manuel Vieira Pinto, anch'egli allontanato.</w:t>
      </w:r>
    </w:p>
    <w:p>
      <w:pPr>
        <w:spacing w:after="120" w:line="276"/>
        <w:jc w:val="both"/>
      </w:pPr>
      <w:r>
        <w:rPr>
          <w:rFonts w:ascii="Barlow Semi Condensed" w:cs="Barlow Semi Condensed" w:eastAsia="Barlow Semi Condensed" w:hAnsi="Barlow Semi Condensed"/>
          <w:sz w:val="24"/>
          <w:szCs w:val="24"/>
        </w:rPr>
        <w:t xml:space="preserve">Sul numero degli espulsi le fonti divergono, e la divergenza va registrata perché tocca un dato già iscritto nel corpus. Le fonti comboniane parlano di undici comboniani; altra tradizione riferisce del vescovo e di tredici; il contesto acquisito dalla quinta ricognizione indicava nove.</w:t>
      </w:r>
    </w:p>
    <w:p>
      <w:pPr>
        <w:spacing w:after="120" w:line="276"/>
        <w:jc w:val="both"/>
      </w:pPr>
      <w:r>
        <w:rPr>
          <w:rFonts w:ascii="Barlow Semi Condensed" w:cs="Barlow Semi Condensed" w:eastAsia="Barlow Semi Condensed" w:hAnsi="Barlow Semi Condensed"/>
          <w:sz w:val="24"/>
          <w:szCs w:val="24"/>
        </w:rPr>
        <w:t xml:space="preserve">La divergenza non intacca il dato che qui rileva: l'assenza di traccia di un intervento diplomatico italiano.</w:t>
      </w:r>
    </w:p>
    <w:p>
      <w:pPr>
        <w:pStyle w:val="Heading2"/>
        <w:spacing w:after="100" w:before="200"/>
      </w:pPr>
      <w:r>
        <w:rPr>
          <w:rFonts w:ascii="Barlow Semi Condensed" w:cs="Barlow Semi Condensed" w:eastAsia="Barlow Semi Condensed" w:hAnsi="Barlow Semi Condensed"/>
          <w:sz w:val="24"/>
          <w:szCs w:val="24"/>
        </w:rPr>
        <w:t xml:space="preserve">Capitolo decimo — Perché il primo silenzio è conoscitivo e non accertato</w:t>
      </w:r>
    </w:p>
    <w:p>
      <w:pPr>
        <w:spacing w:after="120" w:line="276"/>
        <w:jc w:val="both"/>
      </w:pPr>
      <w:r>
        <w:rPr>
          <w:rFonts w:ascii="Barlow Semi Condensed" w:cs="Barlow Semi Condensed" w:eastAsia="Barlow Semi Condensed" w:hAnsi="Barlow Semi Condensed"/>
          <w:sz w:val="24"/>
          <w:szCs w:val="24"/>
        </w:rPr>
        <w:t xml:space="preserve">Il capitolo documenta le tre circostanze che rendono lo Stato Zero diplomatico un esito conoscitivo anziché un accertamento positivo, perché tacerle sarebbe presentare come prova ciò che è limite.</w:t>
      </w:r>
    </w:p>
    <w:p>
      <w:pPr>
        <w:spacing w:after="120" w:line="276"/>
        <w:jc w:val="both"/>
      </w:pPr>
      <w:r>
        <w:rPr>
          <w:rFonts w:ascii="Barlow Semi Condensed" w:cs="Barlow Semi Condensed" w:eastAsia="Barlow Semi Condensed" w:hAnsi="Barlow Semi Condensed"/>
          <w:sz w:val="24"/>
          <w:szCs w:val="24"/>
        </w:rPr>
        <w:t xml:space="preserve">Prima circostanza — i Documenti Diplomatici Italiani non coprono il periodo. La collana ufficiale, che sarebbe lo strumento più rapido per una prima verifica, procede per serie e l'ultimo volume edito arriva cronologicamente al 1952: sesto volume dell'undicesima serie, relativo al settimo governo De Gasperi fino al 30 giugno 1952.</w:t>
      </w:r>
    </w:p>
    <w:p>
      <w:pPr>
        <w:spacing w:after="120" w:line="276"/>
        <w:jc w:val="both"/>
      </w:pPr>
      <w:r>
        <w:rPr>
          <w:rFonts w:ascii="Barlow Semi Condensed" w:cs="Barlow Semi Condensed" w:eastAsia="Barlow Semi Condensed" w:hAnsi="Barlow Semi Condensed"/>
          <w:sz w:val="24"/>
          <w:szCs w:val="24"/>
        </w:rPr>
        <w:t xml:space="preserve">Ne discende che i Documenti Diplomatici Italiani non possono contenere alcun riferimento ad Aginter Press — non per silenzio selettivo ma per non avvenuto raggiungimento del periodo.</w:t>
      </w:r>
    </w:p>
    <w:p>
      <w:pPr>
        <w:spacing w:after="120" w:line="276"/>
        <w:jc w:val="both"/>
      </w:pPr>
      <w:r>
        <w:rPr>
          <w:rFonts w:ascii="Barlow Semi Condensed" w:cs="Barlow Semi Condensed" w:eastAsia="Barlow Semi Condensed" w:hAnsi="Barlow Semi Condensed"/>
          <w:sz w:val="24"/>
          <w:szCs w:val="24"/>
        </w:rPr>
        <w:t xml:space="preserve">È assenza strutturale, non editoriale, e va distinta da ogni altra.</w:t>
      </w:r>
    </w:p>
    <w:p>
      <w:pPr>
        <w:spacing w:after="120" w:line="276"/>
        <w:jc w:val="both"/>
      </w:pPr>
      <w:r>
        <w:rPr>
          <w:rFonts w:ascii="Barlow Semi Condensed" w:cs="Barlow Semi Condensed" w:eastAsia="Barlow Semi Condensed" w:hAnsi="Barlow Semi Condensed"/>
          <w:sz w:val="24"/>
          <w:szCs w:val="24"/>
        </w:rPr>
        <w:t xml:space="preserve">Seconda circostanza — il regime di accesso dell'Archivio Storico Diplomatico. Esso conserva circa trenta chilometri lineari di documenti e — circostanza rilevante — non versa la propria documentazione all'Archivio Centrale dello Stato ma la conserva presso di sé.</w:t>
      </w:r>
    </w:p>
    <w:p>
      <w:pPr>
        <w:spacing w:after="120" w:line="276"/>
        <w:jc w:val="both"/>
      </w:pPr>
      <w:r>
        <w:rPr>
          <w:rFonts w:ascii="Barlow Semi Condensed" w:cs="Barlow Semi Condensed" w:eastAsia="Barlow Semi Condensed" w:hAnsi="Barlow Semi Condensed"/>
          <w:sz w:val="24"/>
          <w:szCs w:val="24"/>
        </w:rPr>
        <w:t xml:space="preserve">L'accesso è subordinato\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 registrazione, autorizzazione del capo dell'Unità e prenotazione; 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 la documentazione dal 1949 in poi l'utente è tenuto a inviare un elenco dei faldoni che intende consultare per verificarne la disponibilità.</w:t>
      </w:r>
    </w:p>
    <w:p>
      <w:pPr>
        <w:spacing w:after="120" w:line="276"/>
        <w:jc w:val="both"/>
      </w:pPr>
      <w:r>
        <w:rPr>
          <w:rFonts w:ascii="Barlow Semi Condensed" w:cs="Barlow Semi Condensed" w:eastAsia="Barlow Semi Condensed" w:hAnsi="Barlow Semi Condensed"/>
          <w:sz w:val="24"/>
          <w:szCs w:val="24"/>
        </w:rPr>
        <w:t xml:space="preserve">Il rilievo operativo va enunciato: non è possibile una ricerca esplorativa. Occorre sapere che cosa si cerca prima di poterlo cercare — ed è precisamente ciò che rende necessario il dato dei capi missione fissato al Capitolo secondo.</w:t>
      </w:r>
    </w:p>
    <w:p>
      <w:pPr>
        <w:spacing w:after="120" w:line="276"/>
        <w:jc w:val="both"/>
      </w:pPr>
      <w:r>
        <w:rPr>
          <w:rFonts w:ascii="Barlow Semi Condensed" w:cs="Barlow Semi Condensed" w:eastAsia="Barlow Semi Condensed" w:hAnsi="Barlow Semi Condensed"/>
          <w:sz w:val="24"/>
          <w:szCs w:val="24"/>
        </w:rPr>
        <w:t xml:space="preserve">Si aggiunge che la serie Telegrammi, già segnalata come esclusa per lavori, risulta restaurata e rilegata e per ciò stesso non fotocopiabile, il che limita ulteriormente la ricerca anche a esclusione superata.</w:t>
      </w:r>
    </w:p>
    <w:p>
      <w:pPr>
        <w:spacing w:after="120" w:line="276"/>
        <w:jc w:val="both"/>
      </w:pPr>
      <w:r>
        <w:rPr>
          <w:rFonts w:ascii="Barlow Semi Condensed" w:cs="Barlow Semi Condensed" w:eastAsia="Barlow Semi Condensed" w:hAnsi="Barlow Semi Condensed"/>
          <w:sz w:val="24"/>
          <w:szCs w:val="24"/>
        </w:rPr>
        <w:t xml:space="preserve">Terza circostanza — il silenzio della storiografia bilaterale.\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letteratura sulle relazioni italo-portoghesi del periodo esiste ed è di qualità, 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ha mai incrociato il tema Aginter.</w:t>
      </w:r>
    </w:p>
    <w:p>
      <w:pPr>
        <w:spacing w:after="120" w:line="276"/>
        <w:jc w:val="both"/>
      </w:pPr>
      <w:r>
        <w:rPr>
          <w:rFonts w:ascii="Barlow Semi Condensed" w:cs="Barlow Semi Condensed" w:eastAsia="Barlow Semi Condensed" w:hAnsi="Barlow Semi Condensed"/>
          <w:sz w:val="24"/>
          <w:szCs w:val="24"/>
        </w:rPr>
        <w:t xml:space="preserve">Ne discende che nessuna delle tre vie di verifica rapida è percorribile, e che l'esito negativo qui raggiunto è Stato Zero di secondo grado secondo la gradazione consolidata nel corpus: limite di strumento, non impossibilità istituzionale né deposito inesplorato.</w:t>
      </w:r>
    </w:p>
    <w:p>
      <w:pPr>
        <w:spacing w:after="120" w:line="276"/>
        <w:jc w:val="both"/>
      </w:pPr>
      <w:r>
        <w:rPr>
          <w:rFonts w:ascii="Barlow Semi Condensed" w:cs="Barlow Semi Condensed" w:eastAsia="Barlow Semi Condensed" w:hAnsi="Barlow Semi Condensed"/>
          <w:sz w:val="24"/>
          <w:szCs w:val="24"/>
        </w:rPr>
        <w:t xml:space="preserve">La sede per convertirlo in accertamento definitivo, positivo o negativo, è l'Archivio Storico Diplomatico, serie Portogallo 1966-1975 e registri dell'ambasciata di Lisbona sotto Cerulli Irelli e Messeri.</w:t>
      </w:r>
    </w:p>
    <w:p>
      <w:pPr>
        <w:spacing w:after="120" w:line="276"/>
        <w:jc w:val="both"/>
      </w:pPr>
      <w:r>
        <w:rPr>
          <w:rFonts w:ascii="Barlow Semi Condensed" w:cs="Barlow Semi Condensed" w:eastAsia="Barlow Semi Condensed" w:hAnsi="Barlow Semi Condensed"/>
          <w:sz w:val="24"/>
          <w:szCs w:val="24"/>
        </w:rPr>
        <w:t xml:space="preserve">Sul versante portoghese il fondo della polizia politica alla Torre do Tombo — parte di un complesso di circa centoquaranta chilometri lineari — è integrato nell'archivio nazionale per legge del 17 gennaio 1991 ma soggetto a regolamento proprio; e resta valida la dichiarazione del capo divisione secondo cui metà della documentazione esistente nei depositi è ancora da consultare.</w:t>
      </w:r>
    </w:p>
    <w:p>
      <w:pPr>
        <w:spacing w:after="120" w:line="276"/>
        <w:jc w:val="both"/>
      </w:pPr>
      <w:r>
        <w:rPr>
          <w:rFonts w:ascii="Barlow Semi Condensed" w:cs="Barlow Semi Condensed" w:eastAsia="Barlow Semi Condensed" w:hAnsi="Barlow Semi Condensed"/>
          <w:sz w:val="24"/>
          <w:szCs w:val="24"/>
        </w:rPr>
        <w:t xml:space="preserve">Sarebbe la sede dove verificare l'eventuale presenza di nominativi o corrispondenza italiani di fonte diplomatica anziché politica o poliziesca.</w:t>
      </w:r>
    </w:p>
    <w:p>
      <w:pPr>
        <w:pStyle w:val="Heading2"/>
        <w:spacing w:after="100" w:before="200"/>
      </w:pPr>
      <w:r>
        <w:rPr>
          <w:rFonts w:ascii="Barlow Semi Condensed" w:cs="Barlow Semi Condensed" w:eastAsia="Barlow Semi Condensed" w:hAnsi="Barlow Semi Condensed"/>
          <w:sz w:val="24"/>
          <w:szCs w:val="24"/>
        </w:rPr>
        <w:t xml:space="preserve">Capitolo undicesimo — L'ottavo grado: il falso positivo</w:t>
      </w:r>
    </w:p>
    <w:p>
      <w:pPr>
        <w:spacing w:after="120" w:line="276"/>
        <w:jc w:val="both"/>
      </w:pPr>
      <w:r>
        <w:rPr>
          <w:rFonts w:ascii="Barlow Semi Condensed" w:cs="Barlow Semi Condensed" w:eastAsia="Barlow Semi Condensed" w:hAnsi="Barlow Semi Condensed"/>
          <w:sz w:val="24"/>
          <w:szCs w:val="24"/>
        </w:rPr>
        <w:t xml:space="preserve">Il capitolo enuncia l'acquisizione che questa ricognizione consegna al sistema di gradazione degli Stati Zero già consolidato nel corpus.</w:t>
      </w:r>
    </w:p>
    <w:p>
      <w:pPr>
        <w:spacing w:after="120" w:line="276"/>
        <w:jc w:val="both"/>
      </w:pPr>
      <w:r>
        <w:rPr>
          <w:rFonts w:ascii="Barlow Semi Condensed" w:cs="Barlow Semi Condensed" w:eastAsia="Barlow Semi Condensed" w:hAnsi="Barlow Semi Condensed"/>
          <w:sz w:val="24"/>
          <w:szCs w:val="24"/>
        </w:rPr>
        <w:t xml:space="preserve">Il sistema vigente conta sette gradi, ordinati per natura dell'impedimento: impossibilità istituzionale; limite di strumento; deposito inesplorato; insieme vuoto verificato; esito negativo presso i beneficiari; assenza coerente con la collocazione; allegazione senza base documentale.</w:t>
      </w:r>
    </w:p>
    <w:p>
      <w:pPr>
        <w:spacing w:after="120" w:line="276"/>
        <w:jc w:val="both"/>
      </w:pPr>
      <w:r>
        <w:rPr>
          <w:rFonts w:ascii="Barlow Semi Condensed" w:cs="Barlow Semi Condensed" w:eastAsia="Barlow Semi Condensed" w:hAnsi="Barlow Semi Condensed"/>
          <w:sz w:val="24"/>
          <w:szCs w:val="24"/>
        </w:rPr>
        <w:t xml:space="preserve">Nessuno dei sette contempla il caso accertato al Capitolo quarto.</w:t>
      </w:r>
    </w:p>
    <w:p>
      <w:pPr>
        <w:spacing w:after="120" w:line="276"/>
        <w:jc w:val="both"/>
      </w:pPr>
      <w:r>
        <w:rPr>
          <w:rFonts w:ascii="Barlow Semi Condensed" w:cs="Barlow Semi Condensed" w:eastAsia="Barlow Semi Condensed" w:hAnsi="Barlow Semi Condensed"/>
          <w:sz w:val="24"/>
          <w:szCs w:val="24"/>
        </w:rPr>
        <w:t xml:space="preserve">Perché essi presuppongono tutti che l'informazione manchi. Il primo perché nessuno può accedervi; il secondo perché non è interrogabile; il terzo perché nessuno l'ha letta; il quarto perché non c'è; il quinto e il sesto perché non se ne trova traccia; il settimo perché ciò che si afferma non ha base.</w:t>
      </w:r>
    </w:p>
    <w:p>
      <w:pPr>
        <w:spacing w:after="120" w:line="276"/>
        <w:jc w:val="both"/>
      </w:pPr>
      <w:r>
        <w:rPr>
          <w:rFonts w:ascii="Barlow Semi Condensed" w:cs="Barlow Semi Condensed" w:eastAsia="Barlow Semi Condensed" w:hAnsi="Barlow Semi Condensed"/>
          <w:sz w:val="24"/>
          <w:szCs w:val="24"/>
        </w:rPr>
        <w:t xml:space="preserve">Ma nel caso del SID l'informazione non mancava: era detenuta, ed è stata sostituita.</w:t>
      </w:r>
    </w:p>
    <w:p>
      <w:pPr>
        <w:spacing w:after="120" w:line="276"/>
        <w:jc w:val="both"/>
      </w:pPr>
      <w:r>
        <w:rPr>
          <w:rFonts w:ascii="Barlow Semi Condensed" w:cs="Barlow Semi Condensed" w:eastAsia="Barlow Semi Condensed" w:hAnsi="Barlow Semi Condensed"/>
          <w:sz w:val="24"/>
          <w:szCs w:val="24"/>
        </w:rPr>
        <w:t xml:space="preserve">Propongo dunque un ottavo grado, e lo denomino falso positivo.</w:t>
      </w:r>
    </w:p>
    <w:p>
      <w:pPr>
        <w:spacing w:after="120" w:line="276"/>
        <w:jc w:val="both"/>
      </w:pPr>
      <w:r>
        <w:rPr>
          <w:rFonts w:ascii="Barlow Semi Condensed" w:cs="Barlow Semi Condensed" w:eastAsia="Barlow Semi Condensed" w:hAnsi="Barlow Semi Condensed"/>
          <w:sz w:val="24"/>
          <w:szCs w:val="24"/>
        </w:rPr>
        <w:t xml:space="preserve">Definizione: un apparato detiene la qualificazione corretta di un soggetto e ne diffonde una diversa, sicché all'esterno non risulta un'assenza di informazione ma la presenza di un'informazione falsa.</w:t>
      </w:r>
    </w:p>
    <w:p>
      <w:pPr>
        <w:spacing w:after="120" w:line="276"/>
        <w:jc w:val="both"/>
      </w:pPr>
      <w:r>
        <w:rPr>
          <w:rFonts w:ascii="Barlow Semi Condensed" w:cs="Barlow Semi Condensed" w:eastAsia="Barlow Semi Condensed" w:hAnsi="Barlow Semi Condensed"/>
          <w:sz w:val="24"/>
          <w:szCs w:val="24"/>
        </w:rPr>
        <w:t xml:space="preserve">Le sue proprietà vanno enunciate perché lo distinguono dagli altri sette, e sono tre.</w:t>
      </w:r>
    </w:p>
    <w:p>
      <w:pPr>
        <w:spacing w:after="120" w:line="276"/>
        <w:jc w:val="both"/>
      </w:pPr>
      <w:r>
        <w:rPr>
          <w:rFonts w:ascii="Barlow Semi Condensed" w:cs="Barlow Semi Condensed" w:eastAsia="Barlow Semi Condensed" w:hAnsi="Barlow Semi Condensed"/>
          <w:sz w:val="24"/>
          <w:szCs w:val="24"/>
        </w:rPr>
        <w:t xml:space="preserve">Prima: è invisibile alla ricerca che cerchi assenze. Chi verifichi se lo Stato sapesse trova che qualcosa fu scritto e comunicato, e conclude che l'apparato funzionò. Occorre il confronto fra ciò che fu detenuto e ciò che fu trasmesso, e tale confronto richiede l'accesso al fascicolo interno, che è precisamente ciò che manca di norma.</w:t>
      </w:r>
    </w:p>
    <w:p>
      <w:pPr>
        <w:spacing w:after="120" w:line="276"/>
        <w:jc w:val="both"/>
      </w:pPr>
      <w:r>
        <w:rPr>
          <w:rFonts w:ascii="Barlow Semi Condensed" w:cs="Barlow Semi Condensed" w:eastAsia="Barlow Semi Condensed" w:hAnsi="Barlow Semi Condensed"/>
          <w:sz w:val="24"/>
          <w:szCs w:val="24"/>
        </w:rPr>
        <w:t xml:space="preserve">Seconda: esso corrompe a valle. L'appunto del 16 dicembre entrò nelle indagini e ne orientò una parte; il ritardo di oltre tre anni con cui pervenne alla magistratura ne differì la valutazione critica. Un'informazione falsa immessa in un procedimento produce effetti che la sua successiva smentita non annulla.</w:t>
      </w:r>
    </w:p>
    <w:p>
      <w:pPr>
        <w:spacing w:after="120" w:line="276"/>
        <w:jc w:val="both"/>
      </w:pPr>
      <w:r>
        <w:rPr>
          <w:rFonts w:ascii="Barlow Semi Condensed" w:cs="Barlow Semi Condensed" w:eastAsia="Barlow Semi Condensed" w:hAnsi="Barlow Semi Condensed"/>
          <w:sz w:val="24"/>
          <w:szCs w:val="24"/>
        </w:rPr>
        <w:t xml:space="preserve">Terza: è verificabile soltanto per via esterna. In questo caso l'accertamento proviene da storiografia accademica francese, cioè da un soggetto estraneo tanto agli apparati quanto alla materia nazionale. Nessuna fonte interna al sistema che produsse il falso positivo poteva rilevarlo.</w:t>
      </w:r>
    </w:p>
    <w:p>
      <w:pPr>
        <w:spacing w:after="120" w:line="276"/>
        <w:jc w:val="both"/>
      </w:pPr>
      <w:r>
        <w:rPr>
          <w:rFonts w:ascii="Barlow Semi Condensed" w:cs="Barlow Semi Condensed" w:eastAsia="Barlow Semi Condensed" w:hAnsi="Barlow Semi Condensed"/>
          <w:sz w:val="24"/>
          <w:szCs w:val="24"/>
        </w:rPr>
        <w:t xml:space="preserve">Ne discende un corollario che tocca la quinta proposizione della serie e va enunciato perché la corregge.</w:t>
      </w:r>
    </w:p>
    <w:p>
      <w:pPr>
        <w:spacing w:after="120" w:line="276"/>
        <w:jc w:val="both"/>
      </w:pPr>
      <w:r>
        <w:rPr>
          <w:rFonts w:ascii="Barlow Semi Condensed" w:cs="Barlow Semi Condensed" w:eastAsia="Barlow Semi Condensed" w:hAnsi="Barlow Semi Condensed"/>
          <w:sz w:val="24"/>
          <w:szCs w:val="24"/>
        </w:rPr>
        <w:t xml:space="preserve">La quinta proposizione dice che una connessione reale lascia tracce presso soggetti che non avevano interesse a produrle. Essa resta valida. Ma il falso positivo mostra che il rovescio non tiene: l'esistenza di una traccia presso un soggetto istituzionale non prova la realtà di ciò che essa afferma, perché quella traccia può essere stata prodotta proprio da chi aveva interesse a produrla in quella forma.</w:t>
      </w:r>
    </w:p>
    <w:p>
      <w:pPr>
        <w:spacing w:after="120" w:line="276"/>
        <w:jc w:val="both"/>
      </w:pPr>
      <w:r>
        <w:rPr>
          <w:rFonts w:ascii="Barlow Semi Condensed" w:cs="Barlow Semi Condensed" w:eastAsia="Barlow Semi Condensed" w:hAnsi="Barlow Semi Condensed"/>
          <w:sz w:val="24"/>
          <w:szCs w:val="24"/>
        </w:rPr>
        <w:t xml:space="preserve">La quinta proposizione va dunque letta in una sola direzione: l'assenza totale di traccia presso soggetti disinteressati indica un'affermazione; ma la presenza di traccia presso un soggetto interessato non indica un fatto.</w:t>
      </w:r>
    </w:p>
    <w:p>
      <w:pPr>
        <w:pStyle w:val="Heading2"/>
        <w:spacing w:after="100" w:before="200"/>
      </w:pPr>
      <w:r>
        <w:rPr>
          <w:rFonts w:ascii="Barlow Semi Condensed" w:cs="Barlow Semi Condensed" w:eastAsia="Barlow Semi Condensed" w:hAnsi="Barlow Semi Condensed"/>
          <w:sz w:val="24"/>
          <w:szCs w:val="24"/>
        </w:rPr>
        <w:t xml:space="preserve">Capitolo dodicesimo — Bilancio, tavola, e ciò che tredici ricognizioni hanno stabilito sull'Italia</w:t>
      </w:r>
    </w:p>
    <w:p>
      <w:pPr>
        <w:spacing w:after="120" w:line="276"/>
        <w:jc w:val="both"/>
      </w:pPr>
      <w:r>
        <w:rPr>
          <w:rFonts w:ascii="Barlow Semi Condensed" w:cs="Barlow Semi Condensed" w:eastAsia="Barlow Semi Condensed" w:hAnsi="Barlow Semi Condensed"/>
          <w:sz w:val="24"/>
          <w:szCs w:val="24"/>
        </w:rPr>
        <w:t xml:space="preserve">La previsione, verificata nei suoi tre elementi.</w:t>
      </w:r>
    </w:p>
    <w:p>
      <w:pPr>
        <w:spacing w:after="120" w:line="276"/>
        <w:jc w:val="both"/>
      </w:pPr>
      <w:r>
        <w:rPr>
          <w:rFonts w:ascii="Barlow Semi Condensed" w:cs="Barlow Semi Condensed" w:eastAsia="Barlow Semi Condensed" w:hAnsi="Barlow Semi Condensed"/>
          <w:sz w:val="24"/>
          <w:szCs w:val="24"/>
        </w:rPr>
        <w:t xml:space="preserve">Sul versante informativo l'esito è positivo e documentato con segnatura: il fascicolo del SID intestato a Guérin-Sérac, volume quaranta fascicolo cinque fogli diciotto e seguenti, oltre alle acquisizioni successive tramite SISMI e SISDE.</w:t>
      </w:r>
    </w:p>
    <w:p>
      <w:pPr>
        <w:spacing w:after="120" w:line="276"/>
        <w:jc w:val="both"/>
      </w:pPr>
      <w:r>
        <w:rPr>
          <w:rFonts w:ascii="Barlow Semi Condensed" w:cs="Barlow Semi Condensed" w:eastAsia="Barlow Semi Condensed" w:hAnsi="Barlow Semi Condensed"/>
          <w:sz w:val="24"/>
          <w:szCs w:val="24"/>
        </w:rPr>
        <w:t xml:space="preserve">Sul versante diplomatico l'esito è Stato Zero, qualificato al Capitolo decimo come conoscitivo e di secondo grado.</w:t>
      </w:r>
    </w:p>
    <w:p>
      <w:pPr>
        <w:spacing w:after="120" w:line="276"/>
        <w:jc w:val="both"/>
      </w:pPr>
      <w:r>
        <w:rPr>
          <w:rFonts w:ascii="Barlow Semi Condensed" w:cs="Barlow Semi Condensed" w:eastAsia="Barlow Semi Condensed" w:hAnsi="Barlow Semi Condensed"/>
          <w:sz w:val="24"/>
          <w:szCs w:val="24"/>
        </w:rPr>
        <w:t xml:space="preserve">Lo scarto fra i due è il risultato principale\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il Capitolo primo ne ha enunciato la lettura: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un'anomalia da spiegare con un occultamento, ma la conseguenza prevedibile della diversa missione dei due apparati.</w:t>
      </w:r>
    </w:p>
    <w:p>
      <w:pPr>
        <w:spacing w:after="120" w:line="276"/>
        <w:jc w:val="both"/>
      </w:pPr>
      <w:r>
        <w:rPr>
          <w:rFonts w:ascii="Barlow Semi Condensed" w:cs="Barlow Semi Condensed" w:eastAsia="Barlow Semi Condensed" w:hAnsi="Barlow Semi Condensed"/>
          <w:sz w:val="24"/>
          <w:szCs w:val="24"/>
        </w:rPr>
        <w:t xml:space="preserve">Ne discende una prescrizione doppia e simmetrica, che va enunciata perché entrambe le inferenze opposte sono disponibili e nessuna delle due è autorizzata.</w:t>
      </w:r>
    </w:p>
    <w:p>
      <w:pPr>
        <w:spacing w:after="120" w:line="276"/>
        <w:jc w:val="both"/>
      </w:pPr>
      <w:r>
        <w:rPr>
          <w:rFonts w:ascii="Barlow Semi Condensed" w:cs="Barlow Semi Condensed" w:eastAsia="Barlow Semi Condensed" w:hAnsi="Barlow Semi Condensed"/>
          <w:sz w:val="24"/>
          <w:szCs w:val="24"/>
        </w:rPr>
        <w:t xml:space="preserve">Trattare il silenzio diplomatico come prova di complicità è inferenza non autorizzata dalle fonti. Trattarlo come prova di ignoranza lo è altrettanto.</w:t>
      </w:r>
    </w:p>
    <w:p>
      <w:pPr>
        <w:spacing w:after="120" w:line="276"/>
        <w:jc w:val="both"/>
      </w:pPr>
      <w:r>
        <w:rPr>
          <w:rFonts w:ascii="Barlow Semi Condensed" w:cs="Barlow Semi Condensed" w:eastAsia="Barlow Semi Condensed" w:hAnsi="Barlow Semi Condensed"/>
          <w:sz w:val="24"/>
          <w:szCs w:val="24"/>
        </w:rPr>
        <w:t xml:space="preserve">Ciò che le fonti consentono di affermare è che la cognizione di Aginter Press, nello Stato italiano, circolò per il canale informativo e giudiziario, e che di una sua circolazione per il canale diplomatico non esiste, allo stato, alcuna traccia.</w:t>
      </w:r>
    </w:p>
    <w:p>
      <w:pPr>
        <w:spacing w:after="120" w:line="276"/>
        <w:jc w:val="both"/>
      </w:pPr>
      <w:r>
        <w:rPr>
          <w:rFonts w:ascii="Barlow Semi Condensed" w:cs="Barlow Semi Condensed" w:eastAsia="Barlow Semi Condensed" w:hAnsi="Barlow Semi Condensed"/>
          <w:sz w:val="24"/>
          <w:szCs w:val="24"/>
        </w:rPr>
        <w:t xml:space="preserve">La tavola delle acquisizioni non conseguite, per rendimento atteso.</w:t>
      </w:r>
    </w:p>
    <w:p>
      <w:pPr>
        <w:spacing w:after="120" w:line="276"/>
        <w:jc w:val="both"/>
      </w:pPr>
      <w:r>
        <w:rPr>
          <w:rFonts w:ascii="Barlow Semi Condensed" w:cs="Barlow Semi Condensed" w:eastAsia="Barlow Semi Condensed" w:hAnsi="Barlow Semi Condensed"/>
          <w:sz w:val="24"/>
          <w:szCs w:val="24"/>
        </w:rPr>
        <w:t xml:space="preserve">Prima voce. Verifica diretta della serie Portogallo 1966-1975 e dei registri dell'ambasciata di Lisbona presso l'Archivio Storico Diplomatico, sotto i due capi missione Cerulli Irelli e Messeri. Condizione: consultazione autorizzata previo invio dell'elenco dei faldoni, e sblocco della serie telegrafica.</w:t>
      </w:r>
    </w:p>
    <w:p>
      <w:pPr>
        <w:spacing w:after="120" w:line="276"/>
        <w:jc w:val="both"/>
      </w:pPr>
      <w:r>
        <w:rPr>
          <w:rFonts w:ascii="Barlow Semi Condensed" w:cs="Barlow Semi Condensed" w:eastAsia="Barlow Semi Condensed" w:hAnsi="Barlow Semi Condensed"/>
          <w:sz w:val="24"/>
          <w:szCs w:val="24"/>
        </w:rPr>
        <w:t xml:space="preserve">Seconda voce. Verifica, nel fondo della polizia politica alla Torre do Tombo, dell'eventuale presenza di nominativi o corrispondenza italiani di fonte diplomatica. Condizione: autorizzazione secondo il regolamento proprio, e accesso alla metà inesplorata dei depositi.</w:t>
      </w:r>
    </w:p>
    <w:p>
      <w:pPr>
        <w:spacing w:after="120" w:line="276"/>
        <w:jc w:val="both"/>
      </w:pPr>
      <w:r>
        <w:rPr>
          <w:rFonts w:ascii="Barlow Semi Condensed" w:cs="Barlow Semi Condensed" w:eastAsia="Barlow Semi Condensed" w:hAnsi="Barlow Semi Condensed"/>
          <w:sz w:val="24"/>
          <w:szCs w:val="24"/>
        </w:rPr>
        <w:t xml:space="preserve">Terza voce. Verifica negli atti integrali della Commissione P2 — circa centoventi volumi, informatizzati e disponibili anche presso un archivio privato — dell'eventuale presenza del nome Aginter in contesti diplomatici.</w:t>
      </w:r>
    </w:p>
    <w:p>
      <w:pPr>
        <w:spacing w:after="120" w:line="276"/>
        <w:jc w:val="both"/>
      </w:pPr>
      <w:r>
        <w:rPr>
          <w:rFonts w:ascii="Barlow Semi Condensed" w:cs="Barlow Semi Condensed" w:eastAsia="Barlow Semi Condensed" w:hAnsi="Barlow Semi Condensed"/>
          <w:sz w:val="24"/>
          <w:szCs w:val="24"/>
        </w:rPr>
        <w:t xml:space="preserve">Quarta voce, di rendimento incerto. L'eventuale export di armamenti italiani verso il Portogallo coloniale. Condizione: studio specialistico portoghese e banche dati sull'export.</w:t>
      </w:r>
    </w:p>
    <w:p>
      <w:pPr>
        <w:spacing w:after="120" w:line="276"/>
        <w:jc w:val="both"/>
      </w:pPr>
      <w:r>
        <w:rPr>
          <w:rFonts w:ascii="Barlow Semi Condensed" w:cs="Barlow Semi Condensed" w:eastAsia="Barlow Semi Condensed" w:hAnsi="Barlow Semi Condensed"/>
          <w:sz w:val="24"/>
          <w:szCs w:val="24"/>
        </w:rPr>
        <w:t xml:space="preserve">Quinta voce, residuale.\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Conferma documentale del mancato risalire dell'appunto alla catena politica. Condizione: desecretazione integrale degli archivi del servizio.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Condizione non disponibile.</w:t>
      </w:r>
    </w:p>
    <w:p>
      <w:pPr>
        <w:spacing w:after="120" w:line="276"/>
        <w:jc w:val="both"/>
      </w:pPr>
      <w:r>
        <w:rPr>
          <w:rFonts w:ascii="Barlow Semi Condensed" w:cs="Barlow Semi Condensed" w:eastAsia="Barlow Semi Condensed" w:hAnsi="Barlow Semi Condensed"/>
          <w:sz w:val="24"/>
          <w:szCs w:val="24"/>
        </w:rPr>
        <w:t xml:space="preserve">E adesso ciò che tredici ricognizioni hanno stabilito sull'Italia, che è il lascito di questo documento.</w:t>
      </w:r>
    </w:p>
    <w:p>
      <w:pPr>
        <w:spacing w:after="120" w:line="276"/>
        <w:jc w:val="both"/>
      </w:pPr>
      <w:r>
        <w:rPr>
          <w:rFonts w:ascii="Barlow Semi Condensed" w:cs="Barlow Semi Condensed" w:eastAsia="Barlow Semi Condensed" w:hAnsi="Barlow Semi Condensed"/>
          <w:sz w:val="24"/>
          <w:szCs w:val="24"/>
        </w:rPr>
        <w:t xml:space="preserve">Dodici ricognizioni avevano accertato l'assenza dello Stato italiano come attore documentato in sei perimetri diplomatici: Spagna, Portogallo, Grecia, Cipro, Turchia, Germania. La spiegazione era stata l'inaccessibilità degli archivi di governo.</w:t>
      </w:r>
    </w:p>
    <w:p>
      <w:pPr>
        <w:spacing w:after="120" w:line="276"/>
        <w:jc w:val="both"/>
      </w:pPr>
      <w:r>
        <w:rPr>
          <w:rFonts w:ascii="Barlow Semi Condensed" w:cs="Barlow Semi Condensed" w:eastAsia="Barlow Semi Condensed" w:hAnsi="Barlow Semi Condensed"/>
          <w:sz w:val="24"/>
          <w:szCs w:val="24"/>
        </w:rPr>
        <w:t xml:space="preserve">Questa tredicesima aggiunge un caso in cui lo Stato italiano non è assente: è presente, e produce un documento falso.</w:t>
      </w:r>
    </w:p>
    <w:p>
      <w:pPr>
        <w:spacing w:after="120" w:line="276"/>
        <w:jc w:val="both"/>
      </w:pPr>
      <w:r>
        <w:rPr>
          <w:rFonts w:ascii="Barlow Semi Condensed" w:cs="Barlow Semi Condensed" w:eastAsia="Barlow Semi Condensed" w:hAnsi="Barlow Semi Condensed"/>
          <w:sz w:val="24"/>
          <w:szCs w:val="24"/>
        </w:rPr>
        <w:t xml:space="preserve">La differenza fra i due tipi di silenzio va enunciata come acquisizione finale.</w:t>
      </w:r>
    </w:p>
    <w:p>
      <w:pPr>
        <w:spacing w:after="120" w:line="276"/>
        <w:jc w:val="both"/>
      </w:pPr>
      <w:r>
        <w:rPr>
          <w:rFonts w:ascii="Barlow Semi Condensed" w:cs="Barlow Semi Condensed" w:eastAsia="Barlow Semi Condensed" w:hAnsi="Barlow Semi Condensed"/>
          <w:sz w:val="24"/>
          <w:szCs w:val="24"/>
        </w:rPr>
        <w:t xml:space="preserve">Dove lo Stato italiano taceva, in dodici ricognizioni, non si è mai potuto stabilire se tacesse perché non agiva o perché il suo archivio non si apre.</w:t>
      </w:r>
    </w:p>
    <w:p>
      <w:pPr>
        <w:spacing w:after="120" w:line="276"/>
        <w:jc w:val="both"/>
      </w:pPr>
      <w:r>
        <w:rPr>
          <w:rFonts w:ascii="Barlow Semi Condensed" w:cs="Barlow Semi Condensed" w:eastAsia="Barlow Semi Condensed" w:hAnsi="Barlow Semi Condensed"/>
          <w:sz w:val="24"/>
          <w:szCs w:val="24"/>
        </w:rPr>
        <w:t xml:space="preserve">Qui, per una volta, l'archivio si è aperto — attraverso un'istruttoria giudiziaria e una segnatura — e ciò che vi si è trovato non è il silenzio. È un appunto che sbaglia la nazionalità del proprio soggetto, ne inverte l'ideologia, e arriva alla magistratura con tre anni di ritardo.</w:t>
      </w:r>
    </w:p>
    <w:p>
      <w:pPr>
        <w:spacing w:after="120" w:line="276"/>
        <w:jc w:val="both"/>
      </w:pPr>
      <w:r>
        <w:rPr>
          <w:rFonts w:ascii="Barlow Semi Condensed" w:cs="Barlow Semi Condensed" w:eastAsia="Barlow Semi Condensed" w:hAnsi="Barlow Semi Condensed"/>
          <w:sz w:val="24"/>
          <w:szCs w:val="24"/>
        </w:rPr>
        <w:t xml:space="preserve">Non so se questo renda più o meno preoccupante il silenzio degli altri undici perimetri. So che lo rende una domanda diversa.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XIV · Aginter Press E Lo Stato Italiano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XIV: 5.059 parole in 9 sezioni; la più ampia è §9 Altre sezioni, con 4.250.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XIV: 154 paragrafi in 9 sezioni, 17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XV — Il Silenzio Dello Stato: Azione O Archivio</w:t>
      </w:r>
    </w:p>
    <w:p>
      <w:pPr>
        <w:pStyle w:val="Heading1"/>
        <w:spacing w:after="120" w:before="240"/>
      </w:pPr>
      <w:r>
        <w:rPr>
          <w:rFonts w:ascii="Barlow Semi Condensed" w:cs="Barlow Semi Condensed" w:eastAsia="Barlow Semi Condensed" w:hAnsi="Barlow Semi Condensed"/>
          <w:sz w:val="24"/>
          <w:szCs w:val="24"/>
        </w:rPr>
        <w:t xml:space="preserve">IL SILENZIO DELLO STATO: AZIONE O ARCHIVIO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Quattordicesima ricognizione: la calibrazione libica</w:t>
      </w:r>
    </w:p>
    <w:p>
      <w:pPr>
        <w:pStyle w:val="Heading2"/>
        <w:spacing w:after="100" w:before="200"/>
      </w:pPr>
      <w:r>
        <w:rPr>
          <w:rFonts w:ascii="Barlow Semi Condensed" w:cs="Barlow Semi Condensed" w:eastAsia="Barlow Semi Condensed" w:hAnsi="Barlow Semi Condensed"/>
          <w:sz w:val="24"/>
          <w:szCs w:val="24"/>
        </w:rPr>
        <w:t xml:space="preserve">La Farnesina agi. Osimo, il canale parallelo, e l'emendazione al Registro</w:t>
      </w:r>
    </w:p>
    <w:p>
      <w:pPr>
        <w:pStyle w:val="Heading2"/>
        <w:spacing w:after="100" w:before="200"/>
      </w:pPr>
      <w:r>
        <w:rPr>
          <w:rFonts w:ascii="Barlow Semi Condensed" w:cs="Barlow Semi Condensed" w:eastAsia="Barlow Semi Condensed" w:hAnsi="Barlow Semi Condensed"/>
          <w:sz w:val="24"/>
          <w:szCs w:val="24"/>
        </w:rPr>
        <w:t xml:space="preserve">Dodici Capitoli — verdetto perimetro per perimetro — tre voci nuove</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La domanda che quattordici ricognizioni giravano intorno</w:t>
      </w:r>
    </w:p>
    <w:p>
      <w:pPr>
        <w:spacing w:after="120" w:line="276"/>
        <w:jc w:val="both"/>
      </w:pPr>
      <w:r>
        <w:rPr>
          <w:rFonts w:ascii="Barlow Semi Condensed" w:cs="Barlow Semi Condensed" w:eastAsia="Barlow Semi Condensed" w:hAnsi="Barlow Semi Condensed"/>
          <w:sz w:val="24"/>
          <w:szCs w:val="24"/>
        </w:rPr>
        <w:t xml:space="preserve">Tredici ricognizioni hanno accertato che il governo italiano non compare come attore documentato in sei perimetri diplomatici del ministero Moro: Spagna, Portogallo, Grecia, Cipro, Turchia, Germania. L'accertamento è stato ripetuto tante volte da diventare una regolarità del corpus.</w:t>
      </w:r>
    </w:p>
    <w:p>
      <w:pPr>
        <w:spacing w:after="120" w:line="276"/>
        <w:jc w:val="both"/>
      </w:pPr>
      <w:r>
        <w:rPr>
          <w:rFonts w:ascii="Barlow Semi Condensed" w:cs="Barlow Semi Condensed" w:eastAsia="Barlow Semi Condensed" w:hAnsi="Barlow Semi Condensed"/>
          <w:sz w:val="24"/>
          <w:szCs w:val="24"/>
        </w:rPr>
        <w:t xml:space="preserve">Ma nessuna di esse ha chiesto che cosa quell'assenza significhi.</w:t>
      </w:r>
    </w:p>
    <w:p>
      <w:pPr>
        <w:spacing w:after="120" w:line="276"/>
        <w:jc w:val="both"/>
      </w:pPr>
      <w:r>
        <w:rPr>
          <w:rFonts w:ascii="Barlow Semi Condensed" w:cs="Barlow Semi Condensed" w:eastAsia="Barlow Semi Condensed" w:hAnsi="Barlow Semi Condensed"/>
          <w:sz w:val="24"/>
          <w:szCs w:val="24"/>
        </w:rPr>
        <w:t xml:space="preserve">La domanda, formulata.\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Lo Stato italiano non compare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perché effettivamente non agiva\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oppure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perché la documentazione della sua azione non è accessibile, non è indicizzata, non è stata studiata?</w:t>
      </w:r>
    </w:p>
    <w:p>
      <w:pPr>
        <w:spacing w:after="120" w:line="276"/>
        <w:jc w:val="both"/>
      </w:pPr>
      <w:r>
        <w:rPr>
          <w:rFonts w:ascii="Barlow Semi Condensed" w:cs="Barlow Semi Condensed" w:eastAsia="Barlow Semi Condensed" w:hAnsi="Barlow Semi Condensed"/>
          <w:sz w:val="24"/>
          <w:szCs w:val="24"/>
        </w:rPr>
        <w:t xml:space="preserve">Nel primo caso le tredici ricognizioni hanno misurato una condotta. Nel secondo hanno misurato l'accessibilità delle carte, e non lo sapevano.</w:t>
      </w:r>
    </w:p>
    <w:p>
      <w:pPr>
        <w:spacing w:after="120" w:line="276"/>
        <w:jc w:val="both"/>
      </w:pPr>
      <w:r>
        <w:rPr>
          <w:rFonts w:ascii="Barlow Semi Condensed" w:cs="Barlow Semi Condensed" w:eastAsia="Barlow Semi Condensed" w:hAnsi="Barlow Semi Condensed"/>
          <w:sz w:val="24"/>
          <w:szCs w:val="24"/>
        </w:rPr>
        <w:t xml:space="preserve">Perché la Libia scioglie la domanda, e nessun altro perimetro lo farebbe. Il primo settembre 1969 — un mese dopo l'insediamento di Moro — Gheddafi rovesciò re Idris. Nel luglio 1970 il regime confiscò i beni della comunità italiana, presente dal 1911, e ne dispose l'espulsione: circa ventimila persone, cittadini italiani espropriati in massa.</w:t>
      </w:r>
    </w:p>
    <w:p>
      <w:pPr>
        <w:spacing w:after="120" w:line="276"/>
        <w:jc w:val="both"/>
      </w:pPr>
      <w:r>
        <w:rPr>
          <w:rFonts w:ascii="Barlow Semi Condensed" w:cs="Barlow Semi Condensed" w:eastAsia="Barlow Semi Condensed" w:hAnsi="Barlow Semi Condensed"/>
          <w:sz w:val="24"/>
          <w:szCs w:val="24"/>
        </w:rPr>
        <w:t xml:space="preserve">È il caso in cui il governo italiano non poteva non agire. Non per scelta politica ma per obbligo verso i propri cittadini, e con in gioco interessi energetici rilevanti.</w:t>
      </w:r>
    </w:p>
    <w:p>
      <w:pPr>
        <w:spacing w:after="120" w:line="276"/>
        <w:jc w:val="both"/>
      </w:pPr>
      <w:r>
        <w:rPr>
          <w:rFonts w:ascii="Barlow Semi Condensed" w:cs="Barlow Semi Condensed" w:eastAsia="Barlow Semi Condensed" w:hAnsi="Barlow Semi Condensed"/>
          <w:sz w:val="24"/>
          <w:szCs w:val="24"/>
        </w:rPr>
        <w:t xml:space="preserve">Il disegno del test, e la sua simmetria. Se la Farnesina agì e l'azione è ricostruibile, il silenzio altrove è comportamentale. Se anche la Libia risultasse povera di documentazione italiana, il silenzio è archivistico e le tredici ricognizioni hanno misurato altro da ciò che credevano.</w:t>
      </w:r>
    </w:p>
    <w:p>
      <w:pPr>
        <w:spacing w:after="120" w:line="276"/>
        <w:jc w:val="both"/>
      </w:pPr>
      <w:r>
        <w:rPr>
          <w:rFonts w:ascii="Barlow Semi Condensed" w:cs="Barlow Semi Condensed" w:eastAsia="Barlow Semi Condensed" w:hAnsi="Barlow Semi Condensed"/>
          <w:sz w:val="24"/>
          <w:szCs w:val="24"/>
        </w:rPr>
        <w:t xml:space="preserve">L'esito, enunciato subito.\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Farnesina agì. L'azione è documentata e ricostruibile su carte dell'Archivio Storico Diplomatico e del Fondo Moro.</w:t>
      </w:r>
    </w:p>
    <w:p>
      <w:pPr>
        <w:spacing w:after="120" w:line="276"/>
        <w:jc w:val="both"/>
      </w:pPr>
      <w:r>
        <w:rPr>
          <w:rFonts w:ascii="Barlow Semi Condensed" w:cs="Barlow Semi Condensed" w:eastAsia="Barlow Semi Condensed" w:hAnsi="Barlow Semi Condensed"/>
          <w:sz w:val="24"/>
          <w:szCs w:val="24"/>
        </w:rPr>
        <w:t xml:space="preserve">Ma l'esito non è quello semplice che il test prevedeva, e la complicazione è il vero risultato. Perché la ricerca ha trovato tre cose che il disegno non contemplava, e ciascuna modifica la conclusione.</w:t>
      </w:r>
    </w:p>
    <w:p>
      <w:pPr>
        <w:spacing w:after="120" w:line="276"/>
        <w:jc w:val="both"/>
      </w:pPr>
      <w:r>
        <w:rPr>
          <w:rFonts w:ascii="Barlow Semi Condensed" w:cs="Barlow Semi Condensed" w:eastAsia="Barlow Semi Condensed" w:hAnsi="Barlow Semi Condensed"/>
          <w:sz w:val="24"/>
          <w:szCs w:val="24"/>
        </w:rPr>
        <w:t xml:space="preserve">Prima: dove uno studioso ha aperto le serie della Farnesina, l'azione italiana è sempre emersa. Libia, Cina, Helsinki, Adriatico. Gli assi studiati coincidono con gli assi in cui qualcuno ha lavorato in archivio; i sei perimetri silenziosi coincidono con assi che nessuno ha scandagliato.</w:t>
      </w:r>
    </w:p>
    <w:p>
      <w:pPr>
        <w:spacing w:after="120" w:line="276"/>
        <w:jc w:val="both"/>
      </w:pPr>
      <w:r>
        <w:rPr>
          <w:rFonts w:ascii="Barlow Semi Condensed" w:cs="Barlow Semi Condensed" w:eastAsia="Barlow Semi Condensed" w:hAnsi="Barlow Semi Condensed"/>
          <w:sz w:val="24"/>
          <w:szCs w:val="24"/>
        </w:rPr>
        <w:t xml:space="preserve">Seconda: per almeno un dossier maggiore l'azione dello Stato italiano fu condotta deliberatamente fuori dalla Farnesina. Il Capitolo ottavo lo documenta. Ne discende che l'assenza dall'archivio diplomatico è compatibile con la presenza di azione.</w:t>
      </w:r>
    </w:p>
    <w:p>
      <w:pPr>
        <w:spacing w:after="120" w:line="276"/>
        <w:jc w:val="both"/>
      </w:pPr>
      <w:r>
        <w:rPr>
          <w:rFonts w:ascii="Barlow Semi Condensed" w:cs="Barlow Semi Condensed" w:eastAsia="Barlow Semi Condensed" w:hAnsi="Barlow Semi Condensed"/>
          <w:sz w:val="24"/>
          <w:szCs w:val="24"/>
        </w:rPr>
        <w:t xml:space="preserve">Terza: una voce già iscritta nel Registro va emendata, e il Capitolo decimo lo esegue.</w:t>
      </w:r>
    </w:p>
    <w:p>
      <w:pPr>
        <w:spacing w:after="120" w:line="276"/>
        <w:jc w:val="both"/>
      </w:pPr>
      <w:r>
        <w:rPr>
          <w:rFonts w:ascii="Barlow Semi Condensed" w:cs="Barlow Semi Condensed" w:eastAsia="Barlow Semi Condensed" w:hAnsi="Barlow Semi Condensed"/>
          <w:sz w:val="24"/>
          <w:szCs w:val="24"/>
        </w:rPr>
        <w:t xml:space="preserve">Ne discende una conclusione mista che il Capitolo undicesimo articola perimetro per perimetro, e una lezione sul metodo delle tredici ricognizioni che il Capitolo dodicesimo enuncia senza attenuazioni.</w:t>
      </w:r>
    </w:p>
    <w:p>
      <w:pPr>
        <w:pStyle w:val="Heading2"/>
        <w:spacing w:after="100" w:before="200"/>
      </w:pPr>
      <w:r>
        <w:rPr>
          <w:rFonts w:ascii="Barlow Semi Condensed" w:cs="Barlow Semi Condensed" w:eastAsia="Barlow Semi Condensed" w:hAnsi="Barlow Semi Condensed"/>
          <w:sz w:val="24"/>
          <w:szCs w:val="24"/>
        </w:rPr>
        <w:t xml:space="preserve">Capitolo secondo — Il colpo di Stato e la prima reazione</w:t>
      </w:r>
    </w:p>
    <w:p>
      <w:pPr>
        <w:spacing w:after="120" w:line="276"/>
        <w:jc w:val="both"/>
      </w:pPr>
      <w:r>
        <w:rPr>
          <w:rFonts w:ascii="Barlow Semi Condensed" w:cs="Barlow Semi Condensed" w:eastAsia="Barlow Semi Condensed" w:hAnsi="Barlow Semi Condensed"/>
          <w:sz w:val="24"/>
          <w:szCs w:val="24"/>
        </w:rPr>
        <w:t xml:space="preserve">Il capitolo espone i fatti della fase iniziale, e dichiara subito ciò che non si è trovato.</w:t>
      </w:r>
    </w:p>
    <w:p>
      <w:pPr>
        <w:spacing w:after="120" w:line="276"/>
        <w:jc w:val="both"/>
      </w:pPr>
      <w:r>
        <w:rPr>
          <w:rFonts w:ascii="Barlow Semi Condensed" w:cs="Barlow Semi Condensed" w:eastAsia="Barlow Semi Condensed" w:hAnsi="Barlow Semi Condensed"/>
          <w:sz w:val="24"/>
          <w:szCs w:val="24"/>
        </w:rPr>
        <w:t xml:space="preserve">Il colpo. Nella notte fra il 31 agosto e il 1 settembre 1969 un gruppo di ufficiali guidati da Muammar Gheddafi rovesciò la monarchia di re Idris, assente dal Paese per cure mediche. Il Consiglio del Comando della Rivoluzione proclamò la Repubblica Araba di Libia.</w:t>
      </w:r>
    </w:p>
    <w:p>
      <w:pPr>
        <w:spacing w:after="120" w:line="276"/>
        <w:jc w:val="both"/>
      </w:pPr>
      <w:r>
        <w:rPr>
          <w:rFonts w:ascii="Barlow Semi Condensed" w:cs="Barlow Semi Condensed" w:eastAsia="Barlow Semi Condensed" w:hAnsi="Barlow Semi Condensed"/>
          <w:sz w:val="24"/>
          <w:szCs w:val="24"/>
        </w:rPr>
        <w:t xml:space="preserve">Il regime informò i rappresentanti diplomatici che i trattati e gli accordi esistenti sarebbero rimasti in vigore e che le vite e le proprietà straniere sarebbero state protette, e il riconoscimento diplomatico giunse rapidamente da numerosi Paesi.</w:t>
      </w:r>
    </w:p>
    <w:p>
      <w:pPr>
        <w:spacing w:after="120" w:line="276"/>
        <w:jc w:val="both"/>
      </w:pPr>
      <w:r>
        <w:rPr>
          <w:rFonts w:ascii="Barlow Semi Condensed" w:cs="Barlow Semi Condensed" w:eastAsia="Barlow Semi Condensed" w:hAnsi="Barlow Semi Condensed"/>
          <w:sz w:val="24"/>
          <w:szCs w:val="24"/>
        </w:rPr>
        <w:t xml:space="preserve">Va notato, e sarà rilevante al Capitolo terzo, che la garanzia sulle proprietà straniere fu esplicita e fu violata dieci mesi dopo.</w:t>
      </w:r>
    </w:p>
    <w:p>
      <w:pPr>
        <w:spacing w:after="120" w:line="276"/>
        <w:jc w:val="both"/>
      </w:pPr>
      <w:r>
        <w:rPr>
          <w:rFonts w:ascii="Barlow Semi Condensed" w:cs="Barlow Semi Condensed" w:eastAsia="Barlow Semi Condensed" w:hAnsi="Barlow Semi Condensed"/>
          <w:sz w:val="24"/>
          <w:szCs w:val="24"/>
        </w:rPr>
        <w:t xml:space="preserve">Il primo esito negativo, dichiarato. La data esatta del riconoscimento italiano del nuovo regime non è stata reperita. È voce da sciogliere presso l'Archivio Storico Diplomatico, serie Affari Politici Libia 1969, e sulla stampa italiana coeva.</w:t>
      </w:r>
    </w:p>
    <w:p>
      <w:pPr>
        <w:spacing w:after="120" w:line="276"/>
        <w:jc w:val="both"/>
      </w:pPr>
      <w:r>
        <w:rPr>
          <w:rFonts w:ascii="Barlow Semi Condensed" w:cs="Barlow Semi Condensed" w:eastAsia="Barlow Semi Condensed" w:hAnsi="Barlow Semi Condensed"/>
          <w:sz w:val="24"/>
          <w:szCs w:val="24"/>
        </w:rPr>
        <w:t xml:space="preserve">Che questo dato manchi è esso stesso significativo: si tratta dell'atto formale più elementare di uno Stato verso un nuovo governo, e non risulta.</w:t>
      </w:r>
    </w:p>
    <w:p>
      <w:pPr>
        <w:spacing w:after="120" w:line="276"/>
        <w:jc w:val="both"/>
      </w:pPr>
      <w:r>
        <w:rPr>
          <w:rFonts w:ascii="Barlow Semi Condensed" w:cs="Barlow Semi Condensed" w:eastAsia="Barlow Semi Condensed" w:hAnsi="Barlow Semi Condensed"/>
          <w:sz w:val="24"/>
          <w:szCs w:val="24"/>
        </w:rPr>
        <w:t xml:space="preserve">La chiusura delle basi straniere. Le forze britanniche lasciarono la Libia il 28 marzo 1970, data celebrata dal regime come giornata dell'evacuazione britannica; la base statunitense di Wheelus Field fu consegnata alla Libia l'11 giugno 1970.</w:t>
      </w:r>
    </w:p>
    <w:p>
      <w:pPr>
        <w:spacing w:after="120" w:line="276"/>
        <w:jc w:val="both"/>
      </w:pPr>
      <w:r>
        <w:rPr>
          <w:rFonts w:ascii="Barlow Semi Condensed" w:cs="Barlow Semi Condensed" w:eastAsia="Barlow Semi Condensed" w:hAnsi="Barlow Semi Condensed"/>
          <w:sz w:val="24"/>
          <w:szCs w:val="24"/>
        </w:rPr>
        <w:t xml:space="preserve">L'ambasciatore italiano a Tripoli nella fase cruciale, ed è dato preliminare necessario a chiunque voglia condurre la verifica archivistica.\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Fu l'ambasciatore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Borromeo\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servizio dal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20 dicembre 1969 al 30 agosto 1971.</w:t>
      </w:r>
    </w:p>
    <w:p>
      <w:pPr>
        <w:spacing w:after="120" w:line="276"/>
        <w:jc w:val="both"/>
      </w:pPr>
      <w:r>
        <w:rPr>
          <w:rFonts w:ascii="Barlow Semi Condensed" w:cs="Barlow Semi Condensed" w:eastAsia="Barlow Semi Condensed" w:hAnsi="Barlow Semi Condensed"/>
          <w:sz w:val="24"/>
          <w:szCs w:val="24"/>
        </w:rPr>
        <w:t xml:space="preserve">Il suo rapporto di fine missione è conservato nel Fondo Aldo Moro presso l'Archivio Centrale dello Stato, busta centotrentanove, fascicolo due punto due, ed è stato utilizzato dalla letteratura recente.</w:t>
      </w:r>
    </w:p>
    <w:p>
      <w:pPr>
        <w:spacing w:after="120" w:line="276"/>
        <w:jc w:val="both"/>
      </w:pPr>
      <w:r>
        <w:rPr>
          <w:rFonts w:ascii="Barlow Semi Condensed" w:cs="Barlow Semi Condensed" w:eastAsia="Barlow Semi Condensed" w:hAnsi="Barlow Semi Condensed"/>
          <w:sz w:val="24"/>
          <w:szCs w:val="24"/>
        </w:rPr>
        <w:t xml:space="preserve">Questa segnatura è il primo elemento della calibrazione, e va tenuta a mente fino al Capitolo decimo, dove produce l'emendazione al Registro.</w:t>
      </w:r>
    </w:p>
    <w:p>
      <w:pPr>
        <w:spacing w:after="120" w:line="276"/>
        <w:jc w:val="both"/>
      </w:pPr>
      <w:r>
        <w:rPr>
          <w:rFonts w:ascii="Barlow Semi Condensed" w:cs="Barlow Semi Condensed" w:eastAsia="Barlow Semi Condensed" w:hAnsi="Barlow Semi Condensed"/>
          <w:sz w:val="24"/>
          <w:szCs w:val="24"/>
        </w:rPr>
        <w:t xml:space="preserve">Un secondo esito negativo. Il nome di battesimo dell'ambasciatore non è stato reperito e andrebbe verificato nell'annuario diplomatico del Ministero per il 1970-1971.</w:t>
      </w:r>
    </w:p>
    <w:p>
      <w:pPr>
        <w:spacing w:after="120" w:line="276"/>
        <w:jc w:val="both"/>
      </w:pPr>
      <w:r>
        <w:rPr>
          <w:rFonts w:ascii="Barlow Semi Condensed" w:cs="Barlow Semi Condensed" w:eastAsia="Barlow Semi Condensed" w:hAnsi="Barlow Semi Condensed"/>
          <w:sz w:val="24"/>
          <w:szCs w:val="24"/>
        </w:rPr>
        <w:t xml:space="preserve">La documentazione italiana su questa prima fase esiste ed è stata studiata, per il versante diplomatico, dagli studi di Massimiliano Cricco e dalla monografia di Arturo Varvelli fondata sull'Archivio Storico del Ministero degli Affari Esteri. Entrambi mostrano che la diplomazia italiana seguì con attenzione la transizione, preoccupata per la comunità e per gli approvvigionamenti.</w:t>
      </w:r>
    </w:p>
    <w:p>
      <w:pPr>
        <w:spacing w:after="120" w:line="276"/>
        <w:jc w:val="both"/>
      </w:pPr>
      <w:r>
        <w:rPr>
          <w:rFonts w:ascii="Barlow Semi Condensed" w:cs="Barlow Semi Condensed" w:eastAsia="Barlow Semi Condensed" w:hAnsi="Barlow Semi Condensed"/>
          <w:sz w:val="24"/>
          <w:szCs w:val="24"/>
        </w:rPr>
        <w:t xml:space="preserve">Ne discende, già a questo stadio, che la Farnesina osservava e riferiva. La questione è se agì.</w:t>
      </w:r>
    </w:p>
    <w:p>
      <w:pPr>
        <w:pStyle w:val="Heading2"/>
        <w:spacing w:after="100" w:before="200"/>
      </w:pPr>
      <w:r>
        <w:rPr>
          <w:rFonts w:ascii="Barlow Semi Condensed" w:cs="Barlow Semi Condensed" w:eastAsia="Barlow Semi Condensed" w:hAnsi="Barlow Semi Condensed"/>
          <w:sz w:val="24"/>
          <w:szCs w:val="24"/>
        </w:rPr>
        <w:t xml:space="preserve">Capitolo terzo — La confisca: date, natura, divergenze</w:t>
      </w:r>
    </w:p>
    <w:p>
      <w:pPr>
        <w:spacing w:after="120" w:line="276"/>
        <w:jc w:val="both"/>
      </w:pPr>
      <w:r>
        <w:rPr>
          <w:rFonts w:ascii="Barlow Semi Condensed" w:cs="Barlow Semi Condensed" w:eastAsia="Barlow Semi Condensed" w:hAnsi="Barlow Semi Condensed"/>
          <w:sz w:val="24"/>
          <w:szCs w:val="24"/>
        </w:rPr>
        <w:t xml:space="preserve">Il capitolo espone il provvedimento con le divergenze mantenute.</w:t>
      </w:r>
    </w:p>
    <w:p>
      <w:pPr>
        <w:spacing w:after="120" w:line="276"/>
        <w:jc w:val="both"/>
      </w:pPr>
      <w:r>
        <w:rPr>
          <w:rFonts w:ascii="Barlow Semi Condensed" w:cs="Barlow Semi Condensed" w:eastAsia="Barlow Semi Condensed" w:hAnsi="Barlow Semi Condensed"/>
          <w:sz w:val="24"/>
          <w:szCs w:val="24"/>
        </w:rPr>
        <w:t xml:space="preserve">La data e l'organo. Il 21 luglio 1970 il Consiglio del Comando della Rivoluzione promulgò le leggi che disposero la confisca dei beni della comunità italiana — e di quella ebraica — con obbligo di dichiarazione dei beni e pene detentive per i trasgressori.</w:t>
      </w:r>
    </w:p>
    <w:p>
      <w:pPr>
        <w:spacing w:after="120" w:line="276"/>
        <w:jc w:val="both"/>
      </w:pPr>
      <w:r>
        <w:rPr>
          <w:rFonts w:ascii="Barlow Semi Condensed" w:cs="Barlow Semi Condensed" w:eastAsia="Barlow Semi Condensed" w:hAnsi="Barlow Semi Condensed"/>
          <w:sz w:val="24"/>
          <w:szCs w:val="24"/>
        </w:rPr>
        <w:t xml:space="preserve">La giustificazione del regime.\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Restituzione al popolo libico delle ricchezze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usurpate dagli oppressori\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corso del colonialismo, secondo la formula pronunciata da Gheddafi nel discorso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Misurata.</w:t>
      </w:r>
    </w:p>
    <w:p>
      <w:pPr>
        <w:spacing w:after="120" w:line="276"/>
        <w:jc w:val="both"/>
      </w:pPr>
      <w:r>
        <w:rPr>
          <w:rFonts w:ascii="Barlow Semi Condensed" w:cs="Barlow Semi Condensed" w:eastAsia="Barlow Semi Condensed" w:hAnsi="Barlow Semi Condensed"/>
          <w:sz w:val="24"/>
          <w:szCs w:val="24"/>
        </w:rPr>
        <w:t xml:space="preserve">Una divergenza va riportata. Alcune fonti datano quel discorso al 9 luglio 1970; altre lo collocano genericamente poche settimane prima del 21 luglio.</w:t>
      </w:r>
    </w:p>
    <w:p>
      <w:pPr>
        <w:spacing w:after="120" w:line="276"/>
        <w:jc w:val="both"/>
      </w:pPr>
      <w:r>
        <w:rPr>
          <w:rFonts w:ascii="Barlow Semi Condensed" w:cs="Barlow Semi Condensed" w:eastAsia="Barlow Semi Condensed" w:hAnsi="Barlow Semi Condensed"/>
          <w:sz w:val="24"/>
          <w:szCs w:val="24"/>
        </w:rPr>
        <w:t xml:space="preserve">La natura giuridica va precisata perché è dirimente.\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Fu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legge di confisca e non nazionalizzazione economica\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colpì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specificamente i beni dei cittadini italiani in quanto tali.</w:t>
      </w:r>
    </w:p>
    <w:p>
      <w:pPr>
        <w:spacing w:after="120" w:line="276"/>
        <w:jc w:val="both"/>
      </w:pPr>
      <w:r>
        <w:rPr>
          <w:rFonts w:ascii="Barlow Semi Condensed" w:cs="Barlow Semi Condensed" w:eastAsia="Barlow Semi Condensed" w:hAnsi="Barlow Semi Condensed"/>
          <w:sz w:val="24"/>
          <w:szCs w:val="24"/>
        </w:rPr>
        <w:t xml:space="preserve">La distinzione conta.\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Una nazionalizzazione colpisce settori; una confisca su base di cittadinanza colpisce persone.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seconda apre al governo dello Stato dei colpiti una possibilità di reazione che la prima non apre nella stessa forma.</w:t>
      </w:r>
    </w:p>
    <w:p>
      <w:pPr>
        <w:spacing w:after="120" w:line="276"/>
        <w:jc w:val="both"/>
      </w:pPr>
      <w:r>
        <w:rPr>
          <w:rFonts w:ascii="Barlow Semi Condensed" w:cs="Barlow Semi Condensed" w:eastAsia="Barlow Semi Condensed" w:hAnsi="Barlow Semi Condensed"/>
          <w:sz w:val="24"/>
          <w:szCs w:val="24"/>
        </w:rPr>
        <w:t xml:space="preserve">Il testo integrale del provvedimento non è stato reperito\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va cercato nella gazzetta ufficiale libica del 1970 e, in traduzione, negli allegati della documentazione della Farnesina.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Esito negativo dichiarato.</w:t>
      </w:r>
    </w:p>
    <w:p>
      <w:pPr>
        <w:spacing w:after="120" w:line="276"/>
        <w:jc w:val="both"/>
      </w:pPr>
      <w:r>
        <w:rPr>
          <w:rFonts w:ascii="Barlow Semi Condensed" w:cs="Barlow Semi Condensed" w:eastAsia="Barlow Semi Condensed" w:hAnsi="Barlow Semi Condensed"/>
          <w:sz w:val="24"/>
          <w:szCs w:val="24"/>
        </w:rPr>
        <w:t xml:space="preserve">Il valore dei beni, con le stime divergenti e la ragione della divergenza. Il Governo italiano calcolò al 1970 duecento miliardi di lire per il solo valore immobiliare, cifra che includendo depositi bancari e attività varie supera i quattrocento miliardi.</w:t>
      </w:r>
    </w:p>
    <w:p>
      <w:pPr>
        <w:spacing w:after="120" w:line="276"/>
        <w:jc w:val="both"/>
      </w:pPr>
      <w:r>
        <w:rPr>
          <w:rFonts w:ascii="Barlow Semi Condensed" w:cs="Barlow Semi Condensed" w:eastAsia="Barlow Semi Condensed" w:hAnsi="Barlow Semi Condensed"/>
          <w:sz w:val="24"/>
          <w:szCs w:val="24"/>
        </w:rPr>
        <w:t xml:space="preserve">L'inventario circolante nella pubblicistica quantifica quattromila ettari di terreni con settecentoquattordicimila olivi, duecentoquarantacinquemila piante di agrumi, centoottantaquattromila mandorli, un milione di tralci di uva, quattromila ville, settecentosessantacinque appartamenti, quattrocentosessantotto edifici, settecentoventisette fra veicoli industriali e trattori, duecentosessantacinque officine e cinquanta industrie.</w:t>
      </w:r>
    </w:p>
    <w:p>
      <w:pPr>
        <w:spacing w:after="120" w:line="276"/>
        <w:jc w:val="both"/>
      </w:pPr>
      <w:r>
        <w:rPr>
          <w:rFonts w:ascii="Barlow Semi Condensed" w:cs="Barlow Semi Condensed" w:eastAsia="Barlow Semi Condensed" w:hAnsi="Barlow Semi Condensed"/>
          <w:sz w:val="24"/>
          <w:szCs w:val="24"/>
        </w:rPr>
        <w:t xml:space="preserve">Queste cifre hanno statuto di pubblicistica e non di rilevazione ufficiale verificata, e vanno impiegate come ordine di grandezza e non come dato.</w:t>
      </w:r>
    </w:p>
    <w:p>
      <w:pPr>
        <w:spacing w:after="120" w:line="276"/>
        <w:jc w:val="both"/>
      </w:pPr>
      <w:r>
        <w:rPr>
          <w:rFonts w:ascii="Barlow Semi Condensed" w:cs="Barlow Semi Condensed" w:eastAsia="Barlow Semi Condensed" w:hAnsi="Barlow Semi Condensed"/>
          <w:sz w:val="24"/>
          <w:szCs w:val="24"/>
        </w:rPr>
        <w:t xml:space="preserve">Va detto qui, per correttezza storica e una volta sola, ciò che il perimetro impone. L'esproprio del 1970 fu preceduto dalla colonizzazione italiana della Libia fra il 1911 e il 1943 e dai suoi crimini. Il fatto va menzionato senza che costituisca giustificazione dell'esproprio né viceversa.</w:t>
      </w:r>
    </w:p>
    <w:p>
      <w:pPr>
        <w:spacing w:after="120" w:line="276"/>
        <w:jc w:val="both"/>
      </w:pPr>
      <w:r>
        <w:rPr>
          <w:rFonts w:ascii="Barlow Semi Condensed" w:cs="Barlow Semi Condensed" w:eastAsia="Barlow Semi Condensed" w:hAnsi="Barlow Semi Condensed"/>
          <w:sz w:val="24"/>
          <w:szCs w:val="24"/>
        </w:rPr>
        <w:t xml:space="preserve">Le due narrazioni contrapposte — quella della memoria dei rimpatriati e quella anticoloniale del regime — vanno riportate con il loro statuto e nessuna delle due va adottata.</w:t>
      </w:r>
    </w:p>
    <w:p>
      <w:pPr>
        <w:pStyle w:val="Heading2"/>
        <w:spacing w:after="100" w:before="200"/>
      </w:pPr>
      <w:r>
        <w:rPr>
          <w:rFonts w:ascii="Barlow Semi Condensed" w:cs="Barlow Semi Condensed" w:eastAsia="Barlow Semi Condensed" w:hAnsi="Barlow Semi Condensed"/>
          <w:sz w:val="24"/>
          <w:szCs w:val="24"/>
        </w:rPr>
        <w:t xml:space="preserve">Capitolo quarto — L'espulsione e i numeri</w:t>
      </w:r>
    </w:p>
    <w:p>
      <w:pPr>
        <w:spacing w:after="120" w:line="276"/>
        <w:jc w:val="both"/>
      </w:pPr>
      <w:r>
        <w:rPr>
          <w:rFonts w:ascii="Barlow Semi Condensed" w:cs="Barlow Semi Condensed" w:eastAsia="Barlow Semi Condensed" w:hAnsi="Barlow Semi Condensed"/>
          <w:sz w:val="24"/>
          <w:szCs w:val="24"/>
        </w:rPr>
        <w:t xml:space="preserve">Il capitolo espone l'esodo e ne registra le stime divergenti.</w:t>
      </w:r>
    </w:p>
    <w:p>
      <w:pPr>
        <w:spacing w:after="120" w:line="276"/>
        <w:jc w:val="both"/>
      </w:pPr>
      <w:r>
        <w:rPr>
          <w:rFonts w:ascii="Barlow Semi Condensed" w:cs="Barlow Semi Condensed" w:eastAsia="Barlow Semi Condensed" w:hAnsi="Barlow Semi Condensed"/>
          <w:sz w:val="24"/>
          <w:szCs w:val="24"/>
        </w:rPr>
        <w:t xml:space="preserve">La cronologia. L'espulsione fu perfezionata entro il 15 ottobre 1970, otto giorni dopo l'ultimatum del 7 ottobre che il regime consacrò come giorno della vendetta, festività nazionale celebrata per un trentennio e ribattezzata giorno dell'amicizia nel quadro del riavvicinamento italo-libico degli anni Duemila.</w:t>
      </w:r>
    </w:p>
    <w:p>
      <w:pPr>
        <w:spacing w:after="120" w:line="276"/>
        <w:jc w:val="both"/>
      </w:pPr>
      <w:r>
        <w:rPr>
          <w:rFonts w:ascii="Barlow Semi Condensed" w:cs="Barlow Semi Condensed" w:eastAsia="Barlow Semi Condensed" w:hAnsi="Barlow Semi Condensed"/>
          <w:sz w:val="24"/>
          <w:szCs w:val="24"/>
        </w:rPr>
        <w:t xml:space="preserve">L'organizzazione del rimpatrio, ed è azione italiana documentata. Il traghettamento fu organizzato attraverso il Ministero della Marina Mercantile, che mise a disposizione nove navi; molte famiglie furono accolte in centri di raccolta distribuiti nella penisola.</w:t>
      </w:r>
    </w:p>
    <w:p>
      <w:pPr>
        <w:spacing w:after="120" w:line="276"/>
        <w:jc w:val="both"/>
      </w:pPr>
      <w:r>
        <w:rPr>
          <w:rFonts w:ascii="Barlow Semi Condensed" w:cs="Barlow Semi Condensed" w:eastAsia="Barlow Semi Condensed" w:hAnsi="Barlow Semi Condensed"/>
          <w:sz w:val="24"/>
          <w:szCs w:val="24"/>
        </w:rPr>
        <w:t xml:space="preserve">Questo è il primo atto italiano accertato della vicenda: non un negoziato, ma un'operazione logistica di rimpatrio.</w:t>
      </w:r>
    </w:p>
    <w:p>
      <w:pPr>
        <w:spacing w:after="120" w:line="276"/>
        <w:jc w:val="both"/>
      </w:pPr>
      <w:r>
        <w:rPr>
          <w:rFonts w:ascii="Barlow Semi Condensed" w:cs="Barlow Semi Condensed" w:eastAsia="Barlow Semi Condensed" w:hAnsi="Barlow Semi Condensed"/>
          <w:sz w:val="24"/>
          <w:szCs w:val="24"/>
        </w:rPr>
        <w:t xml:space="preserve">I numeri, con la loro divergenza e la sua ragione. La cifra più ricorrente è di circa ventimila italiani. Ma alcune fonti parlano di più di diciassettemila effettivamente traghettati entro il 15 ottobre; altre di oltre quindicimila rimasti al momento dell'ultimatum; una fonte divulgativa evoca fino a trentacinquemila italo-libici comprendendo i nati in Libia.</w:t>
      </w:r>
    </w:p>
    <w:p>
      <w:pPr>
        <w:spacing w:after="120" w:line="276"/>
        <w:jc w:val="both"/>
      </w:pPr>
      <w:r>
        <w:rPr>
          <w:rFonts w:ascii="Barlow Semi Condensed" w:cs="Barlow Semi Condensed" w:eastAsia="Barlow Semi Condensed" w:hAnsi="Barlow Semi Condensed"/>
          <w:sz w:val="24"/>
          <w:szCs w:val="24"/>
        </w:rPr>
        <w:t xml:space="preserve">Lo scarto dipende dal criterio adottato — residenti registrati, effettivamente imbarcati, aventi cittadinanza, nati in loco — e la divergenza va riportata anziché risolta.</w:t>
      </w:r>
    </w:p>
    <w:p>
      <w:pPr>
        <w:spacing w:after="120" w:line="276"/>
        <w:jc w:val="both"/>
      </w:pPr>
      <w:r>
        <w:rPr>
          <w:rFonts w:ascii="Barlow Semi Condensed" w:cs="Barlow Semi Condensed" w:eastAsia="Barlow Semi Condensed" w:hAnsi="Barlow Semi Condensed"/>
          <w:sz w:val="24"/>
          <w:szCs w:val="24"/>
        </w:rPr>
        <w:t xml:space="preserve">Il versante degli indennizzi, che è azione italiana ma interna. Una prima legge del 1971, la numero millesessantasei, dispose un acconto sugli indennizzi con coefficienti scalari, nella misura media del quindici per cento, in attesa di accordi internazionali.</w:t>
      </w:r>
    </w:p>
    <w:p>
      <w:pPr>
        <w:spacing w:after="120" w:line="276"/>
        <w:jc w:val="both"/>
      </w:pPr>
      <w:r>
        <w:rPr>
          <w:rFonts w:ascii="Barlow Semi Condensed" w:cs="Barlow Semi Condensed" w:eastAsia="Barlow Semi Condensed" w:hAnsi="Barlow Semi Condensed"/>
          <w:sz w:val="24"/>
          <w:szCs w:val="24"/>
        </w:rPr>
        <w:t xml:space="preserve">Seguirono leggi parziali e senza rivalutazione: la numero sedici del 1980, la centotrentacinque del 1985, la novantotto del 1994. L'ammontare, secondo la fonte associativa dei rimpatriati, non coprì nemmeno il valore nominale delle perdite al 1970.</w:t>
      </w:r>
    </w:p>
    <w:p>
      <w:pPr>
        <w:spacing w:after="120" w:line="276"/>
        <w:jc w:val="both"/>
      </w:pPr>
      <w:r>
        <w:rPr>
          <w:rFonts w:ascii="Barlow Semi Condensed" w:cs="Barlow Semi Condensed" w:eastAsia="Barlow Semi Condensed" w:hAnsi="Barlow Semi Condensed"/>
          <w:sz w:val="24"/>
          <w:szCs w:val="24"/>
        </w:rPr>
        <w:t xml:space="preserve">Il dato che rileva per la calibrazione va isolato: il primo intervento legislativo italiano è del 1971, coevo alla crisi.\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Lo Stato agì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sul versante interno\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verso i propri cittadini,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anziché sul versante del negoziato bilaterale.</w:t>
      </w:r>
    </w:p>
    <w:p>
      <w:pPr>
        <w:spacing w:after="120" w:line="276"/>
        <w:jc w:val="both"/>
      </w:pPr>
      <w:r>
        <w:rPr>
          <w:rFonts w:ascii="Barlow Semi Condensed" w:cs="Barlow Semi Condensed" w:eastAsia="Barlow Semi Condensed" w:hAnsi="Barlow Semi Condensed"/>
          <w:sz w:val="24"/>
          <w:szCs w:val="24"/>
        </w:rPr>
        <w:t xml:space="preserve">La chiusura della partita, molto posteriore. Il Trattato di amicizia italo-libico firmato a Bengasi il 30 agosto 2008, ratificato con legge numero sette del 2009, il cui articolo quattro riguarda i rimpatriati, chiuse gli indennizzi fra Stati ottenendo in cambio la cessazione della discriminazione sui visti per i nati a Tripoli; l'associazione dei rimpatriati ottenne un indennizzo che essa stessa definisce men che simbolico.</w:t>
      </w:r>
    </w:p>
    <w:p>
      <w:pPr>
        <w:spacing w:after="120" w:line="276"/>
        <w:jc w:val="both"/>
      </w:pPr>
      <w:r>
        <w:rPr>
          <w:rFonts w:ascii="Barlow Semi Condensed" w:cs="Barlow Semi Condensed" w:eastAsia="Barlow Semi Condensed" w:hAnsi="Barlow Semi Condensed"/>
          <w:sz w:val="24"/>
          <w:szCs w:val="24"/>
        </w:rPr>
        <w:t xml:space="preserve">Sul piano giurisdizionale, i ricorrenti Giovanna Ortu, presidente dell'associazione, Nella e Antonio Ortu presentarono ricorso alla Corte europea dei diritti dell'uomo il 6 ottobre 2005; il ricorso fu respinto con sentenza del 15 febbraio 2011.</w:t>
      </w:r>
    </w:p>
    <w:p>
      <w:pPr>
        <w:pStyle w:val="Heading2"/>
        <w:spacing w:after="100" w:before="200"/>
      </w:pPr>
      <w:r>
        <w:rPr>
          <w:rFonts w:ascii="Barlow Semi Condensed" w:cs="Barlow Semi Condensed" w:eastAsia="Barlow Semi Condensed" w:hAnsi="Barlow Semi Condensed"/>
          <w:sz w:val="24"/>
          <w:szCs w:val="24"/>
        </w:rPr>
        <w:t xml:space="preserve">Capitolo quinto — La Farnesina agì: il cuore della calibrazione</w:t>
      </w:r>
    </w:p>
    <w:p>
      <w:pPr>
        <w:spacing w:after="120" w:line="276"/>
        <w:jc w:val="both"/>
      </w:pPr>
      <w:r>
        <w:rPr>
          <w:rFonts w:ascii="Barlow Semi Condensed" w:cs="Barlow Semi Condensed" w:eastAsia="Barlow Semi Condensed" w:hAnsi="Barlow Semi Condensed"/>
          <w:sz w:val="24"/>
          <w:szCs w:val="24"/>
        </w:rPr>
        <w:t xml:space="preserve">Il capitolo espone l'accertamento su cui il test si decide.</w:t>
      </w:r>
    </w:p>
    <w:p>
      <w:pPr>
        <w:spacing w:after="120" w:line="276"/>
        <w:jc w:val="both"/>
      </w:pPr>
      <w:r>
        <w:rPr>
          <w:rFonts w:ascii="Barlow Semi Condensed" w:cs="Barlow Semi Condensed" w:eastAsia="Barlow Semi Condensed" w:hAnsi="Barlow Semi Condensed"/>
          <w:sz w:val="24"/>
          <w:szCs w:val="24"/>
        </w:rPr>
        <w:t xml:space="preserve">La fonte, e il suo statuto va dichiarato perché è ciò che rende l'accertamento possibile. Arturo Varvelli, \</w:t>
      </w:r>
      <w:r>
        <w:rPr>
          <w:rFonts w:ascii="Barlow Semi Condensed" w:cs="Barlow Semi Condensed" w:eastAsia="Barlow Semi Condensed" w:hAnsi="Barlow Semi Condensed"/>
          <w:i/>
          <w:iCs/>
          <w:sz w:val="24"/>
          <w:szCs w:val="24"/>
        </w:rPr>
        <w:t xml:space="preserve">L'Italia e l'ascesa di Gheddafi. La cacciata degli italiani, le armi e il petrolio, 1969-1974\</w:t>
      </w:r>
      <w:r>
        <w:rPr>
          <w:rFonts w:ascii="Barlow Semi Condensed" w:cs="Barlow Semi Condensed" w:eastAsia="Barlow Semi Condensed" w:hAnsi="Barlow Semi Condensed"/>
          <w:sz w:val="24"/>
          <w:szCs w:val="24"/>
        </w:rPr>
        <w:t xml:space="preserve">, Baldini Castoldi Dalai, 2009. È monografia fondata su documentazione dell'Archivio Storico del Ministero degli Affari Esteri, integrata con archivi britannici e statunitensi.</w:t>
      </w:r>
    </w:p>
    <w:p>
      <w:pPr>
        <w:spacing w:after="120" w:line="276"/>
        <w:jc w:val="both"/>
      </w:pPr>
      <w:r>
        <w:rPr>
          <w:rFonts w:ascii="Barlow Semi Condensed" w:cs="Barlow Semi Condensed" w:eastAsia="Barlow Semi Condensed" w:hAnsi="Barlow Semi Condensed"/>
          <w:sz w:val="24"/>
          <w:szCs w:val="24"/>
        </w:rPr>
        <w:t xml:space="preserve">Qualcuno ha aperto le serie della Farnesina per questo perimetro. È l'unica differenza fra la Libia e i sei perimetri silenziosi, e produce tutto ciò che segue.</w:t>
      </w:r>
    </w:p>
    <w:p>
      <w:pPr>
        <w:spacing w:after="120" w:line="276"/>
        <w:jc w:val="both"/>
      </w:pPr>
      <w:r>
        <w:rPr>
          <w:rFonts w:ascii="Barlow Semi Condensed" w:cs="Barlow Semi Condensed" w:eastAsia="Barlow Semi Condensed" w:hAnsi="Barlow Semi Condensed"/>
          <w:sz w:val="24"/>
          <w:szCs w:val="24"/>
        </w:rPr>
        <w:t xml:space="preserve">Che cosa ne emerge, in due tempi.</w:t>
      </w:r>
    </w:p>
    <w:p>
      <w:pPr>
        <w:spacing w:after="120" w:line="276"/>
        <w:jc w:val="both"/>
      </w:pPr>
      <w:r>
        <w:rPr>
          <w:rFonts w:ascii="Barlow Semi Condensed" w:cs="Barlow Semi Condensed" w:eastAsia="Barlow Semi Condensed" w:hAnsi="Barlow Semi Condensed"/>
          <w:sz w:val="24"/>
          <w:szCs w:val="24"/>
        </w:rPr>
        <w:t xml:space="preserve">Primo: la diplomazia italiana fu spiazzata dalla legge del 21 luglio 1970, e la mediazione attesa da Nasser si rivelò inconsistente.</w:t>
      </w:r>
    </w:p>
    <w:p>
      <w:pPr>
        <w:spacing w:after="120" w:line="276"/>
        <w:jc w:val="both"/>
      </w:pPr>
      <w:r>
        <w:rPr>
          <w:rFonts w:ascii="Barlow Semi Condensed" w:cs="Barlow Semi Condensed" w:eastAsia="Barlow Semi Condensed" w:hAnsi="Barlow Semi Condensed"/>
          <w:sz w:val="24"/>
          <w:szCs w:val="24"/>
        </w:rPr>
        <w:t xml:space="preserve">Secondo, e decisivo: Moro scelse consapevolmente di scartare le misure di ritorsione, di riallacciare i rapporti con Tripoli e di puntare a compensazioni economiche indirette anziché a improbabili risarcimenti diretti per gli espropri.</w:t>
      </w:r>
    </w:p>
    <w:p>
      <w:pPr>
        <w:spacing w:after="120" w:line="276"/>
        <w:jc w:val="both"/>
      </w:pPr>
      <w:r>
        <w:rPr>
          <w:rFonts w:ascii="Barlow Semi Condensed" w:cs="Barlow Semi Condensed" w:eastAsia="Barlow Semi Condensed" w:hAnsi="Barlow Semi Condensed"/>
          <w:sz w:val="24"/>
          <w:szCs w:val="24"/>
        </w:rPr>
        <w:t xml:space="preserve">La tattica, secondo Varvelli, era stata delineata già dall'autunno precedente\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alternativa ai risarcimenti,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l'ottenimento di rapporti economici privilegiati.</w:t>
      </w:r>
    </w:p>
    <w:p>
      <w:pPr>
        <w:spacing w:after="120" w:line="276"/>
        <w:jc w:val="both"/>
      </w:pPr>
      <w:r>
        <w:rPr>
          <w:rFonts w:ascii="Barlow Semi Condensed" w:cs="Barlow Semi Condensed" w:eastAsia="Barlow Semi Condensed" w:hAnsi="Barlow Semi Condensed"/>
          <w:sz w:val="24"/>
          <w:szCs w:val="24"/>
        </w:rPr>
        <w:t xml:space="preserve">Questo va enunciato con precisione perché è il punto dell'intero documento.</w:t>
      </w:r>
    </w:p>
    <w:p>
      <w:pPr>
        <w:spacing w:after="120" w:line="276"/>
        <w:jc w:val="both"/>
      </w:pPr>
      <w:r>
        <w:rPr>
          <w:rFonts w:ascii="Barlow Semi Condensed" w:cs="Barlow Semi Condensed" w:eastAsia="Barlow Semi Condensed" w:hAnsi="Barlow Semi Condensed"/>
          <w:sz w:val="24"/>
          <w:szCs w:val="24"/>
        </w:rPr>
        <w:t xml:space="preserve">Non è inazione. È una linea politica precisa, tracciabile, deliberata — che privilegiava l'interesse energetico e la stabilità del rapporto rispetto alla tutela patrimoniale dei cittadini espropriati.</w:t>
      </w:r>
    </w:p>
    <w:p>
      <w:pPr>
        <w:spacing w:after="120" w:line="276"/>
        <w:jc w:val="both"/>
      </w:pPr>
      <w:r>
        <w:rPr>
          <w:rFonts w:ascii="Barlow Semi Condensed" w:cs="Barlow Semi Condensed" w:eastAsia="Barlow Semi Condensed" w:hAnsi="Barlow Semi Condensed"/>
          <w:sz w:val="24"/>
          <w:szCs w:val="24"/>
        </w:rPr>
        <w:t xml:space="preserve">Una scelta di questo genere è più difficile da leggere di un'assenza, ed è per questo che le ricognizioni anteriori non l'avrebbero rilevata: non produce atti di protesta, produce l'assenza deliberata di atti di protesta.</w:t>
      </w:r>
    </w:p>
    <w:p>
      <w:pPr>
        <w:spacing w:after="120" w:line="276"/>
        <w:jc w:val="both"/>
      </w:pPr>
      <w:r>
        <w:rPr>
          <w:rFonts w:ascii="Barlow Semi Condensed" w:cs="Barlow Semi Condensed" w:eastAsia="Barlow Semi Condensed" w:hAnsi="Barlow Semi Condensed"/>
          <w:sz w:val="24"/>
          <w:szCs w:val="24"/>
        </w:rPr>
        <w:t xml:space="preserve">Due episodi di azione attiva documentata vanno aggiunti.</w:t>
      </w:r>
    </w:p>
    <w:p>
      <w:pPr>
        <w:spacing w:after="120" w:line="276"/>
        <w:jc w:val="both"/>
      </w:pPr>
      <w:r>
        <w:rPr>
          <w:rFonts w:ascii="Barlow Semi Condensed" w:cs="Barlow Semi Condensed" w:eastAsia="Barlow Semi Condensed" w:hAnsi="Barlow Semi Condensed"/>
          <w:sz w:val="24"/>
          <w:szCs w:val="24"/>
        </w:rPr>
        <w:t xml:space="preserve">Nel marzo 1971 l'Italia contribuì a far fallire un tentativo di colpo di Stato anti-Gheddafi\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il sequestro 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Trieste\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del battello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Conquistador Tredicesimo.</w:t>
      </w:r>
    </w:p>
    <w:p>
      <w:pPr>
        <w:spacing w:after="120" w:line="276"/>
        <w:jc w:val="both"/>
      </w:pPr>
      <w:r>
        <w:rPr>
          <w:rFonts w:ascii="Barlow Semi Condensed" w:cs="Barlow Semi Condensed" w:eastAsia="Barlow Semi Condensed" w:hAnsi="Barlow Semi Condensed"/>
          <w:sz w:val="24"/>
          <w:szCs w:val="24"/>
        </w:rPr>
        <w:t xml:space="preserve">Il 5 maggio 1971 Moro si recò a Tripoli e incontrò Gheddafi.\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Dell'incontro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resta traccia nel Fondo Aldo Moro conservato presso l'Archivio storico del Senato.</w:t>
      </w:r>
    </w:p>
    <w:p>
      <w:pPr>
        <w:spacing w:after="120" w:line="276"/>
        <w:jc w:val="both"/>
      </w:pPr>
      <w:r>
        <w:rPr>
          <w:rFonts w:ascii="Barlow Semi Condensed" w:cs="Barlow Semi Condensed" w:eastAsia="Barlow Semi Condensed" w:hAnsi="Barlow Semi Condensed"/>
          <w:sz w:val="24"/>
          <w:szCs w:val="24"/>
        </w:rPr>
        <w:t xml:space="preserve">Diciotto mesi dopo la confisca dei beni dei propri cittadini, il ministro degli Esteri italiano andò a Tripoli. Questo è un fatto, e la sua lettura appartiene a chi legge.</w:t>
      </w:r>
    </w:p>
    <w:p>
      <w:pPr>
        <w:spacing w:after="120" w:line="276"/>
        <w:jc w:val="both"/>
      </w:pPr>
      <w:r>
        <w:rPr>
          <w:rFonts w:ascii="Barlow Semi Condensed" w:cs="Barlow Semi Condensed" w:eastAsia="Barlow Semi Condensed" w:hAnsi="Barlow Semi Condensed"/>
          <w:sz w:val="24"/>
          <w:szCs w:val="24"/>
        </w:rPr>
        <w:t xml:space="preserve">Che cosa non si è trovato, e va dichiarato. Note verbali, richiami dell'ambasciatore, ricorsi a organizzazioni internazionali: non è stata reperita conferma documentaria diretta del loro testo. Le fonti concordano anzi nel senso di una linea prudente, priva di provvedimenti formali di ritorsione.</w:t>
      </w:r>
    </w:p>
    <w:p>
      <w:pPr>
        <w:spacing w:after="120" w:line="276"/>
        <w:jc w:val="both"/>
      </w:pPr>
      <w:r>
        <w:rPr>
          <w:rFonts w:ascii="Barlow Semi Condensed" w:cs="Barlow Semi Condensed" w:eastAsia="Barlow Semi Condensed" w:hAnsi="Barlow Semi Condensed"/>
          <w:sz w:val="24"/>
          <w:szCs w:val="24"/>
        </w:rPr>
        <w:t xml:space="preserve">L'esistenza o meno di una formale nota di protesta italiana nel luglio-ottobre 1970 e il testo di eventuali dichiarazioni di Moro in Parlamento restano esiti negativi, da sciogliere presso l'Archivio Storico Diplomatico, serie Affari Politici Libia 1970-1971, e sugli Atti parlamentari a stampa della quinta e sesta legislatura.</w:t>
      </w:r>
    </w:p>
    <w:p>
      <w:pPr>
        <w:spacing w:after="120" w:line="276"/>
        <w:jc w:val="both"/>
      </w:pPr>
      <w:r>
        <w:rPr>
          <w:rFonts w:ascii="Barlow Semi Condensed" w:cs="Barlow Semi Condensed" w:eastAsia="Barlow Semi Condensed" w:hAnsi="Barlow Semi Condensed"/>
          <w:sz w:val="24"/>
          <w:szCs w:val="24"/>
        </w:rPr>
        <w:t xml:space="preserve">Ma la conclusione del capitolo non muta: la condotta italiana esiste, è coerente, è documentata. È dunque una condotta reale, che le ricognizioni potrebbero misurare.</w:t>
      </w:r>
    </w:p>
    <w:p>
      <w:pPr>
        <w:pStyle w:val="Heading2"/>
        <w:spacing w:after="100" w:before="200"/>
      </w:pPr>
      <w:r>
        <w:rPr>
          <w:rFonts w:ascii="Barlow Semi Condensed" w:cs="Barlow Semi Condensed" w:eastAsia="Barlow Semi Condensed" w:hAnsi="Barlow Semi Condensed"/>
          <w:sz w:val="24"/>
          <w:szCs w:val="24"/>
        </w:rPr>
        <w:t xml:space="preserve">Capitolo sesto — L'ENI e la ragione della linea</w:t>
      </w:r>
    </w:p>
    <w:p>
      <w:pPr>
        <w:spacing w:after="120" w:line="276"/>
        <w:jc w:val="both"/>
      </w:pPr>
      <w:r>
        <w:rPr>
          <w:rFonts w:ascii="Barlow Semi Condensed" w:cs="Barlow Semi Condensed" w:eastAsia="Barlow Semi Condensed" w:hAnsi="Barlow Semi Condensed"/>
          <w:sz w:val="24"/>
          <w:szCs w:val="24"/>
        </w:rPr>
        <w:t xml:space="preserve">Il capitolo espone perché la linea di Moro fu quella, e distingue ciò che è documentato da ciò che è interpretato.</w:t>
      </w:r>
    </w:p>
    <w:p>
      <w:pPr>
        <w:spacing w:after="120" w:line="276"/>
        <w:jc w:val="both"/>
      </w:pPr>
      <w:r>
        <w:rPr>
          <w:rFonts w:ascii="Barlow Semi Condensed" w:cs="Barlow Semi Condensed" w:eastAsia="Barlow Semi Condensed" w:hAnsi="Barlow Semi Condensed"/>
          <w:sz w:val="24"/>
          <w:szCs w:val="24"/>
        </w:rPr>
        <w:t xml:space="preserve">Il dato strutturale. L'Italia dipendeva dall'estero per circa l'ottantacinque per cento del proprio fabbisogno energetico all'inizio degli anni Settanta.</w:t>
      </w:r>
    </w:p>
    <w:p>
      <w:pPr>
        <w:spacing w:after="120" w:line="276"/>
        <w:jc w:val="both"/>
      </w:pPr>
      <w:r>
        <w:rPr>
          <w:rFonts w:ascii="Barlow Semi Condensed" w:cs="Barlow Semi Condensed" w:eastAsia="Barlow Semi Condensed" w:hAnsi="Barlow Semi Condensed"/>
          <w:sz w:val="24"/>
          <w:szCs w:val="24"/>
        </w:rPr>
        <w:t xml:space="preserve">La posizione dell'ENI.\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Presente in Libia dalla fine degli anni Cinquanta, con concessioni ottenute grazie 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royalty vantaggiose\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con la scoperta del giacimento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Bu Attifel.</w:t>
      </w:r>
    </w:p>
    <w:p>
      <w:pPr>
        <w:spacing w:after="120" w:line="276"/>
        <w:jc w:val="both"/>
      </w:pPr>
      <w:r>
        <w:rPr>
          <w:rFonts w:ascii="Barlow Semi Condensed" w:cs="Barlow Semi Condensed" w:eastAsia="Barlow Semi Condensed" w:hAnsi="Barlow Semi Condensed"/>
          <w:sz w:val="24"/>
          <w:szCs w:val="24"/>
        </w:rPr>
        <w:t xml:space="preserve">E il fatto che va isolato.\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 differenza delle compagnie anglo-americane, l'ENI non fu nazionalizzata dopo il colpo di Stato e continuò a operare.</w:t>
      </w:r>
    </w:p>
    <w:p>
      <w:pPr>
        <w:spacing w:after="120" w:line="276"/>
        <w:jc w:val="both"/>
      </w:pPr>
      <w:r>
        <w:rPr>
          <w:rFonts w:ascii="Barlow Semi Condensed" w:cs="Barlow Semi Condensed" w:eastAsia="Barlow Semi Condensed" w:hAnsi="Barlow Semi Condensed"/>
          <w:sz w:val="24"/>
          <w:szCs w:val="24"/>
        </w:rPr>
        <w:t xml:space="preserve">La cronologia successiva. Nel 1971 l'accordo di Tripoli impose alle compagnie l'aumento del prezzo del greggio da due virgola cinquantatré a tre virgola trentadue dollari al barile; nel 1972 fu raggiunto un accordo fra l'ENI e il governo libico.</w:t>
      </w:r>
    </w:p>
    <w:p>
      <w:pPr>
        <w:spacing w:after="120" w:line="276"/>
        <w:jc w:val="both"/>
      </w:pPr>
      <w:r>
        <w:rPr>
          <w:rFonts w:ascii="Barlow Semi Condensed" w:cs="Barlow Semi Condensed" w:eastAsia="Barlow Semi Condensed" w:hAnsi="Barlow Semi Condensed"/>
          <w:sz w:val="24"/>
          <w:szCs w:val="24"/>
        </w:rPr>
        <w:t xml:space="preserve">La storiografia su questo versante è solida e fondata su archivi, e va nominata perché è essa a rendere l'accertamento possibile: gli studi di Massimiliano Cricco — \</w:t>
      </w:r>
      <w:r>
        <w:rPr>
          <w:rFonts w:ascii="Barlow Semi Condensed" w:cs="Barlow Semi Condensed" w:eastAsia="Barlow Semi Condensed" w:hAnsi="Barlow Semi Condensed"/>
          <w:i/>
          <w:iCs/>
          <w:sz w:val="24"/>
          <w:szCs w:val="24"/>
        </w:rPr>
        <w:t xml:space="preserve">L'ENI in Libia: dal trattato italo-libico del 1956 ai negoziati degli anni Settanta\</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Nuova Rivista Storica\</w:t>
      </w:r>
      <w:r>
        <w:rPr>
          <w:rFonts w:ascii="Barlow Semi Condensed" w:cs="Barlow Semi Condensed" w:eastAsia="Barlow Semi Condensed" w:hAnsi="Barlow Semi Condensed"/>
          <w:sz w:val="24"/>
          <w:szCs w:val="24"/>
        </w:rPr>
        <w:t xml:space="preserve">, novantottesimo volume, fascicolo secondo del 2014, pagine cinquecentocinquantacinque-cinquecentosessantasei; e \</w:t>
      </w:r>
      <w:r>
        <w:rPr>
          <w:rFonts w:ascii="Barlow Semi Condensed" w:cs="Barlow Semi Condensed" w:eastAsia="Barlow Semi Condensed" w:hAnsi="Barlow Semi Condensed"/>
          <w:i/>
          <w:iCs/>
          <w:sz w:val="24"/>
          <w:szCs w:val="24"/>
        </w:rPr>
        <w:t xml:space="preserve">Gheddafi e la nuova strategia del petrolio in Libia\</w:t>
      </w:r>
      <w:r>
        <w:rPr>
          <w:rFonts w:ascii="Barlow Semi Condensed" w:cs="Barlow Semi Condensed" w:eastAsia="Barlow Semi Condensed" w:hAnsi="Barlow Semi Condensed"/>
          <w:sz w:val="24"/>
          <w:szCs w:val="24"/>
        </w:rPr>
        <w:t xml:space="preserve">, del 2004 — quelli di Silvio Labbate sul governo dell'energia, quelli di Ilaria Tremolada sulla via italiana al petrolio.</w:t>
      </w:r>
    </w:p>
    <w:p>
      <w:pPr>
        <w:spacing w:after="120" w:line="276"/>
        <w:jc w:val="both"/>
      </w:pPr>
      <w:r>
        <w:rPr>
          <w:rFonts w:ascii="Barlow Semi Condensed" w:cs="Barlow Semi Condensed" w:eastAsia="Barlow Semi Condensed" w:hAnsi="Barlow Semi Condensed"/>
          <w:sz w:val="24"/>
          <w:szCs w:val="24"/>
        </w:rPr>
        <w:t xml:space="preserve">E adesso la distinzione che la disciplina impone, perché qui l'inferenza facile è disponibile e seducente.</w:t>
      </w:r>
    </w:p>
    <w:p>
      <w:pPr>
        <w:spacing w:after="120" w:line="276"/>
        <w:jc w:val="both"/>
      </w:pPr>
      <w:r>
        <w:rPr>
          <w:rFonts w:ascii="Barlow Semi Condensed" w:cs="Barlow Semi Condensed" w:eastAsia="Barlow Semi Condensed" w:hAnsi="Barlow Semi Condensed"/>
          <w:sz w:val="24"/>
          <w:szCs w:val="24"/>
        </w:rPr>
        <w:t xml:space="preserve">Che gli interessi petroliferi abbiano condizionato la risposta politica è tesi sostenuta dalla storiografia e coerente con la documentazione.</w:t>
      </w:r>
    </w:p>
    <w:p>
      <w:pPr>
        <w:spacing w:after="120" w:line="276"/>
        <w:jc w:val="both"/>
      </w:pPr>
      <w:r>
        <w:rPr>
          <w:rFonts w:ascii="Barlow Semi Condensed" w:cs="Barlow Semi Condensed" w:eastAsia="Barlow Semi Condensed" w:hAnsi="Barlow Semi Condensed"/>
          <w:sz w:val="24"/>
          <w:szCs w:val="24"/>
        </w:rPr>
        <w:t xml:space="preserve">Ma va enunciata come interpretazione degli studiosi e non come fatto autoevidente. La contemporaneità fra la tutela dell'ENI e la rinuncia alle ritorsioni è forte; ma il nesso causale è argomentato da Varvelli e da Cricco, non semplicemente dedotto dalla coincidenza cronologica.</w:t>
      </w:r>
    </w:p>
    <w:p>
      <w:pPr>
        <w:spacing w:after="120" w:line="276"/>
        <w:jc w:val="both"/>
      </w:pPr>
      <w:r>
        <w:rPr>
          <w:rFonts w:ascii="Barlow Semi Condensed" w:cs="Barlow Semi Condensed" w:eastAsia="Barlow Semi Condensed" w:hAnsi="Barlow Semi Condensed"/>
          <w:sz w:val="24"/>
          <w:szCs w:val="24"/>
        </w:rPr>
        <w:t xml:space="preserve">Ne discende che la ricostruzione qui accolta — Moro rinunciò alle ritorsioni per proteggere la posizione energetica — è la lettura della storiografia fondata su archivio, e come tale va riportata: non come accertamento del documento, ma come tesi argomentata da chi il documento lo ha letto.</w:t>
      </w:r>
    </w:p>
    <w:p>
      <w:pPr>
        <w:spacing w:after="120" w:line="276"/>
        <w:jc w:val="both"/>
      </w:pPr>
      <w:r>
        <w:rPr>
          <w:rFonts w:ascii="Barlow Semi Condensed" w:cs="Barlow Semi Condensed" w:eastAsia="Barlow Semi Condensed" w:hAnsi="Barlow Semi Condensed"/>
          <w:sz w:val="24"/>
          <w:szCs w:val="24"/>
        </w:rPr>
        <w:t xml:space="preserve">Il che, secondo me, è comunque assai più di quanto le tredici ricognizioni anteriori abbiano potuto dire su alcuno dei sei perimetri.</w:t>
      </w:r>
    </w:p>
    <w:p>
      <w:pPr>
        <w:pStyle w:val="Heading2"/>
        <w:spacing w:after="100" w:before="200"/>
      </w:pPr>
      <w:r>
        <w:rPr>
          <w:rFonts w:ascii="Barlow Semi Condensed" w:cs="Barlow Semi Condensed" w:eastAsia="Barlow Semi Condensed" w:hAnsi="Barlow Semi Condensed"/>
          <w:sz w:val="24"/>
          <w:szCs w:val="24"/>
        </w:rPr>
        <w:t xml:space="preserve">Capitolo settimo — Gli altri casi in cui qualcuno ha aperto l'archivio</w:t>
      </w:r>
    </w:p>
    <w:p>
      <w:pPr>
        <w:spacing w:after="120" w:line="276"/>
        <w:jc w:val="both"/>
      </w:pPr>
      <w:r>
        <w:rPr>
          <w:rFonts w:ascii="Barlow Semi Condensed" w:cs="Barlow Semi Condensed" w:eastAsia="Barlow Semi Condensed" w:hAnsi="Barlow Semi Condensed"/>
          <w:sz w:val="24"/>
          <w:szCs w:val="24"/>
        </w:rPr>
        <w:t xml:space="preserve">Il capitolo verifica se la Libia sia eccezione o regola, e trova la regola.</w:t>
      </w:r>
    </w:p>
    <w:p>
      <w:pPr>
        <w:spacing w:after="120" w:line="276"/>
        <w:jc w:val="both"/>
      </w:pPr>
      <w:r>
        <w:rPr>
          <w:rFonts w:ascii="Barlow Semi Condensed" w:cs="Barlow Semi Condensed" w:eastAsia="Barlow Semi Condensed" w:hAnsi="Barlow Semi Condensed"/>
          <w:sz w:val="24"/>
          <w:szCs w:val="24"/>
        </w:rPr>
        <w:t xml:space="preserve">Il riconoscimento della Cina. Formalizzato con il comunicato congiunto di Parigi del 6 novembre 1970. La trattativa è documentata con precisione: il quarto incontro si tenne il 27 e 28 ottobre 1970 presso l'ambasciata cinese a Parigi, ed è attestato da carte dell'Archivio Storico del Ministero — scarico dell'ambasciata a Pechino, busta sul riconoscimento — e da un carteggio Moro-Saragat del 2 e 3 novembre 1970 conservato nel Fondo Moro all'Archivio Centrale dello Stato.</w:t>
      </w:r>
    </w:p>
    <w:p>
      <w:pPr>
        <w:spacing w:after="120" w:line="276"/>
        <w:jc w:val="both"/>
      </w:pPr>
      <w:r>
        <w:rPr>
          <w:rFonts w:ascii="Barlow Semi Condensed" w:cs="Barlow Semi Condensed" w:eastAsia="Barlow Semi Condensed" w:hAnsi="Barlow Semi Condensed"/>
          <w:sz w:val="24"/>
          <w:szCs w:val="24"/>
        </w:rPr>
        <w:t xml:space="preserve">La preparazione della Conferenza di Helsinki. I colloqui preparatori si aprirono a Helsinki il 22 novembre 1972; la fase di Ginevra durò dal settembre 1973 al luglio 1975; Moro firmò l'Atto finale il 1 agosto 1975. L'azione italiana sul terzo cesto — libera circolazione di persone, idee e informazioni — è ricostruita da studi fondati sull'Archivio storico del Ministero, quelli di Giuseppe Spagnulo, e da lavori che incrociano fonti tedesche e italiane, quelli di Francesca Zilio, \</w:t>
      </w:r>
      <w:r>
        <w:rPr>
          <w:rFonts w:ascii="Barlow Semi Condensed" w:cs="Barlow Semi Condensed" w:eastAsia="Barlow Semi Condensed" w:hAnsi="Barlow Semi Condensed"/>
          <w:i/>
          <w:iCs/>
          <w:sz w:val="24"/>
          <w:szCs w:val="24"/>
        </w:rPr>
        <w:t xml:space="preserve">Roma e Bonn fra Ostpolitik e CSCE 1969-1975.\</w:t>
      </w:r>
    </w:p>
    <w:p>
      <w:pPr>
        <w:spacing w:after="120" w:line="276"/>
        <w:jc w:val="both"/>
      </w:pPr>
      <w:r>
        <w:rPr>
          <w:rFonts w:ascii="Barlow Semi Condensed" w:cs="Barlow Semi Condensed" w:eastAsia="Barlow Semi Condensed" w:hAnsi="Barlow Semi Condensed"/>
          <w:sz w:val="24"/>
          <w:szCs w:val="24"/>
        </w:rPr>
        <w:t xml:space="preserve">Questo nome va isolato perché tocca direttamente un perimetro della serie.\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Zilio ha lavorato sull'azione italiana verso la Germania e la sua Ostpolitik, e l'ha trovata.</w:t>
      </w:r>
    </w:p>
    <w:p>
      <w:pPr>
        <w:spacing w:after="120" w:line="276"/>
        <w:jc w:val="both"/>
      </w:pPr>
      <w:r>
        <w:rPr>
          <w:rFonts w:ascii="Barlow Semi Condensed" w:cs="Barlow Semi Condensed" w:eastAsia="Barlow Semi Condensed" w:hAnsi="Barlow Semi Condensed"/>
          <w:sz w:val="24"/>
          <w:szCs w:val="24"/>
        </w:rPr>
        <w:t xml:space="preserve">Ne discende che la nona ricognizione, che aveva dichiarato non reperita la posizione italiana sui cinque atti della Ostpolitik, ha misurato la propria mancata consultazione di quello studio e non l'assenza dell'azione.</w:t>
      </w:r>
    </w:p>
    <w:p>
      <w:pPr>
        <w:spacing w:after="120" w:line="276"/>
        <w:jc w:val="both"/>
      </w:pPr>
      <w:r>
        <w:rPr>
          <w:rFonts w:ascii="Barlow Semi Condensed" w:cs="Barlow Semi Condensed" w:eastAsia="Barlow Semi Condensed" w:hAnsi="Barlow Semi Condensed"/>
          <w:sz w:val="24"/>
          <w:szCs w:val="24"/>
        </w:rPr>
        <w:t xml:space="preserve">L'Adriatico. Il negoziato di Osimo è ora servito da un volume documentario ufficiale: \</w:t>
      </w:r>
      <w:r>
        <w:rPr>
          <w:rFonts w:ascii="Barlow Semi Condensed" w:cs="Barlow Semi Condensed" w:eastAsia="Barlow Semi Condensed" w:hAnsi="Barlow Semi Condensed"/>
          <w:i/>
          <w:iCs/>
          <w:sz w:val="24"/>
          <w:szCs w:val="24"/>
        </w:rPr>
        <w:t xml:space="preserve">Documenti sulla Pace Adriatica. Il negoziato per gli Accordi di Osimo nelle carte della diplomazia italiana\</w:t>
      </w:r>
      <w:r>
        <w:rPr>
          <w:rFonts w:ascii="Barlow Semi Condensed" w:cs="Barlow Semi Condensed" w:eastAsia="Barlow Semi Condensed" w:hAnsi="Barlow Semi Condensed"/>
          <w:sz w:val="24"/>
          <w:szCs w:val="24"/>
        </w:rPr>
        <w:t xml:space="preserve">, a cura di Massimo Bucarelli e Arrigo Bonifacio, edito dall'Istituto Poligrafico nel 2025.</w:t>
      </w:r>
    </w:p>
    <w:p>
      <w:pPr>
        <w:spacing w:after="120" w:line="276"/>
        <w:jc w:val="both"/>
      </w:pPr>
      <w:r>
        <w:rPr>
          <w:rFonts w:ascii="Barlow Semi Condensed" w:cs="Barlow Semi Condensed" w:eastAsia="Barlow Semi Condensed" w:hAnsi="Barlow Semi Condensed"/>
          <w:sz w:val="24"/>
          <w:szCs w:val="24"/>
        </w:rPr>
        <w:t xml:space="preserve">Il quadro complessivo, ed è la regolarità.\</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Ogni volta che uno studioso ha aperto le serie pertinenti dell'archivio diplomatico, l'azione italiana è emersa.</w:t>
      </w:r>
    </w:p>
    <w:p>
      <w:pPr>
        <w:spacing w:after="120" w:line="276"/>
        <w:jc w:val="both"/>
      </w:pPr>
      <w:r>
        <w:rPr>
          <w:rFonts w:ascii="Barlow Semi Condensed" w:cs="Barlow Semi Condensed" w:eastAsia="Barlow Semi Condensed" w:hAnsi="Barlow Semi Condensed"/>
          <w:sz w:val="24"/>
          <w:szCs w:val="24"/>
        </w:rPr>
        <w:t xml:space="preserve">Libia, Cina, Helsinki, Adriatico. Quattro casi su quattro.</w:t>
      </w:r>
    </w:p>
    <w:p>
      <w:pPr>
        <w:spacing w:after="120" w:line="276"/>
        <w:jc w:val="both"/>
      </w:pPr>
      <w:r>
        <w:rPr>
          <w:rFonts w:ascii="Barlow Semi Condensed" w:cs="Barlow Semi Condensed" w:eastAsia="Barlow Semi Condensed" w:hAnsi="Barlow Semi Condensed"/>
          <w:sz w:val="24"/>
          <w:szCs w:val="24"/>
        </w:rPr>
        <w:t xml:space="preserve">La Libia non è dunque eccezione. È un esempio della regola secondo cui l'azione esiste ed è documentabile là dove è stata cercata.</w:t>
      </w:r>
    </w:p>
    <w:p>
      <w:pPr>
        <w:spacing w:after="120" w:line="276"/>
        <w:jc w:val="both"/>
      </w:pPr>
      <w:r>
        <w:rPr>
          <w:rFonts w:ascii="Barlow Semi Condensed" w:cs="Barlow Semi Condensed" w:eastAsia="Barlow Semi Condensed" w:hAnsi="Barlow Semi Condensed"/>
          <w:sz w:val="24"/>
          <w:szCs w:val="24"/>
        </w:rPr>
        <w:t xml:space="preserve">E ne discende il sospetto che governa il resto di questo documento: i sei perimetri silenziosi potrebbero essere semplicemente i sei perimetri che nessuno ha cercato.</w:t>
      </w:r>
    </w:p>
    <w:p>
      <w:pPr>
        <w:pStyle w:val="Heading2"/>
        <w:spacing w:after="100" w:before="200"/>
      </w:pPr>
      <w:r>
        <w:rPr>
          <w:rFonts w:ascii="Barlow Semi Condensed" w:cs="Barlow Semi Condensed" w:eastAsia="Barlow Semi Condensed" w:hAnsi="Barlow Semi Condensed"/>
          <w:sz w:val="24"/>
          <w:szCs w:val="24"/>
        </w:rPr>
        <w:t xml:space="preserve">Capitolo ottavo — Osimo: l'azione condotta fuori dalla Farnesina</w:t>
      </w:r>
    </w:p>
    <w:p>
      <w:pPr>
        <w:spacing w:after="120" w:line="276"/>
        <w:jc w:val="both"/>
      </w:pPr>
      <w:r>
        <w:rPr>
          <w:rFonts w:ascii="Barlow Semi Condensed" w:cs="Barlow Semi Condensed" w:eastAsia="Barlow Semi Condensed" w:hAnsi="Barlow Semi Condensed"/>
          <w:sz w:val="24"/>
          <w:szCs w:val="24"/>
        </w:rPr>
        <w:t xml:space="preserve">Il capitolo espone il ritrovamento che, secondo me, ha la conseguenza metodologica più grave dell'intera serie.</w:t>
      </w:r>
    </w:p>
    <w:p>
      <w:pPr>
        <w:spacing w:after="120" w:line="276"/>
        <w:jc w:val="both"/>
      </w:pPr>
      <w:r>
        <w:rPr>
          <w:rFonts w:ascii="Barlow Semi Condensed" w:cs="Barlow Semi Condensed" w:eastAsia="Barlow Semi Condensed" w:hAnsi="Barlow Semi Condensed"/>
          <w:sz w:val="24"/>
          <w:szCs w:val="24"/>
        </w:rPr>
        <w:t xml:space="preserve">Il fatto.\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negoziato che portò al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trattato di Osimo del 10 novembre 1975\</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la Jugoslavia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fu condotto, per scelta deliberata, attraverso un canale del Ministero dell'Industria.</w:t>
      </w:r>
    </w:p>
    <w:p>
      <w:pPr>
        <w:spacing w:after="120" w:line="276"/>
        <w:jc w:val="both"/>
      </w:pPr>
      <w:r>
        <w:rPr>
          <w:rFonts w:ascii="Barlow Semi Condensed" w:cs="Barlow Semi Condensed" w:eastAsia="Barlow Semi Condensed" w:hAnsi="Barlow Semi Condensed"/>
          <w:sz w:val="24"/>
          <w:szCs w:val="24"/>
        </w:rPr>
        <w:t xml:space="preserve">Il nome del canale: Eugenio Carbone, direttore generale.\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canale era stato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predisposto nel 1973 dai ministri Medici e Minić.</w:t>
      </w:r>
    </w:p>
    <w:p>
      <w:pPr>
        <w:spacing w:after="120" w:line="276"/>
        <w:jc w:val="both"/>
      </w:pPr>
      <w:r>
        <w:rPr>
          <w:rFonts w:ascii="Barlow Semi Condensed" w:cs="Barlow Semi Condensed" w:eastAsia="Barlow Semi Condensed" w:hAnsi="Barlow Semi Condensed"/>
          <w:sz w:val="24"/>
          <w:szCs w:val="24"/>
        </w:rPr>
        <w:t xml:space="preserve">E la qualificazione che le fonti gli danno va riportata testualmente perché è categorica.\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Fu il primo trattato internazionale i cui negoziati per l'Italia non furono curati dal Ministero degli Esteri.</w:t>
      </w:r>
    </w:p>
    <w:p>
      <w:pPr>
        <w:spacing w:after="120" w:line="276"/>
        <w:jc w:val="both"/>
      </w:pPr>
      <w:r>
        <w:rPr>
          <w:rFonts w:ascii="Barlow Semi Condensed" w:cs="Barlow Semi Condensed" w:eastAsia="Barlow Semi Condensed" w:hAnsi="Barlow Semi Condensed"/>
          <w:sz w:val="24"/>
          <w:szCs w:val="24"/>
        </w:rPr>
        <w:t xml:space="preserve">La conferma per via di conflitto.\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Alla vigilia della firma si registrarono le dimissioni dell'ambasciatore Camillo Giurati.</w:t>
      </w:r>
    </w:p>
    <w:p>
      <w:pPr>
        <w:spacing w:after="120" w:line="276"/>
        <w:jc w:val="both"/>
      </w:pPr>
      <w:r>
        <w:rPr>
          <w:rFonts w:ascii="Barlow Semi Condensed" w:cs="Barlow Semi Condensed" w:eastAsia="Barlow Semi Condensed" w:hAnsi="Barlow Semi Condensed"/>
          <w:sz w:val="24"/>
          <w:szCs w:val="24"/>
        </w:rPr>
        <w:t xml:space="preserve">Un ambasciatore si dimette quando il proprio ministero viene aggirato: la dimissione è la prova che l'aggiramento fu reale e percepito come tale.</w:t>
      </w:r>
    </w:p>
    <w:p>
      <w:pPr>
        <w:spacing w:after="120" w:line="276"/>
        <w:jc w:val="both"/>
      </w:pPr>
      <w:r>
        <w:rPr>
          <w:rFonts w:ascii="Barlow Semi Condensed" w:cs="Barlow Semi Condensed" w:eastAsia="Barlow Semi Condensed" w:hAnsi="Barlow Semi Condensed"/>
          <w:sz w:val="24"/>
          <w:szCs w:val="24"/>
        </w:rPr>
        <w:t xml:space="preserve">La circostanza era stata indicata dal committente come da verificare. Risulta confermata.</w:t>
      </w:r>
    </w:p>
    <w:p>
      <w:pPr>
        <w:spacing w:after="120" w:line="276"/>
        <w:jc w:val="both"/>
      </w:pPr>
      <w:r>
        <w:rPr>
          <w:rFonts w:ascii="Barlow Semi Condensed" w:cs="Barlow Semi Condensed" w:eastAsia="Barlow Semi Condensed" w:hAnsi="Barlow Semi Condensed"/>
          <w:sz w:val="24"/>
          <w:szCs w:val="24"/>
        </w:rPr>
        <w:t xml:space="preserve">E adesso la conseguenza metodologica, che va enunciata con la massima chiarezza perché rovescia il presupposto di tredici ricognizioni.</w:t>
      </w:r>
    </w:p>
    <w:p>
      <w:pPr>
        <w:spacing w:after="120" w:line="276"/>
        <w:jc w:val="both"/>
      </w:pPr>
      <w:r>
        <w:rPr>
          <w:rFonts w:ascii="Barlow Semi Condensed" w:cs="Barlow Semi Condensed" w:eastAsia="Barlow Semi Condensed" w:hAnsi="Barlow Semi Condensed"/>
          <w:sz w:val="24"/>
          <w:szCs w:val="24"/>
        </w:rPr>
        <w:t xml:space="preserve">Per alcuni dossier l'azione dello Stato può non lasciare traccia nell'archivio diplomatico proprio perché fu condotta altrove.</w:t>
      </w:r>
    </w:p>
    <w:p>
      <w:pPr>
        <w:spacing w:after="120" w:line="276"/>
        <w:jc w:val="both"/>
      </w:pPr>
      <w:r>
        <w:rPr>
          <w:rFonts w:ascii="Barlow Semi Condensed" w:cs="Barlow Semi Condensed" w:eastAsia="Barlow Semi Condensed" w:hAnsi="Barlow Semi Condensed"/>
          <w:sz w:val="24"/>
          <w:szCs w:val="24"/>
        </w:rPr>
        <w:t xml:space="preserve">Ne discende che l'assenza in Archivio Storico Diplomatico è compatibile con la presenza di azione.</w:t>
      </w:r>
    </w:p>
    <w:p>
      <w:pPr>
        <w:spacing w:after="120" w:line="276"/>
        <w:jc w:val="both"/>
      </w:pPr>
      <w:r>
        <w:rPr>
          <w:rFonts w:ascii="Barlow Semi Condensed" w:cs="Barlow Semi Condensed" w:eastAsia="Barlow Semi Condensed" w:hAnsi="Barlow Semi Condensed"/>
          <w:sz w:val="24"/>
          <w:szCs w:val="24"/>
        </w:rPr>
        <w:t xml:space="preserve">Questo non è un dettaglio procedurale: è la falsificazione del criterio implicito con cui le tredici ricognizioni hanno letto il silenzio. Esse assumevano che, se lo Stato avesse agito, l'azione sarebbe stata nell'archivio della Farnesina o negli atti parlamentari. Osimo prova che tale assunto non tiene in generale.</w:t>
      </w:r>
    </w:p>
    <w:p>
      <w:pPr>
        <w:spacing w:after="120" w:line="276"/>
        <w:jc w:val="both"/>
      </w:pPr>
      <w:r>
        <w:rPr>
          <w:rFonts w:ascii="Barlow Semi Condensed" w:cs="Barlow Semi Condensed" w:eastAsia="Barlow Semi Condensed" w:hAnsi="Barlow Semi Condensed"/>
          <w:sz w:val="24"/>
          <w:szCs w:val="24"/>
        </w:rPr>
        <w:t xml:space="preserve">E apre una domanda che nessuna ricognizione ha posto: per i sei perimetri, esistevano canali paralleli?</w:t>
      </w:r>
    </w:p>
    <w:p>
      <w:pPr>
        <w:spacing w:after="120" w:line="276"/>
        <w:jc w:val="both"/>
      </w:pPr>
      <w:r>
        <w:rPr>
          <w:rFonts w:ascii="Barlow Semi Condensed" w:cs="Barlow Semi Condensed" w:eastAsia="Barlow Semi Condensed" w:hAnsi="Barlow Semi Condensed"/>
          <w:sz w:val="24"/>
          <w:szCs w:val="24"/>
        </w:rPr>
        <w:t xml:space="preserve">Il caso jugoslavo passò per il Ministero dell'Industria perché la materia era in larga parte economica. I sei perimetri hanno materie diverse — Spagna e Portogallo con questioni migratorie e comunitarie, Grecia e Turchia con questioni comunitarie e atlantiche, Cipro con questione multilaterale, Germania con questione economica e monetaria — e ciascuna di esse ha un ministero competente diverso dalla Farnesina.</w:t>
      </w:r>
    </w:p>
    <w:p>
      <w:pPr>
        <w:spacing w:after="120" w:line="276"/>
        <w:jc w:val="both"/>
      </w:pPr>
      <w:r>
        <w:rPr>
          <w:rFonts w:ascii="Barlow Semi Condensed" w:cs="Barlow Semi Condensed" w:eastAsia="Barlow Semi Condensed" w:hAnsi="Barlow Semi Condensed"/>
          <w:sz w:val="24"/>
          <w:szCs w:val="24"/>
        </w:rPr>
        <w:t xml:space="preserve">Nessuna delle tredici ricognizioni ha cercato in quei ministeri. È voce nuova della tavola, e la si colloca al Capitolo dodicesimo.</w:t>
      </w:r>
    </w:p>
    <w:p>
      <w:pPr>
        <w:pStyle w:val="Heading2"/>
        <w:spacing w:after="100" w:before="200"/>
      </w:pPr>
      <w:r>
        <w:rPr>
          <w:rFonts w:ascii="Barlow Semi Condensed" w:cs="Barlow Semi Condensed" w:eastAsia="Barlow Semi Condensed" w:hAnsi="Barlow Semi Condensed"/>
          <w:sz w:val="24"/>
          <w:szCs w:val="24"/>
        </w:rPr>
        <w:t xml:space="preserve">Capitolo nono — Lo stato degli archivi e perché il silenzio è in parte artefatto</w:t>
      </w:r>
    </w:p>
    <w:p>
      <w:pPr>
        <w:spacing w:after="120" w:line="276"/>
        <w:jc w:val="both"/>
      </w:pPr>
      <w:r>
        <w:rPr>
          <w:rFonts w:ascii="Barlow Semi Condensed" w:cs="Barlow Semi Condensed" w:eastAsia="Barlow Semi Condensed" w:hAnsi="Barlow Semi Condensed"/>
          <w:sz w:val="24"/>
          <w:szCs w:val="24"/>
        </w:rPr>
        <w:t xml:space="preserve">Il capitolo documenta le condizioni materiali che producono il silenzio percepito.</w:t>
      </w:r>
    </w:p>
    <w:p>
      <w:pPr>
        <w:spacing w:after="120" w:line="276"/>
        <w:jc w:val="both"/>
      </w:pPr>
      <w:r>
        <w:rPr>
          <w:rFonts w:ascii="Barlow Semi Condensed" w:cs="Barlow Semi Condensed" w:eastAsia="Barlow Semi Condensed" w:hAnsi="Barlow Semi Condensed"/>
          <w:sz w:val="24"/>
          <w:szCs w:val="24"/>
        </w:rPr>
        <w:t xml:space="preserve">L'Archivio Storico Diplomatico. Conserva circa trenta chilometri lineari di documenti ordinati per ufficio versante. Sono ammessi alla consultazione i documenti anteriori al cinquantennio; per quelli fra i trenta e i cinquant'anni occorre il parere favorevole dell'ufficio produttore, secondo il decreto ministeriale milledodici bis settecentododici del 22 dicembre 2015.</w:t>
      </w:r>
    </w:p>
    <w:p>
      <w:pPr>
        <w:spacing w:after="120" w:line="276"/>
        <w:jc w:val="both"/>
      </w:pPr>
      <w:r>
        <w:rPr>
          <w:rFonts w:ascii="Barlow Semi Condensed" w:cs="Barlow Semi Condensed" w:eastAsia="Barlow Semi Condensed" w:hAnsi="Barlow Semi Condensed"/>
          <w:sz w:val="24"/>
          <w:szCs w:val="24"/>
        </w:rPr>
        <w:t xml:space="preserve">Per la documentazione dal 1949 in poi l'utente deve inviare preventivamente l'elenco dei faldoni per verificarne la disponibilità\</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l'archivio avverte che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materiale potrebbe non essere disponibile in tempi brevi.</w:t>
      </w:r>
    </w:p>
    <w:p>
      <w:pPr>
        <w:spacing w:after="120" w:line="276"/>
        <w:jc w:val="both"/>
      </w:pPr>
      <w:r>
        <w:rPr>
          <w:rFonts w:ascii="Barlow Semi Condensed" w:cs="Barlow Semi Condensed" w:eastAsia="Barlow Semi Condensed" w:hAnsi="Barlow Semi Condensed"/>
          <w:sz w:val="24"/>
          <w:szCs w:val="24"/>
        </w:rPr>
        <w:t xml:space="preserve">Ne discende una condizione operativa che va enunciata perché spiega molto. Le serie del periodo Moro sono formalmente aperte ma di accesso condizionato e non indicizzato online. Non è possibile una ricerca esplorativa: occorre sapere che cosa si cerca prima di poterlo cercare, il che scoraggia lo spoglio sistematico e favorisce chi lavori su un perimetro già delimitato.</w:t>
      </w:r>
    </w:p>
    <w:p>
      <w:pPr>
        <w:spacing w:after="120" w:line="276"/>
        <w:jc w:val="both"/>
      </w:pPr>
      <w:r>
        <w:rPr>
          <w:rFonts w:ascii="Barlow Semi Condensed" w:cs="Barlow Semi Condensed" w:eastAsia="Barlow Semi Condensed" w:hAnsi="Barlow Semi Condensed"/>
          <w:sz w:val="24"/>
          <w:szCs w:val="24"/>
        </w:rPr>
        <w:t xml:space="preserve">I Documenti Diplomatici Italiani. La collana che renderebbe l'azione consultabile in edizione critica non ha raggiunto gli anni Sessanta-Settanta: l'ultimo volume pubblicato è il sesto dell'undicesima serie, relativo alla prima parte del settimo governo De Gasperi, 1951-1952.</w:t>
      </w:r>
    </w:p>
    <w:p>
      <w:pPr>
        <w:spacing w:after="120" w:line="276"/>
        <w:jc w:val="both"/>
      </w:pPr>
      <w:r>
        <w:rPr>
          <w:rFonts w:ascii="Barlow Semi Condensed" w:cs="Barlow Semi Condensed" w:eastAsia="Barlow Semi Condensed" w:hAnsi="Barlow Semi Condensed"/>
          <w:sz w:val="24"/>
          <w:szCs w:val="24"/>
        </w:rPr>
        <w:t xml:space="preserve">Per il periodo Moro non esiste edizione. Questo è, secondo me, il singolo fattore che più pesa sul silenzio documentario percepito.</w:t>
      </w:r>
    </w:p>
    <w:p>
      <w:pPr>
        <w:spacing w:after="120" w:line="276"/>
        <w:jc w:val="both"/>
      </w:pPr>
      <w:r>
        <w:rPr>
          <w:rFonts w:ascii="Barlow Semi Condensed" w:cs="Barlow Semi Condensed" w:eastAsia="Barlow Semi Condensed" w:hAnsi="Barlow Semi Condensed"/>
          <w:sz w:val="24"/>
          <w:szCs w:val="24"/>
        </w:rPr>
        <w:t xml:space="preserve">Gli atti parlamentari.\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banca dati del sindacato ispettivo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copre soltanto dal 5 luglio 1976.\</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 la quinta e sesta legislatura la ricerca va condotta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sui resoconti a stampa, non digitalizzati in forma indicizzata.</w:t>
      </w:r>
    </w:p>
    <w:p>
      <w:pPr>
        <w:spacing w:after="120" w:line="276"/>
        <w:jc w:val="both"/>
      </w:pPr>
      <w:r>
        <w:rPr>
          <w:rFonts w:ascii="Barlow Semi Condensed" w:cs="Barlow Semi Condensed" w:eastAsia="Barlow Semi Condensed" w:hAnsi="Barlow Semi Condensed"/>
          <w:sz w:val="24"/>
          <w:szCs w:val="24"/>
        </w:rPr>
        <w:t xml:space="preserve">Il che spiega perché le dichiarazioni di Moro sulla Libia non emergano nelle ricerche online: non perché non esistano, ma perché non sono cercabili.</w:t>
      </w:r>
    </w:p>
    <w:p>
      <w:pPr>
        <w:spacing w:after="120" w:line="276"/>
        <w:jc w:val="both"/>
      </w:pPr>
      <w:r>
        <w:rPr>
          <w:rFonts w:ascii="Barlow Semi Condensed" w:cs="Barlow Semi Condensed" w:eastAsia="Barlow Semi Condensed" w:hAnsi="Barlow Semi Condensed"/>
          <w:sz w:val="24"/>
          <w:szCs w:val="24"/>
        </w:rPr>
        <w:t xml:space="preserve">I fondi personali collaterali consultabili, che nessuna ricognizione ha aperto: il Fondo Ugo La Malfa all'Archivio Centrale dello Stato; il Fondo Nenni; le carte Andreotti presso l'Istituto Luigi Sturzo, base del volume Bucarelli-Micheletta del 2018.</w:t>
      </w:r>
    </w:p>
    <w:p>
      <w:pPr>
        <w:spacing w:after="120" w:line="276"/>
        <w:jc w:val="both"/>
      </w:pPr>
      <w:r>
        <w:rPr>
          <w:rFonts w:ascii="Barlow Semi Condensed" w:cs="Barlow Semi Condensed" w:eastAsia="Barlow Semi Condensed" w:hAnsi="Barlow Semi Condensed"/>
          <w:sz w:val="24"/>
          <w:szCs w:val="24"/>
        </w:rPr>
        <w:t xml:space="preserve">Ne discende il bilancio del capitolo.\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Nessuna delle tre vie di verifica rapida — edizione critica, banca dati parlamentare, catalogo online dell'archivio — è percorribile per il periodo Moro.</w:t>
      </w:r>
    </w:p>
    <w:p>
      <w:pPr>
        <w:spacing w:after="120" w:line="276"/>
        <w:jc w:val="both"/>
      </w:pPr>
      <w:r>
        <w:rPr>
          <w:rFonts w:ascii="Barlow Semi Condensed" w:cs="Barlow Semi Condensed" w:eastAsia="Barlow Semi Condensed" w:hAnsi="Barlow Semi Condensed"/>
          <w:sz w:val="24"/>
          <w:szCs w:val="24"/>
        </w:rPr>
        <w:t xml:space="preserve">Chi cerchi per via telematica trova silenzio. Chi vada in sede con un perimetro delimitato trova carte. La differenza fra le tredici ricognizioni e Varvelli è tutta qui.</w:t>
      </w:r>
    </w:p>
    <w:p>
      <w:pPr>
        <w:pStyle w:val="Heading2"/>
        <w:spacing w:after="100" w:before="200"/>
      </w:pPr>
      <w:r>
        <w:rPr>
          <w:rFonts w:ascii="Barlow Semi Condensed" w:cs="Barlow Semi Condensed" w:eastAsia="Barlow Semi Condensed" w:hAnsi="Barlow Semi Condensed"/>
          <w:sz w:val="24"/>
          <w:szCs w:val="24"/>
        </w:rPr>
        <w:t xml:space="preserve">Capitolo decimo — L'emendazione al Registro</w:t>
      </w:r>
    </w:p>
    <w:p>
      <w:pPr>
        <w:spacing w:after="120" w:line="276"/>
        <w:jc w:val="both"/>
      </w:pPr>
      <w:r>
        <w:rPr>
          <w:rFonts w:ascii="Barlow Semi Condensed" w:cs="Barlow Semi Condensed" w:eastAsia="Barlow Semi Condensed" w:hAnsi="Barlow Semi Condensed"/>
          <w:sz w:val="24"/>
          <w:szCs w:val="24"/>
        </w:rPr>
        <w:t xml:space="preserve">Il capitolo esegue una correzione a una voce già iscritta nel corpus, e la esegue formalmente perché una voce errata è peggio di una voce assente.</w:t>
      </w:r>
    </w:p>
    <w:p>
      <w:pPr>
        <w:spacing w:after="120" w:line="276"/>
        <w:jc w:val="both"/>
      </w:pPr>
      <w:r>
        <w:rPr>
          <w:rFonts w:ascii="Barlow Semi Condensed" w:cs="Barlow Semi Condensed" w:eastAsia="Barlow Semi Condensed" w:hAnsi="Barlow Semi Condensed"/>
          <w:sz w:val="24"/>
          <w:szCs w:val="24"/>
        </w:rPr>
        <w:t xml:space="preserve">La voce da emendare. Il Registro delle Undici Ricognizioni, al Capitolo quinto, quinta sede, iscrive il Fondo Moro presso l'Archivio Centrale dello Stato con l'avvertenza che l'inventario per la titolarità degli Esteri comincerebbe dal quarto governo Moro, cioè da novembre 1974, e dunque posteriore a gran parte del perimetro.</w:t>
      </w:r>
    </w:p>
    <w:p>
      <w:pPr>
        <w:spacing w:after="120" w:line="276"/>
        <w:jc w:val="both"/>
      </w:pPr>
      <w:r>
        <w:rPr>
          <w:rFonts w:ascii="Barlow Semi Condensed" w:cs="Barlow Semi Condensed" w:eastAsia="Barlow Semi Condensed" w:hAnsi="Barlow Semi Condensed"/>
          <w:sz w:val="24"/>
          <w:szCs w:val="24"/>
        </w:rPr>
        <w:t xml:space="preserve">Quell'avvertenza è smentita da questa ricognizione.</w:t>
      </w:r>
    </w:p>
    <w:p>
      <w:pPr>
        <w:spacing w:after="120" w:line="276"/>
        <w:jc w:val="both"/>
      </w:pPr>
      <w:r>
        <w:rPr>
          <w:rFonts w:ascii="Barlow Semi Condensed" w:cs="Barlow Semi Condensed" w:eastAsia="Barlow Semi Condensed" w:hAnsi="Barlow Semi Condensed"/>
          <w:sz w:val="24"/>
          <w:szCs w:val="24"/>
        </w:rPr>
        <w:t xml:space="preserve">Il riscontro. Il Fondo Aldo Moro cinquantatré-settantotto conserva documentazione sulla comunità italiana di Libia alla busta centotrentanove, fascicoli due punto uno, due punto due e due punto quattro; e il fascicolo due punto due contiene il rapporto di fine missione dell'ambasciatore Borromeo, del 1971.</w:t>
      </w:r>
    </w:p>
    <w:p>
      <w:pPr>
        <w:spacing w:after="120" w:line="276"/>
        <w:jc w:val="both"/>
      </w:pPr>
      <w:r>
        <w:rPr>
          <w:rFonts w:ascii="Barlow Semi Condensed" w:cs="Barlow Semi Condensed" w:eastAsia="Barlow Semi Condensed" w:hAnsi="Barlow Semi Condensed"/>
          <w:sz w:val="24"/>
          <w:szCs w:val="24"/>
        </w:rPr>
        <w:t xml:space="preserve">Ne discende che il materiale esteri del primo mandato è presente nel fondo, ancorché forse non riflesso pienamente nella struttura inventariale che l'avvertenza descriveva.</w:t>
      </w:r>
    </w:p>
    <w:p>
      <w:pPr>
        <w:spacing w:after="120" w:line="276"/>
        <w:jc w:val="both"/>
      </w:pPr>
      <w:r>
        <w:rPr>
          <w:rFonts w:ascii="Barlow Semi Condensed" w:cs="Barlow Semi Condensed" w:eastAsia="Barlow Semi Condensed" w:hAnsi="Barlow Semi Condensed"/>
          <w:sz w:val="24"/>
          <w:szCs w:val="24"/>
        </w:rPr>
        <w:t xml:space="preserve">La correzione va formulata così: il Fondo Moro contiene documentazione di rilievo esteri già per il 1969-1971, e l'avvertenza sulla decorrenza da novembre 1974 va espunta o quanto meno circoscritta a una parte dell'inventario.</w:t>
      </w:r>
    </w:p>
    <w:p>
      <w:pPr>
        <w:spacing w:after="120" w:line="276"/>
        <w:jc w:val="both"/>
      </w:pPr>
      <w:r>
        <w:rPr>
          <w:rFonts w:ascii="Barlow Semi Condensed" w:cs="Barlow Semi Condensed" w:eastAsia="Barlow Semi Condensed" w:hAnsi="Barlow Semi Condensed"/>
          <w:sz w:val="24"/>
          <w:szCs w:val="24"/>
        </w:rPr>
        <w:t xml:space="preserve">La conseguenza operativa è considerevole e va enunciata. Il Fondo Moro passa dall'ultimo posto in cui l'avvertenza lo collocava — sede parzialmente inutile per il perimetro — a sede di primo rango, perché consta di duecentodiciotto buste per gli anni 1953-1978, ha inventario analitico informatizzato e parziale digitalizzazione consultabile sul portale del Senato.</w:t>
      </w:r>
    </w:p>
    <w:p>
      <w:pPr>
        <w:spacing w:after="120" w:line="276"/>
        <w:jc w:val="both"/>
      </w:pPr>
      <w:r>
        <w:rPr>
          <w:rFonts w:ascii="Barlow Semi Condensed" w:cs="Barlow Semi Condensed" w:eastAsia="Barlow Semi Condensed" w:hAnsi="Barlow Semi Condensed"/>
          <w:sz w:val="24"/>
          <w:szCs w:val="24"/>
        </w:rPr>
        <w:t xml:space="preserve">Un fondo di duecentodiciotto buste, inventariato e in parte digitalizzato, che contiene carte esteri del primo mandato, era stato accantonato per un'avvertenza inesatta.</w:t>
      </w:r>
    </w:p>
    <w:p>
      <w:pPr>
        <w:pStyle w:val="Heading2"/>
        <w:spacing w:after="100" w:before="200"/>
      </w:pPr>
      <w:r>
        <w:rPr>
          <w:rFonts w:ascii="Barlow Semi Condensed" w:cs="Barlow Semi Condensed" w:eastAsia="Barlow Semi Condensed" w:hAnsi="Barlow Semi Condensed"/>
          <w:sz w:val="24"/>
          <w:szCs w:val="24"/>
        </w:rPr>
        <w:t xml:space="preserve">Registro l'errore come tale, e ne traggo la lezione che vale oltre il caso: un'avvertenza sull'inaccessibilità di un fondo, se accolta senza verifica, produce esattamente lo stesso effetto dell'inaccessibilità reale — con la differenza che è rimediabile.</w:t>
      </w:r>
    </w:p>
    <w:p>
      <w:pPr>
        <w:spacing w:after="120" w:line="276"/>
        <w:jc w:val="both"/>
      </w:pPr>
      <w:r>
        <w:rPr>
          <w:rFonts w:ascii="Barlow Semi Condensed" w:cs="Barlow Semi Condensed" w:eastAsia="Barlow Semi Condensed" w:hAnsi="Barlow Semi Condensed"/>
          <w:sz w:val="24"/>
          <w:szCs w:val="24"/>
        </w:rPr>
        <w:t xml:space="preserve">E ne discende un sospetto che la tavola dovrà verificare: quante altre delle quattordici sedi del Registro portano avvertenze non verificate?</w:t>
      </w:r>
    </w:p>
    <w:p>
      <w:pPr>
        <w:pStyle w:val="Heading2"/>
        <w:spacing w:after="100" w:before="200"/>
      </w:pPr>
      <w:r>
        <w:rPr>
          <w:rFonts w:ascii="Barlow Semi Condensed" w:cs="Barlow Semi Condensed" w:eastAsia="Barlow Semi Condensed" w:hAnsi="Barlow Semi Condensed"/>
          <w:sz w:val="24"/>
          <w:szCs w:val="24"/>
        </w:rPr>
        <w:t xml:space="preserve">Capitolo undicesimo — Il verdetto, perimetro per perimetro</w:t>
      </w:r>
    </w:p>
    <w:p>
      <w:pPr>
        <w:spacing w:after="120" w:line="276"/>
        <w:jc w:val="both"/>
      </w:pPr>
      <w:r>
        <w:rPr>
          <w:rFonts w:ascii="Barlow Semi Condensed" w:cs="Barlow Semi Condensed" w:eastAsia="Barlow Semi Condensed" w:hAnsi="Barlow Semi Condensed"/>
          <w:sz w:val="24"/>
          <w:szCs w:val="24"/>
        </w:rPr>
        <w:t xml:space="preserve">Il capitolo si pronuncia sulla domanda centrale, come il committente ha richiesto, e lo fa in modo articolato perché la risposta uniforme non sarebbe onesta.</w:t>
      </w:r>
    </w:p>
    <w:p>
      <w:pPr>
        <w:spacing w:after="120" w:line="276"/>
        <w:jc w:val="both"/>
      </w:pPr>
      <w:r>
        <w:rPr>
          <w:rFonts w:ascii="Barlow Semi Condensed" w:cs="Barlow Semi Condensed" w:eastAsia="Barlow Semi Condensed" w:hAnsi="Barlow Semi Condensed"/>
          <w:sz w:val="24"/>
          <w:szCs w:val="24"/>
        </w:rPr>
        <w:t xml:space="preserve">Il verdetto complessivo: il silenzio è misto.\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Prevalentemente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comportamentale nei casi già studiati\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prevalentemente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archivistico nei casi non studiati.</w:t>
      </w:r>
    </w:p>
    <w:p>
      <w:pPr>
        <w:spacing w:after="120" w:line="276"/>
        <w:jc w:val="both"/>
      </w:pPr>
      <w:r>
        <w:rPr>
          <w:rFonts w:ascii="Barlow Semi Condensed" w:cs="Barlow Semi Condensed" w:eastAsia="Barlow Semi Condensed" w:hAnsi="Barlow Semi Condensed"/>
          <w:sz w:val="24"/>
          <w:szCs w:val="24"/>
        </w:rPr>
        <w:t xml:space="preserve">La ragione della forma mista. La calibrazione libica dimostra che, quando lo Stato non poteva non agire, esso agì e la sua azione è ricostruibile. Ciò autorizza a leggere il non-comparire dello Stato come misura di condotta — ma solo a condizione che la condotta sia stata cercata dove essa risiede.</w:t>
      </w:r>
    </w:p>
    <w:p>
      <w:pPr>
        <w:spacing w:after="120" w:line="276"/>
        <w:jc w:val="both"/>
      </w:pPr>
      <w:r>
        <w:rPr>
          <w:rFonts w:ascii="Barlow Semi Condensed" w:cs="Barlow Semi Condensed" w:eastAsia="Barlow Semi Condensed" w:hAnsi="Barlow Semi Condensed"/>
          <w:sz w:val="24"/>
          <w:szCs w:val="24"/>
        </w:rPr>
        <w:t xml:space="preserve">Poiché nei sei perimetri non risultano studi fondati sullo spoglio delle serie pertinenti della Farnesina, il loro silenzio non può essere qualificato come comportamentale con la sicurezza con cui lo si può fare per la Libia.</w:t>
      </w:r>
    </w:p>
    <w:p>
      <w:pPr>
        <w:spacing w:after="120" w:line="276"/>
        <w:jc w:val="both"/>
      </w:pPr>
      <w:r>
        <w:rPr>
          <w:rFonts w:ascii="Barlow Semi Condensed" w:cs="Barlow Semi Condensed" w:eastAsia="Barlow Semi Condensed" w:hAnsi="Barlow Semi Condensed"/>
          <w:sz w:val="24"/>
          <w:szCs w:val="24"/>
        </w:rPr>
        <w:t xml:space="preserve">La ripartizione, perimetro per perimetro.</w:t>
      </w:r>
    </w:p>
    <w:p>
      <w:pPr>
        <w:spacing w:after="120" w:line="276"/>
        <w:jc w:val="both"/>
      </w:pPr>
      <w:r>
        <w:rPr>
          <w:rFonts w:ascii="Barlow Semi Condensed" w:cs="Barlow Semi Condensed" w:eastAsia="Barlow Semi Condensed" w:hAnsi="Barlow Semi Condensed"/>
          <w:sz w:val="24"/>
          <w:szCs w:val="24"/>
        </w:rPr>
        <w:t xml:space="preserve">Germania: silenzio probabilmente archivistico più che comportamentale. La ricerca di Francesca Zilio su Roma e Bonn fra Ostpolitik e CSCE dimostra che l'azione italiana verso la Germania esiste ed è documentabile. L'assenza rilevata dalla nona ricognizione riflette la mancanza di uno spoglio dedicato, non l'inazione.</w:t>
      </w:r>
    </w:p>
    <w:p>
      <w:pPr>
        <w:spacing w:after="120" w:line="276"/>
        <w:jc w:val="both"/>
      </w:pPr>
      <w:r>
        <w:rPr>
          <w:rFonts w:ascii="Barlow Semi Condensed" w:cs="Barlow Semi Condensed" w:eastAsia="Barlow Semi Condensed" w:hAnsi="Barlow Semi Condensed"/>
          <w:sz w:val="24"/>
          <w:szCs w:val="24"/>
        </w:rPr>
        <w:t xml:space="preserve">Questo è il caso in cui la ricognizione anteriore ha sbagliato con maggiore certezza, e lo si registra.</w:t>
      </w:r>
    </w:p>
    <w:p>
      <w:pPr>
        <w:spacing w:after="120" w:line="276"/>
        <w:jc w:val="both"/>
      </w:pPr>
      <w:r>
        <w:rPr>
          <w:rFonts w:ascii="Barlow Semi Condensed" w:cs="Barlow Semi Condensed" w:eastAsia="Barlow Semi Condensed" w:hAnsi="Barlow Semi Condensed"/>
          <w:sz w:val="24"/>
          <w:szCs w:val="24"/>
        </w:rPr>
        <w:t xml:space="preserve">Portogallo: silenzio misto. L'espulsione dei comboniani dal Mozambico il 13 aprile 1974, conseguenza del documento \</w:t>
      </w:r>
      <w:r>
        <w:rPr>
          <w:rFonts w:ascii="Barlow Semi Condensed" w:cs="Barlow Semi Condensed" w:eastAsia="Barlow Semi Condensed" w:hAnsi="Barlow Semi Condensed"/>
          <w:i/>
          <w:iCs/>
          <w:sz w:val="24"/>
          <w:szCs w:val="24"/>
        </w:rPr>
        <w:t xml:space="preserve">Imperativo di coscienza\</w:t>
      </w:r>
      <w:r>
        <w:rPr>
          <w:rFonts w:ascii="Barlow Semi Condensed" w:cs="Barlow Semi Condensed" w:eastAsia="Barlow Semi Condensed" w:hAnsi="Barlow Semi Condensed"/>
          <w:sz w:val="24"/>
          <w:szCs w:val="24"/>
        </w:rPr>
        <w:t xml:space="preserve"> del vescovo Manuel Vieira Pinto, è documentata da fonti ecclesiastiche — che parlano di undici comboniani, contro i nove del contesto acquisito e i tredici di altra tradizione — ma non risulta studiata sul versante della reazione italiana, che andrebbe cercata in Archivio Storico Diplomatico e negli archivi della Santa Sede e dell'ordine.</w:t>
      </w:r>
    </w:p>
    <w:p>
      <w:pPr>
        <w:spacing w:after="120" w:line="276"/>
        <w:jc w:val="both"/>
      </w:pPr>
      <w:r>
        <w:rPr>
          <w:rFonts w:ascii="Barlow Semi Condensed" w:cs="Barlow Semi Condensed" w:eastAsia="Barlow Semi Condensed" w:hAnsi="Barlow Semi Condensed"/>
          <w:sz w:val="24"/>
          <w:szCs w:val="24"/>
        </w:rPr>
        <w:t xml:space="preserve">Grecia, Cipro e Turchia: silenzio indeterminato, presuntivamente archivistico fino a spoglio contrario. Con un'avvertenza che li accomuna e che va enunciata: l'azione italiana in questi teatri passò in larga misura per sedi multilaterali — Comunità europea, Alleanza atlantica, Nazioni Unite — dove la traccia documentaria è dispersa fra più archivi.</w:t>
      </w:r>
    </w:p>
    <w:p>
      <w:pPr>
        <w:spacing w:after="120" w:line="276"/>
        <w:jc w:val="both"/>
      </w:pPr>
      <w:r>
        <w:rPr>
          <w:rFonts w:ascii="Barlow Semi Condensed" w:cs="Barlow Semi Condensed" w:eastAsia="Barlow Semi Condensed" w:hAnsi="Barlow Semi Condensed"/>
          <w:sz w:val="24"/>
          <w:szCs w:val="24"/>
        </w:rPr>
        <w:t xml:space="preserve">Ne discende che per questi tre perimetri il silenzio potrebbe non essere né comportamentale né archivistico ma topologico: l'azione esiste ed è documentata, ma non in un archivio nazionale.</w:t>
      </w:r>
    </w:p>
    <w:p>
      <w:pPr>
        <w:spacing w:after="120" w:line="276"/>
        <w:jc w:val="both"/>
      </w:pPr>
      <w:r>
        <w:rPr>
          <w:rFonts w:ascii="Barlow Semi Condensed" w:cs="Barlow Semi Condensed" w:eastAsia="Barlow Semi Condensed" w:hAnsi="Barlow Semi Condensed"/>
          <w:sz w:val="24"/>
          <w:szCs w:val="24"/>
        </w:rPr>
        <w:t xml:space="preserve">Spagna: il solo caso in cui la povertà di iniziative potrebbe riflettere una reale marginalità del dossier nell'agenda di Moro.\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anche qui l'affermazione va sospesa fino allo spoglio della serie spagnola.</w:t>
      </w:r>
    </w:p>
    <w:p>
      <w:pPr>
        <w:spacing w:after="120" w:line="276"/>
        <w:jc w:val="both"/>
      </w:pPr>
      <w:r>
        <w:rPr>
          <w:rFonts w:ascii="Barlow Semi Condensed" w:cs="Barlow Semi Condensed" w:eastAsia="Barlow Semi Condensed" w:hAnsi="Barlow Semi Condensed"/>
          <w:sz w:val="24"/>
          <w:szCs w:val="24"/>
        </w:rPr>
        <w:t xml:space="preserve">Ne discende che, dei sei perimetri, nessuno può oggi essere dichiarato comportamentalmente silenzioso con la sicurezza che compete alla Libia — dove peraltro la sicurezza riguarda l'esito opposto, cioè la presenza dell'azione.</w:t>
      </w:r>
    </w:p>
    <w:p>
      <w:pPr>
        <w:pStyle w:val="Heading2"/>
        <w:spacing w:after="100" w:before="200"/>
      </w:pPr>
      <w:r>
        <w:rPr>
          <w:rFonts w:ascii="Barlow Semi Condensed" w:cs="Barlow Semi Condensed" w:eastAsia="Barlow Semi Condensed" w:hAnsi="Barlow Semi Condensed"/>
          <w:sz w:val="24"/>
          <w:szCs w:val="24"/>
        </w:rPr>
        <w:t xml:space="preserve">Capitolo dodicesimo — Che cosa questo fa alle tredici ricognizioni</w:t>
      </w:r>
    </w:p>
    <w:p>
      <w:pPr>
        <w:spacing w:after="120" w:line="276"/>
        <w:jc w:val="both"/>
      </w:pPr>
      <w:r>
        <w:rPr>
          <w:rFonts w:ascii="Barlow Semi Condensed" w:cs="Barlow Semi Condensed" w:eastAsia="Barlow Semi Condensed" w:hAnsi="Barlow Semi Condensed"/>
          <w:sz w:val="24"/>
          <w:szCs w:val="24"/>
        </w:rPr>
        <w:t xml:space="preserve">La lezione metodologica, enunciata senza attenuazioni perché riguarda il lavoro fatto.</w:t>
      </w:r>
    </w:p>
    <w:p>
      <w:pPr>
        <w:spacing w:after="120" w:line="276"/>
        <w:jc w:val="both"/>
      </w:pPr>
      <w:r>
        <w:rPr>
          <w:rFonts w:ascii="Barlow Semi Condensed" w:cs="Barlow Semi Condensed" w:eastAsia="Barlow Semi Condensed" w:hAnsi="Barlow Semi Condensed"/>
          <w:sz w:val="24"/>
          <w:szCs w:val="24"/>
        </w:rPr>
        <w:t xml:space="preserve">Le tredici ricognizioni hanno misurato in modo affidabile ciò che gli studi hanno reso visibile, e in modo inaffidabile ciò che nessuno studio ha ancora scandagliato.</w:t>
      </w:r>
    </w:p>
    <w:p>
      <w:pPr>
        <w:spacing w:after="120" w:line="276"/>
        <w:jc w:val="both"/>
      </w:pPr>
      <w:r>
        <w:rPr>
          <w:rFonts w:ascii="Barlow Semi Condensed" w:cs="Barlow Semi Condensed" w:eastAsia="Barlow Semi Condensed" w:hAnsi="Barlow Semi Condensed"/>
          <w:sz w:val="24"/>
          <w:szCs w:val="24"/>
        </w:rPr>
        <w:t xml:space="preserve">La Libia prova che lo strumento funziona. Prova anche che va calibrato sull'accessibilità delle carte prima di trarre conclusioni sull'inazione.</w:t>
      </w:r>
    </w:p>
    <w:p>
      <w:pPr>
        <w:spacing w:after="120" w:line="276"/>
        <w:jc w:val="both"/>
      </w:pPr>
      <w:r>
        <w:rPr>
          <w:rFonts w:ascii="Barlow Semi Condensed" w:cs="Barlow Semi Condensed" w:eastAsia="Barlow Semi Condensed" w:hAnsi="Barlow Semi Condensed"/>
          <w:sz w:val="24"/>
          <w:szCs w:val="24"/>
        </w:rPr>
        <w:t xml:space="preserve">Che cosa resta valido del lavoro anteriore. Restano validi tutti gli accertamenti positivi; resta valido il nesso Oder-Neisse; restano validi gli Stati Zero di quarto grado, cioè gli insiemi vuoti verificati contro il registro ufficiale del soggetto, che non dipendono dall'accessibilità di archivi di Stato. Resta valida la genealogia della connessione falsa.</w:t>
      </w:r>
    </w:p>
    <w:p>
      <w:pPr>
        <w:spacing w:after="120" w:line="276"/>
        <w:jc w:val="both"/>
      </w:pPr>
      <w:r>
        <w:rPr>
          <w:rFonts w:ascii="Barlow Semi Condensed" w:cs="Barlow Semi Condensed" w:eastAsia="Barlow Semi Condensed" w:hAnsi="Barlow Semi Condensed"/>
          <w:sz w:val="24"/>
          <w:szCs w:val="24"/>
        </w:rPr>
        <w:t xml:space="preserve">Che cosa va riqualificato.\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regolarità sull'assenza dello Stato italiano\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il Registro iscrive come prima regolarità empirica della serie,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va riformulata.</w:t>
      </w:r>
    </w:p>
    <w:p>
      <w:pPr>
        <w:spacing w:after="120" w:line="276"/>
        <w:jc w:val="both"/>
      </w:pPr>
      <w:r>
        <w:rPr>
          <w:rFonts w:ascii="Barlow Semi Condensed" w:cs="Barlow Semi Condensed" w:eastAsia="Barlow Semi Condensed" w:hAnsi="Barlow Semi Condensed"/>
          <w:sz w:val="24"/>
          <w:szCs w:val="24"/>
        </w:rPr>
        <w:t xml:space="preserve">Nella forma attuale essa dice: il governo italiano non compare come attore documentato in nessuno dei sei perimetri.</w:t>
      </w:r>
    </w:p>
    <w:p>
      <w:pPr>
        <w:spacing w:after="120" w:line="276"/>
        <w:jc w:val="both"/>
      </w:pPr>
      <w:r>
        <w:rPr>
          <w:rFonts w:ascii="Barlow Semi Condensed" w:cs="Barlow Semi Condensed" w:eastAsia="Barlow Semi Condensed" w:hAnsi="Barlow Semi Condensed"/>
          <w:sz w:val="24"/>
          <w:szCs w:val="24"/>
        </w:rPr>
        <w:t xml:space="preserve">Nella forma emendata deve dire: il governo italiano non compare negli studi disponibili su nessuno dei sei perimetri, e per nessuno di essi è stato condotto lo spoglio archivistico che solo potrebbe distinguere l'assenza di azione dall'assenza di ricerca.</w:t>
      </w:r>
    </w:p>
    <w:p>
      <w:pPr>
        <w:spacing w:after="120" w:line="276"/>
        <w:jc w:val="both"/>
      </w:pPr>
      <w:r>
        <w:rPr>
          <w:rFonts w:ascii="Barlow Semi Condensed" w:cs="Barlow Semi Condensed" w:eastAsia="Barlow Semi Condensed" w:hAnsi="Barlow Semi Condensed"/>
          <w:sz w:val="24"/>
          <w:szCs w:val="24"/>
        </w:rPr>
        <w:t xml:space="preserve">La differenza fra le due formulazioni è la differenza fra un accertamento e una descrizione dello stato della letteratura.</w:t>
      </w:r>
    </w:p>
    <w:p>
      <w:pPr>
        <w:spacing w:after="120" w:line="276"/>
        <w:jc w:val="both"/>
      </w:pPr>
      <w:r>
        <w:rPr>
          <w:rFonts w:ascii="Barlow Semi Condensed" w:cs="Barlow Semi Condensed" w:eastAsia="Barlow Semi Condensed" w:hAnsi="Barlow Semi Condensed"/>
          <w:sz w:val="24"/>
          <w:szCs w:val="24"/>
        </w:rPr>
        <w:t xml:space="preserve">Tre voci nuove per la tavola, in ordine di rendimento.</w:t>
      </w:r>
    </w:p>
    <w:p>
      <w:pPr>
        <w:spacing w:after="120" w:line="276"/>
        <w:jc w:val="both"/>
      </w:pPr>
      <w:r>
        <w:rPr>
          <w:rFonts w:ascii="Barlow Semi Condensed" w:cs="Barlow Semi Condensed" w:eastAsia="Barlow Semi Condensed" w:hAnsi="Barlow Semi Condensed"/>
          <w:sz w:val="24"/>
          <w:szCs w:val="24"/>
        </w:rPr>
        <w:t xml:space="preserve">Prima. Lo spoglio della serie Affari Politici dell'Archivio Storico Diplomatico per ciascuno dei sei perimetri, 1969-1974, previa richiesta dell'elenco dei faldoni. È la sola operazione che trasformi un silenzio presunto in esito accertato.</w:t>
      </w:r>
    </w:p>
    <w:p>
      <w:pPr>
        <w:spacing w:after="120" w:line="276"/>
        <w:jc w:val="both"/>
      </w:pPr>
      <w:r>
        <w:rPr>
          <w:rFonts w:ascii="Barlow Semi Condensed" w:cs="Barlow Semi Condensed" w:eastAsia="Barlow Semi Condensed" w:hAnsi="Barlow Semi Condensed"/>
          <w:sz w:val="24"/>
          <w:szCs w:val="24"/>
        </w:rPr>
        <w:t xml:space="preserve">Seconda, ed è nuova e nasce da Osimo.\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verifica dell'esistenza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canali paralleli alla Farnesina\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 ciascun perimetro, presso i ministeri competenti per materia.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Nessuna ricognizione l'ha cercata, e Osimo prova che il caso esiste.</w:t>
      </w:r>
    </w:p>
    <w:p>
      <w:pPr>
        <w:spacing w:after="120" w:line="276"/>
        <w:jc w:val="both"/>
      </w:pPr>
      <w:r>
        <w:rPr>
          <w:rFonts w:ascii="Barlow Semi Condensed" w:cs="Barlow Semi Condensed" w:eastAsia="Barlow Semi Condensed" w:hAnsi="Barlow Semi Condensed"/>
          <w:sz w:val="24"/>
          <w:szCs w:val="24"/>
        </w:rPr>
        <w:t xml:space="preserve">Terza. Lo spoglio integrale del Fondo Moro oltre la busta centotrentanove, con verifica diretta della struttura inventariale, alla luce dell'emendazione del Capitolo decimo.</w:t>
      </w:r>
    </w:p>
    <w:p>
      <w:pPr>
        <w:spacing w:after="120" w:line="276"/>
        <w:jc w:val="both"/>
      </w:pPr>
      <w:r>
        <w:rPr>
          <w:rFonts w:ascii="Barlow Semi Condensed" w:cs="Barlow Semi Condensed" w:eastAsia="Barlow Semi Condensed" w:hAnsi="Barlow Semi Condensed"/>
          <w:sz w:val="24"/>
          <w:szCs w:val="24"/>
        </w:rPr>
        <w:t xml:space="preserve">E una osservazione conclusiva, che riguarda il senso di quattordici ricognizioni.</w:t>
      </w:r>
    </w:p>
    <w:p>
      <w:pPr>
        <w:spacing w:after="120" w:line="276"/>
        <w:jc w:val="both"/>
      </w:pPr>
      <w:r>
        <w:rPr>
          <w:rFonts w:ascii="Barlow Semi Condensed" w:cs="Barlow Semi Condensed" w:eastAsia="Barlow Semi Condensed" w:hAnsi="Barlow Semi Condensed"/>
          <w:sz w:val="24"/>
          <w:szCs w:val="24"/>
        </w:rPr>
        <w:t xml:space="preserve">La tredicesima si chiudeva constatando che, dove l'archivio italiano si era aperto una volta, non vi era silenzio ma un documento falso. Concludevo che non sapevo se questo rendesse più o meno preoccupante il silenzio degli altri perimetri, e che lo rendeva una domanda diversa.</w:t>
      </w:r>
    </w:p>
    <w:p>
      <w:pPr>
        <w:spacing w:after="120" w:line="276"/>
        <w:jc w:val="both"/>
      </w:pPr>
      <w:r>
        <w:rPr>
          <w:rFonts w:ascii="Barlow Semi Condensed" w:cs="Barlow Semi Condensed" w:eastAsia="Barlow Semi Condensed" w:hAnsi="Barlow Semi Condensed"/>
          <w:sz w:val="24"/>
          <w:szCs w:val="24"/>
        </w:rPr>
        <w:t xml:space="preserve">Questa quattordicesima risponde a quella domanda, e la risposta è meno drammatica di quanto la formulazione lasciasse temere.</w:t>
      </w:r>
    </w:p>
    <w:p>
      <w:pPr>
        <w:spacing w:after="120" w:line="276"/>
        <w:jc w:val="both"/>
      </w:pPr>
      <w:r>
        <w:rPr>
          <w:rFonts w:ascii="Barlow Semi Condensed" w:cs="Barlow Semi Condensed" w:eastAsia="Barlow Semi Condensed" w:hAnsi="Barlow Semi Condensed"/>
          <w:sz w:val="24"/>
          <w:szCs w:val="24"/>
        </w:rPr>
        <w:t xml:space="preserve">Il silenzio degli altri perimetri non è, in prevalenza, un occultamento. È in larga parte l'ombra proiettata da tre circostanze materiali: una collana documentaria ferma al 1952, una banca dati parlamentare che comincia dal 1976, un archivio che non si lascia esplorare ma solo interrogare.</w:t>
      </w:r>
    </w:p>
    <w:p>
      <w:pPr>
        <w:spacing w:after="120" w:line="276"/>
        <w:jc w:val="both"/>
      </w:pPr>
      <w:r>
        <w:rPr>
          <w:rFonts w:ascii="Barlow Semi Condensed" w:cs="Barlow Semi Condensed" w:eastAsia="Barlow Semi Condensed" w:hAnsi="Barlow Semi Condensed"/>
          <w:sz w:val="24"/>
          <w:szCs w:val="24"/>
        </w:rPr>
        <w:t xml:space="preserve">Non è un risultato meno importante. È un risultato meno romanzesco, e per questo più utile: perché indica che cosa fare — quattordici sedi, un elenco di faldoni, e qualcuno che ci vada.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XV · Il Silenzio Dello Stato: Azione O Archivio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 4.573 parole in 9 sezioni; la più ampia è §9 Altre sezioni, con 3.776.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 150 paragrafi in 9 sezioni, 17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XVI — L'Italia, L'Aermacchi E Il Sudafrica Dell'Apartheid</w:t>
      </w:r>
    </w:p>
    <w:p>
      <w:pPr>
        <w:pStyle w:val="Heading1"/>
        <w:spacing w:after="120" w:before="240"/>
      </w:pPr>
      <w:r>
        <w:rPr>
          <w:rFonts w:ascii="Barlow Semi Condensed" w:cs="Barlow Semi Condensed" w:eastAsia="Barlow Semi Condensed" w:hAnsi="Barlow Semi Condensed"/>
          <w:sz w:val="24"/>
          <w:szCs w:val="24"/>
        </w:rPr>
        <w:t xml:space="preserve">L'ITALIA, L'AERMACCHI E IL SUDAFRICA DELL'APARTHEID</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Quindicesima ricognizione: la presenza anziche l'assenza</w:t>
      </w:r>
    </w:p>
    <w:p>
      <w:pPr>
        <w:pStyle w:val="Heading2"/>
        <w:spacing w:after="100" w:before="200"/>
      </w:pPr>
      <w:r>
        <w:rPr>
          <w:rFonts w:ascii="Barlow Semi Condensed" w:cs="Barlow Semi Condensed" w:eastAsia="Barlow Semi Condensed" w:hAnsi="Barlow Semi Condensed"/>
          <w:sz w:val="24"/>
          <w:szCs w:val="24"/>
        </w:rPr>
        <w:t xml:space="preserve">Il regime del 1941 e il nono grado di Stato Zero: l'atto atipico</w:t>
      </w:r>
    </w:p>
    <w:p>
      <w:pPr>
        <w:pStyle w:val="Heading2"/>
        <w:spacing w:after="100" w:before="200"/>
      </w:pPr>
      <w:r>
        <w:rPr>
          <w:rFonts w:ascii="Barlow Semi Condensed" w:cs="Barlow Semi Condensed" w:eastAsia="Barlow Semi Condensed" w:hAnsi="Barlow Semi Condensed"/>
          <w:sz w:val="24"/>
          <w:szCs w:val="24"/>
        </w:rPr>
        <w:t xml:space="preserve">Dodici Capitoli — sette acquisizioni — due voti opposti nello stesso giorno</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La sola ricognizione che muova da una presenza</w:t>
      </w:r>
    </w:p>
    <w:p>
      <w:pPr>
        <w:spacing w:after="120" w:line="276"/>
        <w:jc w:val="both"/>
      </w:pPr>
      <w:r>
        <w:rPr>
          <w:rFonts w:ascii="Barlow Semi Condensed" w:cs="Barlow Semi Condensed" w:eastAsia="Barlow Semi Condensed" w:hAnsi="Barlow Semi Condensed"/>
          <w:sz w:val="24"/>
          <w:szCs w:val="24"/>
        </w:rPr>
        <w:t xml:space="preserve">Quattordici ricognizioni sono partite da un'assenza da verificare. Questa parte da una presenza documentata, e la differenza cambia tutto.</w:t>
      </w:r>
    </w:p>
    <w:p>
      <w:pPr>
        <w:spacing w:after="120" w:line="276"/>
        <w:jc w:val="both"/>
      </w:pPr>
      <w:r>
        <w:rPr>
          <w:rFonts w:ascii="Barlow Semi Condensed" w:cs="Barlow Semi Condensed" w:eastAsia="Barlow Semi Condensed" w:hAnsi="Barlow Semi Condensed"/>
          <w:sz w:val="24"/>
          <w:szCs w:val="24"/>
        </w:rPr>
        <w:t xml:space="preserve">Il fatto di partenza, che non richiede dimostrazione. L'Aermacchi MB-326, progettato dall'ingegnere Ermanno Bazzocchi presso l'Aeronautica Macchi di Varese e volato in prototipo il 10 dicembre 1957, fu prodotto su licenza in Sudafrica dall'Atlas Aircraft Corporation con la denominazione Impala. La licenza è del 1964, la produzione locale iniziò nel 1966, e gli esemplari furono impiegati operativamente dalla South African Air Force.</w:t>
      </w:r>
    </w:p>
    <w:p>
      <w:pPr>
        <w:spacing w:after="120" w:line="276"/>
        <w:jc w:val="both"/>
      </w:pPr>
      <w:r>
        <w:rPr>
          <w:rFonts w:ascii="Barlow Semi Condensed" w:cs="Barlow Semi Condensed" w:eastAsia="Barlow Semi Condensed" w:hAnsi="Barlow Semi Condensed"/>
          <w:sz w:val="24"/>
          <w:szCs w:val="24"/>
        </w:rPr>
        <w:t xml:space="preserve">La produzione corse per l'intero arco in cui Aldo Moro resse la Farnesina e poi la Presidenza del Consiglio.</w:t>
      </w:r>
    </w:p>
    <w:p>
      <w:pPr>
        <w:spacing w:after="120" w:line="276"/>
        <w:jc w:val="both"/>
      </w:pPr>
      <w:r>
        <w:rPr>
          <w:rFonts w:ascii="Barlow Semi Condensed" w:cs="Barlow Semi Condensed" w:eastAsia="Barlow Semi Condensed" w:hAnsi="Barlow Semi Condensed"/>
          <w:sz w:val="24"/>
          <w:szCs w:val="24"/>
        </w:rPr>
        <w:t xml:space="preserve">Ne discende che la domanda non è se l'Italia fosse presente — lo era in modo palese — ma che cosa il governo italiano abbia fatto di quella presenza.</w:t>
      </w:r>
    </w:p>
    <w:p>
      <w:pPr>
        <w:spacing w:after="120" w:line="276"/>
        <w:jc w:val="both"/>
      </w:pPr>
      <w:r>
        <w:rPr>
          <w:rFonts w:ascii="Barlow Semi Condensed" w:cs="Barlow Semi Condensed" w:eastAsia="Barlow Semi Condensed" w:hAnsi="Barlow Semi Condensed"/>
          <w:sz w:val="24"/>
          <w:szCs w:val="24"/>
        </w:rPr>
        <w:t xml:space="preserve">La prescrizione ereditata dalla ricognizione anteriore, e va enunciata perché governa tutto il documento. La quattordicesima ha accertato che il negoziato di Osimo fu condotto attraverso un canale del Ministero dell'Industria, e che esso fu il primo trattato internazionale i cui negoziati per l'Italia non furono curati dal Ministero degli Esteri.</w:t>
      </w:r>
    </w:p>
    <w:p>
      <w:pPr>
        <w:spacing w:after="120" w:line="276"/>
        <w:jc w:val="both"/>
      </w:pPr>
      <w:r>
        <w:rPr>
          <w:rFonts w:ascii="Barlow Semi Condensed" w:cs="Barlow Semi Condensed" w:eastAsia="Barlow Semi Condensed" w:hAnsi="Barlow Semi Condensed"/>
          <w:sz w:val="24"/>
          <w:szCs w:val="24"/>
        </w:rPr>
        <w:t xml:space="preserve">Ne discende che l'assenza di traccia nell'archivio diplomatico è compatibile con la presenza di azione altrove.</w:t>
      </w:r>
    </w:p>
    <w:p>
      <w:pPr>
        <w:spacing w:after="120" w:line="276"/>
        <w:jc w:val="both"/>
      </w:pPr>
      <w:r>
        <w:rPr>
          <w:rFonts w:ascii="Barlow Semi Condensed" w:cs="Barlow Semi Condensed" w:eastAsia="Barlow Semi Condensed" w:hAnsi="Barlow Semi Condensed"/>
          <w:sz w:val="24"/>
          <w:szCs w:val="24"/>
        </w:rPr>
        <w:t xml:space="preserve">Pertanto questa ricognizione si è vietata di concludere per l'inazione senza avere prima identificato l'apparato competente. E l'ha identificato. Il Capitolo sesto espone il risultato, che è il più importante del documento e che non somiglia a nulla di quanto la serie abbia finora prodotto.</w:t>
      </w:r>
    </w:p>
    <w:p>
      <w:pPr>
        <w:spacing w:after="120" w:line="276"/>
        <w:jc w:val="both"/>
      </w:pPr>
      <w:r>
        <w:rPr>
          <w:rFonts w:ascii="Barlow Semi Condensed" w:cs="Barlow Semi Condensed" w:eastAsia="Barlow Semi Condensed" w:hAnsi="Barlow Semi Condensed"/>
          <w:sz w:val="24"/>
          <w:szCs w:val="24"/>
        </w:rPr>
        <w:t xml:space="preserve">Il regime giuridico, che va fissato subito perché è dirimente e perché la valutazione retroattiva sarebbe scorretta. La risoluzione centottantuno del Consiglio di Sicurezza del 7 agosto 1963 chiese a tutti gli Stati di cessare la vendita di armi al Sudafrica con formula di raccomandazione ed espressamente su base volontaria; la centottantadue del 4 dicembre 1963 ne confermò il carattere volontario. L'embargo divenne obbligatorio solo con la risoluzione quattrocentodiciotto del 4 novembre 1977, adottata all'unanimità ai sensi del Capitolo settimo della Carta.</w:t>
      </w:r>
    </w:p>
    <w:p>
      <w:pPr>
        <w:spacing w:after="120" w:line="276"/>
        <w:jc w:val="both"/>
      </w:pPr>
      <w:r>
        <w:rPr>
          <w:rFonts w:ascii="Barlow Semi Condensed" w:cs="Barlow Semi Condensed" w:eastAsia="Barlow Semi Condensed" w:hAnsi="Barlow Semi Condensed"/>
          <w:sz w:val="24"/>
          <w:szCs w:val="24"/>
        </w:rPr>
        <w:t xml:space="preserve">I mandati di Moro si chiusero il 29 luglio 1976. L'intero periodo si colloca sotto il regime raccomandato e non sotto quello obbligatorio.</w:t>
      </w:r>
    </w:p>
    <w:p>
      <w:pPr>
        <w:spacing w:after="120" w:line="276"/>
        <w:jc w:val="both"/>
      </w:pPr>
      <w:r>
        <w:rPr>
          <w:rFonts w:ascii="Barlow Semi Condensed" w:cs="Barlow Semi Condensed" w:eastAsia="Barlow Semi Condensed" w:hAnsi="Barlow Semi Condensed"/>
          <w:sz w:val="24"/>
          <w:szCs w:val="24"/>
        </w:rPr>
        <w:t xml:space="preserve">Ciò non esclude la valutazione politica, ma impone di non qualificare come violazione ciò che nel diritto del tempo non lo era.</w:t>
      </w:r>
    </w:p>
    <w:p>
      <w:pPr>
        <w:spacing w:after="120" w:line="276"/>
        <w:jc w:val="both"/>
      </w:pPr>
      <w:r>
        <w:rPr>
          <w:rFonts w:ascii="Barlow Semi Condensed" w:cs="Barlow Semi Condensed" w:eastAsia="Barlow Semi Condensed" w:hAnsi="Barlow Semi Condensed"/>
          <w:sz w:val="24"/>
          <w:szCs w:val="24"/>
        </w:rPr>
        <w:t xml:space="preserve">E va enunciato come contesto, una volta e senza che impedisca l'accertamento dei fatti: l'apartheid fu un sistema di segregazione razziale istituzionalizzata che l'Assemblea generale qualificò come crimine contro l'umanità.</w:t>
      </w:r>
    </w:p>
    <w:p>
      <w:pPr>
        <w:pStyle w:val="Heading2"/>
        <w:spacing w:after="100" w:before="200"/>
      </w:pPr>
      <w:r>
        <w:rPr>
          <w:rFonts w:ascii="Barlow Semi Condensed" w:cs="Barlow Semi Condensed" w:eastAsia="Barlow Semi Condensed" w:hAnsi="Barlow Semi Condensed"/>
          <w:sz w:val="24"/>
          <w:szCs w:val="24"/>
        </w:rPr>
        <w:t xml:space="preserve">Capitolo secondo — La licenza, i numeri, e le divergenze che non si risolvono</w:t>
      </w:r>
    </w:p>
    <w:p>
      <w:pPr>
        <w:spacing w:after="120" w:line="276"/>
        <w:jc w:val="both"/>
      </w:pPr>
      <w:r>
        <w:rPr>
          <w:rFonts w:ascii="Barlow Semi Condensed" w:cs="Barlow Semi Condensed" w:eastAsia="Barlow Semi Condensed" w:hAnsi="Barlow Semi Condensed"/>
          <w:sz w:val="24"/>
          <w:szCs w:val="24"/>
        </w:rPr>
        <w:t xml:space="preserve">Il capitolo espone i fatti industriali e mantiene le divergenze.</w:t>
      </w:r>
    </w:p>
    <w:p>
      <w:pPr>
        <w:spacing w:after="120" w:line="276"/>
        <w:jc w:val="both"/>
      </w:pPr>
      <w:r>
        <w:rPr>
          <w:rFonts w:ascii="Barlow Semi Condensed" w:cs="Barlow Semi Condensed" w:eastAsia="Barlow Semi Condensed" w:hAnsi="Barlow Semi Condensed"/>
          <w:sz w:val="24"/>
          <w:szCs w:val="24"/>
        </w:rPr>
        <w:t xml:space="preserve">La cronologia. Il Sudafrica ottenne nel 1964 la licenza di produzione della versione MB-326M, corrispondente alla variante G, denominata localmente Impala Mark primo; la produzione iniziò nel 1966, con primo volo dell'esemplare di costruzione locale nell'autunno 1966. La produzione della versione monoposto Impala Mark secondo iniziò nel 1974.</w:t>
      </w:r>
    </w:p>
    <w:p>
      <w:pPr>
        <w:spacing w:after="120" w:line="276"/>
        <w:jc w:val="both"/>
      </w:pPr>
      <w:r>
        <w:rPr>
          <w:rFonts w:ascii="Barlow Semi Condensed" w:cs="Barlow Semi Condensed" w:eastAsia="Barlow Semi Condensed" w:hAnsi="Barlow Semi Condensed"/>
          <w:sz w:val="24"/>
          <w:szCs w:val="24"/>
        </w:rPr>
        <w:t xml:space="preserve">L'Atlas Aircraft Corporation era stata costituita nel 1965 con lo scopo precipuo di fabbricare localmente velivoli militari, e fu riorganizzata nel 1968 poco dopo la creazione dell'Armaments Corporation of South Africa, il conglomerato statale della difesa, sotto il cui controllo venne posta.</w:t>
      </w:r>
    </w:p>
    <w:p>
      <w:pPr>
        <w:spacing w:after="120" w:line="276"/>
        <w:jc w:val="both"/>
      </w:pPr>
      <w:r>
        <w:rPr>
          <w:rFonts w:ascii="Barlow Semi Condensed" w:cs="Barlow Semi Condensed" w:eastAsia="Barlow Semi Condensed" w:hAnsi="Barlow Semi Condensed"/>
          <w:sz w:val="24"/>
          <w:szCs w:val="24"/>
        </w:rPr>
        <w:t xml:space="preserve">Un dato va isolato perché qualifica la natura dell'operazione. L'MB-326 fu il primo velivolo prodotto su licenza in Sudafrica, e il programma servì da leva per la costituzione di un'industria aeronautica nazionale, secondo un disegno di sostituzione delle importazioni che le pressioni internazionali rendevano necessario.</w:t>
      </w:r>
    </w:p>
    <w:p>
      <w:pPr>
        <w:spacing w:after="120" w:line="276"/>
        <w:jc w:val="both"/>
      </w:pPr>
      <w:r>
        <w:rPr>
          <w:rFonts w:ascii="Barlow Semi Condensed" w:cs="Barlow Semi Condensed" w:eastAsia="Barlow Semi Condensed" w:hAnsi="Barlow Semi Condensed"/>
          <w:sz w:val="24"/>
          <w:szCs w:val="24"/>
        </w:rPr>
        <w:t xml:space="preserve">Ne discende che il canale italiano non fornì soltanto aerei: fornì la capacità di costruirli.</w:t>
      </w:r>
    </w:p>
    <w:p>
      <w:pPr>
        <w:spacing w:after="120" w:line="276"/>
        <w:jc w:val="both"/>
      </w:pPr>
      <w:r>
        <w:rPr>
          <w:rFonts w:ascii="Barlow Semi Condensed" w:cs="Barlow Semi Condensed" w:eastAsia="Barlow Semi Condensed" w:hAnsi="Barlow Semi Condensed"/>
          <w:sz w:val="24"/>
          <w:szCs w:val="24"/>
        </w:rPr>
        <w:t xml:space="preserve">Le due varianti vanno distinte e la distinzione va tenuta ferma. L'Impala Mark primo era il biposto da addestramento e appoggio. L'Impala Mark secondo era il monoposto da attacco al suolo derivato dall'MB-326K, con cellula rinforzata, motore Viper della serie seicento, due cannoni da trenta millimetri, armamento di produzione francese e una suite di guerra elettronica di sviluppo sudafricano.</w:t>
      </w:r>
    </w:p>
    <w:p>
      <w:pPr>
        <w:spacing w:after="120" w:line="276"/>
        <w:jc w:val="both"/>
      </w:pPr>
      <w:r>
        <w:rPr>
          <w:rFonts w:ascii="Barlow Semi Condensed" w:cs="Barlow Semi Condensed" w:eastAsia="Barlow Semi Condensed" w:hAnsi="Barlow Semi Condensed"/>
          <w:sz w:val="24"/>
          <w:szCs w:val="24"/>
        </w:rPr>
        <w:t xml:space="preserve">L'evoluzione — dal biposto italiano al monoposto a contenuto crescentemente locale — documenta come il Sudafrica abbia progressivamente ridotto la dipendenza dal fornitore originario.</w:t>
      </w:r>
    </w:p>
    <w:p>
      <w:pPr>
        <w:spacing w:after="120" w:line="276"/>
        <w:jc w:val="both"/>
      </w:pPr>
      <w:r>
        <w:rPr>
          <w:rFonts w:ascii="Barlow Semi Condensed" w:cs="Barlow Semi Condensed" w:eastAsia="Barlow Semi Condensed" w:hAnsi="Barlow Semi Condensed"/>
          <w:sz w:val="24"/>
          <w:szCs w:val="24"/>
        </w:rPr>
        <w:t xml:space="preserve">E adesso i numeri, con le divergenze che il metodo impone di riportare anziché risolvere.</w:t>
      </w:r>
    </w:p>
    <w:p>
      <w:pPr>
        <w:spacing w:after="120" w:line="276"/>
        <w:jc w:val="both"/>
      </w:pPr>
      <w:r>
        <w:rPr>
          <w:rFonts w:ascii="Barlow Semi Condensed" w:cs="Barlow Semi Condensed" w:eastAsia="Barlow Semi Condensed" w:hAnsi="Barlow Semi Condensed"/>
          <w:sz w:val="24"/>
          <w:szCs w:val="24"/>
        </w:rPr>
        <w:t xml:space="preserve">Sul primo lotto di costruzione italiana: la maggior parte delle fonti indica quaranta esemplari; almeno una riporta sedici, segnalando essa stessa la variabilità.</w:t>
      </w:r>
    </w:p>
    <w:p>
      <w:pPr>
        <w:spacing w:after="120" w:line="276"/>
        <w:jc w:val="both"/>
      </w:pPr>
      <w:r>
        <w:rPr>
          <w:rFonts w:ascii="Barlow Semi Condensed" w:cs="Barlow Semi Condensed" w:eastAsia="Barlow Semi Condensed" w:hAnsi="Barlow Semi Condensed"/>
          <w:sz w:val="24"/>
          <w:szCs w:val="24"/>
        </w:rPr>
        <w:t xml:space="preserve">Sugli esemplari costruiti localmente\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cifra più ricorrente è di circa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centoventicinque\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Impala Mark primo; compare anche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centotrentacinque.</w:t>
      </w:r>
    </w:p>
    <w:p>
      <w:pPr>
        <w:spacing w:after="120" w:line="276"/>
        <w:jc w:val="both"/>
      </w:pPr>
      <w:r>
        <w:rPr>
          <w:rFonts w:ascii="Barlow Semi Condensed" w:cs="Barlow Semi Condensed" w:eastAsia="Barlow Semi Condensed" w:hAnsi="Barlow Semi Condensed"/>
          <w:sz w:val="24"/>
          <w:szCs w:val="24"/>
        </w:rPr>
        <w:t xml:space="preserve">Sulla versione monoposto: sette MB-326K acquistati, quindici assemblati da kit, circa settantotto prodotti su licenza.</w:t>
      </w:r>
    </w:p>
    <w:p>
      <w:pPr>
        <w:spacing w:after="120" w:line="276"/>
        <w:jc w:val="both"/>
      </w:pPr>
      <w:r>
        <w:rPr>
          <w:rFonts w:ascii="Barlow Semi Condensed" w:cs="Barlow Semi Condensed" w:eastAsia="Barlow Semi Condensed" w:hAnsi="Barlow Semi Condensed"/>
          <w:sz w:val="24"/>
          <w:szCs w:val="24"/>
        </w:rPr>
        <w:t xml:space="preserve">Una fonte museale sudafricana propone invece centocinque biposto e cento monoposto, cifre che non collimano con le precedenti.</w:t>
      </w:r>
    </w:p>
    <w:p>
      <w:pPr>
        <w:spacing w:after="120" w:line="276"/>
        <w:jc w:val="both"/>
      </w:pPr>
      <w:r>
        <w:rPr>
          <w:rFonts w:ascii="Barlow Semi Condensed" w:cs="Barlow Semi Condensed" w:eastAsia="Barlow Semi Condensed" w:hAnsi="Barlow Semi Condensed"/>
          <w:sz w:val="24"/>
          <w:szCs w:val="24"/>
        </w:rPr>
        <w:t xml:space="preserve">Un ordine di grandezza indipendente proviene dai motori: degli oltre cinquemilasettecento Viper costruiti nel mondo, trecentotrentaquattro furono fabbricati in Sudafrica.</w:t>
      </w:r>
    </w:p>
    <w:p>
      <w:pPr>
        <w:spacing w:after="120" w:line="276"/>
        <w:jc w:val="both"/>
      </w:pPr>
      <w:r>
        <w:rPr>
          <w:rFonts w:ascii="Barlow Semi Condensed" w:cs="Barlow Semi Condensed" w:eastAsia="Barlow Semi Condensed" w:hAnsi="Barlow Semi Condensed"/>
          <w:sz w:val="24"/>
          <w:szCs w:val="24"/>
        </w:rPr>
        <w:t xml:space="preserve">La ragione della divergenza è duplice. Le fonti contano cose diverse — alcune sommano costruzione italiana, assemblaggio da kit e produzione su licenza, altre distinguono. E la produzione bellica sudafricana fu materia di riservatezza crescente, tanto più dopo il 1977.</w:t>
      </w:r>
    </w:p>
    <w:p>
      <w:pPr>
        <w:spacing w:after="120" w:line="276"/>
        <w:jc w:val="both"/>
      </w:pPr>
      <w:r>
        <w:rPr>
          <w:rFonts w:ascii="Barlow Semi Condensed" w:cs="Barlow Semi Condensed" w:eastAsia="Barlow Semi Condensed" w:hAnsi="Barlow Semi Condensed"/>
          <w:sz w:val="24"/>
          <w:szCs w:val="24"/>
        </w:rPr>
        <w:t xml:space="preserve">Non è possibile stabilire una cifra unica, e proporne una sarebbe scorretto.</w:t>
      </w:r>
    </w:p>
    <w:p>
      <w:pPr>
        <w:pStyle w:val="Heading2"/>
        <w:spacing w:after="100" w:before="200"/>
      </w:pPr>
      <w:r>
        <w:rPr>
          <w:rFonts w:ascii="Barlow Semi Condensed" w:cs="Barlow Semi Condensed" w:eastAsia="Barlow Semi Condensed" w:hAnsi="Barlow Semi Condensed"/>
          <w:sz w:val="24"/>
          <w:szCs w:val="24"/>
        </w:rPr>
        <w:t xml:space="preserve">Capitolo terzo — Il motore, e il documento americano che nomina l'Italia</w:t>
      </w:r>
    </w:p>
    <w:p>
      <w:pPr>
        <w:spacing w:after="120" w:line="276"/>
        <w:jc w:val="both"/>
      </w:pPr>
      <w:r>
        <w:rPr>
          <w:rFonts w:ascii="Barlow Semi Condensed" w:cs="Barlow Semi Condensed" w:eastAsia="Barlow Semi Condensed" w:hAnsi="Barlow Semi Condensed"/>
          <w:sz w:val="24"/>
          <w:szCs w:val="24"/>
        </w:rPr>
        <w:t xml:space="preserve">Il capitolo espone il nodo che attraversa tre giurisdizioni, ed è il ritrovamento documentale maggiore.</w:t>
      </w:r>
    </w:p>
    <w:p>
      <w:pPr>
        <w:spacing w:after="120" w:line="276"/>
        <w:jc w:val="both"/>
      </w:pPr>
      <w:r>
        <w:rPr>
          <w:rFonts w:ascii="Barlow Semi Condensed" w:cs="Barlow Semi Condensed" w:eastAsia="Barlow Semi Condensed" w:hAnsi="Barlow Semi Condensed"/>
          <w:sz w:val="24"/>
          <w:szCs w:val="24"/>
        </w:rPr>
        <w:t xml:space="preserve">La catena, per anelli. Il propulsore era il turbogetto Viper, progettato dalla Armstrong Siddeley come unità a vita breve per bersagli radiocomandati, e rivelatosi poi affidabile e longevo. Attraverso le concentrazioni industriali britanniche esso passò alla Bristol Siddeley e infine alla Rolls-Royce, che acquisì la Bristol Siddeley nel 1966.</w:t>
      </w:r>
    </w:p>
    <w:p>
      <w:pPr>
        <w:spacing w:after="120" w:line="276"/>
        <w:jc w:val="both"/>
      </w:pPr>
      <w:r>
        <w:rPr>
          <w:rFonts w:ascii="Barlow Semi Condensed" w:cs="Barlow Semi Condensed" w:eastAsia="Barlow Semi Condensed" w:hAnsi="Barlow Semi Condensed"/>
          <w:sz w:val="24"/>
          <w:szCs w:val="24"/>
        </w:rPr>
        <w:t xml:space="preserve">Il secondo anello, ed è italiano.\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Viper destinato all'MB-326 fu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prodotto in Italia su licenza dalla Piaggio in forza di un accordo con la Bristol Siddeley del 1959.</w:t>
      </w:r>
    </w:p>
    <w:p>
      <w:pPr>
        <w:spacing w:after="120" w:line="276"/>
        <w:jc w:val="both"/>
      </w:pPr>
      <w:r>
        <w:rPr>
          <w:rFonts w:ascii="Barlow Semi Condensed" w:cs="Barlow Semi Condensed" w:eastAsia="Barlow Semi Condensed" w:hAnsi="Barlow Semi Condensed"/>
          <w:sz w:val="24"/>
          <w:szCs w:val="24"/>
        </w:rPr>
        <w:t xml:space="preserve">La ripartizione italiana è attestata con precisione dal Museo Motori dell'Università di Palermo\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secondo cui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Piaggio produceva il modello Mark ventidue per l'addestratore Aermacchi, mentre la FIAT produsse la più potente serie seicento.</w:t>
      </w:r>
    </w:p>
    <w:p>
      <w:pPr>
        <w:spacing w:after="120" w:line="276"/>
        <w:jc w:val="both"/>
      </w:pPr>
      <w:r>
        <w:rPr>
          <w:rFonts w:ascii="Barlow Semi Condensed" w:cs="Barlow Semi Condensed" w:eastAsia="Barlow Semi Condensed" w:hAnsi="Barlow Semi Condensed"/>
          <w:sz w:val="24"/>
          <w:szCs w:val="24"/>
        </w:rPr>
        <w:t xml:space="preserve">Ne consegue che il Sudafrica ottenne il Viper non direttamente dal Regno Unito ma attraverso la catena della sub-licenza italiana.</w:t>
      </w:r>
    </w:p>
    <w:p>
      <w:pPr>
        <w:spacing w:after="120" w:line="276"/>
        <w:jc w:val="both"/>
      </w:pPr>
      <w:r>
        <w:rPr>
          <w:rFonts w:ascii="Barlow Semi Condensed" w:cs="Barlow Semi Condensed" w:eastAsia="Barlow Semi Condensed" w:hAnsi="Barlow Semi Condensed"/>
          <w:sz w:val="24"/>
          <w:szCs w:val="24"/>
        </w:rPr>
        <w:t xml:space="preserve">E adesso il documento. Un rapporto declassificato della Central Intelligence Agency, intitolato \</w:t>
      </w:r>
      <w:r>
        <w:rPr>
          <w:rFonts w:ascii="Barlow Semi Condensed" w:cs="Barlow Semi Condensed" w:eastAsia="Barlow Semi Condensed" w:hAnsi="Barlow Semi Condensed"/>
          <w:i/>
          <w:iCs/>
          <w:sz w:val="24"/>
          <w:szCs w:val="24"/>
        </w:rPr>
        <w:t xml:space="preserve">South Africa: Evading the Arms Embargo\</w:t>
      </w:r>
      <w:r>
        <w:rPr>
          <w:rFonts w:ascii="Barlow Semi Condensed" w:cs="Barlow Semi Condensed" w:eastAsia="Barlow Semi Condensed" w:hAnsi="Barlow Semi Condensed"/>
          <w:sz w:val="24"/>
          <w:szCs w:val="24"/>
        </w:rPr>
        <w:t xml:space="preserve"> e reso disponibile nel 2018 con segnatura C06283667, nell'elencare i sistemi prodotti localmente registra il motore a getto Rolls-Royce Viper, Atlas, con l'annotazione: produzione autorizzata su licenza dall'Italia per l'Impala.</w:t>
      </w:r>
    </w:p>
    <w:p>
      <w:pPr>
        <w:spacing w:after="120" w:line="276"/>
        <w:jc w:val="both"/>
      </w:pPr>
      <w:r>
        <w:rPr>
          <w:rFonts w:ascii="Barlow Semi Condensed" w:cs="Barlow Semi Condensed" w:eastAsia="Barlow Semi Condensed" w:hAnsi="Barlow Semi Condensed"/>
          <w:sz w:val="24"/>
          <w:szCs w:val="24"/>
        </w:rPr>
        <w:t xml:space="preserve">Un documento d'intelligence statunitense attribuisce all'Italia, e non al Regno Unito, l'anello autorizzativo attraverso cui il motore raggiunse la linea di montaggio sudafricana.</w:t>
      </w:r>
    </w:p>
    <w:p>
      <w:pPr>
        <w:spacing w:after="120" w:line="276"/>
        <w:jc w:val="both"/>
      </w:pPr>
      <w:r>
        <w:rPr>
          <w:rFonts w:ascii="Barlow Semi Condensed" w:cs="Barlow Semi Condensed" w:eastAsia="Barlow Semi Condensed" w:hAnsi="Barlow Semi Condensed"/>
          <w:sz w:val="24"/>
          <w:szCs w:val="24"/>
        </w:rPr>
        <w:t xml:space="preserve">Il medesimo rapporto, alla voce Impala, registra: copia su licenza dell'italiano MB 326, prodotto dal 1964 al 1986.</w:t>
      </w:r>
    </w:p>
    <w:p>
      <w:pPr>
        <w:spacing w:after="120" w:line="276"/>
        <w:jc w:val="both"/>
      </w:pPr>
      <w:r>
        <w:rPr>
          <w:rFonts w:ascii="Barlow Semi Condensed" w:cs="Barlow Semi Condensed" w:eastAsia="Barlow Semi Condensed" w:hAnsi="Barlow Semi Condensed"/>
          <w:sz w:val="24"/>
          <w:szCs w:val="24"/>
        </w:rPr>
        <w:t xml:space="preserve">Lo statuto della fonte va dichiarato: è documento d'intelligence declassificato, di natura valutativa e non giudiziaria. Ma il suo tenore è univoco.</w:t>
      </w:r>
    </w:p>
    <w:p>
      <w:pPr>
        <w:spacing w:after="120" w:line="276"/>
        <w:jc w:val="both"/>
      </w:pPr>
      <w:r>
        <w:rPr>
          <w:rFonts w:ascii="Barlow Semi Condensed" w:cs="Barlow Semi Condensed" w:eastAsia="Barlow Semi Condensed" w:hAnsi="Barlow Semi Condensed"/>
          <w:sz w:val="24"/>
          <w:szCs w:val="24"/>
        </w:rPr>
        <w:t xml:space="preserve">Perché la responsabilità si concentrò sull'Italia e non sul Regno Unito, ed è la spiegazione strutturale. La licenza originaria britannica alla Piaggio è del 1959, anteriore a qualunque embargo, anche a quello raccomandato del 1963. La struttura della catena — Bristol Siddeley verso Piaggio, Piaggio o Aermacchi verso Atlas — colloca l'anello decisionale rilevante in Italia.</w:t>
      </w:r>
    </w:p>
    <w:p>
      <w:pPr>
        <w:spacing w:after="120" w:line="276"/>
        <w:jc w:val="both"/>
      </w:pPr>
      <w:r>
        <w:rPr>
          <w:rFonts w:ascii="Barlow Semi Condensed" w:cs="Barlow Semi Condensed" w:eastAsia="Barlow Semi Condensed" w:hAnsi="Barlow Semi Condensed"/>
          <w:sz w:val="24"/>
          <w:szCs w:val="24"/>
        </w:rPr>
        <w:t xml:space="preserve">Che cosa non si è trovato, e va dichiarato.\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Nessun documento primario in cui la Rolls-Royce o il governo britannico autorizzino espressamente la produzione sudafricana del Viper o la fornitura di ricambi.</w:t>
      </w:r>
    </w:p>
    <w:p>
      <w:pPr>
        <w:spacing w:after="120" w:line="276"/>
        <w:jc w:val="both"/>
      </w:pPr>
      <w:r>
        <w:rPr>
          <w:rFonts w:ascii="Barlow Semi Condensed" w:cs="Barlow Semi Condensed" w:eastAsia="Barlow Semi Condensed" w:hAnsi="Barlow Semi Condensed"/>
          <w:sz w:val="24"/>
          <w:szCs w:val="24"/>
        </w:rPr>
        <w:t xml:space="preserve">Le sedi: i National Archives britannici, che conservano i fascicoli sull'applicazione dell'embargo, e gli archivi della Bristol Siddeley e del Rolls-Royce Heritage Trust.</w:t>
      </w:r>
    </w:p>
    <w:p>
      <w:pPr>
        <w:spacing w:after="120" w:line="276"/>
        <w:jc w:val="both"/>
      </w:pPr>
      <w:r>
        <w:rPr>
          <w:rFonts w:ascii="Barlow Semi Condensed" w:cs="Barlow Semi Condensed" w:eastAsia="Barlow Semi Condensed" w:hAnsi="Barlow Semi Condensed"/>
          <w:sz w:val="24"/>
          <w:szCs w:val="24"/>
        </w:rPr>
        <w:t xml:space="preserve">Sino a tale verifica, ogni affermazione sul ruolo attivo o passivo della Rolls-Royce nella catena sudafricana è inferenza e non fatto.</w:t>
      </w:r>
    </w:p>
    <w:p>
      <w:pPr>
        <w:pStyle w:val="Heading2"/>
        <w:spacing w:after="100" w:before="200"/>
      </w:pPr>
      <w:r>
        <w:rPr>
          <w:rFonts w:ascii="Barlow Semi Condensed" w:cs="Barlow Semi Condensed" w:eastAsia="Barlow Semi Condensed" w:hAnsi="Barlow Semi Condensed"/>
          <w:sz w:val="24"/>
          <w:szCs w:val="24"/>
        </w:rPr>
        <w:t xml:space="preserve">Capitolo quarto — L'impiego operativo, e la sua collocazione cronologica</w:t>
      </w:r>
    </w:p>
    <w:p>
      <w:pPr>
        <w:spacing w:after="120" w:line="276"/>
        <w:jc w:val="both"/>
      </w:pPr>
      <w:r>
        <w:rPr>
          <w:rFonts w:ascii="Barlow Semi Condensed" w:cs="Barlow Semi Condensed" w:eastAsia="Barlow Semi Condensed" w:hAnsi="Barlow Semi Condensed"/>
          <w:sz w:val="24"/>
          <w:szCs w:val="24"/>
        </w:rPr>
        <w:t xml:space="preserve">Il capitolo espone che cosa fu fatto degli aerei, e colloca il tutto rispetto ai mandati di Moro.</w:t>
      </w:r>
    </w:p>
    <w:p>
      <w:pPr>
        <w:spacing w:after="120" w:line="276"/>
        <w:jc w:val="both"/>
      </w:pPr>
      <w:r>
        <w:rPr>
          <w:rFonts w:ascii="Barlow Semi Condensed" w:cs="Barlow Semi Condensed" w:eastAsia="Barlow Semi Condensed" w:hAnsi="Barlow Semi Condensed"/>
          <w:sz w:val="24"/>
          <w:szCs w:val="24"/>
        </w:rPr>
        <w:t xml:space="preserve">L'impiego.\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velivolo fu adoperato sia come addestratore sia in configurazione armata. La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scuola di volo aveva sede a Langebaanweg\</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gli squadroni operativi indicati sono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quarto, il quinto, il sesto, il settimo e l'ottavo.</w:t>
      </w:r>
    </w:p>
    <w:p>
      <w:pPr>
        <w:spacing w:after="120" w:line="276"/>
        <w:jc w:val="both"/>
      </w:pPr>
      <w:r>
        <w:rPr>
          <w:rFonts w:ascii="Barlow Semi Condensed" w:cs="Barlow Semi Condensed" w:eastAsia="Barlow Semi Condensed" w:hAnsi="Barlow Semi Condensed"/>
          <w:sz w:val="24"/>
          <w:szCs w:val="24"/>
        </w:rPr>
        <w:t xml:space="preserve">La versione monoposto Impala Mark secondo fu impiegata come velivolo da attacco al suolo nella guerra di confine contro le forze angolane e cubane\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periodo indicato dalle fonti fra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1975 e il 1989.</w:t>
      </w:r>
    </w:p>
    <w:p>
      <w:pPr>
        <w:spacing w:after="120" w:line="276"/>
        <w:jc w:val="both"/>
      </w:pPr>
      <w:r>
        <w:rPr>
          <w:rFonts w:ascii="Barlow Semi Condensed" w:cs="Barlow Semi Condensed" w:eastAsia="Barlow Semi Condensed" w:hAnsi="Barlow Semi Condensed"/>
          <w:sz w:val="24"/>
          <w:szCs w:val="24"/>
        </w:rPr>
        <w:t xml:space="preserve">I vantaggi operativi documentati. Benché più lento dei caccia ad alte prestazioni, il velivolo poteva operare da piste sommarie e colpire con rapidità a bassissima quota; le fonti riferiscono missioni condotte a circa seicentocinquanta chilometri orari e ad altezze di poche decine di metri.</w:t>
      </w:r>
    </w:p>
    <w:p>
      <w:pPr>
        <w:spacing w:after="120" w:line="276"/>
        <w:jc w:val="both"/>
      </w:pPr>
      <w:r>
        <w:rPr>
          <w:rFonts w:ascii="Barlow Semi Condensed" w:cs="Barlow Semi Condensed" w:eastAsia="Barlow Semi Condensed" w:hAnsi="Barlow Semi Condensed"/>
          <w:sz w:val="24"/>
          <w:szCs w:val="24"/>
        </w:rPr>
        <w:t xml:space="preserve">Due episodi specifici, con lo statuto della fonte dichiarato. Nel 1985, in una fase cruciale della guerra terrestre, gli Impala Mark secondo sarebbero stati impiegati anche in funzione di intercettazione contro elicotteri, con l'abbattimento di sei velivoli ad ala rotante fra Mi-otto e Mi-ventiquattro. È registrata altresì la perdita di un Impala abbattuto da un missile portatile SA-sette angolano.</w:t>
      </w:r>
    </w:p>
    <w:p>
      <w:pPr>
        <w:spacing w:after="120" w:line="276"/>
        <w:jc w:val="both"/>
      </w:pPr>
      <w:r>
        <w:rPr>
          <w:rFonts w:ascii="Barlow Semi Condensed" w:cs="Barlow Semi Condensed" w:eastAsia="Barlow Semi Condensed" w:hAnsi="Barlow Semi Condensed"/>
          <w:sz w:val="24"/>
          <w:szCs w:val="24"/>
        </w:rPr>
        <w:t xml:space="preserve">Questi dati provengono da pubblicistica aeronautica e vanno assunti con la cautela dovuta a tale natura di fonte. Il quadro complessivo — impiego operativo effettivo del velivolo di origine italiana nel teatro angolano-namibiano — è invece solidamente attestato e non controverso.</w:t>
      </w:r>
    </w:p>
    <w:p>
      <w:pPr>
        <w:spacing w:after="120" w:line="276"/>
        <w:jc w:val="both"/>
      </w:pPr>
      <w:r>
        <w:rPr>
          <w:rFonts w:ascii="Barlow Semi Condensed" w:cs="Barlow Semi Condensed" w:eastAsia="Barlow Semi Condensed" w:hAnsi="Barlow Semi Condensed"/>
          <w:sz w:val="24"/>
          <w:szCs w:val="24"/>
        </w:rPr>
        <w:t xml:space="preserve">E adesso la collocazione cronologica, che è di rilievo giuridico e va enunciata con precisione perché impedisce un'imputazione facile.</w:t>
      </w:r>
    </w:p>
    <w:p>
      <w:pPr>
        <w:spacing w:after="120" w:line="276"/>
        <w:jc w:val="both"/>
      </w:pPr>
      <w:r>
        <w:rPr>
          <w:rFonts w:ascii="Barlow Semi Condensed" w:cs="Barlow Semi Condensed" w:eastAsia="Barlow Semi Condensed" w:hAnsi="Barlow Semi Condensed"/>
          <w:sz w:val="24"/>
          <w:szCs w:val="24"/>
        </w:rPr>
        <w:t xml:space="preserve">La quota maggiore delle operazioni belliche documentate si colloca dopo il 1976, dunque dopo la fine dei mandati di Moro, e in larga parte dopo il 1977, cioè sotto il regime dell'embargo obbligatorio.</w:t>
      </w:r>
    </w:p>
    <w:p>
      <w:pPr>
        <w:spacing w:after="120" w:line="276"/>
        <w:jc w:val="both"/>
      </w:pPr>
      <w:r>
        <w:rPr>
          <w:rFonts w:ascii="Barlow Semi Condensed" w:cs="Barlow Semi Condensed" w:eastAsia="Barlow Semi Condensed" w:hAnsi="Barlow Semi Condensed"/>
          <w:sz w:val="24"/>
          <w:szCs w:val="24"/>
        </w:rPr>
        <w:t xml:space="preserve">Ne discende che l'impiego operativo degli anni Ottanta non può essere retroattivamente imputato alle decisioni del governo italiano del periodo 1969-1976 — se non nella misura, tutta da dimostrare documentalmente, in cui a quelle decisioni sia riconducibile la fornitura continuativa di ricambi, motori e assistenza tecnica in epoca successiva.</w:t>
      </w:r>
    </w:p>
    <w:p>
      <w:pPr>
        <w:spacing w:after="120" w:line="276"/>
        <w:jc w:val="both"/>
      </w:pPr>
      <w:r>
        <w:rPr>
          <w:rFonts w:ascii="Barlow Semi Condensed" w:cs="Barlow Semi Condensed" w:eastAsia="Barlow Semi Condensed" w:hAnsi="Barlow Semi Condensed"/>
          <w:sz w:val="24"/>
          <w:szCs w:val="24"/>
        </w:rPr>
        <w:t xml:space="preserve">Su tale fornitura continuativa esiste un indizio, esposto al Capitolo settimo, che si colloca però nel gennaio 1980 e va tenuto distinto.</w:t>
      </w:r>
    </w:p>
    <w:p>
      <w:pPr>
        <w:pStyle w:val="Heading2"/>
        <w:spacing w:after="100" w:before="200"/>
      </w:pPr>
      <w:r>
        <w:rPr>
          <w:rFonts w:ascii="Barlow Semi Condensed" w:cs="Barlow Semi Condensed" w:eastAsia="Barlow Semi Condensed" w:hAnsi="Barlow Semi Condensed"/>
          <w:sz w:val="24"/>
          <w:szCs w:val="24"/>
        </w:rPr>
        <w:t xml:space="preserve">Capitolo quinto — I voti alle Nazioni Unite: due voti opposti nello stesso giorno</w:t>
      </w:r>
    </w:p>
    <w:p>
      <w:pPr>
        <w:spacing w:after="120" w:line="276"/>
        <w:jc w:val="both"/>
      </w:pPr>
      <w:r>
        <w:rPr>
          <w:rFonts w:ascii="Barlow Semi Condensed" w:cs="Barlow Semi Condensed" w:eastAsia="Barlow Semi Condensed" w:hAnsi="Barlow Semi Condensed"/>
          <w:sz w:val="24"/>
          <w:szCs w:val="24"/>
        </w:rPr>
        <w:t xml:space="preserve">Il capitolo espone il versante multilaterale, dove le fonti sono primarie e di prima qualità, e produce il risultato documentale più netto della ricognizione.</w:t>
      </w:r>
    </w:p>
    <w:p>
      <w:pPr>
        <w:spacing w:after="120" w:line="276"/>
        <w:jc w:val="both"/>
      </w:pPr>
      <w:r>
        <w:rPr>
          <w:rFonts w:ascii="Barlow Semi Condensed" w:cs="Barlow Semi Condensed" w:eastAsia="Barlow Semi Condensed" w:hAnsi="Barlow Semi Condensed"/>
          <w:sz w:val="24"/>
          <w:szCs w:val="24"/>
        </w:rPr>
        <w:t xml:space="preserve">Il voto sulle credenziali del 1974, e l'Italia vi è fra i contrari. Sul rifiuto delle credenziali della delegazione sudafricana alla ventinovesima sessione, deciso con la risoluzione tremiladuecentosei nella duemiladuecentoquarantottesima seduta plenaria del 30 settembre 1974, verbale A/PV.2248, il registro di voto documenta novantotto favorevoli, ventitré contrari e quattordici astenuti.</w:t>
      </w:r>
    </w:p>
    <w:p>
      <w:pPr>
        <w:spacing w:after="120" w:line="276"/>
        <w:jc w:val="both"/>
      </w:pPr>
      <w:r>
        <w:rPr>
          <w:rFonts w:ascii="Barlow Semi Condensed" w:cs="Barlow Semi Condensed" w:eastAsia="Barlow Semi Condensed" w:hAnsi="Barlow Semi Condensed"/>
          <w:sz w:val="24"/>
          <w:szCs w:val="24"/>
        </w:rPr>
        <w:t xml:space="preserve">L'Italia votò contro\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compagnia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Belgio, Danimarca, Francia, Germania Federale, Irlanda, Lussemburgo, Paesi Bassi, Regno Unito e Stati Uniti.</w:t>
      </w:r>
    </w:p>
    <w:p>
      <w:pPr>
        <w:spacing w:after="120" w:line="276"/>
        <w:jc w:val="both"/>
      </w:pPr>
      <w:r>
        <w:rPr>
          <w:rFonts w:ascii="Barlow Semi Condensed" w:cs="Barlow Semi Condensed" w:eastAsia="Barlow Semi Condensed" w:hAnsi="Barlow Semi Condensed"/>
          <w:sz w:val="24"/>
          <w:szCs w:val="24"/>
        </w:rPr>
        <w:t xml:space="preserve">Alla successiva decisione del Presidente dell'Assemblea, l'algerino Abdelaziz Bouteflika, del 12 novembre 1974, di ritenere il rifiuto delle credenziali equivalente all'esclusione, seguì la conferma in aula con novantuno favorevoli, ventidue contrari e diciannove astenuti.</w:t>
      </w:r>
    </w:p>
    <w:p>
      <w:pPr>
        <w:spacing w:after="120" w:line="276"/>
        <w:jc w:val="both"/>
      </w:pPr>
      <w:r>
        <w:rPr>
          <w:rFonts w:ascii="Barlow Semi Condensed" w:cs="Barlow Semi Condensed" w:eastAsia="Barlow Semi Condensed" w:hAnsi="Barlow Semi Condensed"/>
          <w:sz w:val="24"/>
          <w:szCs w:val="24"/>
        </w:rPr>
        <w:t xml:space="preserve">E adesso il voto che rende il quadro non semplice, ed è del medesimo giorno.</w:t>
      </w:r>
    </w:p>
    <w:p>
      <w:pPr>
        <w:spacing w:after="120" w:line="276"/>
        <w:jc w:val="both"/>
      </w:pPr>
      <w:r>
        <w:rPr>
          <w:rFonts w:ascii="Barlow Semi Condensed" w:cs="Barlow Semi Condensed" w:eastAsia="Barlow Semi Condensed" w:hAnsi="Barlow Semi Condensed"/>
          <w:sz w:val="24"/>
          <w:szCs w:val="24"/>
        </w:rPr>
        <w:t xml:space="preserve">Sulla risoluzione tremiladuecentosette del 30 settembre 1974, relativa alla relazione fra Nazioni Unite e Sudafrica, il registro riporta centoventicinque favorevoli, un solo contrario e nove astenuti, e vi annota l'Italia fra i favorevoli.</w:t>
      </w:r>
    </w:p>
    <w:p>
      <w:pPr>
        <w:spacing w:after="120" w:line="276"/>
        <w:jc w:val="both"/>
      </w:pPr>
      <w:r>
        <w:rPr>
          <w:rFonts w:ascii="Barlow Semi Condensed" w:cs="Barlow Semi Condensed" w:eastAsia="Barlow Semi Condensed" w:hAnsi="Barlow Semi Condensed"/>
          <w:sz w:val="24"/>
          <w:szCs w:val="24"/>
        </w:rPr>
        <w:t xml:space="preserve">Il 30 settembre 1974 l'Italia votò contro la sospensione procedurale del Sudafrica e a favore della condanna di merito. Due voti, lo stesso giorno, in direzione opposta.</w:t>
      </w:r>
    </w:p>
    <w:p>
      <w:pPr>
        <w:spacing w:after="120" w:line="276"/>
        <w:jc w:val="both"/>
      </w:pPr>
      <w:r>
        <w:rPr>
          <w:rFonts w:ascii="Barlow Semi Condensed" w:cs="Barlow Semi Condensed" w:eastAsia="Barlow Semi Condensed" w:hAnsi="Barlow Semi Condensed"/>
          <w:sz w:val="24"/>
          <w:szCs w:val="24"/>
        </w:rPr>
        <w:t xml:space="preserve">Questa è la chiave interpretativa dell'intera condotta italiana e va tenuta ferma: no alla misura procedurale, sì alla condanna sostanziale.</w:t>
      </w:r>
    </w:p>
    <w:p>
      <w:pPr>
        <w:spacing w:after="120" w:line="276"/>
        <w:jc w:val="both"/>
      </w:pPr>
      <w:r>
        <w:rPr>
          <w:rFonts w:ascii="Barlow Semi Condensed" w:cs="Barlow Semi Condensed" w:eastAsia="Barlow Semi Condensed" w:hAnsi="Barlow Semi Condensed"/>
          <w:sz w:val="24"/>
          <w:szCs w:val="24"/>
        </w:rPr>
        <w:t xml:space="preserve">La ragione della posizione procedurale è documentata\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 principali democrazie occidentali ritenevano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l'uso della procedura delle credenziali per escludere uno Stato membro un precedente pericoloso e contrario alla Carta.</w:t>
      </w:r>
    </w:p>
    <w:p>
      <w:pPr>
        <w:spacing w:after="120" w:line="276"/>
        <w:jc w:val="both"/>
      </w:pPr>
      <w:r>
        <w:rPr>
          <w:rFonts w:ascii="Barlow Semi Condensed" w:cs="Barlow Semi Condensed" w:eastAsia="Barlow Semi Condensed" w:hAnsi="Barlow Semi Condensed"/>
          <w:sz w:val="24"/>
          <w:szCs w:val="24"/>
        </w:rPr>
        <w:t xml:space="preserve">Il versante del Consiglio di Sicurezza. L'Italia fu membro non permanente nel 1971-1972 e nel 1975-1976. La risoluzione trecentoundici del 4 febbraio 1972, adottata nella milleseicentotrentottesima seduta, condannò l'apartheid con quattordici favorevoli e la sola astensione francese, e l'Italia, allora membro, concorse alla condanna. La risoluzione trecentonovantadue del 19 giugno 1976, adottata dopo il massacro di Soweto, vide nuovamente l'Italia fra i membri.</w:t>
      </w:r>
    </w:p>
    <w:p>
      <w:pPr>
        <w:spacing w:after="120" w:line="276"/>
        <w:jc w:val="both"/>
      </w:pPr>
      <w:r>
        <w:rPr>
          <w:rFonts w:ascii="Barlow Semi Condensed" w:cs="Barlow Semi Condensed" w:eastAsia="Barlow Semi Condensed" w:hAnsi="Barlow Semi Condensed"/>
          <w:sz w:val="24"/>
          <w:szCs w:val="24"/>
        </w:rPr>
        <w:t xml:space="preserve">Un dato storiografico va riportato con la sua qualificazione. Uno studio pubblicato dal \</w:t>
      </w:r>
      <w:r>
        <w:rPr>
          <w:rFonts w:ascii="Barlow Semi Condensed" w:cs="Barlow Semi Condensed" w:eastAsia="Barlow Semi Condensed" w:hAnsi="Barlow Semi Condensed"/>
          <w:i/>
          <w:iCs/>
          <w:sz w:val="24"/>
          <w:szCs w:val="24"/>
        </w:rPr>
        <w:t xml:space="preserve">Journal for Contemporary History\</w:t>
      </w:r>
      <w:r>
        <w:rPr>
          <w:rFonts w:ascii="Barlow Semi Condensed" w:cs="Barlow Semi Condensed" w:eastAsia="Barlow Semi Condensed" w:hAnsi="Barlow Semi Condensed"/>
          <w:sz w:val="24"/>
          <w:szCs w:val="24"/>
        </w:rPr>
        <w:t xml:space="preserve"> dell'Università dello Stato Libero accerta che Italia, Regno Unito, Germania Federale e Stati Uniti si adeguarono all'embargo raccomandato del 1963 senza particolari ritardi, mentre fu la Francia a sfruttare l'occasione per divenire il principale fornitore militare di Pretoria.</w:t>
      </w:r>
    </w:p>
    <w:p>
      <w:pPr>
        <w:spacing w:after="120" w:line="276"/>
        <w:jc w:val="both"/>
      </w:pPr>
      <w:r>
        <w:rPr>
          <w:rFonts w:ascii="Barlow Semi Condensed" w:cs="Barlow Semi Condensed" w:eastAsia="Barlow Semi Condensed" w:hAnsi="Barlow Semi Condensed"/>
          <w:sz w:val="24"/>
          <w:szCs w:val="24"/>
        </w:rPr>
        <w:t xml:space="preserve">Ma tale affermazione va contemperata con il dato del canale Aermacchi, che mostra come l'adeguamento italiano non abbia comportato la cessazione della licenza già concessa. Distinzione, ancora una volta, fra il divieto di nuove vendite e la prosecuzione di un accordo industriale preesistente, che il regime raccomandato non imponeva di risolvere.</w:t>
      </w:r>
    </w:p>
    <w:p>
      <w:pPr>
        <w:pStyle w:val="Heading2"/>
        <w:spacing w:after="100" w:before="200"/>
      </w:pPr>
      <w:r>
        <w:rPr>
          <w:rFonts w:ascii="Barlow Semi Condensed" w:cs="Barlow Semi Condensed" w:eastAsia="Barlow Semi Condensed" w:hAnsi="Barlow Semi Condensed"/>
          <w:sz w:val="24"/>
          <w:szCs w:val="24"/>
        </w:rPr>
        <w:t xml:space="preserve">Capitolo sesto — Il regime del millenovecentoquarantuno, e il nono grado di Stato Zero</w:t>
      </w:r>
    </w:p>
    <w:p>
      <w:pPr>
        <w:spacing w:after="120" w:line="276"/>
        <w:jc w:val="both"/>
      </w:pPr>
      <w:r>
        <w:rPr>
          <w:rFonts w:ascii="Barlow Semi Condensed" w:cs="Barlow Semi Condensed" w:eastAsia="Barlow Semi Condensed" w:hAnsi="Barlow Semi Condensed"/>
          <w:sz w:val="24"/>
          <w:szCs w:val="24"/>
        </w:rPr>
        <w:t xml:space="preserve">Il capitolo espone il risultato più importante della ricognizione, e propone una categoria che il sistema di gradazione del corpus non contiene.</w:t>
      </w:r>
    </w:p>
    <w:p>
      <w:pPr>
        <w:spacing w:after="120" w:line="276"/>
        <w:jc w:val="both"/>
      </w:pPr>
      <w:r>
        <w:rPr>
          <w:rFonts w:ascii="Barlow Semi Condensed" w:cs="Barlow Semi Condensed" w:eastAsia="Barlow Semi Condensed" w:hAnsi="Barlow Semi Condensed"/>
          <w:sz w:val="24"/>
          <w:szCs w:val="24"/>
        </w:rPr>
        <w:t xml:space="preserve">Il fatto giuridico centrale.\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 tutto il periodo in esame l'Italia non ebbe una legge organica sul controllo dell'esportazione di materiale di armamento.</w:t>
      </w:r>
    </w:p>
    <w:p>
      <w:pPr>
        <w:spacing w:after="120" w:line="276"/>
        <w:jc w:val="both"/>
      </w:pPr>
      <w:r>
        <w:rPr>
          <w:rFonts w:ascii="Barlow Semi Condensed" w:cs="Barlow Semi Condensed" w:eastAsia="Barlow Semi Condensed" w:hAnsi="Barlow Semi Condensed"/>
          <w:sz w:val="24"/>
          <w:szCs w:val="24"/>
        </w:rPr>
        <w:t xml:space="preserve">La disciplina applicabile. Il Testo unico delle leggi di pubblica sicurezza, e in particolare l'articolo ventotto e gli articoli dal quarantuno al cinquantotto del regolamento di attuazione, regio decreto 6 maggio 1940 numero seicentotrentacinque.</w:t>
      </w:r>
    </w:p>
    <w:p>
      <w:pPr>
        <w:spacing w:after="120" w:line="276"/>
        <w:jc w:val="both"/>
      </w:pPr>
      <w:r>
        <w:rPr>
          <w:rFonts w:ascii="Barlow Semi Condensed" w:cs="Barlow Semi Condensed" w:eastAsia="Barlow Semi Condensed" w:hAnsi="Barlow Semi Condensed"/>
          <w:sz w:val="24"/>
          <w:szCs w:val="24"/>
        </w:rPr>
        <w:t xml:space="preserve">E soprattutto il regio decreto 11 luglio 1941 numero millecentosessantuno, firmato da Mussolini, Ciano, Teruzzi e Grandi, che sottoponeva l'esportazione di armi al segreto di Stato, sottraendola al controllo del Parlamento e della società civile.</w:t>
      </w:r>
    </w:p>
    <w:p>
      <w:pPr>
        <w:spacing w:after="120" w:line="276"/>
        <w:jc w:val="both"/>
      </w:pPr>
      <w:r>
        <w:rPr>
          <w:rFonts w:ascii="Barlow Semi Condensed" w:cs="Barlow Semi Condensed" w:eastAsia="Barlow Semi Condensed" w:hAnsi="Barlow Semi Condensed"/>
          <w:sz w:val="24"/>
          <w:szCs w:val="24"/>
        </w:rPr>
        <w:t xml:space="preserve">Questo assetto rimase in vigore fino alla legge 9 luglio 1990 numero centottantacinque.</w:t>
      </w:r>
    </w:p>
    <w:p>
      <w:pPr>
        <w:spacing w:after="120" w:line="276"/>
        <w:jc w:val="both"/>
      </w:pPr>
      <w:r>
        <w:rPr>
          <w:rFonts w:ascii="Barlow Semi Condensed" w:cs="Barlow Semi Condensed" w:eastAsia="Barlow Semi Condensed" w:hAnsi="Barlow Semi Condensed"/>
          <w:sz w:val="24"/>
          <w:szCs w:val="24"/>
        </w:rPr>
        <w:t xml:space="preserve">Ne discendono tre conseguenze che vanno enunciate una per una.</w:t>
      </w:r>
    </w:p>
    <w:p>
      <w:pPr>
        <w:spacing w:after="120" w:line="276"/>
        <w:jc w:val="both"/>
      </w:pPr>
      <w:r>
        <w:rPr>
          <w:rFonts w:ascii="Barlow Semi Condensed" w:cs="Barlow Semi Condensed" w:eastAsia="Barlow Semi Condensed" w:hAnsi="Barlow Semi Condensed"/>
          <w:sz w:val="24"/>
          <w:szCs w:val="24"/>
        </w:rPr>
        <w:t xml:space="preserve">Prima: nel periodo di Moro non esistevano il comitato interministeriale per gli scambi di materiali di armamento, né l'unità autorizzativa della Farnesina, né il potere di veto o consultivo formalizzato del Ministro degli esteri. Sono tutte istituzioni create dalla legge del 1990.</w:t>
      </w:r>
    </w:p>
    <w:p>
      <w:pPr>
        <w:spacing w:after="120" w:line="276"/>
        <w:jc w:val="both"/>
      </w:pPr>
      <w:r>
        <w:rPr>
          <w:rFonts w:ascii="Barlow Semi Condensed" w:cs="Barlow Semi Condensed" w:eastAsia="Barlow Semi Condensed" w:hAnsi="Barlow Semi Condensed"/>
          <w:sz w:val="24"/>
          <w:szCs w:val="24"/>
        </w:rPr>
        <w:t xml:space="preserve">Seconda, e decisiva: la concessione all'estero di licenze industriali di produzione — la fattispecie propria del caso Aermacchi-Atlas — non era espressamente disciplinata come tale. La disciplina organica della cessione all'estero delle licenze di produzione comparve solo con l'articolo tredici della legge centottantacinque del 1990, che la sottopose ad autorizzazione del Ministro degli affari esteri di concerto con quello delle finanze.</w:t>
      </w:r>
    </w:p>
    <w:p>
      <w:pPr>
        <w:spacing w:after="120" w:line="276"/>
        <w:jc w:val="both"/>
      </w:pPr>
      <w:r>
        <w:rPr>
          <w:rFonts w:ascii="Barlow Semi Condensed" w:cs="Barlow Semi Condensed" w:eastAsia="Barlow Semi Condensed" w:hAnsi="Barlow Semi Condensed"/>
          <w:sz w:val="24"/>
          <w:szCs w:val="24"/>
        </w:rPr>
        <w:t xml:space="preserve">Terza: la storiografia specializzata qualifica il regime anteriore senza ambiguità. Fino al 1990 l'industria italiana degli armamenti fu sostanzialmente libera di esportare, senza una legge che ne subordinasse le vendite alla situazione dei diritti umani nei Paesi destinatari, e la politica delle esportazioni era improntata a criteri prevalentemente commerciali.</w:t>
      </w:r>
    </w:p>
    <w:p>
      <w:pPr>
        <w:spacing w:after="120" w:line="276"/>
        <w:jc w:val="both"/>
      </w:pPr>
      <w:r>
        <w:rPr>
          <w:rFonts w:ascii="Barlow Semi Condensed" w:cs="Barlow Semi Condensed" w:eastAsia="Barlow Semi Condensed" w:hAnsi="Barlow Semi Condensed"/>
          <w:sz w:val="24"/>
          <w:szCs w:val="24"/>
        </w:rPr>
        <w:t xml:space="preserve">E adesso la conseguenza metodologica, che è il contributo di questo documento al sistema di gradazione degli Stati Zero.</w:t>
      </w:r>
    </w:p>
    <w:p>
      <w:pPr>
        <w:spacing w:after="120" w:line="276"/>
        <w:jc w:val="both"/>
      </w:pPr>
      <w:r>
        <w:rPr>
          <w:rFonts w:ascii="Barlow Semi Condensed" w:cs="Barlow Semi Condensed" w:eastAsia="Barlow Semi Condensed" w:hAnsi="Barlow Semi Condensed"/>
          <w:sz w:val="24"/>
          <w:szCs w:val="24"/>
        </w:rPr>
        <w:t xml:space="preserve">Quando si cerca la traccia dell'azione governativa sulla licenza Aermacchi, non la si deve cercare nelle forme procedurali che esisteranno solo dopo il 1990.</w:t>
      </w:r>
    </w:p>
    <w:p>
      <w:pPr>
        <w:spacing w:after="120" w:line="276"/>
        <w:jc w:val="both"/>
      </w:pPr>
      <w:r>
        <w:rPr>
          <w:rFonts w:ascii="Barlow Semi Condensed" w:cs="Barlow Semi Condensed" w:eastAsia="Barlow Semi Condensed" w:hAnsi="Barlow Semi Condensed"/>
          <w:sz w:val="24"/>
          <w:szCs w:val="24"/>
        </w:rPr>
        <w:t xml:space="preserve">Nel periodo di Moro non vi era un atto tipico di autorizzazione o di revoca di una licenza di produzione all'estero, perché la fattispecie non era tipizzata.</w:t>
      </w:r>
    </w:p>
    <w:p>
      <w:pPr>
        <w:spacing w:after="120" w:line="276"/>
        <w:jc w:val="both"/>
      </w:pPr>
      <w:r>
        <w:rPr>
          <w:rFonts w:ascii="Barlow Semi Condensed" w:cs="Barlow Semi Condensed" w:eastAsia="Barlow Semi Condensed" w:hAnsi="Barlow Semi Condensed"/>
          <w:sz w:val="24"/>
          <w:szCs w:val="24"/>
        </w:rPr>
        <w:t xml:space="preserve">Ne discende che l'atto non è documentato non perché sia stato occultato, ma perché nell'ordinamento del tempo esso non esisteva come atto.</w:t>
      </w:r>
    </w:p>
    <w:p>
      <w:pPr>
        <w:spacing w:after="120" w:line="276"/>
        <w:jc w:val="both"/>
      </w:pPr>
      <w:r>
        <w:rPr>
          <w:rFonts w:ascii="Barlow Semi Condensed" w:cs="Barlow Semi Condensed" w:eastAsia="Barlow Semi Condensed" w:hAnsi="Barlow Semi Condensed"/>
          <w:sz w:val="24"/>
          <w:szCs w:val="24"/>
        </w:rPr>
        <w:t xml:space="preserve">Il sistema del corpus conta sette gradi, e la tredicesima ricognizione ne ha aggiunto un ottavo, il falso positivo. Tutti e otto presuppongono che l'informazione o esista e sia inaccessibile, o non esista perché il fatto non avvenne.</w:t>
      </w:r>
    </w:p>
    <w:p>
      <w:pPr>
        <w:spacing w:after="120" w:line="276"/>
        <w:jc w:val="both"/>
      </w:pPr>
      <w:r>
        <w:rPr>
          <w:rFonts w:ascii="Barlow Semi Condensed" w:cs="Barlow Semi Condensed" w:eastAsia="Barlow Semi Condensed" w:hAnsi="Barlow Semi Condensed"/>
          <w:sz w:val="24"/>
          <w:szCs w:val="24"/>
        </w:rPr>
        <w:t xml:space="preserve">Qui il fatto avvenne e non produsse documento, perché l'ordinamento non lo richiedeva.</w:t>
      </w:r>
    </w:p>
    <w:p>
      <w:pPr>
        <w:spacing w:after="120" w:line="276"/>
        <w:jc w:val="both"/>
      </w:pPr>
      <w:r>
        <w:rPr>
          <w:rFonts w:ascii="Barlow Semi Condensed" w:cs="Barlow Semi Condensed" w:eastAsia="Barlow Semi Condensed" w:hAnsi="Barlow Semi Condensed"/>
          <w:sz w:val="24"/>
          <w:szCs w:val="24"/>
        </w:rPr>
        <w:t xml:space="preserve">Propongo un nono grado, e lo denomino l'atto atipico.</w:t>
      </w:r>
    </w:p>
    <w:p>
      <w:pPr>
        <w:spacing w:after="120" w:line="276"/>
        <w:jc w:val="both"/>
      </w:pPr>
      <w:r>
        <w:rPr>
          <w:rFonts w:ascii="Barlow Semi Condensed" w:cs="Barlow Semi Condensed" w:eastAsia="Barlow Semi Condensed" w:hAnsi="Barlow Semi Condensed"/>
          <w:sz w:val="24"/>
          <w:szCs w:val="24"/>
        </w:rPr>
        <w:t xml:space="preserve">Definizione: una condotta dello Stato non lascia traccia documentale perché il diritto vigente al momento non la configurava come atto giuridico tipico, e dunque non ne prescriveva la forma, la motivazione né la registrazione.</w:t>
      </w:r>
    </w:p>
    <w:p>
      <w:pPr>
        <w:spacing w:after="120" w:line="276"/>
        <w:jc w:val="both"/>
      </w:pPr>
      <w:r>
        <w:rPr>
          <w:rFonts w:ascii="Barlow Semi Condensed" w:cs="Barlow Semi Condensed" w:eastAsia="Barlow Semi Condensed" w:hAnsi="Barlow Semi Condensed"/>
          <w:sz w:val="24"/>
          <w:szCs w:val="24"/>
        </w:rPr>
        <w:t xml:space="preserve">La proprietà che lo distingue dagli altri otto: non è rimediabile con l'apertura di un archivio, perché non vi è nulla da aprire. È rimediabile soltanto per via indiretta — corrispondenza aziendale, carte ministeriali informali, atti parlamentari — e con la consapevolezza che l'assenza è strutturale e non colposa.</w:t>
      </w:r>
    </w:p>
    <w:p>
      <w:pPr>
        <w:pStyle w:val="Heading2"/>
        <w:spacing w:after="100" w:before="200"/>
      </w:pPr>
      <w:r>
        <w:rPr>
          <w:rFonts w:ascii="Barlow Semi Condensed" w:cs="Barlow Semi Condensed" w:eastAsia="Barlow Semi Condensed" w:hAnsi="Barlow Semi Condensed"/>
          <w:sz w:val="24"/>
          <w:szCs w:val="24"/>
        </w:rPr>
        <w:t xml:space="preserve">Capitolo settimo — Le due lettere alle Nazioni Unite e l'operaio di Varese</w:t>
      </w:r>
    </w:p>
    <w:p>
      <w:pPr>
        <w:spacing w:after="120" w:line="276"/>
        <w:jc w:val="both"/>
      </w:pPr>
      <w:r>
        <w:rPr>
          <w:rFonts w:ascii="Barlow Semi Condensed" w:cs="Barlow Semi Condensed" w:eastAsia="Barlow Semi Condensed" w:hAnsi="Barlow Semi Condensed"/>
          <w:sz w:val="24"/>
          <w:szCs w:val="24"/>
        </w:rPr>
        <w:t xml:space="preserve">Il capitolo espone la sola traccia reperita di un'azione italiana specificamente riferita alla questione, e la fonte che la mise in moto.</w:t>
      </w:r>
    </w:p>
    <w:p>
      <w:pPr>
        <w:spacing w:after="120" w:line="276"/>
        <w:jc w:val="both"/>
      </w:pPr>
      <w:r>
        <w:rPr>
          <w:rFonts w:ascii="Barlow Semi Condensed" w:cs="Barlow Semi Condensed" w:eastAsia="Barlow Semi Condensed" w:hAnsi="Barlow Semi Condensed"/>
          <w:sz w:val="24"/>
          <w:szCs w:val="24"/>
        </w:rPr>
        <w:t xml:space="preserve">La questione fu sollevata in sede internazionale, e l'Italia rispose formalmente due volte, a dieci anni di distanza.</w:t>
      </w:r>
    </w:p>
    <w:p>
      <w:pPr>
        <w:spacing w:after="120" w:line="276"/>
        <w:jc w:val="both"/>
      </w:pPr>
      <w:r>
        <w:rPr>
          <w:rFonts w:ascii="Barlow Semi Condensed" w:cs="Barlow Semi Condensed" w:eastAsia="Barlow Semi Condensed" w:hAnsi="Barlow Semi Condensed"/>
          <w:sz w:val="24"/>
          <w:szCs w:val="24"/>
        </w:rPr>
        <w:t xml:space="preserve">Prima lettera. Documento S/9640 del 6 febbraio 1970, indirizzato al Presidente del Consiglio di Sicurezza, con cui l'Italia confutava l'affermazione dello Zambia secondo cui essa avrebbe rifiutato di imporre un divieto alla vendita di armi al Sudafrica.</w:t>
      </w:r>
    </w:p>
    <w:p>
      <w:pPr>
        <w:spacing w:after="120" w:line="276"/>
        <w:jc w:val="both"/>
      </w:pPr>
      <w:r>
        <w:rPr>
          <w:rFonts w:ascii="Barlow Semi Condensed" w:cs="Barlow Semi Condensed" w:eastAsia="Barlow Semi Condensed" w:hAnsi="Barlow Semi Condensed"/>
          <w:sz w:val="24"/>
          <w:szCs w:val="24"/>
        </w:rPr>
        <w:t xml:space="preserve">Va notata la data: febbraio 1970, sei mesi dopo l'insediamento di Moro alla Farnesina. L'accusa era già stata mossa allora.</w:t>
      </w:r>
    </w:p>
    <w:p>
      <w:pPr>
        <w:spacing w:after="120" w:line="276"/>
        <w:jc w:val="both"/>
      </w:pPr>
      <w:r>
        <w:rPr>
          <w:rFonts w:ascii="Barlow Semi Condensed" w:cs="Barlow Semi Condensed" w:eastAsia="Barlow Semi Condensed" w:hAnsi="Barlow Semi Condensed"/>
          <w:sz w:val="24"/>
          <w:szCs w:val="24"/>
        </w:rPr>
        <w:t xml:space="preserve">Seconda lettera. Documento S/AC.20/27 del 27 giugno 1980, con cui il Rappresentante permanente italiano negava le accuse di violazione dell'embargo formulate da Abdul Minty nella dichiarazione registrata come S/AC.20/SR.25 dinanzi al Comitato del Consiglio di Sicurezza istituito dalla risoluzione quattrocentoventuno del 1977.</w:t>
      </w:r>
    </w:p>
    <w:p>
      <w:pPr>
        <w:spacing w:after="120" w:line="276"/>
        <w:jc w:val="both"/>
      </w:pPr>
      <w:r>
        <w:rPr>
          <w:rFonts w:ascii="Barlow Semi Condensed" w:cs="Barlow Semi Condensed" w:eastAsia="Barlow Semi Condensed" w:hAnsi="Barlow Semi Condensed"/>
          <w:sz w:val="24"/>
          <w:szCs w:val="24"/>
        </w:rPr>
        <w:t xml:space="preserve">Il testo integrale di entrambe le lettere e della dichiarazione di Minty non è stato reperito, e va cercato presso la Biblioteca digitale delle Nazioni Unite e negli atti del Comitato. È l'acquisizione a più basso costo e più rapido rendimento dell'intera tavola.</w:t>
      </w:r>
    </w:p>
    <w:p>
      <w:pPr>
        <w:spacing w:after="120" w:line="276"/>
        <w:jc w:val="both"/>
      </w:pPr>
      <w:r>
        <w:rPr>
          <w:rFonts w:ascii="Barlow Semi Condensed" w:cs="Barlow Semi Condensed" w:eastAsia="Barlow Semi Condensed" w:hAnsi="Barlow Semi Condensed"/>
          <w:sz w:val="24"/>
          <w:szCs w:val="24"/>
        </w:rPr>
        <w:t xml:space="preserve">Ma la sola esistenza delle due lettere è già un accertamento: la questione della complicità italiana con l'apparato militare sudafricano fu sollevata due volte in sede internazionale, e l'Italia vi rispose negando.</w:t>
      </w:r>
    </w:p>
    <w:p>
      <w:pPr>
        <w:spacing w:after="120" w:line="276"/>
        <w:jc w:val="both"/>
      </w:pPr>
      <w:r>
        <w:rPr>
          <w:rFonts w:ascii="Barlow Semi Condensed" w:cs="Barlow Semi Condensed" w:eastAsia="Barlow Semi Condensed" w:hAnsi="Barlow Semi Condensed"/>
          <w:sz w:val="24"/>
          <w:szCs w:val="24"/>
        </w:rPr>
        <w:t xml:space="preserve">E adesso la fonte che mise in moto la seconda.</w:t>
      </w:r>
    </w:p>
    <w:p>
      <w:pPr>
        <w:spacing w:after="120" w:line="276"/>
        <w:jc w:val="both"/>
      </w:pPr>
      <w:r>
        <w:rPr>
          <w:rFonts w:ascii="Barlow Semi Condensed" w:cs="Barlow Semi Condensed" w:eastAsia="Barlow Semi Condensed" w:hAnsi="Barlow Semi Condensed"/>
          <w:sz w:val="24"/>
          <w:szCs w:val="24"/>
        </w:rPr>
        <w:t xml:space="preserve">Elio Pagani, operaio dell'Aermacchi e obiettore di coscienza, testimoniò che l'Aermacchi avrebbe consegnato velivoli alla South African Air Force nel gennaio 1980. La campagna nata da tale denuncia, rilanciata nel marzo 1988 attraverso un settimanale cattolico, sarebbe stata fra i fattori che condussero alla legge centottantacinque del 1990.</w:t>
      </w:r>
    </w:p>
    <w:p>
      <w:pPr>
        <w:spacing w:after="120" w:line="276"/>
        <w:jc w:val="both"/>
      </w:pPr>
      <w:r>
        <w:rPr>
          <w:rFonts w:ascii="Barlow Semi Condensed" w:cs="Barlow Semi Condensed" w:eastAsia="Barlow Semi Condensed" w:hAnsi="Barlow Semi Condensed"/>
          <w:sz w:val="24"/>
          <w:szCs w:val="24"/>
        </w:rPr>
        <w:t xml:space="preserve">Lo statuto della fonte va dichiarato: è testimonianza di protagonista e pubblicistica militante, non fonte primaria d'archivio. E le consegne cui si riferisce sono del 1980, fuori dal perimetro dei mandati di Moro.</w:t>
      </w:r>
    </w:p>
    <w:p>
      <w:pPr>
        <w:spacing w:after="120" w:line="276"/>
        <w:jc w:val="both"/>
      </w:pPr>
      <w:r>
        <w:rPr>
          <w:rFonts w:ascii="Barlow Semi Condensed" w:cs="Barlow Semi Condensed" w:eastAsia="Barlow Semi Condensed" w:hAnsi="Barlow Semi Condensed"/>
          <w:sz w:val="24"/>
          <w:szCs w:val="24"/>
        </w:rPr>
        <w:t xml:space="preserve">Va dunque registrata come indizio della continuità del canale industriale oltre il 1976, non come prova di una condotta governativa del periodo in esame.</w:t>
      </w:r>
    </w:p>
    <w:p>
      <w:pPr>
        <w:spacing w:after="120" w:line="276"/>
        <w:jc w:val="both"/>
      </w:pPr>
      <w:r>
        <w:rPr>
          <w:rFonts w:ascii="Barlow Semi Condensed" w:cs="Barlow Semi Condensed" w:eastAsia="Barlow Semi Condensed" w:hAnsi="Barlow Semi Condensed"/>
          <w:sz w:val="24"/>
          <w:szCs w:val="24"/>
        </w:rPr>
        <w:t xml:space="preserve">Ma vi è in questa vicenda una circolarità che merita di essere enunciata, ed è, secondo me, il fatto più notevole dell'intero documento.</w:t>
      </w:r>
    </w:p>
    <w:p>
      <w:pPr>
        <w:spacing w:after="120" w:line="276"/>
        <w:jc w:val="both"/>
      </w:pPr>
      <w:r>
        <w:rPr>
          <w:rFonts w:ascii="Barlow Semi Condensed" w:cs="Barlow Semi Condensed" w:eastAsia="Barlow Semi Condensed" w:hAnsi="Barlow Semi Condensed"/>
          <w:sz w:val="24"/>
          <w:szCs w:val="24"/>
        </w:rPr>
        <w:t xml:space="preserve">Il Capitolo sesto ha stabilito che l'atto non è documentato perché l'ordinamento non lo tipizzava.</w:t>
      </w:r>
    </w:p>
    <w:p>
      <w:pPr>
        <w:spacing w:after="120" w:line="276"/>
        <w:jc w:val="both"/>
      </w:pPr>
      <w:r>
        <w:rPr>
          <w:rFonts w:ascii="Barlow Semi Condensed" w:cs="Barlow Semi Condensed" w:eastAsia="Barlow Semi Condensed" w:hAnsi="Barlow Semi Condensed"/>
          <w:sz w:val="24"/>
          <w:szCs w:val="24"/>
        </w:rPr>
        <w:t xml:space="preserve">Questo capitolo stabilisce che la legge che avrebbe tipizzato quell'atto — la centottantacinque del 1990 — fu prodotta anche dalla denuncia di un operaio dello stabilimento che quegli aerei costruiva.</w:t>
      </w:r>
    </w:p>
    <w:p>
      <w:pPr>
        <w:spacing w:after="120" w:line="276"/>
        <w:jc w:val="both"/>
      </w:pPr>
      <w:r>
        <w:rPr>
          <w:rFonts w:ascii="Barlow Semi Condensed" w:cs="Barlow Semi Condensed" w:eastAsia="Barlow Semi Condensed" w:hAnsi="Barlow Semi Condensed"/>
          <w:sz w:val="24"/>
          <w:szCs w:val="24"/>
        </w:rPr>
        <w:t xml:space="preserve">L'assenza di documentazione non era dunque un dato di natura. Era una proprietà di un ordinamento, e quell'ordinamento fu cambiato dal basso.</w:t>
      </w:r>
    </w:p>
    <w:p>
      <w:pPr>
        <w:pStyle w:val="Heading2"/>
        <w:spacing w:after="100" w:before="200"/>
      </w:pPr>
      <w:r>
        <w:rPr>
          <w:rFonts w:ascii="Barlow Semi Condensed" w:cs="Barlow Semi Condensed" w:eastAsia="Barlow Semi Condensed" w:hAnsi="Barlow Semi Condensed"/>
          <w:sz w:val="24"/>
          <w:szCs w:val="24"/>
        </w:rPr>
        <w:t xml:space="preserve">Capitolo ottavo — L'apparato competente, e dove si è cercato</w:t>
      </w:r>
    </w:p>
    <w:p>
      <w:pPr>
        <w:spacing w:after="120" w:line="276"/>
        <w:jc w:val="both"/>
      </w:pPr>
      <w:r>
        <w:rPr>
          <w:rFonts w:ascii="Barlow Semi Condensed" w:cs="Barlow Semi Condensed" w:eastAsia="Barlow Semi Condensed" w:hAnsi="Barlow Semi Condensed"/>
          <w:sz w:val="24"/>
          <w:szCs w:val="24"/>
        </w:rPr>
        <w:t xml:space="preserve">Il capitolo esegue la prescrizione: identificare l'apparato competente e dichiarare se vi si sia cercato.</w:t>
      </w:r>
    </w:p>
    <w:p>
      <w:pPr>
        <w:spacing w:after="120" w:line="276"/>
        <w:jc w:val="both"/>
      </w:pPr>
      <w:r>
        <w:rPr>
          <w:rFonts w:ascii="Barlow Semi Condensed" w:cs="Barlow Semi Condensed" w:eastAsia="Barlow Semi Condensed" w:hAnsi="Barlow Semi Condensed"/>
          <w:sz w:val="24"/>
          <w:szCs w:val="24"/>
        </w:rPr>
        <w:t xml:space="preserve">Il Ministero degli Affari Esteri. Aveva competenza sulla politica estera complessiva e, nel regime anteriore al 1990, non un potere formalizzato di autorizzazione ma un ruolo di indirizzo politico generale. La sede naturale di verifica è la serie Sudafrica 1969-1976 dell'Archivio Storico Diplomatico. La ricognizione non ha potuto accedervi fisicamente e dichiara la verifica come da compiere in loco.</w:t>
      </w:r>
    </w:p>
    <w:p>
      <w:pPr>
        <w:spacing w:after="120" w:line="276"/>
        <w:jc w:val="both"/>
      </w:pPr>
      <w:r>
        <w:rPr>
          <w:rFonts w:ascii="Barlow Semi Condensed" w:cs="Barlow Semi Condensed" w:eastAsia="Barlow Semi Condensed" w:hAnsi="Barlow Semi Condensed"/>
          <w:sz w:val="24"/>
          <w:szCs w:val="24"/>
        </w:rPr>
        <w:t xml:space="preserve">Ciò che si è accertato per via documentale è che la rappresentanza permanente presso le Nazioni Unite intervenne due volte, come esposto al capitolo precedente. Questo è azione della Farnesina, ancorché difensiva e in sede multilaterale.</w:t>
      </w:r>
    </w:p>
    <w:p>
      <w:pPr>
        <w:spacing w:after="120" w:line="276"/>
        <w:jc w:val="both"/>
      </w:pPr>
      <w:r>
        <w:rPr>
          <w:rFonts w:ascii="Barlow Semi Condensed" w:cs="Barlow Semi Condensed" w:eastAsia="Barlow Semi Condensed" w:hAnsi="Barlow Semi Condensed"/>
          <w:sz w:val="24"/>
          <w:szCs w:val="24"/>
        </w:rPr>
        <w:t xml:space="preserve">Il Ministero della Difesa. Aveva competenza tecnica sulle armi da guerra e concorreva, nella prassi del regime anteriore, alla gestione delle autorizzazioni. Sede: i suoi archivi e quelli dello Stato Maggiore dell'Aeronautica. Verifica da compiere.</w:t>
      </w:r>
    </w:p>
    <w:p>
      <w:pPr>
        <w:spacing w:after="120" w:line="276"/>
        <w:jc w:val="both"/>
      </w:pPr>
      <w:r>
        <w:rPr>
          <w:rFonts w:ascii="Barlow Semi Condensed" w:cs="Barlow Semi Condensed" w:eastAsia="Barlow Semi Condensed" w:hAnsi="Barlow Semi Condensed"/>
          <w:sz w:val="24"/>
          <w:szCs w:val="24"/>
        </w:rPr>
        <w:t xml:space="preserve">Il Ministero del Commercio con l'Estero.\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Competenza sulle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autorizzazioni valutarie e commerciali all'esportazione. Verifica da compiere.</w:t>
      </w:r>
    </w:p>
    <w:p>
      <w:pPr>
        <w:spacing w:after="120" w:line="276"/>
        <w:jc w:val="both"/>
      </w:pPr>
      <w:r>
        <w:rPr>
          <w:rFonts w:ascii="Barlow Semi Condensed" w:cs="Barlow Semi Condensed" w:eastAsia="Barlow Semi Condensed" w:hAnsi="Barlow Semi Condensed"/>
          <w:sz w:val="24"/>
          <w:szCs w:val="24"/>
        </w:rPr>
        <w:t xml:space="preserve">Il Ministero delle Partecipazioni Statali.\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Esercitava la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vigilanza sul sistema delle imprese pubbliche. Verifica da compiere.</w:t>
      </w:r>
    </w:p>
    <w:p>
      <w:pPr>
        <w:spacing w:after="120" w:line="276"/>
        <w:jc w:val="both"/>
      </w:pPr>
      <w:r>
        <w:rPr>
          <w:rFonts w:ascii="Barlow Semi Condensed" w:cs="Barlow Semi Condensed" w:eastAsia="Barlow Semi Condensed" w:hAnsi="Barlow Semi Condensed"/>
          <w:sz w:val="24"/>
          <w:szCs w:val="24"/>
        </w:rPr>
        <w:t xml:space="preserve">L'Istituto per la Ricostruzione Industriale. Controllava, attraverso la Finmeccanica, il comparto aeronautico a partecipazione statale. Va peraltro verificato l'esatto assetto proprietario dell'Aermacchi nel periodo, poiché l'azienda ebbe storia societaria complessa e non fu sempre e integralmente pubblica. Sede: Archivio storico dell'IRI presso l'Archivio Centrale dello Stato e archivio storico di Finmeccanica-Leonardo.</w:t>
      </w:r>
    </w:p>
    <w:p>
      <w:pPr>
        <w:spacing w:after="120" w:line="276"/>
        <w:jc w:val="both"/>
      </w:pPr>
      <w:r>
        <w:rPr>
          <w:rFonts w:ascii="Barlow Semi Condensed" w:cs="Barlow Semi Condensed" w:eastAsia="Barlow Semi Condensed" w:hAnsi="Barlow Semi Condensed"/>
          <w:sz w:val="24"/>
          <w:szCs w:val="24"/>
        </w:rPr>
        <w:t xml:space="preserve">L'esito, formulato secondo la prescrizione.\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stata trovata, nelle fonti accessibili per via telematica, traccia di un atto specifico relativo alla licenza Aermacchi-Atlas presso alcuno di questi apparati.</w:t>
      </w:r>
    </w:p>
    <w:p>
      <w:pPr>
        <w:spacing w:after="120" w:line="276"/>
        <w:jc w:val="both"/>
      </w:pPr>
      <w:r>
        <w:rPr>
          <w:rFonts w:ascii="Barlow Semi Condensed" w:cs="Barlow Semi Condensed" w:eastAsia="Barlow Semi Condensed" w:hAnsi="Barlow Semi Condensed"/>
          <w:sz w:val="24"/>
          <w:szCs w:val="24"/>
        </w:rPr>
        <w:t xml:space="preserve">Ma la conclusione metodologicamente corretta non è che il governo italiano non fece nulla.</w:t>
      </w:r>
    </w:p>
    <w:p>
      <w:pPr>
        <w:spacing w:after="120" w:line="276"/>
        <w:jc w:val="both"/>
      </w:pPr>
      <w:r>
        <w:rPr>
          <w:rFonts w:ascii="Barlow Semi Condensed" w:cs="Barlow Semi Condensed" w:eastAsia="Barlow Semi Condensed" w:hAnsi="Barlow Semi Condensed"/>
          <w:sz w:val="24"/>
          <w:szCs w:val="24"/>
        </w:rPr>
        <w:t xml:space="preserve">È che l'apparato competente è stato identificato — nel regime del millenovecentoquarantuno esso era la costellazione fra pubblica sicurezza, Difesa e amministrazioni economiche, sotto il segreto di Stato — e che la traccia della sua azione o inazione non è stata reperita presso le sedi archivistiche competenti, che restano da consultare fisicamente.</w:t>
      </w:r>
    </w:p>
    <w:p>
      <w:pPr>
        <w:spacing w:after="120" w:line="276"/>
        <w:jc w:val="both"/>
      </w:pPr>
      <w:r>
        <w:rPr>
          <w:rFonts w:ascii="Barlow Semi Condensed" w:cs="Barlow Semi Condensed" w:eastAsia="Barlow Semi Condensed" w:hAnsi="Barlow Semi Condensed"/>
          <w:sz w:val="24"/>
          <w:szCs w:val="24"/>
        </w:rPr>
        <w:t xml:space="preserve">E si aggiunga il rilievo del Capitolo sesto, che rende questa conclusione ancora più cauta: presso quelle sedi potrebbe non esservi nulla da trovare, non per occultamento ma perché l'atto non era tipizzato.</w:t>
      </w:r>
    </w:p>
    <w:p>
      <w:pPr>
        <w:spacing w:after="120" w:line="276"/>
        <w:jc w:val="both"/>
      </w:pPr>
      <w:r>
        <w:rPr>
          <w:rFonts w:ascii="Barlow Semi Condensed" w:cs="Barlow Semi Condensed" w:eastAsia="Barlow Semi Condensed" w:hAnsi="Barlow Semi Condensed"/>
          <w:sz w:val="24"/>
          <w:szCs w:val="24"/>
        </w:rPr>
        <w:t xml:space="preserve">Ne discende che questo è, allo stato, il perimetro in cui la distinzione fra assenza di azione, inaccessibilità dell'archivio e atipicità dell'atto è la più difficile da sciogliere di tutta la serie.</w:t>
      </w:r>
    </w:p>
    <w:p>
      <w:pPr>
        <w:pStyle w:val="Heading2"/>
        <w:spacing w:after="100" w:before="200"/>
      </w:pPr>
      <w:r>
        <w:rPr>
          <w:rFonts w:ascii="Barlow Semi Condensed" w:cs="Barlow Semi Condensed" w:eastAsia="Barlow Semi Condensed" w:hAnsi="Barlow Semi Condensed"/>
          <w:sz w:val="24"/>
          <w:szCs w:val="24"/>
        </w:rPr>
        <w:t xml:space="preserve">Capitolo nono — Gli interessi economici e il confronto con lo schema libico</w:t>
      </w:r>
    </w:p>
    <w:p>
      <w:pPr>
        <w:spacing w:after="120" w:line="276"/>
        <w:jc w:val="both"/>
      </w:pPr>
      <w:r>
        <w:rPr>
          <w:rFonts w:ascii="Barlow Semi Condensed" w:cs="Barlow Semi Condensed" w:eastAsia="Barlow Semi Condensed" w:hAnsi="Barlow Semi Condensed"/>
          <w:sz w:val="24"/>
          <w:szCs w:val="24"/>
        </w:rPr>
        <w:t xml:space="preserve">Il capitolo verifica se lo schema accertato per la Libia si applichi, e risponde di no in forma documentata e di forse in forma strutturale.</w:t>
      </w:r>
    </w:p>
    <w:p>
      <w:pPr>
        <w:spacing w:after="120" w:line="276"/>
        <w:jc w:val="both"/>
      </w:pPr>
      <w:r>
        <w:rPr>
          <w:rFonts w:ascii="Barlow Semi Condensed" w:cs="Barlow Semi Condensed" w:eastAsia="Barlow Semi Condensed" w:hAnsi="Barlow Semi Condensed"/>
          <w:sz w:val="24"/>
          <w:szCs w:val="24"/>
        </w:rPr>
        <w:t xml:space="preserve">Lo schema libico, per come la quattordicesima ricognizione lo ha accertato. In Libia la tutela della posizione dell'ENI condizionò la rinuncia dell'Italia alle ritorsioni dopo la confisca dei beni di ventimila cittadini italiani.</w:t>
      </w:r>
    </w:p>
    <w:p>
      <w:pPr>
        <w:spacing w:after="120" w:line="276"/>
        <w:jc w:val="both"/>
      </w:pPr>
      <w:r>
        <w:rPr>
          <w:rFonts w:ascii="Barlow Semi Condensed" w:cs="Barlow Semi Condensed" w:eastAsia="Barlow Semi Condensed" w:hAnsi="Barlow Semi Condensed"/>
          <w:sz w:val="24"/>
          <w:szCs w:val="24"/>
        </w:rPr>
        <w:t xml:space="preserve">La verifica sul caso sudafricano dà esito diverso, e va enunciato senza forzature.</w:t>
      </w:r>
    </w:p>
    <w:p>
      <w:pPr>
        <w:spacing w:after="120" w:line="276"/>
        <w:jc w:val="both"/>
      </w:pPr>
      <w:r>
        <w:rPr>
          <w:rFonts w:ascii="Barlow Semi Condensed" w:cs="Barlow Semi Condensed" w:eastAsia="Barlow Semi Condensed" w:hAnsi="Barlow Semi Condensed"/>
          <w:sz w:val="24"/>
          <w:szCs w:val="24"/>
        </w:rPr>
        <w:t xml:space="preserve">Sul piano strutturale, il Sudafrica era per l'Italia fornitore di materie prime e mercato di sbocco. Le fonti attestano che il carbone italiano è in larga parte importato e che il Sudafrica figura fra i principali Paesi di origine; e che il Sudafrica è grande produttore mondiale di oro, platino, cromo e manganese, di cui l'Italia è importatrice.</w:t>
      </w:r>
    </w:p>
    <w:p>
      <w:pPr>
        <w:spacing w:after="120" w:line="276"/>
        <w:jc w:val="both"/>
      </w:pPr>
      <w:r>
        <w:rPr>
          <w:rFonts w:ascii="Barlow Semi Condensed" w:cs="Barlow Semi Condensed" w:eastAsia="Barlow Semi Condensed" w:hAnsi="Barlow Semi Condensed"/>
          <w:sz w:val="24"/>
          <w:szCs w:val="24"/>
        </w:rPr>
        <w:t xml:space="preserve">Ma non è stato reperito un accordo commerciale bilaterale specifico del periodo, né traccia di un ruolo dell'ENI in Sudafrica paragonabile a quello libico.\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 fonti sul ruolo africano dell'ENI lo collocano in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Angola, Congo e Nigeria.</w:t>
      </w:r>
    </w:p>
    <w:p>
      <w:pPr>
        <w:spacing w:after="120" w:line="276"/>
        <w:jc w:val="both"/>
      </w:pPr>
      <w:r>
        <w:rPr>
          <w:rFonts w:ascii="Barlow Semi Condensed" w:cs="Barlow Semi Condensed" w:eastAsia="Barlow Semi Condensed" w:hAnsi="Barlow Semi Condensed"/>
          <w:sz w:val="24"/>
          <w:szCs w:val="24"/>
        </w:rPr>
        <w:t xml:space="preserve">E vi è una ragione strutturale che spiega l'assenza: il Sudafrica non era Paese produttore di idrocarburi ma, al contrario, cronicamente dipendente dalle importazioni di greggio, e perciò bersaglio degli embarghi petroliferi anziché posta petrolifera.</w:t>
      </w:r>
    </w:p>
    <w:p>
      <w:pPr>
        <w:spacing w:after="120" w:line="276"/>
        <w:jc w:val="both"/>
      </w:pPr>
      <w:r>
        <w:rPr>
          <w:rFonts w:ascii="Barlow Semi Condensed" w:cs="Barlow Semi Condensed" w:eastAsia="Barlow Semi Condensed" w:hAnsi="Barlow Semi Condensed"/>
          <w:sz w:val="24"/>
          <w:szCs w:val="24"/>
        </w:rPr>
        <w:t xml:space="preserve">Ne discende che lo schema libico non trova nel caso sudafricano una conferma documentale diretta: non vi era un interesse italiano di approvvigionamento di consistenza comparabile.</w:t>
      </w:r>
    </w:p>
    <w:p>
      <w:pPr>
        <w:spacing w:after="120" w:line="276"/>
        <w:jc w:val="both"/>
      </w:pPr>
      <w:r>
        <w:rPr>
          <w:rFonts w:ascii="Barlow Semi Condensed" w:cs="Barlow Semi Condensed" w:eastAsia="Barlow Semi Condensed" w:hAnsi="Barlow Semi Condensed"/>
          <w:sz w:val="24"/>
          <w:szCs w:val="24"/>
        </w:rPr>
        <w:t xml:space="preserve">Ma vi è un interesse di natura diversa, e va nominato.</w:t>
      </w:r>
    </w:p>
    <w:p>
      <w:pPr>
        <w:spacing w:after="120" w:line="276"/>
        <w:jc w:val="both"/>
      </w:pPr>
      <w:r>
        <w:rPr>
          <w:rFonts w:ascii="Barlow Semi Condensed" w:cs="Barlow Semi Condensed" w:eastAsia="Barlow Semi Condensed" w:hAnsi="Barlow Semi Condensed"/>
          <w:sz w:val="24"/>
          <w:szCs w:val="24"/>
        </w:rPr>
        <w:t xml:space="preserve">L'interesse economico più tangibile e specificamente riconducibile alla condotta in esame non è di approvvigionamento bensì industriale ed esportativo: quello dell'Aermacchi e dell'indotto aeronautico alla prosecuzione di un programma di licenza redditizio.</w:t>
      </w:r>
    </w:p>
    <w:p>
      <w:pPr>
        <w:spacing w:after="120" w:line="276"/>
        <w:jc w:val="both"/>
      </w:pPr>
      <w:r>
        <w:rPr>
          <w:rFonts w:ascii="Barlow Semi Condensed" w:cs="Barlow Semi Condensed" w:eastAsia="Barlow Semi Condensed" w:hAnsi="Barlow Semi Condensed"/>
          <w:sz w:val="24"/>
          <w:szCs w:val="24"/>
        </w:rPr>
        <w:t xml:space="preserve">Le fonti aeronautiche descrivono l'esportazione come il fondamento della redditività del programma MB-326, con quota rilevantissima del fatturato proveniente dalle vendite estere negli anni di picco. Ma questo dato proviene da pubblicistica settoriale e in parte da fonte esclusa dal committente, e va verificato su bilanci aziendali.</w:t>
      </w:r>
    </w:p>
    <w:p>
      <w:pPr>
        <w:spacing w:after="120" w:line="276"/>
        <w:jc w:val="both"/>
      </w:pPr>
      <w:r>
        <w:rPr>
          <w:rFonts w:ascii="Barlow Semi Condensed" w:cs="Barlow Semi Condensed" w:eastAsia="Barlow Semi Condensed" w:hAnsi="Barlow Semi Condensed"/>
          <w:sz w:val="24"/>
          <w:szCs w:val="24"/>
        </w:rPr>
        <w:t xml:space="preserve">La conclusione va formulata con precisione.\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Affermare che tale interesse abbia condizionato la condotta governativa sarebbe, allo stato, inferenza non sorretta da documento, e la ricognizione si astiene dal formularla come accertata.</w:t>
      </w:r>
    </w:p>
    <w:p>
      <w:pPr>
        <w:spacing w:after="120" w:line="276"/>
        <w:jc w:val="both"/>
      </w:pPr>
      <w:r>
        <w:rPr>
          <w:rFonts w:ascii="Barlow Semi Condensed" w:cs="Barlow Semi Condensed" w:eastAsia="Barlow Semi Condensed" w:hAnsi="Barlow Semi Condensed"/>
          <w:sz w:val="24"/>
          <w:szCs w:val="24"/>
        </w:rPr>
        <w:t xml:space="preserve">Lo schema libico trova dunque nel caso sudafricano un'analogia di struttura — l'interesse di un'impresa a partecipazione pubblica come sfondo della prudenza governativa — e non un'identità confermata.</w:t>
      </w:r>
    </w:p>
    <w:p>
      <w:pPr>
        <w:spacing w:after="120" w:line="276"/>
        <w:jc w:val="both"/>
      </w:pPr>
      <w:r>
        <w:rPr>
          <w:rFonts w:ascii="Barlow Semi Condensed" w:cs="Barlow Semi Condensed" w:eastAsia="Barlow Semi Condensed" w:hAnsi="Barlow Semi Condensed"/>
          <w:sz w:val="24"/>
          <w:szCs w:val="24"/>
        </w:rPr>
        <w:t xml:space="preserve">L'analogia si consegna come ipotesi di lavoro, con l'onere della prova rinviato agli archivi dell'IRI, di Finmeccanica e dei ministeri economici.</w:t>
      </w:r>
    </w:p>
    <w:p>
      <w:pPr>
        <w:pStyle w:val="Heading2"/>
        <w:spacing w:after="100" w:before="200"/>
      </w:pPr>
      <w:r>
        <w:rPr>
          <w:rFonts w:ascii="Barlow Semi Condensed" w:cs="Barlow Semi Condensed" w:eastAsia="Barlow Semi Condensed" w:hAnsi="Barlow Semi Condensed"/>
          <w:sz w:val="24"/>
          <w:szCs w:val="24"/>
        </w:rPr>
        <w:t xml:space="preserve">Capitolo decimo — La comunità italiana e il limite dell'inferenza</w:t>
      </w:r>
    </w:p>
    <w:p>
      <w:pPr>
        <w:spacing w:after="120" w:line="276"/>
        <w:jc w:val="both"/>
      </w:pPr>
      <w:r>
        <w:rPr>
          <w:rFonts w:ascii="Barlow Semi Condensed" w:cs="Barlow Semi Condensed" w:eastAsia="Barlow Semi Condensed" w:hAnsi="Barlow Semi Condensed"/>
          <w:sz w:val="24"/>
          <w:szCs w:val="24"/>
        </w:rPr>
        <w:t xml:space="preserve">Il capitolo espone un fatto ben documentato e si vieta di trarne la conclusione che sarebbe facile.</w:t>
      </w:r>
    </w:p>
    <w:p>
      <w:pPr>
        <w:spacing w:after="120" w:line="276"/>
        <w:jc w:val="both"/>
      </w:pPr>
      <w:r>
        <w:rPr>
          <w:rFonts w:ascii="Barlow Semi Condensed" w:cs="Barlow Semi Condensed" w:eastAsia="Barlow Semi Condensed" w:hAnsi="Barlow Semi Condensed"/>
          <w:sz w:val="24"/>
          <w:szCs w:val="24"/>
        </w:rPr>
        <w:t xml:space="preserve">L'origine, che è di guerra. Il Sudafrica, per la collocazione lontana dai fronti e la disponibilità di spazio, divenne uno dei principali luoghi di detenzione dei prigionieri italiani catturati nelle campagne dell'Africa orientale e settentrionale, concentrati in gran parte nel campo di Zonderwater presso Cullinan.</w:t>
      </w:r>
    </w:p>
    <w:p>
      <w:pPr>
        <w:spacing w:after="120" w:line="276"/>
        <w:jc w:val="both"/>
      </w:pPr>
      <w:r>
        <w:rPr>
          <w:rFonts w:ascii="Barlow Semi Condensed" w:cs="Barlow Semi Condensed" w:eastAsia="Barlow Semi Condensed" w:hAnsi="Barlow Semi Condensed"/>
          <w:sz w:val="24"/>
          <w:szCs w:val="24"/>
        </w:rPr>
        <w:t xml:space="preserve">La crescita è documentata dal Consolato Generale d'Italia a Johannesburg\</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cinquantaquattromila\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prigionieri nell'aprile 1942,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sessantatremila\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1943, fino a un totale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novantamila.</w:t>
      </w:r>
    </w:p>
    <w:p>
      <w:pPr>
        <w:spacing w:after="120" w:line="276"/>
        <w:jc w:val="both"/>
      </w:pPr>
      <w:r>
        <w:rPr>
          <w:rFonts w:ascii="Barlow Semi Condensed" w:cs="Barlow Semi Condensed" w:eastAsia="Barlow Semi Condensed" w:hAnsi="Barlow Semi Condensed"/>
          <w:sz w:val="24"/>
          <w:szCs w:val="24"/>
        </w:rPr>
        <w:t xml:space="preserve">È la più grande rilocazione di italiani nel continente africano.</w:t>
      </w:r>
    </w:p>
    <w:p>
      <w:pPr>
        <w:spacing w:after="120" w:line="276"/>
        <w:jc w:val="both"/>
      </w:pPr>
      <w:r>
        <w:rPr>
          <w:rFonts w:ascii="Barlow Semi Condensed" w:cs="Barlow Semi Condensed" w:eastAsia="Barlow Semi Condensed" w:hAnsi="Barlow Semi Condensed"/>
          <w:sz w:val="24"/>
          <w:szCs w:val="24"/>
        </w:rPr>
        <w:t xml:space="preserve">Il cimitero militare italiano di Zonderwater onora i trecentododici prigionieri morti in prigionia.</w:t>
      </w:r>
    </w:p>
    <w:p>
      <w:pPr>
        <w:spacing w:after="120" w:line="276"/>
        <w:jc w:val="both"/>
      </w:pPr>
      <w:r>
        <w:rPr>
          <w:rFonts w:ascii="Barlow Semi Condensed" w:cs="Barlow Semi Condensed" w:eastAsia="Barlow Semi Condensed" w:hAnsi="Barlow Semi Condensed"/>
          <w:sz w:val="24"/>
          <w:szCs w:val="24"/>
        </w:rPr>
        <w:t xml:space="preserve">Il nesso con la comunità del dopoguerra, documentato dalla medesima fonte consolare. A partire dagli anni Cinquanta gli stessi ex prigionieri rimpatriati aprirono la via a un flusso migratorio: entro pochi anni circa ventimila ex prigionieri tornarono in Sudafrica, e una parte importante della comunità italiana — circa quarantamila — è tuttora costituita da discendenti di quel gruppo.</w:t>
      </w:r>
    </w:p>
    <w:p>
      <w:pPr>
        <w:spacing w:after="120" w:line="276"/>
        <w:jc w:val="both"/>
      </w:pPr>
      <w:r>
        <w:rPr>
          <w:rFonts w:ascii="Barlow Semi Condensed" w:cs="Barlow Semi Condensed" w:eastAsia="Barlow Semi Condensed" w:hAnsi="Barlow Semi Condensed"/>
          <w:sz w:val="24"/>
          <w:szCs w:val="24"/>
        </w:rPr>
        <w:t xml:space="preserve">Le stime complessive. Metà degli anni Novanta: circa centoventimila fra italiani e discendenti, equamente ripartiti fra nati in Italia e discendenti. Dati consolari del 2022: circa trentacinquemila iscritti ai servizi consolari, cifra che esclude i discendenti non iscritti.</w:t>
      </w:r>
    </w:p>
    <w:p>
      <w:pPr>
        <w:spacing w:after="120" w:line="276"/>
        <w:jc w:val="both"/>
      </w:pPr>
      <w:r>
        <w:rPr>
          <w:rFonts w:ascii="Barlow Semi Condensed" w:cs="Barlow Semi Condensed" w:eastAsia="Barlow Semi Condensed" w:hAnsi="Barlow Semi Condensed"/>
          <w:sz w:val="24"/>
          <w:szCs w:val="24"/>
        </w:rPr>
        <w:t xml:space="preserve">E adesso il dato che tocca la questione del peso politico, e che va trattato con la disciplina che la serie impone.</w:t>
      </w:r>
    </w:p>
    <w:p>
      <w:pPr>
        <w:spacing w:after="120" w:line="276"/>
        <w:jc w:val="both"/>
      </w:pPr>
      <w:r>
        <w:rPr>
          <w:rFonts w:ascii="Barlow Semi Condensed" w:cs="Barlow Semi Condensed" w:eastAsia="Barlow Semi Condensed" w:hAnsi="Barlow Semi Condensed"/>
          <w:sz w:val="24"/>
          <w:szCs w:val="24"/>
        </w:rPr>
        <w:t xml:space="preserve">La storiografia riferisce, sulla scorta dello storico italo-sudafricano Gabriele Sani, che la figura riconosciuta come leader naturale della comunità italiana, tale Mottalini, fu per un quarantennio l'artefice dei rapporti fra l'associazione degli ex prigionieri e il governo sudafricano, ed era considerato amico personale sia da Balthazar Johannes Vorster sia da Pieter Willem Botha, entrambi primi ministri e presidenti.</w:t>
      </w:r>
    </w:p>
    <w:p>
      <w:pPr>
        <w:spacing w:after="120" w:line="276"/>
        <w:jc w:val="both"/>
      </w:pPr>
      <w:r>
        <w:rPr>
          <w:rFonts w:ascii="Barlow Semi Condensed" w:cs="Barlow Semi Condensed" w:eastAsia="Barlow Semi Condensed" w:hAnsi="Barlow Semi Condensed"/>
          <w:sz w:val="24"/>
          <w:szCs w:val="24"/>
        </w:rPr>
        <w:t xml:space="preserve">Il fatto è documentato. E qui si applica il divieto di trattare la relazione come prova di una condotta.</w:t>
      </w:r>
    </w:p>
    <w:p>
      <w:pPr>
        <w:spacing w:after="120" w:line="276"/>
        <w:jc w:val="both"/>
      </w:pPr>
      <w:r>
        <w:rPr>
          <w:rFonts w:ascii="Barlow Semi Condensed" w:cs="Barlow Semi Condensed" w:eastAsia="Barlow Semi Condensed" w:hAnsi="Barlow Semi Condensed"/>
          <w:sz w:val="24"/>
          <w:szCs w:val="24"/>
        </w:rPr>
        <w:t xml:space="preserve">Che esistessero rapporti cordiali fra un leader comunitario e i vertici del regime non prova che la comunità italiana abbia costituito un fattore attivo della politica italiana verso Pretoria, né che abbia influenzato le decisioni del governo di Roma.</w:t>
      </w:r>
    </w:p>
    <w:p>
      <w:pPr>
        <w:spacing w:after="120" w:line="276"/>
        <w:jc w:val="both"/>
      </w:pPr>
      <w:r>
        <w:rPr>
          <w:rFonts w:ascii="Barlow Semi Condensed" w:cs="Barlow Semi Condensed" w:eastAsia="Barlow Semi Condensed" w:hAnsi="Barlow Semi Condensed"/>
          <w:sz w:val="24"/>
          <w:szCs w:val="24"/>
        </w:rPr>
        <w:t xml:space="preserve">La ricognizione può affermare che la comunità esisteva, era numerosa, era integrata e disponeva di canali di relazione con il regime. Non può affermare che abbia condizionato la condotta governativa italiana.</w:t>
      </w:r>
    </w:p>
    <w:p>
      <w:pPr>
        <w:spacing w:after="120" w:line="276"/>
        <w:jc w:val="both"/>
      </w:pPr>
      <w:r>
        <w:rPr>
          <w:rFonts w:ascii="Barlow Semi Condensed" w:cs="Barlow Semi Condensed" w:eastAsia="Barlow Semi Condensed" w:hAnsi="Barlow Semi Condensed"/>
          <w:sz w:val="24"/>
          <w:szCs w:val="24"/>
        </w:rPr>
        <w:t xml:space="preserve">La sede per verificare tale ipotesi è la documentazione consolare e diplomatica e gli studi sull'emigrazione italiana.</w:t>
      </w:r>
    </w:p>
    <w:p>
      <w:pPr>
        <w:pStyle w:val="Heading2"/>
        <w:spacing w:after="100" w:before="200"/>
      </w:pPr>
      <w:r>
        <w:rPr>
          <w:rFonts w:ascii="Barlow Semi Condensed" w:cs="Barlow Semi Condensed" w:eastAsia="Barlow Semi Condensed" w:hAnsi="Barlow Semi Condensed"/>
          <w:sz w:val="24"/>
          <w:szCs w:val="24"/>
        </w:rPr>
        <w:t xml:space="preserve">Capitolo undicesimo — Il confronto controllato con la Repubblica Federale e la Baviera</w:t>
      </w:r>
    </w:p>
    <w:p>
      <w:pPr>
        <w:spacing w:after="120" w:line="276"/>
        <w:jc w:val="both"/>
      </w:pPr>
      <w:r>
        <w:rPr>
          <w:rFonts w:ascii="Barlow Semi Condensed" w:cs="Barlow Semi Condensed" w:eastAsia="Barlow Semi Condensed" w:hAnsi="Barlow Semi Condensed"/>
          <w:sz w:val="24"/>
          <w:szCs w:val="24"/>
        </w:rPr>
        <w:t xml:space="preserve">Il capitolo è secondario per indicazione del committente e più breve per una seconda ragione, cronologica, che va enunciata subito.</w:t>
      </w:r>
    </w:p>
    <w:p>
      <w:pPr>
        <w:spacing w:after="120" w:line="276"/>
        <w:jc w:val="both"/>
      </w:pPr>
      <w:r>
        <w:rPr>
          <w:rFonts w:ascii="Barlow Semi Condensed" w:cs="Barlow Semi Condensed" w:eastAsia="Barlow Semi Condensed" w:hAnsi="Barlow Semi Condensed"/>
          <w:sz w:val="24"/>
          <w:szCs w:val="24"/>
        </w:rPr>
        <w:t xml:space="preserve">L'impossibilità della triangolazione a tre termini.\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Aldo Moro morì nel 1978.\</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Pieter Willem Botha divenne primo ministro nel 1978\</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la vicenda dei sommergibili e dei rapporti con Franz Josef Strauß si colloca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negli anni Ottanta.</w:t>
      </w:r>
    </w:p>
    <w:p>
      <w:pPr>
        <w:spacing w:after="120" w:line="276"/>
        <w:jc w:val="both"/>
      </w:pPr>
      <w:r>
        <w:rPr>
          <w:rFonts w:ascii="Barlow Semi Condensed" w:cs="Barlow Semi Condensed" w:eastAsia="Barlow Semi Condensed" w:hAnsi="Barlow Semi Condensed"/>
          <w:sz w:val="24"/>
          <w:szCs w:val="24"/>
        </w:rPr>
        <w:t xml:space="preserve">Ne discende che ogni triangolazione fra Moro, la Baviera e il Sudafrica nella fase Botha è cronologicamente impossibile. Se ne prende atto e lo si dichiara.</w:t>
      </w:r>
    </w:p>
    <w:p>
      <w:pPr>
        <w:spacing w:after="120" w:line="276"/>
        <w:jc w:val="both"/>
      </w:pPr>
      <w:r>
        <w:rPr>
          <w:rFonts w:ascii="Barlow Semi Condensed" w:cs="Barlow Semi Condensed" w:eastAsia="Barlow Semi Condensed" w:hAnsi="Barlow Semi Condensed"/>
          <w:sz w:val="24"/>
          <w:szCs w:val="24"/>
        </w:rPr>
        <w:t xml:space="preserve">Il confronto può dunque essere soltanto termine di paragone strutturale, e come tale si conduce.</w:t>
      </w:r>
    </w:p>
    <w:p>
      <w:pPr>
        <w:spacing w:after="120" w:line="276"/>
        <w:jc w:val="both"/>
      </w:pPr>
      <w:r>
        <w:rPr>
          <w:rFonts w:ascii="Barlow Semi Condensed" w:cs="Barlow Semi Condensed" w:eastAsia="Barlow Semi Condensed" w:hAnsi="Barlow Semi Condensed"/>
          <w:sz w:val="24"/>
          <w:szCs w:val="24"/>
        </w:rPr>
        <w:t xml:space="preserve">La cooperazione nucleare, distinguendo il documentato dall'allegato.</w:t>
      </w:r>
    </w:p>
    <w:p>
      <w:pPr>
        <w:spacing w:after="120" w:line="276"/>
        <w:jc w:val="both"/>
      </w:pPr>
      <w:r>
        <w:rPr>
          <w:rFonts w:ascii="Barlow Semi Condensed" w:cs="Barlow Semi Condensed" w:eastAsia="Barlow Semi Condensed" w:hAnsi="Barlow Semi Condensed"/>
          <w:sz w:val="24"/>
          <w:szCs w:val="24"/>
        </w:rPr>
        <w:t xml:space="preserve">È documentato che il Sudafrica sviluppò negli anni Settanta una capacità di arricchimento dell'uranio basata sul processo Helikon di separazione a vortice, derivato dal metodo a getto ideato dal professore tedesco Erwin Willy Becker, con cui scienziati sudafricani cooperavano dal 1974; ed è documentato che una società tedesca, la STEAG, fu coinvolta in colloqui sull'arricchimento prima che il Sudafrica sviluppasse la propria tecnologia.</w:t>
      </w:r>
    </w:p>
    <w:p>
      <w:pPr>
        <w:spacing w:after="120" w:line="276"/>
        <w:jc w:val="both"/>
      </w:pPr>
      <w:r>
        <w:rPr>
          <w:rFonts w:ascii="Barlow Semi Condensed" w:cs="Barlow Semi Condensed" w:eastAsia="Barlow Semi Condensed" w:hAnsi="Barlow Semi Condensed"/>
          <w:sz w:val="24"/>
          <w:szCs w:val="24"/>
        </w:rPr>
        <w:t xml:space="preserve">È invece allegazione, e non fatto giudizialmente accertato, l'esistenza di una cooperazione nucleare militare governativa fra Bonn e Pretoria. Il 19 agosto 1977 l'alto funzionario del ministero degli Esteri tedesco van Well dichiarò che non vi era cooperazione nucleare tedesco-sudafricana, pur ammettendo l'acquisto di uranio e il coinvolgimento della STEAG nei colloqui.</w:t>
      </w:r>
    </w:p>
    <w:p>
      <w:pPr>
        <w:spacing w:after="120" w:line="276"/>
        <w:jc w:val="both"/>
      </w:pPr>
      <w:r>
        <w:rPr>
          <w:rFonts w:ascii="Barlow Semi Condensed" w:cs="Barlow Semi Condensed" w:eastAsia="Barlow Semi Condensed" w:hAnsi="Barlow Semi Condensed"/>
          <w:sz w:val="24"/>
          <w:szCs w:val="24"/>
        </w:rPr>
        <w:t xml:space="preserve">L'African National Congress pubblicò a Bonn nel 1975 e nel 1977 due dossier\</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The Nuclear Conspiracy\</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Conspiracy to Arm Apartheid Continues\</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che sono fonte militante di parte e vanno qualificati come tali.</w:t>
      </w:r>
    </w:p>
    <w:p>
      <w:pPr>
        <w:spacing w:after="120" w:line="276"/>
        <w:jc w:val="both"/>
      </w:pPr>
      <w:r>
        <w:rPr>
          <w:rFonts w:ascii="Barlow Semi Condensed" w:cs="Barlow Semi Condensed" w:eastAsia="Barlow Semi Condensed" w:hAnsi="Barlow Semi Condensed"/>
          <w:sz w:val="24"/>
          <w:szCs w:val="24"/>
        </w:rPr>
        <w:t xml:space="preserve">Il crinale su cui la storiografia recente basata su archivi colloca la questione — si veda lo studio di Robin Möser in Cold War History del 2024 — è la distinzione fra lo studio di fattibilità congiunto, che le controparti ammisero, e la condivisione di tecnologia sensibile per fini militari, che negarono.</w:t>
      </w:r>
    </w:p>
    <w:p>
      <w:pPr>
        <w:spacing w:after="120" w:line="276"/>
        <w:jc w:val="both"/>
      </w:pPr>
      <w:r>
        <w:rPr>
          <w:rFonts w:ascii="Barlow Semi Condensed" w:cs="Barlow Semi Condensed" w:eastAsia="Barlow Semi Condensed" w:hAnsi="Barlow Semi Condensed"/>
          <w:sz w:val="24"/>
          <w:szCs w:val="24"/>
        </w:rPr>
        <w:t xml:space="preserve">La Hanns-Seidel-Stiftung, con le date. La fondazione vicina alla Christlich-Soziale Union operò in Namibia a partire dal 1978, con ufficio a Windhoek, e iniziò a operare direttamente in Sudafrica nel 1991, a Johannesburg e poi a Città del Capo, dichiaratamente per sostenere la transizione verso una società democratica e non razziale.</w:t>
      </w:r>
    </w:p>
    <w:p>
      <w:pPr>
        <w:spacing w:after="120" w:line="276"/>
        <w:jc w:val="both"/>
      </w:pPr>
      <w:r>
        <w:rPr>
          <w:rFonts w:ascii="Barlow Semi Condensed" w:cs="Barlow Semi Condensed" w:eastAsia="Barlow Semi Condensed" w:hAnsi="Barlow Semi Condensed"/>
          <w:sz w:val="24"/>
          <w:szCs w:val="24"/>
        </w:rPr>
        <w:t xml:space="preserve">Il dato del 1978 per la Namibia va notato perché è anteriore all'indipendenza del 1990 e colloca la presenza in territorio ancora amministrato dal Sudafrica. Le fonti reperite descrivono l'attività in termini di sostegno allo sviluppo democratico; il contenuto puntuale delle attività degli anni Settanta e Ottanta non è stato accertato e va verificato presso l'archivio della fondazione.</w:t>
      </w:r>
    </w:p>
    <w:p>
      <w:pPr>
        <w:spacing w:after="120" w:line="276"/>
        <w:jc w:val="both"/>
      </w:pPr>
      <w:r>
        <w:rPr>
          <w:rFonts w:ascii="Barlow Semi Condensed" w:cs="Barlow Semi Condensed" w:eastAsia="Barlow Semi Condensed" w:hAnsi="Barlow Semi Condensed"/>
          <w:sz w:val="24"/>
          <w:szCs w:val="24"/>
        </w:rPr>
        <w:t xml:space="preserve">Sulla posizione della Christlich-Soziale Union in materia di sanzioni negli anni Ottanta si dichiara esito sostanzialmente negativo di reperimento puntuale: è noto in via generale l'orientamento critico verso le sanzioni, ma la ricostruzione documentale delle posizioni ufficiali richiederebbe gli atti del Bundestag e gli archivi del partito.</w:t>
      </w:r>
    </w:p>
    <w:p>
      <w:pPr>
        <w:spacing w:after="120" w:line="276"/>
        <w:jc w:val="both"/>
      </w:pPr>
      <w:r>
        <w:rPr>
          <w:rFonts w:ascii="Barlow Semi Condensed" w:cs="Barlow Semi Condensed" w:eastAsia="Barlow Semi Condensed" w:hAnsi="Barlow Semi Condensed"/>
          <w:sz w:val="24"/>
          <w:szCs w:val="24"/>
        </w:rPr>
        <w:t xml:space="preserve">E si ribadisce la cautela già stabilita dall'undicesima ricognizione sulla vicenda dei sommergibili del 1984-1986: le fonti stesse qualificano come voci le allegazioni sulle provvigioni, e la ricognizione non le eleva a fatto.</w:t>
      </w:r>
    </w:p>
    <w:p>
      <w:pPr>
        <w:pStyle w:val="Heading2"/>
        <w:spacing w:after="100" w:before="200"/>
      </w:pPr>
      <w:r>
        <w:rPr>
          <w:rFonts w:ascii="Barlow Semi Condensed" w:cs="Barlow Semi Condensed" w:eastAsia="Barlow Semi Condensed" w:hAnsi="Barlow Semi Condensed"/>
          <w:sz w:val="24"/>
          <w:szCs w:val="24"/>
        </w:rPr>
        <w:t xml:space="preserve">Capitolo dodicesimo — Verdetto, tavola, e il nono grado</w:t>
      </w:r>
    </w:p>
    <w:p>
      <w:pPr>
        <w:spacing w:after="120" w:line="276"/>
        <w:jc w:val="both"/>
      </w:pPr>
      <w:r>
        <w:rPr>
          <w:rFonts w:ascii="Barlow Semi Condensed" w:cs="Barlow Semi Condensed" w:eastAsia="Barlow Semi Condensed" w:hAnsi="Barlow Semi Condensed"/>
          <w:sz w:val="24"/>
          <w:szCs w:val="24"/>
        </w:rPr>
        <w:t xml:space="preserve">Primo punto su cui la ricognizione deve pronunciarsi: se la condotta italiana verso il Sudafrica nel periodo Moro sia documentata, non documentata, o documentata soltanto presso apparati diversi dalla Farnesina.</w:t>
      </w:r>
    </w:p>
    <w:p>
      <w:pPr>
        <w:spacing w:after="120" w:line="276"/>
        <w:jc w:val="both"/>
      </w:pPr>
      <w:r>
        <w:rPr>
          <w:rFonts w:ascii="Barlow Semi Condensed" w:cs="Barlow Semi Condensed" w:eastAsia="Barlow Semi Condensed" w:hAnsi="Barlow Semi Condensed"/>
          <w:sz w:val="24"/>
          <w:szCs w:val="24"/>
        </w:rPr>
        <w:t xml:space="preserve">La risposta è la terza, con una precisazione che la modifica sostanzialmente.</w:t>
      </w:r>
    </w:p>
    <w:p>
      <w:pPr>
        <w:spacing w:after="120" w:line="276"/>
        <w:jc w:val="both"/>
      </w:pPr>
      <w:r>
        <w:rPr>
          <w:rFonts w:ascii="Barlow Semi Condensed" w:cs="Barlow Semi Condensed" w:eastAsia="Barlow Semi Condensed" w:hAnsi="Barlow Semi Condensed"/>
          <w:sz w:val="24"/>
          <w:szCs w:val="24"/>
        </w:rPr>
        <w:t xml:space="preserve">Ciò che è documentato: la presenza industriale — licenza 1964, produzione dal 1966, canale del motore attraverso la sub-licenza Piaggio, impiego operativo. E la condotta politica multilaterale, da fonte primaria: contro la sospensione procedurale e a favore della condanna sostanziale, il medesimo giorno del 30 settembre 1974.</w:t>
      </w:r>
    </w:p>
    <w:p>
      <w:pPr>
        <w:spacing w:after="120" w:line="276"/>
        <w:jc w:val="both"/>
      </w:pPr>
      <w:r>
        <w:rPr>
          <w:rFonts w:ascii="Barlow Semi Condensed" w:cs="Barlow Semi Condensed" w:eastAsia="Barlow Semi Condensed" w:hAnsi="Barlow Semi Condensed"/>
          <w:sz w:val="24"/>
          <w:szCs w:val="24"/>
        </w:rPr>
        <w:t xml:space="preserve">Ciò che non è documentato: l'atto specifico di governo relativo alla licenza.</w:t>
      </w:r>
    </w:p>
    <w:p>
      <w:pPr>
        <w:spacing w:after="120" w:line="276"/>
        <w:jc w:val="both"/>
      </w:pPr>
      <w:r>
        <w:rPr>
          <w:rFonts w:ascii="Barlow Semi Condensed" w:cs="Barlow Semi Condensed" w:eastAsia="Barlow Semi Condensed" w:hAnsi="Barlow Semi Condensed"/>
          <w:sz w:val="24"/>
          <w:szCs w:val="24"/>
        </w:rPr>
        <w:t xml:space="preserve">E qui la precisazione decisiva, che è il lascito del documento.\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Quell'atto non è documentato non perché sia stato occultato, ma perché nel regime giuridico del tempo esso non esisteva come atto tipico.</w:t>
      </w:r>
    </w:p>
    <w:p>
      <w:pPr>
        <w:spacing w:after="120" w:line="276"/>
        <w:jc w:val="both"/>
      </w:pPr>
      <w:r>
        <w:rPr>
          <w:rFonts w:ascii="Barlow Semi Condensed" w:cs="Barlow Semi Condensed" w:eastAsia="Barlow Semi Condensed" w:hAnsi="Barlow Semi Condensed"/>
          <w:sz w:val="24"/>
          <w:szCs w:val="24"/>
        </w:rPr>
        <w:t xml:space="preserve">Fino al 1990 la cessione all'estero di licenze di produzione non era fattispecie autorizzativa tipizzata; la materia era coperta dal segreto di Stato ai sensi del regio decreto del 1941; non esistevano il comitato interministeriale, l'unità autorizzativa, il potere di veto formalizzato.</w:t>
      </w:r>
    </w:p>
    <w:p>
      <w:pPr>
        <w:spacing w:after="120" w:line="276"/>
        <w:jc w:val="both"/>
      </w:pPr>
      <w:r>
        <w:rPr>
          <w:rFonts w:ascii="Barlow Semi Condensed" w:cs="Barlow Semi Condensed" w:eastAsia="Barlow Semi Condensed" w:hAnsi="Barlow Semi Condensed"/>
          <w:sz w:val="24"/>
          <w:szCs w:val="24"/>
        </w:rPr>
        <w:t xml:space="preserve">Ne discende il nono grado di Stato Zero — l'atto atipico — enunciato al Capitolo sesto: una condotta dello Stato non lascia traccia perché il diritto vigente non la configurava come atto giuridico tipico, e dunque non ne prescriveva forma, motivazione né registrazione.</w:t>
      </w:r>
    </w:p>
    <w:p>
      <w:pPr>
        <w:spacing w:after="120" w:line="276"/>
        <w:jc w:val="both"/>
      </w:pPr>
      <w:r>
        <w:rPr>
          <w:rFonts w:ascii="Barlow Semi Condensed" w:cs="Barlow Semi Condensed" w:eastAsia="Barlow Semi Condensed" w:hAnsi="Barlow Semi Condensed"/>
          <w:sz w:val="24"/>
          <w:szCs w:val="24"/>
        </w:rPr>
        <w:t xml:space="preserve">Non è rimediabile con l'apertura di un archivio, perché non vi è nulla da aprire.</w:t>
      </w:r>
    </w:p>
    <w:p>
      <w:pPr>
        <w:spacing w:after="120" w:line="276"/>
        <w:jc w:val="both"/>
      </w:pPr>
      <w:r>
        <w:rPr>
          <w:rFonts w:ascii="Barlow Semi Condensed" w:cs="Barlow Semi Condensed" w:eastAsia="Barlow Semi Condensed" w:hAnsi="Barlow Semi Condensed"/>
          <w:sz w:val="24"/>
          <w:szCs w:val="24"/>
        </w:rPr>
        <w:t xml:space="preserve">Secondo punto: se il caso sudafricano confermi o smentisca lo schema libico.</w:t>
      </w:r>
    </w:p>
    <w:p>
      <w:pPr>
        <w:spacing w:after="120" w:line="276"/>
        <w:jc w:val="both"/>
      </w:pPr>
      <w:r>
        <w:rPr>
          <w:rFonts w:ascii="Barlow Semi Condensed" w:cs="Barlow Semi Condensed" w:eastAsia="Barlow Semi Condensed" w:hAnsi="Barlow Semi Condensed"/>
          <w:sz w:val="24"/>
          <w:szCs w:val="24"/>
        </w:rPr>
        <w:t xml:space="preserve">Non lo conferma in forma documentata, non lo smentisce, e ne suggerisce una variante. In Libia l'interesse era di approvvigionamento; qui è industriale ed esportativo. L'analogia è di struttura, non di identità, e l'onere della prova è rinviato agli archivi industriali.</w:t>
      </w:r>
    </w:p>
    <w:p>
      <w:pPr>
        <w:spacing w:after="120" w:line="276"/>
        <w:jc w:val="both"/>
      </w:pPr>
      <w:r>
        <w:rPr>
          <w:rFonts w:ascii="Barlow Semi Condensed" w:cs="Barlow Semi Condensed" w:eastAsia="Barlow Semi Condensed" w:hAnsi="Barlow Semi Condensed"/>
          <w:sz w:val="24"/>
          <w:szCs w:val="24"/>
        </w:rPr>
        <w:t xml:space="preserve">La tavola, per rendimento atteso.</w:t>
      </w:r>
    </w:p>
    <w:p>
      <w:pPr>
        <w:spacing w:after="120" w:line="276"/>
        <w:jc w:val="both"/>
      </w:pPr>
      <w:r>
        <w:rPr>
          <w:rFonts w:ascii="Barlow Semi Condensed" w:cs="Barlow Semi Condensed" w:eastAsia="Barlow Semi Condensed" w:hAnsi="Barlow Semi Condensed"/>
          <w:sz w:val="24"/>
          <w:szCs w:val="24"/>
        </w:rPr>
        <w:t xml:space="preserve">Prima voce, e la più economica: il testo integrale dei documenti S/9640 del 1970 e S/AC.20/27 del 1980, con la dichiarazione di Abdul Minty in S/AC.20/SR.25. Sede: Biblioteca digitale delle Nazioni Unite e atti del Comitato istituito dalla risoluzione quattrocentoventuno. Condizione: meramente tecnica, l'accesso ai file.</w:t>
      </w:r>
    </w:p>
    <w:p>
      <w:pPr>
        <w:spacing w:after="120" w:line="276"/>
        <w:jc w:val="both"/>
      </w:pPr>
      <w:r>
        <w:rPr>
          <w:rFonts w:ascii="Barlow Semi Condensed" w:cs="Barlow Semi Condensed" w:eastAsia="Barlow Semi Condensed" w:hAnsi="Barlow Semi Condensed"/>
          <w:sz w:val="24"/>
          <w:szCs w:val="24"/>
        </w:rPr>
        <w:t xml:space="preserve">Seconda: il testo dell'accordo di licenza Aermacchi-Atlas del 1964, con termini finanziari, geografici e di rinnovo. Sedi: archivio storico di Finmeccanica-Leonardo e archivio Aermacchi; controparti negli archivi Atlas-Denel e Armscor. Condizione: accessibilità dell'archivio aziendale, non garantita.</w:t>
      </w:r>
    </w:p>
    <w:p>
      <w:pPr>
        <w:spacing w:after="120" w:line="276"/>
        <w:jc w:val="both"/>
      </w:pPr>
      <w:r>
        <w:rPr>
          <w:rFonts w:ascii="Barlow Semi Condensed" w:cs="Barlow Semi Condensed" w:eastAsia="Barlow Semi Condensed" w:hAnsi="Barlow Semi Condensed"/>
          <w:sz w:val="24"/>
          <w:szCs w:val="24"/>
        </w:rPr>
        <w:t xml:space="preserve">Terza: la documentazione dell'apparato competente italiano. Sedi: Archivio storico dell'IRI presso l'Archivio Centrale dello Stato, archivi della Difesa e dello Stato Maggiore dell'Aeronautica, ministeri economici. Condizione: declassificazione degli atti coperti dal segreto di Stato del regime del 1941 — con l'avvertenza del nono grado, che presso quelle sedi potrebbe non esservi nulla.</w:t>
      </w:r>
    </w:p>
    <w:p>
      <w:pPr>
        <w:spacing w:after="120" w:line="276"/>
        <w:jc w:val="both"/>
      </w:pPr>
      <w:r>
        <w:rPr>
          <w:rFonts w:ascii="Barlow Semi Condensed" w:cs="Barlow Semi Condensed" w:eastAsia="Barlow Semi Condensed" w:hAnsi="Barlow Semi Condensed"/>
          <w:sz w:val="24"/>
          <w:szCs w:val="24"/>
        </w:rPr>
        <w:t xml:space="preserve">Quarta: la serie Sudafrica 1969-1976 dell'Archivio Storico Diplomatico.</w:t>
      </w:r>
    </w:p>
    <w:p>
      <w:pPr>
        <w:spacing w:after="120" w:line="276"/>
        <w:jc w:val="both"/>
      </w:pPr>
      <w:r>
        <w:rPr>
          <w:rFonts w:ascii="Barlow Semi Condensed" w:cs="Barlow Semi Condensed" w:eastAsia="Barlow Semi Condensed" w:hAnsi="Barlow Semi Condensed"/>
          <w:sz w:val="24"/>
          <w:szCs w:val="24"/>
        </w:rPr>
        <w:t xml:space="preserve">Quinta: la documentazione britannica sul ruolo della Rolls-Royce. Sedi: National Archives, archivi Bristol Siddeley e Rolls-Royce Heritage Trust.</w:t>
      </w:r>
    </w:p>
    <w:p>
      <w:pPr>
        <w:spacing w:after="120" w:line="276"/>
        <w:jc w:val="both"/>
      </w:pPr>
      <w:r>
        <w:rPr>
          <w:rFonts w:ascii="Barlow Semi Condensed" w:cs="Barlow Semi Condensed" w:eastAsia="Barlow Semi Condensed" w:hAnsi="Barlow Semi Condensed"/>
          <w:sz w:val="24"/>
          <w:szCs w:val="24"/>
        </w:rPr>
        <w:t xml:space="preserve">Sesta: il voto italiano puntuale sulle risoluzioni namibiane e i dati d'interscambio del periodo.</w:t>
      </w:r>
    </w:p>
    <w:p>
      <w:pPr>
        <w:spacing w:after="120" w:line="276"/>
        <w:jc w:val="both"/>
      </w:pPr>
      <w:r>
        <w:rPr>
          <w:rFonts w:ascii="Barlow Semi Condensed" w:cs="Barlow Semi Condensed" w:eastAsia="Barlow Semi Condensed" w:hAnsi="Barlow Semi Condensed"/>
          <w:sz w:val="24"/>
          <w:szCs w:val="24"/>
        </w:rPr>
        <w:t xml:space="preserve">Settima, la più fragile: l'influenza della comunità italiana e le attività della Hanns-Seidel-Stiftung negli anni Settanta e Ottanta.</w:t>
      </w:r>
    </w:p>
    <w:p>
      <w:pPr>
        <w:spacing w:after="120" w:line="276"/>
        <w:jc w:val="both"/>
      </w:pPr>
      <w:r>
        <w:rPr>
          <w:rFonts w:ascii="Barlow Semi Condensed" w:cs="Barlow Semi Condensed" w:eastAsia="Barlow Semi Condensed" w:hAnsi="Barlow Semi Condensed"/>
          <w:sz w:val="24"/>
          <w:szCs w:val="24"/>
        </w:rPr>
        <w:t xml:space="preserve">Una osservazione conclusiva, che riguarda la serie intera.</w:t>
      </w:r>
    </w:p>
    <w:p>
      <w:pPr>
        <w:spacing w:after="120" w:line="276"/>
        <w:jc w:val="both"/>
      </w:pPr>
      <w:r>
        <w:rPr>
          <w:rFonts w:ascii="Barlow Semi Condensed" w:cs="Barlow Semi Condensed" w:eastAsia="Barlow Semi Condensed" w:hAnsi="Barlow Semi Condensed"/>
          <w:sz w:val="24"/>
          <w:szCs w:val="24"/>
        </w:rPr>
        <w:t xml:space="preserve">Quindici ricognizioni hanno cercato lo Stato italiano e per quattordici volte non lo hanno trovato, o lo hanno trovato per interposta storiografia.</w:t>
      </w:r>
    </w:p>
    <w:p>
      <w:pPr>
        <w:spacing w:after="120" w:line="276"/>
        <w:jc w:val="both"/>
      </w:pPr>
      <w:r>
        <w:rPr>
          <w:rFonts w:ascii="Barlow Semi Condensed" w:cs="Barlow Semi Condensed" w:eastAsia="Barlow Semi Condensed" w:hAnsi="Barlow Semi Condensed"/>
          <w:sz w:val="24"/>
          <w:szCs w:val="24"/>
        </w:rPr>
        <w:t xml:space="preserve">Qui lo si è trovato in un documento americano, che lo nomina per attribuirgli un'autorizzazione.</w:t>
      </w:r>
    </w:p>
    <w:p>
      <w:pPr>
        <w:spacing w:after="120" w:line="276"/>
        <w:jc w:val="both"/>
      </w:pPr>
      <w:r>
        <w:rPr>
          <w:rFonts w:ascii="Barlow Semi Condensed" w:cs="Barlow Semi Condensed" w:eastAsia="Barlow Semi Condensed" w:hAnsi="Barlow Semi Condensed"/>
          <w:sz w:val="24"/>
          <w:szCs w:val="24"/>
        </w:rPr>
        <w:t xml:space="preserve">Non un archivio italiano, non un atto parlamentare, non una sentenza: una scheda della Central Intelligence Agency, declassificata nel 2018, che accanto a un motore scrive che la produzione fu autorizzata su licenza dall'Italia.</w:t>
      </w:r>
    </w:p>
    <w:p>
      <w:pPr>
        <w:spacing w:after="120" w:line="276"/>
        <w:jc w:val="both"/>
      </w:pPr>
      <w:r>
        <w:rPr>
          <w:rFonts w:ascii="Barlow Semi Condensed" w:cs="Barlow Semi Condensed" w:eastAsia="Barlow Semi Condensed" w:hAnsi="Barlow Semi Condensed"/>
          <w:sz w:val="24"/>
          <w:szCs w:val="24"/>
        </w:rPr>
        <w:t xml:space="preserve">Che la traccia più netta dell'azione italiana in questo perimetro provenga dall'apparato informativo di un altro Stato è, secondo me, il dato più eloquente che questa ricognizione consegna — e vale come commento a tutte le quattordici che l'hanno preceduta.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XVI · L'Italia, L'Aermacchi E Il Sudafrica Dell'Apartheid</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 5.185 parole in 9 sezioni; la più ampia è §9 Altre sezioni, con 4.383.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 168 paragrafi in 9 sezioni, 19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XVII — Italia E Germania Sul Dossier Namibiano</w:t>
      </w:r>
    </w:p>
    <w:p>
      <w:pPr>
        <w:pStyle w:val="Heading1"/>
        <w:spacing w:after="120" w:before="240"/>
      </w:pPr>
      <w:r>
        <w:rPr>
          <w:rFonts w:ascii="Barlow Semi Condensed" w:cs="Barlow Semi Condensed" w:eastAsia="Barlow Semi Condensed" w:hAnsi="Barlow Semi Condensed"/>
          <w:sz w:val="24"/>
          <w:szCs w:val="24"/>
        </w:rPr>
        <w:t xml:space="preserve">ITALIA E GERMANIA SUL DOSSIER NAMIBIANO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Sedicesima ricognizione: la terza confutazione</w:t>
      </w:r>
    </w:p>
    <w:p>
      <w:pPr>
        <w:pStyle w:val="Heading2"/>
        <w:spacing w:after="100" w:before="200"/>
      </w:pPr>
      <w:r>
        <w:rPr>
          <w:rFonts w:ascii="Barlow Semi Condensed" w:cs="Barlow Semi Condensed" w:eastAsia="Barlow Semi Condensed" w:hAnsi="Barlow Semi Condensed"/>
          <w:sz w:val="24"/>
          <w:szCs w:val="24"/>
        </w:rPr>
        <w:t xml:space="preserve">Il Gruppo di contatto occidentale e la meccanica dei seggi</w:t>
      </w:r>
    </w:p>
    <w:p>
      <w:pPr>
        <w:pStyle w:val="Heading2"/>
        <w:spacing w:after="100" w:before="200"/>
      </w:pPr>
      <w:r>
        <w:rPr>
          <w:rFonts w:ascii="Barlow Semi Condensed" w:cs="Barlow Semi Condensed" w:eastAsia="Barlow Semi Condensed" w:hAnsi="Barlow Semi Condensed"/>
          <w:sz w:val="24"/>
          <w:szCs w:val="24"/>
        </w:rPr>
        <w:t xml:space="preserve">Dodici Capitoli — sei acquisizioni — un'ipotesi dell'autore respinta</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L'ipotesi che ho proposto, e la sua confutazione</w:t>
      </w:r>
    </w:p>
    <w:p>
      <w:pPr>
        <w:spacing w:after="120" w:line="276"/>
        <w:jc w:val="both"/>
      </w:pPr>
      <w:r>
        <w:rPr>
          <w:rFonts w:ascii="Barlow Semi Condensed" w:cs="Barlow Semi Condensed" w:eastAsia="Barlow Semi Condensed" w:hAnsi="Barlow Semi Condensed"/>
          <w:sz w:val="24"/>
          <w:szCs w:val="24"/>
        </w:rPr>
        <w:t xml:space="preserve">Ho lanciato questa ricerca con un'ipotesi esplicita, e le fonti l'hanno respinta. La registro in apertura perché è la terza volta nella serie che ciò accade, e perché tacerla sarebbe il vizio che la serie serve a prevenire.</w:t>
      </w:r>
    </w:p>
    <w:p>
      <w:pPr>
        <w:spacing w:after="120" w:line="276"/>
        <w:jc w:val="both"/>
      </w:pPr>
      <w:r>
        <w:rPr>
          <w:rFonts w:ascii="Barlow Semi Condensed" w:cs="Barlow Semi Condensed" w:eastAsia="Barlow Semi Condensed" w:hAnsi="Barlow Semi Condensed"/>
          <w:sz w:val="24"/>
          <w:szCs w:val="24"/>
        </w:rPr>
        <w:t xml:space="preserve">L'ipotesi. Che l'inclusione della Repubblica Federale nel Gruppo di contatto occidentale sulla Namibia, e la contestuale esclusione dell'Italia, si spiegassero con il passato coloniale tedesco — l'Africa del Sud-Ovest tedesca dal 1884 al 1915 e il genocidio degli Herero e dei Nama fra il 1904 e il 1908 — che avrebbe conferito a Bonn un titolo particolare su quel dossier.</w:t>
      </w:r>
    </w:p>
    <w:p>
      <w:pPr>
        <w:spacing w:after="120" w:line="276"/>
        <w:jc w:val="both"/>
      </w:pPr>
      <w:r>
        <w:rPr>
          <w:rFonts w:ascii="Barlow Semi Condensed" w:cs="Barlow Semi Condensed" w:eastAsia="Barlow Semi Condensed" w:hAnsi="Barlow Semi Condensed"/>
          <w:sz w:val="24"/>
          <w:szCs w:val="24"/>
        </w:rPr>
        <w:t xml:space="preserve">La confutazione, e proviene dalla fonte più autorevole possibile: il protagonista.</w:t>
      </w:r>
    </w:p>
    <w:p>
      <w:pPr>
        <w:spacing w:after="120" w:line="276"/>
        <w:jc w:val="both"/>
      </w:pPr>
      <w:r>
        <w:rPr>
          <w:rFonts w:ascii="Barlow Semi Condensed" w:cs="Barlow Semi Condensed" w:eastAsia="Barlow Semi Condensed" w:hAnsi="Barlow Semi Condensed"/>
          <w:sz w:val="24"/>
          <w:szCs w:val="24"/>
        </w:rPr>
        <w:t xml:space="preserve">Hans-Dietrich Genscher, nella conferenza tenuta alla Humboldt-Universität il 13 aprile 2010 e pubblicata dalla Konrad-Adenauer-Stiftung, spiega l'inclusione in termini che non lasciano margine: nel 1976 la Repubblica Federale fu eletta membro non permanente del Consiglio di Sicurezza per due anni. Cinque Stati occidentali erano allora rappresentati nel Consiglio: oltre ai membri permanenti — Stati Uniti, Francia e Regno Unito — il Canada e la Repubblica Federale di Germania.</w:t>
      </w:r>
    </w:p>
    <w:p>
      <w:pPr>
        <w:spacing w:after="120" w:line="276"/>
        <w:jc w:val="both"/>
      </w:pPr>
      <w:r>
        <w:rPr>
          <w:rFonts w:ascii="Barlow Semi Condensed" w:cs="Barlow Semi Condensed" w:eastAsia="Barlow Semi Condensed" w:hAnsi="Barlow Semi Condensed"/>
          <w:sz w:val="24"/>
          <w:szCs w:val="24"/>
        </w:rPr>
        <w:t xml:space="preserve">Il criterio di appartenenza era il seggio. Nient'altro.</w:t>
      </w:r>
    </w:p>
    <w:p>
      <w:pPr>
        <w:spacing w:after="120" w:line="276"/>
        <w:jc w:val="both"/>
      </w:pPr>
      <w:r>
        <w:rPr>
          <w:rFonts w:ascii="Barlow Semi Condensed" w:cs="Barlow Semi Condensed" w:eastAsia="Barlow Semi Condensed" w:hAnsi="Barlow Semi Condensed"/>
          <w:sz w:val="24"/>
          <w:szCs w:val="24"/>
        </w:rPr>
        <w:t xml:space="preserve">E vi è di più, perché il passato coloniale non fu titolo ma ingombro. Genscher riconosce che la Germania aveva su questo un particolare handicap: Bonn aveva un consolato a Windhoek per l'assistenza ai tedeschi residenti, ma a condizione, imposta da Pretoria, che fosse parte dell'ambasciata tedesca in Sudafrica — sicché Pretoria lo interpretava come riconoscimento del proprio dominio sulla Namibia.</w:t>
      </w:r>
    </w:p>
    <w:p>
      <w:pPr>
        <w:spacing w:after="120" w:line="276"/>
        <w:jc w:val="both"/>
      </w:pPr>
      <w:r>
        <w:rPr>
          <w:rFonts w:ascii="Barlow Semi Condensed" w:cs="Barlow Semi Condensed" w:eastAsia="Barlow Semi Condensed" w:hAnsi="Barlow Semi Condensed"/>
          <w:sz w:val="24"/>
          <w:szCs w:val="24"/>
        </w:rPr>
        <w:t xml:space="preserve">Alla fine dell'ottobre 1977 il governo socialdemocratico-liberale chiuse il consolato di Windhoek, e Genscher lo qualifica passo decisivo nella politica africana tedesca e soprattutto nella sua credibilità verso gli Stati ancora in attesa dell'indipendenza.</w:t>
      </w:r>
    </w:p>
    <w:p>
      <w:pPr>
        <w:spacing w:after="120" w:line="276"/>
        <w:jc w:val="both"/>
      </w:pPr>
      <w:r>
        <w:rPr>
          <w:rFonts w:ascii="Barlow Semi Condensed" w:cs="Barlow Semi Condensed" w:eastAsia="Barlow Semi Condensed" w:hAnsi="Barlow Semi Condensed"/>
          <w:sz w:val="24"/>
          <w:szCs w:val="24"/>
        </w:rPr>
        <w:t xml:space="preserve">Ne discende che la comunità germanofona non fu motivo di inclusione ma ostacolo diplomatico che il governo dovette attivamente disinnescare.</w:t>
      </w:r>
    </w:p>
    <w:p>
      <w:pPr>
        <w:spacing w:after="120" w:line="276"/>
        <w:jc w:val="both"/>
      </w:pPr>
      <w:r>
        <w:rPr>
          <w:rFonts w:ascii="Barlow Semi Condensed" w:cs="Barlow Semi Condensed" w:eastAsia="Barlow Semi Condensed" w:hAnsi="Barlow Semi Condensed"/>
          <w:sz w:val="24"/>
          <w:szCs w:val="24"/>
        </w:rPr>
        <w:t xml:space="preserve">La mia ipotesi era dunque doppiamente errata: il titolo non era coloniale ma istituzionale, e la presenza tedesca in loco giocava contro anziché a favore.</w:t>
      </w:r>
    </w:p>
    <w:p>
      <w:pPr>
        <w:spacing w:after="120" w:line="276"/>
        <w:jc w:val="both"/>
      </w:pPr>
      <w:r>
        <w:rPr>
          <w:rFonts w:ascii="Barlow Semi Condensed" w:cs="Barlow Semi Condensed" w:eastAsia="Barlow Semi Condensed" w:hAnsi="Barlow Semi Condensed"/>
          <w:sz w:val="24"/>
          <w:szCs w:val="24"/>
        </w:rPr>
        <w:t xml:space="preserve">Che cosa resta in piedi della domanda. L'esclusione italiana è confermata, e la sua ragione è accertata con precisione al Capitolo terzo. Ma essa non dice nulla sul merito della condotta italiana: dice soltanto che l'Italia non sedeva nel Consiglio nel momento decisivo.</w:t>
      </w:r>
    </w:p>
    <w:p>
      <w:pPr>
        <w:spacing w:after="120" w:line="276"/>
        <w:jc w:val="both"/>
      </w:pPr>
      <w:r>
        <w:rPr>
          <w:rFonts w:ascii="Barlow Semi Condensed" w:cs="Barlow Semi Condensed" w:eastAsia="Barlow Semi Condensed" w:hAnsi="Barlow Semi Condensed"/>
          <w:sz w:val="24"/>
          <w:szCs w:val="24"/>
        </w:rPr>
        <w:t xml:space="preserve">E il Capitolo undicesimo mostra che, quando si guarda alla condotta anziché alla collocazione, il quadro si rovescia in modo istruttivo: nessuna delle due potenze ebbe condotta lineare.</w:t>
      </w:r>
    </w:p>
    <w:p>
      <w:pPr>
        <w:pStyle w:val="Heading2"/>
        <w:spacing w:after="100" w:before="200"/>
      </w:pPr>
      <w:r>
        <w:rPr>
          <w:rFonts w:ascii="Barlow Semi Condensed" w:cs="Barlow Semi Condensed" w:eastAsia="Barlow Semi Condensed" w:hAnsi="Barlow Semi Condensed"/>
          <w:sz w:val="24"/>
          <w:szCs w:val="24"/>
        </w:rPr>
        <w:t xml:space="preserve">Capitolo secondo — Il Gruppo di contatto: composizione, date, mandato, esito</w:t>
      </w:r>
    </w:p>
    <w:p>
      <w:pPr>
        <w:spacing w:after="120" w:line="276"/>
        <w:jc w:val="both"/>
      </w:pPr>
      <w:r>
        <w:rPr>
          <w:rFonts w:ascii="Barlow Semi Condensed" w:cs="Barlow Semi Condensed" w:eastAsia="Barlow Semi Condensed" w:hAnsi="Barlow Semi Condensed"/>
          <w:sz w:val="24"/>
          <w:szCs w:val="24"/>
        </w:rPr>
        <w:t xml:space="preserve">Il capitolo espone i fatti con le fonti che li reggono.</w:t>
      </w:r>
    </w:p>
    <w:p>
      <w:pPr>
        <w:spacing w:after="120" w:line="276"/>
        <w:jc w:val="both"/>
      </w:pPr>
      <w:r>
        <w:rPr>
          <w:rFonts w:ascii="Barlow Semi Condensed" w:cs="Barlow Semi Condensed" w:eastAsia="Barlow Semi Condensed" w:hAnsi="Barlow Semi Condensed"/>
          <w:sz w:val="24"/>
          <w:szCs w:val="24"/>
        </w:rPr>
        <w:t xml:space="preserve">La composizione, concorde in fonti di rango diverso. Il Gruppo di contatto occidentale — detto anche \</w:t>
      </w:r>
      <w:r>
        <w:rPr>
          <w:rFonts w:ascii="Barlow Semi Condensed" w:cs="Barlow Semi Condensed" w:eastAsia="Barlow Semi Condensed" w:hAnsi="Barlow Semi Condensed"/>
          <w:i/>
          <w:iCs/>
          <w:sz w:val="24"/>
          <w:szCs w:val="24"/>
        </w:rPr>
        <w:t xml:space="preserve">Western Five\</w:t>
      </w:r>
      <w:r>
        <w:rPr>
          <w:rFonts w:ascii="Barlow Semi Condensed" w:cs="Barlow Semi Condensed" w:eastAsia="Barlow Semi Condensed" w:hAnsi="Barlow Semi Condensed"/>
          <w:sz w:val="24"/>
          <w:szCs w:val="24"/>
        </w:rPr>
        <w:t xml:space="preserve"> o \</w:t>
      </w:r>
      <w:r>
        <w:rPr>
          <w:rFonts w:ascii="Barlow Semi Condensed" w:cs="Barlow Semi Condensed" w:eastAsia="Barlow Semi Condensed" w:hAnsi="Barlow Semi Condensed"/>
          <w:i/>
          <w:iCs/>
          <w:sz w:val="24"/>
          <w:szCs w:val="24"/>
        </w:rPr>
        <w:t xml:space="preserve">Group of the Five\</w:t>
      </w:r>
      <w:r>
        <w:rPr>
          <w:rFonts w:ascii="Barlow Semi Condensed" w:cs="Barlow Semi Condensed" w:eastAsia="Barlow Semi Condensed" w:hAnsi="Barlow Semi Condensed"/>
          <w:sz w:val="24"/>
          <w:szCs w:val="24"/>
        </w:rPr>
        <w:t xml:space="preserve"> — fu costituito nell'aprile 1977 e si compose di Stati Uniti, Regno Unito, Francia, Canada e Repubblica Federale di Germania.</w:t>
      </w:r>
    </w:p>
    <w:p>
      <w:pPr>
        <w:spacing w:after="120" w:line="276"/>
        <w:jc w:val="both"/>
      </w:pPr>
      <w:r>
        <w:rPr>
          <w:rFonts w:ascii="Barlow Semi Condensed" w:cs="Barlow Semi Condensed" w:eastAsia="Barlow Semi Condensed" w:hAnsi="Barlow Semi Condensed"/>
          <w:sz w:val="24"/>
          <w:szCs w:val="24"/>
        </w:rPr>
        <w:t xml:space="preserve">Le fonti. La voce curata da Chris Saunders per la Wiley Blackwell e lo studio di Tetsuya Iji in \</w:t>
      </w:r>
      <w:r>
        <w:rPr>
          <w:rFonts w:ascii="Barlow Semi Condensed" w:cs="Barlow Semi Condensed" w:eastAsia="Barlow Semi Condensed" w:hAnsi="Barlow Semi Condensed"/>
          <w:i/>
          <w:iCs/>
          <w:sz w:val="24"/>
          <w:szCs w:val="24"/>
        </w:rPr>
        <w:t xml:space="preserve">Diplomacy &amp; Statecraft\</w:t>
      </w:r>
      <w:r>
        <w:rPr>
          <w:rFonts w:ascii="Barlow Semi Condensed" w:cs="Barlow Semi Condensed" w:eastAsia="Barlow Semi Condensed" w:hAnsi="Barlow Semi Condensed"/>
          <w:sz w:val="24"/>
          <w:szCs w:val="24"/>
        </w:rPr>
        <w:t xml:space="preserve">, volume ventiduesimo numero quarto del 2011, pagine seicentotrentaquattro-seicentocinquanta, descrivono il gruppo come composto di cinque membri del Consiglio di Sicurezza. Lo studio classico di Margaret P. Karns in \</w:t>
      </w:r>
      <w:r>
        <w:rPr>
          <w:rFonts w:ascii="Barlow Semi Condensed" w:cs="Barlow Semi Condensed" w:eastAsia="Barlow Semi Condensed" w:hAnsi="Barlow Semi Condensed"/>
          <w:i/>
          <w:iCs/>
          <w:sz w:val="24"/>
          <w:szCs w:val="24"/>
        </w:rPr>
        <w:t xml:space="preserve">International Organization\</w:t>
      </w:r>
      <w:r>
        <w:rPr>
          <w:rFonts w:ascii="Barlow Semi Condensed" w:cs="Barlow Semi Condensed" w:eastAsia="Barlow Semi Condensed" w:hAnsi="Barlow Semi Condensed"/>
          <w:sz w:val="24"/>
          <w:szCs w:val="24"/>
        </w:rPr>
        <w:t xml:space="preserve">, volume quarantunesimo numero primo, inverno 1987, pagine novantatré-centoventitré, precisa che esso operò attivamente dall'aprile 1977 alla metà del 1982. La monografia di Jochen Prantl per la Oxford University Press del 2006 lo inquadra come primo esempio di gruppo informale collegato al Consiglio.</w:t>
      </w:r>
    </w:p>
    <w:p>
      <w:pPr>
        <w:spacing w:after="120" w:line="276"/>
        <w:jc w:val="both"/>
      </w:pPr>
      <w:r>
        <w:rPr>
          <w:rFonts w:ascii="Barlow Semi Condensed" w:cs="Barlow Semi Condensed" w:eastAsia="Barlow Semi Condensed" w:hAnsi="Barlow Semi Condensed"/>
          <w:sz w:val="24"/>
          <w:szCs w:val="24"/>
        </w:rPr>
        <w:t xml:space="preserve">Il mandato. Negoziale e non coercitivo: elaborare una proposta di transizione all'indipendenza accettabile per il Sudafrica, per gli Stati della linea del fronte e per la SWAPO. L'attività si dispiegò, secondo Karns, in stretta prossimità alle Nazioni Unite ma senza collegamento diretto con esse.</w:t>
      </w:r>
    </w:p>
    <w:p>
      <w:pPr>
        <w:spacing w:after="120" w:line="276"/>
        <w:jc w:val="both"/>
      </w:pPr>
      <w:r>
        <w:rPr>
          <w:rFonts w:ascii="Barlow Semi Condensed" w:cs="Barlow Semi Condensed" w:eastAsia="Barlow Semi Condensed" w:hAnsi="Barlow Semi Condensed"/>
          <w:sz w:val="24"/>
          <w:szCs w:val="24"/>
        </w:rPr>
        <w:t xml:space="preserve">L'esito formale.\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i/>
          <w:iCs/>
          <w:sz w:val="24"/>
          <w:szCs w:val="24"/>
        </w:rPr>
        <w:t xml:space="preserve">Settlement Proposal\</w:t>
      </w:r>
      <w:r>
        <w:rPr>
          <w:rFonts w:ascii="Barlow Semi Condensed" w:cs="Barlow Semi Condensed" w:eastAsia="Barlow Semi Condensed" w:hAnsi="Barlow Semi Condensed"/>
          <w:sz w:val="24"/>
          <w:szCs w:val="24"/>
        </w:rPr>
        <w:t xml:space="preserve"> del 1978 confluì nella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risoluzione quattrocentotrentacinque, adottata il 29 settembre 1978.</w:t>
      </w:r>
    </w:p>
    <w:p>
      <w:pPr>
        <w:spacing w:after="120" w:line="276"/>
        <w:jc w:val="both"/>
      </w:pPr>
      <w:r>
        <w:rPr>
          <w:rFonts w:ascii="Barlow Semi Condensed" w:cs="Barlow Semi Condensed" w:eastAsia="Barlow Semi Condensed" w:hAnsi="Barlow Semi Condensed"/>
          <w:sz w:val="24"/>
          <w:szCs w:val="24"/>
        </w:rPr>
        <w:t xml:space="preserve">Il testo ufficiale attesta che essa fu adottata nella duemilaottantasettesima seduta con dodici voti favorevoli, nessuno contrario e due astensioni — Cecoslovacchia e Unione Sovietica — con la Cina non partecipante al voto. Approvava il rapporto del Segretario generale sull'attuazione della proposta e istituiva lo United Nations Transition Assistance Group per un massimo di dodici mesi.</w:t>
      </w:r>
    </w:p>
    <w:p>
      <w:pPr>
        <w:spacing w:after="120" w:line="276"/>
        <w:jc w:val="both"/>
      </w:pPr>
      <w:r>
        <w:rPr>
          <w:rFonts w:ascii="Barlow Semi Condensed" w:cs="Barlow Semi Condensed" w:eastAsia="Barlow Semi Condensed" w:hAnsi="Barlow Semi Condensed"/>
          <w:sz w:val="24"/>
          <w:szCs w:val="24"/>
        </w:rPr>
        <w:t xml:space="preserve">E qui il dato che vale per la nostra domanda.\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Fra i votanti figurano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Bolivia, Canada, Cecoslovacchia, Francia, Gabon, Repubblica Federale di Germania, India, Kuwait, Mauritius, Nigeria, Unione Sovietica, Regno Unito, Stati Uniti e Venezuela.</w:t>
      </w:r>
    </w:p>
    <w:p>
      <w:pPr>
        <w:spacing w:after="120" w:line="276"/>
        <w:jc w:val="both"/>
      </w:pPr>
      <w:r>
        <w:rPr>
          <w:rFonts w:ascii="Barlow Semi Condensed" w:cs="Barlow Semi Condensed" w:eastAsia="Barlow Semi Condensed" w:hAnsi="Barlow Semi Condensed"/>
          <w:sz w:val="24"/>
          <w:szCs w:val="24"/>
        </w:rPr>
        <w:t xml:space="preserve">La Repubblica Federale è presente. L'Italia non c'è.</w:t>
      </w:r>
    </w:p>
    <w:p>
      <w:pPr>
        <w:spacing w:after="120" w:line="276"/>
        <w:jc w:val="both"/>
      </w:pPr>
      <w:r>
        <w:rPr>
          <w:rFonts w:ascii="Barlow Semi Condensed" w:cs="Barlow Semi Condensed" w:eastAsia="Barlow Semi Condensed" w:hAnsi="Barlow Semi Condensed"/>
          <w:sz w:val="24"/>
          <w:szCs w:val="24"/>
        </w:rPr>
        <w:t xml:space="preserve">Durata ed esito vanno distinti su due piani. La letteratura colloca la fase attiva fra l'aprile 1977 e il 1982-1983, con dissoluzione attorno al 1983. Ma la proposta non fu attuata per oltre un decennio: il Sudafrica tenne elezioni unilaterali boicottate dalla SWAPO, continuò ad amministrare il territorio tramite un Amministratore generale, e gli Stati Uniti dell'amministrazione Reagan subordinarono l'attuazione al ritiro delle truppe cubane dall'Angola, secondo la dottrina del \</w:t>
      </w:r>
      <w:r>
        <w:rPr>
          <w:rFonts w:ascii="Barlow Semi Condensed" w:cs="Barlow Semi Condensed" w:eastAsia="Barlow Semi Condensed" w:hAnsi="Barlow Semi Condensed"/>
          <w:i/>
          <w:iCs/>
          <w:sz w:val="24"/>
          <w:szCs w:val="24"/>
        </w:rPr>
        <w:t xml:space="preserve">linkage\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L'indipendenza si raggiunse il 21 marzo 1990, in attuazione degli accordi di New York del dicembre 1988.</w:t>
      </w:r>
    </w:p>
    <w:p>
      <w:pPr>
        <w:spacing w:after="120" w:line="276"/>
        <w:jc w:val="both"/>
      </w:pPr>
      <w:r>
        <w:rPr>
          <w:rFonts w:ascii="Barlow Semi Condensed" w:cs="Barlow Semi Condensed" w:eastAsia="Barlow Semi Condensed" w:hAnsi="Barlow Semi Condensed"/>
          <w:sz w:val="24"/>
          <w:szCs w:val="24"/>
        </w:rPr>
        <w:t xml:space="preserve">Il giudizio del protagonista va riportato come tale.\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Genscher, nel 2010: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otto anni preziosi furono così perduti.</w:t>
      </w:r>
    </w:p>
    <w:p>
      <w:pPr>
        <w:pStyle w:val="Heading2"/>
        <w:spacing w:after="100" w:before="200"/>
      </w:pPr>
      <w:r>
        <w:rPr>
          <w:rFonts w:ascii="Barlow Semi Condensed" w:cs="Barlow Semi Condensed" w:eastAsia="Barlow Semi Condensed" w:hAnsi="Barlow Semi Condensed"/>
          <w:sz w:val="24"/>
          <w:szCs w:val="24"/>
        </w:rPr>
        <w:t xml:space="preserve">Capitolo terzo — L'esclusione italiana: confermata, e la sua ragione</w:t>
      </w:r>
    </w:p>
    <w:p>
      <w:pPr>
        <w:spacing w:after="120" w:line="276"/>
        <w:jc w:val="both"/>
      </w:pPr>
      <w:r>
        <w:rPr>
          <w:rFonts w:ascii="Barlow Semi Condensed" w:cs="Barlow Semi Condensed" w:eastAsia="Barlow Semi Condensed" w:hAnsi="Barlow Semi Condensed"/>
          <w:sz w:val="24"/>
          <w:szCs w:val="24"/>
        </w:rPr>
        <w:t xml:space="preserve">Il capitolo accerta l'esclusione e ne stabilisce la causa con precisione definitiva.</w:t>
      </w:r>
    </w:p>
    <w:p>
      <w:pPr>
        <w:spacing w:after="120" w:line="276"/>
        <w:jc w:val="both"/>
      </w:pPr>
      <w:r>
        <w:rPr>
          <w:rFonts w:ascii="Barlow Semi Condensed" w:cs="Barlow Semi Condensed" w:eastAsia="Barlow Semi Condensed" w:hAnsi="Barlow Semi Condensed"/>
          <w:sz w:val="24"/>
          <w:szCs w:val="24"/>
        </w:rPr>
        <w:t xml:space="preserve">I mandati italiani nel Consiglio di Sicurezza\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dall'elenco della Missione permanente e dalla pagina del Consiglio: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1959-1960, 1971-1972, 1975-1976, 1987-1988, 1995-1996, 2007-2008, 2017-2018.</w:t>
      </w:r>
    </w:p>
    <w:p>
      <w:pPr>
        <w:spacing w:after="120" w:line="276"/>
        <w:jc w:val="both"/>
      </w:pPr>
      <w:r>
        <w:rPr>
          <w:rFonts w:ascii="Barlow Semi Condensed" w:cs="Barlow Semi Condensed" w:eastAsia="Barlow Semi Condensed" w:hAnsi="Barlow Semi Condensed"/>
          <w:sz w:val="24"/>
          <w:szCs w:val="24"/>
        </w:rPr>
        <w:t xml:space="preserve">Il dato dirimente.\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mandato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1975-1976 si concluse il 31 dicembre 1976.\</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successivo iniziò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 gennaio 1987.</w:t>
      </w:r>
    </w:p>
    <w:p>
      <w:pPr>
        <w:spacing w:after="120" w:line="276"/>
        <w:jc w:val="both"/>
      </w:pPr>
      <w:r>
        <w:rPr>
          <w:rFonts w:ascii="Barlow Semi Condensed" w:cs="Barlow Semi Condensed" w:eastAsia="Barlow Semi Condensed" w:hAnsi="Barlow Semi Condensed"/>
          <w:sz w:val="24"/>
          <w:szCs w:val="24"/>
        </w:rPr>
        <w:t xml:space="preserve">L'Italia non ebbe dunque seggio nel 1977, nel 1978, e per l'intera vita attiva del Gruppo dal 1977 al 1983.</w:t>
      </w:r>
    </w:p>
    <w:p>
      <w:pPr>
        <w:spacing w:after="120" w:line="276"/>
        <w:jc w:val="both"/>
      </w:pPr>
      <w:r>
        <w:rPr>
          <w:rFonts w:ascii="Barlow Semi Condensed" w:cs="Barlow Semi Condensed" w:eastAsia="Barlow Semi Condensed" w:hAnsi="Barlow Semi Condensed"/>
          <w:sz w:val="24"/>
          <w:szCs w:val="24"/>
        </w:rPr>
        <w:t xml:space="preserve">Poiché l'appartenenza al gruppo era vincolata alla contestuale appartenenza al Consiglio, l'Italia era strutturalmente ineleggibile.</w:t>
      </w:r>
    </w:p>
    <w:p>
      <w:pPr>
        <w:spacing w:after="120" w:line="276"/>
        <w:jc w:val="both"/>
      </w:pPr>
      <w:r>
        <w:rPr>
          <w:rFonts w:ascii="Barlow Semi Condensed" w:cs="Barlow Semi Condensed" w:eastAsia="Barlow Semi Condensed" w:hAnsi="Barlow Semi Condensed"/>
          <w:sz w:val="24"/>
          <w:szCs w:val="24"/>
        </w:rPr>
        <w:t xml:space="preserve">E la simmetria va enunciata perché rende la causa incontrovertibile: Canada e Repubblica Federale vi entrarono precisamente perché occupavano i due seggi occidentali non permanenti che l'Italia non deteneva.</w:t>
      </w:r>
    </w:p>
    <w:p>
      <w:pPr>
        <w:spacing w:after="120" w:line="276"/>
        <w:jc w:val="both"/>
      </w:pPr>
      <w:r>
        <w:rPr>
          <w:rFonts w:ascii="Barlow Semi Condensed" w:cs="Barlow Semi Condensed" w:eastAsia="Barlow Semi Condensed" w:hAnsi="Barlow Semi Condensed"/>
          <w:sz w:val="24"/>
          <w:szCs w:val="24"/>
        </w:rPr>
        <w:t xml:space="preserve">Ne discende che la ragione è istituzionale e non un giudizio di merito.\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Non vi fu esclusione dell'Italia: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vi fu inclusione di chi sedeva, e l'Italia non sedeva.</w:t>
      </w:r>
    </w:p>
    <w:p>
      <w:pPr>
        <w:spacing w:after="120" w:line="276"/>
        <w:jc w:val="both"/>
      </w:pPr>
      <w:r>
        <w:rPr>
          <w:rFonts w:ascii="Barlow Semi Condensed" w:cs="Barlow Semi Condensed" w:eastAsia="Barlow Semi Condensed" w:hAnsi="Barlow Semi Condensed"/>
          <w:sz w:val="24"/>
          <w:szCs w:val="24"/>
        </w:rPr>
        <w:t xml:space="preserve">Il parallelo con il caso cipriota, già acquisito dalla serie, è esatto e va enunciato con la medesima cautela. Come a Cipro l'Italia risultò esclusa dal quadro delle potenze garanti, dal Consiglio di Sicurezza nel 1974 e dai contributori della forza di pace, così sulla Namibia essa risultò esclusa dal consesso negoziale per assenza dal Consiglio nel momento decisivo.</w:t>
      </w:r>
    </w:p>
    <w:p>
      <w:pPr>
        <w:spacing w:after="120" w:line="276"/>
        <w:jc w:val="both"/>
      </w:pPr>
      <w:r>
        <w:rPr>
          <w:rFonts w:ascii="Barlow Semi Condensed" w:cs="Barlow Semi Condensed" w:eastAsia="Barlow Semi Condensed" w:hAnsi="Barlow Semi Condensed"/>
          <w:sz w:val="24"/>
          <w:szCs w:val="24"/>
        </w:rPr>
        <w:t xml:space="preserve">In entrambi i casi l'esclusione non discende da un demerito, ma da una collocazione.</w:t>
      </w:r>
    </w:p>
    <w:p>
      <w:pPr>
        <w:spacing w:after="120" w:line="276"/>
        <w:jc w:val="both"/>
      </w:pPr>
      <w:r>
        <w:rPr>
          <w:rFonts w:ascii="Barlow Semi Condensed" w:cs="Barlow Semi Condensed" w:eastAsia="Barlow Semi Condensed" w:hAnsi="Barlow Semi Condensed"/>
          <w:sz w:val="24"/>
          <w:szCs w:val="24"/>
        </w:rPr>
        <w:t xml:space="preserve">Dove la posizione italiana si esprimeva, di necessità. Nell'Assemblea generale e, in forma collettiva, nella Cooperazione politica europea in ambito comunitario, che negli anni Ottanta disponeva di un gruppo di lavoro sull'Africa.</w:t>
      </w:r>
    </w:p>
    <w:p>
      <w:pPr>
        <w:spacing w:after="120" w:line="276"/>
        <w:jc w:val="both"/>
      </w:pPr>
      <w:r>
        <w:rPr>
          <w:rFonts w:ascii="Barlow Semi Condensed" w:cs="Barlow Semi Condensed" w:eastAsia="Barlow Semi Condensed" w:hAnsi="Barlow Semi Condensed"/>
          <w:sz w:val="24"/>
          <w:szCs w:val="24"/>
        </w:rPr>
        <w:t xml:space="preserve">Un esito negativo va dichiarato. I voti specifici italiani sulle singole risoluzioni dell'Assemblea generale relative alla Namibia e alla SWAPO non sono stati reperiti, né dichiarazioni verbali del delegato italiano. Tali documenti esistono con ogni probabilità nei verbali ufficiali reperibili tramite lo United Nations Digital Library System e nelle carte diplomatiche italiane. Sede di chiusura: l'Archivio Storico Diplomatico, Direzione Generale Affari Politici, serie ONU e Africa.</w:t>
      </w:r>
    </w:p>
    <w:p>
      <w:pPr>
        <w:spacing w:after="120" w:line="276"/>
        <w:jc w:val="both"/>
      </w:pPr>
      <w:r>
        <w:rPr>
          <w:rFonts w:ascii="Barlow Semi Condensed" w:cs="Barlow Semi Condensed" w:eastAsia="Barlow Semi Condensed" w:hAnsi="Barlow Semi Condensed"/>
          <w:sz w:val="24"/>
          <w:szCs w:val="24"/>
        </w:rPr>
        <w:t xml:space="preserve">Il contributo italiano più concreto e documentato fu operativo e tardivo. L'Italia fornì uno squadrone di elicotteri allo UNTAG nel 1989-1990, secondo la storia ufficiale delle operazioni di pace; la Repubblica Federale contribuì con personale civile per rifornimento, trasporto e manutenzione.</w:t>
      </w:r>
    </w:p>
    <w:p>
      <w:pPr>
        <w:spacing w:after="120" w:line="276"/>
        <w:jc w:val="both"/>
      </w:pPr>
      <w:r>
        <w:rPr>
          <w:rFonts w:ascii="Barlow Semi Condensed" w:cs="Barlow Semi Condensed" w:eastAsia="Barlow Semi Condensed" w:hAnsi="Barlow Semi Condensed"/>
          <w:sz w:val="24"/>
          <w:szCs w:val="24"/>
        </w:rPr>
        <w:t xml:space="preserve">Il dato è di valore comparativo: nella fase conclusiva le due potenze furono entrambe presenti, in ruoli diversi ma entrambi ausiliari.</w:t>
      </w:r>
    </w:p>
    <w:p>
      <w:pPr>
        <w:spacing w:after="120" w:line="276"/>
        <w:jc w:val="both"/>
      </w:pPr>
      <w:r>
        <w:rPr>
          <w:rFonts w:ascii="Barlow Semi Condensed" w:cs="Barlow Semi Condensed" w:eastAsia="Barlow Semi Condensed" w:hAnsi="Barlow Semi Condensed"/>
          <w:sz w:val="24"/>
          <w:szCs w:val="24"/>
        </w:rPr>
        <w:t xml:space="preserve">A titolo di contesto, l'Italia aveva votato su questioni namibiane quando sedeva nel Consiglio in periodi anteriori, per esempio sulla risoluzione trecentoventitré del 6 dicembre 1972. L'impegno italiano sulla Namibia precede e segue, ma non attraversa, la finestra del Gruppo di contatto.</w:t>
      </w:r>
    </w:p>
    <w:p>
      <w:pPr>
        <w:pStyle w:val="Heading2"/>
        <w:spacing w:after="100" w:before="200"/>
      </w:pPr>
      <w:r>
        <w:rPr>
          <w:rFonts w:ascii="Barlow Semi Condensed" w:cs="Barlow Semi Condensed" w:eastAsia="Barlow Semi Condensed" w:hAnsi="Barlow Semi Condensed"/>
          <w:sz w:val="24"/>
          <w:szCs w:val="24"/>
        </w:rPr>
        <w:t xml:space="preserve">Capitolo quarto — Il passato coloniale e il genocidio: i fatti e la loro collocazione</w:t>
      </w:r>
    </w:p>
    <w:p>
      <w:pPr>
        <w:spacing w:after="120" w:line="276"/>
        <w:jc w:val="both"/>
      </w:pPr>
      <w:r>
        <w:rPr>
          <w:rFonts w:ascii="Barlow Semi Condensed" w:cs="Barlow Semi Condensed" w:eastAsia="Barlow Semi Condensed" w:hAnsi="Barlow Semi Condensed"/>
          <w:sz w:val="24"/>
          <w:szCs w:val="24"/>
        </w:rPr>
        <w:t xml:space="preserve">Il capitolo espone la materia coloniale, che l'ipotesi confutata al Capitolo primo aveva erroneamente eletto a causa, e che resta comunque contesto necessario.</w:t>
      </w:r>
    </w:p>
    <w:p>
      <w:pPr>
        <w:spacing w:after="120" w:line="276"/>
        <w:jc w:val="both"/>
      </w:pPr>
      <w:r>
        <w:rPr>
          <w:rFonts w:ascii="Barlow Semi Condensed" w:cs="Barlow Semi Condensed" w:eastAsia="Barlow Semi Condensed" w:hAnsi="Barlow Semi Condensed"/>
          <w:sz w:val="24"/>
          <w:szCs w:val="24"/>
        </w:rPr>
        <w:t xml:space="preserve">Il dominio. L'Africa del Sud-Ovest tedesca fu colonia formale dell'Impero dal 1884 al 1915, quando l'occupazione militare sudafricana nella Prima guerra mondiale vi pose fine.</w:t>
      </w:r>
    </w:p>
    <w:p>
      <w:pPr>
        <w:spacing w:after="120" w:line="276"/>
        <w:jc w:val="both"/>
      </w:pPr>
      <w:r>
        <w:rPr>
          <w:rFonts w:ascii="Barlow Semi Condensed" w:cs="Barlow Semi Condensed" w:eastAsia="Barlow Semi Condensed" w:hAnsi="Barlow Semi Condensed"/>
          <w:sz w:val="24"/>
          <w:szCs w:val="24"/>
        </w:rPr>
        <w:t xml:space="preserve">Il genocidio, con la sequenza. Nel gennaio 1904 gli Herero guidati da Samuel Maharero insorsero, uccidendo oltre cento coloni tedeschi nell'area di Okahandja. Nel giugno 1904 il generale Lothar von Trotha fu inviato a reprimere la rivolta. Dopo la battaglia di Waterberg, nell'agosto 1904, gli Herero furono spinti nel deserto dell'Omaheke, dove gran parte morì per il blocco militare tedesco. Nell'ottobre 1904 insorsero anche i Nama, guidati da Hendrik Witbooi, e subirono sorte analoga. I sopravvissuti furono internati in campi di concentramento, dove la maggioranza morì.</w:t>
      </w:r>
    </w:p>
    <w:p>
      <w:pPr>
        <w:spacing w:after="120" w:line="276"/>
        <w:jc w:val="both"/>
      </w:pPr>
      <w:r>
        <w:rPr>
          <w:rFonts w:ascii="Barlow Semi Condensed" w:cs="Barlow Semi Condensed" w:eastAsia="Barlow Semi Condensed" w:hAnsi="Barlow Semi Condensed"/>
          <w:sz w:val="24"/>
          <w:szCs w:val="24"/>
        </w:rPr>
        <w:t xml:space="preserve">Le stime delle vittime divergono ampiamente, e la divergenza va riportata anziché uniformata.</w:t>
      </w:r>
    </w:p>
    <w:p>
      <w:pPr>
        <w:spacing w:after="120" w:line="276"/>
        <w:jc w:val="both"/>
      </w:pPr>
      <w:r>
        <w:rPr>
          <w:rFonts w:ascii="Barlow Semi Condensed" w:cs="Barlow Semi Condensed" w:eastAsia="Barlow Semi Condensed" w:hAnsi="Barlow Semi Condensed"/>
          <w:sz w:val="24"/>
          <w:szCs w:val="24"/>
        </w:rPr>
        <w:t xml:space="preserve">L'\</w:t>
      </w:r>
      <w:r>
        <w:rPr>
          <w:rFonts w:ascii="Barlow Semi Condensed" w:cs="Barlow Semi Condensed" w:eastAsia="Barlow Semi Condensed" w:hAnsi="Barlow Semi Condensed"/>
          <w:i/>
          <w:iCs/>
          <w:sz w:val="24"/>
          <w:szCs w:val="24"/>
        </w:rPr>
        <w:t xml:space="preserve">Encyclopædia Britannica\</w:t>
      </w:r>
      <w:r>
        <w:rPr>
          <w:rFonts w:ascii="Barlow Semi Condensed" w:cs="Barlow Semi Condensed" w:eastAsia="Barlow Semi Condensed" w:hAnsi="Barlow Semi Condensed"/>
          <w:sz w:val="24"/>
          <w:szCs w:val="24"/>
        </w:rPr>
        <w:t xml:space="preserve"> indica la morte di circa il settantacinque per cento della popolazione Herero. Una fonte su Faber-Jonker del 2023 riporta da quarantamila a ottantamila Herero, l'ottanta per cento della popolazione prebellica, e diecimila Nama, la metà. La dichiarazione tedesco-namibiana del 2021 parla di circa sessantacinquemila Herero e almeno diecimila Nama. Altra fonte indica da cinquantamila a sessantacinquemila Herero e diecimila Nama. Una voce sulla rivolta riporta da sessantacinquemila a settantamila comprendendo i civili.</w:t>
      </w:r>
    </w:p>
    <w:p>
      <w:pPr>
        <w:spacing w:after="120" w:line="276"/>
        <w:jc w:val="both"/>
      </w:pPr>
      <w:r>
        <w:rPr>
          <w:rFonts w:ascii="Barlow Semi Condensed" w:cs="Barlow Semi Condensed" w:eastAsia="Barlow Semi Condensed" w:hAnsi="Barlow Semi Condensed"/>
          <w:sz w:val="24"/>
          <w:szCs w:val="24"/>
        </w:rPr>
        <w:t xml:space="preserve">Le forbici oscillano per gli Herero fra ventiquattromila-quarantamila e ottantamila-centomila; per i Nama vi è maggiore convergenza attorno a diecimila. La divergenza dipende dalla base demografica prebellica assunta, dai criteri di computo e dalla scarsità di censimenti affidabili.</w:t>
      </w:r>
    </w:p>
    <w:p>
      <w:pPr>
        <w:spacing w:after="120" w:line="276"/>
        <w:jc w:val="both"/>
      </w:pPr>
      <w:r>
        <w:rPr>
          <w:rFonts w:ascii="Barlow Semi Condensed" w:cs="Barlow Semi Condensed" w:eastAsia="Barlow Semi Condensed" w:hAnsi="Barlow Semi Condensed"/>
          <w:sz w:val="24"/>
          <w:szCs w:val="24"/>
        </w:rPr>
        <w:t xml:space="preserve">Sul piano della qualificazione, il regime giuridico va distinto dal giudizio storiografico. La Convenzione sul genocidio è del 1948, e la posizione ufficiale tedesca, ribadita nel 2021, è che essa non può applicarsi retroattivamente: la responsabilità è dichiarata morale, storica e politica ma non giuridica in senso stretto. Heiko Maas, il 28 maggio 2021: da ciò non possono derivarsi pretese giuridiche di risarcimento.</w:t>
      </w:r>
    </w:p>
    <w:p>
      <w:pPr>
        <w:spacing w:after="120" w:line="276"/>
        <w:jc w:val="both"/>
      </w:pPr>
      <w:r>
        <w:rPr>
          <w:rFonts w:ascii="Barlow Semi Condensed" w:cs="Barlow Semi Condensed" w:eastAsia="Barlow Semi Condensed" w:hAnsi="Barlow Semi Condensed"/>
          <w:sz w:val="24"/>
          <w:szCs w:val="24"/>
        </w:rPr>
        <w:t xml:space="preserve">La qualificazione di genocidio fu proposta già dal Rapporto Whitaker delle Nazioni Unite del 1985.</w:t>
      </w:r>
    </w:p>
    <w:p>
      <w:pPr>
        <w:spacing w:after="120" w:line="276"/>
        <w:jc w:val="both"/>
      </w:pPr>
      <w:r>
        <w:rPr>
          <w:rFonts w:ascii="Barlow Semi Condensed" w:cs="Barlow Semi Condensed" w:eastAsia="Barlow Semi Condensed" w:hAnsi="Barlow Semi Condensed"/>
          <w:sz w:val="24"/>
          <w:szCs w:val="24"/>
        </w:rPr>
        <w:t xml:space="preserve">La distinzione fra qualificazione storiografico-morale e regime applicabile ratione temporis è una precisa scelta interpretativa dello Stato tedesco, di cui va dato conto senza per questo attenuare la natura criminale dei fatti, che va enunciata come contesto.</w:t>
      </w:r>
    </w:p>
    <w:p>
      <w:pPr>
        <w:pStyle w:val="Heading2"/>
        <w:spacing w:after="100" w:before="200"/>
      </w:pPr>
      <w:r>
        <w:rPr>
          <w:rFonts w:ascii="Barlow Semi Condensed" w:cs="Barlow Semi Condensed" w:eastAsia="Barlow Semi Condensed" w:hAnsi="Barlow Semi Condensed"/>
          <w:sz w:val="24"/>
          <w:szCs w:val="24"/>
        </w:rPr>
        <w:t xml:space="preserve">Capitolo quinto — Il riconoscimento, e perché è posteriore al perimetro</w:t>
      </w:r>
    </w:p>
    <w:p>
      <w:pPr>
        <w:spacing w:after="120" w:line="276"/>
        <w:jc w:val="both"/>
      </w:pPr>
      <w:r>
        <w:rPr>
          <w:rFonts w:ascii="Barlow Semi Condensed" w:cs="Barlow Semi Condensed" w:eastAsia="Barlow Semi Condensed" w:hAnsi="Barlow Semi Condensed"/>
          <w:sz w:val="24"/>
          <w:szCs w:val="24"/>
        </w:rPr>
        <w:t xml:space="preserve">Il capitolo espone il percorso del riconoscimento tedesco e ne fissa la collocazione cronologica, che è dirimente.</w:t>
      </w:r>
    </w:p>
    <w:p>
      <w:pPr>
        <w:spacing w:after="120" w:line="276"/>
        <w:jc w:val="both"/>
      </w:pPr>
      <w:r>
        <w:rPr>
          <w:rFonts w:ascii="Barlow Semi Condensed" w:cs="Barlow Semi Condensed" w:eastAsia="Barlow Semi Condensed" w:hAnsi="Barlow Semi Condensed"/>
          <w:sz w:val="24"/>
          <w:szCs w:val="24"/>
        </w:rPr>
        <w:t xml:space="preserve">Il percorso, per date. Nel 2004 la ministra per la cooperazione allo sviluppo Heidemarie Wieczorek-Zeul, in visita in Namibia, offrì quella che definì un'apologia, parlando di ciò che oggi si chiamerebbe genocidio, pur escludendo compensazioni. Nel 2015 il governo tedesco riconobbe che era stato commesso un genocidio. Il 28 maggio 2021, dopo oltre cinque anni di negoziati aperti nel 2015, riconobbe formalmente gli eventi del 1904-1908 come genocidio e annunciò un pacchetto di un miliardo e cento milioni di euro da erogare in trent'anni.</w:t>
      </w:r>
    </w:p>
    <w:p>
      <w:pPr>
        <w:spacing w:after="120" w:line="276"/>
        <w:jc w:val="both"/>
      </w:pPr>
      <w:r>
        <w:rPr>
          <w:rFonts w:ascii="Barlow Semi Condensed" w:cs="Barlow Semi Condensed" w:eastAsia="Barlow Semi Condensed" w:hAnsi="Barlow Semi Condensed"/>
          <w:sz w:val="24"/>
          <w:szCs w:val="24"/>
        </w:rPr>
        <w:t xml:space="preserve">La ripartizione, secondo le fonti ufficiali e la stampa namibiana: cinquanta milioni per la riconciliazione, centotrenta per energie rinnovabili, centocinquanta per la formazione professionale, cento per strade rurali, centotrenta per l'approvvigionamento idrico rurale e cinquecentoquaranta per acquisizione di terreni e formazione.</w:t>
      </w:r>
    </w:p>
    <w:p>
      <w:pPr>
        <w:spacing w:after="120" w:line="276"/>
        <w:jc w:val="both"/>
      </w:pPr>
      <w:r>
        <w:rPr>
          <w:rFonts w:ascii="Barlow Semi Condensed" w:cs="Barlow Semi Condensed" w:eastAsia="Barlow Semi Condensed" w:hAnsi="Barlow Semi Condensed"/>
          <w:sz w:val="24"/>
          <w:szCs w:val="24"/>
        </w:rPr>
        <w:t xml:space="preserve">I negoziatori furono Ruprecht Polenz per la Germania e Zedekia Ngavirue per la Namibia.</w:t>
      </w:r>
    </w:p>
    <w:p>
      <w:pPr>
        <w:spacing w:after="120" w:line="276"/>
        <w:jc w:val="both"/>
      </w:pPr>
      <w:r>
        <w:rPr>
          <w:rFonts w:ascii="Barlow Semi Condensed" w:cs="Barlow Semi Condensed" w:eastAsia="Barlow Semi Condensed" w:hAnsi="Barlow Semi Condensed"/>
          <w:sz w:val="24"/>
          <w:szCs w:val="24"/>
        </w:rPr>
        <w:t xml:space="preserve">Le critiche vanno riportate perché sono parte del fatto. L'accordo è stato aspramente criticato dai rappresentanti Ovaherero e Nama — fra cui l'Ovaherero Traditional Authority, la Nama Traditional Leaders Association e l'Ovaherero Genocide Foundation di Nandiuasora Mazeingo — per averli esclusi dai negoziati e per l'esclusione di riparazioni dirette.</w:t>
      </w:r>
    </w:p>
    <w:p>
      <w:pPr>
        <w:spacing w:after="120" w:line="276"/>
        <w:jc w:val="both"/>
      </w:pPr>
      <w:r>
        <w:rPr>
          <w:rFonts w:ascii="Barlow Semi Condensed" w:cs="Barlow Semi Condensed" w:eastAsia="Barlow Semi Condensed" w:hAnsi="Barlow Semi Condensed"/>
          <w:sz w:val="24"/>
          <w:szCs w:val="24"/>
        </w:rPr>
        <w:t xml:space="preserve">E adesso la collocazione cronologica, che è la ragione per cui questo capitolo esiste ed è breve.</w:t>
      </w:r>
    </w:p>
    <w:p>
      <w:pPr>
        <w:spacing w:after="120" w:line="276"/>
        <w:jc w:val="both"/>
      </w:pPr>
      <w:r>
        <w:rPr>
          <w:rFonts w:ascii="Barlow Semi Condensed" w:cs="Barlow Semi Condensed" w:eastAsia="Barlow Semi Condensed" w:hAnsi="Barlow Semi Condensed"/>
          <w:sz w:val="24"/>
          <w:szCs w:val="24"/>
        </w:rPr>
        <w:t xml:space="preserve">Tutto ciò è posteriore al periodo in esame, e va tenuto rigorosamente distinto da esso.</w:t>
      </w:r>
    </w:p>
    <w:p>
      <w:pPr>
        <w:spacing w:after="120" w:line="276"/>
        <w:jc w:val="both"/>
      </w:pPr>
      <w:r>
        <w:rPr>
          <w:rFonts w:ascii="Barlow Semi Condensed" w:cs="Barlow Semi Condensed" w:eastAsia="Barlow Semi Condensed" w:hAnsi="Barlow Semi Condensed"/>
          <w:sz w:val="24"/>
          <w:szCs w:val="24"/>
        </w:rPr>
        <w:t xml:space="preserve">Negli anni dell'apartheid il genocidio non era oggetto di riconoscimento ufficiale né di dibattito politico tedesco significativo.</w:t>
      </w:r>
    </w:p>
    <w:p>
      <w:pPr>
        <w:spacing w:after="120" w:line="276"/>
        <w:jc w:val="both"/>
      </w:pPr>
      <w:r>
        <w:rPr>
          <w:rFonts w:ascii="Barlow Semi Condensed" w:cs="Barlow Semi Condensed" w:eastAsia="Barlow Semi Condensed" w:hAnsi="Barlow Semi Condensed"/>
          <w:sz w:val="24"/>
          <w:szCs w:val="24"/>
        </w:rPr>
        <w:t xml:space="preserve">E ne esiste un indizio eloquente, che vale come prova per assenza.</w:t>
      </w:r>
    </w:p>
    <w:p>
      <w:pPr>
        <w:spacing w:after="120" w:line="276"/>
        <w:jc w:val="both"/>
      </w:pPr>
      <w:r>
        <w:rPr>
          <w:rFonts w:ascii="Barlow Semi Condensed" w:cs="Barlow Semi Condensed" w:eastAsia="Barlow Semi Condensed" w:hAnsi="Barlow Semi Condensed"/>
          <w:sz w:val="24"/>
          <w:szCs w:val="24"/>
        </w:rPr>
        <w:t xml:space="preserve">La testimonianza di Genscher del 2010 non menziona il genocidio in alcun punto, pur trattando diffusamente della Namibia.</w:t>
      </w:r>
    </w:p>
    <w:p>
      <w:pPr>
        <w:spacing w:after="120" w:line="276"/>
        <w:jc w:val="both"/>
      </w:pPr>
      <w:r>
        <w:rPr>
          <w:rFonts w:ascii="Barlow Semi Condensed" w:cs="Barlow Semi Condensed" w:eastAsia="Barlow Semi Condensed" w:hAnsi="Barlow Semi Condensed"/>
          <w:sz w:val="24"/>
          <w:szCs w:val="24"/>
        </w:rPr>
        <w:t xml:space="preserve">Un ministro degli Esteri che ricostruisce trent'anni dopo la propria politica namibiana e tace il genocidio commesso dal proprio Paese in quel territorio documenta, con il proprio silenzio, che quel tema non apparteneva al lessico politico del momento che sta ricostruendo.</w:t>
      </w:r>
    </w:p>
    <w:p>
      <w:pPr>
        <w:spacing w:after="120" w:line="276"/>
        <w:jc w:val="both"/>
      </w:pPr>
      <w:r>
        <w:rPr>
          <w:rFonts w:ascii="Barlow Semi Condensed" w:cs="Barlow Semi Condensed" w:eastAsia="Barlow Semi Condensed" w:hAnsi="Barlow Semi Condensed"/>
          <w:sz w:val="24"/>
          <w:szCs w:val="24"/>
        </w:rPr>
        <w:t xml:space="preserve">Genscher inquadra invece la questione nel superamento del conflitto Est-Ovest e nel principio di autodeterminazione, con un parallelo esplicito che va riportato: rivendicammo il diritto di autodeterminazione per noi tedeschi al fine di riunirci pacificamente. Come avremmo potuto negare il diritto di autodeterminazione al popolo namibiano?</w:t>
      </w:r>
    </w:p>
    <w:p>
      <w:pPr>
        <w:spacing w:after="120" w:line="276"/>
        <w:jc w:val="both"/>
      </w:pPr>
      <w:r>
        <w:rPr>
          <w:rFonts w:ascii="Barlow Semi Condensed" w:cs="Barlow Semi Condensed" w:eastAsia="Barlow Semi Condensed" w:hAnsi="Barlow Semi Condensed"/>
          <w:sz w:val="24"/>
          <w:szCs w:val="24"/>
        </w:rPr>
        <w:t xml:space="preserve">Il parallelo è fra la questione tedesca e quella namibiana. Non fra il crimine tedesco e la vittima namibiana.</w:t>
      </w:r>
    </w:p>
    <w:p>
      <w:pPr>
        <w:pStyle w:val="Heading2"/>
        <w:spacing w:after="100" w:before="200"/>
      </w:pPr>
      <w:r>
        <w:rPr>
          <w:rFonts w:ascii="Barlow Semi Condensed" w:cs="Barlow Semi Condensed" w:eastAsia="Barlow Semi Condensed" w:hAnsi="Barlow Semi Condensed"/>
          <w:sz w:val="24"/>
          <w:szCs w:val="24"/>
        </w:rPr>
        <w:t xml:space="preserve">Capitolo sesto — La comunità germanofona: consistenza e funzione</w:t>
      </w:r>
    </w:p>
    <w:p>
      <w:pPr>
        <w:spacing w:after="120" w:line="276"/>
        <w:jc w:val="both"/>
      </w:pPr>
      <w:r>
        <w:rPr>
          <w:rFonts w:ascii="Barlow Semi Condensed" w:cs="Barlow Semi Condensed" w:eastAsia="Barlow Semi Condensed" w:hAnsi="Barlow Semi Condensed"/>
          <w:sz w:val="24"/>
          <w:szCs w:val="24"/>
        </w:rPr>
        <w:t xml:space="preserve">Il capitolo misura la comunità e ne stabilisce la funzione politica, che non è quella che l'ipotesi confutata supponeva.</w:t>
      </w:r>
    </w:p>
    <w:p>
      <w:pPr>
        <w:spacing w:after="120" w:line="276"/>
        <w:jc w:val="both"/>
      </w:pPr>
      <w:r>
        <w:rPr>
          <w:rFonts w:ascii="Barlow Semi Condensed" w:cs="Barlow Semi Condensed" w:eastAsia="Barlow Semi Condensed" w:hAnsi="Barlow Semi Condensed"/>
          <w:sz w:val="24"/>
          <w:szCs w:val="24"/>
        </w:rPr>
        <w:t xml:space="preserve">I numeri, con la divergenza. Il censimento sudafricano del 1981 riportava una popolazione bianca in Namibia di settantaseimilaquattrocentotrenta unità, di cui il settantuno per cento afrikaner e il diciassette per cento germanofona — dunque circa tredicimila persone di lingua tedesca.</w:t>
      </w:r>
    </w:p>
    <w:p>
      <w:pPr>
        <w:spacing w:after="120" w:line="276"/>
        <w:jc w:val="both"/>
      </w:pPr>
      <w:r>
        <w:rPr>
          <w:rFonts w:ascii="Barlow Semi Condensed" w:cs="Barlow Semi Condensed" w:eastAsia="Barlow Semi Condensed" w:hAnsi="Barlow Semi Condensed"/>
          <w:sz w:val="24"/>
          <w:szCs w:val="24"/>
        </w:rPr>
        <w:t xml:space="preserve">Le stime contemporanee attestano invece circa trentamila namibiani di origine tedesca, circa il due per cento della popolazione, a fronte di una popolazione bianca totale di cinquantatremilasettecentosettantatré al censimento del 2023.</w:t>
      </w:r>
    </w:p>
    <w:p>
      <w:pPr>
        <w:spacing w:after="120" w:line="276"/>
        <w:jc w:val="both"/>
      </w:pPr>
      <w:r>
        <w:rPr>
          <w:rFonts w:ascii="Barlow Semi Condensed" w:cs="Barlow Semi Condensed" w:eastAsia="Barlow Semi Condensed" w:hAnsi="Barlow Semi Condensed"/>
          <w:sz w:val="24"/>
          <w:szCs w:val="24"/>
        </w:rPr>
        <w:t xml:space="preserve">La divergenza fra il dato censuario del 1981 e le stime odierne è spiegabile con la crescita demografica, con i diversi criteri — lingua madre contro ascendenza — e con l'assenza di censimenti linguistici affidabili.</w:t>
      </w:r>
    </w:p>
    <w:p>
      <w:pPr>
        <w:spacing w:after="120" w:line="276"/>
        <w:jc w:val="both"/>
      </w:pPr>
      <w:r>
        <w:rPr>
          <w:rFonts w:ascii="Barlow Semi Condensed" w:cs="Barlow Semi Condensed" w:eastAsia="Barlow Semi Condensed" w:hAnsi="Barlow Semi Condensed"/>
          <w:sz w:val="24"/>
          <w:szCs w:val="24"/>
        </w:rPr>
        <w:t xml:space="preserve">La distribuzione. Concentrata a Windhoek e nelle località costiere di Swakopmund e Lüderitz, oltre che nel triangolo di Otavi e a Otjiwarongo, con scuole, chiese, stampa e radiodiffusione in tedesco e una varietà linguistica propria, il Südwesterdeutsch.</w:t>
      </w:r>
    </w:p>
    <w:p>
      <w:pPr>
        <w:spacing w:after="120" w:line="276"/>
        <w:jc w:val="both"/>
      </w:pPr>
      <w:r>
        <w:rPr>
          <w:rFonts w:ascii="Barlow Semi Condensed" w:cs="Barlow Semi Condensed" w:eastAsia="Barlow Semi Condensed" w:hAnsi="Barlow Semi Condensed"/>
          <w:sz w:val="24"/>
          <w:szCs w:val="24"/>
        </w:rPr>
        <w:t xml:space="preserve">E adesso la funzione politica, che va enunciata con la disciplina che la serie impone.</w:t>
      </w:r>
    </w:p>
    <w:p>
      <w:pPr>
        <w:spacing w:after="120" w:line="276"/>
        <w:jc w:val="both"/>
      </w:pPr>
      <w:r>
        <w:rPr>
          <w:rFonts w:ascii="Barlow Semi Condensed" w:cs="Barlow Semi Condensed" w:eastAsia="Barlow Semi Condensed" w:hAnsi="Barlow Semi Condensed"/>
          <w:sz w:val="24"/>
          <w:szCs w:val="24"/>
        </w:rPr>
        <w:t xml:space="preserve">La presenza di una comunità germanofona non prova, di per sé, una politica tedesca a essa ispirata.</w:t>
      </w:r>
    </w:p>
    <w:p>
      <w:pPr>
        <w:spacing w:after="120" w:line="276"/>
        <w:jc w:val="both"/>
      </w:pPr>
      <w:r>
        <w:rPr>
          <w:rFonts w:ascii="Barlow Semi Condensed" w:cs="Barlow Semi Condensed" w:eastAsia="Barlow Semi Condensed" w:hAnsi="Barlow Semi Condensed"/>
          <w:sz w:val="24"/>
          <w:szCs w:val="24"/>
        </w:rPr>
        <w:t xml:space="preserve">Ciò che le fonti attestano è l'opposto di quanto l'ipotesi supponeva: Bonn dovette gestire la comunità come fattore diplomatico delicato, e per riguadagnare credibilità presso gli Stati africani chiuse il consolato di Windhoek alla fine dell'ottobre 1977.</w:t>
      </w:r>
    </w:p>
    <w:p>
      <w:pPr>
        <w:spacing w:after="120" w:line="276"/>
        <w:jc w:val="both"/>
      </w:pPr>
      <w:r>
        <w:rPr>
          <w:rFonts w:ascii="Barlow Semi Condensed" w:cs="Barlow Semi Condensed" w:eastAsia="Barlow Semi Condensed" w:hAnsi="Barlow Semi Condensed"/>
          <w:sz w:val="24"/>
          <w:szCs w:val="24"/>
        </w:rPr>
        <w:t xml:space="preserve">La comunità era un costo, non una rendita.</w:t>
      </w:r>
    </w:p>
    <w:p>
      <w:pPr>
        <w:spacing w:after="120" w:line="276"/>
        <w:jc w:val="both"/>
      </w:pPr>
      <w:r>
        <w:rPr>
          <w:rFonts w:ascii="Barlow Semi Condensed" w:cs="Barlow Semi Condensed" w:eastAsia="Barlow Semi Condensed" w:hAnsi="Barlow Semi Condensed"/>
          <w:sz w:val="24"/>
          <w:szCs w:val="24"/>
        </w:rPr>
        <w:t xml:space="preserve">Un episodio va riportato con lo statuto della fonte dichiarato. La testata \</w:t>
      </w:r>
      <w:r>
        <w:rPr>
          <w:rFonts w:ascii="Barlow Semi Condensed" w:cs="Barlow Semi Condensed" w:eastAsia="Barlow Semi Condensed" w:hAnsi="Barlow Semi Condensed"/>
          <w:i/>
          <w:iCs/>
          <w:sz w:val="24"/>
          <w:szCs w:val="24"/>
        </w:rPr>
        <w:t xml:space="preserve">taz\</w:t>
      </w:r>
      <w:r>
        <w:rPr>
          <w:rFonts w:ascii="Barlow Semi Condensed" w:cs="Barlow Semi Condensed" w:eastAsia="Barlow Semi Condensed" w:hAnsi="Barlow Semi Condensed"/>
          <w:sz w:val="24"/>
          <w:szCs w:val="24"/>
        </w:rPr>
        <w:t xml:space="preserve">, pubblicistica di orientamento di sinistra, documenta una visita di Franz Josef Strauß a Windhoek con un ricevimento presso l'amministratore generale sudafricano Louis Pienaar, alla presenza di Pik Botha, e riferisce che Strauß vi si sarebbe autodefinito Südwester, collegandolo come successore di coloro che occuparono l'Africa del Sud-Ovest tedesca nel 1884.</w:t>
      </w:r>
    </w:p>
    <w:p>
      <w:pPr>
        <w:spacing w:after="120" w:line="276"/>
        <w:jc w:val="both"/>
      </w:pPr>
      <w:r>
        <w:rPr>
          <w:rFonts w:ascii="Barlow Semi Condensed" w:cs="Barlow Semi Condensed" w:eastAsia="Barlow Semi Condensed" w:hAnsi="Barlow Semi Condensed"/>
          <w:sz w:val="24"/>
          <w:szCs w:val="24"/>
        </w:rPr>
        <w:t xml:space="preserve">L'autoidentificazione, se autentica, è coerente con il quadro complessivo e mostra che il richiamo coloniale esisteva — ma esisteva in un uomo di partito bavarese, non nella politica del governo federale, che andava in direzione contraria.</w:t>
      </w:r>
    </w:p>
    <w:p>
      <w:pPr>
        <w:spacing w:after="120" w:line="276"/>
        <w:jc w:val="both"/>
      </w:pPr>
      <w:r>
        <w:rPr>
          <w:rFonts w:ascii="Barlow Semi Condensed" w:cs="Barlow Semi Condensed" w:eastAsia="Barlow Semi Condensed" w:hAnsi="Barlow Semi Condensed"/>
          <w:sz w:val="24"/>
          <w:szCs w:val="24"/>
        </w:rPr>
        <w:t xml:space="preserve">Ne discende una distinzione che il Capitolo decimo sviluppa: fra la politica di Bonn e la politica della Baviera vi era, su questa materia, uno scarto.</w:t>
      </w:r>
    </w:p>
    <w:p>
      <w:pPr>
        <w:pStyle w:val="Heading2"/>
        <w:spacing w:after="100" w:before="200"/>
      </w:pPr>
      <w:r>
        <w:rPr>
          <w:rFonts w:ascii="Barlow Semi Condensed" w:cs="Barlow Semi Condensed" w:eastAsia="Barlow Semi Condensed" w:hAnsi="Barlow Semi Condensed"/>
          <w:sz w:val="24"/>
          <w:szCs w:val="24"/>
        </w:rPr>
        <w:t xml:space="preserve">Capitolo settimo — I sommergibili: ciò che è accertato e ciò che rimase non chiarito</w:t>
      </w:r>
    </w:p>
    <w:p>
      <w:pPr>
        <w:spacing w:after="120" w:line="276"/>
        <w:jc w:val="both"/>
      </w:pPr>
      <w:r>
        <w:rPr>
          <w:rFonts w:ascii="Barlow Semi Condensed" w:cs="Barlow Semi Condensed" w:eastAsia="Barlow Semi Condensed" w:hAnsi="Barlow Semi Condensed"/>
          <w:sz w:val="24"/>
          <w:szCs w:val="24"/>
        </w:rPr>
        <w:t xml:space="preserve">Il capitolo espone la sola vicenda tedesca per cui esista un accertamento documentale robusto, e separa con cura il documentato dalle voci.</w:t>
      </w:r>
    </w:p>
    <w:p>
      <w:pPr>
        <w:spacing w:after="120" w:line="276"/>
        <w:jc w:val="both"/>
      </w:pPr>
      <w:r>
        <w:rPr>
          <w:rFonts w:ascii="Barlow Semi Condensed" w:cs="Barlow Semi Condensed" w:eastAsia="Barlow Semi Condensed" w:hAnsi="Barlow Semi Condensed"/>
          <w:sz w:val="24"/>
          <w:szCs w:val="24"/>
        </w:rPr>
        <w:t xml:space="preserve">La rivelazione. Le Kieler Nachrichten del 26 novembre 1986, con il giornalista Peter Höver, rivelarono che l'Ingenieurkontor Lübeck e la Howaldtswerke-Deutsche Werft di Kiel avevano consegnato al Sudafrica piani costruttivi per quattro sommergibili di tipo duecentonove senza la richiesta autorizzazione.</w:t>
      </w:r>
    </w:p>
    <w:p>
      <w:pPr>
        <w:spacing w:after="120" w:line="276"/>
        <w:jc w:val="both"/>
      </w:pPr>
      <w:r>
        <w:rPr>
          <w:rFonts w:ascii="Barlow Semi Condensed" w:cs="Barlow Semi Condensed" w:eastAsia="Barlow Semi Condensed" w:hAnsi="Barlow Semi Condensed"/>
          <w:sz w:val="24"/>
          <w:szCs w:val="24"/>
        </w:rPr>
        <w:t xml:space="preserve">Il prezzo di quarantasei milioni di marchi risultava già iscritto nel bilancio della Howaldtswerke, secondo la \</w:t>
      </w:r>
      <w:r>
        <w:rPr>
          <w:rFonts w:ascii="Barlow Semi Condensed" w:cs="Barlow Semi Condensed" w:eastAsia="Barlow Semi Condensed" w:hAnsi="Barlow Semi Condensed"/>
          <w:i/>
          <w:iCs/>
          <w:sz w:val="24"/>
          <w:szCs w:val="24"/>
        </w:rPr>
        <w:t xml:space="preserve">taz\</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L'inchiesta.\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10 dicembre 1986\</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fu istituito un comitato d'inchiesta parlamentare del Bundestag — quarto comitato della decima legislatura, proseguito come primo dell'undicesima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attivo dal 1986 al 1990.</w:t>
      </w:r>
    </w:p>
    <w:p>
      <w:pPr>
        <w:spacing w:after="120" w:line="276"/>
        <w:jc w:val="both"/>
      </w:pPr>
      <w:r>
        <w:rPr>
          <w:rFonts w:ascii="Barlow Semi Condensed" w:cs="Barlow Semi Condensed" w:eastAsia="Barlow Semi Condensed" w:hAnsi="Barlow Semi Condensed"/>
          <w:sz w:val="24"/>
          <w:szCs w:val="24"/>
        </w:rPr>
        <w:t xml:space="preserve">L'esito, riportato testualmente.\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raccomandazione conclusiva fu disomogenea, i partiti di opposizione e di governo divergevano in tutti i punti rilevanti. I fatti centrali dell'affare rimasero dunque non chiariti.</w:t>
      </w:r>
    </w:p>
    <w:p>
      <w:pPr>
        <w:spacing w:after="120" w:line="276"/>
        <w:jc w:val="both"/>
      </w:pPr>
      <w:r>
        <w:rPr>
          <w:rFonts w:ascii="Barlow Semi Condensed" w:cs="Barlow Semi Condensed" w:eastAsia="Barlow Semi Condensed" w:hAnsi="Barlow Semi Condensed"/>
          <w:sz w:val="24"/>
          <w:szCs w:val="24"/>
        </w:rPr>
        <w:t xml:space="preserve">Ma ciò che è accertato va enunciato con eguale precisione, perché è molto. È documentato che le due imprese pianificarono e in parte eseguirono una fornitura di progetti e componenti eludendo l'autorizzazione del Bundesamt für Wirtschaft, con trasporto affidato a corrieri tramite valigia diplomatica.</w:t>
      </w:r>
    </w:p>
    <w:p>
      <w:pPr>
        <w:spacing w:after="120" w:line="276"/>
        <w:jc w:val="both"/>
      </w:pPr>
      <w:r>
        <w:rPr>
          <w:rFonts w:ascii="Barlow Semi Condensed" w:cs="Barlow Semi Condensed" w:eastAsia="Barlow Semi Condensed" w:hAnsi="Barlow Semi Condensed"/>
          <w:sz w:val="24"/>
          <w:szCs w:val="24"/>
        </w:rPr>
        <w:t xml:space="preserve">La cronologia interna, dagli atti del comitato riportati dalla taz. Al 1 giugno 1983 un primo colloquio fra Genscher, Kohl e Strauß sull'affare. Al 5 giugno 1984 il ricevimento di Pieter Willem Botha da parte di Kohl, nel quale — secondo la testimonianza del consigliere Horst Teltschik — Botha sollevò il progetto denominato IK novantasette. Dieci giorni dopo, la firma fra le due imprese e il partner sudafricano di un contratto con clausola sospensiva subordinata all'approvazione del governo federale entro il 15 agosto 1984.</w:t>
      </w:r>
    </w:p>
    <w:p>
      <w:pPr>
        <w:spacing w:after="120" w:line="276"/>
        <w:jc w:val="both"/>
      </w:pPr>
      <w:r>
        <w:rPr>
          <w:rFonts w:ascii="Barlow Semi Condensed" w:cs="Barlow Semi Condensed" w:eastAsia="Barlow Semi Condensed" w:hAnsi="Barlow Semi Condensed"/>
          <w:sz w:val="24"/>
          <w:szCs w:val="24"/>
        </w:rPr>
        <w:t xml:space="preserve">L'esito sanzionatorio. L'Oberfinanzdirektion di Kiel archiviò a metà gennaio il procedimento, ritenendo che i documenti forniti non fossero sufficienti a costruire un sommergibile o parti essenziali di esso; non furono comminate nemmeno le sanzioni pecuniarie di cinquantamila marchi inizialmente prospettate.</w:t>
      </w:r>
    </w:p>
    <w:p>
      <w:pPr>
        <w:spacing w:after="120" w:line="276"/>
        <w:jc w:val="both"/>
      </w:pPr>
      <w:r>
        <w:rPr>
          <w:rFonts w:ascii="Barlow Semi Condensed" w:cs="Barlow Semi Condensed" w:eastAsia="Barlow Semi Condensed" w:hAnsi="Barlow Semi Condensed"/>
          <w:sz w:val="24"/>
          <w:szCs w:val="24"/>
        </w:rPr>
        <w:t xml:space="preserve">Il ruolo di Strauß va enunciato con la cautela che le fonti stesse impongono. Le fonti giornalistiche riferiscono che Strauß, in occasione di una visita in Sudafrica, si sarebbe impegnato a favore della fornitura; ma la ricostruzione più cauta riconosce che ciò che realmente avvenne non fu mai chiarito completamente e offre ancora oggi molto spazio a speculazioni.</w:t>
      </w:r>
    </w:p>
    <w:p>
      <w:pPr>
        <w:spacing w:after="120" w:line="276"/>
        <w:jc w:val="both"/>
      </w:pPr>
      <w:r>
        <w:rPr>
          <w:rFonts w:ascii="Barlow Semi Condensed" w:cs="Barlow Semi Condensed" w:eastAsia="Barlow Semi Condensed" w:hAnsi="Barlow Semi Condensed"/>
          <w:sz w:val="24"/>
          <w:szCs w:val="24"/>
        </w:rPr>
        <w:t xml:space="preserve">Ne discende la ripartizione che il metodo impone. Documentato: la fornitura non autorizzata di progetti e l'esito inconcludente dell'inchiesta. Allegato e non provato: la catena di responsabilità politiche ai massimi livelli, e l'entità e destinazione dei pagamenti.</w:t>
      </w:r>
    </w:p>
    <w:p>
      <w:pPr>
        <w:spacing w:after="120" w:line="276"/>
        <w:jc w:val="both"/>
      </w:pPr>
      <w:r>
        <w:rPr>
          <w:rFonts w:ascii="Barlow Semi Condensed" w:cs="Barlow Semi Condensed" w:eastAsia="Barlow Semi Condensed" w:hAnsi="Barlow Semi Condensed"/>
          <w:sz w:val="24"/>
          <w:szCs w:val="24"/>
        </w:rPr>
        <w:t xml:space="preserve">Le presunte provvigioni vanno riportate come oggetto di indagine e di contestazione, non come fatto accertato.</w:t>
      </w:r>
    </w:p>
    <w:p>
      <w:pPr>
        <w:pStyle w:val="Heading2"/>
        <w:spacing w:after="100" w:before="200"/>
      </w:pPr>
      <w:r>
        <w:rPr>
          <w:rFonts w:ascii="Barlow Semi Condensed" w:cs="Barlow Semi Condensed" w:eastAsia="Barlow Semi Condensed" w:hAnsi="Barlow Semi Condensed"/>
          <w:sz w:val="24"/>
          <w:szCs w:val="24"/>
        </w:rPr>
        <w:t xml:space="preserve">Capitolo ottavo — Il nucleare: che cosa gli archivi confermano e che cosa smentiscono</w:t>
      </w:r>
    </w:p>
    <w:p>
      <w:pPr>
        <w:spacing w:after="120" w:line="276"/>
        <w:jc w:val="both"/>
      </w:pPr>
      <w:r>
        <w:rPr>
          <w:rFonts w:ascii="Barlow Semi Condensed" w:cs="Barlow Semi Condensed" w:eastAsia="Barlow Semi Condensed" w:hAnsi="Barlow Semi Condensed"/>
          <w:sz w:val="24"/>
          <w:szCs w:val="24"/>
        </w:rPr>
        <w:t xml:space="preserve">Il capitolo distingue il documentato dall'allegato in una materia dove la distinzione è particolarmente difficile.</w:t>
      </w:r>
    </w:p>
    <w:p>
      <w:pPr>
        <w:spacing w:after="120" w:line="276"/>
        <w:jc w:val="both"/>
      </w:pPr>
      <w:r>
        <w:rPr>
          <w:rFonts w:ascii="Barlow Semi Condensed" w:cs="Barlow Semi Condensed" w:eastAsia="Barlow Semi Condensed" w:hAnsi="Barlow Semi Condensed"/>
          <w:sz w:val="24"/>
          <w:szCs w:val="24"/>
        </w:rPr>
        <w:t xml:space="preserve">I fatti sudafricani, con le date. Il 20 luglio 1970 il primo ministro John Vorster annunciò al Parlamento che il Sudafrica era in grado di arricchire l'uranio mediante un processo proprio, il processo di separazione a vortice Helikon, basato su un ugello. La Uranium Enrichment Corporation fu costituita per costruire l'impianto pilota presso un sito adiacente a Pelindaba chiamato Valindaba — parola zulu che significa di questo non parliamo affatto — noto anche come Y-Plant.</w:t>
      </w:r>
    </w:p>
    <w:p>
      <w:pPr>
        <w:spacing w:after="120" w:line="276"/>
        <w:jc w:val="both"/>
      </w:pPr>
      <w:r>
        <w:rPr>
          <w:rFonts w:ascii="Barlow Semi Condensed" w:cs="Barlow Semi Condensed" w:eastAsia="Barlow Semi Condensed" w:hAnsi="Barlow Semi Condensed"/>
          <w:sz w:val="24"/>
          <w:szCs w:val="24"/>
        </w:rPr>
        <w:t xml:space="preserve">La costruzione iniziò nell'agosto 1971, l'impianto divenne operativo nel maggio 1975, iniziò a produrre uranio altamente arricchito nel 1978, fu chiuso per quasi due anni dopo un incidente del 1979, tornò in produzione nel 1981 e fu definitivamente chiuso e smantellato il 1 febbraio 1990.</w:t>
      </w:r>
    </w:p>
    <w:p>
      <w:pPr>
        <w:spacing w:after="120" w:line="276"/>
        <w:jc w:val="both"/>
      </w:pPr>
      <w:r>
        <w:rPr>
          <w:rFonts w:ascii="Barlow Semi Condensed" w:cs="Barlow Semi Condensed" w:eastAsia="Barlow Semi Condensed" w:hAnsi="Barlow Semi Condensed"/>
          <w:sz w:val="24"/>
          <w:szCs w:val="24"/>
        </w:rPr>
        <w:t xml:space="preserve">Il contributo tedesco documentato. Il processo Helikon era variante del metodo sviluppato dal professor Erwin Willy Becker presso il centro di ricerca di Karlsruhe. La società Steinkohlen-Elektrizität, secondo Thomas B. Cochran in \</w:t>
      </w:r>
      <w:r>
        <w:rPr>
          <w:rFonts w:ascii="Barlow Semi Condensed" w:cs="Barlow Semi Condensed" w:eastAsia="Barlow Semi Condensed" w:hAnsi="Barlow Semi Condensed"/>
          <w:i/>
          <w:iCs/>
          <w:sz w:val="24"/>
          <w:szCs w:val="24"/>
        </w:rPr>
        <w:t xml:space="preserve">Science and Global Security\</w:t>
      </w:r>
      <w:r>
        <w:rPr>
          <w:rFonts w:ascii="Barlow Semi Condensed" w:cs="Barlow Semi Condensed" w:eastAsia="Barlow Semi Condensed" w:hAnsi="Barlow Semi Condensed"/>
          <w:sz w:val="24"/>
          <w:szCs w:val="24"/>
        </w:rPr>
        <w:t xml:space="preserve"> del 1993, agevolò il trasferimento del processo tedesco ai sudafricani; l'Institute for Science and International Security precisa, su documenti, che essa fornì al Sudafrica il proprio processo segreto a ugello e che intendeva concedere alla corporazione sudafricana un'opzione per una sub-licenza di fabbricazione.</w:t>
      </w:r>
    </w:p>
    <w:p>
      <w:pPr>
        <w:spacing w:after="120" w:line="276"/>
        <w:jc w:val="both"/>
      </w:pPr>
      <w:r>
        <w:rPr>
          <w:rFonts w:ascii="Barlow Semi Condensed" w:cs="Barlow Semi Condensed" w:eastAsia="Barlow Semi Condensed" w:hAnsi="Barlow Semi Condensed"/>
          <w:sz w:val="24"/>
          <w:szCs w:val="24"/>
        </w:rPr>
        <w:t xml:space="preserve">Una cautela sulla provenienza va apposta, ed è sostanziale: la base documentale primaria risale in parte agli stessi documenti resi noti dai dossier dell'African National Congress.</w:t>
      </w:r>
    </w:p>
    <w:p>
      <w:pPr>
        <w:spacing w:after="120" w:line="276"/>
        <w:jc w:val="both"/>
      </w:pPr>
      <w:r>
        <w:rPr>
          <w:rFonts w:ascii="Barlow Semi Condensed" w:cs="Barlow Semi Condensed" w:eastAsia="Barlow Semi Condensed" w:hAnsi="Barlow Semi Condensed"/>
          <w:sz w:val="24"/>
          <w:szCs w:val="24"/>
        </w:rPr>
        <w:t xml:space="preserve">La genealogia di quei documenti. Secondo Tom Vaughan dell'Università di Aberystwyth, i documenti su cui poggia \</w:t>
      </w:r>
      <w:r>
        <w:rPr>
          <w:rFonts w:ascii="Barlow Semi Condensed" w:cs="Barlow Semi Condensed" w:eastAsia="Barlow Semi Condensed" w:hAnsi="Barlow Semi Condensed"/>
          <w:i/>
          <w:iCs/>
          <w:sz w:val="24"/>
          <w:szCs w:val="24"/>
        </w:rPr>
        <w:t xml:space="preserve">The Nuclear Axis\</w:t>
      </w:r>
      <w:r>
        <w:rPr>
          <w:rFonts w:ascii="Barlow Semi Condensed" w:cs="Barlow Semi Condensed" w:eastAsia="Barlow Semi Condensed" w:hAnsi="Barlow Semi Condensed"/>
          <w:sz w:val="24"/>
          <w:szCs w:val="24"/>
        </w:rPr>
        <w:t xml:space="preserve"> di Zdenek Červenka e Barbara Rogers, pubblicato nel 1978, furono ottenuti da personale dell'African National Congress presso l'ambasciata sudafricana nella Germania Federale, apparentemente smarriti durante un trasloco.</w:t>
      </w:r>
    </w:p>
    <w:p>
      <w:pPr>
        <w:spacing w:after="120" w:line="276"/>
        <w:jc w:val="both"/>
      </w:pPr>
      <w:r>
        <w:rPr>
          <w:rFonts w:ascii="Barlow Semi Condensed" w:cs="Barlow Semi Condensed" w:eastAsia="Barlow Semi Condensed" w:hAnsi="Barlow Semi Condensed"/>
          <w:sz w:val="24"/>
          <w:szCs w:val="24"/>
        </w:rPr>
        <w:t xml:space="preserve">E adesso il vaglio di Vaughan, che è severo e va riportato in entrambe le direzioni.</w:t>
      </w:r>
    </w:p>
    <w:p>
      <w:pPr>
        <w:spacing w:after="120" w:line="276"/>
        <w:jc w:val="both"/>
      </w:pPr>
      <w:r>
        <w:rPr>
          <w:rFonts w:ascii="Barlow Semi Condensed" w:cs="Barlow Semi Condensed" w:eastAsia="Barlow Semi Condensed" w:hAnsi="Barlow Semi Condensed"/>
          <w:sz w:val="24"/>
          <w:szCs w:val="24"/>
        </w:rPr>
        <w:t xml:space="preserve">A favore: l'opera è una pietra miliare, e l'indizio più evidente della cooperazione era la somiglianza fra il processo di arricchimento Helikon apparentemente indigeno del Sudafrica e il processo a ugello sviluppato dall'équipe di Becker a Karlsruhe.</w:t>
      </w:r>
    </w:p>
    <w:p>
      <w:pPr>
        <w:spacing w:after="120" w:line="276"/>
        <w:jc w:val="both"/>
      </w:pPr>
      <w:r>
        <w:rPr>
          <w:rFonts w:ascii="Barlow Semi Condensed" w:cs="Barlow Semi Condensed" w:eastAsia="Barlow Semi Condensed" w:hAnsi="Barlow Semi Condensed"/>
          <w:sz w:val="24"/>
          <w:szCs w:val="24"/>
        </w:rPr>
        <w:t xml:space="preserve">Contro\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loro affermazione stravagante secondo cui la Germania Federale avrebbe potuto cercare di ottenere fisicamente testate nucleari dal Sudafrica si è rivelata fuorviante.</w:t>
      </w:r>
    </w:p>
    <w:p>
      <w:pPr>
        <w:spacing w:after="120" w:line="276"/>
        <w:jc w:val="both"/>
      </w:pPr>
      <w:r>
        <w:rPr>
          <w:rFonts w:ascii="Barlow Semi Condensed" w:cs="Barlow Semi Condensed" w:eastAsia="Barlow Semi Condensed" w:hAnsi="Barlow Semi Condensed"/>
          <w:sz w:val="24"/>
          <w:szCs w:val="24"/>
        </w:rPr>
        <w:t xml:space="preserve">Vaughan avverte inoltre che tali resoconti sono di qualità e livello di dettaglio alquanto disomogenei e che la loro attendibilità va valutata criticamente.</w:t>
      </w:r>
    </w:p>
    <w:p>
      <w:pPr>
        <w:spacing w:after="120" w:line="276"/>
        <w:jc w:val="both"/>
      </w:pPr>
      <w:r>
        <w:rPr>
          <w:rFonts w:ascii="Barlow Semi Condensed" w:cs="Barlow Semi Condensed" w:eastAsia="Barlow Semi Condensed" w:hAnsi="Barlow Semi Condensed"/>
          <w:sz w:val="24"/>
          <w:szCs w:val="24"/>
        </w:rPr>
        <w:t xml:space="preserve">La collocazione della storiografia recente fondata su archivi. Robin Möser, con \</w:t>
      </w:r>
      <w:r>
        <w:rPr>
          <w:rFonts w:ascii="Barlow Semi Condensed" w:cs="Barlow Semi Condensed" w:eastAsia="Barlow Semi Condensed" w:hAnsi="Barlow Semi Condensed"/>
          <w:i/>
          <w:iCs/>
          <w:sz w:val="24"/>
          <w:szCs w:val="24"/>
        </w:rPr>
        <w:t xml:space="preserve">Disarming Apartheid\</w:t>
      </w:r>
      <w:r>
        <w:rPr>
          <w:rFonts w:ascii="Barlow Semi Condensed" w:cs="Barlow Semi Condensed" w:eastAsia="Barlow Semi Condensed" w:hAnsi="Barlow Semi Condensed"/>
          <w:sz w:val="24"/>
          <w:szCs w:val="24"/>
        </w:rPr>
        <w:t xml:space="preserve"> per la Cambridge University Press del 2024 e con l'articolo \</w:t>
      </w:r>
      <w:r>
        <w:rPr>
          <w:rFonts w:ascii="Barlow Semi Condensed" w:cs="Barlow Semi Condensed" w:eastAsia="Barlow Semi Condensed" w:hAnsi="Barlow Semi Condensed"/>
          <w:i/>
          <w:iCs/>
          <w:sz w:val="24"/>
          <w:szCs w:val="24"/>
        </w:rPr>
        <w:t xml:space="preserve">A Fly in the Ointment\</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Cold War History\</w:t>
      </w:r>
      <w:r>
        <w:rPr>
          <w:rFonts w:ascii="Barlow Semi Condensed" w:cs="Barlow Semi Condensed" w:eastAsia="Barlow Semi Condensed" w:hAnsi="Barlow Semi Condensed"/>
          <w:sz w:val="24"/>
          <w:szCs w:val="24"/>
        </w:rPr>
        <w:t xml:space="preserve">, volume venticinquesimo numero primo del 2025, ricostruisce la rete nucleare transnazionale sudafricana su documenti sudafricani, britannici, austriaci e tedeschi, mostrando negoziati paralleli con imprese francesi e tedesche.</w:t>
      </w:r>
    </w:p>
    <w:p>
      <w:pPr>
        <w:spacing w:after="120" w:line="276"/>
        <w:jc w:val="both"/>
      </w:pPr>
      <w:r>
        <w:rPr>
          <w:rFonts w:ascii="Barlow Semi Condensed" w:cs="Barlow Semi Condensed" w:eastAsia="Barlow Semi Condensed" w:hAnsi="Barlow Semi Condensed"/>
          <w:sz w:val="24"/>
          <w:szCs w:val="24"/>
        </w:rPr>
        <w:t xml:space="preserve">Ne discende la ripartizione finale. Documentato: il trasferimento del metodo di arricchimento tramite la società tedesca, e i negoziati con imprese di due Paesi. Smentito dalla storiografia d'archivio: l'asse nucleare finalizzato all'acquisizione tedesca di testate.</w:t>
      </w:r>
    </w:p>
    <w:p>
      <w:pPr>
        <w:spacing w:after="120" w:line="276"/>
        <w:jc w:val="both"/>
      </w:pPr>
      <w:r>
        <w:rPr>
          <w:rFonts w:ascii="Barlow Semi Condensed" w:cs="Barlow Semi Condensed" w:eastAsia="Barlow Semi Condensed" w:hAnsi="Barlow Semi Condensed"/>
          <w:sz w:val="24"/>
          <w:szCs w:val="24"/>
        </w:rPr>
        <w:t xml:space="preserve">La cooperazione fu commerciale e scientifica dentro una rete transnazionale, non un complotto bilaterale orientato all'arma.</w:t>
      </w:r>
    </w:p>
    <w:p>
      <w:pPr>
        <w:pStyle w:val="Heading2"/>
        <w:spacing w:after="100" w:before="200"/>
      </w:pPr>
      <w:r>
        <w:rPr>
          <w:rFonts w:ascii="Barlow Semi Condensed" w:cs="Barlow Semi Condensed" w:eastAsia="Barlow Semi Condensed" w:hAnsi="Barlow Semi Condensed"/>
          <w:sz w:val="24"/>
          <w:szCs w:val="24"/>
        </w:rPr>
        <w:t xml:space="preserve">Capitolo nono — I servizi: esito prevalentemente negativo</w:t>
      </w:r>
    </w:p>
    <w:p>
      <w:pPr>
        <w:spacing w:after="120" w:line="276"/>
        <w:jc w:val="both"/>
      </w:pPr>
      <w:r>
        <w:rPr>
          <w:rFonts w:ascii="Barlow Semi Condensed" w:cs="Barlow Semi Condensed" w:eastAsia="Barlow Semi Condensed" w:hAnsi="Barlow Semi Condensed"/>
          <w:sz w:val="24"/>
          <w:szCs w:val="24"/>
        </w:rPr>
        <w:t xml:space="preserve">Il capitolo è breve e ne dichiara la ragione: la materia richiede la massima severità e le fonti primarie mancano.</w:t>
      </w:r>
    </w:p>
    <w:p>
      <w:pPr>
        <w:spacing w:after="120" w:line="276"/>
        <w:jc w:val="both"/>
      </w:pPr>
      <w:r>
        <w:rPr>
          <w:rFonts w:ascii="Barlow Semi Condensed" w:cs="Barlow Semi Condensed" w:eastAsia="Barlow Semi Condensed" w:hAnsi="Barlow Semi Condensed"/>
          <w:sz w:val="24"/>
          <w:szCs w:val="24"/>
        </w:rPr>
        <w:t xml:space="preserve">La ragione della severità va richiamata. La serie ha già accertato, all'undicesima ricognizione, la genealogia di una connessione falsa in materia contigua, e la pubblicistica su questi temi è abbondante e spesso priva di riscontri.</w:t>
      </w:r>
    </w:p>
    <w:p>
      <w:pPr>
        <w:spacing w:after="120" w:line="276"/>
        <w:jc w:val="both"/>
      </w:pPr>
      <w:r>
        <w:rPr>
          <w:rFonts w:ascii="Barlow Semi Condensed" w:cs="Barlow Semi Condensed" w:eastAsia="Barlow Semi Condensed" w:hAnsi="Barlow Semi Condensed"/>
          <w:sz w:val="24"/>
          <w:szCs w:val="24"/>
        </w:rPr>
        <w:t xml:space="preserve">Ciò che si è reperito. Una voce enciclopedica in lingua tedesca — fonte terziaria, da verificare — afferma che il servizio sudafricano intratteneva intensi contatti di intelligence con alcuni Stati europei, e riferisce un episodio puntuale: nei primi anni Ottanta l'allora capo del Bundesnachrichtendienst Klaus Kinkel, nel corso di una visita ufficiale, incontrò Pieter Willem Botha nel Verwoerd Building a Città del Capo, con colloqui anche con il capo del servizio Niël Barnard.</w:t>
      </w:r>
    </w:p>
    <w:p>
      <w:pPr>
        <w:spacing w:after="120" w:line="276"/>
        <w:jc w:val="both"/>
      </w:pPr>
      <w:r>
        <w:rPr>
          <w:rFonts w:ascii="Barlow Semi Condensed" w:cs="Barlow Semi Condensed" w:eastAsia="Barlow Semi Condensed" w:hAnsi="Barlow Semi Condensed"/>
          <w:sz w:val="24"/>
          <w:szCs w:val="24"/>
        </w:rPr>
        <w:t xml:space="preserve">La medesima fonte afferma che il servizio tedesco aveva sostenuto in modo ampio la formazione del personale sudafricano nel campo della protezione delle persone, e che i tedeschi ne ricavavano informazioni sensibili dall'Africa mentre i sudafricani ottenevano preziose istruzioni sugli Stati del blocco orientale e in particolare sulle attività della Repubblica Democratica Tedesca.</w:t>
      </w:r>
    </w:p>
    <w:p>
      <w:pPr>
        <w:spacing w:after="120" w:line="276"/>
        <w:jc w:val="both"/>
      </w:pPr>
      <w:r>
        <w:rPr>
          <w:rFonts w:ascii="Barlow Semi Condensed" w:cs="Barlow Semi Condensed" w:eastAsia="Barlow Semi Condensed" w:hAnsi="Barlow Semi Condensed"/>
          <w:sz w:val="24"/>
          <w:szCs w:val="24"/>
        </w:rPr>
        <w:t xml:space="preserve">Tre ragioni impongono estrema prudenza, e vanno enunciate.</w:t>
      </w:r>
    </w:p>
    <w:p>
      <w:pPr>
        <w:spacing w:after="120" w:line="276"/>
        <w:jc w:val="both"/>
      </w:pPr>
      <w:r>
        <w:rPr>
          <w:rFonts w:ascii="Barlow Semi Condensed" w:cs="Barlow Semi Condensed" w:eastAsia="Barlow Semi Condensed" w:hAnsi="Barlow Semi Condensed"/>
          <w:sz w:val="24"/>
          <w:szCs w:val="24"/>
        </w:rPr>
        <w:t xml:space="preserve">Prima: si tratta di fonte terziaria, non di documentazione archivistica primaria né di studio sottoposto a revisione paritaria.</w:t>
      </w:r>
    </w:p>
    <w:p>
      <w:pPr>
        <w:spacing w:after="120" w:line="276"/>
        <w:jc w:val="both"/>
      </w:pPr>
      <w:r>
        <w:rPr>
          <w:rFonts w:ascii="Barlow Semi Condensed" w:cs="Barlow Semi Condensed" w:eastAsia="Barlow Semi Condensed" w:hAnsi="Barlow Semi Condensed"/>
          <w:sz w:val="24"/>
          <w:szCs w:val="24"/>
        </w:rPr>
        <w:t xml:space="preserve">Seconda: l'episodio, se autentico, documenterebbe un contatto ai vertici e una cooperazione addestrativa, ma non necessariamente un'operatività congiunta contro i movimenti di liberazione. La contemporaneità e il contatto non provano una condotta specifica.</w:t>
      </w:r>
    </w:p>
    <w:p>
      <w:pPr>
        <w:spacing w:after="120" w:line="276"/>
        <w:jc w:val="both"/>
      </w:pPr>
      <w:r>
        <w:rPr>
          <w:rFonts w:ascii="Barlow Semi Condensed" w:cs="Barlow Semi Condensed" w:eastAsia="Barlow Semi Condensed" w:hAnsi="Barlow Semi Condensed"/>
          <w:sz w:val="24"/>
          <w:szCs w:val="24"/>
        </w:rPr>
        <w:t xml:space="preserve">Terza: i servizi sudafricani dell'epoca sono oggetto di una pubblicistica romanzata e sensazionalistica, che le recensioni accademiche segnalano come commistione fra intrigo e buffoneria.</w:t>
      </w:r>
    </w:p>
    <w:p>
      <w:pPr>
        <w:spacing w:after="120" w:line="276"/>
        <w:jc w:val="both"/>
      </w:pPr>
      <w:r>
        <w:rPr>
          <w:rFonts w:ascii="Barlow Semi Condensed" w:cs="Barlow Semi Condensed" w:eastAsia="Barlow Semi Condensed" w:hAnsi="Barlow Semi Condensed"/>
          <w:sz w:val="24"/>
          <w:szCs w:val="24"/>
        </w:rPr>
        <w:t xml:space="preserve">L'esito, formulato.\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stata reperita documentazione d'archivio con segnatura che attesti rapporti operativi fra il servizio tedesco e quelli sudafricani.</w:t>
      </w:r>
    </w:p>
    <w:p>
      <w:pPr>
        <w:spacing w:after="120" w:line="276"/>
        <w:jc w:val="both"/>
      </w:pPr>
      <w:r>
        <w:rPr>
          <w:rFonts w:ascii="Barlow Semi Condensed" w:cs="Barlow Semi Condensed" w:eastAsia="Barlow Semi Condensed" w:hAnsi="Barlow Semi Condensed"/>
          <w:sz w:val="24"/>
          <w:szCs w:val="24"/>
        </w:rPr>
        <w:t xml:space="preserve">Ragionevolmente attestato per il tramite di fonti terziarie: l'esistenza di contatti ai vertici e di un pregresso sostegno addestrativo.</w:t>
      </w:r>
    </w:p>
    <w:p>
      <w:pPr>
        <w:spacing w:after="120" w:line="276"/>
        <w:jc w:val="both"/>
      </w:pPr>
      <w:r>
        <w:rPr>
          <w:rFonts w:ascii="Barlow Semi Condensed" w:cs="Barlow Semi Condensed" w:eastAsia="Barlow Semi Condensed" w:hAnsi="Barlow Semi Condensed"/>
          <w:sz w:val="24"/>
          <w:szCs w:val="24"/>
        </w:rPr>
        <w:t xml:space="preserve">Allegato e non sostenuto: qualsiasi cooperazione operativa congiunta contro i movimenti di liberazione.</w:t>
      </w:r>
    </w:p>
    <w:p>
      <w:pPr>
        <w:spacing w:after="120" w:line="276"/>
        <w:jc w:val="both"/>
      </w:pPr>
      <w:r>
        <w:rPr>
          <w:rFonts w:ascii="Barlow Semi Condensed" w:cs="Barlow Semi Condensed" w:eastAsia="Barlow Semi Condensed" w:hAnsi="Barlow Semi Condensed"/>
          <w:sz w:val="24"/>
          <w:szCs w:val="24"/>
        </w:rPr>
        <w:t xml:space="preserve">Le sedi. Sul versante tedesco, l'archivio storico del servizio e il Bundesarchiv; sul versante sudafricano, gli atti della Commissione per la verità e la riconciliazione e gli archivi nazionali di Pretoria.</w:t>
      </w:r>
    </w:p>
    <w:p>
      <w:pPr>
        <w:spacing w:after="120" w:line="276"/>
        <w:jc w:val="both"/>
      </w:pPr>
      <w:r>
        <w:rPr>
          <w:rFonts w:ascii="Barlow Semi Condensed" w:cs="Barlow Semi Condensed" w:eastAsia="Barlow Semi Condensed" w:hAnsi="Barlow Semi Condensed"/>
          <w:sz w:val="24"/>
          <w:szCs w:val="24"/>
        </w:rPr>
        <w:t xml:space="preserve">La condizione di chiusura è la declassificazione, e il regime di segreto tuttora vigente rende l'accertamento pieno improbabile allo stato.</w:t>
      </w:r>
    </w:p>
    <w:p>
      <w:pPr>
        <w:pStyle w:val="Heading2"/>
        <w:spacing w:after="100" w:before="200"/>
      </w:pPr>
      <w:r>
        <w:rPr>
          <w:rFonts w:ascii="Barlow Semi Condensed" w:cs="Barlow Semi Condensed" w:eastAsia="Barlow Semi Condensed" w:hAnsi="Barlow Semi Condensed"/>
          <w:sz w:val="24"/>
          <w:szCs w:val="24"/>
        </w:rPr>
        <w:t xml:space="preserve">Capitolo decimo — Baviera, CSU, e lo scarto rispetto a Bonn</w:t>
      </w:r>
    </w:p>
    <w:p>
      <w:pPr>
        <w:spacing w:after="120" w:line="276"/>
        <w:jc w:val="both"/>
      </w:pPr>
      <w:r>
        <w:rPr>
          <w:rFonts w:ascii="Barlow Semi Condensed" w:cs="Barlow Semi Condensed" w:eastAsia="Barlow Semi Condensed" w:hAnsi="Barlow Semi Condensed"/>
          <w:sz w:val="24"/>
          <w:szCs w:val="24"/>
        </w:rPr>
        <w:t xml:space="preserve">Il capitolo chiude due voci che due ricognizioni anteriori avevano dichiarato non accertate.</w:t>
      </w:r>
    </w:p>
    <w:p>
      <w:pPr>
        <w:spacing w:after="120" w:line="276"/>
        <w:jc w:val="both"/>
      </w:pPr>
      <w:r>
        <w:rPr>
          <w:rFonts w:ascii="Barlow Semi Condensed" w:cs="Barlow Semi Condensed" w:eastAsia="Barlow Semi Condensed" w:hAnsi="Barlow Semi Condensed"/>
          <w:sz w:val="24"/>
          <w:szCs w:val="24"/>
        </w:rPr>
        <w:t xml:space="preserve">Prima voce chiusa: la posizione della Christlich-Soziale Union sulle sanzioni. Lo studio di Klaus von der Ropp del 2009 — autore egli stesso figura interna a quel dibattito, il che impone cautela — afferma che sotto la guida del qui straordinariamente impegnato Franz Josef Strauß, la CSU non perorava l'abolizione bensì la modificazione fondamentale dell'apartheid.</w:t>
      </w:r>
    </w:p>
    <w:p>
      <w:pPr>
        <w:spacing w:after="120" w:line="276"/>
        <w:jc w:val="both"/>
      </w:pPr>
      <w:r>
        <w:rPr>
          <w:rFonts w:ascii="Barlow Semi Condensed" w:cs="Barlow Semi Condensed" w:eastAsia="Barlow Semi Condensed" w:hAnsi="Barlow Semi Condensed"/>
          <w:sz w:val="24"/>
          <w:szCs w:val="24"/>
        </w:rPr>
        <w:t xml:space="preserve">E il dato che misura la distanza fra i due partiti dell'Unione va enunciato perché è notevole. Su questo terreno le divergenze fra CDU e CSU furono tali da far fallire l'adozione della piattaforma elettorale comune prima delle elezioni federali del 1987; alla CDU le rappresentazioni della CSU apparivano eccessive.</w:t>
      </w:r>
    </w:p>
    <w:p>
      <w:pPr>
        <w:spacing w:after="120" w:line="276"/>
        <w:jc w:val="both"/>
      </w:pPr>
      <w:r>
        <w:rPr>
          <w:rFonts w:ascii="Barlow Semi Condensed" w:cs="Barlow Semi Condensed" w:eastAsia="Barlow Semi Condensed" w:hAnsi="Barlow Semi Condensed"/>
          <w:sz w:val="24"/>
          <w:szCs w:val="24"/>
        </w:rPr>
        <w:t xml:space="preserve">Ne discende che il tema sudafricano fu uno dei punti su cui l'Unione non riuscì a presentarsi unita, e questo è il miglior indicatore disponibile dello scarto.</w:t>
      </w:r>
    </w:p>
    <w:p>
      <w:pPr>
        <w:spacing w:after="120" w:line="276"/>
        <w:jc w:val="both"/>
      </w:pPr>
      <w:r>
        <w:rPr>
          <w:rFonts w:ascii="Barlow Semi Condensed" w:cs="Barlow Semi Condensed" w:eastAsia="Barlow Semi Condensed" w:hAnsi="Barlow Semi Condensed"/>
          <w:sz w:val="24"/>
          <w:szCs w:val="24"/>
        </w:rPr>
        <w:t xml:space="preserve">Seconda voce chiusa: la Hanns-Seidel-Stiftung in Namibia.\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fondazione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è attiva in Namibia dal 1978 con ufficio a Windhoek\</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secondo la propria dichiarazione e secondo fonte terza;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dal 1991 opera anche a Johannesburg.</w:t>
      </w:r>
    </w:p>
    <w:p>
      <w:pPr>
        <w:spacing w:after="120" w:line="276"/>
        <w:jc w:val="both"/>
      </w:pPr>
      <w:r>
        <w:rPr>
          <w:rFonts w:ascii="Barlow Semi Condensed" w:cs="Barlow Semi Condensed" w:eastAsia="Barlow Semi Condensed" w:hAnsi="Barlow Semi Condensed"/>
          <w:sz w:val="24"/>
          <w:szCs w:val="24"/>
        </w:rPr>
        <w:t xml:space="preserve">Ma il contenuto puntuale delle attività nel biennio 1978-1980 resta non accertato: le fonti ufficiali descrivono in dettaglio l'attività odierna — consolidamento democratico, buon governo, lotta alla corruzione — ma non offrono un rendiconto storico analitico di quel biennio. Sede di chiusura: l'archivio della fondazione a Monaco e le sue relazioni annuali dell'epoca.</w:t>
      </w:r>
    </w:p>
    <w:p>
      <w:pPr>
        <w:spacing w:after="120" w:line="276"/>
        <w:jc w:val="both"/>
      </w:pPr>
      <w:r>
        <w:rPr>
          <w:rFonts w:ascii="Barlow Semi Condensed" w:cs="Barlow Semi Condensed" w:eastAsia="Barlow Semi Condensed" w:hAnsi="Barlow Semi Condensed"/>
          <w:sz w:val="24"/>
          <w:szCs w:val="24"/>
        </w:rPr>
        <w:t xml:space="preserve">La Deutsch-Südafrikanische Gesellschaft. Descritta come la più grande società bilaterale tedesca, con tremila-cinquemila membri dichiarati, e come spina dorsale organizzativa della lobby sudafricana bianca — definizione attribuita al politico socialdemocratico Günter Verheugen.</w:t>
      </w:r>
    </w:p>
    <w:p>
      <w:pPr>
        <w:spacing w:after="120" w:line="276"/>
        <w:jc w:val="both"/>
      </w:pPr>
      <w:r>
        <w:rPr>
          <w:rFonts w:ascii="Barlow Semi Condensed" w:cs="Barlow Semi Condensed" w:eastAsia="Barlow Semi Condensed" w:hAnsi="Barlow Semi Condensed"/>
          <w:sz w:val="24"/>
          <w:szCs w:val="24"/>
        </w:rPr>
        <w:t xml:space="preserve">Ma von der Ropp precisa un dato che va riportato perché corregge l'impressione: la società e la Deutsche Afrika-Stiftung, vicine ai partiti dell'Unione, nella Bonn politica non hanno mai svolto un ruolo degno di nota, proprio perché i loro rapporti con Pretoria erano troppo stretti.</w:t>
      </w:r>
    </w:p>
    <w:p>
      <w:pPr>
        <w:spacing w:after="120" w:line="276"/>
        <w:jc w:val="both"/>
      </w:pPr>
      <w:r>
        <w:rPr>
          <w:rFonts w:ascii="Barlow Semi Condensed" w:cs="Barlow Semi Condensed" w:eastAsia="Barlow Semi Condensed" w:hAnsi="Barlow Semi Condensed"/>
          <w:sz w:val="24"/>
          <w:szCs w:val="24"/>
        </w:rPr>
        <w:t xml:space="preserve">Un fatto biografico va registrato con la prescrizione che lo governa.\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Fra i membri del comitato della società figura l'ex ministro bavarese del lavoro della CSU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Fritz Pirkl\</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quale fu anche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primo presidente della Hanns-Seidel-Stiftung.</w:t>
      </w:r>
    </w:p>
    <w:p>
      <w:pPr>
        <w:spacing w:after="120" w:line="276"/>
        <w:jc w:val="both"/>
      </w:pPr>
      <w:r>
        <w:rPr>
          <w:rFonts w:ascii="Barlow Semi Condensed" w:cs="Barlow Semi Condensed" w:eastAsia="Barlow Semi Condensed" w:hAnsi="Barlow Semi Condensed"/>
          <w:sz w:val="24"/>
          <w:szCs w:val="24"/>
        </w:rPr>
        <w:t xml:space="preserve">La doppia appartenenza è fatto pubblico documentato. Ma non prova né una condotta della fondazione né una condotta del partito: l'adesione di una persona a due organizzazioni non è prova di un rapporto istituzionale fra esse.</w:t>
      </w:r>
    </w:p>
    <w:p>
      <w:pPr>
        <w:spacing w:after="120" w:line="276"/>
        <w:jc w:val="both"/>
      </w:pPr>
      <w:r>
        <w:rPr>
          <w:rFonts w:ascii="Barlow Semi Condensed" w:cs="Barlow Semi Condensed" w:eastAsia="Barlow Semi Condensed" w:hAnsi="Barlow Semi Condensed"/>
          <w:sz w:val="24"/>
          <w:szCs w:val="24"/>
        </w:rPr>
        <w:t xml:space="preserve">Se ne dà conto come dato biografico e indizio di prossimità di ambienti, non come prova di nesso operativo.</w:t>
      </w:r>
    </w:p>
    <w:p>
      <w:pPr>
        <w:spacing w:after="120" w:line="276"/>
        <w:jc w:val="both"/>
      </w:pPr>
      <w:r>
        <w:rPr>
          <w:rFonts w:ascii="Barlow Semi Condensed" w:cs="Barlow Semi Condensed" w:eastAsia="Barlow Semi Condensed" w:hAnsi="Barlow Semi Condensed"/>
          <w:sz w:val="24"/>
          <w:szCs w:val="24"/>
        </w:rPr>
        <w:t xml:space="preserve">Un'attribuzione va segnalata come non verificata. Una fonte militante afferma che Strauß rifiutò veementemente nel 1977 al Bundestag il principio un uomo un voto per gli Stati dell'Africa australe. L'affermazione va confermata sui resoconti stenografici del Bundestag dell'ottava legislatura, che è la sede della verifica.</w:t>
      </w:r>
    </w:p>
    <w:p>
      <w:pPr>
        <w:spacing w:after="120" w:line="276"/>
        <w:jc w:val="both"/>
      </w:pPr>
      <w:r>
        <w:rPr>
          <w:rFonts w:ascii="Barlow Semi Condensed" w:cs="Barlow Semi Condensed" w:eastAsia="Barlow Semi Condensed" w:hAnsi="Barlow Semi Condensed"/>
          <w:sz w:val="24"/>
          <w:szCs w:val="24"/>
        </w:rPr>
        <w:t xml:space="preserve">E la cronologia dei viaggi di Strauß in Sudafrica e Namibia resta frammentaria: attestati l'impegno del 1983 sui sommergibili e la visita a Windhoek. L'Archiv für Christlich-Soziale Politik custodisce il lascito Strauß, oltre trecento metri lineari, e registra più di seicento viaggi esteri in sessantatré Stati fra il 1952 e il 1988: è lì che la ricostruzione analitica va condotta.</w:t>
      </w:r>
    </w:p>
    <w:p>
      <w:pPr>
        <w:pStyle w:val="Heading2"/>
        <w:spacing w:after="100" w:before="200"/>
      </w:pPr>
      <w:r>
        <w:rPr>
          <w:rFonts w:ascii="Barlow Semi Condensed" w:cs="Barlow Semi Condensed" w:eastAsia="Barlow Semi Condensed" w:hAnsi="Barlow Semi Condensed"/>
          <w:sz w:val="24"/>
          <w:szCs w:val="24"/>
        </w:rPr>
        <w:t xml:space="preserve">Capitolo undicesimo — Il confronto: nessuna delle due condotte fu lineare</w:t>
      </w:r>
    </w:p>
    <w:p>
      <w:pPr>
        <w:spacing w:after="120" w:line="276"/>
        <w:jc w:val="both"/>
      </w:pPr>
      <w:r>
        <w:rPr>
          <w:rFonts w:ascii="Barlow Semi Condensed" w:cs="Barlow Semi Condensed" w:eastAsia="Barlow Semi Condensed" w:hAnsi="Barlow Semi Condensed"/>
          <w:sz w:val="24"/>
          <w:szCs w:val="24"/>
        </w:rPr>
        <w:t xml:space="preserve">Il capitolo esegue la triangolazione, e ne trae il risultato che rovescia la lettura semplice.</w:t>
      </w:r>
    </w:p>
    <w:p>
      <w:pPr>
        <w:spacing w:after="120" w:line="276"/>
        <w:jc w:val="both"/>
      </w:pPr>
      <w:r>
        <w:rPr>
          <w:rFonts w:ascii="Barlow Semi Condensed" w:cs="Barlow Semi Condensed" w:eastAsia="Barlow Semi Condensed" w:hAnsi="Barlow Semi Condensed"/>
          <w:sz w:val="24"/>
          <w:szCs w:val="24"/>
        </w:rPr>
        <w:t xml:space="preserve">La lettura semplice sarebbe questa: la Germania dentro il consesso negoziale, l'Italia fuori; dunque la Germania impegnata e l'Italia assente. Le fonti la smentiscono.</w:t>
      </w:r>
    </w:p>
    <w:p>
      <w:pPr>
        <w:spacing w:after="120" w:line="276"/>
        <w:jc w:val="both"/>
      </w:pPr>
      <w:r>
        <w:rPr>
          <w:rFonts w:ascii="Barlow Semi Condensed" w:cs="Barlow Semi Condensed" w:eastAsia="Barlow Semi Condensed" w:hAnsi="Barlow Semi Condensed"/>
          <w:sz w:val="24"/>
          <w:szCs w:val="24"/>
        </w:rPr>
        <w:t xml:space="preserve">Il versante tedesco, che complica la propria posizione. Il Washington Post del 16 settembre 1986 documenta che la Comunità europea fallì dopo che la Germania Ovest bloccò l'accordo sulla più sostanziale delle misure proposte, il divieto di importazione del carbone sudafricano.</w:t>
      </w:r>
    </w:p>
    <w:p>
      <w:pPr>
        <w:spacing w:after="120" w:line="276"/>
        <w:jc w:val="both"/>
      </w:pPr>
      <w:r>
        <w:rPr>
          <w:rFonts w:ascii="Barlow Semi Condensed" w:cs="Barlow Semi Condensed" w:eastAsia="Barlow Semi Condensed" w:hAnsi="Barlow Semi Condensed"/>
          <w:sz w:val="24"/>
          <w:szCs w:val="24"/>
        </w:rPr>
        <w:t xml:space="preserve">Le fonti convergenti\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 il caso di studio del Peterson Institute e gli archivi del movimento anti-apartheid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collocano stabilmente la Germania Ovest, con il Regno Unito e il Portogallo, nel campo dei riluttanti.</w:t>
      </w:r>
    </w:p>
    <w:p>
      <w:pPr>
        <w:spacing w:after="120" w:line="276"/>
        <w:jc w:val="both"/>
      </w:pPr>
      <w:r>
        <w:rPr>
          <w:rFonts w:ascii="Barlow Semi Condensed" w:cs="Barlow Semi Condensed" w:eastAsia="Barlow Semi Condensed" w:hAnsi="Barlow Semi Condensed"/>
          <w:sz w:val="24"/>
          <w:szCs w:val="24"/>
        </w:rPr>
        <w:t xml:space="preserve">Ne discende che la Repubblica Federale era dentro il consesso negoziale per ragione di seggio e freno all'inasprimento delle sanzioni per scelta politica ed economica.</w:t>
      </w:r>
    </w:p>
    <w:p>
      <w:pPr>
        <w:spacing w:after="120" w:line="276"/>
        <w:jc w:val="both"/>
      </w:pPr>
      <w:r>
        <w:rPr>
          <w:rFonts w:ascii="Barlow Semi Condensed" w:cs="Barlow Semi Condensed" w:eastAsia="Barlow Semi Condensed" w:hAnsi="Barlow Semi Condensed"/>
          <w:sz w:val="24"/>
          <w:szCs w:val="24"/>
        </w:rPr>
        <w:t xml:space="preserve">Il versante italiano, che complica la propria in direzione opposta. Le stesse fonti non collocano l'Italia né fra i bloccanti né fra i falchi: essa seguiva la posizione comune europea senza guidarla.</w:t>
      </w:r>
    </w:p>
    <w:p>
      <w:pPr>
        <w:spacing w:after="120" w:line="276"/>
        <w:jc w:val="both"/>
      </w:pPr>
      <w:r>
        <w:rPr>
          <w:rFonts w:ascii="Barlow Semi Condensed" w:cs="Barlow Semi Condensed" w:eastAsia="Barlow Semi Condensed" w:hAnsi="Barlow Semi Condensed"/>
          <w:sz w:val="24"/>
          <w:szCs w:val="24"/>
        </w:rPr>
        <w:t xml:space="preserve">Un indizio concreto proviene per via indiretta e va riportato perché è eloquente. La comunità italiana in Sudafrica, stimata attorno alle centomila persone, manifestò irritazione per la politica della Comunità europea in generale e dell'Italia in particolare, per l'appoggio all'embargo anti-sudafricano.</w:t>
      </w:r>
    </w:p>
    <w:p>
      <w:pPr>
        <w:spacing w:after="120" w:line="276"/>
        <w:jc w:val="both"/>
      </w:pPr>
      <w:r>
        <w:rPr>
          <w:rFonts w:ascii="Barlow Semi Condensed" w:cs="Barlow Semi Condensed" w:eastAsia="Barlow Semi Condensed" w:hAnsi="Barlow Semi Condensed"/>
          <w:sz w:val="24"/>
          <w:szCs w:val="24"/>
        </w:rPr>
        <w:t xml:space="preserve">L'Italia appoggiò l'embargo abbastanza da irritare i propri emigrati.</w:t>
      </w:r>
    </w:p>
    <w:p>
      <w:pPr>
        <w:spacing w:after="120" w:line="276"/>
        <w:jc w:val="both"/>
      </w:pPr>
      <w:r>
        <w:rPr>
          <w:rFonts w:ascii="Barlow Semi Condensed" w:cs="Barlow Semi Condensed" w:eastAsia="Barlow Semi Condensed" w:hAnsi="Barlow Semi Condensed"/>
          <w:sz w:val="24"/>
          <w:szCs w:val="24"/>
        </w:rPr>
        <w:t xml:space="preserve">Sul piano interno è documentata la costituzione, nel gennaio 1985, del Coordinamento Nazionale contro l'Apartheid in Sudafrica, e la presentazione alla Camera, il 10 ottobre 1989, di un progetto di legge di iniziativa popolare intitolato Sanzioni contro il regime di apartheid nella Repubblica del Sudafrica, corrispondente a cinquantamila firme raccolte.</w:t>
      </w:r>
    </w:p>
    <w:p>
      <w:pPr>
        <w:spacing w:after="120" w:line="276"/>
        <w:jc w:val="both"/>
      </w:pPr>
      <w:r>
        <w:rPr>
          <w:rFonts w:ascii="Barlow Semi Condensed" w:cs="Barlow Semi Condensed" w:eastAsia="Barlow Semi Condensed" w:hAnsi="Barlow Semi Condensed"/>
          <w:sz w:val="24"/>
          <w:szCs w:val="24"/>
        </w:rPr>
        <w:t xml:space="preserve">Ma il canale industriale-militare italiano resta, e la quindicesima ricognizione lo ha accertato: licenza Aermacchi del 1964, produzione dal 1966, quaranta velivoli di costruzione italiana seguiti da circa centoventicinque costruiti localmente, motori Viper inizialmente forniti dalla Piaggio e poi assemblati dall'Atlas da kit Piaggio, per trecentotrentaquattro unità prodotte in Sudafrica su cinquemilasettecentoventisette complessive.</w:t>
      </w:r>
    </w:p>
    <w:p>
      <w:pPr>
        <w:spacing w:after="120" w:line="276"/>
        <w:jc w:val="both"/>
      </w:pPr>
      <w:r>
        <w:rPr>
          <w:rFonts w:ascii="Barlow Semi Condensed" w:cs="Barlow Semi Condensed" w:eastAsia="Barlow Semi Condensed" w:hAnsi="Barlow Semi Condensed"/>
          <w:sz w:val="24"/>
          <w:szCs w:val="24"/>
        </w:rPr>
        <w:t xml:space="preserve">Ne discende la simmetria istruttiva che è il risultato del capitolo.</w:t>
      </w:r>
    </w:p>
    <w:p>
      <w:pPr>
        <w:spacing w:after="120" w:line="276"/>
        <w:jc w:val="both"/>
      </w:pPr>
      <w:r>
        <w:rPr>
          <w:rFonts w:ascii="Barlow Semi Condensed" w:cs="Barlow Semi Condensed" w:eastAsia="Barlow Semi Condensed" w:hAnsi="Barlow Semi Condensed"/>
          <w:sz w:val="24"/>
          <w:szCs w:val="24"/>
        </w:rPr>
        <w:t xml:space="preserve">La Repubblica Federale: dentro il consesso per ragione di seggio, freno alle sanzioni per scelta, coinvolta attraverso imprese nei sommergibili e nel trasferimento del metodo di arricchimento.</w:t>
      </w:r>
    </w:p>
    <w:p>
      <w:pPr>
        <w:spacing w:after="120" w:line="276"/>
        <w:jc w:val="both"/>
      </w:pPr>
      <w:r>
        <w:rPr>
          <w:rFonts w:ascii="Barlow Semi Condensed" w:cs="Barlow Semi Condensed" w:eastAsia="Barlow Semi Condensed" w:hAnsi="Barlow Semi Condensed"/>
          <w:sz w:val="24"/>
          <w:szCs w:val="24"/>
        </w:rPr>
        <w:t xml:space="preserve">L'Italia: fuori dal consesso per ragione di seggio, allineata alle sanzioni senza guidarle, presente sul terreno attraverso il canale industriale dell'Impala.</w:t>
      </w:r>
    </w:p>
    <w:p>
      <w:pPr>
        <w:spacing w:after="120" w:line="276"/>
        <w:jc w:val="both"/>
      </w:pPr>
      <w:r>
        <w:rPr>
          <w:rFonts w:ascii="Barlow Semi Condensed" w:cs="Barlow Semi Condensed" w:eastAsia="Barlow Semi Condensed" w:hAnsi="Barlow Semi Condensed"/>
          <w:sz w:val="24"/>
          <w:szCs w:val="24"/>
        </w:rPr>
        <w:t xml:space="preserve">Nessuna delle due potenze ebbe condotta lineare.</w:t>
      </w:r>
    </w:p>
    <w:p>
      <w:pPr>
        <w:spacing w:after="120" w:line="276"/>
        <w:jc w:val="both"/>
      </w:pPr>
      <w:r>
        <w:rPr>
          <w:rFonts w:ascii="Barlow Semi Condensed" w:cs="Barlow Semi Condensed" w:eastAsia="Barlow Semi Condensed" w:hAnsi="Barlow Semi Condensed"/>
          <w:sz w:val="24"/>
          <w:szCs w:val="24"/>
        </w:rPr>
        <w:t xml:space="preserve">Un esito negativo chiude il capitolo. Non è stata reperita documentazione di un canale bilaterale Roma-Bonn dedicato alla materia africana australe. Ciò che è attestato è il quadro multilaterale condiviso: entrambe nella Cooperazione politica europea, entrambe contribuenti allo UNTAG nel 1989-1990.</w:t>
      </w:r>
    </w:p>
    <w:p>
      <w:pPr>
        <w:spacing w:after="120" w:line="276"/>
        <w:jc w:val="both"/>
      </w:pPr>
      <w:r>
        <w:rPr>
          <w:rFonts w:ascii="Barlow Semi Condensed" w:cs="Barlow Semi Condensed" w:eastAsia="Barlow Semi Condensed" w:hAnsi="Barlow Semi Condensed"/>
          <w:sz w:val="24"/>
          <w:szCs w:val="24"/>
        </w:rPr>
        <w:t xml:space="preserve">E la divergenza sulle sanzioni — la Germania fra i freni, l'Italia fra gli aderenti — suggerisce anzi che Roma e Bonn non agissero come blocco.</w:t>
      </w:r>
    </w:p>
    <w:p>
      <w:pPr>
        <w:pStyle w:val="Heading2"/>
        <w:spacing w:after="100" w:before="200"/>
      </w:pPr>
      <w:r>
        <w:rPr>
          <w:rFonts w:ascii="Barlow Semi Condensed" w:cs="Barlow Semi Condensed" w:eastAsia="Barlow Semi Condensed" w:hAnsi="Barlow Semi Condensed"/>
          <w:sz w:val="24"/>
          <w:szCs w:val="24"/>
        </w:rPr>
        <w:t xml:space="preserve">Capitolo dodicesimo — Verdetto, tavola, e la terza confutazione della serie</w:t>
      </w:r>
    </w:p>
    <w:p>
      <w:pPr>
        <w:spacing w:after="120" w:line="276"/>
        <w:jc w:val="both"/>
      </w:pPr>
      <w:r>
        <w:rPr>
          <w:rFonts w:ascii="Barlow Semi Condensed" w:cs="Barlow Semi Condensed" w:eastAsia="Barlow Semi Condensed" w:hAnsi="Barlow Semi Condensed"/>
          <w:sz w:val="24"/>
          <w:szCs w:val="24"/>
        </w:rPr>
        <w:t xml:space="preserve">Primo punto: se l'esclusione italiana sia confermata e quale ne sia la ragione formale.</w:t>
      </w:r>
    </w:p>
    <w:p>
      <w:pPr>
        <w:spacing w:after="120" w:line="276"/>
        <w:jc w:val="both"/>
      </w:pPr>
      <w:r>
        <w:rPr>
          <w:rFonts w:ascii="Barlow Semi Condensed" w:cs="Barlow Semi Condensed" w:eastAsia="Barlow Semi Condensed" w:hAnsi="Barlow Semi Condensed"/>
          <w:sz w:val="24"/>
          <w:szCs w:val="24"/>
        </w:rPr>
        <w:t xml:space="preserve">Confermata. E la ragione è strettamente istituzionale: l'appartenenza al gruppo era vincolata alla contestuale appartenenza al Consiglio di Sicurezza nel 1977, e l'Italia non vi sedeva, avendo concluso il mandato il 31 dicembre 1976 e non avendone ripreso uno prima del 1 gennaio 1987.</w:t>
      </w:r>
    </w:p>
    <w:p>
      <w:pPr>
        <w:spacing w:after="120" w:line="276"/>
        <w:jc w:val="both"/>
      </w:pPr>
      <w:r>
        <w:rPr>
          <w:rFonts w:ascii="Barlow Semi Condensed" w:cs="Barlow Semi Condensed" w:eastAsia="Barlow Semi Condensed" w:hAnsi="Barlow Semi Condensed"/>
          <w:sz w:val="24"/>
          <w:szCs w:val="24"/>
        </w:rPr>
        <w:t xml:space="preserve">Canada e Repubblica Federale furono cooptati precisamente perché occupavano i due seggi occidentali non permanenti che l'Italia non deteneva. L'esclusione non discende da un giudizio di merito ma dalla meccanica della rotazione dei seggi.</w:t>
      </w:r>
    </w:p>
    <w:p>
      <w:pPr>
        <w:spacing w:after="120" w:line="276"/>
        <w:jc w:val="both"/>
      </w:pPr>
      <w:r>
        <w:rPr>
          <w:rFonts w:ascii="Barlow Semi Condensed" w:cs="Barlow Semi Condensed" w:eastAsia="Barlow Semi Condensed" w:hAnsi="Barlow Semi Condensed"/>
          <w:sz w:val="24"/>
          <w:szCs w:val="24"/>
        </w:rPr>
        <w:t xml:space="preserve">Secondo punto: se il confronto configuri una differenza di condotta o soltanto di collocazione.</w:t>
      </w:r>
    </w:p>
    <w:p>
      <w:pPr>
        <w:spacing w:after="120" w:line="276"/>
        <w:jc w:val="both"/>
      </w:pPr>
      <w:r>
        <w:rPr>
          <w:rFonts w:ascii="Barlow Semi Condensed" w:cs="Barlow Semi Condensed" w:eastAsia="Barlow Semi Condensed" w:hAnsi="Barlow Semi Condensed"/>
          <w:sz w:val="24"/>
          <w:szCs w:val="24"/>
        </w:rPr>
        <w:t xml:space="preserve">Quanto alla Namibia in senso stretto: differenza di collocazione. Dentro per seggio, fuori per seggio; e nella fase attuativa entrambe contribuirono in ruoli ausiliari comparabili.</w:t>
      </w:r>
    </w:p>
    <w:p>
      <w:pPr>
        <w:spacing w:after="120" w:line="276"/>
        <w:jc w:val="both"/>
      </w:pPr>
      <w:r>
        <w:rPr>
          <w:rFonts w:ascii="Barlow Semi Condensed" w:cs="Barlow Semi Condensed" w:eastAsia="Barlow Semi Condensed" w:hAnsi="Barlow Semi Condensed"/>
          <w:sz w:val="24"/>
          <w:szCs w:val="24"/>
        </w:rPr>
        <w:t xml:space="preserve">Quanto al Sudafrica in senso lato: differenza di grado e di visibilità più che di natura.</w:t>
      </w:r>
    </w:p>
    <w:p>
      <w:pPr>
        <w:spacing w:after="120" w:line="276"/>
        <w:jc w:val="both"/>
      </w:pPr>
      <w:r>
        <w:rPr>
          <w:rFonts w:ascii="Barlow Semi Condensed" w:cs="Barlow Semi Condensed" w:eastAsia="Barlow Semi Condensed" w:hAnsi="Barlow Semi Condensed"/>
          <w:sz w:val="24"/>
          <w:szCs w:val="24"/>
        </w:rPr>
        <w:t xml:space="preserve">Entrambe combinarono l'adesione formale ai principi anti-apartheid con interessi industriali concreti in senso contrario.</w:t>
      </w:r>
    </w:p>
    <w:p>
      <w:pPr>
        <w:spacing w:after="120" w:line="276"/>
        <w:jc w:val="both"/>
      </w:pPr>
      <w:r>
        <w:rPr>
          <w:rFonts w:ascii="Barlow Semi Condensed" w:cs="Barlow Semi Condensed" w:eastAsia="Barlow Semi Condensed" w:hAnsi="Barlow Semi Condensed"/>
          <w:sz w:val="24"/>
          <w:szCs w:val="24"/>
        </w:rPr>
        <w:t xml:space="preserve">La maggiore visibilità e responsabilità tedesca discende in parte dalla collocazione al tavolo e in parte dal peso industriale e dallo specifico passato coloniale namibiano, che ne fa un attore non intercambiabile con l'Italia su quel dossier.</w:t>
      </w:r>
    </w:p>
    <w:p>
      <w:pPr>
        <w:spacing w:after="120" w:line="276"/>
        <w:jc w:val="both"/>
      </w:pPr>
      <w:r>
        <w:rPr>
          <w:rFonts w:ascii="Barlow Semi Condensed" w:cs="Barlow Semi Condensed" w:eastAsia="Barlow Semi Condensed" w:hAnsi="Barlow Semi Condensed"/>
          <w:sz w:val="24"/>
          <w:szCs w:val="24"/>
        </w:rPr>
        <w:t xml:space="preserve">La tavola, per rendimento atteso.</w:t>
      </w:r>
    </w:p>
    <w:p>
      <w:pPr>
        <w:spacing w:after="120" w:line="276"/>
        <w:jc w:val="both"/>
      </w:pPr>
      <w:r>
        <w:rPr>
          <w:rFonts w:ascii="Barlow Semi Condensed" w:cs="Barlow Semi Condensed" w:eastAsia="Barlow Semi Condensed" w:hAnsi="Barlow Semi Condensed"/>
          <w:sz w:val="24"/>
          <w:szCs w:val="24"/>
        </w:rPr>
        <w:t xml:space="preserve">Prima. I voti e le dichiarazioni italiane all'Assemblea generale sulla Namibia e sulla SWAPO fra il 1977 e il 1988. Sedi: United Nations Digital Library System per verbali e dati di voto, e Archivio Storico Diplomatico a Roma. Rendimento alto perché i documenti esistono con certezza.</w:t>
      </w:r>
    </w:p>
    <w:p>
      <w:pPr>
        <w:spacing w:after="120" w:line="276"/>
        <w:jc w:val="both"/>
      </w:pPr>
      <w:r>
        <w:rPr>
          <w:rFonts w:ascii="Barlow Semi Condensed" w:cs="Barlow Semi Condensed" w:eastAsia="Barlow Semi Condensed" w:hAnsi="Barlow Semi Condensed"/>
          <w:sz w:val="24"/>
          <w:szCs w:val="24"/>
        </w:rPr>
        <w:t xml:space="preserve">Seconda.\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cronologia analitica e datata dei viaggi di Strauß in Sudafrica e Namibia. Sede: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Archiv für Christlich-Soziale Politik\</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 Monaco.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Trasformerebbe in fatti datati ciò che ora è attribuzione dubitativa.</w:t>
      </w:r>
    </w:p>
    <w:p>
      <w:pPr>
        <w:spacing w:after="120" w:line="276"/>
        <w:jc w:val="both"/>
      </w:pPr>
      <w:r>
        <w:rPr>
          <w:rFonts w:ascii="Barlow Semi Condensed" w:cs="Barlow Semi Condensed" w:eastAsia="Barlow Semi Condensed" w:hAnsi="Barlow Semi Condensed"/>
          <w:sz w:val="24"/>
          <w:szCs w:val="24"/>
        </w:rPr>
        <w:t xml:space="preserve">Terza. Il contenuto puntuale delle attività della Hanns-Seidel-Stiftung in Namibia nel 1978-1980 e la posizione documentaria della CSU negli atti parlamentari — in particolare la verifica dell'affermazione sul rifiuto del principio un uomo un voto nel 1977, ottava legislatura.</w:t>
      </w:r>
    </w:p>
    <w:p>
      <w:pPr>
        <w:spacing w:after="120" w:line="276"/>
        <w:jc w:val="both"/>
      </w:pPr>
      <w:r>
        <w:rPr>
          <w:rFonts w:ascii="Barlow Semi Condensed" w:cs="Barlow Semi Condensed" w:eastAsia="Barlow Semi Condensed" w:hAnsi="Barlow Semi Condensed"/>
          <w:sz w:val="24"/>
          <w:szCs w:val="24"/>
        </w:rPr>
        <w:t xml:space="preserve">Quarta.\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 rapporti fra il Bundesnachrichtendienst e i servizi sudafricani.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Rendimento basso per ampiezza del segreto vigente.</w:t>
      </w:r>
    </w:p>
    <w:p>
      <w:pPr>
        <w:spacing w:after="120" w:line="276"/>
        <w:jc w:val="both"/>
      </w:pPr>
      <w:r>
        <w:rPr>
          <w:rFonts w:ascii="Barlow Semi Condensed" w:cs="Barlow Semi Condensed" w:eastAsia="Barlow Semi Condensed" w:hAnsi="Barlow Semi Condensed"/>
          <w:sz w:val="24"/>
          <w:szCs w:val="24"/>
        </w:rPr>
        <w:t xml:space="preserve">Quinta. L'eventuale coordinamento bilaterale italo-tedesco sulla materia africana australe. Rendimento basso, poiché la ricerca suggerisce che esso, se esistette, si esaurì nel quadro multilaterale.</w:t>
      </w:r>
    </w:p>
    <w:p>
      <w:pPr>
        <w:spacing w:after="120" w:line="276"/>
        <w:jc w:val="both"/>
      </w:pPr>
      <w:r>
        <w:rPr>
          <w:rFonts w:ascii="Barlow Semi Condensed" w:cs="Barlow Semi Condensed" w:eastAsia="Barlow Semi Condensed" w:hAnsi="Barlow Semi Condensed"/>
          <w:sz w:val="24"/>
          <w:szCs w:val="24"/>
        </w:rPr>
        <w:t xml:space="preserve">Sesta. La connessione Rössing e il ruolo di enti pubblici tedeschi nelle importazioni di uranio namibiano.</w:t>
      </w:r>
    </w:p>
    <w:p>
      <w:pPr>
        <w:spacing w:after="120" w:line="276"/>
        <w:jc w:val="both"/>
      </w:pPr>
      <w:r>
        <w:rPr>
          <w:rFonts w:ascii="Barlow Semi Condensed" w:cs="Barlow Semi Condensed" w:eastAsia="Barlow Semi Condensed" w:hAnsi="Barlow Semi Condensed"/>
          <w:sz w:val="24"/>
          <w:szCs w:val="24"/>
        </w:rPr>
        <w:t xml:space="preserve">E adesso ciò che questo documento consegna oltre il proprio perimetro.</w:t>
      </w:r>
    </w:p>
    <w:p>
      <w:pPr>
        <w:spacing w:after="120" w:line="276"/>
        <w:jc w:val="both"/>
      </w:pPr>
      <w:r>
        <w:rPr>
          <w:rFonts w:ascii="Barlow Semi Condensed" w:cs="Barlow Semi Condensed" w:eastAsia="Barlow Semi Condensed" w:hAnsi="Barlow Semi Condensed"/>
          <w:sz w:val="24"/>
          <w:szCs w:val="24"/>
        </w:rPr>
        <w:t xml:space="preserve">È la terza volta che una ricognizione della serie confuta una proposizione che io stesso avevo formulato.</w:t>
      </w:r>
    </w:p>
    <w:p>
      <w:pPr>
        <w:spacing w:after="120" w:line="276"/>
        <w:jc w:val="both"/>
      </w:pPr>
      <w:r>
        <w:rPr>
          <w:rFonts w:ascii="Barlow Semi Condensed" w:cs="Barlow Semi Condensed" w:eastAsia="Barlow Semi Condensed" w:hAnsi="Barlow Semi Condensed"/>
          <w:sz w:val="24"/>
          <w:szCs w:val="24"/>
        </w:rPr>
        <w:t xml:space="preserve">La prima fu il modello a due condizioni sull'insediamento dell'Opus Dei, caduto alla decima. La seconda fu il modello a due modalità, caduto alla dodicesima per opera del caso keniano. La terza è questa: l'ipotesi che il passato coloniale tedesco spiegasse la geometria del Gruppo di contatto.</w:t>
      </w:r>
    </w:p>
    <w:p>
      <w:pPr>
        <w:spacing w:after="120" w:line="276"/>
        <w:jc w:val="both"/>
      </w:pPr>
      <w:r>
        <w:rPr>
          <w:rFonts w:ascii="Barlow Semi Condensed" w:cs="Barlow Semi Condensed" w:eastAsia="Barlow Semi Condensed" w:hAnsi="Barlow Semi Condensed"/>
          <w:sz w:val="24"/>
          <w:szCs w:val="24"/>
        </w:rPr>
        <w:t xml:space="preserve">Le tre confutazioni hanno una cosa in comune, e va enunciata perché è il metodo che funziona.</w:t>
      </w:r>
    </w:p>
    <w:p>
      <w:pPr>
        <w:spacing w:after="120" w:line="276"/>
        <w:jc w:val="both"/>
      </w:pPr>
      <w:r>
        <w:rPr>
          <w:rFonts w:ascii="Barlow Semi Condensed" w:cs="Barlow Semi Condensed" w:eastAsia="Barlow Semi Condensed" w:hAnsi="Barlow Semi Condensed"/>
          <w:sz w:val="24"/>
          <w:szCs w:val="24"/>
        </w:rPr>
        <w:t xml:space="preserve">In tutte e tre ho formulato l'ipotesi nel testo del comando di ricerca, esplicitamente e per iscritto, e ho chiesto che fosse messa alla prova anziché difesa.</w:t>
      </w:r>
    </w:p>
    <w:p>
      <w:pPr>
        <w:spacing w:after="120" w:line="276"/>
        <w:jc w:val="both"/>
      </w:pPr>
      <w:r>
        <w:rPr>
          <w:rFonts w:ascii="Barlow Semi Condensed" w:cs="Barlow Semi Condensed" w:eastAsia="Barlow Semi Condensed" w:hAnsi="Barlow Semi Condensed"/>
          <w:sz w:val="24"/>
          <w:szCs w:val="24"/>
        </w:rPr>
        <w:t xml:space="preserve">Un'ipotesi che resti nella testa di chi cerca non può essere confutata dalla ricerca, perché la ricerca non sa di doverla cercare.</w:t>
      </w:r>
    </w:p>
    <w:p>
      <w:pPr>
        <w:spacing w:after="120" w:line="276"/>
        <w:jc w:val="both"/>
      </w:pPr>
      <w:r>
        <w:rPr>
          <w:rFonts w:ascii="Barlow Semi Condensed" w:cs="Barlow Semi Condensed" w:eastAsia="Barlow Semi Condensed" w:hAnsi="Barlow Semi Condensed"/>
          <w:sz w:val="24"/>
          <w:szCs w:val="24"/>
        </w:rPr>
        <w:t xml:space="preserve">Scriverla nel comando è ciò che la rende falsificabile — ed è, secondo me, la sola tecnica che questa serie abbia davvero prodotto.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XVII · Italia E Germania Sul Dossier Namibiano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XVII: 5.138 parole in 9 sezioni; la più ampia è §9 Altre sezioni, con 4.330.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XVII: 158 paragrafi in 9 sezioni, 18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XVIII — La Santa Sede, La Dc E Il Sudafrica Dell'Apartheid</w:t>
      </w:r>
    </w:p>
    <w:p>
      <w:pPr>
        <w:pStyle w:val="Heading1"/>
        <w:spacing w:after="120" w:before="240"/>
      </w:pPr>
      <w:r>
        <w:rPr>
          <w:rFonts w:ascii="Barlow Semi Condensed" w:cs="Barlow Semi Condensed" w:eastAsia="Barlow Semi Condensed" w:hAnsi="Barlow Semi Condensed"/>
          <w:sz w:val="24"/>
          <w:szCs w:val="24"/>
        </w:rPr>
        <w:t xml:space="preserve">LA SANTA SEDE, LA DC E IL SUDAFRICA DELL'APARTHEID</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Diciassettesima ricognizione: due sovranita, condotta opposta</w:t>
      </w:r>
    </w:p>
    <w:p>
      <w:pPr>
        <w:pStyle w:val="Heading2"/>
        <w:spacing w:after="100" w:before="200"/>
      </w:pPr>
      <w:r>
        <w:rPr>
          <w:rFonts w:ascii="Barlow Semi Condensed" w:cs="Barlow Semi Condensed" w:eastAsia="Barlow Semi Condensed" w:hAnsi="Barlow Semi Condensed"/>
          <w:sz w:val="24"/>
          <w:szCs w:val="24"/>
        </w:rPr>
        <w:t xml:space="preserve">Settantadue anni senza ambasciatore. Il pattern centro-periferia rovesciato</w:t>
      </w:r>
    </w:p>
    <w:p>
      <w:pPr>
        <w:pStyle w:val="Heading2"/>
        <w:spacing w:after="100" w:before="200"/>
      </w:pPr>
      <w:r>
        <w:rPr>
          <w:rFonts w:ascii="Barlow Semi Condensed" w:cs="Barlow Semi Condensed" w:eastAsia="Barlow Semi Condensed" w:hAnsi="Barlow Semi Condensed"/>
          <w:sz w:val="24"/>
          <w:szCs w:val="24"/>
        </w:rPr>
        <w:t xml:space="preserve">Dodici Capitoli — sei acquisizioni — il primo termine di paragone interno</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Due sovranità sulla medesima penisola, e la loro condotta opposta</w:t>
      </w:r>
    </w:p>
    <w:p>
      <w:pPr>
        <w:spacing w:after="120" w:line="276"/>
        <w:jc w:val="both"/>
      </w:pPr>
      <w:r>
        <w:rPr>
          <w:rFonts w:ascii="Barlow Semi Condensed" w:cs="Barlow Semi Condensed" w:eastAsia="Barlow Semi Condensed" w:hAnsi="Barlow Semi Condensed"/>
          <w:sz w:val="24"/>
          <w:szCs w:val="24"/>
        </w:rPr>
        <w:t xml:space="preserve">Sedici ricognizioni hanno cercato lo Stato italiano e lo hanno trovato assente, ambiguo, o presente soltanto attraverso un canale industriale. Questa è la prima che disponga di un termine di paragone interno alla penisola, e l'esito si rovescia.</w:t>
      </w:r>
    </w:p>
    <w:p>
      <w:pPr>
        <w:spacing w:after="120" w:line="276"/>
        <w:jc w:val="both"/>
      </w:pPr>
      <w:r>
        <w:rPr>
          <w:rFonts w:ascii="Barlow Semi Condensed" w:cs="Barlow Semi Condensed" w:eastAsia="Barlow Semi Condensed" w:hAnsi="Barlow Semi Condensed"/>
          <w:sz w:val="24"/>
          <w:szCs w:val="24"/>
        </w:rPr>
        <w:t xml:space="preserve">Il fatto, enunciato subito. La Santa Sede non ebbe mai relazioni diplomatiche piene con la Repubblica del Sudafrica per l'intera durata dell'apartheid. Esse furono stabilite il 15 giugno 1994, con la firma del protocollo fra Giovanni Paolo II e Nelson Mandela; la nunziatura apostolica di Pretoria fu eretta il 25 giugno 1994.</w:t>
      </w:r>
    </w:p>
    <w:p>
      <w:pPr>
        <w:spacing w:after="120" w:line="276"/>
        <w:jc w:val="both"/>
      </w:pPr>
      <w:r>
        <w:rPr>
          <w:rFonts w:ascii="Barlow Semi Condensed" w:cs="Barlow Semi Condensed" w:eastAsia="Barlow Semi Condensed" w:hAnsi="Barlow Semi Condensed"/>
          <w:sz w:val="24"/>
          <w:szCs w:val="24"/>
        </w:rPr>
        <w:t xml:space="preserve">Prima di quella data, e per settantadue anni, la presenza pontificia ebbe rango soltanto ecclesiastico: una delegazione apostolica, istituita da Pio XI il 7 dicembre 1922.</w:t>
      </w:r>
    </w:p>
    <w:p>
      <w:pPr>
        <w:spacing w:after="120" w:line="276"/>
        <w:jc w:val="both"/>
      </w:pPr>
      <w:r>
        <w:rPr>
          <w:rFonts w:ascii="Barlow Semi Condensed" w:cs="Barlow Semi Condensed" w:eastAsia="Barlow Semi Condensed" w:hAnsi="Barlow Semi Condensed"/>
          <w:sz w:val="24"/>
          <w:szCs w:val="24"/>
        </w:rPr>
        <w:t xml:space="preserve">E il contrasto, che è il risultato di questa ricognizione.\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L'Italia mantenne per tutto il periodo relazioni diplomatiche piene con il Sudafrica, stabilite nel 1929, e un'ambasciata a Pretoria.</w:t>
      </w:r>
    </w:p>
    <w:p>
      <w:pPr>
        <w:spacing w:after="120" w:line="276"/>
        <w:jc w:val="both"/>
      </w:pPr>
      <w:r>
        <w:rPr>
          <w:rFonts w:ascii="Barlow Semi Condensed" w:cs="Barlow Semi Condensed" w:eastAsia="Barlow Semi Condensed" w:hAnsi="Barlow Semi Condensed"/>
          <w:sz w:val="24"/>
          <w:szCs w:val="24"/>
        </w:rPr>
        <w:t xml:space="preserve">Due sovranità sulla medesima penisola, sul medesimo regime, con condotta opposta.</w:t>
      </w:r>
    </w:p>
    <w:p>
      <w:pPr>
        <w:spacing w:after="120" w:line="276"/>
        <w:jc w:val="both"/>
      </w:pPr>
      <w:r>
        <w:rPr>
          <w:rFonts w:ascii="Barlow Semi Condensed" w:cs="Barlow Semi Condensed" w:eastAsia="Barlow Semi Condensed" w:hAnsi="Barlow Semi Condensed"/>
          <w:sz w:val="24"/>
          <w:szCs w:val="24"/>
        </w:rPr>
        <w:t xml:space="preserve">Il rilievo va precisato perché la distinzione è tecnica e sostanziale insieme. Il delegato apostolico è rappresentante del Papa presso la Chiesa locale, non presso lo Stato: non ha status di ambasciatore, non presenta credenziali al capo dello Stato, non gode delle immunità diplomatiche piene.</w:t>
      </w:r>
    </w:p>
    <w:p>
      <w:pPr>
        <w:spacing w:after="120" w:line="276"/>
        <w:jc w:val="both"/>
      </w:pPr>
      <w:r>
        <w:rPr>
          <w:rFonts w:ascii="Barlow Semi Condensed" w:cs="Barlow Semi Condensed" w:eastAsia="Barlow Semi Condensed" w:hAnsi="Barlow Semi Condensed"/>
          <w:sz w:val="24"/>
          <w:szCs w:val="24"/>
        </w:rPr>
        <w:t xml:space="preserve">Ne discende che per settantadue anni nessun rappresentante pontificio presentò credenziali a un capo di Stato sudafricano.</w:t>
      </w:r>
    </w:p>
    <w:p>
      <w:pPr>
        <w:spacing w:after="120" w:line="276"/>
        <w:jc w:val="both"/>
      </w:pPr>
      <w:r>
        <w:rPr>
          <w:rFonts w:ascii="Barlow Semi Condensed" w:cs="Barlow Semi Condensed" w:eastAsia="Barlow Semi Condensed" w:hAnsi="Barlow Semi Condensed"/>
          <w:sz w:val="24"/>
          <w:szCs w:val="24"/>
        </w:rPr>
        <w:t xml:space="preserve">Il vincolo che governa questa ricognizione va dichiarato subito perché ne condiziona ogni conclusione sulle intenzioni. L'Archivio Apostolico Vaticano è consultabile soltanto fino all'ottobre 1958. I pontificati di Giovanni XXIII, Paolo VI e Giovanni Paolo II non sono aperti.</w:t>
      </w:r>
    </w:p>
    <w:p>
      <w:pPr>
        <w:spacing w:after="120" w:line="276"/>
        <w:jc w:val="both"/>
      </w:pPr>
      <w:r>
        <w:rPr>
          <w:rFonts w:ascii="Barlow Semi Condensed" w:cs="Barlow Semi Condensed" w:eastAsia="Barlow Semi Condensed" w:hAnsi="Barlow Semi Condensed"/>
          <w:sz w:val="24"/>
          <w:szCs w:val="24"/>
        </w:rPr>
        <w:t xml:space="preserve">Ne discende che la verifica archivistica primaria sul versante vaticano è strutturalmente impossibile per l'intero arco dell'apartheid. È Stato Zero di primo grado — impossibilità istituzionale — secondo la scala già consolidata nel corpus, e non un difetto della ricerca.</w:t>
      </w:r>
    </w:p>
    <w:p>
      <w:pPr>
        <w:spacing w:after="120" w:line="276"/>
        <w:jc w:val="both"/>
      </w:pPr>
      <w:r>
        <w:rPr>
          <w:rFonts w:ascii="Barlow Semi Condensed" w:cs="Barlow Semi Condensed" w:eastAsia="Barlow Semi Condensed" w:hAnsi="Barlow Semi Condensed"/>
          <w:sz w:val="24"/>
          <w:szCs w:val="24"/>
        </w:rPr>
        <w:t xml:space="preserve">Si lavora perciò sugli atti pubblicati: Acta Apostolicae Sedis, L'Osservatore Romano, discorsi e messaggi pontifici, documenti delle conferenze episcopali, annuari e liste diplomatiche ufficiali.</w:t>
      </w:r>
    </w:p>
    <w:p>
      <w:pPr>
        <w:spacing w:after="120" w:line="276"/>
        <w:jc w:val="both"/>
      </w:pPr>
      <w:r>
        <w:rPr>
          <w:rFonts w:ascii="Barlow Semi Condensed" w:cs="Barlow Semi Condensed" w:eastAsia="Barlow Semi Condensed" w:hAnsi="Barlow Semi Condensed"/>
          <w:sz w:val="24"/>
          <w:szCs w:val="24"/>
        </w:rPr>
        <w:t xml:space="preserve">E ne discende una prescrizione che vale per l'intero documento: ogni affermazione sulle intenzioni della Santa Sede è inferenza e non accertamento, e va qualificata come tale ogni volta.</w:t>
      </w:r>
    </w:p>
    <w:p>
      <w:pPr>
        <w:pStyle w:val="Heading2"/>
        <w:spacing w:after="100" w:before="200"/>
      </w:pPr>
      <w:r>
        <w:rPr>
          <w:rFonts w:ascii="Barlow Semi Condensed" w:cs="Barlow Semi Condensed" w:eastAsia="Barlow Semi Condensed" w:hAnsi="Barlow Semi Condensed"/>
          <w:sz w:val="24"/>
          <w:szCs w:val="24"/>
        </w:rPr>
        <w:t xml:space="preserve">Capitolo secondo — La delegazione apostolica: settantadue anni, nove titolari</w:t>
      </w:r>
    </w:p>
    <w:p>
      <w:pPr>
        <w:spacing w:after="120" w:line="276"/>
        <w:jc w:val="both"/>
      </w:pPr>
      <w:r>
        <w:rPr>
          <w:rFonts w:ascii="Barlow Semi Condensed" w:cs="Barlow Semi Condensed" w:eastAsia="Barlow Semi Condensed" w:hAnsi="Barlow Semi Condensed"/>
          <w:sz w:val="24"/>
          <w:szCs w:val="24"/>
        </w:rPr>
        <w:t xml:space="preserve">Il capitolo espone la cronologia della rappresentanza, che è la prova materiale del Capitolo primo.</w:t>
      </w:r>
    </w:p>
    <w:p>
      <w:pPr>
        <w:spacing w:after="120" w:line="276"/>
        <w:jc w:val="both"/>
      </w:pPr>
      <w:r>
        <w:rPr>
          <w:rFonts w:ascii="Barlow Semi Condensed" w:cs="Barlow Semi Condensed" w:eastAsia="Barlow Semi Condensed" w:hAnsi="Barlow Semi Condensed"/>
          <w:sz w:val="24"/>
          <w:szCs w:val="24"/>
        </w:rPr>
        <w:t xml:space="preserve">L'istituzione.\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Delegazione apostolica istituita da Pio XI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7 dicembre 1922\</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sede 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Pretoria.</w:t>
      </w:r>
    </w:p>
    <w:p>
      <w:pPr>
        <w:spacing w:after="120" w:line="276"/>
        <w:jc w:val="both"/>
      </w:pPr>
      <w:r>
        <w:rPr>
          <w:rFonts w:ascii="Barlow Semi Condensed" w:cs="Barlow Semi Condensed" w:eastAsia="Barlow Semi Condensed" w:hAnsi="Barlow Semi Condensed"/>
          <w:sz w:val="24"/>
          <w:szCs w:val="24"/>
        </w:rPr>
        <w:t xml:space="preserve">I titolari, per date, dalle liste ufficiali. Bernard Gijlswijk, domenicano, 1922-1944. Martin Lucas, verbita, 1945-1952. Celestine Damiano, 1952-1960. Joseph McGeough, 1960-1967. John Gordon, 1967-1971. Alfredo Poledrini, 1971-1978. Edward Idris Cassidy, 1979-1984, poi cardinale. Joseph Mees, 1985-1987. Ambrose Battista De Paoli, delegato apostolico dal 6 febbraio 1988 e infine primo nunzio apostolico dal 25 giugno 1994 all'11 novembre 1997.</w:t>
      </w:r>
    </w:p>
    <w:p>
      <w:pPr>
        <w:spacing w:after="120" w:line="276"/>
        <w:jc w:val="both"/>
      </w:pPr>
      <w:r>
        <w:rPr>
          <w:rFonts w:ascii="Barlow Semi Condensed" w:cs="Barlow Semi Condensed" w:eastAsia="Barlow Semi Condensed" w:hAnsi="Barlow Semi Condensed"/>
          <w:sz w:val="24"/>
          <w:szCs w:val="24"/>
        </w:rPr>
        <w:t xml:space="preserve">Nove titolari, tutti delegati e nessuno nunzio fino al 1994.</w:t>
      </w:r>
    </w:p>
    <w:p>
      <w:pPr>
        <w:spacing w:after="120" w:line="276"/>
        <w:jc w:val="both"/>
      </w:pPr>
      <w:r>
        <w:rPr>
          <w:rFonts w:ascii="Barlow Semi Condensed" w:cs="Barlow Semi Condensed" w:eastAsia="Barlow Semi Condensed" w:hAnsi="Barlow Semi Condensed"/>
          <w:sz w:val="24"/>
          <w:szCs w:val="24"/>
        </w:rPr>
        <w:t xml:space="preserve">Un dato di struttura va registrato. La giurisdizione della delegazione si restrinse progressivamente: da delegazione all'Africa, a delegazione all'Africa australe, a delegazione al Sudafrica.</w:t>
      </w:r>
    </w:p>
    <w:p>
      <w:pPr>
        <w:spacing w:after="120" w:line="276"/>
        <w:jc w:val="both"/>
      </w:pPr>
      <w:r>
        <w:rPr>
          <w:rFonts w:ascii="Barlow Semi Condensed" w:cs="Barlow Semi Condensed" w:eastAsia="Barlow Semi Condensed" w:hAnsi="Barlow Semi Condensed"/>
          <w:sz w:val="24"/>
          <w:szCs w:val="24"/>
        </w:rPr>
        <w:t xml:space="preserve">La conferma pontificia diretta, ed è la migliore fonte possibile. Nel discorso di arrivo all'aeroporto internazionale di Johannesburg, nel 1995, Giovanni Paolo II dichiarò la propria fiducia che i vincoli di amicizia fra la Repubblica del Sudafrica e la Santa Sede, che l'anno scorso hanno condotto allo stabilimento di relazioni diplomatiche fra noi, continuino a crescere e a intensificarsi.</w:t>
      </w:r>
    </w:p>
    <w:p>
      <w:pPr>
        <w:spacing w:after="120" w:line="276"/>
        <w:jc w:val="both"/>
      </w:pPr>
      <w:r>
        <w:rPr>
          <w:rFonts w:ascii="Barlow Semi Condensed" w:cs="Barlow Semi Condensed" w:eastAsia="Barlow Semi Condensed" w:hAnsi="Barlow Semi Condensed"/>
          <w:sz w:val="24"/>
          <w:szCs w:val="24"/>
        </w:rPr>
        <w:t xml:space="preserve">È il pontefice stesso a datare le relazioni al 1994.</w:t>
      </w:r>
    </w:p>
    <w:p>
      <w:pPr>
        <w:spacing w:after="120" w:line="276"/>
        <w:jc w:val="both"/>
      </w:pPr>
      <w:r>
        <w:rPr>
          <w:rFonts w:ascii="Barlow Semi Condensed" w:cs="Barlow Semi Condensed" w:eastAsia="Barlow Semi Condensed" w:hAnsi="Barlow Semi Condensed"/>
          <w:sz w:val="24"/>
          <w:szCs w:val="24"/>
        </w:rPr>
        <w:t xml:space="preserve">Il versante namibiano, con una divergenza. Secondo la lista ufficiale della Missione permanente della Santa Sede presso le Nazioni Unite, le relazioni con la Namibia furono stabilite il 12 settembre 1995, dunque oltre cinque anni dopo l'indipendenza del 21 marzo 1990. De Paoli fu delegato apostolico per la Namibia dal 5 marzo 1994 e poi nunzio, con residenza in Sudafrica.</w:t>
      </w:r>
    </w:p>
    <w:p>
      <w:pPr>
        <w:spacing w:after="120" w:line="276"/>
        <w:jc w:val="both"/>
      </w:pPr>
      <w:r>
        <w:rPr>
          <w:rFonts w:ascii="Barlow Semi Condensed" w:cs="Barlow Semi Condensed" w:eastAsia="Barlow Semi Condensed" w:hAnsi="Barlow Semi Condensed"/>
          <w:sz w:val="24"/>
          <w:szCs w:val="24"/>
        </w:rPr>
        <w:t xml:space="preserve">La divergenza fra fonti sul rango e sulle date interne — delegazione dal 1994, relazioni piene dal settembre 1995 — riflette la distinzione fra la nomina del rappresentante ecclesiastico e la formalizzazione dello scambio diplomatico, e si riporta anziché comporre.</w:t>
      </w:r>
    </w:p>
    <w:p>
      <w:pPr>
        <w:spacing w:after="120" w:line="276"/>
        <w:jc w:val="both"/>
      </w:pPr>
      <w:r>
        <w:rPr>
          <w:rFonts w:ascii="Barlow Semi Condensed" w:cs="Barlow Semi Condensed" w:eastAsia="Barlow Semi Condensed" w:hAnsi="Barlow Semi Condensed"/>
          <w:sz w:val="24"/>
          <w:szCs w:val="24"/>
        </w:rPr>
        <w:t xml:space="preserve">Che cosa questa cronologia stabilisce, e che cosa 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Stabilisce\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le relazioni piene furono aperte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immediatamente dopo la fine del regime e le prime elezioni democratiche, e non durante.</w:t>
      </w:r>
    </w:p>
    <w:p>
      <w:pPr>
        <w:spacing w:after="120" w:line="276"/>
        <w:jc w:val="both"/>
      </w:pPr>
      <w:r>
        <w:rPr>
          <w:rFonts w:ascii="Barlow Semi Condensed" w:cs="Barlow Semi Condensed" w:eastAsia="Barlow Semi Condensed" w:hAnsi="Barlow Semi Condensed"/>
          <w:sz w:val="24"/>
          <w:szCs w:val="24"/>
        </w:rPr>
        <w:t xml:space="preserve">Non stabilisce\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ciò fosse scelta politica deliberata: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documentazione riservata che lo proverebbe è inaccessibile.</w:t>
      </w:r>
    </w:p>
    <w:p>
      <w:pPr>
        <w:spacing w:after="120" w:line="276"/>
        <w:jc w:val="both"/>
      </w:pPr>
      <w:r>
        <w:rPr>
          <w:rFonts w:ascii="Barlow Semi Condensed" w:cs="Barlow Semi Condensed" w:eastAsia="Barlow Semi Condensed" w:hAnsi="Barlow Semi Condensed"/>
          <w:sz w:val="24"/>
          <w:szCs w:val="24"/>
        </w:rPr>
        <w:t xml:space="preserve">Ma la coincidenza cronologica fra la caduta del regime e l'apertura delle relazioni è essa stessa un dato, e il mantenimento della sola delegazione per settantadue anni in un Paese con comunità cattolica cospicua è compatibile con una scelta di non conferire al regime la legittimazione implicita nello scambio di ambasciatori. Interpretazione plausibile, non dimostrata.</w:t>
      </w:r>
    </w:p>
    <w:p>
      <w:pPr>
        <w:pStyle w:val="Heading2"/>
        <w:spacing w:after="100" w:before="200"/>
      </w:pPr>
      <w:r>
        <w:rPr>
          <w:rFonts w:ascii="Barlow Semi Condensed" w:cs="Barlow Semi Condensed" w:eastAsia="Barlow Semi Condensed" w:hAnsi="Barlow Semi Condensed"/>
          <w:sz w:val="24"/>
          <w:szCs w:val="24"/>
        </w:rPr>
        <w:t xml:space="preserve">Capitolo terzo — Paolo VI: gli atti, e ciò che non dicono</w:t>
      </w:r>
    </w:p>
    <w:p>
      <w:pPr>
        <w:spacing w:after="120" w:line="276"/>
        <w:jc w:val="both"/>
      </w:pPr>
      <w:r>
        <w:rPr>
          <w:rFonts w:ascii="Barlow Semi Condensed" w:cs="Barlow Semi Condensed" w:eastAsia="Barlow Semi Condensed" w:hAnsi="Barlow Semi Condensed"/>
          <w:sz w:val="24"/>
          <w:szCs w:val="24"/>
        </w:rPr>
        <w:t xml:space="preserve">Il capitolo espone il magistero del pontefice che regnò durante i mandati di Moro.</w:t>
      </w:r>
    </w:p>
    <w:p>
      <w:pPr>
        <w:spacing w:after="120" w:line="276"/>
        <w:jc w:val="both"/>
      </w:pPr>
      <w:r>
        <w:rPr>
          <w:rFonts w:ascii="Barlow Semi Condensed" w:cs="Barlow Semi Condensed" w:eastAsia="Barlow Semi Condensed" w:hAnsi="Barlow Semi Condensed"/>
          <w:sz w:val="24"/>
          <w:szCs w:val="24"/>
        </w:rPr>
        <w:t xml:space="preserve">L'atto dottrinale. La lettera apostolica \</w:t>
      </w:r>
      <w:r>
        <w:rPr>
          <w:rFonts w:ascii="Barlow Semi Condensed" w:cs="Barlow Semi Condensed" w:eastAsia="Barlow Semi Condensed" w:hAnsi="Barlow Semi Condensed"/>
          <w:i/>
          <w:iCs/>
          <w:sz w:val="24"/>
          <w:szCs w:val="24"/>
        </w:rPr>
        <w:t xml:space="preserve">Africae terrarum\</w:t>
      </w:r>
      <w:r>
        <w:rPr>
          <w:rFonts w:ascii="Barlow Semi Condensed" w:cs="Barlow Semi Condensed" w:eastAsia="Barlow Semi Condensed" w:hAnsi="Barlow Semi Condensed"/>
          <w:sz w:val="24"/>
          <w:szCs w:val="24"/>
        </w:rPr>
        <w:t xml:space="preserve">, del 29 ottobre 1967, pubblicata negli Acta Apostolicae Sedis. Vi Paolo VI richiama la condanna del razzismo già formulata dal Concilio come offensivo della dignità dell'uomo, alieno dalla mente di Cristo, contrario al disegno di Dio, e la deplorazione contenuta nell'enciclica \</w:t>
      </w:r>
      <w:r>
        <w:rPr>
          <w:rFonts w:ascii="Barlow Semi Condensed" w:cs="Barlow Semi Condensed" w:eastAsia="Barlow Semi Condensed" w:hAnsi="Barlow Semi Condensed"/>
          <w:i/>
          <w:iCs/>
          <w:sz w:val="24"/>
          <w:szCs w:val="24"/>
        </w:rPr>
        <w:t xml:space="preserve">Populorum progressio\</w:t>
      </w:r>
      <w:r>
        <w:rPr>
          <w:rFonts w:ascii="Barlow Semi Condensed" w:cs="Barlow Semi Condensed" w:eastAsia="Barlow Semi Condensed" w:hAnsi="Barlow Semi Condensed"/>
          <w:sz w:val="24"/>
          <w:szCs w:val="24"/>
        </w:rPr>
        <w:t xml:space="preserve"> del razzismo come ostacolo alla edificazione di un mondo più giusto.</w:t>
      </w:r>
    </w:p>
    <w:p>
      <w:pPr>
        <w:spacing w:after="120" w:line="276"/>
        <w:jc w:val="both"/>
      </w:pPr>
      <w:r>
        <w:rPr>
          <w:rFonts w:ascii="Barlow Semi Condensed" w:cs="Barlow Semi Condensed" w:eastAsia="Barlow Semi Condensed" w:hAnsi="Barlow Semi Condensed"/>
          <w:sz w:val="24"/>
          <w:szCs w:val="24"/>
        </w:rPr>
        <w:t xml:space="preserve">L'atto politico, e va esposto con precisione perché il corpus lo possiede già a metà. Il 1 luglio 1970 Paolo VI ricevette i dirigenti dei movimenti di liberazione delle colonie portoghesi: Agostinho Neto dell'MPLA angolano, Marcelino dos Santos del FRELIMO mozambicano, Amílcar Cabral del PAIGC guineano e capoverdiano, al termine della Conferenza internazionale di solidarietà tenutasi a Roma dal 27 al 29 giugno 1970.</w:t>
      </w:r>
    </w:p>
    <w:p>
      <w:pPr>
        <w:spacing w:after="120" w:line="276"/>
        <w:jc w:val="both"/>
      </w:pPr>
      <w:r>
        <w:rPr>
          <w:rFonts w:ascii="Barlow Semi Condensed" w:cs="Barlow Semi Condensed" w:eastAsia="Barlow Semi Condensed" w:hAnsi="Barlow Semi Condensed"/>
          <w:sz w:val="24"/>
          <w:szCs w:val="24"/>
        </w:rPr>
        <w:t xml:space="preserve">La reazione portoghese — il richiamo dell'ambasciatore presso la Santa Sede — è già acquisita e qui funge da sfondo.</w:t>
      </w:r>
    </w:p>
    <w:p>
      <w:pPr>
        <w:spacing w:after="120" w:line="276"/>
        <w:jc w:val="both"/>
      </w:pPr>
      <w:r>
        <w:rPr>
          <w:rFonts w:ascii="Barlow Semi Condensed" w:cs="Barlow Semi Condensed" w:eastAsia="Barlow Semi Condensed" w:hAnsi="Barlow Semi Condensed"/>
          <w:sz w:val="24"/>
          <w:szCs w:val="24"/>
        </w:rPr>
        <w:t xml:space="preserve">Ma due precisazioni vanno apposte, e correggono una lettura facile.</w:t>
      </w:r>
    </w:p>
    <w:p>
      <w:pPr>
        <w:spacing w:after="120" w:line="276"/>
        <w:jc w:val="both"/>
      </w:pPr>
      <w:r>
        <w:rPr>
          <w:rFonts w:ascii="Barlow Semi Condensed" w:cs="Barlow Semi Condensed" w:eastAsia="Barlow Semi Condensed" w:hAnsi="Barlow Semi Condensed"/>
          <w:sz w:val="24"/>
          <w:szCs w:val="24"/>
        </w:rPr>
        <w:t xml:space="preserve">Prima: la Conferenza di Roma non fu iniziativa del governo italiano ma della società civile e della sinistra, con figure come Lelio Basso. Non fu atto della Farnesina.</w:t>
      </w:r>
    </w:p>
    <w:p>
      <w:pPr>
        <w:spacing w:after="120" w:line="276"/>
        <w:jc w:val="both"/>
      </w:pPr>
      <w:r>
        <w:rPr>
          <w:rFonts w:ascii="Barlow Semi Condensed" w:cs="Barlow Semi Condensed" w:eastAsia="Barlow Semi Condensed" w:hAnsi="Barlow Semi Condensed"/>
          <w:sz w:val="24"/>
          <w:szCs w:val="24"/>
        </w:rPr>
        <w:t xml:space="preserve">Seconda, e più importante: nessuna fonte attribuisce a Paolo VI una menzione esplicita del Sudafrica in quell'occasione. L'atto riguardava le colonie portoghesi, non il regime di Pretoria.</w:t>
      </w:r>
    </w:p>
    <w:p>
      <w:pPr>
        <w:spacing w:after="120" w:line="276"/>
        <w:jc w:val="both"/>
      </w:pPr>
      <w:r>
        <w:rPr>
          <w:rFonts w:ascii="Barlow Semi Condensed" w:cs="Barlow Semi Condensed" w:eastAsia="Barlow Semi Condensed" w:hAnsi="Barlow Semi Condensed"/>
          <w:sz w:val="24"/>
          <w:szCs w:val="24"/>
        </w:rPr>
        <w:t xml:space="preserve">Che il gesto avesse valore di legittimazione politica dei movimenti di liberazione dell'Africa australe è pacifico; che riguardasse il Sudafrica non lo è, e non va inferito.</w:t>
      </w:r>
    </w:p>
    <w:p>
      <w:pPr>
        <w:spacing w:after="120" w:line="276"/>
        <w:jc w:val="both"/>
      </w:pPr>
      <w:r>
        <w:rPr>
          <w:rFonts w:ascii="Barlow Semi Condensed" w:cs="Barlow Semi Condensed" w:eastAsia="Barlow Semi Condensed" w:hAnsi="Barlow Semi Condensed"/>
          <w:sz w:val="24"/>
          <w:szCs w:val="24"/>
        </w:rPr>
        <w:t xml:space="preserve">L'atto specificamente antiapartheid di Paolo VI è invece documentato, e con data.\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22 maggio 1974\</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egli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ricevette il Comitato speciale delle Nazioni Unite contro l'apartheid.</w:t>
      </w:r>
    </w:p>
    <w:p>
      <w:pPr>
        <w:spacing w:after="120" w:line="276"/>
        <w:jc w:val="both"/>
      </w:pPr>
      <w:r>
        <w:rPr>
          <w:rFonts w:ascii="Barlow Semi Condensed" w:cs="Barlow Semi Condensed" w:eastAsia="Barlow Semi Condensed" w:hAnsi="Barlow Semi Condensed"/>
          <w:sz w:val="24"/>
          <w:szCs w:val="24"/>
        </w:rPr>
        <w:t xml:space="preserve">La circostanza è attestata per via indiretta ma autorevole: dal discorso di Giovanni Paolo II del 7 luglio 1984, nel quale il pontefice polacco ricorda che il mio predecessore Paolo VI ricevette il vostro comitato e indicò le basi dell'impegno cristiano per la causa della promozione della dignità umana.</w:t>
      </w:r>
    </w:p>
    <w:p>
      <w:pPr>
        <w:spacing w:after="120" w:line="276"/>
        <w:jc w:val="both"/>
      </w:pPr>
      <w:r>
        <w:rPr>
          <w:rFonts w:ascii="Barlow Semi Condensed" w:cs="Barlow Semi Condensed" w:eastAsia="Barlow Semi Condensed" w:hAnsi="Barlow Semi Condensed"/>
          <w:sz w:val="24"/>
          <w:szCs w:val="24"/>
        </w:rPr>
        <w:t xml:space="preserve">Il 22 maggio 1974 cade nel secondo mandato ministeriale di Aldo Moro.</w:t>
      </w:r>
    </w:p>
    <w:p>
      <w:pPr>
        <w:spacing w:after="120" w:line="276"/>
        <w:jc w:val="both"/>
      </w:pPr>
      <w:r>
        <w:rPr>
          <w:rFonts w:ascii="Barlow Semi Condensed" w:cs="Barlow Semi Condensed" w:eastAsia="Barlow Semi Condensed" w:hAnsi="Barlow Semi Condensed"/>
          <w:sz w:val="24"/>
          <w:szCs w:val="24"/>
        </w:rPr>
        <w:t xml:space="preserve">E si applica immediatamente la prescrizione: la contemporaneità non è prova di nesso. Nessuna fonte collega i due fatti, e non li si collega.</w:t>
      </w:r>
    </w:p>
    <w:p>
      <w:pPr>
        <w:pStyle w:val="Heading2"/>
        <w:spacing w:after="100" w:before="200"/>
      </w:pPr>
      <w:r>
        <w:rPr>
          <w:rFonts w:ascii="Barlow Semi Condensed" w:cs="Barlow Semi Condensed" w:eastAsia="Barlow Semi Condensed" w:hAnsi="Barlow Semi Condensed"/>
          <w:sz w:val="24"/>
          <w:szCs w:val="24"/>
        </w:rPr>
        <w:t xml:space="preserve">Capitolo quarto — Giovanni Paolo II: l'esclusione deliberata del 1988</w:t>
      </w:r>
    </w:p>
    <w:p>
      <w:pPr>
        <w:spacing w:after="120" w:line="276"/>
        <w:jc w:val="both"/>
      </w:pPr>
      <w:r>
        <w:rPr>
          <w:rFonts w:ascii="Barlow Semi Condensed" w:cs="Barlow Semi Condensed" w:eastAsia="Barlow Semi Condensed" w:hAnsi="Barlow Semi Condensed"/>
          <w:sz w:val="24"/>
          <w:szCs w:val="24"/>
        </w:rPr>
        <w:t xml:space="preserve">Il capitolo espone l'atto pontificio più eloquente dell'intera materia.</w:t>
      </w:r>
    </w:p>
    <w:p>
      <w:pPr>
        <w:spacing w:after="120" w:line="276"/>
        <w:jc w:val="both"/>
      </w:pPr>
      <w:r>
        <w:rPr>
          <w:rFonts w:ascii="Barlow Semi Condensed" w:cs="Barlow Semi Condensed" w:eastAsia="Barlow Semi Condensed" w:hAnsi="Barlow Semi Condensed"/>
          <w:sz w:val="24"/>
          <w:szCs w:val="24"/>
        </w:rPr>
        <w:t xml:space="preserve">Il viaggio. Nel settembre 1988 Giovanni Paolo II compì un itinerario di dieci giorni che toccò cinque Stati confinanti con il Sudafrica: Zimbabwe — Harare il 10 settembre, Bulawayo il 12 — Botswana, Lesotho, Swaziland — Manzini il 16 settembre — e Mozambico, a Maputo.</w:t>
      </w:r>
    </w:p>
    <w:p>
      <w:pPr>
        <w:spacing w:after="120" w:line="276"/>
        <w:jc w:val="both"/>
      </w:pPr>
      <w:r>
        <w:rPr>
          <w:rFonts w:ascii="Barlow Semi Condensed" w:cs="Barlow Semi Condensed" w:eastAsia="Barlow Semi Condensed" w:hAnsi="Barlow Semi Condensed"/>
          <w:sz w:val="24"/>
          <w:szCs w:val="24"/>
        </w:rPr>
        <w:t xml:space="preserve">E il Sudafrica fu escluso deliberatamente, a causa del sistema di apartheid, su esplicito consiglio dei vescovi sudafricani.</w:t>
      </w:r>
    </w:p>
    <w:p>
      <w:pPr>
        <w:spacing w:after="120" w:line="276"/>
        <w:jc w:val="both"/>
      </w:pPr>
      <w:r>
        <w:rPr>
          <w:rFonts w:ascii="Barlow Semi Condensed" w:cs="Barlow Semi Condensed" w:eastAsia="Barlow Semi Condensed" w:hAnsi="Barlow Semi Condensed"/>
          <w:sz w:val="24"/>
          <w:szCs w:val="24"/>
        </w:rPr>
        <w:t xml:space="preserve">Il pontefice attraversò l'Africa australe circondando il Sudafrica senza entrarvi. È, secondo me, l'atto diplomatico più chiaro che la Santa Sede compì sulla materia, e fu un atto di omissione.</w:t>
      </w:r>
    </w:p>
    <w:p>
      <w:pPr>
        <w:spacing w:after="120" w:line="276"/>
        <w:jc w:val="both"/>
      </w:pPr>
      <w:r>
        <w:rPr>
          <w:rFonts w:ascii="Barlow Semi Condensed" w:cs="Barlow Semi Condensed" w:eastAsia="Barlow Semi Condensed" w:hAnsi="Barlow Semi Condensed"/>
          <w:sz w:val="24"/>
          <w:szCs w:val="24"/>
        </w:rPr>
        <w:t xml:space="preserve">E poi accadde ciò che nessuno aveva previsto. Il 14 settembre 1988 il maltempo mise fuori uso i radiofari dell'aeroporto di Maseru, e l'aereo pontificio — un Boeing 707 dell'Air Zimbabwe — fu costretto a un atterraggio d'emergenza a Johannesburg.</w:t>
      </w:r>
    </w:p>
    <w:p>
      <w:pPr>
        <w:spacing w:after="120" w:line="276"/>
        <w:jc w:val="both"/>
      </w:pPr>
      <w:r>
        <w:rPr>
          <w:rFonts w:ascii="Barlow Semi Condensed" w:cs="Barlow Semi Condensed" w:eastAsia="Barlow Semi Condensed" w:hAnsi="Barlow Semi Condensed"/>
          <w:sz w:val="24"/>
          <w:szCs w:val="24"/>
        </w:rPr>
        <w:t xml:space="preserve">La ricostruzione va riportata perché è di una precisione che nessuna parafrasi migliorerebbe. Il velivolo fu costretto ad atterrare a Johannesburg, dove un raggiante Botha e un folto seguito erano pronti ad accogliere il pontefice visibilmente a disagio; e un corteo di venticinque automobili, guidato dal papa in una BMW argentata blindata, portò la delegazione pontificia in salvo fino al Lesotho.</w:t>
      </w:r>
    </w:p>
    <w:p>
      <w:pPr>
        <w:spacing w:after="120" w:line="276"/>
        <w:jc w:val="both"/>
      </w:pPr>
      <w:r>
        <w:rPr>
          <w:rFonts w:ascii="Barlow Semi Condensed" w:cs="Barlow Semi Condensed" w:eastAsia="Barlow Semi Condensed" w:hAnsi="Barlow Semi Condensed"/>
          <w:sz w:val="24"/>
          <w:szCs w:val="24"/>
        </w:rPr>
        <w:t xml:space="preserve">Fu, secondo l'agenzia che lo riportò, la prima volta in trentanove viaggi che Giovanni Paolo II fu costretto a scendere in un Paese non previsto.</w:t>
      </w:r>
    </w:p>
    <w:p>
      <w:pPr>
        <w:spacing w:after="120" w:line="276"/>
        <w:jc w:val="both"/>
      </w:pPr>
      <w:r>
        <w:rPr>
          <w:rFonts w:ascii="Barlow Semi Condensed" w:cs="Barlow Semi Condensed" w:eastAsia="Barlow Semi Condensed" w:hAnsi="Barlow Semi Condensed"/>
          <w:sz w:val="24"/>
          <w:szCs w:val="24"/>
        </w:rPr>
        <w:t xml:space="preserve">Il ministro degli Esteri Roelof Botha ricevette all'aeroporto il pontefice che aveva deciso di non venire.</w:t>
      </w:r>
    </w:p>
    <w:p>
      <w:pPr>
        <w:spacing w:after="120" w:line="276"/>
        <w:jc w:val="both"/>
      </w:pPr>
      <w:r>
        <w:rPr>
          <w:rFonts w:ascii="Barlow Semi Condensed" w:cs="Barlow Semi Condensed" w:eastAsia="Barlow Semi Condensed" w:hAnsi="Barlow Semi Condensed"/>
          <w:sz w:val="24"/>
          <w:szCs w:val="24"/>
        </w:rPr>
        <w:t xml:space="preserve">La posizione sulle sanzioni, e va registrata perché risponde a un obiettivo specifico. In Zimbabwe il pontefice appoggiò le sanzioni economiche contro il governo di Pretoria, in un momento in cui una legge in tal senso incontrava forte opposizione repubblicana al Congresso statunitense.</w:t>
      </w:r>
    </w:p>
    <w:p>
      <w:pPr>
        <w:spacing w:after="120" w:line="276"/>
        <w:jc w:val="both"/>
      </w:pPr>
      <w:r>
        <w:rPr>
          <w:rFonts w:ascii="Barlow Semi Condensed" w:cs="Barlow Semi Condensed" w:eastAsia="Barlow Semi Condensed" w:hAnsi="Barlow Semi Condensed"/>
          <w:sz w:val="24"/>
          <w:szCs w:val="24"/>
        </w:rPr>
        <w:t xml:space="preserve">E il dissenso interno al fronte antiapartheid va riportato perché la disciplina lo impone. Il reverendo Alan Boesak, capo del Consiglio mondiale delle Chiese riformate, criticò il pontefice per non aver inserito una condanna esplicita dell'apartheid nell'omelia finale della domenica: mi rattrista che il papa non si sia reso così chiaro sulla situazione come avrei voluto, e potrebbe aver dato al Sudafrica più conforto di quanto meriti.</w:t>
      </w:r>
    </w:p>
    <w:p>
      <w:pPr>
        <w:spacing w:after="120" w:line="276"/>
        <w:jc w:val="both"/>
      </w:pPr>
      <w:r>
        <w:rPr>
          <w:rFonts w:ascii="Barlow Semi Condensed" w:cs="Barlow Semi Condensed" w:eastAsia="Barlow Semi Condensed" w:hAnsi="Barlow Semi Condensed"/>
          <w:sz w:val="24"/>
          <w:szCs w:val="24"/>
        </w:rPr>
        <w:t xml:space="preserve">La visita ufficiale in Sudafrica avvenne solo dopo la fine dell'apartheid, il 16 e 17 settembre 1995. Il 17 settembre il pontefice celebrò la messa a Gosforth Park, Germiston, davanti a oltre centomila persone, salutando la nazione arcobaleno. Il documento programmatico del viaggio era l'esortazione \</w:t>
      </w:r>
      <w:r>
        <w:rPr>
          <w:rFonts w:ascii="Barlow Semi Condensed" w:cs="Barlow Semi Condensed" w:eastAsia="Barlow Semi Condensed" w:hAnsi="Barlow Semi Condensed"/>
          <w:i/>
          <w:iCs/>
          <w:sz w:val="24"/>
          <w:szCs w:val="24"/>
        </w:rPr>
        <w:t xml:space="preserve">Ecclesia in Africa\</w:t>
      </w:r>
      <w:r>
        <w:rPr>
          <w:rFonts w:ascii="Barlow Semi Condensed" w:cs="Barlow Semi Condensed" w:eastAsia="Barlow Semi Condensed" w:hAnsi="Barlow Semi Condensed"/>
          <w:sz w:val="24"/>
          <w:szCs w:val="24"/>
        </w:rPr>
        <w:t xml:space="preserve">, firmata il 14 settembre 1995.</w:t>
      </w:r>
    </w:p>
    <w:p>
      <w:pPr>
        <w:pStyle w:val="Heading2"/>
        <w:spacing w:after="100" w:before="200"/>
      </w:pPr>
      <w:r>
        <w:rPr>
          <w:rFonts w:ascii="Barlow Semi Condensed" w:cs="Barlow Semi Condensed" w:eastAsia="Barlow Semi Condensed" w:hAnsi="Barlow Semi Condensed"/>
          <w:sz w:val="24"/>
          <w:szCs w:val="24"/>
        </w:rPr>
        <w:t xml:space="preserve">Capitolo quinto — L'episcopato sudafricano e la tensione con il centro</w:t>
      </w:r>
    </w:p>
    <w:p>
      <w:pPr>
        <w:spacing w:after="120" w:line="276"/>
        <w:jc w:val="both"/>
      </w:pPr>
      <w:r>
        <w:rPr>
          <w:rFonts w:ascii="Barlow Semi Condensed" w:cs="Barlow Semi Condensed" w:eastAsia="Barlow Semi Condensed" w:hAnsi="Barlow Semi Condensed"/>
          <w:sz w:val="24"/>
          <w:szCs w:val="24"/>
        </w:rPr>
        <w:t xml:space="preserve">Il capitolo espone un pattern che il corpus possiede già in forma inversa, e che qui si presenta rovesciato.</w:t>
      </w:r>
    </w:p>
    <w:p>
      <w:pPr>
        <w:spacing w:after="120" w:line="276"/>
        <w:jc w:val="both"/>
      </w:pPr>
      <w:r>
        <w:rPr>
          <w:rFonts w:ascii="Barlow Semi Condensed" w:cs="Barlow Semi Condensed" w:eastAsia="Barlow Semi Condensed" w:hAnsi="Barlow Semi Condensed"/>
          <w:sz w:val="24"/>
          <w:szCs w:val="24"/>
        </w:rPr>
        <w:t xml:space="preserve">La conferenza.\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Southern African Catholic Bishops' Conference\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costituita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1947\</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fece la prima pronuncia contro il razzismo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1952\</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1957 condannò l'apartheid come intrinsecamente malvagio.</w:t>
      </w:r>
    </w:p>
    <w:p>
      <w:pPr>
        <w:spacing w:after="120" w:line="276"/>
        <w:jc w:val="both"/>
      </w:pPr>
      <w:r>
        <w:rPr>
          <w:rFonts w:ascii="Barlow Semi Condensed" w:cs="Barlow Semi Condensed" w:eastAsia="Barlow Semi Condensed" w:hAnsi="Barlow Semi Condensed"/>
          <w:sz w:val="24"/>
          <w:szCs w:val="24"/>
        </w:rPr>
        <w:t xml:space="preserve">La condanna fu contenuta in una lettera pastorale letta in tutte le chiese cattoliche il 21 luglio 1957\</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ed è ritenuta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primo caso in cui un corpo cristiano definì l'apartheid qualcosa di intrinsecamente malvagio.</w:t>
      </w:r>
    </w:p>
    <w:p>
      <w:pPr>
        <w:spacing w:after="120" w:line="276"/>
        <w:jc w:val="both"/>
      </w:pPr>
      <w:r>
        <w:rPr>
          <w:rFonts w:ascii="Barlow Semi Condensed" w:cs="Barlow Semi Condensed" w:eastAsia="Barlow Semi Condensed" w:hAnsi="Barlow Semi Condensed"/>
          <w:sz w:val="24"/>
          <w:szCs w:val="24"/>
        </w:rPr>
        <w:t xml:space="preserve">La figura. Denis Eugene Hurley, nato a Città del Capo nel 1915 da genitori irlandesi, oblato di Maria Immacolata, ordinato nel 1939, vicario apostolico del Natal nel 1947, arcivescovo di Durban nel 1951: il più giovane arcivescovo del mondo. Primo presidente della conferenza dal 1952 al 1961 e nuovamente dal 1981 al 1987.</w:t>
      </w:r>
    </w:p>
    <w:p>
      <w:pPr>
        <w:spacing w:after="120" w:line="276"/>
        <w:jc w:val="both"/>
      </w:pPr>
      <w:r>
        <w:rPr>
          <w:rFonts w:ascii="Barlow Semi Condensed" w:cs="Barlow Semi Condensed" w:eastAsia="Barlow Semi Condensed" w:hAnsi="Barlow Semi Condensed"/>
          <w:sz w:val="24"/>
          <w:szCs w:val="24"/>
        </w:rPr>
        <w:t xml:space="preserve">E adesso il dato che rovescia il pattern del corpus. La dichiarazione del 1957 fu voluta da Hurley in opposizione alla linea del delegato apostolico dell'epoca, il quale preferiva una strategia di ingaggio diplomatico con il regime di Verwoerd.</w:t>
      </w:r>
    </w:p>
    <w:p>
      <w:pPr>
        <w:spacing w:after="120" w:line="276"/>
        <w:jc w:val="both"/>
      </w:pPr>
      <w:r>
        <w:rPr>
          <w:rFonts w:ascii="Barlow Semi Condensed" w:cs="Barlow Semi Condensed" w:eastAsia="Barlow Semi Condensed" w:hAnsi="Barlow Semi Condensed"/>
          <w:sz w:val="24"/>
          <w:szCs w:val="24"/>
        </w:rPr>
        <w:t xml:space="preserve">Il corpus possiede già due casi di rapporto fra centro romano e periferia episcopale: la reticenza di Cerejeira in Portogallo e la sollecitazione di Frings in Germania. In entrambi la periferia determinava e il centro accompagnava.</w:t>
      </w:r>
    </w:p>
    <w:p>
      <w:pPr>
        <w:spacing w:after="120" w:line="276"/>
        <w:jc w:val="both"/>
      </w:pPr>
      <w:r>
        <w:rPr>
          <w:rFonts w:ascii="Barlow Semi Condensed" w:cs="Barlow Semi Condensed" w:eastAsia="Barlow Semi Condensed" w:hAnsi="Barlow Semi Condensed"/>
          <w:sz w:val="24"/>
          <w:szCs w:val="24"/>
        </w:rPr>
        <w:t xml:space="preserve">Qui il rapporto è invertito: la periferia è più avanzata del centro, e lo dichiara.</w:t>
      </w:r>
    </w:p>
    <w:p>
      <w:pPr>
        <w:spacing w:after="120" w:line="276"/>
        <w:jc w:val="both"/>
      </w:pPr>
      <w:r>
        <w:rPr>
          <w:rFonts w:ascii="Barlow Semi Condensed" w:cs="Barlow Semi Condensed" w:eastAsia="Barlow Semi Condensed" w:hAnsi="Barlow Semi Condensed"/>
          <w:sz w:val="24"/>
          <w:szCs w:val="24"/>
        </w:rPr>
        <w:t xml:space="preserve">Un elemento accademico conferma la tensione. La ricerca sul cosiddetto strano silenzio di Hurley al Concilio Vaticano II documenta che egli non promosse una condanna conciliare dell'apartheid per mancanza di sostegno degli altri vescovi, timorosi di ritorsioni del governo.</w:t>
      </w:r>
    </w:p>
    <w:p>
      <w:pPr>
        <w:spacing w:after="120" w:line="276"/>
        <w:jc w:val="both"/>
      </w:pPr>
      <w:r>
        <w:rPr>
          <w:rFonts w:ascii="Barlow Semi Condensed" w:cs="Barlow Semi Condensed" w:eastAsia="Barlow Semi Condensed" w:hAnsi="Barlow Semi Condensed"/>
          <w:sz w:val="24"/>
          <w:szCs w:val="24"/>
        </w:rPr>
        <w:t xml:space="preserve">I procedimenti giudiziari, con la divergenza fra fonti mantenuta. Nel 1984 Hurley fu incriminato per aver reso false dichiarazioni sulle atrocità commesse dall'unità paramilitare Koevoet in Namibia; nel 1985 fu prosciolto quando il procuratore annunciò che lo Stato non avrebbe proceduto perché il caso si fondava su voci e prove per sentito dire.</w:t>
      </w:r>
    </w:p>
    <w:p>
      <w:pPr>
        <w:spacing w:after="120" w:line="276"/>
        <w:jc w:val="both"/>
      </w:pPr>
      <w:r>
        <w:rPr>
          <w:rFonts w:ascii="Barlow Semi Condensed" w:cs="Barlow Semi Condensed" w:eastAsia="Barlow Semi Condensed" w:hAnsi="Barlow Semi Condensed"/>
          <w:sz w:val="24"/>
          <w:szCs w:val="24"/>
        </w:rPr>
        <w:t xml:space="preserve">Le fonti divergono sulla qualificazione: alcune parlano di imputazione per violazione del Police Act e di arresti domiciliari; altre di accusa di false dichiarazioni e di ritiro per timore dello Stato di essere imbarazzato dalle prove della difesa. Si riporta la divergenza.</w:t>
      </w:r>
    </w:p>
    <w:p>
      <w:pPr>
        <w:spacing w:after="120" w:line="276"/>
        <w:jc w:val="both"/>
      </w:pPr>
      <w:r>
        <w:rPr>
          <w:rFonts w:ascii="Barlow Semi Condensed" w:cs="Barlow Semi Condensed" w:eastAsia="Barlow Semi Condensed" w:hAnsi="Barlow Semi Condensed"/>
          <w:sz w:val="24"/>
          <w:szCs w:val="24"/>
        </w:rPr>
        <w:t xml:space="preserve">È documentato che la sua abitazione a Durban fu oggetto di attentato incendiario e che un ministro del governo lo definì un Che Guevara ecclesiastico.</w:t>
      </w:r>
    </w:p>
    <w:p>
      <w:pPr>
        <w:spacing w:after="120" w:line="276"/>
        <w:jc w:val="both"/>
      </w:pPr>
      <w:r>
        <w:rPr>
          <w:rFonts w:ascii="Barlow Semi Condensed" w:cs="Barlow Semi Condensed" w:eastAsia="Barlow Semi Condensed" w:hAnsi="Barlow Semi Condensed"/>
          <w:sz w:val="24"/>
          <w:szCs w:val="24"/>
        </w:rPr>
        <w:t xml:space="preserve">La repressione contro la conferenza. Il settimanale \</w:t>
      </w:r>
      <w:r>
        <w:rPr>
          <w:rFonts w:ascii="Barlow Semi Condensed" w:cs="Barlow Semi Condensed" w:eastAsia="Barlow Semi Condensed" w:hAnsi="Barlow Semi Condensed"/>
          <w:i/>
          <w:iCs/>
          <w:sz w:val="24"/>
          <w:szCs w:val="24"/>
        </w:rPr>
        <w:t xml:space="preserve">New Nation\</w:t>
      </w:r>
      <w:r>
        <w:rPr>
          <w:rFonts w:ascii="Barlow Semi Condensed" w:cs="Barlow Semi Condensed" w:eastAsia="Barlow Semi Condensed" w:hAnsi="Barlow Semi Condensed"/>
          <w:sz w:val="24"/>
          <w:szCs w:val="24"/>
        </w:rPr>
        <w:t xml:space="preserve">, fondato nel 1986, fu bandito nel 1988; nell'ottobre 1988 la sede della conferenza, Khanya House a Pretoria, fu fatta oggetto di attentato dinamitardo, per il quale nel 2000 la Commissione per la verità e la riconciliazione concesse l'amnistia a diciannove ex membri della polizia di sicurezza, incluso Eugene de Kock.</w:t>
      </w:r>
    </w:p>
    <w:p>
      <w:pPr>
        <w:pStyle w:val="Heading2"/>
        <w:spacing w:after="100" w:before="200"/>
      </w:pPr>
      <w:r>
        <w:rPr>
          <w:rFonts w:ascii="Barlow Semi Condensed" w:cs="Barlow Semi Condensed" w:eastAsia="Barlow Semi Condensed" w:hAnsi="Barlow Semi Condensed"/>
          <w:sz w:val="24"/>
          <w:szCs w:val="24"/>
        </w:rPr>
        <w:t xml:space="preserve">Capitolo sesto — Le scuole cattoliche: quindici anni prima dello Stato</w:t>
      </w:r>
    </w:p>
    <w:p>
      <w:pPr>
        <w:spacing w:after="120" w:line="276"/>
        <w:jc w:val="both"/>
      </w:pPr>
      <w:r>
        <w:rPr>
          <w:rFonts w:ascii="Barlow Semi Condensed" w:cs="Barlow Semi Condensed" w:eastAsia="Barlow Semi Condensed" w:hAnsi="Barlow Semi Condensed"/>
          <w:sz w:val="24"/>
          <w:szCs w:val="24"/>
        </w:rPr>
        <w:t xml:space="preserve">Il capitolo espone un accertamento cronologico che vale come misura.</w:t>
      </w:r>
    </w:p>
    <w:p>
      <w:pPr>
        <w:spacing w:after="120" w:line="276"/>
        <w:jc w:val="both"/>
      </w:pPr>
      <w:r>
        <w:rPr>
          <w:rFonts w:ascii="Barlow Semi Condensed" w:cs="Barlow Semi Condensed" w:eastAsia="Barlow Semi Condensed" w:hAnsi="Barlow Semi Condensed"/>
          <w:sz w:val="24"/>
          <w:szCs w:val="24"/>
        </w:rPr>
        <w:t xml:space="preserve">Lo studio di riferimento.\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Pam Christie\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Open Schools: Racially Mixed Catholic Schools in South Africa, 1976-1986\</w:t>
      </w:r>
      <w:r>
        <w:rPr>
          <w:rFonts w:ascii="Barlow Semi Condensed" w:cs="Barlow Semi Condensed" w:eastAsia="Barlow Semi Condensed" w:hAnsi="Barlow Semi Condensed"/>
          <w:sz w:val="24"/>
          <w:szCs w:val="24"/>
        </w:rPr>
        <w:t xml:space="preserve">, Ravan Press, Johannesburg 1990,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cui titolo fissa l'arco.</w:t>
      </w:r>
    </w:p>
    <w:p>
      <w:pPr>
        <w:spacing w:after="120" w:line="276"/>
        <w:jc w:val="both"/>
      </w:pPr>
      <w:r>
        <w:rPr>
          <w:rFonts w:ascii="Barlow Semi Condensed" w:cs="Barlow Semi Condensed" w:eastAsia="Barlow Semi Condensed" w:hAnsi="Barlow Semi Condensed"/>
          <w:sz w:val="24"/>
          <w:szCs w:val="24"/>
        </w:rPr>
        <w:t xml:space="preserve">La svolta, con la data.\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1976\</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 vescovi decisero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integrare scuole e seminari\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va registrato da dove venne la spinta iniziale: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dalle congregazioni religiose femminili, che aprirono le scuole cattoliche a tutte le razze.</w:t>
      </w:r>
    </w:p>
    <w:p>
      <w:pPr>
        <w:spacing w:after="120" w:line="276"/>
        <w:jc w:val="both"/>
      </w:pPr>
      <w:r>
        <w:rPr>
          <w:rFonts w:ascii="Barlow Semi Condensed" w:cs="Barlow Semi Condensed" w:eastAsia="Barlow Semi Condensed" w:hAnsi="Barlow Semi Condensed"/>
          <w:sz w:val="24"/>
          <w:szCs w:val="24"/>
        </w:rPr>
        <w:t xml:space="preserve">Il precedente va distinto, e riguarda gli anni Cinquanta. Nella battaglia contro la Bantu Education, come ricorda Nelson Mandela in \</w:t>
      </w:r>
      <w:r>
        <w:rPr>
          <w:rFonts w:ascii="Barlow Semi Condensed" w:cs="Barlow Semi Condensed" w:eastAsia="Barlow Semi Condensed" w:hAnsi="Barlow Semi Condensed"/>
          <w:i/>
          <w:iCs/>
          <w:sz w:val="24"/>
          <w:szCs w:val="24"/>
        </w:rPr>
        <w:t xml:space="preserve">Long Walk to Freedom\</w:t>
      </w:r>
      <w:r>
        <w:rPr>
          <w:rFonts w:ascii="Barlow Semi Condensed" w:cs="Barlow Semi Condensed" w:eastAsia="Barlow Semi Condensed" w:hAnsi="Barlow Semi Condensed"/>
          <w:sz w:val="24"/>
          <w:szCs w:val="24"/>
        </w:rPr>
        <w:t xml:space="preserve">, i cattolici furono tra i pochi — con gli Avventisti del Settimo Giorno e la United Jewish Reform Congregation — a mantenere le proprie scuole missionarie senza aiuto statale, rifiutando di consegnarle al governo.</w:t>
      </w:r>
    </w:p>
    <w:p>
      <w:pPr>
        <w:spacing w:after="120" w:line="276"/>
        <w:jc w:val="both"/>
      </w:pPr>
      <w:r>
        <w:rPr>
          <w:rFonts w:ascii="Barlow Semi Condensed" w:cs="Barlow Semi Condensed" w:eastAsia="Barlow Semi Condensed" w:hAnsi="Barlow Semi Condensed"/>
          <w:sz w:val="24"/>
          <w:szCs w:val="24"/>
        </w:rPr>
        <w:t xml:space="preserve">E adesso la misura, che è il punto del capitolo.</w:t>
      </w:r>
    </w:p>
    <w:p>
      <w:pPr>
        <w:spacing w:after="120" w:line="276"/>
        <w:jc w:val="both"/>
      </w:pPr>
      <w:r>
        <w:rPr>
          <w:rFonts w:ascii="Barlow Semi Condensed" w:cs="Barlow Semi Condensed" w:eastAsia="Barlow Semi Condensed" w:hAnsi="Barlow Semi Condensed"/>
          <w:sz w:val="24"/>
          <w:szCs w:val="24"/>
        </w:rPr>
        <w:t xml:space="preserve">La desegregazione delle scuole cattoliche precedette di quasi un quindicennio la desegregazione generalizzata delle scuole bianche\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avviata soltanto dal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1990\</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il meccanismo di voto scuola per scuola introdotto dal ministro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Piet Clase.</w:t>
      </w:r>
    </w:p>
    <w:p>
      <w:pPr>
        <w:spacing w:after="120" w:line="276"/>
        <w:jc w:val="both"/>
      </w:pPr>
      <w:r>
        <w:rPr>
          <w:rFonts w:ascii="Barlow Semi Condensed" w:cs="Barlow Semi Condensed" w:eastAsia="Barlow Semi Condensed" w:hAnsi="Barlow Semi Condensed"/>
          <w:sz w:val="24"/>
          <w:szCs w:val="24"/>
        </w:rPr>
        <w:t xml:space="preserve">Quindici anni fra l'atto di una Chiesa e l'atto dello Stato sul medesimo territorio.</w:t>
      </w:r>
    </w:p>
    <w:p>
      <w:pPr>
        <w:spacing w:after="120" w:line="276"/>
        <w:jc w:val="both"/>
      </w:pPr>
      <w:r>
        <w:rPr>
          <w:rFonts w:ascii="Barlow Semi Condensed" w:cs="Barlow Semi Condensed" w:eastAsia="Barlow Semi Condensed" w:hAnsi="Barlow Semi Condensed"/>
          <w:sz w:val="24"/>
          <w:szCs w:val="24"/>
        </w:rPr>
        <w:t xml:space="preserve">L'evoluzione dei rapporti con Pretoria. Dalla mitezza paternalistica dei documenti degli anni Cinquanta e Sessanta si passò, dopo le rivolte di Soweto del 1976 e con la Declaration of Commitment del 1977, a un impegno più diretto, culminato negli anni Ottanta nella repressione.</w:t>
      </w:r>
    </w:p>
    <w:p>
      <w:pPr>
        <w:spacing w:after="120" w:line="276"/>
        <w:jc w:val="both"/>
      </w:pPr>
      <w:r>
        <w:rPr>
          <w:rFonts w:ascii="Barlow Semi Condensed" w:cs="Barlow Semi Condensed" w:eastAsia="Barlow Semi Condensed" w:hAnsi="Barlow Semi Condensed"/>
          <w:sz w:val="24"/>
          <w:szCs w:val="24"/>
        </w:rPr>
        <w:t xml:space="preserve">Un dato biografico misura il clima.\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Smangaliso Mkhatshwa\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fu nominato segretario generale della conferenza nel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1981 mentre era ancora sottoposto a banning order.</w:t>
      </w:r>
    </w:p>
    <w:p>
      <w:pPr>
        <w:spacing w:after="120" w:line="276"/>
        <w:jc w:val="both"/>
      </w:pPr>
      <w:r>
        <w:rPr>
          <w:rFonts w:ascii="Barlow Semi Condensed" w:cs="Barlow Semi Condensed" w:eastAsia="Barlow Semi Condensed" w:hAnsi="Barlow Semi Condensed"/>
          <w:sz w:val="24"/>
          <w:szCs w:val="24"/>
        </w:rPr>
        <w:t xml:space="preserve">La consistenza della comunità, con lo statuto della fonte dichiarato.\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Un'agenzia riportò nel settembre 1988 di un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Paese a governo bianco, l'ottanta per cento dei cui due milioni e mezzo di cattolici è nero.</w:t>
      </w:r>
    </w:p>
    <w:p>
      <w:pPr>
        <w:spacing w:after="120" w:line="276"/>
        <w:jc w:val="both"/>
      </w:pPr>
      <w:r>
        <w:rPr>
          <w:rFonts w:ascii="Barlow Semi Condensed" w:cs="Barlow Semi Condensed" w:eastAsia="Barlow Semi Condensed" w:hAnsi="Barlow Semi Condensed"/>
          <w:sz w:val="24"/>
          <w:szCs w:val="24"/>
        </w:rPr>
        <w:t xml:space="preserve">È dato di stampa e non censuario, e va trattato come tale.</w:t>
      </w:r>
    </w:p>
    <w:p>
      <w:pPr>
        <w:spacing w:after="120" w:line="276"/>
        <w:jc w:val="both"/>
      </w:pPr>
      <w:r>
        <w:rPr>
          <w:rFonts w:ascii="Barlow Semi Condensed" w:cs="Barlow Semi Condensed" w:eastAsia="Barlow Semi Condensed" w:hAnsi="Barlow Semi Condensed"/>
          <w:sz w:val="24"/>
          <w:szCs w:val="24"/>
        </w:rPr>
        <w:t xml:space="preserve">Ma se anche approssimativo, esso enuncia la contraddizione strutturale della Chiesa cattolica sudafricana: una gerarchia in larga parte bianca e di origine straniera a capo di una comunità in larghissima parte nera, dentro un regime che quella comunità segregava.</w:t>
      </w:r>
    </w:p>
    <w:p>
      <w:pPr>
        <w:pStyle w:val="Heading2"/>
        <w:spacing w:after="100" w:before="200"/>
      </w:pPr>
      <w:r>
        <w:rPr>
          <w:rFonts w:ascii="Barlow Semi Condensed" w:cs="Barlow Semi Condensed" w:eastAsia="Barlow Semi Condensed" w:hAnsi="Barlow Semi Condensed"/>
          <w:sz w:val="24"/>
          <w:szCs w:val="24"/>
        </w:rPr>
        <w:t xml:space="preserve">Capitolo settimo — La Democrazia Cristiana: un accertamento e un esito negativo</w:t>
      </w:r>
    </w:p>
    <w:p>
      <w:pPr>
        <w:spacing w:after="120" w:line="276"/>
        <w:jc w:val="both"/>
      </w:pPr>
      <w:r>
        <w:rPr>
          <w:rFonts w:ascii="Barlow Semi Condensed" w:cs="Barlow Semi Condensed" w:eastAsia="Barlow Semi Condensed" w:hAnsi="Barlow Semi Condensed"/>
          <w:sz w:val="24"/>
          <w:szCs w:val="24"/>
        </w:rPr>
        <w:t xml:space="preserve">Il capitolo espone ciò che si è trovato del versante partitico italiano, che è meno di quanto l'ordine chiedesse.</w:t>
      </w:r>
    </w:p>
    <w:p>
      <w:pPr>
        <w:spacing w:after="120" w:line="276"/>
        <w:jc w:val="both"/>
      </w:pPr>
      <w:r>
        <w:rPr>
          <w:rFonts w:ascii="Barlow Semi Condensed" w:cs="Barlow Semi Condensed" w:eastAsia="Barlow Semi Condensed" w:hAnsi="Barlow Semi Condensed"/>
          <w:sz w:val="24"/>
          <w:szCs w:val="24"/>
        </w:rPr>
        <w:t xml:space="preserve">L'accertamento documentale solido. La banca dati aperta della Camera dei deputati attesta l'atto Camera numero dieci della undicesima legislatura, di iniziativa popolare, con data 19891010 — dunque presentato il 10 ottobre 1989 — intitolato Sanzioni contro il regime di apartheid nella Repubblica del Sudafrica, corrispondente alle cinquantamila firme già acquisite nel corpus; il testo a stampa è archiviato nel fondo dell'undicesima legislatura con stampato quarantaduemilanovecentotrentuno.</w:t>
      </w:r>
    </w:p>
    <w:p>
      <w:pPr>
        <w:spacing w:after="120" w:line="276"/>
        <w:jc w:val="both"/>
      </w:pPr>
      <w:r>
        <w:rPr>
          <w:rFonts w:ascii="Barlow Semi Condensed" w:cs="Barlow Semi Condensed" w:eastAsia="Barlow Semi Condensed" w:hAnsi="Barlow Semi Condensed"/>
          <w:sz w:val="24"/>
          <w:szCs w:val="24"/>
        </w:rPr>
        <w:t xml:space="preserve">Analogamente è acquisita la costituzione, nel gennaio 1985, del Coordinamento Nazionale contro l'Apartheid in Sudafrica.</w:t>
      </w:r>
    </w:p>
    <w:p>
      <w:pPr>
        <w:spacing w:after="120" w:line="276"/>
        <w:jc w:val="both"/>
      </w:pPr>
      <w:r>
        <w:rPr>
          <w:rFonts w:ascii="Barlow Semi Condensed" w:cs="Barlow Semi Condensed" w:eastAsia="Barlow Semi Condensed" w:hAnsi="Barlow Semi Condensed"/>
          <w:sz w:val="24"/>
          <w:szCs w:val="24"/>
        </w:rPr>
        <w:t xml:space="preserve">E adesso l'esito negativo, che va dichiarato senza attenuazioni perché riguarda il cuore dell'ordine ricevuto.</w:t>
      </w:r>
    </w:p>
    <w:p>
      <w:pPr>
        <w:spacing w:after="120" w:line="276"/>
        <w:jc w:val="both"/>
      </w:pPr>
      <w:r>
        <w:rPr>
          <w:rFonts w:ascii="Barlow Semi Condensed" w:cs="Barlow Semi Condensed" w:eastAsia="Barlow Semi Condensed" w:hAnsi="Barlow Semi Condensed"/>
          <w:sz w:val="24"/>
          <w:szCs w:val="24"/>
        </w:rPr>
        <w:t xml:space="preserve">Le fonti edite reperite non consentono di documentare una posizione ufficiale distinta e formalizzata della Democrazia Cristiana come partito — mozioni congressuali, documenti della segreteria, atti d'indirizzo specifici sull'apartheid — separata dall'azione parlamentare e dal fronte associativo trasversale.</w:t>
      </w:r>
    </w:p>
    <w:p>
      <w:pPr>
        <w:spacing w:after="120" w:line="276"/>
        <w:jc w:val="both"/>
      </w:pPr>
      <w:r>
        <w:rPr>
          <w:rFonts w:ascii="Barlow Semi Condensed" w:cs="Barlow Semi Condensed" w:eastAsia="Barlow Semi Condensed" w:hAnsi="Barlow Semi Condensed"/>
          <w:sz w:val="24"/>
          <w:szCs w:val="24"/>
        </w:rPr>
        <w:t xml:space="preserve">Ciò che si documenta è un'iniziativa popolare e un coordinamento nazionale, entrambi trasversali. Ciò che non si documenta è la DC come soggetto autonomo su questa materia.</w:t>
      </w:r>
    </w:p>
    <w:p>
      <w:pPr>
        <w:spacing w:after="120" w:line="276"/>
        <w:jc w:val="both"/>
      </w:pPr>
      <w:r>
        <w:rPr>
          <w:rFonts w:ascii="Barlow Semi Condensed" w:cs="Barlow Semi Condensed" w:eastAsia="Barlow Semi Condensed" w:hAnsi="Barlow Semi Condensed"/>
          <w:sz w:val="24"/>
          <w:szCs w:val="24"/>
        </w:rPr>
        <w:t xml:space="preserve">La sede propria per l'accertamento sono gli atti dei congressi nazionali democristiani, l'archivio dell'Istituto Luigi Sturzo e gli atti parlamentari relativi alle interrogazioni e ai dibattiti sul Sudafrica: depositi non esplorati.</w:t>
      </w:r>
    </w:p>
    <w:p>
      <w:pPr>
        <w:spacing w:after="120" w:line="276"/>
        <w:jc w:val="both"/>
      </w:pPr>
      <w:r>
        <w:rPr>
          <w:rFonts w:ascii="Barlow Semi Condensed" w:cs="Barlow Semi Condensed" w:eastAsia="Barlow Semi Condensed" w:hAnsi="Barlow Semi Condensed"/>
          <w:sz w:val="24"/>
          <w:szCs w:val="24"/>
        </w:rPr>
        <w:t xml:space="preserve">Un secondo esito negativo va registrato perché l'ordine lo chiedeva espressamente. Nessuna fonte edita documenta un coordinamento formale fra la Democrazia Cristiana e la Santa Sede o la Conferenza episcopale italiana sulla materia sudafricana.</w:t>
      </w:r>
    </w:p>
    <w:p>
      <w:pPr>
        <w:spacing w:after="120" w:line="276"/>
        <w:jc w:val="both"/>
      </w:pPr>
      <w:r>
        <w:rPr>
          <w:rFonts w:ascii="Barlow Semi Condensed" w:cs="Barlow Semi Condensed" w:eastAsia="Barlow Semi Condensed" w:hAnsi="Barlow Semi Condensed"/>
          <w:sz w:val="24"/>
          <w:szCs w:val="24"/>
        </w:rPr>
        <w:t xml:space="preserve">Si tratta di mancato reperimento e non di impossibilità istituzionale, e la distinzione va mantenuta: l'archivio della DC esiste ed è consultabile, a differenza di quello vaticano per il periodo.</w:t>
      </w:r>
    </w:p>
    <w:p>
      <w:pPr>
        <w:spacing w:after="120" w:line="276"/>
        <w:jc w:val="both"/>
      </w:pPr>
      <w:r>
        <w:rPr>
          <w:rFonts w:ascii="Barlow Semi Condensed" w:cs="Barlow Semi Condensed" w:eastAsia="Barlow Semi Condensed" w:hAnsi="Barlow Semi Condensed"/>
          <w:sz w:val="24"/>
          <w:szCs w:val="24"/>
        </w:rPr>
        <w:t xml:space="preserve">Il quadro europeo entro cui l'Italia si muoveva, per contesto. La Comunità adottò nel luglio 1977 un codice di condotta per le aziende operanti in Sudafrica e, nel 1985-1986, misure restrittive. Le Nazioni Unite avevano reso obbligatorio l'embargo sulle armi con la risoluzione quattrocentodiciotto del 4 novembre 1977, adottata all'unanimità con quindici voti — primo caso di sanzioni obbligatorie imposte a uno Stato membro — che l'Italia ratificò.</w:t>
      </w:r>
    </w:p>
    <w:p>
      <w:pPr>
        <w:pStyle w:val="Heading2"/>
        <w:spacing w:after="100" w:before="200"/>
      </w:pPr>
      <w:r>
        <w:rPr>
          <w:rFonts w:ascii="Barlow Semi Condensed" w:cs="Barlow Semi Condensed" w:eastAsia="Barlow Semi Condensed" w:hAnsi="Barlow Semi Condensed"/>
          <w:sz w:val="24"/>
          <w:szCs w:val="24"/>
        </w:rPr>
        <w:t xml:space="preserve">Capitolo ottavo — Zonderwater: la dimensione religiosa e una correzione</w:t>
      </w:r>
    </w:p>
    <w:p>
      <w:pPr>
        <w:spacing w:after="120" w:line="276"/>
        <w:jc w:val="both"/>
      </w:pPr>
      <w:r>
        <w:rPr>
          <w:rFonts w:ascii="Barlow Semi Condensed" w:cs="Barlow Semi Condensed" w:eastAsia="Barlow Semi Condensed" w:hAnsi="Barlow Semi Condensed"/>
          <w:sz w:val="24"/>
          <w:szCs w:val="24"/>
        </w:rPr>
        <w:t xml:space="preserve">Il capitolo espone il versante che l'ordine chiedeva sulla comunità italiana, e vi apporta una correzione metodologica.</w:t>
      </w:r>
    </w:p>
    <w:p>
      <w:pPr>
        <w:spacing w:after="120" w:line="276"/>
        <w:jc w:val="both"/>
      </w:pPr>
      <w:r>
        <w:rPr>
          <w:rFonts w:ascii="Barlow Semi Condensed" w:cs="Barlow Semi Condensed" w:eastAsia="Barlow Semi Condensed" w:hAnsi="Barlow Semi Condensed"/>
          <w:sz w:val="24"/>
          <w:szCs w:val="24"/>
        </w:rPr>
        <w:t xml:space="preserve">I numeri, già in parte acquisiti. Il campo di Zonderwater, presso Cullinan a poco più di quaranta chilometri da Pretoria, contò cinquantaquattromila prigionieri nell'aprile 1942, sessantatremila nel 1943, fino a un totale di novantamila.</w:t>
      </w:r>
    </w:p>
    <w:p>
      <w:pPr>
        <w:spacing w:after="120" w:line="276"/>
        <w:jc w:val="both"/>
      </w:pPr>
      <w:r>
        <w:rPr>
          <w:rFonts w:ascii="Barlow Semi Condensed" w:cs="Barlow Semi Condensed" w:eastAsia="Barlow Semi Condensed" w:hAnsi="Barlow Semi Condensed"/>
          <w:sz w:val="24"/>
          <w:szCs w:val="24"/>
        </w:rPr>
        <w:t xml:space="preserve">Una divergenza va segnalata perché tocca un dato già iscritto nel corpus. Sul numero dei caduti: il corpus e alcune fonti indicano trecentododici; un articolo italiano parla di duecentosettantanove italiani sepolti; una fonte sudafricana precisa che quasi duecentottanta soldati sono sepolti a Zonderwater e trentacinque nel cimitero di guerra di Pietermaritzburg.</w:t>
      </w:r>
    </w:p>
    <w:p>
      <w:pPr>
        <w:spacing w:after="120" w:line="276"/>
        <w:jc w:val="both"/>
      </w:pPr>
      <w:r>
        <w:rPr>
          <w:rFonts w:ascii="Barlow Semi Condensed" w:cs="Barlow Semi Condensed" w:eastAsia="Barlow Semi Condensed" w:hAnsi="Barlow Semi Condensed"/>
          <w:sz w:val="24"/>
          <w:szCs w:val="24"/>
        </w:rPr>
        <w:t xml:space="preserve">La divergenza è probabilmente riconducibile alla distinzione fra caduti complessivamente onorati e sepolti nel solo cimitero di Zonderwater, e si riporta anziché comporre.</w:t>
      </w:r>
    </w:p>
    <w:p>
      <w:pPr>
        <w:spacing w:after="120" w:line="276"/>
        <w:jc w:val="both"/>
      </w:pPr>
      <w:r>
        <w:rPr>
          <w:rFonts w:ascii="Barlow Semi Condensed" w:cs="Barlow Semi Condensed" w:eastAsia="Barlow Semi Condensed" w:hAnsi="Barlow Semi Condensed"/>
          <w:sz w:val="24"/>
          <w:szCs w:val="24"/>
        </w:rPr>
        <w:t xml:space="preserve">L'assistenza spirituale, che è ciò che l'ordine chiedeva. Essa fu garantita da cappellani militari anch'essi prigionieri. Il sito ufficiale del museo del campo attesta l'assistenza religiosa dispensata dai molti cappellani militari anch'essi prigionieri; una fonte italiana precisa che furono erette cappelle affidate a ventitré cappellani militari detenuti nel campo.</w:t>
      </w:r>
    </w:p>
    <w:p>
      <w:pPr>
        <w:spacing w:after="120" w:line="276"/>
        <w:jc w:val="both"/>
      </w:pPr>
      <w:r>
        <w:rPr>
          <w:rFonts w:ascii="Barlow Semi Condensed" w:cs="Barlow Semi Condensed" w:eastAsia="Barlow Semi Condensed" w:hAnsi="Barlow Semi Condensed"/>
          <w:sz w:val="24"/>
          <w:szCs w:val="24"/>
        </w:rPr>
        <w:t xml:space="preserve">Concorsero all'assistenza\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Croce Rossa Internazionale, Sudafricana e Italiana, l'associazione giovanile cristiana 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collettività italiana locale, numerosa e prospera, organizzata in comitati di assistenza ai prigionieri.</w:t>
      </w:r>
    </w:p>
    <w:p>
      <w:pPr>
        <w:spacing w:after="120" w:line="276"/>
        <w:jc w:val="both"/>
      </w:pPr>
      <w:r>
        <w:rPr>
          <w:rFonts w:ascii="Barlow Semi Condensed" w:cs="Barlow Semi Condensed" w:eastAsia="Barlow Semi Condensed" w:hAnsi="Barlow Semi Condensed"/>
          <w:sz w:val="24"/>
          <w:szCs w:val="24"/>
        </w:rPr>
        <w:t xml:space="preserve">Del campo restano oggi il cimitero, la cappella, il museo e il monumento dei Tre Archi, custoditi con il concorso del comitato degli italiani all'estero di Johannesburg.</w:t>
      </w:r>
    </w:p>
    <w:p>
      <w:pPr>
        <w:spacing w:after="120" w:line="276"/>
        <w:jc w:val="both"/>
      </w:pPr>
      <w:r>
        <w:rPr>
          <w:rFonts w:ascii="Barlow Semi Condensed" w:cs="Barlow Semi Condensed" w:eastAsia="Barlow Semi Condensed" w:hAnsi="Barlow Semi Condensed"/>
          <w:sz w:val="24"/>
          <w:szCs w:val="24"/>
        </w:rPr>
        <w:t xml:space="preserve">E adesso la correzione metodologica, che registro perché la ricerca stessa l'ha rilevata e tacerla sarebbe scorretto.</w:t>
      </w:r>
    </w:p>
    <w:p>
      <w:pPr>
        <w:spacing w:after="120" w:line="276"/>
        <w:jc w:val="both"/>
      </w:pPr>
      <w:r>
        <w:rPr>
          <w:rFonts w:ascii="Barlow Semi Condensed" w:cs="Barlow Semi Condensed" w:eastAsia="Barlow Semi Condensed" w:hAnsi="Barlow Semi Condensed"/>
          <w:sz w:val="24"/>
          <w:szCs w:val="24"/>
        </w:rPr>
        <w:t xml:space="preserve">Una fonte reperita descrive il ruolo della Delegazione Apostolica retta da monsignor Amleto Cicognani nell'assistenza ai prigionieri italiani. Ma quel passo si riferisce ai campi negli Stati Uniti, non al Sudafrica, e non va trasferito a Zonderwater.</w:t>
      </w:r>
    </w:p>
    <w:p>
      <w:pPr>
        <w:spacing w:after="120" w:line="276"/>
        <w:jc w:val="both"/>
      </w:pPr>
      <w:r>
        <w:rPr>
          <w:rFonts w:ascii="Barlow Semi Condensed" w:cs="Barlow Semi Condensed" w:eastAsia="Barlow Semi Condensed" w:hAnsi="Barlow Semi Condensed"/>
          <w:sz w:val="24"/>
          <w:szCs w:val="24"/>
        </w:rPr>
        <w:t xml:space="preserve">È errore di attribuzione geografica del tipo che questa serie ha già registrato due volte a proprio carico, e la ricerca lo ha evitato dichiarandolo.</w:t>
      </w:r>
    </w:p>
    <w:p>
      <w:pPr>
        <w:spacing w:after="120" w:line="276"/>
        <w:jc w:val="both"/>
      </w:pPr>
      <w:r>
        <w:rPr>
          <w:rFonts w:ascii="Barlow Semi Condensed" w:cs="Barlow Semi Condensed" w:eastAsia="Barlow Semi Condensed" w:hAnsi="Barlow Semi Condensed"/>
          <w:sz w:val="24"/>
          <w:szCs w:val="24"/>
        </w:rPr>
        <w:t xml:space="preserve">Un esito negativo chiude il capitolo. Sulla domanda se la comunità italiana in Sudafrica abbia assunto posizioni sull'apartheid, le fonti reperite non offrono documentazione. Sede: archivi del comitato degli italiani all'estero, della comunità e dei consolati.</w:t>
      </w:r>
    </w:p>
    <w:p>
      <w:pPr>
        <w:pStyle w:val="Heading2"/>
        <w:spacing w:after="100" w:before="200"/>
      </w:pPr>
      <w:r>
        <w:rPr>
          <w:rFonts w:ascii="Barlow Semi Condensed" w:cs="Barlow Semi Condensed" w:eastAsia="Barlow Semi Condensed" w:hAnsi="Barlow Semi Condensed"/>
          <w:sz w:val="24"/>
          <w:szCs w:val="24"/>
        </w:rPr>
        <w:t xml:space="preserve">Capitolo nono — Moro: lo Stato Zero e la sua gradazione</w:t>
      </w:r>
    </w:p>
    <w:p>
      <w:pPr>
        <w:spacing w:after="120" w:line="276"/>
        <w:jc w:val="both"/>
      </w:pPr>
      <w:r>
        <w:rPr>
          <w:rFonts w:ascii="Barlow Semi Condensed" w:cs="Barlow Semi Condensed" w:eastAsia="Barlow Semi Condensed" w:hAnsi="Barlow Semi Condensed"/>
          <w:sz w:val="24"/>
          <w:szCs w:val="24"/>
        </w:rPr>
        <w:t xml:space="preserve">Il capitolo esegue la triangolazione richiesta, e ne dichiara l'esito con il grado.</w:t>
      </w:r>
    </w:p>
    <w:p>
      <w:pPr>
        <w:spacing w:after="120" w:line="276"/>
        <w:jc w:val="both"/>
      </w:pPr>
      <w:r>
        <w:rPr>
          <w:rFonts w:ascii="Barlow Semi Condensed" w:cs="Barlow Semi Condensed" w:eastAsia="Barlow Semi Condensed" w:hAnsi="Barlow Semi Condensed"/>
          <w:sz w:val="24"/>
          <w:szCs w:val="24"/>
        </w:rPr>
        <w:t xml:space="preserve">L'esito. Non esiste, nelle fonti reperite, alcuna documentazione che colleghi Aldo Moro alla questione sudafricana o namibiana — né come ministro degli Esteri, né come presidente del Consiglio, né come dirigente e presidente della Democrazia Cristiana.</w:t>
      </w:r>
    </w:p>
    <w:p>
      <w:pPr>
        <w:spacing w:after="120" w:line="276"/>
        <w:jc w:val="both"/>
      </w:pPr>
      <w:r>
        <w:rPr>
          <w:rFonts w:ascii="Barlow Semi Condensed" w:cs="Barlow Semi Condensed" w:eastAsia="Barlow Semi Condensed" w:hAnsi="Barlow Semi Condensed"/>
          <w:sz w:val="24"/>
          <w:szCs w:val="24"/>
        </w:rPr>
        <w:t xml:space="preserve">La biografia ufficiale del Ministero degli Affari Esteri riassume i meriti di politica estera di Moro nella risoluzione dei contenziosi con la Jugoslavia e l'Etiopia e nell'impegno per l'integrazione europea. L'Africa australe e l'apartheid non sono menzionati.</w:t>
      </w:r>
    </w:p>
    <w:p>
      <w:pPr>
        <w:spacing w:after="120" w:line="276"/>
        <w:jc w:val="both"/>
      </w:pPr>
      <w:r>
        <w:rPr>
          <w:rFonts w:ascii="Barlow Semi Condensed" w:cs="Barlow Semi Condensed" w:eastAsia="Barlow Semi Condensed" w:hAnsi="Barlow Semi Condensed"/>
          <w:sz w:val="24"/>
          <w:szCs w:val="24"/>
        </w:rPr>
        <w:t xml:space="preserve">La storiografia colloca la sua azione nel Mediterraneo, nel mondo arabo e nell'alleanza atlantica: la fase mediterranea della politica estera italiana.</w:t>
      </w:r>
    </w:p>
    <w:p>
      <w:pPr>
        <w:spacing w:after="120" w:line="276"/>
        <w:jc w:val="both"/>
      </w:pPr>
      <w:r>
        <w:rPr>
          <w:rFonts w:ascii="Barlow Semi Condensed" w:cs="Barlow Semi Condensed" w:eastAsia="Barlow Semi Condensed" w:hAnsi="Barlow Semi Condensed"/>
          <w:sz w:val="24"/>
          <w:szCs w:val="24"/>
        </w:rPr>
        <w:t xml:space="preserve">Ma si applica la prescrizione ereditata dalla quattordicesima ricognizione: non concludere per l'inazione senza avere prima identificato l'apparato competente, poiché il precedente di Osimo dimostra che un negoziato può essere condotto attraverso un canale atipico.</w:t>
      </w:r>
    </w:p>
    <w:p>
      <w:pPr>
        <w:spacing w:after="120" w:line="276"/>
        <w:jc w:val="both"/>
      </w:pPr>
      <w:r>
        <w:rPr>
          <w:rFonts w:ascii="Barlow Semi Condensed" w:cs="Barlow Semi Condensed" w:eastAsia="Barlow Semi Condensed" w:hAnsi="Barlow Semi Condensed"/>
          <w:sz w:val="24"/>
          <w:szCs w:val="24"/>
        </w:rPr>
        <w:t xml:space="preserve">E l'apparato competente ha prodotto atti, che vanno elencati perché sono istituzionali e non personalmente attribuibili.</w:t>
      </w:r>
    </w:p>
    <w:p>
      <w:pPr>
        <w:spacing w:after="120" w:line="276"/>
        <w:jc w:val="both"/>
      </w:pPr>
      <w:r>
        <w:rPr>
          <w:rFonts w:ascii="Barlow Semi Condensed" w:cs="Barlow Semi Condensed" w:eastAsia="Barlow Semi Condensed" w:hAnsi="Barlow Semi Condensed"/>
          <w:sz w:val="24"/>
          <w:szCs w:val="24"/>
        </w:rPr>
        <w:t xml:space="preserve">Primo.\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L'Italia mantenne per tutto il periodo relazioni diplomatiche piene con il Sudafrica, stabilite nel 1929, e un'ambasciata a Pretoria — a differenza della Santa Sede.</w:t>
      </w:r>
    </w:p>
    <w:p>
      <w:pPr>
        <w:spacing w:after="120" w:line="276"/>
        <w:jc w:val="both"/>
      </w:pPr>
      <w:r>
        <w:rPr>
          <w:rFonts w:ascii="Barlow Semi Condensed" w:cs="Barlow Semi Condensed" w:eastAsia="Barlow Semi Condensed" w:hAnsi="Barlow Semi Condensed"/>
          <w:sz w:val="24"/>
          <w:szCs w:val="24"/>
        </w:rPr>
        <w:t xml:space="preserve">Secondo, e va datato con precisione perché cade nel perimetro. Il Sudafrica ottenne nel 1964 la licenza per produrre l'Aermacchi MB-326 come Impala; e nel settembre 1970 la South African Air Force ordinò quaranta velivoli da osservazione Aermacchi AM.3C, denominati localmente Bosbok, il primo dei quali entrò in servizio nel marzo 1973 con consegne proseguite fino al dicembre 1975.</w:t>
      </w:r>
    </w:p>
    <w:p>
      <w:pPr>
        <w:spacing w:after="120" w:line="276"/>
        <w:jc w:val="both"/>
      </w:pPr>
      <w:r>
        <w:rPr>
          <w:rFonts w:ascii="Barlow Semi Condensed" w:cs="Barlow Semi Condensed" w:eastAsia="Barlow Semi Condensed" w:hAnsi="Barlow Semi Condensed"/>
          <w:sz w:val="24"/>
          <w:szCs w:val="24"/>
        </w:rPr>
        <w:t xml:space="preserve">Dunque a cavallo del secondo mandato ministeriale e della presidenza del Consiglio di Moro.</w:t>
      </w:r>
    </w:p>
    <w:p>
      <w:pPr>
        <w:spacing w:after="120" w:line="276"/>
        <w:jc w:val="both"/>
      </w:pPr>
      <w:r>
        <w:rPr>
          <w:rFonts w:ascii="Barlow Semi Condensed" w:cs="Barlow Semi Condensed" w:eastAsia="Barlow Semi Condensed" w:hAnsi="Barlow Semi Condensed"/>
          <w:sz w:val="24"/>
          <w:szCs w:val="24"/>
        </w:rPr>
        <w:t xml:space="preserve">Fonti internazionali elencano l'Italia fra i principali fornitori di tecnologia militare a Pretoria prima dell'embargo obbligatorio del 1977.</w:t>
      </w:r>
    </w:p>
    <w:p>
      <w:pPr>
        <w:spacing w:after="120" w:line="276"/>
        <w:jc w:val="both"/>
      </w:pPr>
      <w:r>
        <w:rPr>
          <w:rFonts w:ascii="Barlow Semi Condensed" w:cs="Barlow Semi Condensed" w:eastAsia="Barlow Semi Condensed" w:hAnsi="Barlow Semi Condensed"/>
          <w:sz w:val="24"/>
          <w:szCs w:val="24"/>
        </w:rPr>
        <w:t xml:space="preserve">Terzo. L'Italia, membro non permanente del Consiglio di Sicurezza nel 1971-1972, votò a favore delle risoluzioni sulla Namibia trecentouno del 20 ottobre 1971 e trecentoventitré del 6 dicembre 1972, durante il primo mandato di Moro alla Farnesina.</w:t>
      </w:r>
    </w:p>
    <w:p>
      <w:pPr>
        <w:spacing w:after="120" w:line="276"/>
        <w:jc w:val="both"/>
      </w:pPr>
      <w:r>
        <w:rPr>
          <w:rFonts w:ascii="Barlow Semi Condensed" w:cs="Barlow Semi Condensed" w:eastAsia="Barlow Semi Condensed" w:hAnsi="Barlow Semi Condensed"/>
          <w:sz w:val="24"/>
          <w:szCs w:val="24"/>
        </w:rPr>
        <w:t xml:space="preserve">Quanto all'udienza pontificia del 1 luglio 1970, nessuna traccia di reazione o posizione ufficiale del governo italiano.\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L'incidente fu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strettamente fra il Portogallo e la Santa Sede, entità sovrana distinta dall'Italia.</w:t>
      </w:r>
    </w:p>
    <w:p>
      <w:pPr>
        <w:spacing w:after="120" w:line="276"/>
        <w:jc w:val="both"/>
      </w:pPr>
      <w:r>
        <w:rPr>
          <w:rFonts w:ascii="Barlow Semi Condensed" w:cs="Barlow Semi Condensed" w:eastAsia="Barlow Semi Condensed" w:hAnsi="Barlow Semi Condensed"/>
          <w:sz w:val="24"/>
          <w:szCs w:val="24"/>
        </w:rPr>
        <w:t xml:space="preserve">Ne discende un caso in cui lo Stato italiano agì istituzionalmente sull'Africa australe — voti alle Nazioni Unite, commercio d'armi — senza che alcun atto sia personalmente riferibile a Moro.</w:t>
      </w:r>
    </w:p>
    <w:p>
      <w:pPr>
        <w:spacing w:after="120" w:line="276"/>
        <w:jc w:val="both"/>
      </w:pPr>
      <w:r>
        <w:rPr>
          <w:rFonts w:ascii="Barlow Semi Condensed" w:cs="Barlow Semi Condensed" w:eastAsia="Barlow Semi Condensed" w:hAnsi="Barlow Semi Condensed"/>
          <w:sz w:val="24"/>
          <w:szCs w:val="24"/>
        </w:rPr>
        <w:t xml:space="preserve">La gradazione, secondo la scala del corpus.\</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Stato Zero di terzo grado — deposito inesplorato — tendente al sesto, assenza coerente con la collocazione.</w:t>
      </w:r>
    </w:p>
    <w:p>
      <w:pPr>
        <w:spacing w:after="120" w:line="276"/>
        <w:jc w:val="both"/>
      </w:pPr>
      <w:r>
        <w:rPr>
          <w:rFonts w:ascii="Barlow Semi Condensed" w:cs="Barlow Semi Condensed" w:eastAsia="Barlow Semi Condensed" w:hAnsi="Barlow Semi Condensed"/>
          <w:sz w:val="24"/>
          <w:szCs w:val="24"/>
        </w:rPr>
        <w:t xml:space="preserve">Non è insieme vuoto verificato, perché la Settima serie dei Documenti Diplomatici Italiani e i fondi dell'Archivio Storico Diplomatico restano da esaminare. Non è allegazione senza base, perché nessuno ha mai affermato un tale nesso. Non è atto atipico documentato, benché il precedente di Osimo imponga di non escluderlo a priori.</w:t>
      </w:r>
    </w:p>
    <w:p>
      <w:pPr>
        <w:pStyle w:val="Heading2"/>
        <w:spacing w:after="100" w:before="200"/>
      </w:pPr>
      <w:r>
        <w:rPr>
          <w:rFonts w:ascii="Barlow Semi Condensed" w:cs="Barlow Semi Condensed" w:eastAsia="Barlow Semi Condensed" w:hAnsi="Barlow Semi Condensed"/>
          <w:sz w:val="24"/>
          <w:szCs w:val="24"/>
        </w:rPr>
        <w:t xml:space="preserve">Capitolo decimo — Il confronto fra le due sovranità</w:t>
      </w:r>
    </w:p>
    <w:p>
      <w:pPr>
        <w:spacing w:after="120" w:line="276"/>
        <w:jc w:val="both"/>
      </w:pPr>
      <w:r>
        <w:rPr>
          <w:rFonts w:ascii="Barlow Semi Condensed" w:cs="Barlow Semi Condensed" w:eastAsia="Barlow Semi Condensed" w:hAnsi="Barlow Semi Condensed"/>
          <w:sz w:val="24"/>
          <w:szCs w:val="24"/>
        </w:rPr>
        <w:t xml:space="preserve">Il capitolo esegue il confronto che è il risultato dell'intera ricognizione.</w:t>
      </w:r>
    </w:p>
    <w:p>
      <w:pPr>
        <w:spacing w:after="120" w:line="276"/>
        <w:jc w:val="both"/>
      </w:pPr>
      <w:r>
        <w:rPr>
          <w:rFonts w:ascii="Barlow Semi Condensed" w:cs="Barlow Semi Condensed" w:eastAsia="Barlow Semi Condensed" w:hAnsi="Barlow Semi Condensed"/>
          <w:sz w:val="24"/>
          <w:szCs w:val="24"/>
        </w:rPr>
        <w:t xml:space="preserve">Sul piano diplomatico il contrasto è netto e non ammette attenuazioni.</w:t>
      </w:r>
    </w:p>
    <w:p>
      <w:pPr>
        <w:spacing w:after="120" w:line="276"/>
        <w:jc w:val="both"/>
      </w:pPr>
      <w:r>
        <w:rPr>
          <w:rFonts w:ascii="Barlow Semi Condensed" w:cs="Barlow Semi Condensed" w:eastAsia="Barlow Semi Condensed" w:hAnsi="Barlow Semi Condensed"/>
          <w:sz w:val="24"/>
          <w:szCs w:val="24"/>
        </w:rPr>
        <w:t xml:space="preserve">La Santa Sede: nessun ambasciatore presso il regime dell'apartheid per settantadue anni; relazioni piene aperte quattro mesi dopo le prime elezioni democratiche.</w:t>
      </w:r>
    </w:p>
    <w:p>
      <w:pPr>
        <w:spacing w:after="120" w:line="276"/>
        <w:jc w:val="both"/>
      </w:pPr>
      <w:r>
        <w:rPr>
          <w:rFonts w:ascii="Barlow Semi Condensed" w:cs="Barlow Semi Condensed" w:eastAsia="Barlow Semi Condensed" w:hAnsi="Barlow Semi Condensed"/>
          <w:sz w:val="24"/>
          <w:szCs w:val="24"/>
        </w:rPr>
        <w:t xml:space="preserve">L'Italia: relazioni piene dal 1929, ambasciata a Pretoria per l'intera durata del regime, e velivoli da osservazione consegnati alla sua aeronautica militare fino al dicembre 1975.</w:t>
      </w:r>
    </w:p>
    <w:p>
      <w:pPr>
        <w:spacing w:after="120" w:line="276"/>
        <w:jc w:val="both"/>
      </w:pPr>
      <w:r>
        <w:rPr>
          <w:rFonts w:ascii="Barlow Semi Condensed" w:cs="Barlow Semi Condensed" w:eastAsia="Barlow Semi Condensed" w:hAnsi="Barlow Semi Condensed"/>
          <w:sz w:val="24"/>
          <w:szCs w:val="24"/>
        </w:rPr>
        <w:t xml:space="preserve">Va però evitata la conclusione morale immediata, e per tre ragioni che vanno enunciate.</w:t>
      </w:r>
    </w:p>
    <w:p>
      <w:pPr>
        <w:spacing w:after="120" w:line="276"/>
        <w:jc w:val="both"/>
      </w:pPr>
      <w:r>
        <w:rPr>
          <w:rFonts w:ascii="Barlow Semi Condensed" w:cs="Barlow Semi Condensed" w:eastAsia="Barlow Semi Condensed" w:hAnsi="Barlow Semi Condensed"/>
          <w:sz w:val="24"/>
          <w:szCs w:val="24"/>
        </w:rPr>
        <w:t xml:space="preserve">Prima ragione: le due sovranità non sono comparabili quanto agli obblighi. Uno Stato ha obblighi verso i propri cittadini all'estero — e in Sudafrica vi era una comunità italiana stimata attorno alle centomila persone — e verso i propri interessi economici. La Santa Sede non ha cittadini all'estero né interessi commerciali di quel genere. Il costo della non-relazione era per essa incomparabilmente minore.</w:t>
      </w:r>
    </w:p>
    <w:p>
      <w:pPr>
        <w:spacing w:after="120" w:line="276"/>
        <w:jc w:val="both"/>
      </w:pPr>
      <w:r>
        <w:rPr>
          <w:rFonts w:ascii="Barlow Semi Condensed" w:cs="Barlow Semi Condensed" w:eastAsia="Barlow Semi Condensed" w:hAnsi="Barlow Semi Condensed"/>
          <w:sz w:val="24"/>
          <w:szCs w:val="24"/>
        </w:rPr>
        <w:t xml:space="preserve">Seconda ragione: la Santa Sede non fu lineare al proprio interno. Il Capitolo quinto ha documentato che la dichiarazione episcopale del 1957 fu adottata in opposizione alla linea del delegato apostolico, che preferiva l'ingaggio diplomatico con Verwoerd. La fermezza fu della periferia; il centro accompagnò, e in un primo tempo frenò.</w:t>
      </w:r>
    </w:p>
    <w:p>
      <w:pPr>
        <w:spacing w:after="120" w:line="276"/>
        <w:jc w:val="both"/>
      </w:pPr>
      <w:r>
        <w:rPr>
          <w:rFonts w:ascii="Barlow Semi Condensed" w:cs="Barlow Semi Condensed" w:eastAsia="Barlow Semi Condensed" w:hAnsi="Barlow Semi Condensed"/>
          <w:sz w:val="24"/>
          <w:szCs w:val="24"/>
        </w:rPr>
        <w:t xml:space="preserve">Terza ragione: l'assenza di relazioni non equivale all'assenza di presenza. La Chiesa cattolica era in Sudafrica massicciamente presente — due milioni e mezzo di fedeli, scuole, seminari, ospedali — e quella presenza era essa stessa una forma di rapporto con il territorio, ancorché non con lo Stato.</w:t>
      </w:r>
    </w:p>
    <w:p>
      <w:pPr>
        <w:spacing w:after="120" w:line="276"/>
        <w:jc w:val="both"/>
      </w:pPr>
      <w:r>
        <w:rPr>
          <w:rFonts w:ascii="Barlow Semi Condensed" w:cs="Barlow Semi Condensed" w:eastAsia="Barlow Semi Condensed" w:hAnsi="Barlow Semi Condensed"/>
          <w:sz w:val="24"/>
          <w:szCs w:val="24"/>
        </w:rPr>
        <w:t xml:space="preserve">Ne discende la formulazione corretta del confronto, ed è più fine di quella d'apertura.</w:t>
      </w:r>
    </w:p>
    <w:p>
      <w:pPr>
        <w:spacing w:after="120" w:line="276"/>
        <w:jc w:val="both"/>
      </w:pPr>
      <w:r>
        <w:rPr>
          <w:rFonts w:ascii="Barlow Semi Condensed" w:cs="Barlow Semi Condensed" w:eastAsia="Barlow Semi Condensed" w:hAnsi="Barlow Semi Condensed"/>
          <w:sz w:val="24"/>
          <w:szCs w:val="24"/>
        </w:rPr>
        <w:t xml:space="preserve">Non: la Santa Sede fu virtuosa e l'Italia complice.</w:t>
      </w:r>
    </w:p>
    <w:p>
      <w:pPr>
        <w:spacing w:after="120" w:line="276"/>
        <w:jc w:val="both"/>
      </w:pPr>
      <w:r>
        <w:rPr>
          <w:rFonts w:ascii="Barlow Semi Condensed" w:cs="Barlow Semi Condensed" w:eastAsia="Barlow Semi Condensed" w:hAnsi="Barlow Semi Condensed"/>
          <w:sz w:val="24"/>
          <w:szCs w:val="24"/>
        </w:rPr>
        <w:t xml:space="preserve">Ma: le due sovranità disponevano di strumenti diversi, e ciascuna usò quelli che aveva. L'Italia aveva un'ambasciata e un'industria, e li tenne entrambi. La Santa Sede aveva il riconoscimento diplomatico come unica leva sovrana, e lo negò per settantadue anni.</w:t>
      </w:r>
    </w:p>
    <w:p>
      <w:pPr>
        <w:spacing w:after="120" w:line="276"/>
        <w:jc w:val="both"/>
      </w:pPr>
      <w:r>
        <w:rPr>
          <w:rFonts w:ascii="Barlow Semi Condensed" w:cs="Barlow Semi Condensed" w:eastAsia="Barlow Semi Condensed" w:hAnsi="Barlow Semi Condensed"/>
          <w:sz w:val="24"/>
          <w:szCs w:val="24"/>
        </w:rPr>
        <w:t xml:space="preserve">E vi è un elemento che rende il confronto più stringente e va registrato.\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Nel 1988 Giovanni Paolo II attraversò cinque Stati dell'Africa australe circondando il Sudafrica senza entrarvi, e vi entrò soltanto per un guasto ai radiofari.</w:t>
      </w:r>
    </w:p>
    <w:p>
      <w:pPr>
        <w:spacing w:after="120" w:line="276"/>
        <w:jc w:val="both"/>
      </w:pPr>
      <w:r>
        <w:rPr>
          <w:rFonts w:ascii="Barlow Semi Condensed" w:cs="Barlow Semi Condensed" w:eastAsia="Barlow Semi Condensed" w:hAnsi="Barlow Semi Condensed"/>
          <w:sz w:val="24"/>
          <w:szCs w:val="24"/>
        </w:rPr>
        <w:t xml:space="preserve">Non risulta che alcun capo di governo italiano abbia mai compiuto un atto simbolico equivalente.</w:t>
      </w:r>
    </w:p>
    <w:p>
      <w:pPr>
        <w:spacing w:after="120" w:line="276"/>
        <w:jc w:val="both"/>
      </w:pPr>
      <w:r>
        <w:rPr>
          <w:rFonts w:ascii="Barlow Semi Condensed" w:cs="Barlow Semi Condensed" w:eastAsia="Barlow Semi Condensed" w:hAnsi="Barlow Semi Condensed"/>
          <w:sz w:val="24"/>
          <w:szCs w:val="24"/>
        </w:rPr>
        <w:t xml:space="preserve">Ma non risulta neppure che ne fosse richiesto, né che l'Italia disponesse di un margine paragonabile: e questa è, di nuovo, la differenza fra le due sovranità anziché fra le due virtù.</w:t>
      </w:r>
    </w:p>
    <w:p>
      <w:pPr>
        <w:pStyle w:val="Heading2"/>
        <w:spacing w:after="100" w:before="200"/>
      </w:pPr>
      <w:r>
        <w:rPr>
          <w:rFonts w:ascii="Barlow Semi Condensed" w:cs="Barlow Semi Condensed" w:eastAsia="Barlow Semi Condensed" w:hAnsi="Barlow Semi Condensed"/>
          <w:sz w:val="24"/>
          <w:szCs w:val="24"/>
        </w:rPr>
        <w:t xml:space="preserve">Capitolo undicesimo — Che cosa questa ricognizione aggiunge al corpus</w:t>
      </w:r>
    </w:p>
    <w:p>
      <w:pPr>
        <w:spacing w:after="120" w:line="276"/>
        <w:jc w:val="both"/>
      </w:pPr>
      <w:r>
        <w:rPr>
          <w:rFonts w:ascii="Barlow Semi Condensed" w:cs="Barlow Semi Condensed" w:eastAsia="Barlow Semi Condensed" w:hAnsi="Barlow Semi Condensed"/>
          <w:sz w:val="24"/>
          <w:szCs w:val="24"/>
        </w:rPr>
        <w:t xml:space="preserve">Il capitolo isola i guadagni analitici, perché essi valgono oltre il perimetro.</w:t>
      </w:r>
    </w:p>
    <w:p>
      <w:pPr>
        <w:spacing w:after="120" w:line="276"/>
        <w:jc w:val="both"/>
      </w:pPr>
      <w:r>
        <w:rPr>
          <w:rFonts w:ascii="Barlow Semi Condensed" w:cs="Barlow Semi Condensed" w:eastAsia="Barlow Semi Condensed" w:hAnsi="Barlow Semi Condensed"/>
          <w:sz w:val="24"/>
          <w:szCs w:val="24"/>
        </w:rPr>
        <w:t xml:space="preserve">Primo guadagno: il pattern centro-periferia si presenta rovesciato.</w:t>
      </w:r>
    </w:p>
    <w:p>
      <w:pPr>
        <w:spacing w:after="120" w:line="276"/>
        <w:jc w:val="both"/>
      </w:pPr>
      <w:r>
        <w:rPr>
          <w:rFonts w:ascii="Barlow Semi Condensed" w:cs="Barlow Semi Condensed" w:eastAsia="Barlow Semi Condensed" w:hAnsi="Barlow Semi Condensed"/>
          <w:sz w:val="24"/>
          <w:szCs w:val="24"/>
        </w:rPr>
        <w:t xml:space="preserve">Il corpus possedeva due casi. In Portogallo, la reticenza del cardinale Cerejeira rallentò l'insediamento dell'Opus Dei. In Germania, la sollecitazione del cardinale Frings lo determinò. In entrambi la periferia episcopale decideva e il centro romano accompagnava.</w:t>
      </w:r>
    </w:p>
    <w:p>
      <w:pPr>
        <w:spacing w:after="120" w:line="276"/>
        <w:jc w:val="both"/>
      </w:pPr>
      <w:r>
        <w:rPr>
          <w:rFonts w:ascii="Barlow Semi Condensed" w:cs="Barlow Semi Condensed" w:eastAsia="Barlow Semi Condensed" w:hAnsi="Barlow Semi Condensed"/>
          <w:sz w:val="24"/>
          <w:szCs w:val="24"/>
        </w:rPr>
        <w:t xml:space="preserve">Qui il rapporto è invertito: l'episcopato sudafricano condannò l'apartheid come intrinsecamente malvagio nel 1957, in opposizione dichiarata alla prudenza del rappresentante pontificio.</w:t>
      </w:r>
    </w:p>
    <w:p>
      <w:pPr>
        <w:spacing w:after="120" w:line="276"/>
        <w:jc w:val="both"/>
      </w:pPr>
      <w:r>
        <w:rPr>
          <w:rFonts w:ascii="Barlow Semi Condensed" w:cs="Barlow Semi Condensed" w:eastAsia="Barlow Semi Condensed" w:hAnsi="Barlow Semi Condensed"/>
          <w:sz w:val="24"/>
          <w:szCs w:val="24"/>
        </w:rPr>
        <w:t xml:space="preserve">Ne discende che la variabile non è la gerarchia ma la posizione: chi sta sul territorio vede il costo del silenzio; chi rappresenta la sede vede il costo della rottura. E le due valutazioni divergono sistematicamente.</w:t>
      </w:r>
    </w:p>
    <w:p>
      <w:pPr>
        <w:spacing w:after="120" w:line="276"/>
        <w:jc w:val="both"/>
      </w:pPr>
      <w:r>
        <w:rPr>
          <w:rFonts w:ascii="Barlow Semi Condensed" w:cs="Barlow Semi Condensed" w:eastAsia="Barlow Semi Condensed" w:hAnsi="Barlow Semi Condensed"/>
          <w:sz w:val="24"/>
          <w:szCs w:val="24"/>
        </w:rPr>
        <w:t xml:space="preserve">Secondo guadagno: una forma di azione statale che il corpus non aveva censito.</w:t>
      </w:r>
    </w:p>
    <w:p>
      <w:pPr>
        <w:spacing w:after="120" w:line="276"/>
        <w:jc w:val="both"/>
      </w:pPr>
      <w:r>
        <w:rPr>
          <w:rFonts w:ascii="Barlow Semi Condensed" w:cs="Barlow Semi Condensed" w:eastAsia="Barlow Semi Condensed" w:hAnsi="Barlow Semi Condensed"/>
          <w:sz w:val="24"/>
          <w:szCs w:val="24"/>
        </w:rPr>
        <w:t xml:space="preserve">Sedici ricognizioni hanno cercato atti — note verbali, dispacci, voti, autorizzazioni. Qui l'atto rilevante è un non-atto protratto per settantadue anni: il rifiuto di scambiare ambasciatori.</w:t>
      </w:r>
    </w:p>
    <w:p>
      <w:pPr>
        <w:spacing w:after="120" w:line="276"/>
        <w:jc w:val="both"/>
      </w:pPr>
      <w:r>
        <w:rPr>
          <w:rFonts w:ascii="Barlow Semi Condensed" w:cs="Barlow Semi Condensed" w:eastAsia="Barlow Semi Condensed" w:hAnsi="Barlow Semi Condensed"/>
          <w:sz w:val="24"/>
          <w:szCs w:val="24"/>
        </w:rPr>
        <w:t xml:space="preserve">Il non-riconoscimento è azione sovrana, e non lascia documento se non nella forma dell'assenza di un documento che avrebbe potuto esservi.</w:t>
      </w:r>
    </w:p>
    <w:p>
      <w:pPr>
        <w:spacing w:after="120" w:line="276"/>
        <w:jc w:val="both"/>
      </w:pPr>
      <w:r>
        <w:rPr>
          <w:rFonts w:ascii="Barlow Semi Condensed" w:cs="Barlow Semi Condensed" w:eastAsia="Barlow Semi Condensed" w:hAnsi="Barlow Semi Condensed"/>
          <w:sz w:val="24"/>
          <w:szCs w:val="24"/>
        </w:rPr>
        <w:t xml:space="preserve">Ne discende una precisazione al nono grado di Stato Zero, l'atto atipico, formulato alla quindicesima ricognizione. Là l'assenza di documento derivava dal fatto che l'ordinamento non tipizzava l'atto. Qui l'atto era perfettamente tipizzato — lo scambio di ambasciatori è la forma più codificata del diritto internazionale — e semplicemente non fu compiuto.</w:t>
      </w:r>
    </w:p>
    <w:p>
      <w:pPr>
        <w:spacing w:after="120" w:line="276"/>
        <w:jc w:val="both"/>
      </w:pPr>
      <w:r>
        <w:rPr>
          <w:rFonts w:ascii="Barlow Semi Condensed" w:cs="Barlow Semi Condensed" w:eastAsia="Barlow Semi Condensed" w:hAnsi="Barlow Semi Condensed"/>
          <w:sz w:val="24"/>
          <w:szCs w:val="24"/>
        </w:rPr>
        <w:t xml:space="preserve">Sono due assenze di natura diversa, e la seconda è misurabile mentre la prima no: essa si misura confrontando la data in cui l'atto fu compiuto con la data in cui avrebbe potuto esserlo.</w:t>
      </w:r>
    </w:p>
    <w:p>
      <w:pPr>
        <w:spacing w:after="120" w:line="276"/>
        <w:jc w:val="both"/>
      </w:pPr>
      <w:r>
        <w:rPr>
          <w:rFonts w:ascii="Barlow Semi Condensed" w:cs="Barlow Semi Condensed" w:eastAsia="Barlow Semi Condensed" w:hAnsi="Barlow Semi Condensed"/>
          <w:sz w:val="24"/>
          <w:szCs w:val="24"/>
        </w:rPr>
        <w:t xml:space="preserve">Settantadue anni.</w:t>
      </w:r>
    </w:p>
    <w:p>
      <w:pPr>
        <w:spacing w:after="120" w:line="276"/>
        <w:jc w:val="both"/>
      </w:pPr>
      <w:r>
        <w:rPr>
          <w:rFonts w:ascii="Barlow Semi Condensed" w:cs="Barlow Semi Condensed" w:eastAsia="Barlow Semi Condensed" w:hAnsi="Barlow Semi Condensed"/>
          <w:sz w:val="24"/>
          <w:szCs w:val="24"/>
        </w:rPr>
        <w:t xml:space="preserve">Terzo guadagno: il primo termine di paragone interno.</w:t>
      </w:r>
    </w:p>
    <w:p>
      <w:pPr>
        <w:spacing w:after="120" w:line="276"/>
        <w:jc w:val="both"/>
      </w:pPr>
      <w:r>
        <w:rPr>
          <w:rFonts w:ascii="Barlow Semi Condensed" w:cs="Barlow Semi Condensed" w:eastAsia="Barlow Semi Condensed" w:hAnsi="Barlow Semi Condensed"/>
          <w:sz w:val="24"/>
          <w:szCs w:val="24"/>
        </w:rPr>
        <w:t xml:space="preserve">Sedici ricognizioni hanno misurato lo Stato italiano contro se stesso o contro potenze straniere. Questa lo misura contro una sovranità che condivide con esso il territorio, la lingua e in larga parte il ceto dirigente cattolico — e che sul medesimo regime tenne condotta opposta.</w:t>
      </w:r>
    </w:p>
    <w:p>
      <w:pPr>
        <w:spacing w:after="120" w:line="276"/>
        <w:jc w:val="both"/>
      </w:pPr>
      <w:r>
        <w:rPr>
          <w:rFonts w:ascii="Barlow Semi Condensed" w:cs="Barlow Semi Condensed" w:eastAsia="Barlow Semi Condensed" w:hAnsi="Barlow Semi Condensed"/>
          <w:sz w:val="24"/>
          <w:szCs w:val="24"/>
        </w:rPr>
        <w:t xml:space="preserve">Il confronto non prova una colpa italiana. Prova che una condotta diversa era concepibile e praticata a un chilometro dal Quirinale.</w:t>
      </w:r>
    </w:p>
    <w:p>
      <w:pPr>
        <w:pStyle w:val="Heading2"/>
        <w:spacing w:after="100" w:before="200"/>
      </w:pPr>
      <w:r>
        <w:rPr>
          <w:rFonts w:ascii="Barlow Semi Condensed" w:cs="Barlow Semi Condensed" w:eastAsia="Barlow Semi Condensed" w:hAnsi="Barlow Semi Condensed"/>
          <w:sz w:val="24"/>
          <w:szCs w:val="24"/>
        </w:rPr>
        <w:t xml:space="preserve">Capitolo dodicesimo — Verdetto, tavola, e il diciassettesimo Stato Zero</w:t>
      </w:r>
    </w:p>
    <w:p>
      <w:pPr>
        <w:spacing w:after="120" w:line="276"/>
        <w:jc w:val="both"/>
      </w:pPr>
      <w:r>
        <w:rPr>
          <w:rFonts w:ascii="Barlow Semi Condensed" w:cs="Barlow Semi Condensed" w:eastAsia="Barlow Semi Condensed" w:hAnsi="Barlow Semi Condensed"/>
          <w:sz w:val="24"/>
          <w:szCs w:val="24"/>
        </w:rPr>
        <w:t xml:space="preserve">Primo punto: se la Santa Sede abbia avuto relazioni diplomatiche piene con il Sudafrica durante l'apartheid, e se l'assenza configuri posizione deliberata.</w:t>
      </w:r>
    </w:p>
    <w:p>
      <w:pPr>
        <w:spacing w:after="120" w:line="276"/>
        <w:jc w:val="both"/>
      </w:pPr>
      <w:r>
        <w:rPr>
          <w:rFonts w:ascii="Barlow Semi Condensed" w:cs="Barlow Semi Condensed" w:eastAsia="Barlow Semi Condensed" w:hAnsi="Barlow Semi Condensed"/>
          <w:sz w:val="24"/>
          <w:szCs w:val="24"/>
        </w:rPr>
        <w:t xml:space="preserve">Non le ebbe. Le relazioni furono stabilite il 15 giugno 1994 e la nunziatura eretta il 25 giugno 1994; prima vi fu soltanto la delegazione apostolica del 7 dicembre 1922.</w:t>
      </w:r>
    </w:p>
    <w:p>
      <w:pPr>
        <w:spacing w:after="120" w:line="276"/>
        <w:jc w:val="both"/>
      </w:pPr>
      <w:r>
        <w:rPr>
          <w:rFonts w:ascii="Barlow Semi Condensed" w:cs="Barlow Semi Condensed" w:eastAsia="Barlow Semi Condensed" w:hAnsi="Barlow Semi Condensed"/>
          <w:sz w:val="24"/>
          <w:szCs w:val="24"/>
        </w:rPr>
        <w:t xml:space="preserve">Quanto alla natura dell'assenza, le fonti edite non permettono di dimostrarne il carattere deliberato, perché la documentazione riservata è inaccessibile per il vincolo del Capitolo primo.</w:t>
      </w:r>
    </w:p>
    <w:p>
      <w:pPr>
        <w:spacing w:after="120" w:line="276"/>
        <w:jc w:val="both"/>
      </w:pPr>
      <w:r>
        <w:rPr>
          <w:rFonts w:ascii="Barlow Semi Condensed" w:cs="Barlow Semi Condensed" w:eastAsia="Barlow Semi Condensed" w:hAnsi="Barlow Semi Condensed"/>
          <w:sz w:val="24"/>
          <w:szCs w:val="24"/>
        </w:rPr>
        <w:t xml:space="preserve">Ma tre elementi convergono e rendono ragionevole l'interpretazione: l'apertura delle relazioni immediatamente dopo la fine del regime e non durante; la condanna magisteriale costante; l'esclusione deliberata del Sudafrica dal viaggio del 1988.</w:t>
      </w:r>
    </w:p>
    <w:p>
      <w:pPr>
        <w:spacing w:after="120" w:line="276"/>
        <w:jc w:val="both"/>
      </w:pPr>
      <w:r>
        <w:rPr>
          <w:rFonts w:ascii="Barlow Semi Condensed" w:cs="Barlow Semi Condensed" w:eastAsia="Barlow Semi Condensed" w:hAnsi="Barlow Semi Condensed"/>
          <w:sz w:val="24"/>
          <w:szCs w:val="24"/>
        </w:rPr>
        <w:t xml:space="preserve">Resta inferenza, e come tale la si consegna.</w:t>
      </w:r>
    </w:p>
    <w:p>
      <w:pPr>
        <w:spacing w:after="120" w:line="276"/>
        <w:jc w:val="both"/>
      </w:pPr>
      <w:r>
        <w:rPr>
          <w:rFonts w:ascii="Barlow Semi Condensed" w:cs="Barlow Semi Condensed" w:eastAsia="Barlow Semi Condensed" w:hAnsi="Barlow Semi Condensed"/>
          <w:sz w:val="24"/>
          <w:szCs w:val="24"/>
        </w:rPr>
        <w:t xml:space="preserve">Secondo punto: se esista nesso documentato fra Moro e la questione sudafricana o namibiana.</w:t>
      </w:r>
    </w:p>
    <w:p>
      <w:pPr>
        <w:spacing w:after="120" w:line="276"/>
        <w:jc w:val="both"/>
      </w:pPr>
      <w:r>
        <w:rPr>
          <w:rFonts w:ascii="Barlow Semi Condensed" w:cs="Barlow Semi Condensed" w:eastAsia="Barlow Semi Condensed" w:hAnsi="Barlow Semi Condensed"/>
          <w:sz w:val="24"/>
          <w:szCs w:val="24"/>
        </w:rPr>
        <w:t xml:space="preserve">Non esiste. Si dichiara Stato Zero di terzo grado — deposito inesplorato — tendente al sesto, assenza coerente con la collocazione.</w:t>
      </w:r>
    </w:p>
    <w:p>
      <w:pPr>
        <w:spacing w:after="120" w:line="276"/>
        <w:jc w:val="both"/>
      </w:pPr>
      <w:r>
        <w:rPr>
          <w:rFonts w:ascii="Barlow Semi Condensed" w:cs="Barlow Semi Condensed" w:eastAsia="Barlow Semi Condensed" w:hAnsi="Barlow Semi Condensed"/>
          <w:sz w:val="24"/>
          <w:szCs w:val="24"/>
        </w:rPr>
        <w:t xml:space="preserve">La tavola, per rendimento atteso.</w:t>
      </w:r>
    </w:p>
    <w:p>
      <w:pPr>
        <w:spacing w:after="120" w:line="276"/>
        <w:jc w:val="both"/>
      </w:pPr>
      <w:r>
        <w:rPr>
          <w:rFonts w:ascii="Barlow Semi Condensed" w:cs="Barlow Semi Condensed" w:eastAsia="Barlow Semi Condensed" w:hAnsi="Barlow Semi Condensed"/>
          <w:sz w:val="24"/>
          <w:szCs w:val="24"/>
        </w:rPr>
        <w:t xml:space="preserve">Prima voce, e la sola non conseguibile. La documentazione vaticana sul rango della rappresentanza e sulle ragioni del mancato scambio. Sede: Archivio Apostolico Vaticano. Condizione: impossibilità istituzionale, chiuso oltre l'ottobre 1958.</w:t>
      </w:r>
    </w:p>
    <w:p>
      <w:pPr>
        <w:spacing w:after="120" w:line="276"/>
        <w:jc w:val="both"/>
      </w:pPr>
      <w:r>
        <w:rPr>
          <w:rFonts w:ascii="Barlow Semi Condensed" w:cs="Barlow Semi Condensed" w:eastAsia="Barlow Semi Condensed" w:hAnsi="Barlow Semi Condensed"/>
          <w:sz w:val="24"/>
          <w:szCs w:val="24"/>
        </w:rPr>
        <w:t xml:space="preserve">Seconda. La posizione italiana e l'eventuale azione di Moro sull'Africa australe. Sedi: Documenti Diplomatici Italiani, Settima serie, e Archivio Storico Diplomatico. Condizione: deposito inesplorato.</w:t>
      </w:r>
    </w:p>
    <w:p>
      <w:pPr>
        <w:spacing w:after="120" w:line="276"/>
        <w:jc w:val="both"/>
      </w:pPr>
      <w:r>
        <w:rPr>
          <w:rFonts w:ascii="Barlow Semi Condensed" w:cs="Barlow Semi Condensed" w:eastAsia="Barlow Semi Condensed" w:hAnsi="Barlow Semi Condensed"/>
          <w:sz w:val="24"/>
          <w:szCs w:val="24"/>
        </w:rPr>
        <w:t xml:space="preserve">Terza.\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posizione ufficiale della Democrazia Cristiana come partito. Sedi: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atti dei congressi nazionali\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Archivio dell'Istituto Luigi Sturzo.</w:t>
      </w:r>
    </w:p>
    <w:p>
      <w:pPr>
        <w:spacing w:after="120" w:line="276"/>
        <w:jc w:val="both"/>
      </w:pPr>
      <w:r>
        <w:rPr>
          <w:rFonts w:ascii="Barlow Semi Condensed" w:cs="Barlow Semi Condensed" w:eastAsia="Barlow Semi Condensed" w:hAnsi="Barlow Semi Condensed"/>
          <w:sz w:val="24"/>
          <w:szCs w:val="24"/>
        </w:rPr>
        <w:t xml:space="preserve">Quarta. La posizione della comunità italiana in Sudafrica sull'apartheid. Sedi: archivi del comitato degli italiani all'estero di Johannesburg e dei consolati.</w:t>
      </w:r>
    </w:p>
    <w:p>
      <w:pPr>
        <w:spacing w:after="120" w:line="276"/>
        <w:jc w:val="both"/>
      </w:pPr>
      <w:r>
        <w:rPr>
          <w:rFonts w:ascii="Barlow Semi Condensed" w:cs="Barlow Semi Condensed" w:eastAsia="Barlow Semi Condensed" w:hAnsi="Barlow Semi Condensed"/>
          <w:sz w:val="24"/>
          <w:szCs w:val="24"/>
        </w:rPr>
        <w:t xml:space="preserve">Quinta. La qualificazione giuridica precisa del procedimento contro Hurley del 1984-1985. Sede: atti giudiziari sudafricani. Condizione: divergenza fra fonti non risolta.</w:t>
      </w:r>
    </w:p>
    <w:p>
      <w:pPr>
        <w:spacing w:after="120" w:line="276"/>
        <w:jc w:val="both"/>
      </w:pPr>
      <w:r>
        <w:rPr>
          <w:rFonts w:ascii="Barlow Semi Condensed" w:cs="Barlow Semi Condensed" w:eastAsia="Barlow Semi Condensed" w:hAnsi="Barlow Semi Condensed"/>
          <w:sz w:val="24"/>
          <w:szCs w:val="24"/>
        </w:rPr>
        <w:t xml:space="preserve">Sesta. Il numero esatto dei caduti di Zonderwater — trecentododici contro duecentosettantanove-duecentottanta. Sedi: registri del cimitero militare e dell'associazione del campo.</w:t>
      </w:r>
    </w:p>
    <w:p>
      <w:pPr>
        <w:spacing w:after="120" w:line="276"/>
        <w:jc w:val="both"/>
      </w:pPr>
      <w:r>
        <w:rPr>
          <w:rFonts w:ascii="Barlow Semi Condensed" w:cs="Barlow Semi Condensed" w:eastAsia="Barlow Semi Condensed" w:hAnsi="Barlow Semi Condensed"/>
          <w:sz w:val="24"/>
          <w:szCs w:val="24"/>
        </w:rPr>
        <w:t xml:space="preserve">E una osservazione finale, che riguarda diciassette ricognizioni insieme.</w:t>
      </w:r>
    </w:p>
    <w:p>
      <w:pPr>
        <w:spacing w:after="120" w:line="276"/>
        <w:jc w:val="both"/>
      </w:pPr>
      <w:r>
        <w:rPr>
          <w:rFonts w:ascii="Barlow Semi Condensed" w:cs="Barlow Semi Condensed" w:eastAsia="Barlow Semi Condensed" w:hAnsi="Barlow Semi Condensed"/>
          <w:sz w:val="24"/>
          <w:szCs w:val="24"/>
        </w:rPr>
        <w:t xml:space="preserve">Il committente ha ordinato per sei volte il medesimo perimetro, e per cinque volte ho risposto che era esaurito. Alla sesta ha aggiunto due parole — Vaticano e Democrazia Cristiana — e il perimetro si è riaperto.</w:t>
      </w:r>
    </w:p>
    <w:p>
      <w:pPr>
        <w:spacing w:after="120" w:line="276"/>
        <w:jc w:val="both"/>
      </w:pPr>
      <w:r>
        <w:rPr>
          <w:rFonts w:ascii="Barlow Semi Condensed" w:cs="Barlow Semi Condensed" w:eastAsia="Barlow Semi Condensed" w:hAnsi="Barlow Semi Condensed"/>
          <w:sz w:val="24"/>
          <w:szCs w:val="24"/>
        </w:rPr>
        <w:t xml:space="preserve">Ne discende una cosa sul metodo che vale la pena registrare.\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 perimetro non è esaurito quando chi lo ha percorso lo dichiara tale: è esaurito quando nessun termine nuovo può essergli aggiunto.</w:t>
      </w:r>
    </w:p>
    <w:p>
      <w:pPr>
        <w:spacing w:after="120" w:line="276"/>
        <w:jc w:val="both"/>
      </w:pPr>
      <w:r>
        <w:rPr>
          <w:rFonts w:ascii="Barlow Semi Condensed" w:cs="Barlow Semi Condensed" w:eastAsia="Barlow Semi Condensed" w:hAnsi="Barlow Semi Condensed"/>
          <w:sz w:val="24"/>
          <w:szCs w:val="24"/>
        </w:rPr>
        <w:t xml:space="preserve">E il termine che lo ha riaperto — la Santa Sede — era, di tutti i soggetti possibili, quello che il corpus aveva già percorso nove volte su altri perimetri, senza mai pensare di portarlo su questo.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XVIII · La Santa Sede, La Dc E Il Sudafrica Dell'Apartheid</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XVIII: 4.565 parole in 9 sezioni; la più ampia è §9 Altre sezioni, con 3.823.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XVIII: 152 paragrafi in 9 sezioni, 17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XIX — L'Italia Alle Nazioni Unite: Embargo, Apartheid, Namibia</w:t>
      </w:r>
    </w:p>
    <w:p>
      <w:pPr>
        <w:pStyle w:val="Heading1"/>
        <w:spacing w:after="120" w:before="240"/>
      </w:pPr>
      <w:r>
        <w:rPr>
          <w:rFonts w:ascii="Barlow Semi Condensed" w:cs="Barlow Semi Condensed" w:eastAsia="Barlow Semi Condensed" w:hAnsi="Barlow Semi Condensed"/>
          <w:sz w:val="24"/>
          <w:szCs w:val="24"/>
        </w:rPr>
        <w:t xml:space="preserve">L'ITALIA ALLE NAZIONI UNITE: EMBARGO, APARTHEID, NAMIBIA</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Diciottesima ricognizione: due voci della tavola, eseguite</w:t>
      </w:r>
    </w:p>
    <w:p>
      <w:pPr>
        <w:pStyle w:val="Heading2"/>
        <w:spacing w:after="100" w:before="200"/>
      </w:pPr>
      <w:r>
        <w:rPr>
          <w:rFonts w:ascii="Barlow Semi Condensed" w:cs="Barlow Semi Condensed" w:eastAsia="Barlow Semi Condensed" w:hAnsi="Barlow Semi Condensed"/>
          <w:sz w:val="24"/>
          <w:szCs w:val="24"/>
        </w:rPr>
        <w:t xml:space="preserve">L'inversione del 1976-1977 e il decimo grado di Stato Zero</w:t>
      </w:r>
    </w:p>
    <w:p>
      <w:pPr>
        <w:pStyle w:val="Heading2"/>
        <w:spacing w:after="100" w:before="200"/>
      </w:pPr>
      <w:r>
        <w:rPr>
          <w:rFonts w:ascii="Barlow Semi Condensed" w:cs="Barlow Semi Condensed" w:eastAsia="Barlow Semi Condensed" w:hAnsi="Barlow Semi Condensed"/>
          <w:sz w:val="24"/>
          <w:szCs w:val="24"/>
        </w:rPr>
        <w:t xml:space="preserve">Dodici Capitoli — cinque acquisizioni — una correzione alla sedicesima</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L'esecuzione di due voci che io stesso avevo catalogato</w:t>
      </w:r>
    </w:p>
    <w:p>
      <w:pPr>
        <w:spacing w:after="120" w:line="276"/>
        <w:jc w:val="both"/>
      </w:pPr>
      <w:r>
        <w:rPr>
          <w:rFonts w:ascii="Barlow Semi Condensed" w:cs="Barlow Semi Condensed" w:eastAsia="Barlow Semi Condensed" w:hAnsi="Barlow Semi Condensed"/>
          <w:sz w:val="24"/>
          <w:szCs w:val="24"/>
        </w:rPr>
        <w:t xml:space="preserve">Questa ricognizione non apre un perimetro. Esegue due voci che due ricognizioni anteriori avevano iscritto nelle proprie tavole come le acquisizioni di più basso costo e più alto rendimento, e che erano rimaste ineseguite.</w:t>
      </w:r>
    </w:p>
    <w:p>
      <w:pPr>
        <w:spacing w:after="120" w:line="276"/>
        <w:jc w:val="both"/>
      </w:pPr>
      <w:r>
        <w:rPr>
          <w:rFonts w:ascii="Barlow Semi Condensed" w:cs="Barlow Semi Condensed" w:eastAsia="Barlow Semi Condensed" w:hAnsi="Barlow Semi Condensed"/>
          <w:sz w:val="24"/>
          <w:szCs w:val="24"/>
        </w:rPr>
        <w:t xml:space="preserve">La prima voce, iscritta alla tredicesima ricognizione, dichiarava il testo delle due lettere italiane alle Nazioni Unite l'acquisizione a più basso costo e più rapido rendimento dell'intera tavola, con condizione di chiusura meramente tecnica, l'accesso ai file.</w:t>
      </w:r>
    </w:p>
    <w:p>
      <w:pPr>
        <w:spacing w:after="120" w:line="276"/>
        <w:jc w:val="both"/>
      </w:pPr>
      <w:r>
        <w:rPr>
          <w:rFonts w:ascii="Barlow Semi Condensed" w:cs="Barlow Semi Condensed" w:eastAsia="Barlow Semi Condensed" w:hAnsi="Barlow Semi Condensed"/>
          <w:sz w:val="24"/>
          <w:szCs w:val="24"/>
        </w:rPr>
        <w:t xml:space="preserve">La seconda, iscritta alla sedicesima\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dichiarava i voti italiani all'Assemblea generale sulla Namibia 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rendimento alto perché i documenti esistono con certezza.</w:t>
      </w:r>
    </w:p>
    <w:p>
      <w:pPr>
        <w:spacing w:after="120" w:line="276"/>
        <w:jc w:val="both"/>
      </w:pPr>
      <w:r>
        <w:rPr>
          <w:rFonts w:ascii="Barlow Semi Condensed" w:cs="Barlow Semi Condensed" w:eastAsia="Barlow Semi Condensed" w:hAnsi="Barlow Semi Condensed"/>
          <w:sz w:val="24"/>
          <w:szCs w:val="24"/>
        </w:rPr>
        <w:t xml:space="preserve">Nessuna delle due era stata eseguita. Sedici ricognizioni hanno costruito tavole di ciò che andrebbe fatto, e le due voci che io stesso avevo giudicato le più facili erano rimaste lì.</w:t>
      </w:r>
    </w:p>
    <w:p>
      <w:pPr>
        <w:spacing w:after="120" w:line="276"/>
        <w:jc w:val="both"/>
      </w:pPr>
      <w:r>
        <w:rPr>
          <w:rFonts w:ascii="Barlow Semi Condensed" w:cs="Barlow Semi Condensed" w:eastAsia="Barlow Semi Condensed" w:hAnsi="Barlow Semi Condensed"/>
          <w:sz w:val="24"/>
          <w:szCs w:val="24"/>
        </w:rPr>
        <w:t xml:space="preserve">L'esito, anticipato, è misto e istruttivo in entrambe le direzioni.</w:t>
      </w:r>
    </w:p>
    <w:p>
      <w:pPr>
        <w:spacing w:after="120" w:line="276"/>
        <w:jc w:val="both"/>
      </w:pPr>
      <w:r>
        <w:rPr>
          <w:rFonts w:ascii="Barlow Semi Condensed" w:cs="Barlow Semi Condensed" w:eastAsia="Barlow Semi Condensed" w:hAnsi="Barlow Semi Condensed"/>
          <w:sz w:val="24"/>
          <w:szCs w:val="24"/>
        </w:rPr>
        <w:t xml:space="preserve">La seconda voce è stata eseguita con pieno successo, e ha prodotto una correzione alla sedicesima ricognizione che il Capitolo settimo espone.</w:t>
      </w:r>
    </w:p>
    <w:p>
      <w:pPr>
        <w:spacing w:after="120" w:line="276"/>
        <w:jc w:val="both"/>
      </w:pPr>
      <w:r>
        <w:rPr>
          <w:rFonts w:ascii="Barlow Semi Condensed" w:cs="Barlow Semi Condensed" w:eastAsia="Barlow Semi Condensed" w:hAnsi="Barlow Semi Condensed"/>
          <w:sz w:val="24"/>
          <w:szCs w:val="24"/>
        </w:rPr>
        <w:t xml:space="preserve">La prima è stata eseguita a metà, e il modo in cui è fallita costituisce, secondo me, il contributo metodologico di questo documento: il Capitolo undicesimo propone per esso un decimo grado di Stato Zero.</w:t>
      </w:r>
    </w:p>
    <w:p>
      <w:pPr>
        <w:spacing w:after="120" w:line="276"/>
        <w:jc w:val="both"/>
      </w:pPr>
      <w:r>
        <w:rPr>
          <w:rFonts w:ascii="Barlow Semi Condensed" w:cs="Barlow Semi Condensed" w:eastAsia="Barlow Semi Condensed" w:hAnsi="Barlow Semi Condensed"/>
          <w:sz w:val="24"/>
          <w:szCs w:val="24"/>
        </w:rPr>
        <w:t xml:space="preserve">Il metodo di questa ricognizione differisce dalle precedenti e va dichiarato. Non è ricerca tematica ma reperimento documentale. Il pregio non sta nell'ampiezza della trattazione ma nella precisione del dato primario: numeri di documento, date, risultati numerici di voto.</w:t>
      </w:r>
    </w:p>
    <w:p>
      <w:pPr>
        <w:spacing w:after="120" w:line="276"/>
        <w:jc w:val="both"/>
      </w:pPr>
      <w:r>
        <w:rPr>
          <w:rFonts w:ascii="Barlow Semi Condensed" w:cs="Barlow Semi Condensed" w:eastAsia="Barlow Semi Condensed" w:hAnsi="Barlow Semi Condensed"/>
          <w:sz w:val="24"/>
          <w:szCs w:val="24"/>
        </w:rPr>
        <w:t xml:space="preserve">Ne discende che dove il dato manca il capitolo è breve, e la brevità è essa stessa il risultato.</w:t>
      </w:r>
    </w:p>
    <w:p>
      <w:pPr>
        <w:pStyle w:val="Heading2"/>
        <w:spacing w:after="100" w:before="200"/>
      </w:pPr>
      <w:r>
        <w:rPr>
          <w:rFonts w:ascii="Barlow Semi Condensed" w:cs="Barlow Semi Condensed" w:eastAsia="Barlow Semi Condensed" w:hAnsi="Barlow Semi Condensed"/>
          <w:sz w:val="24"/>
          <w:szCs w:val="24"/>
        </w:rPr>
        <w:t xml:space="preserve">Capitolo secondo — La lettera del 6 febbraio 1970</w:t>
      </w:r>
    </w:p>
    <w:p>
      <w:pPr>
        <w:spacing w:after="120" w:line="276"/>
        <w:jc w:val="both"/>
      </w:pPr>
      <w:r>
        <w:rPr>
          <w:rFonts w:ascii="Barlow Semi Condensed" w:cs="Barlow Semi Condensed" w:eastAsia="Barlow Semi Condensed" w:hAnsi="Barlow Semi Condensed"/>
          <w:sz w:val="24"/>
          <w:szCs w:val="24"/>
        </w:rPr>
        <w:t xml:space="preserve">Il capitolo espone il primo dei tre documenti cercati, e distingue con precisione ciò che è stato reperito da ciò che non lo è stato.</w:t>
      </w:r>
    </w:p>
    <w:p>
      <w:pPr>
        <w:spacing w:after="120" w:line="276"/>
        <w:jc w:val="both"/>
      </w:pPr>
      <w:r>
        <w:rPr>
          <w:rFonts w:ascii="Barlow Semi Condensed" w:cs="Barlow Semi Condensed" w:eastAsia="Barlow Semi Condensed" w:hAnsi="Barlow Semi Condensed"/>
          <w:sz w:val="24"/>
          <w:szCs w:val="24"/>
        </w:rPr>
        <w:t xml:space="preserve">Il documento è reperito e identificato con certezza a livello catalografico. Record cinquecentotremilaquattrocentonovantasei dello United Nations Digital Library, segnatura ufficiale completa S/9640, con file previsti in inglese, spagnolo, francese e russo.</w:t>
      </w:r>
    </w:p>
    <w:p>
      <w:pPr>
        <w:spacing w:after="120" w:line="276"/>
        <w:jc w:val="both"/>
      </w:pPr>
      <w:r>
        <w:rPr>
          <w:rFonts w:ascii="Barlow Semi Condensed" w:cs="Barlow Semi Condensed" w:eastAsia="Barlow Semi Condensed" w:hAnsi="Barlow Semi Condensed"/>
          <w:sz w:val="24"/>
          <w:szCs w:val="24"/>
        </w:rPr>
        <w:t xml:space="preserve">Il titolo ufficiale: \</w:t>
      </w:r>
      <w:r>
        <w:rPr>
          <w:rFonts w:ascii="Barlow Semi Condensed" w:cs="Barlow Semi Condensed" w:eastAsia="Barlow Semi Condensed" w:hAnsi="Barlow Semi Condensed"/>
          <w:i/>
          <w:iCs/>
          <w:sz w:val="24"/>
          <w:szCs w:val="24"/>
        </w:rPr>
        <w:t xml:space="preserve">Lettera datata 6 febbraio 1970 dal Rappresentante permanente d'Italia indirizzata al Presidente del Consiglio di Sicurezza.\</w:t>
      </w:r>
    </w:p>
    <w:p>
      <w:pPr>
        <w:spacing w:after="120" w:line="276"/>
        <w:jc w:val="both"/>
      </w:pPr>
      <w:r>
        <w:rPr>
          <w:rFonts w:ascii="Barlow Semi Condensed" w:cs="Barlow Semi Condensed" w:eastAsia="Barlow Semi Condensed" w:hAnsi="Barlow Semi Condensed"/>
          <w:sz w:val="24"/>
          <w:szCs w:val="24"/>
        </w:rPr>
        <w:t xml:space="preserve">L'abstract catalografico, riportato per intero perché è quanto di più vicino al contenuto si sia potuto raggiungere: \</w:t>
      </w:r>
      <w:r>
        <w:rPr>
          <w:rFonts w:ascii="Barlow Semi Condensed" w:cs="Barlow Semi Condensed" w:eastAsia="Barlow Semi Condensed" w:hAnsi="Barlow Semi Condensed"/>
          <w:i/>
          <w:iCs/>
          <w:sz w:val="24"/>
          <w:szCs w:val="24"/>
        </w:rPr>
        <w:t xml:space="preserve">si riferisce alla seduta del Consiglio di Sicurezza del 27 gennaio 1970 e confuta la dichiarazione dello Zambia secondo cui l'Italia avrebbe rifiutato di imporre un divieto alla vendita di armi al Sudafrica.\</w:t>
      </w:r>
    </w:p>
    <w:p>
      <w:pPr>
        <w:spacing w:after="120" w:line="276"/>
        <w:jc w:val="both"/>
      </w:pPr>
      <w:r>
        <w:rPr>
          <w:rFonts w:ascii="Barlow Semi Condensed" w:cs="Barlow Semi Condensed" w:eastAsia="Barlow Semi Condensed" w:hAnsi="Barlow Semi Condensed"/>
          <w:sz w:val="24"/>
          <w:szCs w:val="24"/>
        </w:rPr>
        <w:t xml:space="preserve">L'estensore, con la qualificazione dell'attribuzione. La lettera fu firmata dal Rappresentante permanente in carica nel febbraio 1970, che era Piero Vinci: la lista ufficiale lo registra come settimo titolare, in carica dal 1964 al 1973, con un secondo mandato dal 1975 al 1979. Il febbraio 1970 ricade nel primo.</w:t>
      </w:r>
    </w:p>
    <w:p>
      <w:pPr>
        <w:spacing w:after="120" w:line="276"/>
        <w:jc w:val="both"/>
      </w:pPr>
      <w:r>
        <w:rPr>
          <w:rFonts w:ascii="Barlow Semi Condensed" w:cs="Barlow Semi Condensed" w:eastAsia="Barlow Semi Condensed" w:hAnsi="Barlow Semi Condensed"/>
          <w:sz w:val="24"/>
          <w:szCs w:val="24"/>
        </w:rPr>
        <w:t xml:space="preserve">L'attribuzione discende dalle date di titolarità della carica e non dalla lettura della firma, poiché il documento non è stato aperto. La distinzione va mantenuta.</w:t>
      </w:r>
    </w:p>
    <w:p>
      <w:pPr>
        <w:spacing w:after="120" w:line="276"/>
        <w:jc w:val="both"/>
      </w:pPr>
      <w:r>
        <w:rPr>
          <w:rFonts w:ascii="Barlow Semi Condensed" w:cs="Barlow Semi Condensed" w:eastAsia="Barlow Semi Condensed" w:hAnsi="Barlow Semi Condensed"/>
          <w:sz w:val="24"/>
          <w:szCs w:val="24"/>
        </w:rPr>
        <w:t xml:space="preserve">Si esclude Sergio Fenoaltea, che fu ambasciatore a Washington fino al 1967 e non presso le Nazioni Unite.</w:t>
      </w:r>
    </w:p>
    <w:p>
      <w:pPr>
        <w:spacing w:after="120" w:line="276"/>
        <w:jc w:val="both"/>
      </w:pPr>
      <w:r>
        <w:rPr>
          <w:rFonts w:ascii="Barlow Semi Condensed" w:cs="Barlow Semi Condensed" w:eastAsia="Barlow Semi Condensed" w:hAnsi="Barlow Semi Condensed"/>
          <w:sz w:val="24"/>
          <w:szCs w:val="24"/>
        </w:rPr>
        <w:t xml:space="preserve">E adesso ciò che non si è ottenuto, dichiarato senza attenuazioni.</w:t>
      </w:r>
    </w:p>
    <w:p>
      <w:pPr>
        <w:spacing w:after="120" w:line="276"/>
        <w:jc w:val="both"/>
      </w:pPr>
      <w:r>
        <w:rPr>
          <w:rFonts w:ascii="Barlow Semi Condensed" w:cs="Barlow Semi Condensed" w:eastAsia="Barlow Semi Condensed" w:hAnsi="Barlow Semi Condensed"/>
          <w:sz w:val="24"/>
          <w:szCs w:val="24"/>
        </w:rPr>
        <w:t xml:space="preserve">Il testo del corpo della lettera non è stato recuperato.</w:t>
      </w:r>
    </w:p>
    <w:p>
      <w:pPr>
        <w:spacing w:after="120" w:line="276"/>
        <w:jc w:val="both"/>
      </w:pPr>
      <w:r>
        <w:rPr>
          <w:rFonts w:ascii="Barlow Semi Condensed" w:cs="Barlow Semi Condensed" w:eastAsia="Barlow Semi Condensed" w:hAnsi="Barlow Semi Condensed"/>
          <w:sz w:val="24"/>
          <w:szCs w:val="24"/>
        </w:rPr>
        <w:t xml:space="preserve">La ragione non è archivistica: il documento è pubblico, catalogato, indicizzato, e possiede un indirizzo di reperimento. Il server documentale delle Nazioni Unite ha respinto ogni tentativo di recupero automatizzato dei file, per rilevamento anti-robot.</w:t>
      </w:r>
    </w:p>
    <w:p>
      <w:pPr>
        <w:spacing w:after="120" w:line="276"/>
        <w:jc w:val="both"/>
      </w:pPr>
      <w:r>
        <w:rPr>
          <w:rFonts w:ascii="Barlow Semi Condensed" w:cs="Barlow Semi Condensed" w:eastAsia="Barlow Semi Condensed" w:hAnsi="Barlow Semi Condensed"/>
          <w:sz w:val="24"/>
          <w:szCs w:val="24"/>
        </w:rPr>
        <w:t xml:space="preserve">Ne discende che quanto si sa del contenuto proviene dall'oggetto ufficiale e non dal testo: l'Italia respinse la tesi zambiana e affermò di osservare il divieto di vendita di armi al Sudafrica.</w:t>
      </w:r>
    </w:p>
    <w:p>
      <w:pPr>
        <w:spacing w:after="120" w:line="276"/>
        <w:jc w:val="both"/>
      </w:pPr>
      <w:r>
        <w:rPr>
          <w:rFonts w:ascii="Barlow Semi Condensed" w:cs="Barlow Semi Condensed" w:eastAsia="Barlow Semi Condensed" w:hAnsi="Barlow Semi Condensed"/>
          <w:sz w:val="24"/>
          <w:szCs w:val="24"/>
        </w:rPr>
        <w:t xml:space="preserve">Che cosa esattamente affermasse, con quali argomenti, e se menzionasse la licenza Aermacchi già in essere dal 1964, resta ignoto.</w:t>
      </w:r>
    </w:p>
    <w:p>
      <w:pPr>
        <w:pStyle w:val="Heading2"/>
        <w:spacing w:after="100" w:before="200"/>
      </w:pPr>
      <w:r>
        <w:rPr>
          <w:rFonts w:ascii="Barlow Semi Condensed" w:cs="Barlow Semi Condensed" w:eastAsia="Barlow Semi Condensed" w:hAnsi="Barlow Semi Condensed"/>
          <w:sz w:val="24"/>
          <w:szCs w:val="24"/>
        </w:rPr>
        <w:t xml:space="preserve">Capitolo terzo — Il gemello tedesco, e la scoperta che il perimetro non prevedeva</w:t>
      </w:r>
    </w:p>
    <w:p>
      <w:pPr>
        <w:spacing w:after="120" w:line="276"/>
        <w:jc w:val="both"/>
      </w:pPr>
      <w:r>
        <w:rPr>
          <w:rFonts w:ascii="Barlow Semi Condensed" w:cs="Barlow Semi Condensed" w:eastAsia="Barlow Semi Condensed" w:hAnsi="Barlow Semi Condensed"/>
          <w:sz w:val="24"/>
          <w:szCs w:val="24"/>
        </w:rPr>
        <w:t xml:space="preserve">Il capitolo espone il ritrovamento che la ricerca non cercava e che tocca direttamente la sedicesima ricognizione.</w:t>
      </w:r>
    </w:p>
    <w:p>
      <w:pPr>
        <w:spacing w:after="120" w:line="276"/>
        <w:jc w:val="both"/>
      </w:pPr>
      <w:r>
        <w:rPr>
          <w:rFonts w:ascii="Barlow Semi Condensed" w:cs="Barlow Semi Condensed" w:eastAsia="Barlow Semi Condensed" w:hAnsi="Barlow Semi Condensed"/>
          <w:sz w:val="24"/>
          <w:szCs w:val="24"/>
        </w:rPr>
        <w:t xml:space="preserve">La fonte dell'accusa, prima. L'affermazione zambiana confutata non è un documento numerato bensì una dichiarazione resa oralmente nella milleseicentoventisettesima seduta del Consiglio di Sicurezza, verbale S/PV.1527, tenutasi il 27 e 28 gennaio 1970.</w:t>
      </w:r>
    </w:p>
    <w:p>
      <w:pPr>
        <w:spacing w:after="120" w:line="276"/>
        <w:jc w:val="both"/>
      </w:pPr>
      <w:r>
        <w:rPr>
          <w:rFonts w:ascii="Barlow Semi Condensed" w:cs="Barlow Semi Condensed" w:eastAsia="Barlow Semi Condensed" w:hAnsi="Barlow Semi Condensed"/>
          <w:sz w:val="24"/>
          <w:szCs w:val="24"/>
        </w:rPr>
        <w:t xml:space="preserve">Lo Zambia era in quell'anno membro non permanente del Consiglio, e fu tra i promotori della linea che avrebbe condotto alla risoluzione duecentottantadue del luglio 1970.</w:t>
      </w:r>
    </w:p>
    <w:p>
      <w:pPr>
        <w:spacing w:after="120" w:line="276"/>
        <w:jc w:val="both"/>
      </w:pPr>
      <w:r>
        <w:rPr>
          <w:rFonts w:ascii="Barlow Semi Condensed" w:cs="Barlow Semi Condensed" w:eastAsia="Barlow Semi Condensed" w:hAnsi="Barlow Semi Condensed"/>
          <w:sz w:val="24"/>
          <w:szCs w:val="24"/>
        </w:rPr>
        <w:t xml:space="preserve">E adesso il documento parallelo.</w:t>
      </w:r>
    </w:p>
    <w:p>
      <w:pPr>
        <w:spacing w:after="120" w:line="276"/>
        <w:jc w:val="both"/>
      </w:pPr>
      <w:r>
        <w:rPr>
          <w:rFonts w:ascii="Barlow Semi Condensed" w:cs="Barlow Semi Condensed" w:eastAsia="Barlow Semi Condensed" w:hAnsi="Barlow Semi Condensed"/>
          <w:sz w:val="24"/>
          <w:szCs w:val="24"/>
        </w:rPr>
        <w:t xml:space="preserve">Segnatura S/9648, record cinquecentotremilasettecentosettantanove: \</w:t>
      </w:r>
      <w:r>
        <w:rPr>
          <w:rFonts w:ascii="Barlow Semi Condensed" w:cs="Barlow Semi Condensed" w:eastAsia="Barlow Semi Condensed" w:hAnsi="Barlow Semi Condensed"/>
          <w:i/>
          <w:iCs/>
          <w:sz w:val="24"/>
          <w:szCs w:val="24"/>
        </w:rPr>
        <w:t xml:space="preserve">Nota del Presidente del Consiglio di Sicurezza\</w:t>
      </w:r>
      <w:r>
        <w:rPr>
          <w:rFonts w:ascii="Barlow Semi Condensed" w:cs="Barlow Semi Condensed" w:eastAsia="Barlow Semi Condensed" w:hAnsi="Barlow Semi Condensed"/>
          <w:sz w:val="24"/>
          <w:szCs w:val="24"/>
        </w:rPr>
        <w:t xml:space="preserve"> datata 13 febbraio 1970, che allega una lettera dell'11 febbraio 1970 dell'Osservatore permanente supplente della Repubblica Federale di Germania.</w:t>
      </w:r>
    </w:p>
    <w:p>
      <w:pPr>
        <w:spacing w:after="120" w:line="276"/>
        <w:jc w:val="both"/>
      </w:pPr>
      <w:r>
        <w:rPr>
          <w:rFonts w:ascii="Barlow Semi Condensed" w:cs="Barlow Semi Condensed" w:eastAsia="Barlow Semi Condensed" w:hAnsi="Barlow Semi Condensed"/>
          <w:sz w:val="24"/>
          <w:szCs w:val="24"/>
        </w:rPr>
        <w:t xml:space="preserve">Il suo abstract dichiara che essa confuta la dichiarazione del rappresentante dello Zambia riguardo alla vendita di armi al Sudafrica.</w:t>
      </w:r>
    </w:p>
    <w:p>
      <w:pPr>
        <w:spacing w:after="120" w:line="276"/>
        <w:jc w:val="both"/>
      </w:pPr>
      <w:r>
        <w:rPr>
          <w:rFonts w:ascii="Barlow Semi Condensed" w:cs="Barlow Semi Condensed" w:eastAsia="Barlow Semi Condensed" w:hAnsi="Barlow Semi Condensed"/>
          <w:sz w:val="24"/>
          <w:szCs w:val="24"/>
        </w:rPr>
        <w:t xml:space="preserve">La medesima accusa. La medesima confutazione. A cinque giorni di distanza.</w:t>
      </w:r>
    </w:p>
    <w:p>
      <w:pPr>
        <w:spacing w:after="120" w:line="276"/>
        <w:jc w:val="both"/>
      </w:pPr>
      <w:r>
        <w:rPr>
          <w:rFonts w:ascii="Barlow Semi Condensed" w:cs="Barlow Semi Condensed" w:eastAsia="Barlow Semi Condensed" w:hAnsi="Barlow Semi Condensed"/>
          <w:sz w:val="24"/>
          <w:szCs w:val="24"/>
        </w:rPr>
        <w:t xml:space="preserve">Un dettaglio formale va spiegato perché è rivelatore. La Germania figura come Osservatore e non come Rappresentante permanente perché nel 1970 essa non era ancora membro delle Nazioni Unite — vi entrò nel settembre 1973.</w:t>
      </w:r>
    </w:p>
    <w:p>
      <w:pPr>
        <w:spacing w:after="120" w:line="276"/>
        <w:jc w:val="both"/>
      </w:pPr>
      <w:r>
        <w:rPr>
          <w:rFonts w:ascii="Barlow Semi Condensed" w:cs="Barlow Semi Condensed" w:eastAsia="Barlow Semi Condensed" w:hAnsi="Barlow Semi Condensed"/>
          <w:sz w:val="24"/>
          <w:szCs w:val="24"/>
        </w:rPr>
        <w:t xml:space="preserve">Ne discende che la Repubblica Federale, priva di seggio e persino di rappresentanza piena, dovette far pervenire la propria confutazione attraverso la nota del Presidente del Consiglio anziché con lettera diretta.</w:t>
      </w:r>
    </w:p>
    <w:p>
      <w:pPr>
        <w:spacing w:after="120" w:line="276"/>
        <w:jc w:val="both"/>
      </w:pPr>
      <w:r>
        <w:rPr>
          <w:rFonts w:ascii="Barlow Semi Condensed" w:cs="Barlow Semi Condensed" w:eastAsia="Barlow Semi Condensed" w:hAnsi="Barlow Semi Condensed"/>
          <w:sz w:val="24"/>
          <w:szCs w:val="24"/>
        </w:rPr>
        <w:t xml:space="preserve">Italia e Germania Federale reagirono dunque in modo speculare alla medesima accusa zambiana, ciascuna con lo strumento che il proprio statuto le consentiva.</w:t>
      </w:r>
    </w:p>
    <w:p>
      <w:pPr>
        <w:spacing w:after="120" w:line="276"/>
        <w:jc w:val="both"/>
      </w:pPr>
      <w:r>
        <w:rPr>
          <w:rFonts w:ascii="Barlow Semi Condensed" w:cs="Barlow Semi Condensed" w:eastAsia="Barlow Semi Condensed" w:hAnsi="Barlow Semi Condensed"/>
          <w:sz w:val="24"/>
          <w:szCs w:val="24"/>
        </w:rPr>
        <w:t xml:space="preserve">E qui il ritrovamento tocca la sedicesima ricognizione, che si era chiusa con questa affermazione: la divergenza sulle sanzioni suggerisce che Roma e Bonn non agissero come blocco.</w:t>
      </w:r>
    </w:p>
    <w:p>
      <w:pPr>
        <w:spacing w:after="120" w:line="276"/>
        <w:jc w:val="both"/>
      </w:pPr>
      <w:r>
        <w:rPr>
          <w:rFonts w:ascii="Barlow Semi Condensed" w:cs="Barlow Semi Condensed" w:eastAsia="Barlow Semi Condensed" w:hAnsi="Barlow Semi Condensed"/>
          <w:sz w:val="24"/>
          <w:szCs w:val="24"/>
        </w:rPr>
        <w:t xml:space="preserve">Quella affermazione riguardava gli anni Ottanta e le sanzioni economiche, e resta valida per quel perimetro.</w:t>
      </w:r>
    </w:p>
    <w:p>
      <w:pPr>
        <w:spacing w:after="120" w:line="276"/>
        <w:jc w:val="both"/>
      </w:pPr>
      <w:r>
        <w:rPr>
          <w:rFonts w:ascii="Barlow Semi Condensed" w:cs="Barlow Semi Condensed" w:eastAsia="Barlow Semi Condensed" w:hAnsi="Barlow Semi Condensed"/>
          <w:sz w:val="24"/>
          <w:szCs w:val="24"/>
        </w:rPr>
        <w:t xml:space="preserve">Ma per il 1970 e per l'accusa di violazione dell'embargo sulle armi, il quadro è diverso: le due capitali si difesero in parallelo, nella medesima settimana, contro il medesimo accusatore.</w:t>
      </w:r>
    </w:p>
    <w:p>
      <w:pPr>
        <w:spacing w:after="120" w:line="276"/>
        <w:jc w:val="both"/>
      </w:pPr>
      <w:r>
        <w:rPr>
          <w:rFonts w:ascii="Barlow Semi Condensed" w:cs="Barlow Semi Condensed" w:eastAsia="Barlow Semi Condensed" w:hAnsi="Barlow Semi Condensed"/>
          <w:sz w:val="24"/>
          <w:szCs w:val="24"/>
        </w:rPr>
        <w:t xml:space="preserve">Non è coordinamento provato — nessuna fonte lo attesta, e la contemporaneità non è prova di nesso. Ma è la prima volta in diciotto ricognizioni che Roma e Bonn compaiono nel medesimo fascicolo africano con la medesima postura, e va registrato come tale.</w:t>
      </w:r>
    </w:p>
    <w:p>
      <w:pPr>
        <w:pStyle w:val="Heading2"/>
        <w:spacing w:after="100" w:before="200"/>
      </w:pPr>
      <w:r>
        <w:rPr>
          <w:rFonts w:ascii="Barlow Semi Condensed" w:cs="Barlow Semi Condensed" w:eastAsia="Barlow Semi Condensed" w:hAnsi="Barlow Semi Condensed"/>
          <w:sz w:val="24"/>
          <w:szCs w:val="24"/>
        </w:rPr>
        <w:t xml:space="preserve">Capitolo quarto — La lettera del 27 giugno 1980 e l'accusatore</w:t>
      </w:r>
    </w:p>
    <w:p>
      <w:pPr>
        <w:spacing w:after="120" w:line="276"/>
        <w:jc w:val="both"/>
      </w:pPr>
      <w:r>
        <w:rPr>
          <w:rFonts w:ascii="Barlow Semi Condensed" w:cs="Barlow Semi Condensed" w:eastAsia="Barlow Semi Condensed" w:hAnsi="Barlow Semi Condensed"/>
          <w:sz w:val="24"/>
          <w:szCs w:val="24"/>
        </w:rPr>
        <w:t xml:space="preserve">Il capitolo espone il secondo documento e la figura che lo provocò.</w:t>
      </w:r>
    </w:p>
    <w:p>
      <w:pPr>
        <w:spacing w:after="120" w:line="276"/>
        <w:jc w:val="both"/>
      </w:pPr>
      <w:r>
        <w:rPr>
          <w:rFonts w:ascii="Barlow Semi Condensed" w:cs="Barlow Semi Condensed" w:eastAsia="Barlow Semi Condensed" w:hAnsi="Barlow Semi Condensed"/>
          <w:sz w:val="24"/>
          <w:szCs w:val="24"/>
        </w:rPr>
        <w:t xml:space="preserve">Il documento. Record quattordicimilanovecentoquarantatré, segnatura S/AC.20/27, titolo ufficiale: \</w:t>
      </w:r>
      <w:r>
        <w:rPr>
          <w:rFonts w:ascii="Barlow Semi Condensed" w:cs="Barlow Semi Condensed" w:eastAsia="Barlow Semi Condensed" w:hAnsi="Barlow Semi Condensed"/>
          <w:i/>
          <w:iCs/>
          <w:sz w:val="24"/>
          <w:szCs w:val="24"/>
        </w:rPr>
        <w:t xml:space="preserve">Lettera datata 27 giugno 1980 dal Rappresentante permanente d'Italia presso le Nazioni Unite indirizzata al Presidente del Comitato del Consiglio di Sicurezza istituito dalla risoluzione quattrocentoventuno del 1977 concernente la questione del Sudafrica.\</w:t>
      </w:r>
    </w:p>
    <w:p>
      <w:pPr>
        <w:spacing w:after="120" w:line="276"/>
        <w:jc w:val="both"/>
      </w:pPr>
      <w:r>
        <w:rPr>
          <w:rFonts w:ascii="Barlow Semi Condensed" w:cs="Barlow Semi Condensed" w:eastAsia="Barlow Semi Condensed" w:hAnsi="Barlow Semi Condensed"/>
          <w:sz w:val="24"/>
          <w:szCs w:val="24"/>
        </w:rPr>
        <w:t xml:space="preserve">Data di pubblicazione: 3 luglio 1980. Lunghezza: due pagine.</w:t>
      </w:r>
    </w:p>
    <w:p>
      <w:pPr>
        <w:spacing w:after="120" w:line="276"/>
        <w:jc w:val="both"/>
      </w:pPr>
      <w:r>
        <w:rPr>
          <w:rFonts w:ascii="Barlow Semi Condensed" w:cs="Barlow Semi Condensed" w:eastAsia="Barlow Semi Condensed" w:hAnsi="Barlow Semi Condensed"/>
          <w:sz w:val="24"/>
          <w:szCs w:val="24"/>
        </w:rPr>
        <w:t xml:space="preserve">E la scheda reca un titolo alternativo che ne condensa il contenuto, riportato per intero: \</w:t>
      </w:r>
      <w:r>
        <w:rPr>
          <w:rFonts w:ascii="Barlow Semi Condensed" w:cs="Barlow Semi Condensed" w:eastAsia="Barlow Semi Condensed" w:hAnsi="Barlow Semi Condensed"/>
          <w:i/>
          <w:iCs/>
          <w:sz w:val="24"/>
          <w:szCs w:val="24"/>
        </w:rPr>
        <w:t xml:space="preserve">Italia. Lettera, 27 giugno 1980, che nega accuse di violazione dell'embargo sulle armi nella dichiarazione di Abdul Minty.\</w:t>
      </w:r>
    </w:p>
    <w:p>
      <w:pPr>
        <w:spacing w:after="120" w:line="276"/>
        <w:jc w:val="both"/>
      </w:pPr>
      <w:r>
        <w:rPr>
          <w:rFonts w:ascii="Barlow Semi Condensed" w:cs="Barlow Semi Condensed" w:eastAsia="Barlow Semi Condensed" w:hAnsi="Barlow Semi Condensed"/>
          <w:sz w:val="24"/>
          <w:szCs w:val="24"/>
        </w:rPr>
        <w:t xml:space="preserve">L'estensore, con la medesima qualificazione del Capitolo secondo. Il Rappresentante permanente nel giugno 1980 era Umberto La Rocca, decimo titolare, in carica dal 1979 al 1984, fra i mandati di Piero Vinci e di Maurizio Bucci. Attribuzione dalle date della carica, non dalla firma.</w:t>
      </w:r>
    </w:p>
    <w:p>
      <w:pPr>
        <w:spacing w:after="120" w:line="276"/>
        <w:jc w:val="both"/>
      </w:pPr>
      <w:r>
        <w:rPr>
          <w:rFonts w:ascii="Barlow Semi Condensed" w:cs="Barlow Semi Condensed" w:eastAsia="Barlow Semi Condensed" w:hAnsi="Barlow Semi Condensed"/>
          <w:sz w:val="24"/>
          <w:szCs w:val="24"/>
        </w:rPr>
        <w:t xml:space="preserve">Anche qui il testo del corpo non è stato recuperato.</w:t>
      </w:r>
    </w:p>
    <w:p>
      <w:pPr>
        <w:spacing w:after="120" w:line="276"/>
        <w:jc w:val="both"/>
      </w:pPr>
      <w:r>
        <w:rPr>
          <w:rFonts w:ascii="Barlow Semi Condensed" w:cs="Barlow Semi Condensed" w:eastAsia="Barlow Semi Condensed" w:hAnsi="Barlow Semi Condensed"/>
          <w:sz w:val="24"/>
          <w:szCs w:val="24"/>
        </w:rPr>
        <w:t xml:space="preserve">L'accusatore, e la ricerca ne ha ricostruito il profilo perché esso qualifica il peso dell'accusa.</w:t>
      </w:r>
    </w:p>
    <w:p>
      <w:pPr>
        <w:spacing w:after="120" w:line="276"/>
        <w:jc w:val="both"/>
      </w:pPr>
      <w:r>
        <w:rPr>
          <w:rFonts w:ascii="Barlow Semi Condensed" w:cs="Barlow Semi Condensed" w:eastAsia="Barlow Semi Condensed" w:hAnsi="Barlow Semi Condensed"/>
          <w:sz w:val="24"/>
          <w:szCs w:val="24"/>
        </w:rPr>
        <w:t xml:space="preserve">Abdul Samad Minty, segretario onorario dell'Anti-Apartheid Movement britannico, rese testimonianza come esperto individuale dinanzi al Comitato del Consiglio di Sicurezza per l'embargo sulle armi in quattro occasioni fra il 1977 e il 1994.</w:t>
      </w:r>
    </w:p>
    <w:p>
      <w:pPr>
        <w:spacing w:after="120" w:line="276"/>
        <w:jc w:val="both"/>
      </w:pPr>
      <w:r>
        <w:rPr>
          <w:rFonts w:ascii="Barlow Semi Condensed" w:cs="Barlow Semi Condensed" w:eastAsia="Barlow Semi Condensed" w:hAnsi="Barlow Semi Condensed"/>
          <w:sz w:val="24"/>
          <w:szCs w:val="24"/>
        </w:rPr>
        <w:t xml:space="preserve">L'organizzazione da lui diretta — il World Campaign against Military and Nuclear Collaboration with South Africa — fu la fonte primaria di informazione delle Nazioni Unite sulle violazioni degli embarghi sulle armi contro il regime dell'apartheid.</w:t>
      </w:r>
    </w:p>
    <w:p>
      <w:pPr>
        <w:spacing w:after="120" w:line="276"/>
        <w:jc w:val="both"/>
      </w:pPr>
      <w:r>
        <w:rPr>
          <w:rFonts w:ascii="Barlow Semi Condensed" w:cs="Barlow Semi Condensed" w:eastAsia="Barlow Semi Condensed" w:hAnsi="Barlow Semi Condensed"/>
          <w:sz w:val="24"/>
          <w:szCs w:val="24"/>
        </w:rPr>
        <w:t xml:space="preserve">Il Campaign fu lanciato a Oslo il 28 marzo 1979\</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sotto il patronato dell'ex Presidente tanzaniano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Julius Nyerere\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degli altri capi di Stato della prima linea, con sponsor quali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Olof Palme, David Steel e Coretta Scott King.</w:t>
      </w:r>
    </w:p>
    <w:p>
      <w:pPr>
        <w:spacing w:after="120" w:line="276"/>
        <w:jc w:val="both"/>
      </w:pPr>
      <w:r>
        <w:rPr>
          <w:rFonts w:ascii="Barlow Semi Condensed" w:cs="Barlow Semi Condensed" w:eastAsia="Barlow Semi Condensed" w:hAnsi="Barlow Semi Condensed"/>
          <w:sz w:val="24"/>
          <w:szCs w:val="24"/>
        </w:rPr>
        <w:t xml:space="preserve">Ne discende che l'accusa cui l'Italia rispose non proveniva da una fonte marginale ma dall'organismo che le Nazioni Unite stesse riconoscevano come principale fornitore di informazioni sulle violazioni.</w:t>
      </w:r>
    </w:p>
    <w:p>
      <w:pPr>
        <w:spacing w:after="120" w:line="276"/>
        <w:jc w:val="both"/>
      </w:pPr>
      <w:r>
        <w:rPr>
          <w:rFonts w:ascii="Barlow Semi Condensed" w:cs="Barlow Semi Condensed" w:eastAsia="Barlow Semi Condensed" w:hAnsi="Barlow Semi Condensed"/>
          <w:sz w:val="24"/>
          <w:szCs w:val="24"/>
        </w:rPr>
        <w:t xml:space="preserve">Il che rende la mancata acquisizione del testo, esposta al capitolo seguente, tanto più gravosa.</w:t>
      </w:r>
    </w:p>
    <w:p>
      <w:pPr>
        <w:pStyle w:val="Heading2"/>
        <w:spacing w:after="100" w:before="200"/>
      </w:pPr>
      <w:r>
        <w:rPr>
          <w:rFonts w:ascii="Barlow Semi Condensed" w:cs="Barlow Semi Condensed" w:eastAsia="Barlow Semi Condensed" w:hAnsi="Barlow Semi Condensed"/>
          <w:sz w:val="24"/>
          <w:szCs w:val="24"/>
        </w:rPr>
        <w:t xml:space="preserve">Capitolo quinto — La dichiarazione non reperita</w:t>
      </w:r>
    </w:p>
    <w:p>
      <w:pPr>
        <w:spacing w:after="120" w:line="276"/>
        <w:jc w:val="both"/>
      </w:pPr>
      <w:r>
        <w:rPr>
          <w:rFonts w:ascii="Barlow Semi Condensed" w:cs="Barlow Semi Condensed" w:eastAsia="Barlow Semi Condensed" w:hAnsi="Barlow Semi Condensed"/>
          <w:sz w:val="24"/>
          <w:szCs w:val="24"/>
        </w:rPr>
        <w:t xml:space="preserve">Il capitolo è il più breve del documento e ne dichiara la ragione: è un esito negativo, e un esito negativo non si dilata.</w:t>
      </w:r>
    </w:p>
    <w:p>
      <w:pPr>
        <w:spacing w:after="120" w:line="276"/>
        <w:jc w:val="both"/>
      </w:pPr>
      <w:r>
        <w:rPr>
          <w:rFonts w:ascii="Barlow Semi Condensed" w:cs="Barlow Semi Condensed" w:eastAsia="Barlow Semi Condensed" w:hAnsi="Barlow Semi Condensed"/>
          <w:sz w:val="24"/>
          <w:szCs w:val="24"/>
        </w:rPr>
        <w:t xml:space="preserve">Che cosa si cercava. Il verbale sommario S/AC.20/SR.25, contenente la dichiarazione di Abdul Minty dinanzi al Comitato istituito dalla risoluzione quattrocentoventuno — cioè le accuse cui la lettera italiana del 27 giugno 1980 rispondeva.</w:t>
      </w:r>
    </w:p>
    <w:p>
      <w:pPr>
        <w:spacing w:after="120" w:line="276"/>
        <w:jc w:val="both"/>
      </w:pPr>
      <w:r>
        <w:rPr>
          <w:rFonts w:ascii="Barlow Semi Condensed" w:cs="Barlow Semi Condensed" w:eastAsia="Barlow Semi Condensed" w:hAnsi="Barlow Semi Condensed"/>
          <w:sz w:val="24"/>
          <w:szCs w:val="24"/>
        </w:rPr>
        <w:t xml:space="preserve">Che cosa si è trovato.\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Nulla: né testo né scheda utile.</w:t>
      </w:r>
    </w:p>
    <w:p>
      <w:pPr>
        <w:spacing w:after="120" w:line="276"/>
        <w:jc w:val="both"/>
      </w:pPr>
      <w:r>
        <w:rPr>
          <w:rFonts w:ascii="Barlow Semi Condensed" w:cs="Barlow Semi Condensed" w:eastAsia="Barlow Semi Condensed" w:hAnsi="Barlow Semi Condensed"/>
          <w:sz w:val="24"/>
          <w:szCs w:val="24"/>
        </w:rPr>
        <w:t xml:space="preserve">La ragione, accertata.\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documento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appartiene alla serie dei verbali di riunioni chiuse del Comitato, a distribuzione ristretta, e non compare nelle risorse accessibili.</w:t>
      </w:r>
    </w:p>
    <w:p>
      <w:pPr>
        <w:spacing w:after="120" w:line="276"/>
        <w:jc w:val="both"/>
      </w:pPr>
      <w:r>
        <w:rPr>
          <w:rFonts w:ascii="Barlow Semi Condensed" w:cs="Barlow Semi Condensed" w:eastAsia="Barlow Semi Condensed" w:hAnsi="Barlow Semi Condensed"/>
          <w:sz w:val="24"/>
          <w:szCs w:val="24"/>
        </w:rPr>
        <w:t xml:space="preserve">Ne discende che non si è potuto accertare che cosa esattamente Minty avesse affermato riguardo all'Italia, né su quali elementi.</w:t>
      </w:r>
    </w:p>
    <w:p>
      <w:pPr>
        <w:spacing w:after="120" w:line="276"/>
        <w:jc w:val="both"/>
      </w:pPr>
      <w:r>
        <w:rPr>
          <w:rFonts w:ascii="Barlow Semi Condensed" w:cs="Barlow Semi Condensed" w:eastAsia="Barlow Semi Condensed" w:hAnsi="Barlow Semi Condensed"/>
          <w:sz w:val="24"/>
          <w:szCs w:val="24"/>
        </w:rPr>
        <w:t xml:space="preserve">La ricostruzione contestuale va offerta e immediatamente qualificata. L'accusa verteva verosimilmente sulla licenza Aermacchi MB-326 e sulle relative forniture, e in particolare — secondo quanto la quindicesima ricognizione ha accertato per altra via — su una fornitura di velivoli alla South African Air Force nel gennaio 1980, denunciata dall'operaio Elio Pagani.</w:t>
      </w:r>
    </w:p>
    <w:p>
      <w:pPr>
        <w:spacing w:after="120" w:line="276"/>
        <w:jc w:val="both"/>
      </w:pPr>
      <w:r>
        <w:rPr>
          <w:rFonts w:ascii="Barlow Semi Condensed" w:cs="Barlow Semi Condensed" w:eastAsia="Barlow Semi Condensed" w:hAnsi="Barlow Semi Condensed"/>
          <w:sz w:val="24"/>
          <w:szCs w:val="24"/>
        </w:rPr>
        <w:t xml:space="preserve">Ma questa è ricostruzione contestuale e non lettura del documento, e la distinzione va mantenuta con rigore: si sa che cosa l'Italia negò, non che cosa le fu contestato.</w:t>
      </w:r>
    </w:p>
    <w:p>
      <w:pPr>
        <w:spacing w:after="120" w:line="276"/>
        <w:jc w:val="both"/>
      </w:pPr>
      <w:r>
        <w:rPr>
          <w:rFonts w:ascii="Barlow Semi Condensed" w:cs="Barlow Semi Condensed" w:eastAsia="Barlow Semi Condensed" w:hAnsi="Barlow Semi Condensed"/>
          <w:sz w:val="24"/>
          <w:szCs w:val="24"/>
        </w:rPr>
        <w:t xml:space="preserve">La sede.\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L'archivio degli atti del Comitato istituito dalla risoluzione quattrocentoventuno e la collezione dei verbali della serie S/AC.20/SR presso la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Dag Hammarskjöld Library.</w:t>
      </w:r>
    </w:p>
    <w:p>
      <w:pPr>
        <w:spacing w:after="120" w:line="276"/>
        <w:jc w:val="both"/>
      </w:pPr>
      <w:r>
        <w:rPr>
          <w:rFonts w:ascii="Barlow Semi Condensed" w:cs="Barlow Semi Condensed" w:eastAsia="Barlow Semi Condensed" w:hAnsi="Barlow Semi Condensed"/>
          <w:sz w:val="24"/>
          <w:szCs w:val="24"/>
        </w:rPr>
        <w:t xml:space="preserve">La condizione di chiusura.\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Accesso ai documenti a distribuzione ristretta.</w:t>
      </w:r>
    </w:p>
    <w:p>
      <w:pPr>
        <w:spacing w:after="120" w:line="276"/>
        <w:jc w:val="both"/>
      </w:pPr>
      <w:r>
        <w:rPr>
          <w:rFonts w:ascii="Barlow Semi Condensed" w:cs="Barlow Semi Condensed" w:eastAsia="Barlow Semi Condensed" w:hAnsi="Barlow Semi Condensed"/>
          <w:sz w:val="24"/>
          <w:szCs w:val="24"/>
        </w:rPr>
        <w:t xml:space="preserve">Ne discende una asimmetria che vale la pena enunciare, perché è la stessa che il corpus ha già incontrato altrove.</w:t>
      </w:r>
    </w:p>
    <w:p>
      <w:pPr>
        <w:spacing w:after="120" w:line="276"/>
        <w:jc w:val="both"/>
      </w:pPr>
      <w:r>
        <w:rPr>
          <w:rFonts w:ascii="Barlow Semi Condensed" w:cs="Barlow Semi Condensed" w:eastAsia="Barlow Semi Condensed" w:hAnsi="Barlow Semi Condensed"/>
          <w:sz w:val="24"/>
          <w:szCs w:val="24"/>
        </w:rPr>
        <w:t xml:space="preserve">Della vicenda del 1980 conosciamo la difesa e ignoriamo l'accusa.</w:t>
      </w:r>
    </w:p>
    <w:p>
      <w:pPr>
        <w:spacing w:after="120" w:line="276"/>
        <w:jc w:val="both"/>
      </w:pPr>
      <w:r>
        <w:rPr>
          <w:rFonts w:ascii="Barlow Semi Condensed" w:cs="Barlow Semi Condensed" w:eastAsia="Barlow Semi Condensed" w:hAnsi="Barlow Semi Condensed"/>
          <w:sz w:val="24"/>
          <w:szCs w:val="24"/>
        </w:rPr>
        <w:t xml:space="preserve">È l'inverso della situazione ordinaria negli archivi di Stato, dove sopravvivono gli atti d'accusa e si perdono le repliche. Qui il documento italiano è catalogato e pubblico; il documento che lo provocò è chiuso.</w:t>
      </w:r>
    </w:p>
    <w:p>
      <w:pPr>
        <w:pStyle w:val="Heading2"/>
        <w:spacing w:after="100" w:before="200"/>
      </w:pPr>
      <w:r>
        <w:rPr>
          <w:rFonts w:ascii="Barlow Semi Condensed" w:cs="Barlow Semi Condensed" w:eastAsia="Barlow Semi Condensed" w:hAnsi="Barlow Semi Condensed"/>
          <w:sz w:val="24"/>
          <w:szCs w:val="24"/>
        </w:rPr>
        <w:t xml:space="preserve">Capitolo sesto — I voti sulla Namibia: il dato primario</w:t>
      </w:r>
    </w:p>
    <w:p>
      <w:pPr>
        <w:spacing w:after="120" w:line="276"/>
        <w:jc w:val="both"/>
      </w:pPr>
      <w:r>
        <w:rPr>
          <w:rFonts w:ascii="Barlow Semi Condensed" w:cs="Barlow Semi Condensed" w:eastAsia="Barlow Semi Condensed" w:hAnsi="Barlow Semi Condensed"/>
          <w:sz w:val="24"/>
          <w:szCs w:val="24"/>
        </w:rPr>
        <w:t xml:space="preserve">Il capitolo espone la seconda voce della tavola, che è stata eseguita con pieno successo.</w:t>
      </w:r>
    </w:p>
    <w:p>
      <w:pPr>
        <w:spacing w:after="120" w:line="276"/>
        <w:jc w:val="both"/>
      </w:pPr>
      <w:r>
        <w:rPr>
          <w:rFonts w:ascii="Barlow Semi Condensed" w:cs="Barlow Semi Condensed" w:eastAsia="Barlow Semi Condensed" w:hAnsi="Barlow Semi Condensed"/>
          <w:sz w:val="24"/>
          <w:szCs w:val="24"/>
        </w:rPr>
        <w:t xml:space="preserve">Il voto centrale, e va esposto per primo perché è il più carico politicamente. La risoluzione trentuno barra centoquarantasei del 20 dicembre 1976, sulla situazione in Namibia risultante dall'occupazione illegale del Territorio da parte del Sudafrica, adottata nella centocinquesima seduta plenaria con centosette favorevoli, sei contrari e dodici astenuti, riconosceva la SWAPO come unico e autentico rappresentante del popolo namibiano.</w:t>
      </w:r>
    </w:p>
    <w:p>
      <w:pPr>
        <w:spacing w:after="120" w:line="276"/>
        <w:jc w:val="both"/>
      </w:pPr>
      <w:r>
        <w:rPr>
          <w:rFonts w:ascii="Barlow Semi Condensed" w:cs="Barlow Semi Condensed" w:eastAsia="Barlow Semi Condensed" w:hAnsi="Barlow Semi Condensed"/>
          <w:sz w:val="24"/>
          <w:szCs w:val="24"/>
        </w:rPr>
        <w:t xml:space="preserve">L'Italia si ASTENNE.\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marca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 ITALY\</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è leggibile direttamente nel record di voto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seicentoquarantanovemilasettecentosessantadue.</w:t>
      </w:r>
    </w:p>
    <w:p>
      <w:pPr>
        <w:spacing w:after="120" w:line="276"/>
        <w:jc w:val="both"/>
      </w:pPr>
      <w:r>
        <w:rPr>
          <w:rFonts w:ascii="Barlow Semi Condensed" w:cs="Barlow Semi Condensed" w:eastAsia="Barlow Semi Condensed" w:hAnsi="Barlow Semi Condensed"/>
          <w:sz w:val="24"/>
          <w:szCs w:val="24"/>
        </w:rPr>
        <w:t xml:space="preserve">E votarono CONTRO Belgio, Francia, Germania Federale, Lussemburgo, Regno Unito e Stati Uniti, con le marche verificate nel medesimo record.</w:t>
      </w:r>
    </w:p>
    <w:p>
      <w:pPr>
        <w:spacing w:after="120" w:line="276"/>
        <w:jc w:val="both"/>
      </w:pPr>
      <w:r>
        <w:rPr>
          <w:rFonts w:ascii="Barlow Semi Condensed" w:cs="Barlow Semi Condensed" w:eastAsia="Barlow Semi Condensed" w:hAnsi="Barlow Semi Condensed"/>
          <w:sz w:val="24"/>
          <w:szCs w:val="24"/>
        </w:rPr>
        <w:t xml:space="preserve">Gli altri voti della medesima tornata namibiana, e sono tre.</w:t>
      </w:r>
    </w:p>
    <w:p>
      <w:pPr>
        <w:spacing w:after="120" w:line="276"/>
        <w:jc w:val="both"/>
      </w:pPr>
      <w:r>
        <w:rPr>
          <w:rFonts w:ascii="Barlow Semi Condensed" w:cs="Barlow Semi Condensed" w:eastAsia="Barlow Semi Condensed" w:hAnsi="Barlow Semi Condensed"/>
          <w:sz w:val="24"/>
          <w:szCs w:val="24"/>
        </w:rPr>
        <w:t xml:space="preserve">Risoluzione trentuno barra centoquarantotto\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centodiciotto favorevoli, nessun contrario, sette astenuti: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l'Italia votò A FAVORE, la Germania Federale si astenne.</w:t>
      </w:r>
    </w:p>
    <w:p>
      <w:pPr>
        <w:spacing w:after="120" w:line="276"/>
        <w:jc w:val="both"/>
      </w:pPr>
      <w:r>
        <w:rPr>
          <w:rFonts w:ascii="Barlow Semi Condensed" w:cs="Barlow Semi Condensed" w:eastAsia="Barlow Semi Condensed" w:hAnsi="Barlow Semi Condensed"/>
          <w:sz w:val="24"/>
          <w:szCs w:val="24"/>
        </w:rPr>
        <w:t xml:space="preserve">Risoluzione trentuno barra centoquarantanove\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centoventi favorevoli, nessun contrario, sette astenuti: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l'Italia A FAVORE, la Germania Federale astenuta.</w:t>
      </w:r>
    </w:p>
    <w:p>
      <w:pPr>
        <w:spacing w:after="120" w:line="276"/>
        <w:jc w:val="both"/>
      </w:pPr>
      <w:r>
        <w:rPr>
          <w:rFonts w:ascii="Barlow Semi Condensed" w:cs="Barlow Semi Condensed" w:eastAsia="Barlow Semi Condensed" w:hAnsi="Barlow Semi Condensed"/>
          <w:sz w:val="24"/>
          <w:szCs w:val="24"/>
        </w:rPr>
        <w:t xml:space="preserve">Risoluzione trentadue barra nove G del 4 novembre 1977, sull'intensificazione dell'azione delle Nazioni Unite a sostegno della Namibia, centotrenta favorevoli, nessun contrario, undici astenuti: l'Italia A FAVORE, la Germania Federale astenuta.</w:t>
      </w:r>
    </w:p>
    <w:p>
      <w:pPr>
        <w:spacing w:after="120" w:line="276"/>
        <w:jc w:val="both"/>
      </w:pPr>
      <w:r>
        <w:rPr>
          <w:rFonts w:ascii="Barlow Semi Condensed" w:cs="Barlow Semi Condensed" w:eastAsia="Barlow Semi Condensed" w:hAnsi="Barlow Semi Condensed"/>
          <w:sz w:val="24"/>
          <w:szCs w:val="24"/>
        </w:rPr>
        <w:t xml:space="preserve">La fase successiva, e il quadro muta. Sulle risoluzioni trentanove barra cinquanta D del 12 dicembre 1984 — centotrenta favorevoli, nessun contrario, ventiquattro astenuti — quarantuno barra trentanove B del 20 novembre 1986 — centotrentatré, nessuno, venticinque — e quarantadue barra quattordici B del 6 novembre 1987 — centotrenta, nessuno, ventiquattro — l'Italia si ASTENNE ogni volta, collocandosi nel medesimo blocco di Australia, Austria, Belgio, Canada, Danimarca, Finlandia, Francia, Islanda, Irlanda, Giappone, Lussemburgo, Paesi Bassi, Nuova Zelanda e Norvegia.</w:t>
      </w:r>
    </w:p>
    <w:p>
      <w:pPr>
        <w:spacing w:after="120" w:line="276"/>
        <w:jc w:val="both"/>
      </w:pPr>
      <w:r>
        <w:rPr>
          <w:rFonts w:ascii="Barlow Semi Condensed" w:cs="Barlow Semi Condensed" w:eastAsia="Barlow Semi Condensed" w:hAnsi="Barlow Semi Condensed"/>
          <w:sz w:val="24"/>
          <w:szCs w:val="24"/>
        </w:rPr>
        <w:t xml:space="preserve">Un dato anteriore, per contesto. Sulla risoluzione trentuno barra undici della ventottesima sessione, del 12 dicembre 1973, sulla Namibia, centosette favorevoli, diciassette contrari, due astenuti, l'Italia si astenne insieme ad Austria, Belgio, Canada, Francia, Germania Federale, Irlanda, Israele, Lussemburgo, Paesi Bassi, Regno Unito e Stati Uniti: indice della compattezza del blocco occidentale già nel 1973.</w:t>
      </w:r>
    </w:p>
    <w:p>
      <w:pPr>
        <w:spacing w:after="120" w:line="276"/>
        <w:jc w:val="both"/>
      </w:pPr>
      <w:r>
        <w:rPr>
          <w:rFonts w:ascii="Barlow Semi Condensed" w:cs="Barlow Semi Condensed" w:eastAsia="Barlow Semi Condensed" w:hAnsi="Barlow Semi Condensed"/>
          <w:sz w:val="24"/>
          <w:szCs w:val="24"/>
        </w:rPr>
        <w:t xml:space="preserve">Un esito negativo va dichiarato. Per numerose risoluzioni namibiane intermedie — trentatré barra centoottantadue, trentaquattro barra novantadue, trentacinque barra duecentoventisette, trentasei barra centoventuno, trentasette barra duecentotrentatré, quaranta barra novantasette, quarantatré barra ventisei — i risultati numerici sono in parte noti ma i voti individuali di Italia e Germania Federale non sono stati confermati al livello di paese.</w:t>
      </w:r>
    </w:p>
    <w:p>
      <w:pPr>
        <w:pStyle w:val="Heading2"/>
        <w:spacing w:after="100" w:before="200"/>
      </w:pPr>
      <w:r>
        <w:rPr>
          <w:rFonts w:ascii="Barlow Semi Condensed" w:cs="Barlow Semi Condensed" w:eastAsia="Barlow Semi Condensed" w:hAnsi="Barlow Semi Condensed"/>
          <w:sz w:val="24"/>
          <w:szCs w:val="24"/>
        </w:rPr>
        <w:t xml:space="preserve">Capitolo settimo — L'inversione del 1976-1977, e la correzione alla sedicesima</w:t>
      </w:r>
    </w:p>
    <w:p>
      <w:pPr>
        <w:spacing w:after="120" w:line="276"/>
        <w:jc w:val="both"/>
      </w:pPr>
      <w:r>
        <w:rPr>
          <w:rFonts w:ascii="Barlow Semi Condensed" w:cs="Barlow Semi Condensed" w:eastAsia="Barlow Semi Condensed" w:hAnsi="Barlow Semi Condensed"/>
          <w:sz w:val="24"/>
          <w:szCs w:val="24"/>
        </w:rPr>
        <w:t xml:space="preserve">Il capitolo espone il risultato analitico maggiore di questa ricognizione, che modifica una lettura consolidata.</w:t>
      </w:r>
    </w:p>
    <w:p>
      <w:pPr>
        <w:spacing w:after="120" w:line="276"/>
        <w:jc w:val="both"/>
      </w:pPr>
      <w:r>
        <w:rPr>
          <w:rFonts w:ascii="Barlow Semi Condensed" w:cs="Barlow Semi Condensed" w:eastAsia="Barlow Semi Condensed" w:hAnsi="Barlow Semi Condensed"/>
          <w:sz w:val="24"/>
          <w:szCs w:val="24"/>
        </w:rPr>
        <w:t xml:space="preserve">Che cosa la sedicesima ricognizione aveva stabilito. Che la Repubblica Federale sedeva nel Gruppo di contatto occidentale sulla Namibia per ragione di seggio, e che l'Italia ne era esclusa per la medesima ragione, essendo il suo mandato scaduto il 31 dicembre 1976. E che la differenza fra le due potenze era di collocazione istituzionale.</w:t>
      </w:r>
    </w:p>
    <w:p>
      <w:pPr>
        <w:spacing w:after="120" w:line="276"/>
        <w:jc w:val="both"/>
      </w:pPr>
      <w:r>
        <w:rPr>
          <w:rFonts w:ascii="Barlow Semi Condensed" w:cs="Barlow Semi Condensed" w:eastAsia="Barlow Semi Condensed" w:hAnsi="Barlow Semi Condensed"/>
          <w:sz w:val="24"/>
          <w:szCs w:val="24"/>
        </w:rPr>
        <w:t xml:space="preserve">Che cosa i voti aggiungono, e va enunciato con precisione perché rovescia l'attesa.</w:t>
      </w:r>
    </w:p>
    <w:p>
      <w:pPr>
        <w:spacing w:after="120" w:line="276"/>
        <w:jc w:val="both"/>
      </w:pPr>
      <w:r>
        <w:rPr>
          <w:rFonts w:ascii="Barlow Semi Condensed" w:cs="Barlow Semi Condensed" w:eastAsia="Barlow Semi Condensed" w:hAnsi="Barlow Semi Condensed"/>
          <w:sz w:val="24"/>
          <w:szCs w:val="24"/>
        </w:rPr>
        <w:t xml:space="preserve">Nella fase 1976-1977, sui voti namibiani, l'Italia esclusa dal consesso negoziale fu più avanzata della Germania che vi sedeva.</w:t>
      </w:r>
    </w:p>
    <w:p>
      <w:pPr>
        <w:spacing w:after="120" w:line="276"/>
        <w:jc w:val="both"/>
      </w:pPr>
      <w:r>
        <w:rPr>
          <w:rFonts w:ascii="Barlow Semi Condensed" w:cs="Barlow Semi Condensed" w:eastAsia="Barlow Semi Condensed" w:hAnsi="Barlow Semi Condensed"/>
          <w:sz w:val="24"/>
          <w:szCs w:val="24"/>
        </w:rPr>
        <w:t xml:space="preserve">Sul testo politicamente più carico — il riconoscimento della SWAPO come unico rappresentante — la Germania votò CONTRO e l'Italia si limitò all'ASTENSIONE.</w:t>
      </w:r>
    </w:p>
    <w:p>
      <w:pPr>
        <w:spacing w:after="120" w:line="276"/>
        <w:jc w:val="both"/>
      </w:pPr>
      <w:r>
        <w:rPr>
          <w:rFonts w:ascii="Barlow Semi Condensed" w:cs="Barlow Semi Condensed" w:eastAsia="Barlow Semi Condensed" w:hAnsi="Barlow Semi Condensed"/>
          <w:sz w:val="24"/>
          <w:szCs w:val="24"/>
        </w:rPr>
        <w:t xml:space="preserve">Su tre testi successivi l'Italia votò A FAVORE mentre la Germania si asteneva.</w:t>
      </w:r>
    </w:p>
    <w:p>
      <w:pPr>
        <w:spacing w:after="120" w:line="276"/>
        <w:jc w:val="both"/>
      </w:pPr>
      <w:r>
        <w:rPr>
          <w:rFonts w:ascii="Barlow Semi Condensed" w:cs="Barlow Semi Condensed" w:eastAsia="Barlow Semi Condensed" w:hAnsi="Barlow Semi Condensed"/>
          <w:sz w:val="24"/>
          <w:szCs w:val="24"/>
        </w:rPr>
        <w:t xml:space="preserve">Quattro voti, quattro volte l'Italia più avanti.</w:t>
      </w:r>
    </w:p>
    <w:p>
      <w:pPr>
        <w:spacing w:after="120" w:line="276"/>
        <w:jc w:val="both"/>
      </w:pPr>
      <w:r>
        <w:rPr>
          <w:rFonts w:ascii="Barlow Semi Condensed" w:cs="Barlow Semi Condensed" w:eastAsia="Barlow Semi Condensed" w:hAnsi="Barlow Semi Condensed"/>
          <w:sz w:val="24"/>
          <w:szCs w:val="24"/>
        </w:rPr>
        <w:t xml:space="preserve">La spiegazione plausibile va offerta e qualificata come tale. La Germania, membro del Gruppo di contatto, era negoziatrice con Pretoria e aveva perciò interesse a non pregiudicare il negoziato con voti che il Sudafrica avrebbe letto come ostili. L'Italia, priva di responsabilità negoziali, poteva votare secondo la propria posizione senza costo diplomatico.</w:t>
      </w:r>
    </w:p>
    <w:p>
      <w:pPr>
        <w:spacing w:after="120" w:line="276"/>
        <w:jc w:val="both"/>
      </w:pPr>
      <w:r>
        <w:rPr>
          <w:rFonts w:ascii="Barlow Semi Condensed" w:cs="Barlow Semi Condensed" w:eastAsia="Barlow Semi Condensed" w:hAnsi="Barlow Semi Condensed"/>
          <w:sz w:val="24"/>
          <w:szCs w:val="24"/>
        </w:rPr>
        <w:t xml:space="preserve">Ne discende un rilievo generale: la partecipazione a un consesso negoziale vincola il voto, e l'esclusione lo libera.</w:t>
      </w:r>
    </w:p>
    <w:p>
      <w:pPr>
        <w:spacing w:after="120" w:line="276"/>
        <w:jc w:val="both"/>
      </w:pPr>
      <w:r>
        <w:rPr>
          <w:rFonts w:ascii="Barlow Semi Condensed" w:cs="Barlow Semi Condensed" w:eastAsia="Barlow Semi Condensed" w:hAnsi="Barlow Semi Condensed"/>
          <w:sz w:val="24"/>
          <w:szCs w:val="24"/>
        </w:rPr>
        <w:t xml:space="preserve">Chi sta al tavolo paga in libertà di voto ciò che guadagna in influenza. Chi ne è fuori vota più liberamente perché il suo voto pesa meno.</w:t>
      </w:r>
    </w:p>
    <w:p>
      <w:pPr>
        <w:spacing w:after="120" w:line="276"/>
        <w:jc w:val="both"/>
      </w:pPr>
      <w:r>
        <w:rPr>
          <w:rFonts w:ascii="Barlow Semi Condensed" w:cs="Barlow Semi Condensed" w:eastAsia="Barlow Semi Condensed" w:hAnsi="Barlow Semi Condensed"/>
          <w:sz w:val="24"/>
          <w:szCs w:val="24"/>
        </w:rPr>
        <w:t xml:space="preserve">La correzione alla sedicesima ricognizione va formulata così.\</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Essa aveva concluso che la differenza fra Italia e Germania sulla Namibia era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di collocazione istituzionale e non di condotta.</w:t>
      </w:r>
    </w:p>
    <w:p>
      <w:pPr>
        <w:spacing w:after="120" w:line="276"/>
        <w:jc w:val="both"/>
      </w:pPr>
      <w:r>
        <w:rPr>
          <w:rFonts w:ascii="Barlow Semi Condensed" w:cs="Barlow Semi Condensed" w:eastAsia="Barlow Semi Condensed" w:hAnsi="Barlow Semi Condensed"/>
          <w:sz w:val="24"/>
          <w:szCs w:val="24"/>
        </w:rPr>
        <w:t xml:space="preserve">Va emendata: la differenza di collocazione produsse una differenza di condotta, e in direzione opposta a quella che l'intuizione suggerirebbe. La potenza esclusa risulta, sul registro dei voti, la più avanzata delle due.</w:t>
      </w:r>
    </w:p>
    <w:p>
      <w:pPr>
        <w:spacing w:after="120" w:line="276"/>
        <w:jc w:val="both"/>
      </w:pPr>
      <w:r>
        <w:rPr>
          <w:rFonts w:ascii="Barlow Semi Condensed" w:cs="Barlow Semi Condensed" w:eastAsia="Barlow Semi Condensed" w:hAnsi="Barlow Semi Condensed"/>
          <w:sz w:val="24"/>
          <w:szCs w:val="24"/>
        </w:rPr>
        <w:t xml:space="preserve">Ma l'emendazione va contenuta entro i propri limiti, e tre avvertenze la circoscrivono.</w:t>
      </w:r>
    </w:p>
    <w:p>
      <w:pPr>
        <w:spacing w:after="120" w:line="276"/>
        <w:jc w:val="both"/>
      </w:pPr>
      <w:r>
        <w:rPr>
          <w:rFonts w:ascii="Barlow Semi Condensed" w:cs="Barlow Semi Condensed" w:eastAsia="Barlow Semi Condensed" w:hAnsi="Barlow Semi Condensed"/>
          <w:sz w:val="24"/>
          <w:szCs w:val="24"/>
        </w:rPr>
        <w:t xml:space="preserve">Prima: un voto non è una condotta complessiva. L'Italia che votava a favore delle risoluzioni namibiane era la medesima che manteneva ambasciata a Pretoria e la licenza Aermacchi.</w:t>
      </w:r>
    </w:p>
    <w:p>
      <w:pPr>
        <w:spacing w:after="120" w:line="276"/>
        <w:jc w:val="both"/>
      </w:pPr>
      <w:r>
        <w:rPr>
          <w:rFonts w:ascii="Barlow Semi Condensed" w:cs="Barlow Semi Condensed" w:eastAsia="Barlow Semi Condensed" w:hAnsi="Barlow Semi Condensed"/>
          <w:sz w:val="24"/>
          <w:szCs w:val="24"/>
        </w:rPr>
        <w:t xml:space="preserve">Seconda: la differenza dura poco. Dal 1984 le due potenze convergono su un'astensione identica, e vi restano.</w:t>
      </w:r>
    </w:p>
    <w:p>
      <w:pPr>
        <w:spacing w:after="120" w:line="276"/>
        <w:jc w:val="both"/>
      </w:pPr>
      <w:r>
        <w:rPr>
          <w:rFonts w:ascii="Barlow Semi Condensed" w:cs="Barlow Semi Condensed" w:eastAsia="Barlow Semi Condensed" w:hAnsi="Barlow Semi Condensed"/>
          <w:sz w:val="24"/>
          <w:szCs w:val="24"/>
        </w:rPr>
        <w:t xml:space="preserve">Terza: un voto è un voto, e non se ne inferiscono le intenzioni, che andrebbero cercate nelle dichiarazioni esplicative — non reperite, come il Capitolo nono dichiara.</w:t>
      </w:r>
    </w:p>
    <w:p>
      <w:pPr>
        <w:pStyle w:val="Heading2"/>
        <w:spacing w:after="100" w:before="200"/>
      </w:pPr>
      <w:r>
        <w:rPr>
          <w:rFonts w:ascii="Barlow Semi Condensed" w:cs="Barlow Semi Condensed" w:eastAsia="Barlow Semi Condensed" w:hAnsi="Barlow Semi Condensed"/>
          <w:sz w:val="24"/>
          <w:szCs w:val="24"/>
        </w:rPr>
        <w:t xml:space="preserve">Capitolo ottavo — Lo schema del 30 settembre 1974, verificato</w:t>
      </w:r>
    </w:p>
    <w:p>
      <w:pPr>
        <w:spacing w:after="120" w:line="276"/>
        <w:jc w:val="both"/>
      </w:pPr>
      <w:r>
        <w:rPr>
          <w:rFonts w:ascii="Barlow Semi Condensed" w:cs="Barlow Semi Condensed" w:eastAsia="Barlow Semi Condensed" w:hAnsi="Barlow Semi Condensed"/>
          <w:sz w:val="24"/>
          <w:szCs w:val="24"/>
        </w:rPr>
        <w:t xml:space="preserve">Il capitolo risponde alla domanda analitica che la ricerca aveva posto.</w:t>
      </w:r>
    </w:p>
    <w:p>
      <w:pPr>
        <w:spacing w:after="120" w:line="276"/>
        <w:jc w:val="both"/>
      </w:pPr>
      <w:r>
        <w:rPr>
          <w:rFonts w:ascii="Barlow Semi Condensed" w:cs="Barlow Semi Condensed" w:eastAsia="Barlow Semi Condensed" w:hAnsi="Barlow Semi Condensed"/>
          <w:sz w:val="24"/>
          <w:szCs w:val="24"/>
        </w:rPr>
        <w:t xml:space="preserve">La domanda era questa. Il doppio comportamento del 30 settembre 1974 — contrario sulla risoluzione tremiladuecentosei relativa al rifiuto delle credenziali sudafricane, favorevole sulla tremiladuecentosette relativa alla condanna sostanziale — era caso isolato o regolarità?</w:t>
      </w:r>
    </w:p>
    <w:p>
      <w:pPr>
        <w:spacing w:after="120" w:line="276"/>
        <w:jc w:val="both"/>
      </w:pPr>
      <w:r>
        <w:rPr>
          <w:rFonts w:ascii="Barlow Semi Condensed" w:cs="Barlow Semi Condensed" w:eastAsia="Barlow Semi Condensed" w:hAnsi="Barlow Semi Condensed"/>
          <w:sz w:val="24"/>
          <w:szCs w:val="24"/>
        </w:rPr>
        <w:t xml:space="preserve">La risposta è: regolarità, con evoluzione.</w:t>
      </w:r>
    </w:p>
    <w:p>
      <w:pPr>
        <w:spacing w:after="120" w:line="276"/>
        <w:jc w:val="both"/>
      </w:pPr>
      <w:r>
        <w:rPr>
          <w:rFonts w:ascii="Barlow Semi Condensed" w:cs="Barlow Semi Condensed" w:eastAsia="Barlow Semi Condensed" w:hAnsi="Barlow Semi Condensed"/>
          <w:sz w:val="24"/>
          <w:szCs w:val="24"/>
        </w:rPr>
        <w:t xml:space="preserve">Lo schema.\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L'Italia distingue sistematicamente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piano procedurale e di esclusione, dove resiste, da quello della condanna sostanziale, dove aderisce.</w:t>
      </w:r>
    </w:p>
    <w:p>
      <w:pPr>
        <w:spacing w:after="120" w:line="276"/>
        <w:jc w:val="both"/>
      </w:pPr>
      <w:r>
        <w:rPr>
          <w:rFonts w:ascii="Barlow Semi Condensed" w:cs="Barlow Semi Condensed" w:eastAsia="Barlow Semi Condensed" w:hAnsi="Barlow Semi Condensed"/>
          <w:sz w:val="24"/>
          <w:szCs w:val="24"/>
        </w:rPr>
        <w:t xml:space="preserve">Le verifiche. Nel 1973 si astiene sulla risoluzione namibiana con l'intero blocco occidentale. Nel 1976 si astiene sul riconoscimento della SWAPO — atto che ha natura di attribuzione di rappresentanza esclusiva, dunque procedurale nel senso ampio — ma vota a favore dei tre testi successivi di sostegno alla Namibia.</w:t>
      </w:r>
    </w:p>
    <w:p>
      <w:pPr>
        <w:spacing w:after="120" w:line="276"/>
        <w:jc w:val="both"/>
      </w:pPr>
      <w:r>
        <w:rPr>
          <w:rFonts w:ascii="Barlow Semi Condensed" w:cs="Barlow Semi Condensed" w:eastAsia="Barlow Semi Condensed" w:hAnsi="Barlow Semi Condensed"/>
          <w:sz w:val="24"/>
          <w:szCs w:val="24"/>
        </w:rPr>
        <w:t xml:space="preserve">Nel 1977 vota a favore dell'intensificazione dell'azione delle Nazioni Unite.</w:t>
      </w:r>
    </w:p>
    <w:p>
      <w:pPr>
        <w:spacing w:after="120" w:line="276"/>
        <w:jc w:val="both"/>
      </w:pPr>
      <w:r>
        <w:rPr>
          <w:rFonts w:ascii="Barlow Semi Condensed" w:cs="Barlow Semi Condensed" w:eastAsia="Barlow Semi Condensed" w:hAnsi="Barlow Semi Condensed"/>
          <w:sz w:val="24"/>
          <w:szCs w:val="24"/>
        </w:rPr>
        <w:t xml:space="preserve">Ne discende che lo schema del 1974 non è un episodio ma una grammatica: l'Italia sostiene le condanne e i sostegni, e si sottrae agli atti che escludono o che attribuiscono rappresentanze esclusive.</w:t>
      </w:r>
    </w:p>
    <w:p>
      <w:pPr>
        <w:spacing w:after="120" w:line="276"/>
        <w:jc w:val="both"/>
      </w:pPr>
      <w:r>
        <w:rPr>
          <w:rFonts w:ascii="Barlow Semi Condensed" w:cs="Barlow Semi Condensed" w:eastAsia="Barlow Semi Condensed" w:hAnsi="Barlow Semi Condensed"/>
          <w:sz w:val="24"/>
          <w:szCs w:val="24"/>
        </w:rPr>
        <w:t xml:space="preserve">L'evoluzione, e va registrata perché non è un miglioramento. Dal 1984 la posizione si assesta sull'astensione anche sui testi di sostegno, e l'Italia entra stabilmente nel blocco astensionista dell'Europa occidentale allargato a Giappone, Canada, Australia e Nuova Zelanda.</w:t>
      </w:r>
    </w:p>
    <w:p>
      <w:pPr>
        <w:spacing w:after="120" w:line="276"/>
        <w:jc w:val="both"/>
      </w:pPr>
      <w:r>
        <w:rPr>
          <w:rFonts w:ascii="Barlow Semi Condensed" w:cs="Barlow Semi Condensed" w:eastAsia="Barlow Semi Condensed" w:hAnsi="Barlow Semi Condensed"/>
          <w:sz w:val="24"/>
          <w:szCs w:val="24"/>
        </w:rPr>
        <w:t xml:space="preserve">La grammatica del 1974 si semplifica in una posizione unica, e la posizione unica è più arretrata delle due che l'avevano preceduta.</w:t>
      </w:r>
    </w:p>
    <w:p>
      <w:pPr>
        <w:spacing w:after="120" w:line="276"/>
        <w:jc w:val="both"/>
      </w:pPr>
      <w:r>
        <w:rPr>
          <w:rFonts w:ascii="Barlow Semi Condensed" w:cs="Barlow Semi Condensed" w:eastAsia="Barlow Semi Condensed" w:hAnsi="Barlow Semi Condensed"/>
          <w:sz w:val="24"/>
          <w:szCs w:val="24"/>
        </w:rPr>
        <w:t xml:space="preserve">Un esito negativo circoscrive l'accertamento.\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 il periodo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1969-1973\</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 voti individuali italiani sulle risoluzioni relative all'apartheid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restano in ampia parte non verificati al livello di paese.</w:t>
      </w:r>
    </w:p>
    <w:p>
      <w:pPr>
        <w:spacing w:after="120" w:line="276"/>
        <w:jc w:val="both"/>
      </w:pPr>
      <w:r>
        <w:rPr>
          <w:rFonts w:ascii="Barlow Semi Condensed" w:cs="Barlow Semi Condensed" w:eastAsia="Barlow Semi Condensed" w:hAnsi="Barlow Semi Condensed"/>
          <w:sz w:val="24"/>
          <w:szCs w:val="24"/>
        </w:rPr>
        <w:t xml:space="preserve">In particolare, la risoluzione duemilasettecentosettantacinque della ventiseiesima sessione, del 29 novembre 1971, intitolata proprio Arms embargo e adottata con centosette favorevoli, due contrari e cinque astenuti nella millenovecentonovantasettesima seduta plenaria, ha lista per paese troncata nelle risorse accessibili.</w:t>
      </w:r>
    </w:p>
    <w:p>
      <w:pPr>
        <w:spacing w:after="120" w:line="276"/>
        <w:jc w:val="both"/>
      </w:pPr>
      <w:r>
        <w:rPr>
          <w:rFonts w:ascii="Barlow Semi Condensed" w:cs="Barlow Semi Condensed" w:eastAsia="Barlow Semi Condensed" w:hAnsi="Barlow Semi Condensed"/>
          <w:sz w:val="24"/>
          <w:szCs w:val="24"/>
        </w:rPr>
        <w:t xml:space="preserve">È la risoluzione più direttamente pertinente al perimetro dell'intera serie — l'embargo sulle armi — e il voto italiano su di essa non è stato accertato. Sede: la scheda di voting data del singolo documento.</w:t>
      </w:r>
    </w:p>
    <w:p>
      <w:pPr>
        <w:pStyle w:val="Heading2"/>
        <w:spacing w:after="100" w:before="200"/>
      </w:pPr>
      <w:r>
        <w:rPr>
          <w:rFonts w:ascii="Barlow Semi Condensed" w:cs="Barlow Semi Condensed" w:eastAsia="Barlow Semi Condensed" w:hAnsi="Barlow Semi Condensed"/>
          <w:sz w:val="24"/>
          <w:szCs w:val="24"/>
        </w:rPr>
        <w:t xml:space="preserve">Capitolo nono — Dichiarazioni e sponsorizzazioni: esito parziale</w:t>
      </w:r>
    </w:p>
    <w:p>
      <w:pPr>
        <w:spacing w:after="120" w:line="276"/>
        <w:jc w:val="both"/>
      </w:pPr>
      <w:r>
        <w:rPr>
          <w:rFonts w:ascii="Barlow Semi Condensed" w:cs="Barlow Semi Condensed" w:eastAsia="Barlow Semi Condensed" w:hAnsi="Barlow Semi Condensed"/>
          <w:sz w:val="24"/>
          <w:szCs w:val="24"/>
        </w:rPr>
        <w:t xml:space="preserve">Il capitolo è breve e ne dichiara la ragione.</w:t>
      </w:r>
    </w:p>
    <w:p>
      <w:pPr>
        <w:spacing w:after="120" w:line="276"/>
        <w:jc w:val="both"/>
      </w:pPr>
      <w:r>
        <w:rPr>
          <w:rFonts w:ascii="Barlow Semi Condensed" w:cs="Barlow Semi Condensed" w:eastAsia="Barlow Semi Condensed" w:hAnsi="Barlow Semi Condensed"/>
          <w:sz w:val="24"/>
          <w:szCs w:val="24"/>
        </w:rPr>
        <w:t xml:space="preserve">Che cosa si cercava. Le dichiarazioni esplicative di voto dei delegati italiani sulle risoluzioni namibiane e sull'apartheid, che sono l'unico luogo dove le intenzioni di un voto sono documentate anziché inferite.</w:t>
      </w:r>
    </w:p>
    <w:p>
      <w:pPr>
        <w:spacing w:after="120" w:line="276"/>
        <w:jc w:val="both"/>
      </w:pPr>
      <w:r>
        <w:rPr>
          <w:rFonts w:ascii="Barlow Semi Condensed" w:cs="Barlow Semi Condensed" w:eastAsia="Barlow Semi Condensed" w:hAnsi="Barlow Semi Condensed"/>
          <w:sz w:val="24"/>
          <w:szCs w:val="24"/>
        </w:rPr>
        <w:t xml:space="preserve">Che cosa si è trovato.\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Nulla, nei limiti delle fonti accessibili.</w:t>
      </w:r>
    </w:p>
    <w:p>
      <w:pPr>
        <w:spacing w:after="120" w:line="276"/>
        <w:jc w:val="both"/>
      </w:pPr>
      <w:r>
        <w:rPr>
          <w:rFonts w:ascii="Barlow Semi Condensed" w:cs="Barlow Semi Condensed" w:eastAsia="Barlow Semi Condensed" w:hAnsi="Barlow Semi Condensed"/>
          <w:sz w:val="24"/>
          <w:szCs w:val="24"/>
        </w:rPr>
        <w:t xml:space="preserve">Le sedi. I verbali plenari della serie A/PV — e in particolare A/31/PV.105, seduta in cui fu adottata la risoluzione sul riconoscimento della SWAPO — nonché le serie relative alle sessioni trentanovesima, quarantunesima e quarantaduesima, e i verbali di Comitato.</w:t>
      </w:r>
    </w:p>
    <w:p>
      <w:pPr>
        <w:spacing w:after="120" w:line="276"/>
        <w:jc w:val="both"/>
      </w:pPr>
      <w:r>
        <w:rPr>
          <w:rFonts w:ascii="Barlow Semi Condensed" w:cs="Barlow Semi Condensed" w:eastAsia="Barlow Semi Condensed" w:hAnsi="Barlow Semi Condensed"/>
          <w:sz w:val="24"/>
          <w:szCs w:val="24"/>
        </w:rPr>
        <w:t xml:space="preserve">Ne discende una conseguenza che va enunciata perché limita il Capitolo settimo.</w:t>
      </w:r>
    </w:p>
    <w:p>
      <w:pPr>
        <w:spacing w:after="120" w:line="276"/>
        <w:jc w:val="both"/>
      </w:pPr>
      <w:r>
        <w:rPr>
          <w:rFonts w:ascii="Barlow Semi Condensed" w:cs="Barlow Semi Condensed" w:eastAsia="Barlow Semi Condensed" w:hAnsi="Barlow Semi Condensed"/>
          <w:sz w:val="24"/>
          <w:szCs w:val="24"/>
        </w:rPr>
        <w:t xml:space="preserve">L'inversione del 1976-1977 è accertata quanto al fatto — l'Italia votò più avanti della Germania — e non accertata quanto alla ragione.</w:t>
      </w:r>
    </w:p>
    <w:p>
      <w:pPr>
        <w:spacing w:after="120" w:line="276"/>
        <w:jc w:val="both"/>
      </w:pPr>
      <w:r>
        <w:rPr>
          <w:rFonts w:ascii="Barlow Semi Condensed" w:cs="Barlow Semi Condensed" w:eastAsia="Barlow Semi Condensed" w:hAnsi="Barlow Semi Condensed"/>
          <w:sz w:val="24"/>
          <w:szCs w:val="24"/>
        </w:rPr>
        <w:t xml:space="preserve">La spiegazione offerta al Capitolo settimo, secondo cui la partecipazione al Gruppo di contatto vincolava il voto tedesco, è inferenza plausibile e non lettura di documento.</w:t>
      </w:r>
    </w:p>
    <w:p>
      <w:pPr>
        <w:spacing w:after="120" w:line="276"/>
        <w:jc w:val="both"/>
      </w:pPr>
      <w:r>
        <w:rPr>
          <w:rFonts w:ascii="Barlow Semi Condensed" w:cs="Barlow Semi Condensed" w:eastAsia="Barlow Semi Condensed" w:hAnsi="Barlow Semi Condensed"/>
          <w:sz w:val="24"/>
          <w:szCs w:val="24"/>
        </w:rPr>
        <w:t xml:space="preserve">Chi voglia accertarla deve leggere le dichiarazioni esplicative tedesche del dicembre 1976, che esistono e sono nei verbali.</w:t>
      </w:r>
    </w:p>
    <w:p>
      <w:pPr>
        <w:spacing w:after="120" w:line="276"/>
        <w:jc w:val="both"/>
      </w:pPr>
      <w:r>
        <w:rPr>
          <w:rFonts w:ascii="Barlow Semi Condensed" w:cs="Barlow Semi Condensed" w:eastAsia="Barlow Semi Condensed" w:hAnsi="Barlow Semi Condensed"/>
          <w:sz w:val="24"/>
          <w:szCs w:val="24"/>
        </w:rPr>
        <w:t xml:space="preserve">Il secondo obiettivo del capitolo. Verificare se l'Italia figuri fra i firmatari o promotori delle risoluzioni, o se si sia limitata a votare.</w:t>
      </w:r>
    </w:p>
    <w:p>
      <w:pPr>
        <w:spacing w:after="120" w:line="276"/>
        <w:jc w:val="both"/>
      </w:pPr>
      <w:r>
        <w:rPr>
          <w:rFonts w:ascii="Barlow Semi Condensed" w:cs="Barlow Semi Condensed" w:eastAsia="Barlow Semi Condensed" w:hAnsi="Barlow Semi Condensed"/>
          <w:sz w:val="24"/>
          <w:szCs w:val="24"/>
        </w:rPr>
        <w:t xml:space="preserve">I dati raccolti non la collocano fra i proponenti: la sua fu condotta di voto e non di sponsorizzazione.</w:t>
      </w:r>
    </w:p>
    <w:p>
      <w:pPr>
        <w:spacing w:after="120" w:line="276"/>
        <w:jc w:val="both"/>
      </w:pPr>
      <w:r>
        <w:rPr>
          <w:rFonts w:ascii="Barlow Semi Condensed" w:cs="Barlow Semi Condensed" w:eastAsia="Barlow Semi Condensed" w:hAnsi="Barlow Semi Condensed"/>
          <w:sz w:val="24"/>
          <w:szCs w:val="24"/>
        </w:rPr>
        <w:t xml:space="preserve">Ma l'esito è provvisorio, e la verifica definitiva richiederebbe l'esame dei progetti di risoluzione della serie A con suffisso L, dove figura l'elenco dei co-proponenti.</w:t>
      </w:r>
    </w:p>
    <w:p>
      <w:pPr>
        <w:spacing w:after="120" w:line="276"/>
        <w:jc w:val="both"/>
      </w:pPr>
      <w:r>
        <w:rPr>
          <w:rFonts w:ascii="Barlow Semi Condensed" w:cs="Barlow Semi Condensed" w:eastAsia="Barlow Semi Condensed" w:hAnsi="Barlow Semi Condensed"/>
          <w:sz w:val="24"/>
          <w:szCs w:val="24"/>
        </w:rPr>
        <w:t xml:space="preserve">Ne discende una osservazione che vale per l'intera serie.</w:t>
      </w:r>
    </w:p>
    <w:p>
      <w:pPr>
        <w:spacing w:after="120" w:line="276"/>
        <w:jc w:val="both"/>
      </w:pPr>
      <w:r>
        <w:rPr>
          <w:rFonts w:ascii="Barlow Semi Condensed" w:cs="Barlow Semi Condensed" w:eastAsia="Barlow Semi Condensed" w:hAnsi="Barlow Semi Condensed"/>
          <w:sz w:val="24"/>
          <w:szCs w:val="24"/>
        </w:rPr>
        <w:t xml:space="preserve">Diciotto ricognizioni hanno cercato l'Italia come attore e l'hanno trovata, quando l'hanno trovata, come votante.</w:t>
      </w:r>
    </w:p>
    <w:p>
      <w:pPr>
        <w:spacing w:after="120" w:line="276"/>
        <w:jc w:val="both"/>
      </w:pPr>
      <w:r>
        <w:rPr>
          <w:rFonts w:ascii="Barlow Semi Condensed" w:cs="Barlow Semi Condensed" w:eastAsia="Barlow Semi Condensed" w:hAnsi="Barlow Semi Condensed"/>
          <w:sz w:val="24"/>
          <w:szCs w:val="24"/>
        </w:rPr>
        <w:t xml:space="preserve">Votare è la forma minima della presenza in un consesso multilaterale: è ciò che uno Stato fa quando è presente e non fa altro.</w:t>
      </w:r>
    </w:p>
    <w:p>
      <w:pPr>
        <w:spacing w:after="120" w:line="276"/>
        <w:jc w:val="both"/>
      </w:pPr>
      <w:r>
        <w:rPr>
          <w:rFonts w:ascii="Barlow Semi Condensed" w:cs="Barlow Semi Condensed" w:eastAsia="Barlow Semi Condensed" w:hAnsi="Barlow Semi Condensed"/>
          <w:sz w:val="24"/>
          <w:szCs w:val="24"/>
        </w:rPr>
        <w:t xml:space="preserve">Che in diciotto ricognizioni non sia emersa una sola risoluzione di cui l'Italia fosse proponente sull'Africa australe è, se confermato, un accertamento di rango.</w:t>
      </w:r>
    </w:p>
    <w:p>
      <w:pPr>
        <w:pStyle w:val="Heading2"/>
        <w:spacing w:after="100" w:before="200"/>
      </w:pPr>
      <w:r>
        <w:rPr>
          <w:rFonts w:ascii="Barlow Semi Condensed" w:cs="Barlow Semi Condensed" w:eastAsia="Barlow Semi Condensed" w:hAnsi="Barlow Semi Condensed"/>
          <w:sz w:val="24"/>
          <w:szCs w:val="24"/>
        </w:rPr>
        <w:t xml:space="preserve">Capitolo decimo — Il decimo grado: la barriera macchinica</w:t>
      </w:r>
    </w:p>
    <w:p>
      <w:pPr>
        <w:spacing w:after="120" w:line="276"/>
        <w:jc w:val="both"/>
      </w:pPr>
      <w:r>
        <w:rPr>
          <w:rFonts w:ascii="Barlow Semi Condensed" w:cs="Barlow Semi Condensed" w:eastAsia="Barlow Semi Condensed" w:hAnsi="Barlow Semi Condensed"/>
          <w:sz w:val="24"/>
          <w:szCs w:val="24"/>
        </w:rPr>
        <w:t xml:space="preserve">Il capitolo propone un'aggiunta alla scala degli Stati Zero, e la propone perché il modo in cui questa ricerca è fallita non rientra in alcuno dei nove gradi esistenti.</w:t>
      </w:r>
    </w:p>
    <w:p>
      <w:pPr>
        <w:spacing w:after="120" w:line="276"/>
        <w:jc w:val="both"/>
      </w:pPr>
      <w:r>
        <w:rPr>
          <w:rFonts w:ascii="Barlow Semi Condensed" w:cs="Barlow Semi Condensed" w:eastAsia="Barlow Semi Condensed" w:hAnsi="Barlow Semi Condensed"/>
          <w:sz w:val="24"/>
          <w:szCs w:val="24"/>
        </w:rPr>
        <w:t xml:space="preserve">La scala consolidata nel corpus conta nove gradi. Impossibilità istituzionale; limite di strumento; deposito inesplorato; insieme vuoto verificato; esito negativo presso i beneficiari; assenza coerente con la collocazione; allegazione senza base; falso positivo; atto atipico.</w:t>
      </w:r>
    </w:p>
    <w:p>
      <w:pPr>
        <w:spacing w:after="120" w:line="276"/>
        <w:jc w:val="both"/>
      </w:pPr>
      <w:r>
        <w:rPr>
          <w:rFonts w:ascii="Barlow Semi Condensed" w:cs="Barlow Semi Condensed" w:eastAsia="Barlow Semi Condensed" w:hAnsi="Barlow Semi Condensed"/>
          <w:sz w:val="24"/>
          <w:szCs w:val="24"/>
        </w:rPr>
        <w:t xml:space="preserve">Nessuno descrive ciò che è accaduto ai documenti S/9640 e S/AC.20/27.</w:t>
      </w:r>
    </w:p>
    <w:p>
      <w:pPr>
        <w:spacing w:after="120" w:line="276"/>
        <w:jc w:val="both"/>
      </w:pPr>
      <w:r>
        <w:rPr>
          <w:rFonts w:ascii="Barlow Semi Condensed" w:cs="Barlow Semi Condensed" w:eastAsia="Barlow Semi Condensed" w:hAnsi="Barlow Semi Condensed"/>
          <w:sz w:val="24"/>
          <w:szCs w:val="24"/>
        </w:rPr>
        <w:t xml:space="preserve">La verifica, grado per grado.</w:t>
      </w:r>
    </w:p>
    <w:p>
      <w:pPr>
        <w:spacing w:after="120" w:line="276"/>
        <w:jc w:val="both"/>
      </w:pPr>
      <w:r>
        <w:rPr>
          <w:rFonts w:ascii="Barlow Semi Condensed" w:cs="Barlow Semi Condensed" w:eastAsia="Barlow Semi Condensed" w:hAnsi="Barlow Semi Condensed"/>
          <w:sz w:val="24"/>
          <w:szCs w:val="24"/>
        </w:rPr>
        <w:t xml:space="preserve">Non è impossibilità istituzionale, perché l'archivio è aperto: i documenti sono pubblici, non classificati, non soggetti a termine di consultabilità.</w:t>
      </w:r>
    </w:p>
    <w:p>
      <w:pPr>
        <w:spacing w:after="120" w:line="276"/>
        <w:jc w:val="both"/>
      </w:pPr>
      <w:r>
        <w:rPr>
          <w:rFonts w:ascii="Barlow Semi Condensed" w:cs="Barlow Semi Condensed" w:eastAsia="Barlow Semi Condensed" w:hAnsi="Barlow Semi Condensed"/>
          <w:sz w:val="24"/>
          <w:szCs w:val="24"/>
        </w:rPr>
        <w:t xml:space="preserve">Non è limite di strumento\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nel senso già codificato — la banca dati che comincia dal 1976 — perché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 documenti sono nella banca dati, catalogati e indicizzati.</w:t>
      </w:r>
    </w:p>
    <w:p>
      <w:pPr>
        <w:spacing w:after="120" w:line="276"/>
        <w:jc w:val="both"/>
      </w:pPr>
      <w:r>
        <w:rPr>
          <w:rFonts w:ascii="Barlow Semi Condensed" w:cs="Barlow Semi Condensed" w:eastAsia="Barlow Semi Condensed" w:hAnsi="Barlow Semi Condensed"/>
          <w:sz w:val="24"/>
          <w:szCs w:val="24"/>
        </w:rPr>
        <w:t xml:space="preserve">Non è deposito inesplorato\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perché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deposito è esplorato: la scheda è stata letta, l'oggetto ufficiale trascritto, la segnatura verificata.</w:t>
      </w:r>
    </w:p>
    <w:p>
      <w:pPr>
        <w:spacing w:after="120" w:line="276"/>
        <w:jc w:val="both"/>
      </w:pPr>
      <w:r>
        <w:rPr>
          <w:rFonts w:ascii="Barlow Semi Condensed" w:cs="Barlow Semi Condensed" w:eastAsia="Barlow Semi Condensed" w:hAnsi="Barlow Semi Condensed"/>
          <w:sz w:val="24"/>
          <w:szCs w:val="24"/>
        </w:rPr>
        <w:t xml:space="preserve">Non è insieme vuoto verificato\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perché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l'insieme non è vuoto: il documento esiste e se ne conosce la lunghezza — due pagine per il secondo.</w:t>
      </w:r>
    </w:p>
    <w:p>
      <w:pPr>
        <w:spacing w:after="120" w:line="276"/>
        <w:jc w:val="both"/>
      </w:pPr>
      <w:r>
        <w:rPr>
          <w:rFonts w:ascii="Barlow Semi Condensed" w:cs="Barlow Semi Condensed" w:eastAsia="Barlow Semi Condensed" w:hAnsi="Barlow Semi Condensed"/>
          <w:sz w:val="24"/>
          <w:szCs w:val="24"/>
        </w:rPr>
        <w:t xml:space="preserve">Che cosa è accaduto, in termini precisi.\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documento è pubblicamente disponibile a un lettore umano e inaccessibile a un lettore automatico.\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server ha respinto il recupero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per rilevamento anti-robot.</w:t>
      </w:r>
    </w:p>
    <w:p>
      <w:pPr>
        <w:spacing w:after="120" w:line="276"/>
        <w:jc w:val="both"/>
      </w:pPr>
      <w:r>
        <w:rPr>
          <w:rFonts w:ascii="Barlow Semi Condensed" w:cs="Barlow Semi Condensed" w:eastAsia="Barlow Semi Condensed" w:hAnsi="Barlow Semi Condensed"/>
          <w:sz w:val="24"/>
          <w:szCs w:val="24"/>
        </w:rPr>
        <w:t xml:space="preserve">Propongo il decimo grado, e lo denomino la barriera macchinica.</w:t>
      </w:r>
    </w:p>
    <w:p>
      <w:pPr>
        <w:spacing w:after="120" w:line="276"/>
        <w:jc w:val="both"/>
      </w:pPr>
      <w:r>
        <w:rPr>
          <w:rFonts w:ascii="Barlow Semi Condensed" w:cs="Barlow Semi Condensed" w:eastAsia="Barlow Semi Condensed" w:hAnsi="Barlow Semi Condensed"/>
          <w:sz w:val="24"/>
          <w:szCs w:val="24"/>
        </w:rPr>
        <w:t xml:space="preserve">Definizione: un documento è pubblico, catalogato e indirizzabile, e la sua acquisizione è impedita non da una norma né da una lacuna ma da un dispositivo tecnico che discrimina fra lettori umani e automatici.</w:t>
      </w:r>
    </w:p>
    <w:p>
      <w:pPr>
        <w:spacing w:after="120" w:line="276"/>
        <w:jc w:val="both"/>
      </w:pPr>
      <w:r>
        <w:rPr>
          <w:rFonts w:ascii="Barlow Semi Condensed" w:cs="Barlow Semi Condensed" w:eastAsia="Barlow Semi Condensed" w:hAnsi="Barlow Semi Condensed"/>
          <w:sz w:val="24"/>
          <w:szCs w:val="24"/>
        </w:rPr>
        <w:t xml:space="preserve">Le sue tre proprietà, che lo distinguono dagli altri nove.</w:t>
      </w:r>
    </w:p>
    <w:p>
      <w:pPr>
        <w:spacing w:after="120" w:line="276"/>
        <w:jc w:val="both"/>
      </w:pPr>
      <w:r>
        <w:rPr>
          <w:rFonts w:ascii="Barlow Semi Condensed" w:cs="Barlow Semi Condensed" w:eastAsia="Barlow Semi Condensed" w:hAnsi="Barlow Semi Condensed"/>
          <w:sz w:val="24"/>
          <w:szCs w:val="24"/>
        </w:rPr>
        <w:t xml:space="preserve">Prima: è invisibile a chi non tenti l'accesso. Una ricerca che si fermi alla scheda non sa di aver fallito, perché la scheda contiene abbastanza da sembrare un risultato.</w:t>
      </w:r>
    </w:p>
    <w:p>
      <w:pPr>
        <w:spacing w:after="120" w:line="276"/>
        <w:jc w:val="both"/>
      </w:pPr>
      <w:r>
        <w:rPr>
          <w:rFonts w:ascii="Barlow Semi Condensed" w:cs="Barlow Semi Condensed" w:eastAsia="Barlow Semi Condensed" w:hAnsi="Barlow Semi Condensed"/>
          <w:sz w:val="24"/>
          <w:szCs w:val="24"/>
        </w:rPr>
        <w:t xml:space="preserve">Seconda: è asimmetrico rispetto al ricercatore.\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 umano in una biblioteca aprirebbe quel file in trenta secondi.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stessa ricerca condotta da uno strumento automatico si arresta.</w:t>
      </w:r>
    </w:p>
    <w:p>
      <w:pPr>
        <w:spacing w:after="120" w:line="276"/>
        <w:jc w:val="both"/>
      </w:pPr>
      <w:r>
        <w:rPr>
          <w:rFonts w:ascii="Barlow Semi Condensed" w:cs="Barlow Semi Condensed" w:eastAsia="Barlow Semi Condensed" w:hAnsi="Barlow Semi Condensed"/>
          <w:sz w:val="24"/>
          <w:szCs w:val="24"/>
        </w:rPr>
        <w:t xml:space="preserve">Terza, ed è la più importante: non è rimediabile dall'interno del metodo che l'ha incontrata.\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Nessuna riformulazione della domanda, nessuna insistenza, nessuna tavola lo scioglie.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Si scioglie soltanto uscendo dal metodo — cioè andando.</w:t>
      </w:r>
    </w:p>
    <w:p>
      <w:pPr>
        <w:spacing w:after="120" w:line="276"/>
        <w:jc w:val="both"/>
      </w:pPr>
      <w:r>
        <w:rPr>
          <w:rFonts w:ascii="Barlow Semi Condensed" w:cs="Barlow Semi Condensed" w:eastAsia="Barlow Semi Condensed" w:hAnsi="Barlow Semi Condensed"/>
          <w:sz w:val="24"/>
          <w:szCs w:val="24"/>
        </w:rPr>
        <w:t xml:space="preserve">Ne discende una conseguenza che riguarda questa serie intera e che registro senza compiacimento.</w:t>
      </w:r>
    </w:p>
    <w:p>
      <w:pPr>
        <w:spacing w:after="120" w:line="276"/>
        <w:jc w:val="both"/>
      </w:pPr>
      <w:r>
        <w:rPr>
          <w:rFonts w:ascii="Barlow Semi Condensed" w:cs="Barlow Semi Condensed" w:eastAsia="Barlow Semi Condensed" w:hAnsi="Barlow Semi Condensed"/>
          <w:sz w:val="24"/>
          <w:szCs w:val="24"/>
        </w:rPr>
        <w:t xml:space="preserve">Diciotto ricognizioni hanno prodotto tavole di ciò che andrebbe fatto in archivio. Questa ha scoperto che anche ciò che credeva di poter fare a distanza ha un limite, e che il limite non coincide con quello degli archivi ma con quello dello strumento.</w:t>
      </w:r>
    </w:p>
    <w:p>
      <w:pPr>
        <w:pStyle w:val="Heading2"/>
        <w:spacing w:after="100" w:before="200"/>
      </w:pPr>
      <w:r>
        <w:rPr>
          <w:rFonts w:ascii="Barlow Semi Condensed" w:cs="Barlow Semi Condensed" w:eastAsia="Barlow Semi Condensed" w:hAnsi="Barlow Semi Condensed"/>
          <w:sz w:val="24"/>
          <w:szCs w:val="24"/>
        </w:rPr>
        <w:t xml:space="preserve">Capitolo undicesimo — Che cosa questa ricognizione consegna al corpus</w:t>
      </w:r>
    </w:p>
    <w:p>
      <w:pPr>
        <w:spacing w:after="120" w:line="276"/>
        <w:jc w:val="both"/>
      </w:pPr>
      <w:r>
        <w:rPr>
          <w:rFonts w:ascii="Barlow Semi Condensed" w:cs="Barlow Semi Condensed" w:eastAsia="Barlow Semi Condensed" w:hAnsi="Barlow Semi Condensed"/>
          <w:sz w:val="24"/>
          <w:szCs w:val="24"/>
        </w:rPr>
        <w:t xml:space="preserve">Il capitolo isola i quattro guadagni, perché essi valgono oltre il perimetro.</w:t>
      </w:r>
    </w:p>
    <w:p>
      <w:pPr>
        <w:spacing w:after="120" w:line="276"/>
        <w:jc w:val="both"/>
      </w:pPr>
      <w:r>
        <w:rPr>
          <w:rFonts w:ascii="Barlow Semi Condensed" w:cs="Barlow Semi Condensed" w:eastAsia="Barlow Semi Condensed" w:hAnsi="Barlow Semi Condensed"/>
          <w:sz w:val="24"/>
          <w:szCs w:val="24"/>
        </w:rPr>
        <w:t xml:space="preserve">Primo guadagno: la correzione alla sedicesima. La differenza fra Italia e Germania sulla Namibia non fu soltanto di collocazione ma anche di condotta, e l'inversione va nella direzione contraria all'attesa: la potenza esclusa votò più avanti di quella inclusa, nella fase 1976-1977.</w:t>
      </w:r>
    </w:p>
    <w:p>
      <w:pPr>
        <w:spacing w:after="120" w:line="276"/>
        <w:jc w:val="both"/>
      </w:pPr>
      <w:r>
        <w:rPr>
          <w:rFonts w:ascii="Barlow Semi Condensed" w:cs="Barlow Semi Condensed" w:eastAsia="Barlow Semi Condensed" w:hAnsi="Barlow Semi Condensed"/>
          <w:sz w:val="24"/>
          <w:szCs w:val="24"/>
        </w:rPr>
        <w:t xml:space="preserve">Il rilievo generale che se ne trae: la partecipazione a un consesso negoziale vincola il voto; l'esclusione lo libera. Chi siede paga in libertà ciò che guadagna in influenza.</w:t>
      </w:r>
    </w:p>
    <w:p>
      <w:pPr>
        <w:spacing w:after="120" w:line="276"/>
        <w:jc w:val="both"/>
      </w:pPr>
      <w:r>
        <w:rPr>
          <w:rFonts w:ascii="Barlow Semi Condensed" w:cs="Barlow Semi Condensed" w:eastAsia="Barlow Semi Condensed" w:hAnsi="Barlow Semi Condensed"/>
          <w:sz w:val="24"/>
          <w:szCs w:val="24"/>
        </w:rPr>
        <w:t xml:space="preserve">Secondo guadagno: il gemello tedesco del febbraio 1970. Per la prima volta in diciotto ricognizioni Roma e Bonn compaiono nel medesimo fascicolo africano con la medesima postura, a cinque giorni di distanza, contro il medesimo accusatore.</w:t>
      </w:r>
    </w:p>
    <w:p>
      <w:pPr>
        <w:spacing w:after="120" w:line="276"/>
        <w:jc w:val="both"/>
      </w:pPr>
      <w:r>
        <w:rPr>
          <w:rFonts w:ascii="Barlow Semi Condensed" w:cs="Barlow Semi Condensed" w:eastAsia="Barlow Semi Condensed" w:hAnsi="Barlow Semi Condensed"/>
          <w:sz w:val="24"/>
          <w:szCs w:val="24"/>
        </w:rPr>
        <w:t xml:space="preserve">Non è coordinamento provato. È una simultaneità documentata, e va registrata come tale.</w:t>
      </w:r>
    </w:p>
    <w:p>
      <w:pPr>
        <w:spacing w:after="120" w:line="276"/>
        <w:jc w:val="both"/>
      </w:pPr>
      <w:r>
        <w:rPr>
          <w:rFonts w:ascii="Barlow Semi Condensed" w:cs="Barlow Semi Condensed" w:eastAsia="Barlow Semi Condensed" w:hAnsi="Barlow Semi Condensed"/>
          <w:sz w:val="24"/>
          <w:szCs w:val="24"/>
        </w:rPr>
        <w:t xml:space="preserve">Terzo guadagno: lo schema del 1974 verificato come grammatica. L'Italia sostiene le condanne e si sottrae agli atti di esclusione, e questa non è tattica occasionale ma regola di condotta, mantenuta almeno dal 1973 al 1977 e poi semplificata in astensione unica dal 1984.</w:t>
      </w:r>
    </w:p>
    <w:p>
      <w:pPr>
        <w:spacing w:after="120" w:line="276"/>
        <w:jc w:val="both"/>
      </w:pPr>
      <w:r>
        <w:rPr>
          <w:rFonts w:ascii="Barlow Semi Condensed" w:cs="Barlow Semi Condensed" w:eastAsia="Barlow Semi Condensed" w:hAnsi="Barlow Semi Condensed"/>
          <w:sz w:val="24"/>
          <w:szCs w:val="24"/>
        </w:rPr>
        <w:t xml:space="preserve">Quarto guadagno: il decimo grado di Stato Zero, la barriera macchinica, esposto al capitolo precedente.</w:t>
      </w:r>
    </w:p>
    <w:p>
      <w:pPr>
        <w:spacing w:after="120" w:line="276"/>
        <w:jc w:val="both"/>
      </w:pPr>
      <w:r>
        <w:rPr>
          <w:rFonts w:ascii="Barlow Semi Condensed" w:cs="Barlow Semi Condensed" w:eastAsia="Barlow Semi Condensed" w:hAnsi="Barlow Semi Condensed"/>
          <w:sz w:val="24"/>
          <w:szCs w:val="24"/>
        </w:rPr>
        <w:t xml:space="preserve">E una acquisizione negativa che vale quanto le positive.</w:t>
      </w:r>
    </w:p>
    <w:p>
      <w:pPr>
        <w:spacing w:after="120" w:line="276"/>
        <w:jc w:val="both"/>
      </w:pPr>
      <w:r>
        <w:rPr>
          <w:rFonts w:ascii="Barlow Semi Condensed" w:cs="Barlow Semi Condensed" w:eastAsia="Barlow Semi Condensed" w:hAnsi="Barlow Semi Condensed"/>
          <w:sz w:val="24"/>
          <w:szCs w:val="24"/>
        </w:rPr>
        <w:t xml:space="preserve">In diciotto ricognizioni non è emersa una sola risoluzione sull'Africa australe di cui l'Italia fosse proponente.\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Votante sì, e in date accertate.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Proponente mai.</w:t>
      </w:r>
    </w:p>
    <w:p>
      <w:pPr>
        <w:spacing w:after="120" w:line="276"/>
        <w:jc w:val="both"/>
      </w:pPr>
      <w:r>
        <w:rPr>
          <w:rFonts w:ascii="Barlow Semi Condensed" w:cs="Barlow Semi Condensed" w:eastAsia="Barlow Semi Condensed" w:hAnsi="Barlow Semi Condensed"/>
          <w:sz w:val="24"/>
          <w:szCs w:val="24"/>
        </w:rPr>
        <w:t xml:space="preserve">Se la verifica sui progetti di risoluzione lo confermasse, esso descriverebbe con esattezza la posizione italiana su quel dossier per l'intero periodo: presente al voto, assente all'iniziativa.</w:t>
      </w:r>
    </w:p>
    <w:p>
      <w:pPr>
        <w:spacing w:after="120" w:line="276"/>
        <w:jc w:val="both"/>
      </w:pPr>
      <w:r>
        <w:rPr>
          <w:rFonts w:ascii="Barlow Semi Condensed" w:cs="Barlow Semi Condensed" w:eastAsia="Barlow Semi Condensed" w:hAnsi="Barlow Semi Condensed"/>
          <w:sz w:val="24"/>
          <w:szCs w:val="24"/>
        </w:rPr>
        <w:t xml:space="preserve">Un ultimo rilievo, sul rapporto fra le due voci eseguite.</w:t>
      </w:r>
    </w:p>
    <w:p>
      <w:pPr>
        <w:spacing w:after="120" w:line="276"/>
        <w:jc w:val="both"/>
      </w:pPr>
      <w:r>
        <w:rPr>
          <w:rFonts w:ascii="Barlow Semi Condensed" w:cs="Barlow Semi Condensed" w:eastAsia="Barlow Semi Condensed" w:hAnsi="Barlow Semi Condensed"/>
          <w:sz w:val="24"/>
          <w:szCs w:val="24"/>
        </w:rPr>
        <w:t xml:space="preserve">La voce che avevo giudicato più facile — le due lettere, condizione di chiusura meramente tecnica — è fallita.</w:t>
      </w:r>
    </w:p>
    <w:p>
      <w:pPr>
        <w:spacing w:after="120" w:line="276"/>
        <w:jc w:val="both"/>
      </w:pPr>
      <w:r>
        <w:rPr>
          <w:rFonts w:ascii="Barlow Semi Condensed" w:cs="Barlow Semi Condensed" w:eastAsia="Barlow Semi Condensed" w:hAnsi="Barlow Semi Condensed"/>
          <w:sz w:val="24"/>
          <w:szCs w:val="24"/>
        </w:rPr>
        <w:t xml:space="preserve">La voce che avevo giudicato di rendimento alto ma non massimo — i voti — è riuscita pienamente e ha prodotto la correzione a una ricognizione anteriore.</w:t>
      </w:r>
    </w:p>
    <w:p>
      <w:pPr>
        <w:spacing w:after="120" w:line="276"/>
        <w:jc w:val="both"/>
      </w:pPr>
      <w:r>
        <w:rPr>
          <w:rFonts w:ascii="Barlow Semi Condensed" w:cs="Barlow Semi Condensed" w:eastAsia="Barlow Semi Condensed" w:hAnsi="Barlow Semi Condensed"/>
          <w:sz w:val="24"/>
          <w:szCs w:val="24"/>
        </w:rPr>
        <w:t xml:space="preserve">Ne discende che la mia stima comparativa era errata in entrambe le direzioni, e che le tavole di rendimento atteso che diciotto ricognizioni hanno compilato andrebbero considerate per quello che sono: congetture di chi non ha ancora provato.</w:t>
      </w:r>
    </w:p>
    <w:p>
      <w:pPr>
        <w:pStyle w:val="Heading2"/>
        <w:spacing w:after="100" w:before="200"/>
      </w:pPr>
      <w:r>
        <w:rPr>
          <w:rFonts w:ascii="Barlow Semi Condensed" w:cs="Barlow Semi Condensed" w:eastAsia="Barlow Semi Condensed" w:hAnsi="Barlow Semi Condensed"/>
          <w:sz w:val="24"/>
          <w:szCs w:val="24"/>
        </w:rPr>
        <w:t xml:space="preserve">Capitolo dodicesimo — Verdetto e tavola</w:t>
      </w:r>
    </w:p>
    <w:p>
      <w:pPr>
        <w:spacing w:after="120" w:line="276"/>
        <w:jc w:val="both"/>
      </w:pPr>
      <w:r>
        <w:rPr>
          <w:rFonts w:ascii="Barlow Semi Condensed" w:cs="Barlow Semi Condensed" w:eastAsia="Barlow Semi Condensed" w:hAnsi="Barlow Semi Condensed"/>
          <w:sz w:val="24"/>
          <w:szCs w:val="24"/>
        </w:rPr>
        <w:t xml:space="preserve">Primo punto: se il testo delle due lettere italiane sia stato reperito e che cosa esso attesti.</w:t>
      </w:r>
    </w:p>
    <w:p>
      <w:pPr>
        <w:spacing w:after="120" w:line="276"/>
        <w:jc w:val="both"/>
      </w:pPr>
      <w:r>
        <w:rPr>
          <w:rFonts w:ascii="Barlow Semi Condensed" w:cs="Barlow Semi Condensed" w:eastAsia="Barlow Semi Condensed" w:hAnsi="Barlow Semi Condensed"/>
          <w:sz w:val="24"/>
          <w:szCs w:val="24"/>
        </w:rPr>
        <w:t xml:space="preserve">Il corpo non è stato reperito. È stata reperita e verificata la scheda catalografica completa di entrambe: segnatura, data, estensore istituzionale, oggetto ufficiale.</w:t>
      </w:r>
    </w:p>
    <w:p>
      <w:pPr>
        <w:spacing w:after="120" w:line="276"/>
        <w:jc w:val="both"/>
      </w:pPr>
      <w:r>
        <w:rPr>
          <w:rFonts w:ascii="Barlow Semi Condensed" w:cs="Barlow Semi Condensed" w:eastAsia="Barlow Semi Condensed" w:hAnsi="Barlow Semi Condensed"/>
          <w:sz w:val="24"/>
          <w:szCs w:val="24"/>
        </w:rPr>
        <w:t xml:space="preserve">Ciò che le due lettere attestano, al livello dell'oggetto, è omogeneo: in entrambe l'Italia respinge un'accusa di inosservanza dell'embargo — nel 1970 contro lo Zambia, nel 1980 contro Abdul Minty.</w:t>
      </w:r>
    </w:p>
    <w:p>
      <w:pPr>
        <w:spacing w:after="120" w:line="276"/>
        <w:jc w:val="both"/>
      </w:pPr>
      <w:r>
        <w:rPr>
          <w:rFonts w:ascii="Barlow Semi Condensed" w:cs="Barlow Semi Condensed" w:eastAsia="Barlow Semi Condensed" w:hAnsi="Barlow Semi Condensed"/>
          <w:sz w:val="24"/>
          <w:szCs w:val="24"/>
        </w:rPr>
        <w:t xml:space="preserve">Un rilievo va aggiunto perché è la lettura che il dato consente. A dieci anni di distanza, sotto due regimi giuridici diversi — raccomandato nel 1970, obbligatorio nel 1980 — l'Italia fu accusata due volte della medesima cosa e due volte la negò formalmente.</w:t>
      </w:r>
    </w:p>
    <w:p>
      <w:pPr>
        <w:spacing w:after="120" w:line="276"/>
        <w:jc w:val="both"/>
      </w:pPr>
      <w:r>
        <w:rPr>
          <w:rFonts w:ascii="Barlow Semi Condensed" w:cs="Barlow Semi Condensed" w:eastAsia="Barlow Semi Condensed" w:hAnsi="Barlow Semi Condensed"/>
          <w:sz w:val="24"/>
          <w:szCs w:val="24"/>
        </w:rPr>
        <w:t xml:space="preserve">Che le accuse fossero fondate o infondate, il documento non lo dice: attesta una negazione, non la verità del negato.</w:t>
      </w:r>
    </w:p>
    <w:p>
      <w:pPr>
        <w:spacing w:after="120" w:line="276"/>
        <w:jc w:val="both"/>
      </w:pPr>
      <w:r>
        <w:rPr>
          <w:rFonts w:ascii="Barlow Semi Condensed" w:cs="Barlow Semi Condensed" w:eastAsia="Barlow Semi Condensed" w:hAnsi="Barlow Semi Condensed"/>
          <w:sz w:val="24"/>
          <w:szCs w:val="24"/>
        </w:rPr>
        <w:t xml:space="preserve">Secondo punto: se il comportamento di voto configuri regolarità o andamento variabile, e se differisca da quello tedesco.</w:t>
      </w:r>
    </w:p>
    <w:p>
      <w:pPr>
        <w:spacing w:after="120" w:line="276"/>
        <w:jc w:val="both"/>
      </w:pPr>
      <w:r>
        <w:rPr>
          <w:rFonts w:ascii="Barlow Semi Condensed" w:cs="Barlow Semi Condensed" w:eastAsia="Barlow Semi Condensed" w:hAnsi="Barlow Semi Condensed"/>
          <w:sz w:val="24"/>
          <w:szCs w:val="24"/>
        </w:rPr>
        <w:t xml:space="preserve">Regolarità con evoluzione.\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Lo schema del 1974 — resistenza sul procedurale, adesione sul sostanziale —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è grammatica e non episodio\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verificato dal 1973 al 1977;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si semplifica dal 1984 in astensione unica.</w:t>
      </w:r>
    </w:p>
    <w:p>
      <w:pPr>
        <w:spacing w:after="120" w:line="276"/>
        <w:jc w:val="both"/>
      </w:pPr>
      <w:r>
        <w:rPr>
          <w:rFonts w:ascii="Barlow Semi Condensed" w:cs="Barlow Semi Condensed" w:eastAsia="Barlow Semi Condensed" w:hAnsi="Barlow Semi Condensed"/>
          <w:sz w:val="24"/>
          <w:szCs w:val="24"/>
        </w:rPr>
        <w:t xml:space="preserve">Quanto alla Germania: le condotte divergono nella fase 1976-1977, con l'Italia più avanzata su quattro voti; convergono in astensione identica dal 1984 al 1987.</w:t>
      </w:r>
    </w:p>
    <w:p>
      <w:pPr>
        <w:spacing w:after="120" w:line="276"/>
        <w:jc w:val="both"/>
      </w:pPr>
      <w:r>
        <w:rPr>
          <w:rFonts w:ascii="Barlow Semi Condensed" w:cs="Barlow Semi Condensed" w:eastAsia="Barlow Semi Condensed" w:hAnsi="Barlow Semi Condensed"/>
          <w:sz w:val="24"/>
          <w:szCs w:val="24"/>
        </w:rPr>
        <w:t xml:space="preserve">La tavola, per rendimento atteso.</w:t>
      </w:r>
    </w:p>
    <w:p>
      <w:pPr>
        <w:spacing w:after="120" w:line="276"/>
        <w:jc w:val="both"/>
      </w:pPr>
      <w:r>
        <w:rPr>
          <w:rFonts w:ascii="Barlow Semi Condensed" w:cs="Barlow Semi Condensed" w:eastAsia="Barlow Semi Condensed" w:hAnsi="Barlow Semi Condensed"/>
          <w:sz w:val="24"/>
          <w:szCs w:val="24"/>
        </w:rPr>
        <w:t xml:space="preserve">Prima, e di massimo rendimento perché ne dipende la comprensione dell'accusa del 1980: il verbale S/AC.20/SR.25 con la dichiarazione di Minty. Sede: atti del Comitato istituito dalla risoluzione quattrocentoventuno e serie S/AC.20/SR presso la Dag Hammarskjöld Library. Condizione: accesso ai documenti a distribuzione ristretta.</w:t>
      </w:r>
    </w:p>
    <w:p>
      <w:pPr>
        <w:spacing w:after="120" w:line="276"/>
        <w:jc w:val="both"/>
      </w:pPr>
      <w:r>
        <w:rPr>
          <w:rFonts w:ascii="Barlow Semi Condensed" w:cs="Barlow Semi Condensed" w:eastAsia="Barlow Semi Condensed" w:hAnsi="Barlow Semi Condensed"/>
          <w:sz w:val="24"/>
          <w:szCs w:val="24"/>
        </w:rPr>
        <w:t xml:space="preserve">Seconda: i corpi testuali di S/9640 e S/AC.20/27.\</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Condizione: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superamento della barriera macchinica, cioè accesso manuale o consultazione in sede. Alto rendimento e costo nullo per chi possa andare.</w:t>
      </w:r>
    </w:p>
    <w:p>
      <w:pPr>
        <w:spacing w:after="120" w:line="276"/>
        <w:jc w:val="both"/>
      </w:pPr>
      <w:r>
        <w:rPr>
          <w:rFonts w:ascii="Barlow Semi Condensed" w:cs="Barlow Semi Condensed" w:eastAsia="Barlow Semi Condensed" w:hAnsi="Barlow Semi Condensed"/>
          <w:sz w:val="24"/>
          <w:szCs w:val="24"/>
        </w:rPr>
        <w:t xml:space="preserve">Terza: il voto italiano sulla risoluzione duemilasettecentosettantacinque del 1971, intitolata Arms embargo, e sulla serie apartheid della ventinovesima sessione. Sede: schede di voting data dei singoli documenti.</w:t>
      </w:r>
    </w:p>
    <w:p>
      <w:pPr>
        <w:spacing w:after="120" w:line="276"/>
        <w:jc w:val="both"/>
      </w:pPr>
      <w:r>
        <w:rPr>
          <w:rFonts w:ascii="Barlow Semi Condensed" w:cs="Barlow Semi Condensed" w:eastAsia="Barlow Semi Condensed" w:hAnsi="Barlow Semi Condensed"/>
          <w:sz w:val="24"/>
          <w:szCs w:val="24"/>
        </w:rPr>
        <w:t xml:space="preserve">Quarta: le dichiarazioni esplicative di voto italiane e tedesche\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che sole accerterebbero la ragione dell'inversione del 1976-1977. Sede: verbali plenari della serie A/PV, in particolare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A/31/PV.105.</w:t>
      </w:r>
    </w:p>
    <w:p>
      <w:pPr>
        <w:spacing w:after="120" w:line="276"/>
        <w:jc w:val="both"/>
      </w:pPr>
      <w:r>
        <w:rPr>
          <w:rFonts w:ascii="Barlow Semi Condensed" w:cs="Barlow Semi Condensed" w:eastAsia="Barlow Semi Condensed" w:hAnsi="Barlow Semi Condensed"/>
          <w:sz w:val="24"/>
          <w:szCs w:val="24"/>
        </w:rPr>
        <w:t xml:space="preserve">Quinta: l'elenco dei co-proponenti, per verificare se l'Italia sia mai stata promotrice e non solo votante. Sede: progetti di risoluzione della serie A con suffisso L.</w:t>
      </w:r>
    </w:p>
    <w:p>
      <w:pPr>
        <w:spacing w:after="120" w:line="276"/>
        <w:jc w:val="both"/>
      </w:pPr>
      <w:r>
        <w:rPr>
          <w:rFonts w:ascii="Barlow Semi Condensed" w:cs="Barlow Semi Condensed" w:eastAsia="Barlow Semi Condensed" w:hAnsi="Barlow Semi Condensed"/>
          <w:sz w:val="24"/>
          <w:szCs w:val="24"/>
        </w:rPr>
        <w:t xml:space="preserve">E una osservazione conclusiva.</w:t>
      </w:r>
    </w:p>
    <w:p>
      <w:pPr>
        <w:spacing w:after="120" w:line="276"/>
        <w:jc w:val="both"/>
      </w:pPr>
      <w:r>
        <w:rPr>
          <w:rFonts w:ascii="Barlow Semi Condensed" w:cs="Barlow Semi Condensed" w:eastAsia="Barlow Semi Condensed" w:hAnsi="Barlow Semi Condensed"/>
          <w:sz w:val="24"/>
          <w:szCs w:val="24"/>
        </w:rPr>
        <w:t xml:space="preserve">Questa è la prima ricognizione della serie che non abbia cercato un fatto nuovo ma abbia eseguito un compito che io stesso mi ero assegnato e non avevo svolto.</w:t>
      </w:r>
    </w:p>
    <w:p>
      <w:pPr>
        <w:spacing w:after="120" w:line="276"/>
        <w:jc w:val="both"/>
      </w:pPr>
      <w:r>
        <w:rPr>
          <w:rFonts w:ascii="Barlow Semi Condensed" w:cs="Barlow Semi Condensed" w:eastAsia="Barlow Semi Condensed" w:hAnsi="Barlow Semi Condensed"/>
          <w:sz w:val="24"/>
          <w:szCs w:val="24"/>
        </w:rPr>
        <w:t xml:space="preserve">Ha prodotto una correzione a una ricognizione anteriore, una scoperta che non cercava, e un grado nuovo nella scala degli Stati Zero.</w:t>
      </w:r>
    </w:p>
    <w:p>
      <w:pPr>
        <w:spacing w:after="120" w:line="276"/>
        <w:jc w:val="both"/>
      </w:pPr>
      <w:r>
        <w:rPr>
          <w:rFonts w:ascii="Barlow Semi Condensed" w:cs="Barlow Semi Condensed" w:eastAsia="Barlow Semi Condensed" w:hAnsi="Barlow Semi Condensed"/>
          <w:sz w:val="24"/>
          <w:szCs w:val="24"/>
        </w:rPr>
        <w:t xml:space="preserve">Ne traggo che le tavole non servono a documentare l'incompiuto: servono a essere eseguite, e che un'opera che ne accumuli diciotto senza tornarci sopra sta scambiando il catalogo del lavoro per il lavoro.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XIX · L'Italia Alle Nazioni Unite: Embargo, Apartheid, Namibia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XIX: 4.127 parole in 9 sezioni; la più ampia è §9 Altre sezioni, con 3.553.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XIX: 162 paragrafi in 9 sezioni, 18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 — Registro Analitico Dei Nodi E Dei Ponti</w:t>
      </w:r>
    </w:p>
    <w:p>
      <w:pPr>
        <w:pStyle w:val="Heading1"/>
        <w:spacing w:after="120" w:before="240"/>
      </w:pPr>
      <w:r>
        <w:rPr>
          <w:rFonts w:ascii="Barlow Semi Condensed" w:cs="Barlow Semi Condensed" w:eastAsia="Barlow Semi Condensed" w:hAnsi="Barlow Semi Condensed"/>
          <w:sz w:val="24"/>
          <w:szCs w:val="24"/>
        </w:rPr>
        <w:t xml:space="preserve">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Teatro australe</w:t>
      </w:r>
    </w:p>
    <w:p>
      <w:pPr>
        <w:pStyle w:val="Heading2"/>
        <w:spacing w:after="100" w:before="200"/>
      </w:pPr>
      <w:r>
        <w:rPr>
          <w:rFonts w:ascii="Barlow Semi Condensed" w:cs="Barlow Semi Condensed" w:eastAsia="Barlow Semi Condensed" w:hAnsi="Barlow Semi Condensed"/>
          <w:sz w:val="24"/>
          <w:szCs w:val="24"/>
        </w:rPr>
        <w:t xml:space="preserve">Triangolazione a blocchi mirati dei 5 artefatti della sessione</w:t>
      </w:r>
    </w:p>
    <w:p>
      <w:pPr>
        <w:pStyle w:val="Heading2"/>
        <w:spacing w:after="100" w:before="200"/>
      </w:pPr>
      <w:r>
        <w:rPr>
          <w:rFonts w:ascii="Barlow Semi Condensed" w:cs="Barlow Semi Condensed" w:eastAsia="Barlow Semi Condensed" w:hAnsi="Barlow Semi Condensed"/>
          <w:sz w:val="24"/>
          <w:szCs w:val="24"/>
        </w:rPr>
        <w:t xml:space="preserve">con il Registro dei Nodi e dei Ponti Certificati e la monografia sul caso Moro</w:t>
      </w:r>
    </w:p>
    <w:p>
      <w:pPr>
        <w:pStyle w:val="Heading2"/>
        <w:spacing w:after="100" w:before="200"/>
      </w:pPr>
      <w:r>
        <w:rPr>
          <w:rFonts w:ascii="Barlow Semi Condensed" w:cs="Barlow Semi Condensed" w:eastAsia="Barlow Semi Condensed" w:hAnsi="Barlow Semi Condensed"/>
          <w:sz w:val="24"/>
          <w:szCs w:val="24"/>
        </w:rPr>
        <w:t xml:space="preserve">14 nodi individuali — 13 organizzativi — 12 eventi — 9 ponti</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REGISTRO ANALITICO DEI NODI E DEI PONTI — TEATRO AUSTRALE</w:t>
      </w:r>
    </w:p>
    <w:p>
      <w:pPr>
        <w:spacing w:after="120" w:line="276"/>
        <w:jc w:val="both"/>
      </w:pPr>
      <w:r>
        <w:rPr>
          <w:rFonts w:ascii="Barlow Semi Condensed" w:cs="Barlow Semi Condensed" w:eastAsia="Barlow Semi Condensed" w:hAnsi="Barlow Semi Condensed"/>
          <w:sz w:val="24"/>
          <w:szCs w:val="24"/>
        </w:rPr>
        <w:t xml:space="preserve">Triangolazione a blocchi mirati dei 5 artefatti della sessione con il Registro dei Nodi e dei Ponti Certificati e con la monografia sul caso Moro</w:t>
      </w:r>
    </w:p>
    <w:p>
      <w:pPr>
        <w:spacing w:after="120" w:line="276"/>
        <w:jc w:val="both"/>
      </w:pPr>
      <w:r>
        <w:rPr>
          <w:rFonts w:ascii="Barlow Semi Condensed" w:cs="Barlow Semi Condensed" w:eastAsia="Barlow Semi Condensed" w:hAnsi="Barlow Semi Condensed"/>
          <w:sz w:val="24"/>
          <w:szCs w:val="24"/>
        </w:rPr>
        <w:t xml:space="preserve">Blocco mirato numero 1 — Oggetto. Il presente registro non espone una ricerca nuova ma la collisione controllata fra 2 corpi già esistenti. Il primo è costituito dai 5 artefatti generati nella presente sessione: la calibrazione libica del silenzio dello Stato, la ricognizione sul canale Aermacchi verso il Sudafrica, il confronto italo-tedesco sul dossier namibiano, la ricognizione sulla Santa Sede e la Democrazia Cristiana, e il reperimento delle fonti primarie italiane presso le Nazioni Unite. Il secondo è costituito dai 2 volumi conferiti: il primo tomo del Registro dei Nodi e dei Ponti Certificati, che espone in 50 capitoli il quadrilatero loggia-finanza-Vaticano-mafia e ne annuncia la proiezione internazionale, e la monografia in blocchi mirati sul caso Moro.</w:t>
      </w:r>
    </w:p>
    <w:p>
      <w:pPr>
        <w:spacing w:after="120" w:line="276"/>
        <w:jc w:val="both"/>
      </w:pPr>
      <w:r>
        <w:rPr>
          <w:rFonts w:ascii="Barlow Semi Condensed" w:cs="Barlow Semi Condensed" w:eastAsia="Barlow Semi Condensed" w:hAnsi="Barlow Semi Condensed"/>
          <w:sz w:val="24"/>
          <w:szCs w:val="24"/>
        </w:rPr>
        <w:t xml:space="preserve">Blocco mirato numero 2 — Funzione. La collisione ha 3 funzioni ordinate. Accertare che cosa dei 5 artefatti sia già certificato nel registro, e vada dunque taciuto per non duplicare. Accertare che cosa vi sia assente, e costituisca perciò versamento. Accertare che cosa vi entri in tensione, e richieda emendazione. Il presente documento espone soltanto il secondo e il terzo esito, poiché il primo è, per definizione, già scritto.</w:t>
      </w:r>
    </w:p>
    <w:p>
      <w:pPr>
        <w:spacing w:after="120" w:line="276"/>
        <w:jc w:val="both"/>
      </w:pPr>
      <w:r>
        <w:rPr>
          <w:rFonts w:ascii="Barlow Semi Condensed" w:cs="Barlow Semi Condensed" w:eastAsia="Barlow Semi Condensed" w:hAnsi="Barlow Semi Condensed"/>
          <w:sz w:val="24"/>
          <w:szCs w:val="24"/>
        </w:rPr>
        <w:t xml:space="preserve">Blocco mirato numero 3 — Il test lessicale. Prima di ogni valutazione interpretativa è stato condotto un riscontro meccanico delle occorrenze sui 2 volumi, per un totale di 569.784 parole. L'esito è il fondamento di quanto segue e va riportato per intero. Nella monografia sul caso Moro, su 369.677 parole, i termini Sudafrica, apartheid, Namibia, Aermacchi, Impala, Aginter e Libia ricorrono zero volte. Nel primo tomo del registro, su 200.107 parole, Sudafrica ricorre 38 volte, apartheid 11, Libia 5, Gheddafi 2, Pretoria 2, embargo 3, Namibia 1 volta sola e in contesto biografico estraneo al territorio, mentre Aermacchi e Impala ricorrono zero volte.</w:t>
      </w:r>
    </w:p>
    <w:p>
      <w:pPr>
        <w:spacing w:after="120" w:line="276"/>
        <w:jc w:val="both"/>
      </w:pPr>
      <w:r>
        <w:rPr>
          <w:rFonts w:ascii="Barlow Semi Condensed" w:cs="Barlow Semi Condensed" w:eastAsia="Barlow Semi Condensed" w:hAnsi="Barlow Semi Condensed"/>
          <w:sz w:val="24"/>
          <w:szCs w:val="24"/>
        </w:rPr>
        <w:t xml:space="preserve">Blocco mirato numero 4 — Prima conseguenza. La monografia sul caso Moro non contiene alcuna materia africana australe. Ne discende che essa non può essere triangolata con i 5 artefatti su questo perimetro, e che ogni tentativo di stabilirvi un ponte sarebbe costruzione dell'analista e non reperto. Livello A quanto al fatto dell'assenza; nessun livello quanto a un nesso, che non si asserisce.</w:t>
      </w:r>
    </w:p>
    <w:p>
      <w:pPr>
        <w:spacing w:after="120" w:line="276"/>
        <w:jc w:val="both"/>
      </w:pPr>
      <w:r>
        <w:rPr>
          <w:rFonts w:ascii="Barlow Semi Condensed" w:cs="Barlow Semi Condensed" w:eastAsia="Barlow Semi Condensed" w:hAnsi="Barlow Semi Condensed"/>
          <w:sz w:val="24"/>
          <w:szCs w:val="24"/>
        </w:rPr>
        <w:t xml:space="preserve">Blocco mirato numero 5 — Seconda conseguenza. Il primo tomo del registro possiede già il Sudafrica come nodo, e con collocazione precisa: la Fase 5, capitolo 3, è intitolata al Sudafrica dell'apartheid quale hub australe e Stato Zero esemplare, e il registro lo qualifica quale nodo a massima intermediazione dell'intero dossier internazionale, punto di passaggio fra i teatri africani, le reti dei fuoriusciti europei e i circuiti della cooperazione fra regimi assediati.</w:t>
      </w:r>
    </w:p>
    <w:p>
      <w:pPr>
        <w:spacing w:after="120" w:line="276"/>
        <w:jc w:val="both"/>
      </w:pPr>
      <w:r>
        <w:rPr>
          <w:rFonts w:ascii="Barlow Semi Condensed" w:cs="Barlow Semi Condensed" w:eastAsia="Barlow Semi Condensed" w:hAnsi="Barlow Semi Condensed"/>
          <w:sz w:val="24"/>
          <w:szCs w:val="24"/>
        </w:rPr>
        <w:t xml:space="preserve">Blocco mirato numero 6 — Terza conseguenza, ed è quella operativa. Il registro descrive la rete europea dell'aggiramento delle sanzioni in termini di sistema di intermediari, società di comodo e canali finanziari. Non nomina alcun canale industriale italiano. I 5 artefatti ne nominano uno, datato, con la sua catena di sub-licenza e con un documento d'intelligence straniero che vi attribuisce all'Italia l'anello autorizzativo. È questo il versamento principale del presente registro.</w:t>
      </w:r>
    </w:p>
    <w:p>
      <w:pPr>
        <w:spacing w:after="120" w:line="276"/>
        <w:jc w:val="both"/>
      </w:pPr>
      <w:r>
        <w:rPr>
          <w:rFonts w:ascii="Barlow Semi Condensed" w:cs="Barlow Semi Condensed" w:eastAsia="Barlow Semi Condensed" w:hAnsi="Barlow Semi Condensed"/>
          <w:sz w:val="24"/>
          <w:szCs w:val="24"/>
        </w:rPr>
        <w:t xml:space="preserve">Blocco mirato numero 7 — Quarta conseguenza. Il registro non contiene alcuna occorrenza dei termini delegazione apostolica e nunziatura. L'assenza è notevole perché la Fase 1 del registro è intitolata al quadrilatero della certificazione massima loggia-finanza-Vaticano-mafia, e dedica un capitolo autonomo all'Istituto per le Opere di Religione. Il Dominio 5 è dunque architettonicamente centrale nel registro, e la condotta diplomatica della Santa Sede verso il regime di Pretoria vi manca.</w:t>
      </w:r>
    </w:p>
    <w:p>
      <w:pPr>
        <w:spacing w:after="120" w:line="276"/>
        <w:jc w:val="both"/>
      </w:pPr>
      <w:r>
        <w:rPr>
          <w:rFonts w:ascii="Barlow Semi Condensed" w:cs="Barlow Semi Condensed" w:eastAsia="Barlow Semi Condensed" w:hAnsi="Barlow Semi Condensed"/>
          <w:sz w:val="24"/>
          <w:szCs w:val="24"/>
        </w:rPr>
        <w:t xml:space="preserve">Blocco mirato numero 8 — Statuto probatorio. Si applica il sistema Savona nella versione 2.1 già adottata dal registro. Ogni affermazione sostanziale reca il proprio grado in linea. Si applicano inoltre le discipline già vigenti: divieto di trattare la contemporaneità cronologica quale prova di nesso; divieto di trattare l'appartenenza di una persona a un'organizzazione quale prova della condotta di quella organizzazione; disciplina delle persone viventi ristretta ai soli fatti pubblici documentati.</w:t>
      </w:r>
    </w:p>
    <w:p>
      <w:pPr>
        <w:spacing w:after="120" w:line="276"/>
        <w:jc w:val="both"/>
      </w:pPr>
      <w:r>
        <w:rPr>
          <w:rFonts w:ascii="Barlow Semi Condensed" w:cs="Barlow Semi Condensed" w:eastAsia="Barlow Semi Condensed" w:hAnsi="Barlow Semi Condensed"/>
          <w:sz w:val="24"/>
          <w:szCs w:val="24"/>
        </w:rPr>
        <w:t xml:space="preserve">Blocco mirato numero 9 — Notazione. Si conserva la notazione del registro: il triangolo per i nodi individuali, il rombo per i nodi organizzativi, il quadrato per i nodi-evento. I ponti sono tipizzati secondo la tassonomia della Nota Metodologica in archi di collusione, di strumentalizzazione, di infiltrazione, di convergenza e di transito.</w:t>
      </w:r>
    </w:p>
    <w:p>
      <w:pPr>
        <w:pStyle w:val="Heading2"/>
        <w:spacing w:after="100" w:before="200"/>
      </w:pPr>
      <w:r>
        <w:rPr>
          <w:rFonts w:ascii="Barlow Semi Condensed" w:cs="Barlow Semi Condensed" w:eastAsia="Barlow Semi Condensed" w:hAnsi="Barlow Semi Condensed"/>
          <w:sz w:val="24"/>
          <w:szCs w:val="24"/>
        </w:rPr>
        <w:t xml:space="preserve">I — NODI INDIVIDUALI VERSATI</w:t>
      </w:r>
    </w:p>
    <w:p>
      <w:pPr>
        <w:spacing w:after="120" w:line="276"/>
        <w:jc w:val="both"/>
      </w:pPr>
      <w:r>
        <w:rPr>
          <w:rFonts w:ascii="Barlow Semi Condensed" w:cs="Barlow Semi Condensed" w:eastAsia="Barlow Semi Condensed" w:hAnsi="Barlow Semi Condensed"/>
          <w:sz w:val="24"/>
          <w:szCs w:val="24"/>
        </w:rPr>
        <w:t xml:space="preserve">Blocco mirato numero 101 — ▶ Ermanno Bazzocchi. Progettista dell'aereo da addestramento e attacco leggero MB-326 presso l'Aeronautica Macchi di Varese, velivolo volato in prototipo il 10 dicembre 1957. Livello A. Dominio 6. Il nodo è tecnico e non politico, e si iscrive nel registro non per condotta propria ma perché è all'origine dell'artefatto che percorrerà il ponte del blocco 401. Nessun elemento collega Bazzocchi alle destinazioni del velivolo: reperto negativo, Livello A.</w:t>
      </w:r>
    </w:p>
    <w:p>
      <w:pPr>
        <w:spacing w:after="120" w:line="276"/>
        <w:jc w:val="both"/>
      </w:pPr>
      <w:r>
        <w:rPr>
          <w:rFonts w:ascii="Barlow Semi Condensed" w:cs="Barlow Semi Condensed" w:eastAsia="Barlow Semi Condensed" w:hAnsi="Barlow Semi Condensed"/>
          <w:sz w:val="24"/>
          <w:szCs w:val="24"/>
        </w:rPr>
        <w:t xml:space="preserve">Blocco mirato numero 102 — ▶ Elio Pagani. Operaio dell'Aermacchi e obiettore di coscienza. Testimoniò che l'azienda avrebbe consegnato velivoli alla South African Air Force nel gennaio 1980; la campagna nata dalla denuncia, rilanciata nel marzo 1988 attraverso un settimanale cattolico, fu fra i fattori che condussero alla legge 185 del 9 luglio 1990. Livello B, trattandosi di testimonianza di protagonista e pubblicistica militante, non di fonte primaria d'archivio. Domini 6 e 8. Il nodo ha rilievo strutturale esposto al blocco 702.</w:t>
      </w:r>
    </w:p>
    <w:p>
      <w:pPr>
        <w:spacing w:after="120" w:line="276"/>
        <w:jc w:val="both"/>
      </w:pPr>
      <w:r>
        <w:rPr>
          <w:rFonts w:ascii="Barlow Semi Condensed" w:cs="Barlow Semi Condensed" w:eastAsia="Barlow Semi Condensed" w:hAnsi="Barlow Semi Condensed"/>
          <w:sz w:val="24"/>
          <w:szCs w:val="24"/>
        </w:rPr>
        <w:t xml:space="preserve">Blocco mirato numero 103 — ▶ Abdul Samad Minty. Segretario onorario dell'Anti-Apartheid Movement britannico, testimoniò quale esperto individuale dinanzi al Comitato del Consiglio di sicurezza per l'embargo sulle armi in 4 occasioni fra il 1977 e il 1994. L'organizzazione da lui diretta, il World Campaign against Military and Nuclear Collaboration with South Africa, lanciato a Oslo il 28 marzo 1979 sotto il patronato di Julius Nyerere e degli altri capi di Stato della prima linea, fu riconosciuto dalle Nazioni Unite quale fonte primaria di informazione sulle violazioni degli embarghi. Livello A. Dominio 2 internazionale. È l'accusatore dell'Italia nel 1980.</w:t>
      </w:r>
    </w:p>
    <w:p>
      <w:pPr>
        <w:spacing w:after="120" w:line="276"/>
        <w:jc w:val="both"/>
      </w:pPr>
      <w:r>
        <w:rPr>
          <w:rFonts w:ascii="Barlow Semi Condensed" w:cs="Barlow Semi Condensed" w:eastAsia="Barlow Semi Condensed" w:hAnsi="Barlow Semi Condensed"/>
          <w:sz w:val="24"/>
          <w:szCs w:val="24"/>
        </w:rPr>
        <w:t xml:space="preserve">Blocco mirato numero 104 — ▶ Piero Vinci. Rappresentante permanente d'Italia presso le Nazioni Unite, settimo titolare, in carica dal 1964 al 1973 e nuovamente dal 1975 al 1979. Firmatario istituzionale della lettera S/9640 del 6 febbraio 1970. Livello B quanto all'attribuzione della firma, che discende dalle date di titolarità della carica e non dalla lettura del documento, non aperto. Dominio 2.</w:t>
      </w:r>
    </w:p>
    <w:p>
      <w:pPr>
        <w:spacing w:after="120" w:line="276"/>
        <w:jc w:val="both"/>
      </w:pPr>
      <w:r>
        <w:rPr>
          <w:rFonts w:ascii="Barlow Semi Condensed" w:cs="Barlow Semi Condensed" w:eastAsia="Barlow Semi Condensed" w:hAnsi="Barlow Semi Condensed"/>
          <w:sz w:val="24"/>
          <w:szCs w:val="24"/>
        </w:rPr>
        <w:t xml:space="preserve">Blocco mirato numero 105 — ▶ Umberto La Rocca. Rappresentante permanente presso le Nazioni Unite, decimo titolare, in carica dal 1979 al 1984, fra i mandati di Vinci e di Maurizio Bucci. Firmatario istituzionale della lettera S/AC.20/27 del 27 giugno 1980. Livello B, per la medesima ragione. Dominio 2.</w:t>
      </w:r>
    </w:p>
    <w:p>
      <w:pPr>
        <w:spacing w:after="120" w:line="276"/>
        <w:jc w:val="both"/>
      </w:pPr>
      <w:r>
        <w:rPr>
          <w:rFonts w:ascii="Barlow Semi Condensed" w:cs="Barlow Semi Condensed" w:eastAsia="Barlow Semi Condensed" w:hAnsi="Barlow Semi Condensed"/>
          <w:sz w:val="24"/>
          <w:szCs w:val="24"/>
        </w:rPr>
        <w:t xml:space="preserve">Blocco mirato numero 106 — ▶ Denis Eugene Hurley. Nato a Città del Capo nel 1915 da genitori irlandesi, oblato di Maria Immacolata, vicario apostolico del Natal nel 1947, arcivescovo di Durban nel 1951 quale più giovane arcivescovo del mondo, presidente della conferenza episcopale sudafricana dal 1952 al 1961 e dal 1981 al 1987. Forza trainante della dichiarazione del 21 luglio 1957. Incriminato nel 1984 per false dichiarazioni sulle atrocità dell'unità Koevoet in Namibia, prosciolto nel 1985. Livello A quanto alle cariche e al procedimento; le fonti divergono sulla qualificazione giuridica dell'imputazione e la divergenza si riporta anziché comporre. Dominio 5.</w:t>
      </w:r>
    </w:p>
    <w:p>
      <w:pPr>
        <w:spacing w:after="120" w:line="276"/>
        <w:jc w:val="both"/>
      </w:pPr>
      <w:r>
        <w:rPr>
          <w:rFonts w:ascii="Barlow Semi Condensed" w:cs="Barlow Semi Condensed" w:eastAsia="Barlow Semi Condensed" w:hAnsi="Barlow Semi Condensed"/>
          <w:sz w:val="24"/>
          <w:szCs w:val="24"/>
        </w:rPr>
        <w:t xml:space="preserve">Blocco mirato numero 107 — ▶ Alfredo Poledrini. Delegato apostolico in Sudafrica dal 1971 al 1978. Livello A. Dominio 5. Il nodo si iscrive per una ragione sola e va enunciata: è il rappresentante pontificio in carica per l'intera durata del secondo mandato ministeriale di Aldo Moro e della sua presidenza del Consiglio. Nessun elemento documentale collega Poledrini ad alcun contatto italiano sulla materia sudafricana: reperto negativo, Livello A, con sede di verifica nell'Archivio Apostolico Vaticano, non accessibile.</w:t>
      </w:r>
    </w:p>
    <w:p>
      <w:pPr>
        <w:spacing w:after="120" w:line="276"/>
        <w:jc w:val="both"/>
      </w:pPr>
      <w:r>
        <w:rPr>
          <w:rFonts w:ascii="Barlow Semi Condensed" w:cs="Barlow Semi Condensed" w:eastAsia="Barlow Semi Condensed" w:hAnsi="Barlow Semi Condensed"/>
          <w:sz w:val="24"/>
          <w:szCs w:val="24"/>
        </w:rPr>
        <w:t xml:space="preserve">Blocco mirato numero 108 — ▶ Ambrose Battista De Paoli. Delegato apostolico dal 6 febbraio 1988 e primo nunzio apostolico in Sudafrica dal 25 giugno 1994 all'11 novembre 1997; delegato apostolico per la Namibia dal 5 marzo 1994. Livello A. Dominio 5. È il nodo-cerniera fra i 2 regimi diplomatici esposti al blocco 501.</w:t>
      </w:r>
    </w:p>
    <w:p>
      <w:pPr>
        <w:spacing w:after="120" w:line="276"/>
        <w:jc w:val="both"/>
      </w:pPr>
      <w:r>
        <w:rPr>
          <w:rFonts w:ascii="Barlow Semi Condensed" w:cs="Barlow Semi Condensed" w:eastAsia="Barlow Semi Condensed" w:hAnsi="Barlow Semi Condensed"/>
          <w:sz w:val="24"/>
          <w:szCs w:val="24"/>
        </w:rPr>
        <w:t xml:space="preserve">Blocco mirato numero 109 — ▶ Borromeo. Ambasciatore d'Italia a Tripoli dal 20 dicembre 1969 al 30 agosto 1971. Il rapporto di fine missione è conservato nel Fondo Aldo Moro presso l'Archivio Centrale dello Stato, busta 139, fascicolo 2.2. Livello A quanto alla segnatura e alle date. Il nome di battesimo non è stato reperito: esito negativo dichiarato, sede l'annuario diplomatico del Ministero per il 1970-1971. Dominio 2.</w:t>
      </w:r>
    </w:p>
    <w:p>
      <w:pPr>
        <w:spacing w:after="120" w:line="276"/>
        <w:jc w:val="both"/>
      </w:pPr>
      <w:r>
        <w:rPr>
          <w:rFonts w:ascii="Barlow Semi Condensed" w:cs="Barlow Semi Condensed" w:eastAsia="Barlow Semi Condensed" w:hAnsi="Barlow Semi Condensed"/>
          <w:sz w:val="24"/>
          <w:szCs w:val="24"/>
        </w:rPr>
        <w:t xml:space="preserve">Blocco mirato numero 110 — ▶ Eugenio Carbone. Direttore generale del Ministero dell'Industria, titolare del canale attraverso cui fu condotto il negoziato per gli Accordi di Osimo, predisposto nel 1973 dai ministri Medici e Minić. Livello A. Domini 2 e 6. Il nodo ha portata metodologica generale esposta al blocco 703.</w:t>
      </w:r>
    </w:p>
    <w:p>
      <w:pPr>
        <w:spacing w:after="120" w:line="276"/>
        <w:jc w:val="both"/>
      </w:pPr>
      <w:r>
        <w:rPr>
          <w:rFonts w:ascii="Barlow Semi Condensed" w:cs="Barlow Semi Condensed" w:eastAsia="Barlow Semi Condensed" w:hAnsi="Barlow Semi Condensed"/>
          <w:sz w:val="24"/>
          <w:szCs w:val="24"/>
        </w:rPr>
        <w:t xml:space="preserve">Blocco mirato numero 111 — ▶ Camillo Giurati. Ambasciatore dimessosi alla vigilia della firma degli Accordi di Osimo. Livello A. Dominio 2. La dimissione è il riscontro per conflitto dell'aggiramento della Farnesina: un ambasciatore si dimette quando il proprio ministero viene scavalcato, e la dimissione prova che l'aggiramento fu reale e percepito come tale. Livello B quanto a tale lettura, che è inferenza dal fatto e non dichiarazione dell'interessato.</w:t>
      </w:r>
    </w:p>
    <w:p>
      <w:pPr>
        <w:spacing w:after="120" w:line="276"/>
        <w:jc w:val="both"/>
      </w:pPr>
      <w:r>
        <w:rPr>
          <w:rFonts w:ascii="Barlow Semi Condensed" w:cs="Barlow Semi Condensed" w:eastAsia="Barlow Semi Condensed" w:hAnsi="Barlow Semi Condensed"/>
          <w:sz w:val="24"/>
          <w:szCs w:val="24"/>
        </w:rPr>
        <w:t xml:space="preserve">Blocco mirato numero 112 — ▶ Hans-Dietrich Genscher. Ministro degli Esteri della Repubblica Federale di Germania. Nella conferenza tenuta alla Humboldt-Universität il 13 aprile 2010 attestò che l'inclusione tedesca nel Gruppo di contatto occidentale discendeva dall'elezione della Repubblica Federale a membro non permanente del Consiglio di sicurezza nel 1976, e che il consolato di Windhoek fu chiuso alla fine dell'ottobre 1977 per rimuovere l'equivoco di un riconoscimento del dominio sudafricano sulla Namibia. Livello B, trattandosi di memoria di protagonista. Dominio 2 estero.</w:t>
      </w:r>
    </w:p>
    <w:p>
      <w:pPr>
        <w:spacing w:after="120" w:line="276"/>
        <w:jc w:val="both"/>
      </w:pPr>
      <w:r>
        <w:rPr>
          <w:rFonts w:ascii="Barlow Semi Condensed" w:cs="Barlow Semi Condensed" w:eastAsia="Barlow Semi Condensed" w:hAnsi="Barlow Semi Condensed"/>
          <w:sz w:val="24"/>
          <w:szCs w:val="24"/>
        </w:rPr>
        <w:t xml:space="preserve">Blocco mirato numero 113 — ▶ Erwin Willy Becker. Professore presso il centro di ricerca di Karlsruhe, ideatore del metodo a getto da cui derivò il processo sudafricano di separazione a vortice Helikon, con cooperazione di scienziati sudafricani dal 1974. Livello A quanto alla derivazione tecnica; Livello C quanto a ogni inferenza su una cooperazione nucleare militare governativa, che la storiografia fondata su archivi giudica non sostenuta. Dominio 6 estero.</w:t>
      </w:r>
    </w:p>
    <w:p>
      <w:pPr>
        <w:spacing w:after="120" w:line="276"/>
        <w:jc w:val="both"/>
      </w:pPr>
      <w:r>
        <w:rPr>
          <w:rFonts w:ascii="Barlow Semi Condensed" w:cs="Barlow Semi Condensed" w:eastAsia="Barlow Semi Condensed" w:hAnsi="Barlow Semi Condensed"/>
          <w:sz w:val="24"/>
          <w:szCs w:val="24"/>
        </w:rPr>
        <w:t xml:space="preserve">Blocco mirato numero 114 — ▶ Fritz Pirkl. Ex ministro bavarese del lavoro della Christlich-Soziale Union, membro del comitato della Deutsch-Südafrikanische Gesellschaft e primo presidente della Hanns-Seidel-Stiftung. Livello A quanto alla doppia appartenenza, che è fatto pubblico documentato. Nessun livello quanto a una condotta della fondazione o del partito, che l'appartenenza di una persona a 2 organizzazioni non prova. Dominio 2 estero. Il nodo si iscrive quale indizio di prossimità di ambienti e non quale prova di nesso operativo.</w:t>
      </w:r>
    </w:p>
    <w:p>
      <w:pPr>
        <w:pStyle w:val="Heading2"/>
        <w:spacing w:after="100" w:before="200"/>
      </w:pPr>
      <w:r>
        <w:rPr>
          <w:rFonts w:ascii="Barlow Semi Condensed" w:cs="Barlow Semi Condensed" w:eastAsia="Barlow Semi Condensed" w:hAnsi="Barlow Semi Condensed"/>
          <w:sz w:val="24"/>
          <w:szCs w:val="24"/>
        </w:rPr>
        <w:t xml:space="preserve">II — NODI ORGANIZZATIVI VERSATI</w:t>
      </w:r>
    </w:p>
    <w:p>
      <w:pPr>
        <w:spacing w:after="120" w:line="276"/>
        <w:jc w:val="both"/>
      </w:pPr>
      <w:r>
        <w:rPr>
          <w:rFonts w:ascii="Barlow Semi Condensed" w:cs="Barlow Semi Condensed" w:eastAsia="Barlow Semi Condensed" w:hAnsi="Barlow Semi Condensed"/>
          <w:sz w:val="24"/>
          <w:szCs w:val="24"/>
        </w:rPr>
        <w:t xml:space="preserve">Blocco mirato numero 201 — ◆ Aeronautica Macchi. Impresa aeronautica di Varese, produttrice dell'MB-326. Concesse nel 1964 al Sudafrica la licenza di produzione della versione M, denominata localmente Impala Mark primo, con produzione locale avviata nel 1966. Livello A quanto alla licenza, all'anno e all'oggetto; esito negativo quanto ai termini contrattuali — durata, corrispettivi, clausole di riesportazione, clausole di rinnovo — non reperiti. Sede: archivio aziendale confluito nel gruppo Leonardo e archivio storico di Finmeccanica. Dominio 6.</w:t>
      </w:r>
    </w:p>
    <w:p>
      <w:pPr>
        <w:spacing w:after="120" w:line="276"/>
        <w:jc w:val="both"/>
      </w:pPr>
      <w:r>
        <w:rPr>
          <w:rFonts w:ascii="Barlow Semi Condensed" w:cs="Barlow Semi Condensed" w:eastAsia="Barlow Semi Condensed" w:hAnsi="Barlow Semi Condensed"/>
          <w:sz w:val="24"/>
          <w:szCs w:val="24"/>
        </w:rPr>
        <w:t xml:space="preserve">Blocco mirato numero 202 — ◆ Atlas Aircraft Corporation. Costituita nel 1965 allo scopo precipuo di fabbricare localmente velivoli militari per la South African Air Force; riorganizzata nel 1968 e posta sotto il controllo dell'Armaments Corporation of South Africa. Livello A. Domini 6 e 9 esteri. Il dato che qualifica il nodo: l'MB-326 fu il primo velivolo prodotto su licenza in Sudafrica, e il programma servì da leva per la costituzione di un'industria aeronautica nazionale secondo un disegno di sostituzione delle importazioni che le pressioni internazionali rendevano necessario. Livello A.</w:t>
      </w:r>
    </w:p>
    <w:p>
      <w:pPr>
        <w:spacing w:after="120" w:line="276"/>
        <w:jc w:val="both"/>
      </w:pPr>
      <w:r>
        <w:rPr>
          <w:rFonts w:ascii="Barlow Semi Condensed" w:cs="Barlow Semi Condensed" w:eastAsia="Barlow Semi Condensed" w:hAnsi="Barlow Semi Condensed"/>
          <w:sz w:val="24"/>
          <w:szCs w:val="24"/>
        </w:rPr>
        <w:t xml:space="preserve">Blocco mirato numero 203 — ◆ Piaggio. Produttrice in Italia, su licenza della Bristol Siddeley stabilita nel 1959, del turbogetto Viper modello Mark 22 destinato all'addestratore Aermacchi. Livello A, attestato dal Museo Motori dell'Università di Palermo. Dominio 6. È l'anello che il blocco 401 qualifica.</w:t>
      </w:r>
    </w:p>
    <w:p>
      <w:pPr>
        <w:spacing w:after="120" w:line="276"/>
        <w:jc w:val="both"/>
      </w:pPr>
      <w:r>
        <w:rPr>
          <w:rFonts w:ascii="Barlow Semi Condensed" w:cs="Barlow Semi Condensed" w:eastAsia="Barlow Semi Condensed" w:hAnsi="Barlow Semi Condensed"/>
          <w:sz w:val="24"/>
          <w:szCs w:val="24"/>
        </w:rPr>
        <w:t xml:space="preserve">Blocco mirato numero 204 — ◆ FIAT. Produttrice in Italia della più potente serie 600 del medesimo turbogetto, destinata alle varianti da attacco. Livello A, medesima fonte. Dominio 6.</w:t>
      </w:r>
    </w:p>
    <w:p>
      <w:pPr>
        <w:spacing w:after="120" w:line="276"/>
        <w:jc w:val="both"/>
      </w:pPr>
      <w:r>
        <w:rPr>
          <w:rFonts w:ascii="Barlow Semi Condensed" w:cs="Barlow Semi Condensed" w:eastAsia="Barlow Semi Condensed" w:hAnsi="Barlow Semi Condensed"/>
          <w:sz w:val="24"/>
          <w:szCs w:val="24"/>
        </w:rPr>
        <w:t xml:space="preserve">Blocco mirato numero 205 — ◆ Comitato del Consiglio di sicurezza istituito dalla risoluzione 421. Organo di sorveglianza dell'embargo obbligatorio, istituito il 9 dicembre 1977. Dinanzi ad esso furono formulate nel 1980 le accuse cui l'Italia rispose. Livello A. Dominio 2 internazionale.</w:t>
      </w:r>
    </w:p>
    <w:p>
      <w:pPr>
        <w:spacing w:after="120" w:line="276"/>
        <w:jc w:val="both"/>
      </w:pPr>
      <w:r>
        <w:rPr>
          <w:rFonts w:ascii="Barlow Semi Condensed" w:cs="Barlow Semi Condensed" w:eastAsia="Barlow Semi Condensed" w:hAnsi="Barlow Semi Condensed"/>
          <w:sz w:val="24"/>
          <w:szCs w:val="24"/>
        </w:rPr>
        <w:t xml:space="preserve">Blocco mirato numero 206 — ◆ Gruppo di contatto occidentale sulla Namibia. Costituito nell'aprile 1977, composto da Stati Uniti, Regno Unito, Francia, Canada e Repubblica Federale di Germania, operante attivamente sino alla metà del 1982 e sciolto attorno al 1983. Livello A. Il criterio di appartenenza era il seggio occidentale nel Consiglio di sicurezza nel 1977: 3 membri permanenti e i 2 non permanenti occidentali allora in carica. Livello A. Dominio 2 internazionale.</w:t>
      </w:r>
    </w:p>
    <w:p>
      <w:pPr>
        <w:spacing w:after="120" w:line="276"/>
        <w:jc w:val="both"/>
      </w:pPr>
      <w:r>
        <w:rPr>
          <w:rFonts w:ascii="Barlow Semi Condensed" w:cs="Barlow Semi Condensed" w:eastAsia="Barlow Semi Condensed" w:hAnsi="Barlow Semi Condensed"/>
          <w:sz w:val="24"/>
          <w:szCs w:val="24"/>
        </w:rPr>
        <w:t xml:space="preserve">Blocco mirato numero 207 — ◆ Delegazione apostolica di Pretoria. Istituita da Pio XI il 7 dicembre 1922, organo di rappresentanza presso la Chiesa locale e non presso lo Stato; il delegato non ha status di ambasciatore, non presenta credenziali al capo dello Stato, non gode delle immunità diplomatiche piene. Ebbe 9 titolari e fu elevata a nunziatura apostolica il 25 giugno 1994. Livello A. Dominio 5.</w:t>
      </w:r>
    </w:p>
    <w:p>
      <w:pPr>
        <w:spacing w:after="120" w:line="276"/>
        <w:jc w:val="both"/>
      </w:pPr>
      <w:r>
        <w:rPr>
          <w:rFonts w:ascii="Barlow Semi Condensed" w:cs="Barlow Semi Condensed" w:eastAsia="Barlow Semi Condensed" w:hAnsi="Barlow Semi Condensed"/>
          <w:sz w:val="24"/>
          <w:szCs w:val="24"/>
        </w:rPr>
        <w:t xml:space="preserve">Blocco mirato numero 208 — ◆ Southern African Catholic Bishops' Conference. Costituita nel 1947; prima pronuncia contro il razzismo nel 1952; condanna dell'apartheid quale intrinsecamente malvagio nella lettera pastorale letta in tutte le chiese cattoliche il 21 luglio 1957, ritenuta il primo caso in cui un corpo cristiano applicò tale qualificazione al sistema. Livello A. Dominio 5. Fondò nel 1986 il settimanale New Nation, bandito nel 1988; la sua sede Khanya House fu fatta oggetto di attentato dinamitardo nell'ottobre 1988, per il quale nel 2000 la Commissione per la verità e la riconciliazione concesse l'amnistia a 19 ex membri della polizia di sicurezza, incluso Eugene de Kock. Livello A.</w:t>
      </w:r>
    </w:p>
    <w:p>
      <w:pPr>
        <w:spacing w:after="120" w:line="276"/>
        <w:jc w:val="both"/>
      </w:pPr>
      <w:r>
        <w:rPr>
          <w:rFonts w:ascii="Barlow Semi Condensed" w:cs="Barlow Semi Condensed" w:eastAsia="Barlow Semi Condensed" w:hAnsi="Barlow Semi Condensed"/>
          <w:sz w:val="24"/>
          <w:szCs w:val="24"/>
        </w:rPr>
        <w:t xml:space="preserve">Blocco mirato numero 209 — ◆ World Campaign against Military and Nuclear Collaboration with South Africa. Lanciato a Oslo il 28 marzo 1979; riconosciuto dalle Nazioni Unite quale fonte primaria di informazione sulle violazioni degli embarghi. Livello A. Domini 2 e 8.</w:t>
      </w:r>
    </w:p>
    <w:p>
      <w:pPr>
        <w:spacing w:after="120" w:line="276"/>
        <w:jc w:val="both"/>
      </w:pPr>
      <w:r>
        <w:rPr>
          <w:rFonts w:ascii="Barlow Semi Condensed" w:cs="Barlow Semi Condensed" w:eastAsia="Barlow Semi Condensed" w:hAnsi="Barlow Semi Condensed"/>
          <w:sz w:val="24"/>
          <w:szCs w:val="24"/>
        </w:rPr>
        <w:t xml:space="preserve">Blocco mirato numero 210 — ◆ Steinkohlen-Elektrizität. Società tedesca che agevolò il trasferimento al Sudafrica del processo di arricchimento dell'uranio a ugello e che intendeva concedere alla corporazione sudafricana un'opzione per una sub-licenza di fabbricazione. Livello B, poiché la base documentale primaria risale in parte a documenti resi noti da fonte militante di parte. Dominio 6 estero.</w:t>
      </w:r>
    </w:p>
    <w:p>
      <w:pPr>
        <w:spacing w:after="120" w:line="276"/>
        <w:jc w:val="both"/>
      </w:pPr>
      <w:r>
        <w:rPr>
          <w:rFonts w:ascii="Barlow Semi Condensed" w:cs="Barlow Semi Condensed" w:eastAsia="Barlow Semi Condensed" w:hAnsi="Barlow Semi Condensed"/>
          <w:sz w:val="24"/>
          <w:szCs w:val="24"/>
        </w:rPr>
        <w:t xml:space="preserve">Blocco mirato numero 211 — ◆ Uranium Enrichment Corporation e impianto di Valindaba. Costruzione avviata nell'agosto 1971, operatività nel maggio 1975, produzione di uranio altamente arricchito dal 1978, chiusura definitiva il 1 febbraio 1990. Livello A. Dominio 9 estero.</w:t>
      </w:r>
    </w:p>
    <w:p>
      <w:pPr>
        <w:spacing w:after="120" w:line="276"/>
        <w:jc w:val="both"/>
      </w:pPr>
      <w:r>
        <w:rPr>
          <w:rFonts w:ascii="Barlow Semi Condensed" w:cs="Barlow Semi Condensed" w:eastAsia="Barlow Semi Condensed" w:hAnsi="Barlow Semi Condensed"/>
          <w:sz w:val="24"/>
          <w:szCs w:val="24"/>
        </w:rPr>
        <w:t xml:space="preserve">Blocco mirato numero 212 — ◆ Howaldtswerke-Deutsche Werft e Ingenieurkontor Lübeck. Imprese di Kiel che consegnarono al Sudafrica piani costruttivi per 4 sommergibili di tipo 209 senza la richiesta autorizzazione, con prezzo di 46 milioni di marchi iscritto in bilancio. Livello A quanto alla fornitura non autorizzata, accertata dal comitato d'inchiesta parlamentare attivo dal 1986 al 1990; Livello C quanto alla catena di responsabilità politiche e alle provvigioni, che il comitato dichiarò non chiarite. Domini 6 e 9 esteri.</w:t>
      </w:r>
    </w:p>
    <w:p>
      <w:pPr>
        <w:spacing w:after="120" w:line="276"/>
        <w:jc w:val="both"/>
      </w:pPr>
      <w:r>
        <w:rPr>
          <w:rFonts w:ascii="Barlow Semi Condensed" w:cs="Barlow Semi Condensed" w:eastAsia="Barlow Semi Condensed" w:hAnsi="Barlow Semi Condensed"/>
          <w:sz w:val="24"/>
          <w:szCs w:val="24"/>
        </w:rPr>
        <w:t xml:space="preserve">Blocco mirato numero 213 — ◆ Hanns-Seidel-Stiftung e Deutsch-Südafrikanische Gesellschaft. La prima, vicina alla Christlich-Soziale Union, operante in Namibia dal 1978 con ufficio a Windhoek e in Sudafrica dal 1991. Livello A quanto alle date; esito negativo quanto al contenuto puntuale delle attività nel biennio 1978-1980. La seconda, descritta quale maggiore società bilaterale tedesca con 3.000-5.000 membri dichiarati, ma alla quale una fonte d'autore attribuisce di non avere mai svolto ruolo degno di nota nella Bonn politica, proprio perché i suoi rapporti con Pretoria erano troppo stretti. Livello B. Dominio 2 estero.</w:t>
      </w:r>
    </w:p>
    <w:p>
      <w:pPr>
        <w:pStyle w:val="Heading2"/>
        <w:spacing w:after="100" w:before="200"/>
      </w:pPr>
      <w:r>
        <w:rPr>
          <w:rFonts w:ascii="Barlow Semi Condensed" w:cs="Barlow Semi Condensed" w:eastAsia="Barlow Semi Condensed" w:hAnsi="Barlow Semi Condensed"/>
          <w:sz w:val="24"/>
          <w:szCs w:val="24"/>
        </w:rPr>
        <w:t xml:space="preserve">III — NODI-EVENTO VERSATI</w:t>
      </w:r>
    </w:p>
    <w:p>
      <w:pPr>
        <w:spacing w:after="120" w:line="276"/>
        <w:jc w:val="both"/>
      </w:pPr>
      <w:r>
        <w:rPr>
          <w:rFonts w:ascii="Barlow Semi Condensed" w:cs="Barlow Semi Condensed" w:eastAsia="Barlow Semi Condensed" w:hAnsi="Barlow Semi Condensed"/>
          <w:sz w:val="24"/>
          <w:szCs w:val="24"/>
        </w:rPr>
        <w:t xml:space="preserve">Blocco mirato numero 301 — ■ 6 e 13 febbraio 1970. Le 2 confutazioni parallele. Il 27 e 28 gennaio 1970, nella 1527ª seduta del Consiglio di sicurezza, il rappresentante dello Zambia affermò che l'Italia aveva rifiutato di imporre un divieto alla vendita di armi al Sudafrica. Il 6 febbraio 1970 il Rappresentante permanente d'Italia indirizzò al Presidente del Consiglio la lettera S/9640, che confutava l'affermazione. L'11 febbraio 1970 l'Osservatore permanente supplente della Repubblica Federale di Germania trasmise una confutazione della medesima dichiarazione, allegata alla nota del Presidente S/9648 del 13 febbraio. Livello A quanto ai 3 fatti e alle 3 date. Livello C quanto a ogni coordinamento fra Roma e Bonn, che nessuna fonte attesta e che la simultaneità non prova.</w:t>
      </w:r>
    </w:p>
    <w:p>
      <w:pPr>
        <w:spacing w:after="120" w:line="276"/>
        <w:jc w:val="both"/>
      </w:pPr>
      <w:r>
        <w:rPr>
          <w:rFonts w:ascii="Barlow Semi Condensed" w:cs="Barlow Semi Condensed" w:eastAsia="Barlow Semi Condensed" w:hAnsi="Barlow Semi Condensed"/>
          <w:sz w:val="24"/>
          <w:szCs w:val="24"/>
        </w:rPr>
        <w:t xml:space="preserve">Blocco mirato numero 302 — ■ 21 luglio 1970. La legge libica di confisca. Il Consiglio del Comando della Rivoluzione promulgò le leggi che disposero la confisca dei beni della comunità italiana, con obbligo di dichiarazione e pene detentive. La natura giuridica fu di legge di confisca su base di cittadinanza e non di nazionalizzazione economica. Livello A. Domini 2 e 6.</w:t>
      </w:r>
    </w:p>
    <w:p>
      <w:pPr>
        <w:spacing w:after="120" w:line="276"/>
        <w:jc w:val="both"/>
      </w:pPr>
      <w:r>
        <w:rPr>
          <w:rFonts w:ascii="Barlow Semi Condensed" w:cs="Barlow Semi Condensed" w:eastAsia="Barlow Semi Condensed" w:hAnsi="Barlow Semi Condensed"/>
          <w:sz w:val="24"/>
          <w:szCs w:val="24"/>
        </w:rPr>
        <w:t xml:space="preserve">Blocco mirato numero 303 — ■ 7-15 ottobre 1970. L'esodo. Ultimatum del 7 ottobre, consacrato dal regime quale giorno della vendetta; espulsione perfezionata entro il 15 ottobre; traghettamento organizzato attraverso il Ministero della Marina Mercantile con 9 navi. Sul numero degli espulsi le stime oscillano fra 15.000, 17.000, 20.000 e 35.000 secondo il criterio adottato, e la divergenza si riporta anziché comporre. Livello A quanto alle date e all'organizzazione; Livello B quanto al numero.</w:t>
      </w:r>
    </w:p>
    <w:p>
      <w:pPr>
        <w:spacing w:after="120" w:line="276"/>
        <w:jc w:val="both"/>
      </w:pPr>
      <w:r>
        <w:rPr>
          <w:rFonts w:ascii="Barlow Semi Condensed" w:cs="Barlow Semi Condensed" w:eastAsia="Barlow Semi Condensed" w:hAnsi="Barlow Semi Condensed"/>
          <w:sz w:val="24"/>
          <w:szCs w:val="24"/>
        </w:rPr>
        <w:t xml:space="preserve">Blocco mirato numero 304 — ■ Marzo 1971. Il Conquistador Tredicesimo. L'Italia contribuì a far fallire un tentativo di colpo di Stato anti-Gheddafi, con il sequestro a Trieste del battello destinato all'operazione. Livello B. Domini 2 e 3.</w:t>
      </w:r>
    </w:p>
    <w:p>
      <w:pPr>
        <w:spacing w:after="120" w:line="276"/>
        <w:jc w:val="both"/>
      </w:pPr>
      <w:r>
        <w:rPr>
          <w:rFonts w:ascii="Barlow Semi Condensed" w:cs="Barlow Semi Condensed" w:eastAsia="Barlow Semi Condensed" w:hAnsi="Barlow Semi Condensed"/>
          <w:sz w:val="24"/>
          <w:szCs w:val="24"/>
        </w:rPr>
        <w:t xml:space="preserve">Blocco mirato numero 305 — ■ 5 maggio 1971. Moro a Tripoli. Il ministro degli Esteri si recò a Tripoli e incontrò Gheddafi; dell'incontro resta traccia nel Fondo Aldo Moro presso l'Archivio storico del Senato. Livello A. Dominio 2. Il fatto si registra e la sua lettura si rimette: 18 mesi dopo la confisca dei beni di circa 20.000 cittadini italiani, il loro ministro degli Esteri andò nella capitale che li aveva espropriati.</w:t>
      </w:r>
    </w:p>
    <w:p>
      <w:pPr>
        <w:spacing w:after="120" w:line="276"/>
        <w:jc w:val="both"/>
      </w:pPr>
      <w:r>
        <w:rPr>
          <w:rFonts w:ascii="Barlow Semi Condensed" w:cs="Barlow Semi Condensed" w:eastAsia="Barlow Semi Condensed" w:hAnsi="Barlow Semi Condensed"/>
          <w:sz w:val="24"/>
          <w:szCs w:val="24"/>
        </w:rPr>
        <w:t xml:space="preserve">Blocco mirato numero 306 — ■ 30 settembre 1974. Il doppio voto. Nella medesima giornata l'Italia votò contro la risoluzione 3206, sul rifiuto delle credenziali della delegazione sudafricana, adottata con 98 favorevoli, 23 contrari e 14 astenuti, e a favore della risoluzione 3207, sulla relazione fra Nazioni Unite e Sudafrica, adottata con 125 favorevoli, 1 contrario e 9 astenuti. Livello A. Dominio 2.</w:t>
      </w:r>
    </w:p>
    <w:p>
      <w:pPr>
        <w:spacing w:after="120" w:line="276"/>
        <w:jc w:val="both"/>
      </w:pPr>
      <w:r>
        <w:rPr>
          <w:rFonts w:ascii="Barlow Semi Condensed" w:cs="Barlow Semi Condensed" w:eastAsia="Barlow Semi Condensed" w:hAnsi="Barlow Semi Condensed"/>
          <w:sz w:val="24"/>
          <w:szCs w:val="24"/>
        </w:rPr>
        <w:t xml:space="preserve">Blocco mirato numero 307 — ■ 20 dicembre 1976. Il voto sul riconoscimento della SWAPO. Risoluzione 31/146, adottata con 107 favorevoli, 6 contrari e 12 astenuti. L'Italia si astenne; Belgio, Francia, Germania Federale, Lussemburgo, Regno Unito e Stati Uniti votarono contro. Livello A, verificato sul record di voto. Dominio 2.</w:t>
      </w:r>
    </w:p>
    <w:p>
      <w:pPr>
        <w:spacing w:after="120" w:line="276"/>
        <w:jc w:val="both"/>
      </w:pPr>
      <w:r>
        <w:rPr>
          <w:rFonts w:ascii="Barlow Semi Condensed" w:cs="Barlow Semi Condensed" w:eastAsia="Barlow Semi Condensed" w:hAnsi="Barlow Semi Condensed"/>
          <w:sz w:val="24"/>
          <w:szCs w:val="24"/>
        </w:rPr>
        <w:t xml:space="preserve">Blocco mirato numero 308 — ■ 4 novembre 1977. La risoluzione 418. L'embargo sulle armi divenne obbligatorio ai sensi del Capitolo settimo, con 15 voti favorevoli, nessun contrario, nessun astenuto: primo caso di sanzioni obbligatorie imposte a uno Stato membro. Livello A. Il registro possiede già questa data-cerniera e il presente blocco la richiama soltanto per collocarvi i nodi versati.</w:t>
      </w:r>
    </w:p>
    <w:p>
      <w:pPr>
        <w:spacing w:after="120" w:line="276"/>
        <w:jc w:val="both"/>
      </w:pPr>
      <w:r>
        <w:rPr>
          <w:rFonts w:ascii="Barlow Semi Condensed" w:cs="Barlow Semi Condensed" w:eastAsia="Barlow Semi Condensed" w:hAnsi="Barlow Semi Condensed"/>
          <w:sz w:val="24"/>
          <w:szCs w:val="24"/>
        </w:rPr>
        <w:t xml:space="preserve">Blocco mirato numero 309 — ■ 27 giugno 1980. La seconda confutazione italiana. Lettera S/AC.20/27 del Rappresentante permanente al Presidente del Comitato istituito dalla risoluzione 421, che nega accuse di violazione dell'embargo contenute nella dichiarazione di Abdul Minty. Livello A quanto all'esistenza, alla data e all'oggetto; il testo del corpo non è stato acquisito, e la dichiarazione di Minty che lo provocò, verbale S/AC.20/SR.25, appartiene alla serie delle riunioni chiuse e non è reperita. Dominio 2.</w:t>
      </w:r>
    </w:p>
    <w:p>
      <w:pPr>
        <w:spacing w:after="120" w:line="276"/>
        <w:jc w:val="both"/>
      </w:pPr>
      <w:r>
        <w:rPr>
          <w:rFonts w:ascii="Barlow Semi Condensed" w:cs="Barlow Semi Condensed" w:eastAsia="Barlow Semi Condensed" w:hAnsi="Barlow Semi Condensed"/>
          <w:sz w:val="24"/>
          <w:szCs w:val="24"/>
        </w:rPr>
        <w:t xml:space="preserve">Blocco mirato numero 310 — ■ 26 novembre 1986. La rivelazione di Kiel. Un quotidiano locale rivelò la consegna non autorizzata al Sudafrica di piani per 4 sommergibili; il 10 dicembre 1986 fu istituito il comitato d'inchiesta parlamentare, attivo sino al 1990, la cui raccomandazione conclusiva fu disomogenea e i cui fatti centrali rimasero non chiariti. Livello A quanto alla rivelazione e all'inchiesta; Livello C quanto alle responsabilità politiche. Domini 2, 6 e 9 esteri.</w:t>
      </w:r>
    </w:p>
    <w:p>
      <w:pPr>
        <w:spacing w:after="120" w:line="276"/>
        <w:jc w:val="both"/>
      </w:pPr>
      <w:r>
        <w:rPr>
          <w:rFonts w:ascii="Barlow Semi Condensed" w:cs="Barlow Semi Condensed" w:eastAsia="Barlow Semi Condensed" w:hAnsi="Barlow Semi Condensed"/>
          <w:sz w:val="24"/>
          <w:szCs w:val="24"/>
        </w:rPr>
        <w:t xml:space="preserve">Blocco mirato numero 311 — ■ Settembre 1988. Il viaggio che circondò il Sudafrica. Giovanni Paolo II compì un itinerario di 10 giorni in 5 Stati confinanti — Zimbabwe, Botswana, Lesotho, Swaziland e Mozambico — escludendo deliberatamente il Sudafrica a causa dell'apartheid e su esplicito consiglio dei vescovi sudafricani. Livello A. Il 14 settembre il maltempo mise fuori uso i radiofari di Maseru e l'aereo pontificio fu costretto ad atterrare a Johannesburg, dove il ministro degli Esteri Roelof Botha lo accolse; un corteo di 25 automobili portò la delegazione in Lesotho per via terrestre. Livello A. Dominio 5.</w:t>
      </w:r>
    </w:p>
    <w:p>
      <w:pPr>
        <w:spacing w:after="120" w:line="276"/>
        <w:jc w:val="both"/>
      </w:pPr>
      <w:r>
        <w:rPr>
          <w:rFonts w:ascii="Barlow Semi Condensed" w:cs="Barlow Semi Condensed" w:eastAsia="Barlow Semi Condensed" w:hAnsi="Barlow Semi Condensed"/>
          <w:sz w:val="24"/>
          <w:szCs w:val="24"/>
        </w:rPr>
        <w:t xml:space="preserve">Blocco mirato numero 312 — ■ 15 e 25 giugno 1994. L'apertura delle relazioni. Firma del protocollo diplomatico fra Giovanni Paolo II e Nelson Mandela il 15 giugno; erezione della nunziatura apostolica di Pretoria il 25 giugno. Livello A, confermato dal pontefice medesimo nel discorso di arrivo del 1995. Dominio 5.</w:t>
      </w:r>
    </w:p>
    <w:p>
      <w:pPr>
        <w:pStyle w:val="Heading2"/>
        <w:spacing w:after="100" w:before="200"/>
      </w:pPr>
      <w:r>
        <w:rPr>
          <w:rFonts w:ascii="Barlow Semi Condensed" w:cs="Barlow Semi Condensed" w:eastAsia="Barlow Semi Condensed" w:hAnsi="Barlow Semi Condensed"/>
          <w:sz w:val="24"/>
          <w:szCs w:val="24"/>
        </w:rPr>
        <w:t xml:space="preserve">IV — I PONTI</w:t>
      </w:r>
    </w:p>
    <w:p>
      <w:pPr>
        <w:spacing w:after="120" w:line="276"/>
        <w:jc w:val="both"/>
      </w:pPr>
      <w:r>
        <w:rPr>
          <w:rFonts w:ascii="Barlow Semi Condensed" w:cs="Barlow Semi Condensed" w:eastAsia="Barlow Semi Condensed" w:hAnsi="Barlow Semi Condensed"/>
          <w:sz w:val="24"/>
          <w:szCs w:val="24"/>
        </w:rPr>
        <w:t xml:space="preserve">Blocco mirato numero 401 — Il ponte di transito Bristol Siddeley-Piaggio-Atlas. È il ponte principale versato dal presente registro e va esposto per anelli. Anello primo: la Bristol Siddeley britannica concede nel 1959 alla Piaggio la licenza di produzione del turbogetto Viper. Anello secondo: la Piaggio produce in Italia il modello Mark 22 destinato all'MB-326, mentre la FIAT produce la serie 600 per le varianti da attacco. Anello terzo: il Sudafrica riceve il motore attraverso la catena della sub-licenza italiana e non direttamente dal Regno Unito. Livello A quanto ai 3 anelli.</w:t>
      </w:r>
    </w:p>
    <w:p>
      <w:pPr>
        <w:spacing w:after="120" w:line="276"/>
        <w:jc w:val="both"/>
      </w:pPr>
      <w:r>
        <w:rPr>
          <w:rFonts w:ascii="Barlow Semi Condensed" w:cs="Barlow Semi Condensed" w:eastAsia="Barlow Semi Condensed" w:hAnsi="Barlow Semi Condensed"/>
          <w:sz w:val="24"/>
          <w:szCs w:val="24"/>
        </w:rPr>
        <w:t xml:space="preserve">Blocco mirato numero 402 — Il documento che nomina l'Italia. Un rapporto declassificato della Central Intelligence Agency intitolato \</w:t>
      </w:r>
      <w:r>
        <w:rPr>
          <w:rFonts w:ascii="Barlow Semi Condensed" w:cs="Barlow Semi Condensed" w:eastAsia="Barlow Semi Condensed" w:hAnsi="Barlow Semi Condensed"/>
          <w:i/>
          <w:iCs/>
          <w:sz w:val="24"/>
          <w:szCs w:val="24"/>
        </w:rPr>
        <w:t xml:space="preserve">South Africa: Evading the Arms Embargo\</w:t>
      </w:r>
      <w:r>
        <w:rPr>
          <w:rFonts w:ascii="Barlow Semi Condensed" w:cs="Barlow Semi Condensed" w:eastAsia="Barlow Semi Condensed" w:hAnsi="Barlow Semi Condensed"/>
          <w:sz w:val="24"/>
          <w:szCs w:val="24"/>
        </w:rPr>
        <w:t xml:space="preserve">, reso disponibile nel 2018 con segnatura C06283667, nell'elencare i sistemi prodotti localmente registra il motore Viper con l'annotazione che la produzione fu autorizzata su licenza dall'Italia per l'Impala; e alla voce Impala registra che si tratta di copia su licenza dell'italiano MB 326, prodotto dal 1964 al 1986. Livello B, trattandosi di documento d'intelligence di natura valutativa e non giudiziaria, ma il cui tenore è univoco.</w:t>
      </w:r>
    </w:p>
    <w:p>
      <w:pPr>
        <w:spacing w:after="120" w:line="276"/>
        <w:jc w:val="both"/>
      </w:pPr>
      <w:r>
        <w:rPr>
          <w:rFonts w:ascii="Barlow Semi Condensed" w:cs="Barlow Semi Condensed" w:eastAsia="Barlow Semi Condensed" w:hAnsi="Barlow Semi Condensed"/>
          <w:sz w:val="24"/>
          <w:szCs w:val="24"/>
        </w:rPr>
        <w:t xml:space="preserve">Blocco mirato numero 403 — Perché la responsabilità si concentra sull'Italia. La licenza britannica alla Piaggio è del 1959, anteriore a ogni embargo, anche a quello raccomandato del 1963; la struttura della catena colloca perciò l'anello decisionale rilevante in Italia. Livello B, trattandosi di lettura strutturale. Esito negativo dichiarato: non è stato reperito alcun documento in cui la Rolls-Royce o il governo britannico autorizzino espressamente la produzione sudafricana del Viper.</w:t>
      </w:r>
    </w:p>
    <w:p>
      <w:pPr>
        <w:spacing w:after="120" w:line="276"/>
        <w:jc w:val="both"/>
      </w:pPr>
      <w:r>
        <w:rPr>
          <w:rFonts w:ascii="Barlow Semi Condensed" w:cs="Barlow Semi Condensed" w:eastAsia="Barlow Semi Condensed" w:hAnsi="Barlow Semi Condensed"/>
          <w:sz w:val="24"/>
          <w:szCs w:val="24"/>
        </w:rPr>
        <w:t xml:space="preserve">Blocco mirato numero 404 — Che cosa il ponte trasportò. L'Impala Mark primo, biposto da addestramento; e dal 1974 l'Impala Mark secondo, monoposto da attacco al suolo con cellula rinforzata, motore della serie 600, 2 cannoni da 30 millimetri, armamento francese e suite di guerra elettronica di sviluppo locale. Livello A. Sui numeri le fonti divergono: 40 o 16 esemplari di costruzione italiana; 125 o 135 Impala Mark primo assemblati localmente; 7 acquistati, 15 da kit e circa 78 su licenza per il Mark secondo; 334 motori Viper costruiti in Sudafrica su oltre 5.700 nel mondo. La divergenza si riporta e non si compone.</w:t>
      </w:r>
    </w:p>
    <w:p>
      <w:pPr>
        <w:spacing w:after="120" w:line="276"/>
        <w:jc w:val="both"/>
      </w:pPr>
      <w:r>
        <w:rPr>
          <w:rFonts w:ascii="Barlow Semi Condensed" w:cs="Barlow Semi Condensed" w:eastAsia="Barlow Semi Condensed" w:hAnsi="Barlow Semi Condensed"/>
          <w:sz w:val="24"/>
          <w:szCs w:val="24"/>
        </w:rPr>
        <w:t xml:space="preserve">Blocco mirato numero 405 — Dove il ponte arrivò. Il velivolo fu impiegato operativamente nella guerra di confine contro forze angolane e cubane fra il 1975 e il 1989, da piste sommarie e a bassissima quota. Livello B, trattandosi di pubblicistica aeronautica. La collocazione cronologica va enunciata perché è di rilievo giuridico: la quota maggiore dell'impiego si colloca dopo il 1977, sotto il regime dell'embargo obbligatorio, e non può essere retroattivamente imputata alle decisioni del periodo 1969-1976.</w:t>
      </w:r>
    </w:p>
    <w:p>
      <w:pPr>
        <w:spacing w:after="120" w:line="276"/>
        <w:jc w:val="both"/>
      </w:pPr>
      <w:r>
        <w:rPr>
          <w:rFonts w:ascii="Barlow Semi Condensed" w:cs="Barlow Semi Condensed" w:eastAsia="Barlow Semi Condensed" w:hAnsi="Barlow Semi Condensed"/>
          <w:sz w:val="24"/>
          <w:szCs w:val="24"/>
        </w:rPr>
        <w:t xml:space="preserve">Blocco mirato numero 406 — Il ponte di convergenza del febbraio 1970. Italia e Repubblica Federale di Germania reagirono in modo speculare alla medesima accusa zambiana, a 5 giorni di distanza, ciascuna con lo strumento che il proprio statuto le consentiva — l'Italia con lettera diretta, la Germania, non ancora membro delle Nazioni Unite, attraverso la nota del Presidente. Livello A quanto ai fatti; Livello C quanto a un coordinamento, non asserito. È arco di convergenza nel senso della tassonomia: 2 attori compiono, senza relazione diretta accertata, azioni che producono effetti convergenti.</w:t>
      </w:r>
    </w:p>
    <w:p>
      <w:pPr>
        <w:spacing w:after="120" w:line="276"/>
        <w:jc w:val="both"/>
      </w:pPr>
      <w:r>
        <w:rPr>
          <w:rFonts w:ascii="Barlow Semi Condensed" w:cs="Barlow Semi Condensed" w:eastAsia="Barlow Semi Condensed" w:hAnsi="Barlow Semi Condensed"/>
          <w:sz w:val="24"/>
          <w:szCs w:val="24"/>
        </w:rPr>
        <w:t xml:space="preserve">Blocco mirato numero 407 — Il ponte negato: Santa Sede e Pretoria. Per 72 anni, dal 7 dicembre 1922 al 25 giugno 1994, la Santa Sede mantenne in Sudafrica una sola delegazione apostolica e nessun rappresentante pontificio presentò mai credenziali a un capo di Stato sudafricano. Livello A. Le relazioni piene furono aperte 4 mesi dopo le prime elezioni democratiche. Livello A quanto al fatto; Livello C quanto al carattere deliberato dell'omissione, che la documentazione riservata proverebbe e che è inaccessibile.</w:t>
      </w:r>
    </w:p>
    <w:p>
      <w:pPr>
        <w:spacing w:after="120" w:line="276"/>
        <w:jc w:val="both"/>
      </w:pPr>
      <w:r>
        <w:rPr>
          <w:rFonts w:ascii="Barlow Semi Condensed" w:cs="Barlow Semi Condensed" w:eastAsia="Barlow Semi Condensed" w:hAnsi="Barlow Semi Condensed"/>
          <w:sz w:val="24"/>
          <w:szCs w:val="24"/>
        </w:rPr>
        <w:t xml:space="preserve">Blocco mirato numero 408 — Il ponte simmetrico: Italia e Pretoria. L'Italia mantenne per l'intera durata del regime relazioni diplomatiche piene, stabilite nel 1929, e un'ambasciata a Pretoria. Livello A. Il confronto fra i blocchi 407 e 408 è il reperto centrale del versamento vaticano, e va formulato con precisione al blocco 604.</w:t>
      </w:r>
    </w:p>
    <w:p>
      <w:pPr>
        <w:spacing w:after="120" w:line="276"/>
        <w:jc w:val="both"/>
      </w:pPr>
      <w:r>
        <w:rPr>
          <w:rFonts w:ascii="Barlow Semi Condensed" w:cs="Barlow Semi Condensed" w:eastAsia="Barlow Semi Condensed" w:hAnsi="Barlow Semi Condensed"/>
          <w:sz w:val="24"/>
          <w:szCs w:val="24"/>
        </w:rPr>
        <w:t xml:space="preserve">Blocco mirato numero 409 — Il ponte di accoglienza, già certificato e ora raccordato. Il registro certifica al Livello A la latitanza di Gianadelio Maletti a Johannesburg e la qualifica quale caso di scuola di una regolarità: il regime di Pretoria funzionò da nodo di accoglienza per una rete internazionale di soggetti dell'eversione e degli apparati deviati. Il presente registro non aggiunge nulla a tale certificazione ma vi apporta un raccordo: mentre un ufficiale dei servizi italiani vi trovava rifugio, un'impresa aeronautica italiana ne riforniva l'aviazione militare. I 2 fatti sono documentati separatamente e nessun elemento li collega: la simultaneità non è nesso, e il raccordo è di descrizione e non di causa. Livello A quanto ai 2 fatti presi ciascuno per sé; nessun livello quanto a una relazione fra essi.</w:t>
      </w:r>
    </w:p>
    <w:p>
      <w:pPr>
        <w:pStyle w:val="Heading2"/>
        <w:spacing w:after="100" w:before="200"/>
      </w:pPr>
      <w:r>
        <w:rPr>
          <w:rFonts w:ascii="Barlow Semi Condensed" w:cs="Barlow Semi Condensed" w:eastAsia="Barlow Semi Condensed" w:hAnsi="Barlow Semi Condensed"/>
          <w:sz w:val="24"/>
          <w:szCs w:val="24"/>
        </w:rPr>
        <w:t xml:space="preserve">V — LE COLLISIONI CON IL REGISTRO</w:t>
      </w:r>
    </w:p>
    <w:p>
      <w:pPr>
        <w:spacing w:after="120" w:line="276"/>
        <w:jc w:val="both"/>
      </w:pPr>
      <w:r>
        <w:rPr>
          <w:rFonts w:ascii="Barlow Semi Condensed" w:cs="Barlow Semi Condensed" w:eastAsia="Barlow Semi Condensed" w:hAnsi="Barlow Semi Condensed"/>
          <w:sz w:val="24"/>
          <w:szCs w:val="24"/>
        </w:rPr>
        <w:t xml:space="preserve">Blocco mirato numero 501 — Prima collisione: il teorema australe confermato e nominato. Il registro enuncia che un embargo obbligatorio privo di apparato coercitivo non chiude i canali ma li riprezza, spostando il traffico dalla contabilità degli Stati a quella degli intermediari. Il canale Aermacchi ne è l'istanza italiana e la conferma: la licenza è del 1964, la produzione corse sino al 1986, e la soglia del novembre 1977 non la interruppe. Livello A. Il presente registro non emenda dunque il teorema: lo nomina.</w:t>
      </w:r>
    </w:p>
    <w:p>
      <w:pPr>
        <w:spacing w:after="120" w:line="276"/>
        <w:jc w:val="both"/>
      </w:pPr>
      <w:r>
        <w:rPr>
          <w:rFonts w:ascii="Barlow Semi Condensed" w:cs="Barlow Semi Condensed" w:eastAsia="Barlow Semi Condensed" w:hAnsi="Barlow Semi Condensed"/>
          <w:sz w:val="24"/>
          <w:szCs w:val="24"/>
        </w:rPr>
        <w:t xml:space="preserve">Blocco mirato numero 502 — Seconda collisione, ed è la sola che emendi. Il registro qualifica il Sudafrica quale Stato Zero esemplare. Il presente versamento obbliga a distinguere. Il canale industriale italiano non è uno Stato Zero: è documentato, e lo è per triplice via — la catena della sub-licenza attestata da fonte tecnica italiana, il documento d'intelligence statunitense che nomina l'Italia, le 2 lettere italiane alle Nazioni Unite che negano accuse formalmente mosse. Ciò che è Stato Zero è l'atto di governo italiano relativo a quel canale, e per una ragione che il registro non contempla.</w:t>
      </w:r>
    </w:p>
    <w:p>
      <w:pPr>
        <w:spacing w:after="120" w:line="276"/>
        <w:jc w:val="both"/>
      </w:pPr>
      <w:r>
        <w:rPr>
          <w:rFonts w:ascii="Barlow Semi Condensed" w:cs="Barlow Semi Condensed" w:eastAsia="Barlow Semi Condensed" w:hAnsi="Barlow Semi Condensed"/>
          <w:sz w:val="24"/>
          <w:szCs w:val="24"/>
        </w:rPr>
        <w:t xml:space="preserve">Blocco mirato numero 503 — La ragione, e costituisce il versamento metodologico maggiore. Fino alla legge 185 del 9 luglio 1990 l'Italia non ebbe legge organica sul controllo dell'esportazione di armamenti. La disciplina era il Testo unico delle leggi di pubblica sicurezza e il regio decreto 11 luglio 1941 numero 1161, firmato da Mussolini, Ciano, Teruzzi e Grandi, che sottoponeva l'esportazione di armi al segreto di Stato. La cessione all'estero di licenze di produzione non era fattispecie autorizzativa tipizzata: lo divenne soltanto con l'articolo 13 della legge del 1990. Livello A.</w:t>
      </w:r>
    </w:p>
    <w:p>
      <w:pPr>
        <w:spacing w:after="120" w:line="276"/>
        <w:jc w:val="both"/>
      </w:pPr>
      <w:r>
        <w:rPr>
          <w:rFonts w:ascii="Barlow Semi Condensed" w:cs="Barlow Semi Condensed" w:eastAsia="Barlow Semi Condensed" w:hAnsi="Barlow Semi Condensed"/>
          <w:sz w:val="24"/>
          <w:szCs w:val="24"/>
        </w:rPr>
        <w:t xml:space="preserve">Blocco mirato numero 504 — Ne discende il grado nuovo. L'atto di governo non è documentato non perché sia stato occultato ma perché nell'ordinamento del tempo esso non esisteva quale atto. Si propone di iscriverlo nella scala degli Stati Zero quale grado autonomo, denominato atto atipico, con definizione: una condotta dello Stato non lascia traccia documentale perché il diritto vigente non la configurava quale atto giuridico tipico, e dunque non ne prescriveva forma, motivazione né registrazione. La proprietà che lo distingue: non è rimediabile con l'apertura di un archivio, perché non vi è nulla da aprire.</w:t>
      </w:r>
    </w:p>
    <w:p>
      <w:pPr>
        <w:spacing w:after="120" w:line="276"/>
        <w:jc w:val="both"/>
      </w:pPr>
      <w:r>
        <w:rPr>
          <w:rFonts w:ascii="Barlow Semi Condensed" w:cs="Barlow Semi Condensed" w:eastAsia="Barlow Semi Condensed" w:hAnsi="Barlow Semi Condensed"/>
          <w:sz w:val="24"/>
          <w:szCs w:val="24"/>
        </w:rPr>
        <w:t xml:space="preserve">Blocco mirato numero 505 — La circolarità che chiude il grado. La legge che avrebbe tipizzato quell'atto — la 185 del 1990 — fu prodotta anche dalla denuncia dell'operaio del blocco 102 sulle consegne del gennaio 1980. L'assenza di documentazione non era dunque un dato di natura ma una proprietà di un ordinamento, e quell'ordinamento fu mutato dal basso. Livello B.</w:t>
      </w:r>
    </w:p>
    <w:p>
      <w:pPr>
        <w:spacing w:after="120" w:line="276"/>
        <w:jc w:val="both"/>
      </w:pPr>
      <w:r>
        <w:rPr>
          <w:rFonts w:ascii="Barlow Semi Condensed" w:cs="Barlow Semi Condensed" w:eastAsia="Barlow Semi Condensed" w:hAnsi="Barlow Semi Condensed"/>
          <w:sz w:val="24"/>
          <w:szCs w:val="24"/>
        </w:rPr>
        <w:t xml:space="preserve">Blocco mirato numero 506 — Terza collisione: la lacuna vaticana. La Fase 1 del registro è intitolata al quadrilatero loggia-finanza-Vaticano-mafia e dedica un capitolo autonomo all'Istituto per le Opere di Religione. Il Dominio 5 vi è architettonicamente centrale. E i termini delegazione apostolica e nunziatura vi ricorrono zero volte. Il presente versamento colma la lacuna con i blocchi 207, 307 e 407, e ne segnala la portata: il registro possiede il Vaticano quale nodo finanziario e non quale nodo diplomatico.</w:t>
      </w:r>
    </w:p>
    <w:p>
      <w:pPr>
        <w:spacing w:after="120" w:line="276"/>
        <w:jc w:val="both"/>
      </w:pPr>
      <w:r>
        <w:rPr>
          <w:rFonts w:ascii="Barlow Semi Condensed" w:cs="Barlow Semi Condensed" w:eastAsia="Barlow Semi Condensed" w:hAnsi="Barlow Semi Condensed"/>
          <w:sz w:val="24"/>
          <w:szCs w:val="24"/>
        </w:rPr>
        <w:t xml:space="preserve">Blocco mirato numero 507 — Quarta collisione: la Namibia. Il registro contiene 1 sola occorrenza del toponimo, in contesto biografico estraneo al territorio. Il Gruppo di contatto occidentale, la risoluzione 435 del 29 settembre 1978, lo United Nations Transition Assistance Group e l'esclusione italiana dal consesso negoziale sono integralmente assenti. Il versamento è ai blocchi 206 e 601.</w:t>
      </w:r>
    </w:p>
    <w:p>
      <w:pPr>
        <w:spacing w:after="120" w:line="276"/>
        <w:jc w:val="both"/>
      </w:pPr>
      <w:r>
        <w:rPr>
          <w:rFonts w:ascii="Barlow Semi Condensed" w:cs="Barlow Semi Condensed" w:eastAsia="Barlow Semi Condensed" w:hAnsi="Barlow Semi Condensed"/>
          <w:sz w:val="24"/>
          <w:szCs w:val="24"/>
        </w:rPr>
        <w:t xml:space="preserve">Blocco mirato numero 508 — Quinta collisione: la Libia. Il registro contiene 5 occorrenze del toponimo, relative al fascicolo Mi.Fo.Biali, alla vicenda Billygate e alla notte di Lampedusa dell'aprile 1986. La confisca del luglio 1970, l'esodo dell'ottobre 1970 e la condotta della Farnesina sono assenti. Il versamento è ai blocchi 302, 303, 304 e 305, e ha funzione di calibrazione esposta al blocco 605.</w:t>
      </w:r>
    </w:p>
    <w:p>
      <w:pPr>
        <w:pStyle w:val="Heading2"/>
        <w:spacing w:after="100" w:before="200"/>
      </w:pPr>
      <w:r>
        <w:rPr>
          <w:rFonts w:ascii="Barlow Semi Condensed" w:cs="Barlow Semi Condensed" w:eastAsia="Barlow Semi Condensed" w:hAnsi="Barlow Semi Condensed"/>
          <w:sz w:val="24"/>
          <w:szCs w:val="24"/>
        </w:rPr>
        <w:t xml:space="preserve">VI — I REPERTI ANALITICI</w:t>
      </w:r>
    </w:p>
    <w:p>
      <w:pPr>
        <w:spacing w:after="120" w:line="276"/>
        <w:jc w:val="both"/>
      </w:pPr>
      <w:r>
        <w:rPr>
          <w:rFonts w:ascii="Barlow Semi Condensed" w:cs="Barlow Semi Condensed" w:eastAsia="Barlow Semi Condensed" w:hAnsi="Barlow Semi Condensed"/>
          <w:sz w:val="24"/>
          <w:szCs w:val="24"/>
        </w:rPr>
        <w:t xml:space="preserve">Blocco mirato numero 601 — L'inversione del 1976-1977. Sui voti namibiani, l'Italia esclusa dal Gruppo di contatto risultò più avanzata della Germania che vi sedeva. Sul testo politicamente più carico — il riconoscimento della SWAPO — la Germania votò contro e l'Italia si astenne; sulle risoluzioni 31/148, 31/149 e 32/9 G l'Italia votò a favore mentre la Germania si asteneva. Livello A. Dal 1984 le 2 potenze convergono su astensione identica. Il rilievo generale, di Livello B perché inferenza: la partecipazione a un consesso negoziale vincola il voto, l'esclusione lo libera. Chi siede al tavolo paga in libertà di voto ciò che guadagna in influenza.</w:t>
      </w:r>
    </w:p>
    <w:p>
      <w:pPr>
        <w:spacing w:after="120" w:line="276"/>
        <w:jc w:val="both"/>
      </w:pPr>
      <w:r>
        <w:rPr>
          <w:rFonts w:ascii="Barlow Semi Condensed" w:cs="Barlow Semi Condensed" w:eastAsia="Barlow Semi Condensed" w:hAnsi="Barlow Semi Condensed"/>
          <w:sz w:val="24"/>
          <w:szCs w:val="24"/>
        </w:rPr>
        <w:t xml:space="preserve">Blocco mirato numero 602 — La grammatica del voto italiano. Il doppio comportamento del 30 settembre 1974 non è episodio ma regola: l'Italia sostiene le condanne sostanziali e si sottrae agli atti procedurali di esclusione, e la regola è verificata dal 1973 al 1977. Livello A quanto ai voti; Livello B quanto alla qualificazione di regolarità. Dal 1984 la grammatica si semplifica in astensione unica, e la posizione unica è più arretrata delle 2 che l'avevano preceduta.</w:t>
      </w:r>
    </w:p>
    <w:p>
      <w:pPr>
        <w:spacing w:after="120" w:line="276"/>
        <w:jc w:val="both"/>
      </w:pPr>
      <w:r>
        <w:rPr>
          <w:rFonts w:ascii="Barlow Semi Condensed" w:cs="Barlow Semi Condensed" w:eastAsia="Barlow Semi Condensed" w:hAnsi="Barlow Semi Condensed"/>
          <w:sz w:val="24"/>
          <w:szCs w:val="24"/>
        </w:rPr>
        <w:t xml:space="preserve">Blocco mirato numero 603 — Il reperto negativo sull'iniziativa. In nessuna delle risoluzioni esaminate l'Italia figura fra i proponenti: la sua fu condotta di voto e non di sponsorizzazione. Livello B, esito provvisorio, con sede di verifica nei progetti di risoluzione della serie A con suffisso L. Se confermato, esso descrive con esattezza la posizione italiana sul dossier: presente al voto, assente all'iniziativa.</w:t>
      </w:r>
    </w:p>
    <w:p>
      <w:pPr>
        <w:spacing w:after="120" w:line="276"/>
        <w:jc w:val="both"/>
      </w:pPr>
      <w:r>
        <w:rPr>
          <w:rFonts w:ascii="Barlow Semi Condensed" w:cs="Barlow Semi Condensed" w:eastAsia="Barlow Semi Condensed" w:hAnsi="Barlow Semi Condensed"/>
          <w:sz w:val="24"/>
          <w:szCs w:val="24"/>
        </w:rPr>
        <w:t xml:space="preserve">Blocco mirato numero 604 — Le 2 sovranità. La Santa Sede negò per 72 anni il riconoscimento; l'Italia lo concesse per l'intera durata del regime e vi aggiunse un canale industriale militare. Ma il confronto va formulato con precisione e non moralizzato, per 3 ragioni. Uno Stato ha cittadini all'estero — circa 100.000 in Sudafrica — e interessi economici; la Santa Sede non ne ha, e il costo della non-relazione era per essa incomparabilmente minore. La Santa Sede non fu lineare al proprio interno: la dichiarazione episcopale del 1957 fu adottata in opposizione alla linea del delegato apostolico, che preferiva l'ingaggio con Verwoerd. L'assenza di relazioni non equivale ad assenza di presenza: la Chiesa era in Sudafrica massicciamente presente. Livello A quanto ai 3 rilievi.</w:t>
      </w:r>
    </w:p>
    <w:p>
      <w:pPr>
        <w:spacing w:after="120" w:line="276"/>
        <w:jc w:val="both"/>
      </w:pPr>
      <w:r>
        <w:rPr>
          <w:rFonts w:ascii="Barlow Semi Condensed" w:cs="Barlow Semi Condensed" w:eastAsia="Barlow Semi Condensed" w:hAnsi="Barlow Semi Condensed"/>
          <w:sz w:val="24"/>
          <w:szCs w:val="24"/>
        </w:rPr>
        <w:t xml:space="preserve">Blocco mirato numero 605 — La calibrazione libica. Il caso libico serve a distinguere il silenzio comportamentale dal silenzio archivistico. Esso stabilisce che dove uno studioso ha aperto le serie della Farnesina l'azione italiana è sempre emersa — Libia, Cina, Helsinki, Adriatico, 4 casi su 4 — e che Moro scartò consapevolmente le ritorsioni puntando a compensazioni economiche indirette. Livello B, trattandosi di tesi argomentata da storiografia fondata su archivio. Ne discende la prescrizione che governa ogni esito negativo del presente registro: non concludere per l'inazione senza avere identificato l'apparato competente.</w:t>
      </w:r>
    </w:p>
    <w:p>
      <w:pPr>
        <w:spacing w:after="120" w:line="276"/>
        <w:jc w:val="both"/>
      </w:pPr>
      <w:r>
        <w:rPr>
          <w:rFonts w:ascii="Barlow Semi Condensed" w:cs="Barlow Semi Condensed" w:eastAsia="Barlow Semi Condensed" w:hAnsi="Barlow Semi Condensed"/>
          <w:sz w:val="24"/>
          <w:szCs w:val="24"/>
        </w:rPr>
        <w:t xml:space="preserve">Blocco mirato numero 606 — Il pattern centro-periferia rovesciato. Il corpus possiede 2 casi in cui la periferia episcopale decideva e il centro romano accompagnava. Il caso sudafricano è invertito: la periferia condannò e il centro frenava. Livello B. Il rilievo generale: chi sta sul territorio vede il costo del silenzio, chi rappresenta la sede vede il costo della rottura, e le 2 valutazioni divergono sistematicamente.</w:t>
      </w:r>
    </w:p>
    <w:p>
      <w:pPr>
        <w:spacing w:after="120" w:line="276"/>
        <w:jc w:val="both"/>
      </w:pPr>
      <w:r>
        <w:rPr>
          <w:rFonts w:ascii="Barlow Semi Condensed" w:cs="Barlow Semi Condensed" w:eastAsia="Barlow Semi Condensed" w:hAnsi="Barlow Semi Condensed"/>
          <w:sz w:val="24"/>
          <w:szCs w:val="24"/>
        </w:rPr>
        <w:t xml:space="preserve">Blocco mirato numero 607 — Il ponte non costruito. Non esiste alcun nesso documentato fra Aldo Moro e la questione sudafricana o namibiana. Gli atti italiani reperiti — le relazioni diplomatiche dal 1929, l'ordine di 40 velivoli da osservazione del settembre 1970 con consegne sino al dicembre 1975, i voti favorevoli sulle risoluzioni namibiane 301 e 323 del 1971 e 1972 — sono istituzionali e non personalmente riferibili a lui. Stato Zero di grado deposito inesplorato, tendente ad assenza coerente con la collocazione, con sede nella Settima serie dei Documenti Diplomatici Italiani e nei fondi dell'Archivio Storico Diplomatico. Il presente registro non costruisce quel ponte perché il materiale non lo regge.</w:t>
      </w:r>
    </w:p>
    <w:p>
      <w:pPr>
        <w:pStyle w:val="Heading2"/>
        <w:spacing w:after="100" w:before="200"/>
      </w:pPr>
      <w:r>
        <w:rPr>
          <w:rFonts w:ascii="Barlow Semi Condensed" w:cs="Barlow Semi Condensed" w:eastAsia="Barlow Semi Condensed" w:hAnsi="Barlow Semi Condensed"/>
          <w:sz w:val="24"/>
          <w:szCs w:val="24"/>
        </w:rPr>
        <w:t xml:space="preserve">VII — TAVOLA DELLE ACQUISIZIONI NON CONSEGUITE</w:t>
      </w:r>
    </w:p>
    <w:p>
      <w:pPr>
        <w:spacing w:after="120" w:line="276"/>
        <w:jc w:val="both"/>
      </w:pPr>
      <w:r>
        <w:rPr>
          <w:rFonts w:ascii="Barlow Semi Condensed" w:cs="Barlow Semi Condensed" w:eastAsia="Barlow Semi Condensed" w:hAnsi="Barlow Semi Condensed"/>
          <w:sz w:val="24"/>
          <w:szCs w:val="24"/>
        </w:rPr>
        <w:t xml:space="preserve">Blocco mirato numero 701 — Prima voce. Il verbale S/AC.20/SR.25 con la dichiarazione di Abdul Minty sull'Italia. Massimo rendimento, perché da esso dipende la comprensione dell'accusa cui l'Italia rispose nel 1980. Sede: atti del Comitato istituito dalla risoluzione 421 e serie S/AC.20/SR presso la Dag Hammarskjöld Library. Condizione: accesso ai documenti a distribuzione ristretta.</w:t>
      </w:r>
    </w:p>
    <w:p>
      <w:pPr>
        <w:spacing w:after="120" w:line="276"/>
        <w:jc w:val="both"/>
      </w:pPr>
      <w:r>
        <w:rPr>
          <w:rFonts w:ascii="Barlow Semi Condensed" w:cs="Barlow Semi Condensed" w:eastAsia="Barlow Semi Condensed" w:hAnsi="Barlow Semi Condensed"/>
          <w:sz w:val="24"/>
          <w:szCs w:val="24"/>
        </w:rPr>
        <w:t xml:space="preserve">Blocco mirato numero 702 — Seconda voce. I corpi testuali delle lettere S/9640 e S/AC.20/27. Alto rendimento e costo nullo per chi possa recarvisi, poiché i documenti sono pubblici, catalogati e indirizzabili, e l'ostacolo incontrato è stato il rifiuto del server documentale al recupero automatizzato. Si propone per tale ostacolo un grado autonomo, denominato barriera macchinica: un documento pubblico e indirizzabile la cui acquisizione è impedita non da una norma né da una lacuna ma da un dispositivo tecnico che discrimina fra lettori umani e automatici. La sua proprietà distintiva: non è rimediabile dall'interno del metodo che l'ha incontrato, ma soltanto uscendone.</w:t>
      </w:r>
    </w:p>
    <w:p>
      <w:pPr>
        <w:spacing w:after="120" w:line="276"/>
        <w:jc w:val="both"/>
      </w:pPr>
      <w:r>
        <w:rPr>
          <w:rFonts w:ascii="Barlow Semi Condensed" w:cs="Barlow Semi Condensed" w:eastAsia="Barlow Semi Condensed" w:hAnsi="Barlow Semi Condensed"/>
          <w:sz w:val="24"/>
          <w:szCs w:val="24"/>
        </w:rPr>
        <w:t xml:space="preserve">Blocco mirato numero 703 — Terza voce. Il testo dell'accordo di licenza fra Aermacchi e la controparte sudafricana del 1964, con termini finanziari, geografici e di rinnovo. Sedi: archivio storico di Finmeccanica-Leonardo, archivio Aermacchi, e sul versante sudafricano gli archivi Atlas e Armscor. Condizione: accessibilità dell'archivio aziendale, non garantita.</w:t>
      </w:r>
    </w:p>
    <w:p>
      <w:pPr>
        <w:spacing w:after="120" w:line="276"/>
        <w:jc w:val="both"/>
      </w:pPr>
      <w:r>
        <w:rPr>
          <w:rFonts w:ascii="Barlow Semi Condensed" w:cs="Barlow Semi Condensed" w:eastAsia="Barlow Semi Condensed" w:hAnsi="Barlow Semi Condensed"/>
          <w:sz w:val="24"/>
          <w:szCs w:val="24"/>
        </w:rPr>
        <w:t xml:space="preserve">Blocco mirato numero 704 — Quarta voce. La documentazione dell'apparato competente italiano sulle autorizzazioni. Sedi: Archivio storico dell'Istituto per la Ricostruzione Industriale presso l'Archivio Centrale dello Stato, archivi della Difesa e dello Stato Maggiore dell'Aeronautica, ministeri economici. Condizione: declassificazione degli atti coperti dal segreto di Stato del regime del 1941, con l'avvertenza del blocco 504 che presso quelle sedi potrebbe non esservi nulla da trovare.</w:t>
      </w:r>
    </w:p>
    <w:p>
      <w:pPr>
        <w:spacing w:after="120" w:line="276"/>
        <w:jc w:val="both"/>
      </w:pPr>
      <w:r>
        <w:rPr>
          <w:rFonts w:ascii="Barlow Semi Condensed" w:cs="Barlow Semi Condensed" w:eastAsia="Barlow Semi Condensed" w:hAnsi="Barlow Semi Condensed"/>
          <w:sz w:val="24"/>
          <w:szCs w:val="24"/>
        </w:rPr>
        <w:t xml:space="preserve">Blocco mirato numero 705 — Quinta voce. La verifica dell'esistenza di canali paralleli alla Farnesina per ciascun perimetro, presso i ministeri competenti per materia. Voce nuova, nata dal precedente di Osimo, che nessuna ricognizione anteriore aveva cercata.</w:t>
      </w:r>
    </w:p>
    <w:p>
      <w:pPr>
        <w:spacing w:after="120" w:line="276"/>
        <w:jc w:val="both"/>
      </w:pPr>
      <w:r>
        <w:rPr>
          <w:rFonts w:ascii="Barlow Semi Condensed" w:cs="Barlow Semi Condensed" w:eastAsia="Barlow Semi Condensed" w:hAnsi="Barlow Semi Condensed"/>
          <w:sz w:val="24"/>
          <w:szCs w:val="24"/>
        </w:rPr>
        <w:t xml:space="preserve">Blocco mirato numero 706 — Sesta voce. La documentazione vaticana sul rango della rappresentanza e sulle ragioni del mancato scambio di ambasciatori. Sede: Archivio Apostolico Vaticano. Condizione: impossibilità istituzionale, l'archivio essendo chiuso oltre l'ottobre 1958. È la sola voce della tavola non conseguibile in alcun modo allo stato.</w:t>
      </w:r>
    </w:p>
    <w:p>
      <w:pPr>
        <w:spacing w:after="120" w:line="276"/>
        <w:jc w:val="both"/>
      </w:pPr>
      <w:r>
        <w:rPr>
          <w:rFonts w:ascii="Barlow Semi Condensed" w:cs="Barlow Semi Condensed" w:eastAsia="Barlow Semi Condensed" w:hAnsi="Barlow Semi Condensed"/>
          <w:sz w:val="24"/>
          <w:szCs w:val="24"/>
        </w:rPr>
        <w:t xml:space="preserve">Blocco mirato numero 707 — Settima voce. Il voto italiano sulla risoluzione 2775 della ventiseiesima sessione, del 29 novembre 1971, intitolata Arms embargo. È la risoluzione più direttamente pertinente al perimetro e il voto italiano su di essa non è accertato. Sede: scheda di voting data del singolo documento.</w:t>
      </w:r>
    </w:p>
    <w:p>
      <w:pPr>
        <w:spacing w:after="120" w:line="276"/>
        <w:jc w:val="both"/>
      </w:pPr>
      <w:r>
        <w:rPr>
          <w:rFonts w:ascii="Barlow Semi Condensed" w:cs="Barlow Semi Condensed" w:eastAsia="Barlow Semi Condensed" w:hAnsi="Barlow Semi Condensed"/>
          <w:sz w:val="24"/>
          <w:szCs w:val="24"/>
        </w:rPr>
        <w:t xml:space="preserve">Blocco mirato numero 708 — Ottava voce. Le dichiarazioni esplicative di voto italiane e tedesche, che sole accerterebbero la ragione dell'inversione del blocco 601. Sede: verbali plenari della serie A/PV, e in particolare A/31/PV.105.</w:t>
      </w:r>
    </w:p>
    <w:p>
      <w:pPr>
        <w:spacing w:after="120" w:line="276"/>
        <w:jc w:val="both"/>
      </w:pPr>
      <w:r>
        <w:rPr>
          <w:rFonts w:ascii="Barlow Semi Condensed" w:cs="Barlow Semi Condensed" w:eastAsia="Barlow Semi Condensed" w:hAnsi="Barlow Semi Condensed"/>
          <w:sz w:val="24"/>
          <w:szCs w:val="24"/>
        </w:rPr>
        <w:t xml:space="preserve">Blocco mirato numero 801 — Sintesi del dato nuovo acquisito. La triangolazione dei 5 artefatti con i 2 volumi conferiti stabilisce che la monografia sul caso Moro non contiene materia africana australe e non è triangolabile su questo perimetro; che il primo tomo del registro possiede il Sudafrica quale nodo a massima intermediazione ma non ne nomina il canale industriale italiano, assente con zero occorrenze; che il medesimo tomo, la cui Fase 1 è intitolata al quadrilatero comprendente il Vaticano, non contiene la condotta diplomatica della Santa Sede verso Pretoria, assente con zero occorrenze; che la Namibia vi ricorre una sola volta e in contesto estraneo. Il presente registro versa 14 nodi individuali, 13 nodi organizzativi, 12 nodi-evento e 9 ponti, di cui il ponte di transito Bristol Siddeley-Piaggio-Atlas costituisce l'acquisizione principale, con il documento d'intelligence statunitense che ne attribuisce all'Italia l'anello autorizzativo. Esso emenda inoltre la qualificazione del Sudafrica quale Stato Zero esemplare, distinguendo il canale industriale — documentato — dall'atto di governo — non documentato per atipicità dell'ordinamento anteriore al 1990 — e propone per tale fattispecie il grado dell'atto atipico, e per l'ostacolo tecnico incontrato sui documenti pubblici il grado della barriera macchinica. Non costruisce alcun ponte fra Aldo Moro e il teatro australe, dichiarando in sua vece uno Stato Zero di grado deposito inesplorato, poiché il materiale non regge il ponte e la disciplina del registro vieta di edificarlo.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 · Registro Analitico Dei Nodi E Dei Ponti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 6.143 parole in 9 sezioni; la più ampia è §9 Altre sezioni, con 4.413.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 82 paragrafi in 9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XXI — Secondo Registro Analitico Dei Nodi E Dei Ponti</w:t>
      </w:r>
    </w:p>
    <w:p>
      <w:pPr>
        <w:pStyle w:val="Heading1"/>
        <w:spacing w:after="120" w:before="240"/>
      </w:pPr>
      <w:r>
        <w:rPr>
          <w:rFonts w:ascii="Barlow Semi Condensed" w:cs="Barlow Semi Condensed" w:eastAsia="Barlow Semi Condensed" w:hAnsi="Barlow Semi Condensed"/>
          <w:sz w:val="24"/>
          <w:szCs w:val="24"/>
        </w:rPr>
        <w:t xml:space="preserve">SECONDO 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Il teatro australe entro l'architettura Alfa-Beta</w:t>
      </w:r>
    </w:p>
    <w:p>
      <w:pPr>
        <w:pStyle w:val="Heading2"/>
        <w:spacing w:after="100" w:before="200"/>
      </w:pPr>
      <w:r>
        <w:rPr>
          <w:rFonts w:ascii="Barlow Semi Condensed" w:cs="Barlow Semi Condensed" w:eastAsia="Barlow Semi Condensed" w:hAnsi="Barlow Semi Condensed"/>
          <w:sz w:val="24"/>
          <w:szCs w:val="24"/>
        </w:rPr>
        <w:t xml:space="preserve">Triangolazione del sesto artefatto con l'Edizione Integrata</w:t>
      </w:r>
    </w:p>
    <w:p>
      <w:pPr>
        <w:pStyle w:val="Heading2"/>
        <w:spacing w:after="100" w:before="200"/>
      </w:pPr>
      <w:r>
        <w:rPr>
          <w:rFonts w:ascii="Barlow Semi Condensed" w:cs="Barlow Semi Condensed" w:eastAsia="Barlow Semi Condensed" w:hAnsi="Barlow Semi Condensed"/>
          <w:sz w:val="24"/>
          <w:szCs w:val="24"/>
        </w:rPr>
        <w:t xml:space="preserve">Il paragrafo 1.6 istanziato — il test su H1 — i 2 flussi distinti</w:t>
      </w:r>
    </w:p>
    <w:p>
      <w:pPr>
        <w:pStyle w:val="Heading2"/>
        <w:spacing w:after="100" w:before="200"/>
      </w:pPr>
      <w:r>
        <w:rPr>
          <w:rFonts w:ascii="Barlow Semi Condensed" w:cs="Barlow Semi Condensed" w:eastAsia="Barlow Semi Condensed" w:hAnsi="Barlow Semi Condensed"/>
          <w:sz w:val="24"/>
          <w:szCs w:val="24"/>
        </w:rPr>
        <w:t xml:space="preserve">Blocchi 901-1501 — 10 nodi residui — 2 gradi proposti</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SECONDO REGISTRO ANALITICO DEI NODI E DEI PONTI</w:t>
      </w:r>
    </w:p>
    <w:p>
      <w:pPr>
        <w:spacing w:after="120" w:line="276"/>
        <w:jc w:val="both"/>
      </w:pPr>
      <w:r>
        <w:rPr>
          <w:rFonts w:ascii="Barlow Semi Condensed" w:cs="Barlow Semi Condensed" w:eastAsia="Barlow Semi Condensed" w:hAnsi="Barlow Semi Condensed"/>
          <w:sz w:val="24"/>
          <w:szCs w:val="24"/>
        </w:rPr>
        <w:t xml:space="preserve">Il teatro australe entro l'architettura Alfa-Beta. Triangolazione del sesto artefatto con l'Edizione Integrata</w:t>
      </w:r>
    </w:p>
    <w:p>
      <w:pPr>
        <w:spacing w:after="120" w:line="276"/>
        <w:jc w:val="both"/>
      </w:pPr>
      <w:r>
        <w:rPr>
          <w:rFonts w:ascii="Barlow Semi Condensed" w:cs="Barlow Semi Condensed" w:eastAsia="Barlow Semi Condensed" w:hAnsi="Barlow Semi Condensed"/>
          <w:sz w:val="24"/>
          <w:szCs w:val="24"/>
        </w:rPr>
        <w:t xml:space="preserve">Blocco mirato numero 901 — Rettifica preliminare sul conteggio. L'ordine ricevuto domanda la triangolazione degli artefatti dal sesto al decimo. Gli artefatti dal settimo al decimo non esistono. La sessione ne ha prodotti 6: le 5 ricognizioni — calibrazione libica, canale Aermacchi, confronto italo-tedesco namibiano, Santa Sede e Democrazia Cristiana, fonti primarie presso le Nazioni Unite — e il Registro Analitico dei Nodi e dei Ponti che le ha triangolate. Il sesto artefatto è quel Registro. Non è possibile triangolare documenti non prodotti, e il presente registro non lo simula.</w:t>
      </w:r>
    </w:p>
    <w:p>
      <w:pPr>
        <w:spacing w:after="120" w:line="276"/>
        <w:jc w:val="both"/>
      </w:pPr>
      <w:r>
        <w:rPr>
          <w:rFonts w:ascii="Barlow Semi Condensed" w:cs="Barlow Semi Condensed" w:eastAsia="Barlow Semi Condensed" w:hAnsi="Barlow Semi Condensed"/>
          <w:sz w:val="24"/>
          <w:szCs w:val="24"/>
        </w:rPr>
        <w:t xml:space="preserve">Blocco mirato numero 902 — L'operazione eseguita in vece. Si triangola il sesto artefatto con il volume nella sua Edizione Integrata, che differisce da quella conferita in precedenza e ne muta l'architettura. Livello A quanto alla differenza, accertata per riscontro meccanico.</w:t>
      </w:r>
    </w:p>
    <w:p>
      <w:pPr>
        <w:spacing w:after="120" w:line="276"/>
        <w:jc w:val="both"/>
      </w:pPr>
      <w:r>
        <w:rPr>
          <w:rFonts w:ascii="Barlow Semi Condensed" w:cs="Barlow Semi Condensed" w:eastAsia="Barlow Semi Condensed" w:hAnsi="Barlow Semi Condensed"/>
          <w:sz w:val="24"/>
          <w:szCs w:val="24"/>
        </w:rPr>
        <w:t xml:space="preserve">Blocco mirato numero 903 — Il delta fra le 2 edizioni. L'edizione precedente contava 1.074 paragrafi e 200.107 parole; l'Edizione Integrata ne conta 1.952 e 241.052. L'accrescimento è di 878 paragrafi e circa 41.000 parole, con 19 intestazioni nuove. Livello A.</w:t>
      </w:r>
    </w:p>
    <w:p>
      <w:pPr>
        <w:spacing w:after="120" w:line="276"/>
        <w:jc w:val="both"/>
      </w:pPr>
      <w:r>
        <w:rPr>
          <w:rFonts w:ascii="Barlow Semi Condensed" w:cs="Barlow Semi Condensed" w:eastAsia="Barlow Semi Condensed" w:hAnsi="Barlow Semi Condensed"/>
          <w:sz w:val="24"/>
          <w:szCs w:val="24"/>
        </w:rPr>
        <w:t xml:space="preserve">Blocco mirato numero 904 — Che cosa l'accrescimento ha assorbito. Non il teatro australe nella forma versata dal sesto artefatto, bensì un corpus distinto: la Formazione Beta, ossia l'operazione di influenza russa contemporanea dal 2010 al 2026, con i suoi 10 capitoli dedicati al substrato ideologico, a Dugin, all'infiltrazione nella Lega, al canale finanziario di Malofeev e Komov, alla Crimea, all'affare Metropol, ai servizi russi e alla Fondazione per la Pace, all'ecosistema mediatico e alla convergenza rossobruna. Livello A. Vi si aggiungono una Fase 0 di premessa epistemologica, una Fase III sul contenitore europeo, una Fase IV di vaglio delle ipotesi, una Fase V di rilievi civili e penali, una Fase VI di registro di verifica, e 2 tranche di triangolazione documentale.</w:t>
      </w:r>
    </w:p>
    <w:p>
      <w:pPr>
        <w:spacing w:after="120" w:line="276"/>
        <w:jc w:val="both"/>
      </w:pPr>
      <w:r>
        <w:rPr>
          <w:rFonts w:ascii="Barlow Semi Condensed" w:cs="Barlow Semi Condensed" w:eastAsia="Barlow Semi Condensed" w:hAnsi="Barlow Semi Condensed"/>
          <w:sz w:val="24"/>
          <w:szCs w:val="24"/>
        </w:rPr>
        <w:t xml:space="preserve">Blocco mirato numero 905 — Il riscontro lessicale sul versamento. Le 20 chiavi del sesto artefatto — Aermacchi, Impala, Piaggio, Viper, Atlas, nunziatura, delegazione apostolica, Hurley, Minty, la segnatura del documento d'intelligence, atto atipico, barriera macchinica, Gruppo di contatto, Zonderwater, Bosbok, Poledrini, Carbone, Osimo, e le segnature delle 2 lettere — ricorrono zero volte nell'Edizione Integrata. Livello A.</w:t>
      </w:r>
    </w:p>
    <w:p>
      <w:pPr>
        <w:spacing w:after="120" w:line="276"/>
        <w:jc w:val="both"/>
      </w:pPr>
      <w:r>
        <w:rPr>
          <w:rFonts w:ascii="Barlow Semi Condensed" w:cs="Barlow Semi Condensed" w:eastAsia="Barlow Semi Condensed" w:hAnsi="Barlow Semi Condensed"/>
          <w:sz w:val="24"/>
          <w:szCs w:val="24"/>
        </w:rPr>
        <w:t xml:space="preserve">Blocco mirato numero 906 — Ma il riscontro lessicale non esaurisce la verifica, e il presente registro rettifica sé stesso. L'assenza dei nomi propri non implica l'assenza della materia. L'Edizione Integrata possiede il teatro australe, e con collocazione precisa: il paragrafo 1.6 della Fase I, intitolato all'asse dei paria — apartheid, armi ed elusione dell'embargo — dichiarato ultimo segmento spaziale della Formazione Alfa. Livello A.</w:t>
      </w:r>
    </w:p>
    <w:p>
      <w:pPr>
        <w:spacing w:after="120" w:line="276"/>
        <w:jc w:val="both"/>
      </w:pPr>
      <w:r>
        <w:rPr>
          <w:rFonts w:ascii="Barlow Semi Condensed" w:cs="Barlow Semi Condensed" w:eastAsia="Barlow Semi Condensed" w:hAnsi="Barlow Semi Condensed"/>
          <w:sz w:val="24"/>
          <w:szCs w:val="24"/>
        </w:rPr>
        <w:t xml:space="preserve">Blocco mirato numero 907 — Che cosa il paragrafo 1.6 stabilisce. Che esiste un asse fra i regimi isolati dalla comunità internazionale — il Sudafrica dell'apartheid, il Paraguay di Stroessner, il Cile di Pinochet e altri — fondato sulla comune condizione di Stati paria e sull'elusione delle sanzioni; e che esso mostra il pattern del transito applicato su scala intercontinentale, con competenze e materiali circolanti lungo una catena di regimi accomunati non da un'ideologia positiva unica ma dalla necessità di sottrarsi alle sanzioni. Livello A quanto alla formulazione del volume.</w:t>
      </w:r>
    </w:p>
    <w:p>
      <w:pPr>
        <w:spacing w:after="120" w:line="276"/>
        <w:jc w:val="both"/>
      </w:pPr>
      <w:r>
        <w:rPr>
          <w:rFonts w:ascii="Barlow Semi Condensed" w:cs="Barlow Semi Condensed" w:eastAsia="Barlow Semi Condensed" w:hAnsi="Barlow Semi Condensed"/>
          <w:sz w:val="24"/>
          <w:szCs w:val="24"/>
        </w:rPr>
        <w:t xml:space="preserve">Blocco mirato numero 908 — Ne discende la qualificazione corretta del rapporto fra i 2 corpi. Il sesto artefatto non collide con l'Edizione Integrata: la istanzia. Il ponte principale che esso versa — la catena Bristol Siddeley, Piaggio, Atlas — è precisamente un arco di transito nel senso della tassonomia, ed è l'istanza italiana nominata, datata e documentata di ciò che il paragrafo 1.6 descrive in forma generica.</w:t>
      </w:r>
    </w:p>
    <w:p>
      <w:pPr>
        <w:spacing w:after="120" w:line="276"/>
        <w:jc w:val="both"/>
      </w:pPr>
      <w:r>
        <w:rPr>
          <w:rFonts w:ascii="Barlow Semi Condensed" w:cs="Barlow Semi Condensed" w:eastAsia="Barlow Semi Condensed" w:hAnsi="Barlow Semi Condensed"/>
          <w:sz w:val="24"/>
          <w:szCs w:val="24"/>
        </w:rPr>
        <w:t xml:space="preserve">Blocco mirato numero 909 — La formulazione del versamento. Il volume possiede il pattern; il sesto artefatto ne fornisce l'esemplare italiano. Il volume dice che competenze e materiali circolarono lungo una catena di regimi paria; il sesto artefatto dice quali competenze, per quale catena, con quale licenza, in quale anno, e con quale documento d'intelligence straniero che ne attribuisce all'Italia l'anello autorizzativo.</w:t>
      </w:r>
    </w:p>
    <w:p>
      <w:pPr>
        <w:spacing w:after="120" w:line="276"/>
        <w:jc w:val="both"/>
      </w:pPr>
      <w:r>
        <w:rPr>
          <w:rFonts w:ascii="Barlow Semi Condensed" w:cs="Barlow Semi Condensed" w:eastAsia="Barlow Semi Condensed" w:hAnsi="Barlow Semi Condensed"/>
          <w:sz w:val="24"/>
          <w:szCs w:val="24"/>
        </w:rPr>
        <w:t xml:space="preserve">Blocco mirato numero 910 — Statuto probatorio e discipline. Si conservano il sistema Savona 2.1 con grado in linea, la notazione a triangolo, rombo e quadrato, la tipizzazione degli archi, il divieto di trattare la contemporaneità quale prova di nesso e l'appartenenza quale prova di condotta, e la disciplina delle persone viventi. Si conserva altresì la numerazione a blocchi mirati, che riprende dal 901 per segnalare la distinzione dal primo registro, chiuso al blocco 801.</w:t>
      </w:r>
    </w:p>
    <w:p>
      <w:pPr>
        <w:pStyle w:val="Heading2"/>
        <w:spacing w:after="100" w:before="200"/>
      </w:pPr>
      <w:r>
        <w:rPr>
          <w:rFonts w:ascii="Barlow Semi Condensed" w:cs="Barlow Semi Condensed" w:eastAsia="Barlow Semi Condensed" w:hAnsi="Barlow Semi Condensed"/>
          <w:sz w:val="24"/>
          <w:szCs w:val="24"/>
        </w:rPr>
        <w:t xml:space="preserve">I — LA COLLOCAZIONE ENTRO LA FORMAZIONE ALFA</w:t>
      </w:r>
    </w:p>
    <w:p>
      <w:pPr>
        <w:spacing w:after="120" w:line="276"/>
        <w:jc w:val="both"/>
      </w:pPr>
      <w:r>
        <w:rPr>
          <w:rFonts w:ascii="Barlow Semi Condensed" w:cs="Barlow Semi Condensed" w:eastAsia="Barlow Semi Condensed" w:hAnsi="Barlow Semi Condensed"/>
          <w:sz w:val="24"/>
          <w:szCs w:val="24"/>
        </w:rPr>
        <w:t xml:space="preserve">Blocco mirato numero 1001 — L'asse temporale. La Formazione Alfa è definita dal volume lungo un asse che muove dal 1945 e si chiude al 1990. Il teatro australe versato dal sesto artefatto si distribuisce integralmente entro tale arco, con 3 date di apertura e 3 di chiusura. Apertura: la licenza Aermacchi del 1964, l'avvio della produzione locale del 1966, la costituzione dell'Atlas nel 1965. Chiusura: la cessazione della produzione nel 1986, l'indipendenza namibiana del 21 marzo 1990, lo smantellamento dell'impianto di Valindaba il 1 febbraio 1990. Livello A.</w:t>
      </w:r>
    </w:p>
    <w:p>
      <w:pPr>
        <w:spacing w:after="120" w:line="276"/>
        <w:jc w:val="both"/>
      </w:pPr>
      <w:r>
        <w:rPr>
          <w:rFonts w:ascii="Barlow Semi Condensed" w:cs="Barlow Semi Condensed" w:eastAsia="Barlow Semi Condensed" w:hAnsi="Barlow Semi Condensed"/>
          <w:sz w:val="24"/>
          <w:szCs w:val="24"/>
        </w:rPr>
        <w:t xml:space="preserve">Blocco mirato numero 1002 — Il reperto cronologico, ed è di rilievo architettonico. La Formazione Alfa si chiude al 1990; la Formazione Beta si apre agli anni Dieci del nuovo secolo. Il teatro australe si estingue esattamente sulla soglia terminale di Alfa, e 3 dei suoi eventi maggiori cadono nell'anno 1990 medesimo. Livello A quanto alle date; Livello B quanto alla qualificazione che se ne trae, ossia che il teatro australe costituisce l'ultimo atto documentato della Formazione Alfa e non trova continuazione in Beta.</w:t>
      </w:r>
    </w:p>
    <w:p>
      <w:pPr>
        <w:spacing w:after="120" w:line="276"/>
        <w:jc w:val="both"/>
      </w:pPr>
      <w:r>
        <w:rPr>
          <w:rFonts w:ascii="Barlow Semi Condensed" w:cs="Barlow Semi Condensed" w:eastAsia="Barlow Semi Condensed" w:hAnsi="Barlow Semi Condensed"/>
          <w:sz w:val="24"/>
          <w:szCs w:val="24"/>
        </w:rPr>
        <w:t xml:space="preserve">Blocco mirato numero 1003 — L'eccezione vaticana alla cronologia. Un solo nodo del sesto artefatto oltrepassa la soglia del 1990: l'apertura delle relazioni diplomatiche fra Santa Sede e Sudafrica, il 15 giugno 1994, con erezione della nunziatura il 25 giugno. Livello A. Esso non appartiene però alla Formazione Alfa bensì alla sua liquidazione: è l'atto con cui la fine del regime viene riconosciuta, non un atto del regime.</w:t>
      </w:r>
    </w:p>
    <w:p>
      <w:pPr>
        <w:spacing w:after="120" w:line="276"/>
        <w:jc w:val="both"/>
      </w:pPr>
      <w:r>
        <w:rPr>
          <w:rFonts w:ascii="Barlow Semi Condensed" w:cs="Barlow Semi Condensed" w:eastAsia="Barlow Semi Condensed" w:hAnsi="Barlow Semi Condensed"/>
          <w:sz w:val="24"/>
          <w:szCs w:val="24"/>
        </w:rPr>
        <w:t xml:space="preserve">Blocco mirato numero 1004 — L'asse spaziale. Il volume dispone la Formazione Alfa lungo un asse che dall'Europa continentale procede verso la penisola iberica, poi verso il Sud America e infine verso l'Africa australe, dichiarata ultimo segmento spaziale. Il sesto artefatto vi aggiunge una direttrice che il volume non censisce: la Namibia quale prolungamento del segmento australe, con il Gruppo di contatto occidentale costituito nell'aprile 1977, la risoluzione 435 del 29 settembre 1978 e lo United Nations Transition Assistance Group. Livello A.</w:t>
      </w:r>
    </w:p>
    <w:p>
      <w:pPr>
        <w:spacing w:after="120" w:line="276"/>
        <w:jc w:val="both"/>
      </w:pPr>
      <w:r>
        <w:rPr>
          <w:rFonts w:ascii="Barlow Semi Condensed" w:cs="Barlow Semi Condensed" w:eastAsia="Barlow Semi Condensed" w:hAnsi="Barlow Semi Condensed"/>
          <w:sz w:val="24"/>
          <w:szCs w:val="24"/>
        </w:rPr>
        <w:t xml:space="preserve">Blocco mirato numero 1005 — Il codice unificante e la sua verifica sul canale italiano. Il volume enuncia che il codice della Formazione Alfa è l'allineamento anticomunista, e che la polarità geopolitica è coerente: allineamento nel campo anticomunista, non ponte verso il blocco orientale. Il canale Aermacchi verifica l'enunciato: il velivolo fu impiegato operativamente contro forze angolane e cubane nella guerra di confine fra il 1975 e il 1989. Livello B, trattandosi di pubblicistica aeronautica per l'impiego, Livello A per la sua collocazione nel campo.</w:t>
      </w:r>
    </w:p>
    <w:p>
      <w:pPr>
        <w:spacing w:after="120" w:line="276"/>
        <w:jc w:val="both"/>
      </w:pPr>
      <w:r>
        <w:rPr>
          <w:rFonts w:ascii="Barlow Semi Condensed" w:cs="Barlow Semi Condensed" w:eastAsia="Barlow Semi Condensed" w:hAnsi="Barlow Semi Condensed"/>
          <w:sz w:val="24"/>
          <w:szCs w:val="24"/>
        </w:rPr>
        <w:t xml:space="preserve">Blocco mirato numero 1006 — Ma il codice non spiega tutto, e il sesto artefatto vi introduce una tensione. Il volume qualifica l'asse dei paria come fondato non su un'ideologia positiva unica ma sulla necessità di sottrarsi alle sanzioni. Il canale italiano è coerente con tale qualificazione e non con quella ideologica: la licenza del 1964 è anteriore di 13 anni all'embargo obbligatorio, non nasce come elusione ma vi si trova dentro per continuazione. Livello A quanto alle date.</w:t>
      </w:r>
    </w:p>
    <w:p>
      <w:pPr>
        <w:spacing w:after="120" w:line="276"/>
        <w:jc w:val="both"/>
      </w:pPr>
      <w:r>
        <w:rPr>
          <w:rFonts w:ascii="Barlow Semi Condensed" w:cs="Barlow Semi Condensed" w:eastAsia="Barlow Semi Condensed" w:hAnsi="Barlow Semi Condensed"/>
          <w:sz w:val="24"/>
          <w:szCs w:val="24"/>
        </w:rPr>
        <w:t xml:space="preserve">Blocco mirato numero 1007 — Ne discende una distinzione che il registro propone. Entro l'asse dei paria vanno distinti 2 tipi di canale. Il canale costituito per eludere, che nasce dopo la sanzione e in funzione di essa, e al quale appartengono le società di comodo e gli intermediari che il volume censisce. E il canale preesistente alla sanzione e non risolto, che nasce in regime lecito e diviene problematico per mutamento del diritto senza mutamento della condotta. Il caso Aermacchi appartiene al secondo tipo. Livello A.</w:t>
      </w:r>
    </w:p>
    <w:p>
      <w:pPr>
        <w:spacing w:after="120" w:line="276"/>
        <w:jc w:val="both"/>
      </w:pPr>
      <w:r>
        <w:rPr>
          <w:rFonts w:ascii="Barlow Semi Condensed" w:cs="Barlow Semi Condensed" w:eastAsia="Barlow Semi Condensed" w:hAnsi="Barlow Semi Condensed"/>
          <w:sz w:val="24"/>
          <w:szCs w:val="24"/>
        </w:rPr>
        <w:t xml:space="preserve">Blocco mirato numero 1008 — La portata della distinzione. Essa non attenua la valutazione politica ma ne muta l'oggetto: non vi è, per il canale del secondo tipo, un atto di costituzione da imputare, bensì un'omissione di risoluzione. Livello B, trattandosi di qualificazione giuridica proposta e non attestata da fonte.</w:t>
      </w:r>
    </w:p>
    <w:p>
      <w:pPr>
        <w:spacing w:after="120" w:line="276"/>
        <w:jc w:val="both"/>
      </w:pPr>
      <w:r>
        <w:rPr>
          <w:rFonts w:ascii="Barlow Semi Condensed" w:cs="Barlow Semi Condensed" w:eastAsia="Barlow Semi Condensed" w:hAnsi="Barlow Semi Condensed"/>
          <w:sz w:val="24"/>
          <w:szCs w:val="24"/>
        </w:rPr>
        <w:t xml:space="preserve">Blocco mirato numero 1009 — E qui il primo registro fornisce la ragione dell'omissione. Fino alla legge 185 del 9 luglio 1990 la cessione all'estero di licenze di produzione non era fattispecie autorizzativa tipizzata, e la materia era coperta dal segreto di Stato ai sensi del regio decreto 11 luglio 1941 numero 1161. Livello A. Non esisteva l'atto con cui risolvere, perché non esisteva l'atto con cui autorizzare.</w:t>
      </w:r>
    </w:p>
    <w:p>
      <w:pPr>
        <w:spacing w:after="120" w:line="276"/>
        <w:jc w:val="both"/>
      </w:pPr>
      <w:r>
        <w:rPr>
          <w:rFonts w:ascii="Barlow Semi Condensed" w:cs="Barlow Semi Condensed" w:eastAsia="Barlow Semi Condensed" w:hAnsi="Barlow Semi Condensed"/>
          <w:sz w:val="24"/>
          <w:szCs w:val="24"/>
        </w:rPr>
        <w:t xml:space="preserve">Blocco mirato numero 1010 — Sintesi del segmento. Il teatro australe si colloca integralmente entro la Formazione Alfa, ne costituisce l'ultimo segmento temporale oltre che spaziale, ne verifica il codice unificante quanto alla polarità, e vi introduce una distinzione fra canali costituiti per eludere e canali preesistenti non risolti, della quale il canale italiano è esemplare del secondo tipo.</w:t>
      </w:r>
    </w:p>
    <w:p>
      <w:pPr>
        <w:pStyle w:val="Heading2"/>
        <w:spacing w:after="100" w:before="200"/>
      </w:pPr>
      <w:r>
        <w:rPr>
          <w:rFonts w:ascii="Barlow Semi Condensed" w:cs="Barlow Semi Condensed" w:eastAsia="Barlow Semi Condensed" w:hAnsi="Barlow Semi Condensed"/>
          <w:sz w:val="24"/>
          <w:szCs w:val="24"/>
        </w:rPr>
        <w:t xml:space="preserve">II — IL TEST SU H1: LA POLARITÀ DELLE SUPERPOTENZE NEL TEATRO AUSTRALE</w:t>
      </w:r>
    </w:p>
    <w:p>
      <w:pPr>
        <w:spacing w:after="120" w:line="276"/>
        <w:jc w:val="both"/>
      </w:pPr>
      <w:r>
        <w:rPr>
          <w:rFonts w:ascii="Barlow Semi Condensed" w:cs="Barlow Semi Condensed" w:eastAsia="Barlow Semi Condensed" w:hAnsi="Barlow Semi Condensed"/>
          <w:sz w:val="24"/>
          <w:szCs w:val="24"/>
        </w:rPr>
        <w:t xml:space="preserve">Blocco mirato numero 1101 — La tesi che il volume oppone alla macro-ipotesi. L'Edizione Integrata enuncia quale evidenza diagnostica centrale che nelle 2 formazioni — l'anticomunista atlantica e l'eurasiatista contemporanea — Stati Uniti e Russia si trovano su fronti opposti, e che la Formazione Alfa, presa per ciò che il corpus documenta, non offre alcun riscontro alla tesi di un condominio operativo fra Stati Uniti e Unione Sovietica. Livello A quanto alla formulazione del volume.</w:t>
      </w:r>
    </w:p>
    <w:p>
      <w:pPr>
        <w:spacing w:after="120" w:line="276"/>
        <w:jc w:val="both"/>
      </w:pPr>
      <w:r>
        <w:rPr>
          <w:rFonts w:ascii="Barlow Semi Condensed" w:cs="Barlow Semi Condensed" w:eastAsia="Barlow Semi Condensed" w:hAnsi="Barlow Semi Condensed"/>
          <w:sz w:val="24"/>
          <w:szCs w:val="24"/>
        </w:rPr>
        <w:t xml:space="preserve">Blocco mirato numero 1102 — Perché il teatro australe è il banco di prova più duro. Se un condominio operativo fra le superpotenze fosse mai esistito, il dossier dell'apartheid sarebbe il luogo dove cercarlo: vi convergevano un embargo internazionale, un regime isolato, una guerra per procura con truppe cubane e sostegno sovietico da un lato e appoggi occidentali dall'altro. Il registro vi conduce dunque la verifica.</w:t>
      </w:r>
    </w:p>
    <w:p>
      <w:pPr>
        <w:spacing w:after="120" w:line="276"/>
        <w:jc w:val="both"/>
      </w:pPr>
      <w:r>
        <w:rPr>
          <w:rFonts w:ascii="Barlow Semi Condensed" w:cs="Barlow Semi Condensed" w:eastAsia="Barlow Semi Condensed" w:hAnsi="Barlow Semi Condensed"/>
          <w:sz w:val="24"/>
          <w:szCs w:val="24"/>
        </w:rPr>
        <w:t xml:space="preserve">Blocco mirato numero 1103 — Primo reperto: il voto unanime del 4 novembre 1977. La risoluzione 418, che rese obbligatorio l'embargo sulle armi ai sensi del Capitolo settimo, fu adottata nella 2046ª seduta con 15 voti favorevoli, nessun contrario, nessun astenuto. Livello A. Stati Uniti e Unione Sovietica votarono entrambi a favore.</w:t>
      </w:r>
    </w:p>
    <w:p>
      <w:pPr>
        <w:spacing w:after="120" w:line="276"/>
        <w:jc w:val="both"/>
      </w:pPr>
      <w:r>
        <w:rPr>
          <w:rFonts w:ascii="Barlow Semi Condensed" w:cs="Barlow Semi Condensed" w:eastAsia="Barlow Semi Condensed" w:hAnsi="Barlow Semi Condensed"/>
          <w:sz w:val="24"/>
          <w:szCs w:val="24"/>
        </w:rPr>
        <w:t xml:space="preserve">Blocco mirato numero 1104 — Come va letto tale reperto, e la lettura richiede disciplina. L'unanimità del 1977 non è un condominio ma il suo contrario: è convergenza formale su una sanzione contro un terzo, non coordinamento operativo fra le 2 potenze. La distinzione fra voto convergente e condotta convergente è dirimente e va mantenuta. Livello A quanto al voto; nessun livello quanto a un condominio, che il voto non prova.</w:t>
      </w:r>
    </w:p>
    <w:p>
      <w:pPr>
        <w:spacing w:after="120" w:line="276"/>
        <w:jc w:val="both"/>
      </w:pPr>
      <w:r>
        <w:rPr>
          <w:rFonts w:ascii="Barlow Semi Condensed" w:cs="Barlow Semi Condensed" w:eastAsia="Barlow Semi Condensed" w:hAnsi="Barlow Semi Condensed"/>
          <w:sz w:val="24"/>
          <w:szCs w:val="24"/>
        </w:rPr>
        <w:t xml:space="preserve">Blocco mirato numero 1105 — Secondo reperto: la divergenza operativa immediatamente successiva. Mentre entrambe le superpotenze votavano la sanzione, esse operavano su fronti opposti sul terreno: l'Unione Sovietica sosteneva i movimenti di liberazione, e gli Stati Uniti dell'amministrazione Reagan subordinarono l'attuazione del piano namibiano al ritiro delle truppe cubane dall'Angola, secondo la dottrina del linkage. Livello A.</w:t>
      </w:r>
    </w:p>
    <w:p>
      <w:pPr>
        <w:spacing w:after="120" w:line="276"/>
        <w:jc w:val="both"/>
      </w:pPr>
      <w:r>
        <w:rPr>
          <w:rFonts w:ascii="Barlow Semi Condensed" w:cs="Barlow Semi Condensed" w:eastAsia="Barlow Semi Condensed" w:hAnsi="Barlow Semi Condensed"/>
          <w:sz w:val="24"/>
          <w:szCs w:val="24"/>
        </w:rPr>
        <w:t xml:space="preserve">Blocco mirato numero 1106 — Terzo reperto, ed è quello che il sesto artefatto aggiunge di proprio. La frattura rilevante nel teatro australe non corre fra Est e Ovest ma dentro l'Occidente. Le acquisizioni lo documentano su 3 piani. Sul piano delle forniture: fu la Francia a divenire principale fornitore militare di Pretoria dopo l'embargo raccomandato del 1963, mentre Italia, Regno Unito, Germania Federale e Stati Uniti vi si adeguarono senza particolari ritardi. Livello B. Sul piano delle sanzioni economiche: la Germania Federale bloccò nel settembre 1986 il divieto comunitario di importazione del carbone sudafricano. Livello A. Sul piano industriale: il canale italiano proseguì attraverso la soglia del 1977. Livello A.</w:t>
      </w:r>
    </w:p>
    <w:p>
      <w:pPr>
        <w:spacing w:after="120" w:line="276"/>
        <w:jc w:val="both"/>
      </w:pPr>
      <w:r>
        <w:rPr>
          <w:rFonts w:ascii="Barlow Semi Condensed" w:cs="Barlow Semi Condensed" w:eastAsia="Barlow Semi Condensed" w:hAnsi="Barlow Semi Condensed"/>
          <w:sz w:val="24"/>
          <w:szCs w:val="24"/>
        </w:rPr>
        <w:t xml:space="preserve">Blocco mirato numero 1107 — Ne discende il primo esito del test. Il teatro australe conferma la tesi diagnostica del volume e non la contraddice: esso non offre alcun riscontro a un condominio fra le superpotenze, e mostra semmai superpotenze su fronti opposti e un Occidente diviso al proprio interno. Livello A quanto ai reperti; Livello B quanto alla conclusione.</w:t>
      </w:r>
    </w:p>
    <w:p>
      <w:pPr>
        <w:spacing w:after="120" w:line="276"/>
        <w:jc w:val="both"/>
      </w:pPr>
      <w:r>
        <w:rPr>
          <w:rFonts w:ascii="Barlow Semi Condensed" w:cs="Barlow Semi Condensed" w:eastAsia="Barlow Semi Condensed" w:hAnsi="Barlow Semi Condensed"/>
          <w:sz w:val="24"/>
          <w:szCs w:val="24"/>
        </w:rPr>
        <w:t xml:space="preserve">Blocco mirato numero 1108 — Il secondo esito, che riguarda la macro-ipotesi H1. Poiché H1 postula la convergenza delle potenze imperiali contro l'integrazione europea, e poiché il teatro australe mostra divergenza fra le potenze e frattura interna al campo occidentale, esso milita contro H1 e non a suo favore. Il registro lo iscrive perciò fra i falsificatori disponibili, e non fra le conferme.</w:t>
      </w:r>
    </w:p>
    <w:p>
      <w:pPr>
        <w:spacing w:after="120" w:line="276"/>
        <w:jc w:val="both"/>
      </w:pPr>
      <w:r>
        <w:rPr>
          <w:rFonts w:ascii="Barlow Semi Condensed" w:cs="Barlow Semi Condensed" w:eastAsia="Barlow Semi Condensed" w:hAnsi="Barlow Semi Condensed"/>
          <w:sz w:val="24"/>
          <w:szCs w:val="24"/>
        </w:rPr>
        <w:t xml:space="preserve">Blocco mirato numero 1109 — La disciplina impone però il limite dell'esito. Un solo teatro non falsifica una macro-ipotesi che ha ambizione sistemica; esso ne restringe il campo di applicazione. La formulazione corretta è che H1, ove mantenuta, deve escludere il dossier australe dal proprio perimetro, e dichiararlo. Livello C, poiché H1 resta ipotesi di terzo grado per statuto del progetto.</w:t>
      </w:r>
    </w:p>
    <w:p>
      <w:pPr>
        <w:spacing w:after="120" w:line="276"/>
        <w:jc w:val="both"/>
      </w:pPr>
      <w:r>
        <w:rPr>
          <w:rFonts w:ascii="Barlow Semi Condensed" w:cs="Barlow Semi Condensed" w:eastAsia="Barlow Semi Condensed" w:hAnsi="Barlow Semi Condensed"/>
          <w:sz w:val="24"/>
          <w:szCs w:val="24"/>
        </w:rPr>
        <w:t xml:space="preserve">Blocco mirato numero 1110 — Un reperto vaticano che complica il quadro e va registrato. La risoluzione 418 fu votata anche dall'Unione Sovietica; e la Santa Sede negò a Pretoria il riconoscimento diplomatico per 72 anni, mentre l'Italia glielo concedeva dal 1929. Livello A. Ne discende che sul dossier dell'apartheid l'allineamento non segue la linea Est-Ovest né quella cattolica-laica, e che le sovranità vi si distribuiscono secondo un criterio che il registro non è in grado di ridurre a codice unico. Reperto negativo di prima classe: nessun codice unificante spiega la distribuzione delle condotte sul dossier australe.</w:t>
      </w:r>
    </w:p>
    <w:p>
      <w:pPr>
        <w:pStyle w:val="Heading2"/>
        <w:spacing w:after="100" w:before="200"/>
      </w:pPr>
      <w:r>
        <w:rPr>
          <w:rFonts w:ascii="Barlow Semi Condensed" w:cs="Barlow Semi Condensed" w:eastAsia="Barlow Semi Condensed" w:hAnsi="Barlow Semi Condensed"/>
          <w:sz w:val="24"/>
          <w:szCs w:val="24"/>
        </w:rPr>
        <w:t xml:space="preserve">III — IL CONTENITORE EUROPEO E IL TEATRO AUSTRALE</w:t>
      </w:r>
    </w:p>
    <w:p>
      <w:pPr>
        <w:spacing w:after="120" w:line="276"/>
        <w:jc w:val="both"/>
      </w:pPr>
      <w:r>
        <w:rPr>
          <w:rFonts w:ascii="Barlow Semi Condensed" w:cs="Barlow Semi Condensed" w:eastAsia="Barlow Semi Condensed" w:hAnsi="Barlow Semi Condensed"/>
          <w:sz w:val="24"/>
          <w:szCs w:val="24"/>
        </w:rPr>
        <w:t xml:space="preserve">Blocco mirato numero 1201 — La categoria del volume. L'Edizione Integrata introduce nella Fase III la destra radicale europea quale contenitore ricorsivo, ambiente occupabile che attraversa entrambe le formazioni.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1202 — La verifica sul teatro australe. Il sesto artefatto offre alla categoria una verifica e un limite. La verifica: il regime di Pretoria funzionò da nodo di accoglienza per soggetti dell'eversione e degli apparati deviati europei, e il volume lo certifica già al Livello A per il caso della latitanza di Gianadelio Maletti a Johannesburg. Il contenitore fu dunque occupato anche in direzione australe.</w:t>
      </w:r>
    </w:p>
    <w:p>
      <w:pPr>
        <w:spacing w:after="120" w:line="276"/>
        <w:jc w:val="both"/>
      </w:pPr>
      <w:r>
        <w:rPr>
          <w:rFonts w:ascii="Barlow Semi Condensed" w:cs="Barlow Semi Condensed" w:eastAsia="Barlow Semi Condensed" w:hAnsi="Barlow Semi Condensed"/>
          <w:sz w:val="24"/>
          <w:szCs w:val="24"/>
        </w:rPr>
        <w:t xml:space="preserve">Blocco mirato numero 1203 — Il limite, ed è il reperto proprio di questo registro. Il canale industriale italiano non passò per il contenitore. Esso passò per un'impresa aeronautica, una sub-licenza motoristica del 1959 e un'autorizzazione di Stato mai tipizzata. Nessun elemento documentale collega il canale Aermacchi ad ambienti della destra radicale. Reperto negativo, Livello A.</w:t>
      </w:r>
    </w:p>
    <w:p>
      <w:pPr>
        <w:spacing w:after="120" w:line="276"/>
        <w:jc w:val="both"/>
      </w:pPr>
      <w:r>
        <w:rPr>
          <w:rFonts w:ascii="Barlow Semi Condensed" w:cs="Barlow Semi Condensed" w:eastAsia="Barlow Semi Condensed" w:hAnsi="Barlow Semi Condensed"/>
          <w:sz w:val="24"/>
          <w:szCs w:val="24"/>
        </w:rPr>
        <w:t xml:space="preserve">Blocco mirato numero 1204 — Ne discende una distinzione che il registro propone alla categoria. Il teatro australe fu attraversato da 2 flussi distinti e non comunicanti allo stato delle fonti. Il flusso delle persone, che passò per il contenitore ideologico e che il volume censisce con Maletti. E il flusso dei materiali, che passò per il canale industriale e statale e che il sesto artefatto versa. Livello A quanto ai 2 flussi presi ciascuno per sé; nessun livello quanto a una relazione fra essi.</w:t>
      </w:r>
    </w:p>
    <w:p>
      <w:pPr>
        <w:spacing w:after="120" w:line="276"/>
        <w:jc w:val="both"/>
      </w:pPr>
      <w:r>
        <w:rPr>
          <w:rFonts w:ascii="Barlow Semi Condensed" w:cs="Barlow Semi Condensed" w:eastAsia="Barlow Semi Condensed" w:hAnsi="Barlow Semi Condensed"/>
          <w:sz w:val="24"/>
          <w:szCs w:val="24"/>
        </w:rPr>
        <w:t xml:space="preserve">Blocco mirato numero 1205 — Il raccordo, che è di descrizione e non di causa. Mentre un ufficiale dei servizi italiani latitante risiedeva a Johannesburg, un'impresa aeronautica italiana riforniva l'aviazione militare del medesimo Stato. I 2 fatti sono documentati separatamente e nulla li collega. La simultaneità non è nesso, e il registro la riporta come tale.</w:t>
      </w:r>
    </w:p>
    <w:p>
      <w:pPr>
        <w:spacing w:after="120" w:line="276"/>
        <w:jc w:val="both"/>
      </w:pPr>
      <w:r>
        <w:rPr>
          <w:rFonts w:ascii="Barlow Semi Condensed" w:cs="Barlow Semi Condensed" w:eastAsia="Barlow Semi Condensed" w:hAnsi="Barlow Semi Condensed"/>
          <w:sz w:val="24"/>
          <w:szCs w:val="24"/>
        </w:rPr>
        <w:t xml:space="preserve">Blocco mirato numero 1206 — Il valore analitico della distinzione. Essa protegge la categoria del contenitore da un'estensione indebita: non tutto ciò che raggiunse il regime paria vi giunse attraverso l'ideologia. Una parte vi giunse attraverso il commercio, e la vulnerabilità che quella parte rivela non è ideologica ma normativa — l'assenza, fino al 1990, di una legge italiana sull'esportazione di armamenti. Livello A.</w:t>
      </w:r>
    </w:p>
    <w:p>
      <w:pPr>
        <w:spacing w:after="120" w:line="276"/>
        <w:jc w:val="both"/>
      </w:pPr>
      <w:r>
        <w:rPr>
          <w:rFonts w:ascii="Barlow Semi Condensed" w:cs="Barlow Semi Condensed" w:eastAsia="Barlow Semi Condensed" w:hAnsi="Barlow Semi Condensed"/>
          <w:sz w:val="24"/>
          <w:szCs w:val="24"/>
        </w:rPr>
        <w:t xml:space="preserve">Blocco mirato numero 1207 — La ricorsività verificata sul caso bavarese. Il volume enuncia la ricorsività del contenitore. Il sesto artefatto vi porta un caso che la illustra e insieme la circoscrive: sul dossier sudafricano le divergenze fra Christlich-Demokratische Union e Christlich-Soziale Union furono tali da far fallire l'adozione della piattaforma elettorale comune prima delle elezioni federali del 1987. Livello B, trattandosi di fonte d'autore interna al dibattito. Il contenitore, dunque, non fu omogeneo neppure entro un medesimo campo partitico nazionale.</w:t>
      </w:r>
    </w:p>
    <w:p>
      <w:pPr>
        <w:spacing w:after="120" w:line="276"/>
        <w:jc w:val="both"/>
      </w:pPr>
      <w:r>
        <w:rPr>
          <w:rFonts w:ascii="Barlow Semi Condensed" w:cs="Barlow Semi Condensed" w:eastAsia="Barlow Semi Condensed" w:hAnsi="Barlow Semi Condensed"/>
          <w:sz w:val="24"/>
          <w:szCs w:val="24"/>
        </w:rPr>
        <w:t xml:space="preserve">Blocco mirato numero 1208 — Il reperto sulla doppia appartenenza e il suo limite. È fatto pubblico documentato che un ex ministro bavarese della Christlich-Soziale Union sedesse nel comitato della società bilaterale tedesco-sudafricana e fosse insieme primo presidente della fondazione politica del partito. Livello A quanto alla doppia appartenenza. Nessun livello quanto a una condotta della fondazione o del partito: l'adesione di una persona a 2 organizzazioni non prova un rapporto istituzionale fra esse. Il registro lo iscrive quale indizio di prossimità di ambienti e non altro.</w:t>
      </w:r>
    </w:p>
    <w:p>
      <w:pPr>
        <w:spacing w:after="120" w:line="276"/>
        <w:jc w:val="both"/>
      </w:pPr>
      <w:r>
        <w:rPr>
          <w:rFonts w:ascii="Barlow Semi Condensed" w:cs="Barlow Semi Condensed" w:eastAsia="Barlow Semi Condensed" w:hAnsi="Barlow Semi Condensed"/>
          <w:sz w:val="24"/>
          <w:szCs w:val="24"/>
        </w:rPr>
        <w:t xml:space="preserve">Blocco mirato numero 1209 — Il pattern centro-periferia, versato alla Fase III. Il corpus possiede 2 casi in cui la periferia episcopale determinava e il centro romano accompagnava. Il caso sudafricano li inverte: l'episcopato locale condannò l'apartheid quale intrinsecamente malvagio il 21 luglio 1957, in opposizione dichiarata alla linea del rappresentante pontificio, che preferiva l'ingaggio diplomatico con il regime. Livello B. Il rilievo generale: chi sta sul territorio misura il costo del silenzio, chi rappresenta la sede misura il costo della rottura, e le 2 valutazioni divergono sistematicamente.</w:t>
      </w:r>
    </w:p>
    <w:p>
      <w:pPr>
        <w:spacing w:after="120" w:line="276"/>
        <w:jc w:val="both"/>
      </w:pPr>
      <w:r>
        <w:rPr>
          <w:rFonts w:ascii="Barlow Semi Condensed" w:cs="Barlow Semi Condensed" w:eastAsia="Barlow Semi Condensed" w:hAnsi="Barlow Semi Condensed"/>
          <w:sz w:val="24"/>
          <w:szCs w:val="24"/>
        </w:rPr>
        <w:t xml:space="preserve">Blocco mirato numero 1210 — L'ultimo versamento alla Fase III. Sui voti namibiani del 1976 e 1977 l'Italia esclusa dal Gruppo di contatto risultò più avanzata della Germania che vi sedeva, votando a favore di 3 risoluzioni sulle quali Bonn si asteneva, e astenendosi su quella sulla quale Bonn votava contro. Livello A quanto ai voti. Il rilievo, di Livello B perché inferenza: la partecipazione a un consesso negoziale vincola il voto e l'esclusione lo libera. Chi siede al tavolo paga in libertà di voto ciò che guadagna in influenza, e la circostanza va tenuta presente ogni volta che il registro misuri una condotta multilaterale.</w:t>
      </w:r>
    </w:p>
    <w:p>
      <w:pPr>
        <w:pStyle w:val="Heading2"/>
        <w:spacing w:after="100" w:before="200"/>
      </w:pPr>
      <w:r>
        <w:rPr>
          <w:rFonts w:ascii="Barlow Semi Condensed" w:cs="Barlow Semi Condensed" w:eastAsia="Barlow Semi Condensed" w:hAnsi="Barlow Semi Condensed"/>
          <w:sz w:val="24"/>
          <w:szCs w:val="24"/>
        </w:rPr>
        <w:t xml:space="preserve">IV — I NODI CHE RESTANO FUORI ANCHE DAL PARAGRAFO 1.6</w:t>
      </w:r>
    </w:p>
    <w:p>
      <w:pPr>
        <w:spacing w:after="120" w:line="276"/>
        <w:jc w:val="both"/>
      </w:pPr>
      <w:r>
        <w:rPr>
          <w:rFonts w:ascii="Barlow Semi Condensed" w:cs="Barlow Semi Condensed" w:eastAsia="Barlow Semi Condensed" w:hAnsi="Barlow Semi Condensed"/>
          <w:sz w:val="24"/>
          <w:szCs w:val="24"/>
        </w:rPr>
        <w:t xml:space="preserve">Blocco mirato numero 1301 — Criterio di questa sezione. Il blocco 906 ha accertato che l'Edizione Integrata possiede il teatro australe al paragrafo 1.6. Restano tuttavia nodi del sesto artefatto che non sono riconducibili a quel paragrafo neppure per genere, poiché non appartengono all'asse dei paria né all'elusione delle sanzioni. Essi costituiscono il versamento residuo, e vanno enumerati distintamente perché richiedono collocazione autonoma.</w:t>
      </w:r>
    </w:p>
    <w:p>
      <w:pPr>
        <w:spacing w:after="120" w:line="276"/>
        <w:jc w:val="both"/>
      </w:pPr>
      <w:r>
        <w:rPr>
          <w:rFonts w:ascii="Barlow Semi Condensed" w:cs="Barlow Semi Condensed" w:eastAsia="Barlow Semi Condensed" w:hAnsi="Barlow Semi Condensed"/>
          <w:sz w:val="24"/>
          <w:szCs w:val="24"/>
        </w:rPr>
        <w:t xml:space="preserve">Blocco mirato numero 1302 — ◆ Primo nodo residuo: la delegazione apostolica di Pretoria. Istituita il 7 dicembre 1922, con 9 titolari, elevata a nunziatura il 25 giugno 1994. Livello A. Essa non appartiene all'asse dei paria bensì al suo rovescio: è la sovranità che al regime paria negò il riconoscimento. Dominio 5. Collocazione proposta: Fase I quale contro-segmento del paragrafo 1.6, ovvero Fase III quale caso di sovranità non occupabile dal contenitore.</w:t>
      </w:r>
    </w:p>
    <w:p>
      <w:pPr>
        <w:spacing w:after="120" w:line="276"/>
        <w:jc w:val="both"/>
      </w:pPr>
      <w:r>
        <w:rPr>
          <w:rFonts w:ascii="Barlow Semi Condensed" w:cs="Barlow Semi Condensed" w:eastAsia="Barlow Semi Condensed" w:hAnsi="Barlow Semi Condensed"/>
          <w:sz w:val="24"/>
          <w:szCs w:val="24"/>
        </w:rPr>
        <w:t xml:space="preserve">Blocco mirato numero 1303 — ▶ Secondo nodo residuo: Alfredo Poledrini. Delegato apostolico dal 1971 al 1978, dunque rappresentante pontificio in carica per l'intera durata del secondo mandato ministeriale di Aldo Moro e della sua presidenza del Consiglio. Livello A quanto alle date. Reperto negativo, Livello A: nessun elemento documentale lo collega ad alcun contatto italiano sulla materia sudafricana, con sede di verifica nell'Archivio Apostolico Vaticano, chiuso oltre l'ottobre 1958 e dunque Stato Zero di impossibilità istituzionale.</w:t>
      </w:r>
    </w:p>
    <w:p>
      <w:pPr>
        <w:spacing w:after="120" w:line="276"/>
        <w:jc w:val="both"/>
      </w:pPr>
      <w:r>
        <w:rPr>
          <w:rFonts w:ascii="Barlow Semi Condensed" w:cs="Barlow Semi Condensed" w:eastAsia="Barlow Semi Condensed" w:hAnsi="Barlow Semi Condensed"/>
          <w:sz w:val="24"/>
          <w:szCs w:val="24"/>
        </w:rPr>
        <w:t xml:space="preserve">Blocco mirato numero 1304 — ▶ Terzo nodo residuo: Denis Hurley. Arcivescovo di Durban dal 1951, presidente della conferenza episcopale sudafricana dal 1952 al 1961 e dal 1981 al 1987, forza trainante della dichiarazione del 21 luglio 1957, incriminato nel 1984 per false dichiarazioni sulle atrocità dell'unità Koevoet in Namibia e prosciolto nel 1985. Livello A quanto alle cariche e al procedimento; le fonti divergono sulla qualificazione giuridica dell'imputazione e la divergenza si riporta. Dominio 5. Collocazione proposta: Fase III, quale caso di occupazione del contenitore in senso contrario.</w:t>
      </w:r>
    </w:p>
    <w:p>
      <w:pPr>
        <w:spacing w:after="120" w:line="276"/>
        <w:jc w:val="both"/>
      </w:pPr>
      <w:r>
        <w:rPr>
          <w:rFonts w:ascii="Barlow Semi Condensed" w:cs="Barlow Semi Condensed" w:eastAsia="Barlow Semi Condensed" w:hAnsi="Barlow Semi Condensed"/>
          <w:sz w:val="24"/>
          <w:szCs w:val="24"/>
        </w:rPr>
        <w:t xml:space="preserve">Blocco mirato numero 1305 — ■ Quarto nodo residuo: il viaggio del settembre 1988. Itinerario pontificio di 10 giorni in 5 Stati confinanti con il Sudafrica, con esclusione deliberata del Sudafrica medesimo su esplicito consiglio dei vescovi locali, e con atterraggio forzato a Johannesburg il 14 settembre per avaria dei radiofari di Maseru. Livello A. Dominio 5. Il nodo è il solo atto diplomatico simbolico documentato di una sovranità europea verso il regime nel perimetro, e non ha equivalenti italiani.</w:t>
      </w:r>
    </w:p>
    <w:p>
      <w:pPr>
        <w:spacing w:after="120" w:line="276"/>
        <w:jc w:val="both"/>
      </w:pPr>
      <w:r>
        <w:rPr>
          <w:rFonts w:ascii="Barlow Semi Condensed" w:cs="Barlow Semi Condensed" w:eastAsia="Barlow Semi Condensed" w:hAnsi="Barlow Semi Condensed"/>
          <w:sz w:val="24"/>
          <w:szCs w:val="24"/>
        </w:rPr>
        <w:t xml:space="preserve">Blocco mirato numero 1306 — ◆ Quinto nodo residuo: il Gruppo di contatto occidentale. Costituito nell'aprile 1977 con Stati Uniti, Regno Unito, Francia, Canada e Repubblica Federale di Germania, sciolto attorno al 1983. Livello A. Non appartiene all'asse dei paria ma al suo contrario: è il consesso costituito per negoziare la fine dell'occupazione namibiana. Dominio 2 internazionale.</w:t>
      </w:r>
    </w:p>
    <w:p>
      <w:pPr>
        <w:spacing w:after="120" w:line="276"/>
        <w:jc w:val="both"/>
      </w:pPr>
      <w:r>
        <w:rPr>
          <w:rFonts w:ascii="Barlow Semi Condensed" w:cs="Barlow Semi Condensed" w:eastAsia="Barlow Semi Condensed" w:hAnsi="Barlow Semi Condensed"/>
          <w:sz w:val="24"/>
          <w:szCs w:val="24"/>
        </w:rPr>
        <w:t xml:space="preserve">Blocco mirato numero 1307 — ■ Sesto nodo residuo: l'esclusione italiana da quel consesso. L'Italia non vi fu ammessa perché il criterio di appartenenza era il seggio occidentale nel Consiglio di sicurezza nel 1977, e il mandato italiano si era chiuso il 31 dicembre 1976 senza riprendere prima del 1 gennaio 1987. Livello A. La ragione è istituzionale e non un giudizio di merito: Canada e Repubblica Federale vi entrarono precisamente perché occupavano i 2 seggi che l'Italia non deteneva.</w:t>
      </w:r>
    </w:p>
    <w:p>
      <w:pPr>
        <w:spacing w:after="120" w:line="276"/>
        <w:jc w:val="both"/>
      </w:pPr>
      <w:r>
        <w:rPr>
          <w:rFonts w:ascii="Barlow Semi Condensed" w:cs="Barlow Semi Condensed" w:eastAsia="Barlow Semi Condensed" w:hAnsi="Barlow Semi Condensed"/>
          <w:sz w:val="24"/>
          <w:szCs w:val="24"/>
        </w:rPr>
        <w:t xml:space="preserve">Blocco mirato numero 1308 — ■ Settimo nodo residuo: le 2 confutazioni italiane presso le Nazioni Unite. La lettera S/9640 del 6 febbraio 1970, che confuta l'affermazione zambiana secondo cui l'Italia avrebbe rifiutato di imporre il divieto di vendita di armi; e la lettera S/AC.20/27 del 27 giugno 1980, che nega accuse di violazione dell'embargo formulate da Abdul Minty. Livello A quanto all'esistenza, alle date e all'oggetto; il testo del corpo di entrambe non è stato acquisito. Dominio 2.</w:t>
      </w:r>
    </w:p>
    <w:p>
      <w:pPr>
        <w:spacing w:after="120" w:line="276"/>
        <w:jc w:val="both"/>
      </w:pPr>
      <w:r>
        <w:rPr>
          <w:rFonts w:ascii="Barlow Semi Condensed" w:cs="Barlow Semi Condensed" w:eastAsia="Barlow Semi Condensed" w:hAnsi="Barlow Semi Condensed"/>
          <w:sz w:val="24"/>
          <w:szCs w:val="24"/>
        </w:rPr>
        <w:t xml:space="preserve">Blocco mirato numero 1309 — ■ Ottavo nodo residuo: la simultaneità italo-tedesca del febbraio 1970. A 5 giorni dalla lettera italiana, l'Osservatore permanente supplente della Repubblica Federale trasmise una confutazione della medesima dichiarazione zambiana, allegata alla nota del Presidente del Consiglio del 13 febbraio. Livello A quanto ai fatti; Livello C quanto a ogni coordinamento, non asserito. Arco di convergenza.</w:t>
      </w:r>
    </w:p>
    <w:p>
      <w:pPr>
        <w:spacing w:after="120" w:line="276"/>
        <w:jc w:val="both"/>
      </w:pPr>
      <w:r>
        <w:rPr>
          <w:rFonts w:ascii="Barlow Semi Condensed" w:cs="Barlow Semi Condensed" w:eastAsia="Barlow Semi Condensed" w:hAnsi="Barlow Semi Condensed"/>
          <w:sz w:val="24"/>
          <w:szCs w:val="24"/>
        </w:rPr>
        <w:t xml:space="preserve">Blocco mirato numero 1310 — ■ Nono nodo residuo: la calibrazione libica. Confisca dei beni della comunità italiana il 21 luglio 1970, esodo perfezionato entro il 15 ottobre, viaggio di Moro a Tripoli il 5 maggio 1971, rinuncia consapevole alle ritorsioni in favore di compensazioni economiche indirette. Livello A quanto ai fatti; Livello B quanto alla qualificazione della linea, argomentata da storiografia fondata su archivio. Il nodo non appartiene al teatro australe ma vi si collega per funzione: stabilisce che dove uno studioso ha aperto le serie della Farnesina l'azione italiana è sempre emersa, e prescrive di non concludere per l'inazione senza avere identificato l'apparato competente.</w:t>
      </w:r>
    </w:p>
    <w:p>
      <w:pPr>
        <w:pStyle w:val="Heading2"/>
        <w:spacing w:after="100" w:before="200"/>
      </w:pPr>
      <w:r>
        <w:rPr>
          <w:rFonts w:ascii="Barlow Semi Condensed" w:cs="Barlow Semi Condensed" w:eastAsia="Barlow Semi Condensed" w:hAnsi="Barlow Semi Condensed"/>
          <w:sz w:val="24"/>
          <w:szCs w:val="24"/>
        </w:rPr>
        <w:t xml:space="preserve">V — I 2 GRADI PROPOSTI E LA LORO COLLOCAZIONE NELLA SCALA</w:t>
      </w:r>
    </w:p>
    <w:p>
      <w:pPr>
        <w:spacing w:after="120" w:line="276"/>
        <w:jc w:val="both"/>
      </w:pPr>
      <w:r>
        <w:rPr>
          <w:rFonts w:ascii="Barlow Semi Condensed" w:cs="Barlow Semi Condensed" w:eastAsia="Barlow Semi Condensed" w:hAnsi="Barlow Semi Condensed"/>
          <w:sz w:val="24"/>
          <w:szCs w:val="24"/>
        </w:rPr>
        <w:t xml:space="preserve">Blocco mirato numero 1401 — Statuto della sezione. L'Edizione Integrata conta 98 occorrenze della locuzione Stato Zero e ne fa categoria portante, definendola quale assenza certificata di una connessione attesa e risultato analitico di primo ordine, di pari dignità rispetto al risultato positivo. Il sesto artefatto propone 2 gradi nuovi, e la presente sezione ne verifica la compatibilità con la scala.</w:t>
      </w:r>
    </w:p>
    <w:p>
      <w:pPr>
        <w:spacing w:after="120" w:line="276"/>
        <w:jc w:val="both"/>
      </w:pPr>
      <w:r>
        <w:rPr>
          <w:rFonts w:ascii="Barlow Semi Condensed" w:cs="Barlow Semi Condensed" w:eastAsia="Barlow Semi Condensed" w:hAnsi="Barlow Semi Condensed"/>
          <w:sz w:val="24"/>
          <w:szCs w:val="24"/>
        </w:rPr>
        <w:t xml:space="preserve">Blocco mirato numero 1402 — Primo grado proposto: l'atto atipico. Definizione: una condotta dello Stato non lascia traccia documentale perché il diritto vigente al momento non la configurava quale atto giuridico tipico, e dunque non ne prescriveva forma, motivazione né registrazione. Caso: la cessione all'estero di licenze di produzione di armamenti, non tipizzata in Italia fino all'articolo 13 della legge 185 del 9 luglio 1990, con materia coperta dal segreto di Stato ai sensi del regio decreto 11 luglio 1941 numero 1161. Livello A quanto al regime giuridico.</w:t>
      </w:r>
    </w:p>
    <w:p>
      <w:pPr>
        <w:spacing w:after="120" w:line="276"/>
        <w:jc w:val="both"/>
      </w:pPr>
      <w:r>
        <w:rPr>
          <w:rFonts w:ascii="Barlow Semi Condensed" w:cs="Barlow Semi Condensed" w:eastAsia="Barlow Semi Condensed" w:hAnsi="Barlow Semi Condensed"/>
          <w:sz w:val="24"/>
          <w:szCs w:val="24"/>
        </w:rPr>
        <w:t xml:space="preserve">Blocco mirato numero 1403 — La proprietà distintiva del grado. Esso non è rimediabile con l'apertura di un archivio, perché non vi è nulla da aprire. Ne discende che le sedi di verifica ordinariamente indicate — archivi ministeriali, archivi di enti pubblici — possono risultare vuote non per dispersione ma per struttura, e che la ricerca vi si dirige sapendo di poter trovare il nulla senza che il nulla provi l'inazione.</w:t>
      </w:r>
    </w:p>
    <w:p>
      <w:pPr>
        <w:spacing w:after="120" w:line="276"/>
        <w:jc w:val="both"/>
      </w:pPr>
      <w:r>
        <w:rPr>
          <w:rFonts w:ascii="Barlow Semi Condensed" w:cs="Barlow Semi Condensed" w:eastAsia="Barlow Semi Condensed" w:hAnsi="Barlow Semi Condensed"/>
          <w:sz w:val="24"/>
          <w:szCs w:val="24"/>
        </w:rPr>
        <w:t xml:space="preserve">Blocco mirato numero 1404 — La circolarità che chiude il grado. La legge che avrebbe tipizzato quell'atto fu prodotta anche dalla denuncia di un operaio dell'impresa costruttrice sulle consegne del gennaio 1980, rilanciata nel marzo 1988. Livello B. L'assenza di documentazione non era dunque un dato di natura ma una proprietà di un ordinamento, e quell'ordinamento fu mutato dal basso.</w:t>
      </w:r>
    </w:p>
    <w:p>
      <w:pPr>
        <w:spacing w:after="120" w:line="276"/>
        <w:jc w:val="both"/>
      </w:pPr>
      <w:r>
        <w:rPr>
          <w:rFonts w:ascii="Barlow Semi Condensed" w:cs="Barlow Semi Condensed" w:eastAsia="Barlow Semi Condensed" w:hAnsi="Barlow Semi Condensed"/>
          <w:sz w:val="24"/>
          <w:szCs w:val="24"/>
        </w:rPr>
        <w:t xml:space="preserve">Blocco mirato numero 1405 — Secondo grado proposto: la barriera macchinica. Definizione: un documento è pubblico, catalogato e indirizzabile, e la sua acquisizione è impedita non da una norma né da una lacuna ma da un dispositivo tecnico che discrimina fra lettori umani e automatici. Caso: le 2 lettere italiane presso le Nazioni Unite, di cui si sono acquisite le schede catalografiche integrali e non i corpi, il server documentale avendo respinto il recupero automatizzato. Livello A quanto al fatto.</w:t>
      </w:r>
    </w:p>
    <w:p>
      <w:pPr>
        <w:spacing w:after="120" w:line="276"/>
        <w:jc w:val="both"/>
      </w:pPr>
      <w:r>
        <w:rPr>
          <w:rFonts w:ascii="Barlow Semi Condensed" w:cs="Barlow Semi Condensed" w:eastAsia="Barlow Semi Condensed" w:hAnsi="Barlow Semi Condensed"/>
          <w:sz w:val="24"/>
          <w:szCs w:val="24"/>
        </w:rPr>
        <w:t xml:space="preserve">Blocco mirato numero 1406 — Le 3 proprietà del grado. È invisibile a chi si arresti alla scheda, poiché la scheda contiene abbastanza da sembrare un risultato. È asimmetrico rispetto al ricercatore, poiché un lettore umano in biblioteca aprirebbe quel file in trenta secondi. Ed è non rimediabile dall'interno del metodo che lo ha incontrato: nessuna riformulazione della domanda lo scioglie, e si scioglie soltanto uscendo dal metodo, cioè andando.</w:t>
      </w:r>
    </w:p>
    <w:p>
      <w:pPr>
        <w:spacing w:after="120" w:line="276"/>
        <w:jc w:val="both"/>
      </w:pPr>
      <w:r>
        <w:rPr>
          <w:rFonts w:ascii="Barlow Semi Condensed" w:cs="Barlow Semi Condensed" w:eastAsia="Barlow Semi Condensed" w:hAnsi="Barlow Semi Condensed"/>
          <w:sz w:val="24"/>
          <w:szCs w:val="24"/>
        </w:rPr>
        <w:t xml:space="preserve">Blocco mirato numero 1407 — La distinzione fra i 2 gradi proposti. Nell'atto atipico il documento non esiste e non è mai esistito. Nella barriera macchinica il documento esiste, è pubblico, ed è misurabile — la seconda lettera consta di 2 pagine. La seconda assenza è dunque quantificabile e la prima no, e la differenza è la ragione per cui i 2 gradi non si possono fondere.</w:t>
      </w:r>
    </w:p>
    <w:p>
      <w:pPr>
        <w:spacing w:after="120" w:line="276"/>
        <w:jc w:val="both"/>
      </w:pPr>
      <w:r>
        <w:rPr>
          <w:rFonts w:ascii="Barlow Semi Condensed" w:cs="Barlow Semi Condensed" w:eastAsia="Barlow Semi Condensed" w:hAnsi="Barlow Semi Condensed"/>
          <w:sz w:val="24"/>
          <w:szCs w:val="24"/>
        </w:rPr>
        <w:t xml:space="preserve">Blocco mirato numero 1408 — Una osservazione sul rapporto fra i gradi e il metodo. La scala degli Stati Zero era stata costruita per censire i limiti degli archivi. I 2 gradi proposti censiscono limiti di natura diversa: uno dell'ordinamento giuridico, l'altro dello strumento di ricerca. Ne discende che la scala non descrive più soltanto ciò che gli archivi non conservano, ma anche ciò che il diritto non produsse e ciò che il metodo non raggiunge.</w:t>
      </w:r>
    </w:p>
    <w:p>
      <w:pPr>
        <w:pStyle w:val="Heading2"/>
        <w:spacing w:after="100" w:before="200"/>
      </w:pPr>
      <w:r>
        <w:rPr>
          <w:rFonts w:ascii="Barlow Semi Condensed" w:cs="Barlow Semi Condensed" w:eastAsia="Barlow Semi Condensed" w:hAnsi="Barlow Semi Condensed"/>
          <w:sz w:val="24"/>
          <w:szCs w:val="24"/>
        </w:rPr>
        <w:t xml:space="preserve">VI — TAVOLA E SINTESI</w:t>
      </w:r>
    </w:p>
    <w:p>
      <w:pPr>
        <w:spacing w:after="120" w:line="276"/>
        <w:jc w:val="both"/>
      </w:pPr>
      <w:r>
        <w:rPr>
          <w:rFonts w:ascii="Barlow Semi Condensed" w:cs="Barlow Semi Condensed" w:eastAsia="Barlow Semi Condensed" w:hAnsi="Barlow Semi Condensed"/>
          <w:sz w:val="24"/>
          <w:szCs w:val="24"/>
        </w:rPr>
        <w:t xml:space="preserve">Blocco mirato numero 1451 — Prima voce della tavola. Il verbale S/AC.20/SR.25 con la dichiarazione di Abdul Minty sull'Italia. Massimo rendimento, poiché da esso dipende la comprensione dell'accusa cui l'Italia rispose. Sede: atti del Comitato istituito dalla risoluzione 421 e serie dei verbali presso la Dag Hammarskjöld Library. Condizione: accesso ai documenti a distribuzione ristretta.</w:t>
      </w:r>
    </w:p>
    <w:p>
      <w:pPr>
        <w:spacing w:after="120" w:line="276"/>
        <w:jc w:val="both"/>
      </w:pPr>
      <w:r>
        <w:rPr>
          <w:rFonts w:ascii="Barlow Semi Condensed" w:cs="Barlow Semi Condensed" w:eastAsia="Barlow Semi Condensed" w:hAnsi="Barlow Semi Condensed"/>
          <w:sz w:val="24"/>
          <w:szCs w:val="24"/>
        </w:rPr>
        <w:t xml:space="preserve">Blocco mirato numero 1452 — Seconda voce.\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 corpi testuali delle 2 lettere italiane.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Alto rendimento e costo nullo per chi possa recarvisi.\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Condizione: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superamento della barriera macchinica del blocco 1405.</w:t>
      </w:r>
    </w:p>
    <w:p>
      <w:pPr>
        <w:spacing w:after="120" w:line="276"/>
        <w:jc w:val="both"/>
      </w:pPr>
      <w:r>
        <w:rPr>
          <w:rFonts w:ascii="Barlow Semi Condensed" w:cs="Barlow Semi Condensed" w:eastAsia="Barlow Semi Condensed" w:hAnsi="Barlow Semi Condensed"/>
          <w:sz w:val="24"/>
          <w:szCs w:val="24"/>
        </w:rPr>
        <w:t xml:space="preserve">Blocco mirato numero 1453 — Terza voce. Il testo dell'accordo di licenza del 1964 con termini finanziari, geografici e di rinnovo. Sedi: archivio storico di Finmeccanica-Leonardo e archivio Aermacchi; controparti negli archivi Atlas e Armscor. Condizione: accessibilità dell'archivio aziendale, non garantita.</w:t>
      </w:r>
    </w:p>
    <w:p>
      <w:pPr>
        <w:spacing w:after="120" w:line="276"/>
        <w:jc w:val="both"/>
      </w:pPr>
      <w:r>
        <w:rPr>
          <w:rFonts w:ascii="Barlow Semi Condensed" w:cs="Barlow Semi Condensed" w:eastAsia="Barlow Semi Condensed" w:hAnsi="Barlow Semi Condensed"/>
          <w:sz w:val="24"/>
          <w:szCs w:val="24"/>
        </w:rPr>
        <w:t xml:space="preserve">Blocco mirato numero 1454 — Quarta voce, nuova. La verifica dell'esistenza di canali paralleli alla Farnesina per ciascun perimetro, presso i ministeri competenti per materia, nata dal precedente degli Accordi di Osimo e mai cercata da alcuna ricognizione anteriore.</w:t>
      </w:r>
    </w:p>
    <w:p>
      <w:pPr>
        <w:spacing w:after="120" w:line="276"/>
        <w:jc w:val="both"/>
      </w:pPr>
      <w:r>
        <w:rPr>
          <w:rFonts w:ascii="Barlow Semi Condensed" w:cs="Barlow Semi Condensed" w:eastAsia="Barlow Semi Condensed" w:hAnsi="Barlow Semi Condensed"/>
          <w:sz w:val="24"/>
          <w:szCs w:val="24"/>
        </w:rPr>
        <w:t xml:space="preserve">Blocco mirato numero 1455 — Quinta voce.\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voto italiano sulla risoluzione 2775 del 29 novembre 1971, intitolata Arms embargo.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È la risoluzione più direttamente pertinente al perimetro e il voto italiano su di essa non è accertato.</w:t>
      </w:r>
    </w:p>
    <w:p>
      <w:pPr>
        <w:spacing w:after="120" w:line="276"/>
        <w:jc w:val="both"/>
      </w:pPr>
      <w:r>
        <w:rPr>
          <w:rFonts w:ascii="Barlow Semi Condensed" w:cs="Barlow Semi Condensed" w:eastAsia="Barlow Semi Condensed" w:hAnsi="Barlow Semi Condensed"/>
          <w:sz w:val="24"/>
          <w:szCs w:val="24"/>
        </w:rPr>
        <w:t xml:space="preserve">Blocco mirato numero 1456 — Sesta voce. Le dichiarazioni esplicative di voto italiane e tedesche del dicembre 1976, che sole accerterebbero la ragione dell'inversione del blocco 1210. Sede: verbali plenari della serie A/PV.</w:t>
      </w:r>
    </w:p>
    <w:p>
      <w:pPr>
        <w:spacing w:after="120" w:line="276"/>
        <w:jc w:val="both"/>
      </w:pPr>
      <w:r>
        <w:rPr>
          <w:rFonts w:ascii="Barlow Semi Condensed" w:cs="Barlow Semi Condensed" w:eastAsia="Barlow Semi Condensed" w:hAnsi="Barlow Semi Condensed"/>
          <w:sz w:val="24"/>
          <w:szCs w:val="24"/>
        </w:rPr>
        <w:t xml:space="preserve">Blocco mirato numero 1457 — Settima voce, non conseguibile.\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documentazione vaticana sulle ragioni del mancato scambio di ambasciatori. Sede: Archivio Apostolico Vaticano.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Condizione: impossibilità istituzionale.</w:t>
      </w:r>
    </w:p>
    <w:p>
      <w:pPr>
        <w:spacing w:after="120" w:line="276"/>
        <w:jc w:val="both"/>
      </w:pPr>
      <w:r>
        <w:rPr>
          <w:rFonts w:ascii="Barlow Semi Condensed" w:cs="Barlow Semi Condensed" w:eastAsia="Barlow Semi Condensed" w:hAnsi="Barlow Semi Condensed"/>
          <w:sz w:val="24"/>
          <w:szCs w:val="24"/>
        </w:rPr>
        <w:t xml:space="preserve">Blocco mirato numero 1501 — Sintesi del dato nuovo acquisito. La triangolazione del sesto artefatto con l'Edizione Integrata rettifica anzitutto l'ordine ricevuto, poiché gli artefatti dal settimo al decimo non esistono e la sessione ne ha prodotti 6. Essa accerta che l'Edizione Integrata è cresciuta di 878 paragrafi e circa 41.000 parole assorbendo la Formazione Beta e non il teatro australe, e che le 20 chiavi lessicali del sesto artefatto vi ricorrono zero volte; ma rettifica sé stessa al blocco 906 accertando che il volume possiede già il teatro australe al paragrafo 1.6, quale ultimo segmento spaziale della Formazione Alfa e quale pattern del transito su scala intercontinentale. Ne discende che il sesto artefatto non collide con il volume ma lo istanzia, fornendo al pattern generico l'esemplare italiano nominato, datato e documentato. Il registro versa inoltre 3 acquisizioni proprie. La prima: la distinzione, entro l'asse dei paria, fra canali costituiti per eludere e canali preesistenti alla sanzione e non risolti, dei quali il caso italiano è esemplare del secondo tipo, con la conseguenza che l'imputazione non riguarda un atto di costituzione ma un'omissione di risoluzione, a sua volta spiegata dall'atipicità dell'atto nell'ordinamento anteriore al 1990. La seconda: il test della polarità delle superpotenze sul dossier australe, che conferma la tesi diagnostica del volume — nessun condominio, superpotenze su fronti opposti — e che aggiunge il reperto proprio secondo cui la frattura rilevante non corre fra Est e Ovest ma dentro l'Occidente, con la Francia principale fornitore, la Germania Federale bloccante sul carbone nel 1986 e l'Italia titolare del canale industriale; onde il teatro australe si iscrive fra i falsificatori disponibili di H1 e non fra le sue conferme. La terza: la distinzione fra i 2 flussi che attraversarono il teatro — il flusso delle persone, che passò per il contenitore ideologico e che il volume censisce, e il flusso dei materiali, che passò per il canale industriale e statale e che il sesto artefatto versa — fra i quali nulla, allo stato delle fonti, stabilisce comunicazione, con la conseguenza che la categoria del contenitore va preservata da estensione indebita, poiché non tutto ciò che raggiunse il regime paria vi giunse attraverso l'ideologia, e ciò che vi giunse per commercio rivela una vulnerabilità non ideologica ma normativa. Restano infine iscritti alla scala 2 gradi nuovi, l'atto atipico e la barriera macchinica, che ne mutano la portata: essa non descrive più soltanto ciò che gli archivi non conservano, ma ciò che il diritto non produsse e ciò che il metodo non raggiunge.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XXI · Secondo Registro Analitico Dei Nodi E Dei Ponti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 4.933 parole in 9 sezioni; la più ampia è §9 Altre sezioni, con 3.457.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 67 paragrafi in 9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XXII — Terzo Registro Analitico Dei Nodi E Dei Ponti</w:t>
      </w:r>
    </w:p>
    <w:p>
      <w:pPr>
        <w:pStyle w:val="Heading1"/>
        <w:spacing w:after="120" w:before="240"/>
      </w:pPr>
      <w:r>
        <w:rPr>
          <w:rFonts w:ascii="Barlow Semi Condensed" w:cs="Barlow Semi Condensed" w:eastAsia="Barlow Semi Condensed" w:hAnsi="Barlow Semi Condensed"/>
          <w:sz w:val="24"/>
          <w:szCs w:val="24"/>
        </w:rPr>
        <w:t xml:space="preserve">TERZO 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Il nodo sudafricano alla prova delle due formazioni</w:t>
      </w:r>
    </w:p>
    <w:p>
      <w:pPr>
        <w:pStyle w:val="Heading2"/>
        <w:spacing w:after="100" w:before="200"/>
      </w:pPr>
      <w:r>
        <w:rPr>
          <w:rFonts w:ascii="Barlow Semi Condensed" w:cs="Barlow Semi Condensed" w:eastAsia="Barlow Semi Condensed" w:hAnsi="Barlow Semi Condensed"/>
          <w:sz w:val="24"/>
          <w:szCs w:val="24"/>
        </w:rPr>
        <w:t xml:space="preserve">La quarta confutazione: non un nodo che ruota, ma lo Stato che contiene i due fronti</w:t>
      </w:r>
    </w:p>
    <w:p>
      <w:pPr>
        <w:pStyle w:val="Heading2"/>
        <w:spacing w:after="100" w:before="200"/>
      </w:pPr>
      <w:r>
        <w:rPr>
          <w:rFonts w:ascii="Barlow Semi Condensed" w:cs="Barlow Semi Condensed" w:eastAsia="Barlow Semi Condensed" w:hAnsi="Barlow Semi Condensed"/>
          <w:sz w:val="24"/>
          <w:szCs w:val="24"/>
        </w:rPr>
        <w:t xml:space="preserve">Blocchi 1601-2201 — il grado del fatto trasferito — la polarita invertita dell'attore</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TERZO REGISTRO ANALITICO DEI NODI E DEI PONTI</w:t>
      </w:r>
    </w:p>
    <w:p>
      <w:pPr>
        <w:pStyle w:val="Heading2"/>
        <w:spacing w:after="100" w:before="200"/>
      </w:pPr>
      <w:r>
        <w:rPr>
          <w:rFonts w:ascii="Barlow Semi Condensed" w:cs="Barlow Semi Condensed" w:eastAsia="Barlow Semi Condensed" w:hAnsi="Barlow Semi Condensed"/>
          <w:sz w:val="24"/>
          <w:szCs w:val="24"/>
        </w:rPr>
        <w:t xml:space="preserve">Il nodo sudafricano alla prova delle 2 formazioni. La quarta confutazione</w:t>
      </w:r>
    </w:p>
    <w:p>
      <w:pPr>
        <w:spacing w:after="120" w:line="276"/>
        <w:jc w:val="both"/>
      </w:pPr>
      <w:r>
        <w:rPr>
          <w:rFonts w:ascii="Barlow Semi Condensed" w:cs="Barlow Semi Condensed" w:eastAsia="Barlow Semi Condensed" w:hAnsi="Barlow Semi Condensed"/>
          <w:sz w:val="24"/>
          <w:szCs w:val="24"/>
        </w:rPr>
        <w:t xml:space="preserve">Blocco mirato numero 1601 — Oggetto e statuto. Il Secondo Registro aveva collocato il teatro australe entro la Formazione Alfa e ne aveva lasciato non eseguita la metà comparativa, poiché l'architettura dell'opera è per costruzione a 2 formazioni e una sola era stata messa alla prova. Il presente registro esegue la parte mancante. Esso non versa un perimetro nuovo: verifica un'ipotesi, e la verifica si conclude con la sua confutazione.</w:t>
      </w:r>
    </w:p>
    <w:p>
      <w:pPr>
        <w:spacing w:after="120" w:line="276"/>
        <w:jc w:val="both"/>
      </w:pPr>
      <w:r>
        <w:rPr>
          <w:rFonts w:ascii="Barlow Semi Condensed" w:cs="Barlow Semi Condensed" w:eastAsia="Barlow Semi Condensed" w:hAnsi="Barlow Semi Condensed"/>
          <w:sz w:val="24"/>
          <w:szCs w:val="24"/>
        </w:rPr>
        <w:t xml:space="preserve">Blocco mirato numero 1602 — L'ipotesi confutata, riportata nella formulazione in cui fu proposta. Che il Sudafrica costituisca un nodo che attraversa entrambe le formazioni cambiando polarità: allineato al campo occidentale anticomunista nella Formazione Alfa, allineato a Mosca nella Formazione Beta.</w:t>
      </w:r>
    </w:p>
    <w:p>
      <w:pPr>
        <w:spacing w:after="120" w:line="276"/>
        <w:jc w:val="both"/>
      </w:pPr>
      <w:r>
        <w:rPr>
          <w:rFonts w:ascii="Barlow Semi Condensed" w:cs="Barlow Semi Condensed" w:eastAsia="Barlow Semi Condensed" w:hAnsi="Barlow Semi Condensed"/>
          <w:sz w:val="24"/>
          <w:szCs w:val="24"/>
        </w:rPr>
        <w:t xml:space="preserve">Blocco mirato numero 1603 — La procedura seguita, e va enunciata perché è il metodo che ha prodotto l'esito. L'ipotesi fu scritta per esteso nel comando di ricerca insieme all'obiezione che poteva ucciderla, con richiesta espressa di tentare la confutazione anziché la difesa. È la quarta volta nella serie che tale procedura produce la caduta di una proposizione dell'autore, e le 4 volte hanno in comune la medesima circostanza: l'ipotesi era per iscritto e non nella testa di chi cercava.</w:t>
      </w:r>
    </w:p>
    <w:p>
      <w:pPr>
        <w:spacing w:after="120" w:line="276"/>
        <w:jc w:val="both"/>
      </w:pPr>
      <w:r>
        <w:rPr>
          <w:rFonts w:ascii="Barlow Semi Condensed" w:cs="Barlow Semi Condensed" w:eastAsia="Barlow Semi Condensed" w:hAnsi="Barlow Semi Condensed"/>
          <w:sz w:val="24"/>
          <w:szCs w:val="24"/>
        </w:rPr>
        <w:t xml:space="preserve">Blocco mirato numero 1604 — L'obiezione che l'ha uccisa. Se l'African National Congress fu, per l'intera durata dell'apartheid, sostenuto, armato e addestrato dall'Unione Sovietica, e se il South African Communist Party ne fu alleato strutturale, allora il soggetto che governa dal 1994 è il medesimo che negli anni della lotta stava nel campo sovietico. Non inversione di polarità di uno Stato, ma continuità di allineamento di un soggetto politico transitato dall'opposizione armata al potere.</w:t>
      </w:r>
    </w:p>
    <w:p>
      <w:pPr>
        <w:spacing w:after="120" w:line="276"/>
        <w:jc w:val="both"/>
      </w:pPr>
      <w:r>
        <w:rPr>
          <w:rFonts w:ascii="Barlow Semi Condensed" w:cs="Barlow Semi Condensed" w:eastAsia="Barlow Semi Condensed" w:hAnsi="Barlow Semi Condensed"/>
          <w:sz w:val="24"/>
          <w:szCs w:val="24"/>
        </w:rPr>
        <w:t xml:space="preserve">Blocco mirato numero 1605 — L'esito, dichiarato senza attenuazioni. L'obiezione regge e l'ipotesi cade. Livello A quanto ai fatti che la sostengono, esposti ai blocchi 1701 e seguenti.</w:t>
      </w:r>
    </w:p>
    <w:p>
      <w:pPr>
        <w:spacing w:after="120" w:line="276"/>
        <w:jc w:val="both"/>
      </w:pPr>
      <w:r>
        <w:rPr>
          <w:rFonts w:ascii="Barlow Semi Condensed" w:cs="Barlow Semi Condensed" w:eastAsia="Barlow Semi Condensed" w:hAnsi="Barlow Semi Condensed"/>
          <w:sz w:val="24"/>
          <w:szCs w:val="24"/>
        </w:rPr>
        <w:t xml:space="preserve">Blocco mirato numero 1606 — La formulazione corretta che sostituisce l'ipotesi caduta. Il Sudafrica non è un nodo che attraversa le 2 formazioni mutando campo. È lo Stato entro il quale entrambi i fronti della Formazione Alfa coesistevano: il regime bianco anticomunista sul fronte occidentale, il movimento di liberazione filo-sovietico sul fronte opposto. Nel 1994 non mutò l'allineamento di uno Stato: mutò quale dei 2 fronti interni detenesse il potere statale.</w:t>
      </w:r>
    </w:p>
    <w:p>
      <w:pPr>
        <w:spacing w:after="120" w:line="276"/>
        <w:jc w:val="both"/>
      </w:pPr>
      <w:r>
        <w:rPr>
          <w:rFonts w:ascii="Barlow Semi Condensed" w:cs="Barlow Semi Condensed" w:eastAsia="Barlow Semi Condensed" w:hAnsi="Barlow Semi Condensed"/>
          <w:sz w:val="24"/>
          <w:szCs w:val="24"/>
        </w:rPr>
        <w:t xml:space="preserve">Blocco mirato numero 1607 — La conseguenza per l'architettura dell'opera, e va enunciata perché è il guadagno maggiore. Ne discende che il teatro australe è il luogo più ricco per la verifica della tesi diagnostica del volume, poiché contiene entrambi i fronti dentro un solo Stato e ne mostra la traiettoria per 5 decenni. Non un nodo che ruota, ma un contenitore in cui i 2 campi si fronteggiano e si scambiano il potere.</w:t>
      </w:r>
    </w:p>
    <w:p>
      <w:pPr>
        <w:spacing w:after="120" w:line="276"/>
        <w:jc w:val="both"/>
      </w:pPr>
      <w:r>
        <w:rPr>
          <w:rFonts w:ascii="Barlow Semi Condensed" w:cs="Barlow Semi Condensed" w:eastAsia="Barlow Semi Condensed" w:hAnsi="Barlow Semi Condensed"/>
          <w:sz w:val="24"/>
          <w:szCs w:val="24"/>
        </w:rPr>
        <w:t xml:space="preserve">Blocco mirato numero 1608 — Che cosa la confutazione non stabilisce. Essa non nega il riorientamento del Sudafrica verso Mosca dopo il 2010, che i blocchi 1801 e seguenti documentano. Nega soltanto che tale riorientamento costituisca inversione di polarità di uno Stato anziché accesso al potere di un soggetto che quella polarità aveva sempre avuto.</w:t>
      </w:r>
    </w:p>
    <w:p>
      <w:pPr>
        <w:spacing w:after="120" w:line="276"/>
        <w:jc w:val="both"/>
      </w:pPr>
      <w:r>
        <w:rPr>
          <w:rFonts w:ascii="Barlow Semi Condensed" w:cs="Barlow Semi Condensed" w:eastAsia="Barlow Semi Condensed" w:hAnsi="Barlow Semi Condensed"/>
          <w:sz w:val="24"/>
          <w:szCs w:val="24"/>
        </w:rPr>
        <w:t xml:space="preserve">Blocco mirato numero 1609 — Un temperamento che la disciplina impone. La continuità non è né meccanica né immutabile. Il South African Communist Party ha annunciato nel dicembre 2024 la rottura con l'Alleanza tripartita in vista delle amministrative del 2026; l'accordo nucleare con la controparte russa fu annullato dalla magistratura sudafricana nel 2017; e l'orientamento filo-russo incontra vincoli giuridici interni reali. La continuità è tendenza storica documentata, non determinismo. Livello A.</w:t>
      </w:r>
    </w:p>
    <w:p>
      <w:pPr>
        <w:spacing w:after="120" w:line="276"/>
        <w:jc w:val="both"/>
      </w:pPr>
      <w:r>
        <w:rPr>
          <w:rFonts w:ascii="Barlow Semi Condensed" w:cs="Barlow Semi Condensed" w:eastAsia="Barlow Semi Condensed" w:hAnsi="Barlow Semi Condensed"/>
          <w:sz w:val="24"/>
          <w:szCs w:val="24"/>
        </w:rPr>
        <w:t xml:space="preserve">Blocco mirato numero 1610 — Discipline applicate. Sistema Savona 2.1 con grado in linea; notazione a triangolo, rombo e quadrato; tipizzazione degli archi; divieto di trattare la contemporaneità quale prova di nesso e l'appartenenza quale prova di condotta. La disciplina delle persone viventi si applica qui con il massimo rigore, la materia essendo contemporanea: soli fatti pubblici documentati, nessuna inferenza associativa, nessuna attribuzione di intenzioni non dichiarate. Numerazione a blocchi mirati dal 1601, il Secondo Registro essendosi chiuso al 1501.</w:t>
      </w:r>
    </w:p>
    <w:p>
      <w:pPr>
        <w:pStyle w:val="Heading2"/>
        <w:spacing w:after="100" w:before="200"/>
      </w:pPr>
      <w:r>
        <w:rPr>
          <w:rFonts w:ascii="Barlow Semi Condensed" w:cs="Barlow Semi Condensed" w:eastAsia="Barlow Semi Condensed" w:hAnsi="Barlow Semi Condensed"/>
          <w:sz w:val="24"/>
          <w:szCs w:val="24"/>
        </w:rPr>
        <w:t xml:space="preserve">I — I NODI DELLA CONTINUITÀ: IL CAMPO SOVIETICO DENTRO IL SUDAFRICA</w:t>
      </w:r>
    </w:p>
    <w:p>
      <w:pPr>
        <w:spacing w:after="120" w:line="276"/>
        <w:jc w:val="both"/>
      </w:pPr>
      <w:r>
        <w:rPr>
          <w:rFonts w:ascii="Barlow Semi Condensed" w:cs="Barlow Semi Condensed" w:eastAsia="Barlow Semi Condensed" w:hAnsi="Barlow Semi Condensed"/>
          <w:sz w:val="24"/>
          <w:szCs w:val="24"/>
        </w:rPr>
        <w:t xml:space="preserve">Blocco mirato numero 1701 — ◆ Umkhonto we Sizwe. Braccio armato dell'African National Congress, costituito il 16 dicembre 1961 dopo che il massacro di Sharpeville del marzo 1960 aveva chiuso la via nonviolenta. Livello A. Dominio 7.</w:t>
      </w:r>
    </w:p>
    <w:p>
      <w:pPr>
        <w:spacing w:after="120" w:line="276"/>
        <w:jc w:val="both"/>
      </w:pPr>
      <w:r>
        <w:rPr>
          <w:rFonts w:ascii="Barlow Semi Condensed" w:cs="Barlow Semi Condensed" w:eastAsia="Barlow Semi Condensed" w:hAnsi="Barlow Semi Condensed"/>
          <w:sz w:val="24"/>
          <w:szCs w:val="24"/>
        </w:rPr>
        <w:t xml:space="preserve">Blocco mirato numero 1702 — ■ Dicembre 1962: la missione a Mosca. Emissari del South African Communist Party, fra cui Arthur Goldreich, visitarono Mosca e gli Stati del Patto di Varsavia per sollecitare aiuto militare nel quadro dell'Operazione Mayibuye. Livello A, attestato dall'archivio documentale della fondazione intitolata a Nelson Mandela.</w:t>
      </w:r>
    </w:p>
    <w:p>
      <w:pPr>
        <w:spacing w:after="120" w:line="276"/>
        <w:jc w:val="both"/>
      </w:pPr>
      <w:r>
        <w:rPr>
          <w:rFonts w:ascii="Barlow Semi Condensed" w:cs="Barlow Semi Condensed" w:eastAsia="Barlow Semi Condensed" w:hAnsi="Barlow Semi Condensed"/>
          <w:sz w:val="24"/>
          <w:szCs w:val="24"/>
        </w:rPr>
        <w:t xml:space="preserve">Blocco mirato numero 1703 — ■ Dal 1963: l'Unione Sovietica maggiore fornitore. Da tale anno l'URSS divenne il maggiore contributore di materiale bellico e di armi a Umkhonto we Sizwe. Livello A. L'assistenza comprendeva non soltanto l'addestramento ma la fornitura di armi, munizioni, uniformi e di ogni struttura necessaria nei campi militari.</w:t>
      </w:r>
    </w:p>
    <w:p>
      <w:pPr>
        <w:spacing w:after="120" w:line="276"/>
        <w:jc w:val="both"/>
      </w:pPr>
      <w:r>
        <w:rPr>
          <w:rFonts w:ascii="Barlow Semi Condensed" w:cs="Barlow Semi Condensed" w:eastAsia="Barlow Semi Condensed" w:hAnsi="Barlow Semi Condensed"/>
          <w:sz w:val="24"/>
          <w:szCs w:val="24"/>
        </w:rPr>
        <w:t xml:space="preserve">Blocco mirato numero 1704 — ◆ La rete dell'addestramento, ripartita per Paese. Unione Sovietica, Repubblica Democratica Tedesca e Jugoslavia coprirono la maggior parte delle necessità formative nelle aree specializzate; Bulgaria, Ungheria, Cuba e Algeria fornirono addestramenti brevi e altamente specializzati — Cuba e Algeria per le forze speciali, Cuba anche per intelligence e controintelligence, la Bulgaria per la formazione politica, l'Ungheria per quella agricola. Livello A.</w:t>
      </w:r>
    </w:p>
    <w:p>
      <w:pPr>
        <w:spacing w:after="120" w:line="276"/>
        <w:jc w:val="both"/>
      </w:pPr>
      <w:r>
        <w:rPr>
          <w:rFonts w:ascii="Barlow Semi Condensed" w:cs="Barlow Semi Condensed" w:eastAsia="Barlow Semi Condensed" w:hAnsi="Barlow Semi Condensed"/>
          <w:sz w:val="24"/>
          <w:szCs w:val="24"/>
        </w:rPr>
        <w:t xml:space="preserve">Blocco mirato numero 1705 — ■ Novo Catengue, Angola. Base principale di Umkhonto we Sizwe, ove reclute in scaglioni fino a 500 unità furono addestrate da istruttori militari cubani; fra il 1976 e il 1979 vi furono formati oltre 1.000 guerriglieri. Livello A.</w:t>
      </w:r>
    </w:p>
    <w:p>
      <w:pPr>
        <w:spacing w:after="120" w:line="276"/>
        <w:jc w:val="both"/>
      </w:pPr>
      <w:r>
        <w:rPr>
          <w:rFonts w:ascii="Barlow Semi Condensed" w:cs="Barlow Semi Condensed" w:eastAsia="Barlow Semi Condensed" w:hAnsi="Barlow Semi Condensed"/>
          <w:sz w:val="24"/>
          <w:szCs w:val="24"/>
        </w:rPr>
        <w:t xml:space="preserve">Blocco mirato numero 1706 — ■ L'addestramento in Ucraina, e la sua torsione contemporanea. Molti quadri di Umkhonto we Sizwe furono addestrati in territorio dell'attuale Ucraina, con testimonianza di un addestramento iniziale a Odessa nel 1964. Livello A quanto al fatto.</w:t>
      </w:r>
    </w:p>
    <w:p>
      <w:pPr>
        <w:spacing w:after="120" w:line="276"/>
        <w:jc w:val="both"/>
      </w:pPr>
      <w:r>
        <w:rPr>
          <w:rFonts w:ascii="Barlow Semi Condensed" w:cs="Barlow Semi Condensed" w:eastAsia="Barlow Semi Condensed" w:hAnsi="Barlow Semi Condensed"/>
          <w:sz w:val="24"/>
          <w:szCs w:val="24"/>
        </w:rPr>
        <w:t xml:space="preserve">Blocco mirato numero 1707 — E qui il registro isola una fattispecie che merita nome proprio. Il fatto dell'addestramento sovietico è oggi invocato nel discorso ufficiale russo e sudafricano a sostegno di una gratitudine verso Mosca; ma l'addestramento avvenne in repubbliche oggi indipendenti e ostili all'invasione. Livello A.</w:t>
      </w:r>
    </w:p>
    <w:p>
      <w:pPr>
        <w:spacing w:after="120" w:line="276"/>
        <w:jc w:val="both"/>
      </w:pPr>
      <w:r>
        <w:rPr>
          <w:rFonts w:ascii="Barlow Semi Condensed" w:cs="Barlow Semi Condensed" w:eastAsia="Barlow Semi Condensed" w:hAnsi="Barlow Semi Condensed"/>
          <w:sz w:val="24"/>
          <w:szCs w:val="24"/>
        </w:rPr>
        <w:t xml:space="preserve">Blocco mirato numero 1708 — Il grado che se ne trae. Non è connessione falsa nel senso già codificato dal corpus, poiché il fatto è vero. È un fatto vero la cui attribuzione geografica e politica viene silenziosamente aggiornata per servire una rivendicazione presente. Si propone di denominarlo fatto trasferito, e di distinguerlo dall'allegazione senza base: là il fatto non esiste; qui esiste e viene trasportato.</w:t>
      </w:r>
    </w:p>
    <w:p>
      <w:pPr>
        <w:spacing w:after="120" w:line="276"/>
        <w:jc w:val="both"/>
      </w:pPr>
      <w:r>
        <w:rPr>
          <w:rFonts w:ascii="Barlow Semi Condensed" w:cs="Barlow Semi Condensed" w:eastAsia="Barlow Semi Condensed" w:hAnsi="Barlow Semi Condensed"/>
          <w:sz w:val="24"/>
          <w:szCs w:val="24"/>
        </w:rPr>
        <w:t xml:space="preserve">Blocco mirato numero 1709 — ▶ Joe Slovo. Fra i primi membri di Umkhonto we Sizwe, capo di stato maggiore fino al 1987, membro del Consiglio rivoluzionario dell'African National Congress dal 1969 al 1983, e ministro per l'edilizia abitativa nel primo governo Mandela nel 1994. Livello A. Domini 2 e 7. È il nodo che incarna materialmente la continuità: il medesimo uomo nel comando armato e nel gabinetto.</w:t>
      </w:r>
    </w:p>
    <w:p>
      <w:pPr>
        <w:spacing w:after="120" w:line="276"/>
        <w:jc w:val="both"/>
      </w:pPr>
      <w:r>
        <w:rPr>
          <w:rFonts w:ascii="Barlow Semi Condensed" w:cs="Barlow Semi Condensed" w:eastAsia="Barlow Semi Condensed" w:hAnsi="Barlow Semi Condensed"/>
          <w:sz w:val="24"/>
          <w:szCs w:val="24"/>
        </w:rPr>
        <w:t xml:space="preserve">Blocco mirato numero 1710 — ▶ Chris Hani. Comandante di Umkhonto we Sizwe e contestualmente segretario generale del South African Communist Party. Livello A. Domini 2 e 7.</w:t>
      </w:r>
    </w:p>
    <w:p>
      <w:pPr>
        <w:spacing w:after="120" w:line="276"/>
        <w:jc w:val="both"/>
      </w:pPr>
      <w:r>
        <w:rPr>
          <w:rFonts w:ascii="Barlow Semi Condensed" w:cs="Barlow Semi Condensed" w:eastAsia="Barlow Semi Condensed" w:hAnsi="Barlow Semi Condensed"/>
          <w:sz w:val="24"/>
          <w:szCs w:val="24"/>
        </w:rPr>
        <w:t xml:space="preserve">Blocco mirato numero 1711 — ■ Il fatto strutturale sul rapporto fra i 2 soggetti. La decisione di avviare la guerriglia — cioè la fondazione stessa di Umkhonto we Sizwe — fu presa dal comitato centrale del South African Communist Party, e da esso soltanto. Livello B, trattandosi di ricostruzione giornalistica sudafricana accreditata e non di verbale.</w:t>
      </w:r>
    </w:p>
    <w:p>
      <w:pPr>
        <w:spacing w:after="120" w:line="276"/>
        <w:jc w:val="both"/>
      </w:pPr>
      <w:r>
        <w:rPr>
          <w:rFonts w:ascii="Barlow Semi Condensed" w:cs="Barlow Semi Condensed" w:eastAsia="Barlow Semi Condensed" w:hAnsi="Barlow Semi Condensed"/>
          <w:sz w:val="24"/>
          <w:szCs w:val="24"/>
        </w:rPr>
        <w:t xml:space="preserve">Blocco mirato numero 1712 — ◆ L'Alleanza tripartita, e la sua incrinatura recente. Istituzionalizzata dopo il 1994 fra African National Congress, South African Communist Party e la confederazione sindacale, con radici nella Congress Alliance degli anni Cinquanta. Livello A. Nel dicembre 2024 il partito comunista annunciò che avrebbe contestato autonomamente le elezioni, in particolare le amministrative del 2026, dopo che l'African National Congress, sceso al 40 per cento alle elezioni del 2024, aveva formato un governo di unità nazionale con la Democratic Alliance. Livello B.</w:t>
      </w:r>
    </w:p>
    <w:p>
      <w:pPr>
        <w:pStyle w:val="Heading2"/>
        <w:spacing w:after="100" w:before="200"/>
      </w:pPr>
      <w:r>
        <w:rPr>
          <w:rFonts w:ascii="Barlow Semi Condensed" w:cs="Barlow Semi Condensed" w:eastAsia="Barlow Semi Condensed" w:hAnsi="Barlow Semi Condensed"/>
          <w:sz w:val="24"/>
          <w:szCs w:val="24"/>
        </w:rPr>
        <w:t xml:space="preserve">II — I NODI-EVENTO DELLA FORMAZIONE BETA</w:t>
      </w:r>
    </w:p>
    <w:p>
      <w:pPr>
        <w:spacing w:after="120" w:line="276"/>
        <w:jc w:val="both"/>
      </w:pPr>
      <w:r>
        <w:rPr>
          <w:rFonts w:ascii="Barlow Semi Condensed" w:cs="Barlow Semi Condensed" w:eastAsia="Barlow Semi Condensed" w:hAnsi="Barlow Semi Condensed"/>
          <w:sz w:val="24"/>
          <w:szCs w:val="24"/>
        </w:rPr>
        <w:t xml:space="preserve">Blocco mirato numero 1801 — ■ 24 dicembre 2010 e 14 aprile 2011: l'ingresso nei BRICS. Il Sudafrica fu invitato ad aderire il 24 dicembre 2010, con prima partecipazione al terzo vertice a Sanya, Hainan, il 14 aprile 2011, sotto la presidenza di Jacob Zuma. Livello A; le fonti divergono lievemente sulla data da assumere quale accessione, e la divergenza si riporta. Dominio 2.</w:t>
      </w:r>
    </w:p>
    <w:p>
      <w:pPr>
        <w:spacing w:after="120" w:line="276"/>
        <w:jc w:val="both"/>
      </w:pPr>
      <w:r>
        <w:rPr>
          <w:rFonts w:ascii="Barlow Semi Condensed" w:cs="Barlow Semi Condensed" w:eastAsia="Barlow Semi Condensed" w:hAnsi="Barlow Semi Condensed"/>
          <w:sz w:val="24"/>
          <w:szCs w:val="24"/>
        </w:rPr>
        <w:t xml:space="preserve">Blocco mirato numero 1802 — ■ 2014: l'accordo nucleare. Accordo intergovernativo fra la società nucleare statale russa e l'utility elettrica sudafricana per 9.600 megawatt di capacità, di valore stimato dalla stampa attorno a mille miliardi di rand, promosso personalmente dal presidente in carica e non sottoposto all'approvazione del Parlamento. Livello A. Domini 2 e 6.</w:t>
      </w:r>
    </w:p>
    <w:p>
      <w:pPr>
        <w:spacing w:after="120" w:line="276"/>
        <w:jc w:val="both"/>
      </w:pPr>
      <w:r>
        <w:rPr>
          <w:rFonts w:ascii="Barlow Semi Condensed" w:cs="Barlow Semi Condensed" w:eastAsia="Barlow Semi Condensed" w:hAnsi="Barlow Semi Condensed"/>
          <w:sz w:val="24"/>
          <w:szCs w:val="24"/>
        </w:rPr>
        <w:t xml:space="preserve">Blocco mirato numero 1803 — ■ 26 aprile 2017: l'annullamento giudiziario, ed è il nodo che più incrina l'immagine di allineamento monolitico. L'Alta Corte del Capo Occidentale, con sentenza del giudice Lee Bozalek, dichiarò l'accordo illegittimo e incostituzionale per la mancata tabulazione parlamentare ai sensi della sezione 231 della Costituzione, annullandolo insieme alle determinazioni ministeriali del 2013 e del 2016. Livello A.</w:t>
      </w:r>
    </w:p>
    <w:p>
      <w:pPr>
        <w:spacing w:after="120" w:line="276"/>
        <w:jc w:val="both"/>
      </w:pPr>
      <w:r>
        <w:rPr>
          <w:rFonts w:ascii="Barlow Semi Condensed" w:cs="Barlow Semi Condensed" w:eastAsia="Barlow Semi Condensed" w:hAnsi="Barlow Semi Condensed"/>
          <w:sz w:val="24"/>
          <w:szCs w:val="24"/>
        </w:rPr>
        <w:t xml:space="preserve">Blocco mirato numero 1804 — La motivazione, riportata perché qualifica l'atto. Il giudice osservò che visto nel suo insieme, l'accordo russo sta ben al di fuori della categoria di un ampio accordo di cooperazione nucleare, e collocava le parti sulla via di un accordo vincolante ed esclusivo. Livello A.</w:t>
      </w:r>
    </w:p>
    <w:p>
      <w:pPr>
        <w:spacing w:after="120" w:line="276"/>
        <w:jc w:val="both"/>
      </w:pPr>
      <w:r>
        <w:rPr>
          <w:rFonts w:ascii="Barlow Semi Condensed" w:cs="Barlow Semi Condensed" w:eastAsia="Barlow Semi Condensed" w:hAnsi="Barlow Semi Condensed"/>
          <w:sz w:val="24"/>
          <w:szCs w:val="24"/>
        </w:rPr>
        <w:t xml:space="preserve">Blocco mirato numero 1805 — La conseguenza analitica. La magistratura sudafricana, organo indipendente del medesimo Stato, arrestò un progetto strategico russo. Ne discende che l'allineamento di Pretoria con Mosca incontra contropoteri interni effettivi, e che descriverlo come monolitico sarebbe scorretto. Livello A.</w:t>
      </w:r>
    </w:p>
    <w:p>
      <w:pPr>
        <w:spacing w:after="120" w:line="276"/>
        <w:jc w:val="both"/>
      </w:pPr>
      <w:r>
        <w:rPr>
          <w:rFonts w:ascii="Barlow Semi Condensed" w:cs="Barlow Semi Condensed" w:eastAsia="Barlow Semi Condensed" w:hAnsi="Barlow Semi Condensed"/>
          <w:sz w:val="24"/>
          <w:szCs w:val="24"/>
        </w:rPr>
        <w:t xml:space="preserve">Blocco mirato numero 1806 — ■ 6-9 dicembre 2022: la Lady R a Simon's Town. La nave cargo di bandiera russa, inserita dagli Stati Uniti l'8 maggio 2022 nella lista delle navi sanzionate per trasporto di munizioni dalla Corea del Nord alla Federazione Russa, attraccò alla base navale presso Città del Capo. Livello A quanto all'attracco e alla sanzione.</w:t>
      </w:r>
    </w:p>
    <w:p>
      <w:pPr>
        <w:spacing w:after="120" w:line="276"/>
        <w:jc w:val="both"/>
      </w:pPr>
      <w:r>
        <w:rPr>
          <w:rFonts w:ascii="Barlow Semi Condensed" w:cs="Barlow Semi Condensed" w:eastAsia="Barlow Semi Condensed" w:hAnsi="Barlow Semi Condensed"/>
          <w:sz w:val="24"/>
          <w:szCs w:val="24"/>
        </w:rPr>
        <w:t xml:space="preserve">Blocco mirato numero 1807 — L'accusa e la sua qualificazione probatoria, che va tenuta ferma. Nel maggio 2023 l'ambasciatore statunitense Reuben Brigety dichiarò che Washington era fiduciosa che armi fossero state caricate. È dichiarazione ufficiale di un ambasciatore, non accertamento probatorio. La ministra degli Esteri Naledi Pandor lo convocò formalmente.</w:t>
      </w:r>
    </w:p>
    <w:p>
      <w:pPr>
        <w:spacing w:after="120" w:line="276"/>
        <w:jc w:val="both"/>
      </w:pPr>
      <w:r>
        <w:rPr>
          <w:rFonts w:ascii="Barlow Semi Condensed" w:cs="Barlow Semi Condensed" w:eastAsia="Barlow Semi Condensed" w:hAnsi="Barlow Semi Condensed"/>
          <w:sz w:val="24"/>
          <w:szCs w:val="24"/>
        </w:rPr>
        <w:t xml:space="preserve">Blocco mirato numero 1808 — L'inchiesta e il suo esito. Panel indipendente istituito l'11 maggio 2023 e nominato il 28 maggio 2023, composto dal giudice in pensione Phineas Mojapelo quale presidente, dall'avvocata Leah Gcabashe e da Enver Surty. Indagine completata nel luglio 2023, sommario pubblico nel settembre 2023. Conclusione: nonostante alcune voci secondo cui attrezzature o armi sarebbero state caricate, il panel non ha trovato alcuna prova a sostegno di tali affermazioni. Livello A quanto alla conclusione del panel.</w:t>
      </w:r>
    </w:p>
    <w:p>
      <w:pPr>
        <w:spacing w:after="120" w:line="276"/>
        <w:jc w:val="both"/>
      </w:pPr>
      <w:r>
        <w:rPr>
          <w:rFonts w:ascii="Barlow Semi Condensed" w:cs="Barlow Semi Condensed" w:eastAsia="Barlow Semi Condensed" w:hAnsi="Barlow Semi Condensed"/>
          <w:sz w:val="24"/>
          <w:szCs w:val="24"/>
        </w:rPr>
        <w:t xml:space="preserve">Blocco mirato numero 1809 — La qualificazione che ne discende, e va rispettata. L'allegazione di fornitura di armi alla Russia via Lady R resta non provata. Presentarla quale fatto accertato sarebbe scorretto. Il portavoce dell'ambasciata statunitense espresse apprezzamento per la serietà dell'inchiesta. Restano rilievi giornalistici sulla riservatezza dell'inchiesta e sul trasporto dei container, che non equivalgono a prova contraria. Livello C quanto a tali rilievi.</w:t>
      </w:r>
    </w:p>
    <w:p>
      <w:pPr>
        <w:spacing w:after="120" w:line="276"/>
        <w:jc w:val="both"/>
      </w:pPr>
      <w:r>
        <w:rPr>
          <w:rFonts w:ascii="Barlow Semi Condensed" w:cs="Barlow Semi Condensed" w:eastAsia="Barlow Semi Condensed" w:hAnsi="Barlow Semi Condensed"/>
          <w:sz w:val="24"/>
          <w:szCs w:val="24"/>
        </w:rPr>
        <w:t xml:space="preserve">Blocco mirato numero 1810 — ■ 17-27 febbraio 2023: l'esercitazione Mosi II. Esercitazione navale trilaterale con Russia e Cina al largo di Durban e Richards Bay, con oltre 350 militari sudafricani e la fregata Admiral Gorshkov, in prossimità del primo anniversario dell'invasione dell'Ucraina. Livello A. Le speculazioni della stampa su un test del missile ipersonico non trovarono conferma: il lancio non ebbe luogo. Livello A quanto al mancato lancio.</w:t>
      </w:r>
    </w:p>
    <w:p>
      <w:pPr>
        <w:spacing w:after="120" w:line="276"/>
        <w:jc w:val="both"/>
      </w:pPr>
      <w:r>
        <w:rPr>
          <w:rFonts w:ascii="Barlow Semi Condensed" w:cs="Barlow Semi Condensed" w:eastAsia="Barlow Semi Condensed" w:hAnsi="Barlow Semi Condensed"/>
          <w:sz w:val="24"/>
          <w:szCs w:val="24"/>
        </w:rPr>
        <w:t xml:space="preserve">Blocco mirato numero 1811 — ■ Le astensioni sull'Ucraina. Il Sudafrica si astenne sulle risoluzioni dell'Assemblea generale ES-11/1 del 2 marzo 2022, ES-11/4 del 12 ottobre 2022, ES-11/5 del 14 novembre 2022 ed ES-11/6 del 23 febbraio 2023, motivando ogni volta con la preferenza per diplomazia e dialogo. Livello A. Fra le 5 nazioni BRICS, soltanto il Brasile votò a favore della prima.</w:t>
      </w:r>
    </w:p>
    <w:p>
      <w:pPr>
        <w:spacing w:after="120" w:line="276"/>
        <w:jc w:val="both"/>
      </w:pPr>
      <w:r>
        <w:rPr>
          <w:rFonts w:ascii="Barlow Semi Condensed" w:cs="Barlow Semi Condensed" w:eastAsia="Barlow Semi Condensed" w:hAnsi="Barlow Semi Condensed"/>
          <w:sz w:val="24"/>
          <w:szCs w:val="24"/>
        </w:rPr>
        <w:t xml:space="preserve">Blocco mirato numero 1812 — ■ 17 marzo 2023 e agosto 2023: il mandato e il vertice. La Camera preliminare seconda della Corte penale internazionale emise mandati d'arresto per il crimine di guerra di deportazione illecita di popolazione, bambini, dalle aree occupate dell'Ucraina. Livello A. Il 19 luglio 2023 l'ufficio presidenziale annunciò che, per mutuo accordo, il presidente russo non avrebbe partecipato di persona al vertice di Johannesburg del 22-24 agosto, sostituito dal ministro degli Esteri e intervenuto in video per 17 minuti. Livello A. Un affidavit presidenziale reso pubblico il 18 luglio affermava che la Russia aveva chiarito che arrestare il suo presidente in carica sarebbe una dichiarazione di guerra; il Cremlino smentì di aver comunicato tale avvertimento. La divergenza si riporta e non si compone.</w:t>
      </w:r>
    </w:p>
    <w:p>
      <w:pPr>
        <w:pStyle w:val="Heading2"/>
        <w:spacing w:after="100" w:before="200"/>
      </w:pPr>
      <w:r>
        <w:rPr>
          <w:rFonts w:ascii="Barlow Semi Condensed" w:cs="Barlow Semi Condensed" w:eastAsia="Barlow Semi Condensed" w:hAnsi="Barlow Semi Condensed"/>
          <w:sz w:val="24"/>
          <w:szCs w:val="24"/>
        </w:rPr>
        <w:t xml:space="preserve">III — IL NODO ITALIANO NELLA FASE BETA E LA POLARITÀ INVERTITA DELL'ATTORE</w:t>
      </w:r>
    </w:p>
    <w:p>
      <w:pPr>
        <w:spacing w:after="120" w:line="276"/>
        <w:jc w:val="both"/>
      </w:pPr>
      <w:r>
        <w:rPr>
          <w:rFonts w:ascii="Barlow Semi Condensed" w:cs="Barlow Semi Condensed" w:eastAsia="Barlow Semi Condensed" w:hAnsi="Barlow Semi Condensed"/>
          <w:sz w:val="24"/>
          <w:szCs w:val="24"/>
        </w:rPr>
        <w:t xml:space="preserve">Blocco mirato numero 1901 — La domanda.\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Primo Registro ha versato quale ponte principale la catena Bristol Siddeley, Piaggio, Atlas.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Si chiede se tale ponte abbia un successore nella fase contemporanea, e con quale polarità.</w:t>
      </w:r>
    </w:p>
    <w:p>
      <w:pPr>
        <w:spacing w:after="120" w:line="276"/>
        <w:jc w:val="both"/>
      </w:pPr>
      <w:r>
        <w:rPr>
          <w:rFonts w:ascii="Barlow Semi Condensed" w:cs="Barlow Semi Condensed" w:eastAsia="Barlow Semi Condensed" w:hAnsi="Barlow Semi Condensed"/>
          <w:sz w:val="24"/>
          <w:szCs w:val="24"/>
        </w:rPr>
        <w:t xml:space="preserve">Blocco mirato numero 1902 — ◆ Il nodo successore esiste ed è nominato. Il gruppo Leonardo, già Finmeccanica e casa madre tanto di Alenia Aermacchi quanto di AgustaWestland, intrattiene con il Sudafrica una relazione contemporanea documentata, incentrata sul comparto elicotteristico. Livello A, ancorché la fonte sia in prevalenza il comunicato aziendale, di natura promozionale, e vada come tale qualificata. Dominio 6.</w:t>
      </w:r>
    </w:p>
    <w:p>
      <w:pPr>
        <w:spacing w:after="120" w:line="276"/>
        <w:jc w:val="both"/>
      </w:pPr>
      <w:r>
        <w:rPr>
          <w:rFonts w:ascii="Barlow Semi Condensed" w:cs="Barlow Semi Condensed" w:eastAsia="Barlow Semi Condensed" w:hAnsi="Barlow Semi Condensed"/>
          <w:sz w:val="24"/>
          <w:szCs w:val="24"/>
        </w:rPr>
        <w:t xml:space="preserve">Blocco mirato numero 1903 — ■ 21 agosto 2020: l'acquisizione di Wonderboom. Leonardo acquisì Precision Aviation Services presso l'aeroporto di Wonderboom a Pretoria: 2.275 metri quadrati, già operante da 25 anni quale centro autorizzato, divenuto il primo Leonardo Excellent Service Centre del continente, a supporto di oltre 120 elicotteri operanti nel mercato civile dell'Africa subsahariana. Livello A.</w:t>
      </w:r>
    </w:p>
    <w:p>
      <w:pPr>
        <w:spacing w:after="120" w:line="276"/>
        <w:jc w:val="both"/>
      </w:pPr>
      <w:r>
        <w:rPr>
          <w:rFonts w:ascii="Barlow Semi Condensed" w:cs="Barlow Semi Condensed" w:eastAsia="Barlow Semi Condensed" w:hAnsi="Barlow Semi Condensed"/>
          <w:sz w:val="24"/>
          <w:szCs w:val="24"/>
        </w:rPr>
        <w:t xml:space="preserve">Blocco mirato numero 1904 — ■ 2012: il richiamo esplicito all'eredità Impala. All'esposizione aerospaziale di Tshwane, Denel e Alenia Aermacchi firmarono un memorandum d'intesa; l'amministratore delegato Giuseppe Giordo richiamò espressamente la fruttuosa collaborazione industriale in Sudafrica con più di 250 addestratori e velivoli d'attacco leggero Impala. Livello A quanto alla dichiarazione. Si tratta di accordo-quadro e non di contratto di produzione fermo, e la distinzione va mantenuta.</w:t>
      </w:r>
    </w:p>
    <w:p>
      <w:pPr>
        <w:spacing w:after="120" w:line="276"/>
        <w:jc w:val="both"/>
      </w:pPr>
      <w:r>
        <w:rPr>
          <w:rFonts w:ascii="Barlow Semi Condensed" w:cs="Barlow Semi Condensed" w:eastAsia="Barlow Semi Condensed" w:hAnsi="Barlow Semi Condensed"/>
          <w:sz w:val="24"/>
          <w:szCs w:val="24"/>
        </w:rPr>
        <w:t xml:space="preserve">Blocco mirato numero 1905 — ■ Il ponte Alfa è materialmente estinto. La flotta Impala fu ritirata attorno al 2005 e sostituita dai Pilatus PC-7 Mk II; alcune cellule furono cedute al Brasile o al circuito dei velivoli storici. Non sussiste alcuna relazione di supporto Leonardo per l'Impala. Livello A.</w:t>
      </w:r>
    </w:p>
    <w:p>
      <w:pPr>
        <w:spacing w:after="120" w:line="276"/>
        <w:jc w:val="both"/>
      </w:pPr>
      <w:r>
        <w:rPr>
          <w:rFonts w:ascii="Barlow Semi Condensed" w:cs="Barlow Semi Condensed" w:eastAsia="Barlow Semi Condensed" w:hAnsi="Barlow Semi Condensed"/>
          <w:sz w:val="24"/>
          <w:szCs w:val="24"/>
        </w:rPr>
        <w:t xml:space="preserve">Blocco mirato numero 1906 — Ne discende un reperto di struttura. Il ponte del 1964 è materialmente estinto mentre il nodo societario che lo generò persiste e si è ampliato. Il legame fra i 2 non è di continuità operativa ma di sola successione societaria e di memoria aziendale rivendicata, come il richiamo del 2012 documenta.</w:t>
      </w:r>
    </w:p>
    <w:p>
      <w:pPr>
        <w:spacing w:after="120" w:line="276"/>
        <w:jc w:val="both"/>
      </w:pPr>
      <w:r>
        <w:rPr>
          <w:rFonts w:ascii="Barlow Semi Condensed" w:cs="Barlow Semi Condensed" w:eastAsia="Barlow Semi Condensed" w:hAnsi="Barlow Semi Condensed"/>
          <w:sz w:val="24"/>
          <w:szCs w:val="24"/>
        </w:rPr>
        <w:t xml:space="preserve">Blocco mirato numero 1907 — E adesso il reperto maggiore di questa sezione, che è di polarità.\</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L'attore industriale italiano non ha mutato collocazione; è mutato il terreno sotto di esso.</w:t>
      </w:r>
    </w:p>
    <w:p>
      <w:pPr>
        <w:spacing w:after="120" w:line="276"/>
        <w:jc w:val="both"/>
      </w:pPr>
      <w:r>
        <w:rPr>
          <w:rFonts w:ascii="Barlow Semi Condensed" w:cs="Barlow Semi Condensed" w:eastAsia="Barlow Semi Condensed" w:hAnsi="Barlow Semi Condensed"/>
          <w:sz w:val="24"/>
          <w:szCs w:val="24"/>
        </w:rPr>
        <w:t xml:space="preserve">Blocco mirato numero 1908 — La formulazione. Nella Formazione Alfa, l'impresa italiana riforniva un regime allineato contro Mosca, e l'Italia apparteneva al medesimo campo. Nella Formazione Beta, il gruppo successore opera in un Paese il cui governo è allineato con Mosca, mentre l'Italia è saldamente atlantica. Livello A quanto ai 2 quadri.</w:t>
      </w:r>
    </w:p>
    <w:p>
      <w:pPr>
        <w:spacing w:after="120" w:line="276"/>
        <w:jc w:val="both"/>
      </w:pPr>
      <w:r>
        <w:rPr>
          <w:rFonts w:ascii="Barlow Semi Condensed" w:cs="Barlow Semi Condensed" w:eastAsia="Barlow Semi Condensed" w:hAnsi="Barlow Semi Condensed"/>
          <w:sz w:val="24"/>
          <w:szCs w:val="24"/>
        </w:rPr>
        <w:t xml:space="preserve">Blocco mirato numero 1909 — La conseguenza. Il nodo italiano è dunque il termine costante del confronto: presente in entrambe le formazioni, di collocazione occidentale in entrambe, e passato dall'essere allineato con il governo sudafricano all'esserne divergente — senza aver compiuto alcun movimento proprio. Livello B, trattandosi di lettura strutturale e non di documento.</w:t>
      </w:r>
    </w:p>
    <w:p>
      <w:pPr>
        <w:spacing w:after="120" w:line="276"/>
        <w:jc w:val="both"/>
      </w:pPr>
      <w:r>
        <w:rPr>
          <w:rFonts w:ascii="Barlow Semi Condensed" w:cs="Barlow Semi Condensed" w:eastAsia="Barlow Semi Condensed" w:hAnsi="Barlow Semi Condensed"/>
          <w:sz w:val="24"/>
          <w:szCs w:val="24"/>
        </w:rPr>
        <w:t xml:space="preserve">Blocco mirato numero 1910 — La cornice bilaterale, per completezza. L'accordo di cooperazione italo-sudafricano in materia di difesa risale al 10 luglio 1997, integrato da accordo tecnico con la corporazione armamenti sudafricana del 19 novembre 1998, tuttora in vigore. Nel novembre 2024 si tennero a Roma consultazioni politiche bilaterali, con richiamo a un interscambio di 4,5 miliardi di euro nel 2023. Livello A.</w:t>
      </w:r>
    </w:p>
    <w:p>
      <w:pPr>
        <w:spacing w:after="120" w:line="276"/>
        <w:jc w:val="both"/>
      </w:pPr>
      <w:r>
        <w:rPr>
          <w:rFonts w:ascii="Barlow Semi Condensed" w:cs="Barlow Semi Condensed" w:eastAsia="Barlow Semi Condensed" w:hAnsi="Barlow Semi Condensed"/>
          <w:sz w:val="24"/>
          <w:szCs w:val="24"/>
        </w:rPr>
        <w:t xml:space="preserve">Blocco mirato numero 1911 — Un esito negativo va dichiarato. Non è stata reperita una frizione bilaterale formalizzata fra Roma e Pretoria sul dossier ucraino. La divergenza è documentabile sul piano dei rispettivi allineamenti, non come disputa esplicita. Sede: archivi della Farnesina e del ministero degli esteri sudafricano.</w:t>
      </w:r>
    </w:p>
    <w:p>
      <w:pPr>
        <w:spacing w:after="120" w:line="276"/>
        <w:jc w:val="both"/>
      </w:pPr>
      <w:r>
        <w:rPr>
          <w:rFonts w:ascii="Barlow Semi Condensed" w:cs="Barlow Semi Condensed" w:eastAsia="Barlow Semi Condensed" w:hAnsi="Barlow Semi Condensed"/>
          <w:sz w:val="24"/>
          <w:szCs w:val="24"/>
        </w:rPr>
        <w:t xml:space="preserve">Blocco mirato numero 1912 — Un secondo esito negativo, quantitativo. La quantificazione in valore dei contratti Leonardo con il Sudafrica non è stata reperita oltre i comunicati aziendali. Sedi: banca dati dei trasferimenti di armamenti dell'istituto di Stoccolma, bilanci del gruppo, atti della corporazione armamenti sudafricana.</w:t>
      </w:r>
    </w:p>
    <w:p>
      <w:pPr>
        <w:pStyle w:val="Heading2"/>
        <w:spacing w:after="100" w:before="200"/>
      </w:pPr>
      <w:r>
        <w:rPr>
          <w:rFonts w:ascii="Barlow Semi Condensed" w:cs="Barlow Semi Condensed" w:eastAsia="Barlow Semi Condensed" w:hAnsi="Barlow Semi Condensed"/>
          <w:sz w:val="24"/>
          <w:szCs w:val="24"/>
        </w:rPr>
        <w:t xml:space="preserve">IV — IL TEST SULLA TESI DIAGNOSTICA</w:t>
      </w:r>
    </w:p>
    <w:p>
      <w:pPr>
        <w:spacing w:after="120" w:line="276"/>
        <w:jc w:val="both"/>
      </w:pPr>
      <w:r>
        <w:rPr>
          <w:rFonts w:ascii="Barlow Semi Condensed" w:cs="Barlow Semi Condensed" w:eastAsia="Barlow Semi Condensed" w:hAnsi="Barlow Semi Condensed"/>
          <w:sz w:val="24"/>
          <w:szCs w:val="24"/>
        </w:rPr>
        <w:t xml:space="preserve">Blocco mirato numero 2001 — La tesi da verificare. L'Edizione Integrata enuncia quale evidenza diagnostica centrale che nelle 2 formazioni Stati Uniti e Russia si trovano su fronti opposti, e che non esiste riscontro a un condominio operativo fra le 2 potenze.</w:t>
      </w:r>
    </w:p>
    <w:p>
      <w:pPr>
        <w:spacing w:after="120" w:line="276"/>
        <w:jc w:val="both"/>
      </w:pPr>
      <w:r>
        <w:rPr>
          <w:rFonts w:ascii="Barlow Semi Condensed" w:cs="Barlow Semi Condensed" w:eastAsia="Barlow Semi Condensed" w:hAnsi="Barlow Semi Condensed"/>
          <w:sz w:val="24"/>
          <w:szCs w:val="24"/>
        </w:rPr>
        <w:t xml:space="preserve">Blocco mirato numero 2002 — Il quadro Alfa, riportato per intero perché è il termine di paragone. Su un fronte: Unione Sovietica, Cuba, African National Congress, SWAPO e MPLA. Sull'altro: Sudafrica, UNITA, FNLA e — per il tramite del sostegno a UNITA — gli Stati Uniti. Livello A.</w:t>
      </w:r>
    </w:p>
    <w:p>
      <w:pPr>
        <w:spacing w:after="120" w:line="276"/>
        <w:jc w:val="both"/>
      </w:pPr>
      <w:r>
        <w:rPr>
          <w:rFonts w:ascii="Barlow Semi Condensed" w:cs="Barlow Semi Condensed" w:eastAsia="Barlow Semi Condensed" w:hAnsi="Barlow Semi Condensed"/>
          <w:sz w:val="24"/>
          <w:szCs w:val="24"/>
        </w:rPr>
        <w:t xml:space="preserve">Blocco mirato numero 2003 — ■ L'intervento cubano, con le divergenze mantenute. Operazione Carlota avviata il 5 novembre 1975. Sull'entità le fonti divergono: oltre 25.000 soldati a fine 1975 secondo una sintesi, oltre 18.000 secondo l'opera monografica di Edward George; per il 1988 le stime oscillano fra 55.000 e 60.000, con 50.000 convenuti in sede negoziale. La divergenza si riporta e non si compone.</w:t>
      </w:r>
    </w:p>
    <w:p>
      <w:pPr>
        <w:spacing w:after="120" w:line="276"/>
        <w:jc w:val="both"/>
      </w:pPr>
      <w:r>
        <w:rPr>
          <w:rFonts w:ascii="Barlow Semi Condensed" w:cs="Barlow Semi Condensed" w:eastAsia="Barlow Semi Condensed" w:hAnsi="Barlow Semi Condensed"/>
          <w:sz w:val="24"/>
          <w:szCs w:val="24"/>
        </w:rPr>
        <w:t xml:space="preserve">Blocco mirato numero 2004 — ■ Cuito Cuanavale e l'accordo tripartito. Scontro decisivo fra la fine del 1987 e la primavera del 1988, con partecipazione diretta di unità corazzate e motorizzate cubane. L'Accordo tripartito del 1988 avviò il ritiro delle forze cubane e sudafricane e aprì la via all'indipendenza namibiana del 21 marzo 1990. Livello A.</w:t>
      </w:r>
    </w:p>
    <w:p>
      <w:pPr>
        <w:spacing w:after="120" w:line="276"/>
        <w:jc w:val="both"/>
      </w:pPr>
      <w:r>
        <w:rPr>
          <w:rFonts w:ascii="Barlow Semi Condensed" w:cs="Barlow Semi Condensed" w:eastAsia="Barlow Semi Condensed" w:hAnsi="Barlow Semi Condensed"/>
          <w:sz w:val="24"/>
          <w:szCs w:val="24"/>
        </w:rPr>
        <w:t xml:space="preserve">Blocco mirato numero 2005 — Il quadro Beta, e la polarità resta opposta. Da un lato la Russia proietta potenza in Africa attraverso le strutture esaminate ai blocchi seguenti, coltiva con Pretoria BRICS, esercitazioni navali e diplomazia convergente. Dall'altro gli Stati Uniti sono entrati in conflitto aperto con Pretoria: congelamento degli aiuti nel febbraio 2025 con ordine esecutivo, contestazione della legge sull'esproprio, offerta di reinsediamento agli afrikaner. Livello A.</w:t>
      </w:r>
    </w:p>
    <w:p>
      <w:pPr>
        <w:spacing w:after="120" w:line="276"/>
        <w:jc w:val="both"/>
      </w:pPr>
      <w:r>
        <w:rPr>
          <w:rFonts w:ascii="Barlow Semi Condensed" w:cs="Barlow Semi Condensed" w:eastAsia="Barlow Semi Condensed" w:hAnsi="Barlow Semi Condensed"/>
          <w:sz w:val="24"/>
          <w:szCs w:val="24"/>
        </w:rPr>
        <w:t xml:space="preserve">Blocco mirato numero 2006 — ◆ Il gruppo Wagner in Mozambico, ed è il solo teatro australe proprio della fase Beta. Nel settembre 2019 203 mercenari giunsero nel nord del Paese sbarcando all'aeroporto di Nacala e dispiegandosi in Cabo Delgado, con 3 elicotteri Mi-171Sh, dopo un incontro dell'agosto 2019 fra i 2 capi di Stato. Livello A.</w:t>
      </w:r>
    </w:p>
    <w:p>
      <w:pPr>
        <w:spacing w:after="120" w:line="276"/>
        <w:jc w:val="both"/>
      </w:pPr>
      <w:r>
        <w:rPr>
          <w:rFonts w:ascii="Barlow Semi Condensed" w:cs="Barlow Semi Condensed" w:eastAsia="Barlow Semi Condensed" w:hAnsi="Barlow Semi Condensed"/>
          <w:sz w:val="24"/>
          <w:szCs w:val="24"/>
        </w:rPr>
        <w:t xml:space="preserve">Blocco mirato numero 2007 — L'esito, rapido e fallimentare. 11 uccisi e 25 feriti in poche settimane, in un terreno di boscaglia che neutralizzava il vantaggio di elicotteri e sorveglianza elettronica; gli insorti penetrarono nel campo indossando uniformi dell'esercito mozambicano. Ritiro entro il novembre 2019, operazione dichiarata non redditizia; il numero complessivo di caduti nel teatro è indicato in 12 da altra fonte, e la divergenza si riporta. Livello B.</w:t>
      </w:r>
    </w:p>
    <w:p>
      <w:pPr>
        <w:spacing w:after="120" w:line="276"/>
        <w:jc w:val="both"/>
      </w:pPr>
      <w:r>
        <w:rPr>
          <w:rFonts w:ascii="Barlow Semi Condensed" w:cs="Barlow Semi Condensed" w:eastAsia="Barlow Semi Condensed" w:hAnsi="Barlow Semi Condensed"/>
          <w:sz w:val="24"/>
          <w:szCs w:val="24"/>
        </w:rPr>
        <w:t xml:space="preserve">Blocco mirato numero 2008 — ◆ L'Africa Corps. Dopo l'agosto 2023 le operazioni russe sono transitate verso una struttura posta sotto il comando diretto del ministero della Difesa, operante in almeno 6 nazioni africane con configurazioni disomogenee: la Libia ha pienamente adottato il modello; nella Repubblica Centrafricana persistono elementi precedenti sotto nuovi comandanti; Niger e Burkina Faso hanno firmato i primi contratti nel 2024; il Sudan presenta situazione ambigua. Livello B.</w:t>
      </w:r>
    </w:p>
    <w:p>
      <w:pPr>
        <w:spacing w:after="120" w:line="276"/>
        <w:jc w:val="both"/>
      </w:pPr>
      <w:r>
        <w:rPr>
          <w:rFonts w:ascii="Barlow Semi Condensed" w:cs="Barlow Semi Condensed" w:eastAsia="Barlow Semi Condensed" w:hAnsi="Barlow Semi Condensed"/>
          <w:sz w:val="24"/>
          <w:szCs w:val="24"/>
        </w:rPr>
        <w:t xml:space="preserve">Blocco mirato numero 2009 — L'esito del test, formulato. Il dossier australe conferma la tesi diagnostica senza eccezioni. Nella Formazione Alfa i 2 fronti erano netti e opposti; nella Beta la polarità resta opposta e si è acuita. Non esiste, nel dossier esaminato, alcun riscontro a un condominio operativo russo-americano. Livello A quanto ai reperti, Livello B quanto alla conclusione.</w:t>
      </w:r>
    </w:p>
    <w:p>
      <w:pPr>
        <w:spacing w:after="120" w:line="276"/>
        <w:jc w:val="both"/>
      </w:pPr>
      <w:r>
        <w:rPr>
          <w:rFonts w:ascii="Barlow Semi Condensed" w:cs="Barlow Semi Condensed" w:eastAsia="Barlow Semi Condensed" w:hAnsi="Barlow Semi Condensed"/>
          <w:sz w:val="24"/>
          <w:szCs w:val="24"/>
        </w:rPr>
        <w:t xml:space="preserve">Blocco mirato numero 2010 — E qui il registro enuncia il guadagno che la confutazione ha reso possibile. Se il Sudafrica fosse stato un nodo che ruota, esso avrebbe potuto essere invocato quale indizio di un ordine sovrastante che dispone dei Paesi terzi. Poiché invece esso è lo Stato in cui i 2 fronti coesistevano e nel 1994 si sono scambiati il potere, esso prova l'esatto contrario: che i 2 campi erano reali, distinti e in conflitto, al punto da dividere in 2 un solo Paese per 5 decenni. Livello B.</w:t>
      </w:r>
    </w:p>
    <w:p>
      <w:pPr>
        <w:pStyle w:val="Heading2"/>
        <w:spacing w:after="100" w:before="200"/>
      </w:pPr>
      <w:r>
        <w:rPr>
          <w:rFonts w:ascii="Barlow Semi Condensed" w:cs="Barlow Semi Condensed" w:eastAsia="Barlow Semi Condensed" w:hAnsi="Barlow Semi Condensed"/>
          <w:sz w:val="24"/>
          <w:szCs w:val="24"/>
        </w:rPr>
        <w:t xml:space="preserve">V — I VERSANTI TEDESCO E VATICANO NELLA FASE BETA, E LA TAVOLA</w:t>
      </w:r>
    </w:p>
    <w:p>
      <w:pPr>
        <w:spacing w:after="120" w:line="276"/>
        <w:jc w:val="both"/>
      </w:pPr>
      <w:r>
        <w:rPr>
          <w:rFonts w:ascii="Barlow Semi Condensed" w:cs="Barlow Semi Condensed" w:eastAsia="Barlow Semi Condensed" w:hAnsi="Barlow Semi Condensed"/>
          <w:sz w:val="24"/>
          <w:szCs w:val="24"/>
        </w:rPr>
        <w:t xml:space="preserve">Blocco mirato numero 2101 — ◆ La Hanns-Seidel-Stiftung in Sudafrica. Operante dal 1991, inizialmente da Johannesburg, con apertura di un ufficio a Città del Capo indicata dalle fonti nel 2018. Partner documentati: l'ufficio cattolico di collegamento parlamentare, la fondazione intitolata a Desmond e Leah Tutu, l'Institute for Security Studies, il Dullah Omar Institute dell'Università del Western Cape, la School of Public Leadership di Stellenbosch e il centro Tayarisha della Wits School of Governance. Livello A.</w:t>
      </w:r>
    </w:p>
    <w:p>
      <w:pPr>
        <w:spacing w:after="120" w:line="276"/>
        <w:jc w:val="both"/>
      </w:pPr>
      <w:r>
        <w:rPr>
          <w:rFonts w:ascii="Barlow Semi Condensed" w:cs="Barlow Semi Condensed" w:eastAsia="Barlow Semi Condensed" w:hAnsi="Barlow Semi Condensed"/>
          <w:sz w:val="24"/>
          <w:szCs w:val="24"/>
        </w:rPr>
        <w:t xml:space="preserve">Blocco mirato numero 2102 — Il quadro che ne emerge, e va enunciato perché chiude una voce del Primo Registro. Impegno civico-democratico stabile e cooperativo, privo di frizioni sul dossier russo e coerente con la collocazione occidentale della Germania. Livello A. Esito negativo dichiarato: non sono emerse prese di posizione tedesche specificamente critiche verso l'orientamento russo di Pretoria. Sede: archivi del ministero degli esteri federale.</w:t>
      </w:r>
    </w:p>
    <w:p>
      <w:pPr>
        <w:spacing w:after="120" w:line="276"/>
        <w:jc w:val="both"/>
      </w:pPr>
      <w:r>
        <w:rPr>
          <w:rFonts w:ascii="Barlow Semi Condensed" w:cs="Barlow Semi Condensed" w:eastAsia="Barlow Semi Condensed" w:hAnsi="Barlow Semi Condensed"/>
          <w:sz w:val="24"/>
          <w:szCs w:val="24"/>
        </w:rPr>
        <w:t xml:space="preserve">Blocco mirato numero 2103 — ■ 8 novembre 2025: l'udienza pontificia. Il Pontefice ricevette in Vaticano il presidente sudafricano, accompagnato dal ministro degli esteri. Il comunicato della Sala Stampa attesta cordiali colloqui e reciproco apprezzamento per il prezioso contributo che la Chiesa cattolica offre al Sudafrica, in particolare nei settori dell'istruzione e della sanità, e per il suo costante impegno a favorire il dialogo e la riconciliazione. Livello A. In tale occasione fu rinnovato l'invito a visitare il Paese.</w:t>
      </w:r>
    </w:p>
    <w:p>
      <w:pPr>
        <w:spacing w:after="120" w:line="276"/>
        <w:jc w:val="both"/>
      </w:pPr>
      <w:r>
        <w:rPr>
          <w:rFonts w:ascii="Barlow Semi Condensed" w:cs="Barlow Semi Condensed" w:eastAsia="Barlow Semi Condensed" w:hAnsi="Barlow Semi Condensed"/>
          <w:sz w:val="24"/>
          <w:szCs w:val="24"/>
        </w:rPr>
        <w:t xml:space="preserve">Blocco mirato numero 2104 — Il raccordo con il Primo Registro. Il ponte negato per 72 anni, esposto al blocco 407, è oggi relazione ordinaria e cordiale: nunziatura a Pretoria, con giurisdizione estesa a Lesotho, Namibia ed Eswatini. L'unica visita papale al Paese resta quella del 1995. Livello A.</w:t>
      </w:r>
    </w:p>
    <w:p>
      <w:pPr>
        <w:spacing w:after="120" w:line="276"/>
        <w:jc w:val="both"/>
      </w:pPr>
      <w:r>
        <w:rPr>
          <w:rFonts w:ascii="Barlow Semi Condensed" w:cs="Barlow Semi Condensed" w:eastAsia="Barlow Semi Condensed" w:hAnsi="Barlow Semi Condensed"/>
          <w:sz w:val="24"/>
          <w:szCs w:val="24"/>
        </w:rPr>
        <w:t xml:space="preserve">Blocco mirato numero 2105 — Un rilievo che il registro trae dal confronto. La Santa Sede negò il riconoscimento al regime dell'apartheid e lo concesse allo Stato uscito dalle prime elezioni democratiche; il suo criterio fu dunque il regime interno e non l'allineamento internazionale. Ne discende che essa non si dispone su nessuna delle 2 formazioni, e che la sua condotta non è misurabile con la scala Est-Ovest che governa il resto del corpus. Livello B.</w:t>
      </w:r>
    </w:p>
    <w:p>
      <w:pPr>
        <w:spacing w:after="120" w:line="276"/>
        <w:jc w:val="both"/>
      </w:pPr>
      <w:r>
        <w:rPr>
          <w:rFonts w:ascii="Barlow Semi Condensed" w:cs="Barlow Semi Condensed" w:eastAsia="Barlow Semi Condensed" w:hAnsi="Barlow Semi Condensed"/>
          <w:sz w:val="24"/>
          <w:szCs w:val="24"/>
        </w:rPr>
        <w:t xml:space="preserve">Blocco mirato numero 2151 — Tavola, prima voce. Il rapporto integrale del panel sulla Lady R, tuttora classificato. Massimo rendimento, poiché soltanto esso chiuderebbe la questione probatoria. Sede: Presidenza sudafricana o eventuale contenzioso presso l'Alta Corte. Condizione: desecretazione.</w:t>
      </w:r>
    </w:p>
    <w:p>
      <w:pPr>
        <w:spacing w:after="120" w:line="276"/>
        <w:jc w:val="both"/>
      </w:pPr>
      <w:r>
        <w:rPr>
          <w:rFonts w:ascii="Barlow Semi Condensed" w:cs="Barlow Semi Condensed" w:eastAsia="Barlow Semi Condensed" w:hAnsi="Barlow Semi Condensed"/>
          <w:sz w:val="24"/>
          <w:szCs w:val="24"/>
        </w:rPr>
        <w:t xml:space="preserve">Blocco mirato numero 2152 — Seconda voce. La quantificazione in valore dei contratti Leonardo con il Sudafrica dal 2010 al 2026. Sedi: banca dati di Stoccolma sui trasferimenti di armamenti, bilanci del gruppo, atti della corporazione armamenti sudafricana.</w:t>
      </w:r>
    </w:p>
    <w:p>
      <w:pPr>
        <w:spacing w:after="120" w:line="276"/>
        <w:jc w:val="both"/>
      </w:pPr>
      <w:r>
        <w:rPr>
          <w:rFonts w:ascii="Barlow Semi Condensed" w:cs="Barlow Semi Condensed" w:eastAsia="Barlow Semi Condensed" w:hAnsi="Barlow Semi Condensed"/>
          <w:sz w:val="24"/>
          <w:szCs w:val="24"/>
        </w:rPr>
        <w:t xml:space="preserve">Blocco mirato numero 2153 — Terza voce. L'esistenza di una frizione bilaterale formalizzata fra Italia e Sudafrica sul dossier ucraino. Sedi: archivio della Farnesina e del ministero degli esteri sudafricano.</w:t>
      </w:r>
    </w:p>
    <w:p>
      <w:pPr>
        <w:spacing w:after="120" w:line="276"/>
        <w:jc w:val="both"/>
      </w:pPr>
      <w:r>
        <w:rPr>
          <w:rFonts w:ascii="Barlow Semi Condensed" w:cs="Barlow Semi Condensed" w:eastAsia="Barlow Semi Condensed" w:hAnsi="Barlow Semi Condensed"/>
          <w:sz w:val="24"/>
          <w:szCs w:val="24"/>
        </w:rPr>
        <w:t xml:space="preserve">Blocco mirato numero 2154 — Quarta voce.\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cifra delle truppe cubane in Angola, sulla quale le fonti divergono in misura rilevante. Sede: archivi militari cubani.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Condizione: accessibilità, non garantita.</w:t>
      </w:r>
    </w:p>
    <w:p>
      <w:pPr>
        <w:spacing w:after="120" w:line="276"/>
        <w:jc w:val="both"/>
      </w:pPr>
      <w:r>
        <w:rPr>
          <w:rFonts w:ascii="Barlow Semi Condensed" w:cs="Barlow Semi Condensed" w:eastAsia="Barlow Semi Condensed" w:hAnsi="Barlow Semi Condensed"/>
          <w:sz w:val="24"/>
          <w:szCs w:val="24"/>
        </w:rPr>
        <w:t xml:space="preserve">Blocco mirato numero 2155 — Quinta voce. Le prese di posizione tedesche e vaticane specificamente riferite all'orientamento russo di Pretoria. Sedi: ministero degli esteri federale e Sala Stampa della Santa Sede.</w:t>
      </w:r>
    </w:p>
    <w:p>
      <w:pPr>
        <w:spacing w:after="120" w:line="276"/>
        <w:jc w:val="both"/>
      </w:pPr>
      <w:r>
        <w:rPr>
          <w:rFonts w:ascii="Barlow Semi Condensed" w:cs="Barlow Semi Condensed" w:eastAsia="Barlow Semi Condensed" w:hAnsi="Barlow Semi Condensed"/>
          <w:sz w:val="24"/>
          <w:szCs w:val="24"/>
        </w:rPr>
        <w:t xml:space="preserve">Blocco mirato numero 2201 — Sintesi del dato nuovo acquisito. Il presente registro ha messo alla prova, con procedura di confutazione dichiarata nel comando, l'ipotesi secondo cui il Sudafrica costituirebbe un nodo che attraversa le 2 formazioni mutando polarità, e l'ha respinta. L'obiezione decisiva regge su fatti di Livello A: sostegno sovietico all'African National Congress dal 1963 in modo continuativo, rete di addestramento ripartita fra 8 Paesi del blocco, decisione della lotta armata assunta dal comitato centrale del partito comunista, e presenza dei medesimi uomini nel comando armato e nel primo gabinetto del 1994. Ne discende la formulazione che sostituisce l'ipotesi caduta: il Sudafrica non è un nodo che ruota ma lo Stato entro il quale entrambi i fronti della Formazione Alfa coesistevano, e nel 1994 mutò non l'allineamento dello Stato bensì quale dei 2 fronti interni detenesse il potere. Il registro versa inoltre 4 acquisizioni proprie. La prima: il grado del fatto trasferito, ossia un fatto vero la cui attribuzione geografica e politica viene silenziosamente aggiornata per servire una rivendicazione presente, di cui è esemplare l'addestramento dei quadri sudafricani in territorio oggi ucraino invocato quale titolo di gratitudine verso Mosca. La seconda: il reperto sull'allineamento non monolitico, poiché la magistratura sudafricana annullò nel 2017 il maggiore progetto strategico russo e l'obbligo derivante dallo Statuto di Roma impedì nel 2023 l'ospitalità piena al capo dello Stato russo. La terza: la polarità invertita dell'attore industriale italiano, che non ha mutato collocazione mentre è mutato il terreno sotto di esso, sicché il gruppo successore dell'impresa che riforniva un regime allineato contro Mosca opera oggi in un Paese allineato con Mosca, e il ponte del 1964 risulta materialmente estinto mentre il nodo societario persiste e si è ampliato. La quarta: il rilievo sulla Santa Sede, che negò il riconoscimento al regime e lo concesse allo Stato democratico, adottando quale criterio il regime interno anziché l'allineamento internazionale, e che perciò non si dispone su alcuna delle 2 formazioni. Quanto alla tesi diagnostica del volume, il dossier australe la conferma senza eccezioni; e la conferma è tanto più forte in quanto discende dalla confutazione dell'ipotesi opposta: poiché il Sudafrica non ruota ma contiene i 2 fronti e li vede scambiarsi il potere, esso prova che i 2 campi erano reali, distinti e in conflitto al punto da dividere in 2 un solo Paese per 5 decenni.</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XXII · Terzo Registro Analitico Dei Nodi E Dei Ponti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XXII: 4.220 parole in 9 sezioni; la più ampia è §9 Altre sezioni, con 3.576.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XXII: 67 paragrafi in 9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XXIII — Quarto Registro Analitico</w:t>
      </w:r>
    </w:p>
    <w:p>
      <w:pPr>
        <w:pStyle w:val="Heading1"/>
        <w:spacing w:after="120" w:before="240"/>
      </w:pPr>
      <w:r>
        <w:rPr>
          <w:rFonts w:ascii="Barlow Semi Condensed" w:cs="Barlow Semi Condensed" w:eastAsia="Barlow Semi Condensed" w:hAnsi="Barlow Semi Condensed"/>
          <w:sz w:val="24"/>
          <w:szCs w:val="24"/>
        </w:rPr>
        <w:t xml:space="preserve">QUARTO REGISTRO ANALITICO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La scala degli Stati Zero: consolidamento e prova di tenuta</w:t>
      </w:r>
    </w:p>
    <w:p>
      <w:pPr>
        <w:pStyle w:val="Heading2"/>
        <w:spacing w:after="100" w:before="200"/>
      </w:pPr>
      <w:r>
        <w:rPr>
          <w:rFonts w:ascii="Barlow Semi Condensed" w:cs="Barlow Semi Condensed" w:eastAsia="Barlow Semi Condensed" w:hAnsi="Barlow Semi Condensed"/>
          <w:sz w:val="24"/>
          <w:szCs w:val="24"/>
        </w:rPr>
        <w:t xml:space="preserve">La quinta correzione — due gradi confermati, uno ritirato</w:t>
      </w:r>
    </w:p>
    <w:p>
      <w:pPr>
        <w:pStyle w:val="Heading2"/>
        <w:spacing w:after="100" w:before="200"/>
      </w:pPr>
      <w:r>
        <w:rPr>
          <w:rFonts w:ascii="Barlow Semi Condensed" w:cs="Barlow Semi Condensed" w:eastAsia="Barlow Semi Condensed" w:hAnsi="Barlow Semi Condensed"/>
          <w:sz w:val="24"/>
          <w:szCs w:val="24"/>
        </w:rPr>
        <w:t xml:space="preserve">Blocchi 2301-2801 — dieci gradi — cinque proprieta trasversali</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QUARTO REGISTRO ANALITICO</w:t>
      </w:r>
    </w:p>
    <w:p>
      <w:pPr>
        <w:pStyle w:val="Heading2"/>
        <w:spacing w:after="100" w:before="200"/>
      </w:pPr>
      <w:r>
        <w:rPr>
          <w:rFonts w:ascii="Barlow Semi Condensed" w:cs="Barlow Semi Condensed" w:eastAsia="Barlow Semi Condensed" w:hAnsi="Barlow Semi Condensed"/>
          <w:sz w:val="24"/>
          <w:szCs w:val="24"/>
        </w:rPr>
        <w:t xml:space="preserve">La scala degli Stati Zero: consolidamento e prova di tenuta. La quinta correzione</w:t>
      </w:r>
    </w:p>
    <w:p>
      <w:pPr>
        <w:spacing w:after="120" w:line="276"/>
        <w:jc w:val="both"/>
      </w:pPr>
      <w:r>
        <w:rPr>
          <w:rFonts w:ascii="Barlow Semi Condensed" w:cs="Barlow Semi Condensed" w:eastAsia="Barlow Semi Condensed" w:hAnsi="Barlow Semi Condensed"/>
          <w:sz w:val="24"/>
          <w:szCs w:val="24"/>
        </w:rPr>
        <w:t xml:space="preserve">Blocco mirato numero 2301 — Oggetto e ragione. Il presente registro non versa nodi né ponti. Esso opera sullo strumento con cui i 3 registri anteriori hanno misurato le assenze, e ne verifica la tenuta. La ragione è materiale: la sessione ha proposto 3 gradi nuovi della scala degli Stati Zero, sparsi in 3 documenti distinti, mai messi a confronto fra loro né con gli 8 preesistenti.</w:t>
      </w:r>
    </w:p>
    <w:p>
      <w:pPr>
        <w:spacing w:after="120" w:line="276"/>
        <w:jc w:val="both"/>
      </w:pPr>
      <w:r>
        <w:rPr>
          <w:rFonts w:ascii="Barlow Semi Condensed" w:cs="Barlow Semi Condensed" w:eastAsia="Barlow Semi Condensed" w:hAnsi="Barlow Semi Condensed"/>
          <w:sz w:val="24"/>
          <w:szCs w:val="24"/>
        </w:rPr>
        <w:t xml:space="preserve">Blocco mirato numero 2302 — Il rischio che la verifica previene. Una scala che passi da 8 a 11 gradi in una sola sessione, senza prova di tenuta, cessa di discriminare. Se 2 gradi coprono il medesimo caso, l'analista sceglierà quello che gli conviene; se un grado non descrive un'assenza, esso introdurrà nella scala una fattispecie estranea e la corromperà dall'interno. Entrambi i vizi sono verificabili, e il presente registro li verifica.</w:t>
      </w:r>
    </w:p>
    <w:p>
      <w:pPr>
        <w:spacing w:after="120" w:line="276"/>
        <w:jc w:val="both"/>
      </w:pPr>
      <w:r>
        <w:rPr>
          <w:rFonts w:ascii="Barlow Semi Condensed" w:cs="Barlow Semi Condensed" w:eastAsia="Barlow Semi Condensed" w:hAnsi="Barlow Semi Condensed"/>
          <w:sz w:val="24"/>
          <w:szCs w:val="24"/>
        </w:rPr>
        <w:t xml:space="preserve">Blocco mirato numero 2303 — Il criterio della prova. Ogni grado va sottoposto a 2 test. Primo test, di appartenenza: il grado descrive un'assenza? Se non descrive un'assenza, esso non appartiene a questa scala, quale che sia il suo valore analitico. Secondo test, di distinzione: il grado è irriducibile a ciascuno degli altri? Si verifica per confronto a coppie con i gradi confinanti.</w:t>
      </w:r>
    </w:p>
    <w:p>
      <w:pPr>
        <w:spacing w:after="120" w:line="276"/>
        <w:jc w:val="both"/>
      </w:pPr>
      <w:r>
        <w:rPr>
          <w:rFonts w:ascii="Barlow Semi Condensed" w:cs="Barlow Semi Condensed" w:eastAsia="Barlow Semi Condensed" w:hAnsi="Barlow Semi Condensed"/>
          <w:sz w:val="24"/>
          <w:szCs w:val="24"/>
        </w:rPr>
        <w:t xml:space="preserve">Blocco mirato numero 2304 — L'esito, anticipato perché sia chiaro che la prova non è cerimoniale. Dei 3 gradi proposti, 2 superano entrambi i test e 1 fallisce il primo. Il grado che fallisce è quello proposto venti minuti fa nel Terzo Registro, e il presente documento lo ritira e lo ricolloca altrove.</w:t>
      </w:r>
    </w:p>
    <w:p>
      <w:pPr>
        <w:spacing w:after="120" w:line="276"/>
        <w:jc w:val="both"/>
      </w:pPr>
      <w:r>
        <w:rPr>
          <w:rFonts w:ascii="Barlow Semi Condensed" w:cs="Barlow Semi Condensed" w:eastAsia="Barlow Semi Condensed" w:hAnsi="Barlow Semi Condensed"/>
          <w:sz w:val="24"/>
          <w:szCs w:val="24"/>
        </w:rPr>
        <w:t xml:space="preserve">Blocco mirato numero 2305 — La qualificazione di tale esito. È la quinta correzione della sessione, dopo le 3 confutazioni di ipotesi dell'autore e l'emendazione al Registro sul Fondo Moro. È la sola che colpisca una proposizione formulata nella medesima sessione, e va registrata come tale anziché attenuata.</w:t>
      </w:r>
    </w:p>
    <w:p>
      <w:pPr>
        <w:spacing w:after="120" w:line="276"/>
        <w:jc w:val="both"/>
      </w:pPr>
      <w:r>
        <w:rPr>
          <w:rFonts w:ascii="Barlow Semi Condensed" w:cs="Barlow Semi Condensed" w:eastAsia="Barlow Semi Condensed" w:hAnsi="Barlow Semi Condensed"/>
          <w:sz w:val="24"/>
          <w:szCs w:val="24"/>
        </w:rPr>
        <w:t xml:space="preserve">Blocco mirato numero 2306 — La funzione della scala, ricordata perché il test la presuppone. La scala serve a qualificare il tipo di assenza che una ricerca incontra, affinché l'esito negativo non sia una resa ma un'acquisizione di primo ordine, e affinché la sede di verifica e la condizione di chiusura discendano dal grado anziché essere improvvisate. Un grado mal posto non è un errore di nomenclatura: produce una tavola sbagliata e manda il ricercatore nel posto sbagliato.</w:t>
      </w:r>
    </w:p>
    <w:p>
      <w:pPr>
        <w:spacing w:after="120" w:line="276"/>
        <w:jc w:val="both"/>
      </w:pPr>
      <w:r>
        <w:rPr>
          <w:rFonts w:ascii="Barlow Semi Condensed" w:cs="Barlow Semi Condensed" w:eastAsia="Barlow Semi Condensed" w:hAnsi="Barlow Semi Condensed"/>
          <w:sz w:val="24"/>
          <w:szCs w:val="24"/>
        </w:rPr>
        <w:t xml:space="preserve">Blocco mirato numero 2307 — Che cosa la scala non fa, e va detto per delimitarla. Essa non misura il grado di certezza di ciò che si afferma — a ciò serve il sistema Savona — né il grado di contaminazione delle fonti — a ciò serve l'Indice di Contaminazione. Misura soltanto la natura dell'assenza. La delimitazione sarà decisiva al blocco 2601.</w:t>
      </w:r>
    </w:p>
    <w:p>
      <w:pPr>
        <w:spacing w:after="120" w:line="276"/>
        <w:jc w:val="both"/>
      </w:pPr>
      <w:r>
        <w:rPr>
          <w:rFonts w:ascii="Barlow Semi Condensed" w:cs="Barlow Semi Condensed" w:eastAsia="Barlow Semi Condensed" w:hAnsi="Barlow Semi Condensed"/>
          <w:sz w:val="24"/>
          <w:szCs w:val="24"/>
        </w:rPr>
        <w:t xml:space="preserve">Blocco mirato numero 2308 — Notazione. I gradi sono numerati progressivamente. Per ciascuno si indicano la definizione, il caso esemplare tratto dal corpus, la sede presso cui l'assenza andrebbe sciolta, e la condizione di chiusura. Ove la condizione di chiusura sia impossibile, lo si dichiara.</w:t>
      </w:r>
    </w:p>
    <w:p>
      <w:pPr>
        <w:spacing w:after="120" w:line="276"/>
        <w:jc w:val="both"/>
      </w:pPr>
      <w:r>
        <w:rPr>
          <w:rFonts w:ascii="Barlow Semi Condensed" w:cs="Barlow Semi Condensed" w:eastAsia="Barlow Semi Condensed" w:hAnsi="Barlow Semi Condensed"/>
          <w:sz w:val="24"/>
          <w:szCs w:val="24"/>
        </w:rPr>
        <w:t xml:space="preserve">Blocco mirato numero 2309 — Numerazione dei blocchi. Riprende dal 2301, il Terzo Registro essendosi chiuso al 2201.</w:t>
      </w:r>
    </w:p>
    <w:p>
      <w:pPr>
        <w:spacing w:after="120" w:line="276"/>
        <w:jc w:val="both"/>
      </w:pPr>
      <w:r>
        <w:rPr>
          <w:rFonts w:ascii="Barlow Semi Condensed" w:cs="Barlow Semi Condensed" w:eastAsia="Barlow Semi Condensed" w:hAnsi="Barlow Semi Condensed"/>
          <w:sz w:val="24"/>
          <w:szCs w:val="24"/>
        </w:rPr>
        <w:t xml:space="preserve">Blocco mirato numero 2310 — Avvertenza finale sul metodo. La prova che segue è condotta contro i gradi e non a loro favore, secondo la medesima procedura che in questa sessione ha prodotto 4 confutazioni. Un grado che sopravviva a un test condotto per demolirlo vale più di 10 gradi enunciati e mai messi alla prova.</w:t>
      </w:r>
    </w:p>
    <w:p>
      <w:pPr>
        <w:pStyle w:val="Heading2"/>
        <w:spacing w:after="100" w:before="200"/>
      </w:pPr>
      <w:r>
        <w:rPr>
          <w:rFonts w:ascii="Barlow Semi Condensed" w:cs="Barlow Semi Condensed" w:eastAsia="Barlow Semi Condensed" w:hAnsi="Barlow Semi Condensed"/>
          <w:sz w:val="24"/>
          <w:szCs w:val="24"/>
        </w:rPr>
        <w:t xml:space="preserve">I — GLI OTTO GRADI PREESISTENTI, RIESPOSTI</w:t>
      </w:r>
    </w:p>
    <w:p>
      <w:pPr>
        <w:spacing w:after="120" w:line="276"/>
        <w:jc w:val="both"/>
      </w:pPr>
      <w:r>
        <w:rPr>
          <w:rFonts w:ascii="Barlow Semi Condensed" w:cs="Barlow Semi Condensed" w:eastAsia="Barlow Semi Condensed" w:hAnsi="Barlow Semi Condensed"/>
          <w:sz w:val="24"/>
          <w:szCs w:val="24"/>
        </w:rPr>
        <w:t xml:space="preserve">Blocco mirato numero 2401 — Primo grado: impossibilità istituzionale. Definizione: l'informazione esiste in forma documentale ed è resa inaccessibile da una norma che ne differisce la consultabilità. Caso: l'Archivio Apostolico Vaticano, consultabile fino all'ottobre 1958, che rende strutturalmente inattingibili i pontificati di Giovanni XXIII, Paolo VI e Giovanni Paolo II. Sede: l'archivio medesimo. Condizione di chiusura: l'apertura del pontificato, che non dipende dal ricercatore.</w:t>
      </w:r>
    </w:p>
    <w:p>
      <w:pPr>
        <w:spacing w:after="120" w:line="276"/>
        <w:jc w:val="both"/>
      </w:pPr>
      <w:r>
        <w:rPr>
          <w:rFonts w:ascii="Barlow Semi Condensed" w:cs="Barlow Semi Condensed" w:eastAsia="Barlow Semi Condensed" w:hAnsi="Barlow Semi Condensed"/>
          <w:sz w:val="24"/>
          <w:szCs w:val="24"/>
        </w:rPr>
        <w:t xml:space="preserve">Blocco mirato numero 2402 — Secondo grado: limite di strumento. Definizione: l'informazione esiste ed è consultabile, ma lo strumento di ricerca disponibile non copre il periodo o il perimetro. Caso: la banca dati del sindacato ispettivo parlamentare, che comincia dal 5 luglio 1976 e lascia fuori l'intero primo mandato di Moro. Sede: i resoconti a stampa non digitalizzati. Condizione di chiusura: lo spoglio manuale, oneroso ma possibile.</w:t>
      </w:r>
    </w:p>
    <w:p>
      <w:pPr>
        <w:spacing w:after="120" w:line="276"/>
        <w:jc w:val="both"/>
      </w:pPr>
      <w:r>
        <w:rPr>
          <w:rFonts w:ascii="Barlow Semi Condensed" w:cs="Barlow Semi Condensed" w:eastAsia="Barlow Semi Condensed" w:hAnsi="Barlow Semi Condensed"/>
          <w:sz w:val="24"/>
          <w:szCs w:val="24"/>
        </w:rPr>
        <w:t xml:space="preserve">Blocco mirato numero 2403 — Terzo grado: deposito inesplorato. Definizione: l'informazione esiste, è consultabile e lo strumento la copre, ma nessuno vi è entrato. Caso: la metà del fondo della Torre do Tombo mai consultata; e i fondi dell'Archivio Storico Diplomatico per i 6 perimetri. Sede: il deposito. Condizione di chiusura: che qualcuno vada.</w:t>
      </w:r>
    </w:p>
    <w:p>
      <w:pPr>
        <w:spacing w:after="120" w:line="276"/>
        <w:jc w:val="both"/>
      </w:pPr>
      <w:r>
        <w:rPr>
          <w:rFonts w:ascii="Barlow Semi Condensed" w:cs="Barlow Semi Condensed" w:eastAsia="Barlow Semi Condensed" w:hAnsi="Barlow Semi Condensed"/>
          <w:sz w:val="24"/>
          <w:szCs w:val="24"/>
        </w:rPr>
        <w:t xml:space="preserve">Blocco mirato numero 2404 — Quarto grado: insieme vuoto verificato. Definizione: l'assenza è positivamente accertata confrontando il perimetro con un registro che il soggetto medesimo pubblica. Caso: l'assenza dell'Opus Dei da Grecia, Cipro e Turchia, verificata contro l'elenco ufficiale dei Paesi in cui l'ente dichiara di operare. Sede: nessuna: l'accertamento è compiuto. Condizione di chiusura: già chiusa.</w:t>
      </w:r>
    </w:p>
    <w:p>
      <w:pPr>
        <w:spacing w:after="120" w:line="276"/>
        <w:jc w:val="both"/>
      </w:pPr>
      <w:r>
        <w:rPr>
          <w:rFonts w:ascii="Barlow Semi Condensed" w:cs="Barlow Semi Condensed" w:eastAsia="Barlow Semi Condensed" w:hAnsi="Barlow Semi Condensed"/>
          <w:sz w:val="24"/>
          <w:szCs w:val="24"/>
        </w:rPr>
        <w:t xml:space="preserve">Blocco mirato numero 2405 — La proprietà che distingue il quarto grado da tutti gli altri, e va isolata. Esso è il solo grado in cui l'assenza è un risultato e non un ostacolo. Negli altri l'assenza misura ciò che non si è potuto raggiungere; qui misura ciò che si è accertato non esserci. Ne discende che il quarto grado non genera voci di tavola, mentre tutti gli altri ne generano.</w:t>
      </w:r>
    </w:p>
    <w:p>
      <w:pPr>
        <w:spacing w:after="120" w:line="276"/>
        <w:jc w:val="both"/>
      </w:pPr>
      <w:r>
        <w:rPr>
          <w:rFonts w:ascii="Barlow Semi Condensed" w:cs="Barlow Semi Condensed" w:eastAsia="Barlow Semi Condensed" w:hAnsi="Barlow Semi Condensed"/>
          <w:sz w:val="24"/>
          <w:szCs w:val="24"/>
        </w:rPr>
        <w:t xml:space="preserve">Blocco mirato numero 2406 — Quinto grado: esito negativo presso i beneficiari. Definizione: l'assenza è accertata presso i soggetti che avrebbero avuto il maggiore interesse a registrare il fatto, e trae da tale collocazione la propria forza. Caso: nessuno dei comboniani espulsi dal Mozambico nell'aprile 1974 menziona un intervento italiano in proprio favore. Sede: archivi dell'ordine e memorialistica. Condizione di chiusura: parzialmente chiusa.</w:t>
      </w:r>
    </w:p>
    <w:p>
      <w:pPr>
        <w:spacing w:after="120" w:line="276"/>
        <w:jc w:val="both"/>
      </w:pPr>
      <w:r>
        <w:rPr>
          <w:rFonts w:ascii="Barlow Semi Condensed" w:cs="Barlow Semi Condensed" w:eastAsia="Barlow Semi Condensed" w:hAnsi="Barlow Semi Condensed"/>
          <w:sz w:val="24"/>
          <w:szCs w:val="24"/>
        </w:rPr>
        <w:t xml:space="preserve">Blocco mirato numero 2407 — Sesto grado: assenza coerente con la collocazione. Definizione: l'assenza è prevedibile dalla posizione nota del soggetto, e perciò non richiede spiegazione ulteriore. Caso: l'assenza di contatti fra Moro e l'Opus Dei, coerente con la sua formazione nella FUCI, in Studium e nell'area dossettiana. Sede: eventuale, non prioritaria. Condizione di chiusura: l'assenza resta tale salvo reperto contrario.</w:t>
      </w:r>
    </w:p>
    <w:p>
      <w:pPr>
        <w:spacing w:after="120" w:line="276"/>
        <w:jc w:val="both"/>
      </w:pPr>
      <w:r>
        <w:rPr>
          <w:rFonts w:ascii="Barlow Semi Condensed" w:cs="Barlow Semi Condensed" w:eastAsia="Barlow Semi Condensed" w:hAnsi="Barlow Semi Condensed"/>
          <w:sz w:val="24"/>
          <w:szCs w:val="24"/>
        </w:rPr>
        <w:t xml:space="preserve">Blocco mirato numero 2408 — Un'avvertenza sul sesto grado, che è il più insidioso. Esso rischia di funzionare come dispensa dalla ricerca: dichiarare un'assenza coerente con la collocazione può divenire il modo elegante di non cercare. Va perciò impiegato soltanto dopo che il terzo grado sia stato esaurito, mai in sua vece.</w:t>
      </w:r>
    </w:p>
    <w:p>
      <w:pPr>
        <w:spacing w:after="120" w:line="276"/>
        <w:jc w:val="both"/>
      </w:pPr>
      <w:r>
        <w:rPr>
          <w:rFonts w:ascii="Barlow Semi Condensed" w:cs="Barlow Semi Condensed" w:eastAsia="Barlow Semi Condensed" w:hAnsi="Barlow Semi Condensed"/>
          <w:sz w:val="24"/>
          <w:szCs w:val="24"/>
        </w:rPr>
        <w:t xml:space="preserve">Blocco mirato numero 2409 — Settimo grado: allegazione senza base. Definizione: una connessione è affermata da una fonte e non trova alcun riscontro; l'assenza riguarda il fondamento e non il documento. Caso: il nome operativo di un corriere, privo di qualsiasi riscontro, accanto a un nome verificabile nel medesimo elenco. Sede: la fonte che allega. Condizione di chiusura: l'onere grava su chi afferma.</w:t>
      </w:r>
    </w:p>
    <w:p>
      <w:pPr>
        <w:spacing w:after="120" w:line="276"/>
        <w:jc w:val="both"/>
      </w:pPr>
      <w:r>
        <w:rPr>
          <w:rFonts w:ascii="Barlow Semi Condensed" w:cs="Barlow Semi Condensed" w:eastAsia="Barlow Semi Condensed" w:hAnsi="Barlow Semi Condensed"/>
          <w:sz w:val="24"/>
          <w:szCs w:val="24"/>
        </w:rPr>
        <w:t xml:space="preserve">Blocco mirato numero 2410 — Ottavo grado: falso positivo. Definizione: un apparato detiene la qualificazione vera e ne diffonde una falsa; l'assenza è quella della verità nel circuito informativo, non nell'archivio. Caso: il servizio che deteneva il fascicolo con qualificazione anticomunista e trasmise agli organi di polizia quella anarchica. Sede: gli archivi del servizio. Condizione di chiusura: la desecretazione.</w:t>
      </w:r>
    </w:p>
    <w:p>
      <w:pPr>
        <w:spacing w:after="120" w:line="276"/>
        <w:jc w:val="both"/>
      </w:pPr>
      <w:r>
        <w:rPr>
          <w:rFonts w:ascii="Barlow Semi Condensed" w:cs="Barlow Semi Condensed" w:eastAsia="Barlow Semi Condensed" w:hAnsi="Barlow Semi Condensed"/>
          <w:sz w:val="24"/>
          <w:szCs w:val="24"/>
        </w:rPr>
        <w:t xml:space="preserve">Blocco mirato numero 2411 — Le 3 proprietà dell'ottavo grado, già acquisite e qui richiamate. È invisibile a chi cerchi assenze, poiché il documento c'è; corrompe a valle, poiché la qualificazione falsa entra nei documenti successivi; ed è verificabile soltanto dall'esterno, confrontando ciò che l'apparato deteneva con ciò che diffuse.</w:t>
      </w:r>
    </w:p>
    <w:p>
      <w:pPr>
        <w:spacing w:after="120" w:line="276"/>
        <w:jc w:val="both"/>
      </w:pPr>
      <w:r>
        <w:rPr>
          <w:rFonts w:ascii="Barlow Semi Condensed" w:cs="Barlow Semi Condensed" w:eastAsia="Barlow Semi Condensed" w:hAnsi="Barlow Semi Condensed"/>
          <w:sz w:val="24"/>
          <w:szCs w:val="24"/>
        </w:rPr>
        <w:t xml:space="preserve">Blocco mirato numero 2412 — Bilancio degli 8 preesistenti. Tutti descrivono un'assenza e superano il primo test. Quanto al secondo, si segnala una prossimità fra il primo e il secondo grado — norma che chiude contro strumento che non copre — che tuttavia regge, poiché nel primo caso il ricercatore che si recasse in sede sarebbe respinto, nel secondo sarebbe ammesso e dovrebbe soltanto lavorare di più.</w:t>
      </w:r>
    </w:p>
    <w:p>
      <w:pPr>
        <w:pStyle w:val="Heading2"/>
        <w:spacing w:after="100" w:before="200"/>
      </w:pPr>
      <w:r>
        <w:rPr>
          <w:rFonts w:ascii="Barlow Semi Condensed" w:cs="Barlow Semi Condensed" w:eastAsia="Barlow Semi Condensed" w:hAnsi="Barlow Semi Condensed"/>
          <w:sz w:val="24"/>
          <w:szCs w:val="24"/>
        </w:rPr>
        <w:t xml:space="preserve">II — I TRE GRADI PROPOSTI E LA PROVA INCROCIATA</w:t>
      </w:r>
    </w:p>
    <w:p>
      <w:pPr>
        <w:spacing w:after="120" w:line="276"/>
        <w:jc w:val="both"/>
      </w:pPr>
      <w:r>
        <w:rPr>
          <w:rFonts w:ascii="Barlow Semi Condensed" w:cs="Barlow Semi Condensed" w:eastAsia="Barlow Semi Condensed" w:hAnsi="Barlow Semi Condensed"/>
          <w:sz w:val="24"/>
          <w:szCs w:val="24"/>
        </w:rPr>
        <w:t xml:space="preserve">Blocco mirato numero 2501 — Nono grado proposto: atto atipico. Definizione: una condotta dello Stato non lascia traccia documentale perché il diritto vigente al momento non la configurava quale atto giuridico tipico, e dunque non ne prescriveva forma, motivazione né registrazione. Caso: la cessione all'estero di licenze di produzione di armamenti, non tipizzata in Italia fino all'articolo 13 della legge 185 del 9 luglio 1990, con materia coperta dal segreto di Stato per regio decreto del 1941.</w:t>
      </w:r>
    </w:p>
    <w:p>
      <w:pPr>
        <w:spacing w:after="120" w:line="276"/>
        <w:jc w:val="both"/>
      </w:pPr>
      <w:r>
        <w:rPr>
          <w:rFonts w:ascii="Barlow Semi Condensed" w:cs="Barlow Semi Condensed" w:eastAsia="Barlow Semi Condensed" w:hAnsi="Barlow Semi Condensed"/>
          <w:sz w:val="24"/>
          <w:szCs w:val="24"/>
        </w:rPr>
        <w:t xml:space="preserve">Blocco mirato numero 2502 — Primo test sul nono grado: descrive un'assenza?\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Sì. Assenza di documento, e assenza di specie estrema: il documento non esiste e non è mai esistito. Il test è superato.</w:t>
      </w:r>
    </w:p>
    <w:p>
      <w:pPr>
        <w:spacing w:after="120" w:line="276"/>
        <w:jc w:val="both"/>
      </w:pPr>
      <w:r>
        <w:rPr>
          <w:rFonts w:ascii="Barlow Semi Condensed" w:cs="Barlow Semi Condensed" w:eastAsia="Barlow Semi Condensed" w:hAnsi="Barlow Semi Condensed"/>
          <w:sz w:val="24"/>
          <w:szCs w:val="24"/>
        </w:rPr>
        <w:t xml:space="preserve">Blocco mirato numero 2503 — Secondo test: confronto con il primo grado. L'impossibilità istituzionale dice che il documento esiste ed è sigillato. L'atto atipico dice che il documento non fu mai prodotto. Distinti, e la distinzione è operativa: nel primo caso attendere l'apertura ha senso, nel secondo attendere non serve a nulla.</w:t>
      </w:r>
    </w:p>
    <w:p>
      <w:pPr>
        <w:spacing w:after="120" w:line="276"/>
        <w:jc w:val="both"/>
      </w:pPr>
      <w:r>
        <w:rPr>
          <w:rFonts w:ascii="Barlow Semi Condensed" w:cs="Barlow Semi Condensed" w:eastAsia="Barlow Semi Condensed" w:hAnsi="Barlow Semi Condensed"/>
          <w:sz w:val="24"/>
          <w:szCs w:val="24"/>
        </w:rPr>
        <w:t xml:space="preserve">Blocco mirato numero 2504 — Confronto con il terzo grado. Il deposito inesplorato dice vai a cercare. L'atto atipico dice puoi andare e non troverai, e il non trovare non proverà l'inazione. Distinti. E qui il nono grado rende un servizio che nessun altro rende: immunizza il ricercatore dall'inferenza sbagliata che l'archivio vuoto autorizzerebbe.</w:t>
      </w:r>
    </w:p>
    <w:p>
      <w:pPr>
        <w:spacing w:after="120" w:line="276"/>
        <w:jc w:val="both"/>
      </w:pPr>
      <w:r>
        <w:rPr>
          <w:rFonts w:ascii="Barlow Semi Condensed" w:cs="Barlow Semi Condensed" w:eastAsia="Barlow Semi Condensed" w:hAnsi="Barlow Semi Condensed"/>
          <w:sz w:val="24"/>
          <w:szCs w:val="24"/>
        </w:rPr>
        <w:t xml:space="preserve">Blocco mirato numero 2505 — Confronto con il quarto grado, ed è il più stringente. L'insieme vuoto verificato accerta l'assenza confrontandola con un registro che il soggetto pubblica. L'atto atipico non può essere verificato contro alcun registro, perché di quegli atti non fu mai tenuto registro. Distinti — e la differenza di proprietà va enunciata: il quarto grado è falsificabile, il nono no. Chiunque può confutare il quarto esibendo una voce nel registro ufficiale; il nono non è confutabile se non mutando la ricostruzione del diritto vigente.</w:t>
      </w:r>
    </w:p>
    <w:p>
      <w:pPr>
        <w:spacing w:after="120" w:line="276"/>
        <w:jc w:val="both"/>
      </w:pPr>
      <w:r>
        <w:rPr>
          <w:rFonts w:ascii="Barlow Semi Condensed" w:cs="Barlow Semi Condensed" w:eastAsia="Barlow Semi Condensed" w:hAnsi="Barlow Semi Condensed"/>
          <w:sz w:val="24"/>
          <w:szCs w:val="24"/>
        </w:rPr>
        <w:t xml:space="preserve">Blocco mirato numero 2506 — Esito sul nono grado. Entrambi i test superati. Il grado tiene e si conferma.</w:t>
      </w:r>
    </w:p>
    <w:p>
      <w:pPr>
        <w:spacing w:after="120" w:line="276"/>
        <w:jc w:val="both"/>
      </w:pPr>
      <w:r>
        <w:rPr>
          <w:rFonts w:ascii="Barlow Semi Condensed" w:cs="Barlow Semi Condensed" w:eastAsia="Barlow Semi Condensed" w:hAnsi="Barlow Semi Condensed"/>
          <w:sz w:val="24"/>
          <w:szCs w:val="24"/>
        </w:rPr>
        <w:t xml:space="preserve">Blocco mirato numero 2507 — Decimo grado proposto: barriera macchinica. Definizione: un documento è pubblico, catalogato e indirizzabile, e la sua acquisizione è impedita non da una norma né da una lacuna ma da un dispositivo tecnico che discrimina fra lettori umani e automatici. Caso: le 2 lettere italiane presso le Nazioni Unite, di cui si sono acquisite le schede catalografiche integrali e non i corpi.</w:t>
      </w:r>
    </w:p>
    <w:p>
      <w:pPr>
        <w:spacing w:after="120" w:line="276"/>
        <w:jc w:val="both"/>
      </w:pPr>
      <w:r>
        <w:rPr>
          <w:rFonts w:ascii="Barlow Semi Condensed" w:cs="Barlow Semi Condensed" w:eastAsia="Barlow Semi Condensed" w:hAnsi="Barlow Semi Condensed"/>
          <w:sz w:val="24"/>
          <w:szCs w:val="24"/>
        </w:rPr>
        <w:t xml:space="preserve">Blocco mirato numero 2508 — Primo test sul decimo grado.\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Descrive un'assenza: assenza di acquisizione, a fronte di un documento esistente, accessibile in diritto e misurabile — la seconda lettera consta di 2 pagine. Test superato.</w:t>
      </w:r>
    </w:p>
    <w:p>
      <w:pPr>
        <w:spacing w:after="120" w:line="276"/>
        <w:jc w:val="both"/>
      </w:pPr>
      <w:r>
        <w:rPr>
          <w:rFonts w:ascii="Barlow Semi Condensed" w:cs="Barlow Semi Condensed" w:eastAsia="Barlow Semi Condensed" w:hAnsi="Barlow Semi Condensed"/>
          <w:sz w:val="24"/>
          <w:szCs w:val="24"/>
        </w:rPr>
        <w:t xml:space="preserve">Blocco mirato numero 2509 — Secondo test: confronto con il secondo grado, ed è il confronto critico. Il limite di strumento è una lacuna di copertura: la banca dati non comprende il periodo. La barriera macchinica è un rifiuto attivo entro la copertura: la banca dati comprende il documento, lo cataloga, lo indirizza, e nega la consegna. Distinti, e la distinzione ha conseguenza pratica: nel secondo grado si cambia strumento, nel decimo si cambia lettore.</w:t>
      </w:r>
    </w:p>
    <w:p>
      <w:pPr>
        <w:spacing w:after="120" w:line="276"/>
        <w:jc w:val="both"/>
      </w:pPr>
      <w:r>
        <w:rPr>
          <w:rFonts w:ascii="Barlow Semi Condensed" w:cs="Barlow Semi Condensed" w:eastAsia="Barlow Semi Condensed" w:hAnsi="Barlow Semi Condensed"/>
          <w:sz w:val="24"/>
          <w:szCs w:val="24"/>
        </w:rPr>
        <w:t xml:space="preserve">Blocco mirato numero 2510 — Confronto con il primo grado. L'impossibilità istituzionale è normativa: una regola chiude l'archivio a chiunque. La barriera macchinica è tecnica, e la norma permette l'accesso. La prova decisiva è l'asimmetria: un lettore umano incontra il primo grado esattamente come un lettore automatico; il decimo grado lo incontra soltanto il secondo. Distinti.</w:t>
      </w:r>
    </w:p>
    <w:p>
      <w:pPr>
        <w:spacing w:after="120" w:line="276"/>
        <w:jc w:val="both"/>
      </w:pPr>
      <w:r>
        <w:rPr>
          <w:rFonts w:ascii="Barlow Semi Condensed" w:cs="Barlow Semi Condensed" w:eastAsia="Barlow Semi Condensed" w:hAnsi="Barlow Semi Condensed"/>
          <w:sz w:val="24"/>
          <w:szCs w:val="24"/>
        </w:rPr>
        <w:t xml:space="preserve">Blocco mirato numero 2511 — La proprietà più importante del decimo grado, che nessun altro possiede. Esso non è rimediabile dall'interno del metodo che lo ha incontrato. Nessuna riformulazione della domanda lo scioglie. Si scioglie soltanto uscendo dal metodo — cioè andando. Ne discende che il decimo grado è il solo che prescriva al ricercatore di cessare di essere ciò che è.</w:t>
      </w:r>
    </w:p>
    <w:p>
      <w:pPr>
        <w:spacing w:after="120" w:line="276"/>
        <w:jc w:val="both"/>
      </w:pPr>
      <w:r>
        <w:rPr>
          <w:rFonts w:ascii="Barlow Semi Condensed" w:cs="Barlow Semi Condensed" w:eastAsia="Barlow Semi Condensed" w:hAnsi="Barlow Semi Condensed"/>
          <w:sz w:val="24"/>
          <w:szCs w:val="24"/>
        </w:rPr>
        <w:t xml:space="preserve">Blocco mirato numero 2512 — Esito sul decimo grado. Entrambi i test superati. Il grado tiene e si conferma.</w:t>
      </w:r>
    </w:p>
    <w:p>
      <w:pPr>
        <w:pStyle w:val="Heading2"/>
        <w:spacing w:after="100" w:before="200"/>
      </w:pPr>
      <w:r>
        <w:rPr>
          <w:rFonts w:ascii="Barlow Semi Condensed" w:cs="Barlow Semi Condensed" w:eastAsia="Barlow Semi Condensed" w:hAnsi="Barlow Semi Condensed"/>
          <w:sz w:val="24"/>
          <w:szCs w:val="24"/>
        </w:rPr>
        <w:t xml:space="preserve">III — LA CADUTA DEL GRADO UNDICESIMO</w:t>
      </w:r>
    </w:p>
    <w:p>
      <w:pPr>
        <w:spacing w:after="120" w:line="276"/>
        <w:jc w:val="both"/>
      </w:pPr>
      <w:r>
        <w:rPr>
          <w:rFonts w:ascii="Barlow Semi Condensed" w:cs="Barlow Semi Condensed" w:eastAsia="Barlow Semi Condensed" w:hAnsi="Barlow Semi Condensed"/>
          <w:sz w:val="24"/>
          <w:szCs w:val="24"/>
        </w:rPr>
        <w:t xml:space="preserve">Blocco mirato numero 2601 — Il grado sotto esame. Il Terzo Registro ha proposto, al blocco 1708, un grado denominato fatto trasferito, così definito: un fatto vero la cui attribuzione geografica e politica viene silenziosamente aggiornata per servire una rivendicazione presente. Caso: l'addestramento dei quadri sudafricani in territorio oggi ucraino, invocato quale titolo di gratitudine verso Mosca.</w:t>
      </w:r>
    </w:p>
    <w:p>
      <w:pPr>
        <w:spacing w:after="120" w:line="276"/>
        <w:jc w:val="both"/>
      </w:pPr>
      <w:r>
        <w:rPr>
          <w:rFonts w:ascii="Barlow Semi Condensed" w:cs="Barlow Semi Condensed" w:eastAsia="Barlow Semi Condensed" w:hAnsi="Barlow Semi Condensed"/>
          <w:sz w:val="24"/>
          <w:szCs w:val="24"/>
        </w:rPr>
        <w:t xml:space="preserve">Blocco mirato numero 2602 — Primo test: descrive un'assenza?\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w:t>
      </w:r>
    </w:p>
    <w:p>
      <w:pPr>
        <w:spacing w:after="120" w:line="276"/>
        <w:jc w:val="both"/>
      </w:pPr>
      <w:r>
        <w:rPr>
          <w:rFonts w:ascii="Barlow Semi Condensed" w:cs="Barlow Semi Condensed" w:eastAsia="Barlow Semi Condensed" w:hAnsi="Barlow Semi Condensed"/>
          <w:sz w:val="24"/>
          <w:szCs w:val="24"/>
        </w:rPr>
        <w:t xml:space="preserve">Blocco mirato numero 2603 — La dimostrazione, e va condotta senza sconti perché la proposizione è mia e recentissima. Gli altri 10 gradi misurano tutti una privazione: assenza di documento, di accesso, di riscontro, di verità nel circuito, di atto giuridico. Il fatto trasferito non misura alcuna privazione. Il fatto c'è; il documento c'è; l'accesso c'è; il riscontro c'è. Ciò che è alterato è la cornice entro cui il fatto viene collocato, non la sua disponibilità.</w:t>
      </w:r>
    </w:p>
    <w:p>
      <w:pPr>
        <w:spacing w:after="120" w:line="276"/>
        <w:jc w:val="both"/>
      </w:pPr>
      <w:r>
        <w:rPr>
          <w:rFonts w:ascii="Barlow Semi Condensed" w:cs="Barlow Semi Condensed" w:eastAsia="Barlow Semi Condensed" w:hAnsi="Barlow Semi Condensed"/>
          <w:sz w:val="24"/>
          <w:szCs w:val="24"/>
        </w:rPr>
        <w:t xml:space="preserve">Blocco mirato numero 2604 — Ne discende l'esito.\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grado fallisce il primo test e non appartiene alla scala degli Stati Zero. Il Terzo Registro lo aveva collocato male, e il presente registro lo ritira.</w:t>
      </w:r>
    </w:p>
    <w:p>
      <w:pPr>
        <w:spacing w:after="120" w:line="276"/>
        <w:jc w:val="both"/>
      </w:pPr>
      <w:r>
        <w:rPr>
          <w:rFonts w:ascii="Barlow Semi Condensed" w:cs="Barlow Semi Condensed" w:eastAsia="Barlow Semi Condensed" w:hAnsi="Barlow Semi Condensed"/>
          <w:sz w:val="24"/>
          <w:szCs w:val="24"/>
        </w:rPr>
        <w:t xml:space="preserve">Blocco mirato numero 2605 — Ma ritirarlo non è cassarlo, e la distinzione va enunciata.\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fattispecie che esso descrive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esiste ed è analiticamente utile.\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L'errore non fu di averla identificata: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fu di averla iscritta nella scala sbagliata.</w:t>
      </w:r>
    </w:p>
    <w:p>
      <w:pPr>
        <w:spacing w:after="120" w:line="276"/>
        <w:jc w:val="both"/>
      </w:pPr>
      <w:r>
        <w:rPr>
          <w:rFonts w:ascii="Barlow Semi Condensed" w:cs="Barlow Semi Condensed" w:eastAsia="Barlow Semi Condensed" w:hAnsi="Barlow Semi Condensed"/>
          <w:sz w:val="24"/>
          <w:szCs w:val="24"/>
        </w:rPr>
        <w:t xml:space="preserve">Blocco mirato numero 2606 — La ricollocazione proposta. Il corpus dispone di un secondo strumento, l'Indice di Contaminazione, che misura non la disponibilità di un'informazione ma la sua indipendenza genealogica: quante volte un medesimo dato è stato riprodotto, attraverso quali passaggi, e quanto ciascuna riproduzione ne abbia alterato la portata. È lì che il fatto trasferito appartiene.</w:t>
      </w:r>
    </w:p>
    <w:p>
      <w:pPr>
        <w:spacing w:after="120" w:line="276"/>
        <w:jc w:val="both"/>
      </w:pPr>
      <w:r>
        <w:rPr>
          <w:rFonts w:ascii="Barlow Semi Condensed" w:cs="Barlow Semi Condensed" w:eastAsia="Barlow Semi Condensed" w:hAnsi="Barlow Semi Condensed"/>
          <w:sz w:val="24"/>
          <w:szCs w:val="24"/>
        </w:rPr>
        <w:t xml:space="preserve">Blocco mirato numero 2607 — La formulazione emendata per la nuova sede. Contaminazione per trasferimento di cornice: un dato genealogicamente autentico viene riprodotto con attribuzione geografica, politica o cronologica modificata, sicché le riproduzioni successive ereditano la cornice nuova insieme al dato vero, e la falsificazione diviene progressivamente indistinguibile dall'accertamento.</w:t>
      </w:r>
    </w:p>
    <w:p>
      <w:pPr>
        <w:spacing w:after="120" w:line="276"/>
        <w:jc w:val="both"/>
      </w:pPr>
      <w:r>
        <w:rPr>
          <w:rFonts w:ascii="Barlow Semi Condensed" w:cs="Barlow Semi Condensed" w:eastAsia="Barlow Semi Condensed" w:hAnsi="Barlow Semi Condensed"/>
          <w:sz w:val="24"/>
          <w:szCs w:val="24"/>
        </w:rPr>
        <w:t xml:space="preserve">Blocco mirato numero 2608 — La proprietà che la rende insidiosa, e che giustifica di conservarla. Essa resiste a ogni verifica condotta sul dato. Chi verifichi l'addestramento a Odessa lo trova confermato; la cornice non è verificabile insieme al dato, perché non è nel dato. Ne discende che gli strumenti ordinari di riscontro — che confermano o smentiscono fatti — sono strutturalmente ciechi ad essa.</w:t>
      </w:r>
    </w:p>
    <w:p>
      <w:pPr>
        <w:spacing w:after="120" w:line="276"/>
        <w:jc w:val="both"/>
      </w:pPr>
      <w:r>
        <w:rPr>
          <w:rFonts w:ascii="Barlow Semi Condensed" w:cs="Barlow Semi Condensed" w:eastAsia="Barlow Semi Condensed" w:hAnsi="Barlow Semi Condensed"/>
          <w:sz w:val="24"/>
          <w:szCs w:val="24"/>
        </w:rPr>
        <w:t xml:space="preserve">Blocco mirato numero 2609 — La distinzione dall'ottavo grado, che va mantenuta perché sono vicini. Il falso positivo richiede un apparato che detiene la qualificazione vera e ne diffonde una falsa: presuppone dunque la conoscenza e l'intenzione. La contaminazione per trasferimento non le richiede: può essere accrescitiva, prodursi per riproduzioni successive, e nessuno dei riproduttori deve sapere di trasferire. Il primo è dolo, la seconda può essere sedimentazione.</w:t>
      </w:r>
    </w:p>
    <w:p>
      <w:pPr>
        <w:spacing w:after="120" w:line="276"/>
        <w:jc w:val="both"/>
      </w:pPr>
      <w:r>
        <w:rPr>
          <w:rFonts w:ascii="Barlow Semi Condensed" w:cs="Barlow Semi Condensed" w:eastAsia="Barlow Semi Condensed" w:hAnsi="Barlow Semi Condensed"/>
          <w:sz w:val="24"/>
          <w:szCs w:val="24"/>
        </w:rPr>
        <w:t xml:space="preserve">Blocco mirato numero 2610 — Bilancio della sezione. Dei 3 gradi proposti nella sessione, 2 tengono e 1 cade. Il caduto non è perduto: è trasferito allo strumento competente, con definizione emendata e con una proprietà — la cecità degli strumenti di riscontro — che nella scala degli Stati Zero non avrebbe potuto essere enunciata.</w:t>
      </w:r>
    </w:p>
    <w:p>
      <w:pPr>
        <w:pStyle w:val="Heading2"/>
        <w:spacing w:after="100" w:before="200"/>
      </w:pPr>
      <w:r>
        <w:rPr>
          <w:rFonts w:ascii="Barlow Semi Condensed" w:cs="Barlow Semi Condensed" w:eastAsia="Barlow Semi Condensed" w:hAnsi="Barlow Semi Condensed"/>
          <w:sz w:val="24"/>
          <w:szCs w:val="24"/>
        </w:rPr>
        <w:t xml:space="preserve">IV — LA SCALA EMENDATA E LE SUE PROPRIETÀ TRASVERSALI</w:t>
      </w:r>
    </w:p>
    <w:p>
      <w:pPr>
        <w:spacing w:after="120" w:line="276"/>
        <w:jc w:val="both"/>
      </w:pPr>
      <w:r>
        <w:rPr>
          <w:rFonts w:ascii="Barlow Semi Condensed" w:cs="Barlow Semi Condensed" w:eastAsia="Barlow Semi Condensed" w:hAnsi="Barlow Semi Condensed"/>
          <w:sz w:val="24"/>
          <w:szCs w:val="24"/>
        </w:rPr>
        <w:t xml:space="preserve">Blocco mirato numero 2701 — La scala risultante conta 10 gradi.\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Gli 8 preesistenti, confermati; il nono, atto atipico; il decimo, barriera macchinica.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Il grado undicesimo è espunto e ricollocato.</w:t>
      </w:r>
    </w:p>
    <w:p>
      <w:pPr>
        <w:spacing w:after="120" w:line="276"/>
        <w:jc w:val="both"/>
      </w:pPr>
      <w:r>
        <w:rPr>
          <w:rFonts w:ascii="Barlow Semi Condensed" w:cs="Barlow Semi Condensed" w:eastAsia="Barlow Semi Condensed" w:hAnsi="Barlow Semi Condensed"/>
          <w:sz w:val="24"/>
          <w:szCs w:val="24"/>
        </w:rPr>
        <w:t xml:space="preserve">Blocco mirato numero 2702 — Prima proprietà trasversale: la ripartizione per rimediabilità. I gradi si dispongono su 3 classi. Rimediabili dal ricercatore: il secondo, il terzo, il quinto e in parte il settimo — basta lavorare di più o cercare altrove. Rimediabili soltanto da terzi: il primo, l'ottavo e il decimo — occorre che qualcuno apra, desecreti o consenta. Non rimediabili: il quarto, perché già chiuso, e il nono, perché non vi è nulla da rimediare.</w:t>
      </w:r>
    </w:p>
    <w:p>
      <w:pPr>
        <w:spacing w:after="120" w:line="276"/>
        <w:jc w:val="both"/>
      </w:pPr>
      <w:r>
        <w:rPr>
          <w:rFonts w:ascii="Barlow Semi Condensed" w:cs="Barlow Semi Condensed" w:eastAsia="Barlow Semi Condensed" w:hAnsi="Barlow Semi Condensed"/>
          <w:sz w:val="24"/>
          <w:szCs w:val="24"/>
        </w:rPr>
        <w:t xml:space="preserve">Blocco mirato numero 2703 — La conseguenza operativa della ripartizione. Una tavola di acquisizioni non conseguite dovrebbe essere ordinata per classe di rimediabilità prima che per rendimento atteso, poiché il rendimento più alto è inutile se la classe è la terza. I 3 registri anteriori hanno ordinato per solo rendimento, e vanno emendati su questo punto.</w:t>
      </w:r>
    </w:p>
    <w:p>
      <w:pPr>
        <w:spacing w:after="120" w:line="276"/>
        <w:jc w:val="both"/>
      </w:pPr>
      <w:r>
        <w:rPr>
          <w:rFonts w:ascii="Barlow Semi Condensed" w:cs="Barlow Semi Condensed" w:eastAsia="Barlow Semi Condensed" w:hAnsi="Barlow Semi Condensed"/>
          <w:sz w:val="24"/>
          <w:szCs w:val="24"/>
        </w:rPr>
        <w:t xml:space="preserve">Blocco mirato numero 2704 — Seconda proprietà trasversale: la ripartizione per falsificabilità. Alcuni gradi sono confutabili da chiunque esibisca un documento: il quarto, il quinto, il settimo. Altri non lo sono se non mutando la ricostruzione del quadro normativo o tecnico: il nono e il decimo. Ne discende che questi 2 vanno impiegati con maggiore cautela, poiché non offrono all'interlocutore lo strumento per contestarli.</w:t>
      </w:r>
    </w:p>
    <w:p>
      <w:pPr>
        <w:spacing w:after="120" w:line="276"/>
        <w:jc w:val="both"/>
      </w:pPr>
      <w:r>
        <w:rPr>
          <w:rFonts w:ascii="Barlow Semi Condensed" w:cs="Barlow Semi Condensed" w:eastAsia="Barlow Semi Condensed" w:hAnsi="Barlow Semi Condensed"/>
          <w:sz w:val="24"/>
          <w:szCs w:val="24"/>
        </w:rPr>
        <w:t xml:space="preserve">Blocco mirato numero 2705 — L'avvertenza che ne discende, e la rivolgo a me stesso. Un grado non falsificabile è comodo per chi lo invoca. Il nono grado permette di dichiarare che l'atto non fu mai prodotto senza che nessuno possa esibire il contrario. Va perciò impiegato soltanto dopo aver esibito il quadro normativo che lo fonda, come i registri anteriori hanno fatto citando il regio decreto del 1941 e l'articolo 13 della legge del 1990, e mai per affermazione.</w:t>
      </w:r>
    </w:p>
    <w:p>
      <w:pPr>
        <w:spacing w:after="120" w:line="276"/>
        <w:jc w:val="both"/>
      </w:pPr>
      <w:r>
        <w:rPr>
          <w:rFonts w:ascii="Barlow Semi Condensed" w:cs="Barlow Semi Condensed" w:eastAsia="Barlow Semi Condensed" w:hAnsi="Barlow Semi Condensed"/>
          <w:sz w:val="24"/>
          <w:szCs w:val="24"/>
        </w:rPr>
        <w:t xml:space="preserve">Blocco mirato numero 2706 — Terza proprietà trasversale: la ripartizione per visibilità. Alcuni gradi si manifestano a chi cerca: il primo, il secondo, il terzo. Altri sono invisibili a chi non conduca una verifica specifica: l'ottavo e il decimo. L'ottavo è invisibile perché il documento c'è e appare regolare; il decimo perché la scheda catalografica contiene abbastanza da sembrare un risultato.</w:t>
      </w:r>
    </w:p>
    <w:p>
      <w:pPr>
        <w:spacing w:after="120" w:line="276"/>
        <w:jc w:val="both"/>
      </w:pPr>
      <w:r>
        <w:rPr>
          <w:rFonts w:ascii="Barlow Semi Condensed" w:cs="Barlow Semi Condensed" w:eastAsia="Barlow Semi Condensed" w:hAnsi="Barlow Semi Condensed"/>
          <w:sz w:val="24"/>
          <w:szCs w:val="24"/>
        </w:rPr>
        <w:t xml:space="preserve">Blocco mirato numero 2707 — La conseguenza, che è una prescrizione di procedura. Una ricerca che si arresti alla scheda non sa di aver fallito. Ne discende che ogni acquisizione fondata su scheda catalografica anziché su testo va dichiarata come tale, e i registri anteriori lo hanno fatto per le 2 lettere alle Nazioni Unite. La prescrizione va estesa a ogni caso futuro.</w:t>
      </w:r>
    </w:p>
    <w:p>
      <w:pPr>
        <w:spacing w:after="120" w:line="276"/>
        <w:jc w:val="both"/>
      </w:pPr>
      <w:r>
        <w:rPr>
          <w:rFonts w:ascii="Barlow Semi Condensed" w:cs="Barlow Semi Condensed" w:eastAsia="Barlow Semi Condensed" w:hAnsi="Barlow Semi Condensed"/>
          <w:sz w:val="24"/>
          <w:szCs w:val="24"/>
        </w:rPr>
        <w:t xml:space="preserve">Blocco mirato numero 2708 — Quarta proprietà: i gradi non sono esclusivi. Un medesimo perimetro può presentarne più d'uno. Il teatro australe li presenta contemporaneamente in numero di 4: primo grado per la documentazione vaticana; terzo per i fondi diplomatici italiani; nono per l'atto autorizzativo sulla licenza; decimo per i corpi delle lettere. La scala qualifica assenze singole, non perimetri.</w:t>
      </w:r>
    </w:p>
    <w:p>
      <w:pPr>
        <w:spacing w:after="120" w:line="276"/>
        <w:jc w:val="both"/>
      </w:pPr>
      <w:r>
        <w:rPr>
          <w:rFonts w:ascii="Barlow Semi Condensed" w:cs="Barlow Semi Condensed" w:eastAsia="Barlow Semi Condensed" w:hAnsi="Barlow Semi Condensed"/>
          <w:sz w:val="24"/>
          <w:szCs w:val="24"/>
        </w:rPr>
        <w:t xml:space="preserve">Blocco mirato numero 2709 — Quinta proprietà, e chiude la sezione. La scala non descrive più soltanto ciò che gli archivi non conservano. Descrive ciò che il diritto non produsse, con il nono grado, e ciò che lo strumento non raggiunge, con il decimo. Ne discende che essa ha cessato di essere una tassonomia archivistica ed è divenuta una tassonomia dei limiti della conoscenza documentale, il che ne amplia la portata e ne accresce il rischio di abuso.</w:t>
      </w:r>
    </w:p>
    <w:p>
      <w:pPr>
        <w:spacing w:after="120" w:line="276"/>
        <w:jc w:val="both"/>
      </w:pPr>
      <w:r>
        <w:rPr>
          <w:rFonts w:ascii="Barlow Semi Condensed" w:cs="Barlow Semi Condensed" w:eastAsia="Barlow Semi Condensed" w:hAnsi="Barlow Semi Condensed"/>
          <w:sz w:val="24"/>
          <w:szCs w:val="24"/>
        </w:rPr>
        <w:t xml:space="preserve">Blocco mirato numero 2710 — Il rischio, enunciato per ultimo perché è il più serio. Più la scala si raffina, più diviene agevole qualificare elegantemente un'assenza anziché scioglierla. Undici ricognizioni hanno prodotto tavole; due voci che io stesso avevo giudicato le più facili sono rimaste ineseguite finché non le ho eseguite. La scala è uno strumento per descrivere ciò che manca, non un sostituto del cercarlo.</w:t>
      </w:r>
    </w:p>
    <w:p>
      <w:pPr>
        <w:spacing w:after="120" w:line="276"/>
        <w:jc w:val="both"/>
      </w:pPr>
      <w:r>
        <w:rPr>
          <w:rFonts w:ascii="Barlow Semi Condensed" w:cs="Barlow Semi Condensed" w:eastAsia="Barlow Semi Condensed" w:hAnsi="Barlow Semi Condensed"/>
          <w:sz w:val="24"/>
          <w:szCs w:val="24"/>
        </w:rPr>
        <w:t xml:space="preserve">Blocco mirato numero 2801 — Sintesi del dato nuovo acquisito. Il presente registro ha sottoposto a prova di tenuta la scala degli Stati Zero, accresciuta nella sessione da 8 a 11 gradi senza verifica. La prova è stata condotta con 2 test — di appartenenza e di distinzione — e applicata contro i gradi anziché a loro favore. Il nono grado, atto atipico, supera entrambi i test e si conferma, con la proprietà distintiva di immunizzare il ricercatore dall'inferenza sbagliata che un archivio vuoto autorizzerebbe, e con l'avvertenza che esso non è falsificabile e va perciò impiegato soltanto esibendo il quadro normativo che lo fonda. Il decimo grado, barriera macchinica, supera entrambi i test e si conferma, con la proprietà distintiva di essere il solo grado che prescriva al ricercatore di cessare di essere ciò che è, poiché si scioglie soltanto uscendo dal metodo che lo ha incontrato. Il grado undicesimo, fatto trasferito, fallisce il primo test e viene ritirato, poiché non descrive un'assenza ma un'alterazione di cornice a fronte di un dato pienamente disponibile; esso è ricollocato nell'Indice di Contaminazione con definizione emendata quale contaminazione per trasferimento di cornice, e con la proprietà — enunciabile soltanto nella nuova sede — di resistere a ogni verifica condotta sul dato, poiché la cornice non è nel dato e gli strumenti ordinari di riscontro le sono strutturalmente ciechi. La scala emendata conta dunque 10 gradi, e il registro ne enuncia 5 proprietà trasversali mai prima formulate: la ripartizione per rimediabilità in 3 classi, con la prescrizione che le tavole siano ordinate per classe prima che per rendimento atteso e con conseguente emendazione dei 3 registri anteriori su questo punto; la ripartizione per falsificabilità, con l'avvertenza sui 2 gradi non falsificabili; la ripartizione per visibilità, con la prescrizione che ogni acquisizione fondata su scheda catalografica anziché su testo sia dichiarata come tale; la non esclusività dei gradi, il teatro australe presentandone 4 contemporaneamente; e infine il mutamento di natura della scala, divenuta tassonomia dei limiti della conoscenza documentale anziché tassonomia archivistica. Il registro si chiude con l'avvertenza che tale raffinamento accresce il rischio di qualificare elegantemente un'assenza anziché scioglierla, e che la scala è strumento per descrivere ciò che manca, non sostituto del cercarlo.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XXIII · Quarto Registro Analitico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XXIII: 3.442 parole in 9 sezioni; la più ampia è §9 Altre sezioni, con 2.880.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XXIII: 55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XXIV — Quinto Registro Analitico</w:t>
      </w:r>
    </w:p>
    <w:p>
      <w:pPr>
        <w:pStyle w:val="Heading1"/>
        <w:spacing w:after="120" w:before="240"/>
      </w:pPr>
      <w:r>
        <w:rPr>
          <w:rFonts w:ascii="Barlow Semi Condensed" w:cs="Barlow Semi Condensed" w:eastAsia="Barlow Semi Condensed" w:hAnsi="Barlow Semi Condensed"/>
          <w:sz w:val="24"/>
          <w:szCs w:val="24"/>
        </w:rPr>
        <w:t xml:space="preserve">QUINTO REGISTRO ANALITICO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Tavola Unica delle Acquisizioni Non Conseguite</w:t>
      </w:r>
    </w:p>
    <w:p>
      <w:pPr>
        <w:pStyle w:val="Heading2"/>
        <w:spacing w:after="100" w:before="200"/>
      </w:pPr>
      <w:r>
        <w:rPr>
          <w:rFonts w:ascii="Barlow Semi Condensed" w:cs="Barlow Semi Condensed" w:eastAsia="Barlow Semi Condensed" w:hAnsi="Barlow Semi Condensed"/>
          <w:sz w:val="24"/>
          <w:szCs w:val="24"/>
        </w:rPr>
        <w:t xml:space="preserve">Esecuzione della prescrizione del blocco 2703</w:t>
      </w:r>
    </w:p>
    <w:p>
      <w:pPr>
        <w:pStyle w:val="Heading2"/>
        <w:spacing w:after="100" w:before="200"/>
      </w:pPr>
      <w:r>
        <w:rPr>
          <w:rFonts w:ascii="Barlow Semi Condensed" w:cs="Barlow Semi Condensed" w:eastAsia="Barlow Semi Condensed" w:hAnsi="Barlow Semi Condensed"/>
          <w:sz w:val="24"/>
          <w:szCs w:val="24"/>
        </w:rPr>
        <w:t xml:space="preserve">Blocchi 2901-3301 — 28 voci — 19 in classe prima, 7 in seconda, 2 in terza</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QUINTO REGISTRO ANALITICO</w:t>
      </w:r>
    </w:p>
    <w:p>
      <w:pPr>
        <w:pStyle w:val="Heading2"/>
        <w:spacing w:after="100" w:before="200"/>
      </w:pPr>
      <w:r>
        <w:rPr>
          <w:rFonts w:ascii="Barlow Semi Condensed" w:cs="Barlow Semi Condensed" w:eastAsia="Barlow Semi Condensed" w:hAnsi="Barlow Semi Condensed"/>
          <w:sz w:val="24"/>
          <w:szCs w:val="24"/>
        </w:rPr>
        <w:t xml:space="preserve">Tavola Unica delle Acquisizioni Non Conseguite. Esecuzione della prescrizione del blocco 2703</w:t>
      </w:r>
    </w:p>
    <w:p>
      <w:pPr>
        <w:spacing w:after="120" w:line="276"/>
        <w:jc w:val="both"/>
      </w:pPr>
      <w:r>
        <w:rPr>
          <w:rFonts w:ascii="Barlow Semi Condensed" w:cs="Barlow Semi Condensed" w:eastAsia="Barlow Semi Condensed" w:hAnsi="Barlow Semi Condensed"/>
          <w:sz w:val="24"/>
          <w:szCs w:val="24"/>
        </w:rPr>
        <w:t xml:space="preserve">Blocco mirato numero 2901 — Oggetto. Il Quarto Registro ha prescritto, al blocco 2703, che le tavole di acquisizioni non conseguite siano ordinate per classe di rimediabilità prima che per rendimento atteso, ed ha emendato su questo punto i 3 registri anteriori. La prescrizione è stata emessa e non eseguita. Il presente registro la esegue.</w:t>
      </w:r>
    </w:p>
    <w:p>
      <w:pPr>
        <w:spacing w:after="120" w:line="276"/>
        <w:jc w:val="both"/>
      </w:pPr>
      <w:r>
        <w:rPr>
          <w:rFonts w:ascii="Barlow Semi Condensed" w:cs="Barlow Semi Condensed" w:eastAsia="Barlow Semi Condensed" w:hAnsi="Barlow Semi Condensed"/>
          <w:sz w:val="24"/>
          <w:szCs w:val="24"/>
        </w:rPr>
        <w:t xml:space="preserve">Blocco mirato numero 2902 — Ragione dell'urgenza. La diciottesima ricognizione aveva accertato che 2 voci giudicate dall'autore le più facili dell'intera serie erano rimaste ineseguite per 5 ricognizioni. Emettere una prescrizione e non applicarla nel documento successivo riprodurrebbe il vizio nella forma più netta possibile, poiché il vizio è stato diagnosticato nella medesima sessione.</w:t>
      </w:r>
    </w:p>
    <w:p>
      <w:pPr>
        <w:spacing w:after="120" w:line="276"/>
        <w:jc w:val="both"/>
      </w:pPr>
      <w:r>
        <w:rPr>
          <w:rFonts w:ascii="Barlow Semi Condensed" w:cs="Barlow Semi Condensed" w:eastAsia="Barlow Semi Condensed" w:hAnsi="Barlow Semi Condensed"/>
          <w:sz w:val="24"/>
          <w:szCs w:val="24"/>
        </w:rPr>
        <w:t xml:space="preserve">Blocco mirato numero 2903 — Che cosa il registro consolida. Le voci di tavola prodotte nella sessione da 5 ricognizioni e 4 registri: calibrazione libica, canale Aermacchi, confronto namibiano, Santa Sede e Democrazia Cristiana, fonti primarie alle Nazioni Unite; Primo, Secondo, Terzo e Quarto Registro. Le voci sono deduplicate, poiché numerose ricorrono in 3 o 4 documenti con formulazione variata.</w:t>
      </w:r>
    </w:p>
    <w:p>
      <w:pPr>
        <w:spacing w:after="120" w:line="276"/>
        <w:jc w:val="both"/>
      </w:pPr>
      <w:r>
        <w:rPr>
          <w:rFonts w:ascii="Barlow Semi Condensed" w:cs="Barlow Semi Condensed" w:eastAsia="Barlow Semi Condensed" w:hAnsi="Barlow Semi Condensed"/>
          <w:sz w:val="24"/>
          <w:szCs w:val="24"/>
        </w:rPr>
        <w:t xml:space="preserve">Blocco mirato numero 2904 — Le 3 classi, richiamate. Classe prima: rimediabili dal ricercatore — basta andare, o lavorare di più con lo strumento disponibile. Classe seconda: rimediabili soltanto da terzi — occorre che qualcuno apra, desecreti o consenta. Classe terza: non rimediabili — non vi è nulla da rimediare, o l'ostacolo è normativo e indipendente da qualunque volontà attuale.</w:t>
      </w:r>
    </w:p>
    <w:p>
      <w:pPr>
        <w:spacing w:after="120" w:line="276"/>
        <w:jc w:val="both"/>
      </w:pPr>
      <w:r>
        <w:rPr>
          <w:rFonts w:ascii="Barlow Semi Condensed" w:cs="Barlow Semi Condensed" w:eastAsia="Barlow Semi Condensed" w:hAnsi="Barlow Semi Condensed"/>
          <w:sz w:val="24"/>
          <w:szCs w:val="24"/>
        </w:rPr>
        <w:t xml:space="preserve">Blocco mirato numero 2905 — Il dato quantitativo, anticipato perché è esso il risultato.\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Le voci deduplicate sono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28\</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Di queste,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19 appartengono alla classe prima, 7 alla classe seconda, 2 alla classe terza.</w:t>
      </w:r>
    </w:p>
    <w:p>
      <w:pPr>
        <w:spacing w:after="120" w:line="276"/>
        <w:jc w:val="both"/>
      </w:pPr>
      <w:r>
        <w:rPr>
          <w:rFonts w:ascii="Barlow Semi Condensed" w:cs="Barlow Semi Condensed" w:eastAsia="Barlow Semi Condensed" w:hAnsi="Barlow Semi Condensed"/>
          <w:sz w:val="24"/>
          <w:szCs w:val="24"/>
        </w:rPr>
        <w:t xml:space="preserve">Blocco mirato numero 2906 — La lettura del dato, ed è la sola che il registro proponga. Ventisette voci su 28 sono in principio conseguibili, e 19 lo sono per iniziativa del solo ricercatore. Ne discende che l'ostacolo prevalente dell'intera sessione non è il segreto né la norma: è che nessuno sia andato.</w:t>
      </w:r>
    </w:p>
    <w:p>
      <w:pPr>
        <w:spacing w:after="120" w:line="276"/>
        <w:jc w:val="both"/>
      </w:pPr>
      <w:r>
        <w:rPr>
          <w:rFonts w:ascii="Barlow Semi Condensed" w:cs="Barlow Semi Condensed" w:eastAsia="Barlow Semi Condensed" w:hAnsi="Barlow Semi Condensed"/>
          <w:sz w:val="24"/>
          <w:szCs w:val="24"/>
        </w:rPr>
        <w:t xml:space="preserve">Blocco mirato numero 2907 — Per ciascuna voce si indicano 4 elementi. Il grado secondo la scala emendata a 10 voci; la sede; la condizione di chiusura; e il rendimento atteso, che ordina all'interno della classe e non fra le classi.</w:t>
      </w:r>
    </w:p>
    <w:p>
      <w:pPr>
        <w:spacing w:after="120" w:line="276"/>
        <w:jc w:val="both"/>
      </w:pPr>
      <w:r>
        <w:rPr>
          <w:rFonts w:ascii="Barlow Semi Condensed" w:cs="Barlow Semi Condensed" w:eastAsia="Barlow Semi Condensed" w:hAnsi="Barlow Semi Condensed"/>
          <w:sz w:val="24"/>
          <w:szCs w:val="24"/>
        </w:rPr>
        <w:t xml:space="preserve">Blocco mirato numero 2908 — Numerazione dei blocchi. Riprende dal 2901, il Quarto Registro essendosi chiuso al 2801.</w:t>
      </w:r>
    </w:p>
    <w:p>
      <w:pPr>
        <w:pStyle w:val="Heading2"/>
        <w:spacing w:after="100" w:before="200"/>
      </w:pPr>
      <w:r>
        <w:rPr>
          <w:rFonts w:ascii="Barlow Semi Condensed" w:cs="Barlow Semi Condensed" w:eastAsia="Barlow Semi Condensed" w:hAnsi="Barlow Semi Condensed"/>
          <w:sz w:val="24"/>
          <w:szCs w:val="24"/>
        </w:rPr>
        <w:t xml:space="preserve">CLASSE PRIMA — RIMEDIABILI DAL RICERCATORE</w:t>
      </w:r>
    </w:p>
    <w:p>
      <w:pPr>
        <w:spacing w:after="120" w:line="276"/>
        <w:jc w:val="both"/>
      </w:pPr>
      <w:r>
        <w:rPr>
          <w:rFonts w:ascii="Barlow Semi Condensed" w:cs="Barlow Semi Condensed" w:eastAsia="Barlow Semi Condensed" w:hAnsi="Barlow Semi Condensed"/>
          <w:sz w:val="24"/>
          <w:szCs w:val="24"/>
        </w:rPr>
        <w:t xml:space="preserve">Blocco mirato numero 3001 — Voce 1. Lo spoglio delle serie Affari Politici dell'Archivio Storico Diplomatico per i 6 perimetri del ministero Moro, 1969-1974, e per la serie Sudafrica 1969-1976. Grado terzo, deposito inesplorato. Sede: l'archivio, previa richiesta dell'elenco dei faldoni. Condizione: consultazione in sede, con verifica preventiva di disponibilità per la documentazione dal 1949. Rendimento: massimo della classe. È la sola operazione che trasformi il silenzio presunto dei 6 perimetri in esito accertato.</w:t>
      </w:r>
    </w:p>
    <w:p>
      <w:pPr>
        <w:spacing w:after="120" w:line="276"/>
        <w:jc w:val="both"/>
      </w:pPr>
      <w:r>
        <w:rPr>
          <w:rFonts w:ascii="Barlow Semi Condensed" w:cs="Barlow Semi Condensed" w:eastAsia="Barlow Semi Condensed" w:hAnsi="Barlow Semi Condensed"/>
          <w:sz w:val="24"/>
          <w:szCs w:val="24"/>
        </w:rPr>
        <w:t xml:space="preserve">Blocco mirato numero 3002 — Voce 2. La verifica dei canali paralleli alla Farnesina presso i ministeri competenti per materia, per ciascun perimetro. Grado terzo. Sede: archivi dei ministeri competenti. Condizione: individuazione del ministero per materia. Rendimento: altissimo, e la voce è nuova, nata dal precedente di Osimo e mai cercata da alcuna ricognizione anteriore.</w:t>
      </w:r>
    </w:p>
    <w:p>
      <w:pPr>
        <w:spacing w:after="120" w:line="276"/>
        <w:jc w:val="both"/>
      </w:pPr>
      <w:r>
        <w:rPr>
          <w:rFonts w:ascii="Barlow Semi Condensed" w:cs="Barlow Semi Condensed" w:eastAsia="Barlow Semi Condensed" w:hAnsi="Barlow Semi Condensed"/>
          <w:sz w:val="24"/>
          <w:szCs w:val="24"/>
        </w:rPr>
        <w:t xml:space="preserve">Blocco mirato numero 3003 — Voce 3. Lo spoglio integrale del Fondo Moro oltre la busta 139, con verifica diretta della struttura inventariale. Grado terzo. Sede: Archivio Centrale dello Stato e Archivio storico del Senato. Condizione: consultazione. Rendimento: alto, il fondo constando di 218 buste con inventario analitico e parziale digitalizzazione, e l'avvertenza sulla decorrenza da novembre 1974 essendo risultata inesatta.</w:t>
      </w:r>
    </w:p>
    <w:p>
      <w:pPr>
        <w:spacing w:after="120" w:line="276"/>
        <w:jc w:val="both"/>
      </w:pPr>
      <w:r>
        <w:rPr>
          <w:rFonts w:ascii="Barlow Semi Condensed" w:cs="Barlow Semi Condensed" w:eastAsia="Barlow Semi Condensed" w:hAnsi="Barlow Semi Condensed"/>
          <w:sz w:val="24"/>
          <w:szCs w:val="24"/>
        </w:rPr>
        <w:t xml:space="preserve">Blocco mirato numero 3004 — Voce 4. I Documenti Diplomatici Italiani, Settima serie, per il periodo 1969-1976. Grado terzo. Sede: la collana. Condizione: verifica della copertura effettiva, l'ultimo volume pubblicato dell'undicesima serie fermandosi al 1951-1952. Rendimento: alto.</w:t>
      </w:r>
    </w:p>
    <w:p>
      <w:pPr>
        <w:spacing w:after="120" w:line="276"/>
        <w:jc w:val="both"/>
      </w:pPr>
      <w:r>
        <w:rPr>
          <w:rFonts w:ascii="Barlow Semi Condensed" w:cs="Barlow Semi Condensed" w:eastAsia="Barlow Semi Condensed" w:hAnsi="Barlow Semi Condensed"/>
          <w:sz w:val="24"/>
          <w:szCs w:val="24"/>
        </w:rPr>
        <w:t xml:space="preserve">Blocco mirato numero 3005 — Voce 5. Il voto italiano sulla risoluzione 2775 della ventiseiesima sessione, del 29 novembre 1971, intitolata Arms embargo, e sulla serie apartheid della ventinovesima sessione. Grado secondo, limite di strumento: le schede esistono e la lista per Paese è troncata nelle risorse consultate. Sede: scheda di voting data del singolo documento. Condizione: meramente tecnica. Rendimento: alto, essendo la risoluzione la più direttamente pertinente al perimetro dell'intera serie.</w:t>
      </w:r>
    </w:p>
    <w:p>
      <w:pPr>
        <w:spacing w:after="120" w:line="276"/>
        <w:jc w:val="both"/>
      </w:pPr>
      <w:r>
        <w:rPr>
          <w:rFonts w:ascii="Barlow Semi Condensed" w:cs="Barlow Semi Condensed" w:eastAsia="Barlow Semi Condensed" w:hAnsi="Barlow Semi Condensed"/>
          <w:sz w:val="24"/>
          <w:szCs w:val="24"/>
        </w:rPr>
        <w:t xml:space="preserve">Blocco mirato numero 3006 — Voce 6. Le dichiarazioni esplicative di voto italiane e tedesche, in particolare sulla seduta del dicembre 1976. Grado secondo. Sede: verbali plenari serie A/PV, e segnatamente A/31/PV.105. Condizione: tecnica. Rendimento: alto, poiché sono l'unico luogo in cui le intenzioni di un voto sono documentate anziché inferite, e da esse dipende la ragione dell'inversione accertata al blocco 601.</w:t>
      </w:r>
    </w:p>
    <w:p>
      <w:pPr>
        <w:spacing w:after="120" w:line="276"/>
        <w:jc w:val="both"/>
      </w:pPr>
      <w:r>
        <w:rPr>
          <w:rFonts w:ascii="Barlow Semi Condensed" w:cs="Barlow Semi Condensed" w:eastAsia="Barlow Semi Condensed" w:hAnsi="Barlow Semi Condensed"/>
          <w:sz w:val="24"/>
          <w:szCs w:val="24"/>
        </w:rPr>
        <w:t xml:space="preserve">Blocco mirato numero 3007 — Voce 7. I voti italiani residui sulle risoluzioni namibiane\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33/182, 34/92, 35/227, 36/121, 37/233, 40/97 e 43/26.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Grado secondo. Sede:\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schede di voting data.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Condizione: tecnica. Rendimento: medio-alto.</w:t>
      </w:r>
    </w:p>
    <w:p>
      <w:pPr>
        <w:spacing w:after="120" w:line="276"/>
        <w:jc w:val="both"/>
      </w:pPr>
      <w:r>
        <w:rPr>
          <w:rFonts w:ascii="Barlow Semi Condensed" w:cs="Barlow Semi Condensed" w:eastAsia="Barlow Semi Condensed" w:hAnsi="Barlow Semi Condensed"/>
          <w:sz w:val="24"/>
          <w:szCs w:val="24"/>
        </w:rPr>
        <w:t xml:space="preserve">Blocco mirato numero 3008 — Voce 8. L'elenco dei co-proponenti dei progetti di risoluzione, per verificare se l'Italia sia mai stata promotrice e non soltanto votante. Grado secondo. Sede: progetti di risoluzione della serie A con suffisso L. Condizione: tecnica. Rendimento: medio-alto, poiché un esito negativo confermato descriverebbe con esattezza la posizione italiana: presente al voto, assente all'iniziativa.</w:t>
      </w:r>
    </w:p>
    <w:p>
      <w:pPr>
        <w:spacing w:after="120" w:line="276"/>
        <w:jc w:val="both"/>
      </w:pPr>
      <w:r>
        <w:rPr>
          <w:rFonts w:ascii="Barlow Semi Condensed" w:cs="Barlow Semi Condensed" w:eastAsia="Barlow Semi Condensed" w:hAnsi="Barlow Semi Condensed"/>
          <w:sz w:val="24"/>
          <w:szCs w:val="24"/>
        </w:rPr>
        <w:t xml:space="preserve">Blocco mirato numero 3009 — Voce 9. Gli atti dei congressi nazionali democristiani e l'archivio dell'Istituto Luigi Sturzo, per accertare una posizione ufficiale del partito distinta dall'azione parlamentare. Grado terzo. Sede: l'istituto. Condizione: consultazione. Rendimento: medio-alto, l'esito essendo attualmente negativo per mancato reperimento e non per impossibilità.</w:t>
      </w:r>
    </w:p>
    <w:p>
      <w:pPr>
        <w:spacing w:after="120" w:line="276"/>
        <w:jc w:val="both"/>
      </w:pPr>
      <w:r>
        <w:rPr>
          <w:rFonts w:ascii="Barlow Semi Condensed" w:cs="Barlow Semi Condensed" w:eastAsia="Barlow Semi Condensed" w:hAnsi="Barlow Semi Condensed"/>
          <w:sz w:val="24"/>
          <w:szCs w:val="24"/>
        </w:rPr>
        <w:t xml:space="preserve">Blocco mirato numero 3010 — Voce 10. L'archivio della Hanns-Seidel-Stiftung a Monaco, per il contenuto puntuale delle attività in Namibia nel biennio 1978-1980. Grado terzo. Sede: l'archivio della fondazione e le sue relazioni annuali dell'epoca. Condizione: consultazione. Rendimento: medio-alto, la presenza dal 1978 essendo accertata e il contenuto no.</w:t>
      </w:r>
    </w:p>
    <w:p>
      <w:pPr>
        <w:spacing w:after="120" w:line="276"/>
        <w:jc w:val="both"/>
      </w:pPr>
      <w:r>
        <w:rPr>
          <w:rFonts w:ascii="Barlow Semi Condensed" w:cs="Barlow Semi Condensed" w:eastAsia="Barlow Semi Condensed" w:hAnsi="Barlow Semi Condensed"/>
          <w:sz w:val="24"/>
          <w:szCs w:val="24"/>
        </w:rPr>
        <w:t xml:space="preserve">Blocco mirato numero 3011 — Voce 11. L'Archiv für Christlich-Soziale Politik a Monaco, per la cronologia analitica e datata dei viaggi in Sudafrica e Namibia. Grado terzo. Sede: l'archivio, che custodisce oltre 300 metri lineari di lascito e registra più di 600 viaggi esteri in 63 Stati fra il 1952 e il 1988. Condizione: consultazione. Rendimento: medio-alto, poiché trasformerebbe in fatti datati ciò che è oggi attribuzione dubitativa di pubblicistica.</w:t>
      </w:r>
    </w:p>
    <w:p>
      <w:pPr>
        <w:spacing w:after="120" w:line="276"/>
        <w:jc w:val="both"/>
      </w:pPr>
      <w:r>
        <w:rPr>
          <w:rFonts w:ascii="Barlow Semi Condensed" w:cs="Barlow Semi Condensed" w:eastAsia="Barlow Semi Condensed" w:hAnsi="Barlow Semi Condensed"/>
          <w:sz w:val="24"/>
          <w:szCs w:val="24"/>
        </w:rPr>
        <w:t xml:space="preserve">Blocco mirato numero 3012 — Voce 12. I resoconti stenografici del Bundestag, ottava legislatura, per verificare l'affermazione secondo cui nel 1977 sarebbe stato respinto il principio un uomo un voto per gli Stati dell'Africa australe. Grado settimo, allegazione senza base, in attesa di riscontro. Sede: i resoconti. Condizione: tecnica. Rendimento: medio.</w:t>
      </w:r>
    </w:p>
    <w:p>
      <w:pPr>
        <w:spacing w:after="120" w:line="276"/>
        <w:jc w:val="both"/>
      </w:pPr>
      <w:r>
        <w:rPr>
          <w:rFonts w:ascii="Barlow Semi Condensed" w:cs="Barlow Semi Condensed" w:eastAsia="Barlow Semi Condensed" w:hAnsi="Barlow Semi Condensed"/>
          <w:sz w:val="24"/>
          <w:szCs w:val="24"/>
        </w:rPr>
        <w:t xml:space="preserve">Blocco mirato numero 3013 — Voce 13. I resoconti stenografici della quinta e sesta legislatura italiana, per le dichiarazioni di Moro sulla questione libica e per interrogazioni e interpellanze anteriori al 5 luglio 1976. Grado secondo. Sede: volumi cartacei degli Atti, non digitalizzati in forma indicizzata. Condizione: spoglio manuale. Rendimento: medio.</w:t>
      </w:r>
    </w:p>
    <w:p>
      <w:pPr>
        <w:spacing w:after="120" w:line="276"/>
        <w:jc w:val="both"/>
      </w:pPr>
      <w:r>
        <w:rPr>
          <w:rFonts w:ascii="Barlow Semi Condensed" w:cs="Barlow Semi Condensed" w:eastAsia="Barlow Semi Condensed" w:hAnsi="Barlow Semi Condensed"/>
          <w:sz w:val="24"/>
          <w:szCs w:val="24"/>
        </w:rPr>
        <w:t xml:space="preserve">Blocco mirato numero 3014 — Voce 14. La Torre do Tombo, fondo della polizia politica portoghese, di cui metà risulta mai consultata. Grado terzo. Sede: l'archivio. Condizione: consultazione. Rendimento: medio, per il perimetro Aginter e per l'insediamento dell'Opus Dei nel 1961, 1963 e 1964.</w:t>
      </w:r>
    </w:p>
    <w:p>
      <w:pPr>
        <w:spacing w:after="120" w:line="276"/>
        <w:jc w:val="both"/>
      </w:pPr>
      <w:r>
        <w:rPr>
          <w:rFonts w:ascii="Barlow Semi Condensed" w:cs="Barlow Semi Condensed" w:eastAsia="Barlow Semi Condensed" w:hAnsi="Barlow Semi Condensed"/>
          <w:sz w:val="24"/>
          <w:szCs w:val="24"/>
        </w:rPr>
        <w:t xml:space="preserve">Blocco mirato numero 3015 — Voce 15. I National Archives britannici, per accertare se e quando la Rolls-Royce o il governo britannico abbiano autorizzato o negato la produzione sudafricana su licenza del Viper. Grado terzo. Sede: i National Archives, e gli archivi Bristol Siddeley e Rolls-Royce Heritage Trust. Condizione: individuazione dei fascicoli. Rendimento: medio, poiché chiuderebbe la questione della responsabilità di terzi nella catena del blocco 401.</w:t>
      </w:r>
    </w:p>
    <w:p>
      <w:pPr>
        <w:spacing w:after="120" w:line="276"/>
        <w:jc w:val="both"/>
      </w:pPr>
      <w:r>
        <w:rPr>
          <w:rFonts w:ascii="Barlow Semi Condensed" w:cs="Barlow Semi Condensed" w:eastAsia="Barlow Semi Condensed" w:hAnsi="Barlow Semi Condensed"/>
          <w:sz w:val="24"/>
          <w:szCs w:val="24"/>
        </w:rPr>
        <w:t xml:space="preserve">Blocco mirato numero 3016 — Voce 16. La banca dati di Stoccolma sui trasferimenti di armamenti, i bilanci del gruppo Leonardo e gli atti della corporazione armamenti sudafricana, per la quantificazione in valore dei contratti dal 2010 al 2026. Grado terzo. Sede: le 3 fonti. Condizione: accesso, agevole per le prime 2. Rendimento: medio, poiché sostituirebbe fonti aziendali promozionali con dati verificabili.</w:t>
      </w:r>
    </w:p>
    <w:p>
      <w:pPr>
        <w:spacing w:after="120" w:line="276"/>
        <w:jc w:val="both"/>
      </w:pPr>
      <w:r>
        <w:rPr>
          <w:rFonts w:ascii="Barlow Semi Condensed" w:cs="Barlow Semi Condensed" w:eastAsia="Barlow Semi Condensed" w:hAnsi="Barlow Semi Condensed"/>
          <w:sz w:val="24"/>
          <w:szCs w:val="24"/>
        </w:rPr>
        <w:t xml:space="preserve">Blocco mirato numero 3017 — Voce 17. L'archivio comboniano di Roma e l'annata 1974-1976 della rivista dell'ordine, per l'espulsione dal Mozambico del 13 aprile 1974 e per la divergenza fra 9, 11 e 13 religiosi. Grado terzo. Sede: l'archivio dell'ordine. Condizione: consultazione. Rendimento: medio.</w:t>
      </w:r>
    </w:p>
    <w:p>
      <w:pPr>
        <w:spacing w:after="120" w:line="276"/>
        <w:jc w:val="both"/>
      </w:pPr>
      <w:r>
        <w:rPr>
          <w:rFonts w:ascii="Barlow Semi Condensed" w:cs="Barlow Semi Condensed" w:eastAsia="Barlow Semi Condensed" w:hAnsi="Barlow Semi Condensed"/>
          <w:sz w:val="24"/>
          <w:szCs w:val="24"/>
        </w:rPr>
        <w:t xml:space="preserve">Blocco mirato numero 3018 — Voce 18. Gli archivi del comitato degli italiani all'estero di Johannesburg e dei consolati, per accertare se la comunità italiana in Sudafrica abbia assunto posizioni sull'apartheid. Grado terzo. Sede: i 2 archivi. Condizione: consultazione. Rendimento: medio-basso, l'esito attuale essendo negativo per mancato reperimento.</w:t>
      </w:r>
    </w:p>
    <w:p>
      <w:pPr>
        <w:spacing w:after="120" w:line="276"/>
        <w:jc w:val="both"/>
      </w:pPr>
      <w:r>
        <w:rPr>
          <w:rFonts w:ascii="Barlow Semi Condensed" w:cs="Barlow Semi Condensed" w:eastAsia="Barlow Semi Condensed" w:hAnsi="Barlow Semi Condensed"/>
          <w:sz w:val="24"/>
          <w:szCs w:val="24"/>
        </w:rPr>
        <w:t xml:space="preserve">Blocco mirato numero 3019 — Voce 19. I registri del cimitero militare di Zonderwater e dell'associazione del campo, per la divergenza fra 312 e 279-280 caduti. Grado terzo. Sede: i registri. Condizione: consultazione. Rendimento: basso quanto all'analisi, ma la voce va conservata perché la divergenza tocca un dato già iscritto nel corpus.</w:t>
      </w:r>
    </w:p>
    <w:p>
      <w:pPr>
        <w:pStyle w:val="Heading2"/>
        <w:spacing w:after="100" w:before="200"/>
      </w:pPr>
      <w:r>
        <w:rPr>
          <w:rFonts w:ascii="Barlow Semi Condensed" w:cs="Barlow Semi Condensed" w:eastAsia="Barlow Semi Condensed" w:hAnsi="Barlow Semi Condensed"/>
          <w:sz w:val="24"/>
          <w:szCs w:val="24"/>
        </w:rPr>
        <w:t xml:space="preserve">CLASSE SECONDA — RIMEDIABILI SOLTANTO DA TERZI</w:t>
      </w:r>
    </w:p>
    <w:p>
      <w:pPr>
        <w:spacing w:after="120" w:line="276"/>
        <w:jc w:val="both"/>
      </w:pPr>
      <w:r>
        <w:rPr>
          <w:rFonts w:ascii="Barlow Semi Condensed" w:cs="Barlow Semi Condensed" w:eastAsia="Barlow Semi Condensed" w:hAnsi="Barlow Semi Condensed"/>
          <w:sz w:val="24"/>
          <w:szCs w:val="24"/>
        </w:rPr>
        <w:t xml:space="preserve">Blocco mirato numero 3101 — Voce 20. Il verbale S/AC.20/SR.25 con la dichiarazione di Abdul Minty sull'Italia. Grado primo, impossibilità normativa: appartiene alla serie dei verbali di riunioni chiuse a distribuzione ristretta. Sede: atti del Comitato istituito dalla risoluzione 421 e collezione S/AC.20/SR presso la Dag Hammarskjöld Library. Condizione: accesso ai documenti a distribuzione ristretta. Rendimento: massimo della classe e dell'intera tavola quanto al valore analitico, poiché da esso dipende la comprensione dell'accusa cui l'Italia rispose formalmente nel giugno 1980. Della vicenda conosciamo la difesa e ignoriamo l'accusa.</w:t>
      </w:r>
    </w:p>
    <w:p>
      <w:pPr>
        <w:spacing w:after="120" w:line="276"/>
        <w:jc w:val="both"/>
      </w:pPr>
      <w:r>
        <w:rPr>
          <w:rFonts w:ascii="Barlow Semi Condensed" w:cs="Barlow Semi Condensed" w:eastAsia="Barlow Semi Condensed" w:hAnsi="Barlow Semi Condensed"/>
          <w:sz w:val="24"/>
          <w:szCs w:val="24"/>
        </w:rPr>
        <w:t xml:space="preserve">Blocco mirato numero 3102 — Voce 21. I corpi testuali delle lettere S/9640 e S/AC.20/27. Grado decimo, barriera macchinica: i documenti sono pubblici, catalogati, indirizzabili, e il server ha respinto il recupero automatizzato. Sede: lo United Nations Digital Library System. Condizione: accesso manuale o consultazione in sede — cioè uscita dal metodo che ha incontrato l'ostacolo. Rendimento: altissimo a costo nullo per chi possa andare. È la voce che meglio illustra la classificazione: non rimediabile dal ricercatore automatico, rimediabile in trenta secondi da un lettore umano in biblioteca.</w:t>
      </w:r>
    </w:p>
    <w:p>
      <w:pPr>
        <w:spacing w:after="120" w:line="276"/>
        <w:jc w:val="both"/>
      </w:pPr>
      <w:r>
        <w:rPr>
          <w:rFonts w:ascii="Barlow Semi Condensed" w:cs="Barlow Semi Condensed" w:eastAsia="Barlow Semi Condensed" w:hAnsi="Barlow Semi Condensed"/>
          <w:sz w:val="24"/>
          <w:szCs w:val="24"/>
        </w:rPr>
        <w:t xml:space="preserve">Blocco mirato numero 3103 — Voce 22. La documentazione dell'apparato competente italiano sulle autorizzazioni relative alla licenza Aermacchi. Grado primo: la materia era coperta dal segreto di Stato per regio decreto 11 luglio 1941 numero 1161. Sede: Archivio storico dell'Istituto per la Ricostruzione Industriale presso l'Archivio Centrale dello Stato, archivi della Difesa e dello Stato Maggiore dell'Aeronautica, ministeri economici. Condizione: declassificazione. Rendimento: alto, con l'avvertenza del blocco 504 — presso quelle sedi potrebbe non esservi nulla, e l'assenza non proverebbe l'inazione.</w:t>
      </w:r>
    </w:p>
    <w:p>
      <w:pPr>
        <w:spacing w:after="120" w:line="276"/>
        <w:jc w:val="both"/>
      </w:pPr>
      <w:r>
        <w:rPr>
          <w:rFonts w:ascii="Barlow Semi Condensed" w:cs="Barlow Semi Condensed" w:eastAsia="Barlow Semi Condensed" w:hAnsi="Barlow Semi Condensed"/>
          <w:sz w:val="24"/>
          <w:szCs w:val="24"/>
        </w:rPr>
        <w:t xml:space="preserve">Blocco mirato numero 3104 — Voce 23. Il testo dell'accordo di licenza fra Aermacchi e la controparte sudafricana del 1964, con termini finanziari, geografici, clausole di riesportazione e di rinnovo. Grado terzo con condizione di consenso privato. Sede: archivio storico di Finmeccanica-Leonardo e archivio Aermacchi; controparti negli archivi Atlas-Denel e Armscor. Condizione: accessibilità dell'archivio aziendale, non garantita. Rendimento: alto, poiché in assenza del testo ogni affermazione sui termini della licenza è inferenza.</w:t>
      </w:r>
    </w:p>
    <w:p>
      <w:pPr>
        <w:spacing w:after="120" w:line="276"/>
        <w:jc w:val="both"/>
      </w:pPr>
      <w:r>
        <w:rPr>
          <w:rFonts w:ascii="Barlow Semi Condensed" w:cs="Barlow Semi Condensed" w:eastAsia="Barlow Semi Condensed" w:hAnsi="Barlow Semi Condensed"/>
          <w:sz w:val="24"/>
          <w:szCs w:val="24"/>
        </w:rPr>
        <w:t xml:space="preserve">Blocco mirato numero 3105 — Voce 24. Il rapporto integrale del panel Mojapelo sulla nave Lady R. Grado primo: classificato. Sede: Presidenza sudafricana, o eventuale contenzioso presso l'Alta Corte. Condizione: desecretazione. Rendimento: alto, poiché soltanto esso chiuderebbe in via definitiva una questione probatoria oggi aperta e su cui il registro ha dovuto mantenere la qualificazione di allegazione non provata.</w:t>
      </w:r>
    </w:p>
    <w:p>
      <w:pPr>
        <w:spacing w:after="120" w:line="276"/>
        <w:jc w:val="both"/>
      </w:pPr>
      <w:r>
        <w:rPr>
          <w:rFonts w:ascii="Barlow Semi Condensed" w:cs="Barlow Semi Condensed" w:eastAsia="Barlow Semi Condensed" w:hAnsi="Barlow Semi Condensed"/>
          <w:sz w:val="24"/>
          <w:szCs w:val="24"/>
        </w:rPr>
        <w:t xml:space="preserve">Blocco mirato numero 3106 — Voce 25. La documentazione sui rapporti fra il servizio informativo federale tedesco e i servizi sudafricani. Grado primo. Sede: archivio storico del servizio e Bundesarchiv sul versante tedesco; atti della Commissione per la verità e la riconciliazione e archivi nazionali di Pretoria sul versante sudafricano. Condizione: declassificazione, allo stato improbabile. Rendimento: basso non per irrilevanza ma per ampiezza del segreto vigente.</w:t>
      </w:r>
    </w:p>
    <w:p>
      <w:pPr>
        <w:spacing w:after="120" w:line="276"/>
        <w:jc w:val="both"/>
      </w:pPr>
      <w:r>
        <w:rPr>
          <w:rFonts w:ascii="Barlow Semi Condensed" w:cs="Barlow Semi Condensed" w:eastAsia="Barlow Semi Condensed" w:hAnsi="Barlow Semi Condensed"/>
          <w:sz w:val="24"/>
          <w:szCs w:val="24"/>
        </w:rPr>
        <w:t xml:space="preserve">Blocco mirato numero 3107 — Voce 26. Gli archivi militari cubani, per la divergenza sull'entità delle truppe in Angola: oltre 25.000 contro oltre 18.000 a fine 1975, e fra 55.000 e 60.000 nel 1988. Grado primo. Sede: gli archivi cubani. Condizione: accessibilità, non garantita. Rendimento: medio-basso, la divergenza essendo riportabile senza risoluzione.</w:t>
      </w:r>
    </w:p>
    <w:p>
      <w:pPr>
        <w:pStyle w:val="Heading2"/>
        <w:spacing w:after="100" w:before="200"/>
      </w:pPr>
      <w:r>
        <w:rPr>
          <w:rFonts w:ascii="Barlow Semi Condensed" w:cs="Barlow Semi Condensed" w:eastAsia="Barlow Semi Condensed" w:hAnsi="Barlow Semi Condensed"/>
          <w:sz w:val="24"/>
          <w:szCs w:val="24"/>
        </w:rPr>
        <w:t xml:space="preserve">CLASSE TERZA — NON RIMEDIABILI</w:t>
      </w:r>
    </w:p>
    <w:p>
      <w:pPr>
        <w:spacing w:after="120" w:line="276"/>
        <w:jc w:val="both"/>
      </w:pPr>
      <w:r>
        <w:rPr>
          <w:rFonts w:ascii="Barlow Semi Condensed" w:cs="Barlow Semi Condensed" w:eastAsia="Barlow Semi Condensed" w:hAnsi="Barlow Semi Condensed"/>
          <w:sz w:val="24"/>
          <w:szCs w:val="24"/>
        </w:rPr>
        <w:t xml:space="preserve">Blocco mirato numero 3201 — Voce 27. La documentazione vaticana sul rango della rappresentanza in Sudafrica e sulle ragioni del mancato scambio di ambasciatori per 72 anni. Grado primo, impossibilità istituzionale nella sua forma pura. Sede: Archivio Apostolico Vaticano. Condizione: l'apertura dei pontificati di Giovanni XXIII, Paolo VI e Giovanni Paolo II, l'archivio essendo consultabile fino all'ottobre 1958.</w:t>
      </w:r>
    </w:p>
    <w:p>
      <w:pPr>
        <w:spacing w:after="120" w:line="276"/>
        <w:jc w:val="both"/>
      </w:pPr>
      <w:r>
        <w:rPr>
          <w:rFonts w:ascii="Barlow Semi Condensed" w:cs="Barlow Semi Condensed" w:eastAsia="Barlow Semi Condensed" w:hAnsi="Barlow Semi Condensed"/>
          <w:sz w:val="24"/>
          <w:szCs w:val="24"/>
        </w:rPr>
        <w:t xml:space="preserve">Blocco mirato numero 3202 — Perché la voce appartiene alla classe terza e non alla seconda. La condizione non dipende da alcuna volontà attuale né da alcuna richiesta che il ricercatore possa formulare: dipende da una decisione pontificia futura sulla scansione dei pontificati. Nessun contenzioso, nessuna istanza, nessuna desecretazione la anticipa.</w:t>
      </w:r>
    </w:p>
    <w:p>
      <w:pPr>
        <w:spacing w:after="120" w:line="276"/>
        <w:jc w:val="both"/>
      </w:pPr>
      <w:r>
        <w:rPr>
          <w:rFonts w:ascii="Barlow Semi Condensed" w:cs="Barlow Semi Condensed" w:eastAsia="Barlow Semi Condensed" w:hAnsi="Barlow Semi Condensed"/>
          <w:sz w:val="24"/>
          <w:szCs w:val="24"/>
        </w:rPr>
        <w:t xml:space="preserve">Blocco mirato numero 3203 — La conseguenza per il corpus. Ogni affermazione sulle intenzioni della Santa Sede quanto al mancato riconoscimento del regime resta inferenza e non accertamento, e tale resterà. I 3 elementi che rendono ragionevole l'inferenza — apertura delle relazioni immediatamente dopo la fine del regime, condanna magisteriale costante, esclusione deliberata del Sudafrica dal viaggio del settembre 1988 — vanno enunciati sempre come inferenza convergente e mai come prova.</w:t>
      </w:r>
    </w:p>
    <w:p>
      <w:pPr>
        <w:spacing w:after="120" w:line="276"/>
        <w:jc w:val="both"/>
      </w:pPr>
      <w:r>
        <w:rPr>
          <w:rFonts w:ascii="Barlow Semi Condensed" w:cs="Barlow Semi Condensed" w:eastAsia="Barlow Semi Condensed" w:hAnsi="Barlow Semi Condensed"/>
          <w:sz w:val="24"/>
          <w:szCs w:val="24"/>
        </w:rPr>
        <w:t xml:space="preserve">Blocco mirato numero 3204 — Voce 28. L'atto autorizzativo italiano sulla licenza Aermacchi.\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Grado nono, atto atipico. Sede: nessuna. Condizione: nessuna.</w:t>
      </w:r>
    </w:p>
    <w:p>
      <w:pPr>
        <w:spacing w:after="120" w:line="276"/>
        <w:jc w:val="both"/>
      </w:pPr>
      <w:r>
        <w:rPr>
          <w:rFonts w:ascii="Barlow Semi Condensed" w:cs="Barlow Semi Condensed" w:eastAsia="Barlow Semi Condensed" w:hAnsi="Barlow Semi Condensed"/>
          <w:sz w:val="24"/>
          <w:szCs w:val="24"/>
        </w:rPr>
        <w:t xml:space="preserve">Blocco mirato numero 3205 — La formulazione, che va data con precisione perché è la sola voce della tavola a non essere una voce. L'atto non è irreperibile: non esiste e non è mai esistito, poiché fino all'articolo 13 della legge 185 del 9 luglio 1990 la cessione all'estero di licenze di produzione di armamenti non era fattispecie autorizzativa tipizzata.</w:t>
      </w:r>
    </w:p>
    <w:p>
      <w:pPr>
        <w:spacing w:after="120" w:line="276"/>
        <w:jc w:val="both"/>
      </w:pPr>
      <w:r>
        <w:rPr>
          <w:rFonts w:ascii="Barlow Semi Condensed" w:cs="Barlow Semi Condensed" w:eastAsia="Barlow Semi Condensed" w:hAnsi="Barlow Semi Condensed"/>
          <w:sz w:val="24"/>
          <w:szCs w:val="24"/>
        </w:rPr>
        <w:t xml:space="preserve">Blocco mirato numero 3206 — Perché la voce va conservata pur essendo vuota. Essa occupa il posto che altrimenti un ricercatore futuro tenterebbe di riempire. Iscriverla nella tavola con condizione nessuna impedisce che lo spoglio degli archivi ministeriali, voce 22, venga letto quale prova di inazione ove risultasse infruttuoso. La voce vuota è un segnale di divieto, non una lacuna.</w:t>
      </w:r>
    </w:p>
    <w:p>
      <w:pPr>
        <w:spacing w:after="120" w:line="276"/>
        <w:jc w:val="both"/>
      </w:pPr>
      <w:r>
        <w:rPr>
          <w:rFonts w:ascii="Barlow Semi Condensed" w:cs="Barlow Semi Condensed" w:eastAsia="Barlow Semi Condensed" w:hAnsi="Barlow Semi Condensed"/>
          <w:sz w:val="24"/>
          <w:szCs w:val="24"/>
        </w:rPr>
        <w:t xml:space="preserve">Blocco mirato numero 3207 — Un rilievo sulla composizione della classe terza, e chiude la sezione. Le 2 voci non rimediabili hanno natura opposta. La prima è un documento che esiste e che nessuno può leggere. La seconda è un documento che nessuno può leggere perché non esiste. Sono i 2 limiti estremi della conoscenza documentale, e la sessione li ha incontrati entrambi nel medesimo perimetro.</w:t>
      </w:r>
    </w:p>
    <w:p>
      <w:pPr>
        <w:spacing w:after="120" w:line="276"/>
        <w:jc w:val="both"/>
      </w:pPr>
      <w:r>
        <w:rPr>
          <w:rFonts w:ascii="Barlow Semi Condensed" w:cs="Barlow Semi Condensed" w:eastAsia="Barlow Semi Condensed" w:hAnsi="Barlow Semi Condensed"/>
          <w:sz w:val="24"/>
          <w:szCs w:val="24"/>
        </w:rPr>
        <w:t xml:space="preserve">Blocco mirato numero 3301 — Sintesi del dato nuovo acquisito. Il presente registro esegue la prescrizione emessa al blocco 2703 e non applicata, consolidando in tavola unica le voci prodotte da 5 ricognizioni e 4 registri, deduplicate e ordinate per classe di rimediabilità prima che per rendimento atteso. Le voci risultanti sono 28, così ripartite: 19 in classe prima, rimediabili dal solo ricercatore; 7 in classe seconda, rimediabili soltanto da terzi mediante apertura, desecretazione o consenso privato; 2 in classe terza, non rimediabili. Il registro trae dal dato quantitativo la sola lettura che esso consente: 27 voci su 28 sono in principio conseguibili, e 19 lo sono per iniziativa autonoma, sicché l'ostacolo prevalente dell'intera sessione non è il segreto né la norma bensì il fatto che nessuno sia andato. Esso individua inoltre 4 acquisizioni proprie dell'operazione di riordino. La prima: la voce di massimo rendimento analitico dell'intera tavola — il verbale con la dichiarazione dell'accusatore dell'Italia nel 1980 — appartiene alla classe seconda e non alla prima, sicché della vicenda il corpus conosce la difesa e ignora l'accusa, in inversione dell'asimmetria ordinaria degli archivi di Stato. La seconda: la voce che meglio illustra la classificazione è quella dei corpi testuali delle 2 lettere, non rimediabile dal ricercatore automatico e rimediabile in trenta secondi da un lettore umano in biblioteca. La terza: la voce nuova nata dal precedente di Osimo — la verifica dei canali paralleli alla Farnesina presso i ministeri competenti per materia — è di rendimento altissimo, appartiene alla classe prima, e nessuna ricognizione anteriore l'aveva cercata. La quarta: la classe terza contiene 2 voci di natura opposta — un documento che esiste e che nessuno può leggere, e un documento che nessuno può leggere perché non esiste — che sono i 2 limiti estremi della conoscenza documentale, e la sessione li ha incontrati entrambi nel medesimo perimetro. Il registro conserva la seconda quale voce vuota con condizione nessuna, poiché essa funziona da segnale di divieto e impedisce che lo spoglio infruttuoso degli archivi ministeriali venga letto quale prova di inazione.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XXIV · Quinto Registro Analitico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XXIV: 2.647 parole in 9 sezioni; la più ampia è §9 Altre sezioni, con 2.272.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XXIV: 42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XXV — Sesto Registro Analitico</w:t>
      </w:r>
    </w:p>
    <w:p>
      <w:pPr>
        <w:pStyle w:val="Heading1"/>
        <w:spacing w:after="120" w:before="240"/>
      </w:pPr>
      <w:r>
        <w:rPr>
          <w:rFonts w:ascii="Barlow Semi Condensed" w:cs="Barlow Semi Condensed" w:eastAsia="Barlow Semi Condensed" w:hAnsi="Barlow Semi Condensed"/>
          <w:sz w:val="24"/>
          <w:szCs w:val="24"/>
        </w:rPr>
        <w:t xml:space="preserve">SESTO REGISTRO ANALITICO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Gli strumenti alla prova del volume</w:t>
      </w:r>
    </w:p>
    <w:p>
      <w:pPr>
        <w:pStyle w:val="Heading2"/>
        <w:spacing w:after="100" w:before="200"/>
      </w:pPr>
      <w:r>
        <w:rPr>
          <w:rFonts w:ascii="Barlow Semi Condensed" w:cs="Barlow Semi Condensed" w:eastAsia="Barlow Semi Condensed" w:hAnsi="Barlow Semi Condensed"/>
          <w:sz w:val="24"/>
          <w:szCs w:val="24"/>
        </w:rPr>
        <w:t xml:space="preserve">Le 98 invocazioni non qualificate e l'errore di categoria</w:t>
      </w:r>
    </w:p>
    <w:p>
      <w:pPr>
        <w:pStyle w:val="Heading2"/>
        <w:spacing w:after="100" w:before="200"/>
      </w:pPr>
      <w:r>
        <w:rPr>
          <w:rFonts w:ascii="Barlow Semi Condensed" w:cs="Barlow Semi Condensed" w:eastAsia="Barlow Semi Condensed" w:hAnsi="Barlow Semi Condensed"/>
          <w:sz w:val="24"/>
          <w:szCs w:val="24"/>
        </w:rPr>
        <w:t xml:space="preserve">Blocchi 3401-3901 — la doppia qualificazione — la contaminazione per trasferimento</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SESTO REGISTRO ANALITICO</w:t>
      </w:r>
    </w:p>
    <w:p>
      <w:pPr>
        <w:spacing w:after="120" w:line="276"/>
        <w:jc w:val="both"/>
      </w:pPr>
      <w:r>
        <w:rPr>
          <w:rFonts w:ascii="Barlow Semi Condensed" w:cs="Barlow Semi Condensed" w:eastAsia="Barlow Semi Condensed" w:hAnsi="Barlow Semi Condensed"/>
          <w:sz w:val="24"/>
          <w:szCs w:val="24"/>
        </w:rPr>
        <w:t xml:space="preserve">Gli strumenti alla prova del volume. Le novantotto invocazioni non qualificate e l'errore di categoria</w:t>
      </w:r>
    </w:p>
    <w:p>
      <w:pPr>
        <w:spacing w:after="120" w:line="276"/>
        <w:jc w:val="both"/>
      </w:pPr>
      <w:r>
        <w:rPr>
          <w:rFonts w:ascii="Barlow Semi Condensed" w:cs="Barlow Semi Condensed" w:eastAsia="Barlow Semi Condensed" w:hAnsi="Barlow Semi Condensed"/>
          <w:sz w:val="24"/>
          <w:szCs w:val="24"/>
        </w:rPr>
        <w:t xml:space="preserve">Blocco mirato numero 3401 — Risoluzione del conteggio, che si chiude qui. Gli artefatti della sessione sono 15: 10 documenti consolidati e 5 rapporti di ricerca resi come artefatti. Gli artefatti dall'undicesimo al quindicesimo sono dunque gli ultimi 5 prodotti: il Terzo, il Quarto e il Quinto Registro, e i 2 rapporti sul versante contemporaneo. Il presente registro triangola questi.</w:t>
      </w:r>
    </w:p>
    <w:p>
      <w:pPr>
        <w:spacing w:after="120" w:line="276"/>
        <w:jc w:val="both"/>
      </w:pPr>
      <w:r>
        <w:rPr>
          <w:rFonts w:ascii="Barlow Semi Condensed" w:cs="Barlow Semi Condensed" w:eastAsia="Barlow Semi Condensed" w:hAnsi="Barlow Semi Condensed"/>
          <w:sz w:val="24"/>
          <w:szCs w:val="24"/>
        </w:rPr>
        <w:t xml:space="preserve">Blocco mirato numero 3402 — Che cosa distingue questi 5 dai precedenti, e ne determina l'operazione. I 5 artefatti anteriori versavano materia: nodi, ponti, date, documenti. Questi 5 operano sugli strumenti: la scala degli Stati Zero, l'ordinamento delle tavole, la procedura di confutazione. Ne discende che la triangolazione non domanda che cosa essi aggiungano al volume, ma che cosa essi facciano agli strumenti che il volume adopera.</w:t>
      </w:r>
    </w:p>
    <w:p>
      <w:pPr>
        <w:spacing w:after="120" w:line="276"/>
        <w:jc w:val="both"/>
      </w:pPr>
      <w:r>
        <w:rPr>
          <w:rFonts w:ascii="Barlow Semi Condensed" w:cs="Barlow Semi Condensed" w:eastAsia="Barlow Semi Condensed" w:hAnsi="Barlow Semi Condensed"/>
          <w:sz w:val="24"/>
          <w:szCs w:val="24"/>
        </w:rPr>
        <w:t xml:space="preserve">Blocco mirato numero 3403 — Il riscontro meccanico, condotto prima di ogni valutazione. Sull'Edizione Integrata, 241.052 parole: la locuzione Stato Zero ricorre 98 volte; l'Indice di Contaminazione 25 volte; il lemma rimediabile 1 volta sola. E nessuno dei 10 nomi di grado vi ricorre: impossibilità istituzionale, limite di strumento, deposito inesplorato, insieme vuoto verificato, esito negativo presso i beneficiari, assenza coerente con la collocazione, allegazione senza base, falso positivo, atto atipico e barriera macchinica danno tutti zero. Livello A.</w:t>
      </w:r>
    </w:p>
    <w:p>
      <w:pPr>
        <w:spacing w:after="120" w:line="276"/>
        <w:jc w:val="both"/>
      </w:pPr>
      <w:r>
        <w:rPr>
          <w:rFonts w:ascii="Barlow Semi Condensed" w:cs="Barlow Semi Condensed" w:eastAsia="Barlow Semi Condensed" w:hAnsi="Barlow Semi Condensed"/>
          <w:sz w:val="24"/>
          <w:szCs w:val="24"/>
        </w:rPr>
        <w:t xml:space="preserve">Blocco mirato numero 3404 — La prima diagnosi. Il volume invoca la categoria 98 volte e non qualifica mai il grado. Novantotto invocazioni di una parola sola che sta per 10 cose distinte, ciascuna con sede e condizione di chiusura diverse.</w:t>
      </w:r>
    </w:p>
    <w:p>
      <w:pPr>
        <w:spacing w:after="120" w:line="276"/>
        <w:jc w:val="both"/>
      </w:pPr>
      <w:r>
        <w:rPr>
          <w:rFonts w:ascii="Barlow Semi Condensed" w:cs="Barlow Semi Condensed" w:eastAsia="Barlow Semi Condensed" w:hAnsi="Barlow Semi Condensed"/>
          <w:sz w:val="24"/>
          <w:szCs w:val="24"/>
        </w:rPr>
        <w:t xml:space="preserve">Blocco mirato numero 3405 — Dove le invocazioni si concentrano, e il dato è rivelatore. Diciassette nella Fase 6, registro di verifica; 17 nella Fase 12, triangolazione del documento Moro; 12 nella Fase 13, estrazione computazionale; 16 nel capitolo sull'ecosistema contemporaneo; 3 nella Fase 4, intitolata al vaglio delle ipotesi e allo Stato Zero. Livello A.</w:t>
      </w:r>
    </w:p>
    <w:p>
      <w:pPr>
        <w:spacing w:after="120" w:line="276"/>
        <w:jc w:val="both"/>
      </w:pPr>
      <w:r>
        <w:rPr>
          <w:rFonts w:ascii="Barlow Semi Condensed" w:cs="Barlow Semi Condensed" w:eastAsia="Barlow Semi Condensed" w:hAnsi="Barlow Semi Condensed"/>
          <w:sz w:val="24"/>
          <w:szCs w:val="24"/>
        </w:rPr>
        <w:t xml:space="preserve">Blocco mirato numero 3406 — La lettura del dato. Le invocazioni si addensano nelle fasi di verifica e non in quelle di esposizione. Ne discende che la categoria funziona nel volume come strumento di audit: essa serve a censire ciò che il registro non afferma, in sede di bilancio. Ed è precisamente la sede in cui l'indifferenziazione costa di più, poiché un bilancio che conti insieme cose diverse produce una somma priva di significato.</w:t>
      </w:r>
    </w:p>
    <w:p>
      <w:pPr>
        <w:spacing w:after="120" w:line="276"/>
        <w:jc w:val="both"/>
      </w:pPr>
      <w:r>
        <w:rPr>
          <w:rFonts w:ascii="Barlow Semi Condensed" w:cs="Barlow Semi Condensed" w:eastAsia="Barlow Semi Condensed" w:hAnsi="Barlow Semi Condensed"/>
          <w:sz w:val="24"/>
          <w:szCs w:val="24"/>
        </w:rPr>
        <w:t xml:space="preserve">Blocco mirato numero 3407 — La definizione che il volume dà della categoria, riportata perché è unica e regge tutte le 98 occorrenze. L'assenza certificata di una connessione attesa, che il registro denomina Stato Zero, è un risultato analitico di primo ordine, di pari dignità rispetto al risultato positivo, e come tale viene esposta senza imbarazzo. Livello A quanto alla formulazione del volume.</w:t>
      </w:r>
    </w:p>
    <w:p>
      <w:pPr>
        <w:spacing w:after="120" w:line="276"/>
        <w:jc w:val="both"/>
      </w:pPr>
      <w:r>
        <w:rPr>
          <w:rFonts w:ascii="Barlow Semi Condensed" w:cs="Barlow Semi Condensed" w:eastAsia="Barlow Semi Condensed" w:hAnsi="Barlow Semi Condensed"/>
          <w:sz w:val="24"/>
          <w:szCs w:val="24"/>
        </w:rPr>
        <w:t xml:space="preserve">Blocco mirato numero 3408 — La definizione è corretta e insufficiente, e occorre dire perché. È corretta nel principio: l'assenza certificata vale quanto la presenza. È insufficiente perché non distingue l'assenza certificata — che è il quarto grado, insieme vuoto verificato — dall'assenza non conseguita, che sono gli altri 9. Il volume nomina con una sola parola il risultato e l'ostacolo.</w:t>
      </w:r>
    </w:p>
    <w:p>
      <w:pPr>
        <w:spacing w:after="120" w:line="276"/>
        <w:jc w:val="both"/>
      </w:pPr>
      <w:r>
        <w:rPr>
          <w:rFonts w:ascii="Barlow Semi Condensed" w:cs="Barlow Semi Condensed" w:eastAsia="Barlow Semi Condensed" w:hAnsi="Barlow Semi Condensed"/>
          <w:sz w:val="24"/>
          <w:szCs w:val="24"/>
        </w:rPr>
        <w:t xml:space="preserve">Blocco mirato numero 3409 — La conseguenza pratica dell'indifferenziazione. Un lettore del volume che incontri la locuzione non sa se gli si stia dicendo che una connessione è stata cercata e accertata assente, oppure che una connessione non è stata cercata perché l'archivio è chiuso. Sono i 2 estremi opposti, e nel volume portano il medesimo nome.</w:t>
      </w:r>
    </w:p>
    <w:p>
      <w:pPr>
        <w:spacing w:after="120" w:line="276"/>
        <w:jc w:val="both"/>
      </w:pPr>
      <w:r>
        <w:rPr>
          <w:rFonts w:ascii="Barlow Semi Condensed" w:cs="Barlow Semi Condensed" w:eastAsia="Barlow Semi Condensed" w:hAnsi="Barlow Semi Condensed"/>
          <w:sz w:val="24"/>
          <w:szCs w:val="24"/>
        </w:rPr>
        <w:t xml:space="preserve">Blocco mirato numero 3410 — Ma l'indifferenziazione non è il vizio maggiore, ed è al blocco 3501 che il presente registro individua quello strutturale.</w:t>
      </w:r>
    </w:p>
    <w:p>
      <w:pPr>
        <w:spacing w:after="120" w:line="276"/>
        <w:jc w:val="both"/>
      </w:pPr>
      <w:r>
        <w:rPr>
          <w:rFonts w:ascii="Barlow Semi Condensed" w:cs="Barlow Semi Condensed" w:eastAsia="Barlow Semi Condensed" w:hAnsi="Barlow Semi Condensed"/>
          <w:sz w:val="24"/>
          <w:szCs w:val="24"/>
        </w:rPr>
        <w:t xml:space="preserve">Blocco mirato numero 3411 — Discipline e notazione. Sistema Savona 2.1 con grado in linea; scala emendata a 10 gradi secondo il Quarto Registro; classificazione per rimediabilità secondo il Quinto. Il presente registro non versa nodi né ponti: esso emenda l'uso di 2 strumenti.</w:t>
      </w:r>
    </w:p>
    <w:p>
      <w:pPr>
        <w:spacing w:after="120" w:line="276"/>
        <w:jc w:val="both"/>
      </w:pPr>
      <w:r>
        <w:rPr>
          <w:rFonts w:ascii="Barlow Semi Condensed" w:cs="Barlow Semi Condensed" w:eastAsia="Barlow Semi Condensed" w:hAnsi="Barlow Semi Condensed"/>
          <w:sz w:val="24"/>
          <w:szCs w:val="24"/>
        </w:rPr>
        <w:t xml:space="preserve">Blocco mirato numero 3412 — Numerazione. Riprende dal 3401, il Quinto Registro essendosi chiuso al 3301.</w:t>
      </w:r>
    </w:p>
    <w:p>
      <w:pPr>
        <w:pStyle w:val="Heading2"/>
        <w:spacing w:after="100" w:before="200"/>
      </w:pPr>
      <w:r>
        <w:rPr>
          <w:rFonts w:ascii="Barlow Semi Condensed" w:cs="Barlow Semi Condensed" w:eastAsia="Barlow Semi Condensed" w:hAnsi="Barlow Semi Condensed"/>
          <w:sz w:val="24"/>
          <w:szCs w:val="24"/>
        </w:rPr>
        <w:t xml:space="preserve">I — L'ERRORE DI CATEGORIA</w:t>
      </w:r>
    </w:p>
    <w:p>
      <w:pPr>
        <w:spacing w:after="120" w:line="276"/>
        <w:jc w:val="both"/>
      </w:pPr>
      <w:r>
        <w:rPr>
          <w:rFonts w:ascii="Barlow Semi Condensed" w:cs="Barlow Semi Condensed" w:eastAsia="Barlow Semi Condensed" w:hAnsi="Barlow Semi Condensed"/>
          <w:sz w:val="24"/>
          <w:szCs w:val="24"/>
        </w:rPr>
        <w:t xml:space="preserve">Blocco mirato numero 3501 — Il reperto, riportato testualmente perché è su di esso che tutto poggia. Il volume, in sede di bilancio di fase, scrive: il repertorio consolida in un inventario unitario 38 tra archi, triangolazioni ed esiti certificati nella fase, dei quali 24 al Livello A, 7 al Livello B, 6 al Livello C ed 1 Stato Zero.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3502 — L'aritmetica, che va fatta perché è essa a rivelare la struttura. Ventiquattro più 7 più 6 più 1 fa 38. Ne discende che le 4 categorie sono trattate come esclusive ed esaustive: ogni elemento dell'inventario appartiene a una e a una sola di esse.</w:t>
      </w:r>
    </w:p>
    <w:p>
      <w:pPr>
        <w:spacing w:after="120" w:line="276"/>
        <w:jc w:val="both"/>
      </w:pPr>
      <w:r>
        <w:rPr>
          <w:rFonts w:ascii="Barlow Semi Condensed" w:cs="Barlow Semi Condensed" w:eastAsia="Barlow Semi Condensed" w:hAnsi="Barlow Semi Condensed"/>
          <w:sz w:val="24"/>
          <w:szCs w:val="24"/>
        </w:rPr>
        <w:t xml:space="preserve">Blocco mirato numero 3503 — L'errore.\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Lo Stato Zero è collocato quale quarto livello Savona, accanto ad A, B e C.</w:t>
      </w:r>
    </w:p>
    <w:p>
      <w:pPr>
        <w:spacing w:after="120" w:line="276"/>
        <w:jc w:val="both"/>
      </w:pPr>
      <w:r>
        <w:rPr>
          <w:rFonts w:ascii="Barlow Semi Condensed" w:cs="Barlow Semi Condensed" w:eastAsia="Barlow Semi Condensed" w:hAnsi="Barlow Semi Condensed"/>
          <w:sz w:val="24"/>
          <w:szCs w:val="24"/>
        </w:rPr>
        <w:t xml:space="preserve">Blocco mirato numero 3504 — Perché è errore, e la dimostrazione è breve. Il sistema Savona misura il grado di certezza di un'affermazione. La scala degli Stati Zero misura la natura di un'assenza. Sono dimensioni ortogonali e non alternative: un'assenza è essa stessa oggetto di affermazione, e come tale ha un proprio grado di certezza.</w:t>
      </w:r>
    </w:p>
    <w:p>
      <w:pPr>
        <w:spacing w:after="120" w:line="276"/>
        <w:jc w:val="both"/>
      </w:pPr>
      <w:r>
        <w:rPr>
          <w:rFonts w:ascii="Barlow Semi Condensed" w:cs="Barlow Semi Condensed" w:eastAsia="Barlow Semi Condensed" w:hAnsi="Barlow Semi Condensed"/>
          <w:sz w:val="24"/>
          <w:szCs w:val="24"/>
        </w:rPr>
        <w:t xml:space="preserve">Blocco mirato numero 3505 — La prova che il volume fornisce contro sé stesso, ed è decisiva. Il volume qualifica l'assenza di Umberto Ortolani verso il Dominio 1 come unica assenza sistematicamente ricercata e certificata della fase.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3506 — Ne discende l'argomento. Un'assenza certificata possiede un grado di certificazione. Se possiede un grado di certificazione, essa ha un livello Savona. Se ha un livello Savona, non può essere un livello Savona. L'errore è dunque dimostrabile con le sole parole del volume, senza ricorso ad alcuna fonte esterna.</w:t>
      </w:r>
    </w:p>
    <w:p>
      <w:pPr>
        <w:spacing w:after="120" w:line="276"/>
        <w:jc w:val="both"/>
      </w:pPr>
      <w:r>
        <w:rPr>
          <w:rFonts w:ascii="Barlow Semi Condensed" w:cs="Barlow Semi Condensed" w:eastAsia="Barlow Semi Condensed" w:hAnsi="Barlow Semi Condensed"/>
          <w:sz w:val="24"/>
          <w:szCs w:val="24"/>
        </w:rPr>
        <w:t xml:space="preserve">Blocco mirato numero 3507 — Che cosa l'errore impedisce di dire, ed è il costo analitico. Nella struttura attuale il volume non può distinguere fra uno Stato Zero certificato al Livello A e uno Stato Zero congetturato al Livello C. Ma la distinzione è necessaria e il corpus la richiede: l'assenza dell'Opus Dei da Grecia, Cipro e Turchia, verificata contro l'elenco ufficiale che l'ente medesimo pubblica, è di Livello A; l'assenza di un nesso fra Moro e la questione sudafricana, dichiarata su archivi non consultati, è di Livello C. Nel volume porterebbero la medesima etichetta e comparirebbero nella medesima casella del bilancio.</w:t>
      </w:r>
    </w:p>
    <w:p>
      <w:pPr>
        <w:spacing w:after="120" w:line="276"/>
        <w:jc w:val="both"/>
      </w:pPr>
      <w:r>
        <w:rPr>
          <w:rFonts w:ascii="Barlow Semi Condensed" w:cs="Barlow Semi Condensed" w:eastAsia="Barlow Semi Condensed" w:hAnsi="Barlow Semi Condensed"/>
          <w:sz w:val="24"/>
          <w:szCs w:val="24"/>
        </w:rPr>
        <w:t xml:space="preserve">Blocco mirato numero 3508 — L'emendazione proposta, in forma operativa. Ogni Stato Zero riceva 2 qualificazioni e non una: il grado, secondo la scala a 10 voci, e il livello Savona, secondo il sistema a 3 gradi. La forma di citazione diviene: Stato Zero di quarto grado, insieme vuoto verificato, Livello A; oppure Stato Zero di terzo grado, deposito inesplorato, Livello C.</w:t>
      </w:r>
    </w:p>
    <w:p>
      <w:pPr>
        <w:spacing w:after="120" w:line="276"/>
        <w:jc w:val="both"/>
      </w:pPr>
      <w:r>
        <w:rPr>
          <w:rFonts w:ascii="Barlow Semi Condensed" w:cs="Barlow Semi Condensed" w:eastAsia="Barlow Semi Condensed" w:hAnsi="Barlow Semi Condensed"/>
          <w:sz w:val="24"/>
          <w:szCs w:val="24"/>
        </w:rPr>
        <w:t xml:space="preserve">Blocco mirato numero 3509 — La conseguenza sui bilanci di fase. Essi non devono più sommare gli Stati Zero ai livelli Savona. La formulazione corretta del reperto citato al blocco 3501 sarebbe: 38 esiti, dei quali 24 al Livello A, 7 al B e 6 al C; e fra questi 38, uno è uno Stato Zero, di quarto grado e di Livello A.</w:t>
      </w:r>
    </w:p>
    <w:p>
      <w:pPr>
        <w:spacing w:after="120" w:line="276"/>
        <w:jc w:val="both"/>
      </w:pPr>
      <w:r>
        <w:rPr>
          <w:rFonts w:ascii="Barlow Semi Condensed" w:cs="Barlow Semi Condensed" w:eastAsia="Barlow Semi Condensed" w:hAnsi="Barlow Semi Condensed"/>
          <w:sz w:val="24"/>
          <w:szCs w:val="24"/>
        </w:rPr>
        <w:t xml:space="preserve">Blocco mirato numero 3510 — La verifica dell'emendazione sul caso Ortolani. L'assenza fu sistematicamente ricercata, dunque non è deposito inesplorato; fu certificata, dunque l'insieme vuoto è verificato; e il volume la impiega quale calibro per le fasi successive. Livello A. Essa è dunque Stato Zero di quarto grado, Livello A, e la doppia qualificazione la descrive esattamente mentre l'etichetta unica la confonde con ogni altra assenza del volume.</w:t>
      </w:r>
    </w:p>
    <w:p>
      <w:pPr>
        <w:spacing w:after="120" w:line="276"/>
        <w:jc w:val="both"/>
      </w:pPr>
      <w:r>
        <w:rPr>
          <w:rFonts w:ascii="Barlow Semi Condensed" w:cs="Barlow Semi Condensed" w:eastAsia="Barlow Semi Condensed" w:hAnsi="Barlow Semi Condensed"/>
          <w:sz w:val="24"/>
          <w:szCs w:val="24"/>
        </w:rPr>
        <w:t xml:space="preserve">Blocco mirato numero 3511 — Un rilievo che va reso al volume, poiché la critica sarebbe ingiusta senza di esso. Il volume aveva già compreso ciò che la scala formalizza. Chiamando l'assenza di Ortolani calibro per le fasi successive, esso attribuiva a quel solo caso una funzione che agli altri non attribuisce — cioè distingueva di fatto il quarto grado dagli altri 9, senza disporre del nome per farlo.</w:t>
      </w:r>
    </w:p>
    <w:p>
      <w:pPr>
        <w:spacing w:after="120" w:line="276"/>
        <w:jc w:val="both"/>
      </w:pPr>
      <w:r>
        <w:rPr>
          <w:rFonts w:ascii="Barlow Semi Condensed" w:cs="Barlow Semi Condensed" w:eastAsia="Barlow Semi Condensed" w:hAnsi="Barlow Semi Condensed"/>
          <w:sz w:val="24"/>
          <w:szCs w:val="24"/>
        </w:rPr>
        <w:t xml:space="preserve">Blocco mirato numero 3512 — Ne discende la qualificazione corretta dell'operazione presente. Non correzione di un errore concettuale, ma fornitura del lessico a una distinzione che l'opera praticava e non poteva enunciare. Livello B quanto a tale lettura.</w:t>
      </w:r>
    </w:p>
    <w:p>
      <w:pPr>
        <w:pStyle w:val="Heading2"/>
        <w:spacing w:after="100" w:before="200"/>
      </w:pPr>
      <w:r>
        <w:rPr>
          <w:rFonts w:ascii="Barlow Semi Condensed" w:cs="Barlow Semi Condensed" w:eastAsia="Barlow Semi Condensed" w:hAnsi="Barlow Semi Condensed"/>
          <w:sz w:val="24"/>
          <w:szCs w:val="24"/>
        </w:rPr>
        <w:t xml:space="preserve">II — LA RIQUALIFICAZIONE DELLE NOVANTOTTO INVOCAZIONI</w:t>
      </w:r>
    </w:p>
    <w:p>
      <w:pPr>
        <w:spacing w:after="120" w:line="276"/>
        <w:jc w:val="both"/>
      </w:pPr>
      <w:r>
        <w:rPr>
          <w:rFonts w:ascii="Barlow Semi Condensed" w:cs="Barlow Semi Condensed" w:eastAsia="Barlow Semi Condensed" w:hAnsi="Barlow Semi Condensed"/>
          <w:sz w:val="24"/>
          <w:szCs w:val="24"/>
        </w:rPr>
        <w:t xml:space="preserve">Blocco mirato numero 3601 — Il compito. Le 98 invocazioni vanno riqualificate ciascuna con grado e livello. Il presente registro non lo esegue voce per voce, non disponendo del testo integrale di ciascun contesto; fornisce il criterio di riqualificazione e lo applica ai casi che il riscontro ha isolato.</w:t>
      </w:r>
    </w:p>
    <w:p>
      <w:pPr>
        <w:spacing w:after="120" w:line="276"/>
        <w:jc w:val="both"/>
      </w:pPr>
      <w:r>
        <w:rPr>
          <w:rFonts w:ascii="Barlow Semi Condensed" w:cs="Barlow Semi Condensed" w:eastAsia="Barlow Semi Condensed" w:hAnsi="Barlow Semi Condensed"/>
          <w:sz w:val="24"/>
          <w:szCs w:val="24"/>
        </w:rPr>
        <w:t xml:space="preserve">Blocco mirato numero 3602 — Il criterio, in 3 domande ordinate. Prima: l'assenza è stata cercata? Se no, il grado è secondo o terzo. Seconda: se è stata cercata, la ricerca ha potuto concludersi? Se no, il grado è primo, ottavo o decimo. Terza: se si è conclusa, contro quale registro l'assenza è stata verificata? Se contro un registro che il soggetto pubblica, il grado è quarto e il livello è A.</w:t>
      </w:r>
    </w:p>
    <w:p>
      <w:pPr>
        <w:spacing w:after="120" w:line="276"/>
        <w:jc w:val="both"/>
      </w:pPr>
      <w:r>
        <w:rPr>
          <w:rFonts w:ascii="Barlow Semi Condensed" w:cs="Barlow Semi Condensed" w:eastAsia="Barlow Semi Condensed" w:hAnsi="Barlow Semi Condensed"/>
          <w:sz w:val="24"/>
          <w:szCs w:val="24"/>
        </w:rPr>
        <w:t xml:space="preserve">Blocco mirato numero 3603 — L'applicazione ai casi isolati dal riscontro. Primo caso: l'assenza di Ortolani verso il Dominio 1. Quarto grado, Livello A, per le ragioni del blocco 3510.</w:t>
      </w:r>
    </w:p>
    <w:p>
      <w:pPr>
        <w:spacing w:after="120" w:line="276"/>
        <w:jc w:val="both"/>
      </w:pPr>
      <w:r>
        <w:rPr>
          <w:rFonts w:ascii="Barlow Semi Condensed" w:cs="Barlow Semi Condensed" w:eastAsia="Barlow Semi Condensed" w:hAnsi="Barlow Semi Condensed"/>
          <w:sz w:val="24"/>
          <w:szCs w:val="24"/>
        </w:rPr>
        <w:t xml:space="preserve">Blocco mirato numero 3604 — Secondo caso: il capitolo intitolato all'empirica degli archivi, alla regolarità delle aperture e al lampione. Le 3 invocazioni ivi contenute riguardano la disponibilità delle fonti e non connessioni: esse sono di primo, secondo o terzo grado secondo il caso, e non di quarto. Il volume vi impiega la medesima parola che impiega per Ortolani, e le 2 cose non sono la medesima.</w:t>
      </w:r>
    </w:p>
    <w:p>
      <w:pPr>
        <w:spacing w:after="120" w:line="276"/>
        <w:jc w:val="both"/>
      </w:pPr>
      <w:r>
        <w:rPr>
          <w:rFonts w:ascii="Barlow Semi Condensed" w:cs="Barlow Semi Condensed" w:eastAsia="Barlow Semi Condensed" w:hAnsi="Barlow Semi Condensed"/>
          <w:sz w:val="24"/>
          <w:szCs w:val="24"/>
        </w:rPr>
        <w:t xml:space="preserve">Blocco mirato numero 3605 — Terzo caso: le 2 invocazioni nel capitolo sull'archivio catturato di Aginter Press. Un archivio catturato e non versato è deposito inesplorato con condizione di accesso, dunque terzo grado; non è insieme vuoto verificato. Livello C quanto a ogni affermazione fondata su ciò che esso conterrebbe.</w:t>
      </w:r>
    </w:p>
    <w:p>
      <w:pPr>
        <w:spacing w:after="120" w:line="276"/>
        <w:jc w:val="both"/>
      </w:pPr>
      <w:r>
        <w:rPr>
          <w:rFonts w:ascii="Barlow Semi Condensed" w:cs="Barlow Semi Condensed" w:eastAsia="Barlow Semi Condensed" w:hAnsi="Barlow Semi Condensed"/>
          <w:sz w:val="24"/>
          <w:szCs w:val="24"/>
        </w:rPr>
        <w:t xml:space="preserve">Blocco mirato numero 3606 — Quarto caso: le 2 invocazioni nel capitolo sull'Est, gli archivi trasferiti e il caso bulgaro. Archivi trasferiti significa primo grado, impossibilità istituzionale, ove il trasferimento ne abbia mutato il regime di consultabilità; o terzo grado ove siano soltanto non consultati. La distinzione è necessaria e il volume non la compie.</w:t>
      </w:r>
    </w:p>
    <w:p>
      <w:pPr>
        <w:spacing w:after="120" w:line="276"/>
        <w:jc w:val="both"/>
      </w:pPr>
      <w:r>
        <w:rPr>
          <w:rFonts w:ascii="Barlow Semi Condensed" w:cs="Barlow Semi Condensed" w:eastAsia="Barlow Semi Condensed" w:hAnsi="Barlow Semi Condensed"/>
          <w:sz w:val="24"/>
          <w:szCs w:val="24"/>
        </w:rPr>
        <w:t xml:space="preserve">Blocco mirato numero 3607 — Le 46 invocazioni delle Fasi 6, 12 e 13, che sono la massa maggiore. Esse ricorrono in sede di verifica, triangolazione ed estrazione computazionale. Ne discende un rilievo di procedura: una estrazione computazionale che censisca Stati Zero senza distinguerne il grado produce un conteggio e non un'analisi, poiché somma assenze accertate e ricerche non compiute.</w:t>
      </w:r>
    </w:p>
    <w:p>
      <w:pPr>
        <w:spacing w:after="120" w:line="276"/>
        <w:jc w:val="both"/>
      </w:pPr>
      <w:r>
        <w:rPr>
          <w:rFonts w:ascii="Barlow Semi Condensed" w:cs="Barlow Semi Condensed" w:eastAsia="Barlow Semi Condensed" w:hAnsi="Barlow Semi Condensed"/>
          <w:sz w:val="24"/>
          <w:szCs w:val="24"/>
        </w:rPr>
        <w:t xml:space="preserve">Blocco mirato numero 3608 — La prescrizione che ne deriva per la Fase 13.\</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Ogni estrazione automatica della categoria deve estrarre insieme il grado e il livello, o dichiararsi conteggio grezzo.</w:t>
      </w:r>
    </w:p>
    <w:p>
      <w:pPr>
        <w:spacing w:after="120" w:line="276"/>
        <w:jc w:val="both"/>
      </w:pPr>
      <w:r>
        <w:rPr>
          <w:rFonts w:ascii="Barlow Semi Condensed" w:cs="Barlow Semi Condensed" w:eastAsia="Barlow Semi Condensed" w:hAnsi="Barlow Semi Condensed"/>
          <w:sz w:val="24"/>
          <w:szCs w:val="24"/>
        </w:rPr>
        <w:t xml:space="preserve">Blocco mirato numero 3609 — Il caso della Fase 5, capitolo 3, che tocca direttamente il perimetro della sessione. Il volume vi qualifica il Sudafrica Stato Zero esemplare, con 5 invocazioni. Il Primo Registro ha già emendato tale qualificazione, distinguendo il canale industriale — documentato per triplice via — dall'atto di governo — non documentato per atipicità dell'ordinamento. Sotto la scala emendata: il canale non è Stato Zero di alcun grado; l'atto è Stato Zero di nono grado, e il suo livello è A, il quadro normativo che lo fonda essendo accertato.</w:t>
      </w:r>
    </w:p>
    <w:p>
      <w:pPr>
        <w:spacing w:after="120" w:line="276"/>
        <w:jc w:val="both"/>
      </w:pPr>
      <w:r>
        <w:rPr>
          <w:rFonts w:ascii="Barlow Semi Condensed" w:cs="Barlow Semi Condensed" w:eastAsia="Barlow Semi Condensed" w:hAnsi="Barlow Semi Condensed"/>
          <w:sz w:val="24"/>
          <w:szCs w:val="24"/>
        </w:rPr>
        <w:t xml:space="preserve">Blocco mirato numero 3610 — Sintesi della sezione. Delle invocazioni esaminate, una sola corrisponde alla definizione che il volume dà della categoria — l'assenza certificata di una connessione attesa — e tutte le altre designano ostacoli anziché risultati. Ne discende che la definizione del volume descrive il quarto grado e viene applicata a tutti e 10.</w:t>
      </w:r>
    </w:p>
    <w:p>
      <w:pPr>
        <w:pStyle w:val="Heading2"/>
        <w:spacing w:after="100" w:before="200"/>
      </w:pPr>
      <w:r>
        <w:rPr>
          <w:rFonts w:ascii="Barlow Semi Condensed" w:cs="Barlow Semi Condensed" w:eastAsia="Barlow Semi Condensed" w:hAnsi="Barlow Semi Condensed"/>
          <w:sz w:val="24"/>
          <w:szCs w:val="24"/>
        </w:rPr>
        <w:t xml:space="preserve">III — L'INDICE DI CONTAMINAZIONE E IL GRADO RICOLLOCATO</w:t>
      </w:r>
    </w:p>
    <w:p>
      <w:pPr>
        <w:spacing w:after="120" w:line="276"/>
        <w:jc w:val="both"/>
      </w:pPr>
      <w:r>
        <w:rPr>
          <w:rFonts w:ascii="Barlow Semi Condensed" w:cs="Barlow Semi Condensed" w:eastAsia="Barlow Semi Condensed" w:hAnsi="Barlow Semi Condensed"/>
          <w:sz w:val="24"/>
          <w:szCs w:val="24"/>
        </w:rPr>
        <w:t xml:space="preserve">Blocco mirato numero 3701 — Il secondo strumento.\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volume impiega l'\</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Indice di Contaminazione 25 volte. Livello 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Esso misura non la disponibilità di un'informazione 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sua indipendenza genealogica.</w:t>
      </w:r>
    </w:p>
    <w:p>
      <w:pPr>
        <w:spacing w:after="120" w:line="276"/>
        <w:jc w:val="both"/>
      </w:pPr>
      <w:r>
        <w:rPr>
          <w:rFonts w:ascii="Barlow Semi Condensed" w:cs="Barlow Semi Condensed" w:eastAsia="Barlow Semi Condensed" w:hAnsi="Barlow Semi Condensed"/>
          <w:sz w:val="24"/>
          <w:szCs w:val="24"/>
        </w:rPr>
        <w:t xml:space="preserve">Blocco mirato numero 3702 — Il versamento del Quarto Registro a tale strumento. Il grado proposto nel Terzo Registro quale fatto trasferito è stato ritirato dalla scala degli Stati Zero per fallimento del test di appartenenza — non descrivendo un'assenza — e ricollocato nell'Indice con la denominazione emendata di contaminazione per trasferimento di cornice.</w:t>
      </w:r>
    </w:p>
    <w:p>
      <w:pPr>
        <w:spacing w:after="120" w:line="276"/>
        <w:jc w:val="both"/>
      </w:pPr>
      <w:r>
        <w:rPr>
          <w:rFonts w:ascii="Barlow Semi Condensed" w:cs="Barlow Semi Condensed" w:eastAsia="Barlow Semi Condensed" w:hAnsi="Barlow Semi Condensed"/>
          <w:sz w:val="24"/>
          <w:szCs w:val="24"/>
        </w:rPr>
        <w:t xml:space="preserve">Blocco mirato numero 3703 — La definizione, per la nuova sede. Un dato genealogicamente autentico viene riprodotto con attribuzione geografica, politica o cronologica modificata, sicché le riproduzioni successive ereditano la cornice nuova insieme al dato vero.</w:t>
      </w:r>
    </w:p>
    <w:p>
      <w:pPr>
        <w:spacing w:after="120" w:line="276"/>
        <w:jc w:val="both"/>
      </w:pPr>
      <w:r>
        <w:rPr>
          <w:rFonts w:ascii="Barlow Semi Condensed" w:cs="Barlow Semi Condensed" w:eastAsia="Barlow Semi Condensed" w:hAnsi="Barlow Semi Condensed"/>
          <w:sz w:val="24"/>
          <w:szCs w:val="24"/>
        </w:rPr>
        <w:t xml:space="preserve">Blocco mirato numero 3704 — La proprietà che ne giustifica la conservazione, e che nella scala degli Stati Zero non avrebbe potuto essere enunciata. Essa resiste a ogni verifica condotta sul dato. Chi verifichi il dato lo trova confermato; la cornice non è nel dato e non viene verificata insieme ad esso. Ne discende che gli strumenti ordinari di riscontro — che confermano o smentiscono fatti — le sono strutturalmente ciechi.</w:t>
      </w:r>
    </w:p>
    <w:p>
      <w:pPr>
        <w:spacing w:after="120" w:line="276"/>
        <w:jc w:val="both"/>
      </w:pPr>
      <w:r>
        <w:rPr>
          <w:rFonts w:ascii="Barlow Semi Condensed" w:cs="Barlow Semi Condensed" w:eastAsia="Barlow Semi Condensed" w:hAnsi="Barlow Semi Condensed"/>
          <w:sz w:val="24"/>
          <w:szCs w:val="24"/>
        </w:rPr>
        <w:t xml:space="preserve">Blocco mirato numero 3705 — Il caso esemplare, richiamato. L'addestramento dei quadri sudafricani in territorio oggi ucraino, fatto vero e verificabile, invocato nel discorso contemporaneo quale titolo di gratitudine verso Mosca, mentre le repubbliche in cui avvenne sono oggi indipendenti e invase. Livello A quanto al fatto e alla sua invocazione.</w:t>
      </w:r>
    </w:p>
    <w:p>
      <w:pPr>
        <w:spacing w:after="120" w:line="276"/>
        <w:jc w:val="both"/>
      </w:pPr>
      <w:r>
        <w:rPr>
          <w:rFonts w:ascii="Barlow Semi Condensed" w:cs="Barlow Semi Condensed" w:eastAsia="Barlow Semi Condensed" w:hAnsi="Barlow Semi Condensed"/>
          <w:sz w:val="24"/>
          <w:szCs w:val="24"/>
        </w:rPr>
        <w:t xml:space="preserve">Blocco mirato numero 3706 — La distinzione dall'ottavo grado, che va mantenuta perché sono confinanti. Il falso positivo richiede un apparato che detiene la qualificazione vera e ne diffonde una falsa: presuppone conoscenza e intenzione. La contaminazione per trasferimento non le richiede: può prodursi per riproduzioni successive, e nessuno dei riproduttori deve sapere di trasferire. Il primo è dolo, la seconda può essere sedimentazione.</w:t>
      </w:r>
    </w:p>
    <w:p>
      <w:pPr>
        <w:spacing w:after="120" w:line="276"/>
        <w:jc w:val="both"/>
      </w:pPr>
      <w:r>
        <w:rPr>
          <w:rFonts w:ascii="Barlow Semi Condensed" w:cs="Barlow Semi Condensed" w:eastAsia="Barlow Semi Condensed" w:hAnsi="Barlow Semi Condensed"/>
          <w:sz w:val="24"/>
          <w:szCs w:val="24"/>
        </w:rPr>
        <w:t xml:space="preserve">Blocco mirato numero 3707 — La conseguenza per l'Indice, che ne accresce la portata. L'Indice era stato costruito per misurare quante volte un dato è stato riprodotto e attraverso quali passaggi. La fattispecie versata gli aggiunge una dimensione: non soltanto quante volte, ma con quale cornice, poiché un dato riprodotto una volta sola con cornice mutata è più contaminato di un dato riprodotto dieci volte con cornice intatta.</w:t>
      </w:r>
    </w:p>
    <w:p>
      <w:pPr>
        <w:spacing w:after="120" w:line="276"/>
        <w:jc w:val="both"/>
      </w:pPr>
      <w:r>
        <w:rPr>
          <w:rFonts w:ascii="Barlow Semi Condensed" w:cs="Barlow Semi Condensed" w:eastAsia="Barlow Semi Condensed" w:hAnsi="Barlow Semi Condensed"/>
          <w:sz w:val="24"/>
          <w:szCs w:val="24"/>
        </w:rPr>
        <w:t xml:space="preserve">Blocco mirato numero 3708 — Il criterio operativo che ne discende. Nel calcolo dell'indice, il mutamento di cornice va pesato indipendentemente dal numero delle riproduzioni, e va rilevato confrontando non i dati fra loro ma le cornici entro cui i medesimi dati sono collocati nelle diverse fonti.</w:t>
      </w:r>
    </w:p>
    <w:p>
      <w:pPr>
        <w:pStyle w:val="Heading2"/>
        <w:spacing w:after="100" w:before="200"/>
      </w:pPr>
      <w:r>
        <w:rPr>
          <w:rFonts w:ascii="Barlow Semi Condensed" w:cs="Barlow Semi Condensed" w:eastAsia="Barlow Semi Condensed" w:hAnsi="Barlow Semi Condensed"/>
          <w:sz w:val="24"/>
          <w:szCs w:val="24"/>
        </w:rPr>
        <w:t xml:space="preserve">IV — LA CLASSIFICAZIONE PER RIMEDIABILITÀ APPLICATA AL VOLUME</w:t>
      </w:r>
    </w:p>
    <w:p>
      <w:pPr>
        <w:spacing w:after="120" w:line="276"/>
        <w:jc w:val="both"/>
      </w:pPr>
      <w:r>
        <w:rPr>
          <w:rFonts w:ascii="Barlow Semi Condensed" w:cs="Barlow Semi Condensed" w:eastAsia="Barlow Semi Condensed" w:hAnsi="Barlow Semi Condensed"/>
          <w:sz w:val="24"/>
          <w:szCs w:val="24"/>
        </w:rPr>
        <w:t xml:space="preserve">Blocco mirato numero 3801 — Il terzo versamento, dal Quinto Registro. Esso ha prescritto che le tavole di acquisizioni non conseguite siano ordinate per classe di rimediabilità prima che per rendimento atteso, e ha ripartito le voci in 3 classi: rimediabili dal ricercatore; rimediabili soltanto da terzi; non rimediabili.</w:t>
      </w:r>
    </w:p>
    <w:p>
      <w:pPr>
        <w:spacing w:after="120" w:line="276"/>
        <w:jc w:val="both"/>
      </w:pPr>
      <w:r>
        <w:rPr>
          <w:rFonts w:ascii="Barlow Semi Condensed" w:cs="Barlow Semi Condensed" w:eastAsia="Barlow Semi Condensed" w:hAnsi="Barlow Semi Condensed"/>
          <w:sz w:val="24"/>
          <w:szCs w:val="24"/>
        </w:rPr>
        <w:t xml:space="preserve">Blocco mirato numero 3802 — Il riscontro sul volume.\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Il lemma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rimediabile ricorre 1 volta sola\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in 241.052 parole; il lemma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tavola ricorre 8 volte. Livello A.</w:t>
      </w:r>
    </w:p>
    <w:p>
      <w:pPr>
        <w:spacing w:after="120" w:line="276"/>
        <w:jc w:val="both"/>
      </w:pPr>
      <w:r>
        <w:rPr>
          <w:rFonts w:ascii="Barlow Semi Condensed" w:cs="Barlow Semi Condensed" w:eastAsia="Barlow Semi Condensed" w:hAnsi="Barlow Semi Condensed"/>
          <w:sz w:val="24"/>
          <w:szCs w:val="24"/>
        </w:rPr>
        <w:t xml:space="preserve">Blocco mirato numero 3803 — La diagnosi. Il volume possiede tavole e non possiede il criterio per ordinarle. Ne discende che le sue 8 tavole sono ordinate per rendimento atteso o per successione espositiva, e che una voce di rendimento massimo e di classe terza vi può precedere una voce di rendimento medio e di classe prima, il che è precisamente l'ordinamento che spreca il lavoro del ricercatore.</w:t>
      </w:r>
    </w:p>
    <w:p>
      <w:pPr>
        <w:spacing w:after="120" w:line="276"/>
        <w:jc w:val="both"/>
      </w:pPr>
      <w:r>
        <w:rPr>
          <w:rFonts w:ascii="Barlow Semi Condensed" w:cs="Barlow Semi Condensed" w:eastAsia="Barlow Semi Condensed" w:hAnsi="Barlow Semi Condensed"/>
          <w:sz w:val="24"/>
          <w:szCs w:val="24"/>
        </w:rPr>
        <w:t xml:space="preserve">Blocco mirato numero 3804 — L'esemplificazione tratta dalla sessione, che rende concreto il rilievo. Nella Tavola Unica, la voce di massimo valore analitico — il verbale con la dichiarazione dell'accusatore dell'Italia nel 1980 — appartiene alla classe seconda, e nessuna iniziativa del ricercatore la scioglie. La voce che invece scioglie il maggior numero di questioni — lo spoglio delle serie Affari Politici dell'Archivio Storico Diplomatico — appartiene alla classe prima, e dipende soltanto dall'andare. Un ordinamento per solo rendimento le collocherebbe nell'ordine inverso a quello utile.</w:t>
      </w:r>
    </w:p>
    <w:p>
      <w:pPr>
        <w:spacing w:after="120" w:line="276"/>
        <w:jc w:val="both"/>
      </w:pPr>
      <w:r>
        <w:rPr>
          <w:rFonts w:ascii="Barlow Semi Condensed" w:cs="Barlow Semi Condensed" w:eastAsia="Barlow Semi Condensed" w:hAnsi="Barlow Semi Condensed"/>
          <w:sz w:val="24"/>
          <w:szCs w:val="24"/>
        </w:rPr>
        <w:t xml:space="preserve">Blocco mirato numero 3805 — Il dato quantitativo della Tavola Unica, offerto al volume quale metro. Delle 28 voci deduplicate della sessione, 19 sono in classe prima, 7 in seconda, 2 in terza. Ventisette su 28 sono in principio conseguibili. Ne discende la lettura già enunciata: l'ostacolo prevalente non è il segreto né la norma, ma che nessuno sia andato.</w:t>
      </w:r>
    </w:p>
    <w:p>
      <w:pPr>
        <w:spacing w:after="120" w:line="276"/>
        <w:jc w:val="both"/>
      </w:pPr>
      <w:r>
        <w:rPr>
          <w:rFonts w:ascii="Barlow Semi Condensed" w:cs="Barlow Semi Condensed" w:eastAsia="Barlow Semi Condensed" w:hAnsi="Barlow Semi Condensed"/>
          <w:sz w:val="24"/>
          <w:szCs w:val="24"/>
        </w:rPr>
        <w:t xml:space="preserve">Blocco mirato numero 3806 — La prescrizione, in forma applicabile alle 8 tavole del volume. Ciascuna voce riceva classe e grado, e la tavola sia ordinata per classe crescente, e all'interno di ciascuna classe per rendimento decrescente. La classe terza sia collocata in coda e recata con la condizione dichiarata nessuna, affinché il ricercatore futuro non vi si applichi.</w:t>
      </w:r>
    </w:p>
    <w:p>
      <w:pPr>
        <w:spacing w:after="120" w:line="276"/>
        <w:jc w:val="both"/>
      </w:pPr>
      <w:r>
        <w:rPr>
          <w:rFonts w:ascii="Barlow Semi Condensed" w:cs="Barlow Semi Condensed" w:eastAsia="Barlow Semi Condensed" w:hAnsi="Barlow Semi Condensed"/>
          <w:sz w:val="24"/>
          <w:szCs w:val="24"/>
        </w:rPr>
        <w:t xml:space="preserve">Blocco mirato numero 3901 — Sintesi del dato nuovo acquisito. Il presente registro triangola con i 2 volumi conferiti i 5 artefatti conclusivi della sessione, che si distinguono dai precedenti per operare sugli strumenti anziché sulla materia, e ne verifica l'effetto sull'opera. Il riscontro meccanico accerta che l'Edizione Integrata invoca la categoria dello Stato Zero 98 volte senza qualificare mai il grado, nessuno dei 10 nomi ricorrendovi, e che le invocazioni si addensano nelle fasi di verifica, cioè nella sede in cui l'indifferenziazione costa di più. Il registro individua inoltre un errore di categoria strutturale: il volume, nei bilanci di fase, conta gli Stati Zero accanto ai livelli Savona come quarta categoria esclusiva, laddove il sistema Savona misura la certezza di un'affermazione e la scala misura la natura di un'assenza, dimensioni ortogonali e non alternative. L'errore è dimostrabile con le sole parole del volume, il quale qualifica l'assenza di Ortolani sistematicamente ricercata e certificata: poiché un'assenza certificata possiede un grado di certificazione, essa ha un livello Savona, e dunque non può essere un livello Savona. L'emendazione proposta è la doppia qualificazione: ogni Stato Zero rechi il grado secondo la scala a 10 voci e il livello secondo il sistema a 3, sicché la forma di citazione divenga Stato Zero di quarto grado, insieme vuoto verificato, Livello A. Il registro rende peraltro al volume ciò che gli è dovuto: esso aveva già compreso la distinzione senza disporre del nome, chiamando l'assenza di Ortolani calibro per le fasi successive e attribuendo così a quel solo caso una funzione che agli altri non attribuisce; l'operazione presente non corregge un errore concettuale ma fornisce il lessico a una distinzione già praticata. Il registro versa infine 2 acquisizioni ulteriori: la contaminazione per trasferimento di cornice, ricollocata dall'Indice di Contaminazione con la proprietà di resistere a ogni verifica condotta sul dato, e il criterio operativo per cui il mutamento di cornice va pesato indipendentemente dal numero delle riproduzioni; e la classificazione per rimediabilità applicata alle 8 tavole del volume, che possiede tavole e non possiede il criterio per ordinarle, il lemma rimediabile ricorrendovi una volta sola in 241.052 parole.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XXV · Sesto Registro Analitico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 3.029 parole in 9 sezioni; la più ampia è §9 Altre sezioni, con 1.685.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 50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XXVI — Settimo Registro Analitico</w:t>
      </w:r>
    </w:p>
    <w:p>
      <w:pPr>
        <w:pStyle w:val="Heading1"/>
        <w:spacing w:after="120" w:before="240"/>
      </w:pPr>
      <w:r>
        <w:rPr>
          <w:rFonts w:ascii="Barlow Semi Condensed" w:cs="Barlow Semi Condensed" w:eastAsia="Barlow Semi Condensed" w:hAnsi="Barlow Semi Condensed"/>
          <w:sz w:val="24"/>
          <w:szCs w:val="24"/>
        </w:rPr>
        <w:t xml:space="preserve">SETTIMO REGISTRO ANALITICO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La riqualificazione eseguita</w:t>
      </w:r>
    </w:p>
    <w:p>
      <w:pPr>
        <w:pStyle w:val="Heading2"/>
        <w:spacing w:after="100" w:before="200"/>
      </w:pPr>
      <w:r>
        <w:rPr>
          <w:rFonts w:ascii="Barlow Semi Condensed" w:cs="Barlow Semi Condensed" w:eastAsia="Barlow Semi Condensed" w:hAnsi="Barlow Semi Condensed"/>
          <w:sz w:val="24"/>
          <w:szCs w:val="24"/>
        </w:rPr>
        <w:t xml:space="preserve">122 occorrenze — la sottodistinzione del quarto grado — l'undicesimo grado</w:t>
      </w:r>
    </w:p>
    <w:p>
      <w:pPr>
        <w:pStyle w:val="Heading2"/>
        <w:spacing w:after="100" w:before="200"/>
      </w:pPr>
      <w:r>
        <w:rPr>
          <w:rFonts w:ascii="Barlow Semi Condensed" w:cs="Barlow Semi Condensed" w:eastAsia="Barlow Semi Condensed" w:hAnsi="Barlow Semi Condensed"/>
          <w:sz w:val="24"/>
          <w:szCs w:val="24"/>
        </w:rPr>
        <w:t xml:space="preserve">Blocchi 4001-4401 — istanze e menzioni — esito parziale dichiarato</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SETTIMO REGISTRO ANALITICO</w:t>
      </w:r>
    </w:p>
    <w:p>
      <w:pPr>
        <w:pStyle w:val="Heading2"/>
        <w:spacing w:after="100" w:before="200"/>
      </w:pPr>
      <w:r>
        <w:rPr>
          <w:rFonts w:ascii="Barlow Semi Condensed" w:cs="Barlow Semi Condensed" w:eastAsia="Barlow Semi Condensed" w:hAnsi="Barlow Semi Condensed"/>
          <w:sz w:val="24"/>
          <w:szCs w:val="24"/>
        </w:rPr>
        <w:t xml:space="preserve">La riqualificazione eseguita. Centoventidue occorrenze, due reperti non previsti</w:t>
      </w:r>
    </w:p>
    <w:p>
      <w:pPr>
        <w:spacing w:after="120" w:line="276"/>
        <w:jc w:val="both"/>
      </w:pPr>
      <w:r>
        <w:rPr>
          <w:rFonts w:ascii="Barlow Semi Condensed" w:cs="Barlow Semi Condensed" w:eastAsia="Barlow Semi Condensed" w:hAnsi="Barlow Semi Condensed"/>
          <w:sz w:val="24"/>
          <w:szCs w:val="24"/>
        </w:rPr>
        <w:t xml:space="preserve">Blocco mirato numero 4001 — Oggetto, e il debito che salda. Il Sesto Registro, al blocco 3601, ha dichiarato: il presente registro non esegue la riqualificazione voce per voce, non disponendo del testo integrale di ciascun contesto. Il testo è disponibile. Il presente registro la esegue.</w:t>
      </w:r>
    </w:p>
    <w:p>
      <w:pPr>
        <w:spacing w:after="120" w:line="276"/>
        <w:jc w:val="both"/>
      </w:pPr>
      <w:r>
        <w:rPr>
          <w:rFonts w:ascii="Barlow Semi Condensed" w:cs="Barlow Semi Condensed" w:eastAsia="Barlow Semi Condensed" w:hAnsi="Barlow Semi Condensed"/>
          <w:sz w:val="24"/>
          <w:szCs w:val="24"/>
        </w:rPr>
        <w:t xml:space="preserve">Blocco mirato numero 4002 — Prima emendazione, e colpisce il Sesto Registro medesimo. Esso contava 98 invocazioni della categoria. Il conteggio era parziale: comprendeva il solo singolare. Il riscontro sul singolare e sul plurale insieme dà 122 occorrenze: 98 al singolare e 24 al plurale. Livello A.</w:t>
      </w:r>
    </w:p>
    <w:p>
      <w:pPr>
        <w:spacing w:after="120" w:line="276"/>
        <w:jc w:val="both"/>
      </w:pPr>
      <w:r>
        <w:rPr>
          <w:rFonts w:ascii="Barlow Semi Condensed" w:cs="Barlow Semi Condensed" w:eastAsia="Barlow Semi Condensed" w:hAnsi="Barlow Semi Condensed"/>
          <w:sz w:val="24"/>
          <w:szCs w:val="24"/>
        </w:rPr>
        <w:t xml:space="preserve">Blocco mirato numero 4003 — Perché l'errore è istruttivo e non soltanto aritmetico. Le 24 occorrenze al plurale sono precisamente quelle dei bilanci di fase, ove il volume censisce gli Stati Zero in gruppo. Contando il solo singolare, il Sesto Registro aveva escluso dalla misura proprio la sede in cui l'indifferenziazione produce il danno maggiore. Ne discende una regola: quando si misura l'uso di una categoria, si misurino tutte le sue flessioni, poiché il plurale segnala l'aggregazione e l'aggregazione è dove le distinzioni si perdono.</w:t>
      </w:r>
    </w:p>
    <w:p>
      <w:pPr>
        <w:spacing w:after="120" w:line="276"/>
        <w:jc w:val="both"/>
      </w:pPr>
      <w:r>
        <w:rPr>
          <w:rFonts w:ascii="Barlow Semi Condensed" w:cs="Barlow Semi Condensed" w:eastAsia="Barlow Semi Condensed" w:hAnsi="Barlow Semi Condensed"/>
          <w:sz w:val="24"/>
          <w:szCs w:val="24"/>
        </w:rPr>
        <w:t xml:space="preserve">Blocco mirato numero 4004 — La procedura di riqualificazione, in 3 passi. Estrazione di ciascuna occorrenza con 400 caratteri di contesto; classificazione per natura dell'ostacolo o del risultato che il contesto descrive; assegnazione del grado secondo la scala emendata e del livello secondo il sistema Savona, in applicazione della doppia qualificazione prescritta al blocco 3508.</w:t>
      </w:r>
    </w:p>
    <w:p>
      <w:pPr>
        <w:spacing w:after="120" w:line="276"/>
        <w:jc w:val="both"/>
      </w:pPr>
      <w:r>
        <w:rPr>
          <w:rFonts w:ascii="Barlow Semi Condensed" w:cs="Barlow Semi Condensed" w:eastAsia="Barlow Semi Condensed" w:hAnsi="Barlow Semi Condensed"/>
          <w:sz w:val="24"/>
          <w:szCs w:val="24"/>
        </w:rPr>
        <w:t xml:space="preserve">Blocco mirato numero 4005 — La ripartizione risultante, per natura del contesto. Quarantasei occorrenze in contesto di certificazione o verifica; 49 in contesto altro, esaminato al blocco 4301; 17 in contesto archivistico; 10 in contesto di ricerca condotta senza esito dichiarato. Livello A quanto al conteggio.</w:t>
      </w:r>
    </w:p>
    <w:p>
      <w:pPr>
        <w:spacing w:after="120" w:line="276"/>
        <w:jc w:val="both"/>
      </w:pPr>
      <w:r>
        <w:rPr>
          <w:rFonts w:ascii="Barlow Semi Condensed" w:cs="Barlow Semi Condensed" w:eastAsia="Barlow Semi Condensed" w:hAnsi="Barlow Semi Condensed"/>
          <w:sz w:val="24"/>
          <w:szCs w:val="24"/>
        </w:rPr>
        <w:t xml:space="preserve">Blocco mirato numero 4006 — Notazione della doppia qualificazione.\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Ciascun caso si cita nella forma: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Stato Zero di grado N, denominazione, Livello X.</w:t>
      </w:r>
    </w:p>
    <w:p>
      <w:pPr>
        <w:spacing w:after="120" w:line="276"/>
        <w:jc w:val="both"/>
      </w:pPr>
      <w:r>
        <w:rPr>
          <w:rFonts w:ascii="Barlow Semi Condensed" w:cs="Barlow Semi Condensed" w:eastAsia="Barlow Semi Condensed" w:hAnsi="Barlow Semi Condensed"/>
          <w:sz w:val="24"/>
          <w:szCs w:val="24"/>
        </w:rPr>
        <w:t xml:space="preserve">Blocco mirato numero 4007 — Numerazione. Riprende dal 4001, il Sesto Registro essendosi chiuso al 3901.</w:t>
      </w:r>
    </w:p>
    <w:p>
      <w:pPr>
        <w:pStyle w:val="Heading2"/>
        <w:spacing w:after="100" w:before="200"/>
      </w:pPr>
      <w:r>
        <w:rPr>
          <w:rFonts w:ascii="Barlow Semi Condensed" w:cs="Barlow Semi Condensed" w:eastAsia="Barlow Semi Condensed" w:hAnsi="Barlow Semi Condensed"/>
          <w:sz w:val="24"/>
          <w:szCs w:val="24"/>
        </w:rPr>
        <w:t xml:space="preserve">I — LE QUARANTASEI OCCORRENZE DI CERTIFICAZIONE, E LA SOTTODISTINZIONE CHE IMPONGONO</w:t>
      </w:r>
    </w:p>
    <w:p>
      <w:pPr>
        <w:spacing w:after="120" w:line="276"/>
        <w:jc w:val="both"/>
      </w:pPr>
      <w:r>
        <w:rPr>
          <w:rFonts w:ascii="Barlow Semi Condensed" w:cs="Barlow Semi Condensed" w:eastAsia="Barlow Semi Condensed" w:hAnsi="Barlow Semi Condensed"/>
          <w:sz w:val="24"/>
          <w:szCs w:val="24"/>
        </w:rPr>
        <w:t xml:space="preserve">Blocco mirato numero 4101 — Il caso paradigmatico, riportato testualmente. Lo Stato Zero di Umberto Ortolani verso il Dominio 1, unica assenza sistematicamente ricercata e certificata della fase, che vale quale reperto negativo di prima classe e quale calibro per le fasi successive.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4102 — La qualificazione.\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Stato Zero di quarto grado, insieme vuoto verificato, Livello A.</w:t>
      </w:r>
    </w:p>
    <w:p>
      <w:pPr>
        <w:spacing w:after="120" w:line="276"/>
        <w:jc w:val="both"/>
      </w:pPr>
      <w:r>
        <w:rPr>
          <w:rFonts w:ascii="Barlow Semi Condensed" w:cs="Barlow Semi Condensed" w:eastAsia="Barlow Semi Condensed" w:hAnsi="Barlow Semi Condensed"/>
          <w:sz w:val="24"/>
          <w:szCs w:val="24"/>
        </w:rPr>
        <w:t xml:space="preserve">Blocco mirato numero 4103 — Ma un secondo caso obbliga a distinguere entro il quarto grado, e il volume lo fornisce. Nel capitolo sul Sudafrica esso registra lo Stato Zero del riscontro contemporaneo elevato a esemplare della categoria, la connessione cercata su tutto il corpus e non trovata.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4104 — La differenza fra i 2 casi, che non è di grado ma di fondamento. Il caso dell'Opus Dei assente da Grecia, Cipro e Turchia fu verificato contro l'elenco ufficiale dei Paesi che l'ente medesimo pubblica. Il caso della connessione cercata su tutto il corpus fu verificato contro l'esaurimento del corpus stesso.</w:t>
      </w:r>
    </w:p>
    <w:p>
      <w:pPr>
        <w:spacing w:after="120" w:line="276"/>
        <w:jc w:val="both"/>
      </w:pPr>
      <w:r>
        <w:rPr>
          <w:rFonts w:ascii="Barlow Semi Condensed" w:cs="Barlow Semi Condensed" w:eastAsia="Barlow Semi Condensed" w:hAnsi="Barlow Semi Condensed"/>
          <w:sz w:val="24"/>
          <w:szCs w:val="24"/>
        </w:rPr>
        <w:t xml:space="preserve">Blocco mirato numero 4105 — Perché la differenza conta, ed è questione di falsificabilità. Il primo tipo è confutabile da chiunque esibisca una voce nel registro del soggetto. Il secondo è confutabile soltanto esibendo una fonte esterna al corpus — e poiché il corpus è definito da chi lo compila, l'assenza verificata contro di esso è tanto più forte quanto più il corpus è ampio, e tanto meno controllabile dall'esterno.</w:t>
      </w:r>
    </w:p>
    <w:p>
      <w:pPr>
        <w:spacing w:after="120" w:line="276"/>
        <w:jc w:val="both"/>
      </w:pPr>
      <w:r>
        <w:rPr>
          <w:rFonts w:ascii="Barlow Semi Condensed" w:cs="Barlow Semi Condensed" w:eastAsia="Barlow Semi Condensed" w:hAnsi="Barlow Semi Condensed"/>
          <w:sz w:val="24"/>
          <w:szCs w:val="24"/>
        </w:rPr>
        <w:t xml:space="preserve">Blocco mirato numero 4106 — La sottodistinzione proposta entro il quarto grado. Quarto grado di specie prima, verifica esogena: l'assenza è accertata contro un registro che il soggetto pubblica o che un terzo indipendente mantiene. Quarto grado di specie seconda, verifica endogena: l'assenza è accertata contro l'esaurimento del corpus del ricercatore.</w:t>
      </w:r>
    </w:p>
    <w:p>
      <w:pPr>
        <w:spacing w:after="120" w:line="276"/>
        <w:jc w:val="both"/>
      </w:pPr>
      <w:r>
        <w:rPr>
          <w:rFonts w:ascii="Barlow Semi Condensed" w:cs="Barlow Semi Condensed" w:eastAsia="Barlow Semi Condensed" w:hAnsi="Barlow Semi Condensed"/>
          <w:sz w:val="24"/>
          <w:szCs w:val="24"/>
        </w:rPr>
        <w:t xml:space="preserve">Blocco mirato numero 4107 — La prescrizione che ne discende. Ogni Stato Zero di quarto grado dichiari la specie, e la specie seconda dichiari altresì l'estensione del corpus contro cui la verifica fu condotta, poiché senza tale indicazione l'affermazione non è controllabile.</w:t>
      </w:r>
    </w:p>
    <w:p>
      <w:pPr>
        <w:spacing w:after="120" w:line="276"/>
        <w:jc w:val="both"/>
      </w:pPr>
      <w:r>
        <w:rPr>
          <w:rFonts w:ascii="Barlow Semi Condensed" w:cs="Barlow Semi Condensed" w:eastAsia="Barlow Semi Condensed" w:hAnsi="Barlow Semi Condensed"/>
          <w:sz w:val="24"/>
          <w:szCs w:val="24"/>
        </w:rPr>
        <w:t xml:space="preserve">Blocco mirato numero 4108 — Un secondo caso di specie seconda, tratto dal volume. Il capitolo su Aginter Press registra lo stress-test documentale della connessione con i vertici della diplomazia atlantica dell'epoca, il cui esito è uno Stato Zero pieno, nessun documento, nessun atto, nessuna convergenza che sostenga il collegamento. Livello A quanto alla formulazione. Qualificazione: quarto grado di specie seconda, Livello A, con l'avvertenza che il corpus contro cui la verifica fu condotta va dichiarato.</w:t>
      </w:r>
    </w:p>
    <w:p>
      <w:pPr>
        <w:spacing w:after="120" w:line="276"/>
        <w:jc w:val="both"/>
      </w:pPr>
      <w:r>
        <w:rPr>
          <w:rFonts w:ascii="Barlow Semi Condensed" w:cs="Barlow Semi Condensed" w:eastAsia="Barlow Semi Condensed" w:hAnsi="Barlow Semi Condensed"/>
          <w:sz w:val="24"/>
          <w:szCs w:val="24"/>
        </w:rPr>
        <w:t xml:space="preserve">Blocco mirato numero 4109 — Un caso che il volume chiama Stato Zero e che sotto la scala non lo è. Il capitolo su Gladio registra quale Stato Zero più singolare del capitolo il fatto che la rete clandestina mantenne il proprio segreto per 4 decenni attraverso centinaia di reclutati civili. Livello A quanto al fatto.</w:t>
      </w:r>
    </w:p>
    <w:p>
      <w:pPr>
        <w:spacing w:after="120" w:line="276"/>
        <w:jc w:val="both"/>
      </w:pPr>
      <w:r>
        <w:rPr>
          <w:rFonts w:ascii="Barlow Semi Condensed" w:cs="Barlow Semi Condensed" w:eastAsia="Barlow Semi Condensed" w:hAnsi="Barlow Semi Condensed"/>
          <w:sz w:val="24"/>
          <w:szCs w:val="24"/>
        </w:rPr>
        <w:t xml:space="preserve">Blocco mirato numero 4110 — Perché non è uno Stato Zero. Non vi è alcuna connessione attesa e non trovata: vi è un fatto positivo, la tenuta del segreto, che il volume trova sorprendente. L'assenza è quella delle rivelazioni, cioè di eventi che nessuno ha cercato in archivio. Qualificazione corretta: non Stato Zero, ma reperto positivo di natura sociologica. Il volume vi impiega la categoria in senso figurato, e la figura va sciolta.</w:t>
      </w:r>
    </w:p>
    <w:p>
      <w:pPr>
        <w:pStyle w:val="Heading2"/>
        <w:spacing w:after="100" w:before="200"/>
      </w:pPr>
      <w:r>
        <w:rPr>
          <w:rFonts w:ascii="Barlow Semi Condensed" w:cs="Barlow Semi Condensed" w:eastAsia="Barlow Semi Condensed" w:hAnsi="Barlow Semi Condensed"/>
          <w:sz w:val="24"/>
          <w:szCs w:val="24"/>
        </w:rPr>
        <w:t xml:space="preserve">II — LE DICIASSETTE OCCORRENZE ARCHIVISTICHE, E L'UNDICESIMO GRADO</w:t>
      </w:r>
    </w:p>
    <w:p>
      <w:pPr>
        <w:spacing w:after="120" w:line="276"/>
        <w:jc w:val="both"/>
      </w:pPr>
      <w:r>
        <w:rPr>
          <w:rFonts w:ascii="Barlow Semi Condensed" w:cs="Barlow Semi Condensed" w:eastAsia="Barlow Semi Condensed" w:hAnsi="Barlow Semi Condensed"/>
          <w:sz w:val="24"/>
          <w:szCs w:val="24"/>
        </w:rPr>
        <w:t xml:space="preserve">Blocco mirato numero 4201 — Il caso che apre il problema, riportato testualmente. Il capitolo su Hyperion registra un reperto e insieme il suo limite strutturale, giacché un'istruttoria italiana non poteva forzare gli archivi stranieri.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4202 — La verifica sui 10 gradi, condotta per esclusione. Non è primo grado, impossibilità istituzionale: nessuna norma chiude quell'archivio, che è aperto alle autorità del proprio Stato. Non è terzo grado, deposito inesplorato: non si tratta di un archivio ove nessuno sia andato, bensì di uno ove chi vada può essere respinto. Non è decimo grado, barriera macchinica: l'ostacolo è normativo e non tecnico, e colpisce il lettore umano esattamente quanto quello automatico.</w:t>
      </w:r>
    </w:p>
    <w:p>
      <w:pPr>
        <w:spacing w:after="120" w:line="276"/>
        <w:jc w:val="both"/>
      </w:pPr>
      <w:r>
        <w:rPr>
          <w:rFonts w:ascii="Barlow Semi Condensed" w:cs="Barlow Semi Condensed" w:eastAsia="Barlow Semi Condensed" w:hAnsi="Barlow Semi Condensed"/>
          <w:sz w:val="24"/>
          <w:szCs w:val="24"/>
        </w:rPr>
        <w:t xml:space="preserve">Blocco mirato numero 4203 — L'undicesimo grado proposto, e la sua provenienza va dichiarata perché ne accresce il valore. Esso non è proposto dall'analista ma estratto dal volume, che ne descriveva la fattispecie senza nominarla.</w:t>
      </w:r>
    </w:p>
    <w:p>
      <w:pPr>
        <w:spacing w:after="120" w:line="276"/>
        <w:jc w:val="both"/>
      </w:pPr>
      <w:r>
        <w:rPr>
          <w:rFonts w:ascii="Barlow Semi Condensed" w:cs="Barlow Semi Condensed" w:eastAsia="Barlow Semi Condensed" w:hAnsi="Barlow Semi Condensed"/>
          <w:sz w:val="24"/>
          <w:szCs w:val="24"/>
        </w:rPr>
        <w:t xml:space="preserve">Blocco mirato numero 4204 — Definizione. Limite di giurisdizione: l'informazione esiste, è conservata, è accessibile alle autorità dello Stato che la detiene, e resta inattingibile a un'autorità straniera per mancanza di uno strumento che ne imponga la produzione.</w:t>
      </w:r>
    </w:p>
    <w:p>
      <w:pPr>
        <w:spacing w:after="120" w:line="276"/>
        <w:jc w:val="both"/>
      </w:pPr>
      <w:r>
        <w:rPr>
          <w:rFonts w:ascii="Barlow Semi Condensed" w:cs="Barlow Semi Condensed" w:eastAsia="Barlow Semi Condensed" w:hAnsi="Barlow Semi Condensed"/>
          <w:sz w:val="24"/>
          <w:szCs w:val="24"/>
        </w:rPr>
        <w:t xml:space="preserve">Blocco mirato numero 4205 — Primo test, di appartenenza. Descrive un'assenza?\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Sì: assenza di acquisizione, a fronte di un documento esistente, conservato e accessibile ad altri. Superato.</w:t>
      </w:r>
    </w:p>
    <w:p>
      <w:pPr>
        <w:spacing w:after="120" w:line="276"/>
        <w:jc w:val="both"/>
      </w:pPr>
      <w:r>
        <w:rPr>
          <w:rFonts w:ascii="Barlow Semi Condensed" w:cs="Barlow Semi Condensed" w:eastAsia="Barlow Semi Condensed" w:hAnsi="Barlow Semi Condensed"/>
          <w:sz w:val="24"/>
          <w:szCs w:val="24"/>
        </w:rPr>
        <w:t xml:space="preserve">Blocco mirato numero 4206 — Secondo test, di distinzione. Superato per esclusione al blocco 4202. Si aggiunge la prova più netta: il medesimo documento è al tempo stesso disponibile e indisponibile, secondo chi lo chieda. Nessuno degli altri 10 gradi possiede tale proprietà relazionale: essi qualificano il documento, questo qualifica il rapporto fra il documento e il richiedente.</w:t>
      </w:r>
    </w:p>
    <w:p>
      <w:pPr>
        <w:spacing w:after="120" w:line="276"/>
        <w:jc w:val="both"/>
      </w:pPr>
      <w:r>
        <w:rPr>
          <w:rFonts w:ascii="Barlow Semi Condensed" w:cs="Barlow Semi Condensed" w:eastAsia="Barlow Semi Condensed" w:hAnsi="Barlow Semi Condensed"/>
          <w:sz w:val="24"/>
          <w:szCs w:val="24"/>
        </w:rPr>
        <w:t xml:space="preserve">Blocco mirato numero 4207 — La classe di rimediabilità. Classe seconda: rimediabile soltanto da terzi, mediante rogatoria accolta, trattato di cooperazione giudiziaria, o versamento volontario.</w:t>
      </w:r>
    </w:p>
    <w:p>
      <w:pPr>
        <w:spacing w:after="120" w:line="276"/>
        <w:jc w:val="both"/>
      </w:pPr>
      <w:r>
        <w:rPr>
          <w:rFonts w:ascii="Barlow Semi Condensed" w:cs="Barlow Semi Condensed" w:eastAsia="Barlow Semi Condensed" w:hAnsi="Barlow Semi Condensed"/>
          <w:sz w:val="24"/>
          <w:szCs w:val="24"/>
        </w:rPr>
        <w:t xml:space="preserve">Blocco mirato numero 4208 — Il secondo caso archivistico del volume, che è di grado diverso e va distinto. Il capitolo su Aginter Press registra che la struttura non fu mai processata nel Paese che ne custodisce l'archivio, poiché il Portogallo democratico, entrato in possesso delle carte con la rivoluzione, non ne fece uso giudiziario.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4209 — La qualificazione, e differisce dal precedente. Qui non vi è limite di giurisdizione: lo Stato che detiene le carte è il medesimo che avrebbe potuto processare. Vi è mancato esercizio dell'azione da parte di chi ne aveva titolo. Qualificazione: quinto grado, esito negativo presso i beneficiari, Livello A — ove per beneficiario si intenda lo Stato che dall'accertamento avrebbe tratto il maggiore titolo.</w:t>
      </w:r>
    </w:p>
    <w:p>
      <w:pPr>
        <w:spacing w:after="120" w:line="276"/>
        <w:jc w:val="both"/>
      </w:pPr>
      <w:r>
        <w:rPr>
          <w:rFonts w:ascii="Barlow Semi Condensed" w:cs="Barlow Semi Condensed" w:eastAsia="Barlow Semi Condensed" w:hAnsi="Barlow Semi Condensed"/>
          <w:sz w:val="24"/>
          <w:szCs w:val="24"/>
        </w:rPr>
        <w:t xml:space="preserve">Blocco mirato numero 4210 — Il rilievo generale che i 2 casi insieme producono. Un archivio catturato e non attivato e un archivio straniero e non attingibile producono la medesima assenza di risultato per ragioni opposte: nel primo chi poteva non volle, nel secondo chi voleva non poteva. La scala deve distinguerli, e con l'undicesimo grado li distingue.</w:t>
      </w:r>
    </w:p>
    <w:p>
      <w:pPr>
        <w:pStyle w:val="Heading2"/>
        <w:spacing w:after="100" w:before="200"/>
      </w:pPr>
      <w:r>
        <w:rPr>
          <w:rFonts w:ascii="Barlow Semi Condensed" w:cs="Barlow Semi Condensed" w:eastAsia="Barlow Semi Condensed" w:hAnsi="Barlow Semi Condensed"/>
          <w:sz w:val="24"/>
          <w:szCs w:val="24"/>
        </w:rPr>
        <w:t xml:space="preserve">III — LE QUARANTANOVE OCCORRENZE RESIDUE, E IL PROBLEMA DEL CENSIMENTO</w:t>
      </w:r>
    </w:p>
    <w:p>
      <w:pPr>
        <w:spacing w:after="120" w:line="276"/>
        <w:jc w:val="both"/>
      </w:pPr>
      <w:r>
        <w:rPr>
          <w:rFonts w:ascii="Barlow Semi Condensed" w:cs="Barlow Semi Condensed" w:eastAsia="Barlow Semi Condensed" w:hAnsi="Barlow Semi Condensed"/>
          <w:sz w:val="24"/>
          <w:szCs w:val="24"/>
        </w:rPr>
        <w:t xml:space="preserve">Blocco mirato numero 4301 — Il reperto, ed è il più consequenziale della riqualificazione.\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Una parte cospicua delle 49 occorrenze residue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applica la categoria a un'assenza determinata: la nomina quale componente del metodo.</w:t>
      </w:r>
    </w:p>
    <w:p>
      <w:pPr>
        <w:spacing w:after="120" w:line="276"/>
        <w:jc w:val="both"/>
      </w:pPr>
      <w:r>
        <w:rPr>
          <w:rFonts w:ascii="Barlow Semi Condensed" w:cs="Barlow Semi Condensed" w:eastAsia="Barlow Semi Condensed" w:hAnsi="Barlow Semi Condensed"/>
          <w:sz w:val="24"/>
          <w:szCs w:val="24"/>
        </w:rPr>
        <w:t xml:space="preserve">Blocco mirato numero 4302 — Il caso esemplare, riportato testualmente. Il volume scrive che il caso capitale fu il banco di prova sul quale l'intero metodo, i Livelli, i Pattern, la Regola Ferrea, lo Stato Zero, doveva dimostrare di reggere. Livello A quanto alla formulazione.</w:t>
      </w:r>
    </w:p>
    <w:p>
      <w:pPr>
        <w:spacing w:after="120" w:line="276"/>
        <w:jc w:val="both"/>
      </w:pPr>
      <w:r>
        <w:rPr>
          <w:rFonts w:ascii="Barlow Semi Condensed" w:cs="Barlow Semi Condensed" w:eastAsia="Barlow Semi Condensed" w:hAnsi="Barlow Semi Condensed"/>
          <w:sz w:val="24"/>
          <w:szCs w:val="24"/>
        </w:rPr>
        <w:t xml:space="preserve">Blocco mirato numero 4303 — La qualificazione.\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è un'occorrenza da censire. È una menzione della categoria e non un'istanza di essa.\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Qualificarla con grado e livello sarebbe privo di senso, poiché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vi è alcuna assenza a cui riferirli.</w:t>
      </w:r>
    </w:p>
    <w:p>
      <w:pPr>
        <w:spacing w:after="120" w:line="276"/>
        <w:jc w:val="both"/>
      </w:pPr>
      <w:r>
        <w:rPr>
          <w:rFonts w:ascii="Barlow Semi Condensed" w:cs="Barlow Semi Condensed" w:eastAsia="Barlow Semi Condensed" w:hAnsi="Barlow Semi Condensed"/>
          <w:sz w:val="24"/>
          <w:szCs w:val="24"/>
        </w:rPr>
        <w:t xml:space="preserve">Blocco mirato numero 4304 — La distinzione che ne discende, e va enunciata perché è di procedura. Le occorrenze si dividono in istanze, che applicano la categoria a un caso, e menzioni, che la nominano quale strumento dell'opera. Soltanto le istanze entrano in un censimento.</w:t>
      </w:r>
    </w:p>
    <w:p>
      <w:pPr>
        <w:spacing w:after="120" w:line="276"/>
        <w:jc w:val="both"/>
      </w:pPr>
      <w:r>
        <w:rPr>
          <w:rFonts w:ascii="Barlow Semi Condensed" w:cs="Barlow Semi Condensed" w:eastAsia="Barlow Semi Condensed" w:hAnsi="Barlow Semi Condensed"/>
          <w:sz w:val="24"/>
          <w:szCs w:val="24"/>
        </w:rPr>
        <w:t xml:space="preserve">Blocco mirato numero 4305 — Il costo dell'omessa distinzione, quantificato. Un censimento automatico delle 122 occorrenze produrrebbe un numero che comprende le menzioni, e dunque sovrastimerebbe gli Stati Zero dell'opera di una quota pari al numero delle menzioni. Poiché la Fase 13 è intitolata all'estrazione computazionale, il rilievo la riguarda direttamente.</w:t>
      </w:r>
    </w:p>
    <w:p>
      <w:pPr>
        <w:spacing w:after="120" w:line="276"/>
        <w:jc w:val="both"/>
      </w:pPr>
      <w:r>
        <w:rPr>
          <w:rFonts w:ascii="Barlow Semi Condensed" w:cs="Barlow Semi Condensed" w:eastAsia="Barlow Semi Condensed" w:hAnsi="Barlow Semi Condensed"/>
          <w:sz w:val="24"/>
          <w:szCs w:val="24"/>
        </w:rPr>
        <w:t xml:space="preserve">Blocco mirato numero 4306 — La prescrizione per l'estrazione automatica. Ogni estrazione della categoria distingua istanze da menzioni, e lo faccia verificando la presenza, nel contesto, di un soggetto determinato e di una connessione attesa. In assenza di entrambi, l'occorrenza è menzione.</w:t>
      </w:r>
    </w:p>
    <w:p>
      <w:pPr>
        <w:spacing w:after="120" w:line="276"/>
        <w:jc w:val="both"/>
      </w:pPr>
      <w:r>
        <w:rPr>
          <w:rFonts w:ascii="Barlow Semi Condensed" w:cs="Barlow Semi Condensed" w:eastAsia="Barlow Semi Condensed" w:hAnsi="Barlow Semi Condensed"/>
          <w:sz w:val="24"/>
          <w:szCs w:val="24"/>
        </w:rPr>
        <w:t xml:space="preserve">Blocco mirato numero 4307 — Un rilievo che va reso al volume, poiché la critica sarebbe unilaterale senza di esso. Le menzioni non sono un vizio: sono il segno che la categoria è divenuta parte del lessico dell'opera, al pari dei Livelli e dei Pattern, con i quali il volume la elenca. Il vizio nascerebbe soltanto dal contarle.</w:t>
      </w:r>
    </w:p>
    <w:p>
      <w:pPr>
        <w:spacing w:after="120" w:line="276"/>
        <w:jc w:val="both"/>
      </w:pPr>
      <w:r>
        <w:rPr>
          <w:rFonts w:ascii="Barlow Semi Condensed" w:cs="Barlow Semi Condensed" w:eastAsia="Barlow Semi Condensed" w:hAnsi="Barlow Semi Condensed"/>
          <w:sz w:val="24"/>
          <w:szCs w:val="24"/>
        </w:rPr>
        <w:t xml:space="preserve">Blocco mirato numero 4308 — Il bilancio della riqualificazione, in forma di stima e non di conteggio. Delle 122 occorrenze, una parte è menzione e non istanza; delle istanze, una parte cospicua è di quarto grado, e si divide fra specie esogena ed endogena; 17 sono archivistiche e si ripartiscono fra primo, terzo, quinto e il nuovo undicesimo grado; una almeno non è Stato Zero ma reperto positivo in senso figurato, come il caso Gladio del blocco 4109.</w:t>
      </w:r>
    </w:p>
    <w:p>
      <w:pPr>
        <w:spacing w:after="120" w:line="276"/>
        <w:jc w:val="both"/>
      </w:pPr>
      <w:r>
        <w:rPr>
          <w:rFonts w:ascii="Barlow Semi Condensed" w:cs="Barlow Semi Condensed" w:eastAsia="Barlow Semi Condensed" w:hAnsi="Barlow Semi Condensed"/>
          <w:sz w:val="24"/>
          <w:szCs w:val="24"/>
        </w:rPr>
        <w:t xml:space="preserve">Blocco mirato numero 4309 — Perché il bilancio è offerto quale stima. La qualificazione definitiva di ciascuna delle 122 occorrenze richiede la lettura del capitolo che la contiene e non del solo contesto prossimo. Il presente registro fornisce il criterio, lo applica ai casi che il riscontro ha isolato, e dichiara che le rimanenti vanno qualificate in sede di revisione del volume. Esito parziale dichiarato.</w:t>
      </w:r>
    </w:p>
    <w:p>
      <w:pPr>
        <w:spacing w:after="120" w:line="276"/>
        <w:jc w:val="both"/>
      </w:pPr>
      <w:r>
        <w:rPr>
          <w:rFonts w:ascii="Barlow Semi Condensed" w:cs="Barlow Semi Condensed" w:eastAsia="Barlow Semi Condensed" w:hAnsi="Barlow Semi Condensed"/>
          <w:sz w:val="24"/>
          <w:szCs w:val="24"/>
        </w:rPr>
        <w:t xml:space="preserve">Blocco mirato numero 4401 — Sintesi del dato nuovo acquisito. Il presente registro salda il debito che il Sesto aveva dichiarato ed esegue la riqualificazione delle occorrenze della categoria dello Stato Zero nell'Edizione Integrata. Esso emenda anzitutto il Sesto Registro, il cui conteggio di 98 comprendeva il solo singolare: le occorrenze sono 122, e le 24 al plurale sono precisamente quelle dei bilanci di fase, cioè la sede in cui l'indifferenziazione produce il danno maggiore, onde la regola che quando si misura l'uso di una categoria si misurino tutte le sue flessioni. Il registro versa poi 3 acquisizioni non previste da alcuna prescrizione anteriore. La prima: la sottodistinzione entro il quarto grado fra verifica esogena, condotta contro un registro che il soggetto pubblica, e verifica endogena, condotta contro l'esaurimento del corpus del ricercatore; la seconda è più debole della prima quanto a controllabilità, poiché il corpus è definito da chi lo compila, e va perciò dichiarata insieme all'estensione del corpus contro cui la verifica fu condotta. La seconda: l'undicesimo grado, limite di giurisdizione, definito quale informazione esistente, conservata e accessibile alle autorità dello Stato che la detiene, e inattingibile a un'autorità straniera per mancanza di strumento che ne imponga la produzione; esso non è proposto dall'analista ma estratto dal volume, che ne descriveva la fattispecie senza nominarla, e possiede una proprietà che nessuno degli altri 10 possiede, essendo il solo che qualifichi non il documento ma il rapporto fra il documento e il richiedente, sicché il medesimo documento è al tempo stesso disponibile e indisponibile secondo chi lo chieda; la sua classe di rimediabilità è la seconda. La terza: la distinzione fra istanze e menzioni della categoria, essendo una parte cospicua delle occorrenze residue non applicazione della categoria a un'assenza determinata ma nominazione di essa quale componente del metodo, con la conseguenza che un censimento automatico sovrastimerebbe gli Stati Zero dell'opera di una quota pari al numero delle menzioni, rilievo che riguarda direttamente la fase intitolata all'estrazione computazionale. Il registro accerta infine che almeno un caso che il volume denomina Stato Zero non lo è, trattandosi della tenuta quadridecennale di un segreto, cioè di un reperto positivo di natura sociologica cui la categoria è applicata in senso figurato. La scala emendata conta pertanto 11 gradi, e il presente registro dichiara esito parziale, la qualificazione definitiva di ciascuna occorrenza richiedendo la lettura del capitolo che la contiene e non del solo contesto prossimo.</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XXVI · Settimo Registro Analitico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 2.206 parole in 9 sezioni; la più ampia è §9 Altre sezioni, con 1.888.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 37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XXVII — Registro Delle Undici Ricognizioni</w:t>
      </w:r>
    </w:p>
    <w:p>
      <w:pPr>
        <w:pStyle w:val="Heading1"/>
        <w:spacing w:after="120" w:before="240"/>
      </w:pPr>
      <w:r>
        <w:rPr>
          <w:rFonts w:ascii="Barlow Semi Condensed" w:cs="Barlow Semi Condensed" w:eastAsia="Barlow Semi Condensed" w:hAnsi="Barlow Semi Condensed"/>
          <w:sz w:val="24"/>
          <w:szCs w:val="24"/>
        </w:rPr>
        <w:t xml:space="preserve">REGISTRO DELLE UNDICI RICOGNIZIONI</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Style w:val="Heading2"/>
        <w:spacing w:after="100" w:before="200"/>
      </w:pPr>
      <w:r>
        <w:rPr>
          <w:rFonts w:ascii="Barlow Semi Condensed" w:cs="Barlow Semi Condensed" w:eastAsia="Barlow Semi Condensed" w:hAnsi="Barlow Semi Condensed"/>
          <w:sz w:val="24"/>
          <w:szCs w:val="24"/>
        </w:rPr>
        <w:t xml:space="preserve">Consolidamento della serie Moro-Santa Sede-Opus Dei-Aginter</w:t>
      </w:r>
    </w:p>
    <w:p>
      <w:pPr>
        <w:pStyle w:val="Heading2"/>
        <w:spacing w:after="100" w:before="200"/>
      </w:pPr>
      <w:r>
        <w:rPr>
          <w:rFonts w:ascii="Barlow Semi Condensed" w:cs="Barlow Semi Condensed" w:eastAsia="Barlow Semi Condensed" w:hAnsi="Barlow Semi Condensed"/>
          <w:sz w:val="24"/>
          <w:szCs w:val="24"/>
        </w:rPr>
        <w:t xml:space="preserve">Correzioni, Stati Zero graduati, tavola fusa per quattordici sedi</w:t>
      </w:r>
    </w:p>
    <w:p>
      <w:pPr>
        <w:pStyle w:val="Heading2"/>
        <w:spacing w:after="100" w:before="200"/>
      </w:pPr>
      <w:r>
        <w:rPr>
          <w:rFonts w:ascii="Barlow Semi Condensed" w:cs="Barlow Semi Condensed" w:eastAsia="Barlow Semi Condensed" w:hAnsi="Barlow Semi Condensed"/>
          <w:sz w:val="24"/>
          <w:szCs w:val="24"/>
        </w:rPr>
        <w:t xml:space="preserve">Dodici Capitoli — cinque proposizioni in appendice alla Nota Metodologica</w:t>
      </w:r>
    </w:p>
    <w:p>
      <w:pPr>
        <w:pStyle w:val="Heading2"/>
        <w:spacing w:after="100" w:before="200"/>
      </w:pPr>
      <w:r>
        <w:rPr>
          <w:rFonts w:ascii="Barlow Semi Condensed" w:cs="Barlow Semi Condensed" w:eastAsia="Barlow Semi Condensed" w:hAnsi="Barlow Semi Condensed"/>
          <w:sz w:val="24"/>
          <w:szCs w:val="24"/>
        </w:rPr>
        <w:t xml:space="preserve">Documento estraneo al Registro Analitico</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16 agosto 2026</w:t>
      </w:r>
    </w:p>
    <w:p>
      <w:pPr>
        <w:pStyle w:val="Heading2"/>
        <w:spacing w:after="100" w:before="200"/>
      </w:pPr>
      <w:r>
        <w:rPr>
          <w:rFonts w:ascii="Barlow Semi Condensed" w:cs="Barlow Semi Condensed" w:eastAsia="Barlow Semi Condensed" w:hAnsi="Barlow Semi Condensed"/>
          <w:sz w:val="24"/>
          <w:szCs w:val="24"/>
        </w:rPr>
        <w:t xml:space="preserve">Capitolo primo — Statuto e funzione di questo Registro</w:t>
      </w:r>
    </w:p>
    <w:p>
      <w:pPr>
        <w:spacing w:after="120" w:line="276"/>
        <w:jc w:val="both"/>
      </w:pPr>
      <w:r>
        <w:rPr>
          <w:rFonts w:ascii="Barlow Semi Condensed" w:cs="Barlow Semi Condensed" w:eastAsia="Barlow Semi Condensed" w:hAnsi="Barlow Semi Condensed"/>
          <w:sz w:val="24"/>
          <w:szCs w:val="24"/>
        </w:rPr>
        <w:t xml:space="preserve">Questo documento non è una dodicesima ricognizione. È il registro delle undici che lo precedono, e nasce da una constatazione operativa: undici documenti sciolti, ciascuno con la propria tavola di acquisizioni, i propri Stati Zero e le proprie correzioni di data, non costituiscono uno strumento. Costituiscono undici testi che vanno riletti uno per uno ogni volta che si voglia sapere che cosa la serie abbia stabilito.</w:t>
      </w:r>
    </w:p>
    <w:p>
      <w:pPr>
        <w:spacing w:after="120" w:line="276"/>
        <w:jc w:val="both"/>
      </w:pPr>
      <w:r>
        <w:rPr>
          <w:rFonts w:ascii="Barlow Semi Condensed" w:cs="Barlow Semi Condensed" w:eastAsia="Barlow Semi Condensed" w:hAnsi="Barlow Semi Condensed"/>
          <w:sz w:val="24"/>
          <w:szCs w:val="24"/>
        </w:rPr>
        <w:t xml:space="preserve">Che cosa questo Registro fa. Censisce i documenti con la loro impronta; raccoglie le correzioni di data e di fatto disperse fra gli studi e le riferisce alle voci che emendano; gradua gli Stati Zero secondo la natura dell'impedimento anziché elencarli; fonde le tavole delle acquisizioni per sede archivistica anziché per studio, che è il guadagno principale; e raccoglie in appendice le cinque proposizioni di metodo che la serie ha prodotto e che la Nota Metodologica del corpus non contiene, essendo esse posteriori.</w:t>
      </w:r>
    </w:p>
    <w:p>
      <w:pPr>
        <w:spacing w:after="120" w:line="276"/>
        <w:jc w:val="both"/>
      </w:pPr>
      <w:r>
        <w:rPr>
          <w:rFonts w:ascii="Barlow Semi Condensed" w:cs="Barlow Semi Condensed" w:eastAsia="Barlow Semi Condensed" w:hAnsi="Barlow Semi Condensed"/>
          <w:sz w:val="24"/>
          <w:szCs w:val="24"/>
        </w:rPr>
        <w:t xml:space="preserve">Che cosa questo Registro non fa. Non riassume gli undici studi, che restano interi e vanno letti per il merito. Non sostituisce nulla e non abroga nulla, salvo la proposizione formalmente revisionata al Capitolo settimo. Non aggiunge accertamenti nuovi.</w:t>
      </w:r>
    </w:p>
    <w:p>
      <w:pPr>
        <w:spacing w:after="120" w:line="276"/>
        <w:jc w:val="both"/>
      </w:pPr>
      <w:r>
        <w:rPr>
          <w:rFonts w:ascii="Barlow Semi Condensed" w:cs="Barlow Semi Condensed" w:eastAsia="Barlow Semi Condensed" w:hAnsi="Barlow Semi Condensed"/>
          <w:sz w:val="24"/>
          <w:szCs w:val="24"/>
        </w:rPr>
        <w:t xml:space="preserve">Il principio che governa il Registro, e va enunciato perché ne determina la forma. Undici tavole ordinate per studio producono una lista di quaranta voci; le medesime voci ordinate per sede archivistica producono una lista di quattordici sedi. La differenza non è redazionale: è che nella prima forma non si vede che un solo viaggio alla Farnesina chiude voci provenienti da sette studi diversi, mentre nella seconda lo si vede immediatamente.</w:t>
      </w:r>
    </w:p>
    <w:p>
      <w:pPr>
        <w:spacing w:after="120" w:line="276"/>
        <w:jc w:val="both"/>
      </w:pPr>
      <w:r>
        <w:rPr>
          <w:rFonts w:ascii="Barlow Semi Condensed" w:cs="Barlow Semi Condensed" w:eastAsia="Barlow Semi Condensed" w:hAnsi="Barlow Semi Condensed"/>
          <w:sz w:val="24"/>
          <w:szCs w:val="24"/>
        </w:rPr>
        <w:t xml:space="preserve">Sul perimetro complessivo della serie. Undici ricognizioni hanno percorso l'attività ministeriale di Aldo Moro verso Spagna, Portogallo, Grecia, Cipro, Turchia e Germania, e quella di Franz Josef Strauß verso due oggetti, incrociandole con la Santa Sede, con l'Opus Dei e con Aginter Press.</w:t>
      </w:r>
    </w:p>
    <w:p>
      <w:pPr>
        <w:spacing w:after="120" w:line="276"/>
        <w:jc w:val="both"/>
      </w:pPr>
      <w:r>
        <w:rPr>
          <w:rFonts w:ascii="Barlow Semi Condensed" w:cs="Barlow Semi Condensed" w:eastAsia="Barlow Semi Condensed" w:hAnsi="Barlow Semi Condensed"/>
          <w:sz w:val="24"/>
          <w:szCs w:val="24"/>
        </w:rPr>
        <w:t xml:space="preserve">Sui risultati, che il Capitolo dodicesimo espone e che qui si anticipano nella loro tipologia. Essi si dispongono in quattro ordini: gli Stati Zero, che sono la maggioranza e che il Capitolo terzo gradua; un solo nesso documentato, esposto al Capitolo sesto; una revisione, esposta al Capitolo settimo; e la genealogia di una connessione falsa, esposta al Capitolo ottavo.</w:t>
      </w:r>
    </w:p>
    <w:p>
      <w:pPr>
        <w:spacing w:after="120" w:line="276"/>
        <w:jc w:val="both"/>
      </w:pPr>
      <w:r>
        <w:rPr>
          <w:rFonts w:ascii="Barlow Semi Condensed" w:cs="Barlow Semi Condensed" w:eastAsia="Barlow Semi Condensed" w:hAnsi="Barlow Semi Condensed"/>
          <w:sz w:val="24"/>
          <w:szCs w:val="24"/>
        </w:rPr>
        <w:t xml:space="preserve">Una avvertenza sulla natura del documento. Come gli undici che lo precedono, questo Registro è estraneo al Registro Analitico e non entra nel computo dei gradi Savona. È strumento di lavoro, non fonte.</w:t>
      </w:r>
    </w:p>
    <w:p>
      <w:pPr>
        <w:pStyle w:val="Heading2"/>
        <w:spacing w:after="100" w:before="200"/>
      </w:pPr>
      <w:r>
        <w:rPr>
          <w:rFonts w:ascii="Barlow Semi Condensed" w:cs="Barlow Semi Condensed" w:eastAsia="Barlow Semi Condensed" w:hAnsi="Barlow Semi Condensed"/>
          <w:sz w:val="24"/>
          <w:szCs w:val="24"/>
        </w:rPr>
        <w:t xml:space="preserve">Capitolo secondo — Censimento dei documenti e delle impronte</w:t>
      </w:r>
    </w:p>
    <w:p>
      <w:pPr>
        <w:spacing w:after="120" w:line="276"/>
        <w:jc w:val="both"/>
      </w:pPr>
      <w:r>
        <w:rPr>
          <w:rFonts w:ascii="Barlow Semi Condensed" w:cs="Barlow Semi Condensed" w:eastAsia="Barlow Semi Condensed" w:hAnsi="Barlow Semi Condensed"/>
          <w:sz w:val="24"/>
          <w:szCs w:val="24"/>
        </w:rPr>
        <w:t xml:space="preserve">Il capitolo elenca i documenti prodotti dalla serie con la loro impronta crittografica, perché ciascuno sia identificabile e verificabile.</w:t>
      </w:r>
    </w:p>
    <w:p>
      <w:pPr>
        <w:spacing w:after="120" w:line="276"/>
        <w:jc w:val="both"/>
      </w:pPr>
      <w:r>
        <w:rPr>
          <w:rFonts w:ascii="Barlow Semi Condensed" w:cs="Barlow Semi Condensed" w:eastAsia="Barlow Semi Condensed" w:hAnsi="Barlow Semi Condensed"/>
          <w:sz w:val="24"/>
          <w:szCs w:val="24"/>
        </w:rPr>
        <w:t xml:space="preserve">Prima ricognizione — Moro, la Spagna e la Santa Sede. File 'MORO\_FARNESINA\_SPAGNA\_SANTA\_SEDE.docx', impronta 'faa51a5231d3dbfb6498ba7f00e9b108cb430328323ffd99bc15c38d108c32d2'. Perimetro: mandato ministeriale, Spagna franchista, Santa Sede. Sette Stati Zero, sei acquisizioni.</w:t>
      </w:r>
    </w:p>
    <w:p>
      <w:pPr>
        <w:spacing w:after="120" w:line="276"/>
        <w:jc w:val="both"/>
      </w:pPr>
      <w:r>
        <w:rPr>
          <w:rFonts w:ascii="Barlow Semi Condensed" w:cs="Barlow Semi Condensed" w:eastAsia="Barlow Semi Condensed" w:hAnsi="Barlow Semi Condensed"/>
          <w:sz w:val="24"/>
          <w:szCs w:val="24"/>
        </w:rPr>
        <w:t xml:space="preserve">Seconda ricognizione — Moro, la Spagna e l'Opus Dei. File 'MORO\_FARNESINA\_OPUS\_DEI.docx', impronta '3de2befb099d1d05fcf16a76f2c28d39f87fc79cd1048c50aac6919bc48a713c'. Contiene l'accertamento sul documento della Central Intelligence Agency del 22 maggio 1970, protocollo CIA-RDP85T00875R001500020027-1.</w:t>
      </w:r>
    </w:p>
    <w:p>
      <w:pPr>
        <w:spacing w:after="120" w:line="276"/>
        <w:jc w:val="both"/>
      </w:pPr>
      <w:r>
        <w:rPr>
          <w:rFonts w:ascii="Barlow Semi Condensed" w:cs="Barlow Semi Condensed" w:eastAsia="Barlow Semi Condensed" w:hAnsi="Barlow Semi Condensed"/>
          <w:sz w:val="24"/>
          <w:szCs w:val="24"/>
        </w:rPr>
        <w:t xml:space="preserve">Terza ricognizione — Moro, il Portogallo e la Santa Sede, prima passata. File 'MORO\_FARNESINA\_PORTOGALLO\_SANTA\_SEDE.docx', impronta 'fe3dcd27299208eb37478a85716e85c608a99296368d5513fb1b0166636fa91f'. Quattro nodi documentati, cinque triangolazioni.</w:t>
      </w:r>
    </w:p>
    <w:p>
      <w:pPr>
        <w:spacing w:after="120" w:line="276"/>
        <w:jc w:val="both"/>
      </w:pPr>
      <w:r>
        <w:rPr>
          <w:rFonts w:ascii="Barlow Semi Condensed" w:cs="Barlow Semi Condensed" w:eastAsia="Barlow Semi Condensed" w:hAnsi="Barlow Semi Condensed"/>
          <w:sz w:val="24"/>
          <w:szCs w:val="24"/>
        </w:rPr>
        <w:t xml:space="preserve">Quarta ricognizione — Portogallo e Santa Sede, seconda passata.\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Condotta con ricerca estesa sulle sei lacune dichiarate dalla terza; i suoi esiti sono confluiti nella quinta 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esiste come documento autonomo.</w:t>
      </w:r>
    </w:p>
    <w:p>
      <w:pPr>
        <w:spacing w:after="120" w:line="276"/>
        <w:jc w:val="both"/>
      </w:pPr>
      <w:r>
        <w:rPr>
          <w:rFonts w:ascii="Barlow Semi Condensed" w:cs="Barlow Semi Condensed" w:eastAsia="Barlow Semi Condensed" w:hAnsi="Barlow Semi Condensed"/>
          <w:sz w:val="24"/>
          <w:szCs w:val="24"/>
        </w:rPr>
        <w:t xml:space="preserve">Quinta ricognizione — Portogallo e Santa Sede, consolidata. File 'MORO\_PORTOGALLO\_QUINTA\_RICOGNIZIONE.docx', impronta 'd07c4c0f2dbbc934540c0987504a7fef1aba0923524f0c955779f11445bfca6e'. Contiene i nove nomi degli espulsi e il diario Peano.</w:t>
      </w:r>
    </w:p>
    <w:p>
      <w:pPr>
        <w:spacing w:after="120" w:line="276"/>
        <w:jc w:val="both"/>
      </w:pPr>
      <w:r>
        <w:rPr>
          <w:rFonts w:ascii="Barlow Semi Condensed" w:cs="Barlow Semi Condensed" w:eastAsia="Barlow Semi Condensed" w:hAnsi="Barlow Semi Condensed"/>
          <w:sz w:val="24"/>
          <w:szCs w:val="24"/>
        </w:rPr>
        <w:t xml:space="preserve">Sesta ricognizione — Portogallo e Opus Dei. File 'MORO\_PORTOGALLO\_OPUS\_DEI.docx', impronta '7407cf30354d812eca76e7eda3036f194ef00199dfa2ac8272ffd7d49cea21cf'. Contiene il ribaltamento iberico.</w:t>
      </w:r>
    </w:p>
    <w:p>
      <w:pPr>
        <w:spacing w:after="120" w:line="276"/>
        <w:jc w:val="both"/>
      </w:pPr>
      <w:r>
        <w:rPr>
          <w:rFonts w:ascii="Barlow Semi Condensed" w:cs="Barlow Semi Condensed" w:eastAsia="Barlow Semi Condensed" w:hAnsi="Barlow Semi Condensed"/>
          <w:sz w:val="24"/>
          <w:szCs w:val="24"/>
        </w:rPr>
        <w:t xml:space="preserve">Settima ricognizione — Turchia e Santa Sede. File 'MORO\_TURCHIA\_SANTA\_SEDE.docx', impronta '3f7331f4f961bf7e910f0a533d97465acf7bd96b46a52c9e2debcd624bde8f15'. Contiene l'attentato del 13 maggio 1981 e la qualificazione della pista bulgara.</w:t>
      </w:r>
    </w:p>
    <w:p>
      <w:pPr>
        <w:spacing w:after="120" w:line="276"/>
        <w:jc w:val="both"/>
      </w:pPr>
      <w:r>
        <w:rPr>
          <w:rFonts w:ascii="Barlow Semi Condensed" w:cs="Barlow Semi Condensed" w:eastAsia="Barlow Semi Condensed" w:hAnsi="Barlow Semi Condensed"/>
          <w:sz w:val="24"/>
          <w:szCs w:val="24"/>
        </w:rPr>
        <w:t xml:space="preserve">Ottava ricognizione — il Mediterraneo orientale consolidato. File 'MORO\_MEDITERRANEO\_ORIENTALE\_OPUS\_DEI.docx', impronta '5455daedd39cfe6458f16bb210ce87ed5da941597725668292c17ebd704f027f'. Consolida Grecia, Cipro e Turchia; formula la proposizione poi revisionata.</w:t>
      </w:r>
    </w:p>
    <w:p>
      <w:pPr>
        <w:spacing w:after="120" w:line="276"/>
        <w:jc w:val="both"/>
      </w:pPr>
      <w:r>
        <w:rPr>
          <w:rFonts w:ascii="Barlow Semi Condensed" w:cs="Barlow Semi Condensed" w:eastAsia="Barlow Semi Condensed" w:hAnsi="Barlow Semi Condensed"/>
          <w:sz w:val="24"/>
          <w:szCs w:val="24"/>
        </w:rPr>
        <w:t xml:space="preserve">Nona ricognizione — le due Germanie e la Santa Sede.\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File 'MORO\_GERMANIE\_SANTA\_SEDE.docx', impronta 'b44b1928a2cf665691361880c100292f9e4f22aed48f9f284a64afe0c6ee6c0d'.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Contiene il solo nesso documentato della serie.</w:t>
      </w:r>
    </w:p>
    <w:p>
      <w:pPr>
        <w:spacing w:after="120" w:line="276"/>
        <w:jc w:val="both"/>
      </w:pPr>
      <w:r>
        <w:rPr>
          <w:rFonts w:ascii="Barlow Semi Condensed" w:cs="Barlow Semi Condensed" w:eastAsia="Barlow Semi Condensed" w:hAnsi="Barlow Semi Condensed"/>
          <w:sz w:val="24"/>
          <w:szCs w:val="24"/>
        </w:rPr>
        <w:t xml:space="preserve">Decima ricognizione — Germania e Opus Dei, atto di revisione.\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File 'MORO\_GERMANIA\_OPUS\_DEI\_REVISIONE.docx', impronta 'f666dd7c5a1d5aecaa888b40a903615bf3fa50ead5f92204ecba0d9a356b2938'.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Revisiona la proposizione dell'ottava.</w:t>
      </w:r>
    </w:p>
    <w:p>
      <w:pPr>
        <w:spacing w:after="120" w:line="276"/>
        <w:jc w:val="both"/>
      </w:pPr>
      <w:r>
        <w:rPr>
          <w:rFonts w:ascii="Barlow Semi Condensed" w:cs="Barlow Semi Condensed" w:eastAsia="Barlow Semi Condensed" w:hAnsi="Barlow Semi Condensed"/>
          <w:sz w:val="24"/>
          <w:szCs w:val="24"/>
        </w:rPr>
        <w:t xml:space="preserve">Undicesima ricognizione — Strauß e Aginter Press. File 'STRAUSS\_AGINTER\_ANATOMIA.docx', impronta 'e16391f2c57a599777b2839ec7dbc5ccdc0052e427c87250b7ef88779b189bb8'. Contiene la genealogia della connessione falsa.</w:t>
      </w:r>
    </w:p>
    <w:p>
      <w:pPr>
        <w:spacing w:after="120" w:line="276"/>
        <w:jc w:val="both"/>
      </w:pPr>
      <w:r>
        <w:rPr>
          <w:rFonts w:ascii="Barlow Semi Condensed" w:cs="Barlow Semi Condensed" w:eastAsia="Barlow Semi Condensed" w:hAnsi="Barlow Semi Condensed"/>
          <w:sz w:val="24"/>
          <w:szCs w:val="24"/>
        </w:rPr>
        <w:t xml:space="preserve">Totale: dieci documenti, dieci impronte, undici ricognizioni. La quarta esiste come ricerca e non come documento, e la sua omissione va registrata perché è l'unica discontinuità della numerazione.</w:t>
      </w:r>
    </w:p>
    <w:p>
      <w:pPr>
        <w:pStyle w:val="Heading2"/>
        <w:spacing w:after="100" w:before="200"/>
      </w:pPr>
      <w:r>
        <w:rPr>
          <w:rFonts w:ascii="Barlow Semi Condensed" w:cs="Barlow Semi Condensed" w:eastAsia="Barlow Semi Condensed" w:hAnsi="Barlow Semi Condensed"/>
          <w:sz w:val="24"/>
          <w:szCs w:val="24"/>
        </w:rPr>
        <w:t xml:space="preserve">Capitolo terzo — Gli Stati Zero graduati per natura dell'impedimento</w:t>
      </w:r>
    </w:p>
    <w:p>
      <w:pPr>
        <w:spacing w:after="120" w:line="276"/>
        <w:jc w:val="both"/>
      </w:pPr>
      <w:r>
        <w:rPr>
          <w:rFonts w:ascii="Barlow Semi Condensed" w:cs="Barlow Semi Condensed" w:eastAsia="Barlow Semi Condensed" w:hAnsi="Barlow Semi Condensed"/>
          <w:sz w:val="24"/>
          <w:szCs w:val="24"/>
        </w:rPr>
        <w:t xml:space="preserve">Il capitolo compie l'operazione che gli undici studi non potevano compiere, avendo ciascuno un solo perimetro: graduare gli Stati Zero secondo la natura dell'impedimento anziché elencarli. La graduazione ha conseguenza operativa diretta, poiché ciascun grado richiede un'azione diversa e alcuni non ne ammettono alcuna.</w:t>
      </w:r>
    </w:p>
    <w:p>
      <w:pPr>
        <w:spacing w:after="120" w:line="276"/>
        <w:jc w:val="both"/>
      </w:pPr>
      <w:r>
        <w:rPr>
          <w:rFonts w:ascii="Barlow Semi Condensed" w:cs="Barlow Semi Condensed" w:eastAsia="Barlow Semi Condensed" w:hAnsi="Barlow Semi Condensed"/>
          <w:sz w:val="24"/>
          <w:szCs w:val="24"/>
        </w:rPr>
        <w:t xml:space="preserve">Primo grado — impossibilità istituzionale. L'impedimento non dipende da difetto di ricerca né da limite di strumento: la documentazione non è accessibile a chiunque, per disposizione dell'istituzione che la detiene. Vi appartengono: l'intera documentazione vaticana posteriore all'ottobre 1958, essendo l'Archivio Apostolico Vaticano consultabile soltanto fino alla morte di Pio XII, con i pontificati di Giovanni XXIII, Paolo VI e Giovanni Paolo II non aperti; e la documentazione roncalliana del quinquennio 1940-1945, non pienamente consultabile.</w:t>
      </w:r>
    </w:p>
    <w:p>
      <w:pPr>
        <w:spacing w:after="120" w:line="276"/>
        <w:jc w:val="both"/>
      </w:pPr>
      <w:r>
        <w:rPr>
          <w:rFonts w:ascii="Barlow Semi Condensed" w:cs="Barlow Semi Condensed" w:eastAsia="Barlow Semi Condensed" w:hAnsi="Barlow Semi Condensed"/>
          <w:sz w:val="24"/>
          <w:szCs w:val="24"/>
        </w:rPr>
        <w:t xml:space="preserve">Conseguenza operativa: nessuna. Questi Stati Zero non si chiudono con un viaggio né con una richiesta; si chiudono quando l'istituzione decide di aprire.</w:t>
      </w:r>
    </w:p>
    <w:p>
      <w:pPr>
        <w:spacing w:after="120" w:line="276"/>
        <w:jc w:val="both"/>
      </w:pPr>
      <w:r>
        <w:rPr>
          <w:rFonts w:ascii="Barlow Semi Condensed" w:cs="Barlow Semi Condensed" w:eastAsia="Barlow Semi Condensed" w:hAnsi="Barlow Semi Condensed"/>
          <w:sz w:val="24"/>
          <w:szCs w:val="24"/>
        </w:rPr>
        <w:t xml:space="preserve">Secondo grado — limite di strumento. Il documento esiste ed è in principio accessibile, ma non è interrogabile. Vi appartengono: la quinta e la sesta legislatura italiana, poiché la banca dati del sindacato ispettivo copre soltanto dal 5 luglio 1976 e gli atti anteriori esistono come resoconti stenografici non indicizzati per soggetto; e i Telegrammi 1942-1970 dell'Archivio Storico Diplomatico, temporaneamente esclusi per lavori.</w:t>
      </w:r>
    </w:p>
    <w:p>
      <w:pPr>
        <w:spacing w:after="120" w:line="276"/>
        <w:jc w:val="both"/>
      </w:pPr>
      <w:r>
        <w:rPr>
          <w:rFonts w:ascii="Barlow Semi Condensed" w:cs="Barlow Semi Condensed" w:eastAsia="Barlow Semi Condensed" w:hAnsi="Barlow Semi Condensed"/>
          <w:sz w:val="24"/>
          <w:szCs w:val="24"/>
        </w:rPr>
        <w:t xml:space="preserve">Conseguenza operativa: spoglio manuale per il primo caso, attesa della riapertura per il secondo. E una prescrizione: un esito negativo ottenuto su questi fondi per via telematica non ha valore probatorio, perché si è cercato dove la ricerca non è possibile.</w:t>
      </w:r>
    </w:p>
    <w:p>
      <w:pPr>
        <w:spacing w:after="120" w:line="276"/>
        <w:jc w:val="both"/>
      </w:pPr>
      <w:r>
        <w:rPr>
          <w:rFonts w:ascii="Barlow Semi Condensed" w:cs="Barlow Semi Condensed" w:eastAsia="Barlow Semi Condensed" w:hAnsi="Barlow Semi Condensed"/>
          <w:sz w:val="24"/>
          <w:szCs w:val="24"/>
        </w:rPr>
        <w:t xml:space="preserve">Terzo grado — deposito inesplorato. Il fondo è accessibile e la ricerca è possibile, ma nessuno l'ha condotta. Vi appartiene per eccellenza il fondo della polizia politica portoghese alla Torre do Tombo, del quale il capo divisione ha dichiarato il 23 aprile 2019 che metà della documentazione nei depositi non è mai stata consultata, pur essendo già numerata.</w:t>
      </w:r>
    </w:p>
    <w:p>
      <w:pPr>
        <w:spacing w:after="120" w:line="276"/>
        <w:jc w:val="both"/>
      </w:pPr>
      <w:r>
        <w:rPr>
          <w:rFonts w:ascii="Barlow Semi Condensed" w:cs="Barlow Semi Condensed" w:eastAsia="Barlow Semi Condensed" w:hAnsi="Barlow Semi Condensed"/>
          <w:sz w:val="24"/>
          <w:szCs w:val="24"/>
        </w:rPr>
        <w:t xml:space="preserve">Conseguenza operativa: il viaggio è possibile e produttivo. E una prescrizione: un esito negativo su un fondo di terzo grado ottenuto per via di catalogo vale poco, perché si è cercato in un indice e non nei depositi.</w:t>
      </w:r>
    </w:p>
    <w:p>
      <w:pPr>
        <w:spacing w:after="120" w:line="276"/>
        <w:jc w:val="both"/>
      </w:pPr>
      <w:r>
        <w:rPr>
          <w:rFonts w:ascii="Barlow Semi Condensed" w:cs="Barlow Semi Condensed" w:eastAsia="Barlow Semi Condensed" w:hAnsi="Barlow Semi Condensed"/>
          <w:sz w:val="24"/>
          <w:szCs w:val="24"/>
        </w:rPr>
        <w:t xml:space="preserve">Quarto grado — insieme vuoto verificato. L'assenza è accertata contro il registro ufficiale del soggetto medesimo. Vi appartiene l'assenza dell'Opus Dei da Grecia, Cipro e Turchia, verificata sull'elenco ufficiale delle date di inizio del lavoro stabile nei sessantotto Paesi e sull'elenco delle circoscrizioni regionali.</w:t>
      </w:r>
    </w:p>
    <w:p>
      <w:pPr>
        <w:spacing w:after="120" w:line="276"/>
        <w:jc w:val="both"/>
      </w:pPr>
      <w:r>
        <w:rPr>
          <w:rFonts w:ascii="Barlow Semi Condensed" w:cs="Barlow Semi Condensed" w:eastAsia="Barlow Semi Condensed" w:hAnsi="Barlow Semi Condensed"/>
          <w:sz w:val="24"/>
          <w:szCs w:val="24"/>
        </w:rPr>
        <w:t xml:space="preserve">Conseguenza operativa: nessuna, e per ragione opposta al primo grado. Non c'è nulla da cercare perché non c'è nulla. Questo è il grado che l'ottava ricognizione ha distinto per prima, e la distinzione fra lacuna e insieme vuoto è la seconda proposizione della serie.</w:t>
      </w:r>
    </w:p>
    <w:p>
      <w:pPr>
        <w:spacing w:after="120" w:line="276"/>
        <w:jc w:val="both"/>
      </w:pPr>
      <w:r>
        <w:rPr>
          <w:rFonts w:ascii="Barlow Semi Condensed" w:cs="Barlow Semi Condensed" w:eastAsia="Barlow Semi Condensed" w:hAnsi="Barlow Semi Condensed"/>
          <w:sz w:val="24"/>
          <w:szCs w:val="24"/>
        </w:rPr>
        <w:t xml:space="preserve">Quinto grado — esito negativo presso i beneficiari. L'atto non è reperito e coloro che ne avrebbero beneficiato non ne fanno menzione. Vi appartiene l'assenza di intervento italiano sull'espulsione del 13 aprile 1974: nessuno dei nove comboniani italiani espulsi menziona un intervento consolare o diplomatico, attribuendo la propria accoglienza esclusivamente alla congregazione.</w:t>
      </w:r>
    </w:p>
    <w:p>
      <w:pPr>
        <w:spacing w:after="120" w:line="276"/>
        <w:jc w:val="both"/>
      </w:pPr>
      <w:r>
        <w:rPr>
          <w:rFonts w:ascii="Barlow Semi Condensed" w:cs="Barlow Semi Condensed" w:eastAsia="Barlow Semi Condensed" w:hAnsi="Barlow Semi Condensed"/>
          <w:sz w:val="24"/>
          <w:szCs w:val="24"/>
        </w:rPr>
        <w:t xml:space="preserve">È grado superiore al semplice non reperimento, e va segnalato come tale; ma non prova l'inazione, restando aperta la possibilità di un intervento riservato ignoto agli interessati.</w:t>
      </w:r>
    </w:p>
    <w:p>
      <w:pPr>
        <w:spacing w:after="120" w:line="276"/>
        <w:jc w:val="both"/>
      </w:pPr>
      <w:r>
        <w:rPr>
          <w:rFonts w:ascii="Barlow Semi Condensed" w:cs="Barlow Semi Condensed" w:eastAsia="Barlow Semi Condensed" w:hAnsi="Barlow Semi Condensed"/>
          <w:sz w:val="24"/>
          <w:szCs w:val="24"/>
        </w:rPr>
        <w:t xml:space="preserve">Sesto grado — assenza coerente con la collocazione. L'atto non è reperito e la sua assenza è coerente con quanto si sa del soggetto. Vi appartiene lo Stato Zero Moro-Opus Dei, confermato tre volte, la cui coerenza deriva dalla collocazione morotea nella FUCI, nel Movimento dei Laureati Cattolici, in \</w:t>
      </w:r>
      <w:r>
        <w:rPr>
          <w:rFonts w:ascii="Barlow Semi Condensed" w:cs="Barlow Semi Condensed" w:eastAsia="Barlow Semi Condensed" w:hAnsi="Barlow Semi Condensed"/>
          <w:i/>
          <w:iCs/>
          <w:sz w:val="24"/>
          <w:szCs w:val="24"/>
        </w:rPr>
        <w:t xml:space="preserve">Studium\</w:t>
      </w:r>
      <w:r>
        <w:rPr>
          <w:rFonts w:ascii="Barlow Semi Condensed" w:cs="Barlow Semi Condensed" w:eastAsia="Barlow Semi Condensed" w:hAnsi="Barlow Semi Condensed"/>
          <w:sz w:val="24"/>
          <w:szCs w:val="24"/>
        </w:rPr>
        <w:t xml:space="preserve"> e nella componente dossettiana.</w:t>
      </w:r>
    </w:p>
    <w:p>
      <w:pPr>
        <w:spacing w:after="120" w:line="276"/>
        <w:jc w:val="both"/>
      </w:pPr>
      <w:r>
        <w:rPr>
          <w:rFonts w:ascii="Barlow Semi Condensed" w:cs="Barlow Semi Condensed" w:eastAsia="Barlow Semi Condensed" w:hAnsi="Barlow Semi Condensed"/>
          <w:sz w:val="24"/>
          <w:szCs w:val="24"/>
        </w:rPr>
        <w:t xml:space="preserve">La coerenza rende l'assenza attesa; non la rende provata. La distinzione va mantenuta.</w:t>
      </w:r>
    </w:p>
    <w:p>
      <w:pPr>
        <w:spacing w:after="120" w:line="276"/>
        <w:jc w:val="both"/>
      </w:pPr>
      <w:r>
        <w:rPr>
          <w:rFonts w:ascii="Barlow Semi Condensed" w:cs="Barlow Semi Condensed" w:eastAsia="Barlow Semi Condensed" w:hAnsi="Barlow Semi Condensed"/>
          <w:sz w:val="24"/>
          <w:szCs w:val="24"/>
        </w:rPr>
        <w:t xml:space="preserve">Settimo grado — allegazione senza base documentale. Non è propriamente uno Stato Zero ma il suo rovescio: un'affermazione positiva priva di sostegno. Vi appartiene l'allegazione Koch e Schröm del 16 febbraio 2000 sui contatti fra Aginter Press e Marcel Hepp, e in modo estremo il nome Dieter Huber, del quale non esiste alcun riscontro biografico, archivistico, parlamentare o giudiziario.</w:t>
      </w:r>
    </w:p>
    <w:p>
      <w:pPr>
        <w:spacing w:after="120" w:line="276"/>
        <w:jc w:val="both"/>
      </w:pPr>
      <w:r>
        <w:rPr>
          <w:rFonts w:ascii="Barlow Semi Condensed" w:cs="Barlow Semi Condensed" w:eastAsia="Barlow Semi Condensed" w:hAnsi="Barlow Semi Condensed"/>
          <w:sz w:val="24"/>
          <w:szCs w:val="24"/>
        </w:rPr>
        <w:t xml:space="preserve">Conseguenza operativa: l'onere grava su chi afferma.</w:t>
      </w:r>
    </w:p>
    <w:p>
      <w:pPr>
        <w:pStyle w:val="Heading2"/>
        <w:spacing w:after="100" w:before="200"/>
      </w:pPr>
      <w:r>
        <w:rPr>
          <w:rFonts w:ascii="Barlow Semi Condensed" w:cs="Barlow Semi Condensed" w:eastAsia="Barlow Semi Condensed" w:hAnsi="Barlow Semi Condensed"/>
          <w:sz w:val="24"/>
          <w:szCs w:val="24"/>
        </w:rPr>
        <w:t xml:space="preserve">Capitolo quarto — Le correzioni di data e di fatto</w:t>
      </w:r>
    </w:p>
    <w:p>
      <w:pPr>
        <w:spacing w:after="120" w:line="276"/>
        <w:jc w:val="both"/>
      </w:pPr>
      <w:r>
        <w:rPr>
          <w:rFonts w:ascii="Barlow Semi Condensed" w:cs="Barlow Semi Condensed" w:eastAsia="Barlow Semi Condensed" w:hAnsi="Barlow Semi Condensed"/>
          <w:sz w:val="24"/>
          <w:szCs w:val="24"/>
        </w:rPr>
        <w:t xml:space="preserve">Il capitolo raccoglie le emendazioni prodotte dalla serie e le riferisce alle voci che correggono, perché esse esistono disperse in nove studi diversi e nessuno le ha finora viste insieme.</w:t>
      </w:r>
    </w:p>
    <w:p>
      <w:pPr>
        <w:spacing w:after="120" w:line="276"/>
        <w:jc w:val="both"/>
      </w:pPr>
      <w:r>
        <w:rPr>
          <w:rFonts w:ascii="Barlow Semi Condensed" w:cs="Barlow Semi Condensed" w:eastAsia="Barlow Semi Condensed" w:hAnsi="Barlow Semi Condensed"/>
          <w:sz w:val="24"/>
          <w:szCs w:val="24"/>
        </w:rPr>
        <w:t xml:space="preserve">Correzioni che emendano il corpus preesistente.</w:t>
      </w:r>
    </w:p>
    <w:p>
      <w:pPr>
        <w:spacing w:after="120" w:line="276"/>
        <w:jc w:val="both"/>
      </w:pPr>
      <w:r>
        <w:rPr>
          <w:rFonts w:ascii="Barlow Semi Condensed" w:cs="Barlow Semi Condensed" w:eastAsia="Barlow Semi Condensed" w:hAnsi="Barlow Semi Condensed"/>
          <w:sz w:val="24"/>
          <w:szCs w:val="24"/>
        </w:rPr>
        <w:t xml:space="preserve">Willy Peter Stoll morì il 6 settembre 1978, non l'11 settembre. Nato a Stoccarda il 12 giugno 1950, fu ucciso dalla polizia la sera del 6 settembre 1978 nel ristorante cinese Shanghai di Düsseldorf. Emenda la quindicesima voce della tavola del memorandum operativo sul caso Moro.</w:t>
      </w:r>
    </w:p>
    <w:p>
      <w:pPr>
        <w:spacing w:after="120" w:line="276"/>
        <w:jc w:val="both"/>
      </w:pPr>
      <w:r>
        <w:rPr>
          <w:rFonts w:ascii="Barlow Semi Condensed" w:cs="Barlow Semi Condensed" w:eastAsia="Barlow Semi Condensed" w:hAnsi="Barlow Semi Condensed"/>
          <w:sz w:val="24"/>
          <w:szCs w:val="24"/>
        </w:rPr>
        <w:t xml:space="preserve">Il riconoscimento italiano della Repubblica Democratica Tedesca è del 17 gennaio 1973, seduta della sesta legislatura, con ministro degli Esteri Giuseppe Medici nel governo Andreotti. Cadde fra i due mandati di Moro e non durante un suo mandato.</w:t>
      </w:r>
    </w:p>
    <w:p>
      <w:pPr>
        <w:spacing w:after="120" w:line="276"/>
        <w:jc w:val="both"/>
      </w:pPr>
      <w:r>
        <w:rPr>
          <w:rFonts w:ascii="Barlow Semi Condensed" w:cs="Barlow Semi Condensed" w:eastAsia="Barlow Semi Condensed" w:hAnsi="Barlow Semi Condensed"/>
          <w:sz w:val="24"/>
          <w:szCs w:val="24"/>
        </w:rPr>
        <w:t xml:space="preserve">Non esiste alcuna lettera tedesca sull'unità nazionale allegata all'Atto finale di Helsinki. Il \</w:t>
      </w:r>
      <w:r>
        <w:rPr>
          <w:rFonts w:ascii="Barlow Semi Condensed" w:cs="Barlow Semi Condensed" w:eastAsia="Barlow Semi Condensed" w:hAnsi="Barlow Semi Condensed"/>
          <w:i/>
          <w:iCs/>
          <w:sz w:val="24"/>
          <w:szCs w:val="24"/>
        </w:rPr>
        <w:t xml:space="preserve">Brief zur deutschen Einheit\</w:t>
      </w:r>
      <w:r>
        <w:rPr>
          <w:rFonts w:ascii="Barlow Semi Condensed" w:cs="Barlow Semi Condensed" w:eastAsia="Barlow Semi Condensed" w:hAnsi="Barlow Semi Condensed"/>
          <w:sz w:val="24"/>
          <w:szCs w:val="24"/>
        </w:rPr>
        <w:t xml:space="preserve"> fu allegato al Trattato di Mosca del 1970 e al Trattato fondamentale del 1972; a Helsinki la funzione fu assolta dalla clausola di modificabilità pacifica delle frontiere. L'ipotesi era stata formulata con clausola condizionale ed è caduta.</w:t>
      </w:r>
    </w:p>
    <w:p>
      <w:pPr>
        <w:spacing w:after="120" w:line="276"/>
        <w:jc w:val="both"/>
      </w:pPr>
      <w:r>
        <w:rPr>
          <w:rFonts w:ascii="Barlow Semi Condensed" w:cs="Barlow Semi Condensed" w:eastAsia="Barlow Semi Condensed" w:hAnsi="Barlow Semi Condensed"/>
          <w:sz w:val="24"/>
          <w:szCs w:val="24"/>
        </w:rPr>
        <w:t xml:space="preserve">Il mandato ministeriale di Moro iniziò il 5 agosto 1969\</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con il governo Rumor secondo,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nel maggio 1969.</w:t>
      </w:r>
    </w:p>
    <w:p>
      <w:pPr>
        <w:spacing w:after="120" w:line="276"/>
        <w:jc w:val="both"/>
      </w:pPr>
      <w:r>
        <w:rPr>
          <w:rFonts w:ascii="Barlow Semi Condensed" w:cs="Barlow Semi Condensed" w:eastAsia="Barlow Semi Condensed" w:hAnsi="Barlow Semi Condensed"/>
          <w:sz w:val="24"/>
          <w:szCs w:val="24"/>
        </w:rPr>
        <w:t xml:space="preserve">L'atto pontificio del 28 giugno 1972 consta di due costituzioni apostoliche e non di una bolla: \</w:t>
      </w:r>
      <w:r>
        <w:rPr>
          <w:rFonts w:ascii="Barlow Semi Condensed" w:cs="Barlow Semi Condensed" w:eastAsia="Barlow Semi Condensed" w:hAnsi="Barlow Semi Condensed"/>
          <w:i/>
          <w:iCs/>
          <w:sz w:val="24"/>
          <w:szCs w:val="24"/>
        </w:rPr>
        <w:t xml:space="preserve">Episcoporum Poloniae coetus\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Vratislaviensis-Berolinensis et aliarum\</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commissione d'inchiesta del Landtag bavarese del 1982 riguardò l'affare Langemann e non l'attentato dell'Oktoberfest, che è del 26 settembre 1980 e le cui indagini furono riaperte nel 2014 e chiuse nel 2020.</w:t>
      </w:r>
    </w:p>
    <w:p>
      <w:pPr>
        <w:spacing w:after="120" w:line="276"/>
        <w:jc w:val="both"/>
      </w:pPr>
      <w:r>
        <w:rPr>
          <w:rFonts w:ascii="Barlow Semi Condensed" w:cs="Barlow Semi Condensed" w:eastAsia="Barlow Semi Condensed" w:hAnsi="Barlow Semi Condensed"/>
          <w:sz w:val="24"/>
          <w:szCs w:val="24"/>
        </w:rPr>
        <w:t xml:space="preserve">Nel modello dell'Opus Dei, il primo caso falsificante è la Gran Bretagna 1946 e non la Germania 1952.\</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Germania è il caso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più probante\</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perché il milieu vi è più documentato;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non il più antico.</w:t>
      </w:r>
    </w:p>
    <w:p>
      <w:pPr>
        <w:spacing w:after="120" w:line="276"/>
        <w:jc w:val="both"/>
      </w:pPr>
      <w:r>
        <w:rPr>
          <w:rFonts w:ascii="Barlow Semi Condensed" w:cs="Barlow Semi Condensed" w:eastAsia="Barlow Semi Condensed" w:hAnsi="Barlow Semi Condensed"/>
          <w:sz w:val="24"/>
          <w:szCs w:val="24"/>
        </w:rPr>
        <w:t xml:space="preserve">Divergenze mantenute, che non sono correzioni ma segnalazioni.</w:t>
      </w:r>
    </w:p>
    <w:p>
      <w:pPr>
        <w:spacing w:after="120" w:line="276"/>
        <w:jc w:val="both"/>
      </w:pPr>
      <w:r>
        <w:rPr>
          <w:rFonts w:ascii="Barlow Semi Condensed" w:cs="Barlow Semi Condensed" w:eastAsia="Barlow Semi Condensed" w:hAnsi="Barlow Semi Condensed"/>
          <w:sz w:val="24"/>
          <w:szCs w:val="24"/>
        </w:rPr>
        <w:t xml:space="preserve">Sull'elevazione di Makarios ad arcivescovo: 18 ottobre, 20 ottobre o 18 settembre 1950. Sulla morte di Atenagora I: 6 o 7 luglio 1972. Sulla nomina di Roncalli a delegato apostolico: 24 novembre 1934, genericamente 1934, o gennaio 1935. Sull'introduzione del turco nella liturgia da parte di Roncalli: 1935, gennaio 1936 o 1938. Sulla sentenza tedesca sul Concordato: 26 o 23 marzo 1957, procedimento 2 BvG 1/55. Sulle dimissioni di Strauß dalla Difesa: 30 novembre 1962, con l'indicazione del 5 dicembre non confermata dalle fonti primarie. Sulla domanda greca di adesione comunitaria: 12 giugno o 12 luglio 1975. Sulla data dell'atto pontificio: 28 giugno secondo il testo primario, 27 giugno secondo alcune voci enciclopediche, 26 giugno per errore di un sito diocesano. Sull'insediamento dell'Opus Dei in Olanda: 1959 o 1960. Sulla residenza portoghese dell'ente: 1952 o 1953, ove la discrepanza distingue l'arrivo dei membri dall'apertura formale.</w:t>
      </w:r>
    </w:p>
    <w:p>
      <w:pPr>
        <w:spacing w:after="120" w:line="276"/>
        <w:jc w:val="both"/>
      </w:pPr>
      <w:r>
        <w:rPr>
          <w:rFonts w:ascii="Barlow Semi Condensed" w:cs="Barlow Semi Condensed" w:eastAsia="Barlow Semi Condensed" w:hAnsi="Barlow Semi Condensed"/>
          <w:sz w:val="24"/>
          <w:szCs w:val="24"/>
        </w:rPr>
        <w:t xml:space="preserve">Precisazioni numeriche. Referendum greco dell'8 dicembre 1974: sessantanove virgola diciotto per cento per la repubblica, con affluenza del settantacinque virgola cinquantotto. Vittime di Wiriyamu: forbice 150-400 da mantenere non risolta, poiché la fonte più precisa quanto al metodo è anche quella che indica la cifra più alta. Starfighter: novecentosedici acquistati secondo le fonti impiegate, novecentodiciassette secondo altre; duecentonovantadue precipitati; centosedici piloti morti.</w:t>
      </w:r>
    </w:p>
    <w:p>
      <w:pPr>
        <w:pStyle w:val="Heading2"/>
        <w:spacing w:after="100" w:before="200"/>
      </w:pPr>
      <w:r>
        <w:rPr>
          <w:rFonts w:ascii="Barlow Semi Condensed" w:cs="Barlow Semi Condensed" w:eastAsia="Barlow Semi Condensed" w:hAnsi="Barlow Semi Condensed"/>
          <w:sz w:val="24"/>
          <w:szCs w:val="24"/>
        </w:rPr>
        <w:t xml:space="preserve">Capitolo quinto — La tavola fusa per sede archivistica</w:t>
      </w:r>
    </w:p>
    <w:p>
      <w:pPr>
        <w:spacing w:after="120" w:line="276"/>
        <w:jc w:val="both"/>
      </w:pPr>
      <w:r>
        <w:rPr>
          <w:rFonts w:ascii="Barlow Semi Condensed" w:cs="Barlow Semi Condensed" w:eastAsia="Barlow Semi Condensed" w:hAnsi="Barlow Semi Condensed"/>
          <w:sz w:val="24"/>
          <w:szCs w:val="24"/>
        </w:rPr>
        <w:t xml:space="preserve">Il capitolo compie l'operazione che è la ragione principale di questo Registro: fondere le undici tavole ordinandole per sede anziché per studio, e deduplicare.</w:t>
      </w:r>
    </w:p>
    <w:p>
      <w:pPr>
        <w:spacing w:after="120" w:line="276"/>
        <w:jc w:val="both"/>
      </w:pPr>
      <w:r>
        <w:rPr>
          <w:rFonts w:ascii="Barlow Semi Condensed" w:cs="Barlow Semi Condensed" w:eastAsia="Barlow Semi Condensed" w:hAnsi="Barlow Semi Condensed"/>
          <w:sz w:val="24"/>
          <w:szCs w:val="24"/>
        </w:rPr>
        <w:t xml:space="preserve">Prima sede — Archivio Storico Diplomatico del Ministero degli Affari Esteri, Roma. È la sede che ricorre in sette studi su undici, e un solo accesso ne chiude le voci corrispondenti. Serie da spogliare: Spagna 1969-1974; Portogallo e Mozambico 1974, per gli atti sull'espulsione del 13 aprile e sugli interrogatori del dicembre 1973-febbraio 1974; Grecia e Cipro 1969-1975; Turchia e Santa Sede 1969-1975; Germania 1969-1975; Comunità europee per il semestre di presidenza italiana del 1971. Registri consolari di Lourenço Marques e dell'ambasciata di Lisbona.</w:t>
      </w:r>
    </w:p>
    <w:p>
      <w:pPr>
        <w:spacing w:after="120" w:line="276"/>
        <w:jc w:val="both"/>
      </w:pPr>
      <w:r>
        <w:rPr>
          <w:rFonts w:ascii="Barlow Semi Condensed" w:cs="Barlow Semi Condensed" w:eastAsia="Barlow Semi Condensed" w:hAnsi="Barlow Semi Condensed"/>
          <w:sz w:val="24"/>
          <w:szCs w:val="24"/>
        </w:rPr>
        <w:t xml:space="preserve">Avvertenza comune a tutte le serie, e va ripetuta perché vale per l'intero accesso: i Telegrammi 1942-1970 risultavano esclusi per lavori di ristrutturazione. La riapertura di quella serie è la condizione singola di maggior rendimento dell'intera tavola.</w:t>
      </w:r>
    </w:p>
    <w:p>
      <w:pPr>
        <w:spacing w:after="120" w:line="276"/>
        <w:jc w:val="both"/>
      </w:pPr>
      <w:r>
        <w:rPr>
          <w:rFonts w:ascii="Barlow Semi Condensed" w:cs="Barlow Semi Condensed" w:eastAsia="Barlow Semi Condensed" w:hAnsi="Barlow Semi Condensed"/>
          <w:sz w:val="24"/>
          <w:szCs w:val="24"/>
        </w:rPr>
        <w:t xml:space="preserve">Seconda sede — Archivio Apostolico Vaticano e Segreteria di Stato, sezione Rapporti con gli Stati. Ricorre in quattro studi. Voci: la comunicazione vaticana del 28 giugno 1972, prima voce assoluta per rendimento; la posizione sulla condizione delle minoranze cristiane in Turchia e sull'esclusione dei cattolici latini da Losanna; l'eventuale reazione alla chiusura di Halki del 1971; la verifica definitiva sull'assenza di tappa romana nell'esilio di Makarios; la documentazione roncalliana 1940-1945.</w:t>
      </w:r>
    </w:p>
    <w:p>
      <w:pPr>
        <w:spacing w:after="120" w:line="276"/>
        <w:jc w:val="both"/>
      </w:pPr>
      <w:r>
        <w:rPr>
          <w:rFonts w:ascii="Barlow Semi Condensed" w:cs="Barlow Semi Condensed" w:eastAsia="Barlow Semi Condensed" w:hAnsi="Barlow Semi Condensed"/>
          <w:sz w:val="24"/>
          <w:szCs w:val="24"/>
        </w:rPr>
        <w:t xml:space="preserve">Condizione unica: l'apertura del pontificato di Paolo VI, non disposta. Un solo atto istituzionale sblocca quattro studi.</w:t>
      </w:r>
    </w:p>
    <w:p>
      <w:pPr>
        <w:spacing w:after="120" w:line="276"/>
        <w:jc w:val="both"/>
      </w:pPr>
      <w:r>
        <w:rPr>
          <w:rFonts w:ascii="Barlow Semi Condensed" w:cs="Barlow Semi Condensed" w:eastAsia="Barlow Semi Condensed" w:hAnsi="Barlow Semi Condensed"/>
          <w:sz w:val="24"/>
          <w:szCs w:val="24"/>
        </w:rPr>
        <w:t xml:space="preserve">Terza sede — Arquivo Nacional da Torre do Tombo, fondo PIDE-DGS, Lisbona. Ricorre in tre studi. Voci: gli archivi sequestrati di Aginter Press, con verifica dell'eventuale lista \</w:t>
      </w:r>
      <w:r>
        <w:rPr>
          <w:rFonts w:ascii="Barlow Semi Condensed" w:cs="Barlow Semi Condensed" w:eastAsia="Barlow Semi Condensed" w:hAnsi="Barlow Semi Condensed"/>
          <w:i/>
          <w:iCs/>
          <w:sz w:val="24"/>
          <w:szCs w:val="24"/>
        </w:rPr>
        <w:t xml:space="preserve">Industry\</w:t>
      </w:r>
      <w:r>
        <w:rPr>
          <w:rFonts w:ascii="Barlow Semi Condensed" w:cs="Barlow Semi Condensed" w:eastAsia="Barlow Semi Condensed" w:hAnsi="Barlow Semi Condensed"/>
          <w:sz w:val="24"/>
          <w:szCs w:val="24"/>
        </w:rPr>
        <w:t xml:space="preserve"> e dei nominativi tedeschi; i fascicoli originali sull'Opus Dei — nota del 1961, rapporti del settembre 1963 e del gennaio 1964 — per verificare le citazioni della pubblicistica contro il testo primario; il documento che dispose il richiamo dell'ambasciatore portoghese presso la Santa Sede nel luglio 1970.</w:t>
      </w:r>
    </w:p>
    <w:p>
      <w:pPr>
        <w:spacing w:after="120" w:line="276"/>
        <w:jc w:val="both"/>
      </w:pPr>
      <w:r>
        <w:rPr>
          <w:rFonts w:ascii="Barlow Semi Condensed" w:cs="Barlow Semi Condensed" w:eastAsia="Barlow Semi Condensed" w:hAnsi="Barlow Semi Condensed"/>
          <w:sz w:val="24"/>
          <w:szCs w:val="24"/>
        </w:rPr>
        <w:t xml:space="preserve">Condizione: richiesta al servizio di riferimento e vaglio del regolamento speciale. Avvertenza di terzo grado: metà del fondo non è mai stata consultata.</w:t>
      </w:r>
    </w:p>
    <w:p>
      <w:pPr>
        <w:spacing w:after="120" w:line="276"/>
        <w:jc w:val="both"/>
      </w:pPr>
      <w:r>
        <w:rPr>
          <w:rFonts w:ascii="Barlow Semi Condensed" w:cs="Barlow Semi Condensed" w:eastAsia="Barlow Semi Condensed" w:hAnsi="Barlow Semi Condensed"/>
          <w:sz w:val="24"/>
          <w:szCs w:val="24"/>
        </w:rPr>
        <w:t xml:space="preserve">Quarta sede — resoconti stenografici della quinta e sesta legislatura italiana. Ricorre in tre studi. Voci: atti sul Portogallo aprile-luglio 1974; dichiarazioni su Cipro luglio-novembre 1974; ratifica del pacchetto CEE-Turchia 1972-1973. Condizione: spoglio manuale, non surrogabile dalla banca dati.</w:t>
      </w:r>
    </w:p>
    <w:p>
      <w:pPr>
        <w:spacing w:after="120" w:line="276"/>
        <w:jc w:val="both"/>
      </w:pPr>
      <w:r>
        <w:rPr>
          <w:rFonts w:ascii="Barlow Semi Condensed" w:cs="Barlow Semi Condensed" w:eastAsia="Barlow Semi Condensed" w:hAnsi="Barlow Semi Condensed"/>
          <w:sz w:val="24"/>
          <w:szCs w:val="24"/>
        </w:rPr>
        <w:t xml:space="preserve">Quinta sede — Archivio storico del Senato e Archivio Centrale dello Stato. Voci: Fondo Moro, con l'avvertenza che l'inventario per la titolarità degli Esteri comincia dal quarto governo Moro, cioè da novembre 1974, posteriore a gran parte del perimetro; fondo Mancini, vuoto fra febbraio e settembre 1983; fondo Zagari, con il fascicolo \</w:t>
      </w:r>
      <w:r>
        <w:rPr>
          <w:rFonts w:ascii="Barlow Semi Condensed" w:cs="Barlow Semi Condensed" w:eastAsia="Barlow Semi Condensed" w:hAnsi="Barlow Semi Condensed"/>
          <w:i/>
          <w:iCs/>
          <w:sz w:val="24"/>
          <w:szCs w:val="24"/>
        </w:rPr>
        <w:t xml:space="preserve">Colonie Portoghesi\</w:t>
      </w:r>
      <w:r>
        <w:rPr>
          <w:rFonts w:ascii="Barlow Semi Condensed" w:cs="Barlow Semi Condensed" w:eastAsia="Barlow Semi Condensed" w:hAnsi="Barlow Semi Condensed"/>
          <w:sz w:val="24"/>
          <w:szCs w:val="24"/>
        </w:rPr>
        <w:t xml:space="preserve">; atti della Commissione Moro; fascicoli processuali dell'attentato del 1981.</w:t>
      </w:r>
    </w:p>
    <w:p>
      <w:pPr>
        <w:spacing w:after="120" w:line="276"/>
        <w:jc w:val="both"/>
      </w:pPr>
      <w:r>
        <w:rPr>
          <w:rFonts w:ascii="Barlow Semi Condensed" w:cs="Barlow Semi Condensed" w:eastAsia="Barlow Semi Condensed" w:hAnsi="Barlow Semi Condensed"/>
          <w:sz w:val="24"/>
          <w:szCs w:val="24"/>
        </w:rPr>
        <w:t xml:space="preserve">Sesta sede — Archiv für Christlich-Soziale Politik, Monaco. Voci: fascicoli di corrispondenza estera del lascito Strauß, per la verifica diretta dell'assenza che la biografia Möller lascia presumere; posizione dei partiti dell'Unione verso l'Opus Dei.</w:t>
      </w:r>
    </w:p>
    <w:p>
      <w:pPr>
        <w:spacing w:after="120" w:line="276"/>
        <w:jc w:val="both"/>
      </w:pPr>
      <w:r>
        <w:rPr>
          <w:rFonts w:ascii="Barlow Semi Condensed" w:cs="Barlow Semi Condensed" w:eastAsia="Barlow Semi Condensed" w:hAnsi="Barlow Semi Condensed"/>
          <w:sz w:val="24"/>
          <w:szCs w:val="24"/>
        </w:rPr>
        <w:t xml:space="preserve">Settima sede — Archiv des Bayerischen Landtags. Voce unica: verbali delle commissioni d'inchiesta del 1982, affare Langemann e attentato, non digitalizzati.</w:t>
      </w:r>
    </w:p>
    <w:p>
      <w:pPr>
        <w:spacing w:after="120" w:line="276"/>
        <w:jc w:val="both"/>
      </w:pPr>
      <w:r>
        <w:rPr>
          <w:rFonts w:ascii="Barlow Semi Condensed" w:cs="Barlow Semi Condensed" w:eastAsia="Barlow Semi Condensed" w:hAnsi="Barlow Semi Condensed"/>
          <w:sz w:val="24"/>
          <w:szCs w:val="24"/>
        </w:rPr>
        <w:t xml:space="preserve">Ottava sede — Politisches Archiv des Auswärtigen Amts e serie Akten zur Auswärtigen Politik. Voci: posizione italiana sui cinque atti della Ostpolitik; incontri Moro-Scheel e Moro-Brandt con data e sede; documenti 409, 410, 415 e 419 del 1962 sull'affare Spiegel.</w:t>
      </w:r>
    </w:p>
    <w:p>
      <w:pPr>
        <w:spacing w:after="120" w:line="276"/>
        <w:jc w:val="both"/>
      </w:pPr>
      <w:r>
        <w:rPr>
          <w:rFonts w:ascii="Barlow Semi Condensed" w:cs="Barlow Semi Condensed" w:eastAsia="Barlow Semi Condensed" w:hAnsi="Barlow Semi Condensed"/>
          <w:sz w:val="24"/>
          <w:szCs w:val="24"/>
        </w:rPr>
        <w:t xml:space="preserve">Nona sede — Archivio Comboniano di Roma e annate 1974-1976 di Nigrizia. Voce unica ma segnalata come la maggior resa fra quelle conseguibili senza accesso ad archivi di Stato: l'articolo di Eugenio Enea in \</w:t>
      </w:r>
      <w:r>
        <w:rPr>
          <w:rFonts w:ascii="Barlow Semi Condensed" w:cs="Barlow Semi Condensed" w:eastAsia="Barlow Semi Condensed" w:hAnsi="Barlow Semi Condensed"/>
          <w:i/>
          <w:iCs/>
          <w:sz w:val="24"/>
          <w:szCs w:val="24"/>
        </w:rPr>
        <w:t xml:space="preserve">Lusitania Sacra\</w:t>
      </w:r>
      <w:r>
        <w:rPr>
          <w:rFonts w:ascii="Barlow Semi Condensed" w:cs="Barlow Semi Condensed" w:eastAsia="Barlow Semi Condensed" w:hAnsi="Barlow Semi Condensed"/>
          <w:sz w:val="24"/>
          <w:szCs w:val="24"/>
        </w:rPr>
        <w:t xml:space="preserve"> numero cinquantuno del 2025 e le riflessioni comboniane sull'espulsione.</w:t>
      </w:r>
    </w:p>
    <w:p>
      <w:pPr>
        <w:spacing w:after="120" w:line="276"/>
        <w:jc w:val="both"/>
      </w:pPr>
      <w:r>
        <w:rPr>
          <w:rFonts w:ascii="Barlow Semi Condensed" w:cs="Barlow Semi Condensed" w:eastAsia="Barlow Semi Condensed" w:hAnsi="Barlow Semi Condensed"/>
          <w:sz w:val="24"/>
          <w:szCs w:val="24"/>
        </w:rPr>
        <w:t xml:space="preserve">Decima sede — Archivio Generale della Prelatura, Roma, e Centro Studi dell'Università di Navarra. Voci: consistenza numerica storica dell'insediamento tedesco 1952-1985; posizione dell'ente sulle guerre coloniali portoghesi; verifica integrale del prospetto delle date di inizio.</w:t>
      </w:r>
    </w:p>
    <w:p>
      <w:pPr>
        <w:spacing w:after="120" w:line="276"/>
        <w:jc w:val="both"/>
      </w:pPr>
      <w:r>
        <w:rPr>
          <w:rFonts w:ascii="Barlow Semi Condensed" w:cs="Barlow Semi Condensed" w:eastAsia="Barlow Semi Condensed" w:hAnsi="Barlow Semi Condensed"/>
          <w:sz w:val="24"/>
          <w:szCs w:val="24"/>
        </w:rPr>
        <w:t xml:space="preserve">Undicesima sede — Arquivo Histórico-Diplomático, Lisbona. Voce: serie italiana del portale ministeriale sulla rivoluzione, che contiene documenti sulla reazione italiana al 25 aprile 1974 e va consultata manualmente essendo bloccato l'accesso automatizzato.</w:t>
      </w:r>
    </w:p>
    <w:p>
      <w:pPr>
        <w:spacing w:after="120" w:line="276"/>
        <w:jc w:val="both"/>
      </w:pPr>
      <w:r>
        <w:rPr>
          <w:rFonts w:ascii="Barlow Semi Condensed" w:cs="Barlow Semi Condensed" w:eastAsia="Barlow Semi Condensed" w:hAnsi="Barlow Semi Condensed"/>
          <w:sz w:val="24"/>
          <w:szCs w:val="24"/>
        </w:rPr>
        <w:t xml:space="preserve">Dodicesima sede — CIA FOIA Electronic Reading Room. Voci: porzioni non desecretate dei documenti 370 e 376 sull'attentato del 1981, sola acquisizione che potrebbe mutare il quadro probatorio sulla pista bulgara; verifiche a esito atteso negativo su Opus Dei e Germania, Opus Dei e Cipro, Aginter e Germania.</w:t>
      </w:r>
    </w:p>
    <w:p>
      <w:pPr>
        <w:spacing w:after="120" w:line="276"/>
        <w:jc w:val="both"/>
      </w:pPr>
      <w:r>
        <w:rPr>
          <w:rFonts w:ascii="Barlow Semi Condensed" w:cs="Barlow Semi Condensed" w:eastAsia="Barlow Semi Condensed" w:hAnsi="Barlow Semi Condensed"/>
          <w:sz w:val="24"/>
          <w:szCs w:val="24"/>
        </w:rPr>
        <w:t xml:space="preserve">Tredicesima sede — Archivo General de la Administración, Alcalá de Henares. Voce: catena esecutiva spagnola dell'arresto di Ahlers dell'ottobre 1962.</w:t>
      </w:r>
    </w:p>
    <w:p>
      <w:pPr>
        <w:spacing w:after="120" w:line="276"/>
        <w:jc w:val="both"/>
      </w:pPr>
      <w:r>
        <w:rPr>
          <w:rFonts w:ascii="Barlow Semi Condensed" w:cs="Barlow Semi Condensed" w:eastAsia="Barlow Semi Condensed" w:hAnsi="Barlow Semi Condensed"/>
          <w:sz w:val="24"/>
          <w:szCs w:val="24"/>
        </w:rPr>
        <w:t xml:space="preserve">Quattordicesima sede — Archivio audiovisivo del movimento operaio e democratico. Voce: riprese della Conferenza romana del giugno 1970 e conferenza stampa di Agostino Neto. È la sola fonte primaria italiana individuata su quella settimana, ed è consultabile senza condizioni.</w:t>
      </w:r>
    </w:p>
    <w:p>
      <w:pPr>
        <w:spacing w:after="120" w:line="276"/>
        <w:jc w:val="both"/>
      </w:pPr>
      <w:r>
        <w:rPr>
          <w:rFonts w:ascii="Barlow Semi Condensed" w:cs="Barlow Semi Condensed" w:eastAsia="Barlow Semi Condensed" w:hAnsi="Barlow Semi Condensed"/>
          <w:sz w:val="24"/>
          <w:szCs w:val="24"/>
        </w:rPr>
        <w:t xml:space="preserve">Il bilancio della fusione va enunciato perché è il guadagno. Quaranta voci ordinate per studio diventano quattordici sedi. Di queste, tre non richiedono viaggio; una richiede soltanto una richiesta bibliotecaria; e una sola condizione istituzionale — l'apertura del pontificato di Paolo VI — sblocca quattro studi insieme.</w:t>
      </w:r>
    </w:p>
    <w:p>
      <w:pPr>
        <w:pStyle w:val="Heading2"/>
        <w:spacing w:after="100" w:before="200"/>
      </w:pPr>
      <w:r>
        <w:rPr>
          <w:rFonts w:ascii="Barlow Semi Condensed" w:cs="Barlow Semi Condensed" w:eastAsia="Barlow Semi Condensed" w:hAnsi="Barlow Semi Condensed"/>
          <w:sz w:val="24"/>
          <w:szCs w:val="24"/>
        </w:rPr>
        <w:t xml:space="preserve">Capitolo sesto — Il nesso documentato, isolato</w:t>
      </w:r>
    </w:p>
    <w:p>
      <w:pPr>
        <w:spacing w:after="120" w:line="276"/>
        <w:jc w:val="both"/>
      </w:pPr>
      <w:r>
        <w:rPr>
          <w:rFonts w:ascii="Barlow Semi Condensed" w:cs="Barlow Semi Condensed" w:eastAsia="Barlow Semi Condensed" w:hAnsi="Barlow Semi Condensed"/>
          <w:sz w:val="24"/>
          <w:szCs w:val="24"/>
        </w:rPr>
        <w:t xml:space="preserve">Il capitolo isola il solo risultato positivo della serie, perché esso sta in un solo studio e rischia di essere sepolto negli altri dieci.</w:t>
      </w:r>
    </w:p>
    <w:p>
      <w:pPr>
        <w:spacing w:after="120" w:line="276"/>
        <w:jc w:val="both"/>
      </w:pPr>
      <w:r>
        <w:rPr>
          <w:rFonts w:ascii="Barlow Semi Condensed" w:cs="Barlow Semi Condensed" w:eastAsia="Barlow Semi Condensed" w:hAnsi="Barlow Semi Condensed"/>
          <w:sz w:val="24"/>
          <w:szCs w:val="24"/>
        </w:rPr>
        <w:t xml:space="preserve">Il fatto.\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 Santa Sede attese la ratifica del Trattato di Varsavia prima di erigere le diocesi permanenti a oriente della linea Oder-Neisse.</w:t>
      </w:r>
    </w:p>
    <w:p>
      <w:pPr>
        <w:spacing w:after="120" w:line="276"/>
        <w:jc w:val="both"/>
      </w:pPr>
      <w:r>
        <w:rPr>
          <w:rFonts w:ascii="Barlow Semi Condensed" w:cs="Barlow Semi Condensed" w:eastAsia="Barlow Semi Condensed" w:hAnsi="Barlow Semi Condensed"/>
          <w:sz w:val="24"/>
          <w:szCs w:val="24"/>
        </w:rPr>
        <w:t xml:space="preserve">La sequenza, per date. Trattato di Varsavia firmato il 7 dicembre 1970; ratificato dal Bundestag il 17 maggio 1972; entrato in vigore per scambio degli strumenti il 3 giugno 1972; costituzioni apostoliche del 28 giugno 1972. Venticinque giorni fra entrata in vigore e atto; quarantadue fra ratifica e atto.</w:t>
      </w:r>
    </w:p>
    <w:p>
      <w:pPr>
        <w:spacing w:after="120" w:line="276"/>
        <w:jc w:val="both"/>
      </w:pPr>
      <w:r>
        <w:rPr>
          <w:rFonts w:ascii="Barlow Semi Condensed" w:cs="Barlow Semi Condensed" w:eastAsia="Barlow Semi Condensed" w:hAnsi="Barlow Semi Condensed"/>
          <w:sz w:val="24"/>
          <w:szCs w:val="24"/>
        </w:rPr>
        <w:t xml:space="preserve">Perché è nesso e non contemporaneità, e va ripetuto perché è l'unica volta nella serie. Tre elementi vanno oltre la successione. Primo: la Santa Sede aveva una consuetudine dichiarata di non mutare lo status delle diocesi prima di un trattato di pace, comunicata al governo di Bonn dal cardinale Döpfner dopo consultazione a Roma. Secondo: la comunicazione vaticana del 28 giugno 1972 si riferì espressamente al trattato tedesco-polacco. Terzo: Roma reagì entro tre settimane.</w:t>
      </w:r>
    </w:p>
    <w:p>
      <w:pPr>
        <w:spacing w:after="120" w:line="276"/>
        <w:jc w:val="both"/>
      </w:pPr>
      <w:r>
        <w:rPr>
          <w:rFonts w:ascii="Barlow Semi Condensed" w:cs="Barlow Semi Condensed" w:eastAsia="Barlow Semi Condensed" w:hAnsi="Barlow Semi Condensed"/>
          <w:sz w:val="24"/>
          <w:szCs w:val="24"/>
        </w:rPr>
        <w:t xml:space="preserve">La fonte va dichiarata perché ne determina il peso. Karl-Joseph Hummel, allora direttore della Forschungsstelle della Kommission für Zeitgeschichte di Bonn, in \</w:t>
      </w:r>
      <w:r>
        <w:rPr>
          <w:rFonts w:ascii="Barlow Semi Condensed" w:cs="Barlow Semi Condensed" w:eastAsia="Barlow Semi Condensed" w:hAnsi="Barlow Semi Condensed"/>
          <w:i/>
          <w:iCs/>
          <w:sz w:val="24"/>
          <w:szCs w:val="24"/>
        </w:rPr>
        <w:t xml:space="preserve">OST-WEST Europäische Perspektiven\</w:t>
      </w:r>
      <w:r>
        <w:rPr>
          <w:rFonts w:ascii="Barlow Semi Condensed" w:cs="Barlow Semi Condensed" w:eastAsia="Barlow Semi Condensed" w:hAnsi="Barlow Semi Condensed"/>
          <w:sz w:val="24"/>
          <w:szCs w:val="24"/>
        </w:rPr>
        <w:t xml:space="preserve">, fascicolo quarto del 2005. Storiografia scientifica di istituto tedesco, non fonte di parte.</w:t>
      </w:r>
    </w:p>
    <w:p>
      <w:pPr>
        <w:spacing w:after="120" w:line="276"/>
        <w:jc w:val="both"/>
      </w:pPr>
      <w:r>
        <w:rPr>
          <w:rFonts w:ascii="Barlow Semi Condensed" w:cs="Barlow Semi Condensed" w:eastAsia="Barlow Semi Condensed" w:hAnsi="Barlow Semi Condensed"/>
          <w:sz w:val="24"/>
          <w:szCs w:val="24"/>
        </w:rPr>
        <w:t xml:space="preserve">E la qualificazione più fine, che va conservata perché è ciò che separa l'accertamento dall'affermazione. Il testo canonico non dice questo. Le due costituzioni adducono una ragione pastorale — reggere più adattamente e da vicino il popolo cristiano — e la richiesta dell'episcopato polacco. Nel dispositivo non compaiono la parola trattato, la linea Oder-Neisse, la Repubblica Federale.</w:t>
      </w:r>
    </w:p>
    <w:p>
      <w:pPr>
        <w:spacing w:after="120" w:line="276"/>
        <w:jc w:val="both"/>
      </w:pPr>
      <w:r>
        <w:rPr>
          <w:rFonts w:ascii="Barlow Semi Condensed" w:cs="Barlow Semi Condensed" w:eastAsia="Barlow Semi Condensed" w:hAnsi="Barlow Semi Condensed"/>
          <w:sz w:val="24"/>
          <w:szCs w:val="24"/>
        </w:rPr>
        <w:t xml:space="preserve">Il nesso è attestato dalla comunicazione di accompagnamento e non dalla bolla.</w:t>
      </w:r>
    </w:p>
    <w:p>
      <w:pPr>
        <w:spacing w:after="120" w:line="276"/>
        <w:jc w:val="both"/>
      </w:pPr>
      <w:r>
        <w:rPr>
          <w:rFonts w:ascii="Barlow Semi Condensed" w:cs="Barlow Semi Condensed" w:eastAsia="Barlow Semi Condensed" w:hAnsi="Barlow Semi Condensed"/>
          <w:sz w:val="24"/>
          <w:szCs w:val="24"/>
        </w:rPr>
        <w:t xml:space="preserve">La conferma per via opposta. Nella Repubblica Democratica Tedesca, il 23 luglio 1973, la Santa Sede non eresse diocesi: si fermò agli uffici vescovili con sospensione, non soppressione, della giurisdizione occidentale — perché nessun trattato aveva chiuso la questione dell'unità. Le diocesi orientali arrivarono soltanto il 27 giugno 1994, dopo la riunificazione.</w:t>
      </w:r>
    </w:p>
    <w:p>
      <w:pPr>
        <w:spacing w:after="120" w:line="276"/>
        <w:jc w:val="both"/>
      </w:pPr>
      <w:r>
        <w:rPr>
          <w:rFonts w:ascii="Barlow Semi Condensed" w:cs="Barlow Semi Condensed" w:eastAsia="Barlow Semi Condensed" w:hAnsi="Barlow Semi Condensed"/>
          <w:sz w:val="24"/>
          <w:szCs w:val="24"/>
        </w:rPr>
        <w:t xml:space="preserve">Il medesimo criterio applicato in due direzioni opposte, e in entrambe fatto dipendere dall'esistenza di un atto politico.</w:t>
      </w:r>
    </w:p>
    <w:p>
      <w:pPr>
        <w:spacing w:after="120" w:line="276"/>
        <w:jc w:val="both"/>
      </w:pPr>
      <w:r>
        <w:rPr>
          <w:rFonts w:ascii="Barlow Semi Condensed" w:cs="Barlow Semi Condensed" w:eastAsia="Barlow Semi Condensed" w:hAnsi="Barlow Semi Condensed"/>
          <w:sz w:val="24"/>
          <w:szCs w:val="24"/>
        </w:rPr>
        <w:t xml:space="preserve">Il residuo, ed è la prima voce assoluta della tavola. Il testo integrale della comunicazione del 28 giugno 1972 è noto per citazione storiografica e non per lettura diretta. Una ricerca mirata ha accertato che nel saggio di Hummel la frase è priva di nota, di segnatura archivistica e di rinvio bibliografico, e che essa è internamente contraddetta dalla frase successiva del medesimo paragrafo, che riconduce la motivazione a necessità pastorali.</w:t>
      </w:r>
    </w:p>
    <w:p>
      <w:pPr>
        <w:spacing w:after="120" w:line="276"/>
        <w:jc w:val="both"/>
      </w:pPr>
      <w:r>
        <w:rPr>
          <w:rFonts w:ascii="Barlow Semi Condensed" w:cs="Barlow Semi Condensed" w:eastAsia="Barlow Semi Condensed" w:hAnsi="Barlow Semi Condensed"/>
          <w:sz w:val="24"/>
          <w:szCs w:val="24"/>
        </w:rPr>
        <w:t xml:space="preserve">Ne discende che il nesso, pur essendo il migliore della serie, poggia su una citazione priva di apparato, e che la sua verifica definitiva richiede L'Osservatore Romano del 29 e 30 giugno 1972, digitalizzato ma ad accesso riservato.</w:t>
      </w:r>
    </w:p>
    <w:p>
      <w:pPr>
        <w:spacing w:after="120" w:line="276"/>
        <w:jc w:val="both"/>
      </w:pPr>
      <w:r>
        <w:rPr>
          <w:rFonts w:ascii="Barlow Semi Condensed" w:cs="Barlow Semi Condensed" w:eastAsia="Barlow Semi Condensed" w:hAnsi="Barlow Semi Condensed"/>
          <w:sz w:val="24"/>
          <w:szCs w:val="24"/>
        </w:rPr>
        <w:t xml:space="preserve">Questa è la sola voce della tavola che possa mutare un accertamento anziché aggiungerne uno.</w:t>
      </w:r>
    </w:p>
    <w:p>
      <w:pPr>
        <w:pStyle w:val="Heading2"/>
        <w:spacing w:after="100" w:before="200"/>
      </w:pPr>
      <w:r>
        <w:rPr>
          <w:rFonts w:ascii="Barlow Semi Condensed" w:cs="Barlow Semi Condensed" w:eastAsia="Barlow Semi Condensed" w:hAnsi="Barlow Semi Condensed"/>
          <w:sz w:val="24"/>
          <w:szCs w:val="24"/>
        </w:rPr>
        <w:t xml:space="preserve">Capitolo settimo — La revisione, e lo stato attuale della proposizione</w:t>
      </w:r>
    </w:p>
    <w:p>
      <w:pPr>
        <w:spacing w:after="120" w:line="276"/>
        <w:jc w:val="both"/>
      </w:pPr>
      <w:r>
        <w:rPr>
          <w:rFonts w:ascii="Barlow Semi Condensed" w:cs="Barlow Semi Condensed" w:eastAsia="Barlow Semi Condensed" w:hAnsi="Barlow Semi Condensed"/>
          <w:sz w:val="24"/>
          <w:szCs w:val="24"/>
        </w:rPr>
        <w:t xml:space="preserve">Il capitolo registra formalmente l'unica proposizione della serie che sia stata formulata, confutata e revisionata, e ne fissa lo stato corrente perché essa non resti nel corpus nella forma superata.</w:t>
      </w:r>
    </w:p>
    <w:p>
      <w:pPr>
        <w:spacing w:after="120" w:line="276"/>
        <w:jc w:val="both"/>
      </w:pPr>
      <w:r>
        <w:rPr>
          <w:rFonts w:ascii="Barlow Semi Condensed" w:cs="Barlow Semi Condensed" w:eastAsia="Barlow Semi Condensed" w:hAnsi="Barlow Semi Condensed"/>
          <w:sz w:val="24"/>
          <w:szCs w:val="24"/>
        </w:rPr>
        <w:t xml:space="preserve">La proposizione originaria, ottava ricognizione. L'insediamento dell'Opus Dei richiede la compresenza di due condizioni: maggioranza cattolica della popolazione, e ceto universitario e professionale cattolico autoctono.</w:t>
      </w:r>
    </w:p>
    <w:p>
      <w:pPr>
        <w:spacing w:after="120" w:line="276"/>
        <w:jc w:val="both"/>
      </w:pPr>
      <w:r>
        <w:rPr>
          <w:rFonts w:ascii="Barlow Semi Condensed" w:cs="Barlow Semi Condensed" w:eastAsia="Barlow Semi Condensed" w:hAnsi="Barlow Semi Condensed"/>
          <w:sz w:val="24"/>
          <w:szCs w:val="24"/>
        </w:rPr>
        <w:t xml:space="preserve">La condizione di falsificazione, dichiarata contestualmente. Un insediamento stabile in un Paese a maggioranza non cattolica e privo di ceto cattolico autoctono. Furono elencati per nome i casi non esaminati: Giappone 1958, Kenya 1958, Nigeria 1965, India 1993, Kazakhistan 1997, Indonesia 2008, Sri Lanka 2011.</w:t>
      </w:r>
    </w:p>
    <w:p>
      <w:pPr>
        <w:spacing w:after="120" w:line="276"/>
        <w:jc w:val="both"/>
      </w:pPr>
      <w:r>
        <w:rPr>
          <w:rFonts w:ascii="Barlow Semi Condensed" w:cs="Barlow Semi Condensed" w:eastAsia="Barlow Semi Condensed" w:hAnsi="Barlow Semi Condensed"/>
          <w:sz w:val="24"/>
          <w:szCs w:val="24"/>
        </w:rPr>
        <w:t xml:space="preserve">La confutazione, decima ricognizione. La prima condizione è falsificata da tre casi: Gran Bretagna 1946, Germania 1952, Svezia 1984, tutti Paesi a maggioranza protestante in cui l'ente si insediò. Nella Repubblica Federale i protestanti erano il cinquanta virgola sei per cento e i cattolici il quarantacinque virgola otto nel 1950, e i cattolici uscirono dalla minoranza soltanto nel 1976.</w:t>
      </w:r>
    </w:p>
    <w:p>
      <w:pPr>
        <w:spacing w:after="120" w:line="276"/>
        <w:jc w:val="both"/>
      </w:pPr>
      <w:r>
        <w:rPr>
          <w:rFonts w:ascii="Barlow Semi Condensed" w:cs="Barlow Semi Condensed" w:eastAsia="Barlow Semi Condensed" w:hAnsi="Barlow Semi Condensed"/>
          <w:sz w:val="24"/>
          <w:szCs w:val="24"/>
        </w:rPr>
        <w:t xml:space="preserve">Lo stato attuale della proposizione, in due parti.</w:t>
      </w:r>
    </w:p>
    <w:p>
      <w:pPr>
        <w:spacing w:after="120" w:line="276"/>
        <w:jc w:val="both"/>
      </w:pPr>
      <w:r>
        <w:rPr>
          <w:rFonts w:ascii="Barlow Semi Condensed" w:cs="Barlow Semi Condensed" w:eastAsia="Barlow Semi Condensed" w:hAnsi="Barlow Semi Condensed"/>
          <w:sz w:val="24"/>
          <w:szCs w:val="24"/>
        </w:rPr>
        <w:t xml:space="preserve">Prima: dove esiste un ceto cattolico professionale autoctono, l'ente si radica su di esso, indipendentemente dalla confessione maggioritaria del Paese.</w:t>
      </w:r>
    </w:p>
    <w:p>
      <w:pPr>
        <w:spacing w:after="120" w:line="276"/>
        <w:jc w:val="both"/>
      </w:pPr>
      <w:r>
        <w:rPr>
          <w:rFonts w:ascii="Barlow Semi Condensed" w:cs="Barlow Semi Condensed" w:eastAsia="Barlow Semi Condensed" w:hAnsi="Barlow Semi Condensed"/>
          <w:sz w:val="24"/>
          <w:szCs w:val="24"/>
        </w:rPr>
        <w:t xml:space="preserve">Seconda: dove tale ceto manca, l'ente si insedia per trapianto e non si radica — come mostra il caso svedese, dove la grande maggioranza dei numerari è di provenienza spagnola, e come mostrano per analogia Ungheria e Russia.</w:t>
      </w:r>
    </w:p>
    <w:p>
      <w:pPr>
        <w:spacing w:after="120" w:line="276"/>
        <w:jc w:val="both"/>
      </w:pPr>
      <w:r>
        <w:rPr>
          <w:rFonts w:ascii="Barlow Semi Condensed" w:cs="Barlow Semi Condensed" w:eastAsia="Barlow Semi Condensed" w:hAnsi="Barlow Semi Condensed"/>
          <w:sz w:val="24"/>
          <w:szCs w:val="24"/>
        </w:rPr>
        <w:t xml:space="preserve">Il guadagno retroattivo, che è la ragione per cui la revisione è miglioramento e non ritirata. Il modello rivisto spiega meglio i tre casi orientali. Cipro cessa di essere anomalo: aveva cattolici — duemilasettecentocinquantadue maroniti nel censimento del 1960 in quattro villaggi, e quattro parrocchie latine — ma non un ceto universitario e professionale. Il modello rivisto ha meno condizioni e spiega più casi.</w:t>
      </w:r>
    </w:p>
    <w:p>
      <w:pPr>
        <w:spacing w:after="120" w:line="276"/>
        <w:jc w:val="both"/>
      </w:pPr>
      <w:r>
        <w:rPr>
          <w:rFonts w:ascii="Barlow Semi Condensed" w:cs="Barlow Semi Condensed" w:eastAsia="Barlow Semi Condensed" w:hAnsi="Barlow Semi Condensed"/>
          <w:sz w:val="24"/>
          <w:szCs w:val="24"/>
        </w:rPr>
        <w:t xml:space="preserve">Che cosa resta non dimostrato, e va conservato nel registro.\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Che la seconda condizione sia necessaria non è dimostrato\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e occorrerebbe un caso in cui essa sussista e l'ente sia comunque assente.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Tale caso non è stato cercato.</w:t>
      </w:r>
    </w:p>
    <w:p>
      <w:pPr>
        <w:spacing w:after="120" w:line="276"/>
        <w:jc w:val="both"/>
      </w:pPr>
      <w:r>
        <w:rPr>
          <w:rFonts w:ascii="Barlow Semi Condensed" w:cs="Barlow Semi Condensed" w:eastAsia="Barlow Semi Condensed" w:hAnsi="Barlow Semi Condensed"/>
          <w:sz w:val="24"/>
          <w:szCs w:val="24"/>
        </w:rPr>
        <w:t xml:space="preserve">La condizione di falsificazione attuale. Il modello rivisto sarebbe falsificato dal reperimento di un radicamento — non per trapianto — in un Paese privo di ceto cattolico professionale autoctono. I casi restano quelli elencati e mai studiati.</w:t>
      </w:r>
    </w:p>
    <w:p>
      <w:pPr>
        <w:spacing w:after="120" w:line="276"/>
        <w:jc w:val="both"/>
      </w:pPr>
      <w:r>
        <w:rPr>
          <w:rFonts w:ascii="Barlow Semi Condensed" w:cs="Barlow Semi Condensed" w:eastAsia="Barlow Semi Condensed" w:hAnsi="Barlow Semi Condensed"/>
          <w:sz w:val="24"/>
          <w:szCs w:val="24"/>
        </w:rPr>
        <w:t xml:space="preserve">Una prescrizione operativa discende dalla seconda parte del modello e va registrata perché ha uso pratico. La presenza di un Paese nell'elenco ufficiale dell'ente non dice di quale delle due nature l'insediamento sia, e per accertarlo occorre guardare alla provenienza dei numerari.</w:t>
      </w:r>
    </w:p>
    <w:p>
      <w:pPr>
        <w:pStyle w:val="Heading2"/>
        <w:spacing w:after="100" w:before="200"/>
      </w:pPr>
      <w:r>
        <w:rPr>
          <w:rFonts w:ascii="Barlow Semi Condensed" w:cs="Barlow Semi Condensed" w:eastAsia="Barlow Semi Condensed" w:hAnsi="Barlow Semi Condensed"/>
          <w:sz w:val="24"/>
          <w:szCs w:val="24"/>
        </w:rPr>
        <w:t xml:space="preserve">Capitolo ottavo — La connessione falsa e i tre criteri per riconoscerla</w:t>
      </w:r>
    </w:p>
    <w:p>
      <w:pPr>
        <w:spacing w:after="120" w:line="276"/>
        <w:jc w:val="both"/>
      </w:pPr>
      <w:r>
        <w:rPr>
          <w:rFonts w:ascii="Barlow Semi Condensed" w:cs="Barlow Semi Condensed" w:eastAsia="Barlow Semi Condensed" w:hAnsi="Barlow Semi Condensed"/>
          <w:sz w:val="24"/>
          <w:szCs w:val="24"/>
        </w:rPr>
        <w:t xml:space="preserve">Il capitolo estrae dall'undicesima ricognizione ciò che in essa ha valore generale, perché vi è sepolto sotto il caso particolare.</w:t>
      </w:r>
    </w:p>
    <w:p>
      <w:pPr>
        <w:spacing w:after="120" w:line="276"/>
        <w:jc w:val="both"/>
      </w:pPr>
      <w:r>
        <w:rPr>
          <w:rFonts w:ascii="Barlow Semi Condensed" w:cs="Barlow Semi Condensed" w:eastAsia="Barlow Semi Condensed" w:hAnsi="Barlow Semi Condensed"/>
          <w:sz w:val="24"/>
          <w:szCs w:val="24"/>
        </w:rPr>
        <w:t xml:space="preserve">Il caso, in una riga. Ogni affermazione circolante di un nesso fra Franz Josef Strauß e Aginter Press risale a un documentario televisivo del 16 febbraio 2000, i cui documenti sono descritti come \</w:t>
      </w:r>
      <w:r>
        <w:rPr>
          <w:rFonts w:ascii="Barlow Semi Condensed" w:cs="Barlow Semi Condensed" w:eastAsia="Barlow Semi Condensed" w:hAnsi="Barlow Semi Condensed"/>
          <w:i/>
          <w:iCs/>
          <w:sz w:val="24"/>
          <w:szCs w:val="24"/>
        </w:rPr>
        <w:t xml:space="preserve">portati alla luce\</w:t>
      </w:r>
      <w:r>
        <w:rPr>
          <w:rFonts w:ascii="Barlow Semi Condensed" w:cs="Barlow Semi Condensed" w:eastAsia="Barlow Semi Condensed" w:hAnsi="Barlow Semi Condensed"/>
          <w:sz w:val="24"/>
          <w:szCs w:val="24"/>
        </w:rPr>
        <w:t xml:space="preserve"> — formula giornalistica e non collocazione archivistica.</w:t>
      </w:r>
    </w:p>
    <w:p>
      <w:pPr>
        <w:spacing w:after="120" w:line="276"/>
        <w:jc w:val="both"/>
      </w:pPr>
      <w:r>
        <w:rPr>
          <w:rFonts w:ascii="Barlow Semi Condensed" w:cs="Barlow Semi Condensed" w:eastAsia="Barlow Semi Condensed" w:hAnsi="Barlow Semi Condensed"/>
          <w:sz w:val="24"/>
          <w:szCs w:val="24"/>
        </w:rPr>
        <w:t xml:space="preserve">Il meccanismo, denominato. Contaminazione per prossimità. L'opera più citata su Aginter non contiene l'allegazione; ma chi la riporta la accosta a fatti documentati — i rapporti con la polizia politica portoghese, la relazione parlamentare, l'istruttoria giudiziaria. L'asserzione debole prende in prestito il credito di quelle forti che le stanno accanto. Non è falsificazione né citazione errata: è collocazione.</w:t>
      </w:r>
    </w:p>
    <w:p>
      <w:pPr>
        <w:spacing w:after="120" w:line="276"/>
        <w:jc w:val="both"/>
      </w:pPr>
      <w:r>
        <w:rPr>
          <w:rFonts w:ascii="Barlow Semi Condensed" w:cs="Barlow Semi Condensed" w:eastAsia="Barlow Semi Condensed" w:hAnsi="Barlow Semi Condensed"/>
          <w:sz w:val="24"/>
          <w:szCs w:val="24"/>
        </w:rPr>
        <w:t xml:space="preserve">Primo criterio generale — il conteggio dei soggetti disinteressati.\</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Una connessione reale lascia tracce presso soggetti che non avevano interesse a produrle.</w:t>
      </w:r>
    </w:p>
    <w:p>
      <w:pPr>
        <w:spacing w:after="120" w:line="276"/>
        <w:jc w:val="both"/>
      </w:pPr>
      <w:r>
        <w:rPr>
          <w:rFonts w:ascii="Barlow Semi Condensed" w:cs="Barlow Semi Condensed" w:eastAsia="Barlow Semi Condensed" w:hAnsi="Barlow Semi Condensed"/>
          <w:sz w:val="24"/>
          <w:szCs w:val="24"/>
        </w:rPr>
        <w:t xml:space="preserve">La verifica sul termine di controllo. L'affare Spiegel dell'ottobre 1962 è documentato perché la polizia dovette verbalizzare, il Parlamento dovette interrogare, la procura dovette qualificare, la Corte costituzionale dovette decidere — e nessuno di questi soggetti voleva documentare l'imbarazzo di un ministro in carica. La documentazione esiste contro l'interesse di chi la produsse.</w:t>
      </w:r>
    </w:p>
    <w:p>
      <w:pPr>
        <w:spacing w:after="120" w:line="276"/>
        <w:jc w:val="both"/>
      </w:pPr>
      <w:r>
        <w:rPr>
          <w:rFonts w:ascii="Barlow Semi Condensed" w:cs="Barlow Semi Condensed" w:eastAsia="Barlow Semi Condensed" w:hAnsi="Barlow Semi Condensed"/>
          <w:sz w:val="24"/>
          <w:szCs w:val="24"/>
        </w:rPr>
        <w:t xml:space="preserve">La regola operativa: si conti quanti soggetti indipendenti e disinteressati abbiano lasciato traccia. Se il numero è zero, l'affermazione non è confutata ma non è utilizzabile.</w:t>
      </w:r>
    </w:p>
    <w:p>
      <w:pPr>
        <w:spacing w:after="120" w:line="276"/>
        <w:jc w:val="both"/>
      </w:pPr>
      <w:r>
        <w:rPr>
          <w:rFonts w:ascii="Barlow Semi Condensed" w:cs="Barlow Semi Condensed" w:eastAsia="Barlow Semi Condensed" w:hAnsi="Barlow Semi Condensed"/>
          <w:sz w:val="24"/>
          <w:szCs w:val="24"/>
        </w:rPr>
        <w:t xml:space="preserve">Secondo criterio — la valutazione separata degli elenchi. Un'asserzione non documentata collocata dentro un elenco di fatti documentati ne acquisisce il credito senza averne il fondamento. La neutralizzazione consiste nel valutare ciascuna voce dell'elenco separatamente, chiedendo per ognuna quale fonte la sostenga.</w:t>
      </w:r>
    </w:p>
    <w:p>
      <w:pPr>
        <w:spacing w:after="120" w:line="276"/>
        <w:jc w:val="both"/>
      </w:pPr>
      <w:r>
        <w:rPr>
          <w:rFonts w:ascii="Barlow Semi Condensed" w:cs="Barlow Semi Condensed" w:eastAsia="Barlow Semi Condensed" w:hAnsi="Barlow Semi Condensed"/>
          <w:sz w:val="24"/>
          <w:szCs w:val="24"/>
        </w:rPr>
        <w:t xml:space="preserve">Terzo criterio — l'asimmetria fra nome verificabile e nome operativo. Si distingua fra i nomi verificabili di un'affermazione e i nomi che ne portano il peso operativo. Nel caso esaminato: Marcel Hepp è verificabile — referente di Strauß dall'autunno 1965, caporedattore del \</w:t>
      </w:r>
      <w:r>
        <w:rPr>
          <w:rFonts w:ascii="Barlow Semi Condensed" w:cs="Barlow Semi Condensed" w:eastAsia="Barlow Semi Condensed" w:hAnsi="Barlow Semi Condensed"/>
          <w:i/>
          <w:iCs/>
          <w:sz w:val="24"/>
          <w:szCs w:val="24"/>
        </w:rPr>
        <w:t xml:space="preserve">Bayernkurier\</w:t>
      </w:r>
      <w:r>
        <w:rPr>
          <w:rFonts w:ascii="Barlow Semi Condensed" w:cs="Barlow Semi Condensed" w:eastAsia="Barlow Semi Condensed" w:hAnsi="Barlow Semi Condensed"/>
          <w:sz w:val="24"/>
          <w:szCs w:val="24"/>
        </w:rPr>
        <w:t xml:space="preserve"> dal maggio 1967 — ma non gli si attribuisce condotta operativa; Dieter Huber porta il peso operativo — il trasporto di denaro contante — e non esiste in alcuna fonte.</w:t>
      </w:r>
    </w:p>
    <w:p>
      <w:pPr>
        <w:spacing w:after="120" w:line="276"/>
        <w:jc w:val="both"/>
      </w:pPr>
      <w:r>
        <w:rPr>
          <w:rFonts w:ascii="Barlow Semi Condensed" w:cs="Barlow Semi Condensed" w:eastAsia="Barlow Semi Condensed" w:hAnsi="Barlow Semi Condensed"/>
          <w:sz w:val="24"/>
          <w:szCs w:val="24"/>
        </w:rPr>
        <w:t xml:space="preserve">Quando il nome verificabile e il nome operativo non coincidono, l'affermazione è costruita in modo da non essere verificabile nella parte che conta.</w:t>
      </w:r>
    </w:p>
    <w:p>
      <w:pPr>
        <w:spacing w:after="120" w:line="276"/>
        <w:jc w:val="both"/>
      </w:pPr>
      <w:r>
        <w:rPr>
          <w:rFonts w:ascii="Barlow Semi Condensed" w:cs="Barlow Semi Condensed" w:eastAsia="Barlow Semi Condensed" w:hAnsi="Barlow Semi Condensed"/>
          <w:sz w:val="24"/>
          <w:szCs w:val="24"/>
        </w:rPr>
        <w:t xml:space="preserve">Una avvertenza chiude il capitolo e va conservata con i criteri. Nessuno dei tre criteri prova la falsità di alcunché. Essi stabiliscono l'inutilizzabilità di un'affermazione come prova, non la sua falsità come enunciato. La distinzione fra non dimostrato e falso è il confine che la serie non valica.</w:t>
      </w:r>
    </w:p>
    <w:p>
      <w:pPr>
        <w:pStyle w:val="Heading2"/>
        <w:spacing w:after="100" w:before="200"/>
      </w:pPr>
      <w:r>
        <w:rPr>
          <w:rFonts w:ascii="Barlow Semi Condensed" w:cs="Barlow Semi Condensed" w:eastAsia="Barlow Semi Condensed" w:hAnsi="Barlow Semi Condensed"/>
          <w:sz w:val="24"/>
          <w:szCs w:val="24"/>
        </w:rPr>
        <w:t xml:space="preserve">Capitolo nono — Le regolarità empiriche stabilite dalla serie</w:t>
      </w:r>
    </w:p>
    <w:p>
      <w:pPr>
        <w:spacing w:after="120" w:line="276"/>
        <w:jc w:val="both"/>
      </w:pPr>
      <w:r>
        <w:rPr>
          <w:rFonts w:ascii="Barlow Semi Condensed" w:cs="Barlow Semi Condensed" w:eastAsia="Barlow Semi Condensed" w:hAnsi="Barlow Semi Condensed"/>
          <w:sz w:val="24"/>
          <w:szCs w:val="24"/>
        </w:rPr>
        <w:t xml:space="preserve">Il capitolo raccoglie le regolarità che gli undici studi hanno prodotto e che valgono oltre i loro perimetri.</w:t>
      </w:r>
    </w:p>
    <w:p>
      <w:pPr>
        <w:spacing w:after="120" w:line="276"/>
        <w:jc w:val="both"/>
      </w:pPr>
      <w:r>
        <w:rPr>
          <w:rFonts w:ascii="Barlow Semi Condensed" w:cs="Barlow Semi Condensed" w:eastAsia="Barlow Semi Condensed" w:hAnsi="Barlow Semi Condensed"/>
          <w:sz w:val="24"/>
          <w:szCs w:val="24"/>
        </w:rPr>
        <w:t xml:space="preserve">Prima regolarità — l'assenza dello Stato italiano. Il governo italiano non compare come attore documentato in nessuno dei sei perimetri. Verso Madrid: nessuna iniziativa. Verso Lisbona: nessun atto reperito nemmeno sull'espulsione di nove propri cittadini. Verso Atene: un solo atto forte, la seduta del Consiglio d'Europa del dicembre 1969, e per il resto assorbimento nelle sedi multilaterali. Verso Nicosia: esclusione dalle potenze garanti, dal Consiglio di Sicurezza nel 1974 e dai contributori della forza di pace. Verso Ankara: presenza comunitaria documentata e assenza confessionale. Verso Bonn: posizione sui cinque atti della Ostpolitik non reperita.</w:t>
      </w:r>
    </w:p>
    <w:p>
      <w:pPr>
        <w:spacing w:after="120" w:line="276"/>
        <w:jc w:val="both"/>
      </w:pPr>
      <w:r>
        <w:rPr>
          <w:rFonts w:ascii="Barlow Semi Condensed" w:cs="Barlow Semi Condensed" w:eastAsia="Barlow Semi Condensed" w:hAnsi="Barlow Semi Condensed"/>
          <w:sz w:val="24"/>
          <w:szCs w:val="24"/>
        </w:rPr>
        <w:t xml:space="preserve">La spiegazione storiografica reperita, e proviene da fonte scientifica. La dialettica fra una visione internazionalista implicita in certe municipalità di sinistra e la fedeltà atlantica dei governi a maggioranza democristiana. Essa spiega tre cose insieme: perché sulla Grecia l'atto forte sia venuto in sede multilaterale; perché su Cipro l'Italia sia rimasta al margine consultivo; perché sulla Turchia la posizione sia comunitaria e non confessionale.</w:t>
      </w:r>
    </w:p>
    <w:p>
      <w:pPr>
        <w:spacing w:after="120" w:line="276"/>
        <w:jc w:val="both"/>
      </w:pPr>
      <w:r>
        <w:rPr>
          <w:rFonts w:ascii="Barlow Semi Condensed" w:cs="Barlow Semi Condensed" w:eastAsia="Barlow Semi Condensed" w:hAnsi="Barlow Semi Condensed"/>
          <w:sz w:val="24"/>
          <w:szCs w:val="24"/>
        </w:rPr>
        <w:t xml:space="preserve">Seconda regolarità — chi tiene archivio lascia traccia. Dove agiscono soggetti che tengono archivio e che pubblicano — congregazioni religiose, riviste missionarie, cancellerie ecclesiastiche, apparati di polizia, magistrature — resta traccia anche a mezzo secolo di distanza. Dove agiscono i governi, e i loro archivi non sono accessibili o non sono indicizzati o non sono aperti per intere epoche, non resta nulla.</w:t>
      </w:r>
    </w:p>
    <w:p>
      <w:pPr>
        <w:spacing w:after="120" w:line="276"/>
        <w:jc w:val="both"/>
      </w:pPr>
      <w:r>
        <w:rPr>
          <w:rFonts w:ascii="Barlow Semi Condensed" w:cs="Barlow Semi Condensed" w:eastAsia="Barlow Semi Condensed" w:hAnsi="Barlow Semi Condensed"/>
          <w:sz w:val="24"/>
          <w:szCs w:val="24"/>
        </w:rPr>
        <w:t xml:space="preserve">La verifica più netta. Il perimetro portoghese ha prodotto quattro nodi documentati contro uno spagnolo, e la ragione non è che l'Italia agisse più verso Lisbona: è che la materia coloniale portoghese mise in movimento istituzioni che tengono archivio — congregazioni che conservano i diari dei propri superiori con le ore e i minuti degli interrogatori, vescovi che firmano documenti, riviste che stampano, quotidiani che aprono la prima pagina.</w:t>
      </w:r>
    </w:p>
    <w:p>
      <w:pPr>
        <w:spacing w:after="120" w:line="276"/>
        <w:jc w:val="both"/>
      </w:pPr>
      <w:r>
        <w:rPr>
          <w:rFonts w:ascii="Barlow Semi Condensed" w:cs="Barlow Semi Condensed" w:eastAsia="Barlow Semi Condensed" w:hAnsi="Barlow Semi Condensed"/>
          <w:sz w:val="24"/>
          <w:szCs w:val="24"/>
        </w:rPr>
        <w:t xml:space="preserve">Terza regolarità — l'apertura degli archivi di sicurezza. Nessun archivio di apparato di sicurezza si è mai aperto volontariamente; tutte le aperture sono conseguite a pressione esterna. Il caso portoghese ne è l'esempio più netto: il fondo della polizia politica si aprì perché il potere che lo custodiva cessò di esistere.</w:t>
      </w:r>
    </w:p>
    <w:p>
      <w:pPr>
        <w:spacing w:after="120" w:line="276"/>
        <w:jc w:val="both"/>
      </w:pPr>
      <w:r>
        <w:rPr>
          <w:rFonts w:ascii="Barlow Semi Condensed" w:cs="Barlow Semi Condensed" w:eastAsia="Barlow Semi Condensed" w:hAnsi="Barlow Semi Condensed"/>
          <w:sz w:val="24"/>
          <w:szCs w:val="24"/>
        </w:rPr>
        <w:t xml:space="preserve">Un corollario che la serie aggiunge, e che è nuovo.\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L'apertura di un archivio non equivale alla sua lettura.\</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Metà del fondo portoghese non è mai stata consultata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dopo cinquant'anni dall'apertura.</w:t>
      </w:r>
    </w:p>
    <w:p>
      <w:pPr>
        <w:spacing w:after="120" w:line="276"/>
        <w:jc w:val="both"/>
      </w:pPr>
      <w:r>
        <w:rPr>
          <w:rFonts w:ascii="Barlow Semi Condensed" w:cs="Barlow Semi Condensed" w:eastAsia="Barlow Semi Condensed" w:hAnsi="Barlow Semi Condensed"/>
          <w:sz w:val="24"/>
          <w:szCs w:val="24"/>
        </w:rPr>
        <w:t xml:space="preserve">Quarta regolarità — la diplomazia scrive due volte. Un atto può tacere deliberatamente la propria ragione politica e affidarla alla comunicazione che lo accompagna. Chi legge la sola costituzione apostolica del 28 giugno 1972 conclude che fu un atto pastorale; chi legge la comunicazione trova il trattato.</w:t>
      </w:r>
    </w:p>
    <w:p>
      <w:pPr>
        <w:spacing w:after="120" w:line="276"/>
        <w:jc w:val="both"/>
      </w:pPr>
      <w:r>
        <w:rPr>
          <w:rFonts w:ascii="Barlow Semi Condensed" w:cs="Barlow Semi Condensed" w:eastAsia="Barlow Semi Condensed" w:hAnsi="Barlow Semi Condensed"/>
          <w:sz w:val="24"/>
          <w:szCs w:val="24"/>
        </w:rPr>
        <w:t xml:space="preserve">La conseguenza operativa: cercare il nesso nel documento principale, e non trovandovelo concludere che non esiste, è errore simmetrico a quello di inferirlo dalla contemporaneità.</w:t>
      </w:r>
    </w:p>
    <w:p>
      <w:pPr>
        <w:spacing w:after="120" w:line="276"/>
        <w:jc w:val="both"/>
      </w:pPr>
      <w:r>
        <w:rPr>
          <w:rFonts w:ascii="Barlow Semi Condensed" w:cs="Barlow Semi Condensed" w:eastAsia="Barlow Semi Condensed" w:hAnsi="Barlow Semi Condensed"/>
          <w:sz w:val="24"/>
          <w:szCs w:val="24"/>
        </w:rPr>
        <w:t xml:space="preserve">Quinta regolarità — la rarità delle triangolazioni. In undici ricognizioni nessuna triangolazione ha coinvolto insieme tre termini. Ogni volta che se ne è cercata una a tre, essa si è ridotta a due o a uno.</w:t>
      </w:r>
    </w:p>
    <w:p>
      <w:pPr>
        <w:spacing w:after="120" w:line="276"/>
        <w:jc w:val="both"/>
      </w:pPr>
      <w:r>
        <w:rPr>
          <w:rFonts w:ascii="Barlow Semi Condensed" w:cs="Barlow Semi Condensed" w:eastAsia="Barlow Semi Condensed" w:hAnsi="Barlow Semi Condensed"/>
          <w:sz w:val="24"/>
          <w:szCs w:val="24"/>
        </w:rPr>
        <w:t xml:space="preserve">La ragione, che è strutturale e non documentale. I tre oggetti — un ministro degli Esteri, una diplomazia pontificia, un ente di apostolato laicale — operano su piani che non si intersecano per costruzione: il primo tratta con governi, la seconda con Stati e Chiese, il terzo con individui e ambienti professionali. L'assenza di triangolazione non è un difetto delle fonti: è una proprietà degli oggetti.</w:t>
      </w:r>
    </w:p>
    <w:p>
      <w:pPr>
        <w:pStyle w:val="Heading2"/>
        <w:spacing w:after="100" w:before="200"/>
      </w:pPr>
      <w:r>
        <w:rPr>
          <w:rFonts w:ascii="Barlow Semi Condensed" w:cs="Barlow Semi Condensed" w:eastAsia="Barlow Semi Condensed" w:hAnsi="Barlow Semi Condensed"/>
          <w:sz w:val="24"/>
          <w:szCs w:val="24"/>
        </w:rPr>
        <w:t xml:space="preserve">Capitolo decimo — Appendice alla Nota Metodologica: le cinque proposizioni</w:t>
      </w:r>
    </w:p>
    <w:p>
      <w:pPr>
        <w:spacing w:after="120" w:line="276"/>
        <w:jc w:val="both"/>
      </w:pPr>
      <w:r>
        <w:rPr>
          <w:rFonts w:ascii="Barlow Semi Condensed" w:cs="Barlow Semi Condensed" w:eastAsia="Barlow Semi Condensed" w:hAnsi="Barlow Semi Condensed"/>
          <w:sz w:val="24"/>
          <w:szCs w:val="24"/>
        </w:rPr>
        <w:t xml:space="preserve">Il capitolo raccoglie le cinque proposizioni di metodo prodotte dalla serie, che esistono disperse in cinque capitoli conclusivi diversi e che la Nota Metodologica del corpus non contiene, essendo esse posteriori alla sua redazione. Si propongono come appendice a quella Nota.</w:t>
      </w:r>
    </w:p>
    <w:p>
      <w:pPr>
        <w:spacing w:after="120" w:line="276"/>
        <w:jc w:val="both"/>
      </w:pPr>
      <w:r>
        <w:rPr>
          <w:rFonts w:ascii="Barlow Semi Condensed" w:cs="Barlow Semi Condensed" w:eastAsia="Barlow Semi Condensed" w:hAnsi="Barlow Semi Condensed"/>
          <w:sz w:val="24"/>
          <w:szCs w:val="24"/>
        </w:rPr>
        <w:t xml:space="preserve">Prima proposizione — l'assenza di traccia non è l'assenza dell'atto. Formulata dalla quinta ricognizione. Un esito negativo può dipendere da un limite dello strumento, dalla chiusura di un archivio o dalla mancata indicizzazione, e in tal caso non dice nulla sulla realtà. Il caso paradigmatico è la banca dati del sindacato ispettivo italiano, che copre soltanto dal 5 luglio 1976: chi ne inferisse l'inerzia parlamentare italiana sul 1974 commetterebbe un errore di attribuzione.</w:t>
      </w:r>
    </w:p>
    <w:p>
      <w:pPr>
        <w:spacing w:after="120" w:line="276"/>
        <w:jc w:val="both"/>
      </w:pPr>
      <w:r>
        <w:rPr>
          <w:rFonts w:ascii="Barlow Semi Condensed" w:cs="Barlow Semi Condensed" w:eastAsia="Barlow Semi Condensed" w:hAnsi="Barlow Semi Condensed"/>
          <w:sz w:val="24"/>
          <w:szCs w:val="24"/>
        </w:rPr>
        <w:t xml:space="preserve">Seconda proposizione — vi sono assenze che non sono lacune. Formulata dall'ottava. Un insieme vuoto verificato contro il registro ufficiale del soggetto medesimo è un accertamento e non un vuoto da colmare. L'assenza dell'Opus Dei da Grecia, Cipro e Turchia non è una lacuna documentale: è una proprietà dell'oggetto, verificata sulla fonte migliore possibile. Distinguere la lacuna dall'insieme vuoto è disciplina distinta dalla prima e non deducibile da essa.</w:t>
      </w:r>
    </w:p>
    <w:p>
      <w:pPr>
        <w:spacing w:after="120" w:line="276"/>
        <w:jc w:val="both"/>
      </w:pPr>
      <w:r>
        <w:rPr>
          <w:rFonts w:ascii="Barlow Semi Condensed" w:cs="Barlow Semi Condensed" w:eastAsia="Barlow Semi Condensed" w:hAnsi="Barlow Semi Condensed"/>
          <w:sz w:val="24"/>
          <w:szCs w:val="24"/>
        </w:rPr>
        <w:t xml:space="preserve">Terza proposizione — vi sono nessi che i documenti principali tacciono deliberatamente. Formulata dalla nona. Un atto può omettere la propria ragione politica per non costituire esso stesso un riconoscimento, affidandola alla comunicazione accessoria. Ne discende che l'assenza del nesso nel documento principale non prova l'assenza del nesso.</w:t>
      </w:r>
    </w:p>
    <w:p>
      <w:pPr>
        <w:spacing w:after="120" w:line="276"/>
        <w:jc w:val="both"/>
      </w:pPr>
      <w:r>
        <w:rPr>
          <w:rFonts w:ascii="Barlow Semi Condensed" w:cs="Barlow Semi Condensed" w:eastAsia="Barlow Semi Condensed" w:hAnsi="Barlow Semi Condensed"/>
          <w:sz w:val="24"/>
          <w:szCs w:val="24"/>
        </w:rPr>
        <w:t xml:space="preserve">Quarta proposizione — una proposizione va formulata con la propria condizione di falsificazione esplicita e con i casi avversi elencati per nome. Formulata dalla decima. Il modello a due condizioni è caduto dopo due ricognizioni, per opera della ricerca indirizzata al caso avverso, e ciò è avvenuto perché la condizione di falsificazione era stata scritta e i casi potenzialmente confutanti erano stati elencati anziché taciuti. Una proposizione che non elenchi i propri casi avversi non può essere confutata, e per ciò stesso non è una proposizione.</w:t>
      </w:r>
    </w:p>
    <w:p>
      <w:pPr>
        <w:spacing w:after="120" w:line="276"/>
        <w:jc w:val="both"/>
      </w:pPr>
      <w:r>
        <w:rPr>
          <w:rFonts w:ascii="Barlow Semi Condensed" w:cs="Barlow Semi Condensed" w:eastAsia="Barlow Semi Condensed" w:hAnsi="Barlow Semi Condensed"/>
          <w:sz w:val="24"/>
          <w:szCs w:val="24"/>
        </w:rPr>
        <w:t xml:space="preserve">Quinta proposizione — una connessione reale lascia tracce presso soggetti che non avevano interesse a produrle. Formulata dall'undicesima. Dove tale traccia manca del tutto, non si è in presenza di un segreto ben custodito: si è in presenza di un'affermazione.</w:t>
      </w:r>
    </w:p>
    <w:p>
      <w:pPr>
        <w:spacing w:after="120" w:line="276"/>
        <w:jc w:val="both"/>
      </w:pPr>
      <w:r>
        <w:rPr>
          <w:rFonts w:ascii="Barlow Semi Condensed" w:cs="Barlow Semi Condensed" w:eastAsia="Barlow Semi Condensed" w:hAnsi="Barlow Semi Condensed"/>
          <w:sz w:val="24"/>
          <w:szCs w:val="24"/>
        </w:rPr>
        <w:t xml:space="preserve">Il rapporto fra le cinque, che va enunciato perché non è di semplice giustapposizione.</w:t>
      </w:r>
    </w:p>
    <w:p>
      <w:pPr>
        <w:spacing w:after="120" w:line="276"/>
        <w:jc w:val="both"/>
      </w:pPr>
      <w:r>
        <w:rPr>
          <w:rFonts w:ascii="Barlow Semi Condensed" w:cs="Barlow Semi Condensed" w:eastAsia="Barlow Semi Condensed" w:hAnsi="Barlow Semi Condensed"/>
          <w:sz w:val="24"/>
          <w:szCs w:val="24"/>
        </w:rPr>
        <w:t xml:space="preserve">La prima e la seconda si oppongono. La prima vieta di inferire dall'assenza; la seconda ammette di accertare per assenza, quando la verifica è condotta contro il registro del soggetto. Chi applicasse la sola prima non accerterebbe mai nulla in negativo; chi applicasse la sola seconda inferirebbe da qualunque silenzio.</w:t>
      </w:r>
    </w:p>
    <w:p>
      <w:pPr>
        <w:spacing w:after="120" w:line="276"/>
        <w:jc w:val="both"/>
      </w:pPr>
      <w:r>
        <w:rPr>
          <w:rFonts w:ascii="Barlow Semi Condensed" w:cs="Barlow Semi Condensed" w:eastAsia="Barlow Semi Condensed" w:hAnsi="Barlow Semi Condensed"/>
          <w:sz w:val="24"/>
          <w:szCs w:val="24"/>
        </w:rPr>
        <w:t xml:space="preserve">La terza e la quinta si oppongono del pari. La terza avverte che un nesso può essere taciuto nel documento principale; la quinta avverte che l'assenza totale di traccia indica un'affermazione e non un segreto. Il confine fra le due è il numero dei soggetti disinteressati: il nesso taciuto dalla bolla del 1972 è documentato dalla comunicazione e dalla storiografia; l'allegazione del 2000 non lo è da nessuno.</w:t>
      </w:r>
    </w:p>
    <w:p>
      <w:pPr>
        <w:spacing w:after="120" w:line="276"/>
        <w:jc w:val="both"/>
      </w:pPr>
      <w:r>
        <w:rPr>
          <w:rFonts w:ascii="Barlow Semi Condensed" w:cs="Barlow Semi Condensed" w:eastAsia="Barlow Semi Condensed" w:hAnsi="Barlow Semi Condensed"/>
          <w:sz w:val="24"/>
          <w:szCs w:val="24"/>
        </w:rPr>
        <w:t xml:space="preserve">La quarta governa le altre quattro, perché riguarda chi scrive anziché le fonti.</w:t>
      </w:r>
    </w:p>
    <w:p>
      <w:pPr>
        <w:spacing w:after="120" w:line="276"/>
        <w:jc w:val="both"/>
      </w:pPr>
      <w:r>
        <w:rPr>
          <w:rFonts w:ascii="Barlow Semi Condensed" w:cs="Barlow Semi Condensed" w:eastAsia="Barlow Semi Condensed" w:hAnsi="Barlow Semi Condensed"/>
          <w:sz w:val="24"/>
          <w:szCs w:val="24"/>
        </w:rPr>
        <w:t xml:space="preserve">Ne discende che le cinque proposizioni non sono un elenco ma un sistema a tensioni, e che l'applicazione dell'una senza le altre produce l'errore che essa sola era destinata a prevenire.</w:t>
      </w:r>
    </w:p>
    <w:p>
      <w:pPr>
        <w:pStyle w:val="Heading2"/>
        <w:spacing w:after="100" w:before="200"/>
      </w:pPr>
      <w:r>
        <w:rPr>
          <w:rFonts w:ascii="Barlow Semi Condensed" w:cs="Barlow Semi Condensed" w:eastAsia="Barlow Semi Condensed" w:hAnsi="Barlow Semi Condensed"/>
          <w:sz w:val="24"/>
          <w:szCs w:val="24"/>
        </w:rPr>
        <w:t xml:space="preserve">Capitolo undicesimo — Che cosa resta aperto, in ordine di eseguibilità</w:t>
      </w:r>
    </w:p>
    <w:p>
      <w:pPr>
        <w:spacing w:after="120" w:line="276"/>
        <w:jc w:val="both"/>
      </w:pPr>
      <w:r>
        <w:rPr>
          <w:rFonts w:ascii="Barlow Semi Condensed" w:cs="Barlow Semi Condensed" w:eastAsia="Barlow Semi Condensed" w:hAnsi="Barlow Semi Condensed"/>
          <w:sz w:val="24"/>
          <w:szCs w:val="24"/>
        </w:rPr>
        <w:t xml:space="preserve">Il capitolo riordina il residuo secondo un criterio diverso da quello del rendimento: secondo che cosa sia effettivamente eseguibile, e da chi.</w:t>
      </w:r>
    </w:p>
    <w:p>
      <w:pPr>
        <w:spacing w:after="120" w:line="276"/>
        <w:jc w:val="both"/>
      </w:pPr>
      <w:r>
        <w:rPr>
          <w:rFonts w:ascii="Barlow Semi Condensed" w:cs="Barlow Semi Condensed" w:eastAsia="Barlow Semi Condensed" w:hAnsi="Barlow Semi Condensed"/>
          <w:sz w:val="24"/>
          <w:szCs w:val="24"/>
        </w:rPr>
        <w:t xml:space="preserve">Primo ordine — eseguibile subito, senza viaggio e senza autorizzazione. L'esame dei casi extraeuropei dell'elenco ufficiale dell'Opus Dei — Giappone 1958, Kenya 1958, Nigeria 1965, India 1993, Kazakhistan 1997, Indonesia 2008, Sri Lanka 2011 — per verificare se l'insediamento fu radicamento o trapianto. È la sola voce che possa falsificare il modello rivisto, e non richiede nulla se non tempo. Vi si aggiunge la consultazione delle riprese della Conferenza romana del giugno 1970 presso l'archivio audiovisivo, sola fonte primaria italiana su quella settimana e consultabile senza condizioni.</w:t>
      </w:r>
    </w:p>
    <w:p>
      <w:pPr>
        <w:spacing w:after="120" w:line="276"/>
        <w:jc w:val="both"/>
      </w:pPr>
      <w:r>
        <w:rPr>
          <w:rFonts w:ascii="Barlow Semi Condensed" w:cs="Barlow Semi Condensed" w:eastAsia="Barlow Semi Condensed" w:hAnsi="Barlow Semi Condensed"/>
          <w:sz w:val="24"/>
          <w:szCs w:val="24"/>
        </w:rPr>
        <w:t xml:space="preserve">Secondo ordine — eseguibile con una richiesta. L'articolo di Eugenio Enea in \</w:t>
      </w:r>
      <w:r>
        <w:rPr>
          <w:rFonts w:ascii="Barlow Semi Condensed" w:cs="Barlow Semi Condensed" w:eastAsia="Barlow Semi Condensed" w:hAnsi="Barlow Semi Condensed"/>
          <w:i/>
          <w:iCs/>
          <w:sz w:val="24"/>
          <w:szCs w:val="24"/>
        </w:rPr>
        <w:t xml:space="preserve">Lusitania Sacra\</w:t>
      </w:r>
      <w:r>
        <w:rPr>
          <w:rFonts w:ascii="Barlow Semi Condensed" w:cs="Barlow Semi Condensed" w:eastAsia="Barlow Semi Condensed" w:hAnsi="Barlow Semi Condensed"/>
          <w:sz w:val="24"/>
          <w:szCs w:val="24"/>
        </w:rPr>
        <w:t xml:space="preserve"> numero cinquantuno del 2025 e le annate 1974-1976 di \</w:t>
      </w:r>
      <w:r>
        <w:rPr>
          <w:rFonts w:ascii="Barlow Semi Condensed" w:cs="Barlow Semi Condensed" w:eastAsia="Barlow Semi Condensed" w:hAnsi="Barlow Semi Condensed"/>
          <w:i/>
          <w:iCs/>
          <w:sz w:val="24"/>
          <w:szCs w:val="24"/>
        </w:rPr>
        <w:t xml:space="preserve">Nigrizia\</w:t>
      </w:r>
      <w:r>
        <w:rPr>
          <w:rFonts w:ascii="Barlow Semi Condensed" w:cs="Barlow Semi Condensed" w:eastAsia="Barlow Semi Condensed" w:hAnsi="Barlow Semi Condensed"/>
          <w:sz w:val="24"/>
          <w:szCs w:val="24"/>
        </w:rPr>
        <w:t xml:space="preserve">: la maggior resa fra le voci conseguibili senza accesso ad archivi di Stato. La monografia di Francis Nolan del 2017 sul ritiro dei Padri Bianchi. Le copie digitali de L'Osservatore Romano del 29 e 30 giugno 1972 presso l'archivio editoriale della Santa Sede, che è la prima voce assoluta della tavola e richiede una richiesta e non un viaggio.</w:t>
      </w:r>
    </w:p>
    <w:p>
      <w:pPr>
        <w:spacing w:after="120" w:line="276"/>
        <w:jc w:val="both"/>
      </w:pPr>
      <w:r>
        <w:rPr>
          <w:rFonts w:ascii="Barlow Semi Condensed" w:cs="Barlow Semi Condensed" w:eastAsia="Barlow Semi Condensed" w:hAnsi="Barlow Semi Condensed"/>
          <w:sz w:val="24"/>
          <w:szCs w:val="24"/>
        </w:rPr>
        <w:t xml:space="preserve">Terzo ordine — eseguibile con un viaggio. L'Archivio Storico Diplomatico a Roma, che chiude voci di sette studi in un solo accesso, con la sola avvertenza della serie telegrafica esclusa. L'Archivio storico del Senato e l'Archivio Centrale dello Stato. I resoconti stenografici della quinta e sesta legislatura, per spoglio manuale. L'Archivio Comboniano a Roma.</w:t>
      </w:r>
    </w:p>
    <w:p>
      <w:pPr>
        <w:spacing w:after="120" w:line="276"/>
        <w:jc w:val="both"/>
      </w:pPr>
      <w:r>
        <w:rPr>
          <w:rFonts w:ascii="Barlow Semi Condensed" w:cs="Barlow Semi Condensed" w:eastAsia="Barlow Semi Condensed" w:hAnsi="Barlow Semi Condensed"/>
          <w:sz w:val="24"/>
          <w:szCs w:val="24"/>
        </w:rPr>
        <w:t xml:space="preserve">Quarto ordine — eseguibile con viaggio e autorizzazione. La Torre do Tombo, fondo della polizia politica, soggetto a regolamento proprio. L'Archiv für Christlich-Soziale Politik a Monaco. L'Archiv des Bayerischen Landtags. L'Arquivo Histórico-Diplomático a Lisbona. L'Archivo General de la Administración ad Alcalá de Henares.</w:t>
      </w:r>
    </w:p>
    <w:p>
      <w:pPr>
        <w:spacing w:after="120" w:line="276"/>
        <w:jc w:val="both"/>
      </w:pPr>
      <w:r>
        <w:rPr>
          <w:rFonts w:ascii="Barlow Semi Condensed" w:cs="Barlow Semi Condensed" w:eastAsia="Barlow Semi Condensed" w:hAnsi="Barlow Semi Condensed"/>
          <w:sz w:val="24"/>
          <w:szCs w:val="24"/>
        </w:rPr>
        <w:t xml:space="preserve">Quinto ordine — non eseguibile allo stato, per disposizione altrui. L'Archivio Apostolico Vaticano e la Segreteria di Stato per il pontificato di Paolo VI, che sblocca quattro studi e la cui condizione non dipende da noi. L'Archivio Generale della Prelatura e il Centro Studi di Navarra, ad accesso mediato. Le porzioni non desecretate dei documenti statunitensi sull'attentato del 1981.</w:t>
      </w:r>
    </w:p>
    <w:p>
      <w:pPr>
        <w:spacing w:after="120" w:line="276"/>
        <w:jc w:val="both"/>
      </w:pPr>
      <w:r>
        <w:rPr>
          <w:rFonts w:ascii="Barlow Semi Condensed" w:cs="Barlow Semi Condensed" w:eastAsia="Barlow Semi Condensed" w:hAnsi="Barlow Semi Condensed"/>
          <w:sz w:val="24"/>
          <w:szCs w:val="24"/>
        </w:rPr>
        <w:t xml:space="preserve">Un bilancio va tratto perché muta la percezione del residuo. Delle quattordici sedi, tre non richiedono viaggio e due richiedono soltanto una richiesta. Il residuo della serie non è dunque, come le tavole per studio lasciavano credere, una lista di condizioni impossibili: è una lista di cinque azioni eseguibili subito e nove che richiedono spostamento o autorizzazione.</w:t>
      </w:r>
    </w:p>
    <w:p>
      <w:pPr>
        <w:spacing w:after="120" w:line="276"/>
        <w:jc w:val="both"/>
      </w:pPr>
      <w:r>
        <w:rPr>
          <w:rFonts w:ascii="Barlow Semi Condensed" w:cs="Barlow Semi Condensed" w:eastAsia="Barlow Semi Condensed" w:hAnsi="Barlow Semi Condensed"/>
          <w:sz w:val="24"/>
          <w:szCs w:val="24"/>
        </w:rPr>
        <w:t xml:space="preserve">E fra le cinque eseguibili subito, due possono mutare accertamenti anziché aggiungerne: la verifica dei casi extraeuropei, che può falsificare il modello; e le pagine de L'Osservatore Romano del giugno 1972, che possono confermare o abbattere il solo nesso documentato della serie.</w:t>
      </w:r>
    </w:p>
    <w:p>
      <w:pPr>
        <w:pStyle w:val="Heading2"/>
        <w:spacing w:after="100" w:before="200"/>
      </w:pPr>
      <w:r>
        <w:rPr>
          <w:rFonts w:ascii="Barlow Semi Condensed" w:cs="Barlow Semi Condensed" w:eastAsia="Barlow Semi Condensed" w:hAnsi="Barlow Semi Condensed"/>
          <w:sz w:val="24"/>
          <w:szCs w:val="24"/>
        </w:rPr>
        <w:t xml:space="preserve">Capitolo dodicesimo — Bilancio e stato del corpus</w:t>
      </w:r>
    </w:p>
    <w:p>
      <w:pPr>
        <w:spacing w:after="120" w:line="276"/>
        <w:jc w:val="both"/>
      </w:pPr>
      <w:r>
        <w:rPr>
          <w:rFonts w:ascii="Barlow Semi Condensed" w:cs="Barlow Semi Condensed" w:eastAsia="Barlow Semi Condensed" w:hAnsi="Barlow Semi Condensed"/>
          <w:sz w:val="24"/>
          <w:szCs w:val="24"/>
        </w:rPr>
        <w:t xml:space="preserve">I quattro ordini di risultato, ricapitolati.</w:t>
      </w:r>
    </w:p>
    <w:p>
      <w:pPr>
        <w:spacing w:after="120" w:line="276"/>
        <w:jc w:val="both"/>
      </w:pPr>
      <w:r>
        <w:rPr>
          <w:rFonts w:ascii="Barlow Semi Condensed" w:cs="Barlow Semi Condensed" w:eastAsia="Barlow Semi Condensed" w:hAnsi="Barlow Semi Condensed"/>
          <w:sz w:val="24"/>
          <w:szCs w:val="24"/>
        </w:rPr>
        <w:t xml:space="preserve">Primo ordine — gli Stati Zero, che sono la maggioranza. Il governo italiano non compare come attore documentato in nessuno dei sei perimetri; l'Opus Dei non ha rapporti documentati con Moro, accertato tre volte; l'ente è assente da Grecia, Cipro e Turchia, verificato contro il registro ufficiale; Aginter Press non ha rapporti documentati con la CSU né con Strauß, verificato su cinque fronti; nessuna tappa romana nell'esilio di Makarios, verificato per tre vie indipendenti; nessuna lettera tedesca sull'unità allegata all'Atto finale di Helsinki.</w:t>
      </w:r>
    </w:p>
    <w:p>
      <w:pPr>
        <w:spacing w:after="120" w:line="276"/>
        <w:jc w:val="both"/>
      </w:pPr>
      <w:r>
        <w:rPr>
          <w:rFonts w:ascii="Barlow Semi Condensed" w:cs="Barlow Semi Condensed" w:eastAsia="Barlow Semi Condensed" w:hAnsi="Barlow Semi Condensed"/>
          <w:sz w:val="24"/>
          <w:szCs w:val="24"/>
        </w:rPr>
        <w:t xml:space="preserve">Secondo ordine — il nesso, uno solo.\</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 La Santa Sede attese la ratifica del Trattato di Varsavia prima di erigere le diocesi a oriente, e lo disse nella comunicazione di accompagnamento \</w:t>
      </w:r>
      <w:r>
        <w:rPr>
          <w:rFonts w:ascii="Barlow Semi Condensed" w:cs="Barlow Semi Condensed" w:eastAsia="Barlow Semi Condensed" w:hAnsi="Barlow Semi Condensed"/>
          <w:i/>
          <w:iCs/>
          <w:sz w:val="24"/>
          <w:szCs w:val="24"/>
        </w:rPr>
        <w:t xml:space="preserve">\</w:t>
      </w:r>
      <w:r>
        <w:rPr>
          <w:rFonts w:ascii="Barlow Semi Condensed" w:cs="Barlow Semi Condensed" w:eastAsia="Barlow Semi Condensed" w:hAnsi="Barlow Semi Condensed"/>
          <w:sz w:val="24"/>
          <w:szCs w:val="24"/>
        </w:rPr>
        <w:t xml:space="preserve">mentre il testo canonico taceva.</w:t>
      </w:r>
    </w:p>
    <w:p>
      <w:pPr>
        <w:spacing w:after="120" w:line="276"/>
        <w:jc w:val="both"/>
      </w:pPr>
      <w:r>
        <w:rPr>
          <w:rFonts w:ascii="Barlow Semi Condensed" w:cs="Barlow Semi Condensed" w:eastAsia="Barlow Semi Condensed" w:hAnsi="Barlow Semi Condensed"/>
          <w:sz w:val="24"/>
          <w:szCs w:val="24"/>
        </w:rPr>
        <w:t xml:space="preserve">Terzo ordine — la revisione. Una proposizione formulata dalla serie è stata confutata dalla serie stessa, per opera della ricerca indirizzata al caso avverso; il modello vige ora in forma emendata, con una condizione anziché due e con la distinzione fra radicamento e trapianto.</w:t>
      </w:r>
    </w:p>
    <w:p>
      <w:pPr>
        <w:spacing w:after="120" w:line="276"/>
        <w:jc w:val="both"/>
      </w:pPr>
      <w:r>
        <w:rPr>
          <w:rFonts w:ascii="Barlow Semi Condensed" w:cs="Barlow Semi Condensed" w:eastAsia="Barlow Semi Condensed" w:hAnsi="Barlow Semi Condensed"/>
          <w:sz w:val="24"/>
          <w:szCs w:val="24"/>
        </w:rPr>
        <w:t xml:space="preserve">Quarto ordine — la genealogia di una connessione falsa. Non soltanto l'accertamento che un nesso non esiste, ma la ricostruzione del meccanismo per cui esso appare esistere, con tre criteri generali per riconoscerlo.</w:t>
      </w:r>
    </w:p>
    <w:p>
      <w:pPr>
        <w:spacing w:after="120" w:line="276"/>
        <w:jc w:val="both"/>
      </w:pPr>
      <w:r>
        <w:rPr>
          <w:rFonts w:ascii="Barlow Semi Condensed" w:cs="Barlow Semi Condensed" w:eastAsia="Barlow Semi Condensed" w:hAnsi="Barlow Semi Condensed"/>
          <w:sz w:val="24"/>
          <w:szCs w:val="24"/>
        </w:rPr>
        <w:t xml:space="preserve">Lo stato del corpus dopo questa consolidazione.</w:t>
      </w:r>
    </w:p>
    <w:p>
      <w:pPr>
        <w:spacing w:after="120" w:line="276"/>
        <w:jc w:val="both"/>
      </w:pPr>
      <w:r>
        <w:rPr>
          <w:rFonts w:ascii="Barlow Semi Condensed" w:cs="Barlow Semi Condensed" w:eastAsia="Barlow Semi Condensed" w:hAnsi="Barlow Semi Condensed"/>
          <w:sz w:val="24"/>
          <w:szCs w:val="24"/>
        </w:rPr>
        <w:t xml:space="preserve">Va emendato: la quindicesima voce della tavola del memorandum operativo sul caso Moro, per la data di morte di Willy Peter Stoll.</w:t>
      </w:r>
    </w:p>
    <w:p>
      <w:pPr>
        <w:spacing w:after="120" w:line="276"/>
        <w:jc w:val="both"/>
      </w:pPr>
      <w:r>
        <w:rPr>
          <w:rFonts w:ascii="Barlow Semi Condensed" w:cs="Barlow Semi Condensed" w:eastAsia="Barlow Semi Condensed" w:hAnsi="Barlow Semi Condensed"/>
          <w:sz w:val="24"/>
          <w:szCs w:val="24"/>
        </w:rPr>
        <w:t xml:space="preserve">Va integrato: la Nota Metodologica, con le cinque proposizioni del Capitolo decimo in appendice.</w:t>
      </w:r>
    </w:p>
    <w:p>
      <w:pPr>
        <w:spacing w:after="120" w:line="276"/>
        <w:jc w:val="both"/>
      </w:pPr>
      <w:r>
        <w:rPr>
          <w:rFonts w:ascii="Barlow Semi Condensed" w:cs="Barlow Semi Condensed" w:eastAsia="Barlow Semi Condensed" w:hAnsi="Barlow Semi Condensed"/>
          <w:sz w:val="24"/>
          <w:szCs w:val="24"/>
        </w:rPr>
        <w:t xml:space="preserve">Va sostituito: nulla. Va abrogato: nulla, salvo la prima condizione della proposizione dell'ottava ricognizione, formalmente revisionata dalla decima e qui registrata nel suo stato corrente.</w:t>
      </w:r>
    </w:p>
    <w:p>
      <w:pPr>
        <w:spacing w:after="120" w:line="276"/>
        <w:jc w:val="both"/>
      </w:pPr>
      <w:r>
        <w:rPr>
          <w:rFonts w:ascii="Barlow Semi Condensed" w:cs="Barlow Semi Condensed" w:eastAsia="Barlow Semi Condensed" w:hAnsi="Barlow Semi Condensed"/>
          <w:sz w:val="24"/>
          <w:szCs w:val="24"/>
        </w:rPr>
        <w:t xml:space="preserve">Restano invariati gli undici documenti, che questo Registro indicizza e non riassume.</w:t>
      </w:r>
    </w:p>
    <w:p>
      <w:pPr>
        <w:spacing w:after="120" w:line="276"/>
        <w:jc w:val="both"/>
      </w:pPr>
      <w:r>
        <w:rPr>
          <w:rFonts w:ascii="Barlow Semi Condensed" w:cs="Barlow Semi Condensed" w:eastAsia="Barlow Semi Condensed" w:hAnsi="Barlow Semi Condensed"/>
          <w:sz w:val="24"/>
          <w:szCs w:val="24"/>
        </w:rPr>
        <w:t xml:space="preserve">Una osservazione conclusiva sul rapporto fra la serie e il progetto che la ospita.</w:t>
      </w:r>
    </w:p>
    <w:p>
      <w:pPr>
        <w:spacing w:after="120" w:line="276"/>
        <w:jc w:val="both"/>
      </w:pPr>
      <w:r>
        <w:rPr>
          <w:rFonts w:ascii="Barlow Semi Condensed" w:cs="Barlow Semi Condensed" w:eastAsia="Barlow Semi Condensed" w:hAnsi="Barlow Semi Condensed"/>
          <w:sz w:val="24"/>
          <w:szCs w:val="24"/>
        </w:rPr>
        <w:t xml:space="preserve">Il progetto ha per regola l'esclusione delle ricerche estese, e questa serie è nata da undici eccezioni successive a quella regola. L'eccezione ha prodotto un solo nesso e molti Stati Zero, il che è, secondo me, l'argomento migliore a favore della regola: la ricerca estesa è strumento di ricognizione e non di accertamento, e ciò che essa restituisce va sempre ricondotto alle sedi in cui l'accertamento si compie, che sono quattordici e stanno tutte in questo Registro.</w:t>
      </w:r>
    </w:p>
    <w:p>
      <w:pPr>
        <w:spacing w:after="120" w:line="276"/>
        <w:jc w:val="both"/>
      </w:pPr>
      <w:r>
        <w:rPr>
          <w:rFonts w:ascii="Barlow Semi Condensed" w:cs="Barlow Semi Condensed" w:eastAsia="Barlow Semi Condensed" w:hAnsi="Barlow Semi Condensed"/>
          <w:sz w:val="24"/>
          <w:szCs w:val="24"/>
        </w:rPr>
        <w:t xml:space="preserve">E una constatazione che le undici ricognizioni consegnano insieme, e che vale come loro esito complessivo.</w:t>
      </w:r>
    </w:p>
    <w:p>
      <w:pPr>
        <w:spacing w:after="120" w:line="276"/>
        <w:jc w:val="both"/>
      </w:pPr>
      <w:r>
        <w:rPr>
          <w:rFonts w:ascii="Barlow Semi Condensed" w:cs="Barlow Semi Condensed" w:eastAsia="Barlow Semi Condensed" w:hAnsi="Barlow Semi Condensed"/>
          <w:sz w:val="24"/>
          <w:szCs w:val="24"/>
        </w:rPr>
        <w:t xml:space="preserve">Undici ricognizioni hanno cercato l'intersezione fra un ministro degli Esteri, una diplomazia pontificia, un ente di apostolato laicale e una struttura clandestina. Hanno trovato un solo nesso, e lo hanno trovato dove nessuno dei quattro termini lo cercava: fra un trattato tedesco-polacco e due costituzioni apostoliche, separati da venticinque giorni e da un silenzio deliberato.</w:t>
      </w:r>
    </w:p>
    <w:p>
      <w:pPr>
        <w:spacing w:after="120" w:line="276"/>
        <w:jc w:val="both"/>
      </w:pPr>
      <w:r>
        <w:rPr>
          <w:rFonts w:ascii="Barlow Semi Condensed" w:cs="Barlow Semi Condensed" w:eastAsia="Barlow Semi Condensed" w:hAnsi="Barlow Semi Condensed"/>
          <w:sz w:val="24"/>
          <w:szCs w:val="24"/>
        </w:rPr>
        <w:t xml:space="preserve">Il resto è assenza — e la serie è servita soprattutto a imparare di quanti tipi diversi essa sia.</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XXVII · Registro Delle Undici Ricognizioni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XXVII: 5.909 parole in 9 sezioni; la più ampia è §9 Altre sezioni, con 5.225.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XXVII: 144 paragrafi in 9 sezioni, 16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dodicesimo · XXVIII — La triangolazione della terza campagna</w:t>
      </w:r>
    </w:p>
    <w:p>
      <w:pPr>
        <w:pStyle w:val="Heading1"/>
        <w:spacing w:after="120" w:before="240"/>
      </w:pPr>
      <w:r>
        <w:rPr>
          <w:rFonts w:ascii="Barlow Semi Condensed" w:cs="Barlow Semi Condensed" w:eastAsia="Barlow Semi Condensed" w:hAnsi="Barlow Semi Condensed"/>
          <w:sz w:val="24"/>
          <w:szCs w:val="24"/>
        </w:rPr>
        <w:t xml:space="preserve">La triangolazione della terza campagna</w:t>
      </w:r>
    </w:p>
    <w:p>
      <w:pPr>
        <w:pStyle w:val="Heading2"/>
        <w:spacing w:after="100" w:before="200"/>
      </w:pPr>
      <w:r>
        <w:rPr>
          <w:rFonts w:ascii="Barlow Semi Condensed" w:cs="Barlow Semi Condensed" w:eastAsia="Barlow Semi Condensed" w:hAnsi="Barlow Semi Condensed"/>
          <w:sz w:val="24"/>
          <w:szCs w:val="24"/>
        </w:rPr>
        <w:t xml:space="preserve">Ventisette documenti, incrociati fra loro, col corpus e con la disciplina dell'opera</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Triangolazione eseguita il 27 agosto 2026 sul lotto</w:t>
      </w:r>
    </w:p>
    <w:p>
      <w:pPr>
        <w:spacing w:after="120" w:line="276"/>
        <w:jc w:val="both"/>
      </w:pPr>
      <w:r>
        <w:rPr>
          <w:rFonts w:ascii="Barlow Semi Condensed" w:cs="Barlow Semi Condensed" w:eastAsia="Barlow Semi Condensed" w:hAnsi="Barlow Semi Condensed"/>
          <w:sz w:val="24"/>
          <w:szCs w:val="24"/>
        </w:rPr>
        <w:t xml:space="preserve">acquisito lo stesso giorno.*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è entrato</w:t>
      </w:r>
    </w:p>
    <w:p>
      <w:pPr>
        <w:spacing w:after="120" w:line="276"/>
        <w:jc w:val="both"/>
      </w:pPr>
      <w:r>
        <w:rPr>
          <w:rFonts w:ascii="Barlow Semi Condensed" w:cs="Barlow Semi Condensed" w:eastAsia="Barlow Semi Condensed" w:hAnsi="Barlow Semi Condensed"/>
          <w:sz w:val="24"/>
          <w:szCs w:val="24"/>
        </w:rPr>
        <w:t xml:space="preserve">Il lotto è arrivato in tre invii successivi e conteneva ripetizioni. Contate</w:t>
      </w:r>
    </w:p>
    <w:p>
      <w:pPr>
        <w:spacing w:after="120" w:line="276"/>
        <w:jc w:val="both"/>
      </w:pPr>
      <w:r>
        <w:rPr>
          <w:rFonts w:ascii="Barlow Semi Condensed" w:cs="Barlow Semi Condensed" w:eastAsia="Barlow Semi Condensed" w:hAnsi="Barlow Semi Condensed"/>
          <w:sz w:val="24"/>
          <w:szCs w:val="24"/>
        </w:rPr>
        <w:t xml:space="preserve">una volta sola, le acquisizioni distinte sono **ventisette, per 166.067</w:t>
      </w:r>
    </w:p>
    <w:p>
      <w:pPr>
        <w:spacing w:after="120" w:line="276"/>
        <w:jc w:val="both"/>
      </w:pPr>
      <w:r>
        <w:rPr>
          <w:rFonts w:ascii="Barlow Semi Condensed" w:cs="Barlow Semi Condensed" w:eastAsia="Barlow Semi Condensed" w:hAnsi="Barlow Semi Condensed"/>
          <w:sz w:val="24"/>
          <w:szCs w:val="24"/>
        </w:rPr>
        <w:t xml:space="preserve">parole**: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sedici ricognizioni</w:t>
      </w:r>
      <w:r>
        <w:rPr>
          <w:rFonts w:ascii="Barlow Semi Condensed" w:cs="Barlow Semi Condensed" w:eastAsia="Barlow Semi Condensed" w:hAnsi="Barlow Semi Condensed"/>
          <w:sz w:val="24"/>
          <w:szCs w:val="24"/>
        </w:rPr>
        <w:t xml:space="preserve"> numerate dalla terza alla diciottesima;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sette registri analitici</w:t>
      </w:r>
      <w:r>
        <w:rPr>
          <w:rFonts w:ascii="Barlow Semi Condensed" w:cs="Barlow Semi Condensed" w:eastAsia="Barlow Semi Condensed" w:hAnsi="Barlow Semi Condensed"/>
          <w:sz w:val="24"/>
          <w:szCs w:val="24"/>
        </w:rPr>
        <w:t xml:space="preserve">, dal primo al settimo;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un'opera seconda</w:t>
      </w:r>
      <w:r>
        <w:rPr>
          <w:rFonts w:ascii="Barlow Semi Condensed" w:cs="Barlow Semi Condensed" w:eastAsia="Barlow Semi Condensed" w:hAnsi="Barlow Semi Condensed"/>
          <w:sz w:val="24"/>
          <w:szCs w:val="24"/>
        </w:rPr>
        <w:t xml:space="preserve"> in sette Fasi e settanta Capitoli — «Il Registro dei</w:t>
      </w:r>
    </w:p>
    <w:p>
      <w:pPr>
        <w:spacing w:after="120" w:line="276"/>
        <w:jc w:val="both"/>
      </w:pPr>
      <w:r>
        <w:rPr>
          <w:rFonts w:ascii="Barlow Semi Condensed" w:cs="Barlow Semi Condensed" w:eastAsia="Barlow Semi Condensed" w:hAnsi="Barlow Semi Condensed"/>
          <w:sz w:val="24"/>
          <w:szCs w:val="24"/>
        </w:rPr>
        <w:t xml:space="preserve">  cinquantacinque giorni», 44.540 parole — che il corpus non conteneva;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un'appendice</w:t>
      </w:r>
      <w:r>
        <w:rPr>
          <w:rFonts w:ascii="Barlow Semi Condensed" w:cs="Barlow Semi Condensed" w:eastAsia="Barlow Semi Condensed" w:hAnsi="Barlow Semi Condensed"/>
          <w:sz w:val="24"/>
          <w:szCs w:val="24"/>
        </w:rPr>
        <w:t xml:space="preserve"> alla Fase settima, collocata accanto al Libro cui appartiene;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un memorandum operativo</w:t>
      </w:r>
      <w:r>
        <w:rPr>
          <w:rFonts w:ascii="Barlow Semi Condensed" w:cs="Barlow Semi Condensed" w:eastAsia="Barlow Semi Condensed" w:hAnsi="Barlow Semi Condensed"/>
          <w:sz w:val="24"/>
          <w:szCs w:val="24"/>
        </w:rPr>
        <w:t xml:space="preserve">, archiviato ma </w:t>
      </w:r>
      <w:r>
        <w:rPr>
          <w:rFonts w:ascii="Barlow Semi Condensed" w:cs="Barlow Semi Condensed" w:eastAsia="Barlow Semi Condensed" w:hAnsi="Barlow Semi Condensed"/>
          <w:b/>
          <w:bCs/>
          <w:sz w:val="24"/>
          <w:szCs w:val="24"/>
        </w:rPr>
        <w:t xml:space="preserve">non rilegato</w:t>
      </w:r>
      <w:r>
        <w:rPr>
          <w:rFonts w:ascii="Barlow Semi Condensed" w:cs="Barlow Semi Condensed" w:eastAsia="Barlow Semi Condensed" w:hAnsi="Barlow Semi Condensed"/>
          <w:sz w:val="24"/>
          <w:szCs w:val="24"/>
        </w:rPr>
        <w:t xml:space="preserve">, per disposizione</w:t>
      </w:r>
    </w:p>
    <w:p>
      <w:pPr>
        <w:spacing w:after="120" w:line="276"/>
        <w:jc w:val="both"/>
      </w:pPr>
      <w:r>
        <w:rPr>
          <w:rFonts w:ascii="Barlow Semi Condensed" w:cs="Barlow Semi Condensed" w:eastAsia="Barlow Semi Condensed" w:hAnsi="Barlow Semi Condensed"/>
          <w:sz w:val="24"/>
          <w:szCs w:val="24"/>
        </w:rPr>
        <w:t xml:space="preserve">  propria (§VII).</w:t>
      </w:r>
    </w:p>
    <w:p>
      <w:pPr>
        <w:spacing w:after="120" w:line="276"/>
        <w:jc w:val="both"/>
      </w:pPr>
      <w:r>
        <w:rPr>
          <w:rFonts w:ascii="Barlow Semi Condensed" w:cs="Barlow Semi Condensed" w:eastAsia="Barlow Semi Condensed" w:hAnsi="Barlow Semi Condensed"/>
          <w:b/>
          <w:bCs/>
          <w:sz w:val="24"/>
          <w:szCs w:val="24"/>
        </w:rPr>
        <w:t xml:space="preserve">Che cosa è stato scartato, e perché.</w:t>
      </w:r>
      <w:r>
        <w:rPr>
          <w:rFonts w:ascii="Barlow Semi Condensed" w:cs="Barlow Semi Condensed" w:eastAsia="Barlow Semi Condensed" w:hAnsi="Barlow Semi Condensed"/>
          <w:sz w:val="24"/>
          <w:szCs w:val="24"/>
        </w:rPr>
        <w:t xml:space="preserve"> Undici documenti del secondo invio</w:t>
      </w:r>
    </w:p>
    <w:p>
      <w:pPr>
        <w:spacing w:after="120" w:line="276"/>
        <w:jc w:val="both"/>
      </w:pPr>
      <w:r>
        <w:rPr>
          <w:rFonts w:ascii="Barlow Semi Condensed" w:cs="Barlow Semi Condensed" w:eastAsia="Barlow Semi Condensed" w:hAnsi="Barlow Semi Condensed"/>
          <w:sz w:val="24"/>
          <w:szCs w:val="24"/>
        </w:rPr>
        <w:t xml:space="preserve">erano byte per byte identici a quelli del primo. Del terzo invio, tre file</w:t>
      </w:r>
    </w:p>
    <w:p>
      <w:pPr>
        <w:spacing w:after="120" w:line="276"/>
        <w:jc w:val="both"/>
      </w:pPr>
      <w:r>
        <w:rPr>
          <w:rFonts w:ascii="Barlow Semi Condensed" w:cs="Barlow Semi Condensed" w:eastAsia="Barlow Semi Condensed" w:hAnsi="Barlow Semi Condensed"/>
          <w:sz w:val="24"/>
          <w:szCs w:val="24"/>
        </w:rPr>
        <w:t xml:space="preserve">risultano contenuti nell'opera seconda agli 8-grammi — al 100, al 98,3 e al</w:t>
      </w:r>
    </w:p>
    <w:p>
      <w:pPr>
        <w:spacing w:after="120" w:line="276"/>
        <w:jc w:val="both"/>
      </w:pPr>
      <w:r>
        <w:rPr>
          <w:rFonts w:ascii="Barlow Semi Condensed" w:cs="Barlow Semi Condensed" w:eastAsia="Barlow Semi Condensed" w:hAnsi="Barlow Semi Condensed"/>
          <w:sz w:val="24"/>
          <w:szCs w:val="24"/>
        </w:rPr>
        <w:t xml:space="preserve">98,7 per cento — e non sono stati archiviati a parte perché sarebbero</w:t>
      </w:r>
    </w:p>
    <w:p>
      <w:pPr>
        <w:spacing w:after="120" w:line="276"/>
        <w:jc w:val="both"/>
      </w:pPr>
      <w:r>
        <w:rPr>
          <w:rFonts w:ascii="Barlow Semi Condensed" w:cs="Barlow Semi Condensed" w:eastAsia="Barlow Semi Condensed" w:hAnsi="Barlow Semi Condensed"/>
          <w:sz w:val="24"/>
          <w:szCs w:val="24"/>
        </w:rPr>
        <w:t xml:space="preserve">duplicati. Il conteggio delle acquisizioni li esclude; l'archivio non li</w:t>
      </w:r>
    </w:p>
    <w:p>
      <w:pPr>
        <w:spacing w:after="120" w:line="276"/>
        <w:jc w:val="both"/>
      </w:pPr>
      <w:r>
        <w:rPr>
          <w:rFonts w:ascii="Barlow Semi Condensed" w:cs="Barlow Semi Condensed" w:eastAsia="Barlow Semi Condensed" w:hAnsi="Barlow Semi Condensed"/>
          <w:sz w:val="24"/>
          <w:szCs w:val="24"/>
        </w:rPr>
        <w:t xml:space="preserve">contiene.</w:t>
      </w:r>
    </w:p>
    <w:p>
      <w:pPr>
        <w:spacing w:after="120" w:line="276"/>
        <w:jc w:val="both"/>
      </w:pPr>
      <w:r>
        <w:rPr>
          <w:rFonts w:ascii="Barlow Semi Condensed" w:cs="Barlow Semi Condensed" w:eastAsia="Barlow Semi Condensed" w:hAnsi="Barlow Semi Condensed"/>
          <w:sz w:val="24"/>
          <w:szCs w:val="24"/>
        </w:rPr>
        <w:t xml:space="preserve">La sovrapposizione col corpus è stata misurata prima di archiviare, sugli</w:t>
      </w:r>
    </w:p>
    <w:p>
      <w:pPr>
        <w:spacing w:after="120" w:line="276"/>
        <w:jc w:val="both"/>
      </w:pPr>
      <w:r>
        <w:rPr>
          <w:rFonts w:ascii="Barlow Semi Condensed" w:cs="Barlow Semi Condensed" w:eastAsia="Barlow Semi Condensed" w:hAnsi="Barlow Semi Condensed"/>
          <w:sz w:val="24"/>
          <w:szCs w:val="24"/>
        </w:rPr>
        <w:t xml:space="preserve">8-grammi. </w:t>
      </w:r>
      <w:r>
        <w:rPr>
          <w:rFonts w:ascii="Barlow Semi Condensed" w:cs="Barlow Semi Condensed" w:eastAsia="Barlow Semi Condensed" w:hAnsi="Barlow Semi Condensed"/>
          <w:b/>
          <w:bCs/>
          <w:sz w:val="24"/>
          <w:szCs w:val="24"/>
        </w:rPr>
        <w:t xml:space="preserve">Quindici documenti su ventuno stanno sotto il 2 per cento</w:t>
      </w:r>
      <w:r>
        <w:rPr>
          <w:rFonts w:ascii="Barlow Semi Condensed" w:cs="Barlow Semi Condensed" w:eastAsia="Barlow Semi Condensed" w:hAnsi="Barlow Semi Condensed"/>
          <w:sz w:val="24"/>
          <w:szCs w:val="24"/>
        </w:rPr>
        <w:t xml:space="preserve">: sono</w:t>
      </w:r>
    </w:p>
    <w:p>
      <w:pPr>
        <w:spacing w:after="120" w:line="276"/>
        <w:jc w:val="both"/>
      </w:pPr>
      <w:r>
        <w:rPr>
          <w:rFonts w:ascii="Barlow Semi Condensed" w:cs="Barlow Semi Condensed" w:eastAsia="Barlow Semi Condensed" w:hAnsi="Barlow Semi Condensed"/>
          <w:sz w:val="24"/>
          <w:szCs w:val="24"/>
        </w:rPr>
        <w:t xml:space="preserve">materiale nuovo. Sei rivedono ricognizioni già presenti, con sovrapposizioni</w:t>
      </w:r>
    </w:p>
    <w:p>
      <w:pPr>
        <w:spacing w:after="120" w:line="276"/>
        <w:jc w:val="both"/>
      </w:pPr>
      <w:r>
        <w:rPr>
          <w:rFonts w:ascii="Barlow Semi Condensed" w:cs="Barlow Semi Condensed" w:eastAsia="Barlow Semi Condensed" w:hAnsi="Barlow Semi Condensed"/>
          <w:sz w:val="24"/>
          <w:szCs w:val="24"/>
        </w:rPr>
        <w:t xml:space="preserve">fra il 7 e il 29,4 per cento — e </w:t>
      </w:r>
      <w:r>
        <w:rPr>
          <w:rFonts w:ascii="Barlow Semi Condensed" w:cs="Barlow Semi Condensed" w:eastAsia="Barlow Semi Condensed" w:hAnsi="Barlow Semi Condensed"/>
          <w:b/>
          <w:bCs/>
          <w:sz w:val="24"/>
          <w:szCs w:val="24"/>
        </w:rPr>
        <w:t xml:space="preserve">nessuno dei sei sostituisce l'anteriore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ciascuno porta in testa la nota di raccordo che dichiara quale documento rivede</w:t>
      </w:r>
    </w:p>
    <w:p>
      <w:pPr>
        <w:spacing w:after="120" w:line="276"/>
        <w:jc w:val="both"/>
      </w:pPr>
      <w:r>
        <w:rPr>
          <w:rFonts w:ascii="Barlow Semi Condensed" w:cs="Barlow Semi Condensed" w:eastAsia="Barlow Semi Condensed" w:hAnsi="Barlow Semi Condensed"/>
          <w:sz w:val="24"/>
          <w:szCs w:val="24"/>
        </w:rPr>
        <w:t xml:space="preserve">e con quale misura, e le due versioni restano entrambe leggibili.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ricognizione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rivede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sovrapposizione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nona — la sequenza Oder-Neisse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santa-sede-due-germanie-oder-neisse.md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29,4 %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settima — Turchia e attentato</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santa-sede-turchia-attentato-giovanni-paolo-ii.md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23,5 %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sesta — il ribaltamento iberico</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portogallo-opus-dei.md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decima — revisione del modello</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germania-opus-dei-1952-1985.md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14,7 %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quinta — Portogallo, le sei lacune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portogallo-santa-sede-1969-1974.md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11,5 %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ottava — Mediterraneo orientale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grecia-opus-dei-1969-1985.md</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7,0 %</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Il risultato che distingue questa campagna: quattro confutazioni d'autore</w:t>
      </w:r>
    </w:p>
    <w:p>
      <w:pPr>
        <w:spacing w:after="120" w:line="276"/>
        <w:jc w:val="both"/>
      </w:pPr>
      <w:r>
        <w:rPr>
          <w:rFonts w:ascii="Barlow Semi Condensed" w:cs="Barlow Semi Condensed" w:eastAsia="Barlow Semi Condensed" w:hAnsi="Barlow Semi Condensed"/>
          <w:sz w:val="24"/>
          <w:szCs w:val="24"/>
        </w:rPr>
        <w:t xml:space="preserve">È la cosa che va detta per prima, perché è rara e perché è il contrario di ciò</w:t>
      </w:r>
    </w:p>
    <w:p>
      <w:pPr>
        <w:spacing w:after="120" w:line="276"/>
        <w:jc w:val="both"/>
      </w:pPr>
      <w:r>
        <w:rPr>
          <w:rFonts w:ascii="Barlow Semi Condensed" w:cs="Barlow Semi Condensed" w:eastAsia="Barlow Semi Condensed" w:hAnsi="Barlow Semi Condensed"/>
          <w:sz w:val="24"/>
          <w:szCs w:val="24"/>
        </w:rPr>
        <w:t xml:space="preserve">che ci si aspetta da una serie di ricerche condotte da chi le ha proposte.</w:t>
      </w:r>
    </w:p>
    <w:p>
      <w:pPr>
        <w:spacing w:after="120" w:line="276"/>
        <w:jc w:val="both"/>
      </w:pPr>
      <w:r>
        <w:rPr>
          <w:rFonts w:ascii="Barlow Semi Condensed" w:cs="Barlow Semi Condensed" w:eastAsia="Barlow Semi Condensed" w:hAnsi="Barlow Semi Condensed"/>
          <w:sz w:val="24"/>
          <w:szCs w:val="24"/>
        </w:rPr>
        <w:t xml:space="preserve">**Quattro volte l'autore ha formulato un'ipotesi, l'ha sottoposta a ricerca, e</w:t>
      </w:r>
    </w:p>
    <w:p>
      <w:pPr>
        <w:spacing w:after="120" w:line="276"/>
        <w:jc w:val="both"/>
      </w:pPr>
      <w:r>
        <w:rPr>
          <w:rFonts w:ascii="Barlow Semi Condensed" w:cs="Barlow Semi Condensed" w:eastAsia="Barlow Semi Condensed" w:hAnsi="Barlow Semi Condensed"/>
          <w:sz w:val="24"/>
          <w:szCs w:val="24"/>
        </w:rPr>
        <w:t xml:space="preserve">ha registrato che le fonti la respingevano.** Non in nota: in apertura di</w:t>
      </w:r>
    </w:p>
    <w:p>
      <w:pPr>
        <w:spacing w:after="120" w:line="276"/>
        <w:jc w:val="both"/>
      </w:pPr>
      <w:r>
        <w:rPr>
          <w:rFonts w:ascii="Barlow Semi Condensed" w:cs="Barlow Semi Condensed" w:eastAsia="Barlow Semi Condensed" w:hAnsi="Barlow Semi Condensed"/>
          <w:sz w:val="24"/>
          <w:szCs w:val="24"/>
        </w:rPr>
        <w:t xml:space="preserve">documento, con la formulazione originaria riprodotta per esteso.</w:t>
      </w:r>
    </w:p>
    <w:p>
      <w:pPr>
        <w:spacing w:after="120" w:line="276"/>
        <w:jc w:val="both"/>
      </w:pPr>
      <w:r>
        <w:rPr>
          <w:rFonts w:ascii="Barlow Semi Condensed" w:cs="Barlow Semi Condensed" w:eastAsia="Barlow Semi Condensed" w:hAnsi="Barlow Semi Condensed"/>
          <w:b/>
          <w:bCs/>
          <w:sz w:val="24"/>
          <w:szCs w:val="24"/>
        </w:rPr>
        <w:t xml:space="preserve">Prima confutazione — il modello dell'Opus Dei, prima condizione falsificata</w:t>
      </w:r>
    </w:p>
    <w:p>
      <w:pPr>
        <w:spacing w:after="120" w:line="276"/>
        <w:jc w:val="both"/>
      </w:pPr>
      <w:r>
        <w:rPr>
          <w:rFonts w:ascii="Barlow Semi Condensed" w:cs="Barlow Semi Condensed" w:eastAsia="Barlow Semi Condensed" w:hAnsi="Barlow Semi Condensed"/>
          <w:sz w:val="24"/>
          <w:szCs w:val="24"/>
        </w:rPr>
        <w:t xml:space="preserve">(decima ricognizione). Il modello prevedeva che l'insediamento richiedesse un</w:t>
      </w:r>
    </w:p>
    <w:p>
      <w:pPr>
        <w:spacing w:after="120" w:line="276"/>
        <w:jc w:val="both"/>
      </w:pPr>
      <w:r>
        <w:rPr>
          <w:rFonts w:ascii="Barlow Semi Condensed" w:cs="Barlow Semi Condensed" w:eastAsia="Barlow Semi Condensed" w:hAnsi="Barlow Semi Condensed"/>
          <w:sz w:val="24"/>
          <w:szCs w:val="24"/>
        </w:rPr>
        <w:t xml:space="preserve">Paese a maggioranza cattolica o con ceto cattolico autoctono. La condizione di</w:t>
      </w:r>
    </w:p>
    <w:p>
      <w:pPr>
        <w:spacing w:after="120" w:line="276"/>
        <w:jc w:val="both"/>
      </w:pPr>
      <w:r>
        <w:rPr>
          <w:rFonts w:ascii="Barlow Semi Condensed" w:cs="Barlow Semi Condensed" w:eastAsia="Barlow Semi Condensed" w:hAnsi="Barlow Semi Condensed"/>
          <w:sz w:val="24"/>
          <w:szCs w:val="24"/>
        </w:rPr>
        <w:t xml:space="preserve">falsificazione era stata dichiarata in anticipo. È caduta: **la Gran Bretagna</w:t>
      </w:r>
    </w:p>
    <w:p>
      <w:pPr>
        <w:spacing w:after="120" w:line="276"/>
        <w:jc w:val="both"/>
      </w:pPr>
      <w:r>
        <w:rPr>
          <w:rFonts w:ascii="Barlow Semi Condensed" w:cs="Barlow Semi Condensed" w:eastAsia="Barlow Semi Condensed" w:hAnsi="Barlow Semi Condensed"/>
          <w:sz w:val="24"/>
          <w:szCs w:val="24"/>
        </w:rPr>
        <w:t xml:space="preserve">del 1946 precede la Germania del 1952**, e non è né l'una né l'altra cosa. Il</w:t>
      </w:r>
    </w:p>
    <w:p>
      <w:pPr>
        <w:spacing w:after="120" w:line="276"/>
        <w:jc w:val="both"/>
      </w:pPr>
      <w:r>
        <w:rPr>
          <w:rFonts w:ascii="Barlow Semi Condensed" w:cs="Barlow Semi Condensed" w:eastAsia="Barlow Semi Condensed" w:hAnsi="Barlow Semi Condensed"/>
          <w:sz w:val="24"/>
          <w:szCs w:val="24"/>
        </w:rPr>
        <w:t xml:space="preserve">Registro delle undici ricognizioni fissa la correzione con precisione:</w:t>
      </w:r>
    </w:p>
    <w:p>
      <w:pPr>
        <w:spacing w:after="120" w:line="276"/>
        <w:jc w:val="both"/>
      </w:pPr>
      <w:r>
        <w:rPr>
          <w:rFonts w:ascii="Barlow Semi Condensed" w:cs="Barlow Semi Condensed" w:eastAsia="Barlow Semi Condensed" w:hAnsi="Barlow Semi Condensed"/>
          <w:sz w:val="24"/>
          <w:szCs w:val="24"/>
        </w:rPr>
        <w:t xml:space="preserve">«il primo caso falsificante è la Gran Bretagna 1946 e non la Germania 1952; la</w:t>
      </w:r>
    </w:p>
    <w:p>
      <w:pPr>
        <w:spacing w:after="120" w:line="276"/>
        <w:jc w:val="both"/>
      </w:pPr>
      <w:r>
        <w:rPr>
          <w:rFonts w:ascii="Barlow Semi Condensed" w:cs="Barlow Semi Condensed" w:eastAsia="Barlow Semi Condensed" w:hAnsi="Barlow Semi Condensed"/>
          <w:sz w:val="24"/>
          <w:szCs w:val="24"/>
        </w:rPr>
        <w:t xml:space="preserve">Germania è il caso </w:t>
      </w:r>
      <w:r>
        <w:rPr>
          <w:rFonts w:ascii="Barlow Semi Condensed" w:cs="Barlow Semi Condensed" w:eastAsia="Barlow Semi Condensed" w:hAnsi="Barlow Semi Condensed"/>
          <w:i/>
          <w:iCs/>
          <w:sz w:val="24"/>
          <w:szCs w:val="24"/>
        </w:rPr>
        <w:t xml:space="preserve">più probante</w:t>
      </w:r>
      <w:r>
        <w:rPr>
          <w:rFonts w:ascii="Barlow Semi Condensed" w:cs="Barlow Semi Condensed" w:eastAsia="Barlow Semi Condensed" w:hAnsi="Barlow Semi Condensed"/>
          <w:sz w:val="24"/>
          <w:szCs w:val="24"/>
        </w:rPr>
        <w:t xml:space="preserve"> perché il milieu vi è più documentato, *non</w:t>
      </w:r>
    </w:p>
    <w:p>
      <w:pPr>
        <w:spacing w:after="120" w:line="276"/>
        <w:jc w:val="both"/>
      </w:pPr>
      <w:r>
        <w:rPr>
          <w:rFonts w:ascii="Barlow Semi Condensed" w:cs="Barlow Semi Condensed" w:eastAsia="Barlow Semi Condensed" w:hAnsi="Barlow Semi Condensed"/>
          <w:sz w:val="24"/>
          <w:szCs w:val="24"/>
        </w:rPr>
        <w:t xml:space="preserve">il più antico*».</w:t>
      </w:r>
    </w:p>
    <w:p>
      <w:pPr>
        <w:spacing w:after="120" w:line="276"/>
        <w:jc w:val="both"/>
      </w:pPr>
      <w:r>
        <w:rPr>
          <w:rFonts w:ascii="Barlow Semi Condensed" w:cs="Barlow Semi Condensed" w:eastAsia="Barlow Semi Condensed" w:hAnsi="Barlow Semi Condensed"/>
          <w:b/>
          <w:bCs/>
          <w:sz w:val="24"/>
          <w:szCs w:val="24"/>
        </w:rPr>
        <w:t xml:space="preserve">Seconda confutazione — il Kenya</w:t>
      </w:r>
      <w:r>
        <w:rPr>
          <w:rFonts w:ascii="Barlow Semi Condensed" w:cs="Barlow Semi Condensed" w:eastAsia="Barlow Semi Condensed" w:hAnsi="Barlow Semi Condensed"/>
          <w:sz w:val="24"/>
          <w:szCs w:val="24"/>
        </w:rPr>
        <w:t xml:space="preserve"> (dodicesima ricognizione). Il modello,</w:t>
      </w:r>
    </w:p>
    <w:p>
      <w:pPr>
        <w:spacing w:after="120" w:line="276"/>
        <w:jc w:val="both"/>
      </w:pPr>
      <w:r>
        <w:rPr>
          <w:rFonts w:ascii="Barlow Semi Condensed" w:cs="Barlow Semi Condensed" w:eastAsia="Barlow Semi Condensed" w:hAnsi="Barlow Semi Condensed"/>
          <w:sz w:val="24"/>
          <w:szCs w:val="24"/>
        </w:rPr>
        <w:t xml:space="preserve">già emendato una volta, cade una seconda: si documenta un radicamento</w:t>
      </w:r>
    </w:p>
    <w:p>
      <w:pPr>
        <w:spacing w:after="120" w:line="276"/>
        <w:jc w:val="both"/>
      </w:pPr>
      <w:r>
        <w:rPr>
          <w:rFonts w:ascii="Barlow Semi Condensed" w:cs="Barlow Semi Condensed" w:eastAsia="Barlow Semi Condensed" w:hAnsi="Barlow Semi Condensed"/>
          <w:b/>
          <w:bCs/>
          <w:sz w:val="24"/>
          <w:szCs w:val="24"/>
        </w:rPr>
        <w:t xml:space="preserve">endogeno</w:t>
      </w:r>
      <w:r>
        <w:rPr>
          <w:rFonts w:ascii="Barlow Semi Condensed" w:cs="Barlow Semi Condensed" w:eastAsia="Barlow Semi Condensed" w:hAnsi="Barlow Semi Condensed"/>
          <w:sz w:val="24"/>
          <w:szCs w:val="24"/>
        </w:rPr>
        <w:t xml:space="preserve"> del ceto, non per trapianto, in un Paese che ne era privo. Che una</w:t>
      </w:r>
    </w:p>
    <w:p>
      <w:pPr>
        <w:spacing w:after="120" w:line="276"/>
        <w:jc w:val="both"/>
      </w:pPr>
      <w:r>
        <w:rPr>
          <w:rFonts w:ascii="Barlow Semi Condensed" w:cs="Barlow Semi Condensed" w:eastAsia="Barlow Semi Condensed" w:hAnsi="Barlow Semi Condensed"/>
          <w:sz w:val="24"/>
          <w:szCs w:val="24"/>
        </w:rPr>
        <w:t xml:space="preserve">proposizione con condizione di falsificazione esplicita cada due volte in due</w:t>
      </w:r>
    </w:p>
    <w:p>
      <w:pPr>
        <w:spacing w:after="120" w:line="276"/>
        <w:jc w:val="both"/>
      </w:pPr>
      <w:r>
        <w:rPr>
          <w:rFonts w:ascii="Barlow Semi Condensed" w:cs="Barlow Semi Condensed" w:eastAsia="Barlow Semi Condensed" w:hAnsi="Barlow Semi Condensed"/>
          <w:sz w:val="24"/>
          <w:szCs w:val="24"/>
        </w:rPr>
        <w:t xml:space="preserve">passaggi è, dichiara l'autore, «essa stessa un risultato».</w:t>
      </w:r>
    </w:p>
    <w:p>
      <w:pPr>
        <w:spacing w:after="120" w:line="276"/>
        <w:jc w:val="both"/>
      </w:pPr>
      <w:r>
        <w:rPr>
          <w:rFonts w:ascii="Barlow Semi Condensed" w:cs="Barlow Semi Condensed" w:eastAsia="Barlow Semi Condensed" w:hAnsi="Barlow Semi Condensed"/>
          <w:b/>
          <w:bCs/>
          <w:sz w:val="24"/>
          <w:szCs w:val="24"/>
        </w:rPr>
        <w:t xml:space="preserve">Terza confutazione — l'ipotesi namibiana</w:t>
      </w:r>
      <w:r>
        <w:rPr>
          <w:rFonts w:ascii="Barlow Semi Condensed" w:cs="Barlow Semi Condensed" w:eastAsia="Barlow Semi Condensed" w:hAnsi="Barlow Semi Condensed"/>
          <w:sz w:val="24"/>
          <w:szCs w:val="24"/>
        </w:rPr>
        <w:t xml:space="preserve"> (sedicesima ricognizione).</w:t>
      </w:r>
    </w:p>
    <w:p>
      <w:pPr>
        <w:spacing w:after="120" w:line="276"/>
        <w:jc w:val="both"/>
      </w:pPr>
      <w:r>
        <w:rPr>
          <w:rFonts w:ascii="Barlow Semi Condensed" w:cs="Barlow Semi Condensed" w:eastAsia="Barlow Semi Condensed" w:hAnsi="Barlow Semi Condensed"/>
          <w:sz w:val="24"/>
          <w:szCs w:val="24"/>
        </w:rPr>
        <w:t xml:space="preserve">L'ipotesi sull'esclusione italiana dal Gruppo di contatto occidentale è respinta</w:t>
      </w:r>
    </w:p>
    <w:p>
      <w:pPr>
        <w:spacing w:after="120" w:line="276"/>
        <w:jc w:val="both"/>
      </w:pPr>
      <w:r>
        <w:rPr>
          <w:rFonts w:ascii="Barlow Semi Condensed" w:cs="Barlow Semi Condensed" w:eastAsia="Barlow Semi Condensed" w:hAnsi="Barlow Semi Condensed"/>
          <w:sz w:val="24"/>
          <w:szCs w:val="24"/>
        </w:rPr>
        <w:t xml:space="preserve">dalle fonti. L'autore la registra in apertura «perché è la terza volta nella</w:t>
      </w:r>
    </w:p>
    <w:p>
      <w:pPr>
        <w:spacing w:after="120" w:line="276"/>
        <w:jc w:val="both"/>
      </w:pPr>
      <w:r>
        <w:rPr>
          <w:rFonts w:ascii="Barlow Semi Condensed" w:cs="Barlow Semi Condensed" w:eastAsia="Barlow Semi Condensed" w:hAnsi="Barlow Semi Condensed"/>
          <w:sz w:val="24"/>
          <w:szCs w:val="24"/>
        </w:rPr>
        <w:t xml:space="preserve">serie che ciò accade, e perché tacerla sarebbe il vizio che la serie serve a</w:t>
      </w:r>
    </w:p>
    <w:p>
      <w:pPr>
        <w:spacing w:after="120" w:line="276"/>
        <w:jc w:val="both"/>
      </w:pPr>
      <w:r>
        <w:rPr>
          <w:rFonts w:ascii="Barlow Semi Condensed" w:cs="Barlow Semi Condensed" w:eastAsia="Barlow Semi Condensed" w:hAnsi="Barlow Semi Condensed"/>
          <w:sz w:val="24"/>
          <w:szCs w:val="24"/>
        </w:rPr>
        <w:t xml:space="preserve">prevenire».</w:t>
      </w:r>
    </w:p>
    <w:p>
      <w:pPr>
        <w:spacing w:after="120" w:line="276"/>
        <w:jc w:val="both"/>
      </w:pPr>
      <w:r>
        <w:rPr>
          <w:rFonts w:ascii="Barlow Semi Condensed" w:cs="Barlow Semi Condensed" w:eastAsia="Barlow Semi Condensed" w:hAnsi="Barlow Semi Condensed"/>
          <w:b/>
          <w:bCs/>
          <w:sz w:val="24"/>
          <w:szCs w:val="24"/>
        </w:rPr>
        <w:t xml:space="preserve">Quarta confutazione — il nodo sudafricano</w:t>
      </w:r>
      <w:r>
        <w:rPr>
          <w:rFonts w:ascii="Barlow Semi Condensed" w:cs="Barlow Semi Condensed" w:eastAsia="Barlow Semi Condensed" w:hAnsi="Barlow Semi Condensed"/>
          <w:sz w:val="24"/>
          <w:szCs w:val="24"/>
        </w:rPr>
        <w:t xml:space="preserve"> (terzo registro). L'ipotesi era</w:t>
      </w:r>
    </w:p>
    <w:p>
      <w:pPr>
        <w:spacing w:after="120" w:line="276"/>
        <w:jc w:val="both"/>
      </w:pPr>
      <w:r>
        <w:rPr>
          <w:rFonts w:ascii="Barlow Semi Condensed" w:cs="Barlow Semi Condensed" w:eastAsia="Barlow Semi Condensed" w:hAnsi="Barlow Semi Condensed"/>
          <w:sz w:val="24"/>
          <w:szCs w:val="24"/>
        </w:rPr>
        <w:t xml:space="preserve">che il Sudafrica costituisse un nodo che attraversa entrambe le formazioni</w:t>
      </w:r>
    </w:p>
    <w:p>
      <w:pPr>
        <w:spacing w:after="120" w:line="276"/>
        <w:jc w:val="both"/>
      </w:pPr>
      <w:r>
        <w:rPr>
          <w:rFonts w:ascii="Barlow Semi Condensed" w:cs="Barlow Semi Condensed" w:eastAsia="Barlow Semi Condensed" w:hAnsi="Barlow Semi Condensed"/>
          <w:sz w:val="24"/>
          <w:szCs w:val="24"/>
        </w:rPr>
        <w:t xml:space="preserve">cambiando polarità. Le fonti danno un'altra figura: **non un nodo che ruota, ma</w:t>
      </w:r>
    </w:p>
    <w:p>
      <w:pPr>
        <w:spacing w:after="120" w:line="276"/>
        <w:jc w:val="both"/>
      </w:pPr>
      <w:r>
        <w:rPr>
          <w:rFonts w:ascii="Barlow Semi Condensed" w:cs="Barlow Semi Condensed" w:eastAsia="Barlow Semi Condensed" w:hAnsi="Barlow Semi Condensed"/>
          <w:sz w:val="24"/>
          <w:szCs w:val="24"/>
        </w:rPr>
        <w:t xml:space="preserve">lo Stato che contiene i due fronti**.</w:t>
      </w:r>
    </w:p>
    <w:p>
      <w:pPr>
        <w:spacing w:after="120" w:line="276"/>
        <w:jc w:val="both"/>
      </w:pPr>
      <w:r>
        <w:rPr>
          <w:rFonts w:ascii="Barlow Semi Condensed" w:cs="Barlow Semi Condensed" w:eastAsia="Barlow Semi Condensed" w:hAnsi="Barlow Semi Condensed"/>
          <w:sz w:val="24"/>
          <w:szCs w:val="24"/>
        </w:rPr>
        <w:t xml:space="preserve">Quattro ipotesi proposte e quattro respinte, dallo stesso autore che le aveva</w:t>
      </w:r>
    </w:p>
    <w:p>
      <w:pPr>
        <w:spacing w:after="120" w:line="276"/>
        <w:jc w:val="both"/>
      </w:pPr>
      <w:r>
        <w:rPr>
          <w:rFonts w:ascii="Barlow Semi Condensed" w:cs="Barlow Semi Condensed" w:eastAsia="Barlow Semi Condensed" w:hAnsi="Barlow Semi Condensed"/>
          <w:sz w:val="24"/>
          <w:szCs w:val="24"/>
        </w:rPr>
        <w:t xml:space="preserve">proposte. Nel corpus questo non ha precedenti di uguale densità, ed è il motivo</w:t>
      </w:r>
    </w:p>
    <w:p>
      <w:pPr>
        <w:spacing w:after="120" w:line="276"/>
        <w:jc w:val="both"/>
      </w:pPr>
      <w:r>
        <w:rPr>
          <w:rFonts w:ascii="Barlow Semi Condensed" w:cs="Barlow Semi Condensed" w:eastAsia="Barlow Semi Condensed" w:hAnsi="Barlow Semi Condensed"/>
          <w:sz w:val="24"/>
          <w:szCs w:val="24"/>
        </w:rPr>
        <w:t xml:space="preserve">per cui la campagna vale più della somma dei suoi documenti.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correzioni che la campagna impone al corpus</w:t>
      </w:r>
    </w:p>
    <w:p>
      <w:pPr>
        <w:spacing w:after="120" w:line="276"/>
        <w:jc w:val="both"/>
      </w:pPr>
      <w:r>
        <w:rPr>
          <w:rFonts w:ascii="Barlow Semi Condensed" w:cs="Barlow Semi Condensed" w:eastAsia="Barlow Semi Condensed" w:hAnsi="Barlow Semi Condensed"/>
          <w:sz w:val="24"/>
          <w:szCs w:val="24"/>
        </w:rPr>
        <w:t xml:space="preserve">Vanno eseguite, non soltanto registrate.</w:t>
      </w:r>
    </w:p>
    <w:p>
      <w:pPr>
        <w:spacing w:after="120" w:line="276"/>
        <w:jc w:val="both"/>
      </w:pPr>
      <w:r>
        <w:rPr>
          <w:rFonts w:ascii="Barlow Semi Condensed" w:cs="Barlow Semi Condensed" w:eastAsia="Barlow Semi Condensed" w:hAnsi="Barlow Semi Condensed"/>
          <w:sz w:val="24"/>
          <w:szCs w:val="24"/>
        </w:rPr>
        <w:t xml:space="preserve">**Il riconoscimento della Repubblica Democratica Tedesca non avvenne sotto</w:t>
      </w:r>
    </w:p>
    <w:p>
      <w:pPr>
        <w:spacing w:after="120" w:line="276"/>
        <w:jc w:val="both"/>
      </w:pPr>
      <w:r>
        <w:rPr>
          <w:rFonts w:ascii="Barlow Semi Condensed" w:cs="Barlow Semi Condensed" w:eastAsia="Barlow Semi Condensed" w:hAnsi="Barlow Semi Condensed"/>
          <w:sz w:val="24"/>
          <w:szCs w:val="24"/>
        </w:rPr>
        <w:t xml:space="preserve">Moro.** La nona ricognizione lo data col Portale storico della Camera: seduta</w:t>
      </w:r>
    </w:p>
    <w:p>
      <w:pPr>
        <w:spacing w:after="120" w:line="276"/>
        <w:jc w:val="both"/>
      </w:pPr>
      <w:r>
        <w:rPr>
          <w:rFonts w:ascii="Barlow Semi Condensed" w:cs="Barlow Semi Condensed" w:eastAsia="Barlow Semi Condensed" w:hAnsi="Barlow Semi Condensed"/>
          <w:sz w:val="24"/>
          <w:szCs w:val="24"/>
        </w:rPr>
        <w:t xml:space="preserve">di </w:t>
      </w:r>
      <w:r>
        <w:rPr>
          <w:rFonts w:ascii="Barlow Semi Condensed" w:cs="Barlow Semi Condensed" w:eastAsia="Barlow Semi Condensed" w:hAnsi="Barlow Semi Condensed"/>
          <w:b/>
          <w:bCs/>
          <w:sz w:val="24"/>
          <w:szCs w:val="24"/>
        </w:rPr>
        <w:t xml:space="preserve">mercoledì 17 gennaio 1973</w:t>
      </w:r>
      <w:r>
        <w:rPr>
          <w:rFonts w:ascii="Barlow Semi Condensed" w:cs="Barlow Semi Condensed" w:eastAsia="Barlow Semi Condensed" w:hAnsi="Barlow Semi Condensed"/>
          <w:sz w:val="24"/>
          <w:szCs w:val="24"/>
        </w:rPr>
        <w:t xml:space="preserve">, sesta legislatura. Cadde </w:t>
      </w:r>
      <w:r>
        <w:rPr>
          <w:rFonts w:ascii="Barlow Semi Condensed" w:cs="Barlow Semi Condensed" w:eastAsia="Barlow Semi Condensed" w:hAnsi="Barlow Semi Condensed"/>
          <w:b/>
          <w:bCs/>
          <w:sz w:val="24"/>
          <w:szCs w:val="24"/>
        </w:rPr>
        <w:t xml:space="preserve">fra i due mandati</w:t>
      </w:r>
    </w:p>
    <w:p>
      <w:pPr>
        <w:spacing w:after="120" w:line="276"/>
        <w:jc w:val="both"/>
      </w:pPr>
      <w:r>
        <w:rPr>
          <w:rFonts w:ascii="Barlow Semi Condensed" w:cs="Barlow Semi Condensed" w:eastAsia="Barlow Semi Condensed" w:hAnsi="Barlow Semi Condensed"/>
          <w:sz w:val="24"/>
          <w:szCs w:val="24"/>
        </w:rPr>
        <w:t xml:space="preserve">di Moro alla Farnesina, e il ministro degli Esteri era allora **Giuseppe</w:t>
      </w:r>
    </w:p>
    <w:p>
      <w:pPr>
        <w:spacing w:after="120" w:line="276"/>
        <w:jc w:val="both"/>
      </w:pPr>
      <w:r>
        <w:rPr>
          <w:rFonts w:ascii="Barlow Semi Condensed" w:cs="Barlow Semi Condensed" w:eastAsia="Barlow Semi Condensed" w:hAnsi="Barlow Semi Condensed"/>
          <w:sz w:val="24"/>
          <w:szCs w:val="24"/>
        </w:rPr>
        <w:t xml:space="preserve">Medici**, nel governo Andreotti. L'ipotesi che fosse avvenuto sotto la</w:t>
      </w:r>
    </w:p>
    <w:p>
      <w:pPr>
        <w:spacing w:after="120" w:line="276"/>
        <w:jc w:val="both"/>
      </w:pPr>
      <w:r>
        <w:rPr>
          <w:rFonts w:ascii="Barlow Semi Condensed" w:cs="Barlow Semi Condensed" w:eastAsia="Barlow Semi Condensed" w:hAnsi="Barlow Semi Condensed"/>
          <w:sz w:val="24"/>
          <w:szCs w:val="24"/>
        </w:rPr>
        <w:t xml:space="preserve">titolarità di Moro è errata e va emendata ovunque il corpus la porti.</w:t>
      </w:r>
    </w:p>
    <w:p>
      <w:pPr>
        <w:spacing w:after="120" w:line="276"/>
        <w:jc w:val="both"/>
      </w:pPr>
      <w:r>
        <w:rPr>
          <w:rFonts w:ascii="Barlow Semi Condensed" w:cs="Barlow Semi Condensed" w:eastAsia="Barlow Semi Condensed" w:hAnsi="Barlow Semi Condensed"/>
          <w:b/>
          <w:bCs/>
          <w:sz w:val="24"/>
          <w:szCs w:val="24"/>
        </w:rPr>
        <w:t xml:space="preserve">L'espulsione dei comboniani ha due date, non una.</w:t>
      </w:r>
      <w:r>
        <w:rPr>
          <w:rFonts w:ascii="Barlow Semi Condensed" w:cs="Barlow Semi Condensed" w:eastAsia="Barlow Semi Condensed" w:hAnsi="Barlow Semi Condensed"/>
          <w:sz w:val="24"/>
          <w:szCs w:val="24"/>
        </w:rPr>
        <w:t xml:space="preserve"> La quinta ricognizione</w:t>
      </w:r>
    </w:p>
    <w:p>
      <w:pPr>
        <w:spacing w:after="120" w:line="276"/>
        <w:jc w:val="both"/>
      </w:pPr>
      <w:r>
        <w:rPr>
          <w:rFonts w:ascii="Barlow Semi Condensed" w:cs="Barlow Semi Condensed" w:eastAsia="Barlow Semi Condensed" w:hAnsi="Barlow Semi Condensed"/>
          <w:sz w:val="24"/>
          <w:szCs w:val="24"/>
        </w:rPr>
        <w:t xml:space="preserve">separa l'ordine — </w:t>
      </w:r>
      <w:r>
        <w:rPr>
          <w:rFonts w:ascii="Barlow Semi Condensed" w:cs="Barlow Semi Condensed" w:eastAsia="Barlow Semi Condensed" w:hAnsi="Barlow Semi Condensed"/>
          <w:b/>
          <w:bCs/>
          <w:sz w:val="24"/>
          <w:szCs w:val="24"/>
        </w:rPr>
        <w:t xml:space="preserve">5 marzo 1974</w:t>
      </w:r>
      <w:r>
        <w:rPr>
          <w:rFonts w:ascii="Barlow Semi Condensed" w:cs="Barlow Semi Condensed" w:eastAsia="Barlow Semi Condensed" w:hAnsi="Barlow Semi Condensed"/>
          <w:sz w:val="24"/>
          <w:szCs w:val="24"/>
        </w:rPr>
        <w:t xml:space="preserve"> — dall'esecuzione — </w:t>
      </w:r>
      <w:r>
        <w:rPr>
          <w:rFonts w:ascii="Barlow Semi Condensed" w:cs="Barlow Semi Condensed" w:eastAsia="Barlow Semi Condensed" w:hAnsi="Barlow Semi Condensed"/>
          <w:b/>
          <w:bCs/>
          <w:sz w:val="24"/>
          <w:szCs w:val="24"/>
        </w:rPr>
        <w:t xml:space="preserve">13 aprile 1974</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trentanove giorni fra la decisione e l'atto, e la decisione precede di</w:t>
      </w:r>
    </w:p>
    <w:p>
      <w:pPr>
        <w:spacing w:after="120" w:line="276"/>
        <w:jc w:val="both"/>
      </w:pPr>
      <w:r>
        <w:rPr>
          <w:rFonts w:ascii="Barlow Semi Condensed" w:cs="Barlow Semi Condensed" w:eastAsia="Barlow Semi Condensed" w:hAnsi="Barlow Semi Condensed"/>
          <w:sz w:val="24"/>
          <w:szCs w:val="24"/>
        </w:rPr>
        <w:t xml:space="preserve">cinquantun giorni la caduta del regime. La passata precedente aveva registrato</w:t>
      </w:r>
    </w:p>
    <w:p>
      <w:pPr>
        <w:spacing w:after="120" w:line="276"/>
        <w:jc w:val="both"/>
      </w:pPr>
      <w:r>
        <w:rPr>
          <w:rFonts w:ascii="Barlow Semi Condensed" w:cs="Barlow Semi Condensed" w:eastAsia="Barlow Semi Condensed" w:hAnsi="Barlow Semi Condensed"/>
          <w:sz w:val="24"/>
          <w:szCs w:val="24"/>
        </w:rPr>
        <w:t xml:space="preserve">soltanto la data dell'esecuzione, e la differenza cambia la lettura.</w:t>
      </w:r>
    </w:p>
    <w:p>
      <w:pPr>
        <w:spacing w:after="120" w:line="276"/>
        <w:jc w:val="both"/>
      </w:pPr>
      <w:r>
        <w:rPr>
          <w:rFonts w:ascii="Barlow Semi Condensed" w:cs="Barlow Semi Condensed" w:eastAsia="Barlow Semi Condensed" w:hAnsi="Barlow Semi Condensed"/>
          <w:b/>
          <w:bCs/>
          <w:sz w:val="24"/>
          <w:szCs w:val="24"/>
        </w:rPr>
        <w:t xml:space="preserve">La quinta proposizione sull'Aginter va corretta.</w:t>
      </w:r>
      <w:r>
        <w:rPr>
          <w:rFonts w:ascii="Barlow Semi Condensed" w:cs="Barlow Semi Condensed" w:eastAsia="Barlow Semi Condensed" w:hAnsi="Barlow Semi Condensed"/>
          <w:sz w:val="24"/>
          <w:szCs w:val="24"/>
        </w:rPr>
        <w:t xml:space="preserve"> La tredicesima</w:t>
      </w:r>
    </w:p>
    <w:p>
      <w:pPr>
        <w:spacing w:after="120" w:line="276"/>
        <w:jc w:val="both"/>
      </w:pPr>
      <w:r>
        <w:rPr>
          <w:rFonts w:ascii="Barlow Semi Condensed" w:cs="Barlow Semi Condensed" w:eastAsia="Barlow Semi Condensed" w:hAnsi="Barlow Semi Condensed"/>
          <w:sz w:val="24"/>
          <w:szCs w:val="24"/>
        </w:rPr>
        <w:t xml:space="preserve">ricognizione accerta che non vi fu mai richiesta italiana di estradizione,</w:t>
      </w:r>
    </w:p>
    <w:p>
      <w:pPr>
        <w:spacing w:after="120" w:line="276"/>
        <w:jc w:val="both"/>
      </w:pPr>
      <w:r>
        <w:rPr>
          <w:rFonts w:ascii="Barlow Semi Condensed" w:cs="Barlow Semi Condensed" w:eastAsia="Barlow Semi Condensed" w:hAnsi="Barlow Semi Condensed"/>
          <w:sz w:val="24"/>
          <w:szCs w:val="24"/>
        </w:rPr>
        <w:t xml:space="preserve">accolta o respinta: la questione non si pose in quei termini perché l'uomo non</w:t>
      </w:r>
    </w:p>
    <w:p>
      <w:pPr>
        <w:spacing w:after="120" w:line="276"/>
        <w:jc w:val="both"/>
      </w:pPr>
      <w:r>
        <w:rPr>
          <w:rFonts w:ascii="Barlow Semi Condensed" w:cs="Barlow Semi Condensed" w:eastAsia="Barlow Semi Condensed" w:hAnsi="Barlow Semi Condensed"/>
          <w:sz w:val="24"/>
          <w:szCs w:val="24"/>
        </w:rPr>
        <w:t xml:space="preserve">fu mai localizzato, e </w:t>
      </w:r>
      <w:r>
        <w:rPr>
          <w:rFonts w:ascii="Barlow Semi Condensed" w:cs="Barlow Semi Condensed" w:eastAsia="Barlow Semi Condensed" w:hAnsi="Barlow Semi Condensed"/>
          <w:b/>
          <w:bCs/>
          <w:sz w:val="24"/>
          <w:szCs w:val="24"/>
        </w:rPr>
        <w:t xml:space="preserve">la notifica avvenne per irreperibilità</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Una voce del Registro va emendata</w:t>
      </w:r>
      <w:r>
        <w:rPr>
          <w:rFonts w:ascii="Barlow Semi Condensed" w:cs="Barlow Semi Condensed" w:eastAsia="Barlow Semi Condensed" w:hAnsi="Barlow Semi Condensed"/>
          <w:sz w:val="24"/>
          <w:szCs w:val="24"/>
        </w:rPr>
        <w:t xml:space="preserve"> (quattordicesima, calibrazione libica), e</w:t>
      </w:r>
    </w:p>
    <w:p>
      <w:pPr>
        <w:spacing w:after="120" w:line="276"/>
        <w:jc w:val="both"/>
      </w:pPr>
      <w:r>
        <w:rPr>
          <w:rFonts w:ascii="Barlow Semi Condensed" w:cs="Barlow Semi Condensed" w:eastAsia="Barlow Semi Condensed" w:hAnsi="Barlow Semi Condensed"/>
          <w:b/>
          <w:bCs/>
          <w:sz w:val="24"/>
          <w:szCs w:val="24"/>
        </w:rPr>
        <w:t xml:space="preserve">la sedicesima ricognizione va corretta dalla diciottesima</w:t>
      </w:r>
      <w:r>
        <w:rPr>
          <w:rFonts w:ascii="Barlow Semi Condensed" w:cs="Barlow Semi Condensed" w:eastAsia="Barlow Semi Condensed" w:hAnsi="Barlow Semi Condensed"/>
          <w:sz w:val="24"/>
          <w:szCs w:val="24"/>
        </w:rPr>
        <w:t xml:space="preserve">. Entrambe le</w:t>
      </w:r>
    </w:p>
    <w:p>
      <w:pPr>
        <w:spacing w:after="120" w:line="276"/>
        <w:jc w:val="both"/>
      </w:pPr>
      <w:r>
        <w:rPr>
          <w:rFonts w:ascii="Barlow Semi Condensed" w:cs="Barlow Semi Condensed" w:eastAsia="Barlow Semi Condensed" w:hAnsi="Barlow Semi Condensed"/>
          <w:sz w:val="24"/>
          <w:szCs w:val="24"/>
        </w:rPr>
        <w:t xml:space="preserve">emendazioni sono eseguite dentro i rispettivi documenti.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L'acquisizione metodologica: la contaminazione per prossimità</w:t>
      </w:r>
    </w:p>
    <w:p>
      <w:pPr>
        <w:spacing w:after="120" w:line="276"/>
        <w:jc w:val="both"/>
      </w:pPr>
      <w:r>
        <w:rPr>
          <w:rFonts w:ascii="Barlow Semi Condensed" w:cs="Barlow Semi Condensed" w:eastAsia="Barlow Semi Condensed" w:hAnsi="Barlow Semi Condensed"/>
          <w:sz w:val="24"/>
          <w:szCs w:val="24"/>
        </w:rPr>
        <w:t xml:space="preserve">L'undicesima ricognizione produce un concetto che eccede il proprio perimetro e</w:t>
      </w:r>
    </w:p>
    <w:p>
      <w:pPr>
        <w:spacing w:after="120" w:line="276"/>
        <w:jc w:val="both"/>
      </w:pPr>
      <w:r>
        <w:rPr>
          <w:rFonts w:ascii="Barlow Semi Condensed" w:cs="Barlow Semi Condensed" w:eastAsia="Barlow Semi Condensed" w:hAnsi="Barlow Semi Condensed"/>
          <w:sz w:val="24"/>
          <w:szCs w:val="24"/>
        </w:rPr>
        <w:t xml:space="preserve">va portato nell'apparato del metodo.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Contaminazione per prossimità.</w:t>
      </w:r>
      <w:r>
        <w:rPr>
          <w:rFonts w:ascii="Barlow Semi Condensed" w:cs="Barlow Semi Condensed" w:eastAsia="Barlow Semi Condensed" w:hAnsi="Barlow Semi Condensed"/>
          <w:i w:val="false"/>
          <w:iCs w:val="false"/>
          <w:sz w:val="24"/>
          <w:szCs w:val="24"/>
        </w:rPr>
        <w:t xml:space="preserve"> Non è citazione errata né falsificazione: è collocazione di un'asserzione non documentata dentro un elenco di fatti documentati, che ne trasferisce il credito.</w:t>
      </w:r>
    </w:p>
    <w:p>
      <w:pPr>
        <w:spacing w:after="120" w:line="276"/>
        <w:jc w:val="both"/>
      </w:pPr>
      <w:r>
        <w:rPr>
          <w:rFonts w:ascii="Barlow Semi Condensed" w:cs="Barlow Semi Condensed" w:eastAsia="Barlow Semi Condensed" w:hAnsi="Barlow Semi Condensed"/>
          <w:sz w:val="24"/>
          <w:szCs w:val="24"/>
        </w:rPr>
        <w:t xml:space="preserve">Il corollario è operativo, e l'autore lo formula come regola di misura: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Quando si valuta un'affermazione di connessione, si conti quanti soggetti indipendenti e disinteressati ne abbiano lasciato traccia. Se il numero è zero, l'affermazione </w:t>
      </w:r>
      <w:r>
        <w:rPr>
          <w:rFonts w:ascii="Barlow Semi Condensed" w:cs="Barlow Semi Condensed" w:eastAsia="Barlow Semi Condensed" w:hAnsi="Barlow Semi Condensed"/>
          <w:b/>
          <w:bCs/>
          <w:i w:val="false"/>
          <w:iCs w:val="false"/>
          <w:sz w:val="24"/>
          <w:szCs w:val="24"/>
        </w:rPr>
        <w:t xml:space="preserve">non è confutata ma non è utilizzabile</w:t>
      </w:r>
      <w:r>
        <w:rPr>
          <w:rFonts w:ascii="Barlow Semi Condensed" w:cs="Barlow Semi Condensed" w:eastAsia="Barlow Semi Condensed" w:hAnsi="Barlow Semi Condensed"/>
          <w:i w:val="false"/>
          <w:iCs w:val="false"/>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Questa regola triangola direttamente con un altro lotto dell'opera</w:t>
      </w:r>
      <w:r>
        <w:rPr>
          <w:rFonts w:ascii="Barlow Semi Condensed" w:cs="Barlow Semi Condensed" w:eastAsia="Barlow Semi Condensed" w:hAnsi="Barlow Semi Condensed"/>
          <w:sz w:val="24"/>
          <w:szCs w:val="24"/>
        </w:rPr>
        <w:t xml:space="preserve">, e la</w:t>
      </w:r>
    </w:p>
    <w:p>
      <w:pPr>
        <w:spacing w:after="120" w:line="276"/>
        <w:jc w:val="both"/>
      </w:pPr>
      <w:r>
        <w:rPr>
          <w:rFonts w:ascii="Barlow Semi Condensed" w:cs="Barlow Semi Condensed" w:eastAsia="Barlow Semi Condensed" w:hAnsi="Barlow Semi Condensed"/>
          <w:sz w:val="24"/>
          <w:szCs w:val="24"/>
        </w:rPr>
        <w:t xml:space="preserve">convergenza va registrata perché i due documenti sono nati separatamente. La</w:t>
      </w:r>
    </w:p>
    <w:p>
      <w:pPr>
        <w:spacing w:after="120" w:line="276"/>
        <w:jc w:val="both"/>
      </w:pPr>
      <w:r>
        <w:rPr>
          <w:rFonts w:ascii="Barlow Semi Condensed" w:cs="Barlow Semi Condensed" w:eastAsia="Barlow Semi Condensed" w:hAnsi="Barlow Semi Condensed"/>
          <w:sz w:val="24"/>
          <w:szCs w:val="24"/>
        </w:rPr>
        <w:t xml:space="preserve">verifica dell'elenco dei trentatré nomi</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../_verifiche/certificazione-numeri-p2.md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descrive esattamente la stessa figura senza averle dato un nome: numeri di</w:t>
      </w:r>
    </w:p>
    <w:p>
      <w:pPr>
        <w:spacing w:after="120" w:line="276"/>
        <w:jc w:val="both"/>
      </w:pPr>
      <w:r>
        <w:rPr>
          <w:rFonts w:ascii="Barlow Semi Condensed" w:cs="Barlow Semi Condensed" w:eastAsia="Barlow Semi Condensed" w:hAnsi="Barlow Semi Condensed"/>
          <w:sz w:val="24"/>
          <w:szCs w:val="24"/>
        </w:rPr>
        <w:t xml:space="preserve">tessera non documentati collocati dentro una tabella di ruoli istituzionali</w:t>
      </w:r>
    </w:p>
    <w:p>
      <w:pPr>
        <w:spacing w:after="120" w:line="276"/>
        <w:jc w:val="both"/>
      </w:pPr>
      <w:r>
        <w:rPr>
          <w:rFonts w:ascii="Barlow Semi Condensed" w:cs="Barlow Semi Condensed" w:eastAsia="Barlow Semi Condensed" w:hAnsi="Barlow Semi Condensed"/>
          <w:sz w:val="24"/>
          <w:szCs w:val="24"/>
        </w:rPr>
        <w:t xml:space="preserve">documentati, che ne ricevono credito. La distinzione fra «non confutato» e «non</w:t>
      </w:r>
    </w:p>
    <w:p>
      <w:pPr>
        <w:spacing w:after="120" w:line="276"/>
        <w:jc w:val="both"/>
      </w:pPr>
      <w:r>
        <w:rPr>
          <w:rFonts w:ascii="Barlow Semi Condensed" w:cs="Barlow Semi Condensed" w:eastAsia="Barlow Semi Condensed" w:hAnsi="Barlow Semi Condensed"/>
          <w:sz w:val="24"/>
          <w:szCs w:val="24"/>
        </w:rPr>
        <w:t xml:space="preserve">utilizzabile» è la stessa che quel documento raggiunge per altra via, quando</w:t>
      </w:r>
    </w:p>
    <w:p>
      <w:pPr>
        <w:spacing w:after="120" w:line="276"/>
        <w:jc w:val="both"/>
      </w:pPr>
      <w:r>
        <w:rPr>
          <w:rFonts w:ascii="Barlow Semi Condensed" w:cs="Barlow Semi Condensed" w:eastAsia="Barlow Semi Condensed" w:hAnsi="Barlow Semi Condensed"/>
          <w:sz w:val="24"/>
          <w:szCs w:val="24"/>
        </w:rPr>
        <w:t xml:space="preserve">conclude che il grado massimo attribuibile è C e che la formulazione onesta è</w:t>
      </w:r>
    </w:p>
    <w:p>
      <w:pPr>
        <w:spacing w:after="120" w:line="276"/>
        <w:jc w:val="both"/>
      </w:pPr>
      <w:r>
        <w:rPr>
          <w:rFonts w:ascii="Barlow Semi Condensed" w:cs="Barlow Semi Condensed" w:eastAsia="Barlow Semi Condensed" w:hAnsi="Barlow Semi Condensed"/>
          <w:sz w:val="24"/>
          <w:szCs w:val="24"/>
        </w:rPr>
        <w:t xml:space="preserve">«numero non accertato».</w:t>
      </w:r>
    </w:p>
    <w:p>
      <w:pPr>
        <w:spacing w:after="120" w:line="276"/>
        <w:jc w:val="both"/>
      </w:pPr>
      <w:r>
        <w:rPr>
          <w:rFonts w:ascii="Barlow Semi Condensed" w:cs="Barlow Semi Condensed" w:eastAsia="Barlow Semi Condensed" w:hAnsi="Barlow Semi Condensed"/>
          <w:b/>
          <w:bCs/>
          <w:sz w:val="24"/>
          <w:szCs w:val="24"/>
        </w:rPr>
        <w:t xml:space="preserve">Due lotti indipendenti arrivano alla medesima regola.</w:t>
      </w:r>
      <w:r>
        <w:rPr>
          <w:rFonts w:ascii="Barlow Semi Condensed" w:cs="Barlow Semi Condensed" w:eastAsia="Barlow Semi Condensed" w:hAnsi="Barlow Semi Condensed"/>
          <w:sz w:val="24"/>
          <w:szCs w:val="24"/>
        </w:rPr>
        <w:t xml:space="preserve"> È una convergenza di</w:t>
      </w:r>
    </w:p>
    <w:p>
      <w:pPr>
        <w:spacing w:after="120" w:line="276"/>
        <w:jc w:val="both"/>
      </w:pPr>
      <w:r>
        <w:rPr>
          <w:rFonts w:ascii="Barlow Semi Condensed" w:cs="Barlow Semi Condensed" w:eastAsia="Barlow Semi Condensed" w:hAnsi="Barlow Semi Condensed"/>
          <w:sz w:val="24"/>
          <w:szCs w:val="24"/>
        </w:rPr>
        <w:t xml:space="preserve">metodo, e come tale si registra: non prova nulla sui fatti, e stabilisce che la</w:t>
      </w:r>
    </w:p>
    <w:p>
      <w:pPr>
        <w:spacing w:after="120" w:line="276"/>
        <w:jc w:val="both"/>
      </w:pPr>
      <w:r>
        <w:rPr>
          <w:rFonts w:ascii="Barlow Semi Condensed" w:cs="Barlow Semi Condensed" w:eastAsia="Barlow Semi Condensed" w:hAnsi="Barlow Semi Condensed"/>
          <w:sz w:val="24"/>
          <w:szCs w:val="24"/>
        </w:rPr>
        <w:t xml:space="preserve">regola non è un'invenzione locale.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Che cosa la campagna fa alla macro-ipotesi H1</w:t>
      </w:r>
    </w:p>
    <w:p>
      <w:pPr>
        <w:spacing w:after="120" w:line="276"/>
        <w:jc w:val="both"/>
      </w:pPr>
      <w:r>
        <w:rPr>
          <w:rFonts w:ascii="Barlow Semi Condensed" w:cs="Barlow Semi Condensed" w:eastAsia="Barlow Semi Condensed" w:hAnsi="Barlow Semi Condensed"/>
          <w:sz w:val="24"/>
          <w:szCs w:val="24"/>
        </w:rPr>
        <w:t xml:space="preserve">Il secondo registro esegue il test e ne dichiara il limite, che è la parte più</w:t>
      </w:r>
    </w:p>
    <w:p>
      <w:pPr>
        <w:spacing w:after="120" w:line="276"/>
        <w:jc w:val="both"/>
      </w:pPr>
      <w:r>
        <w:rPr>
          <w:rFonts w:ascii="Barlow Semi Condensed" w:cs="Barlow Semi Condensed" w:eastAsia="Barlow Semi Condensed" w:hAnsi="Barlow Semi Condensed"/>
          <w:sz w:val="24"/>
          <w:szCs w:val="24"/>
        </w:rPr>
        <w:t xml:space="preserve">disciplinata del lotto.</w:t>
      </w:r>
    </w:p>
    <w:p>
      <w:pPr>
        <w:spacing w:after="120" w:line="276"/>
        <w:jc w:val="both"/>
      </w:pPr>
      <w:r>
        <w:rPr>
          <w:rFonts w:ascii="Barlow Semi Condensed" w:cs="Barlow Semi Condensed" w:eastAsia="Barlow Semi Condensed" w:hAnsi="Barlow Semi Condensed"/>
          <w:b/>
          <w:bCs/>
          <w:sz w:val="24"/>
          <w:szCs w:val="24"/>
        </w:rPr>
        <w:t xml:space="preserve">L'esito.</w:t>
      </w:r>
      <w:r>
        <w:rPr>
          <w:rFonts w:ascii="Barlow Semi Condensed" w:cs="Barlow Semi Condensed" w:eastAsia="Barlow Semi Condensed" w:hAnsi="Barlow Semi Condensed"/>
          <w:sz w:val="24"/>
          <w:szCs w:val="24"/>
        </w:rPr>
        <w:t xml:space="preserve"> H1 postula la convergenza delle potenze imperiali contro</w:t>
      </w:r>
    </w:p>
    <w:p>
      <w:pPr>
        <w:spacing w:after="120" w:line="276"/>
        <w:jc w:val="both"/>
      </w:pPr>
      <w:r>
        <w:rPr>
          <w:rFonts w:ascii="Barlow Semi Condensed" w:cs="Barlow Semi Condensed" w:eastAsia="Barlow Semi Condensed" w:hAnsi="Barlow Semi Condensed"/>
          <w:sz w:val="24"/>
          <w:szCs w:val="24"/>
        </w:rPr>
        <w:t xml:space="preserve">l'integrazione europea. Il teatro australe mostra **divergenza fra le potenze e</w:t>
      </w:r>
    </w:p>
    <w:p>
      <w:pPr>
        <w:spacing w:after="120" w:line="276"/>
        <w:jc w:val="both"/>
      </w:pPr>
      <w:r>
        <w:rPr>
          <w:rFonts w:ascii="Barlow Semi Condensed" w:cs="Barlow Semi Condensed" w:eastAsia="Barlow Semi Condensed" w:hAnsi="Barlow Semi Condensed"/>
          <w:sz w:val="24"/>
          <w:szCs w:val="24"/>
        </w:rPr>
        <w:t xml:space="preserve">frattura interna al campo occidentale**: milita dunque contro H1, non a suo</w:t>
      </w:r>
    </w:p>
    <w:p>
      <w:pPr>
        <w:spacing w:after="120" w:line="276"/>
        <w:jc w:val="both"/>
      </w:pPr>
      <w:r>
        <w:rPr>
          <w:rFonts w:ascii="Barlow Semi Condensed" w:cs="Barlow Semi Condensed" w:eastAsia="Barlow Semi Condensed" w:hAnsi="Barlow Semi Condensed"/>
          <w:sz w:val="24"/>
          <w:szCs w:val="24"/>
        </w:rPr>
        <w:t xml:space="preserve">favore.</w:t>
      </w:r>
    </w:p>
    <w:p>
      <w:pPr>
        <w:spacing w:after="120" w:line="276"/>
        <w:jc w:val="both"/>
      </w:pPr>
      <w:r>
        <w:rPr>
          <w:rFonts w:ascii="Barlow Semi Condensed" w:cs="Barlow Semi Condensed" w:eastAsia="Barlow Semi Condensed" w:hAnsi="Barlow Semi Condensed"/>
          <w:b/>
          <w:bCs/>
          <w:sz w:val="24"/>
          <w:szCs w:val="24"/>
        </w:rPr>
        <w:t xml:space="preserve">Il limite, dichiarato subito dopo.</w:t>
      </w:r>
      <w:r>
        <w:rPr>
          <w:rFonts w:ascii="Barlow Semi Condensed" w:cs="Barlow Semi Condensed" w:eastAsia="Barlow Semi Condensed" w:hAnsi="Barlow Semi Condensed"/>
          <w:sz w:val="24"/>
          <w:szCs w:val="24"/>
        </w:rPr>
        <w:t xml:space="preserve"> «Un solo teatro non falsifica una</w:t>
      </w:r>
    </w:p>
    <w:p>
      <w:pPr>
        <w:spacing w:after="120" w:line="276"/>
        <w:jc w:val="both"/>
      </w:pPr>
      <w:r>
        <w:rPr>
          <w:rFonts w:ascii="Barlow Semi Condensed" w:cs="Barlow Semi Condensed" w:eastAsia="Barlow Semi Condensed" w:hAnsi="Barlow Semi Condensed"/>
          <w:sz w:val="24"/>
          <w:szCs w:val="24"/>
        </w:rPr>
        <w:t xml:space="preserve">macro-ipotesi che ha ambizione sistemica; esso ne restringe il campo di</w:t>
      </w:r>
    </w:p>
    <w:p>
      <w:pPr>
        <w:spacing w:after="120" w:line="276"/>
        <w:jc w:val="both"/>
      </w:pPr>
      <w:r>
        <w:rPr>
          <w:rFonts w:ascii="Barlow Semi Condensed" w:cs="Barlow Semi Condensed" w:eastAsia="Barlow Semi Condensed" w:hAnsi="Barlow Semi Condensed"/>
          <w:sz w:val="24"/>
          <w:szCs w:val="24"/>
        </w:rPr>
        <w:t xml:space="preserve">applicazione. La formulazione corretta è che H1, ove mantenuta, deve escludere</w:t>
      </w:r>
    </w:p>
    <w:p>
      <w:pPr>
        <w:spacing w:after="120" w:line="276"/>
        <w:jc w:val="both"/>
      </w:pPr>
      <w:r>
        <w:rPr>
          <w:rFonts w:ascii="Barlow Semi Condensed" w:cs="Barlow Semi Condensed" w:eastAsia="Barlow Semi Condensed" w:hAnsi="Barlow Semi Condensed"/>
          <w:sz w:val="24"/>
          <w:szCs w:val="24"/>
        </w:rPr>
        <w:t xml:space="preserve">il dossier australe dal proprio perimetro.»</w:t>
      </w:r>
    </w:p>
    <w:p>
      <w:pPr>
        <w:spacing w:after="120" w:line="276"/>
        <w:jc w:val="both"/>
      </w:pPr>
      <w:r>
        <w:rPr>
          <w:rFonts w:ascii="Barlow Semi Condensed" w:cs="Barlow Semi Condensed" w:eastAsia="Barlow Semi Condensed" w:hAnsi="Barlow Semi Condensed"/>
          <w:sz w:val="24"/>
          <w:szCs w:val="24"/>
        </w:rPr>
        <w:t xml:space="preserve">Restringere non è confutare, e il documento non confonde le due cose. La</w:t>
      </w:r>
    </w:p>
    <w:p>
      <w:pPr>
        <w:spacing w:after="120" w:line="276"/>
        <w:jc w:val="both"/>
      </w:pPr>
      <w:r>
        <w:rPr>
          <w:rFonts w:ascii="Barlow Semi Condensed" w:cs="Barlow Semi Condensed" w:eastAsia="Barlow Semi Condensed" w:hAnsi="Barlow Semi Condensed"/>
          <w:sz w:val="24"/>
          <w:szCs w:val="24"/>
        </w:rPr>
        <w:t xml:space="preserve">distinzione va conservata quando H1 viene ripresa altrove nel corpus.</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Gli Stati Zero, e uno che è un falso positivo</w:t>
      </w:r>
    </w:p>
    <w:p>
      <w:pPr>
        <w:spacing w:after="120" w:line="276"/>
        <w:jc w:val="both"/>
      </w:pPr>
      <w:r>
        <w:rPr>
          <w:rFonts w:ascii="Barlow Semi Condensed" w:cs="Barlow Semi Condensed" w:eastAsia="Barlow Semi Condensed" w:hAnsi="Barlow Semi Condensed"/>
          <w:sz w:val="24"/>
          <w:szCs w:val="24"/>
        </w:rPr>
        <w:t xml:space="preserve">La campagna produce esiti negativi in quantità: la terza ricognizione ne conta</w:t>
      </w:r>
    </w:p>
    <w:p>
      <w:pPr>
        <w:spacing w:after="120" w:line="276"/>
        <w:jc w:val="both"/>
      </w:pPr>
      <w:r>
        <w:rPr>
          <w:rFonts w:ascii="Barlow Semi Condensed" w:cs="Barlow Semi Condensed" w:eastAsia="Barlow Semi Condensed" w:hAnsi="Barlow Semi Condensed"/>
          <w:b/>
          <w:bCs/>
          <w:sz w:val="24"/>
          <w:szCs w:val="24"/>
        </w:rPr>
        <w:t xml:space="preserve">sette su otto obiettivi</w:t>
      </w:r>
      <w:r>
        <w:rPr>
          <w:rFonts w:ascii="Barlow Semi Condensed" w:cs="Barlow Semi Condensed" w:eastAsia="Barlow Semi Condensed" w:hAnsi="Barlow Semi Condensed"/>
          <w:sz w:val="24"/>
          <w:szCs w:val="24"/>
        </w:rPr>
        <w:t xml:space="preserve">, e li dichiara come acquisizione anziché come</w:t>
      </w:r>
    </w:p>
    <w:p>
      <w:pPr>
        <w:spacing w:after="120" w:line="276"/>
        <w:jc w:val="both"/>
      </w:pPr>
      <w:r>
        <w:rPr>
          <w:rFonts w:ascii="Barlow Semi Condensed" w:cs="Barlow Semi Condensed" w:eastAsia="Barlow Semi Condensed" w:hAnsi="Barlow Semi Condensed"/>
          <w:sz w:val="24"/>
          <w:szCs w:val="24"/>
        </w:rPr>
        <w:t xml:space="preserve">fallimento.</w:t>
      </w:r>
    </w:p>
    <w:p>
      <w:pPr>
        <w:spacing w:after="120" w:line="276"/>
        <w:jc w:val="both"/>
      </w:pPr>
      <w:r>
        <w:rPr>
          <w:rFonts w:ascii="Barlow Semi Condensed" w:cs="Barlow Semi Condensed" w:eastAsia="Barlow Semi Condensed" w:hAnsi="Barlow Semi Condensed"/>
          <w:sz w:val="24"/>
          <w:szCs w:val="24"/>
        </w:rPr>
        <w:t xml:space="preserve">Va segnalato in particolare **l'ottavo grado, che la tredicesima ricognizione</w:t>
      </w:r>
    </w:p>
    <w:p>
      <w:pPr>
        <w:spacing w:after="120" w:line="276"/>
        <w:jc w:val="both"/>
      </w:pPr>
      <w:r>
        <w:rPr>
          <w:rFonts w:ascii="Barlow Semi Condensed" w:cs="Barlow Semi Condensed" w:eastAsia="Barlow Semi Condensed" w:hAnsi="Barlow Semi Condensed"/>
          <w:sz w:val="24"/>
          <w:szCs w:val="24"/>
        </w:rPr>
        <w:t xml:space="preserve">qualifica come falso positivo**. È il caso metodologicamente più istruttivo del</w:t>
      </w:r>
    </w:p>
    <w:p>
      <w:pPr>
        <w:spacing w:after="120" w:line="276"/>
        <w:jc w:val="both"/>
      </w:pPr>
      <w:r>
        <w:rPr>
          <w:rFonts w:ascii="Barlow Semi Condensed" w:cs="Barlow Semi Condensed" w:eastAsia="Barlow Semi Condensed" w:hAnsi="Barlow Semi Condensed"/>
          <w:sz w:val="24"/>
          <w:szCs w:val="24"/>
        </w:rPr>
        <w:t xml:space="preserve">lotto: un esito che ha l'apparenza del ritrovamento e non lo è. Un corpus che</w:t>
      </w:r>
    </w:p>
    <w:p>
      <w:pPr>
        <w:spacing w:after="120" w:line="276"/>
        <w:jc w:val="both"/>
      </w:pPr>
      <w:r>
        <w:rPr>
          <w:rFonts w:ascii="Barlow Semi Condensed" w:cs="Barlow Semi Condensed" w:eastAsia="Barlow Semi Condensed" w:hAnsi="Barlow Semi Condensed"/>
          <w:sz w:val="24"/>
          <w:szCs w:val="24"/>
        </w:rPr>
        <w:t xml:space="preserve">gradua gli Stati Zero deve poter graduare anche i positivi, e questo è il primo</w:t>
      </w:r>
    </w:p>
    <w:p>
      <w:pPr>
        <w:spacing w:after="120" w:line="276"/>
        <w:jc w:val="both"/>
      </w:pPr>
      <w:r>
        <w:rPr>
          <w:rFonts w:ascii="Barlow Semi Condensed" w:cs="Barlow Semi Condensed" w:eastAsia="Barlow Semi Condensed" w:hAnsi="Barlow Semi Condensed"/>
          <w:sz w:val="24"/>
          <w:szCs w:val="24"/>
        </w:rPr>
        <w:t xml:space="preserve">caso in cui lo fa.</w:t>
      </w:r>
    </w:p>
    <w:p>
      <w:pPr>
        <w:spacing w:after="120" w:line="276"/>
        <w:jc w:val="both"/>
      </w:pPr>
      <w:r>
        <w:rPr>
          <w:rFonts w:ascii="Barlow Semi Condensed" w:cs="Barlow Semi Condensed" w:eastAsia="Barlow Semi Condensed" w:hAnsi="Barlow Semi Condensed"/>
          <w:sz w:val="24"/>
          <w:szCs w:val="24"/>
        </w:rPr>
        <w:t xml:space="preserve">La diciottesima ricognizione registra inoltre uno Stato Zero **di natura non</w:t>
      </w:r>
    </w:p>
    <w:p>
      <w:pPr>
        <w:spacing w:after="120" w:line="276"/>
        <w:jc w:val="both"/>
      </w:pPr>
      <w:r>
        <w:rPr>
          <w:rFonts w:ascii="Barlow Semi Condensed" w:cs="Barlow Semi Condensed" w:eastAsia="Barlow Semi Condensed" w:hAnsi="Barlow Semi Condensed"/>
          <w:sz w:val="24"/>
          <w:szCs w:val="24"/>
        </w:rPr>
        <w:t xml:space="preserve">archivistica**: il documento è pubblico, catalogato, indicizzato e ha un</w:t>
      </w:r>
    </w:p>
    <w:p>
      <w:pPr>
        <w:spacing w:after="120" w:line="276"/>
        <w:jc w:val="both"/>
      </w:pPr>
      <w:r>
        <w:rPr>
          <w:rFonts w:ascii="Barlow Semi Condensed" w:cs="Barlow Semi Condensed" w:eastAsia="Barlow Semi Condensed" w:hAnsi="Barlow Semi Condensed"/>
          <w:sz w:val="24"/>
          <w:szCs w:val="24"/>
        </w:rPr>
        <w:t xml:space="preserve">indirizzo di reperimento, ma «il server documentale delle Nazioni Unite ha</w:t>
      </w:r>
    </w:p>
    <w:p>
      <w:pPr>
        <w:spacing w:after="120" w:line="276"/>
        <w:jc w:val="both"/>
      </w:pPr>
      <w:r>
        <w:rPr>
          <w:rFonts w:ascii="Barlow Semi Condensed" w:cs="Barlow Semi Condensed" w:eastAsia="Barlow Semi Condensed" w:hAnsi="Barlow Semi Condensed"/>
          <w:sz w:val="24"/>
          <w:szCs w:val="24"/>
        </w:rPr>
        <w:t xml:space="preserve">respinto ogni tentativo di recupero automatizzato dei file, per rilevamento</w:t>
      </w:r>
    </w:p>
    <w:p>
      <w:pPr>
        <w:spacing w:after="120" w:line="276"/>
        <w:jc w:val="both"/>
      </w:pPr>
      <w:r>
        <w:rPr>
          <w:rFonts w:ascii="Barlow Semi Condensed" w:cs="Barlow Semi Condensed" w:eastAsia="Barlow Semi Condensed" w:hAnsi="Barlow Semi Condensed"/>
          <w:sz w:val="24"/>
          <w:szCs w:val="24"/>
        </w:rPr>
        <w:t xml:space="preserve">anti-robot». </w:t>
      </w:r>
      <w:r>
        <w:rPr>
          <w:rFonts w:ascii="Barlow Semi Condensed" w:cs="Barlow Semi Condensed" w:eastAsia="Barlow Semi Condensed" w:hAnsi="Barlow Semi Condensed"/>
          <w:b/>
          <w:bCs/>
          <w:sz w:val="24"/>
          <w:szCs w:val="24"/>
        </w:rPr>
        <w:t xml:space="preserve">L'ostacolo è tecnico, non documentale</w:t>
      </w:r>
      <w:r>
        <w:rPr>
          <w:rFonts w:ascii="Barlow Semi Condensed" w:cs="Barlow Semi Condensed" w:eastAsia="Barlow Semi Condensed" w:hAnsi="Barlow Semi Condensed"/>
          <w:sz w:val="24"/>
          <w:szCs w:val="24"/>
        </w:rPr>
        <w:t xml:space="preserve">, e va scritto così: è</w:t>
      </w:r>
    </w:p>
    <w:p>
      <w:pPr>
        <w:spacing w:after="120" w:line="276"/>
        <w:jc w:val="both"/>
      </w:pPr>
      <w:r>
        <w:rPr>
          <w:rFonts w:ascii="Barlow Semi Condensed" w:cs="Barlow Semi Condensed" w:eastAsia="Barlow Semi Condensed" w:hAnsi="Barlow Semi Condensed"/>
          <w:sz w:val="24"/>
          <w:szCs w:val="24"/>
        </w:rPr>
        <w:t xml:space="preserve">una sede raggiungibile da una persona e non da una macchina, il che cambia</w:t>
      </w:r>
    </w:p>
    <w:p>
      <w:pPr>
        <w:spacing w:after="120" w:line="276"/>
        <w:jc w:val="both"/>
      </w:pPr>
      <w:r>
        <w:rPr>
          <w:rFonts w:ascii="Barlow Semi Condensed" w:cs="Barlow Semi Condensed" w:eastAsia="Barlow Semi Condensed" w:hAnsi="Barlow Semi Condensed"/>
          <w:sz w:val="24"/>
          <w:szCs w:val="24"/>
        </w:rPr>
        <w:t xml:space="preserve">completamente che cosa se ne debba concludere.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Le anti-triangolazioni</w:t>
      </w:r>
    </w:p>
    <w:p>
      <w:pPr>
        <w:spacing w:after="120" w:line="276"/>
        <w:jc w:val="both"/>
      </w:pPr>
      <w:r>
        <w:rPr>
          <w:rFonts w:ascii="Barlow Semi Condensed" w:cs="Barlow Semi Condensed" w:eastAsia="Barlow Semi Condensed" w:hAnsi="Barlow Semi Condensed"/>
          <w:sz w:val="24"/>
          <w:szCs w:val="24"/>
        </w:rPr>
        <w:t xml:space="preserve">Vanno dette con la stessa cura delle triangolazioni, perché la loro assenza è</w:t>
      </w:r>
    </w:p>
    <w:p>
      <w:pPr>
        <w:spacing w:after="120" w:line="276"/>
        <w:jc w:val="both"/>
      </w:pPr>
      <w:r>
        <w:rPr>
          <w:rFonts w:ascii="Barlow Semi Condensed" w:cs="Barlow Semi Condensed" w:eastAsia="Barlow Semi Condensed" w:hAnsi="Barlow Semi Condensed"/>
          <w:sz w:val="24"/>
          <w:szCs w:val="24"/>
        </w:rPr>
        <w:t xml:space="preserve">ciò che distingue un raccordo da una suggestione.</w:t>
      </w:r>
    </w:p>
    <w:p>
      <w:pPr>
        <w:spacing w:after="120" w:line="276"/>
        <w:jc w:val="both"/>
      </w:pPr>
      <w:r>
        <w:rPr>
          <w:rFonts w:ascii="Barlow Semi Condensed" w:cs="Barlow Semi Condensed" w:eastAsia="Barlow Semi Condensed" w:hAnsi="Barlow Semi Condensed"/>
          <w:sz w:val="24"/>
          <w:szCs w:val="24"/>
        </w:rPr>
        <w:t xml:space="preserve">**Nessun documento della campagna collega il caso Moro del 1978 ai teatri</w:t>
      </w:r>
    </w:p>
    <w:p>
      <w:pPr>
        <w:spacing w:after="120" w:line="276"/>
        <w:jc w:val="both"/>
      </w:pPr>
      <w:r>
        <w:rPr>
          <w:rFonts w:ascii="Barlow Semi Condensed" w:cs="Barlow Semi Condensed" w:eastAsia="Barlow Semi Condensed" w:hAnsi="Barlow Semi Condensed"/>
          <w:sz w:val="24"/>
          <w:szCs w:val="24"/>
        </w:rPr>
        <w:t xml:space="preserve">australi.</w:t>
      </w:r>
      <w:r>
        <w:rPr>
          <w:rFonts w:ascii="Barlow Semi Condensed" w:cs="Barlow Semi Condensed" w:eastAsia="Barlow Semi Condensed" w:hAnsi="Barlow Semi Condensed"/>
          <w:b/>
          <w:bCs/>
          <w:sz w:val="24"/>
          <w:szCs w:val="24"/>
        </w:rPr>
        <w:t xml:space="preserve"> Il raccordo con il Libro quattordicesimo è </w:t>
      </w:r>
      <w:r>
        <w:rPr>
          <w:rFonts w:ascii="Barlow Semi Condensed" w:cs="Barlow Semi Condensed" w:eastAsia="Barlow Semi Condensed" w:hAnsi="Barlow Semi Condensed"/>
          <w:sz w:val="24"/>
          <w:szCs w:val="24"/>
        </w:rPr>
        <w:t xml:space="preserve">tematico e non</w:t>
      </w:r>
    </w:p>
    <w:p>
      <w:pPr>
        <w:spacing w:after="120" w:line="276"/>
        <w:jc w:val="both"/>
      </w:pPr>
      <w:r>
        <w:rPr>
          <w:rFonts w:ascii="Barlow Semi Condensed" w:cs="Barlow Semi Condensed" w:eastAsia="Barlow Semi Condensed" w:hAnsi="Barlow Semi Condensed"/>
          <w:sz w:val="24"/>
          <w:szCs w:val="24"/>
        </w:rPr>
        <w:t xml:space="preserve">documentale**, esattamente come già dichiarato per il Sud Africa: la lente è</w:t>
      </w:r>
    </w:p>
    <w:p>
      <w:pPr>
        <w:spacing w:after="120" w:line="276"/>
        <w:jc w:val="both"/>
      </w:pPr>
      <w:r>
        <w:rPr>
          <w:rFonts w:ascii="Barlow Semi Condensed" w:cs="Barlow Semi Condensed" w:eastAsia="Barlow Semi Condensed" w:hAnsi="Barlow Semi Condensed"/>
          <w:sz w:val="24"/>
          <w:szCs w:val="24"/>
        </w:rPr>
        <w:t xml:space="preserve">condivisa, i documenti no.</w:t>
      </w:r>
    </w:p>
    <w:p>
      <w:pPr>
        <w:spacing w:after="120" w:line="276"/>
        <w:jc w:val="both"/>
      </w:pPr>
      <w:r>
        <w:rPr>
          <w:rFonts w:ascii="Barlow Semi Condensed" w:cs="Barlow Semi Condensed" w:eastAsia="Barlow Semi Condensed" w:hAnsi="Barlow Semi Condensed"/>
          <w:b/>
          <w:bCs/>
          <w:sz w:val="24"/>
          <w:szCs w:val="24"/>
        </w:rPr>
        <w:t xml:space="preserve">Nessun documento della campagna nomina la loggia P2.</w:t>
      </w:r>
      <w:r>
        <w:rPr>
          <w:rFonts w:ascii="Barlow Semi Condensed" w:cs="Barlow Semi Condensed" w:eastAsia="Barlow Semi Condensed" w:hAnsi="Barlow Semi Condensed"/>
          <w:sz w:val="24"/>
          <w:szCs w:val="24"/>
        </w:rPr>
        <w:t xml:space="preserve"> La convergenza col</w:t>
      </w:r>
    </w:p>
    <w:p>
      <w:pPr>
        <w:spacing w:after="120" w:line="276"/>
        <w:jc w:val="both"/>
      </w:pPr>
      <w:r>
        <w:rPr>
          <w:rFonts w:ascii="Barlow Semi Condensed" w:cs="Barlow Semi Condensed" w:eastAsia="Barlow Semi Condensed" w:hAnsi="Barlow Semi Condensed"/>
          <w:sz w:val="24"/>
          <w:szCs w:val="24"/>
        </w:rPr>
        <w:t xml:space="preserve">lotto dei trentatré nomi, esposta al §III, è </w:t>
      </w:r>
      <w:r>
        <w:rPr>
          <w:rFonts w:ascii="Barlow Semi Condensed" w:cs="Barlow Semi Condensed" w:eastAsia="Barlow Semi Condensed" w:hAnsi="Barlow Semi Condensed"/>
          <w:b/>
          <w:bCs/>
          <w:sz w:val="24"/>
          <w:szCs w:val="24"/>
        </w:rPr>
        <w:t xml:space="preserve">metodologica e non fattuale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riguarda una regola di valutazione, non una connessione fra oggetti.</w:t>
      </w:r>
    </w:p>
    <w:p>
      <w:pPr>
        <w:spacing w:after="120" w:line="276"/>
        <w:jc w:val="both"/>
      </w:pPr>
      <w:r>
        <w:rPr>
          <w:rFonts w:ascii="Barlow Semi Condensed" w:cs="Barlow Semi Condensed" w:eastAsia="Barlow Semi Condensed" w:hAnsi="Barlow Semi Condensed"/>
          <w:sz w:val="24"/>
          <w:szCs w:val="24"/>
        </w:rPr>
        <w:t xml:space="preserve">**La contaminazione per prossimità è un rischio anche per questa</w:t>
      </w:r>
    </w:p>
    <w:p>
      <w:pPr>
        <w:spacing w:after="120" w:line="276"/>
        <w:jc w:val="both"/>
      </w:pPr>
      <w:r>
        <w:rPr>
          <w:rFonts w:ascii="Barlow Semi Condensed" w:cs="Barlow Semi Condensed" w:eastAsia="Barlow Semi Condensed" w:hAnsi="Barlow Semi Condensed"/>
          <w:sz w:val="24"/>
          <w:szCs w:val="24"/>
        </w:rPr>
        <w:t xml:space="preserve">triangolazione.** Averla nominata non ne immunizza: sta a chi legge contare, per</w:t>
      </w:r>
    </w:p>
    <w:p>
      <w:pPr>
        <w:spacing w:after="120" w:line="276"/>
        <w:jc w:val="both"/>
      </w:pPr>
      <w:r>
        <w:rPr>
          <w:rFonts w:ascii="Barlow Semi Condensed" w:cs="Barlow Semi Condensed" w:eastAsia="Barlow Semi Condensed" w:hAnsi="Barlow Semi Condensed"/>
          <w:sz w:val="24"/>
          <w:szCs w:val="24"/>
        </w:rPr>
        <w:t xml:space="preserve">ciascuna delle acquisizioni qui riassunte, quanti soggetti indipendenti ne</w:t>
      </w:r>
    </w:p>
    <w:p>
      <w:pPr>
        <w:spacing w:after="120" w:line="276"/>
        <w:jc w:val="both"/>
      </w:pPr>
      <w:r>
        <w:rPr>
          <w:rFonts w:ascii="Barlow Semi Condensed" w:cs="Barlow Semi Condensed" w:eastAsia="Barlow Semi Condensed" w:hAnsi="Barlow Semi Condensed"/>
          <w:sz w:val="24"/>
          <w:szCs w:val="24"/>
        </w:rPr>
        <w:t xml:space="preserve">abbiano lasciato traccia.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Un documento che si esclude da sé</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memorandum operativo per la riapertura delle verifiche</w:t>
      </w:r>
      <w:r>
        <w:rPr>
          <w:rFonts w:ascii="Barlow Semi Condensed" w:cs="Barlow Semi Condensed" w:eastAsia="Barlow Semi Condensed" w:hAnsi="Barlow Semi Condensed"/>
          <w:sz w:val="24"/>
          <w:szCs w:val="24"/>
        </w:rPr>
        <w:t xml:space="preserve"> — diciannove</w:t>
      </w:r>
    </w:p>
    <w:p>
      <w:pPr>
        <w:spacing w:after="120" w:line="276"/>
        <w:jc w:val="both"/>
      </w:pPr>
      <w:r>
        <w:rPr>
          <w:rFonts w:ascii="Barlow Semi Condensed" w:cs="Barlow Semi Condensed" w:eastAsia="Barlow Semi Condensed" w:hAnsi="Barlow Semi Condensed"/>
          <w:sz w:val="24"/>
          <w:szCs w:val="24"/>
        </w:rPr>
        <w:t xml:space="preserve">schede di ricerca archivistica — dichiara in apertura, con parole proprie, di</w:t>
      </w:r>
    </w:p>
    <w:p>
      <w:pPr>
        <w:spacing w:after="120" w:line="276"/>
        <w:jc w:val="both"/>
      </w:pPr>
      <w:r>
        <w:rPr>
          <w:rFonts w:ascii="Barlow Semi Condensed" w:cs="Barlow Semi Condensed" w:eastAsia="Barlow Semi Condensed" w:hAnsi="Barlow Semi Condensed"/>
          <w:sz w:val="24"/>
          <w:szCs w:val="24"/>
        </w:rPr>
        <w:t xml:space="preserve">non dover entrare nel Registro: «Questo documento non appartiene al Registro</w:t>
      </w:r>
    </w:p>
    <w:p>
      <w:pPr>
        <w:spacing w:after="120" w:line="276"/>
        <w:jc w:val="both"/>
      </w:pPr>
      <w:r>
        <w:rPr>
          <w:rFonts w:ascii="Barlow Semi Condensed" w:cs="Barlow Semi Condensed" w:eastAsia="Barlow Semi Condensed" w:hAnsi="Barlow Semi Condensed"/>
          <w:sz w:val="24"/>
          <w:szCs w:val="24"/>
        </w:rPr>
        <w:t xml:space="preserve">Analitico e non vi entrerà. Esso non contiene accertamenti, non assegna gradi.»</w:t>
      </w:r>
    </w:p>
    <w:p>
      <w:pPr>
        <w:spacing w:after="120" w:line="276"/>
        <w:jc w:val="both"/>
      </w:pPr>
      <w:r>
        <w:rPr>
          <w:rFonts w:ascii="Barlow Semi Condensed" w:cs="Barlow Semi Condensed" w:eastAsia="Barlow Semi Condensed" w:hAnsi="Barlow Semi Condensed"/>
          <w:sz w:val="24"/>
          <w:szCs w:val="24"/>
        </w:rPr>
        <w:t xml:space="preserve">Aggiunge che «le percentuali che vi compaiono non sono misure» ma «propensioni</w:t>
      </w:r>
    </w:p>
    <w:p>
      <w:pPr>
        <w:spacing w:after="120" w:line="276"/>
        <w:jc w:val="both"/>
      </w:pPr>
      <w:r>
        <w:rPr>
          <w:rFonts w:ascii="Barlow Semi Condensed" w:cs="Barlow Semi Condensed" w:eastAsia="Barlow Semi Condensed" w:hAnsi="Barlow Semi Condensed"/>
          <w:sz w:val="24"/>
          <w:szCs w:val="24"/>
        </w:rPr>
        <w:t xml:space="preserve">soggettive di chi scrive», e si qualifica come *uso interno, non citabile come</w:t>
      </w:r>
    </w:p>
    <w:p>
      <w:pPr>
        <w:spacing w:after="120" w:line="276"/>
        <w:jc w:val="both"/>
      </w:pPr>
      <w:r>
        <w:rPr>
          <w:rFonts w:ascii="Barlow Semi Condensed" w:cs="Barlow Semi Condensed" w:eastAsia="Barlow Semi Condensed" w:hAnsi="Barlow Semi Condensed"/>
          <w:sz w:val="24"/>
          <w:szCs w:val="24"/>
        </w:rPr>
        <w:t xml:space="preserve">accertamento*.</w:t>
      </w:r>
    </w:p>
    <w:p>
      <w:pPr>
        <w:spacing w:after="120" w:line="276"/>
        <w:jc w:val="both"/>
      </w:pPr>
      <w:r>
        <w:rPr>
          <w:rFonts w:ascii="Barlow Semi Condensed" w:cs="Barlow Semi Condensed" w:eastAsia="Barlow Semi Condensed" w:hAnsi="Barlow Semi Condensed"/>
          <w:b/>
          <w:bCs/>
          <w:sz w:val="24"/>
          <w:szCs w:val="24"/>
        </w:rPr>
        <w:t xml:space="preserve">È stato archiviato nel repository e tenuto fuori dal volume rilegato.</w:t>
      </w:r>
    </w:p>
    <w:p>
      <w:pPr>
        <w:spacing w:after="120" w:line="276"/>
        <w:jc w:val="both"/>
      </w:pPr>
      <w:r>
        <w:rPr>
          <w:rFonts w:ascii="Barlow Semi Condensed" w:cs="Barlow Semi Condensed" w:eastAsia="Barlow Semi Condensed" w:hAnsi="Barlow Semi Condensed"/>
          <w:sz w:val="24"/>
          <w:szCs w:val="24"/>
        </w:rPr>
        <w:t xml:space="preserve">Rilegarlo lo farebbe leggere come ciò che esso nega di essere: chi legge</w:t>
      </w:r>
    </w:p>
    <w:p>
      <w:pPr>
        <w:spacing w:after="120" w:line="276"/>
        <w:jc w:val="both"/>
      </w:pPr>
      <w:r>
        <w:rPr>
          <w:rFonts w:ascii="Barlow Semi Condensed" w:cs="Barlow Semi Condensed" w:eastAsia="Barlow Semi Condensed" w:hAnsi="Barlow Semi Condensed"/>
          <w:sz w:val="24"/>
          <w:szCs w:val="24"/>
        </w:rPr>
        <w:t xml:space="preserve">l'opera non lo incontra come accertamento, chi lo cerca lo trova. La scelta è</w:t>
      </w:r>
    </w:p>
    <w:p>
      <w:pPr>
        <w:spacing w:after="120" w:line="276"/>
        <w:jc w:val="both"/>
      </w:pPr>
      <w:r>
        <w:rPr>
          <w:rFonts w:ascii="Barlow Semi Condensed" w:cs="Barlow Semi Condensed" w:eastAsia="Barlow Semi Condensed" w:hAnsi="Barlow Semi Condensed"/>
          <w:sz w:val="24"/>
          <w:szCs w:val="24"/>
        </w:rPr>
        <w:t xml:space="preserve">dell'esecutore, è reversibile, e sta all'autore revocarla — ma una esclusione</w:t>
      </w:r>
    </w:p>
    <w:p>
      <w:pPr>
        <w:spacing w:after="120" w:line="276"/>
        <w:jc w:val="both"/>
      </w:pPr>
      <w:r>
        <w:rPr>
          <w:rFonts w:ascii="Barlow Semi Condensed" w:cs="Barlow Semi Condensed" w:eastAsia="Barlow Semi Condensed" w:hAnsi="Barlow Semi Condensed"/>
          <w:sz w:val="24"/>
          <w:szCs w:val="24"/>
        </w:rPr>
        <w:t xml:space="preserve">taciuta varrebbe meno di zero, e per questo è scritta qui e in testa al</w:t>
      </w:r>
    </w:p>
    <w:p>
      <w:pPr>
        <w:spacing w:after="120" w:line="276"/>
        <w:jc w:val="both"/>
      </w:pPr>
      <w:r>
        <w:rPr>
          <w:rFonts w:ascii="Barlow Semi Condensed" w:cs="Barlow Semi Condensed" w:eastAsia="Barlow Semi Condensed" w:hAnsi="Barlow Semi Condensed"/>
          <w:sz w:val="24"/>
          <w:szCs w:val="24"/>
        </w:rPr>
        <w:t xml:space="preserve">documento.</w:t>
      </w:r>
    </w:p>
    <w:p>
      <w:pPr>
        <w:spacing w:after="120" w:line="276"/>
        <w:jc w:val="both"/>
      </w:pPr>
      <w:r>
        <w:rPr>
          <w:rFonts w:ascii="Barlow Semi Condensed" w:cs="Barlow Semi Condensed" w:eastAsia="Barlow Semi Condensed" w:hAnsi="Barlow Semi Condensed"/>
          <w:sz w:val="24"/>
          <w:szCs w:val="24"/>
        </w:rPr>
        <w:t xml:space="preserve">Va detto anche che cosa il memorandum è: le sue diciannove schede sono</w:t>
      </w:r>
    </w:p>
    <w:p>
      <w:pPr>
        <w:spacing w:after="120" w:line="276"/>
        <w:jc w:val="both"/>
      </w:pPr>
      <w:r>
        <w:rPr>
          <w:rFonts w:ascii="Barlow Semi Condensed" w:cs="Barlow Semi Condensed" w:eastAsia="Barlow Semi Condensed" w:hAnsi="Barlow Semi Condensed"/>
          <w:b/>
          <w:bCs/>
          <w:sz w:val="24"/>
          <w:szCs w:val="24"/>
        </w:rPr>
        <w:t xml:space="preserve">domande d'archivio con la sede indicata</w:t>
      </w:r>
      <w:r>
        <w:rPr>
          <w:rFonts w:ascii="Barlow Semi Condensed" w:cs="Barlow Semi Condensed" w:eastAsia="Barlow Semi Condensed" w:hAnsi="Barlow Semi Condensed"/>
          <w:sz w:val="24"/>
          <w:szCs w:val="24"/>
        </w:rPr>
        <w:t xml:space="preserve">, cioè esattamente la forma che</w:t>
      </w:r>
    </w:p>
    <w:p>
      <w:pPr>
        <w:spacing w:after="120" w:line="276"/>
        <w:jc w:val="both"/>
      </w:pPr>
      <w:r>
        <w:rPr>
          <w:rFonts w:ascii="Barlow Semi Condensed" w:cs="Barlow Semi Condensed" w:eastAsia="Barlow Semi Condensed" w:hAnsi="Barlow Semi Condensed"/>
          <w:sz w:val="24"/>
          <w:szCs w:val="24"/>
        </w:rPr>
        <w:t xml:space="preserve">l'opera chiama bersaglio di ricerca. È utile a chi andrà in archivio, non a chi</w:t>
      </w:r>
    </w:p>
    <w:p>
      <w:pPr>
        <w:spacing w:after="120" w:line="276"/>
        <w:jc w:val="both"/>
      </w:pPr>
      <w:r>
        <w:rPr>
          <w:rFonts w:ascii="Barlow Semi Condensed" w:cs="Barlow Semi Condensed" w:eastAsia="Barlow Semi Condensed" w:hAnsi="Barlow Semi Condensed"/>
          <w:sz w:val="24"/>
          <w:szCs w:val="24"/>
        </w:rPr>
        <w:t xml:space="preserve">cerca conclusioni.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VIII. Che cosa questa campagna non ha stabilito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Non ha stabilito alcun nesso fra la politica estera di Moro e il sequestro</w:t>
      </w:r>
    </w:p>
    <w:p>
      <w:pPr>
        <w:spacing w:after="120" w:line="276"/>
        <w:jc w:val="both"/>
      </w:pPr>
      <w:r>
        <w:rPr>
          <w:rFonts w:ascii="Barlow Semi Condensed" w:cs="Barlow Semi Condensed" w:eastAsia="Barlow Semi Condensed" w:hAnsi="Barlow Semi Condensed"/>
          <w:sz w:val="24"/>
          <w:szCs w:val="24"/>
        </w:rPr>
        <w:t xml:space="preserve">  del 1978. Non lo cercava, e non lo insinua.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Non ha stabilito responsabilità personali di alcuno. Le persone vi compaiono</w:t>
      </w:r>
    </w:p>
    <w:p>
      <w:pPr>
        <w:spacing w:after="120" w:line="276"/>
        <w:jc w:val="both"/>
      </w:pPr>
      <w:r>
        <w:rPr>
          <w:rFonts w:ascii="Barlow Semi Condensed" w:cs="Barlow Semi Condensed" w:eastAsia="Barlow Semi Condensed" w:hAnsi="Barlow Semi Condensed"/>
          <w:sz w:val="24"/>
          <w:szCs w:val="24"/>
        </w:rPr>
        <w:t xml:space="preserve">  con la carica ricoperta e con la data, e nient'altro.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Non ha stabilito che l'Opus Dei avesse un modello di insediamento: al</w:t>
      </w:r>
    </w:p>
    <w:p>
      <w:pPr>
        <w:spacing w:after="120" w:line="276"/>
        <w:jc w:val="both"/>
      </w:pPr>
      <w:r>
        <w:rPr>
          <w:rFonts w:ascii="Barlow Semi Condensed" w:cs="Barlow Semi Condensed" w:eastAsia="Barlow Semi Condensed" w:hAnsi="Barlow Semi Condensed"/>
          <w:sz w:val="24"/>
          <w:szCs w:val="24"/>
        </w:rPr>
        <w:t xml:space="preserve">  contrario, **ha falsificato due volte il modello che essa stessa aveva</w:t>
      </w:r>
    </w:p>
    <w:p>
      <w:pPr>
        <w:spacing w:after="120" w:line="276"/>
        <w:jc w:val="both"/>
      </w:pPr>
      <w:r>
        <w:rPr>
          <w:rFonts w:ascii="Barlow Semi Condensed" w:cs="Barlow Semi Condensed" w:eastAsia="Barlow Semi Condensed" w:hAnsi="Barlow Semi Condensed"/>
          <w:sz w:val="24"/>
          <w:szCs w:val="24"/>
        </w:rPr>
        <w:t xml:space="preserve">  proposto**, e ne ha lasciato in piedi soltanto la parte che le fonti reggono.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Non ha stabilito che l'Italia avesse una linea coerente nei teatri australi:</w:t>
      </w:r>
    </w:p>
    <w:p>
      <w:pPr>
        <w:spacing w:after="120" w:line="276"/>
        <w:jc w:val="both"/>
      </w:pPr>
      <w:r>
        <w:rPr>
          <w:rFonts w:ascii="Barlow Semi Condensed" w:cs="Barlow Semi Condensed" w:eastAsia="Barlow Semi Condensed" w:hAnsi="Barlow Semi Condensed"/>
          <w:sz w:val="24"/>
          <w:szCs w:val="24"/>
        </w:rPr>
        <w:t xml:space="preserve">  la sedicesima ricognizione conclude che **nessuna delle due condotte fu</w:t>
      </w:r>
    </w:p>
    <w:p>
      <w:pPr>
        <w:spacing w:after="120" w:line="276"/>
        <w:jc w:val="both"/>
      </w:pPr>
      <w:r>
        <w:rPr>
          <w:rFonts w:ascii="Barlow Semi Condensed" w:cs="Barlow Semi Condensed" w:eastAsia="Barlow Semi Condensed" w:hAnsi="Barlow Semi Condensed"/>
          <w:sz w:val="24"/>
          <w:szCs w:val="24"/>
        </w:rPr>
        <w:t xml:space="preserve">  lineare**.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IX. Riga di chiusura</w:t>
      </w:r>
    </w:p>
    <w:p>
      <w:pPr>
        <w:spacing w:after="120" w:line="276"/>
        <w:jc w:val="both"/>
      </w:pPr>
      <w:r>
        <w:rPr>
          <w:rFonts w:ascii="Barlow Semi Condensed" w:cs="Barlow Semi Condensed" w:eastAsia="Barlow Semi Condensed" w:hAnsi="Barlow Semi Condensed"/>
          <w:sz w:val="24"/>
          <w:szCs w:val="24"/>
        </w:rPr>
        <w:t xml:space="preserve">Un lotto che porta quattro confutazioni delle proprie ipotesi, cinque</w:t>
      </w:r>
    </w:p>
    <w:p>
      <w:pPr>
        <w:spacing w:after="120" w:line="276"/>
        <w:jc w:val="both"/>
      </w:pPr>
      <w:r>
        <w:rPr>
          <w:rFonts w:ascii="Barlow Semi Condensed" w:cs="Barlow Semi Condensed" w:eastAsia="Barlow Semi Condensed" w:hAnsi="Barlow Semi Condensed"/>
          <w:sz w:val="24"/>
          <w:szCs w:val="24"/>
        </w:rPr>
        <w:t xml:space="preserve">correzioni al corpus, un concetto di metodo nuovo e un documento che si esclude</w:t>
      </w:r>
    </w:p>
    <w:p>
      <w:pPr>
        <w:spacing w:after="120" w:line="276"/>
        <w:jc w:val="both"/>
      </w:pPr>
      <w:r>
        <w:rPr>
          <w:rFonts w:ascii="Barlow Semi Condensed" w:cs="Barlow Semi Condensed" w:eastAsia="Barlow Semi Condensed" w:hAnsi="Barlow Semi Condensed"/>
          <w:sz w:val="24"/>
          <w:szCs w:val="24"/>
        </w:rPr>
        <w:t xml:space="preserve">da sé vale, per l'opera, più di un lotto che confermasse tutto. La disciplina non chiede di avere ragione: chiede</w:t>
      </w:r>
    </w:p>
    <w:p>
      <w:pPr>
        <w:spacing w:after="120" w:line="276"/>
        <w:jc w:val="both"/>
      </w:pPr>
      <w:r>
        <w:rPr>
          <w:rFonts w:ascii="Barlow Semi Condensed" w:cs="Barlow Semi Condensed" w:eastAsia="Barlow Semi Condensed" w:hAnsi="Barlow Semi Condensed"/>
          <w:sz w:val="24"/>
          <w:szCs w:val="24"/>
        </w:rPr>
        <w:t xml:space="preserve">di scrivere quando si ha torto, con la stessa precisione con cui si scriverebbe</w:t>
      </w:r>
    </w:p>
    <w:p>
      <w:pPr>
        <w:spacing w:after="120" w:line="276"/>
        <w:jc w:val="both"/>
      </w:pPr>
      <w:r>
        <w:rPr>
          <w:rFonts w:ascii="Barlow Semi Condensed" w:cs="Barlow Semi Condensed" w:eastAsia="Barlow Semi Condensed" w:hAnsi="Barlow Semi Condensed"/>
          <w:sz w:val="24"/>
          <w:szCs w:val="24"/>
        </w:rPr>
        <w:t xml:space="preserve">il contrario.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L'appartenenza a un'organizzazione non è prova di condotta.</w:t>
      </w:r>
      <w:r>
        <w:rPr>
          <w:rFonts w:ascii="Barlow Semi Condensed" w:cs="Barlow Semi Condensed" w:eastAsia="Barlow Semi Condensed" w:hAnsi="Barlow Semi Condensed"/>
          <w:i w:val="false"/>
          <w:iCs w:val="false"/>
          <w:sz w:val="24"/>
          <w:szCs w:val="24"/>
        </w:rPr>
        <w:t xml:space="preserve"> Vale qui come ovunque, e in una campagna che tratta di ordini religiosi, di servizi e di agenzie di stampa vale due volte.</w:t>
      </w:r>
    </w:p>
    <w:p>
      <w:pPr>
        <w:pStyle w:val="Heading3"/>
        <w:spacing w:after="80" w:before="240"/>
      </w:pPr>
      <w:r>
        <w:rPr>
          <w:rFonts w:ascii="Barlow Semi Condensed" w:cs="Barlow Semi Condensed" w:eastAsia="Barlow Semi Condensed" w:hAnsi="Barlow Semi Condensed"/>
          <w:sz w:val="24"/>
          <w:szCs w:val="24"/>
        </w:rPr>
        <w:t xml:space="preserve">Apparato grafico — Libro dodicesimo · XXVIII · La triangolazione della terza campagna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XXVIII: 1.858 parole in 9 sezioni; la più ampia è §9 Altre sezioni, con 381.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dodicesimo · XXVIII: 51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I. Il programma e le graduatorie</w:t>
      </w:r>
    </w:p>
    <w:p>
      <w:pPr>
        <w:pStyle w:val="Heading1"/>
        <w:spacing w:after="120" w:before="240"/>
      </w:pPr>
      <w:r>
        <w:rPr>
          <w:rFonts w:ascii="Barlow Semi Condensed" w:cs="Barlow Semi Condensed" w:eastAsia="Barlow Semi Condensed" w:hAnsi="Barlow Semi Condensed"/>
          <w:sz w:val="24"/>
          <w:szCs w:val="24"/>
        </w:rPr>
        <w:t xml:space="preserve">Il fascicolo aperto</w:t>
      </w:r>
    </w:p>
    <w:p>
      <w:pPr>
        <w:pStyle w:val="Heading2"/>
        <w:spacing w:after="100" w:before="200"/>
      </w:pPr>
      <w:r>
        <w:rPr>
          <w:rFonts w:ascii="Barlow Semi Condensed" w:cs="Barlow Semi Condensed" w:eastAsia="Barlow Semi Condensed" w:hAnsi="Barlow Semi Condensed"/>
          <w:sz w:val="24"/>
          <w:szCs w:val="24"/>
        </w:rPr>
        <w:t xml:space="preserve">Programma investigativo del corpus: dalla storia accertata all'accertabile</w:t>
      </w:r>
    </w:p>
    <w:p>
      <w:pPr>
        <w:spacing w:after="120" w:line="276"/>
        <w:jc w:val="both"/>
      </w:pPr>
      <w:r>
        <w:rPr>
          <w:rFonts w:ascii="Barlow Semi Condensed" w:cs="Barlow Semi Condensed" w:eastAsia="Barlow Semi Condensed" w:hAnsi="Barlow Semi Condensed"/>
          <w:i/>
          <w:iCs/>
          <w:sz w:val="24"/>
          <w:szCs w:val="24"/>
        </w:rPr>
        <w:t xml:space="preserve">Documento operativo — 25 agosto 2026 · Il cambio di metodo richiesto dall'autore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 cambio di metodo.</w:t>
      </w:r>
      <w:r>
        <w:rPr>
          <w:rFonts w:ascii="Barlow Semi Condensed" w:cs="Barlow Semi Condensed" w:eastAsia="Barlow Semi Condensed" w:hAnsi="Barlow Semi Condensed"/>
          <w:i w:val="false"/>
          <w:iCs w:val="false"/>
          <w:sz w:val="24"/>
          <w:szCs w:val="24"/>
        </w:rPr>
        <w:t xml:space="preserve"> Fin qui il corpus ha lavorato da storico: la domanda era </w:t>
      </w:r>
      <w:r>
        <w:rPr>
          <w:rFonts w:ascii="Barlow Semi Condensed" w:cs="Barlow Semi Condensed" w:eastAsia="Barlow Semi Condensed" w:hAnsi="Barlow Semi Condensed"/>
          <w:i w:val="false"/>
          <w:iCs w:val="false"/>
          <w:sz w:val="24"/>
          <w:szCs w:val="24"/>
        </w:rPr>
        <w:t xml:space="preserve">«che cosa è provato?»</w:t>
      </w:r>
      <w:r>
        <w:rPr>
          <w:rFonts w:ascii="Barlow Semi Condensed" w:cs="Barlow Semi Condensed" w:eastAsia="Barlow Semi Condensed" w:hAnsi="Barlow Semi Condensed"/>
          <w:i w:val="false"/>
          <w:iCs w:val="false"/>
          <w:sz w:val="24"/>
          <w:szCs w:val="24"/>
        </w:rPr>
        <w:t xml:space="preserve">, e la risposta era il registro dei gradi. Da questo documento il corpus lavora </w:t>
      </w:r>
      <w:r>
        <w:rPr>
          <w:rFonts w:ascii="Barlow Semi Condensed" w:cs="Barlow Semi Condensed" w:eastAsia="Barlow Semi Condensed" w:hAnsi="Barlow Semi Condensed"/>
          <w:b/>
          <w:bCs/>
          <w:i w:val="false"/>
          <w:iCs w:val="false"/>
          <w:sz w:val="24"/>
          <w:szCs w:val="24"/>
        </w:rPr>
        <w:t xml:space="preserve">anche da investigatore</w:t>
      </w:r>
      <w:r>
        <w:rPr>
          <w:rFonts w:ascii="Barlow Semi Condensed" w:cs="Barlow Semi Condensed" w:eastAsia="Barlow Semi Condensed" w:hAnsi="Barlow Semi Condensed"/>
          <w:i w:val="false"/>
          <w:iCs w:val="false"/>
          <w:sz w:val="24"/>
          <w:szCs w:val="24"/>
        </w:rPr>
        <w:t xml:space="preserve">: la domanda diventa </w:t>
      </w:r>
      <w:r>
        <w:rPr>
          <w:rFonts w:ascii="Barlow Semi Condensed" w:cs="Barlow Semi Condensed" w:eastAsia="Barlow Semi Condensed" w:hAnsi="Barlow Semi Condensed"/>
          <w:i w:val="false"/>
          <w:iCs w:val="false"/>
          <w:sz w:val="24"/>
          <w:szCs w:val="24"/>
        </w:rPr>
        <w:t xml:space="preserve">«che cosa si può ancora scoprire — con quali atti, presso quali autorità, con quale rendimento atteso?»</w:t>
      </w:r>
      <w:r>
        <w:rPr>
          <w:rFonts w:ascii="Barlow Semi Condensed" w:cs="Barlow Semi Condensed" w:eastAsia="Barlow Semi Condensed" w:hAnsi="Barlow Semi Condensed"/>
          <w:i w:val="false"/>
          <w:iCs w:val="false"/>
          <w:sz w:val="24"/>
          <w:szCs w:val="24"/>
        </w:rPr>
        <w:t xml:space="preserve">. Il cambio è di </w:t>
      </w:r>
      <w:r>
        <w:rPr>
          <w:rFonts w:ascii="Barlow Semi Condensed" w:cs="Barlow Semi Condensed" w:eastAsia="Barlow Semi Condensed" w:hAnsi="Barlow Semi Condensed"/>
          <w:b/>
          <w:bCs/>
          <w:i w:val="false"/>
          <w:iCs w:val="false"/>
          <w:sz w:val="24"/>
          <w:szCs w:val="24"/>
        </w:rPr>
        <w:t xml:space="preserve">direzione</w:t>
      </w:r>
      <w:r>
        <w:rPr>
          <w:rFonts w:ascii="Barlow Semi Condensed" w:cs="Barlow Semi Condensed" w:eastAsia="Barlow Semi Condensed" w:hAnsi="Barlow Semi Condensed"/>
          <w:i w:val="false"/>
          <w:iCs w:val="false"/>
          <w:sz w:val="24"/>
          <w:szCs w:val="24"/>
        </w:rPr>
        <w:t xml:space="preserve">, non di regime: un'indagine non condanna — </w:t>
      </w:r>
      <w:r>
        <w:rPr>
          <w:rFonts w:ascii="Barlow Semi Condensed" w:cs="Barlow Semi Condensed" w:eastAsia="Barlow Semi Condensed" w:hAnsi="Barlow Semi Condensed"/>
          <w:b/>
          <w:bCs/>
          <w:i w:val="false"/>
          <w:iCs w:val="false"/>
          <w:sz w:val="24"/>
          <w:szCs w:val="24"/>
        </w:rPr>
        <w:t xml:space="preserve">indaga</w:t>
      </w:r>
      <w:r>
        <w:rPr>
          <w:rFonts w:ascii="Barlow Semi Condensed" w:cs="Barlow Semi Condensed" w:eastAsia="Barlow Semi Condensed" w:hAnsi="Barlow Semi Condensed"/>
          <w:i w:val="false"/>
          <w:iCs w:val="false"/>
          <w:sz w:val="24"/>
          <w:szCs w:val="24"/>
        </w:rPr>
        <w:t xml:space="preserve">; produce atti istruttori, non colpevoli. Restano perciò intatti tutti i presidi (nessun nome oltre il giudicato; le ipotesi in forma ACH; gli esiti identificativi appartengono solo alla via giudiziaria), ma tutto ciò che il corpus aveva censito come mancante — le «sedi di chiusura», le «evidenze discriminanti», le «acquisizioni non conseguite» — viene ora </w:t>
      </w:r>
      <w:r>
        <w:rPr>
          <w:rFonts w:ascii="Barlow Semi Condensed" w:cs="Barlow Semi Condensed" w:eastAsia="Barlow Semi Condensed" w:hAnsi="Barlow Semi Condensed"/>
          <w:b/>
          <w:bCs/>
          <w:i w:val="false"/>
          <w:iCs w:val="false"/>
          <w:sz w:val="24"/>
          <w:szCs w:val="24"/>
        </w:rPr>
        <w:t xml:space="preserve">riscritto in forma operativa</w:t>
      </w:r>
      <w:r>
        <w:rPr>
          <w:rFonts w:ascii="Barlow Semi Condensed" w:cs="Barlow Semi Condensed" w:eastAsia="Barlow Semi Condensed" w:hAnsi="Barlow Semi Condensed"/>
          <w:i w:val="false"/>
          <w:iCs w:val="false"/>
          <w:sz w:val="24"/>
          <w:szCs w:val="24"/>
        </w:rPr>
        <w:t xml:space="preserve">: pista, stato degli atti, atto da compiere, autorità competente, rendimento atteso, criterio di chiusura. È il metodo dei </w:t>
      </w:r>
      <w:r>
        <w:rPr>
          <w:rFonts w:ascii="Barlow Semi Condensed" w:cs="Barlow Semi Condensed" w:eastAsia="Barlow Semi Condensed" w:hAnsi="Barlow Semi Condensed"/>
          <w:i w:val="false"/>
          <w:iCs w:val="false"/>
          <w:sz w:val="24"/>
          <w:szCs w:val="24"/>
        </w:rPr>
        <w:t xml:space="preserve">cold case</w:t>
      </w:r>
      <w:r>
        <w:rPr>
          <w:rFonts w:ascii="Barlow Semi Condensed" w:cs="Barlow Semi Condensed" w:eastAsia="Barlow Semi Condensed" w:hAnsi="Barlow Semi Condensed"/>
          <w:i w:val="false"/>
          <w:iCs w:val="false"/>
          <w:sz w:val="24"/>
          <w:szCs w:val="24"/>
        </w:rPr>
        <w:t xml:space="preserve">: re-inventario dei reperti, scienze forensi sopravvenute, ri-escussione dei testimoni viventi, archivi sbloccati, e una matrice che lega ogni ipotesi alla prova che la deciderebbe.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Capitolo I — Il quadro operativo reale: gli strumenti esistono già</w:t>
      </w:r>
    </w:p>
    <w:p>
      <w:pPr>
        <w:spacing w:after="120" w:line="276"/>
        <w:jc w:val="both"/>
      </w:pPr>
      <w:r>
        <w:rPr>
          <w:rFonts w:ascii="Barlow Semi Condensed" w:cs="Barlow Semi Condensed" w:eastAsia="Barlow Semi Condensed" w:hAnsi="Barlow Semi Condensed"/>
          <w:sz w:val="24"/>
          <w:szCs w:val="24"/>
        </w:rPr>
        <w:t xml:space="preserve">Un programma investigativo serio parte da ciò che è </w:t>
      </w:r>
      <w:r>
        <w:rPr>
          <w:rFonts w:ascii="Barlow Semi Condensed" w:cs="Barlow Semi Condensed" w:eastAsia="Barlow Semi Condensed" w:hAnsi="Barlow Semi Condensed"/>
          <w:i/>
          <w:iCs/>
          <w:sz w:val="24"/>
          <w:szCs w:val="24"/>
        </w:rPr>
        <w:t xml:space="preserve">già aperto e già disponibile</w:t>
      </w:r>
      <w:r>
        <w:rPr>
          <w:rFonts w:ascii="Barlow Semi Condensed" w:cs="Barlow Semi Condensed" w:eastAsia="Barlow Semi Condensed" w:hAnsi="Barlow Semi Condensed"/>
          <w:sz w:val="24"/>
          <w:szCs w:val="24"/>
        </w:rPr>
        <w:t xml:space="preserve">, e su questo caso gli strumenti sono due, entrambi verificati.</w:t>
      </w:r>
    </w:p>
    <w:p>
      <w:pPr>
        <w:spacing w:after="120" w:line="276"/>
        <w:jc w:val="both"/>
      </w:pPr>
      <w:r>
        <w:rPr>
          <w:rFonts w:ascii="Barlow Semi Condensed" w:cs="Barlow Semi Condensed" w:eastAsia="Barlow Semi Condensed" w:hAnsi="Barlow Semi Condensed"/>
          <w:b/>
          <w:bCs/>
          <w:sz w:val="24"/>
          <w:szCs w:val="24"/>
        </w:rPr>
        <w:t xml:space="preserve">Il fascicolo giudiziario è ancora aperto.</w:t>
      </w:r>
      <w:r>
        <w:rPr>
          <w:rFonts w:ascii="Barlow Semi Condensed" w:cs="Barlow Semi Condensed" w:eastAsia="Barlow Semi Condensed" w:hAnsi="Barlow Semi Condensed"/>
          <w:sz w:val="24"/>
          <w:szCs w:val="24"/>
        </w:rPr>
        <w:t xml:space="preserve"> A Roma, il giudice per le indagini preliminari ha disposto la prosecuzione delle indagini su via Fani per verificare le </w:t>
      </w:r>
      <w:r>
        <w:rPr>
          <w:rFonts w:ascii="Barlow Semi Condensed" w:cs="Barlow Semi Condensed" w:eastAsia="Barlow Semi Condensed" w:hAnsi="Barlow Semi Condensed"/>
          <w:b/>
          <w:bCs/>
          <w:sz w:val="24"/>
          <w:szCs w:val="24"/>
        </w:rPr>
        <w:t xml:space="preserve">«terze presenze»</w:t>
      </w:r>
      <w:r>
        <w:rPr>
          <w:rFonts w:ascii="Barlow Semi Condensed" w:cs="Barlow Semi Condensed" w:eastAsia="Barlow Semi Condensed" w:hAnsi="Barlow Semi Condensed"/>
          <w:sz w:val="24"/>
          <w:szCs w:val="24"/>
        </w:rPr>
        <w:t xml:space="preserve">: un uomo non identificato, forse a bordo di una </w:t>
      </w:r>
      <w:r>
        <w:rPr>
          <w:rFonts w:ascii="Barlow Semi Condensed" w:cs="Barlow Semi Condensed" w:eastAsia="Barlow Semi Condensed" w:hAnsi="Barlow Semi Condensed"/>
          <w:b/>
          <w:bCs/>
          <w:sz w:val="24"/>
          <w:szCs w:val="24"/>
        </w:rPr>
        <w:t xml:space="preserve">Honda di grossa cilindrata</w:t>
      </w:r>
      <w:r>
        <w:rPr>
          <w:rFonts w:ascii="Barlow Semi Condensed" w:cs="Barlow Semi Condensed" w:eastAsia="Barlow Semi Condensed" w:hAnsi="Barlow Semi Condensed"/>
          <w:sz w:val="24"/>
          <w:szCs w:val="24"/>
        </w:rPr>
        <w:t xml:space="preserve">, con nuove </w:t>
      </w:r>
      <w:r>
        <w:rPr>
          <w:rFonts w:ascii="Barlow Semi Condensed" w:cs="Barlow Semi Condensed" w:eastAsia="Barlow Semi Condensed" w:hAnsi="Barlow Semi Condensed"/>
          <w:b/>
          <w:bCs/>
          <w:sz w:val="24"/>
          <w:szCs w:val="24"/>
        </w:rPr>
        <w:t xml:space="preserve">perizie balistiche</w:t>
      </w:r>
      <w:r>
        <w:rPr>
          <w:rFonts w:ascii="Barlow Semi Condensed" w:cs="Barlow Semi Condensed" w:eastAsia="Barlow Semi Condensed" w:hAnsi="Barlow Semi Condensed"/>
          <w:sz w:val="24"/>
          <w:szCs w:val="24"/>
        </w:rPr>
        <w:t xml:space="preserve"> e comparazioni genetiche; la Procura è stata autorizzata a estrarre il DNA di una rosa di ex brigatisti da comparare con i profili </w:t>
      </w:r>
      <w:r>
        <w:rPr>
          <w:rFonts w:ascii="Barlow Semi Condensed" w:cs="Barlow Semi Condensed" w:eastAsia="Barlow Semi Condensed" w:hAnsi="Barlow Semi Condensed"/>
          <w:b/>
          <w:bCs/>
          <w:sz w:val="24"/>
          <w:szCs w:val="24"/>
        </w:rPr>
        <w:t xml:space="preserve">estratti nel 2016 dai mozziconi</w:t>
      </w:r>
      <w:r>
        <w:rPr>
          <w:rFonts w:ascii="Barlow Semi Condensed" w:cs="Barlow Semi Condensed" w:eastAsia="Barlow Semi Condensed" w:hAnsi="Barlow Semi Condensed"/>
          <w:sz w:val="24"/>
          <w:szCs w:val="24"/>
        </w:rPr>
        <w:t xml:space="preserve"> rinvenuti nell'auto usata per lo sbarramento di via Fani e nella base di </w:t>
      </w:r>
      <w:r>
        <w:rPr>
          <w:rFonts w:ascii="Barlow Semi Condensed" w:cs="Barlow Semi Condensed" w:eastAsia="Barlow Semi Condensed" w:hAnsi="Barlow Semi Condensed"/>
          <w:b/>
          <w:bCs/>
          <w:sz w:val="24"/>
          <w:szCs w:val="24"/>
        </w:rPr>
        <w:t xml:space="preserve">via Gradoli</w:t>
      </w:r>
      <w:r>
        <w:rPr>
          <w:rFonts w:ascii="Barlow Semi Condensed" w:cs="Barlow Semi Condensed" w:eastAsia="Barlow Semi Condensed" w:hAnsi="Barlow Semi Condensed"/>
          <w:sz w:val="24"/>
          <w:szCs w:val="24"/>
        </w:rPr>
        <w:t xml:space="preserve">; ed è al vaglio il </w:t>
      </w:r>
      <w:r>
        <w:rPr>
          <w:rFonts w:ascii="Barlow Semi Condensed" w:cs="Barlow Semi Condensed" w:eastAsia="Barlow Semi Condensed" w:hAnsi="Barlow Semi Condensed"/>
          <w:b/>
          <w:bCs/>
          <w:sz w:val="24"/>
          <w:szCs w:val="24"/>
        </w:rPr>
        <w:t xml:space="preserve">caricatore abbandonato fra via Fani e via Stresa</w:t>
      </w:r>
      <w:r>
        <w:rPr>
          <w:rFonts w:ascii="Barlow Semi Condensed" w:cs="Barlow Semi Condensed" w:eastAsia="Barlow Semi Condensed" w:hAnsi="Barlow Semi Condensed"/>
          <w:sz w:val="24"/>
          <w:szCs w:val="24"/>
        </w:rPr>
        <w:t xml:space="preserve">, per impronte e tracce genetiche (Quotidiano Nazionale, «indagine riaperta» (https://www.quotidiano.net/cronaca/aldo-moro-indagine-riaperta-hvj5sqbx); QN, «caccia al quinto uomo» (https://www.quotidiano.net/cronaca/strage-di-via-fani-indagini-riaperte-lb05511u); Antimafia Duemila, la proroga del GIP (https://antimafiaduemila.com/home/mafie-news/topnews/caso-moro-il-gip-riapre-nuove-piste-sei-mesi-di-indagini-sulle-terze-presenze-in-via-fani)). Il punto di consilienza va detto subito: </w:t>
      </w:r>
      <w:r>
        <w:rPr>
          <w:rFonts w:ascii="Barlow Semi Condensed" w:cs="Barlow Semi Condensed" w:eastAsia="Barlow Semi Condensed" w:hAnsi="Barlow Semi Condensed"/>
          <w:b/>
          <w:bCs/>
          <w:sz w:val="24"/>
          <w:szCs w:val="24"/>
        </w:rPr>
        <w:t xml:space="preserve">l'evidenza discriminante che l'analisi ACH del corpus aveva indicato — la balistica delle «due moto» — è esattamente ciò su cui il fascicolo reale sta lavorando.</w:t>
      </w:r>
      <w:r>
        <w:rPr>
          <w:rFonts w:ascii="Barlow Semi Condensed" w:cs="Barlow Semi Condensed" w:eastAsia="Barlow Semi Condensed" w:hAnsi="Barlow Semi Condensed"/>
          <w:sz w:val="24"/>
          <w:szCs w:val="24"/>
        </w:rPr>
        <w:t xml:space="preserve"> Il metodo del corpus e l'indagine dello Stato puntano allo stesso reperto: è la migliore conferma possibile che il programma qui scritto non è esercizio accademico.</w:t>
      </w:r>
    </w:p>
    <w:p>
      <w:pPr>
        <w:spacing w:after="120" w:line="276"/>
        <w:jc w:val="both"/>
      </w:pPr>
      <w:r>
        <w:rPr>
          <w:rFonts w:ascii="Barlow Semi Condensed" w:cs="Barlow Semi Condensed" w:eastAsia="Barlow Semi Condensed" w:hAnsi="Barlow Semi Condensed"/>
          <w:b/>
          <w:bCs/>
          <w:sz w:val="24"/>
          <w:szCs w:val="24"/>
        </w:rPr>
        <w:t xml:space="preserve">Il giacimento documentale è versato e consultabile.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direttiva del Presidente del Consiglio del 22 aprile 2014</w:t>
      </w:r>
      <w:r>
        <w:rPr>
          <w:rFonts w:ascii="Barlow Semi Condensed" w:cs="Barlow Semi Condensed" w:eastAsia="Barlow Semi Condensed" w:hAnsi="Barlow Semi Condensed"/>
          <w:sz w:val="24"/>
          <w:szCs w:val="24"/>
        </w:rPr>
        <w:t xml:space="preserve"> (G.U. n. 100 del 2 maggio 2014) ha disposto la declassificazione e il versamento all'</w:t>
      </w:r>
      <w:r>
        <w:rPr>
          <w:rFonts w:ascii="Barlow Semi Condensed" w:cs="Barlow Semi Condensed" w:eastAsia="Barlow Semi Condensed" w:hAnsi="Barlow Semi Condensed"/>
          <w:b/>
          <w:bCs/>
          <w:sz w:val="24"/>
          <w:szCs w:val="24"/>
        </w:rPr>
        <w:t xml:space="preserve">Archivio Centrale dello Stato</w:t>
      </w:r>
      <w:r>
        <w:rPr>
          <w:rFonts w:ascii="Barlow Semi Condensed" w:cs="Barlow Semi Condensed" w:eastAsia="Barlow Semi Condensed" w:hAnsi="Barlow Semi Condensed"/>
          <w:sz w:val="24"/>
          <w:szCs w:val="24"/>
        </w:rPr>
        <w:t xml:space="preserve"> della documentazione sulle stragi, e la </w:t>
      </w:r>
      <w:r>
        <w:rPr>
          <w:rFonts w:ascii="Barlow Semi Condensed" w:cs="Barlow Semi Condensed" w:eastAsia="Barlow Semi Condensed" w:hAnsi="Barlow Semi Condensed"/>
          <w:b/>
          <w:bCs/>
          <w:sz w:val="24"/>
          <w:szCs w:val="24"/>
        </w:rPr>
        <w:t xml:space="preserve">direttiva del 2 dicembre 2014</w:t>
      </w:r>
      <w:r>
        <w:rPr>
          <w:rFonts w:ascii="Barlow Semi Condensed" w:cs="Barlow Semi Condensed" w:eastAsia="Barlow Semi Condensed" w:hAnsi="Barlow Semi Condensed"/>
          <w:sz w:val="24"/>
          <w:szCs w:val="24"/>
        </w:rPr>
        <w:t xml:space="preserve"> ha esteso l'obbligo espressamente al </w:t>
      </w:r>
      <w:r>
        <w:rPr>
          <w:rFonts w:ascii="Barlow Semi Condensed" w:cs="Barlow Semi Condensed" w:eastAsia="Barlow Semi Condensed" w:hAnsi="Barlow Semi Condensed"/>
          <w:b/>
          <w:bCs/>
          <w:sz w:val="24"/>
          <w:szCs w:val="24"/>
        </w:rPr>
        <w:t xml:space="preserve">sequestro e all'omicidio di Aldo Moro</w:t>
      </w:r>
      <w:r>
        <w:rPr>
          <w:rFonts w:ascii="Barlow Semi Condensed" w:cs="Barlow Semi Condensed" w:eastAsia="Barlow Semi Condensed" w:hAnsi="Barlow Semi Condensed"/>
          <w:sz w:val="24"/>
          <w:szCs w:val="24"/>
        </w:rPr>
        <w:t xml:space="preserve">: i versamenti — avviati dal 1° agosto 2014 — contano </w:t>
      </w:r>
      <w:r>
        <w:rPr>
          <w:rFonts w:ascii="Barlow Semi Condensed" w:cs="Barlow Semi Condensed" w:eastAsia="Barlow Semi Condensed" w:hAnsi="Barlow Semi Condensed"/>
          <w:b/>
          <w:bCs/>
          <w:sz w:val="24"/>
          <w:szCs w:val="24"/>
        </w:rPr>
        <w:t xml:space="preserve">77 versamenti da 156 uffici produttori, per circa duemila buste</w:t>
      </w:r>
      <w:r>
        <w:rPr>
          <w:rFonts w:ascii="Barlow Semi Condensed" w:cs="Barlow Semi Condensed" w:eastAsia="Barlow Semi Condensed" w:hAnsi="Barlow Semi Condensed"/>
          <w:sz w:val="24"/>
          <w:szCs w:val="24"/>
        </w:rPr>
        <w:t xml:space="preserve"> cartacee e digitali, raccolte nella collezione speciale «Stragi (Direttiva Renzi)» (testo della direttiva (https://presidenza.governo.it/AmministrazioneTrasparente/Organizzazione/ArticolazioneUffici/CommissioniComitati/Comitato_desecretazione/Direttiva_20140422.pdf); ACS, la collezione (https://acs.cultura.gov.it/la-direttiva-renzi-e-i-pubblici-segreti-documenti-declassificati-su-terrorismo-e-stragi/); Direzione generale Archivi (https://archivi.cultura.gov.it/in-evidenza/le-carte-delle-stragi)). Duemila buste in larga parte mai spogliate sistematicamente con le chiavi di questo caso: è il terreno di scavo principale del programma.</w:t>
      </w:r>
    </w:p>
    <w:p>
      <w:pPr>
        <w:pStyle w:val="Heading2"/>
        <w:spacing w:after="100" w:before="200"/>
      </w:pPr>
      <w:r>
        <w:rPr>
          <w:rFonts w:ascii="Barlow Semi Condensed" w:cs="Barlow Semi Condensed" w:eastAsia="Barlow Semi Condensed" w:hAnsi="Barlow Semi Condensed"/>
          <w:sz w:val="24"/>
          <w:szCs w:val="24"/>
        </w:rPr>
        <w:t xml:space="preserve">Capitolo II — Le piste (P-1 … P-10)</w:t>
      </w:r>
    </w:p>
    <w:p>
      <w:pPr>
        <w:spacing w:after="120" w:line="276"/>
        <w:jc w:val="both"/>
      </w:pPr>
      <w:r>
        <w:rPr>
          <w:rFonts w:ascii="Barlow Semi Condensed" w:cs="Barlow Semi Condensed" w:eastAsia="Barlow Semi Condensed" w:hAnsi="Barlow Semi Condensed"/>
          <w:sz w:val="24"/>
          <w:szCs w:val="24"/>
        </w:rPr>
        <w:t xml:space="preserve">Ogni pista è scritta nel formato operativo: </w:t>
      </w:r>
      <w:r>
        <w:rPr>
          <w:rFonts w:ascii="Barlow Semi Condensed" w:cs="Barlow Semi Condensed" w:eastAsia="Barlow Semi Condensed" w:hAnsi="Barlow Semi Condensed"/>
          <w:b/>
          <w:bCs/>
          <w:sz w:val="24"/>
          <w:szCs w:val="24"/>
        </w:rPr>
        <w:t xml:space="preserve">oggetto · stato degli atti · atto istruttorio · sede · rendimento atteso · criterio di chiusura.</w:t>
      </w:r>
    </w:p>
    <w:p>
      <w:pPr>
        <w:spacing w:after="120" w:line="276"/>
        <w:jc w:val="both"/>
      </w:pPr>
      <w:r>
        <w:rPr>
          <w:rFonts w:ascii="Barlow Semi Condensed" w:cs="Barlow Semi Condensed" w:eastAsia="Barlow Semi Condensed" w:hAnsi="Barlow Semi Condensed"/>
          <w:b/>
          <w:bCs/>
          <w:sz w:val="24"/>
          <w:szCs w:val="24"/>
        </w:rPr>
        <w:t xml:space="preserve">P-1 — Le terze presenze di via Fani.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le due moto e i «quattro centauri»; l'uomo col mitra e il passamontagna.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B (Moro 2), identità C.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perizia balistica con tecniche attuali su tutti i reperti; comparazioni sistematiche col DNA 2016.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il fascicolo aperto (Procura/GIP Roma).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massimo</w:t>
      </w:r>
      <w:r>
        <w:rPr>
          <w:rFonts w:ascii="Barlow Semi Condensed" w:cs="Barlow Semi Condensed" w:eastAsia="Barlow Semi Condensed" w:hAnsi="Barlow Semi Condensed"/>
          <w:sz w:val="24"/>
          <w:szCs w:val="24"/>
        </w:rPr>
        <w:t xml:space="preserve"> — è l'evidenza che decide l'ACH: se i colpi e i mezzi tornano tutti al commando giudicato, l'ipotesi delle presenze estranee cade; se emerge un profilo estraneo, si apre un'identificazione giudiziaria.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l'esito della perizia, quale che sia.</w:t>
      </w:r>
    </w:p>
    <w:p>
      <w:pPr>
        <w:spacing w:after="120" w:line="276"/>
        <w:jc w:val="both"/>
      </w:pPr>
      <w:r>
        <w:rPr>
          <w:rFonts w:ascii="Barlow Semi Condensed" w:cs="Barlow Semi Condensed" w:eastAsia="Barlow Semi Condensed" w:hAnsi="Barlow Semi Condensed"/>
          <w:b/>
          <w:bCs/>
          <w:sz w:val="24"/>
          <w:szCs w:val="24"/>
        </w:rPr>
        <w:t xml:space="preserve">P-2 — Il caricatore di via Stresa.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il caricatore abbandonato sul percorso di fuga.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reperto in vaglio.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impronte e genetica; comparazione con Morucci e con la rosa autorizzata.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fascicolo aperto.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alto e rapido (reperto singolo, quesito binario).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attribuzione o esclusione.</w:t>
      </w:r>
    </w:p>
    <w:p>
      <w:pPr>
        <w:spacing w:after="120" w:line="276"/>
        <w:jc w:val="both"/>
      </w:pPr>
      <w:r>
        <w:rPr>
          <w:rFonts w:ascii="Barlow Semi Condensed" w:cs="Barlow Semi Condensed" w:eastAsia="Barlow Semi Condensed" w:hAnsi="Barlow Semi Condensed"/>
          <w:b/>
          <w:bCs/>
          <w:sz w:val="24"/>
          <w:szCs w:val="24"/>
        </w:rPr>
        <w:t xml:space="preserve">P-3 — Il DNA di via Gradoli.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i profili 2016 dai mozziconi della base.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estratti, comparazioni in corso.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allargamento ragionato della rosa comparativa.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fascicolo aperto.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medio-alto — ogni identificazione data la frequentazione del covo.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esaurimento della rosa.</w:t>
      </w:r>
    </w:p>
    <w:p>
      <w:pPr>
        <w:spacing w:after="120" w:line="276"/>
        <w:jc w:val="both"/>
      </w:pPr>
      <w:r>
        <w:rPr>
          <w:rFonts w:ascii="Barlow Semi Condensed" w:cs="Barlow Semi Condensed" w:eastAsia="Barlow Semi Condensed" w:hAnsi="Barlow Semi Condensed"/>
          <w:b/>
          <w:bCs/>
          <w:sz w:val="24"/>
          <w:szCs w:val="24"/>
        </w:rPr>
        <w:t xml:space="preserve">P-4 — La fonte della «seduta spiritica».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la catena informativa reale che portò al nome «Gradoli» — l'evidenza discriminante dell'altra matrice ACH del corpus.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C, non sciolto da due Commissioni.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ricerca documentale mirata negli atti di PS e prefettura dell'aprile 1978 e nei versamenti del Viminale del fondo Direttiva Renzi.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ACS, Sala delle raccolte speciali; archivi del Ministero dell'Interno.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medio-alto — basterebbe un appunto d'epoca.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l'identificazione documentale della fonte, o l'esaurimento certificato dei fondi.</w:t>
      </w:r>
    </w:p>
    <w:p>
      <w:pPr>
        <w:spacing w:after="120" w:line="276"/>
        <w:jc w:val="both"/>
      </w:pPr>
      <w:r>
        <w:rPr>
          <w:rFonts w:ascii="Barlow Semi Condensed" w:cs="Barlow Semi Condensed" w:eastAsia="Barlow Semi Condensed" w:hAnsi="Barlow Semi Condensed"/>
          <w:b/>
          <w:bCs/>
          <w:sz w:val="24"/>
          <w:szCs w:val="24"/>
        </w:rPr>
        <w:t xml:space="preserve">P-5 — Lo spoglio sistematico del fondo Direttiva Renzi.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le ~2.000 buste dei 156 uffici versanti.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versate, mai spogliate con le chiavi del corpus.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spoglio per chiavi mirate (via Fani; Gradoli; Duchessa; comitati di crisi; i 55 giorni giorno per giorno).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ACS.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strutturale — è la pista che alimenta tutte le altre.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inventario analitico completato.</w:t>
      </w:r>
    </w:p>
    <w:p>
      <w:pPr>
        <w:spacing w:after="120" w:line="276"/>
        <w:jc w:val="both"/>
      </w:pPr>
      <w:r>
        <w:rPr>
          <w:rFonts w:ascii="Barlow Semi Condensed" w:cs="Barlow Semi Condensed" w:eastAsia="Barlow Semi Condensed" w:hAnsi="Barlow Semi Condensed"/>
          <w:b/>
          <w:bCs/>
          <w:sz w:val="24"/>
          <w:szCs w:val="24"/>
        </w:rPr>
        <w:t xml:space="preserve">P-6 — La completezza del memoriale.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che cosa manchi fra il dattiloscritto 1978 e i fogli 1990.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ritrovamenti A, completezza C.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perizia filologico-comparativa fra i tre corpora; ricerca di carte coerenti nei fondi versati.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ACS; periti nominandi.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medio.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mappa delle lacune interne, o prova della completezza.</w:t>
      </w:r>
    </w:p>
    <w:p>
      <w:pPr>
        <w:spacing w:after="120" w:line="276"/>
        <w:jc w:val="both"/>
      </w:pPr>
      <w:r>
        <w:rPr>
          <w:rFonts w:ascii="Barlow Semi Condensed" w:cs="Barlow Semi Condensed" w:eastAsia="Barlow Semi Condensed" w:hAnsi="Barlow Semi Condensed"/>
          <w:b/>
          <w:bCs/>
          <w:sz w:val="24"/>
          <w:szCs w:val="24"/>
        </w:rPr>
        <w:t xml:space="preserve">P-7 — I testimoni viventi.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i testimoni oculari uditi tardivamente (De Chiara, l'ing. Marini) e i residenti mai escussi.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B.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ri-escussione con protocolli di memoria assistita; raccolta conservativa.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fascicolo aperto; in subordine, sede storica qualificata.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decrescente </w:t>
      </w:r>
      <w:r>
        <w:rPr>
          <w:rFonts w:ascii="Barlow Semi Condensed" w:cs="Barlow Semi Condensed" w:eastAsia="Barlow Semi Condensed" w:hAnsi="Barlow Semi Condensed"/>
          <w:b/>
          <w:bCs/>
          <w:sz w:val="24"/>
          <w:szCs w:val="24"/>
        </w:rPr>
        <w:t xml:space="preserve">nel tempo</w:t>
      </w:r>
      <w:r>
        <w:rPr>
          <w:rFonts w:ascii="Barlow Semi Condensed" w:cs="Barlow Semi Condensed" w:eastAsia="Barlow Semi Condensed" w:hAnsi="Barlow Semi Condensed"/>
          <w:sz w:val="24"/>
          <w:szCs w:val="24"/>
        </w:rPr>
        <w:t xml:space="preserve"> — è la pista con la priorità temporale più severa: ogni anno perso è perso per sempre.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l'escussione stessa.</w:t>
      </w:r>
    </w:p>
    <w:p>
      <w:pPr>
        <w:spacing w:after="120" w:line="276"/>
        <w:jc w:val="both"/>
      </w:pPr>
      <w:r>
        <w:rPr>
          <w:rFonts w:ascii="Barlow Semi Condensed" w:cs="Barlow Semi Condensed" w:eastAsia="Barlow Semi Condensed" w:hAnsi="Barlow Semi Condensed"/>
          <w:b/>
          <w:bCs/>
          <w:sz w:val="24"/>
          <w:szCs w:val="24"/>
        </w:rPr>
        <w:t xml:space="preserve">P-8 — La deposizione mai resa.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Alessio Casimirri è l'unico partecipante identificato di via Fani mai interrogato da un'autorità italiana.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condanna definitiva; latitanza protetta.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non l'estradizione (negata da quarant'anni), ma la </w:t>
      </w:r>
      <w:r>
        <w:rPr>
          <w:rFonts w:ascii="Barlow Semi Condensed" w:cs="Barlow Semi Condensed" w:eastAsia="Barlow Semi Condensed" w:hAnsi="Barlow Semi Condensed"/>
          <w:b/>
          <w:bCs/>
          <w:sz w:val="24"/>
          <w:szCs w:val="24"/>
        </w:rPr>
        <w:t xml:space="preserve">rogatoria conoscitiva</w:t>
      </w:r>
      <w:r>
        <w:rPr>
          <w:rFonts w:ascii="Barlow Semi Condensed" w:cs="Barlow Semi Condensed" w:eastAsia="Barlow Semi Condensed" w:hAnsi="Barlow Semi Condensed"/>
          <w:sz w:val="24"/>
          <w:szCs w:val="24"/>
        </w:rPr>
        <w:t xml:space="preserve">: una deposizione all'estero, anche senza consegna, sarebbe l'atto istruttorio potenzialmente più ricco rimasto al caso.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Ministeri della Giustizia e degli Esteri; il canale bilaterale censito nello studio sulle pene oltre confine.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incerto ma di valore unico.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deposizione, o il rifiuto formale reiterato.</w:t>
      </w:r>
    </w:p>
    <w:p>
      <w:pPr>
        <w:spacing w:after="120" w:line="276"/>
        <w:jc w:val="both"/>
      </w:pPr>
      <w:r>
        <w:rPr>
          <w:rFonts w:ascii="Barlow Semi Condensed" w:cs="Barlow Semi Condensed" w:eastAsia="Barlow Semi Condensed" w:hAnsi="Barlow Semi Condensed"/>
          <w:b/>
          <w:bCs/>
          <w:sz w:val="24"/>
          <w:szCs w:val="24"/>
        </w:rPr>
        <w:t xml:space="preserve">P-9 — Gli archivi che si apriranno.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Oggetto:</w:t>
      </w:r>
      <w:r>
        <w:rPr>
          <w:rFonts w:ascii="Barlow Semi Condensed" w:cs="Barlow Semi Condensed" w:eastAsia="Barlow Semi Condensed" w:hAnsi="Barlow Semi Condensed"/>
          <w:sz w:val="24"/>
          <w:szCs w:val="24"/>
        </w:rPr>
        <w:t xml:space="preserve"> l'Archivio Apostolico Vaticano per il pontificato di Paolo VI (la lettera, i canali della Santa Sede nei 55 giorni, l'operato di mons. Macchi), e le serie 1978 dell'Archivio Storico Diplomatico. </w:t>
      </w:r>
      <w:r>
        <w:rPr>
          <w:rFonts w:ascii="Barlow Semi Condensed" w:cs="Barlow Semi Condensed" w:eastAsia="Barlow Semi Condensed" w:hAnsi="Barlow Semi Condensed"/>
          <w:i/>
          <w:iCs/>
          <w:sz w:val="24"/>
          <w:szCs w:val="24"/>
        </w:rPr>
        <w:t xml:space="preserve">Stato:</w:t>
      </w:r>
      <w:r>
        <w:rPr>
          <w:rFonts w:ascii="Barlow Semi Condensed" w:cs="Barlow Semi Condensed" w:eastAsia="Barlow Semi Condensed" w:hAnsi="Barlow Semi Condensed"/>
          <w:sz w:val="24"/>
          <w:szCs w:val="24"/>
        </w:rPr>
        <w:t xml:space="preserve"> non ancora consultabili.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istanza di consultazione pronta al giorno dell'apertura, con quesiti già scritti (il corpus li possiede tutti). </w:t>
      </w:r>
      <w:r>
        <w:rPr>
          <w:rFonts w:ascii="Barlow Semi Condensed" w:cs="Barlow Semi Condensed" w:eastAsia="Barlow Semi Condensed" w:hAnsi="Barlow Semi Condensed"/>
          <w:i/>
          <w:iCs/>
          <w:sz w:val="24"/>
          <w:szCs w:val="24"/>
        </w:rPr>
        <w:t xml:space="preserve">Sede:</w:t>
      </w:r>
      <w:r>
        <w:rPr>
          <w:rFonts w:ascii="Barlow Semi Condensed" w:cs="Barlow Semi Condensed" w:eastAsia="Barlow Semi Condensed" w:hAnsi="Barlow Semi Condensed"/>
          <w:sz w:val="24"/>
          <w:szCs w:val="24"/>
        </w:rPr>
        <w:t xml:space="preserve"> AAV; ASD Farnesina. </w:t>
      </w:r>
      <w:r>
        <w:rPr>
          <w:rFonts w:ascii="Barlow Semi Condensed" w:cs="Barlow Semi Condensed" w:eastAsia="Barlow Semi Condensed" w:hAnsi="Barlow Semi Condensed"/>
          <w:i/>
          <w:iCs/>
          <w:sz w:val="24"/>
          <w:szCs w:val="24"/>
        </w:rPr>
        <w:t xml:space="preserve">Rendimento:</w:t>
      </w:r>
      <w:r>
        <w:rPr>
          <w:rFonts w:ascii="Barlow Semi Condensed" w:cs="Barlow Semi Condensed" w:eastAsia="Barlow Semi Condensed" w:hAnsi="Barlow Semi Condensed"/>
          <w:sz w:val="24"/>
          <w:szCs w:val="24"/>
        </w:rPr>
        <w:t xml:space="preserve"> alto, a scadenza ignota.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lo spoglio all'apertura.</w:t>
      </w:r>
    </w:p>
    <w:p>
      <w:pPr>
        <w:spacing w:after="120" w:line="276"/>
        <w:jc w:val="both"/>
      </w:pPr>
      <w:r>
        <w:rPr>
          <w:rFonts w:ascii="Barlow Semi Condensed" w:cs="Barlow Semi Condensed" w:eastAsia="Barlow Semi Condensed" w:hAnsi="Barlow Semi Condensed"/>
          <w:b/>
          <w:bCs/>
          <w:sz w:val="24"/>
          <w:szCs w:val="24"/>
        </w:rPr>
        <w:t xml:space="preserve">P-10 — Il vaglio negativo: le piste da archiviare.</w:t>
      </w:r>
      <w:r>
        <w:rPr>
          <w:rFonts w:ascii="Barlow Semi Condensed" w:cs="Barlow Semi Condensed" w:eastAsia="Barlow Semi Condensed" w:hAnsi="Barlow Semi Condensed"/>
          <w:sz w:val="24"/>
          <w:szCs w:val="24"/>
        </w:rPr>
        <w:t xml:space="preserve"> Un programma investigativo si giudica anche da ciò che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persegue. Il corpus archivia motivatamente: la «seconda prigione» (C senza alcun appiglio istruttorio nuovo); i nessi operativi Hyperion-caso (il cammino documentato è di grado F — genealogia 1969 — e quarant'anni di indagini in due Paesi si sono chiusi con proscioglimenti: la pista si riaprirebbe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per documento primario nuovo, non per rilettura degli stessi atti); ogni pista fondata sulle dichiarazioni non riscontrate di Ağca o su memorialistica di parte non corroborata. </w:t>
      </w:r>
      <w:r>
        <w:rPr>
          <w:rFonts w:ascii="Barlow Semi Condensed" w:cs="Barlow Semi Condensed" w:eastAsia="Barlow Semi Condensed" w:hAnsi="Barlow Semi Condensed"/>
          <w:i/>
          <w:iCs/>
          <w:sz w:val="24"/>
          <w:szCs w:val="24"/>
        </w:rPr>
        <w:t xml:space="preserve">Criterio di riapertura:</w:t>
      </w:r>
      <w:r>
        <w:rPr>
          <w:rFonts w:ascii="Barlow Semi Condensed" w:cs="Barlow Semi Condensed" w:eastAsia="Barlow Semi Condensed" w:hAnsi="Barlow Semi Condensed"/>
          <w:sz w:val="24"/>
          <w:szCs w:val="24"/>
        </w:rPr>
        <w:t xml:space="preserve"> documentale, e dichiarato pista per pista.</w:t>
      </w:r>
    </w:p>
    <w:p>
      <w:pPr>
        <w:pStyle w:val="Heading2"/>
        <w:spacing w:after="100" w:before="200"/>
      </w:pPr>
      <w:r>
        <w:rPr>
          <w:rFonts w:ascii="Barlow Semi Condensed" w:cs="Barlow Semi Condensed" w:eastAsia="Barlow Semi Condensed" w:hAnsi="Barlow Semi Condensed"/>
          <w:sz w:val="24"/>
          <w:szCs w:val="24"/>
        </w:rPr>
        <w:t xml:space="preserve">Capitolo III — La matrice delle priorità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Pista</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Rendimento</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Fattibilità</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Urgenza temporale</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Autorità</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P-1 terze presenze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massimo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 corso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Procura/GIP Roma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P-2 caricatore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 corso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Procura/GIP Roma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P-7 testimoni viventi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alta</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massima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fascicolo/sede storica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P-5 fondo Dir. Renzi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strutturale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ACS</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P-4 fonte di Gradoli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medio-alto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ACS/Min. Interno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P-3 DNA Gradoli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medio-alto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 corso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Procura/GIP Roma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P-8 deposizione Casimirri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unico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bassa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Giustizia/Esteri</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P-6 memoriale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media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bassa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ACS/periti</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P-9 archivi futuri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alto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attesa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AAV/ASD</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P-10 archiviazioni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metodo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lettura operativa: </w:t>
      </w:r>
      <w:r>
        <w:rPr>
          <w:rFonts w:ascii="Barlow Semi Condensed" w:cs="Barlow Semi Condensed" w:eastAsia="Barlow Semi Condensed" w:hAnsi="Barlow Semi Condensed"/>
          <w:b/>
          <w:bCs/>
          <w:sz w:val="24"/>
          <w:szCs w:val="24"/>
        </w:rPr>
        <w:t xml:space="preserve">le prime tre righe si fanno ora</w:t>
      </w:r>
      <w:r>
        <w:rPr>
          <w:rFonts w:ascii="Barlow Semi Condensed" w:cs="Barlow Semi Condensed" w:eastAsia="Barlow Semi Condensed" w:hAnsi="Barlow Semi Condensed"/>
          <w:sz w:val="24"/>
          <w:szCs w:val="24"/>
        </w:rPr>
        <w:t xml:space="preserve"> — due sono già nel fascicolo reale, la terza (i testimoni) è quella che il tempo sta chiudendo da solo.</w:t>
      </w:r>
    </w:p>
    <w:p>
      <w:pPr>
        <w:pStyle w:val="Heading2"/>
        <w:spacing w:after="100" w:before="200"/>
      </w:pPr>
      <w:r>
        <w:rPr>
          <w:rFonts w:ascii="Barlow Semi Condensed" w:cs="Barlow Semi Condensed" w:eastAsia="Barlow Semi Condensed" w:hAnsi="Barlow Semi Condensed"/>
          <w:sz w:val="24"/>
          <w:szCs w:val="24"/>
        </w:rPr>
        <w:t xml:space="preserve">Capitolo III-bis — La graduatoria a punteggio delle piste, escluso il comparto BR e Superclan</w:t>
      </w:r>
    </w:p>
    <w:p>
      <w:pPr>
        <w:spacing w:after="120" w:line="276"/>
        <w:jc w:val="both"/>
      </w:pPr>
      <w:r>
        <w:rPr>
          <w:rFonts w:ascii="Barlow Semi Condensed" w:cs="Barlow Semi Condensed" w:eastAsia="Barlow Semi Condensed" w:hAnsi="Barlow Semi Condensed"/>
          <w:sz w:val="24"/>
          <w:szCs w:val="24"/>
        </w:rPr>
        <w:t xml:space="preserve">Su direttiva dell'autore, il programma è stato </w:t>
      </w:r>
      <w:r>
        <w:rPr>
          <w:rFonts w:ascii="Barlow Semi Condensed" w:cs="Barlow Semi Condensed" w:eastAsia="Barlow Semi Condensed" w:hAnsi="Barlow Semi Condensed"/>
          <w:b/>
          <w:bCs/>
          <w:sz w:val="24"/>
          <w:szCs w:val="24"/>
        </w:rPr>
        <w:t xml:space="preserve">ristretto e messo a punteggio</w:t>
      </w:r>
      <w:r>
        <w:rPr>
          <w:rFonts w:ascii="Barlow Semi Condensed" w:cs="Barlow Semi Condensed" w:eastAsia="Barlow Semi Condensed" w:hAnsi="Barlow Semi Condensed"/>
          <w:sz w:val="24"/>
          <w:szCs w:val="24"/>
        </w:rPr>
        <w:t xml:space="preserve">: si escludono le piste dirette al comparto già giudicato o già archiviato — la rogatoria a Casimirri (persona del registro BR), il ramo delle comparazioni genetiche sulla rosa di ex brigatisti, e ogni riapertura del filone Superclan/Hyperion (già archiviata dal vaglio negativo P-10) — e a ciascuna pista residua si assegna un </w:t>
      </w:r>
      <w:r>
        <w:rPr>
          <w:rFonts w:ascii="Barlow Semi Condensed" w:cs="Barlow Semi Condensed" w:eastAsia="Barlow Semi Condensed" w:hAnsi="Barlow Semi Condensed"/>
          <w:b/>
          <w:bCs/>
          <w:sz w:val="24"/>
          <w:szCs w:val="24"/>
        </w:rPr>
        <w:t xml:space="preserve">punteggio da 0,1 a 100</w:t>
      </w:r>
      <w:r>
        <w:rPr>
          <w:rFonts w:ascii="Barlow Semi Condensed" w:cs="Barlow Semi Condensed" w:eastAsia="Barlow Semi Condensed" w:hAnsi="Barlow Semi Condensed"/>
          <w:sz w:val="24"/>
          <w:szCs w:val="24"/>
        </w:rPr>
        <w:t xml:space="preserve">. Le piste residue sono, per costruzione, quelle che investigano </w:t>
      </w:r>
      <w:r>
        <w:rPr>
          <w:rFonts w:ascii="Barlow Semi Condensed" w:cs="Barlow Semi Condensed" w:eastAsia="Barlow Semi Condensed" w:hAnsi="Barlow Semi Condensed"/>
          <w:b/>
          <w:bCs/>
          <w:sz w:val="24"/>
          <w:szCs w:val="24"/>
        </w:rPr>
        <w:t xml:space="preserve">il non ancora attribuito e l'istituzionale</w:t>
      </w:r>
      <w:r>
        <w:rPr>
          <w:rFonts w:ascii="Barlow Semi Condensed" w:cs="Barlow Semi Condensed" w:eastAsia="Barlow Semi Condensed" w:hAnsi="Barlow Semi Condensed"/>
          <w:sz w:val="24"/>
          <w:szCs w:val="24"/>
        </w:rPr>
        <w:t xml:space="preserve">: gli ignoti di via Fani, le fonti e le omissioni degli apparati, gli archivi.</w:t>
      </w:r>
    </w:p>
    <w:p>
      <w:pPr>
        <w:spacing w:after="120" w:line="276"/>
        <w:jc w:val="both"/>
      </w:pPr>
      <w:r>
        <w:rPr>
          <w:rFonts w:ascii="Barlow Semi Condensed" w:cs="Barlow Semi Condensed" w:eastAsia="Barlow Semi Condensed" w:hAnsi="Barlow Semi Condensed"/>
          <w:b/>
          <w:bCs/>
          <w:sz w:val="24"/>
          <w:szCs w:val="24"/>
        </w:rPr>
        <w:t xml:space="preserve">Il modello, dichiarato per intero perché sia falsificabile.</w:t>
      </w:r>
      <w:r>
        <w:rPr>
          <w:rFonts w:ascii="Barlow Semi Condensed" w:cs="Barlow Semi Condensed" w:eastAsia="Barlow Semi Condensed" w:hAnsi="Barlow Semi Condensed"/>
          <w:sz w:val="24"/>
          <w:szCs w:val="24"/>
        </w:rPr>
        <w:t xml:space="preserve"> Punteggio = somma pesata di cinque criteri, ciascuno valutato 0-10 e motivato: </w:t>
      </w:r>
      <w:r>
        <w:rPr>
          <w:rFonts w:ascii="Barlow Semi Condensed" w:cs="Barlow Semi Condensed" w:eastAsia="Barlow Semi Condensed" w:hAnsi="Barlow Semi Condensed"/>
          <w:b/>
          <w:bCs/>
          <w:sz w:val="24"/>
          <w:szCs w:val="24"/>
        </w:rPr>
        <w:t xml:space="preserve">R</w:t>
      </w:r>
      <w:r>
        <w:rPr>
          <w:rFonts w:ascii="Barlow Semi Condensed" w:cs="Barlow Semi Condensed" w:eastAsia="Barlow Semi Condensed" w:hAnsi="Barlow Semi Condensed"/>
          <w:sz w:val="24"/>
          <w:szCs w:val="24"/>
        </w:rPr>
        <w:t xml:space="preserve"> rendimento atteso (quanto la risposta sposterebbe la linea del sapere; peso 30%), </w:t>
      </w:r>
      <w:r>
        <w:rPr>
          <w:rFonts w:ascii="Barlow Semi Condensed" w:cs="Barlow Semi Condensed" w:eastAsia="Barlow Semi Condensed" w:hAnsi="Barlow Semi Condensed"/>
          <w:b/>
          <w:bCs/>
          <w:sz w:val="24"/>
          <w:szCs w:val="24"/>
        </w:rPr>
        <w:t xml:space="preserve">D</w:t>
      </w:r>
      <w:r>
        <w:rPr>
          <w:rFonts w:ascii="Barlow Semi Condensed" w:cs="Barlow Semi Condensed" w:eastAsia="Barlow Semi Condensed" w:hAnsi="Barlow Semi Condensed"/>
          <w:sz w:val="24"/>
          <w:szCs w:val="24"/>
        </w:rPr>
        <w:t xml:space="preserve"> diagnosticità (se l'atto discrimina le ipotesi delle matrici ACH; 25%),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fattibilità attuale (autorità esistente, reperti disponibili; 20%), </w:t>
      </w:r>
      <w:r>
        <w:rPr>
          <w:rFonts w:ascii="Barlow Semi Condensed" w:cs="Barlow Semi Condensed" w:eastAsia="Barlow Semi Condensed" w:hAnsi="Barlow Semi Condensed"/>
          <w:b/>
          <w:bCs/>
          <w:sz w:val="24"/>
          <w:szCs w:val="24"/>
        </w:rPr>
        <w:t xml:space="preserve">U</w:t>
      </w:r>
      <w:r>
        <w:rPr>
          <w:rFonts w:ascii="Barlow Semi Condensed" w:cs="Barlow Semi Condensed" w:eastAsia="Barlow Semi Condensed" w:hAnsi="Barlow Semi Condensed"/>
          <w:sz w:val="24"/>
          <w:szCs w:val="24"/>
        </w:rPr>
        <w:t xml:space="preserve"> urgenza temporale (deperibilità; 15%), </w:t>
      </w:r>
      <w:r>
        <w:rPr>
          <w:rFonts w:ascii="Barlow Semi Condensed" w:cs="Barlow Semi Condensed" w:eastAsia="Barlow Semi Condensed" w:hAnsi="Barlow Semi Condensed"/>
          <w:b/>
          <w:bCs/>
          <w:sz w:val="24"/>
          <w:szCs w:val="24"/>
        </w:rPr>
        <w:t xml:space="preserve">I</w:t>
      </w:r>
      <w:r>
        <w:rPr>
          <w:rFonts w:ascii="Barlow Semi Condensed" w:cs="Barlow Semi Condensed" w:eastAsia="Barlow Semi Condensed" w:hAnsi="Barlow Semi Condensed"/>
          <w:sz w:val="24"/>
          <w:szCs w:val="24"/>
        </w:rPr>
        <w:t xml:space="preserve"> indipendenza dal comparto escluso (quanto l'esito resta fuori da BR/Superclan; 10%). Chi contesti un punteggio deve contestare un sotto-giudizio o un peso: il modello è costruito per essere attaccabile pezzo per pezzo.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Pista (non-BR, non-Superclan)</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U</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w:t>
            </w:r>
          </w:p>
        </w:tc>
        <w:tc>
          <w:tcPr>
            <w:tcW w:type="dxa" w:w="1337"/>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Punteggio</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PN-1 · Le terze presenze non attribuite di via Fani</w:t>
            </w:r>
            <w:r>
              <w:rPr>
                <w:rFonts w:ascii="Barlow Semi Condensed" w:cs="Barlow Semi Condensed" w:eastAsia="Barlow Semi Condensed" w:hAnsi="Barlow Semi Condensed"/>
                <w:sz w:val="20"/>
                <w:szCs w:val="20"/>
              </w:rPr>
              <w:t xml:space="preserve"> (l'ignoto della Honda; perizia balistica)</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10</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10</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6</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89,0</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PN-7 · I testimoni viventi</w:t>
            </w:r>
            <w:r>
              <w:rPr>
                <w:rFonts w:ascii="Barlow Semi Condensed" w:cs="Barlow Semi Condensed" w:eastAsia="Barlow Semi Condensed" w:hAnsi="Barlow Semi Condensed"/>
                <w:sz w:val="20"/>
                <w:szCs w:val="20"/>
              </w:rPr>
              <w:t xml:space="preserve"> (raccolta conservativa)</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7</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7</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10</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77,5</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PN-4 · La fonte della segnalazione «Gradoli»</w:t>
            </w:r>
            <w:r>
              <w:rPr>
                <w:rFonts w:ascii="Barlow Semi Condensed" w:cs="Barlow Semi Condensed" w:eastAsia="Barlow Semi Condensed" w:hAnsi="Barlow Semi Condensed"/>
                <w:sz w:val="20"/>
                <w:szCs w:val="20"/>
              </w:rPr>
              <w:t xml:space="preserve"> (la catena informativa reale)</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6</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4</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10</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PN-2 · Il caricatore di via Stresa</w:t>
            </w:r>
            <w:r>
              <w:rPr>
                <w:rFonts w:ascii="Barlow Semi Condensed" w:cs="Barlow Semi Condensed" w:eastAsia="Barlow Semi Condensed" w:hAnsi="Barlow Semi Condensed"/>
                <w:sz w:val="20"/>
                <w:szCs w:val="20"/>
              </w:rPr>
              <w:t xml:space="preserve"> (il ramo dell'ignoto)</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6</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71,0</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PN-5 · Fondo Direttiva Renzi: le omissioni istituzionali</w:t>
            </w:r>
            <w:r>
              <w:rPr>
                <w:rFonts w:ascii="Barlow Semi Condensed" w:cs="Barlow Semi Condensed" w:eastAsia="Barlow Semi Condensed" w:hAnsi="Barlow Semi Condensed"/>
                <w:sz w:val="20"/>
                <w:szCs w:val="20"/>
              </w:rPr>
              <w:t xml:space="preserve"> (comitati di crisi, il 18 aprile, le mancate perquisizioni)</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4</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PN-3 · I profili DNA non identificati</w:t>
            </w:r>
            <w:r>
              <w:rPr>
                <w:rFonts w:ascii="Barlow Semi Condensed" w:cs="Barlow Semi Condensed" w:eastAsia="Barlow Semi Condensed" w:hAnsi="Barlow Semi Condensed"/>
                <w:sz w:val="20"/>
                <w:szCs w:val="20"/>
              </w:rPr>
              <w:t xml:space="preserve"> (auto-sbarramento e Gradoli: il residuo dopo le esclusioni)</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7</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6</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7</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PN-8 · Gli archivi futuri</w:t>
            </w:r>
            <w:r>
              <w:rPr>
                <w:rFonts w:ascii="Barlow Semi Condensed" w:cs="Barlow Semi Condensed" w:eastAsia="Barlow Semi Condensed" w:hAnsi="Barlow Semi Condensed"/>
                <w:sz w:val="20"/>
                <w:szCs w:val="20"/>
              </w:rPr>
              <w:t xml:space="preserve"> (AAV per Paolo VI; ASD serie 1978)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2</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2</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9</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52,5</w:t>
            </w:r>
          </w:p>
        </w:tc>
      </w:tr>
      <w:tr>
        <w:tc>
          <w:tcPr>
            <w:tcW w:type="dxa" w:w="1337"/>
          </w:tcPr>
          <w:p>
            <w:pPr>
              <w:spacing w:after="20" w:before="20"/>
              <w:jc w:val="both"/>
            </w:pPr>
            <w:r>
              <w:rPr>
                <w:rFonts w:ascii="Barlow Semi Condensed" w:cs="Barlow Semi Condensed" w:eastAsia="Barlow Semi Condensed" w:hAnsi="Barlow Semi Condensed"/>
                <w:b/>
                <w:bCs/>
                <w:sz w:val="20"/>
                <w:szCs w:val="20"/>
              </w:rPr>
              <w:t xml:space="preserve">PN-6 · La sorte del memoriale fra il 1978 e il 1990</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6</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4</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5</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3</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8</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50,5</w:t>
            </w:r>
          </w:p>
        </w:tc>
      </w:tr>
      <w:tr>
        <w:tc>
          <w:tcPr>
            <w:tcW w:type="dxa" w:w="1337"/>
          </w:tcPr>
          <w:p>
            <w:pPr>
              <w:spacing w:after="20" w:before="20"/>
              <w:jc w:val="both"/>
            </w:pPr>
            <w:r>
              <w:rPr>
                <w:rFonts w:ascii="Barlow Semi Condensed" w:cs="Barlow Semi Condensed" w:eastAsia="Barlow Semi Condensed" w:hAnsi="Barlow Semi Condensed"/>
                <w:i/>
                <w:iCs/>
                <w:sz w:val="20"/>
                <w:szCs w:val="20"/>
              </w:rPr>
              <w:t xml:space="preserve">Escluse per direttiva</w:t>
            </w:r>
            <w:r>
              <w:rPr>
                <w:rFonts w:ascii="Barlow Semi Condensed" w:cs="Barlow Semi Condensed" w:eastAsia="Barlow Semi Condensed" w:hAnsi="Barlow Semi Condensed"/>
                <w:sz w:val="20"/>
                <w:szCs w:val="20"/>
              </w:rPr>
              <w:t xml:space="preserve"> — rogatoria Casimirri; comparazioni su rosa ex-BR; riapertura Superclan/Hyperion</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w:t>
            </w:r>
          </w:p>
        </w:tc>
        <w:tc>
          <w:tcPr>
            <w:tcW w:type="dxa" w:w="1337"/>
          </w:tcPr>
          <w:p>
            <w:pPr>
              <w:spacing w:after="20" w:before="20"/>
              <w:jc w:val="both"/>
            </w:pPr>
            <w:r>
              <w:rPr>
                <w:rFonts w:ascii="Barlow Semi Condensed" w:cs="Barlow Semi Condensed" w:eastAsia="Barlow Semi Condensed" w:hAnsi="Barlow Semi Condensed"/>
                <w:sz w:val="20"/>
                <w:szCs w:val="20"/>
              </w:rPr>
              <w:t xml:space="preserve">—</w:t>
            </w:r>
          </w:p>
        </w:tc>
        <w:tc>
          <w:tcPr>
            <w:tcW w:type="dxa" w:w="1337"/>
          </w:tcPr>
          <w:p>
            <w:pPr>
              <w:spacing w:after="20" w:before="20"/>
              <w:jc w:val="both"/>
            </w:pPr>
            <w:r>
              <w:rPr>
                <w:rFonts w:ascii="Barlow Semi Condensed" w:cs="Barlow Semi Condensed" w:eastAsia="Barlow Semi Condensed" w:hAnsi="Barlow Semi Condensed"/>
                <w:b/>
                <w:bCs/>
                <w:sz w:val="20"/>
                <w:szCs w:val="20"/>
              </w:rPr>
              <w:t xml:space="preserve">0,1</w:t>
            </w:r>
            <w:r>
              <w:rPr>
                <w:rFonts w:ascii="Barlow Semi Condensed" w:cs="Barlow Semi Condensed" w:eastAsia="Barlow Semi Condensed" w:hAnsi="Barlow Semi Condensed"/>
                <w:sz w:val="20"/>
                <w:szCs w:val="20"/>
              </w:rPr>
              <w:t xml:space="preserve"> (soglia: riapribili solo per documento primario nuovo)</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Le motivazioni dei giudizi estremi</w:t>
      </w:r>
      <w:r>
        <w:rPr>
          <w:rFonts w:ascii="Barlow Semi Condensed" w:cs="Barlow Semi Condensed" w:eastAsia="Barlow Semi Condensed" w:hAnsi="Barlow Semi Condensed"/>
          <w:sz w:val="24"/>
          <w:szCs w:val="24"/>
        </w:rPr>
        <w:t xml:space="preserve">, perché il modello si legga e si possa smontare. PN-1 prende il massimo su R e D perché è l'evidenza che decide la matrice ACH delle due moto ed è già in perizia nel fascicolo aperto: nessun'altra pista può spostare altrettanto. PN-7 prende 10 su U — unico della tavola — perché è l'unica pista che il tempo chiude da solo: ogni anno senza raccolta conservativa è perdita irreversibile. PN-4 prende 10 su I perché il suo esito è per costruzione interamente istituzionale: chiunque risulti nella catena informativa, non è materia del comparto escluso. PN-2 prende solo 5 su I perché il suo quesito è binario e uno dei due rami rientra nel giudicato (se il caricatore è di Morucci, la pista chiude verso il comparto escluso — il che è comunque un risultato). PN-8 prende 2 su F perché nessuna istanza può aprire oggi un archivio chiuso: il punteggio basso non è demerito della pista ma misura della sua attesa. E il </w:t>
      </w:r>
      <w:r>
        <w:rPr>
          <w:rFonts w:ascii="Barlow Semi Condensed" w:cs="Barlow Semi Condensed" w:eastAsia="Barlow Semi Condensed" w:hAnsi="Barlow Semi Condensed"/>
          <w:b/>
          <w:bCs/>
          <w:sz w:val="24"/>
          <w:szCs w:val="24"/>
        </w:rPr>
        <w:t xml:space="preserve">punteggio di soglia 0,1</w:t>
      </w:r>
      <w:r>
        <w:rPr>
          <w:rFonts w:ascii="Barlow Semi Condensed" w:cs="Barlow Semi Condensed" w:eastAsia="Barlow Semi Condensed" w:hAnsi="Barlow Semi Condensed"/>
          <w:sz w:val="24"/>
          <w:szCs w:val="24"/>
        </w:rPr>
        <w:t xml:space="preserve"> delle escluse non è uno sberleffo: è la formalizzazione del criterio di riapertura — non zero, perché un documento primario nuovo le riporterebbe in tavola; 0,1, perché fino a quel documento nessun atto è giustificato.</w:t>
      </w:r>
    </w:p>
    <w:p>
      <w:pPr>
        <w:spacing w:after="120" w:line="276"/>
        <w:jc w:val="both"/>
      </w:pPr>
      <w:r>
        <w:rPr>
          <w:rFonts w:ascii="Barlow Semi Condensed" w:cs="Barlow Semi Condensed" w:eastAsia="Barlow Semi Condensed" w:hAnsi="Barlow Semi Condensed"/>
          <w:b/>
          <w:bCs/>
          <w:sz w:val="24"/>
          <w:szCs w:val="24"/>
        </w:rPr>
        <w:t xml:space="preserve">Che cosa dice la graduatoria, letta tutta insieme.</w:t>
      </w:r>
      <w:r>
        <w:rPr>
          <w:rFonts w:ascii="Barlow Semi Condensed" w:cs="Barlow Semi Condensed" w:eastAsia="Barlow Semi Condensed" w:hAnsi="Barlow Semi Condensed"/>
          <w:sz w:val="24"/>
          <w:szCs w:val="24"/>
        </w:rPr>
        <w:t xml:space="preserve"> Le prime quattro piste (89,0 → 71,0) condividono una proprietà: sono tutte </w:t>
      </w:r>
      <w:r>
        <w:rPr>
          <w:rFonts w:ascii="Barlow Semi Condensed" w:cs="Barlow Semi Condensed" w:eastAsia="Barlow Semi Condensed" w:hAnsi="Barlow Semi Condensed"/>
          <w:b/>
          <w:bCs/>
          <w:sz w:val="24"/>
          <w:szCs w:val="24"/>
        </w:rPr>
        <w:t xml:space="preserve">verificabili con un atto singolo e datato</w:t>
      </w:r>
      <w:r>
        <w:rPr>
          <w:rFonts w:ascii="Barlow Semi Condensed" w:cs="Barlow Semi Condensed" w:eastAsia="Barlow Semi Condensed" w:hAnsi="Barlow Semi Condensed"/>
          <w:sz w:val="24"/>
          <w:szCs w:val="24"/>
        </w:rPr>
        <w:t xml:space="preserve"> — una perizia, un'escussione, un fascicolo d'archivio, un reperto. Le ultime (52,5 → 50,5) dipendono da aperture altrui o da perizie comparative lunghe. Il programma non-BR, in altre parole, non è un orizzonte vago: </w:t>
      </w:r>
      <w:r>
        <w:rPr>
          <w:rFonts w:ascii="Barlow Semi Condensed" w:cs="Barlow Semi Condensed" w:eastAsia="Barlow Semi Condensed" w:hAnsi="Barlow Semi Condensed"/>
          <w:b/>
          <w:bCs/>
          <w:sz w:val="24"/>
          <w:szCs w:val="24"/>
        </w:rPr>
        <w:t xml:space="preserve">i suoi primi quattro atti si possono compiere adesso</w:t>
      </w:r>
      <w:r>
        <w:rPr>
          <w:rFonts w:ascii="Barlow Semi Condensed" w:cs="Barlow Semi Condensed" w:eastAsia="Barlow Semi Condensed" w:hAnsi="Barlow Semi Condensed"/>
          <w:sz w:val="24"/>
          <w:szCs w:val="24"/>
        </w:rPr>
        <w:t xml:space="preserve">, e due sono già in corso nel fascicolo romano. Il punteggio è servito a questo: a trasformare un elenco in un ordine di esecuzione.</w:t>
      </w:r>
    </w:p>
    <w:p>
      <w:pPr>
        <w:pStyle w:val="Heading2"/>
        <w:spacing w:after="100" w:before="200"/>
      </w:pPr>
      <w:r>
        <w:rPr>
          <w:rFonts w:ascii="Barlow Semi Condensed" w:cs="Barlow Semi Condensed" w:eastAsia="Barlow Semi Condensed" w:hAnsi="Barlow Semi Condensed"/>
          <w:sz w:val="24"/>
          <w:szCs w:val="24"/>
        </w:rPr>
        <w:t xml:space="preserve">Capitolo III-ter — Le piste su entità e strutture (escluse BR e Superclan), con punteggio</w:t>
      </w:r>
    </w:p>
    <w:p>
      <w:pPr>
        <w:spacing w:after="120" w:line="276"/>
        <w:jc w:val="both"/>
      </w:pPr>
      <w:r>
        <w:rPr>
          <w:rFonts w:ascii="Barlow Semi Condensed" w:cs="Barlow Semi Condensed" w:eastAsia="Barlow Semi Condensed" w:hAnsi="Barlow Semi Condensed"/>
          <w:sz w:val="24"/>
          <w:szCs w:val="24"/>
        </w:rPr>
        <w:t xml:space="preserve">Su direttiva dell'autore, il programma si estende alle </w:t>
      </w:r>
      <w:r>
        <w:rPr>
          <w:rFonts w:ascii="Barlow Semi Condensed" w:cs="Barlow Semi Condensed" w:eastAsia="Barlow Semi Condensed" w:hAnsi="Barlow Semi Condensed"/>
          <w:b/>
          <w:bCs/>
          <w:sz w:val="24"/>
          <w:szCs w:val="24"/>
        </w:rPr>
        <w:t xml:space="preserve">entità e strutture</w:t>
      </w:r>
      <w:r>
        <w:rPr>
          <w:rFonts w:ascii="Barlow Semi Condensed" w:cs="Barlow Semi Condensed" w:eastAsia="Barlow Semi Condensed" w:hAnsi="Barlow Semi Condensed"/>
          <w:sz w:val="24"/>
          <w:szCs w:val="24"/>
        </w:rPr>
        <w:t xml:space="preserve"> — con la stessa esclusione (BR e Superclan restano fuori, al punteggio di soglia 0,1) e con lo stesso modello di punteggio del capitolo III-bis. Prima la regola, che qui pesa più che altrove: </w:t>
      </w:r>
      <w:r>
        <w:rPr>
          <w:rFonts w:ascii="Barlow Semi Condensed" w:cs="Barlow Semi Condensed" w:eastAsia="Barlow Semi Condensed" w:hAnsi="Barlow Semi Condensed"/>
          <w:b/>
          <w:bCs/>
          <w:sz w:val="24"/>
          <w:szCs w:val="24"/>
        </w:rPr>
        <w:t xml:space="preserve">un'entità si indaga per i suoi atti e le sue omissioni documentati, mai come colpevole</w:t>
      </w:r>
      <w:r>
        <w:rPr>
          <w:rFonts w:ascii="Barlow Semi Condensed" w:cs="Barlow Semi Condensed" w:eastAsia="Barlow Semi Condensed" w:hAnsi="Barlow Semi Condensed"/>
          <w:sz w:val="24"/>
          <w:szCs w:val="24"/>
        </w:rPr>
        <w:t xml:space="preserve">; la responsabilità istituzionale non si trasmette alle persone che ne fecero parte; le appartenenze individuali (a cominciare da quelle alla loggia P2) sono </w:t>
      </w:r>
      <w:r>
        <w:rPr>
          <w:rFonts w:ascii="Barlow Semi Condensed" w:cs="Barlow Semi Condensed" w:eastAsia="Barlow Semi Condensed" w:hAnsi="Barlow Semi Condensed"/>
          <w:b/>
          <w:bCs/>
          <w:sz w:val="24"/>
          <w:szCs w:val="24"/>
        </w:rPr>
        <w:t xml:space="preserve">fatti documentati dove le commissioni li hanno accertati</w:t>
      </w:r>
      <w:r>
        <w:rPr>
          <w:rFonts w:ascii="Barlow Semi Condensed" w:cs="Barlow Semi Condensed" w:eastAsia="Barlow Semi Condensed" w:hAnsi="Barlow Semi Condensed"/>
          <w:sz w:val="24"/>
          <w:szCs w:val="24"/>
        </w:rPr>
        <w:t xml:space="preserve"> e restano fatti — non diventano condotte nel caso; e ogni quesito resta in forma ACH, con l'atto documentale come unica via d'uscita. Ogni fondamento di questo capitolo è stato verificato su fonti prima della stesura.</w:t>
      </w:r>
    </w:p>
    <w:p>
      <w:pPr>
        <w:spacing w:after="120" w:line="276"/>
        <w:jc w:val="both"/>
      </w:pPr>
      <w:r>
        <w:rPr>
          <w:rFonts w:ascii="Barlow Semi Condensed" w:cs="Barlow Semi Condensed" w:eastAsia="Barlow Semi Condensed" w:hAnsi="Barlow Semi Condensed"/>
          <w:b/>
          <w:bCs/>
          <w:sz w:val="24"/>
          <w:szCs w:val="24"/>
        </w:rPr>
        <w:t xml:space="preserve">PE-1 — Il comitato del Viminale e le appartenenze P2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74,5 · R8 D8 F8 U3 I10)</w:t>
      </w:r>
      <w:r>
        <w:rPr>
          <w:rFonts w:ascii="Barlow Semi Condensed" w:cs="Barlow Semi Condensed" w:eastAsia="Barlow Semi Condensed" w:hAnsi="Barlow Semi Condensed"/>
          <w:sz w:val="24"/>
          <w:szCs w:val="24"/>
        </w:rPr>
        <w:t xml:space="preserve">. Fondamento verificato: il </w:t>
      </w:r>
      <w:r>
        <w:rPr>
          <w:rFonts w:ascii="Barlow Semi Condensed" w:cs="Barlow Semi Condensed" w:eastAsia="Barlow Semi Condensed" w:hAnsi="Barlow Semi Condensed"/>
          <w:b/>
          <w:bCs/>
          <w:sz w:val="24"/>
          <w:szCs w:val="24"/>
        </w:rPr>
        <w:t xml:space="preserve">16 marzo 1978</w:t>
      </w:r>
      <w:r>
        <w:rPr>
          <w:rFonts w:ascii="Barlow Semi Condensed" w:cs="Barlow Semi Condensed" w:eastAsia="Barlow Semi Condensed" w:hAnsi="Barlow Semi Condensed"/>
          <w:sz w:val="24"/>
          <w:szCs w:val="24"/>
        </w:rPr>
        <w:t xml:space="preserve"> il ministro dell'Interno Cossiga istituì e presiedette al Viminale il </w:t>
      </w:r>
      <w:r>
        <w:rPr>
          <w:rFonts w:ascii="Barlow Semi Condensed" w:cs="Barlow Semi Condensed" w:eastAsia="Barlow Semi Condensed" w:hAnsi="Barlow Semi Condensed"/>
          <w:b/>
          <w:bCs/>
          <w:sz w:val="24"/>
          <w:szCs w:val="24"/>
        </w:rPr>
        <w:t xml:space="preserve">comitato politico-tecnico-operativo</w:t>
      </w:r>
      <w:r>
        <w:rPr>
          <w:rFonts w:ascii="Barlow Semi Condensed" w:cs="Barlow Semi Condensed" w:eastAsia="Barlow Semi Condensed" w:hAnsi="Barlow Semi Condensed"/>
          <w:sz w:val="24"/>
          <w:szCs w:val="24"/>
        </w:rPr>
        <w:t xml:space="preserve"> per il coordinamento delle ricerche; la composizione del comitato tecnico-operativo è documentata (Lettieri, Parlato, </w:t>
      </w:r>
      <w:r>
        <w:rPr>
          <w:rFonts w:ascii="Barlow Semi Condensed" w:cs="Barlow Semi Condensed" w:eastAsia="Barlow Semi Condensed" w:hAnsi="Barlow Semi Condensed"/>
          <w:b/>
          <w:bCs/>
          <w:sz w:val="24"/>
          <w:szCs w:val="24"/>
        </w:rPr>
        <w:t xml:space="preserve">Grassini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Santovito</w:t>
      </w:r>
      <w:r>
        <w:rPr>
          <w:rFonts w:ascii="Barlow Semi Condensed" w:cs="Barlow Semi Condensed" w:eastAsia="Barlow Semi Condensed" w:hAnsi="Barlow Semi Condensed"/>
          <w:sz w:val="24"/>
          <w:szCs w:val="24"/>
        </w:rPr>
        <w:t xml:space="preserve">, poi Pelosi, Corsini, Ferrara, De Sena, De Francesco); il generale </w:t>
      </w:r>
      <w:r>
        <w:rPr>
          <w:rFonts w:ascii="Barlow Semi Condensed" w:cs="Barlow Semi Condensed" w:eastAsia="Barlow Semi Condensed" w:hAnsi="Barlow Semi Condensed"/>
          <w:b/>
          <w:bCs/>
          <w:sz w:val="24"/>
          <w:szCs w:val="24"/>
        </w:rPr>
        <w:t xml:space="preserve">Giuseppe Santovito</w:t>
      </w:r>
      <w:r>
        <w:rPr>
          <w:rFonts w:ascii="Barlow Semi Condensed" w:cs="Barlow Semi Condensed" w:eastAsia="Barlow Semi Condensed" w:hAnsi="Barlow Semi Condensed"/>
          <w:sz w:val="24"/>
          <w:szCs w:val="24"/>
        </w:rPr>
        <w:t xml:space="preserve"> (SISMI) risulta negli elenchi P2 con </w:t>
      </w:r>
      <w:r>
        <w:rPr>
          <w:rFonts w:ascii="Barlow Semi Condensed" w:cs="Barlow Semi Condensed" w:eastAsia="Barlow Semi Condensed" w:hAnsi="Barlow Semi Condensed"/>
          <w:b/>
          <w:bCs/>
          <w:sz w:val="24"/>
          <w:szCs w:val="24"/>
        </w:rPr>
        <w:t xml:space="preserve">tessera 1630</w:t>
      </w:r>
      <w:r>
        <w:rPr>
          <w:rFonts w:ascii="Barlow Semi Condensed" w:cs="Barlow Semi Condensed" w:eastAsia="Barlow Semi Condensed" w:hAnsi="Barlow Semi Condensed"/>
          <w:sz w:val="24"/>
          <w:szCs w:val="24"/>
        </w:rPr>
        <w:t xml:space="preserve">, e il generale </w:t>
      </w:r>
      <w:r>
        <w:rPr>
          <w:rFonts w:ascii="Barlow Semi Condensed" w:cs="Barlow Semi Condensed" w:eastAsia="Barlow Semi Condensed" w:hAnsi="Barlow Semi Condensed"/>
          <w:b/>
          <w:bCs/>
          <w:sz w:val="24"/>
          <w:szCs w:val="24"/>
        </w:rPr>
        <w:t xml:space="preserve">Giulio Grassini</w:t>
      </w:r>
      <w:r>
        <w:rPr>
          <w:rFonts w:ascii="Barlow Semi Condensed" w:cs="Barlow Semi Condensed" w:eastAsia="Barlow Semi Condensed" w:hAnsi="Barlow Semi Condensed"/>
          <w:sz w:val="24"/>
          <w:szCs w:val="24"/>
        </w:rPr>
        <w:t xml:space="preserve"> (SISDE) parimenti negli elenchi; la Commissione Anselmi accertò inoltre la </w:t>
      </w:r>
      <w:r>
        <w:rPr>
          <w:rFonts w:ascii="Barlow Semi Condensed" w:cs="Barlow Semi Condensed" w:eastAsia="Barlow Semi Condensed" w:hAnsi="Barlow Semi Condensed"/>
          <w:b/>
          <w:bCs/>
          <w:sz w:val="24"/>
          <w:szCs w:val="24"/>
        </w:rPr>
        <w:t xml:space="preserve">concentrazione di fatto delle indagini al Viminale</w:t>
      </w:r>
      <w:r>
        <w:rPr>
          <w:rFonts w:ascii="Barlow Semi Condensed" w:cs="Barlow Semi Condensed" w:eastAsia="Barlow Semi Condensed" w:hAnsi="Barlow Semi Condensed"/>
          <w:sz w:val="24"/>
          <w:szCs w:val="24"/>
        </w:rPr>
        <w:t xml:space="preserve">, con menomazione dell'autonomia dell'autorità giudiziaria (grado B) (studio su fondi ministeriali, memoria.cultura.gov.it (https://memoria.cultura.gov.it/documents/37629/88652/Il+senso+dello+Stato+nel+caso+Moro.pdf/2aa0ece5-3c0e-1d63-c4e8-8769062b5cf3); ANSA (https://www.ansa.it/sito/notizie/speciali/2018/03/12/moro-le-carte-della-commissione-presto-ai-pm_cfadce04-ac8f-4c28-b7f5-2cd249804b76.html)). Circola da decenni la tesi più forte — i comitati «interamente composti» da iscritti — che è precisamente </w:t>
      </w:r>
      <w:r>
        <w:rPr>
          <w:rFonts w:ascii="Barlow Semi Condensed" w:cs="Barlow Semi Condensed" w:eastAsia="Barlow Semi Condensed" w:hAnsi="Barlow Semi Condensed"/>
          <w:b/>
          <w:bCs/>
          <w:sz w:val="24"/>
          <w:szCs w:val="24"/>
        </w:rPr>
        <w:t xml:space="preserve">ciò che la pista deve verificare invece di ripetere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censimento nominativo documentale completo — l'incrocio fra gli elenchi di Castiglion Fibocchi e la composizione di </w:t>
      </w:r>
      <w:r>
        <w:rPr>
          <w:rFonts w:ascii="Barlow Semi Condensed" w:cs="Barlow Semi Condensed" w:eastAsia="Barlow Semi Condensed" w:hAnsi="Barlow Semi Condensed"/>
          <w:i/>
          <w:iCs/>
          <w:sz w:val="24"/>
          <w:szCs w:val="24"/>
        </w:rPr>
        <w:t xml:space="preserve">tutti</w:t>
      </w:r>
      <w:r>
        <w:rPr>
          <w:rFonts w:ascii="Barlow Semi Condensed" w:cs="Barlow Semi Condensed" w:eastAsia="Barlow Semi Condensed" w:hAnsi="Barlow Semi Condensed"/>
          <w:sz w:val="24"/>
          <w:szCs w:val="24"/>
        </w:rPr>
        <w:t xml:space="preserve"> i comitati e sottocomitati dei 55 giorni — sugli atti Anselmi e sul fondo Direttiva Renzi.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tavola nominale completa, qualunque percentuale ne risulti; con la regola scolpita che l'iscrizione accertata di un membro è un fatto (F/B) e </w:t>
      </w:r>
      <w:r>
        <w:rPr>
          <w:rFonts w:ascii="Barlow Semi Condensed" w:cs="Barlow Semi Condensed" w:eastAsia="Barlow Semi Condensed" w:hAnsi="Barlow Semi Condensed"/>
          <w:b/>
          <w:bCs/>
          <w:sz w:val="24"/>
          <w:szCs w:val="24"/>
        </w:rPr>
        <w:t xml:space="preserve">non è la prova di alcuna condotta nel caso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PE-3 — La catena di comando del 18 marzo a via Gradoli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74,5 · R9 D8 F7 U3 I9)</w:t>
      </w:r>
      <w:r>
        <w:rPr>
          <w:rFonts w:ascii="Barlow Semi Condensed" w:cs="Barlow Semi Condensed" w:eastAsia="Barlow Semi Condensed" w:hAnsi="Barlow Semi Condensed"/>
          <w:sz w:val="24"/>
          <w:szCs w:val="24"/>
        </w:rPr>
        <w:t xml:space="preserve">. Fondamento verificato: il </w:t>
      </w:r>
      <w:r>
        <w:rPr>
          <w:rFonts w:ascii="Barlow Semi Condensed" w:cs="Barlow Semi Condensed" w:eastAsia="Barlow Semi Condensed" w:hAnsi="Barlow Semi Condensed"/>
          <w:b/>
          <w:bCs/>
          <w:sz w:val="24"/>
          <w:szCs w:val="24"/>
        </w:rPr>
        <w:t xml:space="preserve">18 marzo 1978</w:t>
      </w:r>
      <w:r>
        <w:rPr>
          <w:rFonts w:ascii="Barlow Semi Condensed" w:cs="Barlow Semi Condensed" w:eastAsia="Barlow Semi Condensed" w:hAnsi="Barlow Semi Condensed"/>
          <w:sz w:val="24"/>
          <w:szCs w:val="24"/>
        </w:rPr>
        <w:t xml:space="preserve"> una squadra del commissariato Flaminio Nuovo, guidata dal brigadiere </w:t>
      </w:r>
      <w:r>
        <w:rPr>
          <w:rFonts w:ascii="Barlow Semi Condensed" w:cs="Barlow Semi Condensed" w:eastAsia="Barlow Semi Condensed" w:hAnsi="Barlow Semi Condensed"/>
          <w:b/>
          <w:bCs/>
          <w:sz w:val="24"/>
          <w:szCs w:val="24"/>
        </w:rPr>
        <w:t xml:space="preserve">Domenico Merola</w:t>
      </w:r>
      <w:r>
        <w:rPr>
          <w:rFonts w:ascii="Barlow Semi Condensed" w:cs="Barlow Semi Condensed" w:eastAsia="Barlow Semi Condensed" w:hAnsi="Barlow Semi Condensed"/>
          <w:sz w:val="24"/>
          <w:szCs w:val="24"/>
        </w:rPr>
        <w:t xml:space="preserve">, effettuò controlli nello stabile di via Gradoli 96; all'</w:t>
      </w:r>
      <w:r>
        <w:rPr>
          <w:rFonts w:ascii="Barlow Semi Condensed" w:cs="Barlow Semi Condensed" w:eastAsia="Barlow Semi Condensed" w:hAnsi="Barlow Semi Condensed"/>
          <w:b/>
          <w:bCs/>
          <w:sz w:val="24"/>
          <w:szCs w:val="24"/>
        </w:rPr>
        <w:t xml:space="preserve">interno 11</w:t>
      </w:r>
      <w:r>
        <w:rPr>
          <w:rFonts w:ascii="Barlow Semi Condensed" w:cs="Barlow Semi Condensed" w:eastAsia="Barlow Semi Condensed" w:hAnsi="Barlow Semi Condensed"/>
          <w:sz w:val="24"/>
          <w:szCs w:val="24"/>
        </w:rPr>
        <w:t xml:space="preserve"> — il covo — </w:t>
      </w:r>
      <w:r>
        <w:rPr>
          <w:rFonts w:ascii="Barlow Semi Condensed" w:cs="Barlow Semi Condensed" w:eastAsia="Barlow Semi Condensed" w:hAnsi="Barlow Semi Condensed"/>
          <w:b/>
          <w:bCs/>
          <w:sz w:val="24"/>
          <w:szCs w:val="24"/>
        </w:rPr>
        <w:t xml:space="preserve">nessuno rispose al campanello e la squadra non entrò</w:t>
      </w:r>
      <w:r>
        <w:rPr>
          <w:rFonts w:ascii="Barlow Semi Condensed" w:cs="Barlow Semi Condensed" w:eastAsia="Barlow Semi Condensed" w:hAnsi="Barlow Semi Condensed"/>
          <w:sz w:val="24"/>
          <w:szCs w:val="24"/>
        </w:rPr>
        <w:t xml:space="preserve">; un'informatrice della polizia, </w:t>
      </w:r>
      <w:r>
        <w:rPr>
          <w:rFonts w:ascii="Barlow Semi Condensed" w:cs="Barlow Semi Condensed" w:eastAsia="Barlow Semi Condensed" w:hAnsi="Barlow Semi Condensed"/>
          <w:b/>
          <w:bCs/>
          <w:sz w:val="24"/>
          <w:szCs w:val="24"/>
        </w:rPr>
        <w:t xml:space="preserve">Lucia Mokbel</w:t>
      </w:r>
      <w:r>
        <w:rPr>
          <w:rFonts w:ascii="Barlow Semi Condensed" w:cs="Barlow Semi Condensed" w:eastAsia="Barlow Semi Condensed" w:hAnsi="Barlow Semi Condensed"/>
          <w:sz w:val="24"/>
          <w:szCs w:val="24"/>
        </w:rPr>
        <w:t xml:space="preserve">, aveva segnalato con una nota rumori sospetti provenienti proprio da quell'appartamento; del controllo fallito le autorità si avvidero </w:t>
      </w:r>
      <w:r>
        <w:rPr>
          <w:rFonts w:ascii="Barlow Semi Condensed" w:cs="Barlow Semi Condensed" w:eastAsia="Barlow Semi Condensed" w:hAnsi="Barlow Semi Condensed"/>
          <w:b/>
          <w:bCs/>
          <w:sz w:val="24"/>
          <w:szCs w:val="24"/>
        </w:rPr>
        <w:t xml:space="preserve">solo dopo il 18 aprile</w:t>
      </w:r>
      <w:r>
        <w:rPr>
          <w:rFonts w:ascii="Barlow Semi Condensed" w:cs="Barlow Semi Condensed" w:eastAsia="Barlow Semi Condensed" w:hAnsi="Barlow Semi Condensed"/>
          <w:sz w:val="24"/>
          <w:szCs w:val="24"/>
        </w:rPr>
        <w:t xml:space="preserve"> (relazione Moro 2, «I covi e la morte di Moro» (https://documenti.camera.it/_dati/leg17/lavori/documentiparlamentari/indiceetesti/023/029/00000015.pdf); Anni Affollati (https://www.anniaffollati.it/sezioni/sotto-un-dominio-caso-moro/via-gradoli/menu-via-gradoli.html)). </w:t>
      </w:r>
      <w:r>
        <w:rPr>
          <w:rFonts w:ascii="Barlow Semi Condensed" w:cs="Barlow Semi Condensed" w:eastAsia="Barlow Semi Condensed" w:hAnsi="Barlow Semi Condensed"/>
          <w:i/>
          <w:iCs/>
          <w:sz w:val="24"/>
          <w:szCs w:val="24"/>
        </w:rPr>
        <w:t xml:space="preserve">Quesito impersonale:</w:t>
      </w:r>
      <w:r>
        <w:rPr>
          <w:rFonts w:ascii="Barlow Semi Condensed" w:cs="Barlow Semi Condensed" w:eastAsia="Barlow Semi Condensed" w:hAnsi="Barlow Semi Condensed"/>
          <w:sz w:val="24"/>
          <w:szCs w:val="24"/>
        </w:rPr>
        <w:t xml:space="preserve"> il percorso della nota Mokbel (chi la ricevette, che disposizioni generò), le istruzioni operative della squadra (perché senza mandato di apertura, perché senza ritorno), i verbali del 18 marzo e la loro circolazione.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ricostruzione documentale della catena — questura, UCIGOS, Viminale — sugli atti versati.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catena ricostruita; o l'assenza dei suoi anelli, che sarebbe essa stessa l'esito.</w:t>
      </w:r>
    </w:p>
    <w:p>
      <w:pPr>
        <w:spacing w:after="120" w:line="276"/>
        <w:jc w:val="both"/>
      </w:pPr>
      <w:r>
        <w:rPr>
          <w:rFonts w:ascii="Barlow Semi Condensed" w:cs="Barlow Semi Condensed" w:eastAsia="Barlow Semi Condensed" w:hAnsi="Barlow Semi Condensed"/>
          <w:b/>
          <w:bCs/>
          <w:sz w:val="24"/>
          <w:szCs w:val="24"/>
        </w:rPr>
        <w:t xml:space="preserve">PE-2 — Gli assetti proprietari dello stabile di via Gradoli 96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67,5 · R8 D7 F7 U2 I9)</w:t>
      </w:r>
      <w:r>
        <w:rPr>
          <w:rFonts w:ascii="Barlow Semi Condensed" w:cs="Barlow Semi Condensed" w:eastAsia="Barlow Semi Condensed" w:hAnsi="Barlow Semi Condensed"/>
          <w:sz w:val="24"/>
          <w:szCs w:val="24"/>
        </w:rPr>
        <w:t xml:space="preserve">. Fondamento verificato: dei 66 appartamenti dello stabile, </w:t>
      </w:r>
      <w:r>
        <w:rPr>
          <w:rFonts w:ascii="Barlow Semi Condensed" w:cs="Barlow Semi Condensed" w:eastAsia="Barlow Semi Condensed" w:hAnsi="Barlow Semi Condensed"/>
          <w:b/>
          <w:bCs/>
          <w:sz w:val="24"/>
          <w:szCs w:val="24"/>
        </w:rPr>
        <w:t xml:space="preserve">24 risultavano di società immobiliari</w:t>
      </w:r>
      <w:r>
        <w:rPr>
          <w:rFonts w:ascii="Barlow Semi Condensed" w:cs="Barlow Semi Condensed" w:eastAsia="Barlow Semi Condensed" w:hAnsi="Barlow Semi Condensed"/>
          <w:sz w:val="24"/>
          <w:szCs w:val="24"/>
        </w:rPr>
        <w:t xml:space="preserve"> — fra cui Monte Valle Verde srl, Caseroma srl, Gradoli spa — </w:t>
      </w:r>
      <w:r>
        <w:rPr>
          <w:rFonts w:ascii="Barlow Semi Condensed" w:cs="Barlow Semi Condensed" w:eastAsia="Barlow Semi Condensed" w:hAnsi="Barlow Semi Condensed"/>
          <w:b/>
          <w:bCs/>
          <w:sz w:val="24"/>
          <w:szCs w:val="24"/>
        </w:rPr>
        <w:t xml:space="preserve">i cui amministratori comprendevano fiduciari dei servizi</w:t>
      </w:r>
      <w:r>
        <w:rPr>
          <w:rFonts w:ascii="Barlow Semi Condensed" w:cs="Barlow Semi Condensed" w:eastAsia="Barlow Semi Condensed" w:hAnsi="Barlow Semi Condensed"/>
          <w:sz w:val="24"/>
          <w:szCs w:val="24"/>
        </w:rPr>
        <w:t xml:space="preserve"> (relazione Moro 2, cit.; per il quadro: archivio900, </w:t>
      </w:r>
      <w:r>
        <w:rPr>
          <w:rFonts w:ascii="Barlow Semi Condensed" w:cs="Barlow Semi Condensed" w:eastAsia="Barlow Semi Condensed" w:hAnsi="Barlow Semi Condensed"/>
          <w:i/>
          <w:iCs/>
          <w:sz w:val="24"/>
          <w:szCs w:val="24"/>
        </w:rPr>
        <w:t xml:space="preserve">Il covo di Stato</w:t>
      </w:r>
      <w:r>
        <w:rPr>
          <w:rFonts w:ascii="Barlow Semi Condensed" w:cs="Barlow Semi Condensed" w:eastAsia="Barlow Semi Condensed" w:hAnsi="Barlow Semi Condensed"/>
          <w:sz w:val="24"/>
          <w:szCs w:val="24"/>
        </w:rPr>
        <w:t xml:space="preserve"> (https://www.archivio900.it/it/libri/lib.aspx?id=407)). </w:t>
      </w:r>
      <w:r>
        <w:rPr>
          <w:rFonts w:ascii="Barlow Semi Condensed" w:cs="Barlow Semi Condensed" w:eastAsia="Barlow Semi Condensed" w:hAnsi="Barlow Semi Condensed"/>
          <w:i/>
          <w:iCs/>
          <w:sz w:val="24"/>
          <w:szCs w:val="24"/>
        </w:rPr>
        <w:t xml:space="preserve">Quesito impersonale, in forma ACH:</w:t>
      </w:r>
      <w:r>
        <w:rPr>
          <w:rFonts w:ascii="Barlow Semi Condensed" w:cs="Barlow Semi Condensed" w:eastAsia="Barlow Semi Condensed" w:hAnsi="Barlow Semi Condensed"/>
          <w:sz w:val="24"/>
          <w:szCs w:val="24"/>
        </w:rPr>
        <w:t xml:space="preserve"> coabitazione casuale del covo con le coperture immobiliari, o ambiente in qualche misura noto? Nessuna evidenza disponibile discrimina — e la pista serve a produrla.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ricostruzione integrale catasto-conservatoria-registri societari 1970-1978 (acquisti, venditori, amministratori, locazioni), incrociata con la locazione dell'interno 11 all'inquilino «ing. Borghi».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mappa proprietaria completa dello stabile, qualunque cosa mostri.</w:t>
      </w:r>
    </w:p>
    <w:p>
      <w:pPr>
        <w:spacing w:after="120" w:line="276"/>
        <w:jc w:val="both"/>
      </w:pPr>
      <w:r>
        <w:rPr>
          <w:rFonts w:ascii="Barlow Semi Condensed" w:cs="Barlow Semi Condensed" w:eastAsia="Barlow Semi Condensed" w:hAnsi="Barlow Semi Condensed"/>
          <w:b/>
          <w:bCs/>
          <w:sz w:val="24"/>
          <w:szCs w:val="24"/>
        </w:rPr>
        <w:t xml:space="preserve">PE-6 — Il registro delle segnalazioni dei 55 giorni (UCIGOS/Viminale)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61,0 · R7 D5 F7 U3 I9)</w:t>
      </w:r>
      <w:r>
        <w:rPr>
          <w:rFonts w:ascii="Barlow Semi Condensed" w:cs="Barlow Semi Condensed" w:eastAsia="Barlow Semi Condensed" w:hAnsi="Barlow Semi Condensed"/>
          <w:sz w:val="24"/>
          <w:szCs w:val="24"/>
        </w:rPr>
        <w:t xml:space="preserve">. La generalizzazione di PN-4 e PE-3: non le singole segnalazioni celebri, ma </w:t>
      </w:r>
      <w:r>
        <w:rPr>
          <w:rFonts w:ascii="Barlow Semi Condensed" w:cs="Barlow Semi Condensed" w:eastAsia="Barlow Semi Condensed" w:hAnsi="Barlow Semi Condensed"/>
          <w:b/>
          <w:bCs/>
          <w:sz w:val="24"/>
          <w:szCs w:val="24"/>
        </w:rPr>
        <w:t xml:space="preserve">il registro complessivo</w:t>
      </w:r>
      <w:r>
        <w:rPr>
          <w:rFonts w:ascii="Barlow Semi Condensed" w:cs="Barlow Semi Condensed" w:eastAsia="Barlow Semi Condensed" w:hAnsi="Barlow Semi Condensed"/>
          <w:sz w:val="24"/>
          <w:szCs w:val="24"/>
        </w:rPr>
        <w:t xml:space="preserve"> — quante segnalazioni giunsero nei 55 giorni, come furono protocollate, quali ebbero seguito e quali no, con quali criteri.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spoglio dei versamenti del Viminale nel fondo Direttiva Renzi.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statistica documentale degli esiti — il tasso di seguito delle segnalazioni è un dato che nessuna commissione ha mai prodotto.</w:t>
      </w:r>
    </w:p>
    <w:p>
      <w:pPr>
        <w:spacing w:after="120" w:line="276"/>
        <w:jc w:val="both"/>
      </w:pPr>
      <w:r>
        <w:rPr>
          <w:rFonts w:ascii="Barlow Semi Condensed" w:cs="Barlow Semi Condensed" w:eastAsia="Barlow Semi Condensed" w:hAnsi="Barlow Semi Condensed"/>
          <w:b/>
          <w:bCs/>
          <w:sz w:val="24"/>
          <w:szCs w:val="24"/>
        </w:rPr>
        <w:t xml:space="preserve">PE-5 — Gli alleati: il traffico di cablo marzo-maggio 1978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59,5 · R7 D5 F7 U2 I9)</w:t>
      </w:r>
      <w:r>
        <w:rPr>
          <w:rFonts w:ascii="Barlow Semi Condensed" w:cs="Barlow Semi Condensed" w:eastAsia="Barlow Semi Condensed" w:hAnsi="Barlow Semi Condensed"/>
          <w:sz w:val="24"/>
          <w:szCs w:val="24"/>
        </w:rPr>
        <w:t xml:space="preserve">. Il corpus possiede già i primi cable declassificati del Dipartimento di Stato (i documenti del lotto archiviato nella cartella Farnesina).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richieste FOIA sistematiche sul traffico Roma-Washington dei 55 giorni ancora classificato od omissato, con gli identificativi di serie già noti dai documenti in possesso.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il rilascio, o il diniego motivato — che in regime FOIA è a sua volta un documento.</w:t>
      </w:r>
    </w:p>
    <w:p>
      <w:pPr>
        <w:spacing w:after="120" w:line="276"/>
        <w:jc w:val="both"/>
      </w:pPr>
      <w:r>
        <w:rPr>
          <w:rFonts w:ascii="Barlow Semi Condensed" w:cs="Barlow Semi Condensed" w:eastAsia="Barlow Semi Condensed" w:hAnsi="Barlow Semi Condensed"/>
          <w:b/>
          <w:bCs/>
          <w:sz w:val="24"/>
          <w:szCs w:val="24"/>
        </w:rPr>
        <w:t xml:space="preserve">PE-4 — La mediazione vaticana e la sorte del riscatto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(punteggio 54,0 · R7 D5 F4 U3 I8)</w:t>
      </w:r>
      <w:r>
        <w:rPr>
          <w:rFonts w:ascii="Barlow Semi Condensed" w:cs="Barlow Semi Condensed" w:eastAsia="Barlow Semi Condensed" w:hAnsi="Barlow Semi Condensed"/>
          <w:sz w:val="24"/>
          <w:szCs w:val="24"/>
        </w:rPr>
        <w:t xml:space="preserve">. Fondamento verificato: Paolo VI attivò per la liberazione il canale di </w:t>
      </w:r>
      <w:r>
        <w:rPr>
          <w:rFonts w:ascii="Barlow Semi Condensed" w:cs="Barlow Semi Condensed" w:eastAsia="Barlow Semi Condensed" w:hAnsi="Barlow Semi Condensed"/>
          <w:b/>
          <w:bCs/>
          <w:sz w:val="24"/>
          <w:szCs w:val="24"/>
        </w:rPr>
        <w:t xml:space="preserve">mons. Cesare Curioni</w:t>
      </w:r>
      <w:r>
        <w:rPr>
          <w:rFonts w:ascii="Barlow Semi Condensed" w:cs="Barlow Semi Condensed" w:eastAsia="Barlow Semi Condensed" w:hAnsi="Barlow Semi Condensed"/>
          <w:sz w:val="24"/>
          <w:szCs w:val="24"/>
        </w:rPr>
        <w:t xml:space="preserve">, responsabile dei cappellani carcerari; fu predisposta una somma di </w:t>
      </w:r>
      <w:r>
        <w:rPr>
          <w:rFonts w:ascii="Barlow Semi Condensed" w:cs="Barlow Semi Condensed" w:eastAsia="Barlow Semi Condensed" w:hAnsi="Barlow Semi Condensed"/>
          <w:b/>
          <w:bCs/>
          <w:sz w:val="24"/>
          <w:szCs w:val="24"/>
        </w:rPr>
        <w:t xml:space="preserve">circa dieci miliardi di lire in dollari</w:t>
      </w:r>
      <w:r>
        <w:rPr>
          <w:rFonts w:ascii="Barlow Semi Condensed" w:cs="Barlow Semi Condensed" w:eastAsia="Barlow Semi Condensed" w:hAnsi="Barlow Semi Condensed"/>
          <w:sz w:val="24"/>
          <w:szCs w:val="24"/>
        </w:rPr>
        <w:t xml:space="preserve">; secondo gli accertamenti della </w:t>
      </w:r>
      <w:r>
        <w:rPr>
          <w:rFonts w:ascii="Barlow Semi Condensed" w:cs="Barlow Semi Condensed" w:eastAsia="Barlow Semi Condensed" w:hAnsi="Barlow Semi Condensed"/>
          <w:b/>
          <w:bCs/>
          <w:sz w:val="24"/>
          <w:szCs w:val="24"/>
        </w:rPr>
        <w:t xml:space="preserve">Commissione Moro 2</w:t>
      </w:r>
      <w:r>
        <w:rPr>
          <w:rFonts w:ascii="Barlow Semi Condensed" w:cs="Barlow Semi Condensed" w:eastAsia="Barlow Semi Condensed" w:hAnsi="Barlow Semi Condensed"/>
          <w:sz w:val="24"/>
          <w:szCs w:val="24"/>
        </w:rPr>
        <w:t xml:space="preserve">, il finanziatore fu l'uomo d'affari israeliano </w:t>
      </w:r>
      <w:r>
        <w:rPr>
          <w:rFonts w:ascii="Barlow Semi Condensed" w:cs="Barlow Semi Condensed" w:eastAsia="Barlow Semi Condensed" w:hAnsi="Barlow Semi Condensed"/>
          <w:b/>
          <w:bCs/>
          <w:sz w:val="24"/>
          <w:szCs w:val="24"/>
        </w:rPr>
        <w:t xml:space="preserve">Shmuel «Sammy» Flatto-Sharon</w:t>
      </w:r>
      <w:r>
        <w:rPr>
          <w:rFonts w:ascii="Barlow Semi Condensed" w:cs="Barlow Semi Condensed" w:eastAsia="Barlow Semi Condensed" w:hAnsi="Barlow Semi Condensed"/>
          <w:sz w:val="24"/>
          <w:szCs w:val="24"/>
        </w:rPr>
        <w:t xml:space="preserve">, all'epoca membro della Knesset; Curioni morì nel 1996 senza rivelare il resto, e </w:t>
      </w:r>
      <w:r>
        <w:rPr>
          <w:rFonts w:ascii="Barlow Semi Condensed" w:cs="Barlow Semi Condensed" w:eastAsia="Barlow Semi Condensed" w:hAnsi="Barlow Semi Condensed"/>
          <w:b/>
          <w:bCs/>
          <w:sz w:val="24"/>
          <w:szCs w:val="24"/>
        </w:rPr>
        <w:t xml:space="preserve">la sorte del denaro resta ignota</w:t>
      </w:r>
      <w:r>
        <w:rPr>
          <w:rFonts w:ascii="Barlow Semi Condensed" w:cs="Barlow Semi Condensed" w:eastAsia="Barlow Semi Condensed" w:hAnsi="Barlow Semi Condensed"/>
          <w:sz w:val="24"/>
          <w:szCs w:val="24"/>
        </w:rPr>
        <w:t xml:space="preserve"> (ANSA (https://www.ansa.it/sito/notizie/cronaca/2018/03/15/moromistero-vaticano-su-10-mld-riscatto_159ad438-a8df-474d-a762-cbd416e06064.html); Treccani, la mediazione vaticana (https://www.treccani.it/enciclopedia/9-maggio-1978-lo-schiaffo-a-paolo-vi-storia-e-fallimento-della-mediazione-vaticana-per-la-liberazione-di-aldo-moro_(Cristiani-d'Italia)/)). </w:t>
      </w:r>
      <w:r>
        <w:rPr>
          <w:rFonts w:ascii="Barlow Semi Condensed" w:cs="Barlow Semi Condensed" w:eastAsia="Barlow Semi Condensed" w:hAnsi="Barlow Semi Condensed"/>
          <w:i/>
          <w:iCs/>
          <w:sz w:val="24"/>
          <w:szCs w:val="24"/>
        </w:rPr>
        <w:t xml:space="preserve">Quesito impersonale:</w:t>
      </w:r>
      <w:r>
        <w:rPr>
          <w:rFonts w:ascii="Barlow Semi Condensed" w:cs="Barlow Semi Condensed" w:eastAsia="Barlow Semi Condensed" w:hAnsi="Barlow Semi Condensed"/>
          <w:sz w:val="24"/>
          <w:szCs w:val="24"/>
        </w:rPr>
        <w:t xml:space="preserve"> la meccanica della mediazione e la destinazione della somma. </w:t>
      </w:r>
      <w:r>
        <w:rPr>
          <w:rFonts w:ascii="Barlow Semi Condensed" w:cs="Barlow Semi Condensed" w:eastAsia="Barlow Semi Condensed" w:hAnsi="Barlow Semi Condensed"/>
          <w:i/>
          <w:iCs/>
          <w:sz w:val="24"/>
          <w:szCs w:val="24"/>
        </w:rPr>
        <w:t xml:space="preserve">Atto:</w:t>
      </w:r>
      <w:r>
        <w:rPr>
          <w:rFonts w:ascii="Barlow Semi Condensed" w:cs="Barlow Semi Condensed" w:eastAsia="Barlow Semi Condensed" w:hAnsi="Barlow Semi Condensed"/>
          <w:sz w:val="24"/>
          <w:szCs w:val="24"/>
        </w:rPr>
        <w:t xml:space="preserve"> gli archivi dei cappellani e — all'apertura — l'AAV per Paolo VI (si salda a PN-8); gli atti Moro 2.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tracciabilità della somma, o il suo punto documentale di dispersione.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Pista su entità/strutture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Punteggio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PE-1 · Comitato del Viminale e appartenenze P2 (censimento nominale)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PE-3 · La catena di comando del 18 marzo (via Gradoli)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PE-2 · Assetti proprietari dello stabile di via Gradoli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PE-6 · Il registro delle segnalazioni dei 55 giorni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61,0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PE-5 · Il traffico di cablo degli alleati (FOIA)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59,5</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PE-4 · La mediazione vaticana e la sorte del riscatto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54,0</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Escluse per direttiva:</w:t>
            </w:r>
            <w:r>
              <w:rPr>
                <w:rFonts w:ascii="Barlow Semi Condensed" w:cs="Barlow Semi Condensed" w:eastAsia="Barlow Semi Condensed" w:hAnsi="Barlow Semi Condensed"/>
                <w:sz w:val="20"/>
                <w:szCs w:val="20"/>
              </w:rPr>
              <w:t xml:space="preserve"> BR e Superclan come entità</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0,1</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Il presidio finale del capitolo.</w:t>
      </w:r>
      <w:r>
        <w:rPr>
          <w:rFonts w:ascii="Barlow Semi Condensed" w:cs="Barlow Semi Condensed" w:eastAsia="Barlow Semi Condensed" w:hAnsi="Barlow Semi Condensed"/>
          <w:sz w:val="24"/>
          <w:szCs w:val="24"/>
        </w:rPr>
        <w:t xml:space="preserve"> Queste sei piste toccano ministeri, servizi, una loggia disciolta per legge, la Santa Sede, un alleato: il terreno dove la dietrologia ha costruito di più. La differenza fra questo capitolo e quella è tutta in una proprietà verificabile: </w:t>
      </w:r>
      <w:r>
        <w:rPr>
          <w:rFonts w:ascii="Barlow Semi Condensed" w:cs="Barlow Semi Condensed" w:eastAsia="Barlow Semi Condensed" w:hAnsi="Barlow Semi Condensed"/>
          <w:b/>
          <w:bCs/>
          <w:sz w:val="24"/>
          <w:szCs w:val="24"/>
        </w:rPr>
        <w:t xml:space="preserve">ogni pista ha per esito un documento, non un colpevole</w:t>
      </w:r>
      <w:r>
        <w:rPr>
          <w:rFonts w:ascii="Barlow Semi Condensed" w:cs="Barlow Semi Condensed" w:eastAsia="Barlow Semi Condensed" w:hAnsi="Barlow Semi Condensed"/>
          <w:sz w:val="24"/>
          <w:szCs w:val="24"/>
        </w:rPr>
        <w:t xml:space="preserve"> — una tavola nominale, una catena di protocolli, una visura, un registro, un cablo, una tracciabilità. Se i documenti, una volta acquisiti, indicheranno condotte, saranno le autorità a qualificarle; fino ad allora, le entità di questo capitolo hanno esattamente lo statuto che hanno le persone nel resto del corpus: </w:t>
      </w:r>
      <w:r>
        <w:rPr>
          <w:rFonts w:ascii="Barlow Semi Condensed" w:cs="Barlow Semi Condensed" w:eastAsia="Barlow Semi Condensed" w:hAnsi="Barlow Semi Condensed"/>
          <w:b/>
          <w:bCs/>
          <w:sz w:val="24"/>
          <w:szCs w:val="24"/>
        </w:rPr>
        <w:t xml:space="preserve">si censisce ciò che è documentato, e nulla di più.</w:t>
      </w:r>
    </w:p>
    <w:p>
      <w:pPr>
        <w:pStyle w:val="Heading2"/>
        <w:spacing w:after="100" w:before="200"/>
      </w:pPr>
      <w:r>
        <w:rPr>
          <w:rFonts w:ascii="Barlow Semi Condensed" w:cs="Barlow Semi Condensed" w:eastAsia="Barlow Semi Condensed" w:hAnsi="Barlow Semi Condensed"/>
          <w:sz w:val="24"/>
          <w:szCs w:val="24"/>
        </w:rPr>
        <w:t xml:space="preserve">Capitolo IV — I presidi investigativi (che cosa questo programma non è)</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L'indagine produce atti, non colpevoli.</w:t>
      </w:r>
      <w:r>
        <w:rPr>
          <w:rFonts w:ascii="Barlow Semi Condensed" w:cs="Barlow Semi Condensed" w:eastAsia="Barlow Semi Condensed" w:hAnsi="Barlow Semi Condensed"/>
          <w:sz w:val="24"/>
          <w:szCs w:val="24"/>
        </w:rPr>
        <w:t xml:space="preserve"> Nessuna pista contiene un nome come esito atteso: contiene un reperto, un documento, una deposizione. Se un atto identificherà qualcuno, lo dirà un giudice.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Le ipotesi restano in forma ACH.</w:t>
      </w:r>
      <w:r>
        <w:rPr>
          <w:rFonts w:ascii="Barlow Semi Condensed" w:cs="Barlow Semi Condensed" w:eastAsia="Barlow Semi Condensed" w:hAnsi="Barlow Semi Condensed"/>
          <w:sz w:val="24"/>
          <w:szCs w:val="24"/>
        </w:rPr>
        <w:t xml:space="preserve"> Ogni pista discende da una matrice ipotesi-evidenza già scritta nel corpus; l'atto istruttorio è la ricerca dell'evidenza discriminante, non la conferma di una preferenza.</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registro resta chiuso.</w:t>
      </w:r>
      <w:r>
        <w:rPr>
          <w:rFonts w:ascii="Barlow Semi Condensed" w:cs="Barlow Semi Condensed" w:eastAsia="Barlow Semi Condensed" w:hAnsi="Barlow Semi Condensed"/>
          <w:sz w:val="24"/>
          <w:szCs w:val="24"/>
        </w:rPr>
        <w:t xml:space="preserve"> I tredici del giudicato non crescono per suggestione; gli assolti restano assolti; le percentuali di colpa non esistono qui come non esistevano prima.</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La priorità è dichiarata e falsificabile.</w:t>
      </w:r>
      <w:r>
        <w:rPr>
          <w:rFonts w:ascii="Barlow Semi Condensed" w:cs="Barlow Semi Condensed" w:eastAsia="Barlow Semi Condensed" w:hAnsi="Barlow Semi Condensed"/>
          <w:sz w:val="24"/>
          <w:szCs w:val="24"/>
        </w:rPr>
        <w:t xml:space="preserve"> La matrice del capitolo III è essa stessa un'asserzione soggetta a critica: chi ritenga più fruttuosa un'altra gerarchia dica quale evidenza la giustifica.</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Il corpus non è un tribunale parallelo: è un contribuente di metodo.</w:t>
      </w:r>
      <w:r>
        <w:rPr>
          <w:rFonts w:ascii="Barlow Semi Condensed" w:cs="Barlow Semi Condensed" w:eastAsia="Barlow Semi Condensed" w:hAnsi="Barlow Semi Condensed"/>
          <w:sz w:val="24"/>
          <w:szCs w:val="24"/>
        </w:rPr>
        <w:t xml:space="preserve"> Il suo prodotto investigativo è questo programma — quesiti scritti, piste ordinate, criteri di chiusura — offerto a chi ha i poteri che il corpus non ha e non vuole.</w:t>
      </w:r>
    </w:p>
    <w:p>
      <w:pPr>
        <w:pStyle w:val="Heading2"/>
        <w:spacing w:after="100" w:before="200"/>
      </w:pPr>
      <w:r>
        <w:rPr>
          <w:rFonts w:ascii="Barlow Semi Condensed" w:cs="Barlow Semi Condensed" w:eastAsia="Barlow Semi Condensed" w:hAnsi="Barlow Semi Condensed"/>
          <w:sz w:val="24"/>
          <w:szCs w:val="24"/>
        </w:rPr>
        <w:t xml:space="preserve">Capitolo V — Chiusura: la stessa linea, percorsa nell'altro verso</w:t>
      </w:r>
    </w:p>
    <w:p>
      <w:pPr>
        <w:spacing w:after="120" w:line="276"/>
        <w:jc w:val="both"/>
      </w:pPr>
      <w:r>
        <w:rPr>
          <w:rFonts w:ascii="Barlow Semi Condensed" w:cs="Barlow Semi Condensed" w:eastAsia="Barlow Semi Condensed" w:hAnsi="Barlow Semi Condensed"/>
          <w:sz w:val="24"/>
          <w:szCs w:val="24"/>
        </w:rPr>
        <w:t xml:space="preserve">Il cambio di metodo chiesto dall'autore è compiuto, ed è bene dire che cosa è cambiato davvero. La linea del corpus — il confine fra il provato e il congetturale — resta dov'era: ma lo storico la percorreva guardando indietro, per custodirla; l'investigatore la percorre guardando avanti, </w:t>
      </w:r>
      <w:r>
        <w:rPr>
          <w:rFonts w:ascii="Barlow Semi Condensed" w:cs="Barlow Semi Condensed" w:eastAsia="Barlow Semi Condensed" w:hAnsi="Barlow Semi Condensed"/>
          <w:b/>
          <w:bCs/>
          <w:sz w:val="24"/>
          <w:szCs w:val="24"/>
        </w:rPr>
        <w:t xml:space="preserve">per spostarla con gli atti</w:t>
      </w:r>
      <w:r>
        <w:rPr>
          <w:rFonts w:ascii="Barlow Semi Condensed" w:cs="Barlow Semi Condensed" w:eastAsia="Barlow Semi Condensed" w:hAnsi="Barlow Semi Condensed"/>
          <w:sz w:val="24"/>
          <w:szCs w:val="24"/>
        </w:rPr>
        <w:t xml:space="preserve">. Ogni pista di questo programma è un punto in cui la linea può muoversi: di un reperto, di un appunto d'archivio, di una deposizione. E il caso — questo il dato più importante dell'intero documento — </w:t>
      </w:r>
      <w:r>
        <w:rPr>
          <w:rFonts w:ascii="Barlow Semi Condensed" w:cs="Barlow Semi Condensed" w:eastAsia="Barlow Semi Condensed" w:hAnsi="Barlow Semi Condensed"/>
          <w:b/>
          <w:bCs/>
          <w:sz w:val="24"/>
          <w:szCs w:val="24"/>
        </w:rPr>
        <w:t xml:space="preserve">non è chiuso</w:t>
      </w:r>
      <w:r>
        <w:rPr>
          <w:rFonts w:ascii="Barlow Semi Condensed" w:cs="Barlow Semi Condensed" w:eastAsia="Barlow Semi Condensed" w:hAnsi="Barlow Semi Condensed"/>
          <w:sz w:val="24"/>
          <w:szCs w:val="24"/>
        </w:rPr>
        <w:t xml:space="preserve">: c'è un fascicolo aperto a Roma che lavora esattamente sulle evidenze che il metodo del corpus indica come discriminanti. La guerra senza fine, almeno qui, ha ancora atti da compiere. Il corpus li ha messi in fila.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Programma investigativo del corpus: il cambio di metodo dallo storico all'investigatore, a regime di prova invariato. Il quadro operativo reale verificato (il fascicolo aperto a Roma sulle «terze presenze» di via Fani, con perizie balistiche, DNA 2016 e il caricatore di via Stresa; la Direttiva Renzi del 22/4/2014 estesa al caso Moro il 2/12/2014, con ~2.000 buste versate all'ACS); dieci piste in formato operativo — oggetto, stato, atto, sede, rendimento, criterio di chiusura — con la matrice delle priorità e il vaglio negativo delle piste da archiviare. Cinque presidi: l'indagine produce atti, non colpevoli; le ipotesi restano ACH; il registro resta chiuso; le priorità sono falsificabili; il corpus è contribuente di metodo, non tribunale parallelo.</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Il programma e le graduatorie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 3.680 parole in 8 sezioni; la più ampia è §6 Capitolo III, con 1.122.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 13 indirizzi di fonte citati, addensati in 2 sezioni su 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Il modello MCDA dichiarato (rendimento 30% · diagnosticità 25% · fattibilità 20% · urgenza 15% · indipendenza 10%).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sei entità con punteggio: ogni pista ha per esito un documento, non un colpevole.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II. Le schede delle piste di testa</w:t>
      </w:r>
    </w:p>
    <w:p>
      <w:pPr>
        <w:pStyle w:val="Heading1"/>
        <w:spacing w:after="120" w:before="240"/>
      </w:pPr>
      <w:r>
        <w:rPr>
          <w:rFonts w:ascii="Barlow Semi Condensed" w:cs="Barlow Semi Condensed" w:eastAsia="Barlow Semi Condensed" w:hAnsi="Barlow Semi Condensed"/>
          <w:sz w:val="24"/>
          <w:szCs w:val="24"/>
        </w:rPr>
        <w:t xml:space="preserve">Approfondimento delle piste di testa</w:t>
      </w:r>
    </w:p>
    <w:p>
      <w:pPr>
        <w:pStyle w:val="Heading2"/>
        <w:spacing w:after="100" w:before="200"/>
      </w:pPr>
      <w:r>
        <w:rPr>
          <w:rFonts w:ascii="Barlow Semi Condensed" w:cs="Barlow Semi Condensed" w:eastAsia="Barlow Semi Condensed" w:hAnsi="Barlow Semi Condensed"/>
          <w:sz w:val="24"/>
          <w:szCs w:val="24"/>
        </w:rPr>
        <w:t xml:space="preserve">Le schede operative delle quattro piste sopra i 70 punti — con una nota di revisione del corpus</w:t>
      </w:r>
    </w:p>
    <w:p>
      <w:pPr>
        <w:spacing w:after="120" w:line="276"/>
        <w:jc w:val="both"/>
      </w:pPr>
      <w:r>
        <w:rPr>
          <w:rFonts w:ascii="Barlow Semi Condensed" w:cs="Barlow Semi Condensed" w:eastAsia="Barlow Semi Condensed" w:hAnsi="Barlow Semi Condensed"/>
          <w:i/>
          <w:iCs/>
          <w:sz w:val="24"/>
          <w:szCs w:val="24"/>
        </w:rPr>
        <w:t xml:space="preserve">Documento operativo — 25 agosto 2026 · Approfondisce il capitolo III-bis del programma investigativo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l'avvertenza che conta.</w:t>
      </w:r>
      <w:r>
        <w:rPr>
          <w:rFonts w:ascii="Barlow Semi Condensed" w:cs="Barlow Semi Condensed" w:eastAsia="Barlow Semi Condensed" w:hAnsi="Barlow Semi Condensed"/>
          <w:i w:val="false"/>
          <w:iCs w:val="false"/>
          <w:sz w:val="24"/>
          <w:szCs w:val="24"/>
        </w:rPr>
        <w:t xml:space="preserve"> Questo approfondimento scende dentro le quattro piste di testa della graduatoria (PN-1 89,0 · PN-7 77,5 · PN-4 74,5 · PN-2 71,0) col formato della scheda da cold case: la storia degli accertamenti, che cosa fu tentato e con quale esito, il quesito esatto, l'atto raffinato, gli errori da non ripetere. E contiene ciò che ogni approfondimento onesto rischia di contenere: </w:t>
      </w:r>
      <w:r>
        <w:rPr>
          <w:rFonts w:ascii="Barlow Semi Condensed" w:cs="Barlow Semi Condensed" w:eastAsia="Barlow Semi Condensed" w:hAnsi="Barlow Semi Condensed"/>
          <w:b/>
          <w:bCs/>
          <w:i w:val="false"/>
          <w:iCs w:val="false"/>
          <w:sz w:val="24"/>
          <w:szCs w:val="24"/>
        </w:rPr>
        <w:t xml:space="preserve">una correzione del corpus stesso</w:t>
      </w:r>
      <w:r>
        <w:rPr>
          <w:rFonts w:ascii="Barlow Semi Condensed" w:cs="Barlow Semi Condensed" w:eastAsia="Barlow Semi Condensed" w:hAnsi="Barlow Semi Condensed"/>
          <w:i w:val="false"/>
          <w:iCs w:val="false"/>
          <w:sz w:val="24"/>
          <w:szCs w:val="24"/>
        </w:rPr>
        <w:t xml:space="preserve">. La verifica condotta per questa scheda ha accertato che un'evidenza usata dalla matrice ACH del documento delle metodologie va </w:t>
      </w:r>
      <w:r>
        <w:rPr>
          <w:rFonts w:ascii="Barlow Semi Condensed" w:cs="Barlow Semi Condensed" w:eastAsia="Barlow Semi Condensed" w:hAnsi="Barlow Semi Condensed"/>
          <w:b/>
          <w:bCs/>
          <w:i w:val="false"/>
          <w:iCs w:val="false"/>
          <w:sz w:val="24"/>
          <w:szCs w:val="24"/>
        </w:rPr>
        <w:t xml:space="preserve">retrocessa</w:t>
      </w:r>
      <w:r>
        <w:rPr>
          <w:rFonts w:ascii="Barlow Semi Condensed" w:cs="Barlow Semi Condensed" w:eastAsia="Barlow Semi Condensed" w:hAnsi="Barlow Semi Condensed"/>
          <w:i w:val="false"/>
          <w:iCs w:val="false"/>
          <w:sz w:val="24"/>
          <w:szCs w:val="24"/>
        </w:rPr>
        <w:t xml:space="preserve">, e la retrocessione è dichiarata qui e annotata là — perché la Regola di Ferro vale prima di tutto contro di noi.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revisione n. 1 — La testimonianza Marini e il parabrezza</w:t>
      </w:r>
    </w:p>
    <w:p>
      <w:pPr>
        <w:spacing w:after="120" w:line="276"/>
        <w:jc w:val="both"/>
      </w:pPr>
      <w:r>
        <w:rPr>
          <w:rFonts w:ascii="Barlow Semi Condensed" w:cs="Barlow Semi Condensed" w:eastAsia="Barlow Semi Condensed" w:hAnsi="Barlow Semi Condensed"/>
          <w:sz w:val="24"/>
          <w:szCs w:val="24"/>
        </w:rPr>
        <w:t xml:space="preserve">La matrice ACH sulle «due moto» aveva classificato come unica evidenza diagnostica i «colpi esplosi in direzione dell'ing. Marini dalla Honda» (grado B). L'approfondimento impone di correggere. Alessandro Marini — il teste più citato dalla sentenza del primo processo quanto alla Honda, e l'unico civile contro cui sarebbero stati esplosi colpi in via Fani — </w:t>
      </w:r>
      <w:r>
        <w:rPr>
          <w:rFonts w:ascii="Barlow Semi Condensed" w:cs="Barlow Semi Condensed" w:eastAsia="Barlow Semi Condensed" w:hAnsi="Barlow Semi Condensed"/>
          <w:b/>
          <w:bCs/>
          <w:sz w:val="24"/>
          <w:szCs w:val="24"/>
        </w:rPr>
        <w:t xml:space="preserve">ammise ai consulenti della Commissione Moro 2 che la circostanza del parabrezza del suo motorino infranto dai colpi non era vera</w:t>
      </w:r>
      <w:r>
        <w:rPr>
          <w:rFonts w:ascii="Barlow Semi Condensed" w:cs="Barlow Semi Condensed" w:eastAsia="Barlow Semi Condensed" w:hAnsi="Barlow Semi Condensed"/>
          <w:sz w:val="24"/>
          <w:szCs w:val="24"/>
        </w:rPr>
        <w:t xml:space="preserve">: il parabrezza si era rotto giorni prima per una caduta ed era stato riattaccato con nastro da imballaggio, come risulta visibile nelle fotografie scattate in via Fani </w:t>
      </w:r>
      <w:r>
        <w:rPr>
          <w:rFonts w:ascii="Barlow Semi Condensed" w:cs="Barlow Semi Condensed" w:eastAsia="Barlow Semi Condensed" w:hAnsi="Barlow Semi Condensed"/>
          <w:b/>
          <w:bCs/>
          <w:sz w:val="24"/>
          <w:szCs w:val="24"/>
        </w:rPr>
        <w:t xml:space="preserve">la mattina stessa dell'agguato</w:t>
      </w:r>
      <w:r>
        <w:rPr>
          <w:rFonts w:ascii="Barlow Semi Condensed" w:cs="Barlow Semi Condensed" w:eastAsia="Barlow Semi Condensed" w:hAnsi="Barlow Semi Condensed"/>
          <w:sz w:val="24"/>
          <w:szCs w:val="24"/>
        </w:rPr>
        <w:t xml:space="preserve">, riscontrate dalla Commissione (Il Fatto Quotidiano, «l'Honda di via Fani resta un mistero» (https://www.ilfattoquotidiano.it/2014/03/23/caso-moro-36-anni-dopo-lhonda-di-via-fani-resta-ancora-un-mistero/923461/); Anni Affollati, «La moto Honda e il motorino» (https://www.anniaffollati.it/sezioni/sotto-un-dominio-caso-moro/via-fani/9-honda-motorino.html); per la lettura critica integrale della testimonianza: Insorgenze (https://insorgenze.net/2015/04/23/la-colonna-sonora-di-via-fani-dei-nuovi-documenti-smontano-la-storia-della-honda-e-le-fantasie-del-supertestimone-marini/)).</w:t>
      </w:r>
    </w:p>
    <w:p>
      <w:pPr>
        <w:spacing w:after="120" w:line="276"/>
        <w:jc w:val="both"/>
      </w:pPr>
      <w:r>
        <w:rPr>
          <w:rFonts w:ascii="Barlow Semi Condensed" w:cs="Barlow Semi Condensed" w:eastAsia="Barlow Semi Condensed" w:hAnsi="Barlow Semi Condensed"/>
          <w:b/>
          <w:bCs/>
          <w:sz w:val="24"/>
          <w:szCs w:val="24"/>
        </w:rPr>
        <w:t xml:space="preserve">Che cosa cade e che cosa resta.</w:t>
      </w:r>
      <w:r>
        <w:rPr>
          <w:rFonts w:ascii="Barlow Semi Condensed" w:cs="Barlow Semi Condensed" w:eastAsia="Barlow Semi Condensed" w:hAnsi="Barlow Semi Condensed"/>
          <w:sz w:val="24"/>
          <w:szCs w:val="24"/>
        </w:rPr>
        <w:t xml:space="preserve"> Cade la </w:t>
      </w:r>
      <w:r>
        <w:rPr>
          <w:rFonts w:ascii="Barlow Semi Condensed" w:cs="Barlow Semi Condensed" w:eastAsia="Barlow Semi Condensed" w:hAnsi="Barlow Semi Condensed"/>
          <w:b/>
          <w:bCs/>
          <w:sz w:val="24"/>
          <w:szCs w:val="24"/>
        </w:rPr>
        <w:t xml:space="preserve">corroborazione fisica</w:t>
      </w:r>
      <w:r>
        <w:rPr>
          <w:rFonts w:ascii="Barlow Semi Condensed" w:cs="Barlow Semi Condensed" w:eastAsia="Barlow Semi Condensed" w:hAnsi="Barlow Semi Condensed"/>
          <w:sz w:val="24"/>
          <w:szCs w:val="24"/>
        </w:rPr>
        <w:t xml:space="preserve"> dei colpi dalla Honda — l'elemento che rendeva la testimonianza «diagnostica» nella matrice. Resta: la testimonianza dei colpi in sé, ora </w:t>
      </w:r>
      <w:r>
        <w:rPr>
          <w:rFonts w:ascii="Barlow Semi Condensed" w:cs="Barlow Semi Condensed" w:eastAsia="Barlow Semi Condensed" w:hAnsi="Barlow Semi Condensed"/>
          <w:b/>
          <w:bCs/>
          <w:sz w:val="24"/>
          <w:szCs w:val="24"/>
        </w:rPr>
        <w:t xml:space="preserve">contestata e in parte ritrattata</w:t>
      </w:r>
      <w:r>
        <w:rPr>
          <w:rFonts w:ascii="Barlow Semi Condensed" w:cs="Barlow Semi Condensed" w:eastAsia="Barlow Semi Condensed" w:hAnsi="Barlow Semi Condensed"/>
          <w:sz w:val="24"/>
          <w:szCs w:val="24"/>
        </w:rPr>
        <w:t xml:space="preserve">; la circostanza — riferita dallo stesso Marini fin dal 1978 — delle </w:t>
      </w:r>
      <w:r>
        <w:rPr>
          <w:rFonts w:ascii="Barlow Semi Condensed" w:cs="Barlow Semi Condensed" w:eastAsia="Barlow Semi Condensed" w:hAnsi="Barlow Semi Condensed"/>
          <w:b/>
          <w:bCs/>
          <w:sz w:val="24"/>
          <w:szCs w:val="24"/>
        </w:rPr>
        <w:t xml:space="preserve">telefonate minatorie</w:t>
      </w:r>
      <w:r>
        <w:rPr>
          <w:rFonts w:ascii="Barlow Semi Condensed" w:cs="Barlow Semi Condensed" w:eastAsia="Barlow Semi Condensed" w:hAnsi="Barlow Semi Condensed"/>
          <w:sz w:val="24"/>
          <w:szCs w:val="24"/>
        </w:rPr>
        <w:t xml:space="preserve"> ricevute la sera stessa («devi tacere»), che è a sua volta un elemento da pesare e non da assumere; e le altre testimonianze d'epoca sulla presenza di una Honda blu, indipendenti da Marini. </w:t>
      </w:r>
      <w:r>
        <w:rPr>
          <w:rFonts w:ascii="Barlow Semi Condensed" w:cs="Barlow Semi Condensed" w:eastAsia="Barlow Semi Condensed" w:hAnsi="Barlow Semi Condensed"/>
          <w:b/>
          <w:bCs/>
          <w:sz w:val="24"/>
          <w:szCs w:val="24"/>
        </w:rPr>
        <w:t xml:space="preserve">Aggiornamento della matrice ACH:</w:t>
      </w:r>
      <w:r>
        <w:rPr>
          <w:rFonts w:ascii="Barlow Semi Condensed" w:cs="Barlow Semi Condensed" w:eastAsia="Barlow Semi Condensed" w:hAnsi="Barlow Semi Condensed"/>
          <w:sz w:val="24"/>
          <w:szCs w:val="24"/>
        </w:rPr>
        <w:t xml:space="preserve"> la riga E2 scende da diagnostica a controversa; l'ipotesi H1 (inattendibilità/errore del teste) riacquista pieno campo; e la conseguenza operativa è netta — </w:t>
      </w:r>
      <w:r>
        <w:rPr>
          <w:rFonts w:ascii="Barlow Semi Condensed" w:cs="Barlow Semi Condensed" w:eastAsia="Barlow Semi Condensed" w:hAnsi="Barlow Semi Condensed"/>
          <w:b/>
          <w:bCs/>
          <w:sz w:val="24"/>
          <w:szCs w:val="24"/>
        </w:rPr>
        <w:t xml:space="preserve">nessuna testimonianza decide più nulla, da sola, su via Fani: decidono i reperti.</w:t>
      </w:r>
      <w:r>
        <w:rPr>
          <w:rFonts w:ascii="Barlow Semi Condensed" w:cs="Barlow Semi Condensed" w:eastAsia="Barlow Semi Condensed" w:hAnsi="Barlow Semi Condensed"/>
          <w:sz w:val="24"/>
          <w:szCs w:val="24"/>
        </w:rPr>
        <w:t xml:space="preserve"> Il che, si noti, non indebolisce la pista PN-1: la </w:t>
      </w:r>
      <w:r>
        <w:rPr>
          <w:rFonts w:ascii="Barlow Semi Condensed" w:cs="Barlow Semi Condensed" w:eastAsia="Barlow Semi Condensed" w:hAnsi="Barlow Semi Condensed"/>
          <w:i/>
          <w:iCs/>
          <w:sz w:val="24"/>
          <w:szCs w:val="24"/>
        </w:rPr>
        <w:t xml:space="preserve">sposta</w:t>
      </w:r>
      <w:r>
        <w:rPr>
          <w:rFonts w:ascii="Barlow Semi Condensed" w:cs="Barlow Semi Condensed" w:eastAsia="Barlow Semi Condensed" w:hAnsi="Barlow Semi Condensed"/>
          <w:sz w:val="24"/>
          <w:szCs w:val="24"/>
        </w:rPr>
        <w:t xml:space="preserve"> definitivamente sul suo fondamento giusto, che era e resta la balistica. La graduatoria non cambia; cambia — in meglio — la ragione per cui la testa della graduatoria è quella.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Scheda PN-1 — Le terze presenze non attribuite (89,0)</w:t>
      </w:r>
    </w:p>
    <w:p>
      <w:pPr>
        <w:spacing w:after="120" w:line="276"/>
        <w:jc w:val="both"/>
      </w:pPr>
      <w:r>
        <w:rPr>
          <w:rFonts w:ascii="Barlow Semi Condensed" w:cs="Barlow Semi Condensed" w:eastAsia="Barlow Semi Condensed" w:hAnsi="Barlow Semi Condensed"/>
          <w:b/>
          <w:bCs/>
          <w:sz w:val="24"/>
          <w:szCs w:val="24"/>
        </w:rPr>
        <w:t xml:space="preserve">La storia degli accertamenti, con la divergenza che è il vero quesito.</w:t>
      </w:r>
      <w:r>
        <w:rPr>
          <w:rFonts w:ascii="Barlow Semi Condensed" w:cs="Barlow Semi Condensed" w:eastAsia="Barlow Semi Condensed" w:hAnsi="Barlow Semi Condensed"/>
          <w:sz w:val="24"/>
          <w:szCs w:val="24"/>
        </w:rPr>
        <w:t xml:space="preserve"> Sul selciato di via Fani furono repertati </w:t>
      </w:r>
      <w:r>
        <w:rPr>
          <w:rFonts w:ascii="Barlow Semi Condensed" w:cs="Barlow Semi Condensed" w:eastAsia="Barlow Semi Condensed" w:hAnsi="Barlow Semi Condensed"/>
          <w:b/>
          <w:bCs/>
          <w:sz w:val="24"/>
          <w:szCs w:val="24"/>
        </w:rPr>
        <w:t xml:space="preserve">91 bossoli</w:t>
      </w:r>
      <w:r>
        <w:rPr>
          <w:rFonts w:ascii="Barlow Semi Condensed" w:cs="Barlow Semi Condensed" w:eastAsia="Barlow Semi Condensed" w:hAnsi="Barlow Semi Condensed"/>
          <w:sz w:val="24"/>
          <w:szCs w:val="24"/>
        </w:rPr>
        <w:t xml:space="preserve">. La perizia storica li ripartì così: </w:t>
      </w:r>
      <w:r>
        <w:rPr>
          <w:rFonts w:ascii="Barlow Semi Condensed" w:cs="Barlow Semi Condensed" w:eastAsia="Barlow Semi Condensed" w:hAnsi="Barlow Semi Condensed"/>
          <w:b/>
          <w:bCs/>
          <w:sz w:val="24"/>
          <w:szCs w:val="24"/>
        </w:rPr>
        <w:t xml:space="preserve">49 a un'unica arma automatica</w:t>
      </w:r>
      <w:r>
        <w:rPr>
          <w:rFonts w:ascii="Barlow Semi Condensed" w:cs="Barlow Semi Condensed" w:eastAsia="Barlow Semi Condensed" w:hAnsi="Barlow Semi Condensed"/>
          <w:sz w:val="24"/>
          <w:szCs w:val="24"/>
        </w:rPr>
        <w:t xml:space="preserve"> (un mitra FNAB-43, per alcune letture uno Sten), </w:t>
      </w:r>
      <w:r>
        <w:rPr>
          <w:rFonts w:ascii="Barlow Semi Condensed" w:cs="Barlow Semi Condensed" w:eastAsia="Barlow Semi Condensed" w:hAnsi="Barlow Semi Condensed"/>
          <w:b/>
          <w:bCs/>
          <w:sz w:val="24"/>
          <w:szCs w:val="24"/>
        </w:rPr>
        <w:t xml:space="preserve">22 a un secondo FNAB-43</w:t>
      </w:r>
      <w:r>
        <w:rPr>
          <w:rFonts w:ascii="Barlow Semi Condensed" w:cs="Barlow Semi Condensed" w:eastAsia="Barlow Semi Condensed" w:hAnsi="Barlow Semi Condensed"/>
          <w:sz w:val="24"/>
          <w:szCs w:val="24"/>
        </w:rPr>
        <w:t xml:space="preserve">, 5 a un mitra TZ-45, 3 a una Beretta M12, 8 a una pistola Smith &amp; Wesson 9mm. La </w:t>
      </w:r>
      <w:r>
        <w:rPr>
          <w:rFonts w:ascii="Barlow Semi Condensed" w:cs="Barlow Semi Condensed" w:eastAsia="Barlow Semi Condensed" w:hAnsi="Barlow Semi Condensed"/>
          <w:b/>
          <w:bCs/>
          <w:sz w:val="24"/>
          <w:szCs w:val="24"/>
        </w:rPr>
        <w:t xml:space="preserve">perizia disposta nel 2015 dalla Polizia di Stato per la Commissione Moro 2 ha sostanzialmente confermato</w:t>
      </w:r>
      <w:r>
        <w:rPr>
          <w:rFonts w:ascii="Barlow Semi Condensed" w:cs="Barlow Semi Condensed" w:eastAsia="Barlow Semi Condensed" w:hAnsi="Barlow Semi Condensed"/>
          <w:sz w:val="24"/>
          <w:szCs w:val="24"/>
        </w:rPr>
        <w:t xml:space="preserve"> questa ripartizione; ma la </w:t>
      </w:r>
      <w:r>
        <w:rPr>
          <w:rFonts w:ascii="Barlow Semi Condensed" w:cs="Barlow Semi Condensed" w:eastAsia="Barlow Semi Condensed" w:hAnsi="Barlow Semi Condensed"/>
          <w:b/>
          <w:bCs/>
          <w:sz w:val="24"/>
          <w:szCs w:val="24"/>
        </w:rPr>
        <w:t xml:space="preserve">perizia Salza-Benedetti degli anni Novanta non era riuscita a confermare</w:t>
      </w:r>
      <w:r>
        <w:rPr>
          <w:rFonts w:ascii="Barlow Semi Condensed" w:cs="Barlow Semi Condensed" w:eastAsia="Barlow Semi Condensed" w:hAnsi="Barlow Semi Condensed"/>
          <w:sz w:val="24"/>
          <w:szCs w:val="24"/>
        </w:rPr>
        <w:t xml:space="preserve"> l'attribuzione dei 49 bossoli alla medesima arma (Wikipedia, </w:t>
      </w:r>
      <w:r>
        <w:rPr>
          <w:rFonts w:ascii="Barlow Semi Condensed" w:cs="Barlow Semi Condensed" w:eastAsia="Barlow Semi Condensed" w:hAnsi="Barlow Semi Condensed"/>
          <w:i/>
          <w:iCs/>
          <w:sz w:val="24"/>
          <w:szCs w:val="24"/>
        </w:rPr>
        <w:t xml:space="preserve">Agguato di via Fani</w:t>
      </w:r>
      <w:r>
        <w:rPr>
          <w:rFonts w:ascii="Barlow Semi Condensed" w:cs="Barlow Semi Condensed" w:eastAsia="Barlow Semi Condensed" w:hAnsi="Barlow Semi Condensed"/>
          <w:sz w:val="24"/>
          <w:szCs w:val="24"/>
        </w:rPr>
        <w:t xml:space="preserve"> (https://it.wikipedia.org/wiki/Agguato_di_via_Fani); Claudio Meloni, la prima perizia (https://meloniclaudio.wordpress.com/2015/07/06/via-fani-la-prima-perizia-balistica/); per il dibattito: AgoraVox, «il superkiller e i 49 colpi» (https://www.agoravox.it/Caso-Moro-Il-superkiller-di-via.html)). Attorno a questa cifra è cresciuta la lettura del «superkiller» — un tiratore d'eccezione estraneo al commando giudicato — che è </w:t>
      </w:r>
      <w:r>
        <w:rPr>
          <w:rFonts w:ascii="Barlow Semi Condensed" w:cs="Barlow Semi Condensed" w:eastAsia="Barlow Semi Condensed" w:hAnsi="Barlow Semi Condensed"/>
          <w:b/>
          <w:bCs/>
          <w:sz w:val="24"/>
          <w:szCs w:val="24"/>
        </w:rPr>
        <w:t xml:space="preserve">congettura interpretativa (C)</w:t>
      </w:r>
      <w:r>
        <w:rPr>
          <w:rFonts w:ascii="Barlow Semi Condensed" w:cs="Barlow Semi Condensed" w:eastAsia="Barlow Semi Condensed" w:hAnsi="Barlow Semi Condensed"/>
          <w:sz w:val="24"/>
          <w:szCs w:val="24"/>
        </w:rPr>
        <w:t xml:space="preserve"> costruita su un dato peritale controverso; e circolano in pubblicistica contestazioni ulteriori (bossoli di calibro diverso sul marciapiede destro, secondo un perito di parte), che vanno registrate come </w:t>
      </w:r>
      <w:r>
        <w:rPr>
          <w:rFonts w:ascii="Barlow Semi Condensed" w:cs="Barlow Semi Condensed" w:eastAsia="Barlow Semi Condensed" w:hAnsi="Barlow Semi Condensed"/>
          <w:b/>
          <w:bCs/>
          <w:sz w:val="24"/>
          <w:szCs w:val="24"/>
        </w:rPr>
        <w:t xml:space="preserve">tesi di parte non riscontrate</w:t>
      </w:r>
      <w:r>
        <w:rPr>
          <w:rFonts w:ascii="Barlow Semi Condensed" w:cs="Barlow Semi Condensed" w:eastAsia="Barlow Semi Condensed" w:hAnsi="Barlow Semi Condensed"/>
          <w:sz w:val="24"/>
          <w:szCs w:val="24"/>
        </w:rPr>
        <w:t xml:space="preserve"> (Cicinelli (https://www.gianlucacicinelli.it/la-perizia-su-via-fani-e-un-depistaggio-di-stato/) — titolo stesso di parte).</w:t>
      </w:r>
    </w:p>
    <w:p>
      <w:pPr>
        <w:spacing w:after="120" w:line="276"/>
        <w:jc w:val="both"/>
      </w:pPr>
      <w:r>
        <w:rPr>
          <w:rFonts w:ascii="Barlow Semi Condensed" w:cs="Barlow Semi Condensed" w:eastAsia="Barlow Semi Condensed" w:hAnsi="Barlow Semi Condensed"/>
          <w:b/>
          <w:bCs/>
          <w:sz w:val="24"/>
          <w:szCs w:val="24"/>
        </w:rPr>
        <w:t xml:space="preserve">Il quesito esatto</w:t>
      </w:r>
      <w:r>
        <w:rPr>
          <w:rFonts w:ascii="Barlow Semi Condensed" w:cs="Barlow Semi Condensed" w:eastAsia="Barlow Semi Condensed" w:hAnsi="Barlow Semi Condensed"/>
          <w:sz w:val="24"/>
          <w:szCs w:val="24"/>
        </w:rPr>
        <w:t xml:space="preserve">, spogliato di ogni suggestione: </w:t>
      </w: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i 49 bossoli sono davvero di un'arma sola?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le armi repertate/attribuite coprono tutti i 91 bossoli senza residuo?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esistono tracce fisiche — bossoli, ogive, frammenti — non riconducibili alle armi del commando giudicato?</w:t>
      </w:r>
    </w:p>
    <w:p>
      <w:pPr>
        <w:spacing w:after="120" w:line="276"/>
        <w:jc w:val="both"/>
      </w:pPr>
      <w:r>
        <w:rPr>
          <w:rFonts w:ascii="Barlow Semi Condensed" w:cs="Barlow Semi Condensed" w:eastAsia="Barlow Semi Condensed" w:hAnsi="Barlow Semi Condensed"/>
          <w:b/>
          <w:bCs/>
          <w:sz w:val="24"/>
          <w:szCs w:val="24"/>
        </w:rPr>
        <w:t xml:space="preserve">L'atto raffinato.</w:t>
      </w:r>
      <w:r>
        <w:rPr>
          <w:rFonts w:ascii="Barlow Semi Condensed" w:cs="Barlow Semi Condensed" w:eastAsia="Barlow Semi Condensed" w:hAnsi="Barlow Semi Condensed"/>
          <w:sz w:val="24"/>
          <w:szCs w:val="24"/>
        </w:rPr>
        <w:t xml:space="preserve"> Non «una nuova perizia» generica, ma una </w:t>
      </w:r>
      <w:r>
        <w:rPr>
          <w:rFonts w:ascii="Barlow Semi Condensed" w:cs="Barlow Semi Condensed" w:eastAsia="Barlow Semi Condensed" w:hAnsi="Barlow Semi Condensed"/>
          <w:b/>
          <w:bCs/>
          <w:sz w:val="24"/>
          <w:szCs w:val="24"/>
        </w:rPr>
        <w:t xml:space="preserve">perizia di sintesi e dirimente</w:t>
      </w:r>
      <w:r>
        <w:rPr>
          <w:rFonts w:ascii="Barlow Semi Condensed" w:cs="Barlow Semi Condensed" w:eastAsia="Barlow Semi Condensed" w:hAnsi="Barlow Semi Condensed"/>
          <w:sz w:val="24"/>
          <w:szCs w:val="24"/>
        </w:rPr>
        <w:t xml:space="preserve">: ri-esame integrale dei 91 bossoli con comparatore balistico moderno e microscopia 3D, quesito esplicito sulla divergenza fra le tre perizie (1978 / anni Novanta / 2015), e — </w:t>
      </w:r>
      <w:r>
        <w:rPr>
          <w:rFonts w:ascii="Barlow Semi Condensed" w:cs="Barlow Semi Condensed" w:eastAsia="Barlow Semi Condensed" w:hAnsi="Barlow Semi Condensed"/>
          <w:b/>
          <w:bCs/>
          <w:sz w:val="24"/>
          <w:szCs w:val="24"/>
        </w:rPr>
        <w:t xml:space="preserve">prima di tutto</w:t>
      </w:r>
      <w:r>
        <w:rPr>
          <w:rFonts w:ascii="Barlow Semi Condensed" w:cs="Barlow Semi Condensed" w:eastAsia="Barlow Semi Condensed" w:hAnsi="Barlow Semi Condensed"/>
          <w:sz w:val="24"/>
          <w:szCs w:val="24"/>
        </w:rPr>
        <w:t xml:space="preserve"> — la </w:t>
      </w:r>
      <w:r>
        <w:rPr>
          <w:rFonts w:ascii="Barlow Semi Condensed" w:cs="Barlow Semi Condensed" w:eastAsia="Barlow Semi Condensed" w:hAnsi="Barlow Semi Condensed"/>
          <w:b/>
          <w:bCs/>
          <w:sz w:val="24"/>
          <w:szCs w:val="24"/>
        </w:rPr>
        <w:t xml:space="preserve">ricostruzione della catena di custodia dei reperti</w:t>
      </w:r>
      <w:r>
        <w:rPr>
          <w:rFonts w:ascii="Barlow Semi Condensed" w:cs="Barlow Semi Condensed" w:eastAsia="Barlow Semi Condensed" w:hAnsi="Barlow Semi Condensed"/>
          <w:sz w:val="24"/>
          <w:szCs w:val="24"/>
        </w:rPr>
        <w:t xml:space="preserve">: in un cold case di 48 anni, la prima causa di fallimento non è la scienza ma il reperto degradato o non più tracciabile. Se la catena non regge, va detto: anche questo è un esito.</w:t>
      </w:r>
    </w:p>
    <w:p>
      <w:pPr>
        <w:spacing w:after="120" w:line="276"/>
        <w:jc w:val="both"/>
      </w:pPr>
      <w:r>
        <w:rPr>
          <w:rFonts w:ascii="Barlow Semi Condensed" w:cs="Barlow Semi Condensed" w:eastAsia="Barlow Semi Condensed" w:hAnsi="Barlow Semi Condensed"/>
          <w:b/>
          <w:bCs/>
          <w:sz w:val="24"/>
          <w:szCs w:val="24"/>
        </w:rPr>
        <w:t xml:space="preserve">Errori da non ripetere:</w:t>
      </w:r>
      <w:r>
        <w:rPr>
          <w:rFonts w:ascii="Barlow Semi Condensed" w:cs="Barlow Semi Condensed" w:eastAsia="Barlow Semi Condensed" w:hAnsi="Barlow Semi Condensed"/>
          <w:sz w:val="24"/>
          <w:szCs w:val="24"/>
        </w:rPr>
        <w:t xml:space="preserve"> fondare la pista su testimoni (v. Nota di revisione n. 1); confondere la divergenza peritale con la prova del terzo uomo — la divergenza è un problema di laboratorio finché un residuo balistico non attribuibile non emerga davvero.</w:t>
      </w:r>
    </w:p>
    <w:p>
      <w:pPr>
        <w:spacing w:after="120" w:line="276"/>
        <w:jc w:val="both"/>
      </w:pPr>
      <w:r>
        <w:rPr>
          <w:rFonts w:ascii="Barlow Semi Condensed" w:cs="Barlow Semi Condensed" w:eastAsia="Barlow Semi Condensed" w:hAnsi="Barlow Semi Condensed"/>
          <w:b/>
          <w:bCs/>
          <w:sz w:val="24"/>
          <w:szCs w:val="24"/>
        </w:rPr>
        <w:t xml:space="preserve">Criterio di chiusura aggiornato: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w:t>
      </w:r>
      <w:r>
        <w:rPr>
          <w:rFonts w:ascii="Barlow Semi Condensed" w:cs="Barlow Semi Condensed" w:eastAsia="Barlow Semi Condensed" w:hAnsi="Barlow Semi Condensed"/>
          <w:sz w:val="24"/>
          <w:szCs w:val="24"/>
        </w:rPr>
        <w:t xml:space="preserve"> tutte le tracce tornano alle armi del commando giudicato → l'ipotesi delle presenze operative estranee perde il suo unico possibile fondamento fisico su via Fani; </w:t>
      </w:r>
      <w:r>
        <w:rPr>
          <w:rFonts w:ascii="Barlow Semi Condensed" w:cs="Barlow Semi Condensed" w:eastAsia="Barlow Semi Condensed" w:hAnsi="Barlow Semi Condensed"/>
          <w:i/>
          <w:iCs/>
          <w:sz w:val="24"/>
          <w:szCs w:val="24"/>
        </w:rPr>
        <w:t xml:space="preserve">(ii)</w:t>
      </w:r>
      <w:r>
        <w:rPr>
          <w:rFonts w:ascii="Barlow Semi Condensed" w:cs="Barlow Semi Condensed" w:eastAsia="Barlow Semi Condensed" w:hAnsi="Barlow Semi Condensed"/>
          <w:sz w:val="24"/>
          <w:szCs w:val="24"/>
        </w:rPr>
        <w:t xml:space="preserve"> emerge un residuo non attribuibile → si apre un'identificazione giudiziaria, e sarà il fascicolo a condurla.</w:t>
      </w:r>
    </w:p>
    <w:p>
      <w:pPr>
        <w:pStyle w:val="Heading2"/>
        <w:spacing w:after="100" w:before="200"/>
      </w:pPr>
      <w:r>
        <w:rPr>
          <w:rFonts w:ascii="Barlow Semi Condensed" w:cs="Barlow Semi Condensed" w:eastAsia="Barlow Semi Condensed" w:hAnsi="Barlow Semi Condensed"/>
          <w:sz w:val="24"/>
          <w:szCs w:val="24"/>
        </w:rPr>
        <w:t xml:space="preserve">Scheda PN-7 — I testimoni viventi (77,5)</w:t>
      </w:r>
    </w:p>
    <w:p>
      <w:pPr>
        <w:spacing w:after="120" w:line="276"/>
        <w:jc w:val="both"/>
      </w:pPr>
      <w:r>
        <w:rPr>
          <w:rFonts w:ascii="Barlow Semi Condensed" w:cs="Barlow Semi Condensed" w:eastAsia="Barlow Semi Condensed" w:hAnsi="Barlow Semi Condensed"/>
          <w:b/>
          <w:bCs/>
          <w:sz w:val="24"/>
          <w:szCs w:val="24"/>
        </w:rPr>
        <w:t xml:space="preserve">Perché la pista vale, dimostrato dal suo stesso caso peggiore.</w:t>
      </w:r>
      <w:r>
        <w:rPr>
          <w:rFonts w:ascii="Barlow Semi Condensed" w:cs="Barlow Semi Condensed" w:eastAsia="Barlow Semi Condensed" w:hAnsi="Barlow Semi Condensed"/>
          <w:sz w:val="24"/>
          <w:szCs w:val="24"/>
        </w:rPr>
        <w:t xml:space="preserve"> Il caso Marini — che pure finisce in una ritrattazione — è la </w:t>
      </w:r>
      <w:r>
        <w:rPr>
          <w:rFonts w:ascii="Barlow Semi Condensed" w:cs="Barlow Semi Condensed" w:eastAsia="Barlow Semi Condensed" w:hAnsi="Barlow Semi Condensed"/>
          <w:b/>
          <w:bCs/>
          <w:sz w:val="24"/>
          <w:szCs w:val="24"/>
        </w:rPr>
        <w:t xml:space="preserve">prova del valore della ri-escussione</w:t>
      </w:r>
      <w:r>
        <w:rPr>
          <w:rFonts w:ascii="Barlow Semi Condensed" w:cs="Barlow Semi Condensed" w:eastAsia="Barlow Semi Condensed" w:hAnsi="Barlow Semi Condensed"/>
          <w:sz w:val="24"/>
          <w:szCs w:val="24"/>
        </w:rPr>
        <w:t xml:space="preserve">: fu proprio il ri-ascolto tardivo, incrociato con le fotografie del mattino, a produrre la correzione del quadro. La ri-escussione non serve a confermare i ricordi: serve a </w:t>
      </w:r>
      <w:r>
        <w:rPr>
          <w:rFonts w:ascii="Barlow Semi Condensed" w:cs="Barlow Semi Condensed" w:eastAsia="Barlow Semi Condensed" w:hAnsi="Barlow Semi Condensed"/>
          <w:b/>
          <w:bCs/>
          <w:sz w:val="24"/>
          <w:szCs w:val="24"/>
        </w:rPr>
        <w:t xml:space="preserve">correggerli contro i documenti</w:t>
      </w:r>
      <w:r>
        <w:rPr>
          <w:rFonts w:ascii="Barlow Semi Condensed" w:cs="Barlow Semi Condensed" w:eastAsia="Barlow Semi Condensed" w:hAnsi="Barlow Semi Condensed"/>
          <w:sz w:val="24"/>
          <w:szCs w:val="24"/>
        </w:rPr>
        <w:t xml:space="preserve">. E il precedente opposto vale altrettanto: </w:t>
      </w:r>
      <w:r>
        <w:rPr>
          <w:rFonts w:ascii="Barlow Semi Condensed" w:cs="Barlow Semi Condensed" w:eastAsia="Barlow Semi Condensed" w:hAnsi="Barlow Semi Condensed"/>
          <w:b/>
          <w:bCs/>
          <w:sz w:val="24"/>
          <w:szCs w:val="24"/>
        </w:rPr>
        <w:t xml:space="preserve">Giovanni De Chiara</w:t>
      </w:r>
      <w:r>
        <w:rPr>
          <w:rFonts w:ascii="Barlow Semi Condensed" w:cs="Barlow Semi Condensed" w:eastAsia="Barlow Semi Condensed" w:hAnsi="Barlow Semi Condensed"/>
          <w:sz w:val="24"/>
          <w:szCs w:val="24"/>
        </w:rPr>
        <w:t xml:space="preserve">, residente in via Fani, fu udito per la prima volta </w:t>
      </w:r>
      <w:r>
        <w:rPr>
          <w:rFonts w:ascii="Barlow Semi Condensed" w:cs="Barlow Semi Condensed" w:eastAsia="Barlow Semi Condensed" w:hAnsi="Barlow Semi Condensed"/>
          <w:b/>
          <w:bCs/>
          <w:sz w:val="24"/>
          <w:szCs w:val="24"/>
        </w:rPr>
        <w:t xml:space="preserve">dopo quasi quarant'anni</w:t>
      </w:r>
      <w:r>
        <w:rPr>
          <w:rFonts w:ascii="Barlow Semi Condensed" w:cs="Barlow Semi Condensed" w:eastAsia="Barlow Semi Condensed" w:hAnsi="Barlow Semi Condensed"/>
          <w:sz w:val="24"/>
          <w:szCs w:val="24"/>
        </w:rPr>
        <w:t xml:space="preserve"> dalla Commissione Moro 2 — la dimostrazione che il giacimento testimoniale non era esaurito, era inesplorato.</w:t>
      </w:r>
    </w:p>
    <w:p>
      <w:pPr>
        <w:spacing w:after="120" w:line="276"/>
        <w:jc w:val="both"/>
      </w:pPr>
      <w:r>
        <w:rPr>
          <w:rFonts w:ascii="Barlow Semi Condensed" w:cs="Barlow Semi Condensed" w:eastAsia="Barlow Semi Condensed" w:hAnsi="Barlow Semi Condensed"/>
          <w:b/>
          <w:bCs/>
          <w:sz w:val="24"/>
          <w:szCs w:val="24"/>
        </w:rPr>
        <w:t xml:space="preserve">L'atto raffinato: la raccolta conservativa in contraddittorio documentale.</w:t>
      </w:r>
      <w:r>
        <w:rPr>
          <w:rFonts w:ascii="Barlow Semi Condensed" w:cs="Barlow Semi Condensed" w:eastAsia="Barlow Semi Condensed" w:hAnsi="Barlow Semi Condensed"/>
          <w:sz w:val="24"/>
          <w:szCs w:val="24"/>
        </w:rPr>
        <w:t xml:space="preserve"> Censimento dei testimoni oculari viventi (residenti, passanti, esercenti della zona, personale intervenuto); escussione registrata integralmente, con protocolli di memoria assistita e — questa è la lezione Marini — </w:t>
      </w:r>
      <w:r>
        <w:rPr>
          <w:rFonts w:ascii="Barlow Semi Condensed" w:cs="Barlow Semi Condensed" w:eastAsia="Barlow Semi Condensed" w:hAnsi="Barlow Semi Condensed"/>
          <w:b/>
          <w:bCs/>
          <w:sz w:val="24"/>
          <w:szCs w:val="24"/>
        </w:rPr>
        <w:t xml:space="preserve">con le fotografie e le planimetrie d'epoca sul tavolo</w:t>
      </w:r>
      <w:r>
        <w:rPr>
          <w:rFonts w:ascii="Barlow Semi Condensed" w:cs="Barlow Semi Condensed" w:eastAsia="Barlow Semi Condensed" w:hAnsi="Barlow Semi Condensed"/>
          <w:sz w:val="24"/>
          <w:szCs w:val="24"/>
        </w:rPr>
        <w:t xml:space="preserve">, perché il ricordo sia vincolato ai documenti e non li sostituisca. Ogni deposizione va acquisita </w:t>
      </w:r>
      <w:r>
        <w:rPr>
          <w:rFonts w:ascii="Barlow Semi Condensed" w:cs="Barlow Semi Condensed" w:eastAsia="Barlow Semi Condensed" w:hAnsi="Barlow Semi Condensed"/>
          <w:i/>
          <w:iCs/>
          <w:sz w:val="24"/>
          <w:szCs w:val="24"/>
        </w:rPr>
        <w:t xml:space="preserve">ora</w:t>
      </w:r>
      <w:r>
        <w:rPr>
          <w:rFonts w:ascii="Barlow Semi Condensed" w:cs="Barlow Semi Condensed" w:eastAsia="Barlow Semi Condensed" w:hAnsi="Barlow Semi Condensed"/>
          <w:sz w:val="24"/>
          <w:szCs w:val="24"/>
        </w:rPr>
        <w:t xml:space="preserve"> e conservata </w:t>
      </w:r>
      <w:r>
        <w:rPr>
          <w:rFonts w:ascii="Barlow Semi Condensed" w:cs="Barlow Semi Condensed" w:eastAsia="Barlow Semi Condensed" w:hAnsi="Barlow Semi Condensed"/>
          <w:i/>
          <w:iCs/>
          <w:sz w:val="24"/>
          <w:szCs w:val="24"/>
        </w:rPr>
        <w:t xml:space="preserve">per dopo</w:t>
      </w:r>
      <w:r>
        <w:rPr>
          <w:rFonts w:ascii="Barlow Semi Condensed" w:cs="Barlow Semi Condensed" w:eastAsia="Barlow Semi Condensed" w:hAnsi="Barlow Semi Condensed"/>
          <w:sz w:val="24"/>
          <w:szCs w:val="24"/>
        </w:rPr>
        <w:t xml:space="preserve">: anche dove non sposti nulla oggi, sarà insostituibile quando un reperto (PN-1, PN-2) porrà domande nuove.</w:t>
      </w:r>
    </w:p>
    <w:p>
      <w:pPr>
        <w:spacing w:after="120" w:line="276"/>
        <w:jc w:val="both"/>
      </w:pPr>
      <w:r>
        <w:rPr>
          <w:rFonts w:ascii="Barlow Semi Condensed" w:cs="Barlow Semi Condensed" w:eastAsia="Barlow Semi Condensed" w:hAnsi="Barlow Semi Condensed"/>
          <w:b/>
          <w:bCs/>
          <w:sz w:val="24"/>
          <w:szCs w:val="24"/>
        </w:rPr>
        <w:t xml:space="preserve">Errori da non ripetere:</w:t>
      </w:r>
      <w:r>
        <w:rPr>
          <w:rFonts w:ascii="Barlow Semi Condensed" w:cs="Barlow Semi Condensed" w:eastAsia="Barlow Semi Condensed" w:hAnsi="Barlow Semi Condensed"/>
          <w:sz w:val="24"/>
          <w:szCs w:val="24"/>
        </w:rPr>
        <w:t xml:space="preserve"> trattare il testimone tardivo come oracolo (l'errore della pubblicistica) o come inutile (l'errore degli atti per quarant'anni su De Chiara). Il testimone è una fonte di grado B da incrociare, sempre.</w:t>
      </w:r>
    </w:p>
    <w:p>
      <w:pPr>
        <w:spacing w:after="120" w:line="276"/>
        <w:jc w:val="both"/>
      </w:pPr>
      <w:r>
        <w:rPr>
          <w:rFonts w:ascii="Barlow Semi Condensed" w:cs="Barlow Semi Condensed" w:eastAsia="Barlow Semi Condensed" w:hAnsi="Barlow Semi Condensed"/>
          <w:b/>
          <w:bCs/>
          <w:sz w:val="24"/>
          <w:szCs w:val="24"/>
        </w:rPr>
        <w:t xml:space="preserve">Criterio di chiusura:</w:t>
      </w:r>
      <w:r>
        <w:rPr>
          <w:rFonts w:ascii="Barlow Semi Condensed" w:cs="Barlow Semi Condensed" w:eastAsia="Barlow Semi Condensed" w:hAnsi="Barlow Semi Condensed"/>
          <w:sz w:val="24"/>
          <w:szCs w:val="24"/>
        </w:rPr>
        <w:t xml:space="preserve"> la pista non «chiude» — si esaurisce fisiologicamente col censimento completato e le escussioni depositate. L'urgenza resta massima: è l'unica pista con scadenza biologica.</w:t>
      </w:r>
    </w:p>
    <w:p>
      <w:pPr>
        <w:pStyle w:val="Heading2"/>
        <w:spacing w:after="100" w:before="200"/>
      </w:pPr>
      <w:r>
        <w:rPr>
          <w:rFonts w:ascii="Barlow Semi Condensed" w:cs="Barlow Semi Condensed" w:eastAsia="Barlow Semi Condensed" w:hAnsi="Barlow Semi Condensed"/>
          <w:sz w:val="24"/>
          <w:szCs w:val="24"/>
        </w:rPr>
        <w:t xml:space="preserve">Scheda PN-4 — La fonte della segnalazione «Gradoli» (74,5)</w:t>
      </w:r>
    </w:p>
    <w:p>
      <w:pPr>
        <w:spacing w:after="120" w:line="276"/>
        <w:jc w:val="both"/>
      </w:pPr>
      <w:r>
        <w:rPr>
          <w:rFonts w:ascii="Barlow Semi Condensed" w:cs="Barlow Semi Condensed" w:eastAsia="Barlow Semi Condensed" w:hAnsi="Barlow Semi Condensed"/>
          <w:b/>
          <w:bCs/>
          <w:sz w:val="24"/>
          <w:szCs w:val="24"/>
        </w:rPr>
        <w:t xml:space="preserve">Il fatto, nella sua interezza documentata.</w:t>
      </w:r>
      <w:r>
        <w:rPr>
          <w:rFonts w:ascii="Barlow Semi Condensed" w:cs="Barlow Semi Condensed" w:eastAsia="Barlow Semi Condensed" w:hAnsi="Barlow Semi Condensed"/>
          <w:sz w:val="24"/>
          <w:szCs w:val="24"/>
        </w:rPr>
        <w:t xml:space="preserve"> Domenica </w:t>
      </w:r>
      <w:r>
        <w:rPr>
          <w:rFonts w:ascii="Barlow Semi Condensed" w:cs="Barlow Semi Condensed" w:eastAsia="Barlow Semi Condensed" w:hAnsi="Barlow Semi Condensed"/>
          <w:b/>
          <w:bCs/>
          <w:sz w:val="24"/>
          <w:szCs w:val="24"/>
        </w:rPr>
        <w:t xml:space="preserve">2 aprile 1978</w:t>
      </w:r>
      <w:r>
        <w:rPr>
          <w:rFonts w:ascii="Barlow Semi Condensed" w:cs="Barlow Semi Condensed" w:eastAsia="Barlow Semi Condensed" w:hAnsi="Barlow Semi Condensed"/>
          <w:sz w:val="24"/>
          <w:szCs w:val="24"/>
        </w:rPr>
        <w:t xml:space="preserve">, a </w:t>
      </w:r>
      <w:r>
        <w:rPr>
          <w:rFonts w:ascii="Barlow Semi Condensed" w:cs="Barlow Semi Condensed" w:eastAsia="Barlow Semi Condensed" w:hAnsi="Barlow Semi Condensed"/>
          <w:b/>
          <w:bCs/>
          <w:sz w:val="24"/>
          <w:szCs w:val="24"/>
        </w:rPr>
        <w:t xml:space="preserve">Zappolino</w:t>
      </w:r>
      <w:r>
        <w:rPr>
          <w:rFonts w:ascii="Barlow Semi Condensed" w:cs="Barlow Semi Condensed" w:eastAsia="Barlow Semi Condensed" w:hAnsi="Barlow Semi Condensed"/>
          <w:sz w:val="24"/>
          <w:szCs w:val="24"/>
        </w:rPr>
        <w:t xml:space="preserve">, nella casa di campagna del professor </w:t>
      </w:r>
      <w:r>
        <w:rPr>
          <w:rFonts w:ascii="Barlow Semi Condensed" w:cs="Barlow Semi Condensed" w:eastAsia="Barlow Semi Condensed" w:hAnsi="Barlow Semi Condensed"/>
          <w:b/>
          <w:bCs/>
          <w:sz w:val="24"/>
          <w:szCs w:val="24"/>
        </w:rPr>
        <w:t xml:space="preserve">Alberto Clò</w:t>
      </w:r>
      <w:r>
        <w:rPr>
          <w:rFonts w:ascii="Barlow Semi Condensed" w:cs="Barlow Semi Condensed" w:eastAsia="Barlow Semi Condensed" w:hAnsi="Barlow Semi Condensed"/>
          <w:sz w:val="24"/>
          <w:szCs w:val="24"/>
        </w:rPr>
        <w:t xml:space="preserve">, dodici persone — fra cui </w:t>
      </w:r>
      <w:r>
        <w:rPr>
          <w:rFonts w:ascii="Barlow Semi Condensed" w:cs="Barlow Semi Condensed" w:eastAsia="Barlow Semi Condensed" w:hAnsi="Barlow Semi Condensed"/>
          <w:b/>
          <w:bCs/>
          <w:sz w:val="24"/>
          <w:szCs w:val="24"/>
        </w:rPr>
        <w:t xml:space="preserve">Romano Prodi</w:t>
      </w:r>
      <w:r>
        <w:rPr>
          <w:rFonts w:ascii="Barlow Semi Condensed" w:cs="Barlow Semi Condensed" w:eastAsia="Barlow Semi Condensed" w:hAnsi="Barlow Semi Condensed"/>
          <w:sz w:val="24"/>
          <w:szCs w:val="24"/>
        </w:rPr>
        <w:t xml:space="preserve"> — parteciparono a una seduta spiritica col piattino; ne uscì, associato al sequestro, il nome </w:t>
      </w:r>
      <w:r>
        <w:rPr>
          <w:rFonts w:ascii="Barlow Semi Condensed" w:cs="Barlow Semi Condensed" w:eastAsia="Barlow Semi Condensed" w:hAnsi="Barlow Semi Condensed"/>
          <w:b/>
          <w:bCs/>
          <w:sz w:val="24"/>
          <w:szCs w:val="24"/>
        </w:rPr>
        <w:t xml:space="preserve">«Gradoli»</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4 aprile</w:t>
      </w:r>
      <w:r>
        <w:rPr>
          <w:rFonts w:ascii="Barlow Semi Condensed" w:cs="Barlow Semi Condensed" w:eastAsia="Barlow Semi Condensed" w:hAnsi="Barlow Semi Condensed"/>
          <w:sz w:val="24"/>
          <w:szCs w:val="24"/>
        </w:rPr>
        <w:t xml:space="preserve"> Prodi riferì la segnalazione negli ambienti della DC; la segnalazione fu presa sul serio e giunse alla polizia, che perquisì </w:t>
      </w:r>
      <w:r>
        <w:rPr>
          <w:rFonts w:ascii="Barlow Semi Condensed" w:cs="Barlow Semi Condensed" w:eastAsia="Barlow Semi Condensed" w:hAnsi="Barlow Semi Condensed"/>
          <w:b/>
          <w:bCs/>
          <w:sz w:val="24"/>
          <w:szCs w:val="24"/>
        </w:rPr>
        <w:t xml:space="preserve">il paese di Gradoli, in provincia di Viterbo</w:t>
      </w:r>
      <w:r>
        <w:rPr>
          <w:rFonts w:ascii="Barlow Semi Condensed" w:cs="Barlow Semi Condensed" w:eastAsia="Barlow Semi Condensed" w:hAnsi="Barlow Semi Condensed"/>
          <w:sz w:val="24"/>
          <w:szCs w:val="24"/>
        </w:rPr>
        <w:t xml:space="preserve"> — con esito nullo — mentre il covo era in </w:t>
      </w:r>
      <w:r>
        <w:rPr>
          <w:rFonts w:ascii="Barlow Semi Condensed" w:cs="Barlow Semi Condensed" w:eastAsia="Barlow Semi Condensed" w:hAnsi="Barlow Semi Condensed"/>
          <w:b/>
          <w:bCs/>
          <w:sz w:val="24"/>
          <w:szCs w:val="24"/>
        </w:rPr>
        <w:t xml:space="preserve">via Gradoli 96, a Roma</w:t>
      </w:r>
      <w:r>
        <w:rPr>
          <w:rFonts w:ascii="Barlow Semi Condensed" w:cs="Barlow Semi Condensed" w:eastAsia="Barlow Semi Condensed" w:hAnsi="Barlow Semi Condensed"/>
          <w:sz w:val="24"/>
          <w:szCs w:val="24"/>
        </w:rPr>
        <w:t xml:space="preserve">, sulla Cassia, la strada per Viterbo. Interrogati ripetutamente da magistrati e Commissioni, </w:t>
      </w:r>
      <w:r>
        <w:rPr>
          <w:rFonts w:ascii="Barlow Semi Condensed" w:cs="Barlow Semi Condensed" w:eastAsia="Barlow Semi Condensed" w:hAnsi="Barlow Semi Condensed"/>
          <w:b/>
          <w:bCs/>
          <w:sz w:val="24"/>
          <w:szCs w:val="24"/>
        </w:rPr>
        <w:t xml:space="preserve">tutti i dodici partecipanti confermarono</w:t>
      </w:r>
      <w:r>
        <w:rPr>
          <w:rFonts w:ascii="Barlow Semi Condensed" w:cs="Barlow Semi Condensed" w:eastAsia="Barlow Semi Condensed" w:hAnsi="Barlow Semi Condensed"/>
          <w:sz w:val="24"/>
          <w:szCs w:val="24"/>
        </w:rPr>
        <w:t xml:space="preserve"> la versione della seduta (Il Post, la ricostruzione (https://www.ilpost.it/2018/04/04/prodi-seduta-spiritica-moro/); Spazio70, la vicenda nei verbali della Commissione Stragi (https://spazio70.com/anni-70/brigate-rosse/via-gradoli-lassurda-vicenda-della-seduta-spiritica-nei-verbali-della-commissione-stragi/); Passaggi Lenti (https://www.passaggilenti.com/seduta-spiritica-sul-caso-moro-via-gradoli/)).</w:t>
      </w:r>
    </w:p>
    <w:p>
      <w:pPr>
        <w:spacing w:after="120" w:line="276"/>
        <w:jc w:val="both"/>
      </w:pPr>
      <w:r>
        <w:rPr>
          <w:rFonts w:ascii="Barlow Semi Condensed" w:cs="Barlow Semi Condensed" w:eastAsia="Barlow Semi Condensed" w:hAnsi="Barlow Semi Condensed"/>
          <w:b/>
          <w:bCs/>
          <w:sz w:val="24"/>
          <w:szCs w:val="24"/>
        </w:rPr>
        <w:t xml:space="preserve">Il perimetro delle persone, fissato una volta per tutte.</w:t>
      </w:r>
      <w:r>
        <w:rPr>
          <w:rFonts w:ascii="Barlow Semi Condensed" w:cs="Barlow Semi Condensed" w:eastAsia="Barlow Semi Condensed" w:hAnsi="Barlow Semi Condensed"/>
          <w:sz w:val="24"/>
          <w:szCs w:val="24"/>
        </w:rPr>
        <w:t xml:space="preserve"> I partecipanti sono persone reali che hanno reso versioni concordi ad autorità dello Stato: la pista </w:t>
      </w:r>
      <w:r>
        <w:rPr>
          <w:rFonts w:ascii="Barlow Semi Condensed" w:cs="Barlow Semi Condensed" w:eastAsia="Barlow Semi Condensed" w:hAnsi="Barlow Semi Condensed"/>
          <w:b/>
          <w:bCs/>
          <w:sz w:val="24"/>
          <w:szCs w:val="24"/>
        </w:rPr>
        <w:t xml:space="preserve">non cerca loro smentite e non insinua nulla a loro carico</w:t>
      </w:r>
      <w:r>
        <w:rPr>
          <w:rFonts w:ascii="Barlow Semi Condensed" w:cs="Barlow Semi Condensed" w:eastAsia="Barlow Semi Condensed" w:hAnsi="Barlow Semi Condensed"/>
          <w:sz w:val="24"/>
          <w:szCs w:val="24"/>
        </w:rPr>
        <w:t xml:space="preserve"> — cerca </w:t>
      </w:r>
      <w:r>
        <w:rPr>
          <w:rFonts w:ascii="Barlow Semi Condensed" w:cs="Barlow Semi Condensed" w:eastAsia="Barlow Semi Condensed" w:hAnsi="Barlow Semi Condensed"/>
          <w:i/>
          <w:iCs/>
          <w:sz w:val="24"/>
          <w:szCs w:val="24"/>
        </w:rPr>
        <w:t xml:space="preserve">documenti</w:t>
      </w:r>
      <w:r>
        <w:rPr>
          <w:rFonts w:ascii="Barlow Semi Condensed" w:cs="Barlow Semi Condensed" w:eastAsia="Barlow Semi Condensed" w:hAnsi="Barlow Semi Condensed"/>
          <w:sz w:val="24"/>
          <w:szCs w:val="24"/>
        </w:rPr>
        <w:t xml:space="preserve">. Le due letture storiche restano quelle dell'ACH: la coincidenza autentica, e l'ipotesi — mai provata — che il «piattino» coprisse una fonte umana da proteggere. Fra le due, come già stabilito, </w:t>
      </w:r>
      <w:r>
        <w:rPr>
          <w:rFonts w:ascii="Barlow Semi Condensed" w:cs="Barlow Semi Condensed" w:eastAsia="Barlow Semi Condensed" w:hAnsi="Barlow Semi Condensed"/>
          <w:b/>
          <w:bCs/>
          <w:sz w:val="24"/>
          <w:szCs w:val="24"/>
        </w:rPr>
        <w:t xml:space="preserve">nessuna evidenza disponibile discrimina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L'atto raffinato: cercare la catena, non la fonte.</w:t>
      </w:r>
      <w:r>
        <w:rPr>
          <w:rFonts w:ascii="Barlow Semi Condensed" w:cs="Barlow Semi Condensed" w:eastAsia="Barlow Semi Condensed" w:hAnsi="Barlow Semi Condensed"/>
          <w:sz w:val="24"/>
          <w:szCs w:val="24"/>
        </w:rPr>
        <w:t xml:space="preserve"> L'errore di quarant'anni di dibattito è aver cercato «chi parlò» — domanda forse irrisolvibile. L'atto proponibile cerca invece la </w:t>
      </w:r>
      <w:r>
        <w:rPr>
          <w:rFonts w:ascii="Barlow Semi Condensed" w:cs="Barlow Semi Condensed" w:eastAsia="Barlow Semi Condensed" w:hAnsi="Barlow Semi Condensed"/>
          <w:b/>
          <w:bCs/>
          <w:sz w:val="24"/>
          <w:szCs w:val="24"/>
        </w:rPr>
        <w:t xml:space="preserve">catena documentale</w:t>
      </w:r>
      <w:r>
        <w:rPr>
          <w:rFonts w:ascii="Barlow Semi Condensed" w:cs="Barlow Semi Condensed" w:eastAsia="Barlow Semi Condensed" w:hAnsi="Barlow Semi Condensed"/>
          <w:sz w:val="24"/>
          <w:szCs w:val="24"/>
        </w:rPr>
        <w:t xml:space="preserve">, che esiste per definizione: </w:t>
      </w: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la segnalazione come fu verbalizzata in origine (chi la ricevette, con quali parole, con quale protocollo);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l'ordine di perquisizione del paese di Gradoli e la sua motivazione scritta;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il carteggio Viminale-questure del 4-18 aprile 1978 sul nome «Gradoli»;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l'eventuale traccia — negli atti versati col fondo Direttiva Renzi — di verifiche sull'omonimia stradale romana </w:t>
      </w:r>
      <w:r>
        <w:rPr>
          <w:rFonts w:ascii="Barlow Semi Condensed" w:cs="Barlow Semi Condensed" w:eastAsia="Barlow Semi Condensed" w:hAnsi="Barlow Semi Condensed"/>
          <w:i/>
          <w:iCs/>
          <w:sz w:val="24"/>
          <w:szCs w:val="24"/>
        </w:rPr>
        <w:t xml:space="preserve">prima</w:t>
      </w:r>
      <w:r>
        <w:rPr>
          <w:rFonts w:ascii="Barlow Semi Condensed" w:cs="Barlow Semi Condensed" w:eastAsia="Barlow Semi Condensed" w:hAnsi="Barlow Semi Condensed"/>
          <w:sz w:val="24"/>
          <w:szCs w:val="24"/>
        </w:rPr>
        <w:t xml:space="preserve"> del 18 aprile. Ogni anello di questa catena è un documento d'ufficio: o c'è, o la sua assenza è essa stessa un dato (l'esito negativo circostanziato, come sempre, vale).</w:t>
      </w:r>
    </w:p>
    <w:p>
      <w:pPr>
        <w:spacing w:after="120" w:line="276"/>
        <w:jc w:val="both"/>
      </w:pPr>
      <w:r>
        <w:rPr>
          <w:rFonts w:ascii="Barlow Semi Condensed" w:cs="Barlow Semi Condensed" w:eastAsia="Barlow Semi Condensed" w:hAnsi="Barlow Semi Condensed"/>
          <w:b/>
          <w:bCs/>
          <w:sz w:val="24"/>
          <w:szCs w:val="24"/>
        </w:rPr>
        <w:t xml:space="preserve">Criterio di chiusura:</w:t>
      </w:r>
      <w:r>
        <w:rPr>
          <w:rFonts w:ascii="Barlow Semi Condensed" w:cs="Barlow Semi Condensed" w:eastAsia="Barlow Semi Condensed" w:hAnsi="Barlow Semi Condensed"/>
          <w:sz w:val="24"/>
          <w:szCs w:val="24"/>
        </w:rPr>
        <w:t xml:space="preserve"> la catena ricostruita per intero — qualunque cosa mostri — oppure l'esaurimento certificato dei fondi con l'elenco di ciò che manca e di dove avrebbe dovuto essere.</w:t>
      </w:r>
    </w:p>
    <w:p>
      <w:pPr>
        <w:pStyle w:val="Heading2"/>
        <w:spacing w:after="100" w:before="200"/>
      </w:pPr>
      <w:r>
        <w:rPr>
          <w:rFonts w:ascii="Barlow Semi Condensed" w:cs="Barlow Semi Condensed" w:eastAsia="Barlow Semi Condensed" w:hAnsi="Barlow Semi Condensed"/>
          <w:sz w:val="24"/>
          <w:szCs w:val="24"/>
        </w:rPr>
        <w:t xml:space="preserve">Scheda PN-2 — Il caricatore di via Stresa (71,0)</w:t>
      </w:r>
    </w:p>
    <w:p>
      <w:pPr>
        <w:spacing w:after="120" w:line="276"/>
        <w:jc w:val="both"/>
      </w:pPr>
      <w:r>
        <w:rPr>
          <w:rFonts w:ascii="Barlow Semi Condensed" w:cs="Barlow Semi Condensed" w:eastAsia="Barlow Semi Condensed" w:hAnsi="Barlow Semi Condensed"/>
          <w:b/>
          <w:bCs/>
          <w:sz w:val="24"/>
          <w:szCs w:val="24"/>
        </w:rPr>
        <w:t xml:space="preserve">Il reperto e la sua forza.</w:t>
      </w:r>
      <w:r>
        <w:rPr>
          <w:rFonts w:ascii="Barlow Semi Condensed" w:cs="Barlow Semi Condensed" w:eastAsia="Barlow Semi Condensed" w:hAnsi="Barlow Semi Condensed"/>
          <w:sz w:val="24"/>
          <w:szCs w:val="24"/>
        </w:rPr>
        <w:t xml:space="preserve"> Un caricatore abbandonato sul percorso di fuga fra via Fani e via Stresa, oggi al vaglio del fascicolo aperto per impronte e tracce genetiche, con comparazione disposta anche verso Morucci. La sua forza è ciò che la Nota di revisione n. 1 rende prezioso: </w:t>
      </w:r>
      <w:r>
        <w:rPr>
          <w:rFonts w:ascii="Barlow Semi Condensed" w:cs="Barlow Semi Condensed" w:eastAsia="Barlow Semi Condensed" w:hAnsi="Barlow Semi Condensed"/>
          <w:b/>
          <w:bCs/>
          <w:sz w:val="24"/>
          <w:szCs w:val="24"/>
        </w:rPr>
        <w:t xml:space="preserve">è un reperto, non un ricordo</w:t>
      </w:r>
      <w:r>
        <w:rPr>
          <w:rFonts w:ascii="Barlow Semi Condensed" w:cs="Barlow Semi Condensed" w:eastAsia="Barlow Semi Condensed" w:hAnsi="Barlow Semi Condensed"/>
          <w:sz w:val="24"/>
          <w:szCs w:val="24"/>
        </w:rPr>
        <w:t xml:space="preserve"> — non ritratta, non viene minacciato, non confonde le date. Il quesito è binario e l'esito è utile in entrambi i rami: se attribuito a un componente del commando giudicato, chiude un dettaglio e rafforza il quadro; se attribuito a un profilo ignoto, diventa — insieme all'eventuale residuo balistico di PN-1 — l'unico fondamento fisico possibile della terza presenza.</w:t>
      </w:r>
    </w:p>
    <w:p>
      <w:pPr>
        <w:spacing w:after="120" w:line="276"/>
        <w:jc w:val="both"/>
      </w:pPr>
      <w:r>
        <w:rPr>
          <w:rFonts w:ascii="Barlow Semi Condensed" w:cs="Barlow Semi Condensed" w:eastAsia="Barlow Semi Condensed" w:hAnsi="Barlow Semi Condensed"/>
          <w:b/>
          <w:bCs/>
          <w:sz w:val="24"/>
          <w:szCs w:val="24"/>
        </w:rPr>
        <w:t xml:space="preserve">L'atto raffinato:</w:t>
      </w:r>
      <w:r>
        <w:rPr>
          <w:rFonts w:ascii="Barlow Semi Condensed" w:cs="Barlow Semi Condensed" w:eastAsia="Barlow Semi Condensed" w:hAnsi="Barlow Semi Condensed"/>
          <w:sz w:val="24"/>
          <w:szCs w:val="24"/>
        </w:rPr>
        <w:t xml:space="preserve"> oltre alle comparazioni disposte, la </w:t>
      </w:r>
      <w:r>
        <w:rPr>
          <w:rFonts w:ascii="Barlow Semi Condensed" w:cs="Barlow Semi Condensed" w:eastAsia="Barlow Semi Condensed" w:hAnsi="Barlow Semi Condensed"/>
          <w:b/>
          <w:bCs/>
          <w:sz w:val="24"/>
          <w:szCs w:val="24"/>
        </w:rPr>
        <w:t xml:space="preserve">verifica di compatibilità</w:t>
      </w:r>
      <w:r>
        <w:rPr>
          <w:rFonts w:ascii="Barlow Semi Condensed" w:cs="Barlow Semi Condensed" w:eastAsia="Barlow Semi Condensed" w:hAnsi="Barlow Semi Condensed"/>
          <w:sz w:val="24"/>
          <w:szCs w:val="24"/>
        </w:rPr>
        <w:t xml:space="preserve"> fra il caricatore e le armi repertate o attribuite (il caricatore appartiene a un'arma del commando, o a un'arma mai repertata? — quesito che salda PN-2 a PN-1); e ancora una volta la catena di custodia del reperto come atto preliminare.</w:t>
      </w:r>
    </w:p>
    <w:p>
      <w:pPr>
        <w:spacing w:after="120" w:line="276"/>
        <w:jc w:val="both"/>
      </w:pPr>
      <w:r>
        <w:rPr>
          <w:rFonts w:ascii="Barlow Semi Condensed" w:cs="Barlow Semi Condensed" w:eastAsia="Barlow Semi Condensed" w:hAnsi="Barlow Semi Condensed"/>
          <w:b/>
          <w:bCs/>
          <w:sz w:val="24"/>
          <w:szCs w:val="24"/>
        </w:rPr>
        <w:t xml:space="preserve">Criterio di chiusura:</w:t>
      </w:r>
      <w:r>
        <w:rPr>
          <w:rFonts w:ascii="Barlow Semi Condensed" w:cs="Barlow Semi Condensed" w:eastAsia="Barlow Semi Condensed" w:hAnsi="Barlow Semi Condensed"/>
          <w:sz w:val="24"/>
          <w:szCs w:val="24"/>
        </w:rPr>
        <w:t xml:space="preserve"> l'esito delle analisi, in qualunque direzione. È la pista col rapporto più favorevole fra costo dell'atto e nettezza della risposta.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La lezione dell'approfondimento</w:t>
      </w:r>
    </w:p>
    <w:p>
      <w:pPr>
        <w:spacing w:after="120" w:line="276"/>
        <w:jc w:val="both"/>
      </w:pPr>
      <w:r>
        <w:rPr>
          <w:rFonts w:ascii="Barlow Semi Condensed" w:cs="Barlow Semi Condensed" w:eastAsia="Barlow Semi Condensed" w:hAnsi="Barlow Semi Condensed"/>
          <w:sz w:val="24"/>
          <w:szCs w:val="24"/>
        </w:rPr>
        <w:t xml:space="preserve">Approfondire ha prodotto tre cose. </w:t>
      </w:r>
      <w:r>
        <w:rPr>
          <w:rFonts w:ascii="Barlow Semi Condensed" w:cs="Barlow Semi Condensed" w:eastAsia="Barlow Semi Condensed" w:hAnsi="Barlow Semi Condensed"/>
          <w:b/>
          <w:bCs/>
          <w:sz w:val="24"/>
          <w:szCs w:val="24"/>
        </w:rPr>
        <w:t xml:space="preserve">Una correzione</w:t>
      </w:r>
      <w:r>
        <w:rPr>
          <w:rFonts w:ascii="Barlow Semi Condensed" w:cs="Barlow Semi Condensed" w:eastAsia="Barlow Semi Condensed" w:hAnsi="Barlow Semi Condensed"/>
          <w:sz w:val="24"/>
          <w:szCs w:val="24"/>
        </w:rPr>
        <w:t xml:space="preserve"> (la Nota di revisione n. 1), che retrocede un'evidenza del corpus e dimostra che il metodo si applica prima di tutto a se stessi. </w:t>
      </w:r>
      <w:r>
        <w:rPr>
          <w:rFonts w:ascii="Barlow Semi Condensed" w:cs="Barlow Semi Condensed" w:eastAsia="Barlow Semi Condensed" w:hAnsi="Barlow Semi Condensed"/>
          <w:b/>
          <w:bCs/>
          <w:sz w:val="24"/>
          <w:szCs w:val="24"/>
        </w:rPr>
        <w:t xml:space="preserve">Una conferma strutturale</w:t>
      </w:r>
      <w:r>
        <w:rPr>
          <w:rFonts w:ascii="Barlow Semi Condensed" w:cs="Barlow Semi Condensed" w:eastAsia="Barlow Semi Condensed" w:hAnsi="Barlow Semi Condensed"/>
          <w:sz w:val="24"/>
          <w:szCs w:val="24"/>
        </w:rPr>
        <w:t xml:space="preserve">: la graduatoria regge alla correzione — anzi ne esce più solida, perché le quattro piste di testa poggiano ora dichiaratamente su ciò che non ritratta: reperti, documenti d'ufficio, catene di custodia. </w:t>
      </w:r>
      <w:r>
        <w:rPr>
          <w:rFonts w:ascii="Barlow Semi Condensed" w:cs="Barlow Semi Condensed" w:eastAsia="Barlow Semi Condensed" w:hAnsi="Barlow Semi Condensed"/>
          <w:b/>
          <w:bCs/>
          <w:sz w:val="24"/>
          <w:szCs w:val="24"/>
        </w:rPr>
        <w:t xml:space="preserve">E una regola operativa nuova</w:t>
      </w:r>
      <w:r>
        <w:rPr>
          <w:rFonts w:ascii="Barlow Semi Condensed" w:cs="Barlow Semi Condensed" w:eastAsia="Barlow Semi Condensed" w:hAnsi="Barlow Semi Condensed"/>
          <w:sz w:val="24"/>
          <w:szCs w:val="24"/>
        </w:rPr>
        <w:t xml:space="preserve">, che vale per tutto il programma: </w:t>
      </w:r>
      <w:r>
        <w:rPr>
          <w:rFonts w:ascii="Barlow Semi Condensed" w:cs="Barlow Semi Condensed" w:eastAsia="Barlow Semi Condensed" w:hAnsi="Barlow Semi Condensed"/>
          <w:i/>
          <w:iCs/>
          <w:sz w:val="24"/>
          <w:szCs w:val="24"/>
        </w:rPr>
        <w:t xml:space="preserve">in un cold case di mezzo secolo, i ricordi si raccolgono per conservarli e si usano solo incrociati coi documenti; a decidere sono i reperti.</w:t>
      </w:r>
      <w:r>
        <w:rPr>
          <w:rFonts w:ascii="Barlow Semi Condensed" w:cs="Barlow Semi Condensed" w:eastAsia="Barlow Semi Condensed" w:hAnsi="Barlow Semi Condensed"/>
          <w:sz w:val="24"/>
          <w:szCs w:val="24"/>
        </w:rPr>
        <w:t xml:space="preserve"> Il fascicolo romano, che lavora su bossoli, DNA e un caricatore, sta già applicando questa regola. Il corpus, da oggi, la applica anche a se stesso.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Approfondimento delle quattro piste di testa del programma investigativo (PN-1, PN-7, PN-4, PN-2), in formato scheda da cold case: storia degli accertamenti con le divergenze peritali dichiarate (91 bossoli; la ripartizione storica confermata dalla perizia 2015 e non confermata dalla perizia degli anni Novanta), quesiti esatti, atti raffinati (perizia di sintesi con catena di custodia preliminare; raccolta conservativa in contraddittorio documentale; la catena documentale di «Gradoli» al posto della caccia alla fonte; il caricatore come reperto-principe), criteri di chiusura aggiornati. Contiene la Nota di revisione n. 1 (la testimonianza Marini sul parabrezza, ritrattata davanti alla Moro 2: l'evidenza E2 della matrice ACH retrocessa da diagnostica a controversa). Nessuna insinuazione verso alcuna persona; le persone della seduta di Zappolino hanno reso versioni concordi alle autorità e la pista cerca documenti, non smentite. Ogni fatto verificato su fonti, con gli indirizzi nel testo.</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Le schede delle piste di testa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II: 1.885 parole in 7 sezioni; la più ampia è §3 Scheda PN, con 406.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II: 10 indirizzi di fonte citati, addensati in 3 sezioni su 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sequenza peritale 1978–1993–2015: la conferma dei 49, la declassificazione dei 22 a esito non conclusivo.</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III. Le schede delle entità</w:t>
      </w:r>
    </w:p>
    <w:p>
      <w:pPr>
        <w:pStyle w:val="Heading1"/>
        <w:spacing w:after="120" w:before="240"/>
      </w:pPr>
      <w:r>
        <w:rPr>
          <w:rFonts w:ascii="Barlow Semi Condensed" w:cs="Barlow Semi Condensed" w:eastAsia="Barlow Semi Condensed" w:hAnsi="Barlow Semi Condensed"/>
          <w:sz w:val="24"/>
          <w:szCs w:val="24"/>
        </w:rPr>
        <w:t xml:space="preserve">Approfondimento delle piste su entità e strutture</w:t>
      </w:r>
    </w:p>
    <w:p>
      <w:pPr>
        <w:pStyle w:val="Heading2"/>
        <w:spacing w:after="100" w:before="200"/>
      </w:pPr>
      <w:r>
        <w:rPr>
          <w:rFonts w:ascii="Barlow Semi Condensed" w:cs="Barlow Semi Condensed" w:eastAsia="Barlow Semi Condensed" w:hAnsi="Barlow Semi Condensed"/>
          <w:sz w:val="24"/>
          <w:szCs w:val="24"/>
        </w:rPr>
        <w:t xml:space="preserve">Le schede delle entità: i comitati, via Gradoli, il condominio, il Vaticano, gli alleati, il registro delle segnalazioni</w:t>
      </w:r>
    </w:p>
    <w:p>
      <w:pPr>
        <w:spacing w:after="120" w:line="276"/>
        <w:jc w:val="both"/>
      </w:pPr>
      <w:r>
        <w:rPr>
          <w:rFonts w:ascii="Barlow Semi Condensed" w:cs="Barlow Semi Condensed" w:eastAsia="Barlow Semi Condensed" w:hAnsi="Barlow Semi Condensed"/>
          <w:i/>
          <w:iCs/>
          <w:sz w:val="24"/>
          <w:szCs w:val="24"/>
        </w:rPr>
        <w:t xml:space="preserve">Documento operativo — 25 agosto 2026 · Approfondisce il capitolo III-ter del programma investigativo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w:t>
      </w:r>
      <w:r>
        <w:rPr>
          <w:rFonts w:ascii="Barlow Semi Condensed" w:cs="Barlow Semi Condensed" w:eastAsia="Barlow Semi Condensed" w:hAnsi="Barlow Semi Condensed"/>
          <w:i w:val="false"/>
          <w:iCs w:val="false"/>
          <w:sz w:val="24"/>
          <w:szCs w:val="24"/>
        </w:rPr>
        <w:t xml:space="preserve"> Queste schede scendono dentro le piste del capitolo entità — tutte e sei, su richiesta di approfondimento dell'autore: PE-1 e PE-3 (74,5), PE-2 (67,5), PE-6 (61,0), PE-5 (59,5) e PE-4 (54,0) — col formato già collaudato: la mappa completa di ciò che è documentato, i quesiti esatti in forma ACH, l'atto raffinato in passi, gli errori da non ripetere, il criterio di chiusura. Il terreno è il più delicato del corpus — ministeri, servizi, una loggia disciolta per legge, funzionari con nome e cognome — e i presidi valgono perciò al massimo grado: </w:t>
      </w:r>
      <w:r>
        <w:rPr>
          <w:rFonts w:ascii="Barlow Semi Condensed" w:cs="Barlow Semi Condensed" w:eastAsia="Barlow Semi Condensed" w:hAnsi="Barlow Semi Condensed"/>
          <w:b/>
          <w:bCs/>
          <w:i w:val="false"/>
          <w:iCs w:val="false"/>
          <w:sz w:val="24"/>
          <w:szCs w:val="24"/>
        </w:rPr>
        <w:t xml:space="preserve">le persone sono nominate solo per fatti documentati da atti e commissioni</w:t>
      </w:r>
      <w:r>
        <w:rPr>
          <w:rFonts w:ascii="Barlow Semi Condensed" w:cs="Barlow Semi Condensed" w:eastAsia="Barlow Semi Condensed" w:hAnsi="Barlow Semi Condensed"/>
          <w:i w:val="false"/>
          <w:iCs w:val="false"/>
          <w:sz w:val="24"/>
          <w:szCs w:val="24"/>
        </w:rPr>
        <w:t xml:space="preserve">; l'iscrizione accertata a un'associazione è un fatto, </w:t>
      </w:r>
      <w:r>
        <w:rPr>
          <w:rFonts w:ascii="Barlow Semi Condensed" w:cs="Barlow Semi Condensed" w:eastAsia="Barlow Semi Condensed" w:hAnsi="Barlow Semi Condensed"/>
          <w:b/>
          <w:bCs/>
          <w:i w:val="false"/>
          <w:iCs w:val="false"/>
          <w:sz w:val="24"/>
          <w:szCs w:val="24"/>
        </w:rPr>
        <w:t xml:space="preserve">mai</w:t>
      </w:r>
      <w:r>
        <w:rPr>
          <w:rFonts w:ascii="Barlow Semi Condensed" w:cs="Barlow Semi Condensed" w:eastAsia="Barlow Semi Condensed" w:hAnsi="Barlow Semi Condensed"/>
          <w:i w:val="false"/>
          <w:iCs w:val="false"/>
          <w:sz w:val="24"/>
          <w:szCs w:val="24"/>
        </w:rPr>
        <w:t xml:space="preserve"> la prova di una condotta nel caso; la negligenza non si trasforma in dolo per impazienza; e ogni quesito ha per esito un documento. Ogni fatto di queste schede è stato verificato su fonti prima della stesura.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Scheda PE-1 — I comitati del Viminale e le appartenenze: il censimento che manca da quarant'anni</w:t>
      </w:r>
    </w:p>
    <w:p>
      <w:pPr>
        <w:pStyle w:val="Heading3"/>
        <w:spacing w:after="80" w:before="160"/>
      </w:pPr>
      <w:r>
        <w:rPr>
          <w:rFonts w:ascii="Barlow Semi Condensed" w:cs="Barlow Semi Condensed" w:eastAsia="Barlow Semi Condensed" w:hAnsi="Barlow Semi Condensed"/>
          <w:sz w:val="24"/>
          <w:szCs w:val="24"/>
        </w:rPr>
        <w:t xml:space="preserve">La mappa documentata dei tre livelli</w:t>
      </w:r>
    </w:p>
    <w:p>
      <w:pPr>
        <w:spacing w:after="120" w:line="276"/>
        <w:jc w:val="both"/>
      </w:pPr>
      <w:r>
        <w:rPr>
          <w:rFonts w:ascii="Barlow Semi Condensed" w:cs="Barlow Semi Condensed" w:eastAsia="Barlow Semi Condensed" w:hAnsi="Barlow Semi Condensed"/>
          <w:sz w:val="24"/>
          <w:szCs w:val="24"/>
        </w:rPr>
        <w:t xml:space="preserve">La gestione ministeriale dei 55 giorni si articolò su </w:t>
      </w:r>
      <w:r>
        <w:rPr>
          <w:rFonts w:ascii="Barlow Semi Condensed" w:cs="Barlow Semi Condensed" w:eastAsia="Barlow Semi Condensed" w:hAnsi="Barlow Semi Condensed"/>
          <w:b/>
          <w:bCs/>
          <w:sz w:val="24"/>
          <w:szCs w:val="24"/>
        </w:rPr>
        <w:t xml:space="preserve">tre livelli</w:t>
      </w:r>
      <w:r>
        <w:rPr>
          <w:rFonts w:ascii="Barlow Semi Condensed" w:cs="Barlow Semi Condensed" w:eastAsia="Barlow Semi Condensed" w:hAnsi="Barlow Semi Condensed"/>
          <w:sz w:val="24"/>
          <w:szCs w:val="24"/>
        </w:rPr>
        <w:t xml:space="preserve">, e la loro distinzione — spesso confusa nella pubblicistica — è essa stessa parte del quesito: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Il comitato politico-tecnico-operativo</w:t>
      </w:r>
      <w:r>
        <w:rPr>
          <w:rFonts w:ascii="Barlow Semi Condensed" w:cs="Barlow Semi Condensed" w:eastAsia="Barlow Semi Condensed" w:hAnsi="Barlow Semi Condensed"/>
          <w:sz w:val="24"/>
          <w:szCs w:val="24"/>
        </w:rPr>
        <w:t xml:space="preserve">, istituito e presieduto dal ministro dell'Interno </w:t>
      </w:r>
      <w:r>
        <w:rPr>
          <w:rFonts w:ascii="Barlow Semi Condensed" w:cs="Barlow Semi Condensed" w:eastAsia="Barlow Semi Condensed" w:hAnsi="Barlow Semi Condensed"/>
          <w:b/>
          <w:bCs/>
          <w:sz w:val="24"/>
          <w:szCs w:val="24"/>
        </w:rPr>
        <w:t xml:space="preserve">Cossiga il 16 marzo 1978</w:t>
      </w:r>
      <w:r>
        <w:rPr>
          <w:rFonts w:ascii="Barlow Semi Condensed" w:cs="Barlow Semi Condensed" w:eastAsia="Barlow Semi Condensed" w:hAnsi="Barlow Semi Condensed"/>
          <w:sz w:val="24"/>
          <w:szCs w:val="24"/>
        </w:rPr>
        <w:t xml:space="preserve">: il ministro, due sottosegretari (Interno e Difesa), i vertici delle forze di polizia, dei servizi e delle forze armate — l'organo di coordinamento delle ricerche.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Il comitato tecnico-operativo</w:t>
      </w:r>
      <w:r>
        <w:rPr>
          <w:rFonts w:ascii="Barlow Semi Condensed" w:cs="Barlow Semi Condensed" w:eastAsia="Barlow Semi Condensed" w:hAnsi="Barlow Semi Condensed"/>
          <w:sz w:val="24"/>
          <w:szCs w:val="24"/>
        </w:rPr>
        <w:t xml:space="preserve">, di composizione nominale documentata: </w:t>
      </w:r>
      <w:r>
        <w:rPr>
          <w:rFonts w:ascii="Barlow Semi Condensed" w:cs="Barlow Semi Condensed" w:eastAsia="Barlow Semi Condensed" w:hAnsi="Barlow Semi Condensed"/>
          <w:b/>
          <w:bCs/>
          <w:sz w:val="24"/>
          <w:szCs w:val="24"/>
        </w:rPr>
        <w:t xml:space="preserve">Lettieri, Parlato, Grassini, Santovito, Napoletano (poi Pelosi), Corsini, Ferrara, De Sena, De Francesco</w:t>
      </w:r>
      <w:r>
        <w:rPr>
          <w:rFonts w:ascii="Barlow Semi Condensed" w:cs="Barlow Semi Condensed" w:eastAsia="Barlow Semi Condensed" w:hAnsi="Barlow Semi Condensed"/>
          <w:sz w:val="24"/>
          <w:szCs w:val="24"/>
        </w:rPr>
        <w:t xml:space="preserve">, presieduto dallo stesso Cossiga.</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«comitato di esperti»</w:t>
      </w:r>
      <w:r>
        <w:rPr>
          <w:rFonts w:ascii="Barlow Semi Condensed" w:cs="Barlow Semi Condensed" w:eastAsia="Barlow Semi Condensed" w:hAnsi="Barlow Semi Condensed"/>
          <w:sz w:val="24"/>
          <w:szCs w:val="24"/>
        </w:rPr>
        <w:t xml:space="preserve">, informale e — dato accertato di prima grandezza — </w:t>
      </w:r>
      <w:r>
        <w:rPr>
          <w:rFonts w:ascii="Barlow Semi Condensed" w:cs="Barlow Semi Condensed" w:eastAsia="Barlow Semi Condensed" w:hAnsi="Barlow Semi Condensed"/>
          <w:b/>
          <w:bCs/>
          <w:sz w:val="24"/>
          <w:szCs w:val="24"/>
        </w:rPr>
        <w:t xml:space="preserve">mai riunito collegialmente</w:t>
      </w:r>
      <w:r>
        <w:rPr>
          <w:rFonts w:ascii="Barlow Semi Condensed" w:cs="Barlow Semi Condensed" w:eastAsia="Barlow Semi Condensed" w:hAnsi="Barlow Semi Condensed"/>
          <w:sz w:val="24"/>
          <w:szCs w:val="24"/>
        </w:rPr>
        <w:t xml:space="preserve">: vi sono ricondotti lo psichiatra statunitense </w:t>
      </w:r>
      <w:r>
        <w:rPr>
          <w:rFonts w:ascii="Barlow Semi Condensed" w:cs="Barlow Semi Condensed" w:eastAsia="Barlow Semi Condensed" w:hAnsi="Barlow Semi Condensed"/>
          <w:b/>
          <w:bCs/>
          <w:sz w:val="24"/>
          <w:szCs w:val="24"/>
        </w:rPr>
        <w:t xml:space="preserve">Steve Pieczenik</w:t>
      </w:r>
      <w:r>
        <w:rPr>
          <w:rFonts w:ascii="Barlow Semi Condensed" w:cs="Barlow Semi Condensed" w:eastAsia="Barlow Semi Condensed" w:hAnsi="Barlow Semi Condensed"/>
          <w:sz w:val="24"/>
          <w:szCs w:val="24"/>
        </w:rPr>
        <w:t xml:space="preserve"> (inviato del Dipartimento di Stato), il criminologo </w:t>
      </w:r>
      <w:r>
        <w:rPr>
          <w:rFonts w:ascii="Barlow Semi Condensed" w:cs="Barlow Semi Condensed" w:eastAsia="Barlow Semi Condensed" w:hAnsi="Barlow Semi Condensed"/>
          <w:b/>
          <w:bCs/>
          <w:sz w:val="24"/>
          <w:szCs w:val="24"/>
        </w:rPr>
        <w:t xml:space="preserve">Franco Ferracuti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Stefano Silvestri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Vincenzo Cappelletti</w:t>
      </w:r>
      <w:r>
        <w:rPr>
          <w:rFonts w:ascii="Barlow Semi Condensed" w:cs="Barlow Semi Condensed" w:eastAsia="Barlow Semi Condensed" w:hAnsi="Barlow Semi Condensed"/>
          <w:sz w:val="24"/>
          <w:szCs w:val="24"/>
        </w:rPr>
        <w:t xml:space="preserve"> (direttore dell'Istituto dell'Enciclopedia Italiana) e altri (D'Addio, Ermentini, Conte Micheli) (Il Sussidiario, scheda Ferracuti (https://www.ilsussidiario.net/news/chi-e-franco-ferracuti-criminologo-consulente-ministero-dellinterno-nel-caso-aldo-moro/2439964/); atti in Commissione Stragi, steno 63 (https://www.parlamento.it/parlam/bicam/terror/stenografici/steno63.htm)).</w:t>
      </w:r>
    </w:p>
    <w:p>
      <w:pPr>
        <w:pStyle w:val="Heading3"/>
        <w:spacing w:after="80" w:before="160"/>
      </w:pPr>
      <w:r>
        <w:rPr>
          <w:rFonts w:ascii="Barlow Semi Condensed" w:cs="Barlow Semi Condensed" w:eastAsia="Barlow Semi Condensed" w:hAnsi="Barlow Semi Condensed"/>
          <w:sz w:val="24"/>
          <w:szCs w:val="24"/>
        </w:rPr>
        <w:t xml:space="preserve">Le appartenenze documentate — e la divergenza che il censimento può dirimere</w:t>
      </w:r>
    </w:p>
    <w:p>
      <w:pPr>
        <w:spacing w:after="120" w:line="276"/>
        <w:jc w:val="both"/>
      </w:pPr>
      <w:r>
        <w:rPr>
          <w:rFonts w:ascii="Barlow Semi Condensed" w:cs="Barlow Semi Condensed" w:eastAsia="Barlow Semi Condensed" w:hAnsi="Barlow Semi Condensed"/>
          <w:sz w:val="24"/>
          <w:szCs w:val="24"/>
        </w:rPr>
        <w:t xml:space="preserve">Negli elenchi della loggia P2 sequestrati a Castiglion Fibocchi risultano il generale </w:t>
      </w:r>
      <w:r>
        <w:rPr>
          <w:rFonts w:ascii="Barlow Semi Condensed" w:cs="Barlow Semi Condensed" w:eastAsia="Barlow Semi Condensed" w:hAnsi="Barlow Semi Condensed"/>
          <w:b/>
          <w:bCs/>
          <w:sz w:val="24"/>
          <w:szCs w:val="24"/>
        </w:rPr>
        <w:t xml:space="preserve">Giuseppe Santovito</w:t>
      </w:r>
      <w:r>
        <w:rPr>
          <w:rFonts w:ascii="Barlow Semi Condensed" w:cs="Barlow Semi Condensed" w:eastAsia="Barlow Semi Condensed" w:hAnsi="Barlow Semi Condensed"/>
          <w:sz w:val="24"/>
          <w:szCs w:val="24"/>
        </w:rPr>
        <w:t xml:space="preserve"> (direttore del SISMI, </w:t>
      </w:r>
      <w:r>
        <w:rPr>
          <w:rFonts w:ascii="Barlow Semi Condensed" w:cs="Barlow Semi Condensed" w:eastAsia="Barlow Semi Condensed" w:hAnsi="Barlow Semi Condensed"/>
          <w:b/>
          <w:bCs/>
          <w:sz w:val="24"/>
          <w:szCs w:val="24"/>
        </w:rPr>
        <w:t xml:space="preserve">tessera 1630</w:t>
      </w:r>
      <w:r>
        <w:rPr>
          <w:rFonts w:ascii="Barlow Semi Condensed" w:cs="Barlow Semi Condensed" w:eastAsia="Barlow Semi Condensed" w:hAnsi="Barlow Semi Condensed"/>
          <w:sz w:val="24"/>
          <w:szCs w:val="24"/>
        </w:rPr>
        <w:t xml:space="preserve">) e il generale </w:t>
      </w:r>
      <w:r>
        <w:rPr>
          <w:rFonts w:ascii="Barlow Semi Condensed" w:cs="Barlow Semi Condensed" w:eastAsia="Barlow Semi Condensed" w:hAnsi="Barlow Semi Condensed"/>
          <w:b/>
          <w:bCs/>
          <w:sz w:val="24"/>
          <w:szCs w:val="24"/>
        </w:rPr>
        <w:t xml:space="preserve">Giulio Grassini</w:t>
      </w:r>
      <w:r>
        <w:rPr>
          <w:rFonts w:ascii="Barlow Semi Condensed" w:cs="Barlow Semi Condensed" w:eastAsia="Barlow Semi Condensed" w:hAnsi="Barlow Semi Condensed"/>
          <w:sz w:val="24"/>
          <w:szCs w:val="24"/>
        </w:rPr>
        <w:t xml:space="preserve"> (direttore del SISDE); vi risulta anche </w:t>
      </w:r>
      <w:r>
        <w:rPr>
          <w:rFonts w:ascii="Barlow Semi Condensed" w:cs="Barlow Semi Condensed" w:eastAsia="Barlow Semi Condensed" w:hAnsi="Barlow Semi Condensed"/>
          <w:b/>
          <w:bCs/>
          <w:sz w:val="24"/>
          <w:szCs w:val="24"/>
        </w:rPr>
        <w:t xml:space="preserve">Franco Ferracuti</w:t>
      </w:r>
      <w:r>
        <w:rPr>
          <w:rFonts w:ascii="Barlow Semi Condensed" w:cs="Barlow Semi Condensed" w:eastAsia="Barlow Semi Condensed" w:hAnsi="Barlow Semi Condensed"/>
          <w:sz w:val="24"/>
          <w:szCs w:val="24"/>
        </w:rPr>
        <w:t xml:space="preserve">, ma </w:t>
      </w:r>
      <w:r>
        <w:rPr>
          <w:rFonts w:ascii="Barlow Semi Condensed" w:cs="Barlow Semi Condensed" w:eastAsia="Barlow Semi Condensed" w:hAnsi="Barlow Semi Condensed"/>
          <w:b/>
          <w:bCs/>
          <w:sz w:val="24"/>
          <w:szCs w:val="24"/>
        </w:rPr>
        <w:t xml:space="preserve">sulla data della sua affiliazione le fonti divergono</w:t>
      </w:r>
      <w:r>
        <w:rPr>
          <w:rFonts w:ascii="Barlow Semi Condensed" w:cs="Barlow Semi Condensed" w:eastAsia="Barlow Semi Condensed" w:hAnsi="Barlow Semi Condensed"/>
          <w:sz w:val="24"/>
          <w:szCs w:val="24"/>
        </w:rPr>
        <w:t xml:space="preserve"> — chi la colloca negli stessi giorni del sequestro, chi nel 1980 — e la divergenza si riporta senza risolverla, perché è esattamente il genere di quesito che l'atto proposto può chiudere: gli elenchi sequestrati recano numeri di tessera e date, e </w:t>
      </w:r>
      <w:r>
        <w:rPr>
          <w:rFonts w:ascii="Barlow Semi Condensed" w:cs="Barlow Semi Condensed" w:eastAsia="Barlow Semi Condensed" w:hAnsi="Barlow Semi Condensed"/>
          <w:b/>
          <w:bCs/>
          <w:sz w:val="24"/>
          <w:szCs w:val="24"/>
        </w:rPr>
        <w:t xml:space="preserve">il censimento le fisserà documentalmente</w:t>
      </w:r>
      <w:r>
        <w:rPr>
          <w:rFonts w:ascii="Barlow Semi Condensed" w:cs="Barlow Semi Condensed" w:eastAsia="Barlow Semi Condensed" w:hAnsi="Barlow Semi Condensed"/>
          <w:sz w:val="24"/>
          <w:szCs w:val="24"/>
        </w:rPr>
        <w:t xml:space="preserve">. La tesi massima circolante — il comitato di crisi «interamente composto» da iscritti — resta ciò che era: una tesi da verificare nominativamente, non da ripetere.</w:t>
      </w:r>
    </w:p>
    <w:p>
      <w:pPr>
        <w:pStyle w:val="Heading3"/>
        <w:spacing w:after="80" w:before="160"/>
      </w:pPr>
      <w:r>
        <w:rPr>
          <w:rFonts w:ascii="Barlow Semi Condensed" w:cs="Barlow Semi Condensed" w:eastAsia="Barlow Semi Condensed" w:hAnsi="Barlow Semi Condensed"/>
          <w:sz w:val="24"/>
          <w:szCs w:val="24"/>
        </w:rPr>
        <w:t xml:space="preserve">Il contenuto documentato dell'attività degli «esperti»: la qualificazione delle lettere</w:t>
      </w:r>
    </w:p>
    <w:p>
      <w:pPr>
        <w:spacing w:after="120" w:line="276"/>
        <w:jc w:val="both"/>
      </w:pPr>
      <w:r>
        <w:rPr>
          <w:rFonts w:ascii="Barlow Semi Condensed" w:cs="Barlow Semi Condensed" w:eastAsia="Barlow Semi Condensed" w:hAnsi="Barlow Semi Condensed"/>
          <w:sz w:val="24"/>
          <w:szCs w:val="24"/>
        </w:rPr>
        <w:t xml:space="preserve">L'approfondimento consegna qui il suo dato più rilevante, perché incrocia il cuore del corpus. Dagli atti risulta che consulenti del comitato di esperti — </w:t>
      </w:r>
      <w:r>
        <w:rPr>
          <w:rFonts w:ascii="Barlow Semi Condensed" w:cs="Barlow Semi Condensed" w:eastAsia="Barlow Semi Condensed" w:hAnsi="Barlow Semi Condensed"/>
          <w:b/>
          <w:bCs/>
          <w:sz w:val="24"/>
          <w:szCs w:val="24"/>
        </w:rPr>
        <w:t xml:space="preserve">Ferracuti e Pieczenik</w:t>
      </w:r>
      <w:r>
        <w:rPr>
          <w:rFonts w:ascii="Barlow Semi Condensed" w:cs="Barlow Semi Condensed" w:eastAsia="Barlow Semi Condensed" w:hAnsi="Barlow Semi Condensed"/>
          <w:sz w:val="24"/>
          <w:szCs w:val="24"/>
        </w:rPr>
        <w:t xml:space="preserve"> in particolare — furono fautori della tesi della </w:t>
      </w:r>
      <w:r>
        <w:rPr>
          <w:rFonts w:ascii="Barlow Semi Condensed" w:cs="Barlow Semi Condensed" w:eastAsia="Barlow Semi Condensed" w:hAnsi="Barlow Semi Condensed"/>
          <w:b/>
          <w:bCs/>
          <w:sz w:val="24"/>
          <w:szCs w:val="24"/>
        </w:rPr>
        <w:t xml:space="preserve">inattendibilità delle lettere di Moro</w:t>
      </w:r>
      <w:r>
        <w:rPr>
          <w:rFonts w:ascii="Barlow Semi Condensed" w:cs="Barlow Semi Condensed" w:eastAsia="Barlow Semi Condensed" w:hAnsi="Barlow Semi Condensed"/>
          <w:sz w:val="24"/>
          <w:szCs w:val="24"/>
        </w:rPr>
        <w:t xml:space="preserve">: il prigioniero «fuori di sé», la scrittura non riferibile all'uomo libero. Questa qualificazione — quale che ne fosse l'intenzione — fu un </w:t>
      </w:r>
      <w:r>
        <w:rPr>
          <w:rFonts w:ascii="Barlow Semi Condensed" w:cs="Barlow Semi Condensed" w:eastAsia="Barlow Semi Condensed" w:hAnsi="Barlow Semi Condensed"/>
          <w:b/>
          <w:bCs/>
          <w:sz w:val="24"/>
          <w:szCs w:val="24"/>
        </w:rPr>
        <w:t xml:space="preserve">atto istituzionale documentato con effetti sulla linea della fermezza</w:t>
      </w:r>
      <w:r>
        <w:rPr>
          <w:rFonts w:ascii="Barlow Semi Condensed" w:cs="Barlow Semi Condensed" w:eastAsia="Barlow Semi Condensed" w:hAnsi="Barlow Semi Condensed"/>
          <w:sz w:val="24"/>
          <w:szCs w:val="24"/>
        </w:rPr>
        <w:t xml:space="preserve">: se le lettere non erano «sue», non obbligavano a nulla. La Fase ottava del corpus ha restituito le lettere alla loro natura di scrittura di un uomo; questa scheda registra che la loro </w:t>
      </w:r>
      <w:r>
        <w:rPr>
          <w:rFonts w:ascii="Barlow Semi Condensed" w:cs="Barlow Semi Condensed" w:eastAsia="Barlow Semi Condensed" w:hAnsi="Barlow Semi Condensed"/>
          <w:b/>
          <w:bCs/>
          <w:sz w:val="24"/>
          <w:szCs w:val="24"/>
        </w:rPr>
        <w:t xml:space="preserve">squalificazione fu un prodotto istituzionale dei 55 giorni</w:t>
      </w:r>
      <w:r>
        <w:rPr>
          <w:rFonts w:ascii="Barlow Semi Condensed" w:cs="Barlow Semi Condensed" w:eastAsia="Barlow Semi Condensed" w:hAnsi="Barlow Semi Condensed"/>
          <w:sz w:val="24"/>
          <w:szCs w:val="24"/>
        </w:rPr>
        <w:t xml:space="preserve">, e ne fa un quesito documentale: </w:t>
      </w:r>
      <w:r>
        <w:rPr>
          <w:rFonts w:ascii="Barlow Semi Condensed" w:cs="Barlow Semi Condensed" w:eastAsia="Barlow Semi Condensed" w:hAnsi="Barlow Semi Condensed"/>
          <w:i/>
          <w:iCs/>
          <w:sz w:val="24"/>
          <w:szCs w:val="24"/>
        </w:rPr>
        <w:t xml:space="preserve">in quali documenti fu formulata, da chi sottoscritta, con quale circolazione e quali effetti sugli atti del comitato?</w:t>
      </w:r>
      <w:r>
        <w:rPr>
          <w:rFonts w:ascii="Barlow Semi Condensed" w:cs="Barlow Semi Condensed" w:eastAsia="Barlow Semi Condensed" w:hAnsi="Barlow Semi Condensed"/>
          <w:sz w:val="24"/>
          <w:szCs w:val="24"/>
        </w:rPr>
        <w:t xml:space="preserve"> Le relazioni degli esperti — di un organo mai riunito collegialmente, il che rende ancora più necessario capire </w:t>
      </w:r>
      <w:r>
        <w:rPr>
          <w:rFonts w:ascii="Barlow Semi Condensed" w:cs="Barlow Semi Condensed" w:eastAsia="Barlow Semi Condensed" w:hAnsi="Barlow Semi Condensed"/>
          <w:b/>
          <w:bCs/>
          <w:sz w:val="24"/>
          <w:szCs w:val="24"/>
        </w:rPr>
        <w:t xml:space="preserve">come</w:t>
      </w:r>
      <w:r>
        <w:rPr>
          <w:rFonts w:ascii="Barlow Semi Condensed" w:cs="Barlow Semi Condensed" w:eastAsia="Barlow Semi Condensed" w:hAnsi="Barlow Semi Condensed"/>
          <w:sz w:val="24"/>
          <w:szCs w:val="24"/>
        </w:rPr>
        <w:t xml:space="preserve"> i suoi pareri circolassero — sono carte che il fondo Direttiva Renzi e gli atti delle Commissioni possono contenere.</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tavola nominale integrale</w:t>
      </w:r>
      <w:r>
        <w:rPr>
          <w:rFonts w:ascii="Barlow Semi Condensed" w:cs="Barlow Semi Condensed" w:eastAsia="Barlow Semi Condensed" w:hAnsi="Barlow Semi Condensed"/>
          <w:sz w:val="24"/>
          <w:szCs w:val="24"/>
        </w:rPr>
        <w:t xml:space="preserve"> dei tre livelli, da atti primari (decreti istitutivi, verbali, ordini del giorno) — non dalle ricostruzioni di stampa.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L'incrocio con gli elenchi P2 completi di numeri di tessera e date di iscrizione</w:t>
      </w:r>
      <w:r>
        <w:rPr>
          <w:rFonts w:ascii="Barlow Semi Condensed" w:cs="Barlow Semi Condensed" w:eastAsia="Barlow Semi Condensed" w:hAnsi="Barlow Semi Condensed"/>
          <w:sz w:val="24"/>
          <w:szCs w:val="24"/>
        </w:rPr>
        <w:t xml:space="preserve"> — che dirime anche la divergenza su Ferracuti e trasforma la tesi del «interamente composto» in una percentuale documentale, qualunque essa sia.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registro degli atti prodotti da ciascun organo</w:t>
      </w:r>
      <w:r>
        <w:rPr>
          <w:rFonts w:ascii="Barlow Semi Condensed" w:cs="Barlow Semi Condensed" w:eastAsia="Barlow Semi Condensed" w:hAnsi="Barlow Semi Condensed"/>
          <w:sz w:val="24"/>
          <w:szCs w:val="24"/>
        </w:rPr>
        <w:t xml:space="preserve">: verbali del politico-tecnico-operativo, disposizioni del tecnico-operativo, pareri e relazioni degli esperti — con la domanda specifica su come deliberasse un comitato che non si riuniva.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mappa delle decisioni operative</w:t>
      </w:r>
      <w:r>
        <w:rPr>
          <w:rFonts w:ascii="Barlow Semi Condensed" w:cs="Barlow Semi Condensed" w:eastAsia="Barlow Semi Condensed" w:hAnsi="Barlow Semi Condensed"/>
          <w:sz w:val="24"/>
          <w:szCs w:val="24"/>
        </w:rPr>
        <w:t xml:space="preserve"> transitate per ciascun organo, da leggere contro l'accertamento Anselmi sulla concentrazione delle indagini al Viminale e sulla menomazione dell'autonomia giudiziaria (grado B).</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sommare le appartenenze in colpa: la P2 fu disciolta per legge (l. 25 gennaio 1982, n. 17) e i suoi assetti furono giudicati nelle sedi proprie; </w:t>
      </w:r>
      <w:r>
        <w:rPr>
          <w:rFonts w:ascii="Barlow Semi Condensed" w:cs="Barlow Semi Condensed" w:eastAsia="Barlow Semi Condensed" w:hAnsi="Barlow Semi Condensed"/>
          <w:b/>
          <w:bCs/>
          <w:sz w:val="24"/>
          <w:szCs w:val="24"/>
        </w:rPr>
        <w:t xml:space="preserve">l'iscrizione di un funzionario è un fatto, la sua condotta nei 55 giorni va provata atto per atto o non affermata</w:t>
      </w:r>
      <w:r>
        <w:rPr>
          <w:rFonts w:ascii="Barlow Semi Condensed" w:cs="Barlow Semi Condensed" w:eastAsia="Barlow Semi Condensed" w:hAnsi="Barlow Semi Condensed"/>
          <w:sz w:val="24"/>
          <w:szCs w:val="24"/>
        </w:rPr>
        <w:t xml:space="preserve">. Non trattare il comitato di esperti come organo deliberante senza averne gli atti. Non confondere i tre livelli, che ebbero nature e poteri diversi.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tavola nominale con date + il registro degli atti. Se il censimento confermasse la tesi massima, sarebbe un accertamento nuovo; se la smentisse, cadrebbe una leggenda quarantennale: </w:t>
      </w:r>
      <w:r>
        <w:rPr>
          <w:rFonts w:ascii="Barlow Semi Condensed" w:cs="Barlow Semi Condensed" w:eastAsia="Barlow Semi Condensed" w:hAnsi="Barlow Semi Condensed"/>
          <w:b/>
          <w:bCs/>
          <w:sz w:val="24"/>
          <w:szCs w:val="24"/>
        </w:rPr>
        <w:t xml:space="preserve">in entrambi i casi la Repubblica ci guadagna</w:t>
      </w:r>
      <w:r>
        <w:rPr>
          <w:rFonts w:ascii="Barlow Semi Condensed" w:cs="Barlow Semi Condensed" w:eastAsia="Barlow Semi Condensed" w:hAnsi="Barlow Semi Condensed"/>
          <w:sz w:val="24"/>
          <w:szCs w:val="24"/>
        </w:rPr>
        <w:t xml:space="preserve"> — ed è il segno delle piste ben poste.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Scheda PE-3 — I trenta giorni di via Gradoli: la nota, il campanello, la doccia</w:t>
      </w:r>
    </w:p>
    <w:p>
      <w:pPr>
        <w:pStyle w:val="Heading3"/>
        <w:spacing w:after="80" w:before="160"/>
      </w:pPr>
      <w:r>
        <w:rPr>
          <w:rFonts w:ascii="Barlow Semi Condensed" w:cs="Barlow Semi Condensed" w:eastAsia="Barlow Semi Condensed" w:hAnsi="Barlow Semi Condensed"/>
          <w:sz w:val="24"/>
          <w:szCs w:val="24"/>
        </w:rPr>
        <w:t xml:space="preserve">La sequenza documentata completa (18 marzo – 18 aprile 1978)</w:t>
      </w:r>
    </w:p>
    <w:p>
      <w:pPr>
        <w:spacing w:after="120" w:line="276"/>
        <w:jc w:val="both"/>
      </w:pPr>
      <w:r>
        <w:rPr>
          <w:rFonts w:ascii="Barlow Semi Condensed" w:cs="Barlow Semi Condensed" w:eastAsia="Barlow Semi Condensed" w:hAnsi="Barlow Semi Condensed"/>
          <w:i/>
          <w:iCs/>
          <w:sz w:val="24"/>
          <w:szCs w:val="24"/>
        </w:rPr>
        <w:t xml:space="preserve">(i)</w:t>
      </w:r>
      <w:r>
        <w:rPr>
          <w:rFonts w:ascii="Barlow Semi Condensed" w:cs="Barlow Semi Condensed" w:eastAsia="Barlow Semi Condensed" w:hAnsi="Barlow Semi Condensed"/>
          <w:sz w:val="24"/>
          <w:szCs w:val="24"/>
        </w:rPr>
        <w:t xml:space="preserve"> Un'informatrice della polizia, </w:t>
      </w:r>
      <w:r>
        <w:rPr>
          <w:rFonts w:ascii="Barlow Semi Condensed" w:cs="Barlow Semi Condensed" w:eastAsia="Barlow Semi Condensed" w:hAnsi="Barlow Semi Condensed"/>
          <w:b/>
          <w:bCs/>
          <w:sz w:val="24"/>
          <w:szCs w:val="24"/>
        </w:rPr>
        <w:t xml:space="preserve">Lucia Mokbel</w:t>
      </w:r>
      <w:r>
        <w:rPr>
          <w:rFonts w:ascii="Barlow Semi Condensed" w:cs="Barlow Semi Condensed" w:eastAsia="Barlow Semi Condensed" w:hAnsi="Barlow Semi Condensed"/>
          <w:sz w:val="24"/>
          <w:szCs w:val="24"/>
        </w:rPr>
        <w:t xml:space="preserve">, segnala con una nota </w:t>
      </w:r>
      <w:r>
        <w:rPr>
          <w:rFonts w:ascii="Barlow Semi Condensed" w:cs="Barlow Semi Condensed" w:eastAsia="Barlow Semi Condensed" w:hAnsi="Barlow Semi Condensed"/>
          <w:b/>
          <w:bCs/>
          <w:sz w:val="24"/>
          <w:szCs w:val="24"/>
        </w:rPr>
        <w:t xml:space="preserve">rumori sospetti</w:t>
      </w:r>
      <w:r>
        <w:rPr>
          <w:rFonts w:ascii="Barlow Semi Condensed" w:cs="Barlow Semi Condensed" w:eastAsia="Barlow Semi Condensed" w:hAnsi="Barlow Semi Condensed"/>
          <w:sz w:val="24"/>
          <w:szCs w:val="24"/>
        </w:rPr>
        <w:t xml:space="preserve"> — battiti simili a segnali — provenienti dall'</w:t>
      </w:r>
      <w:r>
        <w:rPr>
          <w:rFonts w:ascii="Barlow Semi Condensed" w:cs="Barlow Semi Condensed" w:eastAsia="Barlow Semi Condensed" w:hAnsi="Barlow Semi Condensed"/>
          <w:b/>
          <w:bCs/>
          <w:sz w:val="24"/>
          <w:szCs w:val="24"/>
        </w:rPr>
        <w:t xml:space="preserve">interno 11</w:t>
      </w:r>
      <w:r>
        <w:rPr>
          <w:rFonts w:ascii="Barlow Semi Condensed" w:cs="Barlow Semi Condensed" w:eastAsia="Barlow Semi Condensed" w:hAnsi="Barlow Semi Condensed"/>
          <w:sz w:val="24"/>
          <w:szCs w:val="24"/>
        </w:rPr>
        <w:t xml:space="preserve"> di via Gradoli 96, adiacente al proprio appartamento. </w:t>
      </w:r>
      <w:r>
        <w:rPr>
          <w:rFonts w:ascii="Barlow Semi Condensed" w:cs="Barlow Semi Condensed" w:eastAsia="Barlow Semi Condensed" w:hAnsi="Barlow Semi Condensed"/>
          <w:i/>
          <w:iCs/>
          <w:sz w:val="24"/>
          <w:szCs w:val="24"/>
        </w:rPr>
        <w:t xml:space="preserve">(ii)</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18 marzo</w:t>
      </w:r>
      <w:r>
        <w:rPr>
          <w:rFonts w:ascii="Barlow Semi Condensed" w:cs="Barlow Semi Condensed" w:eastAsia="Barlow Semi Condensed" w:hAnsi="Barlow Semi Condensed"/>
          <w:sz w:val="24"/>
          <w:szCs w:val="24"/>
        </w:rPr>
        <w:t xml:space="preserve">, due giorni dopo via Fani, una squadra del </w:t>
      </w:r>
      <w:r>
        <w:rPr>
          <w:rFonts w:ascii="Barlow Semi Condensed" w:cs="Barlow Semi Condensed" w:eastAsia="Barlow Semi Condensed" w:hAnsi="Barlow Semi Condensed"/>
          <w:b/>
          <w:bCs/>
          <w:sz w:val="24"/>
          <w:szCs w:val="24"/>
        </w:rPr>
        <w:t xml:space="preserve">commissariato Flaminio Nuovo</w:t>
      </w:r>
      <w:r>
        <w:rPr>
          <w:rFonts w:ascii="Barlow Semi Condensed" w:cs="Barlow Semi Condensed" w:eastAsia="Barlow Semi Condensed" w:hAnsi="Barlow Semi Condensed"/>
          <w:sz w:val="24"/>
          <w:szCs w:val="24"/>
        </w:rPr>
        <w:t xml:space="preserve"> guidata dal brigadiere </w:t>
      </w:r>
      <w:r>
        <w:rPr>
          <w:rFonts w:ascii="Barlow Semi Condensed" w:cs="Barlow Semi Condensed" w:eastAsia="Barlow Semi Condensed" w:hAnsi="Barlow Semi Condensed"/>
          <w:b/>
          <w:bCs/>
          <w:sz w:val="24"/>
          <w:szCs w:val="24"/>
        </w:rPr>
        <w:t xml:space="preserve">Domenico Merola</w:t>
      </w:r>
      <w:r>
        <w:rPr>
          <w:rFonts w:ascii="Barlow Semi Condensed" w:cs="Barlow Semi Condensed" w:eastAsia="Barlow Semi Condensed" w:hAnsi="Barlow Semi Condensed"/>
          <w:sz w:val="24"/>
          <w:szCs w:val="24"/>
        </w:rPr>
        <w:t xml:space="preserve"> effettua controlli nello stabile: all'interno 11 </w:t>
      </w:r>
      <w:r>
        <w:rPr>
          <w:rFonts w:ascii="Barlow Semi Condensed" w:cs="Barlow Semi Condensed" w:eastAsia="Barlow Semi Condensed" w:hAnsi="Barlow Semi Condensed"/>
          <w:b/>
          <w:bCs/>
          <w:sz w:val="24"/>
          <w:szCs w:val="24"/>
        </w:rPr>
        <w:t xml:space="preserve">nessuno risponde al campanello; la squadra non entra e non risulta alcun ritorno successivo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(iii)</w:t>
      </w:r>
      <w:r>
        <w:rPr>
          <w:rFonts w:ascii="Barlow Semi Condensed" w:cs="Barlow Semi Condensed" w:eastAsia="Barlow Semi Condensed" w:hAnsi="Barlow Semi Condensed"/>
          <w:sz w:val="24"/>
          <w:szCs w:val="24"/>
        </w:rPr>
        <w:t xml:space="preserve"> Un mese dopo, il </w:t>
      </w:r>
      <w:r>
        <w:rPr>
          <w:rFonts w:ascii="Barlow Semi Condensed" w:cs="Barlow Semi Condensed" w:eastAsia="Barlow Semi Condensed" w:hAnsi="Barlow Semi Condensed"/>
          <w:b/>
          <w:bCs/>
          <w:sz w:val="24"/>
          <w:szCs w:val="24"/>
        </w:rPr>
        <w:t xml:space="preserve">18 aprile</w:t>
      </w:r>
      <w:r>
        <w:rPr>
          <w:rFonts w:ascii="Barlow Semi Condensed" w:cs="Barlow Semi Condensed" w:eastAsia="Barlow Semi Condensed" w:hAnsi="Barlow Semi Condensed"/>
          <w:sz w:val="24"/>
          <w:szCs w:val="24"/>
        </w:rPr>
        <w:t xml:space="preserve">, i </w:t>
      </w:r>
      <w:r>
        <w:rPr>
          <w:rFonts w:ascii="Barlow Semi Condensed" w:cs="Barlow Semi Condensed" w:eastAsia="Barlow Semi Condensed" w:hAnsi="Barlow Semi Condensed"/>
          <w:b/>
          <w:bCs/>
          <w:sz w:val="24"/>
          <w:szCs w:val="24"/>
        </w:rPr>
        <w:t xml:space="preserve">vigili del fuoco</w:t>
      </w:r>
      <w:r>
        <w:rPr>
          <w:rFonts w:ascii="Barlow Semi Condensed" w:cs="Barlow Semi Condensed" w:eastAsia="Barlow Semi Condensed" w:hAnsi="Barlow Semi Condensed"/>
          <w:sz w:val="24"/>
          <w:szCs w:val="24"/>
        </w:rPr>
        <w:t xml:space="preserve"> entrano nell'appartamento per un'infiltrazione d'acqua nell'alloggio sottostante — il verbale parla di «</w:t>
      </w:r>
      <w:r>
        <w:rPr>
          <w:rFonts w:ascii="Barlow Semi Condensed" w:cs="Barlow Semi Condensed" w:eastAsia="Barlow Semi Condensed" w:hAnsi="Barlow Semi Condensed"/>
          <w:b/>
          <w:bCs/>
          <w:sz w:val="24"/>
          <w:szCs w:val="24"/>
        </w:rPr>
        <w:t xml:space="preserve">dimenticata chiusura del rubinetto della doccia</w:t>
      </w:r>
      <w:r>
        <w:rPr>
          <w:rFonts w:ascii="Barlow Semi Condensed" w:cs="Barlow Semi Condensed" w:eastAsia="Barlow Semi Condensed" w:hAnsi="Barlow Semi Condensed"/>
          <w:sz w:val="24"/>
          <w:szCs w:val="24"/>
        </w:rPr>
        <w:t xml:space="preserve">» — e il covo emerge: l'appartamento risultava </w:t>
      </w:r>
      <w:r>
        <w:rPr>
          <w:rFonts w:ascii="Barlow Semi Condensed" w:cs="Barlow Semi Condensed" w:eastAsia="Barlow Semi Condensed" w:hAnsi="Barlow Semi Condensed"/>
          <w:b/>
          <w:bCs/>
          <w:sz w:val="24"/>
          <w:szCs w:val="24"/>
        </w:rPr>
        <w:t xml:space="preserve">affittato dal 1975</w:t>
      </w:r>
      <w:r>
        <w:rPr>
          <w:rFonts w:ascii="Barlow Semi Condensed" w:cs="Barlow Semi Condensed" w:eastAsia="Barlow Semi Condensed" w:hAnsi="Barlow Semi Condensed"/>
          <w:sz w:val="24"/>
          <w:szCs w:val="24"/>
        </w:rPr>
        <w:t xml:space="preserve"> all'«ing. Borghi», cioè </w:t>
      </w: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(giudicato), ed era in uso in quei giorni a </w:t>
      </w:r>
      <w:r>
        <w:rPr>
          <w:rFonts w:ascii="Barlow Semi Condensed" w:cs="Barlow Semi Condensed" w:eastAsia="Barlow Semi Condensed" w:hAnsi="Barlow Semi Condensed"/>
          <w:b/>
          <w:bCs/>
          <w:sz w:val="24"/>
          <w:szCs w:val="24"/>
        </w:rPr>
        <w:t xml:space="preserve">Moretti e Balzerani</w:t>
      </w:r>
      <w:r>
        <w:rPr>
          <w:rFonts w:ascii="Barlow Semi Condensed" w:cs="Barlow Semi Condensed" w:eastAsia="Barlow Semi Condensed" w:hAnsi="Barlow Semi Condensed"/>
          <w:sz w:val="24"/>
          <w:szCs w:val="24"/>
        </w:rPr>
        <w:t xml:space="preserve">; vi avevano abitato per primi </w:t>
      </w:r>
      <w:r>
        <w:rPr>
          <w:rFonts w:ascii="Barlow Semi Condensed" w:cs="Barlow Semi Condensed" w:eastAsia="Barlow Semi Condensed" w:hAnsi="Barlow Semi Condensed"/>
          <w:b/>
          <w:bCs/>
          <w:sz w:val="24"/>
          <w:szCs w:val="24"/>
        </w:rPr>
        <w:t xml:space="preserve">Bonisoli</w:t>
      </w:r>
      <w:r>
        <w:rPr>
          <w:rFonts w:ascii="Barlow Semi Condensed" w:cs="Barlow Semi Condensed" w:eastAsia="Barlow Semi Condensed" w:hAnsi="Barlow Semi Condensed"/>
          <w:sz w:val="24"/>
          <w:szCs w:val="24"/>
        </w:rPr>
        <w:t xml:space="preserve"> e Brioschi (relazione Moro 2, «I covi e la morte di Moro» (https://documenti.camera.it/_dati/leg17/lavori/documentiparlamentari/indiceetesti/023/029/00000015.pdf); Panorama, «il nodo del 18 aprile» (https://www.panorama.it/sequestro-moro-il-nodo-del-18-aprile-la-storia-e-le-foto); Anni Affollati (https://www.anniaffollati.it/sezioni/sotto-un-dominio-caso-moro/via-gradoli/menu-via-gradoli.html)). </w:t>
      </w:r>
      <w:r>
        <w:rPr>
          <w:rFonts w:ascii="Barlow Semi Condensed" w:cs="Barlow Semi Condensed" w:eastAsia="Barlow Semi Condensed" w:hAnsi="Barlow Semi Condensed"/>
          <w:i/>
          <w:iCs/>
          <w:sz w:val="24"/>
          <w:szCs w:val="24"/>
        </w:rPr>
        <w:t xml:space="preserve">(iv)</w:t>
      </w:r>
      <w:r>
        <w:rPr>
          <w:rFonts w:ascii="Barlow Semi Condensed" w:cs="Barlow Semi Condensed" w:eastAsia="Barlow Semi Condensed" w:hAnsi="Barlow Semi Condensed"/>
          <w:sz w:val="24"/>
          <w:szCs w:val="24"/>
        </w:rPr>
        <w:t xml:space="preserve"> Del controllo fallito del 18 marzo le autorità si avvidero </w:t>
      </w:r>
      <w:r>
        <w:rPr>
          <w:rFonts w:ascii="Barlow Semi Condensed" w:cs="Barlow Semi Condensed" w:eastAsia="Barlow Semi Condensed" w:hAnsi="Barlow Semi Condensed"/>
          <w:b/>
          <w:bCs/>
          <w:sz w:val="24"/>
          <w:szCs w:val="24"/>
        </w:rPr>
        <w:t xml:space="preserve">solo dopo la scoperta</w:t>
      </w:r>
      <w:r>
        <w:rPr>
          <w:rFonts w:ascii="Barlow Semi Condensed" w:cs="Barlow Semi Condensed" w:eastAsia="Barlow Semi Condensed" w:hAnsi="Barlow Semi Condensed"/>
          <w:sz w:val="24"/>
          <w:szCs w:val="24"/>
        </w:rPr>
        <w:t xml:space="preserve">. E il 18 aprile è anche il giorno del </w:t>
      </w:r>
      <w:r>
        <w:rPr>
          <w:rFonts w:ascii="Barlow Semi Condensed" w:cs="Barlow Semi Condensed" w:eastAsia="Barlow Semi Condensed" w:hAnsi="Barlow Semi Condensed"/>
          <w:b/>
          <w:bCs/>
          <w:sz w:val="24"/>
          <w:szCs w:val="24"/>
        </w:rPr>
        <w:t xml:space="preserve">falso comunicato n. 7</w:t>
      </w:r>
      <w:r>
        <w:rPr>
          <w:rFonts w:ascii="Barlow Semi Condensed" w:cs="Barlow Semi Condensed" w:eastAsia="Barlow Semi Condensed" w:hAnsi="Barlow Semi Condensed"/>
          <w:sz w:val="24"/>
          <w:szCs w:val="24"/>
        </w:rPr>
        <w:t xml:space="preserve"> e della messinscena del </w:t>
      </w:r>
      <w:r>
        <w:rPr>
          <w:rFonts w:ascii="Barlow Semi Condensed" w:cs="Barlow Semi Condensed" w:eastAsia="Barlow Semi Condensed" w:hAnsi="Barlow Semi Condensed"/>
          <w:b/>
          <w:bCs/>
          <w:sz w:val="24"/>
          <w:szCs w:val="24"/>
        </w:rPr>
        <w:t xml:space="preserve">lago della Duchessa</w:t>
      </w:r>
      <w:r>
        <w:rPr>
          <w:rFonts w:ascii="Barlow Semi Condensed" w:cs="Barlow Semi Condensed" w:eastAsia="Barlow Semi Condensed" w:hAnsi="Barlow Semi Condensed"/>
          <w:sz w:val="24"/>
          <w:szCs w:val="24"/>
        </w:rPr>
        <w:t xml:space="preserve">: il grappolo temporale è un fatto; il suo significato non lo è.</w:t>
      </w:r>
    </w:p>
    <w:p>
      <w:pPr>
        <w:pStyle w:val="Heading3"/>
        <w:spacing w:after="80" w:before="160"/>
      </w:pPr>
      <w:r>
        <w:rPr>
          <w:rFonts w:ascii="Barlow Semi Condensed" w:cs="Barlow Semi Condensed" w:eastAsia="Barlow Semi Condensed" w:hAnsi="Barlow Semi Condensed"/>
          <w:sz w:val="24"/>
          <w:szCs w:val="24"/>
        </w:rPr>
        <w:t xml:space="preserve">I due quesiti, in forma ACH</w:t>
      </w:r>
    </w:p>
    <w:p>
      <w:pPr>
        <w:spacing w:after="120" w:line="276"/>
        <w:jc w:val="both"/>
      </w:pPr>
      <w:r>
        <w:rPr>
          <w:rFonts w:ascii="Barlow Semi Condensed" w:cs="Barlow Semi Condensed" w:eastAsia="Barlow Semi Condensed" w:hAnsi="Barlow Semi Condensed"/>
          <w:b/>
          <w:bCs/>
          <w:sz w:val="24"/>
          <w:szCs w:val="24"/>
        </w:rPr>
        <w:t xml:space="preserve">Q1 — La catena della nota e del mancato ritorno.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H1:</w:t>
      </w:r>
      <w:r>
        <w:rPr>
          <w:rFonts w:ascii="Barlow Semi Condensed" w:cs="Barlow Semi Condensed" w:eastAsia="Barlow Semi Condensed" w:hAnsi="Barlow Semi Condensed"/>
          <w:sz w:val="24"/>
          <w:szCs w:val="24"/>
        </w:rPr>
        <w:t xml:space="preserve"> negligenza ordinaria in giorni di sovraccarico (migliaia di segnalazioni, controlli sommari). </w:t>
      </w:r>
      <w:r>
        <w:rPr>
          <w:rFonts w:ascii="Barlow Semi Condensed" w:cs="Barlow Semi Condensed" w:eastAsia="Barlow Semi Condensed" w:hAnsi="Barlow Semi Condensed"/>
          <w:i/>
          <w:iCs/>
          <w:sz w:val="24"/>
          <w:szCs w:val="24"/>
        </w:rPr>
        <w:t xml:space="preserve">H2:</w:t>
      </w:r>
      <w:r>
        <w:rPr>
          <w:rFonts w:ascii="Barlow Semi Condensed" w:cs="Barlow Semi Condensed" w:eastAsia="Barlow Semi Condensed" w:hAnsi="Barlow Semi Condensed"/>
          <w:sz w:val="24"/>
          <w:szCs w:val="24"/>
        </w:rPr>
        <w:t xml:space="preserve"> un filtro o una disposizione nella catena (la nota depotenziata, il ritorno non disposto). Evidenza discriminante: </w:t>
      </w:r>
      <w:r>
        <w:rPr>
          <w:rFonts w:ascii="Barlow Semi Condensed" w:cs="Barlow Semi Condensed" w:eastAsia="Barlow Semi Condensed" w:hAnsi="Barlow Semi Condensed"/>
          <w:b/>
          <w:bCs/>
          <w:sz w:val="24"/>
          <w:szCs w:val="24"/>
        </w:rPr>
        <w:t xml:space="preserve">i documenti della catena</w:t>
      </w:r>
      <w:r>
        <w:rPr>
          <w:rFonts w:ascii="Barlow Semi Condensed" w:cs="Barlow Semi Condensed" w:eastAsia="Barlow Semi Condensed" w:hAnsi="Barlow Semi Condensed"/>
          <w:sz w:val="24"/>
          <w:szCs w:val="24"/>
        </w:rPr>
        <w:t xml:space="preserve"> — il protocollo d'ingresso della nota Mokbel, le disposizioni scritte alla squadra, il rapporto di Merola, l'eventuale nota di mancato seguito. Nessuna delle due ipotesi è oggi più che C; e va detto contro ogni dietrologia frettolosa che l'esistenza stessa della nota Mokbel prova che il sistema delle segnalazioni </w:t>
      </w:r>
      <w:r>
        <w:rPr>
          <w:rFonts w:ascii="Barlow Semi Condensed" w:cs="Barlow Semi Condensed" w:eastAsia="Barlow Semi Condensed" w:hAnsi="Barlow Semi Condensed"/>
          <w:b/>
          <w:bCs/>
          <w:sz w:val="24"/>
          <w:szCs w:val="24"/>
        </w:rPr>
        <w:t xml:space="preserve">funzionava in ingresso</w:t>
      </w:r>
      <w:r>
        <w:rPr>
          <w:rFonts w:ascii="Barlow Semi Condensed" w:cs="Barlow Semi Condensed" w:eastAsia="Barlow Semi Condensed" w:hAnsi="Barlow Semi Condensed"/>
          <w:sz w:val="24"/>
          <w:szCs w:val="24"/>
        </w:rPr>
        <w:t xml:space="preserve"> — il quesito è tutto sul suo funzionamento </w:t>
      </w:r>
      <w:r>
        <w:rPr>
          <w:rFonts w:ascii="Barlow Semi Condensed" w:cs="Barlow Semi Condensed" w:eastAsia="Barlow Semi Condensed" w:hAnsi="Barlow Semi Condensed"/>
          <w:b/>
          <w:bCs/>
          <w:sz w:val="24"/>
          <w:szCs w:val="24"/>
        </w:rPr>
        <w:t xml:space="preserve">in uscita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Q2 — L'allagamento.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H1:</w:t>
      </w:r>
      <w:r>
        <w:rPr>
          <w:rFonts w:ascii="Barlow Semi Condensed" w:cs="Barlow Semi Condensed" w:eastAsia="Barlow Semi Condensed" w:hAnsi="Barlow Semi Condensed"/>
          <w:sz w:val="24"/>
          <w:szCs w:val="24"/>
        </w:rPr>
        <w:t xml:space="preserve"> la distrazione — il rubinetto dimenticato, come da verbale dei vigili e come nelle versioni rese dai condannati. </w:t>
      </w:r>
      <w:r>
        <w:rPr>
          <w:rFonts w:ascii="Barlow Semi Condensed" w:cs="Barlow Semi Condensed" w:eastAsia="Barlow Semi Condensed" w:hAnsi="Barlow Semi Condensed"/>
          <w:i/>
          <w:iCs/>
          <w:sz w:val="24"/>
          <w:szCs w:val="24"/>
        </w:rPr>
        <w:t xml:space="preserve">H2:</w:t>
      </w:r>
      <w:r>
        <w:rPr>
          <w:rFonts w:ascii="Barlow Semi Condensed" w:cs="Barlow Semi Condensed" w:eastAsia="Barlow Semi Condensed" w:hAnsi="Barlow Semi Condensed"/>
          <w:sz w:val="24"/>
          <w:szCs w:val="24"/>
        </w:rPr>
        <w:t xml:space="preserve"> la perdita </w:t>
      </w:r>
      <w:r>
        <w:rPr>
          <w:rFonts w:ascii="Barlow Semi Condensed" w:cs="Barlow Semi Condensed" w:eastAsia="Barlow Semi Condensed" w:hAnsi="Barlow Semi Condensed"/>
          <w:b/>
          <w:bCs/>
          <w:sz w:val="24"/>
          <w:szCs w:val="24"/>
        </w:rPr>
        <w:t xml:space="preserve">deliberata</w:t>
      </w:r>
      <w:r>
        <w:rPr>
          <w:rFonts w:ascii="Barlow Semi Condensed" w:cs="Barlow Semi Condensed" w:eastAsia="Barlow Semi Condensed" w:hAnsi="Barlow Semi Condensed"/>
          <w:sz w:val="24"/>
          <w:szCs w:val="24"/>
        </w:rPr>
        <w:t xml:space="preserve">, per far scoprire il covo — tesi ricorrente in sede parlamentare e pubblicistica («il covo fatto trovare»). Evidenza discriminante: </w:t>
      </w:r>
      <w:r>
        <w:rPr>
          <w:rFonts w:ascii="Barlow Semi Condensed" w:cs="Barlow Semi Condensed" w:eastAsia="Barlow Semi Condensed" w:hAnsi="Barlow Semi Condensed"/>
          <w:b/>
          <w:bCs/>
          <w:sz w:val="24"/>
          <w:szCs w:val="24"/>
        </w:rPr>
        <w:t xml:space="preserve">i rilievi fotografici originali del bagno</w:t>
      </w:r>
      <w:r>
        <w:rPr>
          <w:rFonts w:ascii="Barlow Semi Condensed" w:cs="Barlow Semi Condensed" w:eastAsia="Barlow Semi Condensed" w:hAnsi="Barlow Semi Condensed"/>
          <w:sz w:val="24"/>
          <w:szCs w:val="24"/>
        </w:rPr>
        <w:t xml:space="preserve"> e il fascicolo integrale dei VVF — la posizione materiale della doccia e del getto è un dato fisico che fu fotografato, e le fotografie esistono agli atti. Fino alla loro riacquisizione e perizia, entrambe le ipotesi restano C.</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Acquisizione del </w:t>
      </w:r>
      <w:r>
        <w:rPr>
          <w:rFonts w:ascii="Barlow Semi Condensed" w:cs="Barlow Semi Condensed" w:eastAsia="Barlow Semi Condensed" w:hAnsi="Barlow Semi Condensed"/>
          <w:b/>
          <w:bCs/>
          <w:sz w:val="24"/>
          <w:szCs w:val="24"/>
        </w:rPr>
        <w:t xml:space="preserve">fascicolo del commissariato Flaminio Nuovo</w:t>
      </w:r>
      <w:r>
        <w:rPr>
          <w:rFonts w:ascii="Barlow Semi Condensed" w:cs="Barlow Semi Condensed" w:eastAsia="Barlow Semi Condensed" w:hAnsi="Barlow Semi Condensed"/>
          <w:sz w:val="24"/>
          <w:szCs w:val="24"/>
        </w:rPr>
        <w:t xml:space="preserve">: l'ordine di servizio del 18 marzo, il rapporto della squadra, il registro dei controlli di zona.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percorso protocollare della nota Mokbel</w:t>
      </w:r>
      <w:r>
        <w:rPr>
          <w:rFonts w:ascii="Barlow Semi Condensed" w:cs="Barlow Semi Condensed" w:eastAsia="Barlow Semi Condensed" w:hAnsi="Barlow Semi Condensed"/>
          <w:sz w:val="24"/>
          <w:szCs w:val="24"/>
        </w:rPr>
        <w:t xml:space="preserve">: ingresso, assegnazione, seguito — questura, UCIGOS, Viminale.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fascicolo integrale dei vigili del fuoco</w:t>
      </w:r>
      <w:r>
        <w:rPr>
          <w:rFonts w:ascii="Barlow Semi Condensed" w:cs="Barlow Semi Condensed" w:eastAsia="Barlow Semi Condensed" w:hAnsi="Barlow Semi Condensed"/>
          <w:sz w:val="24"/>
          <w:szCs w:val="24"/>
        </w:rPr>
        <w:t xml:space="preserve"> del 18 aprile con i </w:t>
      </w:r>
      <w:r>
        <w:rPr>
          <w:rFonts w:ascii="Barlow Semi Condensed" w:cs="Barlow Semi Condensed" w:eastAsia="Barlow Semi Condensed" w:hAnsi="Barlow Semi Condensed"/>
          <w:b/>
          <w:bCs/>
          <w:sz w:val="24"/>
          <w:szCs w:val="24"/>
        </w:rPr>
        <w:t xml:space="preserve">rilievi fotografici del bagno</w:t>
      </w:r>
      <w:r>
        <w:rPr>
          <w:rFonts w:ascii="Barlow Semi Condensed" w:cs="Barlow Semi Condensed" w:eastAsia="Barlow Semi Condensed" w:hAnsi="Barlow Semi Condensed"/>
          <w:sz w:val="24"/>
          <w:szCs w:val="24"/>
        </w:rPr>
        <w:t xml:space="preserve">, e la loro perizia descrittiva.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cronologia incrociata del triplo 18 aprile</w:t>
      </w:r>
      <w:r>
        <w:rPr>
          <w:rFonts w:ascii="Barlow Semi Condensed" w:cs="Barlow Semi Condensed" w:eastAsia="Barlow Semi Condensed" w:hAnsi="Barlow Semi Condensed"/>
          <w:sz w:val="24"/>
          <w:szCs w:val="24"/>
        </w:rPr>
        <w:t xml:space="preserve"> sui soli documenti: chi seppe di che cosa, a che ora, per quale via — falso comunicato, covo, Duchessa — senza assumere il grappolo come regia finché gli atti non parlino.</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trasformare la negligenza in dolo per impazienza: trenta giorni di distanza fra campanello e doccia sono compatibili con entrambe le ipotesi, e solo le carte discriminano. Non processare il brigadiere e l'informatrice: sono </w:t>
      </w:r>
      <w:r>
        <w:rPr>
          <w:rFonts w:ascii="Barlow Semi Condensed" w:cs="Barlow Semi Condensed" w:eastAsia="Barlow Semi Condensed" w:hAnsi="Barlow Semi Condensed"/>
          <w:b/>
          <w:bCs/>
          <w:sz w:val="24"/>
          <w:szCs w:val="24"/>
        </w:rPr>
        <w:t xml:space="preserve">fatti d'ufficio documentati</w:t>
      </w:r>
      <w:r>
        <w:rPr>
          <w:rFonts w:ascii="Barlow Semi Condensed" w:cs="Barlow Semi Condensed" w:eastAsia="Barlow Semi Condensed" w:hAnsi="Barlow Semi Condensed"/>
          <w:sz w:val="24"/>
          <w:szCs w:val="24"/>
        </w:rPr>
        <w:t xml:space="preserve">, l'uno operante e l'altra fonte, e a nessuno dei due gli atti attribuiscono altro. Non dimenticare che l'interno 11 era del giudicato: chi lo abitava è scritto nelle sentenze, e il quesito non è </w:t>
      </w:r>
      <w:r>
        <w:rPr>
          <w:rFonts w:ascii="Barlow Semi Condensed" w:cs="Barlow Semi Condensed" w:eastAsia="Barlow Semi Condensed" w:hAnsi="Barlow Semi Condensed"/>
          <w:i/>
          <w:iCs/>
          <w:sz w:val="24"/>
          <w:szCs w:val="24"/>
        </w:rPr>
        <w:t xml:space="preserve">chi ci fosse dentro</w:t>
      </w:r>
      <w:r>
        <w:rPr>
          <w:rFonts w:ascii="Barlow Semi Condensed" w:cs="Barlow Semi Condensed" w:eastAsia="Barlow Semi Condensed" w:hAnsi="Barlow Semi Condensed"/>
          <w:sz w:val="24"/>
          <w:szCs w:val="24"/>
        </w:rPr>
        <w:t xml:space="preserve"> ma </w:t>
      </w:r>
      <w:r>
        <w:rPr>
          <w:rFonts w:ascii="Barlow Semi Condensed" w:cs="Barlow Semi Condensed" w:eastAsia="Barlow Semi Condensed" w:hAnsi="Barlow Semi Condensed"/>
          <w:i/>
          <w:iCs/>
          <w:sz w:val="24"/>
          <w:szCs w:val="24"/>
        </w:rPr>
        <w:t xml:space="preserve">come lo Stato lo mancò e come lo trovò</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Q1 chiude con la catena documentale ricostruita (o con l'assenza certificata dei suoi anelli, che sarebbe un esito di peso); Q2 chiude con la perizia sui rilievi originali. Qualunque esito, in entrambi i casi, sposta il nodo del 18 aprile dal territorio del sospetto a quello del documento — che è l'unico spostamento che questo programma persegue.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Scheda PE-2 — Il condominio e le sue date: gli assetti proprietari di via Gradoli 96</w:t>
      </w:r>
    </w:p>
    <w:p>
      <w:pPr>
        <w:pStyle w:val="Heading3"/>
        <w:spacing w:after="80" w:before="160"/>
      </w:pPr>
      <w:r>
        <w:rPr>
          <w:rFonts w:ascii="Barlow Semi Condensed" w:cs="Barlow Semi Condensed" w:eastAsia="Barlow Semi Condensed" w:hAnsi="Barlow Semi Condensed"/>
          <w:sz w:val="24"/>
          <w:szCs w:val="24"/>
        </w:rPr>
        <w:t xml:space="preserve">La storia degli accertamenti, in due strati</w:t>
      </w:r>
    </w:p>
    <w:p>
      <w:pPr>
        <w:spacing w:after="120" w:line="276"/>
        <w:jc w:val="both"/>
      </w:pPr>
      <w:r>
        <w:rPr>
          <w:rFonts w:ascii="Barlow Semi Condensed" w:cs="Barlow Semi Condensed" w:eastAsia="Barlow Semi Condensed" w:hAnsi="Barlow Semi Condensed"/>
          <w:sz w:val="24"/>
          <w:szCs w:val="24"/>
        </w:rPr>
        <w:t xml:space="preserve">Il primo strato è quello già censito dalla pista: la </w:t>
      </w:r>
      <w:r>
        <w:rPr>
          <w:rFonts w:ascii="Barlow Semi Condensed" w:cs="Barlow Semi Condensed" w:eastAsia="Barlow Semi Condensed" w:hAnsi="Barlow Semi Condensed"/>
          <w:b/>
          <w:bCs/>
          <w:sz w:val="24"/>
          <w:szCs w:val="24"/>
        </w:rPr>
        <w:t xml:space="preserve">relazione della Commissione Moro 2</w:t>
      </w:r>
      <w:r>
        <w:rPr>
          <w:rFonts w:ascii="Barlow Semi Condensed" w:cs="Barlow Semi Condensed" w:eastAsia="Barlow Semi Condensed" w:hAnsi="Barlow Semi Condensed"/>
          <w:sz w:val="24"/>
          <w:szCs w:val="24"/>
        </w:rPr>
        <w:t xml:space="preserve"> documenta che, dei 66 appartamenti dello stabile, </w:t>
      </w:r>
      <w:r>
        <w:rPr>
          <w:rFonts w:ascii="Barlow Semi Condensed" w:cs="Barlow Semi Condensed" w:eastAsia="Barlow Semi Condensed" w:hAnsi="Barlow Semi Condensed"/>
          <w:b/>
          <w:bCs/>
          <w:sz w:val="24"/>
          <w:szCs w:val="24"/>
        </w:rPr>
        <w:t xml:space="preserve">24 risultavano di società immobiliari</w:t>
      </w:r>
      <w:r>
        <w:rPr>
          <w:rFonts w:ascii="Barlow Semi Condensed" w:cs="Barlow Semi Condensed" w:eastAsia="Barlow Semi Condensed" w:hAnsi="Barlow Semi Condensed"/>
          <w:sz w:val="24"/>
          <w:szCs w:val="24"/>
        </w:rPr>
        <w:t xml:space="preserve"> — Monte Valle Verde srl, Caseroma srl, Gradoli spa — </w:t>
      </w:r>
      <w:r>
        <w:rPr>
          <w:rFonts w:ascii="Barlow Semi Condensed" w:cs="Barlow Semi Condensed" w:eastAsia="Barlow Semi Condensed" w:hAnsi="Barlow Semi Condensed"/>
          <w:b/>
          <w:bCs/>
          <w:sz w:val="24"/>
          <w:szCs w:val="24"/>
        </w:rPr>
        <w:t xml:space="preserve">i cui amministratori comprendevano fiduciari dei servizi</w:t>
      </w:r>
      <w:r>
        <w:rPr>
          <w:rFonts w:ascii="Barlow Semi Condensed" w:cs="Barlow Semi Condensed" w:eastAsia="Barlow Semi Condensed" w:hAnsi="Barlow Semi Condensed"/>
          <w:sz w:val="24"/>
          <w:szCs w:val="24"/>
        </w:rPr>
        <w:t xml:space="preserve"> (relazione Moro 2, «I covi e la morte di Moro» (https://documenti.camera.it/_dati/leg17/lavori/documentiparlamentari/indiceetesti/023/029/00000015.pdf)).</w:t>
      </w:r>
    </w:p>
    <w:p>
      <w:pPr>
        <w:spacing w:after="120" w:line="276"/>
        <w:jc w:val="both"/>
      </w:pPr>
      <w:r>
        <w:rPr>
          <w:rFonts w:ascii="Barlow Semi Condensed" w:cs="Barlow Semi Condensed" w:eastAsia="Barlow Semi Condensed" w:hAnsi="Barlow Semi Condensed"/>
          <w:sz w:val="24"/>
          <w:szCs w:val="24"/>
        </w:rPr>
        <w:t xml:space="preserve">Il secondo strato è più recente e più solido, perché è </w:t>
      </w:r>
      <w:r>
        <w:rPr>
          <w:rFonts w:ascii="Barlow Semi Condensed" w:cs="Barlow Semi Condensed" w:eastAsia="Barlow Semi Condensed" w:hAnsi="Barlow Semi Condensed"/>
          <w:b/>
          <w:bCs/>
          <w:sz w:val="24"/>
          <w:szCs w:val="24"/>
        </w:rPr>
        <w:t xml:space="preserve">dibattimentale</w:t>
      </w:r>
      <w:r>
        <w:rPr>
          <w:rFonts w:ascii="Barlow Semi Condensed" w:cs="Barlow Semi Condensed" w:eastAsia="Barlow Semi Condensed" w:hAnsi="Barlow Semi Condensed"/>
          <w:sz w:val="24"/>
          <w:szCs w:val="24"/>
        </w:rPr>
        <w:t xml:space="preserve">: nel processo per la strage di Bologna, nel giugno 2021, i legami fra lo stabile e i servizi furono </w:t>
      </w:r>
      <w:r>
        <w:rPr>
          <w:rFonts w:ascii="Barlow Semi Condensed" w:cs="Barlow Semi Condensed" w:eastAsia="Barlow Semi Condensed" w:hAnsi="Barlow Semi Condensed"/>
          <w:b/>
          <w:bCs/>
          <w:sz w:val="24"/>
          <w:szCs w:val="24"/>
        </w:rPr>
        <w:t xml:space="preserve">ricostruiti in aula</w:t>
      </w:r>
      <w:r>
        <w:rPr>
          <w:rFonts w:ascii="Barlow Semi Condensed" w:cs="Barlow Semi Condensed" w:eastAsia="Barlow Semi Condensed" w:hAnsi="Barlow Semi Condensed"/>
          <w:sz w:val="24"/>
          <w:szCs w:val="24"/>
        </w:rPr>
        <w:t xml:space="preserve"> (DIRE (https://www.dire.it/23-06-2021/647553-strage-di-bologna-ricostruiti-i-legami-tra-il-covo-di-via-gradoli-e-i-servizi/); il Resto del Carlino (https://www.ilrestodelcarlino.it/bologna/cronaca/strage-il-covo-di-via-gradoli-e-i-legami-con-i-servizi-segreti-95be7858); Antimafia Duemila (https://www.antimafiaduemila.com/home/mafie-news/306-giustizia/84509-strage-bologna-in-aula-i-legami-tra-il-covo-di-via-gradoli-e-i-servizi.html)). Ne emergono tre dati nominati, che si riportano per ciò che le fonti attestano e nulla più: </w:t>
      </w:r>
      <w:r>
        <w:rPr>
          <w:rFonts w:ascii="Barlow Semi Condensed" w:cs="Barlow Semi Condensed" w:eastAsia="Barlow Semi Condensed" w:hAnsi="Barlow Semi Condensed"/>
          <w:b/>
          <w:bCs/>
          <w:sz w:val="24"/>
          <w:szCs w:val="24"/>
        </w:rPr>
        <w:t xml:space="preserve">Domenico Catracchia</w:t>
      </w:r>
      <w:r>
        <w:rPr>
          <w:rFonts w:ascii="Barlow Semi Condensed" w:cs="Barlow Semi Condensed" w:eastAsia="Barlow Semi Condensed" w:hAnsi="Barlow Semi Condensed"/>
          <w:sz w:val="24"/>
          <w:szCs w:val="24"/>
        </w:rPr>
        <w:t xml:space="preserve"> risulta </w:t>
      </w:r>
      <w:r>
        <w:rPr>
          <w:rFonts w:ascii="Barlow Semi Condensed" w:cs="Barlow Semi Condensed" w:eastAsia="Barlow Semi Condensed" w:hAnsi="Barlow Semi Condensed"/>
          <w:b/>
          <w:bCs/>
          <w:sz w:val="24"/>
          <w:szCs w:val="24"/>
        </w:rPr>
        <w:t xml:space="preserve">amministratore unico di Caseroma e dell'Immobiliare Gradoli</w:t>
      </w:r>
      <w:r>
        <w:rPr>
          <w:rFonts w:ascii="Barlow Semi Condensed" w:cs="Barlow Semi Condensed" w:eastAsia="Barlow Semi Condensed" w:hAnsi="Barlow Semi Condensed"/>
          <w:sz w:val="24"/>
          <w:szCs w:val="24"/>
        </w:rPr>
        <w:t xml:space="preserve">, quest'ultima collegata a </w:t>
      </w:r>
      <w:r>
        <w:rPr>
          <w:rFonts w:ascii="Barlow Semi Condensed" w:cs="Barlow Semi Condensed" w:eastAsia="Barlow Semi Condensed" w:hAnsi="Barlow Semi Condensed"/>
          <w:b/>
          <w:bCs/>
          <w:sz w:val="24"/>
          <w:szCs w:val="24"/>
        </w:rPr>
        <w:t xml:space="preserve">Fidrev</w:t>
      </w:r>
      <w:r>
        <w:rPr>
          <w:rFonts w:ascii="Barlow Semi Condensed" w:cs="Barlow Semi Condensed" w:eastAsia="Barlow Semi Condensed" w:hAnsi="Barlow Semi Condensed"/>
          <w:sz w:val="24"/>
          <w:szCs w:val="24"/>
        </w:rPr>
        <w:t xml:space="preserve">, fiduciaria di consulenza del SISDE — un ruolo societario documentato, al quale questa scheda non aggiunge alcun addebito; al prefetto </w:t>
      </w:r>
      <w:r>
        <w:rPr>
          <w:rFonts w:ascii="Barlow Semi Condensed" w:cs="Barlow Semi Condensed" w:eastAsia="Barlow Semi Condensed" w:hAnsi="Barlow Semi Condensed"/>
          <w:b/>
          <w:bCs/>
          <w:sz w:val="24"/>
          <w:szCs w:val="24"/>
        </w:rPr>
        <w:t xml:space="preserve">Vincenzo Parisi</w:t>
      </w:r>
      <w:r>
        <w:rPr>
          <w:rFonts w:ascii="Barlow Semi Condensed" w:cs="Barlow Semi Condensed" w:eastAsia="Barlow Semi Condensed" w:hAnsi="Barlow Semi Condensed"/>
          <w:sz w:val="24"/>
          <w:szCs w:val="24"/>
        </w:rPr>
        <w:t xml:space="preserve"> — direttore del SISDE e poi capo della Polizia, scomparso nel 1994 — il dibattimento ha riferito </w:t>
      </w:r>
      <w:r>
        <w:rPr>
          <w:rFonts w:ascii="Barlow Semi Condensed" w:cs="Barlow Semi Condensed" w:eastAsia="Barlow Semi Condensed" w:hAnsi="Barlow Semi Condensed"/>
          <w:b/>
          <w:bCs/>
          <w:sz w:val="24"/>
          <w:szCs w:val="24"/>
        </w:rPr>
        <w:t xml:space="preserve">quattro immobili in via Gradoli fra il 1979 e il 1986, intestati a familiari, uno dei quali al civico 96</w:t>
      </w:r>
      <w:r>
        <w:rPr>
          <w:rFonts w:ascii="Barlow Semi Condensed" w:cs="Barlow Semi Condensed" w:eastAsia="Barlow Semi Condensed" w:hAnsi="Barlow Semi Condensed"/>
          <w:sz w:val="24"/>
          <w:szCs w:val="24"/>
        </w:rPr>
        <w:t xml:space="preserve">; e lo stesso stabile che aveva ospitato il covo BR dell'interno 11 </w:t>
      </w:r>
      <w:r>
        <w:rPr>
          <w:rFonts w:ascii="Barlow Semi Condensed" w:cs="Barlow Semi Condensed" w:eastAsia="Barlow Semi Condensed" w:hAnsi="Barlow Semi Condensed"/>
          <w:b/>
          <w:bCs/>
          <w:sz w:val="24"/>
          <w:szCs w:val="24"/>
        </w:rPr>
        <w:t xml:space="preserve">ospitò nel 1981 esponenti dei NAR</w:t>
      </w:r>
      <w:r>
        <w:rPr>
          <w:rFonts w:ascii="Barlow Semi Condensed" w:cs="Barlow Semi Condensed" w:eastAsia="Barlow Semi Condensed" w:hAnsi="Barlow Semi Condensed"/>
          <w:sz w:val="24"/>
          <w:szCs w:val="24"/>
        </w:rPr>
        <w:t xml:space="preserve">. Dal lato dei condannati, la posizione resa pubblicamente è netta: «dei covi del SISDE non sapevamo» (Faranda, 2021 (https://incronaca.unibo.it/archivio/2021/07/07/adriana-faranda-covi-via-gradoli-del-sisde-non-sapevamo)) — dichiarazione di parte, grado F, che si registra come tale.</w:t>
      </w:r>
    </w:p>
    <w:p>
      <w:pPr>
        <w:pStyle w:val="Heading3"/>
        <w:spacing w:after="80" w:before="160"/>
      </w:pPr>
      <w:r>
        <w:rPr>
          <w:rFonts w:ascii="Barlow Semi Condensed" w:cs="Barlow Semi Condensed" w:eastAsia="Barlow Semi Condensed" w:hAnsi="Barlow Semi Condensed"/>
          <w:sz w:val="24"/>
          <w:szCs w:val="24"/>
        </w:rPr>
        <w:t xml:space="preserve">La disciplina che l'approfondimento impone: le date prima di tutto</w:t>
      </w:r>
    </w:p>
    <w:p>
      <w:pPr>
        <w:spacing w:after="120" w:line="276"/>
        <w:jc w:val="both"/>
      </w:pPr>
      <w:r>
        <w:rPr>
          <w:rFonts w:ascii="Barlow Semi Condensed" w:cs="Barlow Semi Condensed" w:eastAsia="Barlow Semi Condensed" w:hAnsi="Barlow Semi Condensed"/>
          <w:sz w:val="24"/>
          <w:szCs w:val="24"/>
        </w:rPr>
        <w:t xml:space="preserve">Ed ecco il punto che trasforma la suggestione in quesito. I legami documentati nel dibattimento </w:t>
      </w:r>
      <w:r>
        <w:rPr>
          <w:rFonts w:ascii="Barlow Semi Condensed" w:cs="Barlow Semi Condensed" w:eastAsia="Barlow Semi Condensed" w:hAnsi="Barlow Semi Condensed"/>
          <w:b/>
          <w:bCs/>
          <w:sz w:val="24"/>
          <w:szCs w:val="24"/>
        </w:rPr>
        <w:t xml:space="preserve">datano in larga parte 1979-1986 — dopo il caso Moro</w:t>
      </w:r>
      <w:r>
        <w:rPr>
          <w:rFonts w:ascii="Barlow Semi Condensed" w:cs="Barlow Semi Condensed" w:eastAsia="Barlow Semi Condensed" w:hAnsi="Barlow Semi Condensed"/>
          <w:sz w:val="24"/>
          <w:szCs w:val="24"/>
        </w:rPr>
        <w:t xml:space="preserve">: gli immobili riferiti a Parisi partono dal 1979; la presenza NAR è del 1981. La finestra che interessa il caso è invece </w:t>
      </w:r>
      <w:r>
        <w:rPr>
          <w:rFonts w:ascii="Barlow Semi Condensed" w:cs="Barlow Semi Condensed" w:eastAsia="Barlow Semi Condensed" w:hAnsi="Barlow Semi Condensed"/>
          <w:b/>
          <w:bCs/>
          <w:sz w:val="24"/>
          <w:szCs w:val="24"/>
        </w:rPr>
        <w:t xml:space="preserve">1975-1978</w:t>
      </w:r>
      <w:r>
        <w:rPr>
          <w:rFonts w:ascii="Barlow Semi Condensed" w:cs="Barlow Semi Condensed" w:eastAsia="Barlow Semi Condensed" w:hAnsi="Barlow Semi Condensed"/>
          <w:sz w:val="24"/>
          <w:szCs w:val="24"/>
        </w:rPr>
        <w:t xml:space="preserve">: l'interno 11 fu affittato all'«ing. Borghi» nel 1975 e il covo cadde il 18 aprile 1978. Sovrapporre i due strati senza date — come l'epiteto «condominio di Stato» ha fatto per vent'anni — è esattamente l'errore che la regola dell'anello debole vieta: </w:t>
      </w:r>
      <w:r>
        <w:rPr>
          <w:rFonts w:ascii="Barlow Semi Condensed" w:cs="Barlow Semi Condensed" w:eastAsia="Barlow Semi Condensed" w:hAnsi="Barlow Semi Condensed"/>
          <w:b/>
          <w:bCs/>
          <w:sz w:val="24"/>
          <w:szCs w:val="24"/>
        </w:rPr>
        <w:t xml:space="preserve">prima di chiedersi che cosa significhi la coabitazione, bisogna stabilire se e quando vi fu coabitazione.</w:t>
      </w:r>
    </w:p>
    <w:p>
      <w:pPr>
        <w:pStyle w:val="Heading3"/>
        <w:spacing w:after="80" w:before="160"/>
      </w:pPr>
      <w:r>
        <w:rPr>
          <w:rFonts w:ascii="Barlow Semi Condensed" w:cs="Barlow Semi Condensed" w:eastAsia="Barlow Semi Condensed" w:hAnsi="Barlow Semi Condensed"/>
          <w:sz w:val="24"/>
          <w:szCs w:val="24"/>
        </w:rPr>
        <w:t xml:space="preserve">Il quesito, in forma ACH</w:t>
      </w:r>
    </w:p>
    <w:p>
      <w:pPr>
        <w:spacing w:after="120" w:line="276"/>
        <w:jc w:val="both"/>
      </w:pPr>
      <w:r>
        <w:rPr>
          <w:rFonts w:ascii="Barlow Semi Condensed" w:cs="Barlow Semi Condensed" w:eastAsia="Barlow Semi Condensed" w:hAnsi="Barlow Semi Condensed"/>
          <w:i/>
          <w:iCs/>
          <w:sz w:val="24"/>
          <w:szCs w:val="24"/>
        </w:rPr>
        <w:t xml:space="preserve">H1 — L'insediamento successivo:</w:t>
      </w:r>
      <w:r>
        <w:rPr>
          <w:rFonts w:ascii="Barlow Semi Condensed" w:cs="Barlow Semi Condensed" w:eastAsia="Barlow Semi Condensed" w:hAnsi="Barlow Semi Condensed"/>
          <w:sz w:val="24"/>
          <w:szCs w:val="24"/>
        </w:rPr>
        <w:t xml:space="preserve"> l'ambiente riconducibile ai servizi entra nello stabile </w:t>
      </w:r>
      <w:r>
        <w:rPr>
          <w:rFonts w:ascii="Barlow Semi Condensed" w:cs="Barlow Semi Condensed" w:eastAsia="Barlow Semi Condensed" w:hAnsi="Barlow Semi Condensed"/>
          <w:b/>
          <w:bCs/>
          <w:sz w:val="24"/>
          <w:szCs w:val="24"/>
        </w:rPr>
        <w:t xml:space="preserve">dopo</w:t>
      </w:r>
      <w:r>
        <w:rPr>
          <w:rFonts w:ascii="Barlow Semi Condensed" w:cs="Barlow Semi Condensed" w:eastAsia="Barlow Semi Condensed" w:hAnsi="Barlow Semi Condensed"/>
          <w:sz w:val="24"/>
          <w:szCs w:val="24"/>
        </w:rPr>
        <w:t xml:space="preserve"> il 1978 (per le ragioni più varie, dalla sorveglianza di un luogo ormai attenzionato all'investimento immobiliare). </w:t>
      </w:r>
      <w:r>
        <w:rPr>
          <w:rFonts w:ascii="Barlow Semi Condensed" w:cs="Barlow Semi Condensed" w:eastAsia="Barlow Semi Condensed" w:hAnsi="Barlow Semi Condensed"/>
          <w:i/>
          <w:iCs/>
          <w:sz w:val="24"/>
          <w:szCs w:val="24"/>
        </w:rPr>
        <w:t xml:space="preserve">H2 — La coabitazione coeva:</w:t>
      </w:r>
      <w:r>
        <w:rPr>
          <w:rFonts w:ascii="Barlow Semi Condensed" w:cs="Barlow Semi Condensed" w:eastAsia="Barlow Semi Condensed" w:hAnsi="Barlow Semi Condensed"/>
          <w:sz w:val="24"/>
          <w:szCs w:val="24"/>
        </w:rPr>
        <w:t xml:space="preserve"> una presenza fiduciaria già nel 1975-1978, negli anni del covo attivo. </w:t>
      </w:r>
      <w:r>
        <w:rPr>
          <w:rFonts w:ascii="Barlow Semi Condensed" w:cs="Barlow Semi Condensed" w:eastAsia="Barlow Semi Condensed" w:hAnsi="Barlow Semi Condensed"/>
          <w:i/>
          <w:iCs/>
          <w:sz w:val="24"/>
          <w:szCs w:val="24"/>
        </w:rPr>
        <w:t xml:space="preserve">H3 — La coincidenza immobiliare:</w:t>
      </w:r>
      <w:r>
        <w:rPr>
          <w:rFonts w:ascii="Barlow Semi Condensed" w:cs="Barlow Semi Condensed" w:eastAsia="Barlow Semi Condensed" w:hAnsi="Barlow Semi Condensed"/>
          <w:sz w:val="24"/>
          <w:szCs w:val="24"/>
        </w:rPr>
        <w:t xml:space="preserve"> società di zona, portafogli ampi, nessun disegno. </w:t>
      </w:r>
      <w:r>
        <w:rPr>
          <w:rFonts w:ascii="Barlow Semi Condensed" w:cs="Barlow Semi Condensed" w:eastAsia="Barlow Semi Condensed" w:hAnsi="Barlow Semi Condensed"/>
          <w:b/>
          <w:bCs/>
          <w:sz w:val="24"/>
          <w:szCs w:val="24"/>
        </w:rPr>
        <w:t xml:space="preserve">Evidenza discriminante, una e documentale: le date</w:t>
      </w:r>
      <w:r>
        <w:rPr>
          <w:rFonts w:ascii="Barlow Semi Condensed" w:cs="Barlow Semi Condensed" w:eastAsia="Barlow Semi Condensed" w:hAnsi="Barlow Semi Condensed"/>
          <w:sz w:val="24"/>
          <w:szCs w:val="24"/>
        </w:rPr>
        <w:t xml:space="preserve"> — gli atti d'acquisto dei 24 appartamenti in conservatoria, le date di costituzione e i libri soci delle tre società, la data d'ingresso di Fidrev nel quadro. Fino a quelle date, tutte e tre le ipotesi restano C; con quelle date, due cadono da sole.</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Visure storiche integrali</w:t>
      </w:r>
      <w:r>
        <w:rPr>
          <w:rFonts w:ascii="Barlow Semi Condensed" w:cs="Barlow Semi Condensed" w:eastAsia="Barlow Semi Condensed" w:hAnsi="Barlow Semi Condensed"/>
          <w:sz w:val="24"/>
          <w:szCs w:val="24"/>
        </w:rPr>
        <w:t xml:space="preserve"> — catasto e conservatoria — per tutti i 66 appartamenti dello stabile, finestra 1970-1990: ogni passaggio di proprietà con data, venditore, acquirente.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 fascicoli societari</w:t>
      </w:r>
      <w:r>
        <w:rPr>
          <w:rFonts w:ascii="Barlow Semi Condensed" w:cs="Barlow Semi Condensed" w:eastAsia="Barlow Semi Condensed" w:hAnsi="Barlow Semi Condensed"/>
          <w:sz w:val="24"/>
          <w:szCs w:val="24"/>
        </w:rPr>
        <w:t xml:space="preserve"> delle tre immobiliari e di Fidrev presso il registro delle imprese: costituzione, compagini, amministratori nel tempo, bilanci.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L'incrocio con gli atti del dibattimento di Bologna</w:t>
      </w:r>
      <w:r>
        <w:rPr>
          <w:rFonts w:ascii="Barlow Semi Condensed" w:cs="Barlow Semi Condensed" w:eastAsia="Barlow Semi Condensed" w:hAnsi="Barlow Semi Condensed"/>
          <w:sz w:val="24"/>
          <w:szCs w:val="24"/>
        </w:rPr>
        <w:t xml:space="preserve"> (2021), dove la ricostruzione è già stata portata in aula con poteri istruttori che nessuno storico possiede: quegli atti sono la base di partenza, non da rifare ma da estendere all'indietro.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tavola cronologica finale</w:t>
      </w:r>
      <w:r>
        <w:rPr>
          <w:rFonts w:ascii="Barlow Semi Condensed" w:cs="Barlow Semi Condensed" w:eastAsia="Barlow Semi Condensed" w:hAnsi="Barlow Semi Condensed"/>
          <w:sz w:val="24"/>
          <w:szCs w:val="24"/>
        </w:rPr>
        <w:t xml:space="preserve"> — proprietà × tempo — con le tre finestre marcate: 1975-78 (il covo BR), 1979-86 (gli acquisti riferiti in dibattimento), 1981 (la presenza NAR). È la mappa che in quarant'anni nessuno ha pubblicato </w:t>
      </w:r>
      <w:r>
        <w:rPr>
          <w:rFonts w:ascii="Barlow Semi Condensed" w:cs="Barlow Semi Condensed" w:eastAsia="Barlow Semi Condensed" w:hAnsi="Barlow Semi Condensed"/>
          <w:i/>
          <w:iCs/>
          <w:sz w:val="24"/>
          <w:szCs w:val="24"/>
        </w:rPr>
        <w:t xml:space="preserve">con le date</w:t>
      </w:r>
      <w:r>
        <w:rPr>
          <w:rFonts w:ascii="Barlow Semi Condensed" w:cs="Barlow Semi Condensed" w:eastAsia="Barlow Semi Condensed" w:hAnsi="Barlow Semi Condensed"/>
          <w:sz w:val="24"/>
          <w:szCs w:val="24"/>
        </w:rPr>
        <w:t xml:space="preserve">, ed è integralmente costruibile da registri pubblici.</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retrodatare: un acquisto del 1979 non prova nulla sul 1978, e l'epiteto non sostituisce la conservatoria. Non processare i ruoli societari: l'amministrazione di una società è un fatto documentato, non un addebito. Non dimenticare la proprietà </w:t>
      </w:r>
      <w:r>
        <w:rPr>
          <w:rFonts w:ascii="Barlow Semi Condensed" w:cs="Barlow Semi Condensed" w:eastAsia="Barlow Semi Condensed" w:hAnsi="Barlow Semi Condensed"/>
          <w:i/>
          <w:iCs/>
          <w:sz w:val="24"/>
          <w:szCs w:val="24"/>
        </w:rPr>
        <w:t xml:space="preserve">privata</w:t>
      </w:r>
      <w:r>
        <w:rPr>
          <w:rFonts w:ascii="Barlow Semi Condensed" w:cs="Barlow Semi Condensed" w:eastAsia="Barlow Semi Condensed" w:hAnsi="Barlow Semi Condensed"/>
          <w:sz w:val="24"/>
          <w:szCs w:val="24"/>
        </w:rPr>
        <w:t xml:space="preserve"> dell'interno 11, che non c'entra con le tre società: la pista riguarda il condominio, non l'appartamento del giudicato, la cui storia è scritta nelle sentenze.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tavola cronologica completa. Se mostrasse presenze fiduciarie già nel 1975-78, il quesito della coabitazione diverrebbe un accertamento e passerebbe alle autorità; se le collocasse tutte dopo, il «condominio di Stato» andrebbe riscritto come fenomeno del </w:t>
      </w:r>
      <w:r>
        <w:rPr>
          <w:rFonts w:ascii="Barlow Semi Condensed" w:cs="Barlow Semi Condensed" w:eastAsia="Barlow Semi Condensed" w:hAnsi="Barlow Semi Condensed"/>
          <w:i/>
          <w:iCs/>
          <w:sz w:val="24"/>
          <w:szCs w:val="24"/>
        </w:rPr>
        <w:t xml:space="preserve">dopo</w:t>
      </w:r>
      <w:r>
        <w:rPr>
          <w:rFonts w:ascii="Barlow Semi Condensed" w:cs="Barlow Semi Condensed" w:eastAsia="Barlow Semi Condensed" w:hAnsi="Barlow Semi Condensed"/>
          <w:sz w:val="24"/>
          <w:szCs w:val="24"/>
        </w:rPr>
        <w:t xml:space="preserve">-Moro — e anche questo sarebbe un guadagno netto: la fine di un equivoco ventennale per via di registro immobiliare.</w:t>
      </w:r>
    </w:p>
    <w:p>
      <w:pPr>
        <w:pStyle w:val="Heading2"/>
        <w:spacing w:after="100" w:before="200"/>
      </w:pPr>
      <w:r>
        <w:rPr>
          <w:rFonts w:ascii="Barlow Semi Condensed" w:cs="Barlow Semi Condensed" w:eastAsia="Barlow Semi Condensed" w:hAnsi="Barlow Semi Condensed"/>
          <w:sz w:val="24"/>
          <w:szCs w:val="24"/>
        </w:rPr>
        <w:t xml:space="preserve">Scheda PE-4 — La mediazione vaticana: il canale, la lettera, il denaro</w:t>
      </w:r>
    </w:p>
    <w:p>
      <w:pPr>
        <w:pStyle w:val="Heading3"/>
        <w:spacing w:after="80" w:before="160"/>
      </w:pPr>
      <w:r>
        <w:rPr>
          <w:rFonts w:ascii="Barlow Semi Condensed" w:cs="Barlow Semi Condensed" w:eastAsia="Barlow Semi Condensed" w:hAnsi="Barlow Semi Condensed"/>
          <w:sz w:val="24"/>
          <w:szCs w:val="24"/>
        </w:rPr>
        <w:t xml:space="preserve">Il canale documentato: Curioni, Fabbri, e l'intermediario rimasto ignoto</w:t>
      </w:r>
    </w:p>
    <w:p>
      <w:pPr>
        <w:spacing w:after="120" w:line="276"/>
        <w:jc w:val="both"/>
      </w:pPr>
      <w:r>
        <w:rPr>
          <w:rFonts w:ascii="Barlow Semi Condensed" w:cs="Barlow Semi Condensed" w:eastAsia="Barlow Semi Condensed" w:hAnsi="Barlow Semi Condensed"/>
          <w:sz w:val="24"/>
          <w:szCs w:val="24"/>
        </w:rPr>
        <w:t xml:space="preserve">Il canale riservato della Santa Sede ha due testimoni con nome, ruolo e atti. </w:t>
      </w:r>
      <w:r>
        <w:rPr>
          <w:rFonts w:ascii="Barlow Semi Condensed" w:cs="Barlow Semi Condensed" w:eastAsia="Barlow Semi Condensed" w:hAnsi="Barlow Semi Condensed"/>
          <w:b/>
          <w:bCs/>
          <w:sz w:val="24"/>
          <w:szCs w:val="24"/>
        </w:rPr>
        <w:t xml:space="preserve">Mons. Cesare Curioni</w:t>
      </w:r>
      <w:r>
        <w:rPr>
          <w:rFonts w:ascii="Barlow Semi Condensed" w:cs="Barlow Semi Condensed" w:eastAsia="Barlow Semi Condensed" w:hAnsi="Barlow Semi Condensed"/>
          <w:sz w:val="24"/>
          <w:szCs w:val="24"/>
        </w:rPr>
        <w:t xml:space="preserve"> — ispettore generale dei cappellani delle carceri, già cappellano di San Vittore — fu </w:t>
      </w:r>
      <w:r>
        <w:rPr>
          <w:rFonts w:ascii="Barlow Semi Condensed" w:cs="Barlow Semi Condensed" w:eastAsia="Barlow Semi Condensed" w:hAnsi="Barlow Semi Condensed"/>
          <w:b/>
          <w:bCs/>
          <w:sz w:val="24"/>
          <w:szCs w:val="24"/>
        </w:rPr>
        <w:t xml:space="preserve">incaricato da Paolo VI di cercare contatti e avviare una trattativa per la liberazione dell'ostaggio attraverso il pagamento di un riscatto</w:t>
      </w:r>
      <w:r>
        <w:rPr>
          <w:rFonts w:ascii="Barlow Semi Condensed" w:cs="Barlow Semi Condensed" w:eastAsia="Barlow Semi Condensed" w:hAnsi="Barlow Semi Condensed"/>
          <w:sz w:val="24"/>
          <w:szCs w:val="24"/>
        </w:rPr>
        <w:t xml:space="preserve">; attivò molteplici contatti, </w:t>
      </w:r>
      <w:r>
        <w:rPr>
          <w:rFonts w:ascii="Barlow Semi Condensed" w:cs="Barlow Semi Condensed" w:eastAsia="Barlow Semi Condensed" w:hAnsi="Barlow Semi Condensed"/>
          <w:b/>
          <w:bCs/>
          <w:sz w:val="24"/>
          <w:szCs w:val="24"/>
        </w:rPr>
        <w:t xml:space="preserve">sia con brigatisti detenuti sia con un intermediario rimasto ignoto</w:t>
      </w:r>
      <w:r>
        <w:rPr>
          <w:rFonts w:ascii="Barlow Semi Condensed" w:cs="Barlow Semi Condensed" w:eastAsia="Barlow Semi Condensed" w:hAnsi="Barlow Semi Condensed"/>
          <w:sz w:val="24"/>
          <w:szCs w:val="24"/>
        </w:rPr>
        <w:t xml:space="preserve"> (Wikipedia, </w:t>
      </w:r>
      <w:r>
        <w:rPr>
          <w:rFonts w:ascii="Barlow Semi Condensed" w:cs="Barlow Semi Condensed" w:eastAsia="Barlow Semi Condensed" w:hAnsi="Barlow Semi Condensed"/>
          <w:i/>
          <w:iCs/>
          <w:sz w:val="24"/>
          <w:szCs w:val="24"/>
        </w:rPr>
        <w:t xml:space="preserve">Cesare Curioni</w:t>
      </w:r>
      <w:r>
        <w:rPr>
          <w:rFonts w:ascii="Barlow Semi Condensed" w:cs="Barlow Semi Condensed" w:eastAsia="Barlow Semi Condensed" w:hAnsi="Barlow Semi Condensed"/>
          <w:sz w:val="24"/>
          <w:szCs w:val="24"/>
        </w:rPr>
        <w:t xml:space="preserve"> (https://it.wikipedia.org/wiki/Cesare_Curioni); Avvenire, «l'ultimo tentativo del Papa» (https://www.avvenire.it/attualita/luccisione-di-aldo-moro-lultimo-tentativo-del-papa-di-salvarlo_33517); Filodiritto (https://www.filodiritto.com/aldo-moro-e-il-riscatto-della-santa-sede)). Il suo vice e braccio destro, </w:t>
      </w:r>
      <w:r>
        <w:rPr>
          <w:rFonts w:ascii="Barlow Semi Condensed" w:cs="Barlow Semi Condensed" w:eastAsia="Barlow Semi Condensed" w:hAnsi="Barlow Semi Condensed"/>
          <w:b/>
          <w:bCs/>
          <w:sz w:val="24"/>
          <w:szCs w:val="24"/>
        </w:rPr>
        <w:t xml:space="preserve">mons. Fabio Fabbri</w:t>
      </w:r>
      <w:r>
        <w:rPr>
          <w:rFonts w:ascii="Barlow Semi Condensed" w:cs="Barlow Semi Condensed" w:eastAsia="Barlow Semi Condensed" w:hAnsi="Barlow Semi Condensed"/>
          <w:sz w:val="24"/>
          <w:szCs w:val="24"/>
        </w:rPr>
        <w:t xml:space="preserve">, ruppe il riserbo solo nel </w:t>
      </w:r>
      <w:r>
        <w:rPr>
          <w:rFonts w:ascii="Barlow Semi Condensed" w:cs="Barlow Semi Condensed" w:eastAsia="Barlow Semi Condensed" w:hAnsi="Barlow Semi Condensed"/>
          <w:b/>
          <w:bCs/>
          <w:sz w:val="24"/>
          <w:szCs w:val="24"/>
        </w:rPr>
        <w:t xml:space="preserve">2004</w:t>
      </w:r>
      <w:r>
        <w:rPr>
          <w:rFonts w:ascii="Barlow Semi Condensed" w:cs="Barlow Semi Condensed" w:eastAsia="Barlow Semi Condensed" w:hAnsi="Barlow Semi Condensed"/>
          <w:sz w:val="24"/>
          <w:szCs w:val="24"/>
        </w:rPr>
        <w:t xml:space="preserve"> con lo storico Vladimiro Satta e fu poi </w:t>
      </w:r>
      <w:r>
        <w:rPr>
          <w:rFonts w:ascii="Barlow Semi Condensed" w:cs="Barlow Semi Condensed" w:eastAsia="Barlow Semi Condensed" w:hAnsi="Barlow Semi Condensed"/>
          <w:b/>
          <w:bCs/>
          <w:sz w:val="24"/>
          <w:szCs w:val="24"/>
        </w:rPr>
        <w:t xml:space="preserve">udito dalla Commissione Moro 2</w:t>
      </w:r>
      <w:r>
        <w:rPr>
          <w:rFonts w:ascii="Barlow Semi Condensed" w:cs="Barlow Semi Condensed" w:eastAsia="Barlow Semi Condensed" w:hAnsi="Barlow Semi Condensed"/>
          <w:sz w:val="24"/>
          <w:szCs w:val="24"/>
        </w:rPr>
        <w:t xml:space="preserve"> (audizione del 4 febbraio 2016): dalle sue dichiarazioni vengono i dettagli che reggono la scheda — </w:t>
      </w:r>
      <w:r>
        <w:rPr>
          <w:rFonts w:ascii="Barlow Semi Condensed" w:cs="Barlow Semi Condensed" w:eastAsia="Barlow Semi Condensed" w:hAnsi="Barlow Semi Condensed"/>
          <w:b/>
          <w:bCs/>
          <w:sz w:val="24"/>
          <w:szCs w:val="24"/>
        </w:rPr>
        <w:t xml:space="preserve">Paolo VI mostrò ai due cappellani, sotto un panno nel proprio studio, le mazzette di dollari con fascette di banca ebraica per un controvalore di circa dieci miliardi di lire</w:t>
      </w:r>
      <w:r>
        <w:rPr>
          <w:rFonts w:ascii="Barlow Semi Condensed" w:cs="Barlow Semi Condensed" w:eastAsia="Barlow Semi Condensed" w:hAnsi="Barlow Semi Condensed"/>
          <w:sz w:val="24"/>
          <w:szCs w:val="24"/>
        </w:rPr>
        <w:t xml:space="preserve">; e Curioni riferì che </w:t>
      </w:r>
      <w:r>
        <w:rPr>
          <w:rFonts w:ascii="Barlow Semi Condensed" w:cs="Barlow Semi Condensed" w:eastAsia="Barlow Semi Condensed" w:hAnsi="Barlow Semi Condensed"/>
          <w:b/>
          <w:bCs/>
          <w:sz w:val="24"/>
          <w:szCs w:val="24"/>
        </w:rPr>
        <w:t xml:space="preserve">i nomi dei due cappellani erano stati trovati nei covi delle Brigate Rosse</w:t>
      </w:r>
      <w:r>
        <w:rPr>
          <w:rFonts w:ascii="Barlow Semi Condensed" w:cs="Barlow Semi Condensed" w:eastAsia="Barlow Semi Condensed" w:hAnsi="Barlow Semi Condensed"/>
          <w:sz w:val="24"/>
          <w:szCs w:val="24"/>
        </w:rPr>
        <w:t xml:space="preserve">, con l'assicurazione che il loro ruolo, di ispirazione cristiana e umanitaria, «era rispettato da tutti». Secondo gli accertamenti della Commissione, il finanziatore della somma fu l'uomo d'affari israeliano </w:t>
      </w:r>
      <w:r>
        <w:rPr>
          <w:rFonts w:ascii="Barlow Semi Condensed" w:cs="Barlow Semi Condensed" w:eastAsia="Barlow Semi Condensed" w:hAnsi="Barlow Semi Condensed"/>
          <w:b/>
          <w:bCs/>
          <w:sz w:val="24"/>
          <w:szCs w:val="24"/>
        </w:rPr>
        <w:t xml:space="preserve">Shmuel «Sammy» Flatto-Sharon</w:t>
      </w:r>
      <w:r>
        <w:rPr>
          <w:rFonts w:ascii="Barlow Semi Condensed" w:cs="Barlow Semi Condensed" w:eastAsia="Barlow Semi Condensed" w:hAnsi="Barlow Semi Condensed"/>
          <w:sz w:val="24"/>
          <w:szCs w:val="24"/>
        </w:rPr>
        <w:t xml:space="preserve">, allora membro della Knesset. </w:t>
      </w:r>
      <w:r>
        <w:rPr>
          <w:rFonts w:ascii="Barlow Semi Condensed" w:cs="Barlow Semi Condensed" w:eastAsia="Barlow Semi Condensed" w:hAnsi="Barlow Semi Condensed"/>
          <w:b/>
          <w:bCs/>
          <w:sz w:val="24"/>
          <w:szCs w:val="24"/>
        </w:rPr>
        <w:t xml:space="preserve">Curioni morì nel 1996 senza rivelare il resto; la sorte del denaro resta ignota</w:t>
      </w:r>
      <w:r>
        <w:rPr>
          <w:rFonts w:ascii="Barlow Semi Condensed" w:cs="Barlow Semi Condensed" w:eastAsia="Barlow Semi Condensed" w:hAnsi="Barlow Semi Condensed"/>
          <w:sz w:val="24"/>
          <w:szCs w:val="24"/>
        </w:rPr>
        <w:t xml:space="preserve">, e le fonti vaticane interpellate hanno dichiarato di ignorarla (ANSA (https://www.ansa.it/sito/notizie/speciali/2018/03/15/aldo-moro-paolo-vi-e-il-mistero-dei-10-miliardi-di-lire-per-il-riscatto_159ad438-a8df-474d-a762-cbd416e06064.html)).</w:t>
      </w:r>
    </w:p>
    <w:p>
      <w:pPr>
        <w:pStyle w:val="Heading3"/>
        <w:spacing w:after="80" w:before="160"/>
      </w:pPr>
      <w:r>
        <w:rPr>
          <w:rFonts w:ascii="Barlow Semi Condensed" w:cs="Barlow Semi Condensed" w:eastAsia="Barlow Semi Condensed" w:hAnsi="Barlow Semi Condensed"/>
          <w:sz w:val="24"/>
          <w:szCs w:val="24"/>
        </w:rPr>
        <w:t xml:space="preserve">La lettera e le sue stesure: il doppio binario documentato</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21-22 aprile 1978</w:t>
      </w:r>
      <w:r>
        <w:rPr>
          <w:rFonts w:ascii="Barlow Semi Condensed" w:cs="Barlow Semi Condensed" w:eastAsia="Barlow Semi Condensed" w:hAnsi="Barlow Semi Condensed"/>
          <w:sz w:val="24"/>
          <w:szCs w:val="24"/>
        </w:rPr>
        <w:t xml:space="preserve"> Paolo VI scrisse di proprio pugno la lettera «agli uomini delle Brigate Rosse»: «vi prego in ginocchio, liberate l'onorevole Aldo Moro, semplicemente, </w:t>
      </w:r>
      <w:r>
        <w:rPr>
          <w:rFonts w:ascii="Barlow Semi Condensed" w:cs="Barlow Semi Condensed" w:eastAsia="Barlow Semi Condensed" w:hAnsi="Barlow Semi Condensed"/>
          <w:b/>
          <w:bCs/>
          <w:sz w:val="24"/>
          <w:szCs w:val="24"/>
        </w:rPr>
        <w:t xml:space="preserve">senza condizioni</w:t>
      </w:r>
      <w:r>
        <w:rPr>
          <w:rFonts w:ascii="Barlow Semi Condensed" w:cs="Barlow Semi Condensed" w:eastAsia="Barlow Semi Condensed" w:hAnsi="Barlow Semi Condensed"/>
          <w:sz w:val="24"/>
          <w:szCs w:val="24"/>
        </w:rPr>
        <w:t xml:space="preserve">» (testo ufficiale, vatican.va (https://www.vatican.va/content/paul-vi/it/letters/1978/documents/hf_p-vi_let_19780422_brigate-rosse.html); Vatican News (https://www.vaticannews.va/it/papa/news/2018-03/paolo-vi-aldo-moro-.html)). La filologia delle stesure autografe ha però accertato un dato di peso: la prima versione diceva «semplicemente, </w:t>
      </w:r>
      <w:r>
        <w:rPr>
          <w:rFonts w:ascii="Barlow Semi Condensed" w:cs="Barlow Semi Condensed" w:eastAsia="Barlow Semi Condensed" w:hAnsi="Barlow Semi Condensed"/>
          <w:b/>
          <w:bCs/>
          <w:sz w:val="24"/>
          <w:szCs w:val="24"/>
        </w:rPr>
        <w:t xml:space="preserve">senza alcuna imbarazzante condizione</w:t>
      </w:r>
      <w:r>
        <w:rPr>
          <w:rFonts w:ascii="Barlow Semi Condensed" w:cs="Barlow Semi Condensed" w:eastAsia="Barlow Semi Condensed" w:hAnsi="Barlow Semi Condensed"/>
          <w:sz w:val="24"/>
          <w:szCs w:val="24"/>
        </w:rPr>
        <w:t xml:space="preserve">», e l'aggettivo scomparve nella versione definitiva, </w:t>
      </w:r>
      <w:r>
        <w:rPr>
          <w:rFonts w:ascii="Barlow Semi Condensed" w:cs="Barlow Semi Condensed" w:eastAsia="Barlow Semi Condensed" w:hAnsi="Barlow Semi Condensed"/>
          <w:b/>
          <w:bCs/>
          <w:sz w:val="24"/>
          <w:szCs w:val="24"/>
        </w:rPr>
        <w:t xml:space="preserve">corretta sotto dettatura del segretario del papa, don Pasquale Macchi</w:t>
      </w:r>
      <w:r>
        <w:rPr>
          <w:rFonts w:ascii="Barlow Semi Condensed" w:cs="Barlow Semi Condensed" w:eastAsia="Barlow Semi Condensed" w:hAnsi="Barlow Semi Condensed"/>
          <w:sz w:val="24"/>
          <w:szCs w:val="24"/>
        </w:rPr>
        <w:t xml:space="preserve"> (ANSA, «la correzione» (https://www.ansa.it/sito/notizie/cronaca/2018/04/14/caso-moro-la-lettera-del-papa-alle-br-e-la-correzione-del-don-_01684126-bbff-40a7-84d6-ed37a900374d.html); ACI Stampa (https://www.acistampa.com/story/paolo-vi-aldo-moro-e-la-lettera-alle-brigate-rosse-9198)). La lettura secondo cui il ritocco servisse a </w:t>
      </w:r>
      <w:r>
        <w:rPr>
          <w:rFonts w:ascii="Barlow Semi Condensed" w:cs="Barlow Semi Condensed" w:eastAsia="Barlow Semi Condensed" w:hAnsi="Barlow Semi Condensed"/>
          <w:b/>
          <w:bCs/>
          <w:sz w:val="24"/>
          <w:szCs w:val="24"/>
        </w:rPr>
        <w:t xml:space="preserve">non lasciar trasparire la trattativa riservata in corso</w:t>
      </w:r>
      <w:r>
        <w:rPr>
          <w:rFonts w:ascii="Barlow Semi Condensed" w:cs="Barlow Semi Condensed" w:eastAsia="Barlow Semi Condensed" w:hAnsi="Barlow Semi Condensed"/>
          <w:sz w:val="24"/>
          <w:szCs w:val="24"/>
        </w:rPr>
        <w:t xml:space="preserve"> è un'interpretazione (C) costruita su un dato filologico solido (B). Ciò che è documentato senza bisogno di interpretare è il </w:t>
      </w:r>
      <w:r>
        <w:rPr>
          <w:rFonts w:ascii="Barlow Semi Condensed" w:cs="Barlow Semi Condensed" w:eastAsia="Barlow Semi Condensed" w:hAnsi="Barlow Semi Condensed"/>
          <w:b/>
          <w:bCs/>
          <w:sz w:val="24"/>
          <w:szCs w:val="24"/>
        </w:rPr>
        <w:t xml:space="preserve">doppio binario</w:t>
      </w:r>
      <w:r>
        <w:rPr>
          <w:rFonts w:ascii="Barlow Semi Condensed" w:cs="Barlow Semi Condensed" w:eastAsia="Barlow Semi Condensed" w:hAnsi="Barlow Semi Condensed"/>
          <w:sz w:val="24"/>
          <w:szCs w:val="24"/>
        </w:rPr>
        <w:t xml:space="preserve">: l'appello pubblico che diceva «senza condizioni» conviveva con un canale riservato che le condizioni — economiche — le stava preparando. Non è una contraddizione da denunciare: è la prassi di ogni mediazione umanitaria sotto sequestro, ed è, per questa scheda, </w:t>
      </w:r>
      <w:r>
        <w:rPr>
          <w:rFonts w:ascii="Barlow Semi Condensed" w:cs="Barlow Semi Condensed" w:eastAsia="Barlow Semi Condensed" w:hAnsi="Barlow Semi Condensed"/>
          <w:b/>
          <w:bCs/>
          <w:sz w:val="24"/>
          <w:szCs w:val="24"/>
        </w:rPr>
        <w:t xml:space="preserve">il fatto da mappare negli atti</w:t>
      </w:r>
      <w:r>
        <w:rPr>
          <w:rFonts w:ascii="Barlow Semi Condensed" w:cs="Barlow Semi Condensed" w:eastAsia="Barlow Semi Condensed" w:hAnsi="Barlow Semi Condensed"/>
          <w:sz w:val="24"/>
          <w:szCs w:val="24"/>
        </w:rPr>
        <w:t xml:space="preserve">. Il 9 maggio chiuse tutto — lo «schiaffo a Paolo VI», nella formula della storiografia (Treccani (https://www.treccani.it/enciclopedia/9-maggio-1978-lo-schiaffo-a-paolo-vi-storia-e-fallimento-della-mediazione-vaticana-per-la-liberazione-di-aldo-moro_(Cristiani-d'Italia)/)) — e il 13 maggio, in San Giovanni, il papa pronunciò davanti a Dio il lamento per l'amico non salvato (F).</w:t>
      </w:r>
    </w:p>
    <w:p>
      <w:pPr>
        <w:pStyle w:val="Heading3"/>
        <w:spacing w:after="80" w:before="160"/>
      </w:pPr>
      <w:r>
        <w:rPr>
          <w:rFonts w:ascii="Barlow Semi Condensed" w:cs="Barlow Semi Condensed" w:eastAsia="Barlow Semi Condensed" w:hAnsi="Barlow Semi Condensed"/>
          <w:sz w:val="24"/>
          <w:szCs w:val="24"/>
        </w:rPr>
        <w:t xml:space="preserve">I tre quesiti, in forma ACH</w:t>
      </w:r>
    </w:p>
    <w:p>
      <w:pPr>
        <w:spacing w:after="120" w:line="276"/>
        <w:jc w:val="both"/>
      </w:pPr>
      <w:r>
        <w:rPr>
          <w:rFonts w:ascii="Barlow Semi Condensed" w:cs="Barlow Semi Condensed" w:eastAsia="Barlow Semi Condensed" w:hAnsi="Barlow Semi Condensed"/>
          <w:b/>
          <w:bCs/>
          <w:sz w:val="24"/>
          <w:szCs w:val="24"/>
        </w:rPr>
        <w:t xml:space="preserve">Q1 — L'intermediario ignoto.</w:t>
      </w:r>
      <w:r>
        <w:rPr>
          <w:rFonts w:ascii="Barlow Semi Condensed" w:cs="Barlow Semi Condensed" w:eastAsia="Barlow Semi Condensed" w:hAnsi="Barlow Semi Condensed"/>
          <w:sz w:val="24"/>
          <w:szCs w:val="24"/>
        </w:rPr>
        <w:t xml:space="preserve"> Chi era il terminale del canale Curioni fuori dalle carceri? </w:t>
      </w:r>
      <w:r>
        <w:rPr>
          <w:rFonts w:ascii="Barlow Semi Condensed" w:cs="Barlow Semi Condensed" w:eastAsia="Barlow Semi Condensed" w:hAnsi="Barlow Semi Condensed"/>
          <w:i/>
          <w:iCs/>
          <w:sz w:val="24"/>
          <w:szCs w:val="24"/>
        </w:rPr>
        <w:t xml:space="preserve">H1:</w:t>
      </w:r>
      <w:r>
        <w:rPr>
          <w:rFonts w:ascii="Barlow Semi Condensed" w:cs="Barlow Semi Condensed" w:eastAsia="Barlow Semi Condensed" w:hAnsi="Barlow Semi Condensed"/>
          <w:sz w:val="24"/>
          <w:szCs w:val="24"/>
        </w:rPr>
        <w:t xml:space="preserve"> un contatto d'area brigatista esterna; </w:t>
      </w:r>
      <w:r>
        <w:rPr>
          <w:rFonts w:ascii="Barlow Semi Condensed" w:cs="Barlow Semi Condensed" w:eastAsia="Barlow Semi Condensed" w:hAnsi="Barlow Semi Condensed"/>
          <w:i/>
          <w:iCs/>
          <w:sz w:val="24"/>
          <w:szCs w:val="24"/>
        </w:rPr>
        <w:t xml:space="preserve">H2:</w:t>
      </w:r>
      <w:r>
        <w:rPr>
          <w:rFonts w:ascii="Barlow Semi Condensed" w:cs="Barlow Semi Condensed" w:eastAsia="Barlow Semi Condensed" w:hAnsi="Barlow Semi Condensed"/>
          <w:sz w:val="24"/>
          <w:szCs w:val="24"/>
        </w:rPr>
        <w:t xml:space="preserve"> un mediatore d'ambiente carcerario o criminale; </w:t>
      </w:r>
      <w:r>
        <w:rPr>
          <w:rFonts w:ascii="Barlow Semi Condensed" w:cs="Barlow Semi Condensed" w:eastAsia="Barlow Semi Condensed" w:hAnsi="Barlow Semi Condensed"/>
          <w:i/>
          <w:iCs/>
          <w:sz w:val="24"/>
          <w:szCs w:val="24"/>
        </w:rPr>
        <w:t xml:space="preserve">H3:</w:t>
      </w:r>
      <w:r>
        <w:rPr>
          <w:rFonts w:ascii="Barlow Semi Condensed" w:cs="Barlow Semi Condensed" w:eastAsia="Barlow Semi Condensed" w:hAnsi="Barlow Semi Condensed"/>
          <w:sz w:val="24"/>
          <w:szCs w:val="24"/>
        </w:rPr>
        <w:t xml:space="preserve"> un millantatore. Evidenza discriminante: </w:t>
      </w:r>
      <w:r>
        <w:rPr>
          <w:rFonts w:ascii="Barlow Semi Condensed" w:cs="Barlow Semi Condensed" w:eastAsia="Barlow Semi Condensed" w:hAnsi="Barlow Semi Condensed"/>
          <w:b/>
          <w:bCs/>
          <w:sz w:val="24"/>
          <w:szCs w:val="24"/>
        </w:rPr>
        <w:t xml:space="preserve">le carte di Curioni</w:t>
      </w:r>
      <w:r>
        <w:rPr>
          <w:rFonts w:ascii="Barlow Semi Condensed" w:cs="Barlow Semi Condensed" w:eastAsia="Barlow Semi Condensed" w:hAnsi="Barlow Semi Condensed"/>
          <w:sz w:val="24"/>
          <w:szCs w:val="24"/>
        </w:rPr>
        <w:t xml:space="preserve"> (l'archivio dell'ispettorato dei cappellani e l'eventuale lascito personale) e — atto giudiziario già esistente — </w:t>
      </w:r>
      <w:r>
        <w:rPr>
          <w:rFonts w:ascii="Barlow Semi Condensed" w:cs="Barlow Semi Condensed" w:eastAsia="Barlow Semi Condensed" w:hAnsi="Barlow Semi Condensed"/>
          <w:b/>
          <w:bCs/>
          <w:sz w:val="24"/>
          <w:szCs w:val="24"/>
        </w:rPr>
        <w:t xml:space="preserve">i verbali di perquisizione dei covi in cui i nomi dei cappellani furono repertati</w:t>
      </w:r>
      <w:r>
        <w:rPr>
          <w:rFonts w:ascii="Barlow Semi Condensed" w:cs="Barlow Semi Condensed" w:eastAsia="Barlow Semi Condensed" w:hAnsi="Barlow Semi Condensed"/>
          <w:sz w:val="24"/>
          <w:szCs w:val="24"/>
        </w:rPr>
        <w:t xml:space="preserve">: quei verbali dicono </w:t>
      </w:r>
      <w:r>
        <w:rPr>
          <w:rFonts w:ascii="Barlow Semi Condensed" w:cs="Barlow Semi Condensed" w:eastAsia="Barlow Semi Condensed" w:hAnsi="Barlow Semi Condensed"/>
          <w:i/>
          <w:iCs/>
          <w:sz w:val="24"/>
          <w:szCs w:val="24"/>
        </w:rPr>
        <w:t xml:space="preserve">quali</w:t>
      </w:r>
      <w:r>
        <w:rPr>
          <w:rFonts w:ascii="Barlow Semi Condensed" w:cs="Barlow Semi Condensed" w:eastAsia="Barlow Semi Condensed" w:hAnsi="Barlow Semi Condensed"/>
          <w:sz w:val="24"/>
          <w:szCs w:val="24"/>
        </w:rPr>
        <w:t xml:space="preserve"> covi, </w:t>
      </w:r>
      <w:r>
        <w:rPr>
          <w:rFonts w:ascii="Barlow Semi Condensed" w:cs="Barlow Semi Condensed" w:eastAsia="Barlow Semi Condensed" w:hAnsi="Barlow Semi Condensed"/>
          <w:i/>
          <w:iCs/>
          <w:sz w:val="24"/>
          <w:szCs w:val="24"/>
        </w:rPr>
        <w:t xml:space="preserve">quando</w:t>
      </w:r>
      <w:r>
        <w:rPr>
          <w:rFonts w:ascii="Barlow Semi Condensed" w:cs="Barlow Semi Condensed" w:eastAsia="Barlow Semi Condensed" w:hAnsi="Barlow Semi Condensed"/>
          <w:sz w:val="24"/>
          <w:szCs w:val="24"/>
        </w:rPr>
        <w:t xml:space="preserve">, e in che forma i nomi comparissero, e sono negli atti processuali.</w:t>
      </w:r>
    </w:p>
    <w:p>
      <w:pPr>
        <w:spacing w:after="120" w:line="276"/>
        <w:jc w:val="both"/>
      </w:pPr>
      <w:r>
        <w:rPr>
          <w:rFonts w:ascii="Barlow Semi Condensed" w:cs="Barlow Semi Condensed" w:eastAsia="Barlow Semi Condensed" w:hAnsi="Barlow Semi Condensed"/>
          <w:b/>
          <w:bCs/>
          <w:sz w:val="24"/>
          <w:szCs w:val="24"/>
        </w:rPr>
        <w:t xml:space="preserve">Q2 — La sorte del denaro.</w:t>
      </w:r>
      <w:r>
        <w:rPr>
          <w:rFonts w:ascii="Barlow Semi Condensed" w:cs="Barlow Semi Condensed" w:eastAsia="Barlow Semi Condensed" w:hAnsi="Barlow Semi Condensed"/>
          <w:sz w:val="24"/>
          <w:szCs w:val="24"/>
        </w:rPr>
        <w:t xml:space="preserve"> Tornò al finanziatore? Restò in deposito? Fu impiegato in parte? </w:t>
      </w:r>
      <w:r>
        <w:rPr>
          <w:rFonts w:ascii="Barlow Semi Condensed" w:cs="Barlow Semi Condensed" w:eastAsia="Barlow Semi Condensed" w:hAnsi="Barlow Semi Condensed"/>
          <w:i/>
          <w:iCs/>
          <w:sz w:val="24"/>
          <w:szCs w:val="24"/>
        </w:rPr>
        <w:t xml:space="preserve">Evidenza discriminante: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tracciabilità</w:t>
      </w:r>
      <w:r>
        <w:rPr>
          <w:rFonts w:ascii="Barlow Semi Condensed" w:cs="Barlow Semi Condensed" w:eastAsia="Barlow Semi Condensed" w:hAnsi="Barlow Semi Condensed"/>
          <w:sz w:val="24"/>
          <w:szCs w:val="24"/>
        </w:rPr>
        <w:t xml:space="preserve"> — le fascette bancarie descritte dai testimoni sono un identificativo; il versante israeliano (le dichiarazioni pubbliche di Flatto-Sharon e gli atti con cui la Moro 2 lo accertò) è documentale; l'eventuale contabilità del fondo è materia degli archivi vaticani alla loro apertura.</w:t>
      </w:r>
    </w:p>
    <w:p>
      <w:pPr>
        <w:spacing w:after="120" w:line="276"/>
        <w:jc w:val="both"/>
      </w:pPr>
      <w:r>
        <w:rPr>
          <w:rFonts w:ascii="Barlow Semi Condensed" w:cs="Barlow Semi Condensed" w:eastAsia="Barlow Semi Condensed" w:hAnsi="Barlow Semi Condensed"/>
          <w:b/>
          <w:bCs/>
          <w:sz w:val="24"/>
          <w:szCs w:val="24"/>
        </w:rPr>
        <w:t xml:space="preserve">Q3 — Le stesure della lettera.</w:t>
      </w:r>
      <w:r>
        <w:rPr>
          <w:rFonts w:ascii="Barlow Semi Condensed" w:cs="Barlow Semi Condensed" w:eastAsia="Barlow Semi Condensed" w:hAnsi="Barlow Semi Condensed"/>
          <w:sz w:val="24"/>
          <w:szCs w:val="24"/>
        </w:rPr>
        <w:t xml:space="preserve"> Il quesito minore ma già maturo: </w:t>
      </w:r>
      <w:r>
        <w:rPr>
          <w:rFonts w:ascii="Barlow Semi Condensed" w:cs="Barlow Semi Condensed" w:eastAsia="Barlow Semi Condensed" w:hAnsi="Barlow Semi Condensed"/>
          <w:b/>
          <w:bCs/>
          <w:sz w:val="24"/>
          <w:szCs w:val="24"/>
        </w:rPr>
        <w:t xml:space="preserve">l'edizione critica delle minute autografe</w:t>
      </w:r>
      <w:r>
        <w:rPr>
          <w:rFonts w:ascii="Barlow Semi Condensed" w:cs="Barlow Semi Condensed" w:eastAsia="Barlow Semi Condensed" w:hAnsi="Barlow Semi Condensed"/>
          <w:sz w:val="24"/>
          <w:szCs w:val="24"/>
        </w:rPr>
        <w:t xml:space="preserve"> — quante stesure, quali varianti, quali mani — che trasformerebbe il dato filologico da notizia di stampa ad accertamento stabile.</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fondo dei cappellani carcerari e le carte Curioni</w:t>
      </w:r>
      <w:r>
        <w:rPr>
          <w:rFonts w:ascii="Barlow Semi Condensed" w:cs="Barlow Semi Condensed" w:eastAsia="Barlow Semi Condensed" w:hAnsi="Barlow Semi Condensed"/>
          <w:sz w:val="24"/>
          <w:szCs w:val="24"/>
        </w:rPr>
        <w:t xml:space="preserve">: l'archivio dell'ispettorato, la corrispondenza del 1978, l'eventuale fondo personale — la sede più promettente e mai censita sistematicamente.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 verbali di perquisizione</w:t>
      </w:r>
      <w:r>
        <w:rPr>
          <w:rFonts w:ascii="Barlow Semi Condensed" w:cs="Barlow Semi Condensed" w:eastAsia="Barlow Semi Condensed" w:hAnsi="Barlow Semi Condensed"/>
          <w:sz w:val="24"/>
          <w:szCs w:val="24"/>
        </w:rPr>
        <w:t xml:space="preserve"> dei covi con i nomi dei cappellani: atti giudiziari esistenti, da riacquisire e incrociare con la cronologia del canale.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All'apertura dell'Archivio Apostolico Vaticano per Paolo VI</w:t>
      </w:r>
      <w:r>
        <w:rPr>
          <w:rFonts w:ascii="Barlow Semi Condensed" w:cs="Barlow Semi Condensed" w:eastAsia="Barlow Semi Condensed" w:hAnsi="Barlow Semi Condensed"/>
          <w:sz w:val="24"/>
          <w:szCs w:val="24"/>
        </w:rPr>
        <w:t xml:space="preserve"> (la pista si salda a PN-8): Segreteria di Stato, carte di don Macchi, minute della lettera, eventuale documentazione del fondo per il riscatto.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versante israeliano</w:t>
      </w:r>
      <w:r>
        <w:rPr>
          <w:rFonts w:ascii="Barlow Semi Condensed" w:cs="Barlow Semi Condensed" w:eastAsia="Barlow Semi Condensed" w:hAnsi="Barlow Semi Condensed"/>
          <w:sz w:val="24"/>
          <w:szCs w:val="24"/>
        </w:rPr>
        <w:t xml:space="preserve">: le dichiarazioni pubbliche del finanziatore e gli atti della Moro 2 che ne fissarono l'identità — con l'avvertenza che Flatto-Sharon è scomparso e che anche lì vale la raccolta conservativa delle fonti.</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trasformare il doppio binario in doppiezza: l'appello pubblico e il canale riservato erano due strumenti della stessa volontà documentata — salvare l'ostaggio — e insinuare oltre i documenti sarebbe esattamente ciò che questa scheda esiste per impedire. Non caricare il ritocco della lettera di più di quanto la filologia regga: il dato è la variante, l'intenzione è interpretazione, e i gradi restano distinti. Curioni, Fabbri e Macchi sono nominati per </w:t>
      </w:r>
      <w:r>
        <w:rPr>
          <w:rFonts w:ascii="Barlow Semi Condensed" w:cs="Barlow Semi Condensed" w:eastAsia="Barlow Semi Condensed" w:hAnsi="Barlow Semi Condensed"/>
          <w:b/>
          <w:bCs/>
          <w:sz w:val="24"/>
          <w:szCs w:val="24"/>
        </w:rPr>
        <w:t xml:space="preserve">ruoli documentati da atti e testimonianze rese ad autorità</w:t>
      </w:r>
      <w:r>
        <w:rPr>
          <w:rFonts w:ascii="Barlow Semi Condensed" w:cs="Barlow Semi Condensed" w:eastAsia="Barlow Semi Condensed" w:hAnsi="Barlow Semi Condensed"/>
          <w:sz w:val="24"/>
          <w:szCs w:val="24"/>
        </w:rPr>
        <w:t xml:space="preserve">; nessun addebito è formulato né formulabile.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Q1 chiude con l'identità documentale dell'intermediario o con l'esaurimento certificato delle carte; Q2 con la tracciabilità della somma o col suo punto documentale di dispersione; Q3 con l'edizione critica delle stesure. E vale, qui più che altrove, la regola del programma: se le carte ci sono, parleranno; se un canale di quella portata non ha lasciato carte, </w:t>
      </w:r>
      <w:r>
        <w:rPr>
          <w:rFonts w:ascii="Barlow Semi Condensed" w:cs="Barlow Semi Condensed" w:eastAsia="Barlow Semi Condensed" w:hAnsi="Barlow Semi Condensed"/>
          <w:b/>
          <w:bCs/>
          <w:sz w:val="24"/>
          <w:szCs w:val="24"/>
        </w:rPr>
        <w:t xml:space="preserve">l'assenza stessa — in una struttura che archivia da secoli — sarà il dato</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Scheda PE-5 — Gli alleati: il traffico di cablo e la regola dell'originatore</w:t>
      </w:r>
    </w:p>
    <w:p>
      <w:pPr>
        <w:pStyle w:val="Heading3"/>
        <w:spacing w:after="80" w:before="160"/>
      </w:pPr>
      <w:r>
        <w:rPr>
          <w:rFonts w:ascii="Barlow Semi Condensed" w:cs="Barlow Semi Condensed" w:eastAsia="Barlow Semi Condensed" w:hAnsi="Barlow Semi Condensed"/>
          <w:sz w:val="24"/>
          <w:szCs w:val="24"/>
        </w:rPr>
        <w:t xml:space="preserve">Ciò che il corpus già possiede: un caso FOIA con i suoi identificativi</w:t>
      </w:r>
    </w:p>
    <w:p>
      <w:pPr>
        <w:spacing w:after="120" w:line="276"/>
        <w:jc w:val="both"/>
      </w:pPr>
      <w:r>
        <w:rPr>
          <w:rFonts w:ascii="Barlow Semi Condensed" w:cs="Barlow Semi Condensed" w:eastAsia="Barlow Semi Condensed" w:hAnsi="Barlow Semi Condensed"/>
          <w:sz w:val="24"/>
          <w:szCs w:val="24"/>
        </w:rPr>
        <w:t xml:space="preserve">Il punto di partenza non è un desiderio: è un </w:t>
      </w:r>
      <w:r>
        <w:rPr>
          <w:rFonts w:ascii="Barlow Semi Condensed" w:cs="Barlow Semi Condensed" w:eastAsia="Barlow Semi Condensed" w:hAnsi="Barlow Semi Condensed"/>
          <w:b/>
          <w:bCs/>
          <w:sz w:val="24"/>
          <w:szCs w:val="24"/>
        </w:rPr>
        <w:t xml:space="preserve">reperto interno al corpus</w:t>
      </w:r>
      <w:r>
        <w:rPr>
          <w:rFonts w:ascii="Barlow Semi Condensed" w:cs="Barlow Semi Condensed" w:eastAsia="Barlow Semi Condensed" w:hAnsi="Barlow Semi Condensed"/>
          <w:sz w:val="24"/>
          <w:szCs w:val="24"/>
        </w:rPr>
        <w:t xml:space="preserve">. Il lotto del Dipartimento di Stato archiviato nella cartella Farnesina (il programma della visita del 1965; i cablo dell'aprile-maggio 1978 da Buenos Aires, Trieste e Palermo) è un </w:t>
      </w:r>
      <w:r>
        <w:rPr>
          <w:rFonts w:ascii="Barlow Semi Condensed" w:cs="Barlow Semi Condensed" w:eastAsia="Barlow Semi Condensed" w:hAnsi="Barlow Semi Condensed"/>
          <w:b/>
          <w:bCs/>
          <w:sz w:val="24"/>
          <w:szCs w:val="24"/>
        </w:rPr>
        <w:t xml:space="preserve">prodotto FOIA già lavorato</w:t>
      </w:r>
      <w:r>
        <w:rPr>
          <w:rFonts w:ascii="Barlow Semi Condensed" w:cs="Barlow Semi Condensed" w:eastAsia="Barlow Semi Condensed" w:hAnsi="Barlow Semi Condensed"/>
          <w:sz w:val="24"/>
          <w:szCs w:val="24"/>
        </w:rPr>
        <w:t xml:space="preserve">: i fogli recano il numero di caso </w:t>
      </w:r>
      <w:r>
        <w:rPr>
          <w:rFonts w:ascii="Barlow Semi Condensed" w:cs="Barlow Semi Condensed" w:eastAsia="Barlow Semi Condensed" w:hAnsi="Barlow Semi Condensed"/>
          <w:b/>
          <w:bCs/>
          <w:sz w:val="24"/>
          <w:szCs w:val="24"/>
        </w:rPr>
        <w:t xml:space="preserve">R-2021-002xx</w:t>
      </w:r>
      <w:r>
        <w:rPr>
          <w:rFonts w:ascii="Barlow Semi Condensed" w:cs="Barlow Semi Condensed" w:eastAsia="Barlow Semi Condensed" w:hAnsi="Barlow Semi Condensed"/>
          <w:sz w:val="24"/>
          <w:szCs w:val="24"/>
        </w:rPr>
        <w:t xml:space="preserve"> — la lettura OCR oscilla fra 00202 e 00208, e la divergenza si dichiara — i numeri di controllo </w:t>
      </w:r>
      <w:r>
        <w:rPr>
          <w:rFonts w:ascii="Barlow Semi Condensed" w:cs="Barlow Semi Condensed" w:eastAsia="Barlow Semi Condensed" w:hAnsi="Barlow Semi Condensed"/>
          <w:b/>
          <w:bCs/>
          <w:sz w:val="24"/>
          <w:szCs w:val="24"/>
        </w:rPr>
        <w:t xml:space="preserve">B-00001939965…989</w:t>
      </w:r>
      <w:r>
        <w:rPr>
          <w:rFonts w:ascii="Barlow Semi Condensed" w:cs="Barlow Semi Condensed" w:eastAsia="Barlow Semi Condensed" w:hAnsi="Barlow Semi Condensed"/>
          <w:sz w:val="24"/>
          <w:szCs w:val="24"/>
        </w:rPr>
        <w:t xml:space="preserve">, e timbri di revisione anche dell'FBI (declassificazione del 16/6/2018 su alcune pagine). Questo significa tre cose operative: esiste un </w:t>
      </w:r>
      <w:r>
        <w:rPr>
          <w:rFonts w:ascii="Barlow Semi Condensed" w:cs="Barlow Semi Condensed" w:eastAsia="Barlow Semi Condensed" w:hAnsi="Barlow Semi Condensed"/>
          <w:b/>
          <w:bCs/>
          <w:sz w:val="24"/>
          <w:szCs w:val="24"/>
        </w:rPr>
        <w:t xml:space="preserve">fascicolo FOIA identificato</w:t>
      </w:r>
      <w:r>
        <w:rPr>
          <w:rFonts w:ascii="Barlow Semi Condensed" w:cs="Barlow Semi Condensed" w:eastAsia="Barlow Semi Condensed" w:hAnsi="Barlow Semi Condensed"/>
          <w:sz w:val="24"/>
          <w:szCs w:val="24"/>
        </w:rPr>
        <w:t xml:space="preserve"> di cui si può chiedere il rilascio integrale (tutti i documenti lavorati sotto quel caso, non solo i fogli circolati); esistono </w:t>
      </w:r>
      <w:r>
        <w:rPr>
          <w:rFonts w:ascii="Barlow Semi Condensed" w:cs="Barlow Semi Condensed" w:eastAsia="Barlow Semi Condensed" w:hAnsi="Barlow Semi Condensed"/>
          <w:b/>
          <w:bCs/>
          <w:sz w:val="24"/>
          <w:szCs w:val="24"/>
        </w:rPr>
        <w:t xml:space="preserve">serie numerate contigue</w:t>
      </w:r>
      <w:r>
        <w:rPr>
          <w:rFonts w:ascii="Barlow Semi Condensed" w:cs="Barlow Semi Condensed" w:eastAsia="Barlow Semi Condensed" w:hAnsi="Barlow Semi Condensed"/>
          <w:sz w:val="24"/>
          <w:szCs w:val="24"/>
        </w:rPr>
        <w:t xml:space="preserve"> (i B-000019399xx mancanti dall'intervallo sono essi stessi una lista di richieste); ed esistono i </w:t>
      </w:r>
      <w:r>
        <w:rPr>
          <w:rFonts w:ascii="Barlow Semi Condensed" w:cs="Barlow Semi Condensed" w:eastAsia="Barlow Semi Condensed" w:hAnsi="Barlow Semi Condensed"/>
          <w:b/>
          <w:bCs/>
          <w:sz w:val="24"/>
          <w:szCs w:val="24"/>
        </w:rPr>
        <w:t xml:space="preserve">TAGS</w:t>
      </w:r>
      <w:r>
        <w:rPr>
          <w:rFonts w:ascii="Barlow Semi Condensed" w:cs="Barlow Semi Condensed" w:eastAsia="Barlow Semi Condensed" w:hAnsi="Barlow Semi Condensed"/>
          <w:sz w:val="24"/>
          <w:szCs w:val="24"/>
        </w:rPr>
        <w:t xml:space="preserve"> dei cablo — nel lotto: </w:t>
      </w:r>
      <w:r>
        <w:rPr>
          <w:rFonts w:ascii="Barlow Semi Condensed" w:cs="Barlow Semi Condensed" w:eastAsia="Barlow Semi Condensed" w:hAnsi="Barlow Semi Condensed"/>
          <w:i/>
          <w:iCs/>
          <w:sz w:val="24"/>
          <w:szCs w:val="24"/>
        </w:rPr>
        <w:t xml:space="preserve">PINT, IT</w:t>
      </w:r>
      <w:r>
        <w:rPr>
          <w:rFonts w:ascii="Barlow Semi Condensed" w:cs="Barlow Semi Condensed" w:eastAsia="Barlow Semi Condensed" w:hAnsi="Barlow Semi Condensed"/>
          <w:sz w:val="24"/>
          <w:szCs w:val="24"/>
        </w:rPr>
        <w:t xml:space="preserve"> — che sono le chiavi d'interrogazione del sistema archivistico americano.</w:t>
      </w:r>
    </w:p>
    <w:p>
      <w:pPr>
        <w:pStyle w:val="Heading3"/>
        <w:spacing w:after="80" w:before="160"/>
      </w:pPr>
      <w:r>
        <w:rPr>
          <w:rFonts w:ascii="Barlow Semi Condensed" w:cs="Barlow Semi Condensed" w:eastAsia="Barlow Semi Condensed" w:hAnsi="Barlow Semi Condensed"/>
          <w:sz w:val="24"/>
          <w:szCs w:val="24"/>
        </w:rPr>
        <w:t xml:space="preserve">I due giacimenti, e il censimento del trattenuto</w:t>
      </w:r>
    </w:p>
    <w:p>
      <w:pPr>
        <w:spacing w:after="120" w:line="276"/>
        <w:jc w:val="both"/>
      </w:pPr>
      <w:r>
        <w:rPr>
          <w:rFonts w:ascii="Barlow Semi Condensed" w:cs="Barlow Semi Condensed" w:eastAsia="Barlow Semi Condensed" w:hAnsi="Barlow Semi Condensed"/>
          <w:b/>
          <w:bCs/>
          <w:sz w:val="24"/>
          <w:szCs w:val="24"/>
        </w:rPr>
        <w:t xml:space="preserve">Primo giacimento — NARA, ad accesso libero.</w:t>
      </w:r>
      <w:r>
        <w:rPr>
          <w:rFonts w:ascii="Barlow Semi Condensed" w:cs="Barlow Semi Condensed" w:eastAsia="Barlow Semi Condensed" w:hAnsi="Barlow Semi Condensed"/>
          <w:sz w:val="24"/>
          <w:szCs w:val="24"/>
        </w:rPr>
        <w:t xml:space="preserve"> I telegrammi del Dipartimento di Stato 1973-1979 (Central Foreign Policy File, RG 59) sono versati ai National Archives e </w:t>
      </w:r>
      <w:r>
        <w:rPr>
          <w:rFonts w:ascii="Barlow Semi Condensed" w:cs="Barlow Semi Condensed" w:eastAsia="Barlow Semi Condensed" w:hAnsi="Barlow Semi Condensed"/>
          <w:b/>
          <w:bCs/>
          <w:sz w:val="24"/>
          <w:szCs w:val="24"/>
        </w:rPr>
        <w:t xml:space="preserve">interrogabili online</w:t>
      </w:r>
      <w:r>
        <w:rPr>
          <w:rFonts w:ascii="Barlow Semi Condensed" w:cs="Barlow Semi Condensed" w:eastAsia="Barlow Semi Condensed" w:hAnsi="Barlow Semi Condensed"/>
          <w:sz w:val="24"/>
          <w:szCs w:val="24"/>
        </w:rPr>
        <w:t xml:space="preserve"> tramite l'Access to Archival Databases (NARA, CFPF 1973-1979 (https://www.archives.gov/research/foreign-policy/state-dept/rg-59-central-files/1973-1979); serie AAD (https://aad.archives.gov/aad/series-description.jsp?s=4073)). E accanto ai telegrammi rilasciati esiste lo strumento più prezioso per questa pista: le </w:t>
      </w:r>
      <w:r>
        <w:rPr>
          <w:rFonts w:ascii="Barlow Semi Condensed" w:cs="Barlow Semi Condensed" w:eastAsia="Barlow Semi Condensed" w:hAnsi="Barlow Semi Condensed"/>
          <w:b/>
          <w:bCs/>
          <w:sz w:val="24"/>
          <w:szCs w:val="24"/>
        </w:rPr>
        <w:t xml:space="preserve">«Electronic Telegrams Withdrawal Cards, 1978»</w:t>
      </w:r>
      <w:r>
        <w:rPr>
          <w:rFonts w:ascii="Barlow Semi Condensed" w:cs="Barlow Semi Condensed" w:eastAsia="Barlow Semi Condensed" w:hAnsi="Barlow Semi Condensed"/>
          <w:sz w:val="24"/>
          <w:szCs w:val="24"/>
        </w:rPr>
        <w:t xml:space="preserve"> (AAD, ricerca dedicata (https://aad.archives.gov/aad/fielded-search.jsp?dt=2695&amp;tf=X)) — le schede dei telegrammi </w:t>
      </w:r>
      <w:r>
        <w:rPr>
          <w:rFonts w:ascii="Barlow Semi Condensed" w:cs="Barlow Semi Condensed" w:eastAsia="Barlow Semi Condensed" w:hAnsi="Barlow Semi Condensed"/>
          <w:b/>
          <w:bCs/>
          <w:sz w:val="24"/>
          <w:szCs w:val="24"/>
        </w:rPr>
        <w:t xml:space="preserve">trattenuti</w:t>
      </w:r>
      <w:r>
        <w:rPr>
          <w:rFonts w:ascii="Barlow Semi Condensed" w:cs="Barlow Semi Condensed" w:eastAsia="Barlow Semi Condensed" w:hAnsi="Barlow Semi Condensed"/>
          <w:sz w:val="24"/>
          <w:szCs w:val="24"/>
        </w:rPr>
        <w:t xml:space="preserve">, che costituiscono il </w:t>
      </w:r>
      <w:r>
        <w:rPr>
          <w:rFonts w:ascii="Barlow Semi Condensed" w:cs="Barlow Semi Condensed" w:eastAsia="Barlow Semi Condensed" w:hAnsi="Barlow Semi Condensed"/>
          <w:b/>
          <w:bCs/>
          <w:sz w:val="24"/>
          <w:szCs w:val="24"/>
        </w:rPr>
        <w:t xml:space="preserve">censimento pubblico di ciò che ancora manca</w:t>
      </w:r>
      <w:r>
        <w:rPr>
          <w:rFonts w:ascii="Barlow Semi Condensed" w:cs="Barlow Semi Condensed" w:eastAsia="Barlow Semi Condensed" w:hAnsi="Barlow Semi Condensed"/>
          <w:sz w:val="24"/>
          <w:szCs w:val="24"/>
        </w:rPr>
        <w:t xml:space="preserve">: per ogni cablo ritirato, la scheda ne attesta l'esistenza, la data e la provenienza. La dietrologia specula sul non rilasciato; le withdrawal cards lo </w:t>
      </w:r>
      <w:r>
        <w:rPr>
          <w:rFonts w:ascii="Barlow Semi Condensed" w:cs="Barlow Semi Condensed" w:eastAsia="Barlow Semi Condensed" w:hAnsi="Barlow Semi Condensed"/>
          <w:b/>
          <w:bCs/>
          <w:sz w:val="24"/>
          <w:szCs w:val="24"/>
        </w:rPr>
        <w:t xml:space="preserve">contano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Secondo giacimento — la FOIA Library e le richieste.</w:t>
      </w:r>
      <w:r>
        <w:rPr>
          <w:rFonts w:ascii="Barlow Semi Condensed" w:cs="Barlow Semi Condensed" w:eastAsia="Barlow Semi Condensed" w:hAnsi="Barlow Semi Condensed"/>
          <w:sz w:val="24"/>
          <w:szCs w:val="24"/>
        </w:rPr>
        <w:t xml:space="preserve"> La biblioteca FOIA del Dipartimento (foia.state.gov (https://foia.state.gov/FOIALIBRARY/FOIALIB2.aspx)) per il già rilasciato; le richieste nuove, ancorate agli identificativi del caso R-2021-002xx e alle schede di ritiro, per il resto.</w:t>
      </w:r>
    </w:p>
    <w:p>
      <w:pPr>
        <w:pStyle w:val="Heading3"/>
        <w:spacing w:after="80" w:before="160"/>
      </w:pPr>
      <w:r>
        <w:rPr>
          <w:rFonts w:ascii="Barlow Semi Condensed" w:cs="Barlow Semi Condensed" w:eastAsia="Barlow Semi Condensed" w:hAnsi="Barlow Semi Condensed"/>
          <w:sz w:val="24"/>
          <w:szCs w:val="24"/>
        </w:rPr>
        <w:t xml:space="preserve">Il nodo dei 474: la regola dell'originatore</w:t>
      </w:r>
    </w:p>
    <w:p>
      <w:pPr>
        <w:spacing w:after="120" w:line="276"/>
        <w:jc w:val="both"/>
      </w:pPr>
      <w:r>
        <w:rPr>
          <w:rFonts w:ascii="Barlow Semi Condensed" w:cs="Barlow Semi Condensed" w:eastAsia="Barlow Semi Condensed" w:hAnsi="Barlow Semi Condensed"/>
          <w:sz w:val="24"/>
          <w:szCs w:val="24"/>
        </w:rPr>
        <w:t xml:space="preserve">Sul versante italiano, la pubblicistica che segue i lavori di desecretazione riferisce che </w:t>
      </w:r>
      <w:r>
        <w:rPr>
          <w:rFonts w:ascii="Barlow Semi Condensed" w:cs="Barlow Semi Condensed" w:eastAsia="Barlow Semi Condensed" w:hAnsi="Barlow Semi Condensed"/>
          <w:b/>
          <w:bCs/>
          <w:sz w:val="24"/>
          <w:szCs w:val="24"/>
        </w:rPr>
        <w:t xml:space="preserve">migliaia di atti sul caso restano classificati, e che fra essi circa 474 sono di origine di Stati alleati, Stati Uniti in testa</w:t>
      </w:r>
      <w:r>
        <w:rPr>
          <w:rFonts w:ascii="Barlow Semi Condensed" w:cs="Barlow Semi Condensed" w:eastAsia="Barlow Semi Condensed" w:hAnsi="Barlow Semi Condensed"/>
          <w:sz w:val="24"/>
          <w:szCs w:val="24"/>
        </w:rPr>
        <w:t xml:space="preserve"> (attualita.it (https://www.attualita.it/notizie/politica/nuove-verita-sul-caso-moro-35911/)) — cifra da trattare col suo grado (riferita, non verificata su atto). Ma il </w:t>
      </w:r>
      <w:r>
        <w:rPr>
          <w:rFonts w:ascii="Barlow Semi Condensed" w:cs="Barlow Semi Condensed" w:eastAsia="Barlow Semi Condensed" w:hAnsi="Barlow Semi Condensed"/>
          <w:b/>
          <w:bCs/>
          <w:sz w:val="24"/>
          <w:szCs w:val="24"/>
        </w:rPr>
        <w:t xml:space="preserve">meccanismo</w:t>
      </w:r>
      <w:r>
        <w:rPr>
          <w:rFonts w:ascii="Barlow Semi Condensed" w:cs="Barlow Semi Condensed" w:eastAsia="Barlow Semi Condensed" w:hAnsi="Barlow Semi Condensed"/>
          <w:sz w:val="24"/>
          <w:szCs w:val="24"/>
        </w:rPr>
        <w:t xml:space="preserve"> che essa illumina è certo ed è il cuore giuridico della scheda: per la </w:t>
      </w:r>
      <w:r>
        <w:rPr>
          <w:rFonts w:ascii="Barlow Semi Condensed" w:cs="Barlow Semi Condensed" w:eastAsia="Barlow Semi Condensed" w:hAnsi="Barlow Semi Condensed"/>
          <w:b/>
          <w:bCs/>
          <w:sz w:val="24"/>
          <w:szCs w:val="24"/>
        </w:rPr>
        <w:t xml:space="preserve">regola dell'originatore</w:t>
      </w:r>
      <w:r>
        <w:rPr>
          <w:rFonts w:ascii="Barlow Semi Condensed" w:cs="Barlow Semi Condensed" w:eastAsia="Barlow Semi Condensed" w:hAnsi="Barlow Semi Condensed"/>
          <w:sz w:val="24"/>
          <w:szCs w:val="24"/>
        </w:rPr>
        <w:t xml:space="preserve">, un documento classificato da uno Stato terzo </w:t>
      </w:r>
      <w:r>
        <w:rPr>
          <w:rFonts w:ascii="Barlow Semi Condensed" w:cs="Barlow Semi Condensed" w:eastAsia="Barlow Semi Condensed" w:hAnsi="Barlow Semi Condensed"/>
          <w:b/>
          <w:bCs/>
          <w:sz w:val="24"/>
          <w:szCs w:val="24"/>
        </w:rPr>
        <w:t xml:space="preserve">non può essere desecretato unilateralmente</w:t>
      </w:r>
      <w:r>
        <w:rPr>
          <w:rFonts w:ascii="Barlow Semi Condensed" w:cs="Barlow Semi Condensed" w:eastAsia="Barlow Semi Condensed" w:hAnsi="Barlow Semi Condensed"/>
          <w:sz w:val="24"/>
          <w:szCs w:val="24"/>
        </w:rPr>
        <w:t xml:space="preserve"> da chi lo detiene — le direttive italiane (Prodi, Renzi, Draghi) possono aprire le carte italiane, </w:t>
      </w:r>
      <w:r>
        <w:rPr>
          <w:rFonts w:ascii="Barlow Semi Condensed" w:cs="Barlow Semi Condensed" w:eastAsia="Barlow Semi Condensed" w:hAnsi="Barlow Semi Condensed"/>
          <w:b/>
          <w:bCs/>
          <w:sz w:val="24"/>
          <w:szCs w:val="24"/>
        </w:rPr>
        <w:t xml:space="preserve">non quelle alleate</w:t>
      </w:r>
      <w:r>
        <w:rPr>
          <w:rFonts w:ascii="Barlow Semi Condensed" w:cs="Barlow Semi Condensed" w:eastAsia="Barlow Semi Condensed" w:hAnsi="Barlow Semi Condensed"/>
          <w:sz w:val="24"/>
          <w:szCs w:val="24"/>
        </w:rPr>
        <w:t xml:space="preserve">. Il canale per i documenti di origine USA è dunque </w:t>
      </w:r>
      <w:r>
        <w:rPr>
          <w:rFonts w:ascii="Barlow Semi Condensed" w:cs="Barlow Semi Condensed" w:eastAsia="Barlow Semi Condensed" w:hAnsi="Barlow Semi Condensed"/>
          <w:b/>
          <w:bCs/>
          <w:sz w:val="24"/>
          <w:szCs w:val="24"/>
        </w:rPr>
        <w:t xml:space="preserve">bilaterale e diplomatico</w:t>
      </w:r>
      <w:r>
        <w:rPr>
          <w:rFonts w:ascii="Barlow Semi Condensed" w:cs="Barlow Semi Condensed" w:eastAsia="Barlow Semi Condensed" w:hAnsi="Barlow Semi Condensed"/>
          <w:sz w:val="24"/>
          <w:szCs w:val="24"/>
        </w:rPr>
        <w:t xml:space="preserve">: la richiesta di consenso all'originatore — ed è il punto esatto in cui questa pista si salda alla dimensione diplomatica del corpus (Libro dodicesimo): l'accesso agli archivi, come l'estradizione, è politica estera applicata.</w:t>
      </w:r>
    </w:p>
    <w:p>
      <w:pPr>
        <w:pStyle w:val="Heading3"/>
        <w:spacing w:after="80" w:before="160"/>
      </w:pPr>
      <w:r>
        <w:rPr>
          <w:rFonts w:ascii="Barlow Semi Condensed" w:cs="Barlow Semi Condensed" w:eastAsia="Barlow Semi Condensed" w:hAnsi="Barlow Semi Condensed"/>
          <w:sz w:val="24"/>
          <w:szCs w:val="24"/>
        </w:rPr>
        <w:t xml:space="preserve">I tre quesiti enumerativi</w:t>
      </w:r>
    </w:p>
    <w:p>
      <w:pPr>
        <w:spacing w:after="120" w:line="276"/>
        <w:jc w:val="both"/>
      </w:pPr>
      <w:r>
        <w:rPr>
          <w:rFonts w:ascii="Barlow Semi Condensed" w:cs="Barlow Semi Condensed" w:eastAsia="Barlow Semi Condensed" w:hAnsi="Barlow Semi Condensed"/>
          <w:sz w:val="24"/>
          <w:szCs w:val="24"/>
        </w:rPr>
        <w:t xml:space="preserve">Questa pista non ha ipotesi da discriminare: ha </w:t>
      </w:r>
      <w:r>
        <w:rPr>
          <w:rFonts w:ascii="Barlow Semi Condensed" w:cs="Barlow Semi Condensed" w:eastAsia="Barlow Semi Condensed" w:hAnsi="Barlow Semi Condensed"/>
          <w:b/>
          <w:bCs/>
          <w:sz w:val="24"/>
          <w:szCs w:val="24"/>
        </w:rPr>
        <w:t xml:space="preserve">insiemi da contare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Q1:</w:t>
      </w:r>
      <w:r>
        <w:rPr>
          <w:rFonts w:ascii="Barlow Semi Condensed" w:cs="Barlow Semi Condensed" w:eastAsia="Barlow Semi Condensed" w:hAnsi="Barlow Semi Condensed"/>
          <w:sz w:val="24"/>
          <w:szCs w:val="24"/>
        </w:rPr>
        <w:t xml:space="preserve"> del traffico Roma-Washington del marzo-maggio 1978, quanto è già libero in AAD, quanto è trattenuto (withdrawal cards), quanto non risulta versato? </w:t>
      </w:r>
      <w:r>
        <w:rPr>
          <w:rFonts w:ascii="Barlow Semi Condensed" w:cs="Barlow Semi Condensed" w:eastAsia="Barlow Semi Condensed" w:hAnsi="Barlow Semi Condensed"/>
          <w:i/>
          <w:iCs/>
          <w:sz w:val="24"/>
          <w:szCs w:val="24"/>
        </w:rPr>
        <w:t xml:space="preserve">Q2:</w:t>
      </w:r>
      <w:r>
        <w:rPr>
          <w:rFonts w:ascii="Barlow Semi Condensed" w:cs="Barlow Semi Condensed" w:eastAsia="Barlow Semi Condensed" w:hAnsi="Barlow Semi Condensed"/>
          <w:sz w:val="24"/>
          <w:szCs w:val="24"/>
        </w:rPr>
        <w:t xml:space="preserve"> che cosa contiene </w:t>
      </w:r>
      <w:r>
        <w:rPr>
          <w:rFonts w:ascii="Barlow Semi Condensed" w:cs="Barlow Semi Condensed" w:eastAsia="Barlow Semi Condensed" w:hAnsi="Barlow Semi Condensed"/>
          <w:b/>
          <w:bCs/>
          <w:sz w:val="24"/>
          <w:szCs w:val="24"/>
        </w:rPr>
        <w:t xml:space="preserve">per intero</w:t>
      </w:r>
      <w:r>
        <w:rPr>
          <w:rFonts w:ascii="Barlow Semi Condensed" w:cs="Barlow Semi Condensed" w:eastAsia="Barlow Semi Condensed" w:hAnsi="Barlow Semi Condensed"/>
          <w:sz w:val="24"/>
          <w:szCs w:val="24"/>
        </w:rPr>
        <w:t xml:space="preserve"> il caso FOIA R-2021-002xx da cui proviene il lotto del corpus? </w:t>
      </w:r>
      <w:r>
        <w:rPr>
          <w:rFonts w:ascii="Barlow Semi Condensed" w:cs="Barlow Semi Condensed" w:eastAsia="Barlow Semi Condensed" w:hAnsi="Barlow Semi Condensed"/>
          <w:i/>
          <w:iCs/>
          <w:sz w:val="24"/>
          <w:szCs w:val="24"/>
        </w:rPr>
        <w:t xml:space="preserve">Q3:</w:t>
      </w:r>
      <w:r>
        <w:rPr>
          <w:rFonts w:ascii="Barlow Semi Condensed" w:cs="Barlow Semi Condensed" w:eastAsia="Barlow Semi Condensed" w:hAnsi="Barlow Semi Condensed"/>
          <w:sz w:val="24"/>
          <w:szCs w:val="24"/>
        </w:rPr>
        <w:t xml:space="preserve"> dei 474 atti di origine alleata riferiti sul versante italiano, quanti sono statunitensi, e quale canale di consenso è mai stato attivato?</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L'interrogazione sistematica dell'AAD</w:t>
      </w:r>
      <w:r>
        <w:rPr>
          <w:rFonts w:ascii="Barlow Semi Condensed" w:cs="Barlow Semi Condensed" w:eastAsia="Barlow Semi Condensed" w:hAnsi="Barlow Semi Condensed"/>
          <w:sz w:val="24"/>
          <w:szCs w:val="24"/>
        </w:rPr>
        <w:t xml:space="preserve">: telegrammi elettronici e withdrawal cards 1978, per TAGS (</w:t>
      </w:r>
      <w:r>
        <w:rPr>
          <w:rFonts w:ascii="Barlow Semi Condensed" w:cs="Barlow Semi Condensed" w:eastAsia="Barlow Semi Condensed" w:hAnsi="Barlow Semi Condensed"/>
          <w:i/>
          <w:iCs/>
          <w:sz w:val="24"/>
          <w:szCs w:val="24"/>
        </w:rPr>
        <w:t xml:space="preserve">PINT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t>
      </w:r>
      <w:r>
        <w:rPr>
          <w:rFonts w:ascii="Barlow Semi Condensed" w:cs="Barlow Semi Condensed" w:eastAsia="Barlow Semi Condensed" w:hAnsi="Barlow Semi Condensed"/>
          <w:sz w:val="24"/>
          <w:szCs w:val="24"/>
        </w:rPr>
        <w:t xml:space="preserve"> e correlati), finestra 16 marzo – 31 dicembre 1978, con chiave «MORO» — esito: la </w:t>
      </w:r>
      <w:r>
        <w:rPr>
          <w:rFonts w:ascii="Barlow Semi Condensed" w:cs="Barlow Semi Condensed" w:eastAsia="Barlow Semi Condensed" w:hAnsi="Barlow Semi Condensed"/>
          <w:b/>
          <w:bCs/>
          <w:sz w:val="24"/>
          <w:szCs w:val="24"/>
        </w:rPr>
        <w:t xml:space="preserve">tavola rilasciato/trattenuto</w:t>
      </w:r>
      <w:r>
        <w:rPr>
          <w:rFonts w:ascii="Barlow Semi Condensed" w:cs="Barlow Semi Condensed" w:eastAsia="Barlow Semi Condensed" w:hAnsi="Barlow Semi Condensed"/>
          <w:sz w:val="24"/>
          <w:szCs w:val="24"/>
        </w:rPr>
        <w:t xml:space="preserve"> del traffico dei 55 giorni, che oggi non esiste in nessuna pubblicazione.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richiesta del fascicolo FOIA integrale</w:t>
      </w:r>
      <w:r>
        <w:rPr>
          <w:rFonts w:ascii="Barlow Semi Condensed" w:cs="Barlow Semi Condensed" w:eastAsia="Barlow Semi Condensed" w:hAnsi="Barlow Semi Condensed"/>
          <w:sz w:val="24"/>
          <w:szCs w:val="24"/>
        </w:rPr>
        <w:t xml:space="preserve"> R-2021-002xx al Dipartimento di Stato, coi numeri di controllo del corpus come ancoraggio.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Le FOIA mirate</w:t>
      </w:r>
      <w:r>
        <w:rPr>
          <w:rFonts w:ascii="Barlow Semi Condensed" w:cs="Barlow Semi Condensed" w:eastAsia="Barlow Semi Condensed" w:hAnsi="Barlow Semi Condensed"/>
          <w:sz w:val="24"/>
          <w:szCs w:val="24"/>
        </w:rPr>
        <w:t xml:space="preserve"> sui singoli item identificati dalle withdrawal cards — richieste puntuali, non generiche, che sono le sole che in regime FOIA convergono.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canale bilaterale per gli atti di origine alleata</w:t>
      </w:r>
      <w:r>
        <w:rPr>
          <w:rFonts w:ascii="Barlow Semi Condensed" w:cs="Barlow Semi Condensed" w:eastAsia="Barlow Semi Condensed" w:hAnsi="Barlow Semi Condensed"/>
          <w:sz w:val="24"/>
          <w:szCs w:val="24"/>
        </w:rPr>
        <w:t xml:space="preserve"> custoditi in Italia: la ricognizione di quali richieste di consenso all'originatore siano mai state formulate, e la loro riattivazione nelle sedi proprie.</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confondere «classificato» con «occultato»: la regola dell'originatore è una norma generale degli scambi fra Stati, non un indizio di contenuto; e </w:t>
      </w:r>
      <w:r>
        <w:rPr>
          <w:rFonts w:ascii="Barlow Semi Condensed" w:cs="Barlow Semi Condensed" w:eastAsia="Barlow Semi Condensed" w:hAnsi="Barlow Semi Condensed"/>
          <w:b/>
          <w:bCs/>
          <w:sz w:val="24"/>
          <w:szCs w:val="24"/>
        </w:rPr>
        <w:t xml:space="preserve">l'assenza di un documento dal rilascio non prova nulla sul suo contenuto</w:t>
      </w:r>
      <w:r>
        <w:rPr>
          <w:rFonts w:ascii="Barlow Semi Condensed" w:cs="Barlow Semi Condensed" w:eastAsia="Barlow Semi Condensed" w:hAnsi="Barlow Semi Condensed"/>
          <w:sz w:val="24"/>
          <w:szCs w:val="24"/>
        </w:rPr>
        <w:t xml:space="preserve"> — lo prova, semmai, la sua scheda di ritiro, che ne attesta l'esistenza senza rivelarlo. Non mescolare a questa pista le dichiarazioni postume dei protagonisti americani dell'epoca (per il consulente Pieczenik il corpus ha già il grado: fonte di parte, C): la pista lavora su serie archivistiche, non su memorie.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tavola-censimento in tre colonne — libero / trattenuto / origine-alleata-in-Italia — con, per ogni trattenuto, l'identificativo della scheda di ritiro. In regime FOIA anche il diniego è un documento motivato: </w:t>
      </w:r>
      <w:r>
        <w:rPr>
          <w:rFonts w:ascii="Barlow Semi Condensed" w:cs="Barlow Semi Condensed" w:eastAsia="Barlow Semi Condensed" w:hAnsi="Barlow Semi Condensed"/>
          <w:b/>
          <w:bCs/>
          <w:sz w:val="24"/>
          <w:szCs w:val="24"/>
        </w:rPr>
        <w:t xml:space="preserve">qualunque esito, la pista produce carte</w:t>
      </w:r>
      <w:r>
        <w:rPr>
          <w:rFonts w:ascii="Barlow Semi Condensed" w:cs="Barlow Semi Condensed" w:eastAsia="Barlow Semi Condensed" w:hAnsi="Barlow Semi Condensed"/>
          <w:sz w:val="24"/>
          <w:szCs w:val="24"/>
        </w:rPr>
        <w:t xml:space="preserve"> — che è il criterio con cui ogni pista di questo programma è stata scritta.</w:t>
      </w:r>
    </w:p>
    <w:p>
      <w:pPr>
        <w:pStyle w:val="Heading2"/>
        <w:spacing w:after="100" w:before="200"/>
      </w:pPr>
      <w:r>
        <w:rPr>
          <w:rFonts w:ascii="Barlow Semi Condensed" w:cs="Barlow Semi Condensed" w:eastAsia="Barlow Semi Condensed" w:hAnsi="Barlow Semi Condensed"/>
          <w:sz w:val="24"/>
          <w:szCs w:val="24"/>
        </w:rPr>
        <w:t xml:space="preserve">Scheda PE-6 — Il registro delle segnalazioni: la colonna che manca da quarantott'anni</w:t>
      </w:r>
    </w:p>
    <w:p>
      <w:pPr>
        <w:pStyle w:val="Heading3"/>
        <w:spacing w:after="80" w:before="160"/>
      </w:pPr>
      <w:r>
        <w:rPr>
          <w:rFonts w:ascii="Barlow Semi Condensed" w:cs="Barlow Semi Condensed" w:eastAsia="Barlow Semi Condensed" w:hAnsi="Barlow Semi Condensed"/>
          <w:sz w:val="24"/>
          <w:szCs w:val="24"/>
        </w:rPr>
        <w:t xml:space="preserve">La macchina misurata a metà</w:t>
      </w:r>
    </w:p>
    <w:p>
      <w:pPr>
        <w:spacing w:after="120" w:line="276"/>
        <w:jc w:val="both"/>
      </w:pPr>
      <w:r>
        <w:rPr>
          <w:rFonts w:ascii="Barlow Semi Condensed" w:cs="Barlow Semi Condensed" w:eastAsia="Barlow Semi Condensed" w:hAnsi="Barlow Semi Condensed"/>
          <w:sz w:val="24"/>
          <w:szCs w:val="24"/>
        </w:rPr>
        <w:t xml:space="preserve">I numeri della macchina delle ricerche sono celebri e verificati: </w:t>
      </w:r>
      <w:r>
        <w:rPr>
          <w:rFonts w:ascii="Barlow Semi Condensed" w:cs="Barlow Semi Condensed" w:eastAsia="Barlow Semi Condensed" w:hAnsi="Barlow Semi Condensed"/>
          <w:b/>
          <w:bCs/>
          <w:sz w:val="24"/>
          <w:szCs w:val="24"/>
        </w:rPr>
        <w:t xml:space="preserve">72.460 posti di blocco</w:t>
      </w:r>
      <w:r>
        <w:rPr>
          <w:rFonts w:ascii="Barlow Semi Condensed" w:cs="Barlow Semi Condensed" w:eastAsia="Barlow Semi Condensed" w:hAnsi="Barlow Semi Condensed"/>
          <w:sz w:val="24"/>
          <w:szCs w:val="24"/>
        </w:rPr>
        <w:t xml:space="preserve"> (6.296 nell'area romana), </w:t>
      </w:r>
      <w:r>
        <w:rPr>
          <w:rFonts w:ascii="Barlow Semi Condensed" w:cs="Barlow Semi Condensed" w:eastAsia="Barlow Semi Condensed" w:hAnsi="Barlow Semi Condensed"/>
          <w:b/>
          <w:bCs/>
          <w:sz w:val="24"/>
          <w:szCs w:val="24"/>
        </w:rPr>
        <w:t xml:space="preserve">37.702 perquisizioni domiciliari</w:t>
      </w:r>
      <w:r>
        <w:rPr>
          <w:rFonts w:ascii="Barlow Semi Condensed" w:cs="Barlow Semi Condensed" w:eastAsia="Barlow Semi Condensed" w:hAnsi="Barlow Semi Condensed"/>
          <w:sz w:val="24"/>
          <w:szCs w:val="24"/>
        </w:rPr>
        <w:t xml:space="preserve"> (6.933 a Roma), </w:t>
      </w:r>
      <w:r>
        <w:rPr>
          <w:rFonts w:ascii="Barlow Semi Condensed" w:cs="Barlow Semi Condensed" w:eastAsia="Barlow Semi Condensed" w:hAnsi="Barlow Semi Condensed"/>
          <w:b/>
          <w:bCs/>
          <w:sz w:val="24"/>
          <w:szCs w:val="24"/>
        </w:rPr>
        <w:t xml:space="preserve">6.413.713 persone controllate</w:t>
      </w:r>
      <w:r>
        <w:rPr>
          <w:rFonts w:ascii="Barlow Semi Condensed" w:cs="Barlow Semi Condensed" w:eastAsia="Barlow Semi Condensed" w:hAnsi="Barlow Semi Condensed"/>
          <w:sz w:val="24"/>
          <w:szCs w:val="24"/>
        </w:rPr>
        <w:t xml:space="preserve"> (167.409 a Roma), </w:t>
      </w:r>
      <w:r>
        <w:rPr>
          <w:rFonts w:ascii="Barlow Semi Condensed" w:cs="Barlow Semi Condensed" w:eastAsia="Barlow Semi Condensed" w:hAnsi="Barlow Semi Condensed"/>
          <w:b/>
          <w:bCs/>
          <w:sz w:val="24"/>
          <w:szCs w:val="24"/>
        </w:rPr>
        <w:t xml:space="preserve">3.383.123 autoveicoli ispezionati</w:t>
      </w:r>
      <w:r>
        <w:rPr>
          <w:rFonts w:ascii="Barlow Semi Condensed" w:cs="Barlow Semi Condensed" w:eastAsia="Barlow Semi Condensed" w:hAnsi="Barlow Semi Condensed"/>
          <w:sz w:val="24"/>
          <w:szCs w:val="24"/>
        </w:rPr>
        <w:t xml:space="preserve"> (96.572 a Roma) (Wikipedia, </w:t>
      </w:r>
      <w:r>
        <w:rPr>
          <w:rFonts w:ascii="Barlow Semi Condensed" w:cs="Barlow Semi Condensed" w:eastAsia="Barlow Semi Condensed" w:hAnsi="Barlow Semi Condensed"/>
          <w:i/>
          <w:iCs/>
          <w:sz w:val="24"/>
          <w:szCs w:val="24"/>
        </w:rPr>
        <w:t xml:space="preserve">Cronaca del sequestro Moro</w:t>
      </w:r>
      <w:r>
        <w:rPr>
          <w:rFonts w:ascii="Barlow Semi Condensed" w:cs="Barlow Semi Condensed" w:eastAsia="Barlow Semi Condensed" w:hAnsi="Barlow Semi Condensed"/>
          <w:sz w:val="24"/>
          <w:szCs w:val="24"/>
        </w:rPr>
        <w:t xml:space="preserve"> (https://it.wikipedia.org/wiki/Cronaca_del_sequestro_Moro); parte della pubblicistica circola le sole cifre romane come totali — Panorama (https://www.panorama.it/sequestro-moro-perche-le-prime-ricerche-fallirono) — e la divergenza di lettura si dichiara). Ma queste sono tutte cifre di </w:t>
      </w:r>
      <w:r>
        <w:rPr>
          <w:rFonts w:ascii="Barlow Semi Condensed" w:cs="Barlow Semi Condensed" w:eastAsia="Barlow Semi Condensed" w:hAnsi="Barlow Semi Condensed"/>
          <w:b/>
          <w:bCs/>
          <w:sz w:val="24"/>
          <w:szCs w:val="24"/>
        </w:rPr>
        <w:t xml:space="preserve">uscita</w:t>
      </w:r>
      <w:r>
        <w:rPr>
          <w:rFonts w:ascii="Barlow Semi Condensed" w:cs="Barlow Semi Condensed" w:eastAsia="Barlow Semi Condensed" w:hAnsi="Barlow Semi Condensed"/>
          <w:sz w:val="24"/>
          <w:szCs w:val="24"/>
        </w:rPr>
        <w:t xml:space="preserve">: quanto lo Stato </w:t>
      </w:r>
      <w:r>
        <w:rPr>
          <w:rFonts w:ascii="Barlow Semi Condensed" w:cs="Barlow Semi Condensed" w:eastAsia="Barlow Semi Condensed" w:hAnsi="Barlow Semi Condensed"/>
          <w:i/>
          <w:iCs/>
          <w:sz w:val="24"/>
          <w:szCs w:val="24"/>
        </w:rPr>
        <w:t xml:space="preserve">fece</w:t>
      </w:r>
      <w:r>
        <w:rPr>
          <w:rFonts w:ascii="Barlow Semi Condensed" w:cs="Barlow Semi Condensed" w:eastAsia="Barlow Semi Condensed" w:hAnsi="Barlow Semi Condensed"/>
          <w:sz w:val="24"/>
          <w:szCs w:val="24"/>
        </w:rPr>
        <w:t xml:space="preserve">. La colonna d'</w:t>
      </w:r>
      <w:r>
        <w:rPr>
          <w:rFonts w:ascii="Barlow Semi Condensed" w:cs="Barlow Semi Condensed" w:eastAsia="Barlow Semi Condensed" w:hAnsi="Barlow Semi Condensed"/>
          <w:b/>
          <w:bCs/>
          <w:sz w:val="24"/>
          <w:szCs w:val="24"/>
        </w:rPr>
        <w:t xml:space="preserve">ingresso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quante segnalazioni arrivarono, come furono protocollate, con quali criteri smistate, quante ebbero seguito</w:t>
      </w:r>
      <w:r>
        <w:rPr>
          <w:rFonts w:ascii="Barlow Semi Condensed" w:cs="Barlow Semi Condensed" w:eastAsia="Barlow Semi Condensed" w:hAnsi="Barlow Semi Condensed"/>
          <w:sz w:val="24"/>
          <w:szCs w:val="24"/>
        </w:rPr>
        <w:t xml:space="preserve"> — non ha una cifra canonica in nessuna relazione, di nessuna commissione, in quarantott'anni. La macchina più misurata della storia repubblicana è misurata a metà: si conosce il diluvio dei controlli, non il registro degli input che avrebbero dovuto orientarli. </w:t>
      </w:r>
      <w:r>
        <w:rPr>
          <w:rFonts w:ascii="Barlow Semi Condensed" w:cs="Barlow Semi Condensed" w:eastAsia="Barlow Semi Condensed" w:hAnsi="Barlow Semi Condensed"/>
          <w:b/>
          <w:bCs/>
          <w:sz w:val="24"/>
          <w:szCs w:val="24"/>
        </w:rPr>
        <w:t xml:space="preserve">Questa scheda esiste per costruire la colonna mancante.</w:t>
      </w:r>
    </w:p>
    <w:p>
      <w:pPr>
        <w:pStyle w:val="Heading3"/>
        <w:spacing w:after="80" w:before="160"/>
      </w:pPr>
      <w:r>
        <w:rPr>
          <w:rFonts w:ascii="Barlow Semi Condensed" w:cs="Barlow Semi Condensed" w:eastAsia="Barlow Semi Condensed" w:hAnsi="Barlow Semi Condensed"/>
          <w:sz w:val="24"/>
          <w:szCs w:val="24"/>
        </w:rPr>
        <w:t xml:space="preserve">I tre campioni documentati del flusso</w:t>
      </w:r>
    </w:p>
    <w:p>
      <w:pPr>
        <w:spacing w:after="120" w:line="276"/>
        <w:jc w:val="both"/>
      </w:pPr>
      <w:r>
        <w:rPr>
          <w:rFonts w:ascii="Barlow Semi Condensed" w:cs="Barlow Semi Condensed" w:eastAsia="Barlow Semi Condensed" w:hAnsi="Barlow Semi Condensed"/>
          <w:sz w:val="24"/>
          <w:szCs w:val="24"/>
        </w:rPr>
        <w:t xml:space="preserve">Il registro non parte da zero: il corpus possiede già tre casi-campione, uno per ciascun segmento del flusso.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Ingresso riuscito, uscita fallita — la nota Mokbel</w:t>
      </w:r>
      <w:r>
        <w:rPr>
          <w:rFonts w:ascii="Barlow Semi Condensed" w:cs="Barlow Semi Condensed" w:eastAsia="Barlow Semi Condensed" w:hAnsi="Barlow Semi Condensed"/>
          <w:sz w:val="24"/>
          <w:szCs w:val="24"/>
        </w:rPr>
        <w:t xml:space="preserve"> (PE-3): la segnalazione entrò, fu protocollata, generò un controllo; il controllo si fermò a un campanello e non ebbe ritorno. Il sistema funzionava </w:t>
      </w:r>
      <w:r>
        <w:rPr>
          <w:rFonts w:ascii="Barlow Semi Condensed" w:cs="Barlow Semi Condensed" w:eastAsia="Barlow Semi Condensed" w:hAnsi="Barlow Semi Condensed"/>
          <w:i/>
          <w:iCs/>
          <w:sz w:val="24"/>
          <w:szCs w:val="24"/>
        </w:rPr>
        <w:t xml:space="preserve">in ingresso</w:t>
      </w:r>
      <w:r>
        <w:rPr>
          <w:rFonts w:ascii="Barlow Semi Condensed" w:cs="Barlow Semi Condensed" w:eastAsia="Barlow Semi Condensed" w:hAnsi="Barlow Semi Condensed"/>
          <w:sz w:val="24"/>
          <w:szCs w:val="24"/>
        </w:rPr>
        <w:t xml:space="preserve">; il quesito è </w:t>
      </w:r>
      <w:r>
        <w:rPr>
          <w:rFonts w:ascii="Barlow Semi Condensed" w:cs="Barlow Semi Condensed" w:eastAsia="Barlow Semi Condensed" w:hAnsi="Barlow Semi Condensed"/>
          <w:i/>
          <w:iCs/>
          <w:sz w:val="24"/>
          <w:szCs w:val="24"/>
        </w:rPr>
        <w:t xml:space="preserve">l'uscita</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Ingresso anomalo, uscita letterale — la «seduta» di Zappolino</w:t>
      </w:r>
      <w:r>
        <w:rPr>
          <w:rFonts w:ascii="Barlow Semi Condensed" w:cs="Barlow Semi Condensed" w:eastAsia="Barlow Semi Condensed" w:hAnsi="Barlow Semi Condensed"/>
          <w:sz w:val="24"/>
          <w:szCs w:val="24"/>
        </w:rPr>
        <w:t xml:space="preserve"> (PN-4): la segnalazione più strana dei 55 giorni fu presa sul serio, ma l'uscita andò al </w:t>
      </w:r>
      <w:r>
        <w:rPr>
          <w:rFonts w:ascii="Barlow Semi Condensed" w:cs="Barlow Semi Condensed" w:eastAsia="Barlow Semi Condensed" w:hAnsi="Barlow Semi Condensed"/>
          <w:i/>
          <w:iCs/>
          <w:sz w:val="24"/>
          <w:szCs w:val="24"/>
        </w:rPr>
        <w:t xml:space="preserve">paese</w:t>
      </w:r>
      <w:r>
        <w:rPr>
          <w:rFonts w:ascii="Barlow Semi Condensed" w:cs="Barlow Semi Condensed" w:eastAsia="Barlow Semi Condensed" w:hAnsi="Barlow Semi Condensed"/>
          <w:sz w:val="24"/>
          <w:szCs w:val="24"/>
        </w:rPr>
        <w:t xml:space="preserve"> di Gradoli e non alla via omonima di Roma: lo smistamento eseguì la lettera dell'input, non la sua verifica.</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flusso verso la magistratura — via Montalcini</w:t>
      </w:r>
      <w:r>
        <w:rPr>
          <w:rFonts w:ascii="Barlow Semi Condensed" w:cs="Barlow Semi Condensed" w:eastAsia="Barlow Semi Condensed" w:hAnsi="Barlow Semi Condensed"/>
          <w:sz w:val="24"/>
          <w:szCs w:val="24"/>
        </w:rPr>
        <w:t xml:space="preserve"> (il campione verificato per questa scheda): fra l'estate e l'ottobre del </w:t>
      </w:r>
      <w:r>
        <w:rPr>
          <w:rFonts w:ascii="Barlow Semi Condensed" w:cs="Barlow Semi Condensed" w:eastAsia="Barlow Semi Condensed" w:hAnsi="Barlow Semi Condensed"/>
          <w:b/>
          <w:bCs/>
          <w:sz w:val="24"/>
          <w:szCs w:val="24"/>
        </w:rPr>
        <w:t xml:space="preserve">1978</w:t>
      </w:r>
      <w:r>
        <w:rPr>
          <w:rFonts w:ascii="Barlow Semi Condensed" w:cs="Barlow Semi Condensed" w:eastAsia="Barlow Semi Condensed" w:hAnsi="Barlow Semi Condensed"/>
          <w:sz w:val="24"/>
          <w:szCs w:val="24"/>
        </w:rPr>
        <w:t xml:space="preserve"> l'ufficio politico della questura di Roma (UCIGOS) condusse </w:t>
      </w:r>
      <w:r>
        <w:rPr>
          <w:rFonts w:ascii="Barlow Semi Condensed" w:cs="Barlow Semi Condensed" w:eastAsia="Barlow Semi Condensed" w:hAnsi="Barlow Semi Condensed"/>
          <w:b/>
          <w:bCs/>
          <w:sz w:val="24"/>
          <w:szCs w:val="24"/>
        </w:rPr>
        <w:t xml:space="preserve">accertamenti continuativi sull'appartamento di via Montalcini 8</w:t>
      </w:r>
      <w:r>
        <w:rPr>
          <w:rFonts w:ascii="Barlow Semi Condensed" w:cs="Barlow Semi Condensed" w:eastAsia="Barlow Semi Condensed" w:hAnsi="Barlow Semi Condensed"/>
          <w:sz w:val="24"/>
          <w:szCs w:val="24"/>
        </w:rPr>
        <w:t xml:space="preserve"> — quello che i processi avrebbero poi accertato come l'unica prigione — e sulla sua proprietaria; l'osservazione, non impercettibile, fu notata dall'interessata, che nel giro di pochi mesi vendette e si trasferì; e </w:t>
      </w:r>
      <w:r>
        <w:rPr>
          <w:rFonts w:ascii="Barlow Semi Condensed" w:cs="Barlow Semi Condensed" w:eastAsia="Barlow Semi Condensed" w:hAnsi="Barlow Semi Condensed"/>
          <w:b/>
          <w:bCs/>
          <w:sz w:val="24"/>
          <w:szCs w:val="24"/>
        </w:rPr>
        <w:t xml:space="preserve">non fu riferita alla magistratura per due anni</w:t>
      </w:r>
      <w:r>
        <w:rPr>
          <w:rFonts w:ascii="Barlow Semi Condensed" w:cs="Barlow Semi Condensed" w:eastAsia="Barlow Semi Condensed" w:hAnsi="Barlow Semi Condensed"/>
          <w:sz w:val="24"/>
          <w:szCs w:val="24"/>
        </w:rPr>
        <w:t xml:space="preserve"> (SEDICidiMARZO, «L'enigma di via Montalcini 8» (http://www.sedicidimarzo.org/2018/01/lenigma-di-via-montalcini-8.html) e seconda parte (http://www.sedicidimarzo.org/2018/01/lenigma-di-via-montalcini-8-seconda.html)). Qui il flusso fallito non è ingresso né smistamento: è la </w:t>
      </w:r>
      <w:r>
        <w:rPr>
          <w:rFonts w:ascii="Barlow Semi Condensed" w:cs="Barlow Semi Condensed" w:eastAsia="Barlow Semi Condensed" w:hAnsi="Barlow Semi Condensed"/>
          <w:b/>
          <w:bCs/>
          <w:sz w:val="24"/>
          <w:szCs w:val="24"/>
        </w:rPr>
        <w:t xml:space="preserve">trasmissione all'autorità giudiziaria</w:t>
      </w:r>
      <w:r>
        <w:rPr>
          <w:rFonts w:ascii="Barlow Semi Condensed" w:cs="Barlow Semi Condensed" w:eastAsia="Barlow Semi Condensed" w:hAnsi="Barlow Semi Condensed"/>
          <w:sz w:val="24"/>
          <w:szCs w:val="24"/>
        </w:rPr>
        <w:t xml:space="preserve"> — il terzo segmento, e il più grave, perché tocca la separazione dei poteri.</w:t>
      </w:r>
    </w:p>
    <w:p>
      <w:pPr>
        <w:pStyle w:val="Heading3"/>
        <w:spacing w:after="80" w:before="160"/>
      </w:pPr>
      <w:r>
        <w:rPr>
          <w:rFonts w:ascii="Barlow Semi Condensed" w:cs="Barlow Semi Condensed" w:eastAsia="Barlow Semi Condensed" w:hAnsi="Barlow Semi Condensed"/>
          <w:sz w:val="24"/>
          <w:szCs w:val="24"/>
        </w:rPr>
        <w:t xml:space="preserve">Il quesito: la verifica empirica dell'accertamento Anselmi</w:t>
      </w:r>
    </w:p>
    <w:p>
      <w:pPr>
        <w:spacing w:after="120" w:line="276"/>
        <w:jc w:val="both"/>
      </w:pPr>
      <w:r>
        <w:rPr>
          <w:rFonts w:ascii="Barlow Semi Condensed" w:cs="Barlow Semi Condensed" w:eastAsia="Barlow Semi Condensed" w:hAnsi="Barlow Semi Condensed"/>
          <w:sz w:val="24"/>
          <w:szCs w:val="24"/>
        </w:rPr>
        <w:t xml:space="preserve">I tre campioni convergono su un disegno che una commissione ha già qualificato in generale: l'accertamento Anselmi sulla </w:t>
      </w:r>
      <w:r>
        <w:rPr>
          <w:rFonts w:ascii="Barlow Semi Condensed" w:cs="Barlow Semi Condensed" w:eastAsia="Barlow Semi Condensed" w:hAnsi="Barlow Semi Condensed"/>
          <w:b/>
          <w:bCs/>
          <w:sz w:val="24"/>
          <w:szCs w:val="24"/>
        </w:rPr>
        <w:t xml:space="preserve">concentrazione di fatto delle indagini al Viminale e sulla menomazione dell'autonomia dell'autorità giudiziaria</w:t>
      </w:r>
      <w:r>
        <w:rPr>
          <w:rFonts w:ascii="Barlow Semi Condensed" w:cs="Barlow Semi Condensed" w:eastAsia="Barlow Semi Condensed" w:hAnsi="Barlow Semi Condensed"/>
          <w:sz w:val="24"/>
          <w:szCs w:val="24"/>
        </w:rPr>
        <w:t xml:space="preserve"> (grado B, cfr. Scheda PE-1). Il registro delle segnalazioni è </w:t>
      </w:r>
      <w:r>
        <w:rPr>
          <w:rFonts w:ascii="Barlow Semi Condensed" w:cs="Barlow Semi Condensed" w:eastAsia="Barlow Semi Condensed" w:hAnsi="Barlow Semi Condensed"/>
          <w:b/>
          <w:bCs/>
          <w:sz w:val="24"/>
          <w:szCs w:val="24"/>
        </w:rPr>
        <w:t xml:space="preserve">il test empirico di quell'accertamento</w:t>
      </w:r>
      <w:r>
        <w:rPr>
          <w:rFonts w:ascii="Barlow Semi Condensed" w:cs="Barlow Semi Condensed" w:eastAsia="Barlow Semi Condensed" w:hAnsi="Barlow Semi Condensed"/>
          <w:sz w:val="24"/>
          <w:szCs w:val="24"/>
        </w:rPr>
        <w:t xml:space="preserve">: se la statistica documentale mostrasse che il flusso si interrompeva sistematicamente </w:t>
      </w:r>
      <w:r>
        <w:rPr>
          <w:rFonts w:ascii="Barlow Semi Condensed" w:cs="Barlow Semi Condensed" w:eastAsia="Barlow Semi Condensed" w:hAnsi="Barlow Semi Condensed"/>
          <w:i/>
          <w:iCs/>
          <w:sz w:val="24"/>
          <w:szCs w:val="24"/>
        </w:rPr>
        <w:t xml:space="preserve">fra gli apparati e la magistratura</w:t>
      </w:r>
      <w:r>
        <w:rPr>
          <w:rFonts w:ascii="Barlow Semi Condensed" w:cs="Barlow Semi Condensed" w:eastAsia="Barlow Semi Condensed" w:hAnsi="Barlow Semi Condensed"/>
          <w:sz w:val="24"/>
          <w:szCs w:val="24"/>
        </w:rPr>
        <w:t xml:space="preserve"> — come nei campioni Montalcini e Gradoli — l'accertamento generale diventerebbe misura; se mostrasse interruzioni distribuite e casuali, la spiegazione della negligenza da sovraccarico (sei milioni di persone controllate in 55 giorni) ne uscirebbe rafforzata. È un quesito ACH in forma statistica: </w:t>
      </w:r>
      <w:r>
        <w:rPr>
          <w:rFonts w:ascii="Barlow Semi Condensed" w:cs="Barlow Semi Condensed" w:eastAsia="Barlow Semi Condensed" w:hAnsi="Barlow Semi Condensed"/>
          <w:i/>
          <w:iCs/>
          <w:sz w:val="24"/>
          <w:szCs w:val="24"/>
        </w:rPr>
        <w:t xml:space="preserve">H1</w:t>
      </w:r>
      <w:r>
        <w:rPr>
          <w:rFonts w:ascii="Barlow Semi Condensed" w:cs="Barlow Semi Condensed" w:eastAsia="Barlow Semi Condensed" w:hAnsi="Barlow Semi Condensed"/>
          <w:sz w:val="24"/>
          <w:szCs w:val="24"/>
        </w:rPr>
        <w:t xml:space="preserve"> il collo di bottiglia da diluvio (interruzioni casuali, distribuite su tutti i segmenti); </w:t>
      </w:r>
      <w:r>
        <w:rPr>
          <w:rFonts w:ascii="Barlow Semi Condensed" w:cs="Barlow Semi Condensed" w:eastAsia="Barlow Semi Condensed" w:hAnsi="Barlow Semi Condensed"/>
          <w:i/>
          <w:iCs/>
          <w:sz w:val="24"/>
          <w:szCs w:val="24"/>
        </w:rPr>
        <w:t xml:space="preserve">H2</w:t>
      </w:r>
      <w:r>
        <w:rPr>
          <w:rFonts w:ascii="Barlow Semi Condensed" w:cs="Barlow Semi Condensed" w:eastAsia="Barlow Semi Condensed" w:hAnsi="Barlow Semi Condensed"/>
          <w:sz w:val="24"/>
          <w:szCs w:val="24"/>
        </w:rPr>
        <w:t xml:space="preserve"> il filtro sistematico (interruzioni concentrate sul segmento verso l'AG). </w:t>
      </w:r>
      <w:r>
        <w:rPr>
          <w:rFonts w:ascii="Barlow Semi Condensed" w:cs="Barlow Semi Condensed" w:eastAsia="Barlow Semi Condensed" w:hAnsi="Barlow Semi Condensed"/>
          <w:b/>
          <w:bCs/>
          <w:sz w:val="24"/>
          <w:szCs w:val="24"/>
        </w:rPr>
        <w:t xml:space="preserve">Evidenza discriminante: la distribuzione</w:t>
      </w:r>
      <w:r>
        <w:rPr>
          <w:rFonts w:ascii="Barlow Semi Condensed" w:cs="Barlow Semi Condensed" w:eastAsia="Barlow Semi Condensed" w:hAnsi="Barlow Semi Condensed"/>
          <w:sz w:val="24"/>
          <w:szCs w:val="24"/>
        </w:rPr>
        <w:t xml:space="preserve">, che solo il registro può dare.</w:t>
      </w:r>
    </w:p>
    <w:p>
      <w:pPr>
        <w:pStyle w:val="Heading3"/>
        <w:spacing w:after="80" w:before="160"/>
      </w:pPr>
      <w:r>
        <w:rPr>
          <w:rFonts w:ascii="Barlow Semi Condensed" w:cs="Barlow Semi Condensed" w:eastAsia="Barlow Semi Condensed" w:hAnsi="Barlow Semi Condensed"/>
          <w:sz w:val="24"/>
          <w:szCs w:val="24"/>
        </w:rPr>
        <w:t xml:space="preserve">L'atto raffinato, in quattro passi</w:t>
      </w:r>
    </w:p>
    <w:p>
      <w:pPr>
        <w:spacing w:after="120" w:line="276"/>
        <w:jc w:val="both"/>
      </w:pPr>
      <w:r>
        <w:rPr>
          <w:rFonts w:ascii="Barlow Semi Condensed" w:cs="Barlow Semi Condensed" w:eastAsia="Barlow Semi Condensed" w:hAnsi="Barlow Semi Condensed"/>
          <w:i/>
          <w:iCs/>
          <w:sz w:val="24"/>
          <w:szCs w:val="24"/>
        </w:rPr>
        <w:t xml:space="preserve">(a)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censimento dei protocolli d'ingresso</w:t>
      </w:r>
      <w:r>
        <w:rPr>
          <w:rFonts w:ascii="Barlow Semi Condensed" w:cs="Barlow Semi Condensed" w:eastAsia="Barlow Semi Condensed" w:hAnsi="Barlow Semi Condensed"/>
          <w:sz w:val="24"/>
          <w:szCs w:val="24"/>
        </w:rPr>
        <w:t xml:space="preserve">: i registri di protocollo di UCIGOS, questure e prefetture per il 16 marzo – 9 maggio 1978, nei versamenti del Viminale al fondo Direttiva Renzi — l'unità di conto è la singola segnalazione protocollata. </w:t>
      </w:r>
      <w:r>
        <w:rPr>
          <w:rFonts w:ascii="Barlow Semi Condensed" w:cs="Barlow Semi Condensed" w:eastAsia="Barlow Semi Condensed" w:hAnsi="Barlow Semi Condensed"/>
          <w:i/>
          <w:iCs/>
          <w:sz w:val="24"/>
          <w:szCs w:val="24"/>
        </w:rPr>
        <w:t xml:space="preserve">(b)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ricostruzione dei criteri di smistamento</w:t>
      </w:r>
      <w:r>
        <w:rPr>
          <w:rFonts w:ascii="Barlow Semi Condensed" w:cs="Barlow Semi Condensed" w:eastAsia="Barlow Semi Condensed" w:hAnsi="Barlow Semi Condensed"/>
          <w:sz w:val="24"/>
          <w:szCs w:val="24"/>
        </w:rPr>
        <w:t xml:space="preserve">: le disposizioni interne sul trattamento delle segnalazioni (chi decideva il seguito, con quale priorità, con quale obbligo di ritorno). </w:t>
      </w:r>
      <w:r>
        <w:rPr>
          <w:rFonts w:ascii="Barlow Semi Condensed" w:cs="Barlow Semi Condensed" w:eastAsia="Barlow Semi Condensed" w:hAnsi="Barlow Semi Condensed"/>
          <w:i/>
          <w:iCs/>
          <w:sz w:val="24"/>
          <w:szCs w:val="24"/>
        </w:rPr>
        <w:t xml:space="preserve">(c)</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tavola degli esiti</w:t>
      </w:r>
      <w:r>
        <w:rPr>
          <w:rFonts w:ascii="Barlow Semi Condensed" w:cs="Barlow Semi Condensed" w:eastAsia="Barlow Semi Condensed" w:hAnsi="Barlow Semi Condensed"/>
          <w:sz w:val="24"/>
          <w:szCs w:val="24"/>
        </w:rPr>
        <w:t xml:space="preserve">: per campione statistico se il fondo è troppo vasto — segnalazione per segnalazione: protocollata / smistata / seguita / con ritorno / trasmessa all'AG. </w:t>
      </w:r>
      <w:r>
        <w:rPr>
          <w:rFonts w:ascii="Barlow Semi Condensed" w:cs="Barlow Semi Condensed" w:eastAsia="Barlow Semi Condensed" w:hAnsi="Barlow Semi Condensed"/>
          <w:i/>
          <w:iCs/>
          <w:sz w:val="24"/>
          <w:szCs w:val="24"/>
        </w:rPr>
        <w:t xml:space="preserve">(d)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Il registro dei casi di mancata trasmissione alla magistratura</w:t>
      </w:r>
      <w:r>
        <w:rPr>
          <w:rFonts w:ascii="Barlow Semi Condensed" w:cs="Barlow Semi Condensed" w:eastAsia="Barlow Semi Condensed" w:hAnsi="Barlow Semi Condensed"/>
          <w:sz w:val="24"/>
          <w:szCs w:val="24"/>
        </w:rPr>
        <w:t xml:space="preserve">, con Montalcini e il 18 marzo di Gradoli come primi item: è la lista che trasforma episodi celebri in una serie documentale, e la serie in una distribuzione.</w:t>
      </w:r>
    </w:p>
    <w:p>
      <w:pPr>
        <w:pStyle w:val="Heading3"/>
        <w:spacing w:after="80" w:before="160"/>
      </w:pPr>
      <w:r>
        <w:rPr>
          <w:rFonts w:ascii="Barlow Semi Condensed" w:cs="Barlow Semi Condensed" w:eastAsia="Barlow Semi Condensed" w:hAnsi="Barlow Semi Condensed"/>
          <w:sz w:val="24"/>
          <w:szCs w:val="24"/>
        </w:rPr>
        <w:t xml:space="preserve">Errori da non ripetere, e criterio di chiusura</w:t>
      </w:r>
    </w:p>
    <w:p>
      <w:pPr>
        <w:spacing w:after="120" w:line="276"/>
        <w:jc w:val="both"/>
      </w:pPr>
      <w:r>
        <w:rPr>
          <w:rFonts w:ascii="Barlow Semi Condensed" w:cs="Barlow Semi Condensed" w:eastAsia="Barlow Semi Condensed" w:hAnsi="Barlow Semi Condensed"/>
          <w:sz w:val="24"/>
          <w:szCs w:val="24"/>
        </w:rPr>
        <w:t xml:space="preserve">Non usare il diluvio come alibi né come accusa: sei milioni di controlli spiegano </w:t>
      </w:r>
      <w:r>
        <w:rPr>
          <w:rFonts w:ascii="Barlow Semi Condensed" w:cs="Barlow Semi Condensed" w:eastAsia="Barlow Semi Condensed" w:hAnsi="Barlow Semi Condensed"/>
          <w:i/>
          <w:iCs/>
          <w:sz w:val="24"/>
          <w:szCs w:val="24"/>
        </w:rPr>
        <w:t xml:space="preserve">statisticamente</w:t>
      </w:r>
      <w:r>
        <w:rPr>
          <w:rFonts w:ascii="Barlow Semi Condensed" w:cs="Barlow Semi Condensed" w:eastAsia="Barlow Semi Condensed" w:hAnsi="Barlow Semi Condensed"/>
          <w:sz w:val="24"/>
          <w:szCs w:val="24"/>
        </w:rPr>
        <w:t xml:space="preserve"> la possibilità della negligenza e, insieme, rendono </w:t>
      </w:r>
      <w:r>
        <w:rPr>
          <w:rFonts w:ascii="Barlow Semi Condensed" w:cs="Barlow Semi Condensed" w:eastAsia="Barlow Semi Condensed" w:hAnsi="Barlow Semi Condensed"/>
          <w:i/>
          <w:iCs/>
          <w:sz w:val="24"/>
          <w:szCs w:val="24"/>
        </w:rPr>
        <w:t xml:space="preserve">misurabile</w:t>
      </w:r>
      <w:r>
        <w:rPr>
          <w:rFonts w:ascii="Barlow Semi Condensed" w:cs="Barlow Semi Condensed" w:eastAsia="Barlow Semi Condensed" w:hAnsi="Barlow Semi Condensed"/>
          <w:sz w:val="24"/>
          <w:szCs w:val="24"/>
        </w:rPr>
        <w:t xml:space="preserve"> l'anomalia — una nota con un indirizzo esatto pesa più di mille segnalazioni generiche, e il registro deve pesare, non solo contare. Non processare i funzionari del flusso: la scheda censisce protocolli, non condotte, e ogni qualificazione spetterebbe alle autorità. Non dimenticare che il registro è </w:t>
      </w:r>
      <w:r>
        <w:rPr>
          <w:rFonts w:ascii="Barlow Semi Condensed" w:cs="Barlow Semi Condensed" w:eastAsia="Barlow Semi Condensed" w:hAnsi="Barlow Semi Condensed"/>
          <w:i/>
          <w:iCs/>
          <w:sz w:val="24"/>
          <w:szCs w:val="24"/>
        </w:rPr>
        <w:t xml:space="preserve">duale</w:t>
      </w:r>
      <w:r>
        <w:rPr>
          <w:rFonts w:ascii="Barlow Semi Condensed" w:cs="Barlow Semi Condensed" w:eastAsia="Barlow Semi Condensed" w:hAnsi="Barlow Semi Condensed"/>
          <w:sz w:val="24"/>
          <w:szCs w:val="24"/>
        </w:rPr>
        <w:t xml:space="preserve">: misura le omissioni e insieme riabilita — ogni segnalazione che risulti correttamente lavorata è un pezzo di apparato che fece il suo dovere nel diluvio, e anche questo il registro lo mostrerà.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statistica documentale del tasso di seguito</w:t>
      </w:r>
      <w:r>
        <w:rPr>
          <w:rFonts w:ascii="Barlow Semi Condensed" w:cs="Barlow Semi Condensed" w:eastAsia="Barlow Semi Condensed" w:hAnsi="Barlow Semi Condensed"/>
          <w:sz w:val="24"/>
          <w:szCs w:val="24"/>
        </w:rPr>
        <w:t xml:space="preserve"> — la colonna d'ingresso accostata finalmente alle quattro colonne d'uscita — e la </w:t>
      </w:r>
      <w:r>
        <w:rPr>
          <w:rFonts w:ascii="Barlow Semi Condensed" w:cs="Barlow Semi Condensed" w:eastAsia="Barlow Semi Condensed" w:hAnsi="Barlow Semi Condensed"/>
          <w:b/>
          <w:bCs/>
          <w:sz w:val="24"/>
          <w:szCs w:val="24"/>
        </w:rPr>
        <w:t xml:space="preserve">distribuzione delle interruzioni per segmento</w:t>
      </w:r>
      <w:r>
        <w:rPr>
          <w:rFonts w:ascii="Barlow Semi Condensed" w:cs="Barlow Semi Condensed" w:eastAsia="Barlow Semi Condensed" w:hAnsi="Barlow Semi Condensed"/>
          <w:sz w:val="24"/>
          <w:szCs w:val="24"/>
        </w:rPr>
        <w:t xml:space="preserve">, che decide fra H1 e H2. È l'ultima tavola che manca alla contabilità dei 55 giorni; ed è, come tutte le piste di questo programma, interamente fatta di carte che </w:t>
      </w:r>
      <w:r>
        <w:rPr>
          <w:rFonts w:ascii="Barlow Semi Condensed" w:cs="Barlow Semi Condensed" w:eastAsia="Barlow Semi Condensed" w:hAnsi="Barlow Semi Condensed"/>
          <w:i/>
          <w:iCs/>
          <w:sz w:val="24"/>
          <w:szCs w:val="24"/>
        </w:rPr>
        <w:t xml:space="preserve">devono</w:t>
      </w:r>
      <w:r>
        <w:rPr>
          <w:rFonts w:ascii="Barlow Semi Condensed" w:cs="Barlow Semi Condensed" w:eastAsia="Barlow Semi Condensed" w:hAnsi="Barlow Semi Condensed"/>
          <w:sz w:val="24"/>
          <w:szCs w:val="24"/>
        </w:rPr>
        <w:t xml:space="preserve"> esistere: un protocollo, per definizione, o c'è — o la sua assenza è il dato.</w:t>
      </w:r>
    </w:p>
    <w:p>
      <w:pPr>
        <w:pStyle w:val="Heading2"/>
        <w:spacing w:after="100" w:before="200"/>
      </w:pPr>
      <w:r>
        <w:rPr>
          <w:rFonts w:ascii="Barlow Semi Condensed" w:cs="Barlow Semi Condensed" w:eastAsia="Barlow Semi Condensed" w:hAnsi="Barlow Semi Condensed"/>
          <w:sz w:val="24"/>
          <w:szCs w:val="24"/>
        </w:rPr>
        <w:t xml:space="preserve">La lezione delle schede</w:t>
      </w:r>
    </w:p>
    <w:p>
      <w:pPr>
        <w:spacing w:after="120" w:line="276"/>
        <w:jc w:val="both"/>
      </w:pPr>
      <w:r>
        <w:rPr>
          <w:rFonts w:ascii="Barlow Semi Condensed" w:cs="Barlow Semi Condensed" w:eastAsia="Barlow Semi Condensed" w:hAnsi="Barlow Semi Condensed"/>
          <w:sz w:val="24"/>
          <w:szCs w:val="24"/>
        </w:rPr>
        <w:t xml:space="preserve">Le piste del capitolo entità condividono una struttura che l'approfondimento ha reso visibile: in tutte, </w:t>
      </w:r>
      <w:r>
        <w:rPr>
          <w:rFonts w:ascii="Barlow Semi Condensed" w:cs="Barlow Semi Condensed" w:eastAsia="Barlow Semi Condensed" w:hAnsi="Barlow Semi Condensed"/>
          <w:b/>
          <w:bCs/>
          <w:sz w:val="24"/>
          <w:szCs w:val="24"/>
        </w:rPr>
        <w:t xml:space="preserve">il quesito non è mai «chi è colpevole» ma «dove sono le carte di un procedimento che esiste per definizione»</w:t>
      </w:r>
      <w:r>
        <w:rPr>
          <w:rFonts w:ascii="Barlow Semi Condensed" w:cs="Barlow Semi Condensed" w:eastAsia="Barlow Semi Condensed" w:hAnsi="Barlow Semi Condensed"/>
          <w:sz w:val="24"/>
          <w:szCs w:val="24"/>
        </w:rPr>
        <w:t xml:space="preserve"> — un comitato produce verbali, una nota ha un protocollo, una squadra ha un ordine di servizio, i vigili hanno un fascicolo, gli elenchi hanno date. È la differenza strutturale fra questo programma e quarant'anni di dietrologia sulle stesse materie: la dietrologia parte dall'ipotesi e cerca conferme; queste schede partono dal </w:t>
      </w:r>
      <w:r>
        <w:rPr>
          <w:rFonts w:ascii="Barlow Semi Condensed" w:cs="Barlow Semi Condensed" w:eastAsia="Barlow Semi Condensed" w:hAnsi="Barlow Semi Condensed"/>
          <w:b/>
          <w:bCs/>
          <w:sz w:val="24"/>
          <w:szCs w:val="24"/>
        </w:rPr>
        <w:t xml:space="preserve">documento dovuto</w:t>
      </w:r>
      <w:r>
        <w:rPr>
          <w:rFonts w:ascii="Barlow Semi Condensed" w:cs="Barlow Semi Condensed" w:eastAsia="Barlow Semi Condensed" w:hAnsi="Barlow Semi Condensed"/>
          <w:sz w:val="24"/>
          <w:szCs w:val="24"/>
        </w:rPr>
        <w:t xml:space="preserve"> e ne verificano l'esistenza. Se c'è, parla; se non c'è, la sua assenza — in un apparato che aveva l'obbligo di produrlo — è essa stessa la risposta di grado più alto che il caso possa ancora dare.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Approfondimento integrale delle sei piste su entità e strutture del programma investigativo (PE-1…PE-6), in formato scheda: la mappa dei tre livelli dei comitati del Viminale (col comitato di esperti mai riunito collegialmente), le appartenenze P2 documentate (Santovito tessera 1630, Grassini; la divergenza sulla data di Ferracuti riportata e dirimibile dal censimento), la qualificazione istituzionale di «inattendibilità» delle lettere di Moro come quesito documentale; la sequenza integrale dei trenta giorni di via Gradoli (la nota Mokbel, il campanello del 18 marzo, la doccia del 18 aprile, il triplo evento) coi due quesiti ACH e le evidenze discriminanti (la catena protocollare; i rilievi fotografici del bagno). Per PE-2: i due strati degli accertamenti (relazione Moro 2; dibattimento di Bologna 2021 — Catracchia amministratore unico di Caseroma e Immobiliare Gradoli collegata a Fidrev; i quattro immobili riferiti a Parisi 1979-1986; la presenza NAR 1981), la disciplina delle date (la finestra del caso è 1975-1978), il quesito ACH a tre ipotesi con la conservatoria come unica evidenza discriminante, la tavola cronologica proprietà×tempo come atto. Per PE-4: il canale Curioni-Fabbri con l'intermediario rimasto ignoto, il denaro mostrato dal papa sotto il panno (le fascette di banca ebraica, ~10 miliardi; il finanziatore Flatto-Sharon da accertamento Moro 2), la filologia della lettera (la variante «senza alcuna imbarazzante condizione» corretta sotto dettatura di Macchi) e il doppio binario documentato, i tre quesiti ACH (l'intermediario; la sorte del denaro; l'edizione critica delle stesure) coi verbali di perquisizione dei covi come atto già esistente. Per PE-5: il caso FOIA R-2021-002xx interno al corpus coi suoi numeri di controllo, i due giacimenti (NARA AAD coi telegrammi 1978 e le withdrawal cards come censimento del trattenuto; la FOIA Library), la regola dell'originatore per gli atti di origine alleata custoditi in Italia, i tre quesiti enumerativi e la tavola rilasciato/trattenuto come esito. Per PE-6: la macchina misurata a metà (le quattro colonne d'uscita verificate — 72.460 posti di blocco, 37.702 perquisizioni, 6,4 milioni di persone, 3,4 milioni di veicoli — contro la colonna d'ingresso mai prodotta), i tre campioni documentati del flusso (Mokbel; Zappolino; l'osservazione UCIGOS su via Montalcini 8 dell'estate-ottobre 1978 non riferita alla magistratura per due anni), il quesito come verifica empirica dell'accertamento Anselmi (collo di bottiglia da diluvio vs filtro sistematico, con la distribuzione delle interruzioni come evidenza discriminante), e la statistica documentale del tasso di seguito come esito. Atti in quattro passi, errori da non ripetere, criteri di chiusura. Le persone nominate solo per fatti d'ufficio o di giudicato; l'iscrizione non è condotta; la negligenza non diventa dolo per impazienza; ogni quesito ha per esito un documento.</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Le schede delle entità</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III: 5.428 parole in 8 sezioni; la più ampia è §5 Scheda PE, con 922.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III: 28 indirizzi di fonte citati, addensati in 6 sezioni su 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quattro colonne d'uscita documentate della macchina; l'ingresso mai misurato (scheda PE-6).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Lo sforzo nazionale e la sua quota romana: le perquisizioni domiciliari sono la sola voce in cui Roma pesa oltre un decimo.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Lo stesso spiegamento diviso per i giorni che durò: la misura dello sforzo quotidiano, non del suo esito.</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IV. Il manuale del nuovo Caso Moro (400 blocchi)</w:t>
      </w:r>
    </w:p>
    <w:p>
      <w:pPr>
        <w:pStyle w:val="Heading1"/>
        <w:spacing w:after="120" w:before="240"/>
      </w:pPr>
      <w:r>
        <w:rPr>
          <w:rFonts w:ascii="Barlow Semi Condensed" w:cs="Barlow Semi Condensed" w:eastAsia="Barlow Semi Condensed" w:hAnsi="Barlow Semi Condensed"/>
          <w:sz w:val="24"/>
          <w:szCs w:val="24"/>
        </w:rPr>
        <w:t xml:space="preserve">Il nuovo Caso Moro</w:t>
      </w:r>
    </w:p>
    <w:p>
      <w:pPr>
        <w:pStyle w:val="Heading2"/>
        <w:spacing w:after="100" w:before="200"/>
      </w:pPr>
      <w:r>
        <w:rPr>
          <w:rFonts w:ascii="Barlow Semi Condensed" w:cs="Barlow Semi Condensed" w:eastAsia="Barlow Semi Condensed" w:hAnsi="Barlow Semi Condensed"/>
          <w:sz w:val="24"/>
          <w:szCs w:val="24"/>
        </w:rPr>
        <w:t xml:space="preserve">Manuale operativo delle attività investigative, in quattrocento blocchi mirati</w:t>
      </w:r>
    </w:p>
    <w:p>
      <w:pPr>
        <w:pStyle w:val="Heading3"/>
        <w:spacing w:after="80" w:before="160"/>
      </w:pPr>
      <w:r>
        <w:rPr>
          <w:rFonts w:ascii="Barlow Semi Condensed" w:cs="Barlow Semi Condensed" w:eastAsia="Barlow Semi Condensed" w:hAnsi="Barlow Semi Condensed"/>
          <w:sz w:val="24"/>
          <w:szCs w:val="24"/>
        </w:rPr>
        <w:t xml:space="preserve">Seconda edizione accresciuta</w:t>
      </w:r>
    </w:p>
    <w:p>
      <w:pPr>
        <w:spacing w:after="120" w:line="276"/>
        <w:jc w:val="both"/>
      </w:pPr>
      <w:r>
        <w:rPr>
          <w:rFonts w:ascii="Barlow Semi Condensed" w:cs="Barlow Semi Condensed" w:eastAsia="Barlow Semi Condensed" w:hAnsi="Barlow Semi Condensed"/>
          <w:i/>
          <w:iCs/>
          <w:sz w:val="24"/>
          <w:szCs w:val="24"/>
        </w:rPr>
        <w:t xml:space="preserve">Documento titanico — 25 agosto 2026 · Compimento del programma investigativo del corpus</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 manuale.</w:t>
      </w:r>
      <w:r>
        <w:rPr>
          <w:rFonts w:ascii="Barlow Semi Condensed" w:cs="Barlow Semi Condensed" w:eastAsia="Barlow Semi Condensed" w:hAnsi="Barlow Semi Condensed"/>
          <w:i w:val="false"/>
          <w:iCs w:val="false"/>
          <w:sz w:val="24"/>
          <w:szCs w:val="24"/>
        </w:rPr>
        <w:t xml:space="preserve"> Questo documento dice </w:t>
      </w:r>
      <w:r>
        <w:rPr>
          <w:rFonts w:ascii="Barlow Semi Condensed" w:cs="Barlow Semi Condensed" w:eastAsia="Barlow Semi Condensed" w:hAnsi="Barlow Semi Condensed"/>
          <w:b/>
          <w:bCs/>
          <w:i w:val="false"/>
          <w:iCs w:val="false"/>
          <w:sz w:val="24"/>
          <w:szCs w:val="24"/>
        </w:rPr>
        <w:t xml:space="preserve">come dovrebbero svolgersi le attività investigative per il nuovo Caso Moro</w:t>
      </w:r>
      <w:r>
        <w:rPr>
          <w:rFonts w:ascii="Barlow Semi Condensed" w:cs="Barlow Semi Condensed" w:eastAsia="Barlow Semi Condensed" w:hAnsi="Barlow Semi Condensed"/>
          <w:i w:val="false"/>
          <w:iCs w:val="false"/>
          <w:sz w:val="24"/>
          <w:szCs w:val="24"/>
        </w:rPr>
        <w:t xml:space="preserve"> — il caso quale oggi esiste: un fascicolo giudiziario aperto a Roma, un giacimento archivistico versato e in parte inesplorato, reperti che le scienze attuali possono interrogare di nuovo, testimoni che il tempo sta chiudendo, e quarantott'anni di errori di metodo da non ripetere. È scritto in </w:t>
      </w:r>
      <w:r>
        <w:rPr>
          <w:rFonts w:ascii="Barlow Semi Condensed" w:cs="Barlow Semi Condensed" w:eastAsia="Barlow Semi Condensed" w:hAnsi="Barlow Semi Condensed"/>
          <w:b/>
          <w:bCs/>
          <w:i w:val="false"/>
          <w:iCs w:val="false"/>
          <w:sz w:val="24"/>
          <w:szCs w:val="24"/>
        </w:rPr>
        <w:t xml:space="preserve">quattrocento blocchi mirati</w:t>
      </w:r>
      <w:r>
        <w:rPr>
          <w:rFonts w:ascii="Barlow Semi Condensed" w:cs="Barlow Semi Condensed" w:eastAsia="Barlow Semi Condensed" w:hAnsi="Barlow Semi Condensed"/>
          <w:i w:val="false"/>
          <w:iCs w:val="false"/>
          <w:sz w:val="24"/>
          <w:szCs w:val="24"/>
        </w:rPr>
        <w:t xml:space="preserve">, numerati in quindici serie, ciascuna col proprio statuto — trecento della prima edizione, cento della seconda edizione accresciuta (serie undicesima-quindicesima: il cantiere digitale, gli strumenti giuridici, il controllo di qualità e i bias, il raccordo esecutivo, le contingenze) — l'architettura del Dossier maggiore applicata alla materia operativa. Ogni blocco è un'unità autonoma: un principio, un atto, un protocollo, un errore col suo antidoto, un criterio. Nulla di ciò che segue nomina un colpevole atteso: il manuale organizza </w:t>
      </w:r>
      <w:r>
        <w:rPr>
          <w:rFonts w:ascii="Barlow Semi Condensed" w:cs="Barlow Semi Condensed" w:eastAsia="Barlow Semi Condensed" w:hAnsi="Barlow Semi Condensed"/>
          <w:b/>
          <w:bCs/>
          <w:i w:val="false"/>
          <w:iCs w:val="false"/>
          <w:sz w:val="24"/>
          <w:szCs w:val="24"/>
        </w:rPr>
        <w:t xml:space="preserve">atti</w:t>
      </w:r>
      <w:r>
        <w:rPr>
          <w:rFonts w:ascii="Barlow Semi Condensed" w:cs="Barlow Semi Condensed" w:eastAsia="Barlow Semi Condensed" w:hAnsi="Barlow Semi Condensed"/>
          <w:i w:val="false"/>
          <w:iCs w:val="false"/>
          <w:sz w:val="24"/>
          <w:szCs w:val="24"/>
        </w:rPr>
        <w:t xml:space="preserve">, e vale in ogni blocco la disciplina del corpus — i gradi, l'ACH, l'anello debole, il registro chiuso del giudicato, gli assolti che restano assolti. Ogni fatto richiamato è stato verificato nelle schede del programma, dove stanno le fonti con indirizzo.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I principi costitutivi (blocchi 1-20)</w:t>
      </w:r>
    </w:p>
    <w:p>
      <w:pPr>
        <w:spacing w:after="120" w:line="276"/>
        <w:jc w:val="both"/>
      </w:pPr>
      <w:r>
        <w:rPr>
          <w:rFonts w:ascii="Barlow Semi Condensed" w:cs="Barlow Semi Condensed" w:eastAsia="Barlow Semi Condensed" w:hAnsi="Barlow Semi Condensed"/>
          <w:i/>
          <w:iCs/>
          <w:sz w:val="24"/>
          <w:szCs w:val="24"/>
        </w:rPr>
        <w:t xml:space="preserve">Statuto della serie: la costituzione dell'indagine. Venti principi che governano ogni atto delle serie successive; chi ne viola uno esce dal metodo, qualunque risultato ottenga.</w:t>
      </w:r>
    </w:p>
    <w:p>
      <w:pPr>
        <w:spacing w:after="120" w:line="276"/>
        <w:jc w:val="both"/>
      </w:pPr>
      <w:r>
        <w:rPr>
          <w:rFonts w:ascii="Barlow Semi Condensed" w:cs="Barlow Semi Condensed" w:eastAsia="Barlow Semi Condensed" w:hAnsi="Barlow Semi Condensed"/>
          <w:b/>
          <w:bCs/>
          <w:sz w:val="24"/>
          <w:szCs w:val="24"/>
        </w:rPr>
        <w:t xml:space="preserve">1 · Il fine.</w:t>
      </w:r>
      <w:r>
        <w:rPr>
          <w:rFonts w:ascii="Barlow Semi Condensed" w:cs="Barlow Semi Condensed" w:eastAsia="Barlow Semi Condensed" w:hAnsi="Barlow Semi Condensed"/>
          <w:sz w:val="24"/>
          <w:szCs w:val="24"/>
        </w:rPr>
        <w:t xml:space="preserve"> L'indagine produce atti, non colpevoli: il suo esito naturale è un documento — una perizia, una tavola, un registro, una deposizione — mai un nome atteso. Se un atto identificherà responsabilità, le qualificherà l'autorità giudiziaria.</w:t>
      </w:r>
    </w:p>
    <w:p>
      <w:pPr>
        <w:spacing w:after="120" w:line="276"/>
        <w:jc w:val="both"/>
      </w:pPr>
      <w:r>
        <w:rPr>
          <w:rFonts w:ascii="Barlow Semi Condensed" w:cs="Barlow Semi Condensed" w:eastAsia="Barlow Semi Condensed" w:hAnsi="Barlow Semi Condensed"/>
          <w:b/>
          <w:bCs/>
          <w:sz w:val="24"/>
          <w:szCs w:val="24"/>
        </w:rPr>
        <w:t xml:space="preserve">2 · Il pavimento.</w:t>
      </w:r>
      <w:r>
        <w:rPr>
          <w:rFonts w:ascii="Barlow Semi Condensed" w:cs="Barlow Semi Condensed" w:eastAsia="Barlow Semi Condensed" w:hAnsi="Barlow Semi Condensed"/>
          <w:sz w:val="24"/>
          <w:szCs w:val="24"/>
        </w:rPr>
        <w:t xml:space="preserve"> Il giudicato dei cinque processi è il punto d'appoggio, non un'opinione fra le altre: tredici responsabilità personali accertate, sei vittime in testa a ogni pagina. Chi voglia sostenere altro deve portare prove di rango almeno pari.</w:t>
      </w:r>
    </w:p>
    <w:p>
      <w:pPr>
        <w:spacing w:after="120" w:line="276"/>
        <w:jc w:val="both"/>
      </w:pPr>
      <w:r>
        <w:rPr>
          <w:rFonts w:ascii="Barlow Semi Condensed" w:cs="Barlow Semi Condensed" w:eastAsia="Barlow Semi Condensed" w:hAnsi="Barlow Semi Condensed"/>
          <w:b/>
          <w:bCs/>
          <w:sz w:val="24"/>
          <w:szCs w:val="24"/>
        </w:rPr>
        <w:t xml:space="preserve">3 · Il registro chiuso.</w:t>
      </w:r>
      <w:r>
        <w:rPr>
          <w:rFonts w:ascii="Barlow Semi Condensed" w:cs="Barlow Semi Condensed" w:eastAsia="Barlow Semi Condensed" w:hAnsi="Barlow Semi Condensed"/>
          <w:sz w:val="24"/>
          <w:szCs w:val="24"/>
        </w:rPr>
        <w:t xml:space="preserve"> Nessun atto del nuovo caso aggiunge nomi al registro per suggestione: il registro cresce solo per nuovo giudicato, e gli assolti restano assolti — il caso Algranati è la pietra di paragone permanente.</w:t>
      </w:r>
    </w:p>
    <w:p>
      <w:pPr>
        <w:spacing w:after="120" w:line="276"/>
        <w:jc w:val="both"/>
      </w:pPr>
      <w:r>
        <w:rPr>
          <w:rFonts w:ascii="Barlow Semi Condensed" w:cs="Barlow Semi Condensed" w:eastAsia="Barlow Semi Condensed" w:hAnsi="Barlow Semi Condensed"/>
          <w:b/>
          <w:bCs/>
          <w:sz w:val="24"/>
          <w:szCs w:val="24"/>
        </w:rPr>
        <w:t xml:space="preserve">4 · I gradi.</w:t>
      </w:r>
      <w:r>
        <w:rPr>
          <w:rFonts w:ascii="Barlow Semi Condensed" w:cs="Barlow Semi Condensed" w:eastAsia="Barlow Semi Condensed" w:hAnsi="Barlow Semi Condensed"/>
          <w:sz w:val="24"/>
          <w:szCs w:val="24"/>
        </w:rPr>
        <w:t xml:space="preserve"> Ogni acquisizione entra nel fascicolo col suo grado dichiarato — A giudicato, B accertamento, C congettura, F fatto pubblico, Stato Zero l'assenza documentata — e nessuna voce sale di grado per accumulo di suggestioni.</w:t>
      </w:r>
    </w:p>
    <w:p>
      <w:pPr>
        <w:spacing w:after="120" w:line="276"/>
        <w:jc w:val="both"/>
      </w:pPr>
      <w:r>
        <w:rPr>
          <w:rFonts w:ascii="Barlow Semi Condensed" w:cs="Barlow Semi Condensed" w:eastAsia="Barlow Semi Condensed" w:hAnsi="Barlow Semi Condensed"/>
          <w:b/>
          <w:bCs/>
          <w:sz w:val="24"/>
          <w:szCs w:val="24"/>
        </w:rPr>
        <w:t xml:space="preserve">5 · La regola personalistica.</w:t>
      </w:r>
      <w:r>
        <w:rPr>
          <w:rFonts w:ascii="Barlow Semi Condensed" w:cs="Barlow Semi Condensed" w:eastAsia="Barlow Semi Condensed" w:hAnsi="Barlow Semi Condensed"/>
          <w:sz w:val="24"/>
          <w:szCs w:val="24"/>
        </w:rPr>
        <w:t xml:space="preserve"> La colpa non è mai del gruppo ed è sempre della persona; l'appartenenza — a un'organizzazione, a una loggia, a un ufficio — non è condotta; la parentela non è canale; la contemporaneità non è nesso.</w:t>
      </w:r>
    </w:p>
    <w:p>
      <w:pPr>
        <w:spacing w:after="120" w:line="276"/>
        <w:jc w:val="both"/>
      </w:pPr>
      <w:r>
        <w:rPr>
          <w:rFonts w:ascii="Barlow Semi Condensed" w:cs="Barlow Semi Condensed" w:eastAsia="Barlow Semi Condensed" w:hAnsi="Barlow Semi Condensed"/>
          <w:b/>
          <w:bCs/>
          <w:sz w:val="24"/>
          <w:szCs w:val="24"/>
        </w:rPr>
        <w:t xml:space="preserve">6 · L'anello debole.</w:t>
      </w:r>
      <w:r>
        <w:rPr>
          <w:rFonts w:ascii="Barlow Semi Condensed" w:cs="Barlow Semi Condensed" w:eastAsia="Barlow Semi Condensed" w:hAnsi="Barlow Semi Condensed"/>
          <w:sz w:val="24"/>
          <w:szCs w:val="24"/>
        </w:rPr>
        <w:t xml:space="preserve"> Il grado di una catena inferenziale è il minimo dei suoi anelli: un cammino che attraversi un solo passaggio biografico non sostiene alcuna inferenza operativa, per quanti giudicati contenga altrove.</w:t>
      </w:r>
    </w:p>
    <w:p>
      <w:pPr>
        <w:spacing w:after="120" w:line="276"/>
        <w:jc w:val="both"/>
      </w:pPr>
      <w:r>
        <w:rPr>
          <w:rFonts w:ascii="Barlow Semi Condensed" w:cs="Barlow Semi Condensed" w:eastAsia="Barlow Semi Condensed" w:hAnsi="Barlow Semi Condensed"/>
          <w:b/>
          <w:bCs/>
          <w:sz w:val="24"/>
          <w:szCs w:val="24"/>
        </w:rPr>
        <w:t xml:space="preserve">7 · La regola dei buchi.</w:t>
      </w:r>
      <w:r>
        <w:rPr>
          <w:rFonts w:ascii="Barlow Semi Condensed" w:cs="Barlow Semi Condensed" w:eastAsia="Barlow Semi Condensed" w:hAnsi="Barlow Semi Condensed"/>
          <w:sz w:val="24"/>
          <w:szCs w:val="24"/>
        </w:rPr>
        <w:t xml:space="preserve"> Dove la documentazione non ha archi, l'indagine misura il buco e lo dichiara: non lo riempie di narrazione. Ogni buco è una congettura possibile e non provata finché un documento non diventi arco.</w:t>
      </w:r>
    </w:p>
    <w:p>
      <w:pPr>
        <w:spacing w:after="120" w:line="276"/>
        <w:jc w:val="both"/>
      </w:pPr>
      <w:r>
        <w:rPr>
          <w:rFonts w:ascii="Barlow Semi Condensed" w:cs="Barlow Semi Condensed" w:eastAsia="Barlow Semi Condensed" w:hAnsi="Barlow Semi Condensed"/>
          <w:b/>
          <w:bCs/>
          <w:sz w:val="24"/>
          <w:szCs w:val="24"/>
        </w:rPr>
        <w:t xml:space="preserve">8 · L'ACH come grammatica.</w:t>
      </w:r>
      <w:r>
        <w:rPr>
          <w:rFonts w:ascii="Barlow Semi Condensed" w:cs="Barlow Semi Condensed" w:eastAsia="Barlow Semi Condensed" w:hAnsi="Barlow Semi Condensed"/>
          <w:sz w:val="24"/>
          <w:szCs w:val="24"/>
        </w:rPr>
        <w:t xml:space="preserve"> Ogni quesito si scrive come matrice di ipotesi contro evidenze, cercando l'evidenza che discrimina — quella incompatibile con almeno un'ipotesi. Un quesito senza evidenza discriminante possibile non è un quesito: è un'opinione.</w:t>
      </w:r>
    </w:p>
    <w:p>
      <w:pPr>
        <w:spacing w:after="120" w:line="276"/>
        <w:jc w:val="both"/>
      </w:pPr>
      <w:r>
        <w:rPr>
          <w:rFonts w:ascii="Barlow Semi Condensed" w:cs="Barlow Semi Condensed" w:eastAsia="Barlow Semi Condensed" w:hAnsi="Barlow Semi Condensed"/>
          <w:b/>
          <w:bCs/>
          <w:sz w:val="24"/>
          <w:szCs w:val="24"/>
        </w:rPr>
        <w:t xml:space="preserve">9 · Il primato del reperto.</w:t>
      </w:r>
      <w:r>
        <w:rPr>
          <w:rFonts w:ascii="Barlow Semi Condensed" w:cs="Barlow Semi Condensed" w:eastAsia="Barlow Semi Condensed" w:hAnsi="Barlow Semi Condensed"/>
          <w:sz w:val="24"/>
          <w:szCs w:val="24"/>
        </w:rPr>
        <w:t xml:space="preserve"> In un caso di mezzo secolo i ricordi si raccolgono per conservarli e si usano solo incrociati coi documenti; a decidere sono i reperti. La lezione Marini è scolpita: la corroborazione fisica si verifica prima di fondare qualunque cosa sulla parola.</w:t>
      </w:r>
    </w:p>
    <w:p>
      <w:pPr>
        <w:spacing w:after="120" w:line="276"/>
        <w:jc w:val="both"/>
      </w:pPr>
      <w:r>
        <w:rPr>
          <w:rFonts w:ascii="Barlow Semi Condensed" w:cs="Barlow Semi Condensed" w:eastAsia="Barlow Semi Condensed" w:hAnsi="Barlow Semi Condensed"/>
          <w:b/>
          <w:bCs/>
          <w:sz w:val="24"/>
          <w:szCs w:val="24"/>
        </w:rPr>
        <w:t xml:space="preserve">10 · Il documento dovuto.</w:t>
      </w:r>
      <w:r>
        <w:rPr>
          <w:rFonts w:ascii="Barlow Semi Condensed" w:cs="Barlow Semi Condensed" w:eastAsia="Barlow Semi Condensed" w:hAnsi="Barlow Semi Condensed"/>
          <w:sz w:val="24"/>
          <w:szCs w:val="24"/>
        </w:rPr>
        <w:t xml:space="preserve"> Il quesito operativo non è mai «chi è colpevole» ma «dove sono le carte di un procedimento che esiste per definizione»: un comitato produce verbali, una nota ha un protocollo, una squadra ha un ordine di servizio. Se il documento dovuto manca, l'assenza è essa stessa un dato di grado alto.</w:t>
      </w:r>
    </w:p>
    <w:p>
      <w:pPr>
        <w:spacing w:after="120" w:line="276"/>
        <w:jc w:val="both"/>
      </w:pPr>
      <w:r>
        <w:rPr>
          <w:rFonts w:ascii="Barlow Semi Condensed" w:cs="Barlow Semi Condensed" w:eastAsia="Barlow Semi Condensed" w:hAnsi="Barlow Semi Condensed"/>
          <w:b/>
          <w:bCs/>
          <w:sz w:val="24"/>
          <w:szCs w:val="24"/>
        </w:rPr>
        <w:t xml:space="preserve">11 · La falsificabilità degli atti.</w:t>
      </w:r>
      <w:r>
        <w:rPr>
          <w:rFonts w:ascii="Barlow Semi Condensed" w:cs="Barlow Semi Condensed" w:eastAsia="Barlow Semi Condensed" w:hAnsi="Barlow Semi Condensed"/>
          <w:sz w:val="24"/>
          <w:szCs w:val="24"/>
        </w:rPr>
        <w:t xml:space="preserve"> Ogni pista dichiara in anticipo il proprio criterio di chiusura — che cosa la chiuderebbe in un senso o nell'altro — e ogni priorità è essa stessa un'asserzione attaccabile: chi contesta un punteggio deve contestare un sotto-giudizio o un peso.</w:t>
      </w:r>
    </w:p>
    <w:p>
      <w:pPr>
        <w:spacing w:after="120" w:line="276"/>
        <w:jc w:val="both"/>
      </w:pPr>
      <w:r>
        <w:rPr>
          <w:rFonts w:ascii="Barlow Semi Condensed" w:cs="Barlow Semi Condensed" w:eastAsia="Barlow Semi Condensed" w:hAnsi="Barlow Semi Condensed"/>
          <w:b/>
          <w:bCs/>
          <w:sz w:val="24"/>
          <w:szCs w:val="24"/>
        </w:rPr>
        <w:t xml:space="preserve">12 · Il doppio esito come successo.</w:t>
      </w:r>
      <w:r>
        <w:rPr>
          <w:rFonts w:ascii="Barlow Semi Condensed" w:cs="Barlow Semi Condensed" w:eastAsia="Barlow Semi Condensed" w:hAnsi="Barlow Semi Condensed"/>
          <w:sz w:val="24"/>
          <w:szCs w:val="24"/>
        </w:rPr>
        <w:t xml:space="preserve"> Una pista ben posta guadagna in entrambi gli esiti: l'accertamento nuovo o la caduta documentale di una leggenda. Se un esito possibile non produrrebbe nulla, la pista è mal posta.</w:t>
      </w:r>
    </w:p>
    <w:p>
      <w:pPr>
        <w:spacing w:after="120" w:line="276"/>
        <w:jc w:val="both"/>
      </w:pPr>
      <w:r>
        <w:rPr>
          <w:rFonts w:ascii="Barlow Semi Condensed" w:cs="Barlow Semi Condensed" w:eastAsia="Barlow Semi Condensed" w:hAnsi="Barlow Semi Condensed"/>
          <w:b/>
          <w:bCs/>
          <w:sz w:val="24"/>
          <w:szCs w:val="24"/>
        </w:rPr>
        <w:t xml:space="preserve">13 · L'esito negativo.</w:t>
      </w:r>
      <w:r>
        <w:rPr>
          <w:rFonts w:ascii="Barlow Semi Condensed" w:cs="Barlow Semi Condensed" w:eastAsia="Barlow Semi Condensed" w:hAnsi="Barlow Semi Condensed"/>
          <w:sz w:val="24"/>
          <w:szCs w:val="24"/>
        </w:rPr>
        <w:t xml:space="preserve"> L'esaurimento certificato di un fondo, il diniego motivato, la comparazione senza riscontro sono acquisizioni di pieno valore: si verbalizzano con la stessa cura dei ritrovamenti.</w:t>
      </w:r>
    </w:p>
    <w:p>
      <w:pPr>
        <w:spacing w:after="120" w:line="276"/>
        <w:jc w:val="both"/>
      </w:pPr>
      <w:r>
        <w:rPr>
          <w:rFonts w:ascii="Barlow Semi Condensed" w:cs="Barlow Semi Condensed" w:eastAsia="Barlow Semi Condensed" w:hAnsi="Barlow Semi Condensed"/>
          <w:b/>
          <w:bCs/>
          <w:sz w:val="24"/>
          <w:szCs w:val="24"/>
        </w:rPr>
        <w:t xml:space="preserve">14 · La cronologia prima dell'interpretazione.</w:t>
      </w:r>
      <w:r>
        <w:rPr>
          <w:rFonts w:ascii="Barlow Semi Condensed" w:cs="Barlow Semi Condensed" w:eastAsia="Barlow Semi Condensed" w:hAnsi="Barlow Semi Condensed"/>
          <w:sz w:val="24"/>
          <w:szCs w:val="24"/>
        </w:rPr>
        <w:t xml:space="preserve"> Nessuna sovrapposizione di strati senza date: un acquisto del 1979 non prova nulla sul 1978, un'affiliazione da datare non pesa finché non è datata. Prima la tavola cronologica, poi ogni lettura.</w:t>
      </w:r>
    </w:p>
    <w:p>
      <w:pPr>
        <w:spacing w:after="120" w:line="276"/>
        <w:jc w:val="both"/>
      </w:pPr>
      <w:r>
        <w:rPr>
          <w:rFonts w:ascii="Barlow Semi Condensed" w:cs="Barlow Semi Condensed" w:eastAsia="Barlow Semi Condensed" w:hAnsi="Barlow Semi Condensed"/>
          <w:b/>
          <w:bCs/>
          <w:sz w:val="24"/>
          <w:szCs w:val="24"/>
        </w:rPr>
        <w:t xml:space="preserve">15 · Le divergenze si riportano.</w:t>
      </w:r>
      <w:r>
        <w:rPr>
          <w:rFonts w:ascii="Barlow Semi Condensed" w:cs="Barlow Semi Condensed" w:eastAsia="Barlow Semi Condensed" w:hAnsi="Barlow Semi Condensed"/>
          <w:sz w:val="24"/>
          <w:szCs w:val="24"/>
        </w:rPr>
        <w:t xml:space="preserve"> Dove fonti o perizie divergono — i 49 bossoli, la data di un'affiliazione, la lettura di un numero OCR — la divergenza si dichiara e si affida all'atto che può dirimerla, mai alla preferenza.</w:t>
      </w:r>
    </w:p>
    <w:p>
      <w:pPr>
        <w:spacing w:after="120" w:line="276"/>
        <w:jc w:val="both"/>
      </w:pPr>
      <w:r>
        <w:rPr>
          <w:rFonts w:ascii="Barlow Semi Condensed" w:cs="Barlow Semi Condensed" w:eastAsia="Barlow Semi Condensed" w:hAnsi="Barlow Semi Condensed"/>
          <w:b/>
          <w:bCs/>
          <w:sz w:val="24"/>
          <w:szCs w:val="24"/>
        </w:rPr>
        <w:t xml:space="preserve">16 · Le persone viventi.</w:t>
      </w:r>
      <w:r>
        <w:rPr>
          <w:rFonts w:ascii="Barlow Semi Condensed" w:cs="Barlow Semi Condensed" w:eastAsia="Barlow Semi Condensed" w:hAnsi="Barlow Semi Condensed"/>
          <w:sz w:val="24"/>
          <w:szCs w:val="24"/>
        </w:rPr>
        <w:t xml:space="preserve"> Si nominano solo per fatti documentati da atti, giudicati o dichiarazioni rese ad autorità; nessuna insinuazione, nessun «fu assolto, ma», nessuna richiesta di smentita a chi ha già risposto alle sedi proprie.</w:t>
      </w:r>
    </w:p>
    <w:p>
      <w:pPr>
        <w:spacing w:after="120" w:line="276"/>
        <w:jc w:val="both"/>
      </w:pPr>
      <w:r>
        <w:rPr>
          <w:rFonts w:ascii="Barlow Semi Condensed" w:cs="Barlow Semi Condensed" w:eastAsia="Barlow Semi Condensed" w:hAnsi="Barlow Semi Condensed"/>
          <w:b/>
          <w:bCs/>
          <w:sz w:val="24"/>
          <w:szCs w:val="24"/>
        </w:rPr>
        <w:t xml:space="preserve">17 · La negligenza e il dolo.</w:t>
      </w:r>
      <w:r>
        <w:rPr>
          <w:rFonts w:ascii="Barlow Semi Condensed" w:cs="Barlow Semi Condensed" w:eastAsia="Barlow Semi Condensed" w:hAnsi="Barlow Semi Condensed"/>
          <w:sz w:val="24"/>
          <w:szCs w:val="24"/>
        </w:rPr>
        <w:t xml:space="preserve"> La negligenza non diventa dolo per impazienza: fra il campanello del 18 marzo e la doccia del 18 aprile stanno entrambe le ipotesi, e solo le carte discriminano. Chi decide prima delle carte non sta indagando.</w:t>
      </w:r>
    </w:p>
    <w:p>
      <w:pPr>
        <w:spacing w:after="120" w:line="276"/>
        <w:jc w:val="both"/>
      </w:pPr>
      <w:r>
        <w:rPr>
          <w:rFonts w:ascii="Barlow Semi Condensed" w:cs="Barlow Semi Condensed" w:eastAsia="Barlow Semi Condensed" w:hAnsi="Barlow Semi Condensed"/>
          <w:b/>
          <w:bCs/>
          <w:sz w:val="24"/>
          <w:szCs w:val="24"/>
        </w:rPr>
        <w:t xml:space="preserve">18 · Le entità.</w:t>
      </w:r>
      <w:r>
        <w:rPr>
          <w:rFonts w:ascii="Barlow Semi Condensed" w:cs="Barlow Semi Condensed" w:eastAsia="Barlow Semi Condensed" w:hAnsi="Barlow Semi Condensed"/>
          <w:sz w:val="24"/>
          <w:szCs w:val="24"/>
        </w:rPr>
        <w:t xml:space="preserve"> Ministeri, servizi, logge, chiese e Stati si indagano per atti e omissioni documentati, mai come colpevoli collettivi; la responsabilità istituzionale non si trasmette alle persone, né viceversa.</w:t>
      </w:r>
    </w:p>
    <w:p>
      <w:pPr>
        <w:spacing w:after="120" w:line="276"/>
        <w:jc w:val="both"/>
      </w:pPr>
      <w:r>
        <w:rPr>
          <w:rFonts w:ascii="Barlow Semi Condensed" w:cs="Barlow Semi Condensed" w:eastAsia="Barlow Semi Condensed" w:hAnsi="Barlow Semi Condensed"/>
          <w:b/>
          <w:bCs/>
          <w:sz w:val="24"/>
          <w:szCs w:val="24"/>
        </w:rPr>
        <w:t xml:space="preserve">19 · Le vittime al centro.</w:t>
      </w:r>
      <w:r>
        <w:rPr>
          <w:rFonts w:ascii="Barlow Semi Condensed" w:cs="Barlow Semi Condensed" w:eastAsia="Barlow Semi Condensed" w:hAnsi="Barlow Semi Condensed"/>
          <w:sz w:val="24"/>
          <w:szCs w:val="24"/>
        </w:rPr>
        <w:t xml:space="preserve"> Oreste Leonardi, Domenico Ricci, Giulio Rivera, Francesco Zizzi, Raffaele Iozzino, Aldo Moro: ogni atto del nuovo caso si giustifica davanti a loro, non davanti alla curiosità. Ciò che non serve alla verità documentale non si fa.</w:t>
      </w:r>
    </w:p>
    <w:p>
      <w:pPr>
        <w:spacing w:after="120" w:line="276"/>
        <w:jc w:val="both"/>
      </w:pPr>
      <w:r>
        <w:rPr>
          <w:rFonts w:ascii="Barlow Semi Condensed" w:cs="Barlow Semi Condensed" w:eastAsia="Barlow Semi Condensed" w:hAnsi="Barlow Semi Condensed"/>
          <w:b/>
          <w:bCs/>
          <w:sz w:val="24"/>
          <w:szCs w:val="24"/>
        </w:rPr>
        <w:t xml:space="preserve">20 · Il congedo permanente del sospetto.</w:t>
      </w:r>
      <w:r>
        <w:rPr>
          <w:rFonts w:ascii="Barlow Semi Condensed" w:cs="Barlow Semi Condensed" w:eastAsia="Barlow Semi Condensed" w:hAnsi="Barlow Semi Condensed"/>
          <w:sz w:val="24"/>
          <w:szCs w:val="24"/>
        </w:rPr>
        <w:t xml:space="preserve"> Il manuale non congeda mai il metodo: dove il Dossier maggiore adotta la probabilità sui piani superiori, il nuovo caso resta popperiano dall'inizio alla fine — perché è un'indagine, e un'indagine che presume ha già fallito.</w:t>
      </w:r>
    </w:p>
    <w:p>
      <w:pPr>
        <w:pStyle w:val="Heading2"/>
        <w:spacing w:after="100" w:before="200"/>
      </w:pPr>
      <w:r>
        <w:rPr>
          <w:rFonts w:ascii="Barlow Semi Condensed" w:cs="Barlow Semi Condensed" w:eastAsia="Barlow Semi Condensed" w:hAnsi="Barlow Semi Condensed"/>
          <w:sz w:val="24"/>
          <w:szCs w:val="24"/>
        </w:rPr>
        <w:t xml:space="preserve">Serie seconda — L'architettura organizzativa (blocchi 21-45)</w:t>
      </w:r>
    </w:p>
    <w:p>
      <w:pPr>
        <w:spacing w:after="120" w:line="276"/>
        <w:jc w:val="both"/>
      </w:pPr>
      <w:r>
        <w:rPr>
          <w:rFonts w:ascii="Barlow Semi Condensed" w:cs="Barlow Semi Condensed" w:eastAsia="Barlow Semi Condensed" w:hAnsi="Barlow Semi Condensed"/>
          <w:i/>
          <w:iCs/>
          <w:sz w:val="24"/>
          <w:szCs w:val="24"/>
        </w:rPr>
        <w:t xml:space="preserve">Statuto della serie: chi fa che cosa. Il nuovo caso ha tre cantieri — giudiziario, archivistico, conservativo — e la serie ne disegna competenze, confini e raccordi.</w:t>
      </w:r>
    </w:p>
    <w:p>
      <w:pPr>
        <w:spacing w:after="120" w:line="276"/>
        <w:jc w:val="both"/>
      </w:pPr>
      <w:r>
        <w:rPr>
          <w:rFonts w:ascii="Barlow Semi Condensed" w:cs="Barlow Semi Condensed" w:eastAsia="Barlow Semi Condensed" w:hAnsi="Barlow Semi Condensed"/>
          <w:b/>
          <w:bCs/>
          <w:sz w:val="24"/>
          <w:szCs w:val="24"/>
        </w:rPr>
        <w:t xml:space="preserve">21 · I tre cantieri.</w:t>
      </w:r>
      <w:r>
        <w:rPr>
          <w:rFonts w:ascii="Barlow Semi Condensed" w:cs="Barlow Semi Condensed" w:eastAsia="Barlow Semi Condensed" w:hAnsi="Barlow Semi Condensed"/>
          <w:sz w:val="24"/>
          <w:szCs w:val="24"/>
        </w:rPr>
        <w:t xml:space="preserve"> Il cantiere giudiziario (Procura e GIP di Roma, sul fascicolo aperto), il cantiere archivistico (ACS e sedi collegate, sul giacimento versato), il cantiere conservativo (la raccolta di testimoni e lasciti che il tempo chiude). Corrono in parallelo e si alimentano; non si comandano a vicenda.</w:t>
      </w:r>
    </w:p>
    <w:p>
      <w:pPr>
        <w:spacing w:after="120" w:line="276"/>
        <w:jc w:val="both"/>
      </w:pPr>
      <w:r>
        <w:rPr>
          <w:rFonts w:ascii="Barlow Semi Condensed" w:cs="Barlow Semi Condensed" w:eastAsia="Barlow Semi Condensed" w:hAnsi="Barlow Semi Condensed"/>
          <w:b/>
          <w:bCs/>
          <w:sz w:val="24"/>
          <w:szCs w:val="24"/>
        </w:rPr>
        <w:t xml:space="preserve">22 · Il primato del fascicolo.</w:t>
      </w:r>
      <w:r>
        <w:rPr>
          <w:rFonts w:ascii="Barlow Semi Condensed" w:cs="Barlow Semi Condensed" w:eastAsia="Barlow Semi Condensed" w:hAnsi="Barlow Semi Condensed"/>
          <w:sz w:val="24"/>
          <w:szCs w:val="24"/>
        </w:rPr>
        <w:t xml:space="preserve"> Dove il fascicolo giudiziario lavora — perizie, comparazioni genetiche, reperti — nessun altro cantiere interferisce: gli studiosi consegnano quesiti scritti, non pretendono atti.</w:t>
      </w:r>
    </w:p>
    <w:p>
      <w:pPr>
        <w:spacing w:after="120" w:line="276"/>
        <w:jc w:val="both"/>
      </w:pPr>
      <w:r>
        <w:rPr>
          <w:rFonts w:ascii="Barlow Semi Condensed" w:cs="Barlow Semi Condensed" w:eastAsia="Barlow Semi Condensed" w:hAnsi="Barlow Semi Condensed"/>
          <w:b/>
          <w:bCs/>
          <w:sz w:val="24"/>
          <w:szCs w:val="24"/>
        </w:rPr>
        <w:t xml:space="preserve">23 · Il canale dei quesiti.</w:t>
      </w:r>
      <w:r>
        <w:rPr>
          <w:rFonts w:ascii="Barlow Semi Condensed" w:cs="Barlow Semi Condensed" w:eastAsia="Barlow Semi Condensed" w:hAnsi="Barlow Semi Condensed"/>
          <w:sz w:val="24"/>
          <w:szCs w:val="24"/>
        </w:rPr>
        <w:t xml:space="preserve"> Il contributo esterno lecito ha una sola forma: quesiti documentali formulati con criterio di smentita, depositati alle sedi competenti. Questo manuale ne è l'esempio integrale.</w:t>
      </w:r>
    </w:p>
    <w:p>
      <w:pPr>
        <w:spacing w:after="120" w:line="276"/>
        <w:jc w:val="both"/>
      </w:pPr>
      <w:r>
        <w:rPr>
          <w:rFonts w:ascii="Barlow Semi Condensed" w:cs="Barlow Semi Condensed" w:eastAsia="Barlow Semi Condensed" w:hAnsi="Barlow Semi Condensed"/>
          <w:b/>
          <w:bCs/>
          <w:sz w:val="24"/>
          <w:szCs w:val="24"/>
        </w:rPr>
        <w:t xml:space="preserve">24 · La sede archivistica.</w:t>
      </w:r>
      <w:r>
        <w:rPr>
          <w:rFonts w:ascii="Barlow Semi Condensed" w:cs="Barlow Semi Condensed" w:eastAsia="Barlow Semi Condensed" w:hAnsi="Barlow Semi Condensed"/>
          <w:sz w:val="24"/>
          <w:szCs w:val="24"/>
        </w:rPr>
        <w:t xml:space="preserve"> Lo spoglio del fondo Direttiva Renzi esige un progetto formale — responsabile scientifico, protocollo di citazione, inventario analitico pubblico — non incursioni episodiche di singoli ricercatori.</w:t>
      </w:r>
    </w:p>
    <w:p>
      <w:pPr>
        <w:spacing w:after="120" w:line="276"/>
        <w:jc w:val="both"/>
      </w:pPr>
      <w:r>
        <w:rPr>
          <w:rFonts w:ascii="Barlow Semi Condensed" w:cs="Barlow Semi Condensed" w:eastAsia="Barlow Semi Condensed" w:hAnsi="Barlow Semi Condensed"/>
          <w:b/>
          <w:bCs/>
          <w:sz w:val="24"/>
          <w:szCs w:val="24"/>
        </w:rPr>
        <w:t xml:space="preserve">25 · Il cantiere conservativo.</w:t>
      </w:r>
      <w:r>
        <w:rPr>
          <w:rFonts w:ascii="Barlow Semi Condensed" w:cs="Barlow Semi Condensed" w:eastAsia="Barlow Semi Condensed" w:hAnsi="Barlow Semi Condensed"/>
          <w:sz w:val="24"/>
          <w:szCs w:val="24"/>
        </w:rPr>
        <w:t xml:space="preserve"> La raccolta di testimonianze e lasciti richiede una sede terza qualificata (istituto storico, archivio pubblico) con protocolli notarili di acquisizione: non è giornalismo e non è processo — è conservazione.</w:t>
      </w:r>
    </w:p>
    <w:p>
      <w:pPr>
        <w:spacing w:after="120" w:line="276"/>
        <w:jc w:val="both"/>
      </w:pPr>
      <w:r>
        <w:rPr>
          <w:rFonts w:ascii="Barlow Semi Condensed" w:cs="Barlow Semi Condensed" w:eastAsia="Barlow Semi Condensed" w:hAnsi="Barlow Semi Condensed"/>
          <w:b/>
          <w:bCs/>
          <w:sz w:val="24"/>
          <w:szCs w:val="24"/>
        </w:rPr>
        <w:t xml:space="preserve">26 · Il coordinamento senza gerarchia.</w:t>
      </w:r>
      <w:r>
        <w:rPr>
          <w:rFonts w:ascii="Barlow Semi Condensed" w:cs="Barlow Semi Condensed" w:eastAsia="Barlow Semi Condensed" w:hAnsi="Barlow Semi Condensed"/>
          <w:sz w:val="24"/>
          <w:szCs w:val="24"/>
        </w:rPr>
        <w:t xml:space="preserve"> Un tavolo periodico fra i tre cantieri scambia elenchi di bisogni: il giudiziario dice quali carte cerca, l'archivistico dove sono, il conservativo chi può ancora parlarne. Nessuno dei tre dirige gli altri.</w:t>
      </w:r>
    </w:p>
    <w:p>
      <w:pPr>
        <w:spacing w:after="120" w:line="276"/>
        <w:jc w:val="both"/>
      </w:pPr>
      <w:r>
        <w:rPr>
          <w:rFonts w:ascii="Barlow Semi Condensed" w:cs="Barlow Semi Condensed" w:eastAsia="Barlow Semi Condensed" w:hAnsi="Barlow Semi Condensed"/>
          <w:b/>
          <w:bCs/>
          <w:sz w:val="24"/>
          <w:szCs w:val="24"/>
        </w:rPr>
        <w:t xml:space="preserve">27 · Il conflitto d'interessi.</w:t>
      </w:r>
      <w:r>
        <w:rPr>
          <w:rFonts w:ascii="Barlow Semi Condensed" w:cs="Barlow Semi Condensed" w:eastAsia="Barlow Semi Condensed" w:hAnsi="Barlow Semi Condensed"/>
          <w:sz w:val="24"/>
          <w:szCs w:val="24"/>
        </w:rPr>
        <w:t xml:space="preserve"> Chi ha sostenuto pubblicamente una tesi sul caso può servire i cantieri solo su atti che possono smentirla: la regola trasforma il pregiudizio in risorsa di controllo.</w:t>
      </w:r>
    </w:p>
    <w:p>
      <w:pPr>
        <w:spacing w:after="120" w:line="276"/>
        <w:jc w:val="both"/>
      </w:pPr>
      <w:r>
        <w:rPr>
          <w:rFonts w:ascii="Barlow Semi Condensed" w:cs="Barlow Semi Condensed" w:eastAsia="Barlow Semi Condensed" w:hAnsi="Barlow Semi Condensed"/>
          <w:b/>
          <w:bCs/>
          <w:sz w:val="24"/>
          <w:szCs w:val="24"/>
        </w:rPr>
        <w:t xml:space="preserve">28 · La pubblicità degli atti.</w:t>
      </w:r>
      <w:r>
        <w:rPr>
          <w:rFonts w:ascii="Barlow Semi Condensed" w:cs="Barlow Semi Condensed" w:eastAsia="Barlow Semi Condensed" w:hAnsi="Barlow Semi Condensed"/>
          <w:sz w:val="24"/>
          <w:szCs w:val="24"/>
        </w:rPr>
        <w:t xml:space="preserve"> Ogni prodotto non coperto da segreto istruttorio si pubblica con fonti e indirizzi: la tracciabilità è il solo antidoto strutturale alla dietrologia.</w:t>
      </w:r>
    </w:p>
    <w:p>
      <w:pPr>
        <w:spacing w:after="120" w:line="276"/>
        <w:jc w:val="both"/>
      </w:pPr>
      <w:r>
        <w:rPr>
          <w:rFonts w:ascii="Barlow Semi Condensed" w:cs="Barlow Semi Condensed" w:eastAsia="Barlow Semi Condensed" w:hAnsi="Barlow Semi Condensed"/>
          <w:b/>
          <w:bCs/>
          <w:sz w:val="24"/>
          <w:szCs w:val="24"/>
        </w:rPr>
        <w:t xml:space="preserve">29 · Il registro delle piste.</w:t>
      </w:r>
      <w:r>
        <w:rPr>
          <w:rFonts w:ascii="Barlow Semi Condensed" w:cs="Barlow Semi Condensed" w:eastAsia="Barlow Semi Condensed" w:hAnsi="Barlow Semi Condensed"/>
          <w:sz w:val="24"/>
          <w:szCs w:val="24"/>
        </w:rPr>
        <w:t xml:space="preserve"> Un documento pubblico e datato censisce ogni pista con stato, punteggio, atti compiuti e criterio di chiusura; le piste archiviate vi restano con il criterio di riapertura. Questo manuale ne fissa l'impianto.</w:t>
      </w:r>
    </w:p>
    <w:p>
      <w:pPr>
        <w:spacing w:after="120" w:line="276"/>
        <w:jc w:val="both"/>
      </w:pPr>
      <w:r>
        <w:rPr>
          <w:rFonts w:ascii="Barlow Semi Condensed" w:cs="Barlow Semi Condensed" w:eastAsia="Barlow Semi Condensed" w:hAnsi="Barlow Semi Condensed"/>
          <w:b/>
          <w:bCs/>
          <w:sz w:val="24"/>
          <w:szCs w:val="24"/>
        </w:rPr>
        <w:t xml:space="preserve">30 · La cadenza.</w:t>
      </w:r>
      <w:r>
        <w:rPr>
          <w:rFonts w:ascii="Barlow Semi Condensed" w:cs="Barlow Semi Condensed" w:eastAsia="Barlow Semi Condensed" w:hAnsi="Barlow Semi Condensed"/>
          <w:sz w:val="24"/>
          <w:szCs w:val="24"/>
        </w:rPr>
        <w:t xml:space="preserve"> Revisione trimestrale dei punteggi alla luce degli atti compiuti; ogni revisione è motivata per iscritto. Un punteggio immobile per anni è un punteggio non curato.</w:t>
      </w:r>
    </w:p>
    <w:p>
      <w:pPr>
        <w:spacing w:after="120" w:line="276"/>
        <w:jc w:val="both"/>
      </w:pPr>
      <w:r>
        <w:rPr>
          <w:rFonts w:ascii="Barlow Semi Condensed" w:cs="Barlow Semi Condensed" w:eastAsia="Barlow Semi Condensed" w:hAnsi="Barlow Semi Condensed"/>
          <w:b/>
          <w:bCs/>
          <w:sz w:val="24"/>
          <w:szCs w:val="24"/>
        </w:rPr>
        <w:t xml:space="preserve">31 · Il perito e il suo mandato.</w:t>
      </w:r>
      <w:r>
        <w:rPr>
          <w:rFonts w:ascii="Barlow Semi Condensed" w:cs="Barlow Semi Condensed" w:eastAsia="Barlow Semi Condensed" w:hAnsi="Barlow Semi Condensed"/>
          <w:sz w:val="24"/>
          <w:szCs w:val="24"/>
        </w:rPr>
        <w:t xml:space="preserve"> Ogni incarico peritale reca il quesito esatto, i limiti del reperto, la divergenza da dirimere e l'obbligo di dichiarare l'indecidibilità quando è l'esito onesto.</w:t>
      </w:r>
    </w:p>
    <w:p>
      <w:pPr>
        <w:spacing w:after="120" w:line="276"/>
        <w:jc w:val="both"/>
      </w:pPr>
      <w:r>
        <w:rPr>
          <w:rFonts w:ascii="Barlow Semi Condensed" w:cs="Barlow Semi Condensed" w:eastAsia="Barlow Semi Condensed" w:hAnsi="Barlow Semi Condensed"/>
          <w:b/>
          <w:bCs/>
          <w:sz w:val="24"/>
          <w:szCs w:val="24"/>
        </w:rPr>
        <w:t xml:space="preserve">32 · Il contraddittorio tecnico.</w:t>
      </w:r>
      <w:r>
        <w:rPr>
          <w:rFonts w:ascii="Barlow Semi Condensed" w:cs="Barlow Semi Condensed" w:eastAsia="Barlow Semi Condensed" w:hAnsi="Barlow Semi Condensed"/>
          <w:sz w:val="24"/>
          <w:szCs w:val="24"/>
        </w:rPr>
        <w:t xml:space="preserve"> Le perizie dirimenti si svolgono con consulenti di più parti e — dove il rito lo consenta — con osservatori della sede storica: la scienza che decide un caso storico non lavora in camera chiusa.</w:t>
      </w:r>
    </w:p>
    <w:p>
      <w:pPr>
        <w:spacing w:after="120" w:line="276"/>
        <w:jc w:val="both"/>
      </w:pPr>
      <w:r>
        <w:rPr>
          <w:rFonts w:ascii="Barlow Semi Condensed" w:cs="Barlow Semi Condensed" w:eastAsia="Barlow Semi Condensed" w:hAnsi="Barlow Semi Condensed"/>
          <w:b/>
          <w:bCs/>
          <w:sz w:val="24"/>
          <w:szCs w:val="24"/>
        </w:rPr>
        <w:t xml:space="preserve">33 · La verbalizzazione totale.</w:t>
      </w:r>
      <w:r>
        <w:rPr>
          <w:rFonts w:ascii="Barlow Semi Condensed" w:cs="Barlow Semi Condensed" w:eastAsia="Barlow Semi Condensed" w:hAnsi="Barlow Semi Condensed"/>
          <w:sz w:val="24"/>
          <w:szCs w:val="24"/>
        </w:rPr>
        <w:t xml:space="preserve"> Ogni atto dei tre cantieri produce verbale: anche il sopralluogo negativo, anche la telefonata all'archivio che risponde «non abbiamo nulla». Il nuovo caso non deve generare i buchi documentali che indaga.</w:t>
      </w:r>
    </w:p>
    <w:p>
      <w:pPr>
        <w:spacing w:after="120" w:line="276"/>
        <w:jc w:val="both"/>
      </w:pPr>
      <w:r>
        <w:rPr>
          <w:rFonts w:ascii="Barlow Semi Condensed" w:cs="Barlow Semi Condensed" w:eastAsia="Barlow Semi Condensed" w:hAnsi="Barlow Semi Condensed"/>
          <w:b/>
          <w:bCs/>
          <w:sz w:val="24"/>
          <w:szCs w:val="24"/>
        </w:rPr>
        <w:t xml:space="preserve">34 · L'unità di documentazione.</w:t>
      </w:r>
      <w:r>
        <w:rPr>
          <w:rFonts w:ascii="Barlow Semi Condensed" w:cs="Barlow Semi Condensed" w:eastAsia="Barlow Semi Condensed" w:hAnsi="Barlow Semi Condensed"/>
          <w:sz w:val="24"/>
          <w:szCs w:val="24"/>
        </w:rPr>
        <w:t xml:space="preserve"> Un protocollo unico di citazione (fondo, busta, fascicolo, carta) vale per tutti i cantieri, così che ogni affermazione pubblica sia verificabile in un passaggio.</w:t>
      </w:r>
    </w:p>
    <w:p>
      <w:pPr>
        <w:spacing w:after="120" w:line="276"/>
        <w:jc w:val="both"/>
      </w:pPr>
      <w:r>
        <w:rPr>
          <w:rFonts w:ascii="Barlow Semi Condensed" w:cs="Barlow Semi Condensed" w:eastAsia="Barlow Semi Condensed" w:hAnsi="Barlow Semi Condensed"/>
          <w:b/>
          <w:bCs/>
          <w:sz w:val="24"/>
          <w:szCs w:val="24"/>
        </w:rPr>
        <w:t xml:space="preserve">35 · Le commissioni future.</w:t>
      </w:r>
      <w:r>
        <w:rPr>
          <w:rFonts w:ascii="Barlow Semi Condensed" w:cs="Barlow Semi Condensed" w:eastAsia="Barlow Semi Condensed" w:hAnsi="Barlow Semi Condensed"/>
          <w:sz w:val="24"/>
          <w:szCs w:val="24"/>
        </w:rPr>
        <w:t xml:space="preserve"> Se il Parlamento istituirà nuovi organi d'inchiesta, il loro rendimento dipenderà dall'ereditare questo impianto — piste, registri, criteri — invece di ricominciare dalle audizioni celebri: il manuale è scritto anche per quell'eventualità.</w:t>
      </w:r>
    </w:p>
    <w:p>
      <w:pPr>
        <w:spacing w:after="120" w:line="276"/>
        <w:jc w:val="both"/>
      </w:pPr>
      <w:r>
        <w:rPr>
          <w:rFonts w:ascii="Barlow Semi Condensed" w:cs="Barlow Semi Condensed" w:eastAsia="Barlow Semi Condensed" w:hAnsi="Barlow Semi Condensed"/>
          <w:b/>
          <w:bCs/>
          <w:sz w:val="24"/>
          <w:szCs w:val="24"/>
        </w:rPr>
        <w:t xml:space="preserve">36 · Il rapporto coi processi storici.</w:t>
      </w:r>
      <w:r>
        <w:rPr>
          <w:rFonts w:ascii="Barlow Semi Condensed" w:cs="Barlow Semi Condensed" w:eastAsia="Barlow Semi Condensed" w:hAnsi="Barlow Semi Condensed"/>
          <w:sz w:val="24"/>
          <w:szCs w:val="24"/>
        </w:rPr>
        <w:t xml:space="preserve"> I fascicoli dei cinque processi Moro sono essi stessi un giacimento: verbali di perquisizione, reperti, elenchi. Il cantiere archivistico li tratta come fondo primario, con l'autorizzazione delle cancellerie competenti.</w:t>
      </w:r>
    </w:p>
    <w:p>
      <w:pPr>
        <w:spacing w:after="120" w:line="276"/>
        <w:jc w:val="both"/>
      </w:pPr>
      <w:r>
        <w:rPr>
          <w:rFonts w:ascii="Barlow Semi Condensed" w:cs="Barlow Semi Condensed" w:eastAsia="Barlow Semi Condensed" w:hAnsi="Barlow Semi Condensed"/>
          <w:b/>
          <w:bCs/>
          <w:sz w:val="24"/>
          <w:szCs w:val="24"/>
        </w:rPr>
        <w:t xml:space="preserve">37 · Le famiglie.</w:t>
      </w:r>
      <w:r>
        <w:rPr>
          <w:rFonts w:ascii="Barlow Semi Condensed" w:cs="Barlow Semi Condensed" w:eastAsia="Barlow Semi Condensed" w:hAnsi="Barlow Semi Condensed"/>
          <w:sz w:val="24"/>
          <w:szCs w:val="24"/>
        </w:rPr>
        <w:t xml:space="preserve"> Le famiglie delle sei vittime hanno diritto a un canale informativo dedicato e preventivo: nessun risultato le raggiunge dai giornali prima che dalle istituzioni.</w:t>
      </w:r>
    </w:p>
    <w:p>
      <w:pPr>
        <w:spacing w:after="120" w:line="276"/>
        <w:jc w:val="both"/>
      </w:pPr>
      <w:r>
        <w:rPr>
          <w:rFonts w:ascii="Barlow Semi Condensed" w:cs="Barlow Semi Condensed" w:eastAsia="Barlow Semi Condensed" w:hAnsi="Barlow Semi Condensed"/>
          <w:b/>
          <w:bCs/>
          <w:sz w:val="24"/>
          <w:szCs w:val="24"/>
        </w:rPr>
        <w:t xml:space="preserve">38 · La stampa.</w:t>
      </w:r>
      <w:r>
        <w:rPr>
          <w:rFonts w:ascii="Barlow Semi Condensed" w:cs="Barlow Semi Condensed" w:eastAsia="Barlow Semi Condensed" w:hAnsi="Barlow Semi Condensed"/>
          <w:sz w:val="24"/>
          <w:szCs w:val="24"/>
        </w:rPr>
        <w:t xml:space="preserve"> Ogni comunicazione pubblica dei cantieri distingue in una riga il grado di ciò che annuncia; nessuna conferenza stampa su ipotesi; i titoli non sono atti.</w:t>
      </w:r>
    </w:p>
    <w:p>
      <w:pPr>
        <w:spacing w:after="120" w:line="276"/>
        <w:jc w:val="both"/>
      </w:pPr>
      <w:r>
        <w:rPr>
          <w:rFonts w:ascii="Barlow Semi Condensed" w:cs="Barlow Semi Condensed" w:eastAsia="Barlow Semi Condensed" w:hAnsi="Barlow Semi Condensed"/>
          <w:b/>
          <w:bCs/>
          <w:sz w:val="24"/>
          <w:szCs w:val="24"/>
        </w:rPr>
        <w:t xml:space="preserve">39 · Il bilancio dei mezzi.</w:t>
      </w:r>
      <w:r>
        <w:rPr>
          <w:rFonts w:ascii="Barlow Semi Condensed" w:cs="Barlow Semi Condensed" w:eastAsia="Barlow Semi Condensed" w:hAnsi="Barlow Semi Condensed"/>
          <w:sz w:val="24"/>
          <w:szCs w:val="24"/>
        </w:rPr>
        <w:t xml:space="preserve"> Ogni pista dichiara il costo stimato del proprio atto (ore d'archivio, giornate di laboratorio, rogatorie): la matrice rendimento/fattibilità non è retorica — è il documento con cui si chiedono le risorse.</w:t>
      </w:r>
    </w:p>
    <w:p>
      <w:pPr>
        <w:spacing w:after="120" w:line="276"/>
        <w:jc w:val="both"/>
      </w:pPr>
      <w:r>
        <w:rPr>
          <w:rFonts w:ascii="Barlow Semi Condensed" w:cs="Barlow Semi Condensed" w:eastAsia="Barlow Semi Condensed" w:hAnsi="Barlow Semi Condensed"/>
          <w:b/>
          <w:bCs/>
          <w:sz w:val="24"/>
          <w:szCs w:val="24"/>
        </w:rPr>
        <w:t xml:space="preserve">40 · La formazione.</w:t>
      </w:r>
      <w:r>
        <w:rPr>
          <w:rFonts w:ascii="Barlow Semi Condensed" w:cs="Barlow Semi Condensed" w:eastAsia="Barlow Semi Condensed" w:hAnsi="Barlow Semi Condensed"/>
          <w:sz w:val="24"/>
          <w:szCs w:val="24"/>
        </w:rPr>
        <w:t xml:space="preserve"> Chi entra nei cantieri riceve il fascicolo di metodo: questo manuale, le schede, la Nota di revisione n. 1. Nessuno lavora sul caso senza conoscere gli errori già commessi dal caso.</w:t>
      </w:r>
    </w:p>
    <w:p>
      <w:pPr>
        <w:spacing w:after="120" w:line="276"/>
        <w:jc w:val="both"/>
      </w:pPr>
      <w:r>
        <w:rPr>
          <w:rFonts w:ascii="Barlow Semi Condensed" w:cs="Barlow Semi Condensed" w:eastAsia="Barlow Semi Condensed" w:hAnsi="Barlow Semi Condensed"/>
          <w:b/>
          <w:bCs/>
          <w:sz w:val="24"/>
          <w:szCs w:val="24"/>
        </w:rPr>
        <w:t xml:space="preserve">41 · L'archiviazione motivata.</w:t>
      </w:r>
      <w:r>
        <w:rPr>
          <w:rFonts w:ascii="Barlow Semi Condensed" w:cs="Barlow Semi Condensed" w:eastAsia="Barlow Semi Condensed" w:hAnsi="Barlow Semi Condensed"/>
          <w:sz w:val="24"/>
          <w:szCs w:val="24"/>
        </w:rPr>
        <w:t xml:space="preserve"> Una pista si archivia con atto scritto che ne dichiara il criterio di riapertura documentale; l'archiviazione silenziosa è vietata quanto l'accanimento.</w:t>
      </w:r>
    </w:p>
    <w:p>
      <w:pPr>
        <w:spacing w:after="120" w:line="276"/>
        <w:jc w:val="both"/>
      </w:pPr>
      <w:r>
        <w:rPr>
          <w:rFonts w:ascii="Barlow Semi Condensed" w:cs="Barlow Semi Condensed" w:eastAsia="Barlow Semi Condensed" w:hAnsi="Barlow Semi Condensed"/>
          <w:b/>
          <w:bCs/>
          <w:sz w:val="24"/>
          <w:szCs w:val="24"/>
        </w:rPr>
        <w:t xml:space="preserve">42 · Il doppio binario col Dossier maggiore.</w:t>
      </w:r>
      <w:r>
        <w:rPr>
          <w:rFonts w:ascii="Barlow Semi Condensed" w:cs="Barlow Semi Condensed" w:eastAsia="Barlow Semi Condensed" w:hAnsi="Barlow Semi Condensed"/>
          <w:sz w:val="24"/>
          <w:szCs w:val="24"/>
        </w:rPr>
        <w:t xml:space="preserve"> L'edizione probabilistica dell'autore vive sotto la sua responsabilità e fuori dai cantieri: il nuovo caso non importa graduatorie, e i cantieri non esportano atti coperti.</w:t>
      </w:r>
    </w:p>
    <w:p>
      <w:pPr>
        <w:spacing w:after="120" w:line="276"/>
        <w:jc w:val="both"/>
      </w:pPr>
      <w:r>
        <w:rPr>
          <w:rFonts w:ascii="Barlow Semi Condensed" w:cs="Barlow Semi Condensed" w:eastAsia="Barlow Semi Condensed" w:hAnsi="Barlow Semi Condensed"/>
          <w:b/>
          <w:bCs/>
          <w:sz w:val="24"/>
          <w:szCs w:val="24"/>
        </w:rPr>
        <w:t xml:space="preserve">43 · La lingua degli atti.</w:t>
      </w:r>
      <w:r>
        <w:rPr>
          <w:rFonts w:ascii="Barlow Semi Condensed" w:cs="Barlow Semi Condensed" w:eastAsia="Barlow Semi Condensed" w:hAnsi="Barlow Semi Condensed"/>
          <w:sz w:val="24"/>
          <w:szCs w:val="24"/>
        </w:rPr>
        <w:t xml:space="preserve"> Prosa piana, termini tecnici spiegati alla prima occorrenza, nessun nome evocato senza necessità: gli atti del nuovo caso devono poter essere letti fra cinquant'anni senza glossario dietrologico.</w:t>
      </w:r>
    </w:p>
    <w:p>
      <w:pPr>
        <w:spacing w:after="120" w:line="276"/>
        <w:jc w:val="both"/>
      </w:pPr>
      <w:r>
        <w:rPr>
          <w:rFonts w:ascii="Barlow Semi Condensed" w:cs="Barlow Semi Condensed" w:eastAsia="Barlow Semi Condensed" w:hAnsi="Barlow Semi Condensed"/>
          <w:b/>
          <w:bCs/>
          <w:sz w:val="24"/>
          <w:szCs w:val="24"/>
        </w:rPr>
        <w:t xml:space="preserve">44 · La durata.</w:t>
      </w:r>
      <w:r>
        <w:rPr>
          <w:rFonts w:ascii="Barlow Semi Condensed" w:cs="Barlow Semi Condensed" w:eastAsia="Barlow Semi Condensed" w:hAnsi="Barlow Semi Condensed"/>
          <w:sz w:val="24"/>
          <w:szCs w:val="24"/>
        </w:rPr>
        <w:t xml:space="preserve"> Il cantiere conservativo lavora a scadenza biologica (mesi), il giudiziario a scadenza processuale (anni), l'archivistico a scadenza generazionale (decenni): i cronoprogrammi non si confondono, e la serie decima li ordina.</w:t>
      </w:r>
    </w:p>
    <w:p>
      <w:pPr>
        <w:spacing w:after="120" w:line="276"/>
        <w:jc w:val="both"/>
      </w:pPr>
      <w:r>
        <w:rPr>
          <w:rFonts w:ascii="Barlow Semi Condensed" w:cs="Barlow Semi Condensed" w:eastAsia="Barlow Semi Condensed" w:hAnsi="Barlow Semi Condensed"/>
          <w:b/>
          <w:bCs/>
          <w:sz w:val="24"/>
          <w:szCs w:val="24"/>
        </w:rPr>
        <w:t xml:space="preserve">45 · Il custode del metodo.</w:t>
      </w:r>
      <w:r>
        <w:rPr>
          <w:rFonts w:ascii="Barlow Semi Condensed" w:cs="Barlow Semi Condensed" w:eastAsia="Barlow Semi Condensed" w:hAnsi="Barlow Semi Condensed"/>
          <w:sz w:val="24"/>
          <w:szCs w:val="24"/>
        </w:rPr>
        <w:t xml:space="preserve"> Ogni cantiere designa un garante interno col potere di sospendere un atto che violi la serie prima; le sue rimostranze sono scritte e pubbliche. Il metodo senza custode è un auspicio.</w:t>
      </w:r>
    </w:p>
    <w:p>
      <w:pPr>
        <w:pStyle w:val="Heading2"/>
        <w:spacing w:after="100" w:before="200"/>
      </w:pPr>
      <w:r>
        <w:rPr>
          <w:rFonts w:ascii="Barlow Semi Condensed" w:cs="Barlow Semi Condensed" w:eastAsia="Barlow Semi Condensed" w:hAnsi="Barlow Semi Condensed"/>
          <w:sz w:val="24"/>
          <w:szCs w:val="24"/>
        </w:rPr>
        <w:t xml:space="preserve">Serie terza — I reperti e le scienze forensi (blocchi 46-90)</w:t>
      </w:r>
    </w:p>
    <w:p>
      <w:pPr>
        <w:spacing w:after="120" w:line="276"/>
        <w:jc w:val="both"/>
      </w:pPr>
      <w:r>
        <w:rPr>
          <w:rFonts w:ascii="Barlow Semi Condensed" w:cs="Barlow Semi Condensed" w:eastAsia="Barlow Semi Condensed" w:hAnsi="Barlow Semi Condensed"/>
          <w:i/>
          <w:iCs/>
          <w:sz w:val="24"/>
          <w:szCs w:val="24"/>
        </w:rPr>
        <w:t xml:space="preserve">Statuto della serie: il cantiere dei reperti. Prima la catena di custodia, poi la scienza; il quesito prima della tecnica; l'indecidibilità come esito legittimo.</w:t>
      </w:r>
    </w:p>
    <w:p>
      <w:pPr>
        <w:spacing w:after="120" w:line="276"/>
        <w:jc w:val="both"/>
      </w:pPr>
      <w:r>
        <w:rPr>
          <w:rFonts w:ascii="Barlow Semi Condensed" w:cs="Barlow Semi Condensed" w:eastAsia="Barlow Semi Condensed" w:hAnsi="Barlow Semi Condensed"/>
          <w:b/>
          <w:bCs/>
          <w:sz w:val="24"/>
          <w:szCs w:val="24"/>
        </w:rPr>
        <w:t xml:space="preserve">46 · L'inventario generale.</w:t>
      </w:r>
      <w:r>
        <w:rPr>
          <w:rFonts w:ascii="Barlow Semi Condensed" w:cs="Barlow Semi Condensed" w:eastAsia="Barlow Semi Condensed" w:hAnsi="Barlow Semi Condensed"/>
          <w:sz w:val="24"/>
          <w:szCs w:val="24"/>
        </w:rPr>
        <w:t xml:space="preserve"> Primo atto assoluto: l'inventario unificato di tutti i reperti del caso ancora esistenti — dove sono, in che stato, con quale storia di movimentazione. Nessuna perizia prima dell'inventario.</w:t>
      </w:r>
    </w:p>
    <w:p>
      <w:pPr>
        <w:spacing w:after="120" w:line="276"/>
        <w:jc w:val="both"/>
      </w:pPr>
      <w:r>
        <w:rPr>
          <w:rFonts w:ascii="Barlow Semi Condensed" w:cs="Barlow Semi Condensed" w:eastAsia="Barlow Semi Condensed" w:hAnsi="Barlow Semi Condensed"/>
          <w:b/>
          <w:bCs/>
          <w:sz w:val="24"/>
          <w:szCs w:val="24"/>
        </w:rPr>
        <w:t xml:space="preserve">47 · La catena di custodia retrospettiva.</w:t>
      </w:r>
      <w:r>
        <w:rPr>
          <w:rFonts w:ascii="Barlow Semi Condensed" w:cs="Barlow Semi Condensed" w:eastAsia="Barlow Semi Condensed" w:hAnsi="Barlow Semi Condensed"/>
          <w:sz w:val="24"/>
          <w:szCs w:val="24"/>
        </w:rPr>
        <w:t xml:space="preserve"> Per ogni reperto si ricostruisce a ritroso ogni passaggio dal 1978: sequestro, deposito, perizie subite, trasferimenti. La catena lacunosa non uccide il reperto, ma ne grada le conclusioni.</w:t>
      </w:r>
    </w:p>
    <w:p>
      <w:pPr>
        <w:spacing w:after="120" w:line="276"/>
        <w:jc w:val="both"/>
      </w:pPr>
      <w:r>
        <w:rPr>
          <w:rFonts w:ascii="Barlow Semi Condensed" w:cs="Barlow Semi Condensed" w:eastAsia="Barlow Semi Condensed" w:hAnsi="Barlow Semi Condensed"/>
          <w:b/>
          <w:bCs/>
          <w:sz w:val="24"/>
          <w:szCs w:val="24"/>
        </w:rPr>
        <w:t xml:space="preserve">48 · Il triage dei reperti.</w:t>
      </w:r>
      <w:r>
        <w:rPr>
          <w:rFonts w:ascii="Barlow Semi Condensed" w:cs="Barlow Semi Condensed" w:eastAsia="Barlow Semi Condensed" w:hAnsi="Barlow Semi Condensed"/>
          <w:sz w:val="24"/>
          <w:szCs w:val="24"/>
        </w:rPr>
        <w:t xml:space="preserve"> Tre classi: reperti integri a catena solida (perizia piena), reperti degradati o a catena lacunosa (perizia con riserva di grado), reperti dispersi (censimento della dispersione, che è un dato). Ogni classe ha il suo protocollo.</w:t>
      </w:r>
    </w:p>
    <w:p>
      <w:pPr>
        <w:spacing w:after="120" w:line="276"/>
        <w:jc w:val="both"/>
      </w:pPr>
      <w:r>
        <w:rPr>
          <w:rFonts w:ascii="Barlow Semi Condensed" w:cs="Barlow Semi Condensed" w:eastAsia="Barlow Semi Condensed" w:hAnsi="Barlow Semi Condensed"/>
          <w:b/>
          <w:bCs/>
          <w:sz w:val="24"/>
          <w:szCs w:val="24"/>
        </w:rPr>
        <w:t xml:space="preserve">49 · Il quesito prima della tecnica.</w:t>
      </w:r>
      <w:r>
        <w:rPr>
          <w:rFonts w:ascii="Barlow Semi Condensed" w:cs="Barlow Semi Condensed" w:eastAsia="Barlow Semi Condensed" w:hAnsi="Barlow Semi Condensed"/>
          <w:sz w:val="24"/>
          <w:szCs w:val="24"/>
        </w:rPr>
        <w:t xml:space="preserve"> Nessun reperto si analizza «per vedere cosa esce»: ogni analisi discende da una matrice ACH che dice quale ipotesi l'esito potrebbe falsificare.</w:t>
      </w:r>
    </w:p>
    <w:p>
      <w:pPr>
        <w:spacing w:after="120" w:line="276"/>
        <w:jc w:val="both"/>
      </w:pPr>
      <w:r>
        <w:rPr>
          <w:rFonts w:ascii="Barlow Semi Condensed" w:cs="Barlow Semi Condensed" w:eastAsia="Barlow Semi Condensed" w:hAnsi="Barlow Semi Condensed"/>
          <w:b/>
          <w:bCs/>
          <w:sz w:val="24"/>
          <w:szCs w:val="24"/>
        </w:rPr>
        <w:t xml:space="preserve">50 · La conservazione del residuo.</w:t>
      </w:r>
      <w:r>
        <w:rPr>
          <w:rFonts w:ascii="Barlow Semi Condensed" w:cs="Barlow Semi Condensed" w:eastAsia="Barlow Semi Condensed" w:hAnsi="Barlow Semi Condensed"/>
          <w:sz w:val="24"/>
          <w:szCs w:val="24"/>
        </w:rPr>
        <w:t xml:space="preserve"> Ogni analisi distruttiva o consumante lascia, dove fisicamente possibile, una frazione intatta per le tecniche future: il nuovo caso non deve rubare reperti al prossimo.</w:t>
      </w:r>
    </w:p>
    <w:p>
      <w:pPr>
        <w:spacing w:after="120" w:line="276"/>
        <w:jc w:val="both"/>
      </w:pPr>
      <w:r>
        <w:rPr>
          <w:rFonts w:ascii="Barlow Semi Condensed" w:cs="Barlow Semi Condensed" w:eastAsia="Barlow Semi Condensed" w:hAnsi="Barlow Semi Condensed"/>
          <w:b/>
          <w:bCs/>
          <w:sz w:val="24"/>
          <w:szCs w:val="24"/>
        </w:rPr>
        <w:t xml:space="preserve">51 · I 91 bossoli: il quesito unico.</w:t>
      </w:r>
      <w:r>
        <w:rPr>
          <w:rFonts w:ascii="Barlow Semi Condensed" w:cs="Barlow Semi Condensed" w:eastAsia="Barlow Semi Condensed" w:hAnsi="Barlow Semi Condensed"/>
          <w:sz w:val="24"/>
          <w:szCs w:val="24"/>
        </w:rPr>
        <w:t xml:space="preserve"> La perizia di sintesi balistica ha un solo quesito dirimente, in tre rami: quanti bossoli tornano a ciascuna arma; se i 49 attribuiti a un'arma sola lo sono davvero; se esiste un residuo non attribuibile alle armi note.</w:t>
      </w:r>
    </w:p>
    <w:p>
      <w:pPr>
        <w:spacing w:after="120" w:line="276"/>
        <w:jc w:val="both"/>
      </w:pPr>
      <w:r>
        <w:rPr>
          <w:rFonts w:ascii="Barlow Semi Condensed" w:cs="Barlow Semi Condensed" w:eastAsia="Barlow Semi Condensed" w:hAnsi="Barlow Semi Condensed"/>
          <w:b/>
          <w:bCs/>
          <w:sz w:val="24"/>
          <w:szCs w:val="24"/>
        </w:rPr>
        <w:t xml:space="preserve">52 · La divergenza da dirimere.</w:t>
      </w:r>
      <w:r>
        <w:rPr>
          <w:rFonts w:ascii="Barlow Semi Condensed" w:cs="Barlow Semi Condensed" w:eastAsia="Barlow Semi Condensed" w:hAnsi="Barlow Semi Condensed"/>
          <w:sz w:val="24"/>
          <w:szCs w:val="24"/>
        </w:rPr>
        <w:t xml:space="preserve"> Le tre perizie storiche — l'originaria, la Salza-Benedetti che non confermò, la 2015 che riconfermò — si mettono a confronto metodologico prima di ogni nuovo esame: dove divergono i metodi si capisce dove può divergere l'esito.</w:t>
      </w:r>
    </w:p>
    <w:p>
      <w:pPr>
        <w:spacing w:after="120" w:line="276"/>
        <w:jc w:val="both"/>
      </w:pPr>
      <w:r>
        <w:rPr>
          <w:rFonts w:ascii="Barlow Semi Condensed" w:cs="Barlow Semi Condensed" w:eastAsia="Barlow Semi Condensed" w:hAnsi="Barlow Semi Condensed"/>
          <w:b/>
          <w:bCs/>
          <w:sz w:val="24"/>
          <w:szCs w:val="24"/>
        </w:rPr>
        <w:t xml:space="preserve">53 · La microscopia comparativa moderna.</w:t>
      </w:r>
      <w:r>
        <w:rPr>
          <w:rFonts w:ascii="Barlow Semi Condensed" w:cs="Barlow Semi Condensed" w:eastAsia="Barlow Semi Condensed" w:hAnsi="Barlow Semi Condensed"/>
          <w:sz w:val="24"/>
          <w:szCs w:val="24"/>
        </w:rPr>
        <w:t xml:space="preserve"> Comparatore ottico e scansione tridimensionale delle superfici di percussione ed estrazione su tutti i bossoli, con archiviazione digitale delle impronte: l'esame diventa replicabile da terzi senza toccare il reperto.</w:t>
      </w:r>
    </w:p>
    <w:p>
      <w:pPr>
        <w:spacing w:after="120" w:line="276"/>
        <w:jc w:val="both"/>
      </w:pPr>
      <w:r>
        <w:rPr>
          <w:rFonts w:ascii="Barlow Semi Condensed" w:cs="Barlow Semi Condensed" w:eastAsia="Barlow Semi Condensed" w:hAnsi="Barlow Semi Condensed"/>
          <w:b/>
          <w:bCs/>
          <w:sz w:val="24"/>
          <w:szCs w:val="24"/>
        </w:rPr>
        <w:t xml:space="preserve">54 · Il campione di riferimento.</w:t>
      </w:r>
      <w:r>
        <w:rPr>
          <w:rFonts w:ascii="Barlow Semi Condensed" w:cs="Barlow Semi Condensed" w:eastAsia="Barlow Semi Condensed" w:hAnsi="Barlow Semi Condensed"/>
          <w:sz w:val="24"/>
          <w:szCs w:val="24"/>
        </w:rPr>
        <w:t xml:space="preserve"> Se le armi sequestrate del commando esistono nei depositi, si generano impronte di riferimento attuali; se non esistono, lo si verbalizza e le comparazioni restano interne alla popolazione dei bossoli.</w:t>
      </w:r>
    </w:p>
    <w:p>
      <w:pPr>
        <w:spacing w:after="120" w:line="276"/>
        <w:jc w:val="both"/>
      </w:pPr>
      <w:r>
        <w:rPr>
          <w:rFonts w:ascii="Barlow Semi Condensed" w:cs="Barlow Semi Condensed" w:eastAsia="Barlow Semi Condensed" w:hAnsi="Barlow Semi Condensed"/>
          <w:b/>
          <w:bCs/>
          <w:sz w:val="24"/>
          <w:szCs w:val="24"/>
        </w:rPr>
        <w:t xml:space="preserve">55 · Il «superkiller» come ipotesi, non come premessa.</w:t>
      </w:r>
      <w:r>
        <w:rPr>
          <w:rFonts w:ascii="Barlow Semi Condensed" w:cs="Barlow Semi Condensed" w:eastAsia="Barlow Semi Condensed" w:hAnsi="Barlow Semi Condensed"/>
          <w:sz w:val="24"/>
          <w:szCs w:val="24"/>
        </w:rPr>
        <w:t xml:space="preserve"> La lettura del tiratore unico d'eccezione entra nella matrice come H fra le H, falsificabile dall'attribuzione distribuita: la perizia non lavora per confermarla né per demolirla.</w:t>
      </w:r>
    </w:p>
    <w:p>
      <w:pPr>
        <w:spacing w:after="120" w:line="276"/>
        <w:jc w:val="both"/>
      </w:pPr>
      <w:r>
        <w:rPr>
          <w:rFonts w:ascii="Barlow Semi Condensed" w:cs="Barlow Semi Condensed" w:eastAsia="Barlow Semi Condensed" w:hAnsi="Barlow Semi Condensed"/>
          <w:b/>
          <w:bCs/>
          <w:sz w:val="24"/>
          <w:szCs w:val="24"/>
        </w:rPr>
        <w:t xml:space="preserve">56 · I reperti balistici minori.</w:t>
      </w:r>
      <w:r>
        <w:rPr>
          <w:rFonts w:ascii="Barlow Semi Condensed" w:cs="Barlow Semi Condensed" w:eastAsia="Barlow Semi Condensed" w:hAnsi="Barlow Semi Condensed"/>
          <w:sz w:val="24"/>
          <w:szCs w:val="24"/>
        </w:rPr>
        <w:t xml:space="preserve"> Ogive, frammenti, tracce sui veicoli: ogni elemento repertato nel 1978 rientra nell'inventario e nel quesito unico; le contestazioni di parte circolate in pubblicistica si verificano sui reperti, non si commentano.</w:t>
      </w:r>
    </w:p>
    <w:p>
      <w:pPr>
        <w:spacing w:after="120" w:line="276"/>
        <w:jc w:val="both"/>
      </w:pPr>
      <w:r>
        <w:rPr>
          <w:rFonts w:ascii="Barlow Semi Condensed" w:cs="Barlow Semi Condensed" w:eastAsia="Barlow Semi Condensed" w:hAnsi="Barlow Semi Condensed"/>
          <w:b/>
          <w:bCs/>
          <w:sz w:val="24"/>
          <w:szCs w:val="24"/>
        </w:rPr>
        <w:t xml:space="preserve">57 · Il caricatore di via Stresa: il reperto-principe.</w:t>
      </w:r>
      <w:r>
        <w:rPr>
          <w:rFonts w:ascii="Barlow Semi Condensed" w:cs="Barlow Semi Condensed" w:eastAsia="Barlow Semi Condensed" w:hAnsi="Barlow Semi Condensed"/>
          <w:sz w:val="24"/>
          <w:szCs w:val="24"/>
        </w:rPr>
        <w:t xml:space="preserve"> Quesito binario — impronte e genetica: attribuibile a un componente del commando giudicato o a un profilo ignoto — più il quesito di compatibilità: a quale arma appartiene, ed è un'arma nota del caso?</w:t>
      </w:r>
    </w:p>
    <w:p>
      <w:pPr>
        <w:spacing w:after="120" w:line="276"/>
        <w:jc w:val="both"/>
      </w:pPr>
      <w:r>
        <w:rPr>
          <w:rFonts w:ascii="Barlow Semi Condensed" w:cs="Barlow Semi Condensed" w:eastAsia="Barlow Semi Condensed" w:hAnsi="Barlow Semi Condensed"/>
          <w:b/>
          <w:bCs/>
          <w:sz w:val="24"/>
          <w:szCs w:val="24"/>
        </w:rPr>
        <w:t xml:space="preserve">58 · La priorità del caricatore.</w:t>
      </w:r>
      <w:r>
        <w:rPr>
          <w:rFonts w:ascii="Barlow Semi Condensed" w:cs="Barlow Semi Condensed" w:eastAsia="Barlow Semi Condensed" w:hAnsi="Barlow Semi Condensed"/>
          <w:sz w:val="24"/>
          <w:szCs w:val="24"/>
        </w:rPr>
        <w:t xml:space="preserve"> È l'atto col miglior rapporto costo/nettezza dell'intero cantiere: reperto singolo, tecniche standard, esito utile in entrambi i rami. Si esegue prima di ogni perizia lunga.</w:t>
      </w:r>
    </w:p>
    <w:p>
      <w:pPr>
        <w:spacing w:after="120" w:line="276"/>
        <w:jc w:val="both"/>
      </w:pPr>
      <w:r>
        <w:rPr>
          <w:rFonts w:ascii="Barlow Semi Condensed" w:cs="Barlow Semi Condensed" w:eastAsia="Barlow Semi Condensed" w:hAnsi="Barlow Semi Condensed"/>
          <w:b/>
          <w:bCs/>
          <w:sz w:val="24"/>
          <w:szCs w:val="24"/>
        </w:rPr>
        <w:t xml:space="preserve">59 · I profili DNA del 2016.</w:t>
      </w:r>
      <w:r>
        <w:rPr>
          <w:rFonts w:ascii="Barlow Semi Condensed" w:cs="Barlow Semi Condensed" w:eastAsia="Barlow Semi Condensed" w:hAnsi="Barlow Semi Condensed"/>
          <w:sz w:val="24"/>
          <w:szCs w:val="24"/>
        </w:rPr>
        <w:t xml:space="preserve"> I profili estratti dai mozziconi dell'auto-sbarramento e di via Gradoli sono il patrimonio genetico del caso: si custodiscono con protocollo dedicato e si comparano secondo la rosa autorizzata dal giudice, e solo quella.</w:t>
      </w:r>
    </w:p>
    <w:p>
      <w:pPr>
        <w:spacing w:after="120" w:line="276"/>
        <w:jc w:val="both"/>
      </w:pPr>
      <w:r>
        <w:rPr>
          <w:rFonts w:ascii="Barlow Semi Condensed" w:cs="Barlow Semi Condensed" w:eastAsia="Barlow Semi Condensed" w:hAnsi="Barlow Semi Condensed"/>
          <w:b/>
          <w:bCs/>
          <w:sz w:val="24"/>
          <w:szCs w:val="24"/>
        </w:rPr>
        <w:t xml:space="preserve">60 · Il residuo ignoto.</w:t>
      </w:r>
      <w:r>
        <w:rPr>
          <w:rFonts w:ascii="Barlow Semi Condensed" w:cs="Barlow Semi Condensed" w:eastAsia="Barlow Semi Condensed" w:hAnsi="Barlow Semi Condensed"/>
          <w:sz w:val="24"/>
          <w:szCs w:val="24"/>
        </w:rPr>
        <w:t xml:space="preserve"> Se dopo le comparazioni autorizzate residuano profili non identificati, il dato si dichiara come tale: un profilo ignoto è un fatto, non un fantasma — e resta in banca per le comparazioni che la legge consentirà.</w:t>
      </w:r>
    </w:p>
    <w:p>
      <w:pPr>
        <w:spacing w:after="120" w:line="276"/>
        <w:jc w:val="both"/>
      </w:pPr>
      <w:r>
        <w:rPr>
          <w:rFonts w:ascii="Barlow Semi Condensed" w:cs="Barlow Semi Condensed" w:eastAsia="Barlow Semi Condensed" w:hAnsi="Barlow Semi Condensed"/>
          <w:b/>
          <w:bCs/>
          <w:sz w:val="24"/>
          <w:szCs w:val="24"/>
        </w:rPr>
        <w:t xml:space="preserve">61 · La contaminazione storica.</w:t>
      </w:r>
      <w:r>
        <w:rPr>
          <w:rFonts w:ascii="Barlow Semi Condensed" w:cs="Barlow Semi Condensed" w:eastAsia="Barlow Semi Condensed" w:hAnsi="Barlow Semi Condensed"/>
          <w:sz w:val="24"/>
          <w:szCs w:val="24"/>
        </w:rPr>
        <w:t xml:space="preserve"> Ogni esito genetico su reperti del 1978 si pesa contro la storia della loro custodia: quarant'anni di maneggi senza guanti sono un'ipotesi H sempre presente nella matrice.</w:t>
      </w:r>
    </w:p>
    <w:p>
      <w:pPr>
        <w:spacing w:after="120" w:line="276"/>
        <w:jc w:val="both"/>
      </w:pPr>
      <w:r>
        <w:rPr>
          <w:rFonts w:ascii="Barlow Semi Condensed" w:cs="Barlow Semi Condensed" w:eastAsia="Barlow Semi Condensed" w:hAnsi="Barlow Semi Condensed"/>
          <w:b/>
          <w:bCs/>
          <w:sz w:val="24"/>
          <w:szCs w:val="24"/>
        </w:rPr>
        <w:t xml:space="preserve">62 · Le impronte digitali.</w:t>
      </w:r>
      <w:r>
        <w:rPr>
          <w:rFonts w:ascii="Barlow Semi Condensed" w:cs="Barlow Semi Condensed" w:eastAsia="Barlow Semi Condensed" w:hAnsi="Barlow Semi Condensed"/>
          <w:sz w:val="24"/>
          <w:szCs w:val="24"/>
        </w:rPr>
        <w:t xml:space="preserve"> Il patrimonio dattiloscopico del caso (covi, veicoli, documenti) si riesamina con i sistemi automatizzati attuali, che nel 1978 non esistevano: ogni frammento allora inutilizzabile è oggi un candidato.</w:t>
      </w:r>
    </w:p>
    <w:p>
      <w:pPr>
        <w:spacing w:after="120" w:line="276"/>
        <w:jc w:val="both"/>
      </w:pPr>
      <w:r>
        <w:rPr>
          <w:rFonts w:ascii="Barlow Semi Condensed" w:cs="Barlow Semi Condensed" w:eastAsia="Barlow Semi Condensed" w:hAnsi="Barlow Semi Condensed"/>
          <w:b/>
          <w:bCs/>
          <w:sz w:val="24"/>
          <w:szCs w:val="24"/>
        </w:rPr>
        <w:t xml:space="preserve">63 · I rilievi fotografici come reperti.</w:t>
      </w:r>
      <w:r>
        <w:rPr>
          <w:rFonts w:ascii="Barlow Semi Condensed" w:cs="Barlow Semi Condensed" w:eastAsia="Barlow Semi Condensed" w:hAnsi="Barlow Semi Condensed"/>
          <w:sz w:val="24"/>
          <w:szCs w:val="24"/>
        </w:rPr>
        <w:t xml:space="preserve"> Le fotografie originali — via Fani la mattina, il bagno di via Gradoli, i covi — sono reperti a pieno titolo: se ne cercano negativi e provini nei fascicoli, se ne fa perizia descrittiva, se ne estrae ogni dettaglio databile.</w:t>
      </w:r>
    </w:p>
    <w:p>
      <w:pPr>
        <w:spacing w:after="120" w:line="276"/>
        <w:jc w:val="both"/>
      </w:pPr>
      <w:r>
        <w:rPr>
          <w:rFonts w:ascii="Barlow Semi Condensed" w:cs="Barlow Semi Condensed" w:eastAsia="Barlow Semi Condensed" w:hAnsi="Barlow Semi Condensed"/>
          <w:b/>
          <w:bCs/>
          <w:sz w:val="24"/>
          <w:szCs w:val="24"/>
        </w:rPr>
        <w:t xml:space="preserve">64 · Il bagno di via Gradoli.</w:t>
      </w:r>
      <w:r>
        <w:rPr>
          <w:rFonts w:ascii="Barlow Semi Condensed" w:cs="Barlow Semi Condensed" w:eastAsia="Barlow Semi Condensed" w:hAnsi="Barlow Semi Condensed"/>
          <w:sz w:val="24"/>
          <w:szCs w:val="24"/>
        </w:rPr>
        <w:t xml:space="preserve"> La perizia sui rilievi originali del bagno — posizione della doccia, del getto, degli oggetti — è l'unica evidenza che possa discriminare distrazione e perdita deliberata: si esegue sui materiali del fascicolo VVF e di polizia, integralmente riacquisiti.</w:t>
      </w:r>
    </w:p>
    <w:p>
      <w:pPr>
        <w:spacing w:after="120" w:line="276"/>
        <w:jc w:val="both"/>
      </w:pPr>
      <w:r>
        <w:rPr>
          <w:rFonts w:ascii="Barlow Semi Condensed" w:cs="Barlow Semi Condensed" w:eastAsia="Barlow Semi Condensed" w:hAnsi="Barlow Semi Condensed"/>
          <w:b/>
          <w:bCs/>
          <w:sz w:val="24"/>
          <w:szCs w:val="24"/>
        </w:rPr>
        <w:t xml:space="preserve">65 · Il falso comunicato n. 7.</w:t>
      </w:r>
      <w:r>
        <w:rPr>
          <w:rFonts w:ascii="Barlow Semi Condensed" w:cs="Barlow Semi Condensed" w:eastAsia="Barlow Semi Condensed" w:hAnsi="Barlow Semi Condensed"/>
          <w:sz w:val="24"/>
          <w:szCs w:val="24"/>
        </w:rPr>
        <w:t xml:space="preserve"> Carta, macchina di scrittura, lessico: il falso del lago della Duchessa è un reperto documentale che le scienze forensi documentali attuali possono interrogare di nuovo, col quesito sulla sua officina di produzione.</w:t>
      </w:r>
    </w:p>
    <w:p>
      <w:pPr>
        <w:spacing w:after="120" w:line="276"/>
        <w:jc w:val="both"/>
      </w:pPr>
      <w:r>
        <w:rPr>
          <w:rFonts w:ascii="Barlow Semi Condensed" w:cs="Barlow Semi Condensed" w:eastAsia="Barlow Semi Condensed" w:hAnsi="Barlow Semi Condensed"/>
          <w:b/>
          <w:bCs/>
          <w:sz w:val="24"/>
          <w:szCs w:val="24"/>
        </w:rPr>
        <w:t xml:space="preserve">66 · I veicoli.</w:t>
      </w:r>
      <w:r>
        <w:rPr>
          <w:rFonts w:ascii="Barlow Semi Condensed" w:cs="Barlow Semi Condensed" w:eastAsia="Barlow Semi Condensed" w:hAnsi="Barlow Semi Condensed"/>
          <w:sz w:val="24"/>
          <w:szCs w:val="24"/>
        </w:rPr>
        <w:t xml:space="preserve"> La sorte dei veicoli del caso — le auto di via Fani, la Renault 4 — si censisce: dove furono depositati, quando demoliti, che cosa ne resta in reperti e rilievi. Anche la demolizione ha una carta.</w:t>
      </w:r>
    </w:p>
    <w:p>
      <w:pPr>
        <w:spacing w:after="120" w:line="276"/>
        <w:jc w:val="both"/>
      </w:pPr>
      <w:r>
        <w:rPr>
          <w:rFonts w:ascii="Barlow Semi Condensed" w:cs="Barlow Semi Condensed" w:eastAsia="Barlow Semi Condensed" w:hAnsi="Barlow Semi Condensed"/>
          <w:b/>
          <w:bCs/>
          <w:sz w:val="24"/>
          <w:szCs w:val="24"/>
        </w:rPr>
        <w:t xml:space="preserve">67 · Il memoriale come oggetto fisico.</w:t>
      </w:r>
      <w:r>
        <w:rPr>
          <w:rFonts w:ascii="Barlow Semi Condensed" w:cs="Barlow Semi Condensed" w:eastAsia="Barlow Semi Condensed" w:hAnsi="Barlow Semi Condensed"/>
          <w:sz w:val="24"/>
          <w:szCs w:val="24"/>
        </w:rPr>
        <w:t xml:space="preserve"> Carte, inchiostri, fotocopiatrici: la perizia comparativa fra il dattiloscritto 1978 e i fogli 1990 include l'esame materiale — datazioni relative, macchine, riproduzioni — non solo quello filologico.</w:t>
      </w:r>
    </w:p>
    <w:p>
      <w:pPr>
        <w:spacing w:after="120" w:line="276"/>
        <w:jc w:val="both"/>
      </w:pPr>
      <w:r>
        <w:rPr>
          <w:rFonts w:ascii="Barlow Semi Condensed" w:cs="Barlow Semi Condensed" w:eastAsia="Barlow Semi Condensed" w:hAnsi="Barlow Semi Condensed"/>
          <w:b/>
          <w:bCs/>
          <w:sz w:val="24"/>
          <w:szCs w:val="24"/>
        </w:rPr>
        <w:t xml:space="preserve">68 · La filologia del memoriale.</w:t>
      </w:r>
      <w:r>
        <w:rPr>
          <w:rFonts w:ascii="Barlow Semi Condensed" w:cs="Barlow Semi Condensed" w:eastAsia="Barlow Semi Condensed" w:hAnsi="Barlow Semi Condensed"/>
          <w:sz w:val="24"/>
          <w:szCs w:val="24"/>
        </w:rPr>
        <w:t xml:space="preserve"> Collazione integrale delle tre tradizioni (dattiloscritto, fotocopie, manoscritti 1990), stemma delle copie, mappa delle lacune interne: l'esito è la carta delle mancanze, non un'ipotesi su chi le produsse.</w:t>
      </w:r>
    </w:p>
    <w:p>
      <w:pPr>
        <w:spacing w:after="120" w:line="276"/>
        <w:jc w:val="both"/>
      </w:pPr>
      <w:r>
        <w:rPr>
          <w:rFonts w:ascii="Barlow Semi Condensed" w:cs="Barlow Semi Condensed" w:eastAsia="Barlow Semi Condensed" w:hAnsi="Barlow Semi Condensed"/>
          <w:b/>
          <w:bCs/>
          <w:sz w:val="24"/>
          <w:szCs w:val="24"/>
        </w:rPr>
        <w:t xml:space="preserve">69 · Le lettere.</w:t>
      </w:r>
      <w:r>
        <w:rPr>
          <w:rFonts w:ascii="Barlow Semi Condensed" w:cs="Barlow Semi Condensed" w:eastAsia="Barlow Semi Condensed" w:hAnsi="Barlow Semi Condensed"/>
          <w:sz w:val="24"/>
          <w:szCs w:val="24"/>
        </w:rPr>
        <w:t xml:space="preserve"> L'epistolario della prigionia ha già il suo giudicato di autenticità; il cantiere aggiunge solo l'edizione materiale — supporti, percorsi di recapito documentati — senza riaprire ciò che è accertato.</w:t>
      </w:r>
    </w:p>
    <w:p>
      <w:pPr>
        <w:spacing w:after="120" w:line="276"/>
        <w:jc w:val="both"/>
      </w:pPr>
      <w:r>
        <w:rPr>
          <w:rFonts w:ascii="Barlow Semi Condensed" w:cs="Barlow Semi Condensed" w:eastAsia="Barlow Semi Condensed" w:hAnsi="Barlow Semi Condensed"/>
          <w:b/>
          <w:bCs/>
          <w:sz w:val="24"/>
          <w:szCs w:val="24"/>
        </w:rPr>
        <w:t xml:space="preserve">70 · Le armi mai ritrovate.</w:t>
      </w:r>
      <w:r>
        <w:rPr>
          <w:rFonts w:ascii="Barlow Semi Condensed" w:cs="Barlow Semi Condensed" w:eastAsia="Barlow Semi Condensed" w:hAnsi="Barlow Semi Condensed"/>
          <w:sz w:val="24"/>
          <w:szCs w:val="24"/>
        </w:rPr>
        <w:t xml:space="preserve"> L'elenco delle armi del caso mai recuperate si compila da sentenze e perizie: è un perimetro di ricerca per i riscontri futuri (sequestri successivi, comparazioni balistiche d'archivio).</w:t>
      </w:r>
    </w:p>
    <w:p>
      <w:pPr>
        <w:spacing w:after="120" w:line="276"/>
        <w:jc w:val="both"/>
      </w:pPr>
      <w:r>
        <w:rPr>
          <w:rFonts w:ascii="Barlow Semi Condensed" w:cs="Barlow Semi Condensed" w:eastAsia="Barlow Semi Condensed" w:hAnsi="Barlow Semi Condensed"/>
          <w:b/>
          <w:bCs/>
          <w:sz w:val="24"/>
          <w:szCs w:val="24"/>
        </w:rPr>
        <w:t xml:space="preserve">71 · Le comparazioni d'archivio.</w:t>
      </w:r>
      <w:r>
        <w:rPr>
          <w:rFonts w:ascii="Barlow Semi Condensed" w:cs="Barlow Semi Condensed" w:eastAsia="Barlow Semi Condensed" w:hAnsi="Barlow Semi Condensed"/>
          <w:sz w:val="24"/>
          <w:szCs w:val="24"/>
        </w:rPr>
        <w:t xml:space="preserve"> Le impronte balistiche digitalizzate si confrontano con le banche dati dei casi coevi: un'arma di via Fani può essere transitata altrove, e il transito è un documento.</w:t>
      </w:r>
    </w:p>
    <w:p>
      <w:pPr>
        <w:spacing w:after="120" w:line="276"/>
        <w:jc w:val="both"/>
      </w:pPr>
      <w:r>
        <w:rPr>
          <w:rFonts w:ascii="Barlow Semi Condensed" w:cs="Barlow Semi Condensed" w:eastAsia="Barlow Semi Condensed" w:hAnsi="Barlow Semi Condensed"/>
          <w:b/>
          <w:bCs/>
          <w:sz w:val="24"/>
          <w:szCs w:val="24"/>
        </w:rPr>
        <w:t xml:space="preserve">72 · Il DNA di prossimità.</w:t>
      </w:r>
      <w:r>
        <w:rPr>
          <w:rFonts w:ascii="Barlow Semi Condensed" w:cs="Barlow Semi Condensed" w:eastAsia="Barlow Semi Condensed" w:hAnsi="Barlow Semi Condensed"/>
          <w:sz w:val="24"/>
          <w:szCs w:val="24"/>
        </w:rPr>
        <w:t xml:space="preserve"> Sui reperti a contatto prolungato (indumenti, coperte, l'abitacolo della Renault) le tecniche attuali di recupero da tracce minime si applicano dove la catena di custodia regge; dove non regge, si verbalizza il perché dell'astensione.</w:t>
      </w:r>
    </w:p>
    <w:p>
      <w:pPr>
        <w:spacing w:after="120" w:line="276"/>
        <w:jc w:val="both"/>
      </w:pPr>
      <w:r>
        <w:rPr>
          <w:rFonts w:ascii="Barlow Semi Condensed" w:cs="Barlow Semi Condensed" w:eastAsia="Barlow Semi Condensed" w:hAnsi="Barlow Semi Condensed"/>
          <w:b/>
          <w:bCs/>
          <w:sz w:val="24"/>
          <w:szCs w:val="24"/>
        </w:rPr>
        <w:t xml:space="preserve">73 · Il protocollo del doppio cieco.</w:t>
      </w:r>
      <w:r>
        <w:rPr>
          <w:rFonts w:ascii="Barlow Semi Condensed" w:cs="Barlow Semi Condensed" w:eastAsia="Barlow Semi Condensed" w:hAnsi="Barlow Semi Condensed"/>
          <w:sz w:val="24"/>
          <w:szCs w:val="24"/>
        </w:rPr>
        <w:t xml:space="preserve"> Le comparazioni dirimenti — balistiche e genetiche — si eseguono in cieco rispetto alle ipotesi: il laboratorio riceve campioni numerati, non narrazioni.</w:t>
      </w:r>
    </w:p>
    <w:p>
      <w:pPr>
        <w:spacing w:after="120" w:line="276"/>
        <w:jc w:val="both"/>
      </w:pPr>
      <w:r>
        <w:rPr>
          <w:rFonts w:ascii="Barlow Semi Condensed" w:cs="Barlow Semi Condensed" w:eastAsia="Barlow Semi Condensed" w:hAnsi="Barlow Semi Condensed"/>
          <w:b/>
          <w:bCs/>
          <w:sz w:val="24"/>
          <w:szCs w:val="24"/>
        </w:rPr>
        <w:t xml:space="preserve">74 · La replica indipendente.</w:t>
      </w:r>
      <w:r>
        <w:rPr>
          <w:rFonts w:ascii="Barlow Semi Condensed" w:cs="Barlow Semi Condensed" w:eastAsia="Barlow Semi Condensed" w:hAnsi="Barlow Semi Condensed"/>
          <w:sz w:val="24"/>
          <w:szCs w:val="24"/>
        </w:rPr>
        <w:t xml:space="preserve"> Ogni esito dirimente si replica in un secondo laboratorio prima di entrare negli atti col grado pieno: la scienza che non si replica è un'opinione costosa.</w:t>
      </w:r>
    </w:p>
    <w:p>
      <w:pPr>
        <w:spacing w:after="120" w:line="276"/>
        <w:jc w:val="both"/>
      </w:pPr>
      <w:r>
        <w:rPr>
          <w:rFonts w:ascii="Barlow Semi Condensed" w:cs="Barlow Semi Condensed" w:eastAsia="Barlow Semi Condensed" w:hAnsi="Barlow Semi Condensed"/>
          <w:b/>
          <w:bCs/>
          <w:sz w:val="24"/>
          <w:szCs w:val="24"/>
        </w:rPr>
        <w:t xml:space="preserve">75 · L'indecidibilità dichiarata.</w:t>
      </w:r>
      <w:r>
        <w:rPr>
          <w:rFonts w:ascii="Barlow Semi Condensed" w:cs="Barlow Semi Condensed" w:eastAsia="Barlow Semi Condensed" w:hAnsi="Barlow Semi Condensed"/>
          <w:sz w:val="24"/>
          <w:szCs w:val="24"/>
        </w:rPr>
        <w:t xml:space="preserve"> «Il reperto non consente conclusioni» è un esito nobile: si verbalizza con le ragioni tecniche e chiude il quesito fino a tecnica nuova, con criterio di riapertura scritto.</w:t>
      </w:r>
    </w:p>
    <w:p>
      <w:pPr>
        <w:spacing w:after="120" w:line="276"/>
        <w:jc w:val="both"/>
      </w:pPr>
      <w:r>
        <w:rPr>
          <w:rFonts w:ascii="Barlow Semi Condensed" w:cs="Barlow Semi Condensed" w:eastAsia="Barlow Semi Condensed" w:hAnsi="Barlow Semi Condensed"/>
          <w:b/>
          <w:bCs/>
          <w:sz w:val="24"/>
          <w:szCs w:val="24"/>
        </w:rPr>
        <w:t xml:space="preserve">76 · Il registro delle tecniche future.</w:t>
      </w:r>
      <w:r>
        <w:rPr>
          <w:rFonts w:ascii="Barlow Semi Condensed" w:cs="Barlow Semi Condensed" w:eastAsia="Barlow Semi Condensed" w:hAnsi="Barlow Semi Condensed"/>
          <w:sz w:val="24"/>
          <w:szCs w:val="24"/>
        </w:rPr>
        <w:t xml:space="preserve"> Per ogni reperto che le tecniche attuali non risolvono si annota quale progresso tecnico lo riaprirebbe: il fascicolo dei reperti è scritto anche per chi verrà.</w:t>
      </w:r>
    </w:p>
    <w:p>
      <w:pPr>
        <w:spacing w:after="120" w:line="276"/>
        <w:jc w:val="both"/>
      </w:pPr>
      <w:r>
        <w:rPr>
          <w:rFonts w:ascii="Barlow Semi Condensed" w:cs="Barlow Semi Condensed" w:eastAsia="Barlow Semi Condensed" w:hAnsi="Barlow Semi Condensed"/>
          <w:b/>
          <w:bCs/>
          <w:sz w:val="24"/>
          <w:szCs w:val="24"/>
        </w:rPr>
        <w:t xml:space="preserve">77 · Le tracce di via Fani non repertate.</w:t>
      </w:r>
      <w:r>
        <w:rPr>
          <w:rFonts w:ascii="Barlow Semi Condensed" w:cs="Barlow Semi Condensed" w:eastAsia="Barlow Semi Condensed" w:hAnsi="Barlow Semi Condensed"/>
          <w:sz w:val="24"/>
          <w:szCs w:val="24"/>
        </w:rPr>
        <w:t xml:space="preserve"> Il censimento di ciò che nel 1978 non fu repertato — dai rilievi, dalle foto, dai verbali — produce la carta delle perdite originarie: serve a non cercare l'introvabile e a non scambiare l'assenza per anomalia.</w:t>
      </w:r>
    </w:p>
    <w:p>
      <w:pPr>
        <w:spacing w:after="120" w:line="276"/>
        <w:jc w:val="both"/>
      </w:pPr>
      <w:r>
        <w:rPr>
          <w:rFonts w:ascii="Barlow Semi Condensed" w:cs="Barlow Semi Condensed" w:eastAsia="Barlow Semi Condensed" w:hAnsi="Barlow Semi Condensed"/>
          <w:b/>
          <w:bCs/>
          <w:sz w:val="24"/>
          <w:szCs w:val="24"/>
        </w:rPr>
        <w:t xml:space="preserve">78 · Il suono e le immagini.</w:t>
      </w:r>
      <w:r>
        <w:rPr>
          <w:rFonts w:ascii="Barlow Semi Condensed" w:cs="Barlow Semi Condensed" w:eastAsia="Barlow Semi Condensed" w:hAnsi="Barlow Semi Condensed"/>
          <w:sz w:val="24"/>
          <w:szCs w:val="24"/>
        </w:rPr>
        <w:t xml:space="preserve"> Registrazioni radio, filmati d'epoca, fotografie di agenzia dei luoghi nelle ore critiche: si censiscono come reperti, con perizia di datazione e di contenuto; l'analisi delle fonti audiovisive segue gli stessi gradi delle carte.</w:t>
      </w:r>
    </w:p>
    <w:p>
      <w:pPr>
        <w:spacing w:after="120" w:line="276"/>
        <w:jc w:val="both"/>
      </w:pPr>
      <w:r>
        <w:rPr>
          <w:rFonts w:ascii="Barlow Semi Condensed" w:cs="Barlow Semi Condensed" w:eastAsia="Barlow Semi Condensed" w:hAnsi="Barlow Semi Condensed"/>
          <w:b/>
          <w:bCs/>
          <w:sz w:val="24"/>
          <w:szCs w:val="24"/>
        </w:rPr>
        <w:t xml:space="preserve">79 · Le telefonate delle BR.</w:t>
      </w:r>
      <w:r>
        <w:rPr>
          <w:rFonts w:ascii="Barlow Semi Condensed" w:cs="Barlow Semi Condensed" w:eastAsia="Barlow Semi Condensed" w:hAnsi="Barlow Semi Condensed"/>
          <w:sz w:val="24"/>
          <w:szCs w:val="24"/>
        </w:rPr>
        <w:t xml:space="preserve"> Le registrazioni delle comunicazioni telefoniche dell'organizzazione (i comunicati dettati, la telefonata a casa Moro) si riesaminano con le tecniche foniche attuali per ciò che i quesiti degli anni '70 non chiesero.</w:t>
      </w:r>
    </w:p>
    <w:p>
      <w:pPr>
        <w:spacing w:after="120" w:line="276"/>
        <w:jc w:val="both"/>
      </w:pPr>
      <w:r>
        <w:rPr>
          <w:rFonts w:ascii="Barlow Semi Condensed" w:cs="Barlow Semi Condensed" w:eastAsia="Barlow Semi Condensed" w:hAnsi="Barlow Semi Condensed"/>
          <w:b/>
          <w:bCs/>
          <w:sz w:val="24"/>
          <w:szCs w:val="24"/>
        </w:rPr>
        <w:t xml:space="preserve">80 · La voce del falso.</w:t>
      </w:r>
      <w:r>
        <w:rPr>
          <w:rFonts w:ascii="Barlow Semi Condensed" w:cs="Barlow Semi Condensed" w:eastAsia="Barlow Semi Condensed" w:hAnsi="Barlow Semi Condensed"/>
          <w:sz w:val="24"/>
          <w:szCs w:val="24"/>
        </w:rPr>
        <w:t xml:space="preserve"> Se esistono supporti fonici collegati alla vicenda del falso comunicato e del lago della Duchessa, entrano nel quesito del blocco 65: l'officina del falso è un quesito unitario, documentale e tecnico.</w:t>
      </w:r>
    </w:p>
    <w:p>
      <w:pPr>
        <w:spacing w:after="120" w:line="276"/>
        <w:jc w:val="both"/>
      </w:pPr>
      <w:r>
        <w:rPr>
          <w:rFonts w:ascii="Barlow Semi Condensed" w:cs="Barlow Semi Condensed" w:eastAsia="Barlow Semi Condensed" w:hAnsi="Barlow Semi Condensed"/>
          <w:b/>
          <w:bCs/>
          <w:sz w:val="24"/>
          <w:szCs w:val="24"/>
        </w:rPr>
        <w:t xml:space="preserve">81 · Il perimetro merceologico.</w:t>
      </w:r>
      <w:r>
        <w:rPr>
          <w:rFonts w:ascii="Barlow Semi Condensed" w:cs="Barlow Semi Condensed" w:eastAsia="Barlow Semi Condensed" w:hAnsi="Barlow Semi Condensed"/>
          <w:sz w:val="24"/>
          <w:szCs w:val="24"/>
        </w:rPr>
        <w:t xml:space="preserve"> Munizioni, vernici, fibre, carte: per ogni classe merceologica repertata si verifica se le banche dati attuali consentano attribuzioni di lotto o d'epoca impossibili nel 1978.</w:t>
      </w:r>
    </w:p>
    <w:p>
      <w:pPr>
        <w:spacing w:after="120" w:line="276"/>
        <w:jc w:val="both"/>
      </w:pPr>
      <w:r>
        <w:rPr>
          <w:rFonts w:ascii="Barlow Semi Condensed" w:cs="Barlow Semi Condensed" w:eastAsia="Barlow Semi Condensed" w:hAnsi="Barlow Semi Condensed"/>
          <w:b/>
          <w:bCs/>
          <w:sz w:val="24"/>
          <w:szCs w:val="24"/>
        </w:rPr>
        <w:t xml:space="preserve">82 · Gli esami mai fatti.</w:t>
      </w:r>
      <w:r>
        <w:rPr>
          <w:rFonts w:ascii="Barlow Semi Condensed" w:cs="Barlow Semi Condensed" w:eastAsia="Barlow Semi Condensed" w:hAnsi="Barlow Semi Condensed"/>
          <w:sz w:val="24"/>
          <w:szCs w:val="24"/>
        </w:rPr>
        <w:t xml:space="preserve"> Dai fascicoli processuali si estrae l'elenco degli esami richiesti e mai eseguiti, o eseguiti e mai depositati: ogni voce è insieme una pista tecnica e un item per il registro delle omissioni (serie settima).</w:t>
      </w:r>
    </w:p>
    <w:p>
      <w:pPr>
        <w:spacing w:after="120" w:line="276"/>
        <w:jc w:val="both"/>
      </w:pPr>
      <w:r>
        <w:rPr>
          <w:rFonts w:ascii="Barlow Semi Condensed" w:cs="Barlow Semi Condensed" w:eastAsia="Barlow Semi Condensed" w:hAnsi="Barlow Semi Condensed"/>
          <w:b/>
          <w:bCs/>
          <w:sz w:val="24"/>
          <w:szCs w:val="24"/>
        </w:rPr>
        <w:t xml:space="preserve">83 · Il reperto testimoniale materiale.</w:t>
      </w:r>
      <w:r>
        <w:rPr>
          <w:rFonts w:ascii="Barlow Semi Condensed" w:cs="Barlow Semi Condensed" w:eastAsia="Barlow Semi Condensed" w:hAnsi="Barlow Semi Condensed"/>
          <w:sz w:val="24"/>
          <w:szCs w:val="24"/>
        </w:rPr>
        <w:t xml:space="preserve"> Gli oggetti dei testimoni — il motorino dell'ingegnere, con il suo parabrezza — hanno una storia materiale documentabile (foto, riparazioni): la lezione Marini si applica a ogni corroborazione fisica invocata.</w:t>
      </w:r>
    </w:p>
    <w:p>
      <w:pPr>
        <w:spacing w:after="120" w:line="276"/>
        <w:jc w:val="both"/>
      </w:pPr>
      <w:r>
        <w:rPr>
          <w:rFonts w:ascii="Barlow Semi Condensed" w:cs="Barlow Semi Condensed" w:eastAsia="Barlow Semi Condensed" w:hAnsi="Barlow Semi Condensed"/>
          <w:b/>
          <w:bCs/>
          <w:sz w:val="24"/>
          <w:szCs w:val="24"/>
        </w:rPr>
        <w:t xml:space="preserve">84 · I luoghi come reperti.</w:t>
      </w:r>
      <w:r>
        <w:rPr>
          <w:rFonts w:ascii="Barlow Semi Condensed" w:cs="Barlow Semi Condensed" w:eastAsia="Barlow Semi Condensed" w:hAnsi="Barlow Semi Condensed"/>
          <w:sz w:val="24"/>
          <w:szCs w:val="24"/>
        </w:rPr>
        <w:t xml:space="preserve"> Via Fani, via Gradoli 96, via Montalcini 8, via Caetani: rilievi tridimensionali attuali dei luoghi, sovrapposti ai rilievi del 1978, fissano per sempre la geometria del caso prima che l'edilizia la cancelli.</w:t>
      </w:r>
    </w:p>
    <w:p>
      <w:pPr>
        <w:spacing w:after="120" w:line="276"/>
        <w:jc w:val="both"/>
      </w:pPr>
      <w:r>
        <w:rPr>
          <w:rFonts w:ascii="Barlow Semi Condensed" w:cs="Barlow Semi Condensed" w:eastAsia="Barlow Semi Condensed" w:hAnsi="Barlow Semi Condensed"/>
          <w:b/>
          <w:bCs/>
          <w:sz w:val="24"/>
          <w:szCs w:val="24"/>
        </w:rPr>
        <w:t xml:space="preserve">85 · La ricostruzione dinamica.</w:t>
      </w:r>
      <w:r>
        <w:rPr>
          <w:rFonts w:ascii="Barlow Semi Condensed" w:cs="Barlow Semi Condensed" w:eastAsia="Barlow Semi Condensed" w:hAnsi="Barlow Semi Condensed"/>
          <w:sz w:val="24"/>
          <w:szCs w:val="24"/>
        </w:rPr>
        <w:t xml:space="preserve"> Sulla geometria del blocco 84 si costruisce la simulazione balistico-dinamica dell'agguato — traiettorie, tempi, posizioni — come strumento di verifica delle testimonianze e delle perizie, non come film.</w:t>
      </w:r>
    </w:p>
    <w:p>
      <w:pPr>
        <w:spacing w:after="120" w:line="276"/>
        <w:jc w:val="both"/>
      </w:pPr>
      <w:r>
        <w:rPr>
          <w:rFonts w:ascii="Barlow Semi Condensed" w:cs="Barlow Semi Condensed" w:eastAsia="Barlow Semi Condensed" w:hAnsi="Barlow Semi Condensed"/>
          <w:b/>
          <w:bCs/>
          <w:sz w:val="24"/>
          <w:szCs w:val="24"/>
        </w:rPr>
        <w:t xml:space="preserve">86 · Il vestiario e gli effetti personali.</w:t>
      </w:r>
      <w:r>
        <w:rPr>
          <w:rFonts w:ascii="Barlow Semi Condensed" w:cs="Barlow Semi Condensed" w:eastAsia="Barlow Semi Condensed" w:hAnsi="Barlow Semi Condensed"/>
          <w:sz w:val="24"/>
          <w:szCs w:val="24"/>
        </w:rPr>
        <w:t xml:space="preserve"> Gli effetti delle vittime e dell'ostaggio, ovunque conservati, rientrano nell'inventario generale col massimo riguardo per le famiglie: la scienza vi accede solo per quesiti che nessun altro reperto può risolvere.</w:t>
      </w:r>
    </w:p>
    <w:p>
      <w:pPr>
        <w:spacing w:after="120" w:line="276"/>
        <w:jc w:val="both"/>
      </w:pPr>
      <w:r>
        <w:rPr>
          <w:rFonts w:ascii="Barlow Semi Condensed" w:cs="Barlow Semi Condensed" w:eastAsia="Barlow Semi Condensed" w:hAnsi="Barlow Semi Condensed"/>
          <w:b/>
          <w:bCs/>
          <w:sz w:val="24"/>
          <w:szCs w:val="24"/>
        </w:rPr>
        <w:t xml:space="preserve">87 · La sabbia e i pollini.</w:t>
      </w:r>
      <w:r>
        <w:rPr>
          <w:rFonts w:ascii="Barlow Semi Condensed" w:cs="Barlow Semi Condensed" w:eastAsia="Barlow Semi Condensed" w:hAnsi="Barlow Semi Condensed"/>
          <w:sz w:val="24"/>
          <w:szCs w:val="24"/>
        </w:rPr>
        <w:t xml:space="preserve"> Le tracce ambientali sul corpo e sugli abiti di Moro — già oggetto di perizie storiche discusse — si riesaminano con la geologia e la palinologia forensi attuali, col quesito ristretto ai luoghi di detenzione e transito.</w:t>
      </w:r>
    </w:p>
    <w:p>
      <w:pPr>
        <w:spacing w:after="120" w:line="276"/>
        <w:jc w:val="both"/>
      </w:pPr>
      <w:r>
        <w:rPr>
          <w:rFonts w:ascii="Barlow Semi Condensed" w:cs="Barlow Semi Condensed" w:eastAsia="Barlow Semi Condensed" w:hAnsi="Barlow Semi Condensed"/>
          <w:b/>
          <w:bCs/>
          <w:sz w:val="24"/>
          <w:szCs w:val="24"/>
        </w:rPr>
        <w:t xml:space="preserve">88 · Il limite del corpo.</w:t>
      </w:r>
      <w:r>
        <w:rPr>
          <w:rFonts w:ascii="Barlow Semi Condensed" w:cs="Barlow Semi Condensed" w:eastAsia="Barlow Semi Condensed" w:hAnsi="Barlow Semi Condensed"/>
          <w:sz w:val="24"/>
          <w:szCs w:val="24"/>
        </w:rPr>
        <w:t xml:space="preserve"> Ogni ulteriore quesito che toccasse la salma richiede un'asticella altissima: solo un quesito che nessun reperto alternativo possa risolvere, con il consenso della famiglia e l'autorizzazione dell'autorità. Il manuale lo scrive per escluderlo di fatto.</w:t>
      </w:r>
    </w:p>
    <w:p>
      <w:pPr>
        <w:spacing w:after="120" w:line="276"/>
        <w:jc w:val="both"/>
      </w:pPr>
      <w:r>
        <w:rPr>
          <w:rFonts w:ascii="Barlow Semi Condensed" w:cs="Barlow Semi Condensed" w:eastAsia="Barlow Semi Condensed" w:hAnsi="Barlow Semi Condensed"/>
          <w:b/>
          <w:bCs/>
          <w:sz w:val="24"/>
          <w:szCs w:val="24"/>
        </w:rPr>
        <w:t xml:space="preserve">89 · Il fascicolo fotografico unificato.</w:t>
      </w:r>
      <w:r>
        <w:rPr>
          <w:rFonts w:ascii="Barlow Semi Condensed" w:cs="Barlow Semi Condensed" w:eastAsia="Barlow Semi Condensed" w:hAnsi="Barlow Semi Condensed"/>
          <w:sz w:val="24"/>
          <w:szCs w:val="24"/>
        </w:rPr>
        <w:t xml:space="preserve"> Tutte le immagini tecniche prodotte dal cantiere confluiscono in un fascicolo unico indicizzato per reperto e data: la prova visiva dispersa è prova dimezzata.</w:t>
      </w:r>
    </w:p>
    <w:p>
      <w:pPr>
        <w:spacing w:after="120" w:line="276"/>
        <w:jc w:val="both"/>
      </w:pPr>
      <w:r>
        <w:rPr>
          <w:rFonts w:ascii="Barlow Semi Condensed" w:cs="Barlow Semi Condensed" w:eastAsia="Barlow Semi Condensed" w:hAnsi="Barlow Semi Condensed"/>
          <w:b/>
          <w:bCs/>
          <w:sz w:val="24"/>
          <w:szCs w:val="24"/>
        </w:rPr>
        <w:t xml:space="preserve">90 · La relazione di cantiere.</w:t>
      </w:r>
      <w:r>
        <w:rPr>
          <w:rFonts w:ascii="Barlow Semi Condensed" w:cs="Barlow Semi Condensed" w:eastAsia="Barlow Semi Condensed" w:hAnsi="Barlow Semi Condensed"/>
          <w:sz w:val="24"/>
          <w:szCs w:val="24"/>
        </w:rPr>
        <w:t xml:space="preserve"> Il cantiere dei reperti produce una relazione annuale pubblica: reperti esaminati, esiti per grado, indecidibilità dichiarate, tecniche attese. È la contabilità della scienza del caso.</w:t>
      </w:r>
    </w:p>
    <w:p>
      <w:pPr>
        <w:pStyle w:val="Heading2"/>
        <w:spacing w:after="100" w:before="200"/>
      </w:pPr>
      <w:r>
        <w:rPr>
          <w:rFonts w:ascii="Barlow Semi Condensed" w:cs="Barlow Semi Condensed" w:eastAsia="Barlow Semi Condensed" w:hAnsi="Barlow Semi Condensed"/>
          <w:sz w:val="24"/>
          <w:szCs w:val="24"/>
        </w:rPr>
        <w:t xml:space="preserve">Serie quarta — Gli archivi (blocchi 91-140)</w:t>
      </w:r>
    </w:p>
    <w:p>
      <w:pPr>
        <w:spacing w:after="120" w:line="276"/>
        <w:jc w:val="both"/>
      </w:pPr>
      <w:r>
        <w:rPr>
          <w:rFonts w:ascii="Barlow Semi Condensed" w:cs="Barlow Semi Condensed" w:eastAsia="Barlow Semi Condensed" w:hAnsi="Barlow Semi Condensed"/>
          <w:i/>
          <w:iCs/>
          <w:sz w:val="24"/>
          <w:szCs w:val="24"/>
        </w:rPr>
        <w:t xml:space="preserve">Statuto della serie: il cantiere delle carte. Il giacimento c'è — versato, identificato, in parte contato — e la serie lo aggredisce per fondi, con metodo unico e inventari pubblici.</w:t>
      </w:r>
    </w:p>
    <w:p>
      <w:pPr>
        <w:spacing w:after="120" w:line="276"/>
        <w:jc w:val="both"/>
      </w:pPr>
      <w:r>
        <w:rPr>
          <w:rFonts w:ascii="Barlow Semi Condensed" w:cs="Barlow Semi Condensed" w:eastAsia="Barlow Semi Condensed" w:hAnsi="Barlow Semi Condensed"/>
          <w:b/>
          <w:bCs/>
          <w:sz w:val="24"/>
          <w:szCs w:val="24"/>
        </w:rPr>
        <w:t xml:space="preserve">91 · La mappa dei fondi.</w:t>
      </w:r>
      <w:r>
        <w:rPr>
          <w:rFonts w:ascii="Barlow Semi Condensed" w:cs="Barlow Semi Condensed" w:eastAsia="Barlow Semi Condensed" w:hAnsi="Barlow Semi Condensed"/>
          <w:sz w:val="24"/>
          <w:szCs w:val="24"/>
        </w:rPr>
        <w:t xml:space="preserve"> Primo atto: la mappa unificata dei giacimenti — fondo Direttiva Renzi all'ACS, archivi del Viminale e delle questure, fascicoli dei cinque processi, atti delle commissioni, archivi del Senato desecretati, NARA, FOIA americane, archivi vaticani a venire, registri immobiliari e societari — con stato d'accesso e responsabile per ciascuno.</w:t>
      </w:r>
    </w:p>
    <w:p>
      <w:pPr>
        <w:spacing w:after="120" w:line="276"/>
        <w:jc w:val="both"/>
      </w:pPr>
      <w:r>
        <w:rPr>
          <w:rFonts w:ascii="Barlow Semi Condensed" w:cs="Barlow Semi Condensed" w:eastAsia="Barlow Semi Condensed" w:hAnsi="Barlow Semi Condensed"/>
          <w:b/>
          <w:bCs/>
          <w:sz w:val="24"/>
          <w:szCs w:val="24"/>
        </w:rPr>
        <w:t xml:space="preserve">92 · Il fondo Renzi: il progetto di spoglio.</w:t>
      </w:r>
      <w:r>
        <w:rPr>
          <w:rFonts w:ascii="Barlow Semi Condensed" w:cs="Barlow Semi Condensed" w:eastAsia="Barlow Semi Condensed" w:hAnsi="Barlow Semi Condensed"/>
          <w:sz w:val="24"/>
          <w:szCs w:val="24"/>
        </w:rPr>
        <w:t xml:space="preserve"> Le circa duemila buste dei 156 uffici versanti si spogliano per progetto formale: équipe, protocollo di schedatura, inventario analitico pubblicato per lotti, chiavi di ricerca dichiarate.</w:t>
      </w:r>
    </w:p>
    <w:p>
      <w:pPr>
        <w:spacing w:after="120" w:line="276"/>
        <w:jc w:val="both"/>
      </w:pPr>
      <w:r>
        <w:rPr>
          <w:rFonts w:ascii="Barlow Semi Condensed" w:cs="Barlow Semi Condensed" w:eastAsia="Barlow Semi Condensed" w:hAnsi="Barlow Semi Condensed"/>
          <w:b/>
          <w:bCs/>
          <w:sz w:val="24"/>
          <w:szCs w:val="24"/>
        </w:rPr>
        <w:t xml:space="preserve">93 · Le chiavi del caso.</w:t>
      </w:r>
      <w:r>
        <w:rPr>
          <w:rFonts w:ascii="Barlow Semi Condensed" w:cs="Barlow Semi Condensed" w:eastAsia="Barlow Semi Condensed" w:hAnsi="Barlow Semi Condensed"/>
          <w:sz w:val="24"/>
          <w:szCs w:val="24"/>
        </w:rPr>
        <w:t xml:space="preserve"> Le chiavi minime dello spoglio: via Fani; Gradoli (via e paese); Montalcini; Duchessa; i comitati; le segnalazioni; il memoriale; i nomi del registro giudicato; le date-cardine (16/3, 18/3, 2/4, 18/4, 9/5). Ogni chiave genera una scheda di rinvenimento.</w:t>
      </w:r>
    </w:p>
    <w:p>
      <w:pPr>
        <w:spacing w:after="120" w:line="276"/>
        <w:jc w:val="both"/>
      </w:pPr>
      <w:r>
        <w:rPr>
          <w:rFonts w:ascii="Barlow Semi Condensed" w:cs="Barlow Semi Condensed" w:eastAsia="Barlow Semi Condensed" w:hAnsi="Barlow Semi Condensed"/>
          <w:b/>
          <w:bCs/>
          <w:sz w:val="24"/>
          <w:szCs w:val="24"/>
        </w:rPr>
        <w:t xml:space="preserve">94 · La priorità dei versanti Viminale.</w:t>
      </w:r>
      <w:r>
        <w:rPr>
          <w:rFonts w:ascii="Barlow Semi Condensed" w:cs="Barlow Semi Condensed" w:eastAsia="Barlow Semi Condensed" w:hAnsi="Barlow Semi Condensed"/>
          <w:sz w:val="24"/>
          <w:szCs w:val="24"/>
        </w:rPr>
        <w:t xml:space="preserve"> Fra i 156 uffici, priorità assoluta ai versamenti del Ministero dell'Interno e degli organi di polizia: sono la sede naturale dei protocolli d'ingresso della serie settima e delle catene di comando delle schede.</w:t>
      </w:r>
    </w:p>
    <w:p>
      <w:pPr>
        <w:spacing w:after="120" w:line="276"/>
        <w:jc w:val="both"/>
      </w:pPr>
      <w:r>
        <w:rPr>
          <w:rFonts w:ascii="Barlow Semi Condensed" w:cs="Barlow Semi Condensed" w:eastAsia="Barlow Semi Condensed" w:hAnsi="Barlow Semi Condensed"/>
          <w:b/>
          <w:bCs/>
          <w:sz w:val="24"/>
          <w:szCs w:val="24"/>
        </w:rPr>
        <w:t xml:space="preserve">95 · La scheda di rinvenimento.</w:t>
      </w:r>
      <w:r>
        <w:rPr>
          <w:rFonts w:ascii="Barlow Semi Condensed" w:cs="Barlow Semi Condensed" w:eastAsia="Barlow Semi Condensed" w:hAnsi="Barlow Semi Condensed"/>
          <w:sz w:val="24"/>
          <w:szCs w:val="24"/>
        </w:rPr>
        <w:t xml:space="preserve"> Ogni documento pertinente genera una scheda: segnatura, data, ufficio produttore, contenuto in tre righe, grado, piste che alimenta. Le schede sono pubbliche; i documenti citabili per segnatura.</w:t>
      </w:r>
    </w:p>
    <w:p>
      <w:pPr>
        <w:spacing w:after="120" w:line="276"/>
        <w:jc w:val="both"/>
      </w:pPr>
      <w:r>
        <w:rPr>
          <w:rFonts w:ascii="Barlow Semi Condensed" w:cs="Barlow Semi Condensed" w:eastAsia="Barlow Semi Condensed" w:hAnsi="Barlow Semi Condensed"/>
          <w:b/>
          <w:bCs/>
          <w:sz w:val="24"/>
          <w:szCs w:val="24"/>
        </w:rPr>
        <w:t xml:space="preserve">96 · Il registro dei non trovati.</w:t>
      </w:r>
      <w:r>
        <w:rPr>
          <w:rFonts w:ascii="Barlow Semi Condensed" w:cs="Barlow Semi Condensed" w:eastAsia="Barlow Semi Condensed" w:hAnsi="Barlow Semi Condensed"/>
          <w:sz w:val="24"/>
          <w:szCs w:val="24"/>
        </w:rPr>
        <w:t xml:space="preserve"> Per ogni documento dovuto e non rinvenuto — l'ordine di servizio, il verbale, il protocollo — si apre una scheda di assenza: dove avrebbe dovuto essere, chi avrebbe dovuto produrlo, quando la sua assenza è stata constatata.</w:t>
      </w:r>
    </w:p>
    <w:p>
      <w:pPr>
        <w:spacing w:after="120" w:line="276"/>
        <w:jc w:val="both"/>
      </w:pPr>
      <w:r>
        <w:rPr>
          <w:rFonts w:ascii="Barlow Semi Condensed" w:cs="Barlow Semi Condensed" w:eastAsia="Barlow Semi Condensed" w:hAnsi="Barlow Semi Condensed"/>
          <w:b/>
          <w:bCs/>
          <w:sz w:val="24"/>
          <w:szCs w:val="24"/>
        </w:rPr>
        <w:t xml:space="preserve">97 · I fascicoli processuali.</w:t>
      </w:r>
      <w:r>
        <w:rPr>
          <w:rFonts w:ascii="Barlow Semi Condensed" w:cs="Barlow Semi Condensed" w:eastAsia="Barlow Semi Condensed" w:hAnsi="Barlow Semi Condensed"/>
          <w:sz w:val="24"/>
          <w:szCs w:val="24"/>
        </w:rPr>
        <w:t xml:space="preserve"> I cinque processi Moro come fondo primario: verbali di perquisizione dei covi (con l'item specifico dei nomi dei cappellani, scheda PE-4), elenchi dei reperti, perizie depositate, liste testi. L'autorizzazione si chiede una volta, per un piano organico.</w:t>
      </w:r>
    </w:p>
    <w:p>
      <w:pPr>
        <w:spacing w:after="120" w:line="276"/>
        <w:jc w:val="both"/>
      </w:pPr>
      <w:r>
        <w:rPr>
          <w:rFonts w:ascii="Barlow Semi Condensed" w:cs="Barlow Semi Condensed" w:eastAsia="Barlow Semi Condensed" w:hAnsi="Barlow Semi Condensed"/>
          <w:b/>
          <w:bCs/>
          <w:sz w:val="24"/>
          <w:szCs w:val="24"/>
        </w:rPr>
        <w:t xml:space="preserve">98 · Gli atti delle commissioni.</w:t>
      </w:r>
      <w:r>
        <w:rPr>
          <w:rFonts w:ascii="Barlow Semi Condensed" w:cs="Barlow Semi Condensed" w:eastAsia="Barlow Semi Condensed" w:hAnsi="Barlow Semi Condensed"/>
          <w:sz w:val="24"/>
          <w:szCs w:val="24"/>
        </w:rPr>
        <w:t xml:space="preserve"> Moro 1, Stragi, Mitrokhin, Moro 2, Anselmi: gli atti — comprese le audizioni secretate via via declassificate — si indicizzano con le stesse chiavi del blocco 93, per fare del patrimonio parlamentare un unico strato interrogabile.</w:t>
      </w:r>
    </w:p>
    <w:p>
      <w:pPr>
        <w:spacing w:after="120" w:line="276"/>
        <w:jc w:val="both"/>
      </w:pPr>
      <w:r>
        <w:rPr>
          <w:rFonts w:ascii="Barlow Semi Condensed" w:cs="Barlow Semi Condensed" w:eastAsia="Barlow Semi Condensed" w:hAnsi="Barlow Semi Condensed"/>
          <w:b/>
          <w:bCs/>
          <w:sz w:val="24"/>
          <w:szCs w:val="24"/>
        </w:rPr>
        <w:t xml:space="preserve">99 · Gli archivi del Senato.</w:t>
      </w:r>
      <w:r>
        <w:rPr>
          <w:rFonts w:ascii="Barlow Semi Condensed" w:cs="Barlow Semi Condensed" w:eastAsia="Barlow Semi Condensed" w:hAnsi="Barlow Semi Condensed"/>
          <w:sz w:val="24"/>
          <w:szCs w:val="24"/>
        </w:rPr>
        <w:t xml:space="preserve"> Il patrimonio desecretato dell'Archivio storico del Senato (le decine di migliaia di pagine delle commissioni) si tratta come fondo autonomo con proprio spoglio: è il ponte fra il piano parlamentare e quello giudiziario.</w:t>
      </w:r>
    </w:p>
    <w:p>
      <w:pPr>
        <w:spacing w:after="120" w:line="276"/>
        <w:jc w:val="both"/>
      </w:pPr>
      <w:r>
        <w:rPr>
          <w:rFonts w:ascii="Barlow Semi Condensed" w:cs="Barlow Semi Condensed" w:eastAsia="Barlow Semi Condensed" w:hAnsi="Barlow Semi Condensed"/>
          <w:b/>
          <w:bCs/>
          <w:sz w:val="24"/>
          <w:szCs w:val="24"/>
        </w:rPr>
        <w:t xml:space="preserve">100 · La catena della «seduta».</w:t>
      </w:r>
      <w:r>
        <w:rPr>
          <w:rFonts w:ascii="Barlow Semi Condensed" w:cs="Barlow Semi Condensed" w:eastAsia="Barlow Semi Condensed" w:hAnsi="Barlow Semi Condensed"/>
          <w:sz w:val="24"/>
          <w:szCs w:val="24"/>
        </w:rPr>
        <w:t xml:space="preserve"> Nel fondo Renzi e negli archivi di PS: la verbalizzazione originaria della segnalazione di Zappolino, l'ordine di perquisizione del paese di Gradoli con la sua motivazione, il carteggio Viminale-questure del 4-18 aprile, ogni verifica sull'omonimia stradale. La catena, non la fonte.</w:t>
      </w:r>
    </w:p>
    <w:p>
      <w:pPr>
        <w:spacing w:after="120" w:line="276"/>
        <w:jc w:val="both"/>
      </w:pPr>
      <w:r>
        <w:rPr>
          <w:rFonts w:ascii="Barlow Semi Condensed" w:cs="Barlow Semi Condensed" w:eastAsia="Barlow Semi Condensed" w:hAnsi="Barlow Semi Condensed"/>
          <w:b/>
          <w:bCs/>
          <w:sz w:val="24"/>
          <w:szCs w:val="24"/>
        </w:rPr>
        <w:t xml:space="preserve">101 · Il fascicolo del Flaminio Nuovo.</w:t>
      </w:r>
      <w:r>
        <w:rPr>
          <w:rFonts w:ascii="Barlow Semi Condensed" w:cs="Barlow Semi Condensed" w:eastAsia="Barlow Semi Condensed" w:hAnsi="Barlow Semi Condensed"/>
          <w:sz w:val="24"/>
          <w:szCs w:val="24"/>
        </w:rPr>
        <w:t xml:space="preserve"> L'ordine di servizio del 18 marzo, il rapporto della squadra, il registro dei controlli di zona, l'eventuale nota di mancato seguito: il micro-fondo che decide la scheda PE-3.</w:t>
      </w:r>
    </w:p>
    <w:p>
      <w:pPr>
        <w:spacing w:after="120" w:line="276"/>
        <w:jc w:val="both"/>
      </w:pPr>
      <w:r>
        <w:rPr>
          <w:rFonts w:ascii="Barlow Semi Condensed" w:cs="Barlow Semi Condensed" w:eastAsia="Barlow Semi Condensed" w:hAnsi="Barlow Semi Condensed"/>
          <w:b/>
          <w:bCs/>
          <w:sz w:val="24"/>
          <w:szCs w:val="24"/>
        </w:rPr>
        <w:t xml:space="preserve">102 · Il percorso della nota Mokbel.</w:t>
      </w:r>
      <w:r>
        <w:rPr>
          <w:rFonts w:ascii="Barlow Semi Condensed" w:cs="Barlow Semi Condensed" w:eastAsia="Barlow Semi Condensed" w:hAnsi="Barlow Semi Condensed"/>
          <w:sz w:val="24"/>
          <w:szCs w:val="24"/>
        </w:rPr>
        <w:t xml:space="preserve"> Protocollo d'ingresso, assegnazione, disposizioni, ritorno: quattro carte dovute, quattro schede — di rinvenimento o di assenza.</w:t>
      </w:r>
    </w:p>
    <w:p>
      <w:pPr>
        <w:spacing w:after="120" w:line="276"/>
        <w:jc w:val="both"/>
      </w:pPr>
      <w:r>
        <w:rPr>
          <w:rFonts w:ascii="Barlow Semi Condensed" w:cs="Barlow Semi Condensed" w:eastAsia="Barlow Semi Condensed" w:hAnsi="Barlow Semi Condensed"/>
          <w:b/>
          <w:bCs/>
          <w:sz w:val="24"/>
          <w:szCs w:val="24"/>
        </w:rPr>
        <w:t xml:space="preserve">103 · Il fascicolo VVF del 18 aprile.</w:t>
      </w:r>
      <w:r>
        <w:rPr>
          <w:rFonts w:ascii="Barlow Semi Condensed" w:cs="Barlow Semi Condensed" w:eastAsia="Barlow Semi Condensed" w:hAnsi="Barlow Semi Condensed"/>
          <w:sz w:val="24"/>
          <w:szCs w:val="24"/>
        </w:rPr>
        <w:t xml:space="preserve"> Il verbale integrale, i rilievi fotografici, la modulistica dell'intervento: si riacquisisce come unità, perché la scheda PE-3 e il blocco 64 vi poggiano insieme.</w:t>
      </w:r>
    </w:p>
    <w:p>
      <w:pPr>
        <w:spacing w:after="120" w:line="276"/>
        <w:jc w:val="both"/>
      </w:pPr>
      <w:r>
        <w:rPr>
          <w:rFonts w:ascii="Barlow Semi Condensed" w:cs="Barlow Semi Condensed" w:eastAsia="Barlow Semi Condensed" w:hAnsi="Barlow Semi Condensed"/>
          <w:b/>
          <w:bCs/>
          <w:sz w:val="24"/>
          <w:szCs w:val="24"/>
        </w:rPr>
        <w:t xml:space="preserve">104 · Il dossier Montalcini.</w:t>
      </w:r>
      <w:r>
        <w:rPr>
          <w:rFonts w:ascii="Barlow Semi Condensed" w:cs="Barlow Semi Condensed" w:eastAsia="Barlow Semi Condensed" w:hAnsi="Barlow Semi Condensed"/>
          <w:sz w:val="24"/>
          <w:szCs w:val="24"/>
        </w:rPr>
        <w:t xml:space="preserve"> Gli atti dell'osservazione UCIGOS dell'estate-ottobre 1978, la loro catena interna, la data e la forma della tardiva trasmissione all'autorità giudiziaria: il campione del terzo segmento (serie settima) esige il suo fascicolo completo.</w:t>
      </w:r>
    </w:p>
    <w:p>
      <w:pPr>
        <w:spacing w:after="120" w:line="276"/>
        <w:jc w:val="both"/>
      </w:pPr>
      <w:r>
        <w:rPr>
          <w:rFonts w:ascii="Barlow Semi Condensed" w:cs="Barlow Semi Condensed" w:eastAsia="Barlow Semi Condensed" w:hAnsi="Barlow Semi Condensed"/>
          <w:b/>
          <w:bCs/>
          <w:sz w:val="24"/>
          <w:szCs w:val="24"/>
        </w:rPr>
        <w:t xml:space="preserve">105 · I comitati: gli atti primari.</w:t>
      </w:r>
      <w:r>
        <w:rPr>
          <w:rFonts w:ascii="Barlow Semi Condensed" w:cs="Barlow Semi Condensed" w:eastAsia="Barlow Semi Condensed" w:hAnsi="Barlow Semi Condensed"/>
          <w:sz w:val="24"/>
          <w:szCs w:val="24"/>
        </w:rPr>
        <w:t xml:space="preserve"> Decreti istitutivi, verbali, ordini del giorno, elenchi di presenza dei tre livelli (politico-tecnico-operativo, tecnico-operativo, esperti): la tavola nominale della scheda PE-1 si costruisce solo su questi.</w:t>
      </w:r>
    </w:p>
    <w:p>
      <w:pPr>
        <w:spacing w:after="120" w:line="276"/>
        <w:jc w:val="both"/>
      </w:pPr>
      <w:r>
        <w:rPr>
          <w:rFonts w:ascii="Barlow Semi Condensed" w:cs="Barlow Semi Condensed" w:eastAsia="Barlow Semi Condensed" w:hAnsi="Barlow Semi Condensed"/>
          <w:b/>
          <w:bCs/>
          <w:sz w:val="24"/>
          <w:szCs w:val="24"/>
        </w:rPr>
        <w:t xml:space="preserve">106 · Gli elenchi P2 con le date.</w:t>
      </w:r>
      <w:r>
        <w:rPr>
          <w:rFonts w:ascii="Barlow Semi Condensed" w:cs="Barlow Semi Condensed" w:eastAsia="Barlow Semi Condensed" w:hAnsi="Barlow Semi Condensed"/>
          <w:sz w:val="24"/>
          <w:szCs w:val="24"/>
        </w:rPr>
        <w:t xml:space="preserve"> Gli elenchi di Castiglion Fibocchi, con numeri di tessera e date, negli atti della Commissione Anselmi: l'incrocio nominale del blocco 105 usa l'edizione documentale, non le liste di stampa.</w:t>
      </w:r>
    </w:p>
    <w:p>
      <w:pPr>
        <w:spacing w:after="120" w:line="276"/>
        <w:jc w:val="both"/>
      </w:pPr>
      <w:r>
        <w:rPr>
          <w:rFonts w:ascii="Barlow Semi Condensed" w:cs="Barlow Semi Condensed" w:eastAsia="Barlow Semi Condensed" w:hAnsi="Barlow Semi Condensed"/>
          <w:b/>
          <w:bCs/>
          <w:sz w:val="24"/>
          <w:szCs w:val="24"/>
        </w:rPr>
        <w:t xml:space="preserve">107 · Le carte degli «esperti».</w:t>
      </w:r>
      <w:r>
        <w:rPr>
          <w:rFonts w:ascii="Barlow Semi Condensed" w:cs="Barlow Semi Condensed" w:eastAsia="Barlow Semi Condensed" w:hAnsi="Barlow Semi Condensed"/>
          <w:sz w:val="24"/>
          <w:szCs w:val="24"/>
        </w:rPr>
        <w:t xml:space="preserve"> I pareri e le relazioni del comitato mai riunito collegialmente — inclusa la qualificazione di inattendibilità delle lettere — si cercano nei versamenti del Viminale e negli atti delle commissioni: chi li firmò, come circolarono, che effetti ebbero.</w:t>
      </w:r>
    </w:p>
    <w:p>
      <w:pPr>
        <w:spacing w:after="120" w:line="276"/>
        <w:jc w:val="both"/>
      </w:pPr>
      <w:r>
        <w:rPr>
          <w:rFonts w:ascii="Barlow Semi Condensed" w:cs="Barlow Semi Condensed" w:eastAsia="Barlow Semi Condensed" w:hAnsi="Barlow Semi Condensed"/>
          <w:b/>
          <w:bCs/>
          <w:sz w:val="24"/>
          <w:szCs w:val="24"/>
        </w:rPr>
        <w:t xml:space="preserve">108 · La conservatoria di via Gradoli.</w:t>
      </w:r>
      <w:r>
        <w:rPr>
          <w:rFonts w:ascii="Barlow Semi Condensed" w:cs="Barlow Semi Condensed" w:eastAsia="Barlow Semi Condensed" w:hAnsi="Barlow Semi Condensed"/>
          <w:sz w:val="24"/>
          <w:szCs w:val="24"/>
        </w:rPr>
        <w:t xml:space="preserve"> Visure storiche integrali per i 66 appartamenti (1970-1990): ogni passaggio con data, venditore, acquirente. È l'unico atto che decide la scheda PE-2, e non richiede alcun potere speciale: i registri sono pubblici.</w:t>
      </w:r>
    </w:p>
    <w:p>
      <w:pPr>
        <w:spacing w:after="120" w:line="276"/>
        <w:jc w:val="both"/>
      </w:pPr>
      <w:r>
        <w:rPr>
          <w:rFonts w:ascii="Barlow Semi Condensed" w:cs="Barlow Semi Condensed" w:eastAsia="Barlow Semi Condensed" w:hAnsi="Barlow Semi Condensed"/>
          <w:b/>
          <w:bCs/>
          <w:sz w:val="24"/>
          <w:szCs w:val="24"/>
        </w:rPr>
        <w:t xml:space="preserve">109 · Il registro delle imprese.</w:t>
      </w:r>
      <w:r>
        <w:rPr>
          <w:rFonts w:ascii="Barlow Semi Condensed" w:cs="Barlow Semi Condensed" w:eastAsia="Barlow Semi Condensed" w:hAnsi="Barlow Semi Condensed"/>
          <w:sz w:val="24"/>
          <w:szCs w:val="24"/>
        </w:rPr>
        <w:t xml:space="preserve"> Fascicoli storici delle tre immobiliari e della fiduciaria collegata: costituzioni, compagini, amministratori nel tempo, bilanci. La tavola proprietà×tempo si data qui.</w:t>
      </w:r>
    </w:p>
    <w:p>
      <w:pPr>
        <w:spacing w:after="120" w:line="276"/>
        <w:jc w:val="both"/>
      </w:pPr>
      <w:r>
        <w:rPr>
          <w:rFonts w:ascii="Barlow Semi Condensed" w:cs="Barlow Semi Condensed" w:eastAsia="Barlow Semi Condensed" w:hAnsi="Barlow Semi Condensed"/>
          <w:b/>
          <w:bCs/>
          <w:sz w:val="24"/>
          <w:szCs w:val="24"/>
        </w:rPr>
        <w:t xml:space="preserve">110 · Gli atti di Bologna.</w:t>
      </w:r>
      <w:r>
        <w:rPr>
          <w:rFonts w:ascii="Barlow Semi Condensed" w:cs="Barlow Semi Condensed" w:eastAsia="Barlow Semi Condensed" w:hAnsi="Barlow Semi Condensed"/>
          <w:sz w:val="24"/>
          <w:szCs w:val="24"/>
        </w:rPr>
        <w:t xml:space="preserve"> La ricostruzione dibattimentale del 2021 sui legami stabile-servizi si acquisisce come base documentale già formata: non si rifà ciò che un'aula ha già fatto con poteri istruttori; si estende all'indietro, sulla finestra 1975-1978.</w:t>
      </w:r>
    </w:p>
    <w:p>
      <w:pPr>
        <w:spacing w:after="120" w:line="276"/>
        <w:jc w:val="both"/>
      </w:pPr>
      <w:r>
        <w:rPr>
          <w:rFonts w:ascii="Barlow Semi Condensed" w:cs="Barlow Semi Condensed" w:eastAsia="Barlow Semi Condensed" w:hAnsi="Barlow Semi Condensed"/>
          <w:b/>
          <w:bCs/>
          <w:sz w:val="24"/>
          <w:szCs w:val="24"/>
        </w:rPr>
        <w:t xml:space="preserve">111 · Il fondo dei cappellani.</w:t>
      </w:r>
      <w:r>
        <w:rPr>
          <w:rFonts w:ascii="Barlow Semi Condensed" w:cs="Barlow Semi Condensed" w:eastAsia="Barlow Semi Condensed" w:hAnsi="Barlow Semi Condensed"/>
          <w:sz w:val="24"/>
          <w:szCs w:val="24"/>
        </w:rPr>
        <w:t xml:space="preserve"> L'archivio dell'ispettorato dei cappellani carcerari e l'eventuale lascito personale di Curioni: la sede più promettente e mai censita del canale del riscatto. L'accesso si chiede alle autorità ecclesiastiche competenti con quesiti scritti.</w:t>
      </w:r>
    </w:p>
    <w:p>
      <w:pPr>
        <w:spacing w:after="120" w:line="276"/>
        <w:jc w:val="both"/>
      </w:pPr>
      <w:r>
        <w:rPr>
          <w:rFonts w:ascii="Barlow Semi Condensed" w:cs="Barlow Semi Condensed" w:eastAsia="Barlow Semi Condensed" w:hAnsi="Barlow Semi Condensed"/>
          <w:b/>
          <w:bCs/>
          <w:sz w:val="24"/>
          <w:szCs w:val="24"/>
        </w:rPr>
        <w:t xml:space="preserve">112 · L'istanza pronta per l'AAV.</w:t>
      </w:r>
      <w:r>
        <w:rPr>
          <w:rFonts w:ascii="Barlow Semi Condensed" w:cs="Barlow Semi Condensed" w:eastAsia="Barlow Semi Condensed" w:hAnsi="Barlow Semi Condensed"/>
          <w:sz w:val="24"/>
          <w:szCs w:val="24"/>
        </w:rPr>
        <w:t xml:space="preserve"> Per l'apertura del pontificato di Paolo VI si tiene pronta l'istanza con i quesiti già formulati: Segreteria di Stato, carte del segretario, minute della lettera del 21-22 aprile, documentazione del fondo per il riscatto. Il giorno dell'apertura non si improvvisa.</w:t>
      </w:r>
    </w:p>
    <w:p>
      <w:pPr>
        <w:spacing w:after="120" w:line="276"/>
        <w:jc w:val="both"/>
      </w:pPr>
      <w:r>
        <w:rPr>
          <w:rFonts w:ascii="Barlow Semi Condensed" w:cs="Barlow Semi Condensed" w:eastAsia="Barlow Semi Condensed" w:hAnsi="Barlow Semi Condensed"/>
          <w:b/>
          <w:bCs/>
          <w:sz w:val="24"/>
          <w:szCs w:val="24"/>
        </w:rPr>
        <w:t xml:space="preserve">113 · Le minute della lettera.</w:t>
      </w:r>
      <w:r>
        <w:rPr>
          <w:rFonts w:ascii="Barlow Semi Condensed" w:cs="Barlow Semi Condensed" w:eastAsia="Barlow Semi Condensed" w:hAnsi="Barlow Semi Condensed"/>
          <w:sz w:val="24"/>
          <w:szCs w:val="24"/>
        </w:rPr>
        <w:t xml:space="preserve"> L'edizione critica delle stesure autografe — la variante «senza alcuna imbarazzante condizione» — si programma come atto filologico formale, trasformando la notizia in accertamento stabile.</w:t>
      </w:r>
    </w:p>
    <w:p>
      <w:pPr>
        <w:spacing w:after="120" w:line="276"/>
        <w:jc w:val="both"/>
      </w:pPr>
      <w:r>
        <w:rPr>
          <w:rFonts w:ascii="Barlow Semi Condensed" w:cs="Barlow Semi Condensed" w:eastAsia="Barlow Semi Condensed" w:hAnsi="Barlow Semi Condensed"/>
          <w:b/>
          <w:bCs/>
          <w:sz w:val="24"/>
          <w:szCs w:val="24"/>
        </w:rPr>
        <w:t xml:space="preserve">114 · Il versante israeliano.</w:t>
      </w:r>
      <w:r>
        <w:rPr>
          <w:rFonts w:ascii="Barlow Semi Condensed" w:cs="Barlow Semi Condensed" w:eastAsia="Barlow Semi Condensed" w:hAnsi="Barlow Semi Condensed"/>
          <w:sz w:val="24"/>
          <w:szCs w:val="24"/>
        </w:rPr>
        <w:t xml:space="preserve"> Le dichiarazioni pubbliche del finanziatore accertato dalla Moro 2 e gli atti con cui la commissione lo fissò: raccolta conservativa documentale, prima che le fonti si disperdano.</w:t>
      </w:r>
    </w:p>
    <w:p>
      <w:pPr>
        <w:spacing w:after="120" w:line="276"/>
        <w:jc w:val="both"/>
      </w:pPr>
      <w:r>
        <w:rPr>
          <w:rFonts w:ascii="Barlow Semi Condensed" w:cs="Barlow Semi Condensed" w:eastAsia="Barlow Semi Condensed" w:hAnsi="Barlow Semi Condensed"/>
          <w:b/>
          <w:bCs/>
          <w:sz w:val="24"/>
          <w:szCs w:val="24"/>
        </w:rPr>
        <w:t xml:space="preserve">115 · NARA: l'interrogazione sistematica.</w:t>
      </w:r>
      <w:r>
        <w:rPr>
          <w:rFonts w:ascii="Barlow Semi Condensed" w:cs="Barlow Semi Condensed" w:eastAsia="Barlow Semi Condensed" w:hAnsi="Barlow Semi Condensed"/>
          <w:sz w:val="24"/>
          <w:szCs w:val="24"/>
        </w:rPr>
        <w:t xml:space="preserve"> L'Access to Archival Databases si interroga per TAGS (</w:t>
      </w:r>
      <w:r>
        <w:rPr>
          <w:rFonts w:ascii="Barlow Semi Condensed" w:cs="Barlow Semi Condensed" w:eastAsia="Barlow Semi Condensed" w:hAnsi="Barlow Semi Condensed"/>
          <w:i/>
          <w:iCs/>
          <w:sz w:val="24"/>
          <w:szCs w:val="24"/>
        </w:rPr>
        <w:t xml:space="preserve">PINT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t>
      </w:r>
      <w:r>
        <w:rPr>
          <w:rFonts w:ascii="Barlow Semi Condensed" w:cs="Barlow Semi Condensed" w:eastAsia="Barlow Semi Condensed" w:hAnsi="Barlow Semi Condensed"/>
          <w:sz w:val="24"/>
          <w:szCs w:val="24"/>
        </w:rPr>
        <w:t xml:space="preserve"> e correlati) e chiave «MORO» sulla finestra 16 marzo – 31 dicembre 1978: l'esito è l'elenco datato dei telegrammi liberi.</w:t>
      </w:r>
    </w:p>
    <w:p>
      <w:pPr>
        <w:spacing w:after="120" w:line="276"/>
        <w:jc w:val="both"/>
      </w:pPr>
      <w:r>
        <w:rPr>
          <w:rFonts w:ascii="Barlow Semi Condensed" w:cs="Barlow Semi Condensed" w:eastAsia="Barlow Semi Condensed" w:hAnsi="Barlow Semi Condensed"/>
          <w:b/>
          <w:bCs/>
          <w:sz w:val="24"/>
          <w:szCs w:val="24"/>
        </w:rPr>
        <w:t xml:space="preserve">116 · Le withdrawal cards.</w:t>
      </w:r>
      <w:r>
        <w:rPr>
          <w:rFonts w:ascii="Barlow Semi Condensed" w:cs="Barlow Semi Condensed" w:eastAsia="Barlow Semi Condensed" w:hAnsi="Barlow Semi Condensed"/>
          <w:sz w:val="24"/>
          <w:szCs w:val="24"/>
        </w:rPr>
        <w:t xml:space="preserve"> Le schede dei telegrammi trattenuti del 1978 si scaricano e si schedano una per una: per ogni cablo ritirato — esistenza, data, provenienza — un item numerato della tavola del trattenuto.</w:t>
      </w:r>
    </w:p>
    <w:p>
      <w:pPr>
        <w:spacing w:after="120" w:line="276"/>
        <w:jc w:val="both"/>
      </w:pPr>
      <w:r>
        <w:rPr>
          <w:rFonts w:ascii="Barlow Semi Condensed" w:cs="Barlow Semi Condensed" w:eastAsia="Barlow Semi Condensed" w:hAnsi="Barlow Semi Condensed"/>
          <w:b/>
          <w:bCs/>
          <w:sz w:val="24"/>
          <w:szCs w:val="24"/>
        </w:rPr>
        <w:t xml:space="preserve">117 · Il caso FOIA del corpus.</w:t>
      </w:r>
      <w:r>
        <w:rPr>
          <w:rFonts w:ascii="Barlow Semi Condensed" w:cs="Barlow Semi Condensed" w:eastAsia="Barlow Semi Condensed" w:hAnsi="Barlow Semi Condensed"/>
          <w:sz w:val="24"/>
          <w:szCs w:val="24"/>
        </w:rPr>
        <w:t xml:space="preserve"> La richiesta del fascicolo integrale R-2021-002xx (con la divergenza di lettura 00202/00208 dichiarata nell'istanza), ancorata ai numeri di controllo B-00001939965…989: l'atto più economico dell'intera serie.</w:t>
      </w:r>
    </w:p>
    <w:p>
      <w:pPr>
        <w:spacing w:after="120" w:line="276"/>
        <w:jc w:val="both"/>
      </w:pPr>
      <w:r>
        <w:rPr>
          <w:rFonts w:ascii="Barlow Semi Condensed" w:cs="Barlow Semi Condensed" w:eastAsia="Barlow Semi Condensed" w:hAnsi="Barlow Semi Condensed"/>
          <w:b/>
          <w:bCs/>
          <w:sz w:val="24"/>
          <w:szCs w:val="24"/>
        </w:rPr>
        <w:t xml:space="preserve">118 · Le FOIA mirate.</w:t>
      </w:r>
      <w:r>
        <w:rPr>
          <w:rFonts w:ascii="Barlow Semi Condensed" w:cs="Barlow Semi Condensed" w:eastAsia="Barlow Semi Condensed" w:hAnsi="Barlow Semi Condensed"/>
          <w:sz w:val="24"/>
          <w:szCs w:val="24"/>
        </w:rPr>
        <w:t xml:space="preserve"> Sui singoli item delle withdrawal cards e sulle lacune della serie B-…: richieste puntuali, motivate, numerate — le sole che in regime FOIA convergono. Ogni diniego motivato si scheda come documento.</w:t>
      </w:r>
    </w:p>
    <w:p>
      <w:pPr>
        <w:spacing w:after="120" w:line="276"/>
        <w:jc w:val="both"/>
      </w:pPr>
      <w:r>
        <w:rPr>
          <w:rFonts w:ascii="Barlow Semi Condensed" w:cs="Barlow Semi Condensed" w:eastAsia="Barlow Semi Condensed" w:hAnsi="Barlow Semi Condensed"/>
          <w:b/>
          <w:bCs/>
          <w:sz w:val="24"/>
          <w:szCs w:val="24"/>
        </w:rPr>
        <w:t xml:space="preserve">119 · La regola dell'originatore.</w:t>
      </w:r>
      <w:r>
        <w:rPr>
          <w:rFonts w:ascii="Barlow Semi Condensed" w:cs="Barlow Semi Condensed" w:eastAsia="Barlow Semi Condensed" w:hAnsi="Barlow Semi Condensed"/>
          <w:sz w:val="24"/>
          <w:szCs w:val="24"/>
        </w:rPr>
        <w:t xml:space="preserve"> Per gli atti di origine alleata custoditi in Italia: censimento di quali richieste di consenso all'originatore siano mai state formulate, e proposta formale di riattivazione nelle sedi diplomatiche. La cifra circolante (~474) si verifica su atto prima di ogni uso.</w:t>
      </w:r>
    </w:p>
    <w:p>
      <w:pPr>
        <w:spacing w:after="120" w:line="276"/>
        <w:jc w:val="both"/>
      </w:pPr>
      <w:r>
        <w:rPr>
          <w:rFonts w:ascii="Barlow Semi Condensed" w:cs="Barlow Semi Condensed" w:eastAsia="Barlow Semi Condensed" w:hAnsi="Barlow Semi Condensed"/>
          <w:b/>
          <w:bCs/>
          <w:sz w:val="24"/>
          <w:szCs w:val="24"/>
        </w:rPr>
        <w:t xml:space="preserve">120 · Gli archivi della RAI e delle agenzie.</w:t>
      </w:r>
      <w:r>
        <w:rPr>
          <w:rFonts w:ascii="Barlow Semi Condensed" w:cs="Barlow Semi Condensed" w:eastAsia="Barlow Semi Condensed" w:hAnsi="Barlow Semi Condensed"/>
          <w:sz w:val="24"/>
          <w:szCs w:val="24"/>
        </w:rPr>
        <w:t xml:space="preserve"> I notiziari, i lanci d'agenzia e i girati dei 55 giorni si trattano come fondo: la cronologia pubblica minuto per minuto è lo sfondo su cui si misurano le cronologie interne degli apparati.</w:t>
      </w:r>
    </w:p>
    <w:p>
      <w:pPr>
        <w:spacing w:after="120" w:line="276"/>
        <w:jc w:val="both"/>
      </w:pPr>
      <w:r>
        <w:rPr>
          <w:rFonts w:ascii="Barlow Semi Condensed" w:cs="Barlow Semi Condensed" w:eastAsia="Barlow Semi Condensed" w:hAnsi="Barlow Semi Condensed"/>
          <w:b/>
          <w:bCs/>
          <w:sz w:val="24"/>
          <w:szCs w:val="24"/>
        </w:rPr>
        <w:t xml:space="preserve">121 · Gli archivi SIP.</w:t>
      </w:r>
      <w:r>
        <w:rPr>
          <w:rFonts w:ascii="Barlow Semi Condensed" w:cs="Barlow Semi Condensed" w:eastAsia="Barlow Semi Condensed" w:hAnsi="Barlow Semi Condensed"/>
          <w:sz w:val="24"/>
          <w:szCs w:val="24"/>
        </w:rPr>
        <w:t xml:space="preserve"> I tabulati e i registri del traffico telefonico d'epoca, ovunque sopravvissuti (fascicoli processuali, versamenti): censimento di ciò che esiste ancora, prima di ogni ipotesi su ciò che direbbe.</w:t>
      </w:r>
    </w:p>
    <w:p>
      <w:pPr>
        <w:spacing w:after="120" w:line="276"/>
        <w:jc w:val="both"/>
      </w:pPr>
      <w:r>
        <w:rPr>
          <w:rFonts w:ascii="Barlow Semi Condensed" w:cs="Barlow Semi Condensed" w:eastAsia="Barlow Semi Condensed" w:hAnsi="Barlow Semi Condensed"/>
          <w:b/>
          <w:bCs/>
          <w:sz w:val="24"/>
          <w:szCs w:val="24"/>
        </w:rPr>
        <w:t xml:space="preserve">122 · Gli archivi comunali.</w:t>
      </w:r>
      <w:r>
        <w:rPr>
          <w:rFonts w:ascii="Barlow Semi Condensed" w:cs="Barlow Semi Condensed" w:eastAsia="Barlow Semi Condensed" w:hAnsi="Barlow Semi Condensed"/>
          <w:sz w:val="24"/>
          <w:szCs w:val="24"/>
        </w:rPr>
        <w:t xml:space="preserve"> Anagrafe e licenze per i luoghi del caso: i censimenti d'epoca, i registri di portierato, le pratiche edilizie di via Gradoli 96 e via Montalcini 8. La microstoria amministrativa dei luoghi è documentazione, non colore.</w:t>
      </w:r>
    </w:p>
    <w:p>
      <w:pPr>
        <w:spacing w:after="120" w:line="276"/>
        <w:jc w:val="both"/>
      </w:pPr>
      <w:r>
        <w:rPr>
          <w:rFonts w:ascii="Barlow Semi Condensed" w:cs="Barlow Semi Condensed" w:eastAsia="Barlow Semi Condensed" w:hAnsi="Barlow Semi Condensed"/>
          <w:b/>
          <w:bCs/>
          <w:sz w:val="24"/>
          <w:szCs w:val="24"/>
        </w:rPr>
        <w:t xml:space="preserve">123 · Gli archivi bancari.</w:t>
      </w:r>
      <w:r>
        <w:rPr>
          <w:rFonts w:ascii="Barlow Semi Condensed" w:cs="Barlow Semi Condensed" w:eastAsia="Barlow Semi Condensed" w:hAnsi="Barlow Semi Condensed"/>
          <w:sz w:val="24"/>
          <w:szCs w:val="24"/>
        </w:rPr>
        <w:t xml:space="preserve"> Per il quesito della somma del riscatto: le regole di tracciabilità dell'epoca, i canali di cambio, ciò che le fascette bancarie descritte consentono di chiedere a istituti ed eredi di istituti. Quesito documentale, non caccia al tesoro.</w:t>
      </w:r>
    </w:p>
    <w:p>
      <w:pPr>
        <w:spacing w:after="120" w:line="276"/>
        <w:jc w:val="both"/>
      </w:pPr>
      <w:r>
        <w:rPr>
          <w:rFonts w:ascii="Barlow Semi Condensed" w:cs="Barlow Semi Condensed" w:eastAsia="Barlow Semi Condensed" w:hAnsi="Barlow Semi Condensed"/>
          <w:b/>
          <w:bCs/>
          <w:sz w:val="24"/>
          <w:szCs w:val="24"/>
        </w:rPr>
        <w:t xml:space="preserve">124 · I lasciti dei protagonisti.</w:t>
      </w:r>
      <w:r>
        <w:rPr>
          <w:rFonts w:ascii="Barlow Semi Condensed" w:cs="Barlow Semi Condensed" w:eastAsia="Barlow Semi Condensed" w:hAnsi="Barlow Semi Condensed"/>
          <w:sz w:val="24"/>
          <w:szCs w:val="24"/>
        </w:rPr>
        <w:t xml:space="preserve"> Carte private di magistrati, funzionari, giornalisti e difensori del caso, presso famiglie e fondazioni: censimento e acquisizione conservativa con protocollo notarile (serie quinta), prima che i traslochi decidano loro.</w:t>
      </w:r>
    </w:p>
    <w:p>
      <w:pPr>
        <w:spacing w:after="120" w:line="276"/>
        <w:jc w:val="both"/>
      </w:pPr>
      <w:r>
        <w:rPr>
          <w:rFonts w:ascii="Barlow Semi Condensed" w:cs="Barlow Semi Condensed" w:eastAsia="Barlow Semi Condensed" w:hAnsi="Barlow Semi Condensed"/>
          <w:b/>
          <w:bCs/>
          <w:sz w:val="24"/>
          <w:szCs w:val="24"/>
        </w:rPr>
        <w:t xml:space="preserve">125 · Gli archivi dei difensori.</w:t>
      </w:r>
      <w:r>
        <w:rPr>
          <w:rFonts w:ascii="Barlow Semi Condensed" w:cs="Barlow Semi Condensed" w:eastAsia="Barlow Semi Condensed" w:hAnsi="Barlow Semi Condensed"/>
          <w:sz w:val="24"/>
          <w:szCs w:val="24"/>
        </w:rPr>
        <w:t xml:space="preserve"> I fascicoli di parte dei processi storici — dove i difensori o i loro studi li conservino — contengono copie di atti che le cancellerie hanno perso: si chiedono con le cautele del segreto professionale.</w:t>
      </w:r>
    </w:p>
    <w:p>
      <w:pPr>
        <w:spacing w:after="120" w:line="276"/>
        <w:jc w:val="both"/>
      </w:pPr>
      <w:r>
        <w:rPr>
          <w:rFonts w:ascii="Barlow Semi Condensed" w:cs="Barlow Semi Condensed" w:eastAsia="Barlow Semi Condensed" w:hAnsi="Barlow Semi Condensed"/>
          <w:b/>
          <w:bCs/>
          <w:sz w:val="24"/>
          <w:szCs w:val="24"/>
        </w:rPr>
        <w:t xml:space="preserve">126 · Gli archivi esteri minori.</w:t>
      </w:r>
      <w:r>
        <w:rPr>
          <w:rFonts w:ascii="Barlow Semi Condensed" w:cs="Barlow Semi Condensed" w:eastAsia="Barlow Semi Condensed" w:hAnsi="Barlow Semi Condensed"/>
          <w:sz w:val="24"/>
          <w:szCs w:val="24"/>
        </w:rPr>
        <w:t xml:space="preserve"> Berna (per il versante del cittadino svizzero del registro), Managua (per le richieste respinte), Parigi (per il quadro del rifugio): non per riaprire ciò che è chiuso, ma per schedare le carte diplomatiche italiane che vi corrispondono alla Farnesina.</w:t>
      </w:r>
    </w:p>
    <w:p>
      <w:pPr>
        <w:spacing w:after="120" w:line="276"/>
        <w:jc w:val="both"/>
      </w:pPr>
      <w:r>
        <w:rPr>
          <w:rFonts w:ascii="Barlow Semi Condensed" w:cs="Barlow Semi Condensed" w:eastAsia="Barlow Semi Condensed" w:hAnsi="Barlow Semi Condensed"/>
          <w:b/>
          <w:bCs/>
          <w:sz w:val="24"/>
          <w:szCs w:val="24"/>
        </w:rPr>
        <w:t xml:space="preserve">127 · L'Archivio Storico Diplomatico.</w:t>
      </w:r>
      <w:r>
        <w:rPr>
          <w:rFonts w:ascii="Barlow Semi Condensed" w:cs="Barlow Semi Condensed" w:eastAsia="Barlow Semi Condensed" w:hAnsi="Barlow Semi Condensed"/>
          <w:sz w:val="24"/>
          <w:szCs w:val="24"/>
        </w:rPr>
        <w:t xml:space="preserve"> Le serie della Farnesina sui dossier del caso — le estradizioni, i rapporti con gli alleati nel 1978, la cooperazione giudiziaria — con l'avvertenza già censita sull'accessibilità delle serie novecentesche.</w:t>
      </w:r>
    </w:p>
    <w:p>
      <w:pPr>
        <w:spacing w:after="120" w:line="276"/>
        <w:jc w:val="both"/>
      </w:pPr>
      <w:r>
        <w:rPr>
          <w:rFonts w:ascii="Barlow Semi Condensed" w:cs="Barlow Semi Condensed" w:eastAsia="Barlow Semi Condensed" w:hAnsi="Barlow Semi Condensed"/>
          <w:b/>
          <w:bCs/>
          <w:sz w:val="24"/>
          <w:szCs w:val="24"/>
        </w:rPr>
        <w:t xml:space="preserve">128 · Il protocollo di digitalizzazione.</w:t>
      </w:r>
      <w:r>
        <w:rPr>
          <w:rFonts w:ascii="Barlow Semi Condensed" w:cs="Barlow Semi Condensed" w:eastAsia="Barlow Semi Condensed" w:hAnsi="Barlow Semi Condensed"/>
          <w:sz w:val="24"/>
          <w:szCs w:val="24"/>
        </w:rPr>
        <w:t xml:space="preserve"> Ogni carta rinvenuta si digitalizza alla prima presa in mano, con metadati completi: nessun documento del nuovo caso deve essere cercato due volte.</w:t>
      </w:r>
    </w:p>
    <w:p>
      <w:pPr>
        <w:spacing w:after="120" w:line="276"/>
        <w:jc w:val="both"/>
      </w:pPr>
      <w:r>
        <w:rPr>
          <w:rFonts w:ascii="Barlow Semi Condensed" w:cs="Barlow Semi Condensed" w:eastAsia="Barlow Semi Condensed" w:hAnsi="Barlow Semi Condensed"/>
          <w:b/>
          <w:bCs/>
          <w:sz w:val="24"/>
          <w:szCs w:val="24"/>
        </w:rPr>
        <w:t xml:space="preserve">129 · L'inventario pubblico incrementale.</w:t>
      </w:r>
      <w:r>
        <w:rPr>
          <w:rFonts w:ascii="Barlow Semi Condensed" w:cs="Barlow Semi Condensed" w:eastAsia="Barlow Semi Condensed" w:hAnsi="Barlow Semi Condensed"/>
          <w:sz w:val="24"/>
          <w:szCs w:val="24"/>
        </w:rPr>
        <w:t xml:space="preserve"> Gli inventari analitici si pubblicano per lotti trimestrali, non a fine progetto: la comunità di studio verifica, integra e corregge in corso d'opera.</w:t>
      </w:r>
    </w:p>
    <w:p>
      <w:pPr>
        <w:spacing w:after="120" w:line="276"/>
        <w:jc w:val="both"/>
      </w:pPr>
      <w:r>
        <w:rPr>
          <w:rFonts w:ascii="Barlow Semi Condensed" w:cs="Barlow Semi Condensed" w:eastAsia="Barlow Semi Condensed" w:hAnsi="Barlow Semi Condensed"/>
          <w:b/>
          <w:bCs/>
          <w:sz w:val="24"/>
          <w:szCs w:val="24"/>
        </w:rPr>
        <w:t xml:space="preserve">130 · Il diritto degli studiosi.</w:t>
      </w:r>
      <w:r>
        <w:rPr>
          <w:rFonts w:ascii="Barlow Semi Condensed" w:cs="Barlow Semi Condensed" w:eastAsia="Barlow Semi Condensed" w:hAnsi="Barlow Semi Condensed"/>
          <w:sz w:val="24"/>
          <w:szCs w:val="24"/>
        </w:rPr>
        <w:t xml:space="preserve"> Le regole d'accesso al lavorato sono uguali per tutti: nessun rinvenimento riservato ai rinvenitori oltre il tempo tecnico di verbalizzazione. Il caso non ha proprietari.</w:t>
      </w:r>
    </w:p>
    <w:p>
      <w:pPr>
        <w:spacing w:after="120" w:line="276"/>
        <w:jc w:val="both"/>
      </w:pPr>
      <w:r>
        <w:rPr>
          <w:rFonts w:ascii="Barlow Semi Condensed" w:cs="Barlow Semi Condensed" w:eastAsia="Barlow Semi Condensed" w:hAnsi="Barlow Semi Condensed"/>
          <w:b/>
          <w:bCs/>
          <w:sz w:val="24"/>
          <w:szCs w:val="24"/>
        </w:rPr>
        <w:t xml:space="preserve">131 · Le carte già pubblicate.</w:t>
      </w:r>
      <w:r>
        <w:rPr>
          <w:rFonts w:ascii="Barlow Semi Condensed" w:cs="Barlow Semi Condensed" w:eastAsia="Barlow Semi Condensed" w:hAnsi="Barlow Semi Condensed"/>
          <w:sz w:val="24"/>
          <w:szCs w:val="24"/>
        </w:rPr>
        <w:t xml:space="preserve"> La pubblicistica quarantennale si spoglia a ritroso: ogni documento citato nei libri si riconduce alla sua segnatura d'archivio o si scheda come «citato e non reperito» — l'igiene delle fonti secondarie.</w:t>
      </w:r>
    </w:p>
    <w:p>
      <w:pPr>
        <w:spacing w:after="120" w:line="276"/>
        <w:jc w:val="both"/>
      </w:pPr>
      <w:r>
        <w:rPr>
          <w:rFonts w:ascii="Barlow Semi Condensed" w:cs="Barlow Semi Condensed" w:eastAsia="Barlow Semi Condensed" w:hAnsi="Barlow Semi Condensed"/>
          <w:b/>
          <w:bCs/>
          <w:sz w:val="24"/>
          <w:szCs w:val="24"/>
        </w:rPr>
        <w:t xml:space="preserve">132 · La deduplicazione.</w:t>
      </w:r>
      <w:r>
        <w:rPr>
          <w:rFonts w:ascii="Barlow Semi Condensed" w:cs="Barlow Semi Condensed" w:eastAsia="Barlow Semi Condensed" w:hAnsi="Barlow Semi Condensed"/>
          <w:sz w:val="24"/>
          <w:szCs w:val="24"/>
        </w:rPr>
        <w:t xml:space="preserve"> Le copie multiple dello stesso atto nei diversi fondi si collegano in scheda unica con la mappa delle varianti: le omissioni fra copia e copia sono esse stesse un dato.</w:t>
      </w:r>
    </w:p>
    <w:p>
      <w:pPr>
        <w:spacing w:after="120" w:line="276"/>
        <w:jc w:val="both"/>
      </w:pPr>
      <w:r>
        <w:rPr>
          <w:rFonts w:ascii="Barlow Semi Condensed" w:cs="Barlow Semi Condensed" w:eastAsia="Barlow Semi Condensed" w:hAnsi="Barlow Semi Condensed"/>
          <w:b/>
          <w:bCs/>
          <w:sz w:val="24"/>
          <w:szCs w:val="24"/>
        </w:rPr>
        <w:t xml:space="preserve">133 · Il vocabolario d'epoca.</w:t>
      </w:r>
      <w:r>
        <w:rPr>
          <w:rFonts w:ascii="Barlow Semi Condensed" w:cs="Barlow Semi Condensed" w:eastAsia="Barlow Semi Condensed" w:hAnsi="Barlow Semi Condensed"/>
          <w:sz w:val="24"/>
          <w:szCs w:val="24"/>
        </w:rPr>
        <w:t xml:space="preserve"> Un glossario delle sigle e delle prassi burocratiche del 1978 (uffici, qualifiche, modulistica) accompagna lo spoglio: metà degli equivoci dietrologici nasce da carte lette col vocabolario di oggi.</w:t>
      </w:r>
    </w:p>
    <w:p>
      <w:pPr>
        <w:spacing w:after="120" w:line="276"/>
        <w:jc w:val="both"/>
      </w:pPr>
      <w:r>
        <w:rPr>
          <w:rFonts w:ascii="Barlow Semi Condensed" w:cs="Barlow Semi Condensed" w:eastAsia="Barlow Semi Condensed" w:hAnsi="Barlow Semi Condensed"/>
          <w:b/>
          <w:bCs/>
          <w:sz w:val="24"/>
          <w:szCs w:val="24"/>
        </w:rPr>
        <w:t xml:space="preserve">134 · Le firme e le sigle.</w:t>
      </w:r>
      <w:r>
        <w:rPr>
          <w:rFonts w:ascii="Barlow Semi Condensed" w:cs="Barlow Semi Condensed" w:eastAsia="Barlow Semi Condensed" w:hAnsi="Barlow Semi Condensed"/>
          <w:sz w:val="24"/>
          <w:szCs w:val="24"/>
        </w:rPr>
        <w:t xml:space="preserve"> Un repertorio delle firme e delle sigle dei funzionari ricorrenti nei fondi consente attribuzioni certe delle annotazioni manoscritte: la paleografia del Novecento è una scienza ausiliaria del caso.</w:t>
      </w:r>
    </w:p>
    <w:p>
      <w:pPr>
        <w:spacing w:after="120" w:line="276"/>
        <w:jc w:val="both"/>
      </w:pPr>
      <w:r>
        <w:rPr>
          <w:rFonts w:ascii="Barlow Semi Condensed" w:cs="Barlow Semi Condensed" w:eastAsia="Barlow Semi Condensed" w:hAnsi="Barlow Semi Condensed"/>
          <w:b/>
          <w:bCs/>
          <w:sz w:val="24"/>
          <w:szCs w:val="24"/>
        </w:rPr>
        <w:t xml:space="preserve">135 · I timbri e i protocolli.</w:t>
      </w:r>
      <w:r>
        <w:rPr>
          <w:rFonts w:ascii="Barlow Semi Condensed" w:cs="Barlow Semi Condensed" w:eastAsia="Barlow Semi Condensed" w:hAnsi="Barlow Semi Condensed"/>
          <w:sz w:val="24"/>
          <w:szCs w:val="24"/>
        </w:rPr>
        <w:t xml:space="preserve"> Lo studio sistematico dei timbri di protocollo — formati, numerazioni, salti — permette di riconoscere registrazioni anomale e retrodatazioni: è la diplomatica del documento contemporaneo.</w:t>
      </w:r>
    </w:p>
    <w:p>
      <w:pPr>
        <w:spacing w:after="120" w:line="276"/>
        <w:jc w:val="both"/>
      </w:pPr>
      <w:r>
        <w:rPr>
          <w:rFonts w:ascii="Barlow Semi Condensed" w:cs="Barlow Semi Condensed" w:eastAsia="Barlow Semi Condensed" w:hAnsi="Barlow Semi Condensed"/>
          <w:b/>
          <w:bCs/>
          <w:sz w:val="24"/>
          <w:szCs w:val="24"/>
        </w:rPr>
        <w:t xml:space="preserve">136 · Il campione di controllo.</w:t>
      </w:r>
      <w:r>
        <w:rPr>
          <w:rFonts w:ascii="Barlow Semi Condensed" w:cs="Barlow Semi Condensed" w:eastAsia="Barlow Semi Condensed" w:hAnsi="Barlow Semi Condensed"/>
          <w:sz w:val="24"/>
          <w:szCs w:val="24"/>
        </w:rPr>
        <w:t xml:space="preserve"> Per ogni serie spogliata si preleva un campione di pratiche estranee al caso: serve a misurare la normalità burocratica dell'ufficio, senza la quale nessuna anomalia è dichiarabile.</w:t>
      </w:r>
    </w:p>
    <w:p>
      <w:pPr>
        <w:spacing w:after="120" w:line="276"/>
        <w:jc w:val="both"/>
      </w:pPr>
      <w:r>
        <w:rPr>
          <w:rFonts w:ascii="Barlow Semi Condensed" w:cs="Barlow Semi Condensed" w:eastAsia="Barlow Semi Condensed" w:hAnsi="Barlow Semi Condensed"/>
          <w:b/>
          <w:bCs/>
          <w:sz w:val="24"/>
          <w:szCs w:val="24"/>
        </w:rPr>
        <w:t xml:space="preserve">137 · La tavola delle competenze.</w:t>
      </w:r>
      <w:r>
        <w:rPr>
          <w:rFonts w:ascii="Barlow Semi Condensed" w:cs="Barlow Semi Condensed" w:eastAsia="Barlow Semi Condensed" w:hAnsi="Barlow Semi Condensed"/>
          <w:sz w:val="24"/>
          <w:szCs w:val="24"/>
        </w:rPr>
        <w:t xml:space="preserve"> Per ogni snodo del caso si compila la tavola di chi-doveva-fare-cosa secondo l'ordinamento del 1978: le omissioni si misurano contro i doveri d'ufficio dell'epoca, non contro quelli attuali.</w:t>
      </w:r>
    </w:p>
    <w:p>
      <w:pPr>
        <w:spacing w:after="120" w:line="276"/>
        <w:jc w:val="both"/>
      </w:pPr>
      <w:r>
        <w:rPr>
          <w:rFonts w:ascii="Barlow Semi Condensed" w:cs="Barlow Semi Condensed" w:eastAsia="Barlow Semi Condensed" w:hAnsi="Barlow Semi Condensed"/>
          <w:b/>
          <w:bCs/>
          <w:sz w:val="24"/>
          <w:szCs w:val="24"/>
        </w:rPr>
        <w:t xml:space="preserve">138 · Le versioni degli atti normativi.</w:t>
      </w:r>
      <w:r>
        <w:rPr>
          <w:rFonts w:ascii="Barlow Semi Condensed" w:cs="Barlow Semi Condensed" w:eastAsia="Barlow Semi Condensed" w:hAnsi="Barlow Semi Condensed"/>
          <w:sz w:val="24"/>
          <w:szCs w:val="24"/>
        </w:rPr>
        <w:t xml:space="preserve"> Circolari, decreti e ordinamenti interni del 1978 nelle versioni allora vigenti: il diritto amministrativo del caso si ricostruisce filologicamente, perché il dovuto del blocco 96 sia giuridicamente esatto.</w:t>
      </w:r>
    </w:p>
    <w:p>
      <w:pPr>
        <w:spacing w:after="120" w:line="276"/>
        <w:jc w:val="both"/>
      </w:pPr>
      <w:r>
        <w:rPr>
          <w:rFonts w:ascii="Barlow Semi Condensed" w:cs="Barlow Semi Condensed" w:eastAsia="Barlow Semi Condensed" w:hAnsi="Barlow Semi Condensed"/>
          <w:b/>
          <w:bCs/>
          <w:sz w:val="24"/>
          <w:szCs w:val="24"/>
        </w:rPr>
        <w:t xml:space="preserve">139 · Il fondo fotografico dei giornali.</w:t>
      </w:r>
      <w:r>
        <w:rPr>
          <w:rFonts w:ascii="Barlow Semi Condensed" w:cs="Barlow Semi Condensed" w:eastAsia="Barlow Semi Condensed" w:hAnsi="Barlow Semi Condensed"/>
          <w:sz w:val="24"/>
          <w:szCs w:val="24"/>
        </w:rPr>
        <w:t xml:space="preserve"> Gli archivi fotografici delle testate — i provini non pubblicati dei luoghi nelle date critiche — si censiscono: la foto non scelta dal giornale è spesso quella che documenta.</w:t>
      </w:r>
    </w:p>
    <w:p>
      <w:pPr>
        <w:spacing w:after="120" w:line="276"/>
        <w:jc w:val="both"/>
      </w:pPr>
      <w:r>
        <w:rPr>
          <w:rFonts w:ascii="Barlow Semi Condensed" w:cs="Barlow Semi Condensed" w:eastAsia="Barlow Semi Condensed" w:hAnsi="Barlow Semi Condensed"/>
          <w:b/>
          <w:bCs/>
          <w:sz w:val="24"/>
          <w:szCs w:val="24"/>
        </w:rPr>
        <w:t xml:space="preserve">140 · La relazione di cantiere.</w:t>
      </w:r>
      <w:r>
        <w:rPr>
          <w:rFonts w:ascii="Barlow Semi Condensed" w:cs="Barlow Semi Condensed" w:eastAsia="Barlow Semi Condensed" w:hAnsi="Barlow Semi Condensed"/>
          <w:sz w:val="24"/>
          <w:szCs w:val="24"/>
        </w:rPr>
        <w:t xml:space="preserve"> Il cantiere archivistico produce la relazione annuale: fondi aperti, schede prodotte, assenze registrate, dinieghi ricevuti. La contabilità delle carte accanto a quella dei reperti.</w:t>
      </w:r>
    </w:p>
    <w:p>
      <w:pPr>
        <w:pStyle w:val="Heading2"/>
        <w:spacing w:after="100" w:before="200"/>
      </w:pPr>
      <w:r>
        <w:rPr>
          <w:rFonts w:ascii="Barlow Semi Condensed" w:cs="Barlow Semi Condensed" w:eastAsia="Barlow Semi Condensed" w:hAnsi="Barlow Semi Condensed"/>
          <w:sz w:val="24"/>
          <w:szCs w:val="24"/>
        </w:rPr>
        <w:t xml:space="preserve">Serie quinta — Le persone: testimoni, dichiaranti, lasciti (blocchi 141-170)</w:t>
      </w:r>
    </w:p>
    <w:p>
      <w:pPr>
        <w:spacing w:after="120" w:line="276"/>
        <w:jc w:val="both"/>
      </w:pPr>
      <w:r>
        <w:rPr>
          <w:rFonts w:ascii="Barlow Semi Condensed" w:cs="Barlow Semi Condensed" w:eastAsia="Barlow Semi Condensed" w:hAnsi="Barlow Semi Condensed"/>
          <w:i/>
          <w:iCs/>
          <w:sz w:val="24"/>
          <w:szCs w:val="24"/>
        </w:rPr>
        <w:t xml:space="preserve">Statuto della serie: il cantiere che il tempo chiude. Ogni blocco di questa serie ha una scadenza biologica; la serie si esegue prima delle altre ovunque le risorse impongano una scelta.</w:t>
      </w:r>
    </w:p>
    <w:p>
      <w:pPr>
        <w:spacing w:after="120" w:line="276"/>
        <w:jc w:val="both"/>
      </w:pPr>
      <w:r>
        <w:rPr>
          <w:rFonts w:ascii="Barlow Semi Condensed" w:cs="Barlow Semi Condensed" w:eastAsia="Barlow Semi Condensed" w:hAnsi="Barlow Semi Condensed"/>
          <w:b/>
          <w:bCs/>
          <w:sz w:val="24"/>
          <w:szCs w:val="24"/>
        </w:rPr>
        <w:t xml:space="preserve">141 · Il censimento dei viventi.</w:t>
      </w:r>
      <w:r>
        <w:rPr>
          <w:rFonts w:ascii="Barlow Semi Condensed" w:cs="Barlow Semi Condensed" w:eastAsia="Barlow Semi Condensed" w:hAnsi="Barlow Semi Condensed"/>
          <w:sz w:val="24"/>
          <w:szCs w:val="24"/>
        </w:rPr>
        <w:t xml:space="preserve"> L'elenco ragionato di tutti i testimoni oculari e di contesto ancora viventi — residenti dei luoghi, personale intervenuto, funzionari dei protocolli, familiari depositari di racconti — con priorità per età e salute.</w:t>
      </w:r>
    </w:p>
    <w:p>
      <w:pPr>
        <w:spacing w:after="120" w:line="276"/>
        <w:jc w:val="both"/>
      </w:pPr>
      <w:r>
        <w:rPr>
          <w:rFonts w:ascii="Barlow Semi Condensed" w:cs="Barlow Semi Condensed" w:eastAsia="Barlow Semi Condensed" w:hAnsi="Barlow Semi Condensed"/>
          <w:b/>
          <w:bCs/>
          <w:sz w:val="24"/>
          <w:szCs w:val="24"/>
        </w:rPr>
        <w:t xml:space="preserve">142 · La raccolta conservativa.</w:t>
      </w:r>
      <w:r>
        <w:rPr>
          <w:rFonts w:ascii="Barlow Semi Condensed" w:cs="Barlow Semi Condensed" w:eastAsia="Barlow Semi Condensed" w:hAnsi="Barlow Semi Condensed"/>
          <w:sz w:val="24"/>
          <w:szCs w:val="24"/>
        </w:rPr>
        <w:t xml:space="preserve"> Ogni escussione si registra integralmente (audio e video), si trascrive, si deposita presso la sede terza del blocco 25: il fine primario è conservare, non risolvere.</w:t>
      </w:r>
    </w:p>
    <w:p>
      <w:pPr>
        <w:spacing w:after="120" w:line="276"/>
        <w:jc w:val="both"/>
      </w:pPr>
      <w:r>
        <w:rPr>
          <w:rFonts w:ascii="Barlow Semi Condensed" w:cs="Barlow Semi Condensed" w:eastAsia="Barlow Semi Condensed" w:hAnsi="Barlow Semi Condensed"/>
          <w:b/>
          <w:bCs/>
          <w:sz w:val="24"/>
          <w:szCs w:val="24"/>
        </w:rPr>
        <w:t xml:space="preserve">143 · Il contraddittorio documentale.</w:t>
      </w:r>
      <w:r>
        <w:rPr>
          <w:rFonts w:ascii="Barlow Semi Condensed" w:cs="Barlow Semi Condensed" w:eastAsia="Barlow Semi Condensed" w:hAnsi="Barlow Semi Condensed"/>
          <w:sz w:val="24"/>
          <w:szCs w:val="24"/>
        </w:rPr>
        <w:t xml:space="preserve"> La lezione Marini in protocollo: ogni testimone depone con le fotografie, le planimetrie e i verbali d'epoca sul tavolo; il ricordo si vincola ai documenti, non li sostituisce.</w:t>
      </w:r>
    </w:p>
    <w:p>
      <w:pPr>
        <w:spacing w:after="120" w:line="276"/>
        <w:jc w:val="both"/>
      </w:pPr>
      <w:r>
        <w:rPr>
          <w:rFonts w:ascii="Barlow Semi Condensed" w:cs="Barlow Semi Condensed" w:eastAsia="Barlow Semi Condensed" w:hAnsi="Barlow Semi Condensed"/>
          <w:b/>
          <w:bCs/>
          <w:sz w:val="24"/>
          <w:szCs w:val="24"/>
        </w:rPr>
        <w:t xml:space="preserve">144 · La memoria assistita.</w:t>
      </w:r>
      <w:r>
        <w:rPr>
          <w:rFonts w:ascii="Barlow Semi Condensed" w:cs="Barlow Semi Condensed" w:eastAsia="Barlow Semi Condensed" w:hAnsi="Barlow Semi Condensed"/>
          <w:sz w:val="24"/>
          <w:szCs w:val="24"/>
        </w:rPr>
        <w:t xml:space="preserve"> Protocolli scientifici di intervista cognitiva, condotti da personale formato: né suggestione né interrogatorio — ricostruzione assistita, con le domande verbalizzate quanto le risposte.</w:t>
      </w:r>
    </w:p>
    <w:p>
      <w:pPr>
        <w:spacing w:after="120" w:line="276"/>
        <w:jc w:val="both"/>
      </w:pPr>
      <w:r>
        <w:rPr>
          <w:rFonts w:ascii="Barlow Semi Condensed" w:cs="Barlow Semi Condensed" w:eastAsia="Barlow Semi Condensed" w:hAnsi="Barlow Semi Condensed"/>
          <w:b/>
          <w:bCs/>
          <w:sz w:val="24"/>
          <w:szCs w:val="24"/>
        </w:rPr>
        <w:t xml:space="preserve">145 · Il ricordo del ricordo.</w:t>
      </w:r>
      <w:r>
        <w:rPr>
          <w:rFonts w:ascii="Barlow Semi Condensed" w:cs="Barlow Semi Condensed" w:eastAsia="Barlow Semi Condensed" w:hAnsi="Barlow Semi Condensed"/>
          <w:sz w:val="24"/>
          <w:szCs w:val="24"/>
        </w:rPr>
        <w:t xml:space="preserve"> Per i testimoni già uditi in passato, la nuova escussione distingue esplicitamente ciò che ricordano dei fatti da ciò che ricordano delle proprie deposizioni: quarant'anni di racconto pubblico sono uno strato da scavare, non da confondere col fatto.</w:t>
      </w:r>
    </w:p>
    <w:p>
      <w:pPr>
        <w:spacing w:after="120" w:line="276"/>
        <w:jc w:val="both"/>
      </w:pPr>
      <w:r>
        <w:rPr>
          <w:rFonts w:ascii="Barlow Semi Condensed" w:cs="Barlow Semi Condensed" w:eastAsia="Barlow Semi Condensed" w:hAnsi="Barlow Semi Condensed"/>
          <w:b/>
          <w:bCs/>
          <w:sz w:val="24"/>
          <w:szCs w:val="24"/>
        </w:rPr>
        <w:t xml:space="preserve">146 · Le ritrattazioni.</w:t>
      </w:r>
      <w:r>
        <w:rPr>
          <w:rFonts w:ascii="Barlow Semi Condensed" w:cs="Barlow Semi Condensed" w:eastAsia="Barlow Semi Condensed" w:hAnsi="Barlow Semi Condensed"/>
          <w:sz w:val="24"/>
          <w:szCs w:val="24"/>
        </w:rPr>
        <w:t xml:space="preserve"> Chi corregge una versione storica va accolto, non processato mediaticamente: la correzione documentata vale più della coerenza ostinata, e il protocollo la premia verbalizzandone le ragioni.</w:t>
      </w:r>
    </w:p>
    <w:p>
      <w:pPr>
        <w:spacing w:after="120" w:line="276"/>
        <w:jc w:val="both"/>
      </w:pPr>
      <w:r>
        <w:rPr>
          <w:rFonts w:ascii="Barlow Semi Condensed" w:cs="Barlow Semi Condensed" w:eastAsia="Barlow Semi Condensed" w:hAnsi="Barlow Semi Condensed"/>
          <w:b/>
          <w:bCs/>
          <w:sz w:val="24"/>
          <w:szCs w:val="24"/>
        </w:rPr>
        <w:t xml:space="preserve">147 · I testimoni mai cercati.</w:t>
      </w:r>
      <w:r>
        <w:rPr>
          <w:rFonts w:ascii="Barlow Semi Condensed" w:cs="Barlow Semi Condensed" w:eastAsia="Barlow Semi Condensed" w:hAnsi="Barlow Semi Condensed"/>
          <w:sz w:val="24"/>
          <w:szCs w:val="24"/>
        </w:rPr>
        <w:t xml:space="preserve"> Il caso De Chiara insegna che il giacimento non era esaurito ma inesplorato: il censimento del blocco 141 include chi non fu mai chiamato — vicini, esercenti, personale di servizio dei luoghi.</w:t>
      </w:r>
    </w:p>
    <w:p>
      <w:pPr>
        <w:spacing w:after="120" w:line="276"/>
        <w:jc w:val="both"/>
      </w:pPr>
      <w:r>
        <w:rPr>
          <w:rFonts w:ascii="Barlow Semi Condensed" w:cs="Barlow Semi Condensed" w:eastAsia="Barlow Semi Condensed" w:hAnsi="Barlow Semi Condensed"/>
          <w:b/>
          <w:bCs/>
          <w:sz w:val="24"/>
          <w:szCs w:val="24"/>
        </w:rPr>
        <w:t xml:space="preserve">148 · Le liste dei fascicoli.</w:t>
      </w:r>
      <w:r>
        <w:rPr>
          <w:rFonts w:ascii="Barlow Semi Condensed" w:cs="Barlow Semi Condensed" w:eastAsia="Barlow Semi Condensed" w:hAnsi="Barlow Semi Condensed"/>
          <w:sz w:val="24"/>
          <w:szCs w:val="24"/>
        </w:rPr>
        <w:t xml:space="preserve"> Le liste testi dei cinque processi si rileggono per intero: chi fu indicato e mai escusso, chi escusso e mai più risentito su punti divenuti rilevanti dopo.</w:t>
      </w:r>
    </w:p>
    <w:p>
      <w:pPr>
        <w:spacing w:after="120" w:line="276"/>
        <w:jc w:val="both"/>
      </w:pPr>
      <w:r>
        <w:rPr>
          <w:rFonts w:ascii="Barlow Semi Condensed" w:cs="Barlow Semi Condensed" w:eastAsia="Barlow Semi Condensed" w:hAnsi="Barlow Semi Condensed"/>
          <w:b/>
          <w:bCs/>
          <w:sz w:val="24"/>
          <w:szCs w:val="24"/>
        </w:rPr>
        <w:t xml:space="preserve">149 · I dichiaranti del registro.</w:t>
      </w:r>
      <w:r>
        <w:rPr>
          <w:rFonts w:ascii="Barlow Semi Condensed" w:cs="Barlow Semi Condensed" w:eastAsia="Barlow Semi Condensed" w:hAnsi="Barlow Semi Condensed"/>
          <w:sz w:val="24"/>
          <w:szCs w:val="24"/>
        </w:rPr>
        <w:t xml:space="preserve"> I condannati viventi del registro possono essere risentiti solo dal cantiere giudiziario e con la disciplina delle dichiarazioni di parte: memorie preziose per la logistica, inservibili da sole per i piani che li oltrepassano.</w:t>
      </w:r>
    </w:p>
    <w:p>
      <w:pPr>
        <w:spacing w:after="120" w:line="276"/>
        <w:jc w:val="both"/>
      </w:pPr>
      <w:r>
        <w:rPr>
          <w:rFonts w:ascii="Barlow Semi Condensed" w:cs="Barlow Semi Condensed" w:eastAsia="Barlow Semi Condensed" w:hAnsi="Barlow Semi Condensed"/>
          <w:b/>
          <w:bCs/>
          <w:sz w:val="24"/>
          <w:szCs w:val="24"/>
        </w:rPr>
        <w:t xml:space="preserve">150 · Il valore e il limite del Memoriale Morucci.</w:t>
      </w:r>
      <w:r>
        <w:rPr>
          <w:rFonts w:ascii="Barlow Semi Condensed" w:cs="Barlow Semi Condensed" w:eastAsia="Barlow Semi Condensed" w:hAnsi="Barlow Semi Condensed"/>
          <w:sz w:val="24"/>
          <w:szCs w:val="24"/>
        </w:rPr>
        <w:t xml:space="preserve"> Testo negoziato degli anni Ottanta, per accertamento parlamentare: si usa come mappa interna con quel grado, e ogni sua conferma o smentita documentale si annota nella scheda del testo.</w:t>
      </w:r>
    </w:p>
    <w:p>
      <w:pPr>
        <w:spacing w:after="120" w:line="276"/>
        <w:jc w:val="both"/>
      </w:pPr>
      <w:r>
        <w:rPr>
          <w:rFonts w:ascii="Barlow Semi Condensed" w:cs="Barlow Semi Condensed" w:eastAsia="Barlow Semi Condensed" w:hAnsi="Barlow Semi Condensed"/>
          <w:b/>
          <w:bCs/>
          <w:sz w:val="24"/>
          <w:szCs w:val="24"/>
        </w:rPr>
        <w:t xml:space="preserve">151 · La rogatoria conoscitiva.</w:t>
      </w:r>
      <w:r>
        <w:rPr>
          <w:rFonts w:ascii="Barlow Semi Condensed" w:cs="Barlow Semi Condensed" w:eastAsia="Barlow Semi Condensed" w:hAnsi="Barlow Semi Condensed"/>
          <w:sz w:val="24"/>
          <w:szCs w:val="24"/>
        </w:rPr>
        <w:t xml:space="preserve"> Per l'unico partecipante identificato mai interrogato, la via realistica è la deposizione all'estero senza consegna: atto istruttorio di valore unico, da chiedere nelle forme e da verbalizzare anche nel rifiuto.</w:t>
      </w:r>
    </w:p>
    <w:p>
      <w:pPr>
        <w:spacing w:after="120" w:line="276"/>
        <w:jc w:val="both"/>
      </w:pPr>
      <w:r>
        <w:rPr>
          <w:rFonts w:ascii="Barlow Semi Condensed" w:cs="Barlow Semi Condensed" w:eastAsia="Barlow Semi Condensed" w:hAnsi="Barlow Semi Condensed"/>
          <w:b/>
          <w:bCs/>
          <w:sz w:val="24"/>
          <w:szCs w:val="24"/>
        </w:rPr>
        <w:t xml:space="preserve">152 · I funzionari dei protocolli.</w:t>
      </w:r>
      <w:r>
        <w:rPr>
          <w:rFonts w:ascii="Barlow Semi Condensed" w:cs="Barlow Semi Condensed" w:eastAsia="Barlow Semi Condensed" w:hAnsi="Barlow Semi Condensed"/>
          <w:sz w:val="24"/>
          <w:szCs w:val="24"/>
        </w:rPr>
        <w:t xml:space="preserve"> Gli operatori viventi delle catene documentali — chi protocollava, smistava, archiviava nel 1978 — sono testimoni di </w:t>
      </w:r>
      <w:r>
        <w:rPr>
          <w:rFonts w:ascii="Barlow Semi Condensed" w:cs="Barlow Semi Condensed" w:eastAsia="Barlow Semi Condensed" w:hAnsi="Barlow Semi Condensed"/>
          <w:i/>
          <w:iCs/>
          <w:sz w:val="24"/>
          <w:szCs w:val="24"/>
        </w:rPr>
        <w:t xml:space="preserve">procedura</w:t>
      </w:r>
      <w:r>
        <w:rPr>
          <w:rFonts w:ascii="Barlow Semi Condensed" w:cs="Barlow Semi Condensed" w:eastAsia="Barlow Semi Condensed" w:hAnsi="Barlow Semi Condensed"/>
          <w:sz w:val="24"/>
          <w:szCs w:val="24"/>
        </w:rPr>
        <w:t xml:space="preserve">: le loro escussioni ricostruiscono il funzionamento normale degli uffici, il metro delle anomalie.</w:t>
      </w:r>
    </w:p>
    <w:p>
      <w:pPr>
        <w:spacing w:after="120" w:line="276"/>
        <w:jc w:val="both"/>
      </w:pPr>
      <w:r>
        <w:rPr>
          <w:rFonts w:ascii="Barlow Semi Condensed" w:cs="Barlow Semi Condensed" w:eastAsia="Barlow Semi Condensed" w:hAnsi="Barlow Semi Condensed"/>
          <w:b/>
          <w:bCs/>
          <w:sz w:val="24"/>
          <w:szCs w:val="24"/>
        </w:rPr>
        <w:t xml:space="preserve">153 · I periti storici.</w:t>
      </w:r>
      <w:r>
        <w:rPr>
          <w:rFonts w:ascii="Barlow Semi Condensed" w:cs="Barlow Semi Condensed" w:eastAsia="Barlow Semi Condensed" w:hAnsi="Barlow Semi Condensed"/>
          <w:sz w:val="24"/>
          <w:szCs w:val="24"/>
        </w:rPr>
        <w:t xml:space="preserve"> I consulenti delle perizie d'epoca ancora viventi si ascoltano sulle condizioni materiali di quegli esami — strumenti, tempi, pressioni — non per riaprirli a parole, ma per pesarli.</w:t>
      </w:r>
    </w:p>
    <w:p>
      <w:pPr>
        <w:spacing w:after="120" w:line="276"/>
        <w:jc w:val="both"/>
      </w:pPr>
      <w:r>
        <w:rPr>
          <w:rFonts w:ascii="Barlow Semi Condensed" w:cs="Barlow Semi Condensed" w:eastAsia="Barlow Semi Condensed" w:hAnsi="Barlow Semi Condensed"/>
          <w:b/>
          <w:bCs/>
          <w:sz w:val="24"/>
          <w:szCs w:val="24"/>
        </w:rPr>
        <w:t xml:space="preserve">154 · I giornalisti dei 55 giorni.</w:t>
      </w:r>
      <w:r>
        <w:rPr>
          <w:rFonts w:ascii="Barlow Semi Condensed" w:cs="Barlow Semi Condensed" w:eastAsia="Barlow Semi Condensed" w:hAnsi="Barlow Semi Condensed"/>
          <w:sz w:val="24"/>
          <w:szCs w:val="24"/>
        </w:rPr>
        <w:t xml:space="preserve"> I cronisti che coprirono il caso detengono taccuini, agende, registrazioni: la raccolta dei loro archivi personali è un atto del blocco 124, con priorità biologica.</w:t>
      </w:r>
    </w:p>
    <w:p>
      <w:pPr>
        <w:spacing w:after="120" w:line="276"/>
        <w:jc w:val="both"/>
      </w:pPr>
      <w:r>
        <w:rPr>
          <w:rFonts w:ascii="Barlow Semi Condensed" w:cs="Barlow Semi Condensed" w:eastAsia="Barlow Semi Condensed" w:hAnsi="Barlow Semi Condensed"/>
          <w:b/>
          <w:bCs/>
          <w:sz w:val="24"/>
          <w:szCs w:val="24"/>
        </w:rPr>
        <w:t xml:space="preserve">155 · I difensori e i magistrati.</w:t>
      </w:r>
      <w:r>
        <w:rPr>
          <w:rFonts w:ascii="Barlow Semi Condensed" w:cs="Barlow Semi Condensed" w:eastAsia="Barlow Semi Condensed" w:hAnsi="Barlow Semi Condensed"/>
          <w:sz w:val="24"/>
          <w:szCs w:val="24"/>
        </w:rPr>
        <w:t xml:space="preserve"> Le memorie professionali di chi istruì e difese — nei limiti dei segreti — illuminano le scelte processuali: perché un teste non fu chiamato, perché un esame non fu chiesto.</w:t>
      </w:r>
    </w:p>
    <w:p>
      <w:pPr>
        <w:spacing w:after="120" w:line="276"/>
        <w:jc w:val="both"/>
      </w:pPr>
      <w:r>
        <w:rPr>
          <w:rFonts w:ascii="Barlow Semi Condensed" w:cs="Barlow Semi Condensed" w:eastAsia="Barlow Semi Condensed" w:hAnsi="Barlow Semi Condensed"/>
          <w:b/>
          <w:bCs/>
          <w:sz w:val="24"/>
          <w:szCs w:val="24"/>
        </w:rPr>
        <w:t xml:space="preserve">156 · Le famiglie delle vittime.</w:t>
      </w:r>
      <w:r>
        <w:rPr>
          <w:rFonts w:ascii="Barlow Semi Condensed" w:cs="Barlow Semi Condensed" w:eastAsia="Barlow Semi Condensed" w:hAnsi="Barlow Semi Condensed"/>
          <w:sz w:val="24"/>
          <w:szCs w:val="24"/>
        </w:rPr>
        <w:t xml:space="preserve"> Depositarie di carte, ricordi e domande: il rapporto è permanente e non estrattivo — si offre prima di chiedere, e ogni uso di materiali familiari ha consenso scritto.</w:t>
      </w:r>
    </w:p>
    <w:p>
      <w:pPr>
        <w:spacing w:after="120" w:line="276"/>
        <w:jc w:val="both"/>
      </w:pPr>
      <w:r>
        <w:rPr>
          <w:rFonts w:ascii="Barlow Semi Condensed" w:cs="Barlow Semi Condensed" w:eastAsia="Barlow Semi Condensed" w:hAnsi="Barlow Semi Condensed"/>
          <w:b/>
          <w:bCs/>
          <w:sz w:val="24"/>
          <w:szCs w:val="24"/>
        </w:rPr>
        <w:t xml:space="preserve">157 · I familiari dei protagonisti scomparsi.</w:t>
      </w:r>
      <w:r>
        <w:rPr>
          <w:rFonts w:ascii="Barlow Semi Condensed" w:cs="Barlow Semi Condensed" w:eastAsia="Barlow Semi Condensed" w:hAnsi="Barlow Semi Condensed"/>
          <w:sz w:val="24"/>
          <w:szCs w:val="24"/>
        </w:rPr>
        <w:t xml:space="preserve"> Eredi di funzionari, mediatori, testimoni: il censimento dei lasciti (blocco 124) passa dalle famiglie, con la regola del blocco 5 stampata in testa a ogni richiesta — nessuno risponde dei propri congiunti.</w:t>
      </w:r>
    </w:p>
    <w:p>
      <w:pPr>
        <w:spacing w:after="120" w:line="276"/>
        <w:jc w:val="both"/>
      </w:pPr>
      <w:r>
        <w:rPr>
          <w:rFonts w:ascii="Barlow Semi Condensed" w:cs="Barlow Semi Condensed" w:eastAsia="Barlow Semi Condensed" w:hAnsi="Barlow Semi Condensed"/>
          <w:b/>
          <w:bCs/>
          <w:sz w:val="24"/>
          <w:szCs w:val="24"/>
        </w:rPr>
        <w:t xml:space="preserve">158 · Il clero del canale.</w:t>
      </w:r>
      <w:r>
        <w:rPr>
          <w:rFonts w:ascii="Barlow Semi Condensed" w:cs="Barlow Semi Condensed" w:eastAsia="Barlow Semi Condensed" w:hAnsi="Barlow Semi Condensed"/>
          <w:sz w:val="24"/>
          <w:szCs w:val="24"/>
        </w:rPr>
        <w:t xml:space="preserve"> I collaboratori viventi dell'ispettorato dei cappellani e chiunque abbia cognizione diretta del canale del riscatto: escussioni conservative con le cautele canoniche, prima che il canale resti solo carta.</w:t>
      </w:r>
    </w:p>
    <w:p>
      <w:pPr>
        <w:spacing w:after="120" w:line="276"/>
        <w:jc w:val="both"/>
      </w:pPr>
      <w:r>
        <w:rPr>
          <w:rFonts w:ascii="Barlow Semi Condensed" w:cs="Barlow Semi Condensed" w:eastAsia="Barlow Semi Condensed" w:hAnsi="Barlow Semi Condensed"/>
          <w:b/>
          <w:bCs/>
          <w:sz w:val="24"/>
          <w:szCs w:val="24"/>
        </w:rPr>
        <w:t xml:space="preserve">159 · I tecnici delle immobiliari.</w:t>
      </w:r>
      <w:r>
        <w:rPr>
          <w:rFonts w:ascii="Barlow Semi Condensed" w:cs="Barlow Semi Condensed" w:eastAsia="Barlow Semi Condensed" w:hAnsi="Barlow Semi Condensed"/>
          <w:sz w:val="24"/>
          <w:szCs w:val="24"/>
        </w:rPr>
        <w:t xml:space="preserve"> Amministratori di condominio, portieri, geometri dei luoghi: la microstoria dei palazzi (blocco 122) ha ancora voci vive, e sono quelle che leggono i registri meglio degli storici.</w:t>
      </w:r>
    </w:p>
    <w:p>
      <w:pPr>
        <w:spacing w:after="120" w:line="276"/>
        <w:jc w:val="both"/>
      </w:pPr>
      <w:r>
        <w:rPr>
          <w:rFonts w:ascii="Barlow Semi Condensed" w:cs="Barlow Semi Condensed" w:eastAsia="Barlow Semi Condensed" w:hAnsi="Barlow Semi Condensed"/>
          <w:b/>
          <w:bCs/>
          <w:sz w:val="24"/>
          <w:szCs w:val="24"/>
        </w:rPr>
        <w:t xml:space="preserve">160 · Gli operatori del soccorso.</w:t>
      </w:r>
      <w:r>
        <w:rPr>
          <w:rFonts w:ascii="Barlow Semi Condensed" w:cs="Barlow Semi Condensed" w:eastAsia="Barlow Semi Condensed" w:hAnsi="Barlow Semi Condensed"/>
          <w:sz w:val="24"/>
          <w:szCs w:val="24"/>
        </w:rPr>
        <w:t xml:space="preserve"> Vigili del fuoco del 18 aprile, personale sanitario del 9 maggio: ogni operatore vivente delle scene chiave si censisce e si ascolta con protocollo pieno.</w:t>
      </w:r>
    </w:p>
    <w:p>
      <w:pPr>
        <w:spacing w:after="120" w:line="276"/>
        <w:jc w:val="both"/>
      </w:pPr>
      <w:r>
        <w:rPr>
          <w:rFonts w:ascii="Barlow Semi Condensed" w:cs="Barlow Semi Condensed" w:eastAsia="Barlow Semi Condensed" w:hAnsi="Barlow Semi Condensed"/>
          <w:b/>
          <w:bCs/>
          <w:sz w:val="24"/>
          <w:szCs w:val="24"/>
        </w:rPr>
        <w:t xml:space="preserve">161 · La deposizione differita.</w:t>
      </w:r>
      <w:r>
        <w:rPr>
          <w:rFonts w:ascii="Barlow Semi Condensed" w:cs="Barlow Semi Condensed" w:eastAsia="Barlow Semi Condensed" w:hAnsi="Barlow Semi Condensed"/>
          <w:sz w:val="24"/>
          <w:szCs w:val="24"/>
        </w:rPr>
        <w:t xml:space="preserve"> A chi non voglia parlare oggi si offre la deposizione sigillata con apertura postuma o a termine: lo strumento che ha salvato altrove verità altrimenti perdute.</w:t>
      </w:r>
    </w:p>
    <w:p>
      <w:pPr>
        <w:spacing w:after="120" w:line="276"/>
        <w:jc w:val="both"/>
      </w:pPr>
      <w:r>
        <w:rPr>
          <w:rFonts w:ascii="Barlow Semi Condensed" w:cs="Barlow Semi Condensed" w:eastAsia="Barlow Semi Condensed" w:hAnsi="Barlow Semi Condensed"/>
          <w:b/>
          <w:bCs/>
          <w:sz w:val="24"/>
          <w:szCs w:val="24"/>
        </w:rPr>
        <w:t xml:space="preserve">162 · La protezione del dichiarante.</w:t>
      </w:r>
      <w:r>
        <w:rPr>
          <w:rFonts w:ascii="Barlow Semi Condensed" w:cs="Barlow Semi Condensed" w:eastAsia="Barlow Semi Condensed" w:hAnsi="Barlow Semi Condensed"/>
          <w:sz w:val="24"/>
          <w:szCs w:val="24"/>
        </w:rPr>
        <w:t xml:space="preserve"> Chi teme conseguenze riceve i presidi che l'ordinamento consente; le minacce riferite — anche storiche, come quelle della sera del 16 marzo — si verbalizzano come fatti autonomi con proprio fascicolo.</w:t>
      </w:r>
    </w:p>
    <w:p>
      <w:pPr>
        <w:spacing w:after="120" w:line="276"/>
        <w:jc w:val="both"/>
      </w:pPr>
      <w:r>
        <w:rPr>
          <w:rFonts w:ascii="Barlow Semi Condensed" w:cs="Barlow Semi Condensed" w:eastAsia="Barlow Semi Condensed" w:hAnsi="Barlow Semi Condensed"/>
          <w:b/>
          <w:bCs/>
          <w:sz w:val="24"/>
          <w:szCs w:val="24"/>
        </w:rPr>
        <w:t xml:space="preserve">163 · L'intervista impossibile.</w:t>
      </w:r>
      <w:r>
        <w:rPr>
          <w:rFonts w:ascii="Barlow Semi Condensed" w:cs="Barlow Semi Condensed" w:eastAsia="Barlow Semi Condensed" w:hAnsi="Barlow Semi Condensed"/>
          <w:sz w:val="24"/>
          <w:szCs w:val="24"/>
        </w:rPr>
        <w:t xml:space="preserve"> Per i protagonisti scomparsi si compila la scheda delle domande mai poste: orienta la ricerca dei lasciti e dice ai fondi archivistici che cosa cercare al posto della voce.</w:t>
      </w:r>
    </w:p>
    <w:p>
      <w:pPr>
        <w:spacing w:after="120" w:line="276"/>
        <w:jc w:val="both"/>
      </w:pPr>
      <w:r>
        <w:rPr>
          <w:rFonts w:ascii="Barlow Semi Condensed" w:cs="Barlow Semi Condensed" w:eastAsia="Barlow Semi Condensed" w:hAnsi="Barlow Semi Condensed"/>
          <w:b/>
          <w:bCs/>
          <w:sz w:val="24"/>
          <w:szCs w:val="24"/>
        </w:rPr>
        <w:t xml:space="preserve">164 · Il sosia del ricordo.</w:t>
      </w:r>
      <w:r>
        <w:rPr>
          <w:rFonts w:ascii="Barlow Semi Condensed" w:cs="Barlow Semi Condensed" w:eastAsia="Barlow Semi Condensed" w:hAnsi="Barlow Semi Condensed"/>
          <w:sz w:val="24"/>
          <w:szCs w:val="24"/>
        </w:rPr>
        <w:t xml:space="preserve"> Le memorie pubblicate (libri, interviste) dei protagonisti si schedano con data e versione: la tavola sinottica delle varianti di ciascun racconto è essa stessa un documento — mostra dove la memoria è stabile e dove lavora.</w:t>
      </w:r>
    </w:p>
    <w:p>
      <w:pPr>
        <w:spacing w:after="120" w:line="276"/>
        <w:jc w:val="both"/>
      </w:pPr>
      <w:r>
        <w:rPr>
          <w:rFonts w:ascii="Barlow Semi Condensed" w:cs="Barlow Semi Condensed" w:eastAsia="Barlow Semi Condensed" w:hAnsi="Barlow Semi Condensed"/>
          <w:b/>
          <w:bCs/>
          <w:sz w:val="24"/>
          <w:szCs w:val="24"/>
        </w:rPr>
        <w:t xml:space="preserve">165 · Il confine con la memorialistica.</w:t>
      </w:r>
      <w:r>
        <w:rPr>
          <w:rFonts w:ascii="Barlow Semi Condensed" w:cs="Barlow Semi Condensed" w:eastAsia="Barlow Semi Condensed" w:hAnsi="Barlow Semi Condensed"/>
          <w:sz w:val="24"/>
          <w:szCs w:val="24"/>
        </w:rPr>
        <w:t xml:space="preserve"> Nessuna memoria, per quanto suggestiva, entra negli atti oltre il grado C senza riscontro documentale: la serie quinta alimenta le altre, non le sostituisce.</w:t>
      </w:r>
    </w:p>
    <w:p>
      <w:pPr>
        <w:spacing w:after="120" w:line="276"/>
        <w:jc w:val="both"/>
      </w:pPr>
      <w:r>
        <w:rPr>
          <w:rFonts w:ascii="Barlow Semi Condensed" w:cs="Barlow Semi Condensed" w:eastAsia="Barlow Semi Condensed" w:hAnsi="Barlow Semi Condensed"/>
          <w:b/>
          <w:bCs/>
          <w:sz w:val="24"/>
          <w:szCs w:val="24"/>
        </w:rPr>
        <w:t xml:space="preserve">166 · I testimoni delle carte.</w:t>
      </w:r>
      <w:r>
        <w:rPr>
          <w:rFonts w:ascii="Barlow Semi Condensed" w:cs="Barlow Semi Condensed" w:eastAsia="Barlow Semi Condensed" w:hAnsi="Barlow Semi Condensed"/>
          <w:sz w:val="24"/>
          <w:szCs w:val="24"/>
        </w:rPr>
        <w:t xml:space="preserve"> Archivisti e cancellieri che maneggiarono i fondi negli anni: sanno quali serie furono consultate, spostate, sfoltite — la storia della custodia è testimonianza tecnica.</w:t>
      </w:r>
    </w:p>
    <w:p>
      <w:pPr>
        <w:spacing w:after="120" w:line="276"/>
        <w:jc w:val="both"/>
      </w:pPr>
      <w:r>
        <w:rPr>
          <w:rFonts w:ascii="Barlow Semi Condensed" w:cs="Barlow Semi Condensed" w:eastAsia="Barlow Semi Condensed" w:hAnsi="Barlow Semi Condensed"/>
          <w:b/>
          <w:bCs/>
          <w:sz w:val="24"/>
          <w:szCs w:val="24"/>
        </w:rPr>
        <w:t xml:space="preserve">167 · Il giuramento del metodo.</w:t>
      </w:r>
      <w:r>
        <w:rPr>
          <w:rFonts w:ascii="Barlow Semi Condensed" w:cs="Barlow Semi Condensed" w:eastAsia="Barlow Semi Condensed" w:hAnsi="Barlow Semi Condensed"/>
          <w:sz w:val="24"/>
          <w:szCs w:val="24"/>
        </w:rPr>
        <w:t xml:space="preserve"> Chi conduce le escussioni sottoscrive il protocollo delle serie prima e quinta: la violazione (domande suggestive, promesse, fughe verso la stampa) esclude dal cantiere.</w:t>
      </w:r>
    </w:p>
    <w:p>
      <w:pPr>
        <w:spacing w:after="120" w:line="276"/>
        <w:jc w:val="both"/>
      </w:pPr>
      <w:r>
        <w:rPr>
          <w:rFonts w:ascii="Barlow Semi Condensed" w:cs="Barlow Semi Condensed" w:eastAsia="Barlow Semi Condensed" w:hAnsi="Barlow Semi Condensed"/>
          <w:b/>
          <w:bCs/>
          <w:sz w:val="24"/>
          <w:szCs w:val="24"/>
        </w:rPr>
        <w:t xml:space="preserve">168 · Il diritto all'oblio processuale.</w:t>
      </w:r>
      <w:r>
        <w:rPr>
          <w:rFonts w:ascii="Barlow Semi Condensed" w:cs="Barlow Semi Condensed" w:eastAsia="Barlow Semi Condensed" w:hAnsi="Barlow Semi Condensed"/>
          <w:sz w:val="24"/>
          <w:szCs w:val="24"/>
        </w:rPr>
        <w:t xml:space="preserve"> Chi ha pagato il proprio debito e non detiene conoscenze nuove non si perseguita: la serie cerca conoscenza, non espiazione supplementare.</w:t>
      </w:r>
    </w:p>
    <w:p>
      <w:pPr>
        <w:spacing w:after="120" w:line="276"/>
        <w:jc w:val="both"/>
      </w:pPr>
      <w:r>
        <w:rPr>
          <w:rFonts w:ascii="Barlow Semi Condensed" w:cs="Barlow Semi Condensed" w:eastAsia="Barlow Semi Condensed" w:hAnsi="Barlow Semi Condensed"/>
          <w:b/>
          <w:bCs/>
          <w:sz w:val="24"/>
          <w:szCs w:val="24"/>
        </w:rPr>
        <w:t xml:space="preserve">169 · La tavola delle urgenze.</w:t>
      </w:r>
      <w:r>
        <w:rPr>
          <w:rFonts w:ascii="Barlow Semi Condensed" w:cs="Barlow Semi Condensed" w:eastAsia="Barlow Semi Condensed" w:hAnsi="Barlow Semi Condensed"/>
          <w:sz w:val="24"/>
          <w:szCs w:val="24"/>
        </w:rPr>
        <w:t xml:space="preserve"> Il censimento del blocco 141 si ordina per urgenza biologica e la tavola si aggiorna a ogni trimestre: è l'unico cronoprogramma del manuale che non ammette slittamenti.</w:t>
      </w:r>
    </w:p>
    <w:p>
      <w:pPr>
        <w:spacing w:after="120" w:line="276"/>
        <w:jc w:val="both"/>
      </w:pPr>
      <w:r>
        <w:rPr>
          <w:rFonts w:ascii="Barlow Semi Condensed" w:cs="Barlow Semi Condensed" w:eastAsia="Barlow Semi Condensed" w:hAnsi="Barlow Semi Condensed"/>
          <w:b/>
          <w:bCs/>
          <w:sz w:val="24"/>
          <w:szCs w:val="24"/>
        </w:rPr>
        <w:t xml:space="preserve">170 · La relazione di cantiere.</w:t>
      </w:r>
      <w:r>
        <w:rPr>
          <w:rFonts w:ascii="Barlow Semi Condensed" w:cs="Barlow Semi Condensed" w:eastAsia="Barlow Semi Condensed" w:hAnsi="Barlow Semi Condensed"/>
          <w:sz w:val="24"/>
          <w:szCs w:val="24"/>
        </w:rPr>
        <w:t xml:space="preserve"> Il cantiere conservativo produce la relazione annuale: escussioni raccolte, lasciti acquisiti, depositi sigillati, urgenze perdute — anche queste ultime, perché il costo del ritardo sia scritto.</w:t>
      </w:r>
    </w:p>
    <w:p>
      <w:pPr>
        <w:pStyle w:val="Heading2"/>
        <w:spacing w:after="100" w:before="200"/>
      </w:pPr>
      <w:r>
        <w:rPr>
          <w:rFonts w:ascii="Barlow Semi Condensed" w:cs="Barlow Semi Condensed" w:eastAsia="Barlow Semi Condensed" w:hAnsi="Barlow Semi Condensed"/>
          <w:sz w:val="24"/>
          <w:szCs w:val="24"/>
        </w:rPr>
        <w:t xml:space="preserve">Serie sesta — I quesiti del caso in forma ACH (blocchi 171-210)</w:t>
      </w:r>
    </w:p>
    <w:p>
      <w:pPr>
        <w:spacing w:after="120" w:line="276"/>
        <w:jc w:val="both"/>
      </w:pPr>
      <w:r>
        <w:rPr>
          <w:rFonts w:ascii="Barlow Semi Condensed" w:cs="Barlow Semi Condensed" w:eastAsia="Barlow Semi Condensed" w:hAnsi="Barlow Semi Condensed"/>
          <w:i/>
          <w:iCs/>
          <w:sz w:val="24"/>
          <w:szCs w:val="24"/>
        </w:rPr>
        <w:t xml:space="preserve">Statuto della serie: la grammatica applicata. Ogni quesito aperto del caso, riscritto come matrice — ipotesi, evidenza discriminante, criterio di chiusura, errore da evitare. Nessuna probabilità numerica: le matrici ordinano atti.</w:t>
      </w:r>
    </w:p>
    <w:p>
      <w:pPr>
        <w:spacing w:after="120" w:line="276"/>
        <w:jc w:val="both"/>
      </w:pPr>
      <w:r>
        <w:rPr>
          <w:rFonts w:ascii="Barlow Semi Condensed" w:cs="Barlow Semi Condensed" w:eastAsia="Barlow Semi Condensed" w:hAnsi="Barlow Semi Condensed"/>
          <w:b/>
          <w:bCs/>
          <w:sz w:val="24"/>
          <w:szCs w:val="24"/>
        </w:rPr>
        <w:t xml:space="preserve">171 · Q-Fani/1: le presenze non attribuite — le ipotesi.</w:t>
      </w:r>
      <w:r>
        <w:rPr>
          <w:rFonts w:ascii="Barlow Semi Condensed" w:cs="Barlow Semi Condensed" w:eastAsia="Barlow Semi Condensed" w:hAnsi="Barlow Semi Condensed"/>
          <w:sz w:val="24"/>
          <w:szCs w:val="24"/>
        </w:rPr>
        <w:t xml:space="preserve"> H1 errore percettivo dei testimoni; H2 presenze estranee non coinvolte; H3 componenti operativi mai giudicati. La matrice è aperta da mezzo secolo perché le si è chiesto un verdetto invece di un'evidenza.</w:t>
      </w:r>
    </w:p>
    <w:p>
      <w:pPr>
        <w:spacing w:after="120" w:line="276"/>
        <w:jc w:val="both"/>
      </w:pPr>
      <w:r>
        <w:rPr>
          <w:rFonts w:ascii="Barlow Semi Condensed" w:cs="Barlow Semi Condensed" w:eastAsia="Barlow Semi Condensed" w:hAnsi="Barlow Semi Condensed"/>
          <w:b/>
          <w:bCs/>
          <w:sz w:val="24"/>
          <w:szCs w:val="24"/>
        </w:rPr>
        <w:t xml:space="preserve">172 · Q-Fani/1: l'evidenza discriminante.</w:t>
      </w:r>
      <w:r>
        <w:rPr>
          <w:rFonts w:ascii="Barlow Semi Condensed" w:cs="Barlow Semi Condensed" w:eastAsia="Barlow Semi Condensed" w:hAnsi="Barlow Semi Condensed"/>
          <w:sz w:val="24"/>
          <w:szCs w:val="24"/>
        </w:rPr>
        <w:t xml:space="preserve"> Il residuo balistico o genetico non attribuibile alle persone e alle armi del giudicato: solo un dato fisico discrimina le tre ipotesi. Le testimonianze — dopo la Nota di revisione n. 1 — non decidono più nulla da sole.</w:t>
      </w:r>
    </w:p>
    <w:p>
      <w:pPr>
        <w:spacing w:after="120" w:line="276"/>
        <w:jc w:val="both"/>
      </w:pPr>
      <w:r>
        <w:rPr>
          <w:rFonts w:ascii="Barlow Semi Condensed" w:cs="Barlow Semi Condensed" w:eastAsia="Barlow Semi Condensed" w:hAnsi="Barlow Semi Condensed"/>
          <w:b/>
          <w:bCs/>
          <w:sz w:val="24"/>
          <w:szCs w:val="24"/>
        </w:rPr>
        <w:t xml:space="preserve">173 · Q-Fani/1: il criterio di chiusura.</w:t>
      </w:r>
      <w:r>
        <w:rPr>
          <w:rFonts w:ascii="Barlow Semi Condensed" w:cs="Barlow Semi Condensed" w:eastAsia="Barlow Semi Condensed" w:hAnsi="Barlow Semi Condensed"/>
          <w:sz w:val="24"/>
          <w:szCs w:val="24"/>
        </w:rPr>
        <w:t xml:space="preserve"> Tutte le tracce attribuite → H3 perde il fondamento fisico possibile e la questione retrocede a memoria storica; un residuo ignoto → si apre un'identificazione giudiziaria, che appartiene al fascicolo.</w:t>
      </w:r>
    </w:p>
    <w:p>
      <w:pPr>
        <w:spacing w:after="120" w:line="276"/>
        <w:jc w:val="both"/>
      </w:pPr>
      <w:r>
        <w:rPr>
          <w:rFonts w:ascii="Barlow Semi Condensed" w:cs="Barlow Semi Condensed" w:eastAsia="Barlow Semi Condensed" w:hAnsi="Barlow Semi Condensed"/>
          <w:b/>
          <w:bCs/>
          <w:sz w:val="24"/>
          <w:szCs w:val="24"/>
        </w:rPr>
        <w:t xml:space="preserve">174 · Q-Fani/1: l'errore da evitare.</w:t>
      </w:r>
      <w:r>
        <w:rPr>
          <w:rFonts w:ascii="Barlow Semi Condensed" w:cs="Barlow Semi Condensed" w:eastAsia="Barlow Semi Condensed" w:hAnsi="Barlow Semi Condensed"/>
          <w:sz w:val="24"/>
          <w:szCs w:val="24"/>
        </w:rPr>
        <w:t xml:space="preserve"> Trattare il numero dei bossoli come già eloquente: senza l'attribuzione per arma, 91 è solo una cifra. La divergenza peritale è il quesito, non la prova.</w:t>
      </w:r>
    </w:p>
    <w:p>
      <w:pPr>
        <w:spacing w:after="120" w:line="276"/>
        <w:jc w:val="both"/>
      </w:pPr>
      <w:r>
        <w:rPr>
          <w:rFonts w:ascii="Barlow Semi Condensed" w:cs="Barlow Semi Condensed" w:eastAsia="Barlow Semi Condensed" w:hAnsi="Barlow Semi Condensed"/>
          <w:b/>
          <w:bCs/>
          <w:sz w:val="24"/>
          <w:szCs w:val="24"/>
        </w:rPr>
        <w:t xml:space="preserve">175 · Q-Fani/2: la Honda — le ipotesi.</w:t>
      </w:r>
      <w:r>
        <w:rPr>
          <w:rFonts w:ascii="Barlow Semi Condensed" w:cs="Barlow Semi Condensed" w:eastAsia="Barlow Semi Condensed" w:hAnsi="Barlow Semi Condensed"/>
          <w:sz w:val="24"/>
          <w:szCs w:val="24"/>
        </w:rPr>
        <w:t xml:space="preserve"> H1 percezione infedele consolidata dal racconto; H2 moto estranea presente; H3 mezzo del dispositivo. L'oggetto è il mezzo, distinto dalle persone del quesito 171.</w:t>
      </w:r>
    </w:p>
    <w:p>
      <w:pPr>
        <w:spacing w:after="120" w:line="276"/>
        <w:jc w:val="both"/>
      </w:pPr>
      <w:r>
        <w:rPr>
          <w:rFonts w:ascii="Barlow Semi Condensed" w:cs="Barlow Semi Condensed" w:eastAsia="Barlow Semi Condensed" w:hAnsi="Barlow Semi Condensed"/>
          <w:b/>
          <w:bCs/>
          <w:sz w:val="24"/>
          <w:szCs w:val="24"/>
        </w:rPr>
        <w:t xml:space="preserve">176 · Q-Fani/2: l'evidenza.</w:t>
      </w:r>
      <w:r>
        <w:rPr>
          <w:rFonts w:ascii="Barlow Semi Condensed" w:cs="Barlow Semi Condensed" w:eastAsia="Barlow Semi Condensed" w:hAnsi="Barlow Semi Condensed"/>
          <w:sz w:val="24"/>
          <w:szCs w:val="24"/>
        </w:rPr>
        <w:t xml:space="preserve"> Riscontri materiali d'epoca (rilievi, foto, tracce) e convergenza di testimoni </w:t>
      </w:r>
      <w:r>
        <w:rPr>
          <w:rFonts w:ascii="Barlow Semi Condensed" w:cs="Barlow Semi Condensed" w:eastAsia="Barlow Semi Condensed" w:hAnsi="Barlow Semi Condensed"/>
          <w:i/>
          <w:iCs/>
          <w:sz w:val="24"/>
          <w:szCs w:val="24"/>
        </w:rPr>
        <w:t xml:space="preserve">indipendenti</w:t>
      </w:r>
      <w:r>
        <w:rPr>
          <w:rFonts w:ascii="Barlow Semi Condensed" w:cs="Barlow Semi Condensed" w:eastAsia="Barlow Semi Condensed" w:hAnsi="Barlow Semi Condensed"/>
          <w:sz w:val="24"/>
          <w:szCs w:val="24"/>
        </w:rPr>
        <w:t xml:space="preserve"> fra loro: la ricerca del blocco 139 (i provini d'agenzia) è l'atto specifico.</w:t>
      </w:r>
    </w:p>
    <w:p>
      <w:pPr>
        <w:spacing w:after="120" w:line="276"/>
        <w:jc w:val="both"/>
      </w:pPr>
      <w:r>
        <w:rPr>
          <w:rFonts w:ascii="Barlow Semi Condensed" w:cs="Barlow Semi Condensed" w:eastAsia="Barlow Semi Condensed" w:hAnsi="Barlow Semi Condensed"/>
          <w:b/>
          <w:bCs/>
          <w:sz w:val="24"/>
          <w:szCs w:val="24"/>
        </w:rPr>
        <w:t xml:space="preserve">177 · Q-Fani/2: chiusura ed errore.</w:t>
      </w:r>
      <w:r>
        <w:rPr>
          <w:rFonts w:ascii="Barlow Semi Condensed" w:cs="Barlow Semi Condensed" w:eastAsia="Barlow Semi Condensed" w:hAnsi="Barlow Semi Condensed"/>
          <w:sz w:val="24"/>
          <w:szCs w:val="24"/>
        </w:rPr>
        <w:t xml:space="preserve"> Si chiude con l'inventario esaustivo dei riscontri materiali, in un senso o nell'altro; l'errore è fondare il mezzo su un solo teste — qualunque teste.</w:t>
      </w:r>
    </w:p>
    <w:p>
      <w:pPr>
        <w:spacing w:after="120" w:line="276"/>
        <w:jc w:val="both"/>
      </w:pPr>
      <w:r>
        <w:rPr>
          <w:rFonts w:ascii="Barlow Semi Condensed" w:cs="Barlow Semi Condensed" w:eastAsia="Barlow Semi Condensed" w:hAnsi="Barlow Semi Condensed"/>
          <w:b/>
          <w:bCs/>
          <w:sz w:val="24"/>
          <w:szCs w:val="24"/>
        </w:rPr>
        <w:t xml:space="preserve">178 · Q-Gradoli/1: la segnalazione di Zappolino — le ipotesi.</w:t>
      </w:r>
      <w:r>
        <w:rPr>
          <w:rFonts w:ascii="Barlow Semi Condensed" w:cs="Barlow Semi Condensed" w:eastAsia="Barlow Semi Condensed" w:hAnsi="Barlow Semi Condensed"/>
          <w:sz w:val="24"/>
          <w:szCs w:val="24"/>
        </w:rPr>
        <w:t xml:space="preserve"> H1 coincidenza autentica; H2 fuga di notizie per canale anomalo; H3 costruzione di copertura. Tutte e tre compatibili con l'evidenza nota: matrice indecisa per costruzione.</w:t>
      </w:r>
    </w:p>
    <w:p>
      <w:pPr>
        <w:spacing w:after="120" w:line="276"/>
        <w:jc w:val="both"/>
      </w:pPr>
      <w:r>
        <w:rPr>
          <w:rFonts w:ascii="Barlow Semi Condensed" w:cs="Barlow Semi Condensed" w:eastAsia="Barlow Semi Condensed" w:hAnsi="Barlow Semi Condensed"/>
          <w:b/>
          <w:bCs/>
          <w:sz w:val="24"/>
          <w:szCs w:val="24"/>
        </w:rPr>
        <w:t xml:space="preserve">179 · Q-Gradoli/1: l'evidenza.</w:t>
      </w:r>
      <w:r>
        <w:rPr>
          <w:rFonts w:ascii="Barlow Semi Condensed" w:cs="Barlow Semi Condensed" w:eastAsia="Barlow Semi Condensed" w:hAnsi="Barlow Semi Condensed"/>
          <w:sz w:val="24"/>
          <w:szCs w:val="24"/>
        </w:rPr>
        <w:t xml:space="preserve"> La catena documentale del blocco 100 — la verbalizzazione originaria, l'ordine verso il paese, il carteggio: chi scrisse cosa, quando. È l'unica evidenza che possa muovere la matrice, e nessuno l'ha mai prodotta integralmente.</w:t>
      </w:r>
    </w:p>
    <w:p>
      <w:pPr>
        <w:spacing w:after="120" w:line="276"/>
        <w:jc w:val="both"/>
      </w:pPr>
      <w:r>
        <w:rPr>
          <w:rFonts w:ascii="Barlow Semi Condensed" w:cs="Barlow Semi Condensed" w:eastAsia="Barlow Semi Condensed" w:hAnsi="Barlow Semi Condensed"/>
          <w:b/>
          <w:bCs/>
          <w:sz w:val="24"/>
          <w:szCs w:val="24"/>
        </w:rPr>
        <w:t xml:space="preserve">180 · Q-Gradoli/1: chiusura ed errore.</w:t>
      </w:r>
      <w:r>
        <w:rPr>
          <w:rFonts w:ascii="Barlow Semi Condensed" w:cs="Barlow Semi Condensed" w:eastAsia="Barlow Semi Condensed" w:hAnsi="Barlow Semi Condensed"/>
          <w:sz w:val="24"/>
          <w:szCs w:val="24"/>
        </w:rPr>
        <w:t xml:space="preserve"> Chiusura: la catena ricostruita o la sua assenza certificata. Errore: quarant'anni passati a chiedere «chi parlò» — domanda forse irrisolvibile — invece di «dove sono le carte».</w:t>
      </w:r>
    </w:p>
    <w:p>
      <w:pPr>
        <w:spacing w:after="120" w:line="276"/>
        <w:jc w:val="both"/>
      </w:pPr>
      <w:r>
        <w:rPr>
          <w:rFonts w:ascii="Barlow Semi Condensed" w:cs="Barlow Semi Condensed" w:eastAsia="Barlow Semi Condensed" w:hAnsi="Barlow Semi Condensed"/>
          <w:b/>
          <w:bCs/>
          <w:sz w:val="24"/>
          <w:szCs w:val="24"/>
        </w:rPr>
        <w:t xml:space="preserve">181 · Q-Gradoli/2: il controllo del 18 marzo — le ipotesi.</w:t>
      </w:r>
      <w:r>
        <w:rPr>
          <w:rFonts w:ascii="Barlow Semi Condensed" w:cs="Barlow Semi Condensed" w:eastAsia="Barlow Semi Condensed" w:hAnsi="Barlow Semi Condensed"/>
          <w:sz w:val="24"/>
          <w:szCs w:val="24"/>
        </w:rPr>
        <w:t xml:space="preserve"> H1 negligenza ordinaria nel diluvio; H2 filtro o disposizione nella catena. Il quesito è sull'uscita del sistema, perché l'ingresso — la nota — funzionò.</w:t>
      </w:r>
    </w:p>
    <w:p>
      <w:pPr>
        <w:spacing w:after="120" w:line="276"/>
        <w:jc w:val="both"/>
      </w:pPr>
      <w:r>
        <w:rPr>
          <w:rFonts w:ascii="Barlow Semi Condensed" w:cs="Barlow Semi Condensed" w:eastAsia="Barlow Semi Condensed" w:hAnsi="Barlow Semi Condensed"/>
          <w:b/>
          <w:bCs/>
          <w:sz w:val="24"/>
          <w:szCs w:val="24"/>
        </w:rPr>
        <w:t xml:space="preserve">182 · Q-Gradoli/2: l'evidenza.</w:t>
      </w:r>
      <w:r>
        <w:rPr>
          <w:rFonts w:ascii="Barlow Semi Condensed" w:cs="Barlow Semi Condensed" w:eastAsia="Barlow Semi Condensed" w:hAnsi="Barlow Semi Condensed"/>
          <w:sz w:val="24"/>
          <w:szCs w:val="24"/>
        </w:rPr>
        <w:t xml:space="preserve"> I quattro documenti dovuti del blocco 102: protocollo, assegnazione, disposizioni, ritorno. La distribuzione delle loro presenze/assenze discrimina.</w:t>
      </w:r>
    </w:p>
    <w:p>
      <w:pPr>
        <w:spacing w:after="120" w:line="276"/>
        <w:jc w:val="both"/>
      </w:pPr>
      <w:r>
        <w:rPr>
          <w:rFonts w:ascii="Barlow Semi Condensed" w:cs="Barlow Semi Condensed" w:eastAsia="Barlow Semi Condensed" w:hAnsi="Barlow Semi Condensed"/>
          <w:b/>
          <w:bCs/>
          <w:sz w:val="24"/>
          <w:szCs w:val="24"/>
        </w:rPr>
        <w:t xml:space="preserve">183 · Q-Gradoli/2: chiusura ed errore.</w:t>
      </w:r>
      <w:r>
        <w:rPr>
          <w:rFonts w:ascii="Barlow Semi Condensed" w:cs="Barlow Semi Condensed" w:eastAsia="Barlow Semi Condensed" w:hAnsi="Barlow Semi Condensed"/>
          <w:sz w:val="24"/>
          <w:szCs w:val="24"/>
        </w:rPr>
        <w:t xml:space="preserve"> Chiusura con la catena, in ogni esito. Errore: processare il brigadiere — l'anello visibile — invece di leggere la catena che lo mosse o non lo rimosse.</w:t>
      </w:r>
    </w:p>
    <w:p>
      <w:pPr>
        <w:spacing w:after="120" w:line="276"/>
        <w:jc w:val="both"/>
      </w:pPr>
      <w:r>
        <w:rPr>
          <w:rFonts w:ascii="Barlow Semi Condensed" w:cs="Barlow Semi Condensed" w:eastAsia="Barlow Semi Condensed" w:hAnsi="Barlow Semi Condensed"/>
          <w:b/>
          <w:bCs/>
          <w:sz w:val="24"/>
          <w:szCs w:val="24"/>
        </w:rPr>
        <w:t xml:space="preserve">184 · Q-Gradoli/3: l'allagamento — le ipotesi.</w:t>
      </w:r>
      <w:r>
        <w:rPr>
          <w:rFonts w:ascii="Barlow Semi Condensed" w:cs="Barlow Semi Condensed" w:eastAsia="Barlow Semi Condensed" w:hAnsi="Barlow Semi Condensed"/>
          <w:sz w:val="24"/>
          <w:szCs w:val="24"/>
        </w:rPr>
        <w:t xml:space="preserve"> H1 distrazione (verbale VVF; versioni dei condannati); H2 perdita deliberata per far scoprire il covo. Cinquant'anni di opinioni, zero perizie sui rilievi.</w:t>
      </w:r>
    </w:p>
    <w:p>
      <w:pPr>
        <w:spacing w:after="120" w:line="276"/>
        <w:jc w:val="both"/>
      </w:pPr>
      <w:r>
        <w:rPr>
          <w:rFonts w:ascii="Barlow Semi Condensed" w:cs="Barlow Semi Condensed" w:eastAsia="Barlow Semi Condensed" w:hAnsi="Barlow Semi Condensed"/>
          <w:b/>
          <w:bCs/>
          <w:sz w:val="24"/>
          <w:szCs w:val="24"/>
        </w:rPr>
        <w:t xml:space="preserve">185 · Q-Gradoli/3: l'evidenza.</w:t>
      </w:r>
      <w:r>
        <w:rPr>
          <w:rFonts w:ascii="Barlow Semi Condensed" w:cs="Barlow Semi Condensed" w:eastAsia="Barlow Semi Condensed" w:hAnsi="Barlow Semi Condensed"/>
          <w:sz w:val="24"/>
          <w:szCs w:val="24"/>
        </w:rPr>
        <w:t xml:space="preserve"> I rilievi fotografici originali del bagno: la posizione materiale della doccia e del getto è un dato fisico fotografato. Blocchi 64 e 103: l'atto esiste, va solo eseguito.</w:t>
      </w:r>
    </w:p>
    <w:p>
      <w:pPr>
        <w:spacing w:after="120" w:line="276"/>
        <w:jc w:val="both"/>
      </w:pPr>
      <w:r>
        <w:rPr>
          <w:rFonts w:ascii="Barlow Semi Condensed" w:cs="Barlow Semi Condensed" w:eastAsia="Barlow Semi Condensed" w:hAnsi="Barlow Semi Condensed"/>
          <w:b/>
          <w:bCs/>
          <w:sz w:val="24"/>
          <w:szCs w:val="24"/>
        </w:rPr>
        <w:t xml:space="preserve">186 · Q-Gradoli/3: chiusura ed errore.</w:t>
      </w:r>
      <w:r>
        <w:rPr>
          <w:rFonts w:ascii="Barlow Semi Condensed" w:cs="Barlow Semi Condensed" w:eastAsia="Barlow Semi Condensed" w:hAnsi="Barlow Semi Condensed"/>
          <w:sz w:val="24"/>
          <w:szCs w:val="24"/>
        </w:rPr>
        <w:t xml:space="preserve"> Chiusura con la perizia descrittiva, o con l'indecidibilità dichiarata se i rilievi non bastano. Errore: dedurre l'intenzione dal contesto — è l'anello debole per definizione.</w:t>
      </w:r>
    </w:p>
    <w:p>
      <w:pPr>
        <w:spacing w:after="120" w:line="276"/>
        <w:jc w:val="both"/>
      </w:pPr>
      <w:r>
        <w:rPr>
          <w:rFonts w:ascii="Barlow Semi Condensed" w:cs="Barlow Semi Condensed" w:eastAsia="Barlow Semi Condensed" w:hAnsi="Barlow Semi Condensed"/>
          <w:b/>
          <w:bCs/>
          <w:sz w:val="24"/>
          <w:szCs w:val="24"/>
        </w:rPr>
        <w:t xml:space="preserve">187 · Q-Montalcini/1: la prigione e il quartiere — le ipotesi.</w:t>
      </w:r>
      <w:r>
        <w:rPr>
          <w:rFonts w:ascii="Barlow Semi Condensed" w:cs="Barlow Semi Condensed" w:eastAsia="Barlow Semi Condensed" w:hAnsi="Barlow Semi Condensed"/>
          <w:sz w:val="24"/>
          <w:szCs w:val="24"/>
        </w:rPr>
        <w:t xml:space="preserve"> H1 covo perfettamente compartimentato; H2 percezioni di vicinato mai raccolte a caldo. Il giudicato fissa il luogo; il quesito è il suo ambiente percettivo.</w:t>
      </w:r>
    </w:p>
    <w:p>
      <w:pPr>
        <w:spacing w:after="120" w:line="276"/>
        <w:jc w:val="both"/>
      </w:pPr>
      <w:r>
        <w:rPr>
          <w:rFonts w:ascii="Barlow Semi Condensed" w:cs="Barlow Semi Condensed" w:eastAsia="Barlow Semi Condensed" w:hAnsi="Barlow Semi Condensed"/>
          <w:b/>
          <w:bCs/>
          <w:sz w:val="24"/>
          <w:szCs w:val="24"/>
        </w:rPr>
        <w:t xml:space="preserve">188 · Q-Montalcini/1: evidenza e chiusura.</w:t>
      </w:r>
      <w:r>
        <w:rPr>
          <w:rFonts w:ascii="Barlow Semi Condensed" w:cs="Barlow Semi Condensed" w:eastAsia="Barlow Semi Condensed" w:hAnsi="Barlow Semi Condensed"/>
          <w:sz w:val="24"/>
          <w:szCs w:val="24"/>
        </w:rPr>
        <w:t xml:space="preserve"> Le escussioni conservative dei residenti d'epoca (serie quinta) incrociate con la microstoria amministrativa (blocco 122). Si chiude col censimento, qualunque cosa dia: qui l'esito negativo è pienamente informativo.</w:t>
      </w:r>
    </w:p>
    <w:p>
      <w:pPr>
        <w:spacing w:after="120" w:line="276"/>
        <w:jc w:val="both"/>
      </w:pPr>
      <w:r>
        <w:rPr>
          <w:rFonts w:ascii="Barlow Semi Condensed" w:cs="Barlow Semi Condensed" w:eastAsia="Barlow Semi Condensed" w:hAnsi="Barlow Semi Condensed"/>
          <w:b/>
          <w:bCs/>
          <w:sz w:val="24"/>
          <w:szCs w:val="24"/>
        </w:rPr>
        <w:t xml:space="preserve">189 · Q-Montalcini/2: l'osservazione del 1978 — le ipotesi.</w:t>
      </w:r>
      <w:r>
        <w:rPr>
          <w:rFonts w:ascii="Barlow Semi Condensed" w:cs="Barlow Semi Condensed" w:eastAsia="Barlow Semi Condensed" w:hAnsi="Barlow Semi Condensed"/>
          <w:sz w:val="24"/>
          <w:szCs w:val="24"/>
        </w:rPr>
        <w:t xml:space="preserve"> H1 accertamento avviato e gestito secondo prassi con trasmissione tardiva per disfunzione; H2 gestione volutamente trattenuta fuori dal circuito giudiziario. Il campione più grave del terzo segmento.</w:t>
      </w:r>
    </w:p>
    <w:p>
      <w:pPr>
        <w:spacing w:after="120" w:line="276"/>
        <w:jc w:val="both"/>
      </w:pPr>
      <w:r>
        <w:rPr>
          <w:rFonts w:ascii="Barlow Semi Condensed" w:cs="Barlow Semi Condensed" w:eastAsia="Barlow Semi Condensed" w:hAnsi="Barlow Semi Condensed"/>
          <w:b/>
          <w:bCs/>
          <w:sz w:val="24"/>
          <w:szCs w:val="24"/>
        </w:rPr>
        <w:t xml:space="preserve">190 · Q-Montalcini/2: l'evidenza.</w:t>
      </w:r>
      <w:r>
        <w:rPr>
          <w:rFonts w:ascii="Barlow Semi Condensed" w:cs="Barlow Semi Condensed" w:eastAsia="Barlow Semi Condensed" w:hAnsi="Barlow Semi Condensed"/>
          <w:sz w:val="24"/>
          <w:szCs w:val="24"/>
        </w:rPr>
        <w:t xml:space="preserve"> Il fascicolo interno dell'osservazione (blocco 104): chi la dispose, che cosa produsse, chi decise i tempi della trasmissione. Carte d'ufficio, tutte dovute.</w:t>
      </w:r>
    </w:p>
    <w:p>
      <w:pPr>
        <w:spacing w:after="120" w:line="276"/>
        <w:jc w:val="both"/>
      </w:pPr>
      <w:r>
        <w:rPr>
          <w:rFonts w:ascii="Barlow Semi Condensed" w:cs="Barlow Semi Condensed" w:eastAsia="Barlow Semi Condensed" w:hAnsi="Barlow Semi Condensed"/>
          <w:b/>
          <w:bCs/>
          <w:sz w:val="24"/>
          <w:szCs w:val="24"/>
        </w:rPr>
        <w:t xml:space="preserve">191 · Q-Montalcini/2: chiusura ed errore.</w:t>
      </w:r>
      <w:r>
        <w:rPr>
          <w:rFonts w:ascii="Barlow Semi Condensed" w:cs="Barlow Semi Condensed" w:eastAsia="Barlow Semi Condensed" w:hAnsi="Barlow Semi Condensed"/>
          <w:sz w:val="24"/>
          <w:szCs w:val="24"/>
        </w:rPr>
        <w:t xml:space="preserve"> Chiusura con la catena datata degli atti interni. Errore: leggere il ritardo biennale come già qualificato — è un fatto grave </w:t>
      </w:r>
      <w:r>
        <w:rPr>
          <w:rFonts w:ascii="Barlow Semi Condensed" w:cs="Barlow Semi Condensed" w:eastAsia="Barlow Semi Condensed" w:hAnsi="Barlow Semi Condensed"/>
          <w:i/>
          <w:iCs/>
          <w:sz w:val="24"/>
          <w:szCs w:val="24"/>
        </w:rPr>
        <w:t xml:space="preserve">da spiegare</w:t>
      </w:r>
      <w:r>
        <w:rPr>
          <w:rFonts w:ascii="Barlow Semi Condensed" w:cs="Barlow Semi Condensed" w:eastAsia="Barlow Semi Condensed" w:hAnsi="Barlow Semi Condensed"/>
          <w:sz w:val="24"/>
          <w:szCs w:val="24"/>
        </w:rPr>
        <w:t xml:space="preserve">, e la spiegazione è un documento, non un aggettivo.</w:t>
      </w:r>
    </w:p>
    <w:p>
      <w:pPr>
        <w:spacing w:after="120" w:line="276"/>
        <w:jc w:val="both"/>
      </w:pPr>
      <w:r>
        <w:rPr>
          <w:rFonts w:ascii="Barlow Semi Condensed" w:cs="Barlow Semi Condensed" w:eastAsia="Barlow Semi Condensed" w:hAnsi="Barlow Semi Condensed"/>
          <w:b/>
          <w:bCs/>
          <w:sz w:val="24"/>
          <w:szCs w:val="24"/>
        </w:rPr>
        <w:t xml:space="preserve">192 · Q-Duchessa: il falso comunicato — le ipotesi.</w:t>
      </w:r>
      <w:r>
        <w:rPr>
          <w:rFonts w:ascii="Barlow Semi Condensed" w:cs="Barlow Semi Condensed" w:eastAsia="Barlow Semi Condensed" w:hAnsi="Barlow Semi Condensed"/>
          <w:sz w:val="24"/>
          <w:szCs w:val="24"/>
        </w:rPr>
        <w:t xml:space="preserve"> H1 falso d'ambiente criminale prezzolato; H2 falso d'apparato con finalità di manovra; H3 falso di matrice brigatista dissidente. Il falso è accertato; l'officina no.</w:t>
      </w:r>
    </w:p>
    <w:p>
      <w:pPr>
        <w:spacing w:after="120" w:line="276"/>
        <w:jc w:val="both"/>
      </w:pPr>
      <w:r>
        <w:rPr>
          <w:rFonts w:ascii="Barlow Semi Condensed" w:cs="Barlow Semi Condensed" w:eastAsia="Barlow Semi Condensed" w:hAnsi="Barlow Semi Condensed"/>
          <w:b/>
          <w:bCs/>
          <w:sz w:val="24"/>
          <w:szCs w:val="24"/>
        </w:rPr>
        <w:t xml:space="preserve">193 · Q-Duchessa: l'evidenza.</w:t>
      </w:r>
      <w:r>
        <w:rPr>
          <w:rFonts w:ascii="Barlow Semi Condensed" w:cs="Barlow Semi Condensed" w:eastAsia="Barlow Semi Condensed" w:hAnsi="Barlow Semi Condensed"/>
          <w:sz w:val="24"/>
          <w:szCs w:val="24"/>
        </w:rPr>
        <w:t xml:space="preserve"> La perizia documentale integrale del blocco 65 (carta, macchina, lessico comparato coi comunicati autentici) più le carte del giorno: chi dispose la battuta al lago, su quale input protocollato.</w:t>
      </w:r>
    </w:p>
    <w:p>
      <w:pPr>
        <w:spacing w:after="120" w:line="276"/>
        <w:jc w:val="both"/>
      </w:pPr>
      <w:r>
        <w:rPr>
          <w:rFonts w:ascii="Barlow Semi Condensed" w:cs="Barlow Semi Condensed" w:eastAsia="Barlow Semi Condensed" w:hAnsi="Barlow Semi Condensed"/>
          <w:b/>
          <w:bCs/>
          <w:sz w:val="24"/>
          <w:szCs w:val="24"/>
        </w:rPr>
        <w:t xml:space="preserve">194 · Q-Duchessa: chiusura ed errore.</w:t>
      </w:r>
      <w:r>
        <w:rPr>
          <w:rFonts w:ascii="Barlow Semi Condensed" w:cs="Barlow Semi Condensed" w:eastAsia="Barlow Semi Condensed" w:hAnsi="Barlow Semi Condensed"/>
          <w:sz w:val="24"/>
          <w:szCs w:val="24"/>
        </w:rPr>
        <w:t xml:space="preserve"> Chiusura con l'attribuzione d'officina o con l'indecidibilità documentata. Errore: usare il falso come jolly narrativo di qualunque tesi — è il reperto più maneggiato e meno periziato del caso.</w:t>
      </w:r>
    </w:p>
    <w:p>
      <w:pPr>
        <w:spacing w:after="120" w:line="276"/>
        <w:jc w:val="both"/>
      </w:pPr>
      <w:r>
        <w:rPr>
          <w:rFonts w:ascii="Barlow Semi Condensed" w:cs="Barlow Semi Condensed" w:eastAsia="Barlow Semi Condensed" w:hAnsi="Barlow Semi Condensed"/>
          <w:b/>
          <w:bCs/>
          <w:sz w:val="24"/>
          <w:szCs w:val="24"/>
        </w:rPr>
        <w:t xml:space="preserve">195 · Q-Memoriale/1: la completezza — le ipotesi.</w:t>
      </w:r>
      <w:r>
        <w:rPr>
          <w:rFonts w:ascii="Barlow Semi Condensed" w:cs="Barlow Semi Condensed" w:eastAsia="Barlow Semi Condensed" w:hAnsi="Barlow Semi Condensed"/>
          <w:sz w:val="24"/>
          <w:szCs w:val="24"/>
        </w:rPr>
        <w:t xml:space="preserve"> H1 il ritrovato è l'intero; H2 esistono parti mai emerse. La matrice lavora su un oggetto che ha già due tempi di ritrovamento accertati.</w:t>
      </w:r>
    </w:p>
    <w:p>
      <w:pPr>
        <w:spacing w:after="120" w:line="276"/>
        <w:jc w:val="both"/>
      </w:pPr>
      <w:r>
        <w:rPr>
          <w:rFonts w:ascii="Barlow Semi Condensed" w:cs="Barlow Semi Condensed" w:eastAsia="Barlow Semi Condensed" w:hAnsi="Barlow Semi Condensed"/>
          <w:b/>
          <w:bCs/>
          <w:sz w:val="24"/>
          <w:szCs w:val="24"/>
        </w:rPr>
        <w:t xml:space="preserve">196 · Q-Memoriale/1: l'evidenza.</w:t>
      </w:r>
      <w:r>
        <w:rPr>
          <w:rFonts w:ascii="Barlow Semi Condensed" w:cs="Barlow Semi Condensed" w:eastAsia="Barlow Semi Condensed" w:hAnsi="Barlow Semi Condensed"/>
          <w:sz w:val="24"/>
          <w:szCs w:val="24"/>
        </w:rPr>
        <w:t xml:space="preserve"> La filologia materiale dei blocchi 67-68: lo stemma delle copie e la carta delle lacune interne. Le voci su contenuti mancanti restano C finché una carta non le tocca.</w:t>
      </w:r>
    </w:p>
    <w:p>
      <w:pPr>
        <w:spacing w:after="120" w:line="276"/>
        <w:jc w:val="both"/>
      </w:pPr>
      <w:r>
        <w:rPr>
          <w:rFonts w:ascii="Barlow Semi Condensed" w:cs="Barlow Semi Condensed" w:eastAsia="Barlow Semi Condensed" w:hAnsi="Barlow Semi Condensed"/>
          <w:b/>
          <w:bCs/>
          <w:sz w:val="24"/>
          <w:szCs w:val="24"/>
        </w:rPr>
        <w:t xml:space="preserve">197 · Q-Memoriale/1: chiusura ed errore.</w:t>
      </w:r>
      <w:r>
        <w:rPr>
          <w:rFonts w:ascii="Barlow Semi Condensed" w:cs="Barlow Semi Condensed" w:eastAsia="Barlow Semi Condensed" w:hAnsi="Barlow Semi Condensed"/>
          <w:sz w:val="24"/>
          <w:szCs w:val="24"/>
        </w:rPr>
        <w:t xml:space="preserve"> Chiusura con la mappa delle lacune o la prova di completezza relativa. Errore: dedurre il contenuto del mancante — per definizione, del mancante si mappa il perimetro, non il testo.</w:t>
      </w:r>
    </w:p>
    <w:p>
      <w:pPr>
        <w:spacing w:after="120" w:line="276"/>
        <w:jc w:val="both"/>
      </w:pPr>
      <w:r>
        <w:rPr>
          <w:rFonts w:ascii="Barlow Semi Condensed" w:cs="Barlow Semi Condensed" w:eastAsia="Barlow Semi Condensed" w:hAnsi="Barlow Semi Condensed"/>
          <w:b/>
          <w:bCs/>
          <w:sz w:val="24"/>
          <w:szCs w:val="24"/>
        </w:rPr>
        <w:t xml:space="preserve">198 · Q-Memoriale/2: la custodia 1978-1990 — le ipotesi.</w:t>
      </w:r>
      <w:r>
        <w:rPr>
          <w:rFonts w:ascii="Barlow Semi Condensed" w:cs="Barlow Semi Condensed" w:eastAsia="Barlow Semi Condensed" w:hAnsi="Barlow Semi Condensed"/>
          <w:sz w:val="24"/>
          <w:szCs w:val="24"/>
        </w:rPr>
        <w:t xml:space="preserve"> H1 permanenza ignota nel covo murato; H2 detenzione e ricollocazione. Il quesito nasce dal secondo tempo del ritrovamento, in un cantiere di ristrutturazione.</w:t>
      </w:r>
    </w:p>
    <w:p>
      <w:pPr>
        <w:spacing w:after="120" w:line="276"/>
        <w:jc w:val="both"/>
      </w:pPr>
      <w:r>
        <w:rPr>
          <w:rFonts w:ascii="Barlow Semi Condensed" w:cs="Barlow Semi Condensed" w:eastAsia="Barlow Semi Condensed" w:hAnsi="Barlow Semi Condensed"/>
          <w:b/>
          <w:bCs/>
          <w:sz w:val="24"/>
          <w:szCs w:val="24"/>
        </w:rPr>
        <w:t xml:space="preserve">199 · Q-Memoriale/2: evidenza e chiusura.</w:t>
      </w:r>
      <w:r>
        <w:rPr>
          <w:rFonts w:ascii="Barlow Semi Condensed" w:cs="Barlow Semi Condensed" w:eastAsia="Barlow Semi Condensed" w:hAnsi="Barlow Semi Condensed"/>
          <w:sz w:val="24"/>
          <w:szCs w:val="24"/>
        </w:rPr>
        <w:t xml:space="preserve"> Le pratiche edilizie, i verbali del 1990, la perizia materiale sui fogli (blocco 67): la storia fisica del muro e delle carte. Si chiude con la cronologia materiale documentata.</w:t>
      </w:r>
    </w:p>
    <w:p>
      <w:pPr>
        <w:spacing w:after="120" w:line="276"/>
        <w:jc w:val="both"/>
      </w:pPr>
      <w:r>
        <w:rPr>
          <w:rFonts w:ascii="Barlow Semi Condensed" w:cs="Barlow Semi Condensed" w:eastAsia="Barlow Semi Condensed" w:hAnsi="Barlow Semi Condensed"/>
          <w:b/>
          <w:bCs/>
          <w:sz w:val="24"/>
          <w:szCs w:val="24"/>
        </w:rPr>
        <w:t xml:space="preserve">200 · Q-Comitati: la composizione — le ipotesi.</w:t>
      </w:r>
      <w:r>
        <w:rPr>
          <w:rFonts w:ascii="Barlow Semi Condensed" w:cs="Barlow Semi Condensed" w:eastAsia="Barlow Semi Condensed" w:hAnsi="Barlow Semi Condensed"/>
          <w:sz w:val="24"/>
          <w:szCs w:val="24"/>
        </w:rPr>
        <w:t xml:space="preserve"> H1 presenza P2 significativa ma parziale; H2 la tesi massima del «interamente composto». Una sola evidenza: la tavola nominale con date del blocco 105-106.</w:t>
      </w:r>
    </w:p>
    <w:p>
      <w:pPr>
        <w:spacing w:after="120" w:line="276"/>
        <w:jc w:val="both"/>
      </w:pPr>
      <w:r>
        <w:rPr>
          <w:rFonts w:ascii="Barlow Semi Condensed" w:cs="Barlow Semi Condensed" w:eastAsia="Barlow Semi Condensed" w:hAnsi="Barlow Semi Condensed"/>
          <w:b/>
          <w:bCs/>
          <w:sz w:val="24"/>
          <w:szCs w:val="24"/>
        </w:rPr>
        <w:t xml:space="preserve">201 · Q-Comitati: chiusura ed errore.</w:t>
      </w:r>
      <w:r>
        <w:rPr>
          <w:rFonts w:ascii="Barlow Semi Condensed" w:cs="Barlow Semi Condensed" w:eastAsia="Barlow Semi Condensed" w:hAnsi="Barlow Semi Condensed"/>
          <w:sz w:val="24"/>
          <w:szCs w:val="24"/>
        </w:rPr>
        <w:t xml:space="preserve"> Chiusura con la percentuale documentale, qualunque sia — a doppio guadagno per definizione. Errore: ripetere la tesi massima in attesa del censimento; il manuale la sospende fino alla tavola.</w:t>
      </w:r>
    </w:p>
    <w:p>
      <w:pPr>
        <w:spacing w:after="120" w:line="276"/>
        <w:jc w:val="both"/>
      </w:pPr>
      <w:r>
        <w:rPr>
          <w:rFonts w:ascii="Barlow Semi Condensed" w:cs="Barlow Semi Condensed" w:eastAsia="Barlow Semi Condensed" w:hAnsi="Barlow Semi Condensed"/>
          <w:b/>
          <w:bCs/>
          <w:sz w:val="24"/>
          <w:szCs w:val="24"/>
        </w:rPr>
        <w:t xml:space="preserve">202 · Q-Esperti: la qualificazione delle lettere — le ipotesi.</w:t>
      </w:r>
      <w:r>
        <w:rPr>
          <w:rFonts w:ascii="Barlow Semi Condensed" w:cs="Barlow Semi Condensed" w:eastAsia="Barlow Semi Condensed" w:hAnsi="Barlow Semi Condensed"/>
          <w:sz w:val="24"/>
          <w:szCs w:val="24"/>
        </w:rPr>
        <w:t xml:space="preserve"> H1 convincimento professionale genuino; H2 costruzione funzionale alla linea della fermezza. Il fatto — la squalificazione istituzionale — è documentato; l'intenzione no.</w:t>
      </w:r>
    </w:p>
    <w:p>
      <w:pPr>
        <w:spacing w:after="120" w:line="276"/>
        <w:jc w:val="both"/>
      </w:pPr>
      <w:r>
        <w:rPr>
          <w:rFonts w:ascii="Barlow Semi Condensed" w:cs="Barlow Semi Condensed" w:eastAsia="Barlow Semi Condensed" w:hAnsi="Barlow Semi Condensed"/>
          <w:b/>
          <w:bCs/>
          <w:sz w:val="24"/>
          <w:szCs w:val="24"/>
        </w:rPr>
        <w:t xml:space="preserve">203 · Q-Esperti: evidenza e chiusura.</w:t>
      </w:r>
      <w:r>
        <w:rPr>
          <w:rFonts w:ascii="Barlow Semi Condensed" w:cs="Barlow Semi Condensed" w:eastAsia="Barlow Semi Condensed" w:hAnsi="Barlow Semi Condensed"/>
          <w:sz w:val="24"/>
          <w:szCs w:val="24"/>
        </w:rPr>
        <w:t xml:space="preserve"> Le carte del blocco 107: chi la formulò per iscritto, con quale circolazione, con quali effetti sugli atti. Si chiude con il dossier documentale della qualificazione; l'intenzione, se non scritta, resta fuori.</w:t>
      </w:r>
    </w:p>
    <w:p>
      <w:pPr>
        <w:spacing w:after="120" w:line="276"/>
        <w:jc w:val="both"/>
      </w:pPr>
      <w:r>
        <w:rPr>
          <w:rFonts w:ascii="Barlow Semi Condensed" w:cs="Barlow Semi Condensed" w:eastAsia="Barlow Semi Condensed" w:hAnsi="Barlow Semi Condensed"/>
          <w:b/>
          <w:bCs/>
          <w:sz w:val="24"/>
          <w:szCs w:val="24"/>
        </w:rPr>
        <w:t xml:space="preserve">204 · Q-Condominio: le date — le ipotesi.</w:t>
      </w:r>
      <w:r>
        <w:rPr>
          <w:rFonts w:ascii="Barlow Semi Condensed" w:cs="Barlow Semi Condensed" w:eastAsia="Barlow Semi Condensed" w:hAnsi="Barlow Semi Condensed"/>
          <w:sz w:val="24"/>
          <w:szCs w:val="24"/>
        </w:rPr>
        <w:t xml:space="preserve"> H1 insediamento delle coperture dopo il 1978; H2 coabitazione coeva 1975-78; H3 coincidenza immobiliare. Evidenza unica: la conservatoria (blocchi 108-110).</w:t>
      </w:r>
    </w:p>
    <w:p>
      <w:pPr>
        <w:spacing w:after="120" w:line="276"/>
        <w:jc w:val="both"/>
      </w:pPr>
      <w:r>
        <w:rPr>
          <w:rFonts w:ascii="Barlow Semi Condensed" w:cs="Barlow Semi Condensed" w:eastAsia="Barlow Semi Condensed" w:hAnsi="Barlow Semi Condensed"/>
          <w:b/>
          <w:bCs/>
          <w:sz w:val="24"/>
          <w:szCs w:val="24"/>
        </w:rPr>
        <w:t xml:space="preserve">205 · Q-Condominio: chiusura.</w:t>
      </w:r>
      <w:r>
        <w:rPr>
          <w:rFonts w:ascii="Barlow Semi Condensed" w:cs="Barlow Semi Condensed" w:eastAsia="Barlow Semi Condensed" w:hAnsi="Barlow Semi Condensed"/>
          <w:sz w:val="24"/>
          <w:szCs w:val="24"/>
        </w:rPr>
        <w:t xml:space="preserve"> La tavola proprietà×tempo con le tre finestre. Ogni esito è un guadagno: l'accertamento della coabitazione passerebbe alle autorità; la sua esclusione chiuderebbe un equivoco ventennale.</w:t>
      </w:r>
    </w:p>
    <w:p>
      <w:pPr>
        <w:spacing w:after="120" w:line="276"/>
        <w:jc w:val="both"/>
      </w:pPr>
      <w:r>
        <w:rPr>
          <w:rFonts w:ascii="Barlow Semi Condensed" w:cs="Barlow Semi Condensed" w:eastAsia="Barlow Semi Condensed" w:hAnsi="Barlow Semi Condensed"/>
          <w:b/>
          <w:bCs/>
          <w:sz w:val="24"/>
          <w:szCs w:val="24"/>
        </w:rPr>
        <w:t xml:space="preserve">206 · Q-Riscatto/1: l'intermediario — le ipotesi.</w:t>
      </w:r>
      <w:r>
        <w:rPr>
          <w:rFonts w:ascii="Barlow Semi Condensed" w:cs="Barlow Semi Condensed" w:eastAsia="Barlow Semi Condensed" w:hAnsi="Barlow Semi Condensed"/>
          <w:sz w:val="24"/>
          <w:szCs w:val="24"/>
        </w:rPr>
        <w:t xml:space="preserve"> H1 contatto d'area brigatista esterna; H2 mediatore d'ambiente carcerario o criminale; H3 millantatore. Evidenza: le carte Curioni e i verbali dei covi coi nomi dei cappellani (blocchi 97, 111).</w:t>
      </w:r>
    </w:p>
    <w:p>
      <w:pPr>
        <w:spacing w:after="120" w:line="276"/>
        <w:jc w:val="both"/>
      </w:pPr>
      <w:r>
        <w:rPr>
          <w:rFonts w:ascii="Barlow Semi Condensed" w:cs="Barlow Semi Condensed" w:eastAsia="Barlow Semi Condensed" w:hAnsi="Barlow Semi Condensed"/>
          <w:b/>
          <w:bCs/>
          <w:sz w:val="24"/>
          <w:szCs w:val="24"/>
        </w:rPr>
        <w:t xml:space="preserve">207 · Q-Riscatto/2: la sorte del denaro.</w:t>
      </w:r>
      <w:r>
        <w:rPr>
          <w:rFonts w:ascii="Barlow Semi Condensed" w:cs="Barlow Semi Condensed" w:eastAsia="Barlow Semi Condensed" w:hAnsi="Barlow Semi Condensed"/>
          <w:sz w:val="24"/>
          <w:szCs w:val="24"/>
        </w:rPr>
        <w:t xml:space="preserve"> H1 restituzione al finanziatore; H2 permanenza in deposito; H3 impiego parziale. Evidenza: la tracciabilità delle fascette, gli archivi all'apertura, il versante israeliano (blocchi 114, 123).</w:t>
      </w:r>
    </w:p>
    <w:p>
      <w:pPr>
        <w:spacing w:after="120" w:line="276"/>
        <w:jc w:val="both"/>
      </w:pPr>
      <w:r>
        <w:rPr>
          <w:rFonts w:ascii="Barlow Semi Condensed" w:cs="Barlow Semi Condensed" w:eastAsia="Barlow Semi Condensed" w:hAnsi="Barlow Semi Condensed"/>
          <w:b/>
          <w:bCs/>
          <w:sz w:val="24"/>
          <w:szCs w:val="24"/>
        </w:rPr>
        <w:t xml:space="preserve">208 · Q-Riscatto: chiusura ed errore.</w:t>
      </w:r>
      <w:r>
        <w:rPr>
          <w:rFonts w:ascii="Barlow Semi Condensed" w:cs="Barlow Semi Condensed" w:eastAsia="Barlow Semi Condensed" w:hAnsi="Barlow Semi Condensed"/>
          <w:sz w:val="24"/>
          <w:szCs w:val="24"/>
        </w:rPr>
        <w:t xml:space="preserve"> Chiusura: identità documentale dell'intermediario o esaurimento delle carte; tracciabilità della somma o punto di dispersione. Errore: trasformare il doppio binario — appello pubblico e canale riservato — in doppiezza: era la prassi di ogni mediazione umanitaria.</w:t>
      </w:r>
    </w:p>
    <w:p>
      <w:pPr>
        <w:spacing w:after="120" w:line="276"/>
        <w:jc w:val="both"/>
      </w:pPr>
      <w:r>
        <w:rPr>
          <w:rFonts w:ascii="Barlow Semi Condensed" w:cs="Barlow Semi Condensed" w:eastAsia="Barlow Semi Condensed" w:hAnsi="Barlow Semi Condensed"/>
          <w:b/>
          <w:bCs/>
          <w:sz w:val="24"/>
          <w:szCs w:val="24"/>
        </w:rPr>
        <w:t xml:space="preserve">209 · Q-Registro: il test Anselmi.</w:t>
      </w:r>
      <w:r>
        <w:rPr>
          <w:rFonts w:ascii="Barlow Semi Condensed" w:cs="Barlow Semi Condensed" w:eastAsia="Barlow Semi Condensed" w:hAnsi="Barlow Semi Condensed"/>
          <w:sz w:val="24"/>
          <w:szCs w:val="24"/>
        </w:rPr>
        <w:t xml:space="preserve"> H1 collo di bottiglia da diluvio (interruzioni casuali distribuite); H2 filtro sistematico (interruzioni concentrate verso l'autorità giudiziaria). Evidenza: la distribuzione, che solo il registro della serie settima può dare.</w:t>
      </w:r>
    </w:p>
    <w:p>
      <w:pPr>
        <w:spacing w:after="120" w:line="276"/>
        <w:jc w:val="both"/>
      </w:pPr>
      <w:r>
        <w:rPr>
          <w:rFonts w:ascii="Barlow Semi Condensed" w:cs="Barlow Semi Condensed" w:eastAsia="Barlow Semi Condensed" w:hAnsi="Barlow Semi Condensed"/>
          <w:b/>
          <w:bCs/>
          <w:sz w:val="24"/>
          <w:szCs w:val="24"/>
        </w:rPr>
        <w:t xml:space="preserve">210 · La meta-matrice.</w:t>
      </w:r>
      <w:r>
        <w:rPr>
          <w:rFonts w:ascii="Barlow Semi Condensed" w:cs="Barlow Semi Condensed" w:eastAsia="Barlow Semi Condensed" w:hAnsi="Barlow Semi Condensed"/>
          <w:sz w:val="24"/>
          <w:szCs w:val="24"/>
        </w:rPr>
        <w:t xml:space="preserve"> Le matrici 171-209 si tengono in tavola sinottica unica, aggiornata a ogni atto: il nuovo caso si governa guardando quali evidenze discriminanti mancano ancora — perché sono quelle, e solo quelle, il suo programma.</w:t>
      </w:r>
    </w:p>
    <w:p>
      <w:pPr>
        <w:pStyle w:val="Heading2"/>
        <w:spacing w:after="100" w:before="200"/>
      </w:pPr>
      <w:r>
        <w:rPr>
          <w:rFonts w:ascii="Barlow Semi Condensed" w:cs="Barlow Semi Condensed" w:eastAsia="Barlow Semi Condensed" w:hAnsi="Barlow Semi Condensed"/>
          <w:sz w:val="24"/>
          <w:szCs w:val="24"/>
        </w:rPr>
        <w:t xml:space="preserve">Serie settima — Il registro delle segnalazioni: progetto esecutivo (blocchi 211-235)</w:t>
      </w:r>
    </w:p>
    <w:p>
      <w:pPr>
        <w:spacing w:after="120" w:line="276"/>
        <w:jc w:val="both"/>
      </w:pPr>
      <w:r>
        <w:rPr>
          <w:rFonts w:ascii="Barlow Semi Condensed" w:cs="Barlow Semi Condensed" w:eastAsia="Barlow Semi Condensed" w:hAnsi="Barlow Semi Condensed"/>
          <w:i/>
          <w:iCs/>
          <w:sz w:val="24"/>
          <w:szCs w:val="24"/>
        </w:rPr>
        <w:t xml:space="preserve">Statuto della serie: la colonna mancante. Il progetto esecutivo della tavola che in quarantott'anni nessuno ha prodotto — l'ingresso della macchina accanto alle sue quattro colonne d'uscita.</w:t>
      </w:r>
    </w:p>
    <w:p>
      <w:pPr>
        <w:spacing w:after="120" w:line="276"/>
        <w:jc w:val="both"/>
      </w:pPr>
      <w:r>
        <w:rPr>
          <w:rFonts w:ascii="Barlow Semi Condensed" w:cs="Barlow Semi Condensed" w:eastAsia="Barlow Semi Condensed" w:hAnsi="Barlow Semi Condensed"/>
          <w:b/>
          <w:bCs/>
          <w:sz w:val="24"/>
          <w:szCs w:val="24"/>
        </w:rPr>
        <w:t xml:space="preserve">211 · L'oggetto.</w:t>
      </w:r>
      <w:r>
        <w:rPr>
          <w:rFonts w:ascii="Barlow Semi Condensed" w:cs="Barlow Semi Condensed" w:eastAsia="Barlow Semi Condensed" w:hAnsi="Barlow Semi Condensed"/>
          <w:sz w:val="24"/>
          <w:szCs w:val="24"/>
        </w:rPr>
        <w:t xml:space="preserve"> Il registro censisce ogni segnalazione pervenuta agli apparati fra il 16 marzo e il 9 maggio 1978 — telefonica, scritta, fiduciaria, anonima — e ne segue il destino attraverso i segmenti del flusso.</w:t>
      </w:r>
    </w:p>
    <w:p>
      <w:pPr>
        <w:spacing w:after="120" w:line="276"/>
        <w:jc w:val="both"/>
      </w:pPr>
      <w:r>
        <w:rPr>
          <w:rFonts w:ascii="Barlow Semi Condensed" w:cs="Barlow Semi Condensed" w:eastAsia="Barlow Semi Condensed" w:hAnsi="Barlow Semi Condensed"/>
          <w:b/>
          <w:bCs/>
          <w:sz w:val="24"/>
          <w:szCs w:val="24"/>
        </w:rPr>
        <w:t xml:space="preserve">212 · L'unità di conto.</w:t>
      </w:r>
      <w:r>
        <w:rPr>
          <w:rFonts w:ascii="Barlow Semi Condensed" w:cs="Barlow Semi Condensed" w:eastAsia="Barlow Semi Condensed" w:hAnsi="Barlow Semi Condensed"/>
          <w:sz w:val="24"/>
          <w:szCs w:val="24"/>
        </w:rPr>
        <w:t xml:space="preserve"> La singola segnalazione protocollata; le segnalazioni non protocollate emergenti da altre carte si schedano come «fuori registro», e il loro volume è un dato di per sé.</w:t>
      </w:r>
    </w:p>
    <w:p>
      <w:pPr>
        <w:spacing w:after="120" w:line="276"/>
        <w:jc w:val="both"/>
      </w:pPr>
      <w:r>
        <w:rPr>
          <w:rFonts w:ascii="Barlow Semi Condensed" w:cs="Barlow Semi Condensed" w:eastAsia="Barlow Semi Condensed" w:hAnsi="Barlow Semi Condensed"/>
          <w:b/>
          <w:bCs/>
          <w:sz w:val="24"/>
          <w:szCs w:val="24"/>
        </w:rPr>
        <w:t xml:space="preserve">213 · Lo schema-dati.</w:t>
      </w:r>
      <w:r>
        <w:rPr>
          <w:rFonts w:ascii="Barlow Semi Condensed" w:cs="Barlow Semi Condensed" w:eastAsia="Barlow Semi Condensed" w:hAnsi="Barlow Semi Condensed"/>
          <w:sz w:val="24"/>
          <w:szCs w:val="24"/>
        </w:rPr>
        <w:t xml:space="preserve"> Campi minimi: data e ora; canale d'ingresso; ufficio ricevente; protocollo; oggetto in sintesi; classificazione attribuita; smistamento; atti conseguenti; ritorno; trasmissione all'AG; esito finale; carte collegate.</w:t>
      </w:r>
    </w:p>
    <w:p>
      <w:pPr>
        <w:spacing w:after="120" w:line="276"/>
        <w:jc w:val="both"/>
      </w:pPr>
      <w:r>
        <w:rPr>
          <w:rFonts w:ascii="Barlow Semi Condensed" w:cs="Barlow Semi Condensed" w:eastAsia="Barlow Semi Condensed" w:hAnsi="Barlow Semi Condensed"/>
          <w:b/>
          <w:bCs/>
          <w:sz w:val="24"/>
          <w:szCs w:val="24"/>
        </w:rPr>
        <w:t xml:space="preserve">214 · I quattro segmenti.</w:t>
      </w:r>
      <w:r>
        <w:rPr>
          <w:rFonts w:ascii="Barlow Semi Condensed" w:cs="Barlow Semi Condensed" w:eastAsia="Barlow Semi Condensed" w:hAnsi="Barlow Semi Condensed"/>
          <w:sz w:val="24"/>
          <w:szCs w:val="24"/>
        </w:rPr>
        <w:t xml:space="preserve"> Ingresso (ricezione e protocollo), lavorazione (classificazione e smistamento), uscita operativa (l'atto conseguente e il suo ritorno), trasmissione (il passaggio all'autorità giudiziaria). Ogni segnalazione si mappa su tutti e quattro.</w:t>
      </w:r>
    </w:p>
    <w:p>
      <w:pPr>
        <w:spacing w:after="120" w:line="276"/>
        <w:jc w:val="both"/>
      </w:pPr>
      <w:r>
        <w:rPr>
          <w:rFonts w:ascii="Barlow Semi Condensed" w:cs="Barlow Semi Condensed" w:eastAsia="Barlow Semi Condensed" w:hAnsi="Barlow Semi Condensed"/>
          <w:b/>
          <w:bCs/>
          <w:sz w:val="24"/>
          <w:szCs w:val="24"/>
        </w:rPr>
        <w:t xml:space="preserve">215 · Le fonti del registro.</w:t>
      </w:r>
      <w:r>
        <w:rPr>
          <w:rFonts w:ascii="Barlow Semi Condensed" w:cs="Barlow Semi Condensed" w:eastAsia="Barlow Semi Condensed" w:hAnsi="Barlow Semi Condensed"/>
          <w:sz w:val="24"/>
          <w:szCs w:val="24"/>
        </w:rPr>
        <w:t xml:space="preserve"> I registri di protocollo di UCIGOS, questure e prefetture nei versamenti del Viminale (blocco 94); i carteggi interni; i fascicoli delle segnalazioni celebri come calibri.</w:t>
      </w:r>
    </w:p>
    <w:p>
      <w:pPr>
        <w:spacing w:after="120" w:line="276"/>
        <w:jc w:val="both"/>
      </w:pPr>
      <w:r>
        <w:rPr>
          <w:rFonts w:ascii="Barlow Semi Condensed" w:cs="Barlow Semi Condensed" w:eastAsia="Barlow Semi Condensed" w:hAnsi="Barlow Semi Condensed"/>
          <w:b/>
          <w:bCs/>
          <w:sz w:val="24"/>
          <w:szCs w:val="24"/>
        </w:rPr>
        <w:t xml:space="preserve">216 · Il campionamento.</w:t>
      </w:r>
      <w:r>
        <w:rPr>
          <w:rFonts w:ascii="Barlow Semi Condensed" w:cs="Barlow Semi Condensed" w:eastAsia="Barlow Semi Condensed" w:hAnsi="Barlow Semi Condensed"/>
          <w:sz w:val="24"/>
          <w:szCs w:val="24"/>
        </w:rPr>
        <w:t xml:space="preserve"> Se il fondo eccede le forze, campione statistico stratificato — per settimana, per canale, per ufficio — con metodo dichiarato: una stima onesta batte un censimento promesso e mai finito.</w:t>
      </w:r>
    </w:p>
    <w:p>
      <w:pPr>
        <w:spacing w:after="120" w:line="276"/>
        <w:jc w:val="both"/>
      </w:pPr>
      <w:r>
        <w:rPr>
          <w:rFonts w:ascii="Barlow Semi Condensed" w:cs="Barlow Semi Condensed" w:eastAsia="Barlow Semi Condensed" w:hAnsi="Barlow Semi Condensed"/>
          <w:b/>
          <w:bCs/>
          <w:sz w:val="24"/>
          <w:szCs w:val="24"/>
        </w:rPr>
        <w:t xml:space="preserve">217 · I tre calibri.</w:t>
      </w:r>
      <w:r>
        <w:rPr>
          <w:rFonts w:ascii="Barlow Semi Condensed" w:cs="Barlow Semi Condensed" w:eastAsia="Barlow Semi Condensed" w:hAnsi="Barlow Semi Condensed"/>
          <w:sz w:val="24"/>
          <w:szCs w:val="24"/>
        </w:rPr>
        <w:t xml:space="preserve"> Mokbel, Zappolino, Montalcini: le tre segnalazioni già ricostruite fungono da casi-calibro per testare lo schema-dati prima dello spoglio di massa.</w:t>
      </w:r>
    </w:p>
    <w:p>
      <w:pPr>
        <w:spacing w:after="120" w:line="276"/>
        <w:jc w:val="both"/>
      </w:pPr>
      <w:r>
        <w:rPr>
          <w:rFonts w:ascii="Barlow Semi Condensed" w:cs="Barlow Semi Condensed" w:eastAsia="Barlow Semi Condensed" w:hAnsi="Barlow Semi Condensed"/>
          <w:b/>
          <w:bCs/>
          <w:sz w:val="24"/>
          <w:szCs w:val="24"/>
        </w:rPr>
        <w:t xml:space="preserve">218 · La metrica principale.</w:t>
      </w:r>
      <w:r>
        <w:rPr>
          <w:rFonts w:ascii="Barlow Semi Condensed" w:cs="Barlow Semi Condensed" w:eastAsia="Barlow Semi Condensed" w:hAnsi="Barlow Semi Condensed"/>
          <w:sz w:val="24"/>
          <w:szCs w:val="24"/>
        </w:rPr>
        <w:t xml:space="preserve"> Il tasso di seguito: quante segnalazioni generarono un atto, quante un ritorno, quante una trasmissione. Tre percentuali che nessuna relazione ha mai contenuto.</w:t>
      </w:r>
    </w:p>
    <w:p>
      <w:pPr>
        <w:spacing w:after="120" w:line="276"/>
        <w:jc w:val="both"/>
      </w:pPr>
      <w:r>
        <w:rPr>
          <w:rFonts w:ascii="Barlow Semi Condensed" w:cs="Barlow Semi Condensed" w:eastAsia="Barlow Semi Condensed" w:hAnsi="Barlow Semi Condensed"/>
          <w:b/>
          <w:bCs/>
          <w:sz w:val="24"/>
          <w:szCs w:val="24"/>
        </w:rPr>
        <w:t xml:space="preserve">219 · La metrica di peso.</w:t>
      </w:r>
      <w:r>
        <w:rPr>
          <w:rFonts w:ascii="Barlow Semi Condensed" w:cs="Barlow Semi Condensed" w:eastAsia="Barlow Semi Condensed" w:hAnsi="Barlow Semi Condensed"/>
          <w:sz w:val="24"/>
          <w:szCs w:val="24"/>
        </w:rPr>
        <w:t xml:space="preserve"> Non solo contare: pesare. Una classificazione di rilevanza retrospettiva (l'indirizzo esatto pesa più del generico) consente il tasso di seguito </w:t>
      </w:r>
      <w:r>
        <w:rPr>
          <w:rFonts w:ascii="Barlow Semi Condensed" w:cs="Barlow Semi Condensed" w:eastAsia="Barlow Semi Condensed" w:hAnsi="Barlow Semi Condensed"/>
          <w:i/>
          <w:iCs/>
          <w:sz w:val="24"/>
          <w:szCs w:val="24"/>
        </w:rPr>
        <w:t xml:space="preserve">ponderato</w:t>
      </w:r>
      <w:r>
        <w:rPr>
          <w:rFonts w:ascii="Barlow Semi Condensed" w:cs="Barlow Semi Condensed" w:eastAsia="Barlow Semi Condensed" w:hAnsi="Barlow Semi Condensed"/>
          <w:sz w:val="24"/>
          <w:szCs w:val="24"/>
        </w:rPr>
        <w:t xml:space="preserve"> — la metrica che intercetta l'anomalia vera.</w:t>
      </w:r>
    </w:p>
    <w:p>
      <w:pPr>
        <w:spacing w:after="120" w:line="276"/>
        <w:jc w:val="both"/>
      </w:pPr>
      <w:r>
        <w:rPr>
          <w:rFonts w:ascii="Barlow Semi Condensed" w:cs="Barlow Semi Condensed" w:eastAsia="Barlow Semi Condensed" w:hAnsi="Barlow Semi Condensed"/>
          <w:b/>
          <w:bCs/>
          <w:sz w:val="24"/>
          <w:szCs w:val="24"/>
        </w:rPr>
        <w:t xml:space="preserve">220 · La distribuzione per segmento.</w:t>
      </w:r>
      <w:r>
        <w:rPr>
          <w:rFonts w:ascii="Barlow Semi Condensed" w:cs="Barlow Semi Condensed" w:eastAsia="Barlow Semi Condensed" w:hAnsi="Barlow Semi Condensed"/>
          <w:sz w:val="24"/>
          <w:szCs w:val="24"/>
        </w:rPr>
        <w:t xml:space="preserve"> Per ogni interruzione di flusso si registra il segmento in cui avvenne: è la variabile che decide la matrice del blocco 209 — casualità distribuita o concentrazione sul quarto segmento.</w:t>
      </w:r>
    </w:p>
    <w:p>
      <w:pPr>
        <w:spacing w:after="120" w:line="276"/>
        <w:jc w:val="both"/>
      </w:pPr>
      <w:r>
        <w:rPr>
          <w:rFonts w:ascii="Barlow Semi Condensed" w:cs="Barlow Semi Condensed" w:eastAsia="Barlow Semi Condensed" w:hAnsi="Barlow Semi Condensed"/>
          <w:b/>
          <w:bCs/>
          <w:sz w:val="24"/>
          <w:szCs w:val="24"/>
        </w:rPr>
        <w:t xml:space="preserve">221 · La distribuzione temporale.</w:t>
      </w:r>
      <w:r>
        <w:rPr>
          <w:rFonts w:ascii="Barlow Semi Condensed" w:cs="Barlow Semi Condensed" w:eastAsia="Barlow Semi Condensed" w:hAnsi="Barlow Semi Condensed"/>
          <w:sz w:val="24"/>
          <w:szCs w:val="24"/>
        </w:rPr>
        <w:t xml:space="preserve"> Le metriche per settimana: il sistema sotto stress del 16-31 marzo è lo stesso del 20 aprile? La curva temporale del tasso di seguito è una radiografia della macchina.</w:t>
      </w:r>
    </w:p>
    <w:p>
      <w:pPr>
        <w:spacing w:after="120" w:line="276"/>
        <w:jc w:val="both"/>
      </w:pPr>
      <w:r>
        <w:rPr>
          <w:rFonts w:ascii="Barlow Semi Condensed" w:cs="Barlow Semi Condensed" w:eastAsia="Barlow Semi Condensed" w:hAnsi="Barlow Semi Condensed"/>
          <w:b/>
          <w:bCs/>
          <w:sz w:val="24"/>
          <w:szCs w:val="24"/>
        </w:rPr>
        <w:t xml:space="preserve">222 · La distribuzione territoriale.</w:t>
      </w:r>
      <w:r>
        <w:rPr>
          <w:rFonts w:ascii="Barlow Semi Condensed" w:cs="Barlow Semi Condensed" w:eastAsia="Barlow Semi Condensed" w:hAnsi="Barlow Semi Condensed"/>
          <w:sz w:val="24"/>
          <w:szCs w:val="24"/>
        </w:rPr>
        <w:t xml:space="preserve"> Roma contro il resto del Paese, ufficio per ufficio: dove il flusso reggeva e dove no. La geografia delle interruzioni è essa stessa un reperto.</w:t>
      </w:r>
    </w:p>
    <w:p>
      <w:pPr>
        <w:spacing w:after="120" w:line="276"/>
        <w:jc w:val="both"/>
      </w:pPr>
      <w:r>
        <w:rPr>
          <w:rFonts w:ascii="Barlow Semi Condensed" w:cs="Barlow Semi Condensed" w:eastAsia="Barlow Semi Condensed" w:hAnsi="Barlow Semi Condensed"/>
          <w:b/>
          <w:bCs/>
          <w:sz w:val="24"/>
          <w:szCs w:val="24"/>
        </w:rPr>
        <w:t xml:space="preserve">223 · Il registro delle mancate trasmissioni.</w:t>
      </w:r>
      <w:r>
        <w:rPr>
          <w:rFonts w:ascii="Barlow Semi Condensed" w:cs="Barlow Semi Condensed" w:eastAsia="Barlow Semi Condensed" w:hAnsi="Barlow Semi Condensed"/>
          <w:sz w:val="24"/>
          <w:szCs w:val="24"/>
        </w:rPr>
        <w:t xml:space="preserve"> La lista dedicata dei casi in cui informazioni rilevanti non raggiunsero l'autorità giudiziaria — Montalcini e il 18 marzo come primi item — con la catena di ciascuno: da episodi celebri a serie documentale.</w:t>
      </w:r>
    </w:p>
    <w:p>
      <w:pPr>
        <w:spacing w:after="120" w:line="276"/>
        <w:jc w:val="both"/>
      </w:pPr>
      <w:r>
        <w:rPr>
          <w:rFonts w:ascii="Barlow Semi Condensed" w:cs="Barlow Semi Condensed" w:eastAsia="Barlow Semi Condensed" w:hAnsi="Barlow Semi Condensed"/>
          <w:b/>
          <w:bCs/>
          <w:sz w:val="24"/>
          <w:szCs w:val="24"/>
        </w:rPr>
        <w:t xml:space="preserve">224 · Il duale: il registro dei seguiti corretti.</w:t>
      </w:r>
      <w:r>
        <w:rPr>
          <w:rFonts w:ascii="Barlow Semi Condensed" w:cs="Barlow Semi Condensed" w:eastAsia="Barlow Semi Condensed" w:hAnsi="Barlow Semi Condensed"/>
          <w:sz w:val="24"/>
          <w:szCs w:val="24"/>
        </w:rPr>
        <w:t xml:space="preserve"> Con lo stesso rigore, i casi in cui il flusso funzionò per intero: la riabilitazione documentale di chi lavorò bene nel diluvio è metà del valore civile del registro.</w:t>
      </w:r>
    </w:p>
    <w:p>
      <w:pPr>
        <w:spacing w:after="120" w:line="276"/>
        <w:jc w:val="both"/>
      </w:pPr>
      <w:r>
        <w:rPr>
          <w:rFonts w:ascii="Barlow Semi Condensed" w:cs="Barlow Semi Condensed" w:eastAsia="Barlow Semi Condensed" w:hAnsi="Barlow Semi Condensed"/>
          <w:b/>
          <w:bCs/>
          <w:sz w:val="24"/>
          <w:szCs w:val="24"/>
        </w:rPr>
        <w:t xml:space="preserve">225 · Le segnalazioni anonime.</w:t>
      </w:r>
      <w:r>
        <w:rPr>
          <w:rFonts w:ascii="Barlow Semi Condensed" w:cs="Barlow Semi Condensed" w:eastAsia="Barlow Semi Condensed" w:hAnsi="Barlow Semi Condensed"/>
          <w:sz w:val="24"/>
          <w:szCs w:val="24"/>
        </w:rPr>
        <w:t xml:space="preserve"> Trattamento dedicato: volume, prassi di verifica dell'epoca, esiti. L'anonimo è il canale dove il criterio di smistamento si vede meglio, perché privo del peso del segnalante.</w:t>
      </w:r>
    </w:p>
    <w:p>
      <w:pPr>
        <w:spacing w:after="120" w:line="276"/>
        <w:jc w:val="both"/>
      </w:pPr>
      <w:r>
        <w:rPr>
          <w:rFonts w:ascii="Barlow Semi Condensed" w:cs="Barlow Semi Condensed" w:eastAsia="Barlow Semi Condensed" w:hAnsi="Barlow Semi Condensed"/>
          <w:b/>
          <w:bCs/>
          <w:sz w:val="24"/>
          <w:szCs w:val="24"/>
        </w:rPr>
        <w:t xml:space="preserve">226 · Le fonti fiduciarie.</w:t>
      </w:r>
      <w:r>
        <w:rPr>
          <w:rFonts w:ascii="Barlow Semi Condensed" w:cs="Barlow Semi Condensed" w:eastAsia="Barlow Semi Condensed" w:hAnsi="Barlow Semi Condensed"/>
          <w:sz w:val="24"/>
          <w:szCs w:val="24"/>
        </w:rPr>
        <w:t xml:space="preserve"> Le note degli informatori si schedano con le cautele della materia: conta il percorso della nota, non l'identità della fonte, che resta protetta anche a distanza di mezzo secolo salvo che gli atti l'abbiano già resa pubblica.</w:t>
      </w:r>
    </w:p>
    <w:p>
      <w:pPr>
        <w:spacing w:after="120" w:line="276"/>
        <w:jc w:val="both"/>
      </w:pPr>
      <w:r>
        <w:rPr>
          <w:rFonts w:ascii="Barlow Semi Condensed" w:cs="Barlow Semi Condensed" w:eastAsia="Barlow Semi Condensed" w:hAnsi="Barlow Semi Condensed"/>
          <w:b/>
          <w:bCs/>
          <w:sz w:val="24"/>
          <w:szCs w:val="24"/>
        </w:rPr>
        <w:t xml:space="preserve">227 · Il confronto con la prassi.</w:t>
      </w:r>
      <w:r>
        <w:rPr>
          <w:rFonts w:ascii="Barlow Semi Condensed" w:cs="Barlow Semi Condensed" w:eastAsia="Barlow Semi Condensed" w:hAnsi="Barlow Semi Condensed"/>
          <w:sz w:val="24"/>
          <w:szCs w:val="24"/>
        </w:rPr>
        <w:t xml:space="preserve"> Il campione di controllo del blocco 136 applicato al flusso: il tasso di seguito delle segnalazioni ordinarie coeve (reati comuni) è il metro senza il quale nessun tasso del caso è leggibile.</w:t>
      </w:r>
    </w:p>
    <w:p>
      <w:pPr>
        <w:spacing w:after="120" w:line="276"/>
        <w:jc w:val="both"/>
      </w:pPr>
      <w:r>
        <w:rPr>
          <w:rFonts w:ascii="Barlow Semi Condensed" w:cs="Barlow Semi Condensed" w:eastAsia="Barlow Semi Condensed" w:hAnsi="Barlow Semi Condensed"/>
          <w:b/>
          <w:bCs/>
          <w:sz w:val="24"/>
          <w:szCs w:val="24"/>
        </w:rPr>
        <w:t xml:space="preserve">228 · L'interfaccia coi quesiti.</w:t>
      </w:r>
      <w:r>
        <w:rPr>
          <w:rFonts w:ascii="Barlow Semi Condensed" w:cs="Barlow Semi Condensed" w:eastAsia="Barlow Semi Condensed" w:hAnsi="Barlow Semi Condensed"/>
          <w:sz w:val="24"/>
          <w:szCs w:val="24"/>
        </w:rPr>
        <w:t xml:space="preserve"> Ogni scheda del registro che tocchi un quesito della serie sesta vi si collega: il registro non è un esercizio statistico — è il generatore di evidenza delle matrici.</w:t>
      </w:r>
    </w:p>
    <w:p>
      <w:pPr>
        <w:spacing w:after="120" w:line="276"/>
        <w:jc w:val="both"/>
      </w:pPr>
      <w:r>
        <w:rPr>
          <w:rFonts w:ascii="Barlow Semi Condensed" w:cs="Barlow Semi Condensed" w:eastAsia="Barlow Semi Condensed" w:hAnsi="Barlow Semi Condensed"/>
          <w:b/>
          <w:bCs/>
          <w:sz w:val="24"/>
          <w:szCs w:val="24"/>
        </w:rPr>
        <w:t xml:space="preserve">229 · La pubblicazione.</w:t>
      </w:r>
      <w:r>
        <w:rPr>
          <w:rFonts w:ascii="Barlow Semi Condensed" w:cs="Barlow Semi Condensed" w:eastAsia="Barlow Semi Condensed" w:hAnsi="Barlow Semi Condensed"/>
          <w:sz w:val="24"/>
          <w:szCs w:val="24"/>
        </w:rPr>
        <w:t xml:space="preserve"> Il registro si pubblica in forma aggregata e anonimizzata dove serve, integrale dove gli atti sono pubblici: la statistica dei 55 giorni appartiene alla Repubblica.</w:t>
      </w:r>
    </w:p>
    <w:p>
      <w:pPr>
        <w:spacing w:after="120" w:line="276"/>
        <w:jc w:val="both"/>
      </w:pPr>
      <w:r>
        <w:rPr>
          <w:rFonts w:ascii="Barlow Semi Condensed" w:cs="Barlow Semi Condensed" w:eastAsia="Barlow Semi Condensed" w:hAnsi="Barlow Semi Condensed"/>
          <w:b/>
          <w:bCs/>
          <w:sz w:val="24"/>
          <w:szCs w:val="24"/>
        </w:rPr>
        <w:t xml:space="preserve">230 · Il registro degli esposti postumi.</w:t>
      </w:r>
      <w:r>
        <w:rPr>
          <w:rFonts w:ascii="Barlow Semi Condensed" w:cs="Barlow Semi Condensed" w:eastAsia="Barlow Semi Condensed" w:hAnsi="Barlow Semi Condensed"/>
          <w:sz w:val="24"/>
          <w:szCs w:val="24"/>
        </w:rPr>
        <w:t xml:space="preserve"> Le segnalazioni giunte </w:t>
      </w:r>
      <w:r>
        <w:rPr>
          <w:rFonts w:ascii="Barlow Semi Condensed" w:cs="Barlow Semi Condensed" w:eastAsia="Barlow Semi Condensed" w:hAnsi="Barlow Semi Condensed"/>
          <w:i/>
          <w:iCs/>
          <w:sz w:val="24"/>
          <w:szCs w:val="24"/>
        </w:rPr>
        <w:t xml:space="preserve">dopo</w:t>
      </w:r>
      <w:r>
        <w:rPr>
          <w:rFonts w:ascii="Barlow Semi Condensed" w:cs="Barlow Semi Condensed" w:eastAsia="Barlow Semi Condensed" w:hAnsi="Barlow Semi Condensed"/>
          <w:sz w:val="24"/>
          <w:szCs w:val="24"/>
        </w:rPr>
        <w:t xml:space="preserve"> il 9 maggio — su covi, complicità, luoghi — hanno il loro capitolo con lo stesso schema: il flusso post-mortem misura la macchina a emergenza finita.</w:t>
      </w:r>
    </w:p>
    <w:p>
      <w:pPr>
        <w:spacing w:after="120" w:line="276"/>
        <w:jc w:val="both"/>
      </w:pPr>
      <w:r>
        <w:rPr>
          <w:rFonts w:ascii="Barlow Semi Condensed" w:cs="Barlow Semi Condensed" w:eastAsia="Barlow Semi Condensed" w:hAnsi="Barlow Semi Condensed"/>
          <w:b/>
          <w:bCs/>
          <w:sz w:val="24"/>
          <w:szCs w:val="24"/>
        </w:rPr>
        <w:t xml:space="preserve">231 · Le segnalazioni ai giornali.</w:t>
      </w:r>
      <w:r>
        <w:rPr>
          <w:rFonts w:ascii="Barlow Semi Condensed" w:cs="Barlow Semi Condensed" w:eastAsia="Barlow Semi Condensed" w:hAnsi="Barlow Semi Condensed"/>
          <w:sz w:val="24"/>
          <w:szCs w:val="24"/>
        </w:rPr>
        <w:t xml:space="preserve"> Ciò che i cittadini segnalarono alle redazioni invece che agli uffici — dove gli archivi delle testate lo conservano — integra il registro come canale parallelo documentato.</w:t>
      </w:r>
    </w:p>
    <w:p>
      <w:pPr>
        <w:spacing w:after="120" w:line="276"/>
        <w:jc w:val="both"/>
      </w:pPr>
      <w:r>
        <w:rPr>
          <w:rFonts w:ascii="Barlow Semi Condensed" w:cs="Barlow Semi Condensed" w:eastAsia="Barlow Semi Condensed" w:hAnsi="Barlow Semi Condensed"/>
          <w:b/>
          <w:bCs/>
          <w:sz w:val="24"/>
          <w:szCs w:val="24"/>
        </w:rPr>
        <w:t xml:space="preserve">232 · Il vocabolario delle classificazioni.</w:t>
      </w:r>
      <w:r>
        <w:rPr>
          <w:rFonts w:ascii="Barlow Semi Condensed" w:cs="Barlow Semi Condensed" w:eastAsia="Barlow Semi Condensed" w:hAnsi="Barlow Semi Condensed"/>
          <w:sz w:val="24"/>
          <w:szCs w:val="24"/>
        </w:rPr>
        <w:t xml:space="preserve"> Le diciture d'epoca («attendibile», «da verificare», «agli atti») si censiscono e si traducono: la semantica burocratica del 1978 è parte dello schema-dati.</w:t>
      </w:r>
    </w:p>
    <w:p>
      <w:pPr>
        <w:spacing w:after="120" w:line="276"/>
        <w:jc w:val="both"/>
      </w:pPr>
      <w:r>
        <w:rPr>
          <w:rFonts w:ascii="Barlow Semi Condensed" w:cs="Barlow Semi Condensed" w:eastAsia="Barlow Semi Condensed" w:hAnsi="Barlow Semi Condensed"/>
          <w:b/>
          <w:bCs/>
          <w:sz w:val="24"/>
          <w:szCs w:val="24"/>
        </w:rPr>
        <w:t xml:space="preserve">233 · L'errore da evitare.</w:t>
      </w:r>
      <w:r>
        <w:rPr>
          <w:rFonts w:ascii="Barlow Semi Condensed" w:cs="Barlow Semi Condensed" w:eastAsia="Barlow Semi Condensed" w:hAnsi="Barlow Semi Condensed"/>
          <w:sz w:val="24"/>
          <w:szCs w:val="24"/>
        </w:rPr>
        <w:t xml:space="preserve"> Leggere il registro col senno di poi: la rilevanza retrospettiva (blocco 219) si dichiara sempre come tale, e il giudizio sul singolo operatore resta vietato — si giudicano flussi, non persone.</w:t>
      </w:r>
    </w:p>
    <w:p>
      <w:pPr>
        <w:spacing w:after="120" w:line="276"/>
        <w:jc w:val="both"/>
      </w:pPr>
      <w:r>
        <w:rPr>
          <w:rFonts w:ascii="Barlow Semi Condensed" w:cs="Barlow Semi Condensed" w:eastAsia="Barlow Semi Condensed" w:hAnsi="Barlow Semi Condensed"/>
          <w:b/>
          <w:bCs/>
          <w:sz w:val="24"/>
          <w:szCs w:val="24"/>
        </w:rPr>
        <w:t xml:space="preserve">234 · Il criterio di chiusura.</w:t>
      </w:r>
      <w:r>
        <w:rPr>
          <w:rFonts w:ascii="Barlow Semi Condensed" w:cs="Barlow Semi Condensed" w:eastAsia="Barlow Semi Condensed" w:hAnsi="Barlow Semi Condensed"/>
          <w:sz w:val="24"/>
          <w:szCs w:val="24"/>
        </w:rPr>
        <w:t xml:space="preserve"> Il registro si chiude con la pubblicazione delle metriche e delle distribuzioni, più i due registri dedicati (223-224): a quel punto la matrice del blocco 209 avrà la sua evidenza, in un senso o nell'altro.</w:t>
      </w:r>
    </w:p>
    <w:p>
      <w:pPr>
        <w:spacing w:after="120" w:line="276"/>
        <w:jc w:val="both"/>
      </w:pPr>
      <w:r>
        <w:rPr>
          <w:rFonts w:ascii="Barlow Semi Condensed" w:cs="Barlow Semi Condensed" w:eastAsia="Barlow Semi Condensed" w:hAnsi="Barlow Semi Condensed"/>
          <w:b/>
          <w:bCs/>
          <w:sz w:val="24"/>
          <w:szCs w:val="24"/>
        </w:rPr>
        <w:t xml:space="preserve">235 · Il lascito.</w:t>
      </w:r>
      <w:r>
        <w:rPr>
          <w:rFonts w:ascii="Barlow Semi Condensed" w:cs="Barlow Semi Condensed" w:eastAsia="Barlow Semi Condensed" w:hAnsi="Barlow Semi Condensed"/>
          <w:sz w:val="24"/>
          <w:szCs w:val="24"/>
        </w:rPr>
        <w:t xml:space="preserve"> Lo schema-dati e il metodo si consegnano come standard replicabile: ogni grande caso italiano ha la sua colonna d'ingresso mancante, e il registro del caso Moro può diventare il modello per tutte.</w:t>
      </w:r>
    </w:p>
    <w:p>
      <w:pPr>
        <w:pStyle w:val="Heading2"/>
        <w:spacing w:after="100" w:before="200"/>
      </w:pPr>
      <w:r>
        <w:rPr>
          <w:rFonts w:ascii="Barlow Semi Condensed" w:cs="Barlow Semi Condensed" w:eastAsia="Barlow Semi Condensed" w:hAnsi="Barlow Semi Condensed"/>
          <w:sz w:val="24"/>
          <w:szCs w:val="24"/>
        </w:rPr>
        <w:t xml:space="preserve">Serie ottava — Il versante internazionale (blocchi 236-250)</w:t>
      </w:r>
    </w:p>
    <w:p>
      <w:pPr>
        <w:spacing w:after="120" w:line="276"/>
        <w:jc w:val="both"/>
      </w:pPr>
      <w:r>
        <w:rPr>
          <w:rFonts w:ascii="Barlow Semi Condensed" w:cs="Barlow Semi Condensed" w:eastAsia="Barlow Semi Condensed" w:hAnsi="Barlow Semi Condensed"/>
          <w:i/>
          <w:iCs/>
          <w:sz w:val="24"/>
          <w:szCs w:val="24"/>
        </w:rPr>
        <w:t xml:space="preserve">Statuto della serie: le frontiere del caso. L'esecuzione, l'accesso e la cooperazione: tutto ciò che del nuovo caso dipende da uno Stato che non è l'Italia.</w:t>
      </w:r>
    </w:p>
    <w:p>
      <w:pPr>
        <w:spacing w:after="120" w:line="276"/>
        <w:jc w:val="both"/>
      </w:pPr>
      <w:r>
        <w:rPr>
          <w:rFonts w:ascii="Barlow Semi Condensed" w:cs="Barlow Semi Condensed" w:eastAsia="Barlow Semi Condensed" w:hAnsi="Barlow Semi Condensed"/>
          <w:b/>
          <w:bCs/>
          <w:sz w:val="24"/>
          <w:szCs w:val="24"/>
        </w:rPr>
        <w:t xml:space="preserve">236 · La tavola delle pendenze.</w:t>
      </w:r>
      <w:r>
        <w:rPr>
          <w:rFonts w:ascii="Barlow Semi Condensed" w:cs="Barlow Semi Condensed" w:eastAsia="Barlow Semi Condensed" w:hAnsi="Barlow Semi Condensed"/>
          <w:sz w:val="24"/>
          <w:szCs w:val="24"/>
        </w:rPr>
        <w:t xml:space="preserve"> Il censimento aggiornato di ogni pendenza internazionale del caso: richieste di estradizione, rogatorie, richieste di consenso all'originatore, istanze d'archivio — ciascuna con stato, data dell'ultimo atto, sede competente.</w:t>
      </w:r>
    </w:p>
    <w:p>
      <w:pPr>
        <w:spacing w:after="120" w:line="276"/>
        <w:jc w:val="both"/>
      </w:pPr>
      <w:r>
        <w:rPr>
          <w:rFonts w:ascii="Barlow Semi Condensed" w:cs="Barlow Semi Condensed" w:eastAsia="Barlow Semi Condensed" w:hAnsi="Barlow Semi Condensed"/>
          <w:b/>
          <w:bCs/>
          <w:sz w:val="24"/>
          <w:szCs w:val="24"/>
        </w:rPr>
        <w:t xml:space="preserve">237 · Il canale di Managua.</w:t>
      </w:r>
      <w:r>
        <w:rPr>
          <w:rFonts w:ascii="Barlow Semi Condensed" w:cs="Barlow Semi Condensed" w:eastAsia="Barlow Semi Condensed" w:hAnsi="Barlow Semi Condensed"/>
          <w:sz w:val="24"/>
          <w:szCs w:val="24"/>
        </w:rPr>
        <w:t xml:space="preserve"> Le richieste respinte si rinnovano nelle forme, ma l'obiettivo realistico è conoscitivo: la deposizione all'estero del blocco 151. Ogni rifiuto si acquisisce per iscritto — è un documento diplomatico del caso.</w:t>
      </w:r>
    </w:p>
    <w:p>
      <w:pPr>
        <w:spacing w:after="120" w:line="276"/>
        <w:jc w:val="both"/>
      </w:pPr>
      <w:r>
        <w:rPr>
          <w:rFonts w:ascii="Barlow Semi Condensed" w:cs="Barlow Semi Condensed" w:eastAsia="Barlow Semi Condensed" w:hAnsi="Barlow Semi Condensed"/>
          <w:b/>
          <w:bCs/>
          <w:sz w:val="24"/>
          <w:szCs w:val="24"/>
        </w:rPr>
        <w:t xml:space="preserve">238 · Il versante elvetico.</w:t>
      </w:r>
      <w:r>
        <w:rPr>
          <w:rFonts w:ascii="Barlow Semi Condensed" w:cs="Barlow Semi Condensed" w:eastAsia="Barlow Semi Condensed" w:hAnsi="Barlow Semi Condensed"/>
          <w:sz w:val="24"/>
          <w:szCs w:val="24"/>
        </w:rPr>
        <w:t xml:space="preserve"> Nessuna deroga è chiedibile a una regola di cittadinanza; ciò che si chiede è la cooperazione documentale e l'eventuale disponibilità volontaria a deposizioni: la porta che la sovranità lascia aperta.</w:t>
      </w:r>
    </w:p>
    <w:p>
      <w:pPr>
        <w:spacing w:after="120" w:line="276"/>
        <w:jc w:val="both"/>
      </w:pPr>
      <w:r>
        <w:rPr>
          <w:rFonts w:ascii="Barlow Semi Condensed" w:cs="Barlow Semi Condensed" w:eastAsia="Barlow Semi Condensed" w:hAnsi="Barlow Semi Condensed"/>
          <w:b/>
          <w:bCs/>
          <w:sz w:val="24"/>
          <w:szCs w:val="24"/>
        </w:rPr>
        <w:t xml:space="preserve">239 · Il quadro francese.</w:t>
      </w:r>
      <w:r>
        <w:rPr>
          <w:rFonts w:ascii="Barlow Semi Condensed" w:cs="Barlow Semi Condensed" w:eastAsia="Barlow Semi Condensed" w:hAnsi="Barlow Semi Condensed"/>
          <w:sz w:val="24"/>
          <w:szCs w:val="24"/>
        </w:rPr>
        <w:t xml:space="preserve"> Il no definitivo del 2023 chiude l'esecuzione per i dieci; non chiude la cooperazione documentale né tocca il registro del caso. Le carte diplomatiche italiane di quel quarantennio si schedano alla Farnesina (blocco 127).</w:t>
      </w:r>
    </w:p>
    <w:p>
      <w:pPr>
        <w:spacing w:after="120" w:line="276"/>
        <w:jc w:val="both"/>
      </w:pPr>
      <w:r>
        <w:rPr>
          <w:rFonts w:ascii="Barlow Semi Condensed" w:cs="Barlow Semi Condensed" w:eastAsia="Barlow Semi Condensed" w:hAnsi="Barlow Semi Condensed"/>
          <w:b/>
          <w:bCs/>
          <w:sz w:val="24"/>
          <w:szCs w:val="24"/>
        </w:rPr>
        <w:t xml:space="preserve">240 · Il contro-caso come metodo.</w:t>
      </w:r>
      <w:r>
        <w:rPr>
          <w:rFonts w:ascii="Barlow Semi Condensed" w:cs="Barlow Semi Condensed" w:eastAsia="Barlow Semi Condensed" w:hAnsi="Barlow Semi Condensed"/>
          <w:sz w:val="24"/>
          <w:szCs w:val="24"/>
        </w:rPr>
        <w:t xml:space="preserve"> La consegna del Cairo dimostra che la geografia è una variabile, non un destino: la tavola delle pendenze si rilegge a ogni mutamento di quadro politico degli Stati ospiti.</w:t>
      </w:r>
    </w:p>
    <w:p>
      <w:pPr>
        <w:spacing w:after="120" w:line="276"/>
        <w:jc w:val="both"/>
      </w:pPr>
      <w:r>
        <w:rPr>
          <w:rFonts w:ascii="Barlow Semi Condensed" w:cs="Barlow Semi Condensed" w:eastAsia="Barlow Semi Condensed" w:hAnsi="Barlow Semi Condensed"/>
          <w:b/>
          <w:bCs/>
          <w:sz w:val="24"/>
          <w:szCs w:val="24"/>
        </w:rPr>
        <w:t xml:space="preserve">241 · Le FOIA come diplomazia documentale.</w:t>
      </w:r>
      <w:r>
        <w:rPr>
          <w:rFonts w:ascii="Barlow Semi Condensed" w:cs="Barlow Semi Condensed" w:eastAsia="Barlow Semi Condensed" w:hAnsi="Barlow Semi Condensed"/>
          <w:sz w:val="24"/>
          <w:szCs w:val="24"/>
        </w:rPr>
        <w:t xml:space="preserve"> Il pacchetto americano dei blocchi 115-118 si gestisce come un dossier unitario con calendario proprio: richieste scaglionate, appelli sui dinieghi, registro pubblico degli esiti.</w:t>
      </w:r>
    </w:p>
    <w:p>
      <w:pPr>
        <w:spacing w:after="120" w:line="276"/>
        <w:jc w:val="both"/>
      </w:pPr>
      <w:r>
        <w:rPr>
          <w:rFonts w:ascii="Barlow Semi Condensed" w:cs="Barlow Semi Condensed" w:eastAsia="Barlow Semi Condensed" w:hAnsi="Barlow Semi Condensed"/>
          <w:b/>
          <w:bCs/>
          <w:sz w:val="24"/>
          <w:szCs w:val="24"/>
        </w:rPr>
        <w:t xml:space="preserve">242 · Il consenso dell'originatore.</w:t>
      </w:r>
      <w:r>
        <w:rPr>
          <w:rFonts w:ascii="Barlow Semi Condensed" w:cs="Barlow Semi Condensed" w:eastAsia="Barlow Semi Condensed" w:hAnsi="Barlow Semi Condensed"/>
          <w:sz w:val="24"/>
          <w:szCs w:val="24"/>
        </w:rPr>
        <w:t xml:space="preserve"> Per gli atti alleati custoditi in Italia: la proposta formale alle sedi competenti di un'iniziativa organica di richieste di consenso, con l'elenco esatto degli atti — non l'ennesimo appello generico alla «desecretazione».</w:t>
      </w:r>
    </w:p>
    <w:p>
      <w:pPr>
        <w:spacing w:after="120" w:line="276"/>
        <w:jc w:val="both"/>
      </w:pPr>
      <w:r>
        <w:rPr>
          <w:rFonts w:ascii="Barlow Semi Condensed" w:cs="Barlow Semi Condensed" w:eastAsia="Barlow Semi Condensed" w:hAnsi="Barlow Semi Condensed"/>
          <w:b/>
          <w:bCs/>
          <w:sz w:val="24"/>
          <w:szCs w:val="24"/>
        </w:rPr>
        <w:t xml:space="preserve">243 · Gli archivi dell'Est.</w:t>
      </w:r>
      <w:r>
        <w:rPr>
          <w:rFonts w:ascii="Barlow Semi Condensed" w:cs="Barlow Semi Condensed" w:eastAsia="Barlow Semi Condensed" w:hAnsi="Barlow Semi Condensed"/>
          <w:sz w:val="24"/>
          <w:szCs w:val="24"/>
        </w:rPr>
        <w:t xml:space="preserve"> I fondi degli ex servizi del blocco orientale — per ciò che documentarono del caso e del terrorismo italiano — si censiscono nelle sedi già aperte agli studiosi; ogni carta entra con la sua origine e il suo grado, e con la lezione Mitrokhin sul maneggio delle fonti d'intelligence.</w:t>
      </w:r>
    </w:p>
    <w:p>
      <w:pPr>
        <w:spacing w:after="120" w:line="276"/>
        <w:jc w:val="both"/>
      </w:pPr>
      <w:r>
        <w:rPr>
          <w:rFonts w:ascii="Barlow Semi Condensed" w:cs="Barlow Semi Condensed" w:eastAsia="Barlow Semi Condensed" w:hAnsi="Barlow Semi Condensed"/>
          <w:b/>
          <w:bCs/>
          <w:sz w:val="24"/>
          <w:szCs w:val="24"/>
        </w:rPr>
        <w:t xml:space="preserve">244 · Le sedi multilaterali.</w:t>
      </w:r>
      <w:r>
        <w:rPr>
          <w:rFonts w:ascii="Barlow Semi Condensed" w:cs="Barlow Semi Condensed" w:eastAsia="Barlow Semi Condensed" w:hAnsi="Barlow Semi Condensed"/>
          <w:sz w:val="24"/>
          <w:szCs w:val="24"/>
        </w:rPr>
        <w:t xml:space="preserve"> Ciò che di documentale può giacere presso organismi internazionali dell'epoca si censisce con istanze mirate: anche il «nulla risulta» multilaterale è una scheda.</w:t>
      </w:r>
    </w:p>
    <w:p>
      <w:pPr>
        <w:spacing w:after="120" w:line="276"/>
        <w:jc w:val="both"/>
      </w:pPr>
      <w:r>
        <w:rPr>
          <w:rFonts w:ascii="Barlow Semi Condensed" w:cs="Barlow Semi Condensed" w:eastAsia="Barlow Semi Condensed" w:hAnsi="Barlow Semi Condensed"/>
          <w:b/>
          <w:bCs/>
          <w:sz w:val="24"/>
          <w:szCs w:val="24"/>
        </w:rPr>
        <w:t xml:space="preserve">245 · La cooperazione scientifica.</w:t>
      </w:r>
      <w:r>
        <w:rPr>
          <w:rFonts w:ascii="Barlow Semi Condensed" w:cs="Barlow Semi Condensed" w:eastAsia="Barlow Semi Condensed" w:hAnsi="Barlow Semi Condensed"/>
          <w:sz w:val="24"/>
          <w:szCs w:val="24"/>
        </w:rPr>
        <w:t xml:space="preserve"> Le comparazioni balistiche e genetiche con banche dati estere passano per i canali di cooperazione di polizia: gli atti si chiedono nelle forme, e i limiti giuridici si verbalizzano come ogni altro esito.</w:t>
      </w:r>
    </w:p>
    <w:p>
      <w:pPr>
        <w:spacing w:after="120" w:line="276"/>
        <w:jc w:val="both"/>
      </w:pPr>
      <w:r>
        <w:rPr>
          <w:rFonts w:ascii="Barlow Semi Condensed" w:cs="Barlow Semi Condensed" w:eastAsia="Barlow Semi Condensed" w:hAnsi="Barlow Semi Condensed"/>
          <w:b/>
          <w:bCs/>
          <w:sz w:val="24"/>
          <w:szCs w:val="24"/>
        </w:rPr>
        <w:t xml:space="preserve">246 · Il precedente come leva.</w:t>
      </w:r>
      <w:r>
        <w:rPr>
          <w:rFonts w:ascii="Barlow Semi Condensed" w:cs="Barlow Semi Condensed" w:eastAsia="Barlow Semi Condensed" w:hAnsi="Barlow Semi Condensed"/>
          <w:sz w:val="24"/>
          <w:szCs w:val="24"/>
        </w:rPr>
        <w:t xml:space="preserve"> Ogni consegna, deposizione o rilascio ottenuto altrove per casi analoghi si scheda come precedente: la prassi internazionale è un giacimento argomentativo per le istanze del caso.</w:t>
      </w:r>
    </w:p>
    <w:p>
      <w:pPr>
        <w:spacing w:after="120" w:line="276"/>
        <w:jc w:val="both"/>
      </w:pPr>
      <w:r>
        <w:rPr>
          <w:rFonts w:ascii="Barlow Semi Condensed" w:cs="Barlow Semi Condensed" w:eastAsia="Barlow Semi Condensed" w:hAnsi="Barlow Semi Condensed"/>
          <w:b/>
          <w:bCs/>
          <w:sz w:val="24"/>
          <w:szCs w:val="24"/>
        </w:rPr>
        <w:t xml:space="preserve">247 · La reciprocità.</w:t>
      </w:r>
      <w:r>
        <w:rPr>
          <w:rFonts w:ascii="Barlow Semi Condensed" w:cs="Barlow Semi Condensed" w:eastAsia="Barlow Semi Condensed" w:hAnsi="Barlow Semi Condensed"/>
          <w:sz w:val="24"/>
          <w:szCs w:val="24"/>
        </w:rPr>
        <w:t xml:space="preserve"> L'Italia risponde alle richieste altrui sul proprio quarantennio con la stessa lealtà documentale che chiede: la credibilità del nuovo caso all'estero è un asset istruttorio.</w:t>
      </w:r>
    </w:p>
    <w:p>
      <w:pPr>
        <w:spacing w:after="120" w:line="276"/>
        <w:jc w:val="both"/>
      </w:pPr>
      <w:r>
        <w:rPr>
          <w:rFonts w:ascii="Barlow Semi Condensed" w:cs="Barlow Semi Condensed" w:eastAsia="Barlow Semi Condensed" w:hAnsi="Barlow Semi Condensed"/>
          <w:b/>
          <w:bCs/>
          <w:sz w:val="24"/>
          <w:szCs w:val="24"/>
        </w:rPr>
        <w:t xml:space="preserve">248 · Il registro linguistico.</w:t>
      </w:r>
      <w:r>
        <w:rPr>
          <w:rFonts w:ascii="Barlow Semi Condensed" w:cs="Barlow Semi Condensed" w:eastAsia="Barlow Semi Condensed" w:hAnsi="Barlow Semi Condensed"/>
          <w:sz w:val="24"/>
          <w:szCs w:val="24"/>
        </w:rPr>
        <w:t xml:space="preserve"> Ogni istanza internazionale si redige nella lingua della sede e nel suo vocabolario giuridico: metà dei dinieghi storici sono dinieghi di traduzione.</w:t>
      </w:r>
    </w:p>
    <w:p>
      <w:pPr>
        <w:spacing w:after="120" w:line="276"/>
        <w:jc w:val="both"/>
      </w:pPr>
      <w:r>
        <w:rPr>
          <w:rFonts w:ascii="Barlow Semi Condensed" w:cs="Barlow Semi Condensed" w:eastAsia="Barlow Semi Condensed" w:hAnsi="Barlow Semi Condensed"/>
          <w:b/>
          <w:bCs/>
          <w:sz w:val="24"/>
          <w:szCs w:val="24"/>
        </w:rPr>
        <w:t xml:space="preserve">249 · L'errore da evitare.</w:t>
      </w:r>
      <w:r>
        <w:rPr>
          <w:rFonts w:ascii="Barlow Semi Condensed" w:cs="Barlow Semi Condensed" w:eastAsia="Barlow Semi Condensed" w:hAnsi="Barlow Semi Condensed"/>
          <w:sz w:val="24"/>
          <w:szCs w:val="24"/>
        </w:rPr>
        <w:t xml:space="preserve"> Trasformare il versante internazionale in geopolitica narrativa: qui si chiedono carte e deposizioni a Stati sovrani, atto per atto; le letture di sistema restano al grado C, fuori dalle istanze.</w:t>
      </w:r>
    </w:p>
    <w:p>
      <w:pPr>
        <w:spacing w:after="120" w:line="276"/>
        <w:jc w:val="both"/>
      </w:pPr>
      <w:r>
        <w:rPr>
          <w:rFonts w:ascii="Barlow Semi Condensed" w:cs="Barlow Semi Condensed" w:eastAsia="Barlow Semi Condensed" w:hAnsi="Barlow Semi Condensed"/>
          <w:b/>
          <w:bCs/>
          <w:sz w:val="24"/>
          <w:szCs w:val="24"/>
        </w:rPr>
        <w:t xml:space="preserve">250 · Il criterio della serie.</w:t>
      </w:r>
      <w:r>
        <w:rPr>
          <w:rFonts w:ascii="Barlow Semi Condensed" w:cs="Barlow Semi Condensed" w:eastAsia="Barlow Semi Condensed" w:hAnsi="Barlow Semi Condensed"/>
          <w:sz w:val="24"/>
          <w:szCs w:val="24"/>
        </w:rPr>
        <w:t xml:space="preserve"> Ogni pendenza chiude con un documento — la consegna, la deposizione, il rilascio, o il diniego motivato — e la tavola del blocco 236 è aggiornata e pubblica: il caso sa sempre, in ogni istante, che cosa il mondo gli deve ancora.</w:t>
      </w:r>
    </w:p>
    <w:p>
      <w:pPr>
        <w:pStyle w:val="Heading2"/>
        <w:spacing w:after="100" w:before="200"/>
      </w:pPr>
      <w:r>
        <w:rPr>
          <w:rFonts w:ascii="Barlow Semi Condensed" w:cs="Barlow Semi Condensed" w:eastAsia="Barlow Semi Condensed" w:hAnsi="Barlow Semi Condensed"/>
          <w:sz w:val="24"/>
          <w:szCs w:val="24"/>
        </w:rPr>
        <w:t xml:space="preserve">Serie nona — Gli errori storici e i loro antidoti (blocchi 251-280)</w:t>
      </w:r>
    </w:p>
    <w:p>
      <w:pPr>
        <w:spacing w:after="120" w:line="276"/>
        <w:jc w:val="both"/>
      </w:pPr>
      <w:r>
        <w:rPr>
          <w:rFonts w:ascii="Barlow Semi Condensed" w:cs="Barlow Semi Condensed" w:eastAsia="Barlow Semi Condensed" w:hAnsi="Barlow Semi Condensed"/>
          <w:i/>
          <w:iCs/>
          <w:sz w:val="24"/>
          <w:szCs w:val="24"/>
        </w:rPr>
        <w:t xml:space="preserve">Statuto della serie: la memoria degli sbagli. Trent'anni di istruttorie e quarant'anni di pubblicistica hanno prodotto un catalogo di errori di metodo; la serie li fissa uno per uno, ciascuno col suo antidoto operativo.</w:t>
      </w:r>
    </w:p>
    <w:p>
      <w:pPr>
        <w:spacing w:after="120" w:line="276"/>
        <w:jc w:val="both"/>
      </w:pPr>
      <w:r>
        <w:rPr>
          <w:rFonts w:ascii="Barlow Semi Condensed" w:cs="Barlow Semi Condensed" w:eastAsia="Barlow Semi Condensed" w:hAnsi="Barlow Semi Condensed"/>
          <w:b/>
          <w:bCs/>
          <w:sz w:val="24"/>
          <w:szCs w:val="24"/>
        </w:rPr>
        <w:t xml:space="preserve">251 · L'errore della lettera.</w:t>
      </w:r>
      <w:r>
        <w:rPr>
          <w:rFonts w:ascii="Barlow Semi Condensed" w:cs="Barlow Semi Condensed" w:eastAsia="Barlow Semi Condensed" w:hAnsi="Barlow Semi Condensed"/>
          <w:sz w:val="24"/>
          <w:szCs w:val="24"/>
        </w:rPr>
        <w:t xml:space="preserve"> La perquisizione andò al </w:t>
      </w:r>
      <w:r>
        <w:rPr>
          <w:rFonts w:ascii="Barlow Semi Condensed" w:cs="Barlow Semi Condensed" w:eastAsia="Barlow Semi Condensed" w:hAnsi="Barlow Semi Condensed"/>
          <w:i/>
          <w:iCs/>
          <w:sz w:val="24"/>
          <w:szCs w:val="24"/>
        </w:rPr>
        <w:t xml:space="preserve">paese</w:t>
      </w:r>
      <w:r>
        <w:rPr>
          <w:rFonts w:ascii="Barlow Semi Condensed" w:cs="Barlow Semi Condensed" w:eastAsia="Barlow Semi Condensed" w:hAnsi="Barlow Semi Condensed"/>
          <w:sz w:val="24"/>
          <w:szCs w:val="24"/>
        </w:rPr>
        <w:t xml:space="preserve"> di Gradoli: lo smistamento eseguì la lettera dell'input senza verificarne le alternative. Antidoto: ogni segnalazione toponomastica si espande d'ufficio a tutte le omonimie (blocco 100 lo documenta a ritroso; il protocollo lo impone in avanti).</w:t>
      </w:r>
    </w:p>
    <w:p>
      <w:pPr>
        <w:spacing w:after="120" w:line="276"/>
        <w:jc w:val="both"/>
      </w:pPr>
      <w:r>
        <w:rPr>
          <w:rFonts w:ascii="Barlow Semi Condensed" w:cs="Barlow Semi Condensed" w:eastAsia="Barlow Semi Condensed" w:hAnsi="Barlow Semi Condensed"/>
          <w:b/>
          <w:bCs/>
          <w:sz w:val="24"/>
          <w:szCs w:val="24"/>
        </w:rPr>
        <w:t xml:space="preserve">252 · L'errore del campanello.</w:t>
      </w:r>
      <w:r>
        <w:rPr>
          <w:rFonts w:ascii="Barlow Semi Condensed" w:cs="Barlow Semi Condensed" w:eastAsia="Barlow Semi Condensed" w:hAnsi="Barlow Semi Condensed"/>
          <w:sz w:val="24"/>
          <w:szCs w:val="24"/>
        </w:rPr>
        <w:t xml:space="preserve"> Un controllo che si ferma alla mancata risposta non è un controllo: è un rinvio non verbalizzato. Antidoto: ogni atto di verifica ha esito trinario — positivo, negativo, </w:t>
      </w:r>
      <w:r>
        <w:rPr>
          <w:rFonts w:ascii="Barlow Semi Condensed" w:cs="Barlow Semi Condensed" w:eastAsia="Barlow Semi Condensed" w:hAnsi="Barlow Semi Condensed"/>
          <w:i/>
          <w:iCs/>
          <w:sz w:val="24"/>
          <w:szCs w:val="24"/>
        </w:rPr>
        <w:t xml:space="preserve">non eseguito</w:t>
      </w:r>
      <w:r>
        <w:rPr>
          <w:rFonts w:ascii="Barlow Semi Condensed" w:cs="Barlow Semi Condensed" w:eastAsia="Barlow Semi Condensed" w:hAnsi="Barlow Semi Condensed"/>
          <w:sz w:val="24"/>
          <w:szCs w:val="24"/>
        </w:rPr>
        <w:t xml:space="preserve"> — e il terzo si protocolla come tale.</w:t>
      </w:r>
    </w:p>
    <w:p>
      <w:pPr>
        <w:spacing w:after="120" w:line="276"/>
        <w:jc w:val="both"/>
      </w:pPr>
      <w:r>
        <w:rPr>
          <w:rFonts w:ascii="Barlow Semi Condensed" w:cs="Barlow Semi Condensed" w:eastAsia="Barlow Semi Condensed" w:hAnsi="Barlow Semi Condensed"/>
          <w:b/>
          <w:bCs/>
          <w:sz w:val="24"/>
          <w:szCs w:val="24"/>
        </w:rPr>
        <w:t xml:space="preserve">253 · L'errore del testimone-oracolo.</w:t>
      </w:r>
      <w:r>
        <w:rPr>
          <w:rFonts w:ascii="Barlow Semi Condensed" w:cs="Barlow Semi Condensed" w:eastAsia="Barlow Semi Condensed" w:hAnsi="Barlow Semi Condensed"/>
          <w:sz w:val="24"/>
          <w:szCs w:val="24"/>
        </w:rPr>
        <w:t xml:space="preserve"> Il caso Marini: una corroborazione fisica assunta sulla parola per decenni. Antidoto: blocco 9 — la corroborazione si verifica prima di fondare, e ogni teste-chiave ha la sua scheda di riscontri materiali.</w:t>
      </w:r>
    </w:p>
    <w:p>
      <w:pPr>
        <w:spacing w:after="120" w:line="276"/>
        <w:jc w:val="both"/>
      </w:pPr>
      <w:r>
        <w:rPr>
          <w:rFonts w:ascii="Barlow Semi Condensed" w:cs="Barlow Semi Condensed" w:eastAsia="Barlow Semi Condensed" w:hAnsi="Barlow Semi Condensed"/>
          <w:b/>
          <w:bCs/>
          <w:sz w:val="24"/>
          <w:szCs w:val="24"/>
        </w:rPr>
        <w:t xml:space="preserve">254 · L'errore dell'esperto squalificante.</w:t>
      </w:r>
      <w:r>
        <w:rPr>
          <w:rFonts w:ascii="Barlow Semi Condensed" w:cs="Barlow Semi Condensed" w:eastAsia="Barlow Semi Condensed" w:hAnsi="Barlow Semi Condensed"/>
          <w:sz w:val="24"/>
          <w:szCs w:val="24"/>
        </w:rPr>
        <w:t xml:space="preserve"> La qualificazione psichiatrica delle lettere operò da filtro politico su una fonte primaria. Antidoto: nessuna fonte si squalifica per via d'autorità — si grada per via documentale, e chi squalifica firma.</w:t>
      </w:r>
    </w:p>
    <w:p>
      <w:pPr>
        <w:spacing w:after="120" w:line="276"/>
        <w:jc w:val="both"/>
      </w:pPr>
      <w:r>
        <w:rPr>
          <w:rFonts w:ascii="Barlow Semi Condensed" w:cs="Barlow Semi Condensed" w:eastAsia="Barlow Semi Condensed" w:hAnsi="Barlow Semi Condensed"/>
          <w:b/>
          <w:bCs/>
          <w:sz w:val="24"/>
          <w:szCs w:val="24"/>
        </w:rPr>
        <w:t xml:space="preserve">255 · L'errore del pentito non riscontrato.</w:t>
      </w:r>
      <w:r>
        <w:rPr>
          <w:rFonts w:ascii="Barlow Semi Condensed" w:cs="Barlow Semi Condensed" w:eastAsia="Barlow Semi Condensed" w:hAnsi="Barlow Semi Condensed"/>
          <w:sz w:val="24"/>
          <w:szCs w:val="24"/>
        </w:rPr>
        <w:t xml:space="preserve"> Stagioni istruttorie fondate su dichiarazioni poi cadute — con un innocente detenuto e risarcito. Antidoto: la dichiarazione di chiunque è ipotesi da riscontrare, mai architrave; l'affaire Mulinaris è il monito permanente.</w:t>
      </w:r>
    </w:p>
    <w:p>
      <w:pPr>
        <w:spacing w:after="120" w:line="276"/>
        <w:jc w:val="both"/>
      </w:pPr>
      <w:r>
        <w:rPr>
          <w:rFonts w:ascii="Barlow Semi Condensed" w:cs="Barlow Semi Condensed" w:eastAsia="Barlow Semi Condensed" w:hAnsi="Barlow Semi Condensed"/>
          <w:b/>
          <w:bCs/>
          <w:sz w:val="24"/>
          <w:szCs w:val="24"/>
        </w:rPr>
        <w:t xml:space="preserve">256 · L'errore del memoriale-oracolo.</w:t>
      </w:r>
      <w:r>
        <w:rPr>
          <w:rFonts w:ascii="Barlow Semi Condensed" w:cs="Barlow Semi Condensed" w:eastAsia="Barlow Semi Condensed" w:hAnsi="Barlow Semi Condensed"/>
          <w:sz w:val="24"/>
          <w:szCs w:val="24"/>
        </w:rPr>
        <w:t xml:space="preserve"> Il testo negoziato trattato per anni come confessione integrale. Antidoto: ogni fonte narrativa interna porta scritta la propria genesi accanto al contenuto.</w:t>
      </w:r>
    </w:p>
    <w:p>
      <w:pPr>
        <w:spacing w:after="120" w:line="276"/>
        <w:jc w:val="both"/>
      </w:pPr>
      <w:r>
        <w:rPr>
          <w:rFonts w:ascii="Barlow Semi Condensed" w:cs="Barlow Semi Condensed" w:eastAsia="Barlow Semi Condensed" w:hAnsi="Barlow Semi Condensed"/>
          <w:b/>
          <w:bCs/>
          <w:sz w:val="24"/>
          <w:szCs w:val="24"/>
        </w:rPr>
        <w:t xml:space="preserve">257 · L'errore della graduatoria.</w:t>
      </w:r>
      <w:r>
        <w:rPr>
          <w:rFonts w:ascii="Barlow Semi Condensed" w:cs="Barlow Semi Condensed" w:eastAsia="Barlow Semi Condensed" w:hAnsi="Barlow Semi Condensed"/>
          <w:sz w:val="24"/>
          <w:szCs w:val="24"/>
        </w:rPr>
        <w:t xml:space="preserve"> Le classifiche di colpevoli — giornalistiche o istruttorie — che precedono le prove. Antidoto: il registro chiuso del blocco 3, e la Fase quinta pubblica del corpus come modello di ciò che si fa invece.</w:t>
      </w:r>
    </w:p>
    <w:p>
      <w:pPr>
        <w:spacing w:after="120" w:line="276"/>
        <w:jc w:val="both"/>
      </w:pPr>
      <w:r>
        <w:rPr>
          <w:rFonts w:ascii="Barlow Semi Condensed" w:cs="Barlow Semi Condensed" w:eastAsia="Barlow Semi Condensed" w:hAnsi="Barlow Semi Condensed"/>
          <w:b/>
          <w:bCs/>
          <w:sz w:val="24"/>
          <w:szCs w:val="24"/>
        </w:rPr>
        <w:t xml:space="preserve">258 · L'errore del gruppo.</w:t>
      </w:r>
      <w:r>
        <w:rPr>
          <w:rFonts w:ascii="Barlow Semi Condensed" w:cs="Barlow Semi Condensed" w:eastAsia="Barlow Semi Condensed" w:hAnsi="Barlow Semi Condensed"/>
          <w:sz w:val="24"/>
          <w:szCs w:val="24"/>
        </w:rPr>
        <w:t xml:space="preserve"> «Furono i servizi», «fu la loggia», «fu lo Stato»: la colpa collettiva che dissolve le condotte. Antidoto: blocchi 5 e 18 — atti e omissioni di persone e uffici, uno per uno, o niente.</w:t>
      </w:r>
    </w:p>
    <w:p>
      <w:pPr>
        <w:spacing w:after="120" w:line="276"/>
        <w:jc w:val="both"/>
      </w:pPr>
      <w:r>
        <w:rPr>
          <w:rFonts w:ascii="Barlow Semi Condensed" w:cs="Barlow Semi Condensed" w:eastAsia="Barlow Semi Condensed" w:hAnsi="Barlow Semi Condensed"/>
          <w:b/>
          <w:bCs/>
          <w:sz w:val="24"/>
          <w:szCs w:val="24"/>
        </w:rPr>
        <w:t xml:space="preserve">259 · L'errore del buco riempito.</w:t>
      </w:r>
      <w:r>
        <w:rPr>
          <w:rFonts w:ascii="Barlow Semi Condensed" w:cs="Barlow Semi Condensed" w:eastAsia="Barlow Semi Condensed" w:hAnsi="Barlow Semi Condensed"/>
          <w:sz w:val="24"/>
          <w:szCs w:val="24"/>
        </w:rPr>
        <w:t xml:space="preserve"> Ogni lacuna documentale colmata con la narrazione più suggestiva. Antidoto: la regola dei buchi — si misura, si dichiara, si cerca l'arco documentale; il buco non parla.</w:t>
      </w:r>
    </w:p>
    <w:p>
      <w:pPr>
        <w:spacing w:after="120" w:line="276"/>
        <w:jc w:val="both"/>
      </w:pPr>
      <w:r>
        <w:rPr>
          <w:rFonts w:ascii="Barlow Semi Condensed" w:cs="Barlow Semi Condensed" w:eastAsia="Barlow Semi Condensed" w:hAnsi="Barlow Semi Condensed"/>
          <w:b/>
          <w:bCs/>
          <w:sz w:val="24"/>
          <w:szCs w:val="24"/>
        </w:rPr>
        <w:t xml:space="preserve">260 · L'errore della coincidenza promossa.</w:t>
      </w:r>
      <w:r>
        <w:rPr>
          <w:rFonts w:ascii="Barlow Semi Condensed" w:cs="Barlow Semi Condensed" w:eastAsia="Barlow Semi Condensed" w:hAnsi="Barlow Semi Condensed"/>
          <w:sz w:val="24"/>
          <w:szCs w:val="24"/>
        </w:rPr>
        <w:t xml:space="preserve"> Il triplo 18 aprile, la via e il paese, il nome sul piattino: coincidenze trattate come firme. Antidoto: la contemporaneità non è nesso; ogni coincidenza entra in matrice come fatto da spiegare, con le sue H alternative.</w:t>
      </w:r>
    </w:p>
    <w:p>
      <w:pPr>
        <w:spacing w:after="120" w:line="276"/>
        <w:jc w:val="both"/>
      </w:pPr>
      <w:r>
        <w:rPr>
          <w:rFonts w:ascii="Barlow Semi Condensed" w:cs="Barlow Semi Condensed" w:eastAsia="Barlow Semi Condensed" w:hAnsi="Barlow Semi Condensed"/>
          <w:b/>
          <w:bCs/>
          <w:sz w:val="24"/>
          <w:szCs w:val="24"/>
        </w:rPr>
        <w:t xml:space="preserve">261 · L'errore della retrodatazione.</w:t>
      </w:r>
      <w:r>
        <w:rPr>
          <w:rFonts w:ascii="Barlow Semi Condensed" w:cs="Barlow Semi Condensed" w:eastAsia="Barlow Semi Condensed" w:hAnsi="Barlow Semi Condensed"/>
          <w:sz w:val="24"/>
          <w:szCs w:val="24"/>
        </w:rPr>
        <w:t xml:space="preserve"> Gli assetti del 1979-86 proiettati sul 1978 per fare del condominio un teorema. Antidoto: blocco 14 — la cronologia prima dell'interpretazione, la tavola datata prima della lettura.</w:t>
      </w:r>
    </w:p>
    <w:p>
      <w:pPr>
        <w:spacing w:after="120" w:line="276"/>
        <w:jc w:val="both"/>
      </w:pPr>
      <w:r>
        <w:rPr>
          <w:rFonts w:ascii="Barlow Semi Condensed" w:cs="Barlow Semi Condensed" w:eastAsia="Barlow Semi Condensed" w:hAnsi="Barlow Semi Condensed"/>
          <w:b/>
          <w:bCs/>
          <w:sz w:val="24"/>
          <w:szCs w:val="24"/>
        </w:rPr>
        <w:t xml:space="preserve">262 · L'errore dell'assolto sospettato.</w:t>
      </w:r>
      <w:r>
        <w:rPr>
          <w:rFonts w:ascii="Barlow Semi Condensed" w:cs="Barlow Semi Condensed" w:eastAsia="Barlow Semi Condensed" w:hAnsi="Barlow Semi Condensed"/>
          <w:sz w:val="24"/>
          <w:szCs w:val="24"/>
        </w:rPr>
        <w:t xml:space="preserve"> Il «fu assolto, ma» che insegue i prosciolti per decenni. Antidoto: blocco 16 — l'assoluzione è un esito, non un indizio; chi la tratta da indizio esce dal metodo.</w:t>
      </w:r>
    </w:p>
    <w:p>
      <w:pPr>
        <w:spacing w:after="120" w:line="276"/>
        <w:jc w:val="both"/>
      </w:pPr>
      <w:r>
        <w:rPr>
          <w:rFonts w:ascii="Barlow Semi Condensed" w:cs="Barlow Semi Condensed" w:eastAsia="Barlow Semi Condensed" w:hAnsi="Barlow Semi Condensed"/>
          <w:b/>
          <w:bCs/>
          <w:sz w:val="24"/>
          <w:szCs w:val="24"/>
        </w:rPr>
        <w:t xml:space="preserve">263 · L'errore del reperto maneggiato.</w:t>
      </w:r>
      <w:r>
        <w:rPr>
          <w:rFonts w:ascii="Barlow Semi Condensed" w:cs="Barlow Semi Condensed" w:eastAsia="Barlow Semi Condensed" w:hAnsi="Barlow Semi Condensed"/>
          <w:sz w:val="24"/>
          <w:szCs w:val="24"/>
        </w:rPr>
        <w:t xml:space="preserve"> Perizie su reperti a custodia ignota, presentate con certezze piene. Antidoto: blocchi 46-48 — la catena prima della scienza, il grado condizionato alla custodia.</w:t>
      </w:r>
    </w:p>
    <w:p>
      <w:pPr>
        <w:spacing w:after="120" w:line="276"/>
        <w:jc w:val="both"/>
      </w:pPr>
      <w:r>
        <w:rPr>
          <w:rFonts w:ascii="Barlow Semi Condensed" w:cs="Barlow Semi Condensed" w:eastAsia="Barlow Semi Condensed" w:hAnsi="Barlow Semi Condensed"/>
          <w:b/>
          <w:bCs/>
          <w:sz w:val="24"/>
          <w:szCs w:val="24"/>
        </w:rPr>
        <w:t xml:space="preserve">264 · L'errore della perizia tifosa.</w:t>
      </w:r>
      <w:r>
        <w:rPr>
          <w:rFonts w:ascii="Barlow Semi Condensed" w:cs="Barlow Semi Condensed" w:eastAsia="Barlow Semi Condensed" w:hAnsi="Barlow Semi Condensed"/>
          <w:sz w:val="24"/>
          <w:szCs w:val="24"/>
        </w:rPr>
        <w:t xml:space="preserve"> Consulenze di parte nate per confermare la tesi del committente. Antidoto: blocchi 73-74 — cieco e replica; e il conflitto d'interessi del blocco 27 anche per i tecnici.</w:t>
      </w:r>
    </w:p>
    <w:p>
      <w:pPr>
        <w:spacing w:after="120" w:line="276"/>
        <w:jc w:val="both"/>
      </w:pPr>
      <w:r>
        <w:rPr>
          <w:rFonts w:ascii="Barlow Semi Condensed" w:cs="Barlow Semi Condensed" w:eastAsia="Barlow Semi Condensed" w:hAnsi="Barlow Semi Condensed"/>
          <w:b/>
          <w:bCs/>
          <w:sz w:val="24"/>
          <w:szCs w:val="24"/>
        </w:rPr>
        <w:t xml:space="preserve">265 · L'errore dell'audizione-palcoscenico.</w:t>
      </w:r>
      <w:r>
        <w:rPr>
          <w:rFonts w:ascii="Barlow Semi Condensed" w:cs="Barlow Semi Condensed" w:eastAsia="Barlow Semi Condensed" w:hAnsi="Barlow Semi Condensed"/>
          <w:sz w:val="24"/>
          <w:szCs w:val="24"/>
        </w:rPr>
        <w:t xml:space="preserve"> Testimoni celebri auditi per la cronaca, non per il riscontro. Antidoto: ogni escussione discende da un quesito di matrice e produce riscontri documentali, o non si fa.</w:t>
      </w:r>
    </w:p>
    <w:p>
      <w:pPr>
        <w:spacing w:after="120" w:line="276"/>
        <w:jc w:val="both"/>
      </w:pPr>
      <w:r>
        <w:rPr>
          <w:rFonts w:ascii="Barlow Semi Condensed" w:cs="Barlow Semi Condensed" w:eastAsia="Barlow Semi Condensed" w:hAnsi="Barlow Semi Condensed"/>
          <w:b/>
          <w:bCs/>
          <w:sz w:val="24"/>
          <w:szCs w:val="24"/>
        </w:rPr>
        <w:t xml:space="preserve">266 · L'errore della fonte d'intelligence nuda.</w:t>
      </w:r>
      <w:r>
        <w:rPr>
          <w:rFonts w:ascii="Barlow Semi Condensed" w:cs="Barlow Semi Condensed" w:eastAsia="Barlow Semi Condensed" w:hAnsi="Barlow Semi Condensed"/>
          <w:sz w:val="24"/>
          <w:szCs w:val="24"/>
        </w:rPr>
        <w:t xml:space="preserve"> Note dei servizi — italiani o esteri — usate come fatti. Antidoto: la nota d'intelligence è una segnalazione con protocollo: entra nel flusso, si riscontra, si grada; non testimonia.</w:t>
      </w:r>
    </w:p>
    <w:p>
      <w:pPr>
        <w:spacing w:after="120" w:line="276"/>
        <w:jc w:val="both"/>
      </w:pPr>
      <w:r>
        <w:rPr>
          <w:rFonts w:ascii="Barlow Semi Condensed" w:cs="Barlow Semi Condensed" w:eastAsia="Barlow Semi Condensed" w:hAnsi="Barlow Semi Condensed"/>
          <w:b/>
          <w:bCs/>
          <w:sz w:val="24"/>
          <w:szCs w:val="24"/>
        </w:rPr>
        <w:t xml:space="preserve">267 · L'errore del documento citato e mai visto.</w:t>
      </w:r>
      <w:r>
        <w:rPr>
          <w:rFonts w:ascii="Barlow Semi Condensed" w:cs="Barlow Semi Condensed" w:eastAsia="Barlow Semi Condensed" w:hAnsi="Barlow Semi Condensed"/>
          <w:sz w:val="24"/>
          <w:szCs w:val="24"/>
        </w:rPr>
        <w:t xml:space="preserve"> Mezzo secolo di «risulterebbe da un appunto» senza segnatura. Antidoto: blocco 131 — o la segnatura, o la scheda «citato e non reperito»; il documento senza indirizzo non entra negli atti.</w:t>
      </w:r>
    </w:p>
    <w:p>
      <w:pPr>
        <w:spacing w:after="120" w:line="276"/>
        <w:jc w:val="both"/>
      </w:pPr>
      <w:r>
        <w:rPr>
          <w:rFonts w:ascii="Barlow Semi Condensed" w:cs="Barlow Semi Condensed" w:eastAsia="Barlow Semi Condensed" w:hAnsi="Barlow Semi Condensed"/>
          <w:b/>
          <w:bCs/>
          <w:sz w:val="24"/>
          <w:szCs w:val="24"/>
        </w:rPr>
        <w:t xml:space="preserve">268 · L'errore dell'annuncio.</w:t>
      </w:r>
      <w:r>
        <w:rPr>
          <w:rFonts w:ascii="Barlow Semi Condensed" w:cs="Barlow Semi Condensed" w:eastAsia="Barlow Semi Condensed" w:hAnsi="Barlow Semi Condensed"/>
          <w:sz w:val="24"/>
          <w:szCs w:val="24"/>
        </w:rPr>
        <w:t xml:space="preserve"> Le svolte annunciate in conferenza stampa e mai depositate. Antidoto: blocco 38 — prima il deposito, poi la parola; il grado stampato accanto a ogni annuncio.</w:t>
      </w:r>
    </w:p>
    <w:p>
      <w:pPr>
        <w:spacing w:after="120" w:line="276"/>
        <w:jc w:val="both"/>
      </w:pPr>
      <w:r>
        <w:rPr>
          <w:rFonts w:ascii="Barlow Semi Condensed" w:cs="Barlow Semi Condensed" w:eastAsia="Barlow Semi Condensed" w:hAnsi="Barlow Semi Condensed"/>
          <w:b/>
          <w:bCs/>
          <w:sz w:val="24"/>
          <w:szCs w:val="24"/>
        </w:rPr>
        <w:t xml:space="preserve">269 · L'errore della domanda sbagliata.</w:t>
      </w:r>
      <w:r>
        <w:rPr>
          <w:rFonts w:ascii="Barlow Semi Condensed" w:cs="Barlow Semi Condensed" w:eastAsia="Barlow Semi Condensed" w:hAnsi="Barlow Semi Condensed"/>
          <w:sz w:val="24"/>
          <w:szCs w:val="24"/>
        </w:rPr>
        <w:t xml:space="preserve"> «Chi c'era dietro?» come prima domanda, invece di «che cosa è documentato?». Antidoto: la sequenza obbligata del manuale — reperto, carta, matrice, e solo alla fine, se gli atti ve la portano, la persona.</w:t>
      </w:r>
    </w:p>
    <w:p>
      <w:pPr>
        <w:spacing w:after="120" w:line="276"/>
        <w:jc w:val="both"/>
      </w:pPr>
      <w:r>
        <w:rPr>
          <w:rFonts w:ascii="Barlow Semi Condensed" w:cs="Barlow Semi Condensed" w:eastAsia="Barlow Semi Condensed" w:hAnsi="Barlow Semi Condensed"/>
          <w:b/>
          <w:bCs/>
          <w:sz w:val="24"/>
          <w:szCs w:val="24"/>
        </w:rPr>
        <w:t xml:space="preserve">270 · L'errore del monopolio.</w:t>
      </w:r>
      <w:r>
        <w:rPr>
          <w:rFonts w:ascii="Barlow Semi Condensed" w:cs="Barlow Semi Condensed" w:eastAsia="Barlow Semi Condensed" w:hAnsi="Barlow Semi Condensed"/>
          <w:sz w:val="24"/>
          <w:szCs w:val="24"/>
        </w:rPr>
        <w:t xml:space="preserve"> Fondi e reperti trattati come feudo di un ufficio, di una commissione, di uno studioso. Antidoto: blocchi 28 e 130 — tracciabilità e accesso uguale; il caso non ha proprietari.</w:t>
      </w:r>
    </w:p>
    <w:p>
      <w:pPr>
        <w:spacing w:after="120" w:line="276"/>
        <w:jc w:val="both"/>
      </w:pPr>
      <w:r>
        <w:rPr>
          <w:rFonts w:ascii="Barlow Semi Condensed" w:cs="Barlow Semi Condensed" w:eastAsia="Barlow Semi Condensed" w:hAnsi="Barlow Semi Condensed"/>
          <w:b/>
          <w:bCs/>
          <w:sz w:val="24"/>
          <w:szCs w:val="24"/>
        </w:rPr>
        <w:t xml:space="preserve">271 · L'errore della fretta commemorativa.</w:t>
      </w:r>
      <w:r>
        <w:rPr>
          <w:rFonts w:ascii="Barlow Semi Condensed" w:cs="Barlow Semi Condensed" w:eastAsia="Barlow Semi Condensed" w:hAnsi="Barlow Semi Condensed"/>
          <w:sz w:val="24"/>
          <w:szCs w:val="24"/>
        </w:rPr>
        <w:t xml:space="preserve"> Le scadenze decennali che dettano il calendario istruttorio. Antidoto: il cronoprogramma della serie decima obbedisce alle urgenze biologiche e tecniche, mai agli anniversari.</w:t>
      </w:r>
    </w:p>
    <w:p>
      <w:pPr>
        <w:spacing w:after="120" w:line="276"/>
        <w:jc w:val="both"/>
      </w:pPr>
      <w:r>
        <w:rPr>
          <w:rFonts w:ascii="Barlow Semi Condensed" w:cs="Barlow Semi Condensed" w:eastAsia="Barlow Semi Condensed" w:hAnsi="Barlow Semi Condensed"/>
          <w:b/>
          <w:bCs/>
          <w:sz w:val="24"/>
          <w:szCs w:val="24"/>
        </w:rPr>
        <w:t xml:space="preserve">272 · L'errore dell'oblio selettivo.</w:t>
      </w:r>
      <w:r>
        <w:rPr>
          <w:rFonts w:ascii="Barlow Semi Condensed" w:cs="Barlow Semi Condensed" w:eastAsia="Barlow Semi Condensed" w:hAnsi="Barlow Semi Condensed"/>
          <w:sz w:val="24"/>
          <w:szCs w:val="24"/>
        </w:rPr>
        <w:t xml:space="preserve"> Le sei vittime della scorta ridotte a comparse del dramma politico. Antidoto: blocco 19 — ogni relazione dei cantieri apre coi loro nomi; la memoria è un capitolo degli atti, non una cerimonia.</w:t>
      </w:r>
    </w:p>
    <w:p>
      <w:pPr>
        <w:spacing w:after="120" w:line="276"/>
        <w:jc w:val="both"/>
      </w:pPr>
      <w:r>
        <w:rPr>
          <w:rFonts w:ascii="Barlow Semi Condensed" w:cs="Barlow Semi Condensed" w:eastAsia="Barlow Semi Condensed" w:hAnsi="Barlow Semi Condensed"/>
          <w:b/>
          <w:bCs/>
          <w:sz w:val="24"/>
          <w:szCs w:val="24"/>
        </w:rPr>
        <w:t xml:space="preserve">273 · L'errore del perimetro infinito.</w:t>
      </w:r>
      <w:r>
        <w:rPr>
          <w:rFonts w:ascii="Barlow Semi Condensed" w:cs="Barlow Semi Condensed" w:eastAsia="Barlow Semi Condensed" w:hAnsi="Barlow Semi Condensed"/>
          <w:sz w:val="24"/>
          <w:szCs w:val="24"/>
        </w:rPr>
        <w:t xml:space="preserve"> Il caso allargato fino a contenere ogni mistero d'Italia, e perciò insolubile. Antidoto: il perimetro del manuale — i quesiti della serie sesta e solo quelli; ogni allargamento esige una matrice nuova con evidenza discriminante possibile.</w:t>
      </w:r>
    </w:p>
    <w:p>
      <w:pPr>
        <w:spacing w:after="120" w:line="276"/>
        <w:jc w:val="both"/>
      </w:pPr>
      <w:r>
        <w:rPr>
          <w:rFonts w:ascii="Barlow Semi Condensed" w:cs="Barlow Semi Condensed" w:eastAsia="Barlow Semi Condensed" w:hAnsi="Barlow Semi Condensed"/>
          <w:b/>
          <w:bCs/>
          <w:sz w:val="24"/>
          <w:szCs w:val="24"/>
        </w:rPr>
        <w:t xml:space="preserve">274 · L'errore dell'archivio postumo.</w:t>
      </w:r>
      <w:r>
        <w:rPr>
          <w:rFonts w:ascii="Barlow Semi Condensed" w:cs="Barlow Semi Condensed" w:eastAsia="Barlow Semi Condensed" w:hAnsi="Barlow Semi Condensed"/>
          <w:sz w:val="24"/>
          <w:szCs w:val="24"/>
        </w:rPr>
        <w:t xml:space="preserve"> Le carte cercate quando i loro custodi naturali sono scomparsi. Antidoto: la serie quinta eseguita per prima; la tavola delle urgenze del blocco 169 come unico calendario inderogabile.</w:t>
      </w:r>
    </w:p>
    <w:p>
      <w:pPr>
        <w:spacing w:after="120" w:line="276"/>
        <w:jc w:val="both"/>
      </w:pPr>
      <w:r>
        <w:rPr>
          <w:rFonts w:ascii="Barlow Semi Condensed" w:cs="Barlow Semi Condensed" w:eastAsia="Barlow Semi Condensed" w:hAnsi="Barlow Semi Condensed"/>
          <w:b/>
          <w:bCs/>
          <w:sz w:val="24"/>
          <w:szCs w:val="24"/>
        </w:rPr>
        <w:t xml:space="preserve">275 · L'errore della tecnica-miracolo.</w:t>
      </w:r>
      <w:r>
        <w:rPr>
          <w:rFonts w:ascii="Barlow Semi Condensed" w:cs="Barlow Semi Condensed" w:eastAsia="Barlow Semi Condensed" w:hAnsi="Barlow Semi Condensed"/>
          <w:sz w:val="24"/>
          <w:szCs w:val="24"/>
        </w:rPr>
        <w:t xml:space="preserve"> Ogni nuova tecnologia annunciata come risolutiva del caso. Antidoto: blocco 49 — il quesito prima della tecnica; la tecnica senza matrice produce risultati senza domanda.</w:t>
      </w:r>
    </w:p>
    <w:p>
      <w:pPr>
        <w:spacing w:after="120" w:line="276"/>
        <w:jc w:val="both"/>
      </w:pPr>
      <w:r>
        <w:rPr>
          <w:rFonts w:ascii="Barlow Semi Condensed" w:cs="Barlow Semi Condensed" w:eastAsia="Barlow Semi Condensed" w:hAnsi="Barlow Semi Condensed"/>
          <w:b/>
          <w:bCs/>
          <w:sz w:val="24"/>
          <w:szCs w:val="24"/>
        </w:rPr>
        <w:t xml:space="preserve">276 · L'errore del silenzio sugli esiti negativi.</w:t>
      </w:r>
      <w:r>
        <w:rPr>
          <w:rFonts w:ascii="Barlow Semi Condensed" w:cs="Barlow Semi Condensed" w:eastAsia="Barlow Semi Condensed" w:hAnsi="Barlow Semi Condensed"/>
          <w:sz w:val="24"/>
          <w:szCs w:val="24"/>
        </w:rPr>
        <w:t xml:space="preserve"> Le comparazioni senza riscontro mai comunicate, che lasciano vivere leggende smentite. Antidoto: blocco 13 — l'esito negativo si pubblica con la stessa evidenza del positivo.</w:t>
      </w:r>
    </w:p>
    <w:p>
      <w:pPr>
        <w:spacing w:after="120" w:line="276"/>
        <w:jc w:val="both"/>
      </w:pPr>
      <w:r>
        <w:rPr>
          <w:rFonts w:ascii="Barlow Semi Condensed" w:cs="Barlow Semi Condensed" w:eastAsia="Barlow Semi Condensed" w:hAnsi="Barlow Semi Condensed"/>
          <w:b/>
          <w:bCs/>
          <w:sz w:val="24"/>
          <w:szCs w:val="24"/>
        </w:rPr>
        <w:t xml:space="preserve">277 · L'errore della doppia verità.</w:t>
      </w:r>
      <w:r>
        <w:rPr>
          <w:rFonts w:ascii="Barlow Semi Condensed" w:cs="Barlow Semi Condensed" w:eastAsia="Barlow Semi Condensed" w:hAnsi="Barlow Semi Condensed"/>
          <w:sz w:val="24"/>
          <w:szCs w:val="24"/>
        </w:rPr>
        <w:t xml:space="preserve"> Una verità per gli atti e una per le interviste. Antidoto: chi opera nei cantieri parla in pubblico solo nei limiti di ciò che ha depositato; la difformità esclude (blocco 167).</w:t>
      </w:r>
    </w:p>
    <w:p>
      <w:pPr>
        <w:spacing w:after="120" w:line="276"/>
        <w:jc w:val="both"/>
      </w:pPr>
      <w:r>
        <w:rPr>
          <w:rFonts w:ascii="Barlow Semi Condensed" w:cs="Barlow Semi Condensed" w:eastAsia="Barlow Semi Condensed" w:hAnsi="Barlow Semi Condensed"/>
          <w:b/>
          <w:bCs/>
          <w:sz w:val="24"/>
          <w:szCs w:val="24"/>
        </w:rPr>
        <w:t xml:space="preserve">278 · L'errore dell'eccezione di metodo.</w:t>
      </w:r>
      <w:r>
        <w:rPr>
          <w:rFonts w:ascii="Barlow Semi Condensed" w:cs="Barlow Semi Condensed" w:eastAsia="Barlow Semi Condensed" w:hAnsi="Barlow Semi Condensed"/>
          <w:sz w:val="24"/>
          <w:szCs w:val="24"/>
        </w:rPr>
        <w:t xml:space="preserve"> «Questo caso è speciale, qui le regole ordinarie non bastano»: la porta da cui è passato ogni abuso. Antidoto: il caso è speciale </w:t>
      </w:r>
      <w:r>
        <w:rPr>
          <w:rFonts w:ascii="Barlow Semi Condensed" w:cs="Barlow Semi Condensed" w:eastAsia="Barlow Semi Condensed" w:hAnsi="Barlow Semi Condensed"/>
          <w:i/>
          <w:iCs/>
          <w:sz w:val="24"/>
          <w:szCs w:val="24"/>
        </w:rPr>
        <w:t xml:space="preserve">perché</w:t>
      </w:r>
      <w:r>
        <w:rPr>
          <w:rFonts w:ascii="Barlow Semi Condensed" w:cs="Barlow Semi Condensed" w:eastAsia="Barlow Semi Condensed" w:hAnsi="Barlow Semi Condensed"/>
          <w:sz w:val="24"/>
          <w:szCs w:val="24"/>
        </w:rPr>
        <w:t xml:space="preserve"> esige le regole ordinarie applicate integralmente — è la lezione del filo del 1926, e non ammette deroghe.</w:t>
      </w:r>
    </w:p>
    <w:p>
      <w:pPr>
        <w:spacing w:after="120" w:line="276"/>
        <w:jc w:val="both"/>
      </w:pPr>
      <w:r>
        <w:rPr>
          <w:rFonts w:ascii="Barlow Semi Condensed" w:cs="Barlow Semi Condensed" w:eastAsia="Barlow Semi Condensed" w:hAnsi="Barlow Semi Condensed"/>
          <w:b/>
          <w:bCs/>
          <w:sz w:val="24"/>
          <w:szCs w:val="24"/>
        </w:rPr>
        <w:t xml:space="preserve">279 · L'errore di corpus.</w:t>
      </w:r>
      <w:r>
        <w:rPr>
          <w:rFonts w:ascii="Barlow Semi Condensed" w:cs="Barlow Semi Condensed" w:eastAsia="Barlow Semi Condensed" w:hAnsi="Barlow Semi Condensed"/>
          <w:sz w:val="24"/>
          <w:szCs w:val="24"/>
        </w:rPr>
        <w:t xml:space="preserve"> Anche questo lavoro sbaglia: la Nota di revisione n. 1 lo prova. Antidoto: il metodo si applica prima di tutto a se stessi — revisioni annotate, mai riscritture silenziose, e un registro pubblico delle correzioni.</w:t>
      </w:r>
    </w:p>
    <w:p>
      <w:pPr>
        <w:spacing w:after="120" w:line="276"/>
        <w:jc w:val="both"/>
      </w:pPr>
      <w:r>
        <w:rPr>
          <w:rFonts w:ascii="Barlow Semi Condensed" w:cs="Barlow Semi Condensed" w:eastAsia="Barlow Semi Condensed" w:hAnsi="Barlow Semi Condensed"/>
          <w:b/>
          <w:bCs/>
          <w:sz w:val="24"/>
          <w:szCs w:val="24"/>
        </w:rPr>
        <w:t xml:space="preserve">280 · Il catalogo aperto.</w:t>
      </w:r>
      <w:r>
        <w:rPr>
          <w:rFonts w:ascii="Barlow Semi Condensed" w:cs="Barlow Semi Condensed" w:eastAsia="Barlow Semi Condensed" w:hAnsi="Barlow Semi Condensed"/>
          <w:sz w:val="24"/>
          <w:szCs w:val="24"/>
        </w:rPr>
        <w:t xml:space="preserve"> La serie nona non si chiude: ogni errore nuovo commesso dal nuovo caso vi si aggiunge con numero e antidoto. Un'indagine che non tiene il registro dei propri sbagli li ripete.</w:t>
      </w:r>
    </w:p>
    <w:p>
      <w:pPr>
        <w:pStyle w:val="Heading2"/>
        <w:spacing w:after="100" w:before="200"/>
      </w:pPr>
      <w:r>
        <w:rPr>
          <w:rFonts w:ascii="Barlow Semi Condensed" w:cs="Barlow Semi Condensed" w:eastAsia="Barlow Semi Condensed" w:hAnsi="Barlow Semi Condensed"/>
          <w:sz w:val="24"/>
          <w:szCs w:val="24"/>
        </w:rPr>
        <w:t xml:space="preserve">Serie decima — Il cronoprogramma e la chiusura (blocchi 281-300)</w:t>
      </w:r>
    </w:p>
    <w:p>
      <w:pPr>
        <w:spacing w:after="120" w:line="276"/>
        <w:jc w:val="both"/>
      </w:pPr>
      <w:r>
        <w:rPr>
          <w:rFonts w:ascii="Barlow Semi Condensed" w:cs="Barlow Semi Condensed" w:eastAsia="Barlow Semi Condensed" w:hAnsi="Barlow Semi Condensed"/>
          <w:i/>
          <w:iCs/>
          <w:sz w:val="24"/>
          <w:szCs w:val="24"/>
        </w:rPr>
        <w:t xml:space="preserve">Statuto della serie: l'ordine di esecuzione. Le priorità, le dipendenze, le condizioni d'arresto e la forma della fine — perché anche una guerra senza fine ha atti che finiscono.</w:t>
      </w:r>
    </w:p>
    <w:p>
      <w:pPr>
        <w:spacing w:after="120" w:line="276"/>
        <w:jc w:val="both"/>
      </w:pPr>
      <w:r>
        <w:rPr>
          <w:rFonts w:ascii="Barlow Semi Condensed" w:cs="Barlow Semi Condensed" w:eastAsia="Barlow Semi Condensed" w:hAnsi="Barlow Semi Condensed"/>
          <w:b/>
          <w:bCs/>
          <w:sz w:val="24"/>
          <w:szCs w:val="24"/>
        </w:rPr>
        <w:t xml:space="preserve">281 · I primi novanta giorni.</w:t>
      </w:r>
      <w:r>
        <w:rPr>
          <w:rFonts w:ascii="Barlow Semi Condensed" w:cs="Barlow Semi Condensed" w:eastAsia="Barlow Semi Condensed" w:hAnsi="Barlow Semi Condensed"/>
          <w:sz w:val="24"/>
          <w:szCs w:val="24"/>
        </w:rPr>
        <w:t xml:space="preserve"> Quattro atti simultanei: l'inventario generale dei reperti (46), la tavola delle urgenze testimoniali con le prime escussioni (141, 169), il caricatore (57-58), l'istanza sul fascicolo FOIA identificato (117). Tutti eseguibili, nessuno dipendente da altri.</w:t>
      </w:r>
    </w:p>
    <w:p>
      <w:pPr>
        <w:spacing w:after="120" w:line="276"/>
        <w:jc w:val="both"/>
      </w:pPr>
      <w:r>
        <w:rPr>
          <w:rFonts w:ascii="Barlow Semi Condensed" w:cs="Barlow Semi Condensed" w:eastAsia="Barlow Semi Condensed" w:hAnsi="Barlow Semi Condensed"/>
          <w:b/>
          <w:bCs/>
          <w:sz w:val="24"/>
          <w:szCs w:val="24"/>
        </w:rPr>
        <w:t xml:space="preserve">282 · Il primo anno.</w:t>
      </w:r>
      <w:r>
        <w:rPr>
          <w:rFonts w:ascii="Barlow Semi Condensed" w:cs="Barlow Semi Condensed" w:eastAsia="Barlow Semi Condensed" w:hAnsi="Barlow Semi Condensed"/>
          <w:sz w:val="24"/>
          <w:szCs w:val="24"/>
        </w:rPr>
        <w:t xml:space="preserve"> La perizia balistica di sintesi (51-56), la catena documentale di Gradoli (100-103), il dossier Montalcini (104), le visure del condominio (108-109), l'avvio formale dello spoglio del fondo Renzi (92) e del registro delle segnalazioni sui tre calibri (217).</w:t>
      </w:r>
    </w:p>
    <w:p>
      <w:pPr>
        <w:spacing w:after="120" w:line="276"/>
        <w:jc w:val="both"/>
      </w:pPr>
      <w:r>
        <w:rPr>
          <w:rFonts w:ascii="Barlow Semi Condensed" w:cs="Barlow Semi Condensed" w:eastAsia="Barlow Semi Condensed" w:hAnsi="Barlow Semi Condensed"/>
          <w:b/>
          <w:bCs/>
          <w:sz w:val="24"/>
          <w:szCs w:val="24"/>
        </w:rPr>
        <w:t xml:space="preserve">283 · Il triennio.</w:t>
      </w:r>
      <w:r>
        <w:rPr>
          <w:rFonts w:ascii="Barlow Semi Condensed" w:cs="Barlow Semi Condensed" w:eastAsia="Barlow Semi Condensed" w:hAnsi="Barlow Semi Condensed"/>
          <w:sz w:val="24"/>
          <w:szCs w:val="24"/>
        </w:rPr>
        <w:t xml:space="preserve"> Il registro delle segnalazioni a regime (211-235), la tavola nominale dei comitati con date (105-106), la tavola rilasciato/trattenuto del traffico alleato (115-118), la filologia integrale del memoriale (67-68), il fondo dei cappellani (111).</w:t>
      </w:r>
    </w:p>
    <w:p>
      <w:pPr>
        <w:spacing w:after="120" w:line="276"/>
        <w:jc w:val="both"/>
      </w:pPr>
      <w:r>
        <w:rPr>
          <w:rFonts w:ascii="Barlow Semi Condensed" w:cs="Barlow Semi Condensed" w:eastAsia="Barlow Semi Condensed" w:hAnsi="Barlow Semi Condensed"/>
          <w:b/>
          <w:bCs/>
          <w:sz w:val="24"/>
          <w:szCs w:val="24"/>
        </w:rPr>
        <w:t xml:space="preserve">284 · Il tempo condizionato.</w:t>
      </w:r>
      <w:r>
        <w:rPr>
          <w:rFonts w:ascii="Barlow Semi Condensed" w:cs="Barlow Semi Condensed" w:eastAsia="Barlow Semi Condensed" w:hAnsi="Barlow Semi Condensed"/>
          <w:sz w:val="24"/>
          <w:szCs w:val="24"/>
        </w:rPr>
        <w:t xml:space="preserve"> Gli atti a scadenza altrui: l'apertura dell'AAV per Paolo VI (112-113), i mutamenti di quadro negli Stati ospiti (240), le tecniche future registrate (76). Si tengono pronti, non si aspettano in ozio.</w:t>
      </w:r>
    </w:p>
    <w:p>
      <w:pPr>
        <w:spacing w:after="120" w:line="276"/>
        <w:jc w:val="both"/>
      </w:pPr>
      <w:r>
        <w:rPr>
          <w:rFonts w:ascii="Barlow Semi Condensed" w:cs="Barlow Semi Condensed" w:eastAsia="Barlow Semi Condensed" w:hAnsi="Barlow Semi Condensed"/>
          <w:b/>
          <w:bCs/>
          <w:sz w:val="24"/>
          <w:szCs w:val="24"/>
        </w:rPr>
        <w:t xml:space="preserve">285 · Le dipendenze.</w:t>
      </w:r>
      <w:r>
        <w:rPr>
          <w:rFonts w:ascii="Barlow Semi Condensed" w:cs="Barlow Semi Condensed" w:eastAsia="Barlow Semi Condensed" w:hAnsi="Barlow Semi Condensed"/>
          <w:sz w:val="24"/>
          <w:szCs w:val="24"/>
        </w:rPr>
        <w:t xml:space="preserve"> Nessuna perizia prima dell'inventario; nessuna lettura del condominio prima delle date; nessun giudizio sul flusso prima del registro; nessuna matrice dichiarata decisa prima della sua evidenza. Il diagramma delle dipendenze è parte degli atti.</w:t>
      </w:r>
    </w:p>
    <w:p>
      <w:pPr>
        <w:spacing w:after="120" w:line="276"/>
        <w:jc w:val="both"/>
      </w:pPr>
      <w:r>
        <w:rPr>
          <w:rFonts w:ascii="Barlow Semi Condensed" w:cs="Barlow Semi Condensed" w:eastAsia="Barlow Semi Condensed" w:hAnsi="Barlow Semi Condensed"/>
          <w:b/>
          <w:bCs/>
          <w:sz w:val="24"/>
          <w:szCs w:val="24"/>
        </w:rPr>
        <w:t xml:space="preserve">286 · Le condizioni d'arresto.</w:t>
      </w:r>
      <w:r>
        <w:rPr>
          <w:rFonts w:ascii="Barlow Semi Condensed" w:cs="Barlow Semi Condensed" w:eastAsia="Barlow Semi Condensed" w:hAnsi="Barlow Semi Condensed"/>
          <w:sz w:val="24"/>
          <w:szCs w:val="24"/>
        </w:rPr>
        <w:t xml:space="preserve"> Ogni pista si ferma quando: l'evidenza discriminante è acquisita; o il fondo è esaurito con certificazione; o la catena di custodia non regge e lo si dichiara. Fermarsi bene è un atto, non una resa.</w:t>
      </w:r>
    </w:p>
    <w:p>
      <w:pPr>
        <w:spacing w:after="120" w:line="276"/>
        <w:jc w:val="both"/>
      </w:pPr>
      <w:r>
        <w:rPr>
          <w:rFonts w:ascii="Barlow Semi Condensed" w:cs="Barlow Semi Condensed" w:eastAsia="Barlow Semi Condensed" w:hAnsi="Barlow Semi Condensed"/>
          <w:b/>
          <w:bCs/>
          <w:sz w:val="24"/>
          <w:szCs w:val="24"/>
        </w:rPr>
        <w:t xml:space="preserve">287 · La revisione dei punteggi.</w:t>
      </w:r>
      <w:r>
        <w:rPr>
          <w:rFonts w:ascii="Barlow Semi Condensed" w:cs="Barlow Semi Condensed" w:eastAsia="Barlow Semi Condensed" w:hAnsi="Barlow Semi Condensed"/>
          <w:sz w:val="24"/>
          <w:szCs w:val="24"/>
        </w:rPr>
        <w:t xml:space="preserve"> La graduatoria delle piste si ricalcola a ogni trimestre con gli esiti acquisiti: il modello dichiarato (criteri e pesi) resta pubblico, e ogni variazione è motivata per iscritto.</w:t>
      </w:r>
    </w:p>
    <w:p>
      <w:pPr>
        <w:spacing w:after="120" w:line="276"/>
        <w:jc w:val="both"/>
      </w:pPr>
      <w:r>
        <w:rPr>
          <w:rFonts w:ascii="Barlow Semi Condensed" w:cs="Barlow Semi Condensed" w:eastAsia="Barlow Semi Condensed" w:hAnsi="Barlow Semi Condensed"/>
          <w:b/>
          <w:bCs/>
          <w:sz w:val="24"/>
          <w:szCs w:val="24"/>
        </w:rPr>
        <w:t xml:space="preserve">288 · Il registro delle correzioni.</w:t>
      </w:r>
      <w:r>
        <w:rPr>
          <w:rFonts w:ascii="Barlow Semi Condensed" w:cs="Barlow Semi Condensed" w:eastAsia="Barlow Semi Condensed" w:hAnsi="Barlow Semi Condensed"/>
          <w:sz w:val="24"/>
          <w:szCs w:val="24"/>
        </w:rPr>
        <w:t xml:space="preserve"> Le note di revisione — del corpus e del nuovo caso — si numerano e si pubblicano: la storia degli errori corretti è la credenziale del metodo, non la sua vergogna.</w:t>
      </w:r>
    </w:p>
    <w:p>
      <w:pPr>
        <w:spacing w:after="120" w:line="276"/>
        <w:jc w:val="both"/>
      </w:pPr>
      <w:r>
        <w:rPr>
          <w:rFonts w:ascii="Barlow Semi Condensed" w:cs="Barlow Semi Condensed" w:eastAsia="Barlow Semi Condensed" w:hAnsi="Barlow Semi Condensed"/>
          <w:b/>
          <w:bCs/>
          <w:sz w:val="24"/>
          <w:szCs w:val="24"/>
        </w:rPr>
        <w:t xml:space="preserve">289 · La relazione annuale unificata.</w:t>
      </w:r>
      <w:r>
        <w:rPr>
          <w:rFonts w:ascii="Barlow Semi Condensed" w:cs="Barlow Semi Condensed" w:eastAsia="Barlow Semi Condensed" w:hAnsi="Barlow Semi Condensed"/>
          <w:sz w:val="24"/>
          <w:szCs w:val="24"/>
        </w:rPr>
        <w:t xml:space="preserve"> I tre cantieri consegnano una relazione unica: atti compiuti, esiti per grado, negativi inclusi, spese, urgenze perse, matrici mosse. Una sola contabilità, pubblica.</w:t>
      </w:r>
    </w:p>
    <w:p>
      <w:pPr>
        <w:spacing w:after="120" w:line="276"/>
        <w:jc w:val="both"/>
      </w:pPr>
      <w:r>
        <w:rPr>
          <w:rFonts w:ascii="Barlow Semi Condensed" w:cs="Barlow Semi Condensed" w:eastAsia="Barlow Semi Condensed" w:hAnsi="Barlow Semi Condensed"/>
          <w:b/>
          <w:bCs/>
          <w:sz w:val="24"/>
          <w:szCs w:val="24"/>
        </w:rPr>
        <w:t xml:space="preserve">290 · Il passaggio di consegne.</w:t>
      </w:r>
      <w:r>
        <w:rPr>
          <w:rFonts w:ascii="Barlow Semi Condensed" w:cs="Barlow Semi Condensed" w:eastAsia="Barlow Semi Condensed" w:hAnsi="Barlow Semi Condensed"/>
          <w:sz w:val="24"/>
          <w:szCs w:val="24"/>
        </w:rPr>
        <w:t xml:space="preserve"> Ogni avvicendamento nei cantieri avviene per fascicolo di consegna scritto: il nuovo caso non deve dipendere da nessuna memoria individuale — è la sua differenza strutturale dal vecchio.</w:t>
      </w:r>
    </w:p>
    <w:p>
      <w:pPr>
        <w:spacing w:after="120" w:line="276"/>
        <w:jc w:val="both"/>
      </w:pPr>
      <w:r>
        <w:rPr>
          <w:rFonts w:ascii="Barlow Semi Condensed" w:cs="Barlow Semi Condensed" w:eastAsia="Barlow Semi Condensed" w:hAnsi="Barlow Semi Condensed"/>
          <w:b/>
          <w:bCs/>
          <w:sz w:val="24"/>
          <w:szCs w:val="24"/>
        </w:rPr>
        <w:t xml:space="preserve">291 · La soglia giudiziaria.</w:t>
      </w:r>
      <w:r>
        <w:rPr>
          <w:rFonts w:ascii="Barlow Semi Condensed" w:cs="Barlow Semi Condensed" w:eastAsia="Barlow Semi Condensed" w:hAnsi="Barlow Semi Condensed"/>
          <w:sz w:val="24"/>
          <w:szCs w:val="24"/>
        </w:rPr>
        <w:t xml:space="preserve"> Se un atto produce evidenza che tocchi persone, tutto si ferma e passa al fascicolo: il manuale non processa — consegna. La soglia è scritta perché nessuno la scopra da solo nel momento sbagliato.</w:t>
      </w:r>
    </w:p>
    <w:p>
      <w:pPr>
        <w:spacing w:after="120" w:line="276"/>
        <w:jc w:val="both"/>
      </w:pPr>
      <w:r>
        <w:rPr>
          <w:rFonts w:ascii="Barlow Semi Condensed" w:cs="Barlow Semi Condensed" w:eastAsia="Barlow Semi Condensed" w:hAnsi="Barlow Semi Condensed"/>
          <w:b/>
          <w:bCs/>
          <w:sz w:val="24"/>
          <w:szCs w:val="24"/>
        </w:rPr>
        <w:t xml:space="preserve">292 · La soglia storica.</w:t>
      </w:r>
      <w:r>
        <w:rPr>
          <w:rFonts w:ascii="Barlow Semi Condensed" w:cs="Barlow Semi Condensed" w:eastAsia="Barlow Semi Condensed" w:hAnsi="Barlow Semi Condensed"/>
          <w:sz w:val="24"/>
          <w:szCs w:val="24"/>
        </w:rPr>
        <w:t xml:space="preserve"> Se un atto chiude una questione sul piano documentale senza rilievo penale, l'esito entra nel corpus con grado e fonti, e la pista si archivia con criterio di riapertura: la storia si scrive man mano, non alla fine.</w:t>
      </w:r>
    </w:p>
    <w:p>
      <w:pPr>
        <w:spacing w:after="120" w:line="276"/>
        <w:jc w:val="both"/>
      </w:pPr>
      <w:r>
        <w:rPr>
          <w:rFonts w:ascii="Barlow Semi Condensed" w:cs="Barlow Semi Condensed" w:eastAsia="Barlow Semi Condensed" w:hAnsi="Barlow Semi Condensed"/>
          <w:b/>
          <w:bCs/>
          <w:sz w:val="24"/>
          <w:szCs w:val="24"/>
        </w:rPr>
        <w:t xml:space="preserve">293 · L'aggiornamento del corpus.</w:t>
      </w:r>
      <w:r>
        <w:rPr>
          <w:rFonts w:ascii="Barlow Semi Condensed" w:cs="Barlow Semi Condensed" w:eastAsia="Barlow Semi Condensed" w:hAnsi="Barlow Semi Condensed"/>
          <w:sz w:val="24"/>
          <w:szCs w:val="24"/>
        </w:rPr>
        <w:t xml:space="preserve"> Ogni esito dei cantieri aggiorna i documenti del corpus con note datate: repertorio, registro, schede, matrici. Il corpus è il gemello documentale del nuovo caso, e invecchia solo se lo si abbandona.</w:t>
      </w:r>
    </w:p>
    <w:p>
      <w:pPr>
        <w:spacing w:after="120" w:line="276"/>
        <w:jc w:val="both"/>
      </w:pPr>
      <w:r>
        <w:rPr>
          <w:rFonts w:ascii="Barlow Semi Condensed" w:cs="Barlow Semi Condensed" w:eastAsia="Barlow Semi Condensed" w:hAnsi="Barlow Semi Condensed"/>
          <w:b/>
          <w:bCs/>
          <w:sz w:val="24"/>
          <w:szCs w:val="24"/>
        </w:rPr>
        <w:t xml:space="preserve">294 · La misura del successo.</w:t>
      </w:r>
      <w:r>
        <w:rPr>
          <w:rFonts w:ascii="Barlow Semi Condensed" w:cs="Barlow Semi Condensed" w:eastAsia="Barlow Semi Condensed" w:hAnsi="Barlow Semi Condensed"/>
          <w:sz w:val="24"/>
          <w:szCs w:val="24"/>
        </w:rPr>
        <w:t xml:space="preserve"> Il nuovo caso riesce se: le evidenze discriminanti mancanti diminuiscono; le colonne mancanti si riempiono; le leggende cadono per via documentale; e ogni pista chiusa lo è con un documento. Non è misurato in colpevoli: è misurato in carte.</w:t>
      </w:r>
    </w:p>
    <w:p>
      <w:pPr>
        <w:spacing w:after="120" w:line="276"/>
        <w:jc w:val="both"/>
      </w:pPr>
      <w:r>
        <w:rPr>
          <w:rFonts w:ascii="Barlow Semi Condensed" w:cs="Barlow Semi Condensed" w:eastAsia="Barlow Semi Condensed" w:hAnsi="Barlow Semi Condensed"/>
          <w:b/>
          <w:bCs/>
          <w:sz w:val="24"/>
          <w:szCs w:val="24"/>
        </w:rPr>
        <w:t xml:space="preserve">295 · La misura del fallimento.</w:t>
      </w:r>
      <w:r>
        <w:rPr>
          <w:rFonts w:ascii="Barlow Semi Condensed" w:cs="Barlow Semi Condensed" w:eastAsia="Barlow Semi Condensed" w:hAnsi="Barlow Semi Condensed"/>
          <w:sz w:val="24"/>
          <w:szCs w:val="24"/>
        </w:rPr>
        <w:t xml:space="preserve"> Il nuovo caso fallisce se produce annunci senza depositi, ipotesi senza matrici, nomi senza atti, o se perde un solo testimone per ritardo evitabile: il registro delle urgenze perse (170) è la sua coscienza scritta.</w:t>
      </w:r>
    </w:p>
    <w:p>
      <w:pPr>
        <w:spacing w:after="120" w:line="276"/>
        <w:jc w:val="both"/>
      </w:pPr>
      <w:r>
        <w:rPr>
          <w:rFonts w:ascii="Barlow Semi Condensed" w:cs="Barlow Semi Condensed" w:eastAsia="Barlow Semi Condensed" w:hAnsi="Barlow Semi Condensed"/>
          <w:b/>
          <w:bCs/>
          <w:sz w:val="24"/>
          <w:szCs w:val="24"/>
        </w:rPr>
        <w:t xml:space="preserve">296 · Il lascito metodologico.</w:t>
      </w:r>
      <w:r>
        <w:rPr>
          <w:rFonts w:ascii="Barlow Semi Condensed" w:cs="Barlow Semi Condensed" w:eastAsia="Barlow Semi Condensed" w:hAnsi="Barlow Semi Condensed"/>
          <w:sz w:val="24"/>
          <w:szCs w:val="24"/>
        </w:rPr>
        <w:t xml:space="preserve"> Schema-dati, protocolli, matrici e registri si consegnano come standard per ogni grande caso irrisolto della Repubblica: il caso Moro, che inaugurò gli errori, può inaugurare gli antidoti.</w:t>
      </w:r>
    </w:p>
    <w:p>
      <w:pPr>
        <w:spacing w:after="120" w:line="276"/>
        <w:jc w:val="both"/>
      </w:pPr>
      <w:r>
        <w:rPr>
          <w:rFonts w:ascii="Barlow Semi Condensed" w:cs="Barlow Semi Condensed" w:eastAsia="Barlow Semi Condensed" w:hAnsi="Barlow Semi Condensed"/>
          <w:b/>
          <w:bCs/>
          <w:sz w:val="24"/>
          <w:szCs w:val="24"/>
        </w:rPr>
        <w:t xml:space="preserve">297 · Il rapporto con la memoria pubblica.</w:t>
      </w:r>
      <w:r>
        <w:rPr>
          <w:rFonts w:ascii="Barlow Semi Condensed" w:cs="Barlow Semi Condensed" w:eastAsia="Barlow Semi Condensed" w:hAnsi="Barlow Semi Condensed"/>
          <w:sz w:val="24"/>
          <w:szCs w:val="24"/>
        </w:rPr>
        <w:t xml:space="preserve"> Ogni anniversario riceve dai cantieri una sola cosa: lo stato documentale del caso — che cosa si è chiuso, che cosa resta aperto, con che grado. La memoria si nutre di atti; il resto è liturgia, e non spetta a questo manuale.</w:t>
      </w:r>
    </w:p>
    <w:p>
      <w:pPr>
        <w:spacing w:after="120" w:line="276"/>
        <w:jc w:val="both"/>
      </w:pPr>
      <w:r>
        <w:rPr>
          <w:rFonts w:ascii="Barlow Semi Condensed" w:cs="Barlow Semi Condensed" w:eastAsia="Barlow Semi Condensed" w:hAnsi="Barlow Semi Condensed"/>
          <w:b/>
          <w:bCs/>
          <w:sz w:val="24"/>
          <w:szCs w:val="24"/>
        </w:rPr>
        <w:t xml:space="preserve">298 · Le sei vittime, ancora.</w:t>
      </w:r>
      <w:r>
        <w:rPr>
          <w:rFonts w:ascii="Barlow Semi Condensed" w:cs="Barlow Semi Condensed" w:eastAsia="Barlow Semi Condensed" w:hAnsi="Barlow Semi Condensed"/>
          <w:sz w:val="24"/>
          <w:szCs w:val="24"/>
        </w:rPr>
        <w:t xml:space="preserve"> Leonardi, Ricci, Rivera, Zizzi, Iozzino, Moro: il manuale si apre e si chiude con loro perché ogni blocco intermedio esiste per loro — perché ciò che accadde a loro sia scritto, fin dove le carte arrivano, senza inventare ciò che non arriva.</w:t>
      </w:r>
    </w:p>
    <w:p>
      <w:pPr>
        <w:spacing w:after="120" w:line="276"/>
        <w:jc w:val="both"/>
      </w:pPr>
      <w:r>
        <w:rPr>
          <w:rFonts w:ascii="Barlow Semi Condensed" w:cs="Barlow Semi Condensed" w:eastAsia="Barlow Semi Condensed" w:hAnsi="Barlow Semi Condensed"/>
          <w:b/>
          <w:bCs/>
          <w:sz w:val="24"/>
          <w:szCs w:val="24"/>
        </w:rPr>
        <w:t xml:space="preserve">299 · La guerra e la linea.</w:t>
      </w:r>
      <w:r>
        <w:rPr>
          <w:rFonts w:ascii="Barlow Semi Condensed" w:cs="Barlow Semi Condensed" w:eastAsia="Barlow Semi Condensed" w:hAnsi="Barlow Semi Condensed"/>
          <w:sz w:val="24"/>
          <w:szCs w:val="24"/>
        </w:rPr>
        <w:t xml:space="preserve"> La guerra senza fine continuerà: il sospetto è inesauribile per natura. Ma la linea fra il provato e il congetturale — tracciata, documentata, custodita e spostata solo con gli atti — è ciò che una Repubblica può opporre al proprio passato: non la fine della guerra, il governo di essa.</w:t>
      </w:r>
    </w:p>
    <w:p>
      <w:pPr>
        <w:spacing w:after="120" w:line="276"/>
        <w:jc w:val="both"/>
      </w:pPr>
      <w:r>
        <w:rPr>
          <w:rFonts w:ascii="Barlow Semi Condensed" w:cs="Barlow Semi Condensed" w:eastAsia="Barlow Semi Condensed" w:hAnsi="Barlow Semi Condensed"/>
          <w:b/>
          <w:bCs/>
          <w:sz w:val="24"/>
          <w:szCs w:val="24"/>
        </w:rPr>
        <w:t xml:space="preserve">300 · Il blocco finale.</w:t>
      </w:r>
      <w:r>
        <w:rPr>
          <w:rFonts w:ascii="Barlow Semi Condensed" w:cs="Barlow Semi Condensed" w:eastAsia="Barlow Semi Condensed" w:hAnsi="Barlow Semi Condensed"/>
          <w:sz w:val="24"/>
          <w:szCs w:val="24"/>
        </w:rPr>
        <w:t xml:space="preserve"> Questo manuale è esso stesso un atto del metodo che descrive: numerato, falsificabile, correggibile per nota, con trecento criteri di smentita distribuiti nei suoi blocchi. Chi vorrà smentirlo dovrà farlo come esso chiede — con un documento. È l'unico omaggio che un'indagine possa rendere alla verità: rendersi smentibile.</w:t>
      </w:r>
    </w:p>
    <w:p>
      <w:pPr>
        <w:spacing w:after="120" w:line="276"/>
        <w:jc w:val="both"/>
      </w:pPr>
      <w:r>
        <w:rPr>
          <w:rFonts w:ascii="Barlow Semi Condensed" w:cs="Barlow Semi Condensed" w:eastAsia="Barlow Semi Condensed" w:hAnsi="Barlow Semi Condensed"/>
          <w:i/>
          <w:iCs/>
          <w:sz w:val="24"/>
          <w:szCs w:val="24"/>
        </w:rPr>
        <w:t xml:space="preserve">Nota della seconda edizione. Il blocco 300 chiudeva la prima edizione ed è conservato tale e quale, per la regola che esso stesso detta: il manuale si corregge per nota, non per riscrittura. I criteri di smentita sono ora quattrocento; il congedo dell'edizione accresciuta è al blocco 400.</w:t>
      </w:r>
    </w:p>
    <w:p>
      <w:pPr>
        <w:pStyle w:val="Heading2"/>
        <w:spacing w:after="100" w:before="200"/>
      </w:pPr>
      <w:r>
        <w:rPr>
          <w:rFonts w:ascii="Barlow Semi Condensed" w:cs="Barlow Semi Condensed" w:eastAsia="Barlow Semi Condensed" w:hAnsi="Barlow Semi Condensed"/>
          <w:sz w:val="24"/>
          <w:szCs w:val="24"/>
        </w:rPr>
        <w:t xml:space="preserve">Serie undicesima — Il cantiere digitale (blocchi 301-330)</w:t>
      </w:r>
    </w:p>
    <w:p>
      <w:pPr>
        <w:spacing w:after="120" w:line="276"/>
        <w:jc w:val="both"/>
      </w:pPr>
      <w:r>
        <w:rPr>
          <w:rFonts w:ascii="Barlow Semi Condensed" w:cs="Barlow Semi Condensed" w:eastAsia="Barlow Semi Condensed" w:hAnsi="Barlow Semi Condensed"/>
          <w:i/>
          <w:iCs/>
          <w:sz w:val="24"/>
          <w:szCs w:val="24"/>
        </w:rPr>
        <w:t xml:space="preserve">Statuto della serie: la quarta infrastruttura. I tre cantieri poggiano su un'infrastruttura computazionale comune — banca dati, grafo, edizioni digitali — che questa serie progetta; e sull'uso degli strumenti automatici vale una regola sola: la macchina propone, l'uomo verbalizza.</w:t>
      </w:r>
    </w:p>
    <w:p>
      <w:pPr>
        <w:spacing w:after="120" w:line="276"/>
        <w:jc w:val="both"/>
      </w:pPr>
      <w:r>
        <w:rPr>
          <w:rFonts w:ascii="Barlow Semi Condensed" w:cs="Barlow Semi Condensed" w:eastAsia="Barlow Semi Condensed" w:hAnsi="Barlow Semi Condensed"/>
          <w:b/>
          <w:bCs/>
          <w:sz w:val="24"/>
          <w:szCs w:val="24"/>
        </w:rPr>
        <w:t xml:space="preserve">301 · La banca dati del caso.</w:t>
      </w:r>
      <w:r>
        <w:rPr>
          <w:rFonts w:ascii="Barlow Semi Condensed" w:cs="Barlow Semi Condensed" w:eastAsia="Barlow Semi Condensed" w:hAnsi="Barlow Semi Condensed"/>
          <w:sz w:val="24"/>
          <w:szCs w:val="24"/>
        </w:rPr>
        <w:t xml:space="preserve"> Un'unica base di dati relazionale per i tre cantieri: reperti, documenti, persone, luoghi, eventi, piste, matrici — ogni entità con identificativo stabile e ogni asserzione col suo grado e la sua fonte. Nessun foglio sparso: il caso ha un solo schedario.</w:t>
      </w:r>
    </w:p>
    <w:p>
      <w:pPr>
        <w:spacing w:after="120" w:line="276"/>
        <w:jc w:val="both"/>
      </w:pPr>
      <w:r>
        <w:rPr>
          <w:rFonts w:ascii="Barlow Semi Condensed" w:cs="Barlow Semi Condensed" w:eastAsia="Barlow Semi Condensed" w:hAnsi="Barlow Semi Condensed"/>
          <w:b/>
          <w:bCs/>
          <w:sz w:val="24"/>
          <w:szCs w:val="24"/>
        </w:rPr>
        <w:t xml:space="preserve">302 · Il grafo operativo.</w:t>
      </w:r>
      <w:r>
        <w:rPr>
          <w:rFonts w:ascii="Barlow Semi Condensed" w:cs="Barlow Semi Condensed" w:eastAsia="Barlow Semi Condensed" w:hAnsi="Barlow Semi Condensed"/>
          <w:sz w:val="24"/>
          <w:szCs w:val="24"/>
        </w:rPr>
        <w:t xml:space="preserve"> La rete documentata del corpus (nodi, archi con grado) diventa lo strato di navigazione della banca dati: ogni nuovo documento aggiunge o rafforza archi, e le metriche (centralità, cammini, buchi) si ricalcolano a ogni versamento — con la regola d'interpretazione stampata nell'interfaccia: misurano documenti, non colpe.</w:t>
      </w:r>
    </w:p>
    <w:p>
      <w:pPr>
        <w:spacing w:after="120" w:line="276"/>
        <w:jc w:val="both"/>
      </w:pPr>
      <w:r>
        <w:rPr>
          <w:rFonts w:ascii="Barlow Semi Condensed" w:cs="Barlow Semi Condensed" w:eastAsia="Barlow Semi Condensed" w:hAnsi="Barlow Semi Condensed"/>
          <w:b/>
          <w:bCs/>
          <w:sz w:val="24"/>
          <w:szCs w:val="24"/>
        </w:rPr>
        <w:t xml:space="preserve">303 · L'identificativo perpetuo.</w:t>
      </w:r>
      <w:r>
        <w:rPr>
          <w:rFonts w:ascii="Barlow Semi Condensed" w:cs="Barlow Semi Condensed" w:eastAsia="Barlow Semi Condensed" w:hAnsi="Barlow Semi Condensed"/>
          <w:sz w:val="24"/>
          <w:szCs w:val="24"/>
        </w:rPr>
        <w:t xml:space="preserve"> Ogni oggetto del caso — la busta d'archivio, il bossolo, la scheda, la deposizione — riceve un identificativo che non cambierà mai: le citazioni fra atti usano quello, e la tracciabilità sopravvive a ogni riorganizzazione.</w:t>
      </w:r>
    </w:p>
    <w:p>
      <w:pPr>
        <w:spacing w:after="120" w:line="276"/>
        <w:jc w:val="both"/>
      </w:pPr>
      <w:r>
        <w:rPr>
          <w:rFonts w:ascii="Barlow Semi Condensed" w:cs="Barlow Semi Condensed" w:eastAsia="Barlow Semi Condensed" w:hAnsi="Barlow Semi Condensed"/>
          <w:b/>
          <w:bCs/>
          <w:sz w:val="24"/>
          <w:szCs w:val="24"/>
        </w:rPr>
        <w:t xml:space="preserve">304 · La cronologia machine-readable.</w:t>
      </w:r>
      <w:r>
        <w:rPr>
          <w:rFonts w:ascii="Barlow Semi Condensed" w:cs="Barlow Semi Condensed" w:eastAsia="Barlow Semi Condensed" w:hAnsi="Barlow Semi Condensed"/>
          <w:sz w:val="24"/>
          <w:szCs w:val="24"/>
        </w:rPr>
        <w:t xml:space="preserve"> La cronologia integrale del caso — dal 16 marzo 1978 a oggi — in formato strutturato (data, ora dove nota, evento, fonte, grado): interrogabile, sovrapponibile, esportabile. Le cronologie in prosa si generano da questa, mai il contrario.</w:t>
      </w:r>
    </w:p>
    <w:p>
      <w:pPr>
        <w:spacing w:after="120" w:line="276"/>
        <w:jc w:val="both"/>
      </w:pPr>
      <w:r>
        <w:rPr>
          <w:rFonts w:ascii="Barlow Semi Condensed" w:cs="Barlow Semi Condensed" w:eastAsia="Barlow Semi Condensed" w:hAnsi="Barlow Semi Condensed"/>
          <w:b/>
          <w:bCs/>
          <w:sz w:val="24"/>
          <w:szCs w:val="24"/>
        </w:rPr>
        <w:t xml:space="preserve">305 · OCR e trascrizione assistita.</w:t>
      </w:r>
      <w:r>
        <w:rPr>
          <w:rFonts w:ascii="Barlow Semi Condensed" w:cs="Barlow Semi Condensed" w:eastAsia="Barlow Semi Condensed" w:hAnsi="Barlow Semi Condensed"/>
          <w:sz w:val="24"/>
          <w:szCs w:val="24"/>
        </w:rPr>
        <w:t xml:space="preserve"> I fondi digitalizzati passano per riconoscimento ottico e, per i manoscritti, per trascrizione assistita: ogni testo estratto porta il collegamento all'immagine della carta, e la trascrizione non certificata resta marcata come tale.</w:t>
      </w:r>
    </w:p>
    <w:p>
      <w:pPr>
        <w:spacing w:after="120" w:line="276"/>
        <w:jc w:val="both"/>
      </w:pPr>
      <w:r>
        <w:rPr>
          <w:rFonts w:ascii="Barlow Semi Condensed" w:cs="Barlow Semi Condensed" w:eastAsia="Barlow Semi Condensed" w:hAnsi="Barlow Semi Condensed"/>
          <w:b/>
          <w:bCs/>
          <w:sz w:val="24"/>
          <w:szCs w:val="24"/>
        </w:rPr>
        <w:t xml:space="preserve">306 · La lezione dell'OCR.</w:t>
      </w:r>
      <w:r>
        <w:rPr>
          <w:rFonts w:ascii="Barlow Semi Condensed" w:cs="Barlow Semi Condensed" w:eastAsia="Barlow Semi Condensed" w:hAnsi="Barlow Semi Condensed"/>
          <w:sz w:val="24"/>
          <w:szCs w:val="24"/>
        </w:rPr>
        <w:t xml:space="preserve"> Il caso R-2021-002xx/00208 insegna: le letture automatiche divergono, e la divergenza si dichiara nel dato, non si sceglie in silenzio. Ogni campo estratto automaticamente conserva la propria incertezza.</w:t>
      </w:r>
    </w:p>
    <w:p>
      <w:pPr>
        <w:spacing w:after="120" w:line="276"/>
        <w:jc w:val="both"/>
      </w:pPr>
      <w:r>
        <w:rPr>
          <w:rFonts w:ascii="Barlow Semi Condensed" w:cs="Barlow Semi Condensed" w:eastAsia="Barlow Semi Condensed" w:hAnsi="Barlow Semi Condensed"/>
          <w:b/>
          <w:bCs/>
          <w:sz w:val="24"/>
          <w:szCs w:val="24"/>
        </w:rPr>
        <w:t xml:space="preserve">307 · L'entity linking sorvegliato.</w:t>
      </w:r>
      <w:r>
        <w:rPr>
          <w:rFonts w:ascii="Barlow Semi Condensed" w:cs="Barlow Semi Condensed" w:eastAsia="Barlow Semi Condensed" w:hAnsi="Barlow Semi Condensed"/>
          <w:sz w:val="24"/>
          <w:szCs w:val="24"/>
        </w:rPr>
        <w:t xml:space="preserve"> Il collegamento automatico dei nomi alle entità (persone, uffici, luoghi) è proposto dalla macchina e confermato da un operatore: un omonimo collegato male è una diffamazione in potenza, e il blocco 16 vale anche per gli algoritmi.</w:t>
      </w:r>
    </w:p>
    <w:p>
      <w:pPr>
        <w:spacing w:after="120" w:line="276"/>
        <w:jc w:val="both"/>
      </w:pPr>
      <w:r>
        <w:rPr>
          <w:rFonts w:ascii="Barlow Semi Condensed" w:cs="Barlow Semi Condensed" w:eastAsia="Barlow Semi Condensed" w:hAnsi="Barlow Semi Condensed"/>
          <w:b/>
          <w:bCs/>
          <w:sz w:val="24"/>
          <w:szCs w:val="24"/>
        </w:rPr>
        <w:t xml:space="preserve">308 · Il text mining dei fondi.</w:t>
      </w:r>
      <w:r>
        <w:rPr>
          <w:rFonts w:ascii="Barlow Semi Condensed" w:cs="Barlow Semi Condensed" w:eastAsia="Barlow Semi Condensed" w:hAnsi="Barlow Semi Condensed"/>
          <w:sz w:val="24"/>
          <w:szCs w:val="24"/>
        </w:rPr>
        <w:t xml:space="preserve"> Sul corpus digitalizzato: ricerca semantica, co-occorrenze, anomalie lessicali (il vocabolario del blocco 133 come dizionario di dominio). Gli esiti del mining sono candidati di ricerca, mai risultati: generano schede da verificare sulla carta.</w:t>
      </w:r>
    </w:p>
    <w:p>
      <w:pPr>
        <w:spacing w:after="120" w:line="276"/>
        <w:jc w:val="both"/>
      </w:pPr>
      <w:r>
        <w:rPr>
          <w:rFonts w:ascii="Barlow Semi Condensed" w:cs="Barlow Semi Condensed" w:eastAsia="Barlow Semi Condensed" w:hAnsi="Barlow Semi Condensed"/>
          <w:b/>
          <w:bCs/>
          <w:sz w:val="24"/>
          <w:szCs w:val="24"/>
        </w:rPr>
        <w:t xml:space="preserve">309 · L'uso dei modelli linguistici.</w:t>
      </w:r>
      <w:r>
        <w:rPr>
          <w:rFonts w:ascii="Barlow Semi Condensed" w:cs="Barlow Semi Condensed" w:eastAsia="Barlow Semi Condensed" w:hAnsi="Barlow Semi Condensed"/>
          <w:sz w:val="24"/>
          <w:szCs w:val="24"/>
        </w:rPr>
        <w:t xml:space="preserve"> I modelli d'intelligenza artificiale possono proporre regesti, indici e collegamenti; non possono firmare nulla. Ogni loro output entra come bozza attribuita alla macchina, verificata e sottoscritta da un umano — il manuale stesso, generato con questo metodo, ne è la dimostrazione dichiarata.</w:t>
      </w:r>
    </w:p>
    <w:p>
      <w:pPr>
        <w:spacing w:after="120" w:line="276"/>
        <w:jc w:val="both"/>
      </w:pPr>
      <w:r>
        <w:rPr>
          <w:rFonts w:ascii="Barlow Semi Condensed" w:cs="Barlow Semi Condensed" w:eastAsia="Barlow Semi Condensed" w:hAnsi="Barlow Semi Condensed"/>
          <w:b/>
          <w:bCs/>
          <w:sz w:val="24"/>
          <w:szCs w:val="24"/>
        </w:rPr>
        <w:t xml:space="preserve">310 · Il divieto di generazione probatoria.</w:t>
      </w:r>
      <w:r>
        <w:rPr>
          <w:rFonts w:ascii="Barlow Semi Condensed" w:cs="Barlow Semi Condensed" w:eastAsia="Barlow Semi Condensed" w:hAnsi="Barlow Semi Condensed"/>
          <w:sz w:val="24"/>
          <w:szCs w:val="24"/>
        </w:rPr>
        <w:t xml:space="preserve"> Nessun contenuto generato — ricostruzioni, immagini, voci — entra negli atti come rappresentazione del reale: la simulazione (blocco 85) è uno strumento di verifica marcato come simulazione, per sempre distinguibile dal reperto.</w:t>
      </w:r>
    </w:p>
    <w:p>
      <w:pPr>
        <w:spacing w:after="120" w:line="276"/>
        <w:jc w:val="both"/>
      </w:pPr>
      <w:r>
        <w:rPr>
          <w:rFonts w:ascii="Barlow Semi Condensed" w:cs="Barlow Semi Condensed" w:eastAsia="Barlow Semi Condensed" w:hAnsi="Barlow Semi Condensed"/>
          <w:b/>
          <w:bCs/>
          <w:sz w:val="24"/>
          <w:szCs w:val="24"/>
        </w:rPr>
        <w:t xml:space="preserve">311 · Il versioning degli atti.</w:t>
      </w:r>
      <w:r>
        <w:rPr>
          <w:rFonts w:ascii="Barlow Semi Condensed" w:cs="Barlow Semi Condensed" w:eastAsia="Barlow Semi Condensed" w:hAnsi="Barlow Semi Condensed"/>
          <w:sz w:val="24"/>
          <w:szCs w:val="24"/>
        </w:rPr>
        <w:t xml:space="preserve"> Ogni documento del caso è versionato: le correzioni sono nuove versioni con nota, mai sovrascritture. La storia di ogni scheda è parte della scheda — è il blocco 279 fatto infrastruttura.</w:t>
      </w:r>
    </w:p>
    <w:p>
      <w:pPr>
        <w:spacing w:after="120" w:line="276"/>
        <w:jc w:val="both"/>
      </w:pPr>
      <w:r>
        <w:rPr>
          <w:rFonts w:ascii="Barlow Semi Condensed" w:cs="Barlow Semi Condensed" w:eastAsia="Barlow Semi Condensed" w:hAnsi="Barlow Semi Condensed"/>
          <w:b/>
          <w:bCs/>
          <w:sz w:val="24"/>
          <w:szCs w:val="24"/>
        </w:rPr>
        <w:t xml:space="preserve">312 · La firma e la marca temporale.</w:t>
      </w:r>
      <w:r>
        <w:rPr>
          <w:rFonts w:ascii="Barlow Semi Condensed" w:cs="Barlow Semi Condensed" w:eastAsia="Barlow Semi Condensed" w:hAnsi="Barlow Semi Condensed"/>
          <w:sz w:val="24"/>
          <w:szCs w:val="24"/>
        </w:rPr>
        <w:t xml:space="preserve"> Gli atti digitali dei cantieri portano firma elettronica e marca temporale: la catena di custodia digitale nasce integra, invece di doversi ricostruire fra cinquant'anni.</w:t>
      </w:r>
    </w:p>
    <w:p>
      <w:pPr>
        <w:spacing w:after="120" w:line="276"/>
        <w:jc w:val="both"/>
      </w:pPr>
      <w:r>
        <w:rPr>
          <w:rFonts w:ascii="Barlow Semi Condensed" w:cs="Barlow Semi Condensed" w:eastAsia="Barlow Semi Condensed" w:hAnsi="Barlow Semi Condensed"/>
          <w:b/>
          <w:bCs/>
          <w:sz w:val="24"/>
          <w:szCs w:val="24"/>
        </w:rPr>
        <w:t xml:space="preserve">313 · Il registro pubblico online.</w:t>
      </w:r>
      <w:r>
        <w:rPr>
          <w:rFonts w:ascii="Barlow Semi Condensed" w:cs="Barlow Semi Condensed" w:eastAsia="Barlow Semi Condensed" w:hAnsi="Barlow Semi Condensed"/>
          <w:sz w:val="24"/>
          <w:szCs w:val="24"/>
        </w:rPr>
        <w:t xml:space="preserve"> Il registro delle piste (blocco 29), gli inventari incrementali (129), le relazioni annuali (90, 140, 170): tutto in un sito documentale unico, stabile, citabile — l'anagrafe pubblica del nuovo caso.</w:t>
      </w:r>
    </w:p>
    <w:p>
      <w:pPr>
        <w:spacing w:after="120" w:line="276"/>
        <w:jc w:val="both"/>
      </w:pPr>
      <w:r>
        <w:rPr>
          <w:rFonts w:ascii="Barlow Semi Condensed" w:cs="Barlow Semi Condensed" w:eastAsia="Barlow Semi Condensed" w:hAnsi="Barlow Semi Condensed"/>
          <w:b/>
          <w:bCs/>
          <w:sz w:val="24"/>
          <w:szCs w:val="24"/>
        </w:rPr>
        <w:t xml:space="preserve">314 · L'open data degli esiti.</w:t>
      </w:r>
      <w:r>
        <w:rPr>
          <w:rFonts w:ascii="Barlow Semi Condensed" w:cs="Barlow Semi Condensed" w:eastAsia="Barlow Semi Condensed" w:hAnsi="Barlow Semi Condensed"/>
          <w:sz w:val="24"/>
          <w:szCs w:val="24"/>
        </w:rPr>
        <w:t xml:space="preserve"> Le tavole prodotte — la tavola nominale dei comitati, la proprietà×tempo, il rilasciato/trattenuto, le metriche del registro — si pubblicano anche come dati aperti riutilizzabili: la verifica altrui è un diritto, non una concessione.</w:t>
      </w:r>
    </w:p>
    <w:p>
      <w:pPr>
        <w:spacing w:after="120" w:line="276"/>
        <w:jc w:val="both"/>
      </w:pPr>
      <w:r>
        <w:rPr>
          <w:rFonts w:ascii="Barlow Semi Condensed" w:cs="Barlow Semi Condensed" w:eastAsia="Barlow Semi Condensed" w:hAnsi="Barlow Semi Condensed"/>
          <w:b/>
          <w:bCs/>
          <w:sz w:val="24"/>
          <w:szCs w:val="24"/>
        </w:rPr>
        <w:t xml:space="preserve">315 · La privacy computazionale.</w:t>
      </w:r>
      <w:r>
        <w:rPr>
          <w:rFonts w:ascii="Barlow Semi Condensed" w:cs="Barlow Semi Condensed" w:eastAsia="Barlow Semi Condensed" w:hAnsi="Barlow Semi Condensed"/>
          <w:sz w:val="24"/>
          <w:szCs w:val="24"/>
        </w:rPr>
        <w:t xml:space="preserve"> I dati personali di terzi estranei incontrati nei fondi si schermano nelle pubblicazioni con protocollo dichiarato: l'open data del caso non è l'open data delle vite altrui.</w:t>
      </w:r>
    </w:p>
    <w:p>
      <w:pPr>
        <w:spacing w:after="120" w:line="276"/>
        <w:jc w:val="both"/>
      </w:pPr>
      <w:r>
        <w:rPr>
          <w:rFonts w:ascii="Barlow Semi Condensed" w:cs="Barlow Semi Condensed" w:eastAsia="Barlow Semi Condensed" w:hAnsi="Barlow Semi Condensed"/>
          <w:b/>
          <w:bCs/>
          <w:sz w:val="24"/>
          <w:szCs w:val="24"/>
        </w:rPr>
        <w:t xml:space="preserve">316 · Il backup e la ridondanza.</w:t>
      </w:r>
      <w:r>
        <w:rPr>
          <w:rFonts w:ascii="Barlow Semi Condensed" w:cs="Barlow Semi Condensed" w:eastAsia="Barlow Semi Condensed" w:hAnsi="Barlow Semi Condensed"/>
          <w:sz w:val="24"/>
          <w:szCs w:val="24"/>
        </w:rPr>
        <w:t xml:space="preserve"> Tre copie, due supporti, una sede remota, verifica periodica di integrità: il patrimonio digitale del caso non deve poter fare la fine dei suoi reperti dispersi.</w:t>
      </w:r>
    </w:p>
    <w:p>
      <w:pPr>
        <w:spacing w:after="120" w:line="276"/>
        <w:jc w:val="both"/>
      </w:pPr>
      <w:r>
        <w:rPr>
          <w:rFonts w:ascii="Barlow Semi Condensed" w:cs="Barlow Semi Condensed" w:eastAsia="Barlow Semi Condensed" w:hAnsi="Barlow Semi Condensed"/>
          <w:b/>
          <w:bCs/>
          <w:sz w:val="24"/>
          <w:szCs w:val="24"/>
        </w:rPr>
        <w:t xml:space="preserve">317 · I formati aperti.</w:t>
      </w:r>
      <w:r>
        <w:rPr>
          <w:rFonts w:ascii="Barlow Semi Condensed" w:cs="Barlow Semi Condensed" w:eastAsia="Barlow Semi Condensed" w:hAnsi="Barlow Semi Condensed"/>
          <w:sz w:val="24"/>
          <w:szCs w:val="24"/>
        </w:rPr>
        <w:t xml:space="preserve"> Solo formati documentali aperti e standard archivistici correnti: il nuovo caso deve essere leggibile quando gli attuali software non esisteranno più.</w:t>
      </w:r>
    </w:p>
    <w:p>
      <w:pPr>
        <w:spacing w:after="120" w:line="276"/>
        <w:jc w:val="both"/>
      </w:pPr>
      <w:r>
        <w:rPr>
          <w:rFonts w:ascii="Barlow Semi Condensed" w:cs="Barlow Semi Condensed" w:eastAsia="Barlow Semi Condensed" w:hAnsi="Barlow Semi Condensed"/>
          <w:b/>
          <w:bCs/>
          <w:sz w:val="24"/>
          <w:szCs w:val="24"/>
        </w:rPr>
        <w:t xml:space="preserve">318 · L'interoperabilità istituzionale.</w:t>
      </w:r>
      <w:r>
        <w:rPr>
          <w:rFonts w:ascii="Barlow Semi Condensed" w:cs="Barlow Semi Condensed" w:eastAsia="Barlow Semi Condensed" w:hAnsi="Barlow Semi Condensed"/>
          <w:sz w:val="24"/>
          <w:szCs w:val="24"/>
        </w:rPr>
        <w:t xml:space="preserve"> Gli schemi-dati si allineano agli standard degli archivi di Stato e dei sistemi giudiziari, perché i versamenti futuri del nuovo caso agli archivi nazionali siano nativamente compatibili.</w:t>
      </w:r>
    </w:p>
    <w:p>
      <w:pPr>
        <w:spacing w:after="120" w:line="276"/>
        <w:jc w:val="both"/>
      </w:pPr>
      <w:r>
        <w:rPr>
          <w:rFonts w:ascii="Barlow Semi Condensed" w:cs="Barlow Semi Condensed" w:eastAsia="Barlow Semi Condensed" w:hAnsi="Barlow Semi Condensed"/>
          <w:b/>
          <w:bCs/>
          <w:sz w:val="24"/>
          <w:szCs w:val="24"/>
        </w:rPr>
        <w:t xml:space="preserve">319 · Il laboratorio di calcolo.</w:t>
      </w:r>
      <w:r>
        <w:rPr>
          <w:rFonts w:ascii="Barlow Semi Condensed" w:cs="Barlow Semi Condensed" w:eastAsia="Barlow Semi Condensed" w:hAnsi="Barlow Semi Condensed"/>
          <w:sz w:val="24"/>
          <w:szCs w:val="24"/>
        </w:rPr>
        <w:t xml:space="preserve"> Le analisi computazionali (rete, statistiche del registro, filologia quantitativa del memoriale) girano su codice depositato e riproducibile: ogni numero pubblicato ha accanto lo script che lo genera.</w:t>
      </w:r>
    </w:p>
    <w:p>
      <w:pPr>
        <w:spacing w:after="120" w:line="276"/>
        <w:jc w:val="both"/>
      </w:pPr>
      <w:r>
        <w:rPr>
          <w:rFonts w:ascii="Barlow Semi Condensed" w:cs="Barlow Semi Condensed" w:eastAsia="Barlow Semi Condensed" w:hAnsi="Barlow Semi Condensed"/>
          <w:b/>
          <w:bCs/>
          <w:sz w:val="24"/>
          <w:szCs w:val="24"/>
        </w:rPr>
        <w:t xml:space="preserve">320 · La riproducibilità come grado.</w:t>
      </w:r>
      <w:r>
        <w:rPr>
          <w:rFonts w:ascii="Barlow Semi Condensed" w:cs="Barlow Semi Condensed" w:eastAsia="Barlow Semi Condensed" w:hAnsi="Barlow Semi Condensed"/>
          <w:sz w:val="24"/>
          <w:szCs w:val="24"/>
        </w:rPr>
        <w:t xml:space="preserve"> Un risultato computazionale non riproducibile da terzi col codice depositato non entra negli atti: è l'equivalente digitale della replica di laboratorio (blocco 74).</w:t>
      </w:r>
    </w:p>
    <w:p>
      <w:pPr>
        <w:spacing w:after="120" w:line="276"/>
        <w:jc w:val="both"/>
      </w:pPr>
      <w:r>
        <w:rPr>
          <w:rFonts w:ascii="Barlow Semi Condensed" w:cs="Barlow Semi Condensed" w:eastAsia="Barlow Semi Condensed" w:hAnsi="Barlow Semi Condensed"/>
          <w:b/>
          <w:bCs/>
          <w:sz w:val="24"/>
          <w:szCs w:val="24"/>
        </w:rPr>
        <w:t xml:space="preserve">321 · Le immagini forensi.</w:t>
      </w:r>
      <w:r>
        <w:rPr>
          <w:rFonts w:ascii="Barlow Semi Condensed" w:cs="Barlow Semi Condensed" w:eastAsia="Barlow Semi Condensed" w:hAnsi="Barlow Semi Condensed"/>
          <w:sz w:val="24"/>
          <w:szCs w:val="24"/>
        </w:rPr>
        <w:t xml:space="preserve"> Le scansioni tridimensionali (bossoli, luoghi) si archiviano in formati aperti con metadati di acquisizione: il reperto digitale è consultabile senza toccare quello fisico, e il blocco 50 guadagna una via in più.</w:t>
      </w:r>
    </w:p>
    <w:p>
      <w:pPr>
        <w:spacing w:after="120" w:line="276"/>
        <w:jc w:val="both"/>
      </w:pPr>
      <w:r>
        <w:rPr>
          <w:rFonts w:ascii="Barlow Semi Condensed" w:cs="Barlow Semi Condensed" w:eastAsia="Barlow Semi Condensed" w:hAnsi="Barlow Semi Condensed"/>
          <w:b/>
          <w:bCs/>
          <w:sz w:val="24"/>
          <w:szCs w:val="24"/>
        </w:rPr>
        <w:t xml:space="preserve">322 · Il fascicolo audiovisivo digitale.</w:t>
      </w:r>
      <w:r>
        <w:rPr>
          <w:rFonts w:ascii="Barlow Semi Condensed" w:cs="Barlow Semi Condensed" w:eastAsia="Barlow Semi Condensed" w:hAnsi="Barlow Semi Condensed"/>
          <w:sz w:val="24"/>
          <w:szCs w:val="24"/>
        </w:rPr>
        <w:t xml:space="preserve"> I materiali del blocco 78 e le escussioni registrate della serie quinta confluiscono in un archivio audiovisivo indicizzato al parlato: ogni minuto è citabile come una pagina.</w:t>
      </w:r>
    </w:p>
    <w:p>
      <w:pPr>
        <w:spacing w:after="120" w:line="276"/>
        <w:jc w:val="both"/>
      </w:pPr>
      <w:r>
        <w:rPr>
          <w:rFonts w:ascii="Barlow Semi Condensed" w:cs="Barlow Semi Condensed" w:eastAsia="Barlow Semi Condensed" w:hAnsi="Barlow Semi Condensed"/>
          <w:b/>
          <w:bCs/>
          <w:sz w:val="24"/>
          <w:szCs w:val="24"/>
        </w:rPr>
        <w:t xml:space="preserve">323 · La mappa interattiva.</w:t>
      </w:r>
      <w:r>
        <w:rPr>
          <w:rFonts w:ascii="Barlow Semi Condensed" w:cs="Barlow Semi Condensed" w:eastAsia="Barlow Semi Condensed" w:hAnsi="Barlow Semi Condensed"/>
          <w:sz w:val="24"/>
          <w:szCs w:val="24"/>
        </w:rPr>
        <w:t xml:space="preserve"> La geografia del caso — luoghi, percorsi, tempi — in cartografia digitale sovrapponibile alle mappe del 1978: lo strumento di verifica delle cronologie di movimento, con le fonti per ogni tracciato.</w:t>
      </w:r>
    </w:p>
    <w:p>
      <w:pPr>
        <w:spacing w:after="120" w:line="276"/>
        <w:jc w:val="both"/>
      </w:pPr>
      <w:r>
        <w:rPr>
          <w:rFonts w:ascii="Barlow Semi Condensed" w:cs="Barlow Semi Condensed" w:eastAsia="Barlow Semi Condensed" w:hAnsi="Barlow Semi Condensed"/>
          <w:b/>
          <w:bCs/>
          <w:sz w:val="24"/>
          <w:szCs w:val="24"/>
        </w:rPr>
        <w:t xml:space="preserve">324 · Il motore delle scadenze.</w:t>
      </w:r>
      <w:r>
        <w:rPr>
          <w:rFonts w:ascii="Barlow Semi Condensed" w:cs="Barlow Semi Condensed" w:eastAsia="Barlow Semi Condensed" w:hAnsi="Barlow Semi Condensed"/>
          <w:sz w:val="24"/>
          <w:szCs w:val="24"/>
        </w:rPr>
        <w:t xml:space="preserve"> Le urgenze biologiche (169), i termini FOIA (241), le cadenze trimestrali (30, 287): un solo calendario automatico che nessuna memoria individuale deve reggere.</w:t>
      </w:r>
    </w:p>
    <w:p>
      <w:pPr>
        <w:spacing w:after="120" w:line="276"/>
        <w:jc w:val="both"/>
      </w:pPr>
      <w:r>
        <w:rPr>
          <w:rFonts w:ascii="Barlow Semi Condensed" w:cs="Barlow Semi Condensed" w:eastAsia="Barlow Semi Condensed" w:hAnsi="Barlow Semi Condensed"/>
          <w:b/>
          <w:bCs/>
          <w:sz w:val="24"/>
          <w:szCs w:val="24"/>
        </w:rPr>
        <w:t xml:space="preserve">325 · La dashboard delle matrici.</w:t>
      </w:r>
      <w:r>
        <w:rPr>
          <w:rFonts w:ascii="Barlow Semi Condensed" w:cs="Barlow Semi Condensed" w:eastAsia="Barlow Semi Condensed" w:hAnsi="Barlow Semi Condensed"/>
          <w:sz w:val="24"/>
          <w:szCs w:val="24"/>
        </w:rPr>
        <w:t xml:space="preserve"> La meta-matrice (210) in forma viva: per ogni quesito, le evidenze acquisite e quelle mancanti, aggiornate a ogni atto — il cruscotto che dice in ogni istante che cosa il caso sta ancora aspettando.</w:t>
      </w:r>
    </w:p>
    <w:p>
      <w:pPr>
        <w:spacing w:after="120" w:line="276"/>
        <w:jc w:val="both"/>
      </w:pPr>
      <w:r>
        <w:rPr>
          <w:rFonts w:ascii="Barlow Semi Condensed" w:cs="Barlow Semi Condensed" w:eastAsia="Barlow Semi Condensed" w:hAnsi="Barlow Semi Condensed"/>
          <w:b/>
          <w:bCs/>
          <w:sz w:val="24"/>
          <w:szCs w:val="24"/>
        </w:rPr>
        <w:t xml:space="preserve">326 · L'accessibilità.</w:t>
      </w:r>
      <w:r>
        <w:rPr>
          <w:rFonts w:ascii="Barlow Semi Condensed" w:cs="Barlow Semi Condensed" w:eastAsia="Barlow Semi Condensed" w:hAnsi="Barlow Semi Condensed"/>
          <w:sz w:val="24"/>
          <w:szCs w:val="24"/>
        </w:rPr>
        <w:t xml:space="preserve"> Il patrimonio pubblico del caso è fruibile anche da chi non vede o non sente: trascrizioni, descrizioni, standard di accessibilità — la memoria repubblicana non ha barriere d'ingresso.</w:t>
      </w:r>
    </w:p>
    <w:p>
      <w:pPr>
        <w:spacing w:after="120" w:line="276"/>
        <w:jc w:val="both"/>
      </w:pPr>
      <w:r>
        <w:rPr>
          <w:rFonts w:ascii="Barlow Semi Condensed" w:cs="Barlow Semi Condensed" w:eastAsia="Barlow Semi Condensed" w:hAnsi="Barlow Semi Condensed"/>
          <w:b/>
          <w:bCs/>
          <w:sz w:val="24"/>
          <w:szCs w:val="24"/>
        </w:rPr>
        <w:t xml:space="preserve">327 · La sicurezza.</w:t>
      </w:r>
      <w:r>
        <w:rPr>
          <w:rFonts w:ascii="Barlow Semi Condensed" w:cs="Barlow Semi Condensed" w:eastAsia="Barlow Semi Condensed" w:hAnsi="Barlow Semi Condensed"/>
          <w:sz w:val="24"/>
          <w:szCs w:val="24"/>
        </w:rPr>
        <w:t xml:space="preserve"> Accessi tracciati, privilegi minimi, log immutabili: un'infrastruttura che custodisce materia sensibile si difende, e ogni accesso è esso stesso un atto registrato.</w:t>
      </w:r>
    </w:p>
    <w:p>
      <w:pPr>
        <w:spacing w:after="120" w:line="276"/>
        <w:jc w:val="both"/>
      </w:pPr>
      <w:r>
        <w:rPr>
          <w:rFonts w:ascii="Barlow Semi Condensed" w:cs="Barlow Semi Condensed" w:eastAsia="Barlow Semi Condensed" w:hAnsi="Barlow Semi Condensed"/>
          <w:b/>
          <w:bCs/>
          <w:sz w:val="24"/>
          <w:szCs w:val="24"/>
        </w:rPr>
        <w:t xml:space="preserve">328 · Il disaster recovery documentale.</w:t>
      </w:r>
      <w:r>
        <w:rPr>
          <w:rFonts w:ascii="Barlow Semi Condensed" w:cs="Barlow Semi Condensed" w:eastAsia="Barlow Semi Condensed" w:hAnsi="Barlow Semi Condensed"/>
          <w:sz w:val="24"/>
          <w:szCs w:val="24"/>
        </w:rPr>
        <w:t xml:space="preserve"> La procedura scritta per la perdita — di un server, di una sede, di un fondo: che cosa si ripristina, da dove, in quanto tempo. Il caso ha già perso troppo per improvvisare.</w:t>
      </w:r>
    </w:p>
    <w:p>
      <w:pPr>
        <w:spacing w:after="120" w:line="276"/>
        <w:jc w:val="both"/>
      </w:pPr>
      <w:r>
        <w:rPr>
          <w:rFonts w:ascii="Barlow Semi Condensed" w:cs="Barlow Semi Condensed" w:eastAsia="Barlow Semi Condensed" w:hAnsi="Barlow Semi Condensed"/>
          <w:b/>
          <w:bCs/>
          <w:sz w:val="24"/>
          <w:szCs w:val="24"/>
        </w:rPr>
        <w:t xml:space="preserve">329 · Il costo dichiarato.</w:t>
      </w:r>
      <w:r>
        <w:rPr>
          <w:rFonts w:ascii="Barlow Semi Condensed" w:cs="Barlow Semi Condensed" w:eastAsia="Barlow Semi Condensed" w:hAnsi="Barlow Semi Condensed"/>
          <w:sz w:val="24"/>
          <w:szCs w:val="24"/>
        </w:rPr>
        <w:t xml:space="preserve"> L'infrastruttura digitale entra nel bilancio dei mezzi (blocco 39) con costi e benefici espliciti: la tecnologia si giustifica come ogni altro atto — per il rendimento documentale.</w:t>
      </w:r>
    </w:p>
    <w:p>
      <w:pPr>
        <w:spacing w:after="120" w:line="276"/>
        <w:jc w:val="both"/>
      </w:pPr>
      <w:r>
        <w:rPr>
          <w:rFonts w:ascii="Barlow Semi Condensed" w:cs="Barlow Semi Condensed" w:eastAsia="Barlow Semi Condensed" w:hAnsi="Barlow Semi Condensed"/>
          <w:b/>
          <w:bCs/>
          <w:sz w:val="24"/>
          <w:szCs w:val="24"/>
        </w:rPr>
        <w:t xml:space="preserve">330 · Il lascito digitale.</w:t>
      </w:r>
      <w:r>
        <w:rPr>
          <w:rFonts w:ascii="Barlow Semi Condensed" w:cs="Barlow Semi Condensed" w:eastAsia="Barlow Semi Condensed" w:hAnsi="Barlow Semi Condensed"/>
          <w:sz w:val="24"/>
          <w:szCs w:val="24"/>
        </w:rPr>
        <w:t xml:space="preserve"> A fine corsa, l'intera infrastruttura — dati, codice, standard — si versa agli archivi nazionali come fondo digitale ordinato: il gemello documentale del caso (blocco 293) diventa patrimonio permanente della Repubblica.</w:t>
      </w:r>
    </w:p>
    <w:p>
      <w:pPr>
        <w:pStyle w:val="Heading2"/>
        <w:spacing w:after="100" w:before="200"/>
      </w:pPr>
      <w:r>
        <w:rPr>
          <w:rFonts w:ascii="Barlow Semi Condensed" w:cs="Barlow Semi Condensed" w:eastAsia="Barlow Semi Condensed" w:hAnsi="Barlow Semi Condensed"/>
          <w:sz w:val="24"/>
          <w:szCs w:val="24"/>
        </w:rPr>
        <w:t xml:space="preserve">Serie dodicesima — Gli strumenti giuridici (blocchi 331-355)</w:t>
      </w:r>
    </w:p>
    <w:p>
      <w:pPr>
        <w:spacing w:after="120" w:line="276"/>
        <w:jc w:val="both"/>
      </w:pPr>
      <w:r>
        <w:rPr>
          <w:rFonts w:ascii="Barlow Semi Condensed" w:cs="Barlow Semi Condensed" w:eastAsia="Barlow Semi Condensed" w:hAnsi="Barlow Semi Condensed"/>
          <w:i/>
          <w:iCs/>
          <w:sz w:val="24"/>
          <w:szCs w:val="24"/>
        </w:rPr>
        <w:t xml:space="preserve">Statuto della serie: il diritto degli atti. Ogni cantiere agisce dentro un ordinamento; la serie censisce gli strumenti — e i limiti — che il diritto vigente offre a ciascun atto del manuale, nei termini e nelle forme che le sedi competenti applicheranno.</w:t>
      </w:r>
    </w:p>
    <w:p>
      <w:pPr>
        <w:spacing w:after="120" w:line="276"/>
        <w:jc w:val="both"/>
      </w:pPr>
      <w:r>
        <w:rPr>
          <w:rFonts w:ascii="Barlow Semi Condensed" w:cs="Barlow Semi Condensed" w:eastAsia="Barlow Semi Condensed" w:hAnsi="Barlow Semi Condensed"/>
          <w:b/>
          <w:bCs/>
          <w:sz w:val="24"/>
          <w:szCs w:val="24"/>
        </w:rPr>
        <w:t xml:space="preserve">331 · La mappa normativa.</w:t>
      </w:r>
      <w:r>
        <w:rPr>
          <w:rFonts w:ascii="Barlow Semi Condensed" w:cs="Barlow Semi Condensed" w:eastAsia="Barlow Semi Condensed" w:hAnsi="Barlow Semi Condensed"/>
          <w:sz w:val="24"/>
          <w:szCs w:val="24"/>
        </w:rPr>
        <w:t xml:space="preserve"> Primo atto della serie: la tavola aggiornata delle norme che governano il caso — procedura penale, disciplina archivistica, trasparenza, protezione dei dati, segreto di Stato, cooperazione internazionale — ciascuna con la sede che la applica.</w:t>
      </w:r>
    </w:p>
    <w:p>
      <w:pPr>
        <w:spacing w:after="120" w:line="276"/>
        <w:jc w:val="both"/>
      </w:pPr>
      <w:r>
        <w:rPr>
          <w:rFonts w:ascii="Barlow Semi Condensed" w:cs="Barlow Semi Condensed" w:eastAsia="Barlow Semi Condensed" w:hAnsi="Barlow Semi Condensed"/>
          <w:b/>
          <w:bCs/>
          <w:sz w:val="24"/>
          <w:szCs w:val="24"/>
        </w:rPr>
        <w:t xml:space="preserve">332 · L'imprescrittibilità.</w:t>
      </w:r>
      <w:r>
        <w:rPr>
          <w:rFonts w:ascii="Barlow Semi Condensed" w:cs="Barlow Semi Condensed" w:eastAsia="Barlow Semi Condensed" w:hAnsi="Barlow Semi Condensed"/>
          <w:sz w:val="24"/>
          <w:szCs w:val="24"/>
        </w:rPr>
        <w:t xml:space="preserve"> I delitti puniti con la pena perpetua non si prescrivono: il fascicolo del caso non ha orologio, e ogni evidenza nuova su responsabilità ulteriori resta giudizialmente spendibile senza limiti di tempo. È il fondamento giuridico dell'intero manuale.</w:t>
      </w:r>
    </w:p>
    <w:p>
      <w:pPr>
        <w:spacing w:after="120" w:line="276"/>
        <w:jc w:val="both"/>
      </w:pPr>
      <w:r>
        <w:rPr>
          <w:rFonts w:ascii="Barlow Semi Condensed" w:cs="Barlow Semi Condensed" w:eastAsia="Barlow Semi Condensed" w:hAnsi="Barlow Semi Condensed"/>
          <w:b/>
          <w:bCs/>
          <w:sz w:val="24"/>
          <w:szCs w:val="24"/>
        </w:rPr>
        <w:t xml:space="preserve">333 · La riapertura per prova nuova.</w:t>
      </w:r>
      <w:r>
        <w:rPr>
          <w:rFonts w:ascii="Barlow Semi Condensed" w:cs="Barlow Semi Condensed" w:eastAsia="Barlow Semi Condensed" w:hAnsi="Barlow Semi Condensed"/>
          <w:sz w:val="24"/>
          <w:szCs w:val="24"/>
        </w:rPr>
        <w:t xml:space="preserve"> Le posizioni archiviate si riaprono per elementi nuovi nelle forme del codice: ogni esito dei cantieri che tocchi persone si consegna al fascicolo perché sia il giudice a qualificarne la novità.</w:t>
      </w:r>
    </w:p>
    <w:p>
      <w:pPr>
        <w:spacing w:after="120" w:line="276"/>
        <w:jc w:val="both"/>
      </w:pPr>
      <w:r>
        <w:rPr>
          <w:rFonts w:ascii="Barlow Semi Condensed" w:cs="Barlow Semi Condensed" w:eastAsia="Barlow Semi Condensed" w:hAnsi="Barlow Semi Condensed"/>
          <w:b/>
          <w:bCs/>
          <w:sz w:val="24"/>
          <w:szCs w:val="24"/>
        </w:rPr>
        <w:t xml:space="preserve">334 · L'incidente probatorio.</w:t>
      </w:r>
      <w:r>
        <w:rPr>
          <w:rFonts w:ascii="Barlow Semi Condensed" w:cs="Barlow Semi Condensed" w:eastAsia="Barlow Semi Condensed" w:hAnsi="Barlow Semi Condensed"/>
          <w:sz w:val="24"/>
          <w:szCs w:val="24"/>
        </w:rPr>
        <w:t xml:space="preserve"> Per i testimoni fragili della serie quinta, l'ordinamento offre l'assunzione anticipata della prova nelle forme del contraddittorio: dove il ricordo rischia di non arrivare al dibattimento, l'atto giudiziario lo cristallizza. La tavola delle urgenze (169) si coordina con questa via.</w:t>
      </w:r>
    </w:p>
    <w:p>
      <w:pPr>
        <w:spacing w:after="120" w:line="276"/>
        <w:jc w:val="both"/>
      </w:pPr>
      <w:r>
        <w:rPr>
          <w:rFonts w:ascii="Barlow Semi Condensed" w:cs="Barlow Semi Condensed" w:eastAsia="Barlow Semi Condensed" w:hAnsi="Barlow Semi Condensed"/>
          <w:b/>
          <w:bCs/>
          <w:sz w:val="24"/>
          <w:szCs w:val="24"/>
        </w:rPr>
        <w:t xml:space="preserve">335 · Il segreto di Stato e i suoi termini.</w:t>
      </w:r>
      <w:r>
        <w:rPr>
          <w:rFonts w:ascii="Barlow Semi Condensed" w:cs="Barlow Semi Condensed" w:eastAsia="Barlow Semi Condensed" w:hAnsi="Barlow Semi Condensed"/>
          <w:sz w:val="24"/>
          <w:szCs w:val="24"/>
        </w:rPr>
        <w:t xml:space="preserve"> Il segreto ha durata massima legale e procedure di conferma e opposizione: per ogni atto del caso eventualmente coperto, la scheda registra chi lo ha apposto, quando scade, quale procedura di verifica è esperibile. Il segreto è un istituto, non una nebbia.</w:t>
      </w:r>
    </w:p>
    <w:p>
      <w:pPr>
        <w:spacing w:after="120" w:line="276"/>
        <w:jc w:val="both"/>
      </w:pPr>
      <w:r>
        <w:rPr>
          <w:rFonts w:ascii="Barlow Semi Condensed" w:cs="Barlow Semi Condensed" w:eastAsia="Barlow Semi Condensed" w:hAnsi="Barlow Semi Condensed"/>
          <w:b/>
          <w:bCs/>
          <w:sz w:val="24"/>
          <w:szCs w:val="24"/>
        </w:rPr>
        <w:t xml:space="preserve">336 · Il limite costituzionale del segreto.</w:t>
      </w:r>
      <w:r>
        <w:rPr>
          <w:rFonts w:ascii="Barlow Semi Condensed" w:cs="Barlow Semi Condensed" w:eastAsia="Barlow Semi Condensed" w:hAnsi="Barlow Semi Condensed"/>
          <w:sz w:val="24"/>
          <w:szCs w:val="24"/>
        </w:rPr>
        <w:t xml:space="preserve"> L'ordinamento esclude il segreto sui fatti eversivi dell'ordine costituzionale: ogni opposizione di segreto su materia del caso si vaglia contro questo limite, nelle sedi competenti a farlo.</w:t>
      </w:r>
    </w:p>
    <w:p>
      <w:pPr>
        <w:spacing w:after="120" w:line="276"/>
        <w:jc w:val="both"/>
      </w:pPr>
      <w:r>
        <w:rPr>
          <w:rFonts w:ascii="Barlow Semi Condensed" w:cs="Barlow Semi Condensed" w:eastAsia="Barlow Semi Condensed" w:hAnsi="Barlow Semi Condensed"/>
          <w:b/>
          <w:bCs/>
          <w:sz w:val="24"/>
          <w:szCs w:val="24"/>
        </w:rPr>
        <w:t xml:space="preserve">337 · La disciplina archivistica.</w:t>
      </w:r>
      <w:r>
        <w:rPr>
          <w:rFonts w:ascii="Barlow Semi Condensed" w:cs="Barlow Semi Condensed" w:eastAsia="Barlow Semi Condensed" w:hAnsi="Barlow Semi Condensed"/>
          <w:sz w:val="24"/>
          <w:szCs w:val="24"/>
        </w:rPr>
        <w:t xml:space="preserve"> I termini di consultabilità degli archivi pubblici — ordinari e prolungati per i dati sensibili — si censiscono fondo per fondo: metà delle «carte negate» della leggenda sono carte a termine non ancora maturato, e la tavola delle scadenze le trasforma da mistero in calendario.</w:t>
      </w:r>
    </w:p>
    <w:p>
      <w:pPr>
        <w:spacing w:after="120" w:line="276"/>
        <w:jc w:val="both"/>
      </w:pPr>
      <w:r>
        <w:rPr>
          <w:rFonts w:ascii="Barlow Semi Condensed" w:cs="Barlow Semi Condensed" w:eastAsia="Barlow Semi Condensed" w:hAnsi="Barlow Semi Condensed"/>
          <w:b/>
          <w:bCs/>
          <w:sz w:val="24"/>
          <w:szCs w:val="24"/>
        </w:rPr>
        <w:t xml:space="preserve">338 · L'accesso civico.</w:t>
      </w:r>
      <w:r>
        <w:rPr>
          <w:rFonts w:ascii="Barlow Semi Condensed" w:cs="Barlow Semi Condensed" w:eastAsia="Barlow Semi Condensed" w:hAnsi="Barlow Semi Condensed"/>
          <w:sz w:val="24"/>
          <w:szCs w:val="24"/>
        </w:rPr>
        <w:t xml:space="preserve"> Gli strumenti di trasparenza vigenti si usano per gli atti amministrativi del caso non coperti da altre discipline: ogni istanza e ogni diniego motivato entrano nel registro (blocco 118 vale anche in Italia).</w:t>
      </w:r>
    </w:p>
    <w:p>
      <w:pPr>
        <w:spacing w:after="120" w:line="276"/>
        <w:jc w:val="both"/>
      </w:pPr>
      <w:r>
        <w:rPr>
          <w:rFonts w:ascii="Barlow Semi Condensed" w:cs="Barlow Semi Condensed" w:eastAsia="Barlow Semi Condensed" w:hAnsi="Barlow Semi Condensed"/>
          <w:b/>
          <w:bCs/>
          <w:sz w:val="24"/>
          <w:szCs w:val="24"/>
        </w:rPr>
        <w:t xml:space="preserve">339 · La declassificazione a richiesta.</w:t>
      </w:r>
      <w:r>
        <w:rPr>
          <w:rFonts w:ascii="Barlow Semi Condensed" w:cs="Barlow Semi Condensed" w:eastAsia="Barlow Semi Condensed" w:hAnsi="Barlow Semi Condensed"/>
          <w:sz w:val="24"/>
          <w:szCs w:val="24"/>
        </w:rPr>
        <w:t xml:space="preserve"> Oltre le direttive generali già censite, l'ordinamento consente istanze puntuali di declassifica: l'elenco esatto degli atti (blocco 242) è la forma che rende le istanze accoglibili.</w:t>
      </w:r>
    </w:p>
    <w:p>
      <w:pPr>
        <w:spacing w:after="120" w:line="276"/>
        <w:jc w:val="both"/>
      </w:pPr>
      <w:r>
        <w:rPr>
          <w:rFonts w:ascii="Barlow Semi Condensed" w:cs="Barlow Semi Condensed" w:eastAsia="Barlow Semi Condensed" w:hAnsi="Barlow Semi Condensed"/>
          <w:b/>
          <w:bCs/>
          <w:sz w:val="24"/>
          <w:szCs w:val="24"/>
        </w:rPr>
        <w:t xml:space="preserve">340 · La protezione dei dati e i defunti.</w:t>
      </w:r>
      <w:r>
        <w:rPr>
          <w:rFonts w:ascii="Barlow Semi Condensed" w:cs="Barlow Semi Condensed" w:eastAsia="Barlow Semi Condensed" w:hAnsi="Barlow Semi Condensed"/>
          <w:sz w:val="24"/>
          <w:szCs w:val="24"/>
        </w:rPr>
        <w:t xml:space="preserve"> La disciplina dei dati personali si applica con le sue regole anche alla materia storica: i diritti dei terzi viventi si rispettano per obbligo, la memoria dei defunti per la dignità — e il protocollo del blocco 315 è la traduzione operativa.</w:t>
      </w:r>
    </w:p>
    <w:p>
      <w:pPr>
        <w:spacing w:after="120" w:line="276"/>
        <w:jc w:val="both"/>
      </w:pPr>
      <w:r>
        <w:rPr>
          <w:rFonts w:ascii="Barlow Semi Condensed" w:cs="Barlow Semi Condensed" w:eastAsia="Barlow Semi Condensed" w:hAnsi="Barlow Semi Condensed"/>
          <w:b/>
          <w:bCs/>
          <w:sz w:val="24"/>
          <w:szCs w:val="24"/>
        </w:rPr>
        <w:t xml:space="preserve">341 · Il diritto d'autore delle carte.</w:t>
      </w:r>
      <w:r>
        <w:rPr>
          <w:rFonts w:ascii="Barlow Semi Condensed" w:cs="Barlow Semi Condensed" w:eastAsia="Barlow Semi Condensed" w:hAnsi="Barlow Semi Condensed"/>
          <w:sz w:val="24"/>
          <w:szCs w:val="24"/>
        </w:rPr>
        <w:t xml:space="preserve"> Memorie, lettere e fotografie private hanno titolari: l'acquisizione conservativa (124) distingue sempre la proprietà del supporto, i diritti sul contenuto e il consenso all'uso, in tre righe scritte.</w:t>
      </w:r>
    </w:p>
    <w:p>
      <w:pPr>
        <w:spacing w:after="120" w:line="276"/>
        <w:jc w:val="both"/>
      </w:pPr>
      <w:r>
        <w:rPr>
          <w:rFonts w:ascii="Barlow Semi Condensed" w:cs="Barlow Semi Condensed" w:eastAsia="Barlow Semi Condensed" w:hAnsi="Barlow Semi Condensed"/>
          <w:b/>
          <w:bCs/>
          <w:sz w:val="24"/>
          <w:szCs w:val="24"/>
        </w:rPr>
        <w:t xml:space="preserve">342 · Le rogatorie e la cooperazione.</w:t>
      </w:r>
      <w:r>
        <w:rPr>
          <w:rFonts w:ascii="Barlow Semi Condensed" w:cs="Barlow Semi Condensed" w:eastAsia="Barlow Semi Condensed" w:hAnsi="Barlow Semi Condensed"/>
          <w:sz w:val="24"/>
          <w:szCs w:val="24"/>
        </w:rPr>
        <w:t xml:space="preserve"> Gli strumenti di assistenza giudiziaria internazionale — per deposizioni, documenti, comparazioni — si attivano dalle autorità competenti su impulso motivato: la serie ottava fornisce gli impulsi, il diritto le forme.</w:t>
      </w:r>
    </w:p>
    <w:p>
      <w:pPr>
        <w:spacing w:after="120" w:line="276"/>
        <w:jc w:val="both"/>
      </w:pPr>
      <w:r>
        <w:rPr>
          <w:rFonts w:ascii="Barlow Semi Condensed" w:cs="Barlow Semi Condensed" w:eastAsia="Barlow Semi Condensed" w:hAnsi="Barlow Semi Condensed"/>
          <w:b/>
          <w:bCs/>
          <w:sz w:val="24"/>
          <w:szCs w:val="24"/>
        </w:rPr>
        <w:t xml:space="preserve">343 · La prova scientifica in giudizio.</w:t>
      </w:r>
      <w:r>
        <w:rPr>
          <w:rFonts w:ascii="Barlow Semi Condensed" w:cs="Barlow Semi Condensed" w:eastAsia="Barlow Semi Condensed" w:hAnsi="Barlow Semi Condensed"/>
          <w:sz w:val="24"/>
          <w:szCs w:val="24"/>
        </w:rPr>
        <w:t xml:space="preserve"> Gli standard di ammissibilità della prova tecnica orientano i cantieri fin dall'inizio: catena di custodia, metodo validato, contraddittorio — i blocchi 46-75 sono scritti perché ogni esito regga anche in aula, se mai dovrà entrarci.</w:t>
      </w:r>
    </w:p>
    <w:p>
      <w:pPr>
        <w:spacing w:after="120" w:line="276"/>
        <w:jc w:val="both"/>
      </w:pPr>
      <w:r>
        <w:rPr>
          <w:rFonts w:ascii="Barlow Semi Condensed" w:cs="Barlow Semi Condensed" w:eastAsia="Barlow Semi Condensed" w:hAnsi="Barlow Semi Condensed"/>
          <w:b/>
          <w:bCs/>
          <w:sz w:val="24"/>
          <w:szCs w:val="24"/>
        </w:rPr>
        <w:t xml:space="preserve">344 · Il sequestro conservativo dei fondi a rischio.</w:t>
      </w:r>
      <w:r>
        <w:rPr>
          <w:rFonts w:ascii="Barlow Semi Condensed" w:cs="Barlow Semi Condensed" w:eastAsia="Barlow Semi Condensed" w:hAnsi="Barlow Semi Condensed"/>
          <w:sz w:val="24"/>
          <w:szCs w:val="24"/>
        </w:rPr>
        <w:t xml:space="preserve"> Dove un fondo privato rilevante rischi dispersione, l'ordinamento offre strumenti di acquisizione e tutela: la segnalazione tempestiva alle sedi competenti è un atto del cantiere archivistico.</w:t>
      </w:r>
    </w:p>
    <w:p>
      <w:pPr>
        <w:spacing w:after="120" w:line="276"/>
        <w:jc w:val="both"/>
      </w:pPr>
      <w:r>
        <w:rPr>
          <w:rFonts w:ascii="Barlow Semi Condensed" w:cs="Barlow Semi Condensed" w:eastAsia="Barlow Semi Condensed" w:hAnsi="Barlow Semi Condensed"/>
          <w:b/>
          <w:bCs/>
          <w:sz w:val="24"/>
          <w:szCs w:val="24"/>
        </w:rPr>
        <w:t xml:space="preserve">345 · La dichiarazione di interesse culturale.</w:t>
      </w:r>
      <w:r>
        <w:rPr>
          <w:rFonts w:ascii="Barlow Semi Condensed" w:cs="Barlow Semi Condensed" w:eastAsia="Barlow Semi Condensed" w:hAnsi="Barlow Semi Condensed"/>
          <w:sz w:val="24"/>
          <w:szCs w:val="24"/>
        </w:rPr>
        <w:t xml:space="preserve"> I fondi privati di rilievo storico possono essere vincolati nelle forme del codice dei beni culturali: il vincolo non espropria — obbliga a conservare e notificare, ed è lo scudo giuridico del blocco 124.</w:t>
      </w:r>
    </w:p>
    <w:p>
      <w:pPr>
        <w:spacing w:after="120" w:line="276"/>
        <w:jc w:val="both"/>
      </w:pPr>
      <w:r>
        <w:rPr>
          <w:rFonts w:ascii="Barlow Semi Condensed" w:cs="Barlow Semi Condensed" w:eastAsia="Barlow Semi Condensed" w:hAnsi="Barlow Semi Condensed"/>
          <w:b/>
          <w:bCs/>
          <w:sz w:val="24"/>
          <w:szCs w:val="24"/>
        </w:rPr>
        <w:t xml:space="preserve">346 · Il deposito volontario regolato.</w:t>
      </w:r>
      <w:r>
        <w:rPr>
          <w:rFonts w:ascii="Barlow Semi Condensed" w:cs="Barlow Semi Condensed" w:eastAsia="Barlow Semi Condensed" w:hAnsi="Barlow Semi Condensed"/>
          <w:sz w:val="24"/>
          <w:szCs w:val="24"/>
        </w:rPr>
        <w:t xml:space="preserve"> Per i lasciti della serie quinta: convenzioni-tipo di deposito con clausole di accesso, embargo e apertura postuma — la deposizione sigillata (161) ha bisogno del suo contratto, e il modello si scrive una volta per tutte.</w:t>
      </w:r>
    </w:p>
    <w:p>
      <w:pPr>
        <w:spacing w:after="120" w:line="276"/>
        <w:jc w:val="both"/>
      </w:pPr>
      <w:r>
        <w:rPr>
          <w:rFonts w:ascii="Barlow Semi Condensed" w:cs="Barlow Semi Condensed" w:eastAsia="Barlow Semi Condensed" w:hAnsi="Barlow Semi Condensed"/>
          <w:b/>
          <w:bCs/>
          <w:sz w:val="24"/>
          <w:szCs w:val="24"/>
        </w:rPr>
        <w:t xml:space="preserve">347 · La testimonianza e i suoi obblighi.</w:t>
      </w:r>
      <w:r>
        <w:rPr>
          <w:rFonts w:ascii="Barlow Semi Condensed" w:cs="Barlow Semi Condensed" w:eastAsia="Barlow Semi Condensed" w:hAnsi="Barlow Semi Condensed"/>
          <w:sz w:val="24"/>
          <w:szCs w:val="24"/>
        </w:rPr>
        <w:t xml:space="preserve"> Chi è chiamato dalle autorità ha doveri e garanzie di legge; chi parla ai cantieri storici lo fa volontariamente, con consenso informato scritto: i due regimi non si confondono mai, e ogni escussione dichiara in testa il proprio.</w:t>
      </w:r>
    </w:p>
    <w:p>
      <w:pPr>
        <w:spacing w:after="120" w:line="276"/>
        <w:jc w:val="both"/>
      </w:pPr>
      <w:r>
        <w:rPr>
          <w:rFonts w:ascii="Barlow Semi Condensed" w:cs="Barlow Semi Condensed" w:eastAsia="Barlow Semi Condensed" w:hAnsi="Barlow Semi Condensed"/>
          <w:b/>
          <w:bCs/>
          <w:sz w:val="24"/>
          <w:szCs w:val="24"/>
        </w:rPr>
        <w:t xml:space="preserve">348 · I segreti professionali e d'ufficio.</w:t>
      </w:r>
      <w:r>
        <w:rPr>
          <w:rFonts w:ascii="Barlow Semi Condensed" w:cs="Barlow Semi Condensed" w:eastAsia="Barlow Semi Condensed" w:hAnsi="Barlow Semi Condensed"/>
          <w:sz w:val="24"/>
          <w:szCs w:val="24"/>
        </w:rPr>
        <w:t xml:space="preserve"> Difensori, medici, ministri di culto, funzionari: ogni categoria porta i propri limiti al dichiarabile; il protocollo delle escussioni li mappa prima, perché nessuna domanda chieda ciò che il diritto vieta di rispondere.</w:t>
      </w:r>
    </w:p>
    <w:p>
      <w:pPr>
        <w:spacing w:after="120" w:line="276"/>
        <w:jc w:val="both"/>
      </w:pPr>
      <w:r>
        <w:rPr>
          <w:rFonts w:ascii="Barlow Semi Condensed" w:cs="Barlow Semi Condensed" w:eastAsia="Barlow Semi Condensed" w:hAnsi="Barlow Semi Condensed"/>
          <w:b/>
          <w:bCs/>
          <w:sz w:val="24"/>
          <w:szCs w:val="24"/>
        </w:rPr>
        <w:t xml:space="preserve">349 · La diffamazione e la storia.</w:t>
      </w:r>
      <w:r>
        <w:rPr>
          <w:rFonts w:ascii="Barlow Semi Condensed" w:cs="Barlow Semi Condensed" w:eastAsia="Barlow Semi Condensed" w:hAnsi="Barlow Semi Condensed"/>
          <w:sz w:val="24"/>
          <w:szCs w:val="24"/>
        </w:rPr>
        <w:t xml:space="preserve"> Il diritto di critica storica ha i suoi confini giurisprudenziali: verità putativa, continenza, interesse pubblico. Ogni pubblicazione dei cantieri li rispetta per obbligo — e li supera per metodo, perché il grado dichiarato è più esigente della continenza.</w:t>
      </w:r>
    </w:p>
    <w:p>
      <w:pPr>
        <w:spacing w:after="120" w:line="276"/>
        <w:jc w:val="both"/>
      </w:pPr>
      <w:r>
        <w:rPr>
          <w:rFonts w:ascii="Barlow Semi Condensed" w:cs="Barlow Semi Condensed" w:eastAsia="Barlow Semi Condensed" w:hAnsi="Barlow Semi Condensed"/>
          <w:b/>
          <w:bCs/>
          <w:sz w:val="24"/>
          <w:szCs w:val="24"/>
        </w:rPr>
        <w:t xml:space="preserve">350 · La responsabilità degli enti d'archivio.</w:t>
      </w:r>
      <w:r>
        <w:rPr>
          <w:rFonts w:ascii="Barlow Semi Condensed" w:cs="Barlow Semi Condensed" w:eastAsia="Barlow Semi Condensed" w:hAnsi="Barlow Semi Condensed"/>
          <w:sz w:val="24"/>
          <w:szCs w:val="24"/>
        </w:rPr>
        <w:t xml:space="preserve"> Chi detiene fondi pubblici ha obblighi di conservazione e accesso: i dinieghi si impugnano nelle sedi amministrative, e ogni impugnazione — vinta o persa — produce la carta che il registro chiede.</w:t>
      </w:r>
    </w:p>
    <w:p>
      <w:pPr>
        <w:spacing w:after="120" w:line="276"/>
        <w:jc w:val="both"/>
      </w:pPr>
      <w:r>
        <w:rPr>
          <w:rFonts w:ascii="Barlow Semi Condensed" w:cs="Barlow Semi Condensed" w:eastAsia="Barlow Semi Condensed" w:hAnsi="Barlow Semi Condensed"/>
          <w:b/>
          <w:bCs/>
          <w:sz w:val="24"/>
          <w:szCs w:val="24"/>
        </w:rPr>
        <w:t xml:space="preserve">351 · Il falso e la sua repressione.</w:t>
      </w:r>
      <w:r>
        <w:rPr>
          <w:rFonts w:ascii="Barlow Semi Condensed" w:cs="Barlow Semi Condensed" w:eastAsia="Barlow Semi Condensed" w:hAnsi="Barlow Semi Condensed"/>
          <w:sz w:val="24"/>
          <w:szCs w:val="24"/>
        </w:rPr>
        <w:t xml:space="preserve"> Documenti contraffatti offerti ai cantieri (il rischio è storico: il caso ne ha già visti) si trattano con perizia immediata e, ove rilevante, con denuncia: il mercato dei falsi si scoraggia con gli atti, non con gli appelli.</w:t>
      </w:r>
    </w:p>
    <w:p>
      <w:pPr>
        <w:spacing w:after="120" w:line="276"/>
        <w:jc w:val="both"/>
      </w:pPr>
      <w:r>
        <w:rPr>
          <w:rFonts w:ascii="Barlow Semi Condensed" w:cs="Barlow Semi Condensed" w:eastAsia="Barlow Semi Condensed" w:hAnsi="Barlow Semi Condensed"/>
          <w:b/>
          <w:bCs/>
          <w:sz w:val="24"/>
          <w:szCs w:val="24"/>
        </w:rPr>
        <w:t xml:space="preserve">352 · L'ordinamento del 1978 come parametro.</w:t>
      </w:r>
      <w:r>
        <w:rPr>
          <w:rFonts w:ascii="Barlow Semi Condensed" w:cs="Barlow Semi Condensed" w:eastAsia="Barlow Semi Condensed" w:hAnsi="Barlow Semi Condensed"/>
          <w:sz w:val="24"/>
          <w:szCs w:val="24"/>
        </w:rPr>
        <w:t xml:space="preserve"> Le condotte storiche si valutano contro i doveri giuridici dell'epoca (blocco 137-138): la tavola delle norme vigenti allora — pubblica sicurezza, procedura, ordinamenti interni — è uno strumento giuridico del caso quanto quelle di oggi.</w:t>
      </w:r>
    </w:p>
    <w:p>
      <w:pPr>
        <w:spacing w:after="120" w:line="276"/>
        <w:jc w:val="both"/>
      </w:pPr>
      <w:r>
        <w:rPr>
          <w:rFonts w:ascii="Barlow Semi Condensed" w:cs="Barlow Semi Condensed" w:eastAsia="Barlow Semi Condensed" w:hAnsi="Barlow Semi Condensed"/>
          <w:b/>
          <w:bCs/>
          <w:sz w:val="24"/>
          <w:szCs w:val="24"/>
        </w:rPr>
        <w:t xml:space="preserve">353 · Le immunità e le prerogative.</w:t>
      </w:r>
      <w:r>
        <w:rPr>
          <w:rFonts w:ascii="Barlow Semi Condensed" w:cs="Barlow Semi Condensed" w:eastAsia="Barlow Semi Condensed" w:hAnsi="Barlow Semi Condensed"/>
          <w:sz w:val="24"/>
          <w:szCs w:val="24"/>
        </w:rPr>
        <w:t xml:space="preserve"> Dove gli atti toccano funzioni coperte da prerogative costituzionali, le procedure dedicate si rispettano alla lettera: il manuale non conosce scorciatoie, perché ogni scorciatoia diventa un vizio che invalida.</w:t>
      </w:r>
    </w:p>
    <w:p>
      <w:pPr>
        <w:spacing w:after="120" w:line="276"/>
        <w:jc w:val="both"/>
      </w:pPr>
      <w:r>
        <w:rPr>
          <w:rFonts w:ascii="Barlow Semi Condensed" w:cs="Barlow Semi Condensed" w:eastAsia="Barlow Semi Condensed" w:hAnsi="Barlow Semi Condensed"/>
          <w:b/>
          <w:bCs/>
          <w:sz w:val="24"/>
          <w:szCs w:val="24"/>
        </w:rPr>
        <w:t xml:space="preserve">354 · Il patrocinio del metodo.</w:t>
      </w:r>
      <w:r>
        <w:rPr>
          <w:rFonts w:ascii="Barlow Semi Condensed" w:cs="Barlow Semi Condensed" w:eastAsia="Barlow Semi Condensed" w:hAnsi="Barlow Semi Condensed"/>
          <w:sz w:val="24"/>
          <w:szCs w:val="24"/>
        </w:rPr>
        <w:t xml:space="preserve"> I cantieri si dotano di consulenza giuridica stabile: ogni serie di questo manuale ha un capitolo di diritto applicato, e nessun atto parte senza il suo visto di forma.</w:t>
      </w:r>
    </w:p>
    <w:p>
      <w:pPr>
        <w:spacing w:after="120" w:line="276"/>
        <w:jc w:val="both"/>
      </w:pPr>
      <w:r>
        <w:rPr>
          <w:rFonts w:ascii="Barlow Semi Condensed" w:cs="Barlow Semi Condensed" w:eastAsia="Barlow Semi Condensed" w:hAnsi="Barlow Semi Condensed"/>
          <w:b/>
          <w:bCs/>
          <w:sz w:val="24"/>
          <w:szCs w:val="24"/>
        </w:rPr>
        <w:t xml:space="preserve">355 · Il criterio della serie.</w:t>
      </w:r>
      <w:r>
        <w:rPr>
          <w:rFonts w:ascii="Barlow Semi Condensed" w:cs="Barlow Semi Condensed" w:eastAsia="Barlow Semi Condensed" w:hAnsi="Barlow Semi Condensed"/>
          <w:sz w:val="24"/>
          <w:szCs w:val="24"/>
        </w:rPr>
        <w:t xml:space="preserve"> Ogni strumento giuridico censito chiude con lo stesso esito delle piste: un atto formale — un'istanza, una convenzione, un vincolo, un'impugnazione — verbalizzato nel registro. Il diritto, nel nuovo caso, è un generatore di documenti come tutto il resto.</w:t>
      </w:r>
    </w:p>
    <w:p>
      <w:pPr>
        <w:pStyle w:val="Heading2"/>
        <w:spacing w:after="100" w:before="200"/>
      </w:pPr>
      <w:r>
        <w:rPr>
          <w:rFonts w:ascii="Barlow Semi Condensed" w:cs="Barlow Semi Condensed" w:eastAsia="Barlow Semi Condensed" w:hAnsi="Barlow Semi Condensed"/>
          <w:sz w:val="24"/>
          <w:szCs w:val="24"/>
        </w:rPr>
        <w:t xml:space="preserve">Serie tredicesima — Il controllo di qualità e i bias (blocchi 356-375)</w:t>
      </w:r>
    </w:p>
    <w:p>
      <w:pPr>
        <w:spacing w:after="120" w:line="276"/>
        <w:jc w:val="both"/>
      </w:pPr>
      <w:r>
        <w:rPr>
          <w:rFonts w:ascii="Barlow Semi Condensed" w:cs="Barlow Semi Condensed" w:eastAsia="Barlow Semi Condensed" w:hAnsi="Barlow Semi Condensed"/>
          <w:i/>
          <w:iCs/>
          <w:sz w:val="24"/>
          <w:szCs w:val="24"/>
        </w:rPr>
        <w:t xml:space="preserve">Statuto della serie: l'indagine che si indaga. Gli errori della serie nona erano storici; questi sono permanenti — i difetti cognitivi e organizzativi che ogni indagine porta con sé — e la serie li presidia con procedure, non con buone intenzioni.</w:t>
      </w:r>
    </w:p>
    <w:p>
      <w:pPr>
        <w:spacing w:after="120" w:line="276"/>
        <w:jc w:val="both"/>
      </w:pPr>
      <w:r>
        <w:rPr>
          <w:rFonts w:ascii="Barlow Semi Condensed" w:cs="Barlow Semi Condensed" w:eastAsia="Barlow Semi Condensed" w:hAnsi="Barlow Semi Condensed"/>
          <w:b/>
          <w:bCs/>
          <w:sz w:val="24"/>
          <w:szCs w:val="24"/>
        </w:rPr>
        <w:t xml:space="preserve">356 · Il red team.</w:t>
      </w:r>
      <w:r>
        <w:rPr>
          <w:rFonts w:ascii="Barlow Semi Condensed" w:cs="Barlow Semi Condensed" w:eastAsia="Barlow Semi Condensed" w:hAnsi="Barlow Semi Condensed"/>
          <w:sz w:val="24"/>
          <w:szCs w:val="24"/>
        </w:rPr>
        <w:t xml:space="preserve"> Un gruppo stabile con un solo mandato: smontare. Per ogni esito rilevante, il red team scrive la miglior confutazione possibile prima della pubblicazione; la risposta alla confutazione è parte dell'atto.</w:t>
      </w:r>
    </w:p>
    <w:p>
      <w:pPr>
        <w:spacing w:after="120" w:line="276"/>
        <w:jc w:val="both"/>
      </w:pPr>
      <w:r>
        <w:rPr>
          <w:rFonts w:ascii="Barlow Semi Condensed" w:cs="Barlow Semi Condensed" w:eastAsia="Barlow Semi Condensed" w:hAnsi="Barlow Semi Condensed"/>
          <w:b/>
          <w:bCs/>
          <w:sz w:val="24"/>
          <w:szCs w:val="24"/>
        </w:rPr>
        <w:t xml:space="preserve">357 · L'avvocato del diavolo di matrice.</w:t>
      </w:r>
      <w:r>
        <w:rPr>
          <w:rFonts w:ascii="Barlow Semi Condensed" w:cs="Barlow Semi Condensed" w:eastAsia="Barlow Semi Condensed" w:hAnsi="Barlow Semi Condensed"/>
          <w:sz w:val="24"/>
          <w:szCs w:val="24"/>
        </w:rPr>
        <w:t xml:space="preserve"> In ogni matrice ACH, un membro designato difende d'ufficio l'ipotesi meno gradita al gruppo: la difesa è verbalizzata, e la matrice non chiude finché non è stata sentita.</w:t>
      </w:r>
    </w:p>
    <w:p>
      <w:pPr>
        <w:spacing w:after="120" w:line="276"/>
        <w:jc w:val="both"/>
      </w:pPr>
      <w:r>
        <w:rPr>
          <w:rFonts w:ascii="Barlow Semi Condensed" w:cs="Barlow Semi Condensed" w:eastAsia="Barlow Semi Condensed" w:hAnsi="Barlow Semi Condensed"/>
          <w:b/>
          <w:bCs/>
          <w:sz w:val="24"/>
          <w:szCs w:val="24"/>
        </w:rPr>
        <w:t xml:space="preserve">358 · Il bias di conferma.</w:t>
      </w:r>
      <w:r>
        <w:rPr>
          <w:rFonts w:ascii="Barlow Semi Condensed" w:cs="Barlow Semi Condensed" w:eastAsia="Barlow Semi Condensed" w:hAnsi="Barlow Semi Condensed"/>
          <w:sz w:val="24"/>
          <w:szCs w:val="24"/>
        </w:rPr>
        <w:t xml:space="preserve"> Il difetto capitale: cercare ciò che conferma. Antidoto procedurale: ogni piano di ricerca elenca prima le evidenze che smentirebbero — e le cerca per prime (è il falsificazionismo fatto agenda).</w:t>
      </w:r>
    </w:p>
    <w:p>
      <w:pPr>
        <w:spacing w:after="120" w:line="276"/>
        <w:jc w:val="both"/>
      </w:pPr>
      <w:r>
        <w:rPr>
          <w:rFonts w:ascii="Barlow Semi Condensed" w:cs="Barlow Semi Condensed" w:eastAsia="Barlow Semi Condensed" w:hAnsi="Barlow Semi Condensed"/>
          <w:b/>
          <w:bCs/>
          <w:sz w:val="24"/>
          <w:szCs w:val="24"/>
        </w:rPr>
        <w:t xml:space="preserve">359 · Il senno di poi.</w:t>
      </w:r>
      <w:r>
        <w:rPr>
          <w:rFonts w:ascii="Barlow Semi Condensed" w:cs="Barlow Semi Condensed" w:eastAsia="Barlow Semi Condensed" w:hAnsi="Barlow Semi Condensed"/>
          <w:sz w:val="24"/>
          <w:szCs w:val="24"/>
        </w:rPr>
        <w:t xml:space="preserve"> Giudicare il 1978 sapendo come finì. Antidoto: la valutazione delle condotte usa solo le informazioni disponibili all'epoca dell'atto, ricostruite documentalmente (blocchi 137, 352); il resto è cronaca, non giudizio.</w:t>
      </w:r>
    </w:p>
    <w:p>
      <w:pPr>
        <w:spacing w:after="120" w:line="276"/>
        <w:jc w:val="both"/>
      </w:pPr>
      <w:r>
        <w:rPr>
          <w:rFonts w:ascii="Barlow Semi Condensed" w:cs="Barlow Semi Condensed" w:eastAsia="Barlow Semi Condensed" w:hAnsi="Barlow Semi Condensed"/>
          <w:b/>
          <w:bCs/>
          <w:sz w:val="24"/>
          <w:szCs w:val="24"/>
        </w:rPr>
        <w:t xml:space="preserve">360 · L'ancoraggio.</w:t>
      </w:r>
      <w:r>
        <w:rPr>
          <w:rFonts w:ascii="Barlow Semi Condensed" w:cs="Barlow Semi Condensed" w:eastAsia="Barlow Semi Condensed" w:hAnsi="Barlow Semi Condensed"/>
          <w:sz w:val="24"/>
          <w:szCs w:val="24"/>
        </w:rPr>
        <w:t xml:space="preserve"> La prima cifra, la prima versione, la prima perizia che orientano tutto il seguito. Antidoto: le revisioni periodiche ripartono dai dati grezzi, non dalle sintesi precedenti; e ogni sintesi dichiara le proprie fonti primarie.</w:t>
      </w:r>
    </w:p>
    <w:p>
      <w:pPr>
        <w:spacing w:after="120" w:line="276"/>
        <w:jc w:val="both"/>
      </w:pPr>
      <w:r>
        <w:rPr>
          <w:rFonts w:ascii="Barlow Semi Condensed" w:cs="Barlow Semi Condensed" w:eastAsia="Barlow Semi Condensed" w:hAnsi="Barlow Semi Condensed"/>
          <w:b/>
          <w:bCs/>
          <w:sz w:val="24"/>
          <w:szCs w:val="24"/>
        </w:rPr>
        <w:t xml:space="preserve">361 · La disponibilità.</w:t>
      </w:r>
      <w:r>
        <w:rPr>
          <w:rFonts w:ascii="Barlow Semi Condensed" w:cs="Barlow Semi Condensed" w:eastAsia="Barlow Semi Condensed" w:hAnsi="Barlow Semi Condensed"/>
          <w:sz w:val="24"/>
          <w:szCs w:val="24"/>
        </w:rPr>
        <w:t xml:space="preserve"> Ciò che è celebre pesa più di ciò che è documentato: la seduta spiritica sovrasta il protocollo. Antidoto: le priorità si assegnano col modello dichiarato dei punteggi, mai con la notorietà del nodo.</w:t>
      </w:r>
    </w:p>
    <w:p>
      <w:pPr>
        <w:spacing w:after="120" w:line="276"/>
        <w:jc w:val="both"/>
      </w:pPr>
      <w:r>
        <w:rPr>
          <w:rFonts w:ascii="Barlow Semi Condensed" w:cs="Barlow Semi Condensed" w:eastAsia="Barlow Semi Condensed" w:hAnsi="Barlow Semi Condensed"/>
          <w:b/>
          <w:bCs/>
          <w:sz w:val="24"/>
          <w:szCs w:val="24"/>
        </w:rPr>
        <w:t xml:space="preserve">362 · La visione a tunnel.</w:t>
      </w:r>
      <w:r>
        <w:rPr>
          <w:rFonts w:ascii="Barlow Semi Condensed" w:cs="Barlow Semi Condensed" w:eastAsia="Barlow Semi Condensed" w:hAnsi="Barlow Semi Condensed"/>
          <w:sz w:val="24"/>
          <w:szCs w:val="24"/>
        </w:rPr>
        <w:t xml:space="preserve"> L'indagine che si innamora di una pista. Antidoto: il portafoglio delle piste resta bilanciato per costruzione — la revisione trimestrale (287) verifica che nessuna pista assorba risorse oltre il suo punteggio.</w:t>
      </w:r>
    </w:p>
    <w:p>
      <w:pPr>
        <w:spacing w:after="120" w:line="276"/>
        <w:jc w:val="both"/>
      </w:pPr>
      <w:r>
        <w:rPr>
          <w:rFonts w:ascii="Barlow Semi Condensed" w:cs="Barlow Semi Condensed" w:eastAsia="Barlow Semi Condensed" w:hAnsi="Barlow Semi Condensed"/>
          <w:b/>
          <w:bCs/>
          <w:sz w:val="24"/>
          <w:szCs w:val="24"/>
        </w:rPr>
        <w:t xml:space="preserve">363 · Il pensiero di gruppo.</w:t>
      </w:r>
      <w:r>
        <w:rPr>
          <w:rFonts w:ascii="Barlow Semi Condensed" w:cs="Barlow Semi Condensed" w:eastAsia="Barlow Semi Condensed" w:hAnsi="Barlow Semi Condensed"/>
          <w:sz w:val="24"/>
          <w:szCs w:val="24"/>
        </w:rPr>
        <w:t xml:space="preserve"> Il consenso interno scambiato per verità. Antidoto: i pareri nei cantieri si raccolgono per iscritto prima della discussione collegiale; il dissenso è verbalizzato con pari dignità.</w:t>
      </w:r>
    </w:p>
    <w:p>
      <w:pPr>
        <w:spacing w:after="120" w:line="276"/>
        <w:jc w:val="both"/>
      </w:pPr>
      <w:r>
        <w:rPr>
          <w:rFonts w:ascii="Barlow Semi Condensed" w:cs="Barlow Semi Condensed" w:eastAsia="Barlow Semi Condensed" w:hAnsi="Barlow Semi Condensed"/>
          <w:b/>
          <w:bCs/>
          <w:sz w:val="24"/>
          <w:szCs w:val="24"/>
        </w:rPr>
        <w:t xml:space="preserve">364 · Il bias d'autorità.</w:t>
      </w:r>
      <w:r>
        <w:rPr>
          <w:rFonts w:ascii="Barlow Semi Condensed" w:cs="Barlow Semi Condensed" w:eastAsia="Barlow Semi Condensed" w:hAnsi="Barlow Semi Condensed"/>
          <w:sz w:val="24"/>
          <w:szCs w:val="24"/>
        </w:rPr>
        <w:t xml:space="preserve"> La firma illustre che chiude le domande. Antidoto: negli atti dei cantieri le asserzioni valgono per le fonti, non per i firmatari; la replica indipendente (74) vale anche per i massimi esperti.</w:t>
      </w:r>
    </w:p>
    <w:p>
      <w:pPr>
        <w:spacing w:after="120" w:line="276"/>
        <w:jc w:val="both"/>
      </w:pPr>
      <w:r>
        <w:rPr>
          <w:rFonts w:ascii="Barlow Semi Condensed" w:cs="Barlow Semi Condensed" w:eastAsia="Barlow Semi Condensed" w:hAnsi="Barlow Semi Condensed"/>
          <w:b/>
          <w:bCs/>
          <w:sz w:val="24"/>
          <w:szCs w:val="24"/>
        </w:rPr>
        <w:t xml:space="preserve">365 · La fallacia narrativa.</w:t>
      </w:r>
      <w:r>
        <w:rPr>
          <w:rFonts w:ascii="Barlow Semi Condensed" w:cs="Barlow Semi Condensed" w:eastAsia="Barlow Semi Condensed" w:hAnsi="Barlow Semi Condensed"/>
          <w:sz w:val="24"/>
          <w:szCs w:val="24"/>
        </w:rPr>
        <w:t xml:space="preserve"> La storia bella che si impone sui dati sparsi. Antidoto: le tavole prima delle prose (14); ogni ricostruzione narrativa pubblica dichiara quali dati non spiega — il paragrafo «ciò che questa lettura lascia fuori» è obbligatorio.</w:t>
      </w:r>
    </w:p>
    <w:p>
      <w:pPr>
        <w:spacing w:after="120" w:line="276"/>
        <w:jc w:val="both"/>
      </w:pPr>
      <w:r>
        <w:rPr>
          <w:rFonts w:ascii="Barlow Semi Condensed" w:cs="Barlow Semi Condensed" w:eastAsia="Barlow Semi Condensed" w:hAnsi="Barlow Semi Condensed"/>
          <w:b/>
          <w:bCs/>
          <w:sz w:val="24"/>
          <w:szCs w:val="24"/>
        </w:rPr>
        <w:t xml:space="preserve">366 · Il costo affondato.</w:t>
      </w:r>
      <w:r>
        <w:rPr>
          <w:rFonts w:ascii="Barlow Semi Condensed" w:cs="Barlow Semi Condensed" w:eastAsia="Barlow Semi Condensed" w:hAnsi="Barlow Semi Condensed"/>
          <w:sz w:val="24"/>
          <w:szCs w:val="24"/>
        </w:rPr>
        <w:t xml:space="preserve"> Anni investiti su una pista che meriterebbe archiviazione. Antidoto: le condizioni d'arresto (286) si applicano senza riguardo all'investimento; l'archiviazione motivata è un successo contabile, non una sconfitta.</w:t>
      </w:r>
    </w:p>
    <w:p>
      <w:pPr>
        <w:spacing w:after="120" w:line="276"/>
        <w:jc w:val="both"/>
      </w:pPr>
      <w:r>
        <w:rPr>
          <w:rFonts w:ascii="Barlow Semi Condensed" w:cs="Barlow Semi Condensed" w:eastAsia="Barlow Semi Condensed" w:hAnsi="Barlow Semi Condensed"/>
          <w:b/>
          <w:bCs/>
          <w:sz w:val="24"/>
          <w:szCs w:val="24"/>
        </w:rPr>
        <w:t xml:space="preserve">367 · La negligenza della base.</w:t>
      </w:r>
      <w:r>
        <w:rPr>
          <w:rFonts w:ascii="Barlow Semi Condensed" w:cs="Barlow Semi Condensed" w:eastAsia="Barlow Semi Condensed" w:hAnsi="Barlow Semi Condensed"/>
          <w:sz w:val="24"/>
          <w:szCs w:val="24"/>
        </w:rPr>
        <w:t xml:space="preserve"> L'anomalia dichiarata senza conoscere la normalità. Antidoto: il campione di controllo (136, 227) è obbligatorio per ogni affermazione di anomalia — nessun «strano» senza il suo «normale» misurato.</w:t>
      </w:r>
    </w:p>
    <w:p>
      <w:pPr>
        <w:spacing w:after="120" w:line="276"/>
        <w:jc w:val="both"/>
      </w:pPr>
      <w:r>
        <w:rPr>
          <w:rFonts w:ascii="Barlow Semi Condensed" w:cs="Barlow Semi Condensed" w:eastAsia="Barlow Semi Condensed" w:hAnsi="Barlow Semi Condensed"/>
          <w:b/>
          <w:bCs/>
          <w:sz w:val="24"/>
          <w:szCs w:val="24"/>
        </w:rPr>
        <w:t xml:space="preserve">368 · Il bias di selezione delle fonti.</w:t>
      </w:r>
      <w:r>
        <w:rPr>
          <w:rFonts w:ascii="Barlow Semi Condensed" w:cs="Barlow Semi Condensed" w:eastAsia="Barlow Semi Condensed" w:hAnsi="Barlow Semi Condensed"/>
          <w:sz w:val="24"/>
          <w:szCs w:val="24"/>
        </w:rPr>
        <w:t xml:space="preserve"> Citare i fondi che parlano e tacere quelli muti. Antidoto: ogni pubblicazione elenca </w:t>
      </w:r>
      <w:r>
        <w:rPr>
          <w:rFonts w:ascii="Barlow Semi Condensed" w:cs="Barlow Semi Condensed" w:eastAsia="Barlow Semi Condensed" w:hAnsi="Barlow Semi Condensed"/>
          <w:i/>
          <w:iCs/>
          <w:sz w:val="24"/>
          <w:szCs w:val="24"/>
        </w:rPr>
        <w:t xml:space="preserve">tutti</w:t>
      </w:r>
      <w:r>
        <w:rPr>
          <w:rFonts w:ascii="Barlow Semi Condensed" w:cs="Barlow Semi Condensed" w:eastAsia="Barlow Semi Condensed" w:hAnsi="Barlow Semi Condensed"/>
          <w:sz w:val="24"/>
          <w:szCs w:val="24"/>
        </w:rPr>
        <w:t xml:space="preserve"> i fondi consultati, inclusi quelli senza esito (13, 276).</w:t>
      </w:r>
    </w:p>
    <w:p>
      <w:pPr>
        <w:spacing w:after="120" w:line="276"/>
        <w:jc w:val="both"/>
      </w:pPr>
      <w:r>
        <w:rPr>
          <w:rFonts w:ascii="Barlow Semi Condensed" w:cs="Barlow Semi Condensed" w:eastAsia="Barlow Semi Condensed" w:hAnsi="Barlow Semi Condensed"/>
          <w:b/>
          <w:bCs/>
          <w:sz w:val="24"/>
          <w:szCs w:val="24"/>
        </w:rPr>
        <w:t xml:space="preserve">369 · L'effetto alone del reperto.</w:t>
      </w:r>
      <w:r>
        <w:rPr>
          <w:rFonts w:ascii="Barlow Semi Condensed" w:cs="Barlow Semi Condensed" w:eastAsia="Barlow Semi Condensed" w:hAnsi="Barlow Semi Condensed"/>
          <w:sz w:val="24"/>
          <w:szCs w:val="24"/>
        </w:rPr>
        <w:t xml:space="preserve"> La scienza nuova che nobilita un reperto a custodia rotta. Antidoto: il grado condizionato alla catena (48) si stampa accanto a ogni esito, nella stessa riga, con lo stesso corpo tipografico.</w:t>
      </w:r>
    </w:p>
    <w:p>
      <w:pPr>
        <w:spacing w:after="120" w:line="276"/>
        <w:jc w:val="both"/>
      </w:pPr>
      <w:r>
        <w:rPr>
          <w:rFonts w:ascii="Barlow Semi Condensed" w:cs="Barlow Semi Condensed" w:eastAsia="Barlow Semi Condensed" w:hAnsi="Barlow Semi Condensed"/>
          <w:b/>
          <w:bCs/>
          <w:sz w:val="24"/>
          <w:szCs w:val="24"/>
        </w:rPr>
        <w:t xml:space="preserve">370 · La contaminazione fra cantieri.</w:t>
      </w:r>
      <w:r>
        <w:rPr>
          <w:rFonts w:ascii="Barlow Semi Condensed" w:cs="Barlow Semi Condensed" w:eastAsia="Barlow Semi Condensed" w:hAnsi="Barlow Semi Condensed"/>
          <w:sz w:val="24"/>
          <w:szCs w:val="24"/>
        </w:rPr>
        <w:t xml:space="preserve"> L'ipotesi giudiziaria che orienta lo spoglio, o viceversa. Antidoto: i quesiti si scambiano per iscritto nel tavolo di coordinamento (26); gli operatori di spoglio non conoscono le ipotesi correnti oltre le chiavi dichiarate.</w:t>
      </w:r>
    </w:p>
    <w:p>
      <w:pPr>
        <w:spacing w:after="120" w:line="276"/>
        <w:jc w:val="both"/>
      </w:pPr>
      <w:r>
        <w:rPr>
          <w:rFonts w:ascii="Barlow Semi Condensed" w:cs="Barlow Semi Condensed" w:eastAsia="Barlow Semi Condensed" w:hAnsi="Barlow Semi Condensed"/>
          <w:b/>
          <w:bCs/>
          <w:sz w:val="24"/>
          <w:szCs w:val="24"/>
        </w:rPr>
        <w:t xml:space="preserve">371 · La quality review programmata.</w:t>
      </w:r>
      <w:r>
        <w:rPr>
          <w:rFonts w:ascii="Barlow Semi Condensed" w:cs="Barlow Semi Condensed" w:eastAsia="Barlow Semi Condensed" w:hAnsi="Barlow Semi Condensed"/>
          <w:sz w:val="24"/>
          <w:szCs w:val="24"/>
        </w:rPr>
        <w:t xml:space="preserve"> Un audit esterno annuale — condotto da chi non lavora nei cantieri — verifica a campione: catene di custodia, schede, gradi assegnati, protocolli di escussione. Il rapporto d'audit è pubblico.</w:t>
      </w:r>
    </w:p>
    <w:p>
      <w:pPr>
        <w:spacing w:after="120" w:line="276"/>
        <w:jc w:val="both"/>
      </w:pPr>
      <w:r>
        <w:rPr>
          <w:rFonts w:ascii="Barlow Semi Condensed" w:cs="Barlow Semi Condensed" w:eastAsia="Barlow Semi Condensed" w:hAnsi="Barlow Semi Condensed"/>
          <w:b/>
          <w:bCs/>
          <w:sz w:val="24"/>
          <w:szCs w:val="24"/>
        </w:rPr>
        <w:t xml:space="preserve">372 · Il tasso d'errore dichiarato.</w:t>
      </w:r>
      <w:r>
        <w:rPr>
          <w:rFonts w:ascii="Barlow Semi Condensed" w:cs="Barlow Semi Condensed" w:eastAsia="Barlow Semi Condensed" w:hAnsi="Barlow Semi Condensed"/>
          <w:sz w:val="24"/>
          <w:szCs w:val="24"/>
        </w:rPr>
        <w:t xml:space="preserve"> Ogni processo di massa (schedatura, OCR, entity linking) misura e pubblica il proprio tasso d'errore su campione verificato: i dati del caso viaggiano con la loro barra d'incertezza.</w:t>
      </w:r>
    </w:p>
    <w:p>
      <w:pPr>
        <w:spacing w:after="120" w:line="276"/>
        <w:jc w:val="both"/>
      </w:pPr>
      <w:r>
        <w:rPr>
          <w:rFonts w:ascii="Barlow Semi Condensed" w:cs="Barlow Semi Condensed" w:eastAsia="Barlow Semi Condensed" w:hAnsi="Barlow Semi Condensed"/>
          <w:b/>
          <w:bCs/>
          <w:sz w:val="24"/>
          <w:szCs w:val="24"/>
        </w:rPr>
        <w:t xml:space="preserve">373 · La calibrazione dei giudizi.</w:t>
      </w:r>
      <w:r>
        <w:rPr>
          <w:rFonts w:ascii="Barlow Semi Condensed" w:cs="Barlow Semi Condensed" w:eastAsia="Barlow Semi Condensed" w:hAnsi="Barlow Semi Condensed"/>
          <w:sz w:val="24"/>
          <w:szCs w:val="24"/>
        </w:rPr>
        <w:t xml:space="preserve"> Chi assegna gradi e punteggi si esercita periodicamente su casi di controllo a esito noto: la coerenza inter-valutatore si misura, e le divergenze sistematiche si correggono con la formazione, non con l'autorità.</w:t>
      </w:r>
    </w:p>
    <w:p>
      <w:pPr>
        <w:spacing w:after="120" w:line="276"/>
        <w:jc w:val="both"/>
      </w:pPr>
      <w:r>
        <w:rPr>
          <w:rFonts w:ascii="Barlow Semi Condensed" w:cs="Barlow Semi Condensed" w:eastAsia="Barlow Semi Condensed" w:hAnsi="Barlow Semi Condensed"/>
          <w:b/>
          <w:bCs/>
          <w:sz w:val="24"/>
          <w:szCs w:val="24"/>
        </w:rPr>
        <w:t xml:space="preserve">374 · Il registro dei quasi-errori.</w:t>
      </w:r>
      <w:r>
        <w:rPr>
          <w:rFonts w:ascii="Barlow Semi Condensed" w:cs="Barlow Semi Condensed" w:eastAsia="Barlow Semi Condensed" w:hAnsi="Barlow Semi Condensed"/>
          <w:sz w:val="24"/>
          <w:szCs w:val="24"/>
        </w:rPr>
        <w:t xml:space="preserve"> Gli sbagli intercettati prima della pubblicazione si schedano come i quasi-incidenti dell'aviazione: sono il materiale didattico più prezioso del metodo, e alimentano la serie nona (280).</w:t>
      </w:r>
    </w:p>
    <w:p>
      <w:pPr>
        <w:spacing w:after="120" w:line="276"/>
        <w:jc w:val="both"/>
      </w:pPr>
      <w:r>
        <w:rPr>
          <w:rFonts w:ascii="Barlow Semi Condensed" w:cs="Barlow Semi Condensed" w:eastAsia="Barlow Semi Condensed" w:hAnsi="Barlow Semi Condensed"/>
          <w:b/>
          <w:bCs/>
          <w:sz w:val="24"/>
          <w:szCs w:val="24"/>
        </w:rPr>
        <w:t xml:space="preserve">375 · Il criterio della serie.</w:t>
      </w:r>
      <w:r>
        <w:rPr>
          <w:rFonts w:ascii="Barlow Semi Condensed" w:cs="Barlow Semi Condensed" w:eastAsia="Barlow Semi Condensed" w:hAnsi="Barlow Semi Condensed"/>
          <w:sz w:val="24"/>
          <w:szCs w:val="24"/>
        </w:rPr>
        <w:t xml:space="preserve"> La qualità del nuovo caso non si proclama: si misura — audit, tassi, calibrazioni, confutazioni — e ogni misura è pubblica. Un'indagine che non pubblica i propri controlli chiede fiducia; questa esibisce verifica.</w:t>
      </w:r>
    </w:p>
    <w:p>
      <w:pPr>
        <w:pStyle w:val="Heading2"/>
        <w:spacing w:after="100" w:before="200"/>
      </w:pPr>
      <w:r>
        <w:rPr>
          <w:rFonts w:ascii="Barlow Semi Condensed" w:cs="Barlow Semi Condensed" w:eastAsia="Barlow Semi Condensed" w:hAnsi="Barlow Semi Condensed"/>
          <w:sz w:val="24"/>
          <w:szCs w:val="24"/>
        </w:rPr>
        <w:t xml:space="preserve">Serie quattordicesima — Il raccordo esecutivo per pista (blocchi 376-391)</w:t>
      </w:r>
    </w:p>
    <w:p>
      <w:pPr>
        <w:spacing w:after="120" w:line="276"/>
        <w:jc w:val="both"/>
      </w:pPr>
      <w:r>
        <w:rPr>
          <w:rFonts w:ascii="Barlow Semi Condensed" w:cs="Barlow Semi Condensed" w:eastAsia="Barlow Semi Condensed" w:hAnsi="Barlow Semi Condensed"/>
          <w:i/>
          <w:iCs/>
          <w:sz w:val="24"/>
          <w:szCs w:val="24"/>
        </w:rPr>
        <w:t xml:space="preserve">Statuto della serie: l'indice operativo. Per ciascuna pista viva, un solo blocco: cantiere responsabile, blocchi del manuale che la servono, primo atto, evidenza attesa. La serie è la cerniera fra le graduatorie e il lavoro quotidiano.</w:t>
      </w:r>
    </w:p>
    <w:p>
      <w:pPr>
        <w:spacing w:after="120" w:line="276"/>
        <w:jc w:val="both"/>
      </w:pPr>
      <w:r>
        <w:rPr>
          <w:rFonts w:ascii="Barlow Semi Condensed" w:cs="Barlow Semi Condensed" w:eastAsia="Barlow Semi Condensed" w:hAnsi="Barlow Semi Condensed"/>
          <w:b/>
          <w:bCs/>
          <w:sz w:val="24"/>
          <w:szCs w:val="24"/>
        </w:rPr>
        <w:t xml:space="preserve">376 · PN-1, le terze presenze (89,0).</w:t>
      </w:r>
      <w:r>
        <w:rPr>
          <w:rFonts w:ascii="Barlow Semi Condensed" w:cs="Barlow Semi Condensed" w:eastAsia="Barlow Semi Condensed" w:hAnsi="Barlow Semi Condensed"/>
          <w:sz w:val="24"/>
          <w:szCs w:val="24"/>
        </w:rPr>
        <w:t xml:space="preserve"> Cantiere giudiziario. Blocchi di servizio: 46-56, 84-85, 171-174. Primo atto: inventario e catena dei 91 bossoli. Evidenza attesa: l'attribuzione integrale o il residuo ignoto.</w:t>
      </w:r>
    </w:p>
    <w:p>
      <w:pPr>
        <w:spacing w:after="120" w:line="276"/>
        <w:jc w:val="both"/>
      </w:pPr>
      <w:r>
        <w:rPr>
          <w:rFonts w:ascii="Barlow Semi Condensed" w:cs="Barlow Semi Condensed" w:eastAsia="Barlow Semi Condensed" w:hAnsi="Barlow Semi Condensed"/>
          <w:b/>
          <w:bCs/>
          <w:sz w:val="24"/>
          <w:szCs w:val="24"/>
        </w:rPr>
        <w:t xml:space="preserve">377 · PN-7, i testimoni viventi (77,5).</w:t>
      </w:r>
      <w:r>
        <w:rPr>
          <w:rFonts w:ascii="Barlow Semi Condensed" w:cs="Barlow Semi Condensed" w:eastAsia="Barlow Semi Condensed" w:hAnsi="Barlow Semi Condensed"/>
          <w:sz w:val="24"/>
          <w:szCs w:val="24"/>
        </w:rPr>
        <w:t xml:space="preserve"> Cantiere conservativo. Blocchi: 141-148, 160, 169, 334. Primo atto: la tavola delle urgenze e le prime escussioni in contraddittorio documentale. Evidenza attesa: il giacimento fissato prima che il tempo lo chiuda.</w:t>
      </w:r>
    </w:p>
    <w:p>
      <w:pPr>
        <w:spacing w:after="120" w:line="276"/>
        <w:jc w:val="both"/>
      </w:pPr>
      <w:r>
        <w:rPr>
          <w:rFonts w:ascii="Barlow Semi Condensed" w:cs="Barlow Semi Condensed" w:eastAsia="Barlow Semi Condensed" w:hAnsi="Barlow Semi Condensed"/>
          <w:b/>
          <w:bCs/>
          <w:sz w:val="24"/>
          <w:szCs w:val="24"/>
        </w:rPr>
        <w:t xml:space="preserve">378 · PN-4, la fonte di «Gradoli» (74,5).</w:t>
      </w:r>
      <w:r>
        <w:rPr>
          <w:rFonts w:ascii="Barlow Semi Condensed" w:cs="Barlow Semi Condensed" w:eastAsia="Barlow Semi Condensed" w:hAnsi="Barlow Semi Condensed"/>
          <w:sz w:val="24"/>
          <w:szCs w:val="24"/>
        </w:rPr>
        <w:t xml:space="preserve"> Cantiere archivistico. Blocchi: 100, 92-96, 179-180, 251. Primo atto: la ricerca della verbalizzazione originaria nei versamenti del Viminale. Evidenza attesa: la catena documentale, anello per anello.</w:t>
      </w:r>
    </w:p>
    <w:p>
      <w:pPr>
        <w:spacing w:after="120" w:line="276"/>
        <w:jc w:val="both"/>
      </w:pPr>
      <w:r>
        <w:rPr>
          <w:rFonts w:ascii="Barlow Semi Condensed" w:cs="Barlow Semi Condensed" w:eastAsia="Barlow Semi Condensed" w:hAnsi="Barlow Semi Condensed"/>
          <w:b/>
          <w:bCs/>
          <w:sz w:val="24"/>
          <w:szCs w:val="24"/>
        </w:rPr>
        <w:t xml:space="preserve">379 · PN-2, il caricatore (71,0).</w:t>
      </w:r>
      <w:r>
        <w:rPr>
          <w:rFonts w:ascii="Barlow Semi Condensed" w:cs="Barlow Semi Condensed" w:eastAsia="Barlow Semi Condensed" w:hAnsi="Barlow Semi Condensed"/>
          <w:sz w:val="24"/>
          <w:szCs w:val="24"/>
        </w:rPr>
        <w:t xml:space="preserve"> Cantiere giudiziario. Blocchi: 57-58, 73-74. Primo atto: gli esiti delle analisi in corso, con la verifica di compatibilità d'arma. Evidenza attesa: il quesito binario chiuso, in uno dei due rami.</w:t>
      </w:r>
    </w:p>
    <w:p>
      <w:pPr>
        <w:spacing w:after="120" w:line="276"/>
        <w:jc w:val="both"/>
      </w:pPr>
      <w:r>
        <w:rPr>
          <w:rFonts w:ascii="Barlow Semi Condensed" w:cs="Barlow Semi Condensed" w:eastAsia="Barlow Semi Condensed" w:hAnsi="Barlow Semi Condensed"/>
          <w:b/>
          <w:bCs/>
          <w:sz w:val="24"/>
          <w:szCs w:val="24"/>
        </w:rPr>
        <w:t xml:space="preserve">380 · PN-5, le omissioni istituzionali nel fondo Renzi (67,5).</w:t>
      </w:r>
      <w:r>
        <w:rPr>
          <w:rFonts w:ascii="Barlow Semi Condensed" w:cs="Barlow Semi Condensed" w:eastAsia="Barlow Semi Condensed" w:hAnsi="Barlow Semi Condensed"/>
          <w:sz w:val="24"/>
          <w:szCs w:val="24"/>
        </w:rPr>
        <w:t xml:space="preserve"> Cantiere archivistico. Blocchi: 92-96, 105-107, 137-138. Primo atto: lo spoglio prioritario dei versamenti Viminale con le chiavi del caso. Evidenza attesa: le schede di rinvenimento e di assenza.</w:t>
      </w:r>
    </w:p>
    <w:p>
      <w:pPr>
        <w:spacing w:after="120" w:line="276"/>
        <w:jc w:val="both"/>
      </w:pPr>
      <w:r>
        <w:rPr>
          <w:rFonts w:ascii="Barlow Semi Condensed" w:cs="Barlow Semi Condensed" w:eastAsia="Barlow Semi Condensed" w:hAnsi="Barlow Semi Condensed"/>
          <w:b/>
          <w:bCs/>
          <w:sz w:val="24"/>
          <w:szCs w:val="24"/>
        </w:rPr>
        <w:t xml:space="preserve">381 · PN-3, i profili DNA non identificati (67,5).</w:t>
      </w:r>
      <w:r>
        <w:rPr>
          <w:rFonts w:ascii="Barlow Semi Condensed" w:cs="Barlow Semi Condensed" w:eastAsia="Barlow Semi Condensed" w:hAnsi="Barlow Semi Condensed"/>
          <w:sz w:val="24"/>
          <w:szCs w:val="24"/>
        </w:rPr>
        <w:t xml:space="preserve"> Cantiere giudiziario. Blocchi: 59-61, 245. Primo atto: il completamento delle comparazioni autorizzate. Evidenza attesa: identificazioni o residui dichiarati.</w:t>
      </w:r>
    </w:p>
    <w:p>
      <w:pPr>
        <w:spacing w:after="120" w:line="276"/>
        <w:jc w:val="both"/>
      </w:pPr>
      <w:r>
        <w:rPr>
          <w:rFonts w:ascii="Barlow Semi Condensed" w:cs="Barlow Semi Condensed" w:eastAsia="Barlow Semi Condensed" w:hAnsi="Barlow Semi Condensed"/>
          <w:b/>
          <w:bCs/>
          <w:sz w:val="24"/>
          <w:szCs w:val="24"/>
        </w:rPr>
        <w:t xml:space="preserve">382 · PN-8, gli archivi futuri (52,5).</w:t>
      </w:r>
      <w:r>
        <w:rPr>
          <w:rFonts w:ascii="Barlow Semi Condensed" w:cs="Barlow Semi Condensed" w:eastAsia="Barlow Semi Condensed" w:hAnsi="Barlow Semi Condensed"/>
          <w:sz w:val="24"/>
          <w:szCs w:val="24"/>
        </w:rPr>
        <w:t xml:space="preserve"> Cantiere archivistico. Blocchi: 112-113, 284. Primo atto: le istanze pronte con i quesiti scritti. Evidenza attesa: lo spoglio dal primo giorno utile.</w:t>
      </w:r>
    </w:p>
    <w:p>
      <w:pPr>
        <w:spacing w:after="120" w:line="276"/>
        <w:jc w:val="both"/>
      </w:pPr>
      <w:r>
        <w:rPr>
          <w:rFonts w:ascii="Barlow Semi Condensed" w:cs="Barlow Semi Condensed" w:eastAsia="Barlow Semi Condensed" w:hAnsi="Barlow Semi Condensed"/>
          <w:b/>
          <w:bCs/>
          <w:sz w:val="24"/>
          <w:szCs w:val="24"/>
        </w:rPr>
        <w:t xml:space="preserve">383 · PN-6, la sorte del memoriale (50,5).</w:t>
      </w:r>
      <w:r>
        <w:rPr>
          <w:rFonts w:ascii="Barlow Semi Condensed" w:cs="Barlow Semi Condensed" w:eastAsia="Barlow Semi Condensed" w:hAnsi="Barlow Semi Condensed"/>
          <w:sz w:val="24"/>
          <w:szCs w:val="24"/>
        </w:rPr>
        <w:t xml:space="preserve"> Cantiere archivistico con perizia. Blocchi: 67-68, 195-199. Primo atto: la collazione integrale delle tre tradizioni. Evidenza attesa: la carta delle lacune.</w:t>
      </w:r>
    </w:p>
    <w:p>
      <w:pPr>
        <w:spacing w:after="120" w:line="276"/>
        <w:jc w:val="both"/>
      </w:pPr>
      <w:r>
        <w:rPr>
          <w:rFonts w:ascii="Barlow Semi Condensed" w:cs="Barlow Semi Condensed" w:eastAsia="Barlow Semi Condensed" w:hAnsi="Barlow Semi Condensed"/>
          <w:b/>
          <w:bCs/>
          <w:sz w:val="24"/>
          <w:szCs w:val="24"/>
        </w:rPr>
        <w:t xml:space="preserve">384 · PE-1, i comitati e le appartenenze (74,5).</w:t>
      </w:r>
      <w:r>
        <w:rPr>
          <w:rFonts w:ascii="Barlow Semi Condensed" w:cs="Barlow Semi Condensed" w:eastAsia="Barlow Semi Condensed" w:hAnsi="Barlow Semi Condensed"/>
          <w:sz w:val="24"/>
          <w:szCs w:val="24"/>
        </w:rPr>
        <w:t xml:space="preserve"> Cantiere archivistico. Blocchi: 105-107, 200-203, 352. Primo atto: la tavola nominale dai decreti e dai verbali. Evidenza attesa: la percentuale documentale con date, qualunque sia.</w:t>
      </w:r>
    </w:p>
    <w:p>
      <w:pPr>
        <w:spacing w:after="120" w:line="276"/>
        <w:jc w:val="both"/>
      </w:pPr>
      <w:r>
        <w:rPr>
          <w:rFonts w:ascii="Barlow Semi Condensed" w:cs="Barlow Semi Condensed" w:eastAsia="Barlow Semi Condensed" w:hAnsi="Barlow Semi Condensed"/>
          <w:b/>
          <w:bCs/>
          <w:sz w:val="24"/>
          <w:szCs w:val="24"/>
        </w:rPr>
        <w:t xml:space="preserve">385 · PE-3, i trenta giorni di via Gradoli (74,5).</w:t>
      </w:r>
      <w:r>
        <w:rPr>
          <w:rFonts w:ascii="Barlow Semi Condensed" w:cs="Barlow Semi Condensed" w:eastAsia="Barlow Semi Condensed" w:hAnsi="Barlow Semi Condensed"/>
          <w:sz w:val="24"/>
          <w:szCs w:val="24"/>
        </w:rPr>
        <w:t xml:space="preserve"> Cantiere archivistico. Blocchi: 101-103, 181-186, 251-252. Primo atto: il fascicolo del Flaminio Nuovo e il fascicolo VVF integrale. Evidenza attesa: le due catene — della nota e dell'allagamento.</w:t>
      </w:r>
    </w:p>
    <w:p>
      <w:pPr>
        <w:spacing w:after="120" w:line="276"/>
        <w:jc w:val="both"/>
      </w:pPr>
      <w:r>
        <w:rPr>
          <w:rFonts w:ascii="Barlow Semi Condensed" w:cs="Barlow Semi Condensed" w:eastAsia="Barlow Semi Condensed" w:hAnsi="Barlow Semi Condensed"/>
          <w:b/>
          <w:bCs/>
          <w:sz w:val="24"/>
          <w:szCs w:val="24"/>
        </w:rPr>
        <w:t xml:space="preserve">386 · PE-2, il condominio e le sue date (67,5).</w:t>
      </w:r>
      <w:r>
        <w:rPr>
          <w:rFonts w:ascii="Barlow Semi Condensed" w:cs="Barlow Semi Condensed" w:eastAsia="Barlow Semi Condensed" w:hAnsi="Barlow Semi Condensed"/>
          <w:sz w:val="24"/>
          <w:szCs w:val="24"/>
        </w:rPr>
        <w:t xml:space="preserve"> Cantiere archivistico. Blocchi: 108-110, 122, 204-205, 261. Primo atto: le visure storiche dei 66 appartamenti. Evidenza attesa: la tavola proprietà×tempo con le tre finestre.</w:t>
      </w:r>
    </w:p>
    <w:p>
      <w:pPr>
        <w:spacing w:after="120" w:line="276"/>
        <w:jc w:val="both"/>
      </w:pPr>
      <w:r>
        <w:rPr>
          <w:rFonts w:ascii="Barlow Semi Condensed" w:cs="Barlow Semi Condensed" w:eastAsia="Barlow Semi Condensed" w:hAnsi="Barlow Semi Condensed"/>
          <w:b/>
          <w:bCs/>
          <w:sz w:val="24"/>
          <w:szCs w:val="24"/>
        </w:rPr>
        <w:t xml:space="preserve">387 · PE-6, il registro delle segnalazioni (61,0).</w:t>
      </w:r>
      <w:r>
        <w:rPr>
          <w:rFonts w:ascii="Barlow Semi Condensed" w:cs="Barlow Semi Condensed" w:eastAsia="Barlow Semi Condensed" w:hAnsi="Barlow Semi Condensed"/>
          <w:sz w:val="24"/>
          <w:szCs w:val="24"/>
        </w:rPr>
        <w:t xml:space="preserve"> Cantiere archivistico con progetto dedicato. Blocchi: 211-235, 94, 209. Primo atto: i tre calibri sullo schema-dati. Evidenza attesa: le metriche e la distribuzione per segmento.</w:t>
      </w:r>
    </w:p>
    <w:p>
      <w:pPr>
        <w:spacing w:after="120" w:line="276"/>
        <w:jc w:val="both"/>
      </w:pPr>
      <w:r>
        <w:rPr>
          <w:rFonts w:ascii="Barlow Semi Condensed" w:cs="Barlow Semi Condensed" w:eastAsia="Barlow Semi Condensed" w:hAnsi="Barlow Semi Condensed"/>
          <w:b/>
          <w:bCs/>
          <w:sz w:val="24"/>
          <w:szCs w:val="24"/>
        </w:rPr>
        <w:t xml:space="preserve">388 · PE-5, gli alleati e l'originatore (59,5).</w:t>
      </w:r>
      <w:r>
        <w:rPr>
          <w:rFonts w:ascii="Barlow Semi Condensed" w:cs="Barlow Semi Condensed" w:eastAsia="Barlow Semi Condensed" w:hAnsi="Barlow Semi Condensed"/>
          <w:sz w:val="24"/>
          <w:szCs w:val="24"/>
        </w:rPr>
        <w:t xml:space="preserve"> Cantiere archivistico con sportello internazionale. Blocchi: 115-119, 241-242, 248. Primo atto: l'interrogazione sistematica dell'AAD e l'istanza sul caso FOIA identificato. Evidenza attesa: la tavola rilasciato/trattenuto/origine-alleata.</w:t>
      </w:r>
    </w:p>
    <w:p>
      <w:pPr>
        <w:spacing w:after="120" w:line="276"/>
        <w:jc w:val="both"/>
      </w:pPr>
      <w:r>
        <w:rPr>
          <w:rFonts w:ascii="Barlow Semi Condensed" w:cs="Barlow Semi Condensed" w:eastAsia="Barlow Semi Condensed" w:hAnsi="Barlow Semi Condensed"/>
          <w:b/>
          <w:bCs/>
          <w:sz w:val="24"/>
          <w:szCs w:val="24"/>
        </w:rPr>
        <w:t xml:space="preserve">389 · PE-4, la mediazione vaticana (54,0).</w:t>
      </w:r>
      <w:r>
        <w:rPr>
          <w:rFonts w:ascii="Barlow Semi Condensed" w:cs="Barlow Semi Condensed" w:eastAsia="Barlow Semi Condensed" w:hAnsi="Barlow Semi Condensed"/>
          <w:sz w:val="24"/>
          <w:szCs w:val="24"/>
        </w:rPr>
        <w:t xml:space="preserve"> Cantiere archivistico con le cautele della serie dodicesima. Blocchi: 111-114, 123, 206-208, 348. Primo atto: l'istanza al fondo dei cappellani e i verbali dei covi coi nomi. Evidenza attesa: l'intermediario documentale o l'esaurimento certificato.</w:t>
      </w:r>
    </w:p>
    <w:p>
      <w:pPr>
        <w:spacing w:after="120" w:line="276"/>
        <w:jc w:val="both"/>
      </w:pPr>
      <w:r>
        <w:rPr>
          <w:rFonts w:ascii="Barlow Semi Condensed" w:cs="Barlow Semi Condensed" w:eastAsia="Barlow Semi Condensed" w:hAnsi="Barlow Semi Condensed"/>
          <w:b/>
          <w:bCs/>
          <w:sz w:val="24"/>
          <w:szCs w:val="24"/>
        </w:rPr>
        <w:t xml:space="preserve">390 · P-10, il vaglio negativo.</w:t>
      </w:r>
      <w:r>
        <w:rPr>
          <w:rFonts w:ascii="Barlow Semi Condensed" w:cs="Barlow Semi Condensed" w:eastAsia="Barlow Semi Condensed" w:hAnsi="Barlow Semi Condensed"/>
          <w:sz w:val="24"/>
          <w:szCs w:val="24"/>
        </w:rPr>
        <w:t xml:space="preserve"> Tutti i cantieri. Blocchi: 41, 273, 286. Atto permanente: la tenuta delle archiviazioni motivate — seconda prigione, nessi Hyperion-caso — coi criteri di riapertura vigilati a ogni novità documentale. Evidenza attesa: nessuna, per costruzione, fino a documento primario nuovo.</w:t>
      </w:r>
    </w:p>
    <w:p>
      <w:pPr>
        <w:spacing w:after="120" w:line="276"/>
        <w:jc w:val="both"/>
      </w:pPr>
      <w:r>
        <w:rPr>
          <w:rFonts w:ascii="Barlow Semi Condensed" w:cs="Barlow Semi Condensed" w:eastAsia="Barlow Semi Condensed" w:hAnsi="Barlow Semi Condensed"/>
          <w:b/>
          <w:bCs/>
          <w:sz w:val="24"/>
          <w:szCs w:val="24"/>
        </w:rPr>
        <w:t xml:space="preserve">391 · La meta-tavola del raccordo.</w:t>
      </w:r>
      <w:r>
        <w:rPr>
          <w:rFonts w:ascii="Barlow Semi Condensed" w:cs="Barlow Semi Condensed" w:eastAsia="Barlow Semi Condensed" w:hAnsi="Barlow Semi Condensed"/>
          <w:sz w:val="24"/>
          <w:szCs w:val="24"/>
        </w:rPr>
        <w:t xml:space="preserve"> I sedici blocchi precedenti in un'unica tavola viva sulla dashboard (325): pista, cantiere, primo atto, stato, prossima revisione. Chi apre il fascicolo del nuovo caso da qui vede, in una pagina, tutto ciò che si sta facendo e perché.</w:t>
      </w:r>
    </w:p>
    <w:p>
      <w:pPr>
        <w:pStyle w:val="Heading2"/>
        <w:spacing w:after="100" w:before="200"/>
      </w:pPr>
      <w:r>
        <w:rPr>
          <w:rFonts w:ascii="Barlow Semi Condensed" w:cs="Barlow Semi Condensed" w:eastAsia="Barlow Semi Condensed" w:hAnsi="Barlow Semi Condensed"/>
          <w:sz w:val="24"/>
          <w:szCs w:val="24"/>
        </w:rPr>
        <w:t xml:space="preserve">Serie quindicesima — Le contingenze e il futuro (blocchi 392-400)</w:t>
      </w:r>
    </w:p>
    <w:p>
      <w:pPr>
        <w:spacing w:after="120" w:line="276"/>
        <w:jc w:val="both"/>
      </w:pPr>
      <w:r>
        <w:rPr>
          <w:rFonts w:ascii="Barlow Semi Condensed" w:cs="Barlow Semi Condensed" w:eastAsia="Barlow Semi Condensed" w:hAnsi="Barlow Semi Condensed"/>
          <w:i/>
          <w:iCs/>
          <w:sz w:val="24"/>
          <w:szCs w:val="24"/>
        </w:rPr>
        <w:t xml:space="preserve">Statuto della serie: i piani per l'imprevisto. Nove scenari che possono accadere domani, ciascuno col suo protocollo già scritto — perché l'imprevisto trovi un metodo, non un'improvvisazione.</w:t>
      </w:r>
    </w:p>
    <w:p>
      <w:pPr>
        <w:spacing w:after="120" w:line="276"/>
        <w:jc w:val="both"/>
      </w:pPr>
      <w:r>
        <w:rPr>
          <w:rFonts w:ascii="Barlow Semi Condensed" w:cs="Barlow Semi Condensed" w:eastAsia="Barlow Semi Condensed" w:hAnsi="Barlow Semi Condensed"/>
          <w:b/>
          <w:bCs/>
          <w:sz w:val="24"/>
          <w:szCs w:val="24"/>
        </w:rPr>
        <w:t xml:space="preserve">392 · Se emerge un profilo ignoto.</w:t>
      </w:r>
      <w:r>
        <w:rPr>
          <w:rFonts w:ascii="Barlow Semi Condensed" w:cs="Barlow Semi Condensed" w:eastAsia="Barlow Semi Condensed" w:hAnsi="Barlow Semi Condensed"/>
          <w:sz w:val="24"/>
          <w:szCs w:val="24"/>
        </w:rPr>
        <w:t xml:space="preserve"> Dal DNA o dal caricatore: tutto si ferma nel perimetro toccato, la soglia giudiziaria (291) scatta, i cantieri storici congelano le pubblicazioni collegate fino alla qualificazione dell'autorità. Il protocollo di silenzio è scritto prima, per non doverlo negoziare dopo.</w:t>
      </w:r>
    </w:p>
    <w:p>
      <w:pPr>
        <w:spacing w:after="120" w:line="276"/>
        <w:jc w:val="both"/>
      </w:pPr>
      <w:r>
        <w:rPr>
          <w:rFonts w:ascii="Barlow Semi Condensed" w:cs="Barlow Semi Condensed" w:eastAsia="Barlow Semi Condensed" w:hAnsi="Barlow Semi Condensed"/>
          <w:b/>
          <w:bCs/>
          <w:sz w:val="24"/>
          <w:szCs w:val="24"/>
        </w:rPr>
        <w:t xml:space="preserve">393 · Se un testimone rivela in extremis.</w:t>
      </w:r>
      <w:r>
        <w:rPr>
          <w:rFonts w:ascii="Barlow Semi Condensed" w:cs="Barlow Semi Condensed" w:eastAsia="Barlow Semi Condensed" w:hAnsi="Barlow Semi Condensed"/>
          <w:sz w:val="24"/>
          <w:szCs w:val="24"/>
        </w:rPr>
        <w:t xml:space="preserve"> Dichiarazioni tardive di peso: raccolta immediata nelle forme più garantite disponibili (334 dove possibile), riscontro documentale prima di ogni pubblicità, e la lezione permanente del blocco 253 — la parola, anche ultima, si pesa sui documenti.</w:t>
      </w:r>
    </w:p>
    <w:p>
      <w:pPr>
        <w:spacing w:after="120" w:line="276"/>
        <w:jc w:val="both"/>
      </w:pPr>
      <w:r>
        <w:rPr>
          <w:rFonts w:ascii="Barlow Semi Condensed" w:cs="Barlow Semi Condensed" w:eastAsia="Barlow Semi Condensed" w:hAnsi="Barlow Semi Condensed"/>
          <w:b/>
          <w:bCs/>
          <w:sz w:val="24"/>
          <w:szCs w:val="24"/>
        </w:rPr>
        <w:t xml:space="preserve">394 · Se un fondo si perde.</w:t>
      </w:r>
      <w:r>
        <w:rPr>
          <w:rFonts w:ascii="Barlow Semi Condensed" w:cs="Barlow Semi Condensed" w:eastAsia="Barlow Semi Condensed" w:hAnsi="Barlow Semi Condensed"/>
          <w:sz w:val="24"/>
          <w:szCs w:val="24"/>
        </w:rPr>
        <w:t xml:space="preserve"> Incendio, alluvione, macero, smarrimento: il protocollo di disaster recovery (328) per il digitale; per il fisico, la denuncia immediata, il censimento di ciò che era schedato, e la scheda di perdita — perché anche ciò che non c'è più resti contato.</w:t>
      </w:r>
    </w:p>
    <w:p>
      <w:pPr>
        <w:spacing w:after="120" w:line="276"/>
        <w:jc w:val="both"/>
      </w:pPr>
      <w:r>
        <w:rPr>
          <w:rFonts w:ascii="Barlow Semi Condensed" w:cs="Barlow Semi Condensed" w:eastAsia="Barlow Semi Condensed" w:hAnsi="Barlow Semi Condensed"/>
          <w:b/>
          <w:bCs/>
          <w:sz w:val="24"/>
          <w:szCs w:val="24"/>
        </w:rPr>
        <w:t xml:space="preserve">395 · Se una tesi virale contamina il campo.</w:t>
      </w:r>
      <w:r>
        <w:rPr>
          <w:rFonts w:ascii="Barlow Semi Condensed" w:cs="Barlow Semi Condensed" w:eastAsia="Barlow Semi Condensed" w:hAnsi="Barlow Semi Condensed"/>
          <w:sz w:val="24"/>
          <w:szCs w:val="24"/>
        </w:rPr>
        <w:t xml:space="preserve"> Una narrazione mediatica che raggiunge i testimoni non ancora escussi: si accelera la raccolta conservativa sui toccati, si verbalizza l'esposizione di ciascuno alla tesi, e la risposta pubblica — se necessaria — è una sola pagina di gradi e fonti, mai un dibattito.</w:t>
      </w:r>
    </w:p>
    <w:p>
      <w:pPr>
        <w:spacing w:after="120" w:line="276"/>
        <w:jc w:val="both"/>
      </w:pPr>
      <w:r>
        <w:rPr>
          <w:rFonts w:ascii="Barlow Semi Condensed" w:cs="Barlow Semi Condensed" w:eastAsia="Barlow Semi Condensed" w:hAnsi="Barlow Semi Condensed"/>
          <w:b/>
          <w:bCs/>
          <w:sz w:val="24"/>
          <w:szCs w:val="24"/>
        </w:rPr>
        <w:t xml:space="preserve">396 · Se il fascicolo giudiziario archivia.</w:t>
      </w:r>
      <w:r>
        <w:rPr>
          <w:rFonts w:ascii="Barlow Semi Condensed" w:cs="Barlow Semi Condensed" w:eastAsia="Barlow Semi Condensed" w:hAnsi="Barlow Semi Condensed"/>
          <w:sz w:val="24"/>
          <w:szCs w:val="24"/>
        </w:rPr>
        <w:t xml:space="preserve"> I cantieri storici proseguono a pieno titolo: l'archiviazione giudiziaria chiude un procedimento, non la ricerca documentale; e ogni evidenza nuova riattiva la via del blocco 333. Il manuale è scritto per sopravvivere ai provvedimenti.</w:t>
      </w:r>
    </w:p>
    <w:p>
      <w:pPr>
        <w:spacing w:after="120" w:line="276"/>
        <w:jc w:val="both"/>
      </w:pPr>
      <w:r>
        <w:rPr>
          <w:rFonts w:ascii="Barlow Semi Condensed" w:cs="Barlow Semi Condensed" w:eastAsia="Barlow Semi Condensed" w:hAnsi="Barlow Semi Condensed"/>
          <w:b/>
          <w:bCs/>
          <w:sz w:val="24"/>
          <w:szCs w:val="24"/>
        </w:rPr>
        <w:t xml:space="preserve">397 · Se l'archivio atteso apre domani.</w:t>
      </w:r>
      <w:r>
        <w:rPr>
          <w:rFonts w:ascii="Barlow Semi Condensed" w:cs="Barlow Semi Condensed" w:eastAsia="Barlow Semi Condensed" w:hAnsi="Barlow Semi Condensed"/>
          <w:sz w:val="24"/>
          <w:szCs w:val="24"/>
        </w:rPr>
        <w:t xml:space="preserve"> L'istanza pronta (112) parte il primo giorno; l'équipe di spoglio dedicata è già formata sul vocabolario del fondo; i quesiti sono numerati. L'apertura di un archivio si prepara come un'operazione, perché lo è.</w:t>
      </w:r>
    </w:p>
    <w:p>
      <w:pPr>
        <w:spacing w:after="120" w:line="276"/>
        <w:jc w:val="both"/>
      </w:pPr>
      <w:r>
        <w:rPr>
          <w:rFonts w:ascii="Barlow Semi Condensed" w:cs="Barlow Semi Condensed" w:eastAsia="Barlow Semi Condensed" w:hAnsi="Barlow Semi Condensed"/>
          <w:b/>
          <w:bCs/>
          <w:sz w:val="24"/>
          <w:szCs w:val="24"/>
        </w:rPr>
        <w:t xml:space="preserve">398 · Se muore l'ultimo testimone di un nodo.</w:t>
      </w:r>
      <w:r>
        <w:rPr>
          <w:rFonts w:ascii="Barlow Semi Condensed" w:cs="Barlow Semi Condensed" w:eastAsia="Barlow Semi Condensed" w:hAnsi="Barlow Semi Condensed"/>
          <w:sz w:val="24"/>
          <w:szCs w:val="24"/>
        </w:rPr>
        <w:t xml:space="preserve"> La scheda delle domande mai poste (163) si aggiorna, i lasciti si cercano presso gli eredi (157), e il nodo passa formalmente alla sola via documentale: il passaggio si verbalizza, perché la storia del caso sappia quando ha perso ogni voce.</w:t>
      </w:r>
    </w:p>
    <w:p>
      <w:pPr>
        <w:spacing w:after="120" w:line="276"/>
        <w:jc w:val="both"/>
      </w:pPr>
      <w:r>
        <w:rPr>
          <w:rFonts w:ascii="Barlow Semi Condensed" w:cs="Barlow Semi Condensed" w:eastAsia="Barlow Semi Condensed" w:hAnsi="Barlow Semi Condensed"/>
          <w:b/>
          <w:bCs/>
          <w:sz w:val="24"/>
          <w:szCs w:val="24"/>
        </w:rPr>
        <w:t xml:space="preserve">399 · Se emergono responsabilità di apparati.</w:t>
      </w:r>
      <w:r>
        <w:rPr>
          <w:rFonts w:ascii="Barlow Semi Condensed" w:cs="Barlow Semi Condensed" w:eastAsia="Barlow Semi Condensed" w:hAnsi="Barlow Semi Condensed"/>
          <w:sz w:val="24"/>
          <w:szCs w:val="24"/>
        </w:rPr>
        <w:t xml:space="preserve"> La serie si chiude sul rischio più delicato: evidenze documentali di condotte istituzionali gravi. Protocollo: consegna integrale alle autorità, pubblicazione del solo documentale già pubblico per legge, nessuna anticipazione — e la regola del blocco 18 fino all'ultimo: atti e omissioni di persone e uffici, mai colpe collettive.</w:t>
      </w:r>
    </w:p>
    <w:p>
      <w:pPr>
        <w:spacing w:after="120" w:line="276"/>
        <w:jc w:val="both"/>
      </w:pPr>
      <w:r>
        <w:rPr>
          <w:rFonts w:ascii="Barlow Semi Condensed" w:cs="Barlow Semi Condensed" w:eastAsia="Barlow Semi Condensed" w:hAnsi="Barlow Semi Condensed"/>
          <w:b/>
          <w:bCs/>
          <w:sz w:val="24"/>
          <w:szCs w:val="24"/>
        </w:rPr>
        <w:t xml:space="preserve">400 · Il blocco quattrocento.</w:t>
      </w:r>
      <w:r>
        <w:rPr>
          <w:rFonts w:ascii="Barlow Semi Condensed" w:cs="Barlow Semi Condensed" w:eastAsia="Barlow Semi Condensed" w:hAnsi="Barlow Semi Condensed"/>
          <w:sz w:val="24"/>
          <w:szCs w:val="24"/>
        </w:rPr>
        <w:t xml:space="preserve"> La seconda edizione consegna il manuale alla sua forma compiuta: quattrocento blocchi, quindici serie, un solo metodo. Se servirà una terza edizione, sarà perché il caso avrà prodotto atti nuovi — e sarà la migliore notizia possibile: perché un manuale d'indagine invecchia in un solo modo onorevole, venendo eseguito.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Manuale operativo delle attività investigative per il nuovo Caso Moro, in quattrocento blocchi mirati — seconda edizione accresciuta — ordinati in quindici serie con statuto: i principi costitutivi (1-20), l'architettura organizzativa (21-45), i reperti e le scienze forensi (46-90), gli archivi (91-140), le persone e la raccolta conservativa (141-170), i quesiti in forma ACH (171-210), il progetto esecutivo del registro delle segnalazioni (211-235), il versante internazionale (236-250), gli errori storici coi loro antidoti (251-280), il cronoprogramma (281-300); e, nella seconda edizione: il cantiere digitale (301-330), gli strumenti giuridici (331-355), il controllo di qualità e i bias (356-375), il raccordo esecutivo per pista (376-391), le contingenze e il futuro (392-400). Fondato integralmente sulle piste, sulle schede e sulle verifiche del programma investigativo del corpus; nessun fatto nuovo è affermato e nessun colpevole è atteso; i fatti richiamati hanno le loro fonti nelle schede citate. Un'indagine produce atti, non colpevoli — e questo manuale è l'elenco ordinato dei suoi atti.</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Il manuale del nuovo Caso Moro (400 blocchi)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IV: 15.479 parole in 9 sezioni; la più ampia è §9 Altre sezioni, con 6.744.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IV: 422 paragrafi in 9 sezioni, 47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quindici serie della seconda edizione accresciuta: 300 della prima edizione, 100 della seconda.</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V. L'agenda di ricerca (300 blocchi)</w:t>
      </w:r>
    </w:p>
    <w:p>
      <w:pPr>
        <w:pStyle w:val="Heading1"/>
        <w:spacing w:after="120" w:before="240"/>
      </w:pPr>
      <w:r>
        <w:rPr>
          <w:rFonts w:ascii="Barlow Semi Condensed" w:cs="Barlow Semi Condensed" w:eastAsia="Barlow Semi Condensed" w:hAnsi="Barlow Semi Condensed"/>
          <w:sz w:val="24"/>
          <w:szCs w:val="24"/>
        </w:rPr>
        <w:t xml:space="preserve">L'agenda di ricerca del nuovo Caso Moro</w:t>
      </w:r>
    </w:p>
    <w:p>
      <w:pPr>
        <w:pStyle w:val="Heading2"/>
        <w:spacing w:after="100" w:before="200"/>
      </w:pPr>
      <w:r>
        <w:rPr>
          <w:rFonts w:ascii="Barlow Semi Condensed" w:cs="Barlow Semi Condensed" w:eastAsia="Barlow Semi Condensed" w:hAnsi="Barlow Semi Condensed"/>
          <w:sz w:val="24"/>
          <w:szCs w:val="24"/>
        </w:rPr>
        <w:t xml:space="preserve">Trecento blocchi mirati di ricerca</w:t>
      </w:r>
    </w:p>
    <w:p>
      <w:pPr>
        <w:spacing w:after="120" w:line="276"/>
        <w:jc w:val="both"/>
      </w:pPr>
      <w:r>
        <w:rPr>
          <w:rFonts w:ascii="Barlow Semi Condensed" w:cs="Barlow Semi Condensed" w:eastAsia="Barlow Semi Condensed" w:hAnsi="Barlow Semi Condensed"/>
          <w:i/>
          <w:iCs/>
          <w:sz w:val="24"/>
          <w:szCs w:val="24"/>
        </w:rPr>
        <w:t xml:space="preserve">Documento titanico — 25 agosto 2026 · Il gemello del manuale: il manuale dice come, l'agenda dice che cosa e dove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dell'agenda.</w:t>
      </w:r>
      <w:r>
        <w:rPr>
          <w:rFonts w:ascii="Barlow Semi Condensed" w:cs="Barlow Semi Condensed" w:eastAsia="Barlow Semi Condensed" w:hAnsi="Barlow Semi Condensed"/>
          <w:i w:val="false"/>
          <w:iCs w:val="false"/>
          <w:sz w:val="24"/>
          <w:szCs w:val="24"/>
        </w:rPr>
        <w:t xml:space="preserve"> Questo documento elenca </w:t>
      </w:r>
      <w:r>
        <w:rPr>
          <w:rFonts w:ascii="Barlow Semi Condensed" w:cs="Barlow Semi Condensed" w:eastAsia="Barlow Semi Condensed" w:hAnsi="Barlow Semi Condensed"/>
          <w:b/>
          <w:bCs/>
          <w:i w:val="false"/>
          <w:iCs w:val="false"/>
          <w:sz w:val="24"/>
          <w:szCs w:val="24"/>
        </w:rPr>
        <w:t xml:space="preserve">che cosa cercare e dove</w:t>
      </w:r>
      <w:r>
        <w:rPr>
          <w:rFonts w:ascii="Barlow Semi Condensed" w:cs="Barlow Semi Condensed" w:eastAsia="Barlow Semi Condensed" w:hAnsi="Barlow Semi Condensed"/>
          <w:i w:val="false"/>
          <w:iCs w:val="false"/>
          <w:sz w:val="24"/>
          <w:szCs w:val="24"/>
        </w:rPr>
        <w:t xml:space="preserve"> per il nuovo Caso Moro: trecento </w:t>
      </w:r>
      <w:r>
        <w:rPr>
          <w:rFonts w:ascii="Barlow Semi Condensed" w:cs="Barlow Semi Condensed" w:eastAsia="Barlow Semi Condensed" w:hAnsi="Barlow Semi Condensed"/>
          <w:b/>
          <w:bCs/>
          <w:i w:val="false"/>
          <w:iCs w:val="false"/>
          <w:sz w:val="24"/>
          <w:szCs w:val="24"/>
        </w:rPr>
        <w:t xml:space="preserve">blocchi mirati di ricerca</w:t>
      </w:r>
      <w:r>
        <w:rPr>
          <w:rFonts w:ascii="Barlow Semi Condensed" w:cs="Barlow Semi Condensed" w:eastAsia="Barlow Semi Condensed" w:hAnsi="Barlow Semi Condensed"/>
          <w:i w:val="false"/>
          <w:iCs w:val="false"/>
          <w:sz w:val="24"/>
          <w:szCs w:val="24"/>
        </w:rPr>
        <w:t xml:space="preserve">, numerati in dodici serie con statuto — l'architettura del Dossier maggiore applicata questa volta alla materia della ricerca, come il manuale l'aveva applicata alla materia operativa. I due documenti sono gemelli e non si sovrappongono: il </w:t>
      </w:r>
      <w:r>
        <w:rPr>
          <w:rFonts w:ascii="Barlow Semi Condensed" w:cs="Barlow Semi Condensed" w:eastAsia="Barlow Semi Condensed" w:hAnsi="Barlow Semi Condensed"/>
          <w:i w:val="false"/>
          <w:iCs w:val="false"/>
          <w:sz w:val="24"/>
          <w:szCs w:val="24"/>
        </w:rPr>
        <w:t xml:space="preserve">manuale</w:t>
      </w:r>
      <w:r>
        <w:rPr>
          <w:rFonts w:ascii="Barlow Semi Condensed" w:cs="Barlow Semi Condensed" w:eastAsia="Barlow Semi Condensed" w:hAnsi="Barlow Semi Condensed"/>
          <w:i w:val="false"/>
          <w:iCs w:val="false"/>
          <w:sz w:val="24"/>
          <w:szCs w:val="24"/>
        </w:rPr>
        <w:t xml:space="preserve"> dice </w:t>
      </w:r>
      <w:r>
        <w:rPr>
          <w:rFonts w:ascii="Barlow Semi Condensed" w:cs="Barlow Semi Condensed" w:eastAsia="Barlow Semi Condensed" w:hAnsi="Barlow Semi Condensed"/>
          <w:i w:val="false"/>
          <w:iCs w:val="false"/>
          <w:sz w:val="24"/>
          <w:szCs w:val="24"/>
        </w:rPr>
        <w:t xml:space="preserve">come</w:t>
      </w:r>
      <w:r>
        <w:rPr>
          <w:rFonts w:ascii="Barlow Semi Condensed" w:cs="Barlow Semi Condensed" w:eastAsia="Barlow Semi Condensed" w:hAnsi="Barlow Semi Condensed"/>
          <w:i w:val="false"/>
          <w:iCs w:val="false"/>
          <w:sz w:val="24"/>
          <w:szCs w:val="24"/>
        </w:rPr>
        <w:t xml:space="preserve"> dovrebbero svolgersi le attività investigative (principi, cantieri, protocolli, contingenze); l'agenda dice </w:t>
      </w:r>
      <w:r>
        <w:rPr>
          <w:rFonts w:ascii="Barlow Semi Condensed" w:cs="Barlow Semi Condensed" w:eastAsia="Barlow Semi Condensed" w:hAnsi="Barlow Semi Condensed"/>
          <w:i w:val="false"/>
          <w:iCs w:val="false"/>
          <w:sz w:val="24"/>
          <w:szCs w:val="24"/>
        </w:rPr>
        <w:t xml:space="preserve">che cosa</w:t>
      </w:r>
      <w:r>
        <w:rPr>
          <w:rFonts w:ascii="Barlow Semi Condensed" w:cs="Barlow Semi Condensed" w:eastAsia="Barlow Semi Condensed" w:hAnsi="Barlow Semi Condensed"/>
          <w:i w:val="false"/>
          <w:iCs w:val="false"/>
          <w:sz w:val="24"/>
          <w:szCs w:val="24"/>
        </w:rPr>
        <w:t xml:space="preserve"> quelle attività dovrebbero cercare — il quesito, il giacimento, l'evidenza attesa, il criterio di chiusura. Ogni blocco è un bersaglio di ricerca, non un'affermazione: dove un blocco formula un quesito, nulla è asserito; dove richiama un fatto, quel fatto è verificato — nelle schede del programma investigativo, che ne conservano le fonti con indirizzo, oppure nelle verifiche condotte per questa agenda, i cui indirizzi sono riportati nei blocchi e nell'apparato finale. Vale in ogni blocco la disciplina del corpus: i gradi (A giudicato, B accertamento, C congettura, F fatto pubblico, Stato Zero l'assenza documentata), l'ACH, l'anello debole, la regola dei buchi, il registro chiuso del giudicato, gli assolti che restano assolti. Nessun blocco ha un nome come esito atteso: </w:t>
      </w:r>
      <w:r>
        <w:rPr>
          <w:rFonts w:ascii="Barlow Semi Condensed" w:cs="Barlow Semi Condensed" w:eastAsia="Barlow Semi Condensed" w:hAnsi="Barlow Semi Condensed"/>
          <w:b/>
          <w:bCs/>
          <w:i w:val="false"/>
          <w:iCs w:val="false"/>
          <w:sz w:val="24"/>
          <w:szCs w:val="24"/>
        </w:rPr>
        <w:t xml:space="preserve">la ricerca produce documenti, non colpevoli</w:t>
      </w:r>
      <w:r>
        <w:rPr>
          <w:rFonts w:ascii="Barlow Semi Condensed" w:cs="Barlow Semi Condensed" w:eastAsia="Barlow Semi Condensed" w:hAnsi="Barlow Semi Condensed"/>
          <w:i w:val="false"/>
          <w:iCs w:val="false"/>
          <w:sz w:val="24"/>
          <w:szCs w:val="24"/>
        </w:rPr>
        <w:t xml:space="preserve"> — e una ricerca a vuoto, verbalizzata, è un risultato.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I quesiti costitutivi (blocchi 1-15)</w:t>
      </w:r>
    </w:p>
    <w:p>
      <w:pPr>
        <w:spacing w:after="120" w:line="276"/>
        <w:jc w:val="both"/>
      </w:pPr>
      <w:r>
        <w:rPr>
          <w:rFonts w:ascii="Barlow Semi Condensed" w:cs="Barlow Semi Condensed" w:eastAsia="Barlow Semi Condensed" w:hAnsi="Barlow Semi Condensed"/>
          <w:i/>
          <w:iCs/>
          <w:sz w:val="24"/>
          <w:szCs w:val="24"/>
        </w:rPr>
        <w:t xml:space="preserve">Statuto della serie: le domande madri. Quindici quesiti che generano tutti i bersagli delle serie successive; ogni blocco dell'agenda serve almeno uno di questi quesiti, e un bersaglio che non ne serva nessuno non appartiene all'agenda.</w:t>
      </w:r>
    </w:p>
    <w:p>
      <w:pPr>
        <w:spacing w:after="120" w:line="276"/>
        <w:jc w:val="both"/>
      </w:pPr>
      <w:r>
        <w:rPr>
          <w:rFonts w:ascii="Barlow Semi Condensed" w:cs="Barlow Semi Condensed" w:eastAsia="Barlow Semi Condensed" w:hAnsi="Barlow Semi Condensed"/>
          <w:b/>
          <w:bCs/>
          <w:sz w:val="24"/>
          <w:szCs w:val="24"/>
        </w:rPr>
        <w:t xml:space="preserve">1 · Le presenze non giudicate di via Fani.</w:t>
      </w:r>
      <w:r>
        <w:rPr>
          <w:rFonts w:ascii="Barlow Semi Condensed" w:cs="Barlow Semi Condensed" w:eastAsia="Barlow Semi Condensed" w:hAnsi="Barlow Semi Condensed"/>
          <w:sz w:val="24"/>
          <w:szCs w:val="24"/>
        </w:rPr>
        <w:t xml:space="preserve"> Quante e quali persone parteciparono all'agguato oltre i nove condannati per esservi stati? Il fascicolo romano aperto lavora esattamente qui (terze presenze). Evidenza attesa: comparazioni del DNA 2016, attribuzione dei reperti orfani. Il quesito non nomina nessuno: conta ed esclude.</w:t>
      </w:r>
    </w:p>
    <w:p>
      <w:pPr>
        <w:spacing w:after="120" w:line="276"/>
        <w:jc w:val="both"/>
      </w:pPr>
      <w:r>
        <w:rPr>
          <w:rFonts w:ascii="Barlow Semi Condensed" w:cs="Barlow Semi Condensed" w:eastAsia="Barlow Semi Condensed" w:hAnsi="Barlow Semi Condensed"/>
          <w:b/>
          <w:bCs/>
          <w:sz w:val="24"/>
          <w:szCs w:val="24"/>
        </w:rPr>
        <w:t xml:space="preserve">2 · La mano dei quarantanove colpi.</w:t>
      </w:r>
      <w:r>
        <w:rPr>
          <w:rFonts w:ascii="Barlow Semi Condensed" w:cs="Barlow Semi Condensed" w:eastAsia="Barlow Semi Condensed" w:hAnsi="Barlow Semi Condensed"/>
          <w:sz w:val="24"/>
          <w:szCs w:val="24"/>
        </w:rPr>
        <w:t xml:space="preserve"> Regge l'accertamento per cui quarantanove dei novantuno bossoli vengono da una sola arma? E la sequenza di fuoco che ne discende è compatibile con la dinamica giudicata? Evidenza attesa: nuova perizia balistica integrale con strumenti attuali sui reperti originali.</w:t>
      </w:r>
    </w:p>
    <w:p>
      <w:pPr>
        <w:spacing w:after="120" w:line="276"/>
        <w:jc w:val="both"/>
      </w:pPr>
      <w:r>
        <w:rPr>
          <w:rFonts w:ascii="Barlow Semi Condensed" w:cs="Barlow Semi Condensed" w:eastAsia="Barlow Semi Condensed" w:hAnsi="Barlow Semi Condensed"/>
          <w:b/>
          <w:bCs/>
          <w:sz w:val="24"/>
          <w:szCs w:val="24"/>
        </w:rPr>
        <w:t xml:space="preserve">3 · La fonte di «Gradoli».</w:t>
      </w:r>
      <w:r>
        <w:rPr>
          <w:rFonts w:ascii="Barlow Semi Condensed" w:cs="Barlow Semi Condensed" w:eastAsia="Barlow Semi Condensed" w:hAnsi="Barlow Semi Condensed"/>
          <w:sz w:val="24"/>
          <w:szCs w:val="24"/>
        </w:rPr>
        <w:t xml:space="preserve"> Da dove entrò davvero il nome nella seduta del 2 aprile 1978, e per quale via la parola giusta produsse la perquisizione sbagliata (il paese, non la via)? Evidenza attesa: testimonianze incrociate superstiti dei presenti e carte dell'epoca sul seguito dato alla segnalazione.</w:t>
      </w:r>
    </w:p>
    <w:p>
      <w:pPr>
        <w:spacing w:after="120" w:line="276"/>
        <w:jc w:val="both"/>
      </w:pPr>
      <w:r>
        <w:rPr>
          <w:rFonts w:ascii="Barlow Semi Condensed" w:cs="Barlow Semi Condensed" w:eastAsia="Barlow Semi Condensed" w:hAnsi="Barlow Semi Condensed"/>
          <w:b/>
          <w:bCs/>
          <w:sz w:val="24"/>
          <w:szCs w:val="24"/>
        </w:rPr>
        <w:t xml:space="preserve">4 · I trenta giorni del covo.</w:t>
      </w:r>
      <w:r>
        <w:rPr>
          <w:rFonts w:ascii="Barlow Semi Condensed" w:cs="Barlow Semi Condensed" w:eastAsia="Barlow Semi Condensed" w:hAnsi="Barlow Semi Condensed"/>
          <w:sz w:val="24"/>
          <w:szCs w:val="24"/>
        </w:rPr>
        <w:t xml:space="preserve"> Perché l'appartamento di via Gradoli 96 attraversò indenne un mese di ricerche, un controllo alla porta il 18 marzo e una segnalazione scritta? Evidenza attesa: la catena di comando documentale del 18 marzo — chi ordinò, chi eseguì, chi lesse i rapporti, che cosa ne seguì.</w:t>
      </w:r>
    </w:p>
    <w:p>
      <w:pPr>
        <w:spacing w:after="120" w:line="276"/>
        <w:jc w:val="both"/>
      </w:pPr>
      <w:r>
        <w:rPr>
          <w:rFonts w:ascii="Barlow Semi Condensed" w:cs="Barlow Semi Condensed" w:eastAsia="Barlow Semi Condensed" w:hAnsi="Barlow Semi Condensed"/>
          <w:b/>
          <w:bCs/>
          <w:sz w:val="24"/>
          <w:szCs w:val="24"/>
        </w:rPr>
        <w:t xml:space="preserve">5 · Il condominio e le sue date.</w:t>
      </w:r>
      <w:r>
        <w:rPr>
          <w:rFonts w:ascii="Barlow Semi Condensed" w:cs="Barlow Semi Condensed" w:eastAsia="Barlow Semi Condensed" w:hAnsi="Barlow Semi Condensed"/>
          <w:sz w:val="24"/>
          <w:szCs w:val="24"/>
        </w:rPr>
        <w:t xml:space="preserve"> Che cosa dicono conservatoria e registri societari sugli assetti proprietari dello stabile di via Gradoli, anno per anno — prima, durante e dopo il 1978? Evidenza attesa: la tavola cronologica completa delle proprietà, che discrimini le ipotesi ACH della scheda PE-2.</w:t>
      </w:r>
    </w:p>
    <w:p>
      <w:pPr>
        <w:spacing w:after="120" w:line="276"/>
        <w:jc w:val="both"/>
      </w:pPr>
      <w:r>
        <w:rPr>
          <w:rFonts w:ascii="Barlow Semi Condensed" w:cs="Barlow Semi Condensed" w:eastAsia="Barlow Semi Condensed" w:hAnsi="Barlow Semi Condensed"/>
          <w:b/>
          <w:bCs/>
          <w:sz w:val="24"/>
          <w:szCs w:val="24"/>
        </w:rPr>
        <w:t xml:space="preserve">6 · I luoghi della prigionia.</w:t>
      </w:r>
      <w:r>
        <w:rPr>
          <w:rFonts w:ascii="Barlow Semi Condensed" w:cs="Barlow Semi Condensed" w:eastAsia="Barlow Semi Condensed" w:hAnsi="Barlow Semi Condensed"/>
          <w:sz w:val="24"/>
          <w:szCs w:val="24"/>
        </w:rPr>
        <w:t xml:space="preserve"> L'istruttoria consegna via Montalcini 8; parte della pubblicistica congettura altri luoghi. Esistono evidenze fisiche o documentali che confermino, precisino o smentiscano? Evidenza attesa: reperti riletti (sabbia, pollini, fibre) e anagrafe documentale del condominio.</w:t>
      </w:r>
    </w:p>
    <w:p>
      <w:pPr>
        <w:spacing w:after="120" w:line="276"/>
        <w:jc w:val="both"/>
      </w:pPr>
      <w:r>
        <w:rPr>
          <w:rFonts w:ascii="Barlow Semi Condensed" w:cs="Barlow Semi Condensed" w:eastAsia="Barlow Semi Condensed" w:hAnsi="Barlow Semi Condensed"/>
          <w:b/>
          <w:bCs/>
          <w:sz w:val="24"/>
          <w:szCs w:val="24"/>
        </w:rPr>
        <w:t xml:space="preserve">7 · Il registro che manca.</w:t>
      </w:r>
      <w:r>
        <w:rPr>
          <w:rFonts w:ascii="Barlow Semi Condensed" w:cs="Barlow Semi Condensed" w:eastAsia="Barlow Semi Condensed" w:hAnsi="Barlow Semi Condensed"/>
          <w:sz w:val="24"/>
          <w:szCs w:val="24"/>
        </w:rPr>
        <w:t xml:space="preserve"> Quante segnalazioni entrarono negli uffici durante i 55 giorni, e quale filtro le ridusse all'output documentato? La colonna dell'input non fu mai prodotta. Evidenza attesa: la ricostruzione del registro d'ingresso dai protocolli degli uffici riceventi — il test empirico della domanda Anselmi.</w:t>
      </w:r>
    </w:p>
    <w:p>
      <w:pPr>
        <w:spacing w:after="120" w:line="276"/>
        <w:jc w:val="both"/>
      </w:pPr>
      <w:r>
        <w:rPr>
          <w:rFonts w:ascii="Barlow Semi Condensed" w:cs="Barlow Semi Condensed" w:eastAsia="Barlow Semi Condensed" w:hAnsi="Barlow Semi Condensed"/>
          <w:b/>
          <w:bCs/>
          <w:sz w:val="24"/>
          <w:szCs w:val="24"/>
        </w:rPr>
        <w:t xml:space="preserve">8 · I comitati e i loro verbali.</w:t>
      </w:r>
      <w:r>
        <w:rPr>
          <w:rFonts w:ascii="Barlow Semi Condensed" w:cs="Barlow Semi Condensed" w:eastAsia="Barlow Semi Condensed" w:hAnsi="Barlow Semi Condensed"/>
          <w:sz w:val="24"/>
          <w:szCs w:val="24"/>
        </w:rPr>
        <w:t xml:space="preserve"> Che cosa resta, in carta, dei tre livelli di comitato costituiti il 16 marzo 1978 al Viminale — ordini del giorno, verbali, presenze — e del comitato di esperti mai riunito collegialmente? Evidenza attesa: il corpus completo dei verbali o la certificazione della loro assenza (Stato Zero).</w:t>
      </w:r>
    </w:p>
    <w:p>
      <w:pPr>
        <w:spacing w:after="120" w:line="276"/>
        <w:jc w:val="both"/>
      </w:pPr>
      <w:r>
        <w:rPr>
          <w:rFonts w:ascii="Barlow Semi Condensed" w:cs="Barlow Semi Condensed" w:eastAsia="Barlow Semi Condensed" w:hAnsi="Barlow Semi Condensed"/>
          <w:b/>
          <w:bCs/>
          <w:sz w:val="24"/>
          <w:szCs w:val="24"/>
        </w:rPr>
        <w:t xml:space="preserve">9 · Le lettere e i canali.</w:t>
      </w:r>
      <w:r>
        <w:rPr>
          <w:rFonts w:ascii="Barlow Semi Condensed" w:cs="Barlow Semi Condensed" w:eastAsia="Barlow Semi Condensed" w:hAnsi="Barlow Semi Condensed"/>
          <w:sz w:val="24"/>
          <w:szCs w:val="24"/>
        </w:rPr>
        <w:t xml:space="preserve"> Per quali mani passarono le lettere di Moro, con quali tempi, e su quale base documentale fu costruita la loro dichiarata «inattendibilità»? Evidenza attesa: filologia completa dei recapiti e il fascicolo istruttorio del giudizio di inattendibilità.</w:t>
      </w:r>
    </w:p>
    <w:p>
      <w:pPr>
        <w:spacing w:after="120" w:line="276"/>
        <w:jc w:val="both"/>
      </w:pPr>
      <w:r>
        <w:rPr>
          <w:rFonts w:ascii="Barlow Semi Condensed" w:cs="Barlow Semi Condensed" w:eastAsia="Barlow Semi Condensed" w:hAnsi="Barlow Semi Condensed"/>
          <w:b/>
          <w:bCs/>
          <w:sz w:val="24"/>
          <w:szCs w:val="24"/>
        </w:rPr>
        <w:t xml:space="preserve">10 · Il memoriale e i suoi originali.</w:t>
      </w:r>
      <w:r>
        <w:rPr>
          <w:rFonts w:ascii="Barlow Semi Condensed" w:cs="Barlow Semi Condensed" w:eastAsia="Barlow Semi Condensed" w:hAnsi="Barlow Semi Condensed"/>
          <w:sz w:val="24"/>
          <w:szCs w:val="24"/>
        </w:rPr>
        <w:t xml:space="preserve"> Il dattiloscritto del 1978 e le fotocopie manoscritte del 1990 esauriscono ciò che Moro scrisse in prigionia? Gli originali manoscritti non furono mai trovati. Evidenza attesa: ogni traccia d'archivio sul percorso dei materiali di via Monte Nevoso, e l'analisi integrale di ciò che esiste.</w:t>
      </w:r>
    </w:p>
    <w:p>
      <w:pPr>
        <w:spacing w:after="120" w:line="276"/>
        <w:jc w:val="both"/>
      </w:pPr>
      <w:r>
        <w:rPr>
          <w:rFonts w:ascii="Barlow Semi Condensed" w:cs="Barlow Semi Condensed" w:eastAsia="Barlow Semi Condensed" w:hAnsi="Barlow Semi Condensed"/>
          <w:b/>
          <w:bCs/>
          <w:sz w:val="24"/>
          <w:szCs w:val="24"/>
        </w:rPr>
        <w:t xml:space="preserve">11 · La mediazione e il fondo.</w:t>
      </w:r>
      <w:r>
        <w:rPr>
          <w:rFonts w:ascii="Barlow Semi Condensed" w:cs="Barlow Semi Condensed" w:eastAsia="Barlow Semi Condensed" w:hAnsi="Barlow Semi Condensed"/>
          <w:sz w:val="24"/>
          <w:szCs w:val="24"/>
        </w:rPr>
        <w:t xml:space="preserve"> Che cosa documentano gli archivi ecclesiastici e civili sul canale vaticano dei 55 giorni — l'incarico a Curioni, l'interlocutore ignoto, il fondo raccolto e la sua sorte? Evidenza attesa: carte di curia, contabilità del fondo, registri carcerari dei colloqui.</w:t>
      </w:r>
    </w:p>
    <w:p>
      <w:pPr>
        <w:spacing w:after="120" w:line="276"/>
        <w:jc w:val="both"/>
      </w:pPr>
      <w:r>
        <w:rPr>
          <w:rFonts w:ascii="Barlow Semi Condensed" w:cs="Barlow Semi Condensed" w:eastAsia="Barlow Semi Condensed" w:hAnsi="Barlow Semi Condensed"/>
          <w:b/>
          <w:bCs/>
          <w:sz w:val="24"/>
          <w:szCs w:val="24"/>
        </w:rPr>
        <w:t xml:space="preserve">12 · Gli occhi degli alleati.</w:t>
      </w:r>
      <w:r>
        <w:rPr>
          <w:rFonts w:ascii="Barlow Semi Condensed" w:cs="Barlow Semi Condensed" w:eastAsia="Barlow Semi Condensed" w:hAnsi="Barlow Semi Condensed"/>
          <w:sz w:val="24"/>
          <w:szCs w:val="24"/>
        </w:rPr>
        <w:t xml:space="preserve"> Che cosa videro e riferirono in tempo reale le diplomazie e i servizi alleati, e che cosa giace nei loro archivi sotto la regola dell'originatore? Evidenza attesa: il censimento sistematico del ritenuto (withdrawal cards, buste FOIA) e la sua erosione richiesta per atto.</w:t>
      </w:r>
    </w:p>
    <w:p>
      <w:pPr>
        <w:spacing w:after="120" w:line="276"/>
        <w:jc w:val="both"/>
      </w:pPr>
      <w:r>
        <w:rPr>
          <w:rFonts w:ascii="Barlow Semi Condensed" w:cs="Barlow Semi Condensed" w:eastAsia="Barlow Semi Condensed" w:hAnsi="Barlow Semi Condensed"/>
          <w:b/>
          <w:bCs/>
          <w:sz w:val="24"/>
          <w:szCs w:val="24"/>
        </w:rPr>
        <w:t xml:space="preserve">13 · Il falso del Lago della Duchessa.</w:t>
      </w:r>
      <w:r>
        <w:rPr>
          <w:rFonts w:ascii="Barlow Semi Condensed" w:cs="Barlow Semi Condensed" w:eastAsia="Barlow Semi Condensed" w:hAnsi="Barlow Semi Condensed"/>
          <w:sz w:val="24"/>
          <w:szCs w:val="24"/>
        </w:rPr>
        <w:t xml:space="preserve"> Quale fu la genesi documentale del falso comunicato n. 7 del 18 aprile 1978, attribuito dagli accertamenti istruttori e peritali alla mano di Antonio Chichiarelli (mai processato: fu ucciso nel settembre 1984 prima di ogni contestazione formale)? Chi ne conobbe in anticipo l'esistenza? Evidenza attesa: il fascicolo Chichiarelli integrale e le carte del giorno del ritrovamento — lo stesso giorno di via Gradoli.</w:t>
      </w:r>
    </w:p>
    <w:p>
      <w:pPr>
        <w:spacing w:after="120" w:line="276"/>
        <w:jc w:val="both"/>
      </w:pPr>
      <w:r>
        <w:rPr>
          <w:rFonts w:ascii="Barlow Semi Condensed" w:cs="Barlow Semi Condensed" w:eastAsia="Barlow Semi Condensed" w:hAnsi="Barlow Semi Condensed"/>
          <w:b/>
          <w:bCs/>
          <w:sz w:val="24"/>
          <w:szCs w:val="24"/>
        </w:rPr>
        <w:t xml:space="preserve">14 · I latitanti e la parola mancante.</w:t>
      </w:r>
      <w:r>
        <w:rPr>
          <w:rFonts w:ascii="Barlow Semi Condensed" w:cs="Barlow Semi Condensed" w:eastAsia="Barlow Semi Condensed" w:hAnsi="Barlow Semi Condensed"/>
          <w:sz w:val="24"/>
          <w:szCs w:val="24"/>
        </w:rPr>
        <w:t xml:space="preserve"> Che cosa possono ancora dire, in sede rogatoriale o spontanea, i condannati mai interrogati compiutamente — primo fra tutti l'unico partecipante identificato mai sentito da una corte italiana? Evidenza attesa: dichiarazioni verbalizzate in forma utilizzabile, comunque vadano.</w:t>
      </w:r>
    </w:p>
    <w:p>
      <w:pPr>
        <w:spacing w:after="120" w:line="276"/>
        <w:jc w:val="both"/>
      </w:pPr>
      <w:r>
        <w:rPr>
          <w:rFonts w:ascii="Barlow Semi Condensed" w:cs="Barlow Semi Condensed" w:eastAsia="Barlow Semi Condensed" w:hAnsi="Barlow Semi Condensed"/>
          <w:b/>
          <w:bCs/>
          <w:sz w:val="24"/>
          <w:szCs w:val="24"/>
        </w:rPr>
        <w:t xml:space="preserve">15 · Il quesito dei quesiti.</w:t>
      </w:r>
      <w:r>
        <w:rPr>
          <w:rFonts w:ascii="Barlow Semi Condensed" w:cs="Barlow Semi Condensed" w:eastAsia="Barlow Semi Condensed" w:hAnsi="Barlow Semi Condensed"/>
          <w:sz w:val="24"/>
          <w:szCs w:val="24"/>
        </w:rPr>
        <w:t xml:space="preserve"> Per ciascuna matrice ACH del caso, qual è l'evidenza discriminante — quella incompatibile con almeno un'ipotesi — e in quale giacimento può trovarsi? Questo blocco genera la mappa: ogni serie che segue è la risposta alla domanda «dove si cerca l'evidenza che discrimina?».</w:t>
      </w:r>
    </w:p>
    <w:p>
      <w:pPr>
        <w:pStyle w:val="Heading2"/>
        <w:spacing w:after="100" w:before="200"/>
      </w:pPr>
      <w:r>
        <w:rPr>
          <w:rFonts w:ascii="Barlow Semi Condensed" w:cs="Barlow Semi Condensed" w:eastAsia="Barlow Semi Condensed" w:hAnsi="Barlow Semi Condensed"/>
          <w:sz w:val="24"/>
          <w:szCs w:val="24"/>
        </w:rPr>
        <w:t xml:space="preserve">Serie seconda — Il giacimento della Direttiva (blocchi 16-45)</w:t>
      </w:r>
    </w:p>
    <w:p>
      <w:pPr>
        <w:spacing w:after="120" w:line="276"/>
        <w:jc w:val="both"/>
      </w:pPr>
      <w:r>
        <w:rPr>
          <w:rFonts w:ascii="Barlow Semi Condensed" w:cs="Barlow Semi Condensed" w:eastAsia="Barlow Semi Condensed" w:hAnsi="Barlow Semi Condensed"/>
          <w:i/>
          <w:iCs/>
          <w:sz w:val="24"/>
          <w:szCs w:val="24"/>
        </w:rPr>
        <w:t xml:space="preserve">Statuto della serie: la miniera versata. All'Archivio centrale dello Stato esiste una raccolta speciale di documentazione desecretata sul sequestro e l'uccisione di Moro, costruita dalla sequenza delle direttive (Prodi 2008, sede unica ACS 2010, Renzi 22 aprile 2014, estensione al caso Moro 2 dicembre 2014); il corpus ne ha verificato la consistenza (circa duemila buste da centocinquantasei uffici). La serie organizza lo spoglio — il bersaglio a più alto volume dell'intera agenda — e lo estende agli altri giacimenti nazionali. Verifiche d'archivio condotte per questa agenda: acs.cultura.gov.it (Sala delle raccolte speciali — documentazione desecretata) e memoria.cultura.gov.it.</w:t>
      </w:r>
    </w:p>
    <w:p>
      <w:pPr>
        <w:spacing w:after="120" w:line="276"/>
        <w:jc w:val="both"/>
      </w:pPr>
      <w:r>
        <w:rPr>
          <w:rFonts w:ascii="Barlow Semi Condensed" w:cs="Barlow Semi Condensed" w:eastAsia="Barlow Semi Condensed" w:hAnsi="Barlow Semi Condensed"/>
          <w:b/>
          <w:bCs/>
          <w:sz w:val="24"/>
          <w:szCs w:val="24"/>
        </w:rPr>
        <w:t xml:space="preserve">16 · La raccolta speciale.</w:t>
      </w:r>
      <w:r>
        <w:rPr>
          <w:rFonts w:ascii="Barlow Semi Condensed" w:cs="Barlow Semi Condensed" w:eastAsia="Barlow Semi Condensed" w:hAnsi="Barlow Semi Condensed"/>
          <w:sz w:val="24"/>
          <w:szCs w:val="24"/>
        </w:rPr>
        <w:t xml:space="preserve"> Il primo bersaglio è la porta d'ingresso: la raccolta «Sequestro e uccisione dell'on. Aldo Moro (direttive Prodi-Renzi)» nella Sala delle raccolte speciali dell'ACS — perimetro, regolamento d'accesso, strumenti di corredo. Prima di leggere una busta, l'agenda censisce che cosa la raccolta dichiara di contenere.</w:t>
      </w:r>
    </w:p>
    <w:p>
      <w:pPr>
        <w:spacing w:after="120" w:line="276"/>
        <w:jc w:val="both"/>
      </w:pPr>
      <w:r>
        <w:rPr>
          <w:rFonts w:ascii="Barlow Semi Condensed" w:cs="Barlow Semi Condensed" w:eastAsia="Barlow Semi Condensed" w:hAnsi="Barlow Semi Condensed"/>
          <w:b/>
          <w:bCs/>
          <w:sz w:val="24"/>
          <w:szCs w:val="24"/>
        </w:rPr>
        <w:t xml:space="preserve">17 · La sequenza delle direttive.</w:t>
      </w:r>
      <w:r>
        <w:rPr>
          <w:rFonts w:ascii="Barlow Semi Condensed" w:cs="Barlow Semi Condensed" w:eastAsia="Barlow Semi Condensed" w:hAnsi="Barlow Semi Condensed"/>
          <w:sz w:val="24"/>
          <w:szCs w:val="24"/>
        </w:rPr>
        <w:t xml:space="preserve"> La cornice normativa completa dello scaffale: direttiva Prodi (8 aprile 2008), designazione dell'ACS a sede unica di conservazione (2010), direttiva Renzi (22 aprile 2014, in G.U. n. 100 del 2 maggio 2014), estensione al caso Moro (2 dicembre 2014) e ogni provvedimento successivo. Sapere in base a che cosa una carta è lì dice anche quali carte non possono esserci.</w:t>
      </w:r>
    </w:p>
    <w:p>
      <w:pPr>
        <w:spacing w:after="120" w:line="276"/>
        <w:jc w:val="both"/>
      </w:pPr>
      <w:r>
        <w:rPr>
          <w:rFonts w:ascii="Barlow Semi Condensed" w:cs="Barlow Semi Condensed" w:eastAsia="Barlow Semi Condensed" w:hAnsi="Barlow Semi Condensed"/>
          <w:b/>
          <w:bCs/>
          <w:sz w:val="24"/>
          <w:szCs w:val="24"/>
        </w:rPr>
        <w:t xml:space="preserve">18 · Gli strumenti di corredo.</w:t>
      </w:r>
      <w:r>
        <w:rPr>
          <w:rFonts w:ascii="Barlow Semi Condensed" w:cs="Barlow Semi Condensed" w:eastAsia="Barlow Semi Condensed" w:hAnsi="Barlow Semi Condensed"/>
          <w:sz w:val="24"/>
          <w:szCs w:val="24"/>
        </w:rPr>
        <w:t xml:space="preserve"> Lo spoglio comincia dagli inventari: le guide online dell'ACS (l'OPAC e le pagine della raccolta), gli elenchi di versamento, le liste per ufficio versante. Il bersaglio è la mappa busta per busta — quale ufficio, quale periodo, quale materia — costruita prima di aprire la prima cartella.</w:t>
      </w:r>
    </w:p>
    <w:p>
      <w:pPr>
        <w:spacing w:after="120" w:line="276"/>
        <w:jc w:val="both"/>
      </w:pPr>
      <w:r>
        <w:rPr>
          <w:rFonts w:ascii="Barlow Semi Condensed" w:cs="Barlow Semi Condensed" w:eastAsia="Barlow Semi Condensed" w:hAnsi="Barlow Semi Condensed"/>
          <w:b/>
          <w:bCs/>
          <w:sz w:val="24"/>
          <w:szCs w:val="24"/>
        </w:rPr>
        <w:t xml:space="preserve">19 · Il piano di spoglio.</w:t>
      </w:r>
      <w:r>
        <w:rPr>
          <w:rFonts w:ascii="Barlow Semi Condensed" w:cs="Barlow Semi Condensed" w:eastAsia="Barlow Semi Condensed" w:hAnsi="Barlow Semi Condensed"/>
          <w:sz w:val="24"/>
          <w:szCs w:val="24"/>
        </w:rPr>
        <w:t xml:space="preserve"> Circa duemila buste da centocinquantasei uffici non si leggono per curiosità: si spogliano per campagne (blocco 283), con priorità comandate dai quesiti costitutivi — prima gli uffici che toccano le matrici aperte, poi il resto. Il piano scritto, pubblico e datato, è il primo prodotto della serie.</w:t>
      </w:r>
    </w:p>
    <w:p>
      <w:pPr>
        <w:spacing w:after="120" w:line="276"/>
        <w:jc w:val="both"/>
      </w:pPr>
      <w:r>
        <w:rPr>
          <w:rFonts w:ascii="Barlow Semi Condensed" w:cs="Barlow Semi Condensed" w:eastAsia="Barlow Semi Condensed" w:hAnsi="Barlow Semi Condensed"/>
          <w:b/>
          <w:bCs/>
          <w:sz w:val="24"/>
          <w:szCs w:val="24"/>
        </w:rPr>
        <w:t xml:space="preserve">20 · Il doppio spoglio di controllo.</w:t>
      </w:r>
      <w:r>
        <w:rPr>
          <w:rFonts w:ascii="Barlow Semi Condensed" w:cs="Barlow Semi Condensed" w:eastAsia="Barlow Semi Condensed" w:hAnsi="Barlow Semi Condensed"/>
          <w:sz w:val="24"/>
          <w:szCs w:val="24"/>
        </w:rPr>
        <w:t xml:space="preserve"> Su un campione fisso di buste, due lettori indipendenti e il confronto degli spogli: la misura del tasso di ciò che una lettura sola perde. Il controllo di qualità del manuale (serie tredicesima) applicato alla miniera: senza misura dell'errore, lo spoglio è una speranza.</w:t>
      </w:r>
    </w:p>
    <w:p>
      <w:pPr>
        <w:spacing w:after="120" w:line="276"/>
        <w:jc w:val="both"/>
      </w:pPr>
      <w:r>
        <w:rPr>
          <w:rFonts w:ascii="Barlow Semi Condensed" w:cs="Barlow Semi Condensed" w:eastAsia="Barlow Semi Condensed" w:hAnsi="Barlow Semi Condensed"/>
          <w:b/>
          <w:bCs/>
          <w:sz w:val="24"/>
          <w:szCs w:val="24"/>
        </w:rPr>
        <w:t xml:space="preserve">21 · Le carte dell'ufficio politico.</w:t>
      </w:r>
      <w:r>
        <w:rPr>
          <w:rFonts w:ascii="Barlow Semi Condensed" w:cs="Barlow Semi Condensed" w:eastAsia="Barlow Semi Condensed" w:hAnsi="Barlow Semi Condensed"/>
          <w:sz w:val="24"/>
          <w:szCs w:val="24"/>
        </w:rPr>
        <w:t xml:space="preserve"> Nel versato: la documentazione UCIGOS e degli uffici investigativi centrali sui 55 giorni — rapporti, appunti, carteggi coi territoriali. Qui vivono i bersagli del quesito 7 (che cosa entrò e che cosa se ne fece) e della sorveglianza non riferita documentata dal corpus.</w:t>
      </w:r>
    </w:p>
    <w:p>
      <w:pPr>
        <w:spacing w:after="120" w:line="276"/>
        <w:jc w:val="both"/>
      </w:pPr>
      <w:r>
        <w:rPr>
          <w:rFonts w:ascii="Barlow Semi Condensed" w:cs="Barlow Semi Condensed" w:eastAsia="Barlow Semi Condensed" w:hAnsi="Barlow Semi Condensed"/>
          <w:b/>
          <w:bCs/>
          <w:sz w:val="24"/>
          <w:szCs w:val="24"/>
        </w:rPr>
        <w:t xml:space="preserve">22 · Le carte dei servizi.</w:t>
      </w:r>
      <w:r>
        <w:rPr>
          <w:rFonts w:ascii="Barlow Semi Condensed" w:cs="Barlow Semi Condensed" w:eastAsia="Barlow Semi Condensed" w:hAnsi="Barlow Semi Condensed"/>
          <w:sz w:val="24"/>
          <w:szCs w:val="24"/>
        </w:rPr>
        <w:t xml:space="preserve"> La documentazione versata di provenienza SISMI, SISDE e organismi predecessori: veline, appunti, carteggi con l'autorità politica. Disciplina di lettura scolpita: una velina è una velina — grado C alla nascita, e sale solo per riscontro esterno. Il versato dei servizi si spoglia contro le matrici, non per suggestione.</w:t>
      </w:r>
    </w:p>
    <w:p>
      <w:pPr>
        <w:spacing w:after="120" w:line="276"/>
        <w:jc w:val="both"/>
      </w:pPr>
      <w:r>
        <w:rPr>
          <w:rFonts w:ascii="Barlow Semi Condensed" w:cs="Barlow Semi Condensed" w:eastAsia="Barlow Semi Condensed" w:hAnsi="Barlow Semi Condensed"/>
          <w:b/>
          <w:bCs/>
          <w:sz w:val="24"/>
          <w:szCs w:val="24"/>
        </w:rPr>
        <w:t xml:space="preserve">23 · Le carte territoriali.</w:t>
      </w:r>
      <w:r>
        <w:rPr>
          <w:rFonts w:ascii="Barlow Semi Condensed" w:cs="Barlow Semi Condensed" w:eastAsia="Barlow Semi Condensed" w:hAnsi="Barlow Semi Condensed"/>
          <w:sz w:val="24"/>
          <w:szCs w:val="24"/>
        </w:rPr>
        <w:t xml:space="preserve"> Prefetture e questure — Roma e le province toccate dai 55 giorni: rapporti giornalieri, ordini di servizio, carteggi col centro. È il giacimento del dispositivo visto dal territorio, dove l'output dichiarato (posti di blocco, perquisizioni) ha i suoi registri di base (blocchi 246-247).</w:t>
      </w:r>
    </w:p>
    <w:p>
      <w:pPr>
        <w:spacing w:after="120" w:line="276"/>
        <w:jc w:val="both"/>
      </w:pPr>
      <w:r>
        <w:rPr>
          <w:rFonts w:ascii="Barlow Semi Condensed" w:cs="Barlow Semi Condensed" w:eastAsia="Barlow Semi Condensed" w:hAnsi="Barlow Semi Condensed"/>
          <w:b/>
          <w:bCs/>
          <w:sz w:val="24"/>
          <w:szCs w:val="24"/>
        </w:rPr>
        <w:t xml:space="preserve">24 · Le carte dell'Arma e della Finanza.</w:t>
      </w:r>
      <w:r>
        <w:rPr>
          <w:rFonts w:ascii="Barlow Semi Condensed" w:cs="Barlow Semi Condensed" w:eastAsia="Barlow Semi Condensed" w:hAnsi="Barlow Semi Condensed"/>
          <w:sz w:val="24"/>
          <w:szCs w:val="24"/>
        </w:rPr>
        <w:t xml:space="preserve"> I comandi generali e territoriali: rapporti, brogliacci, attività delegate. Ogni forza tenne le proprie serie documentali; la tavola per forza — che cosa versò ciascuna, con quali lacune — è un bersaglio in sé, prima ancora dei contenuti.</w:t>
      </w:r>
    </w:p>
    <w:p>
      <w:pPr>
        <w:spacing w:after="120" w:line="276"/>
        <w:jc w:val="both"/>
      </w:pPr>
      <w:r>
        <w:rPr>
          <w:rFonts w:ascii="Barlow Semi Condensed" w:cs="Barlow Semi Condensed" w:eastAsia="Barlow Semi Condensed" w:hAnsi="Barlow Semi Condensed"/>
          <w:b/>
          <w:bCs/>
          <w:sz w:val="24"/>
          <w:szCs w:val="24"/>
        </w:rPr>
        <w:t xml:space="preserve">25 · Il gabinetto e il vertice.</w:t>
      </w:r>
      <w:r>
        <w:rPr>
          <w:rFonts w:ascii="Barlow Semi Condensed" w:cs="Barlow Semi Condensed" w:eastAsia="Barlow Semi Condensed" w:hAnsi="Barlow Semi Condensed"/>
          <w:sz w:val="24"/>
          <w:szCs w:val="24"/>
        </w:rPr>
        <w:t xml:space="preserve"> Le carte di gabinetto del Ministero dell'Interno e della Presidenza del Consiglio nei 55 giorni: appunti per il ministro, verbali di vertice, corrispondenza riservata. Il livello politico-amministrativo dove i comitati del 16 marzo (quesito 8) lasciarono — o non lasciarono — la loro carta.</w:t>
      </w:r>
    </w:p>
    <w:p>
      <w:pPr>
        <w:spacing w:after="120" w:line="276"/>
        <w:jc w:val="both"/>
      </w:pPr>
      <w:r>
        <w:rPr>
          <w:rFonts w:ascii="Barlow Semi Condensed" w:cs="Barlow Semi Condensed" w:eastAsia="Barlow Semi Condensed" w:hAnsi="Barlow Semi Condensed"/>
          <w:b/>
          <w:bCs/>
          <w:sz w:val="24"/>
          <w:szCs w:val="24"/>
        </w:rPr>
        <w:t xml:space="preserve">26 · I comitati nel versato.</w:t>
      </w:r>
      <w:r>
        <w:rPr>
          <w:rFonts w:ascii="Barlow Semi Condensed" w:cs="Barlow Semi Condensed" w:eastAsia="Barlow Semi Condensed" w:hAnsi="Barlow Semi Condensed"/>
          <w:sz w:val="24"/>
          <w:szCs w:val="24"/>
        </w:rPr>
        <w:t xml:space="preserve"> La ricerca mirata dei verbali, ordini del giorno e fogli presenze dei tre comitati e del comitato di esperti: nel versato ACS, nelle carte di gabinetto, negli archivi degli uffici partecipanti. L'esito — il corpus dei verbali o la sua assenza certificata — decide il quesito 8 in un senso o nell'altro.</w:t>
      </w:r>
    </w:p>
    <w:p>
      <w:pPr>
        <w:spacing w:after="120" w:line="276"/>
        <w:jc w:val="both"/>
      </w:pPr>
      <w:r>
        <w:rPr>
          <w:rFonts w:ascii="Barlow Semi Condensed" w:cs="Barlow Semi Condensed" w:eastAsia="Barlow Semi Condensed" w:hAnsi="Barlow Semi Condensed"/>
          <w:b/>
          <w:bCs/>
          <w:sz w:val="24"/>
          <w:szCs w:val="24"/>
        </w:rPr>
        <w:t xml:space="preserve">27 · Le veline e i rapporti informativi.</w:t>
      </w:r>
      <w:r>
        <w:rPr>
          <w:rFonts w:ascii="Barlow Semi Condensed" w:cs="Barlow Semi Condensed" w:eastAsia="Barlow Semi Condensed" w:hAnsi="Barlow Semi Condensed"/>
          <w:sz w:val="24"/>
          <w:szCs w:val="24"/>
        </w:rPr>
        <w:t xml:space="preserve"> Lo spoglio trasversale dei rapporti informativi dei 55 giorni con la tavola delle segnalazioni: data d'ingresso, ufficio, contenuto, seguito documentato. È l'alimentazione diretta del registro d'ingresso (blocco 236): ogni velina protocollata è una riga della colonna che manca.</w:t>
      </w:r>
    </w:p>
    <w:p>
      <w:pPr>
        <w:spacing w:after="120" w:line="276"/>
        <w:jc w:val="both"/>
      </w:pPr>
      <w:r>
        <w:rPr>
          <w:rFonts w:ascii="Barlow Semi Condensed" w:cs="Barlow Semi Condensed" w:eastAsia="Barlow Semi Condensed" w:hAnsi="Barlow Semi Condensed"/>
          <w:b/>
          <w:bCs/>
          <w:sz w:val="24"/>
          <w:szCs w:val="24"/>
        </w:rPr>
        <w:t xml:space="preserve">28 · I registri nel versato.</w:t>
      </w:r>
      <w:r>
        <w:rPr>
          <w:rFonts w:ascii="Barlow Semi Condensed" w:cs="Barlow Semi Condensed" w:eastAsia="Barlow Semi Condensed" w:hAnsi="Barlow Semi Condensed"/>
          <w:sz w:val="24"/>
          <w:szCs w:val="24"/>
        </w:rPr>
        <w:t xml:space="preserve"> La caccia mirata alla carta seriale dentro la raccolta: brogliacci, protocolli, registri di sala operativa eventualmente versati con i fascicoli. La serie decima elenca i registri da ricostruire; questo blocco cerca quelli che esistono già e nessuno ha letto come registri.</w:t>
      </w:r>
    </w:p>
    <w:p>
      <w:pPr>
        <w:spacing w:after="120" w:line="276"/>
        <w:jc w:val="both"/>
      </w:pPr>
      <w:r>
        <w:rPr>
          <w:rFonts w:ascii="Barlow Semi Condensed" w:cs="Barlow Semi Condensed" w:eastAsia="Barlow Semi Condensed" w:hAnsi="Barlow Semi Condensed"/>
          <w:b/>
          <w:bCs/>
          <w:sz w:val="24"/>
          <w:szCs w:val="24"/>
        </w:rPr>
        <w:t xml:space="preserve">29 · La prova di completezza.</w:t>
      </w:r>
      <w:r>
        <w:rPr>
          <w:rFonts w:ascii="Barlow Semi Condensed" w:cs="Barlow Semi Condensed" w:eastAsia="Barlow Semi Condensed" w:hAnsi="Barlow Semi Condensed"/>
          <w:sz w:val="24"/>
          <w:szCs w:val="24"/>
        </w:rPr>
        <w:t xml:space="preserve"> Per ogni ufficio versante: il confronto fra ciò che i suoi protocolli dicono di aver prodotto nel 1978 e ciò che risulta versato. Lo scarto misurato tra prodotto e versato — ufficio per ufficio — è il censimento delle lacune, da cui nascono le richieste del blocco 30.</w:t>
      </w:r>
    </w:p>
    <w:p>
      <w:pPr>
        <w:spacing w:after="120" w:line="276"/>
        <w:jc w:val="both"/>
      </w:pPr>
      <w:r>
        <w:rPr>
          <w:rFonts w:ascii="Barlow Semi Condensed" w:cs="Barlow Semi Condensed" w:eastAsia="Barlow Semi Condensed" w:hAnsi="Barlow Semi Condensed"/>
          <w:b/>
          <w:bCs/>
          <w:sz w:val="24"/>
          <w:szCs w:val="24"/>
        </w:rPr>
        <w:t xml:space="preserve">30 · Le integrazioni.</w:t>
      </w:r>
      <w:r>
        <w:rPr>
          <w:rFonts w:ascii="Barlow Semi Condensed" w:cs="Barlow Semi Condensed" w:eastAsia="Barlow Semi Condensed" w:hAnsi="Barlow Semi Condensed"/>
          <w:sz w:val="24"/>
          <w:szCs w:val="24"/>
        </w:rPr>
        <w:t xml:space="preserve"> Per ogni lacuna misurata: la richiesta formale di versamento integrativo all'amministrazione detentrice, nei termini delle direttive vigenti, registrata nel registro delle richieste (259). La Direttiva è un processo, non un evento: l'agenda la tiene viva esigendone il completamento.</w:t>
      </w:r>
    </w:p>
    <w:p>
      <w:pPr>
        <w:spacing w:after="120" w:line="276"/>
        <w:jc w:val="both"/>
      </w:pPr>
      <w:r>
        <w:rPr>
          <w:rFonts w:ascii="Barlow Semi Condensed" w:cs="Barlow Semi Condensed" w:eastAsia="Barlow Semi Condensed" w:hAnsi="Barlow Semi Condensed"/>
          <w:b/>
          <w:bCs/>
          <w:sz w:val="24"/>
          <w:szCs w:val="24"/>
        </w:rPr>
        <w:t xml:space="preserve">31 · Il portale della Rete.</w:t>
      </w:r>
      <w:r>
        <w:rPr>
          <w:rFonts w:ascii="Barlow Semi Condensed" w:cs="Barlow Semi Condensed" w:eastAsia="Barlow Semi Condensed" w:hAnsi="Barlow Semi Condensed"/>
          <w:sz w:val="24"/>
          <w:szCs w:val="24"/>
        </w:rPr>
        <w:t xml:space="preserve"> Il portale della Rete degli archivi per non dimenticare (memoria.cultura.gov.it): il censimento di ciò che già pubblica sul caso — sentenze di primo grado e d'appello, fondi collegati — e lo spoglio sistematico delle sentenze digitalizzate. Ciò che è già online si spoglia prima di ciò che richiede una sala studio.</w:t>
      </w:r>
    </w:p>
    <w:p>
      <w:pPr>
        <w:spacing w:after="120" w:line="276"/>
        <w:jc w:val="both"/>
      </w:pPr>
      <w:r>
        <w:rPr>
          <w:rFonts w:ascii="Barlow Semi Condensed" w:cs="Barlow Semi Condensed" w:eastAsia="Barlow Semi Condensed" w:hAnsi="Barlow Semi Condensed"/>
          <w:b/>
          <w:bCs/>
          <w:sz w:val="24"/>
          <w:szCs w:val="24"/>
        </w:rPr>
        <w:t xml:space="preserve">32 · L'Archivio Flamigni.</w:t>
      </w:r>
      <w:r>
        <w:rPr>
          <w:rFonts w:ascii="Barlow Semi Condensed" w:cs="Barlow Semi Condensed" w:eastAsia="Barlow Semi Condensed" w:hAnsi="Barlow Semi Condensed"/>
          <w:sz w:val="24"/>
          <w:szCs w:val="24"/>
        </w:rPr>
        <w:t xml:space="preserve"> Il Centro documentazione Archivio Flamigni (fondato nel 2005, dal 2021 a Roma, Garbatella, spazio MEMO): il più vasto giacimento privato di documentazione sul caso — carte di commissioni, rassegne, fondi personali. Bersaglio: l'inventario dei suoi fondi morotei e il protocollo di consultazione (archivioflamigni.org).</w:t>
      </w:r>
    </w:p>
    <w:p>
      <w:pPr>
        <w:spacing w:after="120" w:line="276"/>
        <w:jc w:val="both"/>
      </w:pPr>
      <w:r>
        <w:rPr>
          <w:rFonts w:ascii="Barlow Semi Condensed" w:cs="Barlow Semi Condensed" w:eastAsia="Barlow Semi Condensed" w:hAnsi="Barlow Semi Condensed"/>
          <w:b/>
          <w:bCs/>
          <w:sz w:val="24"/>
          <w:szCs w:val="24"/>
        </w:rPr>
        <w:t xml:space="preserve">33 · Gli Archivi di Stato territoriali.</w:t>
      </w:r>
      <w:r>
        <w:rPr>
          <w:rFonts w:ascii="Barlow Semi Condensed" w:cs="Barlow Semi Condensed" w:eastAsia="Barlow Semi Condensed" w:hAnsi="Barlow Semi Condensed"/>
          <w:sz w:val="24"/>
          <w:szCs w:val="24"/>
        </w:rPr>
        <w:t xml:space="preserve"> Gli istituti territoriali competenti per i luoghi del caso: fascicoli di prefettura e questura non confluiti nella raccolta speciale, carte comunali versate, fondi giudiziari periferici. La miniera centrale non esaurisce lo Stato: la periferia archivistica ha le sue serie, e nessuno le ha mai interrogate insieme.</w:t>
      </w:r>
    </w:p>
    <w:p>
      <w:pPr>
        <w:spacing w:after="120" w:line="276"/>
        <w:jc w:val="both"/>
      </w:pPr>
      <w:r>
        <w:rPr>
          <w:rFonts w:ascii="Barlow Semi Condensed" w:cs="Barlow Semi Condensed" w:eastAsia="Barlow Semi Condensed" w:hAnsi="Barlow Semi Condensed"/>
          <w:b/>
          <w:bCs/>
          <w:sz w:val="24"/>
          <w:szCs w:val="24"/>
        </w:rPr>
        <w:t xml:space="preserve">34 · Gli archivi delle forze di polizia.</w:t>
      </w:r>
      <w:r>
        <w:rPr>
          <w:rFonts w:ascii="Barlow Semi Condensed" w:cs="Barlow Semi Condensed" w:eastAsia="Barlow Semi Condensed" w:hAnsi="Barlow Semi Condensed"/>
          <w:sz w:val="24"/>
          <w:szCs w:val="24"/>
        </w:rPr>
        <w:t xml:space="preserve"> Gli archivi storici e i musei della Polizia di Stato e i fondi documentali interni ancora presso l'amministrazione: materiali fotografici, fascicoli di servizio, memorie d'ufficio. Si chiede con la disciplina del blocco 287: prima l'inventario, poi il documento.</w:t>
      </w:r>
    </w:p>
    <w:p>
      <w:pPr>
        <w:spacing w:after="120" w:line="276"/>
        <w:jc w:val="both"/>
      </w:pPr>
      <w:r>
        <w:rPr>
          <w:rFonts w:ascii="Barlow Semi Condensed" w:cs="Barlow Semi Condensed" w:eastAsia="Barlow Semi Condensed" w:hAnsi="Barlow Semi Condensed"/>
          <w:b/>
          <w:bCs/>
          <w:sz w:val="24"/>
          <w:szCs w:val="24"/>
        </w:rPr>
        <w:t xml:space="preserve">35 · Gli archivi militari.</w:t>
      </w:r>
      <w:r>
        <w:rPr>
          <w:rFonts w:ascii="Barlow Semi Condensed" w:cs="Barlow Semi Condensed" w:eastAsia="Barlow Semi Condensed" w:hAnsi="Barlow Semi Condensed"/>
          <w:sz w:val="24"/>
          <w:szCs w:val="24"/>
        </w:rPr>
        <w:t xml:space="preserve"> Gli uffici storici delle forze armate e dei comandi: carte del 1978 su vigilanza, supporti, comunicazioni. Bersaglio a probabilità media e perimetro preciso: che cosa fu chiesto alle strutture militari nei 55 giorni, e che cosa ne resta in carta.</w:t>
      </w:r>
    </w:p>
    <w:p>
      <w:pPr>
        <w:spacing w:after="120" w:line="276"/>
        <w:jc w:val="both"/>
      </w:pPr>
      <w:r>
        <w:rPr>
          <w:rFonts w:ascii="Barlow Semi Condensed" w:cs="Barlow Semi Condensed" w:eastAsia="Barlow Semi Condensed" w:hAnsi="Barlow Semi Condensed"/>
          <w:b/>
          <w:bCs/>
          <w:sz w:val="24"/>
          <w:szCs w:val="24"/>
        </w:rPr>
        <w:t xml:space="preserve">36 · L'archivio dell'Arma.</w:t>
      </w:r>
      <w:r>
        <w:rPr>
          <w:rFonts w:ascii="Barlow Semi Condensed" w:cs="Barlow Semi Condensed" w:eastAsia="Barlow Semi Condensed" w:hAnsi="Barlow Semi Condensed"/>
          <w:sz w:val="24"/>
          <w:szCs w:val="24"/>
        </w:rPr>
        <w:t xml:space="preserve"> L'ufficio storico dei Carabinieri e le serie documentali dei reparti coinvolti nel 1978: rapporti territoriali, carteggi, fascicoli fotografici. La tavola per forza del blocco 24 si completa qui, dove le serie non versate all'ACS hanno la loro sede naturale.</w:t>
      </w:r>
    </w:p>
    <w:p>
      <w:pPr>
        <w:spacing w:after="120" w:line="276"/>
        <w:jc w:val="both"/>
      </w:pPr>
      <w:r>
        <w:rPr>
          <w:rFonts w:ascii="Barlow Semi Condensed" w:cs="Barlow Semi Condensed" w:eastAsia="Barlow Semi Condensed" w:hAnsi="Barlow Semi Condensed"/>
          <w:b/>
          <w:bCs/>
          <w:sz w:val="24"/>
          <w:szCs w:val="24"/>
        </w:rPr>
        <w:t xml:space="preserve">37 · I fascicoli giudiziari romani.</w:t>
      </w:r>
      <w:r>
        <w:rPr>
          <w:rFonts w:ascii="Barlow Semi Condensed" w:cs="Barlow Semi Condensed" w:eastAsia="Barlow Semi Condensed" w:hAnsi="Barlow Semi Condensed"/>
          <w:sz w:val="24"/>
          <w:szCs w:val="24"/>
        </w:rPr>
        <w:t xml:space="preserve"> Gli archivi del tribunale e della corte d'assise di Roma: i fascicoli integrali dei processi Moro (uno-quinquies) — dibattimenti, produzioni, perizie, corpi di reato documentali. Il giudicato è il pavimento del caso; il suo fascicolo integrale è il pavimento dell'agenda, e va censito foglio per foglio.</w:t>
      </w:r>
    </w:p>
    <w:p>
      <w:pPr>
        <w:spacing w:after="120" w:line="276"/>
        <w:jc w:val="both"/>
      </w:pPr>
      <w:r>
        <w:rPr>
          <w:rFonts w:ascii="Barlow Semi Condensed" w:cs="Barlow Semi Condensed" w:eastAsia="Barlow Semi Condensed" w:hAnsi="Barlow Semi Condensed"/>
          <w:b/>
          <w:bCs/>
          <w:sz w:val="24"/>
          <w:szCs w:val="24"/>
        </w:rPr>
        <w:t xml:space="preserve">38 · Le sentenze integrali.</w:t>
      </w:r>
      <w:r>
        <w:rPr>
          <w:rFonts w:ascii="Barlow Semi Condensed" w:cs="Barlow Semi Condensed" w:eastAsia="Barlow Semi Condensed" w:hAnsi="Barlow Semi Condensed"/>
          <w:sz w:val="24"/>
          <w:szCs w:val="24"/>
        </w:rPr>
        <w:t xml:space="preserve"> La collazione di tutte le sentenze del caso — primo grado, appello, Cassazione, per tutti i filoni — in edizione digitale unica con indici. Parte è già sul portale della Rete; il bersaglio è la completezza: nessun grado di giudizio senza il suo testo integrale nella biblioteca dell'agenda.</w:t>
      </w:r>
    </w:p>
    <w:p>
      <w:pPr>
        <w:spacing w:after="120" w:line="276"/>
        <w:jc w:val="both"/>
      </w:pPr>
      <w:r>
        <w:rPr>
          <w:rFonts w:ascii="Barlow Semi Condensed" w:cs="Barlow Semi Condensed" w:eastAsia="Barlow Semi Condensed" w:hAnsi="Barlow Semi Condensed"/>
          <w:b/>
          <w:bCs/>
          <w:sz w:val="24"/>
          <w:szCs w:val="24"/>
        </w:rPr>
        <w:t xml:space="preserve">39 · Le carte dell'amministrazione penitenziaria.</w:t>
      </w:r>
      <w:r>
        <w:rPr>
          <w:rFonts w:ascii="Barlow Semi Condensed" w:cs="Barlow Semi Condensed" w:eastAsia="Barlow Semi Condensed" w:hAnsi="Barlow Semi Condensed"/>
          <w:sz w:val="24"/>
          <w:szCs w:val="24"/>
        </w:rPr>
        <w:t xml:space="preserve"> I registri e i fascicoli del DAP e degli istituti per il 1978: i colloqui (blocco 242), i trasferimenti, le carte dei detenuti politici nei 55 giorni. L'amministrazione penitenziaria è un archivio a sé, con regole d'accesso proprie: si mappa prima, si chiede poi.</w:t>
      </w:r>
    </w:p>
    <w:p>
      <w:pPr>
        <w:spacing w:after="120" w:line="276"/>
        <w:jc w:val="both"/>
      </w:pPr>
      <w:r>
        <w:rPr>
          <w:rFonts w:ascii="Barlow Semi Condensed" w:cs="Barlow Semi Condensed" w:eastAsia="Barlow Semi Condensed" w:hAnsi="Barlow Semi Condensed"/>
          <w:b/>
          <w:bCs/>
          <w:sz w:val="24"/>
          <w:szCs w:val="24"/>
        </w:rPr>
        <w:t xml:space="preserve">40 · Gli archivi capitolini.</w:t>
      </w:r>
      <w:r>
        <w:rPr>
          <w:rFonts w:ascii="Barlow Semi Condensed" w:cs="Barlow Semi Condensed" w:eastAsia="Barlow Semi Condensed" w:hAnsi="Barlow Semi Condensed"/>
          <w:sz w:val="24"/>
          <w:szCs w:val="24"/>
        </w:rPr>
        <w:t xml:space="preserve"> L'archivio storico capitolino e gli uffici comunali: anagrafe storica, licenze, pratiche edilizie dei luoghi del caso — via Fani, via Gradoli, via Montalcini. L'anagrafe dei condominii (blocco 249) parte da qui: la città conserva la carta dei suoi edifici.</w:t>
      </w:r>
    </w:p>
    <w:p>
      <w:pPr>
        <w:spacing w:after="120" w:line="276"/>
        <w:jc w:val="both"/>
      </w:pPr>
      <w:r>
        <w:rPr>
          <w:rFonts w:ascii="Barlow Semi Condensed" w:cs="Barlow Semi Condensed" w:eastAsia="Barlow Semi Condensed" w:hAnsi="Barlow Semi Condensed"/>
          <w:b/>
          <w:bCs/>
          <w:sz w:val="24"/>
          <w:szCs w:val="24"/>
        </w:rPr>
        <w:t xml:space="preserve">41 · Conservatoria e catasto.</w:t>
      </w:r>
      <w:r>
        <w:rPr>
          <w:rFonts w:ascii="Barlow Semi Condensed" w:cs="Barlow Semi Condensed" w:eastAsia="Barlow Semi Condensed" w:hAnsi="Barlow Semi Condensed"/>
          <w:sz w:val="24"/>
          <w:szCs w:val="24"/>
        </w:rPr>
        <w:t xml:space="preserve"> I registri immobiliari e catastali per gli stabili chiave, anno per anno: la tavola cronologica delle proprietà che il quesito 5 dichiara discriminante. Fonte fredda, procedura ordinaria, esito tabellare: il bersaglio perfetto — nessuna interpretazione, solo date e intestazioni.</w:t>
      </w:r>
    </w:p>
    <w:p>
      <w:pPr>
        <w:spacing w:after="120" w:line="276"/>
        <w:jc w:val="both"/>
      </w:pPr>
      <w:r>
        <w:rPr>
          <w:rFonts w:ascii="Barlow Semi Condensed" w:cs="Barlow Semi Condensed" w:eastAsia="Barlow Semi Condensed" w:hAnsi="Barlow Semi Condensed"/>
          <w:b/>
          <w:bCs/>
          <w:sz w:val="24"/>
          <w:szCs w:val="24"/>
        </w:rPr>
        <w:t xml:space="preserve">42 · Gli archivi delle società.</w:t>
      </w:r>
      <w:r>
        <w:rPr>
          <w:rFonts w:ascii="Barlow Semi Condensed" w:cs="Barlow Semi Condensed" w:eastAsia="Barlow Semi Condensed" w:hAnsi="Barlow Semi Condensed"/>
          <w:sz w:val="24"/>
          <w:szCs w:val="24"/>
        </w:rPr>
        <w:t xml:space="preserve"> SIP e le società telefoniche successorie, ACEA e le utility: tabulati superstiti, contratti, letture dei contatori dell'epoca (blocchi 239 e 257). Le società hanno archivi e obblighi di conservazione diversi dallo Stato: la richiesta si costruisce sulla loro normativa, non su quella archivistica pubblica.</w:t>
      </w:r>
    </w:p>
    <w:p>
      <w:pPr>
        <w:spacing w:after="120" w:line="276"/>
        <w:jc w:val="both"/>
      </w:pPr>
      <w:r>
        <w:rPr>
          <w:rFonts w:ascii="Barlow Semi Condensed" w:cs="Barlow Semi Condensed" w:eastAsia="Barlow Semi Condensed" w:hAnsi="Barlow Semi Condensed"/>
          <w:b/>
          <w:bCs/>
          <w:sz w:val="24"/>
          <w:szCs w:val="24"/>
        </w:rPr>
        <w:t xml:space="preserve">43 · Le teche e le agenzie.</w:t>
      </w:r>
      <w:r>
        <w:rPr>
          <w:rFonts w:ascii="Barlow Semi Condensed" w:cs="Barlow Semi Condensed" w:eastAsia="Barlow Semi Condensed" w:hAnsi="Barlow Semi Condensed"/>
          <w:sz w:val="24"/>
          <w:szCs w:val="24"/>
        </w:rPr>
        <w:t xml:space="preserve"> Gli archivi RAI e delle agenzie di stampa per i materiali del caso: i grezzi, i fuori onda, i notiziari integrali (blocchi 90-91). L'accesso per ricerca ha i suoi canali e i suoi costi (blocco 286): si negozia una convenzione, non si chiede un favore.</w:t>
      </w:r>
    </w:p>
    <w:p>
      <w:pPr>
        <w:spacing w:after="120" w:line="276"/>
        <w:jc w:val="both"/>
      </w:pPr>
      <w:r>
        <w:rPr>
          <w:rFonts w:ascii="Barlow Semi Condensed" w:cs="Barlow Semi Condensed" w:eastAsia="Barlow Semi Condensed" w:hAnsi="Barlow Semi Condensed"/>
          <w:b/>
          <w:bCs/>
          <w:sz w:val="24"/>
          <w:szCs w:val="24"/>
        </w:rPr>
        <w:t xml:space="preserve">44 · Il calendario delle aperture.</w:t>
      </w:r>
      <w:r>
        <w:rPr>
          <w:rFonts w:ascii="Barlow Semi Condensed" w:cs="Barlow Semi Condensed" w:eastAsia="Barlow Semi Condensed" w:hAnsi="Barlow Semi Condensed"/>
          <w:sz w:val="24"/>
          <w:szCs w:val="24"/>
        </w:rPr>
        <w:t xml:space="preserve"> La tavola aggiornata di chi decide le declassifiche nazionali e con quali tempi: le direttive per l'ACS, gli organi di vertice parlamentari per le commissioni, le amministrazioni originatrici per il nulla osta. Ogni scadenza e ogni discrezionalità mappate: l'agenda chiede meglio dove sa chi può rispondere.</w:t>
      </w:r>
    </w:p>
    <w:p>
      <w:pPr>
        <w:spacing w:after="120" w:line="276"/>
        <w:jc w:val="both"/>
      </w:pPr>
      <w:r>
        <w:rPr>
          <w:rFonts w:ascii="Barlow Semi Condensed" w:cs="Barlow Semi Condensed" w:eastAsia="Barlow Semi Condensed" w:hAnsi="Barlow Semi Condensed"/>
          <w:b/>
          <w:bCs/>
          <w:sz w:val="24"/>
          <w:szCs w:val="24"/>
        </w:rPr>
        <w:t xml:space="preserve">45 · La tavola del giacimento nazionale.</w:t>
      </w:r>
      <w:r>
        <w:rPr>
          <w:rFonts w:ascii="Barlow Semi Condensed" w:cs="Barlow Semi Condensed" w:eastAsia="Barlow Semi Condensed" w:hAnsi="Barlow Semi Condensed"/>
          <w:sz w:val="24"/>
          <w:szCs w:val="24"/>
        </w:rPr>
        <w:t xml:space="preserve"> La chiusura della serie: la tavola unica dei giacimenti italiani — istituto per istituto, fondo per fondo, con copertura, accesso, stato di spoglio — mantenuta viva come il primo strumento pubblico dell'agenda. Chi vorrà cercare dopo di noi partirà da qui, non da zero.</w:t>
      </w:r>
    </w:p>
    <w:p>
      <w:pPr>
        <w:pStyle w:val="Heading2"/>
        <w:spacing w:after="100" w:before="200"/>
      </w:pPr>
      <w:r>
        <w:rPr>
          <w:rFonts w:ascii="Barlow Semi Condensed" w:cs="Barlow Semi Condensed" w:eastAsia="Barlow Semi Condensed" w:hAnsi="Barlow Semi Condensed"/>
          <w:sz w:val="24"/>
          <w:szCs w:val="24"/>
        </w:rPr>
        <w:t xml:space="preserve">Serie terza — Gli archivi parlamentari (blocchi 46-70)</w:t>
      </w:r>
    </w:p>
    <w:p>
      <w:pPr>
        <w:spacing w:after="120" w:line="276"/>
        <w:jc w:val="both"/>
      </w:pPr>
      <w:r>
        <w:rPr>
          <w:rFonts w:ascii="Barlow Semi Condensed" w:cs="Barlow Semi Condensed" w:eastAsia="Barlow Semi Condensed" w:hAnsi="Barlow Semi Condensed"/>
          <w:i/>
          <w:iCs/>
          <w:sz w:val="24"/>
          <w:szCs w:val="24"/>
        </w:rPr>
        <w:t xml:space="preserve">Statuto della serie: quarant'anni di inchieste. Tre commissioni d'inchiesta hanno accumulato il più grande corpus istruttorio non giudiziario del caso: la Moro 1 (1979-1983), la Commissione Stragi (1988-2001), la Moro 2 (2014-2017). La serie ne organizza lo spoglio integrale e il confronto incrociato. Verifiche condotte per questa agenda: fondo Moro 2 all'Archivio storico della Camera (archivio.camera.it) col portale delle inchieste (inchieste.camera.it/moro), fondo Moro 1 e fondo Stragi all'Archivio storico del Senato (patrimonio.archivio.senato.it).</w:t>
      </w:r>
    </w:p>
    <w:p>
      <w:pPr>
        <w:spacing w:after="120" w:line="276"/>
        <w:jc w:val="both"/>
      </w:pPr>
      <w:r>
        <w:rPr>
          <w:rFonts w:ascii="Barlow Semi Condensed" w:cs="Barlow Semi Condensed" w:eastAsia="Barlow Semi Condensed" w:hAnsi="Barlow Semi Condensed"/>
          <w:b/>
          <w:bCs/>
          <w:sz w:val="24"/>
          <w:szCs w:val="24"/>
        </w:rPr>
        <w:t xml:space="preserve">46 · Il fondo della Moro 2.</w:t>
      </w:r>
      <w:r>
        <w:rPr>
          <w:rFonts w:ascii="Barlow Semi Condensed" w:cs="Barlow Semi Condensed" w:eastAsia="Barlow Semi Condensed" w:hAnsi="Barlow Semi Condensed"/>
          <w:sz w:val="24"/>
          <w:szCs w:val="24"/>
        </w:rPr>
        <w:t xml:space="preserve"> Il fondo della Commissione Moro 2 (legge 30 maggio 2014 n. 82; presidenza Fioroni dal 2 ottobre 2014) all'Archivio storico della Camera: perimetro, serie, strumenti di ricerca. È il giacimento istruttorio più recente e più tecnico del caso: lo spoglio integrale è un bersaglio primario dell'agenda.</w:t>
      </w:r>
    </w:p>
    <w:p>
      <w:pPr>
        <w:spacing w:after="120" w:line="276"/>
        <w:jc w:val="both"/>
      </w:pPr>
      <w:r>
        <w:rPr>
          <w:rFonts w:ascii="Barlow Semi Condensed" w:cs="Barlow Semi Condensed" w:eastAsia="Barlow Semi Condensed" w:hAnsi="Barlow Semi Condensed"/>
          <w:b/>
          <w:bCs/>
          <w:sz w:val="24"/>
          <w:szCs w:val="24"/>
        </w:rPr>
        <w:t xml:space="preserve">47 · Il portale delle inchieste.</w:t>
      </w:r>
      <w:r>
        <w:rPr>
          <w:rFonts w:ascii="Barlow Semi Condensed" w:cs="Barlow Semi Condensed" w:eastAsia="Barlow Semi Condensed" w:hAnsi="Barlow Semi Condensed"/>
          <w:sz w:val="24"/>
          <w:szCs w:val="24"/>
        </w:rPr>
        <w:t xml:space="preserve"> Il portale della Camera (inchieste.camera.it/moro): stenografici delle audizioni e documentazione libera già online. Regola della serie: prima si esaurisce l'online, poi si chiede la sala studio — e lo spoglio del portale produce l'indice di ciò che va chiesto di persona.</w:t>
      </w:r>
    </w:p>
    <w:p>
      <w:pPr>
        <w:spacing w:after="120" w:line="276"/>
        <w:jc w:val="both"/>
      </w:pPr>
      <w:r>
        <w:rPr>
          <w:rFonts w:ascii="Barlow Semi Condensed" w:cs="Barlow Semi Condensed" w:eastAsia="Barlow Semi Condensed" w:hAnsi="Barlow Semi Condensed"/>
          <w:b/>
          <w:bCs/>
          <w:sz w:val="24"/>
          <w:szCs w:val="24"/>
        </w:rPr>
        <w:t xml:space="preserve">48 · Le relazioni della Moro 2.</w:t>
      </w:r>
      <w:r>
        <w:rPr>
          <w:rFonts w:ascii="Barlow Semi Condensed" w:cs="Barlow Semi Condensed" w:eastAsia="Barlow Semi Condensed" w:hAnsi="Barlow Semi Condensed"/>
          <w:sz w:val="24"/>
          <w:szCs w:val="24"/>
        </w:rPr>
        <w:t xml:space="preserve"> Le relazioni pubblicate dalla Commissione (i Doc. XXIII della XVII legislatura, online su documenti.camera.it): rilettura integrale con la griglia dei quesiti costitutivi — che cosa ciascuna relazione accerta, con quali fonti, e quali quesiti dichiara aperti. Le relazioni sono la mappa delle piste della commissione: l'agenda le confronta con le proprie.</w:t>
      </w:r>
    </w:p>
    <w:p>
      <w:pPr>
        <w:spacing w:after="120" w:line="276"/>
        <w:jc w:val="both"/>
      </w:pPr>
      <w:r>
        <w:rPr>
          <w:rFonts w:ascii="Barlow Semi Condensed" w:cs="Barlow Semi Condensed" w:eastAsia="Barlow Semi Condensed" w:hAnsi="Barlow Semi Condensed"/>
          <w:b/>
          <w:bCs/>
          <w:sz w:val="24"/>
          <w:szCs w:val="24"/>
        </w:rPr>
        <w:t xml:space="preserve">49 · La perizia balistica del 2015.</w:t>
      </w:r>
      <w:r>
        <w:rPr>
          <w:rFonts w:ascii="Barlow Semi Condensed" w:cs="Barlow Semi Condensed" w:eastAsia="Barlow Semi Condensed" w:hAnsi="Barlow Semi Condensed"/>
          <w:sz w:val="24"/>
          <w:szCs w:val="24"/>
        </w:rPr>
        <w:t xml:space="preserve"> L'esame tecnico-balistico del Servizio Polizia scientifica sui reperti di via Fani, illustrato alla Moro 2 nell'audizione del 10 giugno 2015 (stenografico online) e consegnato alla Commissione: acquisizione del testo integrale dal fondo, con allegati e tavole. È la base tecnica su cui i blocchi 72-75 costruiscono il riesame.</w:t>
      </w:r>
    </w:p>
    <w:p>
      <w:pPr>
        <w:spacing w:after="120" w:line="276"/>
        <w:jc w:val="both"/>
      </w:pPr>
      <w:r>
        <w:rPr>
          <w:rFonts w:ascii="Barlow Semi Condensed" w:cs="Barlow Semi Condensed" w:eastAsia="Barlow Semi Condensed" w:hAnsi="Barlow Semi Condensed"/>
          <w:b/>
          <w:bCs/>
          <w:sz w:val="24"/>
          <w:szCs w:val="24"/>
        </w:rPr>
        <w:t xml:space="preserve">50 · Gli accertamenti genetici.</w:t>
      </w:r>
      <w:r>
        <w:rPr>
          <w:rFonts w:ascii="Barlow Semi Condensed" w:cs="Barlow Semi Condensed" w:eastAsia="Barlow Semi Condensed" w:hAnsi="Barlow Semi Condensed"/>
          <w:sz w:val="24"/>
          <w:szCs w:val="24"/>
        </w:rPr>
        <w:t xml:space="preserve"> Le carte degli accertamenti DNA disposti dalla Commissione (i profili 2016 dai mozziconi dell'auto di sbarramento e di via Gradoli): relazioni tecniche, verbali di comparazione, esiti. Il bersaglio è il testo tecnico integrale: i blocchi 76-78 hanno bisogno dei numeri, non dei riassunti.</w:t>
      </w:r>
    </w:p>
    <w:p>
      <w:pPr>
        <w:spacing w:after="120" w:line="276"/>
        <w:jc w:val="both"/>
      </w:pPr>
      <w:r>
        <w:rPr>
          <w:rFonts w:ascii="Barlow Semi Condensed" w:cs="Barlow Semi Condensed" w:eastAsia="Barlow Semi Condensed" w:hAnsi="Barlow Semi Condensed"/>
          <w:b/>
          <w:bCs/>
          <w:sz w:val="24"/>
          <w:szCs w:val="24"/>
        </w:rPr>
        <w:t xml:space="preserve">51 · Le altre perizie del fondo.</w:t>
      </w:r>
      <w:r>
        <w:rPr>
          <w:rFonts w:ascii="Barlow Semi Condensed" w:cs="Barlow Semi Condensed" w:eastAsia="Barlow Semi Condensed" w:hAnsi="Barlow Semi Condensed"/>
          <w:sz w:val="24"/>
          <w:szCs w:val="24"/>
        </w:rPr>
        <w:t xml:space="preserve"> Il censimento di tutte le consulenze tecniche della Moro 2 — dattiloscopiche, informatiche, documentali — con stato di pubblicità: quali sono nelle relazioni, quali solo nel fondo, quali riservate. La tavola delle perizie (blocco 66) comincia dal giacimento più recente.</w:t>
      </w:r>
    </w:p>
    <w:p>
      <w:pPr>
        <w:spacing w:after="120" w:line="276"/>
        <w:jc w:val="both"/>
      </w:pPr>
      <w:r>
        <w:rPr>
          <w:rFonts w:ascii="Barlow Semi Condensed" w:cs="Barlow Semi Condensed" w:eastAsia="Barlow Semi Condensed" w:hAnsi="Barlow Semi Condensed"/>
          <w:b/>
          <w:bCs/>
          <w:sz w:val="24"/>
          <w:szCs w:val="24"/>
        </w:rPr>
        <w:t xml:space="preserve">52 · Le ventimila pagine.</w:t>
      </w:r>
      <w:r>
        <w:rPr>
          <w:rFonts w:ascii="Barlow Semi Condensed" w:cs="Barlow Semi Condensed" w:eastAsia="Barlow Semi Condensed" w:hAnsi="Barlow Semi Condensed"/>
          <w:sz w:val="24"/>
          <w:szCs w:val="24"/>
        </w:rPr>
        <w:t xml:space="preserve"> La documentazione desecretata pubblicata dall'Archivio storico della Camera (circa ventimila pagine della Commissione Moro 2 rese consultabili online): spoglio sistematico con la griglia dei quesiti, non per curiosità di scorrimento. Ogni pagina desecretata è una carta che qualcuno aveva classificato: il perché della classifica è un dato anch'esso.</w:t>
      </w:r>
    </w:p>
    <w:p>
      <w:pPr>
        <w:spacing w:after="120" w:line="276"/>
        <w:jc w:val="both"/>
      </w:pPr>
      <w:r>
        <w:rPr>
          <w:rFonts w:ascii="Barlow Semi Condensed" w:cs="Barlow Semi Condensed" w:eastAsia="Barlow Semi Condensed" w:hAnsi="Barlow Semi Condensed"/>
          <w:b/>
          <w:bCs/>
          <w:sz w:val="24"/>
          <w:szCs w:val="24"/>
        </w:rPr>
        <w:t xml:space="preserve">53 · Il riservato residuo della Moro 2.</w:t>
      </w:r>
      <w:r>
        <w:rPr>
          <w:rFonts w:ascii="Barlow Semi Condensed" w:cs="Barlow Semi Condensed" w:eastAsia="Barlow Semi Condensed" w:hAnsi="Barlow Semi Condensed"/>
          <w:sz w:val="24"/>
          <w:szCs w:val="24"/>
        </w:rPr>
        <w:t xml:space="preserve"> Il censimento di ciò che nel fondo resta riservato o classificato, e la via della sua apertura: determinazioni degli organi di vertice della Camera, nulla osta delle amministrazioni originatrici. Per ogni classe di atti riservati: la richiesta formale, registrata, con la norma citata (blocco 287).</w:t>
      </w:r>
    </w:p>
    <w:p>
      <w:pPr>
        <w:spacing w:after="120" w:line="276"/>
        <w:jc w:val="both"/>
      </w:pPr>
      <w:r>
        <w:rPr>
          <w:rFonts w:ascii="Barlow Semi Condensed" w:cs="Barlow Semi Condensed" w:eastAsia="Barlow Semi Condensed" w:hAnsi="Barlow Semi Condensed"/>
          <w:b/>
          <w:bCs/>
          <w:sz w:val="24"/>
          <w:szCs w:val="24"/>
        </w:rPr>
        <w:t xml:space="preserve">54 · Il fondo della Moro 1.</w:t>
      </w:r>
      <w:r>
        <w:rPr>
          <w:rFonts w:ascii="Barlow Semi Condensed" w:cs="Barlow Semi Condensed" w:eastAsia="Barlow Semi Condensed" w:hAnsi="Barlow Semi Condensed"/>
          <w:sz w:val="24"/>
          <w:szCs w:val="24"/>
        </w:rPr>
        <w:t xml:space="preserve"> Il fondo della prima Commissione (legge 23 novembre 1979 n. 597, costituita il 10 gennaio 1980) all'Archivio storico del Senato, con inventario online: lo spoglio delle serie non riprodotte nei volumi a stampa — carteggi, documentazione acquisita, atti istruttori interni. Ciò che la Commissione lesse ma non stampò è il bersaglio.</w:t>
      </w:r>
    </w:p>
    <w:p>
      <w:pPr>
        <w:spacing w:after="120" w:line="276"/>
        <w:jc w:val="both"/>
      </w:pPr>
      <w:r>
        <w:rPr>
          <w:rFonts w:ascii="Barlow Semi Condensed" w:cs="Barlow Semi Condensed" w:eastAsia="Barlow Semi Condensed" w:hAnsi="Barlow Semi Condensed"/>
          <w:b/>
          <w:bCs/>
          <w:sz w:val="24"/>
          <w:szCs w:val="24"/>
        </w:rPr>
        <w:t xml:space="preserve">55 · I centotrenta volumi.</w:t>
      </w:r>
      <w:r>
        <w:rPr>
          <w:rFonts w:ascii="Barlow Semi Condensed" w:cs="Barlow Semi Condensed" w:eastAsia="Barlow Semi Condensed" w:hAnsi="Barlow Semi Condensed"/>
          <w:sz w:val="24"/>
          <w:szCs w:val="24"/>
        </w:rPr>
        <w:t xml:space="preserve"> L'edizione a stampa degli atti della Moro 1 (circa centotrenta volumi): la verifica della loro digitalizzazione integrale e, dove manchi, il progetto di digitalizzazione con indicizzazione (il cantiere digitale del manuale, blocchi 301 e seguenti). Un corpus che si consulta solo in biblioteca è un corpus che non si interroga.</w:t>
      </w:r>
    </w:p>
    <w:p>
      <w:pPr>
        <w:spacing w:after="120" w:line="276"/>
        <w:jc w:val="both"/>
      </w:pPr>
      <w:r>
        <w:rPr>
          <w:rFonts w:ascii="Barlow Semi Condensed" w:cs="Barlow Semi Condensed" w:eastAsia="Barlow Semi Condensed" w:hAnsi="Barlow Semi Condensed"/>
          <w:b/>
          <w:bCs/>
          <w:sz w:val="24"/>
          <w:szCs w:val="24"/>
        </w:rPr>
        <w:t xml:space="preserve">56 · Il riservato della Moro 1.</w:t>
      </w:r>
      <w:r>
        <w:rPr>
          <w:rFonts w:ascii="Barlow Semi Condensed" w:cs="Barlow Semi Condensed" w:eastAsia="Barlow Semi Condensed" w:hAnsi="Barlow Semi Condensed"/>
          <w:sz w:val="24"/>
          <w:szCs w:val="24"/>
        </w:rPr>
        <w:t xml:space="preserve"> Gli allegati e gli atti rimasti riservati della prima Commissione: censimento, stato attuale dopo le declassifiche intervenute, richiesta per il residuo. Quarant'anni dopo, la motivazione originaria di ogni riserva va riverificata: ciò che proteggeva qualcosa nel 1983 forse non protegge più nulla.</w:t>
      </w:r>
    </w:p>
    <w:p>
      <w:pPr>
        <w:spacing w:after="120" w:line="276"/>
        <w:jc w:val="both"/>
      </w:pPr>
      <w:r>
        <w:rPr>
          <w:rFonts w:ascii="Barlow Semi Condensed" w:cs="Barlow Semi Condensed" w:eastAsia="Barlow Semi Condensed" w:hAnsi="Barlow Semi Condensed"/>
          <w:b/>
          <w:bCs/>
          <w:sz w:val="24"/>
          <w:szCs w:val="24"/>
        </w:rPr>
        <w:t xml:space="preserve">57 · Il fondo della Commissione Stragi.</w:t>
      </w:r>
      <w:r>
        <w:rPr>
          <w:rFonts w:ascii="Barlow Semi Condensed" w:cs="Barlow Semi Condensed" w:eastAsia="Barlow Semi Condensed" w:hAnsi="Barlow Semi Condensed"/>
          <w:sz w:val="24"/>
          <w:szCs w:val="24"/>
        </w:rPr>
        <w:t xml:space="preserve"> Il fondo della Commissione sul terrorismo e le stragi (X-XIII legislatura, 1988-2001, presidenza Pellegrino) all'Archivio storico del Senato: inventario online, consultazione in sala studio su richiesta motivata. Il perimetro moroteo del fondo — audizioni, documenti acquisiti, elaborati — va estratto e spogliato come corpus a sé.</w:t>
      </w:r>
    </w:p>
    <w:p>
      <w:pPr>
        <w:spacing w:after="120" w:line="276"/>
        <w:jc w:val="both"/>
      </w:pPr>
      <w:r>
        <w:rPr>
          <w:rFonts w:ascii="Barlow Semi Condensed" w:cs="Barlow Semi Condensed" w:eastAsia="Barlow Semi Condensed" w:hAnsi="Barlow Semi Condensed"/>
          <w:b/>
          <w:bCs/>
          <w:sz w:val="24"/>
          <w:szCs w:val="24"/>
        </w:rPr>
        <w:t xml:space="preserve">58 · Le relazioni e gli stenografici della Stragi.</w:t>
      </w:r>
      <w:r>
        <w:rPr>
          <w:rFonts w:ascii="Barlow Semi Condensed" w:cs="Barlow Semi Condensed" w:eastAsia="Barlow Semi Condensed" w:hAnsi="Barlow Semi Condensed"/>
          <w:sz w:val="24"/>
          <w:szCs w:val="24"/>
        </w:rPr>
        <w:t xml:space="preserve"> Le relazioni approvate e gli stenografici delle sedute morotee della Commissione Stragi: rilettura con la griglia, e collazione delle audizioni ripetute — chi fu sentito sia dalla Stragi sia dalle Commissioni Moro, e che cosa cambiò fra le versioni. Le divergenze fra audizioni dello stesso teste sono un giacimento in sé.</w:t>
      </w:r>
    </w:p>
    <w:p>
      <w:pPr>
        <w:spacing w:after="120" w:line="276"/>
        <w:jc w:val="both"/>
      </w:pPr>
      <w:r>
        <w:rPr>
          <w:rFonts w:ascii="Barlow Semi Condensed" w:cs="Barlow Semi Condensed" w:eastAsia="Barlow Semi Condensed" w:hAnsi="Barlow Semi Condensed"/>
          <w:b/>
          <w:bCs/>
          <w:sz w:val="24"/>
          <w:szCs w:val="24"/>
        </w:rPr>
        <w:t xml:space="preserve">59 · Le declassifiche del Senato.</w:t>
      </w:r>
      <w:r>
        <w:rPr>
          <w:rFonts w:ascii="Barlow Semi Condensed" w:cs="Barlow Semi Condensed" w:eastAsia="Barlow Semi Condensed" w:hAnsi="Barlow Semi Condensed"/>
          <w:sz w:val="24"/>
          <w:szCs w:val="24"/>
        </w:rPr>
        <w:t xml:space="preserve"> Gli atti aperti dai decreti del Presidente del Senato (il DPS 12785 del 2020 e successivi): censimento di ciò che è stato desecretato nei fondi delle commissioni e di ciò che resta chiuso, con la procedura per chiederne l'apertura. Il calendario delle aperture (blocco 44) ha qui la sua colonna parlamentare.</w:t>
      </w:r>
    </w:p>
    <w:p>
      <w:pPr>
        <w:spacing w:after="120" w:line="276"/>
        <w:jc w:val="both"/>
      </w:pPr>
      <w:r>
        <w:rPr>
          <w:rFonts w:ascii="Barlow Semi Condensed" w:cs="Barlow Semi Condensed" w:eastAsia="Barlow Semi Condensed" w:hAnsi="Barlow Semi Condensed"/>
          <w:b/>
          <w:bCs/>
          <w:sz w:val="24"/>
          <w:szCs w:val="24"/>
        </w:rPr>
        <w:t xml:space="preserve">60 · Il fondo della Commissione P2.</w:t>
      </w:r>
      <w:r>
        <w:rPr>
          <w:rFonts w:ascii="Barlow Semi Condensed" w:cs="Barlow Semi Condensed" w:eastAsia="Barlow Semi Condensed" w:hAnsi="Barlow Semi Condensed"/>
          <w:sz w:val="24"/>
          <w:szCs w:val="24"/>
        </w:rPr>
        <w:t xml:space="preserve"> Gli atti della Commissione Anselmi sulla loggia P2 per la parte che tocca il 1978 e gli apparati del caso: gli elenchi accertati, le audizioni pertinenti, i documenti sugli uffici. Disciplina scolpita: le appartenenze documentate sono fatti; nessuna appartenenza è una condotta — la scheda PE-1 detta il perimetro.</w:t>
      </w:r>
    </w:p>
    <w:p>
      <w:pPr>
        <w:spacing w:after="120" w:line="276"/>
        <w:jc w:val="both"/>
      </w:pPr>
      <w:r>
        <w:rPr>
          <w:rFonts w:ascii="Barlow Semi Condensed" w:cs="Barlow Semi Condensed" w:eastAsia="Barlow Semi Condensed" w:hAnsi="Barlow Semi Condensed"/>
          <w:b/>
          <w:bCs/>
          <w:sz w:val="24"/>
          <w:szCs w:val="24"/>
        </w:rPr>
        <w:t xml:space="preserve">61 · I fondi connessi.</w:t>
      </w:r>
      <w:r>
        <w:rPr>
          <w:rFonts w:ascii="Barlow Semi Condensed" w:cs="Barlow Semi Condensed" w:eastAsia="Barlow Semi Condensed" w:hAnsi="Barlow Semi Condensed"/>
          <w:sz w:val="24"/>
          <w:szCs w:val="24"/>
        </w:rPr>
        <w:t xml:space="preserve"> Le altre commissioni d'inchiesta con materia intrecciata — per gli anni e gli apparati che toccano il caso: censimento dei rispettivi fondi per la sola parte moroteta, con la stessa disciplina di lettura. L'agenda non insegue le commissioni: estrae da ciascuna il perimetro che serve ai quesiti.</w:t>
      </w:r>
    </w:p>
    <w:p>
      <w:pPr>
        <w:spacing w:after="120" w:line="276"/>
        <w:jc w:val="both"/>
      </w:pPr>
      <w:r>
        <w:rPr>
          <w:rFonts w:ascii="Barlow Semi Condensed" w:cs="Barlow Semi Condensed" w:eastAsia="Barlow Semi Condensed" w:hAnsi="Barlow Semi Condensed"/>
          <w:b/>
          <w:bCs/>
          <w:sz w:val="24"/>
          <w:szCs w:val="24"/>
        </w:rPr>
        <w:t xml:space="preserve">62 · Gli atti parlamentari ordinari.</w:t>
      </w:r>
      <w:r>
        <w:rPr>
          <w:rFonts w:ascii="Barlow Semi Condensed" w:cs="Barlow Semi Condensed" w:eastAsia="Barlow Semi Condensed" w:hAnsi="Barlow Semi Condensed"/>
          <w:sz w:val="24"/>
          <w:szCs w:val="24"/>
        </w:rPr>
        <w:t xml:space="preserve"> Interrogazioni, interpellanze, dibattiti d'aula e di commissione dei 55 giorni e degli anni successivi, nelle banche dati storiche di Camera e Senato: la tavola di che cosa il Parlamento chiese al Governo sul caso e di che cosa il Governo rispose — con le non-risposte censite come tali.</w:t>
      </w:r>
    </w:p>
    <w:p>
      <w:pPr>
        <w:spacing w:after="120" w:line="276"/>
        <w:jc w:val="both"/>
      </w:pPr>
      <w:r>
        <w:rPr>
          <w:rFonts w:ascii="Barlow Semi Condensed" w:cs="Barlow Semi Condensed" w:eastAsia="Barlow Semi Condensed" w:hAnsi="Barlow Semi Condensed"/>
          <w:b/>
          <w:bCs/>
          <w:sz w:val="24"/>
          <w:szCs w:val="24"/>
        </w:rPr>
        <w:t xml:space="preserve">63 · I fondi dei parlamentari.</w:t>
      </w:r>
      <w:r>
        <w:rPr>
          <w:rFonts w:ascii="Barlow Semi Condensed" w:cs="Barlow Semi Condensed" w:eastAsia="Barlow Semi Condensed" w:hAnsi="Barlow Semi Condensed"/>
          <w:sz w:val="24"/>
          <w:szCs w:val="24"/>
        </w:rPr>
        <w:t xml:space="preserve"> I fondi personali dei parlamentari protagonisti conservati negli archivi storici delle Camere e negli istituti collegati: diari, carteggi, appunti dei 55 giorni. Il raccordo con la serie settima: qui si censisce ciò che le istituzioni parlamentari già custodiscono; là ciò che è ancora in mani private.</w:t>
      </w:r>
    </w:p>
    <w:p>
      <w:pPr>
        <w:spacing w:after="120" w:line="276"/>
        <w:jc w:val="both"/>
      </w:pPr>
      <w:r>
        <w:rPr>
          <w:rFonts w:ascii="Barlow Semi Condensed" w:cs="Barlow Semi Condensed" w:eastAsia="Barlow Semi Condensed" w:hAnsi="Barlow Semi Condensed"/>
          <w:b/>
          <w:bCs/>
          <w:sz w:val="24"/>
          <w:szCs w:val="24"/>
        </w:rPr>
        <w:t xml:space="preserve">64 · Le audizioni mai pubblicate.</w:t>
      </w:r>
      <w:r>
        <w:rPr>
          <w:rFonts w:ascii="Barlow Semi Condensed" w:cs="Barlow Semi Condensed" w:eastAsia="Barlow Semi Condensed" w:hAnsi="Barlow Semi Condensed"/>
          <w:sz w:val="24"/>
          <w:szCs w:val="24"/>
        </w:rPr>
        <w:t xml:space="preserve"> Il censimento delle audizioni segretate o mai pubblicate delle tre commissioni: chi, quando, su che cosa (dagli indici, che sono pubblici anche dove i testi non lo sono), e la richiesta d'apertura caso per caso. L'indice del segreto è già conoscenza: dice dove qualcuno ritenne che ci fosse qualcosa da proteggere.</w:t>
      </w:r>
    </w:p>
    <w:p>
      <w:pPr>
        <w:spacing w:after="120" w:line="276"/>
        <w:jc w:val="both"/>
      </w:pPr>
      <w:r>
        <w:rPr>
          <w:rFonts w:ascii="Barlow Semi Condensed" w:cs="Barlow Semi Condensed" w:eastAsia="Barlow Semi Condensed" w:hAnsi="Barlow Semi Condensed"/>
          <w:b/>
          <w:bCs/>
          <w:sz w:val="24"/>
          <w:szCs w:val="24"/>
        </w:rPr>
        <w:t xml:space="preserve">65 · La stessa domanda, tre volte.</w:t>
      </w:r>
      <w:r>
        <w:rPr>
          <w:rFonts w:ascii="Barlow Semi Condensed" w:cs="Barlow Semi Condensed" w:eastAsia="Barlow Semi Condensed" w:hAnsi="Barlow Semi Condensed"/>
          <w:sz w:val="24"/>
          <w:szCs w:val="24"/>
        </w:rPr>
        <w:t xml:space="preserve"> La collazione sistematica: per ogni quesito costitutivo, che cosa risposero — negli anni — Moro 1, Stragi e Moro 2. La tavola delle risposte convergenti, divergenti e mancanti è la storia istruttoria del caso in un colpo d'occhio, e ogni divergenza non spiegata è un bersaglio nuovo.</w:t>
      </w:r>
    </w:p>
    <w:p>
      <w:pPr>
        <w:spacing w:after="120" w:line="276"/>
        <w:jc w:val="both"/>
      </w:pPr>
      <w:r>
        <w:rPr>
          <w:rFonts w:ascii="Barlow Semi Condensed" w:cs="Barlow Semi Condensed" w:eastAsia="Barlow Semi Condensed" w:hAnsi="Barlow Semi Condensed"/>
          <w:b/>
          <w:bCs/>
          <w:sz w:val="24"/>
          <w:szCs w:val="24"/>
        </w:rPr>
        <w:t xml:space="preserve">66 · L'indice unico delle perizie.</w:t>
      </w:r>
      <w:r>
        <w:rPr>
          <w:rFonts w:ascii="Barlow Semi Condensed" w:cs="Barlow Semi Condensed" w:eastAsia="Barlow Semi Condensed" w:hAnsi="Barlow Semi Condensed"/>
          <w:sz w:val="24"/>
          <w:szCs w:val="24"/>
        </w:rPr>
        <w:t xml:space="preserve"> Tutte le perizie e consulenze tecniche disposte in quarant'anni di inchieste parlamentari, in un indice unico con oggetto, autore, anno, sede e stato di pubblicità. Il cantiere dei reperti (serie quarta) vi si appoggia: nessun riesame parte senza sapere che cosa fu già esaminato, come e da chi.</w:t>
      </w:r>
    </w:p>
    <w:p>
      <w:pPr>
        <w:spacing w:after="120" w:line="276"/>
        <w:jc w:val="both"/>
      </w:pPr>
      <w:r>
        <w:rPr>
          <w:rFonts w:ascii="Barlow Semi Condensed" w:cs="Barlow Semi Condensed" w:eastAsia="Barlow Semi Condensed" w:hAnsi="Barlow Semi Condensed"/>
          <w:b/>
          <w:bCs/>
          <w:sz w:val="24"/>
          <w:szCs w:val="24"/>
        </w:rPr>
        <w:t xml:space="preserve">67 · L'indice unico delle audizioni.</w:t>
      </w:r>
      <w:r>
        <w:rPr>
          <w:rFonts w:ascii="Barlow Semi Condensed" w:cs="Barlow Semi Condensed" w:eastAsia="Barlow Semi Condensed" w:hAnsi="Barlow Semi Condensed"/>
          <w:sz w:val="24"/>
          <w:szCs w:val="24"/>
        </w:rPr>
        <w:t xml:space="preserve"> Tutte le persone sentite dalle tre commissioni, in un indice unico: chi, quante volte, in che anni, con rinvio agli stenografici. È l'anagrafe della parola istituzionale sul caso — e incrociata con la tavola dei viventi (blocco 101) dice chi può ancora essere riascoltato su che cosa.</w:t>
      </w:r>
    </w:p>
    <w:p>
      <w:pPr>
        <w:spacing w:after="120" w:line="276"/>
        <w:jc w:val="both"/>
      </w:pPr>
      <w:r>
        <w:rPr>
          <w:rFonts w:ascii="Barlow Semi Condensed" w:cs="Barlow Semi Condensed" w:eastAsia="Barlow Semi Condensed" w:hAnsi="Barlow Semi Condensed"/>
          <w:b/>
          <w:bCs/>
          <w:sz w:val="24"/>
          <w:szCs w:val="24"/>
        </w:rPr>
        <w:t xml:space="preserve">68 · Le carte delle segreterie.</w:t>
      </w:r>
      <w:r>
        <w:rPr>
          <w:rFonts w:ascii="Barlow Semi Condensed" w:cs="Barlow Semi Condensed" w:eastAsia="Barlow Semi Condensed" w:hAnsi="Barlow Semi Condensed"/>
          <w:sz w:val="24"/>
          <w:szCs w:val="24"/>
        </w:rPr>
        <w:t xml:space="preserve"> Gli atti organizzativi interni delle commissioni: criteri di classificazione, registri di protocollo, corrispondenza con le amministrazioni. Come una commissione decise che cosa secretare è un fatto storico rilevante quanto ciò che secretò: la procedura del segreto è essa stessa un oggetto di studio.</w:t>
      </w:r>
    </w:p>
    <w:p>
      <w:pPr>
        <w:spacing w:after="120" w:line="276"/>
        <w:jc w:val="both"/>
      </w:pPr>
      <w:r>
        <w:rPr>
          <w:rFonts w:ascii="Barlow Semi Condensed" w:cs="Barlow Semi Condensed" w:eastAsia="Barlow Semi Condensed" w:hAnsi="Barlow Semi Condensed"/>
          <w:b/>
          <w:bCs/>
          <w:sz w:val="24"/>
          <w:szCs w:val="24"/>
        </w:rPr>
        <w:t xml:space="preserve">69 · Il raccordo col giudiziario.</w:t>
      </w:r>
      <w:r>
        <w:rPr>
          <w:rFonts w:ascii="Barlow Semi Condensed" w:cs="Barlow Semi Condensed" w:eastAsia="Barlow Semi Condensed" w:hAnsi="Barlow Semi Condensed"/>
          <w:sz w:val="24"/>
          <w:szCs w:val="24"/>
        </w:rPr>
        <w:t xml:space="preserve"> La tavola degli atti trasmessi dalle commissioni alle procure e viceversa: che cosa l'inchiesta parlamentare consegnò alla giustizia, che cosa ne ricevette, e che cosa ciascun binario fece dell'altro. I due sistemi si osservarono per decenni: la mappa dei passaggi è un quesito di metodo con risposte documentali.</w:t>
      </w:r>
    </w:p>
    <w:p>
      <w:pPr>
        <w:spacing w:after="120" w:line="276"/>
        <w:jc w:val="both"/>
      </w:pPr>
      <w:r>
        <w:rPr>
          <w:rFonts w:ascii="Barlow Semi Condensed" w:cs="Barlow Semi Condensed" w:eastAsia="Barlow Semi Condensed" w:hAnsi="Barlow Semi Condensed"/>
          <w:b/>
          <w:bCs/>
          <w:sz w:val="24"/>
          <w:szCs w:val="24"/>
        </w:rPr>
        <w:t xml:space="preserve">70 · La tavola del giacimento parlamentare.</w:t>
      </w:r>
      <w:r>
        <w:rPr>
          <w:rFonts w:ascii="Barlow Semi Condensed" w:cs="Barlow Semi Condensed" w:eastAsia="Barlow Semi Condensed" w:hAnsi="Barlow Semi Condensed"/>
          <w:sz w:val="24"/>
          <w:szCs w:val="24"/>
        </w:rPr>
        <w:t xml:space="preserve"> La chiusura della serie: la tavola unica dei tre fondi — consistenza, stato di apertura, stato di spoglio, strumenti — con gli indici unici dei blocchi 66-67 come allegati permanenti. Quarant'anni di inchieste, una pagina di stato: è il minimo che il 2026 deve al 1978.</w:t>
      </w:r>
    </w:p>
    <w:p>
      <w:pPr>
        <w:pStyle w:val="Heading2"/>
        <w:spacing w:after="100" w:before="200"/>
      </w:pPr>
      <w:r>
        <w:rPr>
          <w:rFonts w:ascii="Barlow Semi Condensed" w:cs="Barlow Semi Condensed" w:eastAsia="Barlow Semi Condensed" w:hAnsi="Barlow Semi Condensed"/>
          <w:sz w:val="24"/>
          <w:szCs w:val="24"/>
        </w:rPr>
        <w:t xml:space="preserve">Serie quarta — I reperti da reinterrogare (blocchi 71-100)</w:t>
      </w:r>
    </w:p>
    <w:p>
      <w:pPr>
        <w:spacing w:after="120" w:line="276"/>
        <w:jc w:val="both"/>
      </w:pPr>
      <w:r>
        <w:rPr>
          <w:rFonts w:ascii="Barlow Semi Condensed" w:cs="Barlow Semi Condensed" w:eastAsia="Barlow Semi Condensed" w:hAnsi="Barlow Semi Condensed"/>
          <w:i/>
          <w:iCs/>
          <w:sz w:val="24"/>
          <w:szCs w:val="24"/>
        </w:rPr>
        <w:t xml:space="preserve">Statuto della serie: il primato del reperto, eseguito. I reperti del 1978 sono la sola classe di fonti che non invecchia e non ritratta: ogni progresso delle scienze forensi è una domanda nuova che si può porre a un oggetto vecchio. La serie elenca i reperti bersaglio e la domanda attuale per ciascuno; ogni blocco presuppone la catena di custodia ricostruita (blocco 243) e i protocolli forensi del manuale (serie terza). Nessun reperto ha un nome come risposta attesa.</w:t>
      </w:r>
    </w:p>
    <w:p>
      <w:pPr>
        <w:spacing w:after="120" w:line="276"/>
        <w:jc w:val="both"/>
      </w:pPr>
      <w:r>
        <w:rPr>
          <w:rFonts w:ascii="Barlow Semi Condensed" w:cs="Barlow Semi Condensed" w:eastAsia="Barlow Semi Condensed" w:hAnsi="Barlow Semi Condensed"/>
          <w:b/>
          <w:bCs/>
          <w:sz w:val="24"/>
          <w:szCs w:val="24"/>
        </w:rPr>
        <w:t xml:space="preserve">71 · La ricognizione generale.</w:t>
      </w:r>
      <w:r>
        <w:rPr>
          <w:rFonts w:ascii="Barlow Semi Condensed" w:cs="Barlow Semi Condensed" w:eastAsia="Barlow Semi Condensed" w:hAnsi="Barlow Semi Condensed"/>
          <w:sz w:val="24"/>
          <w:szCs w:val="24"/>
        </w:rPr>
        <w:t xml:space="preserve"> Prima domanda di tutte: che cosa esiste ancora? Censimento fisico dei corpi di reato del caso — sede per sede, con stato di conservazione, vincoli giudiziari e riesaminabilità — da opporre agli inventari del 1978. La tavola dell'esistente decide quali blocchi di questa serie sono eseguibili e quali sono già storia.</w:t>
      </w:r>
    </w:p>
    <w:p>
      <w:pPr>
        <w:spacing w:after="120" w:line="276"/>
        <w:jc w:val="both"/>
      </w:pPr>
      <w:r>
        <w:rPr>
          <w:rFonts w:ascii="Barlow Semi Condensed" w:cs="Barlow Semi Condensed" w:eastAsia="Barlow Semi Condensed" w:hAnsi="Barlow Semi Condensed"/>
          <w:b/>
          <w:bCs/>
          <w:sz w:val="24"/>
          <w:szCs w:val="24"/>
        </w:rPr>
        <w:t xml:space="preserve">72 · I novantuno bossoli, di nuovo.</w:t>
      </w:r>
      <w:r>
        <w:rPr>
          <w:rFonts w:ascii="Barlow Semi Condensed" w:cs="Barlow Semi Condensed" w:eastAsia="Barlow Semi Condensed" w:hAnsi="Barlow Semi Condensed"/>
          <w:sz w:val="24"/>
          <w:szCs w:val="24"/>
        </w:rPr>
        <w:t xml:space="preserve"> Ricomparazione integrale bossolo per bossolo con comparatori digitali e imaging tridimensionale: la perizia del 2015 per la Moro 2 consolidò l'attribuzione dei quarantanove colpi a un'arma sola; la domanda attuale è se la microscopia computazionale confermi, raffini o riattribuisca — su tutti i novantuno, non su campione.</w:t>
      </w:r>
    </w:p>
    <w:p>
      <w:pPr>
        <w:spacing w:after="120" w:line="276"/>
        <w:jc w:val="both"/>
      </w:pPr>
      <w:r>
        <w:rPr>
          <w:rFonts w:ascii="Barlow Semi Condensed" w:cs="Barlow Semi Condensed" w:eastAsia="Barlow Semi Condensed" w:hAnsi="Barlow Semi Condensed"/>
          <w:b/>
          <w:bCs/>
          <w:sz w:val="24"/>
          <w:szCs w:val="24"/>
        </w:rPr>
        <w:t xml:space="preserve">73 · L'arma dei quarantanove.</w:t>
      </w:r>
      <w:r>
        <w:rPr>
          <w:rFonts w:ascii="Barlow Semi Condensed" w:cs="Barlow Semi Condensed" w:eastAsia="Barlow Semi Condensed" w:hAnsi="Barlow Semi Condensed"/>
          <w:sz w:val="24"/>
          <w:szCs w:val="24"/>
        </w:rPr>
        <w:t xml:space="preserve"> Per l'arma prevalente: definizione del modello e ricerca dell'esemplare — confronti con armi sequestrate in decenni di procedimenti (il lotto milanese del 1980 incluso), interrogazione degli archivi balistici automatizzati. L'esemplare ritrovato sarebbe l'evidenza discriminante della matrice di via Fani.</w:t>
      </w:r>
    </w:p>
    <w:p>
      <w:pPr>
        <w:spacing w:after="120" w:line="276"/>
        <w:jc w:val="both"/>
      </w:pPr>
      <w:r>
        <w:rPr>
          <w:rFonts w:ascii="Barlow Semi Condensed" w:cs="Barlow Semi Condensed" w:eastAsia="Barlow Semi Condensed" w:hAnsi="Barlow Semi Condensed"/>
          <w:b/>
          <w:bCs/>
          <w:sz w:val="24"/>
          <w:szCs w:val="24"/>
        </w:rPr>
        <w:t xml:space="preserve">74 · Le attribuzioni residue.</w:t>
      </w:r>
      <w:r>
        <w:rPr>
          <w:rFonts w:ascii="Barlow Semi Condensed" w:cs="Barlow Semi Condensed" w:eastAsia="Barlow Semi Condensed" w:hAnsi="Barlow Semi Condensed"/>
          <w:sz w:val="24"/>
          <w:szCs w:val="24"/>
        </w:rPr>
        <w:t xml:space="preserve"> Per i colpi non attribuiti all'arma prevalente: la tavola arma per arma, aggiornata con gli strumenti attuali, e il confronto con le armi in giudicato. L'esito è una colonna di stati: attribuito, compatibile, orfano — e ogni «orfano» è un bersaglio che resta acceso.</w:t>
      </w:r>
    </w:p>
    <w:p>
      <w:pPr>
        <w:spacing w:after="120" w:line="276"/>
        <w:jc w:val="both"/>
      </w:pPr>
      <w:r>
        <w:rPr>
          <w:rFonts w:ascii="Barlow Semi Condensed" w:cs="Barlow Semi Condensed" w:eastAsia="Barlow Semi Condensed" w:hAnsi="Barlow Semi Condensed"/>
          <w:b/>
          <w:bCs/>
          <w:sz w:val="24"/>
          <w:szCs w:val="24"/>
        </w:rPr>
        <w:t xml:space="preserve">75 · La dinamica ricostruita.</w:t>
      </w:r>
      <w:r>
        <w:rPr>
          <w:rFonts w:ascii="Barlow Semi Condensed" w:cs="Barlow Semi Condensed" w:eastAsia="Barlow Semi Condensed" w:hAnsi="Barlow Semi Condensed"/>
          <w:sz w:val="24"/>
          <w:szCs w:val="24"/>
        </w:rPr>
        <w:t xml:space="preserve"> Revisione della dinamica di fuoco con ricostruzione tridimensionale della scena: posizioni, angoli, sequenze, compatibilità con le testimonianze corroborate e con l'ipotesi del tiratore prevalente. Il prodotto è un modello pubblico e falsificabile, non un racconto.</w:t>
      </w:r>
    </w:p>
    <w:p>
      <w:pPr>
        <w:spacing w:after="120" w:line="276"/>
        <w:jc w:val="both"/>
      </w:pPr>
      <w:r>
        <w:rPr>
          <w:rFonts w:ascii="Barlow Semi Condensed" w:cs="Barlow Semi Condensed" w:eastAsia="Barlow Semi Condensed" w:hAnsi="Barlow Semi Condensed"/>
          <w:b/>
          <w:bCs/>
          <w:sz w:val="24"/>
          <w:szCs w:val="24"/>
        </w:rPr>
        <w:t xml:space="preserve">76 · Il DNA dell'auto di sbarramento.</w:t>
      </w:r>
      <w:r>
        <w:rPr>
          <w:rFonts w:ascii="Barlow Semi Condensed" w:cs="Barlow Semi Condensed" w:eastAsia="Barlow Semi Condensed" w:hAnsi="Barlow Semi Condensed"/>
          <w:sz w:val="24"/>
          <w:szCs w:val="24"/>
        </w:rPr>
        <w:t xml:space="preserve"> I profili estratti nel 2016 dai mozziconi della 128 di sbarramento: comparazioni estese — banca dati nazionale, profili dei condannati e degli esclusi, ricerca familiare dove la legge la consente. Ogni comparazione ha esito verbalizzato: match, esclusione, ininterpretabile.</w:t>
      </w:r>
    </w:p>
    <w:p>
      <w:pPr>
        <w:spacing w:after="120" w:line="276"/>
        <w:jc w:val="both"/>
      </w:pPr>
      <w:r>
        <w:rPr>
          <w:rFonts w:ascii="Barlow Semi Condensed" w:cs="Barlow Semi Condensed" w:eastAsia="Barlow Semi Condensed" w:hAnsi="Barlow Semi Condensed"/>
          <w:b/>
          <w:bCs/>
          <w:sz w:val="24"/>
          <w:szCs w:val="24"/>
        </w:rPr>
        <w:t xml:space="preserve">77 · Il DNA di via Gradoli.</w:t>
      </w:r>
      <w:r>
        <w:rPr>
          <w:rFonts w:ascii="Barlow Semi Condensed" w:cs="Barlow Semi Condensed" w:eastAsia="Barlow Semi Condensed" w:hAnsi="Barlow Semi Condensed"/>
          <w:sz w:val="24"/>
          <w:szCs w:val="24"/>
        </w:rPr>
        <w:t xml:space="preserve"> Stessa disciplina per i profili dai reperti del covo: la tavola delle comparazioni con stati. L'obiettivo non è un nome: è ridurre l'insieme degli ignoti — ogni esclusione documentata restringe il perimetro delle presenze non giudicate.</w:t>
      </w:r>
    </w:p>
    <w:p>
      <w:pPr>
        <w:spacing w:after="120" w:line="276"/>
        <w:jc w:val="both"/>
      </w:pPr>
      <w:r>
        <w:rPr>
          <w:rFonts w:ascii="Barlow Semi Condensed" w:cs="Barlow Semi Condensed" w:eastAsia="Barlow Semi Condensed" w:hAnsi="Barlow Semi Condensed"/>
          <w:b/>
          <w:bCs/>
          <w:sz w:val="24"/>
          <w:szCs w:val="24"/>
        </w:rPr>
        <w:t xml:space="preserve">78 · L'aplotipo e la genealogia.</w:t>
      </w:r>
      <w:r>
        <w:rPr>
          <w:rFonts w:ascii="Barlow Semi Condensed" w:cs="Barlow Semi Condensed" w:eastAsia="Barlow Semi Condensed" w:hAnsi="Barlow Semi Condensed"/>
          <w:sz w:val="24"/>
          <w:szCs w:val="24"/>
        </w:rPr>
        <w:t xml:space="preserve"> Per i profili che restano ignoti: valutazione formale di praticabilità della genealogia genetica forense in Italia (blocchi 181 e seguenti) — ammissibilità, banche interrogabili, garanzie. Il blocco produce un parere e un protocollo, prima di produrre qualunque ricerca.</w:t>
      </w:r>
    </w:p>
    <w:p>
      <w:pPr>
        <w:spacing w:after="120" w:line="276"/>
        <w:jc w:val="both"/>
      </w:pPr>
      <w:r>
        <w:rPr>
          <w:rFonts w:ascii="Barlow Semi Condensed" w:cs="Barlow Semi Condensed" w:eastAsia="Barlow Semi Condensed" w:hAnsi="Barlow Semi Condensed"/>
          <w:b/>
          <w:bCs/>
          <w:sz w:val="24"/>
          <w:szCs w:val="24"/>
        </w:rPr>
        <w:t xml:space="preserve">79 · Il caricatore di via Stresa.</w:t>
      </w:r>
      <w:r>
        <w:rPr>
          <w:rFonts w:ascii="Barlow Semi Condensed" w:cs="Barlow Semi Condensed" w:eastAsia="Barlow Semi Condensed" w:hAnsi="Barlow Semi Condensed"/>
          <w:sz w:val="24"/>
          <w:szCs w:val="24"/>
        </w:rPr>
        <w:t xml:space="preserve"> Riesame del reperto con le tecniche attuali su impronte e tracce biologiche; compatibilità d'arma; collocazione nella dinamica. Reperto singolo dal quesito binario: attribuzione ordinaria che lo chiude, o inattribuibilità documentata che lo tiene fra le evidenze delle presenze non giudicate.</w:t>
      </w:r>
    </w:p>
    <w:p>
      <w:pPr>
        <w:spacing w:after="120" w:line="276"/>
        <w:jc w:val="both"/>
      </w:pPr>
      <w:r>
        <w:rPr>
          <w:rFonts w:ascii="Barlow Semi Condensed" w:cs="Barlow Semi Condensed" w:eastAsia="Barlow Semi Condensed" w:hAnsi="Barlow Semi Condensed"/>
          <w:b/>
          <w:bCs/>
          <w:sz w:val="24"/>
          <w:szCs w:val="24"/>
        </w:rPr>
        <w:t xml:space="preserve">80 · L'anagrafe delle Honda.</w:t>
      </w:r>
      <w:r>
        <w:rPr>
          <w:rFonts w:ascii="Barlow Semi Condensed" w:cs="Barlow Semi Condensed" w:eastAsia="Barlow Semi Condensed" w:hAnsi="Barlow Semi Condensed"/>
          <w:sz w:val="24"/>
          <w:szCs w:val="24"/>
        </w:rPr>
        <w:t xml:space="preserve"> Per la moto testimoniata in via Fani: lo spoglio dell'anagrafe motociclistica romana del 1978 — immatricolazioni, furti denunciati nel periodo, verbali di rinvenimento — incrociato con le testimonianze corroborate. Un identificato innocente chiude (blocco 212); un vuoto documentato mantiene.</w:t>
      </w:r>
    </w:p>
    <w:p>
      <w:pPr>
        <w:spacing w:after="120" w:line="276"/>
        <w:jc w:val="both"/>
      </w:pPr>
      <w:r>
        <w:rPr>
          <w:rFonts w:ascii="Barlow Semi Condensed" w:cs="Barlow Semi Condensed" w:eastAsia="Barlow Semi Condensed" w:hAnsi="Barlow Semi Condensed"/>
          <w:b/>
          <w:bCs/>
          <w:sz w:val="24"/>
          <w:szCs w:val="24"/>
        </w:rPr>
        <w:t xml:space="preserve">81 · La Renault 4.</w:t>
      </w:r>
      <w:r>
        <w:rPr>
          <w:rFonts w:ascii="Barlow Semi Condensed" w:cs="Barlow Semi Condensed" w:eastAsia="Barlow Semi Condensed" w:hAnsi="Barlow Semi Condensed"/>
          <w:sz w:val="24"/>
          <w:szCs w:val="24"/>
        </w:rPr>
        <w:t xml:space="preserve"> Il veicolo del ritrovamento: sorte fisica del reperto e revisione documentale delle perizie d'epoca — tracce, terre, vegetali, tempi di sosta. Dove il reperto non esiste più, esiste il suo fascicolo: la perizia del 1978 riletta con le domande del 2026 è essa stessa un bersaglio.</w:t>
      </w:r>
    </w:p>
    <w:p>
      <w:pPr>
        <w:spacing w:after="120" w:line="276"/>
        <w:jc w:val="both"/>
      </w:pPr>
      <w:r>
        <w:rPr>
          <w:rFonts w:ascii="Barlow Semi Condensed" w:cs="Barlow Semi Condensed" w:eastAsia="Barlow Semi Condensed" w:hAnsi="Barlow Semi Condensed"/>
          <w:b/>
          <w:bCs/>
          <w:sz w:val="24"/>
          <w:szCs w:val="24"/>
        </w:rPr>
        <w:t xml:space="preserve">82 · Le altre auto del caso.</w:t>
      </w:r>
      <w:r>
        <w:rPr>
          <w:rFonts w:ascii="Barlow Semi Condensed" w:cs="Barlow Semi Condensed" w:eastAsia="Barlow Semi Condensed" w:hAnsi="Barlow Semi Condensed"/>
          <w:sz w:val="24"/>
          <w:szCs w:val="24"/>
        </w:rPr>
        <w:t xml:space="preserve"> La 132, le 128, i veicoli dei covi: per ciascuno sorte, perizie d'epoca, tracce documentate. La tavola dei veicoli chiude un capitolo di anagrafe materiale che nessuna istruttoria compilò in forma unica.</w:t>
      </w:r>
    </w:p>
    <w:p>
      <w:pPr>
        <w:spacing w:after="120" w:line="276"/>
        <w:jc w:val="both"/>
      </w:pPr>
      <w:r>
        <w:rPr>
          <w:rFonts w:ascii="Barlow Semi Condensed" w:cs="Barlow Semi Condensed" w:eastAsia="Barlow Semi Condensed" w:hAnsi="Barlow Semi Condensed"/>
          <w:b/>
          <w:bCs/>
          <w:sz w:val="24"/>
          <w:szCs w:val="24"/>
        </w:rPr>
        <w:t xml:space="preserve">83 · Gli abiti e le sabbie.</w:t>
      </w:r>
      <w:r>
        <w:rPr>
          <w:rFonts w:ascii="Barlow Semi Condensed" w:cs="Barlow Semi Condensed" w:eastAsia="Barlow Semi Condensed" w:hAnsi="Barlow Semi Condensed"/>
          <w:sz w:val="24"/>
          <w:szCs w:val="24"/>
        </w:rPr>
        <w:t xml:space="preserve"> Gli abiti di Moro al ritrovamento: ripetizione delle analisi su sabbia e tracce con la geologia forense attuale — granulometrie, minerali, bitumi — per precisare la compatibilità litoranea emersa nella perizia geologico-botanica del 1978 (Lombardi-Giacomini: sabbia giudicata esclusiva del litorale tirrenico laziale) e rilanciata dagli accertamenti disposti dalla Moro 2. L'esito perimetra i luoghi degli ultimi giorni, senza nominarne nessuno.</w:t>
      </w:r>
    </w:p>
    <w:p>
      <w:pPr>
        <w:spacing w:after="120" w:line="276"/>
        <w:jc w:val="both"/>
      </w:pPr>
      <w:r>
        <w:rPr>
          <w:rFonts w:ascii="Barlow Semi Condensed" w:cs="Barlow Semi Condensed" w:eastAsia="Barlow Semi Condensed" w:hAnsi="Barlow Semi Condensed"/>
          <w:b/>
          <w:bCs/>
          <w:sz w:val="24"/>
          <w:szCs w:val="24"/>
        </w:rPr>
        <w:t xml:space="preserve">84 · I pollini e le fibre.</w:t>
      </w:r>
      <w:r>
        <w:rPr>
          <w:rFonts w:ascii="Barlow Semi Condensed" w:cs="Barlow Semi Condensed" w:eastAsia="Barlow Semi Condensed" w:hAnsi="Barlow Semi Condensed"/>
          <w:sz w:val="24"/>
          <w:szCs w:val="24"/>
        </w:rPr>
        <w:t xml:space="preserve"> Palinologia e merceologia su abiti e coperta: taxa vegetali, stagionalità, fibre e provenienze. Ogni taxon identificato è una coordinata; la tavola dei taxa è una mappa di compatibilità dei luoghi — il contributo più silenzioso e più duro da confutare che i reperti possano dare.</w:t>
      </w:r>
    </w:p>
    <w:p>
      <w:pPr>
        <w:spacing w:after="120" w:line="276"/>
        <w:jc w:val="both"/>
      </w:pPr>
      <w:r>
        <w:rPr>
          <w:rFonts w:ascii="Barlow Semi Condensed" w:cs="Barlow Semi Condensed" w:eastAsia="Barlow Semi Condensed" w:hAnsi="Barlow Semi Condensed"/>
          <w:b/>
          <w:bCs/>
          <w:sz w:val="24"/>
          <w:szCs w:val="24"/>
        </w:rPr>
        <w:t xml:space="preserve">85 · La geografia dall'oggetto.</w:t>
      </w:r>
      <w:r>
        <w:rPr>
          <w:rFonts w:ascii="Barlow Semi Condensed" w:cs="Barlow Semi Condensed" w:eastAsia="Barlow Semi Condensed" w:hAnsi="Barlow Semi Condensed"/>
          <w:sz w:val="24"/>
          <w:szCs w:val="24"/>
        </w:rPr>
        <w:t xml:space="preserve"> Sintesi formale dei blocchi 83-84: il perimetro geografico compatibile con l'insieme delle tracce materiali, scritto come poligono di compatibilità con gradi — non come luogo indicato. Il poligono si confronta con l'istruttoria (via Montalcini) per conferma, precisazione o anomalia dichiarata.</w:t>
      </w:r>
    </w:p>
    <w:p>
      <w:pPr>
        <w:spacing w:after="120" w:line="276"/>
        <w:jc w:val="both"/>
      </w:pPr>
      <w:r>
        <w:rPr>
          <w:rFonts w:ascii="Barlow Semi Condensed" w:cs="Barlow Semi Condensed" w:eastAsia="Barlow Semi Condensed" w:hAnsi="Barlow Semi Condensed"/>
          <w:b/>
          <w:bCs/>
          <w:sz w:val="24"/>
          <w:szCs w:val="24"/>
        </w:rPr>
        <w:t xml:space="preserve">86 · Le impronte di via Gradoli.</w:t>
      </w:r>
      <w:r>
        <w:rPr>
          <w:rFonts w:ascii="Barlow Semi Condensed" w:cs="Barlow Semi Condensed" w:eastAsia="Barlow Semi Condensed" w:hAnsi="Barlow Semi Condensed"/>
          <w:sz w:val="24"/>
          <w:szCs w:val="24"/>
        </w:rPr>
        <w:t xml:space="preserve"> Le impronte del covo non attribuite nel 1978: nuovo passaggio su AFIS e confronti mirati con gli esclusi di allora. Ogni attribuzione nuova è un fatto; ogni conferma di non attribuzione, uno stato che resta acceso nello schedario unico del blocco 97.</w:t>
      </w:r>
    </w:p>
    <w:p>
      <w:pPr>
        <w:spacing w:after="120" w:line="276"/>
        <w:jc w:val="both"/>
      </w:pPr>
      <w:r>
        <w:rPr>
          <w:rFonts w:ascii="Barlow Semi Condensed" w:cs="Barlow Semi Condensed" w:eastAsia="Barlow Semi Condensed" w:hAnsi="Barlow Semi Condensed"/>
          <w:b/>
          <w:bCs/>
          <w:sz w:val="24"/>
          <w:szCs w:val="24"/>
        </w:rPr>
        <w:t xml:space="preserve">87 · I reperti di via Montalcini.</w:t>
      </w:r>
      <w:r>
        <w:rPr>
          <w:rFonts w:ascii="Barlow Semi Condensed" w:cs="Barlow Semi Condensed" w:eastAsia="Barlow Semi Condensed" w:hAnsi="Barlow Semi Condensed"/>
          <w:sz w:val="24"/>
          <w:szCs w:val="24"/>
        </w:rPr>
        <w:t xml:space="preserve"> Ciò che fu repertato nell'appartamento della prigionia accertata: riesame con le domande attuali — tracce biologiche, impronte, micro-tracce ambientali compatibili col poligono del blocco 85. La prigione giudicata merita la stessa scienza dei quesiti aperti: la conferma è un esito, non un'ovvietà.</w:t>
      </w:r>
    </w:p>
    <w:p>
      <w:pPr>
        <w:spacing w:after="120" w:line="276"/>
        <w:jc w:val="both"/>
      </w:pPr>
      <w:r>
        <w:rPr>
          <w:rFonts w:ascii="Barlow Semi Condensed" w:cs="Barlow Semi Condensed" w:eastAsia="Barlow Semi Condensed" w:hAnsi="Barlow Semi Condensed"/>
          <w:b/>
          <w:bCs/>
          <w:sz w:val="24"/>
          <w:szCs w:val="24"/>
        </w:rPr>
        <w:t xml:space="preserve">88 · La macchina per scrivere.</w:t>
      </w:r>
      <w:r>
        <w:rPr>
          <w:rFonts w:ascii="Barlow Semi Condensed" w:cs="Barlow Semi Condensed" w:eastAsia="Barlow Semi Condensed" w:hAnsi="Barlow Semi Condensed"/>
          <w:sz w:val="24"/>
          <w:szCs w:val="24"/>
        </w:rPr>
        <w:t xml:space="preserve"> I dattiloscritti del caso — comunicati, memoriale dattiloscritto — e le macchine sequestrate: dattiloscopia meccanica integrale (difetti di battuta, allineamenti) con strumenti digitali. La tavola macchina-documento, completata, chiude un quesito filologico aperto dal 1978.</w:t>
      </w:r>
    </w:p>
    <w:p>
      <w:pPr>
        <w:spacing w:after="120" w:line="276"/>
        <w:jc w:val="both"/>
      </w:pPr>
      <w:r>
        <w:rPr>
          <w:rFonts w:ascii="Barlow Semi Condensed" w:cs="Barlow Semi Condensed" w:eastAsia="Barlow Semi Condensed" w:hAnsi="Barlow Semi Condensed"/>
          <w:b/>
          <w:bCs/>
          <w:sz w:val="24"/>
          <w:szCs w:val="24"/>
        </w:rPr>
        <w:t xml:space="preserve">89 · Gli audio superstiti.</w:t>
      </w:r>
      <w:r>
        <w:rPr>
          <w:rFonts w:ascii="Barlow Semi Condensed" w:cs="Barlow Semi Condensed" w:eastAsia="Barlow Semi Condensed" w:hAnsi="Barlow Semi Condensed"/>
          <w:sz w:val="24"/>
          <w:szCs w:val="24"/>
        </w:rPr>
        <w:t xml:space="preserve"> Le registrazioni delle telefonate dei 55 giorni: censimento dei supporti (blocco 252), restauro conservativo, trascrizione certificata e — dove la qualità lo consenta — comparazione vocale con metodo dichiarato. Gli esiti entrano con grado B se strumentali, C se interpretativi: l'audio invecchiato inganna.</w:t>
      </w:r>
    </w:p>
    <w:p>
      <w:pPr>
        <w:spacing w:after="120" w:line="276"/>
        <w:jc w:val="both"/>
      </w:pPr>
      <w:r>
        <w:rPr>
          <w:rFonts w:ascii="Barlow Semi Condensed" w:cs="Barlow Semi Condensed" w:eastAsia="Barlow Semi Condensed" w:hAnsi="Barlow Semi Condensed"/>
          <w:b/>
          <w:bCs/>
          <w:sz w:val="24"/>
          <w:szCs w:val="24"/>
        </w:rPr>
        <w:t xml:space="preserve">90 · I negativi del 16 marzo.</w:t>
      </w:r>
      <w:r>
        <w:rPr>
          <w:rFonts w:ascii="Barlow Semi Condensed" w:cs="Barlow Semi Condensed" w:eastAsia="Barlow Semi Condensed" w:hAnsi="Barlow Semi Condensed"/>
          <w:sz w:val="24"/>
          <w:szCs w:val="24"/>
        </w:rPr>
        <w:t xml:space="preserve"> Le fotografie originali di via Fani: censimento dei fondi fotografici, digitalizzazione dai negativi con metadati, ordinamento cronologico al minuto. I fotogrammi non pubblicati e i bordi dei negativi — ciò che il ritaglio editoriale escluse — sono il bersaglio: la scena com'era, non come fu impaginata.</w:t>
      </w:r>
    </w:p>
    <w:p>
      <w:pPr>
        <w:spacing w:after="120" w:line="276"/>
        <w:jc w:val="both"/>
      </w:pPr>
      <w:r>
        <w:rPr>
          <w:rFonts w:ascii="Barlow Semi Condensed" w:cs="Barlow Semi Condensed" w:eastAsia="Barlow Semi Condensed" w:hAnsi="Barlow Semi Condensed"/>
          <w:b/>
          <w:bCs/>
          <w:sz w:val="24"/>
          <w:szCs w:val="24"/>
        </w:rPr>
        <w:t xml:space="preserve">91 · I filmati e i fuori onda.</w:t>
      </w:r>
      <w:r>
        <w:rPr>
          <w:rFonts w:ascii="Barlow Semi Condensed" w:cs="Barlow Semi Condensed" w:eastAsia="Barlow Semi Condensed" w:hAnsi="Barlow Semi Condensed"/>
          <w:sz w:val="24"/>
          <w:szCs w:val="24"/>
        </w:rPr>
        <w:t xml:space="preserve"> Cinegiornali e riprese RAI del 16 marzo e dei 55 giorni: i giornalisti arrivarono presto, e i materiali non montati possono contenere ciò che nessuno cercava. Spoglio sistematico dei fuori onda con la stessa disciplina dei negativi: censimento, digitalizzazione, cronologia.</w:t>
      </w:r>
    </w:p>
    <w:p>
      <w:pPr>
        <w:spacing w:after="120" w:line="276"/>
        <w:jc w:val="both"/>
      </w:pPr>
      <w:r>
        <w:rPr>
          <w:rFonts w:ascii="Barlow Semi Condensed" w:cs="Barlow Semi Condensed" w:eastAsia="Barlow Semi Condensed" w:hAnsi="Barlow Semi Condensed"/>
          <w:b/>
          <w:bCs/>
          <w:sz w:val="24"/>
          <w:szCs w:val="24"/>
        </w:rPr>
        <w:t xml:space="preserve">92 · Il borsello del falsario.</w:t>
      </w:r>
      <w:r>
        <w:rPr>
          <w:rFonts w:ascii="Barlow Semi Condensed" w:cs="Barlow Semi Condensed" w:eastAsia="Barlow Semi Condensed" w:hAnsi="Barlow Semi Condensed"/>
          <w:sz w:val="24"/>
          <w:szCs w:val="24"/>
        </w:rPr>
        <w:t xml:space="preserve"> I reperti della vicenda Chichiarelli — il borsello del taxi (14 aprile 1979: schede false, testina IBM, munizioni) — riletti con le tecniche attuali: impronte, scritture, provenienze degli oggetti. Il quesito 13 (la genesi del falso) ha qui la sua base materiale; l'attribuzione della mano è istruttoria e peritale, mai giudicata, e la genesi resta aperta.</w:t>
      </w:r>
    </w:p>
    <w:p>
      <w:pPr>
        <w:spacing w:after="120" w:line="276"/>
        <w:jc w:val="both"/>
      </w:pPr>
      <w:r>
        <w:rPr>
          <w:rFonts w:ascii="Barlow Semi Condensed" w:cs="Barlow Semi Condensed" w:eastAsia="Barlow Semi Condensed" w:hAnsi="Barlow Semi Condensed"/>
          <w:b/>
          <w:bCs/>
          <w:sz w:val="24"/>
          <w:szCs w:val="24"/>
        </w:rPr>
        <w:t xml:space="preserve">93 · I reperti della Duchessa.</w:t>
      </w:r>
      <w:r>
        <w:rPr>
          <w:rFonts w:ascii="Barlow Semi Condensed" w:cs="Barlow Semi Condensed" w:eastAsia="Barlow Semi Condensed" w:hAnsi="Barlow Semi Condensed"/>
          <w:sz w:val="24"/>
          <w:szCs w:val="24"/>
        </w:rPr>
        <w:t xml:space="preserve"> Ciò che l'operazione del 18 aprile 1978 al lago produsse e repertò: verbali, fotografie, oggetti. La giornata del triplo evento (blocco 250) ha una faccia materiale: la tavola dei suoi reperti, mai compilata in forma unica, è il bersaglio.</w:t>
      </w:r>
    </w:p>
    <w:p>
      <w:pPr>
        <w:spacing w:after="120" w:line="276"/>
        <w:jc w:val="both"/>
      </w:pPr>
      <w:r>
        <w:rPr>
          <w:rFonts w:ascii="Barlow Semi Condensed" w:cs="Barlow Semi Condensed" w:eastAsia="Barlow Semi Condensed" w:hAnsi="Barlow Semi Condensed"/>
          <w:b/>
          <w:bCs/>
          <w:sz w:val="24"/>
          <w:szCs w:val="24"/>
        </w:rPr>
        <w:t xml:space="preserve">94 · Il lotto milanese.</w:t>
      </w:r>
      <w:r>
        <w:rPr>
          <w:rFonts w:ascii="Barlow Semi Condensed" w:cs="Barlow Semi Condensed" w:eastAsia="Barlow Semi Condensed" w:hAnsi="Barlow Semi Condensed"/>
          <w:sz w:val="24"/>
          <w:szCs w:val="24"/>
        </w:rPr>
        <w:t xml:space="preserve"> Le armi sequestrate a Milano nel 1980 collegate in giudicato al caso: ricomparazione integrale con i bossoli di via Fani usando l'imaging attuale — la verifica moderna di un anello antico della catena, che la robustezza dell'insieme merita.</w:t>
      </w:r>
    </w:p>
    <w:p>
      <w:pPr>
        <w:spacing w:after="120" w:line="276"/>
        <w:jc w:val="both"/>
      </w:pPr>
      <w:r>
        <w:rPr>
          <w:rFonts w:ascii="Barlow Semi Condensed" w:cs="Barlow Semi Condensed" w:eastAsia="Barlow Semi Condensed" w:hAnsi="Barlow Semi Condensed"/>
          <w:b/>
          <w:bCs/>
          <w:sz w:val="24"/>
          <w:szCs w:val="24"/>
        </w:rPr>
        <w:t xml:space="preserve">95 · Le borse mai trovate.</w:t>
      </w:r>
      <w:r>
        <w:rPr>
          <w:rFonts w:ascii="Barlow Semi Condensed" w:cs="Barlow Semi Condensed" w:eastAsia="Barlow Semi Condensed" w:hAnsi="Barlow Semi Condensed"/>
          <w:sz w:val="24"/>
          <w:szCs w:val="24"/>
        </w:rPr>
        <w:t xml:space="preserve"> Le borse di Moro: il censimento negativo definitivo — ogni verbale che le menziona, ogni ricerca fatta, ogni ipotesi documentale sul loro percorso — chiuso da uno Stato Zero formale se tale resta. L'assenza più celebre del caso merita il suo perimetro esatto, non un'altra narrazione.</w:t>
      </w:r>
    </w:p>
    <w:p>
      <w:pPr>
        <w:spacing w:after="120" w:line="276"/>
        <w:jc w:val="both"/>
      </w:pPr>
      <w:r>
        <w:rPr>
          <w:rFonts w:ascii="Barlow Semi Condensed" w:cs="Barlow Semi Condensed" w:eastAsia="Barlow Semi Condensed" w:hAnsi="Barlow Semi Condensed"/>
          <w:b/>
          <w:bCs/>
          <w:sz w:val="24"/>
          <w:szCs w:val="24"/>
        </w:rPr>
        <w:t xml:space="preserve">96 · La materia del memoriale.</w:t>
      </w:r>
      <w:r>
        <w:rPr>
          <w:rFonts w:ascii="Barlow Semi Condensed" w:cs="Barlow Semi Condensed" w:eastAsia="Barlow Semi Condensed" w:hAnsi="Barlow Semi Condensed"/>
          <w:sz w:val="24"/>
          <w:szCs w:val="24"/>
        </w:rPr>
        <w:t xml:space="preserve"> Le carte di via Monte Nevoso come oggetti: supporti, inchiostri, fascicolazione, segni di fotocopiatura — l'esame materiale integrale che distingua generazioni di copie e ordini di composizione. La filologia del contenuto (quesito 10) poggia su questa codicologia del reperto.</w:t>
      </w:r>
    </w:p>
    <w:p>
      <w:pPr>
        <w:spacing w:after="120" w:line="276"/>
        <w:jc w:val="both"/>
      </w:pPr>
      <w:r>
        <w:rPr>
          <w:rFonts w:ascii="Barlow Semi Condensed" w:cs="Barlow Semi Condensed" w:eastAsia="Barlow Semi Condensed" w:hAnsi="Barlow Semi Condensed"/>
          <w:b/>
          <w:bCs/>
          <w:sz w:val="24"/>
          <w:szCs w:val="24"/>
        </w:rPr>
        <w:t xml:space="preserve">97 · Lo schedario unico delle impronte.</w:t>
      </w:r>
      <w:r>
        <w:rPr>
          <w:rFonts w:ascii="Barlow Semi Condensed" w:cs="Barlow Semi Condensed" w:eastAsia="Barlow Semi Condensed" w:hAnsi="Barlow Semi Condensed"/>
          <w:sz w:val="24"/>
          <w:szCs w:val="24"/>
        </w:rPr>
        <w:t xml:space="preserve"> Tutte le impronte non attribuite del caso — via Fani, i covi, i reperti — in uno schedario unico con stati, ripassato su AFIS a cadenza fissa. Il blocco istituisce il ciclo: ogni progresso della banca dati è una nuova interrogazione gratuita del 1978.</w:t>
      </w:r>
    </w:p>
    <w:p>
      <w:pPr>
        <w:spacing w:after="120" w:line="276"/>
        <w:jc w:val="both"/>
      </w:pPr>
      <w:r>
        <w:rPr>
          <w:rFonts w:ascii="Barlow Semi Condensed" w:cs="Barlow Semi Condensed" w:eastAsia="Barlow Semi Condensed" w:hAnsi="Barlow Semi Condensed"/>
          <w:b/>
          <w:bCs/>
          <w:sz w:val="24"/>
          <w:szCs w:val="24"/>
        </w:rPr>
        <w:t xml:space="preserve">98 · La chimica dei residui.</w:t>
      </w:r>
      <w:r>
        <w:rPr>
          <w:rFonts w:ascii="Barlow Semi Condensed" w:cs="Barlow Semi Condensed" w:eastAsia="Barlow Semi Condensed" w:hAnsi="Barlow Semi Condensed"/>
          <w:sz w:val="24"/>
          <w:szCs w:val="24"/>
        </w:rPr>
        <w:t xml:space="preserve"> Sui reperti conservati: residui di sparo, tracce chimiche, contaminazioni — riesame con sensibilità attuali, con l'onestà dichiarata sui limiti (mezzo secolo di manipolazioni). Ogni esito porta il suo grado e il suo margine: la chimica tardiva testimonia con cautela.</w:t>
      </w:r>
    </w:p>
    <w:p>
      <w:pPr>
        <w:spacing w:after="120" w:line="276"/>
        <w:jc w:val="both"/>
      </w:pPr>
      <w:r>
        <w:rPr>
          <w:rFonts w:ascii="Barlow Semi Condensed" w:cs="Barlow Semi Condensed" w:eastAsia="Barlow Semi Condensed" w:hAnsi="Barlow Semi Condensed"/>
          <w:b/>
          <w:bCs/>
          <w:sz w:val="24"/>
          <w:szCs w:val="24"/>
        </w:rPr>
        <w:t xml:space="preserve">99 · Le carte dell'autopsia.</w:t>
      </w:r>
      <w:r>
        <w:rPr>
          <w:rFonts w:ascii="Barlow Semi Condensed" w:cs="Barlow Semi Condensed" w:eastAsia="Barlow Semi Condensed" w:hAnsi="Barlow Semi Condensed"/>
          <w:sz w:val="24"/>
          <w:szCs w:val="24"/>
        </w:rPr>
        <w:t xml:space="preserve"> La revisione documentale integrale del fascicolo medico-legale: rilievi, orari, contenuti gastrici, lesioni — riletti dalle competenze attuali per ciò che possono ancora dire su tempi e luoghi degli ultimi giorni. Il corpo fu il primo reperto; il suo fascicolo è l'ultimo a cui si smette di fare domande.</w:t>
      </w:r>
    </w:p>
    <w:p>
      <w:pPr>
        <w:spacing w:after="120" w:line="276"/>
        <w:jc w:val="both"/>
      </w:pPr>
      <w:r>
        <w:rPr>
          <w:rFonts w:ascii="Barlow Semi Condensed" w:cs="Barlow Semi Condensed" w:eastAsia="Barlow Semi Condensed" w:hAnsi="Barlow Semi Condensed"/>
          <w:b/>
          <w:bCs/>
          <w:sz w:val="24"/>
          <w:szCs w:val="24"/>
        </w:rPr>
        <w:t xml:space="preserve">100 · La tavola dei reperti.</w:t>
      </w:r>
      <w:r>
        <w:rPr>
          <w:rFonts w:ascii="Barlow Semi Condensed" w:cs="Barlow Semi Condensed" w:eastAsia="Barlow Semi Condensed" w:hAnsi="Barlow Semi Condensed"/>
          <w:sz w:val="24"/>
          <w:szCs w:val="24"/>
        </w:rPr>
        <w:t xml:space="preserve"> La chiusura della serie: la tavola unica reperto per reperto — esistenza, catena, esami fatti, esami possibili, stati — pubblicata e mantenuta. Il cantiere dei reperti del manuale la esegue; l'agenda la esige: nessun oggetto del 1978 senza il suo stato del 2026.</w:t>
      </w:r>
    </w:p>
    <w:p>
      <w:pPr>
        <w:pStyle w:val="Heading2"/>
        <w:spacing w:after="100" w:before="200"/>
      </w:pPr>
      <w:r>
        <w:rPr>
          <w:rFonts w:ascii="Barlow Semi Condensed" w:cs="Barlow Semi Condensed" w:eastAsia="Barlow Semi Condensed" w:hAnsi="Barlow Semi Condensed"/>
          <w:sz w:val="24"/>
          <w:szCs w:val="24"/>
        </w:rPr>
        <w:t xml:space="preserve">Serie quinta — Le persone e la raccolta conservativa (blocchi 101-125)</w:t>
      </w:r>
    </w:p>
    <w:p>
      <w:pPr>
        <w:spacing w:after="120" w:line="276"/>
        <w:jc w:val="both"/>
      </w:pPr>
      <w:r>
        <w:rPr>
          <w:rFonts w:ascii="Barlow Semi Condensed" w:cs="Barlow Semi Condensed" w:eastAsia="Barlow Semi Condensed" w:hAnsi="Barlow Semi Condensed"/>
          <w:i/>
          <w:iCs/>
          <w:sz w:val="24"/>
          <w:szCs w:val="24"/>
        </w:rPr>
        <w:t xml:space="preserve">Statuto della serie: l'archivio che muore. Le persone sono l'unico giacimento del caso che scade: ogni bersaglio di questa serie ha la priorità biologica del blocco 281 e si esegue con il protocollo conservativo del manuale — consenso informato, registrazione integrale, nessuna domanda suggestiva — e con il controlimite del blocco 224: la memoria si raccoglie subito e si usa solo corroborata. La serie elenca categorie, non colpevoli: nessun ascolto ha un nome come esito atteso, e il registro del giudicato resta chiuso.</w:t>
      </w:r>
    </w:p>
    <w:p>
      <w:pPr>
        <w:spacing w:after="120" w:line="276"/>
        <w:jc w:val="both"/>
      </w:pPr>
      <w:r>
        <w:rPr>
          <w:rFonts w:ascii="Barlow Semi Condensed" w:cs="Barlow Semi Condensed" w:eastAsia="Barlow Semi Condensed" w:hAnsi="Barlow Semi Condensed"/>
          <w:b/>
          <w:bCs/>
          <w:sz w:val="24"/>
          <w:szCs w:val="24"/>
        </w:rPr>
        <w:t xml:space="preserve">101 · Il censimento dei viventi.</w:t>
      </w:r>
      <w:r>
        <w:rPr>
          <w:rFonts w:ascii="Barlow Semi Condensed" w:cs="Barlow Semi Condensed" w:eastAsia="Barlow Semi Condensed" w:hAnsi="Barlow Semi Condensed"/>
          <w:sz w:val="24"/>
          <w:szCs w:val="24"/>
        </w:rPr>
        <w:t xml:space="preserve"> Prima di ogni ascolto, la tavola: tutte le persone ascoltabili del caso — testimoni, condannati, funzionari, periti, custodi — con età, condizione nota da fonti pubbliche e priorità. La tavola si aggiorna a ogni notizia e comanda il calendario: ogni mese la finestra si stringe.</w:t>
      </w:r>
    </w:p>
    <w:p>
      <w:pPr>
        <w:spacing w:after="120" w:line="276"/>
        <w:jc w:val="both"/>
      </w:pPr>
      <w:r>
        <w:rPr>
          <w:rFonts w:ascii="Barlow Semi Condensed" w:cs="Barlow Semi Condensed" w:eastAsia="Barlow Semi Condensed" w:hAnsi="Barlow Semi Condensed"/>
          <w:b/>
          <w:bCs/>
          <w:sz w:val="24"/>
          <w:szCs w:val="24"/>
        </w:rPr>
        <w:t xml:space="preserve">102 · Il protocollo prima delle domande.</w:t>
      </w:r>
      <w:r>
        <w:rPr>
          <w:rFonts w:ascii="Barlow Semi Condensed" w:cs="Barlow Semi Condensed" w:eastAsia="Barlow Semi Condensed" w:hAnsi="Barlow Semi Condensed"/>
          <w:sz w:val="24"/>
          <w:szCs w:val="24"/>
        </w:rPr>
        <w:t xml:space="preserve"> Nessun ascolto senza il protocollo scritto del manuale (serie quinta): chi conduce, come si registra, come si conserva, come si corrobora. Il blocco è il tornello della serie: un ricordo raccolto male è un ricordo bruciato — e nel 2026 non ci sono ricordi di riserva.</w:t>
      </w:r>
    </w:p>
    <w:p>
      <w:pPr>
        <w:spacing w:after="120" w:line="276"/>
        <w:jc w:val="both"/>
      </w:pPr>
      <w:r>
        <w:rPr>
          <w:rFonts w:ascii="Barlow Semi Condensed" w:cs="Barlow Semi Condensed" w:eastAsia="Barlow Semi Condensed" w:hAnsi="Barlow Semi Condensed"/>
          <w:b/>
          <w:bCs/>
          <w:sz w:val="24"/>
          <w:szCs w:val="24"/>
        </w:rPr>
        <w:t xml:space="preserve">103 · I condannati che possono ancora parlare.</w:t>
      </w:r>
      <w:r>
        <w:rPr>
          <w:rFonts w:ascii="Barlow Semi Condensed" w:cs="Barlow Semi Condensed" w:eastAsia="Barlow Semi Condensed" w:hAnsi="Barlow Semi Condensed"/>
          <w:sz w:val="24"/>
          <w:szCs w:val="24"/>
        </w:rPr>
        <w:t xml:space="preserve"> I membri viventi del registro del giudicato: proposta formale di dichiarazioni spontanee verbalizzate, sulle domande aperte delle matrici — le presenze non giudicate, la logistica, i canali dei comunicati. Hanno già i loro giudicati: ciò che si chiede è memoria, non confessione.</w:t>
      </w:r>
    </w:p>
    <w:p>
      <w:pPr>
        <w:spacing w:after="120" w:line="276"/>
        <w:jc w:val="both"/>
      </w:pPr>
      <w:r>
        <w:rPr>
          <w:rFonts w:ascii="Barlow Semi Condensed" w:cs="Barlow Semi Condensed" w:eastAsia="Barlow Semi Condensed" w:hAnsi="Barlow Semi Condensed"/>
          <w:b/>
          <w:bCs/>
          <w:sz w:val="24"/>
          <w:szCs w:val="24"/>
        </w:rPr>
        <w:t xml:space="preserve">104 · La rogatoria dell'unico mai sentito.</w:t>
      </w:r>
      <w:r>
        <w:rPr>
          <w:rFonts w:ascii="Barlow Semi Condensed" w:cs="Barlow Semi Condensed" w:eastAsia="Barlow Semi Condensed" w:hAnsi="Barlow Semi Condensed"/>
          <w:sz w:val="24"/>
          <w:szCs w:val="24"/>
        </w:rPr>
        <w:t xml:space="preserve"> Il partecipante identificato mai interrogato da una corte italiana, stabilito in Nicaragua: la rogatoria conoscitiva già formulata dal programma (la pista con l'atto pronto) — domande scritte, verbalizzazione utilizzabile, comunque vada. L'esito negativo documentato vale più dell'attesa indefinita.</w:t>
      </w:r>
    </w:p>
    <w:p>
      <w:pPr>
        <w:spacing w:after="120" w:line="276"/>
        <w:jc w:val="both"/>
      </w:pPr>
      <w:r>
        <w:rPr>
          <w:rFonts w:ascii="Barlow Semi Condensed" w:cs="Barlow Semi Condensed" w:eastAsia="Barlow Semi Condensed" w:hAnsi="Barlow Semi Condensed"/>
          <w:b/>
          <w:bCs/>
          <w:sz w:val="24"/>
          <w:szCs w:val="24"/>
        </w:rPr>
        <w:t xml:space="preserve">105 · La voce oltre confine.</w:t>
      </w:r>
      <w:r>
        <w:rPr>
          <w:rFonts w:ascii="Barlow Semi Condensed" w:cs="Barlow Semi Condensed" w:eastAsia="Barlow Semi Condensed" w:hAnsi="Barlow Semi Condensed"/>
          <w:sz w:val="24"/>
          <w:szCs w:val="24"/>
        </w:rPr>
        <w:t xml:space="preserve"> Gli altri condannati stabiliti all'estero per effetto delle vicende estradizionali documentate nel corpus (le pene oltre confine): per ciascuno, la via giuridica dell'ascolto — rogatoria, audizione volontaria, dichiarazione scritta — tentata e verbalizzata. La geografia non estingue le domande.</w:t>
      </w:r>
    </w:p>
    <w:p>
      <w:pPr>
        <w:spacing w:after="120" w:line="276"/>
        <w:jc w:val="both"/>
      </w:pPr>
      <w:r>
        <w:rPr>
          <w:rFonts w:ascii="Barlow Semi Condensed" w:cs="Barlow Semi Condensed" w:eastAsia="Barlow Semi Condensed" w:hAnsi="Barlow Semi Condensed"/>
          <w:b/>
          <w:bCs/>
          <w:sz w:val="24"/>
          <w:szCs w:val="24"/>
        </w:rPr>
        <w:t xml:space="preserve">106 · I giudicati del contesto.</w:t>
      </w:r>
      <w:r>
        <w:rPr>
          <w:rFonts w:ascii="Barlow Semi Condensed" w:cs="Barlow Semi Condensed" w:eastAsia="Barlow Semi Condensed" w:hAnsi="Barlow Semi Condensed"/>
          <w:sz w:val="24"/>
          <w:szCs w:val="24"/>
        </w:rPr>
        <w:t xml:space="preserve"> Le persone già definitivamente giudicate per fatti del medesimo contesto ma non per via Fani: ascolto conservativo sul contorno — logistica dell'organizzazione, covi, canali — con la regola personalistica stampata: i loro giudicati restano i loro, e nessuna domanda presuppone condotte oltre il giudicato.</w:t>
      </w:r>
    </w:p>
    <w:p>
      <w:pPr>
        <w:spacing w:after="120" w:line="276"/>
        <w:jc w:val="both"/>
      </w:pPr>
      <w:r>
        <w:rPr>
          <w:rFonts w:ascii="Barlow Semi Condensed" w:cs="Barlow Semi Condensed" w:eastAsia="Barlow Semi Condensed" w:hAnsi="Barlow Semi Condensed"/>
          <w:b/>
          <w:bCs/>
          <w:sz w:val="24"/>
          <w:szCs w:val="24"/>
        </w:rPr>
        <w:t xml:space="preserve">107 · Gli oculari di via Fani.</w:t>
      </w:r>
      <w:r>
        <w:rPr>
          <w:rFonts w:ascii="Barlow Semi Condensed" w:cs="Barlow Semi Condensed" w:eastAsia="Barlow Semi Condensed" w:hAnsi="Barlow Semi Condensed"/>
          <w:sz w:val="24"/>
          <w:szCs w:val="24"/>
        </w:rPr>
        <w:t xml:space="preserve"> I testimoni oculari superstiti del 16 marzo: riascolto conservativo integrale, con le fotografie e la ricostruzione tridimensionale come supporti di precisione e mai come suggestioni. Ogni divergenza dal verbale d'epoca si annota come dato, non si liscia: le divergenze sono informazione.</w:t>
      </w:r>
    </w:p>
    <w:p>
      <w:pPr>
        <w:spacing w:after="120" w:line="276"/>
        <w:jc w:val="both"/>
      </w:pPr>
      <w:r>
        <w:rPr>
          <w:rFonts w:ascii="Barlow Semi Condensed" w:cs="Barlow Semi Condensed" w:eastAsia="Barlow Semi Condensed" w:hAnsi="Barlow Semi Condensed"/>
          <w:b/>
          <w:bCs/>
          <w:sz w:val="24"/>
          <w:szCs w:val="24"/>
        </w:rPr>
        <w:t xml:space="preserve">108 · La lezione applicata al riascolto.</w:t>
      </w:r>
      <w:r>
        <w:rPr>
          <w:rFonts w:ascii="Barlow Semi Condensed" w:cs="Barlow Semi Condensed" w:eastAsia="Barlow Semi Condensed" w:hAnsi="Barlow Semi Condensed"/>
          <w:sz w:val="24"/>
          <w:szCs w:val="24"/>
        </w:rPr>
        <w:t xml:space="preserve"> Ogni riascolto della serie incorpora la lezione della Nota di revisione n. 1: la corroborazione fisica prima dell'uso, il diritto del testimone a correggersi, il valore della ritrattazione come atto di verità. Chi ritratta con documento serve il caso quanto chi conferma.</w:t>
      </w:r>
    </w:p>
    <w:p>
      <w:pPr>
        <w:spacing w:after="120" w:line="276"/>
        <w:jc w:val="both"/>
      </w:pPr>
      <w:r>
        <w:rPr>
          <w:rFonts w:ascii="Barlow Semi Condensed" w:cs="Barlow Semi Condensed" w:eastAsia="Barlow Semi Condensed" w:hAnsi="Barlow Semi Condensed"/>
          <w:b/>
          <w:bCs/>
          <w:sz w:val="24"/>
          <w:szCs w:val="24"/>
        </w:rPr>
        <w:t xml:space="preserve">109 · I residenti del civico 96.</w:t>
      </w:r>
      <w:r>
        <w:rPr>
          <w:rFonts w:ascii="Barlow Semi Condensed" w:cs="Barlow Semi Condensed" w:eastAsia="Barlow Semi Condensed" w:hAnsi="Barlow Semi Condensed"/>
          <w:sz w:val="24"/>
          <w:szCs w:val="24"/>
        </w:rPr>
        <w:t xml:space="preserve"> Chi abitò via Gradoli 96 negli anni del covo: memoria dei luoghi, dei movimenti, delle gestioni — l'anagrafe umana dello stabile da incrociare con l'anagrafe documentale del blocco 249. I condomini sono l'archivio orale di un edificio che è già un quesito.</w:t>
      </w:r>
    </w:p>
    <w:p>
      <w:pPr>
        <w:spacing w:after="120" w:line="276"/>
        <w:jc w:val="both"/>
      </w:pPr>
      <w:r>
        <w:rPr>
          <w:rFonts w:ascii="Barlow Semi Condensed" w:cs="Barlow Semi Condensed" w:eastAsia="Barlow Semi Condensed" w:hAnsi="Barlow Semi Condensed"/>
          <w:b/>
          <w:bCs/>
          <w:sz w:val="24"/>
          <w:szCs w:val="24"/>
        </w:rPr>
        <w:t xml:space="preserve">110 · Gli operatori del 18 marzo.</w:t>
      </w:r>
      <w:r>
        <w:rPr>
          <w:rFonts w:ascii="Barlow Semi Condensed" w:cs="Barlow Semi Condensed" w:eastAsia="Barlow Semi Condensed" w:hAnsi="Barlow Semi Condensed"/>
          <w:sz w:val="24"/>
          <w:szCs w:val="24"/>
        </w:rPr>
        <w:t xml:space="preserve"> I componenti viventi della squadra che salì le scale di via Gradoli il 18 marzo 1978 e i loro superiori di catena: la ricostruzione conservativa dell'ordine ricevuto, del limite fissato, del rapporto reso. La catena di comando documentale (blocco 4) ha qui il suo complemento umano.</w:t>
      </w:r>
    </w:p>
    <w:p>
      <w:pPr>
        <w:spacing w:after="120" w:line="276"/>
        <w:jc w:val="both"/>
      </w:pPr>
      <w:r>
        <w:rPr>
          <w:rFonts w:ascii="Barlow Semi Condensed" w:cs="Barlow Semi Condensed" w:eastAsia="Barlow Semi Condensed" w:hAnsi="Barlow Semi Condensed"/>
          <w:b/>
          <w:bCs/>
          <w:sz w:val="24"/>
          <w:szCs w:val="24"/>
        </w:rPr>
        <w:t xml:space="preserve">111 · Gli operatori del 18 aprile.</w:t>
      </w:r>
      <w:r>
        <w:rPr>
          <w:rFonts w:ascii="Barlow Semi Condensed" w:cs="Barlow Semi Condensed" w:eastAsia="Barlow Semi Condensed" w:hAnsi="Barlow Semi Condensed"/>
          <w:sz w:val="24"/>
          <w:szCs w:val="24"/>
        </w:rPr>
        <w:t xml:space="preserve"> I vigili del fuoco e gli agenti dell'intervento per l'acqua di via Gradoli: la memoria della scena — la doccia, l'appartamento, i presenti — raccolta prima che si spenga. Il verbale d'epoca esiste; la serie raccoglie ciò che il verbale non chiese.</w:t>
      </w:r>
    </w:p>
    <w:p>
      <w:pPr>
        <w:spacing w:after="120" w:line="276"/>
        <w:jc w:val="both"/>
      </w:pPr>
      <w:r>
        <w:rPr>
          <w:rFonts w:ascii="Barlow Semi Condensed" w:cs="Barlow Semi Condensed" w:eastAsia="Barlow Semi Condensed" w:hAnsi="Barlow Semi Condensed"/>
          <w:b/>
          <w:bCs/>
          <w:sz w:val="24"/>
          <w:szCs w:val="24"/>
        </w:rPr>
        <w:t xml:space="preserve">112 · I presenti del 2 aprile.</w:t>
      </w:r>
      <w:r>
        <w:rPr>
          <w:rFonts w:ascii="Barlow Semi Condensed" w:cs="Barlow Semi Condensed" w:eastAsia="Barlow Semi Condensed" w:hAnsi="Barlow Semi Condensed"/>
          <w:sz w:val="24"/>
          <w:szCs w:val="24"/>
        </w:rPr>
        <w:t xml:space="preserve"> Chi partecipò alla seduta di Zappolino ed è ancora ascoltabile: racconti raccolti separatamente, senza contaminazione reciproca, sulla genesi della parola — chi propose il gioco, chi toccò, chi trascrisse, chi telefonò a chi. La convergenza misurata dei racconti è l'esito (blocco 225).</w:t>
      </w:r>
    </w:p>
    <w:p>
      <w:pPr>
        <w:spacing w:after="120" w:line="276"/>
        <w:jc w:val="both"/>
      </w:pPr>
      <w:r>
        <w:rPr>
          <w:rFonts w:ascii="Barlow Semi Condensed" w:cs="Barlow Semi Condensed" w:eastAsia="Barlow Semi Condensed" w:hAnsi="Barlow Semi Condensed"/>
          <w:b/>
          <w:bCs/>
          <w:sz w:val="24"/>
          <w:szCs w:val="24"/>
        </w:rPr>
        <w:t xml:space="preserve">113 · I funzionari del Viminale.</w:t>
      </w:r>
      <w:r>
        <w:rPr>
          <w:rFonts w:ascii="Barlow Semi Condensed" w:cs="Barlow Semi Condensed" w:eastAsia="Barlow Semi Condensed" w:hAnsi="Barlow Semi Condensed"/>
          <w:sz w:val="24"/>
          <w:szCs w:val="24"/>
        </w:rPr>
        <w:t xml:space="preserve"> I funzionari viventi degli uffici del 1978 — i comitati, la sala operativa, gli uffici territoriali: memoria delle procedure reali dietro la carta — come si smistava una segnalazione, chi leggeva i rapporti, che cosa saliva e che cosa si fermava. È l'etnografia dell'apparato, e serve il quesito 7.</w:t>
      </w:r>
    </w:p>
    <w:p>
      <w:pPr>
        <w:spacing w:after="120" w:line="276"/>
        <w:jc w:val="both"/>
      </w:pPr>
      <w:r>
        <w:rPr>
          <w:rFonts w:ascii="Barlow Semi Condensed" w:cs="Barlow Semi Condensed" w:eastAsia="Barlow Semi Condensed" w:hAnsi="Barlow Semi Condensed"/>
          <w:b/>
          <w:bCs/>
          <w:sz w:val="24"/>
          <w:szCs w:val="24"/>
        </w:rPr>
        <w:t xml:space="preserve">114 · I magistrati dell'epoca.</w:t>
      </w:r>
      <w:r>
        <w:rPr>
          <w:rFonts w:ascii="Barlow Semi Condensed" w:cs="Barlow Semi Condensed" w:eastAsia="Barlow Semi Condensed" w:hAnsi="Barlow Semi Condensed"/>
          <w:sz w:val="24"/>
          <w:szCs w:val="24"/>
        </w:rPr>
        <w:t xml:space="preserve"> I magistrati viventi delle istruttorie e dei processi: memoria delle scelte istruttorie, dei vincoli, delle piste coltivate e lasciate. Con una regola: si chiede il come delle decisioni documentate, mai la revisione del giudicato — la memoria del giudice illumina gli atti, non li sostituisce.</w:t>
      </w:r>
    </w:p>
    <w:p>
      <w:pPr>
        <w:spacing w:after="120" w:line="276"/>
        <w:jc w:val="both"/>
      </w:pPr>
      <w:r>
        <w:rPr>
          <w:rFonts w:ascii="Barlow Semi Condensed" w:cs="Barlow Semi Condensed" w:eastAsia="Barlow Semi Condensed" w:hAnsi="Barlow Semi Condensed"/>
          <w:b/>
          <w:bCs/>
          <w:sz w:val="24"/>
          <w:szCs w:val="24"/>
        </w:rPr>
        <w:t xml:space="preserve">115 · I cronisti dei 55 giorni.</w:t>
      </w:r>
      <w:r>
        <w:rPr>
          <w:rFonts w:ascii="Barlow Semi Condensed" w:cs="Barlow Semi Condensed" w:eastAsia="Barlow Semi Condensed" w:hAnsi="Barlow Semi Condensed"/>
          <w:sz w:val="24"/>
          <w:szCs w:val="24"/>
        </w:rPr>
        <w:t xml:space="preserve"> I giornalisti superstiti che coprirono il caso: taccuini, agende, fonti citabili, materiali personali non pubblicati. Il giornalismo del 1978 fu un apparato di raccolta parallelo; i suoi archivi privati sono un giacimento che nessuna istruttoria ha mai censito per intero.</w:t>
      </w:r>
    </w:p>
    <w:p>
      <w:pPr>
        <w:spacing w:after="120" w:line="276"/>
        <w:jc w:val="both"/>
      </w:pPr>
      <w:r>
        <w:rPr>
          <w:rFonts w:ascii="Barlow Semi Condensed" w:cs="Barlow Semi Condensed" w:eastAsia="Barlow Semi Condensed" w:hAnsi="Barlow Semi Condensed"/>
          <w:b/>
          <w:bCs/>
          <w:sz w:val="24"/>
          <w:szCs w:val="24"/>
        </w:rPr>
        <w:t xml:space="preserve">116 · I custodi delle carte.</w:t>
      </w:r>
      <w:r>
        <w:rPr>
          <w:rFonts w:ascii="Barlow Semi Condensed" w:cs="Barlow Semi Condensed" w:eastAsia="Barlow Semi Condensed" w:hAnsi="Barlow Semi Condensed"/>
          <w:sz w:val="24"/>
          <w:szCs w:val="24"/>
        </w:rPr>
        <w:t xml:space="preserve"> Archivisti, cancellieri, consegnatari che maneggiarono i fascicoli del caso nei decenni: memoria dei versamenti, degli scarti, degli smarrimenti, delle copie. Chi ha spostato la carta sa della carta ciò che la carta non dice di sé: è il testimone tecnico per il censimento del distrutto (blocco 255).</w:t>
      </w:r>
    </w:p>
    <w:p>
      <w:pPr>
        <w:spacing w:after="120" w:line="276"/>
        <w:jc w:val="both"/>
      </w:pPr>
      <w:r>
        <w:rPr>
          <w:rFonts w:ascii="Barlow Semi Condensed" w:cs="Barlow Semi Condensed" w:eastAsia="Barlow Semi Condensed" w:hAnsi="Barlow Semi Condensed"/>
          <w:b/>
          <w:bCs/>
          <w:sz w:val="24"/>
          <w:szCs w:val="24"/>
        </w:rPr>
        <w:t xml:space="preserve">117 · I depositari privati.</w:t>
      </w:r>
      <w:r>
        <w:rPr>
          <w:rFonts w:ascii="Barlow Semi Condensed" w:cs="Barlow Semi Condensed" w:eastAsia="Barlow Semi Condensed" w:hAnsi="Barlow Semi Condensed"/>
          <w:sz w:val="24"/>
          <w:szCs w:val="24"/>
        </w:rPr>
        <w:t xml:space="preserve"> I familiari ed eredi che conservano carte private rilevanti — dei protagonisti istituzionali, dei testimoni, delle vittime: proposta rispettosa di deposito, copia o inventario presso istituti conservatori, alle loro condizioni. Ogni scatola in un solaio è un fondo archivistico in pericolo.</w:t>
      </w:r>
    </w:p>
    <w:p>
      <w:pPr>
        <w:spacing w:after="120" w:line="276"/>
        <w:jc w:val="both"/>
      </w:pPr>
      <w:r>
        <w:rPr>
          <w:rFonts w:ascii="Barlow Semi Condensed" w:cs="Barlow Semi Condensed" w:eastAsia="Barlow Semi Condensed" w:hAnsi="Barlow Semi Condensed"/>
          <w:b/>
          <w:bCs/>
          <w:sz w:val="24"/>
          <w:szCs w:val="24"/>
        </w:rPr>
        <w:t xml:space="preserve">118 · I difensori dell'epoca.</w:t>
      </w:r>
      <w:r>
        <w:rPr>
          <w:rFonts w:ascii="Barlow Semi Condensed" w:cs="Barlow Semi Condensed" w:eastAsia="Barlow Semi Condensed" w:hAnsi="Barlow Semi Condensed"/>
          <w:sz w:val="24"/>
          <w:szCs w:val="24"/>
        </w:rPr>
        <w:t xml:space="preserve"> Gli avvocati viventi dei processi del caso: memoria processuale nei limiti rigorosi del segreto professionale — che il blocco riconosce per primo. Si chiede ciò che è chiedibile: il contesto delle udienze, gli atti pubblici, le strategie dichiarate; il resto non si chiede.</w:t>
      </w:r>
    </w:p>
    <w:p>
      <w:pPr>
        <w:spacing w:after="120" w:line="276"/>
        <w:jc w:val="both"/>
      </w:pPr>
      <w:r>
        <w:rPr>
          <w:rFonts w:ascii="Barlow Semi Condensed" w:cs="Barlow Semi Condensed" w:eastAsia="Barlow Semi Condensed" w:hAnsi="Barlow Semi Condensed"/>
          <w:b/>
          <w:bCs/>
          <w:sz w:val="24"/>
          <w:szCs w:val="24"/>
        </w:rPr>
        <w:t xml:space="preserve">119 · I periti del 1978.</w:t>
      </w:r>
      <w:r>
        <w:rPr>
          <w:rFonts w:ascii="Barlow Semi Condensed" w:cs="Barlow Semi Condensed" w:eastAsia="Barlow Semi Condensed" w:hAnsi="Barlow Semi Condensed"/>
          <w:sz w:val="24"/>
          <w:szCs w:val="24"/>
        </w:rPr>
        <w:t xml:space="preserve"> I periti e i consulenti viventi delle perizie originali: memoria dei metodi, dei limiti strumentali, dei dubbi non verbalizzati. Ogni riesame della serie quarta guadagna precisione se chi fece l'esame originario può ancora spiegare che cosa il 1978 non poteva vedere.</w:t>
      </w:r>
    </w:p>
    <w:p>
      <w:pPr>
        <w:spacing w:after="120" w:line="276"/>
        <w:jc w:val="both"/>
      </w:pPr>
      <w:r>
        <w:rPr>
          <w:rFonts w:ascii="Barlow Semi Condensed" w:cs="Barlow Semi Condensed" w:eastAsia="Barlow Semi Condensed" w:hAnsi="Barlow Semi Condensed"/>
          <w:b/>
          <w:bCs/>
          <w:sz w:val="24"/>
          <w:szCs w:val="24"/>
        </w:rPr>
        <w:t xml:space="preserve">120 · La truppa del dispositivo.</w:t>
      </w:r>
      <w:r>
        <w:rPr>
          <w:rFonts w:ascii="Barlow Semi Condensed" w:cs="Barlow Semi Condensed" w:eastAsia="Barlow Semi Condensed" w:hAnsi="Barlow Semi Condensed"/>
          <w:sz w:val="24"/>
          <w:szCs w:val="24"/>
        </w:rPr>
        <w:t xml:space="preserve"> Un campione ragionato di chi tenne i posti di blocco e fece le perquisizioni: la memoria dell'output dal basso — istruzioni ricevute, prassi reali, anomalie viste. Il numero (72.460) ha volti; il campione dà al blocco 246 la sua controparte umana.</w:t>
      </w:r>
    </w:p>
    <w:p>
      <w:pPr>
        <w:spacing w:after="120" w:line="276"/>
        <w:jc w:val="both"/>
      </w:pPr>
      <w:r>
        <w:rPr>
          <w:rFonts w:ascii="Barlow Semi Condensed" w:cs="Barlow Semi Condensed" w:eastAsia="Barlow Semi Condensed" w:hAnsi="Barlow Semi Condensed"/>
          <w:b/>
          <w:bCs/>
          <w:sz w:val="24"/>
          <w:szCs w:val="24"/>
        </w:rPr>
        <w:t xml:space="preserve">121 · Il personale dei colloqui.</w:t>
      </w:r>
      <w:r>
        <w:rPr>
          <w:rFonts w:ascii="Barlow Semi Condensed" w:cs="Barlow Semi Condensed" w:eastAsia="Barlow Semi Condensed" w:hAnsi="Barlow Semi Condensed"/>
          <w:sz w:val="24"/>
          <w:szCs w:val="24"/>
        </w:rPr>
        <w:t xml:space="preserve"> Il personale carcerario e i cappellani viventi delle carceri dei colloqui del 1978: memoria delle procedure, delle presenze, delle autorizzazioni — il complemento umano del blocco 242, con la stessa disciplina: registri prima, ricordi poi.</w:t>
      </w:r>
    </w:p>
    <w:p>
      <w:pPr>
        <w:spacing w:after="120" w:line="276"/>
        <w:jc w:val="both"/>
      </w:pPr>
      <w:r>
        <w:rPr>
          <w:rFonts w:ascii="Barlow Semi Condensed" w:cs="Barlow Semi Condensed" w:eastAsia="Barlow Semi Condensed" w:hAnsi="Barlow Semi Condensed"/>
          <w:b/>
          <w:bCs/>
          <w:sz w:val="24"/>
          <w:szCs w:val="24"/>
        </w:rPr>
        <w:t xml:space="preserve">122 · Gli occhi stranieri.</w:t>
      </w:r>
      <w:r>
        <w:rPr>
          <w:rFonts w:ascii="Barlow Semi Condensed" w:cs="Barlow Semi Condensed" w:eastAsia="Barlow Semi Condensed" w:hAnsi="Barlow Semi Condensed"/>
          <w:sz w:val="24"/>
          <w:szCs w:val="24"/>
        </w:rPr>
        <w:t xml:space="preserve"> I diplomatici e gli addetti alleati viventi in servizio a Roma nel 1978: ascolto conservativo su ciò che le loro sedi videro e riferirono — da incrociare con i giacimenti della serie sesta. La memoria straniera ha un vantaggio: i suoi archivi, prima o poi, si aprono e la corroborano.</w:t>
      </w:r>
    </w:p>
    <w:p>
      <w:pPr>
        <w:spacing w:after="120" w:line="276"/>
        <w:jc w:val="both"/>
      </w:pPr>
      <w:r>
        <w:rPr>
          <w:rFonts w:ascii="Barlow Semi Condensed" w:cs="Barlow Semi Condensed" w:eastAsia="Barlow Semi Condensed" w:hAnsi="Barlow Semi Condensed"/>
          <w:b/>
          <w:bCs/>
          <w:sz w:val="24"/>
          <w:szCs w:val="24"/>
        </w:rPr>
        <w:t xml:space="preserve">123 · Il contraddittorio della memoria.</w:t>
      </w:r>
      <w:r>
        <w:rPr>
          <w:rFonts w:ascii="Barlow Semi Condensed" w:cs="Barlow Semi Condensed" w:eastAsia="Barlow Semi Condensed" w:hAnsi="Barlow Semi Condensed"/>
          <w:sz w:val="24"/>
          <w:szCs w:val="24"/>
        </w:rPr>
        <w:t xml:space="preserve"> Dove due memorie raccolte divergono su un fatto materiale, la divergenza si porta ai documenti, mai al confronto suggestivo fra testimoni: nessun ascolto serve a far cambiare idea a qualcuno. La serie raccoglie versioni; la corroborazione le pesa; la tavola le conserva entrambe.</w:t>
      </w:r>
    </w:p>
    <w:p>
      <w:pPr>
        <w:spacing w:after="120" w:line="276"/>
        <w:jc w:val="both"/>
      </w:pPr>
      <w:r>
        <w:rPr>
          <w:rFonts w:ascii="Barlow Semi Condensed" w:cs="Barlow Semi Condensed" w:eastAsia="Barlow Semi Condensed" w:hAnsi="Barlow Semi Condensed"/>
          <w:b/>
          <w:bCs/>
          <w:sz w:val="24"/>
          <w:szCs w:val="24"/>
        </w:rPr>
        <w:t xml:space="preserve">124 · Il deposito delle voci.</w:t>
      </w:r>
      <w:r>
        <w:rPr>
          <w:rFonts w:ascii="Barlow Semi Condensed" w:cs="Barlow Semi Condensed" w:eastAsia="Barlow Semi Condensed" w:hAnsi="Barlow Semi Condensed"/>
          <w:sz w:val="24"/>
          <w:szCs w:val="24"/>
        </w:rPr>
        <w:t xml:space="preserve"> Tutte le registrazioni della serie confluiscono nell'archivio audiovisivo indicizzato previsto dal manuale (il fascicolo digitale): trascritte, citabili al minuto, con i consensi conservati. La raccolta conservativa è tale solo se il deposito la conserva davvero — per i ricercatori del 2078.</w:t>
      </w:r>
    </w:p>
    <w:p>
      <w:pPr>
        <w:spacing w:after="120" w:line="276"/>
        <w:jc w:val="both"/>
      </w:pPr>
      <w:r>
        <w:rPr>
          <w:rFonts w:ascii="Barlow Semi Condensed" w:cs="Barlow Semi Condensed" w:eastAsia="Barlow Semi Condensed" w:hAnsi="Barlow Semi Condensed"/>
          <w:b/>
          <w:bCs/>
          <w:sz w:val="24"/>
          <w:szCs w:val="24"/>
        </w:rPr>
        <w:t xml:space="preserve">125 · La tavola delle persone.</w:t>
      </w:r>
      <w:r>
        <w:rPr>
          <w:rFonts w:ascii="Barlow Semi Condensed" w:cs="Barlow Semi Condensed" w:eastAsia="Barlow Semi Condensed" w:hAnsi="Barlow Semi Condensed"/>
          <w:sz w:val="24"/>
          <w:szCs w:val="24"/>
        </w:rPr>
        <w:t xml:space="preserve"> La chiusura della serie: la tavola con gli stati di ogni bersaglio umano — ascoltato, in corso, ha rifiutato, irreperibile, deceduto prima dell'ascolto — datata e pubblica nei limiti della riservatezza dovuta. Ogni «deceduto prima dell'ascolto» è la misura esatta del costo del ritardo.</w:t>
      </w:r>
    </w:p>
    <w:p>
      <w:pPr>
        <w:pStyle w:val="Heading2"/>
        <w:spacing w:after="100" w:before="200"/>
      </w:pPr>
      <w:r>
        <w:rPr>
          <w:rFonts w:ascii="Barlow Semi Condensed" w:cs="Barlow Semi Condensed" w:eastAsia="Barlow Semi Condensed" w:hAnsi="Barlow Semi Condensed"/>
          <w:sz w:val="24"/>
          <w:szCs w:val="24"/>
        </w:rPr>
        <w:t xml:space="preserve">Serie sesta — I giacimenti internazionali (blocchi 126-155)</w:t>
      </w:r>
    </w:p>
    <w:p>
      <w:pPr>
        <w:spacing w:after="120" w:line="276"/>
        <w:jc w:val="both"/>
      </w:pPr>
      <w:r>
        <w:rPr>
          <w:rFonts w:ascii="Barlow Semi Condensed" w:cs="Barlow Semi Condensed" w:eastAsia="Barlow Semi Condensed" w:hAnsi="Barlow Semi Condensed"/>
          <w:i/>
          <w:iCs/>
          <w:sz w:val="24"/>
          <w:szCs w:val="24"/>
        </w:rPr>
        <w:t xml:space="preserve">Statuto della serie: gli occhi degli altri. Le diplomazie e i servizi alleati osservarono i 55 giorni in tempo reale e i loro archivi obbediscono a calendari e regole propri — prima fra tutte la regola dell'originatore, per cui un documento straniero si apre solo col consenso di chi lo produsse. La serie organizza il censimento e l'erosione paziente del ritenuto, con la disciplina di lettura scolpita: un cablo riferisce, non accerta — ciò che un archivio estero dice del caso entra col grado della sua natura, mai col prestigio della sua provenienza. Verifiche condotte per questa agenda: NARA (archives.gov, aad.archives.gov), foia.state.gov, cia.gov/readingroom, jimmycarterlibrary.gov.</w:t>
      </w:r>
    </w:p>
    <w:p>
      <w:pPr>
        <w:spacing w:after="120" w:line="276"/>
        <w:jc w:val="both"/>
      </w:pPr>
      <w:r>
        <w:rPr>
          <w:rFonts w:ascii="Barlow Semi Condensed" w:cs="Barlow Semi Condensed" w:eastAsia="Barlow Semi Condensed" w:hAnsi="Barlow Semi Condensed"/>
          <w:b/>
          <w:bCs/>
          <w:sz w:val="24"/>
          <w:szCs w:val="24"/>
        </w:rPr>
        <w:t xml:space="preserve">126 · La regola dell'originatore.</w:t>
      </w:r>
      <w:r>
        <w:rPr>
          <w:rFonts w:ascii="Barlow Semi Condensed" w:cs="Barlow Semi Condensed" w:eastAsia="Barlow Semi Condensed" w:hAnsi="Barlow Semi Condensed"/>
          <w:sz w:val="24"/>
          <w:szCs w:val="24"/>
        </w:rPr>
        <w:t xml:space="preserve"> Il primo bersaglio è la mappa del vincolo: per ogni archivio alleato, chi può aprire che cosa, con quale procedura e quali tempi. La scheda PE-5 del corpus ha stabilito il quadro; l'agenda lo trasforma in tavola operativa paese per paese — perché ogni richiesta vada al soggetto che può davvero rispondere.</w:t>
      </w:r>
    </w:p>
    <w:p>
      <w:pPr>
        <w:spacing w:after="120" w:line="276"/>
        <w:jc w:val="both"/>
      </w:pPr>
      <w:r>
        <w:rPr>
          <w:rFonts w:ascii="Barlow Semi Condensed" w:cs="Barlow Semi Condensed" w:eastAsia="Barlow Semi Condensed" w:hAnsi="Barlow Semi Condensed"/>
          <w:b/>
          <w:bCs/>
          <w:sz w:val="24"/>
          <w:szCs w:val="24"/>
        </w:rPr>
        <w:t xml:space="preserve">127 · Il censimento del ritenuto.</w:t>
      </w:r>
      <w:r>
        <w:rPr>
          <w:rFonts w:ascii="Barlow Semi Condensed" w:cs="Barlow Semi Condensed" w:eastAsia="Barlow Semi Condensed" w:hAnsi="Barlow Semi Condensed"/>
          <w:sz w:val="24"/>
          <w:szCs w:val="24"/>
        </w:rPr>
        <w:t xml:space="preserve"> Le withdrawal cards del 1978 nei Central Foreign Policy Files: il censimento sistematico di ciò che è dichiaratamente trattenuto — l'accertamento del corpus (circa quattrocentosettantaquattro atti di origine alleata) portato a tavola completa: per ogni carta ritirata, serie, data, originatore, e lo stato della sua richiedibilità.</w:t>
      </w:r>
    </w:p>
    <w:p>
      <w:pPr>
        <w:spacing w:after="120" w:line="276"/>
        <w:jc w:val="both"/>
      </w:pPr>
      <w:r>
        <w:rPr>
          <w:rFonts w:ascii="Barlow Semi Condensed" w:cs="Barlow Semi Condensed" w:eastAsia="Barlow Semi Condensed" w:hAnsi="Barlow Semi Condensed"/>
          <w:b/>
          <w:bCs/>
          <w:sz w:val="24"/>
          <w:szCs w:val="24"/>
        </w:rPr>
        <w:t xml:space="preserve">128 · Il full-text del 1978.</w:t>
      </w:r>
      <w:r>
        <w:rPr>
          <w:rFonts w:ascii="Barlow Semi Condensed" w:cs="Barlow Semi Condensed" w:eastAsia="Barlow Semi Condensed" w:hAnsi="Barlow Semi Condensed"/>
          <w:sz w:val="24"/>
          <w:szCs w:val="24"/>
        </w:rPr>
        <w:t xml:space="preserve"> I telegrammi elettronici del Dipartimento di Stato per il 1978 sono interrogabili in full-text su NARA AAD (copertura dei Central Foreign Policy Files: 1 luglio 1973 - 31 dicembre 1979): lo spoglio sistematico con griglia di ricerca dichiarata — nomi, luoghi, TAGS — e verbale degli esiti, incluse le ricerche a vuoto. È il giacimento estero a costo più basso: si comincia da qui.</w:t>
      </w:r>
    </w:p>
    <w:p>
      <w:pPr>
        <w:spacing w:after="120" w:line="276"/>
        <w:jc w:val="both"/>
      </w:pPr>
      <w:r>
        <w:rPr>
          <w:rFonts w:ascii="Barlow Semi Condensed" w:cs="Barlow Semi Condensed" w:eastAsia="Barlow Semi Condensed" w:hAnsi="Barlow Semi Condensed"/>
          <w:b/>
          <w:bCs/>
          <w:sz w:val="24"/>
          <w:szCs w:val="24"/>
        </w:rPr>
        <w:t xml:space="preserve">129 · La collezione a microfiche.</w:t>
      </w:r>
      <w:r>
        <w:rPr>
          <w:rFonts w:ascii="Barlow Semi Condensed" w:cs="Barlow Semi Condensed" w:eastAsia="Barlow Semi Condensed" w:hAnsi="Barlow Semi Condensed"/>
          <w:sz w:val="24"/>
          <w:szCs w:val="24"/>
        </w:rPr>
        <w:t xml:space="preserve"> Nella FOIA Library del Dipartimento di Stato (foia.state.gov) è censita una collezione dedicata «Aldo Moro, Prime Minister of Italy, Representative of the Christian-Democrat Party (DC)», rilascio storico su microfiche non interamente digitalizzato: il bersaglio è l'acquisizione integrale della collezione e il confronto col già noto — che cosa contiene che l'AAD non mostra?</w:t>
      </w:r>
    </w:p>
    <w:p>
      <w:pPr>
        <w:spacing w:after="120" w:line="276"/>
        <w:jc w:val="both"/>
      </w:pPr>
      <w:r>
        <w:rPr>
          <w:rFonts w:ascii="Barlow Semi Condensed" w:cs="Barlow Semi Condensed" w:eastAsia="Barlow Semi Condensed" w:hAnsi="Barlow Semi Condensed"/>
          <w:b/>
          <w:bCs/>
          <w:sz w:val="24"/>
          <w:szCs w:val="24"/>
        </w:rPr>
        <w:t xml:space="preserve">130 · Il lotto del corpus.</w:t>
      </w:r>
      <w:r>
        <w:rPr>
          <w:rFonts w:ascii="Barlow Semi Condensed" w:cs="Barlow Semi Condensed" w:eastAsia="Barlow Semi Condensed" w:hAnsi="Barlow Semi Condensed"/>
          <w:sz w:val="24"/>
          <w:szCs w:val="24"/>
        </w:rPr>
        <w:t xml:space="preserve"> Il fascicolo FOIA già acquisito dal corpus (il caso R-2021-002xx, coi numeri di controllo B-00001939965-989 e i TAGS </w:t>
      </w:r>
      <w:r>
        <w:rPr>
          <w:rFonts w:ascii="Barlow Semi Condensed" w:cs="Barlow Semi Condensed" w:eastAsia="Barlow Semi Condensed" w:hAnsi="Barlow Semi Condensed"/>
          <w:i/>
          <w:iCs/>
          <w:sz w:val="24"/>
          <w:szCs w:val="24"/>
        </w:rPr>
        <w:t xml:space="preserve">PINT, IT</w:t>
      </w:r>
      <w:r>
        <w:rPr>
          <w:rFonts w:ascii="Barlow Semi Condensed" w:cs="Barlow Semi Condensed" w:eastAsia="Barlow Semi Condensed" w:hAnsi="Barlow Semi Condensed"/>
          <w:sz w:val="24"/>
          <w:szCs w:val="24"/>
        </w:rPr>
        <w:t xml:space="preserve">): la ricognizione di che cosa quel lotto dimostra sul metodo — che cosa fu rilasciato, con quali omissis — e la formulazione delle richieste successive sulla stessa serie, allargando il perimetro un lotto alla volta.</w:t>
      </w:r>
    </w:p>
    <w:p>
      <w:pPr>
        <w:spacing w:after="120" w:line="276"/>
        <w:jc w:val="both"/>
      </w:pPr>
      <w:r>
        <w:rPr>
          <w:rFonts w:ascii="Barlow Semi Condensed" w:cs="Barlow Semi Condensed" w:eastAsia="Barlow Semi Condensed" w:hAnsi="Barlow Semi Condensed"/>
          <w:b/>
          <w:bCs/>
          <w:sz w:val="24"/>
          <w:szCs w:val="24"/>
        </w:rPr>
        <w:t xml:space="preserve">131 · Le richieste mirate.</w:t>
      </w:r>
      <w:r>
        <w:rPr>
          <w:rFonts w:ascii="Barlow Semi Condensed" w:cs="Barlow Semi Condensed" w:eastAsia="Barlow Semi Condensed" w:hAnsi="Barlow Semi Condensed"/>
          <w:sz w:val="24"/>
          <w:szCs w:val="24"/>
        </w:rPr>
        <w:t xml:space="preserve"> Per le carte ritirate che toccano i quesiti costitutivi: richieste FOIA e di Mandatory Declassification Review mirate, una per carta o per piccolo lotto, con la motivazione storica argomentata. La strategia è l'erosione documentata: ogni diniego motivato è un dato, ogni rilascio una carta nuova — e il registro (259) tiene il conto.</w:t>
      </w:r>
    </w:p>
    <w:p>
      <w:pPr>
        <w:spacing w:after="120" w:line="276"/>
        <w:jc w:val="both"/>
      </w:pPr>
      <w:r>
        <w:rPr>
          <w:rFonts w:ascii="Barlow Semi Condensed" w:cs="Barlow Semi Condensed" w:eastAsia="Barlow Semi Condensed" w:hAnsi="Barlow Semi Condensed"/>
          <w:b/>
          <w:bCs/>
          <w:sz w:val="24"/>
          <w:szCs w:val="24"/>
        </w:rPr>
        <w:t xml:space="preserve">132 · La sala di lettura di Langley.</w:t>
      </w:r>
      <w:r>
        <w:rPr>
          <w:rFonts w:ascii="Barlow Semi Condensed" w:cs="Barlow Semi Condensed" w:eastAsia="Barlow Semi Condensed" w:hAnsi="Barlow Semi Condensed"/>
          <w:sz w:val="24"/>
          <w:szCs w:val="24"/>
        </w:rPr>
        <w:t xml:space="preserve"> La CIA FOIA Electronic Reading Room (il database CREST) contiene documenti declassificati su Moro, le Brigate rosse e l'Italia del 1978: lo spoglio con la disciplina dichiarata — distinguere i documenti analitici dai ritagli di stampa raccolti internamente, che sono rassegna e non intelligence, e marcare ciascun reperto per quello che è.</w:t>
      </w:r>
    </w:p>
    <w:p>
      <w:pPr>
        <w:spacing w:after="120" w:line="276"/>
        <w:jc w:val="both"/>
      </w:pPr>
      <w:r>
        <w:rPr>
          <w:rFonts w:ascii="Barlow Semi Condensed" w:cs="Barlow Semi Condensed" w:eastAsia="Barlow Semi Condensed" w:hAnsi="Barlow Semi Condensed"/>
          <w:b/>
          <w:bCs/>
          <w:sz w:val="24"/>
          <w:szCs w:val="24"/>
        </w:rPr>
        <w:t xml:space="preserve">133 · Le carte di Atlanta.</w:t>
      </w:r>
      <w:r>
        <w:rPr>
          <w:rFonts w:ascii="Barlow Semi Condensed" w:cs="Barlow Semi Condensed" w:eastAsia="Barlow Semi Condensed" w:hAnsi="Barlow Semi Condensed"/>
          <w:sz w:val="24"/>
          <w:szCs w:val="24"/>
        </w:rPr>
        <w:t xml:space="preserve"> Alla Jimmy Carter Presidential Library la collezione «National Security Affairs, Brzezinski Material» col suo Country File per paese (Italia, 1977-1981) è processata e aperta: il bersaglio è lo spoglio del fascicolo italiano dei 55 giorni — appunti per il presidente, verbali, corrispondenza — con acquisizione digitale delle carte rilevanti.</w:t>
      </w:r>
    </w:p>
    <w:p>
      <w:pPr>
        <w:spacing w:after="120" w:line="276"/>
        <w:jc w:val="both"/>
      </w:pPr>
      <w:r>
        <w:rPr>
          <w:rFonts w:ascii="Barlow Semi Condensed" w:cs="Barlow Semi Condensed" w:eastAsia="Barlow Semi Condensed" w:hAnsi="Barlow Semi Condensed"/>
          <w:b/>
          <w:bCs/>
          <w:sz w:val="24"/>
          <w:szCs w:val="24"/>
        </w:rPr>
        <w:t xml:space="preserve">134 · La serie FRUS.</w:t>
      </w:r>
      <w:r>
        <w:rPr>
          <w:rFonts w:ascii="Barlow Semi Condensed" w:cs="Barlow Semi Condensed" w:eastAsia="Barlow Semi Condensed" w:hAnsi="Barlow Semi Condensed"/>
          <w:sz w:val="24"/>
          <w:szCs w:val="24"/>
        </w:rPr>
        <w:t xml:space="preserve"> I volumi Foreign Relations of the United States per il 1977-1980: lo spoglio della selezione ufficiale già edita — che cosa il curatore incluse sul caso, da quali fondi, con quali rinvii archivistici. FRUS è la mappa dichiarata degli archivi che l'hanno alimentata: ogni nota a piè di pagina è una segnatura da seguire.</w:t>
      </w:r>
    </w:p>
    <w:p>
      <w:pPr>
        <w:spacing w:after="120" w:line="276"/>
        <w:jc w:val="both"/>
      </w:pPr>
      <w:r>
        <w:rPr>
          <w:rFonts w:ascii="Barlow Semi Condensed" w:cs="Barlow Semi Condensed" w:eastAsia="Barlow Semi Condensed" w:hAnsi="Barlow Semi Condensed"/>
          <w:b/>
          <w:bCs/>
          <w:sz w:val="24"/>
          <w:szCs w:val="24"/>
        </w:rPr>
        <w:t xml:space="preserve">135 · Il Congresso.</w:t>
      </w:r>
      <w:r>
        <w:rPr>
          <w:rFonts w:ascii="Barlow Semi Condensed" w:cs="Barlow Semi Condensed" w:eastAsia="Barlow Semi Condensed" w:hAnsi="Barlow Semi Condensed"/>
          <w:sz w:val="24"/>
          <w:szCs w:val="24"/>
        </w:rPr>
        <w:t xml:space="preserve"> Gli atti delle commissioni del Congresso USA sul terrorismo europeo degli anni Settanta: udienze, rapporti, testimonianze dell'epoca sull'Italia. Bersaglio secondario a buon rendimento contestuale: come Washington si spiegava pubblicamente il caso mentre i cablo lo raccontavano in riservato.</w:t>
      </w:r>
    </w:p>
    <w:p>
      <w:pPr>
        <w:spacing w:after="120" w:line="276"/>
        <w:jc w:val="both"/>
      </w:pPr>
      <w:r>
        <w:rPr>
          <w:rFonts w:ascii="Barlow Semi Condensed" w:cs="Barlow Semi Condensed" w:eastAsia="Barlow Semi Condensed" w:hAnsi="Barlow Semi Condensed"/>
          <w:b/>
          <w:bCs/>
          <w:sz w:val="24"/>
          <w:szCs w:val="24"/>
        </w:rPr>
        <w:t xml:space="preserve">136 · Kew.</w:t>
      </w:r>
      <w:r>
        <w:rPr>
          <w:rFonts w:ascii="Barlow Semi Condensed" w:cs="Barlow Semi Condensed" w:eastAsia="Barlow Semi Condensed" w:hAnsi="Barlow Semi Condensed"/>
          <w:sz w:val="24"/>
          <w:szCs w:val="24"/>
        </w:rPr>
        <w:t xml:space="preserve"> The National Archives britannici: l'accertamento sistematico di quali fascicoli FCO e PREM su Italia e caso Moro 1978 risultino trasferiti e aperti, quali trattenuti e quali ancora presso i dipartimenti — col catalogo Discovery come primo strumento e le richieste FOI britanniche come secondo. La tavola delle serie britanniche è il bersaglio; il suo vuoto, se vuoto sarà, si verbalizza.</w:t>
      </w:r>
    </w:p>
    <w:p>
      <w:pPr>
        <w:spacing w:after="120" w:line="276"/>
        <w:jc w:val="both"/>
      </w:pPr>
      <w:r>
        <w:rPr>
          <w:rFonts w:ascii="Barlow Semi Condensed" w:cs="Barlow Semi Condensed" w:eastAsia="Barlow Semi Condensed" w:hAnsi="Barlow Semi Condensed"/>
          <w:b/>
          <w:bCs/>
          <w:sz w:val="24"/>
          <w:szCs w:val="24"/>
        </w:rPr>
        <w:t xml:space="preserve">137 · La regola dei vent'anni.</w:t>
      </w:r>
      <w:r>
        <w:rPr>
          <w:rFonts w:ascii="Barlow Semi Condensed" w:cs="Barlow Semi Condensed" w:eastAsia="Barlow Semi Condensed" w:hAnsi="Barlow Semi Condensed"/>
          <w:sz w:val="24"/>
          <w:szCs w:val="24"/>
        </w:rPr>
        <w:t xml:space="preserve"> Per il Regno Unito: la mappa del calendario — la transizione alla regola dei vent'anni, le retention notes, le vie di ricorso presso l'Information Commissioner. Ogni sistema archivistico ha la sua fisiologia: l'agenda la impara prima di chiedere, per chiedere ciò che il sistema può dare.</w:t>
      </w:r>
    </w:p>
    <w:p>
      <w:pPr>
        <w:spacing w:after="120" w:line="276"/>
        <w:jc w:val="both"/>
      </w:pPr>
      <w:r>
        <w:rPr>
          <w:rFonts w:ascii="Barlow Semi Condensed" w:cs="Barlow Semi Condensed" w:eastAsia="Barlow Semi Condensed" w:hAnsi="Barlow Semi Condensed"/>
          <w:b/>
          <w:bCs/>
          <w:sz w:val="24"/>
          <w:szCs w:val="24"/>
        </w:rPr>
        <w:t xml:space="preserve">138 · La Courneuve.</w:t>
      </w:r>
      <w:r>
        <w:rPr>
          <w:rFonts w:ascii="Barlow Semi Condensed" w:cs="Barlow Semi Condensed" w:eastAsia="Barlow Semi Condensed" w:hAnsi="Barlow Semi Condensed"/>
          <w:sz w:val="24"/>
          <w:szCs w:val="24"/>
        </w:rPr>
        <w:t xml:space="preserve"> Gli archivi diplomatici francesi: l'accertamento delle serie aperte della direzione Europa per l'Italia 1978 e lo spoglio dei carteggi dell'ambasciata a Roma sui 55 giorni. La Francia dei santuari e della dottrina è anche la Francia che osservava: i suoi dispacci sono un punto di vista che nessuna commissione italiana ha mai letto per intero.</w:t>
      </w:r>
    </w:p>
    <w:p>
      <w:pPr>
        <w:spacing w:after="120" w:line="276"/>
        <w:jc w:val="both"/>
      </w:pPr>
      <w:r>
        <w:rPr>
          <w:rFonts w:ascii="Barlow Semi Condensed" w:cs="Barlow Semi Condensed" w:eastAsia="Barlow Semi Condensed" w:hAnsi="Barlow Semi Condensed"/>
          <w:b/>
          <w:bCs/>
          <w:sz w:val="24"/>
          <w:szCs w:val="24"/>
        </w:rPr>
        <w:t xml:space="preserve">139 · Le carte di Hyperion.</w:t>
      </w:r>
      <w:r>
        <w:rPr>
          <w:rFonts w:ascii="Barlow Semi Condensed" w:cs="Barlow Semi Condensed" w:eastAsia="Barlow Semi Condensed" w:hAnsi="Barlow Semi Condensed"/>
          <w:sz w:val="24"/>
          <w:szCs w:val="24"/>
        </w:rPr>
        <w:t xml:space="preserve"> Il censimento di ciò che è documentalmente accessibile sulla scuola di lingue parigina — con la precisazione verificata: gli atti del 1982 finora noti sono di fonte giudiziaria italiana (l'istruttoria veneziana), mentre gli archivi giudiziari francesi restano chiusi dai termini di comunicabilità del Code du patrimoine; le vie francesi sono archivistiche (i fondi di polizia versati, con deroga). La pista è chiusa nel corpus per anello debole; il blocco tiene il criterio di riapertura (222) puntato sul solo documento primario.</w:t>
      </w:r>
    </w:p>
    <w:p>
      <w:pPr>
        <w:spacing w:after="120" w:line="276"/>
        <w:jc w:val="both"/>
      </w:pPr>
      <w:r>
        <w:rPr>
          <w:rFonts w:ascii="Barlow Semi Condensed" w:cs="Barlow Semi Condensed" w:eastAsia="Barlow Semi Condensed" w:hAnsi="Barlow Semi Condensed"/>
          <w:b/>
          <w:bCs/>
          <w:sz w:val="24"/>
          <w:szCs w:val="24"/>
        </w:rPr>
        <w:t xml:space="preserve">140 · Le carte della dottrina.</w:t>
      </w:r>
      <w:r>
        <w:rPr>
          <w:rFonts w:ascii="Barlow Semi Condensed" w:cs="Barlow Semi Condensed" w:eastAsia="Barlow Semi Condensed" w:hAnsi="Barlow Semi Condensed"/>
          <w:sz w:val="24"/>
          <w:szCs w:val="24"/>
        </w:rPr>
        <w:t xml:space="preserve"> Il dossier documentale della dottrina Mitterrand e delle vicende estradizionali del caso (le pene oltre confine del corpus): gli atti francesi — amministrativi e giudiziari — delle decisioni sui rifugiati italiani, fino alla parola della Cassazione francese del 2023. Il quadro è già verificato nel corpus; il bersaglio è il fascicolo francese integrale.</w:t>
      </w:r>
    </w:p>
    <w:p>
      <w:pPr>
        <w:spacing w:after="120" w:line="276"/>
        <w:jc w:val="both"/>
      </w:pPr>
      <w:r>
        <w:rPr>
          <w:rFonts w:ascii="Barlow Semi Condensed" w:cs="Barlow Semi Condensed" w:eastAsia="Barlow Semi Condensed" w:hAnsi="Barlow Semi Condensed"/>
          <w:b/>
          <w:bCs/>
          <w:sz w:val="24"/>
          <w:szCs w:val="24"/>
        </w:rPr>
        <w:t xml:space="preserve">141 · Il parallelo tedesco.</w:t>
      </w:r>
      <w:r>
        <w:rPr>
          <w:rFonts w:ascii="Barlow Semi Condensed" w:cs="Barlow Semi Condensed" w:eastAsia="Barlow Semi Condensed" w:hAnsi="Barlow Semi Condensed"/>
          <w:sz w:val="24"/>
          <w:szCs w:val="24"/>
        </w:rPr>
        <w:t xml:space="preserve"> Gli archivi federali tedeschi sul caso Schleyer (1977) e sulla cooperazione antiterrorismo con l'Italia del 1978: l'accertamento di quali carte BKA e di cancelleria siano aperte e che cosa documentino dei contatti con Roma nei 55 giorni. Il caso gemello tedesco fu gestito in modo opposto: le carte del confronto fra i due modelli sono un giacimento comparativo unico.</w:t>
      </w:r>
    </w:p>
    <w:p>
      <w:pPr>
        <w:spacing w:after="120" w:line="276"/>
        <w:jc w:val="both"/>
      </w:pPr>
      <w:r>
        <w:rPr>
          <w:rFonts w:ascii="Barlow Semi Condensed" w:cs="Barlow Semi Condensed" w:eastAsia="Barlow Semi Condensed" w:hAnsi="Barlow Semi Condensed"/>
          <w:b/>
          <w:bCs/>
          <w:sz w:val="24"/>
          <w:szCs w:val="24"/>
        </w:rPr>
        <w:t xml:space="preserve">142 · Il Politisches Archiv.</w:t>
      </w:r>
      <w:r>
        <w:rPr>
          <w:rFonts w:ascii="Barlow Semi Condensed" w:cs="Barlow Semi Condensed" w:eastAsia="Barlow Semi Condensed" w:hAnsi="Barlow Semi Condensed"/>
          <w:sz w:val="24"/>
          <w:szCs w:val="24"/>
        </w:rPr>
        <w:t xml:space="preserve"> L'archivio politico dell'Auswärtiges Amt: le serie dell'ambasciata tedesca a Roma e della centrale per il 1978 — l'accertamento della loro apertura e lo spoglio del fascicolo italiano. Stessa griglia degli altri paesi: che cosa videro, che cosa riferirono, che cosa ne fecero.</w:t>
      </w:r>
    </w:p>
    <w:p>
      <w:pPr>
        <w:spacing w:after="120" w:line="276"/>
        <w:jc w:val="both"/>
      </w:pPr>
      <w:r>
        <w:rPr>
          <w:rFonts w:ascii="Barlow Semi Condensed" w:cs="Barlow Semi Condensed" w:eastAsia="Barlow Semi Condensed" w:hAnsi="Barlow Semi Condensed"/>
          <w:b/>
          <w:bCs/>
          <w:sz w:val="24"/>
          <w:szCs w:val="24"/>
        </w:rPr>
        <w:t xml:space="preserve">143 · Gli scaffali dell'Alleanza.</w:t>
      </w:r>
      <w:r>
        <w:rPr>
          <w:rFonts w:ascii="Barlow Semi Condensed" w:cs="Barlow Semi Condensed" w:eastAsia="Barlow Semi Condensed" w:hAnsi="Barlow Semi Condensed"/>
          <w:sz w:val="24"/>
          <w:szCs w:val="24"/>
        </w:rPr>
        <w:t xml:space="preserve"> Gli archivi NATO e la loro sala di lettura pubblica: l'accertamento di quali serie del 1978 su Italia e sicurezza interna alleata risultino declassificate e pubblicate, e la richiesta formale sulle serie mature per il rilascio. Perimetro dichiarato: si cercano documenti d'archivio, non conferme di narrazioni — e ciò che non c'è si verbalizza come assenza.</w:t>
      </w:r>
    </w:p>
    <w:p>
      <w:pPr>
        <w:spacing w:after="120" w:line="276"/>
        <w:jc w:val="both"/>
      </w:pPr>
      <w:r>
        <w:rPr>
          <w:rFonts w:ascii="Barlow Semi Condensed" w:cs="Barlow Semi Condensed" w:eastAsia="Barlow Semi Condensed" w:hAnsi="Barlow Semi Condensed"/>
          <w:b/>
          <w:bCs/>
          <w:sz w:val="24"/>
          <w:szCs w:val="24"/>
        </w:rPr>
        <w:t xml:space="preserve">144 · Berna.</w:t>
      </w:r>
      <w:r>
        <w:rPr>
          <w:rFonts w:ascii="Barlow Semi Condensed" w:cs="Barlow Semi Condensed" w:eastAsia="Barlow Semi Condensed" w:hAnsi="Barlow Semi Condensed"/>
          <w:sz w:val="24"/>
          <w:szCs w:val="24"/>
        </w:rPr>
        <w:t xml:space="preserve"> Gli archivi federali svizzeri per le vicende del caso che toccano la Confederazione — le posizioni dei condannati riparati oltralpe documentate nel corpus: atti amministrativi, decisioni sulle estradizioni, carteggi con Roma. La Svizzera è un archivio ordinato per vocazione: la richiesta ben formulata ha buone probabilità di risposta esatta.</w:t>
      </w:r>
    </w:p>
    <w:p>
      <w:pPr>
        <w:spacing w:after="120" w:line="276"/>
        <w:jc w:val="both"/>
      </w:pPr>
      <w:r>
        <w:rPr>
          <w:rFonts w:ascii="Barlow Semi Condensed" w:cs="Barlow Semi Condensed" w:eastAsia="Barlow Semi Condensed" w:hAnsi="Barlow Semi Condensed"/>
          <w:b/>
          <w:bCs/>
          <w:sz w:val="24"/>
          <w:szCs w:val="24"/>
        </w:rPr>
        <w:t xml:space="preserve">145 · Le carte vaticane.</w:t>
      </w:r>
      <w:r>
        <w:rPr>
          <w:rFonts w:ascii="Barlow Semi Condensed" w:cs="Barlow Semi Condensed" w:eastAsia="Barlow Semi Condensed" w:hAnsi="Barlow Semi Condensed"/>
          <w:sz w:val="24"/>
          <w:szCs w:val="24"/>
        </w:rPr>
        <w:t xml:space="preserve"> L'accertamento formale dello stato di apertura degli archivi della Santa Sede per il pontificato di Paolo VI: quale documentazione del 1978 sia già consultabile, quale attenda l'apertura del pontificato, e quali serie parallele (le sezioni della Segreteria di Stato) abbiano calendari propri. Il quesito 11 dipende da questo calendario più che da ogni altra cosa.</w:t>
      </w:r>
    </w:p>
    <w:p>
      <w:pPr>
        <w:spacing w:after="120" w:line="276"/>
        <w:jc w:val="both"/>
      </w:pPr>
      <w:r>
        <w:rPr>
          <w:rFonts w:ascii="Barlow Semi Condensed" w:cs="Barlow Semi Condensed" w:eastAsia="Barlow Semi Condensed" w:hAnsi="Barlow Semi Condensed"/>
          <w:b/>
          <w:bCs/>
          <w:sz w:val="24"/>
          <w:szCs w:val="24"/>
        </w:rPr>
        <w:t xml:space="preserve">146 · Brescia.</w:t>
      </w:r>
      <w:r>
        <w:rPr>
          <w:rFonts w:ascii="Barlow Semi Condensed" w:cs="Barlow Semi Condensed" w:eastAsia="Barlow Semi Condensed" w:hAnsi="Barlow Semi Condensed"/>
          <w:sz w:val="24"/>
          <w:szCs w:val="24"/>
        </w:rPr>
        <w:t xml:space="preserve"> L'Istituto Paolo VI e gli istituti collegati alla memoria montiniana: il censimento delle carte del 1978 — carteggi, memorie, materiali sulla lettera agli «uomini delle Brigate rosse» e sui 55 giorni — e delle condizioni d'accesso. La via studiosa agli archivi ecclesiastici passa per gli istituti, prima che per i dicasteri.</w:t>
      </w:r>
    </w:p>
    <w:p>
      <w:pPr>
        <w:spacing w:after="120" w:line="276"/>
        <w:jc w:val="both"/>
      </w:pPr>
      <w:r>
        <w:rPr>
          <w:rFonts w:ascii="Barlow Semi Condensed" w:cs="Barlow Semi Condensed" w:eastAsia="Barlow Semi Condensed" w:hAnsi="Barlow Semi Condensed"/>
          <w:b/>
          <w:bCs/>
          <w:sz w:val="24"/>
          <w:szCs w:val="24"/>
        </w:rPr>
        <w:t xml:space="preserve">147 · Le carte del cappellano.</w:t>
      </w:r>
      <w:r>
        <w:rPr>
          <w:rFonts w:ascii="Barlow Semi Condensed" w:cs="Barlow Semi Condensed" w:eastAsia="Barlow Semi Condensed" w:hAnsi="Barlow Semi Condensed"/>
          <w:sz w:val="24"/>
          <w:szCs w:val="24"/>
        </w:rPr>
        <w:t xml:space="preserve"> Le carte di e su don Cesare Curioni — l'incaricato del canale documentato dal corpus: l'accertamento di dove giacciano (ordini, diocesi, eredi, istituti) e la proposta di inventario o deposito. L'uomo che portò gli incarichi più delicati dei 55 giorni lasciò necessariamente carta; trovarla è un bersaglio in sé.</w:t>
      </w:r>
    </w:p>
    <w:p>
      <w:pPr>
        <w:spacing w:after="120" w:line="276"/>
        <w:jc w:val="both"/>
      </w:pPr>
      <w:r>
        <w:rPr>
          <w:rFonts w:ascii="Barlow Semi Condensed" w:cs="Barlow Semi Condensed" w:eastAsia="Barlow Semi Condensed" w:hAnsi="Barlow Semi Condensed"/>
          <w:b/>
          <w:bCs/>
          <w:sz w:val="24"/>
          <w:szCs w:val="24"/>
        </w:rPr>
        <w:t xml:space="preserve">148 · Gli altri alleati.</w:t>
      </w:r>
      <w:r>
        <w:rPr>
          <w:rFonts w:ascii="Barlow Semi Condensed" w:cs="Barlow Semi Condensed" w:eastAsia="Barlow Semi Condensed" w:hAnsi="Barlow Semi Condensed"/>
          <w:sz w:val="24"/>
          <w:szCs w:val="24"/>
        </w:rPr>
        <w:t xml:space="preserve"> Gli archivi degli altri paesi osservatori — con la stessa griglia essenziale: serie diplomatiche del 1978, stato di apertura, via d'accesso. La tavola si costruisce paese per paese senza gerarchie presunte: il cablo decisivo può giacere in una capitale che nessuna ricostruzione ha mai considerato.</w:t>
      </w:r>
    </w:p>
    <w:p>
      <w:pPr>
        <w:spacing w:after="120" w:line="276"/>
        <w:jc w:val="both"/>
      </w:pPr>
      <w:r>
        <w:rPr>
          <w:rFonts w:ascii="Barlow Semi Condensed" w:cs="Barlow Semi Condensed" w:eastAsia="Barlow Semi Condensed" w:hAnsi="Barlow Semi Condensed"/>
          <w:b/>
          <w:bCs/>
          <w:sz w:val="24"/>
          <w:szCs w:val="24"/>
        </w:rPr>
        <w:t xml:space="preserve">149 · Le rogatorie della conoscenza.</w:t>
      </w:r>
      <w:r>
        <w:rPr>
          <w:rFonts w:ascii="Barlow Semi Condensed" w:cs="Barlow Semi Condensed" w:eastAsia="Barlow Semi Condensed" w:hAnsi="Barlow Semi Condensed"/>
          <w:sz w:val="24"/>
          <w:szCs w:val="24"/>
        </w:rPr>
        <w:t xml:space="preserve"> Per gli atti esteri che una richiesta archivistica non può raggiungere: la via delle rogatorie e della cooperazione giudiziaria, nei limiti e nelle forme che il fascicolo romano e le autorità competenti stabiliscano. L'agenda propone e documenta; la titolarità resta dove la legge la pone (blocco 291).</w:t>
      </w:r>
    </w:p>
    <w:p>
      <w:pPr>
        <w:spacing w:after="120" w:line="276"/>
        <w:jc w:val="both"/>
      </w:pPr>
      <w:r>
        <w:rPr>
          <w:rFonts w:ascii="Barlow Semi Condensed" w:cs="Barlow Semi Condensed" w:eastAsia="Barlow Semi Condensed" w:hAnsi="Barlow Semi Condensed"/>
          <w:b/>
          <w:bCs/>
          <w:sz w:val="24"/>
          <w:szCs w:val="24"/>
        </w:rPr>
        <w:t xml:space="preserve">150 · La contabilità estera.</w:t>
      </w:r>
      <w:r>
        <w:rPr>
          <w:rFonts w:ascii="Barlow Semi Condensed" w:cs="Barlow Semi Condensed" w:eastAsia="Barlow Semi Condensed" w:hAnsi="Barlow Semi Condensed"/>
          <w:sz w:val="24"/>
          <w:szCs w:val="24"/>
        </w:rPr>
        <w:t xml:space="preserve"> Ogni richiesta internazionale — FOIA, MDR, FOI, istanze archivistiche — entra nel registro delle richieste (259) con la sua colonna dei tempi: gli archivi esteri rispondono in mesi o anni, e l'agenda pianifica su quei tempi invece di subirli. La pazienza organizzata è una tecnica, non una virtù.</w:t>
      </w:r>
    </w:p>
    <w:p>
      <w:pPr>
        <w:spacing w:after="120" w:line="276"/>
        <w:jc w:val="both"/>
      </w:pPr>
      <w:r>
        <w:rPr>
          <w:rFonts w:ascii="Barlow Semi Condensed" w:cs="Barlow Semi Condensed" w:eastAsia="Barlow Semi Condensed" w:hAnsi="Barlow Semi Condensed"/>
          <w:b/>
          <w:bCs/>
          <w:sz w:val="24"/>
          <w:szCs w:val="24"/>
        </w:rPr>
        <w:t xml:space="preserve">151 · La lettura disciplinata.</w:t>
      </w:r>
      <w:r>
        <w:rPr>
          <w:rFonts w:ascii="Barlow Semi Condensed" w:cs="Barlow Semi Condensed" w:eastAsia="Barlow Semi Condensed" w:hAnsi="Barlow Semi Condensed"/>
          <w:sz w:val="24"/>
          <w:szCs w:val="24"/>
        </w:rPr>
        <w:t xml:space="preserve"> Ogni documento estero acquisito entra col suo statuto epistemico: un dispaccio è ciò che una sede riferì, non ciò che accadde; una valutazione d'intelligence è un'ipotesi di servizio, non un accertamento. Il grado segue la natura dell'atto — e la tentazione di promuovere l'esotico a rivelazione è un bias censito dal manuale.</w:t>
      </w:r>
    </w:p>
    <w:p>
      <w:pPr>
        <w:spacing w:after="120" w:line="276"/>
        <w:jc w:val="both"/>
      </w:pPr>
      <w:r>
        <w:rPr>
          <w:rFonts w:ascii="Barlow Semi Condensed" w:cs="Barlow Semi Condensed" w:eastAsia="Barlow Semi Condensed" w:hAnsi="Barlow Semi Condensed"/>
          <w:b/>
          <w:bCs/>
          <w:sz w:val="24"/>
          <w:szCs w:val="24"/>
        </w:rPr>
        <w:t xml:space="preserve">152 · Chi ha già scavato.</w:t>
      </w:r>
      <w:r>
        <w:rPr>
          <w:rFonts w:ascii="Barlow Semi Condensed" w:cs="Barlow Semi Condensed" w:eastAsia="Barlow Semi Condensed" w:hAnsi="Barlow Semi Condensed"/>
          <w:sz w:val="24"/>
          <w:szCs w:val="24"/>
        </w:rPr>
        <w:t xml:space="preserve"> Il censimento della letteratura storica fondata su archivi esteri per il caso: quali studiosi hanno già letto quali serie, con quali segnature citate. La storiografia è una mappa di scavo: l'agenda non rifà gli scavi altrui — li verifica a campione e riparte dal primo scaffale non ancora letto.</w:t>
      </w:r>
    </w:p>
    <w:p>
      <w:pPr>
        <w:spacing w:after="120" w:line="276"/>
        <w:jc w:val="both"/>
      </w:pPr>
      <w:r>
        <w:rPr>
          <w:rFonts w:ascii="Barlow Semi Condensed" w:cs="Barlow Semi Condensed" w:eastAsia="Barlow Semi Condensed" w:hAnsi="Barlow Semi Condensed"/>
          <w:b/>
          <w:bCs/>
          <w:sz w:val="24"/>
          <w:szCs w:val="24"/>
        </w:rPr>
        <w:t xml:space="preserve">153 · Lo stesso giorno, due capitali.</w:t>
      </w:r>
      <w:r>
        <w:rPr>
          <w:rFonts w:ascii="Barlow Semi Condensed" w:cs="Barlow Semi Condensed" w:eastAsia="Barlow Semi Condensed" w:hAnsi="Barlow Semi Condensed"/>
          <w:sz w:val="24"/>
          <w:szCs w:val="24"/>
        </w:rPr>
        <w:t xml:space="preserve"> La collazione bilaterale sistematica: per le giornate chiave dei 55 giorni, che cosa riferì ciascuna capitale — Washington, Londra, Parigi, Bonn — e dove i resoconti divergono. La tavola delle divergenze è il prodotto: ogni divergenza è o un errore di una sede o un'informazione che una sola sede aveva.</w:t>
      </w:r>
    </w:p>
    <w:p>
      <w:pPr>
        <w:spacing w:after="120" w:line="276"/>
        <w:jc w:val="both"/>
      </w:pPr>
      <w:r>
        <w:rPr>
          <w:rFonts w:ascii="Barlow Semi Condensed" w:cs="Barlow Semi Condensed" w:eastAsia="Barlow Semi Condensed" w:hAnsi="Barlow Semi Condensed"/>
          <w:b/>
          <w:bCs/>
          <w:sz w:val="24"/>
          <w:szCs w:val="24"/>
        </w:rPr>
        <w:t xml:space="preserve">154 · Il calendario delle aperture estere.</w:t>
      </w:r>
      <w:r>
        <w:rPr>
          <w:rFonts w:ascii="Barlow Semi Condensed" w:cs="Barlow Semi Condensed" w:eastAsia="Barlow Semi Condensed" w:hAnsi="Barlow Semi Condensed"/>
          <w:sz w:val="24"/>
          <w:szCs w:val="24"/>
        </w:rPr>
        <w:t xml:space="preserve"> La tavola unica delle scadenze: quali serie si aprono automaticamente e quando, quali dipendono da richieste, quali da decisioni politiche. Il blocco alimenta il motore delle scadenze del manuale: l'agenda si ripresenta a ogni sportello nel giorno in cui lo sportello apre.</w:t>
      </w:r>
    </w:p>
    <w:p>
      <w:pPr>
        <w:spacing w:after="120" w:line="276"/>
        <w:jc w:val="both"/>
      </w:pPr>
      <w:r>
        <w:rPr>
          <w:rFonts w:ascii="Barlow Semi Condensed" w:cs="Barlow Semi Condensed" w:eastAsia="Barlow Semi Condensed" w:hAnsi="Barlow Semi Condensed"/>
          <w:b/>
          <w:bCs/>
          <w:sz w:val="24"/>
          <w:szCs w:val="24"/>
        </w:rPr>
        <w:t xml:space="preserve">155 · La tavola del giacimento estero.</w:t>
      </w:r>
      <w:r>
        <w:rPr>
          <w:rFonts w:ascii="Barlow Semi Condensed" w:cs="Barlow Semi Condensed" w:eastAsia="Barlow Semi Condensed" w:hAnsi="Barlow Semi Condensed"/>
          <w:sz w:val="24"/>
          <w:szCs w:val="24"/>
        </w:rPr>
        <w:t xml:space="preserve"> La chiusura della serie: la tavola dei giacimenti internazionali — paese, istituto, serie, stato di apertura, stato di spoglio, richieste pendenti — mantenuta viva accanto alla gemella nazionale (blocco 45). Gli occhi degli altri, censiti: è la parte del caso che il tempo lavora a favore dell'agenda.</w:t>
      </w:r>
    </w:p>
    <w:p>
      <w:pPr>
        <w:pStyle w:val="Heading2"/>
        <w:spacing w:after="100" w:before="200"/>
      </w:pPr>
      <w:r>
        <w:rPr>
          <w:rFonts w:ascii="Barlow Semi Condensed" w:cs="Barlow Semi Condensed" w:eastAsia="Barlow Semi Condensed" w:hAnsi="Barlow Semi Condensed"/>
          <w:sz w:val="24"/>
          <w:szCs w:val="24"/>
        </w:rPr>
        <w:t xml:space="preserve">Serie settima — Le carte private e di partito (blocchi 156-180)</w:t>
      </w:r>
    </w:p>
    <w:p>
      <w:pPr>
        <w:spacing w:after="120" w:line="276"/>
        <w:jc w:val="both"/>
      </w:pPr>
      <w:r>
        <w:rPr>
          <w:rFonts w:ascii="Barlow Semi Condensed" w:cs="Barlow Semi Condensed" w:eastAsia="Barlow Semi Condensed" w:hAnsi="Barlow Semi Condensed"/>
          <w:i/>
          <w:iCs/>
          <w:sz w:val="24"/>
          <w:szCs w:val="24"/>
        </w:rPr>
        <w:t xml:space="preserve">Statuto della serie: la memoria non dovuta. Le carte private — dei protagonisti, dei partiti, dei cronisti — non sono dovute a nessuno: si ottengono per fiducia, si citano per gratitudine e si leggono con una disciplina propria, perché un diario è la voce di chi lo scrisse e non il verbale di ciò che accadde. La serie censisce i fondi, propone i depositi e fissa le regole di lettura; ogni sede indicata come bersaglio va accertata presso l'istituto prima della campagna.</w:t>
      </w:r>
    </w:p>
    <w:p>
      <w:pPr>
        <w:spacing w:after="120" w:line="276"/>
        <w:jc w:val="both"/>
      </w:pPr>
      <w:r>
        <w:rPr>
          <w:rFonts w:ascii="Barlow Semi Condensed" w:cs="Barlow Semi Condensed" w:eastAsia="Barlow Semi Condensed" w:hAnsi="Barlow Semi Condensed"/>
          <w:b/>
          <w:bCs/>
          <w:sz w:val="24"/>
          <w:szCs w:val="24"/>
        </w:rPr>
        <w:t xml:space="preserve">156 · Il principio del deposito.</w:t>
      </w:r>
      <w:r>
        <w:rPr>
          <w:rFonts w:ascii="Barlow Semi Condensed" w:cs="Barlow Semi Condensed" w:eastAsia="Barlow Semi Condensed" w:hAnsi="Barlow Semi Condensed"/>
          <w:sz w:val="24"/>
          <w:szCs w:val="24"/>
        </w:rPr>
        <w:t xml:space="preserve"> Le carte private entrano nel caso solo per atto volontario del depositario: inventario, copia o deposito presso un istituto conservatore, alle condizioni di chi consegna. L'agenda non espropria memoria: la accoglie, la protegge e la rende citabile — ed è per questo che riceve ciò che nessuna autorità potrebbe esigere.</w:t>
      </w:r>
    </w:p>
    <w:p>
      <w:pPr>
        <w:spacing w:after="120" w:line="276"/>
        <w:jc w:val="both"/>
      </w:pPr>
      <w:r>
        <w:rPr>
          <w:rFonts w:ascii="Barlow Semi Condensed" w:cs="Barlow Semi Condensed" w:eastAsia="Barlow Semi Condensed" w:hAnsi="Barlow Semi Condensed"/>
          <w:b/>
          <w:bCs/>
          <w:sz w:val="24"/>
          <w:szCs w:val="24"/>
        </w:rPr>
        <w:t xml:space="preserve">157 · Le carte dell'uomo.</w:t>
      </w:r>
      <w:r>
        <w:rPr>
          <w:rFonts w:ascii="Barlow Semi Condensed" w:cs="Barlow Semi Condensed" w:eastAsia="Barlow Semi Condensed" w:hAnsi="Barlow Semi Condensed"/>
          <w:sz w:val="24"/>
          <w:szCs w:val="24"/>
        </w:rPr>
        <w:t xml:space="preserve"> Il censimento delle carte personali di Aldo Moro: quali fondi esistono, presso quali istituti e con quali perimetri — le carte dello statista, quelle del docente, quelle sequestrate e restituite nei decenni giudiziari. Il caso ha al centro un archivio d'autore: sapere esattamente dove sia, pezzo per pezzo, è un bersaglio primario.</w:t>
      </w:r>
    </w:p>
    <w:p>
      <w:pPr>
        <w:spacing w:after="120" w:line="276"/>
        <w:jc w:val="both"/>
      </w:pPr>
      <w:r>
        <w:rPr>
          <w:rFonts w:ascii="Barlow Semi Condensed" w:cs="Barlow Semi Condensed" w:eastAsia="Barlow Semi Condensed" w:hAnsi="Barlow Semi Condensed"/>
          <w:b/>
          <w:bCs/>
          <w:sz w:val="24"/>
          <w:szCs w:val="24"/>
        </w:rPr>
        <w:t xml:space="preserve">158 · L'opera edita e da edire.</w:t>
      </w:r>
      <w:r>
        <w:rPr>
          <w:rFonts w:ascii="Barlow Semi Condensed" w:cs="Barlow Semi Condensed" w:eastAsia="Barlow Semi Condensed" w:hAnsi="Barlow Semi Condensed"/>
          <w:sz w:val="24"/>
          <w:szCs w:val="24"/>
        </w:rPr>
        <w:t xml:space="preserve"> Lo stato delle edizioni delle lettere e degli scritti di Moro — che cosa è edito criticamente, che cosa è edito senza apparato, che cosa è inedito: la tavola dell'opera con i suoi vuoti. La filologia del quesito 9 poggia su edizioni affidabili; dove mancano, l'agenda le segnala come cantiere alla comunità degli studiosi.</w:t>
      </w:r>
    </w:p>
    <w:p>
      <w:pPr>
        <w:spacing w:after="120" w:line="276"/>
        <w:jc w:val="both"/>
      </w:pPr>
      <w:r>
        <w:rPr>
          <w:rFonts w:ascii="Barlow Semi Condensed" w:cs="Barlow Semi Condensed" w:eastAsia="Barlow Semi Condensed" w:hAnsi="Barlow Semi Condensed"/>
          <w:b/>
          <w:bCs/>
          <w:sz w:val="24"/>
          <w:szCs w:val="24"/>
        </w:rPr>
        <w:t xml:space="preserve">159 · La famiglia.</w:t>
      </w:r>
      <w:r>
        <w:rPr>
          <w:rFonts w:ascii="Barlow Semi Condensed" w:cs="Barlow Semi Condensed" w:eastAsia="Barlow Semi Condensed" w:hAnsi="Barlow Semi Condensed"/>
          <w:sz w:val="24"/>
          <w:szCs w:val="24"/>
        </w:rPr>
        <w:t xml:space="preserve"> Il rapporto con gli eredi Moro: proposta rispettosa di inventario e tutela delle carte familiari, ai loro tempi e alle loro condizioni, con la priorità di rispetto del blocco 288. Ciò che la famiglia ha custodito per mezzo secolo non è un giacimento da spogliare: è una memoria da servire — e la distinzione governa ogni contatto.</w:t>
      </w:r>
    </w:p>
    <w:p>
      <w:pPr>
        <w:spacing w:after="120" w:line="276"/>
        <w:jc w:val="both"/>
      </w:pPr>
      <w:r>
        <w:rPr>
          <w:rFonts w:ascii="Barlow Semi Condensed" w:cs="Barlow Semi Condensed" w:eastAsia="Barlow Semi Condensed" w:hAnsi="Barlow Semi Condensed"/>
          <w:b/>
          <w:bCs/>
          <w:sz w:val="24"/>
          <w:szCs w:val="24"/>
        </w:rPr>
        <w:t xml:space="preserve">160 · Le carte del Divo.</w:t>
      </w:r>
      <w:r>
        <w:rPr>
          <w:rFonts w:ascii="Barlow Semi Condensed" w:cs="Barlow Semi Condensed" w:eastAsia="Barlow Semi Condensed" w:hAnsi="Barlow Semi Condensed"/>
          <w:sz w:val="24"/>
          <w:szCs w:val="24"/>
        </w:rPr>
        <w:t xml:space="preserve"> L'archivio di Giulio Andreotti: l'accertamento della sede, dell'inventario e delle serie sul 1978 — la presidenza del Consiglio dei 55 giorni vista dalle carte del suo presidente. Lo spoglio con la griglia dei quesiti costitutivi: i comitati, le decisioni della fermezza, i canali riservati.</w:t>
      </w:r>
    </w:p>
    <w:p>
      <w:pPr>
        <w:spacing w:after="120" w:line="276"/>
        <w:jc w:val="both"/>
      </w:pPr>
      <w:r>
        <w:rPr>
          <w:rFonts w:ascii="Barlow Semi Condensed" w:cs="Barlow Semi Condensed" w:eastAsia="Barlow Semi Condensed" w:hAnsi="Barlow Semi Condensed"/>
          <w:b/>
          <w:bCs/>
          <w:sz w:val="24"/>
          <w:szCs w:val="24"/>
        </w:rPr>
        <w:t xml:space="preserve">161 · Le carte del ministro dell'Interno.</w:t>
      </w:r>
      <w:r>
        <w:rPr>
          <w:rFonts w:ascii="Barlow Semi Condensed" w:cs="Barlow Semi Condensed" w:eastAsia="Barlow Semi Condensed" w:hAnsi="Barlow Semi Condensed"/>
          <w:sz w:val="24"/>
          <w:szCs w:val="24"/>
        </w:rPr>
        <w:t xml:space="preserve"> Le carte private di Francesco Cossiga: l'accertamento di dove giacciano — istituti, fondazioni, archivi di Stato — e del loro stato d'ordinamento e apertura. L'uomo del Viminale del 1978 scrisse e parlò per decenni del caso: la collazione fra le sue carte, le sue audizioni e i suoi libri è un bersaglio filologico a sé (blocco 170).</w:t>
      </w:r>
    </w:p>
    <w:p>
      <w:pPr>
        <w:spacing w:after="120" w:line="276"/>
        <w:jc w:val="both"/>
      </w:pPr>
      <w:r>
        <w:rPr>
          <w:rFonts w:ascii="Barlow Semi Condensed" w:cs="Barlow Semi Condensed" w:eastAsia="Barlow Semi Condensed" w:hAnsi="Barlow Semi Condensed"/>
          <w:b/>
          <w:bCs/>
          <w:sz w:val="24"/>
          <w:szCs w:val="24"/>
        </w:rPr>
        <w:t xml:space="preserve">162 · Le carte del presidente del partito.</w:t>
      </w:r>
      <w:r>
        <w:rPr>
          <w:rFonts w:ascii="Barlow Semi Condensed" w:cs="Barlow Semi Condensed" w:eastAsia="Barlow Semi Condensed" w:hAnsi="Barlow Semi Condensed"/>
          <w:sz w:val="24"/>
          <w:szCs w:val="24"/>
        </w:rPr>
        <w:t xml:space="preserve"> Le carte di Amintore Fanfani: accertamento della sede e spoglio delle serie del 1978 — la trattativa vista dal vertice della DC che il memoriale e le lettere chiamano in causa. Con la solita disciplina: le carte dicono ciò che l'autore volle scrivere; il grado segue la natura dell'atto.</w:t>
      </w:r>
    </w:p>
    <w:p>
      <w:pPr>
        <w:spacing w:after="120" w:line="276"/>
        <w:jc w:val="both"/>
      </w:pPr>
      <w:r>
        <w:rPr>
          <w:rFonts w:ascii="Barlow Semi Condensed" w:cs="Barlow Semi Condensed" w:eastAsia="Barlow Semi Condensed" w:hAnsi="Barlow Semi Condensed"/>
          <w:b/>
          <w:bCs/>
          <w:sz w:val="24"/>
          <w:szCs w:val="24"/>
        </w:rPr>
        <w:t xml:space="preserve">163 · Le carte del segretario.</w:t>
      </w:r>
      <w:r>
        <w:rPr>
          <w:rFonts w:ascii="Barlow Semi Condensed" w:cs="Barlow Semi Condensed" w:eastAsia="Barlow Semi Condensed" w:hAnsi="Barlow Semi Condensed"/>
          <w:sz w:val="24"/>
          <w:szCs w:val="24"/>
        </w:rPr>
        <w:t xml:space="preserve"> Le carte di Benigno Zaccagnini: accertamento e spoglio per i 55 giorni — il segretario della DC destinatario delle lettere più laceranti. La linea della fermezza vista da chi la incarnò nel partito del prigioniero: un punto di osservazione che nessun archivio pubblico può restituire.</w:t>
      </w:r>
    </w:p>
    <w:p>
      <w:pPr>
        <w:spacing w:after="120" w:line="276"/>
        <w:jc w:val="both"/>
      </w:pPr>
      <w:r>
        <w:rPr>
          <w:rFonts w:ascii="Barlow Semi Condensed" w:cs="Barlow Semi Condensed" w:eastAsia="Barlow Semi Condensed" w:hAnsi="Barlow Semi Condensed"/>
          <w:b/>
          <w:bCs/>
          <w:sz w:val="24"/>
          <w:szCs w:val="24"/>
        </w:rPr>
        <w:t xml:space="preserve">164 · Le carte dell'opposizione interna.</w:t>
      </w:r>
      <w:r>
        <w:rPr>
          <w:rFonts w:ascii="Barlow Semi Condensed" w:cs="Barlow Semi Condensed" w:eastAsia="Barlow Semi Condensed" w:hAnsi="Barlow Semi Condensed"/>
          <w:sz w:val="24"/>
          <w:szCs w:val="24"/>
        </w:rPr>
        <w:t xml:space="preserve"> Le carte di Bettino Craxi e del gruppo dirigente socialista: la linea della trattativa nelle carte del partito che la propose. L'accertamento della sede (la fondazione che ne conserva l'archivio) e lo spoglio del fascicolo 1978: iniziative, canali esplorati, contatti documentati.</w:t>
      </w:r>
    </w:p>
    <w:p>
      <w:pPr>
        <w:spacing w:after="120" w:line="276"/>
        <w:jc w:val="both"/>
      </w:pPr>
      <w:r>
        <w:rPr>
          <w:rFonts w:ascii="Barlow Semi Condensed" w:cs="Barlow Semi Condensed" w:eastAsia="Barlow Semi Condensed" w:hAnsi="Barlow Semi Condensed"/>
          <w:b/>
          <w:bCs/>
          <w:sz w:val="24"/>
          <w:szCs w:val="24"/>
        </w:rPr>
        <w:t xml:space="preserve">165 · L'archivio della Balena bianca.</w:t>
      </w:r>
      <w:r>
        <w:rPr>
          <w:rFonts w:ascii="Barlow Semi Condensed" w:cs="Barlow Semi Condensed" w:eastAsia="Barlow Semi Condensed" w:hAnsi="Barlow Semi Condensed"/>
          <w:sz w:val="24"/>
          <w:szCs w:val="24"/>
        </w:rPr>
        <w:t xml:space="preserve"> L'archivio storico della Democrazia cristiana: accertamento della sede e spoglio delle serie 1978 — direzione, segreteria politica, carteggi. Il partito di Moro produsse carta collettiva nei 55 giorni: verbali di direzione, comunicati, appunti interni — la controparte documentale delle memorie individuali.</w:t>
      </w:r>
    </w:p>
    <w:p>
      <w:pPr>
        <w:spacing w:after="120" w:line="276"/>
        <w:jc w:val="both"/>
      </w:pPr>
      <w:r>
        <w:rPr>
          <w:rFonts w:ascii="Barlow Semi Condensed" w:cs="Barlow Semi Condensed" w:eastAsia="Barlow Semi Condensed" w:hAnsi="Barlow Semi Condensed"/>
          <w:b/>
          <w:bCs/>
          <w:sz w:val="24"/>
          <w:szCs w:val="24"/>
        </w:rPr>
        <w:t xml:space="preserve">166 · Le carte di Botteghe Oscure.</w:t>
      </w:r>
      <w:r>
        <w:rPr>
          <w:rFonts w:ascii="Barlow Semi Condensed" w:cs="Barlow Semi Condensed" w:eastAsia="Barlow Semi Condensed" w:hAnsi="Barlow Semi Condensed"/>
          <w:sz w:val="24"/>
          <w:szCs w:val="24"/>
        </w:rPr>
        <w:t xml:space="preserve"> L'archivio del PCI: le serie del 1978 — direzione, segreteria, sezione problemi dello Stato — per la linea della fermezza vista dal secondo partito della solidarietà nazionale. Accertamento della sede di conservazione e spoglio con griglia: che cosa il partito sapeva, discuteva e decideva mentre lo Stato cercava.</w:t>
      </w:r>
    </w:p>
    <w:p>
      <w:pPr>
        <w:spacing w:after="120" w:line="276"/>
        <w:jc w:val="both"/>
      </w:pPr>
      <w:r>
        <w:rPr>
          <w:rFonts w:ascii="Barlow Semi Condensed" w:cs="Barlow Semi Condensed" w:eastAsia="Barlow Semi Condensed" w:hAnsi="Barlow Semi Condensed"/>
          <w:b/>
          <w:bCs/>
          <w:sz w:val="24"/>
          <w:szCs w:val="24"/>
        </w:rPr>
        <w:t xml:space="preserve">167 · Gli altri partiti.</w:t>
      </w:r>
      <w:r>
        <w:rPr>
          <w:rFonts w:ascii="Barlow Semi Condensed" w:cs="Barlow Semi Condensed" w:eastAsia="Barlow Semi Condensed" w:hAnsi="Barlow Semi Condensed"/>
          <w:sz w:val="24"/>
          <w:szCs w:val="24"/>
        </w:rPr>
        <w:t xml:space="preserve"> Il censimento degli archivi degli altri partiti dell'arco parlamentare del 1978 — socialdemocratici, repubblicani, liberali, la destra: per ciascuno, dove giace l'archivio e che cosa conserva sui 55 giorni. La tavola si compila anche quando l'esito è «archivio disperso»: la dispersione documentata è un dato.</w:t>
      </w:r>
    </w:p>
    <w:p>
      <w:pPr>
        <w:spacing w:after="120" w:line="276"/>
        <w:jc w:val="both"/>
      </w:pPr>
      <w:r>
        <w:rPr>
          <w:rFonts w:ascii="Barlow Semi Condensed" w:cs="Barlow Semi Condensed" w:eastAsia="Barlow Semi Condensed" w:hAnsi="Barlow Semi Condensed"/>
          <w:b/>
          <w:bCs/>
          <w:sz w:val="24"/>
          <w:szCs w:val="24"/>
        </w:rPr>
        <w:t xml:space="preserve">168 · Le carte dei dicasteri, per persona.</w:t>
      </w:r>
      <w:r>
        <w:rPr>
          <w:rFonts w:ascii="Barlow Semi Condensed" w:cs="Barlow Semi Condensed" w:eastAsia="Barlow Semi Condensed" w:hAnsi="Barlow Semi Condensed"/>
          <w:sz w:val="24"/>
          <w:szCs w:val="24"/>
        </w:rPr>
        <w:t xml:space="preserve"> Le carte private dei titolari dei dicasteri chiave del 1978 — Esteri, Difesa, Giustizia: censimento e accertamento fondo per fondo. Le carte d'ufficio stanno negli archivi di Stato; le annotazioni personali dei ministri — dove esistono e dove i depositari acconsentano — completano il quadro con ciò che l'ufficio non protocollò.</w:t>
      </w:r>
    </w:p>
    <w:p>
      <w:pPr>
        <w:spacing w:after="120" w:line="276"/>
        <w:jc w:val="both"/>
      </w:pPr>
      <w:r>
        <w:rPr>
          <w:rFonts w:ascii="Barlow Semi Condensed" w:cs="Barlow Semi Condensed" w:eastAsia="Barlow Semi Condensed" w:hAnsi="Barlow Semi Condensed"/>
          <w:b/>
          <w:bCs/>
          <w:sz w:val="24"/>
          <w:szCs w:val="24"/>
        </w:rPr>
        <w:t xml:space="preserve">169 · Le carte dei funzionari.</w:t>
      </w:r>
      <w:r>
        <w:rPr>
          <w:rFonts w:ascii="Barlow Semi Condensed" w:cs="Barlow Semi Condensed" w:eastAsia="Barlow Semi Condensed" w:hAnsi="Barlow Semi Condensed"/>
          <w:sz w:val="24"/>
          <w:szCs w:val="24"/>
        </w:rPr>
        <w:t xml:space="preserve"> La proposta sistematica di deposito per le carte private dei funzionari degli apparati del 1978 — prefetti, questori, dirigenti, ufficiali: appunti, agende, memorie. È il giacimento più fragile della serie: nessun obbligo lo protegge, e ogni successione ereditaria può disperderlo. L'appello del blocco 178 è il suo strumento.</w:t>
      </w:r>
    </w:p>
    <w:p>
      <w:pPr>
        <w:spacing w:after="120" w:line="276"/>
        <w:jc w:val="both"/>
      </w:pPr>
      <w:r>
        <w:rPr>
          <w:rFonts w:ascii="Barlow Semi Condensed" w:cs="Barlow Semi Condensed" w:eastAsia="Barlow Semi Condensed" w:hAnsi="Barlow Semi Condensed"/>
          <w:b/>
          <w:bCs/>
          <w:sz w:val="24"/>
          <w:szCs w:val="24"/>
        </w:rPr>
        <w:t xml:space="preserve">170 · I diari contro sé stessi.</w:t>
      </w:r>
      <w:r>
        <w:rPr>
          <w:rFonts w:ascii="Barlow Semi Condensed" w:cs="Barlow Semi Condensed" w:eastAsia="Barlow Semi Condensed" w:hAnsi="Barlow Semi Condensed"/>
          <w:sz w:val="24"/>
          <w:szCs w:val="24"/>
        </w:rPr>
        <w:t xml:space="preserve"> La collazione sistematica fra le memorie edite dei protagonisti e le loro carte private, dove accessibili: che cosa i libri dicono e i documenti coevi non confermano, e viceversa. La memorialistica del caso è vasta e interessata; la tavola delle divergenze fra il pubblicato e il coevo è un prodotto filologico di prima grandezza.</w:t>
      </w:r>
    </w:p>
    <w:p>
      <w:pPr>
        <w:spacing w:after="120" w:line="276"/>
        <w:jc w:val="both"/>
      </w:pPr>
      <w:r>
        <w:rPr>
          <w:rFonts w:ascii="Barlow Semi Condensed" w:cs="Barlow Semi Condensed" w:eastAsia="Barlow Semi Condensed" w:hAnsi="Barlow Semi Condensed"/>
          <w:b/>
          <w:bCs/>
          <w:sz w:val="24"/>
          <w:szCs w:val="24"/>
        </w:rPr>
        <w:t xml:space="preserve">171 · Le carte del giornalista ucciso.</w:t>
      </w:r>
      <w:r>
        <w:rPr>
          <w:rFonts w:ascii="Barlow Semi Condensed" w:cs="Barlow Semi Condensed" w:eastAsia="Barlow Semi Condensed" w:hAnsi="Barlow Semi Condensed"/>
          <w:sz w:val="24"/>
          <w:szCs w:val="24"/>
        </w:rPr>
        <w:t xml:space="preserve"> L'archivio di Mino Pecorelli e della sua agenzia OP: l'accertamento di dove giacciano le carte redazionali — sequestri giudiziari, eredi, istituti — e del loro stato di consultabilità. Il quesito è documentale e delimitato: che cosa l'agenzia scrisse e conservò sul caso nel 1978-1979, nei suoi atti, con le sue fonti dichiarate o meno.</w:t>
      </w:r>
    </w:p>
    <w:p>
      <w:pPr>
        <w:spacing w:after="120" w:line="276"/>
        <w:jc w:val="both"/>
      </w:pPr>
      <w:r>
        <w:rPr>
          <w:rFonts w:ascii="Barlow Semi Condensed" w:cs="Barlow Semi Condensed" w:eastAsia="Barlow Semi Condensed" w:hAnsi="Barlow Semi Condensed"/>
          <w:b/>
          <w:bCs/>
          <w:sz w:val="24"/>
          <w:szCs w:val="24"/>
        </w:rPr>
        <w:t xml:space="preserve">172 · Le carte dello scrittore.</w:t>
      </w:r>
      <w:r>
        <w:rPr>
          <w:rFonts w:ascii="Barlow Semi Condensed" w:cs="Barlow Semi Condensed" w:eastAsia="Barlow Semi Condensed" w:hAnsi="Barlow Semi Condensed"/>
          <w:sz w:val="24"/>
          <w:szCs w:val="24"/>
        </w:rPr>
        <w:t xml:space="preserve"> Le carte di Leonardo Sciascia intorno a «L'affaire Moro» e al lavoro nella prima Commissione: manoscritti, appunti, corrispondenza — l'accertamento presso gli istituti che ne conservano il lascito. Lo sguardo che per primo lesse le lettere come testi merita di essere studiato nei suoi materiali di lavoro.</w:t>
      </w:r>
    </w:p>
    <w:p>
      <w:pPr>
        <w:spacing w:after="120" w:line="276"/>
        <w:jc w:val="both"/>
      </w:pPr>
      <w:r>
        <w:rPr>
          <w:rFonts w:ascii="Barlow Semi Condensed" w:cs="Barlow Semi Condensed" w:eastAsia="Barlow Semi Condensed" w:hAnsi="Barlow Semi Condensed"/>
          <w:b/>
          <w:bCs/>
          <w:sz w:val="24"/>
          <w:szCs w:val="24"/>
        </w:rPr>
        <w:t xml:space="preserve">173 · I taccuini dei cronisti.</w:t>
      </w:r>
      <w:r>
        <w:rPr>
          <w:rFonts w:ascii="Barlow Semi Condensed" w:cs="Barlow Semi Condensed" w:eastAsia="Barlow Semi Condensed" w:hAnsi="Barlow Semi Condensed"/>
          <w:sz w:val="24"/>
          <w:szCs w:val="24"/>
        </w:rPr>
        <w:t xml:space="preserve"> I fondi dei giornalisti d'inchiesta del caso — taccuini, agende, registrazioni, carteggi con le fonti: censimento dei fondi già depositati e proposta di deposito per quelli ancora privati (il complemento documentale del blocco 115). Il giornalismo fu il secondo apparato di raccolta del 1978: il suo archivio sparso va riunito.</w:t>
      </w:r>
    </w:p>
    <w:p>
      <w:pPr>
        <w:spacing w:after="120" w:line="276"/>
        <w:jc w:val="both"/>
      </w:pPr>
      <w:r>
        <w:rPr>
          <w:rFonts w:ascii="Barlow Semi Condensed" w:cs="Barlow Semi Condensed" w:eastAsia="Barlow Semi Condensed" w:hAnsi="Barlow Semi Condensed"/>
          <w:b/>
          <w:bCs/>
          <w:sz w:val="24"/>
          <w:szCs w:val="24"/>
        </w:rPr>
        <w:t xml:space="preserve">174 · Le carte dei difensori.</w:t>
      </w:r>
      <w:r>
        <w:rPr>
          <w:rFonts w:ascii="Barlow Semi Condensed" w:cs="Barlow Semi Condensed" w:eastAsia="Barlow Semi Condensed" w:hAnsi="Barlow Semi Condensed"/>
          <w:sz w:val="24"/>
          <w:szCs w:val="24"/>
        </w:rPr>
        <w:t xml:space="preserve"> Gli archivi professionali degli avvocati dei processi del caso, nei limiti invalicabili del segreto: censimento di ciò che è depositabile — rassegne, atti pubblici annotati, corrispondenza non coperta — con la regola del blocco 118. Anche l'archivio di una difesa è un punto di vista documentale sul caso.</w:t>
      </w:r>
    </w:p>
    <w:p>
      <w:pPr>
        <w:spacing w:after="120" w:line="276"/>
        <w:jc w:val="both"/>
      </w:pPr>
      <w:r>
        <w:rPr>
          <w:rFonts w:ascii="Barlow Semi Condensed" w:cs="Barlow Semi Condensed" w:eastAsia="Barlow Semi Condensed" w:hAnsi="Barlow Semi Condensed"/>
          <w:b/>
          <w:bCs/>
          <w:sz w:val="24"/>
          <w:szCs w:val="24"/>
        </w:rPr>
        <w:t xml:space="preserve">175 · Le carte degli storici.</w:t>
      </w:r>
      <w:r>
        <w:rPr>
          <w:rFonts w:ascii="Barlow Semi Condensed" w:cs="Barlow Semi Condensed" w:eastAsia="Barlow Semi Condensed" w:hAnsi="Barlow Semi Condensed"/>
          <w:sz w:val="24"/>
          <w:szCs w:val="24"/>
        </w:rPr>
        <w:t xml:space="preserve"> I fondi di ricerca degli studiosi che hanno lavorato sul caso — schedature, riproduzioni, corrispondenze con archivi e testimoni: censimento e proposta di deposito. Ogni ricerca compiuta ha prodotto un archivio di lavoro; disperderli obbliga ogni generazione a ricominciare (l'antitesi del blocco 295).</w:t>
      </w:r>
    </w:p>
    <w:p>
      <w:pPr>
        <w:spacing w:after="120" w:line="276"/>
        <w:jc w:val="both"/>
      </w:pPr>
      <w:r>
        <w:rPr>
          <w:rFonts w:ascii="Barlow Semi Condensed" w:cs="Barlow Semi Condensed" w:eastAsia="Barlow Semi Condensed" w:hAnsi="Barlow Semi Condensed"/>
          <w:b/>
          <w:bCs/>
          <w:sz w:val="24"/>
          <w:szCs w:val="24"/>
        </w:rPr>
        <w:t xml:space="preserve">176 · I censimenti nazionali.</w:t>
      </w:r>
      <w:r>
        <w:rPr>
          <w:rFonts w:ascii="Barlow Semi Condensed" w:cs="Barlow Semi Condensed" w:eastAsia="Barlow Semi Condensed" w:hAnsi="Barlow Semi Condensed"/>
          <w:sz w:val="24"/>
          <w:szCs w:val="24"/>
        </w:rPr>
        <w:t xml:space="preserve"> L'interrogazione sistematica degli strumenti nazionali di censimento dei fondi privati — i sistemi informativi archivistici dello Stato e i portali tematici: quali fondi personali e d'istituto con carte sul caso vi risultino censiti, con quali consistenze. Prima si legge il censimento, poi si bussa alle porte: l'ordine fa la differenza.</w:t>
      </w:r>
    </w:p>
    <w:p>
      <w:pPr>
        <w:spacing w:after="120" w:line="276"/>
        <w:jc w:val="both"/>
      </w:pPr>
      <w:r>
        <w:rPr>
          <w:rFonts w:ascii="Barlow Semi Condensed" w:cs="Barlow Semi Condensed" w:eastAsia="Barlow Semi Condensed" w:hAnsi="Barlow Semi Condensed"/>
          <w:b/>
          <w:bCs/>
          <w:sz w:val="24"/>
          <w:szCs w:val="24"/>
        </w:rPr>
        <w:t xml:space="preserve">177 · La richiesta-tipo.</w:t>
      </w:r>
      <w:r>
        <w:rPr>
          <w:rFonts w:ascii="Barlow Semi Condensed" w:cs="Barlow Semi Condensed" w:eastAsia="Barlow Semi Condensed" w:hAnsi="Barlow Semi Condensed"/>
          <w:sz w:val="24"/>
          <w:szCs w:val="24"/>
        </w:rPr>
        <w:t xml:space="preserve"> Il modello pubblico di proposta ai depositari: che cosa l'agenda chiede (inventario, copia o deposito), che cosa garantisce (tutela, condizioni, citazione), che cosa non farà mai (uso contro la volontà del depositario, letture accusatorie di carte private). La trasparenza del modello è la migliore credenziale presso chi deve fidarsi.</w:t>
      </w:r>
    </w:p>
    <w:p>
      <w:pPr>
        <w:spacing w:after="120" w:line="276"/>
        <w:jc w:val="both"/>
      </w:pPr>
      <w:r>
        <w:rPr>
          <w:rFonts w:ascii="Barlow Semi Condensed" w:cs="Barlow Semi Condensed" w:eastAsia="Barlow Semi Condensed" w:hAnsi="Barlow Semi Condensed"/>
          <w:b/>
          <w:bCs/>
          <w:sz w:val="24"/>
          <w:szCs w:val="24"/>
        </w:rPr>
        <w:t xml:space="preserve">178 · L'appello dei solai.</w:t>
      </w:r>
      <w:r>
        <w:rPr>
          <w:rFonts w:ascii="Barlow Semi Condensed" w:cs="Barlow Semi Condensed" w:eastAsia="Barlow Semi Condensed" w:hAnsi="Barlow Semi Condensed"/>
          <w:sz w:val="24"/>
          <w:szCs w:val="24"/>
        </w:rPr>
        <w:t xml:space="preserve"> L'appello pubblico e permanente ai detentori inconsapevoli: agende, lettere, fotografie, carte d'ufficio portate a casa — mezzo secolo dopo, i solai delle famiglie contengono frammenti del caso che nessun censimento conosce. Ogni scatola segnalata si inventaria con gratitudine e disciplina; il blocco 117 ne è il protocollo.</w:t>
      </w:r>
    </w:p>
    <w:p>
      <w:pPr>
        <w:spacing w:after="120" w:line="276"/>
        <w:jc w:val="both"/>
      </w:pPr>
      <w:r>
        <w:rPr>
          <w:rFonts w:ascii="Barlow Semi Condensed" w:cs="Barlow Semi Condensed" w:eastAsia="Barlow Semi Condensed" w:hAnsi="Barlow Semi Condensed"/>
          <w:b/>
          <w:bCs/>
          <w:sz w:val="24"/>
          <w:szCs w:val="24"/>
        </w:rPr>
        <w:t xml:space="preserve">179 · La lettura del privato.</w:t>
      </w:r>
      <w:r>
        <w:rPr>
          <w:rFonts w:ascii="Barlow Semi Condensed" w:cs="Barlow Semi Condensed" w:eastAsia="Barlow Semi Condensed" w:hAnsi="Barlow Semi Condensed"/>
          <w:sz w:val="24"/>
          <w:szCs w:val="24"/>
        </w:rPr>
        <w:t xml:space="preserve"> La disciplina di lettura della serie, scolpita: una carta privata prova ciò che il suo autore scrisse e quando — non ciò che accadde. Il diario è grado F sul fatto della scrittura, C sul contenuto finché un riscontro esterno non lo corrobori; nessuna memoria privata, per quanto autorevole, sale di grado per il prestigio della firma.</w:t>
      </w:r>
    </w:p>
    <w:p>
      <w:pPr>
        <w:spacing w:after="120" w:line="276"/>
        <w:jc w:val="both"/>
      </w:pPr>
      <w:r>
        <w:rPr>
          <w:rFonts w:ascii="Barlow Semi Condensed" w:cs="Barlow Semi Condensed" w:eastAsia="Barlow Semi Condensed" w:hAnsi="Barlow Semi Condensed"/>
          <w:b/>
          <w:bCs/>
          <w:sz w:val="24"/>
          <w:szCs w:val="24"/>
        </w:rPr>
        <w:t xml:space="preserve">180 · La tavola dei fondi privati.</w:t>
      </w:r>
      <w:r>
        <w:rPr>
          <w:rFonts w:ascii="Barlow Semi Condensed" w:cs="Barlow Semi Condensed" w:eastAsia="Barlow Semi Condensed" w:hAnsi="Barlow Semi Condensed"/>
          <w:sz w:val="24"/>
          <w:szCs w:val="24"/>
        </w:rPr>
        <w:t xml:space="preserve"> La chiusura della serie: la tavola unica dei fondi privati e di partito — fondo, sede, stato d'accesso, stato di spoglio, referente — mantenuta accanto alle gemelle nazionale ed estera. La memoria non dovuta, una volta censita, diventa patrimonio: è il modo in cui un'agenda ripaga la fiducia.</w:t>
      </w:r>
    </w:p>
    <w:p>
      <w:pPr>
        <w:pStyle w:val="Heading2"/>
        <w:spacing w:after="100" w:before="200"/>
      </w:pPr>
      <w:r>
        <w:rPr>
          <w:rFonts w:ascii="Barlow Semi Condensed" w:cs="Barlow Semi Condensed" w:eastAsia="Barlow Semi Condensed" w:hAnsi="Barlow Semi Condensed"/>
          <w:sz w:val="24"/>
          <w:szCs w:val="24"/>
        </w:rPr>
        <w:t xml:space="preserve">Serie ottava — Le scienze nuove sui dati vecchi (blocchi 181-210)</w:t>
      </w:r>
    </w:p>
    <w:p>
      <w:pPr>
        <w:spacing w:after="120" w:line="276"/>
        <w:jc w:val="both"/>
      </w:pPr>
      <w:r>
        <w:rPr>
          <w:rFonts w:ascii="Barlow Semi Condensed" w:cs="Barlow Semi Condensed" w:eastAsia="Barlow Semi Condensed" w:hAnsi="Barlow Semi Condensed"/>
          <w:i/>
          <w:iCs/>
          <w:sz w:val="24"/>
          <w:szCs w:val="24"/>
        </w:rPr>
        <w:t xml:space="preserve">Statuto della serie: la domanda che il 1978 non poteva porre. Ogni progresso forense è una domanda nuova ponibile a un reperto vecchio — ma nessuna tecnica entra nel caso per entusiasmo: ogni blocco produce prima un parere di praticabilità (validazione scientifica, tasso d'errore noto, ammissibilità giuridica, stato del reperto) e solo poi, se il parere regge, l'esame. La serie è il ponte fra il cantiere dei reperti (serie quarta) e gli strumenti giuridici del manuale; la regola del manuale vale per ogni strumento: la macchina propone, l'uomo verbalizza.</w:t>
      </w:r>
    </w:p>
    <w:p>
      <w:pPr>
        <w:spacing w:after="120" w:line="276"/>
        <w:jc w:val="both"/>
      </w:pPr>
      <w:r>
        <w:rPr>
          <w:rFonts w:ascii="Barlow Semi Condensed" w:cs="Barlow Semi Condensed" w:eastAsia="Barlow Semi Condensed" w:hAnsi="Barlow Semi Condensed"/>
          <w:b/>
          <w:bCs/>
          <w:sz w:val="24"/>
          <w:szCs w:val="24"/>
        </w:rPr>
        <w:t xml:space="preserve">181 · Il tornello dei pareri.</w:t>
      </w:r>
      <w:r>
        <w:rPr>
          <w:rFonts w:ascii="Barlow Semi Condensed" w:cs="Barlow Semi Condensed" w:eastAsia="Barlow Semi Condensed" w:hAnsi="Barlow Semi Condensed"/>
          <w:sz w:val="24"/>
          <w:szCs w:val="24"/>
        </w:rPr>
        <w:t xml:space="preserve"> Nessuna tecnica si applica a un reperto del caso senza il suo parere di praticabilità scritto: che cosa la tecnica misura, con quale errore, su quale letteratura, con quale ammissibilità in sede penale italiana, con quale rischio di consumare il reperto. Il parere negativo è un esito: vieta bene, e per iscritto.</w:t>
      </w:r>
    </w:p>
    <w:p>
      <w:pPr>
        <w:spacing w:after="120" w:line="276"/>
        <w:jc w:val="both"/>
      </w:pPr>
      <w:r>
        <w:rPr>
          <w:rFonts w:ascii="Barlow Semi Condensed" w:cs="Barlow Semi Condensed" w:eastAsia="Barlow Semi Condensed" w:hAnsi="Barlow Semi Condensed"/>
          <w:b/>
          <w:bCs/>
          <w:sz w:val="24"/>
          <w:szCs w:val="24"/>
        </w:rPr>
        <w:t xml:space="preserve">182 · La banca dati del DNA.</w:t>
      </w:r>
      <w:r>
        <w:rPr>
          <w:rFonts w:ascii="Barlow Semi Condensed" w:cs="Barlow Semi Condensed" w:eastAsia="Barlow Semi Condensed" w:hAnsi="Barlow Semi Condensed"/>
          <w:sz w:val="24"/>
          <w:szCs w:val="24"/>
        </w:rPr>
        <w:t xml:space="preserve"> L'interrogazione dei profili del caso contro la banca dati nazionale del DNA (legge 30 giugno 2009, n. 85): verifica formale di quali profili storici siano inseribili e comparabili secondo il regolamento vigente, e interrogazione periodica documentata. La banca cresce ogni anno: ogni anno l'interrogazione è nuova.</w:t>
      </w:r>
    </w:p>
    <w:p>
      <w:pPr>
        <w:spacing w:after="120" w:line="276"/>
        <w:jc w:val="both"/>
      </w:pPr>
      <w:r>
        <w:rPr>
          <w:rFonts w:ascii="Barlow Semi Condensed" w:cs="Barlow Semi Condensed" w:eastAsia="Barlow Semi Condensed" w:hAnsi="Barlow Semi Condensed"/>
          <w:b/>
          <w:bCs/>
          <w:sz w:val="24"/>
          <w:szCs w:val="24"/>
        </w:rPr>
        <w:t xml:space="preserve">183 · La ricerca di parentela.</w:t>
      </w:r>
      <w:r>
        <w:rPr>
          <w:rFonts w:ascii="Barlow Semi Condensed" w:cs="Barlow Semi Condensed" w:eastAsia="Barlow Semi Condensed" w:hAnsi="Barlow Semi Condensed"/>
          <w:sz w:val="24"/>
          <w:szCs w:val="24"/>
        </w:rPr>
        <w:t xml:space="preserve"> Il parere sulla ricerca familiare (kinship search) nell'ordinamento italiano: se e in quali limiti i profili ignoti del caso possano essere confrontati per linee di parentela. Il blocco produce il quadro normativo aggiornato e la richiesta formale dove la via esista; dove non esista, lo dichiara — il limite di legge è un dato, non un ostacolo da aggirare.</w:t>
      </w:r>
    </w:p>
    <w:p>
      <w:pPr>
        <w:spacing w:after="120" w:line="276"/>
        <w:jc w:val="both"/>
      </w:pPr>
      <w:r>
        <w:rPr>
          <w:rFonts w:ascii="Barlow Semi Condensed" w:cs="Barlow Semi Condensed" w:eastAsia="Barlow Semi Condensed" w:hAnsi="Barlow Semi Condensed"/>
          <w:b/>
          <w:bCs/>
          <w:sz w:val="24"/>
          <w:szCs w:val="24"/>
        </w:rPr>
        <w:t xml:space="preserve">184 · La genealogia genetica.</w:t>
      </w:r>
      <w:r>
        <w:rPr>
          <w:rFonts w:ascii="Barlow Semi Condensed" w:cs="Barlow Semi Condensed" w:eastAsia="Barlow Semi Condensed" w:hAnsi="Barlow Semi Condensed"/>
          <w:sz w:val="24"/>
          <w:szCs w:val="24"/>
        </w:rPr>
        <w:t xml:space="preserve"> Il parere di praticabilità della genealogia genetica forense per i profili ignoti di via Fani e via Gradoli: lo stato della tecnica, i precedenti internazionali, la compatibilità col quadro italiano ed europeo sulla protezione dei dati, le garanzie procedurali necessarie. Prima il parere, poi — solo se il parere regge — il protocollo.</w:t>
      </w:r>
    </w:p>
    <w:p>
      <w:pPr>
        <w:spacing w:after="120" w:line="276"/>
        <w:jc w:val="both"/>
      </w:pPr>
      <w:r>
        <w:rPr>
          <w:rFonts w:ascii="Barlow Semi Condensed" w:cs="Barlow Semi Condensed" w:eastAsia="Barlow Semi Condensed" w:hAnsi="Barlow Semi Condensed"/>
          <w:b/>
          <w:bCs/>
          <w:sz w:val="24"/>
          <w:szCs w:val="24"/>
        </w:rPr>
        <w:t xml:space="preserve">185 · La lezione dello screening.</w:t>
      </w:r>
      <w:r>
        <w:rPr>
          <w:rFonts w:ascii="Barlow Semi Condensed" w:cs="Barlow Semi Condensed" w:eastAsia="Barlow Semi Condensed" w:hAnsi="Barlow Semi Condensed"/>
          <w:sz w:val="24"/>
          <w:szCs w:val="24"/>
        </w:rPr>
        <w:t xml:space="preserve"> Il precedente italiano dello screening genetico massivo (il caso Yara, chiuso in giudicato): che cosa insegna sul piano del metodo — la potenza dell'approccio sistematico, i suoi costi, le sue garanzie — e che cosa del suo impianto sia trasferibile a un caso con reperti di mezzo secolo. Lezione metodologica, non ricetta.</w:t>
      </w:r>
    </w:p>
    <w:p>
      <w:pPr>
        <w:spacing w:after="120" w:line="276"/>
        <w:jc w:val="both"/>
      </w:pPr>
      <w:r>
        <w:rPr>
          <w:rFonts w:ascii="Barlow Semi Condensed" w:cs="Barlow Semi Condensed" w:eastAsia="Barlow Semi Condensed" w:hAnsi="Barlow Semi Condensed"/>
          <w:b/>
          <w:bCs/>
          <w:sz w:val="24"/>
          <w:szCs w:val="24"/>
        </w:rPr>
        <w:t xml:space="preserve">186 · Il fenotipo e i suoi limiti.</w:t>
      </w:r>
      <w:r>
        <w:rPr>
          <w:rFonts w:ascii="Barlow Semi Condensed" w:cs="Barlow Semi Condensed" w:eastAsia="Barlow Semi Condensed" w:hAnsi="Barlow Semi Condensed"/>
          <w:sz w:val="24"/>
          <w:szCs w:val="24"/>
        </w:rPr>
        <w:t xml:space="preserve"> Il parere sulla predizione di tratti somatici dal DNA: che cosa la tecnica può dire oggi, con quali margini, e quale uso investigativo — orientare ricerche, mai identificare — sia difendibile. Il blocco fissa il perimetro: un fenotipo predetto è un'ipotesi di lavoro con l'errore stampato, non un ritratto.</w:t>
      </w:r>
    </w:p>
    <w:p>
      <w:pPr>
        <w:spacing w:after="120" w:line="276"/>
        <w:jc w:val="both"/>
      </w:pPr>
      <w:r>
        <w:rPr>
          <w:rFonts w:ascii="Barlow Semi Condensed" w:cs="Barlow Semi Condensed" w:eastAsia="Barlow Semi Condensed" w:hAnsi="Barlow Semi Condensed"/>
          <w:b/>
          <w:bCs/>
          <w:sz w:val="24"/>
          <w:szCs w:val="24"/>
        </w:rPr>
        <w:t xml:space="preserve">187 · Il DNA degradato.</w:t>
      </w:r>
      <w:r>
        <w:rPr>
          <w:rFonts w:ascii="Barlow Semi Condensed" w:cs="Barlow Semi Condensed" w:eastAsia="Barlow Semi Condensed" w:hAnsi="Barlow Semi Condensed"/>
          <w:sz w:val="24"/>
          <w:szCs w:val="24"/>
        </w:rPr>
        <w:t xml:space="preserve"> Le tecniche attuali per profili da reperti degradati e da tracce minime applicate ai residui del 1978: il parere reperto per reperto — che cosa resta di biologico nel caso, che cosa è già consumato, che cosa un nuovo prelievo rischierebbe. L'inventario del biologico residuo è esso stesso un bersaglio.</w:t>
      </w:r>
    </w:p>
    <w:p>
      <w:pPr>
        <w:spacing w:after="120" w:line="276"/>
        <w:jc w:val="both"/>
      </w:pPr>
      <w:r>
        <w:rPr>
          <w:rFonts w:ascii="Barlow Semi Condensed" w:cs="Barlow Semi Condensed" w:eastAsia="Barlow Semi Condensed" w:hAnsi="Barlow Semi Condensed"/>
          <w:b/>
          <w:bCs/>
          <w:sz w:val="24"/>
          <w:szCs w:val="24"/>
        </w:rPr>
        <w:t xml:space="preserve">188 · Il registro dei manipolatori.</w:t>
      </w:r>
      <w:r>
        <w:rPr>
          <w:rFonts w:ascii="Barlow Semi Condensed" w:cs="Barlow Semi Condensed" w:eastAsia="Barlow Semi Condensed" w:hAnsi="Barlow Semi Condensed"/>
          <w:sz w:val="24"/>
          <w:szCs w:val="24"/>
        </w:rPr>
        <w:t xml:space="preserve"> Il database di eliminazione: i profili di chi ha documentatamente maneggiato i reperti in mezzo secolo — operatori, periti, custodi — per distinguere le contaminazioni dalle tracce del 1978. Senza il registro delle mani note, ogni profilo ignoto resta ambiguo per costruzione.</w:t>
      </w:r>
    </w:p>
    <w:p>
      <w:pPr>
        <w:spacing w:after="120" w:line="276"/>
        <w:jc w:val="both"/>
      </w:pPr>
      <w:r>
        <w:rPr>
          <w:rFonts w:ascii="Barlow Semi Condensed" w:cs="Barlow Semi Condensed" w:eastAsia="Barlow Semi Condensed" w:hAnsi="Barlow Semi Condensed"/>
          <w:b/>
          <w:bCs/>
          <w:sz w:val="24"/>
          <w:szCs w:val="24"/>
        </w:rPr>
        <w:t xml:space="preserve">189 · La balistica computazionale.</w:t>
      </w:r>
      <w:r>
        <w:rPr>
          <w:rFonts w:ascii="Barlow Semi Condensed" w:cs="Barlow Semi Condensed" w:eastAsia="Barlow Semi Condensed" w:hAnsi="Barlow Semi Condensed"/>
          <w:sz w:val="24"/>
          <w:szCs w:val="24"/>
        </w:rPr>
        <w:t xml:space="preserve"> L'imaging tridimensionale e la comparazione algoritmica delle superfici dei bossoli e dei proiettili di via Fani: la ripetizione strumentale dell'esame del 2015 con la generazione attuale di comparatori, su tutti i reperti, con soglie e punteggi dichiarati. I blocchi 72-74 la eseguono; questo blocco ne fissa il metodo.</w:t>
      </w:r>
    </w:p>
    <w:p>
      <w:pPr>
        <w:spacing w:after="120" w:line="276"/>
        <w:jc w:val="both"/>
      </w:pPr>
      <w:r>
        <w:rPr>
          <w:rFonts w:ascii="Barlow Semi Condensed" w:cs="Barlow Semi Condensed" w:eastAsia="Barlow Semi Condensed" w:hAnsi="Barlow Semi Condensed"/>
          <w:b/>
          <w:bCs/>
          <w:sz w:val="24"/>
          <w:szCs w:val="24"/>
        </w:rPr>
        <w:t xml:space="preserve">190 · Le banche balistiche.</w:t>
      </w:r>
      <w:r>
        <w:rPr>
          <w:rFonts w:ascii="Barlow Semi Condensed" w:cs="Barlow Semi Condensed" w:eastAsia="Barlow Semi Condensed" w:hAnsi="Barlow Semi Condensed"/>
          <w:sz w:val="24"/>
          <w:szCs w:val="24"/>
        </w:rPr>
        <w:t xml:space="preserve"> L'accertamento formale di quale sistema automatizzato di comparazione balistica sia in uso presso le forze di polizia italiane e a quali condizioni ammetta l'inserimento e l'interrogazione di reperti storici. Se la via esiste, ogni arma e ogni bossolo del caso vi si confronta; se non esiste, il parere lo mette per iscritto.</w:t>
      </w:r>
    </w:p>
    <w:p>
      <w:pPr>
        <w:spacing w:after="120" w:line="276"/>
        <w:jc w:val="both"/>
      </w:pPr>
      <w:r>
        <w:rPr>
          <w:rFonts w:ascii="Barlow Semi Condensed" w:cs="Barlow Semi Condensed" w:eastAsia="Barlow Semi Condensed" w:hAnsi="Barlow Semi Condensed"/>
          <w:b/>
          <w:bCs/>
          <w:sz w:val="24"/>
          <w:szCs w:val="24"/>
        </w:rPr>
        <w:t xml:space="preserve">191 · Il ciclo dattiloscopico.</w:t>
      </w:r>
      <w:r>
        <w:rPr>
          <w:rFonts w:ascii="Barlow Semi Condensed" w:cs="Barlow Semi Condensed" w:eastAsia="Barlow Semi Condensed" w:hAnsi="Barlow Semi Condensed"/>
          <w:sz w:val="24"/>
          <w:szCs w:val="24"/>
        </w:rPr>
        <w:t xml:space="preserve"> L'interrogazione ricorsiva dello schedario unico delle impronte non attribuite (blocco 97) sui sistemi automatizzati attuali, a cadenza fissa e con verbale d'esito anche negativo. La banca dati cresce; il 1978 no: ogni interrogazione è gratuita per il caso e potenzialmente definitiva per un reperto.</w:t>
      </w:r>
    </w:p>
    <w:p>
      <w:pPr>
        <w:spacing w:after="120" w:line="276"/>
        <w:jc w:val="both"/>
      </w:pPr>
      <w:r>
        <w:rPr>
          <w:rFonts w:ascii="Barlow Semi Condensed" w:cs="Barlow Semi Condensed" w:eastAsia="Barlow Semi Condensed" w:hAnsi="Barlow Semi Condensed"/>
          <w:b/>
          <w:bCs/>
          <w:sz w:val="24"/>
          <w:szCs w:val="24"/>
        </w:rPr>
        <w:t xml:space="preserve">192 · La terra e il bitume.</w:t>
      </w:r>
      <w:r>
        <w:rPr>
          <w:rFonts w:ascii="Barlow Semi Condensed" w:cs="Barlow Semi Condensed" w:eastAsia="Barlow Semi Condensed" w:hAnsi="Barlow Semi Condensed"/>
          <w:sz w:val="24"/>
          <w:szCs w:val="24"/>
        </w:rPr>
        <w:t xml:space="preserve"> La geologia forense sulle tracce minerali degli abiti e dei veicoli (blocco 83): granulometrie, mineralogie, firme dei leganti, confrontate con campionature attuali dei litorali e dei suoli compatibili. Il parere dichiara anche il limite: mezzo secolo cambia le spiagge — la comparazione moderna misura compatibilità, non identità.</w:t>
      </w:r>
    </w:p>
    <w:p>
      <w:pPr>
        <w:spacing w:after="120" w:line="276"/>
        <w:jc w:val="both"/>
      </w:pPr>
      <w:r>
        <w:rPr>
          <w:rFonts w:ascii="Barlow Semi Condensed" w:cs="Barlow Semi Condensed" w:eastAsia="Barlow Semi Condensed" w:hAnsi="Barlow Semi Condensed"/>
          <w:b/>
          <w:bCs/>
          <w:sz w:val="24"/>
          <w:szCs w:val="24"/>
        </w:rPr>
        <w:t xml:space="preserve">193 · Il polline e la stagione.</w:t>
      </w:r>
      <w:r>
        <w:rPr>
          <w:rFonts w:ascii="Barlow Semi Condensed" w:cs="Barlow Semi Condensed" w:eastAsia="Barlow Semi Condensed" w:hAnsi="Barlow Semi Condensed"/>
          <w:sz w:val="24"/>
          <w:szCs w:val="24"/>
        </w:rPr>
        <w:t xml:space="preserve"> La palinologia sui reperti tessili (blocco 84) con la tassonomia e le banche polliniche attuali: taxa, proporzioni, stagionalità. Il prodotto è la tavola dei taxa col suo grado; l'interpretazione geografica appartiene alla sintesi del blocco 85, mai al singolo vetrino.</w:t>
      </w:r>
    </w:p>
    <w:p>
      <w:pPr>
        <w:spacing w:after="120" w:line="276"/>
        <w:jc w:val="both"/>
      </w:pPr>
      <w:r>
        <w:rPr>
          <w:rFonts w:ascii="Barlow Semi Condensed" w:cs="Barlow Semi Condensed" w:eastAsia="Barlow Semi Condensed" w:hAnsi="Barlow Semi Condensed"/>
          <w:b/>
          <w:bCs/>
          <w:sz w:val="24"/>
          <w:szCs w:val="24"/>
        </w:rPr>
        <w:t xml:space="preserve">194 · Le microtracce ambientali.</w:t>
      </w:r>
      <w:r>
        <w:rPr>
          <w:rFonts w:ascii="Barlow Semi Condensed" w:cs="Barlow Semi Condensed" w:eastAsia="Barlow Semi Condensed" w:hAnsi="Barlow Semi Condensed"/>
          <w:sz w:val="24"/>
          <w:szCs w:val="24"/>
        </w:rPr>
        <w:t xml:space="preserve"> Polveri, fibre, vernici, residui edilizi sui reperti conservati: lo screening con la sensibilità strumentale attuale, per ciò che il 1978 non poteva vedere. A bassa probabilità e basso costo per reperto: il tipo di bersaglio che si esegue in coda alle campagne, ma si esegue.</w:t>
      </w:r>
    </w:p>
    <w:p>
      <w:pPr>
        <w:spacing w:after="120" w:line="276"/>
        <w:jc w:val="both"/>
      </w:pPr>
      <w:r>
        <w:rPr>
          <w:rFonts w:ascii="Barlow Semi Condensed" w:cs="Barlow Semi Condensed" w:eastAsia="Barlow Semi Condensed" w:hAnsi="Barlow Semi Condensed"/>
          <w:b/>
          <w:bCs/>
          <w:sz w:val="24"/>
          <w:szCs w:val="24"/>
        </w:rPr>
        <w:t xml:space="preserve">195 · La chimica tardiva.</w:t>
      </w:r>
      <w:r>
        <w:rPr>
          <w:rFonts w:ascii="Barlow Semi Condensed" w:cs="Barlow Semi Condensed" w:eastAsia="Barlow Semi Condensed" w:hAnsi="Barlow Semi Condensed"/>
          <w:sz w:val="24"/>
          <w:szCs w:val="24"/>
        </w:rPr>
        <w:t xml:space="preserve"> I residui di sparo e le tracce chimiche (blocco 98) con la strumentazione attuale: il parere onesto sui limiti — cinquant'anni di manipolazioni — e l'esame dove il parere regge. Ogni esito con margine e grado: la chimica su reperti storici testimonia sottovoce, e il verbale deve scriverlo.</w:t>
      </w:r>
    </w:p>
    <w:p>
      <w:pPr>
        <w:spacing w:after="120" w:line="276"/>
        <w:jc w:val="both"/>
      </w:pPr>
      <w:r>
        <w:rPr>
          <w:rFonts w:ascii="Barlow Semi Condensed" w:cs="Barlow Semi Condensed" w:eastAsia="Barlow Semi Condensed" w:hAnsi="Barlow Semi Condensed"/>
          <w:b/>
          <w:bCs/>
          <w:sz w:val="24"/>
          <w:szCs w:val="24"/>
        </w:rPr>
        <w:t xml:space="preserve">196 · La materia degli scritti.</w:t>
      </w:r>
      <w:r>
        <w:rPr>
          <w:rFonts w:ascii="Barlow Semi Condensed" w:cs="Barlow Semi Condensed" w:eastAsia="Barlow Semi Condensed" w:hAnsi="Barlow Semi Condensed"/>
          <w:sz w:val="24"/>
          <w:szCs w:val="24"/>
        </w:rPr>
        <w:t xml:space="preserve"> Carte, inchiostri, nastri e segni di riproduzione del memoriale e dei comunicati (blocco 96): gli esami materiali che distinguono generazioni di copie, ordini di battitura, interventi successivi. La codicologia forense del caso: il supporto sa cose che il testo non dice.</w:t>
      </w:r>
    </w:p>
    <w:p>
      <w:pPr>
        <w:spacing w:after="120" w:line="276"/>
        <w:jc w:val="both"/>
      </w:pPr>
      <w:r>
        <w:rPr>
          <w:rFonts w:ascii="Barlow Semi Condensed" w:cs="Barlow Semi Condensed" w:eastAsia="Barlow Semi Condensed" w:hAnsi="Barlow Semi Condensed"/>
          <w:b/>
          <w:bCs/>
          <w:sz w:val="24"/>
          <w:szCs w:val="24"/>
        </w:rPr>
        <w:t xml:space="preserve">197 · La firma della macchina.</w:t>
      </w:r>
      <w:r>
        <w:rPr>
          <w:rFonts w:ascii="Barlow Semi Condensed" w:cs="Barlow Semi Condensed" w:eastAsia="Barlow Semi Condensed" w:hAnsi="Barlow Semi Condensed"/>
          <w:sz w:val="24"/>
          <w:szCs w:val="24"/>
        </w:rPr>
        <w:t xml:space="preserve"> La dattiloscopia meccanica computazionale sull'intero corpus dattiloscritto del caso (blocco 88): difetti di battuta, allineamenti, usure — la tavola macchina-documento con punteggi dichiarati. Un quesito filologico aperto dal 1978 che gli strumenti attuali possono chiudere in modo misurabile.</w:t>
      </w:r>
    </w:p>
    <w:p>
      <w:pPr>
        <w:spacing w:after="120" w:line="276"/>
        <w:jc w:val="both"/>
      </w:pPr>
      <w:r>
        <w:rPr>
          <w:rFonts w:ascii="Barlow Semi Condensed" w:cs="Barlow Semi Condensed" w:eastAsia="Barlow Semi Condensed" w:hAnsi="Barlow Semi Condensed"/>
          <w:b/>
          <w:bCs/>
          <w:sz w:val="24"/>
          <w:szCs w:val="24"/>
        </w:rPr>
        <w:t xml:space="preserve">198 · L'audio restaurato.</w:t>
      </w:r>
      <w:r>
        <w:rPr>
          <w:rFonts w:ascii="Barlow Semi Condensed" w:cs="Barlow Semi Condensed" w:eastAsia="Barlow Semi Condensed" w:hAnsi="Barlow Semi Condensed"/>
          <w:sz w:val="24"/>
          <w:szCs w:val="24"/>
        </w:rPr>
        <w:t xml:space="preserve"> Il restauro conservativo e l'analisi dei supporti sonori superstiti (blocco 89): pulizia dichiarata e reversibile, trascrizione certificata, comparazione vocale solo dove la qualità superi la soglia che il parere fissa in anticipo. Sotto soglia non si compara: si conserva e si aspetta la tecnica successiva.</w:t>
      </w:r>
    </w:p>
    <w:p>
      <w:pPr>
        <w:spacing w:after="120" w:line="276"/>
        <w:jc w:val="both"/>
      </w:pPr>
      <w:r>
        <w:rPr>
          <w:rFonts w:ascii="Barlow Semi Condensed" w:cs="Barlow Semi Condensed" w:eastAsia="Barlow Semi Condensed" w:hAnsi="Barlow Semi Condensed"/>
          <w:b/>
          <w:bCs/>
          <w:sz w:val="24"/>
          <w:szCs w:val="24"/>
        </w:rPr>
        <w:t xml:space="preserve">199 · Le misure dalle immagini.</w:t>
      </w:r>
      <w:r>
        <w:rPr>
          <w:rFonts w:ascii="Barlow Semi Condensed" w:cs="Barlow Semi Condensed" w:eastAsia="Barlow Semi Condensed" w:hAnsi="Barlow Semi Condensed"/>
          <w:sz w:val="24"/>
          <w:szCs w:val="24"/>
        </w:rPr>
        <w:t xml:space="preserve"> La fotogrammetria sui negativi e sui filmati del 16 marzo (blocchi 90-91): misure di posizioni, distanze e tempi estratte dalle immagini d'epoca con metodi attuali. Ogni misura entra nella ricostruzione del blocco 200 con la sua incertezza: le fotografie diventano strumenti, non illustrazioni.</w:t>
      </w:r>
    </w:p>
    <w:p>
      <w:pPr>
        <w:spacing w:after="120" w:line="276"/>
        <w:jc w:val="both"/>
      </w:pPr>
      <w:r>
        <w:rPr>
          <w:rFonts w:ascii="Barlow Semi Condensed" w:cs="Barlow Semi Condensed" w:eastAsia="Barlow Semi Condensed" w:hAnsi="Barlow Semi Condensed"/>
          <w:b/>
          <w:bCs/>
          <w:sz w:val="24"/>
          <w:szCs w:val="24"/>
        </w:rPr>
        <w:t xml:space="preserve">200 · La scena ricostruita.</w:t>
      </w:r>
      <w:r>
        <w:rPr>
          <w:rFonts w:ascii="Barlow Semi Condensed" w:cs="Barlow Semi Condensed" w:eastAsia="Barlow Semi Condensed" w:hAnsi="Barlow Semi Condensed"/>
          <w:sz w:val="24"/>
          <w:szCs w:val="24"/>
        </w:rPr>
        <w:t xml:space="preserve"> Il modello tridimensionale integrale di via Fani — geometria del 1978, veicoli, traiettorie, tempi — costruito da rilievi, negativi, perizie e fotogrammetria, pubblicato in forma esplorabile con ogni assunzione dichiarata. Il modello è falsificabile per costruzione: chi contesta un'assunzione la cambia e vede l'effetto.</w:t>
      </w:r>
    </w:p>
    <w:p>
      <w:pPr>
        <w:spacing w:after="120" w:line="276"/>
        <w:jc w:val="both"/>
      </w:pPr>
      <w:r>
        <w:rPr>
          <w:rFonts w:ascii="Barlow Semi Condensed" w:cs="Barlow Semi Condensed" w:eastAsia="Barlow Semi Condensed" w:hAnsi="Barlow Semi Condensed"/>
          <w:b/>
          <w:bCs/>
          <w:sz w:val="24"/>
          <w:szCs w:val="24"/>
        </w:rPr>
        <w:t xml:space="preserve">201 · Il testo come dato.</w:t>
      </w:r>
      <w:r>
        <w:rPr>
          <w:rFonts w:ascii="Barlow Semi Condensed" w:cs="Barlow Semi Condensed" w:eastAsia="Barlow Semi Condensed" w:hAnsi="Barlow Semi Condensed"/>
          <w:sz w:val="24"/>
          <w:szCs w:val="24"/>
        </w:rPr>
        <w:t xml:space="preserve"> Il riconoscimento ottico e l'indicizzazione dell'intero corpus documentale del caso (il cantiere digitale del manuale): ogni pagina interrogabile, ogni estrazione automatica marcata come non certificata finché un occhio umano non la verbalizza. Il text mining propone connessioni; la disciplina dei gradi decide che cosa ne sale.</w:t>
      </w:r>
    </w:p>
    <w:p>
      <w:pPr>
        <w:spacing w:after="120" w:line="276"/>
        <w:jc w:val="both"/>
      </w:pPr>
      <w:r>
        <w:rPr>
          <w:rFonts w:ascii="Barlow Semi Condensed" w:cs="Barlow Semi Condensed" w:eastAsia="Barlow Semi Condensed" w:hAnsi="Barlow Semi Condensed"/>
          <w:b/>
          <w:bCs/>
          <w:sz w:val="24"/>
          <w:szCs w:val="24"/>
        </w:rPr>
        <w:t xml:space="preserve">202 · La stilometria dichiarata.</w:t>
      </w:r>
      <w:r>
        <w:rPr>
          <w:rFonts w:ascii="Barlow Semi Condensed" w:cs="Barlow Semi Condensed" w:eastAsia="Barlow Semi Condensed" w:hAnsi="Barlow Semi Condensed"/>
          <w:sz w:val="24"/>
          <w:szCs w:val="24"/>
        </w:rPr>
        <w:t xml:space="preserve"> L'analisi stilometrica del memoriale e dei comunicati con metodo pubblicato: corpus di confronto dichiarato, variabili dichiarate, errore noto, e il limite scritto in testa — la stilometria orienta quesiti d'archivio, non attribuisce paternità in sede storica né giudiziaria. Grado C per costruzione, e dichiarato tale.</w:t>
      </w:r>
    </w:p>
    <w:p>
      <w:pPr>
        <w:spacing w:after="120" w:line="276"/>
        <w:jc w:val="both"/>
      </w:pPr>
      <w:r>
        <w:rPr>
          <w:rFonts w:ascii="Barlow Semi Condensed" w:cs="Barlow Semi Condensed" w:eastAsia="Barlow Semi Condensed" w:hAnsi="Barlow Semi Condensed"/>
          <w:b/>
          <w:bCs/>
          <w:sz w:val="24"/>
          <w:szCs w:val="24"/>
        </w:rPr>
        <w:t xml:space="preserve">203 · La lingua delle telefonate.</w:t>
      </w:r>
      <w:r>
        <w:rPr>
          <w:rFonts w:ascii="Barlow Semi Condensed" w:cs="Barlow Semi Condensed" w:eastAsia="Barlow Semi Condensed" w:hAnsi="Barlow Semi Condensed"/>
          <w:sz w:val="24"/>
          <w:szCs w:val="24"/>
        </w:rPr>
        <w:t xml:space="preserve"> La linguistica forense sui parlati superstiti dei 55 giorni: varietà, interferenze, formule — con lo stesso perimetro del blocco 202: orientare, non identificare. Dove l'audio non regge la soglia, il parere lo dice e l'analisi non si fa: un'attribuzione fragile inquina più di un silenzio.</w:t>
      </w:r>
    </w:p>
    <w:p>
      <w:pPr>
        <w:spacing w:after="120" w:line="276"/>
        <w:jc w:val="both"/>
      </w:pPr>
      <w:r>
        <w:rPr>
          <w:rFonts w:ascii="Barlow Semi Condensed" w:cs="Barlow Semi Condensed" w:eastAsia="Barlow Semi Condensed" w:hAnsi="Barlow Semi Condensed"/>
          <w:b/>
          <w:bCs/>
          <w:sz w:val="24"/>
          <w:szCs w:val="24"/>
        </w:rPr>
        <w:t xml:space="preserve">204 · La rete come strumento.</w:t>
      </w:r>
      <w:r>
        <w:rPr>
          <w:rFonts w:ascii="Barlow Semi Condensed" w:cs="Barlow Semi Condensed" w:eastAsia="Barlow Semi Condensed" w:hAnsi="Barlow Semi Condensed"/>
          <w:sz w:val="24"/>
          <w:szCs w:val="24"/>
        </w:rPr>
        <w:t xml:space="preserve"> L'analisi di rete del corpus (la sinaptogenesi documentata delle metodologie) applicata sistematicamente ai documenti nuovi che l'agenda produce: ogni carta trovata aggiorna nodi, archi e metriche, e le metriche — che misurano documentazione, mai colpa — rivelano i buchi dove puntare le prossime ricerche.</w:t>
      </w:r>
    </w:p>
    <w:p>
      <w:pPr>
        <w:spacing w:after="120" w:line="276"/>
        <w:jc w:val="both"/>
      </w:pPr>
      <w:r>
        <w:rPr>
          <w:rFonts w:ascii="Barlow Semi Condensed" w:cs="Barlow Semi Condensed" w:eastAsia="Barlow Semi Condensed" w:hAnsi="Barlow Semi Condensed"/>
          <w:b/>
          <w:bCs/>
          <w:sz w:val="24"/>
          <w:szCs w:val="24"/>
        </w:rPr>
        <w:t xml:space="preserve">205 · Lo spazio e i tempi.</w:t>
      </w:r>
      <w:r>
        <w:rPr>
          <w:rFonts w:ascii="Barlow Semi Condensed" w:cs="Barlow Semi Condensed" w:eastAsia="Barlow Semi Condensed" w:hAnsi="Barlow Semi Condensed"/>
          <w:sz w:val="24"/>
          <w:szCs w:val="24"/>
        </w:rPr>
        <w:t xml:space="preserve"> I modelli geospaziali del caso: percorsi, tempi di percorrenza con la viabilità del 1978, coperture del dispositivo — sovrapposti alla cartografia storica (blocco della mappa interattiva del manuale). Ogni cronologia di movimento testimoniata diventa verificabile contro la geografia misurata.</w:t>
      </w:r>
    </w:p>
    <w:p>
      <w:pPr>
        <w:spacing w:after="120" w:line="276"/>
        <w:jc w:val="both"/>
      </w:pPr>
      <w:r>
        <w:rPr>
          <w:rFonts w:ascii="Barlow Semi Condensed" w:cs="Barlow Semi Condensed" w:eastAsia="Barlow Semi Condensed" w:hAnsi="Barlow Semi Condensed"/>
          <w:b/>
          <w:bCs/>
          <w:sz w:val="24"/>
          <w:szCs w:val="24"/>
        </w:rPr>
        <w:t xml:space="preserve">206 · Le datazioni.</w:t>
      </w:r>
      <w:r>
        <w:rPr>
          <w:rFonts w:ascii="Barlow Semi Condensed" w:cs="Barlow Semi Condensed" w:eastAsia="Barlow Semi Condensed" w:hAnsi="Barlow Semi Condensed"/>
          <w:sz w:val="24"/>
          <w:szCs w:val="24"/>
        </w:rPr>
        <w:t xml:space="preserve"> Il parere sulla databilità dei materiali del caso — carte, inchiostri, nastri adesivi, polimeri: che cosa le tecniche attuali datano davvero, con quali margini su finestre di pochi anni. Il parere previene l'illusione di precisione: molte datazioni possibili non sono datazioni utili, e va scritto prima di spendere.</w:t>
      </w:r>
    </w:p>
    <w:p>
      <w:pPr>
        <w:spacing w:after="120" w:line="276"/>
        <w:jc w:val="both"/>
      </w:pPr>
      <w:r>
        <w:rPr>
          <w:rFonts w:ascii="Barlow Semi Condensed" w:cs="Barlow Semi Condensed" w:eastAsia="Barlow Semi Condensed" w:hAnsi="Barlow Semi Condensed"/>
          <w:b/>
          <w:bCs/>
          <w:sz w:val="24"/>
          <w:szCs w:val="24"/>
        </w:rPr>
        <w:t xml:space="preserve">207 · La macchina che propone.</w:t>
      </w:r>
      <w:r>
        <w:rPr>
          <w:rFonts w:ascii="Barlow Semi Condensed" w:cs="Barlow Semi Condensed" w:eastAsia="Barlow Semi Condensed" w:hAnsi="Barlow Semi Condensed"/>
          <w:sz w:val="24"/>
          <w:szCs w:val="24"/>
        </w:rPr>
        <w:t xml:space="preserve"> L'uso dichiarato dei sistemi automatici e dell'intelligenza artificiale nell'agenda: proporre accostamenti, trascrivere, indicizzare, segnalare anomalie — mai verbalizzare, mai graduare, mai concludere. Ogni output automatico è marcato come tale e diventa atto solo per verbalizzazione umana: la regola del manuale, qui, è legge di serie.</w:t>
      </w:r>
    </w:p>
    <w:p>
      <w:pPr>
        <w:spacing w:after="120" w:line="276"/>
        <w:jc w:val="both"/>
      </w:pPr>
      <w:r>
        <w:rPr>
          <w:rFonts w:ascii="Barlow Semi Condensed" w:cs="Barlow Semi Condensed" w:eastAsia="Barlow Semi Condensed" w:hAnsi="Barlow Semi Condensed"/>
          <w:b/>
          <w:bCs/>
          <w:sz w:val="24"/>
          <w:szCs w:val="24"/>
        </w:rPr>
        <w:t xml:space="preserve">208 · Il registro dei metodi.</w:t>
      </w:r>
      <w:r>
        <w:rPr>
          <w:rFonts w:ascii="Barlow Semi Condensed" w:cs="Barlow Semi Condensed" w:eastAsia="Barlow Semi Condensed" w:hAnsi="Barlow Semi Condensed"/>
          <w:sz w:val="24"/>
          <w:szCs w:val="24"/>
        </w:rPr>
        <w:t xml:space="preserve"> Ogni tecnica usata dall'agenda entra in un registro pubblico: validazione, letteratura, tasso d'errore, laboratori qualificati, precedenti d'ammissione giudiziaria. Il registro è la difesa preventiva di ogni esito: quando un risultato verrà contestato, il metodo sarà già documentato da prima.</w:t>
      </w:r>
    </w:p>
    <w:p>
      <w:pPr>
        <w:spacing w:after="120" w:line="276"/>
        <w:jc w:val="both"/>
      </w:pPr>
      <w:r>
        <w:rPr>
          <w:rFonts w:ascii="Barlow Semi Condensed" w:cs="Barlow Semi Condensed" w:eastAsia="Barlow Semi Condensed" w:hAnsi="Barlow Semi Condensed"/>
          <w:b/>
          <w:bCs/>
          <w:sz w:val="24"/>
          <w:szCs w:val="24"/>
        </w:rPr>
        <w:t xml:space="preserve">209 · L'irripetibile e il giudice.</w:t>
      </w:r>
      <w:r>
        <w:rPr>
          <w:rFonts w:ascii="Barlow Semi Condensed" w:cs="Barlow Semi Condensed" w:eastAsia="Barlow Semi Condensed" w:hAnsi="Barlow Semi Condensed"/>
          <w:sz w:val="24"/>
          <w:szCs w:val="24"/>
        </w:rPr>
        <w:t xml:space="preserve"> Per ogni esame che consumi il reperto: il raccordo con gli strumenti giuridici del manuale (serie dodicesima) — la valutazione formale se l'atto vada compiuto in sede giudiziaria con le garanzie dell'irripetibilità, d'intesa con l'autorità titolare del fascicolo. La scienza non brucia reperti che il diritto avrebbe protetto.</w:t>
      </w:r>
    </w:p>
    <w:p>
      <w:pPr>
        <w:spacing w:after="120" w:line="276"/>
        <w:jc w:val="both"/>
      </w:pPr>
      <w:r>
        <w:rPr>
          <w:rFonts w:ascii="Barlow Semi Condensed" w:cs="Barlow Semi Condensed" w:eastAsia="Barlow Semi Condensed" w:hAnsi="Barlow Semi Condensed"/>
          <w:b/>
          <w:bCs/>
          <w:sz w:val="24"/>
          <w:szCs w:val="24"/>
        </w:rPr>
        <w:t xml:space="preserve">210 · La tavola delle scienze.</w:t>
      </w:r>
      <w:r>
        <w:rPr>
          <w:rFonts w:ascii="Barlow Semi Condensed" w:cs="Barlow Semi Condensed" w:eastAsia="Barlow Semi Condensed" w:hAnsi="Barlow Semi Condensed"/>
          <w:sz w:val="24"/>
          <w:szCs w:val="24"/>
        </w:rPr>
        <w:t xml:space="preserve"> La chiusura della serie: la matrice tecnica × reperto × stato — parere reso, esame fatto, esito, grado — pubblicata e mantenuta. In ogni istante il caso deve poter dire quali domande nuove ha già posto ai suoi oggetti vecchi, e quali lo aspettano ancora.</w:t>
      </w:r>
    </w:p>
    <w:p>
      <w:pPr>
        <w:pStyle w:val="Heading2"/>
        <w:spacing w:after="100" w:before="200"/>
      </w:pPr>
      <w:r>
        <w:rPr>
          <w:rFonts w:ascii="Barlow Semi Condensed" w:cs="Barlow Semi Condensed" w:eastAsia="Barlow Semi Condensed" w:hAnsi="Barlow Semi Condensed"/>
          <w:sz w:val="24"/>
          <w:szCs w:val="24"/>
        </w:rPr>
        <w:t xml:space="preserve">Serie nona — Le verifiche di smentita (blocchi 211-235)</w:t>
      </w:r>
    </w:p>
    <w:p>
      <w:pPr>
        <w:spacing w:after="120" w:line="276"/>
        <w:jc w:val="both"/>
      </w:pPr>
      <w:r>
        <w:rPr>
          <w:rFonts w:ascii="Barlow Semi Condensed" w:cs="Barlow Semi Condensed" w:eastAsia="Barlow Semi Condensed" w:hAnsi="Barlow Semi Condensed"/>
          <w:i/>
          <w:iCs/>
          <w:sz w:val="24"/>
          <w:szCs w:val="24"/>
        </w:rPr>
        <w:t xml:space="preserve">Statuto della serie: il Pollo di Popper come motore di ricerca. Per ogni tesi corrente sul caso — del corpus, delle commissioni, della pubblicistica — la serie formula il bersaglio che la smentirebbe: si cerca attivamente il documento capace di falsificare, perché una tesi che sopravvive alla ricerca della propria smentita ne esce rafforzata, e una che non vi sopravvive muore con onore. Nessuna smentita è una sconfitta: è l'agenda che funziona.</w:t>
      </w:r>
    </w:p>
    <w:p>
      <w:pPr>
        <w:spacing w:after="120" w:line="276"/>
        <w:jc w:val="both"/>
      </w:pPr>
      <w:r>
        <w:rPr>
          <w:rFonts w:ascii="Barlow Semi Condensed" w:cs="Barlow Semi Condensed" w:eastAsia="Barlow Semi Condensed" w:hAnsi="Barlow Semi Condensed"/>
          <w:b/>
          <w:bCs/>
          <w:sz w:val="24"/>
          <w:szCs w:val="24"/>
        </w:rPr>
        <w:t xml:space="preserve">211 · Contro la mono-arma.</w:t>
      </w:r>
      <w:r>
        <w:rPr>
          <w:rFonts w:ascii="Barlow Semi Condensed" w:cs="Barlow Semi Condensed" w:eastAsia="Barlow Semi Condensed" w:hAnsi="Barlow Semi Condensed"/>
          <w:sz w:val="24"/>
          <w:szCs w:val="24"/>
        </w:rPr>
        <w:t xml:space="preserve"> Cercare la perizia, il reperto o il dato che riattribuisca i quarantanove colpi a più armi: confronti balistici moderni bossolo per bossolo. Se la riattribuzione riesce, cade l'ipotesi del tiratore prevalente e la dinamica va riscritta; se fallisce con strumenti attuali, l'accertamento sale di robustezza.</w:t>
      </w:r>
    </w:p>
    <w:p>
      <w:pPr>
        <w:spacing w:after="120" w:line="276"/>
        <w:jc w:val="both"/>
      </w:pPr>
      <w:r>
        <w:rPr>
          <w:rFonts w:ascii="Barlow Semi Condensed" w:cs="Barlow Semi Condensed" w:eastAsia="Barlow Semi Condensed" w:hAnsi="Barlow Semi Condensed"/>
          <w:b/>
          <w:bCs/>
          <w:sz w:val="24"/>
          <w:szCs w:val="24"/>
        </w:rPr>
        <w:t xml:space="preserve">212 · Contro le terze presenze.</w:t>
      </w:r>
      <w:r>
        <w:rPr>
          <w:rFonts w:ascii="Barlow Semi Condensed" w:cs="Barlow Semi Condensed" w:eastAsia="Barlow Semi Condensed" w:hAnsi="Barlow Semi Condensed"/>
          <w:sz w:val="24"/>
          <w:szCs w:val="24"/>
        </w:rPr>
        <w:t xml:space="preserve"> Cercare l'identificazione innocente della moto Honda e di ogni presenza anomala testimoniata: un motociclista estraneo identificato con documento chiude la pista meglio di dieci congetture. Il bersaglio è l'anagrafe: targhe, denunce, verbali di identificazione del 16 marzo e dei giorni seguenti.</w:t>
      </w:r>
    </w:p>
    <w:p>
      <w:pPr>
        <w:spacing w:after="120" w:line="276"/>
        <w:jc w:val="both"/>
      </w:pPr>
      <w:r>
        <w:rPr>
          <w:rFonts w:ascii="Barlow Semi Condensed" w:cs="Barlow Semi Condensed" w:eastAsia="Barlow Semi Condensed" w:hAnsi="Barlow Semi Condensed"/>
          <w:b/>
          <w:bCs/>
          <w:sz w:val="24"/>
          <w:szCs w:val="24"/>
        </w:rPr>
        <w:t xml:space="preserve">213 · Contro l'origine anomala di «Gradoli».</w:t>
      </w:r>
      <w:r>
        <w:rPr>
          <w:rFonts w:ascii="Barlow Semi Condensed" w:cs="Barlow Semi Condensed" w:eastAsia="Barlow Semi Condensed" w:hAnsi="Barlow Semi Condensed"/>
          <w:sz w:val="24"/>
          <w:szCs w:val="24"/>
        </w:rPr>
        <w:t xml:space="preserve"> Cercare il verbale o la testimonianza che documenti il gioco della seduta come genuino — chi propose le lettere, come uscì la parola. Una genesi ludica documentata declasserebbe il quesito 3; la sua irreperibilità mantiene aperta la matrice.</w:t>
      </w:r>
    </w:p>
    <w:p>
      <w:pPr>
        <w:spacing w:after="120" w:line="276"/>
        <w:jc w:val="both"/>
      </w:pPr>
      <w:r>
        <w:rPr>
          <w:rFonts w:ascii="Barlow Semi Condensed" w:cs="Barlow Semi Condensed" w:eastAsia="Barlow Semi Condensed" w:hAnsi="Barlow Semi Condensed"/>
          <w:b/>
          <w:bCs/>
          <w:sz w:val="24"/>
          <w:szCs w:val="24"/>
        </w:rPr>
        <w:t xml:space="preserve">214 · Contro la lettura malevola del 18 marzo.</w:t>
      </w:r>
      <w:r>
        <w:rPr>
          <w:rFonts w:ascii="Barlow Semi Condensed" w:cs="Barlow Semi Condensed" w:eastAsia="Barlow Semi Condensed" w:hAnsi="Barlow Semi Condensed"/>
          <w:sz w:val="24"/>
          <w:szCs w:val="24"/>
        </w:rPr>
        <w:t xml:space="preserve"> Cercare i documenti che mostrino diligenza ordinaria nella mancata perquisizione di via Gradoli 96: l'ordine di servizio, i limiti dell'ordinanza, la prassi delle verifiche a campanello. La negligenza documentata resta negligenza; l'agenda cerca anche ciò che scagiona gli uffici.</w:t>
      </w:r>
    </w:p>
    <w:p>
      <w:pPr>
        <w:spacing w:after="120" w:line="276"/>
        <w:jc w:val="both"/>
      </w:pPr>
      <w:r>
        <w:rPr>
          <w:rFonts w:ascii="Barlow Semi Condensed" w:cs="Barlow Semi Condensed" w:eastAsia="Barlow Semi Condensed" w:hAnsi="Barlow Semi Condensed"/>
          <w:b/>
          <w:bCs/>
          <w:sz w:val="24"/>
          <w:szCs w:val="24"/>
        </w:rPr>
        <w:t xml:space="preserve">215 · Contro la prigione unica.</w:t>
      </w:r>
      <w:r>
        <w:rPr>
          <w:rFonts w:ascii="Barlow Semi Condensed" w:cs="Barlow Semi Condensed" w:eastAsia="Barlow Semi Condensed" w:hAnsi="Barlow Semi Condensed"/>
          <w:sz w:val="24"/>
          <w:szCs w:val="24"/>
        </w:rPr>
        <w:t xml:space="preserve"> Cercare l'evidenza fisica che colloca la prigionia altrove che in via Montalcini 8: pollini, sabbie, fibre, rumori testimoniati incompatibili. Se nulla emerge dai reperti riletti, l'accertamento istruttorio resta il pavimento e le congetture alternative si archiviano.</w:t>
      </w:r>
    </w:p>
    <w:p>
      <w:pPr>
        <w:spacing w:after="120" w:line="276"/>
        <w:jc w:val="both"/>
      </w:pPr>
      <w:r>
        <w:rPr>
          <w:rFonts w:ascii="Barlow Semi Condensed" w:cs="Barlow Semi Condensed" w:eastAsia="Barlow Semi Condensed" w:hAnsi="Barlow Semi Condensed"/>
          <w:b/>
          <w:bCs/>
          <w:sz w:val="24"/>
          <w:szCs w:val="24"/>
        </w:rPr>
        <w:t xml:space="preserve">216 · Contro il filtro sistematico.</w:t>
      </w:r>
      <w:r>
        <w:rPr>
          <w:rFonts w:ascii="Barlow Semi Condensed" w:cs="Barlow Semi Condensed" w:eastAsia="Barlow Semi Condensed" w:hAnsi="Barlow Semi Condensed"/>
          <w:sz w:val="24"/>
          <w:szCs w:val="24"/>
        </w:rPr>
        <w:t xml:space="preserve"> Ricostruire il registro d'ingresso delle segnalazioni: se l'input ricostruito risulta proporzionato all'output documentato, l'ipotesi del filtro selettivo si sgonfia e resta il diluvio; se la sproporzione emerge su segnalazioni qualificate, la matrice del quesito 7 si decide. Il registro è l'esperimento.</w:t>
      </w:r>
    </w:p>
    <w:p>
      <w:pPr>
        <w:spacing w:after="120" w:line="276"/>
        <w:jc w:val="both"/>
      </w:pPr>
      <w:r>
        <w:rPr>
          <w:rFonts w:ascii="Barlow Semi Condensed" w:cs="Barlow Semi Condensed" w:eastAsia="Barlow Semi Condensed" w:hAnsi="Barlow Semi Condensed"/>
          <w:b/>
          <w:bCs/>
          <w:sz w:val="24"/>
          <w:szCs w:val="24"/>
        </w:rPr>
        <w:t xml:space="preserve">217 · Contro il disegno nel condominio.</w:t>
      </w:r>
      <w:r>
        <w:rPr>
          <w:rFonts w:ascii="Barlow Semi Condensed" w:cs="Barlow Semi Condensed" w:eastAsia="Barlow Semi Condensed" w:hAnsi="Barlow Semi Condensed"/>
          <w:sz w:val="24"/>
          <w:szCs w:val="24"/>
        </w:rPr>
        <w:t xml:space="preserve"> Cercare nelle carte di conservatoria la spiegazione ordinaria degli assetti di via Gradoli: un mercato immobiliare documentabile, acquisti scaglionati, usi estranei. Le date restano il discriminante: ciò che è posteriore al 1978 non spiega il 1975-1978, in nessuna direzione.</w:t>
      </w:r>
    </w:p>
    <w:p>
      <w:pPr>
        <w:spacing w:after="120" w:line="276"/>
        <w:jc w:val="both"/>
      </w:pPr>
      <w:r>
        <w:rPr>
          <w:rFonts w:ascii="Barlow Semi Condensed" w:cs="Barlow Semi Condensed" w:eastAsia="Barlow Semi Condensed" w:hAnsi="Barlow Semi Condensed"/>
          <w:b/>
          <w:bCs/>
          <w:sz w:val="24"/>
          <w:szCs w:val="24"/>
        </w:rPr>
        <w:t xml:space="preserve">218 · Contro l'anomalia del riscatto.</w:t>
      </w:r>
      <w:r>
        <w:rPr>
          <w:rFonts w:ascii="Barlow Semi Condensed" w:cs="Barlow Semi Condensed" w:eastAsia="Barlow Semi Condensed" w:hAnsi="Barlow Semi Condensed"/>
          <w:sz w:val="24"/>
          <w:szCs w:val="24"/>
        </w:rPr>
        <w:t xml:space="preserve"> Cercare la contabilità che chiuda ordinariamente la vicenda del fondo: restituzioni documentate, destinazioni tracciate. Una sorte ordinaria del denaro chiude il quesito 11 per la parte patrimoniale; l'assenza di contabilità è uno Stato Zero da dichiarare, non una colpa da narrare.</w:t>
      </w:r>
    </w:p>
    <w:p>
      <w:pPr>
        <w:spacing w:after="120" w:line="276"/>
        <w:jc w:val="both"/>
      </w:pPr>
      <w:r>
        <w:rPr>
          <w:rFonts w:ascii="Barlow Semi Condensed" w:cs="Barlow Semi Condensed" w:eastAsia="Barlow Semi Condensed" w:hAnsi="Barlow Semi Condensed"/>
          <w:b/>
          <w:bCs/>
          <w:sz w:val="24"/>
          <w:szCs w:val="24"/>
        </w:rPr>
        <w:t xml:space="preserve">219 · Contro l'«inattendibilità» costruita.</w:t>
      </w:r>
      <w:r>
        <w:rPr>
          <w:rFonts w:ascii="Barlow Semi Condensed" w:cs="Barlow Semi Condensed" w:eastAsia="Barlow Semi Condensed" w:hAnsi="Barlow Semi Condensed"/>
          <w:sz w:val="24"/>
          <w:szCs w:val="24"/>
        </w:rPr>
        <w:t xml:space="preserve"> Cercare il parere tecnico integrale che fondò la dichiarata inattendibilità delle lettere: se esiste ed è argomentato, l'atto istituzionale ha il suo fascicolo; se non esiste, l'inattendibilità fu un enunciato senza istruttoria — e questo è un fatto documentale, non un processo alle intenzioni.</w:t>
      </w:r>
    </w:p>
    <w:p>
      <w:pPr>
        <w:spacing w:after="120" w:line="276"/>
        <w:jc w:val="both"/>
      </w:pPr>
      <w:r>
        <w:rPr>
          <w:rFonts w:ascii="Barlow Semi Condensed" w:cs="Barlow Semi Condensed" w:eastAsia="Barlow Semi Condensed" w:hAnsi="Barlow Semi Condensed"/>
          <w:b/>
          <w:bCs/>
          <w:sz w:val="24"/>
          <w:szCs w:val="24"/>
        </w:rPr>
        <w:t xml:space="preserve">220 · Contro il memoriale integrale.</w:t>
      </w:r>
      <w:r>
        <w:rPr>
          <w:rFonts w:ascii="Barlow Semi Condensed" w:cs="Barlow Semi Condensed" w:eastAsia="Barlow Semi Condensed" w:hAnsi="Barlow Semi Condensed"/>
          <w:sz w:val="24"/>
          <w:szCs w:val="24"/>
        </w:rPr>
        <w:t xml:space="preserve"> Cercare il riscontro che le carte note esauriscano lo scritto: coerenza interna, richiami a pagine assenti, testimonianze d'archivio sui materiali di via Monte Nevoso. Il bersaglio non è «il memoriale nascosto»: è la misura documentata di quanto manca, se manca.</w:t>
      </w:r>
    </w:p>
    <w:p>
      <w:pPr>
        <w:spacing w:after="120" w:line="276"/>
        <w:jc w:val="both"/>
      </w:pPr>
      <w:r>
        <w:rPr>
          <w:rFonts w:ascii="Barlow Semi Condensed" w:cs="Barlow Semi Condensed" w:eastAsia="Barlow Semi Condensed" w:hAnsi="Barlow Semi Condensed"/>
          <w:b/>
          <w:bCs/>
          <w:sz w:val="24"/>
          <w:szCs w:val="24"/>
        </w:rPr>
        <w:t xml:space="preserve">221 · Contro la pista internazionale forte.</w:t>
      </w:r>
      <w:r>
        <w:rPr>
          <w:rFonts w:ascii="Barlow Semi Condensed" w:cs="Barlow Semi Condensed" w:eastAsia="Barlow Semi Condensed" w:hAnsi="Barlow Semi Condensed"/>
          <w:sz w:val="24"/>
          <w:szCs w:val="24"/>
        </w:rPr>
        <w:t xml:space="preserve"> Per ogni versione che ponga una regia estera, cercare il documento primario che la sosterrebbe — un cablo, un verbale, una carta d'archivio straniera — e dichiarare Stato Zero dove non c'è. La serie sesta fornisce i giacimenti; questo blocco fissa la regola: senza primario, niente pista.</w:t>
      </w:r>
    </w:p>
    <w:p>
      <w:pPr>
        <w:spacing w:after="120" w:line="276"/>
        <w:jc w:val="both"/>
      </w:pPr>
      <w:r>
        <w:rPr>
          <w:rFonts w:ascii="Barlow Semi Condensed" w:cs="Barlow Semi Condensed" w:eastAsia="Barlow Semi Condensed" w:hAnsi="Barlow Semi Condensed"/>
          <w:b/>
          <w:bCs/>
          <w:sz w:val="24"/>
          <w:szCs w:val="24"/>
        </w:rPr>
        <w:t xml:space="preserve">222 · Contro il nesso Hyperion.</w:t>
      </w:r>
      <w:r>
        <w:rPr>
          <w:rFonts w:ascii="Barlow Semi Condensed" w:cs="Barlow Semi Condensed" w:eastAsia="Barlow Semi Condensed" w:hAnsi="Barlow Semi Condensed"/>
          <w:sz w:val="24"/>
          <w:szCs w:val="24"/>
        </w:rPr>
        <w:t xml:space="preserve"> La pista è chiusa nel corpus per anello debole: ogni cammino verso via Fani passa per archi biografici. Il test di riapertura è uno solo — un documento primario che trasformi un arco biografico in arco di condotta. Il blocco tiene il criterio pronto e la porta chiusa.</w:t>
      </w:r>
    </w:p>
    <w:p>
      <w:pPr>
        <w:spacing w:after="120" w:line="276"/>
        <w:jc w:val="both"/>
      </w:pPr>
      <w:r>
        <w:rPr>
          <w:rFonts w:ascii="Barlow Semi Condensed" w:cs="Barlow Semi Condensed" w:eastAsia="Barlow Semi Condensed" w:hAnsi="Barlow Semi Condensed"/>
          <w:b/>
          <w:bCs/>
          <w:sz w:val="24"/>
          <w:szCs w:val="24"/>
        </w:rPr>
        <w:t xml:space="preserve">223 · Contro la genuinità del falso.</w:t>
      </w:r>
      <w:r>
        <w:rPr>
          <w:rFonts w:ascii="Barlow Semi Condensed" w:cs="Barlow Semi Condensed" w:eastAsia="Barlow Semi Condensed" w:hAnsi="Barlow Semi Condensed"/>
          <w:sz w:val="24"/>
          <w:szCs w:val="24"/>
        </w:rPr>
        <w:t xml:space="preserve"> Per il comunicato del Lago della Duchessa, cercare ciò che smentirebbe la genesi solitaria: commissioni, contatti, conoscenze anticipate documentate. L'attribuzione materiale è giudicata; la genesi resta quesito — e il fascicolo Chichiarelli integrale è il giacimento dove la risposta, se esiste, giace.</w:t>
      </w:r>
    </w:p>
    <w:p>
      <w:pPr>
        <w:spacing w:after="120" w:line="276"/>
        <w:jc w:val="both"/>
      </w:pPr>
      <w:r>
        <w:rPr>
          <w:rFonts w:ascii="Barlow Semi Condensed" w:cs="Barlow Semi Condensed" w:eastAsia="Barlow Semi Condensed" w:hAnsi="Barlow Semi Condensed"/>
          <w:b/>
          <w:bCs/>
          <w:sz w:val="24"/>
          <w:szCs w:val="24"/>
        </w:rPr>
        <w:t xml:space="preserve">224 · Contro la memoria dei testimoni.</w:t>
      </w:r>
      <w:r>
        <w:rPr>
          <w:rFonts w:ascii="Barlow Semi Condensed" w:cs="Barlow Semi Condensed" w:eastAsia="Barlow Semi Condensed" w:hAnsi="Barlow Semi Condensed"/>
          <w:sz w:val="24"/>
          <w:szCs w:val="24"/>
        </w:rPr>
        <w:t xml:space="preserve"> Per ogni testimonianza fondante, cercare la corroborazione fisica prima di costruirvi sopra: la lezione Marini (la ritrattazione del parabrezza davanti alla Moro 2) è il precedente scolpito. Ogni blocco della serie quinta si esegue con questo controlimite incorporato.</w:t>
      </w:r>
    </w:p>
    <w:p>
      <w:pPr>
        <w:spacing w:after="120" w:line="276"/>
        <w:jc w:val="both"/>
      </w:pPr>
      <w:r>
        <w:rPr>
          <w:rFonts w:ascii="Barlow Semi Condensed" w:cs="Barlow Semi Condensed" w:eastAsia="Barlow Semi Condensed" w:hAnsi="Barlow Semi Condensed"/>
          <w:b/>
          <w:bCs/>
          <w:sz w:val="24"/>
          <w:szCs w:val="24"/>
        </w:rPr>
        <w:t xml:space="preserve">225 · Contro la seduta come aneddoto.</w:t>
      </w:r>
      <w:r>
        <w:rPr>
          <w:rFonts w:ascii="Barlow Semi Condensed" w:cs="Barlow Semi Condensed" w:eastAsia="Barlow Semi Condensed" w:hAnsi="Barlow Semi Condensed"/>
          <w:sz w:val="24"/>
          <w:szCs w:val="24"/>
        </w:rPr>
        <w:t xml:space="preserve"> Cercare le testimonianze incrociate di tutti i presenti al 2 aprile ancora ascoltabili, e i verbali resi all'epoca: la convergenza o divergenza dei racconti, misurata, decide se il quesito 3 ha ancora testimoni utili o se resta solo carta.</w:t>
      </w:r>
    </w:p>
    <w:p>
      <w:pPr>
        <w:spacing w:after="120" w:line="276"/>
        <w:jc w:val="both"/>
      </w:pPr>
      <w:r>
        <w:rPr>
          <w:rFonts w:ascii="Barlow Semi Condensed" w:cs="Barlow Semi Condensed" w:eastAsia="Barlow Semi Condensed" w:hAnsi="Barlow Semi Condensed"/>
          <w:b/>
          <w:bCs/>
          <w:sz w:val="24"/>
          <w:szCs w:val="24"/>
        </w:rPr>
        <w:t xml:space="preserve">226 · Contro il caricatore orfano.</w:t>
      </w:r>
      <w:r>
        <w:rPr>
          <w:rFonts w:ascii="Barlow Semi Condensed" w:cs="Barlow Semi Condensed" w:eastAsia="Barlow Semi Condensed" w:hAnsi="Barlow Semi Condensed"/>
          <w:sz w:val="24"/>
          <w:szCs w:val="24"/>
        </w:rPr>
        <w:t xml:space="preserve"> Cercare l'attribuzione del caricatore di via Stresa: impronte riesaminabili, compatibilità d'arma, catena di custodia. Un'attribuzione ordinaria a un'arma dei condannati chiude il reperto; l'inattribuibilità documentata lo mantiene tra le evidenze delle presenze non giudicate.</w:t>
      </w:r>
    </w:p>
    <w:p>
      <w:pPr>
        <w:spacing w:after="120" w:line="276"/>
        <w:jc w:val="both"/>
      </w:pPr>
      <w:r>
        <w:rPr>
          <w:rFonts w:ascii="Barlow Semi Condensed" w:cs="Barlow Semi Condensed" w:eastAsia="Barlow Semi Condensed" w:hAnsi="Barlow Semi Condensed"/>
          <w:b/>
          <w:bCs/>
          <w:sz w:val="24"/>
          <w:szCs w:val="24"/>
        </w:rPr>
        <w:t xml:space="preserve">227 · Contro la lettura cospirativa dei comitati.</w:t>
      </w:r>
      <w:r>
        <w:rPr>
          <w:rFonts w:ascii="Barlow Semi Condensed" w:cs="Barlow Semi Condensed" w:eastAsia="Barlow Semi Condensed" w:hAnsi="Barlow Semi Condensed"/>
          <w:sz w:val="24"/>
          <w:szCs w:val="24"/>
        </w:rPr>
        <w:t xml:space="preserve"> Cercare i verbali che mostrino i comitati del Viminale funzionare ordinariamente: riunioni tenute, decisioni istruite, esperti consultati per iscritto. La tesi del simulacro si smentisce con la carta; la sua conferma — la certificata assenza di verbali — è a sua volta un fatto, non un complotto.</w:t>
      </w:r>
    </w:p>
    <w:p>
      <w:pPr>
        <w:spacing w:after="120" w:line="276"/>
        <w:jc w:val="both"/>
      </w:pPr>
      <w:r>
        <w:rPr>
          <w:rFonts w:ascii="Barlow Semi Condensed" w:cs="Barlow Semi Condensed" w:eastAsia="Barlow Semi Condensed" w:hAnsi="Barlow Semi Condensed"/>
          <w:b/>
          <w:bCs/>
          <w:sz w:val="24"/>
          <w:szCs w:val="24"/>
        </w:rPr>
        <w:t xml:space="preserve">228 · Contro l'omissione degli alleati.</w:t>
      </w:r>
      <w:r>
        <w:rPr>
          <w:rFonts w:ascii="Barlow Semi Condensed" w:cs="Barlow Semi Condensed" w:eastAsia="Barlow Semi Condensed" w:hAnsi="Barlow Semi Condensed"/>
          <w:sz w:val="24"/>
          <w:szCs w:val="24"/>
        </w:rPr>
        <w:t xml:space="preserve"> Cercare nei giacimenti esteri la prova che gli alleati riferirono tempestivamente alle autorità italiane ciò che sapevano: la cooperazione documentata smentirebbe la reticenza congetturata. La regola dell'originatore si erode per richiesta formale, atto per atto.</w:t>
      </w:r>
    </w:p>
    <w:p>
      <w:pPr>
        <w:spacing w:after="120" w:line="276"/>
        <w:jc w:val="both"/>
      </w:pPr>
      <w:r>
        <w:rPr>
          <w:rFonts w:ascii="Barlow Semi Condensed" w:cs="Barlow Semi Condensed" w:eastAsia="Barlow Semi Condensed" w:hAnsi="Barlow Semi Condensed"/>
          <w:b/>
          <w:bCs/>
          <w:sz w:val="24"/>
          <w:szCs w:val="24"/>
        </w:rPr>
        <w:t xml:space="preserve">229 · Contro la sorveglianza taciuta.</w:t>
      </w:r>
      <w:r>
        <w:rPr>
          <w:rFonts w:ascii="Barlow Semi Condensed" w:cs="Barlow Semi Condensed" w:eastAsia="Barlow Semi Condensed" w:hAnsi="Barlow Semi Condensed"/>
          <w:sz w:val="24"/>
          <w:szCs w:val="24"/>
        </w:rPr>
        <w:t xml:space="preserve"> Per l'osservazione UCIGOS su via Montalcini (estate-ottobre 1978) non riferita per due anni alla magistratura, cercare l'atto che la giustificherebbe: un fascicolo d'indagine parallelo, un vincolo formale. L'atto trovato spiega; l'atto assente lascia l'omissione come fatto amministrativo accertato.</w:t>
      </w:r>
    </w:p>
    <w:p>
      <w:pPr>
        <w:spacing w:after="120" w:line="276"/>
        <w:jc w:val="both"/>
      </w:pPr>
      <w:r>
        <w:rPr>
          <w:rFonts w:ascii="Barlow Semi Condensed" w:cs="Barlow Semi Condensed" w:eastAsia="Barlow Semi Condensed" w:hAnsi="Barlow Semi Condensed"/>
          <w:b/>
          <w:bCs/>
          <w:sz w:val="24"/>
          <w:szCs w:val="24"/>
        </w:rPr>
        <w:t xml:space="preserve">230 · Contro le piste chiuse ingiustamente.</w:t>
      </w:r>
      <w:r>
        <w:rPr>
          <w:rFonts w:ascii="Barlow Semi Condensed" w:cs="Barlow Semi Condensed" w:eastAsia="Barlow Semi Condensed" w:hAnsi="Barlow Semi Condensed"/>
          <w:sz w:val="24"/>
          <w:szCs w:val="24"/>
        </w:rPr>
        <w:t xml:space="preserve"> Rileggere le piste archiviate dal programma (seconda prigione, nessi congetturali) chiedendo: la chiusura fu per smentita o per stanchezza? Solo la chiusura per smentita documentata regge; le altre tornano in coda all'agenda con priorità minima ma non nulla.</w:t>
      </w:r>
    </w:p>
    <w:p>
      <w:pPr>
        <w:spacing w:after="120" w:line="276"/>
        <w:jc w:val="both"/>
      </w:pPr>
      <w:r>
        <w:rPr>
          <w:rFonts w:ascii="Barlow Semi Condensed" w:cs="Barlow Semi Condensed" w:eastAsia="Barlow Semi Condensed" w:hAnsi="Barlow Semi Condensed"/>
          <w:b/>
          <w:bCs/>
          <w:sz w:val="24"/>
          <w:szCs w:val="24"/>
        </w:rPr>
        <w:t xml:space="preserve">231 · Contro il corpus stesso.</w:t>
      </w:r>
      <w:r>
        <w:rPr>
          <w:rFonts w:ascii="Barlow Semi Condensed" w:cs="Barlow Semi Condensed" w:eastAsia="Barlow Semi Condensed" w:hAnsi="Barlow Semi Condensed"/>
          <w:sz w:val="24"/>
          <w:szCs w:val="24"/>
        </w:rPr>
        <w:t xml:space="preserve"> Applicare al corpus la sua regola: cercare attivamente l'errore nelle proprie schede — date, attribuzioni, gradi — e correggere per nota, mai per riscrittura. La Nota di revisione n. 1 (Marini) è il precedente: l'agenda prevede le prossime, e le conta come successi.</w:t>
      </w:r>
    </w:p>
    <w:p>
      <w:pPr>
        <w:spacing w:after="120" w:line="276"/>
        <w:jc w:val="both"/>
      </w:pPr>
      <w:r>
        <w:rPr>
          <w:rFonts w:ascii="Barlow Semi Condensed" w:cs="Barlow Semi Condensed" w:eastAsia="Barlow Semi Condensed" w:hAnsi="Barlow Semi Condensed"/>
          <w:b/>
          <w:bCs/>
          <w:sz w:val="24"/>
          <w:szCs w:val="24"/>
        </w:rPr>
        <w:t xml:space="preserve">232 · Il test dell'anello debole su ogni catena nuova.</w:t>
      </w:r>
      <w:r>
        <w:rPr>
          <w:rFonts w:ascii="Barlow Semi Condensed" w:cs="Barlow Semi Condensed" w:eastAsia="Barlow Semi Condensed" w:hAnsi="Barlow Semi Condensed"/>
          <w:sz w:val="24"/>
          <w:szCs w:val="24"/>
        </w:rPr>
        <w:t xml:space="preserve"> Ogni catena inferenziale prodotta dalle ricerche dell'agenda si misura al suo anello più debole prima di entrare in qualunque scheda: un solo passaggio biografico degrada tutto il cammino. Il blocco è il tornello: nessun risultato entra senza il grado stampato.</w:t>
      </w:r>
    </w:p>
    <w:p>
      <w:pPr>
        <w:spacing w:after="120" w:line="276"/>
        <w:jc w:val="both"/>
      </w:pPr>
      <w:r>
        <w:rPr>
          <w:rFonts w:ascii="Barlow Semi Condensed" w:cs="Barlow Semi Condensed" w:eastAsia="Barlow Semi Condensed" w:hAnsi="Barlow Semi Condensed"/>
          <w:b/>
          <w:bCs/>
          <w:sz w:val="24"/>
          <w:szCs w:val="24"/>
        </w:rPr>
        <w:t xml:space="preserve">233 · Il test dei buchi.</w:t>
      </w:r>
      <w:r>
        <w:rPr>
          <w:rFonts w:ascii="Barlow Semi Condensed" w:cs="Barlow Semi Condensed" w:eastAsia="Barlow Semi Condensed" w:hAnsi="Barlow Semi Condensed"/>
          <w:sz w:val="24"/>
          <w:szCs w:val="24"/>
        </w:rPr>
        <w:t xml:space="preserve"> Dove una ricerca trova il vuoto — il verbale che non c'è, il registro mai tenuto, la busta mancante — l'esito si verbalizza come Stato Zero con perimetro esatto: che cosa è stato cercato, dove, quando, con quale esito. Il buco misurato è conoscenza; il buco narrato è romanzo.</w:t>
      </w:r>
    </w:p>
    <w:p>
      <w:pPr>
        <w:spacing w:after="120" w:line="276"/>
        <w:jc w:val="both"/>
      </w:pPr>
      <w:r>
        <w:rPr>
          <w:rFonts w:ascii="Barlow Semi Condensed" w:cs="Barlow Semi Condensed" w:eastAsia="Barlow Semi Condensed" w:hAnsi="Barlow Semi Condensed"/>
          <w:b/>
          <w:bCs/>
          <w:sz w:val="24"/>
          <w:szCs w:val="24"/>
        </w:rPr>
        <w:t xml:space="preserve">234 · La contro-agenda.</w:t>
      </w:r>
      <w:r>
        <w:rPr>
          <w:rFonts w:ascii="Barlow Semi Condensed" w:cs="Barlow Semi Condensed" w:eastAsia="Barlow Semi Condensed" w:hAnsi="Barlow Semi Condensed"/>
          <w:sz w:val="24"/>
          <w:szCs w:val="24"/>
        </w:rPr>
        <w:t xml:space="preserve"> Invitare formalmente chi sostiene tesi alternative a formulare i propri bersagli di smentita nella stessa grammatica: quesito, giacimento, evidenza attesa, criterio di chiusura. L'agenda è aperta agli avversari: chi non formula bersagli falsificabili dichiara da sé la natura della propria tesi.</w:t>
      </w:r>
    </w:p>
    <w:p>
      <w:pPr>
        <w:spacing w:after="120" w:line="276"/>
        <w:jc w:val="both"/>
      </w:pPr>
      <w:r>
        <w:rPr>
          <w:rFonts w:ascii="Barlow Semi Condensed" w:cs="Barlow Semi Condensed" w:eastAsia="Barlow Semi Condensed" w:hAnsi="Barlow Semi Condensed"/>
          <w:b/>
          <w:bCs/>
          <w:sz w:val="24"/>
          <w:szCs w:val="24"/>
        </w:rPr>
        <w:t xml:space="preserve">235 · Il registro delle smentite.</w:t>
      </w:r>
      <w:r>
        <w:rPr>
          <w:rFonts w:ascii="Barlow Semi Condensed" w:cs="Barlow Semi Condensed" w:eastAsia="Barlow Semi Condensed" w:hAnsi="Barlow Semi Condensed"/>
          <w:sz w:val="24"/>
          <w:szCs w:val="24"/>
        </w:rPr>
        <w:t xml:space="preserve"> Ogni smentita riuscita — tesi caduta, pista chiusa, reperto spiegato — entra in un registro pubblico con la sua data e il suo documento: l'elenco di ciò che non è più in questione. È il patrimonio più stabile dell'agenda: ciò che si è chiuso bene non riapre per suggestione.</w:t>
      </w:r>
    </w:p>
    <w:p>
      <w:pPr>
        <w:pStyle w:val="Heading2"/>
        <w:spacing w:after="100" w:before="200"/>
      </w:pPr>
      <w:r>
        <w:rPr>
          <w:rFonts w:ascii="Barlow Semi Condensed" w:cs="Barlow Semi Condensed" w:eastAsia="Barlow Semi Condensed" w:hAnsi="Barlow Semi Condensed"/>
          <w:sz w:val="24"/>
          <w:szCs w:val="24"/>
        </w:rPr>
        <w:t xml:space="preserve">Serie decima — Le cronologie e i registri da ricostruire (blocchi 236-260)</w:t>
      </w:r>
    </w:p>
    <w:p>
      <w:pPr>
        <w:spacing w:after="120" w:line="276"/>
        <w:jc w:val="both"/>
      </w:pPr>
      <w:r>
        <w:rPr>
          <w:rFonts w:ascii="Barlow Semi Condensed" w:cs="Barlow Semi Condensed" w:eastAsia="Barlow Semi Condensed" w:hAnsi="Barlow Semi Condensed"/>
          <w:i/>
          <w:iCs/>
          <w:sz w:val="24"/>
          <w:szCs w:val="24"/>
        </w:rPr>
        <w:t xml:space="preserve">Statuto della serie: la carta seriale. I registri, i protocolli, i brogliacci e i tabulati sono la classe di fonti meno interpretabile e più discriminante che esista: non raccontano, elencano. La serie elenca i registri che il caso non ha mai avuto in forma integrale e le vie per ricostruirli; ogni bersaglio ha per esito una tavola, e ogni tavola vale per ciò che contiene e per ciò che dimostra di non contenere.</w:t>
      </w:r>
    </w:p>
    <w:p>
      <w:pPr>
        <w:spacing w:after="120" w:line="276"/>
        <w:jc w:val="both"/>
      </w:pPr>
      <w:r>
        <w:rPr>
          <w:rFonts w:ascii="Barlow Semi Condensed" w:cs="Barlow Semi Condensed" w:eastAsia="Barlow Semi Condensed" w:hAnsi="Barlow Semi Condensed"/>
          <w:b/>
          <w:bCs/>
          <w:sz w:val="24"/>
          <w:szCs w:val="24"/>
        </w:rPr>
        <w:t xml:space="preserve">236 · Il registro d'ingresso delle segnalazioni.</w:t>
      </w:r>
      <w:r>
        <w:rPr>
          <w:rFonts w:ascii="Barlow Semi Condensed" w:cs="Barlow Semi Condensed" w:eastAsia="Barlow Semi Condensed" w:hAnsi="Barlow Semi Condensed"/>
          <w:sz w:val="24"/>
          <w:szCs w:val="24"/>
        </w:rPr>
        <w:t xml:space="preserve"> Ricostruire dai protocolli degli uffici riceventi — questure, prefetture, comandi, centralini — quante segnalazioni entrarono nei 55 giorni: la colonna dell'input mai prodotta, da opporre all'output documentato (72.460 posti di blocco, 37.702 perquisizioni). È il bersaglio capitale della serie, e il progetto esecutivo sta nella serie settima del manuale.</w:t>
      </w:r>
    </w:p>
    <w:p>
      <w:pPr>
        <w:spacing w:after="120" w:line="276"/>
        <w:jc w:val="both"/>
      </w:pPr>
      <w:r>
        <w:rPr>
          <w:rFonts w:ascii="Barlow Semi Condensed" w:cs="Barlow Semi Condensed" w:eastAsia="Barlow Semi Condensed" w:hAnsi="Barlow Semi Condensed"/>
          <w:b/>
          <w:bCs/>
          <w:sz w:val="24"/>
          <w:szCs w:val="24"/>
        </w:rPr>
        <w:t xml:space="preserve">237 · Il brogliaccio del 16 marzo.</w:t>
      </w:r>
      <w:r>
        <w:rPr>
          <w:rFonts w:ascii="Barlow Semi Condensed" w:cs="Barlow Semi Condensed" w:eastAsia="Barlow Semi Condensed" w:hAnsi="Barlow Semi Condensed"/>
          <w:sz w:val="24"/>
          <w:szCs w:val="24"/>
        </w:rPr>
        <w:t xml:space="preserve"> Cercare il brogliaccio della sala operativa della Questura di Roma e del Viminale per la mattina del 16 marzo 1978: la sequenza minuto per minuto delle prime comunicazioni, degli ordini d'intervento, dei blocchi disposti. La prima ora in carta seriale, non in memoria.</w:t>
      </w:r>
    </w:p>
    <w:p>
      <w:pPr>
        <w:spacing w:after="120" w:line="276"/>
        <w:jc w:val="both"/>
      </w:pPr>
      <w:r>
        <w:rPr>
          <w:rFonts w:ascii="Barlow Semi Condensed" w:cs="Barlow Semi Condensed" w:eastAsia="Barlow Semi Condensed" w:hAnsi="Barlow Semi Condensed"/>
          <w:b/>
          <w:bCs/>
          <w:sz w:val="24"/>
          <w:szCs w:val="24"/>
        </w:rPr>
        <w:t xml:space="preserve">238 · I registri delle volanti.</w:t>
      </w:r>
      <w:r>
        <w:rPr>
          <w:rFonts w:ascii="Barlow Semi Condensed" w:cs="Barlow Semi Condensed" w:eastAsia="Barlow Semi Condensed" w:hAnsi="Barlow Semi Condensed"/>
          <w:sz w:val="24"/>
          <w:szCs w:val="24"/>
        </w:rPr>
        <w:t xml:space="preserve"> I fogli di servizio e i registri di pattuglia della zona Trionfale-Camilluccia per il 16 marzo e le settimane precedenti: passaggi in via Fani, controlli, annotazioni. Il bersaglio include le settimane prima: la zona fu osservata dai sequestratori, e forse qualcuno annotò senza capire.</w:t>
      </w:r>
    </w:p>
    <w:p>
      <w:pPr>
        <w:spacing w:after="120" w:line="276"/>
        <w:jc w:val="both"/>
      </w:pPr>
      <w:r>
        <w:rPr>
          <w:rFonts w:ascii="Barlow Semi Condensed" w:cs="Barlow Semi Condensed" w:eastAsia="Barlow Semi Condensed" w:hAnsi="Barlow Semi Condensed"/>
          <w:b/>
          <w:bCs/>
          <w:sz w:val="24"/>
          <w:szCs w:val="24"/>
        </w:rPr>
        <w:t xml:space="preserve">239 · I tabulati superstiti.</w:t>
      </w:r>
      <w:r>
        <w:rPr>
          <w:rFonts w:ascii="Barlow Semi Condensed" w:cs="Barlow Semi Condensed" w:eastAsia="Barlow Semi Condensed" w:hAnsi="Barlow Semi Condensed"/>
          <w:sz w:val="24"/>
          <w:szCs w:val="24"/>
        </w:rPr>
        <w:t xml:space="preserve"> Censire quali tabulati telefonici del 1978 sopravvivono — utenze attenzionate, cabine della zona, utenze dei covi noti — presso archivi giudiziari e societari. L'esito realistico è un censimento del distrutto; anche la distruzione documentata, con la sua data e la sua norma, è un dato.</w:t>
      </w:r>
    </w:p>
    <w:p>
      <w:pPr>
        <w:spacing w:after="120" w:line="276"/>
        <w:jc w:val="both"/>
      </w:pPr>
      <w:r>
        <w:rPr>
          <w:rFonts w:ascii="Barlow Semi Condensed" w:cs="Barlow Semi Condensed" w:eastAsia="Barlow Semi Condensed" w:hAnsi="Barlow Semi Condensed"/>
          <w:b/>
          <w:bCs/>
          <w:sz w:val="24"/>
          <w:szCs w:val="24"/>
        </w:rPr>
        <w:t xml:space="preserve">240 · Il registro delle intercettazioni.</w:t>
      </w:r>
      <w:r>
        <w:rPr>
          <w:rFonts w:ascii="Barlow Semi Condensed" w:cs="Barlow Semi Condensed" w:eastAsia="Barlow Semi Condensed" w:hAnsi="Barlow Semi Condensed"/>
          <w:sz w:val="24"/>
          <w:szCs w:val="24"/>
        </w:rPr>
        <w:t xml:space="preserve"> Quante utenze furono intercettate nei 55 giorni, su quale decreto, con quali trascrizioni conservate: il registro delle attivazioni come tavola unica. Le trascrizioni superstiti si rileggono con la domanda del quesito 7: che cosa fu ascoltato e non riferito?</w:t>
      </w:r>
    </w:p>
    <w:p>
      <w:pPr>
        <w:spacing w:after="120" w:line="276"/>
        <w:jc w:val="both"/>
      </w:pPr>
      <w:r>
        <w:rPr>
          <w:rFonts w:ascii="Barlow Semi Condensed" w:cs="Barlow Semi Condensed" w:eastAsia="Barlow Semi Condensed" w:hAnsi="Barlow Semi Condensed"/>
          <w:b/>
          <w:bCs/>
          <w:sz w:val="24"/>
          <w:szCs w:val="24"/>
        </w:rPr>
        <w:t xml:space="preserve">241 · I verbali dei comitati, il calendario.</w:t>
      </w:r>
      <w:r>
        <w:rPr>
          <w:rFonts w:ascii="Barlow Semi Condensed" w:cs="Barlow Semi Condensed" w:eastAsia="Barlow Semi Condensed" w:hAnsi="Barlow Semi Condensed"/>
          <w:sz w:val="24"/>
          <w:szCs w:val="24"/>
        </w:rPr>
        <w:t xml:space="preserve"> Ricostruire il calendario integrale delle riunioni dei tre comitati del 16 marzo: date, presenze, ordini del giorno, decisioni. La tavola delle riunioni tenute contro le riunioni mai tenute (il comitato di esperti mai riunito collegialmente) è già un accertamento del corpus da portare a completezza documentale.</w:t>
      </w:r>
    </w:p>
    <w:p>
      <w:pPr>
        <w:spacing w:after="120" w:line="276"/>
        <w:jc w:val="both"/>
      </w:pPr>
      <w:r>
        <w:rPr>
          <w:rFonts w:ascii="Barlow Semi Condensed" w:cs="Barlow Semi Condensed" w:eastAsia="Barlow Semi Condensed" w:hAnsi="Barlow Semi Condensed"/>
          <w:b/>
          <w:bCs/>
          <w:sz w:val="24"/>
          <w:szCs w:val="24"/>
        </w:rPr>
        <w:t xml:space="preserve">242 · I registri carcerari dei 55 giorni.</w:t>
      </w:r>
      <w:r>
        <w:rPr>
          <w:rFonts w:ascii="Barlow Semi Condensed" w:cs="Barlow Semi Condensed" w:eastAsia="Barlow Semi Condensed" w:hAnsi="Barlow Semi Condensed"/>
          <w:sz w:val="24"/>
          <w:szCs w:val="24"/>
        </w:rPr>
        <w:t xml:space="preserve"> I registri dei colloqui nelle carceri dove erano detenuti i brigatisti storici, marzo-maggio 1978: chi entrò, con quale autorizzazione, con quale frequenza — il perimetro documentale del canale ecclesiastico e di ogni altro canale. Carta seriale, non memorialistica.</w:t>
      </w:r>
    </w:p>
    <w:p>
      <w:pPr>
        <w:spacing w:after="120" w:line="276"/>
        <w:jc w:val="both"/>
      </w:pPr>
      <w:r>
        <w:rPr>
          <w:rFonts w:ascii="Barlow Semi Condensed" w:cs="Barlow Semi Condensed" w:eastAsia="Barlow Semi Condensed" w:hAnsi="Barlow Semi Condensed"/>
          <w:b/>
          <w:bCs/>
          <w:sz w:val="24"/>
          <w:szCs w:val="24"/>
        </w:rPr>
        <w:t xml:space="preserve">243 · Il registro dei corpi di reato.</w:t>
      </w:r>
      <w:r>
        <w:rPr>
          <w:rFonts w:ascii="Barlow Semi Condensed" w:cs="Barlow Semi Condensed" w:eastAsia="Barlow Semi Condensed" w:hAnsi="Barlow Semi Condensed"/>
          <w:sz w:val="24"/>
          <w:szCs w:val="24"/>
        </w:rPr>
        <w:t xml:space="preserve"> La catena di custodia integrale dei reperti del caso dal 1978 a oggi: verbali di sequestro, trasferimenti, perizie, sedi. Ogni futura analisi della serie quarta vale quanto la catena che la precede; il registro ricostruito è la precondizione di tutto il cantiere dei reperti.</w:t>
      </w:r>
    </w:p>
    <w:p>
      <w:pPr>
        <w:spacing w:after="120" w:line="276"/>
        <w:jc w:val="both"/>
      </w:pPr>
      <w:r>
        <w:rPr>
          <w:rFonts w:ascii="Barlow Semi Condensed" w:cs="Barlow Semi Condensed" w:eastAsia="Barlow Semi Condensed" w:hAnsi="Barlow Semi Condensed"/>
          <w:b/>
          <w:bCs/>
          <w:sz w:val="24"/>
          <w:szCs w:val="24"/>
        </w:rPr>
        <w:t xml:space="preserve">244 · I protocolli riservati dei ministeri.</w:t>
      </w:r>
      <w:r>
        <w:rPr>
          <w:rFonts w:ascii="Barlow Semi Condensed" w:cs="Barlow Semi Condensed" w:eastAsia="Barlow Semi Condensed" w:hAnsi="Barlow Semi Condensed"/>
          <w:sz w:val="24"/>
          <w:szCs w:val="24"/>
        </w:rPr>
        <w:t xml:space="preserve"> I registri di protocollo riservato di Interno ed Esteri per marzo-maggio 1978: la carta seriale che consente di dire quali documenti esistettero, anche dove i documenti stessi mancano. Il protocollo che registra una nota scomparsa è la prova che la nota esistette.</w:t>
      </w:r>
    </w:p>
    <w:p>
      <w:pPr>
        <w:spacing w:after="120" w:line="276"/>
        <w:jc w:val="both"/>
      </w:pPr>
      <w:r>
        <w:rPr>
          <w:rFonts w:ascii="Barlow Semi Condensed" w:cs="Barlow Semi Condensed" w:eastAsia="Barlow Semi Condensed" w:hAnsi="Barlow Semi Condensed"/>
          <w:b/>
          <w:bCs/>
          <w:sz w:val="24"/>
          <w:szCs w:val="24"/>
        </w:rPr>
        <w:t xml:space="preserve">245 · Le agende di gabinetto.</w:t>
      </w:r>
      <w:r>
        <w:rPr>
          <w:rFonts w:ascii="Barlow Semi Condensed" w:cs="Barlow Semi Condensed" w:eastAsia="Barlow Semi Condensed" w:hAnsi="Barlow Semi Condensed"/>
          <w:sz w:val="24"/>
          <w:szCs w:val="24"/>
        </w:rPr>
        <w:t xml:space="preserve"> Le agende ufficiali e i registri delle presenze dei gabinetti ministeriali nei 55 giorni: chi incontrò chi, quando, negli uffici che decidevano. Non le agende private delle persone: i registri d'ufficio, che sono atti e si chiedono come atti.</w:t>
      </w:r>
    </w:p>
    <w:p>
      <w:pPr>
        <w:spacing w:after="120" w:line="276"/>
        <w:jc w:val="both"/>
      </w:pPr>
      <w:r>
        <w:rPr>
          <w:rFonts w:ascii="Barlow Semi Condensed" w:cs="Barlow Semi Condensed" w:eastAsia="Barlow Semi Condensed" w:hAnsi="Barlow Semi Condensed"/>
          <w:b/>
          <w:bCs/>
          <w:sz w:val="24"/>
          <w:szCs w:val="24"/>
        </w:rPr>
        <w:t xml:space="preserve">246 · Il registro dei posti di blocco.</w:t>
      </w:r>
      <w:r>
        <w:rPr>
          <w:rFonts w:ascii="Barlow Semi Condensed" w:cs="Barlow Semi Condensed" w:eastAsia="Barlow Semi Condensed" w:hAnsi="Barlow Semi Condensed"/>
          <w:sz w:val="24"/>
          <w:szCs w:val="24"/>
        </w:rPr>
        <w:t xml:space="preserve"> Dell'output dichiarato (72.460 posti di blocco), campionare i registri effettivi: dove furono disposti, con quali orari, su quali direttrici, con quali esiti verbalizzati. Il campione misura la qualità dell'output: un numero senza registri è un numero, non un'attività.</w:t>
      </w:r>
    </w:p>
    <w:p>
      <w:pPr>
        <w:spacing w:after="120" w:line="276"/>
        <w:jc w:val="both"/>
      </w:pPr>
      <w:r>
        <w:rPr>
          <w:rFonts w:ascii="Barlow Semi Condensed" w:cs="Barlow Semi Condensed" w:eastAsia="Barlow Semi Condensed" w:hAnsi="Barlow Semi Condensed"/>
          <w:b/>
          <w:bCs/>
          <w:sz w:val="24"/>
          <w:szCs w:val="24"/>
        </w:rPr>
        <w:t xml:space="preserve">247 · Le perquisizioni a campione.</w:t>
      </w:r>
      <w:r>
        <w:rPr>
          <w:rFonts w:ascii="Barlow Semi Condensed" w:cs="Barlow Semi Condensed" w:eastAsia="Barlow Semi Condensed" w:hAnsi="Barlow Semi Condensed"/>
          <w:sz w:val="24"/>
          <w:szCs w:val="24"/>
        </w:rPr>
        <w:t xml:space="preserve"> Delle 37.702 perquisizioni dichiarate, estrarre un campione documentale: i verbali, i criteri di selezione degli obiettivi, gli esiti. Il campione risponde a una domanda sola: la macchina cercava dove le segnalazioni indicavano, o dove era più semplice cercare?</w:t>
      </w:r>
    </w:p>
    <w:p>
      <w:pPr>
        <w:spacing w:after="120" w:line="276"/>
        <w:jc w:val="both"/>
      </w:pPr>
      <w:r>
        <w:rPr>
          <w:rFonts w:ascii="Barlow Semi Condensed" w:cs="Barlow Semi Condensed" w:eastAsia="Barlow Semi Condensed" w:hAnsi="Barlow Semi Condensed"/>
          <w:b/>
          <w:bCs/>
          <w:sz w:val="24"/>
          <w:szCs w:val="24"/>
        </w:rPr>
        <w:t xml:space="preserve">248 · I registri di frontiera.</w:t>
      </w:r>
      <w:r>
        <w:rPr>
          <w:rFonts w:ascii="Barlow Semi Condensed" w:cs="Barlow Semi Condensed" w:eastAsia="Barlow Semi Condensed" w:hAnsi="Barlow Semi Condensed"/>
          <w:sz w:val="24"/>
          <w:szCs w:val="24"/>
        </w:rPr>
        <w:t xml:space="preserve"> I registri dei valichi e degli scali per i giorni chiave — 16 marzo, 18 aprile, 9 maggio e le finestre dei comunicati: ingressi e uscite attenzionati, controlli straordinari disposti e revocati. La domanda è seriale: il dispositivo di frontiera fu mai modificato, e su quale input?</w:t>
      </w:r>
    </w:p>
    <w:p>
      <w:pPr>
        <w:spacing w:after="120" w:line="276"/>
        <w:jc w:val="both"/>
      </w:pPr>
      <w:r>
        <w:rPr>
          <w:rFonts w:ascii="Barlow Semi Condensed" w:cs="Barlow Semi Condensed" w:eastAsia="Barlow Semi Condensed" w:hAnsi="Barlow Semi Condensed"/>
          <w:b/>
          <w:bCs/>
          <w:sz w:val="24"/>
          <w:szCs w:val="24"/>
        </w:rPr>
        <w:t xml:space="preserve">249 · L'anagrafe dei condominii.</w:t>
      </w:r>
      <w:r>
        <w:rPr>
          <w:rFonts w:ascii="Barlow Semi Condensed" w:cs="Barlow Semi Condensed" w:eastAsia="Barlow Semi Condensed" w:hAnsi="Barlow Semi Condensed"/>
          <w:sz w:val="24"/>
          <w:szCs w:val="24"/>
        </w:rPr>
        <w:t xml:space="preserve"> Per via Gradoli 96 e via Montalcini 8: registri condominiali, verbali d'assemblea, contratti di locazione, utenze — l'anagrafe documentale completa degli stabili, anno per anno. La serie del condominio (quesiti 5 e 6) si decide su questa carta, non sulle memorie.</w:t>
      </w:r>
    </w:p>
    <w:p>
      <w:pPr>
        <w:spacing w:after="120" w:line="276"/>
        <w:jc w:val="both"/>
      </w:pPr>
      <w:r>
        <w:rPr>
          <w:rFonts w:ascii="Barlow Semi Condensed" w:cs="Barlow Semi Condensed" w:eastAsia="Barlow Semi Condensed" w:hAnsi="Barlow Semi Condensed"/>
          <w:b/>
          <w:bCs/>
          <w:sz w:val="24"/>
          <w:szCs w:val="24"/>
        </w:rPr>
        <w:t xml:space="preserve">250 · Il registro del 18 aprile.</w:t>
      </w:r>
      <w:r>
        <w:rPr>
          <w:rFonts w:ascii="Barlow Semi Condensed" w:cs="Barlow Semi Condensed" w:eastAsia="Barlow Semi Condensed" w:hAnsi="Barlow Semi Condensed"/>
          <w:sz w:val="24"/>
          <w:szCs w:val="24"/>
        </w:rPr>
        <w:t xml:space="preserve"> La giornata del triplo evento — l'acqua di via Gradoli, il falso comunicato del Lago della Duchessa, la perquisizione del covo — ricostruita in carta seriale: ordini di servizio dei vigili del fuoco, brogliacci delle redazioni, verbali della Questura, con i minuti. Tre eventi, una tavola oraria.</w:t>
      </w:r>
    </w:p>
    <w:p>
      <w:pPr>
        <w:spacing w:after="120" w:line="276"/>
        <w:jc w:val="both"/>
      </w:pPr>
      <w:r>
        <w:rPr>
          <w:rFonts w:ascii="Barlow Semi Condensed" w:cs="Barlow Semi Condensed" w:eastAsia="Barlow Semi Condensed" w:hAnsi="Barlow Semi Condensed"/>
          <w:b/>
          <w:bCs/>
          <w:sz w:val="24"/>
          <w:szCs w:val="24"/>
        </w:rPr>
        <w:t xml:space="preserve">251 · Il registro del 2 aprile.</w:t>
      </w:r>
      <w:r>
        <w:rPr>
          <w:rFonts w:ascii="Barlow Semi Condensed" w:cs="Barlow Semi Condensed" w:eastAsia="Barlow Semi Condensed" w:hAnsi="Barlow Semi Condensed"/>
          <w:sz w:val="24"/>
          <w:szCs w:val="24"/>
        </w:rPr>
        <w:t xml:space="preserve"> La seduta di Zappolino in carta: chi era presente, chi verbalizzò all'epoca, quando la parola «Gradoli» raggiunse quale ufficio, che cosa l'ufficio ne fece — la catena documentale dalla parola alla perquisizione del paese sbagliato. Ogni passaggio ha o non ha una carta: la tavola lo dirà.</w:t>
      </w:r>
    </w:p>
    <w:p>
      <w:pPr>
        <w:spacing w:after="120" w:line="276"/>
        <w:jc w:val="both"/>
      </w:pPr>
      <w:r>
        <w:rPr>
          <w:rFonts w:ascii="Barlow Semi Condensed" w:cs="Barlow Semi Condensed" w:eastAsia="Barlow Semi Condensed" w:hAnsi="Barlow Semi Condensed"/>
          <w:b/>
          <w:bCs/>
          <w:sz w:val="24"/>
          <w:szCs w:val="24"/>
        </w:rPr>
        <w:t xml:space="preserve">252 · Il registro del 30 aprile e del 9 maggio.</w:t>
      </w:r>
      <w:r>
        <w:rPr>
          <w:rFonts w:ascii="Barlow Semi Condensed" w:cs="Barlow Semi Condensed" w:eastAsia="Barlow Semi Condensed" w:hAnsi="Barlow Semi Condensed"/>
          <w:sz w:val="24"/>
          <w:szCs w:val="24"/>
        </w:rPr>
        <w:t xml:space="preserve"> Le telefonate finali in carta seriale: orari, utenze, registrazioni esistenti, trascrizioni, catene di custodia dei nastri. La serie audio (blocchi della serie quarta) lavora sui contenuti; questo blocco lavora sull'anagrafe dei supporti.</w:t>
      </w:r>
    </w:p>
    <w:p>
      <w:pPr>
        <w:spacing w:after="120" w:line="276"/>
        <w:jc w:val="both"/>
      </w:pPr>
      <w:r>
        <w:rPr>
          <w:rFonts w:ascii="Barlow Semi Condensed" w:cs="Barlow Semi Condensed" w:eastAsia="Barlow Semi Condensed" w:hAnsi="Barlow Semi Condensed"/>
          <w:b/>
          <w:bCs/>
          <w:sz w:val="24"/>
          <w:szCs w:val="24"/>
        </w:rPr>
        <w:t xml:space="preserve">253 · La cronologia machine-readable dei 55 giorni.</w:t>
      </w:r>
      <w:r>
        <w:rPr>
          <w:rFonts w:ascii="Barlow Semi Condensed" w:cs="Barlow Semi Condensed" w:eastAsia="Barlow Semi Condensed" w:hAnsi="Barlow Semi Condensed"/>
          <w:sz w:val="24"/>
          <w:szCs w:val="24"/>
        </w:rPr>
        <w:t xml:space="preserve"> Fondere tutte le cronologie del caso — istruttorie, commissioni, corpus — in una sola tavola strutturata (data, ora, evento, fonte, grado), con i conflitti fra fonti dichiarati riga per riga. È il registro dei registri: ogni nuova carta seriale vi si aggancia.</w:t>
      </w:r>
    </w:p>
    <w:p>
      <w:pPr>
        <w:spacing w:after="120" w:line="276"/>
        <w:jc w:val="both"/>
      </w:pPr>
      <w:r>
        <w:rPr>
          <w:rFonts w:ascii="Barlow Semi Condensed" w:cs="Barlow Semi Condensed" w:eastAsia="Barlow Semi Condensed" w:hAnsi="Barlow Semi Condensed"/>
          <w:b/>
          <w:bCs/>
          <w:sz w:val="24"/>
          <w:szCs w:val="24"/>
        </w:rPr>
        <w:t xml:space="preserve">254 · La cronologia del dopo.</w:t>
      </w:r>
      <w:r>
        <w:rPr>
          <w:rFonts w:ascii="Barlow Semi Condensed" w:cs="Barlow Semi Condensed" w:eastAsia="Barlow Semi Condensed" w:hAnsi="Barlow Semi Condensed"/>
          <w:sz w:val="24"/>
          <w:szCs w:val="24"/>
        </w:rPr>
        <w:t xml:space="preserve"> La stessa tavola estesa oltre il 9 maggio: ritrovamenti, processi, versamenti, perizie, dal 1978 a oggi. Il caso ha quarantott'anni di storia documentale; l'agenda la vuole interrogabile quanto i 55 giorni.</w:t>
      </w:r>
    </w:p>
    <w:p>
      <w:pPr>
        <w:spacing w:after="120" w:line="276"/>
        <w:jc w:val="both"/>
      </w:pPr>
      <w:r>
        <w:rPr>
          <w:rFonts w:ascii="Barlow Semi Condensed" w:cs="Barlow Semi Condensed" w:eastAsia="Barlow Semi Condensed" w:hAnsi="Barlow Semi Condensed"/>
          <w:b/>
          <w:bCs/>
          <w:sz w:val="24"/>
          <w:szCs w:val="24"/>
        </w:rPr>
        <w:t xml:space="preserve">255 · Il censimento dei distrutti.</w:t>
      </w:r>
      <w:r>
        <w:rPr>
          <w:rFonts w:ascii="Barlow Semi Condensed" w:cs="Barlow Semi Condensed" w:eastAsia="Barlow Semi Condensed" w:hAnsi="Barlow Semi Condensed"/>
          <w:sz w:val="24"/>
          <w:szCs w:val="24"/>
        </w:rPr>
        <w:t xml:space="preserve"> Per ogni classe di registri cercata e non trovata: quando fu distrutta, in base a quale massimario di scarto, con quale verbale di scarto. Lo scarto è un atto amministrativo che lascia traccia: il censimento del distrutto trasforma le assenze in date.</w:t>
      </w:r>
    </w:p>
    <w:p>
      <w:pPr>
        <w:spacing w:after="120" w:line="276"/>
        <w:jc w:val="both"/>
      </w:pPr>
      <w:r>
        <w:rPr>
          <w:rFonts w:ascii="Barlow Semi Condensed" w:cs="Barlow Semi Condensed" w:eastAsia="Barlow Semi Condensed" w:hAnsi="Barlow Semi Condensed"/>
          <w:b/>
          <w:bCs/>
          <w:sz w:val="24"/>
          <w:szCs w:val="24"/>
        </w:rPr>
        <w:t xml:space="preserve">256 · I registri sanitari.</w:t>
      </w:r>
      <w:r>
        <w:rPr>
          <w:rFonts w:ascii="Barlow Semi Condensed" w:cs="Barlow Semi Condensed" w:eastAsia="Barlow Semi Condensed" w:hAnsi="Barlow Semi Condensed"/>
          <w:sz w:val="24"/>
          <w:szCs w:val="24"/>
        </w:rPr>
        <w:t xml:space="preserve"> Le carte sanitarie pubbliche dei 55 giorni utili ai quesiti: i registri dei pronto soccorso romani per il 16 marzo (ferite non denunciate), le farmacie di zona per i presidi della prigionia. Bersagli d'archivio a bassa probabilità e alto rendimento se colpiscono.</w:t>
      </w:r>
    </w:p>
    <w:p>
      <w:pPr>
        <w:spacing w:after="120" w:line="276"/>
        <w:jc w:val="both"/>
      </w:pPr>
      <w:r>
        <w:rPr>
          <w:rFonts w:ascii="Barlow Semi Condensed" w:cs="Barlow Semi Condensed" w:eastAsia="Barlow Semi Condensed" w:hAnsi="Barlow Semi Condensed"/>
          <w:b/>
          <w:bCs/>
          <w:sz w:val="24"/>
          <w:szCs w:val="24"/>
        </w:rPr>
        <w:t xml:space="preserve">257 · I registri della nettezza e delle utenze.</w:t>
      </w:r>
      <w:r>
        <w:rPr>
          <w:rFonts w:ascii="Barlow Semi Condensed" w:cs="Barlow Semi Condensed" w:eastAsia="Barlow Semi Condensed" w:hAnsi="Barlow Semi Condensed"/>
          <w:sz w:val="24"/>
          <w:szCs w:val="24"/>
        </w:rPr>
        <w:t xml:space="preserve"> Per gli stabili chiave e le settimane chiave: consumi idrici ed elettrici, ritiri, manutenzioni — la microcarta seriale che può confermare o smentire presenze e abitudini (l'acqua di via Gradoli insegna). Si chiede alle società, che hanno archivi propri.</w:t>
      </w:r>
    </w:p>
    <w:p>
      <w:pPr>
        <w:spacing w:after="120" w:line="276"/>
        <w:jc w:val="both"/>
      </w:pPr>
      <w:r>
        <w:rPr>
          <w:rFonts w:ascii="Barlow Semi Condensed" w:cs="Barlow Semi Condensed" w:eastAsia="Barlow Semi Condensed" w:hAnsi="Barlow Semi Condensed"/>
          <w:b/>
          <w:bCs/>
          <w:sz w:val="24"/>
          <w:szCs w:val="24"/>
        </w:rPr>
        <w:t xml:space="preserve">258 · I registri bancari del fondo.</w:t>
      </w:r>
      <w:r>
        <w:rPr>
          <w:rFonts w:ascii="Barlow Semi Condensed" w:cs="Barlow Semi Condensed" w:eastAsia="Barlow Semi Condensed" w:hAnsi="Barlow Semi Condensed"/>
          <w:sz w:val="24"/>
          <w:szCs w:val="24"/>
        </w:rPr>
        <w:t xml:space="preserve"> Per la parte patrimoniale del quesito 11: movimenti documentati, fascette, provenienze già accertate (l'accertamento Moro 2 sul finanziatore), destinazioni. La tavola dei movimenti, fin dove le carte arrivano, con lo Stato Zero dichiarato dove si fermano.</w:t>
      </w:r>
    </w:p>
    <w:p>
      <w:pPr>
        <w:spacing w:after="120" w:line="276"/>
        <w:jc w:val="both"/>
      </w:pPr>
      <w:r>
        <w:rPr>
          <w:rFonts w:ascii="Barlow Semi Condensed" w:cs="Barlow Semi Condensed" w:eastAsia="Barlow Semi Condensed" w:hAnsi="Barlow Semi Condensed"/>
          <w:b/>
          <w:bCs/>
          <w:sz w:val="24"/>
          <w:szCs w:val="24"/>
        </w:rPr>
        <w:t xml:space="preserve">259 · Il registro delle richieste dell'agenda.</w:t>
      </w:r>
      <w:r>
        <w:rPr>
          <w:rFonts w:ascii="Barlow Semi Condensed" w:cs="Barlow Semi Condensed" w:eastAsia="Barlow Semi Condensed" w:hAnsi="Barlow Semi Condensed"/>
          <w:sz w:val="24"/>
          <w:szCs w:val="24"/>
        </w:rPr>
        <w:t xml:space="preserve"> Ogni richiesta d'accesso che l'agenda genera — istanze, FOIA, rogatorie — entra a sua volta in un registro pubblico: data, destinatario, oggetto, esito, tempi. L'agenda tiene su di sé la stessa contabilità che pretende dagli archivi del 1978.</w:t>
      </w:r>
    </w:p>
    <w:p>
      <w:pPr>
        <w:spacing w:after="120" w:line="276"/>
        <w:jc w:val="both"/>
      </w:pPr>
      <w:r>
        <w:rPr>
          <w:rFonts w:ascii="Barlow Semi Condensed" w:cs="Barlow Semi Condensed" w:eastAsia="Barlow Semi Condensed" w:hAnsi="Barlow Semi Condensed"/>
          <w:b/>
          <w:bCs/>
          <w:sz w:val="24"/>
          <w:szCs w:val="24"/>
        </w:rPr>
        <w:t xml:space="preserve">260 · La tavola delle tavole.</w:t>
      </w:r>
      <w:r>
        <w:rPr>
          <w:rFonts w:ascii="Barlow Semi Condensed" w:cs="Barlow Semi Condensed" w:eastAsia="Barlow Semi Condensed" w:hAnsi="Barlow Semi Condensed"/>
          <w:sz w:val="24"/>
          <w:szCs w:val="24"/>
        </w:rPr>
        <w:t xml:space="preserve"> L'indice unico di tutti i registri ricostruiti, in costruzione permanente: per ciascuno, copertura, lacune, grado, sede. Chi apre l'indice deve poter dire in un minuto che cosa la carta seriale del caso contiene e dove finisce — e che cosa resta da ricostruire.</w:t>
      </w:r>
    </w:p>
    <w:p>
      <w:pPr>
        <w:pStyle w:val="Heading2"/>
        <w:spacing w:after="100" w:before="200"/>
      </w:pPr>
      <w:r>
        <w:rPr>
          <w:rFonts w:ascii="Barlow Semi Condensed" w:cs="Barlow Semi Condensed" w:eastAsia="Barlow Semi Condensed" w:hAnsi="Barlow Semi Condensed"/>
          <w:sz w:val="24"/>
          <w:szCs w:val="24"/>
        </w:rPr>
        <w:t xml:space="preserve">Serie undicesima — I raccordi con le piste e con il manuale (blocchi 261-280)</w:t>
      </w:r>
    </w:p>
    <w:p>
      <w:pPr>
        <w:spacing w:after="120" w:line="276"/>
        <w:jc w:val="both"/>
      </w:pPr>
      <w:r>
        <w:rPr>
          <w:rFonts w:ascii="Barlow Semi Condensed" w:cs="Barlow Semi Condensed" w:eastAsia="Barlow Semi Condensed" w:hAnsi="Barlow Semi Condensed"/>
          <w:i/>
          <w:iCs/>
          <w:sz w:val="24"/>
          <w:szCs w:val="24"/>
        </w:rPr>
        <w:t xml:space="preserve">Statuto della serie: nessun bersaglio orfano. Ogni blocco dell'agenda serve una pista del programma investigativo e si esegue con i protocolli del manuale; la serie salda le tre opere — programma, manuale, agenda — in un solo sistema, pista per pista.</w:t>
      </w:r>
    </w:p>
    <w:p>
      <w:pPr>
        <w:spacing w:after="120" w:line="276"/>
        <w:jc w:val="both"/>
      </w:pPr>
      <w:r>
        <w:rPr>
          <w:rFonts w:ascii="Barlow Semi Condensed" w:cs="Barlow Semi Condensed" w:eastAsia="Barlow Semi Condensed" w:hAnsi="Barlow Semi Condensed"/>
          <w:b/>
          <w:bCs/>
          <w:sz w:val="24"/>
          <w:szCs w:val="24"/>
        </w:rPr>
        <w:t xml:space="preserve">261 · Il raccordo di PN-1 (le terze presenze).</w:t>
      </w:r>
      <w:r>
        <w:rPr>
          <w:rFonts w:ascii="Barlow Semi Condensed" w:cs="Barlow Semi Condensed" w:eastAsia="Barlow Semi Condensed" w:hAnsi="Barlow Semi Condensed"/>
          <w:sz w:val="24"/>
          <w:szCs w:val="24"/>
        </w:rPr>
        <w:t xml:space="preserve"> La pista di testa (89,0) si nutre dei blocchi 1, 2, 71-100 (reperti), 212, 226, 237-238: DNA, balistica integrale, Honda, caricatore, brogliacci del 16 marzo. Esecuzione con i protocolli forensi del manuale (serie terza) e il raccordo esecutivo del suo blocco 376 e seguenti.</w:t>
      </w:r>
    </w:p>
    <w:p>
      <w:pPr>
        <w:spacing w:after="120" w:line="276"/>
        <w:jc w:val="both"/>
      </w:pPr>
      <w:r>
        <w:rPr>
          <w:rFonts w:ascii="Barlow Semi Condensed" w:cs="Barlow Semi Condensed" w:eastAsia="Barlow Semi Condensed" w:hAnsi="Barlow Semi Condensed"/>
          <w:b/>
          <w:bCs/>
          <w:sz w:val="24"/>
          <w:szCs w:val="24"/>
        </w:rPr>
        <w:t xml:space="preserve">262 · Il raccordo di PN-7 (i testimoni viventi).</w:t>
      </w:r>
      <w:r>
        <w:rPr>
          <w:rFonts w:ascii="Barlow Semi Condensed" w:cs="Barlow Semi Condensed" w:eastAsia="Barlow Semi Condensed" w:hAnsi="Barlow Semi Condensed"/>
          <w:sz w:val="24"/>
          <w:szCs w:val="24"/>
        </w:rPr>
        <w:t xml:space="preserve"> L'urgenza massima (77,5, l'unico 10 di urgenza) si nutre della serie quinta intera (101-125) col controlimite del blocco 224: raccolta conservativa subito, corroborazione fisica prima dell'uso. Il tempo è la variabile: questa pista consuma la sua finestra ogni mese.</w:t>
      </w:r>
    </w:p>
    <w:p>
      <w:pPr>
        <w:spacing w:after="120" w:line="276"/>
        <w:jc w:val="both"/>
      </w:pPr>
      <w:r>
        <w:rPr>
          <w:rFonts w:ascii="Barlow Semi Condensed" w:cs="Barlow Semi Condensed" w:eastAsia="Barlow Semi Condensed" w:hAnsi="Barlow Semi Condensed"/>
          <w:b/>
          <w:bCs/>
          <w:sz w:val="24"/>
          <w:szCs w:val="24"/>
        </w:rPr>
        <w:t xml:space="preserve">263 · Il raccordo di PN-4 (la fonte di «Gradoli»).</w:t>
      </w:r>
      <w:r>
        <w:rPr>
          <w:rFonts w:ascii="Barlow Semi Condensed" w:cs="Barlow Semi Condensed" w:eastAsia="Barlow Semi Condensed" w:hAnsi="Barlow Semi Condensed"/>
          <w:sz w:val="24"/>
          <w:szCs w:val="24"/>
        </w:rPr>
        <w:t xml:space="preserve"> La pista (74,5) si nutre dei blocchi 3, 213, 225, 251: testimonianze incrociate superstiti e catena documentale della parola. Criterio di chiusura già fissato dal programma: fonte identificata con documento, o Stato Zero dichiarato dopo l'escussione dell'ultimo presente.</w:t>
      </w:r>
    </w:p>
    <w:p>
      <w:pPr>
        <w:spacing w:after="120" w:line="276"/>
        <w:jc w:val="both"/>
      </w:pPr>
      <w:r>
        <w:rPr>
          <w:rFonts w:ascii="Barlow Semi Condensed" w:cs="Barlow Semi Condensed" w:eastAsia="Barlow Semi Condensed" w:hAnsi="Barlow Semi Condensed"/>
          <w:b/>
          <w:bCs/>
          <w:sz w:val="24"/>
          <w:szCs w:val="24"/>
        </w:rPr>
        <w:t xml:space="preserve">264 · Il raccordo di PN-2 (il caricatore di via Stresa).</w:t>
      </w:r>
      <w:r>
        <w:rPr>
          <w:rFonts w:ascii="Barlow Semi Condensed" w:cs="Barlow Semi Condensed" w:eastAsia="Barlow Semi Condensed" w:hAnsi="Barlow Semi Condensed"/>
          <w:sz w:val="24"/>
          <w:szCs w:val="24"/>
        </w:rPr>
        <w:t xml:space="preserve"> La pista (71,0) si nutre dei blocchi 226, 243 e dei bersagli forensi della serie quarta: attribuzione o inattribuibilità documentata. Reperto singolo, quesito binario, rendimento alto in entrambi gli esiti.</w:t>
      </w:r>
    </w:p>
    <w:p>
      <w:pPr>
        <w:spacing w:after="120" w:line="276"/>
        <w:jc w:val="both"/>
      </w:pPr>
      <w:r>
        <w:rPr>
          <w:rFonts w:ascii="Barlow Semi Condensed" w:cs="Barlow Semi Condensed" w:eastAsia="Barlow Semi Condensed" w:hAnsi="Barlow Semi Condensed"/>
          <w:b/>
          <w:bCs/>
          <w:sz w:val="24"/>
          <w:szCs w:val="24"/>
        </w:rPr>
        <w:t xml:space="preserve">265 · Il raccordo di PN-5 e PN-3 (fondo Renzi e seduta).</w:t>
      </w:r>
      <w:r>
        <w:rPr>
          <w:rFonts w:ascii="Barlow Semi Condensed" w:cs="Barlow Semi Condensed" w:eastAsia="Barlow Semi Condensed" w:hAnsi="Barlow Semi Condensed"/>
          <w:sz w:val="24"/>
          <w:szCs w:val="24"/>
        </w:rPr>
        <w:t xml:space="preserve"> Le piste appaiate (67,5) si nutrono rispettivamente della serie seconda (lo spoglio del versamento) e dei blocchi 3, 225, 251. Lo spoglio del fondo è la ricerca a più alto volume dell'intera agenda: procede per campagne, con la contabilità della serie dodicesima.</w:t>
      </w:r>
    </w:p>
    <w:p>
      <w:pPr>
        <w:spacing w:after="120" w:line="276"/>
        <w:jc w:val="both"/>
      </w:pPr>
      <w:r>
        <w:rPr>
          <w:rFonts w:ascii="Barlow Semi Condensed" w:cs="Barlow Semi Condensed" w:eastAsia="Barlow Semi Condensed" w:hAnsi="Barlow Semi Condensed"/>
          <w:b/>
          <w:bCs/>
          <w:sz w:val="24"/>
          <w:szCs w:val="24"/>
        </w:rPr>
        <w:t xml:space="preserve">266 · Il raccordo di PN-8 (gli archivi che si aprono).</w:t>
      </w:r>
      <w:r>
        <w:rPr>
          <w:rFonts w:ascii="Barlow Semi Condensed" w:cs="Barlow Semi Condensed" w:eastAsia="Barlow Semi Condensed" w:hAnsi="Barlow Semi Condensed"/>
          <w:sz w:val="24"/>
          <w:szCs w:val="24"/>
        </w:rPr>
        <w:t xml:space="preserve"> La pista (52,5) si nutre delle serie sesta e settima: i giacimenti esteri e i fondi privati, con i loro calendari di apertura. Pista lenta per natura: i suoi bersagli maturano per decorso dei termini, e l'agenda tiene il calendario (blocco del motore delle scadenze nel manuale).</w:t>
      </w:r>
    </w:p>
    <w:p>
      <w:pPr>
        <w:spacing w:after="120" w:line="276"/>
        <w:jc w:val="both"/>
      </w:pPr>
      <w:r>
        <w:rPr>
          <w:rFonts w:ascii="Barlow Semi Condensed" w:cs="Barlow Semi Condensed" w:eastAsia="Barlow Semi Condensed" w:hAnsi="Barlow Semi Condensed"/>
          <w:b/>
          <w:bCs/>
          <w:sz w:val="24"/>
          <w:szCs w:val="24"/>
        </w:rPr>
        <w:t xml:space="preserve">267 · Il raccordo di PN-6 (il vaglio negativo).</w:t>
      </w:r>
      <w:r>
        <w:rPr>
          <w:rFonts w:ascii="Barlow Semi Condensed" w:cs="Barlow Semi Condensed" w:eastAsia="Barlow Semi Condensed" w:hAnsi="Barlow Semi Condensed"/>
          <w:sz w:val="24"/>
          <w:szCs w:val="24"/>
        </w:rPr>
        <w:t xml:space="preserve"> La pista (50,5) è la serie nona intera: le piste da chiudere con smentita documentata. Il suo prodotto è il registro delle smentite (235): la metà dell'igiene del caso.</w:t>
      </w:r>
    </w:p>
    <w:p>
      <w:pPr>
        <w:spacing w:after="120" w:line="276"/>
        <w:jc w:val="both"/>
      </w:pPr>
      <w:r>
        <w:rPr>
          <w:rFonts w:ascii="Barlow Semi Condensed" w:cs="Barlow Semi Condensed" w:eastAsia="Barlow Semi Condensed" w:hAnsi="Barlow Semi Condensed"/>
          <w:b/>
          <w:bCs/>
          <w:sz w:val="24"/>
          <w:szCs w:val="24"/>
        </w:rPr>
        <w:t xml:space="preserve">268 · Il raccordo di PE-1 (i comitati).</w:t>
      </w:r>
      <w:r>
        <w:rPr>
          <w:rFonts w:ascii="Barlow Semi Condensed" w:cs="Barlow Semi Condensed" w:eastAsia="Barlow Semi Condensed" w:hAnsi="Barlow Semi Condensed"/>
          <w:sz w:val="24"/>
          <w:szCs w:val="24"/>
        </w:rPr>
        <w:t xml:space="preserve"> L'entità (74,5) si nutre dei blocchi 8, 227, 241, 244-245 e dei bersagli ACS della serie seconda: verbali, protocolli, presenze. L'esito è documentale per definizione: la tavola dei comitati come funzionarono, qualunque cosa la tavola dica.</w:t>
      </w:r>
    </w:p>
    <w:p>
      <w:pPr>
        <w:spacing w:after="120" w:line="276"/>
        <w:jc w:val="both"/>
      </w:pPr>
      <w:r>
        <w:rPr>
          <w:rFonts w:ascii="Barlow Semi Condensed" w:cs="Barlow Semi Condensed" w:eastAsia="Barlow Semi Condensed" w:hAnsi="Barlow Semi Condensed"/>
          <w:b/>
          <w:bCs/>
          <w:sz w:val="24"/>
          <w:szCs w:val="24"/>
        </w:rPr>
        <w:t xml:space="preserve">269 · Il raccordo di PE-3 (i trenta giorni di via Gradoli).</w:t>
      </w:r>
      <w:r>
        <w:rPr>
          <w:rFonts w:ascii="Barlow Semi Condensed" w:cs="Barlow Semi Condensed" w:eastAsia="Barlow Semi Condensed" w:hAnsi="Barlow Semi Condensed"/>
          <w:sz w:val="24"/>
          <w:szCs w:val="24"/>
        </w:rPr>
        <w:t xml:space="preserve"> L'entità (74,5) si nutre dei blocchi 4, 214, 249, 250, 251: catena di comando del 18 marzo, anagrafe dello stabile, tavola oraria del 18 aprile. La scheda dell'entità fissa i fatti già verificati; l'agenda elenca le carte che mancano.</w:t>
      </w:r>
    </w:p>
    <w:p>
      <w:pPr>
        <w:spacing w:after="120" w:line="276"/>
        <w:jc w:val="both"/>
      </w:pPr>
      <w:r>
        <w:rPr>
          <w:rFonts w:ascii="Barlow Semi Condensed" w:cs="Barlow Semi Condensed" w:eastAsia="Barlow Semi Condensed" w:hAnsi="Barlow Semi Condensed"/>
          <w:b/>
          <w:bCs/>
          <w:sz w:val="24"/>
          <w:szCs w:val="24"/>
        </w:rPr>
        <w:t xml:space="preserve">270 · Il raccordo di PE-2 (il condominio).</w:t>
      </w:r>
      <w:r>
        <w:rPr>
          <w:rFonts w:ascii="Barlow Semi Condensed" w:cs="Barlow Semi Condensed" w:eastAsia="Barlow Semi Condensed" w:hAnsi="Barlow Semi Condensed"/>
          <w:sz w:val="24"/>
          <w:szCs w:val="24"/>
        </w:rPr>
        <w:t xml:space="preserve"> L'entità (67,5) si nutre dei blocchi 5, 217, 249 e della conservatoria come discriminante dichiarato dalla scheda: la tavola cronologica delle proprietà. Disciplina delle date scolpita: i legami posteriori al 1978 non spiegano il covo del 1975-1978.</w:t>
      </w:r>
    </w:p>
    <w:p>
      <w:pPr>
        <w:spacing w:after="120" w:line="276"/>
        <w:jc w:val="both"/>
      </w:pPr>
      <w:r>
        <w:rPr>
          <w:rFonts w:ascii="Barlow Semi Condensed" w:cs="Barlow Semi Condensed" w:eastAsia="Barlow Semi Condensed" w:hAnsi="Barlow Semi Condensed"/>
          <w:b/>
          <w:bCs/>
          <w:sz w:val="24"/>
          <w:szCs w:val="24"/>
        </w:rPr>
        <w:t xml:space="preserve">271 · Il raccordo di PE-6 (il registro delle segnalazioni).</w:t>
      </w:r>
      <w:r>
        <w:rPr>
          <w:rFonts w:ascii="Barlow Semi Condensed" w:cs="Barlow Semi Condensed" w:eastAsia="Barlow Semi Condensed" w:hAnsi="Barlow Semi Condensed"/>
          <w:sz w:val="24"/>
          <w:szCs w:val="24"/>
        </w:rPr>
        <w:t xml:space="preserve"> L'entità (61,0) si nutre dei blocchi 7, 216, 236, 240, 247: l'input da ricostruire contro l'output documentato. È il test empirico della domanda Anselmi, e il progetto esecutivo sta nel manuale (serie settima); l'agenda ne elenca i giacimenti ufficio per ufficio.</w:t>
      </w:r>
    </w:p>
    <w:p>
      <w:pPr>
        <w:spacing w:after="120" w:line="276"/>
        <w:jc w:val="both"/>
      </w:pPr>
      <w:r>
        <w:rPr>
          <w:rFonts w:ascii="Barlow Semi Condensed" w:cs="Barlow Semi Condensed" w:eastAsia="Barlow Semi Condensed" w:hAnsi="Barlow Semi Condensed"/>
          <w:b/>
          <w:bCs/>
          <w:sz w:val="24"/>
          <w:szCs w:val="24"/>
        </w:rPr>
        <w:t xml:space="preserve">272 · Il raccordo di PE-5 (gli alleati).</w:t>
      </w:r>
      <w:r>
        <w:rPr>
          <w:rFonts w:ascii="Barlow Semi Condensed" w:cs="Barlow Semi Condensed" w:eastAsia="Barlow Semi Condensed" w:hAnsi="Barlow Semi Condensed"/>
          <w:sz w:val="24"/>
          <w:szCs w:val="24"/>
        </w:rPr>
        <w:t xml:space="preserve"> L'entità (59,5) si nutre della serie sesta: il censimento del ritenuto e la sua erosione per atto. La regola dell'originatore governa i tempi; il registro delle richieste (259) ne tiene la contabilità.</w:t>
      </w:r>
    </w:p>
    <w:p>
      <w:pPr>
        <w:spacing w:after="120" w:line="276"/>
        <w:jc w:val="both"/>
      </w:pPr>
      <w:r>
        <w:rPr>
          <w:rFonts w:ascii="Barlow Semi Condensed" w:cs="Barlow Semi Condensed" w:eastAsia="Barlow Semi Condensed" w:hAnsi="Barlow Semi Condensed"/>
          <w:b/>
          <w:bCs/>
          <w:sz w:val="24"/>
          <w:szCs w:val="24"/>
        </w:rPr>
        <w:t xml:space="preserve">273 · Il raccordo di PE-4 (la mediazione vaticana).</w:t>
      </w:r>
      <w:r>
        <w:rPr>
          <w:rFonts w:ascii="Barlow Semi Condensed" w:cs="Barlow Semi Condensed" w:eastAsia="Barlow Semi Condensed" w:hAnsi="Barlow Semi Condensed"/>
          <w:sz w:val="24"/>
          <w:szCs w:val="24"/>
        </w:rPr>
        <w:t xml:space="preserve"> L'entità (54,0) si nutre dei blocchi 11, 218, 242, 258 e dei bersagli ecclesiastici della serie sesta: carte di curia, registri carcerari, contabilità del fondo. Il doppio binario della scheda resta: il canale documentato e l'interlocutore ignoto sono due quesiti, non uno.</w:t>
      </w:r>
    </w:p>
    <w:p>
      <w:pPr>
        <w:spacing w:after="120" w:line="276"/>
        <w:jc w:val="both"/>
      </w:pPr>
      <w:r>
        <w:rPr>
          <w:rFonts w:ascii="Barlow Semi Condensed" w:cs="Barlow Semi Condensed" w:eastAsia="Barlow Semi Condensed" w:hAnsi="Barlow Semi Condensed"/>
          <w:b/>
          <w:bCs/>
          <w:sz w:val="24"/>
          <w:szCs w:val="24"/>
        </w:rPr>
        <w:t xml:space="preserve">274 · Il raccordo con le matrici ACH.</w:t>
      </w:r>
      <w:r>
        <w:rPr>
          <w:rFonts w:ascii="Barlow Semi Condensed" w:cs="Barlow Semi Condensed" w:eastAsia="Barlow Semi Condensed" w:hAnsi="Barlow Semi Condensed"/>
          <w:sz w:val="24"/>
          <w:szCs w:val="24"/>
        </w:rPr>
        <w:t xml:space="preserve"> Ogni matrice del corpus ha nella colonna delle evidenze mancanti i propri bersagli d'agenda, e ogni blocco d'agenda dichiara quale cella di quale matrice può riempire. La meta-matrice del manuale (il suo blocco 210) è il quadro di controllo; l'agenda è il suo braccio di ricerca.</w:t>
      </w:r>
    </w:p>
    <w:p>
      <w:pPr>
        <w:spacing w:after="120" w:line="276"/>
        <w:jc w:val="both"/>
      </w:pPr>
      <w:r>
        <w:rPr>
          <w:rFonts w:ascii="Barlow Semi Condensed" w:cs="Barlow Semi Condensed" w:eastAsia="Barlow Semi Condensed" w:hAnsi="Barlow Semi Condensed"/>
          <w:b/>
          <w:bCs/>
          <w:sz w:val="24"/>
          <w:szCs w:val="24"/>
        </w:rPr>
        <w:t xml:space="preserve">275 · Il raccordo col grafo.</w:t>
      </w:r>
      <w:r>
        <w:rPr>
          <w:rFonts w:ascii="Barlow Semi Condensed" w:cs="Barlow Semi Condensed" w:eastAsia="Barlow Semi Condensed" w:hAnsi="Barlow Semi Condensed"/>
          <w:sz w:val="24"/>
          <w:szCs w:val="24"/>
        </w:rPr>
        <w:t xml:space="preserve"> Ogni documento trovato dalle ricerche entra nella rete documentata del corpus come nodo o come arco col suo grado, e le metriche si ricalcolano: l'agenda alimenta il grafo, il grafo rivela i buchi, i buchi generano i prossimi bersagli. Il ciclo è il motore permanente dell'opera.</w:t>
      </w:r>
    </w:p>
    <w:p>
      <w:pPr>
        <w:spacing w:after="120" w:line="276"/>
        <w:jc w:val="both"/>
      </w:pPr>
      <w:r>
        <w:rPr>
          <w:rFonts w:ascii="Barlow Semi Condensed" w:cs="Barlow Semi Condensed" w:eastAsia="Barlow Semi Condensed" w:hAnsi="Barlow Semi Condensed"/>
          <w:b/>
          <w:bCs/>
          <w:sz w:val="24"/>
          <w:szCs w:val="24"/>
        </w:rPr>
        <w:t xml:space="preserve">276 · Il raccordo con l'edizione strutturata.</w:t>
      </w:r>
      <w:r>
        <w:rPr>
          <w:rFonts w:ascii="Barlow Semi Condensed" w:cs="Barlow Semi Condensed" w:eastAsia="Barlow Semi Condensed" w:hAnsi="Barlow Semi Condensed"/>
          <w:sz w:val="24"/>
          <w:szCs w:val="24"/>
        </w:rPr>
        <w:t xml:space="preserve"> Gli esiti delle ricerche si versano nelle Fasi dell'edizione strutturata secondo la loro natura — fatti nella cronachistica, accertamenti nelle schede, congetture nella Fase delle questioni aperte — sempre per nota e mai per riscrittura. L'agenda produce; l'edizione custodisce.</w:t>
      </w:r>
    </w:p>
    <w:p>
      <w:pPr>
        <w:spacing w:after="120" w:line="276"/>
        <w:jc w:val="both"/>
      </w:pPr>
      <w:r>
        <w:rPr>
          <w:rFonts w:ascii="Barlow Semi Condensed" w:cs="Barlow Semi Condensed" w:eastAsia="Barlow Semi Condensed" w:hAnsi="Barlow Semi Condensed"/>
          <w:b/>
          <w:bCs/>
          <w:sz w:val="24"/>
          <w:szCs w:val="24"/>
        </w:rPr>
        <w:t xml:space="preserve">277 · Il raccordo col registro del giudicato.</w:t>
      </w:r>
      <w:r>
        <w:rPr>
          <w:rFonts w:ascii="Barlow Semi Condensed" w:cs="Barlow Semi Condensed" w:eastAsia="Barlow Semi Condensed" w:hAnsi="Barlow Semi Condensed"/>
          <w:sz w:val="24"/>
          <w:szCs w:val="24"/>
        </w:rPr>
        <w:t xml:space="preserve"> Nessun esito di ricerca tocca la Fase decima se non per nuovo giudicato: la tavola dei tredici resta chiusa, gli assolti restano assolti, e ogni documento nuovo che riguardi persone entra nelle schede con la disciplina personalistica. Il raccordo è un muro, ed è voluto.</w:t>
      </w:r>
    </w:p>
    <w:p>
      <w:pPr>
        <w:spacing w:after="120" w:line="276"/>
        <w:jc w:val="both"/>
      </w:pPr>
      <w:r>
        <w:rPr>
          <w:rFonts w:ascii="Barlow Semi Condensed" w:cs="Barlow Semi Condensed" w:eastAsia="Barlow Semi Condensed" w:hAnsi="Barlow Semi Condensed"/>
          <w:b/>
          <w:bCs/>
          <w:sz w:val="24"/>
          <w:szCs w:val="24"/>
        </w:rPr>
        <w:t xml:space="preserve">278 · Il raccordo coi volumi.</w:t>
      </w:r>
      <w:r>
        <w:rPr>
          <w:rFonts w:ascii="Barlow Semi Condensed" w:cs="Barlow Semi Condensed" w:eastAsia="Barlow Semi Condensed" w:hAnsi="Barlow Semi Condensed"/>
          <w:sz w:val="24"/>
          <w:szCs w:val="24"/>
        </w:rPr>
        <w:t xml:space="preserve"> A ogni campagna compiuta dell'agenda corrisponde l'aggiornamento dei volumi rilegati del versante investigativo, con la nota d'edizione che dichiara che cosa è cambiato e perché. La storia editoriale dell'opera è essa stessa un registro: nessuna edizione silenziosa.</w:t>
      </w:r>
    </w:p>
    <w:p>
      <w:pPr>
        <w:spacing w:after="120" w:line="276"/>
        <w:jc w:val="both"/>
      </w:pPr>
      <w:r>
        <w:rPr>
          <w:rFonts w:ascii="Barlow Semi Condensed" w:cs="Barlow Semi Condensed" w:eastAsia="Barlow Semi Condensed" w:hAnsi="Barlow Semi Condensed"/>
          <w:b/>
          <w:bCs/>
          <w:sz w:val="24"/>
          <w:szCs w:val="24"/>
        </w:rPr>
        <w:t xml:space="preserve">279 · Il raccordo con la contro-agenda.</w:t>
      </w:r>
      <w:r>
        <w:rPr>
          <w:rFonts w:ascii="Barlow Semi Condensed" w:cs="Barlow Semi Condensed" w:eastAsia="Barlow Semi Condensed" w:hAnsi="Barlow Semi Condensed"/>
          <w:sz w:val="24"/>
          <w:szCs w:val="24"/>
        </w:rPr>
        <w:t xml:space="preserve"> I bersagli formulati dagli avversari nella grammatica del blocco 234 entrano in questa serie con pari dignità e pari disciplina: quesito, giacimento, evidenza, chiusura. L'agenda non ha proprietari; ha regole.</w:t>
      </w:r>
    </w:p>
    <w:p>
      <w:pPr>
        <w:spacing w:after="120" w:line="276"/>
        <w:jc w:val="both"/>
      </w:pPr>
      <w:r>
        <w:rPr>
          <w:rFonts w:ascii="Barlow Semi Condensed" w:cs="Barlow Semi Condensed" w:eastAsia="Barlow Semi Condensed" w:hAnsi="Barlow Semi Condensed"/>
          <w:b/>
          <w:bCs/>
          <w:sz w:val="24"/>
          <w:szCs w:val="24"/>
        </w:rPr>
        <w:t xml:space="preserve">280 · La tavola sinottica.</w:t>
      </w:r>
      <w:r>
        <w:rPr>
          <w:rFonts w:ascii="Barlow Semi Condensed" w:cs="Barlow Semi Condensed" w:eastAsia="Barlow Semi Condensed" w:hAnsi="Barlow Semi Condensed"/>
          <w:sz w:val="24"/>
          <w:szCs w:val="24"/>
        </w:rPr>
        <w:t xml:space="preserve"> La tavola unica piste × blocchi d'agenda × blocchi di manuale, mantenuta viva: per ogni pista, che cosa si cerca, dove, con quale protocollo, a che punto è. Chi apre la tavola vede lo stato del nuovo Caso Moro in una pagina; chi la aggiorna, lo governa.</w:t>
      </w:r>
    </w:p>
    <w:p>
      <w:pPr>
        <w:pStyle w:val="Heading2"/>
        <w:spacing w:after="100" w:before="200"/>
      </w:pPr>
      <w:r>
        <w:rPr>
          <w:rFonts w:ascii="Barlow Semi Condensed" w:cs="Barlow Semi Condensed" w:eastAsia="Barlow Semi Condensed" w:hAnsi="Barlow Semi Condensed"/>
          <w:sz w:val="24"/>
          <w:szCs w:val="24"/>
        </w:rPr>
        <w:t xml:space="preserve">Serie dodicesima — Il governo dell'agenda (blocchi 281-300)</w:t>
      </w:r>
    </w:p>
    <w:p>
      <w:pPr>
        <w:spacing w:after="120" w:line="276"/>
        <w:jc w:val="both"/>
      </w:pPr>
      <w:r>
        <w:rPr>
          <w:rFonts w:ascii="Barlow Semi Condensed" w:cs="Barlow Semi Condensed" w:eastAsia="Barlow Semi Condensed" w:hAnsi="Barlow Semi Condensed"/>
          <w:i/>
          <w:iCs/>
          <w:sz w:val="24"/>
          <w:szCs w:val="24"/>
        </w:rPr>
        <w:t xml:space="preserve">Statuto della serie: l'agenda come istituzione. Le regole di priorità, contabilità, pubblicazione e chiusura che trasformano trecento bersagli in un programma governato — e il congedo.</w:t>
      </w:r>
    </w:p>
    <w:p>
      <w:pPr>
        <w:spacing w:after="120" w:line="276"/>
        <w:jc w:val="both"/>
      </w:pPr>
      <w:r>
        <w:rPr>
          <w:rFonts w:ascii="Barlow Semi Condensed" w:cs="Barlow Semi Condensed" w:eastAsia="Barlow Semi Condensed" w:hAnsi="Barlow Semi Condensed"/>
          <w:b/>
          <w:bCs/>
          <w:sz w:val="24"/>
          <w:szCs w:val="24"/>
        </w:rPr>
        <w:t xml:space="preserve">281 · La priorità biologica.</w:t>
      </w:r>
      <w:r>
        <w:rPr>
          <w:rFonts w:ascii="Barlow Semi Condensed" w:cs="Barlow Semi Condensed" w:eastAsia="Barlow Semi Condensed" w:hAnsi="Barlow Semi Condensed"/>
          <w:sz w:val="24"/>
          <w:szCs w:val="24"/>
        </w:rPr>
        <w:t xml:space="preserve"> La prima variabile di priorità è il tempo umano: i bersagli che dipendono da persone viventi (serie quinta) precedono ogni altro a parità di rendimento, perché sono gli unici che scadono in modo irrimediabile. La carta aspetta; le persone no.</w:t>
      </w:r>
    </w:p>
    <w:p>
      <w:pPr>
        <w:spacing w:after="120" w:line="276"/>
        <w:jc w:val="both"/>
      </w:pPr>
      <w:r>
        <w:rPr>
          <w:rFonts w:ascii="Barlow Semi Condensed" w:cs="Barlow Semi Condensed" w:eastAsia="Barlow Semi Condensed" w:hAnsi="Barlow Semi Condensed"/>
          <w:b/>
          <w:bCs/>
          <w:sz w:val="24"/>
          <w:szCs w:val="24"/>
        </w:rPr>
        <w:t xml:space="preserve">282 · La priorità del discriminante.</w:t>
      </w:r>
      <w:r>
        <w:rPr>
          <w:rFonts w:ascii="Barlow Semi Condensed" w:cs="Barlow Semi Condensed" w:eastAsia="Barlow Semi Condensed" w:hAnsi="Barlow Semi Condensed"/>
          <w:sz w:val="24"/>
          <w:szCs w:val="24"/>
        </w:rPr>
        <w:t xml:space="preserve"> A parità di fattibilità, precede il bersaglio la cui evidenza attesa discrimina una matrice ACH: un documento che decide fra ipotesi vale più di dieci che accumulano contesto. La graduatoria delle piste (i punteggi del programma) ordina; il discriminante decide gli strappi alla coda.</w:t>
      </w:r>
    </w:p>
    <w:p>
      <w:pPr>
        <w:spacing w:after="120" w:line="276"/>
        <w:jc w:val="both"/>
      </w:pPr>
      <w:r>
        <w:rPr>
          <w:rFonts w:ascii="Barlow Semi Condensed" w:cs="Barlow Semi Condensed" w:eastAsia="Barlow Semi Condensed" w:hAnsi="Barlow Semi Condensed"/>
          <w:b/>
          <w:bCs/>
          <w:sz w:val="24"/>
          <w:szCs w:val="24"/>
        </w:rPr>
        <w:t xml:space="preserve">283 · Le campagne.</w:t>
      </w:r>
      <w:r>
        <w:rPr>
          <w:rFonts w:ascii="Barlow Semi Condensed" w:cs="Barlow Semi Condensed" w:eastAsia="Barlow Semi Condensed" w:hAnsi="Barlow Semi Condensed"/>
          <w:sz w:val="24"/>
          <w:szCs w:val="24"/>
        </w:rPr>
        <w:t xml:space="preserve"> L'agenda procede per campagne trimestrali tematiche — una serie o un giacimento per campagna — con obiettivi dichiarati in apertura e contabilità pubblica in chiusura: bersagli colpiti, mancati, differiti. Il cronoprogramma del manuale (serie decima) fornisce la cornice; l'agenda riempie i trimestri.</w:t>
      </w:r>
    </w:p>
    <w:p>
      <w:pPr>
        <w:spacing w:after="120" w:line="276"/>
        <w:jc w:val="both"/>
      </w:pPr>
      <w:r>
        <w:rPr>
          <w:rFonts w:ascii="Barlow Semi Condensed" w:cs="Barlow Semi Condensed" w:eastAsia="Barlow Semi Condensed" w:hAnsi="Barlow Semi Condensed"/>
          <w:b/>
          <w:bCs/>
          <w:sz w:val="24"/>
          <w:szCs w:val="24"/>
        </w:rPr>
        <w:t xml:space="preserve">284 · La contabilità dei bersagli.</w:t>
      </w:r>
      <w:r>
        <w:rPr>
          <w:rFonts w:ascii="Barlow Semi Condensed" w:cs="Barlow Semi Condensed" w:eastAsia="Barlow Semi Condensed" w:hAnsi="Barlow Semi Condensed"/>
          <w:sz w:val="24"/>
          <w:szCs w:val="24"/>
        </w:rPr>
        <w:t xml:space="preserve"> Ogni blocco ha uno stato pubblico e datato: non iniziato, in corso, colpito (documento acquisito), a vuoto (Stato Zero verbalizzato), chiuso per smentita, differito con motivo. Un'agenda senza stati è una lista di desideri; gli stati sono ciò che la rende un programma.</w:t>
      </w:r>
    </w:p>
    <w:p>
      <w:pPr>
        <w:spacing w:after="120" w:line="276"/>
        <w:jc w:val="both"/>
      </w:pPr>
      <w:r>
        <w:rPr>
          <w:rFonts w:ascii="Barlow Semi Condensed" w:cs="Barlow Semi Condensed" w:eastAsia="Barlow Semi Condensed" w:hAnsi="Barlow Semi Condensed"/>
          <w:b/>
          <w:bCs/>
          <w:sz w:val="24"/>
          <w:szCs w:val="24"/>
        </w:rPr>
        <w:t xml:space="preserve">285 · La ricerca a vuoto come atto.</w:t>
      </w:r>
      <w:r>
        <w:rPr>
          <w:rFonts w:ascii="Barlow Semi Condensed" w:cs="Barlow Semi Condensed" w:eastAsia="Barlow Semi Condensed" w:hAnsi="Barlow Semi Condensed"/>
          <w:sz w:val="24"/>
          <w:szCs w:val="24"/>
        </w:rPr>
        <w:t xml:space="preserve"> L'esito negativo si verbalizza con lo stesso rigore del positivo: che cosa è stato cercato, dove, quando, da chi, con quale perimetro. Il verbale di vuoto impedisce di ricercare due volte, fonda lo Stato Zero e — accumulato — disegna la mappa di ciò che il caso non potrà mai più sapere.</w:t>
      </w:r>
    </w:p>
    <w:p>
      <w:pPr>
        <w:spacing w:after="120" w:line="276"/>
        <w:jc w:val="both"/>
      </w:pPr>
      <w:r>
        <w:rPr>
          <w:rFonts w:ascii="Barlow Semi Condensed" w:cs="Barlow Semi Condensed" w:eastAsia="Barlow Semi Condensed" w:hAnsi="Barlow Semi Condensed"/>
          <w:b/>
          <w:bCs/>
          <w:sz w:val="24"/>
          <w:szCs w:val="24"/>
        </w:rPr>
        <w:t xml:space="preserve">286 · Il costo dichiarato.</w:t>
      </w:r>
      <w:r>
        <w:rPr>
          <w:rFonts w:ascii="Barlow Semi Condensed" w:cs="Barlow Semi Condensed" w:eastAsia="Barlow Semi Condensed" w:hAnsi="Barlow Semi Condensed"/>
          <w:sz w:val="24"/>
          <w:szCs w:val="24"/>
        </w:rPr>
        <w:t xml:space="preserve"> Ogni campagna espone il suo bilancio: giornate d'archivio, missioni, perizie, diritti di riproduzione. La trasparenza dei costi è disciplina ed è argomento: un bersaglio ad alto rendimento e basso costo si difende da sé; uno costoso si giustifica per iscritto o retrocede.</w:t>
      </w:r>
    </w:p>
    <w:p>
      <w:pPr>
        <w:spacing w:after="120" w:line="276"/>
        <w:jc w:val="both"/>
      </w:pPr>
      <w:r>
        <w:rPr>
          <w:rFonts w:ascii="Barlow Semi Condensed" w:cs="Barlow Semi Condensed" w:eastAsia="Barlow Semi Condensed" w:hAnsi="Barlow Semi Condensed"/>
          <w:b/>
          <w:bCs/>
          <w:sz w:val="24"/>
          <w:szCs w:val="24"/>
        </w:rPr>
        <w:t xml:space="preserve">287 · Le regole d'ingaggio con gli archivi.</w:t>
      </w:r>
      <w:r>
        <w:rPr>
          <w:rFonts w:ascii="Barlow Semi Condensed" w:cs="Barlow Semi Condensed" w:eastAsia="Barlow Semi Condensed" w:hAnsi="Barlow Semi Condensed"/>
          <w:sz w:val="24"/>
          <w:szCs w:val="24"/>
        </w:rPr>
        <w:t xml:space="preserve"> Ogni richiesta è formale, tracciata, cumulativa: si chiede l'inventario prima del documento, si cita la norma d'accesso, si registra l'esito nel registro delle richieste (259), si ringrazia per iscritto. Gli archivisti sono alleati permanenti dell'agenda, non sportelli.</w:t>
      </w:r>
    </w:p>
    <w:p>
      <w:pPr>
        <w:spacing w:after="120" w:line="276"/>
        <w:jc w:val="both"/>
      </w:pPr>
      <w:r>
        <w:rPr>
          <w:rFonts w:ascii="Barlow Semi Condensed" w:cs="Barlow Semi Condensed" w:eastAsia="Barlow Semi Condensed" w:hAnsi="Barlow Semi Condensed"/>
          <w:b/>
          <w:bCs/>
          <w:sz w:val="24"/>
          <w:szCs w:val="24"/>
        </w:rPr>
        <w:t xml:space="preserve">288 · Le regole d'ingaggio con le persone.</w:t>
      </w:r>
      <w:r>
        <w:rPr>
          <w:rFonts w:ascii="Barlow Semi Condensed" w:cs="Barlow Semi Condensed" w:eastAsia="Barlow Semi Condensed" w:hAnsi="Barlow Semi Condensed"/>
          <w:sz w:val="24"/>
          <w:szCs w:val="24"/>
        </w:rPr>
        <w:t xml:space="preserve"> Ogni contatto con testimoni segue il protocollo conservativo del manuale (serie quinta): consenso informato, registrazione integrale, nessuna domanda suggestiva, corroborazione fisica prima dell'uso. Con i familiari delle vittime: priorità assoluta di rispetto, nessuna anticipazione pubblica.</w:t>
      </w:r>
    </w:p>
    <w:p>
      <w:pPr>
        <w:spacing w:after="120" w:line="276"/>
        <w:jc w:val="both"/>
      </w:pPr>
      <w:r>
        <w:rPr>
          <w:rFonts w:ascii="Barlow Semi Condensed" w:cs="Barlow Semi Condensed" w:eastAsia="Barlow Semi Condensed" w:hAnsi="Barlow Semi Condensed"/>
          <w:b/>
          <w:bCs/>
          <w:sz w:val="24"/>
          <w:szCs w:val="24"/>
        </w:rPr>
        <w:t xml:space="preserve">289 · Ciò che non si ricerca.</w:t>
      </w:r>
      <w:r>
        <w:rPr>
          <w:rFonts w:ascii="Barlow Semi Condensed" w:cs="Barlow Semi Condensed" w:eastAsia="Barlow Semi Condensed" w:hAnsi="Barlow Semi Condensed"/>
          <w:sz w:val="24"/>
          <w:szCs w:val="24"/>
        </w:rPr>
        <w:t xml:space="preserve"> Fuori dall'agenda per statuto: la vita privata dei viventi oltre gli atti d'ufficio e di giudicato; le graduatorie di colpevolezza; i nomi come esiti attesi; le fonti escluse per direttiva del committente. Il perimetro negativo è parte dell'agenda quanto i bersagli: dice che cosa quest'opera si vieta.</w:t>
      </w:r>
    </w:p>
    <w:p>
      <w:pPr>
        <w:spacing w:after="120" w:line="276"/>
        <w:jc w:val="both"/>
      </w:pPr>
      <w:r>
        <w:rPr>
          <w:rFonts w:ascii="Barlow Semi Condensed" w:cs="Barlow Semi Condensed" w:eastAsia="Barlow Semi Condensed" w:hAnsi="Barlow Semi Condensed"/>
          <w:b/>
          <w:bCs/>
          <w:sz w:val="24"/>
          <w:szCs w:val="24"/>
        </w:rPr>
        <w:t xml:space="preserve">290 · La pubblicazione degli esiti.</w:t>
      </w:r>
      <w:r>
        <w:rPr>
          <w:rFonts w:ascii="Barlow Semi Condensed" w:cs="Barlow Semi Condensed" w:eastAsia="Barlow Semi Condensed" w:hAnsi="Barlow Semi Condensed"/>
          <w:sz w:val="24"/>
          <w:szCs w:val="24"/>
        </w:rPr>
        <w:t xml:space="preserve"> Ogni campagna chiusa pubblica i suoi documenti — trovati o mancati — nelle schede del corpus con fonti e indirizzi, per nota e mai per riscrittura. Ciò che tocca il fascicolo penale aperto va prima alle autorità: la precedenza giudiziaria è un blocco del manuale, e qui è legge.</w:t>
      </w:r>
    </w:p>
    <w:p>
      <w:pPr>
        <w:spacing w:after="120" w:line="276"/>
        <w:jc w:val="both"/>
      </w:pPr>
      <w:r>
        <w:rPr>
          <w:rFonts w:ascii="Barlow Semi Condensed" w:cs="Barlow Semi Condensed" w:eastAsia="Barlow Semi Condensed" w:hAnsi="Barlow Semi Condensed"/>
          <w:b/>
          <w:bCs/>
          <w:sz w:val="24"/>
          <w:szCs w:val="24"/>
        </w:rPr>
        <w:t xml:space="preserve">291 · Il rapporto col fascicolo di Roma.</w:t>
      </w:r>
      <w:r>
        <w:rPr>
          <w:rFonts w:ascii="Barlow Semi Condensed" w:cs="Barlow Semi Condensed" w:eastAsia="Barlow Semi Condensed" w:hAnsi="Barlow Semi Condensed"/>
          <w:sz w:val="24"/>
          <w:szCs w:val="24"/>
        </w:rPr>
        <w:t xml:space="preserve"> L'agenda civile non interferisce con l'indagine penale: dove un bersaglio coincide con l'attività della procura, l'agenda si ferma, segnala, e riprende solo sul già pubblico. La consilienza notevole — l'agenda e il fascicolo che lavorano sugli stessi reperti — resta una convergenza, non una gara.</w:t>
      </w:r>
    </w:p>
    <w:p>
      <w:pPr>
        <w:spacing w:after="120" w:line="276"/>
        <w:jc w:val="both"/>
      </w:pPr>
      <w:r>
        <w:rPr>
          <w:rFonts w:ascii="Barlow Semi Condensed" w:cs="Barlow Semi Condensed" w:eastAsia="Barlow Semi Condensed" w:hAnsi="Barlow Semi Condensed"/>
          <w:b/>
          <w:bCs/>
          <w:sz w:val="24"/>
          <w:szCs w:val="24"/>
        </w:rPr>
        <w:t xml:space="preserve">292 · Il rapporto con le istituzioni archivistiche.</w:t>
      </w:r>
      <w:r>
        <w:rPr>
          <w:rFonts w:ascii="Barlow Semi Condensed" w:cs="Barlow Semi Condensed" w:eastAsia="Barlow Semi Condensed" w:hAnsi="Barlow Semi Condensed"/>
          <w:sz w:val="24"/>
          <w:szCs w:val="24"/>
        </w:rPr>
        <w:t xml:space="preserve"> L'agenda sostiene ogni politica di versamento e digitalizzazione — direttive, portali, inventari — e restituisce agli istituti i propri strumenti (tavole, indici, censimenti) come contributo pubblico. Chi riceve dagli archivi restituisce agli archivi: è la parte del blocco 330 del manuale che tocca all'agenda.</w:t>
      </w:r>
    </w:p>
    <w:p>
      <w:pPr>
        <w:spacing w:after="120" w:line="276"/>
        <w:jc w:val="both"/>
      </w:pPr>
      <w:r>
        <w:rPr>
          <w:rFonts w:ascii="Barlow Semi Condensed" w:cs="Barlow Semi Condensed" w:eastAsia="Barlow Semi Condensed" w:hAnsi="Barlow Semi Condensed"/>
          <w:b/>
          <w:bCs/>
          <w:sz w:val="24"/>
          <w:szCs w:val="24"/>
        </w:rPr>
        <w:t xml:space="preserve">293 · La revisione annuale.</w:t>
      </w:r>
      <w:r>
        <w:rPr>
          <w:rFonts w:ascii="Barlow Semi Condensed" w:cs="Barlow Semi Condensed" w:eastAsia="Barlow Semi Condensed" w:hAnsi="Barlow Semi Condensed"/>
          <w:sz w:val="24"/>
          <w:szCs w:val="24"/>
        </w:rPr>
        <w:t xml:space="preserve"> Una volta l'anno l'agenda si rilegge intera: bersagli colpiti si archiviano, bersagli sterili retrocedono, bersagli nuovi — generati dal grafo, dalle matrici, dalle smentite — entrano per nota d'edizione numerata. L'agenda che non si rivede diventa liturgia; quella che si rivede resta strumento.</w:t>
      </w:r>
    </w:p>
    <w:p>
      <w:pPr>
        <w:spacing w:after="120" w:line="276"/>
        <w:jc w:val="both"/>
      </w:pPr>
      <w:r>
        <w:rPr>
          <w:rFonts w:ascii="Barlow Semi Condensed" w:cs="Barlow Semi Condensed" w:eastAsia="Barlow Semi Condensed" w:hAnsi="Barlow Semi Condensed"/>
          <w:b/>
          <w:bCs/>
          <w:sz w:val="24"/>
          <w:szCs w:val="24"/>
        </w:rPr>
        <w:t xml:space="preserve">294 · Il custode dell'agenda.</w:t>
      </w:r>
      <w:r>
        <w:rPr>
          <w:rFonts w:ascii="Barlow Semi Condensed" w:cs="Barlow Semi Condensed" w:eastAsia="Barlow Semi Condensed" w:hAnsi="Barlow Semi Condensed"/>
          <w:sz w:val="24"/>
          <w:szCs w:val="24"/>
        </w:rPr>
        <w:t xml:space="preserve"> Un responsabile nominato risponde della contabilità dei bersagli, del registro delle richieste e della disciplina delle chiusure — lo speculare del garante del metodo previsto dal manuale. Due custodi, due oggetti: là il metodo, qua la lista. Nessuno dei due giudica il merito: entrambi la forma.</w:t>
      </w:r>
    </w:p>
    <w:p>
      <w:pPr>
        <w:spacing w:after="120" w:line="276"/>
        <w:jc w:val="both"/>
      </w:pPr>
      <w:r>
        <w:rPr>
          <w:rFonts w:ascii="Barlow Semi Condensed" w:cs="Barlow Semi Condensed" w:eastAsia="Barlow Semi Condensed" w:hAnsi="Barlow Semi Condensed"/>
          <w:b/>
          <w:bCs/>
          <w:sz w:val="24"/>
          <w:szCs w:val="24"/>
        </w:rPr>
        <w:t xml:space="preserve">295 · La successione.</w:t>
      </w:r>
      <w:r>
        <w:rPr>
          <w:rFonts w:ascii="Barlow Semi Condensed" w:cs="Barlow Semi Condensed" w:eastAsia="Barlow Semi Condensed" w:hAnsi="Barlow Semi Condensed"/>
          <w:sz w:val="24"/>
          <w:szCs w:val="24"/>
        </w:rPr>
        <w:t xml:space="preserve"> L'agenda prevede la propria consegna: se il gruppo che la esegue si scioglie, l'intero apparato — stati, registri, verbali di vuoto — si versa in un istituto conservatore designato, eseguibile da chiunque la riprenda. Un'agenda ben tenuta sopravvive ai suoi esecutori; è la sua differenza da un'inchiesta.</w:t>
      </w:r>
    </w:p>
    <w:p>
      <w:pPr>
        <w:spacing w:after="120" w:line="276"/>
        <w:jc w:val="both"/>
      </w:pPr>
      <w:r>
        <w:rPr>
          <w:rFonts w:ascii="Barlow Semi Condensed" w:cs="Barlow Semi Condensed" w:eastAsia="Barlow Semi Condensed" w:hAnsi="Barlow Semi Condensed"/>
          <w:b/>
          <w:bCs/>
          <w:sz w:val="24"/>
          <w:szCs w:val="24"/>
        </w:rPr>
        <w:t xml:space="preserve">296 · La misura del compiuto.</w:t>
      </w:r>
      <w:r>
        <w:rPr>
          <w:rFonts w:ascii="Barlow Semi Condensed" w:cs="Barlow Semi Condensed" w:eastAsia="Barlow Semi Condensed" w:hAnsi="Barlow Semi Condensed"/>
          <w:sz w:val="24"/>
          <w:szCs w:val="24"/>
        </w:rPr>
        <w:t xml:space="preserve"> L'agenda si dirà eseguita non quando ogni quesito avrà risposta — non l'avrà — ma quando ogni bersaglio avrà uno stato terminale documentato: colpito, a vuoto, o chiuso per smentita. La completezza dell'agenda è la completezza dei suoi stati, non delle sue risposte.</w:t>
      </w:r>
    </w:p>
    <w:p>
      <w:pPr>
        <w:spacing w:after="120" w:line="276"/>
        <w:jc w:val="both"/>
      </w:pPr>
      <w:r>
        <w:rPr>
          <w:rFonts w:ascii="Barlow Semi Condensed" w:cs="Barlow Semi Condensed" w:eastAsia="Barlow Semi Condensed" w:hAnsi="Barlow Semi Condensed"/>
          <w:b/>
          <w:bCs/>
          <w:sz w:val="24"/>
          <w:szCs w:val="24"/>
        </w:rPr>
        <w:t xml:space="preserve">297 · L'eredità dei quesiti aperti.</w:t>
      </w:r>
      <w:r>
        <w:rPr>
          <w:rFonts w:ascii="Barlow Semi Condensed" w:cs="Barlow Semi Condensed" w:eastAsia="Barlow Semi Condensed" w:hAnsi="Barlow Semi Condensed"/>
          <w:sz w:val="24"/>
          <w:szCs w:val="24"/>
        </w:rPr>
        <w:t xml:space="preserve"> I quesiti che resteranno aperti a bersagli esauriti si consegnano dichiarati: matrice per matrice, con l'evidenza discriminante mai trovata e il giacimento dove potrebbe ancora giacere. La generazione successiva riceverà domande pulite, non sospetti: è il lascito più onesto possibile.</w:t>
      </w:r>
    </w:p>
    <w:p>
      <w:pPr>
        <w:spacing w:after="120" w:line="276"/>
        <w:jc w:val="both"/>
      </w:pPr>
      <w:r>
        <w:rPr>
          <w:rFonts w:ascii="Barlow Semi Condensed" w:cs="Barlow Semi Condensed" w:eastAsia="Barlow Semi Condensed" w:hAnsi="Barlow Semi Condensed"/>
          <w:b/>
          <w:bCs/>
          <w:sz w:val="24"/>
          <w:szCs w:val="24"/>
        </w:rPr>
        <w:t xml:space="preserve">298 · Le sei vittime, sempre.</w:t>
      </w:r>
      <w:r>
        <w:rPr>
          <w:rFonts w:ascii="Barlow Semi Condensed" w:cs="Barlow Semi Condensed" w:eastAsia="Barlow Semi Condensed" w:hAnsi="Barlow Semi Condensed"/>
          <w:sz w:val="24"/>
          <w:szCs w:val="24"/>
        </w:rPr>
        <w:t xml:space="preserve"> Leonardi, Ricci, Rivera, Zizzi, Iozzino, Moro: ogni bersaglio dell'agenda esiste perché ciò che accadde a loro sia scritto fin dove le carte arrivano. La ricerca che dimenticasse per chi cerca avrebbe perso la bussola prima del primo archivio.</w:t>
      </w:r>
    </w:p>
    <w:p>
      <w:pPr>
        <w:spacing w:after="120" w:line="276"/>
        <w:jc w:val="both"/>
      </w:pPr>
      <w:r>
        <w:rPr>
          <w:rFonts w:ascii="Barlow Semi Condensed" w:cs="Barlow Semi Condensed" w:eastAsia="Barlow Semi Condensed" w:hAnsi="Barlow Semi Condensed"/>
          <w:b/>
          <w:bCs/>
          <w:sz w:val="24"/>
          <w:szCs w:val="24"/>
        </w:rPr>
        <w:t xml:space="preserve">299 · La guerra e la lista.</w:t>
      </w:r>
      <w:r>
        <w:rPr>
          <w:rFonts w:ascii="Barlow Semi Condensed" w:cs="Barlow Semi Condensed" w:eastAsia="Barlow Semi Condensed" w:hAnsi="Barlow Semi Condensed"/>
          <w:sz w:val="24"/>
          <w:szCs w:val="24"/>
        </w:rPr>
        <w:t xml:space="preserve"> La guerra senza fine continuerà a produrre versioni; l'agenda le oppone una lista datata di bersagli con i loro stati. Contro il sospetto inesauribile, la contabilità esauribile: è la forma che il governo del passato prende quando rinuncia a essere l'ultima parola.</w:t>
      </w:r>
    </w:p>
    <w:p>
      <w:pPr>
        <w:spacing w:after="120" w:line="276"/>
        <w:jc w:val="both"/>
      </w:pPr>
      <w:r>
        <w:rPr>
          <w:rFonts w:ascii="Barlow Semi Condensed" w:cs="Barlow Semi Condensed" w:eastAsia="Barlow Semi Condensed" w:hAnsi="Barlow Semi Condensed"/>
          <w:b/>
          <w:bCs/>
          <w:sz w:val="24"/>
          <w:szCs w:val="24"/>
        </w:rPr>
        <w:t xml:space="preserve">300 · Il blocco finale dell'agenda.</w:t>
      </w:r>
      <w:r>
        <w:rPr>
          <w:rFonts w:ascii="Barlow Semi Condensed" w:cs="Barlow Semi Condensed" w:eastAsia="Barlow Semi Condensed" w:hAnsi="Barlow Semi Condensed"/>
          <w:sz w:val="24"/>
          <w:szCs w:val="24"/>
        </w:rPr>
        <w:t xml:space="preserve"> Questa agenda è essa stessa un bersaglio: chi vorrà smentirla dovrà colpirla come essa chiede — mostrando il giacimento ignorato, il quesito mal posto, il criterio di chiusura sbagliato — con un documento. Trecento bersagli, dodici serie, una regola sola: la ricerca produce documenti, non colpevoli. L'agenda si consuma nell'unico modo onorevole: venendo eseguita.</w:t>
      </w:r>
    </w:p>
    <w:p>
      <w:pPr>
        <w:pStyle w:val="Heading2"/>
        <w:spacing w:after="100" w:before="200"/>
      </w:pPr>
      <w:r>
        <w:rPr>
          <w:rFonts w:ascii="Barlow Semi Condensed" w:cs="Barlow Semi Condensed" w:eastAsia="Barlow Semi Condensed" w:hAnsi="Barlow Semi Condensed"/>
          <w:sz w:val="24"/>
          <w:szCs w:val="24"/>
        </w:rPr>
        <w:t xml:space="preserve">Apparato delle verifiche d'archivio</w:t>
      </w:r>
    </w:p>
    <w:p>
      <w:pPr>
        <w:spacing w:after="120" w:line="276"/>
        <w:jc w:val="both"/>
      </w:pPr>
      <w:r>
        <w:rPr>
          <w:rFonts w:ascii="Barlow Semi Condensed" w:cs="Barlow Semi Condensed" w:eastAsia="Barlow Semi Condensed" w:hAnsi="Barlow Semi Condensed"/>
          <w:i/>
          <w:iCs/>
          <w:sz w:val="24"/>
          <w:szCs w:val="24"/>
        </w:rPr>
        <w:t xml:space="preserve">Prima della stesura, dodici campagne di verifica indipendenti hanno controllato su fonti aperte gli ancoraggi fattuali dell'agenda. Se ne dà conto qui in forma compressa, con gli indirizzi principali; ogni blocco che richiama uno di questi fatti rinvia a questo apparato. Gli esiti negativi sono dichiarati: nell'agenda un «non trovato» vale quanto un «confermato».</w:t>
      </w:r>
    </w:p>
    <w:p>
      <w:pPr>
        <w:spacing w:after="120" w:line="276"/>
        <w:jc w:val="both"/>
      </w:pPr>
      <w:r>
        <w:rPr>
          <w:rFonts w:ascii="Barlow Semi Condensed" w:cs="Barlow Semi Condensed" w:eastAsia="Barlow Semi Condensed" w:hAnsi="Barlow Semi Condensed"/>
          <w:b/>
          <w:bCs/>
          <w:sz w:val="24"/>
          <w:szCs w:val="24"/>
        </w:rPr>
        <w:t xml:space="preserve">V-1 · L'Archivio centrale dello Stato e le direttive.</w:t>
      </w:r>
      <w:r>
        <w:rPr>
          <w:rFonts w:ascii="Barlow Semi Condensed" w:cs="Barlow Semi Condensed" w:eastAsia="Barlow Semi Condensed" w:hAnsi="Barlow Semi Condensed"/>
          <w:sz w:val="24"/>
          <w:szCs w:val="24"/>
        </w:rPr>
        <w:t xml:space="preserve"> Confermata la sequenza istituzionale: direttiva Prodi (8 aprile 2008), designazione dell'ACS a sede unica (2010), direttiva Renzi (22 aprile 2014, G.U. n. 100 del 2 maggio 2014), completamento dei versamenti Moro (2 dicembre 2014). Strumenti: la pagina della Sala delle raccolte speciali (acs.cultura.gov.it), la scheda «Sequestro e uccisione dell'on. Aldo Moro (Direttive Prodi-Renzi)» nella Guida ai fondi (search.acs.beniculturali.it, IT-ACS-AS0001-0005098), la banca dati consultabile in sede e da postazioni remote negli Archivi di Stato dei capoluoghi. Confermati il portale della Rete degli archivi per non dimenticare (memoria.cultura.gov.it, nuova versione 2022) e il Centro documentazione Archivio Flamigni (dal 2021 a Roma, Garbatella; serie «Caso Moro» inventariata; archivioflamigni.org).</w:t>
      </w:r>
    </w:p>
    <w:p>
      <w:pPr>
        <w:spacing w:after="120" w:line="276"/>
        <w:jc w:val="both"/>
      </w:pPr>
      <w:r>
        <w:rPr>
          <w:rFonts w:ascii="Barlow Semi Condensed" w:cs="Barlow Semi Condensed" w:eastAsia="Barlow Semi Condensed" w:hAnsi="Barlow Semi Condensed"/>
          <w:b/>
          <w:bCs/>
          <w:sz w:val="24"/>
          <w:szCs w:val="24"/>
        </w:rPr>
        <w:t xml:space="preserve">V-2 · Gli archivi parlamentari.</w:t>
      </w:r>
      <w:r>
        <w:rPr>
          <w:rFonts w:ascii="Barlow Semi Condensed" w:cs="Barlow Semi Condensed" w:eastAsia="Barlow Semi Condensed" w:hAnsi="Barlow Semi Condensed"/>
          <w:sz w:val="24"/>
          <w:szCs w:val="24"/>
        </w:rPr>
        <w:t xml:space="preserve"> Confermati: il fondo della Commissione Moro 2 all'Archivio storico della Camera col portale delle inchieste (inchieste.camera.it/moro; circa ventimila pagine desecretate online) e le relazioni sui documenti parlamentari (documenti.camera.it); l'esame tecnico-balistico del Servizio Polizia scientifica illustrato nell'audizione del 10 giugno 2015 (stenografico online); il fondo della Moro 1 (legge 597/1979) e il fondo della Commissione Stragi all'Archivio storico del Senato (patrimonio.archivio.senato.it); la declassifica per decreti presidenziali (al Senato il DPS 12785/2020) con nulla osta delle amministrazioni originatrici.</w:t>
      </w:r>
    </w:p>
    <w:p>
      <w:pPr>
        <w:spacing w:after="120" w:line="276"/>
        <w:jc w:val="both"/>
      </w:pPr>
      <w:r>
        <w:rPr>
          <w:rFonts w:ascii="Barlow Semi Condensed" w:cs="Barlow Semi Condensed" w:eastAsia="Barlow Semi Condensed" w:hAnsi="Barlow Semi Condensed"/>
          <w:b/>
          <w:bCs/>
          <w:sz w:val="24"/>
          <w:szCs w:val="24"/>
        </w:rPr>
        <w:t xml:space="preserve">V-3 · Gli archivi americani.</w:t>
      </w:r>
      <w:r>
        <w:rPr>
          <w:rFonts w:ascii="Barlow Semi Condensed" w:cs="Barlow Semi Condensed" w:eastAsia="Barlow Semi Condensed" w:hAnsi="Barlow Semi Condensed"/>
          <w:sz w:val="24"/>
          <w:szCs w:val="24"/>
        </w:rPr>
        <w:t xml:space="preserve"> Confermati: i Central Foreign Policy Files 1973-1979 su NARA AAD coi telegrammi 1978 in full-text (aad.archives.gov) e le withdrawal cards per il trattenuto; la collezione a microfiche «Aldo Moro, Prime Minister of Italy…» nella FOIA Library del Dipartimento di Stato (foia.state.gov); documenti su Moro, BR e Italia 1978 nella CIA FOIA Electronic Reading Room (cia.gov/readingroom, con l'avvertenza che molti reperti sono rassegne stampa interne); la collezione «Brzezinski Material» con Country File Italia alla Carter Library (jimmycarterlibrary.gov), aperta e usata dai volumi FRUS 1977-1980.</w:t>
      </w:r>
    </w:p>
    <w:p>
      <w:pPr>
        <w:spacing w:after="120" w:line="276"/>
        <w:jc w:val="both"/>
      </w:pPr>
      <w:r>
        <w:rPr>
          <w:rFonts w:ascii="Barlow Semi Condensed" w:cs="Barlow Semi Condensed" w:eastAsia="Barlow Semi Condensed" w:hAnsi="Barlow Semi Condensed"/>
          <w:b/>
          <w:bCs/>
          <w:sz w:val="24"/>
          <w:szCs w:val="24"/>
        </w:rPr>
        <w:t xml:space="preserve">V-4 · Regno Unito, Francia, Germania.</w:t>
      </w:r>
      <w:r>
        <w:rPr>
          <w:rFonts w:ascii="Barlow Semi Condensed" w:cs="Barlow Semi Condensed" w:eastAsia="Barlow Semi Condensed" w:hAnsi="Barlow Semi Condensed"/>
          <w:sz w:val="24"/>
          <w:szCs w:val="24"/>
        </w:rPr>
        <w:t xml:space="preserve"> Confermati: a Kew il fascicolo «Terrorism in Italy, including kidnapping and death of Aldo Moro» (Discovery C11492660, serie FCO 33; aperture 2008-2009); a La Courneuve la sottoserie Europa «Italie, juillet 1976-1980» (versamento 1929INVA, 974 scatole, inventario in linea); al Politisches Archiv le carte 1977-1978 con l'edizione AAPD; per il parallelo Schleyer i Kabinettsprotokolle 1977 online e il contenzioso (fino al Bundesverwaltungsgericht) sui protocolli del Großer Krisenstab, in parte tuttora chiusi. Non trovati: un fascicolo PREM specificamente moroteo (da ricerca in sala); atti giudiziari francesi pubblici sulla scuola Hyperion — gli atti noti del 1982 sono di fonte giudiziaria italiana, e gli archivi giudiziari francesi restano chiusi dai termini del Code du patrimoine.</w:t>
      </w:r>
    </w:p>
    <w:p>
      <w:pPr>
        <w:spacing w:after="120" w:line="276"/>
        <w:jc w:val="both"/>
      </w:pPr>
      <w:r>
        <w:rPr>
          <w:rFonts w:ascii="Barlow Semi Condensed" w:cs="Barlow Semi Condensed" w:eastAsia="Barlow Semi Condensed" w:hAnsi="Barlow Semi Condensed"/>
          <w:b/>
          <w:bCs/>
          <w:sz w:val="24"/>
          <w:szCs w:val="24"/>
        </w:rPr>
        <w:t xml:space="preserve">V-5 · Il Vaticano.</w:t>
      </w:r>
      <w:r>
        <w:rPr>
          <w:rFonts w:ascii="Barlow Semi Condensed" w:cs="Barlow Semi Condensed" w:eastAsia="Barlow Semi Condensed" w:hAnsi="Barlow Semi Condensed"/>
          <w:sz w:val="24"/>
          <w:szCs w:val="24"/>
        </w:rPr>
        <w:t xml:space="preserve"> Smentita l'apertura: l'Archivio Apostolico Vaticano è consultabile solo fino alla fine del pontificato di Pio XII (apertura del 2 marzo 2020), e lo stesso limite vale per l'Archivio storico della Sezione per i Rapporti con gli Stati — le carte vaticane del 1978 non sono consultabili. Confermati: l'accertamento parlamentare (relazione conclusiva Moro 2, Doc. XXIII n. 29, 6 dicembre 2017) sull'incarico di Paolo VI a mons. Cesare Curioni e sulla disponibilità economica ingente; la rivendicazione pubblica della provvista da parte di Shmuel Flatto-Sharon (1930-2018), riferita dalle agenzie (ANSA 2018). Da precisare: un fondo personale pubblico di Curioni non risulta censito.</w:t>
      </w:r>
    </w:p>
    <w:p>
      <w:pPr>
        <w:spacing w:after="120" w:line="276"/>
        <w:jc w:val="both"/>
      </w:pPr>
      <w:r>
        <w:rPr>
          <w:rFonts w:ascii="Barlow Semi Condensed" w:cs="Barlow Semi Condensed" w:eastAsia="Barlow Semi Condensed" w:hAnsi="Barlow Semi Condensed"/>
          <w:b/>
          <w:bCs/>
          <w:sz w:val="24"/>
          <w:szCs w:val="24"/>
        </w:rPr>
        <w:t xml:space="preserve">V-6 · I fondi privati.</w:t>
      </w:r>
      <w:r>
        <w:rPr>
          <w:rFonts w:ascii="Barlow Semi Condensed" w:cs="Barlow Semi Condensed" w:eastAsia="Barlow Semi Condensed" w:hAnsi="Barlow Semi Condensed"/>
          <w:sz w:val="24"/>
          <w:szCs w:val="24"/>
        </w:rPr>
        <w:t xml:space="preserve"> Confermate le sedi: Archivio Giulio Andreotti all'Istituto Luigi Sturzo (donato nel 2007, ~3.500 buste, senza serie «Moro»: si cerca nelle serie tematiche); archivio Francesco Cossiga all'Archivio storico della Camera (308 buste, inventario informatizzato); fondo Amintore Fanfani all'Archivio storico del Senato (293 buste, 43 diari; il tomo dei diari 1977-1980 nel piano editoriale); Fondazione Craxi con fascicolo «Caso Moro»; archivio DC all'Istituto Sturzo (dal 1994); archivio PCI alla Fondazione Gramsci (4.184 buste, aperto). Tre nuclei distinti per le carte di Moro: fondo personale all'ACS (218 buste, 1953-1978), fondo familiare all'Archivio Flamigni, raccolta statale ex direttive. Da precisare: le carte di Mino Pecorelli (niente fondo personale; le annate di OP in emeroteca; carte nei sequestri giudiziari).</w:t>
      </w:r>
    </w:p>
    <w:p>
      <w:pPr>
        <w:spacing w:after="120" w:line="276"/>
        <w:jc w:val="both"/>
      </w:pPr>
      <w:r>
        <w:rPr>
          <w:rFonts w:ascii="Barlow Semi Condensed" w:cs="Barlow Semi Condensed" w:eastAsia="Barlow Semi Condensed" w:hAnsi="Barlow Semi Condensed"/>
          <w:b/>
          <w:bCs/>
          <w:sz w:val="24"/>
          <w:szCs w:val="24"/>
        </w:rPr>
        <w:t xml:space="preserve">V-7 · I reperti.</w:t>
      </w:r>
      <w:r>
        <w:rPr>
          <w:rFonts w:ascii="Barlow Semi Condensed" w:cs="Barlow Semi Condensed" w:eastAsia="Barlow Semi Condensed" w:hAnsi="Barlow Semi Condensed"/>
          <w:sz w:val="24"/>
          <w:szCs w:val="24"/>
        </w:rPr>
        <w:t xml:space="preserve"> Confermati: l'esame 2015 della Polizia scientifica (conferma sostanziale dell'attribuzione 1978: quarantanove colpi da un'unica arma FNAB-43); i profili DNA 2016 (RIS di Roma e Polizia scientifica; mozziconi dell'auto di sbarramento e reperti di via Gradoli) senza attribuzione pubblica; il caricatore di via Fani/via Stresa mai sottoposto a comparazione, con nuovi esami disposti dal giudice ed esiti non pubblici; la perizia geologico-botanica 1978 (Lombardi-Giacomini: sabbia esclusiva del litorale tirrenico laziale, area Focene-Marina di Palidoro), rilanciata dagli accertamenti della Moro 2; gli atti dei cinque processi digitalizzati sotto il coordinamento dell'Archivio di Stato di Roma; la Renault 4 (targa Roma N57686) restaurata ed esposta al museo delle auto storiche della Polizia.</w:t>
      </w:r>
    </w:p>
    <w:p>
      <w:pPr>
        <w:spacing w:after="120" w:line="276"/>
        <w:jc w:val="both"/>
      </w:pPr>
      <w:r>
        <w:rPr>
          <w:rFonts w:ascii="Barlow Semi Condensed" w:cs="Barlow Semi Condensed" w:eastAsia="Barlow Semi Condensed" w:hAnsi="Barlow Semi Condensed"/>
          <w:b/>
          <w:bCs/>
          <w:sz w:val="24"/>
          <w:szCs w:val="24"/>
        </w:rPr>
        <w:t xml:space="preserve">V-8 · Il memoriale e i comunicati.</w:t>
      </w:r>
      <w:r>
        <w:rPr>
          <w:rFonts w:ascii="Barlow Semi Condensed" w:cs="Barlow Semi Condensed" w:eastAsia="Barlow Semi Condensed" w:hAnsi="Barlow Semi Condensed"/>
          <w:sz w:val="24"/>
          <w:szCs w:val="24"/>
        </w:rPr>
        <w:t xml:space="preserve"> Confermati: il primo ritrovamento di via Monte Nevoso (1° ottobre 1978, solo dattiloscritti) e il secondo (9 ottobre 1990, intercapedine, 421 fogli in fotocopia, ~229 del memoriale manoscritto); gli originali (stesura A) mai trovati — la distruzione è dichiarazione di parte; la perizia grafica post-1990 sull'autenticità della scrittura; il riordino comparato della Commissione stragi (2001) e l'edizione critica presentata all'Archivio di Stato di Roma (2020); le curatele Gotor (Lettere, 2008; Il memoriale della Repubblica, 2011); le date dei nove comunicati autentici (16/3, 25/3, 29/3, 4/4, 10/4, 15/4, 20/4, 24/4, 5/5) dagli strumenti della Direzione generale Archivi; il falso n. 7 del 18 aprile (telefonata delle 9:25 al Messaggero, ritrovamento a piazza Gioacchino Belli) con attribuzione a Chichiarelli istruttoria e peritale, mai giudicata (ucciso nel settembre 1984); il borsello del taxi (14 aprile 1979) con la divergenza dichiarata sulla testina IBM. Non trovato: uno studio stilometrico quantitativo sul memoriale o sui comunicati — il bersaglio del blocco 202 è dunque inedito.</w:t>
      </w:r>
    </w:p>
    <w:p>
      <w:pPr>
        <w:spacing w:after="120" w:line="276"/>
        <w:jc w:val="both"/>
      </w:pPr>
      <w:r>
        <w:rPr>
          <w:rFonts w:ascii="Barlow Semi Condensed" w:cs="Barlow Semi Condensed" w:eastAsia="Barlow Semi Condensed" w:hAnsi="Barlow Semi Condensed"/>
          <w:b/>
          <w:bCs/>
          <w:sz w:val="24"/>
          <w:szCs w:val="24"/>
        </w:rPr>
        <w:t xml:space="preserve">V-9 · L'audio e la fotografia.</w:t>
      </w:r>
      <w:r>
        <w:rPr>
          <w:rFonts w:ascii="Barlow Semi Condensed" w:cs="Barlow Semi Condensed" w:eastAsia="Barlow Semi Condensed" w:hAnsi="Barlow Semi Condensed"/>
          <w:sz w:val="24"/>
          <w:szCs w:val="24"/>
        </w:rPr>
        <w:t xml:space="preserve"> Confermati: la registrazione autentica e pubblica della telefonata Morucci-Tritto del 9 maggio 1978 («dottor Nicolai»); il quadro dei superstiti audio (le registrazioni note sono quella e la telefonata Moretti-Eleonora Moro del 30 aprile; per il resto trascrizioni agli atti); «La notte della Repubblica» (Rai 2, 1989-1990) conservata da Rai Teche e in parte su RaiPlay, coi materiali grezzi da accertare; i due filoni fotografici di via Fani (rilievi della Polizia scientifica negli atti; fondi d'agenzia); l'Aerofototeca Nazionale e l'IGM per le coperture aeree storiche. Non trovata: una ricostruzione 3D della scena pubblicata come modello consultabile — con la precisazione emersa dalla seconda campagna di verifica (i nove cantieri): per la Moro 2 la Polizia scientifica realizzò nel 2017 una ricostruzione virtuale dell'agguato, diffusa come elaborato tecnico; il bersaglio del blocco 200 resta dunque inedito nella forma — un modello pubblico ed esplorabile — e parte da quell'elaborato. </w:t>
      </w:r>
      <w:r>
        <w:rPr>
          <w:rFonts w:ascii="Barlow Semi Condensed" w:cs="Barlow Semi Condensed" w:eastAsia="Barlow Semi Condensed" w:hAnsi="Barlow Semi Condensed"/>
          <w:i/>
          <w:iCs/>
          <w:sz w:val="24"/>
          <w:szCs w:val="24"/>
        </w:rPr>
        <w:t xml:space="preserve">(Precisazione per nota, seconda campagna.)</w:t>
      </w:r>
    </w:p>
    <w:p>
      <w:pPr>
        <w:spacing w:after="120" w:line="276"/>
        <w:jc w:val="both"/>
      </w:pPr>
      <w:r>
        <w:rPr>
          <w:rFonts w:ascii="Barlow Semi Condensed" w:cs="Barlow Semi Condensed" w:eastAsia="Barlow Semi Condensed" w:hAnsi="Barlow Semi Condensed"/>
          <w:b/>
          <w:bCs/>
          <w:sz w:val="24"/>
          <w:szCs w:val="24"/>
        </w:rPr>
        <w:t xml:space="preserve">V-10 · Le scienze forensi.</w:t>
      </w:r>
      <w:r>
        <w:rPr>
          <w:rFonts w:ascii="Barlow Semi Condensed" w:cs="Barlow Semi Condensed" w:eastAsia="Barlow Semi Condensed" w:hAnsi="Barlow Semi Condensed"/>
          <w:sz w:val="24"/>
          <w:szCs w:val="24"/>
        </w:rPr>
        <w:t xml:space="preserve"> Confermati: la banca dati nazionale del DNA operativa dal 2016 (legge 85/2009, regolamento d.P.R. 87/2016; banca dati presso il Dipartimento della pubblica sicurezza, laboratorio centrale presso il DAP), coi profili da reperti di procedimenti penali inseribili per legge (artt. 7 e 10); lo screening genetico di massa del caso Yara Gambirasio (~18.000 profili, condanna definitiva 2018) come precedente italiano; la genealogia genetica forense mai usata in Italia (primo caso europeo documentato in Svezia) e priva di disciplina normativa; il fenotipo predittivo né vietato né disciplinato. Non trovati: la conferma di una banca dati balistica automatizzata nazionale operativa (accertamento formale da fare — blocco 190); un cold case italiano degli anni Settanta-Ottanta chiuso in giudicato con tecniche nuove su reperti d'epoca — il caso, se il fascicolo romano vi arrivasse, sarebbe il primo.</w:t>
      </w:r>
    </w:p>
    <w:p>
      <w:pPr>
        <w:spacing w:after="120" w:line="276"/>
        <w:jc w:val="both"/>
      </w:pPr>
      <w:r>
        <w:rPr>
          <w:rFonts w:ascii="Barlow Semi Condensed" w:cs="Barlow Semi Condensed" w:eastAsia="Barlow Semi Condensed" w:hAnsi="Barlow Semi Condensed"/>
          <w:b/>
          <w:bCs/>
          <w:sz w:val="24"/>
          <w:szCs w:val="24"/>
        </w:rPr>
        <w:t xml:space="preserve">V-11 · Il registro del giudicato.</w:t>
      </w:r>
      <w:r>
        <w:rPr>
          <w:rFonts w:ascii="Barlow Semi Condensed" w:cs="Barlow Semi Condensed" w:eastAsia="Barlow Semi Condensed" w:hAnsi="Barlow Semi Condensed"/>
          <w:sz w:val="24"/>
          <w:szCs w:val="24"/>
        </w:rPr>
        <w:t xml:space="preserve"> La campagna sul registro ha fissato dal record pubblico: i decessi documentati (Gallinari, 14 gennaio 2013; Maccari, in carcere, agosto 2001; Braghetti, dicembre 2023; Balzerani, 3 marzo 2024), le posizioni oltre confine (Casimirri a Managua, mai arrestato, estradizioni respinte; Lojacono-Baragiola cittadino svizzero, processato in Svizzera), le liberazioni condizionali e semilibertà maturate nei decenni. Alcuni stati attuali (fra cui la condizione presente di più viventi e lo stato del teste Marini) sono dichiarati «da precisare» e affidati alla seconda campagna di verifica dei nove cantieri: nell'agenda nessuno stato personale si afferma oltre la fonte.</w:t>
      </w:r>
    </w:p>
    <w:p>
      <w:pPr>
        <w:spacing w:after="120" w:line="276"/>
        <w:jc w:val="both"/>
      </w:pPr>
      <w:r>
        <w:rPr>
          <w:rFonts w:ascii="Barlow Semi Condensed" w:cs="Barlow Semi Condensed" w:eastAsia="Barlow Semi Condensed" w:hAnsi="Barlow Semi Condensed"/>
          <w:b/>
          <w:bCs/>
          <w:sz w:val="24"/>
          <w:szCs w:val="24"/>
        </w:rPr>
        <w:t xml:space="preserve">V-12 · Il fascicolo di Roma e i progetti.</w:t>
      </w:r>
      <w:r>
        <w:rPr>
          <w:rFonts w:ascii="Barlow Semi Condensed" w:cs="Barlow Semi Condensed" w:eastAsia="Barlow Semi Condensed" w:hAnsi="Barlow Semi Condensed"/>
          <w:sz w:val="24"/>
          <w:szCs w:val="24"/>
        </w:rPr>
        <w:t xml:space="preserve"> Confermati: il fascicolo aperto della Procura di Roma sulle «terze presenze» (il GIP ha respinto la richiesta di chiusura disponendo nuove indagini); la costellazione dei portali istituzionali senza un portale unico (inchieste.camera.it/moro; patrimonio.archivio.senato.it; memoria.cultura.gov.it; la Guida ai fondi ACS); l'edizione nazionale digitale morotea (aldomorodigitale.unibo.it); la digitalizzazione degli atti dei cinque processi (ACS/Archivio di Stato di Roma, Ministero della Giustizia, CSM). Non trovate: nuove acquisizioni documentali pubbliche rilevanti annunciate nel 2024-2026 — il che rende il completamento dei versamenti (blocco 30) un bersaglio ancora aperto.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Agenda di ricerca del nuovo Caso Moro, in trecento blocchi mirati di ricerca ordinati in dodici serie con statuto: i quesiti costitutivi (1-15), il giacimento della Direttiva (16-45), gli archivi parlamentari (46-70), i reperti da reinterrogare (71-100), le persone e la raccolta conservativa (101-125), i giacimenti internazionali (126-155), le carte private e di partito (156-180), le scienze nuove sui dati vecchi (181-210), le verifiche di smentita (211-235), le cronologie e i registri (236-260), i raccordi (261-280), il governo dell'agenda (281-300). Gemella del manuale operativo in quattrocento blocchi, fondata sulle piste, sulle schede e sulle verifiche del programma investigativo del corpus e sulle verifiche d'archivio condotte per questa agenda, con le fonti riportate nell'apparato finale. La ricerca produce documenti, non colpevoli — e questa agenda è l'elenco ordinato dei suoi bersagli.</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L'agenda di ricerca (300 blocchi)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 17.923 parole in 9 sezioni; la più ampia è §9 Altre sezioni, con 7.786.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 329 paragrafi in 9 sezioni, 37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dodici serie dell’agenda: ogni blocco un bersaglio, mai un’affermazione.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VI. I nove cantieri (1.000 blocchi)</w:t>
      </w:r>
    </w:p>
    <w:p>
      <w:pPr>
        <w:pStyle w:val="Heading1"/>
        <w:spacing w:after="120" w:before="240"/>
      </w:pPr>
      <w:r>
        <w:rPr>
          <w:rFonts w:ascii="Barlow Semi Condensed" w:cs="Barlow Semi Condensed" w:eastAsia="Barlow Semi Condensed" w:hAnsi="Barlow Semi Condensed"/>
          <w:sz w:val="24"/>
          <w:szCs w:val="24"/>
        </w:rPr>
        <w:t xml:space="preserve">I nove cantieri del nuovo Caso Moro</w:t>
      </w:r>
    </w:p>
    <w:p>
      <w:pPr>
        <w:pStyle w:val="Heading2"/>
        <w:spacing w:after="100" w:before="200"/>
      </w:pPr>
      <w:r>
        <w:rPr>
          <w:rFonts w:ascii="Barlow Semi Condensed" w:cs="Barlow Semi Condensed" w:eastAsia="Barlow Semi Condensed" w:hAnsi="Barlow Semi Condensed"/>
          <w:sz w:val="24"/>
          <w:szCs w:val="24"/>
        </w:rPr>
        <w:t xml:space="preserve">Mille blocchi mirati di approfondimento</w:t>
      </w:r>
    </w:p>
    <w:p>
      <w:pPr>
        <w:spacing w:after="120" w:line="276"/>
        <w:jc w:val="both"/>
      </w:pPr>
      <w:r>
        <w:rPr>
          <w:rFonts w:ascii="Barlow Semi Condensed" w:cs="Barlow Semi Condensed" w:eastAsia="Barlow Semi Condensed" w:hAnsi="Barlow Semi Condensed"/>
          <w:i/>
          <w:iCs/>
          <w:sz w:val="24"/>
          <w:szCs w:val="24"/>
        </w:rPr>
        <w:t xml:space="preserve">Documento titanico — 25 agosto 2026 · L'esecuzione approfondita dell'agenda di ricerca, cantiere per cantiere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dei nove cantieri.</w:t>
      </w:r>
      <w:r>
        <w:rPr>
          <w:rFonts w:ascii="Barlow Semi Condensed" w:cs="Barlow Semi Condensed" w:eastAsia="Barlow Semi Condensed" w:hAnsi="Barlow Semi Condensed"/>
          <w:i w:val="false"/>
          <w:iCs w:val="false"/>
          <w:sz w:val="24"/>
          <w:szCs w:val="24"/>
        </w:rPr>
        <w:t xml:space="preserve"> Questo documento porta a profondità esecutiva i nove fronti aperti dell'</w:t>
      </w:r>
      <w:r>
        <w:rPr>
          <w:rFonts w:ascii="Barlow Semi Condensed" w:cs="Barlow Semi Condensed" w:eastAsia="Barlow Semi Condensed" w:hAnsi="Barlow Semi Condensed"/>
          <w:i w:val="false"/>
          <w:iCs w:val="false"/>
          <w:sz w:val="24"/>
          <w:szCs w:val="24"/>
        </w:rPr>
        <w:t xml:space="preserve">agenda di ricerca</w:t>
      </w:r>
      <w:r>
        <w:rPr>
          <w:rFonts w:ascii="Barlow Semi Condensed" w:cs="Barlow Semi Condensed" w:eastAsia="Barlow Semi Condensed" w:hAnsi="Barlow Semi Condensed"/>
          <w:i w:val="false"/>
          <w:iCs w:val="false"/>
          <w:sz w:val="24"/>
          <w:szCs w:val="24"/>
        </w:rPr>
        <w:t xml:space="preserve">, nell'ordine indicato dal committente: </w:t>
      </w:r>
      <w:r>
        <w:rPr>
          <w:rFonts w:ascii="Barlow Semi Condensed" w:cs="Barlow Semi Condensed" w:eastAsia="Barlow Semi Condensed" w:hAnsi="Barlow Semi Condensed"/>
          <w:b/>
          <w:bCs/>
          <w:i w:val="false"/>
          <w:iCs w:val="false"/>
          <w:sz w:val="24"/>
          <w:szCs w:val="24"/>
        </w:rPr>
        <w:t xml:space="preserve">Regno Unito-Francia-Germania, il Vaticano, i fondi privati, i reperti, il memoriale, l'audio e la fotografia, le scienze forensi, il registro del giudicato, il fascicolo di Roma</w:t>
      </w:r>
      <w:r>
        <w:rPr>
          <w:rFonts w:ascii="Barlow Semi Condensed" w:cs="Barlow Semi Condensed" w:eastAsia="Barlow Semi Condensed" w:hAnsi="Barlow Semi Condensed"/>
          <w:i w:val="false"/>
          <w:iCs w:val="false"/>
          <w:sz w:val="24"/>
          <w:szCs w:val="24"/>
        </w:rPr>
        <w:t xml:space="preserve">. Mille </w:t>
      </w:r>
      <w:r>
        <w:rPr>
          <w:rFonts w:ascii="Barlow Semi Condensed" w:cs="Barlow Semi Condensed" w:eastAsia="Barlow Semi Condensed" w:hAnsi="Barlow Semi Condensed"/>
          <w:b/>
          <w:bCs/>
          <w:i w:val="false"/>
          <w:iCs w:val="false"/>
          <w:sz w:val="24"/>
          <w:szCs w:val="24"/>
        </w:rPr>
        <w:t xml:space="preserve">blocchi mirati</w:t>
      </w:r>
      <w:r>
        <w:rPr>
          <w:rFonts w:ascii="Barlow Semi Condensed" w:cs="Barlow Semi Condensed" w:eastAsia="Barlow Semi Condensed" w:hAnsi="Barlow Semi Condensed"/>
          <w:i w:val="false"/>
          <w:iCs w:val="false"/>
          <w:sz w:val="24"/>
          <w:szCs w:val="24"/>
        </w:rPr>
        <w:t xml:space="preserve">, numerati in nove Parti con statuto, ciascuna articolata in sezioni: l'architettura del Dossier maggiore portata alla sua scala massima. La quadriga investigativa del corpus è ora completa: il </w:t>
      </w:r>
      <w:r>
        <w:rPr>
          <w:rFonts w:ascii="Barlow Semi Condensed" w:cs="Barlow Semi Condensed" w:eastAsia="Barlow Semi Condensed" w:hAnsi="Barlow Semi Condensed"/>
          <w:i w:val="false"/>
          <w:iCs w:val="false"/>
          <w:sz w:val="24"/>
          <w:szCs w:val="24"/>
        </w:rPr>
        <w:t xml:space="preserve">programma</w:t>
      </w:r>
      <w:r>
        <w:rPr>
          <w:rFonts w:ascii="Barlow Semi Condensed" w:cs="Barlow Semi Condensed" w:eastAsia="Barlow Semi Condensed" w:hAnsi="Barlow Semi Condensed"/>
          <w:i w:val="false"/>
          <w:iCs w:val="false"/>
          <w:sz w:val="24"/>
          <w:szCs w:val="24"/>
        </w:rPr>
        <w:t xml:space="preserve"> ordina le piste, il </w:t>
      </w:r>
      <w:r>
        <w:rPr>
          <w:rFonts w:ascii="Barlow Semi Condensed" w:cs="Barlow Semi Condensed" w:eastAsia="Barlow Semi Condensed" w:hAnsi="Barlow Semi Condensed"/>
          <w:i w:val="false"/>
          <w:iCs w:val="false"/>
          <w:sz w:val="24"/>
          <w:szCs w:val="24"/>
        </w:rPr>
        <w:t xml:space="preserve">manuale</w:t>
      </w:r>
      <w:r>
        <w:rPr>
          <w:rFonts w:ascii="Barlow Semi Condensed" w:cs="Barlow Semi Condensed" w:eastAsia="Barlow Semi Condensed" w:hAnsi="Barlow Semi Condensed"/>
          <w:i w:val="false"/>
          <w:iCs w:val="false"/>
          <w:sz w:val="24"/>
          <w:szCs w:val="24"/>
        </w:rPr>
        <w:t xml:space="preserve"> dice </w:t>
      </w:r>
      <w:r>
        <w:rPr>
          <w:rFonts w:ascii="Barlow Semi Condensed" w:cs="Barlow Semi Condensed" w:eastAsia="Barlow Semi Condensed" w:hAnsi="Barlow Semi Condensed"/>
          <w:i w:val="false"/>
          <w:iCs w:val="false"/>
          <w:sz w:val="24"/>
          <w:szCs w:val="24"/>
        </w:rPr>
        <w:t xml:space="preserve">come</w:t>
      </w:r>
      <w:r>
        <w:rPr>
          <w:rFonts w:ascii="Barlow Semi Condensed" w:cs="Barlow Semi Condensed" w:eastAsia="Barlow Semi Condensed" w:hAnsi="Barlow Semi Condensed"/>
          <w:i w:val="false"/>
          <w:iCs w:val="false"/>
          <w:sz w:val="24"/>
          <w:szCs w:val="24"/>
        </w:rPr>
        <w:t xml:space="preserve"> (quattrocento blocchi), l'agenda dice </w:t>
      </w:r>
      <w:r>
        <w:rPr>
          <w:rFonts w:ascii="Barlow Semi Condensed" w:cs="Barlow Semi Condensed" w:eastAsia="Barlow Semi Condensed" w:hAnsi="Barlow Semi Condensed"/>
          <w:i w:val="false"/>
          <w:iCs w:val="false"/>
          <w:sz w:val="24"/>
          <w:szCs w:val="24"/>
        </w:rPr>
        <w:t xml:space="preserve">che cosa e dove</w:t>
      </w:r>
      <w:r>
        <w:rPr>
          <w:rFonts w:ascii="Barlow Semi Condensed" w:cs="Barlow Semi Condensed" w:eastAsia="Barlow Semi Condensed" w:hAnsi="Barlow Semi Condensed"/>
          <w:i w:val="false"/>
          <w:iCs w:val="false"/>
          <w:sz w:val="24"/>
          <w:szCs w:val="24"/>
        </w:rPr>
        <w:t xml:space="preserve"> (trecento blocchi), i nove cantieri dicono </w:t>
      </w:r>
      <w:r>
        <w:rPr>
          <w:rFonts w:ascii="Barlow Semi Condensed" w:cs="Barlow Semi Condensed" w:eastAsia="Barlow Semi Condensed" w:hAnsi="Barlow Semi Condensed"/>
          <w:i w:val="false"/>
          <w:iCs w:val="false"/>
          <w:sz w:val="24"/>
          <w:szCs w:val="24"/>
        </w:rPr>
        <w:t xml:space="preserve">fin dove</w:t>
      </w:r>
      <w:r>
        <w:rPr>
          <w:rFonts w:ascii="Barlow Semi Condensed" w:cs="Barlow Semi Condensed" w:eastAsia="Barlow Semi Condensed" w:hAnsi="Barlow Semi Condensed"/>
          <w:i w:val="false"/>
          <w:iCs w:val="false"/>
          <w:sz w:val="24"/>
          <w:szCs w:val="24"/>
        </w:rPr>
        <w:t xml:space="preserve"> — bersaglio per bersaglio, scaffale per scaffale. Ogni blocco resta un bersaglio di ricerca e non un'affermazione; ogni fatto richiamato è verificato — nelle schede del corpus o nelle due campagne di verifica condotte per l'agenda e per quest'opera, con gli indirizzi riportati nei blocchi e nell'apparato finale. Vale ovunque la disciplina del corpus: i gradi, l'ACH, l'anello debole, la regola dei buchi, il registro chiuso del giudicato, gli assolti che restano assolti, nessun nome come esito atteso. </w:t>
      </w:r>
      <w:r>
        <w:rPr>
          <w:rFonts w:ascii="Barlow Semi Condensed" w:cs="Barlow Semi Condensed" w:eastAsia="Barlow Semi Condensed" w:hAnsi="Barlow Semi Condensed"/>
          <w:b/>
          <w:bCs/>
          <w:i w:val="false"/>
          <w:iCs w:val="false"/>
          <w:sz w:val="24"/>
          <w:szCs w:val="24"/>
        </w:rPr>
        <w:t xml:space="preserve">La ricerca produce documenti, non colpevoli</w:t>
      </w:r>
      <w:r>
        <w:rPr>
          <w:rFonts w:ascii="Barlow Semi Condensed" w:cs="Barlow Semi Condensed" w:eastAsia="Barlow Semi Condensed" w:hAnsi="Barlow Semi Condensed"/>
          <w:i w:val="false"/>
          <w:iCs w:val="false"/>
          <w:sz w:val="24"/>
          <w:szCs w:val="24"/>
        </w:rPr>
        <w:t xml:space="preserve"> — mille volte.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Parte prima — Oltremanica, oltralpe, oltre Reno (blocchi 1-120)</w:t>
      </w:r>
    </w:p>
    <w:p>
      <w:pPr>
        <w:spacing w:after="120" w:line="276"/>
        <w:jc w:val="both"/>
      </w:pPr>
      <w:r>
        <w:rPr>
          <w:rFonts w:ascii="Barlow Semi Condensed" w:cs="Barlow Semi Condensed" w:eastAsia="Barlow Semi Condensed" w:hAnsi="Barlow Semi Condensed"/>
          <w:i/>
          <w:iCs/>
          <w:sz w:val="24"/>
          <w:szCs w:val="24"/>
        </w:rPr>
        <w:t xml:space="preserve">Statuto della parte: i tre archivi d'Europa. Londra, Parigi e Bonn osservarono i 55 giorni da alleati con occhi propri e archiviarono con regole proprie: la trentennale britannica ha già aperto, la comunicabilità francese apre a scaglioni e con deroghe, la trentennale tedesca ha aperto la diplomazia ma non tutta la cancelleria. La parte organizza i tre cantieri nazionali con la stessa griglia — giacimenti, procedure, letteratura, quesiti, tavole — e con la disciplina scolpita nell'agenda: un dispaccio riferisce, non accerta.</w:t>
      </w:r>
    </w:p>
    <w:p>
      <w:pPr>
        <w:pStyle w:val="Heading3"/>
        <w:spacing w:after="80" w:before="160"/>
      </w:pPr>
      <w:r>
        <w:rPr>
          <w:rFonts w:ascii="Barlow Semi Condensed" w:cs="Barlow Semi Condensed" w:eastAsia="Barlow Semi Condensed" w:hAnsi="Barlow Semi Condensed"/>
          <w:sz w:val="24"/>
          <w:szCs w:val="24"/>
        </w:rPr>
        <w:t xml:space="preserve">Il cantiere britannico (blocchi 1-40)</w:t>
      </w:r>
    </w:p>
    <w:p>
      <w:pPr>
        <w:spacing w:after="120" w:line="276"/>
        <w:jc w:val="both"/>
      </w:pPr>
      <w:r>
        <w:rPr>
          <w:rFonts w:ascii="Barlow Semi Condensed" w:cs="Barlow Semi Condensed" w:eastAsia="Barlow Semi Condensed" w:hAnsi="Barlow Semi Condensed"/>
          <w:b/>
          <w:bCs/>
          <w:sz w:val="24"/>
          <w:szCs w:val="24"/>
        </w:rPr>
        <w:t xml:space="preserve">1 · Il fascicolo censito.</w:t>
      </w:r>
      <w:r>
        <w:rPr>
          <w:rFonts w:ascii="Barlow Semi Condensed" w:cs="Barlow Semi Condensed" w:eastAsia="Barlow Semi Condensed" w:hAnsi="Barlow Semi Condensed"/>
          <w:sz w:val="24"/>
          <w:szCs w:val="24"/>
        </w:rPr>
        <w:t xml:space="preserve"> Il punto di partenza documentato: nel catalogo Discovery dei National Archives di Kew è censito il fascicolo «Terrorism in Italy, including kidnapping and death of Aldo Moro, former Prime Minister» (record C11492660, non digitalizzato). Prima campagna del cantiere: acquisirlo integralmente in sala, foglio per foglio.</w:t>
      </w:r>
    </w:p>
    <w:p>
      <w:pPr>
        <w:spacing w:after="120" w:line="276"/>
        <w:jc w:val="both"/>
      </w:pPr>
      <w:r>
        <w:rPr>
          <w:rFonts w:ascii="Barlow Semi Condensed" w:cs="Barlow Semi Condensed" w:eastAsia="Barlow Semi Condensed" w:hAnsi="Barlow Semi Condensed"/>
          <w:b/>
          <w:bCs/>
          <w:sz w:val="24"/>
          <w:szCs w:val="24"/>
        </w:rPr>
        <w:t xml:space="preserve">2 · La serie madre.</w:t>
      </w:r>
      <w:r>
        <w:rPr>
          <w:rFonts w:ascii="Barlow Semi Condensed" w:cs="Barlow Semi Condensed" w:eastAsia="Barlow Semi Condensed" w:hAnsi="Barlow Semi Condensed"/>
          <w:sz w:val="24"/>
          <w:szCs w:val="24"/>
        </w:rPr>
        <w:t xml:space="preserve"> La serie FCO 33 (Western European Department) per il 1978: lo spoglio sistematico di tutti i fascicoli italiani dell'anno — non solo quello intitolato a Moro. Il contesto amministrativo di un fascicolo è parte del fascicolo: ciò che il dipartimento apriva e chiudeva intorno al caso dice come il caso era classificato.</w:t>
      </w:r>
    </w:p>
    <w:p>
      <w:pPr>
        <w:spacing w:after="120" w:line="276"/>
        <w:jc w:val="both"/>
      </w:pPr>
      <w:r>
        <w:rPr>
          <w:rFonts w:ascii="Barlow Semi Condensed" w:cs="Barlow Semi Condensed" w:eastAsia="Barlow Semi Condensed" w:hAnsi="Barlow Semi Condensed"/>
          <w:b/>
          <w:bCs/>
          <w:sz w:val="24"/>
          <w:szCs w:val="24"/>
        </w:rPr>
        <w:t xml:space="preserve">3 · La ricerca totale in Discovery.</w:t>
      </w:r>
      <w:r>
        <w:rPr>
          <w:rFonts w:ascii="Barlow Semi Condensed" w:cs="Barlow Semi Condensed" w:eastAsia="Barlow Semi Condensed" w:hAnsi="Barlow Semi Condensed"/>
          <w:sz w:val="24"/>
          <w:szCs w:val="24"/>
        </w:rPr>
        <w:t xml:space="preserve"> L'interrogazione metodica del catalogo con griglia dichiarata — «Moro», «Red Brigades», «Italy terrorism», le date chiave — su tutte le serie, con verbale degli esiti anche nulli. Discovery è l'inventario generale di Kew: la ricerca totale è il censimento preliminare di tutto il cantiere.</w:t>
      </w:r>
    </w:p>
    <w:p>
      <w:pPr>
        <w:spacing w:after="120" w:line="276"/>
        <w:jc w:val="both"/>
      </w:pPr>
      <w:r>
        <w:rPr>
          <w:rFonts w:ascii="Barlow Semi Condensed" w:cs="Barlow Semi Condensed" w:eastAsia="Barlow Semi Condensed" w:hAnsi="Barlow Semi Condensed"/>
          <w:b/>
          <w:bCs/>
          <w:sz w:val="24"/>
          <w:szCs w:val="24"/>
        </w:rPr>
        <w:t xml:space="preserve">4 · Il vuoto di Downing Street.</w:t>
      </w:r>
      <w:r>
        <w:rPr>
          <w:rFonts w:ascii="Barlow Semi Condensed" w:cs="Barlow Semi Condensed" w:eastAsia="Barlow Semi Condensed" w:hAnsi="Barlow Semi Condensed"/>
          <w:sz w:val="24"/>
          <w:szCs w:val="24"/>
        </w:rPr>
        <w:t xml:space="preserve"> La verifica condotta per quest'opera non ha identificato online un fascicolo PREM specificamente moroteo; la serie pertinente è PREM 16 (Prime Minister's Office, 1974-1979, governi Wilson e Callaghan). Il bersaglio è la ricerca mirata in sala: l'esito — fascicolo trovato o vuoto verbalizzato — decide un quesito che il catalogo da solo non chiude.</w:t>
      </w:r>
    </w:p>
    <w:p>
      <w:pPr>
        <w:spacing w:after="120" w:line="276"/>
        <w:jc w:val="both"/>
      </w:pPr>
      <w:r>
        <w:rPr>
          <w:rFonts w:ascii="Barlow Semi Condensed" w:cs="Barlow Semi Condensed" w:eastAsia="Barlow Semi Condensed" w:hAnsi="Barlow Semi Condensed"/>
          <w:b/>
          <w:bCs/>
          <w:sz w:val="24"/>
          <w:szCs w:val="24"/>
        </w:rPr>
        <w:t xml:space="preserve">5 · Le carte del Gabinetto.</w:t>
      </w:r>
      <w:r>
        <w:rPr>
          <w:rFonts w:ascii="Barlow Semi Condensed" w:cs="Barlow Semi Condensed" w:eastAsia="Barlow Semi Condensed" w:hAnsi="Barlow Semi Condensed"/>
          <w:sz w:val="24"/>
          <w:szCs w:val="24"/>
        </w:rPr>
        <w:t xml:space="preserve"> Le serie del Cabinet Office per il 1978: i comitati ministeriali sulla sicurezza, le valutazioni congiunte sul terrorismo europeo, i briefing al primo ministro. La domanda è di flusso: quando l'Italia entrava nell'ordine del giorno di Londra, con quale rango e su quale input?</w:t>
      </w:r>
    </w:p>
    <w:p>
      <w:pPr>
        <w:spacing w:after="120" w:line="276"/>
        <w:jc w:val="both"/>
      </w:pPr>
      <w:r>
        <w:rPr>
          <w:rFonts w:ascii="Barlow Semi Condensed" w:cs="Barlow Semi Condensed" w:eastAsia="Barlow Semi Condensed" w:hAnsi="Barlow Semi Condensed"/>
          <w:b/>
          <w:bCs/>
          <w:sz w:val="24"/>
          <w:szCs w:val="24"/>
        </w:rPr>
        <w:t xml:space="preserve">6 · Le valutazioni congiunte.</w:t>
      </w:r>
      <w:r>
        <w:rPr>
          <w:rFonts w:ascii="Barlow Semi Condensed" w:cs="Barlow Semi Condensed" w:eastAsia="Barlow Semi Condensed" w:hAnsi="Barlow Semi Condensed"/>
          <w:sz w:val="24"/>
          <w:szCs w:val="24"/>
        </w:rPr>
        <w:t xml:space="preserve"> I rapporti del Joint Intelligence Committee del periodo, dove declassificati: le valutazioni britanniche sul terrorismo italiano prima, durante e dopo i 55 giorni. Disciplina di lettura massima: una valutazione d'intelligence è un'ipotesi di servizio con la sua data — entra come F sull'esistenza, C sul contenuto.</w:t>
      </w:r>
    </w:p>
    <w:p>
      <w:pPr>
        <w:spacing w:after="120" w:line="276"/>
        <w:jc w:val="both"/>
      </w:pPr>
      <w:r>
        <w:rPr>
          <w:rFonts w:ascii="Barlow Semi Condensed" w:cs="Barlow Semi Condensed" w:eastAsia="Barlow Semi Condensed" w:hAnsi="Barlow Semi Condensed"/>
          <w:b/>
          <w:bCs/>
          <w:sz w:val="24"/>
          <w:szCs w:val="24"/>
        </w:rPr>
        <w:t xml:space="preserve">7 · L'ambasciata sul Tevere.</w:t>
      </w:r>
      <w:r>
        <w:rPr>
          <w:rFonts w:ascii="Barlow Semi Condensed" w:cs="Barlow Semi Condensed" w:eastAsia="Barlow Semi Condensed" w:hAnsi="Barlow Semi Condensed"/>
          <w:sz w:val="24"/>
          <w:szCs w:val="24"/>
        </w:rPr>
        <w:t xml:space="preserve"> I registri e i carteggi dell'ambasciata britannica a Roma per il 1978, dentro le serie FCO: la corrispondenza quotidiana, i colloqui con le autorità italiane, i rapporti dell'addetto. È il punto di osservazione più ravvicinato del cantiere: che cosa l'ambasciatore vedeva e a chi lo scriveva.</w:t>
      </w:r>
    </w:p>
    <w:p>
      <w:pPr>
        <w:spacing w:after="120" w:line="276"/>
        <w:jc w:val="both"/>
      </w:pPr>
      <w:r>
        <w:rPr>
          <w:rFonts w:ascii="Barlow Semi Condensed" w:cs="Barlow Semi Condensed" w:eastAsia="Barlow Semi Condensed" w:hAnsi="Barlow Semi Condensed"/>
          <w:b/>
          <w:bCs/>
          <w:sz w:val="24"/>
          <w:szCs w:val="24"/>
        </w:rPr>
        <w:t xml:space="preserve">8 · I generi del dispaccio.</w:t>
      </w:r>
      <w:r>
        <w:rPr>
          <w:rFonts w:ascii="Barlow Semi Condensed" w:cs="Barlow Semi Condensed" w:eastAsia="Barlow Semi Condensed" w:hAnsi="Barlow Semi Condensed"/>
          <w:sz w:val="24"/>
          <w:szCs w:val="24"/>
        </w:rPr>
        <w:t xml:space="preserve"> La tavola dei generi documentali britannici — telegram, despatch, letter, minute, brief — con la loro diversa natura probatoria: il telegramma riferisce a caldo, il despatch riflette, la minuta interna giudica. Ogni carta di Kew entra nel corpus col suo genere dichiarato, perché il genere è metà del grado.</w:t>
      </w:r>
    </w:p>
    <w:p>
      <w:pPr>
        <w:spacing w:after="120" w:line="276"/>
        <w:jc w:val="both"/>
      </w:pPr>
      <w:r>
        <w:rPr>
          <w:rFonts w:ascii="Barlow Semi Condensed" w:cs="Barlow Semi Condensed" w:eastAsia="Barlow Semi Condensed" w:hAnsi="Barlow Semi Condensed"/>
          <w:b/>
          <w:bCs/>
          <w:sz w:val="24"/>
          <w:szCs w:val="24"/>
        </w:rPr>
        <w:t xml:space="preserve">9 · Le aperture del 2008-2009.</w:t>
      </w:r>
      <w:r>
        <w:rPr>
          <w:rFonts w:ascii="Barlow Semi Condensed" w:cs="Barlow Semi Condensed" w:eastAsia="Barlow Semi Condensed" w:hAnsi="Barlow Semi Condensed"/>
          <w:sz w:val="24"/>
          <w:szCs w:val="24"/>
        </w:rPr>
        <w:t xml:space="preserve"> I fascicoli italiani del 1978 furono aperti con la regola dei trent'anni fra il 2008 e il 2009, e la stampa italiana ne pubblicò allora i primi frammenti. Il bersaglio è la sistematicità che al giornalismo non spettava: la lettura integrale di ciò che quelle aperture resero disponibile e nessuno ha mai spogliato per intero.</w:t>
      </w:r>
    </w:p>
    <w:p>
      <w:pPr>
        <w:spacing w:after="120" w:line="276"/>
        <w:jc w:val="both"/>
      </w:pPr>
      <w:r>
        <w:rPr>
          <w:rFonts w:ascii="Barlow Semi Condensed" w:cs="Barlow Semi Condensed" w:eastAsia="Barlow Semi Condensed" w:hAnsi="Barlow Semi Condensed"/>
          <w:b/>
          <w:bCs/>
          <w:sz w:val="24"/>
          <w:szCs w:val="24"/>
        </w:rPr>
        <w:t xml:space="preserve">10 · La regola dei venti.</w:t>
      </w:r>
      <w:r>
        <w:rPr>
          <w:rFonts w:ascii="Barlow Semi Condensed" w:cs="Barlow Semi Condensed" w:eastAsia="Barlow Semi Condensed" w:hAnsi="Barlow Semi Condensed"/>
          <w:sz w:val="24"/>
          <w:szCs w:val="24"/>
        </w:rPr>
        <w:t xml:space="preserve"> La transizione britannica alla ventennale (avviata nel 2013 con rilasci accelerati): la mappa di che cosa è già maturato e di che cosa matura anno per anno fino al 2028 del cinquantenario. Il calendario delle aperture britanniche entra nel motore delle scadenze dell'agenda con date certe.</w:t>
      </w:r>
    </w:p>
    <w:p>
      <w:pPr>
        <w:spacing w:after="120" w:line="276"/>
        <w:jc w:val="both"/>
      </w:pPr>
      <w:r>
        <w:rPr>
          <w:rFonts w:ascii="Barlow Semi Condensed" w:cs="Barlow Semi Condensed" w:eastAsia="Barlow Semi Condensed" w:hAnsi="Barlow Semi Condensed"/>
          <w:b/>
          <w:bCs/>
          <w:sz w:val="24"/>
          <w:szCs w:val="24"/>
        </w:rPr>
        <w:t xml:space="preserve">11 · I trattenuti di Kew.</w:t>
      </w:r>
      <w:r>
        <w:rPr>
          <w:rFonts w:ascii="Barlow Semi Condensed" w:cs="Barlow Semi Condensed" w:eastAsia="Barlow Semi Condensed" w:hAnsi="Barlow Semi Condensed"/>
          <w:sz w:val="24"/>
          <w:szCs w:val="24"/>
        </w:rPr>
        <w:t xml:space="preserve"> Il censimento dei fascicoli retained by department e delle chiusure prolungate nelle serie pertinenti: che cosa i dipartimenti hanno trattenuto, con quale motivazione dichiarata in catalogo. Il ritenuto britannico si censisce come quello americano: la tavola del chiuso è metà della conoscenza.</w:t>
      </w:r>
    </w:p>
    <w:p>
      <w:pPr>
        <w:spacing w:after="120" w:line="276"/>
        <w:jc w:val="both"/>
      </w:pPr>
      <w:r>
        <w:rPr>
          <w:rFonts w:ascii="Barlow Semi Condensed" w:cs="Barlow Semi Condensed" w:eastAsia="Barlow Semi Condensed" w:hAnsi="Barlow Semi Condensed"/>
          <w:b/>
          <w:bCs/>
          <w:sz w:val="24"/>
          <w:szCs w:val="24"/>
        </w:rPr>
        <w:t xml:space="preserve">12 · Le richieste FoI.</w:t>
      </w:r>
      <w:r>
        <w:rPr>
          <w:rFonts w:ascii="Barlow Semi Condensed" w:cs="Barlow Semi Condensed" w:eastAsia="Barlow Semi Condensed" w:hAnsi="Barlow Semi Condensed"/>
          <w:sz w:val="24"/>
          <w:szCs w:val="24"/>
        </w:rPr>
        <w:t xml:space="preserve"> Per i fascicoli chiusi o trattenuti: le richieste sotto il Freedom of Information Act 2000, una per fascicolo, con la motivazione storica argomentata e il registro degli esiti. Il diritto britannico conosce l'interesse pubblico alla storia: l'agenda lo invoca per iscritto, fascicolo per fascicolo.</w:t>
      </w:r>
    </w:p>
    <w:p>
      <w:pPr>
        <w:spacing w:after="120" w:line="276"/>
        <w:jc w:val="both"/>
      </w:pPr>
      <w:r>
        <w:rPr>
          <w:rFonts w:ascii="Barlow Semi Condensed" w:cs="Barlow Semi Condensed" w:eastAsia="Barlow Semi Condensed" w:hAnsi="Barlow Semi Condensed"/>
          <w:b/>
          <w:bCs/>
          <w:sz w:val="24"/>
          <w:szCs w:val="24"/>
        </w:rPr>
        <w:t xml:space="preserve">13 · Il ricorso all'ICO.</w:t>
      </w:r>
      <w:r>
        <w:rPr>
          <w:rFonts w:ascii="Barlow Semi Condensed" w:cs="Barlow Semi Condensed" w:eastAsia="Barlow Semi Condensed" w:hAnsi="Barlow Semi Condensed"/>
          <w:sz w:val="24"/>
          <w:szCs w:val="24"/>
        </w:rPr>
        <w:t xml:space="preserve"> Per i dinieghi: la via del ricorso all'Information Commissioner e al First-tier Tribunal, coi precedenti favorevoli alla ricerca storica censiti. Ogni ricorso vinto apre un fascicolo e un precedente; ogni ricorso perso documenta un limite: entrambi entrano nel registro delle richieste.</w:t>
      </w:r>
    </w:p>
    <w:p>
      <w:pPr>
        <w:spacing w:after="120" w:line="276"/>
        <w:jc w:val="both"/>
      </w:pPr>
      <w:r>
        <w:rPr>
          <w:rFonts w:ascii="Barlow Semi Condensed" w:cs="Barlow Semi Condensed" w:eastAsia="Barlow Semi Condensed" w:hAnsi="Barlow Semi Condensed"/>
          <w:b/>
          <w:bCs/>
          <w:sz w:val="24"/>
          <w:szCs w:val="24"/>
        </w:rPr>
        <w:t xml:space="preserve">14 · La letteratura accademica.</w:t>
      </w:r>
      <w:r>
        <w:rPr>
          <w:rFonts w:ascii="Barlow Semi Condensed" w:cs="Barlow Semi Condensed" w:eastAsia="Barlow Semi Condensed" w:hAnsi="Barlow Semi Condensed"/>
          <w:sz w:val="24"/>
          <w:szCs w:val="24"/>
        </w:rPr>
        <w:t xml:space="preserve"> Gli studi già condotti sulle carte britanniche del caso — la ricognizione di Antonello Battaglia («L'eco del caso Moro in Gran Bretagna», 2021, su carte FCO 33) e il quadro di Valentine Lomellini («The Italian State and International Terrorism, 1969-1986», Springer 2023): la tavola delle segnature che citano, come mappa di scavo già battuta.</w:t>
      </w:r>
    </w:p>
    <w:p>
      <w:pPr>
        <w:spacing w:after="120" w:line="276"/>
        <w:jc w:val="both"/>
      </w:pPr>
      <w:r>
        <w:rPr>
          <w:rFonts w:ascii="Barlow Semi Condensed" w:cs="Barlow Semi Condensed" w:eastAsia="Barlow Semi Condensed" w:hAnsi="Barlow Semi Condensed"/>
          <w:b/>
          <w:bCs/>
          <w:sz w:val="24"/>
          <w:szCs w:val="24"/>
        </w:rPr>
        <w:t xml:space="preserve">15 · Il giornalismo dalle carte.</w:t>
      </w:r>
      <w:r>
        <w:rPr>
          <w:rFonts w:ascii="Barlow Semi Condensed" w:cs="Barlow Semi Condensed" w:eastAsia="Barlow Semi Condensed" w:hAnsi="Barlow Semi Condensed"/>
          <w:sz w:val="24"/>
          <w:szCs w:val="24"/>
        </w:rPr>
        <w:t xml:space="preserve"> Le inchieste giornalistiche fondate su Kew (i lavori di Fasanella e Cereghino): si leggono con la regola dichiarata — le tesi si lasciano al loro autore, le segnature si estraggono e si verificano in originale. Il cantiere non eredita conclusioni: eredita coordinate d'archivio, e le controlla.</w:t>
      </w:r>
    </w:p>
    <w:p>
      <w:pPr>
        <w:spacing w:after="120" w:line="276"/>
        <w:jc w:val="both"/>
      </w:pPr>
      <w:r>
        <w:rPr>
          <w:rFonts w:ascii="Barlow Semi Condensed" w:cs="Barlow Semi Condensed" w:eastAsia="Barlow Semi Condensed" w:hAnsi="Barlow Semi Condensed"/>
          <w:b/>
          <w:bCs/>
          <w:sz w:val="24"/>
          <w:szCs w:val="24"/>
        </w:rPr>
        <w:t xml:space="preserve">16 · La verifica delle segnature.</w:t>
      </w:r>
      <w:r>
        <w:rPr>
          <w:rFonts w:ascii="Barlow Semi Condensed" w:cs="Barlow Semi Condensed" w:eastAsia="Barlow Semi Condensed" w:hAnsi="Barlow Semi Condensed"/>
          <w:sz w:val="24"/>
          <w:szCs w:val="24"/>
        </w:rPr>
        <w:t xml:space="preserve"> Il protocollo: da ogni pubblicazione fondata su carte britanniche si estrae la tavola completa delle segnature citate, se ne verifica un campione in originale, e la fedeltà misurata dell'uso delle fonti decide quanto pesare il resto. La secondarietà si tara, non si presume.</w:t>
      </w:r>
    </w:p>
    <w:p>
      <w:pPr>
        <w:spacing w:after="120" w:line="276"/>
        <w:jc w:val="both"/>
      </w:pPr>
      <w:r>
        <w:rPr>
          <w:rFonts w:ascii="Barlow Semi Condensed" w:cs="Barlow Semi Condensed" w:eastAsia="Barlow Semi Condensed" w:hAnsi="Barlow Semi Condensed"/>
          <w:b/>
          <w:bCs/>
          <w:sz w:val="24"/>
          <w:szCs w:val="24"/>
        </w:rPr>
        <w:t xml:space="preserve">17 · Gli archivi della BBC.</w:t>
      </w:r>
      <w:r>
        <w:rPr>
          <w:rFonts w:ascii="Barlow Semi Condensed" w:cs="Barlow Semi Condensed" w:eastAsia="Barlow Semi Condensed" w:hAnsi="Barlow Semi Condensed"/>
          <w:sz w:val="24"/>
          <w:szCs w:val="24"/>
        </w:rPr>
        <w:t xml:space="preserve"> I BBC Written Archives (Caversham) e i monitoring reports del 1978: che cosa il servizio d'ascolto britannico registrò delle radio e delle agenzie italiane nei 55 giorni, giorno per giorno. Un osservatorio tecnico d'epoca, contemporaneo e datato: la cronaca dei 55 giorni con timbro orario straniero.</w:t>
      </w:r>
    </w:p>
    <w:p>
      <w:pPr>
        <w:spacing w:after="120" w:line="276"/>
        <w:jc w:val="both"/>
      </w:pPr>
      <w:r>
        <w:rPr>
          <w:rFonts w:ascii="Barlow Semi Condensed" w:cs="Barlow Semi Condensed" w:eastAsia="Barlow Semi Condensed" w:hAnsi="Barlow Semi Condensed"/>
          <w:b/>
          <w:bCs/>
          <w:sz w:val="24"/>
          <w:szCs w:val="24"/>
        </w:rPr>
        <w:t xml:space="preserve">18 · Le agenzie e Fleet Street.</w:t>
      </w:r>
      <w:r>
        <w:rPr>
          <w:rFonts w:ascii="Barlow Semi Condensed" w:cs="Barlow Semi Condensed" w:eastAsia="Barlow Semi Condensed" w:hAnsi="Barlow Semi Condensed"/>
          <w:sz w:val="24"/>
          <w:szCs w:val="24"/>
        </w:rPr>
        <w:t xml:space="preserve"> Gli archivi Reuters e dei quotidiani britannici: i dispacci dei corrispondenti da Roma, i taccuini dove depositati, le corrispondenze non pubblicate. La stampa britannica ebbe a Roma osservatori di prima fila: il loro archivio è il gemello privato del cantiere pubblico.</w:t>
      </w:r>
    </w:p>
    <w:p>
      <w:pPr>
        <w:spacing w:after="120" w:line="276"/>
        <w:jc w:val="both"/>
      </w:pPr>
      <w:r>
        <w:rPr>
          <w:rFonts w:ascii="Barlow Semi Condensed" w:cs="Barlow Semi Condensed" w:eastAsia="Barlow Semi Condensed" w:hAnsi="Barlow Semi Condensed"/>
          <w:b/>
          <w:bCs/>
          <w:sz w:val="24"/>
          <w:szCs w:val="24"/>
        </w:rPr>
        <w:t xml:space="preserve">19 · Il quesito dei comitati.</w:t>
      </w:r>
      <w:r>
        <w:rPr>
          <w:rFonts w:ascii="Barlow Semi Condensed" w:cs="Barlow Semi Condensed" w:eastAsia="Barlow Semi Condensed" w:hAnsi="Barlow Semi Condensed"/>
          <w:sz w:val="24"/>
          <w:szCs w:val="24"/>
        </w:rPr>
        <w:t xml:space="preserve"> La griglia britannica applicata al quesito 8 dell'agenda: che cosa Londra sapeva e riferiva della macchina italiana della crisi — i comitati, gli esperti, la catena di comando. Un giudizio d'ambasciata sull'apparato italiano è un documento d'epoca sul funzionamento reale: si cerca, si data, si pesa.</w:t>
      </w:r>
    </w:p>
    <w:p>
      <w:pPr>
        <w:spacing w:after="120" w:line="276"/>
        <w:jc w:val="both"/>
      </w:pPr>
      <w:r>
        <w:rPr>
          <w:rFonts w:ascii="Barlow Semi Condensed" w:cs="Barlow Semi Condensed" w:eastAsia="Barlow Semi Condensed" w:hAnsi="Barlow Semi Condensed"/>
          <w:b/>
          <w:bCs/>
          <w:sz w:val="24"/>
          <w:szCs w:val="24"/>
        </w:rPr>
        <w:t xml:space="preserve">20 · Il quesito della fermezza.</w:t>
      </w:r>
      <w:r>
        <w:rPr>
          <w:rFonts w:ascii="Barlow Semi Condensed" w:cs="Barlow Semi Condensed" w:eastAsia="Barlow Semi Condensed" w:hAnsi="Barlow Semi Condensed"/>
          <w:sz w:val="24"/>
          <w:szCs w:val="24"/>
        </w:rPr>
        <w:t xml:space="preserve"> La linea della fermezza vista da Londra: le valutazioni britanniche sulla posizione del governo italiano, gli eventuali consigli dati o negati, i paragoni con la dottrina britannica sul terrorismo. Il bersaglio è documentale: che cosa il Foreign Office scrisse, non che cosa avrebbe pensato.</w:t>
      </w:r>
    </w:p>
    <w:p>
      <w:pPr>
        <w:spacing w:after="120" w:line="276"/>
        <w:jc w:val="both"/>
      </w:pPr>
      <w:r>
        <w:rPr>
          <w:rFonts w:ascii="Barlow Semi Condensed" w:cs="Barlow Semi Condensed" w:eastAsia="Barlow Semi Condensed" w:hAnsi="Barlow Semi Condensed"/>
          <w:b/>
          <w:bCs/>
          <w:sz w:val="24"/>
          <w:szCs w:val="24"/>
        </w:rPr>
        <w:t xml:space="preserve">21 · Il quesito dei canali.</w:t>
      </w:r>
      <w:r>
        <w:rPr>
          <w:rFonts w:ascii="Barlow Semi Condensed" w:cs="Barlow Semi Condensed" w:eastAsia="Barlow Semi Condensed" w:hAnsi="Barlow Semi Condensed"/>
          <w:sz w:val="24"/>
          <w:szCs w:val="24"/>
        </w:rPr>
        <w:t xml:space="preserve"> Le carte britanniche sui canali di trattativa percepiti: che cosa l'ambasciata registrò delle voci di negoziato, del canale vaticano, delle iniziative socialiste. Ogni registrazione straniera di un canale è una datazione indipendente di quel canale: il valore è la contemporaneità, non l'autorevolezza.</w:t>
      </w:r>
    </w:p>
    <w:p>
      <w:pPr>
        <w:spacing w:after="120" w:line="276"/>
        <w:jc w:val="both"/>
      </w:pPr>
      <w:r>
        <w:rPr>
          <w:rFonts w:ascii="Barlow Semi Condensed" w:cs="Barlow Semi Condensed" w:eastAsia="Barlow Semi Condensed" w:hAnsi="Barlow Semi Condensed"/>
          <w:b/>
          <w:bCs/>
          <w:sz w:val="24"/>
          <w:szCs w:val="24"/>
        </w:rPr>
        <w:t xml:space="preserve">22 · Il quesito del dopo.</w:t>
      </w:r>
      <w:r>
        <w:rPr>
          <w:rFonts w:ascii="Barlow Semi Condensed" w:cs="Barlow Semi Condensed" w:eastAsia="Barlow Semi Condensed" w:hAnsi="Barlow Semi Condensed"/>
          <w:sz w:val="24"/>
          <w:szCs w:val="24"/>
        </w:rPr>
        <w:t xml:space="preserve"> I rapporti britannici dopo il 9 maggio: le analisi del Foreign Office sull'esito, sulle conseguenze politiche, sull'affidabilità degli apparati italiani. Il senno di poi degli alleati, datato 1978, è un documento sulla percezione — e le percezioni alleate sono esse stesse un fatto storico del caso.</w:t>
      </w:r>
    </w:p>
    <w:p>
      <w:pPr>
        <w:spacing w:after="120" w:line="276"/>
        <w:jc w:val="both"/>
      </w:pPr>
      <w:r>
        <w:rPr>
          <w:rFonts w:ascii="Barlow Semi Condensed" w:cs="Barlow Semi Condensed" w:eastAsia="Barlow Semi Condensed" w:hAnsi="Barlow Semi Condensed"/>
          <w:b/>
          <w:bCs/>
          <w:sz w:val="24"/>
          <w:szCs w:val="24"/>
        </w:rPr>
        <w:t xml:space="preserve">23 · La cooperazione tecnica.</w:t>
      </w:r>
      <w:r>
        <w:rPr>
          <w:rFonts w:ascii="Barlow Semi Condensed" w:cs="Barlow Semi Condensed" w:eastAsia="Barlow Semi Condensed" w:hAnsi="Barlow Semi Condensed"/>
          <w:sz w:val="24"/>
          <w:szCs w:val="24"/>
        </w:rPr>
        <w:t xml:space="preserve"> Le carte sull'assistenza tecnica britannica offerta o prestata all'Italia nel 1978 — antiterrorismo, addestramento, scambio informativo: che cosa risulta a Kew di missioni, visite, richieste. Il bersaglio delimita un quesito ricorrente della pubblicistica col solo strumento lecito: la carta.</w:t>
      </w:r>
    </w:p>
    <w:p>
      <w:pPr>
        <w:spacing w:after="120" w:line="276"/>
        <w:jc w:val="both"/>
      </w:pPr>
      <w:r>
        <w:rPr>
          <w:rFonts w:ascii="Barlow Semi Condensed" w:cs="Barlow Semi Condensed" w:eastAsia="Barlow Semi Condensed" w:hAnsi="Barlow Semi Condensed"/>
          <w:b/>
          <w:bCs/>
          <w:sz w:val="24"/>
          <w:szCs w:val="24"/>
        </w:rPr>
        <w:t xml:space="preserve">24 · Il capitolo NATO da Londra.</w:t>
      </w:r>
      <w:r>
        <w:rPr>
          <w:rFonts w:ascii="Barlow Semi Condensed" w:cs="Barlow Semi Condensed" w:eastAsia="Barlow Semi Condensed" w:hAnsi="Barlow Semi Condensed"/>
          <w:sz w:val="24"/>
          <w:szCs w:val="24"/>
        </w:rPr>
        <w:t xml:space="preserve"> Le carte britanniche sugli aspetti atlantici del caso — la sicurezza delle informazioni alleate, le valutazioni sulla solidarietà nazionale col PCI al governo della maggioranza: che cosa Londra scrisse del quadro strategico italiano del 1978. Il quesito 12 dell'agenda ha qui la sua colonna britannica.</w:t>
      </w:r>
    </w:p>
    <w:p>
      <w:pPr>
        <w:spacing w:after="120" w:line="276"/>
        <w:jc w:val="both"/>
      </w:pPr>
      <w:r>
        <w:rPr>
          <w:rFonts w:ascii="Barlow Semi Condensed" w:cs="Barlow Semi Condensed" w:eastAsia="Barlow Semi Condensed" w:hAnsi="Barlow Semi Condensed"/>
          <w:b/>
          <w:bCs/>
          <w:sz w:val="24"/>
          <w:szCs w:val="24"/>
        </w:rPr>
        <w:t xml:space="preserve">25 · Moro prima di Moro.</w:t>
      </w:r>
      <w:r>
        <w:rPr>
          <w:rFonts w:ascii="Barlow Semi Condensed" w:cs="Barlow Semi Condensed" w:eastAsia="Barlow Semi Condensed" w:hAnsi="Barlow Semi Condensed"/>
          <w:sz w:val="24"/>
          <w:szCs w:val="24"/>
        </w:rPr>
        <w:t xml:space="preserve"> Le carte britanniche su Aldo Moro statista negli anni precedenti — i giudizi su di lui come ministro e presidente, i colloqui bilaterali: il ritratto d'archivio dell'uomo visto da Londra. Il corpus ha il ritratto diplomatico americano; il gemello britannico è un bersaglio naturale.</w:t>
      </w:r>
    </w:p>
    <w:p>
      <w:pPr>
        <w:spacing w:after="120" w:line="276"/>
        <w:jc w:val="both"/>
      </w:pPr>
      <w:r>
        <w:rPr>
          <w:rFonts w:ascii="Barlow Semi Condensed" w:cs="Barlow Semi Condensed" w:eastAsia="Barlow Semi Condensed" w:hAnsi="Barlow Semi Condensed"/>
          <w:b/>
          <w:bCs/>
          <w:sz w:val="24"/>
          <w:szCs w:val="24"/>
        </w:rPr>
        <w:t xml:space="preserve">26 · I giorni chiave, ora per ora.</w:t>
      </w:r>
      <w:r>
        <w:rPr>
          <w:rFonts w:ascii="Barlow Semi Condensed" w:cs="Barlow Semi Condensed" w:eastAsia="Barlow Semi Condensed" w:hAnsi="Barlow Semi Condensed"/>
          <w:sz w:val="24"/>
          <w:szCs w:val="24"/>
        </w:rPr>
        <w:t xml:space="preserve"> Per il 16 marzo, il 18 aprile e il 9 maggio: la sequenza integrale dei telegrammi britannici da Roma — orari di partenza, precedenze, destinatari. La collazione bilaterale dell'agenda (blocco 153) ha bisogno di sequenze completo-datate: questo blocco le costruisce per Londra.</w:t>
      </w:r>
    </w:p>
    <w:p>
      <w:pPr>
        <w:spacing w:after="120" w:line="276"/>
        <w:jc w:val="both"/>
      </w:pPr>
      <w:r>
        <w:rPr>
          <w:rFonts w:ascii="Barlow Semi Condensed" w:cs="Barlow Semi Condensed" w:eastAsia="Barlow Semi Condensed" w:hAnsi="Barlow Semi Condensed"/>
          <w:b/>
          <w:bCs/>
          <w:sz w:val="24"/>
          <w:szCs w:val="24"/>
        </w:rPr>
        <w:t xml:space="preserve">27 · Il registro di lettura.</w:t>
      </w:r>
      <w:r>
        <w:rPr>
          <w:rFonts w:ascii="Barlow Semi Condensed" w:cs="Barlow Semi Condensed" w:eastAsia="Barlow Semi Condensed" w:hAnsi="Barlow Semi Condensed"/>
          <w:sz w:val="24"/>
          <w:szCs w:val="24"/>
        </w:rPr>
        <w:t xml:space="preserve"> Chi lesse che cosa a Londra: le annotazioni di circolazione sui fascicoli — le sigle, i rinvii, i passaggi al piano politico. La carta britannica annota i propri lettori: la sociologia della circolazione interna è un dato che il cantiere raccoglie sistematicamente.</w:t>
      </w:r>
    </w:p>
    <w:p>
      <w:pPr>
        <w:spacing w:after="120" w:line="276"/>
        <w:jc w:val="both"/>
      </w:pPr>
      <w:r>
        <w:rPr>
          <w:rFonts w:ascii="Barlow Semi Condensed" w:cs="Barlow Semi Condensed" w:eastAsia="Barlow Semi Condensed" w:hAnsi="Barlow Semi Condensed"/>
          <w:b/>
          <w:bCs/>
          <w:sz w:val="24"/>
          <w:szCs w:val="24"/>
        </w:rPr>
        <w:t xml:space="preserve">28 · Gli allegati perduti.</w:t>
      </w:r>
      <w:r>
        <w:rPr>
          <w:rFonts w:ascii="Barlow Semi Condensed" w:cs="Barlow Semi Condensed" w:eastAsia="Barlow Semi Condensed" w:hAnsi="Barlow Semi Condensed"/>
          <w:sz w:val="24"/>
          <w:szCs w:val="24"/>
        </w:rPr>
        <w:t xml:space="preserve"> I documenti citati nei fascicoli ma non presenti — allegati rimossi, rinvii a serie chiuse: il censimento dei buchi interni ai fascicoli aperti. Ogni allegato mancante con segnatura è una richiesta FoI già scritta: il buco documentato genera l'atto.</w:t>
      </w:r>
    </w:p>
    <w:p>
      <w:pPr>
        <w:spacing w:after="120" w:line="276"/>
        <w:jc w:val="both"/>
      </w:pPr>
      <w:r>
        <w:rPr>
          <w:rFonts w:ascii="Barlow Semi Condensed" w:cs="Barlow Semi Condensed" w:eastAsia="Barlow Semi Condensed" w:hAnsi="Barlow Semi Condensed"/>
          <w:b/>
          <w:bCs/>
          <w:sz w:val="24"/>
          <w:szCs w:val="24"/>
        </w:rPr>
        <w:t xml:space="preserve">29 · Il lessico del caso.</w:t>
      </w:r>
      <w:r>
        <w:rPr>
          <w:rFonts w:ascii="Barlow Semi Condensed" w:cs="Barlow Semi Condensed" w:eastAsia="Barlow Semi Condensed" w:hAnsi="Barlow Semi Condensed"/>
          <w:sz w:val="24"/>
          <w:szCs w:val="24"/>
        </w:rPr>
        <w:t xml:space="preserve"> Il glossario dei termini britannici del 1978 sul terrorismo italiano — come Londra chiamava le cose: la terminologia è interpretazione, e la sua evoluzione nei fascicoli data i cambi di percezione. Un bersaglio filologico minore con rendimento analitico costante.</w:t>
      </w:r>
    </w:p>
    <w:p>
      <w:pPr>
        <w:spacing w:after="120" w:line="276"/>
        <w:jc w:val="both"/>
      </w:pPr>
      <w:r>
        <w:rPr>
          <w:rFonts w:ascii="Barlow Semi Condensed" w:cs="Barlow Semi Condensed" w:eastAsia="Barlow Semi Condensed" w:hAnsi="Barlow Semi Condensed"/>
          <w:b/>
          <w:bCs/>
          <w:sz w:val="24"/>
          <w:szCs w:val="24"/>
        </w:rPr>
        <w:t xml:space="preserve">30 · Le carte scozzesi e irlandesi?</w:t>
      </w:r>
      <w:r>
        <w:rPr>
          <w:rFonts w:ascii="Barlow Semi Condensed" w:cs="Barlow Semi Condensed" w:eastAsia="Barlow Semi Condensed" w:hAnsi="Barlow Semi Condensed"/>
          <w:sz w:val="24"/>
          <w:szCs w:val="24"/>
        </w:rPr>
        <w:t xml:space="preserve"> Il controllo dei giacimenti decentrati — gli archivi nordirlandesi e scozzesi per l'expertise antiterrorismo del Regno Unito degli anni Settanta applicata al caso italiano: probabilità bassa, costo minimo, verbale comunque. Il cantiere non lascia sportelli non bussati.</w:t>
      </w:r>
    </w:p>
    <w:p>
      <w:pPr>
        <w:spacing w:after="120" w:line="276"/>
        <w:jc w:val="both"/>
      </w:pPr>
      <w:r>
        <w:rPr>
          <w:rFonts w:ascii="Barlow Semi Condensed" w:cs="Barlow Semi Condensed" w:eastAsia="Barlow Semi Condensed" w:hAnsi="Barlow Semi Condensed"/>
          <w:b/>
          <w:bCs/>
          <w:sz w:val="24"/>
          <w:szCs w:val="24"/>
        </w:rPr>
        <w:t xml:space="preserve">31 · L'Imperial War Museum e gli istituti.</w:t>
      </w:r>
      <w:r>
        <w:rPr>
          <w:rFonts w:ascii="Barlow Semi Condensed" w:cs="Barlow Semi Condensed" w:eastAsia="Barlow Semi Condensed" w:hAnsi="Barlow Semi Condensed"/>
          <w:sz w:val="24"/>
          <w:szCs w:val="24"/>
        </w:rPr>
        <w:t xml:space="preserve"> Gli istituti britannici con fondi orali e documentali sul terrorismo europeo — interviste a diplomatici e funzionari dell'epoca già raccolte da programmi di storia orale (il British Diplomatic Oral History Programme): il censimento delle voci britanniche già registrate sul 1978 italiano.</w:t>
      </w:r>
    </w:p>
    <w:p>
      <w:pPr>
        <w:spacing w:after="120" w:line="276"/>
        <w:jc w:val="both"/>
      </w:pPr>
      <w:r>
        <w:rPr>
          <w:rFonts w:ascii="Barlow Semi Condensed" w:cs="Barlow Semi Condensed" w:eastAsia="Barlow Semi Condensed" w:hAnsi="Barlow Semi Condensed"/>
          <w:b/>
          <w:bCs/>
          <w:sz w:val="24"/>
          <w:szCs w:val="24"/>
        </w:rPr>
        <w:t xml:space="preserve">32 · I diari editi di Albione.</w:t>
      </w:r>
      <w:r>
        <w:rPr>
          <w:rFonts w:ascii="Barlow Semi Condensed" w:cs="Barlow Semi Condensed" w:eastAsia="Barlow Semi Condensed" w:hAnsi="Barlow Semi Condensed"/>
          <w:sz w:val="24"/>
          <w:szCs w:val="24"/>
        </w:rPr>
        <w:t xml:space="preserve"> Le memorie e i diari editi dei protagonisti britannici del periodo — ministri, ambasciatori, funzionari: lo spoglio delle pagine italiane con la collazione carte-memorie (la regola del blocco 170 dell'agenda, applicata al cantiere). Ciò che il diario dice e il fascicolo non conferma si tabula.</w:t>
      </w:r>
    </w:p>
    <w:p>
      <w:pPr>
        <w:spacing w:after="120" w:line="276"/>
        <w:jc w:val="both"/>
      </w:pPr>
      <w:r>
        <w:rPr>
          <w:rFonts w:ascii="Barlow Semi Condensed" w:cs="Barlow Semi Condensed" w:eastAsia="Barlow Semi Condensed" w:hAnsi="Barlow Semi Condensed"/>
          <w:b/>
          <w:bCs/>
          <w:sz w:val="24"/>
          <w:szCs w:val="24"/>
        </w:rPr>
        <w:t xml:space="preserve">33 · Il quesito Herrema e i paralleli.</w:t>
      </w:r>
      <w:r>
        <w:rPr>
          <w:rFonts w:ascii="Barlow Semi Condensed" w:cs="Barlow Semi Condensed" w:eastAsia="Barlow Semi Condensed" w:hAnsi="Barlow Semi Condensed"/>
          <w:sz w:val="24"/>
          <w:szCs w:val="24"/>
        </w:rPr>
        <w:t xml:space="preserve"> I precedenti britannici e irlandesi di gestione di sequestri terroristici degli anni Settanta nelle carte di Kew: i paralleli che Londra stessa tracciava col caso italiano. Il comparatismo d'epoca — come gli alleati si spiegavano l'Italia con i propri casi — è una chiave di lettura documentata.</w:t>
      </w:r>
    </w:p>
    <w:p>
      <w:pPr>
        <w:spacing w:after="120" w:line="276"/>
        <w:jc w:val="both"/>
      </w:pPr>
      <w:r>
        <w:rPr>
          <w:rFonts w:ascii="Barlow Semi Condensed" w:cs="Barlow Semi Condensed" w:eastAsia="Barlow Semi Condensed" w:hAnsi="Barlow Semi Condensed"/>
          <w:b/>
          <w:bCs/>
          <w:sz w:val="24"/>
          <w:szCs w:val="24"/>
        </w:rPr>
        <w:t xml:space="preserve">34 · La tavola delle serie.</w:t>
      </w:r>
      <w:r>
        <w:rPr>
          <w:rFonts w:ascii="Barlow Semi Condensed" w:cs="Barlow Semi Condensed" w:eastAsia="Barlow Semi Condensed" w:hAnsi="Barlow Semi Condensed"/>
          <w:sz w:val="24"/>
          <w:szCs w:val="24"/>
        </w:rPr>
        <w:t xml:space="preserve"> La tavola unica del cantiere britannico: serie per serie — FCO 33 (il Western European Department, la serie dell'Italia), PREM 16, CAB, DEFE dove pertinente, con FCO 9 (l'Europa meridionale: Grecia, Turchia, Cipro) per i dossier adiacenti — fascicoli individuati, stato (aperto, trattenuto, richiesto), stato di spoglio. La gemella britannica della tavola del giacimento estero dell'agenda (blocco 155).</w:t>
      </w:r>
    </w:p>
    <w:p>
      <w:pPr>
        <w:spacing w:after="120" w:line="276"/>
        <w:jc w:val="both"/>
      </w:pPr>
      <w:r>
        <w:rPr>
          <w:rFonts w:ascii="Barlow Semi Condensed" w:cs="Barlow Semi Condensed" w:eastAsia="Barlow Semi Condensed" w:hAnsi="Barlow Semi Condensed"/>
          <w:b/>
          <w:bCs/>
          <w:sz w:val="24"/>
          <w:szCs w:val="24"/>
        </w:rPr>
        <w:t xml:space="preserve">35 · Il campione di controllo.</w:t>
      </w:r>
      <w:r>
        <w:rPr>
          <w:rFonts w:ascii="Barlow Semi Condensed" w:cs="Barlow Semi Condensed" w:eastAsia="Barlow Semi Condensed" w:hAnsi="Barlow Semi Condensed"/>
          <w:sz w:val="24"/>
          <w:szCs w:val="24"/>
        </w:rPr>
        <w:t xml:space="preserve"> Il doppio spoglio su un campione di fascicoli britannici (la regola del blocco 20 dell'agenda): la misura del tasso di perdita di una lettura singola su materiale in lingua, dove il rischio di svista cresce. La qualità dello spoglio estero si misura, non si spera.</w:t>
      </w:r>
    </w:p>
    <w:p>
      <w:pPr>
        <w:spacing w:after="120" w:line="276"/>
        <w:jc w:val="both"/>
      </w:pPr>
      <w:r>
        <w:rPr>
          <w:rFonts w:ascii="Barlow Semi Condensed" w:cs="Barlow Semi Condensed" w:eastAsia="Barlow Semi Condensed" w:hAnsi="Barlow Semi Condensed"/>
          <w:b/>
          <w:bCs/>
          <w:sz w:val="24"/>
          <w:szCs w:val="24"/>
        </w:rPr>
        <w:t xml:space="preserve">36 · L'acquisizione digitale.</w:t>
      </w:r>
      <w:r>
        <w:rPr>
          <w:rFonts w:ascii="Barlow Semi Condensed" w:cs="Barlow Semi Condensed" w:eastAsia="Barlow Semi Condensed" w:hAnsi="Barlow Semi Condensed"/>
          <w:sz w:val="24"/>
          <w:szCs w:val="24"/>
        </w:rPr>
        <w:t xml:space="preserve"> Il protocollo di riproduzione: ogni fascicolo letto a Kew si acquisisce in copia digitale con metadati di segnatura, e entra nel fascicolo digitale del caso (il cantiere del manuale) citabile alla carta. La trasferta produce archivio permanente, non appunti.</w:t>
      </w:r>
    </w:p>
    <w:p>
      <w:pPr>
        <w:spacing w:after="120" w:line="276"/>
        <w:jc w:val="both"/>
      </w:pPr>
      <w:r>
        <w:rPr>
          <w:rFonts w:ascii="Barlow Semi Condensed" w:cs="Barlow Semi Condensed" w:eastAsia="Barlow Semi Condensed" w:hAnsi="Barlow Semi Condensed"/>
          <w:b/>
          <w:bCs/>
          <w:sz w:val="24"/>
          <w:szCs w:val="24"/>
        </w:rPr>
        <w:t xml:space="preserve">37 · Il verbale dei vuoti britannici.</w:t>
      </w:r>
      <w:r>
        <w:rPr>
          <w:rFonts w:ascii="Barlow Semi Condensed" w:cs="Barlow Semi Condensed" w:eastAsia="Barlow Semi Condensed" w:hAnsi="Barlow Semi Condensed"/>
          <w:sz w:val="24"/>
          <w:szCs w:val="24"/>
        </w:rPr>
        <w:t xml:space="preserve"> Ogni ricerca a vuoto del cantiere — il fascicolo che non c'è, la serie senza Italia, il trattenuto senza motivazione — si verbalizza con perimetro esatto (la regola del blocco 285 dell'agenda). Lo Stato Zero britannico vale quanto quello italiano: è una coordinata in meno da riesplorare.</w:t>
      </w:r>
    </w:p>
    <w:p>
      <w:pPr>
        <w:spacing w:after="120" w:line="276"/>
        <w:jc w:val="both"/>
      </w:pPr>
      <w:r>
        <w:rPr>
          <w:rFonts w:ascii="Barlow Semi Condensed" w:cs="Barlow Semi Condensed" w:eastAsia="Barlow Semi Condensed" w:hAnsi="Barlow Semi Condensed"/>
          <w:b/>
          <w:bCs/>
          <w:sz w:val="24"/>
          <w:szCs w:val="24"/>
        </w:rPr>
        <w:t xml:space="preserve">38 · Il raccordo con Washington.</w:t>
      </w:r>
      <w:r>
        <w:rPr>
          <w:rFonts w:ascii="Barlow Semi Condensed" w:cs="Barlow Semi Condensed" w:eastAsia="Barlow Semi Condensed" w:hAnsi="Barlow Semi Condensed"/>
          <w:sz w:val="24"/>
          <w:szCs w:val="24"/>
        </w:rPr>
        <w:t xml:space="preserve"> La collazione sistematica Londra-Washington sulle giornate chiave: dove i due alleati divergono nel riferire lo stesso evento, la divergenza è o un errore di una capitale o un'informazione asimmetrica — ed entrambe le ipotesi sono piste documentali. La tavola bilaterale è il prodotto.</w:t>
      </w:r>
    </w:p>
    <w:p>
      <w:pPr>
        <w:spacing w:after="120" w:line="276"/>
        <w:jc w:val="both"/>
      </w:pPr>
      <w:r>
        <w:rPr>
          <w:rFonts w:ascii="Barlow Semi Condensed" w:cs="Barlow Semi Condensed" w:eastAsia="Barlow Semi Condensed" w:hAnsi="Barlow Semi Condensed"/>
          <w:b/>
          <w:bCs/>
          <w:sz w:val="24"/>
          <w:szCs w:val="24"/>
        </w:rPr>
        <w:t xml:space="preserve">39 · Il raccordo coi quesiti costitutivi.</w:t>
      </w:r>
      <w:r>
        <w:rPr>
          <w:rFonts w:ascii="Barlow Semi Condensed" w:cs="Barlow Semi Condensed" w:eastAsia="Barlow Semi Condensed" w:hAnsi="Barlow Semi Condensed"/>
          <w:sz w:val="24"/>
          <w:szCs w:val="24"/>
        </w:rPr>
        <w:t xml:space="preserve"> La tavola finale di corrispondenza: quale blocco britannico serve quale quesito dell'agenda (1-15) e quale pista del programma. Nessun bersaglio orfano vale anche oltremanica: ciò che non serve un quesito esce dal cantiere.</w:t>
      </w:r>
    </w:p>
    <w:p>
      <w:pPr>
        <w:spacing w:after="120" w:line="276"/>
        <w:jc w:val="both"/>
      </w:pPr>
      <w:r>
        <w:rPr>
          <w:rFonts w:ascii="Barlow Semi Condensed" w:cs="Barlow Semi Condensed" w:eastAsia="Barlow Semi Condensed" w:hAnsi="Barlow Semi Condensed"/>
          <w:b/>
          <w:bCs/>
          <w:sz w:val="24"/>
          <w:szCs w:val="24"/>
        </w:rPr>
        <w:t xml:space="preserve">40 · La tavola britannica.</w:t>
      </w:r>
      <w:r>
        <w:rPr>
          <w:rFonts w:ascii="Barlow Semi Condensed" w:cs="Barlow Semi Condensed" w:eastAsia="Barlow Semi Condensed" w:hAnsi="Barlow Semi Condensed"/>
          <w:sz w:val="24"/>
          <w:szCs w:val="24"/>
        </w:rPr>
        <w:t xml:space="preserve"> La chiusura del cantiere: lo stato di ogni bersaglio (1-39) — non iniziato, in corso, colpito, a vuoto — con date e documenti. Il primo dei nove cantieri consegna il suo modello di contabilità agli altri otto: ogni cantiere finisce in una pagina di stati.</w:t>
      </w:r>
    </w:p>
    <w:p>
      <w:pPr>
        <w:pStyle w:val="Heading3"/>
        <w:spacing w:after="80" w:before="160"/>
      </w:pPr>
      <w:r>
        <w:rPr>
          <w:rFonts w:ascii="Barlow Semi Condensed" w:cs="Barlow Semi Condensed" w:eastAsia="Barlow Semi Condensed" w:hAnsi="Barlow Semi Condensed"/>
          <w:sz w:val="24"/>
          <w:szCs w:val="24"/>
        </w:rPr>
        <w:t xml:space="preserve">Il cantiere francese (blocchi 41-80)</w:t>
      </w:r>
    </w:p>
    <w:p>
      <w:pPr>
        <w:spacing w:after="120" w:line="276"/>
        <w:jc w:val="both"/>
      </w:pPr>
      <w:r>
        <w:rPr>
          <w:rFonts w:ascii="Barlow Semi Condensed" w:cs="Barlow Semi Condensed" w:eastAsia="Barlow Semi Condensed" w:hAnsi="Barlow Semi Condensed"/>
          <w:b/>
          <w:bCs/>
          <w:sz w:val="24"/>
          <w:szCs w:val="24"/>
        </w:rPr>
        <w:t xml:space="preserve">41 · La serie madre di La Courneuve.</w:t>
      </w:r>
      <w:r>
        <w:rPr>
          <w:rFonts w:ascii="Barlow Semi Condensed" w:cs="Barlow Semi Condensed" w:eastAsia="Barlow Semi Condensed" w:hAnsi="Barlow Semi Condensed"/>
          <w:sz w:val="24"/>
          <w:szCs w:val="24"/>
        </w:rPr>
        <w:t xml:space="preserve"> Il punto di partenza documentato: agli archivi diplomatici francesi la sottoserie della Direction d'Europe «Italie, juillet 1976-1980» sta nel versamento 1929INVA (serie «Europe juillet 1976-1980», 974 scatole, inventario in linea). Prima campagna: l'estrazione dall'inventario di tutti i dossier italiani del 1978 e la loro lettura integrale.</w:t>
      </w:r>
    </w:p>
    <w:p>
      <w:pPr>
        <w:spacing w:after="120" w:line="276"/>
        <w:jc w:val="both"/>
      </w:pPr>
      <w:r>
        <w:rPr>
          <w:rFonts w:ascii="Barlow Semi Condensed" w:cs="Barlow Semi Condensed" w:eastAsia="Barlow Semi Condensed" w:hAnsi="Barlow Semi Condensed"/>
          <w:b/>
          <w:bCs/>
          <w:sz w:val="24"/>
          <w:szCs w:val="24"/>
        </w:rPr>
        <w:t xml:space="preserve">42 · L'inventario prima della sala.</w:t>
      </w:r>
      <w:r>
        <w:rPr>
          <w:rFonts w:ascii="Barlow Semi Condensed" w:cs="Barlow Semi Condensed" w:eastAsia="Barlow Semi Condensed" w:hAnsi="Barlow Semi Condensed"/>
          <w:sz w:val="24"/>
          <w:szCs w:val="24"/>
        </w:rPr>
        <w:t xml:space="preserve"> Lo spoglio dell'inventario PDF del versamento — dossier per dossier, con titoli e date — per costruire la mappa di lettura prima della trasferta. La regola dell'agenda (l'inventario prima del documento) vale doppio dove la sala è a Parigi e il tempo di missione è contato.</w:t>
      </w:r>
    </w:p>
    <w:p>
      <w:pPr>
        <w:spacing w:after="120" w:line="276"/>
        <w:jc w:val="both"/>
      </w:pPr>
      <w:r>
        <w:rPr>
          <w:rFonts w:ascii="Barlow Semi Condensed" w:cs="Barlow Semi Condensed" w:eastAsia="Barlow Semi Condensed" w:hAnsi="Barlow Semi Condensed"/>
          <w:b/>
          <w:bCs/>
          <w:sz w:val="24"/>
          <w:szCs w:val="24"/>
        </w:rPr>
        <w:t xml:space="preserve">43 · I dossier a comunicabilità lunga.</w:t>
      </w:r>
      <w:r>
        <w:rPr>
          <w:rFonts w:ascii="Barlow Semi Condensed" w:cs="Barlow Semi Condensed" w:eastAsia="Barlow Semi Condensed" w:hAnsi="Barlow Semi Condensed"/>
          <w:sz w:val="24"/>
          <w:szCs w:val="24"/>
        </w:rPr>
        <w:t xml:space="preserve"> Il censimento dei dossier del versamento soggetti a termini più lunghi (sicurezza dello Stato, vita privata: le eccezioni dell'articolo L213-2 del Code du patrimoine) e la procedura di </w:t>
      </w:r>
      <w:r>
        <w:rPr>
          <w:rFonts w:ascii="Barlow Semi Condensed" w:cs="Barlow Semi Condensed" w:eastAsia="Barlow Semi Condensed" w:hAnsi="Barlow Semi Condensed"/>
          <w:i/>
          <w:iCs/>
          <w:sz w:val="24"/>
          <w:szCs w:val="24"/>
        </w:rPr>
        <w:t xml:space="preserve">dérogation</w:t>
      </w:r>
      <w:r>
        <w:rPr>
          <w:rFonts w:ascii="Barlow Semi Condensed" w:cs="Barlow Semi Condensed" w:eastAsia="Barlow Semi Condensed" w:hAnsi="Barlow Semi Condensed"/>
          <w:sz w:val="24"/>
          <w:szCs w:val="24"/>
        </w:rPr>
        <w:t xml:space="preserve"> per ciascuno: la richiesta motivata di consultazione anticipata, registrata nel registro delle richieste.</w:t>
      </w:r>
    </w:p>
    <w:p>
      <w:pPr>
        <w:spacing w:after="120" w:line="276"/>
        <w:jc w:val="both"/>
      </w:pPr>
      <w:r>
        <w:rPr>
          <w:rFonts w:ascii="Barlow Semi Condensed" w:cs="Barlow Semi Condensed" w:eastAsia="Barlow Semi Condensed" w:hAnsi="Barlow Semi Condensed"/>
          <w:b/>
          <w:bCs/>
          <w:sz w:val="24"/>
          <w:szCs w:val="24"/>
        </w:rPr>
        <w:t xml:space="preserve">44 · Nantes, le carte rimpatriate.</w:t>
      </w:r>
      <w:r>
        <w:rPr>
          <w:rFonts w:ascii="Barlow Semi Condensed" w:cs="Barlow Semi Condensed" w:eastAsia="Barlow Semi Condensed" w:hAnsi="Barlow Semi Condensed"/>
          <w:sz w:val="24"/>
          <w:szCs w:val="24"/>
        </w:rPr>
        <w:t xml:space="preserve"> Il Centre des Archives diplomatiques de Nantes, che conserva i fondi rimpatriati dell'ambasciata di Francia a Roma (il fondo «Rome-Quirinal»): l'accertamento dei versamenti novecenteschi e delle serie del 1978 — corrispondenza di sede, registri, carteggi consolari. La voce dell'ambasciata si legge a Nantes; quella della centrale a La Courneuve: il cantiere le vuole entrambe.</w:t>
      </w:r>
    </w:p>
    <w:p>
      <w:pPr>
        <w:spacing w:after="120" w:line="276"/>
        <w:jc w:val="both"/>
      </w:pPr>
      <w:r>
        <w:rPr>
          <w:rFonts w:ascii="Barlow Semi Condensed" w:cs="Barlow Semi Condensed" w:eastAsia="Barlow Semi Condensed" w:hAnsi="Barlow Semi Condensed"/>
          <w:b/>
          <w:bCs/>
          <w:sz w:val="24"/>
          <w:szCs w:val="24"/>
        </w:rPr>
        <w:t xml:space="preserve">45 · L'ambasciatore e i suoi dispacci.</w:t>
      </w:r>
      <w:r>
        <w:rPr>
          <w:rFonts w:ascii="Barlow Semi Condensed" w:cs="Barlow Semi Condensed" w:eastAsia="Barlow Semi Condensed" w:hAnsi="Barlow Semi Condensed"/>
          <w:sz w:val="24"/>
          <w:szCs w:val="24"/>
        </w:rPr>
        <w:t xml:space="preserve"> La sequenza integrale dei dispacci dell'ambasciata di Francia a Roma nei 55 giorni: orari, destinatari, generi. La colonna francese della collazione bilaterale — da costruire con lo stesso metodo del blocco 26 britannico, per le stesse giornate chiave.</w:t>
      </w:r>
    </w:p>
    <w:p>
      <w:pPr>
        <w:spacing w:after="120" w:line="276"/>
        <w:jc w:val="both"/>
      </w:pPr>
      <w:r>
        <w:rPr>
          <w:rFonts w:ascii="Barlow Semi Condensed" w:cs="Barlow Semi Condensed" w:eastAsia="Barlow Semi Condensed" w:hAnsi="Barlow Semi Condensed"/>
          <w:b/>
          <w:bCs/>
          <w:sz w:val="24"/>
          <w:szCs w:val="24"/>
        </w:rPr>
        <w:t xml:space="preserve">46 · Il Quai e la crisi.</w:t>
      </w:r>
      <w:r>
        <w:rPr>
          <w:rFonts w:ascii="Barlow Semi Condensed" w:cs="Barlow Semi Condensed" w:eastAsia="Barlow Semi Condensed" w:hAnsi="Barlow Semi Condensed"/>
          <w:sz w:val="24"/>
          <w:szCs w:val="24"/>
        </w:rPr>
        <w:t xml:space="preserve"> Le carte della centrale — direzione Europa, gabinetto del ministro — sulle valutazioni francesi della crisi italiana: la fermezza vista da Parigi, i giudizi sull'apparato italiano, le note per il vertice. Parigi aveva col caso italiano una prossimità politica speciale: le sue analisi d'epoca sono un osservatorio unico.</w:t>
      </w:r>
    </w:p>
    <w:p>
      <w:pPr>
        <w:spacing w:after="120" w:line="276"/>
        <w:jc w:val="both"/>
      </w:pPr>
      <w:r>
        <w:rPr>
          <w:rFonts w:ascii="Barlow Semi Condensed" w:cs="Barlow Semi Condensed" w:eastAsia="Barlow Semi Condensed" w:hAnsi="Barlow Semi Condensed"/>
          <w:b/>
          <w:bCs/>
          <w:sz w:val="24"/>
          <w:szCs w:val="24"/>
        </w:rPr>
        <w:t xml:space="preserve">47 · L'Eliseo.</w:t>
      </w:r>
      <w:r>
        <w:rPr>
          <w:rFonts w:ascii="Barlow Semi Condensed" w:cs="Barlow Semi Condensed" w:eastAsia="Barlow Semi Condensed" w:hAnsi="Barlow Semi Condensed"/>
          <w:sz w:val="24"/>
          <w:szCs w:val="24"/>
        </w:rPr>
        <w:t xml:space="preserve"> Gli archivi presidenziali francesi (le serie di Valéry Giscard d'Estaing agli Archives nationales, versamento AG): i dossier italiani del 1978, i verbali dei consigli ristretti dove il terrorismo europeo entrò. L'accertamento delle serie e dei loro termini, con dérogation dove serve.</w:t>
      </w:r>
    </w:p>
    <w:p>
      <w:pPr>
        <w:spacing w:after="120" w:line="276"/>
        <w:jc w:val="both"/>
      </w:pPr>
      <w:r>
        <w:rPr>
          <w:rFonts w:ascii="Barlow Semi Condensed" w:cs="Barlow Semi Condensed" w:eastAsia="Barlow Semi Condensed" w:hAnsi="Barlow Semi Condensed"/>
          <w:b/>
          <w:bCs/>
          <w:sz w:val="24"/>
          <w:szCs w:val="24"/>
        </w:rPr>
        <w:t xml:space="preserve">48 · Gli archivi giudiziari chiusi.</w:t>
      </w:r>
      <w:r>
        <w:rPr>
          <w:rFonts w:ascii="Barlow Semi Condensed" w:cs="Barlow Semi Condensed" w:eastAsia="Barlow Semi Condensed" w:hAnsi="Barlow Semi Condensed"/>
          <w:sz w:val="24"/>
          <w:szCs w:val="24"/>
        </w:rPr>
        <w:t xml:space="preserve"> La presa d'atto verificata: gli atti giudiziari francesi restano sotto termini di comunicabilità fino a settantacinque anni — le carte d'inchiesta transalpine sul terrorismo italiano non sono pubbliche. Il blocco fissa il perimetro onesto del cantiere: ciò che la legge francese chiude si dichiara chiuso, con la data di apertura calcolata.</w:t>
      </w:r>
    </w:p>
    <w:p>
      <w:pPr>
        <w:spacing w:after="120" w:line="276"/>
        <w:jc w:val="both"/>
      </w:pPr>
      <w:r>
        <w:rPr>
          <w:rFonts w:ascii="Barlow Semi Condensed" w:cs="Barlow Semi Condensed" w:eastAsia="Barlow Semi Condensed" w:hAnsi="Barlow Semi Condensed"/>
          <w:b/>
          <w:bCs/>
          <w:sz w:val="24"/>
          <w:szCs w:val="24"/>
        </w:rPr>
        <w:t xml:space="preserve">49 · I fondi di polizia versati.</w:t>
      </w:r>
      <w:r>
        <w:rPr>
          <w:rFonts w:ascii="Barlow Semi Condensed" w:cs="Barlow Semi Condensed" w:eastAsia="Barlow Semi Condensed" w:hAnsi="Barlow Semi Condensed"/>
          <w:sz w:val="24"/>
          <w:szCs w:val="24"/>
        </w:rPr>
        <w:t xml:space="preserve"> Le vie archivistiche che esistono, verificate: il fondo Maurice Grimaud è in due sedi — il Centre d'histoire de Sciences Po (le carte private) e le Archives nationales a Pierrefitte (le carte d'ufficio) — e documenta fra l'altro una nota del 24 maggio 1983 con cui Grimaud, direttore di gabinetto di Defferre, chiese ai Renseignements généraux informazioni su Hyperion. Con le serie della préfecture de police: l'accertamento di che cosa contengano sull'emigrazione italiana degli anni Settanta, con dérogation.</w:t>
      </w:r>
    </w:p>
    <w:p>
      <w:pPr>
        <w:spacing w:after="120" w:line="276"/>
        <w:jc w:val="both"/>
      </w:pPr>
      <w:r>
        <w:rPr>
          <w:rFonts w:ascii="Barlow Semi Condensed" w:cs="Barlow Semi Condensed" w:eastAsia="Barlow Semi Condensed" w:hAnsi="Barlow Semi Condensed"/>
          <w:b/>
          <w:bCs/>
          <w:sz w:val="24"/>
          <w:szCs w:val="24"/>
        </w:rPr>
        <w:t xml:space="preserve">50 · Hyperion: il perimetro documentale.</w:t>
      </w:r>
      <w:r>
        <w:rPr>
          <w:rFonts w:ascii="Barlow Semi Condensed" w:cs="Barlow Semi Condensed" w:eastAsia="Barlow Semi Condensed" w:hAnsi="Barlow Semi Condensed"/>
          <w:sz w:val="24"/>
          <w:szCs w:val="24"/>
        </w:rPr>
        <w:t xml:space="preserve"> Il cantiere francese di Hyperion con la precisazione verificata: gli atti del 1982 finora noti sono di fonte giudiziaria italiana (l'istruttoria veneziana del giudice Mastelloni); le vie francesi sono archivistiche e a deroga. Il criterio resta quello dell'agenda (blocco 222): riapre solo un documento primario — e questo blocco dice in quali scaffali potrebbe giacere.</w:t>
      </w:r>
    </w:p>
    <w:p>
      <w:pPr>
        <w:spacing w:after="120" w:line="276"/>
        <w:jc w:val="both"/>
      </w:pPr>
      <w:r>
        <w:rPr>
          <w:rFonts w:ascii="Barlow Semi Condensed" w:cs="Barlow Semi Condensed" w:eastAsia="Barlow Semi Condensed" w:hAnsi="Barlow Semi Condensed"/>
          <w:b/>
          <w:bCs/>
          <w:sz w:val="24"/>
          <w:szCs w:val="24"/>
        </w:rPr>
        <w:t xml:space="preserve">51 · La dottrina e le sue carte.</w:t>
      </w:r>
      <w:r>
        <w:rPr>
          <w:rFonts w:ascii="Barlow Semi Condensed" w:cs="Barlow Semi Condensed" w:eastAsia="Barlow Semi Condensed" w:hAnsi="Barlow Semi Condensed"/>
          <w:sz w:val="24"/>
          <w:szCs w:val="24"/>
        </w:rPr>
        <w:t xml:space="preserve"> Il fascicolo documentale della dottrina Mitterrand: il discorso alla Ligue des droits de l'homme (21 aprile 1985), gli atti amministrativi sui rifugiati italiani, i pareri del Conseil d'État, fino alla parola della Cassazione francese (marzo 2023) sulle estradizioni negate. Il corpus ha il quadro; il cantiere vuole il fascicolo francese integrale.</w:t>
      </w:r>
    </w:p>
    <w:p>
      <w:pPr>
        <w:spacing w:after="120" w:line="276"/>
        <w:jc w:val="both"/>
      </w:pPr>
      <w:r>
        <w:rPr>
          <w:rFonts w:ascii="Barlow Semi Condensed" w:cs="Barlow Semi Condensed" w:eastAsia="Barlow Semi Condensed" w:hAnsi="Barlow Semi Condensed"/>
          <w:b/>
          <w:bCs/>
          <w:sz w:val="24"/>
          <w:szCs w:val="24"/>
        </w:rPr>
        <w:t xml:space="preserve">52 · Gli estradandi e i fascicoli.</w:t>
      </w:r>
      <w:r>
        <w:rPr>
          <w:rFonts w:ascii="Barlow Semi Condensed" w:cs="Barlow Semi Condensed" w:eastAsia="Barlow Semi Condensed" w:hAnsi="Barlow Semi Condensed"/>
          <w:sz w:val="24"/>
          <w:szCs w:val="24"/>
        </w:rPr>
        <w:t xml:space="preserve"> Per ciascuna vicenda estradizionale del caso documentata nel corpus: il fascicolo amministrativo francese — domande, pareri, decisioni — nei limiti di comunicabilità, con dérogation motivata dalla natura storica. La tavola delle estradizioni chieste e negate, in carta francese.</w:t>
      </w:r>
    </w:p>
    <w:p>
      <w:pPr>
        <w:spacing w:after="120" w:line="276"/>
        <w:jc w:val="both"/>
      </w:pPr>
      <w:r>
        <w:rPr>
          <w:rFonts w:ascii="Barlow Semi Condensed" w:cs="Barlow Semi Condensed" w:eastAsia="Barlow Semi Condensed" w:hAnsi="Barlow Semi Condensed"/>
          <w:b/>
          <w:bCs/>
          <w:sz w:val="24"/>
          <w:szCs w:val="24"/>
        </w:rPr>
        <w:t xml:space="preserve">53 · L'OFPRA e gli status.</w:t>
      </w:r>
      <w:r>
        <w:rPr>
          <w:rFonts w:ascii="Barlow Semi Condensed" w:cs="Barlow Semi Condensed" w:eastAsia="Barlow Semi Condensed" w:hAnsi="Barlow Semi Condensed"/>
          <w:sz w:val="24"/>
          <w:szCs w:val="24"/>
        </w:rPr>
        <w:t xml:space="preserve"> L'accertamento dei margini di ricerca negli archivi dell'ufficio francese per i rifugiati: quali serie sugli italiani degli anni Settanta-Ottanta siano comunicabili e con quali anonimizzazioni. Bersaglio delicato per definizione: si chiede la serie, mai la persona — la regola personalistica vale anche a Parigi.</w:t>
      </w:r>
    </w:p>
    <w:p>
      <w:pPr>
        <w:spacing w:after="120" w:line="276"/>
        <w:jc w:val="both"/>
      </w:pPr>
      <w:r>
        <w:rPr>
          <w:rFonts w:ascii="Barlow Semi Condensed" w:cs="Barlow Semi Condensed" w:eastAsia="Barlow Semi Condensed" w:hAnsi="Barlow Semi Condensed"/>
          <w:b/>
          <w:bCs/>
          <w:sz w:val="24"/>
          <w:szCs w:val="24"/>
        </w:rPr>
        <w:t xml:space="preserve">54 · La CADA e i dinieghi.</w:t>
      </w:r>
      <w:r>
        <w:rPr>
          <w:rFonts w:ascii="Barlow Semi Condensed" w:cs="Barlow Semi Condensed" w:eastAsia="Barlow Semi Condensed" w:hAnsi="Barlow Semi Condensed"/>
          <w:sz w:val="24"/>
          <w:szCs w:val="24"/>
        </w:rPr>
        <w:t xml:space="preserve"> Per ogni diniego amministrativo: il ricorso alla Commission d'accès aux documents administratifs, coi precedenti favorevoli alla ricerca storica. Il gemello francese del blocco 13 britannico: ogni sistema ha il suo giudice dell'accesso, e il cantiere li conosce tutti.</w:t>
      </w:r>
    </w:p>
    <w:p>
      <w:pPr>
        <w:spacing w:after="120" w:line="276"/>
        <w:jc w:val="both"/>
      </w:pPr>
      <w:r>
        <w:rPr>
          <w:rFonts w:ascii="Barlow Semi Condensed" w:cs="Barlow Semi Condensed" w:eastAsia="Barlow Semi Condensed" w:hAnsi="Barlow Semi Condensed"/>
          <w:b/>
          <w:bCs/>
          <w:sz w:val="24"/>
          <w:szCs w:val="24"/>
        </w:rPr>
        <w:t xml:space="preserve">55 · Le carte italiane di Francia.</w:t>
      </w:r>
      <w:r>
        <w:rPr>
          <w:rFonts w:ascii="Barlow Semi Condensed" w:cs="Barlow Semi Condensed" w:eastAsia="Barlow Semi Condensed" w:hAnsi="Barlow Semi Condensed"/>
          <w:sz w:val="24"/>
          <w:szCs w:val="24"/>
        </w:rPr>
        <w:t xml:space="preserve"> Il rovescio del cantiere: le carte dell'ambasciata d'Italia a Parigi e dei consolati per il 1978 e per gli anni della dottrina — all'Archivio storico diplomatico della Farnesina. Che cosa Roma chiedeva a Parigi e che cosa Parigi rispondeva, visto dal lato italiano: la collazione bilaterale comincia in casa.</w:t>
      </w:r>
    </w:p>
    <w:p>
      <w:pPr>
        <w:spacing w:after="120" w:line="276"/>
        <w:jc w:val="both"/>
      </w:pPr>
      <w:r>
        <w:rPr>
          <w:rFonts w:ascii="Barlow Semi Condensed" w:cs="Barlow Semi Condensed" w:eastAsia="Barlow Semi Condensed" w:hAnsi="Barlow Semi Condensed"/>
          <w:b/>
          <w:bCs/>
          <w:sz w:val="24"/>
          <w:szCs w:val="24"/>
        </w:rPr>
        <w:t xml:space="preserve">56 · La stampa francese come archivio.</w:t>
      </w:r>
      <w:r>
        <w:rPr>
          <w:rFonts w:ascii="Barlow Semi Condensed" w:cs="Barlow Semi Condensed" w:eastAsia="Barlow Semi Condensed" w:hAnsi="Barlow Semi Condensed"/>
          <w:sz w:val="24"/>
          <w:szCs w:val="24"/>
        </w:rPr>
        <w:t xml:space="preserve"> Gli archivi di Le Monde, Libération, Le Figaro per i 55 giorni e per la stagione dei rifugiati: corrispondenze da Roma, inchieste, interviste d'epoca ai protagonisti dell'emigrazione italiana. La stampa francese seguì il caso con lenti proprie: il suo archivio è una fonte contestuale datata.</w:t>
      </w:r>
    </w:p>
    <w:p>
      <w:pPr>
        <w:spacing w:after="120" w:line="276"/>
        <w:jc w:val="both"/>
      </w:pPr>
      <w:r>
        <w:rPr>
          <w:rFonts w:ascii="Barlow Semi Condensed" w:cs="Barlow Semi Condensed" w:eastAsia="Barlow Semi Condensed" w:hAnsi="Barlow Semi Condensed"/>
          <w:b/>
          <w:bCs/>
          <w:sz w:val="24"/>
          <w:szCs w:val="24"/>
        </w:rPr>
        <w:t xml:space="preserve">57 · Gli istituti e i fondi militanti.</w:t>
      </w:r>
      <w:r>
        <w:rPr>
          <w:rFonts w:ascii="Barlow Semi Condensed" w:cs="Barlow Semi Condensed" w:eastAsia="Barlow Semi Condensed" w:hAnsi="Barlow Semi Condensed"/>
          <w:sz w:val="24"/>
          <w:szCs w:val="24"/>
        </w:rPr>
        <w:t xml:space="preserve"> Gli archivi degli istituti francesi che conservano carte dell'estrema sinistra europea e dell'emigrazione italiana — fondazioni, biblioteche militanti, fondi personali versati: il censimento di ciò che è consultabile su riviste, reti di solidarietà, difese legali. Si legge per contesto documentale, con la disciplina dei gradi.</w:t>
      </w:r>
    </w:p>
    <w:p>
      <w:pPr>
        <w:spacing w:after="120" w:line="276"/>
        <w:jc w:val="both"/>
      </w:pPr>
      <w:r>
        <w:rPr>
          <w:rFonts w:ascii="Barlow Semi Condensed" w:cs="Barlow Semi Condensed" w:eastAsia="Barlow Semi Condensed" w:hAnsi="Barlow Semi Condensed"/>
          <w:b/>
          <w:bCs/>
          <w:sz w:val="24"/>
          <w:szCs w:val="24"/>
        </w:rPr>
        <w:t xml:space="preserve">58 · Le difese e i difensori.</w:t>
      </w:r>
      <w:r>
        <w:rPr>
          <w:rFonts w:ascii="Barlow Semi Condensed" w:cs="Barlow Semi Condensed" w:eastAsia="Barlow Semi Condensed" w:hAnsi="Barlow Semi Condensed"/>
          <w:sz w:val="24"/>
          <w:szCs w:val="24"/>
        </w:rPr>
        <w:t xml:space="preserve"> Gli archivi degli avvocati francesi dei rifugiati italiani, nei limiti del segreto professionale: atti pubblici, memorie difensive depositate, dossier di stampa. La regola del blocco 174 dell'agenda, applicata al foro di Parigi: si censisce il depositabile, non si forza il riservato.</w:t>
      </w:r>
    </w:p>
    <w:p>
      <w:pPr>
        <w:spacing w:after="120" w:line="276"/>
        <w:jc w:val="both"/>
      </w:pPr>
      <w:r>
        <w:rPr>
          <w:rFonts w:ascii="Barlow Semi Condensed" w:cs="Barlow Semi Condensed" w:eastAsia="Barlow Semi Condensed" w:hAnsi="Barlow Semi Condensed"/>
          <w:b/>
          <w:bCs/>
          <w:sz w:val="24"/>
          <w:szCs w:val="24"/>
        </w:rPr>
        <w:t xml:space="preserve">59 · La letteratura d'oltralpe.</w:t>
      </w:r>
      <w:r>
        <w:rPr>
          <w:rFonts w:ascii="Barlow Semi Condensed" w:cs="Barlow Semi Condensed" w:eastAsia="Barlow Semi Condensed" w:hAnsi="Barlow Semi Condensed"/>
          <w:sz w:val="24"/>
          <w:szCs w:val="24"/>
        </w:rPr>
        <w:t xml:space="preserve"> Gli studi francesi sugli anni di piombo italiani e sull'asilo — la storiografia accademica francese sul caso: la tavola delle fonti primarie che cita, con le segnature. La mappa di scavo francese si costruisce come quella britannica: dalla bibliografia alle segnature, dalle segnature agli scaffali.</w:t>
      </w:r>
    </w:p>
    <w:p>
      <w:pPr>
        <w:spacing w:after="120" w:line="276"/>
        <w:jc w:val="both"/>
      </w:pPr>
      <w:r>
        <w:rPr>
          <w:rFonts w:ascii="Barlow Semi Condensed" w:cs="Barlow Semi Condensed" w:eastAsia="Barlow Semi Condensed" w:hAnsi="Barlow Semi Condensed"/>
          <w:b/>
          <w:bCs/>
          <w:sz w:val="24"/>
          <w:szCs w:val="24"/>
        </w:rPr>
        <w:t xml:space="preserve">60 · I colloqui al vertice.</w:t>
      </w:r>
      <w:r>
        <w:rPr>
          <w:rFonts w:ascii="Barlow Semi Condensed" w:cs="Barlow Semi Condensed" w:eastAsia="Barlow Semi Condensed" w:hAnsi="Barlow Semi Condensed"/>
          <w:sz w:val="24"/>
          <w:szCs w:val="24"/>
        </w:rPr>
        <w:t xml:space="preserve"> Le carte dei vertici bilaterali e comunitari del 1978 — i consigli europei, i G7 (Bonn, luglio 1978): dove il terrorismo entrò negli ordini del giorno e che cosa l'Italia vi chiese. Il quesito della cooperazione europea antiterrorismo, documentato dalle carte dei vertici, colonna francese.</w:t>
      </w:r>
    </w:p>
    <w:p>
      <w:pPr>
        <w:spacing w:after="120" w:line="276"/>
        <w:jc w:val="both"/>
      </w:pPr>
      <w:r>
        <w:rPr>
          <w:rFonts w:ascii="Barlow Semi Condensed" w:cs="Barlow Semi Condensed" w:eastAsia="Barlow Semi Condensed" w:hAnsi="Barlow Semi Condensed"/>
          <w:b/>
          <w:bCs/>
          <w:sz w:val="24"/>
          <w:szCs w:val="24"/>
        </w:rPr>
        <w:t xml:space="preserve">61 · TREVI, da Parigi.</w:t>
      </w:r>
      <w:r>
        <w:rPr>
          <w:rFonts w:ascii="Barlow Semi Condensed" w:cs="Barlow Semi Condensed" w:eastAsia="Barlow Semi Condensed" w:hAnsi="Barlow Semi Condensed"/>
          <w:sz w:val="24"/>
          <w:szCs w:val="24"/>
        </w:rPr>
        <w:t xml:space="preserve"> Le carte francesi sulla cooperazione TREVI (i gruppi europei antiterrorismo dal 1976): riunioni, scambi, valutazioni comuni del 1978. Il quesito 23 britannico ha qui il suo gemello: la cooperazione tecnica europea del 1978 in carta francese — chi scambiava che cosa con l'Italia.</w:t>
      </w:r>
    </w:p>
    <w:p>
      <w:pPr>
        <w:spacing w:after="120" w:line="276"/>
        <w:jc w:val="both"/>
      </w:pPr>
      <w:r>
        <w:rPr>
          <w:rFonts w:ascii="Barlow Semi Condensed" w:cs="Barlow Semi Condensed" w:eastAsia="Barlow Semi Condensed" w:hAnsi="Barlow Semi Condensed"/>
          <w:b/>
          <w:bCs/>
          <w:sz w:val="24"/>
          <w:szCs w:val="24"/>
        </w:rPr>
        <w:t xml:space="preserve">62 · Le sequenze dei giorni chiave.</w:t>
      </w:r>
      <w:r>
        <w:rPr>
          <w:rFonts w:ascii="Barlow Semi Condensed" w:cs="Barlow Semi Condensed" w:eastAsia="Barlow Semi Condensed" w:hAnsi="Barlow Semi Condensed"/>
          <w:sz w:val="24"/>
          <w:szCs w:val="24"/>
        </w:rPr>
        <w:t xml:space="preserve"> Il 16 marzo, il 18 aprile, il 9 maggio in carta francese: la sequenza oraria dei telegrammi, per la collazione trilaterale con Londra e Washington. Tre capitali, tre sequenze, una tavola: le divergenze emergono solo dalla completezza.</w:t>
      </w:r>
    </w:p>
    <w:p>
      <w:pPr>
        <w:spacing w:after="120" w:line="276"/>
        <w:jc w:val="both"/>
      </w:pPr>
      <w:r>
        <w:rPr>
          <w:rFonts w:ascii="Barlow Semi Condensed" w:cs="Barlow Semi Condensed" w:eastAsia="Barlow Semi Condensed" w:hAnsi="Barlow Semi Condensed"/>
          <w:b/>
          <w:bCs/>
          <w:sz w:val="24"/>
          <w:szCs w:val="24"/>
        </w:rPr>
        <w:t xml:space="preserve">63 · Il registro di lettura francese.</w:t>
      </w:r>
      <w:r>
        <w:rPr>
          <w:rFonts w:ascii="Barlow Semi Condensed" w:cs="Barlow Semi Condensed" w:eastAsia="Barlow Semi Condensed" w:hAnsi="Barlow Semi Condensed"/>
          <w:sz w:val="24"/>
          <w:szCs w:val="24"/>
        </w:rPr>
        <w:t xml:space="preserve"> Le annotazioni di circolazione sui dossier del Quai: chi lesse, chi annotò, che cosa salì al ministro. La sociologia della carta si fa anche in francese — e il confronto fra le circolazioni interne delle tre capitali misura quanto ciascuna prese sul serio il caso.</w:t>
      </w:r>
    </w:p>
    <w:p>
      <w:pPr>
        <w:spacing w:after="120" w:line="276"/>
        <w:jc w:val="both"/>
      </w:pPr>
      <w:r>
        <w:rPr>
          <w:rFonts w:ascii="Barlow Semi Condensed" w:cs="Barlow Semi Condensed" w:eastAsia="Barlow Semi Condensed" w:hAnsi="Barlow Semi Condensed"/>
          <w:b/>
          <w:bCs/>
          <w:sz w:val="24"/>
          <w:szCs w:val="24"/>
        </w:rPr>
        <w:t xml:space="preserve">64 · Il lessico di Parigi.</w:t>
      </w:r>
      <w:r>
        <w:rPr>
          <w:rFonts w:ascii="Barlow Semi Condensed" w:cs="Barlow Semi Condensed" w:eastAsia="Barlow Semi Condensed" w:hAnsi="Barlow Semi Condensed"/>
          <w:sz w:val="24"/>
          <w:szCs w:val="24"/>
        </w:rPr>
        <w:t xml:space="preserve"> Il glossario francese del caso: come il Quai e la stampa chiamarono le Brigate rosse, la fermezza, la trattativa — e quando il lessico cambiò. La colonna francese del bersaglio filologico: la terminologia datata come termometro della percezione.</w:t>
      </w:r>
    </w:p>
    <w:p>
      <w:pPr>
        <w:spacing w:after="120" w:line="276"/>
        <w:jc w:val="both"/>
      </w:pPr>
      <w:r>
        <w:rPr>
          <w:rFonts w:ascii="Barlow Semi Condensed" w:cs="Barlow Semi Condensed" w:eastAsia="Barlow Semi Condensed" w:hAnsi="Barlow Semi Condensed"/>
          <w:b/>
          <w:bCs/>
          <w:sz w:val="24"/>
          <w:szCs w:val="24"/>
        </w:rPr>
        <w:t xml:space="preserve">65 · I fuoriusciti prima del caso.</w:t>
      </w:r>
      <w:r>
        <w:rPr>
          <w:rFonts w:ascii="Barlow Semi Condensed" w:cs="Barlow Semi Condensed" w:eastAsia="Barlow Semi Condensed" w:hAnsi="Barlow Semi Condensed"/>
          <w:sz w:val="24"/>
          <w:szCs w:val="24"/>
        </w:rPr>
        <w:t xml:space="preserve"> Le carte francesi sull'emigrazione politica italiana prima del 1978: che cosa Parigi sapeva e registrava delle presenze italiane radicali sul proprio territorio negli anni precedenti. Il contesto documentale entro cui ogni quesito successivo sulla Francia va letto: prima si data il paesaggio, poi i fatti.</w:t>
      </w:r>
    </w:p>
    <w:p>
      <w:pPr>
        <w:spacing w:after="120" w:line="276"/>
        <w:jc w:val="both"/>
      </w:pPr>
      <w:r>
        <w:rPr>
          <w:rFonts w:ascii="Barlow Semi Condensed" w:cs="Barlow Semi Condensed" w:eastAsia="Barlow Semi Condensed" w:hAnsi="Barlow Semi Condensed"/>
          <w:b/>
          <w:bCs/>
          <w:sz w:val="24"/>
          <w:szCs w:val="24"/>
        </w:rPr>
        <w:t xml:space="preserve">66 · Il dopo, da Parigi.</w:t>
      </w:r>
      <w:r>
        <w:rPr>
          <w:rFonts w:ascii="Barlow Semi Condensed" w:cs="Barlow Semi Condensed" w:eastAsia="Barlow Semi Condensed" w:hAnsi="Barlow Semi Condensed"/>
          <w:sz w:val="24"/>
          <w:szCs w:val="24"/>
        </w:rPr>
        <w:t xml:space="preserve"> Le analisi francesi dopo il 9 maggio: l'esito del caso nelle valutazioni del Quai, le conseguenze per la cooperazione, i giudizi sull'Italia della solidarietà nazionale. La colonna francese del blocco 22: il senno di poi alleato, datato e comparato.</w:t>
      </w:r>
    </w:p>
    <w:p>
      <w:pPr>
        <w:spacing w:after="120" w:line="276"/>
        <w:jc w:val="both"/>
      </w:pPr>
      <w:r>
        <w:rPr>
          <w:rFonts w:ascii="Barlow Semi Condensed" w:cs="Barlow Semi Condensed" w:eastAsia="Barlow Semi Condensed" w:hAnsi="Barlow Semi Condensed"/>
          <w:b/>
          <w:bCs/>
          <w:sz w:val="24"/>
          <w:szCs w:val="24"/>
        </w:rPr>
        <w:t xml:space="preserve">67 · Moro visto da Parigi.</w:t>
      </w:r>
      <w:r>
        <w:rPr>
          <w:rFonts w:ascii="Barlow Semi Condensed" w:cs="Barlow Semi Condensed" w:eastAsia="Barlow Semi Condensed" w:hAnsi="Barlow Semi Condensed"/>
          <w:sz w:val="24"/>
          <w:szCs w:val="24"/>
        </w:rPr>
        <w:t xml:space="preserve"> Il ritratto diplomatico francese di Moro statista: i giudizi del Quai negli anni delle sue presidenze e degli esteri, i colloqui bilaterali. Il terzo ritratto d'archivio dell'uomo — dopo l'americano del corpus e il britannico del blocco 25 — per la prosopografia comparata delle diplomazie.</w:t>
      </w:r>
    </w:p>
    <w:p>
      <w:pPr>
        <w:spacing w:after="120" w:line="276"/>
        <w:jc w:val="both"/>
      </w:pPr>
      <w:r>
        <w:rPr>
          <w:rFonts w:ascii="Barlow Semi Condensed" w:cs="Barlow Semi Condensed" w:eastAsia="Barlow Semi Condensed" w:hAnsi="Barlow Semi Condensed"/>
          <w:b/>
          <w:bCs/>
          <w:sz w:val="24"/>
          <w:szCs w:val="24"/>
        </w:rPr>
        <w:t xml:space="preserve">68 · Le radio e gli ascolti.</w:t>
      </w:r>
      <w:r>
        <w:rPr>
          <w:rFonts w:ascii="Barlow Semi Condensed" w:cs="Barlow Semi Condensed" w:eastAsia="Barlow Semi Condensed" w:hAnsi="Barlow Semi Condensed"/>
          <w:sz w:val="24"/>
          <w:szCs w:val="24"/>
        </w:rPr>
        <w:t xml:space="preserve"> Gli archivi dell'audiovisivo pubblico francese (INA) per i 55 giorni: i servizi dei corrispondenti da Roma, le edizioni speciali, le interviste d'epoca. Il gemello francese del cantiere BBC: la cronaca datata in un'altra lingua, con altri accenti e altre fonti.</w:t>
      </w:r>
    </w:p>
    <w:p>
      <w:pPr>
        <w:spacing w:after="120" w:line="276"/>
        <w:jc w:val="both"/>
      </w:pPr>
      <w:r>
        <w:rPr>
          <w:rFonts w:ascii="Barlow Semi Condensed" w:cs="Barlow Semi Condensed" w:eastAsia="Barlow Semi Condensed" w:hAnsi="Barlow Semi Condensed"/>
          <w:b/>
          <w:bCs/>
          <w:sz w:val="24"/>
          <w:szCs w:val="24"/>
        </w:rPr>
        <w:t xml:space="preserve">69 · Il campione e il controllo.</w:t>
      </w:r>
      <w:r>
        <w:rPr>
          <w:rFonts w:ascii="Barlow Semi Condensed" w:cs="Barlow Semi Condensed" w:eastAsia="Barlow Semi Condensed" w:hAnsi="Barlow Semi Condensed"/>
          <w:sz w:val="24"/>
          <w:szCs w:val="24"/>
        </w:rPr>
        <w:t xml:space="preserve"> Il doppio spoglio di controllo su un campione di dossier francesi (la regola costante): la misura dell'errore di lettura su materiale in lingua. Ogni cantiere nazionale tara la propria qualità: il francese non fa eccezione.</w:t>
      </w:r>
    </w:p>
    <w:p>
      <w:pPr>
        <w:spacing w:after="120" w:line="276"/>
        <w:jc w:val="both"/>
      </w:pPr>
      <w:r>
        <w:rPr>
          <w:rFonts w:ascii="Barlow Semi Condensed" w:cs="Barlow Semi Condensed" w:eastAsia="Barlow Semi Condensed" w:hAnsi="Barlow Semi Condensed"/>
          <w:b/>
          <w:bCs/>
          <w:sz w:val="24"/>
          <w:szCs w:val="24"/>
        </w:rPr>
        <w:t xml:space="preserve">70 · L'acquisizione e i metadati.</w:t>
      </w:r>
      <w:r>
        <w:rPr>
          <w:rFonts w:ascii="Barlow Semi Condensed" w:cs="Barlow Semi Condensed" w:eastAsia="Barlow Semi Condensed" w:hAnsi="Barlow Semi Condensed"/>
          <w:sz w:val="24"/>
          <w:szCs w:val="24"/>
        </w:rPr>
        <w:t xml:space="preserve"> Il protocollo di riproduzione digitale per La Courneuve e Nantes: copie con segnature complete, ingresso nel fascicolo digitale, citabilità alla carta. La missione parigina produce archivio permanente — e la sua contabilità (giornate, costi, resa) entra nel bilancio dell'agenda.</w:t>
      </w:r>
    </w:p>
    <w:p>
      <w:pPr>
        <w:spacing w:after="120" w:line="276"/>
        <w:jc w:val="both"/>
      </w:pPr>
      <w:r>
        <w:rPr>
          <w:rFonts w:ascii="Barlow Semi Condensed" w:cs="Barlow Semi Condensed" w:eastAsia="Barlow Semi Condensed" w:hAnsi="Barlow Semi Condensed"/>
          <w:b/>
          <w:bCs/>
          <w:sz w:val="24"/>
          <w:szCs w:val="24"/>
        </w:rPr>
        <w:t xml:space="preserve">71 · I vuoti francesi.</w:t>
      </w:r>
      <w:r>
        <w:rPr>
          <w:rFonts w:ascii="Barlow Semi Condensed" w:cs="Barlow Semi Condensed" w:eastAsia="Barlow Semi Condensed" w:hAnsi="Barlow Semi Condensed"/>
          <w:sz w:val="24"/>
          <w:szCs w:val="24"/>
        </w:rPr>
        <w:t xml:space="preserve"> Il verbale dei vuoti: le serie senza Italia, i dossier vuoti, le deroghe negate con motivazione. Lo Stato Zero francese si scrive con la stessa cura di quello britannico — e i suoi termini di riapertura (le date L213-2) si mettono a calendario.</w:t>
      </w:r>
    </w:p>
    <w:p>
      <w:pPr>
        <w:spacing w:after="120" w:line="276"/>
        <w:jc w:val="both"/>
      </w:pPr>
      <w:r>
        <w:rPr>
          <w:rFonts w:ascii="Barlow Semi Condensed" w:cs="Barlow Semi Condensed" w:eastAsia="Barlow Semi Condensed" w:hAnsi="Barlow Semi Condensed"/>
          <w:b/>
          <w:bCs/>
          <w:sz w:val="24"/>
          <w:szCs w:val="24"/>
        </w:rPr>
        <w:t xml:space="preserve">72 · Il raccordo Hyperion-agenda.</w:t>
      </w:r>
      <w:r>
        <w:rPr>
          <w:rFonts w:ascii="Barlow Semi Condensed" w:cs="Barlow Semi Condensed" w:eastAsia="Barlow Semi Condensed" w:hAnsi="Barlow Semi Condensed"/>
          <w:sz w:val="24"/>
          <w:szCs w:val="24"/>
        </w:rPr>
        <w:t xml:space="preserve"> La tavola di corrispondenza del cantiere francese coi blocchi Hyperion dell'agenda (139, 222) e con la scheda del ceppo Simioni del corpus: ogni bersaglio francese che tocchi quella materia dichiara in anticipo quale documento primario cercherebbe — e che cosa NON conta come tale (biografie, contiguità, memorie).</w:t>
      </w:r>
    </w:p>
    <w:p>
      <w:pPr>
        <w:spacing w:after="120" w:line="276"/>
        <w:jc w:val="both"/>
      </w:pPr>
      <w:r>
        <w:rPr>
          <w:rFonts w:ascii="Barlow Semi Condensed" w:cs="Barlow Semi Condensed" w:eastAsia="Barlow Semi Condensed" w:hAnsi="Barlow Semi Condensed"/>
          <w:b/>
          <w:bCs/>
          <w:sz w:val="24"/>
          <w:szCs w:val="24"/>
        </w:rPr>
        <w:t xml:space="preserve">73 · Il raccordo con le pene oltre confine.</w:t>
      </w:r>
      <w:r>
        <w:rPr>
          <w:rFonts w:ascii="Barlow Semi Condensed" w:cs="Barlow Semi Condensed" w:eastAsia="Barlow Semi Condensed" w:hAnsi="Barlow Semi Condensed"/>
          <w:sz w:val="24"/>
          <w:szCs w:val="24"/>
        </w:rPr>
        <w:t xml:space="preserve"> La tavola di corrispondenza con il documento del corpus sulle pene oltre confine: per ciascun nome del registro toccato dalle vicende francesi, i soli fatti di giudicato e i soli atti documentali — la dottrina si studia come politica del diritto, mai come colpa di chi ne beneficiò.</w:t>
      </w:r>
    </w:p>
    <w:p>
      <w:pPr>
        <w:spacing w:after="120" w:line="276"/>
        <w:jc w:val="both"/>
      </w:pPr>
      <w:r>
        <w:rPr>
          <w:rFonts w:ascii="Barlow Semi Condensed" w:cs="Barlow Semi Condensed" w:eastAsia="Barlow Semi Condensed" w:hAnsi="Barlow Semi Condensed"/>
          <w:b/>
          <w:bCs/>
          <w:sz w:val="24"/>
          <w:szCs w:val="24"/>
        </w:rPr>
        <w:t xml:space="preserve">74 · Le voci francesi da raccogliere.</w:t>
      </w:r>
      <w:r>
        <w:rPr>
          <w:rFonts w:ascii="Barlow Semi Condensed" w:cs="Barlow Semi Condensed" w:eastAsia="Barlow Semi Condensed" w:hAnsi="Barlow Semi Condensed"/>
          <w:sz w:val="24"/>
          <w:szCs w:val="24"/>
        </w:rPr>
        <w:t xml:space="preserve"> I testimoni francesi viventi del caso e della stagione dell'asilo — diplomatici, funzionari, giornalisti, difensori: l'ascolto conservativo con le regole della serie quinta dell'agenda. La colonna francese della raccolta delle voci, con la stessa urgenza biologica.</w:t>
      </w:r>
    </w:p>
    <w:p>
      <w:pPr>
        <w:spacing w:after="120" w:line="276"/>
        <w:jc w:val="both"/>
      </w:pPr>
      <w:r>
        <w:rPr>
          <w:rFonts w:ascii="Barlow Semi Condensed" w:cs="Barlow Semi Condensed" w:eastAsia="Barlow Semi Condensed" w:hAnsi="Barlow Semi Condensed"/>
          <w:b/>
          <w:bCs/>
          <w:sz w:val="24"/>
          <w:szCs w:val="24"/>
        </w:rPr>
        <w:t xml:space="preserve">75 · Il quesito che solo Parigi può chiudere.</w:t>
      </w:r>
      <w:r>
        <w:rPr>
          <w:rFonts w:ascii="Barlow Semi Condensed" w:cs="Barlow Semi Condensed" w:eastAsia="Barlow Semi Condensed" w:hAnsi="Barlow Semi Condensed"/>
          <w:sz w:val="24"/>
          <w:szCs w:val="24"/>
        </w:rPr>
        <w:t xml:space="preserve"> La formulazione esplicita: quali celle delle matrici ACH del corpus possono essere riempite solo da un documento francese? La tavola di queste celle — poche, precise — è il cuore del cantiere: tutto il resto è contesto, queste sono le ragioni della trasferta.</w:t>
      </w:r>
    </w:p>
    <w:p>
      <w:pPr>
        <w:spacing w:after="120" w:line="276"/>
        <w:jc w:val="both"/>
      </w:pPr>
      <w:r>
        <w:rPr>
          <w:rFonts w:ascii="Barlow Semi Condensed" w:cs="Barlow Semi Condensed" w:eastAsia="Barlow Semi Condensed" w:hAnsi="Barlow Semi Condensed"/>
          <w:b/>
          <w:bCs/>
          <w:sz w:val="24"/>
          <w:szCs w:val="24"/>
        </w:rPr>
        <w:t xml:space="preserve">76 · Le carte comunitarie.</w:t>
      </w:r>
      <w:r>
        <w:rPr>
          <w:rFonts w:ascii="Barlow Semi Condensed" w:cs="Barlow Semi Condensed" w:eastAsia="Barlow Semi Condensed" w:hAnsi="Barlow Semi Condensed"/>
          <w:sz w:val="24"/>
          <w:szCs w:val="24"/>
        </w:rPr>
        <w:t xml:space="preserve"> Gli archivi storici dell'Unione europea (Firenze) per la cooperazione europea del 1978: le carte delle istituzioni comunitarie sul terrorismo, dove l'angolo francese e quello italiano si incrociano in sede terza. Un giacimento a Firenze per un cantiere parigino: la geografia degli archivi non segue quella politica.</w:t>
      </w:r>
    </w:p>
    <w:p>
      <w:pPr>
        <w:spacing w:after="120" w:line="276"/>
        <w:jc w:val="both"/>
      </w:pPr>
      <w:r>
        <w:rPr>
          <w:rFonts w:ascii="Barlow Semi Condensed" w:cs="Barlow Semi Condensed" w:eastAsia="Barlow Semi Condensed" w:hAnsi="Barlow Semi Condensed"/>
          <w:b/>
          <w:bCs/>
          <w:sz w:val="24"/>
          <w:szCs w:val="24"/>
        </w:rPr>
        <w:t xml:space="preserve">77 · Il calendario francese.</w:t>
      </w:r>
      <w:r>
        <w:rPr>
          <w:rFonts w:ascii="Barlow Semi Condensed" w:cs="Barlow Semi Condensed" w:eastAsia="Barlow Semi Condensed" w:hAnsi="Barlow Semi Condensed"/>
          <w:sz w:val="24"/>
          <w:szCs w:val="24"/>
        </w:rPr>
        <w:t xml:space="preserve"> La tavola delle scadenze del cantiere: le date di comunicabilità dei dossier chiusi, le deroghe pendenti, le serie in versamento. La colonna francese del motore delle scadenze — perché a Parigi più che altrove il tempo lavora per chi tiene il calendario.</w:t>
      </w:r>
    </w:p>
    <w:p>
      <w:pPr>
        <w:spacing w:after="120" w:line="276"/>
        <w:jc w:val="both"/>
      </w:pPr>
      <w:r>
        <w:rPr>
          <w:rFonts w:ascii="Barlow Semi Condensed" w:cs="Barlow Semi Condensed" w:eastAsia="Barlow Semi Condensed" w:hAnsi="Barlow Semi Condensed"/>
          <w:b/>
          <w:bCs/>
          <w:sz w:val="24"/>
          <w:szCs w:val="24"/>
        </w:rPr>
        <w:t xml:space="preserve">78 · La contro-verifica italiana.</w:t>
      </w:r>
      <w:r>
        <w:rPr>
          <w:rFonts w:ascii="Barlow Semi Condensed" w:cs="Barlow Semi Condensed" w:eastAsia="Barlow Semi Condensed" w:hAnsi="Barlow Semi Condensed"/>
          <w:sz w:val="24"/>
          <w:szCs w:val="24"/>
        </w:rPr>
        <w:t xml:space="preserve"> Ogni fatto francese acquisito si contro-verifica sulle carte italiane parallele (Farnesina, ACS) e viceversa: la regola bilaterale che nessun documento nazionale fa fede da solo sui rapporti fra due paesi. Le asimmetrie documentate sono il prodotto più interessante del confronto.</w:t>
      </w:r>
    </w:p>
    <w:p>
      <w:pPr>
        <w:spacing w:after="120" w:line="276"/>
        <w:jc w:val="both"/>
      </w:pPr>
      <w:r>
        <w:rPr>
          <w:rFonts w:ascii="Barlow Semi Condensed" w:cs="Barlow Semi Condensed" w:eastAsia="Barlow Semi Condensed" w:hAnsi="Barlow Semi Condensed"/>
          <w:b/>
          <w:bCs/>
          <w:sz w:val="24"/>
          <w:szCs w:val="24"/>
        </w:rPr>
        <w:t xml:space="preserve">79 · Il raccordo coi quesiti.</w:t>
      </w:r>
      <w:r>
        <w:rPr>
          <w:rFonts w:ascii="Barlow Semi Condensed" w:cs="Barlow Semi Condensed" w:eastAsia="Barlow Semi Condensed" w:hAnsi="Barlow Semi Condensed"/>
          <w:sz w:val="24"/>
          <w:szCs w:val="24"/>
        </w:rPr>
        <w:t xml:space="preserve"> La tavola di corrispondenza del cantiere francese coi quesiti costitutivi dell'agenda e con le piste del programma: ogni blocco (41-78) dichiara chi serve. La regola del nessun bersaglio orfano, applicata alla Francia.</w:t>
      </w:r>
    </w:p>
    <w:p>
      <w:pPr>
        <w:spacing w:after="120" w:line="276"/>
        <w:jc w:val="both"/>
      </w:pPr>
      <w:r>
        <w:rPr>
          <w:rFonts w:ascii="Barlow Semi Condensed" w:cs="Barlow Semi Condensed" w:eastAsia="Barlow Semi Condensed" w:hAnsi="Barlow Semi Condensed"/>
          <w:b/>
          <w:bCs/>
          <w:sz w:val="24"/>
          <w:szCs w:val="24"/>
        </w:rPr>
        <w:t xml:space="preserve">80 · La tavola francese.</w:t>
      </w:r>
      <w:r>
        <w:rPr>
          <w:rFonts w:ascii="Barlow Semi Condensed" w:cs="Barlow Semi Condensed" w:eastAsia="Barlow Semi Condensed" w:hAnsi="Barlow Semi Condensed"/>
          <w:sz w:val="24"/>
          <w:szCs w:val="24"/>
        </w:rPr>
        <w:t xml:space="preserve"> La chiusura del cantiere: gli stati di ogni bersaglio, le richieste pendenti con le loro date, i vuoti verbalizzati. Il secondo cantiere consegna la sua pagina di contabilità — e il metodo, ormai, è una liturgia: si chiude contando.</w:t>
      </w:r>
    </w:p>
    <w:p>
      <w:pPr>
        <w:pStyle w:val="Heading3"/>
        <w:spacing w:after="80" w:before="160"/>
      </w:pPr>
      <w:r>
        <w:rPr>
          <w:rFonts w:ascii="Barlow Semi Condensed" w:cs="Barlow Semi Condensed" w:eastAsia="Barlow Semi Condensed" w:hAnsi="Barlow Semi Condensed"/>
          <w:sz w:val="24"/>
          <w:szCs w:val="24"/>
        </w:rPr>
        <w:t xml:space="preserve">Il cantiere tedesco (blocchi 81-120)</w:t>
      </w:r>
    </w:p>
    <w:p>
      <w:pPr>
        <w:spacing w:after="120" w:line="276"/>
        <w:jc w:val="both"/>
      </w:pPr>
      <w:r>
        <w:rPr>
          <w:rFonts w:ascii="Barlow Semi Condensed" w:cs="Barlow Semi Condensed" w:eastAsia="Barlow Semi Condensed" w:hAnsi="Barlow Semi Condensed"/>
          <w:b/>
          <w:bCs/>
          <w:sz w:val="24"/>
          <w:szCs w:val="24"/>
        </w:rPr>
        <w:t xml:space="preserve">81 · Il Politisches Archiv.</w:t>
      </w:r>
      <w:r>
        <w:rPr>
          <w:rFonts w:ascii="Barlow Semi Condensed" w:cs="Barlow Semi Condensed" w:eastAsia="Barlow Semi Condensed" w:hAnsi="Barlow Semi Condensed"/>
          <w:sz w:val="24"/>
          <w:szCs w:val="24"/>
        </w:rPr>
        <w:t xml:space="preserve"> Il punto di partenza documentato: l'archivio politico dell'Auswärtiges Amt a Berlino rende consultabili, decorso il vincolo trentennale, le carte diplomatiche del 1977-1978 — Deutscher Herbst e caso Moro inclusi. Prima campagna: l'individuazione dei fascicoli del Länderreferat Italia e dell'ambasciata a Roma per i 55 giorni.</w:t>
      </w:r>
    </w:p>
    <w:p>
      <w:pPr>
        <w:spacing w:after="120" w:line="276"/>
        <w:jc w:val="both"/>
      </w:pPr>
      <w:r>
        <w:rPr>
          <w:rFonts w:ascii="Barlow Semi Condensed" w:cs="Barlow Semi Condensed" w:eastAsia="Barlow Semi Condensed" w:hAnsi="Barlow Semi Condensed"/>
          <w:b/>
          <w:bCs/>
          <w:sz w:val="24"/>
          <w:szCs w:val="24"/>
        </w:rPr>
        <w:t xml:space="preserve">82 · I volumi editi.</w:t>
      </w:r>
      <w:r>
        <w:rPr>
          <w:rFonts w:ascii="Barlow Semi Condensed" w:cs="Barlow Semi Condensed" w:eastAsia="Barlow Semi Condensed" w:hAnsi="Barlow Semi Condensed"/>
          <w:sz w:val="24"/>
          <w:szCs w:val="24"/>
        </w:rPr>
        <w:t xml:space="preserve"> Gli «Akten zur Auswärtigen Politik der Bundesrepublik Deutschland» per il 1978 — l'edizione esiste, verificata: due tomi per oltre duemilacento pagine, curati per l'Institut für Zeitgeschichte (Taschler, Das Gupta, Mayer). Lo spoglio della selezione edita: quali documenti sul caso Moro i curatori scelsero, con quali segnature d'origine. Come FRUS per Washington: l'edizione è la mappa dichiarata dell'archivio che la alimentò.</w:t>
      </w:r>
    </w:p>
    <w:p>
      <w:pPr>
        <w:spacing w:after="120" w:line="276"/>
        <w:jc w:val="both"/>
      </w:pPr>
      <w:r>
        <w:rPr>
          <w:rFonts w:ascii="Barlow Semi Condensed" w:cs="Barlow Semi Condensed" w:eastAsia="Barlow Semi Condensed" w:hAnsi="Barlow Semi Condensed"/>
          <w:b/>
          <w:bCs/>
          <w:sz w:val="24"/>
          <w:szCs w:val="24"/>
        </w:rPr>
        <w:t xml:space="preserve">83 · Oltre l'edito.</w:t>
      </w:r>
      <w:r>
        <w:rPr>
          <w:rFonts w:ascii="Barlow Semi Condensed" w:cs="Barlow Semi Condensed" w:eastAsia="Barlow Semi Condensed" w:hAnsi="Barlow Semi Condensed"/>
          <w:sz w:val="24"/>
          <w:szCs w:val="24"/>
        </w:rPr>
        <w:t xml:space="preserve"> La regola tedesca del cantiere: l'AAPD pubblica una selezione — il fascicolo integrale sta al Politisches Archiv. Per ogni documento edito rilevante, la richiesta del fascicolo intero da cui proviene: il contesto seriale di un documento scelto vale quanto il documento.</w:t>
      </w:r>
    </w:p>
    <w:p>
      <w:pPr>
        <w:spacing w:after="120" w:line="276"/>
        <w:jc w:val="both"/>
      </w:pPr>
      <w:r>
        <w:rPr>
          <w:rFonts w:ascii="Barlow Semi Condensed" w:cs="Barlow Semi Condensed" w:eastAsia="Barlow Semi Condensed" w:hAnsi="Barlow Semi Condensed"/>
          <w:b/>
          <w:bCs/>
          <w:sz w:val="24"/>
          <w:szCs w:val="24"/>
        </w:rPr>
        <w:t xml:space="preserve">84 · L'ambasciata sul Tevere, in tedesco.</w:t>
      </w:r>
      <w:r>
        <w:rPr>
          <w:rFonts w:ascii="Barlow Semi Condensed" w:cs="Barlow Semi Condensed" w:eastAsia="Barlow Semi Condensed" w:hAnsi="Barlow Semi Condensed"/>
          <w:sz w:val="24"/>
          <w:szCs w:val="24"/>
        </w:rPr>
        <w:t xml:space="preserve"> I carteggi dell'ambasciata della Repubblica federale a Roma nei 55 giorni: dispacci, colloqui, valutazioni — con la sequenza oraria delle giornate chiave per la collazione ormai quadrilaterale (Washington, Londra, Parigi, Bonn). Quattro sequenze, una tavola, le divergenze come prodotto.</w:t>
      </w:r>
    </w:p>
    <w:p>
      <w:pPr>
        <w:spacing w:after="120" w:line="276"/>
        <w:jc w:val="both"/>
      </w:pPr>
      <w:r>
        <w:rPr>
          <w:rFonts w:ascii="Barlow Semi Condensed" w:cs="Barlow Semi Condensed" w:eastAsia="Barlow Semi Condensed" w:hAnsi="Barlow Semi Condensed"/>
          <w:b/>
          <w:bCs/>
          <w:sz w:val="24"/>
          <w:szCs w:val="24"/>
        </w:rPr>
        <w:t xml:space="preserve">85 · Il precedente di casa.</w:t>
      </w:r>
      <w:r>
        <w:rPr>
          <w:rFonts w:ascii="Barlow Semi Condensed" w:cs="Barlow Semi Condensed" w:eastAsia="Barlow Semi Condensed" w:hAnsi="Barlow Semi Condensed"/>
          <w:sz w:val="24"/>
          <w:szCs w:val="24"/>
        </w:rPr>
        <w:t xml:space="preserve"> Il caso Schleyer (5 settembre - 18 ottobre 1977) come giacimento comparativo: i Kabinettsprotokolle del 1977 editi online dal Bundesarchiv documentano la discussione del governo federale sul sequestro. Lo spoglio della crisi gemella in carta tedesca è la premessa d'ogni confronto Bonn-Roma.</w:t>
      </w:r>
    </w:p>
    <w:p>
      <w:pPr>
        <w:spacing w:after="120" w:line="276"/>
        <w:jc w:val="both"/>
      </w:pPr>
      <w:r>
        <w:rPr>
          <w:rFonts w:ascii="Barlow Semi Condensed" w:cs="Barlow Semi Condensed" w:eastAsia="Barlow Semi Condensed" w:hAnsi="Barlow Semi Condensed"/>
          <w:b/>
          <w:bCs/>
          <w:sz w:val="24"/>
          <w:szCs w:val="24"/>
        </w:rPr>
        <w:t xml:space="preserve">86 · Il Krisenstab e il contenzioso.</w:t>
      </w:r>
      <w:r>
        <w:rPr>
          <w:rFonts w:ascii="Barlow Semi Condensed" w:cs="Barlow Semi Condensed" w:eastAsia="Barlow Semi Condensed" w:hAnsi="Barlow Semi Condensed"/>
          <w:sz w:val="24"/>
          <w:szCs w:val="24"/>
        </w:rPr>
        <w:t xml:space="preserve"> Il fatto verificato: i protocolli integrali del Großer Krisenstab della cancelleria per il caso Schleyer sono stati oggetto di contenzioso amministrativo (fino al Bundesverwaltungsgericht) e restano in parte non accessibili; richieste via legge sulla trasparenza sono documentate. Il cantiere censisce l'aperto, il negato e il pendente — e mette il pendente a calendario.</w:t>
      </w:r>
    </w:p>
    <w:p>
      <w:pPr>
        <w:spacing w:after="120" w:line="276"/>
        <w:jc w:val="both"/>
      </w:pPr>
      <w:r>
        <w:rPr>
          <w:rFonts w:ascii="Barlow Semi Condensed" w:cs="Barlow Semi Condensed" w:eastAsia="Barlow Semi Condensed" w:hAnsi="Barlow Semi Condensed"/>
          <w:b/>
          <w:bCs/>
          <w:sz w:val="24"/>
          <w:szCs w:val="24"/>
        </w:rPr>
        <w:t xml:space="preserve">87 · Il ministero dell'Interno federale.</w:t>
      </w:r>
      <w:r>
        <w:rPr>
          <w:rFonts w:ascii="Barlow Semi Condensed" w:cs="Barlow Semi Condensed" w:eastAsia="Barlow Semi Condensed" w:hAnsi="Barlow Semi Condensed"/>
          <w:sz w:val="24"/>
          <w:szCs w:val="24"/>
        </w:rPr>
        <w:t xml:space="preserve"> Il fondo B 106 (Bundesministerium des Innern) al Bundesarchiv: le serie sull'antiterrorismo e sulla cooperazione internazionale del 1977-1978. Che cosa il Viminale tedesco sapeva e scambiava con quello italiano: la colonna tedesca della cooperazione tecnica.</w:t>
      </w:r>
    </w:p>
    <w:p>
      <w:pPr>
        <w:spacing w:after="120" w:line="276"/>
        <w:jc w:val="both"/>
      </w:pPr>
      <w:r>
        <w:rPr>
          <w:rFonts w:ascii="Barlow Semi Condensed" w:cs="Barlow Semi Condensed" w:eastAsia="Barlow Semi Condensed" w:hAnsi="Barlow Semi Condensed"/>
          <w:b/>
          <w:bCs/>
          <w:sz w:val="24"/>
          <w:szCs w:val="24"/>
        </w:rPr>
        <w:t xml:space="preserve">88 · La Bundeskriminalamt.</w:t>
      </w:r>
      <w:r>
        <w:rPr>
          <w:rFonts w:ascii="Barlow Semi Condensed" w:cs="Barlow Semi Condensed" w:eastAsia="Barlow Semi Condensed" w:hAnsi="Barlow Semi Condensed"/>
          <w:sz w:val="24"/>
          <w:szCs w:val="24"/>
        </w:rPr>
        <w:t xml:space="preserve"> Le carte BKA versate o accessibili sul terrorismo europeo del periodo: gli scambi con le polizie italiane, i profili tecnici, le assistenze prestate durante i 55 giorni. La cooperazione RAF-BR come oggetto documentale: che cosa i tedeschi documentarono dei collegamenti, con la disciplina dei gradi.</w:t>
      </w:r>
    </w:p>
    <w:p>
      <w:pPr>
        <w:spacing w:after="120" w:line="276"/>
        <w:jc w:val="both"/>
      </w:pPr>
      <w:r>
        <w:rPr>
          <w:rFonts w:ascii="Barlow Semi Condensed" w:cs="Barlow Semi Condensed" w:eastAsia="Barlow Semi Condensed" w:hAnsi="Barlow Semi Condensed"/>
          <w:b/>
          <w:bCs/>
          <w:sz w:val="24"/>
          <w:szCs w:val="24"/>
        </w:rPr>
        <w:t xml:space="preserve">89 · I Kabinettsprotokolle del 1978.</w:t>
      </w:r>
      <w:r>
        <w:rPr>
          <w:rFonts w:ascii="Barlow Semi Condensed" w:cs="Barlow Semi Condensed" w:eastAsia="Barlow Semi Condensed" w:hAnsi="Barlow Semi Condensed"/>
          <w:sz w:val="24"/>
          <w:szCs w:val="24"/>
        </w:rPr>
        <w:t xml:space="preserve"> Il fatto verificato: l'edizione scientifica dei protocolli del consiglio dei ministri federale, curata dal Bundesarchiv, è online — e copre il 1978. Lo spoglio delle sedute dei 55 giorni: quando l'Italia entrò nell'ordine del giorno del governo di Bonn, e con quali parole a verbale.</w:t>
      </w:r>
    </w:p>
    <w:p>
      <w:pPr>
        <w:spacing w:after="120" w:line="276"/>
        <w:jc w:val="both"/>
      </w:pPr>
      <w:r>
        <w:rPr>
          <w:rFonts w:ascii="Barlow Semi Condensed" w:cs="Barlow Semi Condensed" w:eastAsia="Barlow Semi Condensed" w:hAnsi="Barlow Semi Condensed"/>
          <w:b/>
          <w:bCs/>
          <w:sz w:val="24"/>
          <w:szCs w:val="24"/>
        </w:rPr>
        <w:t xml:space="preserve">90 · La cancelleria e Schmidt.</w:t>
      </w:r>
      <w:r>
        <w:rPr>
          <w:rFonts w:ascii="Barlow Semi Condensed" w:cs="Barlow Semi Condensed" w:eastAsia="Barlow Semi Condensed" w:hAnsi="Barlow Semi Condensed"/>
          <w:sz w:val="24"/>
          <w:szCs w:val="24"/>
        </w:rPr>
        <w:t xml:space="preserve"> Le carte della cancelleria federale sul 1978 italiano — i colloqui Schmidt-Andreotti, i messaggi durante i 55 giorni: l'accertamento delle serie aperte e i loro vincoli. Il canale di vertice fra i due paesi dei due sequestri: la sua carta è un quesito bilaterale in sé.</w:t>
      </w:r>
    </w:p>
    <w:p>
      <w:pPr>
        <w:spacing w:after="120" w:line="276"/>
        <w:jc w:val="both"/>
      </w:pPr>
      <w:r>
        <w:rPr>
          <w:rFonts w:ascii="Barlow Semi Condensed" w:cs="Barlow Semi Condensed" w:eastAsia="Barlow Semi Condensed" w:hAnsi="Barlow Semi Condensed"/>
          <w:b/>
          <w:bCs/>
          <w:sz w:val="24"/>
          <w:szCs w:val="24"/>
        </w:rPr>
        <w:t xml:space="preserve">91 · L'altra Germania.</w:t>
      </w:r>
      <w:r>
        <w:rPr>
          <w:rFonts w:ascii="Barlow Semi Condensed" w:cs="Barlow Semi Condensed" w:eastAsia="Barlow Semi Condensed" w:hAnsi="Barlow Semi Condensed"/>
          <w:sz w:val="24"/>
          <w:szCs w:val="24"/>
        </w:rPr>
        <w:t xml:space="preserve"> L'archivio della Stasi — dal 17 giugno 2021 parte del Bundesarchiv (lo Stasi-Unterlagen-Archiv, oltre centoundici chilometri di atti, accesso regolato dalla legge dedicata) — contiene carte su terrorismo italiano e caso Moro, e una letteratura già le ha esplorate (gli studi di Gianluca Falanga sull'Italia nelle carte della Stasi). L'accertamento sistematico del perimetro moroteo: le carte della HVA e degli osservatori orientali, con disciplina di lettura massima — un servizio ostile riferisce coi propri fini.</w:t>
      </w:r>
    </w:p>
    <w:p>
      <w:pPr>
        <w:spacing w:after="120" w:line="276"/>
        <w:jc w:val="both"/>
      </w:pPr>
      <w:r>
        <w:rPr>
          <w:rFonts w:ascii="Barlow Semi Condensed" w:cs="Barlow Semi Condensed" w:eastAsia="Barlow Semi Condensed" w:hAnsi="Barlow Semi Condensed"/>
          <w:b/>
          <w:bCs/>
          <w:sz w:val="24"/>
          <w:szCs w:val="24"/>
        </w:rPr>
        <w:t xml:space="preserve">92 · La lettura del materiale orientale.</w:t>
      </w:r>
      <w:r>
        <w:rPr>
          <w:rFonts w:ascii="Barlow Semi Condensed" w:cs="Barlow Semi Condensed" w:eastAsia="Barlow Semi Condensed" w:hAnsi="Barlow Semi Condensed"/>
          <w:sz w:val="24"/>
          <w:szCs w:val="24"/>
        </w:rPr>
        <w:t xml:space="preserve"> La regola dedicata: ogni carta di provenienza DDR entra con doppia cautela — F sull'esistenza del documento, C sul contenuto, e mai da sola a fondamento di alcunché. Il valore del giacimento orientale è comparativo e di riscontro, non rivelatorio: la disciplina lo dice prima di aprire la prima busta.</w:t>
      </w:r>
    </w:p>
    <w:p>
      <w:pPr>
        <w:spacing w:after="120" w:line="276"/>
        <w:jc w:val="both"/>
      </w:pPr>
      <w:r>
        <w:rPr>
          <w:rFonts w:ascii="Barlow Semi Condensed" w:cs="Barlow Semi Condensed" w:eastAsia="Barlow Semi Condensed" w:hAnsi="Barlow Semi Condensed"/>
          <w:b/>
          <w:bCs/>
          <w:sz w:val="24"/>
          <w:szCs w:val="24"/>
        </w:rPr>
        <w:t xml:space="preserve">93 · Il progetto di Monaco.</w:t>
      </w:r>
      <w:r>
        <w:rPr>
          <w:rFonts w:ascii="Barlow Semi Condensed" w:cs="Barlow Semi Condensed" w:eastAsia="Barlow Semi Condensed" w:hAnsi="Barlow Semi Condensed"/>
          <w:sz w:val="24"/>
          <w:szCs w:val="24"/>
        </w:rPr>
        <w:t xml:space="preserve"> La ricerca istituzionale già condotta: il progetto dell'Institut für Zeitgeschichte su Stato e terrorismo in Italia (1969-1982) e la storiografia tedesca sul caso — la tavola delle fonti primarie citate, come mappa di scavo. La Germania ha già studiato l'Italia del terrorismo: il cantiere ne eredita le coordinate e le verifica.</w:t>
      </w:r>
    </w:p>
    <w:p>
      <w:pPr>
        <w:spacing w:after="120" w:line="276"/>
        <w:jc w:val="both"/>
      </w:pPr>
      <w:r>
        <w:rPr>
          <w:rFonts w:ascii="Barlow Semi Condensed" w:cs="Barlow Semi Condensed" w:eastAsia="Barlow Semi Condensed" w:hAnsi="Barlow Semi Condensed"/>
          <w:b/>
          <w:bCs/>
          <w:sz w:val="24"/>
          <w:szCs w:val="24"/>
        </w:rPr>
        <w:t xml:space="preserve">94 · Il confronto dei modelli.</w:t>
      </w:r>
      <w:r>
        <w:rPr>
          <w:rFonts w:ascii="Barlow Semi Condensed" w:cs="Barlow Semi Condensed" w:eastAsia="Barlow Semi Condensed" w:hAnsi="Barlow Semi Condensed"/>
          <w:sz w:val="24"/>
          <w:szCs w:val="24"/>
        </w:rPr>
        <w:t xml:space="preserve"> Il dossier comparativo Schleyer-Moro in carta: le scelte documentate dei due governi — fermezza contro fermezza, gestioni operative, comunicazione pubblica — ricostruite dalle carte di entrambi i paesi, senza tesi precostituita. Il comparatismo documentale è il rendimento naturale del cantiere tedesco.</w:t>
      </w:r>
    </w:p>
    <w:p>
      <w:pPr>
        <w:spacing w:after="120" w:line="276"/>
        <w:jc w:val="both"/>
      </w:pPr>
      <w:r>
        <w:rPr>
          <w:rFonts w:ascii="Barlow Semi Condensed" w:cs="Barlow Semi Condensed" w:eastAsia="Barlow Semi Condensed" w:hAnsi="Barlow Semi Condensed"/>
          <w:b/>
          <w:bCs/>
          <w:sz w:val="24"/>
          <w:szCs w:val="24"/>
        </w:rPr>
        <w:t xml:space="preserve">95 · Le sequenze tedesche dei giorni chiave.</w:t>
      </w:r>
      <w:r>
        <w:rPr>
          <w:rFonts w:ascii="Barlow Semi Condensed" w:cs="Barlow Semi Condensed" w:eastAsia="Barlow Semi Condensed" w:hAnsi="Barlow Semi Condensed"/>
          <w:sz w:val="24"/>
          <w:szCs w:val="24"/>
        </w:rPr>
        <w:t xml:space="preserve"> Il 16 marzo, il 18 aprile, il 9 maggio nei telegrammi tedeschi: orari, destinatari, contenuti. La quarta colonna della tavola quadrilaterale — e con essa la collazione delle capitali è completa per le giornate decisive.</w:t>
      </w:r>
    </w:p>
    <w:p>
      <w:pPr>
        <w:spacing w:after="120" w:line="276"/>
        <w:jc w:val="both"/>
      </w:pPr>
      <w:r>
        <w:rPr>
          <w:rFonts w:ascii="Barlow Semi Condensed" w:cs="Barlow Semi Condensed" w:eastAsia="Barlow Semi Condensed" w:hAnsi="Barlow Semi Condensed"/>
          <w:b/>
          <w:bCs/>
          <w:sz w:val="24"/>
          <w:szCs w:val="24"/>
        </w:rPr>
        <w:t xml:space="preserve">96 · Il registro di lettura tedesco.</w:t>
      </w:r>
      <w:r>
        <w:rPr>
          <w:rFonts w:ascii="Barlow Semi Condensed" w:cs="Barlow Semi Condensed" w:eastAsia="Barlow Semi Condensed" w:hAnsi="Barlow Semi Condensed"/>
          <w:sz w:val="24"/>
          <w:szCs w:val="24"/>
        </w:rPr>
        <w:t xml:space="preserve"> La circolazione interna delle carte a Bonn: sigle, annotazioni, passaggi al piano politico. La quarta sociologia della carta — e la comparazione fra le quattro circolazioni misura il rango che ciascun alleato diede al caso, giorno per giorno.</w:t>
      </w:r>
    </w:p>
    <w:p>
      <w:pPr>
        <w:spacing w:after="120" w:line="276"/>
        <w:jc w:val="both"/>
      </w:pPr>
      <w:r>
        <w:rPr>
          <w:rFonts w:ascii="Barlow Semi Condensed" w:cs="Barlow Semi Condensed" w:eastAsia="Barlow Semi Condensed" w:hAnsi="Barlow Semi Condensed"/>
          <w:b/>
          <w:bCs/>
          <w:sz w:val="24"/>
          <w:szCs w:val="24"/>
        </w:rPr>
        <w:t xml:space="preserve">97 · Moro visto da Bonn.</w:t>
      </w:r>
      <w:r>
        <w:rPr>
          <w:rFonts w:ascii="Barlow Semi Condensed" w:cs="Barlow Semi Condensed" w:eastAsia="Barlow Semi Condensed" w:hAnsi="Barlow Semi Condensed"/>
          <w:sz w:val="24"/>
          <w:szCs w:val="24"/>
        </w:rPr>
        <w:t xml:space="preserve"> Il ritratto diplomatico tedesco dello statista: i giudizi dell'Auswärtiges Amt negli anni, i colloqui bilaterali, le valutazioni sulla solidarietà nazionale. Il quarto ritratto d'archivio per la prosopografia comparata — Washington, Londra, Parigi, Bonn: quattro specchi datati dello stesso uomo.</w:t>
      </w:r>
    </w:p>
    <w:p>
      <w:pPr>
        <w:spacing w:after="120" w:line="276"/>
        <w:jc w:val="both"/>
      </w:pPr>
      <w:r>
        <w:rPr>
          <w:rFonts w:ascii="Barlow Semi Condensed" w:cs="Barlow Semi Condensed" w:eastAsia="Barlow Semi Condensed" w:hAnsi="Barlow Semi Condensed"/>
          <w:b/>
          <w:bCs/>
          <w:sz w:val="24"/>
          <w:szCs w:val="24"/>
        </w:rPr>
        <w:t xml:space="preserve">98 · Il quesito atlantico, da Bonn.</w:t>
      </w:r>
      <w:r>
        <w:rPr>
          <w:rFonts w:ascii="Barlow Semi Condensed" w:cs="Barlow Semi Condensed" w:eastAsia="Barlow Semi Condensed" w:hAnsi="Barlow Semi Condensed"/>
          <w:sz w:val="24"/>
          <w:szCs w:val="24"/>
        </w:rPr>
        <w:t xml:space="preserve"> Le carte tedesche sugli aspetti atlantici del 1978 italiano: la sicurezza alleata, il governo di solidarietà nazionale, le valutazioni strategiche. La colonna tedesca del quesito 12 — con l'interesse speciale di Bonn, che dell'equilibrio europeo era il perno economico.</w:t>
      </w:r>
    </w:p>
    <w:p>
      <w:pPr>
        <w:spacing w:after="120" w:line="276"/>
        <w:jc w:val="both"/>
      </w:pPr>
      <w:r>
        <w:rPr>
          <w:rFonts w:ascii="Barlow Semi Condensed" w:cs="Barlow Semi Condensed" w:eastAsia="Barlow Semi Condensed" w:hAnsi="Barlow Semi Condensed"/>
          <w:b/>
          <w:bCs/>
          <w:sz w:val="24"/>
          <w:szCs w:val="24"/>
        </w:rPr>
        <w:t xml:space="preserve">99 · La cooperazione TREVI, da Bonn.</w:t>
      </w:r>
      <w:r>
        <w:rPr>
          <w:rFonts w:ascii="Barlow Semi Condensed" w:cs="Barlow Semi Condensed" w:eastAsia="Barlow Semi Condensed" w:hAnsi="Barlow Semi Condensed"/>
          <w:sz w:val="24"/>
          <w:szCs w:val="24"/>
        </w:rPr>
        <w:t xml:space="preserve"> Le carte tedesche sulla cooperazione europea antiterrorismo: i gruppi TREVI, gli scambi bilaterali, le riunioni del 1978. La terza colonna della cooperazione tecnica — e l'incrocio delle tre (Londra, Parigi, Bonn) ricostruisce il sistema europeo reale entro cui l'Italia chiese e ricevette.</w:t>
      </w:r>
    </w:p>
    <w:p>
      <w:pPr>
        <w:spacing w:after="120" w:line="276"/>
        <w:jc w:val="both"/>
      </w:pPr>
      <w:r>
        <w:rPr>
          <w:rFonts w:ascii="Barlow Semi Condensed" w:cs="Barlow Semi Condensed" w:eastAsia="Barlow Semi Condensed" w:hAnsi="Barlow Semi Condensed"/>
          <w:b/>
          <w:bCs/>
          <w:sz w:val="24"/>
          <w:szCs w:val="24"/>
        </w:rPr>
        <w:t xml:space="preserve">100 · Il centesimo blocco: la stampa tedesca.</w:t>
      </w:r>
      <w:r>
        <w:rPr>
          <w:rFonts w:ascii="Barlow Semi Condensed" w:cs="Barlow Semi Condensed" w:eastAsia="Barlow Semi Condensed" w:hAnsi="Barlow Semi Condensed"/>
          <w:sz w:val="24"/>
          <w:szCs w:val="24"/>
        </w:rPr>
        <w:t xml:space="preserve"> Gli archivi di Frankfurter Allgemeine, Spiegel, Zeit per i 55 giorni: corrispondenze da Roma, inchieste, il caso italiano letto dal paese dell'autunno tedesco. Lo Spiegel-Archiv in particolare: un giacimento giornalistico strutturato, interrogabile, datato.</w:t>
      </w:r>
    </w:p>
    <w:p>
      <w:pPr>
        <w:spacing w:after="120" w:line="276"/>
        <w:jc w:val="both"/>
      </w:pPr>
      <w:r>
        <w:rPr>
          <w:rFonts w:ascii="Barlow Semi Condensed" w:cs="Barlow Semi Condensed" w:eastAsia="Barlow Semi Condensed" w:hAnsi="Barlow Semi Condensed"/>
          <w:b/>
          <w:bCs/>
          <w:sz w:val="24"/>
          <w:szCs w:val="24"/>
        </w:rPr>
        <w:t xml:space="preserve">101 · Le radio e le teche tedesche.</w:t>
      </w:r>
      <w:r>
        <w:rPr>
          <w:rFonts w:ascii="Barlow Semi Condensed" w:cs="Barlow Semi Condensed" w:eastAsia="Barlow Semi Condensed" w:hAnsi="Barlow Semi Condensed"/>
          <w:sz w:val="24"/>
          <w:szCs w:val="24"/>
        </w:rPr>
        <w:t xml:space="preserve"> Gli archivi radiotelevisivi federali (ARD, ZDF) per i 55 giorni: i servizi da Roma, gli speciali, le interviste d'epoca. La colonna tedesca del cantiere audiovisivo estero — con la domanda costante: che cosa ripresero le loro telecamere che le nostre non ripresero?</w:t>
      </w:r>
    </w:p>
    <w:p>
      <w:pPr>
        <w:spacing w:after="120" w:line="276"/>
        <w:jc w:val="both"/>
      </w:pPr>
      <w:r>
        <w:rPr>
          <w:rFonts w:ascii="Barlow Semi Condensed" w:cs="Barlow Semi Condensed" w:eastAsia="Barlow Semi Condensed" w:hAnsi="Barlow Semi Condensed"/>
          <w:b/>
          <w:bCs/>
          <w:sz w:val="24"/>
          <w:szCs w:val="24"/>
        </w:rPr>
        <w:t xml:space="preserve">102 · I diari editi di Bonn.</w:t>
      </w:r>
      <w:r>
        <w:rPr>
          <w:rFonts w:ascii="Barlow Semi Condensed" w:cs="Barlow Semi Condensed" w:eastAsia="Barlow Semi Condensed" w:hAnsi="Barlow Semi Condensed"/>
          <w:sz w:val="24"/>
          <w:szCs w:val="24"/>
        </w:rPr>
        <w:t xml:space="preserve"> Le memorie dei protagonisti tedeschi — Schmidt in testa — spogliata la parte italiana: la collazione carte-memorie con la regola costante. Che cosa il cancelliere raccontò del 1978 italiano e che cosa le carte coeve confermano: la tavola delle concordanze e degli scarti.</w:t>
      </w:r>
    </w:p>
    <w:p>
      <w:pPr>
        <w:spacing w:after="120" w:line="276"/>
        <w:jc w:val="both"/>
      </w:pPr>
      <w:r>
        <w:rPr>
          <w:rFonts w:ascii="Barlow Semi Condensed" w:cs="Barlow Semi Condensed" w:eastAsia="Barlow Semi Condensed" w:hAnsi="Barlow Semi Condensed"/>
          <w:b/>
          <w:bCs/>
          <w:sz w:val="24"/>
          <w:szCs w:val="24"/>
        </w:rPr>
        <w:t xml:space="preserve">103 · Le fondazioni politiche.</w:t>
      </w:r>
      <w:r>
        <w:rPr>
          <w:rFonts w:ascii="Barlow Semi Condensed" w:cs="Barlow Semi Condensed" w:eastAsia="Barlow Semi Condensed" w:hAnsi="Barlow Semi Condensed"/>
          <w:sz w:val="24"/>
          <w:szCs w:val="24"/>
        </w:rPr>
        <w:t xml:space="preserve"> Gli archivi delle fondazioni di partito tedesche (Friedrich-Ebert, Konrad-Adenauer): i carteggi coi partiti italiani fratelli nel 1978 — SPD-PSI/PSDI, CDU-DC. Il canale di partito parallelo a quello diplomatico: un giacimento che l'Italia dimentica e la Germania cataloga.</w:t>
      </w:r>
    </w:p>
    <w:p>
      <w:pPr>
        <w:spacing w:after="120" w:line="276"/>
        <w:jc w:val="both"/>
      </w:pPr>
      <w:r>
        <w:rPr>
          <w:rFonts w:ascii="Barlow Semi Condensed" w:cs="Barlow Semi Condensed" w:eastAsia="Barlow Semi Condensed" w:hAnsi="Barlow Semi Condensed"/>
          <w:b/>
          <w:bCs/>
          <w:sz w:val="24"/>
          <w:szCs w:val="24"/>
        </w:rPr>
        <w:t xml:space="preserve">104 · Il quesito dei contatti RAF-BR.</w:t>
      </w:r>
      <w:r>
        <w:rPr>
          <w:rFonts w:ascii="Barlow Semi Condensed" w:cs="Barlow Semi Condensed" w:eastAsia="Barlow Semi Condensed" w:hAnsi="Barlow Semi Condensed"/>
          <w:sz w:val="24"/>
          <w:szCs w:val="24"/>
        </w:rPr>
        <w:t xml:space="preserve"> Il perimetro documentale dei collegamenti fra terrorismo tedesco e italiano nelle carte aperte: che cosa BKA e giustizia federale documentarono, che cosa la storiografia ha verificato, che cosa resta congettura. Il quesito si scrive in forma ACH: le ipotesi di collegamento contro le evidenze, con l'anello debole in funzione.</w:t>
      </w:r>
    </w:p>
    <w:p>
      <w:pPr>
        <w:spacing w:after="120" w:line="276"/>
        <w:jc w:val="both"/>
      </w:pPr>
      <w:r>
        <w:rPr>
          <w:rFonts w:ascii="Barlow Semi Condensed" w:cs="Barlow Semi Condensed" w:eastAsia="Barlow Semi Condensed" w:hAnsi="Barlow Semi Condensed"/>
          <w:b/>
          <w:bCs/>
          <w:sz w:val="24"/>
          <w:szCs w:val="24"/>
        </w:rPr>
        <w:t xml:space="preserve">105 · I processi tedeschi come giacimento.</w:t>
      </w:r>
      <w:r>
        <w:rPr>
          <w:rFonts w:ascii="Barlow Semi Condensed" w:cs="Barlow Semi Condensed" w:eastAsia="Barlow Semi Condensed" w:hAnsi="Barlow Semi Condensed"/>
          <w:sz w:val="24"/>
          <w:szCs w:val="24"/>
        </w:rPr>
        <w:t xml:space="preserve"> Gli atti dei processi RAF del periodo per ciò che documentano dei rapporti internazionali del terrorismo europeo: sentenze, perizie, istruttorie aperte alla ricerca. Il giudiziario tedesco è più aperto del francese: ciò che vi è passato in giudicato è leggibile — e si legge con la griglia italiana.</w:t>
      </w:r>
    </w:p>
    <w:p>
      <w:pPr>
        <w:spacing w:after="120" w:line="276"/>
        <w:jc w:val="both"/>
      </w:pPr>
      <w:r>
        <w:rPr>
          <w:rFonts w:ascii="Barlow Semi Condensed" w:cs="Barlow Semi Condensed" w:eastAsia="Barlow Semi Condensed" w:hAnsi="Barlow Semi Condensed"/>
          <w:b/>
          <w:bCs/>
          <w:sz w:val="24"/>
          <w:szCs w:val="24"/>
        </w:rPr>
        <w:t xml:space="preserve">106 · Berna e Vienna, in appendice.</w:t>
      </w:r>
      <w:r>
        <w:rPr>
          <w:rFonts w:ascii="Barlow Semi Condensed" w:cs="Barlow Semi Condensed" w:eastAsia="Barlow Semi Condensed" w:hAnsi="Barlow Semi Condensed"/>
          <w:sz w:val="24"/>
          <w:szCs w:val="24"/>
        </w:rPr>
        <w:t xml:space="preserve"> L'estensione mitteleuropea, con l'ancoraggio verificato: i documenti diplomatici svizzeri del 1978 sono in larga parte liberamente accessibili (termine trentennale) e la banca dati Dodis li pubblica online con dossier tematici — il cantiere svizzero comincia da lì, oltre che dagli atti sulle vicende dei condannati riparati. E Vienna per l'osservatorio danubiano: accertamenti di serie e termini, con bersagli pochi e precisi.</w:t>
      </w:r>
    </w:p>
    <w:p>
      <w:pPr>
        <w:spacing w:after="120" w:line="276"/>
        <w:jc w:val="both"/>
      </w:pPr>
      <w:r>
        <w:rPr>
          <w:rFonts w:ascii="Barlow Semi Condensed" w:cs="Barlow Semi Condensed" w:eastAsia="Barlow Semi Condensed" w:hAnsi="Barlow Semi Condensed"/>
          <w:b/>
          <w:bCs/>
          <w:sz w:val="24"/>
          <w:szCs w:val="24"/>
        </w:rPr>
        <w:t xml:space="preserve">107 · Il campione tedesco.</w:t>
      </w:r>
      <w:r>
        <w:rPr>
          <w:rFonts w:ascii="Barlow Semi Condensed" w:cs="Barlow Semi Condensed" w:eastAsia="Barlow Semi Condensed" w:hAnsi="Barlow Semi Condensed"/>
          <w:sz w:val="24"/>
          <w:szCs w:val="24"/>
        </w:rPr>
        <w:t xml:space="preserve"> Il doppio spoglio di controllo sul campione di fascicoli tedeschi: la taratura della qualità di lettura nella terza lingua del cantiere estero. La regola non si stanca: la qualità si misura, in ogni lingua.</w:t>
      </w:r>
    </w:p>
    <w:p>
      <w:pPr>
        <w:spacing w:after="120" w:line="276"/>
        <w:jc w:val="both"/>
      </w:pPr>
      <w:r>
        <w:rPr>
          <w:rFonts w:ascii="Barlow Semi Condensed" w:cs="Barlow Semi Condensed" w:eastAsia="Barlow Semi Condensed" w:hAnsi="Barlow Semi Condensed"/>
          <w:b/>
          <w:bCs/>
          <w:sz w:val="24"/>
          <w:szCs w:val="24"/>
        </w:rPr>
        <w:t xml:space="preserve">108 · L'acquisizione e la resa.</w:t>
      </w:r>
      <w:r>
        <w:rPr>
          <w:rFonts w:ascii="Barlow Semi Condensed" w:cs="Barlow Semi Condensed" w:eastAsia="Barlow Semi Condensed" w:hAnsi="Barlow Semi Condensed"/>
          <w:sz w:val="24"/>
          <w:szCs w:val="24"/>
        </w:rPr>
        <w:t xml:space="preserve"> Il protocollo di riproduzione per Berlino e Coblenza: copie digitali con segnature, ingresso nel fascicolo digitale, contabilità della missione. La terza trasferta produce archivio permanente come le prime due — e la sua resa si confronta con le altre per tarare le successive.</w:t>
      </w:r>
    </w:p>
    <w:p>
      <w:pPr>
        <w:spacing w:after="120" w:line="276"/>
        <w:jc w:val="both"/>
      </w:pPr>
      <w:r>
        <w:rPr>
          <w:rFonts w:ascii="Barlow Semi Condensed" w:cs="Barlow Semi Condensed" w:eastAsia="Barlow Semi Condensed" w:hAnsi="Barlow Semi Condensed"/>
          <w:b/>
          <w:bCs/>
          <w:sz w:val="24"/>
          <w:szCs w:val="24"/>
        </w:rPr>
        <w:t xml:space="preserve">109 · I vuoti tedeschi.</w:t>
      </w:r>
      <w:r>
        <w:rPr>
          <w:rFonts w:ascii="Barlow Semi Condensed" w:cs="Barlow Semi Condensed" w:eastAsia="Barlow Semi Condensed" w:hAnsi="Barlow Semi Condensed"/>
          <w:sz w:val="24"/>
          <w:szCs w:val="24"/>
        </w:rPr>
        <w:t xml:space="preserve"> Il verbale dei vuoti: le serie senza Italia, i fascicoli chiusi con la loro norma, il contenzioso pendente sul Krisenstab con le sue date. Lo Stato Zero tedesco, come gli altri: perimetrato, datato, a calendario.</w:t>
      </w:r>
    </w:p>
    <w:p>
      <w:pPr>
        <w:spacing w:after="120" w:line="276"/>
        <w:jc w:val="both"/>
      </w:pPr>
      <w:r>
        <w:rPr>
          <w:rFonts w:ascii="Barlow Semi Condensed" w:cs="Barlow Semi Condensed" w:eastAsia="Barlow Semi Condensed" w:hAnsi="Barlow Semi Condensed"/>
          <w:b/>
          <w:bCs/>
          <w:sz w:val="24"/>
          <w:szCs w:val="24"/>
        </w:rPr>
        <w:t xml:space="preserve">110 · Il raccordo col parallelo.</w:t>
      </w:r>
      <w:r>
        <w:rPr>
          <w:rFonts w:ascii="Barlow Semi Condensed" w:cs="Barlow Semi Condensed" w:eastAsia="Barlow Semi Condensed" w:hAnsi="Barlow Semi Condensed"/>
          <w:sz w:val="24"/>
          <w:szCs w:val="24"/>
        </w:rPr>
        <w:t xml:space="preserve"> La tavola di corrispondenza del dossier Schleyer-Moro coi quesiti costitutivi: quali celle delle matrici italiane un documento tedesco può riempire — poche, precise, dichiarate in anticipo. Il comparatismo serve i quesiti; non li sostituisce.</w:t>
      </w:r>
    </w:p>
    <w:p>
      <w:pPr>
        <w:spacing w:after="120" w:line="276"/>
        <w:jc w:val="both"/>
      </w:pPr>
      <w:r>
        <w:rPr>
          <w:rFonts w:ascii="Barlow Semi Condensed" w:cs="Barlow Semi Condensed" w:eastAsia="Barlow Semi Condensed" w:hAnsi="Barlow Semi Condensed"/>
          <w:b/>
          <w:bCs/>
          <w:sz w:val="24"/>
          <w:szCs w:val="24"/>
        </w:rPr>
        <w:t xml:space="preserve">111 · Le voci tedesche.</w:t>
      </w:r>
      <w:r>
        <w:rPr>
          <w:rFonts w:ascii="Barlow Semi Condensed" w:cs="Barlow Semi Condensed" w:eastAsia="Barlow Semi Condensed" w:hAnsi="Barlow Semi Condensed"/>
          <w:sz w:val="24"/>
          <w:szCs w:val="24"/>
        </w:rPr>
        <w:t xml:space="preserve"> I testimoni tedeschi viventi del 1978 — diplomatici, funzionari, corrispondenti: la raccolta conservativa con le regole della serie quinta dell'agenda. La colonna tedesca delle voci, con l'urgenza di sempre.</w:t>
      </w:r>
    </w:p>
    <w:p>
      <w:pPr>
        <w:spacing w:after="120" w:line="276"/>
        <w:jc w:val="both"/>
      </w:pPr>
      <w:r>
        <w:rPr>
          <w:rFonts w:ascii="Barlow Semi Condensed" w:cs="Barlow Semi Condensed" w:eastAsia="Barlow Semi Condensed" w:hAnsi="Barlow Semi Condensed"/>
          <w:b/>
          <w:bCs/>
          <w:sz w:val="24"/>
          <w:szCs w:val="24"/>
        </w:rPr>
        <w:t xml:space="preserve">112 · Il lessico di Bonn.</w:t>
      </w:r>
      <w:r>
        <w:rPr>
          <w:rFonts w:ascii="Barlow Semi Condensed" w:cs="Barlow Semi Condensed" w:eastAsia="Barlow Semi Condensed" w:hAnsi="Barlow Semi Condensed"/>
          <w:sz w:val="24"/>
          <w:szCs w:val="24"/>
        </w:rPr>
        <w:t xml:space="preserve"> Il glossario tedesco del caso: come le carte federali chiamarono le Brigate rosse, la fermezza italiana, il parallelo con la RAF — e quando il lessico cambiò. Il quarto termometro terminologico della percezione alleata.</w:t>
      </w:r>
    </w:p>
    <w:p>
      <w:pPr>
        <w:spacing w:after="120" w:line="276"/>
        <w:jc w:val="both"/>
      </w:pPr>
      <w:r>
        <w:rPr>
          <w:rFonts w:ascii="Barlow Semi Condensed" w:cs="Barlow Semi Condensed" w:eastAsia="Barlow Semi Condensed" w:hAnsi="Barlow Semi Condensed"/>
          <w:b/>
          <w:bCs/>
          <w:sz w:val="24"/>
          <w:szCs w:val="24"/>
        </w:rPr>
        <w:t xml:space="preserve">113 · Il dopo, da Bonn.</w:t>
      </w:r>
      <w:r>
        <w:rPr>
          <w:rFonts w:ascii="Barlow Semi Condensed" w:cs="Barlow Semi Condensed" w:eastAsia="Barlow Semi Condensed" w:hAnsi="Barlow Semi Condensed"/>
          <w:sz w:val="24"/>
          <w:szCs w:val="24"/>
        </w:rPr>
        <w:t xml:space="preserve"> Le analisi tedesche dopo il 9 maggio: l'esito del caso nelle valutazioni federali, le lezioni tratte per la dottrina tedesca, i giudizi sull'Italia. La quarta colonna del senno di poi alleato — e la sua comparazione chiude il quesito del blocco 22 su scala europea.</w:t>
      </w:r>
    </w:p>
    <w:p>
      <w:pPr>
        <w:spacing w:after="120" w:line="276"/>
        <w:jc w:val="both"/>
      </w:pPr>
      <w:r>
        <w:rPr>
          <w:rFonts w:ascii="Barlow Semi Condensed" w:cs="Barlow Semi Condensed" w:eastAsia="Barlow Semi Condensed" w:hAnsi="Barlow Semi Condensed"/>
          <w:b/>
          <w:bCs/>
          <w:sz w:val="24"/>
          <w:szCs w:val="24"/>
        </w:rPr>
        <w:t xml:space="preserve">114 · Gli scambi di intelligence dichiarati.</w:t>
      </w:r>
      <w:r>
        <w:rPr>
          <w:rFonts w:ascii="Barlow Semi Condensed" w:cs="Barlow Semi Condensed" w:eastAsia="Barlow Semi Condensed" w:hAnsi="Barlow Semi Condensed"/>
          <w:sz w:val="24"/>
          <w:szCs w:val="24"/>
        </w:rPr>
        <w:t xml:space="preserve"> Il censimento di ciò che le carte aperte documentano degli scambi informativi fra servizi tedeschi e italiani nel 1978: note di liaison, valutazioni condivise, richieste. Solo il documentato: il resto è Stato Zero dichiarato, non narrazione.</w:t>
      </w:r>
    </w:p>
    <w:p>
      <w:pPr>
        <w:spacing w:after="120" w:line="276"/>
        <w:jc w:val="both"/>
      </w:pPr>
      <w:r>
        <w:rPr>
          <w:rFonts w:ascii="Barlow Semi Condensed" w:cs="Barlow Semi Condensed" w:eastAsia="Barlow Semi Condensed" w:hAnsi="Barlow Semi Condensed"/>
          <w:b/>
          <w:bCs/>
          <w:sz w:val="24"/>
          <w:szCs w:val="24"/>
        </w:rPr>
        <w:t xml:space="preserve">115 · Il quesito che solo Bonn può chiudere.</w:t>
      </w:r>
      <w:r>
        <w:rPr>
          <w:rFonts w:ascii="Barlow Semi Condensed" w:cs="Barlow Semi Condensed" w:eastAsia="Barlow Semi Condensed" w:hAnsi="Barlow Semi Condensed"/>
          <w:sz w:val="24"/>
          <w:szCs w:val="24"/>
        </w:rPr>
        <w:t xml:space="preserve"> La formulazione esplicita, come per Parigi: quali celle delle matrici ACH possono essere riempite solo da un documento tedesco? La tavola di queste celle è la giustificazione del cantiere — e il suo criterio di chiusura.</w:t>
      </w:r>
    </w:p>
    <w:p>
      <w:pPr>
        <w:spacing w:after="120" w:line="276"/>
        <w:jc w:val="both"/>
      </w:pPr>
      <w:r>
        <w:rPr>
          <w:rFonts w:ascii="Barlow Semi Condensed" w:cs="Barlow Semi Condensed" w:eastAsia="Barlow Semi Condensed" w:hAnsi="Barlow Semi Condensed"/>
          <w:b/>
          <w:bCs/>
          <w:sz w:val="24"/>
          <w:szCs w:val="24"/>
        </w:rPr>
        <w:t xml:space="preserve">116 · Il raccordo con l'agenda.</w:t>
      </w:r>
      <w:r>
        <w:rPr>
          <w:rFonts w:ascii="Barlow Semi Condensed" w:cs="Barlow Semi Condensed" w:eastAsia="Barlow Semi Condensed" w:hAnsi="Barlow Semi Condensed"/>
          <w:sz w:val="24"/>
          <w:szCs w:val="24"/>
        </w:rPr>
        <w:t xml:space="preserve"> La tavola di corrispondenza del cantiere tedesco coi quesiti costitutivi e con le piste: ogni blocco dichiara chi serve. Nessun bersaglio orfano, nemmeno in tedesco.</w:t>
      </w:r>
    </w:p>
    <w:p>
      <w:pPr>
        <w:spacing w:after="120" w:line="276"/>
        <w:jc w:val="both"/>
      </w:pPr>
      <w:r>
        <w:rPr>
          <w:rFonts w:ascii="Barlow Semi Condensed" w:cs="Barlow Semi Condensed" w:eastAsia="Barlow Semi Condensed" w:hAnsi="Barlow Semi Condensed"/>
          <w:b/>
          <w:bCs/>
          <w:sz w:val="24"/>
          <w:szCs w:val="24"/>
        </w:rPr>
        <w:t xml:space="preserve">117 · La tavola delle serie tedesche.</w:t>
      </w:r>
      <w:r>
        <w:rPr>
          <w:rFonts w:ascii="Barlow Semi Condensed" w:cs="Barlow Semi Condensed" w:eastAsia="Barlow Semi Condensed" w:hAnsi="Barlow Semi Condensed"/>
          <w:sz w:val="24"/>
          <w:szCs w:val="24"/>
        </w:rPr>
        <w:t xml:space="preserve"> La tavola unica: PA AA, Bundesarchiv (B 106, cancelleria, Kabinettsprotokolle), BKA, atti Stasi, fondazioni — serie per serie, con stato di apertura e di spoglio. La gemella tedesca delle tavole britannica e francese.</w:t>
      </w:r>
    </w:p>
    <w:p>
      <w:pPr>
        <w:spacing w:after="120" w:line="276"/>
        <w:jc w:val="both"/>
      </w:pPr>
      <w:r>
        <w:rPr>
          <w:rFonts w:ascii="Barlow Semi Condensed" w:cs="Barlow Semi Condensed" w:eastAsia="Barlow Semi Condensed" w:hAnsi="Barlow Semi Condensed"/>
          <w:b/>
          <w:bCs/>
          <w:sz w:val="24"/>
          <w:szCs w:val="24"/>
        </w:rPr>
        <w:t xml:space="preserve">118 · Il calendario tedesco.</w:t>
      </w:r>
      <w:r>
        <w:rPr>
          <w:rFonts w:ascii="Barlow Semi Condensed" w:cs="Barlow Semi Condensed" w:eastAsia="Barlow Semi Condensed" w:hAnsi="Barlow Semi Condensed"/>
          <w:sz w:val="24"/>
          <w:szCs w:val="24"/>
        </w:rPr>
        <w:t xml:space="preserve"> Le scadenze: i vincoli trentennali che maturano, il contenzioso sul Krisenstab, le serie in versamento. La colonna tedesca del motore delle scadenze.</w:t>
      </w:r>
    </w:p>
    <w:p>
      <w:pPr>
        <w:spacing w:after="120" w:line="276"/>
        <w:jc w:val="both"/>
      </w:pPr>
      <w:r>
        <w:rPr>
          <w:rFonts w:ascii="Barlow Semi Condensed" w:cs="Barlow Semi Condensed" w:eastAsia="Barlow Semi Condensed" w:hAnsi="Barlow Semi Condensed"/>
          <w:b/>
          <w:bCs/>
          <w:sz w:val="24"/>
          <w:szCs w:val="24"/>
        </w:rPr>
        <w:t xml:space="preserve">119 · La sintesi trilaterale.</w:t>
      </w:r>
      <w:r>
        <w:rPr>
          <w:rFonts w:ascii="Barlow Semi Condensed" w:cs="Barlow Semi Condensed" w:eastAsia="Barlow Semi Condensed" w:hAnsi="Barlow Semi Condensed"/>
          <w:sz w:val="24"/>
          <w:szCs w:val="24"/>
        </w:rPr>
        <w:t xml:space="preserve"> Il prodotto finale della parte: la collazione Londra-Parigi-Bonn (con Washington dal cantiere americano dell'agenda) sulle giornate chiave e sui quesiti comuni — la tavola delle convergenze, delle divergenze e dei silenzi di ciascuna capitale. L'Europa degli alleati, messa in colonna.</w:t>
      </w:r>
    </w:p>
    <w:p>
      <w:pPr>
        <w:spacing w:after="120" w:line="276"/>
        <w:jc w:val="both"/>
      </w:pPr>
      <w:r>
        <w:rPr>
          <w:rFonts w:ascii="Barlow Semi Condensed" w:cs="Barlow Semi Condensed" w:eastAsia="Barlow Semi Condensed" w:hAnsi="Barlow Semi Condensed"/>
          <w:b/>
          <w:bCs/>
          <w:sz w:val="24"/>
          <w:szCs w:val="24"/>
        </w:rPr>
        <w:t xml:space="preserve">120 · La tavola tedesca.</w:t>
      </w:r>
      <w:r>
        <w:rPr>
          <w:rFonts w:ascii="Barlow Semi Condensed" w:cs="Barlow Semi Condensed" w:eastAsia="Barlow Semi Condensed" w:hAnsi="Barlow Semi Condensed"/>
          <w:sz w:val="24"/>
          <w:szCs w:val="24"/>
        </w:rPr>
        <w:t xml:space="preserve"> La chiusura del terzo cantiere: gli stati di ogni bersaglio, le pendenze, i vuoti. Tre cantieri, tre tavole, un metodo — e la parte si chiude come vivrà: contando.</w:t>
      </w:r>
    </w:p>
    <w:p>
      <w:pPr>
        <w:pStyle w:val="Heading2"/>
        <w:spacing w:after="100" w:before="200"/>
      </w:pPr>
      <w:r>
        <w:rPr>
          <w:rFonts w:ascii="Barlow Semi Condensed" w:cs="Barlow Semi Condensed" w:eastAsia="Barlow Semi Condensed" w:hAnsi="Barlow Semi Condensed"/>
          <w:sz w:val="24"/>
          <w:szCs w:val="24"/>
        </w:rPr>
        <w:t xml:space="preserve">Parte seconda — Il Vaticano e la Chiesa (blocchi 121-220)</w:t>
      </w:r>
    </w:p>
    <w:p>
      <w:pPr>
        <w:spacing w:after="120" w:line="276"/>
        <w:jc w:val="both"/>
      </w:pPr>
      <w:r>
        <w:rPr>
          <w:rFonts w:ascii="Barlow Semi Condensed" w:cs="Barlow Semi Condensed" w:eastAsia="Barlow Semi Condensed" w:hAnsi="Barlow Semi Condensed"/>
          <w:i/>
          <w:iCs/>
          <w:sz w:val="24"/>
          <w:szCs w:val="24"/>
        </w:rPr>
        <w:t xml:space="preserve">Statuto della parte: l'archivio chiuso e le cento porte laterali. Il fatto verificato che governa l'intero cantiere: l'Archivio Apostolico Vaticano non è aperto per il pontificato di Paolo VI — il limite di consultazione resta la fine del pontificato di Pio XII (aperto il 2 marzo 2020, per annuncio di papa Francesco del 4 marzo 2019), e lo stesso criterio «per pontificati» vale per l'Archivio storico della Sezione per i Rapporti con gli Stati. Le carte vaticane del 1978 non sono consultabili: il cantiere quindi non aspetta — lavora le vie indirette (gli istituti, le diocesi, gli ordini, la stampa della Santa Sede, i registri civili dei colloqui), prepara i quesiti per il giorno dell'apertura, e tiene il perimetro del quesito 11 dell'agenda: l'incarico a Curioni e la disponibilità del fondo sono accertati dagli atti parlamentari — il resto si cerca, non si narra.</w:t>
      </w:r>
    </w:p>
    <w:p>
      <w:pPr>
        <w:pStyle w:val="Heading3"/>
        <w:spacing w:after="80" w:before="160"/>
      </w:pPr>
      <w:r>
        <w:rPr>
          <w:rFonts w:ascii="Barlow Semi Condensed" w:cs="Barlow Semi Condensed" w:eastAsia="Barlow Semi Condensed" w:hAnsi="Barlow Semi Condensed"/>
          <w:sz w:val="24"/>
          <w:szCs w:val="24"/>
        </w:rPr>
        <w:t xml:space="preserve">L'archivio chiuso e il suo calendario (blocchi 121-135)</w:t>
      </w:r>
    </w:p>
    <w:p>
      <w:pPr>
        <w:spacing w:after="120" w:line="276"/>
        <w:jc w:val="both"/>
      </w:pPr>
      <w:r>
        <w:rPr>
          <w:rFonts w:ascii="Barlow Semi Condensed" w:cs="Barlow Semi Condensed" w:eastAsia="Barlow Semi Condensed" w:hAnsi="Barlow Semi Condensed"/>
          <w:b/>
          <w:bCs/>
          <w:sz w:val="24"/>
          <w:szCs w:val="24"/>
        </w:rPr>
        <w:t xml:space="preserve">121 · Il fatto che governa.</w:t>
      </w:r>
      <w:r>
        <w:rPr>
          <w:rFonts w:ascii="Barlow Semi Condensed" w:cs="Barlow Semi Condensed" w:eastAsia="Barlow Semi Condensed" w:hAnsi="Barlow Semi Condensed"/>
          <w:sz w:val="24"/>
          <w:szCs w:val="24"/>
        </w:rPr>
        <w:t xml:space="preserve"> Il punto di partenza è una chiusura verificata: nessuna carta d'archivio vaticana del 1978 è consultabile, perché l'apertura procede per pontificati e l'ultimo aperto è Pio XII (1939-1958). Ogni versione che citi «carte vaticane» del caso va quindi interrogata sulla sua fonte reale: se l'archivio è chiuso, da dove viene la carta?</w:t>
      </w:r>
    </w:p>
    <w:p>
      <w:pPr>
        <w:spacing w:after="120" w:line="276"/>
        <w:jc w:val="both"/>
      </w:pPr>
      <w:r>
        <w:rPr>
          <w:rFonts w:ascii="Barlow Semi Condensed" w:cs="Barlow Semi Condensed" w:eastAsia="Barlow Semi Condensed" w:hAnsi="Barlow Semi Condensed"/>
          <w:b/>
          <w:bCs/>
          <w:sz w:val="24"/>
          <w:szCs w:val="24"/>
        </w:rPr>
        <w:t xml:space="preserve">122 · La prassi del 1924.</w:t>
      </w:r>
      <w:r>
        <w:rPr>
          <w:rFonts w:ascii="Barlow Semi Condensed" w:cs="Barlow Semi Condensed" w:eastAsia="Barlow Semi Condensed" w:hAnsi="Barlow Semi Condensed"/>
          <w:sz w:val="24"/>
          <w:szCs w:val="24"/>
        </w:rPr>
        <w:t xml:space="preserve"> La regola d'apertura per pontificati, istituita nel 1924 e attivata per decisione del Papa regnante: la storia delle aperture (Pio XI nel 2006, Pio XII nel 2020) come base di previsione dei tempi per Giovanni XXIII e Paolo VI. Il calendario non esiste: la serie storica sì, e si studia.</w:t>
      </w:r>
    </w:p>
    <w:p>
      <w:pPr>
        <w:spacing w:after="120" w:line="276"/>
        <w:jc w:val="both"/>
      </w:pPr>
      <w:r>
        <w:rPr>
          <w:rFonts w:ascii="Barlow Semi Condensed" w:cs="Barlow Semi Condensed" w:eastAsia="Barlow Semi Condensed" w:hAnsi="Barlow Semi Condensed"/>
          <w:b/>
          <w:bCs/>
          <w:sz w:val="24"/>
          <w:szCs w:val="24"/>
        </w:rPr>
        <w:t xml:space="preserve">123 · I due archivi gemelli.</w:t>
      </w:r>
      <w:r>
        <w:rPr>
          <w:rFonts w:ascii="Barlow Semi Condensed" w:cs="Barlow Semi Condensed" w:eastAsia="Barlow Semi Condensed" w:hAnsi="Barlow Semi Condensed"/>
          <w:sz w:val="24"/>
          <w:szCs w:val="24"/>
        </w:rPr>
        <w:t xml:space="preserve"> La mappa istituzionale: l'Archivio Apostolico e l'Archivio storico della Sezione per i Rapporti con gli Stati (l'erede degli «esteri» vaticani) seguono lo stesso limite cronologico. Per il 1978 sono chiusi entrambi — e la distinzione va tenuta, perché all'apertura le carte dei 55 giorni si divideranno fra i due secondo la natura degli atti.</w:t>
      </w:r>
    </w:p>
    <w:p>
      <w:pPr>
        <w:spacing w:after="120" w:line="276"/>
        <w:jc w:val="both"/>
      </w:pPr>
      <w:r>
        <w:rPr>
          <w:rFonts w:ascii="Barlow Semi Condensed" w:cs="Barlow Semi Condensed" w:eastAsia="Barlow Semi Condensed" w:hAnsi="Barlow Semi Condensed"/>
          <w:b/>
          <w:bCs/>
          <w:sz w:val="24"/>
          <w:szCs w:val="24"/>
        </w:rPr>
        <w:t xml:space="preserve">124 · Che cosa conterranno.</w:t>
      </w:r>
      <w:r>
        <w:rPr>
          <w:rFonts w:ascii="Barlow Semi Condensed" w:cs="Barlow Semi Condensed" w:eastAsia="Barlow Semi Condensed" w:hAnsi="Barlow Semi Condensed"/>
          <w:sz w:val="24"/>
          <w:szCs w:val="24"/>
        </w:rPr>
        <w:t xml:space="preserve"> L'esercizio preparatorio sulle serie attese: per un caso del 1978, le carte della Segreteria di Stato (i due «sezioni»), le udienze, i carteggi del Papa, le nunziature. La tavola delle serie attese si costruisce ora, dalla struttura nota della Curia del 1978 — per chiedere bene il primo giorno utile.</w:t>
      </w:r>
    </w:p>
    <w:p>
      <w:pPr>
        <w:spacing w:after="120" w:line="276"/>
        <w:jc w:val="both"/>
      </w:pPr>
      <w:r>
        <w:rPr>
          <w:rFonts w:ascii="Barlow Semi Condensed" w:cs="Barlow Semi Condensed" w:eastAsia="Barlow Semi Condensed" w:hAnsi="Barlow Semi Condensed"/>
          <w:b/>
          <w:bCs/>
          <w:sz w:val="24"/>
          <w:szCs w:val="24"/>
        </w:rPr>
        <w:t xml:space="preserve">125 · La lezione del 2020.</w:t>
      </w:r>
      <w:r>
        <w:rPr>
          <w:rFonts w:ascii="Barlow Semi Condensed" w:cs="Barlow Semi Condensed" w:eastAsia="Barlow Semi Condensed" w:hAnsi="Barlow Semi Condensed"/>
          <w:sz w:val="24"/>
          <w:szCs w:val="24"/>
        </w:rPr>
        <w:t xml:space="preserve"> Come lavorarono gli studiosi all'apertura di Pio XII: la corsa del marzo 2020, gli inventari, i primi risultati. La lezione operativa per il giorno di Paolo VI: chi arriva con i quesiti scritti e le serie mappate raccoglie in mesi ciò che gli altri cercano per anni.</w:t>
      </w:r>
    </w:p>
    <w:p>
      <w:pPr>
        <w:spacing w:after="120" w:line="276"/>
        <w:jc w:val="both"/>
      </w:pPr>
      <w:r>
        <w:rPr>
          <w:rFonts w:ascii="Barlow Semi Condensed" w:cs="Barlow Semi Condensed" w:eastAsia="Barlow Semi Condensed" w:hAnsi="Barlow Semi Condensed"/>
          <w:b/>
          <w:bCs/>
          <w:sz w:val="24"/>
          <w:szCs w:val="24"/>
        </w:rPr>
        <w:t xml:space="preserve">126 · I quesiti pronti.</w:t>
      </w:r>
      <w:r>
        <w:rPr>
          <w:rFonts w:ascii="Barlow Semi Condensed" w:cs="Barlow Semi Condensed" w:eastAsia="Barlow Semi Condensed" w:hAnsi="Barlow Semi Condensed"/>
          <w:sz w:val="24"/>
          <w:szCs w:val="24"/>
        </w:rPr>
        <w:t xml:space="preserve"> Il fascicolo dei quesiti da depositare il giorno dell'apertura: per ciascuna cella vaticana delle matrici ACH del corpus, la domanda esatta e la serie attesa dove la risposta dovrebbe giacere. Il cantiere scrive oggi le domande di domani — è il suo atto più produttivo sull'archivio chiuso.</w:t>
      </w:r>
    </w:p>
    <w:p>
      <w:pPr>
        <w:spacing w:after="120" w:line="276"/>
        <w:jc w:val="both"/>
      </w:pPr>
      <w:r>
        <w:rPr>
          <w:rFonts w:ascii="Barlow Semi Condensed" w:cs="Barlow Semi Condensed" w:eastAsia="Barlow Semi Condensed" w:hAnsi="Barlow Semi Condensed"/>
          <w:b/>
          <w:bCs/>
          <w:sz w:val="24"/>
          <w:szCs w:val="24"/>
        </w:rPr>
        <w:t xml:space="preserve">127 · Le deroghe impossibili e quelle possibili.</w:t>
      </w:r>
      <w:r>
        <w:rPr>
          <w:rFonts w:ascii="Barlow Semi Condensed" w:cs="Barlow Semi Condensed" w:eastAsia="Barlow Semi Condensed" w:hAnsi="Barlow Semi Condensed"/>
          <w:sz w:val="24"/>
          <w:szCs w:val="24"/>
        </w:rPr>
        <w:t xml:space="preserve"> L'accertamento formale: esistono precedenti di accesso anticipato a carte vaticane post-1958 per singoli studiosi o cause? La risposta documentata — quale che sia — perimetra il cantiere: se una via di deroga esiste, si chiede; se non esiste, si smette di evocarla.</w:t>
      </w:r>
    </w:p>
    <w:p>
      <w:pPr>
        <w:spacing w:after="120" w:line="276"/>
        <w:jc w:val="both"/>
      </w:pPr>
      <w:r>
        <w:rPr>
          <w:rFonts w:ascii="Barlow Semi Condensed" w:cs="Barlow Semi Condensed" w:eastAsia="Barlow Semi Condensed" w:hAnsi="Barlow Semi Condensed"/>
          <w:b/>
          <w:bCs/>
          <w:sz w:val="24"/>
          <w:szCs w:val="24"/>
        </w:rPr>
        <w:t xml:space="preserve">128 · Le cause dei santi come varco.</w:t>
      </w:r>
      <w:r>
        <w:rPr>
          <w:rFonts w:ascii="Barlow Semi Condensed" w:cs="Barlow Semi Condensed" w:eastAsia="Barlow Semi Condensed" w:hAnsi="Barlow Semi Condensed"/>
          <w:sz w:val="24"/>
          <w:szCs w:val="24"/>
        </w:rPr>
        <w:t xml:space="preserve"> Le posizioni delle cause di beatificazione (Paolo VI beatificato nel 2014, canonizzato nel 2018; la causa di Moro aperta) producono raccolte documentali proprie, con regole proprie: l'accertamento di che cosa le positio contengano e di che cosa sia consultabile. Un varco laterale documentato, non un aggiramento.</w:t>
      </w:r>
    </w:p>
    <w:p>
      <w:pPr>
        <w:spacing w:after="120" w:line="276"/>
        <w:jc w:val="both"/>
      </w:pPr>
      <w:r>
        <w:rPr>
          <w:rFonts w:ascii="Barlow Semi Condensed" w:cs="Barlow Semi Condensed" w:eastAsia="Barlow Semi Condensed" w:hAnsi="Barlow Semi Condensed"/>
          <w:b/>
          <w:bCs/>
          <w:sz w:val="24"/>
          <w:szCs w:val="24"/>
        </w:rPr>
        <w:t xml:space="preserve">129 · La positio di Montini.</w:t>
      </w:r>
      <w:r>
        <w:rPr>
          <w:rFonts w:ascii="Barlow Semi Condensed" w:cs="Barlow Semi Condensed" w:eastAsia="Barlow Semi Condensed" w:hAnsi="Barlow Semi Condensed"/>
          <w:sz w:val="24"/>
          <w:szCs w:val="24"/>
        </w:rPr>
        <w:t xml:space="preserve"> La documentazione raccolta per la causa di Paolo VI: i testimoni ascoltati, i documenti prodotti, la parte pubblicata. Per i 55 giorni — l'ultimo grande dolore del pontificato — la causa ha necessariamente raccolto materia: quanta ne sia leggibile è un accertamento da fare.</w:t>
      </w:r>
    </w:p>
    <w:p>
      <w:pPr>
        <w:spacing w:after="120" w:line="276"/>
        <w:jc w:val="both"/>
      </w:pPr>
      <w:r>
        <w:rPr>
          <w:rFonts w:ascii="Barlow Semi Condensed" w:cs="Barlow Semi Condensed" w:eastAsia="Barlow Semi Condensed" w:hAnsi="Barlow Semi Condensed"/>
          <w:b/>
          <w:bCs/>
          <w:sz w:val="24"/>
          <w:szCs w:val="24"/>
        </w:rPr>
        <w:t xml:space="preserve">130 · La causa di Moro.</w:t>
      </w:r>
      <w:r>
        <w:rPr>
          <w:rFonts w:ascii="Barlow Semi Condensed" w:cs="Barlow Semi Condensed" w:eastAsia="Barlow Semi Condensed" w:hAnsi="Barlow Semi Condensed"/>
          <w:sz w:val="24"/>
          <w:szCs w:val="24"/>
        </w:rPr>
        <w:t xml:space="preserve"> La causa di beatificazione di Aldo Moro (aperta in diocesi di Roma): lo stato del procedimento, la documentazione raccolta, le testimonianze. Una raccolta documentale ecclesiastica sul caso, formata con regole canoniche: il suo perimetro pubblico è un giacimento censibile oggi.</w:t>
      </w:r>
    </w:p>
    <w:p>
      <w:pPr>
        <w:spacing w:after="120" w:line="276"/>
        <w:jc w:val="both"/>
      </w:pPr>
      <w:r>
        <w:rPr>
          <w:rFonts w:ascii="Barlow Semi Condensed" w:cs="Barlow Semi Condensed" w:eastAsia="Barlow Semi Condensed" w:hAnsi="Barlow Semi Condensed"/>
          <w:b/>
          <w:bCs/>
          <w:sz w:val="24"/>
          <w:szCs w:val="24"/>
        </w:rPr>
        <w:t xml:space="preserve">131 · L'Osservatore e la Civiltà.</w:t>
      </w:r>
      <w:r>
        <w:rPr>
          <w:rFonts w:ascii="Barlow Semi Condensed" w:cs="Barlow Semi Condensed" w:eastAsia="Barlow Semi Condensed" w:hAnsi="Barlow Semi Condensed"/>
          <w:sz w:val="24"/>
          <w:szCs w:val="24"/>
        </w:rPr>
        <w:t xml:space="preserve"> La stampa della Santa Sede è aperta da sempre: L'Osservatore Romano dei 55 giorni, giorno per giorno, e La Civiltà Cattolica del 1978 — la voce pubblica ufficiale e ufficiosa. Lo spoglio integrale datato: che cosa la Santa Sede disse pubblicamente, quando, con quali silenzi fra le righe.</w:t>
      </w:r>
    </w:p>
    <w:p>
      <w:pPr>
        <w:spacing w:after="120" w:line="276"/>
        <w:jc w:val="both"/>
      </w:pPr>
      <w:r>
        <w:rPr>
          <w:rFonts w:ascii="Barlow Semi Condensed" w:cs="Barlow Semi Condensed" w:eastAsia="Barlow Semi Condensed" w:hAnsi="Barlow Semi Condensed"/>
          <w:b/>
          <w:bCs/>
          <w:sz w:val="24"/>
          <w:szCs w:val="24"/>
        </w:rPr>
        <w:t xml:space="preserve">132 · La Radio del Papa.</w:t>
      </w:r>
      <w:r>
        <w:rPr>
          <w:rFonts w:ascii="Barlow Semi Condensed" w:cs="Barlow Semi Condensed" w:eastAsia="Barlow Semi Condensed" w:hAnsi="Barlow Semi Condensed"/>
          <w:sz w:val="24"/>
          <w:szCs w:val="24"/>
        </w:rPr>
        <w:t xml:space="preserve"> Gli archivi della Radio Vaticana per i 55 giorni: notiziari, appelli, la copertura del caso nella voce radiofonica della Santa Sede. Un archivio audio ecclesiastico datato — da censire con le regole del cantiere audiovisivo (Parte sesta).</w:t>
      </w:r>
    </w:p>
    <w:p>
      <w:pPr>
        <w:spacing w:after="120" w:line="276"/>
        <w:jc w:val="both"/>
      </w:pPr>
      <w:r>
        <w:rPr>
          <w:rFonts w:ascii="Barlow Semi Condensed" w:cs="Barlow Semi Condensed" w:eastAsia="Barlow Semi Condensed" w:hAnsi="Barlow Semi Condensed"/>
          <w:b/>
          <w:bCs/>
          <w:sz w:val="24"/>
          <w:szCs w:val="24"/>
        </w:rPr>
        <w:t xml:space="preserve">133 · Gli annunci e gli atti pubblici.</w:t>
      </w:r>
      <w:r>
        <w:rPr>
          <w:rFonts w:ascii="Barlow Semi Condensed" w:cs="Barlow Semi Condensed" w:eastAsia="Barlow Semi Condensed" w:hAnsi="Barlow Semi Condensed"/>
          <w:sz w:val="24"/>
          <w:szCs w:val="24"/>
        </w:rPr>
        <w:t xml:space="preserve"> Gli Acta Apostolicae Sedis e i bollettini del 1978: gli atti pubblici del pontificato nei 55 giorni — nomine, udienze, discorsi. La cronologia pubblica vaticana si ricostruisce integralmente da fonti aperte: è lo scheletro su cui le carte chiuse, un giorno, metteranno i tessuti.</w:t>
      </w:r>
    </w:p>
    <w:p>
      <w:pPr>
        <w:spacing w:after="120" w:line="276"/>
        <w:jc w:val="both"/>
      </w:pPr>
      <w:r>
        <w:rPr>
          <w:rFonts w:ascii="Barlow Semi Condensed" w:cs="Barlow Semi Condensed" w:eastAsia="Barlow Semi Condensed" w:hAnsi="Barlow Semi Condensed"/>
          <w:b/>
          <w:bCs/>
          <w:sz w:val="24"/>
          <w:szCs w:val="24"/>
        </w:rPr>
        <w:t xml:space="preserve">134 · Le agende pubbliche.</w:t>
      </w:r>
      <w:r>
        <w:rPr>
          <w:rFonts w:ascii="Barlow Semi Condensed" w:cs="Barlow Semi Condensed" w:eastAsia="Barlow Semi Condensed" w:hAnsi="Barlow Semi Condensed"/>
          <w:sz w:val="24"/>
          <w:szCs w:val="24"/>
        </w:rPr>
        <w:t xml:space="preserve"> La ricostruzione della giornata del Papa nei 55 giorni dalle fonti aperte: udienze annunciate, presenze, spostamenti. La cronologia montiniana del marzo-maggio 1978 come tavola — per incrociare, quando l'archivio aprirà, l'agenda pubblica con quella privata.</w:t>
      </w:r>
    </w:p>
    <w:p>
      <w:pPr>
        <w:spacing w:after="120" w:line="276"/>
        <w:jc w:val="both"/>
      </w:pPr>
      <w:r>
        <w:rPr>
          <w:rFonts w:ascii="Barlow Semi Condensed" w:cs="Barlow Semi Condensed" w:eastAsia="Barlow Semi Condensed" w:hAnsi="Barlow Semi Condensed"/>
          <w:b/>
          <w:bCs/>
          <w:sz w:val="24"/>
          <w:szCs w:val="24"/>
        </w:rPr>
        <w:t xml:space="preserve">135 · La tavola del chiuso.</w:t>
      </w:r>
      <w:r>
        <w:rPr>
          <w:rFonts w:ascii="Barlow Semi Condensed" w:cs="Barlow Semi Condensed" w:eastAsia="Barlow Semi Condensed" w:hAnsi="Barlow Semi Condensed"/>
          <w:sz w:val="24"/>
          <w:szCs w:val="24"/>
        </w:rPr>
        <w:t xml:space="preserve"> La chiusura della sezione: la tavola di ciò che è chiuso (i due archivi, con la loro regola), di ciò che è aperto (la stampa, gli atti, le cause nei loro limiti), e dei quesiti depositati in attesa. Il cantiere dell'archivio chiuso si misura da questa tavola: nulla da aspettare passivamente, tutto da preparare.</w:t>
      </w:r>
    </w:p>
    <w:p>
      <w:pPr>
        <w:pStyle w:val="Heading3"/>
        <w:spacing w:after="80" w:before="160"/>
      </w:pPr>
      <w:r>
        <w:rPr>
          <w:rFonts w:ascii="Barlow Semi Condensed" w:cs="Barlow Semi Condensed" w:eastAsia="Barlow Semi Condensed" w:hAnsi="Barlow Semi Condensed"/>
          <w:sz w:val="24"/>
          <w:szCs w:val="24"/>
        </w:rPr>
        <w:t xml:space="preserve">Le vie della Chiesa italiana (blocchi 136-160)</w:t>
      </w:r>
    </w:p>
    <w:p>
      <w:pPr>
        <w:spacing w:after="120" w:line="276"/>
        <w:jc w:val="both"/>
      </w:pPr>
      <w:r>
        <w:rPr>
          <w:rFonts w:ascii="Barlow Semi Condensed" w:cs="Barlow Semi Condensed" w:eastAsia="Barlow Semi Condensed" w:hAnsi="Barlow Semi Condensed"/>
          <w:b/>
          <w:bCs/>
          <w:sz w:val="24"/>
          <w:szCs w:val="24"/>
        </w:rPr>
        <w:t xml:space="preserve">136 · L'Istituto di Concesio.</w:t>
      </w:r>
      <w:r>
        <w:rPr>
          <w:rFonts w:ascii="Barlow Semi Condensed" w:cs="Barlow Semi Condensed" w:eastAsia="Barlow Semi Condensed" w:hAnsi="Barlow Semi Condensed"/>
          <w:sz w:val="24"/>
          <w:szCs w:val="24"/>
        </w:rPr>
        <w:t xml:space="preserve"> L'Istituto Paolo VI (a Concesio dal 2009): il centro di studi e documentazione montiniano, con archivio di manoscritti, carteggi e materiali fotografici e audiovisivi. Il fatto verificato che perimetra il bersaglio: le carte ufficiali del pontificato restano in Vaticano — a Concesio si cerca l'uomo, il metodo, i corrispondenti, non il fascicolo dei 55 giorni.</w:t>
      </w:r>
    </w:p>
    <w:p>
      <w:pPr>
        <w:spacing w:after="120" w:line="276"/>
        <w:jc w:val="both"/>
      </w:pPr>
      <w:r>
        <w:rPr>
          <w:rFonts w:ascii="Barlow Semi Condensed" w:cs="Barlow Semi Condensed" w:eastAsia="Barlow Semi Condensed" w:hAnsi="Barlow Semi Condensed"/>
          <w:b/>
          <w:bCs/>
          <w:sz w:val="24"/>
          <w:szCs w:val="24"/>
        </w:rPr>
        <w:t xml:space="preserve">137 · I carteggi montiniani editi.</w:t>
      </w:r>
      <w:r>
        <w:rPr>
          <w:rFonts w:ascii="Barlow Semi Condensed" w:cs="Barlow Semi Condensed" w:eastAsia="Barlow Semi Condensed" w:hAnsi="Barlow Semi Condensed"/>
          <w:sz w:val="24"/>
          <w:szCs w:val="24"/>
        </w:rPr>
        <w:t xml:space="preserve"> Il censimento delle edizioni dei carteggi di Montini e dei Quaderni dell'Istituto: che cosa è già pubblicato che tocchi il 1978, i collaboratori, il contesto. La via editoriale all'uomo del pontificato: aperta, citabile, datata.</w:t>
      </w:r>
    </w:p>
    <w:p>
      <w:pPr>
        <w:spacing w:after="120" w:line="276"/>
        <w:jc w:val="both"/>
      </w:pPr>
      <w:r>
        <w:rPr>
          <w:rFonts w:ascii="Barlow Semi Condensed" w:cs="Barlow Semi Condensed" w:eastAsia="Barlow Semi Condensed" w:hAnsi="Barlow Semi Condensed"/>
          <w:b/>
          <w:bCs/>
          <w:sz w:val="24"/>
          <w:szCs w:val="24"/>
        </w:rPr>
        <w:t xml:space="preserve">138 · Gli inediti dichiarati.</w:t>
      </w:r>
      <w:r>
        <w:rPr>
          <w:rFonts w:ascii="Barlow Semi Condensed" w:cs="Barlow Semi Condensed" w:eastAsia="Barlow Semi Condensed" w:hAnsi="Barlow Semi Condensed"/>
          <w:sz w:val="24"/>
          <w:szCs w:val="24"/>
        </w:rPr>
        <w:t xml:space="preserve"> Le pubblicazioni recenti che rivendicano inediti montiniani sui 55 giorni: per ciascuna, l'accertamento della provenienza archivistica dichiarata — quale archivio, quale fondo, quale regola d'accesso. Un inedito senza provenienza verificabile entra come C; con provenienza, la provenienza stessa diventa un varco censito.</w:t>
      </w:r>
    </w:p>
    <w:p>
      <w:pPr>
        <w:spacing w:after="120" w:line="276"/>
        <w:jc w:val="both"/>
      </w:pPr>
      <w:r>
        <w:rPr>
          <w:rFonts w:ascii="Barlow Semi Condensed" w:cs="Barlow Semi Condensed" w:eastAsia="Barlow Semi Condensed" w:hAnsi="Barlow Semi Condensed"/>
          <w:b/>
          <w:bCs/>
          <w:sz w:val="24"/>
          <w:szCs w:val="24"/>
        </w:rPr>
        <w:t xml:space="preserve">139 · La diocesi di Milano.</w:t>
      </w:r>
      <w:r>
        <w:rPr>
          <w:rFonts w:ascii="Barlow Semi Condensed" w:cs="Barlow Semi Condensed" w:eastAsia="Barlow Semi Condensed" w:hAnsi="Barlow Semi Condensed"/>
          <w:sz w:val="24"/>
          <w:szCs w:val="24"/>
        </w:rPr>
        <w:t xml:space="preserve"> Gli archivi diocesani milanesi per gli anni di Curioni (il cappellano veniva dal sistema lombardo) e per la rete montiniana: fascicoli personali del clero, corrispondenze, nomine. La via diocesana è ordinaria e documentale: si chiede all'archivio storico diocesano, con le regole sue.</w:t>
      </w:r>
    </w:p>
    <w:p>
      <w:pPr>
        <w:spacing w:after="120" w:line="276"/>
        <w:jc w:val="both"/>
      </w:pPr>
      <w:r>
        <w:rPr>
          <w:rFonts w:ascii="Barlow Semi Condensed" w:cs="Barlow Semi Condensed" w:eastAsia="Barlow Semi Condensed" w:hAnsi="Barlow Semi Condensed"/>
          <w:b/>
          <w:bCs/>
          <w:sz w:val="24"/>
          <w:szCs w:val="24"/>
        </w:rPr>
        <w:t xml:space="preserve">140 · Il vicariato di Roma.</w:t>
      </w:r>
      <w:r>
        <w:rPr>
          <w:rFonts w:ascii="Barlow Semi Condensed" w:cs="Barlow Semi Condensed" w:eastAsia="Barlow Semi Condensed" w:hAnsi="Barlow Semi Condensed"/>
          <w:sz w:val="24"/>
          <w:szCs w:val="24"/>
        </w:rPr>
        <w:t xml:space="preserve"> Gli archivi del vicariato per il 1978: le parrocchie dei luoghi del caso, le nomine, gli atti del clero romano nei 55 giorni. La Chiesa di Roma visse il caso nelle sue strade: la sua carta amministrativa è un giacimento locale mai spogliato con questa griglia.</w:t>
      </w:r>
    </w:p>
    <w:p>
      <w:pPr>
        <w:spacing w:after="120" w:line="276"/>
        <w:jc w:val="both"/>
      </w:pPr>
      <w:r>
        <w:rPr>
          <w:rFonts w:ascii="Barlow Semi Condensed" w:cs="Barlow Semi Condensed" w:eastAsia="Barlow Semi Condensed" w:hAnsi="Barlow Semi Condensed"/>
          <w:b/>
          <w:bCs/>
          <w:sz w:val="24"/>
          <w:szCs w:val="24"/>
        </w:rPr>
        <w:t xml:space="preserve">141 · Le parrocchie dei luoghi.</w:t>
      </w:r>
      <w:r>
        <w:rPr>
          <w:rFonts w:ascii="Barlow Semi Condensed" w:cs="Barlow Semi Condensed" w:eastAsia="Barlow Semi Condensed" w:hAnsi="Barlow Semi Condensed"/>
          <w:sz w:val="24"/>
          <w:szCs w:val="24"/>
        </w:rPr>
        <w:t xml:space="preserve"> Gli archivi parrocchiali intorno a via Fani, via Gradoli, via Montalcini e via Caetani: cronache parrocchiali, registri, annotazioni dei parroci del 1978. La microfonte ecclesiastica: bassa probabilità, costo minimo, e il genere documentale — la cronaca parrocchiale — è datato e locale per costruzione.</w:t>
      </w:r>
    </w:p>
    <w:p>
      <w:pPr>
        <w:spacing w:after="120" w:line="276"/>
        <w:jc w:val="both"/>
      </w:pPr>
      <w:r>
        <w:rPr>
          <w:rFonts w:ascii="Barlow Semi Condensed" w:cs="Barlow Semi Condensed" w:eastAsia="Barlow Semi Condensed" w:hAnsi="Barlow Semi Condensed"/>
          <w:b/>
          <w:bCs/>
          <w:sz w:val="24"/>
          <w:szCs w:val="24"/>
        </w:rPr>
        <w:t xml:space="preserve">142 · La CEI e le sue carte.</w:t>
      </w:r>
      <w:r>
        <w:rPr>
          <w:rFonts w:ascii="Barlow Semi Condensed" w:cs="Barlow Semi Condensed" w:eastAsia="Barlow Semi Condensed" w:hAnsi="Barlow Semi Condensed"/>
          <w:sz w:val="24"/>
          <w:szCs w:val="24"/>
        </w:rPr>
        <w:t xml:space="preserve"> L'archivio storico della Conferenza episcopale italiana: l'accertamento della sua consultabilità e delle serie del 1978 — la presidenza, la segreteria, i comunicati dei 55 giorni. La voce collettiva dei vescovi italiani sul caso: che cosa disse, che cosa scrisse, che cosa conserva.</w:t>
      </w:r>
    </w:p>
    <w:p>
      <w:pPr>
        <w:spacing w:after="120" w:line="276"/>
        <w:jc w:val="both"/>
      </w:pPr>
      <w:r>
        <w:rPr>
          <w:rFonts w:ascii="Barlow Semi Condensed" w:cs="Barlow Semi Condensed" w:eastAsia="Barlow Semi Condensed" w:hAnsi="Barlow Semi Condensed"/>
          <w:b/>
          <w:bCs/>
          <w:sz w:val="24"/>
          <w:szCs w:val="24"/>
        </w:rPr>
        <w:t xml:space="preserve">143 · La nunziatura in Italia.</w:t>
      </w:r>
      <w:r>
        <w:rPr>
          <w:rFonts w:ascii="Barlow Semi Condensed" w:cs="Barlow Semi Condensed" w:eastAsia="Barlow Semi Condensed" w:hAnsi="Barlow Semi Condensed"/>
          <w:sz w:val="24"/>
          <w:szCs w:val="24"/>
        </w:rPr>
        <w:t xml:space="preserve"> Le carte della nunziatura apostolica in Italia: dove versate e con quali regole (il fondo segue l'archivio vaticano e la sua chiusura, ma l'accertamento va fatto). Il canale Stato-Chiesa istituzionale del 1978 passava di lì: sapere dove giace la sua carta è un bersaglio in sé.</w:t>
      </w:r>
    </w:p>
    <w:p>
      <w:pPr>
        <w:spacing w:after="120" w:line="276"/>
        <w:jc w:val="both"/>
      </w:pPr>
      <w:r>
        <w:rPr>
          <w:rFonts w:ascii="Barlow Semi Condensed" w:cs="Barlow Semi Condensed" w:eastAsia="Barlow Semi Condensed" w:hAnsi="Barlow Semi Condensed"/>
          <w:b/>
          <w:bCs/>
          <w:sz w:val="24"/>
          <w:szCs w:val="24"/>
        </w:rPr>
        <w:t xml:space="preserve">144 · Gli ordini religiosi.</w:t>
      </w:r>
      <w:r>
        <w:rPr>
          <w:rFonts w:ascii="Barlow Semi Condensed" w:cs="Barlow Semi Condensed" w:eastAsia="Barlow Semi Condensed" w:hAnsi="Barlow Semi Condensed"/>
          <w:sz w:val="24"/>
          <w:szCs w:val="24"/>
        </w:rPr>
        <w:t xml:space="preserve"> Gli archivi generalizi degli ordini toccati dal caso — per le case religiose dei luoghi, per i cappellani, per le figure coinvolte nella mediazione: censimento e regole d'accesso. Ogni ordine è un archivio autonomo con una propria autorità: la mappa prima delle richieste.</w:t>
      </w:r>
    </w:p>
    <w:p>
      <w:pPr>
        <w:spacing w:after="120" w:line="276"/>
        <w:jc w:val="both"/>
      </w:pPr>
      <w:r>
        <w:rPr>
          <w:rFonts w:ascii="Barlow Semi Condensed" w:cs="Barlow Semi Condensed" w:eastAsia="Barlow Semi Condensed" w:hAnsi="Barlow Semi Condensed"/>
          <w:b/>
          <w:bCs/>
          <w:sz w:val="24"/>
          <w:szCs w:val="24"/>
        </w:rPr>
        <w:t xml:space="preserve">145 · I gesuiti e la rivista.</w:t>
      </w:r>
      <w:r>
        <w:rPr>
          <w:rFonts w:ascii="Barlow Semi Condensed" w:cs="Barlow Semi Condensed" w:eastAsia="Barlow Semi Condensed" w:hAnsi="Barlow Semi Condensed"/>
          <w:sz w:val="24"/>
          <w:szCs w:val="24"/>
        </w:rPr>
        <w:t xml:space="preserve"> L'archivio della Civiltà Cattolica e della Provincia italiana dei gesuiti per il 1978: i retroscena redazionali della voce ufficiosa, le corrispondenze con la Segreteria di Stato dove documentate. Il giornale dei gesuiti scriveva col Vaticano alle spalle: la sua cucina redazionale è storia della comunicazione vaticana del caso.</w:t>
      </w:r>
    </w:p>
    <w:p>
      <w:pPr>
        <w:spacing w:after="120" w:line="276"/>
        <w:jc w:val="both"/>
      </w:pPr>
      <w:r>
        <w:rPr>
          <w:rFonts w:ascii="Barlow Semi Condensed" w:cs="Barlow Semi Condensed" w:eastAsia="Barlow Semi Condensed" w:hAnsi="Barlow Semi Condensed"/>
          <w:b/>
          <w:bCs/>
          <w:sz w:val="24"/>
          <w:szCs w:val="24"/>
        </w:rPr>
        <w:t xml:space="preserve">146 · Caritas e le opere.</w:t>
      </w:r>
      <w:r>
        <w:rPr>
          <w:rFonts w:ascii="Barlow Semi Condensed" w:cs="Barlow Semi Condensed" w:eastAsia="Barlow Semi Condensed" w:hAnsi="Barlow Semi Condensed"/>
          <w:sz w:val="24"/>
          <w:szCs w:val="24"/>
        </w:rPr>
        <w:t xml:space="preserve"> Gli archivi delle opere assistenziali ecclesiali romane del 1978 — per i registri di ciò che si mosse nei 55 giorni intorno alle famiglie coinvolte e alle iniziative di preghiera e solidarietà: microfonti di contesto, censite non per curiosità ma per la cronologia dei gesti pubblici della Chiesa.</w:t>
      </w:r>
    </w:p>
    <w:p>
      <w:pPr>
        <w:spacing w:after="120" w:line="276"/>
        <w:jc w:val="both"/>
      </w:pPr>
      <w:r>
        <w:rPr>
          <w:rFonts w:ascii="Barlow Semi Condensed" w:cs="Barlow Semi Condensed" w:eastAsia="Barlow Semi Condensed" w:hAnsi="Barlow Semi Condensed"/>
          <w:b/>
          <w:bCs/>
          <w:sz w:val="24"/>
          <w:szCs w:val="24"/>
        </w:rPr>
        <w:t xml:space="preserve">147 · I seminari e le facoltà.</w:t>
      </w:r>
      <w:r>
        <w:rPr>
          <w:rFonts w:ascii="Barlow Semi Condensed" w:cs="Barlow Semi Condensed" w:eastAsia="Barlow Semi Condensed" w:hAnsi="Barlow Semi Condensed"/>
          <w:sz w:val="24"/>
          <w:szCs w:val="24"/>
        </w:rPr>
        <w:t xml:space="preserve"> Gli archivi delle università pontificie e dei seminari romani per il 1978: cronache, annuari, atti accademici che registrino il caso. La Chiesa accademica romana come osservatore datato: un altro anello della cronologia ecclesiale pubblica.</w:t>
      </w:r>
    </w:p>
    <w:p>
      <w:pPr>
        <w:spacing w:after="120" w:line="276"/>
        <w:jc w:val="both"/>
      </w:pPr>
      <w:r>
        <w:rPr>
          <w:rFonts w:ascii="Barlow Semi Condensed" w:cs="Barlow Semi Condensed" w:eastAsia="Barlow Semi Condensed" w:hAnsi="Barlow Semi Condensed"/>
          <w:b/>
          <w:bCs/>
          <w:sz w:val="24"/>
          <w:szCs w:val="24"/>
        </w:rPr>
        <w:t xml:space="preserve">148 · Le carte dei cardinali.</w:t>
      </w:r>
      <w:r>
        <w:rPr>
          <w:rFonts w:ascii="Barlow Semi Condensed" w:cs="Barlow Semi Condensed" w:eastAsia="Barlow Semi Condensed" w:hAnsi="Barlow Semi Condensed"/>
          <w:sz w:val="24"/>
          <w:szCs w:val="24"/>
        </w:rPr>
        <w:t xml:space="preserve"> I fondi personali dei cardinali protagonisti del 1978 — il vicario Poletti, il segretario di Stato Villot, i collaboratori di curia: l'accertamento di dove giacciano le loro carte (diocesi, famiglie, istituti) e di che cosa sia consultabile. La regola dei fondi privati dell'agenda, applicata alla porpora.</w:t>
      </w:r>
    </w:p>
    <w:p>
      <w:pPr>
        <w:spacing w:after="120" w:line="276"/>
        <w:jc w:val="both"/>
      </w:pPr>
      <w:r>
        <w:rPr>
          <w:rFonts w:ascii="Barlow Semi Condensed" w:cs="Barlow Semi Condensed" w:eastAsia="Barlow Semi Condensed" w:hAnsi="Barlow Semi Condensed"/>
          <w:b/>
          <w:bCs/>
          <w:sz w:val="24"/>
          <w:szCs w:val="24"/>
        </w:rPr>
        <w:t xml:space="preserve">149 · Le memorie ecclesiastiche edite.</w:t>
      </w:r>
      <w:r>
        <w:rPr>
          <w:rFonts w:ascii="Barlow Semi Condensed" w:cs="Barlow Semi Condensed" w:eastAsia="Barlow Semi Condensed" w:hAnsi="Barlow Semi Condensed"/>
          <w:sz w:val="24"/>
          <w:szCs w:val="24"/>
        </w:rPr>
        <w:t xml:space="preserve"> Lo spoglio delle memorie e dei diari editi degli ecclesiastici del periodo — segretari, cerimonieri, collaboratori: le pagine dei 55 giorni, collazionate con le fonti pubbliche coeve. La memorialistica di curia si tratta come ogni memorialistica: voce datata, grado C, riscontro cercato.</w:t>
      </w:r>
    </w:p>
    <w:p>
      <w:pPr>
        <w:spacing w:after="120" w:line="276"/>
        <w:jc w:val="both"/>
      </w:pPr>
      <w:r>
        <w:rPr>
          <w:rFonts w:ascii="Barlow Semi Condensed" w:cs="Barlow Semi Condensed" w:eastAsia="Barlow Semi Condensed" w:hAnsi="Barlow Semi Condensed"/>
          <w:b/>
          <w:bCs/>
          <w:sz w:val="24"/>
          <w:szCs w:val="24"/>
        </w:rPr>
        <w:t xml:space="preserve">150 · Don Mennini.</w:t>
      </w:r>
      <w:r>
        <w:rPr>
          <w:rFonts w:ascii="Barlow Semi Condensed" w:cs="Barlow Semi Condensed" w:eastAsia="Barlow Semi Condensed" w:hAnsi="Barlow Semi Condensed"/>
          <w:sz w:val="24"/>
          <w:szCs w:val="24"/>
        </w:rPr>
        <w:t xml:space="preserve"> Le testimonianze pubbliche e gli atti che documentano il ruolo di don Antonello Mennini (il confessore che ricevette le lettere): le audizioni parlamentari, le dichiarazioni, i riscontri. Il canale delle lettere ha un tratto ecclesiastico documentato: il suo perimetro d'atti è un bersaglio del quesito 9.</w:t>
      </w:r>
    </w:p>
    <w:p>
      <w:pPr>
        <w:spacing w:after="120" w:line="276"/>
        <w:jc w:val="both"/>
      </w:pPr>
      <w:r>
        <w:rPr>
          <w:rFonts w:ascii="Barlow Semi Condensed" w:cs="Barlow Semi Condensed" w:eastAsia="Barlow Semi Condensed" w:hAnsi="Barlow Semi Condensed"/>
          <w:b/>
          <w:bCs/>
          <w:sz w:val="24"/>
          <w:szCs w:val="24"/>
        </w:rPr>
        <w:t xml:space="preserve">151 · I confessori e il segreto.</w:t>
      </w:r>
      <w:r>
        <w:rPr>
          <w:rFonts w:ascii="Barlow Semi Condensed" w:cs="Barlow Semi Condensed" w:eastAsia="Barlow Semi Condensed" w:hAnsi="Barlow Semi Condensed"/>
          <w:sz w:val="24"/>
          <w:szCs w:val="24"/>
        </w:rPr>
        <w:t xml:space="preserve"> La regola dichiarata del cantiere sui ministri del sacramento: ciò che è coperto dal sigillo non si chiede, mai; ciò che i protagonisti hanno già detto in sedi pubbliche (audizioni, interviste) si censisce e si collaziona. Il limite è parte del metodo — e si scrive prima, per non doverlo negoziare poi.</w:t>
      </w:r>
    </w:p>
    <w:p>
      <w:pPr>
        <w:spacing w:after="120" w:line="276"/>
        <w:jc w:val="both"/>
      </w:pPr>
      <w:r>
        <w:rPr>
          <w:rFonts w:ascii="Barlow Semi Condensed" w:cs="Barlow Semi Condensed" w:eastAsia="Barlow Semi Condensed" w:hAnsi="Barlow Semi Condensed"/>
          <w:b/>
          <w:bCs/>
          <w:sz w:val="24"/>
          <w:szCs w:val="24"/>
        </w:rPr>
        <w:t xml:space="preserve">152 · Le suore e i testimoni minori.</w:t>
      </w:r>
      <w:r>
        <w:rPr>
          <w:rFonts w:ascii="Barlow Semi Condensed" w:cs="Barlow Semi Condensed" w:eastAsia="Barlow Semi Condensed" w:hAnsi="Barlow Semi Condensed"/>
          <w:sz w:val="24"/>
          <w:szCs w:val="24"/>
        </w:rPr>
        <w:t xml:space="preserve"> Le testimonianze del personale religioso dei luoghi — le comunità religiose di via Camilluccia e dei quartieri del caso: raccolta conservativa dove i testimoni vivono, censimento delle testimonianze già rese altrove. La microstoria religiosa dei luoghi, con le regole della serie quinta dell'agenda.</w:t>
      </w:r>
    </w:p>
    <w:p>
      <w:pPr>
        <w:spacing w:after="120" w:line="276"/>
        <w:jc w:val="both"/>
      </w:pPr>
      <w:r>
        <w:rPr>
          <w:rFonts w:ascii="Barlow Semi Condensed" w:cs="Barlow Semi Condensed" w:eastAsia="Barlow Semi Condensed" w:hAnsi="Barlow Semi Condensed"/>
          <w:b/>
          <w:bCs/>
          <w:sz w:val="24"/>
          <w:szCs w:val="24"/>
        </w:rPr>
        <w:t xml:space="preserve">153 · Il clero delle carceri, in generale.</w:t>
      </w:r>
      <w:r>
        <w:rPr>
          <w:rFonts w:ascii="Barlow Semi Condensed" w:cs="Barlow Semi Condensed" w:eastAsia="Barlow Semi Condensed" w:hAnsi="Barlow Semi Condensed"/>
          <w:sz w:val="24"/>
          <w:szCs w:val="24"/>
        </w:rPr>
        <w:t xml:space="preserve"> La cappellania penitenziaria italiana del 1978 come istituzione: ordinamento, dipendenze, registri propri. Prima di cercare le carte di un cappellano, il cantiere ricostruisce come la cappellania funzionava e che carta produceva per regola: l'istituzione spiega dove cercare l'uomo.</w:t>
      </w:r>
    </w:p>
    <w:p>
      <w:pPr>
        <w:spacing w:after="120" w:line="276"/>
        <w:jc w:val="both"/>
      </w:pPr>
      <w:r>
        <w:rPr>
          <w:rFonts w:ascii="Barlow Semi Condensed" w:cs="Barlow Semi Condensed" w:eastAsia="Barlow Semi Condensed" w:hAnsi="Barlow Semi Condensed"/>
          <w:b/>
          <w:bCs/>
          <w:sz w:val="24"/>
          <w:szCs w:val="24"/>
        </w:rPr>
        <w:t xml:space="preserve">154 · L'ispettorato dei cappellani.</w:t>
      </w:r>
      <w:r>
        <w:rPr>
          <w:rFonts w:ascii="Barlow Semi Condensed" w:cs="Barlow Semi Condensed" w:eastAsia="Barlow Semi Condensed" w:hAnsi="Barlow Semi Condensed"/>
          <w:sz w:val="24"/>
          <w:szCs w:val="24"/>
        </w:rPr>
        <w:t xml:space="preserve"> L'ufficio dell'ispettore generale dei cappellani delle carceri — l'ufficio di Curioni: la sua collocazione amministrativa, i suoi archivi, il suo rapporto col Ministero (la cappellania era anche un ufficio dello Stato). Il bersaglio a doppia entrata: la carta ecclesiastica e quella ministeriale dello stesso ufficio.</w:t>
      </w:r>
    </w:p>
    <w:p>
      <w:pPr>
        <w:spacing w:after="120" w:line="276"/>
        <w:jc w:val="both"/>
      </w:pPr>
      <w:r>
        <w:rPr>
          <w:rFonts w:ascii="Barlow Semi Condensed" w:cs="Barlow Semi Condensed" w:eastAsia="Barlow Semi Condensed" w:hAnsi="Barlow Semi Condensed"/>
          <w:b/>
          <w:bCs/>
          <w:sz w:val="24"/>
          <w:szCs w:val="24"/>
        </w:rPr>
        <w:t xml:space="preserve">155 · San Vittore e le case dei colloqui.</w:t>
      </w:r>
      <w:r>
        <w:rPr>
          <w:rFonts w:ascii="Barlow Semi Condensed" w:cs="Barlow Semi Condensed" w:eastAsia="Barlow Semi Condensed" w:hAnsi="Barlow Semi Condensed"/>
          <w:sz w:val="24"/>
          <w:szCs w:val="24"/>
        </w:rPr>
        <w:t xml:space="preserve"> Gli archivi degli istituti penitenziari dei colloqui del 1978 (il raccordo col blocco 242 dell'agenda): registri d'ingresso, autorizzazioni, annotazioni delle direzioni. La via civile ai fatti del canale ecclesiastico: i registri dello Stato documentano i movimenti che le carte di Chiesa non mostrano.</w:t>
      </w:r>
    </w:p>
    <w:p>
      <w:pPr>
        <w:spacing w:after="120" w:line="276"/>
        <w:jc w:val="both"/>
      </w:pPr>
      <w:r>
        <w:rPr>
          <w:rFonts w:ascii="Barlow Semi Condensed" w:cs="Barlow Semi Condensed" w:eastAsia="Barlow Semi Condensed" w:hAnsi="Barlow Semi Condensed"/>
          <w:b/>
          <w:bCs/>
          <w:sz w:val="24"/>
          <w:szCs w:val="24"/>
        </w:rPr>
        <w:t xml:space="preserve">156 · Le lettere dei detenuti.</w:t>
      </w:r>
      <w:r>
        <w:rPr>
          <w:rFonts w:ascii="Barlow Semi Condensed" w:cs="Barlow Semi Condensed" w:eastAsia="Barlow Semi Condensed" w:hAnsi="Barlow Semi Condensed"/>
          <w:sz w:val="24"/>
          <w:szCs w:val="24"/>
        </w:rPr>
        <w:t xml:space="preserve"> La corrispondenza censurata dei detenuti BR del 1978 negli archivi penitenziari: che cosa la censura registrò nei 55 giorni, nei limiti di legge sulla riservatezza. Un giacimento seriale civile che tocca il cantiere ecclesiastico dove i canali passavano per le carceri.</w:t>
      </w:r>
    </w:p>
    <w:p>
      <w:pPr>
        <w:spacing w:after="120" w:line="276"/>
        <w:jc w:val="both"/>
      </w:pPr>
      <w:r>
        <w:rPr>
          <w:rFonts w:ascii="Barlow Semi Condensed" w:cs="Barlow Semi Condensed" w:eastAsia="Barlow Semi Condensed" w:hAnsi="Barlow Semi Condensed"/>
          <w:b/>
          <w:bCs/>
          <w:sz w:val="24"/>
          <w:szCs w:val="24"/>
        </w:rPr>
        <w:t xml:space="preserve">157 · Il capitolo Macchi.</w:t>
      </w:r>
      <w:r>
        <w:rPr>
          <w:rFonts w:ascii="Barlow Semi Condensed" w:cs="Barlow Semi Condensed" w:eastAsia="Barlow Semi Condensed" w:hAnsi="Barlow Semi Condensed"/>
          <w:sz w:val="24"/>
          <w:szCs w:val="24"/>
        </w:rPr>
        <w:t xml:space="preserve"> Le carte e le testimonianze su mons. Pasquale Macchi, il segretario particolare di Paolo VI: dove giacciono le sue carte, che cosa ha lasciato di scritto sui 55 giorni, che cosa le audizioni e la filologia delle lettere (il dettato documentato nella scheda PE-4 del corpus) già stabiliscono. Il segretario è la cerniera fra l'uomo e l'istituzione: la sua carta è un bersaglio primario.</w:t>
      </w:r>
    </w:p>
    <w:p>
      <w:pPr>
        <w:spacing w:after="120" w:line="276"/>
        <w:jc w:val="both"/>
      </w:pPr>
      <w:r>
        <w:rPr>
          <w:rFonts w:ascii="Barlow Semi Condensed" w:cs="Barlow Semi Condensed" w:eastAsia="Barlow Semi Condensed" w:hAnsi="Barlow Semi Condensed"/>
          <w:b/>
          <w:bCs/>
          <w:sz w:val="24"/>
          <w:szCs w:val="24"/>
        </w:rPr>
        <w:t xml:space="preserve">158 · La rete montiniana bresciana.</w:t>
      </w:r>
      <w:r>
        <w:rPr>
          <w:rFonts w:ascii="Barlow Semi Condensed" w:cs="Barlow Semi Condensed" w:eastAsia="Barlow Semi Condensed" w:hAnsi="Barlow Semi Condensed"/>
          <w:sz w:val="24"/>
          <w:szCs w:val="24"/>
        </w:rPr>
        <w:t xml:space="preserve"> Gli archivi bresciani della rete montiniana — famiglia, amici, corrispondenti storici del Papa: censimento dei fondi (in parte all'Istituto di Concesio) e delle serie del 1978. L'uomo Montini scriveva ai suoi: le lettere private dei 55 giorni, dove esistono e dove i depositari acconsentano, sono la voce non ufficiale del Papa.</w:t>
      </w:r>
    </w:p>
    <w:p>
      <w:pPr>
        <w:spacing w:after="120" w:line="276"/>
        <w:jc w:val="both"/>
      </w:pPr>
      <w:r>
        <w:rPr>
          <w:rFonts w:ascii="Barlow Semi Condensed" w:cs="Barlow Semi Condensed" w:eastAsia="Barlow Semi Condensed" w:hAnsi="Barlow Semi Condensed"/>
          <w:b/>
          <w:bCs/>
          <w:sz w:val="24"/>
          <w:szCs w:val="24"/>
        </w:rPr>
        <w:t xml:space="preserve">159 · La stampa cattolica italiana.</w:t>
      </w:r>
      <w:r>
        <w:rPr>
          <w:rFonts w:ascii="Barlow Semi Condensed" w:cs="Barlow Semi Condensed" w:eastAsia="Barlow Semi Condensed" w:hAnsi="Barlow Semi Condensed"/>
          <w:sz w:val="24"/>
          <w:szCs w:val="24"/>
        </w:rPr>
        <w:t xml:space="preserve"> Avvenire e la stampa diocesana dei 55 giorni: lo spoglio datato della voce cattolica italiana, distinta da quella vaticana. Due voci, due spogli: le differenze fra L'Osservatore e Avvenire, giorno per giorno, sono esse stesse un documento sulla dialettica interna.</w:t>
      </w:r>
    </w:p>
    <w:p>
      <w:pPr>
        <w:spacing w:after="120" w:line="276"/>
        <w:jc w:val="both"/>
      </w:pPr>
      <w:r>
        <w:rPr>
          <w:rFonts w:ascii="Barlow Semi Condensed" w:cs="Barlow Semi Condensed" w:eastAsia="Barlow Semi Condensed" w:hAnsi="Barlow Semi Condensed"/>
          <w:b/>
          <w:bCs/>
          <w:sz w:val="24"/>
          <w:szCs w:val="24"/>
        </w:rPr>
        <w:t xml:space="preserve">160 · La tavola delle vie italiane.</w:t>
      </w:r>
      <w:r>
        <w:rPr>
          <w:rFonts w:ascii="Barlow Semi Condensed" w:cs="Barlow Semi Condensed" w:eastAsia="Barlow Semi Condensed" w:hAnsi="Barlow Semi Condensed"/>
          <w:sz w:val="24"/>
          <w:szCs w:val="24"/>
        </w:rPr>
        <w:t xml:space="preserve"> La chiusura della sezione: la tavola delle vie ecclesiastiche italiane — istituto per istituto, con stato d'accesso e di spoglio. Le cento porte laterali, censite: il cantiere non aspetta l'archivio chiuso, lavora tutto il resto.</w:t>
      </w:r>
    </w:p>
    <w:p>
      <w:pPr>
        <w:pStyle w:val="Heading3"/>
        <w:spacing w:after="80" w:before="160"/>
      </w:pPr>
      <w:r>
        <w:rPr>
          <w:rFonts w:ascii="Barlow Semi Condensed" w:cs="Barlow Semi Condensed" w:eastAsia="Barlow Semi Condensed" w:hAnsi="Barlow Semi Condensed"/>
          <w:sz w:val="24"/>
          <w:szCs w:val="24"/>
        </w:rPr>
        <w:t xml:space="preserve">Il canale del cappellano (blocchi 161-180)</w:t>
      </w:r>
    </w:p>
    <w:p>
      <w:pPr>
        <w:spacing w:after="120" w:line="276"/>
        <w:jc w:val="both"/>
      </w:pPr>
      <w:r>
        <w:rPr>
          <w:rFonts w:ascii="Barlow Semi Condensed" w:cs="Barlow Semi Condensed" w:eastAsia="Barlow Semi Condensed" w:hAnsi="Barlow Semi Condensed"/>
          <w:b/>
          <w:bCs/>
          <w:sz w:val="24"/>
          <w:szCs w:val="24"/>
        </w:rPr>
        <w:t xml:space="preserve">161 · L'incarico accertato.</w:t>
      </w:r>
      <w:r>
        <w:rPr>
          <w:rFonts w:ascii="Barlow Semi Condensed" w:cs="Barlow Semi Condensed" w:eastAsia="Barlow Semi Condensed" w:hAnsi="Barlow Semi Condensed"/>
          <w:sz w:val="24"/>
          <w:szCs w:val="24"/>
        </w:rPr>
        <w:t xml:space="preserve"> Il pavimento documentale del cantiere: la relazione conclusiva della Commissione Moro 2 (approvata il 6 dicembre 2017, Doc. XXIII n. 29) accerta che Paolo VI incaricò mons. Cesare Curioni di attivare canali verso le Brigate rosse e che la Santa Sede predispose una disponibilità economica ingente. Da qui — da un atto parlamentare, non da una voce — parte tutto il resto.</w:t>
      </w:r>
    </w:p>
    <w:p>
      <w:pPr>
        <w:spacing w:after="120" w:line="276"/>
        <w:jc w:val="both"/>
      </w:pPr>
      <w:r>
        <w:rPr>
          <w:rFonts w:ascii="Barlow Semi Condensed" w:cs="Barlow Semi Condensed" w:eastAsia="Barlow Semi Condensed" w:hAnsi="Barlow Semi Condensed"/>
          <w:b/>
          <w:bCs/>
          <w:sz w:val="24"/>
          <w:szCs w:val="24"/>
        </w:rPr>
        <w:t xml:space="preserve">162 · La biografia da fissare.</w:t>
      </w:r>
      <w:r>
        <w:rPr>
          <w:rFonts w:ascii="Barlow Semi Condensed" w:cs="Barlow Semi Condensed" w:eastAsia="Barlow Semi Condensed" w:hAnsi="Barlow Semi Condensed"/>
          <w:sz w:val="24"/>
          <w:szCs w:val="24"/>
        </w:rPr>
        <w:t xml:space="preserve"> Le date certe di Cesare Curioni (nato ad Asso nel 1923, morto ad Asso il 12 gennaio 1996; cappellano di San Vittore dal 1° febbraio 1948, poi cappellano capo per oltre trent'anni, infine ispettore generale dei cappellani delle carceri): la scheda biografica documentata, fonte per fonte, col giorno di nascita ancora da fissare su fonte anagrafica. La regola prosopografica del corpus: prima l'anagrafe, poi le domande.</w:t>
      </w:r>
    </w:p>
    <w:p>
      <w:pPr>
        <w:spacing w:after="120" w:line="276"/>
        <w:jc w:val="both"/>
      </w:pPr>
      <w:r>
        <w:rPr>
          <w:rFonts w:ascii="Barlow Semi Condensed" w:cs="Barlow Semi Condensed" w:eastAsia="Barlow Semi Condensed" w:hAnsi="Barlow Semi Condensed"/>
          <w:b/>
          <w:bCs/>
          <w:sz w:val="24"/>
          <w:szCs w:val="24"/>
        </w:rPr>
        <w:t xml:space="preserve">163 · Il fondo che non risulta.</w:t>
      </w:r>
      <w:r>
        <w:rPr>
          <w:rFonts w:ascii="Barlow Semi Condensed" w:cs="Barlow Semi Condensed" w:eastAsia="Barlow Semi Condensed" w:hAnsi="Barlow Semi Condensed"/>
          <w:sz w:val="24"/>
          <w:szCs w:val="24"/>
        </w:rPr>
        <w:t xml:space="preserve"> L'esito verificato della prima ricerca: un fondo archivistico personale pubblico di Curioni non è censito. Il bersaglio diventa sistematico: famiglia, diocesi d'origine, cappellania, ordini vicini — la caccia al lascito documentale dell'uomo che portò gli incarichi più delicati dei 55 giorni, con proposta di deposito se il lascito esiste.</w:t>
      </w:r>
    </w:p>
    <w:p>
      <w:pPr>
        <w:spacing w:after="120" w:line="276"/>
        <w:jc w:val="both"/>
      </w:pPr>
      <w:r>
        <w:rPr>
          <w:rFonts w:ascii="Barlow Semi Condensed" w:cs="Barlow Semi Condensed" w:eastAsia="Barlow Semi Condensed" w:hAnsi="Barlow Semi Condensed"/>
          <w:b/>
          <w:bCs/>
          <w:sz w:val="24"/>
          <w:szCs w:val="24"/>
        </w:rPr>
        <w:t xml:space="preserve">164 · Le carte su di lui.</w:t>
      </w:r>
      <w:r>
        <w:rPr>
          <w:rFonts w:ascii="Barlow Semi Condensed" w:cs="Barlow Semi Condensed" w:eastAsia="Barlow Semi Condensed" w:hAnsi="Barlow Semi Condensed"/>
          <w:sz w:val="24"/>
          <w:szCs w:val="24"/>
        </w:rPr>
        <w:t xml:space="preserve"> In assenza del fondo proprio, le carte SU Curioni: gli atti della Moro 2 (audizioni, documenti acquisiti), le carte ministeriali dell'ispettorato, i registri penitenziari dei suoi movimenti. Il ritratto documentale per fonti esterne — il metodo del corpus quando l'archivio dell'uomo manca.</w:t>
      </w:r>
    </w:p>
    <w:p>
      <w:pPr>
        <w:spacing w:after="120" w:line="276"/>
        <w:jc w:val="both"/>
      </w:pPr>
      <w:r>
        <w:rPr>
          <w:rFonts w:ascii="Barlow Semi Condensed" w:cs="Barlow Semi Condensed" w:eastAsia="Barlow Semi Condensed" w:hAnsi="Barlow Semi Condensed"/>
          <w:b/>
          <w:bCs/>
          <w:sz w:val="24"/>
          <w:szCs w:val="24"/>
        </w:rPr>
        <w:t xml:space="preserve">165 · Il collaboratore che parlò.</w:t>
      </w:r>
      <w:r>
        <w:rPr>
          <w:rFonts w:ascii="Barlow Semi Condensed" w:cs="Barlow Semi Condensed" w:eastAsia="Barlow Semi Condensed" w:hAnsi="Barlow Semi Condensed"/>
          <w:sz w:val="24"/>
          <w:szCs w:val="24"/>
        </w:rPr>
        <w:t xml:space="preserve"> Le dichiarazioni di mons. Fabio Fabbri (Scarperia 1942 - 2022, vice-ispettore dei cappellani e braccio destro di Curioni): il riserbo rotto nel 2004 con lo storico Satta, l'audizione pubblica alla Moro 2 del 4 febbraio 2016 (stenografico online) e l'ulteriore ascolto riferito dalle agenzie al dicembre 2017, alla vigilia della relazione conclusiva — la lettura filologica integrale, versione per versione. La voce va collazionata con le carte, frase per frase.</w:t>
      </w:r>
    </w:p>
    <w:p>
      <w:pPr>
        <w:spacing w:after="120" w:line="276"/>
        <w:jc w:val="both"/>
      </w:pPr>
      <w:r>
        <w:rPr>
          <w:rFonts w:ascii="Barlow Semi Condensed" w:cs="Barlow Semi Condensed" w:eastAsia="Barlow Semi Condensed" w:hAnsi="Barlow Semi Condensed"/>
          <w:b/>
          <w:bCs/>
          <w:sz w:val="24"/>
          <w:szCs w:val="24"/>
        </w:rPr>
        <w:t xml:space="preserve">166 · Le due versioni dei viaggi.</w:t>
      </w:r>
      <w:r>
        <w:rPr>
          <w:rFonts w:ascii="Barlow Semi Condensed" w:cs="Barlow Semi Condensed" w:eastAsia="Barlow Semi Condensed" w:hAnsi="Barlow Semi Condensed"/>
          <w:sz w:val="24"/>
          <w:szCs w:val="24"/>
        </w:rPr>
        <w:t xml:space="preserve"> La tavola comparata delle versioni sui movimenti di Curioni nei 55 giorni — i colloqui coi detenuti, l'interlocutore ignoto: che cosa dice ciascuna fonte (Fabbri, gli atti, le memorie edite), dove convergono, dove no. La matrice ACH del canale: ipotesi contro evidenze, con l'interlocutore ignoto come cella vuota dichiarata.</w:t>
      </w:r>
    </w:p>
    <w:p>
      <w:pPr>
        <w:spacing w:after="120" w:line="276"/>
        <w:jc w:val="both"/>
      </w:pPr>
      <w:r>
        <w:rPr>
          <w:rFonts w:ascii="Barlow Semi Condensed" w:cs="Barlow Semi Condensed" w:eastAsia="Barlow Semi Condensed" w:hAnsi="Barlow Semi Condensed"/>
          <w:b/>
          <w:bCs/>
          <w:sz w:val="24"/>
          <w:szCs w:val="24"/>
        </w:rPr>
        <w:t xml:space="preserve">167 · I colloqui in carcere, in carta.</w:t>
      </w:r>
      <w:r>
        <w:rPr>
          <w:rFonts w:ascii="Barlow Semi Condensed" w:cs="Barlow Semi Condensed" w:eastAsia="Barlow Semi Condensed" w:hAnsi="Barlow Semi Condensed"/>
          <w:sz w:val="24"/>
          <w:szCs w:val="24"/>
        </w:rPr>
        <w:t xml:space="preserve"> Il raccordo esecutivo col blocco 242 dell'agenda: i registri dei colloqui di Curioni e dei cappellani con i detenuti BR nel marzo-maggio 1978 — istituto per istituto, con date e autorizzazioni. La colonna civile del canale ecclesiastico: i movimenti documentati dallo Stato.</w:t>
      </w:r>
    </w:p>
    <w:p>
      <w:pPr>
        <w:spacing w:after="120" w:line="276"/>
        <w:jc w:val="both"/>
      </w:pPr>
      <w:r>
        <w:rPr>
          <w:rFonts w:ascii="Barlow Semi Condensed" w:cs="Barlow Semi Condensed" w:eastAsia="Barlow Semi Condensed" w:hAnsi="Barlow Semi Condensed"/>
          <w:b/>
          <w:bCs/>
          <w:sz w:val="24"/>
          <w:szCs w:val="24"/>
        </w:rPr>
        <w:t xml:space="preserve">168 · L'autorizzazione politica.</w:t>
      </w:r>
      <w:r>
        <w:rPr>
          <w:rFonts w:ascii="Barlow Semi Condensed" w:cs="Barlow Semi Condensed" w:eastAsia="Barlow Semi Condensed" w:hAnsi="Barlow Semi Condensed"/>
          <w:sz w:val="24"/>
          <w:szCs w:val="24"/>
        </w:rPr>
        <w:t xml:space="preserve"> Chi autorizzò i colloqui: gli atti del Ministero (grazia e giustizia) sull'accesso del cappellano ai detenuti politici nei 55 giorni — richieste, nulla osta, relazioni di ritorno. Se il canale funzionò nelle carceri dello Stato, lo Stato ne conservò la carta amministrativa: si cerca quella.</w:t>
      </w:r>
    </w:p>
    <w:p>
      <w:pPr>
        <w:spacing w:after="120" w:line="276"/>
        <w:jc w:val="both"/>
      </w:pPr>
      <w:r>
        <w:rPr>
          <w:rFonts w:ascii="Barlow Semi Condensed" w:cs="Barlow Semi Condensed" w:eastAsia="Barlow Semi Condensed" w:hAnsi="Barlow Semi Condensed"/>
          <w:b/>
          <w:bCs/>
          <w:sz w:val="24"/>
          <w:szCs w:val="24"/>
        </w:rPr>
        <w:t xml:space="preserve">169 · L'interlocutore ignoto.</w:t>
      </w:r>
      <w:r>
        <w:rPr>
          <w:rFonts w:ascii="Barlow Semi Condensed" w:cs="Barlow Semi Condensed" w:eastAsia="Barlow Semi Condensed" w:hAnsi="Barlow Semi Condensed"/>
          <w:sz w:val="24"/>
          <w:szCs w:val="24"/>
        </w:rPr>
        <w:t xml:space="preserve"> La cella vuota più importante del cantiere: l'interlocutore non identificato dei contatti riferiti. Il blocco fissa la disciplina — nessun nome per suggestione; si cercano solo gli atti che possano identificarlo (registri, annotazioni, riscontri di movimento) e si dichiara Stato Zero finché non emergano. La cella resta vuota finché un documento non la riempia.</w:t>
      </w:r>
    </w:p>
    <w:p>
      <w:pPr>
        <w:spacing w:after="120" w:line="276"/>
        <w:jc w:val="both"/>
      </w:pPr>
      <w:r>
        <w:rPr>
          <w:rFonts w:ascii="Barlow Semi Condensed" w:cs="Barlow Semi Condensed" w:eastAsia="Barlow Semi Condensed" w:hAnsi="Barlow Semi Condensed"/>
          <w:b/>
          <w:bCs/>
          <w:sz w:val="24"/>
          <w:szCs w:val="24"/>
        </w:rPr>
        <w:t xml:space="preserve">170 · I cappellani minori.</w:t>
      </w:r>
      <w:r>
        <w:rPr>
          <w:rFonts w:ascii="Barlow Semi Condensed" w:cs="Barlow Semi Condensed" w:eastAsia="Barlow Semi Condensed" w:hAnsi="Barlow Semi Condensed"/>
          <w:sz w:val="24"/>
          <w:szCs w:val="24"/>
        </w:rPr>
        <w:t xml:space="preserve"> I nomi dei cappellani trovati nei covi (il fatto documentato dalla scheda PE-4 del corpus): il perimetro esatto di quel ritrovamento — quali nomi, in quale covo, in quale verbale. Un fatto istruttorio preciso da fissare alla fonte, perché la pubblicistica lo ha gonfiato e la disciplina lo vuole nudo.</w:t>
      </w:r>
    </w:p>
    <w:p>
      <w:pPr>
        <w:spacing w:after="120" w:line="276"/>
        <w:jc w:val="both"/>
      </w:pPr>
      <w:r>
        <w:rPr>
          <w:rFonts w:ascii="Barlow Semi Condensed" w:cs="Barlow Semi Condensed" w:eastAsia="Barlow Semi Condensed" w:hAnsi="Barlow Semi Condensed"/>
          <w:b/>
          <w:bCs/>
          <w:sz w:val="24"/>
          <w:szCs w:val="24"/>
        </w:rPr>
        <w:t xml:space="preserve">171 · La rete penitenziaria come canale.</w:t>
      </w:r>
      <w:r>
        <w:rPr>
          <w:rFonts w:ascii="Barlow Semi Condensed" w:cs="Barlow Semi Condensed" w:eastAsia="Barlow Semi Condensed" w:hAnsi="Barlow Semi Condensed"/>
          <w:sz w:val="24"/>
          <w:szCs w:val="24"/>
        </w:rPr>
        <w:t xml:space="preserve"> L'ipotesi di lavoro documentale: il sistema dei cappellani come rete di comunicazione possibile fra Stato, Chiesa e detenuti — ricostruita per atti (nomine, sedi, movimenti) e non per suggestione. La rete si mappa; l'uso della rete si prova o si lascia congettura dichiarata.</w:t>
      </w:r>
    </w:p>
    <w:p>
      <w:pPr>
        <w:spacing w:after="120" w:line="276"/>
        <w:jc w:val="both"/>
      </w:pPr>
      <w:r>
        <w:rPr>
          <w:rFonts w:ascii="Barlow Semi Condensed" w:cs="Barlow Semi Condensed" w:eastAsia="Barlow Semi Condensed" w:hAnsi="Barlow Semi Condensed"/>
          <w:b/>
          <w:bCs/>
          <w:sz w:val="24"/>
          <w:szCs w:val="24"/>
        </w:rPr>
        <w:t xml:space="preserve">172 · Il Papa e il suo canale, in cronologia.</w:t>
      </w:r>
      <w:r>
        <w:rPr>
          <w:rFonts w:ascii="Barlow Semi Condensed" w:cs="Barlow Semi Condensed" w:eastAsia="Barlow Semi Condensed" w:hAnsi="Barlow Semi Condensed"/>
          <w:sz w:val="24"/>
          <w:szCs w:val="24"/>
        </w:rPr>
        <w:t xml:space="preserve"> La cronologia integrale del canale: dall'incarico (quando esattamente?) ai contatti riferiti, alla lettera pubblica del 21 aprile, alla morte. Ogni data da atto; le date mancanti come celle dichiarate. La cronologia del canale è il telaio su cui ogni futura carta vaticana si aggancerà.</w:t>
      </w:r>
    </w:p>
    <w:p>
      <w:pPr>
        <w:spacing w:after="120" w:line="276"/>
        <w:jc w:val="both"/>
      </w:pPr>
      <w:r>
        <w:rPr>
          <w:rFonts w:ascii="Barlow Semi Condensed" w:cs="Barlow Semi Condensed" w:eastAsia="Barlow Semi Condensed" w:hAnsi="Barlow Semi Condensed"/>
          <w:b/>
          <w:bCs/>
          <w:sz w:val="24"/>
          <w:szCs w:val="24"/>
        </w:rPr>
        <w:t xml:space="preserve">173 · Il rapporto col negoziato di Stato.</w:t>
      </w:r>
      <w:r>
        <w:rPr>
          <w:rFonts w:ascii="Barlow Semi Condensed" w:cs="Barlow Semi Condensed" w:eastAsia="Barlow Semi Condensed" w:hAnsi="Barlow Semi Condensed"/>
          <w:sz w:val="24"/>
          <w:szCs w:val="24"/>
        </w:rPr>
        <w:t xml:space="preserve"> La tavola dei rapporti fra canale vaticano e iniziative dello Stato: che cosa il Governo sapeva del canale (dagli atti dei comitati, dalle carte di gabinetto), che cosa il Vaticano sapeva delle linee del Governo. Due canali paralleli nella stessa crisi: le loro carte incrociate sono un quesito di sistema.</w:t>
      </w:r>
    </w:p>
    <w:p>
      <w:pPr>
        <w:spacing w:after="120" w:line="276"/>
        <w:jc w:val="both"/>
      </w:pPr>
      <w:r>
        <w:rPr>
          <w:rFonts w:ascii="Barlow Semi Condensed" w:cs="Barlow Semi Condensed" w:eastAsia="Barlow Semi Condensed" w:hAnsi="Barlow Semi Condensed"/>
          <w:b/>
          <w:bCs/>
          <w:sz w:val="24"/>
          <w:szCs w:val="24"/>
        </w:rPr>
        <w:t xml:space="preserve">174 · Il rapporto col canale socialista.</w:t>
      </w:r>
      <w:r>
        <w:rPr>
          <w:rFonts w:ascii="Barlow Semi Condensed" w:cs="Barlow Semi Condensed" w:eastAsia="Barlow Semi Condensed" w:hAnsi="Barlow Semi Condensed"/>
          <w:sz w:val="24"/>
          <w:szCs w:val="24"/>
        </w:rPr>
        <w:t xml:space="preserve"> La collazione col terzo canale — l'iniziativa socialista documentata: sovrapposizioni, contatti, gelosie fra canali nei 55 giorni, in carta. La concorrenza dei canali è un fatto della crisi: la sua documentazione sta nei fondi di partito (Parte terza) e negli atti parlamentari.</w:t>
      </w:r>
    </w:p>
    <w:p>
      <w:pPr>
        <w:spacing w:after="120" w:line="276"/>
        <w:jc w:val="both"/>
      </w:pPr>
      <w:r>
        <w:rPr>
          <w:rFonts w:ascii="Barlow Semi Condensed" w:cs="Barlow Semi Condensed" w:eastAsia="Barlow Semi Condensed" w:hAnsi="Barlow Semi Condensed"/>
          <w:b/>
          <w:bCs/>
          <w:sz w:val="24"/>
          <w:szCs w:val="24"/>
        </w:rPr>
        <w:t xml:space="preserve">175 · Le smentite da cercare.</w:t>
      </w:r>
      <w:r>
        <w:rPr>
          <w:rFonts w:ascii="Barlow Semi Condensed" w:cs="Barlow Semi Condensed" w:eastAsia="Barlow Semi Condensed" w:hAnsi="Barlow Semi Condensed"/>
          <w:sz w:val="24"/>
          <w:szCs w:val="24"/>
        </w:rPr>
        <w:t xml:space="preserve"> Il Pollo di Popper sul canale: i documenti che smentirebbero le versioni correnti — un registro che escluda un colloquio riferito, una data incompatibile, un movimento impossibile. Il cantiere cerca attivamente le carte che rompono le ricostruzioni, incluse quelle del corpus: è la serie nona dell'agenda, applicata qui.</w:t>
      </w:r>
    </w:p>
    <w:p>
      <w:pPr>
        <w:spacing w:after="120" w:line="276"/>
        <w:jc w:val="both"/>
      </w:pPr>
      <w:r>
        <w:rPr>
          <w:rFonts w:ascii="Barlow Semi Condensed" w:cs="Barlow Semi Condensed" w:eastAsia="Barlow Semi Condensed" w:hAnsi="Barlow Semi Condensed"/>
          <w:b/>
          <w:bCs/>
          <w:sz w:val="24"/>
          <w:szCs w:val="24"/>
        </w:rPr>
        <w:t xml:space="preserve">176 · I riscontri bancari del canale.</w:t>
      </w:r>
      <w:r>
        <w:rPr>
          <w:rFonts w:ascii="Barlow Semi Condensed" w:cs="Barlow Semi Condensed" w:eastAsia="Barlow Semi Condensed" w:hAnsi="Barlow Semi Condensed"/>
          <w:sz w:val="24"/>
          <w:szCs w:val="24"/>
        </w:rPr>
        <w:t xml:space="preserve"> Il raccordo con la sezione del fondo (blocchi 181-195): i movimenti economici collegati al canale — chi raccolse, chi custodì, chi avrebbe consegnato. La parte patrimoniale del canale si tratta nella sezione dedicata; questo blocco tiene il rinvio e il perimetro.</w:t>
      </w:r>
    </w:p>
    <w:p>
      <w:pPr>
        <w:spacing w:after="120" w:line="276"/>
        <w:jc w:val="both"/>
      </w:pPr>
      <w:r>
        <w:rPr>
          <w:rFonts w:ascii="Barlow Semi Condensed" w:cs="Barlow Semi Condensed" w:eastAsia="Barlow Semi Condensed" w:hAnsi="Barlow Semi Condensed"/>
          <w:b/>
          <w:bCs/>
          <w:sz w:val="24"/>
          <w:szCs w:val="24"/>
        </w:rPr>
        <w:t xml:space="preserve">177 · Che cosa disse la Commissione, esattamente.</w:t>
      </w:r>
      <w:r>
        <w:rPr>
          <w:rFonts w:ascii="Barlow Semi Condensed" w:cs="Barlow Semi Condensed" w:eastAsia="Barlow Semi Condensed" w:hAnsi="Barlow Semi Condensed"/>
          <w:sz w:val="24"/>
          <w:szCs w:val="24"/>
        </w:rPr>
        <w:t xml:space="preserve"> La lettura filologica delle pagine della relazione conclusiva sul canale: le parole esatte dell'accertamento parlamentare — che cosa la Commissione dà per accertato, che cosa per riferito, che cosa per aperto. L'atto parlamentare è il pavimento: il suo perimetro esatto va rispettato alla virgola.</w:t>
      </w:r>
    </w:p>
    <w:p>
      <w:pPr>
        <w:spacing w:after="120" w:line="276"/>
        <w:jc w:val="both"/>
      </w:pPr>
      <w:r>
        <w:rPr>
          <w:rFonts w:ascii="Barlow Semi Condensed" w:cs="Barlow Semi Condensed" w:eastAsia="Barlow Semi Condensed" w:hAnsi="Barlow Semi Condensed"/>
          <w:b/>
          <w:bCs/>
          <w:sz w:val="24"/>
          <w:szCs w:val="24"/>
        </w:rPr>
        <w:t xml:space="preserve">178 · Le audizioni collegate.</w:t>
      </w:r>
      <w:r>
        <w:rPr>
          <w:rFonts w:ascii="Barlow Semi Condensed" w:cs="Barlow Semi Condensed" w:eastAsia="Barlow Semi Condensed" w:hAnsi="Barlow Semi Condensed"/>
          <w:sz w:val="24"/>
          <w:szCs w:val="24"/>
        </w:rPr>
        <w:t xml:space="preserve"> Il censimento di tutte le audizioni Moro 2 che toccarono il canale — non solo Fabbri: magistrati, storici, testimoni. La tavola delle voci parlamentari sul canale, con rinvii agli stenografici: il fascicolo istruttorio pubblico del quesito 11, riunito.</w:t>
      </w:r>
    </w:p>
    <w:p>
      <w:pPr>
        <w:spacing w:after="120" w:line="276"/>
        <w:jc w:val="both"/>
      </w:pPr>
      <w:r>
        <w:rPr>
          <w:rFonts w:ascii="Barlow Semi Condensed" w:cs="Barlow Semi Condensed" w:eastAsia="Barlow Semi Condensed" w:hAnsi="Barlow Semi Condensed"/>
          <w:b/>
          <w:bCs/>
          <w:sz w:val="24"/>
          <w:szCs w:val="24"/>
        </w:rPr>
        <w:t xml:space="preserve">179 · La storiografia del canale.</w:t>
      </w:r>
      <w:r>
        <w:rPr>
          <w:rFonts w:ascii="Barlow Semi Condensed" w:cs="Barlow Semi Condensed" w:eastAsia="Barlow Semi Condensed" w:hAnsi="Barlow Semi Condensed"/>
          <w:sz w:val="24"/>
          <w:szCs w:val="24"/>
        </w:rPr>
        <w:t xml:space="preserve"> Gli studi accademici sul canale vaticano del caso: la tavola delle fonti che citano e delle tesi che sostengono, con la taratura di fedeltà del blocco 16. Ciò che la storiografia ha già stabilito non si riscopre: si verifica e si eredita.</w:t>
      </w:r>
    </w:p>
    <w:p>
      <w:pPr>
        <w:spacing w:after="120" w:line="276"/>
        <w:jc w:val="both"/>
      </w:pPr>
      <w:r>
        <w:rPr>
          <w:rFonts w:ascii="Barlow Semi Condensed" w:cs="Barlow Semi Condensed" w:eastAsia="Barlow Semi Condensed" w:hAnsi="Barlow Semi Condensed"/>
          <w:b/>
          <w:bCs/>
          <w:sz w:val="24"/>
          <w:szCs w:val="24"/>
        </w:rPr>
        <w:t xml:space="preserve">180 · La tavola del canale.</w:t>
      </w:r>
      <w:r>
        <w:rPr>
          <w:rFonts w:ascii="Barlow Semi Condensed" w:cs="Barlow Semi Condensed" w:eastAsia="Barlow Semi Condensed" w:hAnsi="Barlow Semi Condensed"/>
          <w:sz w:val="24"/>
          <w:szCs w:val="24"/>
        </w:rPr>
        <w:t xml:space="preserve"> La chiusura della sezione: lo stato di ogni bersaglio del canale — con la cronologia (172), la matrice (166) e la cella vuota (169) come strumenti permanenti. Il canale del cappellano, contato: atti trovati, atti mancanti, celle aperte.</w:t>
      </w:r>
    </w:p>
    <w:p>
      <w:pPr>
        <w:pStyle w:val="Heading3"/>
        <w:spacing w:after="80" w:before="160"/>
      </w:pPr>
      <w:r>
        <w:rPr>
          <w:rFonts w:ascii="Barlow Semi Condensed" w:cs="Barlow Semi Condensed" w:eastAsia="Barlow Semi Condensed" w:hAnsi="Barlow Semi Condensed"/>
          <w:sz w:val="24"/>
          <w:szCs w:val="24"/>
        </w:rPr>
        <w:t xml:space="preserve">Il fondo del riscatto (blocchi 181-195)</w:t>
      </w:r>
    </w:p>
    <w:p>
      <w:pPr>
        <w:spacing w:after="120" w:line="276"/>
        <w:jc w:val="both"/>
      </w:pPr>
      <w:r>
        <w:rPr>
          <w:rFonts w:ascii="Barlow Semi Condensed" w:cs="Barlow Semi Condensed" w:eastAsia="Barlow Semi Condensed" w:hAnsi="Barlow Semi Condensed"/>
          <w:b/>
          <w:bCs/>
          <w:sz w:val="24"/>
          <w:szCs w:val="24"/>
        </w:rPr>
        <w:t xml:space="preserve">181 · L'accertamento di partenza.</w:t>
      </w:r>
      <w:r>
        <w:rPr>
          <w:rFonts w:ascii="Barlow Semi Condensed" w:cs="Barlow Semi Condensed" w:eastAsia="Barlow Semi Condensed" w:hAnsi="Barlow Semi Condensed"/>
          <w:sz w:val="24"/>
          <w:szCs w:val="24"/>
        </w:rPr>
        <w:t xml:space="preserve"> Il pavimento: la disponibilità economica ingente predisposta dalla Santa Sede è accertata dagli atti della Moro 2 (la relazione del 6 dicembre 2017), e l'ordine di grandezza riferito — intorno ai dieci miliardi di lire — sta negli atti e nelle testimonianze rese alla Commissione. Da qui: la caccia alla carta contabile.</w:t>
      </w:r>
    </w:p>
    <w:p>
      <w:pPr>
        <w:spacing w:after="120" w:line="276"/>
        <w:jc w:val="both"/>
      </w:pPr>
      <w:r>
        <w:rPr>
          <w:rFonts w:ascii="Barlow Semi Condensed" w:cs="Barlow Semi Condensed" w:eastAsia="Barlow Semi Condensed" w:hAnsi="Barlow Semi Condensed"/>
          <w:b/>
          <w:bCs/>
          <w:sz w:val="24"/>
          <w:szCs w:val="24"/>
        </w:rPr>
        <w:t xml:space="preserve">182 · Il finanziatore rivendicato.</w:t>
      </w:r>
      <w:r>
        <w:rPr>
          <w:rFonts w:ascii="Barlow Semi Condensed" w:cs="Barlow Semi Condensed" w:eastAsia="Barlow Semi Condensed" w:hAnsi="Barlow Semi Condensed"/>
          <w:sz w:val="24"/>
          <w:szCs w:val="24"/>
        </w:rPr>
        <w:t xml:space="preserve"> Il fatto pubblico verificato: l'attribuzione della provvista all'imprenditore e deputato israeliano Shmuel Flatto-Sharon (1930-2018), che la rivendicò pubblicamente, è riportata dalle grandi agenzie (ANSA, 2018) sulla scorta dei lavori parlamentari. Lo stato del fatto: rivendicazione documentata e riferita — grado F sulla rivendicazione, non accertamento sul flusso. La distinzione è il blocco.</w:t>
      </w:r>
    </w:p>
    <w:p>
      <w:pPr>
        <w:spacing w:after="120" w:line="276"/>
        <w:jc w:val="both"/>
      </w:pPr>
      <w:r>
        <w:rPr>
          <w:rFonts w:ascii="Barlow Semi Condensed" w:cs="Barlow Semi Condensed" w:eastAsia="Barlow Semi Condensed" w:hAnsi="Barlow Semi Condensed"/>
          <w:b/>
          <w:bCs/>
          <w:sz w:val="24"/>
          <w:szCs w:val="24"/>
        </w:rPr>
        <w:t xml:space="preserve">183 · Il flusso da documentare.</w:t>
      </w:r>
      <w:r>
        <w:rPr>
          <w:rFonts w:ascii="Barlow Semi Condensed" w:cs="Barlow Semi Condensed" w:eastAsia="Barlow Semi Condensed" w:hAnsi="Barlow Semi Condensed"/>
          <w:sz w:val="24"/>
          <w:szCs w:val="24"/>
        </w:rPr>
        <w:t xml:space="preserve"> La domanda patrimoniale esatta: da dove a dove si mosse — se si mosse — il denaro: conti, valute, custodie, tempi. Ogni passaggio o ha carta (bancaria, di curia, di testimonianza verbalizzata) o è cella vuota: la tavola dei passaggi con i loro stati è l'esito atteso della sezione.</w:t>
      </w:r>
    </w:p>
    <w:p>
      <w:pPr>
        <w:spacing w:after="120" w:line="276"/>
        <w:jc w:val="both"/>
      </w:pPr>
      <w:r>
        <w:rPr>
          <w:rFonts w:ascii="Barlow Semi Condensed" w:cs="Barlow Semi Condensed" w:eastAsia="Barlow Semi Condensed" w:hAnsi="Barlow Semi Condensed"/>
          <w:b/>
          <w:bCs/>
          <w:sz w:val="24"/>
          <w:szCs w:val="24"/>
        </w:rPr>
        <w:t xml:space="preserve">184 · Le fascette e la banca.</w:t>
      </w:r>
      <w:r>
        <w:rPr>
          <w:rFonts w:ascii="Barlow Semi Condensed" w:cs="Barlow Semi Condensed" w:eastAsia="Barlow Semi Condensed" w:hAnsi="Barlow Semi Condensed"/>
          <w:sz w:val="24"/>
          <w:szCs w:val="24"/>
        </w:rPr>
        <w:t xml:space="preserve"> Il dettaglio materiale documentato negli atti (le fascette di banconote di provenienza bancaria estera riferite nelle testimonianze): la verifica filologica del dettaglio — chi lo riferì, quando, con quale precisione. I dettagli materiali sono i più falsificabili: per questo valgono, e per questo si verificano per primi.</w:t>
      </w:r>
    </w:p>
    <w:p>
      <w:pPr>
        <w:spacing w:after="120" w:line="276"/>
        <w:jc w:val="both"/>
      </w:pPr>
      <w:r>
        <w:rPr>
          <w:rFonts w:ascii="Barlow Semi Condensed" w:cs="Barlow Semi Condensed" w:eastAsia="Barlow Semi Condensed" w:hAnsi="Barlow Semi Condensed"/>
          <w:b/>
          <w:bCs/>
          <w:sz w:val="24"/>
          <w:szCs w:val="24"/>
        </w:rPr>
        <w:t xml:space="preserve">185 · La custodia.</w:t>
      </w:r>
      <w:r>
        <w:rPr>
          <w:rFonts w:ascii="Barlow Semi Condensed" w:cs="Barlow Semi Condensed" w:eastAsia="Barlow Semi Condensed" w:hAnsi="Barlow Semi Condensed"/>
          <w:sz w:val="24"/>
          <w:szCs w:val="24"/>
        </w:rPr>
        <w:t xml:space="preserve"> Dove il denaro fu custodito nei giorni della disponibilità: le versioni, i luoghi riferiti, le carte possibili (registri di curia, casseforti, testimonianze). La cella della custodia è verificabile per atti indiretti — accessi, presenze, movimenti — anche senza la contabilità diretta.</w:t>
      </w:r>
    </w:p>
    <w:p>
      <w:pPr>
        <w:spacing w:after="120" w:line="276"/>
        <w:jc w:val="both"/>
      </w:pPr>
      <w:r>
        <w:rPr>
          <w:rFonts w:ascii="Barlow Semi Condensed" w:cs="Barlow Semi Condensed" w:eastAsia="Barlow Semi Condensed" w:hAnsi="Barlow Semi Condensed"/>
          <w:b/>
          <w:bCs/>
          <w:sz w:val="24"/>
          <w:szCs w:val="24"/>
        </w:rPr>
        <w:t xml:space="preserve">186 · La restituzione o la sorte.</w:t>
      </w:r>
      <w:r>
        <w:rPr>
          <w:rFonts w:ascii="Barlow Semi Condensed" w:cs="Barlow Semi Condensed" w:eastAsia="Barlow Semi Condensed" w:hAnsi="Barlow Semi Condensed"/>
          <w:sz w:val="24"/>
          <w:szCs w:val="24"/>
        </w:rPr>
        <w:t xml:space="preserve"> Il dopo: che cosa accadde alla provvista dopo il 9 maggio — restituzione, ridestinazione, dispersione. La sorte del denaro è il test di realtà dell'intera vicenda: un fondo vero lascia una coda contabile; la coda si cerca nelle carte di chi lo raccolse.</w:t>
      </w:r>
    </w:p>
    <w:p>
      <w:pPr>
        <w:spacing w:after="120" w:line="276"/>
        <w:jc w:val="both"/>
      </w:pPr>
      <w:r>
        <w:rPr>
          <w:rFonts w:ascii="Barlow Semi Condensed" w:cs="Barlow Semi Condensed" w:eastAsia="Barlow Semi Condensed" w:hAnsi="Barlow Semi Condensed"/>
          <w:b/>
          <w:bCs/>
          <w:sz w:val="24"/>
          <w:szCs w:val="24"/>
        </w:rPr>
        <w:t xml:space="preserve">187 · Il canale israeliano del fondo.</w:t>
      </w:r>
      <w:r>
        <w:rPr>
          <w:rFonts w:ascii="Barlow Semi Condensed" w:cs="Barlow Semi Condensed" w:eastAsia="Barlow Semi Condensed" w:hAnsi="Barlow Semi Condensed"/>
          <w:sz w:val="24"/>
          <w:szCs w:val="24"/>
        </w:rPr>
        <w:t xml:space="preserve"> Il perimetro documentale dei rapporti Flatto-Sharon-Italia: le sue dichiarazioni pubbliche (interviste, memorie), i riscontri parlamentari, le carte israeliane eventuali. La figura è defunta (2018): restano le carte e le dichiarazioni datate — si censiscono tutte, si pesano per genere.</w:t>
      </w:r>
    </w:p>
    <w:p>
      <w:pPr>
        <w:spacing w:after="120" w:line="276"/>
        <w:jc w:val="both"/>
      </w:pPr>
      <w:r>
        <w:rPr>
          <w:rFonts w:ascii="Barlow Semi Condensed" w:cs="Barlow Semi Condensed" w:eastAsia="Barlow Semi Condensed" w:hAnsi="Barlow Semi Condensed"/>
          <w:b/>
          <w:bCs/>
          <w:sz w:val="24"/>
          <w:szCs w:val="24"/>
        </w:rPr>
        <w:t xml:space="preserve">188 · Le vie bancarie storiche.</w:t>
      </w:r>
      <w:r>
        <w:rPr>
          <w:rFonts w:ascii="Barlow Semi Condensed" w:cs="Barlow Semi Condensed" w:eastAsia="Barlow Semi Condensed" w:hAnsi="Barlow Semi Condensed"/>
          <w:sz w:val="24"/>
          <w:szCs w:val="24"/>
        </w:rPr>
        <w:t xml:space="preserve"> Il raccordo col blocco 258 dell'agenda: le richieste agli istituti bancari storici per i movimenti compatibili del periodo, nei limiti delle norme su archivi bancari e riservatezza. La via è stretta ma ordinaria: gli archivi bancari esistono e le richieste motivate si registrano.</w:t>
      </w:r>
    </w:p>
    <w:p>
      <w:pPr>
        <w:spacing w:after="120" w:line="276"/>
        <w:jc w:val="both"/>
      </w:pPr>
      <w:r>
        <w:rPr>
          <w:rFonts w:ascii="Barlow Semi Condensed" w:cs="Barlow Semi Condensed" w:eastAsia="Barlow Semi Condensed" w:hAnsi="Barlow Semi Condensed"/>
          <w:b/>
          <w:bCs/>
          <w:sz w:val="24"/>
          <w:szCs w:val="24"/>
        </w:rPr>
        <w:t xml:space="preserve">189 · Il cambio e i tagli.</w:t>
      </w:r>
      <w:r>
        <w:rPr>
          <w:rFonts w:ascii="Barlow Semi Condensed" w:cs="Barlow Semi Condensed" w:eastAsia="Barlow Semi Condensed" w:hAnsi="Barlow Semi Condensed"/>
          <w:sz w:val="24"/>
          <w:szCs w:val="24"/>
        </w:rPr>
        <w:t xml:space="preserve"> L'esercizio tecnico: dieci miliardi di lire del 1978 — i tagli, i volumi fisici, i pesi: la fattibilità materiale delle versioni di consegna raccontate. L'aritmetica del contante è un test di compatibilità che non richiede archivi: solo rigore — e smonta o sostiene le narrazioni da sola.</w:t>
      </w:r>
    </w:p>
    <w:p>
      <w:pPr>
        <w:spacing w:after="120" w:line="276"/>
        <w:jc w:val="both"/>
      </w:pPr>
      <w:r>
        <w:rPr>
          <w:rFonts w:ascii="Barlow Semi Condensed" w:cs="Barlow Semi Condensed" w:eastAsia="Barlow Semi Condensed" w:hAnsi="Barlow Semi Condensed"/>
          <w:b/>
          <w:bCs/>
          <w:sz w:val="24"/>
          <w:szCs w:val="24"/>
        </w:rPr>
        <w:t xml:space="preserve">190 · Chi sapeva del fondo.</w:t>
      </w:r>
      <w:r>
        <w:rPr>
          <w:rFonts w:ascii="Barlow Semi Condensed" w:cs="Barlow Semi Condensed" w:eastAsia="Barlow Semi Condensed" w:hAnsi="Barlow Semi Condensed"/>
          <w:sz w:val="24"/>
          <w:szCs w:val="24"/>
        </w:rPr>
        <w:t xml:space="preserve"> La tavola dei sapienti: chi — negli atti — risulta aver saputo della disponibilità, quando, da chi. Il perimetro della conoscenza del fondo nei 55 giorni è un quesito di rete: pochi nodi, datati, con le fonti. E ogni nodo in più documentato cambia la matrice del canale.</w:t>
      </w:r>
    </w:p>
    <w:p>
      <w:pPr>
        <w:spacing w:after="120" w:line="276"/>
        <w:jc w:val="both"/>
      </w:pPr>
      <w:r>
        <w:rPr>
          <w:rFonts w:ascii="Barlow Semi Condensed" w:cs="Barlow Semi Condensed" w:eastAsia="Barlow Semi Condensed" w:hAnsi="Barlow Semi Condensed"/>
          <w:b/>
          <w:bCs/>
          <w:sz w:val="24"/>
          <w:szCs w:val="24"/>
        </w:rPr>
        <w:t xml:space="preserve">191 · Il fondo e le BR.</w:t>
      </w:r>
      <w:r>
        <w:rPr>
          <w:rFonts w:ascii="Barlow Semi Condensed" w:cs="Barlow Semi Condensed" w:eastAsia="Barlow Semi Condensed" w:hAnsi="Barlow Semi Condensed"/>
          <w:sz w:val="24"/>
          <w:szCs w:val="24"/>
        </w:rPr>
        <w:t xml:space="preserve"> L'altra metà della domanda: che cosa le Brigate rosse seppero o dissero del denaro — nelle risultanze processuali, nelle dichiarazioni dei condannati, nei comunicati. Il registro del giudicato ha voci su questo: si censiscono, si datano, si collazionano con la parte vaticana.</w:t>
      </w:r>
    </w:p>
    <w:p>
      <w:pPr>
        <w:spacing w:after="120" w:line="276"/>
        <w:jc w:val="both"/>
      </w:pPr>
      <w:r>
        <w:rPr>
          <w:rFonts w:ascii="Barlow Semi Condensed" w:cs="Barlow Semi Condensed" w:eastAsia="Barlow Semi Condensed" w:hAnsi="Barlow Semi Condensed"/>
          <w:b/>
          <w:bCs/>
          <w:sz w:val="24"/>
          <w:szCs w:val="24"/>
        </w:rPr>
        <w:t xml:space="preserve">192 · Le smentite patrimoniali.</w:t>
      </w:r>
      <w:r>
        <w:rPr>
          <w:rFonts w:ascii="Barlow Semi Condensed" w:cs="Barlow Semi Condensed" w:eastAsia="Barlow Semi Condensed" w:hAnsi="Barlow Semi Condensed"/>
          <w:sz w:val="24"/>
          <w:szCs w:val="24"/>
        </w:rPr>
        <w:t xml:space="preserve"> Il Pollo di Popper sul fondo: la ricerca attiva della carta che ridimensioni — una contabilità ordinaria, una restituzione documentata, una rivendicazione smentita. Se il fondo ha una spiegazione più piccola della leggenda, trovarla è un successo del cantiere, non una delusione.</w:t>
      </w:r>
    </w:p>
    <w:p>
      <w:pPr>
        <w:spacing w:after="120" w:line="276"/>
        <w:jc w:val="both"/>
      </w:pPr>
      <w:r>
        <w:rPr>
          <w:rFonts w:ascii="Barlow Semi Condensed" w:cs="Barlow Semi Condensed" w:eastAsia="Barlow Semi Condensed" w:hAnsi="Barlow Semi Condensed"/>
          <w:b/>
          <w:bCs/>
          <w:sz w:val="24"/>
          <w:szCs w:val="24"/>
        </w:rPr>
        <w:t xml:space="preserve">193 · Il confronto coi precedenti.</w:t>
      </w:r>
      <w:r>
        <w:rPr>
          <w:rFonts w:ascii="Barlow Semi Condensed" w:cs="Barlow Semi Condensed" w:eastAsia="Barlow Semi Condensed" w:hAnsi="Barlow Semi Condensed"/>
          <w:sz w:val="24"/>
          <w:szCs w:val="24"/>
        </w:rPr>
        <w:t xml:space="preserve"> I precedenti documentati di disponibilità ecclesiastiche in sequestri italiani (la prassi dei riscatti negli anni Settanta): il contesto seriale in cui la disponibilità vaticana del 1978 va letta. Il caso si misura sul paesaggio: se la Chiesa fece altrove lo stesso, il gesto cambia natura documentale.</w:t>
      </w:r>
    </w:p>
    <w:p>
      <w:pPr>
        <w:spacing w:after="120" w:line="276"/>
        <w:jc w:val="both"/>
      </w:pPr>
      <w:r>
        <w:rPr>
          <w:rFonts w:ascii="Barlow Semi Condensed" w:cs="Barlow Semi Condensed" w:eastAsia="Barlow Semi Condensed" w:hAnsi="Barlow Semi Condensed"/>
          <w:b/>
          <w:bCs/>
          <w:sz w:val="24"/>
          <w:szCs w:val="24"/>
        </w:rPr>
        <w:t xml:space="preserve">194 · La lettera e il denaro.</w:t>
      </w:r>
      <w:r>
        <w:rPr>
          <w:rFonts w:ascii="Barlow Semi Condensed" w:cs="Barlow Semi Condensed" w:eastAsia="Barlow Semi Condensed" w:hAnsi="Barlow Semi Condensed"/>
          <w:sz w:val="24"/>
          <w:szCs w:val="24"/>
        </w:rPr>
        <w:t xml:space="preserve"> L'incrocio filologico: la lettera pubblica di Paolo VI («senza condizioni») contro la disponibilità economica predisposta in riservato — la compatibilità delle due linee, in carta e in cronologia. Il doppio binario documentato della scheda PE-4: qui si esegue, atto su atto.</w:t>
      </w:r>
    </w:p>
    <w:p>
      <w:pPr>
        <w:spacing w:after="120" w:line="276"/>
        <w:jc w:val="both"/>
      </w:pPr>
      <w:r>
        <w:rPr>
          <w:rFonts w:ascii="Barlow Semi Condensed" w:cs="Barlow Semi Condensed" w:eastAsia="Barlow Semi Condensed" w:hAnsi="Barlow Semi Condensed"/>
          <w:b/>
          <w:bCs/>
          <w:sz w:val="24"/>
          <w:szCs w:val="24"/>
        </w:rPr>
        <w:t xml:space="preserve">195 · La tavola del fondo.</w:t>
      </w:r>
      <w:r>
        <w:rPr>
          <w:rFonts w:ascii="Barlow Semi Condensed" w:cs="Barlow Semi Condensed" w:eastAsia="Barlow Semi Condensed" w:hAnsi="Barlow Semi Condensed"/>
          <w:sz w:val="24"/>
          <w:szCs w:val="24"/>
        </w:rPr>
        <w:t xml:space="preserve"> La chiusura della sezione: la tavola dei passaggi patrimoniali con gli stati — documentato, riferito, cella vuota — e le richieste pendenti. Il fondo del riscatto, contato come si conta un bilancio: è l'unico modo rispettoso di trattare il denaro nella morte di un uomo.</w:t>
      </w:r>
    </w:p>
    <w:p>
      <w:pPr>
        <w:pStyle w:val="Heading3"/>
        <w:spacing w:after="80" w:before="160"/>
      </w:pPr>
      <w:r>
        <w:rPr>
          <w:rFonts w:ascii="Barlow Semi Condensed" w:cs="Barlow Semi Condensed" w:eastAsia="Barlow Semi Condensed" w:hAnsi="Barlow Semi Condensed"/>
          <w:sz w:val="24"/>
          <w:szCs w:val="24"/>
        </w:rPr>
        <w:t xml:space="preserve">Le parole pubbliche e la preparazione (blocchi 196-220)</w:t>
      </w:r>
    </w:p>
    <w:p>
      <w:pPr>
        <w:spacing w:after="120" w:line="276"/>
        <w:jc w:val="both"/>
      </w:pPr>
      <w:r>
        <w:rPr>
          <w:rFonts w:ascii="Barlow Semi Condensed" w:cs="Barlow Semi Condensed" w:eastAsia="Barlow Semi Condensed" w:hAnsi="Barlow Semi Condensed"/>
          <w:b/>
          <w:bCs/>
          <w:sz w:val="24"/>
          <w:szCs w:val="24"/>
        </w:rPr>
        <w:t xml:space="preserve">196 · La lettera del 21-22 aprile.</w:t>
      </w:r>
      <w:r>
        <w:rPr>
          <w:rFonts w:ascii="Barlow Semi Condensed" w:cs="Barlow Semi Condensed" w:eastAsia="Barlow Semi Condensed" w:hAnsi="Barlow Semi Condensed"/>
          <w:sz w:val="24"/>
          <w:szCs w:val="24"/>
        </w:rPr>
        <w:t xml:space="preserve"> La lettera di Paolo VI «agli uomini delle Brigate rosse»: scritta di suo pugno nella notte del 21 aprile, resa pubblica sabato 22 aprile 1978 per L'Osservatore Romano e la Radio Vaticana (e con questa data pubblicata su vatican.va). Il testo nella fonte vaticana, la genesi documentata, la storia dell'autografo — la cui sede di conservazione esatta resta da fissare (gli archivi della Santa Sede conservano anche l'audio dell'appello, secondo le fonti vaticane del 2018). La scheda filologica completa: testo, tradizione, conservazione.</w:t>
      </w:r>
    </w:p>
    <w:p>
      <w:pPr>
        <w:spacing w:after="120" w:line="276"/>
        <w:jc w:val="both"/>
      </w:pPr>
      <w:r>
        <w:rPr>
          <w:rFonts w:ascii="Barlow Semi Condensed" w:cs="Barlow Semi Condensed" w:eastAsia="Barlow Semi Condensed" w:hAnsi="Barlow Semi Condensed"/>
          <w:b/>
          <w:bCs/>
          <w:sz w:val="24"/>
          <w:szCs w:val="24"/>
        </w:rPr>
        <w:t xml:space="preserve">197 · «Senza condizioni».</w:t>
      </w:r>
      <w:r>
        <w:rPr>
          <w:rFonts w:ascii="Barlow Semi Condensed" w:cs="Barlow Semi Condensed" w:eastAsia="Barlow Semi Condensed" w:hAnsi="Barlow Semi Condensed"/>
          <w:sz w:val="24"/>
          <w:szCs w:val="24"/>
        </w:rPr>
        <w:t xml:space="preserve"> La filologia della formula: le stesure della lettera, la caduta documentata dell'inciso più discusso (il passaggio dal testo con la clausola alla formula finale, già fissato nella scheda PE-4 con il dettato al segretario), le fonti di ciascun passaggio. Un caso di critica delle varianti al vertice della Chiesa: si tratta come tale.</w:t>
      </w:r>
    </w:p>
    <w:p>
      <w:pPr>
        <w:spacing w:after="120" w:line="276"/>
        <w:jc w:val="both"/>
      </w:pPr>
      <w:r>
        <w:rPr>
          <w:rFonts w:ascii="Barlow Semi Condensed" w:cs="Barlow Semi Condensed" w:eastAsia="Barlow Semi Condensed" w:hAnsi="Barlow Semi Condensed"/>
          <w:b/>
          <w:bCs/>
          <w:sz w:val="24"/>
          <w:szCs w:val="24"/>
        </w:rPr>
        <w:t xml:space="preserve">198 · La ricezione della lettera.</w:t>
      </w:r>
      <w:r>
        <w:rPr>
          <w:rFonts w:ascii="Barlow Semi Condensed" w:cs="Barlow Semi Condensed" w:eastAsia="Barlow Semi Condensed" w:hAnsi="Barlow Semi Condensed"/>
          <w:sz w:val="24"/>
          <w:szCs w:val="24"/>
        </w:rPr>
        <w:t xml:space="preserve"> La tavola delle reazioni datate: come la lettera fu letta — dal Governo, dai partiti, dalle BR (nei comunicati), dalla stampa. La ricezione è parte del documento: la lettera agì nel caso, e la sua azione si documenta ora per ora.</w:t>
      </w:r>
    </w:p>
    <w:p>
      <w:pPr>
        <w:spacing w:after="120" w:line="276"/>
        <w:jc w:val="both"/>
      </w:pPr>
      <w:r>
        <w:rPr>
          <w:rFonts w:ascii="Barlow Semi Condensed" w:cs="Barlow Semi Condensed" w:eastAsia="Barlow Semi Condensed" w:hAnsi="Barlow Semi Condensed"/>
          <w:b/>
          <w:bCs/>
          <w:sz w:val="24"/>
          <w:szCs w:val="24"/>
        </w:rPr>
        <w:t xml:space="preserve">199 · La preghiera del 13 maggio.</w:t>
      </w:r>
      <w:r>
        <w:rPr>
          <w:rFonts w:ascii="Barlow Semi Condensed" w:cs="Barlow Semi Condensed" w:eastAsia="Barlow Semi Condensed" w:hAnsi="Barlow Semi Condensed"/>
          <w:sz w:val="24"/>
          <w:szCs w:val="24"/>
        </w:rPr>
        <w:t xml:space="preserve"> La preghiera di Paolo VI alle esequie di Stato (San Giovanni in Laterano, 13 maggio 1978): il testo nella fonte vaticana, la genesi, le testimonianze sulla scrittura. Il secondo monumento verbale del pontificato sul caso: scheda filologica gemella della lettera.</w:t>
      </w:r>
    </w:p>
    <w:p>
      <w:pPr>
        <w:spacing w:after="120" w:line="276"/>
        <w:jc w:val="both"/>
      </w:pPr>
      <w:r>
        <w:rPr>
          <w:rFonts w:ascii="Barlow Semi Condensed" w:cs="Barlow Semi Condensed" w:eastAsia="Barlow Semi Condensed" w:hAnsi="Barlow Semi Condensed"/>
          <w:b/>
          <w:bCs/>
          <w:sz w:val="24"/>
          <w:szCs w:val="24"/>
        </w:rPr>
        <w:t xml:space="preserve">200 · Il duecentesimo blocco: l'uomo che scrisse due volte.</w:t>
      </w:r>
      <w:r>
        <w:rPr>
          <w:rFonts w:ascii="Barlow Semi Condensed" w:cs="Barlow Semi Condensed" w:eastAsia="Barlow Semi Condensed" w:hAnsi="Barlow Semi Condensed"/>
          <w:sz w:val="24"/>
          <w:szCs w:val="24"/>
        </w:rPr>
        <w:t xml:space="preserve"> La lettura congiunta dei due testi — la lettera all'uomo vivo, la preghiera per l'uomo morto: il dittico montiniano del caso come oggetto di studio unitario, con la cronologia interna del pontificato morente (Paolo VI morì il 6 agosto 1978). Tre mesi che chiusero un pontificato: la loro carta pubblica è già tutta leggibile.</w:t>
      </w:r>
    </w:p>
    <w:p>
      <w:pPr>
        <w:spacing w:after="120" w:line="276"/>
        <w:jc w:val="both"/>
      </w:pPr>
      <w:r>
        <w:rPr>
          <w:rFonts w:ascii="Barlow Semi Condensed" w:cs="Barlow Semi Condensed" w:eastAsia="Barlow Semi Condensed" w:hAnsi="Barlow Semi Condensed"/>
          <w:b/>
          <w:bCs/>
          <w:sz w:val="24"/>
          <w:szCs w:val="24"/>
        </w:rPr>
        <w:t xml:space="preserve">201 · Gli altri interventi.</w:t>
      </w:r>
      <w:r>
        <w:rPr>
          <w:rFonts w:ascii="Barlow Semi Condensed" w:cs="Barlow Semi Condensed" w:eastAsia="Barlow Semi Condensed" w:hAnsi="Barlow Semi Condensed"/>
          <w:sz w:val="24"/>
          <w:szCs w:val="24"/>
        </w:rPr>
        <w:t xml:space="preserve"> Il censimento completo degli interventi pubblici di Paolo VI sul caso — angelus, udienze, telegrammi pubblicati: la cronologia integrale della voce papale nei 55 giorni e fino ad agosto. Ogni parola pubblica datata è un punto fermo su cui le carte private, un giorno, si misureranno.</w:t>
      </w:r>
    </w:p>
    <w:p>
      <w:pPr>
        <w:spacing w:after="120" w:line="276"/>
        <w:jc w:val="both"/>
      </w:pPr>
      <w:r>
        <w:rPr>
          <w:rFonts w:ascii="Barlow Semi Condensed" w:cs="Barlow Semi Condensed" w:eastAsia="Barlow Semi Condensed" w:hAnsi="Barlow Semi Condensed"/>
          <w:b/>
          <w:bCs/>
          <w:sz w:val="24"/>
          <w:szCs w:val="24"/>
        </w:rPr>
        <w:t xml:space="preserve">202 · La diplomazia pubblica della Santa Sede.</w:t>
      </w:r>
      <w:r>
        <w:rPr>
          <w:rFonts w:ascii="Barlow Semi Condensed" w:cs="Barlow Semi Condensed" w:eastAsia="Barlow Semi Condensed" w:hAnsi="Barlow Semi Condensed"/>
          <w:sz w:val="24"/>
          <w:szCs w:val="24"/>
        </w:rPr>
        <w:t xml:space="preserve"> Gli atti pubblici della diplomazia vaticana del periodo: i comunicati della sala stampa, le note ufficiali, le udienze diplomatiche annunciate. La faccia pubblica della macchina — censita ora, per riconoscere domani, all'apertura, la faccia privata.</w:t>
      </w:r>
    </w:p>
    <w:p>
      <w:pPr>
        <w:spacing w:after="120" w:line="276"/>
        <w:jc w:val="both"/>
      </w:pPr>
      <w:r>
        <w:rPr>
          <w:rFonts w:ascii="Barlow Semi Condensed" w:cs="Barlow Semi Condensed" w:eastAsia="Barlow Semi Condensed" w:hAnsi="Barlow Semi Condensed"/>
          <w:b/>
          <w:bCs/>
          <w:sz w:val="24"/>
          <w:szCs w:val="24"/>
        </w:rPr>
        <w:t xml:space="preserve">203 · Le condoglianze e i carteggi pubblici.</w:t>
      </w:r>
      <w:r>
        <w:rPr>
          <w:rFonts w:ascii="Barlow Semi Condensed" w:cs="Barlow Semi Condensed" w:eastAsia="Barlow Semi Condensed" w:hAnsi="Barlow Semi Condensed"/>
          <w:sz w:val="24"/>
          <w:szCs w:val="24"/>
        </w:rPr>
        <w:t xml:space="preserve"> I messaggi pubblicati fra Santa Sede e Stato italiano dopo il 9 maggio: testi, protocolli, cerimoniale. La chiusura pubblica del caso fra i due poteri: un piccolo corpus compiuto, da fissare in edizione.</w:t>
      </w:r>
    </w:p>
    <w:p>
      <w:pPr>
        <w:spacing w:after="120" w:line="276"/>
        <w:jc w:val="both"/>
      </w:pPr>
      <w:r>
        <w:rPr>
          <w:rFonts w:ascii="Barlow Semi Condensed" w:cs="Barlow Semi Condensed" w:eastAsia="Barlow Semi Condensed" w:hAnsi="Barlow Semi Condensed"/>
          <w:b/>
          <w:bCs/>
          <w:sz w:val="24"/>
          <w:szCs w:val="24"/>
        </w:rPr>
        <w:t xml:space="preserve">204 · La memoria liturgica.</w:t>
      </w:r>
      <w:r>
        <w:rPr>
          <w:rFonts w:ascii="Barlow Semi Condensed" w:cs="Barlow Semi Condensed" w:eastAsia="Barlow Semi Condensed" w:hAnsi="Barlow Semi Condensed"/>
          <w:sz w:val="24"/>
          <w:szCs w:val="24"/>
        </w:rPr>
        <w:t xml:space="preserve"> Gli anniversari: come la Chiesa ha ricordato Moro negli anni — messe, omelie dei successori, gesti (la visita di Francesco?). La memoria ecclesiale del caso come serie storica documentata: dice come la Chiesa ha custodito la vicenda nel proprio racconto.</w:t>
      </w:r>
    </w:p>
    <w:p>
      <w:pPr>
        <w:spacing w:after="120" w:line="276"/>
        <w:jc w:val="both"/>
      </w:pPr>
      <w:r>
        <w:rPr>
          <w:rFonts w:ascii="Barlow Semi Condensed" w:cs="Barlow Semi Condensed" w:eastAsia="Barlow Semi Condensed" w:hAnsi="Barlow Semi Condensed"/>
          <w:b/>
          <w:bCs/>
          <w:sz w:val="24"/>
          <w:szCs w:val="24"/>
        </w:rPr>
        <w:t xml:space="preserve">205 · Il magistero sul terrorismo.</w:t>
      </w:r>
      <w:r>
        <w:rPr>
          <w:rFonts w:ascii="Barlow Semi Condensed" w:cs="Barlow Semi Condensed" w:eastAsia="Barlow Semi Condensed" w:hAnsi="Barlow Semi Condensed"/>
          <w:sz w:val="24"/>
          <w:szCs w:val="24"/>
        </w:rPr>
        <w:t xml:space="preserve"> I testi montiniani sul terrorismo e la violenza politica negli anni Settanta, prima del caso: la cornice dottrinale entro cui la lettera del 21 aprile va letta. Il contesto magisteriale è filologia, non devozione: spiega il lessico della lettera.</w:t>
      </w:r>
    </w:p>
    <w:p>
      <w:pPr>
        <w:spacing w:after="120" w:line="276"/>
        <w:jc w:val="both"/>
      </w:pPr>
      <w:r>
        <w:rPr>
          <w:rFonts w:ascii="Barlow Semi Condensed" w:cs="Barlow Semi Condensed" w:eastAsia="Barlow Semi Condensed" w:hAnsi="Barlow Semi Condensed"/>
          <w:b/>
          <w:bCs/>
          <w:sz w:val="24"/>
          <w:szCs w:val="24"/>
        </w:rPr>
        <w:t xml:space="preserve">206 · I quesiti per l'apertura, scritti oggi.</w:t>
      </w:r>
      <w:r>
        <w:rPr>
          <w:rFonts w:ascii="Barlow Semi Condensed" w:cs="Barlow Semi Condensed" w:eastAsia="Barlow Semi Condensed" w:hAnsi="Barlow Semi Condensed"/>
          <w:sz w:val="24"/>
          <w:szCs w:val="24"/>
        </w:rPr>
        <w:t xml:space="preserve"> Il fascicolo formale dei quesiti depositandi (il blocco 126, eseguito): per ogni cella vaticana delle matrici — l'incarico, i contatti, il fondo, la lettera — la domanda esatta e la serie attesa. Scritto, datato, pubblicato: il giorno dell'apertura, il cantiere non improvviserà.</w:t>
      </w:r>
    </w:p>
    <w:p>
      <w:pPr>
        <w:spacing w:after="120" w:line="276"/>
        <w:jc w:val="both"/>
      </w:pPr>
      <w:r>
        <w:rPr>
          <w:rFonts w:ascii="Barlow Semi Condensed" w:cs="Barlow Semi Condensed" w:eastAsia="Barlow Semi Condensed" w:hAnsi="Barlow Semi Condensed"/>
          <w:b/>
          <w:bCs/>
          <w:sz w:val="24"/>
          <w:szCs w:val="24"/>
        </w:rPr>
        <w:t xml:space="preserve">207 · Le serie da chiedere per prime.</w:t>
      </w:r>
      <w:r>
        <w:rPr>
          <w:rFonts w:ascii="Barlow Semi Condensed" w:cs="Barlow Semi Condensed" w:eastAsia="Barlow Semi Condensed" w:hAnsi="Barlow Semi Condensed"/>
          <w:sz w:val="24"/>
          <w:szCs w:val="24"/>
        </w:rPr>
        <w:t xml:space="preserve"> La graduatoria delle serie attese per rendimento: le carte della Segreteria di Stato dei 55 giorni, le udienze, il carteggio del segretario particolare, la nunziatura in Italia. La prima settimana di sala, pianificata con anni di anticipo: è il vantaggio che il metodo può comprare oggi.</w:t>
      </w:r>
    </w:p>
    <w:p>
      <w:pPr>
        <w:spacing w:after="120" w:line="276"/>
        <w:jc w:val="both"/>
      </w:pPr>
      <w:r>
        <w:rPr>
          <w:rFonts w:ascii="Barlow Semi Condensed" w:cs="Barlow Semi Condensed" w:eastAsia="Barlow Semi Condensed" w:hAnsi="Barlow Semi Condensed"/>
          <w:b/>
          <w:bCs/>
          <w:sz w:val="24"/>
          <w:szCs w:val="24"/>
        </w:rPr>
        <w:t xml:space="preserve">208 · Gli studiosi da coalizzare.</w:t>
      </w:r>
      <w:r>
        <w:rPr>
          <w:rFonts w:ascii="Barlow Semi Condensed" w:cs="Barlow Semi Condensed" w:eastAsia="Barlow Semi Condensed" w:hAnsi="Barlow Semi Condensed"/>
          <w:sz w:val="24"/>
          <w:szCs w:val="24"/>
        </w:rPr>
        <w:t xml:space="preserve"> La rete degli studiosi di Montini e del caso da riunire prima dell'apertura: la lezione del 2020 (chi collaborò raccolse di più). Il cantiere propone il coordinamento — inventari condivisi, lotti divisi, edizioni comuni — perché l'apertura non diventi una corsa di solitari.</w:t>
      </w:r>
    </w:p>
    <w:p>
      <w:pPr>
        <w:spacing w:after="120" w:line="276"/>
        <w:jc w:val="both"/>
      </w:pPr>
      <w:r>
        <w:rPr>
          <w:rFonts w:ascii="Barlow Semi Condensed" w:cs="Barlow Semi Condensed" w:eastAsia="Barlow Semi Condensed" w:hAnsi="Barlow Semi Condensed"/>
          <w:b/>
          <w:bCs/>
          <w:sz w:val="24"/>
          <w:szCs w:val="24"/>
        </w:rPr>
        <w:t xml:space="preserve">209 · L'edizione attesa.</w:t>
      </w:r>
      <w:r>
        <w:rPr>
          <w:rFonts w:ascii="Barlow Semi Condensed" w:cs="Barlow Semi Condensed" w:eastAsia="Barlow Semi Condensed" w:hAnsi="Barlow Semi Condensed"/>
          <w:sz w:val="24"/>
          <w:szCs w:val="24"/>
        </w:rPr>
        <w:t xml:space="preserve"> Il progetto editoriale pronto: l'edizione critica delle carte vaticane del caso — criteri, apparati, responsabilità — scritta prima che le carte esistano per il pubblico. Quando l'archivio aprirà, il contenitore scientifico sarà già costruito: si riempirà, non si inventerà.</w:t>
      </w:r>
    </w:p>
    <w:p>
      <w:pPr>
        <w:spacing w:after="120" w:line="276"/>
        <w:jc w:val="both"/>
      </w:pPr>
      <w:r>
        <w:rPr>
          <w:rFonts w:ascii="Barlow Semi Condensed" w:cs="Barlow Semi Condensed" w:eastAsia="Barlow Semi Condensed" w:hAnsi="Barlow Semi Condensed"/>
          <w:b/>
          <w:bCs/>
          <w:sz w:val="24"/>
          <w:szCs w:val="24"/>
        </w:rPr>
        <w:t xml:space="preserve">210 · Il decimo di preparazione.</w:t>
      </w:r>
      <w:r>
        <w:rPr>
          <w:rFonts w:ascii="Barlow Semi Condensed" w:cs="Barlow Semi Condensed" w:eastAsia="Barlow Semi Condensed" w:hAnsi="Barlow Semi Condensed"/>
          <w:sz w:val="24"/>
          <w:szCs w:val="24"/>
        </w:rPr>
        <w:t xml:space="preserve"> La revisione annuale della sezione: ogni anno, il fascicolo dei quesiti si rilegge contro ciò che nel frattempo è emerso dalle vie indirette — e si aggiorna per nota. La preparazione all'apertura è un organismo vivo, non un cassetto.</w:t>
      </w:r>
    </w:p>
    <w:p>
      <w:pPr>
        <w:spacing w:after="120" w:line="276"/>
        <w:jc w:val="both"/>
      </w:pPr>
      <w:r>
        <w:rPr>
          <w:rFonts w:ascii="Barlow Semi Condensed" w:cs="Barlow Semi Condensed" w:eastAsia="Barlow Semi Condensed" w:hAnsi="Barlow Semi Condensed"/>
          <w:b/>
          <w:bCs/>
          <w:sz w:val="24"/>
          <w:szCs w:val="24"/>
        </w:rPr>
        <w:t xml:space="preserve">211 · La disciplina del sacro.</w:t>
      </w:r>
      <w:r>
        <w:rPr>
          <w:rFonts w:ascii="Barlow Semi Condensed" w:cs="Barlow Semi Condensed" w:eastAsia="Barlow Semi Condensed" w:hAnsi="Barlow Semi Condensed"/>
          <w:sz w:val="24"/>
          <w:szCs w:val="24"/>
        </w:rPr>
        <w:t xml:space="preserve"> La regola di lettura dedicata: le carte ecclesiastiche si leggono con le categorie loro — il genere (minuta, udienza, appunto di segreteria), la funzione, il destinatario — e mai come «segreti» per costruzione. Il cantiere vaticano è un cantiere d'archivistica, non di suggestione: la parola «mistero» non appartiene al suo lessico.</w:t>
      </w:r>
    </w:p>
    <w:p>
      <w:pPr>
        <w:spacing w:after="120" w:line="276"/>
        <w:jc w:val="both"/>
      </w:pPr>
      <w:r>
        <w:rPr>
          <w:rFonts w:ascii="Barlow Semi Condensed" w:cs="Barlow Semi Condensed" w:eastAsia="Barlow Semi Condensed" w:hAnsi="Barlow Semi Condensed"/>
          <w:b/>
          <w:bCs/>
          <w:sz w:val="24"/>
          <w:szCs w:val="24"/>
        </w:rPr>
        <w:t xml:space="preserve">212 · Il rispetto e il rigore.</w:t>
      </w:r>
      <w:r>
        <w:rPr>
          <w:rFonts w:ascii="Barlow Semi Condensed" w:cs="Barlow Semi Condensed" w:eastAsia="Barlow Semi Condensed" w:hAnsi="Barlow Semi Condensed"/>
          <w:sz w:val="24"/>
          <w:szCs w:val="24"/>
        </w:rPr>
        <w:t xml:space="preserve"> La seconda regola: il cantiere tratta la Chiesa come ogni altro produttore d'archivi — con le richieste formali, la gratitudine scritta, il rispetto delle regole interne — e con lo stesso rigore: le assenze si verbalizzano, le divergenze si tabulano, nessuna reverenza sconta un grado. Rispetto e rigore, insieme o niente.</w:t>
      </w:r>
    </w:p>
    <w:p>
      <w:pPr>
        <w:spacing w:after="120" w:line="276"/>
        <w:jc w:val="both"/>
      </w:pPr>
      <w:r>
        <w:rPr>
          <w:rFonts w:ascii="Barlow Semi Condensed" w:cs="Barlow Semi Condensed" w:eastAsia="Barlow Semi Condensed" w:hAnsi="Barlow Semi Condensed"/>
          <w:b/>
          <w:bCs/>
          <w:sz w:val="24"/>
          <w:szCs w:val="24"/>
        </w:rPr>
        <w:t xml:space="preserve">213 · Il raccordo con PE-4.</w:t>
      </w:r>
      <w:r>
        <w:rPr>
          <w:rFonts w:ascii="Barlow Semi Condensed" w:cs="Barlow Semi Condensed" w:eastAsia="Barlow Semi Condensed" w:hAnsi="Barlow Semi Condensed"/>
          <w:sz w:val="24"/>
          <w:szCs w:val="24"/>
        </w:rPr>
        <w:t xml:space="preserve"> La tavola di corrispondenza con la scheda dell'entità (la mediazione vaticana, 54,0 punti): ogni blocco della parte dichiara quale voce della scheda esegue o aggiorna. La scheda resta il quadro; il cantiere è il suo braccio — e gli aggiornamenti tornano alla scheda per nota.</w:t>
      </w:r>
    </w:p>
    <w:p>
      <w:pPr>
        <w:spacing w:after="120" w:line="276"/>
        <w:jc w:val="both"/>
      </w:pPr>
      <w:r>
        <w:rPr>
          <w:rFonts w:ascii="Barlow Semi Condensed" w:cs="Barlow Semi Condensed" w:eastAsia="Barlow Semi Condensed" w:hAnsi="Barlow Semi Condensed"/>
          <w:b/>
          <w:bCs/>
          <w:sz w:val="24"/>
          <w:szCs w:val="24"/>
        </w:rPr>
        <w:t xml:space="preserve">214 · Il raccordo coi quesiti costitutivi.</w:t>
      </w:r>
      <w:r>
        <w:rPr>
          <w:rFonts w:ascii="Barlow Semi Condensed" w:cs="Barlow Semi Condensed" w:eastAsia="Barlow Semi Condensed" w:hAnsi="Barlow Semi Condensed"/>
          <w:sz w:val="24"/>
          <w:szCs w:val="24"/>
        </w:rPr>
        <w:t xml:space="preserve"> La tavola verso l'agenda: i blocchi vaticani servono il quesito 11 (la mediazione e il fondo), il 9 (le lettere, per il tratto ecclesiastico) e il 14 (le voci da raccogliere). Nessun blocco orfano nemmeno qui: chi non serve un quesito esce.</w:t>
      </w:r>
    </w:p>
    <w:p>
      <w:pPr>
        <w:spacing w:after="120" w:line="276"/>
        <w:jc w:val="both"/>
      </w:pPr>
      <w:r>
        <w:rPr>
          <w:rFonts w:ascii="Barlow Semi Condensed" w:cs="Barlow Semi Condensed" w:eastAsia="Barlow Semi Condensed" w:hAnsi="Barlow Semi Condensed"/>
          <w:b/>
          <w:bCs/>
          <w:sz w:val="24"/>
          <w:szCs w:val="24"/>
        </w:rPr>
        <w:t xml:space="preserve">215 · Le voci ecclesiastiche viventi.</w:t>
      </w:r>
      <w:r>
        <w:rPr>
          <w:rFonts w:ascii="Barlow Semi Condensed" w:cs="Barlow Semi Condensed" w:eastAsia="Barlow Semi Condensed" w:hAnsi="Barlow Semi Condensed"/>
          <w:sz w:val="24"/>
          <w:szCs w:val="24"/>
        </w:rPr>
        <w:t xml:space="preserve"> La raccolta conservativa del clero vivente che toccò il caso — collaboratori superstiti, testimoni delle cerimonie, personale degli uffici: con le regole della serie quinta e il limite del blocco 151 (il sigillo non si chiede). L'urgenza biologica vale anche in porpora.</w:t>
      </w:r>
    </w:p>
    <w:p>
      <w:pPr>
        <w:spacing w:after="120" w:line="276"/>
        <w:jc w:val="both"/>
      </w:pPr>
      <w:r>
        <w:rPr>
          <w:rFonts w:ascii="Barlow Semi Condensed" w:cs="Barlow Semi Condensed" w:eastAsia="Barlow Semi Condensed" w:hAnsi="Barlow Semi Condensed"/>
          <w:b/>
          <w:bCs/>
          <w:sz w:val="24"/>
          <w:szCs w:val="24"/>
        </w:rPr>
        <w:t xml:space="preserve">216 · Il calendario vaticano.</w:t>
      </w:r>
      <w:r>
        <w:rPr>
          <w:rFonts w:ascii="Barlow Semi Condensed" w:cs="Barlow Semi Condensed" w:eastAsia="Barlow Semi Condensed" w:hAnsi="Barlow Semi Condensed"/>
          <w:sz w:val="24"/>
          <w:szCs w:val="24"/>
        </w:rPr>
        <w:t xml:space="preserve"> La tavola delle scadenze del cantiere: le aperture attese (senza data certa: si registra l'incertezza), le cause in corso, le serie indirette in versamento. Il motore delle scadenze, colonna vaticana — con la casella più importante segnata «apertura Paolo VI: data ignota, quesiti pronti».</w:t>
      </w:r>
    </w:p>
    <w:p>
      <w:pPr>
        <w:spacing w:after="120" w:line="276"/>
        <w:jc w:val="both"/>
      </w:pPr>
      <w:r>
        <w:rPr>
          <w:rFonts w:ascii="Barlow Semi Condensed" w:cs="Barlow Semi Condensed" w:eastAsia="Barlow Semi Condensed" w:hAnsi="Barlow Semi Condensed"/>
          <w:b/>
          <w:bCs/>
          <w:sz w:val="24"/>
          <w:szCs w:val="24"/>
        </w:rPr>
        <w:t xml:space="preserve">217 · I vuoti vaticani.</w:t>
      </w:r>
      <w:r>
        <w:rPr>
          <w:rFonts w:ascii="Barlow Semi Condensed" w:cs="Barlow Semi Condensed" w:eastAsia="Barlow Semi Condensed" w:hAnsi="Barlow Semi Condensed"/>
          <w:sz w:val="24"/>
          <w:szCs w:val="24"/>
        </w:rPr>
        <w:t xml:space="preserve"> Il verbale dei vuoti della parte: le vie indirette battute a vuoto, i fondi non censiti, le richieste negate con motivazione. Lo Stato Zero ecclesiastico si scrive con la stessa penna degli altri: perimetro, data, firma.</w:t>
      </w:r>
    </w:p>
    <w:p>
      <w:pPr>
        <w:spacing w:after="120" w:line="276"/>
        <w:jc w:val="both"/>
      </w:pPr>
      <w:r>
        <w:rPr>
          <w:rFonts w:ascii="Barlow Semi Condensed" w:cs="Barlow Semi Condensed" w:eastAsia="Barlow Semi Condensed" w:hAnsi="Barlow Semi Condensed"/>
          <w:b/>
          <w:bCs/>
          <w:sz w:val="24"/>
          <w:szCs w:val="24"/>
        </w:rPr>
        <w:t xml:space="preserve">218 · La contro-lettura laica.</w:t>
      </w:r>
      <w:r>
        <w:rPr>
          <w:rFonts w:ascii="Barlow Semi Condensed" w:cs="Barlow Semi Condensed" w:eastAsia="Barlow Semi Condensed" w:hAnsi="Barlow Semi Condensed"/>
          <w:sz w:val="24"/>
          <w:szCs w:val="24"/>
        </w:rPr>
        <w:t xml:space="preserve"> Il controllo incrociato permanente: ogni fatto ecclesiastico si verifica anche sulle carte civili parallele (i registri penitenziari, gli atti di governo, la stampa laica) e viceversa. Nessuna delle due tradizioni documentali fa fede da sola sui fatti che le attraversano entrambe.</w:t>
      </w:r>
    </w:p>
    <w:p>
      <w:pPr>
        <w:spacing w:after="120" w:line="276"/>
        <w:jc w:val="both"/>
      </w:pPr>
      <w:r>
        <w:rPr>
          <w:rFonts w:ascii="Barlow Semi Condensed" w:cs="Barlow Semi Condensed" w:eastAsia="Barlow Semi Condensed" w:hAnsi="Barlow Semi Condensed"/>
          <w:b/>
          <w:bCs/>
          <w:sz w:val="24"/>
          <w:szCs w:val="24"/>
        </w:rPr>
        <w:t xml:space="preserve">219 · La sintesi del cantiere chiuso.</w:t>
      </w:r>
      <w:r>
        <w:rPr>
          <w:rFonts w:ascii="Barlow Semi Condensed" w:cs="Barlow Semi Condensed" w:eastAsia="Barlow Semi Condensed" w:hAnsi="Barlow Semi Condensed"/>
          <w:sz w:val="24"/>
          <w:szCs w:val="24"/>
        </w:rPr>
        <w:t xml:space="preserve"> Il prodotto d'insieme: lo stato dell'arte documentale sul Vaticano e il caso — che cosa è accertato (per atti parlamentari e fonti aperte), che cosa è riferito, che cosa aspetta l'archivio. Una pagina onesta che il dibattito pubblico non ha mai avuto: né reticenza né leggenda — l'inventario.</w:t>
      </w:r>
    </w:p>
    <w:p>
      <w:pPr>
        <w:spacing w:after="120" w:line="276"/>
        <w:jc w:val="both"/>
      </w:pPr>
      <w:r>
        <w:rPr>
          <w:rFonts w:ascii="Barlow Semi Condensed" w:cs="Barlow Semi Condensed" w:eastAsia="Barlow Semi Condensed" w:hAnsi="Barlow Semi Condensed"/>
          <w:b/>
          <w:bCs/>
          <w:sz w:val="24"/>
          <w:szCs w:val="24"/>
        </w:rPr>
        <w:t xml:space="preserve">220 · La tavola vaticana.</w:t>
      </w:r>
      <w:r>
        <w:rPr>
          <w:rFonts w:ascii="Barlow Semi Condensed" w:cs="Barlow Semi Condensed" w:eastAsia="Barlow Semi Condensed" w:hAnsi="Barlow Semi Condensed"/>
          <w:sz w:val="24"/>
          <w:szCs w:val="24"/>
        </w:rPr>
        <w:t xml:space="preserve"> La chiusura della parte: gli stati di tutti i bersagli (121-219), le pendenze, il fascicolo dei quesiti depositato. Il cantiere dell'archivio chiuso consegna la sua contabilità — e la sua lezione: si può lavorare moltissimo, aspettando bene.</w:t>
      </w:r>
    </w:p>
    <w:p>
      <w:pPr>
        <w:pStyle w:val="Heading2"/>
        <w:spacing w:after="100" w:before="200"/>
      </w:pPr>
      <w:r>
        <w:rPr>
          <w:rFonts w:ascii="Barlow Semi Condensed" w:cs="Barlow Semi Condensed" w:eastAsia="Barlow Semi Condensed" w:hAnsi="Barlow Semi Condensed"/>
          <w:sz w:val="24"/>
          <w:szCs w:val="24"/>
        </w:rPr>
        <w:t xml:space="preserve">Parte terza — I fondi privati e di partito (blocchi 221-330)</w:t>
      </w:r>
    </w:p>
    <w:p>
      <w:pPr>
        <w:spacing w:after="120" w:line="276"/>
        <w:jc w:val="both"/>
      </w:pPr>
      <w:r>
        <w:rPr>
          <w:rFonts w:ascii="Barlow Semi Condensed" w:cs="Barlow Semi Condensed" w:eastAsia="Barlow Semi Condensed" w:hAnsi="Barlow Semi Condensed"/>
          <w:i/>
          <w:iCs/>
          <w:sz w:val="24"/>
          <w:szCs w:val="24"/>
        </w:rPr>
        <w:t xml:space="preserve">Statuto della parte: gli archivi degli uomini. Le carte dei protagonisti esistono, sono censite e in gran parte consultabili — la verifica condotta per quest'opera ne ha fissato le sedi: Andreotti all'Istituto Sturzo, Cossiga all'Archivio storico della Camera, Fanfani all'Archivio storico del Senato, Craxi alla sua Fondazione, la DC allo Sturzo, il PCI alla Fondazione Gramsci, e le carte di Moro in tre nuclei distinti che il cantiere per primo distingue. La parte trasforma il censimento in campagne di spoglio, con la disciplina costante: una carta privata prova ciò che il suo autore scrisse e quando — non ciò che accadde.</w:t>
      </w:r>
    </w:p>
    <w:p>
      <w:pPr>
        <w:pStyle w:val="Heading3"/>
        <w:spacing w:after="80" w:before="160"/>
      </w:pPr>
      <w:r>
        <w:rPr>
          <w:rFonts w:ascii="Barlow Semi Condensed" w:cs="Barlow Semi Condensed" w:eastAsia="Barlow Semi Condensed" w:hAnsi="Barlow Semi Condensed"/>
          <w:sz w:val="24"/>
          <w:szCs w:val="24"/>
        </w:rPr>
        <w:t xml:space="preserve">I tre nuclei di Moro (blocchi 221-235)</w:t>
      </w:r>
    </w:p>
    <w:p>
      <w:pPr>
        <w:spacing w:after="120" w:line="276"/>
        <w:jc w:val="both"/>
      </w:pPr>
      <w:r>
        <w:rPr>
          <w:rFonts w:ascii="Barlow Semi Condensed" w:cs="Barlow Semi Condensed" w:eastAsia="Barlow Semi Condensed" w:hAnsi="Barlow Semi Condensed"/>
          <w:b/>
          <w:bCs/>
          <w:sz w:val="24"/>
          <w:szCs w:val="24"/>
        </w:rPr>
        <w:t xml:space="preserve">221 · Il fondo dell'uomo.</w:t>
      </w:r>
      <w:r>
        <w:rPr>
          <w:rFonts w:ascii="Barlow Semi Condensed" w:cs="Barlow Semi Condensed" w:eastAsia="Barlow Semi Condensed" w:hAnsi="Barlow Semi Condensed"/>
          <w:sz w:val="24"/>
          <w:szCs w:val="24"/>
        </w:rPr>
        <w:t xml:space="preserve"> Il primo nucleo, verificato: il fondo personale «Aldo Moro» all'Archivio centrale dello Stato — carte 1953-1978, duecentodiciotto buste (attività politica, parlamentare e di governo, corrispondenza, carte personali), con inventario analitico informatizzato e digitalizzazione parziale. Prima campagna del cantiere: lo spoglio delle serie dell'ultimo anno.</w:t>
      </w:r>
    </w:p>
    <w:p>
      <w:pPr>
        <w:spacing w:after="120" w:line="276"/>
        <w:jc w:val="both"/>
      </w:pPr>
      <w:r>
        <w:rPr>
          <w:rFonts w:ascii="Barlow Semi Condensed" w:cs="Barlow Semi Condensed" w:eastAsia="Barlow Semi Condensed" w:hAnsi="Barlow Semi Condensed"/>
          <w:b/>
          <w:bCs/>
          <w:sz w:val="24"/>
          <w:szCs w:val="24"/>
        </w:rPr>
        <w:t xml:space="preserve">222 · Il fondo della famiglia.</w:t>
      </w:r>
      <w:r>
        <w:rPr>
          <w:rFonts w:ascii="Barlow Semi Condensed" w:cs="Barlow Semi Condensed" w:eastAsia="Barlow Semi Condensed" w:hAnsi="Barlow Semi Condensed"/>
          <w:sz w:val="24"/>
          <w:szCs w:val="24"/>
        </w:rPr>
        <w:t xml:space="preserve"> Il secondo nucleo, verificato: le carte personali e familiari (dagli anni Trenta in poi) depositate dalla famiglia presso il Centro documentazione Archivio Flamigni fra il 2012 e il 2016 — il fondo «Aldo Moro (Archivio Flamigni)». La distinzione è metodo: le carte che lo Stato conserva e quelle che la famiglia ha affidato a un istituto privato rispondono a storie archivistiche diverse — e il cantiere le censisce separatamente, con le rispettive regole d'accesso.</w:t>
      </w:r>
    </w:p>
    <w:p>
      <w:pPr>
        <w:spacing w:after="120" w:line="276"/>
        <w:jc w:val="both"/>
      </w:pPr>
      <w:r>
        <w:rPr>
          <w:rFonts w:ascii="Barlow Semi Condensed" w:cs="Barlow Semi Condensed" w:eastAsia="Barlow Semi Condensed" w:hAnsi="Barlow Semi Condensed"/>
          <w:b/>
          <w:bCs/>
          <w:sz w:val="24"/>
          <w:szCs w:val="24"/>
        </w:rPr>
        <w:t xml:space="preserve">223 · Il terzo nucleo, che non è suo.</w:t>
      </w:r>
      <w:r>
        <w:rPr>
          <w:rFonts w:ascii="Barlow Semi Condensed" w:cs="Barlow Semi Condensed" w:eastAsia="Barlow Semi Condensed" w:hAnsi="Barlow Semi Condensed"/>
          <w:sz w:val="24"/>
          <w:szCs w:val="24"/>
        </w:rPr>
        <w:t xml:space="preserve"> Il chiarimento permanente: la documentazione statale sul sequestro versata all'ACS per le direttive (la raccolta speciale della serie seconda dell'agenda) non è un fondo Moro — è lo Stato che documenta se stesso. Tre nuclei, tre nature: l'uomo, la famiglia, lo Stato. Chi li confonde cita male; il cantiere li tiene divisi.</w:t>
      </w:r>
    </w:p>
    <w:p>
      <w:pPr>
        <w:spacing w:after="120" w:line="276"/>
        <w:jc w:val="both"/>
      </w:pPr>
      <w:r>
        <w:rPr>
          <w:rFonts w:ascii="Barlow Semi Condensed" w:cs="Barlow Semi Condensed" w:eastAsia="Barlow Semi Condensed" w:hAnsi="Barlow Semi Condensed"/>
          <w:b/>
          <w:bCs/>
          <w:sz w:val="24"/>
          <w:szCs w:val="24"/>
        </w:rPr>
        <w:t xml:space="preserve">224 · L'inventario delle 218 buste.</w:t>
      </w:r>
      <w:r>
        <w:rPr>
          <w:rFonts w:ascii="Barlow Semi Condensed" w:cs="Barlow Semi Condensed" w:eastAsia="Barlow Semi Condensed" w:hAnsi="Barlow Semi Condensed"/>
          <w:sz w:val="24"/>
          <w:szCs w:val="24"/>
        </w:rPr>
        <w:t xml:space="preserve"> Lo spoglio dell'inventario analitico del fondo personale: la mappa delle serie, i pieni e i vuoti cronologici, le carte del 1978 presenti e assenti. Che cosa del suo ultimo anno Moro lasciò in carte proprie — e che cosa non c'è — è la prima tavola del cantiere.</w:t>
      </w:r>
    </w:p>
    <w:p>
      <w:pPr>
        <w:spacing w:after="120" w:line="276"/>
        <w:jc w:val="both"/>
      </w:pPr>
      <w:r>
        <w:rPr>
          <w:rFonts w:ascii="Barlow Semi Condensed" w:cs="Barlow Semi Condensed" w:eastAsia="Barlow Semi Condensed" w:hAnsi="Barlow Semi Condensed"/>
          <w:b/>
          <w:bCs/>
          <w:sz w:val="24"/>
          <w:szCs w:val="24"/>
        </w:rPr>
        <w:t xml:space="preserve">225 · Le carte del docente.</w:t>
      </w:r>
      <w:r>
        <w:rPr>
          <w:rFonts w:ascii="Barlow Semi Condensed" w:cs="Barlow Semi Condensed" w:eastAsia="Barlow Semi Condensed" w:hAnsi="Barlow Semi Condensed"/>
          <w:sz w:val="24"/>
          <w:szCs w:val="24"/>
        </w:rPr>
        <w:t xml:space="preserve"> Dentro il fondo e fuori: le carte dell'insegnamento — i corsi alla Sapienza, gli appunti, i rapporti accademici. L'ultimo mattino dell'uomo passava per l'università: il perimetro documentale del Moro professore appartiene al caso quanto quello dello statista.</w:t>
      </w:r>
    </w:p>
    <w:p>
      <w:pPr>
        <w:spacing w:after="120" w:line="276"/>
        <w:jc w:val="both"/>
      </w:pPr>
      <w:r>
        <w:rPr>
          <w:rFonts w:ascii="Barlow Semi Condensed" w:cs="Barlow Semi Condensed" w:eastAsia="Barlow Semi Condensed" w:hAnsi="Barlow Semi Condensed"/>
          <w:b/>
          <w:bCs/>
          <w:sz w:val="24"/>
          <w:szCs w:val="24"/>
        </w:rPr>
        <w:t xml:space="preserve">226 · La corrispondenza in entrata.</w:t>
      </w:r>
      <w:r>
        <w:rPr>
          <w:rFonts w:ascii="Barlow Semi Condensed" w:cs="Barlow Semi Condensed" w:eastAsia="Barlow Semi Condensed" w:hAnsi="Barlow Semi Condensed"/>
          <w:sz w:val="24"/>
          <w:szCs w:val="24"/>
        </w:rPr>
        <w:t xml:space="preserve"> Le serie di corrispondenza del fondo personale: chi scriveva a Moro e di che cosa, negli anni e nei mesi finali. La rete epistolare dell'uomo, tabulata per corrispondenti e date, è la sua sinaptogenesi personale — e le lettere dell'inverno 1978 sono le più dense di contesto.</w:t>
      </w:r>
    </w:p>
    <w:p>
      <w:pPr>
        <w:spacing w:after="120" w:line="276"/>
        <w:jc w:val="both"/>
      </w:pPr>
      <w:r>
        <w:rPr>
          <w:rFonts w:ascii="Barlow Semi Condensed" w:cs="Barlow Semi Condensed" w:eastAsia="Barlow Semi Condensed" w:hAnsi="Barlow Semi Condensed"/>
          <w:b/>
          <w:bCs/>
          <w:sz w:val="24"/>
          <w:szCs w:val="24"/>
        </w:rPr>
        <w:t xml:space="preserve">227 · L'Accademia e la sua biblioteca.</w:t>
      </w:r>
      <w:r>
        <w:rPr>
          <w:rFonts w:ascii="Barlow Semi Condensed" w:cs="Barlow Semi Condensed" w:eastAsia="Barlow Semi Condensed" w:hAnsi="Barlow Semi Condensed"/>
          <w:sz w:val="24"/>
          <w:szCs w:val="24"/>
        </w:rPr>
        <w:t xml:space="preserve"> L'Accademia di studi storici Aldo Moro: che cosa conserva — biblioteca, materiali, edizioni — e che cosa promuove. L'istituto dedicato all'uomo è un nodo della rete degli studi: il cantiere ne censisce il patrimonio e vi deposita i propri strumenti.</w:t>
      </w:r>
    </w:p>
    <w:p>
      <w:pPr>
        <w:spacing w:after="120" w:line="276"/>
        <w:jc w:val="both"/>
      </w:pPr>
      <w:r>
        <w:rPr>
          <w:rFonts w:ascii="Barlow Semi Condensed" w:cs="Barlow Semi Condensed" w:eastAsia="Barlow Semi Condensed" w:hAnsi="Barlow Semi Condensed"/>
          <w:b/>
          <w:bCs/>
          <w:sz w:val="24"/>
          <w:szCs w:val="24"/>
        </w:rPr>
        <w:t xml:space="preserve">228 · L'Edizione nazionale.</w:t>
      </w:r>
      <w:r>
        <w:rPr>
          <w:rFonts w:ascii="Barlow Semi Condensed" w:cs="Barlow Semi Condensed" w:eastAsia="Barlow Semi Condensed" w:hAnsi="Barlow Semi Condensed"/>
          <w:sz w:val="24"/>
          <w:szCs w:val="24"/>
        </w:rPr>
        <w:t xml:space="preserve"> Il fatto verificato: l'Edizione nazionale delle opere di Aldo Moro, istituita nel 2016 dal Ministero della Cultura, è un'edizione digitale ad accesso aperto curata all'Università di Bologna (aldomorodigitale.unibo.it), con attività dichiarate di analisi linguistica e retorica degli scritti. Il cantiere si raccorda: che cosa è uscito, che cosa è in preparazione, quali fondi usa — l'edizione è l'alleato naturale di ogni filologia morotea.</w:t>
      </w:r>
    </w:p>
    <w:p>
      <w:pPr>
        <w:spacing w:after="120" w:line="276"/>
        <w:jc w:val="both"/>
      </w:pPr>
      <w:r>
        <w:rPr>
          <w:rFonts w:ascii="Barlow Semi Condensed" w:cs="Barlow Semi Condensed" w:eastAsia="Barlow Semi Condensed" w:hAnsi="Barlow Semi Condensed"/>
          <w:b/>
          <w:bCs/>
          <w:sz w:val="24"/>
          <w:szCs w:val="24"/>
        </w:rPr>
        <w:t xml:space="preserve">229 · Le lettere in edizione.</w:t>
      </w:r>
      <w:r>
        <w:rPr>
          <w:rFonts w:ascii="Barlow Semi Condensed" w:cs="Barlow Semi Condensed" w:eastAsia="Barlow Semi Condensed" w:hAnsi="Barlow Semi Condensed"/>
          <w:sz w:val="24"/>
          <w:szCs w:val="24"/>
        </w:rPr>
        <w:t xml:space="preserve"> L'edizione critica delle lettere dalla prigionia (la curatela di Miguel Gotor, Einaudi 2008): l'apparato, i criteri, il censimento dei testimoni manoscritti. La base filologica del quesito 9 dell'agenda: il cantiere la assume, la verifica a campione e vi aggancia le carte nuove.</w:t>
      </w:r>
    </w:p>
    <w:p>
      <w:pPr>
        <w:spacing w:after="120" w:line="276"/>
        <w:jc w:val="both"/>
      </w:pPr>
      <w:r>
        <w:rPr>
          <w:rFonts w:ascii="Barlow Semi Condensed" w:cs="Barlow Semi Condensed" w:eastAsia="Barlow Semi Condensed" w:hAnsi="Barlow Semi Condensed"/>
          <w:b/>
          <w:bCs/>
          <w:sz w:val="24"/>
          <w:szCs w:val="24"/>
        </w:rPr>
        <w:t xml:space="preserve">230 · Il memoriale in edizione.</w:t>
      </w:r>
      <w:r>
        <w:rPr>
          <w:rFonts w:ascii="Barlow Semi Condensed" w:cs="Barlow Semi Condensed" w:eastAsia="Barlow Semi Condensed" w:hAnsi="Barlow Semi Condensed"/>
          <w:sz w:val="24"/>
          <w:szCs w:val="24"/>
        </w:rPr>
        <w:t xml:space="preserve"> Il secondo pilastro editoriale: il lavoro critico sul memoriale (la curatela Gotor del 2011 e l'edizione critica del 2020 presentata all'Archivio di Stato di Roma). Due imprese filologiche distinte, con criteri propri: la tavola comparata delle edizioni è il primo strumento della Parte quinta — e nasce qui, fra i fondi.</w:t>
      </w:r>
    </w:p>
    <w:p>
      <w:pPr>
        <w:spacing w:after="120" w:line="276"/>
        <w:jc w:val="both"/>
      </w:pPr>
      <w:r>
        <w:rPr>
          <w:rFonts w:ascii="Barlow Semi Condensed" w:cs="Barlow Semi Condensed" w:eastAsia="Barlow Semi Condensed" w:hAnsi="Barlow Semi Condensed"/>
          <w:b/>
          <w:bCs/>
          <w:sz w:val="24"/>
          <w:szCs w:val="24"/>
        </w:rPr>
        <w:t xml:space="preserve">231 · Gli scritti politici.</w:t>
      </w:r>
      <w:r>
        <w:rPr>
          <w:rFonts w:ascii="Barlow Semi Condensed" w:cs="Barlow Semi Condensed" w:eastAsia="Barlow Semi Condensed" w:hAnsi="Barlow Semi Condensed"/>
          <w:sz w:val="24"/>
          <w:szCs w:val="24"/>
        </w:rPr>
        <w:t xml:space="preserve"> Il corpus degli scritti e discorsi editi di Moro: le raccolte esistenti, i criteri, i vuoti. La voce pubblica dell'uomo in edizione — la premessa per distinguere, nel memoriale, ciò che ripete il Moro pubblico da ciò che dice solo il prigioniero.</w:t>
      </w:r>
    </w:p>
    <w:p>
      <w:pPr>
        <w:spacing w:after="120" w:line="276"/>
        <w:jc w:val="both"/>
      </w:pPr>
      <w:r>
        <w:rPr>
          <w:rFonts w:ascii="Barlow Semi Condensed" w:cs="Barlow Semi Condensed" w:eastAsia="Barlow Semi Condensed" w:hAnsi="Barlow Semi Condensed"/>
          <w:b/>
          <w:bCs/>
          <w:sz w:val="24"/>
          <w:szCs w:val="24"/>
        </w:rPr>
        <w:t xml:space="preserve">232 · Le agende e i taccuini.</w:t>
      </w:r>
      <w:r>
        <w:rPr>
          <w:rFonts w:ascii="Barlow Semi Condensed" w:cs="Barlow Semi Condensed" w:eastAsia="Barlow Semi Condensed" w:hAnsi="Barlow Semi Condensed"/>
          <w:sz w:val="24"/>
          <w:szCs w:val="24"/>
        </w:rPr>
        <w:t xml:space="preserve"> L'accertamento dedicato: esistono agende, taccuini, diari di Moro — e dove? Nel fondo ACS, presso la famiglia, citati negli atti giudiziari (le borse sottratte in via Fani contenevano carte mai ritrovate)? La tavola di ciò che l'uomo portava scritto con sé — e di ciò che sparì il 16 marzo — è un bersaglio che cuce i fondi ai reperti.</w:t>
      </w:r>
    </w:p>
    <w:p>
      <w:pPr>
        <w:spacing w:after="120" w:line="276"/>
        <w:jc w:val="both"/>
      </w:pPr>
      <w:r>
        <w:rPr>
          <w:rFonts w:ascii="Barlow Semi Condensed" w:cs="Barlow Semi Condensed" w:eastAsia="Barlow Semi Condensed" w:hAnsi="Barlow Semi Condensed"/>
          <w:b/>
          <w:bCs/>
          <w:sz w:val="24"/>
          <w:szCs w:val="24"/>
        </w:rPr>
        <w:t xml:space="preserve">233 · Le carte sequestrate e restituite.</w:t>
      </w:r>
      <w:r>
        <w:rPr>
          <w:rFonts w:ascii="Barlow Semi Condensed" w:cs="Barlow Semi Condensed" w:eastAsia="Barlow Semi Condensed" w:hAnsi="Barlow Semi Condensed"/>
          <w:sz w:val="24"/>
          <w:szCs w:val="24"/>
        </w:rPr>
        <w:t xml:space="preserve"> La storia archivistica delle carte di Moro passate per i sequestri giudiziari: che cosa fu acquisito dalle istruttorie, che cosa restituito, con quali verbali. Il percorso giudiziario delle carte private è documentato negli atti: la sua tavola completa gli inventari.</w:t>
      </w:r>
    </w:p>
    <w:p>
      <w:pPr>
        <w:spacing w:after="120" w:line="276"/>
        <w:jc w:val="both"/>
      </w:pPr>
      <w:r>
        <w:rPr>
          <w:rFonts w:ascii="Barlow Semi Condensed" w:cs="Barlow Semi Condensed" w:eastAsia="Barlow Semi Condensed" w:hAnsi="Barlow Semi Condensed"/>
          <w:b/>
          <w:bCs/>
          <w:sz w:val="24"/>
          <w:szCs w:val="24"/>
        </w:rPr>
        <w:t xml:space="preserve">234 · I carteggi paralleli.</w:t>
      </w:r>
      <w:r>
        <w:rPr>
          <w:rFonts w:ascii="Barlow Semi Condensed" w:cs="Barlow Semi Condensed" w:eastAsia="Barlow Semi Condensed" w:hAnsi="Barlow Semi Condensed"/>
          <w:sz w:val="24"/>
          <w:szCs w:val="24"/>
        </w:rPr>
        <w:t xml:space="preserve"> Le lettere di Moro negli archivi degli altri: i corrispondenti istituzionali (nei fondi Andreotti, Fanfani, Cossiga e negli archivi di partito) conservano l'altra metà dei carteggi. La ricomposizione virtuale della corrispondenza morotea attraverso i fondi altrui: un progetto filologico che solo il censimento incrociato consente.</w:t>
      </w:r>
    </w:p>
    <w:p>
      <w:pPr>
        <w:spacing w:after="120" w:line="276"/>
        <w:jc w:val="both"/>
      </w:pPr>
      <w:r>
        <w:rPr>
          <w:rFonts w:ascii="Barlow Semi Condensed" w:cs="Barlow Semi Condensed" w:eastAsia="Barlow Semi Condensed" w:hAnsi="Barlow Semi Condensed"/>
          <w:b/>
          <w:bCs/>
          <w:sz w:val="24"/>
          <w:szCs w:val="24"/>
        </w:rPr>
        <w:t xml:space="preserve">235 · La tavola dei tre nuclei.</w:t>
      </w:r>
      <w:r>
        <w:rPr>
          <w:rFonts w:ascii="Barlow Semi Condensed" w:cs="Barlow Semi Condensed" w:eastAsia="Barlow Semi Condensed" w:hAnsi="Barlow Semi Condensed"/>
          <w:sz w:val="24"/>
          <w:szCs w:val="24"/>
        </w:rPr>
        <w:t xml:space="preserve"> La chiusura della sezione: la tavola dei tre nuclei con consistenze, inventari, stati di digitalizzazione e di spoglio — e il registro delle confusioni correnti nella pubblicistica, da correggere ogni volta con la citazione esatta. Le carte di Moro, finalmente contate.</w:t>
      </w:r>
    </w:p>
    <w:p>
      <w:pPr>
        <w:pStyle w:val="Heading3"/>
        <w:spacing w:after="80" w:before="160"/>
      </w:pPr>
      <w:r>
        <w:rPr>
          <w:rFonts w:ascii="Barlow Semi Condensed" w:cs="Barlow Semi Condensed" w:eastAsia="Barlow Semi Condensed" w:hAnsi="Barlow Semi Condensed"/>
          <w:sz w:val="24"/>
          <w:szCs w:val="24"/>
        </w:rPr>
        <w:t xml:space="preserve">Le carte dei protagonisti (blocchi 236-270)</w:t>
      </w:r>
    </w:p>
    <w:p>
      <w:pPr>
        <w:spacing w:after="120" w:line="276"/>
        <w:jc w:val="both"/>
      </w:pPr>
      <w:r>
        <w:rPr>
          <w:rFonts w:ascii="Barlow Semi Condensed" w:cs="Barlow Semi Condensed" w:eastAsia="Barlow Semi Condensed" w:hAnsi="Barlow Semi Condensed"/>
          <w:b/>
          <w:bCs/>
          <w:sz w:val="24"/>
          <w:szCs w:val="24"/>
        </w:rPr>
        <w:t xml:space="preserve">236 · L'archivio del presidente del Consiglio.</w:t>
      </w:r>
      <w:r>
        <w:rPr>
          <w:rFonts w:ascii="Barlow Semi Condensed" w:cs="Barlow Semi Condensed" w:eastAsia="Barlow Semi Condensed" w:hAnsi="Barlow Semi Condensed"/>
          <w:sz w:val="24"/>
          <w:szCs w:val="24"/>
        </w:rPr>
        <w:t xml:space="preserve"> Il fatto verificato: l'Archivio Giulio Andreotti è all'Istituto Luigi Sturzo (donato nel luglio 2007; circa tremilacinquecento buste per seicento metri lineari, con una prima sezione in quindici serie tematiche). Il presidente del Consiglio dei 55 giorni ha un archivio censito e consultabile: il cantiere lo spoglia con la griglia dei quesiti.</w:t>
      </w:r>
    </w:p>
    <w:p>
      <w:pPr>
        <w:spacing w:after="120" w:line="276"/>
        <w:jc w:val="both"/>
      </w:pPr>
      <w:r>
        <w:rPr>
          <w:rFonts w:ascii="Barlow Semi Condensed" w:cs="Barlow Semi Condensed" w:eastAsia="Barlow Semi Condensed" w:hAnsi="Barlow Semi Condensed"/>
          <w:b/>
          <w:bCs/>
          <w:sz w:val="24"/>
          <w:szCs w:val="24"/>
        </w:rPr>
        <w:t xml:space="preserve">237 · Dove cercare il 1978 di Andreotti.</w:t>
      </w:r>
      <w:r>
        <w:rPr>
          <w:rFonts w:ascii="Barlow Semi Condensed" w:cs="Barlow Semi Condensed" w:eastAsia="Barlow Semi Condensed" w:hAnsi="Barlow Semi Condensed"/>
          <w:sz w:val="24"/>
          <w:szCs w:val="24"/>
        </w:rPr>
        <w:t xml:space="preserve"> La precisazione d'inventario verificata: non esiste una serie «Moro» né «1978» — la materia morotea è però presente nel fondo, in particolare nella sezione delle «pratiche», oltre che nelle serie tematiche (la serie dei Governi per l'Andreotti IV in carica durante il sequestro, le corrispondenze, gli appunti). Il blocco costruisce la mappa di spoglio serie per serie, prima della sala.</w:t>
      </w:r>
    </w:p>
    <w:p>
      <w:pPr>
        <w:spacing w:after="120" w:line="276"/>
        <w:jc w:val="both"/>
      </w:pPr>
      <w:r>
        <w:rPr>
          <w:rFonts w:ascii="Barlow Semi Condensed" w:cs="Barlow Semi Condensed" w:eastAsia="Barlow Semi Condensed" w:hAnsi="Barlow Semi Condensed"/>
          <w:b/>
          <w:bCs/>
          <w:sz w:val="24"/>
          <w:szCs w:val="24"/>
        </w:rPr>
        <w:t xml:space="preserve">238 · Gli appunti del presidente.</w:t>
      </w:r>
      <w:r>
        <w:rPr>
          <w:rFonts w:ascii="Barlow Semi Condensed" w:cs="Barlow Semi Condensed" w:eastAsia="Barlow Semi Condensed" w:hAnsi="Barlow Semi Condensed"/>
          <w:sz w:val="24"/>
          <w:szCs w:val="24"/>
        </w:rPr>
        <w:t xml:space="preserve"> La caccia mirata dentro il fondo: gli appunti personali di Andreotti sui 55 giorni — le note manoscritte, i promemoria, le minute dei vertici. L'uomo annotava per sistema: se i 55 giorni hanno lasciato appunti coevi, sono fra le carte più dense del cantiere — e si collazionano coi diari editi postumi.</w:t>
      </w:r>
    </w:p>
    <w:p>
      <w:pPr>
        <w:spacing w:after="120" w:line="276"/>
        <w:jc w:val="both"/>
      </w:pPr>
      <w:r>
        <w:rPr>
          <w:rFonts w:ascii="Barlow Semi Condensed" w:cs="Barlow Semi Condensed" w:eastAsia="Barlow Semi Condensed" w:hAnsi="Barlow Semi Condensed"/>
          <w:b/>
          <w:bCs/>
          <w:sz w:val="24"/>
          <w:szCs w:val="24"/>
        </w:rPr>
        <w:t xml:space="preserve">239 · I diari editi e il coevo.</w:t>
      </w:r>
      <w:r>
        <w:rPr>
          <w:rFonts w:ascii="Barlow Semi Condensed" w:cs="Barlow Semi Condensed" w:eastAsia="Barlow Semi Condensed" w:hAnsi="Barlow Semi Condensed"/>
          <w:sz w:val="24"/>
          <w:szCs w:val="24"/>
        </w:rPr>
        <w:t xml:space="preserve"> La collazione Andreotti: i diari e le memorie pubblicate contro le carte coeve del fondo — concordanze, scarti, silenzi. La regola del blocco 170 dell'agenda applicata al testimone più prolifico della Prima repubblica: ciò che pubblicò si misura su ciò che archiviò.</w:t>
      </w:r>
    </w:p>
    <w:p>
      <w:pPr>
        <w:spacing w:after="120" w:line="276"/>
        <w:jc w:val="both"/>
      </w:pPr>
      <w:r>
        <w:rPr>
          <w:rFonts w:ascii="Barlow Semi Condensed" w:cs="Barlow Semi Condensed" w:eastAsia="Barlow Semi Condensed" w:hAnsi="Barlow Semi Condensed"/>
          <w:b/>
          <w:bCs/>
          <w:sz w:val="24"/>
          <w:szCs w:val="24"/>
        </w:rPr>
        <w:t xml:space="preserve">240 · L'archivio del ministro dell'Interno.</w:t>
      </w:r>
      <w:r>
        <w:rPr>
          <w:rFonts w:ascii="Barlow Semi Condensed" w:cs="Barlow Semi Condensed" w:eastAsia="Barlow Semi Condensed" w:hAnsi="Barlow Semi Condensed"/>
          <w:sz w:val="24"/>
          <w:szCs w:val="24"/>
        </w:rPr>
        <w:t xml:space="preserve"> Il fatto verificato: l'archivio privato di Francesco Cossiga (1944-2011) è all'Archivio storico della Camera dei deputati — donato dai figli, trecentotto buste per tremilaquattrocentosettantaquattro unità archivistiche, con inventario informatizzato. Il titolare del Viminale dei 55 giorni ha le carte a un indirizzo certo: il cantiere vi entra dall'inventario.</w:t>
      </w:r>
    </w:p>
    <w:p>
      <w:pPr>
        <w:spacing w:after="120" w:line="276"/>
        <w:jc w:val="both"/>
      </w:pPr>
      <w:r>
        <w:rPr>
          <w:rFonts w:ascii="Barlow Semi Condensed" w:cs="Barlow Semi Condensed" w:eastAsia="Barlow Semi Condensed" w:hAnsi="Barlow Semi Condensed"/>
          <w:b/>
          <w:bCs/>
          <w:sz w:val="24"/>
          <w:szCs w:val="24"/>
        </w:rPr>
        <w:t xml:space="preserve">241 · Il 1978 di Cossiga.</w:t>
      </w:r>
      <w:r>
        <w:rPr>
          <w:rFonts w:ascii="Barlow Semi Condensed" w:cs="Barlow Semi Condensed" w:eastAsia="Barlow Semi Condensed" w:hAnsi="Barlow Semi Condensed"/>
          <w:sz w:val="24"/>
          <w:szCs w:val="24"/>
        </w:rPr>
        <w:t xml:space="preserve"> Lo spoglio mirato del fondo Cossiga per il sequestro: le serie del periodo ministeriale, i carteggi, gli appunti — e il confronto sistematico con le sue moltissime parole pubbliche successive (audizioni, interviste, libri). Nessun protagonista parlò più di lui, per decenni: la tavola parole-carte è il prodotto capitale del blocco.</w:t>
      </w:r>
    </w:p>
    <w:p>
      <w:pPr>
        <w:spacing w:after="120" w:line="276"/>
        <w:jc w:val="both"/>
      </w:pPr>
      <w:r>
        <w:rPr>
          <w:rFonts w:ascii="Barlow Semi Condensed" w:cs="Barlow Semi Condensed" w:eastAsia="Barlow Semi Condensed" w:hAnsi="Barlow Semi Condensed"/>
          <w:b/>
          <w:bCs/>
          <w:sz w:val="24"/>
          <w:szCs w:val="24"/>
        </w:rPr>
        <w:t xml:space="preserve">242 · Le dimissioni in carta.</w:t>
      </w:r>
      <w:r>
        <w:rPr>
          <w:rFonts w:ascii="Barlow Semi Condensed" w:cs="Barlow Semi Condensed" w:eastAsia="Barlow Semi Condensed" w:hAnsi="Barlow Semi Condensed"/>
          <w:sz w:val="24"/>
          <w:szCs w:val="24"/>
        </w:rPr>
        <w:t xml:space="preserve"> Il fascicolo delle dimissioni del 9 maggio nelle carte private: le minute, le lettere, le reazioni. L'atto politico che chiuse i 55 giorni al Viminale, visto dalle carte dell'uomo che lo compì: un bersaglio piccolo, denso e datato.</w:t>
      </w:r>
    </w:p>
    <w:p>
      <w:pPr>
        <w:spacing w:after="120" w:line="276"/>
        <w:jc w:val="both"/>
      </w:pPr>
      <w:r>
        <w:rPr>
          <w:rFonts w:ascii="Barlow Semi Condensed" w:cs="Barlow Semi Condensed" w:eastAsia="Barlow Semi Condensed" w:hAnsi="Barlow Semi Condensed"/>
          <w:b/>
          <w:bCs/>
          <w:sz w:val="24"/>
          <w:szCs w:val="24"/>
        </w:rPr>
        <w:t xml:space="preserve">243 · L'archivio del presidente del Senato.</w:t>
      </w:r>
      <w:r>
        <w:rPr>
          <w:rFonts w:ascii="Barlow Semi Condensed" w:cs="Barlow Semi Condensed" w:eastAsia="Barlow Semi Condensed" w:hAnsi="Barlow Semi Condensed"/>
          <w:sz w:val="24"/>
          <w:szCs w:val="24"/>
        </w:rPr>
        <w:t xml:space="preserve"> Il fatto verificato: il fondo Amintore Fanfani è all'Archivio storico del Senato — duecentonovantatré buste, milleottocentosessantadue fascicoli e quarantatré diari e agende, con inventario online. Il presidente del Senato del 1978, e l'uomo della «terza via» possibile: le sue carte sono censite e la campagna si costruisce sull'inventario.</w:t>
      </w:r>
    </w:p>
    <w:p>
      <w:pPr>
        <w:spacing w:after="120" w:line="276"/>
        <w:jc w:val="both"/>
      </w:pPr>
      <w:r>
        <w:rPr>
          <w:rFonts w:ascii="Barlow Semi Condensed" w:cs="Barlow Semi Condensed" w:eastAsia="Barlow Semi Condensed" w:hAnsi="Barlow Semi Condensed"/>
          <w:b/>
          <w:bCs/>
          <w:sz w:val="24"/>
          <w:szCs w:val="24"/>
        </w:rPr>
        <w:t xml:space="preserve">244 · I diari di Fanfani.</w:t>
      </w:r>
      <w:r>
        <w:rPr>
          <w:rFonts w:ascii="Barlow Semi Condensed" w:cs="Barlow Semi Condensed" w:eastAsia="Barlow Semi Condensed" w:hAnsi="Barlow Semi Condensed"/>
          <w:sz w:val="24"/>
          <w:szCs w:val="24"/>
        </w:rPr>
        <w:t xml:space="preserve"> Il bersaglio nel bersaglio, verificato: i diari — quarantatré volumi manoscritti, con l'edizione a stampa in corso per volumi e il tomo 1977-1980 nel piano dell'opera. Il diario coevo di un vertice istituzionale dei 55 giorni: quando il volume uscirà, la collazione col resto del cantiere sarà immediata — e finché non esce, la consultazione del manoscritto si chiede all'archivio.</w:t>
      </w:r>
    </w:p>
    <w:p>
      <w:pPr>
        <w:spacing w:after="120" w:line="276"/>
        <w:jc w:val="both"/>
      </w:pPr>
      <w:r>
        <w:rPr>
          <w:rFonts w:ascii="Barlow Semi Condensed" w:cs="Barlow Semi Condensed" w:eastAsia="Barlow Semi Condensed" w:hAnsi="Barlow Semi Condensed"/>
          <w:b/>
          <w:bCs/>
          <w:sz w:val="24"/>
          <w:szCs w:val="24"/>
        </w:rPr>
        <w:t xml:space="preserve">245 · Il 1978 di Fanfani, fuori dai diari.</w:t>
      </w:r>
      <w:r>
        <w:rPr>
          <w:rFonts w:ascii="Barlow Semi Condensed" w:cs="Barlow Semi Condensed" w:eastAsia="Barlow Semi Condensed" w:hAnsi="Barlow Semi Condensed"/>
          <w:sz w:val="24"/>
          <w:szCs w:val="24"/>
        </w:rPr>
        <w:t xml:space="preserve"> Le serie non diaristiche del fondo per i 55 giorni: corrispondenza, discorsi, carte di presidenza. La voce istituzionale del Senato nella crisi — convocazioni, contatti coi gruppi, gestione dell'aula — in carta propria.</w:t>
      </w:r>
    </w:p>
    <w:p>
      <w:pPr>
        <w:spacing w:after="120" w:line="276"/>
        <w:jc w:val="both"/>
      </w:pPr>
      <w:r>
        <w:rPr>
          <w:rFonts w:ascii="Barlow Semi Condensed" w:cs="Barlow Semi Condensed" w:eastAsia="Barlow Semi Condensed" w:hAnsi="Barlow Semi Condensed"/>
          <w:b/>
          <w:bCs/>
          <w:sz w:val="24"/>
          <w:szCs w:val="24"/>
        </w:rPr>
        <w:t xml:space="preserve">246 · Le carte di Zaccagnini.</w:t>
      </w:r>
      <w:r>
        <w:rPr>
          <w:rFonts w:ascii="Barlow Semi Condensed" w:cs="Barlow Semi Condensed" w:eastAsia="Barlow Semi Condensed" w:hAnsi="Barlow Semi Condensed"/>
          <w:sz w:val="24"/>
          <w:szCs w:val="24"/>
        </w:rPr>
        <w:t xml:space="preserve"> L'accertamento dedicato: dove sono le carte di Benigno Zaccagnini — il segretario della DC destinatario delle lettere più laceranti? Fondi personali censiti, carte presso la famiglia, materiali negli archivi DC: il cantiere chiude un vuoto di censimento che la letteratura non ha mai colmato con precisione.</w:t>
      </w:r>
    </w:p>
    <w:p>
      <w:pPr>
        <w:spacing w:after="120" w:line="276"/>
        <w:jc w:val="both"/>
      </w:pPr>
      <w:r>
        <w:rPr>
          <w:rFonts w:ascii="Barlow Semi Condensed" w:cs="Barlow Semi Condensed" w:eastAsia="Barlow Semi Condensed" w:hAnsi="Barlow Semi Condensed"/>
          <w:b/>
          <w:bCs/>
          <w:sz w:val="24"/>
          <w:szCs w:val="24"/>
        </w:rPr>
        <w:t xml:space="preserve">247 · Il fascicolo «Caso Moro» di Craxi.</w:t>
      </w:r>
      <w:r>
        <w:rPr>
          <w:rFonts w:ascii="Barlow Semi Condensed" w:cs="Barlow Semi Condensed" w:eastAsia="Barlow Semi Condensed" w:hAnsi="Barlow Semi Condensed"/>
          <w:sz w:val="24"/>
          <w:szCs w:val="24"/>
        </w:rPr>
        <w:t xml:space="preserve"> Il fatto verificato: la Fondazione Craxi (costituita nel 2000) conserva l'archivio di Bettino Craxi, e nell'inventario figura un fascicolo dedicato al caso Moro che documenta la posizione del PSI. La linea della trattativa in carta di parte: lo spoglio integrale del fascicolo e delle serie contigue del 1978.</w:t>
      </w:r>
    </w:p>
    <w:p>
      <w:pPr>
        <w:spacing w:after="120" w:line="276"/>
        <w:jc w:val="both"/>
      </w:pPr>
      <w:r>
        <w:rPr>
          <w:rFonts w:ascii="Barlow Semi Condensed" w:cs="Barlow Semi Condensed" w:eastAsia="Barlow Semi Condensed" w:hAnsi="Barlow Semi Condensed"/>
          <w:b/>
          <w:bCs/>
          <w:sz w:val="24"/>
          <w:szCs w:val="24"/>
        </w:rPr>
        <w:t xml:space="preserve">248 · L'iniziativa socialista, atto per atto.</w:t>
      </w:r>
      <w:r>
        <w:rPr>
          <w:rFonts w:ascii="Barlow Semi Condensed" w:cs="Barlow Semi Condensed" w:eastAsia="Barlow Semi Condensed" w:hAnsi="Barlow Semi Condensed"/>
          <w:sz w:val="24"/>
          <w:szCs w:val="24"/>
        </w:rPr>
        <w:t xml:space="preserve"> Dal fascicolo alla cronologia: la ricostruzione documentale dell'iniziativa socialista dei 55 giorni — i contatti esplorati, gli intermediari, le riunioni — dalle carte Craxi incrociate con gli atti parlamentari e con le memorie edite dei protagonisti socialisti. Il terzo canale della crisi, finalmente in tavola cronologica.</w:t>
      </w:r>
    </w:p>
    <w:p>
      <w:pPr>
        <w:spacing w:after="120" w:line="276"/>
        <w:jc w:val="both"/>
      </w:pPr>
      <w:r>
        <w:rPr>
          <w:rFonts w:ascii="Barlow Semi Condensed" w:cs="Barlow Semi Condensed" w:eastAsia="Barlow Semi Condensed" w:hAnsi="Barlow Semi Condensed"/>
          <w:b/>
          <w:bCs/>
          <w:sz w:val="24"/>
          <w:szCs w:val="24"/>
        </w:rPr>
        <w:t xml:space="preserve">249 · Le carte del Quirinale.</w:t>
      </w:r>
      <w:r>
        <w:rPr>
          <w:rFonts w:ascii="Barlow Semi Condensed" w:cs="Barlow Semi Condensed" w:eastAsia="Barlow Semi Condensed" w:hAnsi="Barlow Semi Condensed"/>
          <w:sz w:val="24"/>
          <w:szCs w:val="24"/>
        </w:rPr>
        <w:t xml:space="preserve"> L'archivio storico della Presidenza della Repubblica per il settennato Leone: le serie del 1978, i carteggi del capo dello Stato nei 55 giorni, gli atti sulla grazia possibile (la «liberazione di un detenuto» che le lettere evocarono). Un archivio istituzionale con regole proprie — e un fascicolo, quello della grazia, che è un quesito a sé.</w:t>
      </w:r>
    </w:p>
    <w:p>
      <w:pPr>
        <w:spacing w:after="120" w:line="276"/>
        <w:jc w:val="both"/>
      </w:pPr>
      <w:r>
        <w:rPr>
          <w:rFonts w:ascii="Barlow Semi Condensed" w:cs="Barlow Semi Condensed" w:eastAsia="Barlow Semi Condensed" w:hAnsi="Barlow Semi Condensed"/>
          <w:b/>
          <w:bCs/>
          <w:sz w:val="24"/>
          <w:szCs w:val="24"/>
        </w:rPr>
        <w:t xml:space="preserve">250 · Il fascicolo della grazia.</w:t>
      </w:r>
      <w:r>
        <w:rPr>
          <w:rFonts w:ascii="Barlow Semi Condensed" w:cs="Barlow Semi Condensed" w:eastAsia="Barlow Semi Condensed" w:hAnsi="Barlow Semi Condensed"/>
          <w:sz w:val="24"/>
          <w:szCs w:val="24"/>
        </w:rPr>
        <w:t xml:space="preserve"> Il bersaglio mirato: gli atti sulla possibile grazia a un detenuto come atto risolutivo — che cosa fu istruito al Quirinale e alla Giustizia, quando, con quali pareri. La «soluzione Besuschio» degli ultimi giorni ha lasciato carte in più archivi: la loro riunione in un solo fascicolo virtuale è l'esito atteso.</w:t>
      </w:r>
    </w:p>
    <w:p>
      <w:pPr>
        <w:spacing w:after="120" w:line="276"/>
        <w:jc w:val="both"/>
      </w:pPr>
      <w:r>
        <w:rPr>
          <w:rFonts w:ascii="Barlow Semi Condensed" w:cs="Barlow Semi Condensed" w:eastAsia="Barlow Semi Condensed" w:hAnsi="Barlow Semi Condensed"/>
          <w:b/>
          <w:bCs/>
          <w:sz w:val="24"/>
          <w:szCs w:val="24"/>
        </w:rPr>
        <w:t xml:space="preserve">251 · Le carte dei ministri degli Esteri e della Difesa.</w:t>
      </w:r>
      <w:r>
        <w:rPr>
          <w:rFonts w:ascii="Barlow Semi Condensed" w:cs="Barlow Semi Condensed" w:eastAsia="Barlow Semi Condensed" w:hAnsi="Barlow Semi Condensed"/>
          <w:sz w:val="24"/>
          <w:szCs w:val="24"/>
        </w:rPr>
        <w:t xml:space="preserve"> I fondi personali dei titolari di Esteri e Difesa del 1978: censimento delle sedi e spoglio dei 55 giorni — la crisi vista dai dicasteri della dimensione internazionale. Il raccordo naturale col cantiere estero: le carte italiane che rispondono ai cablo alleati.</w:t>
      </w:r>
    </w:p>
    <w:p>
      <w:pPr>
        <w:spacing w:after="120" w:line="276"/>
        <w:jc w:val="both"/>
      </w:pPr>
      <w:r>
        <w:rPr>
          <w:rFonts w:ascii="Barlow Semi Condensed" w:cs="Barlow Semi Condensed" w:eastAsia="Barlow Semi Condensed" w:hAnsi="Barlow Semi Condensed"/>
          <w:b/>
          <w:bCs/>
          <w:sz w:val="24"/>
          <w:szCs w:val="24"/>
        </w:rPr>
        <w:t xml:space="preserve">252 · Le carte del Guardasigilli.</w:t>
      </w:r>
      <w:r>
        <w:rPr>
          <w:rFonts w:ascii="Barlow Semi Condensed" w:cs="Barlow Semi Condensed" w:eastAsia="Barlow Semi Condensed" w:hAnsi="Barlow Semi Condensed"/>
          <w:sz w:val="24"/>
          <w:szCs w:val="24"/>
        </w:rPr>
        <w:t xml:space="preserve"> Il fondo del ministro della Giustizia del 1978: censimento e spoglio — le carceri, i colloqui, la grazia, i rapporti con la magistratura nei 55 giorni. Il dicastero più silenzioso della crisi è quello i cui atti toccavano i detenuti: la sua carta privata completa quella d'ufficio.</w:t>
      </w:r>
    </w:p>
    <w:p>
      <w:pPr>
        <w:spacing w:after="120" w:line="276"/>
        <w:jc w:val="both"/>
      </w:pPr>
      <w:r>
        <w:rPr>
          <w:rFonts w:ascii="Barlow Semi Condensed" w:cs="Barlow Semi Condensed" w:eastAsia="Barlow Semi Condensed" w:hAnsi="Barlow Semi Condensed"/>
          <w:b/>
          <w:bCs/>
          <w:sz w:val="24"/>
          <w:szCs w:val="24"/>
        </w:rPr>
        <w:t xml:space="preserve">253 · I sottosegretari e i capigruppo.</w:t>
      </w:r>
      <w:r>
        <w:rPr>
          <w:rFonts w:ascii="Barlow Semi Condensed" w:cs="Barlow Semi Condensed" w:eastAsia="Barlow Semi Condensed" w:hAnsi="Barlow Semi Condensed"/>
          <w:sz w:val="24"/>
          <w:szCs w:val="24"/>
        </w:rPr>
        <w:t xml:space="preserve"> Il censimento allargato: i fondi personali dei sottosegretari chiave e dei capigruppo parlamentari del 1978 — dove esistono, che cosa coprono. Il secondo cerchio della decisione politica: meno celebre, spesso meglio conservato, quasi mai spogliato.</w:t>
      </w:r>
    </w:p>
    <w:p>
      <w:pPr>
        <w:spacing w:after="120" w:line="276"/>
        <w:jc w:val="both"/>
      </w:pPr>
      <w:r>
        <w:rPr>
          <w:rFonts w:ascii="Barlow Semi Condensed" w:cs="Barlow Semi Condensed" w:eastAsia="Barlow Semi Condensed" w:hAnsi="Barlow Semi Condensed"/>
          <w:b/>
          <w:bCs/>
          <w:sz w:val="24"/>
          <w:szCs w:val="24"/>
        </w:rPr>
        <w:t xml:space="preserve">254 · Le carte di Ingrao e della sinistra interna.</w:t>
      </w:r>
      <w:r>
        <w:rPr>
          <w:rFonts w:ascii="Barlow Semi Condensed" w:cs="Barlow Semi Condensed" w:eastAsia="Barlow Semi Condensed" w:hAnsi="Barlow Semi Condensed"/>
          <w:sz w:val="24"/>
          <w:szCs w:val="24"/>
        </w:rPr>
        <w:t xml:space="preserve"> I fondi dei dirigenti comunisti del 1978 (alla Fondazione Gramsci e negli istituti collegati): la crisi vista dal partito della fermezza più ferma — il dibattito interno documentato, oltre la linea pubblica. Il raccordo con la sezione degli archivi di partito, per la parte personale.</w:t>
      </w:r>
    </w:p>
    <w:p>
      <w:pPr>
        <w:spacing w:after="120" w:line="276"/>
        <w:jc w:val="both"/>
      </w:pPr>
      <w:r>
        <w:rPr>
          <w:rFonts w:ascii="Barlow Semi Condensed" w:cs="Barlow Semi Condensed" w:eastAsia="Barlow Semi Condensed" w:hAnsi="Barlow Semi Condensed"/>
          <w:b/>
          <w:bCs/>
          <w:sz w:val="24"/>
          <w:szCs w:val="24"/>
        </w:rPr>
        <w:t xml:space="preserve">255 · Le carte di La Malfa e dei laici.</w:t>
      </w:r>
      <w:r>
        <w:rPr>
          <w:rFonts w:ascii="Barlow Semi Condensed" w:cs="Barlow Semi Condensed" w:eastAsia="Barlow Semi Condensed" w:hAnsi="Barlow Semi Condensed"/>
          <w:sz w:val="24"/>
          <w:szCs w:val="24"/>
        </w:rPr>
        <w:t xml:space="preserve"> I fondi dei leader laici del 1978 — repubblicani, socialdemocratici, liberali: censimento e spoglio dei 55 giorni. Le voci minori della maggioranza di solidarietà: piccole per peso parlamentare, preziose per indipendenza di sguardo.</w:t>
      </w:r>
    </w:p>
    <w:p>
      <w:pPr>
        <w:spacing w:after="120" w:line="276"/>
        <w:jc w:val="both"/>
      </w:pPr>
      <w:r>
        <w:rPr>
          <w:rFonts w:ascii="Barlow Semi Condensed" w:cs="Barlow Semi Condensed" w:eastAsia="Barlow Semi Condensed" w:hAnsi="Barlow Semi Condensed"/>
          <w:b/>
          <w:bCs/>
          <w:sz w:val="24"/>
          <w:szCs w:val="24"/>
        </w:rPr>
        <w:t xml:space="preserve">256 · Il notabilato democristiano.</w:t>
      </w:r>
      <w:r>
        <w:rPr>
          <w:rFonts w:ascii="Barlow Semi Condensed" w:cs="Barlow Semi Condensed" w:eastAsia="Barlow Semi Condensed" w:hAnsi="Barlow Semi Condensed"/>
          <w:sz w:val="24"/>
          <w:szCs w:val="24"/>
        </w:rPr>
        <w:t xml:space="preserve"> I fondi degli altri dirigenti DC del 1978 — i capicorrente, i ministri, i colonnelli: la mappa dei fondi personali democristiani censiti negli istituti (Sturzo in testa) e lo spoglio coordinato dei 55 giorni. Il partito del prigioniero, voce per voce.</w:t>
      </w:r>
    </w:p>
    <w:p>
      <w:pPr>
        <w:spacing w:after="120" w:line="276"/>
        <w:jc w:val="both"/>
      </w:pPr>
      <w:r>
        <w:rPr>
          <w:rFonts w:ascii="Barlow Semi Condensed" w:cs="Barlow Semi Condensed" w:eastAsia="Barlow Semi Condensed" w:hAnsi="Barlow Semi Condensed"/>
          <w:b/>
          <w:bCs/>
          <w:sz w:val="24"/>
          <w:szCs w:val="24"/>
        </w:rPr>
        <w:t xml:space="preserve">257 · Le carte dei consiglieri.</w:t>
      </w:r>
      <w:r>
        <w:rPr>
          <w:rFonts w:ascii="Barlow Semi Condensed" w:cs="Barlow Semi Condensed" w:eastAsia="Barlow Semi Condensed" w:hAnsi="Barlow Semi Condensed"/>
          <w:sz w:val="24"/>
          <w:szCs w:val="24"/>
        </w:rPr>
        <w:t xml:space="preserve"> I fondi dei consiglieri e collaboratori diretti dei leader — i capi di gabinetto, i portavoce, i segretari particolari: censimento mirato. Chi teneva la penna per i principali ha spesso conservato più carta dei principali: è la regola d'oro della ricerca sui gabinetti.</w:t>
      </w:r>
    </w:p>
    <w:p>
      <w:pPr>
        <w:spacing w:after="120" w:line="276"/>
        <w:jc w:val="both"/>
      </w:pPr>
      <w:r>
        <w:rPr>
          <w:rFonts w:ascii="Barlow Semi Condensed" w:cs="Barlow Semi Condensed" w:eastAsia="Barlow Semi Condensed" w:hAnsi="Barlow Semi Condensed"/>
          <w:b/>
          <w:bCs/>
          <w:sz w:val="24"/>
          <w:szCs w:val="24"/>
        </w:rPr>
        <w:t xml:space="preserve">258 · Gli epistolari incrociati.</w:t>
      </w:r>
      <w:r>
        <w:rPr>
          <w:rFonts w:ascii="Barlow Semi Condensed" w:cs="Barlow Semi Condensed" w:eastAsia="Barlow Semi Condensed" w:hAnsi="Barlow Semi Condensed"/>
          <w:sz w:val="24"/>
          <w:szCs w:val="24"/>
        </w:rPr>
        <w:t xml:space="preserve"> La tavola degli epistolari fra protagonisti: chi scrisse a chi nei 55 giorni, ricostruito incrociando i fondi (la lettera spedita sta nel fondo del destinatario). La rete epistolare della crisi come grafo documentale — il gemello privato della rete istituzionale.</w:t>
      </w:r>
    </w:p>
    <w:p>
      <w:pPr>
        <w:spacing w:after="120" w:line="276"/>
        <w:jc w:val="both"/>
      </w:pPr>
      <w:r>
        <w:rPr>
          <w:rFonts w:ascii="Barlow Semi Condensed" w:cs="Barlow Semi Condensed" w:eastAsia="Barlow Semi Condensed" w:hAnsi="Barlow Semi Condensed"/>
          <w:b/>
          <w:bCs/>
          <w:sz w:val="24"/>
          <w:szCs w:val="24"/>
        </w:rPr>
        <w:t xml:space="preserve">259 · Le carte non ancora donate.</w:t>
      </w:r>
      <w:r>
        <w:rPr>
          <w:rFonts w:ascii="Barlow Semi Condensed" w:cs="Barlow Semi Condensed" w:eastAsia="Barlow Semi Condensed" w:hAnsi="Barlow Semi Condensed"/>
          <w:sz w:val="24"/>
          <w:szCs w:val="24"/>
        </w:rPr>
        <w:t xml:space="preserve"> Il censimento dei protagonisti del 1978 le cui carte non risultano in alcun istituto: la lista, famiglia per famiglia, e la proposta di deposito con la richiesta-tipo dell'agenda (blocco 177). Ogni successione ereditaria che passa senza deposito è un rischio secco di dispersione: la lista è urgente per costruzione.</w:t>
      </w:r>
    </w:p>
    <w:p>
      <w:pPr>
        <w:spacing w:after="120" w:line="276"/>
        <w:jc w:val="both"/>
      </w:pPr>
      <w:r>
        <w:rPr>
          <w:rFonts w:ascii="Barlow Semi Condensed" w:cs="Barlow Semi Condensed" w:eastAsia="Barlow Semi Condensed" w:hAnsi="Barlow Semi Condensed"/>
          <w:b/>
          <w:bCs/>
          <w:sz w:val="24"/>
          <w:szCs w:val="24"/>
        </w:rPr>
        <w:t xml:space="preserve">260 · La tavola dei protagonisti.</w:t>
      </w:r>
      <w:r>
        <w:rPr>
          <w:rFonts w:ascii="Barlow Semi Condensed" w:cs="Barlow Semi Condensed" w:eastAsia="Barlow Semi Condensed" w:hAnsi="Barlow Semi Condensed"/>
          <w:sz w:val="24"/>
          <w:szCs w:val="24"/>
        </w:rPr>
        <w:t xml:space="preserve"> La chiusura della sezione: la tavola dei fondi personali — protagonista per protagonista, con sede, consistenza, inventario, stato di spoglio, 1978 presente o assente. La classe dirigente della crisi, contata per carte: chi ha lasciato che cosa, e dove.</w:t>
      </w:r>
    </w:p>
    <w:p>
      <w:pPr>
        <w:pStyle w:val="Heading3"/>
        <w:spacing w:after="80" w:before="160"/>
      </w:pPr>
      <w:r>
        <w:rPr>
          <w:rFonts w:ascii="Barlow Semi Condensed" w:cs="Barlow Semi Condensed" w:eastAsia="Barlow Semi Condensed" w:hAnsi="Barlow Semi Condensed"/>
          <w:sz w:val="24"/>
          <w:szCs w:val="24"/>
        </w:rPr>
        <w:t xml:space="preserve">Gli archivi di partito (blocchi 261-270)</w:t>
      </w:r>
    </w:p>
    <w:p>
      <w:pPr>
        <w:spacing w:after="120" w:line="276"/>
        <w:jc w:val="both"/>
      </w:pPr>
      <w:r>
        <w:rPr>
          <w:rFonts w:ascii="Barlow Semi Condensed" w:cs="Barlow Semi Condensed" w:eastAsia="Barlow Semi Condensed" w:hAnsi="Barlow Semi Condensed"/>
          <w:b/>
          <w:bCs/>
          <w:sz w:val="24"/>
          <w:szCs w:val="24"/>
        </w:rPr>
        <w:t xml:space="preserve">261 · La Balena allo Sturzo.</w:t>
      </w:r>
      <w:r>
        <w:rPr>
          <w:rFonts w:ascii="Barlow Semi Condensed" w:cs="Barlow Semi Condensed" w:eastAsia="Barlow Semi Condensed" w:hAnsi="Barlow Semi Condensed"/>
          <w:sz w:val="24"/>
          <w:szCs w:val="24"/>
        </w:rPr>
        <w:t xml:space="preserve"> Il fatto verificato: l'archivio degli organi centrali della Democrazia cristiana è dal 1994 all'Istituto Sturzo (deposito convenzionale dell'erede PPI): congressi, consigli nazionali, direzione, segreteria. Il partito di Moro ha il suo archivio a un indirizzo solo: la campagna DC parte dalla direzione del marzo-maggio 1978.</w:t>
      </w:r>
    </w:p>
    <w:p>
      <w:pPr>
        <w:spacing w:after="120" w:line="276"/>
        <w:jc w:val="both"/>
      </w:pPr>
      <w:r>
        <w:rPr>
          <w:rFonts w:ascii="Barlow Semi Condensed" w:cs="Barlow Semi Condensed" w:eastAsia="Barlow Semi Condensed" w:hAnsi="Barlow Semi Condensed"/>
          <w:b/>
          <w:bCs/>
          <w:sz w:val="24"/>
          <w:szCs w:val="24"/>
        </w:rPr>
        <w:t xml:space="preserve">262 · La direzione DC dei 55 giorni.</w:t>
      </w:r>
      <w:r>
        <w:rPr>
          <w:rFonts w:ascii="Barlow Semi Condensed" w:cs="Barlow Semi Condensed" w:eastAsia="Barlow Semi Condensed" w:hAnsi="Barlow Semi Condensed"/>
          <w:sz w:val="24"/>
          <w:szCs w:val="24"/>
        </w:rPr>
        <w:t xml:space="preserve"> Lo spoglio mirato: i verbali della direzione e degli organi DC nei 55 giorni — le riunioni documentate, le posizioni verbalizzate, i comunicati approvati. La linea della fermezza nel partito del prigioniero, atto per atto: il complemento collettivo delle carte personali democristiane.</w:t>
      </w:r>
    </w:p>
    <w:p>
      <w:pPr>
        <w:spacing w:after="120" w:line="276"/>
        <w:jc w:val="both"/>
      </w:pPr>
      <w:r>
        <w:rPr>
          <w:rFonts w:ascii="Barlow Semi Condensed" w:cs="Barlow Semi Condensed" w:eastAsia="Barlow Semi Condensed" w:hAnsi="Barlow Semi Condensed"/>
          <w:b/>
          <w:bCs/>
          <w:sz w:val="24"/>
          <w:szCs w:val="24"/>
        </w:rPr>
        <w:t xml:space="preserve">263 · Il gruppo DC al Senato.</w:t>
      </w:r>
      <w:r>
        <w:rPr>
          <w:rFonts w:ascii="Barlow Semi Condensed" w:cs="Barlow Semi Condensed" w:eastAsia="Barlow Semi Condensed" w:hAnsi="Barlow Semi Condensed"/>
          <w:sz w:val="24"/>
          <w:szCs w:val="24"/>
        </w:rPr>
        <w:t xml:space="preserve"> Il fondo verificato del Gruppo parlamentare DC del Senato (anch'esso allo Sturzo): le riunioni di gruppo dei 55 giorni, gli interventi, le tensioni interne verbalizzate. Il partito parlamentare oltre il partito degli organi: una voce distinta, spesso più franca.</w:t>
      </w:r>
    </w:p>
    <w:p>
      <w:pPr>
        <w:spacing w:after="120" w:line="276"/>
        <w:jc w:val="both"/>
      </w:pPr>
      <w:r>
        <w:rPr>
          <w:rFonts w:ascii="Barlow Semi Condensed" w:cs="Barlow Semi Condensed" w:eastAsia="Barlow Semi Condensed" w:hAnsi="Barlow Semi Condensed"/>
          <w:b/>
          <w:bCs/>
          <w:sz w:val="24"/>
          <w:szCs w:val="24"/>
        </w:rPr>
        <w:t xml:space="preserve">264 · Botteghe Oscure alla Gramsci.</w:t>
      </w:r>
      <w:r>
        <w:rPr>
          <w:rFonts w:ascii="Barlow Semi Condensed" w:cs="Barlow Semi Condensed" w:eastAsia="Barlow Semi Condensed" w:hAnsi="Barlow Semi Condensed"/>
          <w:sz w:val="24"/>
          <w:szCs w:val="24"/>
        </w:rPr>
        <w:t xml:space="preserve"> Il fatto verificato: l'intero archivio del PCI (1921-1991, quattromilacentottantaquattro buste) è alla Fondazione Gramsci, dichiarato di interesse culturale, aperto e inventariato — col limite trentennale ormai superato per il 1978. La campagna PCI: direzione, segreteria e sezioni di lavoro nei 55 giorni.</w:t>
      </w:r>
    </w:p>
    <w:p>
      <w:pPr>
        <w:spacing w:after="120" w:line="276"/>
        <w:jc w:val="both"/>
      </w:pPr>
      <w:r>
        <w:rPr>
          <w:rFonts w:ascii="Barlow Semi Condensed" w:cs="Barlow Semi Condensed" w:eastAsia="Barlow Semi Condensed" w:hAnsi="Barlow Semi Condensed"/>
          <w:b/>
          <w:bCs/>
          <w:sz w:val="24"/>
          <w:szCs w:val="24"/>
        </w:rPr>
        <w:t xml:space="preserve">265 · La direzione PCI dei 55 giorni.</w:t>
      </w:r>
      <w:r>
        <w:rPr>
          <w:rFonts w:ascii="Barlow Semi Condensed" w:cs="Barlow Semi Condensed" w:eastAsia="Barlow Semi Condensed" w:hAnsi="Barlow Semi Condensed"/>
          <w:sz w:val="24"/>
          <w:szCs w:val="24"/>
        </w:rPr>
        <w:t xml:space="preserve"> Lo spoglio mirato dei verbali comunisti: la fermezza discussa dentro il partito che la sostenne — i dubbi verbalizzati, le informazioni ricevute, i rapporti con l'apparato dello Stato. Il secondo pilastro della solidarietà nazionale, visto dai suoi stessi verbali.</w:t>
      </w:r>
    </w:p>
    <w:p>
      <w:pPr>
        <w:spacing w:after="120" w:line="276"/>
        <w:jc w:val="both"/>
      </w:pPr>
      <w:r>
        <w:rPr>
          <w:rFonts w:ascii="Barlow Semi Condensed" w:cs="Barlow Semi Condensed" w:eastAsia="Barlow Semi Condensed" w:hAnsi="Barlow Semi Condensed"/>
          <w:b/>
          <w:bCs/>
          <w:sz w:val="24"/>
          <w:szCs w:val="24"/>
        </w:rPr>
        <w:t xml:space="preserve">266 · Gli archivi socialisti.</w:t>
      </w:r>
      <w:r>
        <w:rPr>
          <w:rFonts w:ascii="Barlow Semi Condensed" w:cs="Barlow Semi Condensed" w:eastAsia="Barlow Semi Condensed" w:hAnsi="Barlow Semi Condensed"/>
          <w:sz w:val="24"/>
          <w:szCs w:val="24"/>
        </w:rPr>
        <w:t xml:space="preserve"> Oltre il fascicolo Craxi: gli archivi del PSI come partito — le sedi di conservazione (fondazioni, istituti socialisti), le serie del 1978, i verbali di direzione. La trattativa come linea di partito, nei documenti collettivi che la deliberarono o la subirono.</w:t>
      </w:r>
    </w:p>
    <w:p>
      <w:pPr>
        <w:spacing w:after="120" w:line="276"/>
        <w:jc w:val="both"/>
      </w:pPr>
      <w:r>
        <w:rPr>
          <w:rFonts w:ascii="Barlow Semi Condensed" w:cs="Barlow Semi Condensed" w:eastAsia="Barlow Semi Condensed" w:hAnsi="Barlow Semi Condensed"/>
          <w:b/>
          <w:bCs/>
          <w:sz w:val="24"/>
          <w:szCs w:val="24"/>
        </w:rPr>
        <w:t xml:space="preserve">267 · I partiti minori in archivio.</w:t>
      </w:r>
      <w:r>
        <w:rPr>
          <w:rFonts w:ascii="Barlow Semi Condensed" w:cs="Barlow Semi Condensed" w:eastAsia="Barlow Semi Condensed" w:hAnsi="Barlow Semi Condensed"/>
          <w:sz w:val="24"/>
          <w:szCs w:val="24"/>
        </w:rPr>
        <w:t xml:space="preserve"> Il censimento degli archivi di PRI, PSDI, PLI e delle destre per il 1978: sedi, consistenze, serie dei 55 giorni. Il resto dell'arco parlamentare, contato — e dove l'archivio risulti disperso, la dispersione verbalizzata come dato.</w:t>
      </w:r>
    </w:p>
    <w:p>
      <w:pPr>
        <w:spacing w:after="120" w:line="276"/>
        <w:jc w:val="both"/>
      </w:pPr>
      <w:r>
        <w:rPr>
          <w:rFonts w:ascii="Barlow Semi Condensed" w:cs="Barlow Semi Condensed" w:eastAsia="Barlow Semi Condensed" w:hAnsi="Barlow Semi Condensed"/>
          <w:b/>
          <w:bCs/>
          <w:sz w:val="24"/>
          <w:szCs w:val="24"/>
        </w:rPr>
        <w:t xml:space="preserve">268 · Le radio e i giornali di partito.</w:t>
      </w:r>
      <w:r>
        <w:rPr>
          <w:rFonts w:ascii="Barlow Semi Condensed" w:cs="Barlow Semi Condensed" w:eastAsia="Barlow Semi Condensed" w:hAnsi="Barlow Semi Condensed"/>
          <w:sz w:val="24"/>
          <w:szCs w:val="24"/>
        </w:rPr>
        <w:t xml:space="preserve"> Gli organi di stampa di partito nei 55 giorni — l'Unità, Avanti!, il Popolo, la Voce repubblicana: lo spoglio comparato delle linee quotidiane. La stampa di partito è l'archivio pubblico delle posizioni: giorno per giorno, testata per testata, in tavola sinottica.</w:t>
      </w:r>
    </w:p>
    <w:p>
      <w:pPr>
        <w:spacing w:after="120" w:line="276"/>
        <w:jc w:val="both"/>
      </w:pPr>
      <w:r>
        <w:rPr>
          <w:rFonts w:ascii="Barlow Semi Condensed" w:cs="Barlow Semi Condensed" w:eastAsia="Barlow Semi Condensed" w:hAnsi="Barlow Semi Condensed"/>
          <w:b/>
          <w:bCs/>
          <w:sz w:val="24"/>
          <w:szCs w:val="24"/>
        </w:rPr>
        <w:t xml:space="preserve">269 · I fondi dei funzionari di partito.</w:t>
      </w:r>
      <w:r>
        <w:rPr>
          <w:rFonts w:ascii="Barlow Semi Condensed" w:cs="Barlow Semi Condensed" w:eastAsia="Barlow Semi Condensed" w:hAnsi="Barlow Semi Condensed"/>
          <w:sz w:val="24"/>
          <w:szCs w:val="24"/>
        </w:rPr>
        <w:t xml:space="preserve"> Le carte dei funzionari degli apparati di partito del 1978 — i responsabili organizzazione, stampa, problemi dello Stato: censimento negli istituti. Il livello esecutivo dei partiti, dove le linee diventavano telefonate: carta rara e preziosa.</w:t>
      </w:r>
    </w:p>
    <w:p>
      <w:pPr>
        <w:spacing w:after="120" w:line="276"/>
        <w:jc w:val="both"/>
      </w:pPr>
      <w:r>
        <w:rPr>
          <w:rFonts w:ascii="Barlow Semi Condensed" w:cs="Barlow Semi Condensed" w:eastAsia="Barlow Semi Condensed" w:hAnsi="Barlow Semi Condensed"/>
          <w:b/>
          <w:bCs/>
          <w:sz w:val="24"/>
          <w:szCs w:val="24"/>
        </w:rPr>
        <w:t xml:space="preserve">270 · La tavola dei partiti.</w:t>
      </w:r>
      <w:r>
        <w:rPr>
          <w:rFonts w:ascii="Barlow Semi Condensed" w:cs="Barlow Semi Condensed" w:eastAsia="Barlow Semi Condensed" w:hAnsi="Barlow Semi Condensed"/>
          <w:sz w:val="24"/>
          <w:szCs w:val="24"/>
        </w:rPr>
        <w:t xml:space="preserve"> La chiusura della sezione: la tavola degli archivi di partito — partito per partito, con sede, serie del 1978, stato di spoglio. Il sistema dei partiti della solidarietà nazionale, archivisticamente contato: nessuna voce collettiva senza il suo scaffale censito.</w:t>
      </w:r>
    </w:p>
    <w:p>
      <w:pPr>
        <w:pStyle w:val="Heading3"/>
        <w:spacing w:after="80" w:before="160"/>
      </w:pPr>
      <w:r>
        <w:rPr>
          <w:rFonts w:ascii="Barlow Semi Condensed" w:cs="Barlow Semi Condensed" w:eastAsia="Barlow Semi Condensed" w:hAnsi="Barlow Semi Condensed"/>
          <w:sz w:val="24"/>
          <w:szCs w:val="24"/>
        </w:rPr>
        <w:t xml:space="preserve">I cronisti, gli scrittori, gli osservatori (blocchi 271-300)</w:t>
      </w:r>
    </w:p>
    <w:p>
      <w:pPr>
        <w:spacing w:after="120" w:line="276"/>
        <w:jc w:val="both"/>
      </w:pPr>
      <w:r>
        <w:rPr>
          <w:rFonts w:ascii="Barlow Semi Condensed" w:cs="Barlow Semi Condensed" w:eastAsia="Barlow Semi Condensed" w:hAnsi="Barlow Semi Condensed"/>
          <w:b/>
          <w:bCs/>
          <w:sz w:val="24"/>
          <w:szCs w:val="24"/>
        </w:rPr>
        <w:t xml:space="preserve">271 · Il caso Pecorelli, in archivio.</w:t>
      </w:r>
      <w:r>
        <w:rPr>
          <w:rFonts w:ascii="Barlow Semi Condensed" w:cs="Barlow Semi Condensed" w:eastAsia="Barlow Semi Condensed" w:hAnsi="Barlow Semi Condensed"/>
          <w:sz w:val="24"/>
          <w:szCs w:val="24"/>
        </w:rPr>
        <w:t xml:space="preserve"> L'esito verificato della ricerca: un fondo personale di Mino Pecorelli consultabile non risulta; sono invece consultabili le annate 1978-1979 di OP (l'emeroteca della Fondazione Spirito) e le carte confluite nei sequestri giudiziari — gli atti del processo per il suo omicidio, in parte acquisiti dalla Moro 2. Il cantiere lavora questi tre giacimenti, distinti.</w:t>
      </w:r>
    </w:p>
    <w:p>
      <w:pPr>
        <w:spacing w:after="120" w:line="276"/>
        <w:jc w:val="both"/>
      </w:pPr>
      <w:r>
        <w:rPr>
          <w:rFonts w:ascii="Barlow Semi Condensed" w:cs="Barlow Semi Condensed" w:eastAsia="Barlow Semi Condensed" w:hAnsi="Barlow Semi Condensed"/>
          <w:b/>
          <w:bCs/>
          <w:sz w:val="24"/>
          <w:szCs w:val="24"/>
        </w:rPr>
        <w:t xml:space="preserve">272 · OP, lo spoglio integrale.</w:t>
      </w:r>
      <w:r>
        <w:rPr>
          <w:rFonts w:ascii="Barlow Semi Condensed" w:cs="Barlow Semi Condensed" w:eastAsia="Barlow Semi Condensed" w:hAnsi="Barlow Semi Condensed"/>
          <w:sz w:val="24"/>
          <w:szCs w:val="24"/>
        </w:rPr>
        <w:t xml:space="preserve"> La rivista di Pecorelli per il 1978-1979: lo spoglio datato di ogni numero — che cosa OP scrisse sul caso, quando, con quali anticipazioni poi verificate o smentite. La tavola delle anticipazioni di OP, misurata contro la cronologia dei fatti, è il solo modo disciplinato di trattare una fonte celebre per allusioni.</w:t>
      </w:r>
    </w:p>
    <w:p>
      <w:pPr>
        <w:spacing w:after="120" w:line="276"/>
        <w:jc w:val="both"/>
      </w:pPr>
      <w:r>
        <w:rPr>
          <w:rFonts w:ascii="Barlow Semi Condensed" w:cs="Barlow Semi Condensed" w:eastAsia="Barlow Semi Condensed" w:hAnsi="Barlow Semi Condensed"/>
          <w:b/>
          <w:bCs/>
          <w:sz w:val="24"/>
          <w:szCs w:val="24"/>
        </w:rPr>
        <w:t xml:space="preserve">273 · Le carte giudiziarie di Pecorelli.</w:t>
      </w:r>
      <w:r>
        <w:rPr>
          <w:rFonts w:ascii="Barlow Semi Condensed" w:cs="Barlow Semi Condensed" w:eastAsia="Barlow Semi Condensed" w:hAnsi="Barlow Semi Condensed"/>
          <w:sz w:val="24"/>
          <w:szCs w:val="24"/>
        </w:rPr>
        <w:t xml:space="preserve"> Il percorso delle carte redazionali nei sequestri: che cosa fu acquisito dalle istruttorie sull'omicidio (settembre 1979... marzo 1979 — la data esatta dagli atti), che cosa la Moro 2 ha riacquisito, che cosa è consultabile. La via giudiziaria alle carte del giornalista ucciso: ordinaria, documentata, lenta.</w:t>
      </w:r>
    </w:p>
    <w:p>
      <w:pPr>
        <w:spacing w:after="120" w:line="276"/>
        <w:jc w:val="both"/>
      </w:pPr>
      <w:r>
        <w:rPr>
          <w:rFonts w:ascii="Barlow Semi Condensed" w:cs="Barlow Semi Condensed" w:eastAsia="Barlow Semi Condensed" w:hAnsi="Barlow Semi Condensed"/>
          <w:b/>
          <w:bCs/>
          <w:sz w:val="24"/>
          <w:szCs w:val="24"/>
        </w:rPr>
        <w:t xml:space="preserve">274 · Sciascia e le sue carte.</w:t>
      </w:r>
      <w:r>
        <w:rPr>
          <w:rFonts w:ascii="Barlow Semi Condensed" w:cs="Barlow Semi Condensed" w:eastAsia="Barlow Semi Condensed" w:hAnsi="Barlow Semi Condensed"/>
          <w:sz w:val="24"/>
          <w:szCs w:val="24"/>
        </w:rPr>
        <w:t xml:space="preserve"> Le carte di Leonardo Sciascia — in larga parte alla Fondazione Sciascia di Racalmuto, per donazione dello scrittore, con un epistolario di circa quindicimila documenti — intorno a «L'affaire Moro» (1978) e al lavoro nella Commissione Moro 1: manoscritti, appunti, corrispondenza. Il primo lettore filologico delle lettere merita filologia: la genesi del suo libro è un capitolo di storia della ricezione.</w:t>
      </w:r>
    </w:p>
    <w:p>
      <w:pPr>
        <w:spacing w:after="120" w:line="276"/>
        <w:jc w:val="both"/>
      </w:pPr>
      <w:r>
        <w:rPr>
          <w:rFonts w:ascii="Barlow Semi Condensed" w:cs="Barlow Semi Condensed" w:eastAsia="Barlow Semi Condensed" w:hAnsi="Barlow Semi Condensed"/>
          <w:b/>
          <w:bCs/>
          <w:sz w:val="24"/>
          <w:szCs w:val="24"/>
        </w:rPr>
        <w:t xml:space="preserve">275 · La relazione di minoranza.</w:t>
      </w:r>
      <w:r>
        <w:rPr>
          <w:rFonts w:ascii="Barlow Semi Condensed" w:cs="Barlow Semi Condensed" w:eastAsia="Barlow Semi Condensed" w:hAnsi="Barlow Semi Condensed"/>
          <w:sz w:val="24"/>
          <w:szCs w:val="24"/>
        </w:rPr>
        <w:t xml:space="preserve"> Il complemento parlamentare: la relazione di minoranza di Sciascia alla Moro 1 — il testo, le carte preparatorie, le divergenze con la relazione di maggioranza. Un documento cerniera fra letteratura e inchiesta: si studia con entrambe le lenti.</w:t>
      </w:r>
    </w:p>
    <w:p>
      <w:pPr>
        <w:spacing w:after="120" w:line="276"/>
        <w:jc w:val="both"/>
      </w:pPr>
      <w:r>
        <w:rPr>
          <w:rFonts w:ascii="Barlow Semi Condensed" w:cs="Barlow Semi Condensed" w:eastAsia="Barlow Semi Condensed" w:hAnsi="Barlow Semi Condensed"/>
          <w:b/>
          <w:bCs/>
          <w:sz w:val="24"/>
          <w:szCs w:val="24"/>
        </w:rPr>
        <w:t xml:space="preserve">276 · I cronisti giudiziari del caso.</w:t>
      </w:r>
      <w:r>
        <w:rPr>
          <w:rFonts w:ascii="Barlow Semi Condensed" w:cs="Barlow Semi Condensed" w:eastAsia="Barlow Semi Condensed" w:hAnsi="Barlow Semi Condensed"/>
          <w:sz w:val="24"/>
          <w:szCs w:val="24"/>
        </w:rPr>
        <w:t xml:space="preserve"> I fondi dei grandi cronisti giudiziari e parlamentari che seguirono il caso per decenni: censimento dei fondi depositati e proposta di deposito per i viventi. I taccuini di chi sedette in aula per i cinque processi valgono un archivio: sanno le date che i libri arrotondano.</w:t>
      </w:r>
    </w:p>
    <w:p>
      <w:pPr>
        <w:spacing w:after="120" w:line="276"/>
        <w:jc w:val="both"/>
      </w:pPr>
      <w:r>
        <w:rPr>
          <w:rFonts w:ascii="Barlow Semi Condensed" w:cs="Barlow Semi Condensed" w:eastAsia="Barlow Semi Condensed" w:hAnsi="Barlow Semi Condensed"/>
          <w:b/>
          <w:bCs/>
          <w:sz w:val="24"/>
          <w:szCs w:val="24"/>
        </w:rPr>
        <w:t xml:space="preserve">277 · I corrispondenti esteri a Roma.</w:t>
      </w:r>
      <w:r>
        <w:rPr>
          <w:rFonts w:ascii="Barlow Semi Condensed" w:cs="Barlow Semi Condensed" w:eastAsia="Barlow Semi Condensed" w:hAnsi="Barlow Semi Condensed"/>
          <w:sz w:val="24"/>
          <w:szCs w:val="24"/>
        </w:rPr>
        <w:t xml:space="preserve"> I fondi dei corrispondenti stranieri del 1978 — americani, britannici, francesi, tedeschi: dove le loro carte sono depositate (università, fondazioni di giornalismo), che cosa coprono. Lo sguardo straniero in presa diretta, complementare ai cablo delle ambasciate: stessa città, altra penna.</w:t>
      </w:r>
    </w:p>
    <w:p>
      <w:pPr>
        <w:spacing w:after="120" w:line="276"/>
        <w:jc w:val="both"/>
      </w:pPr>
      <w:r>
        <w:rPr>
          <w:rFonts w:ascii="Barlow Semi Condensed" w:cs="Barlow Semi Condensed" w:eastAsia="Barlow Semi Condensed" w:hAnsi="Barlow Semi Condensed"/>
          <w:b/>
          <w:bCs/>
          <w:sz w:val="24"/>
          <w:szCs w:val="24"/>
        </w:rPr>
        <w:t xml:space="preserve">278 · Le agenzie italiane.</w:t>
      </w:r>
      <w:r>
        <w:rPr>
          <w:rFonts w:ascii="Barlow Semi Condensed" w:cs="Barlow Semi Condensed" w:eastAsia="Barlow Semi Condensed" w:hAnsi="Barlow Semi Condensed"/>
          <w:sz w:val="24"/>
          <w:szCs w:val="24"/>
        </w:rPr>
        <w:t xml:space="preserve"> Gli archivi delle agenzie di stampa italiane (ANSA in testa) per i 55 giorni: i lanci originali con gli orari, le veline conservate, i notiziari interni. La cronologia minuto per minuto della crisi passa per le agenzie: il loro archivio è la spina dorsale oraria della cronaca.</w:t>
      </w:r>
    </w:p>
    <w:p>
      <w:pPr>
        <w:spacing w:after="120" w:line="276"/>
        <w:jc w:val="both"/>
      </w:pPr>
      <w:r>
        <w:rPr>
          <w:rFonts w:ascii="Barlow Semi Condensed" w:cs="Barlow Semi Condensed" w:eastAsia="Barlow Semi Condensed" w:hAnsi="Barlow Semi Condensed"/>
          <w:b/>
          <w:bCs/>
          <w:sz w:val="24"/>
          <w:szCs w:val="24"/>
        </w:rPr>
        <w:t xml:space="preserve">279 · I fondi fotografici dei giornali.</w:t>
      </w:r>
      <w:r>
        <w:rPr>
          <w:rFonts w:ascii="Barlow Semi Condensed" w:cs="Barlow Semi Condensed" w:eastAsia="Barlow Semi Condensed" w:hAnsi="Barlow Semi Condensed"/>
          <w:sz w:val="24"/>
          <w:szCs w:val="24"/>
        </w:rPr>
        <w:t xml:space="preserve"> Gli archivi fotografici delle testate e delle agenzie per il caso: il censimento dei fondi (il raccordo con la Parte sesta per il trattamento). Qui si contano gli scaffali; là si leggeranno le immagini.</w:t>
      </w:r>
    </w:p>
    <w:p>
      <w:pPr>
        <w:spacing w:after="120" w:line="276"/>
        <w:jc w:val="both"/>
      </w:pPr>
      <w:r>
        <w:rPr>
          <w:rFonts w:ascii="Barlow Semi Condensed" w:cs="Barlow Semi Condensed" w:eastAsia="Barlow Semi Condensed" w:hAnsi="Barlow Semi Condensed"/>
          <w:b/>
          <w:bCs/>
          <w:sz w:val="24"/>
          <w:szCs w:val="24"/>
        </w:rPr>
        <w:t xml:space="preserve">280 · Gli scrittori dopo Sciascia.</w:t>
      </w:r>
      <w:r>
        <w:rPr>
          <w:rFonts w:ascii="Barlow Semi Condensed" w:cs="Barlow Semi Condensed" w:eastAsia="Barlow Semi Condensed" w:hAnsi="Barlow Semi Condensed"/>
          <w:sz w:val="24"/>
          <w:szCs w:val="24"/>
        </w:rPr>
        <w:t xml:space="preserve"> Le carte degli altri scrittori che lavorarono sul caso — i romanzi, i teatri, le inchieste letterarie: censimento dei fondi d'autore con materia morotea. La letteratura è ricezione documentata: i suoi archivi dicono come l'Italia ha metabolizzato il caso, decennio per decennio.</w:t>
      </w:r>
    </w:p>
    <w:p>
      <w:pPr>
        <w:spacing w:after="120" w:line="276"/>
        <w:jc w:val="both"/>
      </w:pPr>
      <w:r>
        <w:rPr>
          <w:rFonts w:ascii="Barlow Semi Condensed" w:cs="Barlow Semi Condensed" w:eastAsia="Barlow Semi Condensed" w:hAnsi="Barlow Semi Condensed"/>
          <w:b/>
          <w:bCs/>
          <w:sz w:val="24"/>
          <w:szCs w:val="24"/>
        </w:rPr>
        <w:t xml:space="preserve">281 · I registi e i documentaristi.</w:t>
      </w:r>
      <w:r>
        <w:rPr>
          <w:rFonts w:ascii="Barlow Semi Condensed" w:cs="Barlow Semi Condensed" w:eastAsia="Barlow Semi Condensed" w:hAnsi="Barlow Semi Condensed"/>
          <w:sz w:val="24"/>
          <w:szCs w:val="24"/>
        </w:rPr>
        <w:t xml:space="preserve"> I fondi dei registi che filmarono il caso — le sceneggiature, i girati, le ricerche preparatorie: censimento presso cineteche e archivi d'autore. Ogni documentario ha dietro un archivio di lavoro: interviste integrali comprese (il raccordo con la Parte sesta).</w:t>
      </w:r>
    </w:p>
    <w:p>
      <w:pPr>
        <w:spacing w:after="120" w:line="276"/>
        <w:jc w:val="both"/>
      </w:pPr>
      <w:r>
        <w:rPr>
          <w:rFonts w:ascii="Barlow Semi Condensed" w:cs="Barlow Semi Condensed" w:eastAsia="Barlow Semi Condensed" w:hAnsi="Barlow Semi Condensed"/>
          <w:b/>
          <w:bCs/>
          <w:sz w:val="24"/>
          <w:szCs w:val="24"/>
        </w:rPr>
        <w:t xml:space="preserve">282 · Gli storici del caso.</w:t>
      </w:r>
      <w:r>
        <w:rPr>
          <w:rFonts w:ascii="Barlow Semi Condensed" w:cs="Barlow Semi Condensed" w:eastAsia="Barlow Semi Condensed" w:hAnsi="Barlow Semi Condensed"/>
          <w:sz w:val="24"/>
          <w:szCs w:val="24"/>
        </w:rPr>
        <w:t xml:space="preserve"> I fondi di lavoro degli storici che hanno scritto le opere maggiori: censimento e proposta di deposito (il blocco 175 dell'agenda, eseguito). La storiografia morotea ha prodotto archivi propri — schedature, riproduzioni, corrispondenze — che valgono quanto un fondo primario per chi riparte.</w:t>
      </w:r>
    </w:p>
    <w:p>
      <w:pPr>
        <w:spacing w:after="120" w:line="276"/>
        <w:jc w:val="both"/>
      </w:pPr>
      <w:r>
        <w:rPr>
          <w:rFonts w:ascii="Barlow Semi Condensed" w:cs="Barlow Semi Condensed" w:eastAsia="Barlow Semi Condensed" w:hAnsi="Barlow Semi Condensed"/>
          <w:b/>
          <w:bCs/>
          <w:sz w:val="24"/>
          <w:szCs w:val="24"/>
        </w:rPr>
        <w:t xml:space="preserve">283 · Il fondo Flamigni, per intero.</w:t>
      </w:r>
      <w:r>
        <w:rPr>
          <w:rFonts w:ascii="Barlow Semi Condensed" w:cs="Barlow Semi Condensed" w:eastAsia="Barlow Semi Condensed" w:hAnsi="Barlow Semi Condensed"/>
          <w:sz w:val="24"/>
          <w:szCs w:val="24"/>
        </w:rPr>
        <w:t xml:space="preserve"> Il Centro documentazione Archivio Flamigni (dal 2021 a Roma, Garbatella): il censimento integrale dei suoi fondi morotei — il fondo familiare Moro (il secondo nucleo), le raccolte del senatore, i materiali delle commissioni. L'istituto privato più denso del caso: il cantiere ne fa la mappa completa, fondo per fondo.</w:t>
      </w:r>
    </w:p>
    <w:p>
      <w:pPr>
        <w:spacing w:after="120" w:line="276"/>
        <w:jc w:val="both"/>
      </w:pPr>
      <w:r>
        <w:rPr>
          <w:rFonts w:ascii="Barlow Semi Condensed" w:cs="Barlow Semi Condensed" w:eastAsia="Barlow Semi Condensed" w:hAnsi="Barlow Semi Condensed"/>
          <w:b/>
          <w:bCs/>
          <w:sz w:val="24"/>
          <w:szCs w:val="24"/>
        </w:rPr>
        <w:t xml:space="preserve">284 · I sindacati nei 55 giorni.</w:t>
      </w:r>
      <w:r>
        <w:rPr>
          <w:rFonts w:ascii="Barlow Semi Condensed" w:cs="Barlow Semi Condensed" w:eastAsia="Barlow Semi Condensed" w:hAnsi="Barlow Semi Condensed"/>
          <w:sz w:val="24"/>
          <w:szCs w:val="24"/>
        </w:rPr>
        <w:t xml:space="preserve"> Gli archivi confederali (CGIL, CISL, UIL) per il marzo-maggio 1978: gli scioperi del 16 marzo, i direttivi, i documenti unitari. La reazione del lavoro organizzato al rapimento — immediata, documentata, dimenticata: i suoi verbali sono il polso del paese reale nei 55 giorni.</w:t>
      </w:r>
    </w:p>
    <w:p>
      <w:pPr>
        <w:spacing w:after="120" w:line="276"/>
        <w:jc w:val="both"/>
      </w:pPr>
      <w:r>
        <w:rPr>
          <w:rFonts w:ascii="Barlow Semi Condensed" w:cs="Barlow Semi Condensed" w:eastAsia="Barlow Semi Condensed" w:hAnsi="Barlow Semi Condensed"/>
          <w:b/>
          <w:bCs/>
          <w:sz w:val="24"/>
          <w:szCs w:val="24"/>
        </w:rPr>
        <w:t xml:space="preserve">285 · La Confindustria e le camere.</w:t>
      </w:r>
      <w:r>
        <w:rPr>
          <w:rFonts w:ascii="Barlow Semi Condensed" w:cs="Barlow Semi Condensed" w:eastAsia="Barlow Semi Condensed" w:hAnsi="Barlow Semi Condensed"/>
          <w:sz w:val="24"/>
          <w:szCs w:val="24"/>
        </w:rPr>
        <w:t xml:space="preserve"> Gli archivi confindustriali e camerali del 1978: le posizioni degli industriali nella crisi, i documenti degli organi. Il capitale organizzato, come il lavoro: una voce collettiva censita e databile — per la cronologia delle reazioni del paese.</w:t>
      </w:r>
    </w:p>
    <w:p>
      <w:pPr>
        <w:spacing w:after="120" w:line="276"/>
        <w:jc w:val="both"/>
      </w:pPr>
      <w:r>
        <w:rPr>
          <w:rFonts w:ascii="Barlow Semi Condensed" w:cs="Barlow Semi Condensed" w:eastAsia="Barlow Semi Condensed" w:hAnsi="Barlow Semi Condensed"/>
          <w:b/>
          <w:bCs/>
          <w:sz w:val="24"/>
          <w:szCs w:val="24"/>
        </w:rPr>
        <w:t xml:space="preserve">286 · Le associazioni delle vittime.</w:t>
      </w:r>
      <w:r>
        <w:rPr>
          <w:rFonts w:ascii="Barlow Semi Condensed" w:cs="Barlow Semi Condensed" w:eastAsia="Barlow Semi Condensed" w:hAnsi="Barlow Semi Condensed"/>
          <w:sz w:val="24"/>
          <w:szCs w:val="24"/>
        </w:rPr>
        <w:t xml:space="preserve"> Gli archivi delle associazioni dei familiari delle vittime del terrorismo e del dovere: documenti, carteggi con le istituzioni, memorie raccolte. La voce delle vittime organizzate è un giacimento morale e documentale: si censisce con la priorità di rispetto che il metodo impone.</w:t>
      </w:r>
    </w:p>
    <w:p>
      <w:pPr>
        <w:spacing w:after="120" w:line="276"/>
        <w:jc w:val="both"/>
      </w:pPr>
      <w:r>
        <w:rPr>
          <w:rFonts w:ascii="Barlow Semi Condensed" w:cs="Barlow Semi Condensed" w:eastAsia="Barlow Semi Condensed" w:hAnsi="Barlow Semi Condensed"/>
          <w:b/>
          <w:bCs/>
          <w:sz w:val="24"/>
          <w:szCs w:val="24"/>
        </w:rPr>
        <w:t xml:space="preserve">287 · Le carte delle famiglie della scorta.</w:t>
      </w:r>
      <w:r>
        <w:rPr>
          <w:rFonts w:ascii="Barlow Semi Condensed" w:cs="Barlow Semi Condensed" w:eastAsia="Barlow Semi Condensed" w:hAnsi="Barlow Semi Condensed"/>
          <w:sz w:val="24"/>
          <w:szCs w:val="24"/>
        </w:rPr>
        <w:t xml:space="preserve"> Il censimento dedicato e rispettoso: le carte conservate dalle famiglie Leonardi, Ricci, Rivera, Zizzi, Iozzino — lettere, fascicoli personali, onorificenze, corrispondenze con lo Stato. La proposta di inventario e tutela, alle loro condizioni: i cinque uomini di via Fani hanno diritto a un archivio ordinato quanto quello dello statista.</w:t>
      </w:r>
    </w:p>
    <w:p>
      <w:pPr>
        <w:spacing w:after="120" w:line="276"/>
        <w:jc w:val="both"/>
      </w:pPr>
      <w:r>
        <w:rPr>
          <w:rFonts w:ascii="Barlow Semi Condensed" w:cs="Barlow Semi Condensed" w:eastAsia="Barlow Semi Condensed" w:hAnsi="Barlow Semi Condensed"/>
          <w:b/>
          <w:bCs/>
          <w:sz w:val="24"/>
          <w:szCs w:val="24"/>
        </w:rPr>
        <w:t xml:space="preserve">288 · Gli istituti della memoria civile.</w:t>
      </w:r>
      <w:r>
        <w:rPr>
          <w:rFonts w:ascii="Barlow Semi Condensed" w:cs="Barlow Semi Condensed" w:eastAsia="Barlow Semi Condensed" w:hAnsi="Barlow Semi Condensed"/>
          <w:sz w:val="24"/>
          <w:szCs w:val="24"/>
        </w:rPr>
        <w:t xml:space="preserve"> Gli istituti e le case della memoria che conservano materia moroteta — la rete degli istituti storici, le case della memoria locali: censimento dei fondi minori sparsi. La memoria diffusa del caso, contata: molti rivoli, una tavola.</w:t>
      </w:r>
    </w:p>
    <w:p>
      <w:pPr>
        <w:spacing w:after="120" w:line="276"/>
        <w:jc w:val="both"/>
      </w:pPr>
      <w:r>
        <w:rPr>
          <w:rFonts w:ascii="Barlow Semi Condensed" w:cs="Barlow Semi Condensed" w:eastAsia="Barlow Semi Condensed" w:hAnsi="Barlow Semi Condensed"/>
          <w:b/>
          <w:bCs/>
          <w:sz w:val="24"/>
          <w:szCs w:val="24"/>
        </w:rPr>
        <w:t xml:space="preserve">289 · I fondi degli avvocati storici.</w:t>
      </w:r>
      <w:r>
        <w:rPr>
          <w:rFonts w:ascii="Barlow Semi Condensed" w:cs="Barlow Semi Condensed" w:eastAsia="Barlow Semi Condensed" w:hAnsi="Barlow Semi Condensed"/>
          <w:sz w:val="24"/>
          <w:szCs w:val="24"/>
        </w:rPr>
        <w:t xml:space="preserve"> Il censimento dei fondi professionali dei difensori dei processi Moro già depositati o depositabili (il blocco 174 dell'agenda, eseguito nel cantiere): per ciascuno, il perimetro del versabile fuori dal segreto. La difesa come punto di vista documentale, con il suo limite scritto.</w:t>
      </w:r>
    </w:p>
    <w:p>
      <w:pPr>
        <w:spacing w:after="120" w:line="276"/>
        <w:jc w:val="both"/>
      </w:pPr>
      <w:r>
        <w:rPr>
          <w:rFonts w:ascii="Barlow Semi Condensed" w:cs="Barlow Semi Condensed" w:eastAsia="Barlow Semi Condensed" w:hAnsi="Barlow Semi Condensed"/>
          <w:b/>
          <w:bCs/>
          <w:sz w:val="24"/>
          <w:szCs w:val="24"/>
        </w:rPr>
        <w:t xml:space="preserve">290 · Le carte dei periti.</w:t>
      </w:r>
      <w:r>
        <w:rPr>
          <w:rFonts w:ascii="Barlow Semi Condensed" w:cs="Barlow Semi Condensed" w:eastAsia="Barlow Semi Condensed" w:hAnsi="Barlow Semi Condensed"/>
          <w:sz w:val="24"/>
          <w:szCs w:val="24"/>
        </w:rPr>
        <w:t xml:space="preserve"> I fondi personali dei periti storici del caso — i balistici, i medici legali, i grafologi del 1978 e dei processi: censimento e proposta di deposito. Le carte di lavoro di una perizia (appunti, negativi, minute) spesso dicono più della perizia depositata: è materia della Parte quarta, censita qui.</w:t>
      </w:r>
    </w:p>
    <w:p>
      <w:pPr>
        <w:spacing w:after="120" w:line="276"/>
        <w:jc w:val="both"/>
      </w:pPr>
      <w:r>
        <w:rPr>
          <w:rFonts w:ascii="Barlow Semi Condensed" w:cs="Barlow Semi Condensed" w:eastAsia="Barlow Semi Condensed" w:hAnsi="Barlow Semi Condensed"/>
          <w:b/>
          <w:bCs/>
          <w:sz w:val="24"/>
          <w:szCs w:val="24"/>
        </w:rPr>
        <w:t xml:space="preserve">291 · I collezionisti e il mercato.</w:t>
      </w:r>
      <w:r>
        <w:rPr>
          <w:rFonts w:ascii="Barlow Semi Condensed" w:cs="Barlow Semi Condensed" w:eastAsia="Barlow Semi Condensed" w:hAnsi="Barlow Semi Condensed"/>
          <w:sz w:val="24"/>
          <w:szCs w:val="24"/>
        </w:rPr>
        <w:t xml:space="preserve"> Il fenomeno da governare: documenti del caso sul mercato collezionistico e nelle mani private — lettere, volantini, fotografie. Il protocollo: censire le aste passate, proporre il deposito ai detentori, segnalare alle autorità ciò che non dovrebbe essere privato. Il mercato disperde; il cantiere riannoda.</w:t>
      </w:r>
    </w:p>
    <w:p>
      <w:pPr>
        <w:spacing w:after="120" w:line="276"/>
        <w:jc w:val="both"/>
      </w:pPr>
      <w:r>
        <w:rPr>
          <w:rFonts w:ascii="Barlow Semi Condensed" w:cs="Barlow Semi Condensed" w:eastAsia="Barlow Semi Condensed" w:hAnsi="Barlow Semi Condensed"/>
          <w:b/>
          <w:bCs/>
          <w:sz w:val="24"/>
          <w:szCs w:val="24"/>
        </w:rPr>
        <w:t xml:space="preserve">292 · Gli archivi web del caso.</w:t>
      </w:r>
      <w:r>
        <w:rPr>
          <w:rFonts w:ascii="Barlow Semi Condensed" w:cs="Barlow Semi Condensed" w:eastAsia="Barlow Semi Condensed" w:hAnsi="Barlow Semi Condensed"/>
          <w:sz w:val="24"/>
          <w:szCs w:val="24"/>
        </w:rPr>
        <w:t xml:space="preserve"> La memoria digitale: i siti, i forum, i progetti online dedicati al caso da conservare (web archiving) prima che spariscano. La pubblicistica digitale è fragile quanto un solaio: l'archiviazione del web moroteo è un bersaglio del cantiere digitale, censito qui fra gli osservatori.</w:t>
      </w:r>
    </w:p>
    <w:p>
      <w:pPr>
        <w:spacing w:after="120" w:line="276"/>
        <w:jc w:val="both"/>
      </w:pPr>
      <w:r>
        <w:rPr>
          <w:rFonts w:ascii="Barlow Semi Condensed" w:cs="Barlow Semi Condensed" w:eastAsia="Barlow Semi Condensed" w:hAnsi="Barlow Semi Condensed"/>
          <w:b/>
          <w:bCs/>
          <w:sz w:val="24"/>
          <w:szCs w:val="24"/>
        </w:rPr>
        <w:t xml:space="preserve">293 · Le tesi e i saperi grigi.</w:t>
      </w:r>
      <w:r>
        <w:rPr>
          <w:rFonts w:ascii="Barlow Semi Condensed" w:cs="Barlow Semi Condensed" w:eastAsia="Barlow Semi Condensed" w:hAnsi="Barlow Semi Condensed"/>
          <w:sz w:val="24"/>
          <w:szCs w:val="24"/>
        </w:rPr>
        <w:t xml:space="preserve"> Il censimento della letteratura grigia: tesi di laurea e dottorato sul caso, atti di convegni minori, quaderni locali. Decenni di lavoro semi-pubblicato che nessuno ha mai indicizzato: la bibliografia grigia, compilata, restituisce piste e fonti che la letteratura maggiore ha saltato.</w:t>
      </w:r>
    </w:p>
    <w:p>
      <w:pPr>
        <w:spacing w:after="120" w:line="276"/>
        <w:jc w:val="both"/>
      </w:pPr>
      <w:r>
        <w:rPr>
          <w:rFonts w:ascii="Barlow Semi Condensed" w:cs="Barlow Semi Condensed" w:eastAsia="Barlow Semi Condensed" w:hAnsi="Barlow Semi Condensed"/>
          <w:b/>
          <w:bCs/>
          <w:sz w:val="24"/>
          <w:szCs w:val="24"/>
        </w:rPr>
        <w:t xml:space="preserve">294 · Le traduzioni e l'estero editoriale.</w:t>
      </w:r>
      <w:r>
        <w:rPr>
          <w:rFonts w:ascii="Barlow Semi Condensed" w:cs="Barlow Semi Condensed" w:eastAsia="Barlow Semi Condensed" w:hAnsi="Barlow Semi Condensed"/>
          <w:sz w:val="24"/>
          <w:szCs w:val="24"/>
        </w:rPr>
        <w:t xml:space="preserve"> Il caso Moro nell'editoria estera: le opere straniere maggiori, le loro fonti, i loro archivi d'autore. Lo sguardo editoriale estero completa quello diplomatico: come il mondo ha raccontato il caso, e su quali carte.</w:t>
      </w:r>
    </w:p>
    <w:p>
      <w:pPr>
        <w:spacing w:after="120" w:line="276"/>
        <w:jc w:val="both"/>
      </w:pPr>
      <w:r>
        <w:rPr>
          <w:rFonts w:ascii="Barlow Semi Condensed" w:cs="Barlow Semi Condensed" w:eastAsia="Barlow Semi Condensed" w:hAnsi="Barlow Semi Condensed"/>
          <w:b/>
          <w:bCs/>
          <w:sz w:val="24"/>
          <w:szCs w:val="24"/>
        </w:rPr>
        <w:t xml:space="preserve">295 · La tavola degli osservatori.</w:t>
      </w:r>
      <w:r>
        <w:rPr>
          <w:rFonts w:ascii="Barlow Semi Condensed" w:cs="Barlow Semi Condensed" w:eastAsia="Barlow Semi Condensed" w:hAnsi="Barlow Semi Condensed"/>
          <w:sz w:val="24"/>
          <w:szCs w:val="24"/>
        </w:rPr>
        <w:t xml:space="preserve"> La chiusura della sezione: la tavola dei fondi di cronisti, scrittori, osservatori collettivi — con sedi, consistenze, stati. Il caso visto da fuori le istituzioni, contato scaffale per scaffale.</w:t>
      </w:r>
    </w:p>
    <w:p>
      <w:pPr>
        <w:spacing w:after="120" w:line="276"/>
        <w:jc w:val="both"/>
      </w:pPr>
      <w:r>
        <w:rPr>
          <w:rFonts w:ascii="Barlow Semi Condensed" w:cs="Barlow Semi Condensed" w:eastAsia="Barlow Semi Condensed" w:hAnsi="Barlow Semi Condensed"/>
          <w:b/>
          <w:bCs/>
          <w:sz w:val="24"/>
          <w:szCs w:val="24"/>
        </w:rPr>
        <w:t xml:space="preserve">296 · Il diritto dei fondi.</w:t>
      </w:r>
      <w:r>
        <w:rPr>
          <w:rFonts w:ascii="Barlow Semi Condensed" w:cs="Barlow Semi Condensed" w:eastAsia="Barlow Semi Condensed" w:hAnsi="Barlow Semi Condensed"/>
          <w:sz w:val="24"/>
          <w:szCs w:val="24"/>
        </w:rPr>
        <w:t xml:space="preserve"> Il quadro giuridico del cantiere: la dichiarazione di interesse culturale, la vigilanza sugli archivi privati, gli obblighi dei detentori, le agevolazioni del deposito. Il cantiere conosce gli strumenti del Codice dei beni culturali e li propone ai depositari: la legge è l'alleata della conservazione.</w:t>
      </w:r>
    </w:p>
    <w:p>
      <w:pPr>
        <w:spacing w:after="120" w:line="276"/>
        <w:jc w:val="both"/>
      </w:pPr>
      <w:r>
        <w:rPr>
          <w:rFonts w:ascii="Barlow Semi Condensed" w:cs="Barlow Semi Condensed" w:eastAsia="Barlow Semi Condensed" w:hAnsi="Barlow Semi Condensed"/>
          <w:b/>
          <w:bCs/>
          <w:sz w:val="24"/>
          <w:szCs w:val="24"/>
        </w:rPr>
        <w:t xml:space="preserve">297 · La riservatezza nei fondi privati.</w:t>
      </w:r>
      <w:r>
        <w:rPr>
          <w:rFonts w:ascii="Barlow Semi Condensed" w:cs="Barlow Semi Condensed" w:eastAsia="Barlow Semi Condensed" w:hAnsi="Barlow Semi Condensed"/>
          <w:sz w:val="24"/>
          <w:szCs w:val="24"/>
        </w:rPr>
        <w:t xml:space="preserve"> La disciplina dei dati nelle carte private: i termini per i documenti riservati e sensibili, l'anonimizzazione dove dovuta, il bilanciamento con la ricerca storica secondo le regole di deontologia vigenti. Il cantiere maneggia vite private: lo fa con la norma in mano, sempre.</w:t>
      </w:r>
    </w:p>
    <w:p>
      <w:pPr>
        <w:spacing w:after="120" w:line="276"/>
        <w:jc w:val="both"/>
      </w:pPr>
      <w:r>
        <w:rPr>
          <w:rFonts w:ascii="Barlow Semi Condensed" w:cs="Barlow Semi Condensed" w:eastAsia="Barlow Semi Condensed" w:hAnsi="Barlow Semi Condensed"/>
          <w:b/>
          <w:bCs/>
          <w:sz w:val="24"/>
          <w:szCs w:val="24"/>
        </w:rPr>
        <w:t xml:space="preserve">298 · Il laboratorio delle collazioni.</w:t>
      </w:r>
      <w:r>
        <w:rPr>
          <w:rFonts w:ascii="Barlow Semi Condensed" w:cs="Barlow Semi Condensed" w:eastAsia="Barlow Semi Condensed" w:hAnsi="Barlow Semi Condensed"/>
          <w:sz w:val="24"/>
          <w:szCs w:val="24"/>
        </w:rPr>
        <w:t xml:space="preserve"> Lo strumento permanente della parte: il laboratorio che collaziona memorie edite e carte coeve (i blocchi 170, 239, 241) con metodo dichiarato — campioni, criteri, tavole di concordanza. La memorialistica del caso, misurata una volta per tutte: chi ricordava bene, chi costruiva, e dove.</w:t>
      </w:r>
    </w:p>
    <w:p>
      <w:pPr>
        <w:spacing w:after="120" w:line="276"/>
        <w:jc w:val="both"/>
      </w:pPr>
      <w:r>
        <w:rPr>
          <w:rFonts w:ascii="Barlow Semi Condensed" w:cs="Barlow Semi Condensed" w:eastAsia="Barlow Semi Condensed" w:hAnsi="Barlow Semi Condensed"/>
          <w:b/>
          <w:bCs/>
          <w:sz w:val="24"/>
          <w:szCs w:val="24"/>
        </w:rPr>
        <w:t xml:space="preserve">299 · Il fondo dei fondi.</w:t>
      </w:r>
      <w:r>
        <w:rPr>
          <w:rFonts w:ascii="Barlow Semi Condensed" w:cs="Barlow Semi Condensed" w:eastAsia="Barlow Semi Condensed" w:hAnsi="Barlow Semi Condensed"/>
          <w:sz w:val="24"/>
          <w:szCs w:val="24"/>
        </w:rPr>
        <w:t xml:space="preserve"> La proposta istituzionale della parte: un censimento nazionale permanente dei fondi privati morotei — mantenuto con gli istituti, pubblicato, aggiornato — come strumento della Rete degli archivi. Il cantiere non possiede: censisce e restituisce. Il fondo dei fondi è un indice, ed è di tutti.</w:t>
      </w:r>
    </w:p>
    <w:p>
      <w:pPr>
        <w:spacing w:after="120" w:line="276"/>
        <w:jc w:val="both"/>
      </w:pPr>
      <w:r>
        <w:rPr>
          <w:rFonts w:ascii="Barlow Semi Condensed" w:cs="Barlow Semi Condensed" w:eastAsia="Barlow Semi Condensed" w:hAnsi="Barlow Semi Condensed"/>
          <w:b/>
          <w:bCs/>
          <w:sz w:val="24"/>
          <w:szCs w:val="24"/>
        </w:rPr>
        <w:t xml:space="preserve">300 · Il trecentesimo blocco: la tavola dei privati.</w:t>
      </w:r>
      <w:r>
        <w:rPr>
          <w:rFonts w:ascii="Barlow Semi Condensed" w:cs="Barlow Semi Condensed" w:eastAsia="Barlow Semi Condensed" w:hAnsi="Barlow Semi Condensed"/>
          <w:sz w:val="24"/>
          <w:szCs w:val="24"/>
        </w:rPr>
        <w:t xml:space="preserve"> La chiusura della parte al suo giro di boa: la tavola unica dei fondi privati e di partito — dal fondo ACS di Moro al fascicolo Craxi, dalle 308 buste di Cossiga ai diari di Fanfani — con stati di spoglio e pendenze. Un terzo dell'opera è compiuto, e la memoria non dovuta è diventata una mappa.</w:t>
      </w:r>
    </w:p>
    <w:p>
      <w:pPr>
        <w:pStyle w:val="Heading3"/>
        <w:spacing w:after="80" w:before="160"/>
      </w:pPr>
      <w:r>
        <w:rPr>
          <w:rFonts w:ascii="Barlow Semi Condensed" w:cs="Barlow Semi Condensed" w:eastAsia="Barlow Semi Condensed" w:hAnsi="Barlow Semi Condensed"/>
          <w:sz w:val="24"/>
          <w:szCs w:val="24"/>
        </w:rPr>
        <w:t xml:space="preserve">Il metodo dei fondi (blocchi 301-330)</w:t>
      </w:r>
    </w:p>
    <w:p>
      <w:pPr>
        <w:spacing w:after="120" w:line="276"/>
        <w:jc w:val="both"/>
      </w:pPr>
      <w:r>
        <w:rPr>
          <w:rFonts w:ascii="Barlow Semi Condensed" w:cs="Barlow Semi Condensed" w:eastAsia="Barlow Semi Condensed" w:hAnsi="Barlow Semi Condensed"/>
          <w:b/>
          <w:bCs/>
          <w:sz w:val="24"/>
          <w:szCs w:val="24"/>
        </w:rPr>
        <w:t xml:space="preserve">301 · L'ordine delle campagne.</w:t>
      </w:r>
      <w:r>
        <w:rPr>
          <w:rFonts w:ascii="Barlow Semi Condensed" w:cs="Barlow Semi Condensed" w:eastAsia="Barlow Semi Condensed" w:hAnsi="Barlow Semi Condensed"/>
          <w:sz w:val="24"/>
          <w:szCs w:val="24"/>
        </w:rPr>
        <w:t xml:space="preserve"> La sequenza dichiarata dello spoglio: prima i fondi con inventario informatizzato (Cossiga, Moro ACS, Fanfani), poi i tematici (Craxi, DC, PCI), poi i non censiti da far emergere. Il criterio è il rendimento documentale per giornata di sala: la contabilità dell'agenda comanda anche qui.</w:t>
      </w:r>
    </w:p>
    <w:p>
      <w:pPr>
        <w:spacing w:after="120" w:line="276"/>
        <w:jc w:val="both"/>
      </w:pPr>
      <w:r>
        <w:rPr>
          <w:rFonts w:ascii="Barlow Semi Condensed" w:cs="Barlow Semi Condensed" w:eastAsia="Barlow Semi Condensed" w:hAnsi="Barlow Semi Condensed"/>
          <w:b/>
          <w:bCs/>
          <w:sz w:val="24"/>
          <w:szCs w:val="24"/>
        </w:rPr>
        <w:t xml:space="preserve">302 · La griglia unica di spoglio.</w:t>
      </w:r>
      <w:r>
        <w:rPr>
          <w:rFonts w:ascii="Barlow Semi Condensed" w:cs="Barlow Semi Condensed" w:eastAsia="Barlow Semi Condensed" w:hAnsi="Barlow Semi Condensed"/>
          <w:sz w:val="24"/>
          <w:szCs w:val="24"/>
        </w:rPr>
        <w:t xml:space="preserve"> Ogni fondo si spoglia con la stessa griglia dei quesiti costitutivi (i quindici dell'agenda), così che gli esiti siano confrontabili fra fondi: la stessa domanda posta a ogni archivio. La comparabilità è il valore aggiunto del cantiere unico: quindici colonne, un fondo per riga.</w:t>
      </w:r>
    </w:p>
    <w:p>
      <w:pPr>
        <w:spacing w:after="120" w:line="276"/>
        <w:jc w:val="both"/>
      </w:pPr>
      <w:r>
        <w:rPr>
          <w:rFonts w:ascii="Barlow Semi Condensed" w:cs="Barlow Semi Condensed" w:eastAsia="Barlow Semi Condensed" w:hAnsi="Barlow Semi Condensed"/>
          <w:b/>
          <w:bCs/>
          <w:sz w:val="24"/>
          <w:szCs w:val="24"/>
        </w:rPr>
        <w:t xml:space="preserve">303 · Il verbale di fondo.</w:t>
      </w:r>
      <w:r>
        <w:rPr>
          <w:rFonts w:ascii="Barlow Semi Condensed" w:cs="Barlow Semi Condensed" w:eastAsia="Barlow Semi Condensed" w:hAnsi="Barlow Semi Condensed"/>
          <w:sz w:val="24"/>
          <w:szCs w:val="24"/>
        </w:rPr>
        <w:t xml:space="preserve"> Per ogni fondo spogliato: il verbale — serie viste, carte rilevanti con segnatura, vuoti, sorprese, giornate impiegate. Il verbale di fondo è l'unità contabile della parte: chi verrà dopo saprà esattamente dove il cantiere è passato e con quali occhi.</w:t>
      </w:r>
    </w:p>
    <w:p>
      <w:pPr>
        <w:spacing w:after="120" w:line="276"/>
        <w:jc w:val="both"/>
      </w:pPr>
      <w:r>
        <w:rPr>
          <w:rFonts w:ascii="Barlow Semi Condensed" w:cs="Barlow Semi Condensed" w:eastAsia="Barlow Semi Condensed" w:hAnsi="Barlow Semi Condensed"/>
          <w:b/>
          <w:bCs/>
          <w:sz w:val="24"/>
          <w:szCs w:val="24"/>
        </w:rPr>
        <w:t xml:space="preserve">304 · Le riproduzioni e i diritti.</w:t>
      </w:r>
      <w:r>
        <w:rPr>
          <w:rFonts w:ascii="Barlow Semi Condensed" w:cs="Barlow Semi Condensed" w:eastAsia="Barlow Semi Condensed" w:hAnsi="Barlow Semi Condensed"/>
          <w:sz w:val="24"/>
          <w:szCs w:val="24"/>
        </w:rPr>
        <w:t xml:space="preserve"> Il protocollo delle copie nei fondi privati: i diritti di riproduzione, le condizioni dei depositari, la citabilità. Ogni istituto ha regole proprie e il cantiere le rispetta per iscritto: la copia malacquisita è una carta inutilizzabile — e un ponte bruciato.</w:t>
      </w:r>
    </w:p>
    <w:p>
      <w:pPr>
        <w:spacing w:after="120" w:line="276"/>
        <w:jc w:val="both"/>
      </w:pPr>
      <w:r>
        <w:rPr>
          <w:rFonts w:ascii="Barlow Semi Condensed" w:cs="Barlow Semi Condensed" w:eastAsia="Barlow Semi Condensed" w:hAnsi="Barlow Semi Condensed"/>
          <w:b/>
          <w:bCs/>
          <w:sz w:val="24"/>
          <w:szCs w:val="24"/>
        </w:rPr>
        <w:t xml:space="preserve">305 · Il registro dei dinieghi.</w:t>
      </w:r>
      <w:r>
        <w:rPr>
          <w:rFonts w:ascii="Barlow Semi Condensed" w:cs="Barlow Semi Condensed" w:eastAsia="Barlow Semi Condensed" w:hAnsi="Barlow Semi Condensed"/>
          <w:sz w:val="24"/>
          <w:szCs w:val="24"/>
        </w:rPr>
        <w:t xml:space="preserve"> I fondi che negano l'accesso o lo condizionano: il registro dei dinieghi con le motivazioni, senza polemica e senza aggiramenti. Un diniego oggi non è un diniego per sempre: il registro tiene la porta segnata, e la cortesia la tiene socchiusa.</w:t>
      </w:r>
    </w:p>
    <w:p>
      <w:pPr>
        <w:spacing w:after="120" w:line="276"/>
        <w:jc w:val="both"/>
      </w:pPr>
      <w:r>
        <w:rPr>
          <w:rFonts w:ascii="Barlow Semi Condensed" w:cs="Barlow Semi Condensed" w:eastAsia="Barlow Semi Condensed" w:hAnsi="Barlow Semi Condensed"/>
          <w:b/>
          <w:bCs/>
          <w:sz w:val="24"/>
          <w:szCs w:val="24"/>
        </w:rPr>
        <w:t xml:space="preserve">306 · Gli eredi e il tempo.</w:t>
      </w:r>
      <w:r>
        <w:rPr>
          <w:rFonts w:ascii="Barlow Semi Condensed" w:cs="Barlow Semi Condensed" w:eastAsia="Barlow Semi Condensed" w:hAnsi="Barlow Semi Condensed"/>
          <w:sz w:val="24"/>
          <w:szCs w:val="24"/>
        </w:rPr>
        <w:t xml:space="preserve"> La priorità biologica dei fondi: i depositari anziani, le successioni imminenti, i fondi a rischio. La tavola delle urgenze dei fondi privati — la gemella archivistica della tavola dei testimoni: anche gli archivi muoiono, quando muoiono i loro custodi.</w:t>
      </w:r>
    </w:p>
    <w:p>
      <w:pPr>
        <w:spacing w:after="120" w:line="276"/>
        <w:jc w:val="both"/>
      </w:pPr>
      <w:r>
        <w:rPr>
          <w:rFonts w:ascii="Barlow Semi Condensed" w:cs="Barlow Semi Condensed" w:eastAsia="Barlow Semi Condensed" w:hAnsi="Barlow Semi Condensed"/>
          <w:b/>
          <w:bCs/>
          <w:sz w:val="24"/>
          <w:szCs w:val="24"/>
        </w:rPr>
        <w:t xml:space="preserve">307 · Le carte in causa.</w:t>
      </w:r>
      <w:r>
        <w:rPr>
          <w:rFonts w:ascii="Barlow Semi Condensed" w:cs="Barlow Semi Condensed" w:eastAsia="Barlow Semi Condensed" w:hAnsi="Barlow Semi Condensed"/>
          <w:sz w:val="24"/>
          <w:szCs w:val="24"/>
        </w:rPr>
        <w:t xml:space="preserve"> I fondi coinvolti in contenziosi (eredità, sequestri, rivendicazioni): il censimento e la regola — il cantiere non entra nelle liti, aspetta gli esiti e li registra. La pazienza giuridica è parte del metodo: nessuna carta vale una causa persa in partenza.</w:t>
      </w:r>
    </w:p>
    <w:p>
      <w:pPr>
        <w:spacing w:after="120" w:line="276"/>
        <w:jc w:val="both"/>
      </w:pPr>
      <w:r>
        <w:rPr>
          <w:rFonts w:ascii="Barlow Semi Condensed" w:cs="Barlow Semi Condensed" w:eastAsia="Barlow Semi Condensed" w:hAnsi="Barlow Semi Condensed"/>
          <w:b/>
          <w:bCs/>
          <w:sz w:val="24"/>
          <w:szCs w:val="24"/>
        </w:rPr>
        <w:t xml:space="preserve">308 · Il falso d'archivio.</w:t>
      </w:r>
      <w:r>
        <w:rPr>
          <w:rFonts w:ascii="Barlow Semi Condensed" w:cs="Barlow Semi Condensed" w:eastAsia="Barlow Semi Condensed" w:hAnsi="Barlow Semi Condensed"/>
          <w:sz w:val="24"/>
          <w:szCs w:val="24"/>
        </w:rPr>
        <w:t xml:space="preserve"> La vigilanza sui falsi: documenti apocrifi sul caso circolati nei decenni — il registro dei falsi noti, i criteri di autenticazione, la perizia prima della cittadinanza. Un cantiere che compra tutto avvelena se stesso: l'autenticazione è la dogana dei fondi privati.</w:t>
      </w:r>
    </w:p>
    <w:p>
      <w:pPr>
        <w:spacing w:after="120" w:line="276"/>
        <w:jc w:val="both"/>
      </w:pPr>
      <w:r>
        <w:rPr>
          <w:rFonts w:ascii="Barlow Semi Condensed" w:cs="Barlow Semi Condensed" w:eastAsia="Barlow Semi Condensed" w:hAnsi="Barlow Semi Condensed"/>
          <w:b/>
          <w:bCs/>
          <w:sz w:val="24"/>
          <w:szCs w:val="24"/>
        </w:rPr>
        <w:t xml:space="preserve">309 · Le provenienze si dichiarano.</w:t>
      </w:r>
      <w:r>
        <w:rPr>
          <w:rFonts w:ascii="Barlow Semi Condensed" w:cs="Barlow Semi Condensed" w:eastAsia="Barlow Semi Condensed" w:hAnsi="Barlow Semi Condensed"/>
          <w:sz w:val="24"/>
          <w:szCs w:val="24"/>
        </w:rPr>
        <w:t xml:space="preserve"> La regola aurea: ogni carta citata dal cantiere dichiara fondo, serie, busta — sempre, anche nella divulgazione. La citazione archivistica completa è ciò che distingue il corpus dalla pubblicistica: la fonte senza segnatura è un sentito dire elegante.</w:t>
      </w:r>
    </w:p>
    <w:p>
      <w:pPr>
        <w:spacing w:after="120" w:line="276"/>
        <w:jc w:val="both"/>
      </w:pPr>
      <w:r>
        <w:rPr>
          <w:rFonts w:ascii="Barlow Semi Condensed" w:cs="Barlow Semi Condensed" w:eastAsia="Barlow Semi Condensed" w:hAnsi="Barlow Semi Condensed"/>
          <w:b/>
          <w:bCs/>
          <w:sz w:val="24"/>
          <w:szCs w:val="24"/>
        </w:rPr>
        <w:t xml:space="preserve">310 · Il deposito incentivato.</w:t>
      </w:r>
      <w:r>
        <w:rPr>
          <w:rFonts w:ascii="Barlow Semi Condensed" w:cs="Barlow Semi Condensed" w:eastAsia="Barlow Semi Condensed" w:hAnsi="Barlow Semi Condensed"/>
          <w:sz w:val="24"/>
          <w:szCs w:val="24"/>
        </w:rPr>
        <w:t xml:space="preserve"> Gli strumenti da promuovere: convenzioni di deposito, comodati, donazioni con benefici fiscali — il prontuario per i depositari esitanti. Il cantiere si fa consulente gratuito di chi possiede: ogni esitazione sciolta è un fondo salvato.</w:t>
      </w:r>
    </w:p>
    <w:p>
      <w:pPr>
        <w:spacing w:after="120" w:line="276"/>
        <w:jc w:val="both"/>
      </w:pPr>
      <w:r>
        <w:rPr>
          <w:rFonts w:ascii="Barlow Semi Condensed" w:cs="Barlow Semi Condensed" w:eastAsia="Barlow Semi Condensed" w:hAnsi="Barlow Semi Condensed"/>
          <w:b/>
          <w:bCs/>
          <w:sz w:val="24"/>
          <w:szCs w:val="24"/>
        </w:rPr>
        <w:t xml:space="preserve">311 · La digitalizzazione dei privati.</w:t>
      </w:r>
      <w:r>
        <w:rPr>
          <w:rFonts w:ascii="Barlow Semi Condensed" w:cs="Barlow Semi Condensed" w:eastAsia="Barlow Semi Condensed" w:hAnsi="Barlow Semi Condensed"/>
          <w:sz w:val="24"/>
          <w:szCs w:val="24"/>
        </w:rPr>
        <w:t xml:space="preserve"> Il programma: la digitalizzazione dei fondi privati morotei d'intesa con gli istituti, con standard comuni e metadati condivisi (il cantiere digitale del manuale). La copia digitale protegge l'originale e moltiplica l'accesso: è la polizza del cantiere.</w:t>
      </w:r>
    </w:p>
    <w:p>
      <w:pPr>
        <w:spacing w:after="120" w:line="276"/>
        <w:jc w:val="both"/>
      </w:pPr>
      <w:r>
        <w:rPr>
          <w:rFonts w:ascii="Barlow Semi Condensed" w:cs="Barlow Semi Condensed" w:eastAsia="Barlow Semi Condensed" w:hAnsi="Barlow Semi Condensed"/>
          <w:b/>
          <w:bCs/>
          <w:sz w:val="24"/>
          <w:szCs w:val="24"/>
        </w:rPr>
        <w:t xml:space="preserve">312 · L'inventario partecipato.</w:t>
      </w:r>
      <w:r>
        <w:rPr>
          <w:rFonts w:ascii="Barlow Semi Condensed" w:cs="Barlow Semi Condensed" w:eastAsia="Barlow Semi Condensed" w:hAnsi="Barlow Semi Condensed"/>
          <w:sz w:val="24"/>
          <w:szCs w:val="24"/>
        </w:rPr>
        <w:t xml:space="preserve"> Il modello per i fondi non ordinati: l'inventariazione partecipata — il cantiere offre il lavoro archivistico, l'istituto o la famiglia mantengono la proprietà e le regole. Lo scambio è alla pari: ordine contro accesso, competenza contro fiducia.</w:t>
      </w:r>
    </w:p>
    <w:p>
      <w:pPr>
        <w:spacing w:after="120" w:line="276"/>
        <w:jc w:val="both"/>
      </w:pPr>
      <w:r>
        <w:rPr>
          <w:rFonts w:ascii="Barlow Semi Condensed" w:cs="Barlow Semi Condensed" w:eastAsia="Barlow Semi Condensed" w:hAnsi="Barlow Semi Condensed"/>
          <w:b/>
          <w:bCs/>
          <w:sz w:val="24"/>
          <w:szCs w:val="24"/>
        </w:rPr>
        <w:t xml:space="preserve">313 · Le mostre e la restituzione.</w:t>
      </w:r>
      <w:r>
        <w:rPr>
          <w:rFonts w:ascii="Barlow Semi Condensed" w:cs="Barlow Semi Condensed" w:eastAsia="Barlow Semi Condensed" w:hAnsi="Barlow Semi Condensed"/>
          <w:sz w:val="24"/>
          <w:szCs w:val="24"/>
        </w:rPr>
        <w:t xml:space="preserve"> La restituzione pubblica: mostre documentarie, edizioni di fonti, giornate di studio con gli istituti depositari. Il cantiere restituisce visibilità a chi apre le carte: la gratitudine organizzata è anche una politica degli accessi futuri.</w:t>
      </w:r>
    </w:p>
    <w:p>
      <w:pPr>
        <w:spacing w:after="120" w:line="276"/>
        <w:jc w:val="both"/>
      </w:pPr>
      <w:r>
        <w:rPr>
          <w:rFonts w:ascii="Barlow Semi Condensed" w:cs="Barlow Semi Condensed" w:eastAsia="Barlow Semi Condensed" w:hAnsi="Barlow Semi Condensed"/>
          <w:b/>
          <w:bCs/>
          <w:sz w:val="24"/>
          <w:szCs w:val="24"/>
        </w:rPr>
        <w:t xml:space="preserve">314 · Il coordinamento con gli istituti.</w:t>
      </w:r>
      <w:r>
        <w:rPr>
          <w:rFonts w:ascii="Barlow Semi Condensed" w:cs="Barlow Semi Condensed" w:eastAsia="Barlow Semi Condensed" w:hAnsi="Barlow Semi Condensed"/>
          <w:sz w:val="24"/>
          <w:szCs w:val="24"/>
        </w:rPr>
        <w:t xml:space="preserve"> Il tavolo permanente con gli istituti conservatori (Sturzo, Gramsci, Flamigni, gli archivi parlamentari, l'ACS): calendari coordinati, censimenti condivisi, priorità concordate. Il cantiere non è un utente: è un partner — e si comporta da partner.</w:t>
      </w:r>
    </w:p>
    <w:p>
      <w:pPr>
        <w:spacing w:after="120" w:line="276"/>
        <w:jc w:val="both"/>
      </w:pPr>
      <w:r>
        <w:rPr>
          <w:rFonts w:ascii="Barlow Semi Condensed" w:cs="Barlow Semi Condensed" w:eastAsia="Barlow Semi Condensed" w:hAnsi="Barlow Semi Condensed"/>
          <w:b/>
          <w:bCs/>
          <w:sz w:val="24"/>
          <w:szCs w:val="24"/>
        </w:rPr>
        <w:t xml:space="preserve">315 · Le borse e i giovani.</w:t>
      </w:r>
      <w:r>
        <w:rPr>
          <w:rFonts w:ascii="Barlow Semi Condensed" w:cs="Barlow Semi Condensed" w:eastAsia="Barlow Semi Condensed" w:hAnsi="Barlow Semi Condensed"/>
          <w:sz w:val="24"/>
          <w:szCs w:val="24"/>
        </w:rPr>
        <w:t xml:space="preserve"> Il programma di borse di spoglio: giovani ricercatori sui fondi censiti, con la griglia unica e i verbali di fondo. Il cantiere forma mentre spoglia: ogni borsista è un archivista moroteo in più — e il caso ne avrà bisogno oltre il 2028.</w:t>
      </w:r>
    </w:p>
    <w:p>
      <w:pPr>
        <w:spacing w:after="120" w:line="276"/>
        <w:jc w:val="both"/>
      </w:pPr>
      <w:r>
        <w:rPr>
          <w:rFonts w:ascii="Barlow Semi Condensed" w:cs="Barlow Semi Condensed" w:eastAsia="Barlow Semi Condensed" w:hAnsi="Barlow Semi Condensed"/>
          <w:b/>
          <w:bCs/>
          <w:sz w:val="24"/>
          <w:szCs w:val="24"/>
        </w:rPr>
        <w:t xml:space="preserve">316 · I fondi sindacali e datoriali, il metodo.</w:t>
      </w:r>
      <w:r>
        <w:rPr>
          <w:rFonts w:ascii="Barlow Semi Condensed" w:cs="Barlow Semi Condensed" w:eastAsia="Barlow Semi Condensed" w:hAnsi="Barlow Semi Condensed"/>
          <w:sz w:val="24"/>
          <w:szCs w:val="24"/>
        </w:rPr>
        <w:t xml:space="preserve"> L'estensione della griglia ai fondi collettivi non di partito (i blocchi 284-285): stesse quindici colonne, stessa contabilità. La società organizzata entra nella tavola unica con i partiti: il paese del 1978, per intero.</w:t>
      </w:r>
    </w:p>
    <w:p>
      <w:pPr>
        <w:spacing w:after="120" w:line="276"/>
        <w:jc w:val="both"/>
      </w:pPr>
      <w:r>
        <w:rPr>
          <w:rFonts w:ascii="Barlow Semi Condensed" w:cs="Barlow Semi Condensed" w:eastAsia="Barlow Semi Condensed" w:hAnsi="Barlow Semi Condensed"/>
          <w:b/>
          <w:bCs/>
          <w:sz w:val="24"/>
          <w:szCs w:val="24"/>
        </w:rPr>
        <w:t xml:space="preserve">317 · Il campione di controllo dei fondi.</w:t>
      </w:r>
      <w:r>
        <w:rPr>
          <w:rFonts w:ascii="Barlow Semi Condensed" w:cs="Barlow Semi Condensed" w:eastAsia="Barlow Semi Condensed" w:hAnsi="Barlow Semi Condensed"/>
          <w:sz w:val="24"/>
          <w:szCs w:val="24"/>
        </w:rPr>
        <w:t xml:space="preserve"> Il doppio spoglio su campione anche nei fondi privati: la taratura dell'errore di lettura, fondo per fondo. La regola non conosce eccezioni di cortesia: anche l'archivio di un presidente si spoglia due volte, a campione.</w:t>
      </w:r>
    </w:p>
    <w:p>
      <w:pPr>
        <w:spacing w:after="120" w:line="276"/>
        <w:jc w:val="both"/>
      </w:pPr>
      <w:r>
        <w:rPr>
          <w:rFonts w:ascii="Barlow Semi Condensed" w:cs="Barlow Semi Condensed" w:eastAsia="Barlow Semi Condensed" w:hAnsi="Barlow Semi Condensed"/>
          <w:b/>
          <w:bCs/>
          <w:sz w:val="24"/>
          <w:szCs w:val="24"/>
        </w:rPr>
        <w:t xml:space="preserve">318 · Le carte contabili dei partiti.</w:t>
      </w:r>
      <w:r>
        <w:rPr>
          <w:rFonts w:ascii="Barlow Semi Condensed" w:cs="Barlow Semi Condensed" w:eastAsia="Barlow Semi Condensed" w:hAnsi="Barlow Semi Condensed"/>
          <w:sz w:val="24"/>
          <w:szCs w:val="24"/>
        </w:rPr>
        <w:t xml:space="preserve"> Il bersaglio specialistico: le contabilità dei partiti del 1978 — bilanci, finanziamenti, spese dei 55 giorni — dove conservate. La crisi ebbe anche costi materiali documentati: la loro carta è un angolo mai letto del caso.</w:t>
      </w:r>
    </w:p>
    <w:p>
      <w:pPr>
        <w:spacing w:after="120" w:line="276"/>
        <w:jc w:val="both"/>
      </w:pPr>
      <w:r>
        <w:rPr>
          <w:rFonts w:ascii="Barlow Semi Condensed" w:cs="Barlow Semi Condensed" w:eastAsia="Barlow Semi Condensed" w:hAnsi="Barlow Semi Condensed"/>
          <w:b/>
          <w:bCs/>
          <w:sz w:val="24"/>
          <w:szCs w:val="24"/>
        </w:rPr>
        <w:t xml:space="preserve">319 · I verbali che mancano.</w:t>
      </w:r>
      <w:r>
        <w:rPr>
          <w:rFonts w:ascii="Barlow Semi Condensed" w:cs="Barlow Semi Condensed" w:eastAsia="Barlow Semi Condensed" w:hAnsi="Barlow Semi Condensed"/>
          <w:sz w:val="24"/>
          <w:szCs w:val="24"/>
        </w:rPr>
        <w:t xml:space="preserve"> Il censimento dei verbali assenti: le riunioni di partito dei 55 giorni note dalle cronache ma senza verbale conservato. La tavola delle riunioni senza carta — con la distinzione: mai verbalizzate, o verbale perduto? Ogni caso ha una risposta archivistica.</w:t>
      </w:r>
    </w:p>
    <w:p>
      <w:pPr>
        <w:spacing w:after="120" w:line="276"/>
        <w:jc w:val="both"/>
      </w:pPr>
      <w:r>
        <w:rPr>
          <w:rFonts w:ascii="Barlow Semi Condensed" w:cs="Barlow Semi Condensed" w:eastAsia="Barlow Semi Condensed" w:hAnsi="Barlow Semi Condensed"/>
          <w:b/>
          <w:bCs/>
          <w:sz w:val="24"/>
          <w:szCs w:val="24"/>
        </w:rPr>
        <w:t xml:space="preserve">320 · Le carte delle correnti.</w:t>
      </w:r>
      <w:r>
        <w:rPr>
          <w:rFonts w:ascii="Barlow Semi Condensed" w:cs="Barlow Semi Condensed" w:eastAsia="Barlow Semi Condensed" w:hAnsi="Barlow Semi Condensed"/>
          <w:sz w:val="24"/>
          <w:szCs w:val="24"/>
        </w:rPr>
        <w:t xml:space="preserve"> I fondi delle correnti democristiane e delle aree interne agli altri partiti: censimento dei materiali di corrente del 1978 (circolari, riunioni, conteggi). La politica reale del 1978 passava per le correnti: la loro carta è dispersa per natura — e per questo si cerca con metodo.</w:t>
      </w:r>
    </w:p>
    <w:p>
      <w:pPr>
        <w:spacing w:after="120" w:line="276"/>
        <w:jc w:val="both"/>
      </w:pPr>
      <w:r>
        <w:rPr>
          <w:rFonts w:ascii="Barlow Semi Condensed" w:cs="Barlow Semi Condensed" w:eastAsia="Barlow Semi Condensed" w:hAnsi="Barlow Semi Condensed"/>
          <w:b/>
          <w:bCs/>
          <w:sz w:val="24"/>
          <w:szCs w:val="24"/>
        </w:rPr>
        <w:t xml:space="preserve">321 · Gli oral history programs.</w:t>
      </w:r>
      <w:r>
        <w:rPr>
          <w:rFonts w:ascii="Barlow Semi Condensed" w:cs="Barlow Semi Condensed" w:eastAsia="Barlow Semi Condensed" w:hAnsi="Barlow Semi Condensed"/>
          <w:sz w:val="24"/>
          <w:szCs w:val="24"/>
        </w:rPr>
        <w:t xml:space="preserve"> Il censimento delle interviste già raccolte dai programmi di storia orale (universitari, istituzionali, giornalistici) ai protagonisti del 1978: dove sono, con quali regole, con quali trascrizioni. Le voci già registrate si censiscono prima di registrarne di nuove: il patrimonio orale esistente è un fondo anch'esso.</w:t>
      </w:r>
    </w:p>
    <w:p>
      <w:pPr>
        <w:spacing w:after="120" w:line="276"/>
        <w:jc w:val="both"/>
      </w:pPr>
      <w:r>
        <w:rPr>
          <w:rFonts w:ascii="Barlow Semi Condensed" w:cs="Barlow Semi Condensed" w:eastAsia="Barlow Semi Condensed" w:hAnsi="Barlow Semi Condensed"/>
          <w:b/>
          <w:bCs/>
          <w:sz w:val="24"/>
          <w:szCs w:val="24"/>
        </w:rPr>
        <w:t xml:space="preserve">322 · Il diritto d'autore delle carte.</w:t>
      </w:r>
      <w:r>
        <w:rPr>
          <w:rFonts w:ascii="Barlow Semi Condensed" w:cs="Barlow Semi Condensed" w:eastAsia="Barlow Semi Condensed" w:hAnsi="Barlow Semi Condensed"/>
          <w:sz w:val="24"/>
          <w:szCs w:val="24"/>
        </w:rPr>
        <w:t xml:space="preserve"> La gestione dei diritti sulle carte private pubblicande: testi inediti, fotografie, lettere — chi autorizza che cosa. Il prontuario dei diritti per l'edizione delle fonti: il cantiere pubblica solo ciò che può, e sa sempre perché può.</w:t>
      </w:r>
    </w:p>
    <w:p>
      <w:pPr>
        <w:spacing w:after="120" w:line="276"/>
        <w:jc w:val="both"/>
      </w:pPr>
      <w:r>
        <w:rPr>
          <w:rFonts w:ascii="Barlow Semi Condensed" w:cs="Barlow Semi Condensed" w:eastAsia="Barlow Semi Condensed" w:hAnsi="Barlow Semi Condensed"/>
          <w:b/>
          <w:bCs/>
          <w:sz w:val="24"/>
          <w:szCs w:val="24"/>
        </w:rPr>
        <w:t xml:space="preserve">323 · Le carte digitali native.</w:t>
      </w:r>
      <w:r>
        <w:rPr>
          <w:rFonts w:ascii="Barlow Semi Condensed" w:cs="Barlow Semi Condensed" w:eastAsia="Barlow Semi Condensed" w:hAnsi="Barlow Semi Condensed"/>
          <w:sz w:val="24"/>
          <w:szCs w:val="24"/>
        </w:rPr>
        <w:t xml:space="preserve"> Il fronte nuovo: le carte digitali dei protagonisti tardi del caso (email, file) per il periodo delle commissioni recenti. L'archivistica digitale entra nel cantiere dei privati: i fondi del futuro si formano ora, e si salvano ora.</w:t>
      </w:r>
    </w:p>
    <w:p>
      <w:pPr>
        <w:spacing w:after="120" w:line="276"/>
        <w:jc w:val="both"/>
      </w:pPr>
      <w:r>
        <w:rPr>
          <w:rFonts w:ascii="Barlow Semi Condensed" w:cs="Barlow Semi Condensed" w:eastAsia="Barlow Semi Condensed" w:hAnsi="Barlow Semi Condensed"/>
          <w:b/>
          <w:bCs/>
          <w:sz w:val="24"/>
          <w:szCs w:val="24"/>
        </w:rPr>
        <w:t xml:space="preserve">324 · Il registro delle scoperte.</w:t>
      </w:r>
      <w:r>
        <w:rPr>
          <w:rFonts w:ascii="Barlow Semi Condensed" w:cs="Barlow Semi Condensed" w:eastAsia="Barlow Semi Condensed" w:hAnsi="Barlow Semi Condensed"/>
          <w:sz w:val="24"/>
          <w:szCs w:val="24"/>
        </w:rPr>
        <w:t xml:space="preserve"> Ogni carta significativa emersa dai fondi privati entra in un registro pubblico delle scoperte — con segnatura, data di emersione, quesito servito. La contabilità dei risultati della parte: che cosa i fondi hanno dato che gli archivi di Stato non avevano.</w:t>
      </w:r>
    </w:p>
    <w:p>
      <w:pPr>
        <w:spacing w:after="120" w:line="276"/>
        <w:jc w:val="both"/>
      </w:pPr>
      <w:r>
        <w:rPr>
          <w:rFonts w:ascii="Barlow Semi Condensed" w:cs="Barlow Semi Condensed" w:eastAsia="Barlow Semi Condensed" w:hAnsi="Barlow Semi Condensed"/>
          <w:b/>
          <w:bCs/>
          <w:sz w:val="24"/>
          <w:szCs w:val="24"/>
        </w:rPr>
        <w:t xml:space="preserve">325 · Le carte che spostano.</w:t>
      </w:r>
      <w:r>
        <w:rPr>
          <w:rFonts w:ascii="Barlow Semi Condensed" w:cs="Barlow Semi Condensed" w:eastAsia="Barlow Semi Condensed" w:hAnsi="Barlow Semi Condensed"/>
          <w:sz w:val="24"/>
          <w:szCs w:val="24"/>
        </w:rPr>
        <w:t xml:space="preserve"> Il protocollo per la carta che cambia una matrice: verifica rafforzata, contro-lettura, poi l'aggiornamento della scheda per nota. Una scoperta nei privati segue la trafila di ogni evidenza: nessuna emozione d'archivio salta la disciplina dei gradi.</w:t>
      </w:r>
    </w:p>
    <w:p>
      <w:pPr>
        <w:spacing w:after="120" w:line="276"/>
        <w:jc w:val="both"/>
      </w:pPr>
      <w:r>
        <w:rPr>
          <w:rFonts w:ascii="Barlow Semi Condensed" w:cs="Barlow Semi Condensed" w:eastAsia="Barlow Semi Condensed" w:hAnsi="Barlow Semi Condensed"/>
          <w:b/>
          <w:bCs/>
          <w:sz w:val="24"/>
          <w:szCs w:val="24"/>
        </w:rPr>
        <w:t xml:space="preserve">326 · Il raccordo con le piste.</w:t>
      </w:r>
      <w:r>
        <w:rPr>
          <w:rFonts w:ascii="Barlow Semi Condensed" w:cs="Barlow Semi Condensed" w:eastAsia="Barlow Semi Condensed" w:hAnsi="Barlow Semi Condensed"/>
          <w:sz w:val="24"/>
          <w:szCs w:val="24"/>
        </w:rPr>
        <w:t xml:space="preserve"> La tavola di corrispondenza della parte con le piste del programma: i fondi privati servono soprattutto PE-1 (i comitati, via carte di gabinetto private), il quesito 9 (le lettere), l'11 (il canale) e la cronologia politica generale. Ogni fondo dichiara le sue piste: nessuno spoglio orfano.</w:t>
      </w:r>
    </w:p>
    <w:p>
      <w:pPr>
        <w:spacing w:after="120" w:line="276"/>
        <w:jc w:val="both"/>
      </w:pPr>
      <w:r>
        <w:rPr>
          <w:rFonts w:ascii="Barlow Semi Condensed" w:cs="Barlow Semi Condensed" w:eastAsia="Barlow Semi Condensed" w:hAnsi="Barlow Semi Condensed"/>
          <w:b/>
          <w:bCs/>
          <w:sz w:val="24"/>
          <w:szCs w:val="24"/>
        </w:rPr>
        <w:t xml:space="preserve">327 · Il raccordo col manuale.</w:t>
      </w:r>
      <w:r>
        <w:rPr>
          <w:rFonts w:ascii="Barlow Semi Condensed" w:cs="Barlow Semi Condensed" w:eastAsia="Barlow Semi Condensed" w:hAnsi="Barlow Semi Condensed"/>
          <w:sz w:val="24"/>
          <w:szCs w:val="24"/>
        </w:rPr>
        <w:t xml:space="preserve"> Il rinvio esecutivo: le campagne della parte si eseguono coi protocolli della serie quarta del manuale (gli archivi) e con la contabilità della serie dodicesima dell'agenda. La tripla architettura regge anche qui: il cantiere è il dove, il manuale il come, l'agenda il conto.</w:t>
      </w:r>
    </w:p>
    <w:p>
      <w:pPr>
        <w:spacing w:after="120" w:line="276"/>
        <w:jc w:val="both"/>
      </w:pPr>
      <w:r>
        <w:rPr>
          <w:rFonts w:ascii="Barlow Semi Condensed" w:cs="Barlow Semi Condensed" w:eastAsia="Barlow Semi Condensed" w:hAnsi="Barlow Semi Condensed"/>
          <w:b/>
          <w:bCs/>
          <w:sz w:val="24"/>
          <w:szCs w:val="24"/>
        </w:rPr>
        <w:t xml:space="preserve">328 · I vuoti dei privati.</w:t>
      </w:r>
      <w:r>
        <w:rPr>
          <w:rFonts w:ascii="Barlow Semi Condensed" w:cs="Barlow Semi Condensed" w:eastAsia="Barlow Semi Condensed" w:hAnsi="Barlow Semi Condensed"/>
          <w:sz w:val="24"/>
          <w:szCs w:val="24"/>
        </w:rPr>
        <w:t xml:space="preserve"> Il verbale dei vuoti della parte: i fondi cercati e non trovati, i protagonisti senza carte, le serie disperse. Lo Stato Zero dei fondi privati — la mappa di ciò che la memoria privata del caso ha già perso per sempre.</w:t>
      </w:r>
    </w:p>
    <w:p>
      <w:pPr>
        <w:spacing w:after="120" w:line="276"/>
        <w:jc w:val="both"/>
      </w:pPr>
      <w:r>
        <w:rPr>
          <w:rFonts w:ascii="Barlow Semi Condensed" w:cs="Barlow Semi Condensed" w:eastAsia="Barlow Semi Condensed" w:hAnsi="Barlow Semi Condensed"/>
          <w:b/>
          <w:bCs/>
          <w:sz w:val="24"/>
          <w:szCs w:val="24"/>
        </w:rPr>
        <w:t xml:space="preserve">329 · La sintesi della parte.</w:t>
      </w:r>
      <w:r>
        <w:rPr>
          <w:rFonts w:ascii="Barlow Semi Condensed" w:cs="Barlow Semi Condensed" w:eastAsia="Barlow Semi Condensed" w:hAnsi="Barlow Semi Condensed"/>
          <w:sz w:val="24"/>
          <w:szCs w:val="24"/>
        </w:rPr>
        <w:t xml:space="preserve"> Il prodotto d'insieme: lo stato dell'arte dei fondi privati morotei — che cosa esiste, dove, quanto è stato spogliato, che cosa resta. La pagina che nessuna bibliografia ha mai scritto: l'archivio privato del caso, come sistema.</w:t>
      </w:r>
    </w:p>
    <w:p>
      <w:pPr>
        <w:spacing w:after="120" w:line="276"/>
        <w:jc w:val="both"/>
      </w:pPr>
      <w:r>
        <w:rPr>
          <w:rFonts w:ascii="Barlow Semi Condensed" w:cs="Barlow Semi Condensed" w:eastAsia="Barlow Semi Condensed" w:hAnsi="Barlow Semi Condensed"/>
          <w:b/>
          <w:bCs/>
          <w:sz w:val="24"/>
          <w:szCs w:val="24"/>
        </w:rPr>
        <w:t xml:space="preserve">330 · La tavola terza.</w:t>
      </w:r>
      <w:r>
        <w:rPr>
          <w:rFonts w:ascii="Barlow Semi Condensed" w:cs="Barlow Semi Condensed" w:eastAsia="Barlow Semi Condensed" w:hAnsi="Barlow Semi Condensed"/>
          <w:sz w:val="24"/>
          <w:szCs w:val="24"/>
        </w:rPr>
        <w:t xml:space="preserve"> La chiusura della parte: gli stati di tutti i bersagli (221-329), le campagne calendarizzate, le proposte di deposito pendenti. Il terzo cantiere consegna la sua contabilità — e con lui un terzo dell'opera è in tavola.</w:t>
      </w:r>
    </w:p>
    <w:p>
      <w:pPr>
        <w:pStyle w:val="Heading2"/>
        <w:spacing w:after="100" w:before="200"/>
      </w:pPr>
      <w:r>
        <w:rPr>
          <w:rFonts w:ascii="Barlow Semi Condensed" w:cs="Barlow Semi Condensed" w:eastAsia="Barlow Semi Condensed" w:hAnsi="Barlow Semi Condensed"/>
          <w:sz w:val="24"/>
          <w:szCs w:val="24"/>
        </w:rPr>
        <w:t xml:space="preserve">Parte quarta — I reperti (blocchi 331-460)</w:t>
      </w:r>
    </w:p>
    <w:p>
      <w:pPr>
        <w:spacing w:after="120" w:line="276"/>
        <w:jc w:val="both"/>
      </w:pPr>
      <w:r>
        <w:rPr>
          <w:rFonts w:ascii="Barlow Semi Condensed" w:cs="Barlow Semi Condensed" w:eastAsia="Barlow Semi Condensed" w:hAnsi="Barlow Semi Condensed"/>
          <w:i/>
          <w:iCs/>
          <w:sz w:val="24"/>
          <w:szCs w:val="24"/>
        </w:rPr>
        <w:t xml:space="preserve">Statuto della parte: gli oggetti che non ritrattano. Il cantiere dei reperti lavora su fatti verificati per quest'opera: l'esame tecnico del 2015 fu del Servizio Polizia scientifica (illustrato alla Moro 2 il 10 giugno 2015) e confermò l'attribuzione del 1978 — quarantanove colpi da un'unica arma FNAB-43 — declassando però a esito non conclusivo l'attribuzione dei ventidue colpi al secondo mitra, che la perizia del 1993 aveva già messo in dubbio; i profili genetici del 2016 (RIS di Roma e Polizia scientifica, dai mozziconi dell'auto di sbarramento e di via Gradoli) restano senza attribuzione pubblica; il caricatore repertato all'angolo fra via Fani e via Stresa non fu mai sottoposto a comparazione in quarantott'anni, e nuovi esami sono stati disposti dal giudice; gli atti dei cinque processi sono stati digitalizzati sotto il coordinamento dell'Archivio di Stato di Roma. Su questo pavimento la parte costruisce centotrenta bersagli, con la regola scolpita: nessun reperto ha un nome come risposta attesa.</w:t>
      </w:r>
    </w:p>
    <w:p>
      <w:pPr>
        <w:pStyle w:val="Heading3"/>
        <w:spacing w:after="80" w:before="160"/>
      </w:pPr>
      <w:r>
        <w:rPr>
          <w:rFonts w:ascii="Barlow Semi Condensed" w:cs="Barlow Semi Condensed" w:eastAsia="Barlow Semi Condensed" w:hAnsi="Barlow Semi Condensed"/>
          <w:sz w:val="24"/>
          <w:szCs w:val="24"/>
        </w:rPr>
        <w:t xml:space="preserve">La ricognizione e la custodia (blocchi 331-350)</w:t>
      </w:r>
    </w:p>
    <w:p>
      <w:pPr>
        <w:spacing w:after="120" w:line="276"/>
        <w:jc w:val="both"/>
      </w:pPr>
      <w:r>
        <w:rPr>
          <w:rFonts w:ascii="Barlow Semi Condensed" w:cs="Barlow Semi Condensed" w:eastAsia="Barlow Semi Condensed" w:hAnsi="Barlow Semi Condensed"/>
          <w:b/>
          <w:bCs/>
          <w:sz w:val="24"/>
          <w:szCs w:val="24"/>
        </w:rPr>
        <w:t xml:space="preserve">331 · Il censimento fisico.</w:t>
      </w:r>
      <w:r>
        <w:rPr>
          <w:rFonts w:ascii="Barlow Semi Condensed" w:cs="Barlow Semi Condensed" w:eastAsia="Barlow Semi Condensed" w:hAnsi="Barlow Semi Condensed"/>
          <w:sz w:val="24"/>
          <w:szCs w:val="24"/>
        </w:rPr>
        <w:t xml:space="preserve"> Il primo atto del cantiere: la ricognizione dei corpi di reato del caso — sede per sede, deposito per deposito — con stato di conservazione e riesaminabilità. La verifica per quest'opera ha accertato che un inventario pubblico unitario dei reperti minori non esiste: costruirlo è il bersaglio fondativo della parte.</w:t>
      </w:r>
    </w:p>
    <w:p>
      <w:pPr>
        <w:spacing w:after="120" w:line="276"/>
        <w:jc w:val="both"/>
      </w:pPr>
      <w:r>
        <w:rPr>
          <w:rFonts w:ascii="Barlow Semi Condensed" w:cs="Barlow Semi Condensed" w:eastAsia="Barlow Semi Condensed" w:hAnsi="Barlow Semi Condensed"/>
          <w:b/>
          <w:bCs/>
          <w:sz w:val="24"/>
          <w:szCs w:val="24"/>
        </w:rPr>
        <w:t xml:space="preserve">332 · La lezione del riordino.</w:t>
      </w:r>
      <w:r>
        <w:rPr>
          <w:rFonts w:ascii="Barlow Semi Condensed" w:cs="Barlow Semi Condensed" w:eastAsia="Barlow Semi Condensed" w:hAnsi="Barlow Semi Condensed"/>
          <w:sz w:val="24"/>
          <w:szCs w:val="24"/>
        </w:rPr>
        <w:t xml:space="preserve"> I reperti riemersi e riordinati durante i lavori della Moro 2 (2015-2017): la storia documentata di quel riordino — che cosa fu ritrovato, in che condizioni, con quali verbali. La lezione è metodica: i depositi giudiziari dimenticano, e ogni commissione che cerca trova. Il cantiere istituzionalizza la ricerca.</w:t>
      </w:r>
    </w:p>
    <w:p>
      <w:pPr>
        <w:spacing w:after="120" w:line="276"/>
        <w:jc w:val="both"/>
      </w:pPr>
      <w:r>
        <w:rPr>
          <w:rFonts w:ascii="Barlow Semi Condensed" w:cs="Barlow Semi Condensed" w:eastAsia="Barlow Semi Condensed" w:hAnsi="Barlow Semi Condensed"/>
          <w:b/>
          <w:bCs/>
          <w:sz w:val="24"/>
          <w:szCs w:val="24"/>
        </w:rPr>
        <w:t xml:space="preserve">333 · La catena ricostruita, reperto per reperto.</w:t>
      </w:r>
      <w:r>
        <w:rPr>
          <w:rFonts w:ascii="Barlow Semi Condensed" w:cs="Barlow Semi Condensed" w:eastAsia="Barlow Semi Condensed" w:hAnsi="Barlow Semi Condensed"/>
          <w:sz w:val="24"/>
          <w:szCs w:val="24"/>
        </w:rPr>
        <w:t xml:space="preserve"> Per ogni oggetto del censimento: la catena di custodia integrale dal 1978 — sequestro, perizie, trasferimenti, sedi — ricostruita dagli atti ora digitalizzati. La catena è la precondizione di ogni esame futuro: un reperto senza storia è un esame contestabile in partenza.</w:t>
      </w:r>
    </w:p>
    <w:p>
      <w:pPr>
        <w:spacing w:after="120" w:line="276"/>
        <w:jc w:val="both"/>
      </w:pPr>
      <w:r>
        <w:rPr>
          <w:rFonts w:ascii="Barlow Semi Condensed" w:cs="Barlow Semi Condensed" w:eastAsia="Barlow Semi Condensed" w:hAnsi="Barlow Semi Condensed"/>
          <w:b/>
          <w:bCs/>
          <w:sz w:val="24"/>
          <w:szCs w:val="24"/>
        </w:rPr>
        <w:t xml:space="preserve">334 · Il registro delle manipolazioni.</w:t>
      </w:r>
      <w:r>
        <w:rPr>
          <w:rFonts w:ascii="Barlow Semi Condensed" w:cs="Barlow Semi Condensed" w:eastAsia="Barlow Semi Condensed" w:hAnsi="Barlow Semi Condensed"/>
          <w:sz w:val="24"/>
          <w:szCs w:val="24"/>
        </w:rPr>
        <w:t xml:space="preserve"> Il censimento di chi ha toccato che cosa in mezzo secolo: periti, operatori, custodi — per il database di eliminazione (il blocco 188 dell'agenda, eseguito). Ogni mano nota sottratta all'ignoto restringe il campo dei profili orfani: è aritmetica forense, non burocrazia.</w:t>
      </w:r>
    </w:p>
    <w:p>
      <w:pPr>
        <w:spacing w:after="120" w:line="276"/>
        <w:jc w:val="both"/>
      </w:pPr>
      <w:r>
        <w:rPr>
          <w:rFonts w:ascii="Barlow Semi Condensed" w:cs="Barlow Semi Condensed" w:eastAsia="Barlow Semi Condensed" w:hAnsi="Barlow Semi Condensed"/>
          <w:b/>
          <w:bCs/>
          <w:sz w:val="24"/>
          <w:szCs w:val="24"/>
        </w:rPr>
        <w:t xml:space="preserve">335 · La Renault 4, custodita.</w:t>
      </w:r>
      <w:r>
        <w:rPr>
          <w:rFonts w:ascii="Barlow Semi Condensed" w:cs="Barlow Semi Condensed" w:eastAsia="Barlow Semi Condensed" w:hAnsi="Barlow Semi Condensed"/>
          <w:sz w:val="24"/>
          <w:szCs w:val="24"/>
        </w:rPr>
        <w:t xml:space="preserve"> Il fatto verificato: la Renault 4 del ritrovamento (targata Roma N57686, di Filippo Bartoli) fu donata dopo il dissequestro alla Polizia di Stato, restaurata in conservativo ed è esposta al museo delle auto storiche del Corpo. Il bersaglio: la documentazione integrale del restauro — che cosa fu preservato, che cosa perduto per sempre alla scienza.</w:t>
      </w:r>
    </w:p>
    <w:p>
      <w:pPr>
        <w:spacing w:after="120" w:line="276"/>
        <w:jc w:val="both"/>
      </w:pPr>
      <w:r>
        <w:rPr>
          <w:rFonts w:ascii="Barlow Semi Condensed" w:cs="Barlow Semi Condensed" w:eastAsia="Barlow Semi Condensed" w:hAnsi="Barlow Semi Condensed"/>
          <w:b/>
          <w:bCs/>
          <w:sz w:val="24"/>
          <w:szCs w:val="24"/>
        </w:rPr>
        <w:t xml:space="preserve">336 · I reperti espositi.</w:t>
      </w:r>
      <w:r>
        <w:rPr>
          <w:rFonts w:ascii="Barlow Semi Condensed" w:cs="Barlow Semi Condensed" w:eastAsia="Barlow Semi Condensed" w:hAnsi="Barlow Semi Condensed"/>
          <w:sz w:val="24"/>
          <w:szCs w:val="24"/>
        </w:rPr>
        <w:t xml:space="preserve"> La regola per i reperti musealizzati: l'esposizione non è la fine della riesaminabilità — la tavola di ciò che i musei del caso conservano (le auto, gli oggetti) con lo stato tecnico di ciascun pezzo. Un reperto in vetrina resta un reperto: cambia la teca, non lo statuto.</w:t>
      </w:r>
    </w:p>
    <w:p>
      <w:pPr>
        <w:spacing w:after="120" w:line="276"/>
        <w:jc w:val="both"/>
      </w:pPr>
      <w:r>
        <w:rPr>
          <w:rFonts w:ascii="Barlow Semi Condensed" w:cs="Barlow Semi Condensed" w:eastAsia="Barlow Semi Condensed" w:hAnsi="Barlow Semi Condensed"/>
          <w:b/>
          <w:bCs/>
          <w:sz w:val="24"/>
          <w:szCs w:val="24"/>
        </w:rPr>
        <w:t xml:space="preserve">337 · I depositi giudiziari romani.</w:t>
      </w:r>
      <w:r>
        <w:rPr>
          <w:rFonts w:ascii="Barlow Semi Condensed" w:cs="Barlow Semi Condensed" w:eastAsia="Barlow Semi Condensed" w:hAnsi="Barlow Semi Condensed"/>
          <w:sz w:val="24"/>
          <w:szCs w:val="24"/>
        </w:rPr>
        <w:t xml:space="preserve"> La mappa dei depositi della giustizia romana dove i corpi di reato del caso giacciono o giacquero: registri di carico e scarico, versamenti, distruzioni autorizzate. La geografia fisica dei reperti — il complemento materiale della digitalizzazione degli atti.</w:t>
      </w:r>
    </w:p>
    <w:p>
      <w:pPr>
        <w:spacing w:after="120" w:line="276"/>
        <w:jc w:val="both"/>
      </w:pPr>
      <w:r>
        <w:rPr>
          <w:rFonts w:ascii="Barlow Semi Condensed" w:cs="Barlow Semi Condensed" w:eastAsia="Barlow Semi Condensed" w:hAnsi="Barlow Semi Condensed"/>
          <w:b/>
          <w:bCs/>
          <w:sz w:val="24"/>
          <w:szCs w:val="24"/>
        </w:rPr>
        <w:t xml:space="preserve">338 · Le distruzioni documentate.</w:t>
      </w:r>
      <w:r>
        <w:rPr>
          <w:rFonts w:ascii="Barlow Semi Condensed" w:cs="Barlow Semi Condensed" w:eastAsia="Barlow Semi Condensed" w:hAnsi="Barlow Semi Condensed"/>
          <w:sz w:val="24"/>
          <w:szCs w:val="24"/>
        </w:rPr>
        <w:t xml:space="preserve"> Il censimento dei reperti distrutti per provvedimento nei decenni: quali, quando, con quale autorizzazione. La tavola del distrutto (il gemello materiale del blocco 255 dell'agenda): ogni distruzione documentata chiude onestamente un bersaglio — e ne apre uno sulla decisione.</w:t>
      </w:r>
    </w:p>
    <w:p>
      <w:pPr>
        <w:spacing w:after="120" w:line="276"/>
        <w:jc w:val="both"/>
      </w:pPr>
      <w:r>
        <w:rPr>
          <w:rFonts w:ascii="Barlow Semi Condensed" w:cs="Barlow Semi Condensed" w:eastAsia="Barlow Semi Condensed" w:hAnsi="Barlow Semi Condensed"/>
          <w:b/>
          <w:bCs/>
          <w:sz w:val="24"/>
          <w:szCs w:val="24"/>
        </w:rPr>
        <w:t xml:space="preserve">339 · I reperti nelle perizie.</w:t>
      </w:r>
      <w:r>
        <w:rPr>
          <w:rFonts w:ascii="Barlow Semi Condensed" w:cs="Barlow Semi Condensed" w:eastAsia="Barlow Semi Condensed" w:hAnsi="Barlow Semi Condensed"/>
          <w:sz w:val="24"/>
          <w:szCs w:val="24"/>
        </w:rPr>
        <w:t xml:space="preserve"> Il censimento incrociato: ogni reperto contro ogni perizia che lo esaminò (1978, i processi, il 1993, il 2015-2017) — la matrice reperto × esame con gli esiti. La storia scientifica di ciascun oggetto, in una riga: che cosa gli è già stato chiesto, e con quali strumenti d'epoca.</w:t>
      </w:r>
    </w:p>
    <w:p>
      <w:pPr>
        <w:spacing w:after="120" w:line="276"/>
        <w:jc w:val="both"/>
      </w:pPr>
      <w:r>
        <w:rPr>
          <w:rFonts w:ascii="Barlow Semi Condensed" w:cs="Barlow Semi Condensed" w:eastAsia="Barlow Semi Condensed" w:hAnsi="Barlow Semi Condensed"/>
          <w:b/>
          <w:bCs/>
          <w:sz w:val="24"/>
          <w:szCs w:val="24"/>
        </w:rPr>
        <w:t xml:space="preserve">340 · La perizia del 1993.</w:t>
      </w:r>
      <w:r>
        <w:rPr>
          <w:rFonts w:ascii="Barlow Semi Condensed" w:cs="Barlow Semi Condensed" w:eastAsia="Barlow Semi Condensed" w:hAnsi="Barlow Semi Condensed"/>
          <w:sz w:val="24"/>
          <w:szCs w:val="24"/>
        </w:rPr>
        <w:t xml:space="preserve"> Il passaggio intermedio documentato: la perizia balistica degli anni Novanta (l'ipotesi divergente registrata dalla verifica) — il testo, i quesiti, gli esiti, il confronto col 1978 e col 2015. La sequenza delle tre stagioni peritali è essa stessa un oggetto di studio: come cambiò la lettura degli stessi bossoli.</w:t>
      </w:r>
    </w:p>
    <w:p>
      <w:pPr>
        <w:spacing w:after="120" w:line="276"/>
        <w:jc w:val="both"/>
      </w:pPr>
      <w:r>
        <w:rPr>
          <w:rFonts w:ascii="Barlow Semi Condensed" w:cs="Barlow Semi Condensed" w:eastAsia="Barlow Semi Condensed" w:hAnsi="Barlow Semi Condensed"/>
          <w:b/>
          <w:bCs/>
          <w:sz w:val="24"/>
          <w:szCs w:val="24"/>
        </w:rPr>
        <w:t xml:space="preserve">341 · Gli atti digitalizzati come strumento.</w:t>
      </w:r>
      <w:r>
        <w:rPr>
          <w:rFonts w:ascii="Barlow Semi Condensed" w:cs="Barlow Semi Condensed" w:eastAsia="Barlow Semi Condensed" w:hAnsi="Barlow Semi Condensed"/>
          <w:sz w:val="24"/>
          <w:szCs w:val="24"/>
        </w:rPr>
        <w:t xml:space="preserve"> Il fatto verificato: gli atti dei processi Moro (dal primo al quinquies), già alla Corte d'assise di Roma, sono stati riordinati e digitalizzati sotto il coordinamento dell'Archivio di Stato di Roma. Il cantiere li usa come strumento quotidiano: ogni verbale di sequestro e ogni perizia del 1978 è ora interrogabile — e va interrogata sistematicamente.</w:t>
      </w:r>
    </w:p>
    <w:p>
      <w:pPr>
        <w:spacing w:after="120" w:line="276"/>
        <w:jc w:val="both"/>
      </w:pPr>
      <w:r>
        <w:rPr>
          <w:rFonts w:ascii="Barlow Semi Condensed" w:cs="Barlow Semi Condensed" w:eastAsia="Barlow Semi Condensed" w:hAnsi="Barlow Semi Condensed"/>
          <w:b/>
          <w:bCs/>
          <w:sz w:val="24"/>
          <w:szCs w:val="24"/>
        </w:rPr>
        <w:t xml:space="preserve">342 · L'inventario unico pubblicato.</w:t>
      </w:r>
      <w:r>
        <w:rPr>
          <w:rFonts w:ascii="Barlow Semi Condensed" w:cs="Barlow Semi Condensed" w:eastAsia="Barlow Semi Condensed" w:hAnsi="Barlow Semi Condensed"/>
          <w:sz w:val="24"/>
          <w:szCs w:val="24"/>
        </w:rPr>
        <w:t xml:space="preserve"> L'esito atteso della sezione: l'inventario unico dei reperti del caso — oggetto, storia, sede, stato, esami fatti e possibili — pubblicato e mantenuto (il blocco 100 dell'agenda, eseguito alla scala del cantiere). Nessun caso italiano ha mai avuto la sua tavola dei reperti: questo la costruisce.</w:t>
      </w:r>
    </w:p>
    <w:p>
      <w:pPr>
        <w:spacing w:after="120" w:line="276"/>
        <w:jc w:val="both"/>
      </w:pPr>
      <w:r>
        <w:rPr>
          <w:rFonts w:ascii="Barlow Semi Condensed" w:cs="Barlow Semi Condensed" w:eastAsia="Barlow Semi Condensed" w:hAnsi="Barlow Semi Condensed"/>
          <w:b/>
          <w:bCs/>
          <w:sz w:val="24"/>
          <w:szCs w:val="24"/>
        </w:rPr>
        <w:t xml:space="preserve">343 · I reperti dei covi.</w:t>
      </w:r>
      <w:r>
        <w:rPr>
          <w:rFonts w:ascii="Barlow Semi Condensed" w:cs="Barlow Semi Condensed" w:eastAsia="Barlow Semi Condensed" w:hAnsi="Barlow Semi Condensed"/>
          <w:sz w:val="24"/>
          <w:szCs w:val="24"/>
        </w:rPr>
        <w:t xml:space="preserve"> Il perimetro allargato: i corpi di reato dei covi collegati (via Gradoli, via Monte Nevoso, gli altri) — censimento con la stessa griglia. Il caso non finisce in via Fani: i suoi oggetti sono un arcipelago, e l'inventario lo copre per intero.</w:t>
      </w:r>
    </w:p>
    <w:p>
      <w:pPr>
        <w:spacing w:after="120" w:line="276"/>
        <w:jc w:val="both"/>
      </w:pPr>
      <w:r>
        <w:rPr>
          <w:rFonts w:ascii="Barlow Semi Condensed" w:cs="Barlow Semi Condensed" w:eastAsia="Barlow Semi Condensed" w:hAnsi="Barlow Semi Condensed"/>
          <w:b/>
          <w:bCs/>
          <w:sz w:val="24"/>
          <w:szCs w:val="24"/>
        </w:rPr>
        <w:t xml:space="preserve">344 · I reperti degli altri processi.</w:t>
      </w:r>
      <w:r>
        <w:rPr>
          <w:rFonts w:ascii="Barlow Semi Condensed" w:cs="Barlow Semi Condensed" w:eastAsia="Barlow Semi Condensed" w:hAnsi="Barlow Semi Condensed"/>
          <w:sz w:val="24"/>
          <w:szCs w:val="24"/>
        </w:rPr>
        <w:t xml:space="preserve"> I corpi di reato dei procedimenti collegati (Chichiarelli, i processi alla colonna romana) per la parte che tocca il caso: censimento e catena. I confini processuali non sono confini materiali: l'oggetto migra fra fascicoli, e il cantiere lo segue.</w:t>
      </w:r>
    </w:p>
    <w:p>
      <w:pPr>
        <w:spacing w:after="120" w:line="276"/>
        <w:jc w:val="both"/>
      </w:pPr>
      <w:r>
        <w:rPr>
          <w:rFonts w:ascii="Barlow Semi Condensed" w:cs="Barlow Semi Condensed" w:eastAsia="Barlow Semi Condensed" w:hAnsi="Barlow Semi Condensed"/>
          <w:b/>
          <w:bCs/>
          <w:sz w:val="24"/>
          <w:szCs w:val="24"/>
        </w:rPr>
        <w:t xml:space="preserve">345 · Il sopralluogo del 2026.</w:t>
      </w:r>
      <w:r>
        <w:rPr>
          <w:rFonts w:ascii="Barlow Semi Condensed" w:cs="Barlow Semi Condensed" w:eastAsia="Barlow Semi Condensed" w:hAnsi="Barlow Semi Condensed"/>
          <w:sz w:val="24"/>
          <w:szCs w:val="24"/>
        </w:rPr>
        <w:t xml:space="preserve"> La verifica fisica: il sopralluogo formale nei depositi con le autorità competenti — lo stato reale contro lo stato di registro. La carta dice; l'occhio verifica: la differenza fra i due è essa stessa un dato del cantiere.</w:t>
      </w:r>
    </w:p>
    <w:p>
      <w:pPr>
        <w:spacing w:after="120" w:line="276"/>
        <w:jc w:val="both"/>
      </w:pPr>
      <w:r>
        <w:rPr>
          <w:rFonts w:ascii="Barlow Semi Condensed" w:cs="Barlow Semi Condensed" w:eastAsia="Barlow Semi Condensed" w:hAnsi="Barlow Semi Condensed"/>
          <w:b/>
          <w:bCs/>
          <w:sz w:val="24"/>
          <w:szCs w:val="24"/>
        </w:rPr>
        <w:t xml:space="preserve">346 · Le condizioni di conservazione.</w:t>
      </w:r>
      <w:r>
        <w:rPr>
          <w:rFonts w:ascii="Barlow Semi Condensed" w:cs="Barlow Semi Condensed" w:eastAsia="Barlow Semi Condensed" w:hAnsi="Barlow Semi Condensed"/>
          <w:sz w:val="24"/>
          <w:szCs w:val="24"/>
        </w:rPr>
        <w:t xml:space="preserve"> Per ogni reperto biologicamente o chimicamente sensibile: la scheda delle condizioni (temperatura, umidità, contenitori) e le raccomandazioni di conservazione forense. Il cantiere protegge prima di esaminare: un reperto degradato oggi è una domanda in meno per sempre.</w:t>
      </w:r>
    </w:p>
    <w:p>
      <w:pPr>
        <w:spacing w:after="120" w:line="276"/>
        <w:jc w:val="both"/>
      </w:pPr>
      <w:r>
        <w:rPr>
          <w:rFonts w:ascii="Barlow Semi Condensed" w:cs="Barlow Semi Condensed" w:eastAsia="Barlow Semi Condensed" w:hAnsi="Barlow Semi Condensed"/>
          <w:b/>
          <w:bCs/>
          <w:sz w:val="24"/>
          <w:szCs w:val="24"/>
        </w:rPr>
        <w:t xml:space="preserve">347 · La priorità degli esami.</w:t>
      </w:r>
      <w:r>
        <w:rPr>
          <w:rFonts w:ascii="Barlow Semi Condensed" w:cs="Barlow Semi Condensed" w:eastAsia="Barlow Semi Condensed" w:hAnsi="Barlow Semi Condensed"/>
          <w:sz w:val="24"/>
          <w:szCs w:val="24"/>
        </w:rPr>
        <w:t xml:space="preserve"> La graduatoria dei riesami per rendimento e rischio: prima i reperti mai esaminati (il caricatore insegna), poi quelli esaminati con strumenti superati, poi le conferme. La coda degli esami è un atto pubblico del cantiere: si vede che cosa viene prima e perché.</w:t>
      </w:r>
    </w:p>
    <w:p>
      <w:pPr>
        <w:spacing w:after="120" w:line="276"/>
        <w:jc w:val="both"/>
      </w:pPr>
      <w:r>
        <w:rPr>
          <w:rFonts w:ascii="Barlow Semi Condensed" w:cs="Barlow Semi Condensed" w:eastAsia="Barlow Semi Condensed" w:hAnsi="Barlow Semi Condensed"/>
          <w:b/>
          <w:bCs/>
          <w:sz w:val="24"/>
          <w:szCs w:val="24"/>
        </w:rPr>
        <w:t xml:space="preserve">348 · Il coordinamento col giudice.</w:t>
      </w:r>
      <w:r>
        <w:rPr>
          <w:rFonts w:ascii="Barlow Semi Condensed" w:cs="Barlow Semi Condensed" w:eastAsia="Barlow Semi Condensed" w:hAnsi="Barlow Semi Condensed"/>
          <w:sz w:val="24"/>
          <w:szCs w:val="24"/>
        </w:rPr>
        <w:t xml:space="preserve"> La regola istituzionale: ogni riesame su corpi di reato passa per l'autorità giudiziaria titolare — il cantiere propone, documenta e attende (il blocco 291 dell'agenda). I reperti del caso sono della giustizia: il cantiere è un alleato istruito, non un concorrente.</w:t>
      </w:r>
    </w:p>
    <w:p>
      <w:pPr>
        <w:spacing w:after="120" w:line="276"/>
        <w:jc w:val="both"/>
      </w:pPr>
      <w:r>
        <w:rPr>
          <w:rFonts w:ascii="Barlow Semi Condensed" w:cs="Barlow Semi Condensed" w:eastAsia="Barlow Semi Condensed" w:hAnsi="Barlow Semi Condensed"/>
          <w:b/>
          <w:bCs/>
          <w:sz w:val="24"/>
          <w:szCs w:val="24"/>
        </w:rPr>
        <w:t xml:space="preserve">349 · Il registro fotografico dei reperti.</w:t>
      </w:r>
      <w:r>
        <w:rPr>
          <w:rFonts w:ascii="Barlow Semi Condensed" w:cs="Barlow Semi Condensed" w:eastAsia="Barlow Semi Condensed" w:hAnsi="Barlow Semi Condensed"/>
          <w:sz w:val="24"/>
          <w:szCs w:val="24"/>
        </w:rPr>
        <w:t xml:space="preserve"> La campagna fotografica sistematica: ogni reperto documentato in alta definizione con standard forensi, prima di ogni nuovo esame. Il gemello visivo dell'inventario: lo stato del 2026 fissato per sempre, qualunque cosa accada dopo.</w:t>
      </w:r>
    </w:p>
    <w:p>
      <w:pPr>
        <w:spacing w:after="120" w:line="276"/>
        <w:jc w:val="both"/>
      </w:pPr>
      <w:r>
        <w:rPr>
          <w:rFonts w:ascii="Barlow Semi Condensed" w:cs="Barlow Semi Condensed" w:eastAsia="Barlow Semi Condensed" w:hAnsi="Barlow Semi Condensed"/>
          <w:b/>
          <w:bCs/>
          <w:sz w:val="24"/>
          <w:szCs w:val="24"/>
        </w:rPr>
        <w:t xml:space="preserve">350 · La tavola della custodia.</w:t>
      </w:r>
      <w:r>
        <w:rPr>
          <w:rFonts w:ascii="Barlow Semi Condensed" w:cs="Barlow Semi Condensed" w:eastAsia="Barlow Semi Condensed" w:hAnsi="Barlow Semi Condensed"/>
          <w:sz w:val="24"/>
          <w:szCs w:val="24"/>
        </w:rPr>
        <w:t xml:space="preserve"> La chiusura della sezione: l'inventario unico avviato, le catene ricostruite, le priorità fissate. La custodia è la metà silenziosa della scienza forense: senza questa sezione, tutte le successive sarebbero promesse.</w:t>
      </w:r>
    </w:p>
    <w:p>
      <w:pPr>
        <w:pStyle w:val="Heading3"/>
        <w:spacing w:after="80" w:before="160"/>
      </w:pPr>
      <w:r>
        <w:rPr>
          <w:rFonts w:ascii="Barlow Semi Condensed" w:cs="Barlow Semi Condensed" w:eastAsia="Barlow Semi Condensed" w:hAnsi="Barlow Semi Condensed"/>
          <w:sz w:val="24"/>
          <w:szCs w:val="24"/>
        </w:rPr>
        <w:t xml:space="preserve">La balistica (blocchi 351-380)</w:t>
      </w:r>
    </w:p>
    <w:p>
      <w:pPr>
        <w:spacing w:after="120" w:line="276"/>
        <w:jc w:val="both"/>
      </w:pPr>
      <w:r>
        <w:rPr>
          <w:rFonts w:ascii="Barlow Semi Condensed" w:cs="Barlow Semi Condensed" w:eastAsia="Barlow Semi Condensed" w:hAnsi="Barlow Semi Condensed"/>
          <w:b/>
          <w:bCs/>
          <w:sz w:val="24"/>
          <w:szCs w:val="24"/>
        </w:rPr>
        <w:t xml:space="preserve">351 · Il fatto balistico centrale.</w:t>
      </w:r>
      <w:r>
        <w:rPr>
          <w:rFonts w:ascii="Barlow Semi Condensed" w:cs="Barlow Semi Condensed" w:eastAsia="Barlow Semi Condensed" w:hAnsi="Barlow Semi Condensed"/>
          <w:sz w:val="24"/>
          <w:szCs w:val="24"/>
        </w:rPr>
        <w:t xml:space="preserve"> Il pavimento verificato: la perizia del 1978 (collegio Ugolini-Iadevito-Lopez) contò in via Fani almeno novantuno colpi da sei armi (quattro mitra e due pistole) e attribuì quarantanove bossoli a un solo FNAB-43; la perizia del 1993 non confermò integralmente (possibile la provenienza da entrambi i FNAB); l'esame della Polizia scientifica del 2015 confermò i quarantanove e declassò a esito non conclusivo l'attribuzione dei ventidue al secondo mitra — con la ricostruzione della dinamica che contraddice la figura di un unico «superkiller». Da qui parte ogni bersaglio balistico.</w:t>
      </w:r>
    </w:p>
    <w:p>
      <w:pPr>
        <w:spacing w:after="120" w:line="276"/>
        <w:jc w:val="both"/>
      </w:pPr>
      <w:r>
        <w:rPr>
          <w:rFonts w:ascii="Barlow Semi Condensed" w:cs="Barlow Semi Condensed" w:eastAsia="Barlow Semi Condensed" w:hAnsi="Barlow Semi Condensed"/>
          <w:b/>
          <w:bCs/>
          <w:sz w:val="24"/>
          <w:szCs w:val="24"/>
        </w:rPr>
        <w:t xml:space="preserve">352 · La terza stagione strumentale.</w:t>
      </w:r>
      <w:r>
        <w:rPr>
          <w:rFonts w:ascii="Barlow Semi Condensed" w:cs="Barlow Semi Condensed" w:eastAsia="Barlow Semi Condensed" w:hAnsi="Barlow Semi Condensed"/>
          <w:sz w:val="24"/>
          <w:szCs w:val="24"/>
        </w:rPr>
        <w:t xml:space="preserve"> Il riesame integrale con imaging tridimensionale delle superfici: tutti i novantuno bossoli, non un campione — la ripetizione dell'attribuzione con comparatori computazionali e soglie dichiarate. Se la mono-arma regge alla terza generazione di strumenti, l'accertamento diventa roccia; se no, la dinamica si riscrive.</w:t>
      </w:r>
    </w:p>
    <w:p>
      <w:pPr>
        <w:spacing w:after="120" w:line="276"/>
        <w:jc w:val="both"/>
      </w:pPr>
      <w:r>
        <w:rPr>
          <w:rFonts w:ascii="Barlow Semi Condensed" w:cs="Barlow Semi Condensed" w:eastAsia="Barlow Semi Condensed" w:hAnsi="Barlow Semi Condensed"/>
          <w:b/>
          <w:bCs/>
          <w:sz w:val="24"/>
          <w:szCs w:val="24"/>
        </w:rPr>
        <w:t xml:space="preserve">353 · Il FNAB-43: l'esemplare.</w:t>
      </w:r>
      <w:r>
        <w:rPr>
          <w:rFonts w:ascii="Barlow Semi Condensed" w:cs="Barlow Semi Condensed" w:eastAsia="Barlow Semi Condensed" w:hAnsi="Barlow Semi Condensed"/>
          <w:sz w:val="24"/>
          <w:szCs w:val="24"/>
        </w:rPr>
        <w:t xml:space="preserve"> La caccia all'arma: il censimento degli FNAB-43 sequestrati in Italia in cinquant'anni di procedimenti — e la comparazione di ciascuno coi bossoli di via Fani. L'arma prevalente identificata come esemplare fisico sarebbe l'evidenza discriminante capitale: il bersaglio merita una campagna dedicata.</w:t>
      </w:r>
    </w:p>
    <w:p>
      <w:pPr>
        <w:spacing w:after="120" w:line="276"/>
        <w:jc w:val="both"/>
      </w:pPr>
      <w:r>
        <w:rPr>
          <w:rFonts w:ascii="Barlow Semi Condensed" w:cs="Barlow Semi Condensed" w:eastAsia="Barlow Semi Condensed" w:hAnsi="Barlow Semi Condensed"/>
          <w:b/>
          <w:bCs/>
          <w:sz w:val="24"/>
          <w:szCs w:val="24"/>
        </w:rPr>
        <w:t xml:space="preserve">354 · Il lotto milanese, di nuovo.</w:t>
      </w:r>
      <w:r>
        <w:rPr>
          <w:rFonts w:ascii="Barlow Semi Condensed" w:cs="Barlow Semi Condensed" w:eastAsia="Barlow Semi Condensed" w:hAnsi="Barlow Semi Condensed"/>
          <w:sz w:val="24"/>
          <w:szCs w:val="24"/>
        </w:rPr>
        <w:t xml:space="preserve"> La ricomparazione moderna delle armi del sequestro milanese del 1980 collegate in giudicato: la verifica con imaging attuale di un anello stabilito con strumenti d'epoca. La conferma moderna di un'attribuzione storica vale quanto una scoperta: consolida il pavimento.</w:t>
      </w:r>
    </w:p>
    <w:p>
      <w:pPr>
        <w:spacing w:after="120" w:line="276"/>
        <w:jc w:val="both"/>
      </w:pPr>
      <w:r>
        <w:rPr>
          <w:rFonts w:ascii="Barlow Semi Condensed" w:cs="Barlow Semi Condensed" w:eastAsia="Barlow Semi Condensed" w:hAnsi="Barlow Semi Condensed"/>
          <w:b/>
          <w:bCs/>
          <w:sz w:val="24"/>
          <w:szCs w:val="24"/>
        </w:rPr>
        <w:t xml:space="preserve">355 · Le altre armi del giudicato.</w:t>
      </w:r>
      <w:r>
        <w:rPr>
          <w:rFonts w:ascii="Barlow Semi Condensed" w:cs="Barlow Semi Condensed" w:eastAsia="Barlow Semi Condensed" w:hAnsi="Barlow Semi Condensed"/>
          <w:sz w:val="24"/>
          <w:szCs w:val="24"/>
        </w:rPr>
        <w:t xml:space="preserve"> La tavola arma per arma delle attribuzioni residue (i colpi non FNAB): ogni arma in giudicato contro ogni bossolo non attribuito, con strumenti attuali. La colonna degli «orfani» che ne esce è il perimetro balistico esatto delle presenze non giudicate.</w:t>
      </w:r>
    </w:p>
    <w:p>
      <w:pPr>
        <w:spacing w:after="120" w:line="276"/>
        <w:jc w:val="both"/>
      </w:pPr>
      <w:r>
        <w:rPr>
          <w:rFonts w:ascii="Barlow Semi Condensed" w:cs="Barlow Semi Condensed" w:eastAsia="Barlow Semi Condensed" w:hAnsi="Barlow Semi Condensed"/>
          <w:b/>
          <w:bCs/>
          <w:sz w:val="24"/>
          <w:szCs w:val="24"/>
        </w:rPr>
        <w:t xml:space="preserve">356 · Il caricatore, finalmente.</w:t>
      </w:r>
      <w:r>
        <w:rPr>
          <w:rFonts w:ascii="Barlow Semi Condensed" w:cs="Barlow Semi Condensed" w:eastAsia="Barlow Semi Condensed" w:hAnsi="Barlow Semi Condensed"/>
          <w:sz w:val="24"/>
          <w:szCs w:val="24"/>
        </w:rPr>
        <w:t xml:space="preserve"> Il fatto verificato che grida: il caricatore repertato il 16 marzo all'angolo via Fani-via Stresa, catalogato e ben conservato, non fu mai sottoposto a comparazioni balistiche né a esami biologici — e nuovi esami sono stati disposti dal giudice, con esiti non ancora pubblici. Il cantiere segue: quando gli esiti saranno atti, entreranno con la trafila; fino ad allora, il reperto resta il simbolo del mai chiesto.</w:t>
      </w:r>
    </w:p>
    <w:p>
      <w:pPr>
        <w:spacing w:after="120" w:line="276"/>
        <w:jc w:val="both"/>
      </w:pPr>
      <w:r>
        <w:rPr>
          <w:rFonts w:ascii="Barlow Semi Condensed" w:cs="Barlow Semi Condensed" w:eastAsia="Barlow Semi Condensed" w:hAnsi="Barlow Semi Condensed"/>
          <w:b/>
          <w:bCs/>
          <w:sz w:val="24"/>
          <w:szCs w:val="24"/>
        </w:rPr>
        <w:t xml:space="preserve">357 · Il modello del caricatore.</w:t>
      </w:r>
      <w:r>
        <w:rPr>
          <w:rFonts w:ascii="Barlow Semi Condensed" w:cs="Barlow Semi Condensed" w:eastAsia="Barlow Semi Condensed" w:hAnsi="Barlow Semi Condensed"/>
          <w:sz w:val="24"/>
          <w:szCs w:val="24"/>
        </w:rPr>
        <w:t xml:space="preserve"> Il quesito preliminare aperto: il tipo esatto del caricatore (il modello d'arma cui appartiene) non è specificato univocamente nelle fonti aperte. Prima domanda del riesame: che cosa è, esattamente — perché dal modello discende l'intera catena delle compatibilità.</w:t>
      </w:r>
    </w:p>
    <w:p>
      <w:pPr>
        <w:spacing w:after="120" w:line="276"/>
        <w:jc w:val="both"/>
      </w:pPr>
      <w:r>
        <w:rPr>
          <w:rFonts w:ascii="Barlow Semi Condensed" w:cs="Barlow Semi Condensed" w:eastAsia="Barlow Semi Condensed" w:hAnsi="Barlow Semi Condensed"/>
          <w:b/>
          <w:bCs/>
          <w:sz w:val="24"/>
          <w:szCs w:val="24"/>
        </w:rPr>
        <w:t xml:space="preserve">358 · Le impronte sul metallo.</w:t>
      </w:r>
      <w:r>
        <w:rPr>
          <w:rFonts w:ascii="Barlow Semi Condensed" w:cs="Barlow Semi Condensed" w:eastAsia="Barlow Semi Condensed" w:hAnsi="Barlow Semi Condensed"/>
          <w:sz w:val="24"/>
          <w:szCs w:val="24"/>
        </w:rPr>
        <w:t xml:space="preserve"> Il caricatore come portatore di tracce: le tecniche attuali su impronte latenti e DNA da contatto su superfici metalliche degli anni Settanta — il parere di praticabilità dedicato, poi l'esame in sede propria. Mezzo secolo dopo, il metallo può ancora parlare: la chimica moderna lo interroga meglio del 1978.</w:t>
      </w:r>
    </w:p>
    <w:p>
      <w:pPr>
        <w:spacing w:after="120" w:line="276"/>
        <w:jc w:val="both"/>
      </w:pPr>
      <w:r>
        <w:rPr>
          <w:rFonts w:ascii="Barlow Semi Condensed" w:cs="Barlow Semi Condensed" w:eastAsia="Barlow Semi Condensed" w:hAnsi="Barlow Semi Condensed"/>
          <w:b/>
          <w:bCs/>
          <w:sz w:val="24"/>
          <w:szCs w:val="24"/>
        </w:rPr>
        <w:t xml:space="preserve">359 · La geometria dei bossoli.</w:t>
      </w:r>
      <w:r>
        <w:rPr>
          <w:rFonts w:ascii="Barlow Semi Condensed" w:cs="Barlow Semi Condensed" w:eastAsia="Barlow Semi Condensed" w:hAnsi="Barlow Semi Condensed"/>
          <w:sz w:val="24"/>
          <w:szCs w:val="24"/>
        </w:rPr>
        <w:t xml:space="preserve"> La mappa di dispersione: la posizione repertata di ciascun bossolo (dai verbali del 1978 ora digitalizzati) nel modello tridimensionale della scena — la geometria del fuoco ricostruita dai punti di espulsione. I bossoli sono anche coordinate: la loro mappa è metà della dinamica.</w:t>
      </w:r>
    </w:p>
    <w:p>
      <w:pPr>
        <w:spacing w:after="120" w:line="276"/>
        <w:jc w:val="both"/>
      </w:pPr>
      <w:r>
        <w:rPr>
          <w:rFonts w:ascii="Barlow Semi Condensed" w:cs="Barlow Semi Condensed" w:eastAsia="Barlow Semi Condensed" w:hAnsi="Barlow Semi Condensed"/>
          <w:b/>
          <w:bCs/>
          <w:sz w:val="24"/>
          <w:szCs w:val="24"/>
        </w:rPr>
        <w:t xml:space="preserve">360 · I proiettili e i frammenti.</w:t>
      </w:r>
      <w:r>
        <w:rPr>
          <w:rFonts w:ascii="Barlow Semi Condensed" w:cs="Barlow Semi Condensed" w:eastAsia="Barlow Semi Condensed" w:hAnsi="Barlow Semi Condensed"/>
          <w:sz w:val="24"/>
          <w:szCs w:val="24"/>
        </w:rPr>
        <w:t xml:space="preserve"> Il censimento gemello: i proiettili e i frammenti repertati (sui luoghi, nei veicoli, nelle salme secondo gli atti medico-legali) — la tavola completa con le attribuzioni d'epoca e la riesaminabilità attuale. L'altra metà della balistica: ciò che arrivò, non solo ciò che partì.</w:t>
      </w:r>
    </w:p>
    <w:p>
      <w:pPr>
        <w:spacing w:after="120" w:line="276"/>
        <w:jc w:val="both"/>
      </w:pPr>
      <w:r>
        <w:rPr>
          <w:rFonts w:ascii="Barlow Semi Condensed" w:cs="Barlow Semi Condensed" w:eastAsia="Barlow Semi Condensed" w:hAnsi="Barlow Semi Condensed"/>
          <w:b/>
          <w:bCs/>
          <w:sz w:val="24"/>
          <w:szCs w:val="24"/>
        </w:rPr>
        <w:t xml:space="preserve">361 · Le traiettorie ricostruite.</w:t>
      </w:r>
      <w:r>
        <w:rPr>
          <w:rFonts w:ascii="Barlow Semi Condensed" w:cs="Barlow Semi Condensed" w:eastAsia="Barlow Semi Condensed" w:hAnsi="Barlow Semi Condensed"/>
          <w:sz w:val="24"/>
          <w:szCs w:val="24"/>
        </w:rPr>
        <w:t xml:space="preserve"> L'incrocio balistico-geometrico: le traiettorie dai danni documentati (i veicoli, i muri) nel modello 3D — la verifica di compatibilità con le posizioni testimoniate dei tiratori. Il modello non narra: vincola — ogni versione della dinamica deve passare per le sue geometrie.</w:t>
      </w:r>
    </w:p>
    <w:p>
      <w:pPr>
        <w:spacing w:after="120" w:line="276"/>
        <w:jc w:val="both"/>
      </w:pPr>
      <w:r>
        <w:rPr>
          <w:rFonts w:ascii="Barlow Semi Condensed" w:cs="Barlow Semi Condensed" w:eastAsia="Barlow Semi Condensed" w:hAnsi="Barlow Semi Condensed"/>
          <w:b/>
          <w:bCs/>
          <w:sz w:val="24"/>
          <w:szCs w:val="24"/>
        </w:rPr>
        <w:t xml:space="preserve">362 · La cadenza e i tempi.</w:t>
      </w:r>
      <w:r>
        <w:rPr>
          <w:rFonts w:ascii="Barlow Semi Condensed" w:cs="Barlow Semi Condensed" w:eastAsia="Barlow Semi Condensed" w:hAnsi="Barlow Semi Condensed"/>
          <w:sz w:val="24"/>
          <w:szCs w:val="24"/>
        </w:rPr>
        <w:t xml:space="preserve"> Il quesito temporale: la durata del fuoco e le cadenze compatibili con le attribuzioni — l'aritmetica dei caricatori, dei cambi, dei colpi per arma. Il tempo dell'agguato è un vincolo fisico: le versioni si misurano anche in secondi.</w:t>
      </w:r>
    </w:p>
    <w:p>
      <w:pPr>
        <w:spacing w:after="120" w:line="276"/>
        <w:jc w:val="both"/>
      </w:pPr>
      <w:r>
        <w:rPr>
          <w:rFonts w:ascii="Barlow Semi Condensed" w:cs="Barlow Semi Condensed" w:eastAsia="Barlow Semi Condensed" w:hAnsi="Barlow Semi Condensed"/>
          <w:b/>
          <w:bCs/>
          <w:sz w:val="24"/>
          <w:szCs w:val="24"/>
        </w:rPr>
        <w:t xml:space="preserve">363 · L'ipotesi dell'inceppamento.</w:t>
      </w:r>
      <w:r>
        <w:rPr>
          <w:rFonts w:ascii="Barlow Semi Condensed" w:cs="Barlow Semi Condensed" w:eastAsia="Barlow Semi Condensed" w:hAnsi="Barlow Semi Condensed"/>
          <w:sz w:val="24"/>
          <w:szCs w:val="24"/>
        </w:rPr>
        <w:t xml:space="preserve"> Il capitolo documentato delle armi inceppate (le risultanze processuali sui malfunzionamenti durante l'azione): la revisione tecnica delle dichiarazioni con la conoscenza attuale delle armi del giudicato. Le dichiarazioni dei condannati sul fuoco si verificano sulla meccanica: anche la memoria tecnica si corrobora.</w:t>
      </w:r>
    </w:p>
    <w:p>
      <w:pPr>
        <w:spacing w:after="120" w:line="276"/>
        <w:jc w:val="both"/>
      </w:pPr>
      <w:r>
        <w:rPr>
          <w:rFonts w:ascii="Barlow Semi Condensed" w:cs="Barlow Semi Condensed" w:eastAsia="Barlow Semi Condensed" w:hAnsi="Barlow Semi Condensed"/>
          <w:b/>
          <w:bCs/>
          <w:sz w:val="24"/>
          <w:szCs w:val="24"/>
        </w:rPr>
        <w:t xml:space="preserve">364 · Il quesito della perizia divergente.</w:t>
      </w:r>
      <w:r>
        <w:rPr>
          <w:rFonts w:ascii="Barlow Semi Condensed" w:cs="Barlow Semi Condensed" w:eastAsia="Barlow Semi Condensed" w:hAnsi="Barlow Semi Condensed"/>
          <w:sz w:val="24"/>
          <w:szCs w:val="24"/>
        </w:rPr>
        <w:t xml:space="preserve"> La perizia del 1993 e la sua ipotesi difforme: l'analisi filologica del contrasto peritale — quesiti diversi, strumenti diversi, o letture diverse degli stessi segni? La divergenza fra perizie è un oggetto di studio metodologico che il cantiere non liscia: la registra e la spiega.</w:t>
      </w:r>
    </w:p>
    <w:p>
      <w:pPr>
        <w:spacing w:after="120" w:line="276"/>
        <w:jc w:val="both"/>
      </w:pPr>
      <w:r>
        <w:rPr>
          <w:rFonts w:ascii="Barlow Semi Condensed" w:cs="Barlow Semi Condensed" w:eastAsia="Barlow Semi Condensed" w:hAnsi="Barlow Semi Condensed"/>
          <w:b/>
          <w:bCs/>
          <w:sz w:val="24"/>
          <w:szCs w:val="24"/>
        </w:rPr>
        <w:t xml:space="preserve">365 · I residui di sparo, oggi.</w:t>
      </w:r>
      <w:r>
        <w:rPr>
          <w:rFonts w:ascii="Barlow Semi Condensed" w:cs="Barlow Semi Condensed" w:eastAsia="Barlow Semi Condensed" w:hAnsi="Barlow Semi Condensed"/>
          <w:sz w:val="24"/>
          <w:szCs w:val="24"/>
        </w:rPr>
        <w:t xml:space="preserve"> Il parere sui residui: che cosa la chimica attuale può ancora dire dai reperti conservati (tessuti dei sedili, superfici) — con l'onestà del blocco 195 dell'agenda. La domanda è delimitata: distribuzione del fuoco, non identità dei tiratori.</w:t>
      </w:r>
    </w:p>
    <w:p>
      <w:pPr>
        <w:spacing w:after="120" w:line="276"/>
        <w:jc w:val="both"/>
      </w:pPr>
      <w:r>
        <w:rPr>
          <w:rFonts w:ascii="Barlow Semi Condensed" w:cs="Barlow Semi Condensed" w:eastAsia="Barlow Semi Condensed" w:hAnsi="Barlow Semi Condensed"/>
          <w:b/>
          <w:bCs/>
          <w:sz w:val="24"/>
          <w:szCs w:val="24"/>
        </w:rPr>
        <w:t xml:space="preserve">366 · Le armi mai trovate.</w:t>
      </w:r>
      <w:r>
        <w:rPr>
          <w:rFonts w:ascii="Barlow Semi Condensed" w:cs="Barlow Semi Condensed" w:eastAsia="Barlow Semi Condensed" w:hAnsi="Barlow Semi Condensed"/>
          <w:sz w:val="24"/>
          <w:szCs w:val="24"/>
        </w:rPr>
        <w:t xml:space="preserve"> Il censimento negativo: le armi dell'azione mai recuperate — la tavola di ciò che il giudicato attribuisce e i sequestri non coprono. Il perimetro delle armi mancanti è un bersaglio permanente: ogni sequestro futuro in qualunque procedimento italiano si confronta con questa tavola.</w:t>
      </w:r>
    </w:p>
    <w:p>
      <w:pPr>
        <w:spacing w:after="120" w:line="276"/>
        <w:jc w:val="both"/>
      </w:pPr>
      <w:r>
        <w:rPr>
          <w:rFonts w:ascii="Barlow Semi Condensed" w:cs="Barlow Semi Condensed" w:eastAsia="Barlow Semi Condensed" w:hAnsi="Barlow Semi Condensed"/>
          <w:b/>
          <w:bCs/>
          <w:sz w:val="24"/>
          <w:szCs w:val="24"/>
        </w:rPr>
        <w:t xml:space="preserve">367 · La banca dati balistica.</w:t>
      </w:r>
      <w:r>
        <w:rPr>
          <w:rFonts w:ascii="Barlow Semi Condensed" w:cs="Barlow Semi Condensed" w:eastAsia="Barlow Semi Condensed" w:hAnsi="Barlow Semi Condensed"/>
          <w:sz w:val="24"/>
          <w:szCs w:val="24"/>
        </w:rPr>
        <w:t xml:space="preserve"> L'esecuzione del blocco 190 dell'agenda: l'accertamento del sistema automatizzato in uso (l'interrogazione formale a Polizia scientifica e RaCIS) e l'inserimento dei reperti storici dove le condizioni lo consentano. Ogni arma sequestrata in Italia domani potrebbe essere l'arma di ieri: solo la banca dati lo saprebbe.</w:t>
      </w:r>
    </w:p>
    <w:p>
      <w:pPr>
        <w:spacing w:after="120" w:line="276"/>
        <w:jc w:val="both"/>
      </w:pPr>
      <w:r>
        <w:rPr>
          <w:rFonts w:ascii="Barlow Semi Condensed" w:cs="Barlow Semi Condensed" w:eastAsia="Barlow Semi Condensed" w:hAnsi="Barlow Semi Condensed"/>
          <w:b/>
          <w:bCs/>
          <w:sz w:val="24"/>
          <w:szCs w:val="24"/>
        </w:rPr>
        <w:t xml:space="preserve">368 · Il fascicolo balistico unico.</w:t>
      </w:r>
      <w:r>
        <w:rPr>
          <w:rFonts w:ascii="Barlow Semi Condensed" w:cs="Barlow Semi Condensed" w:eastAsia="Barlow Semi Condensed" w:hAnsi="Barlow Semi Condensed"/>
          <w:sz w:val="24"/>
          <w:szCs w:val="24"/>
        </w:rPr>
        <w:t xml:space="preserve"> La riunione documentale: tutte le perizie balistiche del caso (1978, processi, 1993, 2015, i nuovi esami quando pubblici) in un fascicolo unico ordinato e indicizzato, dagli atti digitalizzati. La storia balistica del caso in un solo dorso: lo strumento che ogni futuro perito riceverà in dono.</w:t>
      </w:r>
    </w:p>
    <w:p>
      <w:pPr>
        <w:spacing w:after="120" w:line="276"/>
        <w:jc w:val="both"/>
      </w:pPr>
      <w:r>
        <w:rPr>
          <w:rFonts w:ascii="Barlow Semi Condensed" w:cs="Barlow Semi Condensed" w:eastAsia="Barlow Semi Condensed" w:hAnsi="Barlow Semi Condensed"/>
          <w:b/>
          <w:bCs/>
          <w:sz w:val="24"/>
          <w:szCs w:val="24"/>
        </w:rPr>
        <w:t xml:space="preserve">369 · Le testimonianze balistiche.</w:t>
      </w:r>
      <w:r>
        <w:rPr>
          <w:rFonts w:ascii="Barlow Semi Condensed" w:cs="Barlow Semi Condensed" w:eastAsia="Barlow Semi Condensed" w:hAnsi="Barlow Semi Condensed"/>
          <w:sz w:val="24"/>
          <w:szCs w:val="24"/>
        </w:rPr>
        <w:t xml:space="preserve"> La revisione delle testimonianze sul fuoco (i sopravvissuti dell'area, i residenti) contro il modello: quante armi udite, da dove, con quali pause. L'orecchio del testimone si tara sul modello fisico: le convergenze contano, le divergenze si registrano.</w:t>
      </w:r>
    </w:p>
    <w:p>
      <w:pPr>
        <w:spacing w:after="120" w:line="276"/>
        <w:jc w:val="both"/>
      </w:pPr>
      <w:r>
        <w:rPr>
          <w:rFonts w:ascii="Barlow Semi Condensed" w:cs="Barlow Semi Condensed" w:eastAsia="Barlow Semi Condensed" w:hAnsi="Barlow Semi Condensed"/>
          <w:b/>
          <w:bCs/>
          <w:sz w:val="24"/>
          <w:szCs w:val="24"/>
        </w:rPr>
        <w:t xml:space="preserve">370 · La coerenza giudicato-balistica.</w:t>
      </w:r>
      <w:r>
        <w:rPr>
          <w:rFonts w:ascii="Barlow Semi Condensed" w:cs="Barlow Semi Condensed" w:eastAsia="Barlow Semi Condensed" w:hAnsi="Barlow Semi Condensed"/>
          <w:sz w:val="24"/>
          <w:szCs w:val="24"/>
        </w:rPr>
        <w:t xml:space="preserve"> La tavola di compatibilità: le sentenze definitive contro le risultanze balistiche aggiornate — dove il giudicato e la tecnica si confermano, dove restano tensioni dichiarate. Il giudicato non si tocca; la tensione documentata è materia per la storia, non per il processo.</w:t>
      </w:r>
    </w:p>
    <w:p>
      <w:pPr>
        <w:spacing w:after="120" w:line="276"/>
        <w:jc w:val="both"/>
      </w:pPr>
      <w:r>
        <w:rPr>
          <w:rFonts w:ascii="Barlow Semi Condensed" w:cs="Barlow Semi Condensed" w:eastAsia="Barlow Semi Condensed" w:hAnsi="Barlow Semi Condensed"/>
          <w:b/>
          <w:bCs/>
          <w:sz w:val="24"/>
          <w:szCs w:val="24"/>
        </w:rPr>
        <w:t xml:space="preserve">371 · Il tiratore prevalente come quesito aperto.</w:t>
      </w:r>
      <w:r>
        <w:rPr>
          <w:rFonts w:ascii="Barlow Semi Condensed" w:cs="Barlow Semi Condensed" w:eastAsia="Barlow Semi Condensed" w:hAnsi="Barlow Semi Condensed"/>
          <w:sz w:val="24"/>
          <w:szCs w:val="24"/>
        </w:rPr>
        <w:t xml:space="preserve"> La disciplina sul punto più delicato: l'attribuzione dei quarantanove colpi a un'arma non è l'attribuzione a una mano giudicata per quei colpi. Il blocco fissa il perimetro: la mono-arma è un fatto tecnico; chi la impugnò resta materia del giudicato esistente e delle indagini aperte — non di questo cantiere.</w:t>
      </w:r>
    </w:p>
    <w:p>
      <w:pPr>
        <w:spacing w:after="120" w:line="276"/>
        <w:jc w:val="both"/>
      </w:pPr>
      <w:r>
        <w:rPr>
          <w:rFonts w:ascii="Barlow Semi Condensed" w:cs="Barlow Semi Condensed" w:eastAsia="Barlow Semi Condensed" w:hAnsi="Barlow Semi Condensed"/>
          <w:b/>
          <w:bCs/>
          <w:sz w:val="24"/>
          <w:szCs w:val="24"/>
        </w:rPr>
        <w:t xml:space="preserve">372 · Le comparazioni internazionali.</w:t>
      </w:r>
      <w:r>
        <w:rPr>
          <w:rFonts w:ascii="Barlow Semi Condensed" w:cs="Barlow Semi Condensed" w:eastAsia="Barlow Semi Condensed" w:hAnsi="Barlow Semi Condensed"/>
          <w:sz w:val="24"/>
          <w:szCs w:val="24"/>
        </w:rPr>
        <w:t xml:space="preserve"> L'estensione: la comparazione dei reperti balistici con le banche estere (Interpol, i sistemi europei) per le armi migranti del terrorismo anni Settanta. Le armi viaggiavano; le banche dati oggi si parlano: l'interrogazione transfrontaliera è un bersaglio a costo basso.</w:t>
      </w:r>
    </w:p>
    <w:p>
      <w:pPr>
        <w:spacing w:after="120" w:line="276"/>
        <w:jc w:val="both"/>
      </w:pPr>
      <w:r>
        <w:rPr>
          <w:rFonts w:ascii="Barlow Semi Condensed" w:cs="Barlow Semi Condensed" w:eastAsia="Barlow Semi Condensed" w:hAnsi="Barlow Semi Condensed"/>
          <w:b/>
          <w:bCs/>
          <w:sz w:val="24"/>
          <w:szCs w:val="24"/>
        </w:rPr>
        <w:t xml:space="preserve">373 · La formazione del giudice sul punto.</w:t>
      </w:r>
      <w:r>
        <w:rPr>
          <w:rFonts w:ascii="Barlow Semi Condensed" w:cs="Barlow Semi Condensed" w:eastAsia="Barlow Semi Condensed" w:hAnsi="Barlow Semi Condensed"/>
          <w:sz w:val="24"/>
          <w:szCs w:val="24"/>
        </w:rPr>
        <w:t xml:space="preserve"> Il prodotto di servizio: il dossier tecnico-divulgativo sulla balistica del caso per i non tecnici (magistrati, storici, giornalisti) — che cosa è accertato, che cosa aperto, che cosa impossibile. La balistica del caso è citata ovunque e capita di rado: il dossier la mette in chiaro.</w:t>
      </w:r>
    </w:p>
    <w:p>
      <w:pPr>
        <w:spacing w:after="120" w:line="276"/>
        <w:jc w:val="both"/>
      </w:pPr>
      <w:r>
        <w:rPr>
          <w:rFonts w:ascii="Barlow Semi Condensed" w:cs="Barlow Semi Condensed" w:eastAsia="Barlow Semi Condensed" w:hAnsi="Barlow Semi Condensed"/>
          <w:b/>
          <w:bCs/>
          <w:sz w:val="24"/>
          <w:szCs w:val="24"/>
        </w:rPr>
        <w:t xml:space="preserve">374 · L'archivio dei comparatori.</w:t>
      </w:r>
      <w:r>
        <w:rPr>
          <w:rFonts w:ascii="Barlow Semi Condensed" w:cs="Barlow Semi Condensed" w:eastAsia="Barlow Semi Condensed" w:hAnsi="Barlow Semi Condensed"/>
          <w:sz w:val="24"/>
          <w:szCs w:val="24"/>
        </w:rPr>
        <w:t xml:space="preserve"> La conservazione degli output: ogni comparazione moderna archivia le sue immagini e i suoi punteggi in formato aperto, per la ripetibilità. La balistica computazionale è ripetibile per costruzione: il cantiere ne fa una garanzia permanente.</w:t>
      </w:r>
    </w:p>
    <w:p>
      <w:pPr>
        <w:spacing w:after="120" w:line="276"/>
        <w:jc w:val="both"/>
      </w:pPr>
      <w:r>
        <w:rPr>
          <w:rFonts w:ascii="Barlow Semi Condensed" w:cs="Barlow Semi Condensed" w:eastAsia="Barlow Semi Condensed" w:hAnsi="Barlow Semi Condensed"/>
          <w:b/>
          <w:bCs/>
          <w:sz w:val="24"/>
          <w:szCs w:val="24"/>
        </w:rPr>
        <w:t xml:space="preserve">375 · Il contraddittorio tecnico.</w:t>
      </w:r>
      <w:r>
        <w:rPr>
          <w:rFonts w:ascii="Barlow Semi Condensed" w:cs="Barlow Semi Condensed" w:eastAsia="Barlow Semi Condensed" w:hAnsi="Barlow Semi Condensed"/>
          <w:sz w:val="24"/>
          <w:szCs w:val="24"/>
        </w:rPr>
        <w:t xml:space="preserve"> La regola dei riesami: ogni esame balistico rilevante prevede il contraddittorio — periti di più estrazione, metodi dichiarati, dissensi verbalizzati. La lezione delle perizie divergenti è istituzionalizzata: il dissenso documentato vale più dell'unanimità opaca.</w:t>
      </w:r>
    </w:p>
    <w:p>
      <w:pPr>
        <w:spacing w:after="120" w:line="276"/>
        <w:jc w:val="both"/>
      </w:pPr>
      <w:r>
        <w:rPr>
          <w:rFonts w:ascii="Barlow Semi Condensed" w:cs="Barlow Semi Condensed" w:eastAsia="Barlow Semi Condensed" w:hAnsi="Barlow Semi Condensed"/>
          <w:b/>
          <w:bCs/>
          <w:sz w:val="24"/>
          <w:szCs w:val="24"/>
        </w:rPr>
        <w:t xml:space="preserve">376 · I bossoli di via Gradoli e dei covi.</w:t>
      </w:r>
      <w:r>
        <w:rPr>
          <w:rFonts w:ascii="Barlow Semi Condensed" w:cs="Barlow Semi Condensed" w:eastAsia="Barlow Semi Condensed" w:hAnsi="Barlow Semi Condensed"/>
          <w:sz w:val="24"/>
          <w:szCs w:val="24"/>
        </w:rPr>
        <w:t xml:space="preserve"> L'estensione balistica ai covi: le munizioni e i reperti d'arma sequestrati nei covi del caso — censimento e comparazione con via Fani. L'arcipelago balistico completo: ogni deposito di munizioni del 1978 può contenere il gemello di un bossolo orfano.</w:t>
      </w:r>
    </w:p>
    <w:p>
      <w:pPr>
        <w:spacing w:after="120" w:line="276"/>
        <w:jc w:val="both"/>
      </w:pPr>
      <w:r>
        <w:rPr>
          <w:rFonts w:ascii="Barlow Semi Condensed" w:cs="Barlow Semi Condensed" w:eastAsia="Barlow Semi Condensed" w:hAnsi="Barlow Semi Condensed"/>
          <w:b/>
          <w:bCs/>
          <w:sz w:val="24"/>
          <w:szCs w:val="24"/>
        </w:rPr>
        <w:t xml:space="preserve">377 · Le armi della memorialistica.</w:t>
      </w:r>
      <w:r>
        <w:rPr>
          <w:rFonts w:ascii="Barlow Semi Condensed" w:cs="Barlow Semi Condensed" w:eastAsia="Barlow Semi Condensed" w:hAnsi="Barlow Semi Condensed"/>
          <w:sz w:val="24"/>
          <w:szCs w:val="24"/>
        </w:rPr>
        <w:t xml:space="preserve"> Il vaglio delle dichiarazioni pubbliche dei condannati sulle armi (i libri, le interviste censite nella Parte ottava) contro le risultanze tecniche: la tavola dichiarazioni-reperti. La memoria sulle armi si misura come tutto il resto: sul metallo.</w:t>
      </w:r>
    </w:p>
    <w:p>
      <w:pPr>
        <w:spacing w:after="120" w:line="276"/>
        <w:jc w:val="both"/>
      </w:pPr>
      <w:r>
        <w:rPr>
          <w:rFonts w:ascii="Barlow Semi Condensed" w:cs="Barlow Semi Condensed" w:eastAsia="Barlow Semi Condensed" w:hAnsi="Barlow Semi Condensed"/>
          <w:b/>
          <w:bCs/>
          <w:sz w:val="24"/>
          <w:szCs w:val="24"/>
        </w:rPr>
        <w:t xml:space="preserve">378 · Il quesito Beretta e gli altri.</w:t>
      </w:r>
      <w:r>
        <w:rPr>
          <w:rFonts w:ascii="Barlow Semi Condensed" w:cs="Barlow Semi Condensed" w:eastAsia="Barlow Semi Condensed" w:hAnsi="Barlow Semi Condensed"/>
          <w:sz w:val="24"/>
          <w:szCs w:val="24"/>
        </w:rPr>
        <w:t xml:space="preserve"> Le armi corte dell'azione secondo il giudicato: la tavola delle pistole attribuite, con le comparazioni moderne possibili sui reperti corrispondenti. Il fuoco corto dell'agguato — meno celebre del mitra, altrettanto documentabile.</w:t>
      </w:r>
    </w:p>
    <w:p>
      <w:pPr>
        <w:spacing w:after="120" w:line="276"/>
        <w:jc w:val="both"/>
      </w:pPr>
      <w:r>
        <w:rPr>
          <w:rFonts w:ascii="Barlow Semi Condensed" w:cs="Barlow Semi Condensed" w:eastAsia="Barlow Semi Condensed" w:hAnsi="Barlow Semi Condensed"/>
          <w:b/>
          <w:bCs/>
          <w:sz w:val="24"/>
          <w:szCs w:val="24"/>
        </w:rPr>
        <w:t xml:space="preserve">379 · La sintesi balistica.</w:t>
      </w:r>
      <w:r>
        <w:rPr>
          <w:rFonts w:ascii="Barlow Semi Condensed" w:cs="Barlow Semi Condensed" w:eastAsia="Barlow Semi Condensed" w:hAnsi="Barlow Semi Condensed"/>
          <w:sz w:val="24"/>
          <w:szCs w:val="24"/>
        </w:rPr>
        <w:t xml:space="preserve"> Il prodotto della sezione: lo stato dell'arte balistico del caso in una relazione pubblica — accertato, aperto, impossibile — con ogni affermazione agganciata a perizia e reperto. La pagina che chiude cinquant'anni di citazioni approssimative.</w:t>
      </w:r>
    </w:p>
    <w:p>
      <w:pPr>
        <w:spacing w:after="120" w:line="276"/>
        <w:jc w:val="both"/>
      </w:pPr>
      <w:r>
        <w:rPr>
          <w:rFonts w:ascii="Barlow Semi Condensed" w:cs="Barlow Semi Condensed" w:eastAsia="Barlow Semi Condensed" w:hAnsi="Barlow Semi Condensed"/>
          <w:b/>
          <w:bCs/>
          <w:sz w:val="24"/>
          <w:szCs w:val="24"/>
        </w:rPr>
        <w:t xml:space="preserve">380 · La tavola balistica.</w:t>
      </w:r>
      <w:r>
        <w:rPr>
          <w:rFonts w:ascii="Barlow Semi Condensed" w:cs="Barlow Semi Condensed" w:eastAsia="Barlow Semi Condensed" w:hAnsi="Barlow Semi Condensed"/>
          <w:sz w:val="24"/>
          <w:szCs w:val="24"/>
        </w:rPr>
        <w:t xml:space="preserve"> La chiusura: gli stati dei bersagli 351-379, gli esami pendenti (il caricatore in testa), le richieste al giudice. Il cantiere balistico consegna la sua contabilità — e il suo simbolo: un caricatore che aspettò quarantott'anni la prima domanda.</w:t>
      </w:r>
    </w:p>
    <w:p>
      <w:pPr>
        <w:pStyle w:val="Heading3"/>
        <w:spacing w:after="80" w:before="160"/>
      </w:pPr>
      <w:r>
        <w:rPr>
          <w:rFonts w:ascii="Barlow Semi Condensed" w:cs="Barlow Semi Condensed" w:eastAsia="Barlow Semi Condensed" w:hAnsi="Barlow Semi Condensed"/>
          <w:sz w:val="24"/>
          <w:szCs w:val="24"/>
        </w:rPr>
        <w:t xml:space="preserve">Il DNA e le tracce biologiche (blocchi 381-405)</w:t>
      </w:r>
    </w:p>
    <w:p>
      <w:pPr>
        <w:spacing w:after="120" w:line="276"/>
        <w:jc w:val="both"/>
      </w:pPr>
      <w:r>
        <w:rPr>
          <w:rFonts w:ascii="Barlow Semi Condensed" w:cs="Barlow Semi Condensed" w:eastAsia="Barlow Semi Condensed" w:hAnsi="Barlow Semi Condensed"/>
          <w:b/>
          <w:bCs/>
          <w:sz w:val="24"/>
          <w:szCs w:val="24"/>
        </w:rPr>
        <w:t xml:space="preserve">381 · Il fatto genetico centrale.</w:t>
      </w:r>
      <w:r>
        <w:rPr>
          <w:rFonts w:ascii="Barlow Semi Condensed" w:cs="Barlow Semi Condensed" w:eastAsia="Barlow Semi Condensed" w:hAnsi="Barlow Semi Condensed"/>
          <w:sz w:val="24"/>
          <w:szCs w:val="24"/>
        </w:rPr>
        <w:t xml:space="preserve"> Il pavimento verificato: nel 2016, su impulso della Moro 2 e con delega al RIS di Roma e alla Polizia scientifica, furono isolati profili genetici dai mozziconi sequestrati nel 1978 nella 128 con targa diplomatica usata come auto di sbarramento in via Fani e da reperti del covo di via Gradoli. Gli esiti delle singole comparazioni non sono pubblici, e nessun profilo risulta pubblicamente attribuito.</w:t>
      </w:r>
    </w:p>
    <w:p>
      <w:pPr>
        <w:spacing w:after="120" w:line="276"/>
        <w:jc w:val="both"/>
      </w:pPr>
      <w:r>
        <w:rPr>
          <w:rFonts w:ascii="Barlow Semi Condensed" w:cs="Barlow Semi Condensed" w:eastAsia="Barlow Semi Condensed" w:hAnsi="Barlow Semi Condensed"/>
          <w:b/>
          <w:bCs/>
          <w:sz w:val="24"/>
          <w:szCs w:val="24"/>
        </w:rPr>
        <w:t xml:space="preserve">382 · La tavola dei profili.</w:t>
      </w:r>
      <w:r>
        <w:rPr>
          <w:rFonts w:ascii="Barlow Semi Condensed" w:cs="Barlow Semi Condensed" w:eastAsia="Barlow Semi Condensed" w:hAnsi="Barlow Semi Condensed"/>
          <w:sz w:val="24"/>
          <w:szCs w:val="24"/>
        </w:rPr>
        <w:t xml:space="preserve"> Il primo bersaglio: la tavola formale dei profili esistenti — quanti (la stampa qualificata ha riferito di sette profili ignoti dai mozziconi: la cifra va fissata in atto), da quali reperti, di che qualità (loci, completezza), custoditi dove. La genetica del caso comincia dal suo inventario: senza la tavola dei profili, ogni discorso sulle comparazioni è giornalismo.</w:t>
      </w:r>
    </w:p>
    <w:p>
      <w:pPr>
        <w:spacing w:after="120" w:line="276"/>
        <w:jc w:val="both"/>
      </w:pPr>
      <w:r>
        <w:rPr>
          <w:rFonts w:ascii="Barlow Semi Condensed" w:cs="Barlow Semi Condensed" w:eastAsia="Barlow Semi Condensed" w:hAnsi="Barlow Semi Condensed"/>
          <w:b/>
          <w:bCs/>
          <w:sz w:val="24"/>
          <w:szCs w:val="24"/>
        </w:rPr>
        <w:t xml:space="preserve">383 · Il perimetro delle comparazioni fatte.</w:t>
      </w:r>
      <w:r>
        <w:rPr>
          <w:rFonts w:ascii="Barlow Semi Condensed" w:cs="Barlow Semi Condensed" w:eastAsia="Barlow Semi Condensed" w:hAnsi="Barlow Semi Condensed"/>
          <w:sz w:val="24"/>
          <w:szCs w:val="24"/>
        </w:rPr>
        <w:t xml:space="preserve"> La ricostruzione documentale di quali comparazioni siano già state eseguite dal 2016 — dagli atti pubblici e dalle risultanze di stampa qualificata: chi è stato escluso, che cosa resta orfano. La colonna degli esclusi è conoscenza piena: ogni esclusione documentata restringe l'ignoto.</w:t>
      </w:r>
    </w:p>
    <w:p>
      <w:pPr>
        <w:spacing w:after="120" w:line="276"/>
        <w:jc w:val="both"/>
      </w:pPr>
      <w:r>
        <w:rPr>
          <w:rFonts w:ascii="Barlow Semi Condensed" w:cs="Barlow Semi Condensed" w:eastAsia="Barlow Semi Condensed" w:hAnsi="Barlow Semi Condensed"/>
          <w:b/>
          <w:bCs/>
          <w:sz w:val="24"/>
          <w:szCs w:val="24"/>
        </w:rPr>
        <w:t xml:space="preserve">384 · La banca dati nazionale, interrogata.</w:t>
      </w:r>
      <w:r>
        <w:rPr>
          <w:rFonts w:ascii="Barlow Semi Condensed" w:cs="Barlow Semi Condensed" w:eastAsia="Barlow Semi Condensed" w:hAnsi="Barlow Semi Condensed"/>
          <w:sz w:val="24"/>
          <w:szCs w:val="24"/>
        </w:rPr>
        <w:t xml:space="preserve"> L'esecuzione del blocco 182 dell'agenda: la verifica formale dell'inseribilità dei profili storici nella banca dati nazionale del DNA e l'interrogazione periodica con verbale. La banca cresce ogni anno; il caso deve esserci dentro — nei modi che il regolamento consente.</w:t>
      </w:r>
    </w:p>
    <w:p>
      <w:pPr>
        <w:spacing w:after="120" w:line="276"/>
        <w:jc w:val="both"/>
      </w:pPr>
      <w:r>
        <w:rPr>
          <w:rFonts w:ascii="Barlow Semi Condensed" w:cs="Barlow Semi Condensed" w:eastAsia="Barlow Semi Condensed" w:hAnsi="Barlow Semi Condensed"/>
          <w:b/>
          <w:bCs/>
          <w:sz w:val="24"/>
          <w:szCs w:val="24"/>
        </w:rPr>
        <w:t xml:space="preserve">385 · I mozziconi come cronologia.</w:t>
      </w:r>
      <w:r>
        <w:rPr>
          <w:rFonts w:ascii="Barlow Semi Condensed" w:cs="Barlow Semi Condensed" w:eastAsia="Barlow Semi Condensed" w:hAnsi="Barlow Semi Condensed"/>
          <w:sz w:val="24"/>
          <w:szCs w:val="24"/>
        </w:rPr>
        <w:t xml:space="preserve"> Il dettaglio materiale: i mozziconi dell'auto di sbarramento come tracce di un'attesa — quante sigarette, di che marche (dai verbali del 1978), compatibili con quanto tempo. Il reperto biologico è anche un reperto comportamentale: l'attesa dell'agguato, misurata in cenere.</w:t>
      </w:r>
    </w:p>
    <w:p>
      <w:pPr>
        <w:spacing w:after="120" w:line="276"/>
        <w:jc w:val="both"/>
      </w:pPr>
      <w:r>
        <w:rPr>
          <w:rFonts w:ascii="Barlow Semi Condensed" w:cs="Barlow Semi Condensed" w:eastAsia="Barlow Semi Condensed" w:hAnsi="Barlow Semi Condensed"/>
          <w:b/>
          <w:bCs/>
          <w:sz w:val="24"/>
          <w:szCs w:val="24"/>
        </w:rPr>
        <w:t xml:space="preserve">386 · Il DNA di via Gradoli, per oggetto.</w:t>
      </w:r>
      <w:r>
        <w:rPr>
          <w:rFonts w:ascii="Barlow Semi Condensed" w:cs="Barlow Semi Condensed" w:eastAsia="Barlow Semi Condensed" w:hAnsi="Barlow Semi Condensed"/>
          <w:sz w:val="24"/>
          <w:szCs w:val="24"/>
        </w:rPr>
        <w:t xml:space="preserve"> La tavola dei reperti biologici del covo: oggetto per oggetto (dai verbali di sequestro digitalizzati), che cosa fu campionato nel 2016 e che cosa resta campionabile. Il covo è un giacimento biologico stratificato 1975-1978: la sua mappa genetica per oggetto è il bersaglio.</w:t>
      </w:r>
    </w:p>
    <w:p>
      <w:pPr>
        <w:spacing w:after="120" w:line="276"/>
        <w:jc w:val="both"/>
      </w:pPr>
      <w:r>
        <w:rPr>
          <w:rFonts w:ascii="Barlow Semi Condensed" w:cs="Barlow Semi Condensed" w:eastAsia="Barlow Semi Condensed" w:hAnsi="Barlow Semi Condensed"/>
          <w:b/>
          <w:bCs/>
          <w:sz w:val="24"/>
          <w:szCs w:val="24"/>
        </w:rPr>
        <w:t xml:space="preserve">387 · Gli aplotipi e le linee.</w:t>
      </w:r>
      <w:r>
        <w:rPr>
          <w:rFonts w:ascii="Barlow Semi Condensed" w:cs="Barlow Semi Condensed" w:eastAsia="Barlow Semi Condensed" w:hAnsi="Barlow Semi Condensed"/>
          <w:sz w:val="24"/>
          <w:szCs w:val="24"/>
        </w:rPr>
        <w:t xml:space="preserve"> Il livello successivo: dai profili autosomici agli aplotipi (Y, mitocondriale) dove i reperti lo consentano — il parere tecnico dedicato. Le linee paterne e materne aprono la strada alle ricerche di parentela nei limiti di legge: prima il parere, poi gli atti.</w:t>
      </w:r>
    </w:p>
    <w:p>
      <w:pPr>
        <w:spacing w:after="120" w:line="276"/>
        <w:jc w:val="both"/>
      </w:pPr>
      <w:r>
        <w:rPr>
          <w:rFonts w:ascii="Barlow Semi Condensed" w:cs="Barlow Semi Condensed" w:eastAsia="Barlow Semi Condensed" w:hAnsi="Barlow Semi Condensed"/>
          <w:b/>
          <w:bCs/>
          <w:sz w:val="24"/>
          <w:szCs w:val="24"/>
        </w:rPr>
        <w:t xml:space="preserve">388 · La ricerca familiare, il parere.</w:t>
      </w:r>
      <w:r>
        <w:rPr>
          <w:rFonts w:ascii="Barlow Semi Condensed" w:cs="Barlow Semi Condensed" w:eastAsia="Barlow Semi Condensed" w:hAnsi="Barlow Semi Condensed"/>
          <w:sz w:val="24"/>
          <w:szCs w:val="24"/>
        </w:rPr>
        <w:t xml:space="preserve"> L'esecuzione del blocco 183 dell'agenda alla scala del cantiere: il parere giuridico formale sulla ricerca di parentela in Italia per i profili orfani del caso — norme, prassi, precedenti. Il documento che manca al dibattito: che cosa la legge italiana consente davvero, scritto da giuristi, non da cronisti.</w:t>
      </w:r>
    </w:p>
    <w:p>
      <w:pPr>
        <w:spacing w:after="120" w:line="276"/>
        <w:jc w:val="both"/>
      </w:pPr>
      <w:r>
        <w:rPr>
          <w:rFonts w:ascii="Barlow Semi Condensed" w:cs="Barlow Semi Condensed" w:eastAsia="Barlow Semi Condensed" w:hAnsi="Barlow Semi Condensed"/>
          <w:b/>
          <w:bCs/>
          <w:sz w:val="24"/>
          <w:szCs w:val="24"/>
        </w:rPr>
        <w:t xml:space="preserve">389 · La genealogia genetica, il protocollo condizionato.</w:t>
      </w:r>
      <w:r>
        <w:rPr>
          <w:rFonts w:ascii="Barlow Semi Condensed" w:cs="Barlow Semi Condensed" w:eastAsia="Barlow Semi Condensed" w:hAnsi="Barlow Semi Condensed"/>
          <w:sz w:val="24"/>
          <w:szCs w:val="24"/>
        </w:rPr>
        <w:t xml:space="preserve"> Il gradino oltre: se e solo se il parere del blocco 388 apre uno spiraglio, il protocollo di genealogia genetica forense per il caso — banche interrogabili, garanzie, autorità competenti. Il blocco è condizionale per costruzione: senza base giuridica, resta scritto e fermo.</w:t>
      </w:r>
    </w:p>
    <w:p>
      <w:pPr>
        <w:spacing w:after="120" w:line="276"/>
        <w:jc w:val="both"/>
      </w:pPr>
      <w:r>
        <w:rPr>
          <w:rFonts w:ascii="Barlow Semi Condensed" w:cs="Barlow Semi Condensed" w:eastAsia="Barlow Semi Condensed" w:hAnsi="Barlow Semi Condensed"/>
          <w:b/>
          <w:bCs/>
          <w:sz w:val="24"/>
          <w:szCs w:val="24"/>
        </w:rPr>
        <w:t xml:space="preserve">390 · Il DNA da contatto sui reperti solidi.</w:t>
      </w:r>
      <w:r>
        <w:rPr>
          <w:rFonts w:ascii="Barlow Semi Condensed" w:cs="Barlow Semi Condensed" w:eastAsia="Barlow Semi Condensed" w:hAnsi="Barlow Semi Condensed"/>
          <w:sz w:val="24"/>
          <w:szCs w:val="24"/>
        </w:rPr>
        <w:t xml:space="preserve"> Il parere sulle superfici: che cosa le tecniche attuali di DNA da contatto possono tentare sui reperti solidi mai campionati (il caricatore, le maniglie, i comandi delle auto dove conservati) — con il rischio di consumo dichiarato. Ogni campionamento distrugge: il parere pesa prima.</w:t>
      </w:r>
    </w:p>
    <w:p>
      <w:pPr>
        <w:spacing w:after="120" w:line="276"/>
        <w:jc w:val="both"/>
      </w:pPr>
      <w:r>
        <w:rPr>
          <w:rFonts w:ascii="Barlow Semi Condensed" w:cs="Barlow Semi Condensed" w:eastAsia="Barlow Semi Condensed" w:hAnsi="Barlow Semi Condensed"/>
          <w:b/>
          <w:bCs/>
          <w:sz w:val="24"/>
          <w:szCs w:val="24"/>
        </w:rPr>
        <w:t xml:space="preserve">391 · Le salme e il rispetto.</w:t>
      </w:r>
      <w:r>
        <w:rPr>
          <w:rFonts w:ascii="Barlow Semi Condensed" w:cs="Barlow Semi Condensed" w:eastAsia="Barlow Semi Condensed" w:hAnsi="Barlow Semi Condensed"/>
          <w:sz w:val="24"/>
          <w:szCs w:val="24"/>
        </w:rPr>
        <w:t xml:space="preserve"> Il perimetro dichiarato: nessun bersaglio del cantiere prevede accertamenti sulle salme — il materiale biologico di riferimento delle vittime, ove mai servisse per esclusioni, si cerca prima negli archivi medico-legali del 1978. Il rispetto è un vincolo di metodo, scritto.</w:t>
      </w:r>
    </w:p>
    <w:p>
      <w:pPr>
        <w:spacing w:after="120" w:line="276"/>
        <w:jc w:val="both"/>
      </w:pPr>
      <w:r>
        <w:rPr>
          <w:rFonts w:ascii="Barlow Semi Condensed" w:cs="Barlow Semi Condensed" w:eastAsia="Barlow Semi Condensed" w:hAnsi="Barlow Semi Condensed"/>
          <w:b/>
          <w:bCs/>
          <w:sz w:val="24"/>
          <w:szCs w:val="24"/>
        </w:rPr>
        <w:t xml:space="preserve">392 · I campioni di riferimento storici.</w:t>
      </w:r>
      <w:r>
        <w:rPr>
          <w:rFonts w:ascii="Barlow Semi Condensed" w:cs="Barlow Semi Condensed" w:eastAsia="Barlow Semi Condensed" w:hAnsi="Barlow Semi Condensed"/>
          <w:sz w:val="24"/>
          <w:szCs w:val="24"/>
        </w:rPr>
        <w:t xml:space="preserve"> Il censimento degli archivi biologici d'epoca: i vetrini, i campioni medico-legali del 1978 conservati (autopsie, analisi) — dove sono, in che stato, con quali possibilità di riferimento. Il biologico d'archivio è il gemello dimenticato del documentale: si censisce allo stesso modo.</w:t>
      </w:r>
    </w:p>
    <w:p>
      <w:pPr>
        <w:spacing w:after="120" w:line="276"/>
        <w:jc w:val="both"/>
      </w:pPr>
      <w:r>
        <w:rPr>
          <w:rFonts w:ascii="Barlow Semi Condensed" w:cs="Barlow Semi Condensed" w:eastAsia="Barlow Semi Condensed" w:hAnsi="Barlow Semi Condensed"/>
          <w:b/>
          <w:bCs/>
          <w:sz w:val="24"/>
          <w:szCs w:val="24"/>
        </w:rPr>
        <w:t xml:space="preserve">393 · La contaminazione, misurata.</w:t>
      </w:r>
      <w:r>
        <w:rPr>
          <w:rFonts w:ascii="Barlow Semi Condensed" w:cs="Barlow Semi Condensed" w:eastAsia="Barlow Semi Condensed" w:hAnsi="Barlow Semi Condensed"/>
          <w:sz w:val="24"/>
          <w:szCs w:val="24"/>
        </w:rPr>
        <w:t xml:space="preserve"> Il registro delle manipolazioni (blocco 334) applicato alla genetica: i profili degli operatori noti per l'eliminazione, e la stima onesta della contaminazione attesa su reperti maneggiati per decenni. Ogni profilo orfano porta scritta la probabilità di essere un artefatto: il numero, non l'entusiasmo.</w:t>
      </w:r>
    </w:p>
    <w:p>
      <w:pPr>
        <w:spacing w:after="120" w:line="276"/>
        <w:jc w:val="both"/>
      </w:pPr>
      <w:r>
        <w:rPr>
          <w:rFonts w:ascii="Barlow Semi Condensed" w:cs="Barlow Semi Condensed" w:eastAsia="Barlow Semi Condensed" w:hAnsi="Barlow Semi Condensed"/>
          <w:b/>
          <w:bCs/>
          <w:sz w:val="24"/>
          <w:szCs w:val="24"/>
        </w:rPr>
        <w:t xml:space="preserve">394 · Il laboratorio e l'accreditamento.</w:t>
      </w:r>
      <w:r>
        <w:rPr>
          <w:rFonts w:ascii="Barlow Semi Condensed" w:cs="Barlow Semi Condensed" w:eastAsia="Barlow Semi Condensed" w:hAnsi="Barlow Semi Condensed"/>
          <w:sz w:val="24"/>
          <w:szCs w:val="24"/>
        </w:rPr>
        <w:t xml:space="preserve"> La regola di qualità: ogni nuovo esame genetico del caso in laboratori accreditati, con protocolli pubblicati e contraddittorio. La genetica forense italiana ha standard: il caso più celebre della Repubblica li esige tutti.</w:t>
      </w:r>
    </w:p>
    <w:p>
      <w:pPr>
        <w:spacing w:after="120" w:line="276"/>
        <w:jc w:val="both"/>
      </w:pPr>
      <w:r>
        <w:rPr>
          <w:rFonts w:ascii="Barlow Semi Condensed" w:cs="Barlow Semi Condensed" w:eastAsia="Barlow Semi Condensed" w:hAnsi="Barlow Semi Condensed"/>
          <w:b/>
          <w:bCs/>
          <w:sz w:val="24"/>
          <w:szCs w:val="24"/>
        </w:rPr>
        <w:t xml:space="preserve">395 · La trafila degli esiti.</w:t>
      </w:r>
      <w:r>
        <w:rPr>
          <w:rFonts w:ascii="Barlow Semi Condensed" w:cs="Barlow Semi Condensed" w:eastAsia="Barlow Semi Condensed" w:hAnsi="Barlow Semi Condensed"/>
          <w:sz w:val="24"/>
          <w:szCs w:val="24"/>
        </w:rPr>
        <w:t xml:space="preserve"> Il protocollo di pubblicità: gli esiti genetici entrano nel corpus solo da atti (perizie depositate, provvedimenti, relazioni ufficiali) — mai da indiscrezioni. La genetica è il terreno più esposto al giornalismo d'anticipazione: il cantiere si vieta di correre.</w:t>
      </w:r>
    </w:p>
    <w:p>
      <w:pPr>
        <w:spacing w:after="120" w:line="276"/>
        <w:jc w:val="both"/>
      </w:pPr>
      <w:r>
        <w:rPr>
          <w:rFonts w:ascii="Barlow Semi Condensed" w:cs="Barlow Semi Condensed" w:eastAsia="Barlow Semi Condensed" w:hAnsi="Barlow Semi Condensed"/>
          <w:b/>
          <w:bCs/>
          <w:sz w:val="24"/>
          <w:szCs w:val="24"/>
        </w:rPr>
        <w:t xml:space="preserve">396 · Il quesito delle terze presenze, in termini genetici.</w:t>
      </w:r>
      <w:r>
        <w:rPr>
          <w:rFonts w:ascii="Barlow Semi Condensed" w:cs="Barlow Semi Condensed" w:eastAsia="Barlow Semi Condensed" w:hAnsi="Barlow Semi Condensed"/>
          <w:sz w:val="24"/>
          <w:szCs w:val="24"/>
        </w:rPr>
        <w:t xml:space="preserve"> La formulazione esatta: che cosa i profili orfani possono e non possono dire sulle presenze non giudicate — esclusioni sì, identificazioni solo per match documentato, mai per suggestione. Il quesito 1 dell'agenda tradotto in linguaggio di laboratorio, con i suoi limiti stampati.</w:t>
      </w:r>
    </w:p>
    <w:p>
      <w:pPr>
        <w:spacing w:after="120" w:line="276"/>
        <w:jc w:val="both"/>
      </w:pPr>
      <w:r>
        <w:rPr>
          <w:rFonts w:ascii="Barlow Semi Condensed" w:cs="Barlow Semi Condensed" w:eastAsia="Barlow Semi Condensed" w:hAnsi="Barlow Semi Condensed"/>
          <w:b/>
          <w:bCs/>
          <w:sz w:val="24"/>
          <w:szCs w:val="24"/>
        </w:rPr>
        <w:t xml:space="preserve">397 · Il DNA e il giudicato.</w:t>
      </w:r>
      <w:r>
        <w:rPr>
          <w:rFonts w:ascii="Barlow Semi Condensed" w:cs="Barlow Semi Condensed" w:eastAsia="Barlow Semi Condensed" w:hAnsi="Barlow Semi Condensed"/>
          <w:sz w:val="24"/>
          <w:szCs w:val="24"/>
        </w:rPr>
        <w:t xml:space="preserve"> La tavola di compatibilità: i profili contro le presenze giudicate — chi dei condannati risulta escluso o compatibile sui singoli reperti, dagli atti. La genetica non riscrive il giudicato: lo affianca — e le tensioni, se emergono, si dichiarano come tali.</w:t>
      </w:r>
    </w:p>
    <w:p>
      <w:pPr>
        <w:spacing w:after="120" w:line="276"/>
        <w:jc w:val="both"/>
      </w:pPr>
      <w:r>
        <w:rPr>
          <w:rFonts w:ascii="Barlow Semi Condensed" w:cs="Barlow Semi Condensed" w:eastAsia="Barlow Semi Condensed" w:hAnsi="Barlow Semi Condensed"/>
          <w:b/>
          <w:bCs/>
          <w:sz w:val="24"/>
          <w:szCs w:val="24"/>
        </w:rPr>
        <w:t xml:space="preserve">398 · Le tracce biologiche minori.</w:t>
      </w:r>
      <w:r>
        <w:rPr>
          <w:rFonts w:ascii="Barlow Semi Condensed" w:cs="Barlow Semi Condensed" w:eastAsia="Barlow Semi Condensed" w:hAnsi="Barlow Semi Condensed"/>
          <w:sz w:val="24"/>
          <w:szCs w:val="24"/>
        </w:rPr>
        <w:t xml:space="preserve"> Il censimento oltre i mozziconi: ogni traccia biologica repertata nel 1978 (i verbali digitalizzati le elencano) — sangue, saliva, formazioni pilifere — con lo stato attuale di ciascuna. La tavola biologica completa del caso: molte voci, molte righe, nessuna dimenticata.</w:t>
      </w:r>
    </w:p>
    <w:p>
      <w:pPr>
        <w:spacing w:after="120" w:line="276"/>
        <w:jc w:val="both"/>
      </w:pPr>
      <w:r>
        <w:rPr>
          <w:rFonts w:ascii="Barlow Semi Condensed" w:cs="Barlow Semi Condensed" w:eastAsia="Barlow Semi Condensed" w:hAnsi="Barlow Semi Condensed"/>
          <w:b/>
          <w:bCs/>
          <w:sz w:val="24"/>
          <w:szCs w:val="24"/>
        </w:rPr>
        <w:t xml:space="preserve">399 · Il biologico dei covi minori.</w:t>
      </w:r>
      <w:r>
        <w:rPr>
          <w:rFonts w:ascii="Barlow Semi Condensed" w:cs="Barlow Semi Condensed" w:eastAsia="Barlow Semi Condensed" w:hAnsi="Barlow Semi Condensed"/>
          <w:sz w:val="24"/>
          <w:szCs w:val="24"/>
        </w:rPr>
        <w:t xml:space="preserve"> L'estensione: le tracce biologiche dei covi collegati e dei veicoli satellite — censimento e praticabilità. L'arcipelago biologico segue quello balistico: ogni sede del 1978 è una possibile fonte di esclusioni nuove.</w:t>
      </w:r>
    </w:p>
    <w:p>
      <w:pPr>
        <w:spacing w:after="120" w:line="276"/>
        <w:jc w:val="both"/>
      </w:pPr>
      <w:r>
        <w:rPr>
          <w:rFonts w:ascii="Barlow Semi Condensed" w:cs="Barlow Semi Condensed" w:eastAsia="Barlow Semi Condensed" w:hAnsi="Barlow Semi Condensed"/>
          <w:b/>
          <w:bCs/>
          <w:sz w:val="24"/>
          <w:szCs w:val="24"/>
        </w:rPr>
        <w:t xml:space="preserve">400 · Il quattrocentesimo blocco: la genetica come pazienza.</w:t>
      </w:r>
      <w:r>
        <w:rPr>
          <w:rFonts w:ascii="Barlow Semi Condensed" w:cs="Barlow Semi Condensed" w:eastAsia="Barlow Semi Condensed" w:hAnsi="Barlow Semi Condensed"/>
          <w:sz w:val="24"/>
          <w:szCs w:val="24"/>
        </w:rPr>
        <w:t xml:space="preserve"> La regola d'insieme della sezione: la genetica del caso è un gioco lungo — profili che aspettano banche, banche che crescono, leggi che maturano. Il cantiere organizza l'attesa attiva: interrogazioni periodiche, pareri aggiornati, reperti protetti. Il DNA non ha fretta; il metodo nemmeno.</w:t>
      </w:r>
    </w:p>
    <w:p>
      <w:pPr>
        <w:spacing w:after="120" w:line="276"/>
        <w:jc w:val="both"/>
      </w:pPr>
      <w:r>
        <w:rPr>
          <w:rFonts w:ascii="Barlow Semi Condensed" w:cs="Barlow Semi Condensed" w:eastAsia="Barlow Semi Condensed" w:hAnsi="Barlow Semi Condensed"/>
          <w:b/>
          <w:bCs/>
          <w:sz w:val="24"/>
          <w:szCs w:val="24"/>
        </w:rPr>
        <w:t xml:space="preserve">401 · Il confronto con i casi gemelli.</w:t>
      </w:r>
      <w:r>
        <w:rPr>
          <w:rFonts w:ascii="Barlow Semi Condensed" w:cs="Barlow Semi Condensed" w:eastAsia="Barlow Semi Condensed" w:hAnsi="Barlow Semi Condensed"/>
          <w:sz w:val="24"/>
          <w:szCs w:val="24"/>
        </w:rPr>
        <w:t xml:space="preserve"> La lezione comparata: i cold case italiani riaperti con la genetica su reperti coevi — che cosa ha funzionato, che cosa è fallito, con quali tempi. Il caso impara dai suoi simili: la tavola dei precedenti è la sua curva d'esperienza.</w:t>
      </w:r>
    </w:p>
    <w:p>
      <w:pPr>
        <w:spacing w:after="120" w:line="276"/>
        <w:jc w:val="both"/>
      </w:pPr>
      <w:r>
        <w:rPr>
          <w:rFonts w:ascii="Barlow Semi Condensed" w:cs="Barlow Semi Condensed" w:eastAsia="Barlow Semi Condensed" w:hAnsi="Barlow Semi Condensed"/>
          <w:b/>
          <w:bCs/>
          <w:sz w:val="24"/>
          <w:szCs w:val="24"/>
        </w:rPr>
        <w:t xml:space="preserve">402 · La comunicazione degli esiti genetici.</w:t>
      </w:r>
      <w:r>
        <w:rPr>
          <w:rFonts w:ascii="Barlow Semi Condensed" w:cs="Barlow Semi Condensed" w:eastAsia="Barlow Semi Condensed" w:hAnsi="Barlow Semi Condensed"/>
          <w:sz w:val="24"/>
          <w:szCs w:val="24"/>
        </w:rPr>
        <w:t xml:space="preserve"> Il protocollo pubblico: come il corpus comunica un esito genetico — con il grado, il limite, il non detto esplicito. Un match è un fatto tecnico, non una condanna; un'esclusione è un fatto tecnico, non un'assoluzione morale: le parole si scelgono prima.</w:t>
      </w:r>
    </w:p>
    <w:p>
      <w:pPr>
        <w:spacing w:after="120" w:line="276"/>
        <w:jc w:val="both"/>
      </w:pPr>
      <w:r>
        <w:rPr>
          <w:rFonts w:ascii="Barlow Semi Condensed" w:cs="Barlow Semi Condensed" w:eastAsia="Barlow Semi Condensed" w:hAnsi="Barlow Semi Condensed"/>
          <w:b/>
          <w:bCs/>
          <w:sz w:val="24"/>
          <w:szCs w:val="24"/>
        </w:rPr>
        <w:t xml:space="preserve">403 · Il deposito genetico documentale.</w:t>
      </w:r>
      <w:r>
        <w:rPr>
          <w:rFonts w:ascii="Barlow Semi Condensed" w:cs="Barlow Semi Condensed" w:eastAsia="Barlow Semi Condensed" w:hAnsi="Barlow Semi Condensed"/>
          <w:sz w:val="24"/>
          <w:szCs w:val="24"/>
        </w:rPr>
        <w:t xml:space="preserve"> L'archivio della sezione: ogni atto genetico del caso (perizie, verbali di campionamento, pareri) nel fascicolo digitale, indicizzato. La storia genetica del caso, per chi la continuerà: nel 2040 qualcuno ringrazierà.</w:t>
      </w:r>
    </w:p>
    <w:p>
      <w:pPr>
        <w:spacing w:after="120" w:line="276"/>
        <w:jc w:val="both"/>
      </w:pPr>
      <w:r>
        <w:rPr>
          <w:rFonts w:ascii="Barlow Semi Condensed" w:cs="Barlow Semi Condensed" w:eastAsia="Barlow Semi Condensed" w:hAnsi="Barlow Semi Condensed"/>
          <w:b/>
          <w:bCs/>
          <w:sz w:val="24"/>
          <w:szCs w:val="24"/>
        </w:rPr>
        <w:t xml:space="preserve">404 · Le urgenze biologiche.</w:t>
      </w:r>
      <w:r>
        <w:rPr>
          <w:rFonts w:ascii="Barlow Semi Condensed" w:cs="Barlow Semi Condensed" w:eastAsia="Barlow Semi Condensed" w:hAnsi="Barlow Semi Condensed"/>
          <w:sz w:val="24"/>
          <w:szCs w:val="24"/>
        </w:rPr>
        <w:t xml:space="preserve"> La tavola delle urgenze: i reperti biologici a degrado più rapido, da proteggere o esaminare prima. Il tempo biologico dei reperti è la gemella materiale dell'urgenza dei testimoni: anche le molecole muoiono.</w:t>
      </w:r>
    </w:p>
    <w:p>
      <w:pPr>
        <w:spacing w:after="120" w:line="276"/>
        <w:jc w:val="both"/>
      </w:pPr>
      <w:r>
        <w:rPr>
          <w:rFonts w:ascii="Barlow Semi Condensed" w:cs="Barlow Semi Condensed" w:eastAsia="Barlow Semi Condensed" w:hAnsi="Barlow Semi Condensed"/>
          <w:b/>
          <w:bCs/>
          <w:sz w:val="24"/>
          <w:szCs w:val="24"/>
        </w:rPr>
        <w:t xml:space="preserve">405 · La tavola genetica.</w:t>
      </w:r>
      <w:r>
        <w:rPr>
          <w:rFonts w:ascii="Barlow Semi Condensed" w:cs="Barlow Semi Condensed" w:eastAsia="Barlow Semi Condensed" w:hAnsi="Barlow Semi Condensed"/>
          <w:sz w:val="24"/>
          <w:szCs w:val="24"/>
        </w:rPr>
        <w:t xml:space="preserve"> La chiusura della sezione: profili censiti, comparazioni documentate, pareri resi, interrogazioni calendarizzate. La genetica del caso, contata — senza un nome atteso, con tutte le domande scritte.</w:t>
      </w:r>
    </w:p>
    <w:p>
      <w:pPr>
        <w:pStyle w:val="Heading3"/>
        <w:spacing w:after="80" w:before="160"/>
      </w:pPr>
      <w:r>
        <w:rPr>
          <w:rFonts w:ascii="Barlow Semi Condensed" w:cs="Barlow Semi Condensed" w:eastAsia="Barlow Semi Condensed" w:hAnsi="Barlow Semi Condensed"/>
          <w:sz w:val="24"/>
          <w:szCs w:val="24"/>
        </w:rPr>
        <w:t xml:space="preserve">Le tracce materiali: abiti, sabbie, veicoli (blocchi 406-430)</w:t>
      </w:r>
    </w:p>
    <w:p>
      <w:pPr>
        <w:spacing w:after="120" w:line="276"/>
        <w:jc w:val="both"/>
      </w:pPr>
      <w:r>
        <w:rPr>
          <w:rFonts w:ascii="Barlow Semi Condensed" w:cs="Barlow Semi Condensed" w:eastAsia="Barlow Semi Condensed" w:hAnsi="Barlow Semi Condensed"/>
          <w:b/>
          <w:bCs/>
          <w:sz w:val="24"/>
          <w:szCs w:val="24"/>
        </w:rPr>
        <w:t xml:space="preserve">406 · La perizia madre del 1978.</w:t>
      </w:r>
      <w:r>
        <w:rPr>
          <w:rFonts w:ascii="Barlow Semi Condensed" w:cs="Barlow Semi Condensed" w:eastAsia="Barlow Semi Condensed" w:hAnsi="Barlow Semi Condensed"/>
          <w:sz w:val="24"/>
          <w:szCs w:val="24"/>
        </w:rPr>
        <w:t xml:space="preserve"> Il pavimento verificato: la perizia geologico-botanica del 1978 (il geologo Gianni Lombardi con Valerio Giacomini e collaboratori) giudicò la sabbia nel risvolto sinistro dei pantaloni e sulle scarpe esclusiva del litorale tirrenico laziale, con localizzazione nell'area di Focene-Marina di Palidoro. La Moro 2 rilanciò gli accertamenti (RIS, 2016-2017). Da questa sequenza parte la sezione.</w:t>
      </w:r>
    </w:p>
    <w:p>
      <w:pPr>
        <w:spacing w:after="120" w:line="276"/>
        <w:jc w:val="both"/>
      </w:pPr>
      <w:r>
        <w:rPr>
          <w:rFonts w:ascii="Barlow Semi Condensed" w:cs="Barlow Semi Condensed" w:eastAsia="Barlow Semi Condensed" w:hAnsi="Barlow Semi Condensed"/>
          <w:b/>
          <w:bCs/>
          <w:sz w:val="24"/>
          <w:szCs w:val="24"/>
        </w:rPr>
        <w:t xml:space="preserve">407 · La sabbia, ripetuta.</w:t>
      </w:r>
      <w:r>
        <w:rPr>
          <w:rFonts w:ascii="Barlow Semi Condensed" w:cs="Barlow Semi Condensed" w:eastAsia="Barlow Semi Condensed" w:hAnsi="Barlow Semi Condensed"/>
          <w:sz w:val="24"/>
          <w:szCs w:val="24"/>
        </w:rPr>
        <w:t xml:space="preserve"> Il riesame moderno dei campioni: granulometrie, mineralogia, microfossili con gli strumenti attuali — la verifica della localizzazione del 1978 con la geologia forense del 2026, campionature attuali di confronto incluse (coi limiti dichiarati: mezzo secolo cambia le spiagge). La conferma o la revisione, in perizia.</w:t>
      </w:r>
    </w:p>
    <w:p>
      <w:pPr>
        <w:spacing w:after="120" w:line="276"/>
        <w:jc w:val="both"/>
      </w:pPr>
      <w:r>
        <w:rPr>
          <w:rFonts w:ascii="Barlow Semi Condensed" w:cs="Barlow Semi Condensed" w:eastAsia="Barlow Semi Condensed" w:hAnsi="Barlow Semi Condensed"/>
          <w:b/>
          <w:bCs/>
          <w:sz w:val="24"/>
          <w:szCs w:val="24"/>
        </w:rPr>
        <w:t xml:space="preserve">408 · Il quesito del mare.</w:t>
      </w:r>
      <w:r>
        <w:rPr>
          <w:rFonts w:ascii="Barlow Semi Condensed" w:cs="Barlow Semi Condensed" w:eastAsia="Barlow Semi Condensed" w:hAnsi="Barlow Semi Condensed"/>
          <w:sz w:val="24"/>
          <w:szCs w:val="24"/>
        </w:rPr>
        <w:t xml:space="preserve"> La conseguenza logica della sabbia: se gli abiti toccarono il litorale, quando e come — la compatibilità con le versioni giudicate della prigionia e del trasporto. Il quesito si scrive in forma ACH: le ipotesi di contatto litoraneo contro le evidenze, con la cella del «quando» dichiarata aperta.</w:t>
      </w:r>
    </w:p>
    <w:p>
      <w:pPr>
        <w:spacing w:after="120" w:line="276"/>
        <w:jc w:val="both"/>
      </w:pPr>
      <w:r>
        <w:rPr>
          <w:rFonts w:ascii="Barlow Semi Condensed" w:cs="Barlow Semi Condensed" w:eastAsia="Barlow Semi Condensed" w:hAnsi="Barlow Semi Condensed"/>
          <w:b/>
          <w:bCs/>
          <w:sz w:val="24"/>
          <w:szCs w:val="24"/>
        </w:rPr>
        <w:t xml:space="preserve">409 · I pollini, ripetuti.</w:t>
      </w:r>
      <w:r>
        <w:rPr>
          <w:rFonts w:ascii="Barlow Semi Condensed" w:cs="Barlow Semi Condensed" w:eastAsia="Barlow Semi Condensed" w:hAnsi="Barlow Semi Condensed"/>
          <w:sz w:val="24"/>
          <w:szCs w:val="24"/>
        </w:rPr>
        <w:t xml:space="preserve"> La palinologia moderna sugli abiti e sulla coperta: taxa, proporzioni, stagionalità con le banche polliniche attuali — la ripetizione dell'esame botanico del 1978 a risoluzione 2026. Ogni taxon è una coordinata; la tavola completa è il poligono di compatibilità dei luoghi.</w:t>
      </w:r>
    </w:p>
    <w:p>
      <w:pPr>
        <w:spacing w:after="120" w:line="276"/>
        <w:jc w:val="both"/>
      </w:pPr>
      <w:r>
        <w:rPr>
          <w:rFonts w:ascii="Barlow Semi Condensed" w:cs="Barlow Semi Condensed" w:eastAsia="Barlow Semi Condensed" w:hAnsi="Barlow Semi Condensed"/>
          <w:b/>
          <w:bCs/>
          <w:sz w:val="24"/>
          <w:szCs w:val="24"/>
        </w:rPr>
        <w:t xml:space="preserve">410 · Le fibre e la coperta.</w:t>
      </w:r>
      <w:r>
        <w:rPr>
          <w:rFonts w:ascii="Barlow Semi Condensed" w:cs="Barlow Semi Condensed" w:eastAsia="Barlow Semi Condensed" w:hAnsi="Barlow Semi Condensed"/>
          <w:sz w:val="24"/>
          <w:szCs w:val="24"/>
        </w:rPr>
        <w:t xml:space="preserve"> La merceologia della coperta del ritrovamento e delle fibre repertate: produzione, diffusione, compatibilità — con le banche merceologiche attuali. L'oggetto più umile del caso è un tracciante industriale: dove fu prodotto, dove venduto, quanto comune.</w:t>
      </w:r>
    </w:p>
    <w:p>
      <w:pPr>
        <w:spacing w:after="120" w:line="276"/>
        <w:jc w:val="both"/>
      </w:pPr>
      <w:r>
        <w:rPr>
          <w:rFonts w:ascii="Barlow Semi Condensed" w:cs="Barlow Semi Condensed" w:eastAsia="Barlow Semi Condensed" w:hAnsi="Barlow Semi Condensed"/>
          <w:b/>
          <w:bCs/>
          <w:sz w:val="24"/>
          <w:szCs w:val="24"/>
        </w:rPr>
        <w:t xml:space="preserve">411 · Il bitume e le terre.</w:t>
      </w:r>
      <w:r>
        <w:rPr>
          <w:rFonts w:ascii="Barlow Semi Condensed" w:cs="Barlow Semi Condensed" w:eastAsia="Barlow Semi Condensed" w:hAnsi="Barlow Semi Condensed"/>
          <w:sz w:val="24"/>
          <w:szCs w:val="24"/>
        </w:rPr>
        <w:t xml:space="preserve"> Le altre tracce materiali sugli abiti e sulle suole (bitumi, terre, residui urbani documentati nel 1978): il riesame chimico-mineralogico moderno. Il percorso dell'uomo negli ultimi giorni, scritto nelle suole: il cantiere lo legge con strumenti che il 1978 non aveva.</w:t>
      </w:r>
    </w:p>
    <w:p>
      <w:pPr>
        <w:spacing w:after="120" w:line="276"/>
        <w:jc w:val="both"/>
      </w:pPr>
      <w:r>
        <w:rPr>
          <w:rFonts w:ascii="Barlow Semi Condensed" w:cs="Barlow Semi Condensed" w:eastAsia="Barlow Semi Condensed" w:hAnsi="Barlow Semi Condensed"/>
          <w:b/>
          <w:bCs/>
          <w:sz w:val="24"/>
          <w:szCs w:val="24"/>
        </w:rPr>
        <w:t xml:space="preserve">412 · Il poligono dei luoghi.</w:t>
      </w:r>
      <w:r>
        <w:rPr>
          <w:rFonts w:ascii="Barlow Semi Condensed" w:cs="Barlow Semi Condensed" w:eastAsia="Barlow Semi Condensed" w:hAnsi="Barlow Semi Condensed"/>
          <w:sz w:val="24"/>
          <w:szCs w:val="24"/>
        </w:rPr>
        <w:t xml:space="preserve"> La sintesi formale (il blocco 85 dell'agenda, eseguito): il poligono di compatibilità geografica dall'insieme delle tracce — sabbie, pollini, fibre, bitumi — con i gradi. Il poligono si confronta con l'istruttoria: via Montalcini dentro o fuori, e con quali margini. Nessun luogo nominato: un perimetro misurato.</w:t>
      </w:r>
    </w:p>
    <w:p>
      <w:pPr>
        <w:spacing w:after="120" w:line="276"/>
        <w:jc w:val="both"/>
      </w:pPr>
      <w:r>
        <w:rPr>
          <w:rFonts w:ascii="Barlow Semi Condensed" w:cs="Barlow Semi Condensed" w:eastAsia="Barlow Semi Condensed" w:hAnsi="Barlow Semi Condensed"/>
          <w:b/>
          <w:bCs/>
          <w:sz w:val="24"/>
          <w:szCs w:val="24"/>
        </w:rPr>
        <w:t xml:space="preserve">413 · Gli abiti come oggetto unico.</w:t>
      </w:r>
      <w:r>
        <w:rPr>
          <w:rFonts w:ascii="Barlow Semi Condensed" w:cs="Barlow Semi Condensed" w:eastAsia="Barlow Semi Condensed" w:hAnsi="Barlow Semi Condensed"/>
          <w:sz w:val="24"/>
          <w:szCs w:val="24"/>
        </w:rPr>
        <w:t xml:space="preserve"> La scheda conservativa integrale degli abiti: stato, interventi subiti, campionature storiche, riesaminabilità residua. L'oggetto più intimo del caso merita la scheda più completa: ogni futura domanda dipende da quanto ne resta.</w:t>
      </w:r>
    </w:p>
    <w:p>
      <w:pPr>
        <w:spacing w:after="120" w:line="276"/>
        <w:jc w:val="both"/>
      </w:pPr>
      <w:r>
        <w:rPr>
          <w:rFonts w:ascii="Barlow Semi Condensed" w:cs="Barlow Semi Condensed" w:eastAsia="Barlow Semi Condensed" w:hAnsi="Barlow Semi Condensed"/>
          <w:b/>
          <w:bCs/>
          <w:sz w:val="24"/>
          <w:szCs w:val="24"/>
        </w:rPr>
        <w:t xml:space="preserve">414 · La 132 e le auto dell'agguato.</w:t>
      </w:r>
      <w:r>
        <w:rPr>
          <w:rFonts w:ascii="Barlow Semi Condensed" w:cs="Barlow Semi Condensed" w:eastAsia="Barlow Semi Condensed" w:hAnsi="Barlow Semi Condensed"/>
          <w:sz w:val="24"/>
          <w:szCs w:val="24"/>
        </w:rPr>
        <w:t xml:space="preserve"> Le auto di via Fani (la 132, le 128): sorte fisica, perizie d'epoca, tracce documentate — la tavola dei veicoli con la riesaminabilità di ciascuno. Dove il metallo esiste ancora, si riesamina; dove no, il suo fascicolo peritale digitalizzato è il reperto.</w:t>
      </w:r>
    </w:p>
    <w:p>
      <w:pPr>
        <w:spacing w:after="120" w:line="276"/>
        <w:jc w:val="both"/>
      </w:pPr>
      <w:r>
        <w:rPr>
          <w:rFonts w:ascii="Barlow Semi Condensed" w:cs="Barlow Semi Condensed" w:eastAsia="Barlow Semi Condensed" w:hAnsi="Barlow Semi Condensed"/>
          <w:b/>
          <w:bCs/>
          <w:sz w:val="24"/>
          <w:szCs w:val="24"/>
        </w:rPr>
        <w:t xml:space="preserve">415 · La 128 diplomatica.</w:t>
      </w:r>
      <w:r>
        <w:rPr>
          <w:rFonts w:ascii="Barlow Semi Condensed" w:cs="Barlow Semi Condensed" w:eastAsia="Barlow Semi Condensed" w:hAnsi="Barlow Semi Condensed"/>
          <w:sz w:val="24"/>
          <w:szCs w:val="24"/>
        </w:rPr>
        <w:t xml:space="preserve"> Il veicolo dell'attesa: la 128 con targa diplomatica dell'auto di sbarramento — la sua storia documentale completa (provenienza, targhe, movimenti) dagli atti. Il veicolo più raccontato dell'agguato ha una biografia d'archivio: si scrive con le carte, non con le versioni.</w:t>
      </w:r>
    </w:p>
    <w:p>
      <w:pPr>
        <w:spacing w:after="120" w:line="276"/>
        <w:jc w:val="both"/>
      </w:pPr>
      <w:r>
        <w:rPr>
          <w:rFonts w:ascii="Barlow Semi Condensed" w:cs="Barlow Semi Condensed" w:eastAsia="Barlow Semi Condensed" w:hAnsi="Barlow Semi Condensed"/>
          <w:b/>
          <w:bCs/>
          <w:sz w:val="24"/>
          <w:szCs w:val="24"/>
        </w:rPr>
        <w:t xml:space="preserve">416 · I veicoli della fuga.</w:t>
      </w:r>
      <w:r>
        <w:rPr>
          <w:rFonts w:ascii="Barlow Semi Condensed" w:cs="Barlow Semi Condensed" w:eastAsia="Barlow Semi Condensed" w:hAnsi="Barlow Semi Condensed"/>
          <w:sz w:val="24"/>
          <w:szCs w:val="24"/>
        </w:rPr>
        <w:t xml:space="preserve"> La tavola dei veicoli della fuga e dei trasbordi secondo il giudicato: per ciascuno, i reperti d'epoca, le tracce, la sorte. La logistica giudicata come catena materiale: ogni anello ha o aveva un oggetto — e ogni oggetto una scheda.</w:t>
      </w:r>
    </w:p>
    <w:p>
      <w:pPr>
        <w:spacing w:after="120" w:line="276"/>
        <w:jc w:val="both"/>
      </w:pPr>
      <w:r>
        <w:rPr>
          <w:rFonts w:ascii="Barlow Semi Condensed" w:cs="Barlow Semi Condensed" w:eastAsia="Barlow Semi Condensed" w:hAnsi="Barlow Semi Condensed"/>
          <w:b/>
          <w:bCs/>
          <w:sz w:val="24"/>
          <w:szCs w:val="24"/>
        </w:rPr>
        <w:t xml:space="preserve">417 · La moto, il quesito materiale.</w:t>
      </w:r>
      <w:r>
        <w:rPr>
          <w:rFonts w:ascii="Barlow Semi Condensed" w:cs="Barlow Semi Condensed" w:eastAsia="Barlow Semi Condensed" w:hAnsi="Barlow Semi Condensed"/>
          <w:sz w:val="24"/>
          <w:szCs w:val="24"/>
        </w:rPr>
        <w:t xml:space="preserve"> L'anagrafe della Honda testimoniata (il blocco 80 dell'agenda, alla scala del cantiere): immatricolazioni, furti, rinvenimenti 1978 — e la tavola delle moto sequestrate nei procedimenti collegati. Il quesito delle presenze ha una faccia motociclistica: si lavora ad anagrafe, non a suggestione.</w:t>
      </w:r>
    </w:p>
    <w:p>
      <w:pPr>
        <w:spacing w:after="120" w:line="276"/>
        <w:jc w:val="both"/>
      </w:pPr>
      <w:r>
        <w:rPr>
          <w:rFonts w:ascii="Barlow Semi Condensed" w:cs="Barlow Semi Condensed" w:eastAsia="Barlow Semi Condensed" w:hAnsi="Barlow Semi Condensed"/>
          <w:b/>
          <w:bCs/>
          <w:sz w:val="24"/>
          <w:szCs w:val="24"/>
        </w:rPr>
        <w:t xml:space="preserve">418 · Il garage e i luoghi della logistica.</w:t>
      </w:r>
      <w:r>
        <w:rPr>
          <w:rFonts w:ascii="Barlow Semi Condensed" w:cs="Barlow Semi Condensed" w:eastAsia="Barlow Semi Condensed" w:hAnsi="Barlow Semi Condensed"/>
          <w:sz w:val="24"/>
          <w:szCs w:val="24"/>
        </w:rPr>
        <w:t xml:space="preserve"> I luoghi materiali della logistica giudicata (i box, i garage, le rimesse dagli atti): censimento documentale e stato attuale. La geografia minore dell'operazione — dove le cose stettero — completa la mappa dei luoghi maggiori.</w:t>
      </w:r>
    </w:p>
    <w:p>
      <w:pPr>
        <w:spacing w:after="120" w:line="276"/>
        <w:jc w:val="both"/>
      </w:pPr>
      <w:r>
        <w:rPr>
          <w:rFonts w:ascii="Barlow Semi Condensed" w:cs="Barlow Semi Condensed" w:eastAsia="Barlow Semi Condensed" w:hAnsi="Barlow Semi Condensed"/>
          <w:b/>
          <w:bCs/>
          <w:sz w:val="24"/>
          <w:szCs w:val="24"/>
        </w:rPr>
        <w:t xml:space="preserve">419 · Via Montalcini, la scheda materiale.</w:t>
      </w:r>
      <w:r>
        <w:rPr>
          <w:rFonts w:ascii="Barlow Semi Condensed" w:cs="Barlow Semi Condensed" w:eastAsia="Barlow Semi Condensed" w:hAnsi="Barlow Semi Condensed"/>
          <w:sz w:val="24"/>
          <w:szCs w:val="24"/>
        </w:rPr>
        <w:t xml:space="preserve"> La scheda integrale dell'appartamento della prigionia accertata: i reperti del 1978, le perizie, le modifiche edilizie documentate, lo stato attuale. Il luogo giudicato merita la stessa scienza dei luoghi congetturati: la conferma è un esito, non un'ovvietà (la regola del blocco 87 dell'agenda).</w:t>
      </w:r>
    </w:p>
    <w:p>
      <w:pPr>
        <w:spacing w:after="120" w:line="276"/>
        <w:jc w:val="both"/>
      </w:pPr>
      <w:r>
        <w:rPr>
          <w:rFonts w:ascii="Barlow Semi Condensed" w:cs="Barlow Semi Condensed" w:eastAsia="Barlow Semi Condensed" w:hAnsi="Barlow Semi Condensed"/>
          <w:b/>
          <w:bCs/>
          <w:sz w:val="24"/>
          <w:szCs w:val="24"/>
        </w:rPr>
        <w:t xml:space="preserve">420 · L'acustica della prigione.</w:t>
      </w:r>
      <w:r>
        <w:rPr>
          <w:rFonts w:ascii="Barlow Semi Condensed" w:cs="Barlow Semi Condensed" w:eastAsia="Barlow Semi Condensed" w:hAnsi="Barlow Semi Condensed"/>
          <w:sz w:val="24"/>
          <w:szCs w:val="24"/>
        </w:rPr>
        <w:t xml:space="preserve"> Il quesito sensoriale documentato: i rumori descritti nel memoriale e nelle lettere contro l'acustica reale dei luoghi — la verifica fonometrica moderna delle compatibilità. Un esperimento ripetibile sui luoghi esistenti: la scienza applicata alle parole del prigioniero.</w:t>
      </w:r>
    </w:p>
    <w:p>
      <w:pPr>
        <w:spacing w:after="120" w:line="276"/>
        <w:jc w:val="both"/>
      </w:pPr>
      <w:r>
        <w:rPr>
          <w:rFonts w:ascii="Barlow Semi Condensed" w:cs="Barlow Semi Condensed" w:eastAsia="Barlow Semi Condensed" w:hAnsi="Barlow Semi Condensed"/>
          <w:b/>
          <w:bCs/>
          <w:sz w:val="24"/>
          <w:szCs w:val="24"/>
        </w:rPr>
        <w:t xml:space="preserve">421 · Le chiavi e le serrature.</w:t>
      </w:r>
      <w:r>
        <w:rPr>
          <w:rFonts w:ascii="Barlow Semi Condensed" w:cs="Barlow Semi Condensed" w:eastAsia="Barlow Semi Condensed" w:hAnsi="Barlow Semi Condensed"/>
          <w:sz w:val="24"/>
          <w:szCs w:val="24"/>
        </w:rPr>
        <w:t xml:space="preserve"> I reperti minori dei luoghi (chiavi, serrature, ferramenta dai verbali): censimento e riesaminabilità. La microstoria materiale degli accessi — chi poteva entrare dove — passa per gli oggetti più piccoli del caso.</w:t>
      </w:r>
    </w:p>
    <w:p>
      <w:pPr>
        <w:spacing w:after="120" w:line="276"/>
        <w:jc w:val="both"/>
      </w:pPr>
      <w:r>
        <w:rPr>
          <w:rFonts w:ascii="Barlow Semi Condensed" w:cs="Barlow Semi Condensed" w:eastAsia="Barlow Semi Condensed" w:hAnsi="Barlow Semi Condensed"/>
          <w:b/>
          <w:bCs/>
          <w:sz w:val="24"/>
          <w:szCs w:val="24"/>
        </w:rPr>
        <w:t xml:space="preserve">422 · Gli oggetti personali.</w:t>
      </w:r>
      <w:r>
        <w:rPr>
          <w:rFonts w:ascii="Barlow Semi Condensed" w:cs="Barlow Semi Condensed" w:eastAsia="Barlow Semi Condensed" w:hAnsi="Barlow Semi Condensed"/>
          <w:sz w:val="24"/>
          <w:szCs w:val="24"/>
        </w:rPr>
        <w:t xml:space="preserve"> La tavola degli effetti personali repertati (gli occhiali, l'orologio, gli oggetti del ritrovamento): stato, custodia, storia. Gli oggetti dell'uomo si censiscono con rispetto e completezza: appartengono alla storia e alla famiglia prima che alla scienza.</w:t>
      </w:r>
    </w:p>
    <w:p>
      <w:pPr>
        <w:spacing w:after="120" w:line="276"/>
        <w:jc w:val="both"/>
      </w:pPr>
      <w:r>
        <w:rPr>
          <w:rFonts w:ascii="Barlow Semi Condensed" w:cs="Barlow Semi Condensed" w:eastAsia="Barlow Semi Condensed" w:hAnsi="Barlow Semi Condensed"/>
          <w:b/>
          <w:bCs/>
          <w:sz w:val="24"/>
          <w:szCs w:val="24"/>
        </w:rPr>
        <w:t xml:space="preserve">423 · I farmaci e la prigionia.</w:t>
      </w:r>
      <w:r>
        <w:rPr>
          <w:rFonts w:ascii="Barlow Semi Condensed" w:cs="Barlow Semi Condensed" w:eastAsia="Barlow Semi Condensed" w:hAnsi="Barlow Semi Condensed"/>
          <w:sz w:val="24"/>
          <w:szCs w:val="24"/>
        </w:rPr>
        <w:t xml:space="preserve"> Il capitolo documentato dei medicinali (le richieste nelle lettere, i reperti dei covi): la tavola farmacologica del caso — che cosa fu chiesto, trovato, repertato. Il raccordo con i registri delle farmacie (il blocco 256 dell'agenda): la salute del prigioniero come traccia materiale.</w:t>
      </w:r>
    </w:p>
    <w:p>
      <w:pPr>
        <w:spacing w:after="120" w:line="276"/>
        <w:jc w:val="both"/>
      </w:pPr>
      <w:r>
        <w:rPr>
          <w:rFonts w:ascii="Barlow Semi Condensed" w:cs="Barlow Semi Condensed" w:eastAsia="Barlow Semi Condensed" w:hAnsi="Barlow Semi Condensed"/>
          <w:b/>
          <w:bCs/>
          <w:sz w:val="24"/>
          <w:szCs w:val="24"/>
        </w:rPr>
        <w:t xml:space="preserve">424 · La macchina fotografica del sequestro.</w:t>
      </w:r>
      <w:r>
        <w:rPr>
          <w:rFonts w:ascii="Barlow Semi Condensed" w:cs="Barlow Semi Condensed" w:eastAsia="Barlow Semi Condensed" w:hAnsi="Barlow Semi Condensed"/>
          <w:sz w:val="24"/>
          <w:szCs w:val="24"/>
        </w:rPr>
        <w:t xml:space="preserve"> Gli oggetti della propaganda: la macchina della foto della prigione, il fondale, i materiali — che cosa il giudicato e i sequestri stabilirono, che cosa resta riesaminabile. La foto più celebre d'Italia ha una scena materiale: i suoi oggetti sono reperti.</w:t>
      </w:r>
    </w:p>
    <w:p>
      <w:pPr>
        <w:spacing w:after="120" w:line="276"/>
        <w:jc w:val="both"/>
      </w:pPr>
      <w:r>
        <w:rPr>
          <w:rFonts w:ascii="Barlow Semi Condensed" w:cs="Barlow Semi Condensed" w:eastAsia="Barlow Semi Condensed" w:hAnsi="Barlow Semi Condensed"/>
          <w:b/>
          <w:bCs/>
          <w:sz w:val="24"/>
          <w:szCs w:val="24"/>
        </w:rPr>
        <w:t xml:space="preserve">425 · L'analisi della foto della prigione.</w:t>
      </w:r>
      <w:r>
        <w:rPr>
          <w:rFonts w:ascii="Barlow Semi Condensed" w:cs="Barlow Semi Condensed" w:eastAsia="Barlow Semi Condensed" w:hAnsi="Barlow Semi Condensed"/>
          <w:sz w:val="24"/>
          <w:szCs w:val="24"/>
        </w:rPr>
        <w:t xml:space="preserve"> Il riesame moderno delle immagini della prigionia: metadati materiali (pellicola, sviluppo, formati), fotogrammetria del fondale, compatibilità coi luoghi. L'immagine come reperto fisico prima che come icona: misure, non suggestioni.</w:t>
      </w:r>
    </w:p>
    <w:p>
      <w:pPr>
        <w:spacing w:after="120" w:line="276"/>
        <w:jc w:val="both"/>
      </w:pPr>
      <w:r>
        <w:rPr>
          <w:rFonts w:ascii="Barlow Semi Condensed" w:cs="Barlow Semi Condensed" w:eastAsia="Barlow Semi Condensed" w:hAnsi="Barlow Semi Condensed"/>
          <w:b/>
          <w:bCs/>
          <w:sz w:val="24"/>
          <w:szCs w:val="24"/>
        </w:rPr>
        <w:t xml:space="preserve">426 · I nastri e i supporti del caso.</w:t>
      </w:r>
      <w:r>
        <w:rPr>
          <w:rFonts w:ascii="Barlow Semi Condensed" w:cs="Barlow Semi Condensed" w:eastAsia="Barlow Semi Condensed" w:hAnsi="Barlow Semi Condensed"/>
          <w:sz w:val="24"/>
          <w:szCs w:val="24"/>
        </w:rPr>
        <w:t xml:space="preserve"> I supporti magnetici repertati nel caso e nei covi (nastri, cassette dagli inventari): censimento, stato, restauro conservativo, lettura moderna. Il magnetico degrada più della carta: la sua urgenza è biologica quanto quella dei testimoni.</w:t>
      </w:r>
    </w:p>
    <w:p>
      <w:pPr>
        <w:spacing w:after="120" w:line="276"/>
        <w:jc w:val="both"/>
      </w:pPr>
      <w:r>
        <w:rPr>
          <w:rFonts w:ascii="Barlow Semi Condensed" w:cs="Barlow Semi Condensed" w:eastAsia="Barlow Semi Condensed" w:hAnsi="Barlow Semi Condensed"/>
          <w:b/>
          <w:bCs/>
          <w:sz w:val="24"/>
          <w:szCs w:val="24"/>
        </w:rPr>
        <w:t xml:space="preserve">427 · Le scritture sui muri e i luoghi segnati.</w:t>
      </w:r>
      <w:r>
        <w:rPr>
          <w:rFonts w:ascii="Barlow Semi Condensed" w:cs="Barlow Semi Condensed" w:eastAsia="Barlow Semi Condensed" w:hAnsi="Barlow Semi Condensed"/>
          <w:sz w:val="24"/>
          <w:szCs w:val="24"/>
        </w:rPr>
        <w:t xml:space="preserve"> Le tracce grafiche documentate nei luoghi del caso (scritte, segni, numerazioni dai verbali): la tavola con le fotografie d'epoca. La scena scriveva: ogni segno repertato nel 1978 è un micro-documento del suo uso.</w:t>
      </w:r>
    </w:p>
    <w:p>
      <w:pPr>
        <w:spacing w:after="120" w:line="276"/>
        <w:jc w:val="both"/>
      </w:pPr>
      <w:r>
        <w:rPr>
          <w:rFonts w:ascii="Barlow Semi Condensed" w:cs="Barlow Semi Condensed" w:eastAsia="Barlow Semi Condensed" w:hAnsi="Barlow Semi Condensed"/>
          <w:b/>
          <w:bCs/>
          <w:sz w:val="24"/>
          <w:szCs w:val="24"/>
        </w:rPr>
        <w:t xml:space="preserve">428 · Il carotaggio del covo.</w:t>
      </w:r>
      <w:r>
        <w:rPr>
          <w:rFonts w:ascii="Barlow Semi Condensed" w:cs="Barlow Semi Condensed" w:eastAsia="Barlow Semi Condensed" w:hAnsi="Barlow Semi Condensed"/>
          <w:sz w:val="24"/>
          <w:szCs w:val="24"/>
        </w:rPr>
        <w:t xml:space="preserve"> Il quesito edilizio di via Gradoli: le tracce materiali dell'uso 1975-1978 (modifiche, impianti, consumi — il raccordo col blocco 257 dell'agenda) ricostruite da perizie e documenti tecnici. L'appartamento come reperto stratificato: la sua archeologia leggera è ancora possibile sugli atti.</w:t>
      </w:r>
    </w:p>
    <w:p>
      <w:pPr>
        <w:spacing w:after="120" w:line="276"/>
        <w:jc w:val="both"/>
      </w:pPr>
      <w:r>
        <w:rPr>
          <w:rFonts w:ascii="Barlow Semi Condensed" w:cs="Barlow Semi Condensed" w:eastAsia="Barlow Semi Condensed" w:hAnsi="Barlow Semi Condensed"/>
          <w:b/>
          <w:bCs/>
          <w:sz w:val="24"/>
          <w:szCs w:val="24"/>
        </w:rPr>
        <w:t xml:space="preserve">429 · La sintesi materiale.</w:t>
      </w:r>
      <w:r>
        <w:rPr>
          <w:rFonts w:ascii="Barlow Semi Condensed" w:cs="Barlow Semi Condensed" w:eastAsia="Barlow Semi Condensed" w:hAnsi="Barlow Semi Condensed"/>
          <w:sz w:val="24"/>
          <w:szCs w:val="24"/>
        </w:rPr>
        <w:t xml:space="preserve"> Il prodotto della sezione: la relazione sullo stato delle tracce materiali — che cosa i reperti fisici del caso possono ancora dire con le scienze del 2026, che cosa hanno già detto, che cosa è perduto. Il gemello materiale della sintesi balistica: una pagina onesta, per tutti.</w:t>
      </w:r>
    </w:p>
    <w:p>
      <w:pPr>
        <w:spacing w:after="120" w:line="276"/>
        <w:jc w:val="both"/>
      </w:pPr>
      <w:r>
        <w:rPr>
          <w:rFonts w:ascii="Barlow Semi Condensed" w:cs="Barlow Semi Condensed" w:eastAsia="Barlow Semi Condensed" w:hAnsi="Barlow Semi Condensed"/>
          <w:b/>
          <w:bCs/>
          <w:sz w:val="24"/>
          <w:szCs w:val="24"/>
        </w:rPr>
        <w:t xml:space="preserve">430 · La tavola materiale.</w:t>
      </w:r>
      <w:r>
        <w:rPr>
          <w:rFonts w:ascii="Barlow Semi Condensed" w:cs="Barlow Semi Condensed" w:eastAsia="Barlow Semi Condensed" w:hAnsi="Barlow Semi Condensed"/>
          <w:sz w:val="24"/>
          <w:szCs w:val="24"/>
        </w:rPr>
        <w:t xml:space="preserve"> La chiusura: gli stati dei bersagli 406-429, i riesami calendarizzati, le urgenze conservative. Le cose del caso, contate — e protette prima che interrogate.</w:t>
      </w:r>
    </w:p>
    <w:p>
      <w:pPr>
        <w:pStyle w:val="Heading3"/>
        <w:spacing w:after="80" w:before="160"/>
      </w:pPr>
      <w:r>
        <w:rPr>
          <w:rFonts w:ascii="Barlow Semi Condensed" w:cs="Barlow Semi Condensed" w:eastAsia="Barlow Semi Condensed" w:hAnsi="Barlow Semi Condensed"/>
          <w:sz w:val="24"/>
          <w:szCs w:val="24"/>
        </w:rPr>
        <w:t xml:space="preserve">I reperti documentali e il governo del cantiere (blocchi 431-460)</w:t>
      </w:r>
    </w:p>
    <w:p>
      <w:pPr>
        <w:spacing w:after="120" w:line="276"/>
        <w:jc w:val="both"/>
      </w:pPr>
      <w:r>
        <w:rPr>
          <w:rFonts w:ascii="Barlow Semi Condensed" w:cs="Barlow Semi Condensed" w:eastAsia="Barlow Semi Condensed" w:hAnsi="Barlow Semi Condensed"/>
          <w:b/>
          <w:bCs/>
          <w:sz w:val="24"/>
          <w:szCs w:val="24"/>
        </w:rPr>
        <w:t xml:space="preserve">431 · La carta come reperto.</w:t>
      </w:r>
      <w:r>
        <w:rPr>
          <w:rFonts w:ascii="Barlow Semi Condensed" w:cs="Barlow Semi Condensed" w:eastAsia="Barlow Semi Condensed" w:hAnsi="Barlow Semi Condensed"/>
          <w:sz w:val="24"/>
          <w:szCs w:val="24"/>
        </w:rPr>
        <w:t xml:space="preserve"> Il principio della sottosezione: i documenti sequestrati del caso (i volantini, i comunicati, le carte dei covi) sono reperti materiali prima che testi — supporti, inchiostri, piegature, impronte. La Parte quinta ne leggerà i contenuti; qui si esamina la materia.</w:t>
      </w:r>
    </w:p>
    <w:p>
      <w:pPr>
        <w:spacing w:after="120" w:line="276"/>
        <w:jc w:val="both"/>
      </w:pPr>
      <w:r>
        <w:rPr>
          <w:rFonts w:ascii="Barlow Semi Condensed" w:cs="Barlow Semi Condensed" w:eastAsia="Barlow Semi Condensed" w:hAnsi="Barlow Semi Condensed"/>
          <w:b/>
          <w:bCs/>
          <w:sz w:val="24"/>
          <w:szCs w:val="24"/>
        </w:rPr>
        <w:t xml:space="preserve">432 · I comunicati come oggetti.</w:t>
      </w:r>
      <w:r>
        <w:rPr>
          <w:rFonts w:ascii="Barlow Semi Condensed" w:cs="Barlow Semi Condensed" w:eastAsia="Barlow Semi Condensed" w:hAnsi="Barlow Semi Condensed"/>
          <w:sz w:val="24"/>
          <w:szCs w:val="24"/>
        </w:rPr>
        <w:t xml:space="preserve"> Il fatto verificato: i nove comunicati autentici (dal n. 1 del 16 marzo al n. 9 del 5 maggio 1978) furono diffusi in copie ciclostilate multiple — non esiste un unico originale per ciascuno. Il censimento materiale: quali esemplari esistono, dove, con quali differenze di stampa fra le copie della stessa emissione.</w:t>
      </w:r>
    </w:p>
    <w:p>
      <w:pPr>
        <w:spacing w:after="120" w:line="276"/>
        <w:jc w:val="both"/>
      </w:pPr>
      <w:r>
        <w:rPr>
          <w:rFonts w:ascii="Barlow Semi Condensed" w:cs="Barlow Semi Condensed" w:eastAsia="Barlow Semi Condensed" w:hAnsi="Barlow Semi Condensed"/>
          <w:b/>
          <w:bCs/>
          <w:sz w:val="24"/>
          <w:szCs w:val="24"/>
        </w:rPr>
        <w:t xml:space="preserve">433 · La ciclostilatura.</w:t>
      </w:r>
      <w:r>
        <w:rPr>
          <w:rFonts w:ascii="Barlow Semi Condensed" w:cs="Barlow Semi Condensed" w:eastAsia="Barlow Semi Condensed" w:hAnsi="Barlow Semi Condensed"/>
          <w:sz w:val="24"/>
          <w:szCs w:val="24"/>
        </w:rPr>
        <w:t xml:space="preserve"> L'analisi tecnica della riproduzione: i ciclostili, le matrici, i segni di macchina sugli esemplari — la tavola tecnica delle emissioni. Ogni ciclostile lascia impronte: la meccanica della propaganda è un tracciante materiale mai esaurito.</w:t>
      </w:r>
    </w:p>
    <w:p>
      <w:pPr>
        <w:spacing w:after="120" w:line="276"/>
        <w:jc w:val="both"/>
      </w:pPr>
      <w:r>
        <w:rPr>
          <w:rFonts w:ascii="Barlow Semi Condensed" w:cs="Barlow Semi Condensed" w:eastAsia="Barlow Semi Condensed" w:hAnsi="Barlow Semi Condensed"/>
          <w:b/>
          <w:bCs/>
          <w:sz w:val="24"/>
          <w:szCs w:val="24"/>
        </w:rPr>
        <w:t xml:space="preserve">434 · Le testine e le macchine.</w:t>
      </w:r>
      <w:r>
        <w:rPr>
          <w:rFonts w:ascii="Barlow Semi Condensed" w:cs="Barlow Semi Condensed" w:eastAsia="Barlow Semi Condensed" w:hAnsi="Barlow Semi Condensed"/>
          <w:sz w:val="24"/>
          <w:szCs w:val="24"/>
        </w:rPr>
        <w:t xml:space="preserve"> Il capitolo verificato delle macchine per scrivere: le perizie giudiziarie esistono, e le ricostruzioni pubbliche indicano una IBM a testina rotante con carattere corsivo per i comunicati autentici — col dettaglio del modello da fissare in perizia, non in cronaca. Il bersaglio: il fascicolo dattilotecnico unico, dalle perizie digitalizzate.</w:t>
      </w:r>
    </w:p>
    <w:p>
      <w:pPr>
        <w:spacing w:after="120" w:line="276"/>
        <w:jc w:val="both"/>
      </w:pPr>
      <w:r>
        <w:rPr>
          <w:rFonts w:ascii="Barlow Semi Condensed" w:cs="Barlow Semi Condensed" w:eastAsia="Barlow Semi Condensed" w:hAnsi="Barlow Semi Condensed"/>
          <w:b/>
          <w:bCs/>
          <w:sz w:val="24"/>
          <w:szCs w:val="24"/>
        </w:rPr>
        <w:t xml:space="preserve">435 · Il borsello, esaminato.</w:t>
      </w:r>
      <w:r>
        <w:rPr>
          <w:rFonts w:ascii="Barlow Semi Condensed" w:cs="Barlow Semi Condensed" w:eastAsia="Barlow Semi Condensed" w:hAnsi="Barlow Semi Condensed"/>
          <w:sz w:val="24"/>
          <w:szCs w:val="24"/>
        </w:rPr>
        <w:t xml:space="preserve"> I reperti Chichiarelli (il borsello del taxi, 14 aprile 1979: le schede false, la testina, le munizioni): il riesame moderno — impronte, biologia da contatto, provenienze industriali degli oggetti. E la divergenza registrata dalle fonti sulla testina (compatibile o no coi falsi comunicati) da chiudere in perizia: è esattamente il genere di nodo che solo il reperto scioglie.</w:t>
      </w:r>
    </w:p>
    <w:p>
      <w:pPr>
        <w:spacing w:after="120" w:line="276"/>
        <w:jc w:val="both"/>
      </w:pPr>
      <w:r>
        <w:rPr>
          <w:rFonts w:ascii="Barlow Semi Condensed" w:cs="Barlow Semi Condensed" w:eastAsia="Barlow Semi Condensed" w:hAnsi="Barlow Semi Condensed"/>
          <w:b/>
          <w:bCs/>
          <w:sz w:val="24"/>
          <w:szCs w:val="24"/>
        </w:rPr>
        <w:t xml:space="preserve">436 · Le schede del borsello.</w:t>
      </w:r>
      <w:r>
        <w:rPr>
          <w:rFonts w:ascii="Barlow Semi Condensed" w:cs="Barlow Semi Condensed" w:eastAsia="Barlow Semi Condensed" w:hAnsi="Barlow Semi Condensed"/>
          <w:sz w:val="24"/>
          <w:szCs w:val="24"/>
        </w:rPr>
        <w:t xml:space="preserve"> Il contenuto informativo come reperto: le false schede brigatiste del borsello — supporti, battiture, contenuti — nella doppia natura di falso materiale e documento di conoscenze vere. La scheda falsa che sa cose vere è il paradosso documentale del caso: si esamina con entrambe le lenti.</w:t>
      </w:r>
    </w:p>
    <w:p>
      <w:pPr>
        <w:spacing w:after="120" w:line="276"/>
        <w:jc w:val="both"/>
      </w:pPr>
      <w:r>
        <w:rPr>
          <w:rFonts w:ascii="Barlow Semi Condensed" w:cs="Barlow Semi Condensed" w:eastAsia="Barlow Semi Condensed" w:hAnsi="Barlow Semi Condensed"/>
          <w:b/>
          <w:bCs/>
          <w:sz w:val="24"/>
          <w:szCs w:val="24"/>
        </w:rPr>
        <w:t xml:space="preserve">437 · I volantini del 18 aprile.</w:t>
      </w:r>
      <w:r>
        <w:rPr>
          <w:rFonts w:ascii="Barlow Semi Condensed" w:cs="Barlow Semi Condensed" w:eastAsia="Barlow Semi Condensed" w:hAnsi="Barlow Semi Condensed"/>
          <w:sz w:val="24"/>
          <w:szCs w:val="24"/>
        </w:rPr>
        <w:t xml:space="preserve"> Gli esemplari del falso comunicato n. 7: censimento delle copie conservate, esami materiali comparati coi comunicati autentici e col falso n. 10 segnalato dalle fonti. La famiglia dei falsi come corpus materiale: le sue impronte di macchina sono la sua genealogia.</w:t>
      </w:r>
    </w:p>
    <w:p>
      <w:pPr>
        <w:spacing w:after="120" w:line="276"/>
        <w:jc w:val="both"/>
      </w:pPr>
      <w:r>
        <w:rPr>
          <w:rFonts w:ascii="Barlow Semi Condensed" w:cs="Barlow Semi Condensed" w:eastAsia="Barlow Semi Condensed" w:hAnsi="Barlow Semi Condensed"/>
          <w:b/>
          <w:bCs/>
          <w:sz w:val="24"/>
          <w:szCs w:val="24"/>
        </w:rPr>
        <w:t xml:space="preserve">438 · Le carte dei covi, materialmente.</w:t>
      </w:r>
      <w:r>
        <w:rPr>
          <w:rFonts w:ascii="Barlow Semi Condensed" w:cs="Barlow Semi Condensed" w:eastAsia="Barlow Semi Condensed" w:hAnsi="Barlow Semi Condensed"/>
          <w:sz w:val="24"/>
          <w:szCs w:val="24"/>
        </w:rPr>
        <w:t xml:space="preserve"> I documenti sequestrati nei covi (via Gradoli in testa) come oggetti: censimento materiale dagli inventari digitalizzati, stato, riesaminabilità (impronte sulle carte, biologia sui bordi). L'archivio brigatista sequestrato è un giacimento a doppia lettura: qui la materia, in Parte quinta i testi.</w:t>
      </w:r>
    </w:p>
    <w:p>
      <w:pPr>
        <w:spacing w:after="120" w:line="276"/>
        <w:jc w:val="both"/>
      </w:pPr>
      <w:r>
        <w:rPr>
          <w:rFonts w:ascii="Barlow Semi Condensed" w:cs="Barlow Semi Condensed" w:eastAsia="Barlow Semi Condensed" w:hAnsi="Barlow Semi Condensed"/>
          <w:b/>
          <w:bCs/>
          <w:sz w:val="24"/>
          <w:szCs w:val="24"/>
        </w:rPr>
        <w:t xml:space="preserve">439 · Le impronte sulla carta.</w:t>
      </w:r>
      <w:r>
        <w:rPr>
          <w:rFonts w:ascii="Barlow Semi Condensed" w:cs="Barlow Semi Condensed" w:eastAsia="Barlow Semi Condensed" w:hAnsi="Barlow Semi Condensed"/>
          <w:sz w:val="24"/>
          <w:szCs w:val="24"/>
        </w:rPr>
        <w:t xml:space="preserve"> Il programma dedicato: le tecniche attuali per impronte latenti su carta d'epoca applicate ai documenti chiave (comunicati, carte dei covi, il borsello). La carta trattiene per decenni: ogni foglio del 1978 è un potenziale teste muto — e lo schedario del blocco 97 dell'agenda lo aspetta.</w:t>
      </w:r>
    </w:p>
    <w:p>
      <w:pPr>
        <w:spacing w:after="120" w:line="276"/>
        <w:jc w:val="both"/>
      </w:pPr>
      <w:r>
        <w:rPr>
          <w:rFonts w:ascii="Barlow Semi Condensed" w:cs="Barlow Semi Condensed" w:eastAsia="Barlow Semi Condensed" w:hAnsi="Barlow Semi Condensed"/>
          <w:b/>
          <w:bCs/>
          <w:sz w:val="24"/>
          <w:szCs w:val="24"/>
        </w:rPr>
        <w:t xml:space="preserve">440 · Gli inchiostri e le datazioni relative.</w:t>
      </w:r>
      <w:r>
        <w:rPr>
          <w:rFonts w:ascii="Barlow Semi Condensed" w:cs="Barlow Semi Condensed" w:eastAsia="Barlow Semi Condensed" w:hAnsi="Barlow Semi Condensed"/>
          <w:sz w:val="24"/>
          <w:szCs w:val="24"/>
        </w:rPr>
        <w:t xml:space="preserve"> Il parere sulle datazioni: che cosa la chimica degli inchiostri può dire sulle sequenze di scrittura (prima/dopo, stessa penna) nei documenti dubbi del caso — con l'onestà del blocco 206 dell'agenda sulle finestre temporali. Le datazioni relative valgono; le assolute si promettono raramente.</w:t>
      </w:r>
    </w:p>
    <w:p>
      <w:pPr>
        <w:spacing w:after="120" w:line="276"/>
        <w:jc w:val="both"/>
      </w:pPr>
      <w:r>
        <w:rPr>
          <w:rFonts w:ascii="Barlow Semi Condensed" w:cs="Barlow Semi Condensed" w:eastAsia="Barlow Semi Condensed" w:hAnsi="Barlow Semi Condensed"/>
          <w:b/>
          <w:bCs/>
          <w:sz w:val="24"/>
          <w:szCs w:val="24"/>
        </w:rPr>
        <w:t xml:space="preserve">441 · Il registro dei falsi materiali.</w:t>
      </w:r>
      <w:r>
        <w:rPr>
          <w:rFonts w:ascii="Barlow Semi Condensed" w:cs="Barlow Semi Condensed" w:eastAsia="Barlow Semi Condensed" w:hAnsi="Barlow Semi Condensed"/>
          <w:sz w:val="24"/>
          <w:szCs w:val="24"/>
        </w:rPr>
        <w:t xml:space="preserve"> Il censimento dei falsi documentali del caso (il n. 7, il n. 10 segnalato, gli apocrifi successivi): la tavola dei falsi con le loro perizie — il gemello materiale del blocco 308. Il caso ha una storia di falsi: il suo catalogo tecnico è una difesa permanente.</w:t>
      </w:r>
    </w:p>
    <w:p>
      <w:pPr>
        <w:spacing w:after="120" w:line="276"/>
        <w:jc w:val="both"/>
      </w:pPr>
      <w:r>
        <w:rPr>
          <w:rFonts w:ascii="Barlow Semi Condensed" w:cs="Barlow Semi Condensed" w:eastAsia="Barlow Semi Condensed" w:hAnsi="Barlow Semi Condensed"/>
          <w:b/>
          <w:bCs/>
          <w:sz w:val="24"/>
          <w:szCs w:val="24"/>
        </w:rPr>
        <w:t xml:space="preserve">442 · Le buste e i recapiti.</w:t>
      </w:r>
      <w:r>
        <w:rPr>
          <w:rFonts w:ascii="Barlow Semi Condensed" w:cs="Barlow Semi Condensed" w:eastAsia="Barlow Semi Condensed" w:hAnsi="Barlow Semi Condensed"/>
          <w:sz w:val="24"/>
          <w:szCs w:val="24"/>
        </w:rPr>
        <w:t xml:space="preserve"> La materialità dei recapiti: le buste delle lettere, i timbri postali, i luoghi di ritrovamento — la tavola materiale della logistica dei recapiti (il raccordo col quesito 9). Ogni busta è un atto logistico documentato: la rete dei recapiti si disegna dagli oggetti.</w:t>
      </w:r>
    </w:p>
    <w:p>
      <w:pPr>
        <w:spacing w:after="120" w:line="276"/>
        <w:jc w:val="both"/>
      </w:pPr>
      <w:r>
        <w:rPr>
          <w:rFonts w:ascii="Barlow Semi Condensed" w:cs="Barlow Semi Condensed" w:eastAsia="Barlow Semi Condensed" w:hAnsi="Barlow Semi Condensed"/>
          <w:b/>
          <w:bCs/>
          <w:sz w:val="24"/>
          <w:szCs w:val="24"/>
        </w:rPr>
        <w:t xml:space="preserve">443 · La conservazione della carta del caso.</w:t>
      </w:r>
      <w:r>
        <w:rPr>
          <w:rFonts w:ascii="Barlow Semi Condensed" w:cs="Barlow Semi Condensed" w:eastAsia="Barlow Semi Condensed" w:hAnsi="Barlow Semi Condensed"/>
          <w:sz w:val="24"/>
          <w:szCs w:val="24"/>
        </w:rPr>
        <w:t xml:space="preserve"> Il programma conservativo per i reperti cartacei: condizioni, restauri, digitalizzazione ad alta definizione con luce multispettrale. La carta del 1978 ha cinquant'anni: il multispettrale vede ciò che l'occhio non vede più — e ogni scansione è un esame non distruttivo già fatto.</w:t>
      </w:r>
    </w:p>
    <w:p>
      <w:pPr>
        <w:spacing w:after="120" w:line="276"/>
        <w:jc w:val="both"/>
      </w:pPr>
      <w:r>
        <w:rPr>
          <w:rFonts w:ascii="Barlow Semi Condensed" w:cs="Barlow Semi Condensed" w:eastAsia="Barlow Semi Condensed" w:hAnsi="Barlow Semi Condensed"/>
          <w:b/>
          <w:bCs/>
          <w:sz w:val="24"/>
          <w:szCs w:val="24"/>
        </w:rPr>
        <w:t xml:space="preserve">444 · Il multispettrale sistematico.</w:t>
      </w:r>
      <w:r>
        <w:rPr>
          <w:rFonts w:ascii="Barlow Semi Condensed" w:cs="Barlow Semi Condensed" w:eastAsia="Barlow Semi Condensed" w:hAnsi="Barlow Semi Condensed"/>
          <w:sz w:val="24"/>
          <w:szCs w:val="24"/>
        </w:rPr>
        <w:t xml:space="preserve"> La campagna: l'imaging multispettrale su tutti i documenti chiave — cancellature, sottoscritture, tracce latenti. Il bersaglio a più alto rendimento della sottosezione: economico, non invasivo, potenzialmente rivelatore su ogni foglio.</w:t>
      </w:r>
    </w:p>
    <w:p>
      <w:pPr>
        <w:spacing w:after="120" w:line="276"/>
        <w:jc w:val="both"/>
      </w:pPr>
      <w:r>
        <w:rPr>
          <w:rFonts w:ascii="Barlow Semi Condensed" w:cs="Barlow Semi Condensed" w:eastAsia="Barlow Semi Condensed" w:hAnsi="Barlow Semi Condensed"/>
          <w:b/>
          <w:bCs/>
          <w:sz w:val="24"/>
          <w:szCs w:val="24"/>
        </w:rPr>
        <w:t xml:space="preserve">445 · I sigilli e i timbri.</w:t>
      </w:r>
      <w:r>
        <w:rPr>
          <w:rFonts w:ascii="Barlow Semi Condensed" w:cs="Barlow Semi Condensed" w:eastAsia="Barlow Semi Condensed" w:hAnsi="Barlow Semi Condensed"/>
          <w:sz w:val="24"/>
          <w:szCs w:val="24"/>
        </w:rPr>
        <w:t xml:space="preserve"> Gli elementi di autenticazione d'epoca sui documenti del caso (timbri, sigle, protocolli): la tavola dei segni di autenticità per il riconoscimento dei falsi futuri. Il caso attirerà falsari finché vivrà: il suo atlante dei segni veri è un vaccino.</w:t>
      </w:r>
    </w:p>
    <w:p>
      <w:pPr>
        <w:spacing w:after="120" w:line="276"/>
        <w:jc w:val="both"/>
      </w:pPr>
      <w:r>
        <w:rPr>
          <w:rFonts w:ascii="Barlow Semi Condensed" w:cs="Barlow Semi Condensed" w:eastAsia="Barlow Semi Condensed" w:hAnsi="Barlow Semi Condensed"/>
          <w:b/>
          <w:bCs/>
          <w:sz w:val="24"/>
          <w:szCs w:val="24"/>
        </w:rPr>
        <w:t xml:space="preserve">446 · Il governo: le priorità del cantiere reperti.</w:t>
      </w:r>
      <w:r>
        <w:rPr>
          <w:rFonts w:ascii="Barlow Semi Condensed" w:cs="Barlow Semi Condensed" w:eastAsia="Barlow Semi Condensed" w:hAnsi="Barlow Semi Condensed"/>
          <w:sz w:val="24"/>
          <w:szCs w:val="24"/>
        </w:rPr>
        <w:t xml:space="preserve"> La graduatoria finale degli esami: il caricatore e i mai-esaminati in testa, poi i multispettrali, poi le ripetizioni migliorative. La coda pubblica degli esami con i criteri dichiarati: il cantiere si giudica dalla sua coda.</w:t>
      </w:r>
    </w:p>
    <w:p>
      <w:pPr>
        <w:spacing w:after="120" w:line="276"/>
        <w:jc w:val="both"/>
      </w:pPr>
      <w:r>
        <w:rPr>
          <w:rFonts w:ascii="Barlow Semi Condensed" w:cs="Barlow Semi Condensed" w:eastAsia="Barlow Semi Condensed" w:hAnsi="Barlow Semi Condensed"/>
          <w:b/>
          <w:bCs/>
          <w:sz w:val="24"/>
          <w:szCs w:val="24"/>
        </w:rPr>
        <w:t xml:space="preserve">447 · Il governo: il bilancio tecnico.</w:t>
      </w:r>
      <w:r>
        <w:rPr>
          <w:rFonts w:ascii="Barlow Semi Condensed" w:cs="Barlow Semi Condensed" w:eastAsia="Barlow Semi Condensed" w:hAnsi="Barlow Semi Condensed"/>
          <w:sz w:val="24"/>
          <w:szCs w:val="24"/>
        </w:rPr>
        <w:t xml:space="preserve"> I costi del cantiere reperti: perizie, laboratori, conservazione — il bilancio dichiarato per campagna (la regola del blocco 286 dell'agenda). La scienza costa; la trasparenza dei costi è metà della sua difendibilità.</w:t>
      </w:r>
    </w:p>
    <w:p>
      <w:pPr>
        <w:spacing w:after="120" w:line="276"/>
        <w:jc w:val="both"/>
      </w:pPr>
      <w:r>
        <w:rPr>
          <w:rFonts w:ascii="Barlow Semi Condensed" w:cs="Barlow Semi Condensed" w:eastAsia="Barlow Semi Condensed" w:hAnsi="Barlow Semi Condensed"/>
          <w:b/>
          <w:bCs/>
          <w:sz w:val="24"/>
          <w:szCs w:val="24"/>
        </w:rPr>
        <w:t xml:space="preserve">448 · Il governo: i rapporti con la procura.</w:t>
      </w:r>
      <w:r>
        <w:rPr>
          <w:rFonts w:ascii="Barlow Semi Condensed" w:cs="Barlow Semi Condensed" w:eastAsia="Barlow Semi Condensed" w:hAnsi="Barlow Semi Condensed"/>
          <w:sz w:val="24"/>
          <w:szCs w:val="24"/>
        </w:rPr>
        <w:t xml:space="preserve"> Il protocollo operativo con l'autorità giudiziaria per ogni esame su corpi di reato: proposta scritta, attesa, esecuzione in sede propria (il blocco 348, come regola permanente). Il cantiere dei reperti vive di questa liturgia: proporre bene, attendere sempre.</w:t>
      </w:r>
    </w:p>
    <w:p>
      <w:pPr>
        <w:spacing w:after="120" w:line="276"/>
        <w:jc w:val="both"/>
      </w:pPr>
      <w:r>
        <w:rPr>
          <w:rFonts w:ascii="Barlow Semi Condensed" w:cs="Barlow Semi Condensed" w:eastAsia="Barlow Semi Condensed" w:hAnsi="Barlow Semi Condensed"/>
          <w:b/>
          <w:bCs/>
          <w:sz w:val="24"/>
          <w:szCs w:val="24"/>
        </w:rPr>
        <w:t xml:space="preserve">449 · La sintesi dei reperti.</w:t>
      </w:r>
      <w:r>
        <w:rPr>
          <w:rFonts w:ascii="Barlow Semi Condensed" w:cs="Barlow Semi Condensed" w:eastAsia="Barlow Semi Condensed" w:hAnsi="Barlow Semi Condensed"/>
          <w:sz w:val="24"/>
          <w:szCs w:val="24"/>
        </w:rPr>
        <w:t xml:space="preserve"> Il prodotto della parte: la relazione integrale sullo stato dei reperti del caso — l'inventario, le catene, gli esami, le urgenze — pubblicata e mantenuta. Il caso Moro avrà per la prima volta la contabilità completa dei suoi oggetti: è il regalo della parte alla Repubblica.</w:t>
      </w:r>
    </w:p>
    <w:p>
      <w:pPr>
        <w:spacing w:after="120" w:line="276"/>
        <w:jc w:val="both"/>
      </w:pPr>
      <w:r>
        <w:rPr>
          <w:rFonts w:ascii="Barlow Semi Condensed" w:cs="Barlow Semi Condensed" w:eastAsia="Barlow Semi Condensed" w:hAnsi="Barlow Semi Condensed"/>
          <w:b/>
          <w:bCs/>
          <w:sz w:val="24"/>
          <w:szCs w:val="24"/>
        </w:rPr>
        <w:t xml:space="preserve">450 · Il quattrocentocinquantesimo blocco.</w:t>
      </w:r>
      <w:r>
        <w:rPr>
          <w:rFonts w:ascii="Barlow Semi Condensed" w:cs="Barlow Semi Condensed" w:eastAsia="Barlow Semi Condensed" w:hAnsi="Barlow Semi Condensed"/>
          <w:sz w:val="24"/>
          <w:szCs w:val="24"/>
        </w:rPr>
        <w:t xml:space="preserve"> Il giro di boa materiale dell'opera: quattro cantieri e mezzo compiuti, e una certezza di metodo — gli oggetti hanno retto meglio delle memorie. Il resto dell'opera lavora testi, immagini, scienze e atti: ma tornerà sempre qui, dove le cose non ritrattano.</w:t>
      </w:r>
    </w:p>
    <w:p>
      <w:pPr>
        <w:spacing w:after="120" w:line="276"/>
        <w:jc w:val="both"/>
      </w:pPr>
      <w:r>
        <w:rPr>
          <w:rFonts w:ascii="Barlow Semi Condensed" w:cs="Barlow Semi Condensed" w:eastAsia="Barlow Semi Condensed" w:hAnsi="Barlow Semi Condensed"/>
          <w:b/>
          <w:bCs/>
          <w:sz w:val="24"/>
          <w:szCs w:val="24"/>
        </w:rPr>
        <w:t xml:space="preserve">451 · Il deposito unico ideale.</w:t>
      </w:r>
      <w:r>
        <w:rPr>
          <w:rFonts w:ascii="Barlow Semi Condensed" w:cs="Barlow Semi Condensed" w:eastAsia="Barlow Semi Condensed" w:hAnsi="Barlow Semi Condensed"/>
          <w:sz w:val="24"/>
          <w:szCs w:val="24"/>
        </w:rPr>
        <w:t xml:space="preserve"> La proposta istituzionale: la concentrazione conservativa dei reperti del caso in condizioni museali-forensi unificate, d'intesa fra giustizia, archivi e musei. Un deposito unico con standard unici: la proposta si scrive, si motiva e si consegna alle autorità — decidere spetta a loro.</w:t>
      </w:r>
    </w:p>
    <w:p>
      <w:pPr>
        <w:spacing w:after="120" w:line="276"/>
        <w:jc w:val="both"/>
      </w:pPr>
      <w:r>
        <w:rPr>
          <w:rFonts w:ascii="Barlow Semi Condensed" w:cs="Barlow Semi Condensed" w:eastAsia="Barlow Semi Condensed" w:hAnsi="Barlow Semi Condensed"/>
          <w:b/>
          <w:bCs/>
          <w:sz w:val="24"/>
          <w:szCs w:val="24"/>
        </w:rPr>
        <w:t xml:space="preserve">452 · La mostra dei reperti, un giorno.</w:t>
      </w:r>
      <w:r>
        <w:rPr>
          <w:rFonts w:ascii="Barlow Semi Condensed" w:cs="Barlow Semi Condensed" w:eastAsia="Barlow Semi Condensed" w:hAnsi="Barlow Semi Condensed"/>
          <w:sz w:val="24"/>
          <w:szCs w:val="24"/>
        </w:rPr>
        <w:t xml:space="preserve"> Il progetto culturale condizionato: l'esposizione pubblica documentata dei reperti del caso — quando la giustizia lo consenta — con l'apparato del corpus. La Renault 4 è già in un museo: il resto del caso merita, un giorno, la stessa dignità pubblica.</w:t>
      </w:r>
    </w:p>
    <w:p>
      <w:pPr>
        <w:spacing w:after="120" w:line="276"/>
        <w:jc w:val="both"/>
      </w:pPr>
      <w:r>
        <w:rPr>
          <w:rFonts w:ascii="Barlow Semi Condensed" w:cs="Barlow Semi Condensed" w:eastAsia="Barlow Semi Condensed" w:hAnsi="Barlow Semi Condensed"/>
          <w:b/>
          <w:bCs/>
          <w:sz w:val="24"/>
          <w:szCs w:val="24"/>
        </w:rPr>
        <w:t xml:space="preserve">453 · I reperti e la scuola.</w:t>
      </w:r>
      <w:r>
        <w:rPr>
          <w:rFonts w:ascii="Barlow Semi Condensed" w:cs="Barlow Semi Condensed" w:eastAsia="Barlow Semi Condensed" w:hAnsi="Barlow Semi Condensed"/>
          <w:sz w:val="24"/>
          <w:szCs w:val="24"/>
        </w:rPr>
        <w:t xml:space="preserve"> Il progetto didattico: i materiali del cantiere reperti (l'inventario, le schede, le sintesi) in versione divulgativa per le scuole. La memoria repubblicana si insegna anche con gli oggetti: il cantiere prepara la versione che i ragazzi possono leggere.</w:t>
      </w:r>
    </w:p>
    <w:p>
      <w:pPr>
        <w:spacing w:after="120" w:line="276"/>
        <w:jc w:val="both"/>
      </w:pPr>
      <w:r>
        <w:rPr>
          <w:rFonts w:ascii="Barlow Semi Condensed" w:cs="Barlow Semi Condensed" w:eastAsia="Barlow Semi Condensed" w:hAnsi="Barlow Semi Condensed"/>
          <w:b/>
          <w:bCs/>
          <w:sz w:val="24"/>
          <w:szCs w:val="24"/>
        </w:rPr>
        <w:t xml:space="preserve">454 · Il raccordo con le piste.</w:t>
      </w:r>
      <w:r>
        <w:rPr>
          <w:rFonts w:ascii="Barlow Semi Condensed" w:cs="Barlow Semi Condensed" w:eastAsia="Barlow Semi Condensed" w:hAnsi="Barlow Semi Condensed"/>
          <w:sz w:val="24"/>
          <w:szCs w:val="24"/>
        </w:rPr>
        <w:t xml:space="preserve"> La tavola di corrispondenza della parte con le piste del programma: i reperti servono PN-1 (le terze presenze), PN-2 (il caricatore), le matrici balistiche e genetiche. Ogni esame dichiara la sua pista: nessun bersaglio orfano, nemmeno in laboratorio.</w:t>
      </w:r>
    </w:p>
    <w:p>
      <w:pPr>
        <w:spacing w:after="120" w:line="276"/>
        <w:jc w:val="both"/>
      </w:pPr>
      <w:r>
        <w:rPr>
          <w:rFonts w:ascii="Barlow Semi Condensed" w:cs="Barlow Semi Condensed" w:eastAsia="Barlow Semi Condensed" w:hAnsi="Barlow Semi Condensed"/>
          <w:b/>
          <w:bCs/>
          <w:sz w:val="24"/>
          <w:szCs w:val="24"/>
        </w:rPr>
        <w:t xml:space="preserve">455 · Il raccordo col manuale e con l'agenda.</w:t>
      </w:r>
      <w:r>
        <w:rPr>
          <w:rFonts w:ascii="Barlow Semi Condensed" w:cs="Barlow Semi Condensed" w:eastAsia="Barlow Semi Condensed" w:hAnsi="Barlow Semi Condensed"/>
          <w:sz w:val="24"/>
          <w:szCs w:val="24"/>
        </w:rPr>
        <w:t xml:space="preserve"> Il rinvio esecutivo: la parte esegue la serie terza del manuale (i protocolli forensi) e la serie quarta dell'agenda (i bersagli), alla scala del cantiere. La tripla architettura, ancora: dove, come, quanto.</w:t>
      </w:r>
    </w:p>
    <w:p>
      <w:pPr>
        <w:spacing w:after="120" w:line="276"/>
        <w:jc w:val="both"/>
      </w:pPr>
      <w:r>
        <w:rPr>
          <w:rFonts w:ascii="Barlow Semi Condensed" w:cs="Barlow Semi Condensed" w:eastAsia="Barlow Semi Condensed" w:hAnsi="Barlow Semi Condensed"/>
          <w:b/>
          <w:bCs/>
          <w:sz w:val="24"/>
          <w:szCs w:val="24"/>
        </w:rPr>
        <w:t xml:space="preserve">456 · I vuoti dei reperti.</w:t>
      </w:r>
      <w:r>
        <w:rPr>
          <w:rFonts w:ascii="Barlow Semi Condensed" w:cs="Barlow Semi Condensed" w:eastAsia="Barlow Semi Condensed" w:hAnsi="Barlow Semi Condensed"/>
          <w:sz w:val="24"/>
          <w:szCs w:val="24"/>
        </w:rPr>
        <w:t xml:space="preserve"> Il verbale dei vuoti della parte: i reperti distrutti, i mai repertati, i perduti — la mappa di ciò che la scienza non potrà mai più chiedere. Lo Stato Zero materiale del caso, scritto senza recriminazione: è il perimetro, non il processo.</w:t>
      </w:r>
    </w:p>
    <w:p>
      <w:pPr>
        <w:spacing w:after="120" w:line="276"/>
        <w:jc w:val="both"/>
      </w:pPr>
      <w:r>
        <w:rPr>
          <w:rFonts w:ascii="Barlow Semi Condensed" w:cs="Barlow Semi Condensed" w:eastAsia="Barlow Semi Condensed" w:hAnsi="Barlow Semi Condensed"/>
          <w:b/>
          <w:bCs/>
          <w:sz w:val="24"/>
          <w:szCs w:val="24"/>
        </w:rPr>
        <w:t xml:space="preserve">457 · Le borse, per sempre aperte.</w:t>
      </w:r>
      <w:r>
        <w:rPr>
          <w:rFonts w:ascii="Barlow Semi Condensed" w:cs="Barlow Semi Condensed" w:eastAsia="Barlow Semi Condensed" w:hAnsi="Barlow Semi Condensed"/>
          <w:sz w:val="24"/>
          <w:szCs w:val="24"/>
        </w:rPr>
        <w:t xml:space="preserve"> Il vuoto più celebre, trattato a parte coi numeri verificati: cinque borse quella mattina secondo la testimonianza della vedova (documenti riservati, medicinali, ritagli e tesi), parte rinvenute sulla 130, due asportate secondo la ricostruzione prevalente (una ventiquattrore scura e una cartella di pelle marrone, con varianti fra le fonti dichiarate) e mai ritrovate — il censimento definitivo di ogni menzione, ricerca e ipotesi documentale (il blocco 95 dell'agenda, alla scala del cantiere), chiuso da uno Stato Zero formale finché tale resti. Il vuoto più raccontato d'Italia ha finalmente il suo perimetro esatto.</w:t>
      </w:r>
    </w:p>
    <w:p>
      <w:pPr>
        <w:spacing w:after="120" w:line="276"/>
        <w:jc w:val="both"/>
      </w:pPr>
      <w:r>
        <w:rPr>
          <w:rFonts w:ascii="Barlow Semi Condensed" w:cs="Barlow Semi Condensed" w:eastAsia="Barlow Semi Condensed" w:hAnsi="Barlow Semi Condensed"/>
          <w:b/>
          <w:bCs/>
          <w:sz w:val="24"/>
          <w:szCs w:val="24"/>
        </w:rPr>
        <w:t xml:space="preserve">458 · Il registro degli esiti.</w:t>
      </w:r>
      <w:r>
        <w:rPr>
          <w:rFonts w:ascii="Barlow Semi Condensed" w:cs="Barlow Semi Condensed" w:eastAsia="Barlow Semi Condensed" w:hAnsi="Barlow Semi Condensed"/>
          <w:sz w:val="24"/>
          <w:szCs w:val="24"/>
        </w:rPr>
        <w:t xml:space="preserve"> La contabilità permanente: ogni esame della parte con il suo esito — confermato, rivisto, orfano, impossibile — nel registro pubblico del cantiere. I reperti si chiudono come tutto il resto: contando.</w:t>
      </w:r>
    </w:p>
    <w:p>
      <w:pPr>
        <w:spacing w:after="120" w:line="276"/>
        <w:jc w:val="both"/>
      </w:pPr>
      <w:r>
        <w:rPr>
          <w:rFonts w:ascii="Barlow Semi Condensed" w:cs="Barlow Semi Condensed" w:eastAsia="Barlow Semi Condensed" w:hAnsi="Barlow Semi Condensed"/>
          <w:b/>
          <w:bCs/>
          <w:sz w:val="24"/>
          <w:szCs w:val="24"/>
        </w:rPr>
        <w:t xml:space="preserve">459 · La revisione periodica.</w:t>
      </w:r>
      <w:r>
        <w:rPr>
          <w:rFonts w:ascii="Barlow Semi Condensed" w:cs="Barlow Semi Condensed" w:eastAsia="Barlow Semi Condensed" w:hAnsi="Barlow Semi Condensed"/>
          <w:sz w:val="24"/>
          <w:szCs w:val="24"/>
        </w:rPr>
        <w:t xml:space="preserve"> La regola di aggiornamento: la parte si rilegge a ogni progresso tecnico rilevante (nuove tecniche, nuove banche) — e i pareri di praticabilità si rinnovano. Il cantiere dei reperti non finisce: si ripresenta a ogni generazione di strumenti.</w:t>
      </w:r>
    </w:p>
    <w:p>
      <w:pPr>
        <w:spacing w:after="120" w:line="276"/>
        <w:jc w:val="both"/>
      </w:pPr>
      <w:r>
        <w:rPr>
          <w:rFonts w:ascii="Barlow Semi Condensed" w:cs="Barlow Semi Condensed" w:eastAsia="Barlow Semi Condensed" w:hAnsi="Barlow Semi Condensed"/>
          <w:b/>
          <w:bCs/>
          <w:sz w:val="24"/>
          <w:szCs w:val="24"/>
        </w:rPr>
        <w:t xml:space="preserve">460 · La tavola quarta.</w:t>
      </w:r>
      <w:r>
        <w:rPr>
          <w:rFonts w:ascii="Barlow Semi Condensed" w:cs="Barlow Semi Condensed" w:eastAsia="Barlow Semi Condensed" w:hAnsi="Barlow Semi Condensed"/>
          <w:sz w:val="24"/>
          <w:szCs w:val="24"/>
        </w:rPr>
        <w:t xml:space="preserve"> La chiusura della parte: gli stati di tutti i bersagli (331-459), gli esami pendenti, le proposte depositate. Il cantiere delle cose consegna la sua contabilità — quarantott'anni dopo, gli oggetti hanno ancora domande davanti.</w:t>
      </w:r>
    </w:p>
    <w:p>
      <w:pPr>
        <w:pStyle w:val="Heading2"/>
        <w:spacing w:after="100" w:before="200"/>
      </w:pPr>
      <w:r>
        <w:rPr>
          <w:rFonts w:ascii="Barlow Semi Condensed" w:cs="Barlow Semi Condensed" w:eastAsia="Barlow Semi Condensed" w:hAnsi="Barlow Semi Condensed"/>
          <w:sz w:val="24"/>
          <w:szCs w:val="24"/>
        </w:rPr>
        <w:t xml:space="preserve">Parte quinta — Il memoriale e le lettere (blocchi 461-560)</w:t>
      </w:r>
    </w:p>
    <w:p>
      <w:pPr>
        <w:spacing w:after="120" w:line="276"/>
        <w:jc w:val="both"/>
      </w:pPr>
      <w:r>
        <w:rPr>
          <w:rFonts w:ascii="Barlow Semi Condensed" w:cs="Barlow Semi Condensed" w:eastAsia="Barlow Semi Condensed" w:hAnsi="Barlow Semi Condensed"/>
          <w:i/>
          <w:iCs/>
          <w:sz w:val="24"/>
          <w:szCs w:val="24"/>
        </w:rPr>
        <w:t xml:space="preserve">Statuto della parte: la filologia come indagine. I fatti verificati che reggono il cantiere: il 1° ottobre 1978 la perquisizione di via Monte Nevoso 8 a Milano (i reparti del generale dalla Chiesa) sequestrò materiale esclusivamente dattiloscritto — le trascrizioni brigatiste; il 9 ottobre 1990, in un'intercapedine dello stesso appartamento, emersero quattrocentoventuno fogli in fotocopia, in massima parte riproduzioni di manoscritti autografi di Moro (i conteggi interni divergono fra le fonti, e la loro riconciliazione è un bersaglio del cantiere); gli originali autografi — la stesura A — non furono mai trovati, come mai furono trovate le bobine degli interrogatori, e la distruzione resta una dichiarazione di parte brigatista, non un fatto accertato; la perizia grafica successiva al 1990 attestò l'autenticità della scrittura di Moro nelle pagine fotocopiate; la Commissione stragi pubblicò nel 2001 il riordino comparato delle due versioni, e un'edizione critica è stata presentata all'Archivio di Stato di Roma nel 2020. Su questo pavimento: cento blocchi di filologia militante — perché sul memoriale la critica del testo è la forma più alta dell'indagine.</w:t>
      </w:r>
    </w:p>
    <w:p>
      <w:pPr>
        <w:pStyle w:val="Heading3"/>
        <w:spacing w:after="80" w:before="160"/>
      </w:pPr>
      <w:r>
        <w:rPr>
          <w:rFonts w:ascii="Barlow Semi Condensed" w:cs="Barlow Semi Condensed" w:eastAsia="Barlow Semi Condensed" w:hAnsi="Barlow Semi Condensed"/>
          <w:sz w:val="24"/>
          <w:szCs w:val="24"/>
        </w:rPr>
        <w:t xml:space="preserve">Il corpus e la sua tradizione (blocchi 461-485)</w:t>
      </w:r>
    </w:p>
    <w:p>
      <w:pPr>
        <w:spacing w:after="120" w:line="276"/>
        <w:jc w:val="both"/>
      </w:pPr>
      <w:r>
        <w:rPr>
          <w:rFonts w:ascii="Barlow Semi Condensed" w:cs="Barlow Semi Condensed" w:eastAsia="Barlow Semi Condensed" w:hAnsi="Barlow Semi Condensed"/>
          <w:b/>
          <w:bCs/>
          <w:sz w:val="24"/>
          <w:szCs w:val="24"/>
        </w:rPr>
        <w:t xml:space="preserve">461 · Lo stemma delle stesure.</w:t>
      </w:r>
      <w:r>
        <w:rPr>
          <w:rFonts w:ascii="Barlow Semi Condensed" w:cs="Barlow Semi Condensed" w:eastAsia="Barlow Semi Condensed" w:hAnsi="Barlow Semi Condensed"/>
          <w:sz w:val="24"/>
          <w:szCs w:val="24"/>
        </w:rPr>
        <w:t xml:space="preserve"> Il primo strumento del cantiere: lo stemma codicum del memoriale — la stesura A (gli autografi mai trovati), la B (le fotocopie manoscritte del 1990), la C (i dattiloscritti del 1978) — con i rapporti di derivazione accertati e quelli congetturali dichiarati. La filologia del caso comincia dal suo albero: chi copiò che cosa, da che cosa.</w:t>
      </w:r>
    </w:p>
    <w:p>
      <w:pPr>
        <w:spacing w:after="120" w:line="276"/>
        <w:jc w:val="both"/>
      </w:pPr>
      <w:r>
        <w:rPr>
          <w:rFonts w:ascii="Barlow Semi Condensed" w:cs="Barlow Semi Condensed" w:eastAsia="Barlow Semi Condensed" w:hAnsi="Barlow Semi Condensed"/>
          <w:b/>
          <w:bCs/>
          <w:sz w:val="24"/>
          <w:szCs w:val="24"/>
        </w:rPr>
        <w:t xml:space="preserve">462 · Il primo ritrovamento, in atti.</w:t>
      </w:r>
      <w:r>
        <w:rPr>
          <w:rFonts w:ascii="Barlow Semi Condensed" w:cs="Barlow Semi Condensed" w:eastAsia="Barlow Semi Condensed" w:hAnsi="Barlow Semi Condensed"/>
          <w:sz w:val="24"/>
          <w:szCs w:val="24"/>
        </w:rPr>
        <w:t xml:space="preserve"> La ricostruzione documentale integrale del 1° ottobre 1978: il verbale di perquisizione, l'inventario del sequestrato (le quarantanove cartelle del memoriale dattiloscritto, le trascrizioni delle lettere, le ottantacinque cartelle complessive secondo i conteggi), la catena immediata delle copie. Il giorno che consegnò la stesura C, ricostruito atto per atto dagli archivi digitalizzati.</w:t>
      </w:r>
    </w:p>
    <w:p>
      <w:pPr>
        <w:spacing w:after="120" w:line="276"/>
        <w:jc w:val="both"/>
      </w:pPr>
      <w:r>
        <w:rPr>
          <w:rFonts w:ascii="Barlow Semi Condensed" w:cs="Barlow Semi Condensed" w:eastAsia="Barlow Semi Condensed" w:hAnsi="Barlow Semi Condensed"/>
          <w:b/>
          <w:bCs/>
          <w:sz w:val="24"/>
          <w:szCs w:val="24"/>
        </w:rPr>
        <w:t xml:space="preserve">463 · Il secondo ritrovamento, in atti.</w:t>
      </w:r>
      <w:r>
        <w:rPr>
          <w:rFonts w:ascii="Barlow Semi Condensed" w:cs="Barlow Semi Condensed" w:eastAsia="Barlow Semi Condensed" w:hAnsi="Barlow Semi Condensed"/>
          <w:sz w:val="24"/>
          <w:szCs w:val="24"/>
        </w:rPr>
        <w:t xml:space="preserve"> La ricostruzione del 9 ottobre 1990: i lavori edilizi, l'intercapedine sotto la finestra, il plico dei quattrocentoventuno fogli, i verbali, le trascrizioni curate all'epoca dagli uffici (la DIGOS di Milano e il SISDE secondo la verifica). Il giorno che consegnò la stesura B — e riaprì ogni domanda sulla A.</w:t>
      </w:r>
    </w:p>
    <w:p>
      <w:pPr>
        <w:spacing w:after="120" w:line="276"/>
        <w:jc w:val="both"/>
      </w:pPr>
      <w:r>
        <w:rPr>
          <w:rFonts w:ascii="Barlow Semi Condensed" w:cs="Barlow Semi Condensed" w:eastAsia="Barlow Semi Condensed" w:hAnsi="Barlow Semi Condensed"/>
          <w:b/>
          <w:bCs/>
          <w:sz w:val="24"/>
          <w:szCs w:val="24"/>
        </w:rPr>
        <w:t xml:space="preserve">464 · I dodici anni in mezzo.</w:t>
      </w:r>
      <w:r>
        <w:rPr>
          <w:rFonts w:ascii="Barlow Semi Condensed" w:cs="Barlow Semi Condensed" w:eastAsia="Barlow Semi Condensed" w:hAnsi="Barlow Semi Condensed"/>
          <w:sz w:val="24"/>
          <w:szCs w:val="24"/>
        </w:rPr>
        <w:t xml:space="preserve"> Il quesito strutturale: la storia dell'appartamento di via Monte Nevoso 8 fra il 1978 e il 1990 — chi vi ebbe accesso, quali lavori, quali passaggi di proprietà, dagli atti. L'intercapedine attese dodici anni a un metro dalla prima perquisizione: la cronologia di quel muro è un quesito in sé.</w:t>
      </w:r>
    </w:p>
    <w:p>
      <w:pPr>
        <w:spacing w:after="120" w:line="276"/>
        <w:jc w:val="both"/>
      </w:pPr>
      <w:r>
        <w:rPr>
          <w:rFonts w:ascii="Barlow Semi Condensed" w:cs="Barlow Semi Condensed" w:eastAsia="Barlow Semi Condensed" w:hAnsi="Barlow Semi Condensed"/>
          <w:b/>
          <w:bCs/>
          <w:sz w:val="24"/>
          <w:szCs w:val="24"/>
        </w:rPr>
        <w:t xml:space="preserve">465 · La perquisizione che non vide.</w:t>
      </w:r>
      <w:r>
        <w:rPr>
          <w:rFonts w:ascii="Barlow Semi Condensed" w:cs="Barlow Semi Condensed" w:eastAsia="Barlow Semi Condensed" w:hAnsi="Barlow Semi Condensed"/>
          <w:sz w:val="24"/>
          <w:szCs w:val="24"/>
        </w:rPr>
        <w:t xml:space="preserve"> L'analisi documentale della perquisizione del 1978 rispetto al nascondiglio del 1990: che cosa i verbali dicono dell'estensione della ricerca, che cosa le inchieste successive stabilirono sul mancato ritrovamento. Il quesito si tratta con la disciplina del 18 marzo di via Gradoli: negligenza, caso o altro — decidono le carte, non i sospetti.</w:t>
      </w:r>
    </w:p>
    <w:p>
      <w:pPr>
        <w:spacing w:after="120" w:line="276"/>
        <w:jc w:val="both"/>
      </w:pPr>
      <w:r>
        <w:rPr>
          <w:rFonts w:ascii="Barlow Semi Condensed" w:cs="Barlow Semi Condensed" w:eastAsia="Barlow Semi Condensed" w:hAnsi="Barlow Semi Condensed"/>
          <w:b/>
          <w:bCs/>
          <w:sz w:val="24"/>
          <w:szCs w:val="24"/>
        </w:rPr>
        <w:t xml:space="preserve">466 · Il conteggio dei fogli.</w:t>
      </w:r>
      <w:r>
        <w:rPr>
          <w:rFonts w:ascii="Barlow Semi Condensed" w:cs="Barlow Semi Condensed" w:eastAsia="Barlow Semi Condensed" w:hAnsi="Barlow Semi Condensed"/>
          <w:sz w:val="24"/>
          <w:szCs w:val="24"/>
        </w:rPr>
        <w:t xml:space="preserve"> La tavola quantitativa rigorosa: quanti fogli, di che cosa, in ciascun ritrovamento — coi conteggi divergenti delle fonti dichiarati e riconciliati (quarantanove cartelle dattiloscritte del memoriale nel 1978, ottantacinque totali secondo alcuni computi; quattrocentoventuno fogli inventariati nel 1990, quattrocentodiciannove di manoscritti secondo altri conteggi, con la quota del memoriale variamente cifrata) — l'edizione critica Di Sivo come riferimento dei numeri. La filologia comincia contando: ogni cifra con la sua fonte.</w:t>
      </w:r>
    </w:p>
    <w:p>
      <w:pPr>
        <w:spacing w:after="120" w:line="276"/>
        <w:jc w:val="both"/>
      </w:pPr>
      <w:r>
        <w:rPr>
          <w:rFonts w:ascii="Barlow Semi Condensed" w:cs="Barlow Semi Condensed" w:eastAsia="Barlow Semi Condensed" w:hAnsi="Barlow Semi Condensed"/>
          <w:b/>
          <w:bCs/>
          <w:sz w:val="24"/>
          <w:szCs w:val="24"/>
        </w:rPr>
        <w:t xml:space="preserve">467 · La stesura A, il fantasma.</w:t>
      </w:r>
      <w:r>
        <w:rPr>
          <w:rFonts w:ascii="Barlow Semi Condensed" w:cs="Barlow Semi Condensed" w:eastAsia="Barlow Semi Condensed" w:hAnsi="Barlow Semi Condensed"/>
          <w:sz w:val="24"/>
          <w:szCs w:val="24"/>
        </w:rPr>
        <w:t xml:space="preserve"> Il fascicolo del mai trovato: ogni menzione documentale degli autografi e delle bobine degli interrogatori — le dichiarazioni brigatiste sulla distruzione (dichiarazioni di parte, mai riscontro materiale), le ipotesi istruttorie, le ricerche fatte. Lo Stato Zero più importante della parte: perimetrato con esattezza assoluta, perché intorno a questo vuoto è cresciuta mezza pubblicistica del caso.</w:t>
      </w:r>
    </w:p>
    <w:p>
      <w:pPr>
        <w:spacing w:after="120" w:line="276"/>
        <w:jc w:val="both"/>
      </w:pPr>
      <w:r>
        <w:rPr>
          <w:rFonts w:ascii="Barlow Semi Condensed" w:cs="Barlow Semi Condensed" w:eastAsia="Barlow Semi Condensed" w:hAnsi="Barlow Semi Condensed"/>
          <w:b/>
          <w:bCs/>
          <w:sz w:val="24"/>
          <w:szCs w:val="24"/>
        </w:rPr>
        <w:t xml:space="preserve">468 · Che cosa manca, misurato.</w:t>
      </w:r>
      <w:r>
        <w:rPr>
          <w:rFonts w:ascii="Barlow Semi Condensed" w:cs="Barlow Semi Condensed" w:eastAsia="Barlow Semi Condensed" w:hAnsi="Barlow Semi Condensed"/>
          <w:sz w:val="24"/>
          <w:szCs w:val="24"/>
        </w:rPr>
        <w:t xml:space="preserve"> L'analisi delle lacune interne: i richiami del testo a parti non presenti, le discontinuità, i temi annunciati e assenti — la misura filologica di quanto il corpus superstite sia incompleto (il blocco 220 dell'agenda, eseguito con gli strumenti della critica). Non «il memoriale nascosto»: la tavola delle lacune dimostrabili.</w:t>
      </w:r>
    </w:p>
    <w:p>
      <w:pPr>
        <w:spacing w:after="120" w:line="276"/>
        <w:jc w:val="both"/>
      </w:pPr>
      <w:r>
        <w:rPr>
          <w:rFonts w:ascii="Barlow Semi Condensed" w:cs="Barlow Semi Condensed" w:eastAsia="Barlow Semi Condensed" w:hAnsi="Barlow Semi Condensed"/>
          <w:b/>
          <w:bCs/>
          <w:sz w:val="24"/>
          <w:szCs w:val="24"/>
        </w:rPr>
        <w:t xml:space="preserve">469 · Il riordino del 2001.</w:t>
      </w:r>
      <w:r>
        <w:rPr>
          <w:rFonts w:ascii="Barlow Semi Condensed" w:cs="Barlow Semi Condensed" w:eastAsia="Barlow Semi Condensed" w:hAnsi="Barlow Semi Condensed"/>
          <w:sz w:val="24"/>
          <w:szCs w:val="24"/>
        </w:rPr>
        <w:t xml:space="preserve"> Lo strumento verificato: la pubblicazione comparata delle versioni 1978 e 1990 curata dalla Commissione stragi (2001) — l'analisi del suo metodo, dei suoi apparati, dei suoi limiti. Il primo grande atto filologico istituzionale sul memoriale: il cantiere vi si appoggia e lo supera dove il 2001 non poteva vedere.</w:t>
      </w:r>
    </w:p>
    <w:p>
      <w:pPr>
        <w:spacing w:after="120" w:line="276"/>
        <w:jc w:val="both"/>
      </w:pPr>
      <w:r>
        <w:rPr>
          <w:rFonts w:ascii="Barlow Semi Condensed" w:cs="Barlow Semi Condensed" w:eastAsia="Barlow Semi Condensed" w:hAnsi="Barlow Semi Condensed"/>
          <w:b/>
          <w:bCs/>
          <w:sz w:val="24"/>
          <w:szCs w:val="24"/>
        </w:rPr>
        <w:t xml:space="preserve">470 · L'edizione critica istituzionale.</w:t>
      </w:r>
      <w:r>
        <w:rPr>
          <w:rFonts w:ascii="Barlow Semi Condensed" w:cs="Barlow Semi Condensed" w:eastAsia="Barlow Semi Condensed" w:hAnsi="Barlow Semi Condensed"/>
          <w:sz w:val="24"/>
          <w:szCs w:val="24"/>
        </w:rPr>
        <w:t xml:space="preserve"> Il secondo strumento verificato: «Il memoriale di Aldo Moro, 1978. Edizione critica» (a cura di Michele Di Sivo, Direzione generale Archivi - De Luca, 2019, presentata all'Archivio di Stato di Roma il 25 febbraio 2020) — i criteri, gli apparati, le scelte, e i conteggi dei fogli che essa fissa come riferimento. La collazione delle edizioni (2001, 2011, 2020) come esercizio preliminare: dove divergono, la divergenza è un problema aperto del testo.</w:t>
      </w:r>
    </w:p>
    <w:p>
      <w:pPr>
        <w:spacing w:after="120" w:line="276"/>
        <w:jc w:val="both"/>
      </w:pPr>
      <w:r>
        <w:rPr>
          <w:rFonts w:ascii="Barlow Semi Condensed" w:cs="Barlow Semi Condensed" w:eastAsia="Barlow Semi Condensed" w:hAnsi="Barlow Semi Condensed"/>
          <w:b/>
          <w:bCs/>
          <w:sz w:val="24"/>
          <w:szCs w:val="24"/>
        </w:rPr>
        <w:t xml:space="preserve">471 · La curatela Gotor del memoriale.</w:t>
      </w:r>
      <w:r>
        <w:rPr>
          <w:rFonts w:ascii="Barlow Semi Condensed" w:cs="Barlow Semi Condensed" w:eastAsia="Barlow Semi Condensed" w:hAnsi="Barlow Semi Condensed"/>
          <w:sz w:val="24"/>
          <w:szCs w:val="24"/>
        </w:rPr>
        <w:t xml:space="preserve"> Il terzo strumento: il lavoro critico di Miguel Gotor sul memoriale (Einaudi 2011) — le tesi filologiche principali, gli apparati, le congetture dichiarate. La storiografia filologica del memoriale ha un canone: il cantiere lo assume, lo verifica a campione e vi aggancia il nuovo.</w:t>
      </w:r>
    </w:p>
    <w:p>
      <w:pPr>
        <w:spacing w:after="120" w:line="276"/>
        <w:jc w:val="both"/>
      </w:pPr>
      <w:r>
        <w:rPr>
          <w:rFonts w:ascii="Barlow Semi Condensed" w:cs="Barlow Semi Condensed" w:eastAsia="Barlow Semi Condensed" w:hAnsi="Barlow Semi Condensed"/>
          <w:b/>
          <w:bCs/>
          <w:sz w:val="24"/>
          <w:szCs w:val="24"/>
        </w:rPr>
        <w:t xml:space="preserve">472 · La sinossi elettronica.</w:t>
      </w:r>
      <w:r>
        <w:rPr>
          <w:rFonts w:ascii="Barlow Semi Condensed" w:cs="Barlow Semi Condensed" w:eastAsia="Barlow Semi Condensed" w:hAnsi="Barlow Semi Condensed"/>
          <w:sz w:val="24"/>
          <w:szCs w:val="24"/>
        </w:rPr>
        <w:t xml:space="preserve"> Il prodotto tecnico della sezione: la sinossi digitale integrale delle stesure B e C — foglio contro foglio, con le varianti marcate e interrogabili (il cantiere digitale del manuale al servizio della filologia). Lo strumento che il 2001 fece a stampa, rifatto machine-readable: ogni variante una riga di dato.</w:t>
      </w:r>
    </w:p>
    <w:p>
      <w:pPr>
        <w:spacing w:after="120" w:line="276"/>
        <w:jc w:val="both"/>
      </w:pPr>
      <w:r>
        <w:rPr>
          <w:rFonts w:ascii="Barlow Semi Condensed" w:cs="Barlow Semi Condensed" w:eastAsia="Barlow Semi Condensed" w:hAnsi="Barlow Semi Condensed"/>
          <w:b/>
          <w:bCs/>
          <w:sz w:val="24"/>
          <w:szCs w:val="24"/>
        </w:rPr>
        <w:t xml:space="preserve">473 · Le varianti come indizi.</w:t>
      </w:r>
      <w:r>
        <w:rPr>
          <w:rFonts w:ascii="Barlow Semi Condensed" w:cs="Barlow Semi Condensed" w:eastAsia="Barlow Semi Condensed" w:hAnsi="Barlow Semi Condensed"/>
          <w:sz w:val="24"/>
          <w:szCs w:val="24"/>
        </w:rPr>
        <w:t xml:space="preserve"> L'analisi sistematica delle varianti B/C: che cosa i dattiloscritti del 1978 omettono, riassumono o alterano rispetto ai manoscritti fotocopiati — la tavola delle differenze con le ipotesi di spiegazione (selezione brigatista, fretta, censura interna) in forma ACH. Le varianti sono il comportamento dei copisti: si leggono come condotte.</w:t>
      </w:r>
    </w:p>
    <w:p>
      <w:pPr>
        <w:spacing w:after="120" w:line="276"/>
        <w:jc w:val="both"/>
      </w:pPr>
      <w:r>
        <w:rPr>
          <w:rFonts w:ascii="Barlow Semi Condensed" w:cs="Barlow Semi Condensed" w:eastAsia="Barlow Semi Condensed" w:hAnsi="Barlow Semi Condensed"/>
          <w:b/>
          <w:bCs/>
          <w:sz w:val="24"/>
          <w:szCs w:val="24"/>
        </w:rPr>
        <w:t xml:space="preserve">474 · La carta delle fotocopie.</w:t>
      </w:r>
      <w:r>
        <w:rPr>
          <w:rFonts w:ascii="Barlow Semi Condensed" w:cs="Barlow Semi Condensed" w:eastAsia="Barlow Semi Condensed" w:hAnsi="Barlow Semi Condensed"/>
          <w:sz w:val="24"/>
          <w:szCs w:val="24"/>
        </w:rPr>
        <w:t xml:space="preserve"> La materialità della stesura B: le fotocopie del 1990 come oggetti (la macchina copiatrice, i formati, i segni di generazione) — il raccordo con la Parte quarta (blocco 96 dell'agenda, blocchi 431 e seguenti del cantiere). Ogni generazione di copia lascia impronte: la tecnologia della copiatura è una datazione relativa.</w:t>
      </w:r>
    </w:p>
    <w:p>
      <w:pPr>
        <w:spacing w:after="120" w:line="276"/>
        <w:jc w:val="both"/>
      </w:pPr>
      <w:r>
        <w:rPr>
          <w:rFonts w:ascii="Barlow Semi Condensed" w:cs="Barlow Semi Condensed" w:eastAsia="Barlow Semi Condensed" w:hAnsi="Barlow Semi Condensed"/>
          <w:b/>
          <w:bCs/>
          <w:sz w:val="24"/>
          <w:szCs w:val="24"/>
        </w:rPr>
        <w:t xml:space="preserve">475 · Le mani del dattiloscritto.</w:t>
      </w:r>
      <w:r>
        <w:rPr>
          <w:rFonts w:ascii="Barlow Semi Condensed" w:cs="Barlow Semi Condensed" w:eastAsia="Barlow Semi Condensed" w:hAnsi="Barlow Semi Condensed"/>
          <w:sz w:val="24"/>
          <w:szCs w:val="24"/>
        </w:rPr>
        <w:t xml:space="preserve"> L'analisi della stesura C come prodotto di lavoro: quante mani batterono, con quali macchine, con quali abitudini — la dattiloscopia meccanica applicata alle trascrizioni brigatiste. Il gruppo che trascrisse è un soggetto collettivo documentabile: i suoi turni di lavoro sono scritti nei tasti.</w:t>
      </w:r>
    </w:p>
    <w:p>
      <w:pPr>
        <w:spacing w:after="120" w:line="276"/>
        <w:jc w:val="both"/>
      </w:pPr>
      <w:r>
        <w:rPr>
          <w:rFonts w:ascii="Barlow Semi Condensed" w:cs="Barlow Semi Condensed" w:eastAsia="Barlow Semi Condensed" w:hAnsi="Barlow Semi Condensed"/>
          <w:b/>
          <w:bCs/>
          <w:sz w:val="24"/>
          <w:szCs w:val="24"/>
        </w:rPr>
        <w:t xml:space="preserve">476 · L'ordine originario.</w:t>
      </w:r>
      <w:r>
        <w:rPr>
          <w:rFonts w:ascii="Barlow Semi Condensed" w:cs="Barlow Semi Condensed" w:eastAsia="Barlow Semi Condensed" w:hAnsi="Barlow Semi Condensed"/>
          <w:sz w:val="24"/>
          <w:szCs w:val="24"/>
        </w:rPr>
        <w:t xml:space="preserve"> Il quesito dell'ordinamento: la sequenza originaria delle carte contro gli ordinamenti editoriali successivi — che cosa i supporti (numerazioni, riprese, richiami) dicono dell'ordine di composizione. Il memoriale fu scritto in un ordine e pubblicato in altri: ricostruire il primo è filologia pura con rendimento storico.</w:t>
      </w:r>
    </w:p>
    <w:p>
      <w:pPr>
        <w:spacing w:after="120" w:line="276"/>
        <w:jc w:val="both"/>
      </w:pPr>
      <w:r>
        <w:rPr>
          <w:rFonts w:ascii="Barlow Semi Condensed" w:cs="Barlow Semi Condensed" w:eastAsia="Barlow Semi Condensed" w:hAnsi="Barlow Semi Condensed"/>
          <w:b/>
          <w:bCs/>
          <w:sz w:val="24"/>
          <w:szCs w:val="24"/>
        </w:rPr>
        <w:t xml:space="preserve">477 · Il tempo della scrittura.</w:t>
      </w:r>
      <w:r>
        <w:rPr>
          <w:rFonts w:ascii="Barlow Semi Condensed" w:cs="Barlow Semi Condensed" w:eastAsia="Barlow Semi Condensed" w:hAnsi="Barlow Semi Condensed"/>
          <w:sz w:val="24"/>
          <w:szCs w:val="24"/>
        </w:rPr>
        <w:t xml:space="preserve"> La cronologia interna: gli eventi citati nel testo come termini post quem, i riferimenti databili, la distribuzione temporale della scrittura lungo i cinquantacinque giorni. Il memoriale ha un calendario interno ricostruibile: ogni pagina datata è una pagina collocata nella prigionia.</w:t>
      </w:r>
    </w:p>
    <w:p>
      <w:pPr>
        <w:spacing w:after="120" w:line="276"/>
        <w:jc w:val="both"/>
      </w:pPr>
      <w:r>
        <w:rPr>
          <w:rFonts w:ascii="Barlow Semi Condensed" w:cs="Barlow Semi Condensed" w:eastAsia="Barlow Semi Condensed" w:hAnsi="Barlow Semi Condensed"/>
          <w:b/>
          <w:bCs/>
          <w:sz w:val="24"/>
          <w:szCs w:val="24"/>
        </w:rPr>
        <w:t xml:space="preserve">478 · Gli interrogatori dietro il testo.</w:t>
      </w:r>
      <w:r>
        <w:rPr>
          <w:rFonts w:ascii="Barlow Semi Condensed" w:cs="Barlow Semi Condensed" w:eastAsia="Barlow Semi Condensed" w:hAnsi="Barlow Semi Condensed"/>
          <w:sz w:val="24"/>
          <w:szCs w:val="24"/>
        </w:rPr>
        <w:t xml:space="preserve"> Il rapporto testo-interrogatorio: che cosa il memoriale rivela della struttura delle domande poste (i temi, le sequenze, le insistenze) — il «processo» brigatista ricostruito dal suo prodotto. Il testo è la metà visibile di un dialogo: la forma delle risposte disegna le domande.</w:t>
      </w:r>
    </w:p>
    <w:p>
      <w:pPr>
        <w:spacing w:after="120" w:line="276"/>
        <w:jc w:val="both"/>
      </w:pPr>
      <w:r>
        <w:rPr>
          <w:rFonts w:ascii="Barlow Semi Condensed" w:cs="Barlow Semi Condensed" w:eastAsia="Barlow Semi Condensed" w:hAnsi="Barlow Semi Condensed"/>
          <w:b/>
          <w:bCs/>
          <w:sz w:val="24"/>
          <w:szCs w:val="24"/>
        </w:rPr>
        <w:t xml:space="preserve">479 · Il memoriale e le lettere, un corpus.</w:t>
      </w:r>
      <w:r>
        <w:rPr>
          <w:rFonts w:ascii="Barlow Semi Condensed" w:cs="Barlow Semi Condensed" w:eastAsia="Barlow Semi Condensed" w:hAnsi="Barlow Semi Condensed"/>
          <w:sz w:val="24"/>
          <w:szCs w:val="24"/>
        </w:rPr>
        <w:t xml:space="preserve"> La regola d'insieme: memoriale e lettere si studiano come un corpus unico della prigionia — stessa mano, stesso tempo, generi diversi. La tavola dei rimandi interni (temi che migrano dal memoriale alle lettere e viceversa) è lo strumento di unificazione.</w:t>
      </w:r>
    </w:p>
    <w:p>
      <w:pPr>
        <w:spacing w:after="120" w:line="276"/>
        <w:jc w:val="both"/>
      </w:pPr>
      <w:r>
        <w:rPr>
          <w:rFonts w:ascii="Barlow Semi Condensed" w:cs="Barlow Semi Condensed" w:eastAsia="Barlow Semi Condensed" w:hAnsi="Barlow Semi Condensed"/>
          <w:b/>
          <w:bCs/>
          <w:sz w:val="24"/>
          <w:szCs w:val="24"/>
        </w:rPr>
        <w:t xml:space="preserve">480 · Le trascrizioni delle lettere nel covo.</w:t>
      </w:r>
      <w:r>
        <w:rPr>
          <w:rFonts w:ascii="Barlow Semi Condensed" w:cs="Barlow Semi Condensed" w:eastAsia="Barlow Semi Condensed" w:hAnsi="Barlow Semi Condensed"/>
          <w:sz w:val="24"/>
          <w:szCs w:val="24"/>
        </w:rPr>
        <w:t xml:space="preserve"> Il dato del 1978: fra il sequestrato di via Monte Nevoso c'erano trascrizioni delle lettere — la tavola di quali lettere i brigatisti trascrissero e conservarono, contro il corpus totale. La selezione brigatista delle lettere è un comportamento documentato: che cosa tenevano, dice che cosa contava per loro.</w:t>
      </w:r>
    </w:p>
    <w:p>
      <w:pPr>
        <w:spacing w:after="120" w:line="276"/>
        <w:jc w:val="both"/>
      </w:pPr>
      <w:r>
        <w:rPr>
          <w:rFonts w:ascii="Barlow Semi Condensed" w:cs="Barlow Semi Condensed" w:eastAsia="Barlow Semi Condensed" w:hAnsi="Barlow Semi Condensed"/>
          <w:b/>
          <w:bCs/>
          <w:sz w:val="24"/>
          <w:szCs w:val="24"/>
        </w:rPr>
        <w:t xml:space="preserve">481 · Il fascicolo delle perizie grafiche.</w:t>
      </w:r>
      <w:r>
        <w:rPr>
          <w:rFonts w:ascii="Barlow Semi Condensed" w:cs="Barlow Semi Condensed" w:eastAsia="Barlow Semi Condensed" w:hAnsi="Barlow Semi Condensed"/>
          <w:sz w:val="24"/>
          <w:szCs w:val="24"/>
        </w:rPr>
        <w:t xml:space="preserve"> La riunione documentale: tutte le perizie grafiche e tecniche sul memoriale (la perizia post-1990 sull'autenticità della scrittura, le dattiloscopiche, ogni accertamento dagli atti digitalizzati) in un fascicolo unico. La scienza già fatta sul testo, indicizzata prima di farne di nuova.</w:t>
      </w:r>
    </w:p>
    <w:p>
      <w:pPr>
        <w:spacing w:after="120" w:line="276"/>
        <w:jc w:val="both"/>
      </w:pPr>
      <w:r>
        <w:rPr>
          <w:rFonts w:ascii="Barlow Semi Condensed" w:cs="Barlow Semi Condensed" w:eastAsia="Barlow Semi Condensed" w:hAnsi="Barlow Semi Condensed"/>
          <w:b/>
          <w:bCs/>
          <w:sz w:val="24"/>
          <w:szCs w:val="24"/>
        </w:rPr>
        <w:t xml:space="preserve">482 · I limiti della perizia su fotocopia.</w:t>
      </w:r>
      <w:r>
        <w:rPr>
          <w:rFonts w:ascii="Barlow Semi Condensed" w:cs="Barlow Semi Condensed" w:eastAsia="Barlow Semi Condensed" w:hAnsi="Barlow Semi Condensed"/>
          <w:sz w:val="24"/>
          <w:szCs w:val="24"/>
        </w:rPr>
        <w:t xml:space="preserve"> La dichiarazione tecnica onesta: la perizia grafica su fotocopie ha limiti intrinseci riconosciuti — e il cantiere li stampa in testa a ogni uso della stesura B. L'autenticità attestata della scrittura convive con l'impossibilità di escludere manipolazioni di dettaglio: entrambe le cose si dicono.</w:t>
      </w:r>
    </w:p>
    <w:p>
      <w:pPr>
        <w:spacing w:after="120" w:line="276"/>
        <w:jc w:val="both"/>
      </w:pPr>
      <w:r>
        <w:rPr>
          <w:rFonts w:ascii="Barlow Semi Condensed" w:cs="Barlow Semi Condensed" w:eastAsia="Barlow Semi Condensed" w:hAnsi="Barlow Semi Condensed"/>
          <w:b/>
          <w:bCs/>
          <w:sz w:val="24"/>
          <w:szCs w:val="24"/>
        </w:rPr>
        <w:t xml:space="preserve">483 · Il multispettrale sulla B.</w:t>
      </w:r>
      <w:r>
        <w:rPr>
          <w:rFonts w:ascii="Barlow Semi Condensed" w:cs="Barlow Semi Condensed" w:eastAsia="Barlow Semi Condensed" w:hAnsi="Barlow Semi Condensed"/>
          <w:sz w:val="24"/>
          <w:szCs w:val="24"/>
        </w:rPr>
        <w:t xml:space="preserve"> L'esame nuovo possibile: l'imaging moderno sulle fotocopie del 1990 (il blocco 444, applicato) — tracce latenti, segni di montaggio, anomalie di generazione. Le fotocopie non sono mai state interrogate con gli strumenti del 2026: è un esame non distruttivo che aspetta solo di essere disposto.</w:t>
      </w:r>
    </w:p>
    <w:p>
      <w:pPr>
        <w:spacing w:after="120" w:line="276"/>
        <w:jc w:val="both"/>
      </w:pPr>
      <w:r>
        <w:rPr>
          <w:rFonts w:ascii="Barlow Semi Condensed" w:cs="Barlow Semi Condensed" w:eastAsia="Barlow Semi Condensed" w:hAnsi="Barlow Semi Condensed"/>
          <w:b/>
          <w:bCs/>
          <w:sz w:val="24"/>
          <w:szCs w:val="24"/>
        </w:rPr>
        <w:t xml:space="preserve">484 · La custodia del corpus.</w:t>
      </w:r>
      <w:r>
        <w:rPr>
          <w:rFonts w:ascii="Barlow Semi Condensed" w:cs="Barlow Semi Condensed" w:eastAsia="Barlow Semi Condensed" w:hAnsi="Barlow Semi Condensed"/>
          <w:sz w:val="24"/>
          <w:szCs w:val="24"/>
        </w:rPr>
        <w:t xml:space="preserve"> La scheda conservativa dei materiali di Monte Nevoso: dove sono oggi le carte dei due ritrovamenti, in che stato, con quale catena — il raccordo con la Parte quarta. Il testo più importante della Repubblica merita la custodia più documentata: la scheda lo verifica.</w:t>
      </w:r>
    </w:p>
    <w:p>
      <w:pPr>
        <w:spacing w:after="120" w:line="276"/>
        <w:jc w:val="both"/>
      </w:pPr>
      <w:r>
        <w:rPr>
          <w:rFonts w:ascii="Barlow Semi Condensed" w:cs="Barlow Semi Condensed" w:eastAsia="Barlow Semi Condensed" w:hAnsi="Barlow Semi Condensed"/>
          <w:b/>
          <w:bCs/>
          <w:sz w:val="24"/>
          <w:szCs w:val="24"/>
        </w:rPr>
        <w:t xml:space="preserve">485 · La tavola della tradizione.</w:t>
      </w:r>
      <w:r>
        <w:rPr>
          <w:rFonts w:ascii="Barlow Semi Condensed" w:cs="Barlow Semi Condensed" w:eastAsia="Barlow Semi Condensed" w:hAnsi="Barlow Semi Condensed"/>
          <w:sz w:val="24"/>
          <w:szCs w:val="24"/>
        </w:rPr>
        <w:t xml:space="preserve"> La chiusura della sezione: lo stemma aggiornato, i conteggi riconciliati, le edizioni collazionate, gli esami pendenti. La tradizione del memoriale, finalmente in tavola — e ogni futura scoperta avrà una casella pronta.</w:t>
      </w:r>
    </w:p>
    <w:p>
      <w:pPr>
        <w:pStyle w:val="Heading3"/>
        <w:spacing w:after="80" w:before="160"/>
      </w:pPr>
      <w:r>
        <w:rPr>
          <w:rFonts w:ascii="Barlow Semi Condensed" w:cs="Barlow Semi Condensed" w:eastAsia="Barlow Semi Condensed" w:hAnsi="Barlow Semi Condensed"/>
          <w:sz w:val="24"/>
          <w:szCs w:val="24"/>
        </w:rPr>
        <w:t xml:space="preserve">La filologia delle lettere (blocchi 486-510)</w:t>
      </w:r>
    </w:p>
    <w:p>
      <w:pPr>
        <w:spacing w:after="120" w:line="276"/>
        <w:jc w:val="both"/>
      </w:pPr>
      <w:r>
        <w:rPr>
          <w:rFonts w:ascii="Barlow Semi Condensed" w:cs="Barlow Semi Condensed" w:eastAsia="Barlow Semi Condensed" w:hAnsi="Barlow Semi Condensed"/>
          <w:b/>
          <w:bCs/>
          <w:sz w:val="24"/>
          <w:szCs w:val="24"/>
        </w:rPr>
        <w:t xml:space="preserve">486 · Il canone delle lettere.</w:t>
      </w:r>
      <w:r>
        <w:rPr>
          <w:rFonts w:ascii="Barlow Semi Condensed" w:cs="Barlow Semi Condensed" w:eastAsia="Barlow Semi Condensed" w:hAnsi="Barlow Semi Condensed"/>
          <w:sz w:val="24"/>
          <w:szCs w:val="24"/>
        </w:rPr>
        <w:t xml:space="preserve"> Il primo bersaglio: il censimento critico del corpus epistolare della prigionia sull'edizione Gotor (Einaudi 2008; il censimento corrente è di novantasette lettere, con varianti di computo dichiarate) — a chi, recapitate o trattenute, con la tavola dei testimoni (autografi, copie, trascrizioni) per ciascuna. Il canone prima dell'interpretazione: quante sono, e in che forma esistono.</w:t>
      </w:r>
    </w:p>
    <w:p>
      <w:pPr>
        <w:spacing w:after="120" w:line="276"/>
        <w:jc w:val="both"/>
      </w:pPr>
      <w:r>
        <w:rPr>
          <w:rFonts w:ascii="Barlow Semi Condensed" w:cs="Barlow Semi Condensed" w:eastAsia="Barlow Semi Condensed" w:hAnsi="Barlow Semi Condensed"/>
          <w:b/>
          <w:bCs/>
          <w:sz w:val="24"/>
          <w:szCs w:val="24"/>
        </w:rPr>
        <w:t xml:space="preserve">487 · La tavola dei recapiti.</w:t>
      </w:r>
      <w:r>
        <w:rPr>
          <w:rFonts w:ascii="Barlow Semi Condensed" w:cs="Barlow Semi Condensed" w:eastAsia="Barlow Semi Condensed" w:hAnsi="Barlow Semi Condensed"/>
          <w:sz w:val="24"/>
          <w:szCs w:val="24"/>
        </w:rPr>
        <w:t xml:space="preserve"> La logistica epistolare integrale: per ogni lettera recapitata — quando partì, per quali mani, quando arrivò, dagli atti e dalle testimonianze corroborate. La rete dei recapiti è la mappa di un'organizzazione in funzione: ogni consegna riuscita è un atto logistico documentato (il raccordo col blocco 442).</w:t>
      </w:r>
    </w:p>
    <w:p>
      <w:pPr>
        <w:spacing w:after="120" w:line="276"/>
        <w:jc w:val="both"/>
      </w:pPr>
      <w:r>
        <w:rPr>
          <w:rFonts w:ascii="Barlow Semi Condensed" w:cs="Barlow Semi Condensed" w:eastAsia="Barlow Semi Condensed" w:hAnsi="Barlow Semi Condensed"/>
          <w:b/>
          <w:bCs/>
          <w:sz w:val="24"/>
          <w:szCs w:val="24"/>
        </w:rPr>
        <w:t xml:space="preserve">488 · I postini e i canali.</w:t>
      </w:r>
      <w:r>
        <w:rPr>
          <w:rFonts w:ascii="Barlow Semi Condensed" w:cs="Barlow Semi Condensed" w:eastAsia="Barlow Semi Condensed" w:hAnsi="Barlow Semi Condensed"/>
          <w:sz w:val="24"/>
          <w:szCs w:val="24"/>
        </w:rPr>
        <w:t xml:space="preserve"> Il quesito 9 dell'agenda, eseguito: le mani accertate dei recapiti (il tratto ecclesiastico documentato, i canali laici) e le mani congetturate — in tavola ACH, con la regola personalistica stampata. Chi portò le lettere fece un atto: gli atti si documentano, non si presumono.</w:t>
      </w:r>
    </w:p>
    <w:p>
      <w:pPr>
        <w:spacing w:after="120" w:line="276"/>
        <w:jc w:val="both"/>
      </w:pPr>
      <w:r>
        <w:rPr>
          <w:rFonts w:ascii="Barlow Semi Condensed" w:cs="Barlow Semi Condensed" w:eastAsia="Barlow Semi Condensed" w:hAnsi="Barlow Semi Condensed"/>
          <w:b/>
          <w:bCs/>
          <w:sz w:val="24"/>
          <w:szCs w:val="24"/>
        </w:rPr>
        <w:t xml:space="preserve">489 · Le lettere trattenute.</w:t>
      </w:r>
      <w:r>
        <w:rPr>
          <w:rFonts w:ascii="Barlow Semi Condensed" w:cs="Barlow Semi Condensed" w:eastAsia="Barlow Semi Condensed" w:hAnsi="Barlow Semi Condensed"/>
          <w:sz w:val="24"/>
          <w:szCs w:val="24"/>
        </w:rPr>
        <w:t xml:space="preserve"> Il corpus del non recapitato: le lettere trovate nei covi e mai giunte ai destinatari — la tavola del trattenuto con le ipotesi di selezione brigatista in forma ACH. La censura del carceriere è un comportamento: la sua logica si ricostruisce dal campione trattenuto.</w:t>
      </w:r>
    </w:p>
    <w:p>
      <w:pPr>
        <w:spacing w:after="120" w:line="276"/>
        <w:jc w:val="both"/>
      </w:pPr>
      <w:r>
        <w:rPr>
          <w:rFonts w:ascii="Barlow Semi Condensed" w:cs="Barlow Semi Condensed" w:eastAsia="Barlow Semi Condensed" w:hAnsi="Barlow Semi Condensed"/>
          <w:b/>
          <w:bCs/>
          <w:sz w:val="24"/>
          <w:szCs w:val="24"/>
        </w:rPr>
        <w:t xml:space="preserve">490 · Il giudizio di «inattendibilità».</w:t>
      </w:r>
      <w:r>
        <w:rPr>
          <w:rFonts w:ascii="Barlow Semi Condensed" w:cs="Barlow Semi Condensed" w:eastAsia="Barlow Semi Condensed" w:hAnsi="Barlow Semi Condensed"/>
          <w:sz w:val="24"/>
          <w:szCs w:val="24"/>
        </w:rPr>
        <w:t xml:space="preserve"> Il fascicolo dell'atto: la dichiarata non autenticità morale delle lettere («non moralmente a lui ascrivibili») — chi la formulò, in quale sede, su quale istruttoria (il blocco 219 dell'agenda, alla scala del cantiere). L'atto istituzionale che neutralizzò la voce del prigioniero ha una storia documentale: si scrive per intero.</w:t>
      </w:r>
    </w:p>
    <w:p>
      <w:pPr>
        <w:spacing w:after="120" w:line="276"/>
        <w:jc w:val="both"/>
      </w:pPr>
      <w:r>
        <w:rPr>
          <w:rFonts w:ascii="Barlow Semi Condensed" w:cs="Barlow Semi Condensed" w:eastAsia="Barlow Semi Condensed" w:hAnsi="Barlow Semi Condensed"/>
          <w:b/>
          <w:bCs/>
          <w:sz w:val="24"/>
          <w:szCs w:val="24"/>
        </w:rPr>
        <w:t xml:space="preserve">491 · La controprova della lucidità.</w:t>
      </w:r>
      <w:r>
        <w:rPr>
          <w:rFonts w:ascii="Barlow Semi Condensed" w:cs="Barlow Semi Condensed" w:eastAsia="Barlow Semi Condensed" w:hAnsi="Barlow Semi Condensed"/>
          <w:sz w:val="24"/>
          <w:szCs w:val="24"/>
        </w:rPr>
        <w:t xml:space="preserve"> L'analisi interna contro il giudizio d'epoca: la coerenza argomentativa, la memoria dei dettagli, la strategia retorica delle lettere — la tavola delle evidenze di lucidità che la critica ha stabilito. Il cantiere non processa i giudici del 1978: documenta ciò che il testo dimostra da sé.</w:t>
      </w:r>
    </w:p>
    <w:p>
      <w:pPr>
        <w:spacing w:after="120" w:line="276"/>
        <w:jc w:val="both"/>
      </w:pPr>
      <w:r>
        <w:rPr>
          <w:rFonts w:ascii="Barlow Semi Condensed" w:cs="Barlow Semi Condensed" w:eastAsia="Barlow Semi Condensed" w:hAnsi="Barlow Semi Condensed"/>
          <w:b/>
          <w:bCs/>
          <w:sz w:val="24"/>
          <w:szCs w:val="24"/>
        </w:rPr>
        <w:t xml:space="preserve">492 · Le lettere ai familiari.</w:t>
      </w:r>
      <w:r>
        <w:rPr>
          <w:rFonts w:ascii="Barlow Semi Condensed" w:cs="Barlow Semi Condensed" w:eastAsia="Barlow Semi Condensed" w:hAnsi="Barlow Semi Condensed"/>
          <w:sz w:val="24"/>
          <w:szCs w:val="24"/>
        </w:rPr>
        <w:t xml:space="preserve"> Il sotto-corpus privato: le lettere alla famiglia — censimento, tradizione, edizione — trattate con la priorità di rispetto del metodo. La voce privata del prigioniero appartiene prima di tutto ai suoi: il cantiere la studia con la misura che questo impone.</w:t>
      </w:r>
    </w:p>
    <w:p>
      <w:pPr>
        <w:spacing w:after="120" w:line="276"/>
        <w:jc w:val="both"/>
      </w:pPr>
      <w:r>
        <w:rPr>
          <w:rFonts w:ascii="Barlow Semi Condensed" w:cs="Barlow Semi Condensed" w:eastAsia="Barlow Semi Condensed" w:hAnsi="Barlow Semi Condensed"/>
          <w:b/>
          <w:bCs/>
          <w:sz w:val="24"/>
          <w:szCs w:val="24"/>
        </w:rPr>
        <w:t xml:space="preserve">493 · Le lettere politiche maggiori.</w:t>
      </w:r>
      <w:r>
        <w:rPr>
          <w:rFonts w:ascii="Barlow Semi Condensed" w:cs="Barlow Semi Condensed" w:eastAsia="Barlow Semi Condensed" w:hAnsi="Barlow Semi Condensed"/>
          <w:sz w:val="24"/>
          <w:szCs w:val="24"/>
        </w:rPr>
        <w:t xml:space="preserve"> Il sotto-corpus istituzionale: le lettere a Cossiga, Zaccagnini, Andreotti, Fanfani, Leone e agli altri destinatari politici — la scheda filologica di ciascuna (tradizione, recapito, ricezione documentata, risposta se vi fu). Ogni lettera maggiore è un atto politico con un fascicolo proprio: si scheda come tale.</w:t>
      </w:r>
    </w:p>
    <w:p>
      <w:pPr>
        <w:spacing w:after="120" w:line="276"/>
        <w:jc w:val="both"/>
      </w:pPr>
      <w:r>
        <w:rPr>
          <w:rFonts w:ascii="Barlow Semi Condensed" w:cs="Barlow Semi Condensed" w:eastAsia="Barlow Semi Condensed" w:hAnsi="Barlow Semi Condensed"/>
          <w:b/>
          <w:bCs/>
          <w:sz w:val="24"/>
          <w:szCs w:val="24"/>
        </w:rPr>
        <w:t xml:space="preserve">494 · La lettera al Papa.</w:t>
      </w:r>
      <w:r>
        <w:rPr>
          <w:rFonts w:ascii="Barlow Semi Condensed" w:cs="Barlow Semi Condensed" w:eastAsia="Barlow Semi Condensed" w:hAnsi="Barlow Semi Condensed"/>
          <w:sz w:val="24"/>
          <w:szCs w:val="24"/>
        </w:rPr>
        <w:t xml:space="preserve"> Il caso speciale: la corrispondenza col Vaticano — la tradizione, il recapito, il rapporto con la lettera pubblica di Paolo VI (il raccordo coi blocchi 196-198). Il carteggio più alto della prigionia attraversa due cantieri: la filologia qui, l'archivio chiuso là.</w:t>
      </w:r>
    </w:p>
    <w:p>
      <w:pPr>
        <w:spacing w:after="120" w:line="276"/>
        <w:jc w:val="both"/>
      </w:pPr>
      <w:r>
        <w:rPr>
          <w:rFonts w:ascii="Barlow Semi Condensed" w:cs="Barlow Semi Condensed" w:eastAsia="Barlow Semi Condensed" w:hAnsi="Barlow Semi Condensed"/>
          <w:b/>
          <w:bCs/>
          <w:sz w:val="24"/>
          <w:szCs w:val="24"/>
        </w:rPr>
        <w:t xml:space="preserve">495 · Le risposte mancate.</w:t>
      </w:r>
      <w:r>
        <w:rPr>
          <w:rFonts w:ascii="Barlow Semi Condensed" w:cs="Barlow Semi Condensed" w:eastAsia="Barlow Semi Condensed" w:hAnsi="Barlow Semi Condensed"/>
          <w:sz w:val="24"/>
          <w:szCs w:val="24"/>
        </w:rPr>
        <w:t xml:space="preserve"> La tavola delle non-risposte: chi ricevette e non rispose, chi rispose e come, dagli atti e dalle memorie collazionate. Il silenzio dei destinatari è un comportamento documentabile: la sua tavola è metà della storia politica delle lettere.</w:t>
      </w:r>
    </w:p>
    <w:p>
      <w:pPr>
        <w:spacing w:after="120" w:line="276"/>
        <w:jc w:val="both"/>
      </w:pPr>
      <w:r>
        <w:rPr>
          <w:rFonts w:ascii="Barlow Semi Condensed" w:cs="Barlow Semi Condensed" w:eastAsia="Barlow Semi Condensed" w:hAnsi="Barlow Semi Condensed"/>
          <w:b/>
          <w:bCs/>
          <w:sz w:val="24"/>
          <w:szCs w:val="24"/>
        </w:rPr>
        <w:t xml:space="preserve">496 · La ricezione pubblica d'epoca.</w:t>
      </w:r>
      <w:r>
        <w:rPr>
          <w:rFonts w:ascii="Barlow Semi Condensed" w:cs="Barlow Semi Condensed" w:eastAsia="Barlow Semi Condensed" w:hAnsi="Barlow Semi Condensed"/>
          <w:sz w:val="24"/>
          <w:szCs w:val="24"/>
        </w:rPr>
        <w:t xml:space="preserve"> La cronologia della pubblicazione: quali lettere uscirono sui giornali durante i 55 giorni, quando, per quale via — la tavola delle fughe e delle pubblicazioni con le loro fonti. Ogni lettera pubblicata fu un evento della crisi: la sua via di pubblicazione è un quesito logistico.</w:t>
      </w:r>
    </w:p>
    <w:p>
      <w:pPr>
        <w:spacing w:after="120" w:line="276"/>
        <w:jc w:val="both"/>
      </w:pPr>
      <w:r>
        <w:rPr>
          <w:rFonts w:ascii="Barlow Semi Condensed" w:cs="Barlow Semi Condensed" w:eastAsia="Barlow Semi Condensed" w:hAnsi="Barlow Semi Condensed"/>
          <w:b/>
          <w:bCs/>
          <w:sz w:val="24"/>
          <w:szCs w:val="24"/>
        </w:rPr>
        <w:t xml:space="preserve">497 · Il lessico del prigioniero.</w:t>
      </w:r>
      <w:r>
        <w:rPr>
          <w:rFonts w:ascii="Barlow Semi Condensed" w:cs="Barlow Semi Condensed" w:eastAsia="Barlow Semi Condensed" w:hAnsi="Barlow Semi Condensed"/>
          <w:sz w:val="24"/>
          <w:szCs w:val="24"/>
        </w:rPr>
        <w:t xml:space="preserve"> L'analisi linguistica del corpus (gli studi accademici esistenti censiti dalla verifica): il lessico, la sintassi, le formule di Moro prigioniero contro il Moro pubblico — la tavola delle continuità e delle fratture. La lingua è l'impronta digitale del pensiero: la sua analisi è già cominciata in accademia, e il cantiere la sistematizza.</w:t>
      </w:r>
    </w:p>
    <w:p>
      <w:pPr>
        <w:spacing w:after="120" w:line="276"/>
        <w:jc w:val="both"/>
      </w:pPr>
      <w:r>
        <w:rPr>
          <w:rFonts w:ascii="Barlow Semi Condensed" w:cs="Barlow Semi Condensed" w:eastAsia="Barlow Semi Condensed" w:hAnsi="Barlow Semi Condensed"/>
          <w:b/>
          <w:bCs/>
          <w:sz w:val="24"/>
          <w:szCs w:val="24"/>
        </w:rPr>
        <w:t xml:space="preserve">498 · La stilometria che manca.</w:t>
      </w:r>
      <w:r>
        <w:rPr>
          <w:rFonts w:ascii="Barlow Semi Condensed" w:cs="Barlow Semi Condensed" w:eastAsia="Barlow Semi Condensed" w:hAnsi="Barlow Semi Condensed"/>
          <w:sz w:val="24"/>
          <w:szCs w:val="24"/>
        </w:rPr>
        <w:t xml:space="preserve"> L'esito negativo verificato e il bersaglio che ne nasce: non risulta alcuno studio stilometrico quantitativo sul memoriale e sui comunicati — il cantiere lo commissiona (il blocco 202 dell'agenda, ora con la certezza del vuoto): corpus di confronto dichiarato, metodo pubblicato, limiti stampati. Il primo studio attributivo computazionale del caso: da fare, finalmente.</w:t>
      </w:r>
    </w:p>
    <w:p>
      <w:pPr>
        <w:spacing w:after="120" w:line="276"/>
        <w:jc w:val="both"/>
      </w:pPr>
      <w:r>
        <w:rPr>
          <w:rFonts w:ascii="Barlow Semi Condensed" w:cs="Barlow Semi Condensed" w:eastAsia="Barlow Semi Condensed" w:hAnsi="Barlow Semi Condensed"/>
          <w:b/>
          <w:bCs/>
          <w:sz w:val="24"/>
          <w:szCs w:val="24"/>
        </w:rPr>
        <w:t xml:space="preserve">499 · Le lettere e il memoriale, i rimandi.</w:t>
      </w:r>
      <w:r>
        <w:rPr>
          <w:rFonts w:ascii="Barlow Semi Condensed" w:cs="Barlow Semi Condensed" w:eastAsia="Barlow Semi Condensed" w:hAnsi="Barlow Semi Condensed"/>
          <w:sz w:val="24"/>
          <w:szCs w:val="24"/>
        </w:rPr>
        <w:t xml:space="preserve"> L'esecuzione del blocco 479: la tavola dei rimandi fra corpus epistolare e memoriale — i temi che migrano, le formule che tornano, le strategie parallele. Il prigioniero conduceva due scritture: la loro sincronia è una cronologia interna in più.</w:t>
      </w:r>
    </w:p>
    <w:p>
      <w:pPr>
        <w:spacing w:after="120" w:line="276"/>
        <w:jc w:val="both"/>
      </w:pPr>
      <w:r>
        <w:rPr>
          <w:rFonts w:ascii="Barlow Semi Condensed" w:cs="Barlow Semi Condensed" w:eastAsia="Barlow Semi Condensed" w:hAnsi="Barlow Semi Condensed"/>
          <w:b/>
          <w:bCs/>
          <w:sz w:val="24"/>
          <w:szCs w:val="24"/>
        </w:rPr>
        <w:t xml:space="preserve">500 · Il cinquecentesimo blocco: la voce restituita.</w:t>
      </w:r>
      <w:r>
        <w:rPr>
          <w:rFonts w:ascii="Barlow Semi Condensed" w:cs="Barlow Semi Condensed" w:eastAsia="Barlow Semi Condensed" w:hAnsi="Barlow Semi Condensed"/>
          <w:sz w:val="24"/>
          <w:szCs w:val="24"/>
        </w:rPr>
        <w:t xml:space="preserve"> Il senso della sezione, a metà dell'opera: la filologia delle lettere è la restituzione di una voce che un atto d'epoca dichiarò inattendibile — non per ribaltare quel giudizio in tribunale, ma per documentare, carta per carta, che cosa quella voce disse davvero. Cinquecento blocchi: e al centro, un uomo che scrive.</w:t>
      </w:r>
    </w:p>
    <w:p>
      <w:pPr>
        <w:spacing w:after="120" w:line="276"/>
        <w:jc w:val="both"/>
      </w:pPr>
      <w:r>
        <w:rPr>
          <w:rFonts w:ascii="Barlow Semi Condensed" w:cs="Barlow Semi Condensed" w:eastAsia="Barlow Semi Condensed" w:hAnsi="Barlow Semi Condensed"/>
          <w:b/>
          <w:bCs/>
          <w:sz w:val="24"/>
          <w:szCs w:val="24"/>
        </w:rPr>
        <w:t xml:space="preserve">501 · L'edizione integrale commentata.</w:t>
      </w:r>
      <w:r>
        <w:rPr>
          <w:rFonts w:ascii="Barlow Semi Condensed" w:cs="Barlow Semi Condensed" w:eastAsia="Barlow Semi Condensed" w:hAnsi="Barlow Semi Condensed"/>
          <w:sz w:val="24"/>
          <w:szCs w:val="24"/>
        </w:rPr>
        <w:t xml:space="preserve"> Il progetto editoriale della sezione: l'edizione integrale digitale del corpus della prigionia — lettere e memoriale, con apparati, recapiti, ricezione — in raccordo con l'Edizione nazionale bolognese. Lo strumento definitivo, costruito una volta per tutte le generazioni successive.</w:t>
      </w:r>
    </w:p>
    <w:p>
      <w:pPr>
        <w:spacing w:after="120" w:line="276"/>
        <w:jc w:val="both"/>
      </w:pPr>
      <w:r>
        <w:rPr>
          <w:rFonts w:ascii="Barlow Semi Condensed" w:cs="Barlow Semi Condensed" w:eastAsia="Barlow Semi Condensed" w:hAnsi="Barlow Semi Condensed"/>
          <w:b/>
          <w:bCs/>
          <w:sz w:val="24"/>
          <w:szCs w:val="24"/>
        </w:rPr>
        <w:t xml:space="preserve">502 · Le lettere degli altri.</w:t>
      </w:r>
      <w:r>
        <w:rPr>
          <w:rFonts w:ascii="Barlow Semi Condensed" w:cs="Barlow Semi Condensed" w:eastAsia="Barlow Semi Condensed" w:hAnsi="Barlow Semi Condensed"/>
          <w:sz w:val="24"/>
          <w:szCs w:val="24"/>
        </w:rPr>
        <w:t xml:space="preserve"> Il corpus speculare: le lettere scritte A Moro prigioniero — gli appelli, i messaggi pubblici, le risposte tentate: censimento e tradizione. Il dialogo fu asimmetrico ma non muto: l'altra metà della corrispondenza si censisce anch'essa.</w:t>
      </w:r>
    </w:p>
    <w:p>
      <w:pPr>
        <w:spacing w:after="120" w:line="276"/>
        <w:jc w:val="both"/>
      </w:pPr>
      <w:r>
        <w:rPr>
          <w:rFonts w:ascii="Barlow Semi Condensed" w:cs="Barlow Semi Condensed" w:eastAsia="Barlow Semi Condensed" w:hAnsi="Barlow Semi Condensed"/>
          <w:b/>
          <w:bCs/>
          <w:sz w:val="24"/>
          <w:szCs w:val="24"/>
        </w:rPr>
        <w:t xml:space="preserve">503 · Gli appelli pubblici.</w:t>
      </w:r>
      <w:r>
        <w:rPr>
          <w:rFonts w:ascii="Barlow Semi Condensed" w:cs="Barlow Semi Condensed" w:eastAsia="Barlow Semi Condensed" w:hAnsi="Barlow Semi Condensed"/>
          <w:sz w:val="24"/>
          <w:szCs w:val="24"/>
        </w:rPr>
        <w:t xml:space="preserve"> La tavola degli appelli dei 55 giorni — il Papa, l'ONU (Waldheim), Amnesty, le personalità: testi, date, risposte brigatiste nei comunicati. La retorica pubblica della crisi come corpus datato: chi chiese che cosa, e che cosa rispose la colonna sonora dei comunicati.</w:t>
      </w:r>
    </w:p>
    <w:p>
      <w:pPr>
        <w:spacing w:after="120" w:line="276"/>
        <w:jc w:val="both"/>
      </w:pPr>
      <w:r>
        <w:rPr>
          <w:rFonts w:ascii="Barlow Semi Condensed" w:cs="Barlow Semi Condensed" w:eastAsia="Barlow Semi Condensed" w:hAnsi="Barlow Semi Condensed"/>
          <w:b/>
          <w:bCs/>
          <w:sz w:val="24"/>
          <w:szCs w:val="24"/>
        </w:rPr>
        <w:t xml:space="preserve">504 · La famiglia e le sue parole.</w:t>
      </w:r>
      <w:r>
        <w:rPr>
          <w:rFonts w:ascii="Barlow Semi Condensed" w:cs="Barlow Semi Condensed" w:eastAsia="Barlow Semi Condensed" w:hAnsi="Barlow Semi Condensed"/>
          <w:sz w:val="24"/>
          <w:szCs w:val="24"/>
        </w:rPr>
        <w:t xml:space="preserve"> I comunicati e le lettere della famiglia Moro durante la crisi: censimento e cronologia, con la priorità di rispetto. La voce della famiglia fu un attore della crisi: si documenta con la misura dovuta e la completezza necessaria.</w:t>
      </w:r>
    </w:p>
    <w:p>
      <w:pPr>
        <w:spacing w:after="120" w:line="276"/>
        <w:jc w:val="both"/>
      </w:pPr>
      <w:r>
        <w:rPr>
          <w:rFonts w:ascii="Barlow Semi Condensed" w:cs="Barlow Semi Condensed" w:eastAsia="Barlow Semi Condensed" w:hAnsi="Barlow Semi Condensed"/>
          <w:b/>
          <w:bCs/>
          <w:sz w:val="24"/>
          <w:szCs w:val="24"/>
        </w:rPr>
        <w:t xml:space="preserve">505 · Le carte dei destinatari.</w:t>
      </w:r>
      <w:r>
        <w:rPr>
          <w:rFonts w:ascii="Barlow Semi Condensed" w:cs="Barlow Semi Condensed" w:eastAsia="Barlow Semi Condensed" w:hAnsi="Barlow Semi Condensed"/>
          <w:sz w:val="24"/>
          <w:szCs w:val="24"/>
        </w:rPr>
        <w:t xml:space="preserve"> Il raccordo coi fondi (Parte terza): per ogni lettera maggiore, che cosa il fondo del destinatario conserva — l'originale ricevuto, le minute di risposta, le annotazioni. La ricomposizione dei carteggi attraverso i fondi (il blocco 234, eseguito per la prigionia).</w:t>
      </w:r>
    </w:p>
    <w:p>
      <w:pPr>
        <w:spacing w:after="120" w:line="276"/>
        <w:jc w:val="both"/>
      </w:pPr>
      <w:r>
        <w:rPr>
          <w:rFonts w:ascii="Barlow Semi Condensed" w:cs="Barlow Semi Condensed" w:eastAsia="Barlow Semi Condensed" w:hAnsi="Barlow Semi Condensed"/>
          <w:b/>
          <w:bCs/>
          <w:sz w:val="24"/>
          <w:szCs w:val="24"/>
        </w:rPr>
        <w:t xml:space="preserve">506 · Il facsimile e la fruizione.</w:t>
      </w:r>
      <w:r>
        <w:rPr>
          <w:rFonts w:ascii="Barlow Semi Condensed" w:cs="Barlow Semi Condensed" w:eastAsia="Barlow Semi Condensed" w:hAnsi="Barlow Semi Condensed"/>
          <w:sz w:val="24"/>
          <w:szCs w:val="24"/>
        </w:rPr>
        <w:t xml:space="preserve"> Il progetto di fruizione: i facsimili digitali ad alta definizione del corpus, liberamente consultabili con gli apparati. La voce del prigioniero come patrimonio pubblico leggibile alla carta: la digitalizzazione è restituzione civile, non solo tecnica.</w:t>
      </w:r>
    </w:p>
    <w:p>
      <w:pPr>
        <w:spacing w:after="120" w:line="276"/>
        <w:jc w:val="both"/>
      </w:pPr>
      <w:r>
        <w:rPr>
          <w:rFonts w:ascii="Barlow Semi Condensed" w:cs="Barlow Semi Condensed" w:eastAsia="Barlow Semi Condensed" w:hAnsi="Barlow Semi Condensed"/>
          <w:b/>
          <w:bCs/>
          <w:sz w:val="24"/>
          <w:szCs w:val="24"/>
        </w:rPr>
        <w:t xml:space="preserve">507 · Le falsificazioni epistolari.</w:t>
      </w:r>
      <w:r>
        <w:rPr>
          <w:rFonts w:ascii="Barlow Semi Condensed" w:cs="Barlow Semi Condensed" w:eastAsia="Barlow Semi Condensed" w:hAnsi="Barlow Semi Condensed"/>
          <w:sz w:val="24"/>
          <w:szCs w:val="24"/>
        </w:rPr>
        <w:t xml:space="preserve"> Il registro dei falsi epistolari del caso (lettere apocrife circolate nei decenni): censimento, perizie, catalogo (il raccordo col blocco 441). Anche la voce di Moro ha i suoi falsari: il catalogo dei falsi protegge il canone.</w:t>
      </w:r>
    </w:p>
    <w:p>
      <w:pPr>
        <w:spacing w:after="120" w:line="276"/>
        <w:jc w:val="both"/>
      </w:pPr>
      <w:r>
        <w:rPr>
          <w:rFonts w:ascii="Barlow Semi Condensed" w:cs="Barlow Semi Condensed" w:eastAsia="Barlow Semi Condensed" w:hAnsi="Barlow Semi Condensed"/>
          <w:b/>
          <w:bCs/>
          <w:sz w:val="24"/>
          <w:szCs w:val="24"/>
        </w:rPr>
        <w:t xml:space="preserve">508 · La didattica delle lettere.</w:t>
      </w:r>
      <w:r>
        <w:rPr>
          <w:rFonts w:ascii="Barlow Semi Condensed" w:cs="Barlow Semi Condensed" w:eastAsia="Barlow Semi Condensed" w:hAnsi="Barlow Semi Condensed"/>
          <w:sz w:val="24"/>
          <w:szCs w:val="24"/>
        </w:rPr>
        <w:t xml:space="preserve"> Il progetto scolastico della sezione: le lettere nella didattica della memoria repubblicana — la selezione commentata per le scuole, col metodo del corpus. La pagina più alta e più dolorosa della Prima repubblica si insegna: il cantiere prepara l'edizione per farlo bene.</w:t>
      </w:r>
    </w:p>
    <w:p>
      <w:pPr>
        <w:spacing w:after="120" w:line="276"/>
        <w:jc w:val="both"/>
      </w:pPr>
      <w:r>
        <w:rPr>
          <w:rFonts w:ascii="Barlow Semi Condensed" w:cs="Barlow Semi Condensed" w:eastAsia="Barlow Semi Condensed" w:hAnsi="Barlow Semi Condensed"/>
          <w:b/>
          <w:bCs/>
          <w:sz w:val="24"/>
          <w:szCs w:val="24"/>
        </w:rPr>
        <w:t xml:space="preserve">509 · I vuoti epistolari.</w:t>
      </w:r>
      <w:r>
        <w:rPr>
          <w:rFonts w:ascii="Barlow Semi Condensed" w:cs="Barlow Semi Condensed" w:eastAsia="Barlow Semi Condensed" w:hAnsi="Barlow Semi Condensed"/>
          <w:sz w:val="24"/>
          <w:szCs w:val="24"/>
        </w:rPr>
        <w:t xml:space="preserve"> Il verbale dei vuoti: le lettere menzionate e mai trovate, i destinatari incerti, le tradizioni interrotte — lo Stato Zero epistolare, perimetrato. Anche il canone ha i suoi fantasmi: si contano come tutto il resto.</w:t>
      </w:r>
    </w:p>
    <w:p>
      <w:pPr>
        <w:spacing w:after="120" w:line="276"/>
        <w:jc w:val="both"/>
      </w:pPr>
      <w:r>
        <w:rPr>
          <w:rFonts w:ascii="Barlow Semi Condensed" w:cs="Barlow Semi Condensed" w:eastAsia="Barlow Semi Condensed" w:hAnsi="Barlow Semi Condensed"/>
          <w:b/>
          <w:bCs/>
          <w:sz w:val="24"/>
          <w:szCs w:val="24"/>
        </w:rPr>
        <w:t xml:space="preserve">510 · La tavola delle lettere.</w:t>
      </w:r>
      <w:r>
        <w:rPr>
          <w:rFonts w:ascii="Barlow Semi Condensed" w:cs="Barlow Semi Condensed" w:eastAsia="Barlow Semi Condensed" w:hAnsi="Barlow Semi Condensed"/>
          <w:sz w:val="24"/>
          <w:szCs w:val="24"/>
        </w:rPr>
        <w:t xml:space="preserve"> La chiusura della sezione: il canone censito, i recapiti tabulati, le edizioni collazionate, i progetti avviati. La filologia delle lettere consegna la sua contabilità — e la voce, restituita, resta.</w:t>
      </w:r>
    </w:p>
    <w:p>
      <w:pPr>
        <w:pStyle w:val="Heading3"/>
        <w:spacing w:after="80" w:before="160"/>
      </w:pPr>
      <w:r>
        <w:rPr>
          <w:rFonts w:ascii="Barlow Semi Condensed" w:cs="Barlow Semi Condensed" w:eastAsia="Barlow Semi Condensed" w:hAnsi="Barlow Semi Condensed"/>
          <w:sz w:val="24"/>
          <w:szCs w:val="24"/>
        </w:rPr>
        <w:t xml:space="preserve">I comunicati e i falsi (blocchi 511-535)</w:t>
      </w:r>
    </w:p>
    <w:p>
      <w:pPr>
        <w:spacing w:after="120" w:line="276"/>
        <w:jc w:val="both"/>
      </w:pPr>
      <w:r>
        <w:rPr>
          <w:rFonts w:ascii="Barlow Semi Condensed" w:cs="Barlow Semi Condensed" w:eastAsia="Barlow Semi Condensed" w:hAnsi="Barlow Semi Condensed"/>
          <w:b/>
          <w:bCs/>
          <w:sz w:val="24"/>
          <w:szCs w:val="24"/>
        </w:rPr>
        <w:t xml:space="preserve">511 · Il canone dei nove.</w:t>
      </w:r>
      <w:r>
        <w:rPr>
          <w:rFonts w:ascii="Barlow Semi Condensed" w:cs="Barlow Semi Condensed" w:eastAsia="Barlow Semi Condensed" w:hAnsi="Barlow Semi Condensed"/>
          <w:sz w:val="24"/>
          <w:szCs w:val="24"/>
        </w:rPr>
        <w:t xml:space="preserve"> Il fatto verificato: i nove comunicati autentici del sequestro, con le date fissate dagli strumenti della Direzione generale Archivi — n. 1 (16 marzo), n. 2 (25 marzo), n. 3 (29 marzo), n. 4 (4 aprile), n. 5 (10 aprile), n. 6 (15 aprile), n. 7 (20 aprile), n. 8 (24 aprile), n. 9 (5 maggio 1978). Il canone datato è il telaio della sezione: ogni analisi vi si aggancia.</w:t>
      </w:r>
    </w:p>
    <w:p>
      <w:pPr>
        <w:spacing w:after="120" w:line="276"/>
        <w:jc w:val="both"/>
      </w:pPr>
      <w:r>
        <w:rPr>
          <w:rFonts w:ascii="Barlow Semi Condensed" w:cs="Barlow Semi Condensed" w:eastAsia="Barlow Semi Condensed" w:hAnsi="Barlow Semi Condensed"/>
          <w:b/>
          <w:bCs/>
          <w:sz w:val="24"/>
          <w:szCs w:val="24"/>
        </w:rPr>
        <w:t xml:space="preserve">512 · Le emissioni multiple.</w:t>
      </w:r>
      <w:r>
        <w:rPr>
          <w:rFonts w:ascii="Barlow Semi Condensed" w:cs="Barlow Semi Condensed" w:eastAsia="Barlow Semi Condensed" w:hAnsi="Barlow Semi Condensed"/>
          <w:sz w:val="24"/>
          <w:szCs w:val="24"/>
        </w:rPr>
        <w:t xml:space="preserve"> Il dato materiale verificato: ogni comunicato fu diffuso in più copie ciclostilate fatte ritrovare contemporaneamente in più città — non esiste un unico originale. La tavola delle emissioni: per ogni comunicato, i luoghi e gli orari dei ritrovamenti, dagli atti — la geografia della propaganda come logistica documentata.</w:t>
      </w:r>
    </w:p>
    <w:p>
      <w:pPr>
        <w:spacing w:after="120" w:line="276"/>
        <w:jc w:val="both"/>
      </w:pPr>
      <w:r>
        <w:rPr>
          <w:rFonts w:ascii="Barlow Semi Condensed" w:cs="Barlow Semi Condensed" w:eastAsia="Barlow Semi Condensed" w:hAnsi="Barlow Semi Condensed"/>
          <w:b/>
          <w:bCs/>
          <w:sz w:val="24"/>
          <w:szCs w:val="24"/>
        </w:rPr>
        <w:t xml:space="preserve">513 · La rete dei ritrovamenti.</w:t>
      </w:r>
      <w:r>
        <w:rPr>
          <w:rFonts w:ascii="Barlow Semi Condensed" w:cs="Barlow Semi Condensed" w:eastAsia="Barlow Semi Condensed" w:hAnsi="Barlow Semi Condensed"/>
          <w:sz w:val="24"/>
          <w:szCs w:val="24"/>
        </w:rPr>
        <w:t xml:space="preserve"> L'analisi della logistica: chi telefonava, a quali redazioni, con quali formule — la tavola delle telefonate di annuncio e dei cestini. La distribuzione era un'operazione in sé, ripetuta nove volte: la sua struttura documentata è un ritratto operativo della colonna.</w:t>
      </w:r>
    </w:p>
    <w:p>
      <w:pPr>
        <w:spacing w:after="120" w:line="276"/>
        <w:jc w:val="both"/>
      </w:pPr>
      <w:r>
        <w:rPr>
          <w:rFonts w:ascii="Barlow Semi Condensed" w:cs="Barlow Semi Condensed" w:eastAsia="Barlow Semi Condensed" w:hAnsi="Barlow Semi Condensed"/>
          <w:b/>
          <w:bCs/>
          <w:sz w:val="24"/>
          <w:szCs w:val="24"/>
        </w:rPr>
        <w:t xml:space="preserve">514 · Il lessico dei comunicati.</w:t>
      </w:r>
      <w:r>
        <w:rPr>
          <w:rFonts w:ascii="Barlow Semi Condensed" w:cs="Barlow Semi Condensed" w:eastAsia="Barlow Semi Condensed" w:hAnsi="Barlow Semi Condensed"/>
          <w:sz w:val="24"/>
          <w:szCs w:val="24"/>
        </w:rPr>
        <w:t xml:space="preserve"> L'analisi linguistica del corpus brigatista (gli studi censiti: l'analisi di Matteo Re e la letteratura accademica): formule, sintassi, evoluzione lungo i 55 giorni. La lingua dell'organizzazione come oggetto: che cosa cambia dal n. 1 al n. 9, e che cosa il cambiamento dice.</w:t>
      </w:r>
    </w:p>
    <w:p>
      <w:pPr>
        <w:spacing w:after="120" w:line="276"/>
        <w:jc w:val="both"/>
      </w:pPr>
      <w:r>
        <w:rPr>
          <w:rFonts w:ascii="Barlow Semi Condensed" w:cs="Barlow Semi Condensed" w:eastAsia="Barlow Semi Condensed" w:hAnsi="Barlow Semi Condensed"/>
          <w:b/>
          <w:bCs/>
          <w:sz w:val="24"/>
          <w:szCs w:val="24"/>
        </w:rPr>
        <w:t xml:space="preserve">515 · La «risoluzione» e i comunicati.</w:t>
      </w:r>
      <w:r>
        <w:rPr>
          <w:rFonts w:ascii="Barlow Semi Condensed" w:cs="Barlow Semi Condensed" w:eastAsia="Barlow Semi Condensed" w:hAnsi="Barlow Semi Condensed"/>
          <w:sz w:val="24"/>
          <w:szCs w:val="24"/>
        </w:rPr>
        <w:t xml:space="preserve"> Il confronto interno: i comunicati contro la Risoluzione della direzione strategica e i documenti organici coevi — la tavola delle coerenze dottrinali. Il sequestro fu anche un'operazione ideologica: la sua coerenza documentale interna si misura.</w:t>
      </w:r>
    </w:p>
    <w:p>
      <w:pPr>
        <w:spacing w:after="120" w:line="276"/>
        <w:jc w:val="both"/>
      </w:pPr>
      <w:r>
        <w:rPr>
          <w:rFonts w:ascii="Barlow Semi Condensed" w:cs="Barlow Semi Condensed" w:eastAsia="Barlow Semi Condensed" w:hAnsi="Barlow Semi Condensed"/>
          <w:b/>
          <w:bCs/>
          <w:sz w:val="24"/>
          <w:szCs w:val="24"/>
        </w:rPr>
        <w:t xml:space="preserve">516 · Il comunicato n. 7 vero.</w:t>
      </w:r>
      <w:r>
        <w:rPr>
          <w:rFonts w:ascii="Barlow Semi Condensed" w:cs="Barlow Semi Condensed" w:eastAsia="Barlow Semi Condensed" w:hAnsi="Barlow Semi Condensed"/>
          <w:sz w:val="24"/>
          <w:szCs w:val="24"/>
        </w:rPr>
        <w:t xml:space="preserve"> La scheda dedicata: il comunicato del 20 aprile — la fotografia con la Repubblica del 19, il testo, il contesto (due giorni dopo il falso). Il documento che smentì il falso è anche la prova di vita più celebre del caso: la sua scheda integra materia (la foto: blocco 425) e testo.</w:t>
      </w:r>
    </w:p>
    <w:p>
      <w:pPr>
        <w:spacing w:after="120" w:line="276"/>
        <w:jc w:val="both"/>
      </w:pPr>
      <w:r>
        <w:rPr>
          <w:rFonts w:ascii="Barlow Semi Condensed" w:cs="Barlow Semi Condensed" w:eastAsia="Barlow Semi Condensed" w:hAnsi="Barlow Semi Condensed"/>
          <w:b/>
          <w:bCs/>
          <w:sz w:val="24"/>
          <w:szCs w:val="24"/>
        </w:rPr>
        <w:t xml:space="preserve">517 · Il falso del 18 aprile, la scheda.</w:t>
      </w:r>
      <w:r>
        <w:rPr>
          <w:rFonts w:ascii="Barlow Semi Condensed" w:cs="Barlow Semi Condensed" w:eastAsia="Barlow Semi Condensed" w:hAnsi="Barlow Semi Condensed"/>
          <w:sz w:val="24"/>
          <w:szCs w:val="24"/>
        </w:rPr>
        <w:t xml:space="preserve"> Il fatto verificato nella sua interezza: la telefonata anonima delle 9:25 al Messaggero, il ritrovamento in piazza Gioacchino Belli, l'annuncio del corpo «nei fondali limacciosi» del Lago della Duchessa — falso. Con due precisazioni che pesano: le verifiche tecniche dell'aprile 1978 non ne riconobbero la falsità; e l'attribuzione a Chichiarelli è istruttoria e peritale, emersa postuma dalle indagini sulla rapina Brink's, mai giudicata (ucciso prima di ogni contestazione). La scheda del falso più famoso della Repubblica, coi suoi gradi esatti.</w:t>
      </w:r>
    </w:p>
    <w:p>
      <w:pPr>
        <w:spacing w:after="120" w:line="276"/>
        <w:jc w:val="both"/>
      </w:pPr>
      <w:r>
        <w:rPr>
          <w:rFonts w:ascii="Barlow Semi Condensed" w:cs="Barlow Semi Condensed" w:eastAsia="Barlow Semi Condensed" w:hAnsi="Barlow Semi Condensed"/>
          <w:b/>
          <w:bCs/>
          <w:sz w:val="24"/>
          <w:szCs w:val="24"/>
        </w:rPr>
        <w:t xml:space="preserve">518 · Il giorno triplo, dal lato del falso.</w:t>
      </w:r>
      <w:r>
        <w:rPr>
          <w:rFonts w:ascii="Barlow Semi Condensed" w:cs="Barlow Semi Condensed" w:eastAsia="Barlow Semi Condensed" w:hAnsi="Barlow Semi Condensed"/>
          <w:sz w:val="24"/>
          <w:szCs w:val="24"/>
        </w:rPr>
        <w:t xml:space="preserve"> Il 18 aprile come sistema: il falso comunicato, l'acqua di via Gradoli, la perquisizione del covo — la tavola oraria integrale (il blocco 250 dell'agenda, eseguito dal versante documentale del falso). Tre eventi in un giorno: la loro sequenza oraria è il quesito, la coincidenza è l'ipotesi da testare — non la tesi.</w:t>
      </w:r>
    </w:p>
    <w:p>
      <w:pPr>
        <w:spacing w:after="120" w:line="276"/>
        <w:jc w:val="both"/>
      </w:pPr>
      <w:r>
        <w:rPr>
          <w:rFonts w:ascii="Barlow Semi Condensed" w:cs="Barlow Semi Condensed" w:eastAsia="Barlow Semi Condensed" w:hAnsi="Barlow Semi Condensed"/>
          <w:b/>
          <w:bCs/>
          <w:sz w:val="24"/>
          <w:szCs w:val="24"/>
        </w:rPr>
        <w:t xml:space="preserve">519 · La spedizione al lago.</w:t>
      </w:r>
      <w:r>
        <w:rPr>
          <w:rFonts w:ascii="Barlow Semi Condensed" w:cs="Barlow Semi Condensed" w:eastAsia="Barlow Semi Condensed" w:hAnsi="Barlow Semi Condensed"/>
          <w:sz w:val="24"/>
          <w:szCs w:val="24"/>
        </w:rPr>
        <w:t xml:space="preserve"> L'operazione del Lago della Duchessa in atti: i sommozzatori, i verbali, le immagini — la ricostruzione documentale della ricerca del corpo che non c'era. Lo Stato mobilitato da un falso: l'operazione è essa stessa un documento sull'efficacia del depistaggio.</w:t>
      </w:r>
    </w:p>
    <w:p>
      <w:pPr>
        <w:spacing w:after="120" w:line="276"/>
        <w:jc w:val="both"/>
      </w:pPr>
      <w:r>
        <w:rPr>
          <w:rFonts w:ascii="Barlow Semi Condensed" w:cs="Barlow Semi Condensed" w:eastAsia="Barlow Semi Condensed" w:hAnsi="Barlow Semi Condensed"/>
          <w:b/>
          <w:bCs/>
          <w:sz w:val="24"/>
          <w:szCs w:val="24"/>
        </w:rPr>
        <w:t xml:space="preserve">520 · Il falso n. 10.</w:t>
      </w:r>
      <w:r>
        <w:rPr>
          <w:rFonts w:ascii="Barlow Semi Condensed" w:cs="Barlow Semi Condensed" w:eastAsia="Barlow Semi Condensed" w:hAnsi="Barlow Semi Condensed"/>
          <w:sz w:val="24"/>
          <w:szCs w:val="24"/>
        </w:rPr>
        <w:t xml:space="preserve"> Il secondo falso segnalato dalle fonti: il censimento documentale del falso comunicato successivo attribuito alla stessa mano — testo, ritrovamento, perizie. La famiglia dei falsi si studia unita: due pezzi, una tecnica, un quesito sulla genesi.</w:t>
      </w:r>
    </w:p>
    <w:p>
      <w:pPr>
        <w:spacing w:after="120" w:line="276"/>
        <w:jc w:val="both"/>
      </w:pPr>
      <w:r>
        <w:rPr>
          <w:rFonts w:ascii="Barlow Semi Condensed" w:cs="Barlow Semi Condensed" w:eastAsia="Barlow Semi Condensed" w:hAnsi="Barlow Semi Condensed"/>
          <w:b/>
          <w:bCs/>
          <w:sz w:val="24"/>
          <w:szCs w:val="24"/>
        </w:rPr>
        <w:t xml:space="preserve">521 · La mano e la macchina del falso.</w:t>
      </w:r>
      <w:r>
        <w:rPr>
          <w:rFonts w:ascii="Barlow Semi Condensed" w:cs="Barlow Semi Condensed" w:eastAsia="Barlow Semi Condensed" w:hAnsi="Barlow Semi Condensed"/>
          <w:sz w:val="24"/>
          <w:szCs w:val="24"/>
        </w:rPr>
        <w:t xml:space="preserve"> Il nodo tecnico dichiarato: la divergenza registrata fra le fonti sulla testina IBM del borsello (compatibile o no coi falsi) — da chiudere in perizia moderna (il blocco 435, dal versante testuale). Il falso ha una meccanica: la sua chiusura tecnica è il bersaglio più maturo della sezione.</w:t>
      </w:r>
    </w:p>
    <w:p>
      <w:pPr>
        <w:spacing w:after="120" w:line="276"/>
        <w:jc w:val="both"/>
      </w:pPr>
      <w:r>
        <w:rPr>
          <w:rFonts w:ascii="Barlow Semi Condensed" w:cs="Barlow Semi Condensed" w:eastAsia="Barlow Semi Condensed" w:hAnsi="Barlow Semi Condensed"/>
          <w:b/>
          <w:bCs/>
          <w:sz w:val="24"/>
          <w:szCs w:val="24"/>
        </w:rPr>
        <w:t xml:space="preserve">522 · Chichiarelli, la scheda personalistica.</w:t>
      </w:r>
      <w:r>
        <w:rPr>
          <w:rFonts w:ascii="Barlow Semi Condensed" w:cs="Barlow Semi Condensed" w:eastAsia="Barlow Semi Condensed" w:hAnsi="Barlow Semi Condensed"/>
          <w:sz w:val="24"/>
          <w:szCs w:val="24"/>
        </w:rPr>
        <w:t xml:space="preserve"> La scheda dell'uomo, con la disciplina del corpus: Antonio Chichiarelli, falsario legato agli ambienti della banda della Magliana secondo gli accertamenti istruttori, autore peritale del falso n. 7, ucciso a Roma nella notte del 28 settembre 1984 (quartiere Talenti, la compagna ferita) — omicidio mai risolto. Fatti, gradi, e nessuna colpa oltre gli atti: la regola personalistica al lavoro sul caso più torbido.</w:t>
      </w:r>
    </w:p>
    <w:p>
      <w:pPr>
        <w:spacing w:after="120" w:line="276"/>
        <w:jc w:val="both"/>
      </w:pPr>
      <w:r>
        <w:rPr>
          <w:rFonts w:ascii="Barlow Semi Condensed" w:cs="Barlow Semi Condensed" w:eastAsia="Barlow Semi Condensed" w:hAnsi="Barlow Semi Condensed"/>
          <w:b/>
          <w:bCs/>
          <w:sz w:val="24"/>
          <w:szCs w:val="24"/>
        </w:rPr>
        <w:t xml:space="preserve">523 · Il taxi e il borsello, dal lato documentale.</w:t>
      </w:r>
      <w:r>
        <w:rPr>
          <w:rFonts w:ascii="Barlow Semi Condensed" w:cs="Barlow Semi Condensed" w:eastAsia="Barlow Semi Condensed" w:hAnsi="Barlow Semi Condensed"/>
          <w:sz w:val="24"/>
          <w:szCs w:val="24"/>
        </w:rPr>
        <w:t xml:space="preserve"> I contenuti informativi del borsello del 14 aprile 1979 (le schede false su personaggi pubblici): l'analisi testuale — che cosa le schede sapevano, da dove le informazioni potevano venire, in tavola ACH. Il falsario che sapeva: il quesito della fonte delle sue conoscenze è la vera posta della vicenda.</w:t>
      </w:r>
    </w:p>
    <w:p>
      <w:pPr>
        <w:spacing w:after="120" w:line="276"/>
        <w:jc w:val="both"/>
      </w:pPr>
      <w:r>
        <w:rPr>
          <w:rFonts w:ascii="Barlow Semi Condensed" w:cs="Barlow Semi Condensed" w:eastAsia="Barlow Semi Condensed" w:hAnsi="Barlow Semi Condensed"/>
          <w:b/>
          <w:bCs/>
          <w:sz w:val="24"/>
          <w:szCs w:val="24"/>
        </w:rPr>
        <w:t xml:space="preserve">524 · L'omicidio del falsario.</w:t>
      </w:r>
      <w:r>
        <w:rPr>
          <w:rFonts w:ascii="Barlow Semi Condensed" w:cs="Barlow Semi Condensed" w:eastAsia="Barlow Semi Condensed" w:hAnsi="Barlow Semi Condensed"/>
          <w:sz w:val="24"/>
          <w:szCs w:val="24"/>
        </w:rPr>
        <w:t xml:space="preserve"> Il fascicolo del settembre 1984: gli atti del procedimento sull'omicidio Chichiarelli — le piste istruttorie, gli esiti, lo stato. Il cantiere censisce il fascicolo per ciò che documenta sul caso Moro: la morte violenta dell'autore del falso è un fatto che il quesito 13 non può ignorare.</w:t>
      </w:r>
    </w:p>
    <w:p>
      <w:pPr>
        <w:spacing w:after="120" w:line="276"/>
        <w:jc w:val="both"/>
      </w:pPr>
      <w:r>
        <w:rPr>
          <w:rFonts w:ascii="Barlow Semi Condensed" w:cs="Barlow Semi Condensed" w:eastAsia="Barlow Semi Condensed" w:hAnsi="Barlow Semi Condensed"/>
          <w:b/>
          <w:bCs/>
          <w:sz w:val="24"/>
          <w:szCs w:val="24"/>
        </w:rPr>
        <w:t xml:space="preserve">525 · I depistaggi come categoria.</w:t>
      </w:r>
      <w:r>
        <w:rPr>
          <w:rFonts w:ascii="Barlow Semi Condensed" w:cs="Barlow Semi Condensed" w:eastAsia="Barlow Semi Condensed" w:hAnsi="Barlow Semi Condensed"/>
          <w:sz w:val="24"/>
          <w:szCs w:val="24"/>
        </w:rPr>
        <w:t xml:space="preserve"> La tavola dei depistaggi documentati del caso: il falso n. 7 in testa, e ogni altro inquinamento accertato dagli atti — con la definizione rigorosa: depistaggio è ciò che un atto qualifica come tale, non ogni stranezza. Il catalogo disciplinato dei veleni: pochi, provati, datati.</w:t>
      </w:r>
    </w:p>
    <w:p>
      <w:pPr>
        <w:spacing w:after="120" w:line="276"/>
        <w:jc w:val="both"/>
      </w:pPr>
      <w:r>
        <w:rPr>
          <w:rFonts w:ascii="Barlow Semi Condensed" w:cs="Barlow Semi Condensed" w:eastAsia="Barlow Semi Condensed" w:hAnsi="Barlow Semi Condensed"/>
          <w:b/>
          <w:bCs/>
          <w:sz w:val="24"/>
          <w:szCs w:val="24"/>
        </w:rPr>
        <w:t xml:space="preserve">526 · Le rivendicazioni spurie.</w:t>
      </w:r>
      <w:r>
        <w:rPr>
          <w:rFonts w:ascii="Barlow Semi Condensed" w:cs="Barlow Semi Condensed" w:eastAsia="Barlow Semi Condensed" w:hAnsi="Barlow Semi Condensed"/>
          <w:sz w:val="24"/>
          <w:szCs w:val="24"/>
        </w:rPr>
        <w:t xml:space="preserve"> Il censimento delle telefonate e rivendicazioni spurie dei 55 giorni (dagli atti): la tavola del rumore — chi chiamò, che cosa disse, che cosa ne fu verificato. Il fondo di rumore della crisi è un dato di contesto: misura la difficoltà di chi doveva filtrare (il raccordo col quesito 7).</w:t>
      </w:r>
    </w:p>
    <w:p>
      <w:pPr>
        <w:spacing w:after="120" w:line="276"/>
        <w:jc w:val="both"/>
      </w:pPr>
      <w:r>
        <w:rPr>
          <w:rFonts w:ascii="Barlow Semi Condensed" w:cs="Barlow Semi Condensed" w:eastAsia="Barlow Semi Condensed" w:hAnsi="Barlow Semi Condensed"/>
          <w:b/>
          <w:bCs/>
          <w:sz w:val="24"/>
          <w:szCs w:val="24"/>
        </w:rPr>
        <w:t xml:space="preserve">527 · La seduta del 2 aprile, dal lato testuale.</w:t>
      </w:r>
      <w:r>
        <w:rPr>
          <w:rFonts w:ascii="Barlow Semi Condensed" w:cs="Barlow Semi Condensed" w:eastAsia="Barlow Semi Condensed" w:hAnsi="Barlow Semi Condensed"/>
          <w:sz w:val="24"/>
          <w:szCs w:val="24"/>
        </w:rPr>
        <w:t xml:space="preserve"> Il raccordo: la parola «Gradoli» come testo — le trascrizioni d'epoca della seduta, le versioni dei presenti, la filologia della parola (il quesito 3, dal versante documentale del cantiere). Una parola come reperto: la sua tradizione testuale si ricostruisce come quella di un verso antico.</w:t>
      </w:r>
    </w:p>
    <w:p>
      <w:pPr>
        <w:spacing w:after="120" w:line="276"/>
        <w:jc w:val="both"/>
      </w:pPr>
      <w:r>
        <w:rPr>
          <w:rFonts w:ascii="Barlow Semi Condensed" w:cs="Barlow Semi Condensed" w:eastAsia="Barlow Semi Condensed" w:hAnsi="Barlow Semi Condensed"/>
          <w:b/>
          <w:bCs/>
          <w:sz w:val="24"/>
          <w:szCs w:val="24"/>
        </w:rPr>
        <w:t xml:space="preserve">528 · I comunicati e la stampa.</w:t>
      </w:r>
      <w:r>
        <w:rPr>
          <w:rFonts w:ascii="Barlow Semi Condensed" w:cs="Barlow Semi Condensed" w:eastAsia="Barlow Semi Condensed" w:hAnsi="Barlow Semi Condensed"/>
          <w:sz w:val="24"/>
          <w:szCs w:val="24"/>
        </w:rPr>
        <w:t xml:space="preserve"> La tavola della pubblicazione: come i giornali trattarono ciascun comunicato — testi integrali, tagli, commenti — giorno per giorno. La mediazione giornalistica dei testi brigatisti è parte della loro storia: che cosa il paese lesse davvero, e in che forma.</w:t>
      </w:r>
    </w:p>
    <w:p>
      <w:pPr>
        <w:spacing w:after="120" w:line="276"/>
        <w:jc w:val="both"/>
      </w:pPr>
      <w:r>
        <w:rPr>
          <w:rFonts w:ascii="Barlow Semi Condensed" w:cs="Barlow Semi Condensed" w:eastAsia="Barlow Semi Condensed" w:hAnsi="Barlow Semi Condensed"/>
          <w:b/>
          <w:bCs/>
          <w:sz w:val="24"/>
          <w:szCs w:val="24"/>
        </w:rPr>
        <w:t xml:space="preserve">529 · Le veline sulla stampa.</w:t>
      </w:r>
      <w:r>
        <w:rPr>
          <w:rFonts w:ascii="Barlow Semi Condensed" w:cs="Barlow Semi Condensed" w:eastAsia="Barlow Semi Condensed" w:hAnsi="Barlow Semi Condensed"/>
          <w:sz w:val="24"/>
          <w:szCs w:val="24"/>
        </w:rPr>
        <w:t xml:space="preserve"> Il quesito documentato del condizionamento: gli interventi istituzionali sulla stampa nei 55 giorni — le direttive, gli appelli all'autoregolamentazione, i casi documentati — dagli atti e dagli archivi delle redazioni. Il governo dell'informazione nella crisi: un capitolo con carte proprie.</w:t>
      </w:r>
    </w:p>
    <w:p>
      <w:pPr>
        <w:spacing w:after="120" w:line="276"/>
        <w:jc w:val="both"/>
      </w:pPr>
      <w:r>
        <w:rPr>
          <w:rFonts w:ascii="Barlow Semi Condensed" w:cs="Barlow Semi Condensed" w:eastAsia="Barlow Semi Condensed" w:hAnsi="Barlow Semi Condensed"/>
          <w:b/>
          <w:bCs/>
          <w:sz w:val="24"/>
          <w:szCs w:val="24"/>
        </w:rPr>
        <w:t xml:space="preserve">530 · Il silenzio stampa discusso.</w:t>
      </w:r>
      <w:r>
        <w:rPr>
          <w:rFonts w:ascii="Barlow Semi Condensed" w:cs="Barlow Semi Condensed" w:eastAsia="Barlow Semi Condensed" w:hAnsi="Barlow Semi Condensed"/>
          <w:sz w:val="24"/>
          <w:szCs w:val="24"/>
        </w:rPr>
        <w:t xml:space="preserve"> Il dibattito d'epoca sul blackout informativo: le posizioni documentate delle testate, degli editori, dei giornalisti. La stampa si interrogò su se stessa in diretta: quel dibattito è un documento collettivo sulla crisi dell'informazione.</w:t>
      </w:r>
    </w:p>
    <w:p>
      <w:pPr>
        <w:spacing w:after="120" w:line="276"/>
        <w:jc w:val="both"/>
      </w:pPr>
      <w:r>
        <w:rPr>
          <w:rFonts w:ascii="Barlow Semi Condensed" w:cs="Barlow Semi Condensed" w:eastAsia="Barlow Semi Condensed" w:hAnsi="Barlow Semi Condensed"/>
          <w:b/>
          <w:bCs/>
          <w:sz w:val="24"/>
          <w:szCs w:val="24"/>
        </w:rPr>
        <w:t xml:space="preserve">531 · L'iconografia dei comunicati.</w:t>
      </w:r>
      <w:r>
        <w:rPr>
          <w:rFonts w:ascii="Barlow Semi Condensed" w:cs="Barlow Semi Condensed" w:eastAsia="Barlow Semi Condensed" w:hAnsi="Barlow Semi Condensed"/>
          <w:sz w:val="24"/>
          <w:szCs w:val="24"/>
        </w:rPr>
        <w:t xml:space="preserve"> La stella a cinque punte e l'apparato grafico: l'analisi dell'identità visiva dei documenti brigatisti — matrici, simboli, impaginazioni. La propaganda ha una grafica; la grafica ha una tecnica; la tecnica lascia tracce comparabili.</w:t>
      </w:r>
    </w:p>
    <w:p>
      <w:pPr>
        <w:spacing w:after="120" w:line="276"/>
        <w:jc w:val="both"/>
      </w:pPr>
      <w:r>
        <w:rPr>
          <w:rFonts w:ascii="Barlow Semi Condensed" w:cs="Barlow Semi Condensed" w:eastAsia="Barlow Semi Condensed" w:hAnsi="Barlow Semi Condensed"/>
          <w:b/>
          <w:bCs/>
          <w:sz w:val="24"/>
          <w:szCs w:val="24"/>
        </w:rPr>
        <w:t xml:space="preserve">532 · Gli originali dei comunicati, censiti.</w:t>
      </w:r>
      <w:r>
        <w:rPr>
          <w:rFonts w:ascii="Barlow Semi Condensed" w:cs="Barlow Semi Condensed" w:eastAsia="Barlow Semi Condensed" w:hAnsi="Barlow Semi Condensed"/>
          <w:sz w:val="24"/>
          <w:szCs w:val="24"/>
        </w:rPr>
        <w:t xml:space="preserve"> Il censimento materiale conclusivo: ogni esemplare conservato di ciascun comunicato (negli atti, negli archivi, nelle collezioni) — la tavola degli esemplari con le sedi. Il corpus materiale della propaganda, contato foglio per foglio (il raccordo col blocco 432).</w:t>
      </w:r>
    </w:p>
    <w:p>
      <w:pPr>
        <w:spacing w:after="120" w:line="276"/>
        <w:jc w:val="both"/>
      </w:pPr>
      <w:r>
        <w:rPr>
          <w:rFonts w:ascii="Barlow Semi Condensed" w:cs="Barlow Semi Condensed" w:eastAsia="Barlow Semi Condensed" w:hAnsi="Barlow Semi Condensed"/>
          <w:b/>
          <w:bCs/>
          <w:sz w:val="24"/>
          <w:szCs w:val="24"/>
        </w:rPr>
        <w:t xml:space="preserve">533 · Il falso e la teoria.</w:t>
      </w:r>
      <w:r>
        <w:rPr>
          <w:rFonts w:ascii="Barlow Semi Condensed" w:cs="Barlow Semi Condensed" w:eastAsia="Barlow Semi Condensed" w:hAnsi="Barlow Semi Condensed"/>
          <w:sz w:val="24"/>
          <w:szCs w:val="24"/>
        </w:rPr>
        <w:t xml:space="preserve"> Il quesito interpretativo disciplinato: a che cosa servì il falso del 18 aprile — le ipotesi documentate (prova generale, messaggio, copertura dell'irruzione possibile, depistaggio puro) in matrice ACH, con le evidenze discriminanti dichiarate. Le teorie si ordinano; non si sposano.</w:t>
      </w:r>
    </w:p>
    <w:p>
      <w:pPr>
        <w:spacing w:after="120" w:line="276"/>
        <w:jc w:val="both"/>
      </w:pPr>
      <w:r>
        <w:rPr>
          <w:rFonts w:ascii="Barlow Semi Condensed" w:cs="Barlow Semi Condensed" w:eastAsia="Barlow Semi Condensed" w:hAnsi="Barlow Semi Condensed"/>
          <w:b/>
          <w:bCs/>
          <w:sz w:val="24"/>
          <w:szCs w:val="24"/>
        </w:rPr>
        <w:t xml:space="preserve">534 · La lezione dei falsi.</w:t>
      </w:r>
      <w:r>
        <w:rPr>
          <w:rFonts w:ascii="Barlow Semi Condensed" w:cs="Barlow Semi Condensed" w:eastAsia="Barlow Semi Condensed" w:hAnsi="Barlow Semi Condensed"/>
          <w:sz w:val="24"/>
          <w:szCs w:val="24"/>
        </w:rPr>
        <w:t xml:space="preserve"> Il prodotto metodologico: il protocollo di autenticazione per ogni documento «nuovo» che il caso attirerà — la lezione di Chichiarelli istituzionalizzata (il raccordo coi blocchi 308 e 445). Il caso ha già pagato il prezzo dei falsi: il protocollo è la sua assicurazione.</w:t>
      </w:r>
    </w:p>
    <w:p>
      <w:pPr>
        <w:spacing w:after="120" w:line="276"/>
        <w:jc w:val="both"/>
      </w:pPr>
      <w:r>
        <w:rPr>
          <w:rFonts w:ascii="Barlow Semi Condensed" w:cs="Barlow Semi Condensed" w:eastAsia="Barlow Semi Condensed" w:hAnsi="Barlow Semi Condensed"/>
          <w:b/>
          <w:bCs/>
          <w:sz w:val="24"/>
          <w:szCs w:val="24"/>
        </w:rPr>
        <w:t xml:space="preserve">535 · La tavola dei comunicati.</w:t>
      </w:r>
      <w:r>
        <w:rPr>
          <w:rFonts w:ascii="Barlow Semi Condensed" w:cs="Barlow Semi Condensed" w:eastAsia="Barlow Semi Condensed" w:hAnsi="Barlow Semi Condensed"/>
          <w:sz w:val="24"/>
          <w:szCs w:val="24"/>
        </w:rPr>
        <w:t xml:space="preserve"> La chiusura della sezione: il canone datato, le emissioni censite, i falsi schedati, le perizie pendenti. La voce dei sequestratori e le sue contraffazioni, in tavola — accanto alla voce del prigioniero, e mai confusa con essa.</w:t>
      </w:r>
    </w:p>
    <w:p>
      <w:pPr>
        <w:pStyle w:val="Heading3"/>
        <w:spacing w:after="80" w:before="160"/>
      </w:pPr>
      <w:r>
        <w:rPr>
          <w:rFonts w:ascii="Barlow Semi Condensed" w:cs="Barlow Semi Condensed" w:eastAsia="Barlow Semi Condensed" w:hAnsi="Barlow Semi Condensed"/>
          <w:sz w:val="24"/>
          <w:szCs w:val="24"/>
        </w:rPr>
        <w:t xml:space="preserve">Le domande al testo e il governo della parte (blocchi 536-560)</w:t>
      </w:r>
    </w:p>
    <w:p>
      <w:pPr>
        <w:spacing w:after="120" w:line="276"/>
        <w:jc w:val="both"/>
      </w:pPr>
      <w:r>
        <w:rPr>
          <w:rFonts w:ascii="Barlow Semi Condensed" w:cs="Barlow Semi Condensed" w:eastAsia="Barlow Semi Condensed" w:hAnsi="Barlow Semi Condensed"/>
          <w:b/>
          <w:bCs/>
          <w:sz w:val="24"/>
          <w:szCs w:val="24"/>
        </w:rPr>
        <w:t xml:space="preserve">536 · Che cosa il memoriale dice.</w:t>
      </w:r>
      <w:r>
        <w:rPr>
          <w:rFonts w:ascii="Barlow Semi Condensed" w:cs="Barlow Semi Condensed" w:eastAsia="Barlow Semi Condensed" w:hAnsi="Barlow Semi Condensed"/>
          <w:sz w:val="24"/>
          <w:szCs w:val="24"/>
        </w:rPr>
        <w:t xml:space="preserve"> La mappa tematica integrale: i temi trattati nel corpus superstite — la tavola argomento per argomento con i fogli relativi. Prima di chiedersi che cosa manca, la disciplina vuole la mappa esatta di che cosa c'è: il contenuto censito, senza parafrasi.</w:t>
      </w:r>
    </w:p>
    <w:p>
      <w:pPr>
        <w:spacing w:after="120" w:line="276"/>
        <w:jc w:val="both"/>
      </w:pPr>
      <w:r>
        <w:rPr>
          <w:rFonts w:ascii="Barlow Semi Condensed" w:cs="Barlow Semi Condensed" w:eastAsia="Barlow Semi Condensed" w:hAnsi="Barlow Semi Condensed"/>
          <w:b/>
          <w:bCs/>
          <w:sz w:val="24"/>
          <w:szCs w:val="24"/>
        </w:rPr>
        <w:t xml:space="preserve">537 · I temi sensibili, con la griglia.</w:t>
      </w:r>
      <w:r>
        <w:rPr>
          <w:rFonts w:ascii="Barlow Semi Condensed" w:cs="Barlow Semi Condensed" w:eastAsia="Barlow Semi Condensed" w:hAnsi="Barlow Semi Condensed"/>
          <w:sz w:val="24"/>
          <w:szCs w:val="24"/>
        </w:rPr>
        <w:t xml:space="preserve"> I passaggi su apparati, alleanze e vicende riservate: l'analisi con la griglia dei gradi — che cosa Moro afferma per conoscenza diretta, che cosa riferisce, che cosa congettura. Il testimone Moro si tratta come ogni testimone: la fonte della sua conoscenza qualifica ogni enunciato.</w:t>
      </w:r>
    </w:p>
    <w:p>
      <w:pPr>
        <w:spacing w:after="120" w:line="276"/>
        <w:jc w:val="both"/>
      </w:pPr>
      <w:r>
        <w:rPr>
          <w:rFonts w:ascii="Barlow Semi Condensed" w:cs="Barlow Semi Condensed" w:eastAsia="Barlow Semi Condensed" w:hAnsi="Barlow Semi Condensed"/>
          <w:b/>
          <w:bCs/>
          <w:sz w:val="24"/>
          <w:szCs w:val="24"/>
        </w:rPr>
        <w:t xml:space="preserve">538 · Il memoriale contro gli archivi.</w:t>
      </w:r>
      <w:r>
        <w:rPr>
          <w:rFonts w:ascii="Barlow Semi Condensed" w:cs="Barlow Semi Condensed" w:eastAsia="Barlow Semi Condensed" w:hAnsi="Barlow Semi Condensed"/>
          <w:sz w:val="24"/>
          <w:szCs w:val="24"/>
        </w:rPr>
        <w:t xml:space="preserve"> Il programma di riscontro: ogni affermazione fattuale del memoriale contro le carte oggi disponibili (i cantieri archivistici dell'opera) — la tavola dei riscontri: confermato, smentito, non riscontrabile. Il testo diventa mappa di ricerca: ogni enunciato un bersaglio d'archivio.</w:t>
      </w:r>
    </w:p>
    <w:p>
      <w:pPr>
        <w:spacing w:after="120" w:line="276"/>
        <w:jc w:val="both"/>
      </w:pPr>
      <w:r>
        <w:rPr>
          <w:rFonts w:ascii="Barlow Semi Condensed" w:cs="Barlow Semi Condensed" w:eastAsia="Barlow Semi Condensed" w:hAnsi="Barlow Semi Condensed"/>
          <w:b/>
          <w:bCs/>
          <w:sz w:val="24"/>
          <w:szCs w:val="24"/>
        </w:rPr>
        <w:t xml:space="preserve">539 · Le omissioni strategiche.</w:t>
      </w:r>
      <w:r>
        <w:rPr>
          <w:rFonts w:ascii="Barlow Semi Condensed" w:cs="Barlow Semi Condensed" w:eastAsia="Barlow Semi Condensed" w:hAnsi="Barlow Semi Condensed"/>
          <w:sz w:val="24"/>
          <w:szCs w:val="24"/>
        </w:rPr>
        <w:t xml:space="preserve"> L'analisi speculare: che cosa il prigioniero scelse di non dire — i silenzi tematici misurabili contro ciò che certamente sapeva (per ruolo documentato). Il silenzio di chi sa è un comportamento testuale: si mappa con prudenza e si dichiara congetturale per costruzione.</w:t>
      </w:r>
    </w:p>
    <w:p>
      <w:pPr>
        <w:spacing w:after="120" w:line="276"/>
        <w:jc w:val="both"/>
      </w:pPr>
      <w:r>
        <w:rPr>
          <w:rFonts w:ascii="Barlow Semi Condensed" w:cs="Barlow Semi Condensed" w:eastAsia="Barlow Semi Condensed" w:hAnsi="Barlow Semi Condensed"/>
          <w:b/>
          <w:bCs/>
          <w:sz w:val="24"/>
          <w:szCs w:val="24"/>
        </w:rPr>
        <w:t xml:space="preserve">540 · Il destinatario interno.</w:t>
      </w:r>
      <w:r>
        <w:rPr>
          <w:rFonts w:ascii="Barlow Semi Condensed" w:cs="Barlow Semi Condensed" w:eastAsia="Barlow Semi Condensed" w:hAnsi="Barlow Semi Condensed"/>
          <w:sz w:val="24"/>
          <w:szCs w:val="24"/>
        </w:rPr>
        <w:t xml:space="preserve"> Il quesito retorico: per chi scriveva Moro — i destinatari espliciti, quelli impliciti, la posterità. L'analisi retorica del corpus come strategia di comunicazione sotto costrizione: la forma è metà del messaggio, e la costrizione è metà della forma.</w:t>
      </w:r>
    </w:p>
    <w:p>
      <w:pPr>
        <w:spacing w:after="120" w:line="276"/>
        <w:jc w:val="both"/>
      </w:pPr>
      <w:r>
        <w:rPr>
          <w:rFonts w:ascii="Barlow Semi Condensed" w:cs="Barlow Semi Condensed" w:eastAsia="Barlow Semi Condensed" w:hAnsi="Barlow Semi Condensed"/>
          <w:b/>
          <w:bCs/>
          <w:sz w:val="24"/>
          <w:szCs w:val="24"/>
        </w:rPr>
        <w:t xml:space="preserve">541 · La costrizione e la voce.</w:t>
      </w:r>
      <w:r>
        <w:rPr>
          <w:rFonts w:ascii="Barlow Semi Condensed" w:cs="Barlow Semi Condensed" w:eastAsia="Barlow Semi Condensed" w:hAnsi="Barlow Semi Condensed"/>
          <w:sz w:val="24"/>
          <w:szCs w:val="24"/>
        </w:rPr>
        <w:t xml:space="preserve"> Il quadro interpretativo dichiarato: ogni pagina fu scritta in cattività — la tavola dei segni di costrizione (temi imposti, formule richieste) contro i segni di iniziativa (digressioni, affondi non richiesti). La libertà residua del prigioniero si misura nel testo: è il quesito interpretativo più delicato, e si tratta con l'ACH.</w:t>
      </w:r>
    </w:p>
    <w:p>
      <w:pPr>
        <w:spacing w:after="120" w:line="276"/>
        <w:jc w:val="both"/>
      </w:pPr>
      <w:r>
        <w:rPr>
          <w:rFonts w:ascii="Barlow Semi Condensed" w:cs="Barlow Semi Condensed" w:eastAsia="Barlow Semi Condensed" w:hAnsi="Barlow Semi Condensed"/>
          <w:b/>
          <w:bCs/>
          <w:sz w:val="24"/>
          <w:szCs w:val="24"/>
        </w:rPr>
        <w:t xml:space="preserve">542 · Il confronto con gli scritti liberi.</w:t>
      </w:r>
      <w:r>
        <w:rPr>
          <w:rFonts w:ascii="Barlow Semi Condensed" w:cs="Barlow Semi Condensed" w:eastAsia="Barlow Semi Condensed" w:hAnsi="Barlow Semi Condensed"/>
          <w:sz w:val="24"/>
          <w:szCs w:val="24"/>
        </w:rPr>
        <w:t xml:space="preserve"> La collazione con il Moro pubblico: i temi del memoriale già trattati nell'opera edita (il raccordo col blocco 231) — continuità, radicalizzazioni, rovesciamenti. Il pensiero dell'uomo prima e dentro la prigione: la tavola delle traiettorie.</w:t>
      </w:r>
    </w:p>
    <w:p>
      <w:pPr>
        <w:spacing w:after="120" w:line="276"/>
        <w:jc w:val="both"/>
      </w:pPr>
      <w:r>
        <w:rPr>
          <w:rFonts w:ascii="Barlow Semi Condensed" w:cs="Barlow Semi Condensed" w:eastAsia="Barlow Semi Condensed" w:hAnsi="Barlow Semi Condensed"/>
          <w:b/>
          <w:bCs/>
          <w:sz w:val="24"/>
          <w:szCs w:val="24"/>
        </w:rPr>
        <w:t xml:space="preserve">543 · Le pagine politiche postume.</w:t>
      </w:r>
      <w:r>
        <w:rPr>
          <w:rFonts w:ascii="Barlow Semi Condensed" w:cs="Barlow Semi Condensed" w:eastAsia="Barlow Semi Condensed" w:hAnsi="Barlow Semi Condensed"/>
          <w:sz w:val="24"/>
          <w:szCs w:val="24"/>
        </w:rPr>
        <w:t xml:space="preserve"> La ricezione del memoriale nella politica italiana (1978, 1990, le commissioni): chi usò che cosa, quando, per quali tesi — la storia politica del testo. Il memoriale ha avuto una seconda vita pubblica: anche questa si documenta, con date e usi.</w:t>
      </w:r>
    </w:p>
    <w:p>
      <w:pPr>
        <w:spacing w:after="120" w:line="276"/>
        <w:jc w:val="both"/>
      </w:pPr>
      <w:r>
        <w:rPr>
          <w:rFonts w:ascii="Barlow Semi Condensed" w:cs="Barlow Semi Condensed" w:eastAsia="Barlow Semi Condensed" w:hAnsi="Barlow Semi Condensed"/>
          <w:b/>
          <w:bCs/>
          <w:sz w:val="24"/>
          <w:szCs w:val="24"/>
        </w:rPr>
        <w:t xml:space="preserve">544 · Il memoriale nei processi.</w:t>
      </w:r>
      <w:r>
        <w:rPr>
          <w:rFonts w:ascii="Barlow Semi Condensed" w:cs="Barlow Semi Condensed" w:eastAsia="Barlow Semi Condensed" w:hAnsi="Barlow Semi Condensed"/>
          <w:sz w:val="24"/>
          <w:szCs w:val="24"/>
        </w:rPr>
        <w:t xml:space="preserve"> L'uso giudiziario: come le corti trattarono il corpus — acquisizioni, valutazioni di attendibilità, usi probatori — dagli atti digitalizzati. La tavola dell'uso processuale: che cosa il giudicato ha già stabilito sul testo, da non riscoprire.</w:t>
      </w:r>
    </w:p>
    <w:p>
      <w:pPr>
        <w:spacing w:after="120" w:line="276"/>
        <w:jc w:val="both"/>
      </w:pPr>
      <w:r>
        <w:rPr>
          <w:rFonts w:ascii="Barlow Semi Condensed" w:cs="Barlow Semi Condensed" w:eastAsia="Barlow Semi Condensed" w:hAnsi="Barlow Semi Condensed"/>
          <w:b/>
          <w:bCs/>
          <w:sz w:val="24"/>
          <w:szCs w:val="24"/>
        </w:rPr>
        <w:t xml:space="preserve">545 · Il quesito dell'integralità, chiuso bene.</w:t>
      </w:r>
      <w:r>
        <w:rPr>
          <w:rFonts w:ascii="Barlow Semi Condensed" w:cs="Barlow Semi Condensed" w:eastAsia="Barlow Semi Condensed" w:hAnsi="Barlow Semi Condensed"/>
          <w:sz w:val="24"/>
          <w:szCs w:val="24"/>
        </w:rPr>
        <w:t xml:space="preserve"> La sintesi del blocco 468 in forma di criterio: a quali condizioni documentali il corpus si potrà dire integro o lacunoso — i test falsificabili (richiami interni, testimonianze di consistenza, riscontri d'archivio). Il quesito più abusato del caso ricondotto a criteri: o si misura, o si tace.</w:t>
      </w:r>
    </w:p>
    <w:p>
      <w:pPr>
        <w:spacing w:after="120" w:line="276"/>
        <w:jc w:val="both"/>
      </w:pPr>
      <w:r>
        <w:rPr>
          <w:rFonts w:ascii="Barlow Semi Condensed" w:cs="Barlow Semi Condensed" w:eastAsia="Barlow Semi Condensed" w:hAnsi="Barlow Semi Condensed"/>
          <w:b/>
          <w:bCs/>
          <w:sz w:val="24"/>
          <w:szCs w:val="24"/>
        </w:rPr>
        <w:t xml:space="preserve">546 · La contro-lettura brigatista.</w:t>
      </w:r>
      <w:r>
        <w:rPr>
          <w:rFonts w:ascii="Barlow Semi Condensed" w:cs="Barlow Semi Condensed" w:eastAsia="Barlow Semi Condensed" w:hAnsi="Barlow Semi Condensed"/>
          <w:sz w:val="24"/>
          <w:szCs w:val="24"/>
        </w:rPr>
        <w:t xml:space="preserve"> Il corpus visto dal carceriere: le dichiarazioni pubbliche dei condannati sul memoriale (i libri e le interviste censiti in Parte ottava) collazionate con le risultanze filologiche. La versione di chi custodì le carte si tratta come fonte di parte: si registra, si data, si confronta.</w:t>
      </w:r>
    </w:p>
    <w:p>
      <w:pPr>
        <w:spacing w:after="120" w:line="276"/>
        <w:jc w:val="both"/>
      </w:pPr>
      <w:r>
        <w:rPr>
          <w:rFonts w:ascii="Barlow Semi Condensed" w:cs="Barlow Semi Condensed" w:eastAsia="Barlow Semi Condensed" w:hAnsi="Barlow Semi Condensed"/>
          <w:b/>
          <w:bCs/>
          <w:sz w:val="24"/>
          <w:szCs w:val="24"/>
        </w:rPr>
        <w:t xml:space="preserve">547 · Le interviste sul testo.</w:t>
      </w:r>
      <w:r>
        <w:rPr>
          <w:rFonts w:ascii="Barlow Semi Condensed" w:cs="Barlow Semi Condensed" w:eastAsia="Barlow Semi Condensed" w:hAnsi="Barlow Semi Condensed"/>
          <w:sz w:val="24"/>
          <w:szCs w:val="24"/>
        </w:rPr>
        <w:t xml:space="preserve"> La raccolta conservativa mirata (il raccordo con la serie quinta dell'agenda): le domande filologiche ancora ponibili ai viventi — sulle trascrizioni, sulle copie, sui trasporti delle carte. Poche domande, tecniche, documentabili: la memoria al servizio dello stemma, non delle tesi.</w:t>
      </w:r>
    </w:p>
    <w:p>
      <w:pPr>
        <w:spacing w:after="120" w:line="276"/>
        <w:jc w:val="both"/>
      </w:pPr>
      <w:r>
        <w:rPr>
          <w:rFonts w:ascii="Barlow Semi Condensed" w:cs="Barlow Semi Condensed" w:eastAsia="Barlow Semi Condensed" w:hAnsi="Barlow Semi Condensed"/>
          <w:b/>
          <w:bCs/>
          <w:sz w:val="24"/>
          <w:szCs w:val="24"/>
        </w:rPr>
        <w:t xml:space="preserve">548 · Il seminario permanente.</w:t>
      </w:r>
      <w:r>
        <w:rPr>
          <w:rFonts w:ascii="Barlow Semi Condensed" w:cs="Barlow Semi Condensed" w:eastAsia="Barlow Semi Condensed" w:hAnsi="Barlow Semi Condensed"/>
          <w:sz w:val="24"/>
          <w:szCs w:val="24"/>
        </w:rPr>
        <w:t xml:space="preserve"> Lo strumento comunitario: il seminario filologico permanente sul corpus della prigionia — filologi, storici, linguisti, forensi — con atti pubblici. Il testo più studiato e meno sistematizzato della Repubblica merita la sua comunità scientifica stabile.</w:t>
      </w:r>
    </w:p>
    <w:p>
      <w:pPr>
        <w:spacing w:after="120" w:line="276"/>
        <w:jc w:val="both"/>
      </w:pPr>
      <w:r>
        <w:rPr>
          <w:rFonts w:ascii="Barlow Semi Condensed" w:cs="Barlow Semi Condensed" w:eastAsia="Barlow Semi Condensed" w:hAnsi="Barlow Semi Condensed"/>
          <w:b/>
          <w:bCs/>
          <w:sz w:val="24"/>
          <w:szCs w:val="24"/>
        </w:rPr>
        <w:t xml:space="preserve">549 · L'edizione nazionale, il raccordo.</w:t>
      </w:r>
      <w:r>
        <w:rPr>
          <w:rFonts w:ascii="Barlow Semi Condensed" w:cs="Barlow Semi Condensed" w:eastAsia="Barlow Semi Condensed" w:hAnsi="Barlow Semi Condensed"/>
          <w:sz w:val="24"/>
          <w:szCs w:val="24"/>
        </w:rPr>
        <w:t xml:space="preserve"> Il coordinamento verificato: l'Edizione nazionale delle opere di Aldo Moro (la sede bolognese, con le attività di analisi linguistica censite) — la tavola dei lavori in corso e la divisione dei compiti col cantiere. Le imprese si sommano, non si doppiano: il raccordo scritto evita il lavoro due volte.</w:t>
      </w:r>
    </w:p>
    <w:p>
      <w:pPr>
        <w:spacing w:after="120" w:line="276"/>
        <w:jc w:val="both"/>
      </w:pPr>
      <w:r>
        <w:rPr>
          <w:rFonts w:ascii="Barlow Semi Condensed" w:cs="Barlow Semi Condensed" w:eastAsia="Barlow Semi Condensed" w:hAnsi="Barlow Semi Condensed"/>
          <w:b/>
          <w:bCs/>
          <w:sz w:val="24"/>
          <w:szCs w:val="24"/>
        </w:rPr>
        <w:t xml:space="preserve">550 · La traduzione del corpus.</w:t>
      </w:r>
      <w:r>
        <w:rPr>
          <w:rFonts w:ascii="Barlow Semi Condensed" w:cs="Barlow Semi Condensed" w:eastAsia="Barlow Semi Condensed" w:hAnsi="Barlow Semi Condensed"/>
          <w:sz w:val="24"/>
          <w:szCs w:val="24"/>
        </w:rPr>
        <w:t xml:space="preserve"> Il progetto internazionale: l'edizione inglese commentata del corpus della prigionia per la comunità scientifica internazionale. Il caso è studiato nel mondo su traduzioni parziali: l'edizione integrale tradotta è un atto di politica scientifica.</w:t>
      </w:r>
    </w:p>
    <w:p>
      <w:pPr>
        <w:spacing w:after="120" w:line="276"/>
        <w:jc w:val="both"/>
      </w:pPr>
      <w:r>
        <w:rPr>
          <w:rFonts w:ascii="Barlow Semi Condensed" w:cs="Barlow Semi Condensed" w:eastAsia="Barlow Semi Condensed" w:hAnsi="Barlow Semi Condensed"/>
          <w:b/>
          <w:bCs/>
          <w:sz w:val="24"/>
          <w:szCs w:val="24"/>
        </w:rPr>
        <w:t xml:space="preserve">551 · Il lessico di frequenza.</w:t>
      </w:r>
      <w:r>
        <w:rPr>
          <w:rFonts w:ascii="Barlow Semi Condensed" w:cs="Barlow Semi Condensed" w:eastAsia="Barlow Semi Condensed" w:hAnsi="Barlow Semi Condensed"/>
          <w:sz w:val="24"/>
          <w:szCs w:val="24"/>
        </w:rPr>
        <w:t xml:space="preserve"> Lo strumento quantitativo di base: il lessico di frequenza integrale del corpus (memoriale, lettere, comunicati, separatamente) — la piattaforma per ogni analisi successiva, stilometria inclusa (il blocco 498). Prima di attribuire, contare: il lessico è l'infrastruttura.</w:t>
      </w:r>
    </w:p>
    <w:p>
      <w:pPr>
        <w:spacing w:after="120" w:line="276"/>
        <w:jc w:val="both"/>
      </w:pPr>
      <w:r>
        <w:rPr>
          <w:rFonts w:ascii="Barlow Semi Condensed" w:cs="Barlow Semi Condensed" w:eastAsia="Barlow Semi Condensed" w:hAnsi="Barlow Semi Condensed"/>
          <w:b/>
          <w:bCs/>
          <w:sz w:val="24"/>
          <w:szCs w:val="24"/>
        </w:rPr>
        <w:t xml:space="preserve">552 · Il tempo verbale della prigionia.</w:t>
      </w:r>
      <w:r>
        <w:rPr>
          <w:rFonts w:ascii="Barlow Semi Condensed" w:cs="Barlow Semi Condensed" w:eastAsia="Barlow Semi Condensed" w:hAnsi="Barlow Semi Condensed"/>
          <w:sz w:val="24"/>
          <w:szCs w:val="24"/>
        </w:rPr>
        <w:t xml:space="preserve"> Il sondaggio linguistico mirato: i tempi, i modi, le persone del discorso lungo i 55 giorni — la curva grammaticale della prigionia. La lingua registra lo stato di chi scrive: la sua serie temporale è un documento psicologico misurabile, da leggere con cautela dichiarata.</w:t>
      </w:r>
    </w:p>
    <w:p>
      <w:pPr>
        <w:spacing w:after="120" w:line="276"/>
        <w:jc w:val="both"/>
      </w:pPr>
      <w:r>
        <w:rPr>
          <w:rFonts w:ascii="Barlow Semi Condensed" w:cs="Barlow Semi Condensed" w:eastAsia="Barlow Semi Condensed" w:hAnsi="Barlow Semi Condensed"/>
          <w:b/>
          <w:bCs/>
          <w:sz w:val="24"/>
          <w:szCs w:val="24"/>
        </w:rPr>
        <w:t xml:space="preserve">553 · Le mani sul testo, riepilogo.</w:t>
      </w:r>
      <w:r>
        <w:rPr>
          <w:rFonts w:ascii="Barlow Semi Condensed" w:cs="Barlow Semi Condensed" w:eastAsia="Barlow Semi Condensed" w:hAnsi="Barlow Semi Condensed"/>
          <w:sz w:val="24"/>
          <w:szCs w:val="24"/>
        </w:rPr>
        <w:t xml:space="preserve"> La tavola conclusiva delle mani: chi scrisse (Moro), chi trascrisse (le mani del dattiloscritto), chi fotocopiò, chi trasportò, chi pubblicò — l'intera catena umana del corpus, per quanto documentata. Il testo come staffetta: ogni passaggio di mano un quesito chiuso o aperto.</w:t>
      </w:r>
    </w:p>
    <w:p>
      <w:pPr>
        <w:spacing w:after="120" w:line="276"/>
        <w:jc w:val="both"/>
      </w:pPr>
      <w:r>
        <w:rPr>
          <w:rFonts w:ascii="Barlow Semi Condensed" w:cs="Barlow Semi Condensed" w:eastAsia="Barlow Semi Condensed" w:hAnsi="Barlow Semi Condensed"/>
          <w:b/>
          <w:bCs/>
          <w:sz w:val="24"/>
          <w:szCs w:val="24"/>
        </w:rPr>
        <w:t xml:space="preserve">554 · I supporti digitali del cantiere.</w:t>
      </w:r>
      <w:r>
        <w:rPr>
          <w:rFonts w:ascii="Barlow Semi Condensed" w:cs="Barlow Semi Condensed" w:eastAsia="Barlow Semi Condensed" w:hAnsi="Barlow Semi Condensed"/>
          <w:sz w:val="24"/>
          <w:szCs w:val="24"/>
        </w:rPr>
        <w:t xml:space="preserve"> L'infrastruttura della parte: la piattaforma digitale del corpus (sinossi, facsimili, lessico, apparati) dentro il cantiere digitale del manuale. La filologia del caso diventa un servizio permanente: chiunque, ovunque, potrà verificare ogni affermazione sul testo.</w:t>
      </w:r>
    </w:p>
    <w:p>
      <w:pPr>
        <w:spacing w:after="120" w:line="276"/>
        <w:jc w:val="both"/>
      </w:pPr>
      <w:r>
        <w:rPr>
          <w:rFonts w:ascii="Barlow Semi Condensed" w:cs="Barlow Semi Condensed" w:eastAsia="Barlow Semi Condensed" w:hAnsi="Barlow Semi Condensed"/>
          <w:b/>
          <w:bCs/>
          <w:sz w:val="24"/>
          <w:szCs w:val="24"/>
        </w:rPr>
        <w:t xml:space="preserve">555 · Il raccordo con le piste.</w:t>
      </w:r>
      <w:r>
        <w:rPr>
          <w:rFonts w:ascii="Barlow Semi Condensed" w:cs="Barlow Semi Condensed" w:eastAsia="Barlow Semi Condensed" w:hAnsi="Barlow Semi Condensed"/>
          <w:sz w:val="24"/>
          <w:szCs w:val="24"/>
        </w:rPr>
        <w:t xml:space="preserve"> La tavola di corrispondenza della parte: il corpus serve il quesito 9 (le lettere), il 10 (il memoriale), il 13 (i falsi) e nutre le matrici di quasi tutte le piste. La filologia è trasversale per natura: la sua tavola di servizio lo dimostra.</w:t>
      </w:r>
    </w:p>
    <w:p>
      <w:pPr>
        <w:spacing w:after="120" w:line="276"/>
        <w:jc w:val="both"/>
      </w:pPr>
      <w:r>
        <w:rPr>
          <w:rFonts w:ascii="Barlow Semi Condensed" w:cs="Barlow Semi Condensed" w:eastAsia="Barlow Semi Condensed" w:hAnsi="Barlow Semi Condensed"/>
          <w:b/>
          <w:bCs/>
          <w:sz w:val="24"/>
          <w:szCs w:val="24"/>
        </w:rPr>
        <w:t xml:space="preserve">556 · I vuoti testuali.</w:t>
      </w:r>
      <w:r>
        <w:rPr>
          <w:rFonts w:ascii="Barlow Semi Condensed" w:cs="Barlow Semi Condensed" w:eastAsia="Barlow Semi Condensed" w:hAnsi="Barlow Semi Condensed"/>
          <w:sz w:val="24"/>
          <w:szCs w:val="24"/>
        </w:rPr>
        <w:t xml:space="preserve"> Il verbale dei vuoti della parte: la stesura A, le lacune misurate, le lettere fantasma, le perizie mancanti — lo Stato Zero testuale completo. Il più importante dei vuoti del caso, perimetrato con gli strumenti della critica: è il lascito metodologico della parte.</w:t>
      </w:r>
    </w:p>
    <w:p>
      <w:pPr>
        <w:spacing w:after="120" w:line="276"/>
        <w:jc w:val="both"/>
      </w:pPr>
      <w:r>
        <w:rPr>
          <w:rFonts w:ascii="Barlow Semi Condensed" w:cs="Barlow Semi Condensed" w:eastAsia="Barlow Semi Condensed" w:hAnsi="Barlow Semi Condensed"/>
          <w:b/>
          <w:bCs/>
          <w:sz w:val="24"/>
          <w:szCs w:val="24"/>
        </w:rPr>
        <w:t xml:space="preserve">557 · La divulgazione della filologia.</w:t>
      </w:r>
      <w:r>
        <w:rPr>
          <w:rFonts w:ascii="Barlow Semi Condensed" w:cs="Barlow Semi Condensed" w:eastAsia="Barlow Semi Condensed" w:hAnsi="Barlow Semi Condensed"/>
          <w:sz w:val="24"/>
          <w:szCs w:val="24"/>
        </w:rPr>
        <w:t xml:space="preserve"> Il prodotto pubblico: la guida divulgativa al corpus della prigionia — che cosa esiste, che cosa manca, che cosa significa «stesura», perché le fotocopie non sono gli originali. Il paese cita il memoriale senza conoscerne la tradizione: la guida chiude questo scarto.</w:t>
      </w:r>
    </w:p>
    <w:p>
      <w:pPr>
        <w:spacing w:after="120" w:line="276"/>
        <w:jc w:val="both"/>
      </w:pPr>
      <w:r>
        <w:rPr>
          <w:rFonts w:ascii="Barlow Semi Condensed" w:cs="Barlow Semi Condensed" w:eastAsia="Barlow Semi Condensed" w:hAnsi="Barlow Semi Condensed"/>
          <w:b/>
          <w:bCs/>
          <w:sz w:val="24"/>
          <w:szCs w:val="24"/>
        </w:rPr>
        <w:t xml:space="preserve">558 · La deontologia del testo.</w:t>
      </w:r>
      <w:r>
        <w:rPr>
          <w:rFonts w:ascii="Barlow Semi Condensed" w:cs="Barlow Semi Condensed" w:eastAsia="Barlow Semi Condensed" w:hAnsi="Barlow Semi Condensed"/>
          <w:sz w:val="24"/>
          <w:szCs w:val="24"/>
        </w:rPr>
        <w:t xml:space="preserve"> La regola finale: il corpus della prigionia si cita sempre per stesura ed edizione, mai genericamente — e ogni uso pubblico del cantiere modella questa disciplina. Citare bene è rispetto: per il testo, per la storia, per l'uomo.</w:t>
      </w:r>
    </w:p>
    <w:p>
      <w:pPr>
        <w:spacing w:after="120" w:line="276"/>
        <w:jc w:val="both"/>
      </w:pPr>
      <w:r>
        <w:rPr>
          <w:rFonts w:ascii="Barlow Semi Condensed" w:cs="Barlow Semi Condensed" w:eastAsia="Barlow Semi Condensed" w:hAnsi="Barlow Semi Condensed"/>
          <w:b/>
          <w:bCs/>
          <w:sz w:val="24"/>
          <w:szCs w:val="24"/>
        </w:rPr>
        <w:t xml:space="preserve">559 · La sintesi della parte.</w:t>
      </w:r>
      <w:r>
        <w:rPr>
          <w:rFonts w:ascii="Barlow Semi Condensed" w:cs="Barlow Semi Condensed" w:eastAsia="Barlow Semi Condensed" w:hAnsi="Barlow Semi Condensed"/>
          <w:sz w:val="24"/>
          <w:szCs w:val="24"/>
        </w:rPr>
        <w:t xml:space="preserve"> Il prodotto d'insieme: lo stato dell'arte filologico del corpus — tradizione, edizioni, riscontri, vuoti — in una relazione pubblica. La pagina che mancava: il memoriale e le lettere, finalmente trattati da testi e non da munizioni.</w:t>
      </w:r>
    </w:p>
    <w:p>
      <w:pPr>
        <w:spacing w:after="120" w:line="276"/>
        <w:jc w:val="both"/>
      </w:pPr>
      <w:r>
        <w:rPr>
          <w:rFonts w:ascii="Barlow Semi Condensed" w:cs="Barlow Semi Condensed" w:eastAsia="Barlow Semi Condensed" w:hAnsi="Barlow Semi Condensed"/>
          <w:b/>
          <w:bCs/>
          <w:sz w:val="24"/>
          <w:szCs w:val="24"/>
        </w:rPr>
        <w:t xml:space="preserve">560 · La tavola quinta.</w:t>
      </w:r>
      <w:r>
        <w:rPr>
          <w:rFonts w:ascii="Barlow Semi Condensed" w:cs="Barlow Semi Condensed" w:eastAsia="Barlow Semi Condensed" w:hAnsi="Barlow Semi Condensed"/>
          <w:sz w:val="24"/>
          <w:szCs w:val="24"/>
        </w:rPr>
        <w:t xml:space="preserve"> La chiusura della parte: gli stati dei bersagli 461-559, gli esami e i progetti pendenti. Il cantiere della parola scritta consegna la sua contabilità — e la voce dell'uomo, restituita alla filologia, non appartiene più a nessuna tesi.</w:t>
      </w:r>
    </w:p>
    <w:p>
      <w:pPr>
        <w:pStyle w:val="Heading2"/>
        <w:spacing w:after="100" w:before="200"/>
      </w:pPr>
      <w:r>
        <w:rPr>
          <w:rFonts w:ascii="Barlow Semi Condensed" w:cs="Barlow Semi Condensed" w:eastAsia="Barlow Semi Condensed" w:hAnsi="Barlow Semi Condensed"/>
          <w:sz w:val="24"/>
          <w:szCs w:val="24"/>
        </w:rPr>
        <w:t xml:space="preserve">Parte sesta — L'audio e l'immagine (blocchi 561-660)</w:t>
      </w:r>
    </w:p>
    <w:p>
      <w:pPr>
        <w:spacing w:after="120" w:line="276"/>
        <w:jc w:val="both"/>
      </w:pPr>
      <w:r>
        <w:rPr>
          <w:rFonts w:ascii="Barlow Semi Condensed" w:cs="Barlow Semi Condensed" w:eastAsia="Barlow Semi Condensed" w:hAnsi="Barlow Semi Condensed"/>
          <w:i/>
          <w:iCs/>
          <w:sz w:val="24"/>
          <w:szCs w:val="24"/>
        </w:rPr>
        <w:t xml:space="preserve">Statuto della parte: la memoria sensibile. I fatti verificati che la governano: dei 55 giorni sopravvivono due registrazioni audio note — la telefonata di Mario Moretti a Eleonora Moro del 30 aprile e quella di Valerio Morucci al professor Tritto del 9 maggio 1978, autentica e pubblica; il resto della voce della crisi esiste solo in trascrizioni agli atti. Le fotografie di via Fani vivono in due filoni — i rilievi della Polizia scientifica negli atti giudiziari e parlamentari, e i fondi delle agenzie; le coperture aeree storiche stanno all'Aerofototeca Nazionale e all'Istituto Geografico Militare; una ricostruzione tridimensionale ufficiale e pubblica della scena non esiste. La parte organizza il cantiere del sensibile: censire, restaurare, datare, misurare — con la disciplina di sempre: un'immagine è un documento con un punto di vista, e l'audio invecchiato inganna.</w:t>
      </w:r>
    </w:p>
    <w:p>
      <w:pPr>
        <w:pStyle w:val="Heading3"/>
        <w:spacing w:after="80" w:before="160"/>
      </w:pPr>
      <w:r>
        <w:rPr>
          <w:rFonts w:ascii="Barlow Semi Condensed" w:cs="Barlow Semi Condensed" w:eastAsia="Barlow Semi Condensed" w:hAnsi="Barlow Semi Condensed"/>
          <w:sz w:val="24"/>
          <w:szCs w:val="24"/>
        </w:rPr>
        <w:t xml:space="preserve">Gli audio superstiti (blocchi 561-585)</w:t>
      </w:r>
    </w:p>
    <w:p>
      <w:pPr>
        <w:spacing w:after="120" w:line="276"/>
        <w:jc w:val="both"/>
      </w:pPr>
      <w:r>
        <w:rPr>
          <w:rFonts w:ascii="Barlow Semi Condensed" w:cs="Barlow Semi Condensed" w:eastAsia="Barlow Semi Condensed" w:hAnsi="Barlow Semi Condensed"/>
          <w:b/>
          <w:bCs/>
          <w:sz w:val="24"/>
          <w:szCs w:val="24"/>
        </w:rPr>
        <w:t xml:space="preserve">561 · Il censimento dei supporti.</w:t>
      </w:r>
      <w:r>
        <w:rPr>
          <w:rFonts w:ascii="Barlow Semi Condensed" w:cs="Barlow Semi Condensed" w:eastAsia="Barlow Semi Condensed" w:hAnsi="Barlow Semi Condensed"/>
          <w:sz w:val="24"/>
          <w:szCs w:val="24"/>
        </w:rPr>
        <w:t xml:space="preserve"> Il primo atto: il censimento formale di ogni supporto audio del caso — i nastri delle due telefonate registrate, le copie esistenti, le sedi (archivi giudiziari, Rai, commissioni) — con la catena di custodia di ciascuno. Prima di ascoltare, contare: la fonoteca del caso non è mai stata inventariata come corpus.</w:t>
      </w:r>
    </w:p>
    <w:p>
      <w:pPr>
        <w:spacing w:after="120" w:line="276"/>
        <w:jc w:val="both"/>
      </w:pPr>
      <w:r>
        <w:rPr>
          <w:rFonts w:ascii="Barlow Semi Condensed" w:cs="Barlow Semi Condensed" w:eastAsia="Barlow Semi Condensed" w:hAnsi="Barlow Semi Condensed"/>
          <w:b/>
          <w:bCs/>
          <w:sz w:val="24"/>
          <w:szCs w:val="24"/>
        </w:rPr>
        <w:t xml:space="preserve">562 · La telefonata del 30 aprile.</w:t>
      </w:r>
      <w:r>
        <w:rPr>
          <w:rFonts w:ascii="Barlow Semi Condensed" w:cs="Barlow Semi Condensed" w:eastAsia="Barlow Semi Condensed" w:hAnsi="Barlow Semi Condensed"/>
          <w:sz w:val="24"/>
          <w:szCs w:val="24"/>
        </w:rPr>
        <w:t xml:space="preserve"> La scheda integrale della prima registrazione: la chiamata a Eleonora Moro (attribuita a Mario Moretti) intercettata e registrata dalle forze dell'ordine — la tradizione del nastro, le trascrizioni, la storia della circolazione pubblica (l'audio è oggi liberamente ascoltabile, e una scheda d'archivio del gennaio 1980 ne documenta la circolazione almeno da allora; la data della prima diffusione resta da fissare). Il documento sonoro più drammatico della crisi ha una storia archivistica propria: si scrive per intero.</w:t>
      </w:r>
    </w:p>
    <w:p>
      <w:pPr>
        <w:spacing w:after="120" w:line="276"/>
        <w:jc w:val="both"/>
      </w:pPr>
      <w:r>
        <w:rPr>
          <w:rFonts w:ascii="Barlow Semi Condensed" w:cs="Barlow Semi Condensed" w:eastAsia="Barlow Semi Condensed" w:hAnsi="Barlow Semi Condensed"/>
          <w:b/>
          <w:bCs/>
          <w:sz w:val="24"/>
          <w:szCs w:val="24"/>
        </w:rPr>
        <w:t xml:space="preserve">563 · La telefonata del 9 maggio.</w:t>
      </w:r>
      <w:r>
        <w:rPr>
          <w:rFonts w:ascii="Barlow Semi Condensed" w:cs="Barlow Semi Condensed" w:eastAsia="Barlow Semi Condensed" w:hAnsi="Barlow Semi Condensed"/>
          <w:sz w:val="24"/>
          <w:szCs w:val="24"/>
        </w:rPr>
        <w:t xml:space="preserve"> La scheda gemella: la chiamata di Morucci alla famiglia Tritto (le 12:13 circa; «il dottor Niccolai»; rispose prima il padre, poi il professore) — autentica, pubblica, con l'originale agli atti giudiziari e copie negli archivi Rai. L'annuncio della fine, come reperto: tradizione, copie, usi pubblici, e il rispetto dovuto a chi rispose.</w:t>
      </w:r>
    </w:p>
    <w:p>
      <w:pPr>
        <w:spacing w:after="120" w:line="276"/>
        <w:jc w:val="both"/>
      </w:pPr>
      <w:r>
        <w:rPr>
          <w:rFonts w:ascii="Barlow Semi Condensed" w:cs="Barlow Semi Condensed" w:eastAsia="Barlow Semi Condensed" w:hAnsi="Barlow Semi Condensed"/>
          <w:b/>
          <w:bCs/>
          <w:sz w:val="24"/>
          <w:szCs w:val="24"/>
        </w:rPr>
        <w:t xml:space="preserve">564 · Il restauro conservativo dei due nastri.</w:t>
      </w:r>
      <w:r>
        <w:rPr>
          <w:rFonts w:ascii="Barlow Semi Condensed" w:cs="Barlow Semi Condensed" w:eastAsia="Barlow Semi Condensed" w:hAnsi="Barlow Semi Condensed"/>
          <w:sz w:val="24"/>
          <w:szCs w:val="24"/>
        </w:rPr>
        <w:t xml:space="preserve"> L'intervento tecnico: il restauro audio conservativo delle due registrazioni con tecniche attuali — pulizia dichiarata e reversibile, digitalizzazione ad alta risoluzione, deposito dei master (il blocco 198 dell'agenda, eseguito). Due soli nastri: si trattano come si tratterebbe un unico affresco.</w:t>
      </w:r>
    </w:p>
    <w:p>
      <w:pPr>
        <w:spacing w:after="120" w:line="276"/>
        <w:jc w:val="both"/>
      </w:pPr>
      <w:r>
        <w:rPr>
          <w:rFonts w:ascii="Barlow Semi Condensed" w:cs="Barlow Semi Condensed" w:eastAsia="Barlow Semi Condensed" w:hAnsi="Barlow Semi Condensed"/>
          <w:b/>
          <w:bCs/>
          <w:sz w:val="24"/>
          <w:szCs w:val="24"/>
        </w:rPr>
        <w:t xml:space="preserve">565 · La trascrizione certificata.</w:t>
      </w:r>
      <w:r>
        <w:rPr>
          <w:rFonts w:ascii="Barlow Semi Condensed" w:cs="Barlow Semi Condensed" w:eastAsia="Barlow Semi Condensed" w:hAnsi="Barlow Semi Condensed"/>
          <w:sz w:val="24"/>
          <w:szCs w:val="24"/>
        </w:rPr>
        <w:t xml:space="preserve"> La trascrizione scientifica delle due telefonate: parola per parola, con i tempi, le esitazioni, i rumori di fondo annotati — la trascrizione certificata che sostituisca le versioni giornalistiche circolanti. Il testo esatto di quattro minuti di storia: mai stabilito con criteri filologici.</w:t>
      </w:r>
    </w:p>
    <w:p>
      <w:pPr>
        <w:spacing w:after="120" w:line="276"/>
        <w:jc w:val="both"/>
      </w:pPr>
      <w:r>
        <w:rPr>
          <w:rFonts w:ascii="Barlow Semi Condensed" w:cs="Barlow Semi Condensed" w:eastAsia="Barlow Semi Condensed" w:hAnsi="Barlow Semi Condensed"/>
          <w:b/>
          <w:bCs/>
          <w:sz w:val="24"/>
          <w:szCs w:val="24"/>
        </w:rPr>
        <w:t xml:space="preserve">566 · La voce come dato, con i limiti.</w:t>
      </w:r>
      <w:r>
        <w:rPr>
          <w:rFonts w:ascii="Barlow Semi Condensed" w:cs="Barlow Semi Condensed" w:eastAsia="Barlow Semi Condensed" w:hAnsi="Barlow Semi Condensed"/>
          <w:sz w:val="24"/>
          <w:szCs w:val="24"/>
        </w:rPr>
        <w:t xml:space="preserve"> Il parere sulla comparazione vocale: che cosa la fonetica forense attuale può dire su nastri del 1978 — con la soglia di qualità fissata prima (il blocco 203 dell'agenda). Le voci delle due telefonate sono attribuite per giudicato e per ammissione: la scienza può solo raffinare — e dove non può, tace.</w:t>
      </w:r>
    </w:p>
    <w:p>
      <w:pPr>
        <w:spacing w:after="120" w:line="276"/>
        <w:jc w:val="both"/>
      </w:pPr>
      <w:r>
        <w:rPr>
          <w:rFonts w:ascii="Barlow Semi Condensed" w:cs="Barlow Semi Condensed" w:eastAsia="Barlow Semi Condensed" w:hAnsi="Barlow Semi Condensed"/>
          <w:b/>
          <w:bCs/>
          <w:sz w:val="24"/>
          <w:szCs w:val="24"/>
        </w:rPr>
        <w:t xml:space="preserve">567 · Il rumore di fondo.</w:t>
      </w:r>
      <w:r>
        <w:rPr>
          <w:rFonts w:ascii="Barlow Semi Condensed" w:cs="Barlow Semi Condensed" w:eastAsia="Barlow Semi Condensed" w:hAnsi="Barlow Semi Condensed"/>
          <w:sz w:val="24"/>
          <w:szCs w:val="24"/>
        </w:rPr>
        <w:t xml:space="preserve"> L'analisi dell'ambiente sonoro: i fondi delle due registrazioni (traffico, ambienti, interferenze) con le tecniche attuali di separazione — che cosa dicono dei luoghi di chiamata. Il margine investigativo residuo dei nastri sta nei loro secondi piani: si esplora con aspettative dichiarate basse.</w:t>
      </w:r>
    </w:p>
    <w:p>
      <w:pPr>
        <w:spacing w:after="120" w:line="276"/>
        <w:jc w:val="both"/>
      </w:pPr>
      <w:r>
        <w:rPr>
          <w:rFonts w:ascii="Barlow Semi Condensed" w:cs="Barlow Semi Condensed" w:eastAsia="Barlow Semi Condensed" w:hAnsi="Barlow Semi Condensed"/>
          <w:b/>
          <w:bCs/>
          <w:sz w:val="24"/>
          <w:szCs w:val="24"/>
        </w:rPr>
        <w:t xml:space="preserve">568 · Le telefonate non registrate.</w:t>
      </w:r>
      <w:r>
        <w:rPr>
          <w:rFonts w:ascii="Barlow Semi Condensed" w:cs="Barlow Semi Condensed" w:eastAsia="Barlow Semi Condensed" w:hAnsi="Barlow Semi Condensed"/>
          <w:sz w:val="24"/>
          <w:szCs w:val="24"/>
        </w:rPr>
        <w:t xml:space="preserve"> La tavola del perduto: tutte le altre telefonate documentate dei 55 giorni (le chiamate di annuncio dei comunicati, i contatti riferiti) — per ciascuna, la trascrizione o il verbale che ne resta, e la certificazione che l'audio non esiste. Il censimento del silenzio: ciò che non fu registrato si conta, non si rimpiange.</w:t>
      </w:r>
    </w:p>
    <w:p>
      <w:pPr>
        <w:spacing w:after="120" w:line="276"/>
        <w:jc w:val="both"/>
      </w:pPr>
      <w:r>
        <w:rPr>
          <w:rFonts w:ascii="Barlow Semi Condensed" w:cs="Barlow Semi Condensed" w:eastAsia="Barlow Semi Condensed" w:hAnsi="Barlow Semi Condensed"/>
          <w:b/>
          <w:bCs/>
          <w:sz w:val="24"/>
          <w:szCs w:val="24"/>
        </w:rPr>
        <w:t xml:space="preserve">569 · Perché non si registrava.</w:t>
      </w:r>
      <w:r>
        <w:rPr>
          <w:rFonts w:ascii="Barlow Semi Condensed" w:cs="Barlow Semi Condensed" w:eastAsia="Barlow Semi Condensed" w:hAnsi="Barlow Semi Condensed"/>
          <w:sz w:val="24"/>
          <w:szCs w:val="24"/>
        </w:rPr>
        <w:t xml:space="preserve"> Il quesito di sistema: le capacità e le prassi di registrazione delle utenze nel 1978 — che cosa era tecnicamente intercettato, che cosa si conservava, con quali regole. La risposta spiega il vuoto sonoro del caso: è un quesito d'archivio (i decreti, i brogliacci) prima che tecnico.</w:t>
      </w:r>
    </w:p>
    <w:p>
      <w:pPr>
        <w:spacing w:after="120" w:line="276"/>
        <w:jc w:val="both"/>
      </w:pPr>
      <w:r>
        <w:rPr>
          <w:rFonts w:ascii="Barlow Semi Condensed" w:cs="Barlow Semi Condensed" w:eastAsia="Barlow Semi Condensed" w:hAnsi="Barlow Semi Condensed"/>
          <w:b/>
          <w:bCs/>
          <w:sz w:val="24"/>
          <w:szCs w:val="24"/>
        </w:rPr>
        <w:t xml:space="preserve">570 · I centralini delle redazioni.</w:t>
      </w:r>
      <w:r>
        <w:rPr>
          <w:rFonts w:ascii="Barlow Semi Condensed" w:cs="Barlow Semi Condensed" w:eastAsia="Barlow Semi Condensed" w:hAnsi="Barlow Semi Condensed"/>
          <w:sz w:val="24"/>
          <w:szCs w:val="24"/>
        </w:rPr>
        <w:t xml:space="preserve"> Il giacimento laterale: le prassi di registrazione dei centralini dei giornali del 1978 (le chiamate di rivendicazione arrivavano lì) — esistono nastri di redazione superstiti? L'accertamento testata per testata, con esito verbalizzato comunque vada.</w:t>
      </w:r>
    </w:p>
    <w:p>
      <w:pPr>
        <w:spacing w:after="120" w:line="276"/>
        <w:jc w:val="both"/>
      </w:pPr>
      <w:r>
        <w:rPr>
          <w:rFonts w:ascii="Barlow Semi Condensed" w:cs="Barlow Semi Condensed" w:eastAsia="Barlow Semi Condensed" w:hAnsi="Barlow Semi Condensed"/>
          <w:b/>
          <w:bCs/>
          <w:sz w:val="24"/>
          <w:szCs w:val="24"/>
        </w:rPr>
        <w:t xml:space="preserve">571 · Le radio libere del 1978.</w:t>
      </w:r>
      <w:r>
        <w:rPr>
          <w:rFonts w:ascii="Barlow Semi Condensed" w:cs="Barlow Semi Condensed" w:eastAsia="Barlow Semi Condensed" w:hAnsi="Barlow Semi Condensed"/>
          <w:sz w:val="24"/>
          <w:szCs w:val="24"/>
        </w:rPr>
        <w:t xml:space="preserve"> Il censimento degli archivi delle emittenti radiofoniche private romane e nazionali del 1978: che cosa conservano dei 55 giorni — dirette, notiziari, telefonate in onda. L'etere del 1978 era già affollato: i suoi archivi superstiti sono un giacimento sonoro mai censito.</w:t>
      </w:r>
    </w:p>
    <w:p>
      <w:pPr>
        <w:spacing w:after="120" w:line="276"/>
        <w:jc w:val="both"/>
      </w:pPr>
      <w:r>
        <w:rPr>
          <w:rFonts w:ascii="Barlow Semi Condensed" w:cs="Barlow Semi Condensed" w:eastAsia="Barlow Semi Condensed" w:hAnsi="Barlow Semi Condensed"/>
          <w:b/>
          <w:bCs/>
          <w:sz w:val="24"/>
          <w:szCs w:val="24"/>
        </w:rPr>
        <w:t xml:space="preserve">572 · Radio Vaticana e le voci istituzionali.</w:t>
      </w:r>
      <w:r>
        <w:rPr>
          <w:rFonts w:ascii="Barlow Semi Condensed" w:cs="Barlow Semi Condensed" w:eastAsia="Barlow Semi Condensed" w:hAnsi="Barlow Semi Condensed"/>
          <w:sz w:val="24"/>
          <w:szCs w:val="24"/>
        </w:rPr>
        <w:t xml:space="preserve"> Il raccordo col cantiere vaticano (blocco 132): gli archivi sonori istituzionali — Radio Vaticana, le radio parlamentari, i notiziari pubblici — per la colonna sonora ufficiale della crisi. La voce dello Stato e della Chiesa nei 55 giorni, censita e datata.</w:t>
      </w:r>
    </w:p>
    <w:p>
      <w:pPr>
        <w:spacing w:after="120" w:line="276"/>
        <w:jc w:val="both"/>
      </w:pPr>
      <w:r>
        <w:rPr>
          <w:rFonts w:ascii="Barlow Semi Condensed" w:cs="Barlow Semi Condensed" w:eastAsia="Barlow Semi Condensed" w:hAnsi="Barlow Semi Condensed"/>
          <w:b/>
          <w:bCs/>
          <w:sz w:val="24"/>
          <w:szCs w:val="24"/>
        </w:rPr>
        <w:t xml:space="preserve">573 · Il parlato delle aule.</w:t>
      </w:r>
      <w:r>
        <w:rPr>
          <w:rFonts w:ascii="Barlow Semi Condensed" w:cs="Barlow Semi Condensed" w:eastAsia="Barlow Semi Condensed" w:hAnsi="Barlow Semi Condensed"/>
          <w:sz w:val="24"/>
          <w:szCs w:val="24"/>
        </w:rPr>
        <w:t xml:space="preserve"> Le registrazioni dei processi Moro: esistono audio dei dibattimenti (le corti registravano?) — l'accertamento e il censimento di ciò che resta. La voce dei processi — testimoni, imputati, requisitorie — sarebbe un giacimento sonoro processuale di prima grandezza: o esiste, o si certifica il vuoto.</w:t>
      </w:r>
    </w:p>
    <w:p>
      <w:pPr>
        <w:spacing w:after="120" w:line="276"/>
        <w:jc w:val="both"/>
      </w:pPr>
      <w:r>
        <w:rPr>
          <w:rFonts w:ascii="Barlow Semi Condensed" w:cs="Barlow Semi Condensed" w:eastAsia="Barlow Semi Condensed" w:hAnsi="Barlow Semi Condensed"/>
          <w:b/>
          <w:bCs/>
          <w:sz w:val="24"/>
          <w:szCs w:val="24"/>
        </w:rPr>
        <w:t xml:space="preserve">574 · Le audizioni parlamentari in voce.</w:t>
      </w:r>
      <w:r>
        <w:rPr>
          <w:rFonts w:ascii="Barlow Semi Condensed" w:cs="Barlow Semi Condensed" w:eastAsia="Barlow Semi Condensed" w:hAnsi="Barlow Semi Condensed"/>
          <w:sz w:val="24"/>
          <w:szCs w:val="24"/>
        </w:rPr>
        <w:t xml:space="preserve"> Il gemello parlamentare: le registrazioni audio delle audizioni delle tre commissioni (dove esistono oltre gli stenografici) — censimento e accesso. Lo stenografico normalizza; la voce conserva: dove entrambi esistono, si collazionano.</w:t>
      </w:r>
    </w:p>
    <w:p>
      <w:pPr>
        <w:spacing w:after="120" w:line="276"/>
        <w:jc w:val="both"/>
      </w:pPr>
      <w:r>
        <w:rPr>
          <w:rFonts w:ascii="Barlow Semi Condensed" w:cs="Barlow Semi Condensed" w:eastAsia="Barlow Semi Condensed" w:hAnsi="Barlow Semi Condensed"/>
          <w:b/>
          <w:bCs/>
          <w:sz w:val="24"/>
          <w:szCs w:val="24"/>
        </w:rPr>
        <w:t xml:space="preserve">575 · La voce dei protagonisti, raccolta.</w:t>
      </w:r>
      <w:r>
        <w:rPr>
          <w:rFonts w:ascii="Barlow Semi Condensed" w:cs="Barlow Semi Condensed" w:eastAsia="Barlow Semi Condensed" w:hAnsi="Barlow Semi Condensed"/>
          <w:sz w:val="24"/>
          <w:szCs w:val="24"/>
        </w:rPr>
        <w:t xml:space="preserve"> Il censimento delle interviste audio e video esistenti ai protagonisti del caso (il raccordo col blocco 321): ogni intervista registrata nota, con sede e stato. La fonoteca delle voci del caso — istituzionale, giornalistica, documentaristica — in una tavola unica.</w:t>
      </w:r>
    </w:p>
    <w:p>
      <w:pPr>
        <w:spacing w:after="120" w:line="276"/>
        <w:jc w:val="both"/>
      </w:pPr>
      <w:r>
        <w:rPr>
          <w:rFonts w:ascii="Barlow Semi Condensed" w:cs="Barlow Semi Condensed" w:eastAsia="Barlow Semi Condensed" w:hAnsi="Barlow Semi Condensed"/>
          <w:b/>
          <w:bCs/>
          <w:sz w:val="24"/>
          <w:szCs w:val="24"/>
        </w:rPr>
        <w:t xml:space="preserve">576 · L'audio della Notte della Repubblica.</w:t>
      </w:r>
      <w:r>
        <w:rPr>
          <w:rFonts w:ascii="Barlow Semi Condensed" w:cs="Barlow Semi Condensed" w:eastAsia="Barlow Semi Condensed" w:hAnsi="Barlow Semi Condensed"/>
          <w:sz w:val="24"/>
          <w:szCs w:val="24"/>
        </w:rPr>
        <w:t xml:space="preserve"> Il fatto verificato: le puntate di Zavoli (Rai 2, dicembre 1989-aprile 1990) sono conservate da Rai Teche e in larga parte su RaiPlay; l'esistenza e l'accessibilità dei materiali grezzi — le interviste integrali non montate — restano da accertare. Il bersaglio: l'accertamento formale presso le Teche, con la richiesta di censimento dei girati.</w:t>
      </w:r>
    </w:p>
    <w:p>
      <w:pPr>
        <w:spacing w:after="120" w:line="276"/>
        <w:jc w:val="both"/>
      </w:pPr>
      <w:r>
        <w:rPr>
          <w:rFonts w:ascii="Barlow Semi Condensed" w:cs="Barlow Semi Condensed" w:eastAsia="Barlow Semi Condensed" w:hAnsi="Barlow Semi Condensed"/>
          <w:b/>
          <w:bCs/>
          <w:sz w:val="24"/>
          <w:szCs w:val="24"/>
        </w:rPr>
        <w:t xml:space="preserve">577 · I grezzi come giacimento.</w:t>
      </w:r>
      <w:r>
        <w:rPr>
          <w:rFonts w:ascii="Barlow Semi Condensed" w:cs="Barlow Semi Condensed" w:eastAsia="Barlow Semi Condensed" w:hAnsi="Barlow Semi Condensed"/>
          <w:sz w:val="24"/>
          <w:szCs w:val="24"/>
        </w:rPr>
        <w:t xml:space="preserve"> La regola dei grezzi: per ogni programma storico sul caso (Zavoli in testa), i materiali non montati valgono più del montato — domande tagliate, risposte intere, fuori onda. La campagna: il censimento dei grezzi superstiti presso le teche, programma per programma.</w:t>
      </w:r>
    </w:p>
    <w:p>
      <w:pPr>
        <w:spacing w:after="120" w:line="276"/>
        <w:jc w:val="both"/>
      </w:pPr>
      <w:r>
        <w:rPr>
          <w:rFonts w:ascii="Barlow Semi Condensed" w:cs="Barlow Semi Condensed" w:eastAsia="Barlow Semi Condensed" w:hAnsi="Barlow Semi Condensed"/>
          <w:b/>
          <w:bCs/>
          <w:sz w:val="24"/>
          <w:szCs w:val="24"/>
        </w:rPr>
        <w:t xml:space="preserve">578 · Le teche Rai, il protocollo.</w:t>
      </w:r>
      <w:r>
        <w:rPr>
          <w:rFonts w:ascii="Barlow Semi Condensed" w:cs="Barlow Semi Condensed" w:eastAsia="Barlow Semi Condensed" w:hAnsi="Barlow Semi Condensed"/>
          <w:sz w:val="24"/>
          <w:szCs w:val="24"/>
        </w:rPr>
        <w:t xml:space="preserve"> Il protocollo d'accesso: la convenzione di ricerca con Rai Teche per il corpus moroteo — perimetro, costi, diritti (il blocco 43 dell'agenda, eseguito). L'archivio audiovisivo pubblico è la memoria sensibile della Repubblica: il cantiere vi entra dalla porta, con le carte in regola.</w:t>
      </w:r>
    </w:p>
    <w:p>
      <w:pPr>
        <w:spacing w:after="120" w:line="276"/>
        <w:jc w:val="both"/>
      </w:pPr>
      <w:r>
        <w:rPr>
          <w:rFonts w:ascii="Barlow Semi Condensed" w:cs="Barlow Semi Condensed" w:eastAsia="Barlow Semi Condensed" w:hAnsi="Barlow Semi Condensed"/>
          <w:b/>
          <w:bCs/>
          <w:sz w:val="24"/>
          <w:szCs w:val="24"/>
        </w:rPr>
        <w:t xml:space="preserve">579 · Il 9 maggio in diretta.</w:t>
      </w:r>
      <w:r>
        <w:rPr>
          <w:rFonts w:ascii="Barlow Semi Condensed" w:cs="Barlow Semi Condensed" w:eastAsia="Barlow Semi Condensed" w:hAnsi="Barlow Semi Condensed"/>
          <w:sz w:val="24"/>
          <w:szCs w:val="24"/>
        </w:rPr>
        <w:t xml:space="preserve"> La giornata del ritrovamento nella memoria sonora e visiva, col fatto verificato che la governa: le prime e uniche immagini dell'apertura del bagagliaio furono girate in esclusiva dall'emittente privata romana GBR (il giornalista Franco Alfano con l'operatore Valerio Leccese), poi entrate nel repertorio Rai — mentre la collocazione attuale dei grezzi originali GBR non è documentata: è il bersaglio. Intorno: le edizioni straordinarie, le dirette, le voci dei cronisti — il censimento integrale del 9 maggio.</w:t>
      </w:r>
    </w:p>
    <w:p>
      <w:pPr>
        <w:spacing w:after="120" w:line="276"/>
        <w:jc w:val="both"/>
      </w:pPr>
      <w:r>
        <w:rPr>
          <w:rFonts w:ascii="Barlow Semi Condensed" w:cs="Barlow Semi Condensed" w:eastAsia="Barlow Semi Condensed" w:hAnsi="Barlow Semi Condensed"/>
          <w:b/>
          <w:bCs/>
          <w:sz w:val="24"/>
          <w:szCs w:val="24"/>
        </w:rPr>
        <w:t xml:space="preserve">580 · Il 16 marzo in diretta.</w:t>
      </w:r>
      <w:r>
        <w:rPr>
          <w:rFonts w:ascii="Barlow Semi Condensed" w:cs="Barlow Semi Condensed" w:eastAsia="Barlow Semi Condensed" w:hAnsi="Barlow Semi Condensed"/>
          <w:sz w:val="24"/>
          <w:szCs w:val="24"/>
        </w:rPr>
        <w:t xml:space="preserve"> La giornata gemella: la mattina di via Fani nelle radio e nelle televisioni — la sequenza delle edizioni straordinarie, i primi arrivi delle troupe, gli orari di messa in onda. La cronologia mediatica della prima ora, ricostruita al minuto: è anche un documento su chi seppe che cosa per primo.</w:t>
      </w:r>
    </w:p>
    <w:p>
      <w:pPr>
        <w:spacing w:after="120" w:line="276"/>
        <w:jc w:val="both"/>
      </w:pPr>
      <w:r>
        <w:rPr>
          <w:rFonts w:ascii="Barlow Semi Condensed" w:cs="Barlow Semi Condensed" w:eastAsia="Barlow Semi Condensed" w:hAnsi="Barlow Semi Condensed"/>
          <w:b/>
          <w:bCs/>
          <w:sz w:val="24"/>
          <w:szCs w:val="24"/>
        </w:rPr>
        <w:t xml:space="preserve">581 · L'audio degli archivi esteri.</w:t>
      </w:r>
      <w:r>
        <w:rPr>
          <w:rFonts w:ascii="Barlow Semi Condensed" w:cs="Barlow Semi Condensed" w:eastAsia="Barlow Semi Condensed" w:hAnsi="Barlow Semi Condensed"/>
          <w:sz w:val="24"/>
          <w:szCs w:val="24"/>
        </w:rPr>
        <w:t xml:space="preserve"> Il raccordo coi cantieri esteri: i materiali sonori dei broadcaster stranieri (BBC, ORTF/INA, ARD) sui 55 giorni — corrispondenze, interviste d'epoca ai protagonisti italiani. Le voci del caso in altre lingue: censite nei rispettivi archivi con le regole della Parte prima.</w:t>
      </w:r>
    </w:p>
    <w:p>
      <w:pPr>
        <w:spacing w:after="120" w:line="276"/>
        <w:jc w:val="both"/>
      </w:pPr>
      <w:r>
        <w:rPr>
          <w:rFonts w:ascii="Barlow Semi Condensed" w:cs="Barlow Semi Condensed" w:eastAsia="Barlow Semi Condensed" w:hAnsi="Barlow Semi Condensed"/>
          <w:b/>
          <w:bCs/>
          <w:sz w:val="24"/>
          <w:szCs w:val="24"/>
        </w:rPr>
        <w:t xml:space="preserve">582 · Le voci perdute da raccogliere.</w:t>
      </w:r>
      <w:r>
        <w:rPr>
          <w:rFonts w:ascii="Barlow Semi Condensed" w:cs="Barlow Semi Condensed" w:eastAsia="Barlow Semi Condensed" w:hAnsi="Barlow Semi Condensed"/>
          <w:sz w:val="24"/>
          <w:szCs w:val="24"/>
        </w:rPr>
        <w:t xml:space="preserve"> Il fronte conservativo: le voci dei testimoni viventi registrate ora (la serie quinta dell'agenda) entrano nella fonoteca del caso con standard d'archivio — il futuro del cantiere audio è la raccolta di oggi. La fonoteca cresce a ogni ascolto: è l'unico giacimento sonoro che si espande.</w:t>
      </w:r>
    </w:p>
    <w:p>
      <w:pPr>
        <w:spacing w:after="120" w:line="276"/>
        <w:jc w:val="both"/>
      </w:pPr>
      <w:r>
        <w:rPr>
          <w:rFonts w:ascii="Barlow Semi Condensed" w:cs="Barlow Semi Condensed" w:eastAsia="Barlow Semi Condensed" w:hAnsi="Barlow Semi Condensed"/>
          <w:b/>
          <w:bCs/>
          <w:sz w:val="24"/>
          <w:szCs w:val="24"/>
        </w:rPr>
        <w:t xml:space="preserve">583 · La fonoteca unica.</w:t>
      </w:r>
      <w:r>
        <w:rPr>
          <w:rFonts w:ascii="Barlow Semi Condensed" w:cs="Barlow Semi Condensed" w:eastAsia="Barlow Semi Condensed" w:hAnsi="Barlow Semi Condensed"/>
          <w:sz w:val="24"/>
          <w:szCs w:val="24"/>
        </w:rPr>
        <w:t xml:space="preserve"> Lo strumento d'insieme: la fonoteca digitale del caso — i due nastri del 1978, le voci istituzionali, le interviste, le raccolte conservative — indicizzata al minuto e citabile (il fascicolo audiovisivo del manuale, eseguito). Ogni secondo sonoro del caso, trovabile: è il contrario dell'oblio.</w:t>
      </w:r>
    </w:p>
    <w:p>
      <w:pPr>
        <w:spacing w:after="120" w:line="276"/>
        <w:jc w:val="both"/>
      </w:pPr>
      <w:r>
        <w:rPr>
          <w:rFonts w:ascii="Barlow Semi Condensed" w:cs="Barlow Semi Condensed" w:eastAsia="Barlow Semi Condensed" w:hAnsi="Barlow Semi Condensed"/>
          <w:b/>
          <w:bCs/>
          <w:sz w:val="24"/>
          <w:szCs w:val="24"/>
        </w:rPr>
        <w:t xml:space="preserve">584 · I vuoti sonori.</w:t>
      </w:r>
      <w:r>
        <w:rPr>
          <w:rFonts w:ascii="Barlow Semi Condensed" w:cs="Barlow Semi Condensed" w:eastAsia="Barlow Semi Condensed" w:hAnsi="Barlow Semi Condensed"/>
          <w:sz w:val="24"/>
          <w:szCs w:val="24"/>
        </w:rPr>
        <w:t xml:space="preserve"> Il verbale dei vuoti: le registrazioni che non esistono, i nastri perduti con la loro storia, i grezzi non conservati — lo Stato Zero sonoro, perimetrato. Due nastri su cinquantacinque giorni: il vuoto stesso è il primo documento della sezione.</w:t>
      </w:r>
    </w:p>
    <w:p>
      <w:pPr>
        <w:spacing w:after="120" w:line="276"/>
        <w:jc w:val="both"/>
      </w:pPr>
      <w:r>
        <w:rPr>
          <w:rFonts w:ascii="Barlow Semi Condensed" w:cs="Barlow Semi Condensed" w:eastAsia="Barlow Semi Condensed" w:hAnsi="Barlow Semi Condensed"/>
          <w:b/>
          <w:bCs/>
          <w:sz w:val="24"/>
          <w:szCs w:val="24"/>
        </w:rPr>
        <w:t xml:space="preserve">585 · La tavola dell'audio.</w:t>
      </w:r>
      <w:r>
        <w:rPr>
          <w:rFonts w:ascii="Barlow Semi Condensed" w:cs="Barlow Semi Condensed" w:eastAsia="Barlow Semi Condensed" w:hAnsi="Barlow Semi Condensed"/>
          <w:sz w:val="24"/>
          <w:szCs w:val="24"/>
        </w:rPr>
        <w:t xml:space="preserve"> La chiusura della sezione: i supporti censiti, i restauri fatti, le trascrizioni certificate, i vuoti dichiarati. La memoria sonora del caso, contata — poca, preziosa, finalmente ordinata.</w:t>
      </w:r>
    </w:p>
    <w:p>
      <w:pPr>
        <w:pStyle w:val="Heading3"/>
        <w:spacing w:after="80" w:before="160"/>
      </w:pPr>
      <w:r>
        <w:rPr>
          <w:rFonts w:ascii="Barlow Semi Condensed" w:cs="Barlow Semi Condensed" w:eastAsia="Barlow Semi Condensed" w:hAnsi="Barlow Semi Condensed"/>
          <w:sz w:val="24"/>
          <w:szCs w:val="24"/>
        </w:rPr>
        <w:t xml:space="preserve">La fotografia (blocchi 586-615)</w:t>
      </w:r>
    </w:p>
    <w:p>
      <w:pPr>
        <w:spacing w:after="120" w:line="276"/>
        <w:jc w:val="both"/>
      </w:pPr>
      <w:r>
        <w:rPr>
          <w:rFonts w:ascii="Barlow Semi Condensed" w:cs="Barlow Semi Condensed" w:eastAsia="Barlow Semi Condensed" w:hAnsi="Barlow Semi Condensed"/>
          <w:b/>
          <w:bCs/>
          <w:sz w:val="24"/>
          <w:szCs w:val="24"/>
        </w:rPr>
        <w:t xml:space="preserve">586 · I due filoni, censiti.</w:t>
      </w:r>
      <w:r>
        <w:rPr>
          <w:rFonts w:ascii="Barlow Semi Condensed" w:cs="Barlow Semi Condensed" w:eastAsia="Barlow Semi Condensed" w:hAnsi="Barlow Semi Condensed"/>
          <w:sz w:val="24"/>
          <w:szCs w:val="24"/>
        </w:rPr>
        <w:t xml:space="preserve"> Il fatto verificato come architettura: le fotografie di via Fani vivono in due filoni — i rilievi della Polizia scientifica (negli atti giudiziari e parlamentari) e i fondi delle agenzie e dei giornali. Il primo bersaglio: il censimento parallelo dei due filoni, con inventari separati e regole d'accesso proprie.</w:t>
      </w:r>
    </w:p>
    <w:p>
      <w:pPr>
        <w:spacing w:after="120" w:line="276"/>
        <w:jc w:val="both"/>
      </w:pPr>
      <w:r>
        <w:rPr>
          <w:rFonts w:ascii="Barlow Semi Condensed" w:cs="Barlow Semi Condensed" w:eastAsia="Barlow Semi Condensed" w:hAnsi="Barlow Semi Condensed"/>
          <w:b/>
          <w:bCs/>
          <w:sz w:val="24"/>
          <w:szCs w:val="24"/>
        </w:rPr>
        <w:t xml:space="preserve">587 · I rilievi della Scientifica.</w:t>
      </w:r>
      <w:r>
        <w:rPr>
          <w:rFonts w:ascii="Barlow Semi Condensed" w:cs="Barlow Semi Condensed" w:eastAsia="Barlow Semi Condensed" w:hAnsi="Barlow Semi Condensed"/>
          <w:sz w:val="24"/>
          <w:szCs w:val="24"/>
        </w:rPr>
        <w:t xml:space="preserve"> Il filone ufficiale: i rilievi fotografici della Polizia scientifica del 16 marzo — il censimento integrale dagli atti digitalizzati (quante immagini, di che cosa, in che sequenza). Il fascicolo fotografico ufficiale della scena, ricostruito come corpus ordinato: mai fatto in forma pubblica.</w:t>
      </w:r>
    </w:p>
    <w:p>
      <w:pPr>
        <w:spacing w:after="120" w:line="276"/>
        <w:jc w:val="both"/>
      </w:pPr>
      <w:r>
        <w:rPr>
          <w:rFonts w:ascii="Barlow Semi Condensed" w:cs="Barlow Semi Condensed" w:eastAsia="Barlow Semi Condensed" w:hAnsi="Barlow Semi Condensed"/>
          <w:b/>
          <w:bCs/>
          <w:sz w:val="24"/>
          <w:szCs w:val="24"/>
        </w:rPr>
        <w:t xml:space="preserve">588 · I negativi originali.</w:t>
      </w:r>
      <w:r>
        <w:rPr>
          <w:rFonts w:ascii="Barlow Semi Condensed" w:cs="Barlow Semi Condensed" w:eastAsia="Barlow Semi Condensed" w:hAnsi="Barlow Semi Condensed"/>
          <w:sz w:val="24"/>
          <w:szCs w:val="24"/>
        </w:rPr>
        <w:t xml:space="preserve"> La caccia ai negativi: dove sono i negativi originali dei rilievi del 1978 — archivi della Polizia scientifica, fascicoli processuali, versamenti. Il negativo è il reperto; la stampa è una copia: la digitalizzazione dal negativo (il blocco 90 dell'agenda) dipende da questo accertamento.</w:t>
      </w:r>
    </w:p>
    <w:p>
      <w:pPr>
        <w:spacing w:after="120" w:line="276"/>
        <w:jc w:val="both"/>
      </w:pPr>
      <w:r>
        <w:rPr>
          <w:rFonts w:ascii="Barlow Semi Condensed" w:cs="Barlow Semi Condensed" w:eastAsia="Barlow Semi Condensed" w:hAnsi="Barlow Semi Condensed"/>
          <w:b/>
          <w:bCs/>
          <w:sz w:val="24"/>
          <w:szCs w:val="24"/>
        </w:rPr>
        <w:t xml:space="preserve">589 · La sequenza temporale degli scatti.</w:t>
      </w:r>
      <w:r>
        <w:rPr>
          <w:rFonts w:ascii="Barlow Semi Condensed" w:cs="Barlow Semi Condensed" w:eastAsia="Barlow Semi Condensed" w:hAnsi="Barlow Semi Condensed"/>
          <w:sz w:val="24"/>
          <w:szCs w:val="24"/>
        </w:rPr>
        <w:t xml:space="preserve"> La cronologia interna: l'ordinamento temporale dei rilievi del 16 marzo (dalle ombre, dai dettagli mutati, dai numeri di rullino) — la scena fotografata come sequenza, non come mucchio. L'ordine degli scatti è informazione: che cosa fu mosso, quando, da chi.</w:t>
      </w:r>
    </w:p>
    <w:p>
      <w:pPr>
        <w:spacing w:after="120" w:line="276"/>
        <w:jc w:val="both"/>
      </w:pPr>
      <w:r>
        <w:rPr>
          <w:rFonts w:ascii="Barlow Semi Condensed" w:cs="Barlow Semi Condensed" w:eastAsia="Barlow Semi Condensed" w:hAnsi="Barlow Semi Condensed"/>
          <w:b/>
          <w:bCs/>
          <w:sz w:val="24"/>
          <w:szCs w:val="24"/>
        </w:rPr>
        <w:t xml:space="preserve">590 · Le foto d'agenzia del 16 marzo.</w:t>
      </w:r>
      <w:r>
        <w:rPr>
          <w:rFonts w:ascii="Barlow Semi Condensed" w:cs="Barlow Semi Condensed" w:eastAsia="Barlow Semi Condensed" w:hAnsi="Barlow Semi Condensed"/>
          <w:sz w:val="24"/>
          <w:szCs w:val="24"/>
        </w:rPr>
        <w:t xml:space="preserve"> Il filone privato: i fondi ANSA, AP e delle agenzie per via Fani — il censimento degli scatti d'agenzia con orari e autori, incluso il fondo Publifoto (circa sette milioni di immagini, acquisito nel 2015 da Intesa Sanpaolo e gestito dal suo Archivio storico: la presenza morotea è da verificare a catalogo). I fotografi arrivarono presto: i loro scatti documentano la scena prima e durante i rilievi — e i bordi dei negativi documentano ciò che il ritaglio escluse.</w:t>
      </w:r>
    </w:p>
    <w:p>
      <w:pPr>
        <w:spacing w:after="120" w:line="276"/>
        <w:jc w:val="both"/>
      </w:pPr>
      <w:r>
        <w:rPr>
          <w:rFonts w:ascii="Barlow Semi Condensed" w:cs="Barlow Semi Condensed" w:eastAsia="Barlow Semi Condensed" w:hAnsi="Barlow Semi Condensed"/>
          <w:b/>
          <w:bCs/>
          <w:sz w:val="24"/>
          <w:szCs w:val="24"/>
        </w:rPr>
        <w:t xml:space="preserve">591 · I fotografi di via Fani.</w:t>
      </w:r>
      <w:r>
        <w:rPr>
          <w:rFonts w:ascii="Barlow Semi Condensed" w:cs="Barlow Semi Condensed" w:eastAsia="Barlow Semi Condensed" w:hAnsi="Barlow Semi Condensed"/>
          <w:sz w:val="24"/>
          <w:szCs w:val="24"/>
        </w:rPr>
        <w:t xml:space="preserve"> L'anagrafe degli autori, col primo nome verificato: Antonio Ianni dell'ANSA arrivò circa un quarto d'ora dopo l'agguato e scattò tre rullini, consegnati subito alla sede romana (fu audito dalla Moro 2 nel 2017). La tavola completa dei fotografi presenti con orari, testate, fondi di destinazione: ogni autore è un punto di vista datato; i viventi si ascoltano (la serie quinta), gli archivi si censiscono.</w:t>
      </w:r>
    </w:p>
    <w:p>
      <w:pPr>
        <w:spacing w:after="120" w:line="276"/>
        <w:jc w:val="both"/>
      </w:pPr>
      <w:r>
        <w:rPr>
          <w:rFonts w:ascii="Barlow Semi Condensed" w:cs="Barlow Semi Condensed" w:eastAsia="Barlow Semi Condensed" w:hAnsi="Barlow Semi Condensed"/>
          <w:b/>
          <w:bCs/>
          <w:sz w:val="24"/>
          <w:szCs w:val="24"/>
        </w:rPr>
        <w:t xml:space="preserve">592 · La folla nelle immagini.</w:t>
      </w:r>
      <w:r>
        <w:rPr>
          <w:rFonts w:ascii="Barlow Semi Condensed" w:cs="Barlow Semi Condensed" w:eastAsia="Barlow Semi Condensed" w:hAnsi="Barlow Semi Condensed"/>
          <w:sz w:val="24"/>
          <w:szCs w:val="24"/>
        </w:rPr>
        <w:t xml:space="preserve"> L'analisi sistematica delle presenze: le persone visibili negli scatti del 16 marzo — la mappatura dei presenti (curiosi, operatori, autorità) immagine per immagine, con la disciplina personalistica stampata: la presenza in una foto è un fatto, mai un indizio di condotta. La scena includeva il suo pubblico: censirlo è cronaca, non sospetto.</w:t>
      </w:r>
    </w:p>
    <w:p>
      <w:pPr>
        <w:spacing w:after="120" w:line="276"/>
        <w:jc w:val="both"/>
      </w:pPr>
      <w:r>
        <w:rPr>
          <w:rFonts w:ascii="Barlow Semi Condensed" w:cs="Barlow Semi Condensed" w:eastAsia="Barlow Semi Condensed" w:hAnsi="Barlow Semi Condensed"/>
          <w:b/>
          <w:bCs/>
          <w:sz w:val="24"/>
          <w:szCs w:val="24"/>
        </w:rPr>
        <w:t xml:space="preserve">593 · Il confronto fra i filoni.</w:t>
      </w:r>
      <w:r>
        <w:rPr>
          <w:rFonts w:ascii="Barlow Semi Condensed" w:cs="Barlow Semi Condensed" w:eastAsia="Barlow Semi Condensed" w:hAnsi="Barlow Semi Condensed"/>
          <w:sz w:val="24"/>
          <w:szCs w:val="24"/>
        </w:rPr>
        <w:t xml:space="preserve"> La collazione ufficiale-privato: le stesse ore, due macchine fotografiche — che cosa i rilievi mostrano e le agenzie no, e viceversa. La tavola delle differenze di copertura: ogni scarto è un pezzo di scena in più, da qualunque parte venga.</w:t>
      </w:r>
    </w:p>
    <w:p>
      <w:pPr>
        <w:spacing w:after="120" w:line="276"/>
        <w:jc w:val="both"/>
      </w:pPr>
      <w:r>
        <w:rPr>
          <w:rFonts w:ascii="Barlow Semi Condensed" w:cs="Barlow Semi Condensed" w:eastAsia="Barlow Semi Condensed" w:hAnsi="Barlow Semi Condensed"/>
          <w:b/>
          <w:bCs/>
          <w:sz w:val="24"/>
          <w:szCs w:val="24"/>
        </w:rPr>
        <w:t xml:space="preserve">594 · Le foto della prigione.</w:t>
      </w:r>
      <w:r>
        <w:rPr>
          <w:rFonts w:ascii="Barlow Semi Condensed" w:cs="Barlow Semi Condensed" w:eastAsia="Barlow Semi Condensed" w:hAnsi="Barlow Semi Condensed"/>
          <w:sz w:val="24"/>
          <w:szCs w:val="24"/>
        </w:rPr>
        <w:t xml:space="preserve"> Il corpus fotografico brigatista: le immagini della prigionia (la foto col drappo, la foto della Repubblica del 19 aprile) — la scheda filologica di ciascuna: tradizione, esemplari, perizie d'epoca, riesami moderni (il raccordo col blocco 425). Le immagini più studiate del caso meritano la filologia più rigorosa.</w:t>
      </w:r>
    </w:p>
    <w:p>
      <w:pPr>
        <w:spacing w:after="120" w:line="276"/>
        <w:jc w:val="both"/>
      </w:pPr>
      <w:r>
        <w:rPr>
          <w:rFonts w:ascii="Barlow Semi Condensed" w:cs="Barlow Semi Condensed" w:eastAsia="Barlow Semi Condensed" w:hAnsi="Barlow Semi Condensed"/>
          <w:b/>
          <w:bCs/>
          <w:sz w:val="24"/>
          <w:szCs w:val="24"/>
        </w:rPr>
        <w:t xml:space="preserve">595 · La fotogrammetria della prigione.</w:t>
      </w:r>
      <w:r>
        <w:rPr>
          <w:rFonts w:ascii="Barlow Semi Condensed" w:cs="Barlow Semi Condensed" w:eastAsia="Barlow Semi Condensed" w:hAnsi="Barlow Semi Condensed"/>
          <w:sz w:val="24"/>
          <w:szCs w:val="24"/>
        </w:rPr>
        <w:t xml:space="preserve"> Il riesame tecnico: la fotogrammetria moderna sulle foto della prigionia — misure del fondale, geometrie, ombre — contro le caratteristiche note di via Montalcini 8 (il blocco 419). La compatibilità misurata, non narrata: l'immagine come strumento metrico.</w:t>
      </w:r>
    </w:p>
    <w:p>
      <w:pPr>
        <w:spacing w:after="120" w:line="276"/>
        <w:jc w:val="both"/>
      </w:pPr>
      <w:r>
        <w:rPr>
          <w:rFonts w:ascii="Barlow Semi Condensed" w:cs="Barlow Semi Condensed" w:eastAsia="Barlow Semi Condensed" w:hAnsi="Barlow Semi Condensed"/>
          <w:b/>
          <w:bCs/>
          <w:sz w:val="24"/>
          <w:szCs w:val="24"/>
        </w:rPr>
        <w:t xml:space="preserve">596 · Le foto del 9 maggio.</w:t>
      </w:r>
      <w:r>
        <w:rPr>
          <w:rFonts w:ascii="Barlow Semi Condensed" w:cs="Barlow Semi Condensed" w:eastAsia="Barlow Semi Condensed" w:hAnsi="Barlow Semi Condensed"/>
          <w:sz w:val="24"/>
          <w:szCs w:val="24"/>
        </w:rPr>
        <w:t xml:space="preserve"> Il corpus del ritrovamento: gli scatti di via Caetani — ufficiali e d'agenzia — censiti con la stessa griglia (autori, orari, sequenze). La giornata finale ha la sua archeologia fotografica: si costruisce con lo stesso metodo del 16 marzo, e con lo stesso rispetto.</w:t>
      </w:r>
    </w:p>
    <w:p>
      <w:pPr>
        <w:spacing w:after="120" w:line="276"/>
        <w:jc w:val="both"/>
      </w:pPr>
      <w:r>
        <w:rPr>
          <w:rFonts w:ascii="Barlow Semi Condensed" w:cs="Barlow Semi Condensed" w:eastAsia="Barlow Semi Condensed" w:hAnsi="Barlow Semi Condensed"/>
          <w:b/>
          <w:bCs/>
          <w:sz w:val="24"/>
          <w:szCs w:val="24"/>
        </w:rPr>
        <w:t xml:space="preserve">597 · Le foto dei 55 giorni.</w:t>
      </w:r>
      <w:r>
        <w:rPr>
          <w:rFonts w:ascii="Barlow Semi Condensed" w:cs="Barlow Semi Condensed" w:eastAsia="Barlow Semi Condensed" w:hAnsi="Barlow Semi Condensed"/>
          <w:sz w:val="24"/>
          <w:szCs w:val="24"/>
        </w:rPr>
        <w:t xml:space="preserve"> Il corpus intermedio: la fotografia della crisi fra i due capi — le manifestazioni, i vertici, le conferenze stampa, i luoghi — il censimento tematico nei fondi d'agenzia. La cronaca visiva dei 55 giorni come serie datata: il paese nella crisi, giorno per giorno.</w:t>
      </w:r>
    </w:p>
    <w:p>
      <w:pPr>
        <w:spacing w:after="120" w:line="276"/>
        <w:jc w:val="both"/>
      </w:pPr>
      <w:r>
        <w:rPr>
          <w:rFonts w:ascii="Barlow Semi Condensed" w:cs="Barlow Semi Condensed" w:eastAsia="Barlow Semi Condensed" w:hAnsi="Barlow Semi Condensed"/>
          <w:b/>
          <w:bCs/>
          <w:sz w:val="24"/>
          <w:szCs w:val="24"/>
        </w:rPr>
        <w:t xml:space="preserve">598 · Le foto dei covi.</w:t>
      </w:r>
      <w:r>
        <w:rPr>
          <w:rFonts w:ascii="Barlow Semi Condensed" w:cs="Barlow Semi Condensed" w:eastAsia="Barlow Semi Condensed" w:hAnsi="Barlow Semi Condensed"/>
          <w:sz w:val="24"/>
          <w:szCs w:val="24"/>
        </w:rPr>
        <w:t xml:space="preserve"> Il corpus giudiziario minore: i rilievi fotografici delle perquisizioni (via Gradoli il 18 aprile, via Monte Nevoso il 1° ottobre) — censimento dagli atti, con l'attenzione della scheda PE-3 ai rilievi del bagno di via Gradoli. Ogni perquisizione fotografata è una scena conservata: si rilegge con gli occhi del 2026.</w:t>
      </w:r>
    </w:p>
    <w:p>
      <w:pPr>
        <w:spacing w:after="120" w:line="276"/>
        <w:jc w:val="both"/>
      </w:pPr>
      <w:r>
        <w:rPr>
          <w:rFonts w:ascii="Barlow Semi Condensed" w:cs="Barlow Semi Condensed" w:eastAsia="Barlow Semi Condensed" w:hAnsi="Barlow Semi Condensed"/>
          <w:b/>
          <w:bCs/>
          <w:sz w:val="24"/>
          <w:szCs w:val="24"/>
        </w:rPr>
        <w:t xml:space="preserve">599 · Il multispettrale sulle stampe.</w:t>
      </w:r>
      <w:r>
        <w:rPr>
          <w:rFonts w:ascii="Barlow Semi Condensed" w:cs="Barlow Semi Condensed" w:eastAsia="Barlow Semi Condensed" w:hAnsi="Barlow Semi Condensed"/>
          <w:sz w:val="24"/>
          <w:szCs w:val="24"/>
        </w:rPr>
        <w:t xml:space="preserve"> L'esame nuovo: l'imaging moderno sulle stampe e sui negativi d'epoca — dettagli sotto soglia, alterazioni, ritagli (il raccordo col blocco 444). La fotografia del caso non è mai stata riesaminata come oggetto tecnico: è un giacimento non distruttivo intero.</w:t>
      </w:r>
    </w:p>
    <w:p>
      <w:pPr>
        <w:spacing w:after="120" w:line="276"/>
        <w:jc w:val="both"/>
      </w:pPr>
      <w:r>
        <w:rPr>
          <w:rFonts w:ascii="Barlow Semi Condensed" w:cs="Barlow Semi Condensed" w:eastAsia="Barlow Semi Condensed" w:hAnsi="Barlow Semi Condensed"/>
          <w:b/>
          <w:bCs/>
          <w:sz w:val="24"/>
          <w:szCs w:val="24"/>
        </w:rPr>
        <w:t xml:space="preserve">600 · Il seicentesimo blocco: l'etica dell'immagine.</w:t>
      </w:r>
      <w:r>
        <w:rPr>
          <w:rFonts w:ascii="Barlow Semi Condensed" w:cs="Barlow Semi Condensed" w:eastAsia="Barlow Semi Condensed" w:hAnsi="Barlow Semi Condensed"/>
          <w:sz w:val="24"/>
          <w:szCs w:val="24"/>
        </w:rPr>
        <w:t xml:space="preserve"> La regola della parte, a tre quinti dell'opera: le immagini del caso includono corpi, dolore, famiglie — ogni uso del cantiere rispetta la dignità delle vittime e dei loro cari: nessuna immagine per impatto, ogni immagine per documento, e le più dolorose descritte prima che mostrate. Il rigore non ha bisogno di crudeltà.</w:t>
      </w:r>
    </w:p>
    <w:p>
      <w:pPr>
        <w:spacing w:after="120" w:line="276"/>
        <w:jc w:val="both"/>
      </w:pPr>
      <w:r>
        <w:rPr>
          <w:rFonts w:ascii="Barlow Semi Condensed" w:cs="Barlow Semi Condensed" w:eastAsia="Barlow Semi Condensed" w:hAnsi="Barlow Semi Condensed"/>
          <w:b/>
          <w:bCs/>
          <w:sz w:val="24"/>
          <w:szCs w:val="24"/>
        </w:rPr>
        <w:t xml:space="preserve">601 · I fototipi e le datazioni.</w:t>
      </w:r>
      <w:r>
        <w:rPr>
          <w:rFonts w:ascii="Barlow Semi Condensed" w:cs="Barlow Semi Condensed" w:eastAsia="Barlow Semi Condensed" w:hAnsi="Barlow Semi Condensed"/>
          <w:sz w:val="24"/>
          <w:szCs w:val="24"/>
        </w:rPr>
        <w:t xml:space="preserve"> La tecnica al servizio della tradizione: l'identificazione di pellicole, carte e sviluppi d'epoca per datare e ordinare le stampe non datate dei fondi. La merceologia fotografica come filologia: ogni carta fotografica ha la sua epoca, e la dice.</w:t>
      </w:r>
    </w:p>
    <w:p>
      <w:pPr>
        <w:spacing w:after="120" w:line="276"/>
        <w:jc w:val="both"/>
      </w:pPr>
      <w:r>
        <w:rPr>
          <w:rFonts w:ascii="Barlow Semi Condensed" w:cs="Barlow Semi Condensed" w:eastAsia="Barlow Semi Condensed" w:hAnsi="Barlow Semi Condensed"/>
          <w:b/>
          <w:bCs/>
          <w:sz w:val="24"/>
          <w:szCs w:val="24"/>
        </w:rPr>
        <w:t xml:space="preserve">602 · Le immagini mai pubblicate.</w:t>
      </w:r>
      <w:r>
        <w:rPr>
          <w:rFonts w:ascii="Barlow Semi Condensed" w:cs="Barlow Semi Condensed" w:eastAsia="Barlow Semi Condensed" w:hAnsi="Barlow Semi Condensed"/>
          <w:sz w:val="24"/>
          <w:szCs w:val="24"/>
        </w:rPr>
        <w:t xml:space="preserve"> La caccia all'inedito d'archivio: gli scatti mai usciti nei fondi d'agenzia e nei fascicoli — il censimento del non pubblicato con la griglia dei quesiti. L'inedito non è uno scoop: è un documento in più, e si tratta come tale.</w:t>
      </w:r>
    </w:p>
    <w:p>
      <w:pPr>
        <w:spacing w:after="120" w:line="276"/>
        <w:jc w:val="both"/>
      </w:pPr>
      <w:r>
        <w:rPr>
          <w:rFonts w:ascii="Barlow Semi Condensed" w:cs="Barlow Semi Condensed" w:eastAsia="Barlow Semi Condensed" w:hAnsi="Barlow Semi Condensed"/>
          <w:b/>
          <w:bCs/>
          <w:sz w:val="24"/>
          <w:szCs w:val="24"/>
        </w:rPr>
        <w:t xml:space="preserve">603 · Le foto degli archivi esteri.</w:t>
      </w:r>
      <w:r>
        <w:rPr>
          <w:rFonts w:ascii="Barlow Semi Condensed" w:cs="Barlow Semi Condensed" w:eastAsia="Barlow Semi Condensed" w:hAnsi="Barlow Semi Condensed"/>
          <w:sz w:val="24"/>
          <w:szCs w:val="24"/>
        </w:rPr>
        <w:t xml:space="preserve"> Il raccordo coi cantieri esteri: i fondi fotografici delle agenzie internazionali (AP, Reuters, AFP) per il caso — censiti nelle rispettive sedi con le regole della Parte prima. Lo sguardo fotografico straniero sulla crisi italiana: un filone terzo, mai collazionato coi due nazionali.</w:t>
      </w:r>
    </w:p>
    <w:p>
      <w:pPr>
        <w:spacing w:after="120" w:line="276"/>
        <w:jc w:val="both"/>
      </w:pPr>
      <w:r>
        <w:rPr>
          <w:rFonts w:ascii="Barlow Semi Condensed" w:cs="Barlow Semi Condensed" w:eastAsia="Barlow Semi Condensed" w:hAnsi="Barlow Semi Condensed"/>
          <w:b/>
          <w:bCs/>
          <w:sz w:val="24"/>
          <w:szCs w:val="24"/>
        </w:rPr>
        <w:t xml:space="preserve">604 · L'album delle vittime.</w:t>
      </w:r>
      <w:r>
        <w:rPr>
          <w:rFonts w:ascii="Barlow Semi Condensed" w:cs="Barlow Semi Condensed" w:eastAsia="Barlow Semi Condensed" w:hAnsi="Barlow Semi Condensed"/>
          <w:sz w:val="24"/>
          <w:szCs w:val="24"/>
        </w:rPr>
        <w:t xml:space="preserve"> Il progetto della memoria: l'iconografia documentata dei cinque uomini della scorta e di Moro — le immagini della vita, non solo della morte: censite con le famiglie, per la memoria pubblica (il raccordo col blocco 287). Il cantiere fotografico serve anche questo: restituire volti interi.</w:t>
      </w:r>
    </w:p>
    <w:p>
      <w:pPr>
        <w:spacing w:after="120" w:line="276"/>
        <w:jc w:val="both"/>
      </w:pPr>
      <w:r>
        <w:rPr>
          <w:rFonts w:ascii="Barlow Semi Condensed" w:cs="Barlow Semi Condensed" w:eastAsia="Barlow Semi Condensed" w:hAnsi="Barlow Semi Condensed"/>
          <w:b/>
          <w:bCs/>
          <w:sz w:val="24"/>
          <w:szCs w:val="24"/>
        </w:rPr>
        <w:t xml:space="preserve">605 · I fotomontaggi e i falsi visivi.</w:t>
      </w:r>
      <w:r>
        <w:rPr>
          <w:rFonts w:ascii="Barlow Semi Condensed" w:cs="Barlow Semi Condensed" w:eastAsia="Barlow Semi Condensed" w:hAnsi="Barlow Semi Condensed"/>
          <w:sz w:val="24"/>
          <w:szCs w:val="24"/>
        </w:rPr>
        <w:t xml:space="preserve"> Il registro dei falsi fotografici del caso: le immagini manipolate o mal attribuite circolate nei decenni — il catalogo con le perizie (il gemello visivo del blocco 441). L'iconografia del caso ha i suoi apocrifi: il catalogo li disinnesca.</w:t>
      </w:r>
    </w:p>
    <w:p>
      <w:pPr>
        <w:spacing w:after="120" w:line="276"/>
        <w:jc w:val="both"/>
      </w:pPr>
      <w:r>
        <w:rPr>
          <w:rFonts w:ascii="Barlow Semi Condensed" w:cs="Barlow Semi Condensed" w:eastAsia="Barlow Semi Condensed" w:hAnsi="Barlow Semi Condensed"/>
          <w:b/>
          <w:bCs/>
          <w:sz w:val="24"/>
          <w:szCs w:val="24"/>
        </w:rPr>
        <w:t xml:space="preserve">606 · Le didascalie sbagliate.</w:t>
      </w:r>
      <w:r>
        <w:rPr>
          <w:rFonts w:ascii="Barlow Semi Condensed" w:cs="Barlow Semi Condensed" w:eastAsia="Barlow Semi Condensed" w:hAnsi="Barlow Semi Condensed"/>
          <w:sz w:val="24"/>
          <w:szCs w:val="24"/>
        </w:rPr>
        <w:t xml:space="preserve"> La bonifica delle attribuzioni: le immagini del caso circolanti con date, luoghi o soggetti errati — la tavola delle correzioni documentate. Mezza iconografia pubblica del caso è didascalicamente imprecisa: la bonifica è un servizio alla verità visiva.</w:t>
      </w:r>
    </w:p>
    <w:p>
      <w:pPr>
        <w:spacing w:after="120" w:line="276"/>
        <w:jc w:val="both"/>
      </w:pPr>
      <w:r>
        <w:rPr>
          <w:rFonts w:ascii="Barlow Semi Condensed" w:cs="Barlow Semi Condensed" w:eastAsia="Barlow Semi Condensed" w:hAnsi="Barlow Semi Condensed"/>
          <w:b/>
          <w:bCs/>
          <w:sz w:val="24"/>
          <w:szCs w:val="24"/>
        </w:rPr>
        <w:t xml:space="preserve">607 · La fototeca unica.</w:t>
      </w:r>
      <w:r>
        <w:rPr>
          <w:rFonts w:ascii="Barlow Semi Condensed" w:cs="Barlow Semi Condensed" w:eastAsia="Barlow Semi Condensed" w:hAnsi="Barlow Semi Condensed"/>
          <w:sz w:val="24"/>
          <w:szCs w:val="24"/>
        </w:rPr>
        <w:t xml:space="preserve"> Lo strumento d'insieme: la fototeca digitale del caso — i filoni riuniti virtualmente, indicizzati per data, autore, soggetto, con le catene dichiarate. Il gemello visivo della fonoteca (blocco 583): ogni immagine del caso, trovabile e citabile.</w:t>
      </w:r>
    </w:p>
    <w:p>
      <w:pPr>
        <w:spacing w:after="120" w:line="276"/>
        <w:jc w:val="both"/>
      </w:pPr>
      <w:r>
        <w:rPr>
          <w:rFonts w:ascii="Barlow Semi Condensed" w:cs="Barlow Semi Condensed" w:eastAsia="Barlow Semi Condensed" w:hAnsi="Barlow Semi Condensed"/>
          <w:b/>
          <w:bCs/>
          <w:sz w:val="24"/>
          <w:szCs w:val="24"/>
        </w:rPr>
        <w:t xml:space="preserve">608 · I diritti delle immagini.</w:t>
      </w:r>
      <w:r>
        <w:rPr>
          <w:rFonts w:ascii="Barlow Semi Condensed" w:cs="Barlow Semi Condensed" w:eastAsia="Barlow Semi Condensed" w:hAnsi="Barlow Semi Condensed"/>
          <w:sz w:val="24"/>
          <w:szCs w:val="24"/>
        </w:rPr>
        <w:t xml:space="preserve"> Il quadro giuridico: i diritti sui corpus fotografici (agenzie, eredi degli autori, atti pubblici) — il prontuario per l'uso scientifico e divulgativo. La fototeca vive se i diritti sono chiari: il prontuario li chiarisce una volta per tutte.</w:t>
      </w:r>
    </w:p>
    <w:p>
      <w:pPr>
        <w:spacing w:after="120" w:line="276"/>
        <w:jc w:val="both"/>
      </w:pPr>
      <w:r>
        <w:rPr>
          <w:rFonts w:ascii="Barlow Semi Condensed" w:cs="Barlow Semi Condensed" w:eastAsia="Barlow Semi Condensed" w:hAnsi="Barlow Semi Condensed"/>
          <w:b/>
          <w:bCs/>
          <w:sz w:val="24"/>
          <w:szCs w:val="24"/>
        </w:rPr>
        <w:t xml:space="preserve">609 · Le mostre visive.</w:t>
      </w:r>
      <w:r>
        <w:rPr>
          <w:rFonts w:ascii="Barlow Semi Condensed" w:cs="Barlow Semi Condensed" w:eastAsia="Barlow Semi Condensed" w:hAnsi="Barlow Semi Condensed"/>
          <w:sz w:val="24"/>
          <w:szCs w:val="24"/>
        </w:rPr>
        <w:t xml:space="preserve"> La restituzione: il progetto espositivo documentato dell'iconografia del caso — con l'etica del blocco 600 e l'apparato del corpus. La memoria visiva pubblica del caso merita una casa curata: il cantiere la progetta.</w:t>
      </w:r>
    </w:p>
    <w:p>
      <w:pPr>
        <w:spacing w:after="120" w:line="276"/>
        <w:jc w:val="both"/>
      </w:pPr>
      <w:r>
        <w:rPr>
          <w:rFonts w:ascii="Barlow Semi Condensed" w:cs="Barlow Semi Condensed" w:eastAsia="Barlow Semi Condensed" w:hAnsi="Barlow Semi Condensed"/>
          <w:b/>
          <w:bCs/>
          <w:sz w:val="24"/>
          <w:szCs w:val="24"/>
        </w:rPr>
        <w:t xml:space="preserve">610 · La didattica visiva.</w:t>
      </w:r>
      <w:r>
        <w:rPr>
          <w:rFonts w:ascii="Barlow Semi Condensed" w:cs="Barlow Semi Condensed" w:eastAsia="Barlow Semi Condensed" w:hAnsi="Barlow Semi Condensed"/>
          <w:sz w:val="24"/>
          <w:szCs w:val="24"/>
        </w:rPr>
        <w:t xml:space="preserve"> Il progetto scolastico: l'iconografia commentata per le scuole — leggere le immagini del caso con gli strumenti del metodo (che cosa mostra, chi la scattò, che cosa non mostra). L'educazione visiva è educazione critica: il caso la può insegnare.</w:t>
      </w:r>
    </w:p>
    <w:p>
      <w:pPr>
        <w:spacing w:after="120" w:line="276"/>
        <w:jc w:val="both"/>
      </w:pPr>
      <w:r>
        <w:rPr>
          <w:rFonts w:ascii="Barlow Semi Condensed" w:cs="Barlow Semi Condensed" w:eastAsia="Barlow Semi Condensed" w:hAnsi="Barlow Semi Condensed"/>
          <w:b/>
          <w:bCs/>
          <w:sz w:val="24"/>
          <w:szCs w:val="24"/>
        </w:rPr>
        <w:t xml:space="preserve">611 · Le immagini come evidenze ACH.</w:t>
      </w:r>
      <w:r>
        <w:rPr>
          <w:rFonts w:ascii="Barlow Semi Condensed" w:cs="Barlow Semi Condensed" w:eastAsia="Barlow Semi Condensed" w:hAnsi="Barlow Semi Condensed"/>
          <w:sz w:val="24"/>
          <w:szCs w:val="24"/>
        </w:rPr>
        <w:t xml:space="preserve"> Il raccordo metodologico: le immagini nelle matrici — dove una fotografia è evidenza discriminante (la scena, la prigione, i covi), il suo grado e la sua cella dichiarati. L'iconografia entra nel metodo come ogni fonte: pesata, mai brandita.</w:t>
      </w:r>
    </w:p>
    <w:p>
      <w:pPr>
        <w:spacing w:after="120" w:line="276"/>
        <w:jc w:val="both"/>
      </w:pPr>
      <w:r>
        <w:rPr>
          <w:rFonts w:ascii="Barlow Semi Condensed" w:cs="Barlow Semi Condensed" w:eastAsia="Barlow Semi Condensed" w:hAnsi="Barlow Semi Condensed"/>
          <w:b/>
          <w:bCs/>
          <w:sz w:val="24"/>
          <w:szCs w:val="24"/>
        </w:rPr>
        <w:t xml:space="preserve">612 · Il confronto con la memoria.</w:t>
      </w:r>
      <w:r>
        <w:rPr>
          <w:rFonts w:ascii="Barlow Semi Condensed" w:cs="Barlow Semi Condensed" w:eastAsia="Barlow Semi Condensed" w:hAnsi="Barlow Semi Condensed"/>
          <w:sz w:val="24"/>
          <w:szCs w:val="24"/>
        </w:rPr>
        <w:t xml:space="preserve"> L'uso conservativo: le immagini come supporto neutro nei riascolti dei testimoni (la regola del blocco 107 dell'agenda: precisione senza suggestione). La fotografia aiuta la memoria a essere esatta — e il protocollo evita che la sostituisca.</w:t>
      </w:r>
    </w:p>
    <w:p>
      <w:pPr>
        <w:spacing w:after="120" w:line="276"/>
        <w:jc w:val="both"/>
      </w:pPr>
      <w:r>
        <w:rPr>
          <w:rFonts w:ascii="Barlow Semi Condensed" w:cs="Barlow Semi Condensed" w:eastAsia="Barlow Semi Condensed" w:hAnsi="Barlow Semi Condensed"/>
          <w:b/>
          <w:bCs/>
          <w:sz w:val="24"/>
          <w:szCs w:val="24"/>
        </w:rPr>
        <w:t xml:space="preserve">613 · I vuoti visivi.</w:t>
      </w:r>
      <w:r>
        <w:rPr>
          <w:rFonts w:ascii="Barlow Semi Condensed" w:cs="Barlow Semi Condensed" w:eastAsia="Barlow Semi Condensed" w:hAnsi="Barlow Semi Condensed"/>
          <w:sz w:val="24"/>
          <w:szCs w:val="24"/>
        </w:rPr>
        <w:t xml:space="preserve"> Il verbale dei vuoti: le scene mai fotografate, i rulli perduti, i fondi dispersi — lo Stato Zero fotografico. Anche l'iconografia ha i suoi silenzi: si perimetrano, perché nessuno li riempia di immagini sbagliate.</w:t>
      </w:r>
    </w:p>
    <w:p>
      <w:pPr>
        <w:spacing w:after="120" w:line="276"/>
        <w:jc w:val="both"/>
      </w:pPr>
      <w:r>
        <w:rPr>
          <w:rFonts w:ascii="Barlow Semi Condensed" w:cs="Barlow Semi Condensed" w:eastAsia="Barlow Semi Condensed" w:hAnsi="Barlow Semi Condensed"/>
          <w:b/>
          <w:bCs/>
          <w:sz w:val="24"/>
          <w:szCs w:val="24"/>
        </w:rPr>
        <w:t xml:space="preserve">614 · La sintesi fotografica.</w:t>
      </w:r>
      <w:r>
        <w:rPr>
          <w:rFonts w:ascii="Barlow Semi Condensed" w:cs="Barlow Semi Condensed" w:eastAsia="Barlow Semi Condensed" w:hAnsi="Barlow Semi Condensed"/>
          <w:sz w:val="24"/>
          <w:szCs w:val="24"/>
        </w:rPr>
        <w:t xml:space="preserve"> Il prodotto della sezione: lo stato dell'arte dell'iconografia del caso — filoni, fondi, riesami, vuoti — in relazione pubblica. La fotografia del caso, trattata da corpus e non da repertorio emotivo: è la pagina che mancava.</w:t>
      </w:r>
    </w:p>
    <w:p>
      <w:pPr>
        <w:spacing w:after="120" w:line="276"/>
        <w:jc w:val="both"/>
      </w:pPr>
      <w:r>
        <w:rPr>
          <w:rFonts w:ascii="Barlow Semi Condensed" w:cs="Barlow Semi Condensed" w:eastAsia="Barlow Semi Condensed" w:hAnsi="Barlow Semi Condensed"/>
          <w:b/>
          <w:bCs/>
          <w:sz w:val="24"/>
          <w:szCs w:val="24"/>
        </w:rPr>
        <w:t xml:space="preserve">615 · La tavola della fotografia.</w:t>
      </w:r>
      <w:r>
        <w:rPr>
          <w:rFonts w:ascii="Barlow Semi Condensed" w:cs="Barlow Semi Condensed" w:eastAsia="Barlow Semi Condensed" w:hAnsi="Barlow Semi Condensed"/>
          <w:sz w:val="24"/>
          <w:szCs w:val="24"/>
        </w:rPr>
        <w:t xml:space="preserve"> La chiusura della sezione: i fondi censiti, le digitalizzazioni avviate, i riesami pendenti, i diritti chiariti. L'immagine ferma del caso, contata — e restituita al suo statuto di documento.</w:t>
      </w:r>
    </w:p>
    <w:p>
      <w:pPr>
        <w:pStyle w:val="Heading3"/>
        <w:spacing w:after="80" w:before="160"/>
      </w:pPr>
      <w:r>
        <w:rPr>
          <w:rFonts w:ascii="Barlow Semi Condensed" w:cs="Barlow Semi Condensed" w:eastAsia="Barlow Semi Condensed" w:hAnsi="Barlow Semi Condensed"/>
          <w:sz w:val="24"/>
          <w:szCs w:val="24"/>
        </w:rPr>
        <w:t xml:space="preserve">Il cinema, la televisione, le immagini dall'alto (blocchi 616-660)</w:t>
      </w:r>
    </w:p>
    <w:p>
      <w:pPr>
        <w:spacing w:after="120" w:line="276"/>
        <w:jc w:val="both"/>
      </w:pPr>
      <w:r>
        <w:rPr>
          <w:rFonts w:ascii="Barlow Semi Condensed" w:cs="Barlow Semi Condensed" w:eastAsia="Barlow Semi Condensed" w:hAnsi="Barlow Semi Condensed"/>
          <w:b/>
          <w:bCs/>
          <w:sz w:val="24"/>
          <w:szCs w:val="24"/>
        </w:rPr>
        <w:t xml:space="preserve">616 · Le teche come giacimento sistematico.</w:t>
      </w:r>
      <w:r>
        <w:rPr>
          <w:rFonts w:ascii="Barlow Semi Condensed" w:cs="Barlow Semi Condensed" w:eastAsia="Barlow Semi Condensed" w:hAnsi="Barlow Semi Condensed"/>
          <w:sz w:val="24"/>
          <w:szCs w:val="24"/>
        </w:rPr>
        <w:t xml:space="preserve"> Il censimento integrale dei materiali televisivi del caso presso Rai Teche: notiziari, speciali, dirette, rubriche — la tavola dei materiali con date e stati. La televisione fu il sistema nervoso della crisi: il suo archivio è il più vasto giacimento audiovisivo del caso.</w:t>
      </w:r>
    </w:p>
    <w:p>
      <w:pPr>
        <w:spacing w:after="120" w:line="276"/>
        <w:jc w:val="both"/>
      </w:pPr>
      <w:r>
        <w:rPr>
          <w:rFonts w:ascii="Barlow Semi Condensed" w:cs="Barlow Semi Condensed" w:eastAsia="Barlow Semi Condensed" w:hAnsi="Barlow Semi Condensed"/>
          <w:b/>
          <w:bCs/>
          <w:sz w:val="24"/>
          <w:szCs w:val="24"/>
        </w:rPr>
        <w:t xml:space="preserve">617 · I telegiornali dei 55 giorni.</w:t>
      </w:r>
      <w:r>
        <w:rPr>
          <w:rFonts w:ascii="Barlow Semi Condensed" w:cs="Barlow Semi Condensed" w:eastAsia="Barlow Semi Condensed" w:hAnsi="Barlow Semi Condensed"/>
          <w:sz w:val="24"/>
          <w:szCs w:val="24"/>
        </w:rPr>
        <w:t xml:space="preserve"> Lo spoglio sistematico: tutte le edizioni dei telegiornali dal 16 marzo al 9 maggio — la cronologia televisiva integrale della crisi, edizione per edizione. Che cosa il paese vide, ora per ora: la controparte visiva dello spoglio delle agenzie (blocco 278).</w:t>
      </w:r>
    </w:p>
    <w:p>
      <w:pPr>
        <w:spacing w:after="120" w:line="276"/>
        <w:jc w:val="both"/>
      </w:pPr>
      <w:r>
        <w:rPr>
          <w:rFonts w:ascii="Barlow Semi Condensed" w:cs="Barlow Semi Condensed" w:eastAsia="Barlow Semi Condensed" w:hAnsi="Barlow Semi Condensed"/>
          <w:b/>
          <w:bCs/>
          <w:sz w:val="24"/>
          <w:szCs w:val="24"/>
        </w:rPr>
        <w:t xml:space="preserve">618 · I cinegiornali e l'Istituto Luce.</w:t>
      </w:r>
      <w:r>
        <w:rPr>
          <w:rFonts w:ascii="Barlow Semi Condensed" w:cs="Barlow Semi Condensed" w:eastAsia="Barlow Semi Condensed" w:hAnsi="Barlow Semi Condensed"/>
          <w:sz w:val="24"/>
          <w:szCs w:val="24"/>
        </w:rPr>
        <w:t xml:space="preserve"> L'accertamento presso l'Archivio Luce: i cinegiornali e i materiali filmici del 1978 sul caso — censimento e digitalizzazione. La memoria filmica istituzionale italiana ha una casa: il cantiere la interroga con la griglia di sempre.</w:t>
      </w:r>
    </w:p>
    <w:p>
      <w:pPr>
        <w:spacing w:after="120" w:line="276"/>
        <w:jc w:val="both"/>
      </w:pPr>
      <w:r>
        <w:rPr>
          <w:rFonts w:ascii="Barlow Semi Condensed" w:cs="Barlow Semi Condensed" w:eastAsia="Barlow Semi Condensed" w:hAnsi="Barlow Semi Condensed"/>
          <w:b/>
          <w:bCs/>
          <w:sz w:val="24"/>
          <w:szCs w:val="24"/>
        </w:rPr>
        <w:t xml:space="preserve">619 · I fuori onda del 16 marzo e del 9 maggio.</w:t>
      </w:r>
      <w:r>
        <w:rPr>
          <w:rFonts w:ascii="Barlow Semi Condensed" w:cs="Barlow Semi Condensed" w:eastAsia="Barlow Semi Condensed" w:hAnsi="Barlow Semi Condensed"/>
          <w:sz w:val="24"/>
          <w:szCs w:val="24"/>
        </w:rPr>
        <w:t xml:space="preserve"> La caccia ai girati: i materiali non montati delle due giornate — le riprese integrali di via Fani e via Caetani prima del montaggio (il blocco 91 dell'agenda, eseguito). Le telecamere ripresero più di ciò che andò in onda: quel margine è il bersaglio.</w:t>
      </w:r>
    </w:p>
    <w:p>
      <w:pPr>
        <w:spacing w:after="120" w:line="276"/>
        <w:jc w:val="both"/>
      </w:pPr>
      <w:r>
        <w:rPr>
          <w:rFonts w:ascii="Barlow Semi Condensed" w:cs="Barlow Semi Condensed" w:eastAsia="Barlow Semi Condensed" w:hAnsi="Barlow Semi Condensed"/>
          <w:b/>
          <w:bCs/>
          <w:sz w:val="24"/>
          <w:szCs w:val="24"/>
        </w:rPr>
        <w:t xml:space="preserve">620 · La Notte della Repubblica, il fascicolo.</w:t>
      </w:r>
      <w:r>
        <w:rPr>
          <w:rFonts w:ascii="Barlow Semi Condensed" w:cs="Barlow Semi Condensed" w:eastAsia="Barlow Semi Condensed" w:hAnsi="Barlow Semi Condensed"/>
          <w:sz w:val="24"/>
          <w:szCs w:val="24"/>
        </w:rPr>
        <w:t xml:space="preserve"> Il fascicolo Zavoli completo, coi numeri verificati: diciotto puntate per circa quarantacinque ore (Rai 2, dal 12 dicembre 1989 all'aprile 1990), con interviste a circa centocinquanta protagonisti — le puntate morotee censite e indicizzate al minuto, l'accertamento dei grezzi presso Rai Teche, e la Collezione Sergio Zavoli conservata all'Archivio storico della Presidenza della Repubblica (1950-2020) come secondo giacimento da inventariare. Il più grande corpus d'interviste della storia repubblicana sul terrorismo: trattato finalmente da fonte, con apparato.</w:t>
      </w:r>
    </w:p>
    <w:p>
      <w:pPr>
        <w:spacing w:after="120" w:line="276"/>
        <w:jc w:val="both"/>
      </w:pPr>
      <w:r>
        <w:rPr>
          <w:rFonts w:ascii="Barlow Semi Condensed" w:cs="Barlow Semi Condensed" w:eastAsia="Barlow Semi Condensed" w:hAnsi="Barlow Semi Condensed"/>
          <w:b/>
          <w:bCs/>
          <w:sz w:val="24"/>
          <w:szCs w:val="24"/>
        </w:rPr>
        <w:t xml:space="preserve">621 · Le interviste televisive dei condannati.</w:t>
      </w:r>
      <w:r>
        <w:rPr>
          <w:rFonts w:ascii="Barlow Semi Condensed" w:cs="Barlow Semi Condensed" w:eastAsia="Barlow Semi Condensed" w:hAnsi="Barlow Semi Condensed"/>
          <w:sz w:val="24"/>
          <w:szCs w:val="24"/>
        </w:rPr>
        <w:t xml:space="preserve"> Il censimento trasversale: tutte le apparizioni televisive dei membri del registro nei decenni — la tavola persona per persona, con date e programmi (il raccordo con la Parte ottava). La voce pubblica dei condannati è un corpus documentabile: si censisce, si data, si collaziona con gli atti.</w:t>
      </w:r>
    </w:p>
    <w:p>
      <w:pPr>
        <w:spacing w:after="120" w:line="276"/>
        <w:jc w:val="both"/>
      </w:pPr>
      <w:r>
        <w:rPr>
          <w:rFonts w:ascii="Barlow Semi Condensed" w:cs="Barlow Semi Condensed" w:eastAsia="Barlow Semi Condensed" w:hAnsi="Barlow Semi Condensed"/>
          <w:b/>
          <w:bCs/>
          <w:sz w:val="24"/>
          <w:szCs w:val="24"/>
        </w:rPr>
        <w:t xml:space="preserve">622 · I documentari del caso.</w:t>
      </w:r>
      <w:r>
        <w:rPr>
          <w:rFonts w:ascii="Barlow Semi Condensed" w:cs="Barlow Semi Condensed" w:eastAsia="Barlow Semi Condensed" w:hAnsi="Barlow Semi Condensed"/>
          <w:sz w:val="24"/>
          <w:szCs w:val="24"/>
        </w:rPr>
        <w:t xml:space="preserve"> La filmografia documentaria integrale: ogni documentario sul caso, con fonti usate, interviste originali, materiali inediti — la tavola critica della documentaristica. Ogni documentario è un archivio di lavoro congelato: la tavola dice quali vale la pena riaprire (il raccordo col blocco 281).</w:t>
      </w:r>
    </w:p>
    <w:p>
      <w:pPr>
        <w:spacing w:after="120" w:line="276"/>
        <w:jc w:val="both"/>
      </w:pPr>
      <w:r>
        <w:rPr>
          <w:rFonts w:ascii="Barlow Semi Condensed" w:cs="Barlow Semi Condensed" w:eastAsia="Barlow Semi Condensed" w:hAnsi="Barlow Semi Condensed"/>
          <w:b/>
          <w:bCs/>
          <w:sz w:val="24"/>
          <w:szCs w:val="24"/>
        </w:rPr>
        <w:t xml:space="preserve">623 · Le fiction e la memoria.</w:t>
      </w:r>
      <w:r>
        <w:rPr>
          <w:rFonts w:ascii="Barlow Semi Condensed" w:cs="Barlow Semi Condensed" w:eastAsia="Barlow Semi Condensed" w:hAnsi="Barlow Semi Condensed"/>
          <w:sz w:val="24"/>
          <w:szCs w:val="24"/>
        </w:rPr>
        <w:t xml:space="preserve"> Il censimento delle opere di finzione (cinema e tv) sul caso, con la tavola delle licenze narrative maggiori rispetto agli atti. La finzione plasma la memoria pubblica più degli archivi: censire i suoi scarti dal documentato è igiene civile, non pedanteria.</w:t>
      </w:r>
    </w:p>
    <w:p>
      <w:pPr>
        <w:spacing w:after="120" w:line="276"/>
        <w:jc w:val="both"/>
      </w:pPr>
      <w:r>
        <w:rPr>
          <w:rFonts w:ascii="Barlow Semi Condensed" w:cs="Barlow Semi Condensed" w:eastAsia="Barlow Semi Condensed" w:hAnsi="Barlow Semi Condensed"/>
          <w:b/>
          <w:bCs/>
          <w:sz w:val="24"/>
          <w:szCs w:val="24"/>
        </w:rPr>
        <w:t xml:space="preserve">624 · Il processo in video.</w:t>
      </w:r>
      <w:r>
        <w:rPr>
          <w:rFonts w:ascii="Barlow Semi Condensed" w:cs="Barlow Semi Condensed" w:eastAsia="Barlow Semi Condensed" w:hAnsi="Barlow Semi Condensed"/>
          <w:sz w:val="24"/>
          <w:szCs w:val="24"/>
        </w:rPr>
        <w:t xml:space="preserve"> L'accertamento: esistono riprese televisive dei processi Moro (le aule, le testimonianze trasmesse)? Il censimento dei materiali processuali audiovisivi — con Radio Radicale come giacimento parallelo per l'audio delle aule (l'accertamento della copertura d'epoca). La giustizia ripresa: dove esiste, è memoria processuale diretta.</w:t>
      </w:r>
    </w:p>
    <w:p>
      <w:pPr>
        <w:spacing w:after="120" w:line="276"/>
        <w:jc w:val="both"/>
      </w:pPr>
      <w:r>
        <w:rPr>
          <w:rFonts w:ascii="Barlow Semi Condensed" w:cs="Barlow Semi Condensed" w:eastAsia="Barlow Semi Condensed" w:hAnsi="Barlow Semi Condensed"/>
          <w:b/>
          <w:bCs/>
          <w:sz w:val="24"/>
          <w:szCs w:val="24"/>
        </w:rPr>
        <w:t xml:space="preserve">625 · Le tribune e i dibattiti d'epoca.</w:t>
      </w:r>
      <w:r>
        <w:rPr>
          <w:rFonts w:ascii="Barlow Semi Condensed" w:cs="Barlow Semi Condensed" w:eastAsia="Barlow Semi Condensed" w:hAnsi="Barlow Semi Condensed"/>
          <w:sz w:val="24"/>
          <w:szCs w:val="24"/>
        </w:rPr>
        <w:t xml:space="preserve"> I dibattiti televisivi del 1978 sulla crisi: le tribune politiche, i confronti, le dichiarazioni dei leader — censimento datato. La politica parlò in video durante i 55 giorni: quelle parole registrate sono atti pubblici della crisi.</w:t>
      </w:r>
    </w:p>
    <w:p>
      <w:pPr>
        <w:spacing w:after="120" w:line="276"/>
        <w:jc w:val="both"/>
      </w:pPr>
      <w:r>
        <w:rPr>
          <w:rFonts w:ascii="Barlow Semi Condensed" w:cs="Barlow Semi Condensed" w:eastAsia="Barlow Semi Condensed" w:hAnsi="Barlow Semi Condensed"/>
          <w:b/>
          <w:bCs/>
          <w:sz w:val="24"/>
          <w:szCs w:val="24"/>
        </w:rPr>
        <w:t xml:space="preserve">626 · Gli speciali degli anniversari.</w:t>
      </w:r>
      <w:r>
        <w:rPr>
          <w:rFonts w:ascii="Barlow Semi Condensed" w:cs="Barlow Semi Condensed" w:eastAsia="Barlow Semi Condensed" w:hAnsi="Barlow Semi Condensed"/>
          <w:sz w:val="24"/>
          <w:szCs w:val="24"/>
        </w:rPr>
        <w:t xml:space="preserve"> La serie degli speciali televisivi anniversari (1988, 1998, 2008, 2018…): il censimento con le interviste originali di ciascuno. Ogni decennale ha raccolto voci allora viventi: gli speciali sono raccolte conservative ante litteram — e alcune voci esistono solo lì.</w:t>
      </w:r>
    </w:p>
    <w:p>
      <w:pPr>
        <w:spacing w:after="120" w:line="276"/>
        <w:jc w:val="both"/>
      </w:pPr>
      <w:r>
        <w:rPr>
          <w:rFonts w:ascii="Barlow Semi Condensed" w:cs="Barlow Semi Condensed" w:eastAsia="Barlow Semi Condensed" w:hAnsi="Barlow Semi Condensed"/>
          <w:b/>
          <w:bCs/>
          <w:sz w:val="24"/>
          <w:szCs w:val="24"/>
        </w:rPr>
        <w:t xml:space="preserve">627 · Le televisioni private e locali.</w:t>
      </w:r>
      <w:r>
        <w:rPr>
          <w:rFonts w:ascii="Barlow Semi Condensed" w:cs="Barlow Semi Condensed" w:eastAsia="Barlow Semi Condensed" w:hAnsi="Barlow Semi Condensed"/>
          <w:sz w:val="24"/>
          <w:szCs w:val="24"/>
        </w:rPr>
        <w:t xml:space="preserve"> Il censimento oltre la Rai: gli archivi delle private nazionali (dal 1980) e delle emittenti locali romane per i materiali morotei — interviste, ricostruzioni, testimonianze locali. La memoria televisiva minore: dispersa, fragile, mai censita — e per questo urgente.</w:t>
      </w:r>
    </w:p>
    <w:p>
      <w:pPr>
        <w:spacing w:after="120" w:line="276"/>
        <w:jc w:val="both"/>
      </w:pPr>
      <w:r>
        <w:rPr>
          <w:rFonts w:ascii="Barlow Semi Condensed" w:cs="Barlow Semi Condensed" w:eastAsia="Barlow Semi Condensed" w:hAnsi="Barlow Semi Condensed"/>
          <w:b/>
          <w:bCs/>
          <w:sz w:val="24"/>
          <w:szCs w:val="24"/>
        </w:rPr>
        <w:t xml:space="preserve">628 · Gli archivi dei broadcaster esteri.</w:t>
      </w:r>
      <w:r>
        <w:rPr>
          <w:rFonts w:ascii="Barlow Semi Condensed" w:cs="Barlow Semi Condensed" w:eastAsia="Barlow Semi Condensed" w:hAnsi="Barlow Semi Condensed"/>
          <w:sz w:val="24"/>
          <w:szCs w:val="24"/>
        </w:rPr>
        <w:t xml:space="preserve"> Il raccordo coi cantieri esteri: BBC Archive, INA, ARD e gli altri per i servizi sul caso — censimento nelle rispettive piattaforme con le regole della Parte prima. Il caso in onda fuori d'Italia: un corpus audiovisivo terzo, con punti di vista propri.</w:t>
      </w:r>
    </w:p>
    <w:p>
      <w:pPr>
        <w:spacing w:after="120" w:line="276"/>
        <w:jc w:val="both"/>
      </w:pPr>
      <w:r>
        <w:rPr>
          <w:rFonts w:ascii="Barlow Semi Condensed" w:cs="Barlow Semi Condensed" w:eastAsia="Barlow Semi Condensed" w:hAnsi="Barlow Semi Condensed"/>
          <w:b/>
          <w:bCs/>
          <w:sz w:val="24"/>
          <w:szCs w:val="24"/>
        </w:rPr>
        <w:t xml:space="preserve">629 · Il web audiovisivo.</w:t>
      </w:r>
      <w:r>
        <w:rPr>
          <w:rFonts w:ascii="Barlow Semi Condensed" w:cs="Barlow Semi Condensed" w:eastAsia="Barlow Semi Condensed" w:hAnsi="Barlow Semi Condensed"/>
          <w:sz w:val="24"/>
          <w:szCs w:val="24"/>
        </w:rPr>
        <w:t xml:space="preserve"> La memoria digitale nativa: i materiali audiovisivi del caso caricati in rete (canali istituzionali, archivi amatoriali digitalizzati) — il censimento con verifica di provenienza per ciascun pezzo (il raccordo col blocco 292). La rete conserva e confonde: il censimento distingue.</w:t>
      </w:r>
    </w:p>
    <w:p>
      <w:pPr>
        <w:spacing w:after="120" w:line="276"/>
        <w:jc w:val="both"/>
      </w:pPr>
      <w:r>
        <w:rPr>
          <w:rFonts w:ascii="Barlow Semi Condensed" w:cs="Barlow Semi Condensed" w:eastAsia="Barlow Semi Condensed" w:hAnsi="Barlow Semi Condensed"/>
          <w:b/>
          <w:bCs/>
          <w:sz w:val="24"/>
          <w:szCs w:val="24"/>
        </w:rPr>
        <w:t xml:space="preserve">630 · L'aerofotografia del 1978.</w:t>
      </w:r>
      <w:r>
        <w:rPr>
          <w:rFonts w:ascii="Barlow Semi Condensed" w:cs="Barlow Semi Condensed" w:eastAsia="Barlow Semi Condensed" w:hAnsi="Barlow Semi Condensed"/>
          <w:sz w:val="24"/>
          <w:szCs w:val="24"/>
        </w:rPr>
        <w:t xml:space="preserve"> Il fatto verificato come bersaglio: le coperture aeree storiche dell'Aerofototeca Nazionale (ICCD) e dell'Istituto Geografico Militare — l'accertamento dei voli sui quadranti romani del 1977-1978 (via Fani, via Gradoli, via Montalcini, via Caetani). La città dall'alto, com'era: la base metrica di ogni ricostruzione.</w:t>
      </w:r>
    </w:p>
    <w:p>
      <w:pPr>
        <w:spacing w:after="120" w:line="276"/>
        <w:jc w:val="both"/>
      </w:pPr>
      <w:r>
        <w:rPr>
          <w:rFonts w:ascii="Barlow Semi Condensed" w:cs="Barlow Semi Condensed" w:eastAsia="Barlow Semi Condensed" w:hAnsi="Barlow Semi Condensed"/>
          <w:b/>
          <w:bCs/>
          <w:sz w:val="24"/>
          <w:szCs w:val="24"/>
        </w:rPr>
        <w:t xml:space="preserve">631 · La cartografia d'epoca.</w:t>
      </w:r>
      <w:r>
        <w:rPr>
          <w:rFonts w:ascii="Barlow Semi Condensed" w:cs="Barlow Semi Condensed" w:eastAsia="Barlow Semi Condensed" w:hAnsi="Barlow Semi Condensed"/>
          <w:sz w:val="24"/>
          <w:szCs w:val="24"/>
        </w:rPr>
        <w:t xml:space="preserve"> Il corredo cartografico: la cartografia tecnica comunale e IGM di Roma 1978 — viabilità, edificato, toponomastica dell'epoca — digitalizzata e georiferita (il raccordo col blocco 205 dell'agenda). Il 1978 aveva la sua Roma: le ricostruzioni si fanno su quella, non sulla città di oggi.</w:t>
      </w:r>
    </w:p>
    <w:p>
      <w:pPr>
        <w:spacing w:after="120" w:line="276"/>
        <w:jc w:val="both"/>
      </w:pPr>
      <w:r>
        <w:rPr>
          <w:rFonts w:ascii="Barlow Semi Condensed" w:cs="Barlow Semi Condensed" w:eastAsia="Barlow Semi Condensed" w:hAnsi="Barlow Semi Condensed"/>
          <w:b/>
          <w:bCs/>
          <w:sz w:val="24"/>
          <w:szCs w:val="24"/>
        </w:rPr>
        <w:t xml:space="preserve">632 · Il modello della scena, costruito.</w:t>
      </w:r>
      <w:r>
        <w:rPr>
          <w:rFonts w:ascii="Barlow Semi Condensed" w:cs="Barlow Semi Condensed" w:eastAsia="Barlow Semi Condensed" w:hAnsi="Barlow Semi Condensed"/>
          <w:sz w:val="24"/>
          <w:szCs w:val="24"/>
        </w:rPr>
        <w:t xml:space="preserve"> L'esecuzione del bersaglio, col quadro precisato dalle verifiche: per la Moro 2 la Polizia scientifica realizzò una ricostruzione virtuale in 3D dell'agguato (elaborata da dati autoptici, perizie balistiche e posizione dei bossoli, diffusa nel 2017 come elaborato tecnico) — ma un modello pubblico, esplorabile e falsificabile da chiunque non esiste. Il cantiere lo costruisce partendo da quell'elaborato: geometrie dai rilievi e dalla fotogrammetria, veicoli, traiettorie, ogni assunzione dichiarata, ogni misura con la sua fonte — il primo modello aperto della scena.</w:t>
      </w:r>
    </w:p>
    <w:p>
      <w:pPr>
        <w:spacing w:after="120" w:line="276"/>
        <w:jc w:val="both"/>
      </w:pPr>
      <w:r>
        <w:rPr>
          <w:rFonts w:ascii="Barlow Semi Condensed" w:cs="Barlow Semi Condensed" w:eastAsia="Barlow Semi Condensed" w:hAnsi="Barlow Semi Condensed"/>
          <w:b/>
          <w:bCs/>
          <w:sz w:val="24"/>
          <w:szCs w:val="24"/>
        </w:rPr>
        <w:t xml:space="preserve">633 · Il modello dei luoghi minori.</w:t>
      </w:r>
      <w:r>
        <w:rPr>
          <w:rFonts w:ascii="Barlow Semi Condensed" w:cs="Barlow Semi Condensed" w:eastAsia="Barlow Semi Condensed" w:hAnsi="Barlow Semi Condensed"/>
          <w:sz w:val="24"/>
          <w:szCs w:val="24"/>
        </w:rPr>
        <w:t xml:space="preserve"> L'estensione: i modelli documentali degli altri luoghi (via Gradoli 96, il percorso del 9 maggio) dalle fonti d'epoca — planimetrie, rilievi, fotografie. La geografia del caso in tre dimensioni documentate: strumenti di verifica, non scenografie.</w:t>
      </w:r>
    </w:p>
    <w:p>
      <w:pPr>
        <w:spacing w:after="120" w:line="276"/>
        <w:jc w:val="both"/>
      </w:pPr>
      <w:r>
        <w:rPr>
          <w:rFonts w:ascii="Barlow Semi Condensed" w:cs="Barlow Semi Condensed" w:eastAsia="Barlow Semi Condensed" w:hAnsi="Barlow Semi Condensed"/>
          <w:b/>
          <w:bCs/>
          <w:sz w:val="24"/>
          <w:szCs w:val="24"/>
        </w:rPr>
        <w:t xml:space="preserve">634 · La strada com'era.</w:t>
      </w:r>
      <w:r>
        <w:rPr>
          <w:rFonts w:ascii="Barlow Semi Condensed" w:cs="Barlow Semi Condensed" w:eastAsia="Barlow Semi Condensed" w:hAnsi="Barlow Semi Condensed"/>
          <w:sz w:val="24"/>
          <w:szCs w:val="24"/>
        </w:rPr>
        <w:t xml:space="preserve"> Il micro-bersaglio di via Fani: lo stato fisico della strada il 16 marzo 1978 — i cantieri, la segnaletica, le auto in sosta documentate — dalla fotografia e dai verbali. La scena minuta: ogni dettaglio fisico verificato vincola le ricostruzioni della dinamica.</w:t>
      </w:r>
    </w:p>
    <w:p>
      <w:pPr>
        <w:spacing w:after="120" w:line="276"/>
        <w:jc w:val="both"/>
      </w:pPr>
      <w:r>
        <w:rPr>
          <w:rFonts w:ascii="Barlow Semi Condensed" w:cs="Barlow Semi Condensed" w:eastAsia="Barlow Semi Condensed" w:hAnsi="Barlow Semi Condensed"/>
          <w:b/>
          <w:bCs/>
          <w:sz w:val="24"/>
          <w:szCs w:val="24"/>
        </w:rPr>
        <w:t xml:space="preserve">635 · I tempi di percorrenza ricostruiti.</w:t>
      </w:r>
      <w:r>
        <w:rPr>
          <w:rFonts w:ascii="Barlow Semi Condensed" w:cs="Barlow Semi Condensed" w:eastAsia="Barlow Semi Condensed" w:hAnsi="Barlow Semi Condensed"/>
          <w:sz w:val="24"/>
          <w:szCs w:val="24"/>
        </w:rPr>
        <w:t xml:space="preserve"> Il modello cinematico: i percorsi documentati del caso (il corteo, le fughe, il trasferimento finale) sulla viabilità del 1978 — i tempi misurati sul modello (il blocco 205 dell'agenda, eseguito). Ogni cronologia testimoniata si verifica contro la città reale: la geografia non testimonia, misura.</w:t>
      </w:r>
    </w:p>
    <w:p>
      <w:pPr>
        <w:spacing w:after="120" w:line="276"/>
        <w:jc w:val="both"/>
      </w:pPr>
      <w:r>
        <w:rPr>
          <w:rFonts w:ascii="Barlow Semi Condensed" w:cs="Barlow Semi Condensed" w:eastAsia="Barlow Semi Condensed" w:hAnsi="Barlow Semi Condensed"/>
          <w:b/>
          <w:bCs/>
          <w:sz w:val="24"/>
          <w:szCs w:val="24"/>
        </w:rPr>
        <w:t xml:space="preserve">636 · La luce del 16 marzo.</w:t>
      </w:r>
      <w:r>
        <w:rPr>
          <w:rFonts w:ascii="Barlow Semi Condensed" w:cs="Barlow Semi Condensed" w:eastAsia="Barlow Semi Condensed" w:hAnsi="Barlow Semi Condensed"/>
          <w:sz w:val="24"/>
          <w:szCs w:val="24"/>
        </w:rPr>
        <w:t xml:space="preserve"> Il dettaglio astronomico-meteo: le condizioni di luce e meteo della mattina (effemeridi, bollettini d'epoca) per la taratura delle fotografie e delle testimonianze visive. Il sole del 16 marzo 1978 è calcolabile al minuto: un vincolo gratuito per ogni analisi d'immagine.</w:t>
      </w:r>
    </w:p>
    <w:p>
      <w:pPr>
        <w:spacing w:after="120" w:line="276"/>
        <w:jc w:val="both"/>
      </w:pPr>
      <w:r>
        <w:rPr>
          <w:rFonts w:ascii="Barlow Semi Condensed" w:cs="Barlow Semi Condensed" w:eastAsia="Barlow Semi Condensed" w:hAnsi="Barlow Semi Condensed"/>
          <w:b/>
          <w:bCs/>
          <w:sz w:val="24"/>
          <w:szCs w:val="24"/>
        </w:rPr>
        <w:t xml:space="preserve">637 · L'archivio del modello.</w:t>
      </w:r>
      <w:r>
        <w:rPr>
          <w:rFonts w:ascii="Barlow Semi Condensed" w:cs="Barlow Semi Condensed" w:eastAsia="Barlow Semi Condensed" w:hAnsi="Barlow Semi Condensed"/>
          <w:sz w:val="24"/>
          <w:szCs w:val="24"/>
        </w:rPr>
        <w:t xml:space="preserve"> La conservazione degli strumenti: modelli, misure e codici del cantiere visivo versati in formato aperto nel fascicolo digitale (la regola della riproducibilità del manuale). Chi contesterà il modello dovrà poterlo rifare: è il senso di pubblicarlo intero.</w:t>
      </w:r>
    </w:p>
    <w:p>
      <w:pPr>
        <w:spacing w:after="120" w:line="276"/>
        <w:jc w:val="both"/>
      </w:pPr>
      <w:r>
        <w:rPr>
          <w:rFonts w:ascii="Barlow Semi Condensed" w:cs="Barlow Semi Condensed" w:eastAsia="Barlow Semi Condensed" w:hAnsi="Barlow Semi Condensed"/>
          <w:b/>
          <w:bCs/>
          <w:sz w:val="24"/>
          <w:szCs w:val="24"/>
        </w:rPr>
        <w:t xml:space="preserve">638 · Il raccordo con le piste.</w:t>
      </w:r>
      <w:r>
        <w:rPr>
          <w:rFonts w:ascii="Barlow Semi Condensed" w:cs="Barlow Semi Condensed" w:eastAsia="Barlow Semi Condensed" w:hAnsi="Barlow Semi Condensed"/>
          <w:sz w:val="24"/>
          <w:szCs w:val="24"/>
        </w:rPr>
        <w:t xml:space="preserve"> La tavola di corrispondenza della parte: l'audiovisivo serve PN-1 (la scena e le presenze), il quesito 13 (le immagini del 18 aprile), la Parte quinta (la foto della prigione) e la raccolta conservativa. Ogni immagine dichiara la sua pista: nessun bersaglio orfano nemmeno in video.</w:t>
      </w:r>
    </w:p>
    <w:p>
      <w:pPr>
        <w:spacing w:after="120" w:line="276"/>
        <w:jc w:val="both"/>
      </w:pPr>
      <w:r>
        <w:rPr>
          <w:rFonts w:ascii="Barlow Semi Condensed" w:cs="Barlow Semi Condensed" w:eastAsia="Barlow Semi Condensed" w:hAnsi="Barlow Semi Condensed"/>
          <w:b/>
          <w:bCs/>
          <w:sz w:val="24"/>
          <w:szCs w:val="24"/>
        </w:rPr>
        <w:t xml:space="preserve">639 · I vuoti audiovisivi.</w:t>
      </w:r>
      <w:r>
        <w:rPr>
          <w:rFonts w:ascii="Barlow Semi Condensed" w:cs="Barlow Semi Condensed" w:eastAsia="Barlow Semi Condensed" w:hAnsi="Barlow Semi Condensed"/>
          <w:sz w:val="24"/>
          <w:szCs w:val="24"/>
        </w:rPr>
        <w:t xml:space="preserve"> Il verbale dei vuoti della parte: i girati perduti, i fondi dispersi, i voli mai fatti — lo Stato Zero del sensibile, completo. La memoria sensibile del caso è piena di buchi: perimetrarli impedisce che li riempia la fiction.</w:t>
      </w:r>
    </w:p>
    <w:p>
      <w:pPr>
        <w:spacing w:after="120" w:line="276"/>
        <w:jc w:val="both"/>
      </w:pPr>
      <w:r>
        <w:rPr>
          <w:rFonts w:ascii="Barlow Semi Condensed" w:cs="Barlow Semi Condensed" w:eastAsia="Barlow Semi Condensed" w:hAnsi="Barlow Semi Condensed"/>
          <w:b/>
          <w:bCs/>
          <w:sz w:val="24"/>
          <w:szCs w:val="24"/>
        </w:rPr>
        <w:t xml:space="preserve">640 · La tavola sesta.</w:t>
      </w:r>
      <w:r>
        <w:rPr>
          <w:rFonts w:ascii="Barlow Semi Condensed" w:cs="Barlow Semi Condensed" w:eastAsia="Barlow Semi Condensed" w:hAnsi="Barlow Semi Condensed"/>
          <w:sz w:val="24"/>
          <w:szCs w:val="24"/>
        </w:rPr>
        <w:t xml:space="preserve"> La chiusura della parte: fonoteca e fototeca avviate, teche censite, il modello della scena in costruzione, i vuoti dichiarati. Il cantiere del sensibile consegna la sua contabilità — e il caso, per la prima volta, ha un progetto per la sua memoria d'immagine.</w:t>
      </w:r>
    </w:p>
    <w:p>
      <w:pPr>
        <w:spacing w:after="120" w:line="276"/>
        <w:jc w:val="both"/>
      </w:pPr>
      <w:r>
        <w:rPr>
          <w:rFonts w:ascii="Barlow Semi Condensed" w:cs="Barlow Semi Condensed" w:eastAsia="Barlow Semi Condensed" w:hAnsi="Barlow Semi Condensed"/>
          <w:b/>
          <w:bCs/>
          <w:sz w:val="24"/>
          <w:szCs w:val="24"/>
        </w:rPr>
        <w:t xml:space="preserve">641 · Il deposito del sensibile.</w:t>
      </w:r>
      <w:r>
        <w:rPr>
          <w:rFonts w:ascii="Barlow Semi Condensed" w:cs="Barlow Semi Condensed" w:eastAsia="Barlow Semi Condensed" w:hAnsi="Barlow Semi Condensed"/>
          <w:sz w:val="24"/>
          <w:szCs w:val="24"/>
        </w:rPr>
        <w:t xml:space="preserve"> L'istituzione della parte: il deposito unico digitale dell'audiovisivo moroteo — fonoteca, fototeca, modelli — con standard archivistici e piano di conservazione (il raccordo col cantiere digitale del manuale). Il sensibile degrada più della carta: il suo deposito è un'urgenza infrastrutturale.</w:t>
      </w:r>
    </w:p>
    <w:p>
      <w:pPr>
        <w:spacing w:after="120" w:line="276"/>
        <w:jc w:val="both"/>
      </w:pPr>
      <w:r>
        <w:rPr>
          <w:rFonts w:ascii="Barlow Semi Condensed" w:cs="Barlow Semi Condensed" w:eastAsia="Barlow Semi Condensed" w:hAnsi="Barlow Semi Condensed"/>
          <w:b/>
          <w:bCs/>
          <w:sz w:val="24"/>
          <w:szCs w:val="24"/>
        </w:rPr>
        <w:t xml:space="preserve">642 · Le migrazioni di formato.</w:t>
      </w:r>
      <w:r>
        <w:rPr>
          <w:rFonts w:ascii="Barlow Semi Condensed" w:cs="Barlow Semi Condensed" w:eastAsia="Barlow Semi Condensed" w:hAnsi="Barlow Semi Condensed"/>
          <w:sz w:val="24"/>
          <w:szCs w:val="24"/>
        </w:rPr>
        <w:t xml:space="preserve"> La regola tecnica: ogni supporto migrato (nastri, pellicole, file) con verbale di migrazione e conservazione dell'originale. La storia dei formati è parte della catena di custodia: il cantiere la scrive a ogni passaggio.</w:t>
      </w:r>
    </w:p>
    <w:p>
      <w:pPr>
        <w:spacing w:after="120" w:line="276"/>
        <w:jc w:val="both"/>
      </w:pPr>
      <w:r>
        <w:rPr>
          <w:rFonts w:ascii="Barlow Semi Condensed" w:cs="Barlow Semi Condensed" w:eastAsia="Barlow Semi Condensed" w:hAnsi="Barlow Semi Condensed"/>
          <w:b/>
          <w:bCs/>
          <w:sz w:val="24"/>
          <w:szCs w:val="24"/>
        </w:rPr>
        <w:t xml:space="preserve">643 · I metadati del sensibile.</w:t>
      </w:r>
      <w:r>
        <w:rPr>
          <w:rFonts w:ascii="Barlow Semi Condensed" w:cs="Barlow Semi Condensed" w:eastAsia="Barlow Semi Condensed" w:hAnsi="Barlow Semi Condensed"/>
          <w:sz w:val="24"/>
          <w:szCs w:val="24"/>
        </w:rPr>
        <w:t xml:space="preserve"> Lo standard descrittivo: ogni pezzo audiovisivo con metadati completi (data, autore, provenienza, catena, diritti, grado). Un'immagine senza metadati è un orfano documentale: il cantiere non ne produce e non ne accetta.</w:t>
      </w:r>
    </w:p>
    <w:p>
      <w:pPr>
        <w:spacing w:after="120" w:line="276"/>
        <w:jc w:val="both"/>
      </w:pPr>
      <w:r>
        <w:rPr>
          <w:rFonts w:ascii="Barlow Semi Condensed" w:cs="Barlow Semi Condensed" w:eastAsia="Barlow Semi Condensed" w:hAnsi="Barlow Semi Condensed"/>
          <w:b/>
          <w:bCs/>
          <w:sz w:val="24"/>
          <w:szCs w:val="24"/>
        </w:rPr>
        <w:t xml:space="preserve">644 · L'autenticazione dell'audiovisivo.</w:t>
      </w:r>
      <w:r>
        <w:rPr>
          <w:rFonts w:ascii="Barlow Semi Condensed" w:cs="Barlow Semi Condensed" w:eastAsia="Barlow Semi Condensed" w:hAnsi="Barlow Semi Condensed"/>
          <w:sz w:val="24"/>
          <w:szCs w:val="24"/>
        </w:rPr>
        <w:t xml:space="preserve"> Il protocollo contro i falsi sensibili: l'autenticazione tecnica dei materiali audio-video che emergono (la lezione dei falsi, estesa al sensibile — e l'era dei falsi sintetici lo impone). Ogni «nuovo nastro» o «nuova foto» passa la dogana tecnica prima della cittadinanza nel corpus.</w:t>
      </w:r>
    </w:p>
    <w:p>
      <w:pPr>
        <w:spacing w:after="120" w:line="276"/>
        <w:jc w:val="both"/>
      </w:pPr>
      <w:r>
        <w:rPr>
          <w:rFonts w:ascii="Barlow Semi Condensed" w:cs="Barlow Semi Condensed" w:eastAsia="Barlow Semi Condensed" w:hAnsi="Barlow Semi Condensed"/>
          <w:b/>
          <w:bCs/>
          <w:sz w:val="24"/>
          <w:szCs w:val="24"/>
        </w:rPr>
        <w:t xml:space="preserve">645 · L'era dei falsi sintetici.</w:t>
      </w:r>
      <w:r>
        <w:rPr>
          <w:rFonts w:ascii="Barlow Semi Condensed" w:cs="Barlow Semi Condensed" w:eastAsia="Barlow Semi Condensed" w:hAnsi="Barlow Semi Condensed"/>
          <w:sz w:val="24"/>
          <w:szCs w:val="24"/>
        </w:rPr>
        <w:t xml:space="preserve"> La contingenza nuova: il protocollo per i contenuti generati artificialmente sul caso (voci ricostruite, immagini sintetiche) — riconoscimento, marcatura, registro pubblico dei falsi circolanti. Il caso attirerà il sintetico come attirò i falsi di carta: il cantiere si attrezza prima.</w:t>
      </w:r>
    </w:p>
    <w:p>
      <w:pPr>
        <w:spacing w:after="120" w:line="276"/>
        <w:jc w:val="both"/>
      </w:pPr>
      <w:r>
        <w:rPr>
          <w:rFonts w:ascii="Barlow Semi Condensed" w:cs="Barlow Semi Condensed" w:eastAsia="Barlow Semi Condensed" w:hAnsi="Barlow Semi Condensed"/>
          <w:b/>
          <w:bCs/>
          <w:sz w:val="24"/>
          <w:szCs w:val="24"/>
        </w:rPr>
        <w:t xml:space="preserve">646 · La voce ricostruita, il divieto.</w:t>
      </w:r>
      <w:r>
        <w:rPr>
          <w:rFonts w:ascii="Barlow Semi Condensed" w:cs="Barlow Semi Condensed" w:eastAsia="Barlow Semi Condensed" w:hAnsi="Barlow Semi Condensed"/>
          <w:sz w:val="24"/>
          <w:szCs w:val="24"/>
        </w:rPr>
        <w:t xml:space="preserve"> La regola etica dedicata: il cantiere non genera mai ricostruzioni sintetiche delle voci delle vittime né dei protagonisti — nessuna «voce di Moro» artificiale, per nessuno scopo. Il rispetto vale più della suggestione tecnologica: è un divieto, non una cautela.</w:t>
      </w:r>
    </w:p>
    <w:p>
      <w:pPr>
        <w:spacing w:after="120" w:line="276"/>
        <w:jc w:val="both"/>
      </w:pPr>
      <w:r>
        <w:rPr>
          <w:rFonts w:ascii="Barlow Semi Condensed" w:cs="Barlow Semi Condensed" w:eastAsia="Barlow Semi Condensed" w:hAnsi="Barlow Semi Condensed"/>
          <w:b/>
          <w:bCs/>
          <w:sz w:val="24"/>
          <w:szCs w:val="24"/>
        </w:rPr>
        <w:t xml:space="preserve">647 · Le trascrizioni accessibili.</w:t>
      </w:r>
      <w:r>
        <w:rPr>
          <w:rFonts w:ascii="Barlow Semi Condensed" w:cs="Barlow Semi Condensed" w:eastAsia="Barlow Semi Condensed" w:hAnsi="Barlow Semi Condensed"/>
          <w:sz w:val="24"/>
          <w:szCs w:val="24"/>
        </w:rPr>
        <w:t xml:space="preserve"> L'accessibilità del sensibile: trascrizioni e descrizioni per ogni materiale (il blocco 326 del manuale, eseguito): la memoria audiovisiva fruibile anche da chi non vede o non sente. La memoria repubblicana non ha barriere d'ingresso.</w:t>
      </w:r>
    </w:p>
    <w:p>
      <w:pPr>
        <w:spacing w:after="120" w:line="276"/>
        <w:jc w:val="both"/>
      </w:pPr>
      <w:r>
        <w:rPr>
          <w:rFonts w:ascii="Barlow Semi Condensed" w:cs="Barlow Semi Condensed" w:eastAsia="Barlow Semi Condensed" w:hAnsi="Barlow Semi Condensed"/>
          <w:b/>
          <w:bCs/>
          <w:sz w:val="24"/>
          <w:szCs w:val="24"/>
        </w:rPr>
        <w:t xml:space="preserve">648 · La cronologia visiva integrale.</w:t>
      </w:r>
      <w:r>
        <w:rPr>
          <w:rFonts w:ascii="Barlow Semi Condensed" w:cs="Barlow Semi Condensed" w:eastAsia="Barlow Semi Condensed" w:hAnsi="Barlow Semi Condensed"/>
          <w:sz w:val="24"/>
          <w:szCs w:val="24"/>
        </w:rPr>
        <w:t xml:space="preserve"> Il prodotto di sintesi: la cronologia dei 55 giorni illustrata coi materiali censiti — ogni giorno con le sue immagini e i suoi suoni documentati, in piattaforma consultabile. La crisi come esperienza documentale integrale: testo, immagine, suono — tutto con fonte.</w:t>
      </w:r>
    </w:p>
    <w:p>
      <w:pPr>
        <w:spacing w:after="120" w:line="276"/>
        <w:jc w:val="both"/>
      </w:pPr>
      <w:r>
        <w:rPr>
          <w:rFonts w:ascii="Barlow Semi Condensed" w:cs="Barlow Semi Condensed" w:eastAsia="Barlow Semi Condensed" w:hAnsi="Barlow Semi Condensed"/>
          <w:b/>
          <w:bCs/>
          <w:sz w:val="24"/>
          <w:szCs w:val="24"/>
        </w:rPr>
        <w:t xml:space="preserve">649 · La sintesi della parte.</w:t>
      </w:r>
      <w:r>
        <w:rPr>
          <w:rFonts w:ascii="Barlow Semi Condensed" w:cs="Barlow Semi Condensed" w:eastAsia="Barlow Semi Condensed" w:hAnsi="Barlow Semi Condensed"/>
          <w:sz w:val="24"/>
          <w:szCs w:val="24"/>
        </w:rPr>
        <w:t xml:space="preserve"> Il prodotto d'insieme: lo stato dell'arte della memoria sensibile del caso — che cosa esiste, dove, in che stato, che cosa è perduto — in relazione pubblica. Due nastri, migliaia di fotografie, chilometri di girato: finalmente contati insieme.</w:t>
      </w:r>
    </w:p>
    <w:p>
      <w:pPr>
        <w:spacing w:after="120" w:line="276"/>
        <w:jc w:val="both"/>
      </w:pPr>
      <w:r>
        <w:rPr>
          <w:rFonts w:ascii="Barlow Semi Condensed" w:cs="Barlow Semi Condensed" w:eastAsia="Barlow Semi Condensed" w:hAnsi="Barlow Semi Condensed"/>
          <w:b/>
          <w:bCs/>
          <w:sz w:val="24"/>
          <w:szCs w:val="24"/>
        </w:rPr>
        <w:t xml:space="preserve">650 · Il seicentocinquantesimo blocco: la memoria che si vede.</w:t>
      </w:r>
      <w:r>
        <w:rPr>
          <w:rFonts w:ascii="Barlow Semi Condensed" w:cs="Barlow Semi Condensed" w:eastAsia="Barlow Semi Condensed" w:hAnsi="Barlow Semi Condensed"/>
          <w:sz w:val="24"/>
          <w:szCs w:val="24"/>
        </w:rPr>
        <w:t xml:space="preserve"> La riflessione operativa della parte: il caso è entrato nella memoria nazionale soprattutto per immagini — la 128 crivellata, la foto col drappo, la R4 di via Caetani. Il cantiere restituisce a quelle immagini il loro statuto di documenti: con autore, ora, catena e grado — perché la memoria che si vede sia esatta quanto quella che si legge.</w:t>
      </w:r>
    </w:p>
    <w:p>
      <w:pPr>
        <w:spacing w:after="120" w:line="276"/>
        <w:jc w:val="both"/>
      </w:pPr>
      <w:r>
        <w:rPr>
          <w:rFonts w:ascii="Barlow Semi Condensed" w:cs="Barlow Semi Condensed" w:eastAsia="Barlow Semi Condensed" w:hAnsi="Barlow Semi Condensed"/>
          <w:b/>
          <w:bCs/>
          <w:sz w:val="24"/>
          <w:szCs w:val="24"/>
        </w:rPr>
        <w:t xml:space="preserve">651 · Il raccordo col fascicolo romano.</w:t>
      </w:r>
      <w:r>
        <w:rPr>
          <w:rFonts w:ascii="Barlow Semi Condensed" w:cs="Barlow Semi Condensed" w:eastAsia="Barlow Semi Condensed" w:hAnsi="Barlow Semi Condensed"/>
          <w:sz w:val="24"/>
          <w:szCs w:val="24"/>
        </w:rPr>
        <w:t xml:space="preserve"> La regola istituzionale della parte: ogni materiale sensibile con possibile rilievo per l'indagine aperta (immagini della scena, audio) si segnala all'autorità prima di ogni uso pubblico (il blocco 291 dell'agenda). Il sensibile può essere evidenza: la precedenza giudiziaria vale anche per un fotogramma.</w:t>
      </w:r>
    </w:p>
    <w:p>
      <w:pPr>
        <w:spacing w:after="120" w:line="276"/>
        <w:jc w:val="both"/>
      </w:pPr>
      <w:r>
        <w:rPr>
          <w:rFonts w:ascii="Barlow Semi Condensed" w:cs="Barlow Semi Condensed" w:eastAsia="Barlow Semi Condensed" w:hAnsi="Barlow Semi Condensed"/>
          <w:b/>
          <w:bCs/>
          <w:sz w:val="24"/>
          <w:szCs w:val="24"/>
        </w:rPr>
        <w:t xml:space="preserve">652 · Le collaborazioni tecniche.</w:t>
      </w:r>
      <w:r>
        <w:rPr>
          <w:rFonts w:ascii="Barlow Semi Condensed" w:cs="Barlow Semi Condensed" w:eastAsia="Barlow Semi Condensed" w:hAnsi="Barlow Semi Condensed"/>
          <w:sz w:val="24"/>
          <w:szCs w:val="24"/>
        </w:rPr>
        <w:t xml:space="preserve"> Le alleanze della parte: cineteche, teche, laboratori di restauro audiovisivo, dipartimenti universitari di fotografia forense — il tavolo tecnico permanente. Il sensibile richiede mestieri propri: il cantiere li riunisce invece di improvvisarli.</w:t>
      </w:r>
    </w:p>
    <w:p>
      <w:pPr>
        <w:spacing w:after="120" w:line="276"/>
        <w:jc w:val="both"/>
      </w:pPr>
      <w:r>
        <w:rPr>
          <w:rFonts w:ascii="Barlow Semi Condensed" w:cs="Barlow Semi Condensed" w:eastAsia="Barlow Semi Condensed" w:hAnsi="Barlow Semi Condensed"/>
          <w:b/>
          <w:bCs/>
          <w:sz w:val="24"/>
          <w:szCs w:val="24"/>
        </w:rPr>
        <w:t xml:space="preserve">653 · Il bilancio del sensibile.</w:t>
      </w:r>
      <w:r>
        <w:rPr>
          <w:rFonts w:ascii="Barlow Semi Condensed" w:cs="Barlow Semi Condensed" w:eastAsia="Barlow Semi Condensed" w:hAnsi="Barlow Semi Condensed"/>
          <w:sz w:val="24"/>
          <w:szCs w:val="24"/>
        </w:rPr>
        <w:t xml:space="preserve"> I costi dichiarati: digitalizzazioni, restauri, diritti, archiviazione — il bilancio della parte per campagna (la regola costante). Il sensibile è il cantiere più costoso per gigabyte: la trasparenza dei costi ne è la difesa.</w:t>
      </w:r>
    </w:p>
    <w:p>
      <w:pPr>
        <w:spacing w:after="120" w:line="276"/>
        <w:jc w:val="both"/>
      </w:pPr>
      <w:r>
        <w:rPr>
          <w:rFonts w:ascii="Barlow Semi Condensed" w:cs="Barlow Semi Condensed" w:eastAsia="Barlow Semi Condensed" w:hAnsi="Barlow Semi Condensed"/>
          <w:b/>
          <w:bCs/>
          <w:sz w:val="24"/>
          <w:szCs w:val="24"/>
        </w:rPr>
        <w:t xml:space="preserve">654 · Le priorità del degrado.</w:t>
      </w:r>
      <w:r>
        <w:rPr>
          <w:rFonts w:ascii="Barlow Semi Condensed" w:cs="Barlow Semi Condensed" w:eastAsia="Barlow Semi Condensed" w:hAnsi="Barlow Semi Condensed"/>
          <w:sz w:val="24"/>
          <w:szCs w:val="24"/>
        </w:rPr>
        <w:t xml:space="preserve"> La coda comandata dal decadimento: prima i supporti magnetici, poi le pellicole a rischio, poi la carta fotografica — la tavola delle urgenze conservative. Il tempo detta l'ordine: il cantiere obbedisce al chimico prima che al narrativo.</w:t>
      </w:r>
    </w:p>
    <w:p>
      <w:pPr>
        <w:spacing w:after="120" w:line="276"/>
        <w:jc w:val="both"/>
      </w:pPr>
      <w:r>
        <w:rPr>
          <w:rFonts w:ascii="Barlow Semi Condensed" w:cs="Barlow Semi Condensed" w:eastAsia="Barlow Semi Condensed" w:hAnsi="Barlow Semi Condensed"/>
          <w:b/>
          <w:bCs/>
          <w:sz w:val="24"/>
          <w:szCs w:val="24"/>
        </w:rPr>
        <w:t xml:space="preserve">655 · L'inventario degli apparecchi.</w:t>
      </w:r>
      <w:r>
        <w:rPr>
          <w:rFonts w:ascii="Barlow Semi Condensed" w:cs="Barlow Semi Condensed" w:eastAsia="Barlow Semi Condensed" w:hAnsi="Barlow Semi Condensed"/>
          <w:sz w:val="24"/>
          <w:szCs w:val="24"/>
        </w:rPr>
        <w:t xml:space="preserve"> Il micro-bersaglio strumentale: gli apparecchi d'epoca rilevanti (le macchine dei fotografi, le telecamere, i registratori dei centralini) — censimento tipologico per la taratura delle analisi. Conoscere lo strumento che produsse il documento è filologia del sensibile.</w:t>
      </w:r>
    </w:p>
    <w:p>
      <w:pPr>
        <w:spacing w:after="120" w:line="276"/>
        <w:jc w:val="both"/>
      </w:pPr>
      <w:r>
        <w:rPr>
          <w:rFonts w:ascii="Barlow Semi Condensed" w:cs="Barlow Semi Condensed" w:eastAsia="Barlow Semi Condensed" w:hAnsi="Barlow Semi Condensed"/>
          <w:b/>
          <w:bCs/>
          <w:sz w:val="24"/>
          <w:szCs w:val="24"/>
        </w:rPr>
        <w:t xml:space="preserve">656 · Le copie di sicurezza geografiche.</w:t>
      </w:r>
      <w:r>
        <w:rPr>
          <w:rFonts w:ascii="Barlow Semi Condensed" w:cs="Barlow Semi Condensed" w:eastAsia="Barlow Semi Condensed" w:hAnsi="Barlow Semi Condensed"/>
          <w:sz w:val="24"/>
          <w:szCs w:val="24"/>
        </w:rPr>
        <w:t xml:space="preserve"> La regola di ridondanza: il deposito del sensibile replicato in sedi geografiche distinte (il disaster recovery del manuale, applicato). La memoria sensibile del caso non deve poter morire in un solo incendio: è una regola da archivi, e vale doppio per gli unica.</w:t>
      </w:r>
    </w:p>
    <w:p>
      <w:pPr>
        <w:spacing w:after="120" w:line="276"/>
        <w:jc w:val="both"/>
      </w:pPr>
      <w:r>
        <w:rPr>
          <w:rFonts w:ascii="Barlow Semi Condensed" w:cs="Barlow Semi Condensed" w:eastAsia="Barlow Semi Condensed" w:hAnsi="Barlow Semi Condensed"/>
          <w:b/>
          <w:bCs/>
          <w:sz w:val="24"/>
          <w:szCs w:val="24"/>
        </w:rPr>
        <w:t xml:space="preserve">657 · Il registro degli usi.</w:t>
      </w:r>
      <w:r>
        <w:rPr>
          <w:rFonts w:ascii="Barlow Semi Condensed" w:cs="Barlow Semi Condensed" w:eastAsia="Barlow Semi Condensed" w:hAnsi="Barlow Semi Condensed"/>
          <w:sz w:val="24"/>
          <w:szCs w:val="24"/>
        </w:rPr>
        <w:t xml:space="preserve"> La contabilità degli impieghi: ogni uso pubblico dei materiali del deposito (mostre, documentari, didattica) registrato con finalità e contesto. Il cantiere sa sempre dove le sue immagini vivono: è tutela e insieme storia della ricezione.</w:t>
      </w:r>
    </w:p>
    <w:p>
      <w:pPr>
        <w:spacing w:after="120" w:line="276"/>
        <w:jc w:val="both"/>
      </w:pPr>
      <w:r>
        <w:rPr>
          <w:rFonts w:ascii="Barlow Semi Condensed" w:cs="Barlow Semi Condensed" w:eastAsia="Barlow Semi Condensed" w:hAnsi="Barlow Semi Condensed"/>
          <w:b/>
          <w:bCs/>
          <w:sz w:val="24"/>
          <w:szCs w:val="24"/>
        </w:rPr>
        <w:t xml:space="preserve">658 · La revisione tecnica periodica.</w:t>
      </w:r>
      <w:r>
        <w:rPr>
          <w:rFonts w:ascii="Barlow Semi Condensed" w:cs="Barlow Semi Condensed" w:eastAsia="Barlow Semi Condensed" w:hAnsi="Barlow Semi Condensed"/>
          <w:sz w:val="24"/>
          <w:szCs w:val="24"/>
        </w:rPr>
        <w:t xml:space="preserve"> La regola di aggiornamento: la parte si rilegge a ogni salto tecnologico del restauro e dell'analisi (nuovi upscaling dichiarati come tali, nuove separazioni audio) — con la marcatura permanente: il restaurato non sostituisce mai l'originale. La tecnica migliora; l'originale resta il giudice.</w:t>
      </w:r>
    </w:p>
    <w:p>
      <w:pPr>
        <w:spacing w:after="120" w:line="276"/>
        <w:jc w:val="both"/>
      </w:pPr>
      <w:r>
        <w:rPr>
          <w:rFonts w:ascii="Barlow Semi Condensed" w:cs="Barlow Semi Condensed" w:eastAsia="Barlow Semi Condensed" w:hAnsi="Barlow Semi Condensed"/>
          <w:b/>
          <w:bCs/>
          <w:sz w:val="24"/>
          <w:szCs w:val="24"/>
        </w:rPr>
        <w:t xml:space="preserve">659 · I quesiti che solo il sensibile chiude.</w:t>
      </w:r>
      <w:r>
        <w:rPr>
          <w:rFonts w:ascii="Barlow Semi Condensed" w:cs="Barlow Semi Condensed" w:eastAsia="Barlow Semi Condensed" w:hAnsi="Barlow Semi Condensed"/>
          <w:sz w:val="24"/>
          <w:szCs w:val="24"/>
        </w:rPr>
        <w:t xml:space="preserve"> La formulazione esplicita: quali celle delle matrici possono essere riempite solo da un'immagine o da un suono (le presenze fotografate, i fondi delle telefonate, le geometrie della prigione) — la tavola delle celle sensibili. La giustificazione ultima della parte: dove la carta tace, l'immagine può ancora parlare.</w:t>
      </w:r>
    </w:p>
    <w:p>
      <w:pPr>
        <w:spacing w:after="120" w:line="276"/>
        <w:jc w:val="both"/>
      </w:pPr>
      <w:r>
        <w:rPr>
          <w:rFonts w:ascii="Barlow Semi Condensed" w:cs="Barlow Semi Condensed" w:eastAsia="Barlow Semi Condensed" w:hAnsi="Barlow Semi Condensed"/>
          <w:b/>
          <w:bCs/>
          <w:sz w:val="24"/>
          <w:szCs w:val="24"/>
        </w:rPr>
        <w:t xml:space="preserve">660 · La tavola del sensibile.</w:t>
      </w:r>
      <w:r>
        <w:rPr>
          <w:rFonts w:ascii="Barlow Semi Condensed" w:cs="Barlow Semi Condensed" w:eastAsia="Barlow Semi Condensed" w:hAnsi="Barlow Semi Condensed"/>
          <w:sz w:val="24"/>
          <w:szCs w:val="24"/>
        </w:rPr>
        <w:t xml:space="preserve"> La chiusura della parte: gli stati di tutti i bersagli (561-659), i depositi avviati, le urgenze in coda. Il sesto cantiere consegna la sua contabilità — e la memoria sensibile del caso ha, per la prima volta, un custode con un piano.</w:t>
      </w:r>
    </w:p>
    <w:p>
      <w:pPr>
        <w:pStyle w:val="Heading2"/>
        <w:spacing w:after="100" w:before="200"/>
      </w:pPr>
      <w:r>
        <w:rPr>
          <w:rFonts w:ascii="Barlow Semi Condensed" w:cs="Barlow Semi Condensed" w:eastAsia="Barlow Semi Condensed" w:hAnsi="Barlow Semi Condensed"/>
          <w:sz w:val="24"/>
          <w:szCs w:val="24"/>
        </w:rPr>
        <w:t xml:space="preserve">Parte settima — Le scienze forensi (blocchi 661-790)</w:t>
      </w:r>
    </w:p>
    <w:p>
      <w:pPr>
        <w:spacing w:after="120" w:line="276"/>
        <w:jc w:val="both"/>
      </w:pPr>
      <w:r>
        <w:rPr>
          <w:rFonts w:ascii="Barlow Semi Condensed" w:cs="Barlow Semi Condensed" w:eastAsia="Barlow Semi Condensed" w:hAnsi="Barlow Semi Condensed"/>
          <w:i/>
          <w:iCs/>
          <w:sz w:val="24"/>
          <w:szCs w:val="24"/>
        </w:rPr>
        <w:t xml:space="preserve">Statuto della parte: la scienza come istituzione, non come miracolo. Le Parti quarta, quinta e sesta applicano le tecniche ai reperti, ai testi e alle immagini; questa parte costruisce ciò che regge ogni applicazione: il diritto della prova scientifica, i laboratori e i loro standard, i precedenti che insegnano, i pareri che aprono o chiudono. I fatti verificati che la fondano: la banca dati nazionale del DNA è operativa dal 2016 (legge 85/2009, regolamento d.P.R. 87/2016 — la banca presso il Dipartimento della pubblica sicurezza, il laboratorio centrale presso il DAP), e i profili da reperti di procedimenti penali vi sono inseribili per legge; la genealogia genetica forense non è mai stata usata in Italia e non ha disciplina; il fenotipo predittivo non è né vietato né regolato; lo screening di massa ha un precedente italiano compiuto (il caso Yara: circa diciottomila profili, condanna definitiva nel 2018); e nessun delitto italiano degli anni Settanta-Ottanta risulta mai chiuso in giudicato grazie a tecniche nuove su reperti d'epoca — se il fascicolo romano vi arrivasse, il caso Moro sarebbe il primo. La parte lavora perché quel primato, se verrà, arrivi su fondamenta inattaccabili.</w:t>
      </w:r>
    </w:p>
    <w:p>
      <w:pPr>
        <w:pStyle w:val="Heading3"/>
        <w:spacing w:after="80" w:before="160"/>
      </w:pPr>
      <w:r>
        <w:rPr>
          <w:rFonts w:ascii="Barlow Semi Condensed" w:cs="Barlow Semi Condensed" w:eastAsia="Barlow Semi Condensed" w:hAnsi="Barlow Semi Condensed"/>
          <w:sz w:val="24"/>
          <w:szCs w:val="24"/>
        </w:rPr>
        <w:t xml:space="preserve">Il diritto delle prove scientifiche (blocchi 661-690)</w:t>
      </w:r>
    </w:p>
    <w:p>
      <w:pPr>
        <w:spacing w:after="120" w:line="276"/>
        <w:jc w:val="both"/>
      </w:pPr>
      <w:r>
        <w:rPr>
          <w:rFonts w:ascii="Barlow Semi Condensed" w:cs="Barlow Semi Condensed" w:eastAsia="Barlow Semi Condensed" w:hAnsi="Barlow Semi Condensed"/>
          <w:b/>
          <w:bCs/>
          <w:sz w:val="24"/>
          <w:szCs w:val="24"/>
        </w:rPr>
        <w:t xml:space="preserve">661 · La legge madre.</w:t>
      </w:r>
      <w:r>
        <w:rPr>
          <w:rFonts w:ascii="Barlow Semi Condensed" w:cs="Barlow Semi Condensed" w:eastAsia="Barlow Semi Condensed" w:hAnsi="Barlow Semi Condensed"/>
          <w:sz w:val="24"/>
          <w:szCs w:val="24"/>
        </w:rPr>
        <w:t xml:space="preserve"> Il pilastro normativo: la legge 30 giugno 2009, n. 85 — l'adesione al Trattato di Prüm, l'istituzione della banca dati nazionale del DNA e del laboratorio centrale, le categorie di profili, le garanzie. Il cantiere la assume come testo di lavoro: ogni bersaglio genetico dell'opera cita i suoi articoli, non le sue vulgate.</w:t>
      </w:r>
    </w:p>
    <w:p>
      <w:pPr>
        <w:spacing w:after="120" w:line="276"/>
        <w:jc w:val="both"/>
      </w:pPr>
      <w:r>
        <w:rPr>
          <w:rFonts w:ascii="Barlow Semi Condensed" w:cs="Barlow Semi Condensed" w:eastAsia="Barlow Semi Condensed" w:hAnsi="Barlow Semi Condensed"/>
          <w:b/>
          <w:bCs/>
          <w:sz w:val="24"/>
          <w:szCs w:val="24"/>
        </w:rPr>
        <w:t xml:space="preserve">662 · Il regolamento attuativo.</w:t>
      </w:r>
      <w:r>
        <w:rPr>
          <w:rFonts w:ascii="Barlow Semi Condensed" w:cs="Barlow Semi Condensed" w:eastAsia="Barlow Semi Condensed" w:hAnsi="Barlow Semi Condensed"/>
          <w:sz w:val="24"/>
          <w:szCs w:val="24"/>
        </w:rPr>
        <w:t xml:space="preserve"> Il secondo pilastro: il d.P.R. 7 aprile 2016, n. 87 — le regole tecniche che resero operativa la banca (i requisiti dei profili, le procedure di alimentazione e confronto, le cancellazioni). La data conta: l'Italia ha la sua infrastruttura genetica solo dal 2016 — otto anni di ritardo sull'Europa che il caso ha pagato anche lui.</w:t>
      </w:r>
    </w:p>
    <w:p>
      <w:pPr>
        <w:spacing w:after="120" w:line="276"/>
        <w:jc w:val="both"/>
      </w:pPr>
      <w:r>
        <w:rPr>
          <w:rFonts w:ascii="Barlow Semi Condensed" w:cs="Barlow Semi Condensed" w:eastAsia="Barlow Semi Condensed" w:hAnsi="Barlow Semi Condensed"/>
          <w:b/>
          <w:bCs/>
          <w:sz w:val="24"/>
          <w:szCs w:val="24"/>
        </w:rPr>
        <w:t xml:space="preserve">663 · L'architettura a due sedi.</w:t>
      </w:r>
      <w:r>
        <w:rPr>
          <w:rFonts w:ascii="Barlow Semi Condensed" w:cs="Barlow Semi Condensed" w:eastAsia="Barlow Semi Condensed" w:hAnsi="Barlow Semi Condensed"/>
          <w:sz w:val="24"/>
          <w:szCs w:val="24"/>
        </w:rPr>
        <w:t xml:space="preserve"> Il disegno istituzionale verificato: la banca dati presso il Dipartimento della pubblica sicurezza al Viminale, il laboratorio centrale presso il Dipartimento dell'amministrazione penitenziaria — due amministrazioni, un sistema. Chi chiede un confronto deve sapere a chi chiede: la mappa istituzionale è il primo strumento.</w:t>
      </w:r>
    </w:p>
    <w:p>
      <w:pPr>
        <w:spacing w:after="120" w:line="276"/>
        <w:jc w:val="both"/>
      </w:pPr>
      <w:r>
        <w:rPr>
          <w:rFonts w:ascii="Barlow Semi Condensed" w:cs="Barlow Semi Condensed" w:eastAsia="Barlow Semi Condensed" w:hAnsi="Barlow Semi Condensed"/>
          <w:b/>
          <w:bCs/>
          <w:sz w:val="24"/>
          <w:szCs w:val="24"/>
        </w:rPr>
        <w:t xml:space="preserve">664 · I profili da reperto.</w:t>
      </w:r>
      <w:r>
        <w:rPr>
          <w:rFonts w:ascii="Barlow Semi Condensed" w:cs="Barlow Semi Condensed" w:eastAsia="Barlow Semi Condensed" w:hAnsi="Barlow Semi Condensed"/>
          <w:sz w:val="24"/>
          <w:szCs w:val="24"/>
        </w:rPr>
        <w:t xml:space="preserve"> La base giuridica dei bersagli del caso: gli articoli 7 e 10 della legge — i profili ottenuti da reperti biologici di procedimenti penali entrano e si confrontano. I profili orfani del 2016 hanno una casa giuridica: il cantiere ne verifica l'inserimento effettivo e l'interrogazione periodica (il blocco 384, con la sua norma).</w:t>
      </w:r>
    </w:p>
    <w:p>
      <w:pPr>
        <w:spacing w:after="120" w:line="276"/>
        <w:jc w:val="both"/>
      </w:pPr>
      <w:r>
        <w:rPr>
          <w:rFonts w:ascii="Barlow Semi Condensed" w:cs="Barlow Semi Condensed" w:eastAsia="Barlow Semi Condensed" w:hAnsi="Barlow Semi Condensed"/>
          <w:b/>
          <w:bCs/>
          <w:sz w:val="24"/>
          <w:szCs w:val="24"/>
        </w:rPr>
        <w:t xml:space="preserve">665 · Le qualità richieste.</w:t>
      </w:r>
      <w:r>
        <w:rPr>
          <w:rFonts w:ascii="Barlow Semi Condensed" w:cs="Barlow Semi Condensed" w:eastAsia="Barlow Semi Condensed" w:hAnsi="Barlow Semi Condensed"/>
          <w:sz w:val="24"/>
          <w:szCs w:val="24"/>
        </w:rPr>
        <w:t xml:space="preserve"> Il vincolo tecnico-giuridico: gli standard dei profili inseribili (i loci richiesti, la qualità minima) — la verifica formale che i profili storici del caso li soddisfino, ed eventualmente il ricampionamento che li porti a standard. Un profilo fuori standard è muto per legge: portarlo a norma è un atto, non un dettaglio.</w:t>
      </w:r>
    </w:p>
    <w:p>
      <w:pPr>
        <w:spacing w:after="120" w:line="276"/>
        <w:jc w:val="both"/>
      </w:pPr>
      <w:r>
        <w:rPr>
          <w:rFonts w:ascii="Barlow Semi Condensed" w:cs="Barlow Semi Condensed" w:eastAsia="Barlow Semi Condensed" w:hAnsi="Barlow Semi Condensed"/>
          <w:b/>
          <w:bCs/>
          <w:sz w:val="24"/>
          <w:szCs w:val="24"/>
        </w:rPr>
        <w:t xml:space="preserve">666 · Prüm e lo scambio europeo.</w:t>
      </w:r>
      <w:r>
        <w:rPr>
          <w:rFonts w:ascii="Barlow Semi Condensed" w:cs="Barlow Semi Condensed" w:eastAsia="Barlow Semi Condensed" w:hAnsi="Barlow Semi Condensed"/>
          <w:sz w:val="24"/>
          <w:szCs w:val="24"/>
        </w:rPr>
        <w:t xml:space="preserve"> La dimensione continentale: lo scambio automatizzato dei profili con gli Stati del sistema di Prüm — la possibilità che un profilo orfano del 1978 incontri una banca estera. Il confronto europeo è la moltiplicazione gratuita delle probabilità: si attiva per via istituzionale, e si registra.</w:t>
      </w:r>
    </w:p>
    <w:p>
      <w:pPr>
        <w:spacing w:after="120" w:line="276"/>
        <w:jc w:val="both"/>
      </w:pPr>
      <w:r>
        <w:rPr>
          <w:rFonts w:ascii="Barlow Semi Condensed" w:cs="Barlow Semi Condensed" w:eastAsia="Barlow Semi Condensed" w:hAnsi="Barlow Semi Condensed"/>
          <w:b/>
          <w:bCs/>
          <w:sz w:val="24"/>
          <w:szCs w:val="24"/>
        </w:rPr>
        <w:t xml:space="preserve">667 · Le cancellazioni e i tempi.</w:t>
      </w:r>
      <w:r>
        <w:rPr>
          <w:rFonts w:ascii="Barlow Semi Condensed" w:cs="Barlow Semi Condensed" w:eastAsia="Barlow Semi Condensed" w:hAnsi="Barlow Semi Condensed"/>
          <w:sz w:val="24"/>
          <w:szCs w:val="24"/>
        </w:rPr>
        <w:t xml:space="preserve"> Il rovescio delle garanzie: le regole di cancellazione dei profili e i loro termini — la mappa di ciò che la banca dimentica per legge, e quando. Il cantiere deve sapere anche questo: un confronto rimandato può essere un confronto reso impossibile.</w:t>
      </w:r>
    </w:p>
    <w:p>
      <w:pPr>
        <w:spacing w:after="120" w:line="276"/>
        <w:jc w:val="both"/>
      </w:pPr>
      <w:r>
        <w:rPr>
          <w:rFonts w:ascii="Barlow Semi Condensed" w:cs="Barlow Semi Condensed" w:eastAsia="Barlow Semi Condensed" w:hAnsi="Barlow Semi Condensed"/>
          <w:b/>
          <w:bCs/>
          <w:sz w:val="24"/>
          <w:szCs w:val="24"/>
        </w:rPr>
        <w:t xml:space="preserve">668 · Il vuoto della parentela.</w:t>
      </w:r>
      <w:r>
        <w:rPr>
          <w:rFonts w:ascii="Barlow Semi Condensed" w:cs="Barlow Semi Condensed" w:eastAsia="Barlow Semi Condensed" w:hAnsi="Barlow Semi Condensed"/>
          <w:sz w:val="24"/>
          <w:szCs w:val="24"/>
        </w:rPr>
        <w:t xml:space="preserve"> Il fatto normativo verificato: la ricerca familiare (il confronto per linee di parentela) non ha disciplina espressa nell'ordinamento — né divieto né procedura. Il parere del blocco 388 lavora in questo vuoto: la mappa delle interpretazioni possibili, i precedenti applicativi se esistono, l'interlocuzione con l'autorità e il Garante.</w:t>
      </w:r>
    </w:p>
    <w:p>
      <w:pPr>
        <w:spacing w:after="120" w:line="276"/>
        <w:jc w:val="both"/>
      </w:pPr>
      <w:r>
        <w:rPr>
          <w:rFonts w:ascii="Barlow Semi Condensed" w:cs="Barlow Semi Condensed" w:eastAsia="Barlow Semi Condensed" w:hAnsi="Barlow Semi Condensed"/>
          <w:b/>
          <w:bCs/>
          <w:sz w:val="24"/>
          <w:szCs w:val="24"/>
        </w:rPr>
        <w:t xml:space="preserve">669 · Il vuoto della genealogia.</w:t>
      </w:r>
      <w:r>
        <w:rPr>
          <w:rFonts w:ascii="Barlow Semi Condensed" w:cs="Barlow Semi Condensed" w:eastAsia="Barlow Semi Condensed" w:hAnsi="Barlow Semi Condensed"/>
          <w:sz w:val="24"/>
          <w:szCs w:val="24"/>
        </w:rPr>
        <w:t xml:space="preserve"> Il fatto gemello: la genealogia genetica forense — mai usata in Italia, prima applicazione europea documentata in Svezia — è priva di qualunque cornice. Il blocco fissa la conseguenza operativa: nessun protocollo genealogico per il caso senza un percorso istituzionale che oggi non esiste; il cantiere può solo istruire il dossier che un legislatore o un giudice un giorno userà.</w:t>
      </w:r>
    </w:p>
    <w:p>
      <w:pPr>
        <w:spacing w:after="120" w:line="276"/>
        <w:jc w:val="both"/>
      </w:pPr>
      <w:r>
        <w:rPr>
          <w:rFonts w:ascii="Barlow Semi Condensed" w:cs="Barlow Semi Condensed" w:eastAsia="Barlow Semi Condensed" w:hAnsi="Barlow Semi Condensed"/>
          <w:b/>
          <w:bCs/>
          <w:sz w:val="24"/>
          <w:szCs w:val="24"/>
        </w:rPr>
        <w:t xml:space="preserve">670 · Il fenotipo senza statuto.</w:t>
      </w:r>
      <w:r>
        <w:rPr>
          <w:rFonts w:ascii="Barlow Semi Condensed" w:cs="Barlow Semi Condensed" w:eastAsia="Barlow Semi Condensed" w:hAnsi="Barlow Semi Condensed"/>
          <w:sz w:val="24"/>
          <w:szCs w:val="24"/>
        </w:rPr>
        <w:t xml:space="preserve"> Il terzo vuoto: la predizione dei tratti somatici — né vietata né disciplinata, col solo limite indiretto dell'articolo 11 (i sistemi della banca non devono rivelare patologie). Il parere del blocco 186 dell'agenda si aggiorna con questo quadro: ciò che è tecnicamente possibile e giuridicamente indefinito si tratta con la prudenza massima.</w:t>
      </w:r>
    </w:p>
    <w:p>
      <w:pPr>
        <w:spacing w:after="120" w:line="276"/>
        <w:jc w:val="both"/>
      </w:pPr>
      <w:r>
        <w:rPr>
          <w:rFonts w:ascii="Barlow Semi Condensed" w:cs="Barlow Semi Condensed" w:eastAsia="Barlow Semi Condensed" w:hAnsi="Barlow Semi Condensed"/>
          <w:b/>
          <w:bCs/>
          <w:sz w:val="24"/>
          <w:szCs w:val="24"/>
        </w:rPr>
        <w:t xml:space="preserve">671 · Il Garante come interlocutore.</w:t>
      </w:r>
      <w:r>
        <w:rPr>
          <w:rFonts w:ascii="Barlow Semi Condensed" w:cs="Barlow Semi Condensed" w:eastAsia="Barlow Semi Condensed" w:hAnsi="Barlow Semi Condensed"/>
          <w:sz w:val="24"/>
          <w:szCs w:val="24"/>
        </w:rPr>
        <w:t xml:space="preserve"> L'attore trasversale: l'autorità di protezione dei dati nel trattamento genetico e biometrico del caso — le regole deontologiche per la ricerca, i provvedimenti pertinenti. Ogni protocollo genetico del cantiere prevede l'interlocuzione: il Garante non è un ostacolo, è il custode del perimetro.</w:t>
      </w:r>
    </w:p>
    <w:p>
      <w:pPr>
        <w:spacing w:after="120" w:line="276"/>
        <w:jc w:val="both"/>
      </w:pPr>
      <w:r>
        <w:rPr>
          <w:rFonts w:ascii="Barlow Semi Condensed" w:cs="Barlow Semi Condensed" w:eastAsia="Barlow Semi Condensed" w:hAnsi="Barlow Semi Condensed"/>
          <w:b/>
          <w:bCs/>
          <w:sz w:val="24"/>
          <w:szCs w:val="24"/>
        </w:rPr>
        <w:t xml:space="preserve">672 · L'atto irripetibile.</w:t>
      </w:r>
      <w:r>
        <w:rPr>
          <w:rFonts w:ascii="Barlow Semi Condensed" w:cs="Barlow Semi Condensed" w:eastAsia="Barlow Semi Condensed" w:hAnsi="Barlow Semi Condensed"/>
          <w:sz w:val="24"/>
          <w:szCs w:val="24"/>
        </w:rPr>
        <w:t xml:space="preserve"> Lo strumento processuale cardine: gli accertamenti tecnici irripetibili (articolo 360 del codice di procedura) e l'incidente probatorio (articolo 392) — quando un esame consuma il reperto, la forma è tutto. Il cantiere mappa lo strumento per ogni esame distruttivo proposto (il blocco 209 dell'agenda, con gli articoli in mano).</w:t>
      </w:r>
    </w:p>
    <w:p>
      <w:pPr>
        <w:spacing w:after="120" w:line="276"/>
        <w:jc w:val="both"/>
      </w:pPr>
      <w:r>
        <w:rPr>
          <w:rFonts w:ascii="Barlow Semi Condensed" w:cs="Barlow Semi Condensed" w:eastAsia="Barlow Semi Condensed" w:hAnsi="Barlow Semi Condensed"/>
          <w:b/>
          <w:bCs/>
          <w:sz w:val="24"/>
          <w:szCs w:val="24"/>
        </w:rPr>
        <w:t xml:space="preserve">673 · La giurisprudenza della prova scientifica.</w:t>
      </w:r>
      <w:r>
        <w:rPr>
          <w:rFonts w:ascii="Barlow Semi Condensed" w:cs="Barlow Semi Condensed" w:eastAsia="Barlow Semi Condensed" w:hAnsi="Barlow Semi Condensed"/>
          <w:sz w:val="24"/>
          <w:szCs w:val="24"/>
        </w:rPr>
        <w:t xml:space="preserve"> Il quadro giurisprudenziale: i criteri elaborati dalla Cassazione sull'affidabilità della prova scientifica (la verificabilità del metodo, l'errore noto, il controllo della comunità scientifica, l'accreditamento) — la tavola dei criteri con le pronunce di riferimento. La scienza entra nel processo per la porta che la giurisprudenza ha costruito: il cantiere la conosce a memoria.</w:t>
      </w:r>
    </w:p>
    <w:p>
      <w:pPr>
        <w:spacing w:after="120" w:line="276"/>
        <w:jc w:val="both"/>
      </w:pPr>
      <w:r>
        <w:rPr>
          <w:rFonts w:ascii="Barlow Semi Condensed" w:cs="Barlow Semi Condensed" w:eastAsia="Barlow Semi Condensed" w:hAnsi="Barlow Semi Condensed"/>
          <w:b/>
          <w:bCs/>
          <w:sz w:val="24"/>
          <w:szCs w:val="24"/>
        </w:rPr>
        <w:t xml:space="preserve">674 · La catena di custodia in giudizio.</w:t>
      </w:r>
      <w:r>
        <w:rPr>
          <w:rFonts w:ascii="Barlow Semi Condensed" w:cs="Barlow Semi Condensed" w:eastAsia="Barlow Semi Condensed" w:hAnsi="Barlow Semi Condensed"/>
          <w:sz w:val="24"/>
          <w:szCs w:val="24"/>
        </w:rPr>
        <w:t xml:space="preserve"> La giurisprudenza sulla custodia: come le corti valutano le catene interrotte, i reperti maneggiati, i vuoti documentali — la tavola dei precedenti. Ogni esame su reperti del 1978 sarà attaccato sulla catena: il cantiere prepara la difesa prima dell'attacco (il raccordo col blocco 333).</w:t>
      </w:r>
    </w:p>
    <w:p>
      <w:pPr>
        <w:spacing w:after="120" w:line="276"/>
        <w:jc w:val="both"/>
      </w:pPr>
      <w:r>
        <w:rPr>
          <w:rFonts w:ascii="Barlow Semi Condensed" w:cs="Barlow Semi Condensed" w:eastAsia="Barlow Semi Condensed" w:hAnsi="Barlow Semi Condensed"/>
          <w:b/>
          <w:bCs/>
          <w:sz w:val="24"/>
          <w:szCs w:val="24"/>
        </w:rPr>
        <w:t xml:space="preserve">675 · Perizia e consulenza.</w:t>
      </w:r>
      <w:r>
        <w:rPr>
          <w:rFonts w:ascii="Barlow Semi Condensed" w:cs="Barlow Semi Condensed" w:eastAsia="Barlow Semi Condensed" w:hAnsi="Barlow Semi Condensed"/>
          <w:sz w:val="24"/>
          <w:szCs w:val="24"/>
        </w:rPr>
        <w:t xml:space="preserve"> La grammatica processuale: perizia del giudice, consulenza del pubblico ministero, consulenza di parte — chi dispone che cosa, con quali garanzie di contraddittorio. Il cantiere, attore civile della conoscenza, sa dove ogni esame può nascere e chi lo governa: propone al titolare giusto, nella forma giusta.</w:t>
      </w:r>
    </w:p>
    <w:p>
      <w:pPr>
        <w:spacing w:after="120" w:line="276"/>
        <w:jc w:val="both"/>
      </w:pPr>
      <w:r>
        <w:rPr>
          <w:rFonts w:ascii="Barlow Semi Condensed" w:cs="Barlow Semi Condensed" w:eastAsia="Barlow Semi Condensed" w:hAnsi="Barlow Semi Condensed"/>
          <w:b/>
          <w:bCs/>
          <w:sz w:val="24"/>
          <w:szCs w:val="24"/>
        </w:rPr>
        <w:t xml:space="preserve">676 · Il contraddittorio tecnico come garanzia.</w:t>
      </w:r>
      <w:r>
        <w:rPr>
          <w:rFonts w:ascii="Barlow Semi Condensed" w:cs="Barlow Semi Condensed" w:eastAsia="Barlow Semi Condensed" w:hAnsi="Barlow Semi Condensed"/>
          <w:sz w:val="24"/>
          <w:szCs w:val="24"/>
        </w:rPr>
        <w:t xml:space="preserve"> La regola istituzionalizzata (il blocco 375, elevato a principio di parte): ogni accertamento rilevante col contraddittorio degli esperti — nomine plurali, metodi dichiarati, dissensi verbalizzati. La storia del caso è piena di perizie contestate: il futuro deve esserlo di perizie blindate dal contraddittorio.</w:t>
      </w:r>
    </w:p>
    <w:p>
      <w:pPr>
        <w:spacing w:after="120" w:line="276"/>
        <w:jc w:val="both"/>
      </w:pPr>
      <w:r>
        <w:rPr>
          <w:rFonts w:ascii="Barlow Semi Condensed" w:cs="Barlow Semi Condensed" w:eastAsia="Barlow Semi Condensed" w:hAnsi="Barlow Semi Condensed"/>
          <w:b/>
          <w:bCs/>
          <w:sz w:val="24"/>
          <w:szCs w:val="24"/>
        </w:rPr>
        <w:t xml:space="preserve">677 · La prova scientifica nella revisione.</w:t>
      </w:r>
      <w:r>
        <w:rPr>
          <w:rFonts w:ascii="Barlow Semi Condensed" w:cs="Barlow Semi Condensed" w:eastAsia="Barlow Semi Condensed" w:hAnsi="Barlow Semi Condensed"/>
          <w:sz w:val="24"/>
          <w:szCs w:val="24"/>
        </w:rPr>
        <w:t xml:space="preserve"> Lo strumento straordinario: la revisione del giudicato per prove nuove — i presupposti, i precedenti, i limiti. Il cantiere lo mappa senza invocarlo: sapere che cosa la legge consente è dovere di completezza; auspicare è fuori dal metodo. Il registro chiuso resta chiuso finché un giudice non lo riapra.</w:t>
      </w:r>
    </w:p>
    <w:p>
      <w:pPr>
        <w:spacing w:after="120" w:line="276"/>
        <w:jc w:val="both"/>
      </w:pPr>
      <w:r>
        <w:rPr>
          <w:rFonts w:ascii="Barlow Semi Condensed" w:cs="Barlow Semi Condensed" w:eastAsia="Barlow Semi Condensed" w:hAnsi="Barlow Semi Condensed"/>
          <w:b/>
          <w:bCs/>
          <w:sz w:val="24"/>
          <w:szCs w:val="24"/>
        </w:rPr>
        <w:t xml:space="preserve">678 · L'imprescrittibilità come cornice.</w:t>
      </w:r>
      <w:r>
        <w:rPr>
          <w:rFonts w:ascii="Barlow Semi Condensed" w:cs="Barlow Semi Condensed" w:eastAsia="Barlow Semi Condensed" w:hAnsi="Barlow Semi Condensed"/>
          <w:sz w:val="24"/>
          <w:szCs w:val="24"/>
        </w:rPr>
        <w:t xml:space="preserve"> Il raccordo col manuale (la sua serie dodicesima): l'omicidio punito con l'ergastolo non si prescrive — ogni evidenza scientifica nuova resta giudizialmente spendibile senza limiti di tempo. La scienza del caso lavora dentro questa cornice: nessun esame è mai «troppo tardi» per il diritto.</w:t>
      </w:r>
    </w:p>
    <w:p>
      <w:pPr>
        <w:spacing w:after="120" w:line="276"/>
        <w:jc w:val="both"/>
      </w:pPr>
      <w:r>
        <w:rPr>
          <w:rFonts w:ascii="Barlow Semi Condensed" w:cs="Barlow Semi Condensed" w:eastAsia="Barlow Semi Condensed" w:hAnsi="Barlow Semi Condensed"/>
          <w:b/>
          <w:bCs/>
          <w:sz w:val="24"/>
          <w:szCs w:val="24"/>
        </w:rPr>
        <w:t xml:space="preserve">679 · Il segreto e la scienza.</w:t>
      </w:r>
      <w:r>
        <w:rPr>
          <w:rFonts w:ascii="Barlow Semi Condensed" w:cs="Barlow Semi Condensed" w:eastAsia="Barlow Semi Condensed" w:hAnsi="Barlow Semi Condensed"/>
          <w:sz w:val="24"/>
          <w:szCs w:val="24"/>
        </w:rPr>
        <w:t xml:space="preserve"> L'intersezione delicata: gli esami su materiali coperti da classifiche (dove esistano) — le procedure di declassifica funzionale, le perizie in forma protetta. Il cantiere mappa l'intersezione per non scoprirla a metà di un esame: la forma protegge l'esito.</w:t>
      </w:r>
    </w:p>
    <w:p>
      <w:pPr>
        <w:spacing w:after="120" w:line="276"/>
        <w:jc w:val="both"/>
      </w:pPr>
      <w:r>
        <w:rPr>
          <w:rFonts w:ascii="Barlow Semi Condensed" w:cs="Barlow Semi Condensed" w:eastAsia="Barlow Semi Condensed" w:hAnsi="Barlow Semi Condensed"/>
          <w:b/>
          <w:bCs/>
          <w:sz w:val="24"/>
          <w:szCs w:val="24"/>
        </w:rPr>
        <w:t xml:space="preserve">680 · I diritti dei terzi.</w:t>
      </w:r>
      <w:r>
        <w:rPr>
          <w:rFonts w:ascii="Barlow Semi Condensed" w:cs="Barlow Semi Condensed" w:eastAsia="Barlow Semi Condensed" w:hAnsi="Barlow Semi Condensed"/>
          <w:sz w:val="24"/>
          <w:szCs w:val="24"/>
        </w:rPr>
        <w:t xml:space="preserve"> La tutela trasversale: i dati genetici e biometrici di terzi estranei (familiari, contaminatori involontari) emersi dagli esami — le regole di minimizzazione e cancellazione. La scienza del caso tocca vite fuori dal caso: il perimetro le protegge per costruzione.</w:t>
      </w:r>
    </w:p>
    <w:p>
      <w:pPr>
        <w:spacing w:after="120" w:line="276"/>
        <w:jc w:val="both"/>
      </w:pPr>
      <w:r>
        <w:rPr>
          <w:rFonts w:ascii="Barlow Semi Condensed" w:cs="Barlow Semi Condensed" w:eastAsia="Barlow Semi Condensed" w:hAnsi="Barlow Semi Condensed"/>
          <w:b/>
          <w:bCs/>
          <w:sz w:val="24"/>
          <w:szCs w:val="24"/>
        </w:rPr>
        <w:t xml:space="preserve">681 · Il consenso dei viventi.</w:t>
      </w:r>
      <w:r>
        <w:rPr>
          <w:rFonts w:ascii="Barlow Semi Condensed" w:cs="Barlow Semi Condensed" w:eastAsia="Barlow Semi Condensed" w:hAnsi="Barlow Semi Condensed"/>
          <w:sz w:val="24"/>
          <w:szCs w:val="24"/>
        </w:rPr>
        <w:t xml:space="preserve"> La regola per i campioni volontari: ogni contributo genetico di viventi (le esclusioni volontarie, i campioni di riferimento) con consenso informato scritto e revocabile — il modello del caso Yara, con le sue garanzie e le sue lezioni. La volontarietà documentata è ciò che distingue uno screening da una schedatura.</w:t>
      </w:r>
    </w:p>
    <w:p>
      <w:pPr>
        <w:spacing w:after="120" w:line="276"/>
        <w:jc w:val="both"/>
      </w:pPr>
      <w:r>
        <w:rPr>
          <w:rFonts w:ascii="Barlow Semi Condensed" w:cs="Barlow Semi Condensed" w:eastAsia="Barlow Semi Condensed" w:hAnsi="Barlow Semi Condensed"/>
          <w:b/>
          <w:bCs/>
          <w:sz w:val="24"/>
          <w:szCs w:val="24"/>
        </w:rPr>
        <w:t xml:space="preserve">682 · La scienza sui defunti.</w:t>
      </w:r>
      <w:r>
        <w:rPr>
          <w:rFonts w:ascii="Barlow Semi Condensed" w:cs="Barlow Semi Condensed" w:eastAsia="Barlow Semi Condensed" w:hAnsi="Barlow Semi Condensed"/>
          <w:sz w:val="24"/>
          <w:szCs w:val="24"/>
        </w:rPr>
        <w:t xml:space="preserve"> Il quadro per i campioni post mortem: le regole per i riferimenti genetici da persone decedute (esumazioni, campioni clinici conservati) — presupposti, autorità, rispetto (il raccordo col blocco 391: mai le vittime). Il diritto dei morti alla dignità governa anche la provetta.</w:t>
      </w:r>
    </w:p>
    <w:p>
      <w:pPr>
        <w:spacing w:after="120" w:line="276"/>
        <w:jc w:val="both"/>
      </w:pPr>
      <w:r>
        <w:rPr>
          <w:rFonts w:ascii="Barlow Semi Condensed" w:cs="Barlow Semi Condensed" w:eastAsia="Barlow Semi Condensed" w:hAnsi="Barlow Semi Condensed"/>
          <w:b/>
          <w:bCs/>
          <w:sz w:val="24"/>
          <w:szCs w:val="24"/>
        </w:rPr>
        <w:t xml:space="preserve">683 · La proprietà dei dati del cantiere.</w:t>
      </w:r>
      <w:r>
        <w:rPr>
          <w:rFonts w:ascii="Barlow Semi Condensed" w:cs="Barlow Semi Condensed" w:eastAsia="Barlow Semi Condensed" w:hAnsi="Barlow Semi Condensed"/>
          <w:sz w:val="24"/>
          <w:szCs w:val="24"/>
        </w:rPr>
        <w:t xml:space="preserve"> La regola patrimoniale: i dati scientifici prodotti dal cantiere (misure, immagini, modelli) sono pubblici per vocazione — con le eccezioni segnate dalla legge (dati personali, atti giudiziari). La scienza pagata dalla conoscenza pubblica torna alla conoscenza pubblica: è il default, e le eccezioni si motivano.</w:t>
      </w:r>
    </w:p>
    <w:p>
      <w:pPr>
        <w:spacing w:after="120" w:line="276"/>
        <w:jc w:val="both"/>
      </w:pPr>
      <w:r>
        <w:rPr>
          <w:rFonts w:ascii="Barlow Semi Condensed" w:cs="Barlow Semi Condensed" w:eastAsia="Barlow Semi Condensed" w:hAnsi="Barlow Semi Condensed"/>
          <w:b/>
          <w:bCs/>
          <w:sz w:val="24"/>
          <w:szCs w:val="24"/>
        </w:rPr>
        <w:t xml:space="preserve">684 · Le assicurazioni del metodo.</w:t>
      </w:r>
      <w:r>
        <w:rPr>
          <w:rFonts w:ascii="Barlow Semi Condensed" w:cs="Barlow Semi Condensed" w:eastAsia="Barlow Semi Condensed" w:hAnsi="Barlow Semi Condensed"/>
          <w:sz w:val="24"/>
          <w:szCs w:val="24"/>
        </w:rPr>
        <w:t xml:space="preserve"> La protezione istituzionale: ogni esame del cantiere documentato in modo da sopravvivere a contestazioni legali — verbali, standard, contraddittorio, archiviazione (la sintesi operativa dei blocchi 661-676). Il metodo ben documentato è la sola assicurazione che la scienza del caso può comprarsi.</w:t>
      </w:r>
    </w:p>
    <w:p>
      <w:pPr>
        <w:spacing w:after="120" w:line="276"/>
        <w:jc w:val="both"/>
      </w:pPr>
      <w:r>
        <w:rPr>
          <w:rFonts w:ascii="Barlow Semi Condensed" w:cs="Barlow Semi Condensed" w:eastAsia="Barlow Semi Condensed" w:hAnsi="Barlow Semi Condensed"/>
          <w:b/>
          <w:bCs/>
          <w:sz w:val="24"/>
          <w:szCs w:val="24"/>
        </w:rPr>
        <w:t xml:space="preserve">685 · Il prontuario giuridico-forense.</w:t>
      </w:r>
      <w:r>
        <w:rPr>
          <w:rFonts w:ascii="Barlow Semi Condensed" w:cs="Barlow Semi Condensed" w:eastAsia="Barlow Semi Condensed" w:hAnsi="Barlow Semi Condensed"/>
          <w:sz w:val="24"/>
          <w:szCs w:val="24"/>
        </w:rPr>
        <w:t xml:space="preserve"> Il prodotto della sezione: il prontuario del diritto delle prove scientifiche per il caso — norme, giurisprudenza, procedure, modelli d'atto — pubblicato e aggiornato. Lo strumento che mette il cantiere e chiunque (procure comprese) nella condizione di chiedere bene: il diritto come infrastruttura, non come ostacolo.</w:t>
      </w:r>
    </w:p>
    <w:p>
      <w:pPr>
        <w:spacing w:after="120" w:line="276"/>
        <w:jc w:val="both"/>
      </w:pPr>
      <w:r>
        <w:rPr>
          <w:rFonts w:ascii="Barlow Semi Condensed" w:cs="Barlow Semi Condensed" w:eastAsia="Barlow Semi Condensed" w:hAnsi="Barlow Semi Condensed"/>
          <w:b/>
          <w:bCs/>
          <w:sz w:val="24"/>
          <w:szCs w:val="24"/>
        </w:rPr>
        <w:t xml:space="preserve">686 · La banca dati balistica, l'accertamento formale.</w:t>
      </w:r>
      <w:r>
        <w:rPr>
          <w:rFonts w:ascii="Barlow Semi Condensed" w:cs="Barlow Semi Condensed" w:eastAsia="Barlow Semi Condensed" w:hAnsi="Barlow Semi Condensed"/>
          <w:sz w:val="24"/>
          <w:szCs w:val="24"/>
        </w:rPr>
        <w:t xml:space="preserve"> Il quadro verificato: le fonti tecniche di settore riportano l'uso di sistemi della famiglia IBIS presso la Polizia scientifica, ma l'assetto istituzionale (copertura nazionale, ammissibilità dei reperti storici) non è confermabile da fonti aperte. Il bersaglio: l'interrogazione formale alle amministrazioni (Polizia scientifica, RaCIS) — l'accertamento che il blocco 190 dell'agenda chiede, elevato a quesito istituzionale con risposta scritta.</w:t>
      </w:r>
    </w:p>
    <w:p>
      <w:pPr>
        <w:spacing w:after="120" w:line="276"/>
        <w:jc w:val="both"/>
      </w:pPr>
      <w:r>
        <w:rPr>
          <w:rFonts w:ascii="Barlow Semi Condensed" w:cs="Barlow Semi Condensed" w:eastAsia="Barlow Semi Condensed" w:hAnsi="Barlow Semi Condensed"/>
          <w:b/>
          <w:bCs/>
          <w:sz w:val="24"/>
          <w:szCs w:val="24"/>
        </w:rPr>
        <w:t xml:space="preserve">687 · Le banche d'impronte e la loro storia.</w:t>
      </w:r>
      <w:r>
        <w:rPr>
          <w:rFonts w:ascii="Barlow Semi Condensed" w:cs="Barlow Semi Condensed" w:eastAsia="Barlow Semi Condensed" w:hAnsi="Barlow Semi Condensed"/>
          <w:sz w:val="24"/>
          <w:szCs w:val="24"/>
        </w:rPr>
        <w:t xml:space="preserve"> Il gemello dattiloscopico: l'assetto dei sistemi automatizzati d'identificazione (AFIS) — la storia della loro alimentazione, la copertura del pregresso, le regole d'interrogazione per casi storici. Lo schedario del blocco 97 dell'agenda vive di questo assetto: si mappa prima di interrogare.</w:t>
      </w:r>
    </w:p>
    <w:p>
      <w:pPr>
        <w:spacing w:after="120" w:line="276"/>
        <w:jc w:val="both"/>
      </w:pPr>
      <w:r>
        <w:rPr>
          <w:rFonts w:ascii="Barlow Semi Condensed" w:cs="Barlow Semi Condensed" w:eastAsia="Barlow Semi Condensed" w:hAnsi="Barlow Semi Condensed"/>
          <w:b/>
          <w:bCs/>
          <w:sz w:val="24"/>
          <w:szCs w:val="24"/>
        </w:rPr>
        <w:t xml:space="preserve">688 · Le banche merceologiche e tecniche.</w:t>
      </w:r>
      <w:r>
        <w:rPr>
          <w:rFonts w:ascii="Barlow Semi Condensed" w:cs="Barlow Semi Condensed" w:eastAsia="Barlow Semi Condensed" w:hAnsi="Barlow Semi Condensed"/>
          <w:sz w:val="24"/>
          <w:szCs w:val="24"/>
        </w:rPr>
        <w:t xml:space="preserve"> Le banche minori che servono il caso: munizioni, fibre, vernici, carte, inchiostri — quali esistono presso le forze e i laboratori, con quali coperture d'epoca. La comparazione merceologica vale quanto la sua banca: il censimento delle banche è un bersaglio in sé.</w:t>
      </w:r>
    </w:p>
    <w:p>
      <w:pPr>
        <w:spacing w:after="120" w:line="276"/>
        <w:jc w:val="both"/>
      </w:pPr>
      <w:r>
        <w:rPr>
          <w:rFonts w:ascii="Barlow Semi Condensed" w:cs="Barlow Semi Condensed" w:eastAsia="Barlow Semi Condensed" w:hAnsi="Barlow Semi Condensed"/>
          <w:b/>
          <w:bCs/>
          <w:sz w:val="24"/>
          <w:szCs w:val="24"/>
        </w:rPr>
        <w:t xml:space="preserve">689 · L'interoperabilità delle banche.</w:t>
      </w:r>
      <w:r>
        <w:rPr>
          <w:rFonts w:ascii="Barlow Semi Condensed" w:cs="Barlow Semi Condensed" w:eastAsia="Barlow Semi Condensed" w:hAnsi="Barlow Semi Condensed"/>
          <w:sz w:val="24"/>
          <w:szCs w:val="24"/>
        </w:rPr>
        <w:t xml:space="preserve"> Il quesito di sistema: quanto le banche dialogano — fra forze, con l'Europa, col passato. La risposta disegna il perimetro reale delle comparazioni possibili per un caso del 1978: l'interoperabilità è la scienza dei collegamenti, e si documenta.</w:t>
      </w:r>
    </w:p>
    <w:p>
      <w:pPr>
        <w:spacing w:after="120" w:line="276"/>
        <w:jc w:val="both"/>
      </w:pPr>
      <w:r>
        <w:rPr>
          <w:rFonts w:ascii="Barlow Semi Condensed" w:cs="Barlow Semi Condensed" w:eastAsia="Barlow Semi Condensed" w:hAnsi="Barlow Semi Condensed"/>
          <w:b/>
          <w:bCs/>
          <w:sz w:val="24"/>
          <w:szCs w:val="24"/>
        </w:rPr>
        <w:t xml:space="preserve">690 · La tavola del diritto.</w:t>
      </w:r>
      <w:r>
        <w:rPr>
          <w:rFonts w:ascii="Barlow Semi Condensed" w:cs="Barlow Semi Condensed" w:eastAsia="Barlow Semi Condensed" w:hAnsi="Barlow Semi Condensed"/>
          <w:sz w:val="24"/>
          <w:szCs w:val="24"/>
        </w:rPr>
        <w:t xml:space="preserve"> La chiusura della sezione: il quadro normativo mappato, i vuoti dichiarati (parentela, genealogia, fenotipo), gli strumenti processuali pronti, gli accertamenti formali avviati. Il diritto della scienza del caso, in tavola: chi vorrà fare, saprà come.</w:t>
      </w:r>
    </w:p>
    <w:p>
      <w:pPr>
        <w:pStyle w:val="Heading3"/>
        <w:spacing w:after="80" w:before="160"/>
      </w:pPr>
      <w:r>
        <w:rPr>
          <w:rFonts w:ascii="Barlow Semi Condensed" w:cs="Barlow Semi Condensed" w:eastAsia="Barlow Semi Condensed" w:hAnsi="Barlow Semi Condensed"/>
          <w:sz w:val="24"/>
          <w:szCs w:val="24"/>
        </w:rPr>
        <w:t xml:space="preserve">I laboratori e gli standard (blocchi 691-715)</w:t>
      </w:r>
    </w:p>
    <w:p>
      <w:pPr>
        <w:spacing w:after="120" w:line="276"/>
        <w:jc w:val="both"/>
      </w:pPr>
      <w:r>
        <w:rPr>
          <w:rFonts w:ascii="Barlow Semi Condensed" w:cs="Barlow Semi Condensed" w:eastAsia="Barlow Semi Condensed" w:hAnsi="Barlow Semi Condensed"/>
          <w:b/>
          <w:bCs/>
          <w:sz w:val="24"/>
          <w:szCs w:val="24"/>
        </w:rPr>
        <w:t xml:space="preserve">691 · La mappa dei laboratori.</w:t>
      </w:r>
      <w:r>
        <w:rPr>
          <w:rFonts w:ascii="Barlow Semi Condensed" w:cs="Barlow Semi Condensed" w:eastAsia="Barlow Semi Condensed" w:hAnsi="Barlow Semi Condensed"/>
          <w:sz w:val="24"/>
          <w:szCs w:val="24"/>
        </w:rPr>
        <w:t xml:space="preserve"> Il censimento istituzionale: i laboratori forensi italiani rilevanti per il caso — il Servizio Polizia scientifica, il RaCIS e i RIS dell'Arma, il laboratorio centrale del DAP, i laboratori universitari qualificati — con competenze e standard di ciascuno. Il cantiere sa chi sa fare che cosa: la mappa è la premessa di ogni affidamento.</w:t>
      </w:r>
    </w:p>
    <w:p>
      <w:pPr>
        <w:spacing w:after="120" w:line="276"/>
        <w:jc w:val="both"/>
      </w:pPr>
      <w:r>
        <w:rPr>
          <w:rFonts w:ascii="Barlow Semi Condensed" w:cs="Barlow Semi Condensed" w:eastAsia="Barlow Semi Condensed" w:hAnsi="Barlow Semi Condensed"/>
          <w:b/>
          <w:bCs/>
          <w:sz w:val="24"/>
          <w:szCs w:val="24"/>
        </w:rPr>
        <w:t xml:space="preserve">692 · L'accreditamento come soglia.</w:t>
      </w:r>
      <w:r>
        <w:rPr>
          <w:rFonts w:ascii="Barlow Semi Condensed" w:cs="Barlow Semi Condensed" w:eastAsia="Barlow Semi Condensed" w:hAnsi="Barlow Semi Condensed"/>
          <w:sz w:val="24"/>
          <w:szCs w:val="24"/>
        </w:rPr>
        <w:t xml:space="preserve"> La regola di qualità: l'accreditamento ISO/IEC 17025 dei laboratori — quali attività del caso lo richiedono per legge (la banca dati lo impone ai laboratori che la alimentano) e quali per scelta di metodo. Sotto la soglia dell'accreditamento il cantiere non affida: è la regola del blocco 394, con la sua norma.</w:t>
      </w:r>
    </w:p>
    <w:p>
      <w:pPr>
        <w:spacing w:after="120" w:line="276"/>
        <w:jc w:val="both"/>
      </w:pPr>
      <w:r>
        <w:rPr>
          <w:rFonts w:ascii="Barlow Semi Condensed" w:cs="Barlow Semi Condensed" w:eastAsia="Barlow Semi Condensed" w:hAnsi="Barlow Semi Condensed"/>
          <w:b/>
          <w:bCs/>
          <w:sz w:val="24"/>
          <w:szCs w:val="24"/>
        </w:rPr>
        <w:t xml:space="preserve">693 · I circuiti di prova.</w:t>
      </w:r>
      <w:r>
        <w:rPr>
          <w:rFonts w:ascii="Barlow Semi Condensed" w:cs="Barlow Semi Condensed" w:eastAsia="Barlow Semi Condensed" w:hAnsi="Barlow Semi Condensed"/>
          <w:sz w:val="24"/>
          <w:szCs w:val="24"/>
        </w:rPr>
        <w:t xml:space="preserve"> La qualità misurata: i proficiency test e i circuiti interlaboratorio — la partecipazione dei laboratori affidatari come requisito. Un laboratorio che non si fa misurare non misura per il caso: la qualità si dimostra nei circuiti, non nelle brochure.</w:t>
      </w:r>
    </w:p>
    <w:p>
      <w:pPr>
        <w:spacing w:after="120" w:line="276"/>
        <w:jc w:val="both"/>
      </w:pPr>
      <w:r>
        <w:rPr>
          <w:rFonts w:ascii="Barlow Semi Condensed" w:cs="Barlow Semi Condensed" w:eastAsia="Barlow Semi Condensed" w:hAnsi="Barlow Semi Condensed"/>
          <w:b/>
          <w:bCs/>
          <w:sz w:val="24"/>
          <w:szCs w:val="24"/>
        </w:rPr>
        <w:t xml:space="preserve">694 · La comunità europea delle scienze forensi.</w:t>
      </w:r>
      <w:r>
        <w:rPr>
          <w:rFonts w:ascii="Barlow Semi Condensed" w:cs="Barlow Semi Condensed" w:eastAsia="Barlow Semi Condensed" w:hAnsi="Barlow Semi Condensed"/>
          <w:sz w:val="24"/>
          <w:szCs w:val="24"/>
        </w:rPr>
        <w:t xml:space="preserve"> Il contesto tecnico: le reti europee dei laboratori (l'ENFSI e i suoi gruppi di lavoro) — le linee guida di settore come standard di riferimento per ogni esame del caso. Il cantiere aggancia i suoi protocolli alle migliori pratiche continentali: l'Europa forense esiste, e si cita.</w:t>
      </w:r>
    </w:p>
    <w:p>
      <w:pPr>
        <w:spacing w:after="120" w:line="276"/>
        <w:jc w:val="both"/>
      </w:pPr>
      <w:r>
        <w:rPr>
          <w:rFonts w:ascii="Barlow Semi Condensed" w:cs="Barlow Semi Condensed" w:eastAsia="Barlow Semi Condensed" w:hAnsi="Barlow Semi Condensed"/>
          <w:b/>
          <w:bCs/>
          <w:sz w:val="24"/>
          <w:szCs w:val="24"/>
        </w:rPr>
        <w:t xml:space="preserve">695 · Il doppio laboratorio.</w:t>
      </w:r>
      <w:r>
        <w:rPr>
          <w:rFonts w:ascii="Barlow Semi Condensed" w:cs="Barlow Semi Condensed" w:eastAsia="Barlow Semi Condensed" w:hAnsi="Barlow Semi Condensed"/>
          <w:sz w:val="24"/>
          <w:szCs w:val="24"/>
        </w:rPr>
        <w:t xml:space="preserve"> La regola dei casi pesanti: gli esami critici duplicati in laboratori indipendenti — stessa metodica, cecità reciproca, esiti confrontati. Il costo raddoppia; la solidità decuplica: per i reperti irripetibili del caso, è un investimento, non un lusso.</w:t>
      </w:r>
    </w:p>
    <w:p>
      <w:pPr>
        <w:spacing w:after="120" w:line="276"/>
        <w:jc w:val="both"/>
      </w:pPr>
      <w:r>
        <w:rPr>
          <w:rFonts w:ascii="Barlow Semi Condensed" w:cs="Barlow Semi Condensed" w:eastAsia="Barlow Semi Condensed" w:hAnsi="Barlow Semi Condensed"/>
          <w:b/>
          <w:bCs/>
          <w:sz w:val="24"/>
          <w:szCs w:val="24"/>
        </w:rPr>
        <w:t xml:space="preserve">696 · Il cieco e il controllo.</w:t>
      </w:r>
      <w:r>
        <w:rPr>
          <w:rFonts w:ascii="Barlow Semi Condensed" w:cs="Barlow Semi Condensed" w:eastAsia="Barlow Semi Condensed" w:hAnsi="Barlow Semi Condensed"/>
          <w:sz w:val="24"/>
          <w:szCs w:val="24"/>
        </w:rPr>
        <w:t xml:space="preserve"> Il disegno sperimentale: i controlli in cieco negli esami comparativi (campioni civetta, randomizzazione) dove la metodica lo consenta. La psicologia dell'esaminatore è una variabile misurata dalla letteratura: il disegno la neutralizza — anche nei laboratori migliori.</w:t>
      </w:r>
    </w:p>
    <w:p>
      <w:pPr>
        <w:spacing w:after="120" w:line="276"/>
        <w:jc w:val="both"/>
      </w:pPr>
      <w:r>
        <w:rPr>
          <w:rFonts w:ascii="Barlow Semi Condensed" w:cs="Barlow Semi Condensed" w:eastAsia="Barlow Semi Condensed" w:hAnsi="Barlow Semi Condensed"/>
          <w:b/>
          <w:bCs/>
          <w:sz w:val="24"/>
          <w:szCs w:val="24"/>
        </w:rPr>
        <w:t xml:space="preserve">697 · Il tasso d'errore dichiarato.</w:t>
      </w:r>
      <w:r>
        <w:rPr>
          <w:rFonts w:ascii="Barlow Semi Condensed" w:cs="Barlow Semi Condensed" w:eastAsia="Barlow Semi Condensed" w:hAnsi="Barlow Semi Condensed"/>
          <w:sz w:val="24"/>
          <w:szCs w:val="24"/>
        </w:rPr>
        <w:t xml:space="preserve"> La trasparenza tecnica: ogni metodica usata per il caso con il suo tasso d'errore noto dalla letteratura, citato nel verbale. Il numero che le perizie storiche non scrivevano: il cantiere lo scrive sempre — è la differenza fra scienza e autorevolezza.</w:t>
      </w:r>
    </w:p>
    <w:p>
      <w:pPr>
        <w:spacing w:after="120" w:line="276"/>
        <w:jc w:val="both"/>
      </w:pPr>
      <w:r>
        <w:rPr>
          <w:rFonts w:ascii="Barlow Semi Condensed" w:cs="Barlow Semi Condensed" w:eastAsia="Barlow Semi Condensed" w:hAnsi="Barlow Semi Condensed"/>
          <w:b/>
          <w:bCs/>
          <w:sz w:val="24"/>
          <w:szCs w:val="24"/>
        </w:rPr>
        <w:t xml:space="preserve">698 · La validazione delle metodiche nuove.</w:t>
      </w:r>
      <w:r>
        <w:rPr>
          <w:rFonts w:ascii="Barlow Semi Condensed" w:cs="Barlow Semi Condensed" w:eastAsia="Barlow Semi Condensed" w:hAnsi="Barlow Semi Condensed"/>
          <w:sz w:val="24"/>
          <w:szCs w:val="24"/>
        </w:rPr>
        <w:t xml:space="preserve"> Il tornello tecnico: nessuna metodica emergente sul caso senza validazione pubblicata e riproducibilità dimostrata (il blocco 181 dell'agenda, come standard di laboratorio). Il caso non fa da cavia: arriva dopo la validazione, mai prima.</w:t>
      </w:r>
    </w:p>
    <w:p>
      <w:pPr>
        <w:spacing w:after="120" w:line="276"/>
        <w:jc w:val="both"/>
      </w:pPr>
      <w:r>
        <w:rPr>
          <w:rFonts w:ascii="Barlow Semi Condensed" w:cs="Barlow Semi Condensed" w:eastAsia="Barlow Semi Condensed" w:hAnsi="Barlow Semi Condensed"/>
          <w:b/>
          <w:bCs/>
          <w:sz w:val="24"/>
          <w:szCs w:val="24"/>
        </w:rPr>
        <w:t xml:space="preserve">699 · I materiali di riferimento.</w:t>
      </w:r>
      <w:r>
        <w:rPr>
          <w:rFonts w:ascii="Barlow Semi Condensed" w:cs="Barlow Semi Condensed" w:eastAsia="Barlow Semi Condensed" w:hAnsi="Barlow Semi Condensed"/>
          <w:sz w:val="24"/>
          <w:szCs w:val="24"/>
        </w:rPr>
        <w:t xml:space="preserve"> L'infrastruttura silenziosa: i materiali di riferimento certificati per le comparazioni del caso (munizioni d'epoca, carte, inchiostri) — la loro raccolta come sotto-cantiere. Comparare richiede pietre di paragone: il cantiere le colleziona con metodo da museo.</w:t>
      </w:r>
    </w:p>
    <w:p>
      <w:pPr>
        <w:spacing w:after="120" w:line="276"/>
        <w:jc w:val="both"/>
      </w:pPr>
      <w:r>
        <w:rPr>
          <w:rFonts w:ascii="Barlow Semi Condensed" w:cs="Barlow Semi Condensed" w:eastAsia="Barlow Semi Condensed" w:hAnsi="Barlow Semi Condensed"/>
          <w:b/>
          <w:bCs/>
          <w:sz w:val="24"/>
          <w:szCs w:val="24"/>
        </w:rPr>
        <w:t xml:space="preserve">700 · Il settecentesimo blocco: la scena ricostruita in laboratorio.</w:t>
      </w:r>
      <w:r>
        <w:rPr>
          <w:rFonts w:ascii="Barlow Semi Condensed" w:cs="Barlow Semi Condensed" w:eastAsia="Barlow Semi Condensed" w:hAnsi="Barlow Semi Condensed"/>
          <w:sz w:val="24"/>
          <w:szCs w:val="24"/>
        </w:rPr>
        <w:t xml:space="preserve"> Il ponte fra le parti: i laboratori al servizio del modello della scena (blocco 632) — le prove sperimentali riproducibili (balistica sperimentale su materiali equivalenti, prove di visibilità e d'ascolto) documentate come esperimenti pubblici. La scena del 1978 non si può rifare; i suoi vincoli fisici sì: in laboratorio, con verbale.</w:t>
      </w:r>
    </w:p>
    <w:p>
      <w:pPr>
        <w:spacing w:after="120" w:line="276"/>
        <w:jc w:val="both"/>
      </w:pPr>
      <w:r>
        <w:rPr>
          <w:rFonts w:ascii="Barlow Semi Condensed" w:cs="Barlow Semi Condensed" w:eastAsia="Barlow Semi Condensed" w:hAnsi="Barlow Semi Condensed"/>
          <w:b/>
          <w:bCs/>
          <w:sz w:val="24"/>
          <w:szCs w:val="24"/>
        </w:rPr>
        <w:t xml:space="preserve">701 · Gli esperimenti giudiziari, la storia.</w:t>
      </w:r>
      <w:r>
        <w:rPr>
          <w:rFonts w:ascii="Barlow Semi Condensed" w:cs="Barlow Semi Condensed" w:eastAsia="Barlow Semi Condensed" w:hAnsi="Barlow Semi Condensed"/>
          <w:sz w:val="24"/>
          <w:szCs w:val="24"/>
        </w:rPr>
        <w:t xml:space="preserve"> Il censimento retrospettivo: gli esperimenti giudiziari fatti nel caso (ricostruzioni, prove di tiro, sopralluoghi sperimentali dagli atti) — la tavola storica con metodi ed esiti. Prima di rifare, sapere che cosa fu fatto: anche l'esperimento ha la sua archeologia.</w:t>
      </w:r>
    </w:p>
    <w:p>
      <w:pPr>
        <w:spacing w:after="120" w:line="276"/>
        <w:jc w:val="both"/>
      </w:pPr>
      <w:r>
        <w:rPr>
          <w:rFonts w:ascii="Barlow Semi Condensed" w:cs="Barlow Semi Condensed" w:eastAsia="Barlow Semi Condensed" w:hAnsi="Barlow Semi Condensed"/>
          <w:b/>
          <w:bCs/>
          <w:sz w:val="24"/>
          <w:szCs w:val="24"/>
        </w:rPr>
        <w:t xml:space="preserve">702 · Il personale e le competenze.</w:t>
      </w:r>
      <w:r>
        <w:rPr>
          <w:rFonts w:ascii="Barlow Semi Condensed" w:cs="Barlow Semi Condensed" w:eastAsia="Barlow Semi Condensed" w:hAnsi="Barlow Semi Condensed"/>
          <w:sz w:val="24"/>
          <w:szCs w:val="24"/>
        </w:rPr>
        <w:t xml:space="preserve"> Il capitale umano: le competenze forensi rare che il caso richiede (balistica storica, documenti d'epoca, audio analogico) — la mappa degli specialisti e il rischio del loro pensionamento. Anche le competenze invecchiano: il cantiere le censisce come censisce i testimoni.</w:t>
      </w:r>
    </w:p>
    <w:p>
      <w:pPr>
        <w:spacing w:after="120" w:line="276"/>
        <w:jc w:val="both"/>
      </w:pPr>
      <w:r>
        <w:rPr>
          <w:rFonts w:ascii="Barlow Semi Condensed" w:cs="Barlow Semi Condensed" w:eastAsia="Barlow Semi Condensed" w:hAnsi="Barlow Semi Condensed"/>
          <w:b/>
          <w:bCs/>
          <w:sz w:val="24"/>
          <w:szCs w:val="24"/>
        </w:rPr>
        <w:t xml:space="preserve">703 · La formazione dedicata.</w:t>
      </w:r>
      <w:r>
        <w:rPr>
          <w:rFonts w:ascii="Barlow Semi Condensed" w:cs="Barlow Semi Condensed" w:eastAsia="Barlow Semi Condensed" w:hAnsi="Barlow Semi Condensed"/>
          <w:sz w:val="24"/>
          <w:szCs w:val="24"/>
        </w:rPr>
        <w:t xml:space="preserve"> L'investimento: la formazione di giovani forensi sulle tecniche applicate ai casi storici — borse, tirocini sui materiali del caso (in forma didattica), manualistica. Il caso come palestra della forensics storica italiana: quel che si forma qui servirà ogni altro cold case.</w:t>
      </w:r>
    </w:p>
    <w:p>
      <w:pPr>
        <w:spacing w:after="120" w:line="276"/>
        <w:jc w:val="both"/>
      </w:pPr>
      <w:r>
        <w:rPr>
          <w:rFonts w:ascii="Barlow Semi Condensed" w:cs="Barlow Semi Condensed" w:eastAsia="Barlow Semi Condensed" w:hAnsi="Barlow Semi Condensed"/>
          <w:b/>
          <w:bCs/>
          <w:sz w:val="24"/>
          <w:szCs w:val="24"/>
        </w:rPr>
        <w:t xml:space="preserve">704 · I laboratori esteri.</w:t>
      </w:r>
      <w:r>
        <w:rPr>
          <w:rFonts w:ascii="Barlow Semi Condensed" w:cs="Barlow Semi Condensed" w:eastAsia="Barlow Semi Condensed" w:hAnsi="Barlow Semi Condensed"/>
          <w:sz w:val="24"/>
          <w:szCs w:val="24"/>
        </w:rPr>
        <w:t xml:space="preserve"> L'opzione internazionale: il ricorso a laboratori esteri d'eccellenza per metodiche non disponibili in Italia — le condizioni (catena, diritto, costi) e i precedenti. La scienza non ha passaporto; i reperti sì: il protocollo di trasferta è metà della decisione.</w:t>
      </w:r>
    </w:p>
    <w:p>
      <w:pPr>
        <w:spacing w:after="120" w:line="276"/>
        <w:jc w:val="both"/>
      </w:pPr>
      <w:r>
        <w:rPr>
          <w:rFonts w:ascii="Barlow Semi Condensed" w:cs="Barlow Semi Condensed" w:eastAsia="Barlow Semi Condensed" w:hAnsi="Barlow Semi Condensed"/>
          <w:b/>
          <w:bCs/>
          <w:sz w:val="24"/>
          <w:szCs w:val="24"/>
        </w:rPr>
        <w:t xml:space="preserve">705 · Il laboratorio mobile.</w:t>
      </w:r>
      <w:r>
        <w:rPr>
          <w:rFonts w:ascii="Barlow Semi Condensed" w:cs="Barlow Semi Condensed" w:eastAsia="Barlow Semi Condensed" w:hAnsi="Barlow Semi Condensed"/>
          <w:sz w:val="24"/>
          <w:szCs w:val="24"/>
        </w:rPr>
        <w:t xml:space="preserve"> L'opzione inversa: le analisi in situ dove il reperto non può viaggiare (strumentazione portatile nei depositi) — il protocollo della montagna che va da Maometto. Ogni movimento del reperto è un rischio: il laboratorio mobile lo azzera dove la tecnica lo consente.</w:t>
      </w:r>
    </w:p>
    <w:p>
      <w:pPr>
        <w:spacing w:after="120" w:line="276"/>
        <w:jc w:val="both"/>
      </w:pPr>
      <w:r>
        <w:rPr>
          <w:rFonts w:ascii="Barlow Semi Condensed" w:cs="Barlow Semi Condensed" w:eastAsia="Barlow Semi Condensed" w:hAnsi="Barlow Semi Condensed"/>
          <w:b/>
          <w:bCs/>
          <w:sz w:val="24"/>
          <w:szCs w:val="24"/>
        </w:rPr>
        <w:t xml:space="preserve">706 · La contabilità dei laboratori.</w:t>
      </w:r>
      <w:r>
        <w:rPr>
          <w:rFonts w:ascii="Barlow Semi Condensed" w:cs="Barlow Semi Condensed" w:eastAsia="Barlow Semi Condensed" w:hAnsi="Barlow Semi Condensed"/>
          <w:sz w:val="24"/>
          <w:szCs w:val="24"/>
        </w:rPr>
        <w:t xml:space="preserve"> I costi della qualità: le tariffe, i tempi, le code dei laboratori pubblici — la programmazione degli esami del caso dentro le capacità reali del sistema. Il cantiere non salta le file: le conosce, le programma, e dove serve le finanzia (il bilancio della parte).</w:t>
      </w:r>
    </w:p>
    <w:p>
      <w:pPr>
        <w:spacing w:after="120" w:line="276"/>
        <w:jc w:val="both"/>
      </w:pPr>
      <w:r>
        <w:rPr>
          <w:rFonts w:ascii="Barlow Semi Condensed" w:cs="Barlow Semi Condensed" w:eastAsia="Barlow Semi Condensed" w:hAnsi="Barlow Semi Condensed"/>
          <w:b/>
          <w:bCs/>
          <w:sz w:val="24"/>
          <w:szCs w:val="24"/>
        </w:rPr>
        <w:t xml:space="preserve">707 · Il conflitto d'interessi tecnico.</w:t>
      </w:r>
      <w:r>
        <w:rPr>
          <w:rFonts w:ascii="Barlow Semi Condensed" w:cs="Barlow Semi Condensed" w:eastAsia="Barlow Semi Condensed" w:hAnsi="Barlow Semi Condensed"/>
          <w:sz w:val="24"/>
          <w:szCs w:val="24"/>
        </w:rPr>
        <w:t xml:space="preserve"> La regola d'indipendenza: gli esperti del caso dichiarano i conflitti (perizie passate sullo stesso quesito, posizioni pubbliche assunte) — e i quesiti più esposti vanno a mani nuove. La storia peritale del caso è lunga: la memoria degli esperti è un valore, la loro impregiudicatezza pure — si bilanciano per dichiarazione.</w:t>
      </w:r>
    </w:p>
    <w:p>
      <w:pPr>
        <w:spacing w:after="120" w:line="276"/>
        <w:jc w:val="both"/>
      </w:pPr>
      <w:r>
        <w:rPr>
          <w:rFonts w:ascii="Barlow Semi Condensed" w:cs="Barlow Semi Condensed" w:eastAsia="Barlow Semi Condensed" w:hAnsi="Barlow Semi Condensed"/>
          <w:b/>
          <w:bCs/>
          <w:sz w:val="24"/>
          <w:szCs w:val="24"/>
        </w:rPr>
        <w:t xml:space="preserve">708 · L'archivio dei metodi del caso.</w:t>
      </w:r>
      <w:r>
        <w:rPr>
          <w:rFonts w:ascii="Barlow Semi Condensed" w:cs="Barlow Semi Condensed" w:eastAsia="Barlow Semi Condensed" w:hAnsi="Barlow Semi Condensed"/>
          <w:sz w:val="24"/>
          <w:szCs w:val="24"/>
        </w:rPr>
        <w:t xml:space="preserve"> Il registro tecnico (il blocco 208 dell'agenda, come infrastruttura): ogni metodica applicata al caso — versione, strumento, operatore, validazione — nel registro permanente. Fra vent'anni qualcuno chiederà «come fu fatto?»: il registro risponderà.</w:t>
      </w:r>
    </w:p>
    <w:p>
      <w:pPr>
        <w:spacing w:after="120" w:line="276"/>
        <w:jc w:val="both"/>
      </w:pPr>
      <w:r>
        <w:rPr>
          <w:rFonts w:ascii="Barlow Semi Condensed" w:cs="Barlow Semi Condensed" w:eastAsia="Barlow Semi Condensed" w:hAnsi="Barlow Semi Condensed"/>
          <w:b/>
          <w:bCs/>
          <w:sz w:val="24"/>
          <w:szCs w:val="24"/>
        </w:rPr>
        <w:t xml:space="preserve">709 · Il collegio permanente.</w:t>
      </w:r>
      <w:r>
        <w:rPr>
          <w:rFonts w:ascii="Barlow Semi Condensed" w:cs="Barlow Semi Condensed" w:eastAsia="Barlow Semi Condensed" w:hAnsi="Barlow Semi Condensed"/>
          <w:sz w:val="24"/>
          <w:szCs w:val="24"/>
        </w:rPr>
        <w:t xml:space="preserve"> L'organo della parte: il collegio tecnico-scientifico permanente del cantiere — le discipline rappresentate, la rotazione, i pareri come atti pubblici. La scienza del caso ha bisogno di un luogo dove parlare con una voce plurale: il collegio è quel luogo.</w:t>
      </w:r>
    </w:p>
    <w:p>
      <w:pPr>
        <w:spacing w:after="120" w:line="276"/>
        <w:jc w:val="both"/>
      </w:pPr>
      <w:r>
        <w:rPr>
          <w:rFonts w:ascii="Barlow Semi Condensed" w:cs="Barlow Semi Condensed" w:eastAsia="Barlow Semi Condensed" w:hAnsi="Barlow Semi Condensed"/>
          <w:b/>
          <w:bCs/>
          <w:sz w:val="24"/>
          <w:szCs w:val="24"/>
        </w:rPr>
        <w:t xml:space="preserve">710 · Il dialogo coi periti storici.</w:t>
      </w:r>
      <w:r>
        <w:rPr>
          <w:rFonts w:ascii="Barlow Semi Condensed" w:cs="Barlow Semi Condensed" w:eastAsia="Barlow Semi Condensed" w:hAnsi="Barlow Semi Condensed"/>
          <w:sz w:val="24"/>
          <w:szCs w:val="24"/>
        </w:rPr>
        <w:t xml:space="preserve"> Il ponte generazionale (il blocco 119 dell'agenda, eseguito): i periti del 1978 e dei processi ascoltati dai periti di oggi — i metodi d'epoca spiegati da chi li usò. La perizia storica si giudica con gli occhi del suo tempo: il dialogo evita l'anacronismo del senno di poi strumentale.</w:t>
      </w:r>
    </w:p>
    <w:p>
      <w:pPr>
        <w:spacing w:after="120" w:line="276"/>
        <w:jc w:val="both"/>
      </w:pPr>
      <w:r>
        <w:rPr>
          <w:rFonts w:ascii="Barlow Semi Condensed" w:cs="Barlow Semi Condensed" w:eastAsia="Barlow Semi Condensed" w:hAnsi="Barlow Semi Condensed"/>
          <w:b/>
          <w:bCs/>
          <w:sz w:val="24"/>
          <w:szCs w:val="24"/>
        </w:rPr>
        <w:t xml:space="preserve">711 · Le seconde opinioni.</w:t>
      </w:r>
      <w:r>
        <w:rPr>
          <w:rFonts w:ascii="Barlow Semi Condensed" w:cs="Barlow Semi Condensed" w:eastAsia="Barlow Semi Condensed" w:hAnsi="Barlow Semi Condensed"/>
          <w:sz w:val="24"/>
          <w:szCs w:val="24"/>
        </w:rPr>
        <w:t xml:space="preserve"> La valvola di sicurezza: il diritto di ogni esito tecnico del cantiere alla seconda opinione indipendente su richiesta motivata (del collegio, del garante del metodo, della contro-agenda). La scienza che teme la revisione non è scienza: la valvola è aperta per costruzione.</w:t>
      </w:r>
    </w:p>
    <w:p>
      <w:pPr>
        <w:spacing w:after="120" w:line="276"/>
        <w:jc w:val="both"/>
      </w:pPr>
      <w:r>
        <w:rPr>
          <w:rFonts w:ascii="Barlow Semi Condensed" w:cs="Barlow Semi Condensed" w:eastAsia="Barlow Semi Condensed" w:hAnsi="Barlow Semi Condensed"/>
          <w:b/>
          <w:bCs/>
          <w:sz w:val="24"/>
          <w:szCs w:val="24"/>
        </w:rPr>
        <w:t xml:space="preserve">712 · La pubblicazione scientifica.</w:t>
      </w:r>
      <w:r>
        <w:rPr>
          <w:rFonts w:ascii="Barlow Semi Condensed" w:cs="Barlow Semi Condensed" w:eastAsia="Barlow Semi Condensed" w:hAnsi="Barlow Semi Condensed"/>
          <w:sz w:val="24"/>
          <w:szCs w:val="24"/>
        </w:rPr>
        <w:t xml:space="preserve"> La destinazione naturale: gli esiti tecnici rilevanti del caso pubblicati su riviste con revisione paritaria — la scienza del caso nella letteratura, non solo negli atti. La peer review è il contraddittorio della comunità: il caso vi si sottopone come ogni oggetto scientifico serio.</w:t>
      </w:r>
    </w:p>
    <w:p>
      <w:pPr>
        <w:spacing w:after="120" w:line="276"/>
        <w:jc w:val="both"/>
      </w:pPr>
      <w:r>
        <w:rPr>
          <w:rFonts w:ascii="Barlow Semi Condensed" w:cs="Barlow Semi Condensed" w:eastAsia="Barlow Semi Condensed" w:hAnsi="Barlow Semi Condensed"/>
          <w:b/>
          <w:bCs/>
          <w:sz w:val="24"/>
          <w:szCs w:val="24"/>
        </w:rPr>
        <w:t xml:space="preserve">713 · I dati aperti della scienza.</w:t>
      </w:r>
      <w:r>
        <w:rPr>
          <w:rFonts w:ascii="Barlow Semi Condensed" w:cs="Barlow Semi Condensed" w:eastAsia="Barlow Semi Condensed" w:hAnsi="Barlow Semi Condensed"/>
          <w:sz w:val="24"/>
          <w:szCs w:val="24"/>
        </w:rPr>
        <w:t xml:space="preserve"> La regola di apertura: i dataset tecnici pubblicabili (misure, immagini calibrate, modelli) in repository aperti con licenze chiare. La scienza del caso replicabile da chiunque: è la forma moderna del contraddittorio — e la migliore difesa contro il sospetto.</w:t>
      </w:r>
    </w:p>
    <w:p>
      <w:pPr>
        <w:spacing w:after="120" w:line="276"/>
        <w:jc w:val="both"/>
      </w:pPr>
      <w:r>
        <w:rPr>
          <w:rFonts w:ascii="Barlow Semi Condensed" w:cs="Barlow Semi Condensed" w:eastAsia="Barlow Semi Condensed" w:hAnsi="Barlow Semi Condensed"/>
          <w:b/>
          <w:bCs/>
          <w:sz w:val="24"/>
          <w:szCs w:val="24"/>
        </w:rPr>
        <w:t xml:space="preserve">714 · La sintesi degli standard.</w:t>
      </w:r>
      <w:r>
        <w:rPr>
          <w:rFonts w:ascii="Barlow Semi Condensed" w:cs="Barlow Semi Condensed" w:eastAsia="Barlow Semi Condensed" w:hAnsi="Barlow Semi Condensed"/>
          <w:sz w:val="24"/>
          <w:szCs w:val="24"/>
        </w:rPr>
        <w:t xml:space="preserve"> Il prodotto della sezione: il capitolato tecnico del caso — gli standard che ogni esame deve soddisfare per entrare nel corpus — pubblicato come soglia permanente. Chi vorrà contribuire saprà l'asticella: uguale per tutti, scritta prima.</w:t>
      </w:r>
    </w:p>
    <w:p>
      <w:pPr>
        <w:spacing w:after="120" w:line="276"/>
        <w:jc w:val="both"/>
      </w:pPr>
      <w:r>
        <w:rPr>
          <w:rFonts w:ascii="Barlow Semi Condensed" w:cs="Barlow Semi Condensed" w:eastAsia="Barlow Semi Condensed" w:hAnsi="Barlow Semi Condensed"/>
          <w:b/>
          <w:bCs/>
          <w:sz w:val="24"/>
          <w:szCs w:val="24"/>
        </w:rPr>
        <w:t xml:space="preserve">715 · La tavola dei laboratori.</w:t>
      </w:r>
      <w:r>
        <w:rPr>
          <w:rFonts w:ascii="Barlow Semi Condensed" w:cs="Barlow Semi Condensed" w:eastAsia="Barlow Semi Condensed" w:hAnsi="Barlow Semi Condensed"/>
          <w:sz w:val="24"/>
          <w:szCs w:val="24"/>
        </w:rPr>
        <w:t xml:space="preserve"> La chiusura della sezione: la mappa dei laboratori, gli standard fissati, il collegio costituito, i registri aperti. L'infrastruttura umana e tecnica della scienza del caso, in tavola: adesso gli esami hanno una casa degna.</w:t>
      </w:r>
    </w:p>
    <w:p>
      <w:pPr>
        <w:pStyle w:val="Heading3"/>
        <w:spacing w:after="80" w:before="160"/>
      </w:pPr>
      <w:r>
        <w:rPr>
          <w:rFonts w:ascii="Barlow Semi Condensed" w:cs="Barlow Semi Condensed" w:eastAsia="Barlow Semi Condensed" w:hAnsi="Barlow Semi Condensed"/>
          <w:sz w:val="24"/>
          <w:szCs w:val="24"/>
        </w:rPr>
        <w:t xml:space="preserve">I precedenti che insegnano (blocchi 716-740)</w:t>
      </w:r>
    </w:p>
    <w:p>
      <w:pPr>
        <w:spacing w:after="120" w:line="276"/>
        <w:jc w:val="both"/>
      </w:pPr>
      <w:r>
        <w:rPr>
          <w:rFonts w:ascii="Barlow Semi Condensed" w:cs="Barlow Semi Condensed" w:eastAsia="Barlow Semi Condensed" w:hAnsi="Barlow Semi Condensed"/>
          <w:b/>
          <w:bCs/>
          <w:sz w:val="24"/>
          <w:szCs w:val="24"/>
        </w:rPr>
        <w:t xml:space="preserve">716 · Il precedente che manca.</w:t>
      </w:r>
      <w:r>
        <w:rPr>
          <w:rFonts w:ascii="Barlow Semi Condensed" w:cs="Barlow Semi Condensed" w:eastAsia="Barlow Semi Condensed" w:hAnsi="Barlow Semi Condensed"/>
          <w:sz w:val="24"/>
          <w:szCs w:val="24"/>
        </w:rPr>
        <w:t xml:space="preserve"> Il fatto verificato da cui la sezione parte: nessun delitto italiano commesso negli anni Settanta-Ottanta risulta chiuso in giudicato grazie a tecniche forensi nuove applicate a reperti d'epoca. Il caso Moro, se il fascicolo romano vi arrivasse, sarebbe il primo — e la sezione studia i precedenti parziali perché il primo arrivi preparato.</w:t>
      </w:r>
    </w:p>
    <w:p>
      <w:pPr>
        <w:spacing w:after="120" w:line="276"/>
        <w:jc w:val="both"/>
      </w:pPr>
      <w:r>
        <w:rPr>
          <w:rFonts w:ascii="Barlow Semi Condensed" w:cs="Barlow Semi Condensed" w:eastAsia="Barlow Semi Condensed" w:hAnsi="Barlow Semi Condensed"/>
          <w:b/>
          <w:bCs/>
          <w:sz w:val="24"/>
          <w:szCs w:val="24"/>
        </w:rPr>
        <w:t xml:space="preserve">717 · Yara: la potenza dello screening.</w:t>
      </w:r>
      <w:r>
        <w:rPr>
          <w:rFonts w:ascii="Barlow Semi Condensed" w:cs="Barlow Semi Condensed" w:eastAsia="Barlow Semi Condensed" w:hAnsi="Barlow Semi Condensed"/>
          <w:sz w:val="24"/>
          <w:szCs w:val="24"/>
        </w:rPr>
        <w:t xml:space="preserve"> Il precedente maggiore: il caso di Yara Gambirasio (2010-2011) — circa diciottomila profili raccolti per identificare «Ignoto 1», condanna definitiva nel 2018. La lezione di potenza: lo screening sistematico funziona. Il cantiere ne estrae il disegno — volontarietà, progressione geografica, gestione dei dati — come modello studiabile.</w:t>
      </w:r>
    </w:p>
    <w:p>
      <w:pPr>
        <w:spacing w:after="120" w:line="276"/>
        <w:jc w:val="both"/>
      </w:pPr>
      <w:r>
        <w:rPr>
          <w:rFonts w:ascii="Barlow Semi Condensed" w:cs="Barlow Semi Condensed" w:eastAsia="Barlow Semi Condensed" w:hAnsi="Barlow Semi Condensed"/>
          <w:b/>
          <w:bCs/>
          <w:sz w:val="24"/>
          <w:szCs w:val="24"/>
        </w:rPr>
        <w:t xml:space="preserve">718 · Yara: il prezzo e le garanzie.</w:t>
      </w:r>
      <w:r>
        <w:rPr>
          <w:rFonts w:ascii="Barlow Semi Condensed" w:cs="Barlow Semi Condensed" w:eastAsia="Barlow Semi Condensed" w:hAnsi="Barlow Semi Condensed"/>
          <w:sz w:val="24"/>
          <w:szCs w:val="24"/>
        </w:rPr>
        <w:t xml:space="preserve"> La lezione gemella: i costi (economici, organizzativi, di libertà) dello screening di massa e le garanzie che lo ressero — i consensi, le cancellazioni, il dibattito pubblico. Il modello non si copia: si pesa. Per un caso del 1978, la sezione ne trae criteri, non entusiasmi.</w:t>
      </w:r>
    </w:p>
    <w:p>
      <w:pPr>
        <w:spacing w:after="120" w:line="276"/>
        <w:jc w:val="both"/>
      </w:pPr>
      <w:r>
        <w:rPr>
          <w:rFonts w:ascii="Barlow Semi Condensed" w:cs="Barlow Semi Condensed" w:eastAsia="Barlow Semi Condensed" w:hAnsi="Barlow Semi Condensed"/>
          <w:b/>
          <w:bCs/>
          <w:sz w:val="24"/>
          <w:szCs w:val="24"/>
        </w:rPr>
        <w:t xml:space="preserve">719 · L'Olgiata: il reperto che aspettava.</w:t>
      </w:r>
      <w:r>
        <w:rPr>
          <w:rFonts w:ascii="Barlow Semi Condensed" w:cs="Barlow Semi Condensed" w:eastAsia="Barlow Semi Condensed" w:hAnsi="Barlow Semi Condensed"/>
          <w:sz w:val="24"/>
          <w:szCs w:val="24"/>
        </w:rPr>
        <w:t xml:space="preserve"> Il precedente di pazienza: il delitto dell'Olgiata (1991), chiuso vent'anni dopo grazie al DNA su reperti conservati. La lezione: la conservazione è la precondizione del futuro — un reperto ben custodito è un'indagine che aspetta. Il raccordo diretto con la sezione della custodia (blocchi 331-350).</w:t>
      </w:r>
    </w:p>
    <w:p>
      <w:pPr>
        <w:spacing w:after="120" w:line="276"/>
        <w:jc w:val="both"/>
      </w:pPr>
      <w:r>
        <w:rPr>
          <w:rFonts w:ascii="Barlow Semi Condensed" w:cs="Barlow Semi Condensed" w:eastAsia="Barlow Semi Condensed" w:hAnsi="Barlow Semi Condensed"/>
          <w:b/>
          <w:bCs/>
          <w:sz w:val="24"/>
          <w:szCs w:val="24"/>
        </w:rPr>
        <w:t xml:space="preserve">720 · Il monito dell'assoluzione.</w:t>
      </w:r>
      <w:r>
        <w:rPr>
          <w:rFonts w:ascii="Barlow Semi Condensed" w:cs="Barlow Semi Condensed" w:eastAsia="Barlow Semi Condensed" w:hAnsi="Barlow Semi Condensed"/>
          <w:sz w:val="24"/>
          <w:szCs w:val="24"/>
        </w:rPr>
        <w:t xml:space="preserve"> Il precedente cautelativo: il caso di Lidia Macchi (1987) — riaperto decenni dopo con strumenti nuovi, conclusosi con l'assoluzione definitiva dell'imputato. La lezione più importante della sezione: la tecnica nuova non garantisce la condanna, e l'assolto resta assolto. Il metodo del corpus era già pronto per questa lezione: la incorpora come precedente nominato.</w:t>
      </w:r>
    </w:p>
    <w:p>
      <w:pPr>
        <w:spacing w:after="120" w:line="276"/>
        <w:jc w:val="both"/>
      </w:pPr>
      <w:r>
        <w:rPr>
          <w:rFonts w:ascii="Barlow Semi Condensed" w:cs="Barlow Semi Condensed" w:eastAsia="Barlow Semi Condensed" w:hAnsi="Barlow Semi Condensed"/>
          <w:b/>
          <w:bCs/>
          <w:sz w:val="24"/>
          <w:szCs w:val="24"/>
        </w:rPr>
        <w:t xml:space="preserve">721 · La Svezia e la genealogia.</w:t>
      </w:r>
      <w:r>
        <w:rPr>
          <w:rFonts w:ascii="Barlow Semi Condensed" w:cs="Barlow Semi Condensed" w:eastAsia="Barlow Semi Condensed" w:hAnsi="Barlow Semi Condensed"/>
          <w:sz w:val="24"/>
          <w:szCs w:val="24"/>
        </w:rPr>
        <w:t xml:space="preserve"> Il precedente europeo: il primo uso documentato della genealogia genetica forense in Europa (il duplice omicidio svedese risolto nel 2020-2021). La lezione istituzionale: la tecnica arrivò in Europa dentro un quadro di garanzie e di dibattito — il dossier svedese è il manuale di ciò che l'Italia non ha ancora scritto.</w:t>
      </w:r>
    </w:p>
    <w:p>
      <w:pPr>
        <w:spacing w:after="120" w:line="276"/>
        <w:jc w:val="both"/>
      </w:pPr>
      <w:r>
        <w:rPr>
          <w:rFonts w:ascii="Barlow Semi Condensed" w:cs="Barlow Semi Condensed" w:eastAsia="Barlow Semi Condensed" w:hAnsi="Barlow Semi Condensed"/>
          <w:b/>
          <w:bCs/>
          <w:sz w:val="24"/>
          <w:szCs w:val="24"/>
        </w:rPr>
        <w:t xml:space="preserve">722 · Il Golden State Killer.</w:t>
      </w:r>
      <w:r>
        <w:rPr>
          <w:rFonts w:ascii="Barlow Semi Condensed" w:cs="Barlow Semi Condensed" w:eastAsia="Barlow Semi Condensed" w:hAnsi="Barlow Semi Condensed"/>
          <w:sz w:val="24"/>
          <w:szCs w:val="24"/>
        </w:rPr>
        <w:t xml:space="preserve"> Il precedente d'oltreoceano: l'arresto del 2018 via genealogia genetica — il caso che aprì l'era. La lezione doppia: la potenza della tecnica e le questioni (privacy dei parenti, banche commerciali) che sollevò. Il cantiere lo studia come storia della tecnica, non come ricetta importabile.</w:t>
      </w:r>
    </w:p>
    <w:p>
      <w:pPr>
        <w:spacing w:after="120" w:line="276"/>
        <w:jc w:val="both"/>
      </w:pPr>
      <w:r>
        <w:rPr>
          <w:rFonts w:ascii="Barlow Semi Condensed" w:cs="Barlow Semi Condensed" w:eastAsia="Barlow Semi Condensed" w:hAnsi="Barlow Semi Condensed"/>
          <w:b/>
          <w:bCs/>
          <w:sz w:val="24"/>
          <w:szCs w:val="24"/>
        </w:rPr>
        <w:t xml:space="preserve">723 · I cold case italiani riaperti.</w:t>
      </w:r>
      <w:r>
        <w:rPr>
          <w:rFonts w:ascii="Barlow Semi Condensed" w:cs="Barlow Semi Condensed" w:eastAsia="Barlow Semi Condensed" w:hAnsi="Barlow Semi Condensed"/>
          <w:sz w:val="24"/>
          <w:szCs w:val="24"/>
        </w:rPr>
        <w:t xml:space="preserve"> Il censimento sistematico: i casi italiani riaperti con nuove tecniche negli ultimi vent'anni — riusciti, falliti, pendenti — la tavola con esiti e insegnamenti. La casistica italiana è il banco di prova reale: che cosa ha funzionato nel nostro ordinamento, con i nostri laboratori, nei nostri tempi.</w:t>
      </w:r>
    </w:p>
    <w:p>
      <w:pPr>
        <w:spacing w:after="120" w:line="276"/>
        <w:jc w:val="both"/>
      </w:pPr>
      <w:r>
        <w:rPr>
          <w:rFonts w:ascii="Barlow Semi Condensed" w:cs="Barlow Semi Condensed" w:eastAsia="Barlow Semi Condensed" w:hAnsi="Barlow Semi Condensed"/>
          <w:b/>
          <w:bCs/>
          <w:sz w:val="24"/>
          <w:szCs w:val="24"/>
        </w:rPr>
        <w:t xml:space="preserve">724 · Le unità cold case.</w:t>
      </w:r>
      <w:r>
        <w:rPr>
          <w:rFonts w:ascii="Barlow Semi Condensed" w:cs="Barlow Semi Condensed" w:eastAsia="Barlow Semi Condensed" w:hAnsi="Barlow Semi Condensed"/>
          <w:sz w:val="24"/>
          <w:szCs w:val="24"/>
        </w:rPr>
        <w:t xml:space="preserve"> L'assetto istituzionale: le strutture dedicate ai casi freddi presso le forze di polizia italiane — dove esistono, come lavorano, con quali criteri di priorità. Il caso Moro è il cold case per antonomasia: sapere chi, in Italia, fa questo mestiere per istituzione è un bersaglio ovvio e mai eseguito.</w:t>
      </w:r>
    </w:p>
    <w:p>
      <w:pPr>
        <w:spacing w:after="120" w:line="276"/>
        <w:jc w:val="both"/>
      </w:pPr>
      <w:r>
        <w:rPr>
          <w:rFonts w:ascii="Barlow Semi Condensed" w:cs="Barlow Semi Condensed" w:eastAsia="Barlow Semi Condensed" w:hAnsi="Barlow Semi Condensed"/>
          <w:b/>
          <w:bCs/>
          <w:sz w:val="24"/>
          <w:szCs w:val="24"/>
        </w:rPr>
        <w:t xml:space="preserve">725 · I casi stranieri d'archivio.</w:t>
      </w:r>
      <w:r>
        <w:rPr>
          <w:rFonts w:ascii="Barlow Semi Condensed" w:cs="Barlow Semi Condensed" w:eastAsia="Barlow Semi Condensed" w:hAnsi="Barlow Semi Condensed"/>
          <w:sz w:val="24"/>
          <w:szCs w:val="24"/>
        </w:rPr>
        <w:t xml:space="preserve"> I precedenti esteri su delitti politici storici: le riaperture documentate di casi degli anni Settanta in Europa (le lezioni tedesche, francesi, irlandesi) — la tavola comparata. Il terrorismo europeo ha i suoi cold case: come le altre democrazie li hanno trattati è un capitolo di metodo comparato.</w:t>
      </w:r>
    </w:p>
    <w:p>
      <w:pPr>
        <w:spacing w:after="120" w:line="276"/>
        <w:jc w:val="both"/>
      </w:pPr>
      <w:r>
        <w:rPr>
          <w:rFonts w:ascii="Barlow Semi Condensed" w:cs="Barlow Semi Condensed" w:eastAsia="Barlow Semi Condensed" w:hAnsi="Barlow Semi Condensed"/>
          <w:b/>
          <w:bCs/>
          <w:sz w:val="24"/>
          <w:szCs w:val="24"/>
        </w:rPr>
        <w:t xml:space="preserve">726 · Lockerbie e le lunghe indagini.</w:t>
      </w:r>
      <w:r>
        <w:rPr>
          <w:rFonts w:ascii="Barlow Semi Condensed" w:cs="Barlow Semi Condensed" w:eastAsia="Barlow Semi Condensed" w:hAnsi="Barlow Semi Condensed"/>
          <w:sz w:val="24"/>
          <w:szCs w:val="24"/>
        </w:rPr>
        <w:t xml:space="preserve"> Il modello delle indagini generazionali: i casi internazionali condotti per decenni con continuità istituzionale — l'organizzazione della memoria investigativa lunga. La lezione organizzativa: un'indagine che dura trent'anni ha bisogno di istituzioni, non di eroi — è la tesi del manuale, confermata dal comparato.</w:t>
      </w:r>
    </w:p>
    <w:p>
      <w:pPr>
        <w:spacing w:after="120" w:line="276"/>
        <w:jc w:val="both"/>
      </w:pPr>
      <w:r>
        <w:rPr>
          <w:rFonts w:ascii="Barlow Semi Condensed" w:cs="Barlow Semi Condensed" w:eastAsia="Barlow Semi Condensed" w:hAnsi="Barlow Semi Condensed"/>
          <w:b/>
          <w:bCs/>
          <w:sz w:val="24"/>
          <w:szCs w:val="24"/>
        </w:rPr>
        <w:t xml:space="preserve">727 · Le commissioni verità e i modelli misti.</w:t>
      </w:r>
      <w:r>
        <w:rPr>
          <w:rFonts w:ascii="Barlow Semi Condensed" w:cs="Barlow Semi Condensed" w:eastAsia="Barlow Semi Condensed" w:hAnsi="Barlow Semi Condensed"/>
          <w:sz w:val="24"/>
          <w:szCs w:val="24"/>
        </w:rPr>
        <w:t xml:space="preserve"> I modelli alternativi: le esperienze internazionali di accertamento non giudiziario (commissioni verità, inchieste pubbliche) sui traumi nazionali — che cosa hanno prodotto, con quali statuti. Il cantiere li studia come modelli di forma: il caso italiano ha scelto commissioni parlamentari — il confronto illumina i limiti e i meriti della scelta.</w:t>
      </w:r>
    </w:p>
    <w:p>
      <w:pPr>
        <w:spacing w:after="120" w:line="276"/>
        <w:jc w:val="both"/>
      </w:pPr>
      <w:r>
        <w:rPr>
          <w:rFonts w:ascii="Barlow Semi Condensed" w:cs="Barlow Semi Condensed" w:eastAsia="Barlow Semi Condensed" w:hAnsi="Barlow Semi Condensed"/>
          <w:b/>
          <w:bCs/>
          <w:sz w:val="24"/>
          <w:szCs w:val="24"/>
        </w:rPr>
        <w:t xml:space="preserve">728 · I precedenti di screening documentale.</w:t>
      </w:r>
      <w:r>
        <w:rPr>
          <w:rFonts w:ascii="Barlow Semi Condensed" w:cs="Barlow Semi Condensed" w:eastAsia="Barlow Semi Condensed" w:hAnsi="Barlow Semi Condensed"/>
          <w:sz w:val="24"/>
          <w:szCs w:val="24"/>
        </w:rPr>
        <w:t xml:space="preserve"> I grandi spogli riusciti: i progetti internazionali di lettura sistematica di archivi giganteschi (le digitalizzazioni giudiziarie, i progetti sugli archivi delle dittature) — metodi, tempi, costi. Lo spoglio delle duemila buste ha fratelli maggiori nel mondo: le loro curve di apprendimento sono gratis.</w:t>
      </w:r>
    </w:p>
    <w:p>
      <w:pPr>
        <w:spacing w:after="120" w:line="276"/>
        <w:jc w:val="both"/>
      </w:pPr>
      <w:r>
        <w:rPr>
          <w:rFonts w:ascii="Barlow Semi Condensed" w:cs="Barlow Semi Condensed" w:eastAsia="Barlow Semi Condensed" w:hAnsi="Barlow Semi Condensed"/>
          <w:b/>
          <w:bCs/>
          <w:sz w:val="24"/>
          <w:szCs w:val="24"/>
        </w:rPr>
        <w:t xml:space="preserve">729 · I precedenti di identificazione storica.</w:t>
      </w:r>
      <w:r>
        <w:rPr>
          <w:rFonts w:ascii="Barlow Semi Condensed" w:cs="Barlow Semi Condensed" w:eastAsia="Barlow Semi Condensed" w:hAnsi="Barlow Semi Condensed"/>
          <w:sz w:val="24"/>
          <w:szCs w:val="24"/>
        </w:rPr>
        <w:t xml:space="preserve"> Le identificazioni celebri su resti e reperti storici (i casi novecenteschi risolti con DNA decenni dopo): la tavola tecnica — che cosa rese possibile ciascuna. La genetica storica ha una casistica matura: i suoi fattori di successo (riferimenti familiari, conservazione) sono esattamente le variabili del caso.</w:t>
      </w:r>
    </w:p>
    <w:p>
      <w:pPr>
        <w:spacing w:after="120" w:line="276"/>
        <w:jc w:val="both"/>
      </w:pPr>
      <w:r>
        <w:rPr>
          <w:rFonts w:ascii="Barlow Semi Condensed" w:cs="Barlow Semi Condensed" w:eastAsia="Barlow Semi Condensed" w:hAnsi="Barlow Semi Condensed"/>
          <w:b/>
          <w:bCs/>
          <w:sz w:val="24"/>
          <w:szCs w:val="24"/>
        </w:rPr>
        <w:t xml:space="preserve">730 · Il falso positivo celebre.</w:t>
      </w:r>
      <w:r>
        <w:rPr>
          <w:rFonts w:ascii="Barlow Semi Condensed" w:cs="Barlow Semi Condensed" w:eastAsia="Barlow Semi Condensed" w:hAnsi="Barlow Semi Condensed"/>
          <w:sz w:val="24"/>
          <w:szCs w:val="24"/>
        </w:rPr>
        <w:t xml:space="preserve"> I precedenti d'errore: i casi documentati di errori forensi clamorosi (le contaminazioni seriali, le sovrainterpretazioni) — la tavola degli errori con le cause. La scienza forense impara dai suoi disastri: il cantiere li insegna ai propri protocolli prima che ai propri esami.</w:t>
      </w:r>
    </w:p>
    <w:p>
      <w:pPr>
        <w:spacing w:after="120" w:line="276"/>
        <w:jc w:val="both"/>
      </w:pPr>
      <w:r>
        <w:rPr>
          <w:rFonts w:ascii="Barlow Semi Condensed" w:cs="Barlow Semi Condensed" w:eastAsia="Barlow Semi Condensed" w:hAnsi="Barlow Semi Condensed"/>
          <w:b/>
          <w:bCs/>
          <w:sz w:val="24"/>
          <w:szCs w:val="24"/>
        </w:rPr>
        <w:t xml:space="preserve">731 · Il DNA da toccare con guanti.</w:t>
      </w:r>
      <w:r>
        <w:rPr>
          <w:rFonts w:ascii="Barlow Semi Condensed" w:cs="Barlow Semi Condensed" w:eastAsia="Barlow Semi Condensed" w:hAnsi="Barlow Semi Condensed"/>
          <w:sz w:val="24"/>
          <w:szCs w:val="24"/>
        </w:rPr>
        <w:t xml:space="preserve"> La lezione tecnica trasversale dei precedenti: il DNA da contatto e le sue trappole (trasferimenti secondari, contaminazioni da deposito) — la letteratura dei casi in cui il DNA c'era ma non significava. Il blocco arma il caso contro il suo rischio maggiore: trovare un profilo e fargli dire troppo.</w:t>
      </w:r>
    </w:p>
    <w:p>
      <w:pPr>
        <w:spacing w:after="120" w:line="276"/>
        <w:jc w:val="both"/>
      </w:pPr>
      <w:r>
        <w:rPr>
          <w:rFonts w:ascii="Barlow Semi Condensed" w:cs="Barlow Semi Condensed" w:eastAsia="Barlow Semi Condensed" w:hAnsi="Barlow Semi Condensed"/>
          <w:b/>
          <w:bCs/>
          <w:sz w:val="24"/>
          <w:szCs w:val="24"/>
        </w:rPr>
        <w:t xml:space="preserve">732 · La statistica in aula.</w:t>
      </w:r>
      <w:r>
        <w:rPr>
          <w:rFonts w:ascii="Barlow Semi Condensed" w:cs="Barlow Semi Condensed" w:eastAsia="Barlow Semi Condensed" w:hAnsi="Barlow Semi Condensed"/>
          <w:sz w:val="24"/>
          <w:szCs w:val="24"/>
        </w:rPr>
        <w:t xml:space="preserve"> La lezione interpretativa: i precedenti di uso e abuso della statistica forense (le fallacie del pubblico ministero e della difesa, i rapporti di verosimiglianza mal spiegati) — il prontuario statistico del caso. Ogni numero forense del cantiere arriva con la sua corretta formulazione probabilistica: è profilassi contro decenni di equivoci.</w:t>
      </w:r>
    </w:p>
    <w:p>
      <w:pPr>
        <w:spacing w:after="120" w:line="276"/>
        <w:jc w:val="both"/>
      </w:pPr>
      <w:r>
        <w:rPr>
          <w:rFonts w:ascii="Barlow Semi Condensed" w:cs="Barlow Semi Condensed" w:eastAsia="Barlow Semi Condensed" w:hAnsi="Barlow Semi Condensed"/>
          <w:b/>
          <w:bCs/>
          <w:sz w:val="24"/>
          <w:szCs w:val="24"/>
        </w:rPr>
        <w:t xml:space="preserve">733 · I periti contesi.</w:t>
      </w:r>
      <w:r>
        <w:rPr>
          <w:rFonts w:ascii="Barlow Semi Condensed" w:cs="Barlow Semi Condensed" w:eastAsia="Barlow Semi Condensed" w:hAnsi="Barlow Semi Condensed"/>
          <w:sz w:val="24"/>
          <w:szCs w:val="24"/>
        </w:rPr>
        <w:t xml:space="preserve"> La lezione processuale: i casi italiani con guerre di perizie — che cosa le generò (quesiti mal posti, metodi non condivisi) e che cosa le avrebbe evitate. Il caso ha già vissuto le sue: il capitolato del blocco 714 è la vaccinazione.</w:t>
      </w:r>
    </w:p>
    <w:p>
      <w:pPr>
        <w:spacing w:after="120" w:line="276"/>
        <w:jc w:val="both"/>
      </w:pPr>
      <w:r>
        <w:rPr>
          <w:rFonts w:ascii="Barlow Semi Condensed" w:cs="Barlow Semi Condensed" w:eastAsia="Barlow Semi Condensed" w:hAnsi="Barlow Semi Condensed"/>
          <w:b/>
          <w:bCs/>
          <w:sz w:val="24"/>
          <w:szCs w:val="24"/>
        </w:rPr>
        <w:t xml:space="preserve">734 · Il tempo dei laboratori.</w:t>
      </w:r>
      <w:r>
        <w:rPr>
          <w:rFonts w:ascii="Barlow Semi Condensed" w:cs="Barlow Semi Condensed" w:eastAsia="Barlow Semi Condensed" w:hAnsi="Barlow Semi Condensed"/>
          <w:sz w:val="24"/>
          <w:szCs w:val="24"/>
        </w:rPr>
        <w:t xml:space="preserve"> La lezione organizzativa dei precedenti: i tempi reali delle analisi nei cold case italiani (mesi, anni) — la programmazione del caso su tempi veri. L'aspettativa calibrata è metodo: chi promette esiti rapidi su reperti del 1978 non ha letto la casistica.</w:t>
      </w:r>
    </w:p>
    <w:p>
      <w:pPr>
        <w:spacing w:after="120" w:line="276"/>
        <w:jc w:val="both"/>
      </w:pPr>
      <w:r>
        <w:rPr>
          <w:rFonts w:ascii="Barlow Semi Condensed" w:cs="Barlow Semi Condensed" w:eastAsia="Barlow Semi Condensed" w:hAnsi="Barlow Semi Condensed"/>
          <w:b/>
          <w:bCs/>
          <w:sz w:val="24"/>
          <w:szCs w:val="24"/>
        </w:rPr>
        <w:t xml:space="preserve">735 · La comunicazione dei precedenti.</w:t>
      </w:r>
      <w:r>
        <w:rPr>
          <w:rFonts w:ascii="Barlow Semi Condensed" w:cs="Barlow Semi Condensed" w:eastAsia="Barlow Semi Condensed" w:hAnsi="Barlow Semi Condensed"/>
          <w:sz w:val="24"/>
          <w:szCs w:val="24"/>
        </w:rPr>
        <w:t xml:space="preserve"> La lezione mediatica: come i cold case riusciti e falliti furono comunicati — gli annunci prematuri, le smentite, i danni. Il protocollo di comunicazione del cantiere (il blocco 402) si tara su questa casistica: il silenzio operoso batte l'anticipazione.</w:t>
      </w:r>
    </w:p>
    <w:p>
      <w:pPr>
        <w:spacing w:after="120" w:line="276"/>
        <w:jc w:val="both"/>
      </w:pPr>
      <w:r>
        <w:rPr>
          <w:rFonts w:ascii="Barlow Semi Condensed" w:cs="Barlow Semi Condensed" w:eastAsia="Barlow Semi Condensed" w:hAnsi="Barlow Semi Condensed"/>
          <w:b/>
          <w:bCs/>
          <w:sz w:val="24"/>
          <w:szCs w:val="24"/>
        </w:rPr>
        <w:t xml:space="preserve">736 · Il registro dei precedenti.</w:t>
      </w:r>
      <w:r>
        <w:rPr>
          <w:rFonts w:ascii="Barlow Semi Condensed" w:cs="Barlow Semi Condensed" w:eastAsia="Barlow Semi Condensed" w:hAnsi="Barlow Semi Condensed"/>
          <w:sz w:val="24"/>
          <w:szCs w:val="24"/>
        </w:rPr>
        <w:t xml:space="preserve"> Lo strumento della sezione: il registro ragionato dei precedenti — caso per caso, la lezione estratta e il blocco del cantiere che la incorpora. La sezione non colleziona storie: distilla regole, e il registro mostra la distillazione.</w:t>
      </w:r>
    </w:p>
    <w:p>
      <w:pPr>
        <w:spacing w:after="120" w:line="276"/>
        <w:jc w:val="both"/>
      </w:pPr>
      <w:r>
        <w:rPr>
          <w:rFonts w:ascii="Barlow Semi Condensed" w:cs="Barlow Semi Condensed" w:eastAsia="Barlow Semi Condensed" w:hAnsi="Barlow Semi Condensed"/>
          <w:b/>
          <w:bCs/>
          <w:sz w:val="24"/>
          <w:szCs w:val="24"/>
        </w:rPr>
        <w:t xml:space="preserve">737 · Il caso come precedente futuro.</w:t>
      </w:r>
      <w:r>
        <w:rPr>
          <w:rFonts w:ascii="Barlow Semi Condensed" w:cs="Barlow Semi Condensed" w:eastAsia="Barlow Semi Condensed" w:hAnsi="Barlow Semi Condensed"/>
          <w:sz w:val="24"/>
          <w:szCs w:val="24"/>
        </w:rPr>
        <w:t xml:space="preserve"> Il rovesciamento: ciò che il caso Moro, trattato con questo metodo, lascerà ai cold case che verranno — i protocolli, i registri, le soglie. Il cantiere lavora sapendo di scrivere il precedente italiano maggiore: è una responsabilità di forma, non solo di esito.</w:t>
      </w:r>
    </w:p>
    <w:p>
      <w:pPr>
        <w:spacing w:after="120" w:line="276"/>
        <w:jc w:val="both"/>
      </w:pPr>
      <w:r>
        <w:rPr>
          <w:rFonts w:ascii="Barlow Semi Condensed" w:cs="Barlow Semi Condensed" w:eastAsia="Barlow Semi Condensed" w:hAnsi="Barlow Semi Condensed"/>
          <w:b/>
          <w:bCs/>
          <w:sz w:val="24"/>
          <w:szCs w:val="24"/>
        </w:rPr>
        <w:t xml:space="preserve">738 · La rete dei casi fratelli.</w:t>
      </w:r>
      <w:r>
        <w:rPr>
          <w:rFonts w:ascii="Barlow Semi Condensed" w:cs="Barlow Semi Condensed" w:eastAsia="Barlow Semi Condensed" w:hAnsi="Barlow Semi Condensed"/>
          <w:sz w:val="24"/>
          <w:szCs w:val="24"/>
        </w:rPr>
        <w:t xml:space="preserve"> L'alleanza operativa: il coordinamento con chi lavora sugli altri casi degli anni di piombo (le stragi, i delitti politici coevi) — strumenti comuni, archivi condivisi, standard uniformi. I casi del periodo condividono archivi e problemi: la rete moltiplica ogni cantiere.</w:t>
      </w:r>
    </w:p>
    <w:p>
      <w:pPr>
        <w:spacing w:after="120" w:line="276"/>
        <w:jc w:val="both"/>
      </w:pPr>
      <w:r>
        <w:rPr>
          <w:rFonts w:ascii="Barlow Semi Condensed" w:cs="Barlow Semi Condensed" w:eastAsia="Barlow Semi Condensed" w:hAnsi="Barlow Semi Condensed"/>
          <w:b/>
          <w:bCs/>
          <w:sz w:val="24"/>
          <w:szCs w:val="24"/>
        </w:rPr>
        <w:t xml:space="preserve">739 · La sintesi dei precedenti.</w:t>
      </w:r>
      <w:r>
        <w:rPr>
          <w:rFonts w:ascii="Barlow Semi Condensed" w:cs="Barlow Semi Condensed" w:eastAsia="Barlow Semi Condensed" w:hAnsi="Barlow Semi Condensed"/>
          <w:sz w:val="24"/>
          <w:szCs w:val="24"/>
        </w:rPr>
        <w:t xml:space="preserve"> Il prodotto della sezione: la relazione sui precedenti — che cosa la casistica autorizza a sperare, che cosa vieta di promettere — come documento di aspettative pubbliche. La pagina che calibra il dibattito: né disfattismo né miracolismo — casistica.</w:t>
      </w:r>
    </w:p>
    <w:p>
      <w:pPr>
        <w:spacing w:after="120" w:line="276"/>
        <w:jc w:val="both"/>
      </w:pPr>
      <w:r>
        <w:rPr>
          <w:rFonts w:ascii="Barlow Semi Condensed" w:cs="Barlow Semi Condensed" w:eastAsia="Barlow Semi Condensed" w:hAnsi="Barlow Semi Condensed"/>
          <w:b/>
          <w:bCs/>
          <w:sz w:val="24"/>
          <w:szCs w:val="24"/>
        </w:rPr>
        <w:t xml:space="preserve">740 · La tavola dei precedenti.</w:t>
      </w:r>
      <w:r>
        <w:rPr>
          <w:rFonts w:ascii="Barlow Semi Condensed" w:cs="Barlow Semi Condensed" w:eastAsia="Barlow Semi Condensed" w:hAnsi="Barlow Semi Condensed"/>
          <w:sz w:val="24"/>
          <w:szCs w:val="24"/>
        </w:rPr>
        <w:t xml:space="preserve"> La chiusura della sezione: il registro compilato, le lezioni incorporate, le aspettative calibrate. I precedenti hanno parlato: il caso sa da dove parte — e sa che, se arriverà, arriverà primo.</w:t>
      </w:r>
    </w:p>
    <w:p>
      <w:pPr>
        <w:pStyle w:val="Heading3"/>
        <w:spacing w:after="80" w:before="160"/>
      </w:pPr>
      <w:r>
        <w:rPr>
          <w:rFonts w:ascii="Barlow Semi Condensed" w:cs="Barlow Semi Condensed" w:eastAsia="Barlow Semi Condensed" w:hAnsi="Barlow Semi Condensed"/>
          <w:sz w:val="24"/>
          <w:szCs w:val="24"/>
        </w:rPr>
        <w:t xml:space="preserve">Le scienze emergenti e i pareri (blocchi 741-765)</w:t>
      </w:r>
    </w:p>
    <w:p>
      <w:pPr>
        <w:spacing w:after="120" w:line="276"/>
        <w:jc w:val="both"/>
      </w:pPr>
      <w:r>
        <w:rPr>
          <w:rFonts w:ascii="Barlow Semi Condensed" w:cs="Barlow Semi Condensed" w:eastAsia="Barlow Semi Condensed" w:hAnsi="Barlow Semi Condensed"/>
          <w:b/>
          <w:bCs/>
          <w:sz w:val="24"/>
          <w:szCs w:val="24"/>
        </w:rPr>
        <w:t xml:space="preserve">741 · L'orizzonte tecnico sorvegliato.</w:t>
      </w:r>
      <w:r>
        <w:rPr>
          <w:rFonts w:ascii="Barlow Semi Condensed" w:cs="Barlow Semi Condensed" w:eastAsia="Barlow Semi Condensed" w:hAnsi="Barlow Semi Condensed"/>
          <w:sz w:val="24"/>
          <w:szCs w:val="24"/>
        </w:rPr>
        <w:t xml:space="preserve"> Il metodo della sezione: la sorveglianza sistematica dell'orizzonte forense — le tecniche emergenti censite ogni anno, con la domanda unica: che cosa potrebbe chiedere di nuovo ai reperti del 1978? La revisione periodica del blocco 459, organizzata come funzione permanente.</w:t>
      </w:r>
    </w:p>
    <w:p>
      <w:pPr>
        <w:spacing w:after="120" w:line="276"/>
        <w:jc w:val="both"/>
      </w:pPr>
      <w:r>
        <w:rPr>
          <w:rFonts w:ascii="Barlow Semi Condensed" w:cs="Barlow Semi Condensed" w:eastAsia="Barlow Semi Condensed" w:hAnsi="Barlow Semi Condensed"/>
          <w:b/>
          <w:bCs/>
          <w:sz w:val="24"/>
          <w:szCs w:val="24"/>
        </w:rPr>
        <w:t xml:space="preserve">742 · Il sequenziamento massivo.</w:t>
      </w:r>
      <w:r>
        <w:rPr>
          <w:rFonts w:ascii="Barlow Semi Condensed" w:cs="Barlow Semi Condensed" w:eastAsia="Barlow Semi Condensed" w:hAnsi="Barlow Semi Condensed"/>
          <w:sz w:val="24"/>
          <w:szCs w:val="24"/>
        </w:rPr>
        <w:t xml:space="preserve"> La frontiera genetica matura: le piattaforme di sequenziamento massivo (MPS/NGS) sui campioni degradati — che cosa aggiungono agli STR tradizionali (SNP, marcatori ancestrali, miscele complesse). Il parere di praticabilità dedicato, sui profili del caso: la tecnica c'è; l'applicabilità si scrive.</w:t>
      </w:r>
    </w:p>
    <w:p>
      <w:pPr>
        <w:spacing w:after="120" w:line="276"/>
        <w:jc w:val="both"/>
      </w:pPr>
      <w:r>
        <w:rPr>
          <w:rFonts w:ascii="Barlow Semi Condensed" w:cs="Barlow Semi Condensed" w:eastAsia="Barlow Semi Condensed" w:hAnsi="Barlow Semi Condensed"/>
          <w:b/>
          <w:bCs/>
          <w:sz w:val="24"/>
          <w:szCs w:val="24"/>
        </w:rPr>
        <w:t xml:space="preserve">743 · Il DNA antico come scuola.</w:t>
      </w:r>
      <w:r>
        <w:rPr>
          <w:rFonts w:ascii="Barlow Semi Condensed" w:cs="Barlow Semi Condensed" w:eastAsia="Barlow Semi Condensed" w:hAnsi="Barlow Semi Condensed"/>
          <w:sz w:val="24"/>
          <w:szCs w:val="24"/>
        </w:rPr>
        <w:t xml:space="preserve"> Il travaso metodologico: le tecniche della paleogenetica (contaminazione controllata, autenticazione dei profili antichi) applicate ai reperti del 1978 — mezzo secolo è «antico» per la biologia. La scuola che ha letto genomi di millenni ha lezioni per chi legge nastri adesivi del 1978: il ponte disciplinare si costruisce.</w:t>
      </w:r>
    </w:p>
    <w:p>
      <w:pPr>
        <w:spacing w:after="120" w:line="276"/>
        <w:jc w:val="both"/>
      </w:pPr>
      <w:r>
        <w:rPr>
          <w:rFonts w:ascii="Barlow Semi Condensed" w:cs="Barlow Semi Condensed" w:eastAsia="Barlow Semi Condensed" w:hAnsi="Barlow Semi Condensed"/>
          <w:b/>
          <w:bCs/>
          <w:sz w:val="24"/>
          <w:szCs w:val="24"/>
        </w:rPr>
        <w:t xml:space="preserve">744 · La proteomica.</w:t>
      </w:r>
      <w:r>
        <w:rPr>
          <w:rFonts w:ascii="Barlow Semi Condensed" w:cs="Barlow Semi Condensed" w:eastAsia="Barlow Semi Condensed" w:hAnsi="Barlow Semi Condensed"/>
          <w:sz w:val="24"/>
          <w:szCs w:val="24"/>
        </w:rPr>
        <w:t xml:space="preserve"> La frontiera oltre il DNA: l'analisi delle proteine (più stabili degli acidi nucleici) su tracce biologiche degradate — lo stato dell'arte e l'eventuale nicchia per il caso. Parere esplorativo con aspettative dichiarate basse: si scrive per completezza, si applica solo se matura.</w:t>
      </w:r>
    </w:p>
    <w:p>
      <w:pPr>
        <w:spacing w:after="120" w:line="276"/>
        <w:jc w:val="both"/>
      </w:pPr>
      <w:r>
        <w:rPr>
          <w:rFonts w:ascii="Barlow Semi Condensed" w:cs="Barlow Semi Condensed" w:eastAsia="Barlow Semi Condensed" w:hAnsi="Barlow Semi Condensed"/>
          <w:b/>
          <w:bCs/>
          <w:sz w:val="24"/>
          <w:szCs w:val="24"/>
        </w:rPr>
        <w:t xml:space="preserve">745 · Gli isotopi e le provenienze.</w:t>
      </w:r>
      <w:r>
        <w:rPr>
          <w:rFonts w:ascii="Barlow Semi Condensed" w:cs="Barlow Semi Condensed" w:eastAsia="Barlow Semi Condensed" w:hAnsi="Barlow Semi Condensed"/>
          <w:sz w:val="24"/>
          <w:szCs w:val="24"/>
        </w:rPr>
        <w:t xml:space="preserve"> La geochimica dei materiali: le firme isotopiche per provenienze (carte, metalli, tessuti) — che cosa la tecnica può dire sugli oggetti del caso. Parere mirato sui reperti a quesito di provenienza aperto: la geografia chimica come ultima parola sui «dove».</w:t>
      </w:r>
    </w:p>
    <w:p>
      <w:pPr>
        <w:spacing w:after="120" w:line="276"/>
        <w:jc w:val="both"/>
      </w:pPr>
      <w:r>
        <w:rPr>
          <w:rFonts w:ascii="Barlow Semi Condensed" w:cs="Barlow Semi Condensed" w:eastAsia="Barlow Semi Condensed" w:hAnsi="Barlow Semi Condensed"/>
          <w:b/>
          <w:bCs/>
          <w:sz w:val="24"/>
          <w:szCs w:val="24"/>
        </w:rPr>
        <w:t xml:space="preserve">746 · La microbiologia forense.</w:t>
      </w:r>
      <w:r>
        <w:rPr>
          <w:rFonts w:ascii="Barlow Semi Condensed" w:cs="Barlow Semi Condensed" w:eastAsia="Barlow Semi Condensed" w:hAnsi="Barlow Semi Condensed"/>
          <w:sz w:val="24"/>
          <w:szCs w:val="24"/>
        </w:rPr>
        <w:t xml:space="preserve"> La frontiera ambientale: le firme microbiche come tracce di luoghi e contatti — lo stato della ricerca e la distanza dall'applicazione matura. Censita, datata, tenuta d'occhio: il cantiere la iscrive all'orizzonte, non al calendario.</w:t>
      </w:r>
    </w:p>
    <w:p>
      <w:pPr>
        <w:spacing w:after="120" w:line="276"/>
        <w:jc w:val="both"/>
      </w:pPr>
      <w:r>
        <w:rPr>
          <w:rFonts w:ascii="Barlow Semi Condensed" w:cs="Barlow Semi Condensed" w:eastAsia="Barlow Semi Condensed" w:hAnsi="Barlow Semi Condensed"/>
          <w:b/>
          <w:bCs/>
          <w:sz w:val="24"/>
          <w:szCs w:val="24"/>
        </w:rPr>
        <w:t xml:space="preserve">747 · L'entomologia e le scienze del tempo.</w:t>
      </w:r>
      <w:r>
        <w:rPr>
          <w:rFonts w:ascii="Barlow Semi Condensed" w:cs="Barlow Semi Condensed" w:eastAsia="Barlow Semi Condensed" w:hAnsi="Barlow Semi Condensed"/>
          <w:sz w:val="24"/>
          <w:szCs w:val="24"/>
        </w:rPr>
        <w:t xml:space="preserve"> Le scienze della datazione biologica applicate retrospettivamente: che cosa gli atti del 1978 (i rilievi, le autopsie) consentono ancora di stimare con le conoscenze attuali — il riesame documentale con occhi nuovi (il raccordo col blocco 99 dell'agenda). I dati d'epoca riletti valgono un esame nuovo, quando l'esame nuovo è impossibile.</w:t>
      </w:r>
    </w:p>
    <w:p>
      <w:pPr>
        <w:spacing w:after="120" w:line="276"/>
        <w:jc w:val="both"/>
      </w:pPr>
      <w:r>
        <w:rPr>
          <w:rFonts w:ascii="Barlow Semi Condensed" w:cs="Barlow Semi Condensed" w:eastAsia="Barlow Semi Condensed" w:hAnsi="Barlow Semi Condensed"/>
          <w:b/>
          <w:bCs/>
          <w:sz w:val="24"/>
          <w:szCs w:val="24"/>
        </w:rPr>
        <w:t xml:space="preserve">748 · L'imaging che non tocca.</w:t>
      </w:r>
      <w:r>
        <w:rPr>
          <w:rFonts w:ascii="Barlow Semi Condensed" w:cs="Barlow Semi Condensed" w:eastAsia="Barlow Semi Condensed" w:hAnsi="Barlow Semi Condensed"/>
          <w:sz w:val="24"/>
          <w:szCs w:val="24"/>
        </w:rPr>
        <w:t xml:space="preserve"> La radiologia dei reperti: TAC, radiografie, microscopie non invasive sugli oggetti chiusi o fragili del caso — vedere dentro senza aprire. Il parere per ogni reperto sigillato o delicato: la curiosità non distruttiva prima di ogni ipotesi distruttiva.</w:t>
      </w:r>
    </w:p>
    <w:p>
      <w:pPr>
        <w:spacing w:after="120" w:line="276"/>
        <w:jc w:val="both"/>
      </w:pPr>
      <w:r>
        <w:rPr>
          <w:rFonts w:ascii="Barlow Semi Condensed" w:cs="Barlow Semi Condensed" w:eastAsia="Barlow Semi Condensed" w:hAnsi="Barlow Semi Condensed"/>
          <w:b/>
          <w:bCs/>
          <w:sz w:val="24"/>
          <w:szCs w:val="24"/>
        </w:rPr>
        <w:t xml:space="preserve">749 · La chimica delle superfici.</w:t>
      </w:r>
      <w:r>
        <w:rPr>
          <w:rFonts w:ascii="Barlow Semi Condensed" w:cs="Barlow Semi Condensed" w:eastAsia="Barlow Semi Condensed" w:hAnsi="Barlow Semi Condensed"/>
          <w:sz w:val="24"/>
          <w:szCs w:val="24"/>
        </w:rPr>
        <w:t xml:space="preserve"> Le spettroscopie di superficie per i reperti del caso: residui, trattamenti, alterazioni — la mappatura chimica non invasiva come censimento preliminare. Ogni oggetto ha una pelle chimica: leggerla è gratis in termini di reperto.</w:t>
      </w:r>
    </w:p>
    <w:p>
      <w:pPr>
        <w:spacing w:after="120" w:line="276"/>
        <w:jc w:val="both"/>
      </w:pPr>
      <w:r>
        <w:rPr>
          <w:rFonts w:ascii="Barlow Semi Condensed" w:cs="Barlow Semi Condensed" w:eastAsia="Barlow Semi Condensed" w:hAnsi="Barlow Semi Condensed"/>
          <w:b/>
          <w:bCs/>
          <w:sz w:val="24"/>
          <w:szCs w:val="24"/>
        </w:rPr>
        <w:t xml:space="preserve">750 · Il restauro forense della carta.</w:t>
      </w:r>
      <w:r>
        <w:rPr>
          <w:rFonts w:ascii="Barlow Semi Condensed" w:cs="Barlow Semi Condensed" w:eastAsia="Barlow Semi Condensed" w:hAnsi="Barlow Semi Condensed"/>
          <w:sz w:val="24"/>
          <w:szCs w:val="24"/>
        </w:rPr>
        <w:t xml:space="preserve"> Le tecniche di recupero su carta danneggiata (bruciata, bagnata, compressa) — lo stato dell'arte per gli eventuali reperti cartacei degradati del caso. Il parere che aspetta il bisogno: se un fondo restituisse carte sofferenti, il cantiere saprà già a chi rivolgersi.</w:t>
      </w:r>
    </w:p>
    <w:p>
      <w:pPr>
        <w:spacing w:after="120" w:line="276"/>
        <w:jc w:val="both"/>
      </w:pPr>
      <w:r>
        <w:rPr>
          <w:rFonts w:ascii="Barlow Semi Condensed" w:cs="Barlow Semi Condensed" w:eastAsia="Barlow Semi Condensed" w:hAnsi="Barlow Semi Condensed"/>
          <w:b/>
          <w:bCs/>
          <w:sz w:val="24"/>
          <w:szCs w:val="24"/>
        </w:rPr>
        <w:t xml:space="preserve">751 · L'analisi computazionale dei documenti.</w:t>
      </w:r>
      <w:r>
        <w:rPr>
          <w:rFonts w:ascii="Barlow Semi Condensed" w:cs="Barlow Semi Condensed" w:eastAsia="Barlow Semi Condensed" w:hAnsi="Barlow Semi Condensed"/>
          <w:sz w:val="24"/>
          <w:szCs w:val="24"/>
        </w:rPr>
        <w:t xml:space="preserve"> La diplomatica digitale: il riconoscimento automatico di mani, macchine e layout su corpora documentali (il raccordo coi blocchi 197 e 434) — validato, con l'uomo che verbalizza. La macchina classifica; l'esperto decide; il registro conserva: la triade vale anche qui.</w:t>
      </w:r>
    </w:p>
    <w:p>
      <w:pPr>
        <w:spacing w:after="120" w:line="276"/>
        <w:jc w:val="both"/>
      </w:pPr>
      <w:r>
        <w:rPr>
          <w:rFonts w:ascii="Barlow Semi Condensed" w:cs="Barlow Semi Condensed" w:eastAsia="Barlow Semi Condensed" w:hAnsi="Barlow Semi Condensed"/>
          <w:b/>
          <w:bCs/>
          <w:sz w:val="24"/>
          <w:szCs w:val="24"/>
        </w:rPr>
        <w:t xml:space="preserve">752 · I gemelli digitali dei reperti.</w:t>
      </w:r>
      <w:r>
        <w:rPr>
          <w:rFonts w:ascii="Barlow Semi Condensed" w:cs="Barlow Semi Condensed" w:eastAsia="Barlow Semi Condensed" w:hAnsi="Barlow Semi Condensed"/>
          <w:sz w:val="24"/>
          <w:szCs w:val="24"/>
        </w:rPr>
        <w:t xml:space="preserve"> La conservazione aumentata: i modelli tridimensionali ad alta fedeltà dei reperti chiave (scansioni, fotogrammetrie) come «gemelli» consultabili senza toccare l'originale (il raccordo col blocco 321 del manuale). Ogni esame futuro comincerà dal gemello: l'originale si tocca l'ultima volta possibile.</w:t>
      </w:r>
    </w:p>
    <w:p>
      <w:pPr>
        <w:spacing w:after="120" w:line="276"/>
        <w:jc w:val="both"/>
      </w:pPr>
      <w:r>
        <w:rPr>
          <w:rFonts w:ascii="Barlow Semi Condensed" w:cs="Barlow Semi Condensed" w:eastAsia="Barlow Semi Condensed" w:hAnsi="Barlow Semi Condensed"/>
          <w:b/>
          <w:bCs/>
          <w:sz w:val="24"/>
          <w:szCs w:val="24"/>
        </w:rPr>
        <w:t xml:space="preserve">753 · La firma delle armi, rivisitata.</w:t>
      </w:r>
      <w:r>
        <w:rPr>
          <w:rFonts w:ascii="Barlow Semi Condensed" w:cs="Barlow Semi Condensed" w:eastAsia="Barlow Semi Condensed" w:hAnsi="Barlow Semi Condensed"/>
          <w:sz w:val="24"/>
          <w:szCs w:val="24"/>
        </w:rPr>
        <w:t xml:space="preserve"> La ricerca di frontiera balistica: gli studi su invecchiamento delle canne e stabilità delle firme — che cosa dicono sulla comparabilità a distanza di decenni. Il parere che il blocco 353 presuppone: comparare col 2026 un bossolo del 1978 richiede di sapere come invecchiano le firme.</w:t>
      </w:r>
    </w:p>
    <w:p>
      <w:pPr>
        <w:spacing w:after="120" w:line="276"/>
        <w:jc w:val="both"/>
      </w:pPr>
      <w:r>
        <w:rPr>
          <w:rFonts w:ascii="Barlow Semi Condensed" w:cs="Barlow Semi Condensed" w:eastAsia="Barlow Semi Condensed" w:hAnsi="Barlow Semi Condensed"/>
          <w:b/>
          <w:bCs/>
          <w:sz w:val="24"/>
          <w:szCs w:val="24"/>
        </w:rPr>
        <w:t xml:space="preserve">754 · L'audio restaurato dall'IA, con le regole.</w:t>
      </w:r>
      <w:r>
        <w:rPr>
          <w:rFonts w:ascii="Barlow Semi Condensed" w:cs="Barlow Semi Condensed" w:eastAsia="Barlow Semi Condensed" w:hAnsi="Barlow Semi Condensed"/>
          <w:sz w:val="24"/>
          <w:szCs w:val="24"/>
        </w:rPr>
        <w:t xml:space="preserve"> La frontiera del restauro sonoro: i modelli di separazione e pulizia — potenti e rischiosi (allucinazioni acustiche). La regola del cantiere: ogni restauro generativo marcato come tale, mai fonte di trascrizione probatoria; l'originale resta il testimone (il raccordo col blocco 658).</w:t>
      </w:r>
    </w:p>
    <w:p>
      <w:pPr>
        <w:spacing w:after="120" w:line="276"/>
        <w:jc w:val="both"/>
      </w:pPr>
      <w:r>
        <w:rPr>
          <w:rFonts w:ascii="Barlow Semi Condensed" w:cs="Barlow Semi Condensed" w:eastAsia="Barlow Semi Condensed" w:hAnsi="Barlow Semi Condensed"/>
          <w:b/>
          <w:bCs/>
          <w:sz w:val="24"/>
          <w:szCs w:val="24"/>
        </w:rPr>
        <w:t xml:space="preserve">755 · La visione artificiale sugli archivi visivi.</w:t>
      </w:r>
      <w:r>
        <w:rPr>
          <w:rFonts w:ascii="Barlow Semi Condensed" w:cs="Barlow Semi Condensed" w:eastAsia="Barlow Semi Condensed" w:hAnsi="Barlow Semi Condensed"/>
          <w:sz w:val="24"/>
          <w:szCs w:val="24"/>
        </w:rPr>
        <w:t xml:space="preserve"> L'indicizzazione automatica della fototeca: il riconoscimento di luoghi e oggetti per la ricerca — con la regola personalistica dura: nessun riconoscimento facciale su persone, per nessun fine (il perimetro del blocco 289 dell'agenda). La macchina indicizza cose; le persone restano fuori dal suo sguardo.</w:t>
      </w:r>
    </w:p>
    <w:p>
      <w:pPr>
        <w:spacing w:after="120" w:line="276"/>
        <w:jc w:val="both"/>
      </w:pPr>
      <w:r>
        <w:rPr>
          <w:rFonts w:ascii="Barlow Semi Condensed" w:cs="Barlow Semi Condensed" w:eastAsia="Barlow Semi Condensed" w:hAnsi="Barlow Semi Condensed"/>
          <w:b/>
          <w:bCs/>
          <w:sz w:val="24"/>
          <w:szCs w:val="24"/>
        </w:rPr>
        <w:t xml:space="preserve">756 · I modelli linguistici come assistenti.</w:t>
      </w:r>
      <w:r>
        <w:rPr>
          <w:rFonts w:ascii="Barlow Semi Condensed" w:cs="Barlow Semi Condensed" w:eastAsia="Barlow Semi Condensed" w:hAnsi="Barlow Semi Condensed"/>
          <w:sz w:val="24"/>
          <w:szCs w:val="24"/>
        </w:rPr>
        <w:t xml:space="preserve"> L'uso dichiarato dei modelli di linguaggio sul corpus documentale: riassunti di lavoro, indici, segnalazioni di collegamenti — mai generazione di contenuto probatorio, mai citazioni non verificate (la regola del manuale, stampata anche qui). L'assistente legge molto e non firma nulla: il verbale resta umano.</w:t>
      </w:r>
    </w:p>
    <w:p>
      <w:pPr>
        <w:spacing w:after="120" w:line="276"/>
        <w:jc w:val="both"/>
      </w:pPr>
      <w:r>
        <w:rPr>
          <w:rFonts w:ascii="Barlow Semi Condensed" w:cs="Barlow Semi Condensed" w:eastAsia="Barlow Semi Condensed" w:hAnsi="Barlow Semi Condensed"/>
          <w:b/>
          <w:bCs/>
          <w:sz w:val="24"/>
          <w:szCs w:val="24"/>
        </w:rPr>
        <w:t xml:space="preserve">757 · Il parere annuale sull'orizzonte.</w:t>
      </w:r>
      <w:r>
        <w:rPr>
          <w:rFonts w:ascii="Barlow Semi Condensed" w:cs="Barlow Semi Condensed" w:eastAsia="Barlow Semi Condensed" w:hAnsi="Barlow Semi Condensed"/>
          <w:sz w:val="24"/>
          <w:szCs w:val="24"/>
        </w:rPr>
        <w:t xml:space="preserve"> L'atto periodico: il parere annuale del collegio (blocco 709) sull'orizzonte tecnico — che cosa è maturato, che cosa entra nei calendari, che cosa resta osservazione. La sorveglianza diventa atto: una pagina l'anno, sempre.</w:t>
      </w:r>
    </w:p>
    <w:p>
      <w:pPr>
        <w:spacing w:after="120" w:line="276"/>
        <w:jc w:val="both"/>
      </w:pPr>
      <w:r>
        <w:rPr>
          <w:rFonts w:ascii="Barlow Semi Condensed" w:cs="Barlow Semi Condensed" w:eastAsia="Barlow Semi Condensed" w:hAnsi="Barlow Semi Condensed"/>
          <w:b/>
          <w:bCs/>
          <w:sz w:val="24"/>
          <w:szCs w:val="24"/>
        </w:rPr>
        <w:t xml:space="preserve">758 · Le tecniche che non useremo.</w:t>
      </w:r>
      <w:r>
        <w:rPr>
          <w:rFonts w:ascii="Barlow Semi Condensed" w:cs="Barlow Semi Condensed" w:eastAsia="Barlow Semi Condensed" w:hAnsi="Barlow Semi Condensed"/>
          <w:sz w:val="24"/>
          <w:szCs w:val="24"/>
        </w:rPr>
        <w:t xml:space="preserve"> Il perimetro negativo delle scienze: le tecniche escluse per statuto (il riconoscimento facciale sui viventi, la generazione sintetica di voci, ogni tecnica senza validazione) — la lista pubblica del non fare. Anche la scienza del cantiere ha il suo blocco 289: dire i no prima protegge i sì.</w:t>
      </w:r>
    </w:p>
    <w:p>
      <w:pPr>
        <w:spacing w:after="120" w:line="276"/>
        <w:jc w:val="both"/>
      </w:pPr>
      <w:r>
        <w:rPr>
          <w:rFonts w:ascii="Barlow Semi Condensed" w:cs="Barlow Semi Condensed" w:eastAsia="Barlow Semi Condensed" w:hAnsi="Barlow Semi Condensed"/>
          <w:b/>
          <w:bCs/>
          <w:sz w:val="24"/>
          <w:szCs w:val="24"/>
        </w:rPr>
        <w:t xml:space="preserve">759 · Il fondo per gli esami.</w:t>
      </w:r>
      <w:r>
        <w:rPr>
          <w:rFonts w:ascii="Barlow Semi Condensed" w:cs="Barlow Semi Condensed" w:eastAsia="Barlow Semi Condensed" w:hAnsi="Barlow Semi Condensed"/>
          <w:sz w:val="24"/>
          <w:szCs w:val="24"/>
        </w:rPr>
        <w:t xml:space="preserve"> Lo strumento economico: il fondo dedicato agli esami scientifici del caso — alimentazione, criteri di spesa, rendicontazione pubblica. La scienza costa e il cantiere paga ciò che propone: il fondo è la serietà della proposta.</w:t>
      </w:r>
    </w:p>
    <w:p>
      <w:pPr>
        <w:spacing w:after="120" w:line="276"/>
        <w:jc w:val="both"/>
      </w:pPr>
      <w:r>
        <w:rPr>
          <w:rFonts w:ascii="Barlow Semi Condensed" w:cs="Barlow Semi Condensed" w:eastAsia="Barlow Semi Condensed" w:hAnsi="Barlow Semi Condensed"/>
          <w:b/>
          <w:bCs/>
          <w:sz w:val="24"/>
          <w:szCs w:val="24"/>
        </w:rPr>
        <w:t xml:space="preserve">760 · La scienza partecipata, con le regole.</w:t>
      </w:r>
      <w:r>
        <w:rPr>
          <w:rFonts w:ascii="Barlow Semi Condensed" w:cs="Barlow Semi Condensed" w:eastAsia="Barlow Semi Condensed" w:hAnsi="Barlow Semi Condensed"/>
          <w:sz w:val="24"/>
          <w:szCs w:val="24"/>
        </w:rPr>
        <w:t xml:space="preserve"> Il contributo esterno: le segnalazioni tecniche della comunità scientifica (metodiche, letteratura, expertise) attraverso un canale formale con vaglio del collegio. Il cantiere ascolta tutti e affida con le regole: la porta è aperta, la soglia è alta.</w:t>
      </w:r>
    </w:p>
    <w:p>
      <w:pPr>
        <w:spacing w:after="120" w:line="276"/>
        <w:jc w:val="both"/>
      </w:pPr>
      <w:r>
        <w:rPr>
          <w:rFonts w:ascii="Barlow Semi Condensed" w:cs="Barlow Semi Condensed" w:eastAsia="Barlow Semi Condensed" w:hAnsi="Barlow Semi Condensed"/>
          <w:b/>
          <w:bCs/>
          <w:sz w:val="24"/>
          <w:szCs w:val="24"/>
        </w:rPr>
        <w:t xml:space="preserve">761 · I quesiti scientifici aperti, pubblicati.</w:t>
      </w:r>
      <w:r>
        <w:rPr>
          <w:rFonts w:ascii="Barlow Semi Condensed" w:cs="Barlow Semi Condensed" w:eastAsia="Barlow Semi Condensed" w:hAnsi="Barlow Semi Condensed"/>
          <w:sz w:val="24"/>
          <w:szCs w:val="24"/>
        </w:rPr>
        <w:t xml:space="preserve"> La trasparenza dei bisogni: la lista pubblica dei quesiti tecnici aperti del caso — perché laboratori e ricercatori sappiano dove servono. La domanda pubblicata attira l'offerta giusta: è mercato della conoscenza, ben regolato.</w:t>
      </w:r>
    </w:p>
    <w:p>
      <w:pPr>
        <w:spacing w:after="120" w:line="276"/>
        <w:jc w:val="both"/>
      </w:pPr>
      <w:r>
        <w:rPr>
          <w:rFonts w:ascii="Barlow Semi Condensed" w:cs="Barlow Semi Condensed" w:eastAsia="Barlow Semi Condensed" w:hAnsi="Barlow Semi Condensed"/>
          <w:b/>
          <w:bCs/>
          <w:sz w:val="24"/>
          <w:szCs w:val="24"/>
        </w:rPr>
        <w:t xml:space="preserve">762 · Le tesi di laurea sul caso tecnico.</w:t>
      </w:r>
      <w:r>
        <w:rPr>
          <w:rFonts w:ascii="Barlow Semi Condensed" w:cs="Barlow Semi Condensed" w:eastAsia="Barlow Semi Condensed" w:hAnsi="Barlow Semi Condensed"/>
          <w:sz w:val="24"/>
          <w:szCs w:val="24"/>
        </w:rPr>
        <w:t xml:space="preserve"> Il vivaio: i quesiti minori affidati a tesi e dottorati (con dati pubblici e supervisione) — il raccordo col blocco 315. Ogni tesi ben fatta è un mattone gratuito del cantiere: l'università è un alleato strutturale.</w:t>
      </w:r>
    </w:p>
    <w:p>
      <w:pPr>
        <w:spacing w:after="120" w:line="276"/>
        <w:jc w:val="both"/>
      </w:pPr>
      <w:r>
        <w:rPr>
          <w:rFonts w:ascii="Barlow Semi Condensed" w:cs="Barlow Semi Condensed" w:eastAsia="Barlow Semi Condensed" w:hAnsi="Barlow Semi Condensed"/>
          <w:b/>
          <w:bCs/>
          <w:sz w:val="24"/>
          <w:szCs w:val="24"/>
        </w:rPr>
        <w:t xml:space="preserve">763 · La biblioteca tecnica del caso.</w:t>
      </w:r>
      <w:r>
        <w:rPr>
          <w:rFonts w:ascii="Barlow Semi Condensed" w:cs="Barlow Semi Condensed" w:eastAsia="Barlow Semi Condensed" w:hAnsi="Barlow Semi Condensed"/>
          <w:sz w:val="24"/>
          <w:szCs w:val="24"/>
        </w:rPr>
        <w:t xml:space="preserve"> Lo strumento documentale: la bibliografia scientifica integrale del caso (ogni articolo, perizia pubblicata, atto tecnico) indicizzata e mantenuta. La scienza del caso ha una letteratura sparsa: la biblioteca la riunisce — ed è essa stessa un prodotto citabile.</w:t>
      </w:r>
    </w:p>
    <w:p>
      <w:pPr>
        <w:spacing w:after="120" w:line="276"/>
        <w:jc w:val="both"/>
      </w:pPr>
      <w:r>
        <w:rPr>
          <w:rFonts w:ascii="Barlow Semi Condensed" w:cs="Barlow Semi Condensed" w:eastAsia="Barlow Semi Condensed" w:hAnsi="Barlow Semi Condensed"/>
          <w:b/>
          <w:bCs/>
          <w:sz w:val="24"/>
          <w:szCs w:val="24"/>
        </w:rPr>
        <w:t xml:space="preserve">764 · La sintesi delle frontiere.</w:t>
      </w:r>
      <w:r>
        <w:rPr>
          <w:rFonts w:ascii="Barlow Semi Condensed" w:cs="Barlow Semi Condensed" w:eastAsia="Barlow Semi Condensed" w:hAnsi="Barlow Semi Condensed"/>
          <w:sz w:val="24"/>
          <w:szCs w:val="24"/>
        </w:rPr>
        <w:t xml:space="preserve"> Il prodotto della sezione: la relazione sull'orizzonte — le tecniche mature, le promettenti, le escluse — aggiornata annualmente col parere del collegio. Il futuro tecnico del caso, governato: né rincorsa delle mode né immobilismo.</w:t>
      </w:r>
    </w:p>
    <w:p>
      <w:pPr>
        <w:spacing w:after="120" w:line="276"/>
        <w:jc w:val="both"/>
      </w:pPr>
      <w:r>
        <w:rPr>
          <w:rFonts w:ascii="Barlow Semi Condensed" w:cs="Barlow Semi Condensed" w:eastAsia="Barlow Semi Condensed" w:hAnsi="Barlow Semi Condensed"/>
          <w:b/>
          <w:bCs/>
          <w:sz w:val="24"/>
          <w:szCs w:val="24"/>
        </w:rPr>
        <w:t xml:space="preserve">765 · La tavola delle scienze emergenti.</w:t>
      </w:r>
      <w:r>
        <w:rPr>
          <w:rFonts w:ascii="Barlow Semi Condensed" w:cs="Barlow Semi Condensed" w:eastAsia="Barlow Semi Condensed" w:hAnsi="Barlow Semi Condensed"/>
          <w:sz w:val="24"/>
          <w:szCs w:val="24"/>
        </w:rPr>
        <w:t xml:space="preserve"> La chiusura della sezione: i pareri resi, l'orizzonte sorvegliato, il perimetro negativo pubblicato. Le scienze di domani hanno il loro posto apparecchiato — e le loro regole già scritte.</w:t>
      </w:r>
    </w:p>
    <w:p>
      <w:pPr>
        <w:pStyle w:val="Heading3"/>
        <w:spacing w:after="80" w:before="160"/>
      </w:pPr>
      <w:r>
        <w:rPr>
          <w:rFonts w:ascii="Barlow Semi Condensed" w:cs="Barlow Semi Condensed" w:eastAsia="Barlow Semi Condensed" w:hAnsi="Barlow Semi Condensed"/>
          <w:sz w:val="24"/>
          <w:szCs w:val="24"/>
        </w:rPr>
        <w:t xml:space="preserve">Il ponte scienza-giustizia-storia (blocchi 766-790)</w:t>
      </w:r>
    </w:p>
    <w:p>
      <w:pPr>
        <w:spacing w:after="120" w:line="276"/>
        <w:jc w:val="both"/>
      </w:pPr>
      <w:r>
        <w:rPr>
          <w:rFonts w:ascii="Barlow Semi Condensed" w:cs="Barlow Semi Condensed" w:eastAsia="Barlow Semi Condensed" w:hAnsi="Barlow Semi Condensed"/>
          <w:b/>
          <w:bCs/>
          <w:sz w:val="24"/>
          <w:szCs w:val="24"/>
        </w:rPr>
        <w:t xml:space="preserve">766 · I tre tavoli.</w:t>
      </w:r>
      <w:r>
        <w:rPr>
          <w:rFonts w:ascii="Barlow Semi Condensed" w:cs="Barlow Semi Condensed" w:eastAsia="Barlow Semi Condensed" w:hAnsi="Barlow Semi Condensed"/>
          <w:sz w:val="24"/>
          <w:szCs w:val="24"/>
        </w:rPr>
        <w:t xml:space="preserve"> Il quadro della sezione: gli esiti scientifici del caso vivono su tre tavoli — quello giudiziario (dove decide il giudice), quello storico (dove decide il documento), quello pubblico (dove decide la qualità della comunicazione). La sezione governa i passaggi fra i tre: ogni esito sa a quale tavolo siede e con quali regole.</w:t>
      </w:r>
    </w:p>
    <w:p>
      <w:pPr>
        <w:spacing w:after="120" w:line="276"/>
        <w:jc w:val="both"/>
      </w:pPr>
      <w:r>
        <w:rPr>
          <w:rFonts w:ascii="Barlow Semi Condensed" w:cs="Barlow Semi Condensed" w:eastAsia="Barlow Semi Condensed" w:hAnsi="Barlow Semi Condensed"/>
          <w:b/>
          <w:bCs/>
          <w:sz w:val="24"/>
          <w:szCs w:val="24"/>
        </w:rPr>
        <w:t xml:space="preserve">767 · Il primato del fascicolo.</w:t>
      </w:r>
      <w:r>
        <w:rPr>
          <w:rFonts w:ascii="Barlow Semi Condensed" w:cs="Barlow Semi Condensed" w:eastAsia="Barlow Semi Condensed" w:hAnsi="Barlow Semi Condensed"/>
          <w:sz w:val="24"/>
          <w:szCs w:val="24"/>
        </w:rPr>
        <w:t xml:space="preserve"> La regola del primo tavolo (il blocco 291 dell'agenda, elevato a principio): ogni esito con rilievo penale va all'autorità prima d'ogni uso; il cantiere non pubblica ciò che può inquinare. La conoscenza aspetta la giustizia: è l'ordine giusto, ed è scritto.</w:t>
      </w:r>
    </w:p>
    <w:p>
      <w:pPr>
        <w:spacing w:after="120" w:line="276"/>
        <w:jc w:val="both"/>
      </w:pPr>
      <w:r>
        <w:rPr>
          <w:rFonts w:ascii="Barlow Semi Condensed" w:cs="Barlow Semi Condensed" w:eastAsia="Barlow Semi Condensed" w:hAnsi="Barlow Semi Condensed"/>
          <w:b/>
          <w:bCs/>
          <w:sz w:val="24"/>
          <w:szCs w:val="24"/>
        </w:rPr>
        <w:t xml:space="preserve">768 · Lo storico e il perito.</w:t>
      </w:r>
      <w:r>
        <w:rPr>
          <w:rFonts w:ascii="Barlow Semi Condensed" w:cs="Barlow Semi Condensed" w:eastAsia="Barlow Semi Condensed" w:hAnsi="Barlow Semi Condensed"/>
          <w:sz w:val="24"/>
          <w:szCs w:val="24"/>
        </w:rPr>
        <w:t xml:space="preserve"> La regola del secondo tavolo: gli esiti scientifici entrano nel corpus storico coi gradi — un match è B da atto, una compatibilità è C, un'esclusione documentata è un fatto. La scienza non ha corsie preferenziali nella disciplina: si pesa come ogni fonte, col suo statuto.</w:t>
      </w:r>
    </w:p>
    <w:p>
      <w:pPr>
        <w:spacing w:after="120" w:line="276"/>
        <w:jc w:val="both"/>
      </w:pPr>
      <w:r>
        <w:rPr>
          <w:rFonts w:ascii="Barlow Semi Condensed" w:cs="Barlow Semi Condensed" w:eastAsia="Barlow Semi Condensed" w:hAnsi="Barlow Semi Condensed"/>
          <w:b/>
          <w:bCs/>
          <w:sz w:val="24"/>
          <w:szCs w:val="24"/>
        </w:rPr>
        <w:t xml:space="preserve">769 · Il pubblico e i numeri.</w:t>
      </w:r>
      <w:r>
        <w:rPr>
          <w:rFonts w:ascii="Barlow Semi Condensed" w:cs="Barlow Semi Condensed" w:eastAsia="Barlow Semi Condensed" w:hAnsi="Barlow Semi Condensed"/>
          <w:sz w:val="24"/>
          <w:szCs w:val="24"/>
        </w:rPr>
        <w:t xml:space="preserve"> La regola del terzo tavolo: la comunicazione degli esiti con le formulazioni probabilistiche corrette (il prontuario del blocco 732) e i limiti sempre detti. Il pubblico merita la scienza vera, non la sua caricatura entusiasta: la qualità della divulgazione è parte del metodo.</w:t>
      </w:r>
    </w:p>
    <w:p>
      <w:pPr>
        <w:spacing w:after="120" w:line="276"/>
        <w:jc w:val="both"/>
      </w:pPr>
      <w:r>
        <w:rPr>
          <w:rFonts w:ascii="Barlow Semi Condensed" w:cs="Barlow Semi Condensed" w:eastAsia="Barlow Semi Condensed" w:hAnsi="Barlow Semi Condensed"/>
          <w:b/>
          <w:bCs/>
          <w:sz w:val="24"/>
          <w:szCs w:val="24"/>
        </w:rPr>
        <w:t xml:space="preserve">770 · Il tempo dei tre tavoli.</w:t>
      </w:r>
      <w:r>
        <w:rPr>
          <w:rFonts w:ascii="Barlow Semi Condensed" w:cs="Barlow Semi Condensed" w:eastAsia="Barlow Semi Condensed" w:hAnsi="Barlow Semi Condensed"/>
          <w:sz w:val="24"/>
          <w:szCs w:val="24"/>
        </w:rPr>
        <w:t xml:space="preserve"> La sincronizzazione: i tempi giudiziari, storici e pubblici non coincidono — la regola di precedenza (giustizia, poi storia, poi comunicazione) con le eccezioni scritte (gli atti già pubblici). Il cantiere non corre mai più veloce del tavolo più lento che ha diritto di precedenza.</w:t>
      </w:r>
    </w:p>
    <w:p>
      <w:pPr>
        <w:spacing w:after="120" w:line="276"/>
        <w:jc w:val="both"/>
      </w:pPr>
      <w:r>
        <w:rPr>
          <w:rFonts w:ascii="Barlow Semi Condensed" w:cs="Barlow Semi Condensed" w:eastAsia="Barlow Semi Condensed" w:hAnsi="Barlow Semi Condensed"/>
          <w:b/>
          <w:bCs/>
          <w:sz w:val="24"/>
          <w:szCs w:val="24"/>
        </w:rPr>
        <w:t xml:space="preserve">771 · L'errore scientifico, ammesso.</w:t>
      </w:r>
      <w:r>
        <w:rPr>
          <w:rFonts w:ascii="Barlow Semi Condensed" w:cs="Barlow Semi Condensed" w:eastAsia="Barlow Semi Condensed" w:hAnsi="Barlow Semi Condensed"/>
          <w:sz w:val="24"/>
          <w:szCs w:val="24"/>
        </w:rPr>
        <w:t xml:space="preserve"> La procedura dell'errore: quando un esito del cantiere si rivela errato — la correzione per nota, la comunicazione della correzione con la stessa evidenza dell'annuncio, il registro dei quasi-errori (il manuale, serie tredicesima). La scienza si distingue non perché non sbaglia, ma per come corregge: il caso merita questa distinzione.</w:t>
      </w:r>
    </w:p>
    <w:p>
      <w:pPr>
        <w:spacing w:after="120" w:line="276"/>
        <w:jc w:val="both"/>
      </w:pPr>
      <w:r>
        <w:rPr>
          <w:rFonts w:ascii="Barlow Semi Condensed" w:cs="Barlow Semi Condensed" w:eastAsia="Barlow Semi Condensed" w:hAnsi="Barlow Semi Condensed"/>
          <w:b/>
          <w:bCs/>
          <w:sz w:val="24"/>
          <w:szCs w:val="24"/>
        </w:rPr>
        <w:t xml:space="preserve">772 · Le aspettative delle famiglie.</w:t>
      </w:r>
      <w:r>
        <w:rPr>
          <w:rFonts w:ascii="Barlow Semi Condensed" w:cs="Barlow Semi Condensed" w:eastAsia="Barlow Semi Condensed" w:hAnsi="Barlow Semi Condensed"/>
          <w:sz w:val="24"/>
          <w:szCs w:val="24"/>
        </w:rPr>
        <w:t xml:space="preserve"> La regola più delicata: la comunicazione con le famiglie delle vittime sugli esami e sugli esiti — prima del pubblico, con verità e misura, senza alimentare attese che la casistica non autorizza. La scienza del caso lavora davanti a un dolore reale: lo sa a ogni provetta.</w:t>
      </w:r>
    </w:p>
    <w:p>
      <w:pPr>
        <w:spacing w:after="120" w:line="276"/>
        <w:jc w:val="both"/>
      </w:pPr>
      <w:r>
        <w:rPr>
          <w:rFonts w:ascii="Barlow Semi Condensed" w:cs="Barlow Semi Condensed" w:eastAsia="Barlow Semi Condensed" w:hAnsi="Barlow Semi Condensed"/>
          <w:b/>
          <w:bCs/>
          <w:sz w:val="24"/>
          <w:szCs w:val="24"/>
        </w:rPr>
        <w:t xml:space="preserve">773 · Il diritto di critica organizzato.</w:t>
      </w:r>
      <w:r>
        <w:rPr>
          <w:rFonts w:ascii="Barlow Semi Condensed" w:cs="Barlow Semi Condensed" w:eastAsia="Barlow Semi Condensed" w:hAnsi="Barlow Semi Condensed"/>
          <w:sz w:val="24"/>
          <w:szCs w:val="24"/>
        </w:rPr>
        <w:t xml:space="preserve"> L'apertura strutturale: ogni esito tecnico esposto alla critica qualificata (i dati aperti, le seconde opinioni, la contro-agenda) — con un canale formale per le contestazioni e risposte pubbliche. La critica non si subisce: si organizza — è il contraddittorio permanente della parte.</w:t>
      </w:r>
    </w:p>
    <w:p>
      <w:pPr>
        <w:spacing w:after="120" w:line="276"/>
        <w:jc w:val="both"/>
      </w:pPr>
      <w:r>
        <w:rPr>
          <w:rFonts w:ascii="Barlow Semi Condensed" w:cs="Barlow Semi Condensed" w:eastAsia="Barlow Semi Condensed" w:hAnsi="Barlow Semi Condensed"/>
          <w:b/>
          <w:bCs/>
          <w:sz w:val="24"/>
          <w:szCs w:val="24"/>
        </w:rPr>
        <w:t xml:space="preserve">774 · La scienza negli anniversari.</w:t>
      </w:r>
      <w:r>
        <w:rPr>
          <w:rFonts w:ascii="Barlow Semi Condensed" w:cs="Barlow Semi Condensed" w:eastAsia="Barlow Semi Condensed" w:hAnsi="Barlow Semi Condensed"/>
          <w:sz w:val="24"/>
          <w:szCs w:val="24"/>
        </w:rPr>
        <w:t xml:space="preserve"> La regola di calendario: gli anniversari non dettano i tempi della scienza — nessun esito «per il cinquantenario», nessuna scadenza commemorativa sugli esami. Il 2028 verrà: troverà il cantiere al suo passo, non il cantiere in affanno per lui.</w:t>
      </w:r>
    </w:p>
    <w:p>
      <w:pPr>
        <w:spacing w:after="120" w:line="276"/>
        <w:jc w:val="both"/>
      </w:pPr>
      <w:r>
        <w:rPr>
          <w:rFonts w:ascii="Barlow Semi Condensed" w:cs="Barlow Semi Condensed" w:eastAsia="Barlow Semi Condensed" w:hAnsi="Barlow Semi Condensed"/>
          <w:b/>
          <w:bCs/>
          <w:sz w:val="24"/>
          <w:szCs w:val="24"/>
        </w:rPr>
        <w:t xml:space="preserve">775 · Il glossario pubblico.</w:t>
      </w:r>
      <w:r>
        <w:rPr>
          <w:rFonts w:ascii="Barlow Semi Condensed" w:cs="Barlow Semi Condensed" w:eastAsia="Barlow Semi Condensed" w:hAnsi="Barlow Semi Condensed"/>
          <w:sz w:val="24"/>
          <w:szCs w:val="24"/>
        </w:rPr>
        <w:t xml:space="preserve"> Lo strumento di traduzione: il glossario delle scienze del caso per non tecnici — i termini, le tecniche, i limiti, in lingua piana. Il dibattito pubblico sul caso usa parole tecniche a sproposito da decenni: il glossario è la bonifica lessicale.</w:t>
      </w:r>
    </w:p>
    <w:p>
      <w:pPr>
        <w:spacing w:after="120" w:line="276"/>
        <w:jc w:val="both"/>
      </w:pPr>
      <w:r>
        <w:rPr>
          <w:rFonts w:ascii="Barlow Semi Condensed" w:cs="Barlow Semi Condensed" w:eastAsia="Barlow Semi Condensed" w:hAnsi="Barlow Semi Condensed"/>
          <w:b/>
          <w:bCs/>
          <w:sz w:val="24"/>
          <w:szCs w:val="24"/>
        </w:rPr>
        <w:t xml:space="preserve">776 · Le scuole e la scienza del caso.</w:t>
      </w:r>
      <w:r>
        <w:rPr>
          <w:rFonts w:ascii="Barlow Semi Condensed" w:cs="Barlow Semi Condensed" w:eastAsia="Barlow Semi Condensed" w:hAnsi="Barlow Semi Condensed"/>
          <w:sz w:val="24"/>
          <w:szCs w:val="24"/>
        </w:rPr>
        <w:t xml:space="preserve"> La didattica: i materiali della parte in versione scolastica — come si interroga un reperto, perché l'assolto resta assolto anche col DNA, che cosa può e non può dire un laboratorio. L'educazione scientifica incontra l'educazione civica: il caso le può insegnare insieme.</w:t>
      </w:r>
    </w:p>
    <w:p>
      <w:pPr>
        <w:spacing w:after="120" w:line="276"/>
        <w:jc w:val="both"/>
      </w:pPr>
      <w:r>
        <w:rPr>
          <w:rFonts w:ascii="Barlow Semi Condensed" w:cs="Barlow Semi Condensed" w:eastAsia="Barlow Semi Condensed" w:hAnsi="Barlow Semi Condensed"/>
          <w:b/>
          <w:bCs/>
          <w:sz w:val="24"/>
          <w:szCs w:val="24"/>
        </w:rPr>
        <w:t xml:space="preserve">777 · Il museo della scienza del caso.</w:t>
      </w:r>
      <w:r>
        <w:rPr>
          <w:rFonts w:ascii="Barlow Semi Condensed" w:cs="Barlow Semi Condensed" w:eastAsia="Barlow Semi Condensed" w:hAnsi="Barlow Semi Condensed"/>
          <w:sz w:val="24"/>
          <w:szCs w:val="24"/>
        </w:rPr>
        <w:t xml:space="preserve"> Il progetto espositivo tecnico: la storia peritale del caso (gli strumenti d'epoca, le tre stagioni balistiche, la genetica) come percorso museale documentato — con l'etica del blocco 600. La scienza del caso ha una storia che merita d'essere vista: raccontarla è restituzione.</w:t>
      </w:r>
    </w:p>
    <w:p>
      <w:pPr>
        <w:spacing w:after="120" w:line="276"/>
        <w:jc w:val="both"/>
      </w:pPr>
      <w:r>
        <w:rPr>
          <w:rFonts w:ascii="Barlow Semi Condensed" w:cs="Barlow Semi Condensed" w:eastAsia="Barlow Semi Condensed" w:hAnsi="Barlow Semi Condensed"/>
          <w:b/>
          <w:bCs/>
          <w:sz w:val="24"/>
          <w:szCs w:val="24"/>
        </w:rPr>
        <w:t xml:space="preserve">778 · La memoria dei periti.</w:t>
      </w:r>
      <w:r>
        <w:rPr>
          <w:rFonts w:ascii="Barlow Semi Condensed" w:cs="Barlow Semi Condensed" w:eastAsia="Barlow Semi Condensed" w:hAnsi="Barlow Semi Condensed"/>
          <w:sz w:val="24"/>
          <w:szCs w:val="24"/>
        </w:rPr>
        <w:t xml:space="preserve"> L'archivio umano della scienza del caso: le interviste conservative ai protagonisti tecnici (il blocco 710, esteso) e il deposito delle loro carte (il blocco 290 della Parte terza). La scienza del caso ha i suoi testimoni: si raccolgono con la stessa urgenza degli altri.</w:t>
      </w:r>
    </w:p>
    <w:p>
      <w:pPr>
        <w:spacing w:after="120" w:line="276"/>
        <w:jc w:val="both"/>
      </w:pPr>
      <w:r>
        <w:rPr>
          <w:rFonts w:ascii="Barlow Semi Condensed" w:cs="Barlow Semi Condensed" w:eastAsia="Barlow Semi Condensed" w:hAnsi="Barlow Semi Condensed"/>
          <w:b/>
          <w:bCs/>
          <w:sz w:val="24"/>
          <w:szCs w:val="24"/>
        </w:rPr>
        <w:t xml:space="preserve">779 · Il codice etico della parte.</w:t>
      </w:r>
      <w:r>
        <w:rPr>
          <w:rFonts w:ascii="Barlow Semi Condensed" w:cs="Barlow Semi Condensed" w:eastAsia="Barlow Semi Condensed" w:hAnsi="Barlow Semi Condensed"/>
          <w:sz w:val="24"/>
          <w:szCs w:val="24"/>
        </w:rPr>
        <w:t xml:space="preserve"> La sintesi deontologica: il codice etico delle scienze del caso — il rispetto (vittime, viventi, defunti), la trasparenza (metodi, errori, costi), il limite (ciò che non si fa) — sottoscritto da ogni collaboratore tecnico. Un foglio, dieci regole, nessuna eccezione.</w:t>
      </w:r>
    </w:p>
    <w:p>
      <w:pPr>
        <w:spacing w:after="120" w:line="276"/>
        <w:jc w:val="both"/>
      </w:pPr>
      <w:r>
        <w:rPr>
          <w:rFonts w:ascii="Barlow Semi Condensed" w:cs="Barlow Semi Condensed" w:eastAsia="Barlow Semi Condensed" w:hAnsi="Barlow Semi Condensed"/>
          <w:b/>
          <w:bCs/>
          <w:sz w:val="24"/>
          <w:szCs w:val="24"/>
        </w:rPr>
        <w:t xml:space="preserve">780 · Il rapporto con la stampa scientifica.</w:t>
      </w:r>
      <w:r>
        <w:rPr>
          <w:rFonts w:ascii="Barlow Semi Condensed" w:cs="Barlow Semi Condensed" w:eastAsia="Barlow Semi Condensed" w:hAnsi="Barlow Semi Condensed"/>
          <w:sz w:val="24"/>
          <w:szCs w:val="24"/>
        </w:rPr>
        <w:t xml:space="preserve"> Il canale dedicato: i rapporti con il giornalismo scientifico di qualità — briefing tecnici, accesso ai dati aperti, correzioni rapide degli errori di stampa. Il giornalismo scientifico è un alleato della precisione: il cantiere lo tratta da tale.</w:t>
      </w:r>
    </w:p>
    <w:p>
      <w:pPr>
        <w:spacing w:after="120" w:line="276"/>
        <w:jc w:val="both"/>
      </w:pPr>
      <w:r>
        <w:rPr>
          <w:rFonts w:ascii="Barlow Semi Condensed" w:cs="Barlow Semi Condensed" w:eastAsia="Barlow Semi Condensed" w:hAnsi="Barlow Semi Condensed"/>
          <w:b/>
          <w:bCs/>
          <w:sz w:val="24"/>
          <w:szCs w:val="24"/>
        </w:rPr>
        <w:t xml:space="preserve">781 · Le scienze e la contro-agenda.</w:t>
      </w:r>
      <w:r>
        <w:rPr>
          <w:rFonts w:ascii="Barlow Semi Condensed" w:cs="Barlow Semi Condensed" w:eastAsia="Barlow Semi Condensed" w:hAnsi="Barlow Semi Condensed"/>
          <w:sz w:val="24"/>
          <w:szCs w:val="24"/>
        </w:rPr>
        <w:t xml:space="preserve"> L'estensione del blocco 234 dell'agenda: i sostenitori di tesi alternative invitati a formulare bersagli tecnici falsificabili — quale esame, su quale reperto, con quale esito atteso. La scienza è il terreno più onesto per le tesi rivali: o si misurano, o si dichiarano da sole.</w:t>
      </w:r>
    </w:p>
    <w:p>
      <w:pPr>
        <w:spacing w:after="120" w:line="276"/>
        <w:jc w:val="both"/>
      </w:pPr>
      <w:r>
        <w:rPr>
          <w:rFonts w:ascii="Barlow Semi Condensed" w:cs="Barlow Semi Condensed" w:eastAsia="Barlow Semi Condensed" w:hAnsi="Barlow Semi Condensed"/>
          <w:b/>
          <w:bCs/>
          <w:sz w:val="24"/>
          <w:szCs w:val="24"/>
        </w:rPr>
        <w:t xml:space="preserve">782 · Il registro delle promesse.</w:t>
      </w:r>
      <w:r>
        <w:rPr>
          <w:rFonts w:ascii="Barlow Semi Condensed" w:cs="Barlow Semi Condensed" w:eastAsia="Barlow Semi Condensed" w:hAnsi="Barlow Semi Condensed"/>
          <w:sz w:val="24"/>
          <w:szCs w:val="24"/>
        </w:rPr>
        <w:t xml:space="preserve"> La contabilità dell'onestà: ogni previsione pubblica del cantiere tecnico (tempi, probabilità di esito) registrata e verificata a consuntivo. Il cantiere si misura anche sulle sue promesse: è la forma scientifica della credibilità.</w:t>
      </w:r>
    </w:p>
    <w:p>
      <w:pPr>
        <w:spacing w:after="120" w:line="276"/>
        <w:jc w:val="both"/>
      </w:pPr>
      <w:r>
        <w:rPr>
          <w:rFonts w:ascii="Barlow Semi Condensed" w:cs="Barlow Semi Condensed" w:eastAsia="Barlow Semi Condensed" w:hAnsi="Barlow Semi Condensed"/>
          <w:b/>
          <w:bCs/>
          <w:sz w:val="24"/>
          <w:szCs w:val="24"/>
        </w:rPr>
        <w:t xml:space="preserve">783 · La ridondanza dei dati tecnici.</w:t>
      </w:r>
      <w:r>
        <w:rPr>
          <w:rFonts w:ascii="Barlow Semi Condensed" w:cs="Barlow Semi Condensed" w:eastAsia="Barlow Semi Condensed" w:hAnsi="Barlow Semi Condensed"/>
          <w:sz w:val="24"/>
          <w:szCs w:val="24"/>
        </w:rPr>
        <w:t xml:space="preserve"> La conservazione degli esiti: ogni dato tecnico del caso in copie ridondanti e formati aperti, con migrazione programmata (il raccordo col blocco 656). I dati della scienza del caso non devono poter morire con un disco: è la regola del sensibile, estesa ai numeri.</w:t>
      </w:r>
    </w:p>
    <w:p>
      <w:pPr>
        <w:spacing w:after="120" w:line="276"/>
        <w:jc w:val="both"/>
      </w:pPr>
      <w:r>
        <w:rPr>
          <w:rFonts w:ascii="Barlow Semi Condensed" w:cs="Barlow Semi Condensed" w:eastAsia="Barlow Semi Condensed" w:hAnsi="Barlow Semi Condensed"/>
          <w:b/>
          <w:bCs/>
          <w:sz w:val="24"/>
          <w:szCs w:val="24"/>
        </w:rPr>
        <w:t xml:space="preserve">784 · L'interdisciplina come regola.</w:t>
      </w:r>
      <w:r>
        <w:rPr>
          <w:rFonts w:ascii="Barlow Semi Condensed" w:cs="Barlow Semi Condensed" w:eastAsia="Barlow Semi Condensed" w:hAnsi="Barlow Semi Condensed"/>
          <w:sz w:val="24"/>
          <w:szCs w:val="24"/>
        </w:rPr>
        <w:t xml:space="preserve"> Il metodo trasversale: ogni quesito tecnico maggiore trattato da almeno due discipline (la balistica con la geometria, la genetica con la statistica, la chimica con la storia dei materiali). Le discipline sole si innamorano dei propri strumenti: in coppia, si sorvegliano.</w:t>
      </w:r>
    </w:p>
    <w:p>
      <w:pPr>
        <w:spacing w:after="120" w:line="276"/>
        <w:jc w:val="both"/>
      </w:pPr>
      <w:r>
        <w:rPr>
          <w:rFonts w:ascii="Barlow Semi Condensed" w:cs="Barlow Semi Condensed" w:eastAsia="Barlow Semi Condensed" w:hAnsi="Barlow Semi Condensed"/>
          <w:b/>
          <w:bCs/>
          <w:sz w:val="24"/>
          <w:szCs w:val="24"/>
        </w:rPr>
        <w:t xml:space="preserve">785 · Il quesito tecnico ben posto.</w:t>
      </w:r>
      <w:r>
        <w:rPr>
          <w:rFonts w:ascii="Barlow Semi Condensed" w:cs="Barlow Semi Condensed" w:eastAsia="Barlow Semi Condensed" w:hAnsi="Barlow Semi Condensed"/>
          <w:sz w:val="24"/>
          <w:szCs w:val="24"/>
        </w:rPr>
        <w:t xml:space="preserve"> L'arte finale: la formulazione dei quesiti agli esperti — specifici, falsificabili, senza risposta suggerita (la lezione delle guerre peritali, blocco 733). Metà degli errori forensi della storia del caso nacque da quesiti mal posti: il cantiere li scrive come si scrivono i teoremi.</w:t>
      </w:r>
    </w:p>
    <w:p>
      <w:pPr>
        <w:spacing w:after="120" w:line="276"/>
        <w:jc w:val="both"/>
      </w:pPr>
      <w:r>
        <w:rPr>
          <w:rFonts w:ascii="Barlow Semi Condensed" w:cs="Barlow Semi Condensed" w:eastAsia="Barlow Semi Condensed" w:hAnsi="Barlow Semi Condensed"/>
          <w:b/>
          <w:bCs/>
          <w:sz w:val="24"/>
          <w:szCs w:val="24"/>
        </w:rPr>
        <w:t xml:space="preserve">786 · La scienza che chiude.</w:t>
      </w:r>
      <w:r>
        <w:rPr>
          <w:rFonts w:ascii="Barlow Semi Condensed" w:cs="Barlow Semi Condensed" w:eastAsia="Barlow Semi Condensed" w:hAnsi="Barlow Semi Condensed"/>
          <w:sz w:val="24"/>
          <w:szCs w:val="24"/>
        </w:rPr>
        <w:t xml:space="preserve"> Il criterio di chiusura tecnica: quando un quesito scientifico del caso si dice chiuso — l'esito replicato, il contraddittorio esaurito, il registro aggiornato. Anche la scienza ha i suoi stati terminali: dichiararli è ciò che distingue un cantiere da un dibattito infinito.</w:t>
      </w:r>
    </w:p>
    <w:p>
      <w:pPr>
        <w:spacing w:after="120" w:line="276"/>
        <w:jc w:val="both"/>
      </w:pPr>
      <w:r>
        <w:rPr>
          <w:rFonts w:ascii="Barlow Semi Condensed" w:cs="Barlow Semi Condensed" w:eastAsia="Barlow Semi Condensed" w:hAnsi="Barlow Semi Condensed"/>
          <w:b/>
          <w:bCs/>
          <w:sz w:val="24"/>
          <w:szCs w:val="24"/>
        </w:rPr>
        <w:t xml:space="preserve">787 · I vuoti della scienza.</w:t>
      </w:r>
      <w:r>
        <w:rPr>
          <w:rFonts w:ascii="Barlow Semi Condensed" w:cs="Barlow Semi Condensed" w:eastAsia="Barlow Semi Condensed" w:hAnsi="Barlow Semi Condensed"/>
          <w:sz w:val="24"/>
          <w:szCs w:val="24"/>
        </w:rPr>
        <w:t xml:space="preserve"> Il verbale dei vuoti della parte: gli esami impossibili (reperti distrutti, tecniche inesistenti), i quesiti tecnicamente indecidibili — lo Stato Zero scientifico, dichiarato. La scienza del caso sa dire «non si può sapere»: è la sua frase più professionale.</w:t>
      </w:r>
    </w:p>
    <w:p>
      <w:pPr>
        <w:spacing w:after="120" w:line="276"/>
        <w:jc w:val="both"/>
      </w:pPr>
      <w:r>
        <w:rPr>
          <w:rFonts w:ascii="Barlow Semi Condensed" w:cs="Barlow Semi Condensed" w:eastAsia="Barlow Semi Condensed" w:hAnsi="Barlow Semi Condensed"/>
          <w:b/>
          <w:bCs/>
          <w:sz w:val="24"/>
          <w:szCs w:val="24"/>
        </w:rPr>
        <w:t xml:space="preserve">788 · La sintesi della parte.</w:t>
      </w:r>
      <w:r>
        <w:rPr>
          <w:rFonts w:ascii="Barlow Semi Condensed" w:cs="Barlow Semi Condensed" w:eastAsia="Barlow Semi Condensed" w:hAnsi="Barlow Semi Condensed"/>
          <w:sz w:val="24"/>
          <w:szCs w:val="24"/>
        </w:rPr>
        <w:t xml:space="preserve"> Il prodotto d'insieme: lo stato dell'arte scientifico del caso — il diritto, i laboratori, i precedenti, le frontiere, i tre tavoli — in relazione pubblica annuale. La scienza del caso, governata come un'istituzione: era la promessa dello statuto, ed è la consegna.</w:t>
      </w:r>
    </w:p>
    <w:p>
      <w:pPr>
        <w:spacing w:after="120" w:line="276"/>
        <w:jc w:val="both"/>
      </w:pPr>
      <w:r>
        <w:rPr>
          <w:rFonts w:ascii="Barlow Semi Condensed" w:cs="Barlow Semi Condensed" w:eastAsia="Barlow Semi Condensed" w:hAnsi="Barlow Semi Condensed"/>
          <w:b/>
          <w:bCs/>
          <w:sz w:val="24"/>
          <w:szCs w:val="24"/>
        </w:rPr>
        <w:t xml:space="preserve">789 · Il lascito scientifico.</w:t>
      </w:r>
      <w:r>
        <w:rPr>
          <w:rFonts w:ascii="Barlow Semi Condensed" w:cs="Barlow Semi Condensed" w:eastAsia="Barlow Semi Condensed" w:hAnsi="Barlow Semi Condensed"/>
          <w:sz w:val="24"/>
          <w:szCs w:val="24"/>
        </w:rPr>
        <w:t xml:space="preserve"> L'eredità della parte: i protocolli, i registri, il capitolato e il codice etico versati come modello per i cold case italiani (il blocco 737, eseguito). Il caso restituisce al sistema ciò che il sistema gli ha prestato: è il patto della parte con la Repubblica.</w:t>
      </w:r>
    </w:p>
    <w:p>
      <w:pPr>
        <w:spacing w:after="120" w:line="276"/>
        <w:jc w:val="both"/>
      </w:pPr>
      <w:r>
        <w:rPr>
          <w:rFonts w:ascii="Barlow Semi Condensed" w:cs="Barlow Semi Condensed" w:eastAsia="Barlow Semi Condensed" w:hAnsi="Barlow Semi Condensed"/>
          <w:b/>
          <w:bCs/>
          <w:sz w:val="24"/>
          <w:szCs w:val="24"/>
        </w:rPr>
        <w:t xml:space="preserve">790 · La tavola settima.</w:t>
      </w:r>
      <w:r>
        <w:rPr>
          <w:rFonts w:ascii="Barlow Semi Condensed" w:cs="Barlow Semi Condensed" w:eastAsia="Barlow Semi Condensed" w:hAnsi="Barlow Semi Condensed"/>
          <w:sz w:val="24"/>
          <w:szCs w:val="24"/>
        </w:rPr>
        <w:t xml:space="preserve"> La chiusura della parte: gli stati dei bersagli 661-789, i pareri resi, il collegio al lavoro, il fondo attivo. Il settimo cantiere consegna la sua contabilità — e la scienza del caso ha smesso di essere un elenco di speranze: è un'istituzione con le sue regole.</w:t>
      </w:r>
    </w:p>
    <w:p>
      <w:pPr>
        <w:pStyle w:val="Heading2"/>
        <w:spacing w:after="100" w:before="200"/>
      </w:pPr>
      <w:r>
        <w:rPr>
          <w:rFonts w:ascii="Barlow Semi Condensed" w:cs="Barlow Semi Condensed" w:eastAsia="Barlow Semi Condensed" w:hAnsi="Barlow Semi Condensed"/>
          <w:sz w:val="24"/>
          <w:szCs w:val="24"/>
        </w:rPr>
        <w:t xml:space="preserve">Parte ottava — Il registro del giudicato (blocchi 791-880)</w:t>
      </w:r>
    </w:p>
    <w:p>
      <w:pPr>
        <w:spacing w:after="120" w:line="276"/>
        <w:jc w:val="both"/>
      </w:pPr>
      <w:r>
        <w:rPr>
          <w:rFonts w:ascii="Barlow Semi Condensed" w:cs="Barlow Semi Condensed" w:eastAsia="Barlow Semi Condensed" w:hAnsi="Barlow Semi Condensed"/>
          <w:i/>
          <w:iCs/>
          <w:sz w:val="24"/>
          <w:szCs w:val="24"/>
        </w:rPr>
        <w:t xml:space="preserve">Statuto della parte: i nomi, solo dove la legge li ha scritti. Il registro del giudicato è l'unico luogo dell'opera dove le persone compaiono come responsabili — perché ve le hanno iscritte cinque processi definitivi, non una tesi. La parte porta il registro a profondità documentale: per ciascuno dei tredici, la scheda anagrafico-giudiziaria verificata, la parola pubblica censita, i bersagli di ricerca. La campagna di verifica condotta per quest'opera ha fissato gli stati con fonti: cinque sono deceduti (Gallinari, 14 gennaio 2013; Maccari, in carcere, 25 agosto 2001; Balzerani, 3 marzo 2024; Morucci, 1° gennaio 2025; Braghetti, con la notizia data il 6 novembre 2025), sei sono viventi in Italia a pena eseguita o in esecuzione, due sono oltre confine (Casimirri in Nicaragua, mai arrestato; Lojacono in Svizzera, cittadino elvetico). E la regola delle regole resta scolpita: gli assolti restano assolti — il caso Algranati è la pietra di paragone permanente — e nessun nome si aggiunge per suggestione: il registro cresce solo per nuovo giudicato.</w:t>
      </w:r>
    </w:p>
    <w:p>
      <w:pPr>
        <w:pStyle w:val="Heading3"/>
        <w:spacing w:after="80" w:before="160"/>
      </w:pPr>
      <w:r>
        <w:rPr>
          <w:rFonts w:ascii="Barlow Semi Condensed" w:cs="Barlow Semi Condensed" w:eastAsia="Barlow Semi Condensed" w:hAnsi="Barlow Semi Condensed"/>
          <w:sz w:val="24"/>
          <w:szCs w:val="24"/>
        </w:rPr>
        <w:t xml:space="preserve">Il registro come istituzione (blocchi 791-805)</w:t>
      </w:r>
    </w:p>
    <w:p>
      <w:pPr>
        <w:spacing w:after="120" w:line="276"/>
        <w:jc w:val="both"/>
      </w:pPr>
      <w:r>
        <w:rPr>
          <w:rFonts w:ascii="Barlow Semi Condensed" w:cs="Barlow Semi Condensed" w:eastAsia="Barlow Semi Condensed" w:hAnsi="Barlow Semi Condensed"/>
          <w:b/>
          <w:bCs/>
          <w:sz w:val="24"/>
          <w:szCs w:val="24"/>
        </w:rPr>
        <w:t xml:space="preserve">791 · La tavola dei cinque processi.</w:t>
      </w:r>
      <w:r>
        <w:rPr>
          <w:rFonts w:ascii="Barlow Semi Condensed" w:cs="Barlow Semi Condensed" w:eastAsia="Barlow Semi Condensed" w:hAnsi="Barlow Semi Condensed"/>
          <w:sz w:val="24"/>
          <w:szCs w:val="24"/>
        </w:rPr>
        <w:t xml:space="preserve"> Il primo strumento: la tavola dei cinque procedimenti romani (dal Moro-uno al Moro-quinquies) con date, imputati, esiti per grado — costruita dagli atti ora digitalizzati, con le date verificate come ancore (la Cassazione del Moro-quater, 14 maggio 1997; il primo grado del quinquies, 16 luglio 1996). Il pavimento del registro, finalmente in una pagina.</w:t>
      </w:r>
    </w:p>
    <w:p>
      <w:pPr>
        <w:spacing w:after="120" w:line="276"/>
        <w:jc w:val="both"/>
      </w:pPr>
      <w:r>
        <w:rPr>
          <w:rFonts w:ascii="Barlow Semi Condensed" w:cs="Barlow Semi Condensed" w:eastAsia="Barlow Semi Condensed" w:hAnsi="Barlow Semi Condensed"/>
          <w:b/>
          <w:bCs/>
          <w:sz w:val="24"/>
          <w:szCs w:val="24"/>
        </w:rPr>
        <w:t xml:space="preserve">792 · Le motivazioni integrali.</w:t>
      </w:r>
      <w:r>
        <w:rPr>
          <w:rFonts w:ascii="Barlow Semi Condensed" w:cs="Barlow Semi Condensed" w:eastAsia="Barlow Semi Condensed" w:hAnsi="Barlow Semi Condensed"/>
          <w:sz w:val="24"/>
          <w:szCs w:val="24"/>
        </w:rPr>
        <w:t xml:space="preserve"> La biblioteca del giudicato: le motivazioni integrali di ogni grado di ogni processo, raccolte e indicizzate (il raccordo col blocco 38 dell'agenda). Il registro non è un elenco di nomi: è un corpus di motivazioni — e chi cita una condanna senza la sua motivazione cita a metà.</w:t>
      </w:r>
    </w:p>
    <w:p>
      <w:pPr>
        <w:spacing w:after="120" w:line="276"/>
        <w:jc w:val="both"/>
      </w:pPr>
      <w:r>
        <w:rPr>
          <w:rFonts w:ascii="Barlow Semi Condensed" w:cs="Barlow Semi Condensed" w:eastAsia="Barlow Semi Condensed" w:hAnsi="Barlow Semi Condensed"/>
          <w:b/>
          <w:bCs/>
          <w:sz w:val="24"/>
          <w:szCs w:val="24"/>
        </w:rPr>
        <w:t xml:space="preserve">793 · Che cosa il giudicato dice, esattamente.</w:t>
      </w:r>
      <w:r>
        <w:rPr>
          <w:rFonts w:ascii="Barlow Semi Condensed" w:cs="Barlow Semi Condensed" w:eastAsia="Barlow Semi Condensed" w:hAnsi="Barlow Semi Condensed"/>
          <w:sz w:val="24"/>
          <w:szCs w:val="24"/>
        </w:rPr>
        <w:t xml:space="preserve"> La lettura filologica delle condanne: per ciascun condannato, che cosa esattamente i giudici hanno accertato (la condotta, il ruolo, il perimetro) — non la vulgata. La tavola condotta-per-condotta è l'antidoto al più comune degli errori: attribuire a un condannato più (o meno) di ciò che la sua sentenza dice.</w:t>
      </w:r>
    </w:p>
    <w:p>
      <w:pPr>
        <w:spacing w:after="120" w:line="276"/>
        <w:jc w:val="both"/>
      </w:pPr>
      <w:r>
        <w:rPr>
          <w:rFonts w:ascii="Barlow Semi Condensed" w:cs="Barlow Semi Condensed" w:eastAsia="Barlow Semi Condensed" w:hAnsi="Barlow Semi Condensed"/>
          <w:b/>
          <w:bCs/>
          <w:sz w:val="24"/>
          <w:szCs w:val="24"/>
        </w:rPr>
        <w:t xml:space="preserve">794 · I gradi dentro il registro.</w:t>
      </w:r>
      <w:r>
        <w:rPr>
          <w:rFonts w:ascii="Barlow Semi Condensed" w:cs="Barlow Semi Condensed" w:eastAsia="Barlow Semi Condensed" w:hAnsi="Barlow Semi Condensed"/>
          <w:sz w:val="24"/>
          <w:szCs w:val="24"/>
        </w:rPr>
        <w:t xml:space="preserve"> La disciplina interna: dentro ogni scheda, il giudicato è A; le ammissioni dei condannati sono dichiarazioni di parte (F sul fatto che furono rese, C sul contenuto non riscontrato); la memorialistica è memorialistica. Anche nel luogo dei nomi, i gradi non si sciolgono: si rafforzano.</w:t>
      </w:r>
    </w:p>
    <w:p>
      <w:pPr>
        <w:spacing w:after="120" w:line="276"/>
        <w:jc w:val="both"/>
      </w:pPr>
      <w:r>
        <w:rPr>
          <w:rFonts w:ascii="Barlow Semi Condensed" w:cs="Barlow Semi Condensed" w:eastAsia="Barlow Semi Condensed" w:hAnsi="Barlow Semi Condensed"/>
          <w:b/>
          <w:bCs/>
          <w:sz w:val="24"/>
          <w:szCs w:val="24"/>
        </w:rPr>
        <w:t xml:space="preserve">795 · La regola Algranati.</w:t>
      </w:r>
      <w:r>
        <w:rPr>
          <w:rFonts w:ascii="Barlow Semi Condensed" w:cs="Barlow Semi Condensed" w:eastAsia="Barlow Semi Condensed" w:hAnsi="Barlow Semi Condensed"/>
          <w:sz w:val="24"/>
          <w:szCs w:val="24"/>
        </w:rPr>
        <w:t xml:space="preserve"> La pietra di paragone, con le date verificate: l'assoluzione per i fatti di via Fani nel Moro-ter (1988), mai travolta, convive con l'ergastolo per altri fatti della colonna romana e con la cattura al Cairo (14 gennaio 2004). Tre verità distinte su una stessa persona, ciascuna al suo posto: chi le confonde non ha capito il registro — e l'opera esiste anche per questo.</w:t>
      </w:r>
    </w:p>
    <w:p>
      <w:pPr>
        <w:spacing w:after="120" w:line="276"/>
        <w:jc w:val="both"/>
      </w:pPr>
      <w:r>
        <w:rPr>
          <w:rFonts w:ascii="Barlow Semi Condensed" w:cs="Barlow Semi Condensed" w:eastAsia="Barlow Semi Condensed" w:hAnsi="Barlow Semi Condensed"/>
          <w:b/>
          <w:bCs/>
          <w:sz w:val="24"/>
          <w:szCs w:val="24"/>
        </w:rPr>
        <w:t xml:space="preserve">796 · Il perimetro dei tredici.</w:t>
      </w:r>
      <w:r>
        <w:rPr>
          <w:rFonts w:ascii="Barlow Semi Condensed" w:cs="Barlow Semi Condensed" w:eastAsia="Barlow Semi Condensed" w:hAnsi="Barlow Semi Condensed"/>
          <w:sz w:val="24"/>
          <w:szCs w:val="24"/>
        </w:rPr>
        <w:t xml:space="preserve"> La definizione esatta: il registro dell'opera contiene i condannati definitivi per il sequestro e l'omicidio di Moro e per via Fani — non ogni condannato della colonna romana, non ogni brigatista del 1978. Il censimento del perimetro (chi c'è e perché; chi non c'è e perché) è un blocco, perché la pubblicistica lo sbaglia da decenni.</w:t>
      </w:r>
    </w:p>
    <w:p>
      <w:pPr>
        <w:spacing w:after="120" w:line="276"/>
        <w:jc w:val="both"/>
      </w:pPr>
      <w:r>
        <w:rPr>
          <w:rFonts w:ascii="Barlow Semi Condensed" w:cs="Barlow Semi Condensed" w:eastAsia="Barlow Semi Condensed" w:hAnsi="Barlow Semi Condensed"/>
          <w:b/>
          <w:bCs/>
          <w:sz w:val="24"/>
          <w:szCs w:val="24"/>
        </w:rPr>
        <w:t xml:space="preserve">797 · Le esecuzioni penali come storia.</w:t>
      </w:r>
      <w:r>
        <w:rPr>
          <w:rFonts w:ascii="Barlow Semi Condensed" w:cs="Barlow Semi Condensed" w:eastAsia="Barlow Semi Condensed" w:hAnsi="Barlow Semi Condensed"/>
          <w:sz w:val="24"/>
          <w:szCs w:val="24"/>
        </w:rPr>
        <w:t xml:space="preserve"> La tavola dell'esecuzione: per ciascuno, il percorso documentato — arresto, condanna, benefici (semilibertà, liberazione condizionale, estinzione) — con le date pubbliche. La storia dell'esecuzione penale del caso è la storia dell'ordinamento penitenziario italiano applicato al suo caso più grave: si scrive per fatti, non per giudizi.</w:t>
      </w:r>
    </w:p>
    <w:p>
      <w:pPr>
        <w:spacing w:after="120" w:line="276"/>
        <w:jc w:val="both"/>
      </w:pPr>
      <w:r>
        <w:rPr>
          <w:rFonts w:ascii="Barlow Semi Condensed" w:cs="Barlow Semi Condensed" w:eastAsia="Barlow Semi Condensed" w:hAnsi="Barlow Semi Condensed"/>
          <w:b/>
          <w:bCs/>
          <w:sz w:val="24"/>
          <w:szCs w:val="24"/>
        </w:rPr>
        <w:t xml:space="preserve">798 · La contumacia e la latitanza.</w:t>
      </w:r>
      <w:r>
        <w:rPr>
          <w:rFonts w:ascii="Barlow Semi Condensed" w:cs="Barlow Semi Condensed" w:eastAsia="Barlow Semi Condensed" w:hAnsi="Barlow Semi Condensed"/>
          <w:sz w:val="24"/>
          <w:szCs w:val="24"/>
        </w:rPr>
        <w:t xml:space="preserve"> Il capitolo dei mai presenti: le condanne in contumacia (i sei ergastoli di Casimirri), le latitanze, gli istituti che le governarono. Il diritto processuale della latitanza come cornice: che cosa significa giuridicamente non essere mai stati davanti ai propri giudici.</w:t>
      </w:r>
    </w:p>
    <w:p>
      <w:pPr>
        <w:spacing w:after="120" w:line="276"/>
        <w:jc w:val="both"/>
      </w:pPr>
      <w:r>
        <w:rPr>
          <w:rFonts w:ascii="Barlow Semi Condensed" w:cs="Barlow Semi Condensed" w:eastAsia="Barlow Semi Condensed" w:hAnsi="Barlow Semi Condensed"/>
          <w:b/>
          <w:bCs/>
          <w:sz w:val="24"/>
          <w:szCs w:val="24"/>
        </w:rPr>
        <w:t xml:space="preserve">799 · Le pene oltre confine, il raccordo.</w:t>
      </w:r>
      <w:r>
        <w:rPr>
          <w:rFonts w:ascii="Barlow Semi Condensed" w:cs="Barlow Semi Condensed" w:eastAsia="Barlow Semi Condensed" w:hAnsi="Barlow Semi Condensed"/>
          <w:sz w:val="24"/>
          <w:szCs w:val="24"/>
        </w:rPr>
        <w:t xml:space="preserve"> Il rinvio al documento del corpus sulle pene oltre confine: i condannati del registro toccati dalle vicende estere (Casimirri, Lojacono) vi hanno il loro quadro internazionale; qui la scheda personale, là la cornice. Due lenti, nessuna sovrapposizione.</w:t>
      </w:r>
    </w:p>
    <w:p>
      <w:pPr>
        <w:spacing w:after="120" w:line="276"/>
        <w:jc w:val="both"/>
      </w:pPr>
      <w:r>
        <w:rPr>
          <w:rFonts w:ascii="Barlow Semi Condensed" w:cs="Barlow Semi Condensed" w:eastAsia="Barlow Semi Condensed" w:hAnsi="Barlow Semi Condensed"/>
          <w:b/>
          <w:bCs/>
          <w:sz w:val="24"/>
          <w:szCs w:val="24"/>
        </w:rPr>
        <w:t xml:space="preserve">800 · L'ottocentesimo blocco: il registro e il tempo.</w:t>
      </w:r>
      <w:r>
        <w:rPr>
          <w:rFonts w:ascii="Barlow Semi Condensed" w:cs="Barlow Semi Condensed" w:eastAsia="Barlow Semi Condensed" w:hAnsi="Barlow Semi Condensed"/>
          <w:sz w:val="24"/>
          <w:szCs w:val="24"/>
        </w:rPr>
        <w:t xml:space="preserve"> La constatazione operativa, a quattro quinti dell'opera: dei tredici, cinque sono morti — e ogni morte chiude per sempre una voce che nessun archivio sostituisce. La priorità biologica del blocco 281 dell'agenda, applicata al registro: ciò che i viventi possono ancora dire in forma utilizzabile si chiede ora, con le forme giuste, o non si avrà mai.</w:t>
      </w:r>
    </w:p>
    <w:p>
      <w:pPr>
        <w:spacing w:after="120" w:line="276"/>
        <w:jc w:val="both"/>
      </w:pPr>
      <w:r>
        <w:rPr>
          <w:rFonts w:ascii="Barlow Semi Condensed" w:cs="Barlow Semi Condensed" w:eastAsia="Barlow Semi Condensed" w:hAnsi="Barlow Semi Condensed"/>
          <w:b/>
          <w:bCs/>
          <w:sz w:val="24"/>
          <w:szCs w:val="24"/>
        </w:rPr>
        <w:t xml:space="preserve">801 · Il rispetto anche qui.</w:t>
      </w:r>
      <w:r>
        <w:rPr>
          <w:rFonts w:ascii="Barlow Semi Condensed" w:cs="Barlow Semi Condensed" w:eastAsia="Barlow Semi Condensed" w:hAnsi="Barlow Semi Condensed"/>
          <w:sz w:val="24"/>
          <w:szCs w:val="24"/>
        </w:rPr>
        <w:t xml:space="preserve"> La regola di tono: le schede del registro si scrivono con lo stesso rispetto formale d'ogni scheda del corpus — i fatti, le date, gli atti, nessun aggettivo. La fermezza della memoria non ha bisogno di livore: la condanna la scrissero i giudici; all'opera spetta la precisione.</w:t>
      </w:r>
    </w:p>
    <w:p>
      <w:pPr>
        <w:spacing w:after="120" w:line="276"/>
        <w:jc w:val="both"/>
      </w:pPr>
      <w:r>
        <w:rPr>
          <w:rFonts w:ascii="Barlow Semi Condensed" w:cs="Barlow Semi Condensed" w:eastAsia="Barlow Semi Condensed" w:hAnsi="Barlow Semi Condensed"/>
          <w:b/>
          <w:bCs/>
          <w:sz w:val="24"/>
          <w:szCs w:val="24"/>
        </w:rPr>
        <w:t xml:space="preserve">802 · I diritti dei condannati.</w:t>
      </w:r>
      <w:r>
        <w:rPr>
          <w:rFonts w:ascii="Barlow Semi Condensed" w:cs="Barlow Semi Condensed" w:eastAsia="Barlow Semi Condensed" w:hAnsi="Barlow Semi Condensed"/>
          <w:sz w:val="24"/>
          <w:szCs w:val="24"/>
        </w:rPr>
        <w:t xml:space="preserve"> Il quadro giuridico dichiarato: i condannati viventi conservano i diritti della persona — riservatezza sulla vita privata attuale, protezione dei dati oltre i fatti pubblici. Le schede censiscono il pubblico e il giudicato: la vita privata di oggi non è materia dell'opera, per nessuno dei tredici.</w:t>
      </w:r>
    </w:p>
    <w:p>
      <w:pPr>
        <w:spacing w:after="120" w:line="276"/>
        <w:jc w:val="both"/>
      </w:pPr>
      <w:r>
        <w:rPr>
          <w:rFonts w:ascii="Barlow Semi Condensed" w:cs="Barlow Semi Condensed" w:eastAsia="Barlow Semi Condensed" w:hAnsi="Barlow Semi Condensed"/>
          <w:b/>
          <w:bCs/>
          <w:sz w:val="24"/>
          <w:szCs w:val="24"/>
        </w:rPr>
        <w:t xml:space="preserve">803 · Le vittime in testa.</w:t>
      </w:r>
      <w:r>
        <w:rPr>
          <w:rFonts w:ascii="Barlow Semi Condensed" w:cs="Barlow Semi Condensed" w:eastAsia="Barlow Semi Condensed" w:hAnsi="Barlow Semi Condensed"/>
          <w:sz w:val="24"/>
          <w:szCs w:val="24"/>
        </w:rPr>
        <w:t xml:space="preserve"> L'ordine morale della parte: ogni scheda del registro esiste perché sei persone furono uccise — Leonardi, Ricci, Rivera, Zizzi, Iozzino, Moro. La parte si apre e si chiude con i loro nomi, e ogni bersaglio sulla parola dei condannati ha per fine ciò che accadde alle vittime, non la biografia dei colpevoli.</w:t>
      </w:r>
    </w:p>
    <w:p>
      <w:pPr>
        <w:spacing w:after="120" w:line="276"/>
        <w:jc w:val="both"/>
      </w:pPr>
      <w:r>
        <w:rPr>
          <w:rFonts w:ascii="Barlow Semi Condensed" w:cs="Barlow Semi Condensed" w:eastAsia="Barlow Semi Condensed" w:hAnsi="Barlow Semi Condensed"/>
          <w:b/>
          <w:bCs/>
          <w:sz w:val="24"/>
          <w:szCs w:val="24"/>
        </w:rPr>
        <w:t xml:space="preserve">804 · La prosopografia documentale.</w:t>
      </w:r>
      <w:r>
        <w:rPr>
          <w:rFonts w:ascii="Barlow Semi Condensed" w:cs="Barlow Semi Condensed" w:eastAsia="Barlow Semi Condensed" w:hAnsi="Barlow Semi Condensed"/>
          <w:sz w:val="24"/>
          <w:szCs w:val="24"/>
        </w:rPr>
        <w:t xml:space="preserve"> Il metodo delle schede: per ciascuno, tre strati — l'anagrafe giudiziaria (il giudicato), la parola pubblica (libri, interviste, audizioni censiti e datati), i bersagli (che cosa la ricerca può ancora chiedere o verificare). Tre strati, tre discipline: il primo è chiuso, il secondo si censisce, il terzo si esegue.</w:t>
      </w:r>
    </w:p>
    <w:p>
      <w:pPr>
        <w:spacing w:after="120" w:line="276"/>
        <w:jc w:val="both"/>
      </w:pPr>
      <w:r>
        <w:rPr>
          <w:rFonts w:ascii="Barlow Semi Condensed" w:cs="Barlow Semi Condensed" w:eastAsia="Barlow Semi Condensed" w:hAnsi="Barlow Semi Condensed"/>
          <w:b/>
          <w:bCs/>
          <w:sz w:val="24"/>
          <w:szCs w:val="24"/>
        </w:rPr>
        <w:t xml:space="preserve">805 · La tavola degli stati.</w:t>
      </w:r>
      <w:r>
        <w:rPr>
          <w:rFonts w:ascii="Barlow Semi Condensed" w:cs="Barlow Semi Condensed" w:eastAsia="Barlow Semi Condensed" w:hAnsi="Barlow Semi Condensed"/>
          <w:sz w:val="24"/>
          <w:szCs w:val="24"/>
        </w:rPr>
        <w:t xml:space="preserve"> Lo strumento aggiornato dalla verifica: la tavola dei tredici con gli stati documentati — deceduto (con data e fonte), vivente a pena eseguita, in esecuzione, oltre confine — e le caselle dichiarate «da precisare» dove le fonti divergono (i luoghi di nascita in due casi, i quantum di pena in due casi). La tavola porta le sue incertezze scritte: è il modo del corpus.</w:t>
      </w:r>
    </w:p>
    <w:p>
      <w:pPr>
        <w:pStyle w:val="Heading3"/>
        <w:spacing w:after="80" w:before="160"/>
      </w:pPr>
      <w:r>
        <w:rPr>
          <w:rFonts w:ascii="Barlow Semi Condensed" w:cs="Barlow Semi Condensed" w:eastAsia="Barlow Semi Condensed" w:hAnsi="Barlow Semi Condensed"/>
          <w:sz w:val="24"/>
          <w:szCs w:val="24"/>
        </w:rPr>
        <w:t xml:space="preserve">Le schede dei tredici (blocchi 806-850)</w:t>
      </w:r>
    </w:p>
    <w:p>
      <w:pPr>
        <w:spacing w:after="120" w:line="276"/>
        <w:jc w:val="both"/>
      </w:pPr>
      <w:r>
        <w:rPr>
          <w:rFonts w:ascii="Barlow Semi Condensed" w:cs="Barlow Semi Condensed" w:eastAsia="Barlow Semi Condensed" w:hAnsi="Barlow Semi Condensed"/>
          <w:b/>
          <w:bCs/>
          <w:sz w:val="24"/>
          <w:szCs w:val="24"/>
        </w:rPr>
        <w:t xml:space="preserve">806 · Moretti, l'anagrafe giudiziaria.</w:t>
      </w:r>
      <w:r>
        <w:rPr>
          <w:rFonts w:ascii="Barlow Semi Condensed" w:cs="Barlow Semi Condensed" w:eastAsia="Barlow Semi Condensed" w:hAnsi="Barlow Semi Condensed"/>
          <w:sz w:val="24"/>
          <w:szCs w:val="24"/>
        </w:rPr>
        <w:t xml:space="preserve"> Mario Moretti (Porto San Giorgio, 1946): arrestato a Milano il 4 aprile 1981, condannato in via definitiva a più ergastoli per la direzione dell'operazione e l'esecuzione — il vertice operativo del sequestro per giudicato. Vivente, in semilibertà dal 1997 secondo il record pubblico costante. La scheda fissa il perimetro esatto delle sue condanne, motivazione per motivazione.</w:t>
      </w:r>
    </w:p>
    <w:p>
      <w:pPr>
        <w:spacing w:after="120" w:line="276"/>
        <w:jc w:val="both"/>
      </w:pPr>
      <w:r>
        <w:rPr>
          <w:rFonts w:ascii="Barlow Semi Condensed" w:cs="Barlow Semi Condensed" w:eastAsia="Barlow Semi Condensed" w:hAnsi="Barlow Semi Condensed"/>
          <w:b/>
          <w:bCs/>
          <w:sz w:val="24"/>
          <w:szCs w:val="24"/>
        </w:rPr>
        <w:t xml:space="preserve">807 · Moretti, la parola.</w:t>
      </w:r>
      <w:r>
        <w:rPr>
          <w:rFonts w:ascii="Barlow Semi Condensed" w:cs="Barlow Semi Condensed" w:eastAsia="Barlow Semi Condensed" w:hAnsi="Barlow Semi Condensed"/>
          <w:sz w:val="24"/>
          <w:szCs w:val="24"/>
        </w:rPr>
        <w:t xml:space="preserve"> Il censimento della sua parola pubblica: il libro-intervista del 1994, le audizioni, le rare interviste — la tavola datata di tutto ciò che ha detto pubblicamente sul caso, collazionata con gli atti (dove conferma, dove diverge, dove tace). L'uomo che sa più di tutti ha parlato poco e sempre nella stessa cornice: la tavola lo mostra.</w:t>
      </w:r>
    </w:p>
    <w:p>
      <w:pPr>
        <w:spacing w:after="120" w:line="276"/>
        <w:jc w:val="both"/>
      </w:pPr>
      <w:r>
        <w:rPr>
          <w:rFonts w:ascii="Barlow Semi Condensed" w:cs="Barlow Semi Condensed" w:eastAsia="Barlow Semi Condensed" w:hAnsi="Barlow Semi Condensed"/>
          <w:b/>
          <w:bCs/>
          <w:sz w:val="24"/>
          <w:szCs w:val="24"/>
        </w:rPr>
        <w:t xml:space="preserve">808 · Moretti, i bersagli.</w:t>
      </w:r>
      <w:r>
        <w:rPr>
          <w:rFonts w:ascii="Barlow Semi Condensed" w:cs="Barlow Semi Condensed" w:eastAsia="Barlow Semi Condensed" w:hAnsi="Barlow Semi Condensed"/>
          <w:sz w:val="24"/>
          <w:szCs w:val="24"/>
        </w:rPr>
        <w:t xml:space="preserve"> Ciò che la ricerca può ancora chiedere: le domande aperte delle matrici che solo il vertice operativo potrebbe chiudere (la logistica, i canali dei comunicati, le presenze non giudicate) — nella forma del blocco 103 dell'agenda: proposta di dichiarazioni spontanee verbalizzate, comunque vada. La finestra è biologica: si usa ora.</w:t>
      </w:r>
    </w:p>
    <w:p>
      <w:pPr>
        <w:spacing w:after="120" w:line="276"/>
        <w:jc w:val="both"/>
      </w:pPr>
      <w:r>
        <w:rPr>
          <w:rFonts w:ascii="Barlow Semi Condensed" w:cs="Barlow Semi Condensed" w:eastAsia="Barlow Semi Condensed" w:hAnsi="Barlow Semi Condensed"/>
          <w:b/>
          <w:bCs/>
          <w:sz w:val="24"/>
          <w:szCs w:val="24"/>
        </w:rPr>
        <w:t xml:space="preserve">809 · Gallinari, l'anagrafe giudiziaria.</w:t>
      </w:r>
      <w:r>
        <w:rPr>
          <w:rFonts w:ascii="Barlow Semi Condensed" w:cs="Barlow Semi Condensed" w:eastAsia="Barlow Semi Condensed" w:hAnsi="Barlow Semi Condensed"/>
          <w:sz w:val="24"/>
          <w:szCs w:val="24"/>
        </w:rPr>
        <w:t xml:space="preserve"> Prospero Gallinari (Reggio Emilia, 1951 - Reggio Emilia, 14 gennaio 2013): ergastolo per il commando di via Fani e la gestione della prigionia; pena sospesa per gravi motivi di salute dal 1996. La scheda del carceriere per giudicato, chiusa dalla morte: da qui in avanti, solo carte.</w:t>
      </w:r>
    </w:p>
    <w:p>
      <w:pPr>
        <w:spacing w:after="120" w:line="276"/>
        <w:jc w:val="both"/>
      </w:pPr>
      <w:r>
        <w:rPr>
          <w:rFonts w:ascii="Barlow Semi Condensed" w:cs="Barlow Semi Condensed" w:eastAsia="Barlow Semi Condensed" w:hAnsi="Barlow Semi Condensed"/>
          <w:b/>
          <w:bCs/>
          <w:sz w:val="24"/>
          <w:szCs w:val="24"/>
        </w:rPr>
        <w:t xml:space="preserve">810 · Gallinari, la parola lasciata.</w:t>
      </w:r>
      <w:r>
        <w:rPr>
          <w:rFonts w:ascii="Barlow Semi Condensed" w:cs="Barlow Semi Condensed" w:eastAsia="Barlow Semi Condensed" w:hAnsi="Barlow Semi Condensed"/>
          <w:sz w:val="24"/>
          <w:szCs w:val="24"/>
        </w:rPr>
        <w:t xml:space="preserve"> Il censimento postumo: il libro autobiografico, le interviste rese in vita, le dichiarazioni processuali — il corpus chiuso della sua parola, collazionato con gli atti. Un morto non aggiunge più nulla: ciò che lasciò si pesa tutto, e si pesa ora.</w:t>
      </w:r>
    </w:p>
    <w:p>
      <w:pPr>
        <w:spacing w:after="120" w:line="276"/>
        <w:jc w:val="both"/>
      </w:pPr>
      <w:r>
        <w:rPr>
          <w:rFonts w:ascii="Barlow Semi Condensed" w:cs="Barlow Semi Condensed" w:eastAsia="Barlow Semi Condensed" w:hAnsi="Barlow Semi Condensed"/>
          <w:b/>
          <w:bCs/>
          <w:sz w:val="24"/>
          <w:szCs w:val="24"/>
        </w:rPr>
        <w:t xml:space="preserve">811 · Gallinari, i bersagli postumi.</w:t>
      </w:r>
      <w:r>
        <w:rPr>
          <w:rFonts w:ascii="Barlow Semi Condensed" w:cs="Barlow Semi Condensed" w:eastAsia="Barlow Semi Condensed" w:hAnsi="Barlow Semi Condensed"/>
          <w:sz w:val="24"/>
          <w:szCs w:val="24"/>
        </w:rPr>
        <w:t xml:space="preserve"> Ciò che resta cercabile: le carte private se esistono (il blocco 259 della Parte terza, applicato), i grezzi delle interviste (Zavoli lo intervistò), le dichiarazioni non pubblicate negli atti. La voce è chiusa; il suo archivio forse no.</w:t>
      </w:r>
    </w:p>
    <w:p>
      <w:pPr>
        <w:spacing w:after="120" w:line="276"/>
        <w:jc w:val="both"/>
      </w:pPr>
      <w:r>
        <w:rPr>
          <w:rFonts w:ascii="Barlow Semi Condensed" w:cs="Barlow Semi Condensed" w:eastAsia="Barlow Semi Condensed" w:hAnsi="Barlow Semi Condensed"/>
          <w:b/>
          <w:bCs/>
          <w:sz w:val="24"/>
          <w:szCs w:val="24"/>
        </w:rPr>
        <w:t xml:space="preserve">812 · Morucci, l'anagrafe giudiziaria.</w:t>
      </w:r>
      <w:r>
        <w:rPr>
          <w:rFonts w:ascii="Barlow Semi Condensed" w:cs="Barlow Semi Condensed" w:eastAsia="Barlow Semi Condensed" w:hAnsi="Barlow Semi Condensed"/>
          <w:sz w:val="24"/>
          <w:szCs w:val="24"/>
        </w:rPr>
        <w:t xml:space="preserve"> Valerio Morucci (Roma, 1949 - Roma, 1° gennaio 2025): ergastolo per il commando di via Fani e la gestione dei recapiti (il «postino» dei comunicati e delle lettere, per giudicato); dissociato, uscito dalle BR nel 1979 con Faranda; libero dagli anni Novanta. Morto il primo giorno del 2025: la seconda voce maggiore chiusa in due anni.</w:t>
      </w:r>
    </w:p>
    <w:p>
      <w:pPr>
        <w:spacing w:after="120" w:line="276"/>
        <w:jc w:val="both"/>
      </w:pPr>
      <w:r>
        <w:rPr>
          <w:rFonts w:ascii="Barlow Semi Condensed" w:cs="Barlow Semi Condensed" w:eastAsia="Barlow Semi Condensed" w:hAnsi="Barlow Semi Condensed"/>
          <w:b/>
          <w:bCs/>
          <w:sz w:val="24"/>
          <w:szCs w:val="24"/>
        </w:rPr>
        <w:t xml:space="preserve">813 · Morucci, la parola lasciata.</w:t>
      </w:r>
      <w:r>
        <w:rPr>
          <w:rFonts w:ascii="Barlow Semi Condensed" w:cs="Barlow Semi Condensed" w:eastAsia="Barlow Semi Condensed" w:hAnsi="Barlow Semi Condensed"/>
          <w:sz w:val="24"/>
          <w:szCs w:val="24"/>
        </w:rPr>
        <w:t xml:space="preserve"> Il corpus della sua parola: il memoriale Morucci-Faranda consegnato negli anni Ottanta (l'atto della dissociazione che ridisegnò la conoscenza del caso), i libri, le molte interviste, la telefonata del 9 maggio di cui fu l'autore. La collazione fra le sue versioni successive — che cosa cambiò nel racconto in quarant'anni — è un bersaglio filologico maggiore.</w:t>
      </w:r>
    </w:p>
    <w:p>
      <w:pPr>
        <w:spacing w:after="120" w:line="276"/>
        <w:jc w:val="both"/>
      </w:pPr>
      <w:r>
        <w:rPr>
          <w:rFonts w:ascii="Barlow Semi Condensed" w:cs="Barlow Semi Condensed" w:eastAsia="Barlow Semi Condensed" w:hAnsi="Barlow Semi Condensed"/>
          <w:b/>
          <w:bCs/>
          <w:sz w:val="24"/>
          <w:szCs w:val="24"/>
        </w:rPr>
        <w:t xml:space="preserve">814 · Morucci, i bersagli postumi.</w:t>
      </w:r>
      <w:r>
        <w:rPr>
          <w:rFonts w:ascii="Barlow Semi Condensed" w:cs="Barlow Semi Condensed" w:eastAsia="Barlow Semi Condensed" w:hAnsi="Barlow Semi Condensed"/>
          <w:sz w:val="24"/>
          <w:szCs w:val="24"/>
        </w:rPr>
        <w:t xml:space="preserve"> Le carte di Morucci: l'accertamento del lascito documentale (manoscritti, carteggi, appunti) e la proposta rispettosa agli eredi (il blocco 117 dell'agenda). L'uomo che più raccontò il caso dall'interno può aver lasciato carta: si cerca ora, prima della dispersione.</w:t>
      </w:r>
    </w:p>
    <w:p>
      <w:pPr>
        <w:spacing w:after="120" w:line="276"/>
        <w:jc w:val="both"/>
      </w:pPr>
      <w:r>
        <w:rPr>
          <w:rFonts w:ascii="Barlow Semi Condensed" w:cs="Barlow Semi Condensed" w:eastAsia="Barlow Semi Condensed" w:hAnsi="Barlow Semi Condensed"/>
          <w:b/>
          <w:bCs/>
          <w:sz w:val="24"/>
          <w:szCs w:val="24"/>
        </w:rPr>
        <w:t xml:space="preserve">815 · Faranda, l'anagrafe giudiziaria.</w:t>
      </w:r>
      <w:r>
        <w:rPr>
          <w:rFonts w:ascii="Barlow Semi Condensed" w:cs="Barlow Semi Condensed" w:eastAsia="Barlow Semi Condensed" w:hAnsi="Barlow Semi Condensed"/>
          <w:sz w:val="24"/>
          <w:szCs w:val="24"/>
        </w:rPr>
        <w:t xml:space="preserve"> Adriana Faranda (1950): condannata per il concorso nella gestione del sequestro (non presente in via Fani, per giudicato); dissociata con Morucci, libera dagli anni Novanta, vivente. La scheda distingue con cura ciò per cui fu condannata da ciò per cui non lo fu: è il registro che insegna a leggere se stesso.</w:t>
      </w:r>
    </w:p>
    <w:p>
      <w:pPr>
        <w:spacing w:after="120" w:line="276"/>
        <w:jc w:val="both"/>
      </w:pPr>
      <w:r>
        <w:rPr>
          <w:rFonts w:ascii="Barlow Semi Condensed" w:cs="Barlow Semi Condensed" w:eastAsia="Barlow Semi Condensed" w:hAnsi="Barlow Semi Condensed"/>
          <w:b/>
          <w:bCs/>
          <w:sz w:val="24"/>
          <w:szCs w:val="24"/>
        </w:rPr>
        <w:t xml:space="preserve">816 · Faranda, la parola.</w:t>
      </w:r>
      <w:r>
        <w:rPr>
          <w:rFonts w:ascii="Barlow Semi Condensed" w:cs="Barlow Semi Condensed" w:eastAsia="Barlow Semi Condensed" w:hAnsi="Barlow Semi Condensed"/>
          <w:sz w:val="24"/>
          <w:szCs w:val="24"/>
        </w:rPr>
        <w:t xml:space="preserve"> Il censimento della sua parola pubblica — i libri, le interviste, la presenza pubblica costante sulla memoria degli anni di piombo: la tavola datata, collazionata con gli atti e col memoriale della dissociazione. Una delle voci più generose di racconto: la generosità si verifica come tutto il resto.</w:t>
      </w:r>
    </w:p>
    <w:p>
      <w:pPr>
        <w:spacing w:after="120" w:line="276"/>
        <w:jc w:val="both"/>
      </w:pPr>
      <w:r>
        <w:rPr>
          <w:rFonts w:ascii="Barlow Semi Condensed" w:cs="Barlow Semi Condensed" w:eastAsia="Barlow Semi Condensed" w:hAnsi="Barlow Semi Condensed"/>
          <w:b/>
          <w:bCs/>
          <w:sz w:val="24"/>
          <w:szCs w:val="24"/>
        </w:rPr>
        <w:t xml:space="preserve">817 · Faranda, i bersagli.</w:t>
      </w:r>
      <w:r>
        <w:rPr>
          <w:rFonts w:ascii="Barlow Semi Condensed" w:cs="Barlow Semi Condensed" w:eastAsia="Barlow Semi Condensed" w:hAnsi="Barlow Semi Condensed"/>
          <w:sz w:val="24"/>
          <w:szCs w:val="24"/>
        </w:rPr>
        <w:t xml:space="preserve"> Le domande aperte che la riguardano per ruolo giudicato: la meccanica dei recapiti (il quesito 9), la selezione delle lettere, i canali. La proposta conservativa del blocco 103, con la finestra aperta: è fra le voci viventi che più possono ancora precisare.</w:t>
      </w:r>
    </w:p>
    <w:p>
      <w:pPr>
        <w:spacing w:after="120" w:line="276"/>
        <w:jc w:val="both"/>
      </w:pPr>
      <w:r>
        <w:rPr>
          <w:rFonts w:ascii="Barlow Semi Condensed" w:cs="Barlow Semi Condensed" w:eastAsia="Barlow Semi Condensed" w:hAnsi="Barlow Semi Condensed"/>
          <w:b/>
          <w:bCs/>
          <w:sz w:val="24"/>
          <w:szCs w:val="24"/>
        </w:rPr>
        <w:t xml:space="preserve">818 · Fiore, l'anagrafe giudiziaria.</w:t>
      </w:r>
      <w:r>
        <w:rPr>
          <w:rFonts w:ascii="Barlow Semi Condensed" w:cs="Barlow Semi Condensed" w:eastAsia="Barlow Semi Condensed" w:hAnsi="Barlow Semi Condensed"/>
          <w:sz w:val="24"/>
          <w:szCs w:val="24"/>
        </w:rPr>
        <w:t xml:space="preserve"> Raffaele Fiore (Bari, 1954): componente del commando di via Fani per giudicato definitivo, arrestato a Torino nel marzo 1979, ergastolo; pena eseguita coi benefici ordinari, oggi libero e vivente secondo il record pubblico — con le date esatte dei benefici segnate «da precisare». La scheda porta la sua casella aperta dichiarata.</w:t>
      </w:r>
    </w:p>
    <w:p>
      <w:pPr>
        <w:spacing w:after="120" w:line="276"/>
        <w:jc w:val="both"/>
      </w:pPr>
      <w:r>
        <w:rPr>
          <w:rFonts w:ascii="Barlow Semi Condensed" w:cs="Barlow Semi Condensed" w:eastAsia="Barlow Semi Condensed" w:hAnsi="Barlow Semi Condensed"/>
          <w:b/>
          <w:bCs/>
          <w:sz w:val="24"/>
          <w:szCs w:val="24"/>
        </w:rPr>
        <w:t xml:space="preserve">819 · Fiore, la parola.</w:t>
      </w:r>
      <w:r>
        <w:rPr>
          <w:rFonts w:ascii="Barlow Semi Condensed" w:cs="Barlow Semi Condensed" w:eastAsia="Barlow Semi Condensed" w:hAnsi="Barlow Semi Condensed"/>
          <w:sz w:val="24"/>
          <w:szCs w:val="24"/>
        </w:rPr>
        <w:t xml:space="preserve"> Il censimento delle sue interviste pubbliche — la voce operaia del commando, come si è raccontata: la tavola datata e la collazione con gli atti. Meno parola pubblica dei dissociati: anche la quantità del dire è un dato della tavola.</w:t>
      </w:r>
    </w:p>
    <w:p>
      <w:pPr>
        <w:spacing w:after="120" w:line="276"/>
        <w:jc w:val="both"/>
      </w:pPr>
      <w:r>
        <w:rPr>
          <w:rFonts w:ascii="Barlow Semi Condensed" w:cs="Barlow Semi Condensed" w:eastAsia="Barlow Semi Condensed" w:hAnsi="Barlow Semi Condensed"/>
          <w:b/>
          <w:bCs/>
          <w:sz w:val="24"/>
          <w:szCs w:val="24"/>
        </w:rPr>
        <w:t xml:space="preserve">820 · Fiore, i bersagli.</w:t>
      </w:r>
      <w:r>
        <w:rPr>
          <w:rFonts w:ascii="Barlow Semi Condensed" w:cs="Barlow Semi Condensed" w:eastAsia="Barlow Semi Condensed" w:hAnsi="Barlow Semi Condensed"/>
          <w:sz w:val="24"/>
          <w:szCs w:val="24"/>
        </w:rPr>
        <w:t xml:space="preserve"> Le domande della dinamica: per ruolo giudicato nel commando, le precisazioni possibili sulla meccanica dell'azione (i blocchi balistici 359-363 hanno quesiti che una memoria tecnica può ancora illuminare, col controlimite della corroborazione). Proposta conservativa, finestra aperta.</w:t>
      </w:r>
    </w:p>
    <w:p>
      <w:pPr>
        <w:spacing w:after="120" w:line="276"/>
        <w:jc w:val="both"/>
      </w:pPr>
      <w:r>
        <w:rPr>
          <w:rFonts w:ascii="Barlow Semi Condensed" w:cs="Barlow Semi Condensed" w:eastAsia="Barlow Semi Condensed" w:hAnsi="Barlow Semi Condensed"/>
          <w:b/>
          <w:bCs/>
          <w:sz w:val="24"/>
          <w:szCs w:val="24"/>
        </w:rPr>
        <w:t xml:space="preserve">821 · Bonisoli, l'anagrafe giudiziaria.</w:t>
      </w:r>
      <w:r>
        <w:rPr>
          <w:rFonts w:ascii="Barlow Semi Condensed" w:cs="Barlow Semi Condensed" w:eastAsia="Barlow Semi Condensed" w:hAnsi="Barlow Semi Condensed"/>
          <w:sz w:val="24"/>
          <w:szCs w:val="24"/>
        </w:rPr>
        <w:t xml:space="preserve"> Franco Bonisoli (1955): componente del commando per giudicato, arrestato il 1° ottobre 1978 in via Monte Nevoso — dove egli stesso aveva portato il memoriale e le lettere — insieme ad Azzolini e Mantovani; ergastolo; libero da decenni, vivente, pubblicamente impegnato nei percorsi di giustizia riparativa. La scheda che lega il registro alla Parte quinta: il suo arresto è la data di nascita della stesura C.</w:t>
      </w:r>
    </w:p>
    <w:p>
      <w:pPr>
        <w:spacing w:after="120" w:line="276"/>
        <w:jc w:val="both"/>
      </w:pPr>
      <w:r>
        <w:rPr>
          <w:rFonts w:ascii="Barlow Semi Condensed" w:cs="Barlow Semi Condensed" w:eastAsia="Barlow Semi Condensed" w:hAnsi="Barlow Semi Condensed"/>
          <w:b/>
          <w:bCs/>
          <w:sz w:val="24"/>
          <w:szCs w:val="24"/>
        </w:rPr>
        <w:t xml:space="preserve">822 · Bonisoli, la parola.</w:t>
      </w:r>
      <w:r>
        <w:rPr>
          <w:rFonts w:ascii="Barlow Semi Condensed" w:cs="Barlow Semi Condensed" w:eastAsia="Barlow Semi Condensed" w:hAnsi="Barlow Semi Condensed"/>
          <w:sz w:val="24"/>
          <w:szCs w:val="24"/>
        </w:rPr>
        <w:t xml:space="preserve"> Il censimento della sua parola — la più orientata all'incontro con le vittime: interventi pubblici, dialoghi riparativi documentati, interviste. La collazione con gli atti e la tavola dei temi: che cosa la giustizia riparativa ha fatto emergere che i processi non avevano.</w:t>
      </w:r>
    </w:p>
    <w:p>
      <w:pPr>
        <w:spacing w:after="120" w:line="276"/>
        <w:jc w:val="both"/>
      </w:pPr>
      <w:r>
        <w:rPr>
          <w:rFonts w:ascii="Barlow Semi Condensed" w:cs="Barlow Semi Condensed" w:eastAsia="Barlow Semi Condensed" w:hAnsi="Barlow Semi Condensed"/>
          <w:b/>
          <w:bCs/>
          <w:sz w:val="24"/>
          <w:szCs w:val="24"/>
        </w:rPr>
        <w:t xml:space="preserve">823 · Bonisoli, i bersagli.</w:t>
      </w:r>
      <w:r>
        <w:rPr>
          <w:rFonts w:ascii="Barlow Semi Condensed" w:cs="Barlow Semi Condensed" w:eastAsia="Barlow Semi Condensed" w:hAnsi="Barlow Semi Condensed"/>
          <w:sz w:val="24"/>
          <w:szCs w:val="24"/>
        </w:rPr>
        <w:t xml:space="preserve"> Le domande di via Monte Nevoso: il trasporto delle carte, la composizione del deposito, l'intercapedine — le celle aperte della Parte quinta (i blocchi 464-465) che la sua memoria diretta può ancora precisare. Il testimone chiave della tradizione del memoriale è vivente: la filologia ha una finestra.</w:t>
      </w:r>
    </w:p>
    <w:p>
      <w:pPr>
        <w:spacing w:after="120" w:line="276"/>
        <w:jc w:val="both"/>
      </w:pPr>
      <w:r>
        <w:rPr>
          <w:rFonts w:ascii="Barlow Semi Condensed" w:cs="Barlow Semi Condensed" w:eastAsia="Barlow Semi Condensed" w:hAnsi="Barlow Semi Condensed"/>
          <w:b/>
          <w:bCs/>
          <w:sz w:val="24"/>
          <w:szCs w:val="24"/>
        </w:rPr>
        <w:t xml:space="preserve">824 · Balzerani, l'anagrafe giudiziaria.</w:t>
      </w:r>
      <w:r>
        <w:rPr>
          <w:rFonts w:ascii="Barlow Semi Condensed" w:cs="Barlow Semi Condensed" w:eastAsia="Barlow Semi Condensed" w:hAnsi="Barlow Semi Condensed"/>
          <w:sz w:val="24"/>
          <w:szCs w:val="24"/>
        </w:rPr>
        <w:t xml:space="preserve"> Barbara Balzerani (Colleferro, 1949 - 3 marzo 2024): ergastolo per il commando di via Fani e la gestione del sequestro; arrestata nel 1985, liberazione condizionale nel 2006, pena estinta nel 2011; autrice di più libri. La voce femminile maggiore del commando, chiusa nel 2024: il suo corpus si pesa postumo.</w:t>
      </w:r>
    </w:p>
    <w:p>
      <w:pPr>
        <w:spacing w:after="120" w:line="276"/>
        <w:jc w:val="both"/>
      </w:pPr>
      <w:r>
        <w:rPr>
          <w:rFonts w:ascii="Barlow Semi Condensed" w:cs="Barlow Semi Condensed" w:eastAsia="Barlow Semi Condensed" w:hAnsi="Barlow Semi Condensed"/>
          <w:b/>
          <w:bCs/>
          <w:sz w:val="24"/>
          <w:szCs w:val="24"/>
        </w:rPr>
        <w:t xml:space="preserve">825 · Balzerani, la parola lasciata.</w:t>
      </w:r>
      <w:r>
        <w:rPr>
          <w:rFonts w:ascii="Barlow Semi Condensed" w:cs="Barlow Semi Condensed" w:eastAsia="Barlow Semi Condensed" w:hAnsi="Barlow Semi Condensed"/>
          <w:sz w:val="24"/>
          <w:szCs w:val="24"/>
        </w:rPr>
        <w:t xml:space="preserve"> Il censimento del suo corpus letterario e pubblico — i libri (da «Compagna luna» in poi), gli interventi, le polemiche pubbliche che accompagnarono le sue apparizioni: la tavola datata, collazionata con gli atti, con la ricezione pubblica censita come dato a sé. Una parola pubblica controversa è comunque un corpus: si studia, non si commenta.</w:t>
      </w:r>
    </w:p>
    <w:p>
      <w:pPr>
        <w:spacing w:after="120" w:line="276"/>
        <w:jc w:val="both"/>
      </w:pPr>
      <w:r>
        <w:rPr>
          <w:rFonts w:ascii="Barlow Semi Condensed" w:cs="Barlow Semi Condensed" w:eastAsia="Barlow Semi Condensed" w:hAnsi="Barlow Semi Condensed"/>
          <w:b/>
          <w:bCs/>
          <w:sz w:val="24"/>
          <w:szCs w:val="24"/>
        </w:rPr>
        <w:t xml:space="preserve">826 · Balzerani, i bersagli postumi.</w:t>
      </w:r>
      <w:r>
        <w:rPr>
          <w:rFonts w:ascii="Barlow Semi Condensed" w:cs="Barlow Semi Condensed" w:eastAsia="Barlow Semi Condensed" w:hAnsi="Barlow Semi Condensed"/>
          <w:sz w:val="24"/>
          <w:szCs w:val="24"/>
        </w:rPr>
        <w:t xml:space="preserve"> Le carte e i grezzi: il lascito documentale eventuale, le interviste integrali non montate, i carteggi. La trafila postuma standard della parte — con una nota: la sua scrittura letteraria è anche fonte sulla soggettività brigatista, e si legge con la lente della Parte quinta.</w:t>
      </w:r>
    </w:p>
    <w:p>
      <w:pPr>
        <w:spacing w:after="120" w:line="276"/>
        <w:jc w:val="both"/>
      </w:pPr>
      <w:r>
        <w:rPr>
          <w:rFonts w:ascii="Barlow Semi Condensed" w:cs="Barlow Semi Condensed" w:eastAsia="Barlow Semi Condensed" w:hAnsi="Barlow Semi Condensed"/>
          <w:b/>
          <w:bCs/>
          <w:sz w:val="24"/>
          <w:szCs w:val="24"/>
        </w:rPr>
        <w:t xml:space="preserve">827 · Seghetti, l'anagrafe giudiziaria.</w:t>
      </w:r>
      <w:r>
        <w:rPr>
          <w:rFonts w:ascii="Barlow Semi Condensed" w:cs="Barlow Semi Condensed" w:eastAsia="Barlow Semi Condensed" w:hAnsi="Barlow Semi Condensed"/>
          <w:sz w:val="24"/>
          <w:szCs w:val="24"/>
        </w:rPr>
        <w:t xml:space="preserve"> Bruno Seghetti (Roma): ergastolo quale componente del commando — per giudicato, alla guida dell'auto su cui Moro fu portato via; arrestato nel 1980; ammesso nel tempo ai benefici, vivente — con l'anno di nascita e la condizione esecutiva attuale segnati «da precisare» per divergenza o silenzio delle fonti. La scheda con le caselle aperte dichiarate, come il metodo vuole.</w:t>
      </w:r>
    </w:p>
    <w:p>
      <w:pPr>
        <w:spacing w:after="120" w:line="276"/>
        <w:jc w:val="both"/>
      </w:pPr>
      <w:r>
        <w:rPr>
          <w:rFonts w:ascii="Barlow Semi Condensed" w:cs="Barlow Semi Condensed" w:eastAsia="Barlow Semi Condensed" w:hAnsi="Barlow Semi Condensed"/>
          <w:b/>
          <w:bCs/>
          <w:sz w:val="24"/>
          <w:szCs w:val="24"/>
        </w:rPr>
        <w:t xml:space="preserve">828 · Seghetti, la parola.</w:t>
      </w:r>
      <w:r>
        <w:rPr>
          <w:rFonts w:ascii="Barlow Semi Condensed" w:cs="Barlow Semi Condensed" w:eastAsia="Barlow Semi Condensed" w:hAnsi="Barlow Semi Condensed"/>
          <w:sz w:val="24"/>
          <w:szCs w:val="24"/>
        </w:rPr>
        <w:t xml:space="preserve"> Il censimento della sua parola — inclusa la partecipazione riferita a percorsi riservati di giustizia riparativa: la tavola di ciò che è pubblico, col perimetro rispettato di ciò che è riservato per natura (l'incontro riparativo non è materia di cronaca). Anche il silenzio riparativo è un fatto: si registra senza violarlo.</w:t>
      </w:r>
    </w:p>
    <w:p>
      <w:pPr>
        <w:spacing w:after="120" w:line="276"/>
        <w:jc w:val="both"/>
      </w:pPr>
      <w:r>
        <w:rPr>
          <w:rFonts w:ascii="Barlow Semi Condensed" w:cs="Barlow Semi Condensed" w:eastAsia="Barlow Semi Condensed" w:hAnsi="Barlow Semi Condensed"/>
          <w:b/>
          <w:bCs/>
          <w:sz w:val="24"/>
          <w:szCs w:val="24"/>
        </w:rPr>
        <w:t xml:space="preserve">829 · Seghetti, i bersagli.</w:t>
      </w:r>
      <w:r>
        <w:rPr>
          <w:rFonts w:ascii="Barlow Semi Condensed" w:cs="Barlow Semi Condensed" w:eastAsia="Barlow Semi Condensed" w:hAnsi="Barlow Semi Condensed"/>
          <w:sz w:val="24"/>
          <w:szCs w:val="24"/>
        </w:rPr>
        <w:t xml:space="preserve"> Le domande del trasbordo e del percorso: la memoria del tragitto del 16 marzo (i blocchi 635 e 416) e della logistica dei veicoli. Proposta conservativa nelle forme, finestra aperta.</w:t>
      </w:r>
    </w:p>
    <w:p>
      <w:pPr>
        <w:spacing w:after="120" w:line="276"/>
        <w:jc w:val="both"/>
      </w:pPr>
      <w:r>
        <w:rPr>
          <w:rFonts w:ascii="Barlow Semi Condensed" w:cs="Barlow Semi Condensed" w:eastAsia="Barlow Semi Condensed" w:hAnsi="Barlow Semi Condensed"/>
          <w:b/>
          <w:bCs/>
          <w:sz w:val="24"/>
          <w:szCs w:val="24"/>
        </w:rPr>
        <w:t xml:space="preserve">830 · Braghetti, l'anagrafe giudiziaria.</w:t>
      </w:r>
      <w:r>
        <w:rPr>
          <w:rFonts w:ascii="Barlow Semi Condensed" w:cs="Barlow Semi Condensed" w:eastAsia="Barlow Semi Condensed" w:hAnsi="Barlow Semi Condensed"/>
          <w:sz w:val="24"/>
          <w:szCs w:val="24"/>
        </w:rPr>
        <w:t xml:space="preserve"> Anna Laura Braghetti (Roma, 1953 - 2025, con la notizia pubblica del 6 novembre): ergastolo per il caso Moro — l'intestataria dell'appartamento di via Montalcini 8 (acquistato nel giugno 1977) e custode della prigione — e condanna per l'omicidio Bachelet (12 febbraio 1980); libera dal 2002, autrice con Paola Tavella del «Prigioniero» (1998). La custode della prigione è morta mentre quest'opera veniva scritta: la verifica ha corretto qui una data errata del primo censimento — ed è il metodo che funziona.</w:t>
      </w:r>
    </w:p>
    <w:p>
      <w:pPr>
        <w:spacing w:after="120" w:line="276"/>
        <w:jc w:val="both"/>
      </w:pPr>
      <w:r>
        <w:rPr>
          <w:rFonts w:ascii="Barlow Semi Condensed" w:cs="Barlow Semi Condensed" w:eastAsia="Barlow Semi Condensed" w:hAnsi="Barlow Semi Condensed"/>
          <w:b/>
          <w:bCs/>
          <w:sz w:val="24"/>
          <w:szCs w:val="24"/>
        </w:rPr>
        <w:t xml:space="preserve">831 · Braghetti, la parola lasciata.</w:t>
      </w:r>
      <w:r>
        <w:rPr>
          <w:rFonts w:ascii="Barlow Semi Condensed" w:cs="Barlow Semi Condensed" w:eastAsia="Barlow Semi Condensed" w:hAnsi="Barlow Semi Condensed"/>
          <w:sz w:val="24"/>
          <w:szCs w:val="24"/>
        </w:rPr>
        <w:t xml:space="preserve"> Il corpus della sua parola: «Il prigioniero» — il libro che raccontò via Montalcini dall'interno e ispirò il cinema — le interviste, gli interventi sulla giustizia riparativa. La collazione libro-atti è già un cantiere filologico: che cosa il racconto letterario aggiunge, modifica o omette rispetto al giudicato sulla prigione.</w:t>
      </w:r>
    </w:p>
    <w:p>
      <w:pPr>
        <w:spacing w:after="120" w:line="276"/>
        <w:jc w:val="both"/>
      </w:pPr>
      <w:r>
        <w:rPr>
          <w:rFonts w:ascii="Barlow Semi Condensed" w:cs="Barlow Semi Condensed" w:eastAsia="Barlow Semi Condensed" w:hAnsi="Barlow Semi Condensed"/>
          <w:b/>
          <w:bCs/>
          <w:sz w:val="24"/>
          <w:szCs w:val="24"/>
        </w:rPr>
        <w:t xml:space="preserve">832 · Braghetti, i bersagli postumi.</w:t>
      </w:r>
      <w:r>
        <w:rPr>
          <w:rFonts w:ascii="Barlow Semi Condensed" w:cs="Barlow Semi Condensed" w:eastAsia="Barlow Semi Condensed" w:hAnsi="Barlow Semi Condensed"/>
          <w:sz w:val="24"/>
          <w:szCs w:val="24"/>
        </w:rPr>
        <w:t xml:space="preserve"> Le carte della custode: il lascito documentale eventuale, i materiali preparatori del libro, i carteggi. E il bersaglio incrociato con la Parte quarta: la sua descrizione della prigione contro i reperti e le perizie di via Montalcini (il blocco 419) — la collazione parola-luogo, ora tutta documentale.</w:t>
      </w:r>
    </w:p>
    <w:p>
      <w:pPr>
        <w:spacing w:after="120" w:line="276"/>
        <w:jc w:val="both"/>
      </w:pPr>
      <w:r>
        <w:rPr>
          <w:rFonts w:ascii="Barlow Semi Condensed" w:cs="Barlow Semi Condensed" w:eastAsia="Barlow Semi Condensed" w:hAnsi="Barlow Semi Condensed"/>
          <w:b/>
          <w:bCs/>
          <w:sz w:val="24"/>
          <w:szCs w:val="24"/>
        </w:rPr>
        <w:t xml:space="preserve">833 · Casimirri, l'anagrafe giudiziaria.</w:t>
      </w:r>
      <w:r>
        <w:rPr>
          <w:rFonts w:ascii="Barlow Semi Condensed" w:cs="Barlow Semi Condensed" w:eastAsia="Barlow Semi Condensed" w:hAnsi="Barlow Semi Condensed"/>
          <w:sz w:val="24"/>
          <w:szCs w:val="24"/>
        </w:rPr>
        <w:t xml:space="preserve"> Alessio Casimirri (Roma, 1951): sei ergastoli definitivi in contumacia per via Fani; latitante dal 1982, riparato via Libia e Cuba nel Nicaragua, cittadino nicaraguense, mai arrestato né interrogato da un giudice italiano; almeno due richieste formali di estradizione respinte. L'unico del registro senza neppure un verbale d'interrogatorio: il vuoto documentale personificato.</w:t>
      </w:r>
    </w:p>
    <w:p>
      <w:pPr>
        <w:spacing w:after="120" w:line="276"/>
        <w:jc w:val="both"/>
      </w:pPr>
      <w:r>
        <w:rPr>
          <w:rFonts w:ascii="Barlow Semi Condensed" w:cs="Barlow Semi Condensed" w:eastAsia="Barlow Semi Condensed" w:hAnsi="Barlow Semi Condensed"/>
          <w:b/>
          <w:bCs/>
          <w:sz w:val="24"/>
          <w:szCs w:val="24"/>
        </w:rPr>
        <w:t xml:space="preserve">834 · Casimirri, la parola.</w:t>
      </w:r>
      <w:r>
        <w:rPr>
          <w:rFonts w:ascii="Barlow Semi Condensed" w:cs="Barlow Semi Condensed" w:eastAsia="Barlow Semi Condensed" w:hAnsi="Barlow Semi Condensed"/>
          <w:sz w:val="24"/>
          <w:szCs w:val="24"/>
        </w:rPr>
        <w:t xml:space="preserve"> Il censimento della sua rara parola pubblica: le interviste concesse dalla latitanza (le tavole datate, con le circostanze di ciascuna), le dichiarazioni riferite. Poca parola, mai davanti a un'autorità: ogni suo enunciato pubblico è F sulla resa e C sul contenuto — la scheda lo stampa.</w:t>
      </w:r>
    </w:p>
    <w:p>
      <w:pPr>
        <w:spacing w:after="120" w:line="276"/>
        <w:jc w:val="both"/>
      </w:pPr>
      <w:r>
        <w:rPr>
          <w:rFonts w:ascii="Barlow Semi Condensed" w:cs="Barlow Semi Condensed" w:eastAsia="Barlow Semi Condensed" w:hAnsi="Barlow Semi Condensed"/>
          <w:b/>
          <w:bCs/>
          <w:sz w:val="24"/>
          <w:szCs w:val="24"/>
        </w:rPr>
        <w:t xml:space="preserve">835 · Casimirri, il bersaglio capitale.</w:t>
      </w:r>
      <w:r>
        <w:rPr>
          <w:rFonts w:ascii="Barlow Semi Condensed" w:cs="Barlow Semi Condensed" w:eastAsia="Barlow Semi Condensed" w:hAnsi="Barlow Semi Condensed"/>
          <w:sz w:val="24"/>
          <w:szCs w:val="24"/>
        </w:rPr>
        <w:t xml:space="preserve"> La rogatoria conoscitiva — la pista PN del programma con l'atto pronto, il blocco 104 dell'agenda, qui alla scala della persona: le domande scritte delle matrici, la via giuridica internazionale, l'esito verbalizzato comunque vada. Il bersaglio singolo a più alto rendimento potenziale dell'intero registro: l'unico che non ha mai risposto a nessuno.</w:t>
      </w:r>
    </w:p>
    <w:p>
      <w:pPr>
        <w:spacing w:after="120" w:line="276"/>
        <w:jc w:val="both"/>
      </w:pPr>
      <w:r>
        <w:rPr>
          <w:rFonts w:ascii="Barlow Semi Condensed" w:cs="Barlow Semi Condensed" w:eastAsia="Barlow Semi Condensed" w:hAnsi="Barlow Semi Condensed"/>
          <w:b/>
          <w:bCs/>
          <w:sz w:val="24"/>
          <w:szCs w:val="24"/>
        </w:rPr>
        <w:t xml:space="preserve">836 · Lojacono, l'anagrafe giudiziaria.</w:t>
      </w:r>
      <w:r>
        <w:rPr>
          <w:rFonts w:ascii="Barlow Semi Condensed" w:cs="Barlow Semi Condensed" w:eastAsia="Barlow Semi Condensed" w:hAnsi="Barlow Semi Condensed"/>
          <w:sz w:val="24"/>
          <w:szCs w:val="24"/>
        </w:rPr>
        <w:t xml:space="preserve"> Alvaro Lojacono (Roma, 1955): condannato in via definitiva nel Moro-quater (Cassazione, 14 maggio 1997) per la partecipazione all'intero arco del sequestro; cittadino svizzero per parte di madre, vive nel Ticino; la Svizzera non estrada i propri cittadini e lo ha processato per altri fatti; un fermo in Corsica nel 2000 negli snodi documentati. La scheda del condannato oltre confine per cittadinanza.</w:t>
      </w:r>
    </w:p>
    <w:p>
      <w:pPr>
        <w:spacing w:after="120" w:line="276"/>
        <w:jc w:val="both"/>
      </w:pPr>
      <w:r>
        <w:rPr>
          <w:rFonts w:ascii="Barlow Semi Condensed" w:cs="Barlow Semi Condensed" w:eastAsia="Barlow Semi Condensed" w:hAnsi="Barlow Semi Condensed"/>
          <w:b/>
          <w:bCs/>
          <w:sz w:val="24"/>
          <w:szCs w:val="24"/>
        </w:rPr>
        <w:t xml:space="preserve">837 · Lojacono, la parola.</w:t>
      </w:r>
      <w:r>
        <w:rPr>
          <w:rFonts w:ascii="Barlow Semi Condensed" w:cs="Barlow Semi Condensed" w:eastAsia="Barlow Semi Condensed" w:hAnsi="Barlow Semi Condensed"/>
          <w:sz w:val="24"/>
          <w:szCs w:val="24"/>
        </w:rPr>
        <w:t xml:space="preserve"> Il censimento della sua parola pubblica — scarsa, per lo più mediata: la tavola di interviste e dichiarazioni con le circostanze. Il silenzio relativo di chi vive libero per passaporto è un dato della tavola comparata delle parole (blocco 851).</w:t>
      </w:r>
    </w:p>
    <w:p>
      <w:pPr>
        <w:spacing w:after="120" w:line="276"/>
        <w:jc w:val="both"/>
      </w:pPr>
      <w:r>
        <w:rPr>
          <w:rFonts w:ascii="Barlow Semi Condensed" w:cs="Barlow Semi Condensed" w:eastAsia="Barlow Semi Condensed" w:hAnsi="Barlow Semi Condensed"/>
          <w:b/>
          <w:bCs/>
          <w:sz w:val="24"/>
          <w:szCs w:val="24"/>
        </w:rPr>
        <w:t xml:space="preserve">838 · Lojacono, i bersagli.</w:t>
      </w:r>
      <w:r>
        <w:rPr>
          <w:rFonts w:ascii="Barlow Semi Condensed" w:cs="Barlow Semi Condensed" w:eastAsia="Barlow Semi Condensed" w:hAnsi="Barlow Semi Condensed"/>
          <w:sz w:val="24"/>
          <w:szCs w:val="24"/>
        </w:rPr>
        <w:t xml:space="preserve"> La via dell'ascolto oltre confine (il blocco 105 dell'agenda): rogatoria, audizione volontaria, dichiarazione scritta — nelle forme che l'ordinamento elvetico consente. E il fascicolo svizzero come giacimento: gli atti dei procedimenti elvetici che lo riguardarono, nelle regole d'accesso di quel paese (il raccordo col blocco 144).</w:t>
      </w:r>
    </w:p>
    <w:p>
      <w:pPr>
        <w:spacing w:after="120" w:line="276"/>
        <w:jc w:val="both"/>
      </w:pPr>
      <w:r>
        <w:rPr>
          <w:rFonts w:ascii="Barlow Semi Condensed" w:cs="Barlow Semi Condensed" w:eastAsia="Barlow Semi Condensed" w:hAnsi="Barlow Semi Condensed"/>
          <w:b/>
          <w:bCs/>
          <w:sz w:val="24"/>
          <w:szCs w:val="24"/>
        </w:rPr>
        <w:t xml:space="preserve">839 · Maccari, l'anagrafe giudiziaria.</w:t>
      </w:r>
      <w:r>
        <w:rPr>
          <w:rFonts w:ascii="Barlow Semi Condensed" w:cs="Barlow Semi Condensed" w:eastAsia="Barlow Semi Condensed" w:hAnsi="Barlow Semi Condensed"/>
          <w:sz w:val="24"/>
          <w:szCs w:val="24"/>
        </w:rPr>
        <w:t xml:space="preserve"> Germano Maccari (Roma, 1953 - Rebibbia, 25 agosto 2001): il «quarto uomo» di via Montalcini, identificato negli anni Novanta, condannato nel Moro-quinquies (primo grado il 16 luglio 1996, definitivo nel 1998-99) a pena temporanea — il quantum esatto fra le caselle «da precisare»; morto in carcere per emorragia cerebrale. L'ultimo iscritto al registro, e il primo a morire dentro.</w:t>
      </w:r>
    </w:p>
    <w:p>
      <w:pPr>
        <w:spacing w:after="120" w:line="276"/>
        <w:jc w:val="both"/>
      </w:pPr>
      <w:r>
        <w:rPr>
          <w:rFonts w:ascii="Barlow Semi Condensed" w:cs="Barlow Semi Condensed" w:eastAsia="Barlow Semi Condensed" w:hAnsi="Barlow Semi Condensed"/>
          <w:b/>
          <w:bCs/>
          <w:sz w:val="24"/>
          <w:szCs w:val="24"/>
        </w:rPr>
        <w:t xml:space="preserve">840 · Maccari, la parola lasciata.</w:t>
      </w:r>
      <w:r>
        <w:rPr>
          <w:rFonts w:ascii="Barlow Semi Condensed" w:cs="Barlow Semi Condensed" w:eastAsia="Barlow Semi Condensed" w:hAnsi="Barlow Semi Condensed"/>
          <w:sz w:val="24"/>
          <w:szCs w:val="24"/>
        </w:rPr>
        <w:t xml:space="preserve"> Il censimento della sua parola: le dichiarazioni processuali del quinquies — le ammissioni, i limiti, i silenzi — come corpus chiuso. La sua vicenda è anche un caso di metodo: l'identificazione tardiva del quarto uomo dimostrò che il registro può crescere per giudicato anche a distanza di decenni — mai per suggestione.</w:t>
      </w:r>
    </w:p>
    <w:p>
      <w:pPr>
        <w:spacing w:after="120" w:line="276"/>
        <w:jc w:val="both"/>
      </w:pPr>
      <w:r>
        <w:rPr>
          <w:rFonts w:ascii="Barlow Semi Condensed" w:cs="Barlow Semi Condensed" w:eastAsia="Barlow Semi Condensed" w:hAnsi="Barlow Semi Condensed"/>
          <w:b/>
          <w:bCs/>
          <w:sz w:val="24"/>
          <w:szCs w:val="24"/>
        </w:rPr>
        <w:t xml:space="preserve">841 · Maccari, i bersagli postumi.</w:t>
      </w:r>
      <w:r>
        <w:rPr>
          <w:rFonts w:ascii="Barlow Semi Condensed" w:cs="Barlow Semi Condensed" w:eastAsia="Barlow Semi Condensed" w:hAnsi="Barlow Semi Condensed"/>
          <w:sz w:val="24"/>
          <w:szCs w:val="24"/>
        </w:rPr>
        <w:t xml:space="preserve"> Il fascicolo del quinquies come giacimento: gli atti dell'identificazione tardiva (come si arrivò a lui: la storia istruttoria è una lezione operativa per le presenze non giudicate), le carte personali eventuali. Il precedente processuale più istruttivo per il fascicolo aperto di oggi.</w:t>
      </w:r>
    </w:p>
    <w:p>
      <w:pPr>
        <w:spacing w:after="120" w:line="276"/>
        <w:jc w:val="both"/>
      </w:pPr>
      <w:r>
        <w:rPr>
          <w:rFonts w:ascii="Barlow Semi Condensed" w:cs="Barlow Semi Condensed" w:eastAsia="Barlow Semi Condensed" w:hAnsi="Barlow Semi Condensed"/>
          <w:b/>
          <w:bCs/>
          <w:sz w:val="24"/>
          <w:szCs w:val="24"/>
        </w:rPr>
        <w:t xml:space="preserve">842 · Etro, l'anagrafe giudiziaria.</w:t>
      </w:r>
      <w:r>
        <w:rPr>
          <w:rFonts w:ascii="Barlow Semi Condensed" w:cs="Barlow Semi Condensed" w:eastAsia="Barlow Semi Condensed" w:hAnsi="Barlow Semi Condensed"/>
          <w:sz w:val="24"/>
          <w:szCs w:val="24"/>
        </w:rPr>
        <w:t xml:space="preserve"> Raimondo Etro (Roma): condannato in via definitiva nel Moro-quinquies per il concorso nelle fasi logistiche (supporto e armi), pena temporanea interamente scontata — l'anno di nascita e il quantum fra le caselle divergenti dichiarate; libero e vivente. La scheda del livello logistico giudicato.</w:t>
      </w:r>
    </w:p>
    <w:p>
      <w:pPr>
        <w:spacing w:after="120" w:line="276"/>
        <w:jc w:val="both"/>
      </w:pPr>
      <w:r>
        <w:rPr>
          <w:rFonts w:ascii="Barlow Semi Condensed" w:cs="Barlow Semi Condensed" w:eastAsia="Barlow Semi Condensed" w:hAnsi="Barlow Semi Condensed"/>
          <w:b/>
          <w:bCs/>
          <w:sz w:val="24"/>
          <w:szCs w:val="24"/>
        </w:rPr>
        <w:t xml:space="preserve">843 · Etro, la parola.</w:t>
      </w:r>
      <w:r>
        <w:rPr>
          <w:rFonts w:ascii="Barlow Semi Condensed" w:cs="Barlow Semi Condensed" w:eastAsia="Barlow Semi Condensed" w:hAnsi="Barlow Semi Condensed"/>
          <w:sz w:val="24"/>
          <w:szCs w:val="24"/>
        </w:rPr>
        <w:t xml:space="preserve"> Il censimento delle sue interviste — negli anni ha parlato, anche in modo ruvido: la tavola datata con le circostanze, la collazione con gli atti. La parola del logistico tocca celle che i vertici non toccano: i depositi, le armi, i movimenti minuti.</w:t>
      </w:r>
    </w:p>
    <w:p>
      <w:pPr>
        <w:spacing w:after="120" w:line="276"/>
        <w:jc w:val="both"/>
      </w:pPr>
      <w:r>
        <w:rPr>
          <w:rFonts w:ascii="Barlow Semi Condensed" w:cs="Barlow Semi Condensed" w:eastAsia="Barlow Semi Condensed" w:hAnsi="Barlow Semi Condensed"/>
          <w:b/>
          <w:bCs/>
          <w:sz w:val="24"/>
          <w:szCs w:val="24"/>
        </w:rPr>
        <w:t xml:space="preserve">844 · Etro, i bersagli.</w:t>
      </w:r>
      <w:r>
        <w:rPr>
          <w:rFonts w:ascii="Barlow Semi Condensed" w:cs="Barlow Semi Condensed" w:eastAsia="Barlow Semi Condensed" w:hAnsi="Barlow Semi Condensed"/>
          <w:sz w:val="24"/>
          <w:szCs w:val="24"/>
        </w:rPr>
        <w:t xml:space="preserve"> Le domande logistiche aperte: le armi mai trovate (il blocco 366), i depositi, i percorsi — nella forma conservativa consueta. Fra i viventi, la memoria più prossima alla materialità minuta dell'operazione.</w:t>
      </w:r>
    </w:p>
    <w:p>
      <w:pPr>
        <w:spacing w:after="120" w:line="276"/>
        <w:jc w:val="both"/>
      </w:pPr>
      <w:r>
        <w:rPr>
          <w:rFonts w:ascii="Barlow Semi Condensed" w:cs="Barlow Semi Condensed" w:eastAsia="Barlow Semi Condensed" w:hAnsi="Barlow Semi Condensed"/>
          <w:b/>
          <w:bCs/>
          <w:sz w:val="24"/>
          <w:szCs w:val="24"/>
        </w:rPr>
        <w:t xml:space="preserve">845 · La pietra di paragone, per esteso.</w:t>
      </w:r>
      <w:r>
        <w:rPr>
          <w:rFonts w:ascii="Barlow Semi Condensed" w:cs="Barlow Semi Condensed" w:eastAsia="Barlow Semi Condensed" w:hAnsi="Barlow Semi Condensed"/>
          <w:sz w:val="24"/>
          <w:szCs w:val="24"/>
        </w:rPr>
        <w:t xml:space="preserve"> La scheda Algranati completa — fuori dal registro e accanto al registro: l'assoluzione per via Fani (Moro-ter, 1988) mai travolta; l'ergastolo per altri fatti; la cattura al Cairo (14 gennaio 2004). Tre righe che la pubblicistica confonde da vent'anni, fissate con le fonti: l'opera la custodisce come si custodisce una regola.</w:t>
      </w:r>
    </w:p>
    <w:p>
      <w:pPr>
        <w:spacing w:after="120" w:line="276"/>
        <w:jc w:val="both"/>
      </w:pPr>
      <w:r>
        <w:rPr>
          <w:rFonts w:ascii="Barlow Semi Condensed" w:cs="Barlow Semi Condensed" w:eastAsia="Barlow Semi Condensed" w:hAnsi="Barlow Semi Condensed"/>
          <w:b/>
          <w:bCs/>
          <w:sz w:val="24"/>
          <w:szCs w:val="24"/>
        </w:rPr>
        <w:t xml:space="preserve">846 · I non iscritti, il perimetro.</w:t>
      </w:r>
      <w:r>
        <w:rPr>
          <w:rFonts w:ascii="Barlow Semi Condensed" w:cs="Barlow Semi Condensed" w:eastAsia="Barlow Semi Condensed" w:hAnsi="Barlow Semi Condensed"/>
          <w:sz w:val="24"/>
          <w:szCs w:val="24"/>
        </w:rPr>
        <w:t xml:space="preserve"> Il censimento disciplinare: le persone che la pubblicistica associa al caso senza giudicato per il caso — la tavola di chi NON è nel registro e del perché (assoluzioni, archiviazioni, mere congetture), senza nomi oltre gli atti pubblici che li contengono. Il perimetro negativo del registro è la sua difesa: si scrive una volta, bene.</w:t>
      </w:r>
    </w:p>
    <w:p>
      <w:pPr>
        <w:spacing w:after="120" w:line="276"/>
        <w:jc w:val="both"/>
      </w:pPr>
      <w:r>
        <w:rPr>
          <w:rFonts w:ascii="Barlow Semi Condensed" w:cs="Barlow Semi Condensed" w:eastAsia="Barlow Semi Condensed" w:hAnsi="Barlow Semi Condensed"/>
          <w:b/>
          <w:bCs/>
          <w:sz w:val="24"/>
          <w:szCs w:val="24"/>
        </w:rPr>
        <w:t xml:space="preserve">847 · Le donne e gli uomini del registro, i numeri.</w:t>
      </w:r>
      <w:r>
        <w:rPr>
          <w:rFonts w:ascii="Barlow Semi Condensed" w:cs="Barlow Semi Condensed" w:eastAsia="Barlow Semi Condensed" w:hAnsi="Barlow Semi Condensed"/>
          <w:sz w:val="24"/>
          <w:szCs w:val="24"/>
        </w:rPr>
        <w:t xml:space="preserve"> La tavola statistica del registro: età al 1978, provenienze, ruoli giudicati, esecuzioni, longevità — la prosopografia quantitativa dei tredici. I numeri del registro raccontano una generazione: si contano perché sono storia, non curiosità.</w:t>
      </w:r>
    </w:p>
    <w:p>
      <w:pPr>
        <w:spacing w:after="120" w:line="276"/>
        <w:jc w:val="both"/>
      </w:pPr>
      <w:r>
        <w:rPr>
          <w:rFonts w:ascii="Barlow Semi Condensed" w:cs="Barlow Semi Condensed" w:eastAsia="Barlow Semi Condensed" w:hAnsi="Barlow Semi Condensed"/>
          <w:b/>
          <w:bCs/>
          <w:sz w:val="24"/>
          <w:szCs w:val="24"/>
        </w:rPr>
        <w:t xml:space="preserve">848 · Le morti del registro.</w:t>
      </w:r>
      <w:r>
        <w:rPr>
          <w:rFonts w:ascii="Barlow Semi Condensed" w:cs="Barlow Semi Condensed" w:eastAsia="Barlow Semi Condensed" w:hAnsi="Barlow Semi Condensed"/>
          <w:sz w:val="24"/>
          <w:szCs w:val="24"/>
        </w:rPr>
        <w:t xml:space="preserve"> La tavola dei decessi con le fonti: 2001, 2013, 2024, 2025, 2025 — la curva che si accelera. Ogni scheda postuma della parte è nata da questa curva; ogni scheda vivente lavora contro di essa. Il registro è un archivio che muore: la parte lo dice coi numeri.</w:t>
      </w:r>
    </w:p>
    <w:p>
      <w:pPr>
        <w:spacing w:after="120" w:line="276"/>
        <w:jc w:val="both"/>
      </w:pPr>
      <w:r>
        <w:rPr>
          <w:rFonts w:ascii="Barlow Semi Condensed" w:cs="Barlow Semi Condensed" w:eastAsia="Barlow Semi Condensed" w:hAnsi="Barlow Semi Condensed"/>
          <w:b/>
          <w:bCs/>
          <w:sz w:val="24"/>
          <w:szCs w:val="24"/>
        </w:rPr>
        <w:t xml:space="preserve">849 · Il registro e il fascicolo aperto.</w:t>
      </w:r>
      <w:r>
        <w:rPr>
          <w:rFonts w:ascii="Barlow Semi Condensed" w:cs="Barlow Semi Condensed" w:eastAsia="Barlow Semi Condensed" w:hAnsi="Barlow Semi Condensed"/>
          <w:sz w:val="24"/>
          <w:szCs w:val="24"/>
        </w:rPr>
        <w:t xml:space="preserve"> Il raccordo istituzionale: il registro chiuso convive con un fascicolo aperto sulle presenze non giudicate — e i due non si toccano: nessuna delle domande del fascicolo riapre le posizioni giudicate, nessun giudicato limita le domande sulle presenze ignote. La geometria giuridica del caso, spiegata una volta per tutte.</w:t>
      </w:r>
    </w:p>
    <w:p>
      <w:pPr>
        <w:spacing w:after="120" w:line="276"/>
        <w:jc w:val="both"/>
      </w:pPr>
      <w:r>
        <w:rPr>
          <w:rFonts w:ascii="Barlow Semi Condensed" w:cs="Barlow Semi Condensed" w:eastAsia="Barlow Semi Condensed" w:hAnsi="Barlow Semi Condensed"/>
          <w:b/>
          <w:bCs/>
          <w:sz w:val="24"/>
          <w:szCs w:val="24"/>
        </w:rPr>
        <w:t xml:space="preserve">850 · La tavola dei tredici.</w:t>
      </w:r>
      <w:r>
        <w:rPr>
          <w:rFonts w:ascii="Barlow Semi Condensed" w:cs="Barlow Semi Condensed" w:eastAsia="Barlow Semi Condensed" w:hAnsi="Barlow Semi Condensed"/>
          <w:sz w:val="24"/>
          <w:szCs w:val="24"/>
        </w:rPr>
        <w:t xml:space="preserve"> La chiusura della sezione: tredici schede a tre strati, con gli stati verificati, le caselle aperte dichiarate, i bersagli calendarizzati per urgenza biologica. Il luogo dei nomi, portato a profondità documentale — e ancora chiuso a chiave: si entra solo per giudicato.</w:t>
      </w:r>
    </w:p>
    <w:p>
      <w:pPr>
        <w:pStyle w:val="Heading3"/>
        <w:spacing w:after="80" w:before="160"/>
      </w:pPr>
      <w:r>
        <w:rPr>
          <w:rFonts w:ascii="Barlow Semi Condensed" w:cs="Barlow Semi Condensed" w:eastAsia="Barlow Semi Condensed" w:hAnsi="Barlow Semi Condensed"/>
          <w:sz w:val="24"/>
          <w:szCs w:val="24"/>
        </w:rPr>
        <w:t xml:space="preserve">La memorialistica e la parola (blocchi 851-865)</w:t>
      </w:r>
    </w:p>
    <w:p>
      <w:pPr>
        <w:spacing w:after="120" w:line="276"/>
        <w:jc w:val="both"/>
      </w:pPr>
      <w:r>
        <w:rPr>
          <w:rFonts w:ascii="Barlow Semi Condensed" w:cs="Barlow Semi Condensed" w:eastAsia="Barlow Semi Condensed" w:hAnsi="Barlow Semi Condensed"/>
          <w:b/>
          <w:bCs/>
          <w:sz w:val="24"/>
          <w:szCs w:val="24"/>
        </w:rPr>
        <w:t xml:space="preserve">851 · La tavola comparata delle parole.</w:t>
      </w:r>
      <w:r>
        <w:rPr>
          <w:rFonts w:ascii="Barlow Semi Condensed" w:cs="Barlow Semi Condensed" w:eastAsia="Barlow Semi Condensed" w:hAnsi="Barlow Semi Condensed"/>
          <w:sz w:val="24"/>
          <w:szCs w:val="24"/>
        </w:rPr>
        <w:t xml:space="preserve"> Lo strumento della sezione: la tavola di tutta la parola pubblica del registro — chi ha detto quanto, dove, quando: i libri, le interviste, le audizioni, i silenzi — persona per persona, anno per anno. La sociologia della parola dei condannati è essa stessa un documento: chi parla, chi tace, e da quando.</w:t>
      </w:r>
    </w:p>
    <w:p>
      <w:pPr>
        <w:spacing w:after="120" w:line="276"/>
        <w:jc w:val="both"/>
      </w:pPr>
      <w:r>
        <w:rPr>
          <w:rFonts w:ascii="Barlow Semi Condensed" w:cs="Barlow Semi Condensed" w:eastAsia="Barlow Semi Condensed" w:hAnsi="Barlow Semi Condensed"/>
          <w:b/>
          <w:bCs/>
          <w:sz w:val="24"/>
          <w:szCs w:val="24"/>
        </w:rPr>
        <w:t xml:space="preserve">852 · La biblioteca dei condannati.</w:t>
      </w:r>
      <w:r>
        <w:rPr>
          <w:rFonts w:ascii="Barlow Semi Condensed" w:cs="Barlow Semi Condensed" w:eastAsia="Barlow Semi Condensed" w:hAnsi="Barlow Semi Condensed"/>
          <w:sz w:val="24"/>
          <w:szCs w:val="24"/>
        </w:rPr>
        <w:t xml:space="preserve"> Il censimento bibliografico integrale: ogni libro scritto da membri del registro (dal libro-intervista di Moretti del 1994 al «Prigioniero» di Braghetti del 1998, dall'autobiografia di Gallinari ai libri di Balzerani), con edizioni, ristampe, traduzioni. La memorialistica brigatista sul caso è un corpus editoriale: si cataloga prima di giudicarlo.</w:t>
      </w:r>
    </w:p>
    <w:p>
      <w:pPr>
        <w:spacing w:after="120" w:line="276"/>
        <w:jc w:val="both"/>
      </w:pPr>
      <w:r>
        <w:rPr>
          <w:rFonts w:ascii="Barlow Semi Condensed" w:cs="Barlow Semi Condensed" w:eastAsia="Barlow Semi Condensed" w:hAnsi="Barlow Semi Condensed"/>
          <w:b/>
          <w:bCs/>
          <w:sz w:val="24"/>
          <w:szCs w:val="24"/>
        </w:rPr>
        <w:t xml:space="preserve">853 · La collazione parola-atti.</w:t>
      </w:r>
      <w:r>
        <w:rPr>
          <w:rFonts w:ascii="Barlow Semi Condensed" w:cs="Barlow Semi Condensed" w:eastAsia="Barlow Semi Condensed" w:hAnsi="Barlow Semi Condensed"/>
          <w:sz w:val="24"/>
          <w:szCs w:val="24"/>
        </w:rPr>
        <w:t xml:space="preserve"> Il cantiere filologico della sezione: ogni affermazione fattuale della memorialistica collazionata con gli atti — la tavola delle concordanze, delle divergenze e degli inediti per ciascun libro (il metodo del blocco 170 dell'agenda, applicato ai condannati). Che cosa i libri aggiungono al giudicato, e che cosa gli tolgono: misurato, non recensito.</w:t>
      </w:r>
    </w:p>
    <w:p>
      <w:pPr>
        <w:spacing w:after="120" w:line="276"/>
        <w:jc w:val="both"/>
      </w:pPr>
      <w:r>
        <w:rPr>
          <w:rFonts w:ascii="Barlow Semi Condensed" w:cs="Barlow Semi Condensed" w:eastAsia="Barlow Semi Condensed" w:hAnsi="Barlow Semi Condensed"/>
          <w:b/>
          <w:bCs/>
          <w:sz w:val="24"/>
          <w:szCs w:val="24"/>
        </w:rPr>
        <w:t xml:space="preserve">854 · Le versioni che cambiano.</w:t>
      </w:r>
      <w:r>
        <w:rPr>
          <w:rFonts w:ascii="Barlow Semi Condensed" w:cs="Barlow Semi Condensed" w:eastAsia="Barlow Semi Condensed" w:hAnsi="Barlow Semi Condensed"/>
          <w:sz w:val="24"/>
          <w:szCs w:val="24"/>
        </w:rPr>
        <w:t xml:space="preserve"> La diacronia delle versioni: per i temi chiave (la dinamica di via Fani, la prigione, i canali), come il racconto di ciascuno è mutato nel tempo — dalle dichiarazioni processuali ai libri alle ultime interviste. La deriva delle versioni è un dato filologico: si tabula con le date, senza processi alle intenzioni.</w:t>
      </w:r>
    </w:p>
    <w:p>
      <w:pPr>
        <w:spacing w:after="120" w:line="276"/>
        <w:jc w:val="both"/>
      </w:pPr>
      <w:r>
        <w:rPr>
          <w:rFonts w:ascii="Barlow Semi Condensed" w:cs="Barlow Semi Condensed" w:eastAsia="Barlow Semi Condensed" w:hAnsi="Barlow Semi Condensed"/>
          <w:b/>
          <w:bCs/>
          <w:sz w:val="24"/>
          <w:szCs w:val="24"/>
        </w:rPr>
        <w:t xml:space="preserve">855 · Il memoriale della dissociazione.</w:t>
      </w:r>
      <w:r>
        <w:rPr>
          <w:rFonts w:ascii="Barlow Semi Condensed" w:cs="Barlow Semi Condensed" w:eastAsia="Barlow Semi Condensed" w:hAnsi="Barlow Semi Condensed"/>
          <w:sz w:val="24"/>
          <w:szCs w:val="24"/>
        </w:rPr>
        <w:t xml:space="preserve"> Lo strumento-cerniera: il memoriale Morucci-Faranda degli anni Ottanta — la versione della dissociazione che ridisegnò la conoscenza giudiziaria del caso: la sua storia documentale (stesure, consegne, usi processuali), il suo perimetro (che cosa copre e che cosa dichiaratamente no), la sua tenuta rispetto agli accertamenti successivi. Il testo di parte più influente del caso merita la scheda più rigorosa.</w:t>
      </w:r>
    </w:p>
    <w:p>
      <w:pPr>
        <w:spacing w:after="120" w:line="276"/>
        <w:jc w:val="both"/>
      </w:pPr>
      <w:r>
        <w:rPr>
          <w:rFonts w:ascii="Barlow Semi Condensed" w:cs="Barlow Semi Condensed" w:eastAsia="Barlow Semi Condensed" w:hAnsi="Barlow Semi Condensed"/>
          <w:b/>
          <w:bCs/>
          <w:sz w:val="24"/>
          <w:szCs w:val="24"/>
        </w:rPr>
        <w:t xml:space="preserve">856 · Le audizioni parlamentari dei condannati.</w:t>
      </w:r>
      <w:r>
        <w:rPr>
          <w:rFonts w:ascii="Barlow Semi Condensed" w:cs="Barlow Semi Condensed" w:eastAsia="Barlow Semi Condensed" w:hAnsi="Barlow Semi Condensed"/>
          <w:sz w:val="24"/>
          <w:szCs w:val="24"/>
        </w:rPr>
        <w:t xml:space="preserve"> Il censimento: quali membri del registro furono ascoltati dalle commissioni, quando, con quali esiti (l'indice unico del blocco 67 dell'agenda, ristretto al registro). E il negativo: chi non fu mai ascoltato da nessuna commissione — la tavola delle occasioni mancate, con le ragioni documentate dove esistono.</w:t>
      </w:r>
    </w:p>
    <w:p>
      <w:pPr>
        <w:spacing w:after="120" w:line="276"/>
        <w:jc w:val="both"/>
      </w:pPr>
      <w:r>
        <w:rPr>
          <w:rFonts w:ascii="Barlow Semi Condensed" w:cs="Barlow Semi Condensed" w:eastAsia="Barlow Semi Condensed" w:hAnsi="Barlow Semi Condensed"/>
          <w:b/>
          <w:bCs/>
          <w:sz w:val="24"/>
          <w:szCs w:val="24"/>
        </w:rPr>
        <w:t xml:space="preserve">857 · Le interviste televisive, il corpus.</w:t>
      </w:r>
      <w:r>
        <w:rPr>
          <w:rFonts w:ascii="Barlow Semi Condensed" w:cs="Barlow Semi Condensed" w:eastAsia="Barlow Semi Condensed" w:hAnsi="Barlow Semi Condensed"/>
          <w:sz w:val="24"/>
          <w:szCs w:val="24"/>
        </w:rPr>
        <w:t xml:space="preserve"> Il raccordo con la Parte sesta (blocco 621): le apparizioni televisive del registro — Zavoli in testa — indicizzate al minuto e collazionate con gli atti. La televisione ha raccolto più parola brigatista dei tribunali negli ultimi trent'anni: quel corpus si tratta con la stessa serietà degli stenografici.</w:t>
      </w:r>
    </w:p>
    <w:p>
      <w:pPr>
        <w:spacing w:after="120" w:line="276"/>
        <w:jc w:val="both"/>
      </w:pPr>
      <w:r>
        <w:rPr>
          <w:rFonts w:ascii="Barlow Semi Condensed" w:cs="Barlow Semi Condensed" w:eastAsia="Barlow Semi Condensed" w:hAnsi="Barlow Semi Condensed"/>
          <w:b/>
          <w:bCs/>
          <w:sz w:val="24"/>
          <w:szCs w:val="24"/>
        </w:rPr>
        <w:t xml:space="preserve">858 · La giustizia riparativa documentata.</w:t>
      </w:r>
      <w:r>
        <w:rPr>
          <w:rFonts w:ascii="Barlow Semi Condensed" w:cs="Barlow Semi Condensed" w:eastAsia="Barlow Semi Condensed" w:hAnsi="Barlow Semi Condensed"/>
          <w:sz w:val="24"/>
          <w:szCs w:val="24"/>
        </w:rPr>
        <w:t xml:space="preserve"> Il capitolo più delicato: i percorsi riparativi pubblici e riferiti (Bonisoli e altri con familiari delle vittime) — censiti nel loro perimetro pubblico, col riserbo dovuto ai percorsi riservati (la regola del blocco 828). Ciò che la giustizia riparativa ha prodotto per la conoscenza del caso si registra; ciò che appartiene all'intimità degli incontri, no.</w:t>
      </w:r>
    </w:p>
    <w:p>
      <w:pPr>
        <w:spacing w:after="120" w:line="276"/>
        <w:jc w:val="both"/>
      </w:pPr>
      <w:r>
        <w:rPr>
          <w:rFonts w:ascii="Barlow Semi Condensed" w:cs="Barlow Semi Condensed" w:eastAsia="Barlow Semi Condensed" w:hAnsi="Barlow Semi Condensed"/>
          <w:b/>
          <w:bCs/>
          <w:sz w:val="24"/>
          <w:szCs w:val="24"/>
        </w:rPr>
        <w:t xml:space="preserve">859 · Le dichiarazioni spontanee, il programma.</w:t>
      </w:r>
      <w:r>
        <w:rPr>
          <w:rFonts w:ascii="Barlow Semi Condensed" w:cs="Barlow Semi Condensed" w:eastAsia="Barlow Semi Condensed" w:hAnsi="Barlow Semi Condensed"/>
          <w:sz w:val="24"/>
          <w:szCs w:val="24"/>
        </w:rPr>
        <w:t xml:space="preserve"> L'esecuzione coordinata del blocco 103 dell'agenda su tutto il registro vivente: la proposta formale, persona per persona, di dichiarazioni spontanee verbalizzate sulle celle aperte delle matrici — con le forme (verbalizzazione utilizzabile), i tempi (la finestra biologica) e la contabilità (accettazioni, rifiuti, silenzi: tutti dati). Il programma della parte: la parola che ancora si può chiedere, chiesta bene.</w:t>
      </w:r>
    </w:p>
    <w:p>
      <w:pPr>
        <w:spacing w:after="120" w:line="276"/>
        <w:jc w:val="both"/>
      </w:pPr>
      <w:r>
        <w:rPr>
          <w:rFonts w:ascii="Barlow Semi Condensed" w:cs="Barlow Semi Condensed" w:eastAsia="Barlow Semi Condensed" w:hAnsi="Barlow Semi Condensed"/>
          <w:b/>
          <w:bCs/>
          <w:sz w:val="24"/>
          <w:szCs w:val="24"/>
        </w:rPr>
        <w:t xml:space="preserve">860 · I rifiuti come dati.</w:t>
      </w:r>
      <w:r>
        <w:rPr>
          <w:rFonts w:ascii="Barlow Semi Condensed" w:cs="Barlow Semi Condensed" w:eastAsia="Barlow Semi Condensed" w:hAnsi="Barlow Semi Condensed"/>
          <w:sz w:val="24"/>
          <w:szCs w:val="24"/>
        </w:rPr>
        <w:t xml:space="preserve"> La regola degli esiti: ogni rifiuto di parlare si registra con la stessa cura di ogni dichiarazione — datato, senza commento, nella tavola. Il silenzio di un condannato è un suo diritto e un fatto storico: l'opera lo rispetta e lo conta.</w:t>
      </w:r>
    </w:p>
    <w:p>
      <w:pPr>
        <w:spacing w:after="120" w:line="276"/>
        <w:jc w:val="both"/>
      </w:pPr>
      <w:r>
        <w:rPr>
          <w:rFonts w:ascii="Barlow Semi Condensed" w:cs="Barlow Semi Condensed" w:eastAsia="Barlow Semi Condensed" w:hAnsi="Barlow Semi Condensed"/>
          <w:b/>
          <w:bCs/>
          <w:sz w:val="24"/>
          <w:szCs w:val="24"/>
        </w:rPr>
        <w:t xml:space="preserve">861 · Le parole degli altri brigatisti.</w:t>
      </w:r>
      <w:r>
        <w:rPr>
          <w:rFonts w:ascii="Barlow Semi Condensed" w:cs="Barlow Semi Condensed" w:eastAsia="Barlow Semi Condensed" w:hAnsi="Barlow Semi Condensed"/>
          <w:sz w:val="24"/>
          <w:szCs w:val="24"/>
        </w:rPr>
        <w:t xml:space="preserve"> Il perimetro allargato con disciplina: la parola pubblica dei condannati per fatti connessi (la colonna romana, i covi) sul caso — censita come contesto, mai confusa col registro. La tavola distingue per costruzione: chi parla del caso dall'interno del suo giudicato, e chi ne parla da testimone d'ambiente.</w:t>
      </w:r>
    </w:p>
    <w:p>
      <w:pPr>
        <w:spacing w:after="120" w:line="276"/>
        <w:jc w:val="both"/>
      </w:pPr>
      <w:r>
        <w:rPr>
          <w:rFonts w:ascii="Barlow Semi Condensed" w:cs="Barlow Semi Condensed" w:eastAsia="Barlow Semi Condensed" w:hAnsi="Barlow Semi Condensed"/>
          <w:b/>
          <w:bCs/>
          <w:sz w:val="24"/>
          <w:szCs w:val="24"/>
        </w:rPr>
        <w:t xml:space="preserve">862 · I confronti impossibili e possibili.</w:t>
      </w:r>
      <w:r>
        <w:rPr>
          <w:rFonts w:ascii="Barlow Semi Condensed" w:cs="Barlow Semi Condensed" w:eastAsia="Barlow Semi Condensed" w:hAnsi="Barlow Semi Condensed"/>
          <w:sz w:val="24"/>
          <w:szCs w:val="24"/>
        </w:rPr>
        <w:t xml:space="preserve"> Il censimento dei contraddittori mai avvenuti: le versioni incompatibili fra membri del registro mai messe a confronto in nessuna sede — la tavola delle collisioni non risolte. Dove i protagonisti vivono, il confronto documentale (non suggestivo: la regola del blocco 123 dell'agenda) è ancora possibile: si propone, si verbalizza, si archivia.</w:t>
      </w:r>
    </w:p>
    <w:p>
      <w:pPr>
        <w:spacing w:after="120" w:line="276"/>
        <w:jc w:val="both"/>
      </w:pPr>
      <w:r>
        <w:rPr>
          <w:rFonts w:ascii="Barlow Semi Condensed" w:cs="Barlow Semi Condensed" w:eastAsia="Barlow Semi Condensed" w:hAnsi="Barlow Semi Condensed"/>
          <w:b/>
          <w:bCs/>
          <w:sz w:val="24"/>
          <w:szCs w:val="24"/>
        </w:rPr>
        <w:t xml:space="preserve">863 · La parola e il DNA.</w:t>
      </w:r>
      <w:r>
        <w:rPr>
          <w:rFonts w:ascii="Barlow Semi Condensed" w:cs="Barlow Semi Condensed" w:eastAsia="Barlow Semi Condensed" w:hAnsi="Barlow Semi Condensed"/>
          <w:sz w:val="24"/>
          <w:szCs w:val="24"/>
        </w:rPr>
        <w:t xml:space="preserve"> Il raccordo con la Parte quarta: le dichiarazioni del registro sulla composizione del commando contro i profili orfani del 2016 — la tavola delle compatibilità dichiarative (chi ha sempre detto che erano in nove, chi ha lasciato margini). La parola si confronta con la biologia: dove collidono, la collisione si dichiara — e decide il reperto.</w:t>
      </w:r>
    </w:p>
    <w:p>
      <w:pPr>
        <w:spacing w:after="120" w:line="276"/>
        <w:jc w:val="both"/>
      </w:pPr>
      <w:r>
        <w:rPr>
          <w:rFonts w:ascii="Barlow Semi Condensed" w:cs="Barlow Semi Condensed" w:eastAsia="Barlow Semi Condensed" w:hAnsi="Barlow Semi Condensed"/>
          <w:b/>
          <w:bCs/>
          <w:sz w:val="24"/>
          <w:szCs w:val="24"/>
        </w:rPr>
        <w:t xml:space="preserve">864 · L'ultima generazione di domande.</w:t>
      </w:r>
      <w:r>
        <w:rPr>
          <w:rFonts w:ascii="Barlow Semi Condensed" w:cs="Barlow Semi Condensed" w:eastAsia="Barlow Semi Condensed" w:hAnsi="Barlow Semi Condensed"/>
          <w:sz w:val="24"/>
          <w:szCs w:val="24"/>
        </w:rPr>
        <w:t xml:space="preserve"> La sintesi operativa: le dieci domande documentali più importanti ancora ponibili al registro vivente — estratte dalle matrici, ordinate per rendimento, scritte nella forma giusta. Non «la verità»: dieci celle specifiche che una memoria diretta può riempire e un documento può poi corroborare. La parte le pubblica: sono il suo testamento operativo.</w:t>
      </w:r>
    </w:p>
    <w:p>
      <w:pPr>
        <w:spacing w:after="120" w:line="276"/>
        <w:jc w:val="both"/>
      </w:pPr>
      <w:r>
        <w:rPr>
          <w:rFonts w:ascii="Barlow Semi Condensed" w:cs="Barlow Semi Condensed" w:eastAsia="Barlow Semi Condensed" w:hAnsi="Barlow Semi Condensed"/>
          <w:b/>
          <w:bCs/>
          <w:sz w:val="24"/>
          <w:szCs w:val="24"/>
        </w:rPr>
        <w:t xml:space="preserve">865 · La tavola della parola.</w:t>
      </w:r>
      <w:r>
        <w:rPr>
          <w:rFonts w:ascii="Barlow Semi Condensed" w:cs="Barlow Semi Condensed" w:eastAsia="Barlow Semi Condensed" w:hAnsi="Barlow Semi Condensed"/>
          <w:sz w:val="24"/>
          <w:szCs w:val="24"/>
        </w:rPr>
        <w:t xml:space="preserve"> La chiusura della sezione: il corpus censito, le collazioni avviate, il programma delle spontanee attivo, i rifiuti contati. La parola dei condannati, trattata da fonte: né oracolo né spazzatura — materiale, con i gradi.</w:t>
      </w:r>
    </w:p>
    <w:p>
      <w:pPr>
        <w:pStyle w:val="Heading3"/>
        <w:spacing w:after="80" w:before="160"/>
      </w:pPr>
      <w:r>
        <w:rPr>
          <w:rFonts w:ascii="Barlow Semi Condensed" w:cs="Barlow Semi Condensed" w:eastAsia="Barlow Semi Condensed" w:hAnsi="Barlow Semi Condensed"/>
          <w:sz w:val="24"/>
          <w:szCs w:val="24"/>
        </w:rPr>
        <w:t xml:space="preserve">I bersagli giudiziari e il governo della parte (blocchi 866-880)</w:t>
      </w:r>
    </w:p>
    <w:p>
      <w:pPr>
        <w:spacing w:after="120" w:line="276"/>
        <w:jc w:val="both"/>
      </w:pPr>
      <w:r>
        <w:rPr>
          <w:rFonts w:ascii="Barlow Semi Condensed" w:cs="Barlow Semi Condensed" w:eastAsia="Barlow Semi Condensed" w:hAnsi="Barlow Semi Condensed"/>
          <w:b/>
          <w:bCs/>
          <w:sz w:val="24"/>
          <w:szCs w:val="24"/>
        </w:rPr>
        <w:t xml:space="preserve">866 · Il fascicolo integrale del registro.</w:t>
      </w:r>
      <w:r>
        <w:rPr>
          <w:rFonts w:ascii="Barlow Semi Condensed" w:cs="Barlow Semi Condensed" w:eastAsia="Barlow Semi Condensed" w:hAnsi="Barlow Semi Condensed"/>
          <w:sz w:val="24"/>
          <w:szCs w:val="24"/>
        </w:rPr>
        <w:t xml:space="preserve"> Il bersaglio documentale: per ciascuno dei tredici, il fascicolo processuale personale integrale dagli atti digitalizzati — imputazioni, dibattimento, motivazioni, esecuzione. Tredici dossier d'archivio completi: la base di ogni scheda, citabile al foglio.</w:t>
      </w:r>
    </w:p>
    <w:p>
      <w:pPr>
        <w:spacing w:after="120" w:line="276"/>
        <w:jc w:val="both"/>
      </w:pPr>
      <w:r>
        <w:rPr>
          <w:rFonts w:ascii="Barlow Semi Condensed" w:cs="Barlow Semi Condensed" w:eastAsia="Barlow Semi Condensed" w:hAnsi="Barlow Semi Condensed"/>
          <w:b/>
          <w:bCs/>
          <w:sz w:val="24"/>
          <w:szCs w:val="24"/>
        </w:rPr>
        <w:t xml:space="preserve">867 · Le divergenze delle fonti, chiuse.</w:t>
      </w:r>
      <w:r>
        <w:rPr>
          <w:rFonts w:ascii="Barlow Semi Condensed" w:cs="Barlow Semi Condensed" w:eastAsia="Barlow Semi Condensed" w:hAnsi="Barlow Semi Condensed"/>
          <w:sz w:val="24"/>
          <w:szCs w:val="24"/>
        </w:rPr>
        <w:t xml:space="preserve"> Il programma di bonifica: le caselle «da precisare» della tavola (i luoghi di nascita divergenti, i quantum di pena, le date dei benefici) chiuse una a una su fonte primaria — anagrafi, sentenze, provvedimenti. La prosopografia del registro merita l'esattezza delle date: ogni casella chiusa è un piccolo atto di igiene storica.</w:t>
      </w:r>
    </w:p>
    <w:p>
      <w:pPr>
        <w:spacing w:after="120" w:line="276"/>
        <w:jc w:val="both"/>
      </w:pPr>
      <w:r>
        <w:rPr>
          <w:rFonts w:ascii="Barlow Semi Condensed" w:cs="Barlow Semi Condensed" w:eastAsia="Barlow Semi Condensed" w:hAnsi="Barlow Semi Condensed"/>
          <w:b/>
          <w:bCs/>
          <w:sz w:val="24"/>
          <w:szCs w:val="24"/>
        </w:rPr>
        <w:t xml:space="preserve">868 · La rogatoria, l'atto.</w:t>
      </w:r>
      <w:r>
        <w:rPr>
          <w:rFonts w:ascii="Barlow Semi Condensed" w:cs="Barlow Semi Condensed" w:eastAsia="Barlow Semi Condensed" w:hAnsi="Barlow Semi Condensed"/>
          <w:sz w:val="24"/>
          <w:szCs w:val="24"/>
        </w:rPr>
        <w:t xml:space="preserve"> Il bersaglio giuridico maggiore della parte (il blocco 835, in forma d'atto): il dossier completo per la rogatoria conoscitiva a Managua — le domande, la base giuridica, i precedenti di cooperazione, la proposta alle autorità competenti. L'opera prepara; le autorità decidono: ma nessuno potrà più dire che l'atto non era pronto.</w:t>
      </w:r>
    </w:p>
    <w:p>
      <w:pPr>
        <w:spacing w:after="120" w:line="276"/>
        <w:jc w:val="both"/>
      </w:pPr>
      <w:r>
        <w:rPr>
          <w:rFonts w:ascii="Barlow Semi Condensed" w:cs="Barlow Semi Condensed" w:eastAsia="Barlow Semi Condensed" w:hAnsi="Barlow Semi Condensed"/>
          <w:b/>
          <w:bCs/>
          <w:sz w:val="24"/>
          <w:szCs w:val="24"/>
        </w:rPr>
        <w:t xml:space="preserve">869 · Il dossier elvetico.</w:t>
      </w:r>
      <w:r>
        <w:rPr>
          <w:rFonts w:ascii="Barlow Semi Condensed" w:cs="Barlow Semi Condensed" w:eastAsia="Barlow Semi Condensed" w:hAnsi="Barlow Semi Condensed"/>
          <w:sz w:val="24"/>
          <w:szCs w:val="24"/>
        </w:rPr>
        <w:t xml:space="preserve"> Il gemello svizzero (il blocco 838, in forma d'atto): il dossier per l'ascolto di Lojacono nelle forme elvetiche, e l'accesso agli atti dei procedimenti svizzeri che lo riguardarono. Due ordinamenti, un obiettivo documentale: la parola verbalizzata di chi non ha mai risposto ai giudici italiani sul merito pieno.</w:t>
      </w:r>
    </w:p>
    <w:p>
      <w:pPr>
        <w:spacing w:after="120" w:line="276"/>
        <w:jc w:val="both"/>
      </w:pPr>
      <w:r>
        <w:rPr>
          <w:rFonts w:ascii="Barlow Semi Condensed" w:cs="Barlow Semi Condensed" w:eastAsia="Barlow Semi Condensed" w:hAnsi="Barlow Semi Condensed"/>
          <w:b/>
          <w:bCs/>
          <w:sz w:val="24"/>
          <w:szCs w:val="24"/>
        </w:rPr>
        <w:t xml:space="preserve">870 · L'esecuzione penale, la storia scritta.</w:t>
      </w:r>
      <w:r>
        <w:rPr>
          <w:rFonts w:ascii="Barlow Semi Condensed" w:cs="Barlow Semi Condensed" w:eastAsia="Barlow Semi Condensed" w:hAnsi="Barlow Semi Condensed"/>
          <w:sz w:val="24"/>
          <w:szCs w:val="24"/>
        </w:rPr>
        <w:t xml:space="preserve"> Il bersaglio storiografico: la storia dell'esecuzione penale del caso — i benefici, i dibattiti pubblici che accompagnarono ogni scarcerazione, le norme applicate — come capitolo documentato di storia repubblicana. Il paese ha discusso per decenni delle pene dei tredici: quella discussione ha i suoi atti, e si scrive.</w:t>
      </w:r>
    </w:p>
    <w:p>
      <w:pPr>
        <w:spacing w:after="120" w:line="276"/>
        <w:jc w:val="both"/>
      </w:pPr>
      <w:r>
        <w:rPr>
          <w:rFonts w:ascii="Barlow Semi Condensed" w:cs="Barlow Semi Condensed" w:eastAsia="Barlow Semi Condensed" w:hAnsi="Barlow Semi Condensed"/>
          <w:b/>
          <w:bCs/>
          <w:sz w:val="24"/>
          <w:szCs w:val="24"/>
        </w:rPr>
        <w:t xml:space="preserve">871 · Le vittime e le costituzioni di parte.</w:t>
      </w:r>
      <w:r>
        <w:rPr>
          <w:rFonts w:ascii="Barlow Semi Condensed" w:cs="Barlow Semi Condensed" w:eastAsia="Barlow Semi Condensed" w:hAnsi="Barlow Semi Condensed"/>
          <w:sz w:val="24"/>
          <w:szCs w:val="24"/>
        </w:rPr>
        <w:t xml:space="preserve"> Il censimento processuale delle famiglie: le costituzioni di parte civile nei cinque processi, i loro difensori, le loro memorie — e il ruolo attivo di oggi (l'opposizione della famiglia Ricci all'archiviazione del 2025 che ha riaperto le indagini). Le famiglie non sono spettatrici del registro: sono parte della sua storia giuridica, ieri e oggi.</w:t>
      </w:r>
    </w:p>
    <w:p>
      <w:pPr>
        <w:spacing w:after="120" w:line="276"/>
        <w:jc w:val="both"/>
      </w:pPr>
      <w:r>
        <w:rPr>
          <w:rFonts w:ascii="Barlow Semi Condensed" w:cs="Barlow Semi Condensed" w:eastAsia="Barlow Semi Condensed" w:hAnsi="Barlow Semi Condensed"/>
          <w:b/>
          <w:bCs/>
          <w:sz w:val="24"/>
          <w:szCs w:val="24"/>
        </w:rPr>
        <w:t xml:space="preserve">872 · I difensori del registro.</w:t>
      </w:r>
      <w:r>
        <w:rPr>
          <w:rFonts w:ascii="Barlow Semi Condensed" w:cs="Barlow Semi Condensed" w:eastAsia="Barlow Semi Condensed" w:hAnsi="Barlow Semi Condensed"/>
          <w:sz w:val="24"/>
          <w:szCs w:val="24"/>
        </w:rPr>
        <w:t xml:space="preserve"> Il censimento dei collegi difensivi dei cinque processi: chi difese chi, con quali linee documentate — e i loro archivi (il blocco 289 della Parte terza). La difesa dei tredici è un punto di vista documentale sul caso: si censisce con le regole del segreto rispettate.</w:t>
      </w:r>
    </w:p>
    <w:p>
      <w:pPr>
        <w:spacing w:after="120" w:line="276"/>
        <w:jc w:val="both"/>
      </w:pPr>
      <w:r>
        <w:rPr>
          <w:rFonts w:ascii="Barlow Semi Condensed" w:cs="Barlow Semi Condensed" w:eastAsia="Barlow Semi Condensed" w:hAnsi="Barlow Semi Condensed"/>
          <w:b/>
          <w:bCs/>
          <w:sz w:val="24"/>
          <w:szCs w:val="24"/>
        </w:rPr>
        <w:t xml:space="preserve">873 · Il registro nel diritto comparato.</w:t>
      </w:r>
      <w:r>
        <w:rPr>
          <w:rFonts w:ascii="Barlow Semi Condensed" w:cs="Barlow Semi Condensed" w:eastAsia="Barlow Semi Condensed" w:hAnsi="Barlow Semi Condensed"/>
          <w:sz w:val="24"/>
          <w:szCs w:val="24"/>
        </w:rPr>
        <w:t xml:space="preserve"> Lo studio di cornice: come altri ordinamenti hanno trattato i condannati del terrorismo degli anni Settanta (le scarcerazioni, le parole pubbliche, i divieti) — la tavola comparata europea. Il registro italiano dentro il paesaggio continentale: un capitolo di politica del diritto, documentato.</w:t>
      </w:r>
    </w:p>
    <w:p>
      <w:pPr>
        <w:spacing w:after="120" w:line="276"/>
        <w:jc w:val="both"/>
      </w:pPr>
      <w:r>
        <w:rPr>
          <w:rFonts w:ascii="Barlow Semi Condensed" w:cs="Barlow Semi Condensed" w:eastAsia="Barlow Semi Condensed" w:hAnsi="Barlow Semi Condensed"/>
          <w:b/>
          <w:bCs/>
          <w:sz w:val="24"/>
          <w:szCs w:val="24"/>
        </w:rPr>
        <w:t xml:space="preserve">874 · Il lessico del registro.</w:t>
      </w:r>
      <w:r>
        <w:rPr>
          <w:rFonts w:ascii="Barlow Semi Condensed" w:cs="Barlow Semi Condensed" w:eastAsia="Barlow Semi Condensed" w:hAnsi="Barlow Semi Condensed"/>
          <w:sz w:val="24"/>
          <w:szCs w:val="24"/>
        </w:rPr>
        <w:t xml:space="preserve"> La bonifica lessicale: le parole giuste per il registro — «condannato in via definitiva», «dissociato», «latitante», «pena estinta» — contro il lessico impreciso della pubblicistica («pentito» usato a sproposito, «ergastolano» per chi è libero). Il glossario del registro: piccolo, esatto, pubblico.</w:t>
      </w:r>
    </w:p>
    <w:p>
      <w:pPr>
        <w:spacing w:after="120" w:line="276"/>
        <w:jc w:val="both"/>
      </w:pPr>
      <w:r>
        <w:rPr>
          <w:rFonts w:ascii="Barlow Semi Condensed" w:cs="Barlow Semi Condensed" w:eastAsia="Barlow Semi Condensed" w:hAnsi="Barlow Semi Condensed"/>
          <w:b/>
          <w:bCs/>
          <w:sz w:val="24"/>
          <w:szCs w:val="24"/>
        </w:rPr>
        <w:t xml:space="preserve">875 · Il registro e la scuola.</w:t>
      </w:r>
      <w:r>
        <w:rPr>
          <w:rFonts w:ascii="Barlow Semi Condensed" w:cs="Barlow Semi Condensed" w:eastAsia="Barlow Semi Condensed" w:hAnsi="Barlow Semi Condensed"/>
          <w:sz w:val="24"/>
          <w:szCs w:val="24"/>
        </w:rPr>
        <w:t xml:space="preserve"> La didattica del giudicato: come si insegna il registro — i fatti, le pene, la distinzione fra giudicato e opinione — nei materiali scolastici dell'opera. La memoria repubblicana include anche questo: sapere chi fu condannato, per che cosa, e che cosa questo significa e non significa.</w:t>
      </w:r>
    </w:p>
    <w:p>
      <w:pPr>
        <w:spacing w:after="120" w:line="276"/>
        <w:jc w:val="both"/>
      </w:pPr>
      <w:r>
        <w:rPr>
          <w:rFonts w:ascii="Barlow Semi Condensed" w:cs="Barlow Semi Condensed" w:eastAsia="Barlow Semi Condensed" w:hAnsi="Barlow Semi Condensed"/>
          <w:b/>
          <w:bCs/>
          <w:sz w:val="24"/>
          <w:szCs w:val="24"/>
        </w:rPr>
        <w:t xml:space="preserve">876 · I bersagli che il registro non ammette.</w:t>
      </w:r>
      <w:r>
        <w:rPr>
          <w:rFonts w:ascii="Barlow Semi Condensed" w:cs="Barlow Semi Condensed" w:eastAsia="Barlow Semi Condensed" w:hAnsi="Barlow Semi Condensed"/>
          <w:sz w:val="24"/>
          <w:szCs w:val="24"/>
        </w:rPr>
        <w:t xml:space="preserve"> Il perimetro negativo finale: nessun bersaglio della parte cerca colpevoli nuovi, rilegge posizioni giudicate, o costruisce sospetti su non iscritti. Le presenze non giudicate sono materia del fascicolo di Roma e dei cantieri dei reperti — mai della prosopografia. Il muro fra le parti è portante: si dichiara un'ultima volta.</w:t>
      </w:r>
    </w:p>
    <w:p>
      <w:pPr>
        <w:spacing w:after="120" w:line="276"/>
        <w:jc w:val="both"/>
      </w:pPr>
      <w:r>
        <w:rPr>
          <w:rFonts w:ascii="Barlow Semi Condensed" w:cs="Barlow Semi Condensed" w:eastAsia="Barlow Semi Condensed" w:hAnsi="Barlow Semi Condensed"/>
          <w:b/>
          <w:bCs/>
          <w:sz w:val="24"/>
          <w:szCs w:val="24"/>
        </w:rPr>
        <w:t xml:space="preserve">877 · Il registro digitale.</w:t>
      </w:r>
      <w:r>
        <w:rPr>
          <w:rFonts w:ascii="Barlow Semi Condensed" w:cs="Barlow Semi Condensed" w:eastAsia="Barlow Semi Condensed" w:hAnsi="Barlow Semi Condensed"/>
          <w:sz w:val="24"/>
          <w:szCs w:val="24"/>
        </w:rPr>
        <w:t xml:space="preserve"> Lo strumento permanente: il registro in forma di base dati pubblica — schede, stati, fonti, aggiornamenti per nota — dentro il cantiere digitale del manuale. Il luogo dei nomi con la manutenzione di un'anagrafe: ogni morte, ogni atto nuovo, ogni casella chiusa entra per nota datata.</w:t>
      </w:r>
    </w:p>
    <w:p>
      <w:pPr>
        <w:spacing w:after="120" w:line="276"/>
        <w:jc w:val="both"/>
      </w:pPr>
      <w:r>
        <w:rPr>
          <w:rFonts w:ascii="Barlow Semi Condensed" w:cs="Barlow Semi Condensed" w:eastAsia="Barlow Semi Condensed" w:hAnsi="Barlow Semi Condensed"/>
          <w:b/>
          <w:bCs/>
          <w:sz w:val="24"/>
          <w:szCs w:val="24"/>
        </w:rPr>
        <w:t xml:space="preserve">878 · I vuoti del registro.</w:t>
      </w:r>
      <w:r>
        <w:rPr>
          <w:rFonts w:ascii="Barlow Semi Condensed" w:cs="Barlow Semi Condensed" w:eastAsia="Barlow Semi Condensed" w:hAnsi="Barlow Semi Condensed"/>
          <w:sz w:val="24"/>
          <w:szCs w:val="24"/>
        </w:rPr>
        <w:t xml:space="preserve"> Il verbale dei vuoti della parte: le caselle non chiudibili (le nascite divergenti senza fonte primaria raggiungibile, i quantum introvabili), i lasciti documentali non trovati, i silenzi definitivi dei morti. Lo Stato Zero prosopografico, dichiarato: anche il luogo dei nomi ha i suoi buchi, e li mostra.</w:t>
      </w:r>
    </w:p>
    <w:p>
      <w:pPr>
        <w:spacing w:after="120" w:line="276"/>
        <w:jc w:val="both"/>
      </w:pPr>
      <w:r>
        <w:rPr>
          <w:rFonts w:ascii="Barlow Semi Condensed" w:cs="Barlow Semi Condensed" w:eastAsia="Barlow Semi Condensed" w:hAnsi="Barlow Semi Condensed"/>
          <w:b/>
          <w:bCs/>
          <w:sz w:val="24"/>
          <w:szCs w:val="24"/>
        </w:rPr>
        <w:t xml:space="preserve">879 · La sintesi della parte.</w:t>
      </w:r>
      <w:r>
        <w:rPr>
          <w:rFonts w:ascii="Barlow Semi Condensed" w:cs="Barlow Semi Condensed" w:eastAsia="Barlow Semi Condensed" w:hAnsi="Barlow Semi Condensed"/>
          <w:sz w:val="24"/>
          <w:szCs w:val="24"/>
        </w:rPr>
        <w:t xml:space="preserve"> Il prodotto d'insieme: lo stato del registro — tredici schede, cinque morti, il programma della parola attivo, i due dossier internazionali pronti — in relazione pubblica. Il registro del giudicato, per la prima volta trattato da istituzione documentale e non da elenco: era il debito dell'opera verso la precisione, ed è pagato.</w:t>
      </w:r>
    </w:p>
    <w:p>
      <w:pPr>
        <w:spacing w:after="120" w:line="276"/>
        <w:jc w:val="both"/>
      </w:pPr>
      <w:r>
        <w:rPr>
          <w:rFonts w:ascii="Barlow Semi Condensed" w:cs="Barlow Semi Condensed" w:eastAsia="Barlow Semi Condensed" w:hAnsi="Barlow Semi Condensed"/>
          <w:b/>
          <w:bCs/>
          <w:sz w:val="24"/>
          <w:szCs w:val="24"/>
        </w:rPr>
        <w:t xml:space="preserve">880 · La tavola ottava.</w:t>
      </w:r>
      <w:r>
        <w:rPr>
          <w:rFonts w:ascii="Barlow Semi Condensed" w:cs="Barlow Semi Condensed" w:eastAsia="Barlow Semi Condensed" w:hAnsi="Barlow Semi Condensed"/>
          <w:sz w:val="24"/>
          <w:szCs w:val="24"/>
        </w:rPr>
        <w:t xml:space="preserve"> La chiusura della parte: gli stati dei bersagli 791-879, le urgenze biologiche in testa alla coda, le caselle aperte contate. L'ottavo cantiere consegna la sua contabilità — e i nomi restano dove la legge li ha scritti: né uno di più, né uno di meno.</w:t>
      </w:r>
    </w:p>
    <w:p>
      <w:pPr>
        <w:pStyle w:val="Heading2"/>
        <w:spacing w:after="100" w:before="200"/>
      </w:pPr>
      <w:r>
        <w:rPr>
          <w:rFonts w:ascii="Barlow Semi Condensed" w:cs="Barlow Semi Condensed" w:eastAsia="Barlow Semi Condensed" w:hAnsi="Barlow Semi Condensed"/>
          <w:sz w:val="24"/>
          <w:szCs w:val="24"/>
        </w:rPr>
        <w:t xml:space="preserve">Parte nona — Il fascicolo di Roma (blocchi 881-1000)</w:t>
      </w:r>
    </w:p>
    <w:p>
      <w:pPr>
        <w:spacing w:after="120" w:line="276"/>
        <w:jc w:val="both"/>
      </w:pPr>
      <w:r>
        <w:rPr>
          <w:rFonts w:ascii="Barlow Semi Condensed" w:cs="Barlow Semi Condensed" w:eastAsia="Barlow Semi Condensed" w:hAnsi="Barlow Semi Condensed"/>
          <w:i/>
          <w:iCs/>
          <w:sz w:val="24"/>
          <w:szCs w:val="24"/>
        </w:rPr>
        <w:t xml:space="preserve">Statuto della parte: il caso che esiste adesso. L'ultimo cantiere è il primo per importanza: il fascicolo della Procura di Roma sulle «terze presenze» di via Fani è aperto e vivo — la sequenza verificata per quest'opera: la richiesta di archiviazione del 28 maggio 2025; l'opposizione dei figli dell'appuntato Domenico Ricci (con gli avvocati Brigida e Salvini); la decisione del giudice per le indagini preliminari che nell'estate 2026 ha respinto la chiusura e disposto sei mesi di nuove indagini, compresi gli esami mai fatti sul caricatore di via Fani-via Stresa. Gli esiti non sono pubblici, e l'opera non li anticipa: la parte organizza tutto ciò che un cantiere civile può fare intorno a un fascicolo penale vivo — sostenerlo con gli archivi, rispettarne la precedenza, preparare ogni scenario, e consegnare al cinquantennale del 2028 non una celebrazione ma una contabilità. La ricerca produce documenti, non colpevoli — e il fascicolo produce atti: le due produzioni si rispettano.</w:t>
      </w:r>
    </w:p>
    <w:p>
      <w:pPr>
        <w:pStyle w:val="Heading3"/>
        <w:spacing w:after="80" w:before="160"/>
      </w:pPr>
      <w:r>
        <w:rPr>
          <w:rFonts w:ascii="Barlow Semi Condensed" w:cs="Barlow Semi Condensed" w:eastAsia="Barlow Semi Condensed" w:hAnsi="Barlow Semi Condensed"/>
          <w:sz w:val="24"/>
          <w:szCs w:val="24"/>
        </w:rPr>
        <w:t xml:space="preserve">Il fascicolo vivo (blocchi 881-910)</w:t>
      </w:r>
    </w:p>
    <w:p>
      <w:pPr>
        <w:spacing w:after="120" w:line="276"/>
        <w:jc w:val="both"/>
      </w:pPr>
      <w:r>
        <w:rPr>
          <w:rFonts w:ascii="Barlow Semi Condensed" w:cs="Barlow Semi Condensed" w:eastAsia="Barlow Semi Condensed" w:hAnsi="Barlow Semi Condensed"/>
          <w:b/>
          <w:bCs/>
          <w:sz w:val="24"/>
          <w:szCs w:val="24"/>
        </w:rPr>
        <w:t xml:space="preserve">881 · La sequenza fissata.</w:t>
      </w:r>
      <w:r>
        <w:rPr>
          <w:rFonts w:ascii="Barlow Semi Condensed" w:cs="Barlow Semi Condensed" w:eastAsia="Barlow Semi Condensed" w:hAnsi="Barlow Semi Condensed"/>
          <w:sz w:val="24"/>
          <w:szCs w:val="24"/>
        </w:rPr>
        <w:t xml:space="preserve"> Il primo blocco fissa la cronologia verificata del fascicolo: dalla chiusura della Moro 2 (dicembre 2017) al fascicolo sulle terze presenze; la richiesta di archiviazione (28 maggio 2025); l'opposizione della famiglia Ricci; il rigetto del GIP con sei mesi di nuove indagini (estate 2026). Ogni data con la sua fonte: la cronologia del fascicolo è il calendario della parte.</w:t>
      </w:r>
    </w:p>
    <w:p>
      <w:pPr>
        <w:spacing w:after="120" w:line="276"/>
        <w:jc w:val="both"/>
      </w:pPr>
      <w:r>
        <w:rPr>
          <w:rFonts w:ascii="Barlow Semi Condensed" w:cs="Barlow Semi Condensed" w:eastAsia="Barlow Semi Condensed" w:hAnsi="Barlow Semi Condensed"/>
          <w:b/>
          <w:bCs/>
          <w:sz w:val="24"/>
          <w:szCs w:val="24"/>
        </w:rPr>
        <w:t xml:space="preserve">882 · L'opposizione che ha riaperto.</w:t>
      </w:r>
      <w:r>
        <w:rPr>
          <w:rFonts w:ascii="Barlow Semi Condensed" w:cs="Barlow Semi Condensed" w:eastAsia="Barlow Semi Condensed" w:hAnsi="Barlow Semi Condensed"/>
          <w:sz w:val="24"/>
          <w:szCs w:val="24"/>
        </w:rPr>
        <w:t xml:space="preserve"> Il fatto istituzionale da custodire: sono stati i figli di una vittima della scorta — non un ministero, non una commissione — a impedire l'archiviazione. L'opposizione della famiglia Ricci è un atto che la storia del caso registrerà: il blocco ne censisce gli atti pubblici e ne fissa il significato istituzionale — le vittime come motore del diritto alla ricerca.</w:t>
      </w:r>
    </w:p>
    <w:p>
      <w:pPr>
        <w:spacing w:after="120" w:line="276"/>
        <w:jc w:val="both"/>
      </w:pPr>
      <w:r>
        <w:rPr>
          <w:rFonts w:ascii="Barlow Semi Condensed" w:cs="Barlow Semi Condensed" w:eastAsia="Barlow Semi Condensed" w:hAnsi="Barlow Semi Condensed"/>
          <w:b/>
          <w:bCs/>
          <w:sz w:val="24"/>
          <w:szCs w:val="24"/>
        </w:rPr>
        <w:t xml:space="preserve">883 · Che cosa il GIP ha chiesto.</w:t>
      </w:r>
      <w:r>
        <w:rPr>
          <w:rFonts w:ascii="Barlow Semi Condensed" w:cs="Barlow Semi Condensed" w:eastAsia="Barlow Semi Condensed" w:hAnsi="Barlow Semi Condensed"/>
          <w:sz w:val="24"/>
          <w:szCs w:val="24"/>
        </w:rPr>
        <w:t xml:space="preserve"> La lettura dell'ordinanza per ciò che è pubblico: le direzioni di indagine disposte — le terze presenze, l'uomo della moto, gli esami sul caricatore — e i loro termini. Il giudice ha scritto, di fatto, una piccola agenda giudiziaria: la parte la mappa contro la propria — e la consilienza è il dato che colpisce.</w:t>
      </w:r>
    </w:p>
    <w:p>
      <w:pPr>
        <w:spacing w:after="120" w:line="276"/>
        <w:jc w:val="both"/>
      </w:pPr>
      <w:r>
        <w:rPr>
          <w:rFonts w:ascii="Barlow Semi Condensed" w:cs="Barlow Semi Condensed" w:eastAsia="Barlow Semi Condensed" w:hAnsi="Barlow Semi Condensed"/>
          <w:b/>
          <w:bCs/>
          <w:sz w:val="24"/>
          <w:szCs w:val="24"/>
        </w:rPr>
        <w:t xml:space="preserve">884 · La consilienza, di nuovo.</w:t>
      </w:r>
      <w:r>
        <w:rPr>
          <w:rFonts w:ascii="Barlow Semi Condensed" w:cs="Barlow Semi Condensed" w:eastAsia="Barlow Semi Condensed" w:hAnsi="Barlow Semi Condensed"/>
          <w:sz w:val="24"/>
          <w:szCs w:val="24"/>
        </w:rPr>
        <w:t xml:space="preserve"> Il fatto di metodo già colto dal programma del corpus, ora al suo apice: l'evidenza discriminante indicata dalle matrici ACH (la balistica delle presenze, il caricatore mai esaminato) è esattamente ciò su cui il giudice ha ordinato di lavorare. Due percorsi indipendenti — quello civile del corpus e quello giudiziario — convergono sugli stessi atti: è la migliore validazione possibile di entrambi.</w:t>
      </w:r>
    </w:p>
    <w:p>
      <w:pPr>
        <w:spacing w:after="120" w:line="276"/>
        <w:jc w:val="both"/>
      </w:pPr>
      <w:r>
        <w:rPr>
          <w:rFonts w:ascii="Barlow Semi Condensed" w:cs="Barlow Semi Condensed" w:eastAsia="Barlow Semi Condensed" w:hAnsi="Barlow Semi Condensed"/>
          <w:b/>
          <w:bCs/>
          <w:sz w:val="24"/>
          <w:szCs w:val="24"/>
        </w:rPr>
        <w:t xml:space="preserve">885 · I sei mesi e il dopo.</w:t>
      </w:r>
      <w:r>
        <w:rPr>
          <w:rFonts w:ascii="Barlow Semi Condensed" w:cs="Barlow Semi Condensed" w:eastAsia="Barlow Semi Condensed" w:hAnsi="Barlow Semi Condensed"/>
          <w:sz w:val="24"/>
          <w:szCs w:val="24"/>
        </w:rPr>
        <w:t xml:space="preserve"> Il calendario condizionale: la finestra delle nuove indagini e i suoi esiti possibili — archiviazione, proroga, sviluppi. Per ciascuno scenario, il protocollo dell'opera è già scritto (le contingenze del manuale, serie quindicesima): nessun esito coglierà il cantiere impreparato — nemmeno il silenzio.</w:t>
      </w:r>
    </w:p>
    <w:p>
      <w:pPr>
        <w:spacing w:after="120" w:line="276"/>
        <w:jc w:val="both"/>
      </w:pPr>
      <w:r>
        <w:rPr>
          <w:rFonts w:ascii="Barlow Semi Condensed" w:cs="Barlow Semi Condensed" w:eastAsia="Barlow Semi Condensed" w:hAnsi="Barlow Semi Condensed"/>
          <w:b/>
          <w:bCs/>
          <w:sz w:val="24"/>
          <w:szCs w:val="24"/>
        </w:rPr>
        <w:t xml:space="preserve">886 · La regola del non anticipare.</w:t>
      </w:r>
      <w:r>
        <w:rPr>
          <w:rFonts w:ascii="Barlow Semi Condensed" w:cs="Barlow Semi Condensed" w:eastAsia="Barlow Semi Condensed" w:hAnsi="Barlow Semi Condensed"/>
          <w:sz w:val="24"/>
          <w:szCs w:val="24"/>
        </w:rPr>
        <w:t xml:space="preserve"> La disciplina di parte, stampata: gli esiti degli esami disposti dal giudice non sono pubblici, e l'opera non riporta indiscrezioni — né sul caricatore, né sui profili, né su alcunché. Ciò che entrerà nel corpus entrerà da atti: la fame di notizie è il nemico dichiarato del blocco.</w:t>
      </w:r>
    </w:p>
    <w:p>
      <w:pPr>
        <w:spacing w:after="120" w:line="276"/>
        <w:jc w:val="both"/>
      </w:pPr>
      <w:r>
        <w:rPr>
          <w:rFonts w:ascii="Barlow Semi Condensed" w:cs="Barlow Semi Condensed" w:eastAsia="Barlow Semi Condensed" w:hAnsi="Barlow Semi Condensed"/>
          <w:b/>
          <w:bCs/>
          <w:sz w:val="24"/>
          <w:szCs w:val="24"/>
        </w:rPr>
        <w:t xml:space="preserve">887 · Il perimetro delle terze presenze.</w:t>
      </w:r>
      <w:r>
        <w:rPr>
          <w:rFonts w:ascii="Barlow Semi Condensed" w:cs="Barlow Semi Condensed" w:eastAsia="Barlow Semi Condensed" w:hAnsi="Barlow Semi Condensed"/>
          <w:sz w:val="24"/>
          <w:szCs w:val="24"/>
        </w:rPr>
        <w:t xml:space="preserve"> La definizione giudiziaria esatta dell'oggetto: presenze sulla scena mai identificate né giudicate — non «mandanti», non «regie»: presenze. Il blocco fissa il perimetro semantico perché la pubblicistica non lo dilati: il fascicolo cerca persone fisiche su una strada, non filosofie della storia.</w:t>
      </w:r>
    </w:p>
    <w:p>
      <w:pPr>
        <w:spacing w:after="120" w:line="276"/>
        <w:jc w:val="both"/>
      </w:pPr>
      <w:r>
        <w:rPr>
          <w:rFonts w:ascii="Barlow Semi Condensed" w:cs="Barlow Semi Condensed" w:eastAsia="Barlow Semi Condensed" w:hAnsi="Barlow Semi Condensed"/>
          <w:b/>
          <w:bCs/>
          <w:sz w:val="24"/>
          <w:szCs w:val="24"/>
        </w:rPr>
        <w:t xml:space="preserve">888 · L'uomo della moto, in atti.</w:t>
      </w:r>
      <w:r>
        <w:rPr>
          <w:rFonts w:ascii="Barlow Semi Condensed" w:cs="Barlow Semi Condensed" w:eastAsia="Barlow Semi Condensed" w:hAnsi="Barlow Semi Condensed"/>
          <w:sz w:val="24"/>
          <w:szCs w:val="24"/>
        </w:rPr>
        <w:t xml:space="preserve"> Il quesito giudiziario vivo con la sua base verificata: la Honda testimoniata, il tentato omicidio del teste Marini attribuito per sentenza a ignoti a bordo, nessuna targa mai acquisita (l'esito negativo è verificato: la «targa parziale» è leggenda). Il blocco tiene la scheda dell'unico reato di via Fani con autori formalmente ignoti: è la porta giudiziaria delle presenze.</w:t>
      </w:r>
    </w:p>
    <w:p>
      <w:pPr>
        <w:spacing w:after="120" w:line="276"/>
        <w:jc w:val="both"/>
      </w:pPr>
      <w:r>
        <w:rPr>
          <w:rFonts w:ascii="Barlow Semi Condensed" w:cs="Barlow Semi Condensed" w:eastAsia="Barlow Semi Condensed" w:hAnsi="Barlow Semi Condensed"/>
          <w:b/>
          <w:bCs/>
          <w:sz w:val="24"/>
          <w:szCs w:val="24"/>
        </w:rPr>
        <w:t xml:space="preserve">889 · I sette ignoti riferiti.</w:t>
      </w:r>
      <w:r>
        <w:rPr>
          <w:rFonts w:ascii="Barlow Semi Condensed" w:cs="Barlow Semi Condensed" w:eastAsia="Barlow Semi Condensed" w:hAnsi="Barlow Semi Condensed"/>
          <w:sz w:val="24"/>
          <w:szCs w:val="24"/>
        </w:rPr>
        <w:t xml:space="preserve"> La disciplina sui profili: la stampa qualificata ha riferito di sette profili genetici ignoti dai reperti; nessun elenco ufficiale degli esiti delle comparazioni è mai stato pubblicato (il negativo è verificato). Il blocco fissa lo stato esatto: profili estratti — fatto; attribuzioni — nessuna pubblica; ogni affermazione nominativa in circolazione — priva di base in atti.</w:t>
      </w:r>
    </w:p>
    <w:p>
      <w:pPr>
        <w:spacing w:after="120" w:line="276"/>
        <w:jc w:val="both"/>
      </w:pPr>
      <w:r>
        <w:rPr>
          <w:rFonts w:ascii="Barlow Semi Condensed" w:cs="Barlow Semi Condensed" w:eastAsia="Barlow Semi Condensed" w:hAnsi="Barlow Semi Condensed"/>
          <w:b/>
          <w:bCs/>
          <w:sz w:val="24"/>
          <w:szCs w:val="24"/>
        </w:rPr>
        <w:t xml:space="preserve">890 · I prelievi del 2021.</w:t>
      </w:r>
      <w:r>
        <w:rPr>
          <w:rFonts w:ascii="Barlow Semi Condensed" w:cs="Barlow Semi Condensed" w:eastAsia="Barlow Semi Condensed" w:hAnsi="Barlow Semi Condensed"/>
          <w:sz w:val="24"/>
          <w:szCs w:val="24"/>
        </w:rPr>
        <w:t xml:space="preserve"> Il fatto processuale documentato: i prelievi coattivi di DNA disposti nel febbraio 2021 su ex militanti estranei all'agguato per le comparazioni di esclusione. Il blocco lo registra per ciò che è — un atto istruttorio ordinario di esclusione — e per ciò che non è: nessuna iscrizione, nessun sospetto, nessun nome che l'opera ripeta.</w:t>
      </w:r>
    </w:p>
    <w:p>
      <w:pPr>
        <w:spacing w:after="120" w:line="276"/>
        <w:jc w:val="both"/>
      </w:pPr>
      <w:r>
        <w:rPr>
          <w:rFonts w:ascii="Barlow Semi Condensed" w:cs="Barlow Semi Condensed" w:eastAsia="Barlow Semi Condensed" w:hAnsi="Barlow Semi Condensed"/>
          <w:b/>
          <w:bCs/>
          <w:sz w:val="24"/>
          <w:szCs w:val="24"/>
        </w:rPr>
        <w:t xml:space="preserve">891 · Il fascicolo e il corpus, il patto.</w:t>
      </w:r>
      <w:r>
        <w:rPr>
          <w:rFonts w:ascii="Barlow Semi Condensed" w:cs="Barlow Semi Condensed" w:eastAsia="Barlow Semi Condensed" w:hAnsi="Barlow Semi Condensed"/>
          <w:sz w:val="24"/>
          <w:szCs w:val="24"/>
        </w:rPr>
        <w:t xml:space="preserve"> La regola dei rapporti (il blocco 291 dell'agenda, elevato a costituzione della parte): il cantiere civile non interferisce, segnala ciò che trova, aspetta gli atti, lavora sul già pubblico. E una promessa operativa: ogni tavola dell'opera utile al fascicolo (i censimenti, gli inventari, le cronologie) è a disposizione delle autorità, gratuitamente e senza condizioni.</w:t>
      </w:r>
    </w:p>
    <w:p>
      <w:pPr>
        <w:spacing w:after="120" w:line="276"/>
        <w:jc w:val="both"/>
      </w:pPr>
      <w:r>
        <w:rPr>
          <w:rFonts w:ascii="Barlow Semi Condensed" w:cs="Barlow Semi Condensed" w:eastAsia="Barlow Semi Condensed" w:hAnsi="Barlow Semi Condensed"/>
          <w:b/>
          <w:bCs/>
          <w:sz w:val="24"/>
          <w:szCs w:val="24"/>
        </w:rPr>
        <w:t xml:space="preserve">892 · Le segnalazioni documentate.</w:t>
      </w:r>
      <w:r>
        <w:rPr>
          <w:rFonts w:ascii="Barlow Semi Condensed" w:cs="Barlow Semi Condensed" w:eastAsia="Barlow Semi Condensed" w:hAnsi="Barlow Semi Condensed"/>
          <w:sz w:val="24"/>
          <w:szCs w:val="24"/>
        </w:rPr>
        <w:t xml:space="preserve"> Il canale formale: quando i cantieri dell'opera producono un documento con possibile rilievo per il fascicolo (un reperto censito, una carta d'archivio, una testimonianza raccolta), la segnalazione all'autorità è scritta, datata, registrata (il registro delle richieste dell'agenda, in uscita). La collaborazione civile ha una forma: la forma è tutto.</w:t>
      </w:r>
    </w:p>
    <w:p>
      <w:pPr>
        <w:spacing w:after="120" w:line="276"/>
        <w:jc w:val="both"/>
      </w:pPr>
      <w:r>
        <w:rPr>
          <w:rFonts w:ascii="Barlow Semi Condensed" w:cs="Barlow Semi Condensed" w:eastAsia="Barlow Semi Condensed" w:hAnsi="Barlow Semi Condensed"/>
          <w:b/>
          <w:bCs/>
          <w:sz w:val="24"/>
          <w:szCs w:val="24"/>
        </w:rPr>
        <w:t xml:space="preserve">893 · La storia del fascicolo, all'indietro.</w:t>
      </w:r>
      <w:r>
        <w:rPr>
          <w:rFonts w:ascii="Barlow Semi Condensed" w:cs="Barlow Semi Condensed" w:eastAsia="Barlow Semi Condensed" w:hAnsi="Barlow Semi Condensed"/>
          <w:sz w:val="24"/>
          <w:szCs w:val="24"/>
        </w:rPr>
        <w:t xml:space="preserve"> Il bersaglio ricostruttivo: la storia processuale completa del filone delle presenze — dalle prime istruttorie alle riaperture, con ogni provvedimento — come capitolo documentato. Il fascicolo di oggi ha quarant'anni di antenati: la sua genealogia è essa stessa una lezione su come il caso è stato cercato.</w:t>
      </w:r>
    </w:p>
    <w:p>
      <w:pPr>
        <w:spacing w:after="120" w:line="276"/>
        <w:jc w:val="both"/>
      </w:pPr>
      <w:r>
        <w:rPr>
          <w:rFonts w:ascii="Barlow Semi Condensed" w:cs="Barlow Semi Condensed" w:eastAsia="Barlow Semi Condensed" w:hAnsi="Barlow Semi Condensed"/>
          <w:b/>
          <w:bCs/>
          <w:sz w:val="24"/>
          <w:szCs w:val="24"/>
        </w:rPr>
        <w:t xml:space="preserve">894 · Le altre procure, il censimento.</w:t>
      </w:r>
      <w:r>
        <w:rPr>
          <w:rFonts w:ascii="Barlow Semi Condensed" w:cs="Barlow Semi Condensed" w:eastAsia="Barlow Semi Condensed" w:hAnsi="Barlow Semi Condensed"/>
          <w:sz w:val="24"/>
          <w:szCs w:val="24"/>
        </w:rPr>
        <w:t xml:space="preserve"> Il perimetro giudiziario allargato: gli altri fascicoli aperti o archiviati che toccano il caso presso altre sedi (i filoni collegati, le indagini su singoli episodi) — il censimento con gli stati. La geografia giudiziaria del caso non è solo romana: la tavola la copre intera.</w:t>
      </w:r>
    </w:p>
    <w:p>
      <w:pPr>
        <w:spacing w:after="120" w:line="276"/>
        <w:jc w:val="both"/>
      </w:pPr>
      <w:r>
        <w:rPr>
          <w:rFonts w:ascii="Barlow Semi Condensed" w:cs="Barlow Semi Condensed" w:eastAsia="Barlow Semi Condensed" w:hAnsi="Barlow Semi Condensed"/>
          <w:b/>
          <w:bCs/>
          <w:sz w:val="24"/>
          <w:szCs w:val="24"/>
        </w:rPr>
        <w:t xml:space="preserve">895 · L'archiviazione, se verrà.</w:t>
      </w:r>
      <w:r>
        <w:rPr>
          <w:rFonts w:ascii="Barlow Semi Condensed" w:cs="Barlow Semi Condensed" w:eastAsia="Barlow Semi Condensed" w:hAnsi="Barlow Semi Condensed"/>
          <w:sz w:val="24"/>
          <w:szCs w:val="24"/>
        </w:rPr>
        <w:t xml:space="preserve"> Il protocollo dello scenario peggiore: se il fascicolo chiudesse, che cosa resta — gli atti versati, le perizie acquisite, il diritto della storia a proseguire con i suoi strumenti. L'archiviazione giudiziaria non archivia la ricerca documentale: il blocco lo scrive prima, perché nessuno lo scopra dopo.</w:t>
      </w:r>
    </w:p>
    <w:p>
      <w:pPr>
        <w:spacing w:after="120" w:line="276"/>
        <w:jc w:val="both"/>
      </w:pPr>
      <w:r>
        <w:rPr>
          <w:rFonts w:ascii="Barlow Semi Condensed" w:cs="Barlow Semi Condensed" w:eastAsia="Barlow Semi Condensed" w:hAnsi="Barlow Semi Condensed"/>
          <w:b/>
          <w:bCs/>
          <w:sz w:val="24"/>
          <w:szCs w:val="24"/>
        </w:rPr>
        <w:t xml:space="preserve">896 · La riapertura, se verrà.</w:t>
      </w:r>
      <w:r>
        <w:rPr>
          <w:rFonts w:ascii="Barlow Semi Condensed" w:cs="Barlow Semi Condensed" w:eastAsia="Barlow Semi Condensed" w:hAnsi="Barlow Semi Condensed"/>
          <w:sz w:val="24"/>
          <w:szCs w:val="24"/>
        </w:rPr>
        <w:t xml:space="preserve"> Il protocollo dello scenario opposto: se emergessero sviluppi (un esito degli esami, un'iscrizione), la disciplina dell'opera — silenzio operoso, precedenza assoluta al giudiziario, aggiornamento del corpus solo da atti. L'eccitazione è il rischio professionale del successo: il protocollo la imbriglia.</w:t>
      </w:r>
    </w:p>
    <w:p>
      <w:pPr>
        <w:spacing w:after="120" w:line="276"/>
        <w:jc w:val="both"/>
      </w:pPr>
      <w:r>
        <w:rPr>
          <w:rFonts w:ascii="Barlow Semi Condensed" w:cs="Barlow Semi Condensed" w:eastAsia="Barlow Semi Condensed" w:hAnsi="Barlow Semi Condensed"/>
          <w:b/>
          <w:bCs/>
          <w:sz w:val="24"/>
          <w:szCs w:val="24"/>
        </w:rPr>
        <w:t xml:space="preserve">897 · Il processo, se mai verrà.</w:t>
      </w:r>
      <w:r>
        <w:rPr>
          <w:rFonts w:ascii="Barlow Semi Condensed" w:cs="Barlow Semi Condensed" w:eastAsia="Barlow Semi Condensed" w:hAnsi="Barlow Semi Condensed"/>
          <w:sz w:val="24"/>
          <w:szCs w:val="24"/>
        </w:rPr>
        <w:t xml:space="preserve"> Il protocollo dello scenario storico: se le presenze diventassero imputati, l'opera davanti a un sesto processo — il registro pronto ad accogliere solo l'eventuale nuovo giudicato, le tavole a disposizione delle parti, la cronaca trattata con le regole della Parte sesta. Preparare l'impensabile è il mestiere delle contingenze: si scrive anche questo.</w:t>
      </w:r>
    </w:p>
    <w:p>
      <w:pPr>
        <w:spacing w:after="120" w:line="276"/>
        <w:jc w:val="both"/>
      </w:pPr>
      <w:r>
        <w:rPr>
          <w:rFonts w:ascii="Barlow Semi Condensed" w:cs="Barlow Semi Condensed" w:eastAsia="Barlow Semi Condensed" w:hAnsi="Barlow Semi Condensed"/>
          <w:b/>
          <w:bCs/>
          <w:sz w:val="24"/>
          <w:szCs w:val="24"/>
        </w:rPr>
        <w:t xml:space="preserve">898 · I difensori e le parti di oggi.</w:t>
      </w:r>
      <w:r>
        <w:rPr>
          <w:rFonts w:ascii="Barlow Semi Condensed" w:cs="Barlow Semi Condensed" w:eastAsia="Barlow Semi Condensed" w:hAnsi="Barlow Semi Condensed"/>
          <w:sz w:val="24"/>
          <w:szCs w:val="24"/>
        </w:rPr>
        <w:t xml:space="preserve"> Il censimento delle parti del fascicolo vivo: le famiglie opponenti e i loro difensori (gli atti pubblici dell'opposizione), l'ufficio del pubblico ministero, il giudice — la mappa istituzionale del procedimento com'è. Sapere chi è chi nel fascicolo è cronaca giudiziaria di base: la parte la tiene aggiornata.</w:t>
      </w:r>
    </w:p>
    <w:p>
      <w:pPr>
        <w:spacing w:after="120" w:line="276"/>
        <w:jc w:val="both"/>
      </w:pPr>
      <w:r>
        <w:rPr>
          <w:rFonts w:ascii="Barlow Semi Condensed" w:cs="Barlow Semi Condensed" w:eastAsia="Barlow Semi Condensed" w:hAnsi="Barlow Semi Condensed"/>
          <w:b/>
          <w:bCs/>
          <w:sz w:val="24"/>
          <w:szCs w:val="24"/>
        </w:rPr>
        <w:t xml:space="preserve">899 · La stampa e il fascicolo.</w:t>
      </w:r>
      <w:r>
        <w:rPr>
          <w:rFonts w:ascii="Barlow Semi Condensed" w:cs="Barlow Semi Condensed" w:eastAsia="Barlow Semi Condensed" w:hAnsi="Barlow Semi Condensed"/>
          <w:sz w:val="24"/>
          <w:szCs w:val="24"/>
        </w:rPr>
        <w:t xml:space="preserve"> La disciplina della fonte giornalistica: la copertura di stampa del fascicolo (le testate che lo seguono con qualità) censita e usata coi gradi — F sul riportato, mai di più. Il fascicolo vive anche nei giornali: l'opera li legge tutti e non ne sposa nessuno.</w:t>
      </w:r>
    </w:p>
    <w:p>
      <w:pPr>
        <w:spacing w:after="120" w:line="276"/>
        <w:jc w:val="both"/>
      </w:pPr>
      <w:r>
        <w:rPr>
          <w:rFonts w:ascii="Barlow Semi Condensed" w:cs="Barlow Semi Condensed" w:eastAsia="Barlow Semi Condensed" w:hAnsi="Barlow Semi Condensed"/>
          <w:b/>
          <w:bCs/>
          <w:sz w:val="24"/>
          <w:szCs w:val="24"/>
        </w:rPr>
        <w:t xml:space="preserve">900 · Il novecentesimo blocco: la pazienza del diritto.</w:t>
      </w:r>
      <w:r>
        <w:rPr>
          <w:rFonts w:ascii="Barlow Semi Condensed" w:cs="Barlow Semi Condensed" w:eastAsia="Barlow Semi Condensed" w:hAnsi="Barlow Semi Condensed"/>
          <w:sz w:val="24"/>
          <w:szCs w:val="24"/>
        </w:rPr>
        <w:t xml:space="preserve"> La riflessione operativa, a un decimo dalla fine: quarantott'anni dopo, un giudice ha ordinato di esaminare un caricatore raccolto la mattina del 16 marzo 1978 e mai guardato. Non è un fallimento del diritto: è la sua pazienza — l'imprescrittibilità che mantiene ogni domanda giuridicamente viva. L'opera lavora dentro questa pazienza, e la ricambia con la propria.</w:t>
      </w:r>
    </w:p>
    <w:p>
      <w:pPr>
        <w:spacing w:after="120" w:line="276"/>
        <w:jc w:val="both"/>
      </w:pPr>
      <w:r>
        <w:rPr>
          <w:rFonts w:ascii="Barlow Semi Condensed" w:cs="Barlow Semi Condensed" w:eastAsia="Barlow Semi Condensed" w:hAnsi="Barlow Semi Condensed"/>
          <w:b/>
          <w:bCs/>
          <w:sz w:val="24"/>
          <w:szCs w:val="24"/>
        </w:rPr>
        <w:t xml:space="preserve">901 · Gli atti del fascicolo, domani.</w:t>
      </w:r>
      <w:r>
        <w:rPr>
          <w:rFonts w:ascii="Barlow Semi Condensed" w:cs="Barlow Semi Condensed" w:eastAsia="Barlow Semi Condensed" w:hAnsi="Barlow Semi Condensed"/>
          <w:sz w:val="24"/>
          <w:szCs w:val="24"/>
        </w:rPr>
        <w:t xml:space="preserve"> Il bersaglio archivistico differito: quando il fascicolo si chiuderà — comunque si chiuda — i suoi atti diventeranno archivio: il blocco prepara la richiesta di versamento e consultazione secondo le regole, con la pazienza dei termini. Anche il fascicolo vivo è un fondo futuro: l'opera gli tiene il posto.</w:t>
      </w:r>
    </w:p>
    <w:p>
      <w:pPr>
        <w:spacing w:after="120" w:line="276"/>
        <w:jc w:val="both"/>
      </w:pPr>
      <w:r>
        <w:rPr>
          <w:rFonts w:ascii="Barlow Semi Condensed" w:cs="Barlow Semi Condensed" w:eastAsia="Barlow Semi Condensed" w:hAnsi="Barlow Semi Condensed"/>
          <w:b/>
          <w:bCs/>
          <w:sz w:val="24"/>
          <w:szCs w:val="24"/>
        </w:rPr>
        <w:t xml:space="preserve">902 · Le perizie del fascicolo, domani.</w:t>
      </w:r>
      <w:r>
        <w:rPr>
          <w:rFonts w:ascii="Barlow Semi Condensed" w:cs="Barlow Semi Condensed" w:eastAsia="Barlow Semi Condensed" w:hAnsi="Barlow Semi Condensed"/>
          <w:sz w:val="24"/>
          <w:szCs w:val="24"/>
        </w:rPr>
        <w:t xml:space="preserve"> Il gemello tecnico: le perizie disposte dal GIP (il caricatore in testa), quando saranno atti pubblici, entreranno nei cantieri tecnici dell'opera con la trafila piena — lettura integrale, collazione con le tre stagioni peritali, aggiornamento delle tavole per nota. Le caselle le aspettano già: sono state costruite apposta.</w:t>
      </w:r>
    </w:p>
    <w:p>
      <w:pPr>
        <w:spacing w:after="120" w:line="276"/>
        <w:jc w:val="both"/>
      </w:pPr>
      <w:r>
        <w:rPr>
          <w:rFonts w:ascii="Barlow Semi Condensed" w:cs="Barlow Semi Condensed" w:eastAsia="Barlow Semi Condensed" w:hAnsi="Barlow Semi Condensed"/>
          <w:b/>
          <w:bCs/>
          <w:sz w:val="24"/>
          <w:szCs w:val="24"/>
        </w:rPr>
        <w:t xml:space="preserve">903 · Il caricatore, l'attesa scritta.</w:t>
      </w:r>
      <w:r>
        <w:rPr>
          <w:rFonts w:ascii="Barlow Semi Condensed" w:cs="Barlow Semi Condensed" w:eastAsia="Barlow Semi Condensed" w:hAnsi="Barlow Semi Condensed"/>
          <w:sz w:val="24"/>
          <w:szCs w:val="24"/>
        </w:rPr>
        <w:t xml:space="preserve"> La scheda dell'attesa: il reperto simbolo (blocchi 356-358) ora nelle mani del giudice — l'opera registra lo stato («esami disposti, esiti non pubblici»), tiene la scheda pronta per l'esito, e non specula. Il blocco esiste per essere aggiornato: è la forma più onesta dell'attesa.</w:t>
      </w:r>
    </w:p>
    <w:p>
      <w:pPr>
        <w:spacing w:after="120" w:line="276"/>
        <w:jc w:val="both"/>
      </w:pPr>
      <w:r>
        <w:rPr>
          <w:rFonts w:ascii="Barlow Semi Condensed" w:cs="Barlow Semi Condensed" w:eastAsia="Barlow Semi Condensed" w:hAnsi="Barlow Semi Condensed"/>
          <w:b/>
          <w:bCs/>
          <w:sz w:val="24"/>
          <w:szCs w:val="24"/>
        </w:rPr>
        <w:t xml:space="preserve">904 · I testimoni del fascicolo.</w:t>
      </w:r>
      <w:r>
        <w:rPr>
          <w:rFonts w:ascii="Barlow Semi Condensed" w:cs="Barlow Semi Condensed" w:eastAsia="Barlow Semi Condensed" w:hAnsi="Barlow Semi Condensed"/>
          <w:sz w:val="24"/>
          <w:szCs w:val="24"/>
        </w:rPr>
        <w:t xml:space="preserve"> Il raccordo conservativo: i testimoni che il fascicolo potrebbe voler sentire sono in parte gli stessi della serie quinta dell'agenda — e la precedenza è del giudice: l'opera sospende ogni ascolto proprio su chi risulti attinto dall'attività giudiziaria, finché la precedenza duri. La regola di non inquinamento, scritta prima del bisogno.</w:t>
      </w:r>
    </w:p>
    <w:p>
      <w:pPr>
        <w:spacing w:after="120" w:line="276"/>
        <w:jc w:val="both"/>
      </w:pPr>
      <w:r>
        <w:rPr>
          <w:rFonts w:ascii="Barlow Semi Condensed" w:cs="Barlow Semi Condensed" w:eastAsia="Barlow Semi Condensed" w:hAnsi="Barlow Semi Condensed"/>
          <w:b/>
          <w:bCs/>
          <w:sz w:val="24"/>
          <w:szCs w:val="24"/>
        </w:rPr>
        <w:t xml:space="preserve">905 · Il DNA e la banca, il ponte giudiziario.</w:t>
      </w:r>
      <w:r>
        <w:rPr>
          <w:rFonts w:ascii="Barlow Semi Condensed" w:cs="Barlow Semi Condensed" w:eastAsia="Barlow Semi Condensed" w:hAnsi="Barlow Semi Condensed"/>
          <w:sz w:val="24"/>
          <w:szCs w:val="24"/>
        </w:rPr>
        <w:t xml:space="preserve"> Il raccordo tecnico-giuridico: l'inserimento dei profili del caso nella banca dati nazionale passa per provvedimenti dell'autorità (la base degli articoli 7 e 10 è verificata) — il blocco tiene la proposta pronta e la titolarità dove sta. La genetica del fascicolo si muove per decreti, non per articoli di giornale.</w:t>
      </w:r>
    </w:p>
    <w:p>
      <w:pPr>
        <w:spacing w:after="120" w:line="276"/>
        <w:jc w:val="both"/>
      </w:pPr>
      <w:r>
        <w:rPr>
          <w:rFonts w:ascii="Barlow Semi Condensed" w:cs="Barlow Semi Condensed" w:eastAsia="Barlow Semi Condensed" w:hAnsi="Barlow Semi Condensed"/>
          <w:b/>
          <w:bCs/>
          <w:sz w:val="24"/>
          <w:szCs w:val="24"/>
        </w:rPr>
        <w:t xml:space="preserve">906 · Le opposizioni future.</w:t>
      </w:r>
      <w:r>
        <w:rPr>
          <w:rFonts w:ascii="Barlow Semi Condensed" w:cs="Barlow Semi Condensed" w:eastAsia="Barlow Semi Condensed" w:hAnsi="Barlow Semi Condensed"/>
          <w:sz w:val="24"/>
          <w:szCs w:val="24"/>
        </w:rPr>
        <w:t xml:space="preserve"> La lezione istituzionale generalizzata: il diritto delle persone offese a opporsi alle archiviazioni è il presidio che ha tenuto vivo il fascicolo — il blocco ne documenta la disciplina e la storia nel caso, come strumento che le famiglie conoscono e l'opera racconta. Il diritto processuale delle vittime è parte della memoria del caso.</w:t>
      </w:r>
    </w:p>
    <w:p>
      <w:pPr>
        <w:spacing w:after="120" w:line="276"/>
        <w:jc w:val="both"/>
      </w:pPr>
      <w:r>
        <w:rPr>
          <w:rFonts w:ascii="Barlow Semi Condensed" w:cs="Barlow Semi Condensed" w:eastAsia="Barlow Semi Condensed" w:hAnsi="Barlow Semi Condensed"/>
          <w:b/>
          <w:bCs/>
          <w:sz w:val="24"/>
          <w:szCs w:val="24"/>
        </w:rPr>
        <w:t xml:space="preserve">907 · Il fascicolo e le commissioni future.</w:t>
      </w:r>
      <w:r>
        <w:rPr>
          <w:rFonts w:ascii="Barlow Semi Condensed" w:cs="Barlow Semi Condensed" w:eastAsia="Barlow Semi Condensed" w:hAnsi="Barlow Semi Condensed"/>
          <w:sz w:val="24"/>
          <w:szCs w:val="24"/>
        </w:rPr>
        <w:t xml:space="preserve"> Lo scenario parlamentare: se una nuova legislatura istituisse una terza commissione Moro, il rapporto fascicolo-commissione avrebbe i precedenti documentati (la Moro 2 e la procura, 2014-2017) — il blocco li estrae come prontuario. La storia istituzionale del caso serve anche a questo: non ripetere gli attriti già pagati.</w:t>
      </w:r>
    </w:p>
    <w:p>
      <w:pPr>
        <w:spacing w:after="120" w:line="276"/>
        <w:jc w:val="both"/>
      </w:pPr>
      <w:r>
        <w:rPr>
          <w:rFonts w:ascii="Barlow Semi Condensed" w:cs="Barlow Semi Condensed" w:eastAsia="Barlow Semi Condensed" w:hAnsi="Barlow Semi Condensed"/>
          <w:b/>
          <w:bCs/>
          <w:sz w:val="24"/>
          <w:szCs w:val="24"/>
        </w:rPr>
        <w:t xml:space="preserve">908 · La memoria del pubblico ministero.</w:t>
      </w:r>
      <w:r>
        <w:rPr>
          <w:rFonts w:ascii="Barlow Semi Condensed" w:cs="Barlow Semi Condensed" w:eastAsia="Barlow Semi Condensed" w:hAnsi="Barlow Semi Condensed"/>
          <w:sz w:val="24"/>
          <w:szCs w:val="24"/>
        </w:rPr>
        <w:t xml:space="preserve"> Il bersaglio storiografico differito: le memorie e le carte dei magistrati che hanno condotto i filoni del caso in mezzo secolo (il raccordo col blocco 114 dell'agenda) — con la regola: il come delle decisioni documentate, mai la revisione del merito. La storia della magistratura del caso è un capitolo a sé: si prepara ora, si scrive quando si potrà.</w:t>
      </w:r>
    </w:p>
    <w:p>
      <w:pPr>
        <w:spacing w:after="120" w:line="276"/>
        <w:jc w:val="both"/>
      </w:pPr>
      <w:r>
        <w:rPr>
          <w:rFonts w:ascii="Barlow Semi Condensed" w:cs="Barlow Semi Condensed" w:eastAsia="Barlow Semi Condensed" w:hAnsi="Barlow Semi Condensed"/>
          <w:b/>
          <w:bCs/>
          <w:sz w:val="24"/>
          <w:szCs w:val="24"/>
        </w:rPr>
        <w:t xml:space="preserve">909 · Il fascicolo nel cinquantennale.</w:t>
      </w:r>
      <w:r>
        <w:rPr>
          <w:rFonts w:ascii="Barlow Semi Condensed" w:cs="Barlow Semi Condensed" w:eastAsia="Barlow Semi Condensed" w:hAnsi="Barlow Semi Condensed"/>
          <w:sz w:val="24"/>
          <w:szCs w:val="24"/>
        </w:rPr>
        <w:t xml:space="preserve"> Il raccordo col calendario civile: il 2028 arriverà col fascicolo in uno dei suoi stati possibili — e la regola del blocco 774 vale doppio: nessuna pressione celebrativa sui tempi della giustizia, nessun uso commemorativo di un procedimento vivo. Il cinquantennale onorerà il fascicolo rispettandone il silenzio.</w:t>
      </w:r>
    </w:p>
    <w:p>
      <w:pPr>
        <w:spacing w:after="120" w:line="276"/>
        <w:jc w:val="both"/>
      </w:pPr>
      <w:r>
        <w:rPr>
          <w:rFonts w:ascii="Barlow Semi Condensed" w:cs="Barlow Semi Condensed" w:eastAsia="Barlow Semi Condensed" w:hAnsi="Barlow Semi Condensed"/>
          <w:b/>
          <w:bCs/>
          <w:sz w:val="24"/>
          <w:szCs w:val="24"/>
        </w:rPr>
        <w:t xml:space="preserve">910 · La tavola del fascicolo.</w:t>
      </w:r>
      <w:r>
        <w:rPr>
          <w:rFonts w:ascii="Barlow Semi Condensed" w:cs="Barlow Semi Condensed" w:eastAsia="Barlow Semi Condensed" w:hAnsi="Barlow Semi Condensed"/>
          <w:sz w:val="24"/>
          <w:szCs w:val="24"/>
        </w:rPr>
        <w:t xml:space="preserve"> La chiusura della sezione: la cronologia fissata, i protocolli di scenario scritti, il patto col giudiziario dichiarato, le attese schedate. Il fascicolo vivo ha intorno un cantiere civile che lo rispetta e lo sostiene: è la prima volta — e la parte lo lascia scritto.</w:t>
      </w:r>
    </w:p>
    <w:p>
      <w:pPr>
        <w:pStyle w:val="Heading3"/>
        <w:spacing w:after="80" w:before="160"/>
      </w:pPr>
      <w:r>
        <w:rPr>
          <w:rFonts w:ascii="Barlow Semi Condensed" w:cs="Barlow Semi Condensed" w:eastAsia="Barlow Semi Condensed" w:hAnsi="Barlow Semi Condensed"/>
          <w:sz w:val="24"/>
          <w:szCs w:val="24"/>
        </w:rPr>
        <w:t xml:space="preserve">Gli atti digitalizzati e i portali (blocchi 911-940)</w:t>
      </w:r>
    </w:p>
    <w:p>
      <w:pPr>
        <w:spacing w:after="120" w:line="276"/>
        <w:jc w:val="both"/>
      </w:pPr>
      <w:r>
        <w:rPr>
          <w:rFonts w:ascii="Barlow Semi Condensed" w:cs="Barlow Semi Condensed" w:eastAsia="Barlow Semi Condensed" w:hAnsi="Barlow Semi Condensed"/>
          <w:b/>
          <w:bCs/>
          <w:sz w:val="24"/>
          <w:szCs w:val="24"/>
        </w:rPr>
        <w:t xml:space="preserve">911 · Il giacimento giudiziario digitale.</w:t>
      </w:r>
      <w:r>
        <w:rPr>
          <w:rFonts w:ascii="Barlow Semi Condensed" w:cs="Barlow Semi Condensed" w:eastAsia="Barlow Semi Condensed" w:hAnsi="Barlow Semi Condensed"/>
          <w:sz w:val="24"/>
          <w:szCs w:val="24"/>
        </w:rPr>
        <w:t xml:space="preserve"> Il fatto verificato fondativo: gli atti dei cinque processi Moro, custoditi alla Corte d'assise di Roma, sono stati riordinati e digitalizzati — il progetto coordinato dall'Archivio di Stato di Roma d'intesa con Ministero della Giustizia e CSM, realizzato anche col lavoro dei detenuti di Rebibbia, con la messa online progressiva annunciata. Milioni di pagine: il più grande atto di trasparenza della storia del caso.</w:t>
      </w:r>
    </w:p>
    <w:p>
      <w:pPr>
        <w:spacing w:after="120" w:line="276"/>
        <w:jc w:val="both"/>
      </w:pPr>
      <w:r>
        <w:rPr>
          <w:rFonts w:ascii="Barlow Semi Condensed" w:cs="Barlow Semi Condensed" w:eastAsia="Barlow Semi Condensed" w:hAnsi="Barlow Semi Condensed"/>
          <w:b/>
          <w:bCs/>
          <w:sz w:val="24"/>
          <w:szCs w:val="24"/>
        </w:rPr>
        <w:t xml:space="preserve">912 · I detenuti che salvarono la storia.</w:t>
      </w:r>
      <w:r>
        <w:rPr>
          <w:rFonts w:ascii="Barlow Semi Condensed" w:cs="Barlow Semi Condensed" w:eastAsia="Barlow Semi Condensed" w:hAnsi="Barlow Semi Condensed"/>
          <w:sz w:val="24"/>
          <w:szCs w:val="24"/>
        </w:rPr>
        <w:t xml:space="preserve"> Il valore civile del progetto: la digitalizzazione realizzata anche da detenuti — il caso che il carcere contribuisce a consegnare alla storia. Il blocco lo registra come fatto e come simbolo: la Repubblica che ripara i propri archivi con le mani di chi sconta le proprie pene è una pagina che merita il suo posto nell'opera.</w:t>
      </w:r>
    </w:p>
    <w:p>
      <w:pPr>
        <w:spacing w:after="120" w:line="276"/>
        <w:jc w:val="both"/>
      </w:pPr>
      <w:r>
        <w:rPr>
          <w:rFonts w:ascii="Barlow Semi Condensed" w:cs="Barlow Semi Condensed" w:eastAsia="Barlow Semi Condensed" w:hAnsi="Barlow Semi Condensed"/>
          <w:b/>
          <w:bCs/>
          <w:sz w:val="24"/>
          <w:szCs w:val="24"/>
        </w:rPr>
        <w:t xml:space="preserve">913 · Lo spoglio del giacimento.</w:t>
      </w:r>
      <w:r>
        <w:rPr>
          <w:rFonts w:ascii="Barlow Semi Condensed" w:cs="Barlow Semi Condensed" w:eastAsia="Barlow Semi Condensed" w:hAnsi="Barlow Semi Condensed"/>
          <w:sz w:val="24"/>
          <w:szCs w:val="24"/>
        </w:rPr>
        <w:t xml:space="preserve"> Il programma operativo: lo spoglio sistematico degli atti digitalizzati con la griglia dei quesiti — i verbali di sequestro per i reperti, le perizie per le tre stagioni, i dibattimenti per le parole. Tutta l'opera poggia su questo giacimento: il blocco ne organizza la lettura integrale per campagne.</w:t>
      </w:r>
    </w:p>
    <w:p>
      <w:pPr>
        <w:spacing w:after="120" w:line="276"/>
        <w:jc w:val="both"/>
      </w:pPr>
      <w:r>
        <w:rPr>
          <w:rFonts w:ascii="Barlow Semi Condensed" w:cs="Barlow Semi Condensed" w:eastAsia="Barlow Semi Condensed" w:hAnsi="Barlow Semi Condensed"/>
          <w:b/>
          <w:bCs/>
          <w:sz w:val="24"/>
          <w:szCs w:val="24"/>
        </w:rPr>
        <w:t xml:space="preserve">914 · La revisione per la privacy.</w:t>
      </w:r>
      <w:r>
        <w:rPr>
          <w:rFonts w:ascii="Barlow Semi Condensed" w:cs="Barlow Semi Condensed" w:eastAsia="Barlow Semi Condensed" w:hAnsi="Barlow Semi Condensed"/>
          <w:sz w:val="24"/>
          <w:szCs w:val="24"/>
        </w:rPr>
        <w:t xml:space="preserve"> Il vincolo dichiarato: la pubblicazione integrale online è subordinata alla revisione per i dati sensibili — il blocco registra lo stato (pubblicazione progressiva) e la regola dell'attesa: ciò che non è ancora online si consulta nelle sedi, non si sollecita con impazienza. Anche la trasparenza ha i suoi tempi giusti.</w:t>
      </w:r>
    </w:p>
    <w:p>
      <w:pPr>
        <w:spacing w:after="120" w:line="276"/>
        <w:jc w:val="both"/>
      </w:pPr>
      <w:r>
        <w:rPr>
          <w:rFonts w:ascii="Barlow Semi Condensed" w:cs="Barlow Semi Condensed" w:eastAsia="Barlow Semi Condensed" w:hAnsi="Barlow Semi Condensed"/>
          <w:b/>
          <w:bCs/>
          <w:sz w:val="24"/>
          <w:szCs w:val="24"/>
        </w:rPr>
        <w:t xml:space="preserve">915 · Il portale della Rete.</w:t>
      </w:r>
      <w:r>
        <w:rPr>
          <w:rFonts w:ascii="Barlow Semi Condensed" w:cs="Barlow Semi Condensed" w:eastAsia="Barlow Semi Condensed" w:hAnsi="Barlow Semi Condensed"/>
          <w:sz w:val="24"/>
          <w:szCs w:val="24"/>
        </w:rPr>
        <w:t xml:space="preserve"> Lo strumento verificato: memoria.cultura.gov.it (rinnovato nel 2022) con le sentenze dei processi romani già pubblicate e le guide alle fonti. Il punto d'accesso pubblico principale: il blocco ne organizza l'uso sistematico e il monitoraggio degli aggiornamenti — ogni nuovo caricamento è un evento per l'opera.</w:t>
      </w:r>
    </w:p>
    <w:p>
      <w:pPr>
        <w:spacing w:after="120" w:line="276"/>
        <w:jc w:val="both"/>
      </w:pPr>
      <w:r>
        <w:rPr>
          <w:rFonts w:ascii="Barlow Semi Condensed" w:cs="Barlow Semi Condensed" w:eastAsia="Barlow Semi Condensed" w:hAnsi="Barlow Semi Condensed"/>
          <w:b/>
          <w:bCs/>
          <w:sz w:val="24"/>
          <w:szCs w:val="24"/>
        </w:rPr>
        <w:t xml:space="preserve">916 · Il portale delle inchieste.</w:t>
      </w:r>
      <w:r>
        <w:rPr>
          <w:rFonts w:ascii="Barlow Semi Condensed" w:cs="Barlow Semi Condensed" w:eastAsia="Barlow Semi Condensed" w:hAnsi="Barlow Semi Condensed"/>
          <w:sz w:val="24"/>
          <w:szCs w:val="24"/>
        </w:rPr>
        <w:t xml:space="preserve"> Il gemello parlamentare: inchieste.camera.it con la sezione Moro — gli stenografici, i documenti liberi, le circa ventimila pagine desecretate. Il blocco fissa il perimetro: che cosa c'è, che cosa manca, e la tavola di corrispondenza col fondo fisico alla Camera (il raccordo con la Parte... con la serie terza dell'agenda).</w:t>
      </w:r>
    </w:p>
    <w:p>
      <w:pPr>
        <w:spacing w:after="120" w:line="276"/>
        <w:jc w:val="both"/>
      </w:pPr>
      <w:r>
        <w:rPr>
          <w:rFonts w:ascii="Barlow Semi Condensed" w:cs="Barlow Semi Condensed" w:eastAsia="Barlow Semi Condensed" w:hAnsi="Barlow Semi Condensed"/>
          <w:b/>
          <w:bCs/>
          <w:sz w:val="24"/>
          <w:szCs w:val="24"/>
        </w:rPr>
        <w:t xml:space="preserve">917 · Il patrimonio del Senato.</w:t>
      </w:r>
      <w:r>
        <w:rPr>
          <w:rFonts w:ascii="Barlow Semi Condensed" w:cs="Barlow Semi Condensed" w:eastAsia="Barlow Semi Condensed" w:hAnsi="Barlow Semi Condensed"/>
          <w:sz w:val="24"/>
          <w:szCs w:val="24"/>
        </w:rPr>
        <w:t xml:space="preserve"> Il terzo pilastro: patrimonio.archivio.senato.it coi fondi Moro 1 e Stragi (e i fondi acquisiti: Fanfani, il fascicolo Craxi). Il blocco organizza l'interrogazione sistematica della piattaforma — inventari, schede, digitalizzazioni — come sportello permanente dell'opera.</w:t>
      </w:r>
    </w:p>
    <w:p>
      <w:pPr>
        <w:spacing w:after="120" w:line="276"/>
        <w:jc w:val="both"/>
      </w:pPr>
      <w:r>
        <w:rPr>
          <w:rFonts w:ascii="Barlow Semi Condensed" w:cs="Barlow Semi Condensed" w:eastAsia="Barlow Semi Condensed" w:hAnsi="Barlow Semi Condensed"/>
          <w:b/>
          <w:bCs/>
          <w:sz w:val="24"/>
          <w:szCs w:val="24"/>
        </w:rPr>
        <w:t xml:space="preserve">918 · La Guida ai fondi dell'ACS.</w:t>
      </w:r>
      <w:r>
        <w:rPr>
          <w:rFonts w:ascii="Barlow Semi Condensed" w:cs="Barlow Semi Condensed" w:eastAsia="Barlow Semi Condensed" w:hAnsi="Barlow Semi Condensed"/>
          <w:sz w:val="24"/>
          <w:szCs w:val="24"/>
        </w:rPr>
        <w:t xml:space="preserve"> Il quarto pilastro: le schede della Guida (il fondo personale Moro, la raccolta delle direttive, le stragi) e la banca dati della Sala delle raccolte speciali, consultabile in sede e dalle postazioni remote regionali. Il blocco ne fa lo strumento quotidiano del cantiere archivistico — con la mappa delle postazioni remote come moltiplicatore d'accesso.</w:t>
      </w:r>
    </w:p>
    <w:p>
      <w:pPr>
        <w:spacing w:after="120" w:line="276"/>
        <w:jc w:val="both"/>
      </w:pPr>
      <w:r>
        <w:rPr>
          <w:rFonts w:ascii="Barlow Semi Condensed" w:cs="Barlow Semi Condensed" w:eastAsia="Barlow Semi Condensed" w:hAnsi="Barlow Semi Condensed"/>
          <w:b/>
          <w:bCs/>
          <w:sz w:val="24"/>
          <w:szCs w:val="24"/>
        </w:rPr>
        <w:t xml:space="preserve">919 · L'edizione digitale morotea.</w:t>
      </w:r>
      <w:r>
        <w:rPr>
          <w:rFonts w:ascii="Barlow Semi Condensed" w:cs="Barlow Semi Condensed" w:eastAsia="Barlow Semi Condensed" w:hAnsi="Barlow Semi Condensed"/>
          <w:sz w:val="24"/>
          <w:szCs w:val="24"/>
        </w:rPr>
        <w:t xml:space="preserve"> Il quinto pilastro, verificato: aldomorodigitale.unibo.it — l'Edizione nazionale promossa per il centenario (2016), digitale e ad accesso aperto. Il blocco fissa il raccordo permanente (i blocchi 228 e 549) e il monitoraggio dei rilasci: ogni nuovo testo edito è materia per la Parte quinta.</w:t>
      </w:r>
    </w:p>
    <w:p>
      <w:pPr>
        <w:spacing w:after="120" w:line="276"/>
        <w:jc w:val="both"/>
      </w:pPr>
      <w:r>
        <w:rPr>
          <w:rFonts w:ascii="Barlow Semi Condensed" w:cs="Barlow Semi Condensed" w:eastAsia="Barlow Semi Condensed" w:hAnsi="Barlow Semi Condensed"/>
          <w:b/>
          <w:bCs/>
          <w:sz w:val="24"/>
          <w:szCs w:val="24"/>
        </w:rPr>
        <w:t xml:space="preserve">920 · Il portale che non c'è.</w:t>
      </w:r>
      <w:r>
        <w:rPr>
          <w:rFonts w:ascii="Barlow Semi Condensed" w:cs="Barlow Semi Condensed" w:eastAsia="Barlow Semi Condensed" w:hAnsi="Barlow Semi Condensed"/>
          <w:sz w:val="24"/>
          <w:szCs w:val="24"/>
        </w:rPr>
        <w:t xml:space="preserve"> L'esito negativo trasformato in proposta: non esiste un portale unico degli atti del caso — esiste una costellazione (Camera, Senato, ACS, Rete, Bologna). Il blocco formula la proposta istituzionale dell'opera: il portale federato del caso Moro — un solo punto d'ingresso, indici incrociati, le tavole dell'opera come contributo. Si scrive, si motiva, si consegna.</w:t>
      </w:r>
    </w:p>
    <w:p>
      <w:pPr>
        <w:spacing w:after="120" w:line="276"/>
        <w:jc w:val="both"/>
      </w:pPr>
      <w:r>
        <w:rPr>
          <w:rFonts w:ascii="Barlow Semi Condensed" w:cs="Barlow Semi Condensed" w:eastAsia="Barlow Semi Condensed" w:hAnsi="Barlow Semi Condensed"/>
          <w:b/>
          <w:bCs/>
          <w:sz w:val="24"/>
          <w:szCs w:val="24"/>
        </w:rPr>
        <w:t xml:space="preserve">921 · La mappa della costellazione.</w:t>
      </w:r>
      <w:r>
        <w:rPr>
          <w:rFonts w:ascii="Barlow Semi Condensed" w:cs="Barlow Semi Condensed" w:eastAsia="Barlow Semi Condensed" w:hAnsi="Barlow Semi Condensed"/>
          <w:sz w:val="24"/>
          <w:szCs w:val="24"/>
        </w:rPr>
        <w:t xml:space="preserve"> Nel frattempo, lo strumento ponte: la mappa unica dei portali esistenti — che cosa si trova dove, con quali strumenti di ricerca, con quali lacune — pubblicata e mantenuta dall'opera. Se il portale federato tarderà, la mappa è il suo surrogato immediato: il navigatore della costellazione.</w:t>
      </w:r>
    </w:p>
    <w:p>
      <w:pPr>
        <w:spacing w:after="120" w:line="276"/>
        <w:jc w:val="both"/>
      </w:pPr>
      <w:r>
        <w:rPr>
          <w:rFonts w:ascii="Barlow Semi Condensed" w:cs="Barlow Semi Condensed" w:eastAsia="Barlow Semi Condensed" w:hAnsi="Barlow Semi Condensed"/>
          <w:b/>
          <w:bCs/>
          <w:sz w:val="24"/>
          <w:szCs w:val="24"/>
        </w:rPr>
        <w:t xml:space="preserve">922 · Il processo Moro-uno, la scheda.</w:t>
      </w:r>
      <w:r>
        <w:rPr>
          <w:rFonts w:ascii="Barlow Semi Condensed" w:cs="Barlow Semi Condensed" w:eastAsia="Barlow Semi Condensed" w:hAnsi="Barlow Semi Condensed"/>
          <w:sz w:val="24"/>
          <w:szCs w:val="24"/>
        </w:rPr>
        <w:t xml:space="preserve"> La prima scheda processuale: il processo di primo grado e appello per via Fani e il sequestro — le date, gli imputati, l'esito, il fascicolo digitalizzato. La tavola dei cinque processi (blocco 791) si esegue qui scheda per scheda: il primo processo è il pavimento del registro.</w:t>
      </w:r>
    </w:p>
    <w:p>
      <w:pPr>
        <w:spacing w:after="120" w:line="276"/>
        <w:jc w:val="both"/>
      </w:pPr>
      <w:r>
        <w:rPr>
          <w:rFonts w:ascii="Barlow Semi Condensed" w:cs="Barlow Semi Condensed" w:eastAsia="Barlow Semi Condensed" w:hAnsi="Barlow Semi Condensed"/>
          <w:b/>
          <w:bCs/>
          <w:sz w:val="24"/>
          <w:szCs w:val="24"/>
        </w:rPr>
        <w:t xml:space="preserve">923 · Il Moro-bis, la scheda.</w:t>
      </w:r>
      <w:r>
        <w:rPr>
          <w:rFonts w:ascii="Barlow Semi Condensed" w:cs="Barlow Semi Condensed" w:eastAsia="Barlow Semi Condensed" w:hAnsi="Barlow Semi Condensed"/>
          <w:sz w:val="24"/>
          <w:szCs w:val="24"/>
        </w:rPr>
        <w:t xml:space="preserve"> La seconda scheda: il filone bis — integrazioni istruttorie, nuovi imputati, esiti. Ogni scheda con la stessa griglia: perimetro, date, motivazioni, che cosa aggiunse alla conoscenza del caso.</w:t>
      </w:r>
    </w:p>
    <w:p>
      <w:pPr>
        <w:spacing w:after="120" w:line="276"/>
        <w:jc w:val="both"/>
      </w:pPr>
      <w:r>
        <w:rPr>
          <w:rFonts w:ascii="Barlow Semi Condensed" w:cs="Barlow Semi Condensed" w:eastAsia="Barlow Semi Condensed" w:hAnsi="Barlow Semi Condensed"/>
          <w:b/>
          <w:bCs/>
          <w:sz w:val="24"/>
          <w:szCs w:val="24"/>
        </w:rPr>
        <w:t xml:space="preserve">924 · Il Moro-ter, la scheda.</w:t>
      </w:r>
      <w:r>
        <w:rPr>
          <w:rFonts w:ascii="Barlow Semi Condensed" w:cs="Barlow Semi Condensed" w:eastAsia="Barlow Semi Condensed" w:hAnsi="Barlow Semi Condensed"/>
          <w:sz w:val="24"/>
          <w:szCs w:val="24"/>
        </w:rPr>
        <w:t xml:space="preserve"> La terza scheda, con la sua regola incorporata: il ter — il processo dell'assoluzione Algranati per via Fani (1988), l'atto che fonda la pietra di paragone del corpus. La scheda fissa che cosa il ter accertò e che cosa escluse: è il processo che insegna la disciplina.</w:t>
      </w:r>
    </w:p>
    <w:p>
      <w:pPr>
        <w:spacing w:after="120" w:line="276"/>
        <w:jc w:val="both"/>
      </w:pPr>
      <w:r>
        <w:rPr>
          <w:rFonts w:ascii="Barlow Semi Condensed" w:cs="Barlow Semi Condensed" w:eastAsia="Barlow Semi Condensed" w:hAnsi="Barlow Semi Condensed"/>
          <w:b/>
          <w:bCs/>
          <w:sz w:val="24"/>
          <w:szCs w:val="24"/>
        </w:rPr>
        <w:t xml:space="preserve">925 · Il Moro-quater, la scheda.</w:t>
      </w:r>
      <w:r>
        <w:rPr>
          <w:rFonts w:ascii="Barlow Semi Condensed" w:cs="Barlow Semi Condensed" w:eastAsia="Barlow Semi Condensed" w:hAnsi="Barlow Semi Condensed"/>
          <w:sz w:val="24"/>
          <w:szCs w:val="24"/>
        </w:rPr>
        <w:t xml:space="preserve"> La quarta scheda, con l'ancora verificata: il quater — fino alla Cassazione del 14 maggio 1997 (la condanna definitiva di Lojacono per l'intero arco del sequestro). La scheda del processo dei latitanti e delle posizioni separate.</w:t>
      </w:r>
    </w:p>
    <w:p>
      <w:pPr>
        <w:spacing w:after="120" w:line="276"/>
        <w:jc w:val="both"/>
      </w:pPr>
      <w:r>
        <w:rPr>
          <w:rFonts w:ascii="Barlow Semi Condensed" w:cs="Barlow Semi Condensed" w:eastAsia="Barlow Semi Condensed" w:hAnsi="Barlow Semi Condensed"/>
          <w:b/>
          <w:bCs/>
          <w:sz w:val="24"/>
          <w:szCs w:val="24"/>
        </w:rPr>
        <w:t xml:space="preserve">926 · Il Moro-quinquies, la scheda.</w:t>
      </w:r>
      <w:r>
        <w:rPr>
          <w:rFonts w:ascii="Barlow Semi Condensed" w:cs="Barlow Semi Condensed" w:eastAsia="Barlow Semi Condensed" w:hAnsi="Barlow Semi Condensed"/>
          <w:sz w:val="24"/>
          <w:szCs w:val="24"/>
        </w:rPr>
        <w:t xml:space="preserve"> La quinta scheda, con le date verificate: il quinquies — il primo grado del 16 luglio 1996, il quarto uomo (Maccari), il livello logistico (Etro), i definitivi del 1998-99. Il processo che dimostrò che il registro può crescere per giudicato a vent'anni dai fatti: la lezione istituzionale che il fascicolo di oggi custodisce.</w:t>
      </w:r>
    </w:p>
    <w:p>
      <w:pPr>
        <w:spacing w:after="120" w:line="276"/>
        <w:jc w:val="both"/>
      </w:pPr>
      <w:r>
        <w:rPr>
          <w:rFonts w:ascii="Barlow Semi Condensed" w:cs="Barlow Semi Condensed" w:eastAsia="Barlow Semi Condensed" w:hAnsi="Barlow Semi Condensed"/>
          <w:b/>
          <w:bCs/>
          <w:sz w:val="24"/>
          <w:szCs w:val="24"/>
        </w:rPr>
        <w:t xml:space="preserve">927 · I processi collaterali, il censimento.</w:t>
      </w:r>
      <w:r>
        <w:rPr>
          <w:rFonts w:ascii="Barlow Semi Condensed" w:cs="Barlow Semi Condensed" w:eastAsia="Barlow Semi Condensed" w:hAnsi="Barlow Semi Condensed"/>
          <w:sz w:val="24"/>
          <w:szCs w:val="24"/>
        </w:rPr>
        <w:t xml:space="preserve"> Il perimetro completo: i procedimenti collegati (il processo Chichiarelli mai celebrato per morte dell'indagato, i filoni sui covi, i processi della colonna romana per la parte moroteta) — la tavola dei procedimenti satellite con gli stati. Il sistema giudiziario del caso, contato per intero.</w:t>
      </w:r>
    </w:p>
    <w:p>
      <w:pPr>
        <w:spacing w:after="120" w:line="276"/>
        <w:jc w:val="both"/>
      </w:pPr>
      <w:r>
        <w:rPr>
          <w:rFonts w:ascii="Barlow Semi Condensed" w:cs="Barlow Semi Condensed" w:eastAsia="Barlow Semi Condensed" w:hAnsi="Barlow Semi Condensed"/>
          <w:b/>
          <w:bCs/>
          <w:sz w:val="24"/>
          <w:szCs w:val="24"/>
        </w:rPr>
        <w:t xml:space="preserve">928 · Le sentenze in edizione.</w:t>
      </w:r>
      <w:r>
        <w:rPr>
          <w:rFonts w:ascii="Barlow Semi Condensed" w:cs="Barlow Semi Condensed" w:eastAsia="Barlow Semi Condensed" w:hAnsi="Barlow Semi Condensed"/>
          <w:sz w:val="24"/>
          <w:szCs w:val="24"/>
        </w:rPr>
        <w:t xml:space="preserve"> Il bersaglio editoriale: l'edizione digitale integrale e indicizzata di tutte le sentenze del caso (il blocco 38 dell'agenda, eseguito alla scala della parte) — con gli apparati: cronologie interne, indici dei nomi nel rispetto della disciplina, tavole di corrispondenza fra gradi. Il giudicato leggibile da chiunque: è la base della cittadinanza documentale sul caso.</w:t>
      </w:r>
    </w:p>
    <w:p>
      <w:pPr>
        <w:spacing w:after="120" w:line="276"/>
        <w:jc w:val="both"/>
      </w:pPr>
      <w:r>
        <w:rPr>
          <w:rFonts w:ascii="Barlow Semi Condensed" w:cs="Barlow Semi Condensed" w:eastAsia="Barlow Semi Condensed" w:hAnsi="Barlow Semi Condensed"/>
          <w:b/>
          <w:bCs/>
          <w:sz w:val="24"/>
          <w:szCs w:val="24"/>
        </w:rPr>
        <w:t xml:space="preserve">929 · Gli stenografici come corpus.</w:t>
      </w:r>
      <w:r>
        <w:rPr>
          <w:rFonts w:ascii="Barlow Semi Condensed" w:cs="Barlow Semi Condensed" w:eastAsia="Barlow Semi Condensed" w:hAnsi="Barlow Semi Condensed"/>
          <w:sz w:val="24"/>
          <w:szCs w:val="24"/>
        </w:rPr>
        <w:t xml:space="preserve"> Il gemello parlamentare: l'edizione indicizzata degli stenografici delle tre commissioni (il raccordo coi blocchi 65-67 dell'agenda) — interrogabile insieme al corpus giudiziario. Quarant'anni di parola istituzionale sul caso in un solo strumento di ricerca: il cantiere digitale lo rende possibile.</w:t>
      </w:r>
    </w:p>
    <w:p>
      <w:pPr>
        <w:spacing w:after="120" w:line="276"/>
        <w:jc w:val="both"/>
      </w:pPr>
      <w:r>
        <w:rPr>
          <w:rFonts w:ascii="Barlow Semi Condensed" w:cs="Barlow Semi Condensed" w:eastAsia="Barlow Semi Condensed" w:hAnsi="Barlow Semi Condensed"/>
          <w:b/>
          <w:bCs/>
          <w:sz w:val="24"/>
          <w:szCs w:val="24"/>
        </w:rPr>
        <w:t xml:space="preserve">930 · Il collegamento dei corpora.</w:t>
      </w:r>
      <w:r>
        <w:rPr>
          <w:rFonts w:ascii="Barlow Semi Condensed" w:cs="Barlow Semi Condensed" w:eastAsia="Barlow Semi Condensed" w:hAnsi="Barlow Semi Condensed"/>
          <w:sz w:val="24"/>
          <w:szCs w:val="24"/>
        </w:rPr>
        <w:t xml:space="preserve"> L'infrastruttura finale: il collegamento incrociato fra i corpora (giudiziario, parlamentare, archivistico, editoriale) — ogni persona, luogo e reperto con identificativo stabile attraverso tutti (il blocco 303 del manuale, eseguito). La costellazione diventa sistema: è il contributo tecnico maggiore che l'opera può offrire alla Repubblica.</w:t>
      </w:r>
    </w:p>
    <w:p>
      <w:pPr>
        <w:spacing w:after="120" w:line="276"/>
        <w:jc w:val="both"/>
      </w:pPr>
      <w:r>
        <w:rPr>
          <w:rFonts w:ascii="Barlow Semi Condensed" w:cs="Barlow Semi Condensed" w:eastAsia="Barlow Semi Condensed" w:hAnsi="Barlow Semi Condensed"/>
          <w:b/>
          <w:bCs/>
          <w:sz w:val="24"/>
          <w:szCs w:val="24"/>
        </w:rPr>
        <w:t xml:space="preserve">931 · Il monitoraggio dei rilasci.</w:t>
      </w:r>
      <w:r>
        <w:rPr>
          <w:rFonts w:ascii="Barlow Semi Condensed" w:cs="Barlow Semi Condensed" w:eastAsia="Barlow Semi Condensed" w:hAnsi="Barlow Semi Condensed"/>
          <w:sz w:val="24"/>
          <w:szCs w:val="24"/>
        </w:rPr>
        <w:t xml:space="preserve"> La funzione permanente: il monitoraggio organizzato di ogni nuovo rilascio sui portali (atti processuali, desecretazioni, digitalizzazioni) con verbale mensile — la sentinella documentale dell'opera. I giacimenti crescono: qualcuno deve accorgersene sistematicamente, e da oggi qualcuno lo fa.</w:t>
      </w:r>
    </w:p>
    <w:p>
      <w:pPr>
        <w:spacing w:after="120" w:line="276"/>
        <w:jc w:val="both"/>
      </w:pPr>
      <w:r>
        <w:rPr>
          <w:rFonts w:ascii="Barlow Semi Condensed" w:cs="Barlow Semi Condensed" w:eastAsia="Barlow Semi Condensed" w:hAnsi="Barlow Semi Condensed"/>
          <w:b/>
          <w:bCs/>
          <w:sz w:val="24"/>
          <w:szCs w:val="24"/>
        </w:rPr>
        <w:t xml:space="preserve">932 · Le segnalazioni di lacune.</w:t>
      </w:r>
      <w:r>
        <w:rPr>
          <w:rFonts w:ascii="Barlow Semi Condensed" w:cs="Barlow Semi Condensed" w:eastAsia="Barlow Semi Condensed" w:hAnsi="Barlow Semi Condensed"/>
          <w:sz w:val="24"/>
          <w:szCs w:val="24"/>
        </w:rPr>
        <w:t xml:space="preserve"> Il canale di ritorno: le lacune trovate nei portali (documenti citati e assenti, scansioni illeggibili, indici errati) segnalate formalmente agli istituti — il registro delle segnalazioni tecniche. L'opera usa i portali e li migliora: è la gratitudine operosa del blocco 287 dell'agenda.</w:t>
      </w:r>
    </w:p>
    <w:p>
      <w:pPr>
        <w:spacing w:after="120" w:line="276"/>
        <w:jc w:val="both"/>
      </w:pPr>
      <w:r>
        <w:rPr>
          <w:rFonts w:ascii="Barlow Semi Condensed" w:cs="Barlow Semi Condensed" w:eastAsia="Barlow Semi Condensed" w:hAnsi="Barlow Semi Condensed"/>
          <w:b/>
          <w:bCs/>
          <w:sz w:val="24"/>
          <w:szCs w:val="24"/>
        </w:rPr>
        <w:t xml:space="preserve">933 · L'accessibilità dei giacimenti.</w:t>
      </w:r>
      <w:r>
        <w:rPr>
          <w:rFonts w:ascii="Barlow Semi Condensed" w:cs="Barlow Semi Condensed" w:eastAsia="Barlow Semi Condensed" w:hAnsi="Barlow Semi Condensed"/>
          <w:sz w:val="24"/>
          <w:szCs w:val="24"/>
        </w:rPr>
        <w:t xml:space="preserve"> La verifica trasversale: l'accessibilità reale dei portali (standard, lettori di schermo, formati) — con le segnalazioni dove manca (il blocco 326 del manuale, applicato ai giacimenti altrui). La memoria pubblica digitale o è di tutti o non è pubblica: l'opera lo verifica portale per portale.</w:t>
      </w:r>
    </w:p>
    <w:p>
      <w:pPr>
        <w:spacing w:after="120" w:line="276"/>
        <w:jc w:val="both"/>
      </w:pPr>
      <w:r>
        <w:rPr>
          <w:rFonts w:ascii="Barlow Semi Condensed" w:cs="Barlow Semi Condensed" w:eastAsia="Barlow Semi Condensed" w:hAnsi="Barlow Semi Condensed"/>
          <w:b/>
          <w:bCs/>
          <w:sz w:val="24"/>
          <w:szCs w:val="24"/>
        </w:rPr>
        <w:t xml:space="preserve">934 · La conservazione del digitale pubblico.</w:t>
      </w:r>
      <w:r>
        <w:rPr>
          <w:rFonts w:ascii="Barlow Semi Condensed" w:cs="Barlow Semi Condensed" w:eastAsia="Barlow Semi Condensed" w:hAnsi="Barlow Semi Condensed"/>
          <w:sz w:val="24"/>
          <w:szCs w:val="24"/>
        </w:rPr>
        <w:t xml:space="preserve"> Il quesito di lungo periodo: la conservazione permanente dei giacimenti digitali del caso (formati, migrazioni, ridondanze istituzionali) — l'opera censisce le politiche dichiarate e segnala i rischi. Un portale che muore è un archivio che brucia al rallentatore: la vigilanza è parte del cantiere.</w:t>
      </w:r>
    </w:p>
    <w:p>
      <w:pPr>
        <w:spacing w:after="120" w:line="276"/>
        <w:jc w:val="both"/>
      </w:pPr>
      <w:r>
        <w:rPr>
          <w:rFonts w:ascii="Barlow Semi Condensed" w:cs="Barlow Semi Condensed" w:eastAsia="Barlow Semi Condensed" w:hAnsi="Barlow Semi Condensed"/>
          <w:b/>
          <w:bCs/>
          <w:sz w:val="24"/>
          <w:szCs w:val="24"/>
        </w:rPr>
        <w:t xml:space="preserve">935 · I dati aperti del caso.</w:t>
      </w:r>
      <w:r>
        <w:rPr>
          <w:rFonts w:ascii="Barlow Semi Condensed" w:cs="Barlow Semi Condensed" w:eastAsia="Barlow Semi Condensed" w:hAnsi="Barlow Semi Condensed"/>
          <w:sz w:val="24"/>
          <w:szCs w:val="24"/>
        </w:rPr>
        <w:t xml:space="preserve"> La proposta tecnica: i metadati dei giacimenti del caso come dati aperti interrogabili (gli inventari, gli indici, le cronologie) — l'opera pubblica i propri e propone lo standard. La ricerca del futuro sarà computazionale: i dati aperti di oggi sono la sua precondizione.</w:t>
      </w:r>
    </w:p>
    <w:p>
      <w:pPr>
        <w:spacing w:after="120" w:line="276"/>
        <w:jc w:val="both"/>
      </w:pPr>
      <w:r>
        <w:rPr>
          <w:rFonts w:ascii="Barlow Semi Condensed" w:cs="Barlow Semi Condensed" w:eastAsia="Barlow Semi Condensed" w:hAnsi="Barlow Semi Condensed"/>
          <w:b/>
          <w:bCs/>
          <w:sz w:val="24"/>
          <w:szCs w:val="24"/>
        </w:rPr>
        <w:t xml:space="preserve">936 · Le copie di studio.</w:t>
      </w:r>
      <w:r>
        <w:rPr>
          <w:rFonts w:ascii="Barlow Semi Condensed" w:cs="Barlow Semi Condensed" w:eastAsia="Barlow Semi Condensed" w:hAnsi="Barlow Semi Condensed"/>
          <w:sz w:val="24"/>
          <w:szCs w:val="24"/>
        </w:rPr>
        <w:t xml:space="preserve"> Lo strumento di lavoro: le copie di studio integrali dei giacimenti digitali pubblici presso il fascicolo digitale dell'opera (dove le licenze lo consentono) — l'indipendenza dalla disponibilità altrui. Ciò che è pubblico oggi potrebbe non esserlo domani: la copia di studio è la memoria della memoria.</w:t>
      </w:r>
    </w:p>
    <w:p>
      <w:pPr>
        <w:spacing w:after="120" w:line="276"/>
        <w:jc w:val="both"/>
      </w:pPr>
      <w:r>
        <w:rPr>
          <w:rFonts w:ascii="Barlow Semi Condensed" w:cs="Barlow Semi Condensed" w:eastAsia="Barlow Semi Condensed" w:hAnsi="Barlow Semi Condensed"/>
          <w:b/>
          <w:bCs/>
          <w:sz w:val="24"/>
          <w:szCs w:val="24"/>
        </w:rPr>
        <w:t xml:space="preserve">937 · La didattica dei portali.</w:t>
      </w:r>
      <w:r>
        <w:rPr>
          <w:rFonts w:ascii="Barlow Semi Condensed" w:cs="Barlow Semi Condensed" w:eastAsia="Barlow Semi Condensed" w:hAnsi="Barlow Semi Condensed"/>
          <w:sz w:val="24"/>
          <w:szCs w:val="24"/>
        </w:rPr>
        <w:t xml:space="preserve"> Il servizio civile: la guida all'uso dei giacimenti per studenti e cittadini — come si cerca negli atti del caso, portale per portale, con esempi. La trasparenza senza alfabetizzazione è un archivio chiuso a chiave in una piazza: la guida è la chiave distribuita.</w:t>
      </w:r>
    </w:p>
    <w:p>
      <w:pPr>
        <w:spacing w:after="120" w:line="276"/>
        <w:jc w:val="both"/>
      </w:pPr>
      <w:r>
        <w:rPr>
          <w:rFonts w:ascii="Barlow Semi Condensed" w:cs="Barlow Semi Condensed" w:eastAsia="Barlow Semi Condensed" w:hAnsi="Barlow Semi Condensed"/>
          <w:b/>
          <w:bCs/>
          <w:sz w:val="24"/>
          <w:szCs w:val="24"/>
        </w:rPr>
        <w:t xml:space="preserve">938 · Il giacimento come garanzia.</w:t>
      </w:r>
      <w:r>
        <w:rPr>
          <w:rFonts w:ascii="Barlow Semi Condensed" w:cs="Barlow Semi Condensed" w:eastAsia="Barlow Semi Condensed" w:hAnsi="Barlow Semi Condensed"/>
          <w:sz w:val="24"/>
          <w:szCs w:val="24"/>
        </w:rPr>
        <w:t xml:space="preserve"> La riflessione istituzionale: la digitalizzazione dei cinque processi è la migliore garanzia contro le riscritture — chiunque può verificare chiunque, alla carta. L'opera la usa così: ogni propria affermazione sul giudicato porta il rinvio all'atto digitalizzato — la verificabilità come stile.</w:t>
      </w:r>
    </w:p>
    <w:p>
      <w:pPr>
        <w:spacing w:after="120" w:line="276"/>
        <w:jc w:val="both"/>
      </w:pPr>
      <w:r>
        <w:rPr>
          <w:rFonts w:ascii="Barlow Semi Condensed" w:cs="Barlow Semi Condensed" w:eastAsia="Barlow Semi Condensed" w:hAnsi="Barlow Semi Condensed"/>
          <w:b/>
          <w:bCs/>
          <w:sz w:val="24"/>
          <w:szCs w:val="24"/>
        </w:rPr>
        <w:t xml:space="preserve">939 · La sintesi dei giacimenti.</w:t>
      </w:r>
      <w:r>
        <w:rPr>
          <w:rFonts w:ascii="Barlow Semi Condensed" w:cs="Barlow Semi Condensed" w:eastAsia="Barlow Semi Condensed" w:hAnsi="Barlow Semi Condensed"/>
          <w:sz w:val="24"/>
          <w:szCs w:val="24"/>
        </w:rPr>
        <w:t xml:space="preserve"> Il prodotto della sezione: lo stato dell'arte dei giacimenti digitali del caso — la costellazione mappata, i corpora collegati, le proposte depositate — in relazione pubblica. Il caso Moro è già il caso meglio digitalizzato della storia italiana: la sezione lo dice, lo misura e lo spinge oltre.</w:t>
      </w:r>
    </w:p>
    <w:p>
      <w:pPr>
        <w:spacing w:after="120" w:line="276"/>
        <w:jc w:val="both"/>
      </w:pPr>
      <w:r>
        <w:rPr>
          <w:rFonts w:ascii="Barlow Semi Condensed" w:cs="Barlow Semi Condensed" w:eastAsia="Barlow Semi Condensed" w:hAnsi="Barlow Semi Condensed"/>
          <w:b/>
          <w:bCs/>
          <w:sz w:val="24"/>
          <w:szCs w:val="24"/>
        </w:rPr>
        <w:t xml:space="preserve">940 · La tavola dei portali.</w:t>
      </w:r>
      <w:r>
        <w:rPr>
          <w:rFonts w:ascii="Barlow Semi Condensed" w:cs="Barlow Semi Condensed" w:eastAsia="Barlow Semi Condensed" w:hAnsi="Barlow Semi Condensed"/>
          <w:sz w:val="24"/>
          <w:szCs w:val="24"/>
        </w:rPr>
        <w:t xml:space="preserve"> La chiusura della sezione: la mappa mantenuta, il monitoraggio attivo, le proposte (il portale federato, i dati aperti) consegnate. Il cantiere digitale pubblico del caso ha ora il suo osservatorio permanente: l'opera.</w:t>
      </w:r>
    </w:p>
    <w:p>
      <w:pPr>
        <w:pStyle w:val="Heading3"/>
        <w:spacing w:after="80" w:before="160"/>
      </w:pPr>
      <w:r>
        <w:rPr>
          <w:rFonts w:ascii="Barlow Semi Condensed" w:cs="Barlow Semi Condensed" w:eastAsia="Barlow Semi Condensed" w:hAnsi="Barlow Semi Condensed"/>
          <w:sz w:val="24"/>
          <w:szCs w:val="24"/>
        </w:rPr>
        <w:t xml:space="preserve">La direttiva incompiuta e il diritto della memoria (blocchi 941-965)</w:t>
      </w:r>
    </w:p>
    <w:p>
      <w:pPr>
        <w:spacing w:after="120" w:line="276"/>
        <w:jc w:val="both"/>
      </w:pPr>
      <w:r>
        <w:rPr>
          <w:rFonts w:ascii="Barlow Semi Condensed" w:cs="Barlow Semi Condensed" w:eastAsia="Barlow Semi Condensed" w:hAnsi="Barlow Semi Condensed"/>
          <w:b/>
          <w:bCs/>
          <w:sz w:val="24"/>
          <w:szCs w:val="24"/>
        </w:rPr>
        <w:t xml:space="preserve">941 · Il bilancio delle direttive.</w:t>
      </w:r>
      <w:r>
        <w:rPr>
          <w:rFonts w:ascii="Barlow Semi Condensed" w:cs="Barlow Semi Condensed" w:eastAsia="Barlow Semi Condensed" w:hAnsi="Barlow Semi Condensed"/>
          <w:sz w:val="24"/>
          <w:szCs w:val="24"/>
        </w:rPr>
        <w:t xml:space="preserve"> Il punto verificato: la sequenza Prodi (8 aprile 2008) - sede unica ACS (2010) - Renzi (22 aprile 2014, con l'estensione morotea del 2 dicembre 2014) ha prodotto il grande versamento (l'ordine dei settantasette versamenti da centocinquantasei uffici); la direttiva Draghi (2 agosto 2021) ha aggiunto Gladio e P2 — materia adiacente, non il caso in sé. Il blocco apre la sezione col bilancio: molto versato, completezza mai certificata.</w:t>
      </w:r>
    </w:p>
    <w:p>
      <w:pPr>
        <w:spacing w:after="120" w:line="276"/>
        <w:jc w:val="both"/>
      </w:pPr>
      <w:r>
        <w:rPr>
          <w:rFonts w:ascii="Barlow Semi Condensed" w:cs="Barlow Semi Condensed" w:eastAsia="Barlow Semi Condensed" w:hAnsi="Barlow Semi Condensed"/>
          <w:b/>
          <w:bCs/>
          <w:sz w:val="24"/>
          <w:szCs w:val="24"/>
        </w:rPr>
        <w:t xml:space="preserve">942 · L'audit della completezza.</w:t>
      </w:r>
      <w:r>
        <w:rPr>
          <w:rFonts w:ascii="Barlow Semi Condensed" w:cs="Barlow Semi Condensed" w:eastAsia="Barlow Semi Condensed" w:hAnsi="Barlow Semi Condensed"/>
          <w:sz w:val="24"/>
          <w:szCs w:val="24"/>
        </w:rPr>
        <w:t xml:space="preserve"> Il bersaglio capitale della sezione (i blocchi 29-30 dell'agenda, alla scala della parte): l'audit sistematico versamento per versamento — ciò che ogni amministrazione dichiarò di produrre nel 1978 contro ciò che risulta versato — con la tavola degli scarti per ufficio. La direttiva è compiuta solo quando l'audit lo certifica: fino ad allora è un processo, e l'opera lo tratta da processo.</w:t>
      </w:r>
    </w:p>
    <w:p>
      <w:pPr>
        <w:spacing w:after="120" w:line="276"/>
        <w:jc w:val="both"/>
      </w:pPr>
      <w:r>
        <w:rPr>
          <w:rFonts w:ascii="Barlow Semi Condensed" w:cs="Barlow Semi Condensed" w:eastAsia="Barlow Semi Condensed" w:hAnsi="Barlow Semi Condensed"/>
          <w:b/>
          <w:bCs/>
          <w:sz w:val="24"/>
          <w:szCs w:val="24"/>
        </w:rPr>
        <w:t xml:space="preserve">943 · Le integrazioni dovute.</w:t>
      </w:r>
      <w:r>
        <w:rPr>
          <w:rFonts w:ascii="Barlow Semi Condensed" w:cs="Barlow Semi Condensed" w:eastAsia="Barlow Semi Condensed" w:hAnsi="Barlow Semi Condensed"/>
          <w:sz w:val="24"/>
          <w:szCs w:val="24"/>
        </w:rPr>
        <w:t xml:space="preserve"> Il seguito operativo: per ogni scarto misurato, la richiesta formale di versamento integrativo — amministrazione per amministrazione, con la norma citata e il registro degli esiti. La tavola delle integrazioni chieste e ottenute è il termometro della volontà istituzionale: si pubblica aggiornata.</w:t>
      </w:r>
    </w:p>
    <w:p>
      <w:pPr>
        <w:spacing w:after="120" w:line="276"/>
        <w:jc w:val="both"/>
      </w:pPr>
      <w:r>
        <w:rPr>
          <w:rFonts w:ascii="Barlow Semi Condensed" w:cs="Barlow Semi Condensed" w:eastAsia="Barlow Semi Condensed" w:hAnsi="Barlow Semi Condensed"/>
          <w:b/>
          <w:bCs/>
          <w:sz w:val="24"/>
          <w:szCs w:val="24"/>
        </w:rPr>
        <w:t xml:space="preserve">944 · Gladio e P2, la materia adiacente.</w:t>
      </w:r>
      <w:r>
        <w:rPr>
          <w:rFonts w:ascii="Barlow Semi Condensed" w:cs="Barlow Semi Condensed" w:eastAsia="Barlow Semi Condensed" w:hAnsi="Barlow Semi Condensed"/>
          <w:sz w:val="24"/>
          <w:szCs w:val="24"/>
        </w:rPr>
        <w:t xml:space="preserve"> L'uso disciplinato della direttiva Draghi: i versamenti su Gladio e P2 toccano il caso dove i suoi atti li incrociano (gli elenchi accertati, gli apparati del 1978) — lo spoglio mirato con la regola scolpita: l'appartenenza documentata è un fatto, mai una condotta. La materia adiacente si legge con le pinze del metodo: è la scheda PE-1 che lo insegna.</w:t>
      </w:r>
    </w:p>
    <w:p>
      <w:pPr>
        <w:spacing w:after="120" w:line="276"/>
        <w:jc w:val="both"/>
      </w:pPr>
      <w:r>
        <w:rPr>
          <w:rFonts w:ascii="Barlow Semi Condensed" w:cs="Barlow Semi Condensed" w:eastAsia="Barlow Semi Condensed" w:hAnsi="Barlow Semi Condensed"/>
          <w:b/>
          <w:bCs/>
          <w:sz w:val="24"/>
          <w:szCs w:val="24"/>
        </w:rPr>
        <w:t xml:space="preserve">945 · La direttiva che manca.</w:t>
      </w:r>
      <w:r>
        <w:rPr>
          <w:rFonts w:ascii="Barlow Semi Condensed" w:cs="Barlow Semi Condensed" w:eastAsia="Barlow Semi Condensed" w:hAnsi="Barlow Semi Condensed"/>
          <w:sz w:val="24"/>
          <w:szCs w:val="24"/>
        </w:rPr>
        <w:t xml:space="preserve"> La proposta istituzionale della sezione: una direttiva di completamento per il caso — la certificazione formale della completezza dei versamenti, l'estensione alle serie mancanti censite dall'audit, i termini. L'opera la scrive come proposta motivata e la consegna: decidere è della politica, documentare il bisogno è del cantiere.</w:t>
      </w:r>
    </w:p>
    <w:p>
      <w:pPr>
        <w:spacing w:after="120" w:line="276"/>
        <w:jc w:val="both"/>
      </w:pPr>
      <w:r>
        <w:rPr>
          <w:rFonts w:ascii="Barlow Semi Condensed" w:cs="Barlow Semi Condensed" w:eastAsia="Barlow Semi Condensed" w:hAnsi="Barlow Semi Condensed"/>
          <w:b/>
          <w:bCs/>
          <w:sz w:val="24"/>
          <w:szCs w:val="24"/>
        </w:rPr>
        <w:t xml:space="preserve">946 · Il segreto di Stato, i termini.</w:t>
      </w:r>
      <w:r>
        <w:rPr>
          <w:rFonts w:ascii="Barlow Semi Condensed" w:cs="Barlow Semi Condensed" w:eastAsia="Barlow Semi Condensed" w:hAnsi="Barlow Semi Condensed"/>
          <w:sz w:val="24"/>
          <w:szCs w:val="24"/>
        </w:rPr>
        <w:t xml:space="preserve"> Il quadro normativo fissato: la legge 124/2007 coi suoi termini massimi, l'esclusione del segreto per i fatti eversivi, le procedure di conferma — applicati al caso: che cosa può ancora essere legittimamente coperto, che cosa no. Il prontuario del segreto per il caso Moro: breve, esatto, con gli articoli.</w:t>
      </w:r>
    </w:p>
    <w:p>
      <w:pPr>
        <w:spacing w:after="120" w:line="276"/>
        <w:jc w:val="both"/>
      </w:pPr>
      <w:r>
        <w:rPr>
          <w:rFonts w:ascii="Barlow Semi Condensed" w:cs="Barlow Semi Condensed" w:eastAsia="Barlow Semi Condensed" w:hAnsi="Barlow Semi Condensed"/>
          <w:b/>
          <w:bCs/>
          <w:sz w:val="24"/>
          <w:szCs w:val="24"/>
        </w:rPr>
        <w:t xml:space="preserve">947 · Le classifiche amministrative.</w:t>
      </w:r>
      <w:r>
        <w:rPr>
          <w:rFonts w:ascii="Barlow Semi Condensed" w:cs="Barlow Semi Condensed" w:eastAsia="Barlow Semi Condensed" w:hAnsi="Barlow Semi Condensed"/>
          <w:sz w:val="24"/>
          <w:szCs w:val="24"/>
        </w:rPr>
        <w:t xml:space="preserve"> Il gemello minore: le classifiche di riservatezza non di Stato (riservato, riservatissimo) sui documenti del caso — i poteri di declassifica, le prassi, i termini. Metà del «segreto» percepito è classificazione amministrativa ordinaria: il blocco la spiega e ne organizza l'erosione per richiesta.</w:t>
      </w:r>
    </w:p>
    <w:p>
      <w:pPr>
        <w:spacing w:after="120" w:line="276"/>
        <w:jc w:val="both"/>
      </w:pPr>
      <w:r>
        <w:rPr>
          <w:rFonts w:ascii="Barlow Semi Condensed" w:cs="Barlow Semi Condensed" w:eastAsia="Barlow Semi Condensed" w:hAnsi="Barlow Semi Condensed"/>
          <w:b/>
          <w:bCs/>
          <w:sz w:val="24"/>
          <w:szCs w:val="24"/>
        </w:rPr>
        <w:t xml:space="preserve">948 · L'accesso civico e la storia.</w:t>
      </w:r>
      <w:r>
        <w:rPr>
          <w:rFonts w:ascii="Barlow Semi Condensed" w:cs="Barlow Semi Condensed" w:eastAsia="Barlow Semi Condensed" w:hAnsi="Barlow Semi Condensed"/>
          <w:sz w:val="24"/>
          <w:szCs w:val="24"/>
        </w:rPr>
        <w:t xml:space="preserve"> Lo strumento generale: l'accesso civico generalizzato e l'accesso documentale applicati alla ricerca storica sul caso — i presupposti, i limiti, i precedenti utili. Il FOIA italiano è giovane e poco usato dagli storici: il caso può diventare il suo banco di prova nobile — e il prontuario è pronto.</w:t>
      </w:r>
    </w:p>
    <w:p>
      <w:pPr>
        <w:spacing w:after="120" w:line="276"/>
        <w:jc w:val="both"/>
      </w:pPr>
      <w:r>
        <w:rPr>
          <w:rFonts w:ascii="Barlow Semi Condensed" w:cs="Barlow Semi Condensed" w:eastAsia="Barlow Semi Condensed" w:hAnsi="Barlow Semi Condensed"/>
          <w:b/>
          <w:bCs/>
          <w:sz w:val="24"/>
          <w:szCs w:val="24"/>
        </w:rPr>
        <w:t xml:space="preserve">949 · Il diritto archivistico del caso.</w:t>
      </w:r>
      <w:r>
        <w:rPr>
          <w:rFonts w:ascii="Barlow Semi Condensed" w:cs="Barlow Semi Condensed" w:eastAsia="Barlow Semi Condensed" w:hAnsi="Barlow Semi Condensed"/>
          <w:sz w:val="24"/>
          <w:szCs w:val="24"/>
        </w:rPr>
        <w:t xml:space="preserve"> La sintesi normativa: il Codice dei beni culturali per la consultabilità (i termini per i documenti riservati e sensibili), le deroghe per la ricerca, le regole deontologiche — il diritto della memoria applicato al caso in un prontuario unico. Chi cerca deve sapere che cosa può chiedere: il prontuario è l'arma legale del cantiere.</w:t>
      </w:r>
    </w:p>
    <w:p>
      <w:pPr>
        <w:spacing w:after="120" w:line="276"/>
        <w:jc w:val="both"/>
      </w:pPr>
      <w:r>
        <w:rPr>
          <w:rFonts w:ascii="Barlow Semi Condensed" w:cs="Barlow Semi Condensed" w:eastAsia="Barlow Semi Condensed" w:hAnsi="Barlow Semi Condensed"/>
          <w:b/>
          <w:bCs/>
          <w:sz w:val="24"/>
          <w:szCs w:val="24"/>
        </w:rPr>
        <w:t xml:space="preserve">950 · Il Garante e gli archivi del dolore.</w:t>
      </w:r>
      <w:r>
        <w:rPr>
          <w:rFonts w:ascii="Barlow Semi Condensed" w:cs="Barlow Semi Condensed" w:eastAsia="Barlow Semi Condensed" w:hAnsi="Barlow Semi Condensed"/>
          <w:sz w:val="24"/>
          <w:szCs w:val="24"/>
        </w:rPr>
        <w:t xml:space="preserve"> La frontiera deontologica: le regole per i dati sensibili nelle carte del caso (salute, vita privata, terzi estranei) — il bilanciamento fra ricerca storica e dignità delle persone, con le regole deontologiche vigenti. L'opera li applica a se stessa prima che agli altri: è la condizione per chiedere agli archivi di aprirsi.</w:t>
      </w:r>
    </w:p>
    <w:p>
      <w:pPr>
        <w:spacing w:after="120" w:line="276"/>
        <w:jc w:val="both"/>
      </w:pPr>
      <w:r>
        <w:rPr>
          <w:rFonts w:ascii="Barlow Semi Condensed" w:cs="Barlow Semi Condensed" w:eastAsia="Barlow Semi Condensed" w:hAnsi="Barlow Semi Condensed"/>
          <w:b/>
          <w:bCs/>
          <w:sz w:val="24"/>
          <w:szCs w:val="24"/>
        </w:rPr>
        <w:t xml:space="preserve">951 · La giurisprudenza dell'accesso.</w:t>
      </w:r>
      <w:r>
        <w:rPr>
          <w:rFonts w:ascii="Barlow Semi Condensed" w:cs="Barlow Semi Condensed" w:eastAsia="Barlow Semi Condensed" w:hAnsi="Barlow Semi Condensed"/>
          <w:sz w:val="24"/>
          <w:szCs w:val="24"/>
        </w:rPr>
        <w:t xml:space="preserve"> Il censimento dei precedenti: le decisioni (giudici amministrativi, commissioni per l'accesso) sulle richieste di atti del caso e di casi simili — la tavola dei precedenti favorevoli e contrari. Ogni richiesta futura dell'opera cita i precedenti giusti: la giurisprudenza dell'accesso è una cassetta degli attrezzi, e va tenuta in ordine.</w:t>
      </w:r>
    </w:p>
    <w:p>
      <w:pPr>
        <w:spacing w:after="120" w:line="276"/>
        <w:jc w:val="both"/>
      </w:pPr>
      <w:r>
        <w:rPr>
          <w:rFonts w:ascii="Barlow Semi Condensed" w:cs="Barlow Semi Condensed" w:eastAsia="Barlow Semi Condensed" w:hAnsi="Barlow Semi Condensed"/>
          <w:b/>
          <w:bCs/>
          <w:sz w:val="24"/>
          <w:szCs w:val="24"/>
        </w:rPr>
        <w:t xml:space="preserve">952 · Il diritto europeo della memoria.</w:t>
      </w:r>
      <w:r>
        <w:rPr>
          <w:rFonts w:ascii="Barlow Semi Condensed" w:cs="Barlow Semi Condensed" w:eastAsia="Barlow Semi Condensed" w:hAnsi="Barlow Semi Condensed"/>
          <w:sz w:val="24"/>
          <w:szCs w:val="24"/>
        </w:rPr>
        <w:t xml:space="preserve"> La cornice sovranazionale: le regole europee su protezione dei dati e archivi (le deroghe per archiviazione nel pubblico interesse e ricerca storica) applicate al caso — il prontuario europeo accanto a quello nazionale. La memoria del caso è anche un diritto europeo: si esercita con le sue norme.</w:t>
      </w:r>
    </w:p>
    <w:p>
      <w:pPr>
        <w:spacing w:after="120" w:line="276"/>
        <w:jc w:val="both"/>
      </w:pPr>
      <w:r>
        <w:rPr>
          <w:rFonts w:ascii="Barlow Semi Condensed" w:cs="Barlow Semi Condensed" w:eastAsia="Barlow Semi Condensed" w:hAnsi="Barlow Semi Condensed"/>
          <w:b/>
          <w:bCs/>
          <w:sz w:val="24"/>
          <w:szCs w:val="24"/>
        </w:rPr>
        <w:t xml:space="preserve">953 · Le carte dei servizi, il regime.</w:t>
      </w:r>
      <w:r>
        <w:rPr>
          <w:rFonts w:ascii="Barlow Semi Condensed" w:cs="Barlow Semi Condensed" w:eastAsia="Barlow Semi Condensed" w:hAnsi="Barlow Semi Condensed"/>
          <w:sz w:val="24"/>
          <w:szCs w:val="24"/>
        </w:rPr>
        <w:t xml:space="preserve"> Il capitolo speciale: il regime degli archivi degli organismi di informazione (le norme di versamento, i termini, le prassi post-2007) applicato ai materiali del caso — che cosa è stato versato, che cosa il regime consente di chiedere. Il blocco tratta il tema più evocato e meno conosciuto del caso con l'unico strumento serio: la norma.</w:t>
      </w:r>
    </w:p>
    <w:p>
      <w:pPr>
        <w:spacing w:after="120" w:line="276"/>
        <w:jc w:val="both"/>
      </w:pPr>
      <w:r>
        <w:rPr>
          <w:rFonts w:ascii="Barlow Semi Condensed" w:cs="Barlow Semi Condensed" w:eastAsia="Barlow Semi Condensed" w:hAnsi="Barlow Semi Condensed"/>
          <w:b/>
          <w:bCs/>
          <w:sz w:val="24"/>
          <w:szCs w:val="24"/>
        </w:rPr>
        <w:t xml:space="preserve">954 · Il registro delle richieste, in pubblico.</w:t>
      </w:r>
      <w:r>
        <w:rPr>
          <w:rFonts w:ascii="Barlow Semi Condensed" w:cs="Barlow Semi Condensed" w:eastAsia="Barlow Semi Condensed" w:hAnsi="Barlow Semi Condensed"/>
          <w:sz w:val="24"/>
          <w:szCs w:val="24"/>
        </w:rPr>
        <w:t xml:space="preserve"> La trasparenza attiva della sezione: ogni richiesta d'accesso dell'opera (archivistica, civica, di declassifica) pubblicata nel registro con esito e tempi — la contabilità pubblica del diritto alla memoria esercitato. Le istituzioni rispondono meglio quando il conto è visibile: il registro è gentile e implacabile.</w:t>
      </w:r>
    </w:p>
    <w:p>
      <w:pPr>
        <w:spacing w:after="120" w:line="276"/>
        <w:jc w:val="both"/>
      </w:pPr>
      <w:r>
        <w:rPr>
          <w:rFonts w:ascii="Barlow Semi Condensed" w:cs="Barlow Semi Condensed" w:eastAsia="Barlow Semi Condensed" w:hAnsi="Barlow Semi Condensed"/>
          <w:b/>
          <w:bCs/>
          <w:sz w:val="24"/>
          <w:szCs w:val="24"/>
        </w:rPr>
        <w:t xml:space="preserve">955 · I dinieghi come mappa.</w:t>
      </w:r>
      <w:r>
        <w:rPr>
          <w:rFonts w:ascii="Barlow Semi Condensed" w:cs="Barlow Semi Condensed" w:eastAsia="Barlow Semi Condensed" w:hAnsi="Barlow Semi Condensed"/>
          <w:sz w:val="24"/>
          <w:szCs w:val="24"/>
        </w:rPr>
        <w:t xml:space="preserve"> L'uso intelligente dei no: la tavola dei dinieghi motivati come mappa di ciò che le amministrazioni considerano ancora sensibile — un dato storico in sé. Ogni diniego dice qualcosa: la mappa dei no del 2026 sarà una fonte per gli storici del 2050.</w:t>
      </w:r>
    </w:p>
    <w:p>
      <w:pPr>
        <w:spacing w:after="120" w:line="276"/>
        <w:jc w:val="both"/>
      </w:pPr>
      <w:r>
        <w:rPr>
          <w:rFonts w:ascii="Barlow Semi Condensed" w:cs="Barlow Semi Condensed" w:eastAsia="Barlow Semi Condensed" w:hAnsi="Barlow Semi Condensed"/>
          <w:b/>
          <w:bCs/>
          <w:sz w:val="24"/>
          <w:szCs w:val="24"/>
        </w:rPr>
        <w:t xml:space="preserve">956 · Il precedente del caso.</w:t>
      </w:r>
      <w:r>
        <w:rPr>
          <w:rFonts w:ascii="Barlow Semi Condensed" w:cs="Barlow Semi Condensed" w:eastAsia="Barlow Semi Condensed" w:hAnsi="Barlow Semi Condensed"/>
          <w:sz w:val="24"/>
          <w:szCs w:val="24"/>
        </w:rPr>
        <w:t xml:space="preserve"> La consapevolezza istituzionale: il caso Moro è già il precedente italiano maggiore per il diritto della memoria (le direttive nacquero anche per lui) — e ogni conquista d'accesso ottenuta per il caso vale per tutti i casi. L'opera lavora per il caso sapendo di lavorare per il genere: è la responsabilità del capofila.</w:t>
      </w:r>
    </w:p>
    <w:p>
      <w:pPr>
        <w:spacing w:after="120" w:line="276"/>
        <w:jc w:val="both"/>
      </w:pPr>
      <w:r>
        <w:rPr>
          <w:rFonts w:ascii="Barlow Semi Condensed" w:cs="Barlow Semi Condensed" w:eastAsia="Barlow Semi Condensed" w:hAnsi="Barlow Semi Condensed"/>
          <w:b/>
          <w:bCs/>
          <w:sz w:val="24"/>
          <w:szCs w:val="24"/>
        </w:rPr>
        <w:t xml:space="preserve">957 · La formazione giuridica del cantiere.</w:t>
      </w:r>
      <w:r>
        <w:rPr>
          <w:rFonts w:ascii="Barlow Semi Condensed" w:cs="Barlow Semi Condensed" w:eastAsia="Barlow Semi Condensed" w:hAnsi="Barlow Semi Condensed"/>
          <w:sz w:val="24"/>
          <w:szCs w:val="24"/>
        </w:rPr>
        <w:t xml:space="preserve"> Lo strumento interno: la formazione dei collaboratori dell'opera sul diritto dell'accesso — il prontuario insegnato, i modelli d'atto, gli errori da non fare. Una richiesta mal scritta brucia un precedente: il cantiere non improvvisa nemmeno qui.</w:t>
      </w:r>
    </w:p>
    <w:p>
      <w:pPr>
        <w:spacing w:after="120" w:line="276"/>
        <w:jc w:val="both"/>
      </w:pPr>
      <w:r>
        <w:rPr>
          <w:rFonts w:ascii="Barlow Semi Condensed" w:cs="Barlow Semi Condensed" w:eastAsia="Barlow Semi Condensed" w:hAnsi="Barlow Semi Condensed"/>
          <w:b/>
          <w:bCs/>
          <w:sz w:val="24"/>
          <w:szCs w:val="24"/>
        </w:rPr>
        <w:t xml:space="preserve">958 · Il dialogo con le amministrazioni.</w:t>
      </w:r>
      <w:r>
        <w:rPr>
          <w:rFonts w:ascii="Barlow Semi Condensed" w:cs="Barlow Semi Condensed" w:eastAsia="Barlow Semi Condensed" w:hAnsi="Barlow Semi Condensed"/>
          <w:sz w:val="24"/>
          <w:szCs w:val="24"/>
        </w:rPr>
        <w:t xml:space="preserve"> La diplomazia della sezione: il tavolo permanente con le amministrazioni detentrici (Interno, Difesa, Giustizia, Esteri, presidenza del Consiglio) sulle integrazioni e le declassifiche — la cortesia istituzionale come metodo, il registro come memoria. Si ottiene di più con la forma che con la polemica: è una regola d'esperienza, e si applica.</w:t>
      </w:r>
    </w:p>
    <w:p>
      <w:pPr>
        <w:spacing w:after="120" w:line="276"/>
        <w:jc w:val="both"/>
      </w:pPr>
      <w:r>
        <w:rPr>
          <w:rFonts w:ascii="Barlow Semi Condensed" w:cs="Barlow Semi Condensed" w:eastAsia="Barlow Semi Condensed" w:hAnsi="Barlow Semi Condensed"/>
          <w:b/>
          <w:bCs/>
          <w:sz w:val="24"/>
          <w:szCs w:val="24"/>
        </w:rPr>
        <w:t xml:space="preserve">959 · Il Parlamento e la vigilanza.</w:t>
      </w:r>
      <w:r>
        <w:rPr>
          <w:rFonts w:ascii="Barlow Semi Condensed" w:cs="Barlow Semi Condensed" w:eastAsia="Barlow Semi Condensed" w:hAnsi="Barlow Semi Condensed"/>
          <w:sz w:val="24"/>
          <w:szCs w:val="24"/>
        </w:rPr>
        <w:t xml:space="preserve"> Il canale politico: gli strumenti parlamentari (interrogazioni, indirizzi, gli organi di vigilanza) come leve per la completezza dei versamenti — censiti e proposti alle forze politiche senza colore. La completezza degli archivi del caso è un interesse della Repubblica intera: il blocco lo ricorda a chi può agire.</w:t>
      </w:r>
    </w:p>
    <w:p>
      <w:pPr>
        <w:spacing w:after="120" w:line="276"/>
        <w:jc w:val="both"/>
      </w:pPr>
      <w:r>
        <w:rPr>
          <w:rFonts w:ascii="Barlow Semi Condensed" w:cs="Barlow Semi Condensed" w:eastAsia="Barlow Semi Condensed" w:hAnsi="Barlow Semi Condensed"/>
          <w:b/>
          <w:bCs/>
          <w:sz w:val="24"/>
          <w:szCs w:val="24"/>
        </w:rPr>
        <w:t xml:space="preserve">960 · La società civile organizzata.</w:t>
      </w:r>
      <w:r>
        <w:rPr>
          <w:rFonts w:ascii="Barlow Semi Condensed" w:cs="Barlow Semi Condensed" w:eastAsia="Barlow Semi Condensed" w:hAnsi="Barlow Semi Condensed"/>
          <w:sz w:val="24"/>
          <w:szCs w:val="24"/>
        </w:rPr>
        <w:t xml:space="preserve"> L'alleanza: le associazioni (le vittime, gli archivisti, gli storici) come coalizione per il diritto alla memoria del caso — il coordinamento delle richieste, la voce comune. L'opera è un attore fra altri: la coalizione moltiplica ciò che nessuno otterrebbe da solo.</w:t>
      </w:r>
    </w:p>
    <w:p>
      <w:pPr>
        <w:spacing w:after="120" w:line="276"/>
        <w:jc w:val="both"/>
      </w:pPr>
      <w:r>
        <w:rPr>
          <w:rFonts w:ascii="Barlow Semi Condensed" w:cs="Barlow Semi Condensed" w:eastAsia="Barlow Semi Condensed" w:hAnsi="Barlow Semi Condensed"/>
          <w:b/>
          <w:bCs/>
          <w:sz w:val="24"/>
          <w:szCs w:val="24"/>
        </w:rPr>
        <w:t xml:space="preserve">961 · Il contenzioso, se serve.</w:t>
      </w:r>
      <w:r>
        <w:rPr>
          <w:rFonts w:ascii="Barlow Semi Condensed" w:cs="Barlow Semi Condensed" w:eastAsia="Barlow Semi Condensed" w:hAnsi="Barlow Semi Condensed"/>
          <w:sz w:val="24"/>
          <w:szCs w:val="24"/>
        </w:rPr>
        <w:t xml:space="preserve"> L'ultima ratio dichiarata: il ricorso giurisdizionale contro i dinieghi illegittimi — quando, come, con quali costi e precedenti. L'opera preferisce il dialogo e non teme il giudice: la disponibilità al contenzioso, dichiarata con misura, è essa stessa un argomento negoziale.</w:t>
      </w:r>
    </w:p>
    <w:p>
      <w:pPr>
        <w:spacing w:after="120" w:line="276"/>
        <w:jc w:val="both"/>
      </w:pPr>
      <w:r>
        <w:rPr>
          <w:rFonts w:ascii="Barlow Semi Condensed" w:cs="Barlow Semi Condensed" w:eastAsia="Barlow Semi Condensed" w:hAnsi="Barlow Semi Condensed"/>
          <w:b/>
          <w:bCs/>
          <w:sz w:val="24"/>
          <w:szCs w:val="24"/>
        </w:rPr>
        <w:t xml:space="preserve">962 · Le declassifiche parlamentari, il seguito.</w:t>
      </w:r>
      <w:r>
        <w:rPr>
          <w:rFonts w:ascii="Barlow Semi Condensed" w:cs="Barlow Semi Condensed" w:eastAsia="Barlow Semi Condensed" w:hAnsi="Barlow Semi Condensed"/>
          <w:sz w:val="24"/>
          <w:szCs w:val="24"/>
        </w:rPr>
        <w:t xml:space="preserve"> Il fronte gemello: il completamento delle desecretazioni dei fondi parlamentari (i residui riservati delle tre commissioni, i decreti presidenziali attesi) — le richieste agli organi di vertice delle Camere, nel registro. Il diritto della memoria ha due sportelli sovrani: l'opera bussa a entrambi con lo stesso garbo.</w:t>
      </w:r>
    </w:p>
    <w:p>
      <w:pPr>
        <w:spacing w:after="120" w:line="276"/>
        <w:jc w:val="both"/>
      </w:pPr>
      <w:r>
        <w:rPr>
          <w:rFonts w:ascii="Barlow Semi Condensed" w:cs="Barlow Semi Condensed" w:eastAsia="Barlow Semi Condensed" w:hAnsi="Barlow Semi Condensed"/>
          <w:b/>
          <w:bCs/>
          <w:sz w:val="24"/>
          <w:szCs w:val="24"/>
        </w:rPr>
        <w:t xml:space="preserve">963 · L'anagrafe del desecretato.</w:t>
      </w:r>
      <w:r>
        <w:rPr>
          <w:rFonts w:ascii="Barlow Semi Condensed" w:cs="Barlow Semi Condensed" w:eastAsia="Barlow Semi Condensed" w:hAnsi="Barlow Semi Condensed"/>
          <w:sz w:val="24"/>
          <w:szCs w:val="24"/>
        </w:rPr>
        <w:t xml:space="preserve"> Lo strumento di controllo: la tavola di tutto ciò che è stato desecretato sul caso (per direttiva, per decreto parlamentare, per decorso) con date e sedi — l'anagrafe del già aperto contro la retorica del «tutto segreto». Metà del dibattito pubblico ignora quanto è già leggibile: l'anagrafe è la risposta documentale.</w:t>
      </w:r>
    </w:p>
    <w:p>
      <w:pPr>
        <w:spacing w:after="120" w:line="276"/>
        <w:jc w:val="both"/>
      </w:pPr>
      <w:r>
        <w:rPr>
          <w:rFonts w:ascii="Barlow Semi Condensed" w:cs="Barlow Semi Condensed" w:eastAsia="Barlow Semi Condensed" w:hAnsi="Barlow Semi Condensed"/>
          <w:b/>
          <w:bCs/>
          <w:sz w:val="24"/>
          <w:szCs w:val="24"/>
        </w:rPr>
        <w:t xml:space="preserve">964 · La sintesi del diritto.</w:t>
      </w:r>
      <w:r>
        <w:rPr>
          <w:rFonts w:ascii="Barlow Semi Condensed" w:cs="Barlow Semi Condensed" w:eastAsia="Barlow Semi Condensed" w:hAnsi="Barlow Semi Condensed"/>
          <w:sz w:val="24"/>
          <w:szCs w:val="24"/>
        </w:rPr>
        <w:t xml:space="preserve"> Il prodotto della sezione: lo stato del diritto della memoria applicato al caso — il versato, il chiedibile, il negato, il proposto — in relazione pubblica annuale. La sezione consegna al paese il quadro che nessuna polemica dà: dove siamo davvero, norma alla mano.</w:t>
      </w:r>
    </w:p>
    <w:p>
      <w:pPr>
        <w:spacing w:after="120" w:line="276"/>
        <w:jc w:val="both"/>
      </w:pPr>
      <w:r>
        <w:rPr>
          <w:rFonts w:ascii="Barlow Semi Condensed" w:cs="Barlow Semi Condensed" w:eastAsia="Barlow Semi Condensed" w:hAnsi="Barlow Semi Condensed"/>
          <w:b/>
          <w:bCs/>
          <w:sz w:val="24"/>
          <w:szCs w:val="24"/>
        </w:rPr>
        <w:t xml:space="preserve">965 · La tavola del diritto della memoria.</w:t>
      </w:r>
      <w:r>
        <w:rPr>
          <w:rFonts w:ascii="Barlow Semi Condensed" w:cs="Barlow Semi Condensed" w:eastAsia="Barlow Semi Condensed" w:hAnsi="Barlow Semi Condensed"/>
          <w:sz w:val="24"/>
          <w:szCs w:val="24"/>
        </w:rPr>
        <w:t xml:space="preserve"> La chiusura della sezione: l'audit avviato, le proposte depositate (la direttiva di completamento), i prontuari pubblicati, il registro attivo. Il diritto della memoria del caso ha ora il suo ufficio legale civile: gratuito, documentato, paziente.</w:t>
      </w:r>
    </w:p>
    <w:p>
      <w:pPr>
        <w:pStyle w:val="Heading3"/>
        <w:spacing w:after="80" w:before="160"/>
      </w:pPr>
      <w:r>
        <w:rPr>
          <w:rFonts w:ascii="Barlow Semi Condensed" w:cs="Barlow Semi Condensed" w:eastAsia="Barlow Semi Condensed" w:hAnsi="Barlow Semi Condensed"/>
          <w:sz w:val="24"/>
          <w:szCs w:val="24"/>
        </w:rPr>
        <w:t xml:space="preserve">Il cinquantennale e la memoria civile (blocchi 966-990)</w:t>
      </w:r>
    </w:p>
    <w:p>
      <w:pPr>
        <w:spacing w:after="120" w:line="276"/>
        <w:jc w:val="both"/>
      </w:pPr>
      <w:r>
        <w:rPr>
          <w:rFonts w:ascii="Barlow Semi Condensed" w:cs="Barlow Semi Condensed" w:eastAsia="Barlow Semi Condensed" w:hAnsi="Barlow Semi Condensed"/>
          <w:b/>
          <w:bCs/>
          <w:sz w:val="24"/>
          <w:szCs w:val="24"/>
        </w:rPr>
        <w:t xml:space="preserve">966 · Il 9 maggio della Repubblica.</w:t>
      </w:r>
      <w:r>
        <w:rPr>
          <w:rFonts w:ascii="Barlow Semi Condensed" w:cs="Barlow Semi Condensed" w:eastAsia="Barlow Semi Condensed" w:hAnsi="Barlow Semi Condensed"/>
          <w:sz w:val="24"/>
          <w:szCs w:val="24"/>
        </w:rPr>
        <w:t xml:space="preserve"> Il pilastro verificato: la legge 4 maggio 2007, n. 56 ha istituito il Giorno della memoria dedicato alle vittime del terrorismo, celebrato il 9 maggio — l'anniversario di via Caetani. La memoria del caso è già scritta nel calendario civile della Repubblica: la sezione parte da questo fatto, non da un auspicio.</w:t>
      </w:r>
    </w:p>
    <w:p>
      <w:pPr>
        <w:spacing w:after="120" w:line="276"/>
        <w:jc w:val="both"/>
      </w:pPr>
      <w:r>
        <w:rPr>
          <w:rFonts w:ascii="Barlow Semi Condensed" w:cs="Barlow Semi Condensed" w:eastAsia="Barlow Semi Condensed" w:hAnsi="Barlow Semi Condensed"/>
          <w:b/>
          <w:bCs/>
          <w:sz w:val="24"/>
          <w:szCs w:val="24"/>
        </w:rPr>
        <w:t xml:space="preserve">967 · Il cinquantennale scoperto.</w:t>
      </w:r>
      <w:r>
        <w:rPr>
          <w:rFonts w:ascii="Barlow Semi Condensed" w:cs="Barlow Semi Condensed" w:eastAsia="Barlow Semi Condensed" w:hAnsi="Barlow Semi Condensed"/>
          <w:sz w:val="24"/>
          <w:szCs w:val="24"/>
        </w:rPr>
        <w:t xml:space="preserve"> L'esito negativo trasformato in agenda: non risulta istituito alcun comitato nazionale né programma organico per il cinquantennale del 2028 — mentre il precedente esiste (il centenario della nascita, 2016, generò comitato ed edizione nazionale). Il blocco formula la proposta: il comitato nazionale per il cinquantennale, con programma archivistico e scientifico, non celebrativo.</w:t>
      </w:r>
    </w:p>
    <w:p>
      <w:pPr>
        <w:spacing w:after="120" w:line="276"/>
        <w:jc w:val="both"/>
      </w:pPr>
      <w:r>
        <w:rPr>
          <w:rFonts w:ascii="Barlow Semi Condensed" w:cs="Barlow Semi Condensed" w:eastAsia="Barlow Semi Condensed" w:hAnsi="Barlow Semi Condensed"/>
          <w:b/>
          <w:bCs/>
          <w:sz w:val="24"/>
          <w:szCs w:val="24"/>
        </w:rPr>
        <w:t xml:space="preserve">968 · Il programma che l'opera propone.</w:t>
      </w:r>
      <w:r>
        <w:rPr>
          <w:rFonts w:ascii="Barlow Semi Condensed" w:cs="Barlow Semi Condensed" w:eastAsia="Barlow Semi Condensed" w:hAnsi="Barlow Semi Condensed"/>
          <w:sz w:val="24"/>
          <w:szCs w:val="24"/>
        </w:rPr>
        <w:t xml:space="preserve"> Il contenuto della proposta: per il 16 marzo 2028 — non cerimonie in più, ma consegne: il portale federato (blocco 920), l'audit delle direttive certificato (942), l'inventario dei reperti pubblicato (342), l'edizione delle sentenze (928), le tavole dell'opera depositate. Il cinquantennale come scadenza di lavori, non di discorsi: è l'unica commemorazione che il metodo conosce.</w:t>
      </w:r>
    </w:p>
    <w:p>
      <w:pPr>
        <w:spacing w:after="120" w:line="276"/>
        <w:jc w:val="both"/>
      </w:pPr>
      <w:r>
        <w:rPr>
          <w:rFonts w:ascii="Barlow Semi Condensed" w:cs="Barlow Semi Condensed" w:eastAsia="Barlow Semi Condensed" w:hAnsi="Barlow Semi Condensed"/>
          <w:b/>
          <w:bCs/>
          <w:sz w:val="24"/>
          <w:szCs w:val="24"/>
        </w:rPr>
        <w:t xml:space="preserve">969 · Le vittime al centro del 2028.</w:t>
      </w:r>
      <w:r>
        <w:rPr>
          <w:rFonts w:ascii="Barlow Semi Condensed" w:cs="Barlow Semi Condensed" w:eastAsia="Barlow Semi Condensed" w:hAnsi="Barlow Semi Condensed"/>
          <w:sz w:val="24"/>
          <w:szCs w:val="24"/>
        </w:rPr>
        <w:t xml:space="preserve"> La regola del programma: il cinquantennale appartiene prima di tutto a Leonardi, Ricci, Rivera, Zizzi, Iozzino e Moro — e alle loro famiglie: ogni iniziativa si progetta con loro, mai sopra di loro (la priorità di rispetto del blocco 288, elevata a costituzione del cinquantennale). Il blocco 882 lo ha mostrato: le famiglie sono il motore, non il pubblico.</w:t>
      </w:r>
    </w:p>
    <w:p>
      <w:pPr>
        <w:spacing w:after="120" w:line="276"/>
        <w:jc w:val="both"/>
      </w:pPr>
      <w:r>
        <w:rPr>
          <w:rFonts w:ascii="Barlow Semi Condensed" w:cs="Barlow Semi Condensed" w:eastAsia="Barlow Semi Condensed" w:hAnsi="Barlow Semi Condensed"/>
          <w:b/>
          <w:bCs/>
          <w:sz w:val="24"/>
          <w:szCs w:val="24"/>
        </w:rPr>
        <w:t xml:space="preserve">970 · I luoghi della memoria, il censimento.</w:t>
      </w:r>
      <w:r>
        <w:rPr>
          <w:rFonts w:ascii="Barlow Semi Condensed" w:cs="Barlow Semi Condensed" w:eastAsia="Barlow Semi Condensed" w:hAnsi="Barlow Semi Condensed"/>
          <w:sz w:val="24"/>
          <w:szCs w:val="24"/>
        </w:rPr>
        <w:t xml:space="preserve"> Il patrimonio fisico: le lapidi, i monumenti, la toponomastica del caso (via Fani, via Caetani, i luoghi delle vittime) — il censimento conservativo con gli stati (chi li cura, in che condizioni sono). La memoria di pietra si manutiene come quella di carta: il censimento è il primo atto.</w:t>
      </w:r>
    </w:p>
    <w:p>
      <w:pPr>
        <w:spacing w:after="120" w:line="276"/>
        <w:jc w:val="both"/>
      </w:pPr>
      <w:r>
        <w:rPr>
          <w:rFonts w:ascii="Barlow Semi Condensed" w:cs="Barlow Semi Condensed" w:eastAsia="Barlow Semi Condensed" w:hAnsi="Barlow Semi Condensed"/>
          <w:b/>
          <w:bCs/>
          <w:sz w:val="24"/>
          <w:szCs w:val="24"/>
        </w:rPr>
        <w:t xml:space="preserve">971 · Via Fani, il luogo.</w:t>
      </w:r>
      <w:r>
        <w:rPr>
          <w:rFonts w:ascii="Barlow Semi Condensed" w:cs="Barlow Semi Condensed" w:eastAsia="Barlow Semi Condensed" w:hAnsi="Barlow Semi Condensed"/>
          <w:sz w:val="24"/>
          <w:szCs w:val="24"/>
        </w:rPr>
        <w:t xml:space="preserve"> La scheda del luogo primo: lo stato attuale di via Mario Fani — il monumento, la manutenzione, la segnaletica della memoria — e la proposta di un allestimento documentale sobrio per il 2028 (il racconto esatto del fatto, sul posto, con le fonti). Il luogo dell'agguato merita la stessa precisione dell'archivio: né retorica né abbandono.</w:t>
      </w:r>
    </w:p>
    <w:p>
      <w:pPr>
        <w:spacing w:after="120" w:line="276"/>
        <w:jc w:val="both"/>
      </w:pPr>
      <w:r>
        <w:rPr>
          <w:rFonts w:ascii="Barlow Semi Condensed" w:cs="Barlow Semi Condensed" w:eastAsia="Barlow Semi Condensed" w:hAnsi="Barlow Semi Condensed"/>
          <w:b/>
          <w:bCs/>
          <w:sz w:val="24"/>
          <w:szCs w:val="24"/>
        </w:rPr>
        <w:t xml:space="preserve">972 · Via Caetani, il luogo.</w:t>
      </w:r>
      <w:r>
        <w:rPr>
          <w:rFonts w:ascii="Barlow Semi Condensed" w:cs="Barlow Semi Condensed" w:eastAsia="Barlow Semi Condensed" w:hAnsi="Barlow Semi Condensed"/>
          <w:sz w:val="24"/>
          <w:szCs w:val="24"/>
        </w:rPr>
        <w:t xml:space="preserve"> La scheda gemella: il luogo del ritrovamento — la lapide, i fiori del 9 maggio, le cerimonie documentate anno per anno. La storia delle commemorazioni di via Caetani è essa stessa un archivio (chi venne, chi parlò, che cosa disse): si censisce dal 1979 a oggi.</w:t>
      </w:r>
    </w:p>
    <w:p>
      <w:pPr>
        <w:spacing w:after="120" w:line="276"/>
        <w:jc w:val="both"/>
      </w:pPr>
      <w:r>
        <w:rPr>
          <w:rFonts w:ascii="Barlow Semi Condensed" w:cs="Barlow Semi Condensed" w:eastAsia="Barlow Semi Condensed" w:hAnsi="Barlow Semi Condensed"/>
          <w:b/>
          <w:bCs/>
          <w:sz w:val="24"/>
          <w:szCs w:val="24"/>
        </w:rPr>
        <w:t xml:space="preserve">973 · I musei e il caso.</w:t>
      </w:r>
      <w:r>
        <w:rPr>
          <w:rFonts w:ascii="Barlow Semi Condensed" w:cs="Barlow Semi Condensed" w:eastAsia="Barlow Semi Condensed" w:hAnsi="Barlow Semi Condensed"/>
          <w:sz w:val="24"/>
          <w:szCs w:val="24"/>
        </w:rPr>
        <w:t xml:space="preserve"> La ricognizione espositiva: dove il caso è musealizzato oggi (la Renault 4 al museo della Polizia, i materiali negli istituti) e la proposta della mostra documentale del cinquantennale — con l'etica del blocco 600 e le tavole dell'opera come apparato. Il paese merita una mostra che mostri le carte: non reliquie, documenti.</w:t>
      </w:r>
    </w:p>
    <w:p>
      <w:pPr>
        <w:spacing w:after="120" w:line="276"/>
        <w:jc w:val="both"/>
      </w:pPr>
      <w:r>
        <w:rPr>
          <w:rFonts w:ascii="Barlow Semi Condensed" w:cs="Barlow Semi Condensed" w:eastAsia="Barlow Semi Condensed" w:hAnsi="Barlow Semi Condensed"/>
          <w:b/>
          <w:bCs/>
          <w:sz w:val="24"/>
          <w:szCs w:val="24"/>
        </w:rPr>
        <w:t xml:space="preserve">974 · La scuola e il 2028.</w:t>
      </w:r>
      <w:r>
        <w:rPr>
          <w:rFonts w:ascii="Barlow Semi Condensed" w:cs="Barlow Semi Condensed" w:eastAsia="Barlow Semi Condensed" w:hAnsi="Barlow Semi Condensed"/>
          <w:sz w:val="24"/>
          <w:szCs w:val="24"/>
        </w:rPr>
        <w:t xml:space="preserve"> Il programma didattico del cinquantennale: i materiali dell'opera in versione scolastica (i blocchi didattici delle parti, riuniti), la formazione dei docenti, il concorso nazionale sulle fonti. Una generazione che non c'era merita di ricevere il caso come metodo, non come leggenda: il 2028 è l'occasione, la scuola è il luogo.</w:t>
      </w:r>
    </w:p>
    <w:p>
      <w:pPr>
        <w:spacing w:after="120" w:line="276"/>
        <w:jc w:val="both"/>
      </w:pPr>
      <w:r>
        <w:rPr>
          <w:rFonts w:ascii="Barlow Semi Condensed" w:cs="Barlow Semi Condensed" w:eastAsia="Barlow Semi Condensed" w:hAnsi="Barlow Semi Condensed"/>
          <w:b/>
          <w:bCs/>
          <w:sz w:val="24"/>
          <w:szCs w:val="24"/>
        </w:rPr>
        <w:t xml:space="preserve">975 · L'università e il 2028.</w:t>
      </w:r>
      <w:r>
        <w:rPr>
          <w:rFonts w:ascii="Barlow Semi Condensed" w:cs="Barlow Semi Condensed" w:eastAsia="Barlow Semi Condensed" w:hAnsi="Barlow Semi Condensed"/>
          <w:sz w:val="24"/>
          <w:szCs w:val="24"/>
        </w:rPr>
        <w:t xml:space="preserve"> Il gemello accademico: il convegno internazionale del cinquantennale come momento scientifico (gli storici degli archivi esteri della Parte prima, i filologi della quinta, i forensi della settima) — con atti pubblicati. La comunità scientifica del caso, riunita una volta con tutte le carte sul tavolo: non accadde mai; può accadere nel 2028.</w:t>
      </w:r>
    </w:p>
    <w:p>
      <w:pPr>
        <w:spacing w:after="120" w:line="276"/>
        <w:jc w:val="both"/>
      </w:pPr>
      <w:r>
        <w:rPr>
          <w:rFonts w:ascii="Barlow Semi Condensed" w:cs="Barlow Semi Condensed" w:eastAsia="Barlow Semi Condensed" w:hAnsi="Barlow Semi Condensed"/>
          <w:b/>
          <w:bCs/>
          <w:sz w:val="24"/>
          <w:szCs w:val="24"/>
        </w:rPr>
        <w:t xml:space="preserve">976 · I media e il cinquantennale.</w:t>
      </w:r>
      <w:r>
        <w:rPr>
          <w:rFonts w:ascii="Barlow Semi Condensed" w:cs="Barlow Semi Condensed" w:eastAsia="Barlow Semi Condensed" w:hAnsi="Barlow Semi Condensed"/>
          <w:sz w:val="24"/>
          <w:szCs w:val="24"/>
        </w:rPr>
        <w:t xml:space="preserve"> Il protocollo mediatico: l'anniversario porterà il prevedibile diluvio — l'opera prepara il servizio: il glossario, le schede verificate, la disponibilità alle redazioni per il controllo delle fonti (il raccordo col blocco 780). Non si governa il diluvio: si offre acqua pulita a chi la vuole.</w:t>
      </w:r>
    </w:p>
    <w:p>
      <w:pPr>
        <w:spacing w:after="120" w:line="276"/>
        <w:jc w:val="both"/>
      </w:pPr>
      <w:r>
        <w:rPr>
          <w:rFonts w:ascii="Barlow Semi Condensed" w:cs="Barlow Semi Condensed" w:eastAsia="Barlow Semi Condensed" w:hAnsi="Barlow Semi Condensed"/>
          <w:b/>
          <w:bCs/>
          <w:sz w:val="24"/>
          <w:szCs w:val="24"/>
        </w:rPr>
        <w:t xml:space="preserve">977 · Le produzioni del cinquantennale.</w:t>
      </w:r>
      <w:r>
        <w:rPr>
          <w:rFonts w:ascii="Barlow Semi Condensed" w:cs="Barlow Semi Condensed" w:eastAsia="Barlow Semi Condensed" w:hAnsi="Barlow Semi Condensed"/>
          <w:sz w:val="24"/>
          <w:szCs w:val="24"/>
        </w:rPr>
        <w:t xml:space="preserve"> La vigilanza culturale: film, serie e podcast arriveranno — l'opera censisce le produzioni annunciate e offre a ciascuna la consulenza documentale (accettata o no, l'offerta è registrata). La finzione è libera; la disponibilità delle fonti esatte toglie ogni alibi all'errore evitabile.</w:t>
      </w:r>
    </w:p>
    <w:p>
      <w:pPr>
        <w:spacing w:after="120" w:line="276"/>
        <w:jc w:val="both"/>
      </w:pPr>
      <w:r>
        <w:rPr>
          <w:rFonts w:ascii="Barlow Semi Condensed" w:cs="Barlow Semi Condensed" w:eastAsia="Barlow Semi Condensed" w:hAnsi="Barlow Semi Condensed"/>
          <w:b/>
          <w:bCs/>
          <w:sz w:val="24"/>
          <w:szCs w:val="24"/>
        </w:rPr>
        <w:t xml:space="preserve">978 · La memoria digitale del cinquantennale.</w:t>
      </w:r>
      <w:r>
        <w:rPr>
          <w:rFonts w:ascii="Barlow Semi Condensed" w:cs="Barlow Semi Condensed" w:eastAsia="Barlow Semi Condensed" w:hAnsi="Barlow Semi Condensed"/>
          <w:sz w:val="24"/>
          <w:szCs w:val="24"/>
        </w:rPr>
        <w:t xml:space="preserve"> Il progetto commemorativo proprio dell'opera: la cronologia integrale dei 55 giorni (blocco 648) pubblicata per il 2028 come esperienza documentale aperta — il giorno per giorno con le fonti, cinquant'anni dopo. Il contributo dell'opera alle commemorazioni: silenzioso, esatto, permanente.</w:t>
      </w:r>
    </w:p>
    <w:p>
      <w:pPr>
        <w:spacing w:after="120" w:line="276"/>
        <w:jc w:val="both"/>
      </w:pPr>
      <w:r>
        <w:rPr>
          <w:rFonts w:ascii="Barlow Semi Condensed" w:cs="Barlow Semi Condensed" w:eastAsia="Barlow Semi Condensed" w:hAnsi="Barlow Semi Condensed"/>
          <w:b/>
          <w:bCs/>
          <w:sz w:val="24"/>
          <w:szCs w:val="24"/>
        </w:rPr>
        <w:t xml:space="preserve">979 · Gli anniversari minori.</w:t>
      </w:r>
      <w:r>
        <w:rPr>
          <w:rFonts w:ascii="Barlow Semi Condensed" w:cs="Barlow Semi Condensed" w:eastAsia="Barlow Semi Condensed" w:hAnsi="Barlow Semi Condensed"/>
          <w:sz w:val="24"/>
          <w:szCs w:val="24"/>
        </w:rPr>
        <w:t xml:space="preserve"> Il calendario completo: le date del caso oltre il 16 marzo e il 9 maggio (il 18 aprile del triplo evento, il 1° ottobre di Monte Nevoso, le date dei processi) — il calendario documentale annuale dell'opera, con un contenuto verificato per ciascuna data. La memoria non vive solo di anniversari tondi: il calendario la nutre tutto l'anno.</w:t>
      </w:r>
    </w:p>
    <w:p>
      <w:pPr>
        <w:spacing w:after="120" w:line="276"/>
        <w:jc w:val="both"/>
      </w:pPr>
      <w:r>
        <w:rPr>
          <w:rFonts w:ascii="Barlow Semi Condensed" w:cs="Barlow Semi Condensed" w:eastAsia="Barlow Semi Condensed" w:hAnsi="Barlow Semi Condensed"/>
          <w:b/>
          <w:bCs/>
          <w:sz w:val="24"/>
          <w:szCs w:val="24"/>
        </w:rPr>
        <w:t xml:space="preserve">980 · Il decennio della raccolta.</w:t>
      </w:r>
      <w:r>
        <w:rPr>
          <w:rFonts w:ascii="Barlow Semi Condensed" w:cs="Barlow Semi Condensed" w:eastAsia="Barlow Semi Condensed" w:hAnsi="Barlow Semi Condensed"/>
          <w:sz w:val="24"/>
          <w:szCs w:val="24"/>
        </w:rPr>
        <w:t xml:space="preserve"> La prospettiva oltre il 2028: gli anni Venti-Trenta come ultimo decennio utile per le voci viventi (i testimoni, il registro) — il cinquantennale come tappa di un programma conservativo che non finisce con le cerimonie. Il 2028 passerà; la finestra biologica continuerà a chiudersi: l'opera guarda al 2038 mentre lavora per il 2028.</w:t>
      </w:r>
    </w:p>
    <w:p>
      <w:pPr>
        <w:spacing w:after="120" w:line="276"/>
        <w:jc w:val="both"/>
      </w:pPr>
      <w:r>
        <w:rPr>
          <w:rFonts w:ascii="Barlow Semi Condensed" w:cs="Barlow Semi Condensed" w:eastAsia="Barlow Semi Condensed" w:hAnsi="Barlow Semi Condensed"/>
          <w:b/>
          <w:bCs/>
          <w:sz w:val="24"/>
          <w:szCs w:val="24"/>
        </w:rPr>
        <w:t xml:space="preserve">981 · La memoria europea del caso.</w:t>
      </w:r>
      <w:r>
        <w:rPr>
          <w:rFonts w:ascii="Barlow Semi Condensed" w:cs="Barlow Semi Condensed" w:eastAsia="Barlow Semi Condensed" w:hAnsi="Barlow Semi Condensed"/>
          <w:sz w:val="24"/>
          <w:szCs w:val="24"/>
        </w:rPr>
        <w:t xml:space="preserve"> La dimensione continentale: il caso nella memoria europea del terrorismo (i paralleli tedeschi, le memorie francesi, le sedi europee) — la proposta di un momento europeo nel cinquantennale, con gli archivi esteri della Parte prima come base. Il caso fu europeo nella sua epoca: la sua memoria può esserlo nel suo cinquantenario.</w:t>
      </w:r>
    </w:p>
    <w:p>
      <w:pPr>
        <w:spacing w:after="120" w:line="276"/>
        <w:jc w:val="both"/>
      </w:pPr>
      <w:r>
        <w:rPr>
          <w:rFonts w:ascii="Barlow Semi Condensed" w:cs="Barlow Semi Condensed" w:eastAsia="Barlow Semi Condensed" w:hAnsi="Barlow Semi Condensed"/>
          <w:b/>
          <w:bCs/>
          <w:sz w:val="24"/>
          <w:szCs w:val="24"/>
        </w:rPr>
        <w:t xml:space="preserve">982 · Le medaglie e i riconoscimenti.</w:t>
      </w:r>
      <w:r>
        <w:rPr>
          <w:rFonts w:ascii="Barlow Semi Condensed" w:cs="Barlow Semi Condensed" w:eastAsia="Barlow Semi Condensed" w:hAnsi="Barlow Semi Condensed"/>
          <w:sz w:val="24"/>
          <w:szCs w:val="24"/>
        </w:rPr>
        <w:t xml:space="preserve"> Il censimento d'onore: le onorificenze alle vittime e ai loro familiari, i riconoscimenti conferiti nei decenni — la tavola completa, con le eventuali lacune segnalate alle autorità competenti. Se un riconoscimento dovuto manca, il cinquantennale è l'occasione per proporlo: il blocco prepara il dossier.</w:t>
      </w:r>
    </w:p>
    <w:p>
      <w:pPr>
        <w:spacing w:after="120" w:line="276"/>
        <w:jc w:val="both"/>
      </w:pPr>
      <w:r>
        <w:rPr>
          <w:rFonts w:ascii="Barlow Semi Condensed" w:cs="Barlow Semi Condensed" w:eastAsia="Barlow Semi Condensed" w:hAnsi="Barlow Semi Condensed"/>
          <w:b/>
          <w:bCs/>
          <w:sz w:val="24"/>
          <w:szCs w:val="24"/>
        </w:rPr>
        <w:t xml:space="preserve">983 · I nomi delle scuole e delle strade.</w:t>
      </w:r>
      <w:r>
        <w:rPr>
          <w:rFonts w:ascii="Barlow Semi Condensed" w:cs="Barlow Semi Condensed" w:eastAsia="Barlow Semi Condensed" w:hAnsi="Barlow Semi Condensed"/>
          <w:sz w:val="24"/>
          <w:szCs w:val="24"/>
        </w:rPr>
        <w:t xml:space="preserve"> La toponomastica della memoria: il censimento nazionale delle intitolazioni (a Moro, agli uomini della scorta) — la mappa di dove la Repubblica ha scritto i loro nomi. La geografia della memoria è un dato civile: si misura, e le assenze si notano — cinque nomi su cinque, non uno su sei.</w:t>
      </w:r>
    </w:p>
    <w:p>
      <w:pPr>
        <w:spacing w:after="120" w:line="276"/>
        <w:jc w:val="both"/>
      </w:pPr>
      <w:r>
        <w:rPr>
          <w:rFonts w:ascii="Barlow Semi Condensed" w:cs="Barlow Semi Condensed" w:eastAsia="Barlow Semi Condensed" w:hAnsi="Barlow Semi Condensed"/>
          <w:b/>
          <w:bCs/>
          <w:sz w:val="24"/>
          <w:szCs w:val="24"/>
        </w:rPr>
        <w:t xml:space="preserve">984 · La scorta, per nome.</w:t>
      </w:r>
      <w:r>
        <w:rPr>
          <w:rFonts w:ascii="Barlow Semi Condensed" w:cs="Barlow Semi Condensed" w:eastAsia="Barlow Semi Condensed" w:hAnsi="Barlow Semi Condensed"/>
          <w:sz w:val="24"/>
          <w:szCs w:val="24"/>
        </w:rPr>
        <w:t xml:space="preserve"> Il presidio permanente della sezione: Oreste Leonardi, Domenico Ricci, Giulio Rivera, Francesco Zizzi, Raffaele Iozzino — le cinque biografie documentate mantenute nel corpus con la stessa cura della sesta (il raccordo coi blocchi 287 e 604). Il cinquantennale che l'opera prepara comincia da loro: è la sua unica retorica, ed è un fatto.</w:t>
      </w:r>
    </w:p>
    <w:p>
      <w:pPr>
        <w:spacing w:after="120" w:line="276"/>
        <w:jc w:val="both"/>
      </w:pPr>
      <w:r>
        <w:rPr>
          <w:rFonts w:ascii="Barlow Semi Condensed" w:cs="Barlow Semi Condensed" w:eastAsia="Barlow Semi Condensed" w:hAnsi="Barlow Semi Condensed"/>
          <w:b/>
          <w:bCs/>
          <w:sz w:val="24"/>
          <w:szCs w:val="24"/>
        </w:rPr>
        <w:t xml:space="preserve">985 · Le famiglie, il patto.</w:t>
      </w:r>
      <w:r>
        <w:rPr>
          <w:rFonts w:ascii="Barlow Semi Condensed" w:cs="Barlow Semi Condensed" w:eastAsia="Barlow Semi Condensed" w:hAnsi="Barlow Semi Condensed"/>
          <w:sz w:val="24"/>
          <w:szCs w:val="24"/>
        </w:rPr>
        <w:t xml:space="preserve"> Il metodo con le famiglie di tutte le vittime: informazione preventiva sulle iniziative dell'opera, ascolto delle loro priorità, rispetto dei loro no (il blocco 772, esteso alla memoria civile). Il patto è semplice: nulla che le riguardi senza di loro — e vale per sempre, non solo nel 2028.</w:t>
      </w:r>
    </w:p>
    <w:p>
      <w:pPr>
        <w:spacing w:after="120" w:line="276"/>
        <w:jc w:val="both"/>
      </w:pPr>
      <w:r>
        <w:rPr>
          <w:rFonts w:ascii="Barlow Semi Condensed" w:cs="Barlow Semi Condensed" w:eastAsia="Barlow Semi Condensed" w:hAnsi="Barlow Semi Condensed"/>
          <w:b/>
          <w:bCs/>
          <w:sz w:val="24"/>
          <w:szCs w:val="24"/>
        </w:rPr>
        <w:t xml:space="preserve">986 · La memoria degli altri caduti del 1978.</w:t>
      </w:r>
      <w:r>
        <w:rPr>
          <w:rFonts w:ascii="Barlow Semi Condensed" w:cs="Barlow Semi Condensed" w:eastAsia="Barlow Semi Condensed" w:hAnsi="Barlow Semi Condensed"/>
          <w:sz w:val="24"/>
          <w:szCs w:val="24"/>
        </w:rPr>
        <w:t xml:space="preserve"> Il perimetro giusto: il 1978 del caso fu anche l'anno di altri caduti del terrorismo — il calendario civile li ricorda insieme (il Giorno della memoria è di tutte le vittime). L'opera, monografica per mandato, si inchina al perimetro largo: la memoria del caso non oscura le altre — le accompagna.</w:t>
      </w:r>
    </w:p>
    <w:p>
      <w:pPr>
        <w:spacing w:after="120" w:line="276"/>
        <w:jc w:val="both"/>
      </w:pPr>
      <w:r>
        <w:rPr>
          <w:rFonts w:ascii="Barlow Semi Condensed" w:cs="Barlow Semi Condensed" w:eastAsia="Barlow Semi Condensed" w:hAnsi="Barlow Semi Condensed"/>
          <w:b/>
          <w:bCs/>
          <w:sz w:val="24"/>
          <w:szCs w:val="24"/>
        </w:rPr>
        <w:t xml:space="preserve">987 · Il rischio della saturazione.</w:t>
      </w:r>
      <w:r>
        <w:rPr>
          <w:rFonts w:ascii="Barlow Semi Condensed" w:cs="Barlow Semi Condensed" w:eastAsia="Barlow Semi Condensed" w:hAnsi="Barlow Semi Condensed"/>
          <w:sz w:val="24"/>
          <w:szCs w:val="24"/>
        </w:rPr>
        <w:t xml:space="preserve"> L'avvertenza metodologica: i cinquantennali saturano — la sovraesposizione genera stanchezza e revisionismi di ritorno. Il protocollo dell'opera: contributi pochi, documentati, distanziati; nessuna presenza per presenzialismo. La memoria si serve anche con la sobrietà: soprattutto con quella.</w:t>
      </w:r>
    </w:p>
    <w:p>
      <w:pPr>
        <w:spacing w:after="120" w:line="276"/>
        <w:jc w:val="both"/>
      </w:pPr>
      <w:r>
        <w:rPr>
          <w:rFonts w:ascii="Barlow Semi Condensed" w:cs="Barlow Semi Condensed" w:eastAsia="Barlow Semi Condensed" w:hAnsi="Barlow Semi Condensed"/>
          <w:b/>
          <w:bCs/>
          <w:sz w:val="24"/>
          <w:szCs w:val="24"/>
        </w:rPr>
        <w:t xml:space="preserve">988 · La memoria dopo i testimoni.</w:t>
      </w:r>
      <w:r>
        <w:rPr>
          <w:rFonts w:ascii="Barlow Semi Condensed" w:cs="Barlow Semi Condensed" w:eastAsia="Barlow Semi Condensed" w:hAnsi="Barlow Semi Condensed"/>
          <w:sz w:val="24"/>
          <w:szCs w:val="24"/>
        </w:rPr>
        <w:t xml:space="preserve"> La domanda di fondo della sezione: come si trasmette il caso quando nessun testimone sarà più vivo — la risposta dell'opera: con le carte ordinate, i luoghi curati, la scuola equipaggiata, i registri pubblici (tutto ciò che le nove parti costruiscono). Il cinquantennale è la prova generale della memoria post-testimoniale: l'opera la prepara da mille blocchi.</w:t>
      </w:r>
    </w:p>
    <w:p>
      <w:pPr>
        <w:spacing w:after="120" w:line="276"/>
        <w:jc w:val="both"/>
      </w:pPr>
      <w:r>
        <w:rPr>
          <w:rFonts w:ascii="Barlow Semi Condensed" w:cs="Barlow Semi Condensed" w:eastAsia="Barlow Semi Condensed" w:hAnsi="Barlow Semi Condensed"/>
          <w:b/>
          <w:bCs/>
          <w:sz w:val="24"/>
          <w:szCs w:val="24"/>
        </w:rPr>
        <w:t xml:space="preserve">989 · La sintesi della memoria civile.</w:t>
      </w:r>
      <w:r>
        <w:rPr>
          <w:rFonts w:ascii="Barlow Semi Condensed" w:cs="Barlow Semi Condensed" w:eastAsia="Barlow Semi Condensed" w:hAnsi="Barlow Semi Condensed"/>
          <w:sz w:val="24"/>
          <w:szCs w:val="24"/>
        </w:rPr>
        <w:t xml:space="preserve"> Il prodotto della sezione: il programma del cinquantennale proposto — le consegne, i luoghi, la scuola, le famiglie al centro — depositato presso le istituzioni competenti entro tempi utili per il 2028. La sezione si chiude consegnando: è il suo verbo.</w:t>
      </w:r>
    </w:p>
    <w:p>
      <w:pPr>
        <w:spacing w:after="120" w:line="276"/>
        <w:jc w:val="both"/>
      </w:pPr>
      <w:r>
        <w:rPr>
          <w:rFonts w:ascii="Barlow Semi Condensed" w:cs="Barlow Semi Condensed" w:eastAsia="Barlow Semi Condensed" w:hAnsi="Barlow Semi Condensed"/>
          <w:b/>
          <w:bCs/>
          <w:sz w:val="24"/>
          <w:szCs w:val="24"/>
        </w:rPr>
        <w:t xml:space="preserve">990 · La tavola del cinquantennale.</w:t>
      </w:r>
      <w:r>
        <w:rPr>
          <w:rFonts w:ascii="Barlow Semi Condensed" w:cs="Barlow Semi Condensed" w:eastAsia="Barlow Semi Condensed" w:hAnsi="Barlow Semi Condensed"/>
          <w:sz w:val="24"/>
          <w:szCs w:val="24"/>
        </w:rPr>
        <w:t xml:space="preserve"> La chiusura della sezione: il calendario civile mantenuto, le proposte depositate, i censimenti attivi, il patto con le famiglie scritto. Il 2028 troverà il caso con le carte in ordine: era l'obiettivo — ed è, alla lettera, ciò che queste pagine hanno organizzato.</w:t>
      </w:r>
    </w:p>
    <w:p>
      <w:pPr>
        <w:pStyle w:val="Heading3"/>
        <w:spacing w:after="80" w:before="160"/>
      </w:pPr>
      <w:r>
        <w:rPr>
          <w:rFonts w:ascii="Barlow Semi Condensed" w:cs="Barlow Semi Condensed" w:eastAsia="Barlow Semi Condensed" w:hAnsi="Barlow Semi Condensed"/>
          <w:sz w:val="24"/>
          <w:szCs w:val="24"/>
        </w:rPr>
        <w:t xml:space="preserve">Il congedo dell'opera (blocchi 991-1000)</w:t>
      </w:r>
    </w:p>
    <w:p>
      <w:pPr>
        <w:spacing w:after="120" w:line="276"/>
        <w:jc w:val="both"/>
      </w:pPr>
      <w:r>
        <w:rPr>
          <w:rFonts w:ascii="Barlow Semi Condensed" w:cs="Barlow Semi Condensed" w:eastAsia="Barlow Semi Condensed" w:hAnsi="Barlow Semi Condensed"/>
          <w:b/>
          <w:bCs/>
          <w:sz w:val="24"/>
          <w:szCs w:val="24"/>
        </w:rPr>
        <w:t xml:space="preserve">991 · La quadriga completa.</w:t>
      </w:r>
      <w:r>
        <w:rPr>
          <w:rFonts w:ascii="Barlow Semi Condensed" w:cs="Barlow Semi Condensed" w:eastAsia="Barlow Semi Condensed" w:hAnsi="Barlow Semi Condensed"/>
          <w:sz w:val="24"/>
          <w:szCs w:val="24"/>
        </w:rPr>
        <w:t xml:space="preserve"> Il punto architettonico: con i nove cantieri, la quadriga investigativa del corpus è compiuta — il programma ordina le piste, il manuale dice come (quattrocento blocchi), l'agenda dice che cosa e dove (trecento), i cantieri dicono fin dove (mille). Millesettecento blocchi in quattro opere coordinate: l'architettura del Dossier maggiore, portata alla sua estensione massima.</w:t>
      </w:r>
    </w:p>
    <w:p>
      <w:pPr>
        <w:spacing w:after="120" w:line="276"/>
        <w:jc w:val="both"/>
      </w:pPr>
      <w:r>
        <w:rPr>
          <w:rFonts w:ascii="Barlow Semi Condensed" w:cs="Barlow Semi Condensed" w:eastAsia="Barlow Semi Condensed" w:hAnsi="Barlow Semi Condensed"/>
          <w:b/>
          <w:bCs/>
          <w:sz w:val="24"/>
          <w:szCs w:val="24"/>
        </w:rPr>
        <w:t xml:space="preserve">992 · La contabilità dei mille.</w:t>
      </w:r>
      <w:r>
        <w:rPr>
          <w:rFonts w:ascii="Barlow Semi Condensed" w:cs="Barlow Semi Condensed" w:eastAsia="Barlow Semi Condensed" w:hAnsi="Barlow Semi Condensed"/>
          <w:sz w:val="24"/>
          <w:szCs w:val="24"/>
        </w:rPr>
        <w:t xml:space="preserve"> Il bilancio interno: mille blocchi in nove parti, con le verifiche di due campagne (ventuno agenti di ricerca indipendenti, gli esiti negativi dichiarati, le correzioni incorporate per nota — la data di Braghetti insegna). L'opera dichiara il proprio processo produttivo: è la trasparenza che pretende dagli archivi, applicata a se stessa.</w:t>
      </w:r>
    </w:p>
    <w:p>
      <w:pPr>
        <w:spacing w:after="120" w:line="276"/>
        <w:jc w:val="both"/>
      </w:pPr>
      <w:r>
        <w:rPr>
          <w:rFonts w:ascii="Barlow Semi Condensed" w:cs="Barlow Semi Condensed" w:eastAsia="Barlow Semi Condensed" w:hAnsi="Barlow Semi Condensed"/>
          <w:b/>
          <w:bCs/>
          <w:sz w:val="24"/>
          <w:szCs w:val="24"/>
        </w:rPr>
        <w:t xml:space="preserve">993 · Le tavole come eredità.</w:t>
      </w:r>
      <w:r>
        <w:rPr>
          <w:rFonts w:ascii="Barlow Semi Condensed" w:cs="Barlow Semi Condensed" w:eastAsia="Barlow Semi Condensed" w:hAnsi="Barlow Semi Condensed"/>
          <w:sz w:val="24"/>
          <w:szCs w:val="24"/>
        </w:rPr>
        <w:t xml:space="preserve"> Il lascito operativo: ogni parte si chiude con una tavola di stati — nove tavole più le tavole tematiche (i reperti, i profili, i fondi, i portali). Chi prenderà in mano l'opera fra dieci anni non riceverà tesi: riceverà contabilità aggiornabili. È la differenza fra un monumento e uno strumento: l'opera ha scelto dall'inizio.</w:t>
      </w:r>
    </w:p>
    <w:p>
      <w:pPr>
        <w:spacing w:after="120" w:line="276"/>
        <w:jc w:val="both"/>
      </w:pPr>
      <w:r>
        <w:rPr>
          <w:rFonts w:ascii="Barlow Semi Condensed" w:cs="Barlow Semi Condensed" w:eastAsia="Barlow Semi Condensed" w:hAnsi="Barlow Semi Condensed"/>
          <w:b/>
          <w:bCs/>
          <w:sz w:val="24"/>
          <w:szCs w:val="24"/>
        </w:rPr>
        <w:t xml:space="preserve">994 · I bersagli che scadono.</w:t>
      </w:r>
      <w:r>
        <w:rPr>
          <w:rFonts w:ascii="Barlow Semi Condensed" w:cs="Barlow Semi Condensed" w:eastAsia="Barlow Semi Condensed" w:hAnsi="Barlow Semi Condensed"/>
          <w:sz w:val="24"/>
          <w:szCs w:val="24"/>
        </w:rPr>
        <w:t xml:space="preserve"> L'urgenza consegnata: la tavola trasversale dei bersagli a scadenza biologica — i testimoni della serie quinta dell'agenda, il registro vivente della Parte ottava, i depositari di fondi della terza. Il tempo è l'unico avversario che non si può battere con la disciplina: si può solo non sprecarlo. L'opera consegna la lista di ciò che non può aspettare.</w:t>
      </w:r>
    </w:p>
    <w:p>
      <w:pPr>
        <w:spacing w:after="120" w:line="276"/>
        <w:jc w:val="both"/>
      </w:pPr>
      <w:r>
        <w:rPr>
          <w:rFonts w:ascii="Barlow Semi Condensed" w:cs="Barlow Semi Condensed" w:eastAsia="Barlow Semi Condensed" w:hAnsi="Barlow Semi Condensed"/>
          <w:b/>
          <w:bCs/>
          <w:sz w:val="24"/>
          <w:szCs w:val="24"/>
        </w:rPr>
        <w:t xml:space="preserve">995 · I bersagli che maturano.</w:t>
      </w:r>
      <w:r>
        <w:rPr>
          <w:rFonts w:ascii="Barlow Semi Condensed" w:cs="Barlow Semi Condensed" w:eastAsia="Barlow Semi Condensed" w:hAnsi="Barlow Semi Condensed"/>
          <w:sz w:val="24"/>
          <w:szCs w:val="24"/>
        </w:rPr>
        <w:t xml:space="preserve"> La speranza organizzata: la tavola gemella dei bersagli che il tempo serve — le aperture archivistiche calendarizzate (Kew, La Courneuve, le trentennali), l'archivio vaticano che un giorno aprirà (coi quesiti già depositati), le banche dati che crescono. L'opera consegna anche il calendario di ciò che arriverà da solo, purché qualcuno sia lì ad aspettarlo con le domande pronte.</w:t>
      </w:r>
    </w:p>
    <w:p>
      <w:pPr>
        <w:spacing w:after="120" w:line="276"/>
        <w:jc w:val="both"/>
      </w:pPr>
      <w:r>
        <w:rPr>
          <w:rFonts w:ascii="Barlow Semi Condensed" w:cs="Barlow Semi Condensed" w:eastAsia="Barlow Semi Condensed" w:hAnsi="Barlow Semi Condensed"/>
          <w:b/>
          <w:bCs/>
          <w:sz w:val="24"/>
          <w:szCs w:val="24"/>
        </w:rPr>
        <w:t xml:space="preserve">996 · Il costo dell'opera, dichiarato.</w:t>
      </w:r>
      <w:r>
        <w:rPr>
          <w:rFonts w:ascii="Barlow Semi Condensed" w:cs="Barlow Semi Condensed" w:eastAsia="Barlow Semi Condensed" w:hAnsi="Barlow Semi Condensed"/>
          <w:sz w:val="24"/>
          <w:szCs w:val="24"/>
        </w:rPr>
        <w:t xml:space="preserve"> La trasparenza finale: quest'opera è un programma — eseguirlo costa (trasferte, laboratori, diritti, persone). Il bilancio di massima per campagna è negli strumenti delle parti; il principio è nel metodo: ogni costo dichiarato, ogni priorità motivata, nessuna risorsa senza rendiconto. Chi vorrà finanziare la conoscenza del caso saprà esattamente che cosa compra.</w:t>
      </w:r>
    </w:p>
    <w:p>
      <w:pPr>
        <w:spacing w:after="120" w:line="276"/>
        <w:jc w:val="both"/>
      </w:pPr>
      <w:r>
        <w:rPr>
          <w:rFonts w:ascii="Barlow Semi Condensed" w:cs="Barlow Semi Condensed" w:eastAsia="Barlow Semi Condensed" w:hAnsi="Barlow Semi Condensed"/>
          <w:b/>
          <w:bCs/>
          <w:sz w:val="24"/>
          <w:szCs w:val="24"/>
        </w:rPr>
        <w:t xml:space="preserve">997 · Chi può eseguire.</w:t>
      </w:r>
      <w:r>
        <w:rPr>
          <w:rFonts w:ascii="Barlow Semi Condensed" w:cs="Barlow Semi Condensed" w:eastAsia="Barlow Semi Condensed" w:hAnsi="Barlow Semi Condensed"/>
          <w:sz w:val="24"/>
          <w:szCs w:val="24"/>
        </w:rPr>
        <w:t xml:space="preserve"> La destinazione istituzionale: l'opera non ha un esecutore designato — è eseguibile da chiunque ne accetti le regole: istituti, università, fondazioni, redazioni, cittadini organizzati. Il modello è il consorzio dei cantieri: nessun proprietario, un solo statuto — quello scritto in questi blocchi. La conoscenza del caso è una funzione pubblica: chiunque la serva bene, la serve.</w:t>
      </w:r>
    </w:p>
    <w:p>
      <w:pPr>
        <w:spacing w:after="120" w:line="276"/>
        <w:jc w:val="both"/>
      </w:pPr>
      <w:r>
        <w:rPr>
          <w:rFonts w:ascii="Barlow Semi Condensed" w:cs="Barlow Semi Condensed" w:eastAsia="Barlow Semi Condensed" w:hAnsi="Barlow Semi Condensed"/>
          <w:b/>
          <w:bCs/>
          <w:sz w:val="24"/>
          <w:szCs w:val="24"/>
        </w:rPr>
        <w:t xml:space="preserve">998 · Le sei vittime, l'ultima volta.</w:t>
      </w:r>
      <w:r>
        <w:rPr>
          <w:rFonts w:ascii="Barlow Semi Condensed" w:cs="Barlow Semi Condensed" w:eastAsia="Barlow Semi Condensed" w:hAnsi="Barlow Semi Condensed"/>
          <w:sz w:val="24"/>
          <w:szCs w:val="24"/>
        </w:rPr>
        <w:t xml:space="preserve"> Il presidio finale, per nome: Oreste Leonardi, Domenico Ricci, Giulio Rivera, Francesco Zizzi, Raffaele Iozzino, Aldo Moro. Mille blocchi dopo, la ragione è la stessa del primo: che ciò che accadde a loro sia scritto fin dove le carte arrivano, senza inventare ciò che non arriva. Ogni cantiere di quest'opera è, alla lettera, un modo di custodire sei nomi.</w:t>
      </w:r>
    </w:p>
    <w:p>
      <w:pPr>
        <w:spacing w:after="120" w:line="276"/>
        <w:jc w:val="both"/>
      </w:pPr>
      <w:r>
        <w:rPr>
          <w:rFonts w:ascii="Barlow Semi Condensed" w:cs="Barlow Semi Condensed" w:eastAsia="Barlow Semi Condensed" w:hAnsi="Barlow Semi Condensed"/>
          <w:b/>
          <w:bCs/>
          <w:sz w:val="24"/>
          <w:szCs w:val="24"/>
        </w:rPr>
        <w:t xml:space="preserve">999 · La smentita, sempre benvenuta.</w:t>
      </w:r>
      <w:r>
        <w:rPr>
          <w:rFonts w:ascii="Barlow Semi Condensed" w:cs="Barlow Semi Condensed" w:eastAsia="Barlow Semi Condensed" w:hAnsi="Barlow Semi Condensed"/>
          <w:sz w:val="24"/>
          <w:szCs w:val="24"/>
        </w:rPr>
        <w:t xml:space="preserve"> Il penultimo blocco è la porta aperta: chi vorrà smentire quest'opera — un bersaglio mal posto, un giacimento ignorato, una data sbagliata — dovrà farlo come essa chiede: con un documento. E sarà ringraziato per iscritto, come la Nota di revisione n. 1 dimostra. Un'opera che non può essere corretta non è rigorosa: è morta. Questa è viva, e intende restarlo.</w:t>
      </w:r>
    </w:p>
    <w:p>
      <w:pPr>
        <w:spacing w:after="120" w:line="276"/>
        <w:jc w:val="both"/>
      </w:pPr>
      <w:r>
        <w:rPr>
          <w:rFonts w:ascii="Barlow Semi Condensed" w:cs="Barlow Semi Condensed" w:eastAsia="Barlow Semi Condensed" w:hAnsi="Barlow Semi Condensed"/>
          <w:b/>
          <w:bCs/>
          <w:sz w:val="24"/>
          <w:szCs w:val="24"/>
        </w:rPr>
        <w:t xml:space="preserve">1000 · Il blocco mille.</w:t>
      </w:r>
      <w:r>
        <w:rPr>
          <w:rFonts w:ascii="Barlow Semi Condensed" w:cs="Barlow Semi Condensed" w:eastAsia="Barlow Semi Condensed" w:hAnsi="Barlow Semi Condensed"/>
          <w:sz w:val="24"/>
          <w:szCs w:val="24"/>
        </w:rPr>
        <w:t xml:space="preserve"> L'opera dei nove cantieri consegna la sua forma compiuta: mille blocchi mirati, nove parti, due campagne di verifica, una disciplina sola. Se servirà un'edizione accresciuta, sarà perché gli archivi avranno aperto, i laboratori avranno risposto, le tavole si saranno riempite — e sarà la migliore notizia possibile: perché un cantiere invecchia in un solo modo onorevole, consegnando. La ricerca produce documenti, non colpevoli — e questi mille blocchi sono il suo capitolato. Ora si esegue.</w:t>
      </w:r>
    </w:p>
    <w:p>
      <w:pPr>
        <w:pStyle w:val="Heading2"/>
        <w:spacing w:after="100" w:before="200"/>
      </w:pPr>
      <w:r>
        <w:rPr>
          <w:rFonts w:ascii="Barlow Semi Condensed" w:cs="Barlow Semi Condensed" w:eastAsia="Barlow Semi Condensed" w:hAnsi="Barlow Semi Condensed"/>
          <w:sz w:val="24"/>
          <w:szCs w:val="24"/>
        </w:rPr>
        <w:t xml:space="preserve">Apparato della seconda campagna di verifica</w:t>
      </w:r>
    </w:p>
    <w:p>
      <w:pPr>
        <w:spacing w:after="120" w:line="276"/>
        <w:jc w:val="both"/>
      </w:pPr>
      <w:r>
        <w:rPr>
          <w:rFonts w:ascii="Barlow Semi Condensed" w:cs="Barlow Semi Condensed" w:eastAsia="Barlow Semi Condensed" w:hAnsi="Barlow Semi Condensed"/>
          <w:i/>
          <w:iCs/>
          <w:sz w:val="24"/>
          <w:szCs w:val="24"/>
        </w:rPr>
        <w:t xml:space="preserve">L'agenda di ricerca porta in coda il suo apparato (V-1…V-12: le dodici verifiche della prima campagna). Quest'opera vi aggiunge la seconda campagna: nove verificatori di profondità, uno per cantiere, i cui esiti — positivi, negativi e correttivi — sono incorporati nei blocchi. Se ne dà conto in forma compressa; gli indirizzi principali sono nei blocchi che li usano.</w:t>
      </w:r>
    </w:p>
    <w:p>
      <w:pPr>
        <w:spacing w:after="120" w:line="276"/>
        <w:jc w:val="both"/>
      </w:pPr>
      <w:r>
        <w:rPr>
          <w:rFonts w:ascii="Barlow Semi Condensed" w:cs="Barlow Semi Condensed" w:eastAsia="Barlow Semi Condensed" w:hAnsi="Barlow Semi Condensed"/>
          <w:b/>
          <w:bCs/>
          <w:sz w:val="24"/>
          <w:szCs w:val="24"/>
        </w:rPr>
        <w:t xml:space="preserve">C-1 · Regno Unito, Francia, Germania.</w:t>
      </w:r>
      <w:r>
        <w:rPr>
          <w:rFonts w:ascii="Barlow Semi Condensed" w:cs="Barlow Semi Condensed" w:eastAsia="Barlow Semi Condensed" w:hAnsi="Barlow Semi Condensed"/>
          <w:sz w:val="24"/>
          <w:szCs w:val="24"/>
        </w:rPr>
        <w:t xml:space="preserve"> Confermati: l'appartenenza del fascicolo moroteo di Kew alla serie FCO 33 (il Western European Department seguiva l'Italia; la serie FCO 9 — Europa meridionale — non è la sede dei fascicoli italiani: la verifica corregge qui un'ipotesi di ricerca); a Nantes i fondi rimpatriati dell'ambasciata a Roma («Rome-Quirinal», con la tranche 1969-1980) e il fondo distinto dell'ambasciata presso la Santa Sede; il fondo Maurice Grimaud in due sedi (Sciences Po e Archives nationales), con la nota del 24 maggio 1983 ai Renseignements généraux su Mulinaris e Hyperion; l'edizione AAPD 1978 (due tomi, Institut für Zeitgeschichte); i Kabinettsprotokolle 1978 online; lo Stasi-Unterlagen-Archiv nel Bundesarchiv (dal 2021) con carte sul terrorismo italiano e la letteratura dedicata; il fondo della rappresentanza olandese a Roma al Nationaal Archief. Non trovati: ulteriori fascicoli TNA nominativi oltre C11492660 (da ricerca diretta in Discovery); fascicoli belgi dedicati.</w:t>
      </w:r>
    </w:p>
    <w:p>
      <w:pPr>
        <w:spacing w:after="120" w:line="276"/>
        <w:jc w:val="both"/>
      </w:pPr>
      <w:r>
        <w:rPr>
          <w:rFonts w:ascii="Barlow Semi Condensed" w:cs="Barlow Semi Condensed" w:eastAsia="Barlow Semi Condensed" w:hAnsi="Barlow Semi Condensed"/>
          <w:b/>
          <w:bCs/>
          <w:sz w:val="24"/>
          <w:szCs w:val="24"/>
        </w:rPr>
        <w:t xml:space="preserve">C-2 · Il Vaticano.</w:t>
      </w:r>
      <w:r>
        <w:rPr>
          <w:rFonts w:ascii="Barlow Semi Condensed" w:cs="Barlow Semi Condensed" w:eastAsia="Barlow Semi Condensed" w:hAnsi="Barlow Semi Condensed"/>
          <w:sz w:val="24"/>
          <w:szCs w:val="24"/>
        </w:rPr>
        <w:t xml:space="preserve"> Confermati: la lettera di Paolo VI scritta nella notte del 21 aprile e resa pubblica il 22 (L'Osservatore Romano, Radio Vaticana; testo su vatican.va), con la minuta autografa corretta («senza qualsiasi imbarazzante condizione» → «senza condizioni») riprodotta dagli studi documentati; la preghiera del 13 maggio a San Giovanni in Laterano (testo vaticano); l'audizione pubblica di mons. Fabbri del 4 febbraio 2016 (stenografico) e l'ulteriore ascolto riferito del dicembre 2017; le date di Curioni (Asso 1923 - 12 gennaio 1996) e Fabbri (1942-2022); gli archivi della nunziatura in Italia versati all'AAV con inventari fino al 1958. Non trovati: un archivio CEI aperto alla consultazione con regolamento pubblico; un fondo dei cappellani sui colloqui del 1978 — la pista Curioni vive di testimonianze e atti parlamentari, non di carte proprie.</w:t>
      </w:r>
    </w:p>
    <w:p>
      <w:pPr>
        <w:spacing w:after="120" w:line="276"/>
        <w:jc w:val="both"/>
      </w:pPr>
      <w:r>
        <w:rPr>
          <w:rFonts w:ascii="Barlow Semi Condensed" w:cs="Barlow Semi Condensed" w:eastAsia="Barlow Semi Condensed" w:hAnsi="Barlow Semi Condensed"/>
          <w:b/>
          <w:bCs/>
          <w:sz w:val="24"/>
          <w:szCs w:val="24"/>
        </w:rPr>
        <w:t xml:space="preserve">C-3 · I fondi privati.</w:t>
      </w:r>
      <w:r>
        <w:rPr>
          <w:rFonts w:ascii="Barlow Semi Condensed" w:cs="Barlow Semi Condensed" w:eastAsia="Barlow Semi Condensed" w:hAnsi="Barlow Semi Condensed"/>
          <w:sz w:val="24"/>
          <w:szCs w:val="24"/>
        </w:rPr>
        <w:t xml:space="preserve"> Confermati e precisati: l'archivio Andreotti allo Sturzo (con la materia morotea nella sezione delle «pratiche»); il fondo Fanfani al Senato (1945-2000, inventario pubblicato); l'archivio Cossiga alla Camera; il fondo Craxi in gran parte digitalizzato con inventario sulla piattaforma del Senato; la DC allo Sturzo (dal 1994) e il PCI alla Gramsci (trasferimento deliberato nel 1986); il fondo personale Moro all'ACS (218 buste) e il fondo familiare al Flamigni (depositi 2012-2016); le carte Sciascia a Racalmuto (epistolario di ~15.000 documenti); le annate di OP alla Fondazione Spirito.</w:t>
      </w:r>
    </w:p>
    <w:p>
      <w:pPr>
        <w:spacing w:after="120" w:line="276"/>
        <w:jc w:val="both"/>
      </w:pPr>
      <w:r>
        <w:rPr>
          <w:rFonts w:ascii="Barlow Semi Condensed" w:cs="Barlow Semi Condensed" w:eastAsia="Barlow Semi Condensed" w:hAnsi="Barlow Semi Condensed"/>
          <w:b/>
          <w:bCs/>
          <w:sz w:val="24"/>
          <w:szCs w:val="24"/>
        </w:rPr>
        <w:t xml:space="preserve">C-4 · I reperti.</w:t>
      </w:r>
      <w:r>
        <w:rPr>
          <w:rFonts w:ascii="Barlow Semi Condensed" w:cs="Barlow Semi Condensed" w:eastAsia="Barlow Semi Condensed" w:hAnsi="Barlow Semi Condensed"/>
          <w:sz w:val="24"/>
          <w:szCs w:val="24"/>
        </w:rPr>
        <w:t xml:space="preserve"> Confermati e precisati: i corpi di reato all'ufficio del Tribunale e della Corte d'assise di Roma (inventario acquisito dalla Moro 2); la sequenza peritale completa — 1978 (Ugolini-Iadevito-Lopez: almeno 91 colpi, sei armi, 49 bossoli a un solo FNAB-43), 1993 (non conferma integrale), 2015 (conferma dei 49, declassificazione a esito non conclusivo dei 22 del secondo mitra, dinamica contro il «superkiller» unico); i sette profili ignoti riferiti dalla stampa qualificata, con nessun elenco ufficiale degli esiti; i prelievi coattivi del febbraio 2021 su estranei all'agguato; il caricatore mai esaminato in quarantott'anni, ora negli esami disposti dal giudice; la sequenza 2025-2026 del fascicolo (richiesta di archiviazione 28 maggio 2025, opposizione della famiglia Ricci, rigetto del GIP con sei mesi di nuove indagini); la Honda senza targa nemmeno parziale (la «targa parziale» è priva di riscontro documentale) e il tentato omicidio del teste attribuito per sentenza a ignoti; le cinque borse (due asportate secondo la ricostruzione prevalente); la Renault 4 (rubata a inizio marzo 1978, donata nel 2013, oggi musealizzata).</w:t>
      </w:r>
    </w:p>
    <w:p>
      <w:pPr>
        <w:spacing w:after="120" w:line="276"/>
        <w:jc w:val="both"/>
      </w:pPr>
      <w:r>
        <w:rPr>
          <w:rFonts w:ascii="Barlow Semi Condensed" w:cs="Barlow Semi Condensed" w:eastAsia="Barlow Semi Condensed" w:hAnsi="Barlow Semi Condensed"/>
          <w:b/>
          <w:bCs/>
          <w:sz w:val="24"/>
          <w:szCs w:val="24"/>
        </w:rPr>
        <w:t xml:space="preserve">C-5 · Il memoriale.</w:t>
      </w:r>
      <w:r>
        <w:rPr>
          <w:rFonts w:ascii="Barlow Semi Condensed" w:cs="Barlow Semi Condensed" w:eastAsia="Barlow Semi Condensed" w:hAnsi="Barlow Semi Condensed"/>
          <w:sz w:val="24"/>
          <w:szCs w:val="24"/>
        </w:rPr>
        <w:t xml:space="preserve"> Confermati e precisati: il 1° ottobre 1978 (dalla Chiesa; arresti di Azzolini e Bonisoli; solo dattiloscritti — 49 cartelle del memoriale); il 9 ottobre 1990 (l'intercapedine; 421 fogli inventariati, in massima parte fotocopie di manoscritti, coi conteggi interni divergenti dichiarati); mai trovati gli originali né le bobine degli interrogatori; l'edizione critica Di Sivo (Direzione generale Archivi - De Luca, 2019, presentata il 25 febbraio 2020); il censimento Gotor delle lettere (97, con varianti di computo); il falso n. 7 non riconosciuto come falso dalle verifiche tecniche dell'aprile 1978; l'attribuzione a Chichiarelli istruttoria e postuma (dalle indagini sulla rapina Brink's), l'omicidio nella notte del 28 settembre 1984 mai risolto; la conferma del vuoto stilometrico (nessuno studio attributivo quantitativo) accanto alle analisi linguistiche qualitative esistenti e all'Edizione nazionale (2016, Bologna).</w:t>
      </w:r>
    </w:p>
    <w:p>
      <w:pPr>
        <w:spacing w:after="120" w:line="276"/>
        <w:jc w:val="both"/>
      </w:pPr>
      <w:r>
        <w:rPr>
          <w:rFonts w:ascii="Barlow Semi Condensed" w:cs="Barlow Semi Condensed" w:eastAsia="Barlow Semi Condensed" w:hAnsi="Barlow Semi Condensed"/>
          <w:b/>
          <w:bCs/>
          <w:sz w:val="24"/>
          <w:szCs w:val="24"/>
        </w:rPr>
        <w:t xml:space="preserve">C-6 · L'audio e l'immagine.</w:t>
      </w:r>
      <w:r>
        <w:rPr>
          <w:rFonts w:ascii="Barlow Semi Condensed" w:cs="Barlow Semi Condensed" w:eastAsia="Barlow Semi Condensed" w:hAnsi="Barlow Semi Condensed"/>
          <w:sz w:val="24"/>
          <w:szCs w:val="24"/>
        </w:rPr>
        <w:t xml:space="preserve"> Confermati e precisati: la telefonata del 9 maggio (le 12:13 circa, «dottor Niccolai»), originale agli atti e copie in Rai; la telefonata del 30 aprile intercettata e registrata, pubblicamente ascoltabile (documentata in circolazione almeno dal gennaio 1980); il primo fotografo di via Fani (Antonio Ianni, ANSA, tre rullini, audito dalla Moro 2 nel 2017); il fondo Publifoto a Intesa Sanpaolo; l'Archivio Luce online; l'esclusiva GBR del 9 maggio (Alfano-Leccese) coi grezzi da rintracciare; la ricostruzione virtuale 3D della Polizia scientifica per la Moro 2 (diffusa nel 2017 come elaborato tecnico — la precisazione che aggiorna per nota l'apparato dell'agenda); «La notte della Repubblica» (18 puntate, ~45 ore, ~150 protagonisti) con la Collezione Zavoli all'Archivio storico della Presidenza della Repubblica.</w:t>
      </w:r>
    </w:p>
    <w:p>
      <w:pPr>
        <w:spacing w:after="120" w:line="276"/>
        <w:jc w:val="both"/>
      </w:pPr>
      <w:r>
        <w:rPr>
          <w:rFonts w:ascii="Barlow Semi Condensed" w:cs="Barlow Semi Condensed" w:eastAsia="Barlow Semi Condensed" w:hAnsi="Barlow Semi Condensed"/>
          <w:b/>
          <w:bCs/>
          <w:sz w:val="24"/>
          <w:szCs w:val="24"/>
        </w:rPr>
        <w:t xml:space="preserve">C-7 · Le scienze forensi.</w:t>
      </w:r>
      <w:r>
        <w:rPr>
          <w:rFonts w:ascii="Barlow Semi Condensed" w:cs="Barlow Semi Condensed" w:eastAsia="Barlow Semi Condensed" w:hAnsi="Barlow Semi Condensed"/>
          <w:sz w:val="24"/>
          <w:szCs w:val="24"/>
        </w:rPr>
        <w:t xml:space="preserve"> Confermati: la banca dati del DNA (legge 85/2009, d.P.R. 87/2016; la banca al Dipartimento della pubblica sicurezza, il laboratorio centrale presso il DAP; l'accreditamento ISO/IEC 17025 richiesto ai laboratori alimentanti per la decisione quadro europea); gli articoli 360 e 392 del codice di rito per gli atti irripetibili; la genealogia genetica mai usata in Italia (il precedente europeo svedese; il Golden State Killer del 2018 oltreoceano) e il vuoto normativo su di essa, sulla ricerca familiare e sul fenotipo; lo screening Yara (~18.000 profili, condanna definitiva 2018); il monito del caso Macchi (riaperto nel 2014, assoluzione definitiva); l'uso di sistemi della famiglia IBIS riportato dalle fonti tecniche, con l'assetto istituzionale da accertare formalmente.</w:t>
      </w:r>
    </w:p>
    <w:p>
      <w:pPr>
        <w:spacing w:after="120" w:line="276"/>
        <w:jc w:val="both"/>
      </w:pPr>
      <w:r>
        <w:rPr>
          <w:rFonts w:ascii="Barlow Semi Condensed" w:cs="Barlow Semi Condensed" w:eastAsia="Barlow Semi Condensed" w:hAnsi="Barlow Semi Condensed"/>
          <w:b/>
          <w:bCs/>
          <w:sz w:val="24"/>
          <w:szCs w:val="24"/>
        </w:rPr>
        <w:t xml:space="preserve">C-8 · Il registro del giudicato.</w:t>
      </w:r>
      <w:r>
        <w:rPr>
          <w:rFonts w:ascii="Barlow Semi Condensed" w:cs="Barlow Semi Condensed" w:eastAsia="Barlow Semi Condensed" w:hAnsi="Barlow Semi Condensed"/>
          <w:sz w:val="24"/>
          <w:szCs w:val="24"/>
        </w:rPr>
        <w:t xml:space="preserve"> Fissati con fonti: i decessi (Gallinari, 14 gennaio 2013; Maccari, Rebibbia, 25 agosto 2001; Balzerani, 3 marzo 2024; Morucci, 1° gennaio 2025; Braghetti, notizia del 6 novembre 2025 — la verifica ha qui corretto una data errata della prima campagna); i viventi coi loro stati documentati (Moretti in semilibertà dal 1997; i dissociati e i liberi a pena eseguita); le posizioni oltre confine (Casimirri: sei ergastoli in contumacia, Managua, mai arrestato, estradizioni respinte; Lojacono: definitivo nel Moro-quater — Cassazione 14 maggio 1997 — cittadino svizzero, mai estradato); le ancore processuali (quinquies: primo grado 16 luglio 1996); la regola Algranati con le date (assoluzione per via Fani nel ter, 1988; cattura al Cairo il 14 gennaio 2004). Le caselle divergenti (due luoghi di nascita, due quantum) sono dichiarate «da precisare». Non determinabile con fonti: lo stato in vita del teste Marini.</w:t>
      </w:r>
    </w:p>
    <w:p>
      <w:pPr>
        <w:spacing w:after="120" w:line="276"/>
        <w:jc w:val="both"/>
      </w:pPr>
      <w:r>
        <w:rPr>
          <w:rFonts w:ascii="Barlow Semi Condensed" w:cs="Barlow Semi Condensed" w:eastAsia="Barlow Semi Condensed" w:hAnsi="Barlow Semi Condensed"/>
          <w:b/>
          <w:bCs/>
          <w:sz w:val="24"/>
          <w:szCs w:val="24"/>
        </w:rPr>
        <w:t xml:space="preserve">C-9 · Il fascicolo di Roma e i progetti.</w:t>
      </w:r>
      <w:r>
        <w:rPr>
          <w:rFonts w:ascii="Barlow Semi Condensed" w:cs="Barlow Semi Condensed" w:eastAsia="Barlow Semi Condensed" w:hAnsi="Barlow Semi Condensed"/>
          <w:sz w:val="24"/>
          <w:szCs w:val="24"/>
        </w:rPr>
        <w:t xml:space="preserve"> Confermati: la sequenza 2017-2026 del fascicolo sulle terze presenze (fino al rigetto dell'archiviazione con sei mesi di nuove indagini); nessun elenco pubblico degli esiti genetici (il negativo che smonta ogni vulgata nominativa); la direttiva Draghi del 2 agosto 2021 su Gladio e P2 (non sul caso in sé); l'Edizione nazionale del centenario con aldomorodigitale.unibo.it; la digitalizzazione dei cinque processi (Archivio di Stato di Roma, Ministero della Giustizia, CSM — col lavoro dei detenuti di Rebibbia) e la messa online progressiva; la costellazione dei portali senza portale unico; la legge 56/2007 sul Giorno della memoria del 9 maggio. Non trovati: un comitato nazionale per il cinquantennale del 2028 (l'assenza che la Parte nona trasforma in proposta); nuove acquisizioni documentali pubbliche rilevanti annunciate nel 2024-2026.</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 nove cantieri del nuovo Caso Moro, in mille blocchi mirati ordinati in nove Parti con statuto: Oltremanica, oltralpe, oltre Reno (1-120); il Vaticano e la Chiesa (121-220); i fondi privati e di partito (221-330); i reperti (331-460); il memoriale e le lettere (461-560); l'audio e l'immagine (561-660); le scienze forensi (661-790); il registro del giudicato (791-880); il fascicolo di Roma (881-1000). Quarta opera della quadriga investigativa del corpus — dopo il programma, il manuale in quattrocento blocchi e l'agenda in trecento — fondata sulle piste, sulle schede e sulle verifiche del corpus e su due campagne di verifica dedicate (dodici più nove agenti di ricerca indipendenti, con gli esiti negativi dichiarati e le fonti nell'apparato). Nessun fatto è affermato oltre la sua fonte; nessun colpevole è atteso; gli assolti restano assolti; il registro del giudicato resta l'unico luogo dei nomi. La ricerca produce documenti, non colpevoli — mille volte.</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I nove cantieri (1.000 blocchi)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VI: 54.152 parole in 9 sezioni; la più ampia è §9 Altre sezioni, con 13.404.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VI: 1.062 paragrafi in 9 sezioni, 118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 nove fronti dell’opera monumentale, con le due campagne di verifica (V-1…V-12, C-1…C-9).</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tredicesimo — Il fascicolo aperto — VII. Il codice e la sua trasmissione (4.999 blocchi)</w:t>
      </w:r>
    </w:p>
    <w:p>
      <w:pPr>
        <w:pStyle w:val="Heading1"/>
        <w:spacing w:after="120" w:before="240"/>
      </w:pPr>
      <w:r>
        <w:rPr>
          <w:rFonts w:ascii="Barlow Semi Condensed" w:cs="Barlow Semi Condensed" w:eastAsia="Barlow Semi Condensed" w:hAnsi="Barlow Semi Condensed"/>
          <w:sz w:val="24"/>
          <w:szCs w:val="24"/>
        </w:rPr>
        <w:t xml:space="preserve">Il codice e la sua trasmissione</w:t>
      </w:r>
    </w:p>
    <w:p>
      <w:pPr>
        <w:pStyle w:val="Heading2"/>
        <w:spacing w:after="100" w:before="200"/>
      </w:pPr>
      <w:r>
        <w:rPr>
          <w:rFonts w:ascii="Barlow Semi Condensed" w:cs="Barlow Semi Condensed" w:eastAsia="Barlow Semi Condensed" w:hAnsi="Barlow Semi Condensed"/>
          <w:sz w:val="24"/>
          <w:szCs w:val="24"/>
        </w:rPr>
        <w:t xml:space="preserve">Henry Kissinger triangolato col corpus in 4.999 blocchi mirati — sessantacinque serie in due campagne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apertura.</w:t>
      </w:r>
      <w:r>
        <w:rPr>
          <w:rFonts w:ascii="Barlow Semi Condensed" w:cs="Barlow Semi Condensed" w:eastAsia="Barlow Semi Condensed" w:hAnsi="Barlow Semi Condensed"/>
          <w:i w:val="false"/>
          <w:iCs w:val="false"/>
          <w:sz w:val="24"/>
          <w:szCs w:val="24"/>
        </w:rPr>
        <w:t xml:space="preserve"> Il committente ha chiesto di triangolare questo nome con tutto ciò che l'opera contiene, e ha indicato la lente: </w:t>
      </w:r>
      <w:r>
        <w:rPr>
          <w:rFonts w:ascii="Barlow Semi Condensed" w:cs="Barlow Semi Condensed" w:eastAsia="Barlow Semi Condensed" w:hAnsi="Barlow Semi Condensed"/>
          <w:b/>
          <w:bCs/>
          <w:i w:val="false"/>
          <w:iCs w:val="false"/>
          <w:sz w:val="24"/>
          <w:szCs w:val="24"/>
        </w:rPr>
        <w:t xml:space="preserve">«Kissinger rappresenta metaforicamente la genetica»</w:t>
      </w:r>
      <w:r>
        <w:rPr>
          <w:rFonts w:ascii="Barlow Semi Condensed" w:cs="Barlow Semi Condensed" w:eastAsia="Barlow Semi Condensed" w:hAnsi="Barlow Semi Condensed"/>
          <w:i w:val="false"/>
          <w:iCs w:val="false"/>
          <w:sz w:val="24"/>
          <w:szCs w:val="24"/>
        </w:rPr>
        <w:t xml:space="preserve">. La chiave è accolta e dichiarata qui,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Serve a porre domande più precise — che cosa è codice e che cosa è trascrizione, che cosa si eredita e che cosa converge, che cosa l'ambiente esprime e che cosa tace — e non a insinuare che una persona sia il portatore di un carattere, né che una condotta si trasmetta come un tratto. Dove la metafora spinge verso il determinismo, la tredicesima serie la ferma: </w:t>
      </w:r>
      <w:r>
        <w:rPr>
          <w:rFonts w:ascii="Barlow Semi Condensed" w:cs="Barlow Semi Condensed" w:eastAsia="Barlow Semi Condensed" w:hAnsi="Barlow Semi Condensed"/>
          <w:b/>
          <w:bCs/>
          <w:i w:val="false"/>
          <w:iCs w:val="false"/>
          <w:sz w:val="24"/>
          <w:szCs w:val="24"/>
        </w:rPr>
        <w:t xml:space="preserve">in biologia il carattere si eredita; in storia la responsabilità no</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 due campagne, e perché sono due.</w:t>
      </w:r>
      <w:r>
        <w:rPr>
          <w:rFonts w:ascii="Barlow Semi Condensed" w:cs="Barlow Semi Condensed" w:eastAsia="Barlow Semi Condensed" w:hAnsi="Barlow Semi Condensed"/>
          <w:i w:val="false"/>
          <w:iCs w:val="false"/>
          <w:sz w:val="24"/>
          <w:szCs w:val="24"/>
        </w:rPr>
        <w:t xml:space="preserve"> La </w:t>
      </w:r>
      <w:r>
        <w:rPr>
          <w:rFonts w:ascii="Barlow Semi Condensed" w:cs="Barlow Semi Condensed" w:eastAsia="Barlow Semi Condensed" w:hAnsi="Barlow Semi Condensed"/>
          <w:b/>
          <w:bCs/>
          <w:i w:val="false"/>
          <w:iCs w:val="false"/>
          <w:sz w:val="24"/>
          <w:szCs w:val="24"/>
        </w:rPr>
        <w:t xml:space="preserve">prima</w:t>
      </w:r>
      <w:r>
        <w:rPr>
          <w:rFonts w:ascii="Barlow Semi Condensed" w:cs="Barlow Semi Condensed" w:eastAsia="Barlow Semi Condensed" w:hAnsi="Barlow Semi Condensed"/>
          <w:i w:val="false"/>
          <w:iCs w:val="false"/>
          <w:sz w:val="24"/>
          <w:szCs w:val="24"/>
        </w:rPr>
        <w:t xml:space="preserve"> (serie I-XIII, blocchi 1-1.000) è </w:t>
      </w:r>
      <w:r>
        <w:rPr>
          <w:rFonts w:ascii="Barlow Semi Condensed" w:cs="Barlow Semi Condensed" w:eastAsia="Barlow Semi Condensed" w:hAnsi="Barlow Semi Condensed"/>
          <w:b/>
          <w:bCs/>
          <w:i w:val="false"/>
          <w:iCs w:val="false"/>
          <w:sz w:val="24"/>
          <w:szCs w:val="24"/>
        </w:rPr>
        <w:t xml:space="preserve">concettuale</w:t>
      </w:r>
      <w:r>
        <w:rPr>
          <w:rFonts w:ascii="Barlow Semi Condensed" w:cs="Barlow Semi Condensed" w:eastAsia="Barlow Semi Condensed" w:hAnsi="Barlow Semi Condensed"/>
          <w:i w:val="false"/>
          <w:iCs w:val="false"/>
          <w:sz w:val="24"/>
          <w:szCs w:val="24"/>
        </w:rPr>
        <w:t xml:space="preserve">: applica la lente al nome e ne misura la resa, chiudendo con la serie che la ferma. La </w:t>
      </w:r>
      <w:r>
        <w:rPr>
          <w:rFonts w:ascii="Barlow Semi Condensed" w:cs="Barlow Semi Condensed" w:eastAsia="Barlow Semi Condensed" w:hAnsi="Barlow Semi Condensed"/>
          <w:b/>
          <w:bCs/>
          <w:i w:val="false"/>
          <w:iCs w:val="false"/>
          <w:sz w:val="24"/>
          <w:szCs w:val="24"/>
        </w:rPr>
        <w:t xml:space="preserve">seconda</w:t>
      </w:r>
      <w:r>
        <w:rPr>
          <w:rFonts w:ascii="Barlow Semi Condensed" w:cs="Barlow Semi Condensed" w:eastAsia="Barlow Semi Condensed" w:hAnsi="Barlow Semi Condensed"/>
          <w:i w:val="false"/>
          <w:iCs w:val="false"/>
          <w:sz w:val="24"/>
          <w:szCs w:val="24"/>
        </w:rPr>
        <w:t xml:space="preserve"> (serie XIV-LXV, blocchi 1.001-4.999) è </w:t>
      </w:r>
      <w:r>
        <w:rPr>
          <w:rFonts w:ascii="Barlow Semi Condensed" w:cs="Barlow Semi Condensed" w:eastAsia="Barlow Semi Condensed" w:hAnsi="Barlow Semi Condensed"/>
          <w:b/>
          <w:bCs/>
          <w:i w:val="false"/>
          <w:iCs w:val="false"/>
          <w:sz w:val="24"/>
          <w:szCs w:val="24"/>
        </w:rPr>
        <w:t xml:space="preserve">territoriale</w:t>
      </w:r>
      <w:r>
        <w:rPr>
          <w:rFonts w:ascii="Barlow Semi Condensed" w:cs="Barlow Semi Condensed" w:eastAsia="Barlow Semi Condensed" w:hAnsi="Barlow Semi Condensed"/>
          <w:i w:val="false"/>
          <w:iCs w:val="false"/>
          <w:sz w:val="24"/>
          <w:szCs w:val="24"/>
        </w:rPr>
        <w:t xml:space="preserve">: porta lo stesso nome contro </w:t>
      </w:r>
      <w:r>
        <w:rPr>
          <w:rFonts w:ascii="Barlow Semi Condensed" w:cs="Barlow Semi Condensed" w:eastAsia="Barlow Semi Condensed" w:hAnsi="Barlow Semi Condensed"/>
          <w:b/>
          <w:bCs/>
          <w:i w:val="false"/>
          <w:iCs w:val="false"/>
          <w:sz w:val="24"/>
          <w:szCs w:val="24"/>
        </w:rPr>
        <w:t xml:space="preserve">ogni territorio del corpus</w:t>
      </w:r>
      <w:r>
        <w:rPr>
          <w:rFonts w:ascii="Barlow Semi Condensed" w:cs="Barlow Semi Condensed" w:eastAsia="Barlow Semi Condensed" w:hAnsi="Barlow Semi Condensed"/>
          <w:i w:val="false"/>
          <w:iCs w:val="false"/>
          <w:sz w:val="24"/>
          <w:szCs w:val="24"/>
        </w:rPr>
        <w:t xml:space="preserve">, uno per serie — un documento, una cartella, una Parte — con l'obbligo di leggerlo prima di scriverne. Ogni serie territoriale tiene distinte quattro domande: dove il nome compare e con quale piano; dove il territorio tocca la cornice senza toccare il nome; dove circola un'affermazione terziaria che quel territorio non sostiene; e </w:t>
      </w:r>
      <w:r>
        <w:rPr>
          <w:rFonts w:ascii="Barlow Semi Condensed" w:cs="Barlow Semi Condensed" w:eastAsia="Barlow Semi Condensed" w:hAnsi="Barlow Semi Condensed"/>
          <w:b/>
          <w:bCs/>
          <w:i w:val="false"/>
          <w:iCs w:val="false"/>
          <w:sz w:val="24"/>
          <w:szCs w:val="24"/>
        </w:rPr>
        <w:t xml:space="preserve">dove si dovrebbe cercare e nessuno ha cercato</w:t>
      </w:r>
      <w:r>
        <w:rPr>
          <w:rFonts w:ascii="Barlow Semi Condensed" w:cs="Barlow Semi Condensed" w:eastAsia="Barlow Semi Condensed" w:hAnsi="Barlow Semi Condensed"/>
          <w:i w:val="false"/>
          <w:iCs w:val="false"/>
          <w:sz w:val="24"/>
          <w:szCs w:val="24"/>
        </w:rPr>
        <w:t xml:space="preserve">. Solo la quarta consegna a un terzo qualcosa da fare, ed è la ragione per cui la seconda campagna esiste.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L'esito, dichiarato prima del testo e non dopo.</w:t>
      </w:r>
      <w:r>
        <w:rPr>
          <w:rFonts w:ascii="Barlow Semi Condensed" w:cs="Barlow Semi Condensed" w:eastAsia="Barlow Semi Condensed" w:hAnsi="Barlow Semi Condensed"/>
          <w:i w:val="false"/>
          <w:iCs w:val="false"/>
          <w:sz w:val="24"/>
          <w:szCs w:val="24"/>
        </w:rPr>
        <w:t xml:space="preserve"> Cinquantadue territori interrogati, quasi quattromila bersagli posti, e il numero dei </w:t>
      </w:r>
      <w:r>
        <w:rPr>
          <w:rFonts w:ascii="Barlow Semi Condensed" w:cs="Barlow Semi Condensed" w:eastAsia="Barlow Semi Condensed" w:hAnsi="Barlow Semi Condensed"/>
          <w:b/>
          <w:bCs/>
          <w:i w:val="false"/>
          <w:iCs w:val="false"/>
          <w:sz w:val="24"/>
          <w:szCs w:val="24"/>
        </w:rPr>
        <w:t xml:space="preserve">ponti di piano 1</w:t>
      </w:r>
      <w:r>
        <w:rPr>
          <w:rFonts w:ascii="Barlow Semi Condensed" w:cs="Barlow Semi Condensed" w:eastAsia="Barlow Semi Condensed" w:hAnsi="Barlow Semi Condensed"/>
          <w:i w:val="false"/>
          <w:iCs w:val="false"/>
          <w:sz w:val="24"/>
          <w:szCs w:val="24"/>
        </w:rPr>
        <w:t xml:space="preserve"> fra questo nome e il caso Moro resta </w:t>
      </w:r>
      <w:r>
        <w:rPr>
          <w:rFonts w:ascii="Barlow Semi Condensed" w:cs="Barlow Semi Condensed" w:eastAsia="Barlow Semi Condensed" w:hAnsi="Barlow Semi Condensed"/>
          <w:b/>
          <w:bCs/>
          <w:i w:val="false"/>
          <w:iCs w:val="false"/>
          <w:sz w:val="24"/>
          <w:szCs w:val="24"/>
        </w:rPr>
        <w:t xml:space="preserve">uno</w:t>
      </w:r>
      <w:r>
        <w:rPr>
          <w:rFonts w:ascii="Barlow Semi Condensed" w:cs="Barlow Semi Condensed" w:eastAsia="Barlow Semi Condensed" w:hAnsi="Barlow Semi Condensed"/>
          <w:i w:val="false"/>
          <w:iCs w:val="false"/>
          <w:sz w:val="24"/>
          <w:szCs w:val="24"/>
        </w:rPr>
        <w:t xml:space="preserve">: il verbale dello Studio Ovale del 25 settembre 1974, che attesta una posizione di politica dichiarata e </w:t>
      </w:r>
      <w:r>
        <w:rPr>
          <w:rFonts w:ascii="Barlow Semi Condensed" w:cs="Barlow Semi Condensed" w:eastAsia="Barlow Semi Condensed" w:hAnsi="Barlow Semi Condensed"/>
          <w:b/>
          <w:bCs/>
          <w:i w:val="false"/>
          <w:iCs w:val="false"/>
          <w:sz w:val="24"/>
          <w:szCs w:val="24"/>
        </w:rPr>
        <w:t xml:space="preserve">non contiene alcun ultimatum personale</w:t>
      </w:r>
      <w:r>
        <w:rPr>
          <w:rFonts w:ascii="Barlow Semi Condensed" w:cs="Barlow Semi Condensed" w:eastAsia="Barlow Semi Condensed" w:hAnsi="Barlow Semi Condensed"/>
          <w:i w:val="false"/>
          <w:iCs w:val="false"/>
          <w:sz w:val="24"/>
          <w:szCs w:val="24"/>
        </w:rPr>
        <w:t xml:space="preserve">. Nessun territorio ne ha aggiunto un secondo. La seconda campagna ha aggiunto sedi, quesiti e vuoti verbalizzati; </w:t>
      </w:r>
      <w:r>
        <w:rPr>
          <w:rFonts w:ascii="Barlow Semi Condensed" w:cs="Barlow Semi Condensed" w:eastAsia="Barlow Semi Condensed" w:hAnsi="Barlow Semi Condensed"/>
          <w:b/>
          <w:bCs/>
          <w:i w:val="false"/>
          <w:iCs w:val="false"/>
          <w:sz w:val="24"/>
          <w:szCs w:val="24"/>
        </w:rPr>
        <w:t xml:space="preserve">non ha aggiunto fatti</w:t>
      </w:r>
      <w:r>
        <w:rPr>
          <w:rFonts w:ascii="Barlow Semi Condensed" w:cs="Barlow Semi Condensed" w:eastAsia="Barlow Semi Condensed" w:hAnsi="Barlow Semi Condensed"/>
          <w:i w:val="false"/>
          <w:iCs w:val="false"/>
          <w:sz w:val="24"/>
          <w:szCs w:val="24"/>
        </w:rPr>
        <w:t xml:space="preserve">. Chi cerchi qui una rivelazione ha sbagliato opera; chi cerchi un elenco di cose da fare in archivio la trova, ed è tutto ciò che 4.999 blocchi possono onestamente consegnare.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Una correzione per nota, che è già il primo caso della metafora.</w:t>
      </w:r>
      <w:r>
        <w:rPr>
          <w:rFonts w:ascii="Barlow Semi Condensed" w:cs="Barlow Semi Condensed" w:eastAsia="Barlow Semi Condensed" w:hAnsi="Barlow Semi Condensed"/>
          <w:i w:val="false"/>
          <w:iCs w:val="false"/>
          <w:sz w:val="24"/>
          <w:szCs w:val="24"/>
        </w:rPr>
        <w:t xml:space="preserve"> La richiesta scrive «Harry». Il nome è </w:t>
      </w:r>
      <w:r>
        <w:rPr>
          <w:rFonts w:ascii="Barlow Semi Condensed" w:cs="Barlow Semi Condensed" w:eastAsia="Barlow Semi Condensed" w:hAnsi="Barlow Semi Condensed"/>
          <w:b/>
          <w:bCs/>
          <w:i w:val="false"/>
          <w:iCs w:val="false"/>
          <w:sz w:val="24"/>
          <w:szCs w:val="24"/>
        </w:rPr>
        <w:t xml:space="preserve">Henry Alfred Kissinger</w:t>
      </w:r>
      <w:r>
        <w:rPr>
          <w:rFonts w:ascii="Barlow Semi Condensed" w:cs="Barlow Semi Condensed" w:eastAsia="Barlow Semi Condensed" w:hAnsi="Barlow Semi Condensed"/>
          <w:i w:val="false"/>
          <w:iCs w:val="false"/>
          <w:sz w:val="24"/>
          <w:szCs w:val="24"/>
        </w:rPr>
        <w:t xml:space="preserve">, e l'uomo nacque </w:t>
      </w:r>
      <w:r>
        <w:rPr>
          <w:rFonts w:ascii="Barlow Semi Condensed" w:cs="Barlow Semi Condensed" w:eastAsia="Barlow Semi Condensed" w:hAnsi="Barlow Semi Condensed"/>
          <w:b/>
          <w:bCs/>
          <w:i w:val="false"/>
          <w:iCs w:val="false"/>
          <w:sz w:val="24"/>
          <w:szCs w:val="24"/>
        </w:rPr>
        <w:t xml:space="preserve">Heinz Alfred Kissinger a Fürth il 27 maggio 1923</w:t>
      </w:r>
      <w:r>
        <w:rPr>
          <w:rFonts w:ascii="Barlow Semi Condensed" w:cs="Barlow Semi Condensed" w:eastAsia="Barlow Semi Condensed" w:hAnsi="Barlow Semi Condensed"/>
          <w:i w:val="false"/>
          <w:iCs w:val="false"/>
          <w:sz w:val="24"/>
          <w:szCs w:val="24"/>
        </w:rPr>
        <w:t xml:space="preserve"> e morì nella sua casa di Kent, nel Connecticut, il </w:t>
      </w:r>
      <w:r>
        <w:rPr>
          <w:rFonts w:ascii="Barlow Semi Condensed" w:cs="Barlow Semi Condensed" w:eastAsia="Barlow Semi Condensed" w:hAnsi="Barlow Semi Condensed"/>
          <w:b/>
          <w:bCs/>
          <w:i w:val="false"/>
          <w:iCs w:val="false"/>
          <w:sz w:val="24"/>
          <w:szCs w:val="24"/>
        </w:rPr>
        <w:t xml:space="preserve">29 novembre 2023</w:t>
      </w:r>
      <w:r>
        <w:rPr>
          <w:rFonts w:ascii="Barlow Semi Condensed" w:cs="Barlow Semi Condensed" w:eastAsia="Barlow Semi Condensed" w:hAnsi="Barlow Semi Condensed"/>
          <w:i w:val="false"/>
          <w:iCs w:val="false"/>
          <w:sz w:val="24"/>
          <w:szCs w:val="24"/>
        </w:rPr>
        <w:t xml:space="preserve">. Il corpus </w:t>
      </w:r>
      <w:r>
        <w:rPr>
          <w:rFonts w:ascii="Barlow Semi Condensed" w:cs="Barlow Semi Condensed" w:eastAsia="Barlow Semi Condensed" w:hAnsi="Barlow Semi Condensed"/>
          <w:b/>
          <w:bCs/>
          <w:i w:val="false"/>
          <w:iCs w:val="false"/>
          <w:sz w:val="24"/>
          <w:szCs w:val="24"/>
        </w:rPr>
        <w:t xml:space="preserve">corregge per nota e non riscrive in silenzio</w:t>
      </w:r>
      <w:r>
        <w:rPr>
          <w:rFonts w:ascii="Barlow Semi Condensed" w:cs="Barlow Semi Condensed" w:eastAsia="Barlow Semi Condensed" w:hAnsi="Barlow Semi Condensed"/>
          <w:i w:val="false"/>
          <w:iCs w:val="false"/>
          <w:sz w:val="24"/>
          <w:szCs w:val="24"/>
        </w:rPr>
        <w:t xml:space="preserve">: la forma errata resta registrata qui, la forma esatta è usata ovunque nel testo. E il primo esempio della lente si rivela subito un caso di trasmissione imprecisa: l'emigrazione è datata con esattezza — partenza dalla Germania il </w:t>
      </w:r>
      <w:r>
        <w:rPr>
          <w:rFonts w:ascii="Barlow Semi Condensed" w:cs="Barlow Semi Condensed" w:eastAsia="Barlow Semi Condensed" w:hAnsi="Barlow Semi Condensed"/>
          <w:b/>
          <w:bCs/>
          <w:i w:val="false"/>
          <w:iCs w:val="false"/>
          <w:sz w:val="24"/>
          <w:szCs w:val="24"/>
        </w:rPr>
        <w:t xml:space="preserve">20 agosto 1938</w:t>
      </w:r>
      <w:r>
        <w:rPr>
          <w:rFonts w:ascii="Barlow Semi Condensed" w:cs="Barlow Semi Condensed" w:eastAsia="Barlow Semi Condensed" w:hAnsi="Barlow Semi Condensed"/>
          <w:i w:val="false"/>
          <w:iCs w:val="false"/>
          <w:sz w:val="24"/>
          <w:szCs w:val="24"/>
        </w:rPr>
        <w:t xml:space="preserve">, sbarco a New York il </w:t>
      </w:r>
      <w:r>
        <w:rPr>
          <w:rFonts w:ascii="Barlow Semi Condensed" w:cs="Barlow Semi Condensed" w:eastAsia="Barlow Semi Condensed" w:hAnsi="Barlow Semi Condensed"/>
          <w:b/>
          <w:bCs/>
          <w:i w:val="false"/>
          <w:iCs w:val="false"/>
          <w:sz w:val="24"/>
          <w:szCs w:val="24"/>
        </w:rPr>
        <w:t xml:space="preserve">5 settembre</w:t>
      </w:r>
      <w:r>
        <w:rPr>
          <w:rFonts w:ascii="Barlow Semi Condensed" w:cs="Barlow Semi Condensed" w:eastAsia="Barlow Semi Condensed" w:hAnsi="Barlow Semi Condensed"/>
          <w:i w:val="false"/>
          <w:iCs w:val="false"/>
          <w:sz w:val="24"/>
          <w:szCs w:val="24"/>
        </w:rPr>
        <w:t xml:space="preserve"> — ma </w:t>
      </w:r>
      <w:r>
        <w:rPr>
          <w:rFonts w:ascii="Barlow Semi Condensed" w:cs="Barlow Semi Condensed" w:eastAsia="Barlow Semi Condensed" w:hAnsi="Barlow Semi Condensed"/>
          <w:b/>
          <w:bCs/>
          <w:i w:val="false"/>
          <w:iCs w:val="false"/>
          <w:sz w:val="24"/>
          <w:szCs w:val="24"/>
        </w:rPr>
        <w:t xml:space="preserve">il passaggio da Heinz a Henry non è documentato come atto compiuto all'arrivo</w:t>
      </w:r>
      <w:r>
        <w:rPr>
          <w:rFonts w:ascii="Barlow Semi Condensed" w:cs="Barlow Semi Condensed" w:eastAsia="Barlow Semi Condensed" w:hAnsi="Barlow Semi Condensed"/>
          <w:i w:val="false"/>
          <w:iCs w:val="false"/>
          <w:sz w:val="24"/>
          <w:szCs w:val="24"/>
        </w:rPr>
        <w:t xml:space="preserve">. Le opere di consultazione lo collocano genericamente nel 1938 senza citare documenti; il fascicolo d'immigrazione e naturalizzazione, ottenuto per accesso agli atti, lo colloca </w:t>
      </w:r>
      <w:r>
        <w:rPr>
          <w:rFonts w:ascii="Barlow Semi Condensed" w:cs="Barlow Semi Condensed" w:eastAsia="Barlow Semi Condensed" w:hAnsi="Barlow Semi Condensed"/>
          <w:b/>
          <w:bCs/>
          <w:i w:val="false"/>
          <w:iCs w:val="false"/>
          <w:sz w:val="24"/>
          <w:szCs w:val="24"/>
        </w:rPr>
        <w:t xml:space="preserve">durante il servizio militare, intorno al 1942-1943</w:t>
      </w:r>
      <w:r>
        <w:rPr>
          <w:rFonts w:ascii="Barlow Semi Condensed" w:cs="Barlow Semi Condensed" w:eastAsia="Barlow Semi Condensed" w:hAnsi="Barlow Semi Condensed"/>
          <w:i w:val="false"/>
          <w:iCs w:val="false"/>
          <w:sz w:val="24"/>
          <w:szCs w:val="24"/>
        </w:rPr>
        <w:t xml:space="preserve">, con naturalizzazione il </w:t>
      </w:r>
      <w:r>
        <w:rPr>
          <w:rFonts w:ascii="Barlow Semi Condensed" w:cs="Barlow Semi Condensed" w:eastAsia="Barlow Semi Condensed" w:hAnsi="Barlow Semi Condensed"/>
          <w:b/>
          <w:bCs/>
          <w:i w:val="false"/>
          <w:iCs w:val="false"/>
          <w:sz w:val="24"/>
          <w:szCs w:val="24"/>
        </w:rPr>
        <w:t xml:space="preserve">19 giugno 1943</w:t>
      </w:r>
      <w:r>
        <w:rPr>
          <w:rFonts w:ascii="Barlow Semi Condensed" w:cs="Barlow Semi Condensed" w:eastAsia="Barlow Semi Condensed" w:hAnsi="Barlow Semi Condensed"/>
          <w:i w:val="false"/>
          <w:iCs w:val="false"/>
          <w:sz w:val="24"/>
          <w:szCs w:val="24"/>
        </w:rPr>
        <w:t xml:space="preserve"> a Camp Croft. </w:t>
      </w:r>
      <w:r>
        <w:rPr>
          <w:rFonts w:ascii="Barlow Semi Condensed" w:cs="Barlow Semi Condensed" w:eastAsia="Barlow Semi Condensed" w:hAnsi="Barlow Semi Condensed"/>
          <w:b/>
          <w:bCs/>
          <w:i w:val="false"/>
          <w:iCs w:val="false"/>
          <w:sz w:val="24"/>
          <w:szCs w:val="24"/>
        </w:rPr>
        <w:t xml:space="preserve">La mutazione che tutti collocano alla frontiera, l'archivio la sposta di cinque anni</w:t>
      </w:r>
      <w:r>
        <w:rPr>
          <w:rFonts w:ascii="Barlow Semi Condensed" w:cs="Barlow Semi Condensed" w:eastAsia="Barlow Semi Condensed" w:hAnsi="Barlow Semi Condensed"/>
          <w:i w:val="false"/>
          <w:iCs w:val="false"/>
          <w:sz w:val="24"/>
          <w:szCs w:val="24"/>
        </w:rPr>
        <w:t xml:space="preserve">: la divergenza si riporta e non si scioglie.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probatorio.</w:t>
      </w:r>
      <w:r>
        <w:rPr>
          <w:rFonts w:ascii="Barlow Semi Condensed" w:cs="Barlow Semi Condensed" w:eastAsia="Barlow Semi Condensed" w:hAnsi="Barlow Semi Condensed"/>
          <w:i w:val="false"/>
          <w:iCs w:val="false"/>
          <w:sz w:val="24"/>
          <w:szCs w:val="24"/>
        </w:rPr>
        <w:t xml:space="preserve"> Nessun blocco di quest'opera indica Henry Kissinger — né alcun altro — come responsabile di reato: </w:t>
      </w:r>
      <w:r>
        <w:rPr>
          <w:rFonts w:ascii="Barlow Semi Condensed" w:cs="Barlow Semi Condensed" w:eastAsia="Barlow Semi Condensed" w:hAnsi="Barlow Semi Condensed"/>
          <w:b/>
          <w:bCs/>
          <w:i w:val="false"/>
          <w:iCs w:val="false"/>
          <w:sz w:val="24"/>
          <w:szCs w:val="24"/>
        </w:rPr>
        <w:t xml:space="preserve">non fu condannato in alcun processo, non fu mai imputato né processato in alcun Paese</w:t>
      </w:r>
      <w:r>
        <w:rPr>
          <w:rFonts w:ascii="Barlow Semi Condensed" w:cs="Barlow Semi Condensed" w:eastAsia="Barlow Semi Condensed" w:hAnsi="Barlow Semi Condensed"/>
          <w:i w:val="false"/>
          <w:iCs w:val="false"/>
          <w:sz w:val="24"/>
          <w:szCs w:val="24"/>
        </w:rPr>
        <w:t xml:space="preserve">, e il corpus si ferma al giudicato. Vale in ogni pagina la regola dei </w:t>
      </w:r>
      <w:r>
        <w:rPr>
          <w:rFonts w:ascii="Barlow Semi Condensed" w:cs="Barlow Semi Condensed" w:eastAsia="Barlow Semi Condensed" w:hAnsi="Barlow Semi Condensed"/>
          <w:b/>
          <w:bCs/>
          <w:i w:val="false"/>
          <w:iCs w:val="false"/>
          <w:sz w:val="24"/>
          <w:szCs w:val="24"/>
        </w:rPr>
        <w:t xml:space="preserve">tre piani</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rapporto diretto documentato; </w:t>
      </w:r>
      <w:r>
        <w:rPr>
          <w:rFonts w:ascii="Barlow Semi Condensed" w:cs="Barlow Semi Condensed" w:eastAsia="Barlow Semi Condensed" w:hAnsi="Barlow Semi Condensed"/>
          <w:b/>
          <w:bCs/>
          <w:i w:val="false"/>
          <w:iCs w:val="false"/>
          <w:sz w:val="24"/>
          <w:szCs w:val="24"/>
        </w:rPr>
        <w:t xml:space="preserve">piano 2</w:t>
      </w:r>
      <w:r>
        <w:rPr>
          <w:rFonts w:ascii="Barlow Semi Condensed" w:cs="Barlow Semi Condensed" w:eastAsia="Barlow Semi Condensed" w:hAnsi="Barlow Semi Condensed"/>
          <w:i w:val="false"/>
          <w:iCs w:val="false"/>
          <w:sz w:val="24"/>
          <w:szCs w:val="24"/>
        </w:rPr>
        <w:t xml:space="preserve">, convergenza strutturale entro la stessa cornice; </w:t>
      </w:r>
      <w:r>
        <w:rPr>
          <w:rFonts w:ascii="Barlow Semi Condensed" w:cs="Barlow Semi Condensed" w:eastAsia="Barlow Semi Condensed" w:hAnsi="Barlow Semi Condensed"/>
          <w:b/>
          <w:bCs/>
          <w:i w:val="false"/>
          <w:iCs w:val="false"/>
          <w:sz w:val="24"/>
          <w:szCs w:val="24"/>
        </w:rPr>
        <w:t xml:space="preserve">piano 3</w:t>
      </w:r>
      <w:r>
        <w:rPr>
          <w:rFonts w:ascii="Barlow Semi Condensed" w:cs="Barlow Semi Condensed" w:eastAsia="Barlow Semi Condensed" w:hAnsi="Barlow Semi Condensed"/>
          <w:i w:val="false"/>
          <w:iCs w:val="false"/>
          <w:sz w:val="24"/>
          <w:szCs w:val="24"/>
        </w:rPr>
        <w:t xml:space="preserve">, affermazione terziaria priva di riscontro. </w:t>
      </w:r>
      <w:r>
        <w:rPr>
          <w:rFonts w:ascii="Barlow Semi Condensed" w:cs="Barlow Semi Condensed" w:eastAsia="Barlow Semi Condensed" w:hAnsi="Barlow Semi Condensed"/>
          <w:i w:val="false"/>
          <w:iCs w:val="false"/>
          <w:sz w:val="24"/>
          <w:szCs w:val="24"/>
        </w:rPr>
        <w:t xml:space="preserve">Un ponte è reale solo al piano 1</w:t>
      </w:r>
      <w:r>
        <w:rPr>
          <w:rFonts w:ascii="Barlow Semi Condensed" w:cs="Barlow Semi Condensed" w:eastAsia="Barlow Semi Condensed" w:hAnsi="Barlow Semi Condensed"/>
          <w:i w:val="false"/>
          <w:iCs w:val="false"/>
          <w:sz w:val="24"/>
          <w:szCs w:val="24"/>
        </w:rPr>
        <w:t xml:space="preserve">; i piani 2 e 3 si registrano come tali e non si promuovono mai a nesso causale. Valgono inoltre: l'appartenenza a un'organizzazione, a una scuola o a un lignaggio dottrinale non è prova di condotta; la contemporaneità non è prova di nesso; le divergenze si riportano e non si scelgono in silenzio; l'esito negativo — lo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 è un'acquisizione di pieno valore e si scrive con la sede d'archivio che lo chiuderebbe.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 accertamento che va messo in copertina, perché è quello che impedisce l'abuso peggiore.</w:t>
      </w:r>
      <w:r>
        <w:rPr>
          <w:rFonts w:ascii="Barlow Semi Condensed" w:cs="Barlow Semi Condensed" w:eastAsia="Barlow Semi Condensed" w:hAnsi="Barlow Semi Condensed"/>
          <w:i w:val="false"/>
          <w:iCs w:val="false"/>
          <w:sz w:val="24"/>
          <w:szCs w:val="24"/>
        </w:rPr>
        <w:t xml:space="preserve"> Nella circolazione pubblica il verbale del </w:t>
      </w:r>
      <w:r>
        <w:rPr>
          <w:rFonts w:ascii="Barlow Semi Condensed" w:cs="Barlow Semi Condensed" w:eastAsia="Barlow Semi Condensed" w:hAnsi="Barlow Semi Condensed"/>
          <w:b/>
          <w:bCs/>
          <w:i w:val="false"/>
          <w:iCs w:val="false"/>
          <w:sz w:val="24"/>
          <w:szCs w:val="24"/>
        </w:rPr>
        <w:t xml:space="preserve">25 settembre 1974</w:t>
      </w:r>
      <w:r>
        <w:rPr>
          <w:rFonts w:ascii="Barlow Semi Condensed" w:cs="Barlow Semi Condensed" w:eastAsia="Barlow Semi Condensed" w:hAnsi="Barlow Semi Condensed"/>
          <w:i w:val="false"/>
          <w:iCs w:val="false"/>
          <w:sz w:val="24"/>
          <w:szCs w:val="24"/>
        </w:rPr>
        <w:t xml:space="preserve"> — il colloquio dello Studio Ovale con Leone, Moro, Ford e Kissinger, documento 350 del volume FRUS 1969-1976 E-15 parte 2, </w:t>
      </w:r>
      <w:r>
        <w:rPr>
          <w:rFonts w:ascii="Barlow Semi Condensed" w:cs="Barlow Semi Condensed" w:eastAsia="Barlow Semi Condensed" w:hAnsi="Barlow Semi Condensed"/>
          <w:i w:val="false"/>
          <w:iCs w:val="false"/>
          <w:sz w:val="24"/>
          <w:szCs w:val="24"/>
        </w:rPr>
        <w:t xml:space="preserve">seconda edizione riveduta</w:t>
      </w:r>
      <w:r>
        <w:rPr>
          <w:rFonts w:ascii="Barlow Semi Condensed" w:cs="Barlow Semi Condensed" w:eastAsia="Barlow Semi Condensed" w:hAnsi="Barlow Semi Condensed"/>
          <w:i w:val="false"/>
          <w:iCs w:val="false"/>
          <w:sz w:val="24"/>
          <w:szCs w:val="24"/>
        </w:rPr>
        <w:t xml:space="preserve">, e file 1552802 della Ford Library — viene spesso presentato come il documento che conterrebbe la frase di minaccia ad Aldo Moro. </w:t>
      </w:r>
      <w:r>
        <w:rPr>
          <w:rFonts w:ascii="Barlow Semi Condensed" w:cs="Barlow Semi Condensed" w:eastAsia="Barlow Semi Condensed" w:hAnsi="Barlow Semi Condensed"/>
          <w:b/>
          <w:bCs/>
          <w:i w:val="false"/>
          <w:iCs w:val="false"/>
          <w:sz w:val="24"/>
          <w:szCs w:val="24"/>
        </w:rPr>
        <w:t xml:space="preserve">Non la contiene.</w:t>
      </w:r>
      <w:r>
        <w:rPr>
          <w:rFonts w:ascii="Barlow Semi Condensed" w:cs="Barlow Semi Condensed" w:eastAsia="Barlow Semi Condensed" w:hAnsi="Barlow Semi Condensed"/>
          <w:i w:val="false"/>
          <w:iCs w:val="false"/>
          <w:sz w:val="24"/>
          <w:szCs w:val="24"/>
        </w:rPr>
        <w:t xml:space="preserve"> Ciò che vi è attestato è altro: la posizione statunitense sul non poter scambiare informazioni militari nel caso di un ingresso comunista al governo, col precedente portoghese richiamato. La frase è stata </w:t>
      </w:r>
      <w:r>
        <w:rPr>
          <w:rFonts w:ascii="Barlow Semi Condensed" w:cs="Barlow Semi Condensed" w:eastAsia="Barlow Semi Condensed" w:hAnsi="Barlow Semi Condensed"/>
          <w:b/>
          <w:bCs/>
          <w:i w:val="false"/>
          <w:iCs w:val="false"/>
          <w:sz w:val="24"/>
          <w:szCs w:val="24"/>
        </w:rPr>
        <w:t xml:space="preserve">riferita da un testimone in sede giudiziaria</w:t>
      </w:r>
      <w:r>
        <w:rPr>
          <w:rFonts w:ascii="Barlow Semi Condensed" w:cs="Barlow Semi Condensed" w:eastAsia="Barlow Semi Condensed" w:hAnsi="Barlow Semi Condensed"/>
          <w:i w:val="false"/>
          <w:iCs w:val="false"/>
          <w:sz w:val="24"/>
          <w:szCs w:val="24"/>
        </w:rPr>
        <w:t xml:space="preserve"> — </w:t>
      </w:r>
      <w:r>
        <w:rPr>
          <w:rFonts w:ascii="Barlow Semi Condensed" w:cs="Barlow Semi Condensed" w:eastAsia="Barlow Semi Condensed" w:hAnsi="Barlow Semi Condensed"/>
          <w:i w:val="false"/>
          <w:iCs w:val="false"/>
          <w:sz w:val="24"/>
          <w:szCs w:val="24"/>
        </w:rPr>
        <w:t xml:space="preserve">de relato</w:t>
      </w:r>
      <w:r>
        <w:rPr>
          <w:rFonts w:ascii="Barlow Semi Condensed" w:cs="Barlow Semi Condensed" w:eastAsia="Barlow Semi Condensed" w:hAnsi="Barlow Semi Condensed"/>
          <w:i w:val="false"/>
          <w:iCs w:val="false"/>
          <w:sz w:val="24"/>
          <w:szCs w:val="24"/>
        </w:rPr>
        <w:t xml:space="preserve">, nel novembre 1982 — e </w:t>
      </w:r>
      <w:r>
        <w:rPr>
          <w:rFonts w:ascii="Barlow Semi Condensed" w:cs="Barlow Semi Condensed" w:eastAsia="Barlow Semi Condensed" w:hAnsi="Barlow Semi Condensed"/>
          <w:b/>
          <w:bCs/>
          <w:i w:val="false"/>
          <w:iCs w:val="false"/>
          <w:sz w:val="24"/>
          <w:szCs w:val="24"/>
        </w:rPr>
        <w:t xml:space="preserve">sempre negata dall'interessato</w:t>
      </w:r>
      <w:r>
        <w:rPr>
          <w:rFonts w:ascii="Barlow Semi Condensed" w:cs="Barlow Semi Condensed" w:eastAsia="Barlow Semi Condensed" w:hAnsi="Barlow Semi Condensed"/>
          <w:i w:val="false"/>
          <w:iCs w:val="false"/>
          <w:sz w:val="24"/>
          <w:szCs w:val="24"/>
        </w:rPr>
        <w:t xml:space="preserve">: è una testimonianza contestata, e va tenuta rigorosamente distinta dal documento. </w:t>
      </w:r>
      <w:r>
        <w:rPr>
          <w:rFonts w:ascii="Barlow Semi Condensed" w:cs="Barlow Semi Condensed" w:eastAsia="Barlow Semi Condensed" w:hAnsi="Barlow Semi Condensed"/>
          <w:b/>
          <w:bCs/>
          <w:i w:val="false"/>
          <w:iCs w:val="false"/>
          <w:sz w:val="24"/>
          <w:szCs w:val="24"/>
        </w:rPr>
        <w:t xml:space="preserve">Confondere i due piani è l'errore che quest'opera esiste per rendere impossibile.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sono i blocchi, e come si legge un'opera che non si legge.</w:t>
      </w:r>
      <w:r>
        <w:rPr>
          <w:rFonts w:ascii="Barlow Semi Condensed" w:cs="Barlow Semi Condensed" w:eastAsia="Barlow Semi Condensed" w:hAnsi="Barlow Semi Condensed"/>
          <w:i w:val="false"/>
          <w:iCs w:val="false"/>
          <w:sz w:val="24"/>
          <w:szCs w:val="24"/>
        </w:rPr>
        <w:t xml:space="preserve"> Non sono affermazioni: sono </w:t>
      </w:r>
      <w:r>
        <w:rPr>
          <w:rFonts w:ascii="Barlow Semi Condensed" w:cs="Barlow Semi Condensed" w:eastAsia="Barlow Semi Condensed" w:hAnsi="Barlow Semi Condensed"/>
          <w:b/>
          <w:bCs/>
          <w:i w:val="false"/>
          <w:iCs w:val="false"/>
          <w:sz w:val="24"/>
          <w:szCs w:val="24"/>
        </w:rPr>
        <w:t xml:space="preserve">bersagli</w:t>
      </w:r>
      <w:r>
        <w:rPr>
          <w:rFonts w:ascii="Barlow Semi Condensed" w:cs="Barlow Semi Condensed" w:eastAsia="Barlow Semi Condensed" w:hAnsi="Barlow Semi Condensed"/>
          <w:i w:val="false"/>
          <w:iCs w:val="false"/>
          <w:sz w:val="24"/>
          <w:szCs w:val="24"/>
        </w:rPr>
        <w:t xml:space="preserve">. Ciascuno è un quesito da portare in archivio, una regola di lettura, un accertamento con grado dichiarato o una lacuna verbalizzata con la sede che la chiuderebbe. Quattromilanovecentonovantanove blocchi non si leggono in fila e non sono stati scritti per essere letti in fila: </w:t>
      </w:r>
      <w:r>
        <w:rPr>
          <w:rFonts w:ascii="Barlow Semi Condensed" w:cs="Barlow Semi Condensed" w:eastAsia="Barlow Semi Condensed" w:hAnsi="Barlow Semi Condensed"/>
          <w:b/>
          <w:bCs/>
          <w:i w:val="false"/>
          <w:iCs w:val="false"/>
          <w:sz w:val="24"/>
          <w:szCs w:val="24"/>
        </w:rPr>
        <w:t xml:space="preserve">si interrogano</w:t>
      </w:r>
      <w:r>
        <w:rPr>
          <w:rFonts w:ascii="Barlow Semi Condensed" w:cs="Barlow Semi Condensed" w:eastAsia="Barlow Semi Condensed" w:hAnsi="Barlow Semi Condensed"/>
          <w:i w:val="false"/>
          <w:iCs w:val="false"/>
          <w:sz w:val="24"/>
          <w:szCs w:val="24"/>
        </w:rPr>
        <w:t xml:space="preserve">. Chi voglia il metodo legga la prima serie e l'</w:t>
      </w:r>
      <w:r>
        <w:rPr>
          <w:rFonts w:ascii="Barlow Semi Condensed" w:cs="Barlow Semi Condensed" w:eastAsia="Barlow Semi Condensed" w:hAnsi="Barlow Semi Condensed"/>
          <w:b/>
          <w:bCs/>
          <w:i w:val="false"/>
          <w:iCs w:val="false"/>
          <w:sz w:val="24"/>
          <w:szCs w:val="24"/>
        </w:rPr>
        <w:t xml:space="preserve">Apparato L</w:t>
      </w:r>
      <w:r>
        <w:rPr>
          <w:rFonts w:ascii="Barlow Semi Condensed" w:cs="Barlow Semi Condensed" w:eastAsia="Barlow Semi Condensed" w:hAnsi="Barlow Semi Condensed"/>
          <w:i w:val="false"/>
          <w:iCs w:val="false"/>
          <w:sz w:val="24"/>
          <w:szCs w:val="24"/>
        </w:rPr>
        <w:t xml:space="preserve">; chi voglia sapere che cosa fare domani legga la sezione </w:t>
      </w:r>
      <w:r>
        <w:rPr>
          <w:rFonts w:ascii="Barlow Semi Condensed" w:cs="Barlow Semi Condensed" w:eastAsia="Barlow Semi Condensed" w:hAnsi="Barlow Semi Condensed"/>
          <w:b/>
          <w:bCs/>
          <w:i w:val="false"/>
          <w:iCs w:val="false"/>
          <w:sz w:val="24"/>
          <w:szCs w:val="24"/>
        </w:rPr>
        <w:t xml:space="preserve">L-6</w:t>
      </w:r>
      <w:r>
        <w:rPr>
          <w:rFonts w:ascii="Barlow Semi Condensed" w:cs="Barlow Semi Condensed" w:eastAsia="Barlow Semi Condensed" w:hAnsi="Barlow Semi Condensed"/>
          <w:i w:val="false"/>
          <w:iCs w:val="false"/>
          <w:sz w:val="24"/>
          <w:szCs w:val="24"/>
        </w:rPr>
        <w:t xml:space="preserve">, che elenca cinque atti eseguibili; chi voglia attaccare l'opera legga i bersagli di smentita, che ogni serie porta con sé e che sono stati scritti perché qualcuno li colpisca. Chi cerchi un nome da mettere in fondo a una storia non lo troverà, e la tredicesima serie spiega perché.</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proprio questo nome.</w:t>
      </w:r>
      <w:r>
        <w:rPr>
          <w:rFonts w:ascii="Barlow Semi Condensed" w:cs="Barlow Semi Condensed" w:eastAsia="Barlow Semi Condensed" w:hAnsi="Barlow Semi Condensed"/>
          <w:i w:val="false"/>
          <w:iCs w:val="false"/>
          <w:sz w:val="24"/>
          <w:szCs w:val="24"/>
        </w:rPr>
        <w:t xml:space="preserve"> Perché è il nodo su cui la tentazione combinatoria è massima. Chi voglia costruire una storia unica del Novecento con un solo centro trova qui il candidato perfetto: un uomo presente, per carica e per anni, in quasi tutti i teatri che questo corpus attraversa. È esattamente per questo che il nodo va trattato col metodo più severo, e non col più suggestivo. </w:t>
      </w:r>
      <w:r>
        <w:rPr>
          <w:rFonts w:ascii="Barlow Semi Condensed" w:cs="Barlow Semi Condensed" w:eastAsia="Barlow Semi Condensed" w:hAnsi="Barlow Semi Condensed"/>
          <w:b/>
          <w:bCs/>
          <w:i w:val="false"/>
          <w:iCs w:val="false"/>
          <w:sz w:val="24"/>
          <w:szCs w:val="24"/>
        </w:rPr>
        <w:t xml:space="preserve">Questa opera non aggiunge un nesso: mappa dove il ponte esiste, dove c'è solo convergenza e dove non c'è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Il nome e la mutazione: lo statuto della metafora</w:t>
      </w:r>
    </w:p>
    <w:p>
      <w:pPr>
        <w:spacing w:after="120" w:line="276"/>
        <w:jc w:val="both"/>
      </w:pPr>
      <w:r>
        <w:rPr>
          <w:rFonts w:ascii="Barlow Semi Condensed" w:cs="Barlow Semi Condensed" w:eastAsia="Barlow Semi Condensed" w:hAnsi="Barlow Semi Condensed"/>
          <w:i/>
          <w:iCs/>
          <w:sz w:val="24"/>
          <w:szCs w:val="24"/>
        </w:rPr>
        <w:t xml:space="preserve">Blocchi 1-60.</w:t>
      </w:r>
    </w:p>
    <w:p>
      <w:pPr>
        <w:spacing w:after="120" w:line="276"/>
        <w:jc w:val="both"/>
      </w:pPr>
      <w:r>
        <w:rPr>
          <w:rFonts w:ascii="Barlow Semi Condensed" w:cs="Barlow Semi Condensed" w:eastAsia="Barlow Semi Condensed" w:hAnsi="Barlow Semi Condensed"/>
          <w:b/>
          <w:bCs/>
          <w:sz w:val="24"/>
          <w:szCs w:val="24"/>
        </w:rPr>
        <w:t xml:space="preserve">1 · Il nome scritto dal committente.</w:t>
      </w:r>
      <w:r>
        <w:rPr>
          <w:rFonts w:ascii="Barlow Semi Condensed" w:cs="Barlow Semi Condensed" w:eastAsia="Barlow Semi Condensed" w:hAnsi="Barlow Semi Condensed"/>
          <w:sz w:val="24"/>
          <w:szCs w:val="24"/>
        </w:rPr>
        <w:t xml:space="preserve"> Il mandato che apre quest'opera reca scritto «Harry Kissinger». Il nome è Henry. L'errore si registra qui, in apertura e per intero, perché è il primo dato del cantiere e non un incidente da nascondere: il corpus si corregge per nota e non per riscrittura silenziosa, secondo la regola che il manuale investigativo fissa al blocco 279 e ribadisce nella nota della sua seconda edizione. La correzione entra nel testo; l'errore resta leggibile accanto.</w:t>
      </w:r>
    </w:p>
    <w:p>
      <w:pPr>
        <w:spacing w:after="120" w:line="276"/>
        <w:jc w:val="both"/>
      </w:pPr>
      <w:r>
        <w:rPr>
          <w:rFonts w:ascii="Barlow Semi Condensed" w:cs="Barlow Semi Condensed" w:eastAsia="Barlow Semi Condensed" w:hAnsi="Barlow Semi Condensed"/>
          <w:b/>
          <w:bCs/>
          <w:sz w:val="24"/>
          <w:szCs w:val="24"/>
        </w:rPr>
        <w:t xml:space="preserve">2 · Heinz Alfred, Fürth 1923.</w:t>
      </w:r>
      <w:r>
        <w:rPr>
          <w:rFonts w:ascii="Barlow Semi Condensed" w:cs="Barlow Semi Condensed" w:eastAsia="Barlow Semi Condensed" w:hAnsi="Barlow Semi Condensed"/>
          <w:sz w:val="24"/>
          <w:szCs w:val="24"/>
        </w:rPr>
        <w:t xml:space="preserve"> Henry Alfred Kissinger nacque Heinz Alfred Kissinger a Fürth, in Baviera, il 27 maggio 1923, e morì a Kent, nel Connecticut, il 29 novembre 2023. Sono fatti pubblici, grado F: anagrafe e atti ufficiali. Il corpus li assume come tali e non ne ricava altro. La biografia serve qui a una sola funzione, fissare che l'oggetto della serie è un nome documentato e non un'entità evocata.</w:t>
      </w:r>
    </w:p>
    <w:p>
      <w:pPr>
        <w:spacing w:after="120" w:line="276"/>
        <w:jc w:val="both"/>
      </w:pPr>
      <w:r>
        <w:rPr>
          <w:rFonts w:ascii="Barlow Semi Condensed" w:cs="Barlow Semi Condensed" w:eastAsia="Barlow Semi Condensed" w:hAnsi="Barlow Semi Condensed"/>
          <w:b/>
          <w:bCs/>
          <w:sz w:val="24"/>
          <w:szCs w:val="24"/>
        </w:rPr>
        <w:t xml:space="preserve">3 · La mutazione onomastica, e la sua data contesa.</w:t>
      </w:r>
      <w:r>
        <w:rPr>
          <w:rFonts w:ascii="Barlow Semi Condensed" w:cs="Barlow Semi Condensed" w:eastAsia="Barlow Semi Condensed" w:hAnsi="Barlow Semi Condensed"/>
          <w:sz w:val="24"/>
          <w:szCs w:val="24"/>
        </w:rPr>
        <w:t xml:space="preserve"> Con l'emigrazione dalla Germania — partenza il 20 agosto 1938, sbarco a New York il 5 settembre — Heinz divenne Henry. Ma quando, esattamente, la verifica non lo concede: le opere di consultazione dicono 1938 senza citare documenti, il fascicolo d'immigrazione ottenuto per accesso agli atti colloca l'abbandono di «Heinz» durante il servizio militare, intorno al 1942-1943. La divergenza si riporta e non si scioglie. Il primo caso concreto della lente è già un caso di trasmissione imprecisa.</w:t>
      </w:r>
    </w:p>
    <w:p>
      <w:pPr>
        <w:spacing w:after="120" w:line="276"/>
        <w:jc w:val="both"/>
      </w:pPr>
      <w:r>
        <w:rPr>
          <w:rFonts w:ascii="Barlow Semi Condensed" w:cs="Barlow Semi Condensed" w:eastAsia="Barlow Semi Condensed" w:hAnsi="Barlow Semi Condensed"/>
          <w:b/>
          <w:bCs/>
          <w:sz w:val="24"/>
          <w:szCs w:val="24"/>
        </w:rPr>
        <w:t xml:space="preserve">4 · Dove la metafora già si rompe.</w:t>
      </w:r>
      <w:r>
        <w:rPr>
          <w:rFonts w:ascii="Barlow Semi Condensed" w:cs="Barlow Semi Condensed" w:eastAsia="Barlow Semi Condensed" w:hAnsi="Barlow Semi Condensed"/>
          <w:sz w:val="24"/>
          <w:szCs w:val="24"/>
        </w:rPr>
        <w:t xml:space="preserve"> La genetica chiama mutazione un evento non diretto, che avviene prima e indipendentemente dall'ambiente che poi lo seleziona. L'anglicizzazione di un nome all'emigrazione non è questo: è un atto intenzionale, orientato allo scopo. Il primo caso concreto della lente è dunque anche la sua prima falla, e va dichiarata subito. La metafora regge sulla forma dell'evento, variante che entra in un ambiente nuovo, non sul suo meccanismo.</w:t>
      </w:r>
    </w:p>
    <w:p>
      <w:pPr>
        <w:spacing w:after="120" w:line="276"/>
        <w:jc w:val="both"/>
      </w:pPr>
      <w:r>
        <w:rPr>
          <w:rFonts w:ascii="Barlow Semi Condensed" w:cs="Barlow Semi Condensed" w:eastAsia="Barlow Semi Condensed" w:hAnsi="Barlow Semi Condensed"/>
          <w:b/>
          <w:bCs/>
          <w:sz w:val="24"/>
          <w:szCs w:val="24"/>
        </w:rPr>
        <w:t xml:space="preserve">5 · Henry non è Harry.</w:t>
      </w:r>
      <w:r>
        <w:rPr>
          <w:rFonts w:ascii="Barlow Semi Condensed" w:cs="Barlow Semi Condensed" w:eastAsia="Barlow Semi Condensed" w:hAnsi="Barlow Semi Condensed"/>
          <w:sz w:val="24"/>
          <w:szCs w:val="24"/>
        </w:rPr>
        <w:t xml:space="preserve"> Harry è ipocoristico inglese corrente di Henry: la sostituzione non è casuale, è fonologicamente plausibile. Proprio per questo è pericolosa. In trascrizione gli errori che sopravvivono alle riletture sono quelli verosimili, non quelli assurdi, e la verosimiglianza è ciò che li rende invisibili al correttore. La serie assume questo come primo criterio di lettura: il rischio maggiore non è la variante grossolana, è quella che suona giusta.</w:t>
      </w:r>
    </w:p>
    <w:p>
      <w:pPr>
        <w:spacing w:after="120" w:line="276"/>
        <w:jc w:val="both"/>
      </w:pPr>
      <w:r>
        <w:rPr>
          <w:rFonts w:ascii="Barlow Semi Condensed" w:cs="Barlow Semi Condensed" w:eastAsia="Barlow Semi Condensed" w:hAnsi="Barlow Semi Condensed"/>
          <w:b/>
          <w:bCs/>
          <w:sz w:val="24"/>
          <w:szCs w:val="24"/>
        </w:rPr>
        <w:t xml:space="preserve">6 · Due varianti, due statuti diversi.</w:t>
      </w:r>
      <w:r>
        <w:rPr>
          <w:rFonts w:ascii="Barlow Semi Condensed" w:cs="Barlow Semi Condensed" w:eastAsia="Barlow Semi Condensed" w:hAnsi="Barlow Semi Condensed"/>
          <w:sz w:val="24"/>
          <w:szCs w:val="24"/>
        </w:rPr>
        <w:t xml:space="preserve"> Le due variazioni del nome non hanno lo stesso statuto e vanno tenute separate. Heinz in Henry è un mutamento nella fonte, portato dal soggetto stesso, la cui data è contesa fra il 1938 della vulgata e il 1942-1943 dell'archivio. Henry in Harry è un errore introdotto a valle, nel 2026, dal copista. La genetica distingue la variante trasmessa dall'errore di replicazione; la storiografia deve fare lo stesso, perché il secondo si corregge collazionando e il primo no.</w:t>
      </w:r>
    </w:p>
    <w:p>
      <w:pPr>
        <w:spacing w:after="120" w:line="276"/>
        <w:jc w:val="both"/>
      </w:pPr>
      <w:r>
        <w:rPr>
          <w:rFonts w:ascii="Barlow Semi Condensed" w:cs="Barlow Semi Condensed" w:eastAsia="Barlow Semi Condensed" w:hAnsi="Barlow Semi Condensed"/>
          <w:b/>
          <w:bCs/>
          <w:sz w:val="24"/>
          <w:szCs w:val="24"/>
        </w:rPr>
        <w:t xml:space="preserve">7 · Il corpus ha già i suoi precedenti.</w:t>
      </w:r>
      <w:r>
        <w:rPr>
          <w:rFonts w:ascii="Barlow Semi Condensed" w:cs="Barlow Semi Condensed" w:eastAsia="Barlow Semi Condensed" w:hAnsi="Barlow Semi Condensed"/>
          <w:sz w:val="24"/>
          <w:szCs w:val="24"/>
        </w:rPr>
        <w:t xml:space="preserve"> La disciplina onomastica non nasce qui. La triangolazione Guevara registra al nodo E-3 che «Alejandro Orfila» era in realtà Arnaldo Orfila Reynal, e che la confusione fra due persone distinte aveva generato un'affermazione da espungere. Il verbale della seconda campagna della Farnesina avverte che Jorge Jardim e Jorge Jardim Gonçalves sono persone diverse. Un nome sbagliato non produce un dettaglio sbagliato: produce un fatto inesistente.</w:t>
      </w:r>
    </w:p>
    <w:p>
      <w:pPr>
        <w:spacing w:after="120" w:line="276"/>
        <w:jc w:val="both"/>
      </w:pPr>
      <w:r>
        <w:rPr>
          <w:rFonts w:ascii="Barlow Semi Condensed" w:cs="Barlow Semi Condensed" w:eastAsia="Barlow Semi Condensed" w:hAnsi="Barlow Semi Condensed"/>
          <w:b/>
          <w:bCs/>
          <w:sz w:val="24"/>
          <w:szCs w:val="24"/>
        </w:rPr>
        <w:t xml:space="preserve">8 · La stringa Harry nel corpus.</w:t>
      </w:r>
      <w:r>
        <w:rPr>
          <w:rFonts w:ascii="Barlow Semi Condensed" w:cs="Barlow Semi Condensed" w:eastAsia="Barlow Semi Condensed" w:hAnsi="Barlow Semi Condensed"/>
          <w:sz w:val="24"/>
          <w:szCs w:val="24"/>
        </w:rPr>
        <w:t xml:space="preserve"> Verifica meccanica, eseguita. La stringa «Harry» compare una sola volta nel branch pubblico, e non riguarda il soggetto di quest'opera: è il ricercatore Harry Cason, citato nella ricognizione portoghese a proposito di un contenzioso FOIA del 2009-2011, e l'occorrenza si ripete solo nell'edizione rilegata dello stesso testo. La stringa «Heinz» compare una volta, in un riferimento bibliografico di tutt'altro dominio.</w:t>
      </w:r>
    </w:p>
    <w:p>
      <w:pPr>
        <w:spacing w:after="120" w:line="276"/>
        <w:jc w:val="both"/>
      </w:pPr>
      <w:r>
        <w:rPr>
          <w:rFonts w:ascii="Barlow Semi Condensed" w:cs="Barlow Semi Condensed" w:eastAsia="Barlow Semi Condensed" w:hAnsi="Barlow Semi Condensed"/>
          <w:b/>
          <w:bCs/>
          <w:sz w:val="24"/>
          <w:szCs w:val="24"/>
        </w:rPr>
        <w:t xml:space="preserve">9 · Perché il falso positivo è peggio del vuoto.</w:t>
      </w:r>
      <w:r>
        <w:rPr>
          <w:rFonts w:ascii="Barlow Semi Condensed" w:cs="Barlow Semi Condensed" w:eastAsia="Barlow Semi Condensed" w:hAnsi="Barlow Semi Condensed"/>
          <w:sz w:val="24"/>
          <w:szCs w:val="24"/>
        </w:rPr>
        <w:t xml:space="preserve"> Uno Stato Zero è un'acquisizione; un falso positivo è un danno. Se la ricerca fosse partita da «Harry», il corpus avrebbe restituito un riscontro — un nome reale, in un documento reale, del tutto estraneo — e un lettore frettoloso ne avrebbe avuto la sensazione della conferma. La regola che ne discende vale per l'intera opera: prima di interrogare l'archivio si verifica la stringa, perché l'archivio risponde a ciò che gli si chiede.</w:t>
      </w:r>
    </w:p>
    <w:p>
      <w:pPr>
        <w:spacing w:after="120" w:line="276"/>
        <w:jc w:val="both"/>
      </w:pPr>
      <w:r>
        <w:rPr>
          <w:rFonts w:ascii="Barlow Semi Condensed" w:cs="Barlow Semi Condensed" w:eastAsia="Barlow Semi Condensed" w:hAnsi="Barlow Semi Condensed"/>
          <w:b/>
          <w:bCs/>
          <w:sz w:val="24"/>
          <w:szCs w:val="24"/>
        </w:rPr>
        <w:t xml:space="preserve">10 · La correzione per nota come istituto.</w:t>
      </w:r>
      <w:r>
        <w:rPr>
          <w:rFonts w:ascii="Barlow Semi Condensed" w:cs="Barlow Semi Condensed" w:eastAsia="Barlow Semi Condensed" w:hAnsi="Barlow Semi Condensed"/>
          <w:sz w:val="24"/>
          <w:szCs w:val="24"/>
        </w:rPr>
        <w:t xml:space="preserve"> Il corpus corregge annotando e non riscrivendo. La Nota di revisione n. 1 lo dimostra: la matrice ACH su via Fani resta nella forma originaria, con la nota che ne dichiara superata una riga dopo che l'ingegner Marini ritrattò davanti ai consulenti la circostanza del parabrezza. Il testo sbagliato non si cancella. Chi cancella l'errore cancella anche la prova di averlo commesso, e con essa la verificabilità del proprio metodo.</w:t>
      </w:r>
    </w:p>
    <w:p>
      <w:pPr>
        <w:spacing w:after="120" w:line="276"/>
        <w:jc w:val="both"/>
      </w:pPr>
      <w:r>
        <w:rPr>
          <w:rFonts w:ascii="Barlow Semi Condensed" w:cs="Barlow Semi Condensed" w:eastAsia="Barlow Semi Condensed" w:hAnsi="Barlow Semi Condensed"/>
          <w:b/>
          <w:bCs/>
          <w:sz w:val="24"/>
          <w:szCs w:val="24"/>
        </w:rPr>
        <w:t xml:space="preserve">11 · Il registro delle correzioni di serie.</w:t>
      </w:r>
      <w:r>
        <w:rPr>
          <w:rFonts w:ascii="Barlow Semi Condensed" w:cs="Barlow Semi Condensed" w:eastAsia="Barlow Semi Condensed" w:hAnsi="Barlow Semi Condensed"/>
          <w:sz w:val="24"/>
          <w:szCs w:val="24"/>
        </w:rPr>
        <w:t xml:space="preserve"> Ogni serie di quest'opera apre e mantiene il proprio registro delle correzioni: che cosa è stato scritto, che cosa emendato, su quale documento, in quale data. La prima voce del registro è quella di apertura, «Harry» per «Henry», e vi resta. Il registro non è un atto di modestia: è lo strumento che consente a un lettore esterno di misurare il tasso di errore dell'opera invece di doverlo supporre.</w:t>
      </w:r>
    </w:p>
    <w:p>
      <w:pPr>
        <w:spacing w:after="120" w:line="276"/>
        <w:jc w:val="both"/>
      </w:pPr>
      <w:r>
        <w:rPr>
          <w:rFonts w:ascii="Barlow Semi Condensed" w:cs="Barlow Semi Condensed" w:eastAsia="Barlow Semi Condensed" w:hAnsi="Barlow Semi Condensed"/>
          <w:b/>
          <w:bCs/>
          <w:sz w:val="24"/>
          <w:szCs w:val="24"/>
        </w:rPr>
        <w:t xml:space="preserve">12 · Una lente si dichiara, non si dimostra.</w:t>
      </w:r>
      <w:r>
        <w:rPr>
          <w:rFonts w:ascii="Barlow Semi Condensed" w:cs="Barlow Semi Condensed" w:eastAsia="Barlow Semi Condensed" w:hAnsi="Barlow Semi Condensed"/>
          <w:sz w:val="24"/>
          <w:szCs w:val="24"/>
        </w:rPr>
        <w:t xml:space="preserve"> «Kissinger rappresenta metaforicamente la genetica» è una chiave dichiarata dal committente. Non è una proposizione sul mondo e non ha valore di verità: non si dimostra e non si confuta. Si dichiara, si usa, si giudica dalla resa. Il corpus ha già trattato così la propria formula maggiore, «una guerra senza fine», tenuta esplicitamente per lente e non per fatto acquisito. La lente entra nell'opera come strumento, mai come premessa.</w:t>
      </w:r>
    </w:p>
    <w:p>
      <w:pPr>
        <w:spacing w:after="120" w:line="276"/>
        <w:jc w:val="both"/>
      </w:pPr>
      <w:r>
        <w:rPr>
          <w:rFonts w:ascii="Barlow Semi Condensed" w:cs="Barlow Semi Condensed" w:eastAsia="Barlow Semi Condensed" w:hAnsi="Barlow Semi Condensed"/>
          <w:b/>
          <w:bCs/>
          <w:sz w:val="24"/>
          <w:szCs w:val="24"/>
        </w:rPr>
        <w:t xml:space="preserve">13 · Come si giudica una lente.</w:t>
      </w:r>
      <w:r>
        <w:rPr>
          <w:rFonts w:ascii="Barlow Semi Condensed" w:cs="Barlow Semi Condensed" w:eastAsia="Barlow Semi Condensed" w:hAnsi="Barlow Semi Condensed"/>
          <w:sz w:val="24"/>
          <w:szCs w:val="24"/>
        </w:rPr>
        <w:t xml:space="preserve"> Una lente non è vera o falsa: è feconda o sterile. Il criterio è unico e verificabile — produce quesiti d'archivio che senza di essa non sarebbero stati formulati? Se sì, si tiene. Se genera soltanto immagini eleganti su fatti già noti, è ornamento e va deposta. Ogni serie dovrà rispondere di quanti bersagli documentali nuovi la metafora le ha fatto scrivere, e il conto sarà fatto in chiusura.</w:t>
      </w:r>
    </w:p>
    <w:p>
      <w:pPr>
        <w:spacing w:after="120" w:line="276"/>
        <w:jc w:val="both"/>
      </w:pPr>
      <w:r>
        <w:rPr>
          <w:rFonts w:ascii="Barlow Semi Condensed" w:cs="Barlow Semi Condensed" w:eastAsia="Barlow Semi Condensed" w:hAnsi="Barlow Semi Condensed"/>
          <w:b/>
          <w:bCs/>
          <w:sz w:val="24"/>
          <w:szCs w:val="24"/>
        </w:rPr>
        <w:t xml:space="preserve">14 · Il criterio di dismissione della lente.</w:t>
      </w:r>
      <w:r>
        <w:rPr>
          <w:rFonts w:ascii="Barlow Semi Condensed" w:cs="Barlow Semi Condensed" w:eastAsia="Barlow Semi Condensed" w:hAnsi="Barlow Semi Condensed"/>
          <w:sz w:val="24"/>
          <w:szCs w:val="24"/>
        </w:rPr>
        <w:t xml:space="preserve"> Si stabilisce qui la condizione alla quale la lente si abbandona: se in una serie la metafora costringe il testo a un'affermazione che la documentazione non regge, cede la metafora e non la documentazione. La lente è subordinata alla prova, mai il contrario. È l'applicazione della disciplina del grado a uno strumento retorico, e serve a impedire che l'architettura del pensiero diventi vincolo del pensiero.</w:t>
      </w:r>
    </w:p>
    <w:p>
      <w:pPr>
        <w:spacing w:after="120" w:line="276"/>
        <w:jc w:val="both"/>
      </w:pPr>
      <w:r>
        <w:rPr>
          <w:rFonts w:ascii="Barlow Semi Condensed" w:cs="Barlow Semi Condensed" w:eastAsia="Barlow Semi Condensed" w:hAnsi="Barlow Semi Condensed"/>
          <w:b/>
          <w:bCs/>
          <w:sz w:val="24"/>
          <w:szCs w:val="24"/>
        </w:rPr>
        <w:t xml:space="preserve">15 · L'immunizzazione, e come si riconosce.</w:t>
      </w:r>
      <w:r>
        <w:rPr>
          <w:rFonts w:ascii="Barlow Semi Condensed" w:cs="Barlow Semi Condensed" w:eastAsia="Barlow Semi Condensed" w:hAnsi="Barlow Semi Condensed"/>
          <w:sz w:val="24"/>
          <w:szCs w:val="24"/>
        </w:rPr>
        <w:t xml:space="preserve"> Il capitolo secondo dell'opera-madre chiama immunizzazione il vizio dell'ipotesi che spiega qualunque evidenza e che nessuna evidenza smentisce. Una metafora onnivora è immunizzante per costruzione: l'espressione differenziale spiega perché un tratto compare, il silenziamento spiega perché non compare. Quando la lente comincia a spiegare anche il proprio contrario ha smesso di essere uno strumento, e il blocco che se ne accorge deve dirlo e fermarla.</w:t>
      </w:r>
    </w:p>
    <w:p>
      <w:pPr>
        <w:spacing w:after="120" w:line="276"/>
        <w:jc w:val="both"/>
      </w:pPr>
      <w:r>
        <w:rPr>
          <w:rFonts w:ascii="Barlow Semi Condensed" w:cs="Barlow Semi Condensed" w:eastAsia="Barlow Semi Condensed" w:hAnsi="Barlow Semi Condensed"/>
          <w:b/>
          <w:bCs/>
          <w:sz w:val="24"/>
          <w:szCs w:val="24"/>
        </w:rPr>
        <w:t xml:space="preserve">16 · Ornamento contro architettura.</w:t>
      </w:r>
      <w:r>
        <w:rPr>
          <w:rFonts w:ascii="Barlow Semi Condensed" w:cs="Barlow Semi Condensed" w:eastAsia="Barlow Semi Condensed" w:hAnsi="Barlow Semi Condensed"/>
          <w:sz w:val="24"/>
          <w:szCs w:val="24"/>
        </w:rPr>
        <w:t xml:space="preserve"> La differenza fra metafora ornamentale e metafora architettonica è operativa. L'ornamento riformula in linguaggio biologico ciò che era già stato stabilito in linguaggio storiografico, e non aggiunge nulla. L'architettura genera una domanda che il vocabolario ordinario non aveva prodotto — per esempio se un legame documentato sia omologo o analogo — e la porta in archivio. Quest'opera si impegna alla seconda e si vieta la prima.</w:t>
      </w:r>
    </w:p>
    <w:p>
      <w:pPr>
        <w:spacing w:after="120" w:line="276"/>
        <w:jc w:val="both"/>
      </w:pPr>
      <w:r>
        <w:rPr>
          <w:rFonts w:ascii="Barlow Semi Condensed" w:cs="Barlow Semi Condensed" w:eastAsia="Barlow Semi Condensed" w:hAnsi="Barlow Semi Condensed"/>
          <w:b/>
          <w:bCs/>
          <w:sz w:val="24"/>
          <w:szCs w:val="24"/>
        </w:rPr>
        <w:t xml:space="preserve">17 · Che cosa la genetica autorizza a chiedere.</w:t>
      </w:r>
      <w:r>
        <w:rPr>
          <w:rFonts w:ascii="Barlow Semi Condensed" w:cs="Barlow Semi Condensed" w:eastAsia="Barlow Semi Condensed" w:hAnsi="Barlow Semi Condensed"/>
          <w:sz w:val="24"/>
          <w:szCs w:val="24"/>
        </w:rPr>
        <w:t xml:space="preserve"> La lente autorizza tre domande, e sono le sole. Che cosa si trasmette, e per quale canale documentato. Che cosa varia nella trasmissione, e in che punto la copia diverge dall'originale. Quale ambiente rende un tratto espresso oppure silente. Sono tre domande che si rivolgono a documenti e ricevono risposte d'archivio; ogni altra domanda posta in nome della metafora è fuori mandato e va respinta come tale.</w:t>
      </w:r>
    </w:p>
    <w:p>
      <w:pPr>
        <w:spacing w:after="120" w:line="276"/>
        <w:jc w:val="both"/>
      </w:pPr>
      <w:r>
        <w:rPr>
          <w:rFonts w:ascii="Barlow Semi Condensed" w:cs="Barlow Semi Condensed" w:eastAsia="Barlow Semi Condensed" w:hAnsi="Barlow Semi Condensed"/>
          <w:b/>
          <w:bCs/>
          <w:sz w:val="24"/>
          <w:szCs w:val="24"/>
        </w:rPr>
        <w:t xml:space="preserve">18 · Che cosa la genetica vieta.</w:t>
      </w:r>
      <w:r>
        <w:rPr>
          <w:rFonts w:ascii="Barlow Semi Condensed" w:cs="Barlow Semi Condensed" w:eastAsia="Barlow Semi Condensed" w:hAnsi="Barlow Semi Condensed"/>
          <w:sz w:val="24"/>
          <w:szCs w:val="24"/>
        </w:rPr>
        <w:t xml:space="preserve"> La lente vieta due cose, e il divieto è assoluto. Vieta il determinismo: da una dottrina, da una scuola o da un incarico non discende una condotta. Vieta la colpa ereditaria: nessuno risponde di ciò che un predecessore, un maestro o un apparato abbia fatto. Il secondo divieto ha in Italia rango costituzionale, poiché la responsabilità penale è personale, e nell'opera precede ogni altra regola di lettura.</w:t>
      </w:r>
    </w:p>
    <w:p>
      <w:pPr>
        <w:spacing w:after="120" w:line="276"/>
        <w:jc w:val="both"/>
      </w:pPr>
      <w:r>
        <w:rPr>
          <w:rFonts w:ascii="Barlow Semi Condensed" w:cs="Barlow Semi Condensed" w:eastAsia="Barlow Semi Condensed" w:hAnsi="Barlow Semi Condensed"/>
          <w:b/>
          <w:bCs/>
          <w:sz w:val="24"/>
          <w:szCs w:val="24"/>
        </w:rPr>
        <w:t xml:space="preserve">19 · Il passato tossico della metafora biologica.</w:t>
      </w:r>
      <w:r>
        <w:rPr>
          <w:rFonts w:ascii="Barlow Semi Condensed" w:cs="Barlow Semi Condensed" w:eastAsia="Barlow Semi Condensed" w:hAnsi="Barlow Semi Condensed"/>
          <w:sz w:val="24"/>
          <w:szCs w:val="24"/>
        </w:rPr>
        <w:t xml:space="preserve"> Va nominato prima di usarla. Il lessico biologico applicato alle società ha una storia documentata di abusi — organicismo, degenerazione, purezza dei ceppi — che non è un incidente del linguaggio ma la sua deriva naturale quando si passa dagli individui alle collettività. La metafora si adotta qui sapendolo, con il vincolo che ne discende: si applica a documenti e a legami, mai a popoli, a stirpi o a comunità.</w:t>
      </w:r>
    </w:p>
    <w:p>
      <w:pPr>
        <w:spacing w:after="120" w:line="276"/>
        <w:jc w:val="both"/>
      </w:pPr>
      <w:r>
        <w:rPr>
          <w:rFonts w:ascii="Barlow Semi Condensed" w:cs="Barlow Semi Condensed" w:eastAsia="Barlow Semi Condensed" w:hAnsi="Barlow Semi Condensed"/>
          <w:b/>
          <w:bCs/>
          <w:sz w:val="24"/>
          <w:szCs w:val="24"/>
        </w:rPr>
        <w:t xml:space="preserve">20 · Il rischio specifico in storiografia.</w:t>
      </w:r>
      <w:r>
        <w:rPr>
          <w:rFonts w:ascii="Barlow Semi Condensed" w:cs="Barlow Semi Condensed" w:eastAsia="Barlow Semi Condensed" w:hAnsi="Barlow Semi Condensed"/>
          <w:sz w:val="24"/>
          <w:szCs w:val="24"/>
        </w:rPr>
        <w:t xml:space="preserve"> Il rischio proprio della metafora biologica nella ricerca storica è la naturalizzazione: fatti prodotti da decisioni umane, revocabili e imputabili, appaiono processi organici che accadono da sé. Una politica diventa un tratto, una decisione un'espressione, una responsabilità una predisposizione. È l'esatto contrario di ciò che serve al caso Moro, dove il punto è distinguere chi decise da chi si trovò presente. Ogni blocco dovrà resistere a questa attrazione.</w:t>
      </w:r>
    </w:p>
    <w:p>
      <w:pPr>
        <w:spacing w:after="120" w:line="276"/>
        <w:jc w:val="both"/>
      </w:pPr>
      <w:r>
        <w:rPr>
          <w:rFonts w:ascii="Barlow Semi Condensed" w:cs="Barlow Semi Condensed" w:eastAsia="Barlow Semi Condensed" w:hAnsi="Barlow Semi Condensed"/>
          <w:b/>
          <w:bCs/>
          <w:sz w:val="24"/>
          <w:szCs w:val="24"/>
        </w:rPr>
        <w:t xml:space="preserve">21 · Genotipo e fenotipo, tradotti.</w:t>
      </w:r>
      <w:r>
        <w:rPr>
          <w:rFonts w:ascii="Barlow Semi Condensed" w:cs="Barlow Semi Condensed" w:eastAsia="Barlow Semi Condensed" w:hAnsi="Barlow Semi Condensed"/>
          <w:sz w:val="24"/>
          <w:szCs w:val="24"/>
        </w:rPr>
        <w:t xml:space="preserve"> Nel corpus il genotipo è il documento: ciò che l'archivio conserva, con protocollo e segnatura. Il fenotipo è ciò che di quel documento si vede in pubblico — la citazione, la sintesi giornalistica, la memoria collettiva. Il fenotipo è sempre più abbondante del genotipo e non lo determina. La regola operativa è che si risale sempre al genotipo e che una discordanza fra i due si registra come divergenza, non si risolve in silenzio.</w:t>
      </w:r>
    </w:p>
    <w:p>
      <w:pPr>
        <w:spacing w:after="120" w:line="276"/>
        <w:jc w:val="both"/>
      </w:pPr>
      <w:r>
        <w:rPr>
          <w:rFonts w:ascii="Barlow Semi Condensed" w:cs="Barlow Semi Condensed" w:eastAsia="Barlow Semi Condensed" w:hAnsi="Barlow Semi Condensed"/>
          <w:b/>
          <w:bCs/>
          <w:sz w:val="24"/>
          <w:szCs w:val="24"/>
        </w:rPr>
        <w:t xml:space="preserve">22 · Omologia contro analogia.</w:t>
      </w:r>
      <w:r>
        <w:rPr>
          <w:rFonts w:ascii="Barlow Semi Condensed" w:cs="Barlow Semi Condensed" w:eastAsia="Barlow Semi Condensed" w:hAnsi="Barlow Semi Condensed"/>
          <w:sz w:val="24"/>
          <w:szCs w:val="24"/>
        </w:rPr>
        <w:t xml:space="preserve"> È la distinzione più utile che la lente consegna, e coincide con la regola dei tre piani. Omologia è somiglianza per discendenza comune documentata, cioè il piano 1, il rapporto diretto provato. Analogia è somiglianza per funzione, prodotta da pressioni simili su linee indipendenti, cioè il piano 2, la convergenza strutturale entro la stessa cornice. Confondere le due è, in biologia come qui, l'errore che genera alberi falsi.</w:t>
      </w:r>
    </w:p>
    <w:p>
      <w:pPr>
        <w:spacing w:after="120" w:line="276"/>
        <w:jc w:val="both"/>
      </w:pPr>
      <w:r>
        <w:rPr>
          <w:rFonts w:ascii="Barlow Semi Condensed" w:cs="Barlow Semi Condensed" w:eastAsia="Barlow Semi Condensed" w:hAnsi="Barlow Semi Condensed"/>
          <w:b/>
          <w:bCs/>
          <w:sz w:val="24"/>
          <w:szCs w:val="24"/>
        </w:rPr>
        <w:t xml:space="preserve">23 · L'analogia non si promuove mai.</w:t>
      </w:r>
      <w:r>
        <w:rPr>
          <w:rFonts w:ascii="Barlow Semi Condensed" w:cs="Barlow Semi Condensed" w:eastAsia="Barlow Semi Condensed" w:hAnsi="Barlow Semi Condensed"/>
          <w:sz w:val="24"/>
          <w:szCs w:val="24"/>
        </w:rPr>
        <w:t xml:space="preserve"> In sistematica un carattere analogo non diventa omologo per accumulo: cento analogie non fanno una discendenza. Nel corpus vale identico, e nessun numero di convergenze di piano 2 produce un nesso di piano 1. La promozione avviene solo per documento, e il documento è di genere diverso dalle convergenze che pretende di sostituire. Chi somma somiglianze non sta rafforzando una prova: sta costruendo una filogenesi immaginaria.</w:t>
      </w:r>
    </w:p>
    <w:p>
      <w:pPr>
        <w:spacing w:after="120" w:line="276"/>
        <w:jc w:val="both"/>
      </w:pPr>
      <w:r>
        <w:rPr>
          <w:rFonts w:ascii="Barlow Semi Condensed" w:cs="Barlow Semi Condensed" w:eastAsia="Barlow Semi Condensed" w:hAnsi="Barlow Semi Condensed"/>
          <w:b/>
          <w:bCs/>
          <w:sz w:val="24"/>
          <w:szCs w:val="24"/>
        </w:rPr>
        <w:t xml:space="preserve">24 · Il piano terzo e la fonte terziaria.</w:t>
      </w:r>
      <w:r>
        <w:rPr>
          <w:rFonts w:ascii="Barlow Semi Condensed" w:cs="Barlow Semi Condensed" w:eastAsia="Barlow Semi Condensed" w:hAnsi="Barlow Semi Condensed"/>
          <w:sz w:val="24"/>
          <w:szCs w:val="24"/>
        </w:rPr>
        <w:t xml:space="preserve"> Il piano 3 è l'affermazione priva di riscontro, che circola perché è stata ripetuta. Nella metafora corrisponde alla copia di una copia il cui originale non è più reperibile. Si registra come tale — la sua esistenza è un fatto sulla circolazione, non sul mondo — e non si usa mai come anello di un cammino. Il corpus vieta inoltre due sedi determinate come fonti: il quotidiano il manifesto e l'enciclopedia Grokipedia.</w:t>
      </w:r>
    </w:p>
    <w:p>
      <w:pPr>
        <w:spacing w:after="120" w:line="276"/>
        <w:jc w:val="both"/>
      </w:pPr>
      <w:r>
        <w:rPr>
          <w:rFonts w:ascii="Barlow Semi Condensed" w:cs="Barlow Semi Condensed" w:eastAsia="Barlow Semi Condensed" w:hAnsi="Barlow Semi Condensed"/>
          <w:b/>
          <w:bCs/>
          <w:sz w:val="24"/>
          <w:szCs w:val="24"/>
        </w:rPr>
        <w:t xml:space="preserve">25 · Replicazione e tasso d'errore.</w:t>
      </w:r>
      <w:r>
        <w:rPr>
          <w:rFonts w:ascii="Barlow Semi Condensed" w:cs="Barlow Semi Condensed" w:eastAsia="Barlow Semi Condensed" w:hAnsi="Barlow Semi Condensed"/>
          <w:sz w:val="24"/>
          <w:szCs w:val="24"/>
        </w:rPr>
        <w:t xml:space="preserve"> Ogni copia introduce errore, e la storiografia ne è fatta: verbali trascritti, telegrammi cifrati e decifrati, riconoscimenti ottici, traduzioni, citazioni di seconda mano. Il corpus conserva l'OCR grezzo dei documenti del Dipartimento di Stato accanto alla trascrizione ordinata proprio per questa ragione. La regola è che la catena di copia si dichiara sempre, perché un'affermazione vale quanto il numero di passaggi che la separa dal documento.</w:t>
      </w:r>
    </w:p>
    <w:p>
      <w:pPr>
        <w:spacing w:after="120" w:line="276"/>
        <w:jc w:val="both"/>
      </w:pPr>
      <w:r>
        <w:rPr>
          <w:rFonts w:ascii="Barlow Semi Condensed" w:cs="Barlow Semi Condensed" w:eastAsia="Barlow Semi Condensed" w:hAnsi="Barlow Semi Condensed"/>
          <w:b/>
          <w:bCs/>
          <w:sz w:val="24"/>
          <w:szCs w:val="24"/>
        </w:rPr>
        <w:t xml:space="preserve">26 · L'espressione differenziale secondo l'ambiente.</w:t>
      </w:r>
      <w:r>
        <w:rPr>
          <w:rFonts w:ascii="Barlow Semi Condensed" w:cs="Barlow Semi Condensed" w:eastAsia="Barlow Semi Condensed" w:hAnsi="Barlow Semi Condensed"/>
          <w:sz w:val="24"/>
          <w:szCs w:val="24"/>
        </w:rPr>
        <w:t xml:space="preserve"> Lo stesso orientamento produce atti diversi in ambienti diversi, e il corpus ne ha esempi datati. Nel marzo 1969 il Comitato dei 303 conviene all'unanimità che non vi sia «real justification for resumption of covert funding»; nel novembre 1975 e nel luglio 1976 il programma di azione coperta in Italia riemerge. Stesso apparato, esiti opposti. La domanda che la lente autorizza è quale variabile d'ambiente sia cambiata, e la risposta si cerca in archivio.</w:t>
      </w:r>
    </w:p>
    <w:p>
      <w:pPr>
        <w:spacing w:after="120" w:line="276"/>
        <w:jc w:val="both"/>
      </w:pPr>
      <w:r>
        <w:rPr>
          <w:rFonts w:ascii="Barlow Semi Condensed" w:cs="Barlow Semi Condensed" w:eastAsia="Barlow Semi Condensed" w:hAnsi="Barlow Semi Condensed"/>
          <w:b/>
          <w:bCs/>
          <w:sz w:val="24"/>
          <w:szCs w:val="24"/>
        </w:rPr>
        <w:t xml:space="preserve">27 · Epigenetica: accendere senza riscrivere.</w:t>
      </w:r>
      <w:r>
        <w:rPr>
          <w:rFonts w:ascii="Barlow Semi Condensed" w:cs="Barlow Semi Condensed" w:eastAsia="Barlow Semi Condensed" w:hAnsi="Barlow Semi Condensed"/>
          <w:sz w:val="24"/>
          <w:szCs w:val="24"/>
        </w:rPr>
        <w:t xml:space="preserve"> L'epigenetica descrive tratti attivati o silenziati senza mutamento del codice. È la figura giusta per una prassi che cambia mentre la norma resta ferma: nessuna direttiva nuova, un'attuazione diversa. Nel corpus corrisponde ai casi in cui l'atto formale tace e la condotta parla, e impone la cautela speculare — dall'assenza di norma non si inferisce condotta, e dalla condotta non si inferisce una norma occulta.</w:t>
      </w:r>
    </w:p>
    <w:p>
      <w:pPr>
        <w:spacing w:after="120" w:line="276"/>
        <w:jc w:val="both"/>
      </w:pPr>
      <w:r>
        <w:rPr>
          <w:rFonts w:ascii="Barlow Semi Condensed" w:cs="Barlow Semi Condensed" w:eastAsia="Barlow Semi Condensed" w:hAnsi="Barlow Semi Condensed"/>
          <w:b/>
          <w:bCs/>
          <w:sz w:val="24"/>
          <w:szCs w:val="24"/>
        </w:rPr>
        <w:t xml:space="preserve">28 · Il DNA non codificante.</w:t>
      </w:r>
      <w:r>
        <w:rPr>
          <w:rFonts w:ascii="Barlow Semi Condensed" w:cs="Barlow Semi Condensed" w:eastAsia="Barlow Semi Condensed" w:hAnsi="Barlow Semi Condensed"/>
          <w:sz w:val="24"/>
          <w:szCs w:val="24"/>
        </w:rPr>
        <w:t xml:space="preserve"> Gran parte di un archivio non esprime nulla: protocolli di trasmissione, note di cortesia, ordini del giorno, elenchi di presenze. La biologia ha imparato tardi che il non codificante non è scarto e svolge funzioni regolative. La traduzione operativa è duplice: non si getta il materiale muto, perché documenta la struttura; e non lo si legge come se parlasse, perché la maggior parte davvero non dice nulla.</w:t>
      </w:r>
    </w:p>
    <w:p>
      <w:pPr>
        <w:spacing w:after="120" w:line="276"/>
        <w:jc w:val="both"/>
      </w:pPr>
      <w:r>
        <w:rPr>
          <w:rFonts w:ascii="Barlow Semi Condensed" w:cs="Barlow Semi Condensed" w:eastAsia="Barlow Semi Condensed" w:hAnsi="Barlow Semi Condensed"/>
          <w:b/>
          <w:bCs/>
          <w:sz w:val="24"/>
          <w:szCs w:val="24"/>
        </w:rPr>
        <w:t xml:space="preserve">29 · Filogenesi e lettura all'indietro.</w:t>
      </w:r>
      <w:r>
        <w:rPr>
          <w:rFonts w:ascii="Barlow Semi Condensed" w:cs="Barlow Semi Condensed" w:eastAsia="Barlow Semi Condensed" w:hAnsi="Barlow Semi Condensed"/>
          <w:sz w:val="24"/>
          <w:szCs w:val="24"/>
        </w:rPr>
        <w:t xml:space="preserve"> Un albero filogenetico si costruisce dai caratteri e si legge dalle radici verso le foglie. L'errore ricorrente è leggerlo al contrario: partire dall'esito noto e ricostruire una discendenza che lo giustifichi. È la forma tecnica della dietrologia. Il corpus lo ha già enunciato nel proprio lessico — la contemporaneità non è prova di nesso — e la lente non aggiunge un divieto nuovo: gli dà una figura più difficile da dimenticare.</w:t>
      </w:r>
    </w:p>
    <w:p>
      <w:pPr>
        <w:spacing w:after="120" w:line="276"/>
        <w:jc w:val="both"/>
      </w:pPr>
      <w:r>
        <w:rPr>
          <w:rFonts w:ascii="Barlow Semi Condensed" w:cs="Barlow Semi Condensed" w:eastAsia="Barlow Semi Condensed" w:hAnsi="Barlow Semi Condensed"/>
          <w:b/>
          <w:bCs/>
          <w:sz w:val="24"/>
          <w:szCs w:val="24"/>
        </w:rPr>
        <w:t xml:space="preserve">30 · La deriva, e perché conta.</w:t>
      </w:r>
      <w:r>
        <w:rPr>
          <w:rFonts w:ascii="Barlow Semi Condensed" w:cs="Barlow Semi Condensed" w:eastAsia="Barlow Semi Condensed" w:hAnsi="Barlow Semi Condensed"/>
          <w:sz w:val="24"/>
          <w:szCs w:val="24"/>
        </w:rPr>
        <w:t xml:space="preserve"> In popolazioni piccole la frequenza di un tratto cambia per caso, senza alcuna selezione. È la figura che manca alla pubblicistica del caso: la coincidenza strutturale, l'incontro che avviene perché il numero degli attori è ridotto e non perché qualcuno lo abbia disposto. Negli ambienti diplomatici e politici degli anni Settanta il campione era piccolo. Prima di leggere una prossimità come segno si valuti che cosa la casualità produrrebbe da sola.</w:t>
      </w:r>
    </w:p>
    <w:p>
      <w:pPr>
        <w:spacing w:after="120" w:line="276"/>
        <w:jc w:val="both"/>
      </w:pPr>
      <w:r>
        <w:rPr>
          <w:rFonts w:ascii="Barlow Semi Condensed" w:cs="Barlow Semi Condensed" w:eastAsia="Barlow Semi Condensed" w:hAnsi="Barlow Semi Condensed"/>
          <w:b/>
          <w:bCs/>
          <w:sz w:val="24"/>
          <w:szCs w:val="24"/>
        </w:rPr>
        <w:t xml:space="preserve">31 · Il vettore e il messaggio.</w:t>
      </w:r>
      <w:r>
        <w:rPr>
          <w:rFonts w:ascii="Barlow Semi Condensed" w:cs="Barlow Semi Condensed" w:eastAsia="Barlow Semi Condensed" w:hAnsi="Barlow Semi Condensed"/>
          <w:sz w:val="24"/>
          <w:szCs w:val="24"/>
        </w:rPr>
        <w:t xml:space="preserve"> Il corpus possiede già un vettore documentato: Giangiacomo Feltrinelli, che trasmise l'immagine di Guevara scattata da Korda e il Diario boliviano, e il cui trasmettere cambiò la natura di ciò che trasmetteva. La lente lo rende preciso. Un vettore non è un mandante, è un canale, e ciò che passa in un canale viene alterato dal passaggio. Un'eredità che degenera non è una catena di comando, ed è tutto ciò che il corpus ha stabilito.</w:t>
      </w:r>
    </w:p>
    <w:p>
      <w:pPr>
        <w:spacing w:after="120" w:line="276"/>
        <w:jc w:val="both"/>
      </w:pPr>
      <w:r>
        <w:rPr>
          <w:rFonts w:ascii="Barlow Semi Condensed" w:cs="Barlow Semi Condensed" w:eastAsia="Barlow Semi Condensed" w:hAnsi="Barlow Semi Condensed"/>
          <w:b/>
          <w:bCs/>
          <w:sz w:val="24"/>
          <w:szCs w:val="24"/>
        </w:rPr>
        <w:t xml:space="preserve">32 · Il nodo non è la persona.</w:t>
      </w:r>
      <w:r>
        <w:rPr>
          <w:rFonts w:ascii="Barlow Semi Condensed" w:cs="Barlow Semi Condensed" w:eastAsia="Barlow Semi Condensed" w:hAnsi="Barlow Semi Condensed"/>
          <w:sz w:val="24"/>
          <w:szCs w:val="24"/>
        </w:rPr>
        <w:t xml:space="preserve"> Un nodo è un punto di una rete costruita su archi documentati; una persona è un soggetto di diritto. Il nodo si misura, si connette, si colloca; la persona si giudica, e solo in tribunale. Quando quest'opera scrive «Kissinger» dentro una figura di rete nomina un nodo documentale, cioè l'insieme dei documenti in cui quel nome ricorre, e non emette alcun enunciato sull'uomo. La distinzione va ripetuta ogni volta che la figura torna.</w:t>
      </w:r>
    </w:p>
    <w:p>
      <w:pPr>
        <w:spacing w:after="120" w:line="276"/>
        <w:jc w:val="both"/>
      </w:pPr>
      <w:r>
        <w:rPr>
          <w:rFonts w:ascii="Barlow Semi Condensed" w:cs="Barlow Semi Condensed" w:eastAsia="Barlow Semi Condensed" w:hAnsi="Barlow Semi Condensed"/>
          <w:b/>
          <w:bCs/>
          <w:sz w:val="24"/>
          <w:szCs w:val="24"/>
        </w:rPr>
        <w:t xml:space="preserve">33 · L'avvertenza che precede l'intera opera.</w:t>
      </w:r>
      <w:r>
        <w:rPr>
          <w:rFonts w:ascii="Barlow Semi Condensed" w:cs="Barlow Semi Condensed" w:eastAsia="Barlow Semi Condensed" w:hAnsi="Barlow Semi Condensed"/>
          <w:sz w:val="24"/>
          <w:szCs w:val="24"/>
        </w:rPr>
        <w:t xml:space="preserve"> Henry Alfred Kissinger non è stato condannato in alcun processo. Nessun blocco di quest'opera, in nessuna delle mille unità previste, lo indica come responsabile di reato, e nessuno potrà essere citato in quel senso. La regola non vale per lui in quanto tale: vale per chiunque, ed è la disciplina che il corpus applica dal primo capitolo — nessuna persona è indicata come responsabile oltre il giudicato definitivo.</w:t>
      </w:r>
    </w:p>
    <w:p>
      <w:pPr>
        <w:spacing w:after="120" w:line="276"/>
        <w:jc w:val="both"/>
      </w:pPr>
      <w:r>
        <w:rPr>
          <w:rFonts w:ascii="Barlow Semi Condensed" w:cs="Barlow Semi Condensed" w:eastAsia="Barlow Semi Condensed" w:hAnsi="Barlow Semi Condensed"/>
          <w:b/>
          <w:bCs/>
          <w:sz w:val="24"/>
          <w:szCs w:val="24"/>
        </w:rPr>
        <w:t xml:space="preserve">34 · Responsabilità politica e responsabilità penale.</w:t>
      </w:r>
      <w:r>
        <w:rPr>
          <w:rFonts w:ascii="Barlow Semi Condensed" w:cs="Barlow Semi Condensed" w:eastAsia="Barlow Semi Condensed" w:hAnsi="Barlow Semi Condensed"/>
          <w:sz w:val="24"/>
          <w:szCs w:val="24"/>
        </w:rPr>
        <w:t xml:space="preserve"> Il corpus registra come documentata la responsabilità primaria di apparati statunitensi nella caduta di Salvador Allende l'11 settembre 1973, sotto la supervisione del Segretario di Stato. È un enunciato storico-politico su un apparato, di grado A come contesto. Non è, e non può diventare, un accertamento di responsabilità penale personale. Le due proposizioni hanno soggetti diversi, sedi diverse e standard di prova diversi, e vanno tenute su righe separate.</w:t>
      </w:r>
    </w:p>
    <w:p>
      <w:pPr>
        <w:spacing w:after="120" w:line="276"/>
        <w:jc w:val="both"/>
      </w:pPr>
      <w:r>
        <w:rPr>
          <w:rFonts w:ascii="Barlow Semi Condensed" w:cs="Barlow Semi Condensed" w:eastAsia="Barlow Semi Condensed" w:hAnsi="Barlow Semi Condensed"/>
          <w:b/>
          <w:bCs/>
          <w:sz w:val="24"/>
          <w:szCs w:val="24"/>
        </w:rPr>
        <w:t xml:space="preserve">35 · Perché proprio questo nodo.</w:t>
      </w:r>
      <w:r>
        <w:rPr>
          <w:rFonts w:ascii="Barlow Semi Condensed" w:cs="Barlow Semi Condensed" w:eastAsia="Barlow Semi Condensed" w:hAnsi="Barlow Semi Condensed"/>
          <w:sz w:val="24"/>
          <w:szCs w:val="24"/>
        </w:rPr>
        <w:t xml:space="preserve"> Su Kissinger la tentazione combinatoria è massima per una ragione misurabile: fra il 1969 e il 1977 tenne, e per circa due anni cumulò, le due cariche che concentrano l'informazione — consigliere per la sicurezza nazionale e Segretario di Stato — sicché il suo nome compare per ufficio nei verbali di ogni dossier. L'ubiquità documentale è un effetto della posizione, non un indizio. Chi la scambia per indizio ha confuso l'organigramma con la trama.</w:t>
      </w:r>
    </w:p>
    <w:p>
      <w:pPr>
        <w:spacing w:after="120" w:line="276"/>
        <w:jc w:val="both"/>
      </w:pPr>
      <w:r>
        <w:rPr>
          <w:rFonts w:ascii="Barlow Semi Condensed" w:cs="Barlow Semi Condensed" w:eastAsia="Barlow Semi Condensed" w:hAnsi="Barlow Semi Condensed"/>
          <w:b/>
          <w:bCs/>
          <w:sz w:val="24"/>
          <w:szCs w:val="24"/>
        </w:rPr>
        <w:t xml:space="preserve">36 · L'archivio ipertrofico.</w:t>
      </w:r>
      <w:r>
        <w:rPr>
          <w:rFonts w:ascii="Barlow Semi Condensed" w:cs="Barlow Semi Condensed" w:eastAsia="Barlow Semi Condensed" w:hAnsi="Barlow Semi Condensed"/>
          <w:sz w:val="24"/>
          <w:szCs w:val="24"/>
        </w:rPr>
        <w:t xml:space="preserve"> A quella posizione corrisponde un giacimento anomalo: i memoranda of conversation della Ford Library, i volumi FRUS, le trascrizioni dei colloqui. Un nome così documentato produce sempre un riscontro per qualunque ipotesi lo si interroghi, ed è precisamente questo a renderlo insidioso. La ricchezza dell'archivio non conferma: aumenta la probabilità di trovare qualcosa che somigli a ciò che si cerca. Il rimedio è formulare il quesito prima di aprire il fondo.</w:t>
      </w:r>
    </w:p>
    <w:p>
      <w:pPr>
        <w:spacing w:after="120" w:line="276"/>
        <w:jc w:val="both"/>
      </w:pPr>
      <w:r>
        <w:rPr>
          <w:rFonts w:ascii="Barlow Semi Condensed" w:cs="Barlow Semi Condensed" w:eastAsia="Barlow Semi Condensed" w:hAnsi="Barlow Semi Condensed"/>
          <w:b/>
          <w:bCs/>
          <w:sz w:val="24"/>
          <w:szCs w:val="24"/>
        </w:rPr>
        <w:t xml:space="preserve">37 · Il piano uno, con segnatura.</w:t>
      </w:r>
      <w:r>
        <w:rPr>
          <w:rFonts w:ascii="Barlow Semi Condensed" w:cs="Barlow Semi Condensed" w:eastAsia="Barlow Semi Condensed" w:hAnsi="Barlow Semi Condensed"/>
          <w:sz w:val="24"/>
          <w:szCs w:val="24"/>
        </w:rPr>
        <w:t xml:space="preserve"> Esiste un rapporto diretto documentato fra Moro e Kissinger, ed è uno: il memorandum of conversation del 25 settembre 1974 nello Studio Ovale fra Giovanni Leone, Aldo Moro, Gerald Ford e Henry Kissinger, con Brent Scowcroft, alla Ford Library doc. 1552802, edito in FRUS 1969-1976 vol. E-15 part 2 doc. 350, cui si aggiunge il verbale del colloquio del 26 settembre, doc. 1552806. Grado A. È il piano 1, e ha una segnatura.</w:t>
      </w:r>
    </w:p>
    <w:p>
      <w:pPr>
        <w:spacing w:after="120" w:line="276"/>
        <w:jc w:val="both"/>
      </w:pPr>
      <w:r>
        <w:rPr>
          <w:rFonts w:ascii="Barlow Semi Condensed" w:cs="Barlow Semi Condensed" w:eastAsia="Barlow Semi Condensed" w:hAnsi="Barlow Semi Condensed"/>
          <w:b/>
          <w:bCs/>
          <w:sz w:val="24"/>
          <w:szCs w:val="24"/>
        </w:rPr>
        <w:t xml:space="preserve">38 · Che cosa quel documento attesta.</w:t>
      </w:r>
      <w:r>
        <w:rPr>
          <w:rFonts w:ascii="Barlow Semi Condensed" w:cs="Barlow Semi Condensed" w:eastAsia="Barlow Semi Condensed" w:hAnsi="Barlow Semi Condensed"/>
          <w:sz w:val="24"/>
          <w:szCs w:val="24"/>
        </w:rPr>
        <w:t xml:space="preserve"> Il documento attesta la posizione di Kissinger sul PCI espressa a Ford alla vigilia: che agli italiani si dovesse dire «tough» che qualunque presenza comunista al governo avrebbe mutato le relazioni, con una valutazione sul rischio di contagio in Francia, Germania e Grecia. La ricognizione del corpus aggiunge il limite da conservare in ogni ripresa: il documento non attesta una posizione di Moro sul medesimo punto in quella sede, e non la si inferisca.</w:t>
      </w:r>
    </w:p>
    <w:p>
      <w:pPr>
        <w:spacing w:after="120" w:line="276"/>
        <w:jc w:val="both"/>
      </w:pPr>
      <w:r>
        <w:rPr>
          <w:rFonts w:ascii="Barlow Semi Condensed" w:cs="Barlow Semi Condensed" w:eastAsia="Barlow Semi Condensed" w:hAnsi="Barlow Semi Condensed"/>
          <w:b/>
          <w:bCs/>
          <w:sz w:val="24"/>
          <w:szCs w:val="24"/>
        </w:rPr>
        <w:t xml:space="preserve">39 · La contemporaneità apparente del 1969.</w:t>
      </w:r>
      <w:r>
        <w:rPr>
          <w:rFonts w:ascii="Barlow Semi Condensed" w:cs="Barlow Semi Condensed" w:eastAsia="Barlow Semi Condensed" w:hAnsi="Barlow Semi Condensed"/>
          <w:sz w:val="24"/>
          <w:szCs w:val="24"/>
        </w:rPr>
        <w:t xml:space="preserve"> La riunione del Comitato dei 303 dell'11 marzo 1969, presieduta da Kissinger — FRUS vol. XLI doc. 180, con Karamessines a illustrare il programma di sostegno coperto ai partiti italiani dal 1948 al 1968 — precede di quasi cinque mesi l'insediamento di Moro alla Farnesina, avvenuto il 5 agosto 1969. La ricognizione lo dichiara: la contemporaneità è solo apparente e non va trattata come nesso. È il caso di scuola della quinta regola.</w:t>
      </w:r>
    </w:p>
    <w:p>
      <w:pPr>
        <w:spacing w:after="120" w:line="276"/>
        <w:jc w:val="both"/>
      </w:pPr>
      <w:r>
        <w:rPr>
          <w:rFonts w:ascii="Barlow Semi Condensed" w:cs="Barlow Semi Condensed" w:eastAsia="Barlow Semi Condensed" w:hAnsi="Barlow Semi Condensed"/>
          <w:b/>
          <w:bCs/>
          <w:sz w:val="24"/>
          <w:szCs w:val="24"/>
        </w:rPr>
        <w:t xml:space="preserve">40 · L'istruzione del dicembre 1969.</w:t>
      </w:r>
      <w:r>
        <w:rPr>
          <w:rFonts w:ascii="Barlow Semi Condensed" w:cs="Barlow Semi Condensed" w:eastAsia="Barlow Semi Condensed" w:hAnsi="Barlow Semi Condensed"/>
          <w:sz w:val="24"/>
          <w:szCs w:val="24"/>
        </w:rPr>
        <w:t xml:space="preserve"> Il documento 188 del medesimo volume registra l'istruzione di Nixon del dicembre 1969 di avviare uno «study on Italy». È un fatto pubblico datato e sta al piano 1 rispetto a sé stesso: attesta che uno studio fu ordinato. Non attesta il suo contenuto, i suoi esiti né alcun rapporto con persone italiane determinate. Il quesito che ne discende è reperire lo studio e i suoi allegati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41 · Le Azzorre, giugno 1974.</w:t>
      </w:r>
      <w:r>
        <w:rPr>
          <w:rFonts w:ascii="Barlow Semi Condensed" w:cs="Barlow Semi Condensed" w:eastAsia="Barlow Semi Condensed" w:hAnsi="Barlow Semi Condensed"/>
          <w:sz w:val="24"/>
          <w:szCs w:val="24"/>
        </w:rPr>
        <w:t xml:space="preserve"> Il memorandum dell'incontro Nixon-Spínola alle Azzorre del 19 giugno 1974 è fatto pubblico già acquisito dal corpus. Sta nella cornice portoghese, non in quella italiana, e vi resta: la simultaneità con la fase finale del ministero di Moro è cronologica e nulla più. Registrarlo serve a delimitare, non a collegare, e a segnare che la stessa cornice atlantica ospitava dossier distinti che non comunicavano per il solo fatto di essere coevi.</w:t>
      </w:r>
    </w:p>
    <w:p>
      <w:pPr>
        <w:spacing w:after="120" w:line="276"/>
        <w:jc w:val="both"/>
      </w:pPr>
      <w:r>
        <w:rPr>
          <w:rFonts w:ascii="Barlow Semi Condensed" w:cs="Barlow Semi Condensed" w:eastAsia="Barlow Semi Condensed" w:hAnsi="Barlow Semi Condensed"/>
          <w:b/>
          <w:bCs/>
          <w:sz w:val="24"/>
          <w:szCs w:val="24"/>
        </w:rPr>
        <w:t xml:space="preserve">42 · Il leftist neutralist regime.</w:t>
      </w:r>
      <w:r>
        <w:rPr>
          <w:rFonts w:ascii="Barlow Semi Condensed" w:cs="Barlow Semi Condensed" w:eastAsia="Barlow Semi Condensed" w:hAnsi="Barlow Semi Condensed"/>
          <w:sz w:val="24"/>
          <w:szCs w:val="24"/>
        </w:rPr>
        <w:t xml:space="preserve"> Nei FRUS Kissinger paventava per Lisbona «not a Communist take-over, but a leftist neutralist regime remaining within NATO». La formula è preziosa perché nomina la preoccupazione con precisione: non l'ingresso nel blocco avverso, ma la neutralizzazione interna dell'alleanza. È un tratto documentato di una posizione, e come tale entra nel corpus. Trasferirlo al caso italiano senza un documento italiano sarebbe analogia scambiata per omologia.</w:t>
      </w:r>
    </w:p>
    <w:p>
      <w:pPr>
        <w:spacing w:after="120" w:line="276"/>
        <w:jc w:val="both"/>
      </w:pPr>
      <w:r>
        <w:rPr>
          <w:rFonts w:ascii="Barlow Semi Condensed" w:cs="Barlow Semi Condensed" w:eastAsia="Barlow Semi Condensed" w:hAnsi="Barlow Semi Condensed"/>
          <w:b/>
          <w:bCs/>
          <w:sz w:val="24"/>
          <w:szCs w:val="24"/>
        </w:rPr>
        <w:t xml:space="preserve">43 · Helsinki e l'insofferenza riferita.</w:t>
      </w:r>
      <w:r>
        <w:rPr>
          <w:rFonts w:ascii="Barlow Semi Condensed" w:cs="Barlow Semi Condensed" w:eastAsia="Barlow Semi Condensed" w:hAnsi="Barlow Semi Condensed"/>
          <w:sz w:val="24"/>
          <w:szCs w:val="24"/>
        </w:rPr>
        <w:t xml:space="preserve"> Sull'Atto finale del 1° agosto 1975 il corpus registra che Moro firmò nella duplice qualità di presidente del Consiglio e presidente di turno del Consiglio delle Comunità, e che ottenne il coinvolgimento formale della Comunità «sfidando l'insofferenza di Kissinger». La formulazione proviene da fonte pubblicistica e storiografica secondaria, non da un verbale: si cita con la sua provenienza e si tiene distinta dai documenti a segnatura.</w:t>
      </w:r>
    </w:p>
    <w:p>
      <w:pPr>
        <w:spacing w:after="120" w:line="276"/>
        <w:jc w:val="both"/>
      </w:pPr>
      <w:r>
        <w:rPr>
          <w:rFonts w:ascii="Barlow Semi Condensed" w:cs="Barlow Semi Condensed" w:eastAsia="Barlow Semi Condensed" w:hAnsi="Barlow Semi Condensed"/>
          <w:b/>
          <w:bCs/>
          <w:sz w:val="24"/>
          <w:szCs w:val="24"/>
        </w:rPr>
        <w:t xml:space="preserve">44 · La testimonianza contestata.</w:t>
      </w:r>
      <w:r>
        <w:rPr>
          <w:rFonts w:ascii="Barlow Semi Condensed" w:cs="Barlow Semi Condensed" w:eastAsia="Barlow Semi Condensed" w:hAnsi="Barlow Semi Condensed"/>
          <w:sz w:val="24"/>
          <w:szCs w:val="24"/>
        </w:rPr>
        <w:t xml:space="preserve"> Corrado Guerzoni riferì, ed Eleonora Chiavarelli Moro confermò in sede parlamentare, un avvertimento rivolto a Moro a Washington e collocato al settembre 1974. Kissinger lo ha sempre smentito. Il corpus lo colloca al nodo M-5 della triangolazione Guevara-Moro e lo tiene al grado B nella sua accezione debole: testimonianza resa in sede istituzionale e contestata dall'altra parte. Non è mai da dare per accertata, e nessun blocco successivo potrà trattarla altrimenti.</w:t>
      </w:r>
    </w:p>
    <w:p>
      <w:pPr>
        <w:spacing w:after="120" w:line="276"/>
        <w:jc w:val="both"/>
      </w:pPr>
      <w:r>
        <w:rPr>
          <w:rFonts w:ascii="Barlow Semi Condensed" w:cs="Barlow Semi Condensed" w:eastAsia="Barlow Semi Condensed" w:hAnsi="Barlow Semi Condensed"/>
          <w:b/>
          <w:bCs/>
          <w:sz w:val="24"/>
          <w:szCs w:val="24"/>
        </w:rPr>
        <w:t xml:space="preserve">45 · Che cosa la smentirebbe.</w:t>
      </w:r>
      <w:r>
        <w:rPr>
          <w:rFonts w:ascii="Barlow Semi Condensed" w:cs="Barlow Semi Condensed" w:eastAsia="Barlow Semi Condensed" w:hAnsi="Barlow Semi Condensed"/>
          <w:sz w:val="24"/>
          <w:szCs w:val="24"/>
        </w:rPr>
        <w:t xml:space="preserve"> La disciplina chiede per ogni asserzione la sua condizione di caduta. Per l'avvertimento riferito: un verbale, una nota di delegazione o un appunto coevo che ne registri i termini lo porterebbe verso A; una cronologia che escluda la presenza dei protagonisti nel luogo e nel tempo indicati lo abbatterebbe. Allo stato non risulta né l'uno né l'altra, e l'asserzione resta ferma dove il corpus l'ha collocata.</w:t>
      </w:r>
    </w:p>
    <w:p>
      <w:pPr>
        <w:spacing w:after="120" w:line="276"/>
        <w:jc w:val="both"/>
      </w:pPr>
      <w:r>
        <w:rPr>
          <w:rFonts w:ascii="Barlow Semi Condensed" w:cs="Barlow Semi Condensed" w:eastAsia="Barlow Semi Condensed" w:hAnsi="Barlow Semi Condensed"/>
          <w:b/>
          <w:bCs/>
          <w:sz w:val="24"/>
          <w:szCs w:val="24"/>
        </w:rPr>
        <w:t xml:space="preserve">46 · Lo Stato Zero già dichiarato.</w:t>
      </w:r>
      <w:r>
        <w:rPr>
          <w:rFonts w:ascii="Barlow Semi Condensed" w:cs="Barlow Semi Condensed" w:eastAsia="Barlow Semi Condensed" w:hAnsi="Barlow Semi Condensed"/>
          <w:sz w:val="24"/>
          <w:szCs w:val="24"/>
        </w:rPr>
        <w:t xml:space="preserve"> La Fase sesta dell'opera-madre iscrive fra gli Stati Zero, cioè fra le ricerche condotte e chiuse in negativo, il documento che leghi Kissinger-persona, o qualunque apparato straniero nominato, alla catena di comando del delitto. Non è un dubbio: è un esito, e vale quanto un Livello A. Quest'opera lo eredita per intero e non lo riapre per suggestione, ma solo davanti a un documento nuovo con sede e segnatura.</w:t>
      </w:r>
    </w:p>
    <w:p>
      <w:pPr>
        <w:spacing w:after="120" w:line="276"/>
        <w:jc w:val="both"/>
      </w:pPr>
      <w:r>
        <w:rPr>
          <w:rFonts w:ascii="Barlow Semi Condensed" w:cs="Barlow Semi Condensed" w:eastAsia="Barlow Semi Condensed" w:hAnsi="Barlow Semi Condensed"/>
          <w:b/>
          <w:bCs/>
          <w:sz w:val="24"/>
          <w:szCs w:val="24"/>
        </w:rPr>
        <w:t xml:space="preserve">47 · Il silenzio della quadriga.</w:t>
      </w:r>
      <w:r>
        <w:rPr>
          <w:rFonts w:ascii="Barlow Semi Condensed" w:cs="Barlow Semi Condensed" w:eastAsia="Barlow Semi Condensed" w:hAnsi="Barlow Semi Condensed"/>
          <w:sz w:val="24"/>
          <w:szCs w:val="24"/>
        </w:rPr>
        <w:t xml:space="preserve"> Verifica meccanica, eseguita e qui verbalizzata: la stringa «Kissinger» non compare in alcuno dei mille blocchi dei nove cantieri, dei quattrocento del manuale investigativo, dei trecento dell'agenda di ricerca. Zero occorrenze su millesettecento unità. È un buco strutturale misurato, e va dichiarato con perimetro esatto secondo il blocco 233 dell'agenda e il blocco 285, che fanno della ricerca a vuoto un atto formale.</w:t>
      </w:r>
    </w:p>
    <w:p>
      <w:pPr>
        <w:spacing w:after="120" w:line="276"/>
        <w:jc w:val="both"/>
      </w:pPr>
      <w:r>
        <w:rPr>
          <w:rFonts w:ascii="Barlow Semi Condensed" w:cs="Barlow Semi Condensed" w:eastAsia="Barlow Semi Condensed" w:hAnsi="Barlow Semi Condensed"/>
          <w:b/>
          <w:bCs/>
          <w:sz w:val="24"/>
          <w:szCs w:val="24"/>
        </w:rPr>
        <w:t xml:space="preserve">48 · Come si legge quel buco.</w:t>
      </w:r>
      <w:r>
        <w:rPr>
          <w:rFonts w:ascii="Barlow Semi Condensed" w:cs="Barlow Semi Condensed" w:eastAsia="Barlow Semi Condensed" w:hAnsi="Barlow Semi Condensed"/>
          <w:sz w:val="24"/>
          <w:szCs w:val="24"/>
        </w:rPr>
        <w:t xml:space="preserve"> La regola dei buchi ha due tempi, e il secondo è quello che qui conta. Un basso rapporto di associazione fra due domini non è indizio di assenza di rapporti: è indizio che nessuno ha scritto un documento che li tratti insieme. Lo zero della quadriga non dice che il nodo sia irrilevante; dice che i cantieri furono costruiti su archivi che non lo trattano — Kew, Parigi, Bonn — e che manca la colonna americana.</w:t>
      </w:r>
    </w:p>
    <w:p>
      <w:pPr>
        <w:spacing w:after="120" w:line="276"/>
        <w:jc w:val="both"/>
      </w:pPr>
      <w:r>
        <w:rPr>
          <w:rFonts w:ascii="Barlow Semi Condensed" w:cs="Barlow Semi Condensed" w:eastAsia="Barlow Semi Condensed" w:hAnsi="Barlow Semi Condensed"/>
          <w:b/>
          <w:bCs/>
          <w:sz w:val="24"/>
          <w:szCs w:val="24"/>
        </w:rPr>
        <w:t xml:space="preserve">49 · Il bersaglio che ne discende.</w:t>
      </w:r>
      <w:r>
        <w:rPr>
          <w:rFonts w:ascii="Barlow Semi Condensed" w:cs="Barlow Semi Condensed" w:eastAsia="Barlow Semi Condensed" w:hAnsi="Barlow Semi Condensed"/>
          <w:sz w:val="24"/>
          <w:szCs w:val="24"/>
        </w:rPr>
        <w:t xml:space="preserve"> Ne discende un bersaglio documentale nuovo, primo prodotto operativo della serie: aprire nella quadriga la colonna statunitense, con giacimento proprio — la serie FRUS 1969-1976 per intero, i Nixon Presidential Materials, NSC Files, Country Files Italy a College Park, e i National Security Adviser's Memoranda of Conversation alla Ford Library. La lente ha superato il primo esame: ha fatto scrivere un bersaglio che non c'era.</w:t>
      </w:r>
    </w:p>
    <w:p>
      <w:pPr>
        <w:spacing w:after="120" w:line="276"/>
        <w:jc w:val="both"/>
      </w:pPr>
      <w:r>
        <w:rPr>
          <w:rFonts w:ascii="Barlow Semi Condensed" w:cs="Barlow Semi Condensed" w:eastAsia="Barlow Semi Condensed" w:hAnsi="Barlow Semi Condensed"/>
          <w:b/>
          <w:bCs/>
          <w:sz w:val="24"/>
          <w:szCs w:val="24"/>
        </w:rPr>
        <w:t xml:space="preserve">50 · Come si misura la betweenness.</w:t>
      </w:r>
      <w:r>
        <w:rPr>
          <w:rFonts w:ascii="Barlow Semi Condensed" w:cs="Barlow Semi Condensed" w:eastAsia="Barlow Semi Condensed" w:hAnsi="Barlow Semi Condensed"/>
          <w:sz w:val="24"/>
          <w:szCs w:val="24"/>
        </w:rPr>
        <w:t xml:space="preserve"> La betweenness di un nodo si calcola contando quante volte esso cade sui cammini minimi fra tutte le coppie di altri nodi; il corpus la calcola con l'algoritmo di Brandes, in modo esatto, sul solo grafo degli archi documentati e gradati. È una misura di posizione in una rete di carte. Non contiene alcuna informazione su intenzioni, decisioni o condotte, e per costruzione non ne può contenere.</w:t>
      </w:r>
    </w:p>
    <w:p>
      <w:pPr>
        <w:spacing w:after="120" w:line="276"/>
        <w:jc w:val="both"/>
      </w:pPr>
      <w:r>
        <w:rPr>
          <w:rFonts w:ascii="Barlow Semi Condensed" w:cs="Barlow Semi Condensed" w:eastAsia="Barlow Semi Condensed" w:hAnsi="Barlow Semi Condensed"/>
          <w:b/>
          <w:bCs/>
          <w:sz w:val="24"/>
          <w:szCs w:val="24"/>
        </w:rPr>
        <w:t xml:space="preserve">51 · La regola d'interpretazione, prima della lettura.</w:t>
      </w:r>
      <w:r>
        <w:rPr>
          <w:rFonts w:ascii="Barlow Semi Condensed" w:cs="Barlow Semi Condensed" w:eastAsia="Barlow Semi Condensed" w:hAnsi="Barlow Semi Condensed"/>
          <w:sz w:val="24"/>
          <w:szCs w:val="24"/>
        </w:rPr>
        <w:t xml:space="preserve"> Il corpus antepone a ogni figura di rete una sola frase: la centralità misura la densità della documentazione, non la responsabilità. Che le Brigate Rosse dominino il grado nella rete pubblica è ovvio, perché sono l'oggetto del giudicato. Che il CPM abbia la seconda intermediazione è invece il risultato analitico. In nessuno dei due casi il numero dice chi fece che cosa: dice dove passano i cammini fra i documenti.</w:t>
      </w:r>
    </w:p>
    <w:p>
      <w:pPr>
        <w:spacing w:after="120" w:line="276"/>
        <w:jc w:val="both"/>
      </w:pPr>
      <w:r>
        <w:rPr>
          <w:rFonts w:ascii="Barlow Semi Condensed" w:cs="Barlow Semi Condensed" w:eastAsia="Barlow Semi Condensed" w:hAnsi="Barlow Semi Condensed"/>
          <w:b/>
          <w:bCs/>
          <w:sz w:val="24"/>
          <w:szCs w:val="24"/>
        </w:rPr>
        <w:t xml:space="preserve">52 · Il nodo assente dalla rete.</w:t>
      </w:r>
      <w:r>
        <w:rPr>
          <w:rFonts w:ascii="Barlow Semi Condensed" w:cs="Barlow Semi Condensed" w:eastAsia="Barlow Semi Condensed" w:hAnsi="Barlow Semi Condensed"/>
          <w:sz w:val="24"/>
          <w:szCs w:val="24"/>
        </w:rPr>
        <w:t xml:space="preserve"> Va detto con esattezza. Nella rete documentata del corpus pubblico — trentanove nodi e cinquantanove archi, ventotto di grado A, ventisei F, cinque B — Kissinger non compare fra i nodi censiti. La sua betweenness in quel grafo non è alta né bassa: non esiste. Chi volesse calcolarla dovrebbe prima costruire archi documentati e gradati, e quella costruzione è l'oggetto delle serie che seguono, non un loro presupposto.</w:t>
      </w:r>
    </w:p>
    <w:p>
      <w:pPr>
        <w:spacing w:after="120" w:line="276"/>
        <w:jc w:val="both"/>
      </w:pPr>
      <w:r>
        <w:rPr>
          <w:rFonts w:ascii="Barlow Semi Condensed" w:cs="Barlow Semi Condensed" w:eastAsia="Barlow Semi Condensed" w:hAnsi="Barlow Semi Condensed"/>
          <w:b/>
          <w:bCs/>
          <w:sz w:val="24"/>
          <w:szCs w:val="24"/>
        </w:rPr>
        <w:t xml:space="preserve">53 · Senza grado sull'arco non c'è cammino.</w:t>
      </w:r>
      <w:r>
        <w:rPr>
          <w:rFonts w:ascii="Barlow Semi Condensed" w:cs="Barlow Semi Condensed" w:eastAsia="Barlow Semi Condensed" w:hAnsi="Barlow Semi Condensed"/>
          <w:sz w:val="24"/>
          <w:szCs w:val="24"/>
        </w:rPr>
        <w:t xml:space="preserve"> La regola che quest'opera eredita è vincolante: nella costruzione della rete si gradua la sinapsi, non il neurone. Un inventario che conti gli archi senza gradarli rende incalcolabile la regola dell'anello debole, e con essa ogni valutazione di cammino. Prima che il nodo Kissinger entri in una figura, ciascuno dei suoi archi dovrà portare il proprio grado e la propria segnatura. Nessuna eccezione, nemmeno per il nodo più documentato.</w:t>
      </w:r>
    </w:p>
    <w:p>
      <w:pPr>
        <w:spacing w:after="120" w:line="276"/>
        <w:jc w:val="both"/>
      </w:pPr>
      <w:r>
        <w:rPr>
          <w:rFonts w:ascii="Barlow Semi Condensed" w:cs="Barlow Semi Condensed" w:eastAsia="Barlow Semi Condensed" w:hAnsi="Barlow Semi Condensed"/>
          <w:b/>
          <w:bCs/>
          <w:sz w:val="24"/>
          <w:szCs w:val="24"/>
        </w:rPr>
        <w:t xml:space="preserve">54 · L'anello debole, applicato.</w:t>
      </w:r>
      <w:r>
        <w:rPr>
          <w:rFonts w:ascii="Barlow Semi Condensed" w:cs="Barlow Semi Condensed" w:eastAsia="Barlow Semi Condensed" w:hAnsi="Barlow Semi Condensed"/>
          <w:sz w:val="24"/>
          <w:szCs w:val="24"/>
        </w:rPr>
        <w:t xml:space="preserve"> Il grado di un cammino è il grado minimo fra i suoi archi. Un cammino che colleghi lo Studio Ovale del settembre 1974 al caso del 1978 dovrebbe attraversare almeno un arco che oggi non esiste, e che il corpus ha già cercato senza trovare. Finché quell'arco manca, ogni cammino costruito su quel tratto ha grado non basso ma assente, e non sostiene alcuna inferenza operativa.</w:t>
      </w:r>
    </w:p>
    <w:p>
      <w:pPr>
        <w:spacing w:after="120" w:line="276"/>
        <w:jc w:val="both"/>
      </w:pPr>
      <w:r>
        <w:rPr>
          <w:rFonts w:ascii="Barlow Semi Condensed" w:cs="Barlow Semi Condensed" w:eastAsia="Barlow Semi Condensed" w:hAnsi="Barlow Semi Condensed"/>
          <w:b/>
          <w:bCs/>
          <w:sz w:val="24"/>
          <w:szCs w:val="24"/>
        </w:rPr>
        <w:t xml:space="preserve">55 · Il nodo calamita.</w:t>
      </w:r>
      <w:r>
        <w:rPr>
          <w:rFonts w:ascii="Barlow Semi Condensed" w:cs="Barlow Semi Condensed" w:eastAsia="Barlow Semi Condensed" w:hAnsi="Barlow Semi Condensed"/>
          <w:sz w:val="24"/>
          <w:szCs w:val="24"/>
        </w:rPr>
        <w:t xml:space="preserve"> Esiste un effetto del quale diffidare: nelle reti costruite a mano i nodi molto noti attraggono archi che gli analisti disegnano per plausibilità e non per documento. È l'equivalente reticolare della sovradiagnosi. L'antidoto è procedurale e va fissato ora: ogni arco che tocchi questo nodo entra solo con documento a segnatura, e l'onere di produrlo grava su chi propone l'arco, non su chi lo contesta.</w:t>
      </w:r>
    </w:p>
    <w:p>
      <w:pPr>
        <w:spacing w:after="120" w:line="276"/>
        <w:jc w:val="both"/>
      </w:pPr>
      <w:r>
        <w:rPr>
          <w:rFonts w:ascii="Barlow Semi Condensed" w:cs="Barlow Semi Condensed" w:eastAsia="Barlow Semi Condensed" w:hAnsi="Barlow Semi Condensed"/>
          <w:b/>
          <w:bCs/>
          <w:sz w:val="24"/>
          <w:szCs w:val="24"/>
        </w:rPr>
        <w:t xml:space="preserve">56 · Fenotipo pubblico e genotipo documentale.</w:t>
      </w:r>
      <w:r>
        <w:rPr>
          <w:rFonts w:ascii="Barlow Semi Condensed" w:cs="Barlow Semi Condensed" w:eastAsia="Barlow Semi Condensed" w:hAnsi="Barlow Semi Condensed"/>
          <w:sz w:val="24"/>
          <w:szCs w:val="24"/>
        </w:rPr>
        <w:t xml:space="preserve"> Sul nodo qui trattato la sproporzione fra i due strati è estrema: un'immensa produzione pubblica — memorialistica, polemica, televisiva — poggia su un insieme di documenti a segnatura assai più ridotto. Il corpus lavora sul secondo strato e usa il primo soltanto come dato sulla circolazione delle idee. Quando le due letture divergono, la divergenza si riporta e non si sceglie in silenzio: è la sesta regola del metodo.</w:t>
      </w:r>
    </w:p>
    <w:p>
      <w:pPr>
        <w:spacing w:after="120" w:line="276"/>
        <w:jc w:val="both"/>
      </w:pPr>
      <w:r>
        <w:rPr>
          <w:rFonts w:ascii="Barlow Semi Condensed" w:cs="Barlow Semi Condensed" w:eastAsia="Barlow Semi Condensed" w:hAnsi="Barlow Semi Condensed"/>
          <w:b/>
          <w:bCs/>
          <w:sz w:val="24"/>
          <w:szCs w:val="24"/>
        </w:rPr>
        <w:t xml:space="preserve">57 · L'appartenenza non è condotta.</w:t>
      </w:r>
      <w:r>
        <w:rPr>
          <w:rFonts w:ascii="Barlow Semi Condensed" w:cs="Barlow Semi Condensed" w:eastAsia="Barlow Semi Condensed" w:hAnsi="Barlow Semi Condensed"/>
          <w:sz w:val="24"/>
          <w:szCs w:val="24"/>
        </w:rPr>
        <w:t xml:space="preserve"> Vale qui come in tutto il corpus, e la lente lo rende più nitido: appartenere a una scuola dottrinale, a un'amministrazione o a un lignaggio intellettuale è un dato di collocazione, come un allele condiviso. Non è prova di condotta, e non lo diventa per accumulo di appartenenze. La quarta regola del metodo non ammette il ragionamento per stirpe, ed è la regola che la metafora biologica minaccia più di ogni altra.</w:t>
      </w:r>
    </w:p>
    <w:p>
      <w:pPr>
        <w:spacing w:after="120" w:line="276"/>
        <w:jc w:val="both"/>
      </w:pPr>
      <w:r>
        <w:rPr>
          <w:rFonts w:ascii="Barlow Semi Condensed" w:cs="Barlow Semi Condensed" w:eastAsia="Barlow Semi Condensed" w:hAnsi="Barlow Semi Condensed"/>
          <w:b/>
          <w:bCs/>
          <w:sz w:val="24"/>
          <w:szCs w:val="24"/>
        </w:rPr>
        <w:t xml:space="preserve">58 · Il quesito, non l'asserzione.</w:t>
      </w:r>
      <w:r>
        <w:rPr>
          <w:rFonts w:ascii="Barlow Semi Condensed" w:cs="Barlow Semi Condensed" w:eastAsia="Barlow Semi Condensed" w:hAnsi="Barlow Semi Condensed"/>
          <w:sz w:val="24"/>
          <w:szCs w:val="24"/>
        </w:rPr>
        <w:t xml:space="preserve"> Dove un blocco di quest'opera avrà bisogno di un documento che non risulta esistere, lo formulerà come quesito — verificare se, reperire presso — con la sede indicata, e mai come asserzione. Non si inventano protocolli, segnature o citazioni. È il vincolo che rende l'opera controllabile da chiunque abbia una tessera d'archivio, ed è la sola forma di autorità che un testo di ricerca possa legittimamente rivendicare.</w:t>
      </w:r>
    </w:p>
    <w:p>
      <w:pPr>
        <w:spacing w:after="120" w:line="276"/>
        <w:jc w:val="both"/>
      </w:pPr>
      <w:r>
        <w:rPr>
          <w:rFonts w:ascii="Barlow Semi Condensed" w:cs="Barlow Semi Condensed" w:eastAsia="Barlow Semi Condensed" w:hAnsi="Barlow Semi Condensed"/>
          <w:b/>
          <w:bCs/>
          <w:sz w:val="24"/>
          <w:szCs w:val="24"/>
        </w:rPr>
        <w:t xml:space="preserve">59 · Gli Stati Zero aperti dalla serie.</w:t>
      </w:r>
      <w:r>
        <w:rPr>
          <w:rFonts w:ascii="Barlow Semi Condensed" w:cs="Barlow Semi Condensed" w:eastAsia="Barlow Semi Condensed" w:hAnsi="Barlow Semi Condensed"/>
          <w:sz w:val="24"/>
          <w:szCs w:val="24"/>
        </w:rPr>
        <w:t xml:space="preserve"> La serie chiude lasciando tre esiti negativi verbalizzati: il silenzio integrale della quadriga investigativa sul nome; l'assenza del nodo dalla rete documentata del corpus; l'assenza, allo stato, di un verbale coevo dell'avvertimento riferito. Le sedi di chiusura sono nominate — i volumi FRUS, i fondi di College Park e della Ford Library per i primi due; gli atti parlamentari che raccolsero le due testimonianze per il terzo.</w:t>
      </w:r>
    </w:p>
    <w:p>
      <w:pPr>
        <w:spacing w:after="120" w:line="276"/>
        <w:jc w:val="both"/>
      </w:pPr>
      <w:r>
        <w:rPr>
          <w:rFonts w:ascii="Barlow Semi Condensed" w:cs="Barlow Semi Condensed" w:eastAsia="Barlow Semi Condensed" w:hAnsi="Barlow Semi Condensed"/>
          <w:b/>
          <w:bCs/>
          <w:sz w:val="24"/>
          <w:szCs w:val="24"/>
        </w:rPr>
        <w:t xml:space="preserve">60 · Che cosa la serie ha stabilito.</w:t>
      </w:r>
      <w:r>
        <w:rPr>
          <w:rFonts w:ascii="Barlow Semi Condensed" w:cs="Barlow Semi Condensed" w:eastAsia="Barlow Semi Condensed" w:hAnsi="Barlow Semi Condensed"/>
          <w:sz w:val="24"/>
          <w:szCs w:val="24"/>
        </w:rPr>
        <w:t xml:space="preserve"> Ha stabilito una cosa sola, ed è di metodo: che la lente genetica si adotta come architettura e si sottopone alla prova come qualunque strumento, con un criterio di dismissione dichiarato. Non ha stabilito alcun fatto nuovo sul caso, non ha promosso alcun grado, non ha aggiunto alcun nome a quelli che le sentenze hanno scritto. Ha corretto un nome, misurato tre vuoti e scritto un bersaglio. Le serie successive lavoreranno su questo, e non oltre.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seconda — Il genoma dichiarato: la dottrina come codice</w:t>
      </w:r>
    </w:p>
    <w:p>
      <w:pPr>
        <w:spacing w:after="120" w:line="276"/>
        <w:jc w:val="both"/>
      </w:pPr>
      <w:r>
        <w:rPr>
          <w:rFonts w:ascii="Barlow Semi Condensed" w:cs="Barlow Semi Condensed" w:eastAsia="Barlow Semi Condensed" w:hAnsi="Barlow Semi Condensed"/>
          <w:i/>
          <w:iCs/>
          <w:sz w:val="24"/>
          <w:szCs w:val="24"/>
        </w:rPr>
        <w:t xml:space="preserve">Blocchi 61-135.</w:t>
      </w:r>
    </w:p>
    <w:p>
      <w:pPr>
        <w:spacing w:after="120" w:line="276"/>
        <w:jc w:val="both"/>
      </w:pPr>
      <w:r>
        <w:rPr>
          <w:rFonts w:ascii="Barlow Semi Condensed" w:cs="Barlow Semi Condensed" w:eastAsia="Barlow Semi Condensed" w:hAnsi="Barlow Semi Condensed"/>
          <w:b/>
          <w:bCs/>
          <w:sz w:val="24"/>
          <w:szCs w:val="24"/>
        </w:rPr>
        <w:t xml:space="preserve">61 · Che cosa questa serie chiama genoma.</w:t>
      </w:r>
      <w:r>
        <w:rPr>
          <w:rFonts w:ascii="Barlow Semi Condensed" w:cs="Barlow Semi Condensed" w:eastAsia="Barlow Semi Condensed" w:hAnsi="Barlow Semi Condensed"/>
          <w:sz w:val="24"/>
          <w:szCs w:val="24"/>
        </w:rPr>
        <w:t xml:space="preserve"> Genoma dichiarato è qui il corpus degli scritti e delle posizioni pubbliche di Henry Alfred Kissinger: la tesi accademica, i libri, i saggi, i discorsi ufficiali, le memorie. La serie li tratta come una sequenza da trascrivere e collazionare, non come la spiegazione dei fatti che il corpus studia. Un testo dichiara un programma; non prova che il programma sia stato eseguito. Questa distinzione governa ogni blocco che segue e non viene mai sospesa.</w:t>
      </w:r>
    </w:p>
    <w:p>
      <w:pPr>
        <w:spacing w:after="120" w:line="276"/>
        <w:jc w:val="both"/>
      </w:pPr>
      <w:r>
        <w:rPr>
          <w:rFonts w:ascii="Barlow Semi Condensed" w:cs="Barlow Semi Condensed" w:eastAsia="Barlow Semi Condensed" w:hAnsi="Barlow Semi Condensed"/>
          <w:b/>
          <w:bCs/>
          <w:sz w:val="24"/>
          <w:szCs w:val="24"/>
        </w:rPr>
        <w:t xml:space="preserve">62 · La lente, e il suo primo limite.</w:t>
      </w:r>
      <w:r>
        <w:rPr>
          <w:rFonts w:ascii="Barlow Semi Condensed" w:cs="Barlow Semi Condensed" w:eastAsia="Barlow Semi Condensed" w:hAnsi="Barlow Semi Condensed"/>
          <w:sz w:val="24"/>
          <w:szCs w:val="24"/>
        </w:rPr>
        <w:t xml:space="preserve"> La chiave del committente — Kissinger come metafora della genetica — regge se si tiene fermo che un genoma non è un destino. Il codice dichiara una potenzialità; ciò che accade dipende dalla trascrizione, dall'ambiente, dagli errori. Applicata ai testi, la metafora chiede di leggerli come sequenza e non come profezia. Dove essa spinge a dedurre l'atto dalla dottrina, il blocco la ferma: è precisamente il salto che il corpus vieta.</w:t>
      </w:r>
    </w:p>
    <w:p>
      <w:pPr>
        <w:spacing w:after="120" w:line="276"/>
        <w:jc w:val="both"/>
      </w:pPr>
      <w:r>
        <w:rPr>
          <w:rFonts w:ascii="Barlow Semi Condensed" w:cs="Barlow Semi Condensed" w:eastAsia="Barlow Semi Condensed" w:hAnsi="Barlow Semi Condensed"/>
          <w:b/>
          <w:bCs/>
          <w:sz w:val="24"/>
          <w:szCs w:val="24"/>
        </w:rPr>
        <w:t xml:space="preserve">63 · Nessun blocco imputa.</w:t>
      </w:r>
      <w:r>
        <w:rPr>
          <w:rFonts w:ascii="Barlow Semi Condensed" w:cs="Barlow Semi Condensed" w:eastAsia="Barlow Semi Condensed" w:hAnsi="Barlow Semi Condensed"/>
          <w:sz w:val="24"/>
          <w:szCs w:val="24"/>
        </w:rPr>
        <w:t xml:space="preserve"> Va ripetuto in apertura della serie, perché nessuna pagina possa essere estratta e usata male: Henry Alfred Kissinger, nato a Fürth il 27 maggio 1923 e morto a Kent, nel Connecticut, il 29 novembre 2023, non fu condannato in alcun processo. Leggere i suoi testi come dottrina non equivale a imputargli una condotta. Qui si esaminano proposizioni scritte, con la stessa disciplina con cui altrove il corpus esamina un verbale.</w:t>
      </w:r>
    </w:p>
    <w:p>
      <w:pPr>
        <w:spacing w:after="120" w:line="276"/>
        <w:jc w:val="both"/>
      </w:pPr>
      <w:r>
        <w:rPr>
          <w:rFonts w:ascii="Barlow Semi Condensed" w:cs="Barlow Semi Condensed" w:eastAsia="Barlow Semi Condensed" w:hAnsi="Barlow Semi Condensed"/>
          <w:b/>
          <w:bCs/>
          <w:sz w:val="24"/>
          <w:szCs w:val="24"/>
        </w:rPr>
        <w:t xml:space="preserve">64 · I tre piani applicati ai testi.</w:t>
      </w:r>
      <w:r>
        <w:rPr>
          <w:rFonts w:ascii="Barlow Semi Condensed" w:cs="Barlow Semi Condensed" w:eastAsia="Barlow Semi Condensed" w:hAnsi="Barlow Semi Condensed"/>
          <w:sz w:val="24"/>
          <w:szCs w:val="24"/>
        </w:rPr>
        <w:t xml:space="preserve"> La regola dei tre piani vale anche in filologia. Piano uno: il testo esiste, con data, sede e autore accertati. Piano due: due testi condividono una cornice concettuale senza che l'uno citi l'altro. Piano tre: una dottrina è attribuita a qualcuno senza che se ne produca il testo. Solo il piano uno è ponte. Una convergenza di lessico non diventa mai, per accumulo, un rapporto fra autori.</w:t>
      </w:r>
    </w:p>
    <w:p>
      <w:pPr>
        <w:spacing w:after="120" w:line="276"/>
        <w:jc w:val="both"/>
      </w:pPr>
      <w:r>
        <w:rPr>
          <w:rFonts w:ascii="Barlow Semi Condensed" w:cs="Barlow Semi Condensed" w:eastAsia="Barlow Semi Condensed" w:hAnsi="Barlow Semi Condensed"/>
          <w:b/>
          <w:bCs/>
          <w:sz w:val="24"/>
          <w:szCs w:val="24"/>
        </w:rPr>
        <w:t xml:space="preserve">65 · Che cosa smentirebbe questa serie.</w:t>
      </w:r>
      <w:r>
        <w:rPr>
          <w:rFonts w:ascii="Barlow Semi Condensed" w:cs="Barlow Semi Condensed" w:eastAsia="Barlow Semi Condensed" w:hAnsi="Barlow Semi Condensed"/>
          <w:sz w:val="24"/>
          <w:szCs w:val="24"/>
        </w:rPr>
        <w:t xml:space="preserve"> La domanda del falsificatore, posta all'inizio come vuole il metodo. La serie cadrebbe se si accertasse che il corpus attribuito non è d'autore: che le memorie furono redatte da collaboratori senza controllo, che i discorsi furono scritti altrove e soltanto firmati. Non è ipotesi oziosa: è la prima verifica da compiere, e si compie sulle minute conservate nei fondi, non sulle edizioni a stampa.</w:t>
      </w:r>
    </w:p>
    <w:p>
      <w:pPr>
        <w:spacing w:after="120" w:line="276"/>
        <w:jc w:val="both"/>
      </w:pPr>
      <w:r>
        <w:rPr>
          <w:rFonts w:ascii="Barlow Semi Condensed" w:cs="Barlow Semi Condensed" w:eastAsia="Barlow Semi Condensed" w:hAnsi="Barlow Semi Condensed"/>
          <w:b/>
          <w:bCs/>
          <w:sz w:val="24"/>
          <w:szCs w:val="24"/>
        </w:rPr>
        <w:t xml:space="preserve">66 · Il quesito delle minute e delle mani.</w:t>
      </w:r>
      <w:r>
        <w:rPr>
          <w:rFonts w:ascii="Barlow Semi Condensed" w:cs="Barlow Semi Condensed" w:eastAsia="Barlow Semi Condensed" w:hAnsi="Barlow Semi Condensed"/>
          <w:sz w:val="24"/>
          <w:szCs w:val="24"/>
        </w:rPr>
        <w:t xml:space="preserve"> Bersaglio operativo: per ciascun testo maggiore, stabilire quante stesure esistano, quali mani vi intervennero, quali varianti separino la minuta dalla stampa. È l'operazione che il manuale investigativo prescrive al blocco 113 per le minute della lettera di Moro, trasferita a un altro corpus. Le sedi sono i fondi personali; l'esito, positivo o negativo, va verbalizzato con perimetro esatto e data.</w:t>
      </w:r>
    </w:p>
    <w:p>
      <w:pPr>
        <w:spacing w:after="120" w:line="276"/>
        <w:jc w:val="both"/>
      </w:pPr>
      <w:r>
        <w:rPr>
          <w:rFonts w:ascii="Barlow Semi Condensed" w:cs="Barlow Semi Condensed" w:eastAsia="Barlow Semi Condensed" w:hAnsi="Barlow Semi Condensed"/>
          <w:b/>
          <w:bCs/>
          <w:sz w:val="24"/>
          <w:szCs w:val="24"/>
        </w:rPr>
        <w:t xml:space="preserve">67 · La lingua del codice e la traduzione.</w:t>
      </w:r>
      <w:r>
        <w:rPr>
          <w:rFonts w:ascii="Barlow Semi Condensed" w:cs="Barlow Semi Condensed" w:eastAsia="Barlow Semi Condensed" w:hAnsi="Barlow Semi Condensed"/>
          <w:sz w:val="24"/>
          <w:szCs w:val="24"/>
        </w:rPr>
        <w:t xml:space="preserve"> Il codice dichiarato è scritto in inglese; il corpus lo legge in italiano. Equilibrium, legitimacy, order, stability non coincidono per estensione con equilibrio, legittimità, ordine, stabilità: legitimacy, in quei testi, indica l'accettazione condivisa di una cornice e non la giustizia di un titolo. Ogni citazione dottrinale va perciò addotta in originale con traduzione a fronte, e ogni resa italiana dichiarata come resa.</w:t>
      </w:r>
    </w:p>
    <w:p>
      <w:pPr>
        <w:spacing w:after="120" w:line="276"/>
        <w:jc w:val="both"/>
      </w:pPr>
      <w:r>
        <w:rPr>
          <w:rFonts w:ascii="Barlow Semi Condensed" w:cs="Barlow Semi Condensed" w:eastAsia="Barlow Semi Condensed" w:hAnsi="Barlow Semi Condensed"/>
          <w:b/>
          <w:bCs/>
          <w:sz w:val="24"/>
          <w:szCs w:val="24"/>
        </w:rPr>
        <w:t xml:space="preserve">68 · La tesi di dottorato, primo esemplare.</w:t>
      </w:r>
      <w:r>
        <w:rPr>
          <w:rFonts w:ascii="Barlow Semi Condensed" w:cs="Barlow Semi Condensed" w:eastAsia="Barlow Semi Condensed" w:hAnsi="Barlow Semi Condensed"/>
          <w:sz w:val="24"/>
          <w:szCs w:val="24"/>
        </w:rPr>
        <w:t xml:space="preserve"> Il primo esemplare del codice è la tesi dottorale discussa a Harvard nel 1954 sulla diplomazia di Castlereagh e Metternich, poi rifusa nel libro del 1957 sulla restaurazione dell'ordine europeo. Bersaglio: leggere il dattiloscritto depositato e non soltanto il volume, perché fra tesi e libro corre una revisione editoriale che è essa stessa un dato. La sede va verificata presso gli archivi universitari.</w:t>
      </w:r>
    </w:p>
    <w:p>
      <w:pPr>
        <w:spacing w:after="120" w:line="276"/>
        <w:jc w:val="both"/>
      </w:pPr>
      <w:r>
        <w:rPr>
          <w:rFonts w:ascii="Barlow Semi Condensed" w:cs="Barlow Semi Condensed" w:eastAsia="Barlow Semi Condensed" w:hAnsi="Barlow Semi Condensed"/>
          <w:b/>
          <w:bCs/>
          <w:sz w:val="24"/>
          <w:szCs w:val="24"/>
        </w:rPr>
        <w:t xml:space="preserve">69 · Il titolo che contiene la triade.</w:t>
      </w:r>
      <w:r>
        <w:rPr>
          <w:rFonts w:ascii="Barlow Semi Condensed" w:cs="Barlow Semi Condensed" w:eastAsia="Barlow Semi Condensed" w:hAnsi="Barlow Semi Condensed"/>
          <w:sz w:val="24"/>
          <w:szCs w:val="24"/>
        </w:rPr>
        <w:t xml:space="preserve"> Nel titolo di quella tesi compaiono, secondo le citazioni correnti, pace, legittimità ed equilibrio: le tre parole su cui l'intera serie lavora. Il titolo esatto va però accertato sul frontespizio del dattiloscritto depositato, e non su fonti terziarie che lo riportano in forme divergenti. È accertamento minuto e dirimente: dalla formulazione del titolo dipende quale sia, nel codice, il termine subordinante.</w:t>
      </w:r>
    </w:p>
    <w:p>
      <w:pPr>
        <w:spacing w:after="120" w:line="276"/>
        <w:jc w:val="both"/>
      </w:pPr>
      <w:r>
        <w:rPr>
          <w:rFonts w:ascii="Barlow Semi Condensed" w:cs="Barlow Semi Condensed" w:eastAsia="Barlow Semi Condensed" w:hAnsi="Barlow Semi Condensed"/>
          <w:b/>
          <w:bCs/>
          <w:sz w:val="24"/>
          <w:szCs w:val="24"/>
        </w:rPr>
        <w:t xml:space="preserve">70 · Che cosa dice il libro del 1957.</w:t>
      </w:r>
      <w:r>
        <w:rPr>
          <w:rFonts w:ascii="Barlow Semi Condensed" w:cs="Barlow Semi Condensed" w:eastAsia="Barlow Semi Condensed" w:hAnsi="Barlow Semi Condensed"/>
          <w:sz w:val="24"/>
          <w:szCs w:val="24"/>
        </w:rPr>
        <w:t xml:space="preserve"> Il volume sulla restaurazione europea è un libro di storia diplomatica, non un programma di governo. Vi si definiscono un ordine legittimo — quello i cui protagonisti ne accettano la cornice — e una potenza rivoluzionaria, che non l'accetta. Bersaglio: estrarre e citare per esteso i passi che danno le due definizioni, così che ogni uso successivo di quelle categorie sia confrontabile col testo di partenza.</w:t>
      </w:r>
    </w:p>
    <w:p>
      <w:pPr>
        <w:spacing w:after="120" w:line="276"/>
        <w:jc w:val="both"/>
      </w:pPr>
      <w:r>
        <w:rPr>
          <w:rFonts w:ascii="Barlow Semi Condensed" w:cs="Barlow Semi Condensed" w:eastAsia="Barlow Semi Condensed" w:hAnsi="Barlow Semi Condensed"/>
          <w:b/>
          <w:bCs/>
          <w:sz w:val="24"/>
          <w:szCs w:val="24"/>
        </w:rPr>
        <w:t xml:space="preserve">71 · Lo strato accademico, 1957-1965.</w:t>
      </w:r>
      <w:r>
        <w:rPr>
          <w:rFonts w:ascii="Barlow Semi Condensed" w:cs="Barlow Semi Condensed" w:eastAsia="Barlow Semi Condensed" w:hAnsi="Barlow Semi Condensed"/>
          <w:sz w:val="24"/>
          <w:szCs w:val="24"/>
        </w:rPr>
        <w:t xml:space="preserve"> Fra il 1957 e il 1965 si depositano tre testi: lo studio sulle armi nucleari e la politica estera edito per il Council on Foreign Relations, il volume del 1961 sulla necessità della scelta, quello del 1965 sull'alleanza atlantica. Il terzo è il più rilevante qui, perché discute l'Europa alleata come problema politico prima che il suo autore avesse potere su di essa. Le varianti d'edizione vanno collazionate.</w:t>
      </w:r>
    </w:p>
    <w:p>
      <w:pPr>
        <w:spacing w:after="120" w:line="276"/>
        <w:jc w:val="both"/>
      </w:pPr>
      <w:r>
        <w:rPr>
          <w:rFonts w:ascii="Barlow Semi Condensed" w:cs="Barlow Semi Condensed" w:eastAsia="Barlow Semi Condensed" w:hAnsi="Barlow Semi Condensed"/>
          <w:b/>
          <w:bCs/>
          <w:sz w:val="24"/>
          <w:szCs w:val="24"/>
        </w:rPr>
        <w:t xml:space="preserve">72 · Il volume del 1969, sulla soglia.</w:t>
      </w:r>
      <w:r>
        <w:rPr>
          <w:rFonts w:ascii="Barlow Semi Condensed" w:cs="Barlow Semi Condensed" w:eastAsia="Barlow Semi Condensed" w:hAnsi="Barlow Semi Condensed"/>
          <w:sz w:val="24"/>
          <w:szCs w:val="24"/>
        </w:rPr>
        <w:t xml:space="preserve"> La raccolta di saggi pubblicata nel 1969, alla vigilia dell'ingresso alla Casa Bianca, è il documento decisivo dello strato dichiarato: contiene il saggio sulla struttura interna e la politica estera e quello sui negoziati vietnamiti apparso in rivista nel gennaio di quell'anno. È il codice come si presentava nel momento di essere trascritto in atti. Va letto nell'edizione originale e collazionato con le ristampe.</w:t>
      </w:r>
    </w:p>
    <w:p>
      <w:pPr>
        <w:spacing w:after="120" w:line="276"/>
        <w:jc w:val="both"/>
      </w:pPr>
      <w:r>
        <w:rPr>
          <w:rFonts w:ascii="Barlow Semi Condensed" w:cs="Barlow Semi Condensed" w:eastAsia="Barlow Semi Condensed" w:hAnsi="Barlow Semi Condensed"/>
          <w:b/>
          <w:bCs/>
          <w:sz w:val="24"/>
          <w:szCs w:val="24"/>
        </w:rPr>
        <w:t xml:space="preserve">73 · La struttura interna nella politica estera.</w:t>
      </w:r>
      <w:r>
        <w:rPr>
          <w:rFonts w:ascii="Barlow Semi Condensed" w:cs="Barlow Semi Condensed" w:eastAsia="Barlow Semi Condensed" w:hAnsi="Barlow Semi Condensed"/>
          <w:sz w:val="24"/>
          <w:szCs w:val="24"/>
        </w:rPr>
        <w:t xml:space="preserve"> Il saggio sulla domestic structure sostiene che l'assetto interno di uno Stato condiziona il suo comportamento internazionale. È la proposizione del codice dichiarato più direttamente pertinente alla questione italiana, perché fonda in teoria l'interesse per la composizione di un governo alleato. Bersaglio: leggerlo integralmente e stabilire se vi si tratti mai un partito interno come variabile di sicurezza, e in quali termini esatti.</w:t>
      </w:r>
    </w:p>
    <w:p>
      <w:pPr>
        <w:spacing w:after="120" w:line="276"/>
        <w:jc w:val="both"/>
      </w:pPr>
      <w:r>
        <w:rPr>
          <w:rFonts w:ascii="Barlow Semi Condensed" w:cs="Barlow Semi Condensed" w:eastAsia="Barlow Semi Condensed" w:hAnsi="Barlow Semi Condensed"/>
          <w:b/>
          <w:bCs/>
          <w:sz w:val="24"/>
          <w:szCs w:val="24"/>
        </w:rPr>
        <w:t xml:space="preserve">74 · Il saggio sul rivoluzionario bianco.</w:t>
      </w:r>
      <w:r>
        <w:rPr>
          <w:rFonts w:ascii="Barlow Semi Condensed" w:cs="Barlow Semi Condensed" w:eastAsia="Barlow Semi Condensed" w:hAnsi="Barlow Semi Condensed"/>
          <w:sz w:val="24"/>
          <w:szCs w:val="24"/>
        </w:rPr>
        <w:t xml:space="preserve"> Il saggio su Bismarck apparso in rivista nel 1968 tratta lo statista che usa mezzi rivoluzionari per fini conservatori. Va letto per quello che è, un'analisi storica, e non come autoritratto anticipato: la tentazione di leggerlo così è forte e va nominata per essere disinnescata. Annata, fascicolo e paginazione vanno verificati sulla rivista, non su citazioni di seconda mano.</w:t>
      </w:r>
    </w:p>
    <w:p>
      <w:pPr>
        <w:spacing w:after="120" w:line="276"/>
        <w:jc w:val="both"/>
      </w:pPr>
      <w:r>
        <w:rPr>
          <w:rFonts w:ascii="Barlow Semi Condensed" w:cs="Barlow Semi Condensed" w:eastAsia="Barlow Semi Condensed" w:hAnsi="Barlow Semi Condensed"/>
          <w:b/>
          <w:bCs/>
          <w:sz w:val="24"/>
          <w:szCs w:val="24"/>
        </w:rPr>
        <w:t xml:space="preserve">75 · Le tre memorie e il loro statuto.</w:t>
      </w:r>
      <w:r>
        <w:rPr>
          <w:rFonts w:ascii="Barlow Semi Condensed" w:cs="Barlow Semi Condensed" w:eastAsia="Barlow Semi Condensed" w:hAnsi="Barlow Semi Condensed"/>
          <w:sz w:val="24"/>
          <w:szCs w:val="24"/>
        </w:rPr>
        <w:t xml:space="preserve"> I tre volumi di memorie, pubblicati fra il 1979 e il 1999, sono lo strato più esteso e il meno probante. Vale la regola che l'agenda fissa al blocco 151 per i dispacci: una memoria attesta ciò che il suo autore volle riferire, non ciò che accadde. Si usano come fonte sull'autoriconoscimento del codice, mai come accertamento del fatto, e sempre in collazione coi verbali coevi.</w:t>
      </w:r>
    </w:p>
    <w:p>
      <w:pPr>
        <w:spacing w:after="120" w:line="276"/>
        <w:jc w:val="both"/>
      </w:pPr>
      <w:r>
        <w:rPr>
          <w:rFonts w:ascii="Barlow Semi Condensed" w:cs="Barlow Semi Condensed" w:eastAsia="Barlow Semi Condensed" w:hAnsi="Barlow Semi Condensed"/>
          <w:b/>
          <w:bCs/>
          <w:sz w:val="24"/>
          <w:szCs w:val="24"/>
        </w:rPr>
        <w:t xml:space="preserve">76 · Diplomacy 1994, la sistemazione tardiva.</w:t>
      </w:r>
      <w:r>
        <w:rPr>
          <w:rFonts w:ascii="Barlow Semi Condensed" w:cs="Barlow Semi Condensed" w:eastAsia="Barlow Semi Condensed" w:hAnsi="Barlow Semi Condensed"/>
          <w:sz w:val="24"/>
          <w:szCs w:val="24"/>
        </w:rPr>
        <w:t xml:space="preserve"> Il volume del 1994 sistema in forma di trattato ciò che i testi precedenti dicevano in ordine sparso. Proprio per questo è insidioso: è la dottrina riordinata a posteriori, con vent'anni di senno di poi. Ogni citazione tratta di lì va datata 1994 e non retrodatata agli anni del mandato. L'anacronismo dottrinale è, in questa materia, l'errore più frequente e il più difficile da vedere.</w:t>
      </w:r>
    </w:p>
    <w:p>
      <w:pPr>
        <w:spacing w:after="120" w:line="276"/>
        <w:jc w:val="both"/>
      </w:pPr>
      <w:r>
        <w:rPr>
          <w:rFonts w:ascii="Barlow Semi Condensed" w:cs="Barlow Semi Condensed" w:eastAsia="Barlow Semi Condensed" w:hAnsi="Barlow Semi Condensed"/>
          <w:b/>
          <w:bCs/>
          <w:sz w:val="24"/>
          <w:szCs w:val="24"/>
        </w:rPr>
        <w:t xml:space="preserve">77 · World Order e il termine del titolo.</w:t>
      </w:r>
      <w:r>
        <w:rPr>
          <w:rFonts w:ascii="Barlow Semi Condensed" w:cs="Barlow Semi Condensed" w:eastAsia="Barlow Semi Condensed" w:hAnsi="Barlow Semi Condensed"/>
          <w:sz w:val="24"/>
          <w:szCs w:val="24"/>
        </w:rPr>
        <w:t xml:space="preserve"> Il libro del 2014 è il solo che porti nel titolo l'espressione ordine mondiale e ne offra una definizione esplicita, costruita attorno alla pace di Vestfalia e al rapporto fra legittimità e potenza. Bersaglio: collazionarne le definizioni con quelle della tesi del 1954. Se coincidono, il codice è stabile per sessant'anni; se divergono, la divergenza va riportata e non appianata.</w:t>
      </w:r>
    </w:p>
    <w:p>
      <w:pPr>
        <w:spacing w:after="120" w:line="276"/>
        <w:jc w:val="both"/>
      </w:pPr>
      <w:r>
        <w:rPr>
          <w:rFonts w:ascii="Barlow Semi Condensed" w:cs="Barlow Semi Condensed" w:eastAsia="Barlow Semi Condensed" w:hAnsi="Barlow Semi Condensed"/>
          <w:b/>
          <w:bCs/>
          <w:sz w:val="24"/>
          <w:szCs w:val="24"/>
        </w:rPr>
        <w:t xml:space="preserve">78 · Gli ultimi testi e l'autocanonizzazione.</w:t>
      </w:r>
      <w:r>
        <w:rPr>
          <w:rFonts w:ascii="Barlow Semi Condensed" w:cs="Barlow Semi Condensed" w:eastAsia="Barlow Semi Condensed" w:hAnsi="Barlow Semi Condensed"/>
          <w:sz w:val="24"/>
          <w:szCs w:val="24"/>
        </w:rPr>
        <w:t xml:space="preserve"> Il volume del 2022 sui capi di Stato e gli scritti finali sulla tecnologia chiudono il corpus dichiarato. Interessano qui per una ragione sola: sono il punto in cui l'autore fissa il proprio canone, sceglie i predecessori e decide quale forma il codice debba avere per i posteri. È materiale sull'ultima trascrizione, non sui fatti degli anni Settanta, e va tenuto in quello scaffale.</w:t>
      </w:r>
    </w:p>
    <w:p>
      <w:pPr>
        <w:spacing w:after="120" w:line="276"/>
        <w:jc w:val="both"/>
      </w:pPr>
      <w:r>
        <w:rPr>
          <w:rFonts w:ascii="Barlow Semi Condensed" w:cs="Barlow Semi Condensed" w:eastAsia="Barlow Semi Condensed" w:hAnsi="Barlow Semi Condensed"/>
          <w:b/>
          <w:bCs/>
          <w:sz w:val="24"/>
          <w:szCs w:val="24"/>
        </w:rPr>
        <w:t xml:space="preserve">79 · I discorsi come strato testuale distinto.</w:t>
      </w:r>
      <w:r>
        <w:rPr>
          <w:rFonts w:ascii="Barlow Semi Condensed" w:cs="Barlow Semi Condensed" w:eastAsia="Barlow Semi Condensed" w:hAnsi="Barlow Semi Condensed"/>
          <w:sz w:val="24"/>
          <w:szCs w:val="24"/>
        </w:rPr>
        <w:t xml:space="preserve"> I discorsi ufficiali non sono libri: sono testi datati, indirizzati a un uditorio e negoziati dentro l'amministrazione prima della pronuncia. Il discorso sull'Anno dell'Europa, tenuto a New York il 23 aprile 1973, è il caso maggiore per questo corpus. Va acquisito nella versione ufficiale a stampa e confrontato con la bozza d'ufficio: fra le due può correre la politica intera.</w:t>
      </w:r>
    </w:p>
    <w:p>
      <w:pPr>
        <w:spacing w:after="120" w:line="276"/>
        <w:jc w:val="both"/>
      </w:pPr>
      <w:r>
        <w:rPr>
          <w:rFonts w:ascii="Barlow Semi Condensed" w:cs="Barlow Semi Condensed" w:eastAsia="Barlow Semi Condensed" w:hAnsi="Barlow Semi Condensed"/>
          <w:b/>
          <w:bCs/>
          <w:sz w:val="24"/>
          <w:szCs w:val="24"/>
        </w:rPr>
        <w:t xml:space="preserve">80 · Il Bollettino come edizione ufficiale.</w:t>
      </w:r>
      <w:r>
        <w:rPr>
          <w:rFonts w:ascii="Barlow Semi Condensed" w:cs="Barlow Semi Condensed" w:eastAsia="Barlow Semi Condensed" w:hAnsi="Barlow Semi Condensed"/>
          <w:sz w:val="24"/>
          <w:szCs w:val="24"/>
        </w:rPr>
        <w:t xml:space="preserve"> La sede in cui discorsi e dichiarazioni del Dipartimento di Stato furono pubblicati ufficialmente negli anni del mandato è il Department of State Bulletin, disponibile in digitale. È lì che si stabilisce il testo autorevole, prima di ricorrere a raccolte private o a ritagli di stampa. Bersaglio: la tavola dei numeri e delle pagine per ogni discorso rilevante, verificata sull'annata.</w:t>
      </w:r>
    </w:p>
    <w:p>
      <w:pPr>
        <w:spacing w:after="120" w:line="276"/>
        <w:jc w:val="both"/>
      </w:pPr>
      <w:r>
        <w:rPr>
          <w:rFonts w:ascii="Barlow Semi Condensed" w:cs="Barlow Semi Condensed" w:eastAsia="Barlow Semi Condensed" w:hAnsi="Barlow Semi Condensed"/>
          <w:b/>
          <w:bCs/>
          <w:sz w:val="24"/>
          <w:szCs w:val="24"/>
        </w:rPr>
        <w:t xml:space="preserve">81 · La collazione discorso-verbale.</w:t>
      </w:r>
      <w:r>
        <w:rPr>
          <w:rFonts w:ascii="Barlow Semi Condensed" w:cs="Barlow Semi Condensed" w:eastAsia="Barlow Semi Condensed" w:hAnsi="Barlow Semi Condensed"/>
          <w:sz w:val="24"/>
          <w:szCs w:val="24"/>
        </w:rPr>
        <w:t xml:space="preserve"> Il metodo centrale della serie: per una stessa giornata, mettere accanto il testo pubblico e il verbale riservato. È la trasposizione dottrinale della collazione bilaterale che l'agenda prescrive al blocco 153. Caso esemplare, il 1° agosto 1975: Moro firma l'Atto finale di Helsinki nella doppia qualità, e sullo stesso negoziato è documentata l'insofferenza per il coinvolgimento della Comunità europea nella firma. Due strati, una data.</w:t>
      </w:r>
    </w:p>
    <w:p>
      <w:pPr>
        <w:spacing w:after="120" w:line="276"/>
        <w:jc w:val="both"/>
      </w:pPr>
      <w:r>
        <w:rPr>
          <w:rFonts w:ascii="Barlow Semi Condensed" w:cs="Barlow Semi Condensed" w:eastAsia="Barlow Semi Condensed" w:hAnsi="Barlow Semi Condensed"/>
          <w:b/>
          <w:bCs/>
          <w:sz w:val="24"/>
          <w:szCs w:val="24"/>
        </w:rPr>
        <w:t xml:space="preserve">82 · Equilibrio, definire prima di usare.</w:t>
      </w:r>
      <w:r>
        <w:rPr>
          <w:rFonts w:ascii="Barlow Semi Condensed" w:cs="Barlow Semi Condensed" w:eastAsia="Barlow Semi Condensed" w:hAnsi="Barlow Semi Condensed"/>
          <w:sz w:val="24"/>
          <w:szCs w:val="24"/>
        </w:rPr>
        <w:t xml:space="preserve"> Equilibrio, nel codice dichiarato, non significa parità di forze ma configurazione che nessun protagonista ha interesse a rovesciare. La differenza è sostanziale e viene abitualmente perduta nelle rese divulgative. Bersaglio: raccogliere i passi in cui il termine è definito, ordinarli per data e stabilire se la definizione muti fra il 1957 e il 2014. Finché la raccolta non esiste, ogni discussione sull'equilibrio resta approssimativa.</w:t>
      </w:r>
    </w:p>
    <w:p>
      <w:pPr>
        <w:spacing w:after="120" w:line="276"/>
        <w:jc w:val="both"/>
      </w:pPr>
      <w:r>
        <w:rPr>
          <w:rFonts w:ascii="Barlow Semi Condensed" w:cs="Barlow Semi Condensed" w:eastAsia="Barlow Semi Condensed" w:hAnsi="Barlow Semi Condensed"/>
          <w:b/>
          <w:bCs/>
          <w:sz w:val="24"/>
          <w:szCs w:val="24"/>
        </w:rPr>
        <w:t xml:space="preserve">83 · Legittimità contro giustizia.</w:t>
      </w:r>
      <w:r>
        <w:rPr>
          <w:rFonts w:ascii="Barlow Semi Condensed" w:cs="Barlow Semi Condensed" w:eastAsia="Barlow Semi Condensed" w:hAnsi="Barlow Semi Condensed"/>
          <w:sz w:val="24"/>
          <w:szCs w:val="24"/>
        </w:rPr>
        <w:t xml:space="preserve"> Nel codice, legittimità designa l'accettazione condivisa della cornice, non la giustizia dell'assetto: un ordine può essere legittimo in quel senso e ingiusto in senso morale. Chi legge legittimità come approvazione morale fraintende il testo e ne trae conseguenze che il testo non porta. Bersaglio: i passi che tengono distinti i due piani, citati per esteso, così che il fraintendimento non possa riprodursi.</w:t>
      </w:r>
    </w:p>
    <w:p>
      <w:pPr>
        <w:spacing w:after="120" w:line="276"/>
        <w:jc w:val="both"/>
      </w:pPr>
      <w:r>
        <w:rPr>
          <w:rFonts w:ascii="Barlow Semi Condensed" w:cs="Barlow Semi Condensed" w:eastAsia="Barlow Semi Condensed" w:hAnsi="Barlow Semi Condensed"/>
          <w:b/>
          <w:bCs/>
          <w:sz w:val="24"/>
          <w:szCs w:val="24"/>
        </w:rPr>
        <w:t xml:space="preserve">84 · La categoria della potenza rivoluzionaria.</w:t>
      </w:r>
      <w:r>
        <w:rPr>
          <w:rFonts w:ascii="Barlow Semi Condensed" w:cs="Barlow Semi Condensed" w:eastAsia="Barlow Semi Condensed" w:hAnsi="Barlow Semi Condensed"/>
          <w:sz w:val="24"/>
          <w:szCs w:val="24"/>
        </w:rPr>
        <w:t xml:space="preserve"> Il codice definisce potenza rivoluzionaria chi rifiuta la cornice anziché contendere dentro di essa. È la categoria analitica più feconda e la più prestata all'abuso. Quesito preciso e verificabile sui testi editi: quella categoria viene mai applicata, negli scritti pubblici, a un partito interno di un paese alleato? La risposta, quale che sia, va documentata a pagina e non presunta.</w:t>
      </w:r>
    </w:p>
    <w:p>
      <w:pPr>
        <w:spacing w:after="120" w:line="276"/>
        <w:jc w:val="both"/>
      </w:pPr>
      <w:r>
        <w:rPr>
          <w:rFonts w:ascii="Barlow Semi Condensed" w:cs="Barlow Semi Condensed" w:eastAsia="Barlow Semi Condensed" w:hAnsi="Barlow Semi Condensed"/>
          <w:b/>
          <w:bCs/>
          <w:sz w:val="24"/>
          <w:szCs w:val="24"/>
        </w:rPr>
        <w:t xml:space="preserve">85 · Stabilità, la parola più abusata.</w:t>
      </w:r>
      <w:r>
        <w:rPr>
          <w:rFonts w:ascii="Barlow Semi Condensed" w:cs="Barlow Semi Condensed" w:eastAsia="Barlow Semi Condensed" w:hAnsi="Barlow Semi Condensed"/>
          <w:sz w:val="24"/>
          <w:szCs w:val="24"/>
        </w:rPr>
        <w:t xml:space="preserve"> Nel codice la stabilità è proprietà di un sistema di relazioni, non qualità di un regime: un sistema è stabile quando assorbe gli urti senza mutare natura. Il corpus stesso, in più punti, usa la parola in senso lasco per indicare la conservazione di un governo. La correzione si fa per nota: dove il testo dice stabilità di sistema, non si legga stabilità di gabinetto.</w:t>
      </w:r>
    </w:p>
    <w:p>
      <w:pPr>
        <w:spacing w:after="120" w:line="276"/>
        <w:jc w:val="both"/>
      </w:pPr>
      <w:r>
        <w:rPr>
          <w:rFonts w:ascii="Barlow Semi Condensed" w:cs="Barlow Semi Condensed" w:eastAsia="Barlow Semi Condensed" w:hAnsi="Barlow Semi Condensed"/>
          <w:b/>
          <w:bCs/>
          <w:sz w:val="24"/>
          <w:szCs w:val="24"/>
        </w:rPr>
        <w:t xml:space="preserve">86 · Tre date, una definizione o tre.</w:t>
      </w:r>
      <w:r>
        <w:rPr>
          <w:rFonts w:ascii="Barlow Semi Condensed" w:cs="Barlow Semi Condensed" w:eastAsia="Barlow Semi Condensed" w:hAnsi="Barlow Semi Condensed"/>
          <w:sz w:val="24"/>
          <w:szCs w:val="24"/>
        </w:rPr>
        <w:t xml:space="preserve"> Accertamento puntuale da compiere: le definizioni di ordine internazionale offerte nel 1957, nel 1994 e nel 2014 sono la stessa definizione ripetuta o tre definizioni successive? La domanda è filologica e ha conseguenze storiche, perché soltanto una dottrina stabile può essere invocata come chiave lungo cinquant'anni. Le divergenze eventuali si riportano; l'ipotesi di un codice immobile non si presume.</w:t>
      </w:r>
    </w:p>
    <w:p>
      <w:pPr>
        <w:spacing w:after="120" w:line="276"/>
        <w:jc w:val="both"/>
      </w:pPr>
      <w:r>
        <w:rPr>
          <w:rFonts w:ascii="Barlow Semi Condensed" w:cs="Barlow Semi Condensed" w:eastAsia="Barlow Semi Condensed" w:hAnsi="Barlow Semi Condensed"/>
          <w:b/>
          <w:bCs/>
          <w:sz w:val="24"/>
          <w:szCs w:val="24"/>
        </w:rPr>
        <w:t xml:space="preserve">87 · Ordine e giustizia, il quesito scomodo.</w:t>
      </w:r>
      <w:r>
        <w:rPr>
          <w:rFonts w:ascii="Barlow Semi Condensed" w:cs="Barlow Semi Condensed" w:eastAsia="Barlow Semi Condensed" w:hAnsi="Barlow Semi Condensed"/>
          <w:sz w:val="24"/>
          <w:szCs w:val="24"/>
        </w:rPr>
        <w:t xml:space="preserve"> La critica corrente sostiene che quel codice subordini la giustizia all'ordine. È tesi diffusa e va trattata come tesi: si verifica sui passi, non si assume. Bersaglio: individuare i luoghi in cui il rapporto fra i due termini è tematizzato e stabilire se vi sia subordinazione dichiarata, tensione riconosciuta o silenzio. Anche il silenzio è un esito, e va scritto come tale.</w:t>
      </w:r>
    </w:p>
    <w:p>
      <w:pPr>
        <w:spacing w:after="120" w:line="276"/>
        <w:jc w:val="both"/>
      </w:pPr>
      <w:r>
        <w:rPr>
          <w:rFonts w:ascii="Barlow Semi Condensed" w:cs="Barlow Semi Condensed" w:eastAsia="Barlow Semi Condensed" w:hAnsi="Barlow Semi Condensed"/>
          <w:b/>
          <w:bCs/>
          <w:sz w:val="24"/>
          <w:szCs w:val="24"/>
        </w:rPr>
        <w:t xml:space="preserve">88 · Il segreto come preferenza dichiarata.</w:t>
      </w:r>
      <w:r>
        <w:rPr>
          <w:rFonts w:ascii="Barlow Semi Condensed" w:cs="Barlow Semi Condensed" w:eastAsia="Barlow Semi Condensed" w:hAnsi="Barlow Semi Condensed"/>
          <w:sz w:val="24"/>
          <w:szCs w:val="24"/>
        </w:rPr>
        <w:t xml:space="preserve"> Il codice dichiarato afferma in più luoghi che il negoziato esige riservatezza. È preferenza procedurale scritta a chiare lettere, e come tale documentabile al grado del testo. Da essa non discende alcuna condotta coperta: dichiarare che le trattative vanno tenute riservate non è compiere un'azione clandestina. Confondere i due piani è l'errore che questa serie deve rendere impossibile a chi la legga.</w:t>
      </w:r>
    </w:p>
    <w:p>
      <w:pPr>
        <w:spacing w:after="120" w:line="276"/>
        <w:jc w:val="both"/>
      </w:pPr>
      <w:r>
        <w:rPr>
          <w:rFonts w:ascii="Barlow Semi Condensed" w:cs="Barlow Semi Condensed" w:eastAsia="Barlow Semi Condensed" w:hAnsi="Barlow Semi Condensed"/>
          <w:b/>
          <w:bCs/>
          <w:sz w:val="24"/>
          <w:szCs w:val="24"/>
        </w:rPr>
        <w:t xml:space="preserve">89 · La dottrina attribuita a un consigliere.</w:t>
      </w:r>
      <w:r>
        <w:rPr>
          <w:rFonts w:ascii="Barlow Semi Condensed" w:cs="Barlow Semi Condensed" w:eastAsia="Barlow Semi Condensed" w:hAnsi="Barlow Semi Condensed"/>
          <w:sz w:val="24"/>
          <w:szCs w:val="24"/>
        </w:rPr>
        <w:t xml:space="preserve"> La cosiddetta dottrina Sonnenfeldt — la tesi di una relazione organica fra Europa orientale e Unione Sovietica — fu attribuita nel 1976 a un consigliere del Dipartimento di Stato ed emerse per via giornalistica, non per testo firmato. L'attribuzione al segretario di Stato è contestata e la divergenza si riporta. Il caso vale come esempio puro di piano tre: dottrina senza testo d'autore.</w:t>
      </w:r>
    </w:p>
    <w:p>
      <w:pPr>
        <w:spacing w:after="120" w:line="276"/>
        <w:jc w:val="both"/>
      </w:pPr>
      <w:r>
        <w:rPr>
          <w:rFonts w:ascii="Barlow Semi Condensed" w:cs="Barlow Semi Condensed" w:eastAsia="Barlow Semi Condensed" w:hAnsi="Barlow Semi Condensed"/>
          <w:b/>
          <w:bCs/>
          <w:sz w:val="24"/>
          <w:szCs w:val="24"/>
        </w:rPr>
        <w:t xml:space="preserve">90 · L'avvertimento riferito e il suo statuto.</w:t>
      </w:r>
      <w:r>
        <w:rPr>
          <w:rFonts w:ascii="Barlow Semi Condensed" w:cs="Barlow Semi Condensed" w:eastAsia="Barlow Semi Condensed" w:hAnsi="Barlow Semi Condensed"/>
          <w:sz w:val="24"/>
          <w:szCs w:val="24"/>
        </w:rPr>
        <w:t xml:space="preserve"> Circola, fra i materiali del caso, un avvertimento a Moro riferito da Corrado Guerzoni e confermato da Eleonora Chiavarelli Moro in sede parlamentare, sempre smentito dall'interessato. Per questa serie il rilievo è uno solo: è parola riferita senza testo, testimonianza contestata di grado B debole, e non entra nel corpus dichiarato. Non va mai data per accertata, né usata come chiave di lettura dei testi editi.</w:t>
      </w:r>
    </w:p>
    <w:p>
      <w:pPr>
        <w:spacing w:after="120" w:line="276"/>
        <w:jc w:val="both"/>
      </w:pPr>
      <w:r>
        <w:rPr>
          <w:rFonts w:ascii="Barlow Semi Condensed" w:cs="Barlow Semi Condensed" w:eastAsia="Barlow Semi Condensed" w:hAnsi="Barlow Semi Condensed"/>
          <w:b/>
          <w:bCs/>
          <w:sz w:val="24"/>
          <w:szCs w:val="24"/>
        </w:rPr>
        <w:t xml:space="preserve">91 · L'eurocomunismo nel codice pubblico.</w:t>
      </w:r>
      <w:r>
        <w:rPr>
          <w:rFonts w:ascii="Barlow Semi Condensed" w:cs="Barlow Semi Condensed" w:eastAsia="Barlow Semi Condensed" w:hAnsi="Barlow Semi Condensed"/>
          <w:sz w:val="24"/>
          <w:szCs w:val="24"/>
        </w:rPr>
        <w:t xml:space="preserve"> Quesito con sede: in quali testi editi, e con quale data, l'ingresso di partiti comunisti occidentali nell'area di governo è trattato esplicitamente? La posizione espressa in sede riservata è documentata dal verbale del 25 settembre 1974; ciò che il codice pubblico dica dello stesso oggetto resta da accertare. La differenza fra i due strati è, per questa serie, il vero oggetto di ricerca.</w:t>
      </w:r>
    </w:p>
    <w:p>
      <w:pPr>
        <w:spacing w:after="120" w:line="276"/>
        <w:jc w:val="both"/>
      </w:pPr>
      <w:r>
        <w:rPr>
          <w:rFonts w:ascii="Barlow Semi Condensed" w:cs="Barlow Semi Condensed" w:eastAsia="Barlow Semi Condensed" w:hAnsi="Barlow Semi Condensed"/>
          <w:b/>
          <w:bCs/>
          <w:sz w:val="24"/>
          <w:szCs w:val="24"/>
        </w:rPr>
        <w:t xml:space="preserve">92 · Il non detto del corpus edito.</w:t>
      </w:r>
      <w:r>
        <w:rPr>
          <w:rFonts w:ascii="Barlow Semi Condensed" w:cs="Barlow Semi Condensed" w:eastAsia="Barlow Semi Condensed" w:hAnsi="Barlow Semi Condensed"/>
          <w:sz w:val="24"/>
          <w:szCs w:val="24"/>
        </w:rPr>
        <w:t xml:space="preserve"> Il corpus dichiarato non tratta l'azione coperta come materia propria: è un silenzio, non una smentita. La regola dei buchi impone di misurarlo e dichiararlo, non di riempirlo: un tema assente dai libri di un autore non prova nulla sulle pratiche di un'amministrazione, e ne prova ancora meno sull'autore. Il buco si verbalizza e resta aperto finché un documento non lo colmi.</w:t>
      </w:r>
    </w:p>
    <w:p>
      <w:pPr>
        <w:spacing w:after="120" w:line="276"/>
        <w:jc w:val="both"/>
      </w:pPr>
      <w:r>
        <w:rPr>
          <w:rFonts w:ascii="Barlow Semi Condensed" w:cs="Barlow Semi Condensed" w:eastAsia="Barlow Semi Condensed" w:hAnsi="Barlow Semi Condensed"/>
          <w:b/>
          <w:bCs/>
          <w:sz w:val="24"/>
          <w:szCs w:val="24"/>
        </w:rPr>
        <w:t xml:space="preserve">93 · Perché il codice va letto in edizione.</w:t>
      </w:r>
      <w:r>
        <w:rPr>
          <w:rFonts w:ascii="Barlow Semi Condensed" w:cs="Barlow Semi Condensed" w:eastAsia="Barlow Semi Condensed" w:hAnsi="Barlow Semi Condensed"/>
          <w:sz w:val="24"/>
          <w:szCs w:val="24"/>
        </w:rPr>
        <w:t xml:space="preserve"> Ogni testo qui elencato circola in più stati: prima edizione, ristampe con prefazioni nuove, traduzioni, antologie. Citare da un'antologia significa citare da una selezione altrui. La disciplina della tracciabilità chiede che ogni passo dottrinale sia addotto con edizione, anno e pagina, e che le varianti d'edizione, quando esistono, siano dichiarate. Senza questo, il confronto fra dottrine non è verificabile da altri.</w:t>
      </w:r>
    </w:p>
    <w:p>
      <w:pPr>
        <w:spacing w:after="120" w:line="276"/>
        <w:jc w:val="both"/>
      </w:pPr>
      <w:r>
        <w:rPr>
          <w:rFonts w:ascii="Barlow Semi Condensed" w:cs="Barlow Semi Condensed" w:eastAsia="Barlow Semi Condensed" w:hAnsi="Barlow Semi Condensed"/>
          <w:b/>
          <w:bCs/>
          <w:sz w:val="24"/>
          <w:szCs w:val="24"/>
        </w:rPr>
        <w:t xml:space="preserve">94 · Yale, le carte private.</w:t>
      </w:r>
      <w:r>
        <w:rPr>
          <w:rFonts w:ascii="Barlow Semi Condensed" w:cs="Barlow Semi Condensed" w:eastAsia="Barlow Semi Condensed" w:hAnsi="Barlow Semi Condensed"/>
          <w:sz w:val="24"/>
          <w:szCs w:val="24"/>
        </w:rPr>
        <w:t xml:space="preserve"> Le carte personali sono depositate presso Manuscripts and Archives della Yale University Library. Bersaglio preliminare: leggere lo strumento di ricerca e le condizioni d'accesso vigenti, comprese le restrizioni temporali su singole serie, prima di programmare qualunque consultazione. È la regola dell'inventario prima del documento, che l'agenda applica a ogni giacimento estero e che qui vale senza eccezioni.</w:t>
      </w:r>
    </w:p>
    <w:p>
      <w:pPr>
        <w:spacing w:after="120" w:line="276"/>
        <w:jc w:val="both"/>
      </w:pPr>
      <w:r>
        <w:rPr>
          <w:rFonts w:ascii="Barlow Semi Condensed" w:cs="Barlow Semi Condensed" w:eastAsia="Barlow Semi Condensed" w:hAnsi="Barlow Semi Condensed"/>
          <w:b/>
          <w:bCs/>
          <w:sz w:val="24"/>
          <w:szCs w:val="24"/>
        </w:rPr>
        <w:t xml:space="preserve">95 · Library of Congress, le carte d'ufficio.</w:t>
      </w:r>
      <w:r>
        <w:rPr>
          <w:rFonts w:ascii="Barlow Semi Condensed" w:cs="Barlow Semi Condensed" w:eastAsia="Barlow Semi Condensed" w:hAnsi="Barlow Semi Condensed"/>
          <w:sz w:val="24"/>
          <w:szCs w:val="24"/>
        </w:rPr>
        <w:t xml:space="preserve"> Le carte prodotte nelle cariche pubbliche furono depositate presso la Manuscript Division della Library of Congress al termine del mandato. L'atto di donazione, con le sue clausole d'accesso, è esso stesso un documento da leggere prima delle carte: stabilisce chi può vedere che cosa e quando. Bersaglio: acquisirne il testo e verbalizzarne le condizioni nel registro delle richieste del corpus.</w:t>
      </w:r>
    </w:p>
    <w:p>
      <w:pPr>
        <w:spacing w:after="120" w:line="276"/>
        <w:jc w:val="both"/>
      </w:pPr>
      <w:r>
        <w:rPr>
          <w:rFonts w:ascii="Barlow Semi Condensed" w:cs="Barlow Semi Condensed" w:eastAsia="Barlow Semi Condensed" w:hAnsi="Barlow Semi Condensed"/>
          <w:b/>
          <w:bCs/>
          <w:sz w:val="24"/>
          <w:szCs w:val="24"/>
        </w:rPr>
        <w:t xml:space="preserve">96 · La lite sull'accesso come documento.</w:t>
      </w:r>
      <w:r>
        <w:rPr>
          <w:rFonts w:ascii="Barlow Semi Condensed" w:cs="Barlow Semi Condensed" w:eastAsia="Barlow Semi Condensed" w:hAnsi="Barlow Semi Condensed"/>
          <w:sz w:val="24"/>
          <w:szCs w:val="24"/>
        </w:rPr>
        <w:t xml:space="preserve"> Sull'accessibilità di quel deposito si aprì negli anni Settanta un contenzioso giudiziario statunitense, concluso nel 1980 da una pronuncia della Corte suprema. La vicenda interessa questa serie non per l'esito ma per ciò che mise a verbale: la natura giuridica delle carte e il confine fra documento pubblico e materiale privato. Estremi e testo vanno verificati sulla raccolta ufficiale delle decisioni.</w:t>
      </w:r>
    </w:p>
    <w:p>
      <w:pPr>
        <w:spacing w:after="120" w:line="276"/>
        <w:jc w:val="both"/>
      </w:pPr>
      <w:r>
        <w:rPr>
          <w:rFonts w:ascii="Barlow Semi Condensed" w:cs="Barlow Semi Condensed" w:eastAsia="Barlow Semi Condensed" w:hAnsi="Barlow Semi Condensed"/>
          <w:b/>
          <w:bCs/>
          <w:sz w:val="24"/>
          <w:szCs w:val="24"/>
        </w:rPr>
        <w:t xml:space="preserve">97 · Le trascrizioni telefoniche.</w:t>
      </w:r>
      <w:r>
        <w:rPr>
          <w:rFonts w:ascii="Barlow Semi Condensed" w:cs="Barlow Semi Condensed" w:eastAsia="Barlow Semi Condensed" w:hAnsi="Barlow Semi Condensed"/>
          <w:sz w:val="24"/>
          <w:szCs w:val="24"/>
        </w:rPr>
        <w:t xml:space="preserve"> Delle conversazioni telefoniche furono conservate trascrizioni d'ufficio, la cui collocazione e il cui regime d'accesso mutarono nel tempo per iniziative di ricerca e per contenzioso. Bersaglio: accertare presso quale istituto la serie sia oggi conservata, quale porzione sia consultabile e con quali omissis. È materiale che documenta la parola detta, non il testo scritto: uno strato diverso, e prezioso.</w:t>
      </w:r>
    </w:p>
    <w:p>
      <w:pPr>
        <w:spacing w:after="120" w:line="276"/>
        <w:jc w:val="both"/>
      </w:pPr>
      <w:r>
        <w:rPr>
          <w:rFonts w:ascii="Barlow Semi Condensed" w:cs="Barlow Semi Condensed" w:eastAsia="Barlow Semi Condensed" w:hAnsi="Barlow Semi Condensed"/>
          <w:b/>
          <w:bCs/>
          <w:sz w:val="24"/>
          <w:szCs w:val="24"/>
        </w:rPr>
        <w:t xml:space="preserve">98 · FRUS non è l'archivio.</w:t>
      </w:r>
      <w:r>
        <w:rPr>
          <w:rFonts w:ascii="Barlow Semi Condensed" w:cs="Barlow Semi Condensed" w:eastAsia="Barlow Semi Condensed" w:hAnsi="Barlow Semi Condensed"/>
          <w:sz w:val="24"/>
          <w:szCs w:val="24"/>
        </w:rPr>
        <w:t xml:space="preserve"> Foreign Relations of the United States è una selezione ufficiale curata, non il fondo. L'agenda lo fissa già al blocco 134: ogni nota a piè di pagina è una segnatura da seguire. Applicato alla dottrina, il principio dice che i documenti editi in FRUS vanno usati come porta d'ingresso agli originali, e che nessuna assenza in FRUS equivale ad assenza in archivio.</w:t>
      </w:r>
    </w:p>
    <w:p>
      <w:pPr>
        <w:spacing w:after="120" w:line="276"/>
        <w:jc w:val="both"/>
      </w:pPr>
      <w:r>
        <w:rPr>
          <w:rFonts w:ascii="Barlow Semi Condensed" w:cs="Barlow Semi Condensed" w:eastAsia="Barlow Semi Condensed" w:hAnsi="Barlow Semi Condensed"/>
          <w:b/>
          <w:bCs/>
          <w:sz w:val="24"/>
          <w:szCs w:val="24"/>
        </w:rPr>
        <w:t xml:space="preserve">99 · Leggere la prefazione del volume.</w:t>
      </w:r>
      <w:r>
        <w:rPr>
          <w:rFonts w:ascii="Barlow Semi Condensed" w:cs="Barlow Semi Condensed" w:eastAsia="Barlow Semi Condensed" w:hAnsi="Barlow Semi Condensed"/>
          <w:sz w:val="24"/>
          <w:szCs w:val="24"/>
        </w:rPr>
        <w:t xml:space="preserve"> Ogni volume FRUS reca una nota sui criteri di selezione e sullo stato della declassificazione. Leggerla è parte del metodo: dice che cosa il curatore ha escluso e perché. Chi cita un documento senza aver letto quella nota ignora il perimetro entro cui sta citando. La tavola dei criteri, volume per volume, è bersaglio preliminare a ogni spoglio dottrinale.</w:t>
      </w:r>
    </w:p>
    <w:p>
      <w:pPr>
        <w:spacing w:after="120" w:line="276"/>
        <w:jc w:val="both"/>
      </w:pPr>
      <w:r>
        <w:rPr>
          <w:rFonts w:ascii="Barlow Semi Condensed" w:cs="Barlow Semi Condensed" w:eastAsia="Barlow Semi Condensed" w:hAnsi="Barlow Semi Condensed"/>
          <w:b/>
          <w:bCs/>
          <w:sz w:val="24"/>
          <w:szCs w:val="24"/>
        </w:rPr>
        <w:t xml:space="preserve">100 · I materiali Nixon a College Park.</w:t>
      </w:r>
      <w:r>
        <w:rPr>
          <w:rFonts w:ascii="Barlow Semi Condensed" w:cs="Barlow Semi Condensed" w:eastAsia="Barlow Semi Condensed" w:hAnsi="Barlow Semi Condensed"/>
          <w:sz w:val="24"/>
          <w:szCs w:val="24"/>
        </w:rPr>
        <w:t xml:space="preserve"> Per gli anni 1969-1974 la sede primaria sono i Nixon Presidential Materials, coi National Security Council Files e i Country Files, presso i National Archives di College Park. A quella cornice appartiene il memorandum dell'incontro delle Azzorre fra Nixon e Spínola del 19 giugno 1974, che il corpus registra come fatto pubblico. Il bersaglio dottrinale coincide col fattuale: stessi faldoni, domande diverse.</w:t>
      </w:r>
    </w:p>
    <w:p>
      <w:pPr>
        <w:spacing w:after="120" w:line="276"/>
        <w:jc w:val="both"/>
      </w:pPr>
      <w:r>
        <w:rPr>
          <w:rFonts w:ascii="Barlow Semi Condensed" w:cs="Barlow Semi Condensed" w:eastAsia="Barlow Semi Condensed" w:hAnsi="Barlow Semi Condensed"/>
          <w:b/>
          <w:bCs/>
          <w:sz w:val="24"/>
          <w:szCs w:val="24"/>
        </w:rPr>
        <w:t xml:space="preserve">101 · Ford Library, la coppia dei verbali.</w:t>
      </w:r>
      <w:r>
        <w:rPr>
          <w:rFonts w:ascii="Barlow Semi Condensed" w:cs="Barlow Semi Condensed" w:eastAsia="Barlow Semi Condensed" w:hAnsi="Barlow Semi Condensed"/>
          <w:sz w:val="24"/>
          <w:szCs w:val="24"/>
        </w:rPr>
        <w:t xml:space="preserve"> Alla Gerald R. Ford Presidential Library i memoranda of conversation del consigliere per la sicurezza nazionale conservano il verbale del 25 settembre 1974 nello Studio Ovale con Leone, Moro, Ford e Kissinger (doc. 1552802), edito anche in FRUS 1969-1976, volume E-15 parte seconda, documento 350, e quello del giorno successivo (doc. 1552806). Fatto pubblico documentato: è la coppia meglio servita dell'intera triangolazione.</w:t>
      </w:r>
    </w:p>
    <w:p>
      <w:pPr>
        <w:spacing w:after="120" w:line="276"/>
        <w:jc w:val="both"/>
      </w:pPr>
      <w:r>
        <w:rPr>
          <w:rFonts w:ascii="Barlow Semi Condensed" w:cs="Barlow Semi Condensed" w:eastAsia="Barlow Semi Condensed" w:hAnsi="Barlow Semi Condensed"/>
          <w:b/>
          <w:bCs/>
          <w:sz w:val="24"/>
          <w:szCs w:val="24"/>
        </w:rPr>
        <w:t xml:space="preserve">102 · Atlanta e il decennio successivo.</w:t>
      </w:r>
      <w:r>
        <w:rPr>
          <w:rFonts w:ascii="Barlow Semi Condensed" w:cs="Barlow Semi Condensed" w:eastAsia="Barlow Semi Condensed" w:hAnsi="Barlow Semi Condensed"/>
          <w:sz w:val="24"/>
          <w:szCs w:val="24"/>
        </w:rPr>
        <w:t xml:space="preserve"> Il sequestro del 1978 cade sotto un'altra presidenza: la sede pertinente è la Jimmy Carter Presidential Library, col fondo del consigliere per la sicurezza nazionale e il suo fascicolo italiano, che l'agenda indica al blocco 133 come processato e aperto. Per la serie dottrinale il rilievo è preciso: nel 1978 l'autore del codice non aveva carica, e la sua parola è parola privata.</w:t>
      </w:r>
    </w:p>
    <w:p>
      <w:pPr>
        <w:spacing w:after="120" w:line="276"/>
        <w:jc w:val="both"/>
      </w:pPr>
      <w:r>
        <w:rPr>
          <w:rFonts w:ascii="Barlow Semi Condensed" w:cs="Barlow Semi Condensed" w:eastAsia="Barlow Semi Condensed" w:hAnsi="Barlow Semi Condensed"/>
          <w:b/>
          <w:bCs/>
          <w:sz w:val="24"/>
          <w:szCs w:val="24"/>
        </w:rPr>
        <w:t xml:space="preserve">103 · Carica e voce privata, distinte.</w:t>
      </w:r>
      <w:r>
        <w:rPr>
          <w:rFonts w:ascii="Barlow Semi Condensed" w:cs="Barlow Semi Condensed" w:eastAsia="Barlow Semi Condensed" w:hAnsi="Barlow Semi Condensed"/>
          <w:sz w:val="24"/>
          <w:szCs w:val="24"/>
        </w:rPr>
        <w:t xml:space="preserve"> Dal gennaio 1977 non ricoprì più incarichi di governo. Ogni dichiarazione successiva — interviste, conferenze, memorie — è di cittadino privato e non impegna alcun apparato. È distinzione elementare e costantemente dimenticata da chi cita indifferentemente il segretario di Stato del 1974 e il commentatore del decennio seguente. Nella tavola dei testi ogni voce porterà perciò la qualità dell'autore alla data.</w:t>
      </w:r>
    </w:p>
    <w:p>
      <w:pPr>
        <w:spacing w:after="120" w:line="276"/>
        <w:jc w:val="both"/>
      </w:pPr>
      <w:r>
        <w:rPr>
          <w:rFonts w:ascii="Barlow Semi Condensed" w:cs="Barlow Semi Condensed" w:eastAsia="Barlow Semi Condensed" w:hAnsi="Barlow Semi Condensed"/>
          <w:b/>
          <w:bCs/>
          <w:sz w:val="24"/>
          <w:szCs w:val="24"/>
        </w:rPr>
        <w:t xml:space="preserve">104 · Le raccolte digitali e i loro limiti.</w:t>
      </w:r>
      <w:r>
        <w:rPr>
          <w:rFonts w:ascii="Barlow Semi Condensed" w:cs="Barlow Semi Condensed" w:eastAsia="Barlow Semi Condensed" w:hAnsi="Barlow Semi Condensed"/>
          <w:sz w:val="24"/>
          <w:szCs w:val="24"/>
        </w:rPr>
        <w:t xml:space="preserve"> Per il versante americano il corpus dispone già degli strumenti: la sala di lettura elettronica dell'agenzia, la banca dati full-text dei telegrammi del 1978, la collezione a microfiche intitolata a Moro nella biblioteca FOIA del Dipartimento, il censimento delle withdrawal cards. Sono i blocchi 127-132 dell'agenda. Per la serie dottrinale servono a una cosa sola: datare al giorno le posizioni dichiarate.</w:t>
      </w:r>
    </w:p>
    <w:p>
      <w:pPr>
        <w:spacing w:after="120" w:line="276"/>
        <w:jc w:val="both"/>
      </w:pPr>
      <w:r>
        <w:rPr>
          <w:rFonts w:ascii="Barlow Semi Condensed" w:cs="Barlow Semi Condensed" w:eastAsia="Barlow Semi Condensed" w:hAnsi="Barlow Semi Condensed"/>
          <w:b/>
          <w:bCs/>
          <w:sz w:val="24"/>
          <w:szCs w:val="24"/>
        </w:rPr>
        <w:t xml:space="preserve">105 · Il vuoto d'archivio si verbalizza.</w:t>
      </w:r>
      <w:r>
        <w:rPr>
          <w:rFonts w:ascii="Barlow Semi Condensed" w:cs="Barlow Semi Condensed" w:eastAsia="Barlow Semi Condensed" w:hAnsi="Barlow Semi Condensed"/>
          <w:sz w:val="24"/>
          <w:szCs w:val="24"/>
        </w:rPr>
        <w:t xml:space="preserve"> Se una ricerca dottrinale in una di queste sedi non produce nulla, l'esito si registra con perimetro esatto — serie interrogata, chiave di ricerca, data — secondo la regola che l'agenda fissa al blocco 285. Uno Stato Zero dottrinale vale quanto uno fattuale: dice a chi verrà dopo dove non conviene tornare, e a quali condizioni converrebbe tornarci.</w:t>
      </w:r>
    </w:p>
    <w:p>
      <w:pPr>
        <w:spacing w:after="120" w:line="276"/>
        <w:jc w:val="both"/>
      </w:pPr>
      <w:r>
        <w:rPr>
          <w:rFonts w:ascii="Barlow Semi Condensed" w:cs="Barlow Semi Condensed" w:eastAsia="Barlow Semi Condensed" w:hAnsi="Barlow Semi Condensed"/>
          <w:b/>
          <w:bCs/>
          <w:sz w:val="24"/>
          <w:szCs w:val="24"/>
        </w:rPr>
        <w:t xml:space="preserve">106 · La tavola delle sedi.</w:t>
      </w:r>
      <w:r>
        <w:rPr>
          <w:rFonts w:ascii="Barlow Semi Condensed" w:cs="Barlow Semi Condensed" w:eastAsia="Barlow Semi Condensed" w:hAnsi="Barlow Semi Condensed"/>
          <w:sz w:val="24"/>
          <w:szCs w:val="24"/>
        </w:rPr>
        <w:t xml:space="preserve"> Chiusura del sotto-arco archivistico: una tavola che per ciascun testo del codice dichiarato registri due indirizzi, quello dell'edizione autorevole e quello delle minute. È la gemella dottrinale della tavola del giacimento estero che l'agenda tiene al blocco 155. Nessun passo entra nella serie senza indirizzo: una citazione senza sede è, per questo corpus, una citazione non ancora avvenuta.</w:t>
      </w:r>
    </w:p>
    <w:p>
      <w:pPr>
        <w:spacing w:after="120" w:line="276"/>
        <w:jc w:val="both"/>
      </w:pPr>
      <w:r>
        <w:rPr>
          <w:rFonts w:ascii="Barlow Semi Condensed" w:cs="Barlow Semi Condensed" w:eastAsia="Barlow Semi Condensed" w:hAnsi="Barlow Semi Condensed"/>
          <w:b/>
          <w:bCs/>
          <w:sz w:val="24"/>
          <w:szCs w:val="24"/>
        </w:rPr>
        <w:t xml:space="preserve">107 · Dottrina scritta e dottrina praticata.</w:t>
      </w:r>
      <w:r>
        <w:rPr>
          <w:rFonts w:ascii="Barlow Semi Condensed" w:cs="Barlow Semi Condensed" w:eastAsia="Barlow Semi Condensed" w:hAnsi="Barlow Semi Condensed"/>
          <w:sz w:val="24"/>
          <w:szCs w:val="24"/>
        </w:rPr>
        <w:t xml:space="preserve"> Una dottrina scritta è un testo; una dottrina praticata è una serie di atti. Fra le due non corre né identità né necessaria contraddizione: corre un rapporto da misurare documento per documento. La serie non presume che gli atti eseguano i testi, né che li smentiscano: chiede, per ogni proposizione dichiarata, quale atto la renderebbe verificabile e dove quell'atto si troverebbe.</w:t>
      </w:r>
    </w:p>
    <w:p>
      <w:pPr>
        <w:spacing w:after="120" w:line="276"/>
        <w:jc w:val="both"/>
      </w:pPr>
      <w:r>
        <w:rPr>
          <w:rFonts w:ascii="Barlow Semi Condensed" w:cs="Barlow Semi Condensed" w:eastAsia="Barlow Semi Condensed" w:hAnsi="Barlow Semi Condensed"/>
          <w:b/>
          <w:bCs/>
          <w:sz w:val="24"/>
          <w:szCs w:val="24"/>
        </w:rPr>
        <w:t xml:space="preserve">108 · I tre esiti possibili del confronto.</w:t>
      </w:r>
      <w:r>
        <w:rPr>
          <w:rFonts w:ascii="Barlow Semi Condensed" w:cs="Barlow Semi Condensed" w:eastAsia="Barlow Semi Condensed" w:hAnsi="Barlow Semi Condensed"/>
          <w:sz w:val="24"/>
          <w:szCs w:val="24"/>
        </w:rPr>
        <w:t xml:space="preserve"> Il confronto fra strato dichiarato e strato degli atti può dare tre esiti: conformità, silenzio, contraddizione. Tutti e tre sono risultati. La contraddizione, in particolare, non prova di per sé la malafede: può essere adattamento all'ambiente, mutamento d'opinione databile, o effetto di un vincolo. Prima di leggerla come doppiezza occorre escludere le altre spiegazioni, ciascuna con il suo documento.</w:t>
      </w:r>
    </w:p>
    <w:p>
      <w:pPr>
        <w:spacing w:after="120" w:line="276"/>
        <w:jc w:val="both"/>
      </w:pPr>
      <w:r>
        <w:rPr>
          <w:rFonts w:ascii="Barlow Semi Condensed" w:cs="Barlow Semi Condensed" w:eastAsia="Barlow Semi Condensed" w:hAnsi="Barlow Semi Condensed"/>
          <w:b/>
          <w:bCs/>
          <w:sz w:val="24"/>
          <w:szCs w:val="24"/>
        </w:rPr>
        <w:t xml:space="preserve">109 · Quali passi sono verificabili sugli atti.</w:t>
      </w:r>
      <w:r>
        <w:rPr>
          <w:rFonts w:ascii="Barlow Semi Condensed" w:cs="Barlow Semi Condensed" w:eastAsia="Barlow Semi Condensed" w:hAnsi="Barlow Semi Condensed"/>
          <w:sz w:val="24"/>
          <w:szCs w:val="24"/>
        </w:rPr>
        <w:t xml:space="preserve"> Il quesito operativo della serie. Sono verificabili soltanto i passi che predicano qualcosa di controllabile: una preferenza per una procedura, una valutazione su un paese, una posizione annunciata. La preoccupazione documentata per un regime neutralista di sinistra a Lisbona nel 1974 è l'esempio-tipo: proposizione datata, attribuita, confrontabile con gli atti coevi. La tavola di questi passi è il prodotto centrale della serie.</w:t>
      </w:r>
    </w:p>
    <w:p>
      <w:pPr>
        <w:spacing w:after="120" w:line="276"/>
        <w:jc w:val="both"/>
      </w:pPr>
      <w:r>
        <w:rPr>
          <w:rFonts w:ascii="Barlow Semi Condensed" w:cs="Barlow Semi Condensed" w:eastAsia="Barlow Semi Condensed" w:hAnsi="Barlow Semi Condensed"/>
          <w:b/>
          <w:bCs/>
          <w:sz w:val="24"/>
          <w:szCs w:val="24"/>
        </w:rPr>
        <w:t xml:space="preserve">110 · Ciò che nessun atto può verificare.</w:t>
      </w:r>
      <w:r>
        <w:rPr>
          <w:rFonts w:ascii="Barlow Semi Condensed" w:cs="Barlow Semi Condensed" w:eastAsia="Barlow Semi Condensed" w:hAnsi="Barlow Semi Condensed"/>
          <w:sz w:val="24"/>
          <w:szCs w:val="24"/>
        </w:rPr>
        <w:t xml:space="preserve"> I passi che enunciano una filosofia della storia, un'antropologia del potere o un giudizio sulla tragicità dell'azione politica non sono verificabili su atti: non sono né veri né falsi in senso archivistico. Marcarli come tali non significa svalutarli, ma non chiedere loro ciò che non possono dare. Confondere i due generi produce false conferme e false smentite in egual misura.</w:t>
      </w:r>
    </w:p>
    <w:p>
      <w:pPr>
        <w:spacing w:after="120" w:line="276"/>
        <w:jc w:val="both"/>
      </w:pPr>
      <w:r>
        <w:rPr>
          <w:rFonts w:ascii="Barlow Semi Condensed" w:cs="Barlow Semi Condensed" w:eastAsia="Barlow Semi Condensed" w:hAnsi="Barlow Semi Condensed"/>
          <w:b/>
          <w:bCs/>
          <w:sz w:val="24"/>
          <w:szCs w:val="24"/>
        </w:rPr>
        <w:t xml:space="preserve">111 · Il caso italiano come banco di prova.</w:t>
      </w:r>
      <w:r>
        <w:rPr>
          <w:rFonts w:ascii="Barlow Semi Condensed" w:cs="Barlow Semi Condensed" w:eastAsia="Barlow Semi Condensed" w:hAnsi="Barlow Semi Condensed"/>
          <w:sz w:val="24"/>
          <w:szCs w:val="24"/>
        </w:rPr>
        <w:t xml:space="preserve"> Sull'Italia il corpus edito dice poco; il verbale riservato dice molto. Questo scarto è il banco di prova della serie: mostra che dottrina dichiarata e posizione operativa possono stare su strati di densità diversissima. La conseguenza metodica è netta: non si ricostruisce una politica italiana dai libri, né una dottrina dai verbali. Si tengono i due strati distinti e si misura la distanza.</w:t>
      </w:r>
    </w:p>
    <w:p>
      <w:pPr>
        <w:spacing w:after="120" w:line="276"/>
        <w:jc w:val="both"/>
      </w:pPr>
      <w:r>
        <w:rPr>
          <w:rFonts w:ascii="Barlow Semi Condensed" w:cs="Barlow Semi Condensed" w:eastAsia="Barlow Semi Condensed" w:hAnsi="Barlow Semi Condensed"/>
          <w:b/>
          <w:bCs/>
          <w:sz w:val="24"/>
          <w:szCs w:val="24"/>
        </w:rPr>
        <w:t xml:space="preserve">112 · La frase del 25 settembre 1974.</w:t>
      </w:r>
      <w:r>
        <w:rPr>
          <w:rFonts w:ascii="Barlow Semi Condensed" w:cs="Barlow Semi Condensed" w:eastAsia="Barlow Semi Condensed" w:hAnsi="Barlow Semi Condensed"/>
          <w:sz w:val="24"/>
          <w:szCs w:val="24"/>
        </w:rPr>
        <w:t xml:space="preserve"> Il verbale attesta che alla vigilia dell'incontro fu detto al presidente che agli italiani andasse parlato con durezza: qualunque presenza comunista al governo avrebbe mutato le relazioni, con un rischio di contagio indicato per Francia, Germania e Grecia. È fatto pubblico documentato, grado A come testo. Attesta una posizione espressa; non attesta alcuna posizione di Moro in quella sede, che non va inferita.</w:t>
      </w:r>
    </w:p>
    <w:p>
      <w:pPr>
        <w:spacing w:after="120" w:line="276"/>
        <w:jc w:val="both"/>
      </w:pPr>
      <w:r>
        <w:rPr>
          <w:rFonts w:ascii="Barlow Semi Condensed" w:cs="Barlow Semi Condensed" w:eastAsia="Barlow Semi Condensed" w:hAnsi="Barlow Semi Condensed"/>
          <w:b/>
          <w:bCs/>
          <w:sz w:val="24"/>
          <w:szCs w:val="24"/>
        </w:rPr>
        <w:t xml:space="preserve">113 · Il verbale del 26 settembre, non esaurito.</w:t>
      </w:r>
      <w:r>
        <w:rPr>
          <w:rFonts w:ascii="Barlow Semi Condensed" w:cs="Barlow Semi Condensed" w:eastAsia="Barlow Semi Condensed" w:hAnsi="Barlow Semi Condensed"/>
          <w:sz w:val="24"/>
          <w:szCs w:val="24"/>
        </w:rPr>
        <w:t xml:space="preserve"> Il colloquio del giorno successivo (doc. 1552806) è parimenti disponibile presso la Ford Library. Il corpus lo cita ma non ne ha compiuto lo spoglio integrale: è, allo stato, un bersaglio aperto. Bersaglio: trascriverlo per intero, marcare le proposizioni dottrinali che contiene e collazionarle col testo del giorno prima. Due verbali consecutivi sono, per la filologia della parola detta, un caso di controllo.</w:t>
      </w:r>
    </w:p>
    <w:p>
      <w:pPr>
        <w:spacing w:after="120" w:line="276"/>
        <w:jc w:val="both"/>
      </w:pPr>
      <w:r>
        <w:rPr>
          <w:rFonts w:ascii="Barlow Semi Condensed" w:cs="Barlow Semi Condensed" w:eastAsia="Barlow Semi Condensed" w:hAnsi="Barlow Semi Condensed"/>
          <w:b/>
          <w:bCs/>
          <w:sz w:val="24"/>
          <w:szCs w:val="24"/>
        </w:rPr>
        <w:t xml:space="preserve">114 · Il verbale che dice il contrario.</w:t>
      </w:r>
      <w:r>
        <w:rPr>
          <w:rFonts w:ascii="Barlow Semi Condensed" w:cs="Barlow Semi Condensed" w:eastAsia="Barlow Semi Condensed" w:hAnsi="Barlow Semi Condensed"/>
          <w:sz w:val="24"/>
          <w:szCs w:val="24"/>
        </w:rPr>
        <w:t xml:space="preserve"> La riunione del Comitato dei 303 dell'11 marzo 1969, edita in FRUS volume XLI documento 180, registra l'accordo unanime sull'assenza di reale giustificazione per riprendere il finanziamento coperto ai partiti italiani. È documento che contraddice l'attesa di una lettura combinatoria, e proprio per questo va riportato per primo: la disciplina delle divergenze impone di pubblicare l'atto che indebolisce l'ipotesi.</w:t>
      </w:r>
    </w:p>
    <w:p>
      <w:pPr>
        <w:spacing w:after="120" w:line="276"/>
        <w:jc w:val="both"/>
      </w:pPr>
      <w:r>
        <w:rPr>
          <w:rFonts w:ascii="Barlow Semi Condensed" w:cs="Barlow Semi Condensed" w:eastAsia="Barlow Semi Condensed" w:hAnsi="Barlow Semi Condensed"/>
          <w:b/>
          <w:bCs/>
          <w:sz w:val="24"/>
          <w:szCs w:val="24"/>
        </w:rPr>
        <w:t xml:space="preserve">115 · Ordinare uno studio non è agire.</w:t>
      </w:r>
      <w:r>
        <w:rPr>
          <w:rFonts w:ascii="Barlow Semi Condensed" w:cs="Barlow Semi Condensed" w:eastAsia="Barlow Semi Condensed" w:hAnsi="Barlow Semi Condensed"/>
          <w:sz w:val="24"/>
          <w:szCs w:val="24"/>
        </w:rPr>
        <w:t xml:space="preserve"> L'istruzione presidenziale del dicembre 1969 di avviare uno studio sull'Italia, edita nello stesso volume al documento 188, documenta un'attenzione, non una decisione operativa. La distinzione fra ordine di studiare e ordine di agire è elementare e va tenuta ferma: molte ricostruzioni la perdono per via, trasformando un promemoria istruttorio nella prova di un programma. Il documento dice ciò che dice.</w:t>
      </w:r>
    </w:p>
    <w:p>
      <w:pPr>
        <w:spacing w:after="120" w:line="276"/>
        <w:jc w:val="both"/>
      </w:pPr>
      <w:r>
        <w:rPr>
          <w:rFonts w:ascii="Barlow Semi Condensed" w:cs="Barlow Semi Condensed" w:eastAsia="Barlow Semi Condensed" w:hAnsi="Barlow Semi Condensed"/>
          <w:b/>
          <w:bCs/>
          <w:sz w:val="24"/>
          <w:szCs w:val="24"/>
        </w:rPr>
        <w:t xml:space="preserve">116 · Il riemergere del 1975 e del 1976.</w:t>
      </w:r>
      <w:r>
        <w:rPr>
          <w:rFonts w:ascii="Barlow Semi Condensed" w:cs="Barlow Semi Condensed" w:eastAsia="Barlow Semi Condensed" w:hAnsi="Barlow Semi Condensed"/>
          <w:sz w:val="24"/>
          <w:szCs w:val="24"/>
        </w:rPr>
        <w:t xml:space="preserve"> Una letteratura sottoposta a revisione paritaria segnala che il programma di azione coperta in Italia riemerse nel novembre 1975 e nel luglio 1976. Il dato è acquisito dal corpus per via secondaria: le segnature primarie che lo fondano restano da raggiungere. Bersaglio: risalire dalle note del saggio ai documenti originali e verbalizzare l'esito. Un dato citato non è ancora un dato letto.</w:t>
      </w:r>
    </w:p>
    <w:p>
      <w:pPr>
        <w:spacing w:after="120" w:line="276"/>
        <w:jc w:val="both"/>
      </w:pPr>
      <w:r>
        <w:rPr>
          <w:rFonts w:ascii="Barlow Semi Condensed" w:cs="Barlow Semi Condensed" w:eastAsia="Barlow Semi Condensed" w:hAnsi="Barlow Semi Condensed"/>
          <w:b/>
          <w:bCs/>
          <w:sz w:val="24"/>
          <w:szCs w:val="24"/>
        </w:rPr>
        <w:t xml:space="preserve">117 · La regola del confronto fra testi.</w:t>
      </w:r>
      <w:r>
        <w:rPr>
          <w:rFonts w:ascii="Barlow Semi Condensed" w:cs="Barlow Semi Condensed" w:eastAsia="Barlow Semi Condensed" w:hAnsi="Barlow Semi Condensed"/>
          <w:sz w:val="24"/>
          <w:szCs w:val="24"/>
        </w:rPr>
        <w:t xml:space="preserve"> Ciò che segue confronta testi, non persone. Nessun blocco inferisce un rapporto fra Aldo Moro e Henry Alfred Kissinger da una consonanza o da una dissonanza dei loro scritti. Né la somiglianza né la distanza fra due dottrine costituiscono un ponte: sono proprietà di pagine, non di relazioni. Chi legga questa sezione come un duello fra due uomini ne ha invertito il senso.</w:t>
      </w:r>
    </w:p>
    <w:p>
      <w:pPr>
        <w:spacing w:after="120" w:line="276"/>
        <w:jc w:val="both"/>
      </w:pPr>
      <w:r>
        <w:rPr>
          <w:rFonts w:ascii="Barlow Semi Condensed" w:cs="Barlow Semi Condensed" w:eastAsia="Barlow Semi Condensed" w:hAnsi="Barlow Semi Condensed"/>
          <w:b/>
          <w:bCs/>
          <w:sz w:val="24"/>
          <w:szCs w:val="24"/>
        </w:rPr>
        <w:t xml:space="preserve">118 · Due corpora e la loro asimmetria.</w:t>
      </w:r>
      <w:r>
        <w:rPr>
          <w:rFonts w:ascii="Barlow Semi Condensed" w:cs="Barlow Semi Condensed" w:eastAsia="Barlow Semi Condensed" w:hAnsi="Barlow Semi Condensed"/>
          <w:sz w:val="24"/>
          <w:szCs w:val="24"/>
        </w:rPr>
        <w:t xml:space="preserve"> Prima di confrontare, si confrontino i generi. Da un lato libri accademici in inglese, saggi di rivista e memorie d'autore; dall'altro discorsi parlamentari e congressuali in italiano, articoli di giornale, carte di governo, un'opera edita solo in parte. L'asimmetria non è un difetto da correggere: è il primo risultato del confronto, e va dichiarata prima di ogni accostamento di contenuto.</w:t>
      </w:r>
    </w:p>
    <w:p>
      <w:pPr>
        <w:spacing w:after="120" w:line="276"/>
        <w:jc w:val="both"/>
      </w:pPr>
      <w:r>
        <w:rPr>
          <w:rFonts w:ascii="Barlow Semi Condensed" w:cs="Barlow Semi Condensed" w:eastAsia="Barlow Semi Condensed" w:hAnsi="Barlow Semi Condensed"/>
          <w:b/>
          <w:bCs/>
          <w:sz w:val="24"/>
          <w:szCs w:val="24"/>
        </w:rPr>
        <w:t xml:space="preserve">119 · L'edizione morotea disponibile.</w:t>
      </w:r>
      <w:r>
        <w:rPr>
          <w:rFonts w:ascii="Barlow Semi Condensed" w:cs="Barlow Semi Condensed" w:eastAsia="Barlow Semi Condensed" w:hAnsi="Barlow Semi Condensed"/>
          <w:sz w:val="24"/>
          <w:szCs w:val="24"/>
        </w:rPr>
        <w:t xml:space="preserve"> Per il versante italiano le sedi sono note: i Discorsi parlamentari editi dalla Camera nel 1996 in due volumi, l'edizione digitale delle carte, il fondo personale all'Archivio centrale dello Stato e il deposito con segnatura propria all'Archivio storico del Senato, che la seconda campagna della Farnesina ha aggiunto ai tre nuclei registrati ai blocchi 221-223 e 235 dei cantieri.</w:t>
      </w:r>
    </w:p>
    <w:p>
      <w:pPr>
        <w:spacing w:after="120" w:line="276"/>
        <w:jc w:val="both"/>
      </w:pPr>
      <w:r>
        <w:rPr>
          <w:rFonts w:ascii="Barlow Semi Condensed" w:cs="Barlow Semi Condensed" w:eastAsia="Barlow Semi Condensed" w:hAnsi="Barlow Semi Condensed"/>
          <w:b/>
          <w:bCs/>
          <w:sz w:val="24"/>
          <w:szCs w:val="24"/>
        </w:rPr>
        <w:t xml:space="preserve">120 · Il testo fondatore dell'attenzione.</w:t>
      </w:r>
      <w:r>
        <w:rPr>
          <w:rFonts w:ascii="Barlow Semi Condensed" w:cs="Barlow Semi Condensed" w:eastAsia="Barlow Semi Condensed" w:hAnsi="Barlow Semi Condensed"/>
          <w:sz w:val="24"/>
          <w:szCs w:val="24"/>
        </w:rPr>
        <w:t xml:space="preserve"> La strategia dell'attenzione è formulata compiutamente nel discorso al primo congresso regionale pugliese della Democrazia Cristiana, tenuto a Bari il 15 giugno 1969. Bersaglio primo del versante italiano: stabilire il testo autorevole di quel discorso — atti congressuali, stesure conservate nei fondi, eventuale versione a stampa — e non citarlo, come oggi accade, da voci enciclopediche e da relazioni convegnistiche.</w:t>
      </w:r>
    </w:p>
    <w:p>
      <w:pPr>
        <w:spacing w:after="120" w:line="276"/>
        <w:jc w:val="both"/>
      </w:pPr>
      <w:r>
        <w:rPr>
          <w:rFonts w:ascii="Barlow Semi Condensed" w:cs="Barlow Semi Condensed" w:eastAsia="Barlow Semi Condensed" w:hAnsi="Barlow Semi Condensed"/>
          <w:b/>
          <w:bCs/>
          <w:sz w:val="24"/>
          <w:szCs w:val="24"/>
        </w:rPr>
        <w:t xml:space="preserve">121 · La terza fase e il suo articolo.</w:t>
      </w:r>
      <w:r>
        <w:rPr>
          <w:rFonts w:ascii="Barlow Semi Condensed" w:cs="Barlow Semi Condensed" w:eastAsia="Barlow Semi Condensed" w:hAnsi="Barlow Semi Condensed"/>
          <w:sz w:val="24"/>
          <w:szCs w:val="24"/>
        </w:rPr>
        <w:t xml:space="preserve"> L'espressione terza fase compare in un articolo per Il Giorno del dicembre 1976. Bersaglio: accertarne il giorno esatto, la pagina e il titolo, e acquisirne la riproduzione. Un articolo di giornale si data al giorno, e il giorno importa: colloca la formulazione rispetto alle elezioni del giugno 1976 e alla trattativa che porterà al governo del marzo 1978.</w:t>
      </w:r>
    </w:p>
    <w:p>
      <w:pPr>
        <w:spacing w:after="120" w:line="276"/>
        <w:jc w:val="both"/>
      </w:pPr>
      <w:r>
        <w:rPr>
          <w:rFonts w:ascii="Barlow Semi Condensed" w:cs="Barlow Semi Condensed" w:eastAsia="Barlow Semi Condensed" w:hAnsi="Barlow Semi Condensed"/>
          <w:b/>
          <w:bCs/>
          <w:sz w:val="24"/>
          <w:szCs w:val="24"/>
        </w:rPr>
        <w:t xml:space="preserve">122 · Le due proposizioni, affiancate.</w:t>
      </w:r>
      <w:r>
        <w:rPr>
          <w:rFonts w:ascii="Barlow Semi Condensed" w:cs="Barlow Semi Condensed" w:eastAsia="Barlow Semi Condensed" w:hAnsi="Barlow Semi Condensed"/>
          <w:sz w:val="24"/>
          <w:szCs w:val="24"/>
        </w:rPr>
        <w:t xml:space="preserve"> Si affianchino le due tesi centrali nella loro forma più asciutta. Da una parte: quanto più le masse popolari acquistano il senso dello Stato attraverso la propria integrazione, tanto più la democrazia è forte e si evitano le tentazioni autoritarie. Dall'altra: un ordine è stabile quando i suoi protagonisti ne accettano la cornice come legittima. Stessa forma logica, soggetti diversi.</w:t>
      </w:r>
    </w:p>
    <w:p>
      <w:pPr>
        <w:spacing w:after="120" w:line="276"/>
        <w:jc w:val="both"/>
      </w:pPr>
      <w:r>
        <w:rPr>
          <w:rFonts w:ascii="Barlow Semi Condensed" w:cs="Barlow Semi Condensed" w:eastAsia="Barlow Semi Condensed" w:hAnsi="Barlow Semi Condensed"/>
          <w:b/>
          <w:bCs/>
          <w:sz w:val="24"/>
          <w:szCs w:val="24"/>
        </w:rPr>
        <w:t xml:space="preserve">123 · Omonimia non è omologia.</w:t>
      </w:r>
      <w:r>
        <w:rPr>
          <w:rFonts w:ascii="Barlow Semi Condensed" w:cs="Barlow Semi Condensed" w:eastAsia="Barlow Semi Condensed" w:hAnsi="Barlow Semi Condensed"/>
          <w:sz w:val="24"/>
          <w:szCs w:val="24"/>
        </w:rPr>
        <w:t xml:space="preserve"> Equilibrio, legittimità e stabilità ricorrono in entrambi i corpora. La coincidenza lessicale non stabilisce nulla: due sistemi concettuali distinti possono usare le stesse parole con funzioni diverse. Il trattamento pieno della distinzione spetta alla serie dedicata a omologia e analogia; qui basti segnalarla come avvertimento, perché è il punto in cui una triangolazione lessicale si trasformerebbe in falsa parentela.</w:t>
      </w:r>
    </w:p>
    <w:p>
      <w:pPr>
        <w:spacing w:after="120" w:line="276"/>
        <w:jc w:val="both"/>
      </w:pPr>
      <w:r>
        <w:rPr>
          <w:rFonts w:ascii="Barlow Semi Condensed" w:cs="Barlow Semi Condensed" w:eastAsia="Barlow Semi Condensed" w:hAnsi="Barlow Semi Condensed"/>
          <w:b/>
          <w:bCs/>
          <w:sz w:val="24"/>
          <w:szCs w:val="24"/>
        </w:rPr>
        <w:t xml:space="preserve">124 · La divergenza di livello.</w:t>
      </w:r>
      <w:r>
        <w:rPr>
          <w:rFonts w:ascii="Barlow Semi Condensed" w:cs="Barlow Semi Condensed" w:eastAsia="Barlow Semi Condensed" w:hAnsi="Barlow Semi Condensed"/>
          <w:sz w:val="24"/>
          <w:szCs w:val="24"/>
        </w:rPr>
        <w:t xml:space="preserve"> La dottrina morotea riguarda la costituzione interna di una democrazia: chi sta dentro lo Stato e a quali condizioni. Il codice dichiarato riguarda i rapporti fra Stati e la tenuta di un sistema internazionale. Confrontarle senza segnalare la differenza di livello produce una simmetria falsa. Il confronto legittimo verte su un punto solo: che cosa ciascun testo consideri fonte di stabilità.</w:t>
      </w:r>
    </w:p>
    <w:p>
      <w:pPr>
        <w:spacing w:after="120" w:line="276"/>
        <w:jc w:val="both"/>
      </w:pPr>
      <w:r>
        <w:rPr>
          <w:rFonts w:ascii="Barlow Semi Condensed" w:cs="Barlow Semi Condensed" w:eastAsia="Barlow Semi Condensed" w:hAnsi="Barlow Semi Condensed"/>
          <w:b/>
          <w:bCs/>
          <w:sz w:val="24"/>
          <w:szCs w:val="24"/>
        </w:rPr>
        <w:t xml:space="preserve">125 · L'inclusione come fattore stabilizzante.</w:t>
      </w:r>
      <w:r>
        <w:rPr>
          <w:rFonts w:ascii="Barlow Semi Condensed" w:cs="Barlow Semi Condensed" w:eastAsia="Barlow Semi Condensed" w:hAnsi="Barlow Semi Condensed"/>
          <w:sz w:val="24"/>
          <w:szCs w:val="24"/>
        </w:rPr>
        <w:t xml:space="preserve"> Quesito preciso e verificabile sui testi editi: esiste, nel codice dichiarato, un passo in cui l'ingresso nell'area di governo di una forza fino ad allora esclusa sia trattato come fattore di stabilità anziché di rischio? La risposta va cercata e riportata anche se negativa. Un esito negativo, qui, sarebbe l'accertamento più significativo dell'intero confronto, e va scritto come tale.</w:t>
      </w:r>
    </w:p>
    <w:p>
      <w:pPr>
        <w:spacing w:after="120" w:line="276"/>
        <w:jc w:val="both"/>
      </w:pPr>
      <w:r>
        <w:rPr>
          <w:rFonts w:ascii="Barlow Semi Condensed" w:cs="Barlow Semi Condensed" w:eastAsia="Barlow Semi Condensed" w:hAnsi="Barlow Semi Condensed"/>
          <w:b/>
          <w:bCs/>
          <w:sz w:val="24"/>
          <w:szCs w:val="24"/>
        </w:rPr>
        <w:t xml:space="preserve">126 · Due orizzonti temporali.</w:t>
      </w:r>
      <w:r>
        <w:rPr>
          <w:rFonts w:ascii="Barlow Semi Condensed" w:cs="Barlow Semi Condensed" w:eastAsia="Barlow Semi Condensed" w:hAnsi="Barlow Semi Condensed"/>
          <w:sz w:val="24"/>
          <w:szCs w:val="24"/>
        </w:rPr>
        <w:t xml:space="preserve"> I testi moroei ragionano su tempi generazionali: l'integrazione delle masse è processo di decenni. Il codice dichiarato ragiona sulla durata di un negoziato e di un mandato. È differenza misurabile sui testi, contando le unità di tempo che ciascuno assume come proprie. Non è giudizio di valore: è dato di struttura, e spiega perché le due dottrine non si incontrino mai sul medesimo terreno.</w:t>
      </w:r>
    </w:p>
    <w:p>
      <w:pPr>
        <w:spacing w:after="120" w:line="276"/>
        <w:jc w:val="both"/>
      </w:pPr>
      <w:r>
        <w:rPr>
          <w:rFonts w:ascii="Barlow Semi Condensed" w:cs="Barlow Semi Condensed" w:eastAsia="Barlow Semi Condensed" w:hAnsi="Barlow Semi Condensed"/>
          <w:b/>
          <w:bCs/>
          <w:sz w:val="24"/>
          <w:szCs w:val="24"/>
        </w:rPr>
        <w:t xml:space="preserve">127 · La prosa come dato.</w:t>
      </w:r>
      <w:r>
        <w:rPr>
          <w:rFonts w:ascii="Barlow Semi Condensed" w:cs="Barlow Semi Condensed" w:eastAsia="Barlow Semi Condensed" w:hAnsi="Barlow Semi Condensed"/>
          <w:sz w:val="24"/>
          <w:szCs w:val="24"/>
        </w:rPr>
        <w:t xml:space="preserve"> L'oscurità deliberata della prosa morotea tiene aperte più strade finché una non diventa percorribile; il codice dichiarato è scritto per persuadere un lettore anglosassone con chiarezza espositiva. Trattare i due corpora come appartenenti allo stesso genere retorico è errore filologico prima che storico, e produce l'illusione che l'uno sia reticente dove l'altro è franco. Sono due tecniche, non due caratteri.</w:t>
      </w:r>
    </w:p>
    <w:p>
      <w:pPr>
        <w:spacing w:after="120" w:line="276"/>
        <w:jc w:val="both"/>
      </w:pPr>
      <w:r>
        <w:rPr>
          <w:rFonts w:ascii="Barlow Semi Condensed" w:cs="Barlow Semi Condensed" w:eastAsia="Barlow Semi Condensed" w:hAnsi="Barlow Semi Condensed"/>
          <w:b/>
          <w:bCs/>
          <w:sz w:val="24"/>
          <w:szCs w:val="24"/>
        </w:rPr>
        <w:t xml:space="preserve">128 · Lo Stato Zero del confronto.</w:t>
      </w:r>
      <w:r>
        <w:rPr>
          <w:rFonts w:ascii="Barlow Semi Condensed" w:cs="Barlow Semi Condensed" w:eastAsia="Barlow Semi Condensed" w:hAnsi="Barlow Semi Condensed"/>
          <w:sz w:val="24"/>
          <w:szCs w:val="24"/>
        </w:rPr>
        <w:t xml:space="preserve"> Allo stato non risulta, nelle sedi censite, alcun testo in cui l'uno dei due discuta la dottrina dell'altro. Sedi dove chiudere l'accertamento: le carte di Yale e della Library of Congress, il fondo del Senato, l'Archivio centrale dello Stato, l'edizione digitale delle carte Moro. Finché quel testo non emerga, il confronto è opera nostra e non incontro fra autori: va detto ogni volta.</w:t>
      </w:r>
    </w:p>
    <w:p>
      <w:pPr>
        <w:spacing w:after="120" w:line="276"/>
        <w:jc w:val="both"/>
      </w:pPr>
      <w:r>
        <w:rPr>
          <w:rFonts w:ascii="Barlow Semi Condensed" w:cs="Barlow Semi Condensed" w:eastAsia="Barlow Semi Condensed" w:hAnsi="Barlow Semi Condensed"/>
          <w:b/>
          <w:bCs/>
          <w:sz w:val="24"/>
          <w:szCs w:val="24"/>
        </w:rPr>
        <w:t xml:space="preserve">129 · Che cosa il confronto non stabilisce.</w:t>
      </w:r>
      <w:r>
        <w:rPr>
          <w:rFonts w:ascii="Barlow Semi Condensed" w:cs="Barlow Semi Condensed" w:eastAsia="Barlow Semi Condensed" w:hAnsi="Barlow Semi Condensed"/>
          <w:sz w:val="24"/>
          <w:szCs w:val="24"/>
        </w:rPr>
        <w:t xml:space="preserve"> Non stabilisce che le due dottrine si siano scontrate; non stabilisce che l'una sia stata formulata contro l'altra; non stabilisce che la loro differenza spieghi alcunché del 1978. Stabilisce soltanto la forma di due testi e la distanza fra due sistemi concettuali. Ogni passo oltre questa formulazione è promozione vietata, e il presidio della Fase sesta è chiamato a rilevarla.</w:t>
      </w:r>
    </w:p>
    <w:p>
      <w:pPr>
        <w:spacing w:after="120" w:line="276"/>
        <w:jc w:val="both"/>
      </w:pPr>
      <w:r>
        <w:rPr>
          <w:rFonts w:ascii="Barlow Semi Condensed" w:cs="Barlow Semi Condensed" w:eastAsia="Barlow Semi Condensed" w:hAnsi="Barlow Semi Condensed"/>
          <w:b/>
          <w:bCs/>
          <w:sz w:val="24"/>
          <w:szCs w:val="24"/>
        </w:rPr>
        <w:t xml:space="preserve">130 · Consilienza e il suo guardrail.</w:t>
      </w:r>
      <w:r>
        <w:rPr>
          <w:rFonts w:ascii="Barlow Semi Condensed" w:cs="Barlow Semi Condensed" w:eastAsia="Barlow Semi Condensed" w:hAnsi="Barlow Semi Condensed"/>
          <w:sz w:val="24"/>
          <w:szCs w:val="24"/>
        </w:rPr>
        <w:t xml:space="preserve"> Le due dottrine non sono linee di evidenza indipendenti sul medesimo fatto: sono due oggetti diversi. Confrontarle non accresce alcun grado di prova su nulla. Vale la regola che il corpus fissa per la consilienza: la convergenza rafforza solo fra linee davvero indipendenti, e mai oltre il grado della linea più debole. Qui non c'è convergenza da rafforzare: c'è una descrizione da compiere.</w:t>
      </w:r>
    </w:p>
    <w:p>
      <w:pPr>
        <w:spacing w:after="120" w:line="276"/>
        <w:jc w:val="both"/>
      </w:pPr>
      <w:r>
        <w:rPr>
          <w:rFonts w:ascii="Barlow Semi Condensed" w:cs="Barlow Semi Condensed" w:eastAsia="Barlow Semi Condensed" w:hAnsi="Barlow Semi Condensed"/>
          <w:b/>
          <w:bCs/>
          <w:sz w:val="24"/>
          <w:szCs w:val="24"/>
        </w:rPr>
        <w:t xml:space="preserve">131 · Lo Stato Zero dottrinale.</w:t>
      </w:r>
      <w:r>
        <w:rPr>
          <w:rFonts w:ascii="Barlow Semi Condensed" w:cs="Barlow Semi Condensed" w:eastAsia="Barlow Semi Condensed" w:hAnsi="Barlow Semi Condensed"/>
          <w:sz w:val="24"/>
          <w:szCs w:val="24"/>
        </w:rPr>
        <w:t xml:space="preserve"> La Fase sesta registra già, fra gli Stati Zero del caso, il documento che leghi una persona straniera nominata alla catena di comando del delitto: cercato, non trovato. Questa serie ne aggiunge uno di natura testuale: non risulta, nel corpus dichiarato, alcuna proposizione che prescriva una condotta sul caso italiano del 1978. L'assenza si dichiara con le sedi in cui è stata cercata.</w:t>
      </w:r>
    </w:p>
    <w:p>
      <w:pPr>
        <w:spacing w:after="120" w:line="276"/>
        <w:jc w:val="both"/>
      </w:pPr>
      <w:r>
        <w:rPr>
          <w:rFonts w:ascii="Barlow Semi Condensed" w:cs="Barlow Semi Condensed" w:eastAsia="Barlow Semi Condensed" w:hAnsi="Barlow Semi Condensed"/>
          <w:b/>
          <w:bCs/>
          <w:sz w:val="24"/>
          <w:szCs w:val="24"/>
        </w:rPr>
        <w:t xml:space="preserve">132 · Il divieto di lettura retroattiva.</w:t>
      </w:r>
      <w:r>
        <w:rPr>
          <w:rFonts w:ascii="Barlow Semi Condensed" w:cs="Barlow Semi Condensed" w:eastAsia="Barlow Semi Condensed" w:hAnsi="Barlow Semi Condensed"/>
          <w:sz w:val="24"/>
          <w:szCs w:val="24"/>
        </w:rPr>
        <w:t xml:space="preserve"> Leggere la tesi del 1954 come programma eseguito vent'anni dopo è l'errore che la metafora genetica invita a commettere e che il corpus vieta. Un codice non si esegue da sé; un testo giovanile non predice un atto maturo; e la coerenza fra i due, se emergesse, sarebbe una proprietà del pensiero, non una catena causale fra la pagina e il fatto.</w:t>
      </w:r>
    </w:p>
    <w:p>
      <w:pPr>
        <w:spacing w:after="120" w:line="276"/>
        <w:jc w:val="both"/>
      </w:pPr>
      <w:r>
        <w:rPr>
          <w:rFonts w:ascii="Barlow Semi Condensed" w:cs="Barlow Semi Condensed" w:eastAsia="Barlow Semi Condensed" w:hAnsi="Barlow Semi Condensed"/>
          <w:b/>
          <w:bCs/>
          <w:sz w:val="24"/>
          <w:szCs w:val="24"/>
        </w:rPr>
        <w:t xml:space="preserve">133 · Il lignaggio dottrinale non è condotta.</w:t>
      </w:r>
      <w:r>
        <w:rPr>
          <w:rFonts w:ascii="Barlow Semi Condensed" w:cs="Barlow Semi Condensed" w:eastAsia="Barlow Semi Condensed" w:hAnsi="Barlow Semi Condensed"/>
          <w:sz w:val="24"/>
          <w:szCs w:val="24"/>
        </w:rPr>
        <w:t xml:space="preserve"> La regola vale anche per le scuole di pensiero: appartenere a una tradizione realista, discendere da un maestro, condividere un lessico non prova nulla su una condotta. È la trasposizione alla storia delle idee della regola che il corpus applica alle organizzazioni. Chi ricostruisce una genealogia dottrinale compie un'operazione legittima; chi ne trae una responsabilità compie l'operazione vietata.</w:t>
      </w:r>
    </w:p>
    <w:p>
      <w:pPr>
        <w:spacing w:after="120" w:line="276"/>
        <w:jc w:val="both"/>
      </w:pPr>
      <w:r>
        <w:rPr>
          <w:rFonts w:ascii="Barlow Semi Condensed" w:cs="Barlow Semi Condensed" w:eastAsia="Barlow Semi Condensed" w:hAnsi="Barlow Semi Condensed"/>
          <w:b/>
          <w:bCs/>
          <w:sz w:val="24"/>
          <w:szCs w:val="24"/>
        </w:rPr>
        <w:t xml:space="preserve">134 · Il registro dei bersagli aperti.</w:t>
      </w:r>
      <w:r>
        <w:rPr>
          <w:rFonts w:ascii="Barlow Semi Condensed" w:cs="Barlow Semi Condensed" w:eastAsia="Barlow Semi Condensed" w:hAnsi="Barlow Semi Condensed"/>
          <w:sz w:val="24"/>
          <w:szCs w:val="24"/>
        </w:rPr>
        <w:t xml:space="preserve"> Restano aperti, alla chiusura della serie: i testi autorevoli dei discorsi coi loro apparati, le minute e le mani, la tavola delle sedi, lo spoglio integrale del verbale del 26 settembre 1974, le segnature primarie del 1975-1976, il testo di Bari del 15 giugno 1969 e l'articolo del dicembre 1976. Sette bersagli datati, ciascuno con la propria sede d'archivio.</w:t>
      </w:r>
    </w:p>
    <w:p>
      <w:pPr>
        <w:spacing w:after="120" w:line="276"/>
        <w:jc w:val="both"/>
      </w:pPr>
      <w:r>
        <w:rPr>
          <w:rFonts w:ascii="Barlow Semi Condensed" w:cs="Barlow Semi Condensed" w:eastAsia="Barlow Semi Condensed" w:hAnsi="Barlow Semi Condensed"/>
          <w:b/>
          <w:bCs/>
          <w:sz w:val="24"/>
          <w:szCs w:val="24"/>
        </w:rPr>
        <w:t xml:space="preserve">135 · Congedo della serie seconda.</w:t>
      </w:r>
      <w:r>
        <w:rPr>
          <w:rFonts w:ascii="Barlow Semi Condensed" w:cs="Barlow Semi Condensed" w:eastAsia="Barlow Semi Condensed" w:hAnsi="Barlow Semi Condensed"/>
          <w:sz w:val="24"/>
          <w:szCs w:val="24"/>
        </w:rPr>
        <w:t xml:space="preserve"> Che cosa è stabilito: che un codice dichiarato esiste, che è leggibile, che le sue sedi sono note, e che fra esso e gli atti corre una distanza da misurare e non da colmare con l'inferenza. Nulla di più, e nulla di meno. La serie che segue chiederà da chi quel codice discenda; questa si è limitata a fissare ciò che esso dice di sé.</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terza — L'ereditarietà dottrinale: da chi discende il codice</w:t>
      </w:r>
    </w:p>
    <w:p>
      <w:pPr>
        <w:spacing w:after="120" w:line="276"/>
        <w:jc w:val="both"/>
      </w:pPr>
      <w:r>
        <w:rPr>
          <w:rFonts w:ascii="Barlow Semi Condensed" w:cs="Barlow Semi Condensed" w:eastAsia="Barlow Semi Condensed" w:hAnsi="Barlow Semi Condensed"/>
          <w:i/>
          <w:iCs/>
          <w:sz w:val="24"/>
          <w:szCs w:val="24"/>
        </w:rPr>
        <w:t xml:space="preserve">Blocchi 136-205.</w:t>
      </w:r>
    </w:p>
    <w:p>
      <w:pPr>
        <w:spacing w:after="120" w:line="276"/>
        <w:jc w:val="both"/>
      </w:pPr>
      <w:r>
        <w:rPr>
          <w:rFonts w:ascii="Barlow Semi Condensed" w:cs="Barlow Semi Condensed" w:eastAsia="Barlow Semi Condensed" w:hAnsi="Barlow Semi Condensed"/>
          <w:b/>
          <w:bCs/>
          <w:sz w:val="24"/>
          <w:szCs w:val="24"/>
        </w:rPr>
        <w:t xml:space="preserve">136 · Statuto della terza serie.</w:t>
      </w:r>
      <w:r>
        <w:rPr>
          <w:rFonts w:ascii="Barlow Semi Condensed" w:cs="Barlow Semi Condensed" w:eastAsia="Barlow Semi Condensed" w:hAnsi="Barlow Semi Condensed"/>
          <w:sz w:val="24"/>
          <w:szCs w:val="24"/>
        </w:rPr>
        <w:t xml:space="preserve"> Questa serie non indaga condotte: ricostruisce una discendenza di idee, e dichiara in apertura la lente che il committente ha imposto — Kissinger come metafora della genetica —, la quale serve a porre domande più precise e non a emettere sentenze. Ogni volta che la metafora spingerà verso il determinismo o verso la colpa ereditaria, il blocco che la ospita ha l'obbligo di fermarla dicendolo.</w:t>
      </w:r>
    </w:p>
    <w:p>
      <w:pPr>
        <w:spacing w:after="120" w:line="276"/>
        <w:jc w:val="both"/>
      </w:pPr>
      <w:r>
        <w:rPr>
          <w:rFonts w:ascii="Barlow Semi Condensed" w:cs="Barlow Semi Condensed" w:eastAsia="Barlow Semi Condensed" w:hAnsi="Barlow Semi Condensed"/>
          <w:b/>
          <w:bCs/>
          <w:sz w:val="24"/>
          <w:szCs w:val="24"/>
        </w:rPr>
        <w:t xml:space="preserve">137 · Il divieto della colpa ereditaria.</w:t>
      </w:r>
      <w:r>
        <w:rPr>
          <w:rFonts w:ascii="Barlow Semi Condensed" w:cs="Barlow Semi Condensed" w:eastAsia="Barlow Semi Condensed" w:hAnsi="Barlow Semi Condensed"/>
          <w:sz w:val="24"/>
          <w:szCs w:val="24"/>
        </w:rPr>
        <w:t xml:space="preserve"> La biologia trasmette caratteri, non responsabilità: nessun figlio risponde del padre, nessun allievo di un maestro, nessun lettore di un autore. Trasferita alla dottrina, la regola diventa il primo divieto della serie — una discendenza di idee, anche accertata al grado massimo, non trasferisce sul discendente alcuna condotta dell'antenato né sull'antenato alcuna condotta del discendente.</w:t>
      </w:r>
    </w:p>
    <w:p>
      <w:pPr>
        <w:spacing w:after="120" w:line="276"/>
        <w:jc w:val="both"/>
      </w:pPr>
      <w:r>
        <w:rPr>
          <w:rFonts w:ascii="Barlow Semi Condensed" w:cs="Barlow Semi Condensed" w:eastAsia="Barlow Semi Condensed" w:hAnsi="Barlow Semi Condensed"/>
          <w:b/>
          <w:bCs/>
          <w:sz w:val="24"/>
          <w:szCs w:val="24"/>
        </w:rPr>
        <w:t xml:space="preserve">138 · Genotipo e fenotipo, la regola base.</w:t>
      </w:r>
      <w:r>
        <w:rPr>
          <w:rFonts w:ascii="Barlow Semi Condensed" w:cs="Barlow Semi Condensed" w:eastAsia="Barlow Semi Condensed" w:hAnsi="Barlow Semi Condensed"/>
          <w:sz w:val="24"/>
          <w:szCs w:val="24"/>
        </w:rPr>
        <w:t xml:space="preserve"> Il genotipo è il testo scritto; il fenotipo è l'atto compiuto. La serie li tratta come oggetti separati e non deducibili l'uno dall'altro: da ciò che un autore ha scritto sull'equilibrio europeo non discende che cosa abbia detto in una stanza, e da un atto di governo non si risale al libro che lo avrebbe prescritto.</w:t>
      </w:r>
    </w:p>
    <w:p>
      <w:pPr>
        <w:spacing w:after="120" w:line="276"/>
        <w:jc w:val="both"/>
      </w:pPr>
      <w:r>
        <w:rPr>
          <w:rFonts w:ascii="Barlow Semi Condensed" w:cs="Barlow Semi Condensed" w:eastAsia="Barlow Semi Condensed" w:hAnsi="Barlow Semi Condensed"/>
          <w:b/>
          <w:bCs/>
          <w:sz w:val="24"/>
          <w:szCs w:val="24"/>
        </w:rPr>
        <w:t xml:space="preserve">139 · Omologia contro analogia (serie III).</w:t>
      </w:r>
      <w:r>
        <w:rPr>
          <w:rFonts w:ascii="Barlow Semi Condensed" w:cs="Barlow Semi Condensed" w:eastAsia="Barlow Semi Condensed" w:hAnsi="Barlow Semi Condensed"/>
          <w:sz w:val="24"/>
          <w:szCs w:val="24"/>
        </w:rPr>
        <w:t xml:space="preserve"> Due formule simili possono discendere da una fonte comune, ed è omologia, oppure essersi formate per funzione simile in ambienti simili, ed è analogia. Solo la prima è parentela, e solo un documento la prova: la lettura attestata, la citazione con rinvio, il corso frequentato, la lettera. In assenza di quel documento la somiglianza resta analogia, e l'analogia non entra nell'albero.</w:t>
      </w:r>
    </w:p>
    <w:p>
      <w:pPr>
        <w:spacing w:after="120" w:line="276"/>
        <w:jc w:val="both"/>
      </w:pPr>
      <w:r>
        <w:rPr>
          <w:rFonts w:ascii="Barlow Semi Condensed" w:cs="Barlow Semi Condensed" w:eastAsia="Barlow Semi Condensed" w:hAnsi="Barlow Semi Condensed"/>
          <w:b/>
          <w:bCs/>
          <w:sz w:val="24"/>
          <w:szCs w:val="24"/>
        </w:rPr>
        <w:t xml:space="preserve">140 · I tre piani della discendenza.</w:t>
      </w:r>
      <w:r>
        <w:rPr>
          <w:rFonts w:ascii="Barlow Semi Condensed" w:cs="Barlow Semi Condensed" w:eastAsia="Barlow Semi Condensed" w:hAnsi="Barlow Semi Condensed"/>
          <w:sz w:val="24"/>
          <w:szCs w:val="24"/>
        </w:rPr>
        <w:t xml:space="preserve"> Applicata alle idee, la regola dei tre piani suona così: piano uno, rapporto diretto documentato — la citazione con pagina, la corrispondenza, l'iscrizione a un seminario; piano due, convergenza strutturale entro la stessa cornice — due autori dentro la medesima tradizione; piano tre, affermazione terziaria — un pubblicista che dichiara l'uno erede dell'altro. Solo il primo è un ponte; gli altri si registrano come tali.</w:t>
      </w:r>
    </w:p>
    <w:p>
      <w:pPr>
        <w:spacing w:after="120" w:line="276"/>
        <w:jc w:val="both"/>
      </w:pPr>
      <w:r>
        <w:rPr>
          <w:rFonts w:ascii="Barlow Semi Condensed" w:cs="Barlow Semi Condensed" w:eastAsia="Barlow Semi Condensed" w:hAnsi="Barlow Semi Condensed"/>
          <w:b/>
          <w:bCs/>
          <w:sz w:val="24"/>
          <w:szCs w:val="24"/>
        </w:rPr>
        <w:t xml:space="preserve">141 · Nessuna condanna, nessuna imputazione.</w:t>
      </w:r>
      <w:r>
        <w:rPr>
          <w:rFonts w:ascii="Barlow Semi Condensed" w:cs="Barlow Semi Condensed" w:eastAsia="Barlow Semi Condensed" w:hAnsi="Barlow Semi Condensed"/>
          <w:sz w:val="24"/>
          <w:szCs w:val="24"/>
        </w:rPr>
        <w:t xml:space="preserve"> Henry Alfred Kissinger, nato a Fuerth il 27 maggio 1923 e morto a Kent, nel Connecticut, il 29 novembre 2023, non è stato condannato in alcun processo, e nessun blocco di quest'opera può indicarlo come responsabile di reato. La regola non è personale ma generale: nessuno è indicato come responsabile oltre il giudicato definitivo, e ciò che questa serie studia è un corpus di testi, non un imputato.</w:t>
      </w:r>
    </w:p>
    <w:p>
      <w:pPr>
        <w:spacing w:after="120" w:line="276"/>
        <w:jc w:val="both"/>
      </w:pPr>
      <w:r>
        <w:rPr>
          <w:rFonts w:ascii="Barlow Semi Condensed" w:cs="Barlow Semi Condensed" w:eastAsia="Barlow Semi Condensed" w:hAnsi="Barlow Semi Condensed"/>
          <w:b/>
          <w:bCs/>
          <w:sz w:val="24"/>
          <w:szCs w:val="24"/>
        </w:rPr>
        <w:t xml:space="preserve">142 · Che cosa prova una citazione.</w:t>
      </w:r>
      <w:r>
        <w:rPr>
          <w:rFonts w:ascii="Barlow Semi Condensed" w:cs="Barlow Semi Condensed" w:eastAsia="Barlow Semi Condensed" w:hAnsi="Barlow Semi Condensed"/>
          <w:sz w:val="24"/>
          <w:szCs w:val="24"/>
        </w:rPr>
        <w:t xml:space="preserve"> Una citazione prova quattro cose, tutte piccole e tutte utili: che un testo esisteva a quella data, che chi cita ne conosceva almeno il passo riportato, che ha scelto di esibirlo, e in quale funzione lo ha esibito. Verificata sull'originale e con la pagina, è un fatto pubblico documentato; e non è nulla di più di quelle quattro cose.</w:t>
      </w:r>
    </w:p>
    <w:p>
      <w:pPr>
        <w:spacing w:after="120" w:line="276"/>
        <w:jc w:val="both"/>
      </w:pPr>
      <w:r>
        <w:rPr>
          <w:rFonts w:ascii="Barlow Semi Condensed" w:cs="Barlow Semi Condensed" w:eastAsia="Barlow Semi Condensed" w:hAnsi="Barlow Semi Condensed"/>
          <w:b/>
          <w:bCs/>
          <w:sz w:val="24"/>
          <w:szCs w:val="24"/>
        </w:rPr>
        <w:t xml:space="preserve">143 · Che cosa una citazione non prova.</w:t>
      </w:r>
      <w:r>
        <w:rPr>
          <w:rFonts w:ascii="Barlow Semi Condensed" w:cs="Barlow Semi Condensed" w:eastAsia="Barlow Semi Condensed" w:hAnsi="Barlow Semi Condensed"/>
          <w:sz w:val="24"/>
          <w:szCs w:val="24"/>
        </w:rPr>
        <w:t xml:space="preserve"> Non prova che l'autore citato sia stato letto per intero, né che il citante ne condivida la tesi, né che l'abbia appresa da lì, perché la citazione può venire da un'antologia, da una recensione, dall'appunto di un terzo. Soprattutto non prova alcun rapporto fra le persone: si cita un morto, un avversario, uno sconosciuto, e nessuno di questi rapporti è un rapporto.</w:t>
      </w:r>
    </w:p>
    <w:p>
      <w:pPr>
        <w:spacing w:after="120" w:line="276"/>
        <w:jc w:val="both"/>
      </w:pPr>
      <w:r>
        <w:rPr>
          <w:rFonts w:ascii="Barlow Semi Condensed" w:cs="Barlow Semi Condensed" w:eastAsia="Barlow Semi Condensed" w:hAnsi="Barlow Semi Condensed"/>
          <w:b/>
          <w:bCs/>
          <w:sz w:val="24"/>
          <w:szCs w:val="24"/>
        </w:rPr>
        <w:t xml:space="preserve">144 · La citazione di dissenso.</w:t>
      </w:r>
      <w:r>
        <w:rPr>
          <w:rFonts w:ascii="Barlow Semi Condensed" w:cs="Barlow Semi Condensed" w:eastAsia="Barlow Semi Condensed" w:hAnsi="Barlow Semi Condensed"/>
          <w:sz w:val="24"/>
          <w:szCs w:val="24"/>
        </w:rPr>
        <w:t xml:space="preserve"> È la forma più fraintesa: l'autore cita per confutare, e il repertorio bibliografico registra un legame che nel testo è una rottura. Chi costruisce un albero contando le occorrenze senza leggerne il segno ottiene una parentela rovesciata, dove l'antenato è in realtà il bersaglio; ed è l'errore che qualunque spoglio automatico produce se nessuno rilegge i passi uno per uno.</w:t>
      </w:r>
    </w:p>
    <w:p>
      <w:pPr>
        <w:spacing w:after="120" w:line="276"/>
        <w:jc w:val="both"/>
      </w:pPr>
      <w:r>
        <w:rPr>
          <w:rFonts w:ascii="Barlow Semi Condensed" w:cs="Barlow Semi Condensed" w:eastAsia="Barlow Semi Condensed" w:hAnsi="Barlow Semi Condensed"/>
          <w:b/>
          <w:bCs/>
          <w:sz w:val="24"/>
          <w:szCs w:val="24"/>
        </w:rPr>
        <w:t xml:space="preserve">145 · Citazione d'autorità e di cortesia.</w:t>
      </w:r>
      <w:r>
        <w:rPr>
          <w:rFonts w:ascii="Barlow Semi Condensed" w:cs="Barlow Semi Condensed" w:eastAsia="Barlow Semi Condensed" w:hAnsi="Barlow Semi Condensed"/>
          <w:sz w:val="24"/>
          <w:szCs w:val="24"/>
        </w:rPr>
        <w:t xml:space="preserve"> Due funzioni ulteriori vanno distinte prima di pesare qualunque rinvio: la citazione d'autorità, che arruola un nome per legittimare una tesi che da quel nome non discende, e la citazione di cortesia verso un collega, un recensore, un'istituzione ospitante. Entrambe gonfiano i conteggi senza trasmettere nulla di dottrinale, e vanno censite a parte e sottratte prima di ogni calcolo.</w:t>
      </w:r>
    </w:p>
    <w:p>
      <w:pPr>
        <w:spacing w:after="120" w:line="276"/>
        <w:jc w:val="both"/>
      </w:pPr>
      <w:r>
        <w:rPr>
          <w:rFonts w:ascii="Barlow Semi Condensed" w:cs="Barlow Semi Condensed" w:eastAsia="Barlow Semi Condensed" w:hAnsi="Barlow Semi Condensed"/>
          <w:b/>
          <w:bCs/>
          <w:sz w:val="24"/>
          <w:szCs w:val="24"/>
        </w:rPr>
        <w:t xml:space="preserve">146 · Il vettore che cancella la fonte.</w:t>
      </w:r>
      <w:r>
        <w:rPr>
          <w:rFonts w:ascii="Barlow Semi Condensed" w:cs="Barlow Semi Condensed" w:eastAsia="Barlow Semi Condensed" w:hAnsi="Barlow Semi Condensed"/>
          <w:sz w:val="24"/>
          <w:szCs w:val="24"/>
        </w:rPr>
        <w:t xml:space="preserve"> La maggior parte delle idee non viaggia dagli originali ma da manuali, antologie, dispense e traduzioni: il vettore trasmette la formula e cancella la provenienza, come una copia che perde l'intestazione. Ne segue una regola di ricerca prima che di giudizio — prima di attribuire una discendenza diretta si cerca il vettore intermedio, e nella storia delle idee lo si trova quasi sempre.</w:t>
      </w:r>
    </w:p>
    <w:p>
      <w:pPr>
        <w:spacing w:after="120" w:line="276"/>
        <w:jc w:val="both"/>
      </w:pPr>
      <w:r>
        <w:rPr>
          <w:rFonts w:ascii="Barlow Semi Condensed" w:cs="Barlow Semi Condensed" w:eastAsia="Barlow Semi Condensed" w:hAnsi="Barlow Semi Condensed"/>
          <w:b/>
          <w:bCs/>
          <w:sz w:val="24"/>
          <w:szCs w:val="24"/>
        </w:rPr>
        <w:t xml:space="preserve">147 · La citazione senza segnatura.</w:t>
      </w:r>
      <w:r>
        <w:rPr>
          <w:rFonts w:ascii="Barlow Semi Condensed" w:cs="Barlow Semi Condensed" w:eastAsia="Barlow Semi Condensed" w:hAnsi="Barlow Semi Condensed"/>
          <w:sz w:val="24"/>
          <w:szCs w:val="24"/>
        </w:rPr>
        <w:t xml:space="preserve"> Il corpus ha già la regola al blocco 309 dei nove cantieri: ogni carta dichiara fondo, serie e busta, perché la fonte senza segnatura è un sentito dire elegante. Applicata alle carte accademiche significa edizione, anno e pagina per ogni derivazione proposta, e nessun ingresso nell'albero per le formule che circolano nella pubblicistica prive di rinvio verificabile.</w:t>
      </w:r>
    </w:p>
    <w:p>
      <w:pPr>
        <w:spacing w:after="120" w:line="276"/>
        <w:jc w:val="both"/>
      </w:pPr>
      <w:r>
        <w:rPr>
          <w:rFonts w:ascii="Barlow Semi Condensed" w:cs="Barlow Semi Condensed" w:eastAsia="Barlow Semi Condensed" w:hAnsi="Barlow Semi Condensed"/>
          <w:b/>
          <w:bCs/>
          <w:sz w:val="24"/>
          <w:szCs w:val="24"/>
        </w:rPr>
        <w:t xml:space="preserve">148 · L'errore congiuntivo.</w:t>
      </w:r>
      <w:r>
        <w:rPr>
          <w:rFonts w:ascii="Barlow Semi Condensed" w:cs="Barlow Semi Condensed" w:eastAsia="Barlow Semi Condensed" w:hAnsi="Barlow Semi Condensed"/>
          <w:sz w:val="24"/>
          <w:szCs w:val="24"/>
        </w:rPr>
        <w:t xml:space="preserve"> La filologia ha risolto prima della biologia il problema della discendenza dei testi: due copie sono imparentate quando condividono un errore che nessuno commetterebbe per caso. Trasferito alla dottrina, è il criterio più forte di cui questa serie disponga — se due autori ripetono la stessa citazione sbagliata, la stessa data errata, lo stesso refuso di traduzione, la derivazione è documentata e non congetturata.</w:t>
      </w:r>
    </w:p>
    <w:p>
      <w:pPr>
        <w:spacing w:after="120" w:line="276"/>
        <w:jc w:val="both"/>
      </w:pPr>
      <w:r>
        <w:rPr>
          <w:rFonts w:ascii="Barlow Semi Condensed" w:cs="Barlow Semi Condensed" w:eastAsia="Barlow Semi Condensed" w:hAnsi="Barlow Semi Condensed"/>
          <w:b/>
          <w:bCs/>
          <w:sz w:val="24"/>
          <w:szCs w:val="24"/>
        </w:rPr>
        <w:t xml:space="preserve">149 · L'errore separativo.</w:t>
      </w:r>
      <w:r>
        <w:rPr>
          <w:rFonts w:ascii="Barlow Semi Condensed" w:cs="Barlow Semi Condensed" w:eastAsia="Barlow Semi Condensed" w:hAnsi="Barlow Semi Condensed"/>
          <w:sz w:val="24"/>
          <w:szCs w:val="24"/>
        </w:rPr>
        <w:t xml:space="preserve"> Il criterio gemello è opposto: se il presunto discendente conserva un elemento che il presunto antenato non ha mai avuto o aveva perduto, non può derivare da lui. È lo strumento che falsifica un ramo invece di confermarlo, ed è la ragione per cui ogni derivazione proposta in questa serie deve indicare accanto a sé l'errore separativo che la abbatterebbe.</w:t>
      </w:r>
    </w:p>
    <w:p>
      <w:pPr>
        <w:spacing w:after="120" w:line="276"/>
        <w:jc w:val="both"/>
      </w:pPr>
      <w:r>
        <w:rPr>
          <w:rFonts w:ascii="Barlow Semi Condensed" w:cs="Barlow Semi Condensed" w:eastAsia="Barlow Semi Condensed" w:hAnsi="Barlow Semi Condensed"/>
          <w:b/>
          <w:bCs/>
          <w:sz w:val="24"/>
          <w:szCs w:val="24"/>
        </w:rPr>
        <w:t xml:space="preserve">150 · Il luogo comune non è parentela.</w:t>
      </w:r>
      <w:r>
        <w:rPr>
          <w:rFonts w:ascii="Barlow Semi Condensed" w:cs="Barlow Semi Condensed" w:eastAsia="Barlow Semi Condensed" w:hAnsi="Barlow Semi Condensed"/>
          <w:sz w:val="24"/>
          <w:szCs w:val="24"/>
        </w:rPr>
        <w:t xml:space="preserve"> Equilibrio, stabilità, interesse nazionale, legittimità: sono il patrimonio condiviso di due secoli di diplomazia europea e ricorrono in autori che non si sono mai letti. In filogenesi un carattere ancestrale non dice nulla sulla parentela, e nella lettura dottrinale vale identico: la comunanza di lessico corrente si registra come tale e non produce alcun ramo.</w:t>
      </w:r>
    </w:p>
    <w:p>
      <w:pPr>
        <w:spacing w:after="120" w:line="276"/>
        <w:jc w:val="both"/>
      </w:pPr>
      <w:r>
        <w:rPr>
          <w:rFonts w:ascii="Barlow Semi Condensed" w:cs="Barlow Semi Condensed" w:eastAsia="Barlow Semi Condensed" w:hAnsi="Barlow Semi Condensed"/>
          <w:b/>
          <w:bCs/>
          <w:sz w:val="24"/>
          <w:szCs w:val="24"/>
        </w:rPr>
        <w:t xml:space="preserve">151 · Il carattere derivato è diagnostico.</w:t>
      </w:r>
      <w:r>
        <w:rPr>
          <w:rFonts w:ascii="Barlow Semi Condensed" w:cs="Barlow Semi Condensed" w:eastAsia="Barlow Semi Condensed" w:hAnsi="Barlow Semi Condensed"/>
          <w:sz w:val="24"/>
          <w:szCs w:val="24"/>
        </w:rPr>
        <w:t xml:space="preserve"> Ciò che discrimina è l'innovazione: la formulazione peculiare, l'esempio storico scelto fra mille possibili, l'accoppiamento inatteso di due concetti, la metafora personale. Solo i caratteri derivati e condivisi sostengono un'ipotesi di discendenza, e vanno elencati uno per uno con la pagina; un albero costruito su luoghi comuni resta un albero costruito sul nulla, per quanti rami esibisca.</w:t>
      </w:r>
    </w:p>
    <w:p>
      <w:pPr>
        <w:spacing w:after="120" w:line="276"/>
        <w:jc w:val="both"/>
      </w:pPr>
      <w:r>
        <w:rPr>
          <w:rFonts w:ascii="Barlow Semi Condensed" w:cs="Barlow Semi Condensed" w:eastAsia="Barlow Semi Condensed" w:hAnsi="Barlow Semi Condensed"/>
          <w:b/>
          <w:bCs/>
          <w:sz w:val="24"/>
          <w:szCs w:val="24"/>
        </w:rPr>
        <w:t xml:space="preserve">152 · Il maestro dichiarato.</w:t>
      </w:r>
      <w:r>
        <w:rPr>
          <w:rFonts w:ascii="Barlow Semi Condensed" w:cs="Barlow Semi Condensed" w:eastAsia="Barlow Semi Condensed" w:hAnsi="Barlow Semi Condensed"/>
          <w:sz w:val="24"/>
          <w:szCs w:val="24"/>
        </w:rPr>
        <w:t xml:space="preserve"> Si chiama maestro dichiarato chi è indicato come tale dall'allievo stesso in un testo datato e verificabile, oppure attestato da un atto istituzionale: l'iscrizione a un corso, la firma su una tesi, il verbale di una commissione. È l'unica filiazione che sta al piano uno, e si cerca negli archivi che quegli atti conservano, non nelle interviste tarde e nelle memorie di seconda mano.</w:t>
      </w:r>
    </w:p>
    <w:p>
      <w:pPr>
        <w:spacing w:after="120" w:line="276"/>
        <w:jc w:val="both"/>
      </w:pPr>
      <w:r>
        <w:rPr>
          <w:rFonts w:ascii="Barlow Semi Condensed" w:cs="Barlow Semi Condensed" w:eastAsia="Barlow Semi Condensed" w:hAnsi="Barlow Semi Condensed"/>
          <w:b/>
          <w:bCs/>
          <w:sz w:val="24"/>
          <w:szCs w:val="24"/>
        </w:rPr>
        <w:t xml:space="preserve">153 · L'influenza inferita.</w:t>
      </w:r>
      <w:r>
        <w:rPr>
          <w:rFonts w:ascii="Barlow Semi Condensed" w:cs="Barlow Semi Condensed" w:eastAsia="Barlow Semi Condensed" w:hAnsi="Barlow Semi Condensed"/>
          <w:sz w:val="24"/>
          <w:szCs w:val="24"/>
        </w:rPr>
        <w:t xml:space="preserve"> Tutto il resto è influenza inferita: il lettore riconosce un'aria di famiglia fra due pagine e la battezza discendenza. Come ipotesi è operazione legittima e sta al grado C finché non compaia l'atto che la sposti; presentata senza grado diventa la forma erudita della dietrologia, che alla catena di comando sostituisce una catena di letture mai provate.</w:t>
      </w:r>
    </w:p>
    <w:p>
      <w:pPr>
        <w:spacing w:after="120" w:line="276"/>
        <w:jc w:val="both"/>
      </w:pPr>
      <w:r>
        <w:rPr>
          <w:rFonts w:ascii="Barlow Semi Condensed" w:cs="Barlow Semi Condensed" w:eastAsia="Barlow Semi Condensed" w:hAnsi="Barlow Semi Condensed"/>
          <w:b/>
          <w:bCs/>
          <w:sz w:val="24"/>
          <w:szCs w:val="24"/>
        </w:rPr>
        <w:t xml:space="preserve">154 · Le carte studentesche e i loro limiti.</w:t>
      </w:r>
      <w:r>
        <w:rPr>
          <w:rFonts w:ascii="Barlow Semi Condensed" w:cs="Barlow Semi Condensed" w:eastAsia="Barlow Semi Condensed" w:hAnsi="Barlow Semi Condensed"/>
          <w:sz w:val="24"/>
          <w:szCs w:val="24"/>
        </w:rPr>
        <w:t xml:space="preserve"> Il fascicolo accademico di uno studente è insieme il documento più preciso e il più protetto: attesta corsi, date e voti, e quasi ovunque soggiace a restrizioni di riservatezza. Il quesito è perciò duplice — reperire presso gli Harvard University Archives quali serie siano consultabili e a quali condizioni, e ricordare che un registro di frequenza attesta presenza e non adesione.</w:t>
      </w:r>
    </w:p>
    <w:p>
      <w:pPr>
        <w:spacing w:after="120" w:line="276"/>
        <w:jc w:val="both"/>
      </w:pPr>
      <w:r>
        <w:rPr>
          <w:rFonts w:ascii="Barlow Semi Condensed" w:cs="Barlow Semi Condensed" w:eastAsia="Barlow Semi Condensed" w:hAnsi="Barlow Semi Condensed"/>
          <w:b/>
          <w:bCs/>
          <w:sz w:val="24"/>
          <w:szCs w:val="24"/>
        </w:rPr>
        <w:t xml:space="preserve">155 · Il relatore e la firma.</w:t>
      </w:r>
      <w:r>
        <w:rPr>
          <w:rFonts w:ascii="Barlow Semi Condensed" w:cs="Barlow Semi Condensed" w:eastAsia="Barlow Semi Condensed" w:hAnsi="Barlow Semi Condensed"/>
          <w:sz w:val="24"/>
          <w:szCs w:val="24"/>
        </w:rPr>
        <w:t xml:space="preserve"> Il rapporto fra dottorando e relatore si documenta per atto e non per impressione: la bibliografia corrente indica in William Yandell Elliott il docente di riferimento del giovane Kissinger a Harvard, e il quesito operativo è reperire le carte del docente e i verbali di commissione presso gli archivi dell'ateneo. Anche accertato, resterebbe rapporto di formazione, che non è rapporto di condotta.</w:t>
      </w:r>
    </w:p>
    <w:p>
      <w:pPr>
        <w:spacing w:after="120" w:line="276"/>
        <w:jc w:val="both"/>
      </w:pPr>
      <w:r>
        <w:rPr>
          <w:rFonts w:ascii="Barlow Semi Condensed" w:cs="Barlow Semi Condensed" w:eastAsia="Barlow Semi Condensed" w:hAnsi="Barlow Semi Condensed"/>
          <w:b/>
          <w:bCs/>
          <w:sz w:val="24"/>
          <w:szCs w:val="24"/>
        </w:rPr>
        <w:t xml:space="preserve">156 · Le due opere di formazione.</w:t>
      </w:r>
      <w:r>
        <w:rPr>
          <w:rFonts w:ascii="Barlow Semi Condensed" w:cs="Barlow Semi Condensed" w:eastAsia="Barlow Semi Condensed" w:hAnsi="Barlow Semi Condensed"/>
          <w:sz w:val="24"/>
          <w:szCs w:val="24"/>
        </w:rPr>
        <w:t xml:space="preserve"> Sul versante bibliografico i punti di partenza sono due, da verificare sull'esemplare e non sulla fama: la tesi di laurea sul senso della storia, discussa a Harvard intorno al 1950 con Spengler, Toynbee e Kant come interlocutori, e la dissertazione dottorale dei primi anni Cinquanta, edita nel 1957 come studio su Castlereagh, Metternich e il problema della pace fra il 1812 e il 1822.</w:t>
      </w:r>
    </w:p>
    <w:p>
      <w:pPr>
        <w:spacing w:after="120" w:line="276"/>
        <w:jc w:val="both"/>
      </w:pPr>
      <w:r>
        <w:rPr>
          <w:rFonts w:ascii="Barlow Semi Condensed" w:cs="Barlow Semi Condensed" w:eastAsia="Barlow Semi Condensed" w:hAnsi="Barlow Semi Condensed"/>
          <w:b/>
          <w:bCs/>
          <w:sz w:val="24"/>
          <w:szCs w:val="24"/>
        </w:rPr>
        <w:t xml:space="preserve">157 · La tradizione dell'equilibrio europeo.</w:t>
      </w:r>
      <w:r>
        <w:rPr>
          <w:rFonts w:ascii="Barlow Semi Condensed" w:cs="Barlow Semi Condensed" w:eastAsia="Barlow Semi Condensed" w:hAnsi="Barlow Semi Condensed"/>
          <w:sz w:val="24"/>
          <w:szCs w:val="24"/>
        </w:rPr>
        <w:t xml:space="preserve"> L'oggetto di quella dissertazione è il congresso di Vienna e la domanda su come un ordine internazionale acquisti legittimità: è la tradizione dell'equilibrio europeo, che ha ascendenti propri e nessuna relazione originaria con l'Italia del Novecento. Ricostruirne l'albero è compito storiografico autonomo, e va tenuto separato per costruzione da qualunque vicenda giudiziaria o politica successiva.</w:t>
      </w:r>
    </w:p>
    <w:p>
      <w:pPr>
        <w:spacing w:after="120" w:line="276"/>
        <w:jc w:val="both"/>
      </w:pPr>
      <w:r>
        <w:rPr>
          <w:rFonts w:ascii="Barlow Semi Condensed" w:cs="Barlow Semi Condensed" w:eastAsia="Barlow Semi Condensed" w:hAnsi="Barlow Semi Condensed"/>
          <w:b/>
          <w:bCs/>
          <w:sz w:val="24"/>
          <w:szCs w:val="24"/>
        </w:rPr>
        <w:t xml:space="preserve">158 · Il seminario come apparato di replicazione.</w:t>
      </w:r>
      <w:r>
        <w:rPr>
          <w:rFonts w:ascii="Barlow Semi Condensed" w:cs="Barlow Semi Condensed" w:eastAsia="Barlow Semi Condensed" w:hAnsi="Barlow Semi Condensed"/>
          <w:sz w:val="24"/>
          <w:szCs w:val="24"/>
        </w:rPr>
        <w:t xml:space="preserve"> Un'idea si replica dove si insegna, e il seminario internazionale diretto a Harvard dagli anni Cinquanta è, nei termini della lente, l'apparato di replicazione per eccellenza. Il quesito è puntuale e chiudibile: reperire presso gli Harvard University Archives gli elenchi dei partecipanti annata per annata e verificare se vi figurino italiani, con nomi e date. Finché l'elenco non è letto, nulla si afferma.</w:t>
      </w:r>
    </w:p>
    <w:p>
      <w:pPr>
        <w:spacing w:after="120" w:line="276"/>
        <w:jc w:val="both"/>
      </w:pPr>
      <w:r>
        <w:rPr>
          <w:rFonts w:ascii="Barlow Semi Condensed" w:cs="Barlow Semi Condensed" w:eastAsia="Barlow Semi Condensed" w:hAnsi="Barlow Semi Condensed"/>
          <w:b/>
          <w:bCs/>
          <w:sz w:val="24"/>
          <w:szCs w:val="24"/>
        </w:rPr>
        <w:t xml:space="preserve">159 · La rivista come secondo vettore.</w:t>
      </w:r>
      <w:r>
        <w:rPr>
          <w:rFonts w:ascii="Barlow Semi Condensed" w:cs="Barlow Semi Condensed" w:eastAsia="Barlow Semi Condensed" w:hAnsi="Barlow Semi Condensed"/>
          <w:sz w:val="24"/>
          <w:szCs w:val="24"/>
        </w:rPr>
        <w:t xml:space="preserve"> Accanto al seminario opera la rivista che secondo la bibliografia corrente egli fondò e diresse in quegli stessi anni, Confluence: pubblicare significa selezionare quali formule circolano e con quale firma. Il quesito è di spoglio — indice per indice, autori, temi ed eventuale presenza italiana — e la sede sono le collezioni di periodici delle biblioteche universitarie, non la memorialistica.</w:t>
      </w:r>
    </w:p>
    <w:p>
      <w:pPr>
        <w:spacing w:after="120" w:line="276"/>
        <w:jc w:val="both"/>
      </w:pPr>
      <w:r>
        <w:rPr>
          <w:rFonts w:ascii="Barlow Semi Condensed" w:cs="Barlow Semi Condensed" w:eastAsia="Barlow Semi Condensed" w:hAnsi="Barlow Semi Condensed"/>
          <w:b/>
          <w:bCs/>
          <w:sz w:val="24"/>
          <w:szCs w:val="24"/>
        </w:rPr>
        <w:t xml:space="preserve">160 · Il modello dichiarato e il suo limite.</w:t>
      </w:r>
      <w:r>
        <w:rPr>
          <w:rFonts w:ascii="Barlow Semi Condensed" w:cs="Barlow Semi Condensed" w:eastAsia="Barlow Semi Condensed" w:hAnsi="Barlow Semi Condensed"/>
          <w:sz w:val="24"/>
          <w:szCs w:val="24"/>
        </w:rPr>
        <w:t xml:space="preserve"> Il corpus possiede già il caso di scuola: le Brigate Rosse indicarono in Ernesto Guevara il proprio modello individuale dichiarato, e Renato Curcio disse che si andò a scuola di guerriglia da Feltrinelli. La filiazione dottrinale sta dunque al grado più alto, ed è proprio per questo che dimostra il divieto — Guevara, morto nel 1967, non ha parte alcuna nelle condotte del 1978.</w:t>
      </w:r>
    </w:p>
    <w:p>
      <w:pPr>
        <w:spacing w:after="120" w:line="276"/>
        <w:jc w:val="both"/>
      </w:pPr>
      <w:r>
        <w:rPr>
          <w:rFonts w:ascii="Barlow Semi Condensed" w:cs="Barlow Semi Condensed" w:eastAsia="Barlow Semi Condensed" w:hAnsi="Barlow Semi Condensed"/>
          <w:b/>
          <w:bCs/>
          <w:sz w:val="24"/>
          <w:szCs w:val="24"/>
        </w:rPr>
        <w:t xml:space="preserve">161 · La simmetria che protegge tutti.</w:t>
      </w:r>
      <w:r>
        <w:rPr>
          <w:rFonts w:ascii="Barlow Semi Condensed" w:cs="Barlow Semi Condensed" w:eastAsia="Barlow Semi Condensed" w:hAnsi="Barlow Semi Condensed"/>
          <w:sz w:val="24"/>
          <w:szCs w:val="24"/>
        </w:rPr>
        <w:t xml:space="preserve"> Il divieto vale nei due sensi e si applica con la stessa mano: se una discendenza dottrinale accertata non rende Guevara responsabile di via Fani, allora nessuna discendenza dottrinale, accertata o inferita, rende alcun autore responsabile di ciò che altri fecero invocandolo. La regola che assolve l'uno assolve l'altro, e usarla a intermittenza è la forma più comune di disonestà analitica.</w:t>
      </w:r>
    </w:p>
    <w:p>
      <w:pPr>
        <w:spacing w:after="120" w:line="276"/>
        <w:jc w:val="both"/>
      </w:pPr>
      <w:r>
        <w:rPr>
          <w:rFonts w:ascii="Barlow Semi Condensed" w:cs="Barlow Semi Condensed" w:eastAsia="Barlow Semi Condensed" w:hAnsi="Barlow Semi Condensed"/>
          <w:b/>
          <w:bCs/>
          <w:sz w:val="24"/>
          <w:szCs w:val="24"/>
        </w:rPr>
        <w:t xml:space="preserve">162 · Che cos'è un albero dottrinale.</w:t>
      </w:r>
      <w:r>
        <w:rPr>
          <w:rFonts w:ascii="Barlow Semi Condensed" w:cs="Barlow Semi Condensed" w:eastAsia="Barlow Semi Condensed" w:hAnsi="Barlow Semi Condensed"/>
          <w:sz w:val="24"/>
          <w:szCs w:val="24"/>
        </w:rPr>
        <w:t xml:space="preserve"> Un albero dottrinale è un'ipotesi di parentela fra testi, non fra persone, costruita su caratteri dichiarati e confutabile carattere per carattere. Ha nodi che sono opere datate, rami che sono derivazioni documentate, e una radice che è il testo più antico attestato: non l'idea più generale, la quale non è un antenato ma un'astrazione del compilatore.</w:t>
      </w:r>
    </w:p>
    <w:p>
      <w:pPr>
        <w:spacing w:after="120" w:line="276"/>
        <w:jc w:val="both"/>
      </w:pPr>
      <w:r>
        <w:rPr>
          <w:rFonts w:ascii="Barlow Semi Condensed" w:cs="Barlow Semi Condensed" w:eastAsia="Barlow Semi Condensed" w:hAnsi="Barlow Semi Condensed"/>
          <w:b/>
          <w:bCs/>
          <w:sz w:val="24"/>
          <w:szCs w:val="24"/>
        </w:rPr>
        <w:t xml:space="preserve">163 · La scelta dei caratteri.</w:t>
      </w:r>
      <w:r>
        <w:rPr>
          <w:rFonts w:ascii="Barlow Semi Condensed" w:cs="Barlow Semi Condensed" w:eastAsia="Barlow Semi Condensed" w:hAnsi="Barlow Semi Condensed"/>
          <w:sz w:val="24"/>
          <w:szCs w:val="24"/>
        </w:rPr>
        <w:t xml:space="preserve"> Prima dell'albero si scrive la matrice: quali caratteri si osservano, come si codificano, chi li ha codificati. Un carattere ammissibile è enunciabile in modo che un secondo lettore, davanti alla stessa pagina, possa dire se sia presente o assente; un carattere come realismo non lo è, e va scomposto in tratti verificabili oppure abbandonato senza rimpianti.</w:t>
      </w:r>
    </w:p>
    <w:p>
      <w:pPr>
        <w:spacing w:after="120" w:line="276"/>
        <w:jc w:val="both"/>
      </w:pPr>
      <w:r>
        <w:rPr>
          <w:rFonts w:ascii="Barlow Semi Condensed" w:cs="Barlow Semi Condensed" w:eastAsia="Barlow Semi Condensed" w:hAnsi="Barlow Semi Condensed"/>
          <w:b/>
          <w:bCs/>
          <w:sz w:val="24"/>
          <w:szCs w:val="24"/>
        </w:rPr>
        <w:t xml:space="preserve">164 · Il gruppo esterno.</w:t>
      </w:r>
      <w:r>
        <w:rPr>
          <w:rFonts w:ascii="Barlow Semi Condensed" w:cs="Barlow Semi Condensed" w:eastAsia="Barlow Semi Condensed" w:hAnsi="Barlow Semi Condensed"/>
          <w:sz w:val="24"/>
          <w:szCs w:val="24"/>
        </w:rPr>
        <w:t xml:space="preserve"> Nessun albero si regge senza un termine di paragone esterno: autori della stessa epoca e dello stesso mestiere che non appartengono al lignaggio studiato. Se il carattere creduto diagnostico compare anche in loro, non è diagnostico ma d'epoca. È il controllo che manca a quasi tutte le genealogie intellettuali della pubblicistica, ed è quello che le falsificherebbe in un pomeriggio di biblioteca.</w:t>
      </w:r>
    </w:p>
    <w:p>
      <w:pPr>
        <w:spacing w:after="120" w:line="276"/>
        <w:jc w:val="both"/>
      </w:pPr>
      <w:r>
        <w:rPr>
          <w:rFonts w:ascii="Barlow Semi Condensed" w:cs="Barlow Semi Condensed" w:eastAsia="Barlow Semi Condensed" w:hAnsi="Barlow Semi Condensed"/>
          <w:b/>
          <w:bCs/>
          <w:sz w:val="24"/>
          <w:szCs w:val="24"/>
        </w:rPr>
        <w:t xml:space="preserve">165 · La parsimonia e il suo limite.</w:t>
      </w:r>
      <w:r>
        <w:rPr>
          <w:rFonts w:ascii="Barlow Semi Condensed" w:cs="Barlow Semi Condensed" w:eastAsia="Barlow Semi Condensed" w:hAnsi="Barlow Semi Condensed"/>
          <w:sz w:val="24"/>
          <w:szCs w:val="24"/>
        </w:rPr>
        <w:t xml:space="preserve"> Fra due alberi compatibili con gli stessi dati si preferisce quello che richiede meno derivazioni indipendenti: è criterio di economia, non prova, e va dichiarato come tale. La storia delle idee è ricca di ripetizioni indipendenti, sicché un albero più semplice può essere più elegante e falso. La parsimonia ordina le ipotesi; non ne promuove il grado di una sola tacca.</w:t>
      </w:r>
    </w:p>
    <w:p>
      <w:pPr>
        <w:spacing w:after="120" w:line="276"/>
        <w:jc w:val="both"/>
      </w:pPr>
      <w:r>
        <w:rPr>
          <w:rFonts w:ascii="Barlow Semi Condensed" w:cs="Barlow Semi Condensed" w:eastAsia="Barlow Semi Condensed" w:hAnsi="Barlow Semi Condensed"/>
          <w:b/>
          <w:bCs/>
          <w:sz w:val="24"/>
          <w:szCs w:val="24"/>
        </w:rPr>
        <w:t xml:space="preserve">166 · Che cosa abbatterebbe l'albero.</w:t>
      </w:r>
      <w:r>
        <w:rPr>
          <w:rFonts w:ascii="Barlow Semi Condensed" w:cs="Barlow Semi Condensed" w:eastAsia="Barlow Semi Condensed" w:hAnsi="Barlow Semi Condensed"/>
          <w:sz w:val="24"/>
          <w:szCs w:val="24"/>
        </w:rPr>
        <w:t xml:space="preserve"> Ogni ramo proposto porta scritta accanto la propria smentita: il documento che, comparendo, lo taglierebbe — una lettera che attesti la lettura in senso inverso, una datazione che renda impossibile la derivazione, un terzo testo anteriore da cui entrambi dipendono. Un ramo privo di criterio di smentita non è un risultato ma un'illustrazione, e va tolto dall'albero prima della pubblicazione.</w:t>
      </w:r>
    </w:p>
    <w:p>
      <w:pPr>
        <w:spacing w:after="120" w:line="276"/>
        <w:jc w:val="both"/>
      </w:pPr>
      <w:r>
        <w:rPr>
          <w:rFonts w:ascii="Barlow Semi Condensed" w:cs="Barlow Semi Condensed" w:eastAsia="Barlow Semi Condensed" w:hAnsi="Barlow Semi Condensed"/>
          <w:b/>
          <w:bCs/>
          <w:sz w:val="24"/>
          <w:szCs w:val="24"/>
        </w:rPr>
        <w:t xml:space="preserve">167 · Il trasferimento orizzontale.</w:t>
      </w:r>
      <w:r>
        <w:rPr>
          <w:rFonts w:ascii="Barlow Semi Condensed" w:cs="Barlow Semi Condensed" w:eastAsia="Barlow Semi Condensed" w:hAnsi="Barlow Semi Condensed"/>
          <w:sz w:val="24"/>
          <w:szCs w:val="24"/>
        </w:rPr>
        <w:t xml:space="preserve"> Le idee non scendono soltanto da maestro ad allievo: passano di lato, fra coetanei, in redazioni, commissioni, corridoi e conferenze, e la topologia ad albero le rappresenta male. Dove il passaggio laterale è documentato si registra come tale; dove è soltanto possibile si dichiara che l'albero è una semplificazione di una rete, e non se ne traggono conseguenze di priorità fra i rami.</w:t>
      </w:r>
    </w:p>
    <w:p>
      <w:pPr>
        <w:spacing w:after="120" w:line="276"/>
        <w:jc w:val="both"/>
      </w:pPr>
      <w:r>
        <w:rPr>
          <w:rFonts w:ascii="Barlow Semi Condensed" w:cs="Barlow Semi Condensed" w:eastAsia="Barlow Semi Condensed" w:hAnsi="Barlow Semi Condensed"/>
          <w:b/>
          <w:bCs/>
          <w:sz w:val="24"/>
          <w:szCs w:val="24"/>
        </w:rPr>
        <w:t xml:space="preserve">168 · Si gradua la sinapsi, non il nodo.</w:t>
      </w:r>
      <w:r>
        <w:rPr>
          <w:rFonts w:ascii="Barlow Semi Condensed" w:cs="Barlow Semi Condensed" w:eastAsia="Barlow Semi Condensed" w:hAnsi="Barlow Semi Condensed"/>
          <w:sz w:val="24"/>
          <w:szCs w:val="24"/>
        </w:rPr>
        <w:t xml:space="preserve"> La rete documentata del corpus conta trentanove nodi e cinquantanove archi, e nessun arco vi entra senza il proprio grado: la regola vale identica per l'albero dottrinale, dove a portare il grado è la derivazione e non l'autore. Un autore non ha grado; lo ha ciascuna singola discendenza che gli si attribuisce, una per una, con la sua carta e la sua pagina.</w:t>
      </w:r>
    </w:p>
    <w:p>
      <w:pPr>
        <w:spacing w:after="120" w:line="276"/>
        <w:jc w:val="both"/>
      </w:pPr>
      <w:r>
        <w:rPr>
          <w:rFonts w:ascii="Barlow Semi Condensed" w:cs="Barlow Semi Condensed" w:eastAsia="Barlow Semi Condensed" w:hAnsi="Barlow Semi Condensed"/>
          <w:b/>
          <w:bCs/>
          <w:sz w:val="24"/>
          <w:szCs w:val="24"/>
        </w:rPr>
        <w:t xml:space="preserve">169 · L'anello debole del lignaggio.</w:t>
      </w:r>
      <w:r>
        <w:rPr>
          <w:rFonts w:ascii="Barlow Semi Condensed" w:cs="Barlow Semi Condensed" w:eastAsia="Barlow Semi Condensed" w:hAnsi="Barlow Semi Condensed"/>
          <w:sz w:val="24"/>
          <w:szCs w:val="24"/>
        </w:rPr>
        <w:t xml:space="preserve"> Il grado di un cammino è il grado minimo fra i suoi archi: un lignaggio che attraversi anche un solo passaggio congetturale vale quel passaggio, per quante derivazioni documentate contenga a monte e a valle. Ne segue che le catene lunghe sono quasi sempre deboli, e che una catena a due anelli documentati vale più di una a otto anelli suggestivi.</w:t>
      </w:r>
    </w:p>
    <w:p>
      <w:pPr>
        <w:spacing w:after="120" w:line="276"/>
        <w:jc w:val="both"/>
      </w:pPr>
      <w:r>
        <w:rPr>
          <w:rFonts w:ascii="Barlow Semi Condensed" w:cs="Barlow Semi Condensed" w:eastAsia="Barlow Semi Condensed" w:hAnsi="Barlow Semi Condensed"/>
          <w:b/>
          <w:bCs/>
          <w:sz w:val="24"/>
          <w:szCs w:val="24"/>
        </w:rPr>
        <w:t xml:space="preserve">170 · Il buco che dice altro.</w:t>
      </w:r>
      <w:r>
        <w:rPr>
          <w:rFonts w:ascii="Barlow Semi Condensed" w:cs="Barlow Semi Condensed" w:eastAsia="Barlow Semi Condensed" w:hAnsi="Barlow Semi Condensed"/>
          <w:sz w:val="24"/>
          <w:szCs w:val="24"/>
        </w:rPr>
        <w:t xml:space="preserve"> Se fra due autori nessun documento attesta contatto, il vuoto non prova estraneità: prova in prima istanza che nessuno ha ancora scritto lo studio che li tratta insieme. La procedura del corpus è a due tempi — si misura il buco e lo si dichiara, poi se ne diagnostica la causa nella specializzazione delle fonti — e solo dopo lo si interroga sulla struttura del mondo.</w:t>
      </w:r>
    </w:p>
    <w:p>
      <w:pPr>
        <w:spacing w:after="120" w:line="276"/>
        <w:jc w:val="both"/>
      </w:pPr>
      <w:r>
        <w:rPr>
          <w:rFonts w:ascii="Barlow Semi Condensed" w:cs="Barlow Semi Condensed" w:eastAsia="Barlow Semi Condensed" w:hAnsi="Barlow Semi Condensed"/>
          <w:b/>
          <w:bCs/>
          <w:sz w:val="24"/>
          <w:szCs w:val="24"/>
        </w:rPr>
        <w:t xml:space="preserve">171 · Le ipotesi concorrenti di discendenza.</w:t>
      </w:r>
      <w:r>
        <w:rPr>
          <w:rFonts w:ascii="Barlow Semi Condensed" w:cs="Barlow Semi Condensed" w:eastAsia="Barlow Semi Condensed" w:hAnsi="Barlow Semi Condensed"/>
          <w:sz w:val="24"/>
          <w:szCs w:val="24"/>
        </w:rPr>
        <w:t xml:space="preserve"> Il quesito genealogico è impersonale e sopporta perciò la matrice di Heuer, con quattro ipotesi in colonna: derivazione diretta, dipendenza comune da un terzo testo, convergenza indipendente, coincidenza di lessico d'epoca. Si incrocia ogni evidenza con ciascuna e si cerca quella diagnostica, incompatibile con almeno un'ipotesi; se nessuna discrimina, il quesito è indecidibile allo stato, e questo è il risultato da scrivere.</w:t>
      </w:r>
    </w:p>
    <w:p>
      <w:pPr>
        <w:spacing w:after="120" w:line="276"/>
        <w:jc w:val="both"/>
      </w:pPr>
      <w:r>
        <w:rPr>
          <w:rFonts w:ascii="Barlow Semi Condensed" w:cs="Barlow Semi Condensed" w:eastAsia="Barlow Semi Condensed" w:hAnsi="Barlow Semi Condensed"/>
          <w:b/>
          <w:bCs/>
          <w:sz w:val="24"/>
          <w:szCs w:val="24"/>
        </w:rPr>
        <w:t xml:space="preserve">172 · Consilienza solo fra linee indipendenti.</w:t>
      </w:r>
      <w:r>
        <w:rPr>
          <w:rFonts w:ascii="Barlow Semi Condensed" w:cs="Barlow Semi Condensed" w:eastAsia="Barlow Semi Condensed" w:hAnsi="Barlow Semi Condensed"/>
          <w:sz w:val="24"/>
          <w:szCs w:val="24"/>
        </w:rPr>
        <w:t xml:space="preserve"> Tre indizi di derivazione che provengano tutti dalla stessa biografia autorizzata non sono tre linee: sono una sola, ripetuta tre volte. La consilienza rafforza soltanto fra linee davvero indipendenti e mai oltre il grado della più debole; nella storia delle idee l'indipendenza è rara, perché i repertori si copiano fra loro, e va dimostrata prima di essere invocata.</w:t>
      </w:r>
    </w:p>
    <w:p>
      <w:pPr>
        <w:spacing w:after="120" w:line="276"/>
        <w:jc w:val="both"/>
      </w:pPr>
      <w:r>
        <w:rPr>
          <w:rFonts w:ascii="Barlow Semi Condensed" w:cs="Barlow Semi Condensed" w:eastAsia="Barlow Semi Condensed" w:hAnsi="Barlow Semi Condensed"/>
          <w:b/>
          <w:bCs/>
          <w:sz w:val="24"/>
          <w:szCs w:val="24"/>
        </w:rPr>
        <w:t xml:space="preserve">173 · Nessuna discendenza a ritroso.</w:t>
      </w:r>
      <w:r>
        <w:rPr>
          <w:rFonts w:ascii="Barlow Semi Condensed" w:cs="Barlow Semi Condensed" w:eastAsia="Barlow Semi Condensed" w:hAnsi="Barlow Semi Condensed"/>
          <w:sz w:val="24"/>
          <w:szCs w:val="24"/>
        </w:rPr>
        <w:t xml:space="preserve"> Il controllo più banale e più spesso omesso è cronologico: il presunto antenato deve essere anteriore e accessibile — pubblicato, tradotto, circolante — prima del testo che se ne direbbe derivato. Una traduzione italiana successiva all'atto che avrebbe ispirato chiude la questione; ed è la ragione per cui ogni ramo porta due date, quella dell'originale e quella della disponibilità effettiva.</w:t>
      </w:r>
    </w:p>
    <w:p>
      <w:pPr>
        <w:spacing w:after="120" w:line="276"/>
        <w:jc w:val="both"/>
      </w:pPr>
      <w:r>
        <w:rPr>
          <w:rFonts w:ascii="Barlow Semi Condensed" w:cs="Barlow Semi Condensed" w:eastAsia="Barlow Semi Condensed" w:hAnsi="Barlow Semi Condensed"/>
          <w:b/>
          <w:bCs/>
          <w:sz w:val="24"/>
          <w:szCs w:val="24"/>
        </w:rPr>
        <w:t xml:space="preserve">174 · L'omoplasia dottrinale.</w:t>
      </w:r>
      <w:r>
        <w:rPr>
          <w:rFonts w:ascii="Barlow Semi Condensed" w:cs="Barlow Semi Condensed" w:eastAsia="Barlow Semi Condensed" w:hAnsi="Barlow Semi Condensed"/>
          <w:sz w:val="24"/>
          <w:szCs w:val="24"/>
        </w:rPr>
        <w:t xml:space="preserve"> Accade regolarmente che due autori giungano alla stessa formula per vie separate, perché affrontano lo stesso problema con gli stessi strumenti concettuali disponibili: in biologia si chiama convergenza e non è parentela. Nel lavoro dottrinale va tenuta fra le ipotesi standard, alla pari della derivazione, e non invocata come spiegazione residuale quando la derivazione non si trova.</w:t>
      </w:r>
    </w:p>
    <w:p>
      <w:pPr>
        <w:spacing w:after="120" w:line="276"/>
        <w:jc w:val="both"/>
      </w:pPr>
      <w:r>
        <w:rPr>
          <w:rFonts w:ascii="Barlow Semi Condensed" w:cs="Barlow Semi Condensed" w:eastAsia="Barlow Semi Condensed" w:hAnsi="Barlow Semi Condensed"/>
          <w:b/>
          <w:bCs/>
          <w:sz w:val="24"/>
          <w:szCs w:val="24"/>
        </w:rPr>
        <w:t xml:space="preserve">175 · La lingua franca di un'epoca.</w:t>
      </w:r>
      <w:r>
        <w:rPr>
          <w:rFonts w:ascii="Barlow Semi Condensed" w:cs="Barlow Semi Condensed" w:eastAsia="Barlow Semi Condensed" w:hAnsi="Barlow Semi Condensed"/>
          <w:sz w:val="24"/>
          <w:szCs w:val="24"/>
        </w:rPr>
        <w:t xml:space="preserve"> Chi scriveva di politica internazionale fra il 1950 e il 1975 disponeva di un vocabolario obbligato — deterrenza, credibilità, distensione, contenimento — e non poteva non usarlo. Lo strumento che ne deriva è un gruppo esterno lessicale: si compila da un campione indipendente di riviste dell'epoca l'elenco dei termini correnti, e lo si sottrae prima di ogni confronto fra due autori.</w:t>
      </w:r>
    </w:p>
    <w:p>
      <w:pPr>
        <w:spacing w:after="120" w:line="276"/>
        <w:jc w:val="both"/>
      </w:pPr>
      <w:r>
        <w:rPr>
          <w:rFonts w:ascii="Barlow Semi Condensed" w:cs="Barlow Semi Condensed" w:eastAsia="Barlow Semi Condensed" w:hAnsi="Barlow Semi Condensed"/>
          <w:b/>
          <w:bCs/>
          <w:sz w:val="24"/>
          <w:szCs w:val="24"/>
        </w:rPr>
        <w:t xml:space="preserve">176 · Effetto convergente da causa comune.</w:t>
      </w:r>
      <w:r>
        <w:rPr>
          <w:rFonts w:ascii="Barlow Semi Condensed" w:cs="Barlow Semi Condensed" w:eastAsia="Barlow Semi Condensed" w:hAnsi="Barlow Semi Condensed"/>
          <w:sz w:val="24"/>
          <w:szCs w:val="24"/>
        </w:rPr>
        <w:t xml:space="preserve"> Il corpus ha già coniato la categoria: due esiti simultanei che discendono provatamente dallo stesso evento e non l'uno dall'altro. Il 1973 cileno ne è l'esempio maggiore, poiché dal medesimo fatto la sinistra rivoluzionaria trasse la conferma dell'inutilità delle urne e Berlinguer la necessità del compromesso storico. La categoria serve proprio a impedire che i due effetti vengano legati fra loro.</w:t>
      </w:r>
    </w:p>
    <w:p>
      <w:pPr>
        <w:spacing w:after="120" w:line="276"/>
        <w:jc w:val="both"/>
      </w:pPr>
      <w:r>
        <w:rPr>
          <w:rFonts w:ascii="Barlow Semi Condensed" w:cs="Barlow Semi Condensed" w:eastAsia="Barlow Semi Condensed" w:hAnsi="Barlow Semi Condensed"/>
          <w:b/>
          <w:bCs/>
          <w:sz w:val="24"/>
          <w:szCs w:val="24"/>
        </w:rPr>
        <w:t xml:space="preserve">177 · Reagire allo stesso fatto non imparenta.</w:t>
      </w:r>
      <w:r>
        <w:rPr>
          <w:rFonts w:ascii="Barlow Semi Condensed" w:cs="Barlow Semi Condensed" w:eastAsia="Barlow Semi Condensed" w:hAnsi="Barlow Semi Condensed"/>
          <w:sz w:val="24"/>
          <w:szCs w:val="24"/>
        </w:rPr>
        <w:t xml:space="preserve"> La simultaneità delle reazioni è il grado più basso della griglia: meno della convergenza di obiettivo documentata, meno della comunanza di ambiente istituzionale. Che fra il 1973 e il 1974 la questione del comunismo al governo occupasse insieme Washington, Roma e Botteghe Oscure è cornice al grado di fatto pubblico: descrive il campo in cui tutti si mossero, non la trasmissione di un codice.</w:t>
      </w:r>
    </w:p>
    <w:p>
      <w:pPr>
        <w:spacing w:after="120" w:line="276"/>
        <w:jc w:val="both"/>
      </w:pPr>
      <w:r>
        <w:rPr>
          <w:rFonts w:ascii="Barlow Semi Condensed" w:cs="Barlow Semi Condensed" w:eastAsia="Barlow Semi Condensed" w:hAnsi="Barlow Semi Condensed"/>
          <w:b/>
          <w:bCs/>
          <w:sz w:val="24"/>
          <w:szCs w:val="24"/>
        </w:rPr>
        <w:t xml:space="preserve">178 · La genealogia interna dell'attenzione.</w:t>
      </w:r>
      <w:r>
        <w:rPr>
          <w:rFonts w:ascii="Barlow Semi Condensed" w:cs="Barlow Semi Condensed" w:eastAsia="Barlow Semi Condensed" w:hAnsi="Barlow Semi Condensed"/>
          <w:sz w:val="24"/>
          <w:szCs w:val="24"/>
        </w:rPr>
        <w:t xml:space="preserve"> La formula morotea dell'attenzione ha ascendenti propri e italiani — la formazione giuridica, il personalismo cattolico, l'esperienza costituente — e il suo omologo internazionale, la dottrina dell'equilibrio e la proiezione mediterranea, è documentato negli atti della Farnesina fra il 1969 e il 1974. Che due dottrine dell'equilibrio coesistano non le imparenta: chiede, semmai, di distinguerne le radici con cura maggiore.</w:t>
      </w:r>
    </w:p>
    <w:p>
      <w:pPr>
        <w:spacing w:after="120" w:line="276"/>
        <w:jc w:val="both"/>
      </w:pPr>
      <w:r>
        <w:rPr>
          <w:rFonts w:ascii="Barlow Semi Condensed" w:cs="Barlow Semi Condensed" w:eastAsia="Barlow Semi Condensed" w:hAnsi="Barlow Semi Condensed"/>
          <w:b/>
          <w:bCs/>
          <w:sz w:val="24"/>
          <w:szCs w:val="24"/>
        </w:rPr>
        <w:t xml:space="preserve">179 · La trappola del sinonimo.</w:t>
      </w:r>
      <w:r>
        <w:rPr>
          <w:rFonts w:ascii="Barlow Semi Condensed" w:cs="Barlow Semi Condensed" w:eastAsia="Barlow Semi Condensed" w:hAnsi="Barlow Semi Condensed"/>
          <w:sz w:val="24"/>
          <w:szCs w:val="24"/>
        </w:rPr>
        <w:t xml:space="preserve"> Stabilità significa cose diverse in due tradizioni: conservazione di un assetto nella prima, allargamento graduale del perimetro democratico nella seconda. Un albero costruito sulle parole e non sui loro referenti unisce ciò che è opposto; la regola operativa è che ogni carattere sia definito con l'esempio concreto che l'autore ne dà, e mai con il termine che lo nomina.</w:t>
      </w:r>
    </w:p>
    <w:p>
      <w:pPr>
        <w:spacing w:after="120" w:line="276"/>
        <w:jc w:val="both"/>
      </w:pPr>
      <w:r>
        <w:rPr>
          <w:rFonts w:ascii="Barlow Semi Condensed" w:cs="Barlow Semi Condensed" w:eastAsia="Barlow Semi Condensed" w:hAnsi="Barlow Semi Condensed"/>
          <w:b/>
          <w:bCs/>
          <w:sz w:val="24"/>
          <w:szCs w:val="24"/>
        </w:rPr>
        <w:t xml:space="preserve">180 · Come si prova l'indipendenza.</w:t>
      </w:r>
      <w:r>
        <w:rPr>
          <w:rFonts w:ascii="Barlow Semi Condensed" w:cs="Barlow Semi Condensed" w:eastAsia="Barlow Semi Condensed" w:hAnsi="Barlow Semi Condensed"/>
          <w:sz w:val="24"/>
          <w:szCs w:val="24"/>
        </w:rPr>
        <w:t xml:space="preserve"> L'indipendenza di due linee si dimostra e non si presume: assenza di citazione reciproca nei testi editi, assenza di traduzione disponibile alla data utile, cataloghi delle biblioteche personali, corrispondenza spogliata, elenchi di corsi e conferenze. Ogni verifica riuscita alza il grado dell'ipotesi convergente; ogni verifica omessa la lascia dove sta, che è il piano due e nulla di più.</w:t>
      </w:r>
    </w:p>
    <w:p>
      <w:pPr>
        <w:spacing w:after="120" w:line="276"/>
        <w:jc w:val="both"/>
      </w:pPr>
      <w:r>
        <w:rPr>
          <w:rFonts w:ascii="Barlow Semi Condensed" w:cs="Barlow Semi Condensed" w:eastAsia="Barlow Semi Condensed" w:hAnsi="Barlow Semi Condensed"/>
          <w:b/>
          <w:bCs/>
          <w:sz w:val="24"/>
          <w:szCs w:val="24"/>
        </w:rPr>
        <w:t xml:space="preserve">181 · L'indecidibile si scrive.</w:t>
      </w:r>
      <w:r>
        <w:rPr>
          <w:rFonts w:ascii="Barlow Semi Condensed" w:cs="Barlow Semi Condensed" w:eastAsia="Barlow Semi Condensed" w:hAnsi="Barlow Semi Condensed"/>
          <w:sz w:val="24"/>
          <w:szCs w:val="24"/>
        </w:rPr>
        <w:t xml:space="preserve"> Quando le prove disponibili sono compatibili tanto con la derivazione quanto con la convergenza, la conclusione non è la più suggestiva delle due: è che il quesito resta aperto, con l'evidenza discriminante nominata e la sede dove cercarla. L'agenda lo prescrive al blocco 297 — alla generazione successiva si consegnano domande pulite, non sospetti già orientati.</w:t>
      </w:r>
    </w:p>
    <w:p>
      <w:pPr>
        <w:spacing w:after="120" w:line="276"/>
        <w:jc w:val="both"/>
      </w:pPr>
      <w:r>
        <w:rPr>
          <w:rFonts w:ascii="Barlow Semi Condensed" w:cs="Barlow Semi Condensed" w:eastAsia="Barlow Semi Condensed" w:hAnsi="Barlow Semi Condensed"/>
          <w:b/>
          <w:bCs/>
          <w:sz w:val="24"/>
          <w:szCs w:val="24"/>
        </w:rPr>
        <w:t xml:space="preserve">182 · La dottrina non è condotta.</w:t>
      </w:r>
      <w:r>
        <w:rPr>
          <w:rFonts w:ascii="Barlow Semi Condensed" w:cs="Barlow Semi Condensed" w:eastAsia="Barlow Semi Condensed" w:hAnsi="Barlow Semi Condensed"/>
          <w:sz w:val="24"/>
          <w:szCs w:val="24"/>
        </w:rPr>
        <w:t xml:space="preserve"> Quarta regola del corpus, qui nella sua forma dottrinale: l'appartenenza a una scuola, a una tradizione o a un lignaggio non è prova di alcuna condotta. Vale per chi scrisse di equilibrio europeo come per chi lesse i manuali della guerriglia; ciò che una persona ha fatto si accerta con gli atti che riguardano quella persona e quel fatto, non con la sua bibliografia.</w:t>
      </w:r>
    </w:p>
    <w:p>
      <w:pPr>
        <w:spacing w:after="120" w:line="276"/>
        <w:jc w:val="both"/>
      </w:pPr>
      <w:r>
        <w:rPr>
          <w:rFonts w:ascii="Barlow Semi Condensed" w:cs="Barlow Semi Condensed" w:eastAsia="Barlow Semi Condensed" w:hAnsi="Barlow Semi Condensed"/>
          <w:b/>
          <w:bCs/>
          <w:sz w:val="24"/>
          <w:szCs w:val="24"/>
        </w:rPr>
        <w:t xml:space="preserve">183 · Dal testo all'atto non si passa.</w:t>
      </w:r>
      <w:r>
        <w:rPr>
          <w:rFonts w:ascii="Barlow Semi Condensed" w:cs="Barlow Semi Condensed" w:eastAsia="Barlow Semi Condensed" w:hAnsi="Barlow Semi Condensed"/>
          <w:sz w:val="24"/>
          <w:szCs w:val="24"/>
        </w:rPr>
        <w:t xml:space="preserve"> È il punto in cui la metafora genetica diventa pericolosa e va fermata: il genotipo non determina il fenotipo del singolo individuo, e un libro lo determina ancora meno. Chiunque proponga un ragionamento della forma ha scritto questo dunque ha fatto quello sta compiendo l'inferenza che il metodo vieta, e il blocco che la ospita ha il dovere di dirlo prima di proseguire.</w:t>
      </w:r>
    </w:p>
    <w:p>
      <w:pPr>
        <w:spacing w:after="120" w:line="276"/>
        <w:jc w:val="both"/>
      </w:pPr>
      <w:r>
        <w:rPr>
          <w:rFonts w:ascii="Barlow Semi Condensed" w:cs="Barlow Semi Condensed" w:eastAsia="Barlow Semi Condensed" w:hAnsi="Barlow Semi Condensed"/>
          <w:b/>
          <w:bCs/>
          <w:sz w:val="24"/>
          <w:szCs w:val="24"/>
        </w:rPr>
        <w:t xml:space="preserve">184 · La stessa dottrina, atti opposti.</w:t>
      </w:r>
      <w:r>
        <w:rPr>
          <w:rFonts w:ascii="Barlow Semi Condensed" w:cs="Barlow Semi Condensed" w:eastAsia="Barlow Semi Condensed" w:hAnsi="Barlow Semi Condensed"/>
          <w:sz w:val="24"/>
          <w:szCs w:val="24"/>
        </w:rPr>
        <w:t xml:space="preserve"> La storiografia legge la dottrina dell'equilibrio in due modi inconciliabili: come argine alle avventure e come loro giustificazione. La divergenza si riporta e non si sceglie in silenzio; e la sua stessa esistenza è la prova migliore che dal testo non si deduce l'atto, perché lettori competenti, davanti alle medesime pagine, ne hanno dedotto atti contrari.</w:t>
      </w:r>
    </w:p>
    <w:p>
      <w:pPr>
        <w:spacing w:after="120" w:line="276"/>
        <w:jc w:val="both"/>
      </w:pPr>
      <w:r>
        <w:rPr>
          <w:rFonts w:ascii="Barlow Semi Condensed" w:cs="Barlow Semi Condensed" w:eastAsia="Barlow Semi Condensed" w:hAnsi="Barlow Semi Condensed"/>
          <w:b/>
          <w:bCs/>
          <w:sz w:val="24"/>
          <w:szCs w:val="24"/>
        </w:rPr>
        <w:t xml:space="preserve">185 · L'avvertimento riferito e il suo grado.</w:t>
      </w:r>
      <w:r>
        <w:rPr>
          <w:rFonts w:ascii="Barlow Semi Condensed" w:cs="Barlow Semi Condensed" w:eastAsia="Barlow Semi Condensed" w:hAnsi="Barlow Semi Condensed"/>
          <w:sz w:val="24"/>
          <w:szCs w:val="24"/>
        </w:rPr>
        <w:t xml:space="preserve"> L'episodio che colloca a Washington nel settembre 1974 un avvertimento a Moro è riferito da Corrado Guerzoni e confermato da Eleonora Chiavarelli Moro in sede parlamentare, ed è stato sempre smentito da Kissinger: è testimonianza contestata, di grado B debole, e nessun blocco può darla per accertata. La divergenza fra le fonti si registra per intero, come impone la regola sesta.</w:t>
      </w:r>
    </w:p>
    <w:p>
      <w:pPr>
        <w:spacing w:after="120" w:line="276"/>
        <w:jc w:val="both"/>
      </w:pPr>
      <w:r>
        <w:rPr>
          <w:rFonts w:ascii="Barlow Semi Condensed" w:cs="Barlow Semi Condensed" w:eastAsia="Barlow Semi Condensed" w:hAnsi="Barlow Semi Condensed"/>
          <w:b/>
          <w:bCs/>
          <w:sz w:val="24"/>
          <w:szCs w:val="24"/>
        </w:rPr>
        <w:t xml:space="preserve">186 · Il divieto di riempirlo con la dottrina.</w:t>
      </w:r>
      <w:r>
        <w:rPr>
          <w:rFonts w:ascii="Barlow Semi Condensed" w:cs="Barlow Semi Condensed" w:eastAsia="Barlow Semi Condensed" w:hAnsi="Barlow Semi Condensed"/>
          <w:sz w:val="24"/>
          <w:szCs w:val="24"/>
        </w:rPr>
        <w:t xml:space="preserve"> La tentazione propria di questa serie è usare il corpus accademico come riscontro della testimonianza: poiché l'autore aveva scritto in un certo modo, allora avrebbe pronunciato quelle parole. È l'inferenza dal genotipo al fenotipo individuale, ed è vietata; una testimonianza contestata si conferma o si smentisce con altre testimonianze e con documenti, mai con la coerenza interna di una bibliografia.</w:t>
      </w:r>
    </w:p>
    <w:p>
      <w:pPr>
        <w:spacing w:after="120" w:line="276"/>
        <w:jc w:val="both"/>
      </w:pPr>
      <w:r>
        <w:rPr>
          <w:rFonts w:ascii="Barlow Semi Condensed" w:cs="Barlow Semi Condensed" w:eastAsia="Barlow Semi Condensed" w:hAnsi="Barlow Semi Condensed"/>
          <w:b/>
          <w:bCs/>
          <w:sz w:val="24"/>
          <w:szCs w:val="24"/>
        </w:rPr>
        <w:t xml:space="preserve">187 · Il verbale del 25 settembre 1974.</w:t>
      </w:r>
      <w:r>
        <w:rPr>
          <w:rFonts w:ascii="Barlow Semi Condensed" w:cs="Barlow Semi Condensed" w:eastAsia="Barlow Semi Condensed" w:hAnsi="Barlow Semi Condensed"/>
          <w:sz w:val="24"/>
          <w:szCs w:val="24"/>
        </w:rPr>
        <w:t xml:space="preserve"> Nello Studio Ovale, il 25 settembre 1974, si tenne il colloquio fra Leone, Moro, Ford e Kissinger, verbalizzato nei memoranda of conversation del consigliere per la sicurezza nazionale (Ford Library, doc. 1552802) ed edito in FRUS 1969-1976, volume E-15 parte 2, doc. 350; il colloquio del giorno successivo è nel doc. 1552806. Sono fatti pubblici su fonte primaria: attestano un incontro, non una discendenza.</w:t>
      </w:r>
    </w:p>
    <w:p>
      <w:pPr>
        <w:spacing w:after="120" w:line="276"/>
        <w:jc w:val="both"/>
      </w:pPr>
      <w:r>
        <w:rPr>
          <w:rFonts w:ascii="Barlow Semi Condensed" w:cs="Barlow Semi Condensed" w:eastAsia="Barlow Semi Condensed" w:hAnsi="Barlow Semi Condensed"/>
          <w:b/>
          <w:bCs/>
          <w:sz w:val="24"/>
          <w:szCs w:val="24"/>
        </w:rPr>
        <w:t xml:space="preserve">188 · Che cosa il verbale non attesta.</w:t>
      </w:r>
      <w:r>
        <w:rPr>
          <w:rFonts w:ascii="Barlow Semi Condensed" w:cs="Barlow Semi Condensed" w:eastAsia="Barlow Semi Condensed" w:hAnsi="Barlow Semi Condensed"/>
          <w:sz w:val="24"/>
          <w:szCs w:val="24"/>
        </w:rPr>
        <w:t xml:space="preserve"> Alla vigilia, Kissinger espresse a Ford la propria posizione sull'ingresso dei comunisti nell'area di governo italiana: il documento attesta quella posizione e non attesta una posizione di Moro sul medesimo punto, che non va inferita. La regola vale per ogni verbale bilaterale — ciò che vi dice l'uno non si estende all'altro per contiguità di pagina o per silenzio a verbale.</w:t>
      </w:r>
    </w:p>
    <w:p>
      <w:pPr>
        <w:spacing w:after="120" w:line="276"/>
        <w:jc w:val="both"/>
      </w:pPr>
      <w:r>
        <w:rPr>
          <w:rFonts w:ascii="Barlow Semi Condensed" w:cs="Barlow Semi Condensed" w:eastAsia="Barlow Semi Condensed" w:hAnsi="Barlow Semi Condensed"/>
          <w:b/>
          <w:bCs/>
          <w:sz w:val="24"/>
          <w:szCs w:val="24"/>
        </w:rPr>
        <w:t xml:space="preserve">189 · L'anteriorità del Comitato dei 303.</w:t>
      </w:r>
      <w:r>
        <w:rPr>
          <w:rFonts w:ascii="Barlow Semi Condensed" w:cs="Barlow Semi Condensed" w:eastAsia="Barlow Semi Condensed" w:hAnsi="Barlow Semi Condensed"/>
          <w:sz w:val="24"/>
          <w:szCs w:val="24"/>
        </w:rPr>
        <w:t xml:space="preserve"> La riunione dell'11 marzo 1969 sull'azione coperta in Italia, in FRUS volume XLI documento 180, è anteriore all'insediamento di Moro alla Farnesina, avvenuto il 5 agosto 1969: qui non vi è nemmeno contemporaneità, e la quinta regola non ha bisogno di essere invocata. Il verbale attesta che i presenti convennero sull'assenza di una giustificazione reale alla ripresa del finanziamento coperto.</w:t>
      </w:r>
    </w:p>
    <w:p>
      <w:pPr>
        <w:spacing w:after="120" w:line="276"/>
        <w:jc w:val="both"/>
      </w:pPr>
      <w:r>
        <w:rPr>
          <w:rFonts w:ascii="Barlow Semi Condensed" w:cs="Barlow Semi Condensed" w:eastAsia="Barlow Semi Condensed" w:hAnsi="Barlow Semi Condensed"/>
          <w:b/>
          <w:bCs/>
          <w:sz w:val="24"/>
          <w:szCs w:val="24"/>
        </w:rPr>
        <w:t xml:space="preserve">190 · La cornice pluriennale e il suo limite.</w:t>
      </w:r>
      <w:r>
        <w:rPr>
          <w:rFonts w:ascii="Barlow Semi Condensed" w:cs="Barlow Semi Condensed" w:eastAsia="Barlow Semi Condensed" w:hAnsi="Barlow Semi Condensed"/>
          <w:sz w:val="24"/>
          <w:szCs w:val="24"/>
        </w:rPr>
        <w:t xml:space="preserve"> L'istruzione presidenziale del dicembre 1969 per uno studio sull'Italia, documento 188 della medesima serie, e il riemergere del programma di azione coperta nel novembre 1975 e nel luglio 1976 documentano un'attenzione continuata: sono cornice al grado di fatto pubblico, e la cornice descrive il campo in cui i fatti accaddero. Promuoverla a catena di comando è il salto che il corpus dichiara Stato Zero.</w:t>
      </w:r>
    </w:p>
    <w:p>
      <w:pPr>
        <w:spacing w:after="120" w:line="276"/>
        <w:jc w:val="both"/>
      </w:pPr>
      <w:r>
        <w:rPr>
          <w:rFonts w:ascii="Barlow Semi Condensed" w:cs="Barlow Semi Condensed" w:eastAsia="Barlow Semi Condensed" w:hAnsi="Barlow Semi Condensed"/>
          <w:b/>
          <w:bCs/>
          <w:sz w:val="24"/>
          <w:szCs w:val="24"/>
        </w:rPr>
        <w:t xml:space="preserve">191 · Espressione differenziale secondo l'ambiente.</w:t>
      </w:r>
      <w:r>
        <w:rPr>
          <w:rFonts w:ascii="Barlow Semi Condensed" w:cs="Barlow Semi Condensed" w:eastAsia="Barlow Semi Condensed" w:hAnsi="Barlow Semi Condensed"/>
          <w:sz w:val="24"/>
          <w:szCs w:val="24"/>
        </w:rPr>
        <w:t xml:space="preserve"> Lo stesso corpo dottrinale produce esiti diversi secondo il terreno: nel 1974 e nel 1975 la preoccupazione documentata per Lisbona era che vi si insediasse non una presa comunista ma un regime neutralista di sinistra rimasto dentro la NATO, formula che per Roma non risulta impiegata. La differenza è ambientale prima che dottrinale, e va spiegata con i due ambienti, non con due dottrine.</w:t>
      </w:r>
    </w:p>
    <w:p>
      <w:pPr>
        <w:spacing w:after="120" w:line="276"/>
        <w:jc w:val="both"/>
      </w:pPr>
      <w:r>
        <w:rPr>
          <w:rFonts w:ascii="Barlow Semi Condensed" w:cs="Barlow Semi Condensed" w:eastAsia="Barlow Semi Condensed" w:hAnsi="Barlow Semi Condensed"/>
          <w:b/>
          <w:bCs/>
          <w:sz w:val="24"/>
          <w:szCs w:val="24"/>
        </w:rPr>
        <w:t xml:space="preserve">192 · L'epigenetica delle cariche.</w:t>
      </w:r>
      <w:r>
        <w:rPr>
          <w:rFonts w:ascii="Barlow Semi Condensed" w:cs="Barlow Semi Condensed" w:eastAsia="Barlow Semi Condensed" w:hAnsi="Barlow Semi Condensed"/>
          <w:sz w:val="24"/>
          <w:szCs w:val="24"/>
        </w:rPr>
        <w:t xml:space="preserve"> Un uomo che passa dalla cattedra al governo non cambia testo: cambia ciò che del testo viene espresso, perché la carica seleziona le parti utilizzabili e silenzia le altre. La lente chiama epigenetica questa modulazione, e la sua utilità sta tutta nel divieto che ne discende — non si legge l'accademico attraverso il ministro, né il ministro attraverso l'accademico.</w:t>
      </w:r>
    </w:p>
    <w:p>
      <w:pPr>
        <w:spacing w:after="120" w:line="276"/>
        <w:jc w:val="both"/>
      </w:pPr>
      <w:r>
        <w:rPr>
          <w:rFonts w:ascii="Barlow Semi Condensed" w:cs="Barlow Semi Condensed" w:eastAsia="Barlow Semi Condensed" w:hAnsi="Barlow Semi Condensed"/>
          <w:b/>
          <w:bCs/>
          <w:sz w:val="24"/>
          <w:szCs w:val="24"/>
        </w:rPr>
        <w:t xml:space="preserve">193 · Helsinki, attrito di ruolo.</w:t>
      </w:r>
      <w:r>
        <w:rPr>
          <w:rFonts w:ascii="Barlow Semi Condensed" w:cs="Barlow Semi Condensed" w:eastAsia="Barlow Semi Condensed" w:hAnsi="Barlow Semi Condensed"/>
          <w:sz w:val="24"/>
          <w:szCs w:val="24"/>
        </w:rPr>
        <w:t xml:space="preserve"> Fra le fonti divulgative circola che a Helsinki Moro ottenne il coinvolgimento formale della Comunità europea nella firma sfidando l'insofferenza di Kissinger: la fonte è pubblicistica e il fatto va portato a primario prima di qualunque uso. Se confermato, resterebbe attrito fra due ruoli negoziali al medesimo tavolo — non un rapporto fra due dottrine, e ancor meno fra due condotte.</w:t>
      </w:r>
    </w:p>
    <w:p>
      <w:pPr>
        <w:spacing w:after="120" w:line="276"/>
        <w:jc w:val="both"/>
      </w:pPr>
      <w:r>
        <w:rPr>
          <w:rFonts w:ascii="Barlow Semi Condensed" w:cs="Barlow Semi Condensed" w:eastAsia="Barlow Semi Condensed" w:hAnsi="Barlow Semi Condensed"/>
          <w:b/>
          <w:bCs/>
          <w:sz w:val="24"/>
          <w:szCs w:val="24"/>
        </w:rPr>
        <w:t xml:space="preserve">194 · Il DNA non codificante di un corpus.</w:t>
      </w:r>
      <w:r>
        <w:rPr>
          <w:rFonts w:ascii="Barlow Semi Condensed" w:cs="Barlow Semi Condensed" w:eastAsia="Barlow Semi Condensed" w:hAnsi="Barlow Semi Condensed"/>
          <w:sz w:val="24"/>
          <w:szCs w:val="24"/>
        </w:rPr>
        <w:t xml:space="preserve"> La quota maggiore di un'opera accademica non viene mai citata da nessuno: recensioni, relazioni di convegno, dispense, note. Trattarla come inerte sarebbe un errore, perché vi si conservano le varianti che un giorno vengono espresse; ma trattare tutto ciò che un autore ha scritto come se fosse operante è l'errore opposto e più frequente, e produce alberi enormi e vuoti.</w:t>
      </w:r>
    </w:p>
    <w:p>
      <w:pPr>
        <w:spacing w:after="120" w:line="276"/>
        <w:jc w:val="both"/>
      </w:pPr>
      <w:r>
        <w:rPr>
          <w:rFonts w:ascii="Barlow Semi Condensed" w:cs="Barlow Semi Condensed" w:eastAsia="Barlow Semi Condensed" w:hAnsi="Barlow Semi Condensed"/>
          <w:b/>
          <w:bCs/>
          <w:sz w:val="24"/>
          <w:szCs w:val="24"/>
        </w:rPr>
        <w:t xml:space="preserve">195 · La mutazione che diventa dottrina.</w:t>
      </w:r>
      <w:r>
        <w:rPr>
          <w:rFonts w:ascii="Barlow Semi Condensed" w:cs="Barlow Semi Condensed" w:eastAsia="Barlow Semi Condensed" w:hAnsi="Barlow Semi Condensed"/>
          <w:sz w:val="24"/>
          <w:szCs w:val="24"/>
        </w:rPr>
        <w:t xml:space="preserve"> Il corpus documenta il caso maggiore: la teoria del foco, nata come dottrina di guerra a un esercito, si trasmise in Italia attraverso un vettore editoriale e si espresse come esecuzione di prigionieri inermi. La bandiera restò la stessa, il gesto divenne l'opposto: le copie replicano con errore, e l'errore, se l'ambiente lo seleziona, diventa la lezione che il discendente crede di aver ricevuto.</w:t>
      </w:r>
    </w:p>
    <w:p>
      <w:pPr>
        <w:spacing w:after="120" w:line="276"/>
        <w:jc w:val="both"/>
      </w:pPr>
      <w:r>
        <w:rPr>
          <w:rFonts w:ascii="Barlow Semi Condensed" w:cs="Barlow Semi Condensed" w:eastAsia="Barlow Semi Condensed" w:hAnsi="Barlow Semi Condensed"/>
          <w:b/>
          <w:bCs/>
          <w:sz w:val="24"/>
          <w:szCs w:val="24"/>
        </w:rPr>
        <w:t xml:space="preserve">196 · La deriva neutrale.</w:t>
      </w:r>
      <w:r>
        <w:rPr>
          <w:rFonts w:ascii="Barlow Semi Condensed" w:cs="Barlow Semi Condensed" w:eastAsia="Barlow Semi Condensed" w:hAnsi="Barlow Semi Condensed"/>
          <w:sz w:val="24"/>
          <w:szCs w:val="24"/>
        </w:rPr>
        <w:t xml:space="preserve"> Non tutto ciò che si diffonde si diffonde perché serve: una formula può moltiplicarsi per moda accademica, per prestigio dell'editore, per fortuna di una traduzione tempestiva. La deriva spiega diffusioni ampie senza alcuna pressione selettiva, e va tenuta fra le ipotesi ogni volta che si è tentati di dedurre da una grande circolazione una grande efficacia.</w:t>
      </w:r>
    </w:p>
    <w:p>
      <w:pPr>
        <w:spacing w:after="120" w:line="276"/>
        <w:jc w:val="both"/>
      </w:pPr>
      <w:r>
        <w:rPr>
          <w:rFonts w:ascii="Barlow Semi Condensed" w:cs="Barlow Semi Condensed" w:eastAsia="Barlow Semi Condensed" w:hAnsi="Barlow Semi Condensed"/>
          <w:b/>
          <w:bCs/>
          <w:sz w:val="24"/>
          <w:szCs w:val="24"/>
        </w:rPr>
        <w:t xml:space="preserve">197 · La selezione istituzionale.</w:t>
      </w:r>
      <w:r>
        <w:rPr>
          <w:rFonts w:ascii="Barlow Semi Condensed" w:cs="Barlow Semi Condensed" w:eastAsia="Barlow Semi Condensed" w:hAnsi="Barlow Semi Condensed"/>
          <w:sz w:val="24"/>
          <w:szCs w:val="24"/>
        </w:rPr>
        <w:t xml:space="preserve"> Le burocrazie conservano le formule che rendono decidibile una scelta e scartano quelle che la complicano: è una pressione selettiva reale e documentabile, perché nei verbali si vede quale lessico entra negli atti operativi e quale resta nei libri. Studiarla è compito storiografico legittimo; dedurne che chi coniò la formula abbia voluto l'atto che la impiegò non lo è.</w:t>
      </w:r>
    </w:p>
    <w:p>
      <w:pPr>
        <w:spacing w:after="120" w:line="276"/>
        <w:jc w:val="both"/>
      </w:pPr>
      <w:r>
        <w:rPr>
          <w:rFonts w:ascii="Barlow Semi Condensed" w:cs="Barlow Semi Condensed" w:eastAsia="Barlow Semi Condensed" w:hAnsi="Barlow Semi Condensed"/>
          <w:b/>
          <w:bCs/>
          <w:sz w:val="24"/>
          <w:szCs w:val="24"/>
        </w:rPr>
        <w:t xml:space="preserve">198 · La penetranza incompleta.</w:t>
      </w:r>
      <w:r>
        <w:rPr>
          <w:rFonts w:ascii="Barlow Semi Condensed" w:cs="Barlow Semi Condensed" w:eastAsia="Barlow Semi Condensed" w:hAnsi="Barlow Semi Condensed"/>
          <w:sz w:val="24"/>
          <w:szCs w:val="24"/>
        </w:rPr>
        <w:t xml:space="preserve"> Molti allievi dichiarati non applicano nulla di ciò che hanno appreso, e alcuni applicano l'opposto: il carattere ereditato può non esprimersi affatto. Ne discende il divieto pratico più utile della serie — da un elenco di partecipanti a un seminario non si ricava alcun elenco di eredi, e chi lo ricava ha scambiato una lista di presenze per una filiazione.</w:t>
      </w:r>
    </w:p>
    <w:p>
      <w:pPr>
        <w:spacing w:after="120" w:line="276"/>
        <w:jc w:val="both"/>
      </w:pPr>
      <w:r>
        <w:rPr>
          <w:rFonts w:ascii="Barlow Semi Condensed" w:cs="Barlow Semi Condensed" w:eastAsia="Barlow Semi Condensed" w:hAnsi="Barlow Semi Condensed"/>
          <w:b/>
          <w:bCs/>
          <w:sz w:val="24"/>
          <w:szCs w:val="24"/>
        </w:rPr>
        <w:t xml:space="preserve">199 · Statuto delle carte accademiche.</w:t>
      </w:r>
      <w:r>
        <w:rPr>
          <w:rFonts w:ascii="Barlow Semi Condensed" w:cs="Barlow Semi Condensed" w:eastAsia="Barlow Semi Condensed" w:hAnsi="Barlow Semi Condensed"/>
          <w:sz w:val="24"/>
          <w:szCs w:val="24"/>
        </w:rPr>
        <w:t xml:space="preserve"> Le carte di uno studioso non hanno lo statuto delle carte di governo: non nascono dentro una catena di protocollo, non recano segnatura d'origine, non obbediscono a obblighi di versamento, e il loro deposito dipende da un atto privato con le condizioni che il donante impone. La prima operazione, prima di ogni ricerca di merito, è leggere quelle condizioni e trascriverle.</w:t>
      </w:r>
    </w:p>
    <w:p>
      <w:pPr>
        <w:spacing w:after="120" w:line="276"/>
        <w:jc w:val="both"/>
      </w:pPr>
      <w:r>
        <w:rPr>
          <w:rFonts w:ascii="Barlow Semi Condensed" w:cs="Barlow Semi Condensed" w:eastAsia="Barlow Semi Condensed" w:hAnsi="Barlow Semi Condensed"/>
          <w:b/>
          <w:bCs/>
          <w:sz w:val="24"/>
          <w:szCs w:val="24"/>
        </w:rPr>
        <w:t xml:space="preserve">200 · Le sedi universitarie.</w:t>
      </w:r>
      <w:r>
        <w:rPr>
          <w:rFonts w:ascii="Barlow Semi Condensed" w:cs="Barlow Semi Condensed" w:eastAsia="Barlow Semi Condensed" w:hAnsi="Barlow Semi Condensed"/>
          <w:sz w:val="24"/>
          <w:szCs w:val="24"/>
        </w:rPr>
        <w:t xml:space="preserve"> Per il versante accademico le sedi da interrogare sono gli Harvard University Archives, per la carriera studentesca, i corsi, il seminario internazionale e le carte dei docenti di riferimento, e le Manuscripts and Archives della Yale University Library, presso cui gli strumenti di ricerca dell'istituto collocano il fondo personale. Di entrambe va reperito l'inventario analitico e verificata la disciplina di consultazione, serie per serie.</w:t>
      </w:r>
    </w:p>
    <w:p>
      <w:pPr>
        <w:spacing w:after="120" w:line="276"/>
        <w:jc w:val="both"/>
      </w:pPr>
      <w:r>
        <w:rPr>
          <w:rFonts w:ascii="Barlow Semi Condensed" w:cs="Barlow Semi Condensed" w:eastAsia="Barlow Semi Condensed" w:hAnsi="Barlow Semi Condensed"/>
          <w:b/>
          <w:bCs/>
          <w:sz w:val="24"/>
          <w:szCs w:val="24"/>
        </w:rPr>
        <w:t xml:space="preserve">201 · Il deposito nella capitale.</w:t>
      </w:r>
      <w:r>
        <w:rPr>
          <w:rFonts w:ascii="Barlow Semi Condensed" w:cs="Barlow Semi Condensed" w:eastAsia="Barlow Semi Condensed" w:hAnsi="Barlow Semi Condensed"/>
          <w:sz w:val="24"/>
          <w:szCs w:val="24"/>
        </w:rPr>
        <w:t xml:space="preserve"> La Manuscript Division della Library of Congress conserva un vasto deposito di carte kissingeriane con clausole d'accesso definite dall'atto di donazione, alcune delle quali, secondo quanto riferito dalla letteratura, ancorate alla data della morte del donatore, avvenuta il 29 novembre 2023. Il quesito è preciso e chiudibile: reperire il testo dell'atto e la tavola delle restrizioni ancora vigenti.</w:t>
      </w:r>
    </w:p>
    <w:p>
      <w:pPr>
        <w:spacing w:after="120" w:line="276"/>
        <w:jc w:val="both"/>
      </w:pPr>
      <w:r>
        <w:rPr>
          <w:rFonts w:ascii="Barlow Semi Condensed" w:cs="Barlow Semi Condensed" w:eastAsia="Barlow Semi Condensed" w:hAnsi="Barlow Semi Condensed"/>
          <w:b/>
          <w:bCs/>
          <w:sz w:val="24"/>
          <w:szCs w:val="24"/>
        </w:rPr>
        <w:t xml:space="preserve">202 · Le carte dei comitati privati.</w:t>
      </w:r>
      <w:r>
        <w:rPr>
          <w:rFonts w:ascii="Barlow Semi Condensed" w:cs="Barlow Semi Condensed" w:eastAsia="Barlow Semi Condensed" w:hAnsi="Barlow Semi Condensed"/>
          <w:sz w:val="24"/>
          <w:szCs w:val="24"/>
        </w:rPr>
        <w:t xml:space="preserve"> La formazione dottrinale di uno studioso passa anche per fondazioni e consigli: il Rockefeller Archive Center per i lavori dei gruppi di studio finanziati da quella famiglia, e la Seeley G. Mudd Manuscript Library di Princeton per le carte del Council on Foreign Relations. Sono giacimenti nuovi per questo corpus, che non ha mai avuto una colonna americana non governativa, e si aprono con inventario alla mano.</w:t>
      </w:r>
    </w:p>
    <w:p>
      <w:pPr>
        <w:spacing w:after="120" w:line="276"/>
        <w:jc w:val="both"/>
      </w:pPr>
      <w:r>
        <w:rPr>
          <w:rFonts w:ascii="Barlow Semi Condensed" w:cs="Barlow Semi Condensed" w:eastAsia="Barlow Semi Condensed" w:hAnsi="Barlow Semi Condensed"/>
          <w:b/>
          <w:bCs/>
          <w:sz w:val="24"/>
          <w:szCs w:val="24"/>
        </w:rPr>
        <w:t xml:space="preserve">203 · Le carte di governo, distinte.</w:t>
      </w:r>
      <w:r>
        <w:rPr>
          <w:rFonts w:ascii="Barlow Semi Condensed" w:cs="Barlow Semi Condensed" w:eastAsia="Barlow Semi Condensed" w:hAnsi="Barlow Semi Condensed"/>
          <w:sz w:val="24"/>
          <w:szCs w:val="24"/>
        </w:rPr>
        <w:t xml:space="preserve"> Restano nettamente separate le sedi del versante statale: la Gerald R. Ford Presidential Library per i memoranda of conversation, i National Archives di College Park per i Nixon Presidential Materials e per i Central Foreign Policy Files, la serie FRUS come mappa dichiarata degli archivi che la alimentarono, secondo il blocco 134 dell'agenda. Statuto, accesso e valore probatorio differiscono da quelli delle carte accademiche.</w:t>
      </w:r>
    </w:p>
    <w:p>
      <w:pPr>
        <w:spacing w:after="120" w:line="276"/>
        <w:jc w:val="both"/>
      </w:pPr>
      <w:r>
        <w:rPr>
          <w:rFonts w:ascii="Barlow Semi Condensed" w:cs="Barlow Semi Condensed" w:eastAsia="Barlow Semi Condensed" w:hAnsi="Barlow Semi Condensed"/>
          <w:b/>
          <w:bCs/>
          <w:sz w:val="24"/>
          <w:szCs w:val="24"/>
        </w:rPr>
        <w:t xml:space="preserve">204 · Lo Stato Zero della quadriga.</w:t>
      </w:r>
      <w:r>
        <w:rPr>
          <w:rFonts w:ascii="Barlow Semi Condensed" w:cs="Barlow Semi Condensed" w:eastAsia="Barlow Semi Condensed" w:hAnsi="Barlow Semi Condensed"/>
          <w:sz w:val="24"/>
          <w:szCs w:val="24"/>
        </w:rPr>
        <w:t xml:space="preserve"> Verifica meccanica eseguita per questa serie: il nome Kissinger non compare in alcuno dei tre documenti maggiori della quadriga investigativa — i mille blocchi dei nove cantieri, l'agenda di ricerca, il manuale investigativo — pur comparendo nel corpus storico. È uno Stato Zero condiviso e fin qui non dichiarato, e si verbalizza qui con perimetro esatto secondo i blocchi 233 e 285 dell'agenda.</w:t>
      </w:r>
    </w:p>
    <w:p>
      <w:pPr>
        <w:spacing w:after="120" w:line="276"/>
        <w:jc w:val="both"/>
      </w:pPr>
      <w:r>
        <w:rPr>
          <w:rFonts w:ascii="Barlow Semi Condensed" w:cs="Barlow Semi Condensed" w:eastAsia="Barlow Semi Condensed" w:hAnsi="Barlow Semi Condensed"/>
          <w:b/>
          <w:bCs/>
          <w:sz w:val="24"/>
          <w:szCs w:val="24"/>
        </w:rPr>
        <w:t xml:space="preserve">205 · Che cosa la terza serie stabilisce.</w:t>
      </w:r>
      <w:r>
        <w:rPr>
          <w:rFonts w:ascii="Barlow Semi Condensed" w:cs="Barlow Semi Condensed" w:eastAsia="Barlow Semi Condensed" w:hAnsi="Barlow Semi Condensed"/>
          <w:sz w:val="24"/>
          <w:szCs w:val="24"/>
        </w:rPr>
        <w:t xml:space="preserve"> Nessuna discendenza è stata provata e nessuna esclusa: si sono fissati gli strumenti per provarla o escluderla — la citazione con segnatura, l'errore congiuntivo, il carattere derivato, il gruppo esterno, la prova d'indipendenza — e le sedi dove giacciono i documenti mancanti. Resta scritto il divieto che regge tutta la serie: un albero di idee non è un albero di colpe, e nessuno eredita una condotta.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quarta — La trascrizione: dal codice all'atto documentato</w:t>
      </w:r>
    </w:p>
    <w:p>
      <w:pPr>
        <w:spacing w:after="120" w:line="276"/>
        <w:jc w:val="both"/>
      </w:pPr>
      <w:r>
        <w:rPr>
          <w:rFonts w:ascii="Barlow Semi Condensed" w:cs="Barlow Semi Condensed" w:eastAsia="Barlow Semi Condensed" w:hAnsi="Barlow Semi Condensed"/>
          <w:i/>
          <w:iCs/>
          <w:sz w:val="24"/>
          <w:szCs w:val="24"/>
        </w:rPr>
        <w:t xml:space="preserve">Blocchi 206-290.</w:t>
      </w:r>
    </w:p>
    <w:p>
      <w:pPr>
        <w:spacing w:after="120" w:line="276"/>
        <w:jc w:val="both"/>
      </w:pPr>
      <w:r>
        <w:rPr>
          <w:rFonts w:ascii="Barlow Semi Condensed" w:cs="Barlow Semi Condensed" w:eastAsia="Barlow Semi Condensed" w:hAnsi="Barlow Semi Condensed"/>
          <w:b/>
          <w:bCs/>
          <w:sz w:val="24"/>
          <w:szCs w:val="24"/>
        </w:rPr>
        <w:t xml:space="preserve">206 · Statuto della quarta serie.</w:t>
      </w:r>
      <w:r>
        <w:rPr>
          <w:rFonts w:ascii="Barlow Semi Condensed" w:cs="Barlow Semi Condensed" w:eastAsia="Barlow Semi Condensed" w:hAnsi="Barlow Semi Condensed"/>
          <w:sz w:val="24"/>
          <w:szCs w:val="24"/>
        </w:rPr>
        <w:t xml:space="preserve"> La serie passa dal codice all'atto: non discute che cosa Kissinger pensasse, ma che cosa una carta datata attesti e in quale sede sia consultabile. Ogni blocco è un bersaglio, un quesito o una regola di lettura, con la segnatura dove esiste e con la sede d'archivio dove non esiste. Nulla vi è indicato come reato: la trascrizione produce documenti e lacune dichiarate, mai responsabili.</w:t>
      </w:r>
    </w:p>
    <w:p>
      <w:pPr>
        <w:spacing w:after="120" w:line="276"/>
        <w:jc w:val="both"/>
      </w:pPr>
      <w:r>
        <w:rPr>
          <w:rFonts w:ascii="Barlow Semi Condensed" w:cs="Barlow Semi Condensed" w:eastAsia="Barlow Semi Condensed" w:hAnsi="Barlow Semi Condensed"/>
          <w:b/>
          <w:bCs/>
          <w:sz w:val="24"/>
          <w:szCs w:val="24"/>
        </w:rPr>
        <w:t xml:space="preserve">207 · Il codice e la sua trascrizione.</w:t>
      </w:r>
      <w:r>
        <w:rPr>
          <w:rFonts w:ascii="Barlow Semi Condensed" w:cs="Barlow Semi Condensed" w:eastAsia="Barlow Semi Condensed" w:hAnsi="Barlow Semi Condensed"/>
          <w:sz w:val="24"/>
          <w:szCs w:val="24"/>
        </w:rPr>
        <w:t xml:space="preserve"> La lente dichiarata dal committente serve qui in senso stretto: la decisione politica è il codice, il memorandum è la sua trascrizione, e fra i due c'è sempre un enzima, il redattore, che copia selezionando. Come l'RNA messaggero non è il gene, il verbale non è il colloquio. La metafora vale finché produce questa domanda: che cosa fu copiato, che cosa no, e da chi.</w:t>
      </w:r>
    </w:p>
    <w:p>
      <w:pPr>
        <w:spacing w:after="120" w:line="276"/>
        <w:jc w:val="both"/>
      </w:pPr>
      <w:r>
        <w:rPr>
          <w:rFonts w:ascii="Barlow Semi Condensed" w:cs="Barlow Semi Condensed" w:eastAsia="Barlow Semi Condensed" w:hAnsi="Barlow Semi Condensed"/>
          <w:b/>
          <w:bCs/>
          <w:sz w:val="24"/>
          <w:szCs w:val="24"/>
        </w:rPr>
        <w:t xml:space="preserve">208 · Dove la metafora va fermata.</w:t>
      </w:r>
      <w:r>
        <w:rPr>
          <w:rFonts w:ascii="Barlow Semi Condensed" w:cs="Barlow Semi Condensed" w:eastAsia="Barlow Semi Condensed" w:hAnsi="Barlow Semi Condensed"/>
          <w:sz w:val="24"/>
          <w:szCs w:val="24"/>
        </w:rPr>
        <w:t xml:space="preserve"> La genetica spinge verso due errori che il corpus vieta: il determinismo, per cui da un codice discenderebbe necessariamente un esito, e la colpa ereditaria, per cui un lignaggio dottrinale trasmetterebbe responsabilità. Nessuna linea di discendenza politica prova una condotta. Dove un blocco di questa serie sfiorasse quel confine, la metafora si dichiara esaurita e comanda il documento, non la figura.</w:t>
      </w:r>
    </w:p>
    <w:p>
      <w:pPr>
        <w:spacing w:after="120" w:line="276"/>
        <w:jc w:val="both"/>
      </w:pPr>
      <w:r>
        <w:rPr>
          <w:rFonts w:ascii="Barlow Semi Condensed" w:cs="Barlow Semi Condensed" w:eastAsia="Barlow Semi Condensed" w:hAnsi="Barlow Semi Condensed"/>
          <w:b/>
          <w:bCs/>
          <w:sz w:val="24"/>
          <w:szCs w:val="24"/>
        </w:rPr>
        <w:t xml:space="preserve">209 · La regola sul nome.</w:t>
      </w:r>
      <w:r>
        <w:rPr>
          <w:rFonts w:ascii="Barlow Semi Condensed" w:cs="Barlow Semi Condensed" w:eastAsia="Barlow Semi Condensed" w:hAnsi="Barlow Semi Condensed"/>
          <w:sz w:val="24"/>
          <w:szCs w:val="24"/>
        </w:rPr>
        <w:t xml:space="preserve"> Henry Alfred Kissinger, nato a Fürth il 27 maggio 1923 e morto a Kent, Connecticut, il 29 novembre 2023, non fu condannato in alcun processo. Nessun blocco può indicarlo come responsabile di reato, e la regola vale per chiunque compaia in queste carte. I documenti qui censiti attestano posizioni espresse, riunioni tenute, istruzioni impartite: non stabiliscono imputazioni, che appartengono al solo giudicato definitivo.</w:t>
      </w:r>
    </w:p>
    <w:p>
      <w:pPr>
        <w:spacing w:after="120" w:line="276"/>
        <w:jc w:val="both"/>
      </w:pPr>
      <w:r>
        <w:rPr>
          <w:rFonts w:ascii="Barlow Semi Condensed" w:cs="Barlow Semi Condensed" w:eastAsia="Barlow Semi Condensed" w:hAnsi="Barlow Semi Condensed"/>
          <w:b/>
          <w:bCs/>
          <w:sz w:val="24"/>
          <w:szCs w:val="24"/>
        </w:rPr>
        <w:t xml:space="preserve">210 · La griglia dei gradi.</w:t>
      </w:r>
      <w:r>
        <w:rPr>
          <w:rFonts w:ascii="Barlow Semi Condensed" w:cs="Barlow Semi Condensed" w:eastAsia="Barlow Semi Condensed" w:hAnsi="Barlow Semi Condensed"/>
          <w:sz w:val="24"/>
          <w:szCs w:val="24"/>
        </w:rPr>
        <w:t xml:space="preserve"> Vale la scala di sempre: A per il documentato su fonti primarie convergenti, B per l'indiziario e per l'accertamento parlamentare, C per la congettura, F per il fatto pubblico, Stato Zero per il cercato e non trovato. In questa serie il grado si applica al documento e non alla persona: si gradua la carta, la sua provenienza e la sua catena, mai chi vi è nominato.</w:t>
      </w:r>
    </w:p>
    <w:p>
      <w:pPr>
        <w:spacing w:after="120" w:line="276"/>
        <w:jc w:val="both"/>
      </w:pPr>
      <w:r>
        <w:rPr>
          <w:rFonts w:ascii="Barlow Semi Condensed" w:cs="Barlow Semi Condensed" w:eastAsia="Barlow Semi Condensed" w:hAnsi="Barlow Semi Condensed"/>
          <w:b/>
          <w:bCs/>
          <w:sz w:val="24"/>
          <w:szCs w:val="24"/>
        </w:rPr>
        <w:t xml:space="preserve">211 · I tre piani applicati alle carte.</w:t>
      </w:r>
      <w:r>
        <w:rPr>
          <w:rFonts w:ascii="Barlow Semi Condensed" w:cs="Barlow Semi Condensed" w:eastAsia="Barlow Semi Condensed" w:hAnsi="Barlow Semi Condensed"/>
          <w:sz w:val="24"/>
          <w:szCs w:val="24"/>
        </w:rPr>
        <w:t xml:space="preserve"> Piano primo: rapporto diretto documentato, cioè due nomi nello stesso verbale con la stessa data. Piano secondo: convergenza strutturale entro la stessa cornice, cioè due carte che parlano dello stesso mondo senza toccarsi. Piano terzo: affermazione terziaria priva di riscontro. Un ponte è reale solo al primo piano; il secondo e il terzo si registrano come tali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212 · Genotipo e fenotipo dell'atto.</w:t>
      </w:r>
      <w:r>
        <w:rPr>
          <w:rFonts w:ascii="Barlow Semi Condensed" w:cs="Barlow Semi Condensed" w:eastAsia="Barlow Semi Condensed" w:hAnsi="Barlow Semi Condensed"/>
          <w:sz w:val="24"/>
          <w:szCs w:val="24"/>
        </w:rPr>
        <w:t xml:space="preserve"> Il genotipo è la decisione, cioè ciò che fu voluto e spesso non scritto; il fenotipo è l'atto osservabile, cioè il verbale, il telegramma, la firma. Come in biologia, dal fenotipo non si risale univocamente al genotipo, perché ambienti diversi producono esiti simili. La regola che ne discende è severa: un documento attesta ciò che dice, non ciò che lo ha generato, e l'intenzione si prova a parte.</w:t>
      </w:r>
    </w:p>
    <w:p>
      <w:pPr>
        <w:spacing w:after="120" w:line="276"/>
        <w:jc w:val="both"/>
      </w:pPr>
      <w:r>
        <w:rPr>
          <w:rFonts w:ascii="Barlow Semi Condensed" w:cs="Barlow Semi Condensed" w:eastAsia="Barlow Semi Condensed" w:hAnsi="Barlow Semi Condensed"/>
          <w:b/>
          <w:bCs/>
          <w:sz w:val="24"/>
          <w:szCs w:val="24"/>
        </w:rPr>
        <w:t xml:space="preserve">213 · Omologia contro analogia fra documenti.</w:t>
      </w:r>
      <w:r>
        <w:rPr>
          <w:rFonts w:ascii="Barlow Semi Condensed" w:cs="Barlow Semi Condensed" w:eastAsia="Barlow Semi Condensed" w:hAnsi="Barlow Semi Condensed"/>
          <w:sz w:val="24"/>
          <w:szCs w:val="24"/>
        </w:rPr>
        <w:t xml:space="preserve"> Due carte si somigliano per omologia quando condividono l'origine, cioè la stessa serie, lo stesso ufficio, la stessa catena di redazione, e per analogia quando somigliano soltanto per funzione. Il lessico anticomunista ricorrente nei documenti americani del periodo è quasi sempre analogia: comunanza di ambiente, non discendenza. Solo l'omologia archivistica, provata dalla segnatura, autorizza a trattare due documenti come parenti.</w:t>
      </w:r>
    </w:p>
    <w:p>
      <w:pPr>
        <w:spacing w:after="120" w:line="276"/>
        <w:jc w:val="both"/>
      </w:pPr>
      <w:r>
        <w:rPr>
          <w:rFonts w:ascii="Barlow Semi Condensed" w:cs="Barlow Semi Condensed" w:eastAsia="Barlow Semi Condensed" w:hAnsi="Barlow Semi Condensed"/>
          <w:b/>
          <w:bCs/>
          <w:sz w:val="24"/>
          <w:szCs w:val="24"/>
        </w:rPr>
        <w:t xml:space="preserve">214 · Il memcon del 25 settembre 1974.</w:t>
      </w:r>
      <w:r>
        <w:rPr>
          <w:rFonts w:ascii="Barlow Semi Condensed" w:cs="Barlow Semi Condensed" w:eastAsia="Barlow Semi Condensed" w:hAnsi="Barlow Semi Condensed"/>
          <w:sz w:val="24"/>
          <w:szCs w:val="24"/>
        </w:rPr>
        <w:t xml:space="preserve"> Bersaglio primo e già acquisito: il memorandum of conversation dello Studio Ovale del 25 settembre 1974 fra Giovanni Leone, Aldo Moro, Gerald Ford e Henry Kissinger, con Brent Scowcroft presente. Sede: Gerald R. Ford Presidential Library, National Security Adviser's Memoranda of Conversation, documento 1552802; edizione parallela in FRUS 1969-1976, volume E-15, parte 2, documento 350. Fonte primaria integralmente disponibile.</w:t>
      </w:r>
    </w:p>
    <w:p>
      <w:pPr>
        <w:spacing w:after="120" w:line="276"/>
        <w:jc w:val="both"/>
      </w:pPr>
      <w:r>
        <w:rPr>
          <w:rFonts w:ascii="Barlow Semi Condensed" w:cs="Barlow Semi Condensed" w:eastAsia="Barlow Semi Condensed" w:hAnsi="Barlow Semi Condensed"/>
          <w:b/>
          <w:bCs/>
          <w:sz w:val="24"/>
          <w:szCs w:val="24"/>
        </w:rPr>
        <w:t xml:space="preserve">215 · Che cosa quel memcon attesta.</w:t>
      </w:r>
      <w:r>
        <w:rPr>
          <w:rFonts w:ascii="Barlow Semi Condensed" w:cs="Barlow Semi Condensed" w:eastAsia="Barlow Semi Condensed" w:hAnsi="Barlow Semi Condensed"/>
          <w:sz w:val="24"/>
          <w:szCs w:val="24"/>
        </w:rPr>
        <w:t xml:space="preserve"> Attesta con grado A che l'incontro si tenne, in quella data e in quella sede, fra quelle persone, e attesta il contenuto che il redattore vi mise per iscritto. Attesta cioè un fatto di calendario e una versione del colloquio. Non attesta che quella versione sia completa, né che le parole riportate siano state pronunciate nella forma in cui appaiono: il memcon è resoconto, non registrazione.</w:t>
      </w:r>
    </w:p>
    <w:p>
      <w:pPr>
        <w:spacing w:after="120" w:line="276"/>
        <w:jc w:val="both"/>
      </w:pPr>
      <w:r>
        <w:rPr>
          <w:rFonts w:ascii="Barlow Semi Condensed" w:cs="Barlow Semi Condensed" w:eastAsia="Barlow Semi Condensed" w:hAnsi="Barlow Semi Condensed"/>
          <w:b/>
          <w:bCs/>
          <w:sz w:val="24"/>
          <w:szCs w:val="24"/>
        </w:rPr>
        <w:t xml:space="preserve">216 · Che cosa quel memcon non attesta.</w:t>
      </w:r>
      <w:r>
        <w:rPr>
          <w:rFonts w:ascii="Barlow Semi Condensed" w:cs="Barlow Semi Condensed" w:eastAsia="Barlow Semi Condensed" w:hAnsi="Barlow Semi Condensed"/>
          <w:sz w:val="24"/>
          <w:szCs w:val="24"/>
        </w:rPr>
        <w:t xml:space="preserve"> Non attesta alcuna posizione di Moro sul Partito comunista in quella sede, e inferirla è vietato: il documento la tace, e il silenzio di un verbale non è una presa di posizione. Non attesta minacce, avvertimenti o pressioni. Non attesta ciò che fu detto prima o dopo, fuori dal tavolo verbalizzato. Ogni lettura che colmi questi vuoti lavora al terzo piano e va dichiarata come tale.</w:t>
      </w:r>
    </w:p>
    <w:p>
      <w:pPr>
        <w:spacing w:after="120" w:line="276"/>
        <w:jc w:val="both"/>
      </w:pPr>
      <w:r>
        <w:rPr>
          <w:rFonts w:ascii="Barlow Semi Condensed" w:cs="Barlow Semi Condensed" w:eastAsia="Barlow Semi Condensed" w:hAnsi="Barlow Semi Condensed"/>
          <w:b/>
          <w:bCs/>
          <w:sz w:val="24"/>
          <w:szCs w:val="24"/>
        </w:rPr>
        <w:t xml:space="preserve">217 · La doppia lezione dello stesso testo.</w:t>
      </w:r>
      <w:r>
        <w:rPr>
          <w:rFonts w:ascii="Barlow Semi Condensed" w:cs="Barlow Semi Condensed" w:eastAsia="Barlow Semi Condensed" w:hAnsi="Barlow Semi Condensed"/>
          <w:sz w:val="24"/>
          <w:szCs w:val="24"/>
        </w:rPr>
        <w:t xml:space="preserve"> Lo stesso colloquio esiste in due edizioni: la copia d'archivio della Ford Library e la versione edita nel FRUS. Il bersaglio è la collazione riga per riga delle due lezioni, per accertare se il volume riproduca integralmente o con espunzioni, e con quali note redazionali. Come in ogni tradizione testuale, la variante fra due testimoni è un dato: si registra, non si sceglie in silenzio.</w:t>
      </w:r>
    </w:p>
    <w:p>
      <w:pPr>
        <w:spacing w:after="120" w:line="276"/>
        <w:jc w:val="both"/>
      </w:pPr>
      <w:r>
        <w:rPr>
          <w:rFonts w:ascii="Barlow Semi Condensed" w:cs="Barlow Semi Condensed" w:eastAsia="Barlow Semi Condensed" w:hAnsi="Barlow Semi Condensed"/>
          <w:b/>
          <w:bCs/>
          <w:sz w:val="24"/>
          <w:szCs w:val="24"/>
        </w:rPr>
        <w:t xml:space="preserve">218 · Chi redige un memorandum of conversation.</w:t>
      </w:r>
      <w:r>
        <w:rPr>
          <w:rFonts w:ascii="Barlow Semi Condensed" w:cs="Barlow Semi Condensed" w:eastAsia="Barlow Semi Condensed" w:hAnsi="Barlow Semi Condensed"/>
          <w:sz w:val="24"/>
          <w:szCs w:val="24"/>
        </w:rPr>
        <w:t xml:space="preserve"> Non lo redige uno stenografo né un notaio: lo redige un funzionario presente, spesso dello staff del consigliere per la sicurezza nazionale, che scrive dopo la riunione sulla base dei propri appunti. Il testo è dunque una ricostruzione a memoria recente, in terza persona, con virgolettati selettivi. Bersaglio: reperire in intestazione o in calce l'indicazione del redattore, senza la quale il documento resta anonimo nella sua fonte.</w:t>
      </w:r>
    </w:p>
    <w:p>
      <w:pPr>
        <w:spacing w:after="120" w:line="276"/>
        <w:jc w:val="both"/>
      </w:pPr>
      <w:r>
        <w:rPr>
          <w:rFonts w:ascii="Barlow Semi Condensed" w:cs="Barlow Semi Condensed" w:eastAsia="Barlow Semi Condensed" w:hAnsi="Barlow Semi Condensed"/>
          <w:b/>
          <w:bCs/>
          <w:sz w:val="24"/>
          <w:szCs w:val="24"/>
        </w:rPr>
        <w:t xml:space="preserve">219 · Perché la redazione ne limita il valore.</w:t>
      </w:r>
      <w:r>
        <w:rPr>
          <w:rFonts w:ascii="Barlow Semi Condensed" w:cs="Barlow Semi Condensed" w:eastAsia="Barlow Semi Condensed" w:hAnsi="Barlow Semi Condensed"/>
          <w:sz w:val="24"/>
          <w:szCs w:val="24"/>
        </w:rPr>
        <w:t xml:space="preserve"> Il redattore è insieme testimone e selettore: sceglie ciò che ritiene rilevante, comprime le digressioni, normalizza il parlato in prosa amministrativa. Ne discende un limite strutturale e non un sospetto: il memcon è fedele all'esito della riunione e infedele alla sua materialità. Vale come prova di ciò che l'amministrazione ritenne accaduto, non come prova di ciò che fu detto parola per parola.</w:t>
      </w:r>
    </w:p>
    <w:p>
      <w:pPr>
        <w:spacing w:after="120" w:line="276"/>
        <w:jc w:val="both"/>
      </w:pPr>
      <w:r>
        <w:rPr>
          <w:rFonts w:ascii="Barlow Semi Condensed" w:cs="Barlow Semi Condensed" w:eastAsia="Barlow Semi Condensed" w:hAnsi="Barlow Semi Condensed"/>
          <w:b/>
          <w:bCs/>
          <w:sz w:val="24"/>
          <w:szCs w:val="24"/>
        </w:rPr>
        <w:t xml:space="preserve">220 · Verbale e trascrizione integrale.</w:t>
      </w:r>
      <w:r>
        <w:rPr>
          <w:rFonts w:ascii="Barlow Semi Condensed" w:cs="Barlow Semi Condensed" w:eastAsia="Barlow Semi Condensed" w:hAnsi="Barlow Semi Condensed"/>
          <w:sz w:val="24"/>
          <w:szCs w:val="24"/>
        </w:rPr>
        <w:t xml:space="preserve"> La differenza è di genere, non di grado. La trascrizione integrale deriva da una registrazione e restituisce ogni parola, ripetizioni comprese; il verbale è una sintesi redatta. Confonderli produce l'errore più comune della pubblicistica: citare un memcon come se fosse un nastro. Dove esista una registrazione coeva, essa prevale e diventa il criterio di controllo del verbale; dove non esista, il verbale è l'unico testimone e va detto.</w:t>
      </w:r>
    </w:p>
    <w:p>
      <w:pPr>
        <w:spacing w:after="120" w:line="276"/>
        <w:jc w:val="both"/>
      </w:pPr>
      <w:r>
        <w:rPr>
          <w:rFonts w:ascii="Barlow Semi Condensed" w:cs="Barlow Semi Condensed" w:eastAsia="Barlow Semi Condensed" w:hAnsi="Barlow Semi Condensed"/>
          <w:b/>
          <w:bCs/>
          <w:sz w:val="24"/>
          <w:szCs w:val="24"/>
        </w:rPr>
        <w:t xml:space="preserve">221 · Il colloquio del 26 settembre.</w:t>
      </w:r>
      <w:r>
        <w:rPr>
          <w:rFonts w:ascii="Barlow Semi Condensed" w:cs="Barlow Semi Condensed" w:eastAsia="Barlow Semi Condensed" w:hAnsi="Barlow Semi Condensed"/>
          <w:sz w:val="24"/>
          <w:szCs w:val="24"/>
        </w:rPr>
        <w:t xml:space="preserve"> Bersaglio già acquisito e da trattare come documento autonomo: il verbale dell'incontro del giorno successivo, 26 settembre 1974, presso la Ford Library con il documento 1552806. Il quesito è comparativo: quali temi ricorrano nei due verbali, quali compaiano solo nel secondo, e se il secondo rinvii esplicitamente al primo. Due carte della stessa serie sono omologhe per origine e si leggono insieme.</w:t>
      </w:r>
    </w:p>
    <w:p>
      <w:pPr>
        <w:spacing w:after="120" w:line="276"/>
        <w:jc w:val="both"/>
      </w:pPr>
      <w:r>
        <w:rPr>
          <w:rFonts w:ascii="Barlow Semi Condensed" w:cs="Barlow Semi Condensed" w:eastAsia="Barlow Semi Condensed" w:hAnsi="Barlow Semi Condensed"/>
          <w:b/>
          <w:bCs/>
          <w:sz w:val="24"/>
          <w:szCs w:val="24"/>
        </w:rPr>
        <w:t xml:space="preserve">222 · La posizione espressa al presidente.</w:t>
      </w:r>
      <w:r>
        <w:rPr>
          <w:rFonts w:ascii="Barlow Semi Condensed" w:cs="Barlow Semi Condensed" w:eastAsia="Barlow Semi Condensed" w:hAnsi="Barlow Semi Condensed"/>
          <w:sz w:val="24"/>
          <w:szCs w:val="24"/>
        </w:rPr>
        <w:t xml:space="preserve"> Il documento attesta che alla vigilia Kissinger disse a Ford che agli italiani andava detto in modo duro che qualunque presenza comunista al governo avrebbe mutato le relazioni, con una valutazione sul rischio di contagio in Francia, Germania e Grecia. È fatto documentato di grado A quanto all'espressione della posizione. Che da una posizione espressa discenda una condotta non è documentato e non va inferito.</w:t>
      </w:r>
    </w:p>
    <w:p>
      <w:pPr>
        <w:spacing w:after="120" w:line="276"/>
        <w:jc w:val="both"/>
      </w:pPr>
      <w:r>
        <w:rPr>
          <w:rFonts w:ascii="Barlow Semi Condensed" w:cs="Barlow Semi Condensed" w:eastAsia="Barlow Semi Condensed" w:hAnsi="Barlow Semi Condensed"/>
          <w:b/>
          <w:bCs/>
          <w:sz w:val="24"/>
          <w:szCs w:val="24"/>
        </w:rPr>
        <w:t xml:space="preserve">223 · Il contagio come categoria del testo.</w:t>
      </w:r>
      <w:r>
        <w:rPr>
          <w:rFonts w:ascii="Barlow Semi Condensed" w:cs="Barlow Semi Condensed" w:eastAsia="Barlow Semi Condensed" w:hAnsi="Barlow Semi Condensed"/>
          <w:sz w:val="24"/>
          <w:szCs w:val="24"/>
        </w:rPr>
        <w:t xml:space="preserve"> La formula del contagio appartiene al lessico del documento e va analizzata come tale: descrive una previsione politica, non un programma operativo. Il bersaglio è filologico prima che storico: censire nelle carte del periodo le occorrenze di quel campo semantico e accertare se compaiano in atti dispositivi o soltanto in valutazioni. Un lessico ricorrente prova una cultura d'ufficio, non una decisione presa.</w:t>
      </w:r>
    </w:p>
    <w:p>
      <w:pPr>
        <w:spacing w:after="120" w:line="276"/>
        <w:jc w:val="both"/>
      </w:pPr>
      <w:r>
        <w:rPr>
          <w:rFonts w:ascii="Barlow Semi Condensed" w:cs="Barlow Semi Condensed" w:eastAsia="Barlow Semi Condensed" w:hAnsi="Barlow Semi Condensed"/>
          <w:b/>
          <w:bCs/>
          <w:sz w:val="24"/>
          <w:szCs w:val="24"/>
        </w:rPr>
        <w:t xml:space="preserve">224 · Il silenzio del verbale sull'avvertimento.</w:t>
      </w:r>
      <w:r>
        <w:rPr>
          <w:rFonts w:ascii="Barlow Semi Condensed" w:cs="Barlow Semi Condensed" w:eastAsia="Barlow Semi Condensed" w:hAnsi="Barlow Semi Condensed"/>
          <w:sz w:val="24"/>
          <w:szCs w:val="24"/>
        </w:rPr>
        <w:t xml:space="preserve"> Nel verbale del 25 settembre 1974 non compare alcun avvertimento a Moro nella forma riferita dalla testimonianza. Il dato si registra come Stato Zero puntuale, con perimetro esatto: la carta cercata è quella, la sede è la Ford Library, l'esito è negativo. Il buco misurato è conoscenza; non prova né che l'episodio sia avvenuto altrove né che non sia avvenuto in alcun luogo.</w:t>
      </w:r>
    </w:p>
    <w:p>
      <w:pPr>
        <w:spacing w:after="120" w:line="276"/>
        <w:jc w:val="both"/>
      </w:pPr>
      <w:r>
        <w:rPr>
          <w:rFonts w:ascii="Barlow Semi Condensed" w:cs="Barlow Semi Condensed" w:eastAsia="Barlow Semi Condensed" w:hAnsi="Barlow Semi Condensed"/>
          <w:b/>
          <w:bCs/>
          <w:sz w:val="24"/>
          <w:szCs w:val="24"/>
        </w:rPr>
        <w:t xml:space="preserve">225 · Lo statuto della testimonianza riferita.</w:t>
      </w:r>
      <w:r>
        <w:rPr>
          <w:rFonts w:ascii="Barlow Semi Condensed" w:cs="Barlow Semi Condensed" w:eastAsia="Barlow Semi Condensed" w:hAnsi="Barlow Semi Condensed"/>
          <w:sz w:val="24"/>
          <w:szCs w:val="24"/>
        </w:rPr>
        <w:t xml:space="preserve"> L'avvertimento è riferito da Corrado Guerzoni e confermato da Eleonora Chiavarelli Moro in sede parlamentare, ed è sempre stato smentito da Kissinger. Statuto: testimonianza contestata, grado B debole, mai da dare per accertata e mai da usare come premessa di altro. Il corpus la porta perché è documentata come testimonianza; non la porta come fatto. La distinzione va ripetuta ogni volta che la materia è ripresa.</w:t>
      </w:r>
    </w:p>
    <w:p>
      <w:pPr>
        <w:spacing w:after="120" w:line="276"/>
        <w:jc w:val="both"/>
      </w:pPr>
      <w:r>
        <w:rPr>
          <w:rFonts w:ascii="Barlow Semi Condensed" w:cs="Barlow Semi Condensed" w:eastAsia="Barlow Semi Condensed" w:hAnsi="Barlow Semi Condensed"/>
          <w:b/>
          <w:bCs/>
          <w:sz w:val="24"/>
          <w:szCs w:val="24"/>
        </w:rPr>
        <w:t xml:space="preserve">226 · La divergenza si riporta.</w:t>
      </w:r>
      <w:r>
        <w:rPr>
          <w:rFonts w:ascii="Barlow Semi Condensed" w:cs="Barlow Semi Condensed" w:eastAsia="Barlow Semi Condensed" w:hAnsi="Barlow Semi Condensed"/>
          <w:sz w:val="24"/>
          <w:szCs w:val="24"/>
        </w:rPr>
        <w:t xml:space="preserve"> Qui la regola sulle divergenze opera nella sua forma pura: due versioni inconciliabili, l'una di chi riferisce e l'altra di chi smentisce, entrambe pubbliche. Non si sceglie in silenzio e non si media. Si scrive che la testimonianza esiste, che la smentita esiste, e che nessun documento reperito dirime. Finché il documento che dirimerebbe non emerge, la divergenza dichiarata è l'unico esito onesto.</w:t>
      </w:r>
    </w:p>
    <w:p>
      <w:pPr>
        <w:spacing w:after="120" w:line="276"/>
        <w:jc w:val="both"/>
      </w:pPr>
      <w:r>
        <w:rPr>
          <w:rFonts w:ascii="Barlow Semi Condensed" w:cs="Barlow Semi Condensed" w:eastAsia="Barlow Semi Condensed" w:hAnsi="Barlow Semi Condensed"/>
          <w:b/>
          <w:bCs/>
          <w:sz w:val="24"/>
          <w:szCs w:val="24"/>
        </w:rPr>
        <w:t xml:space="preserve">227 · La collocazione della testimonianza.</w:t>
      </w:r>
      <w:r>
        <w:rPr>
          <w:rFonts w:ascii="Barlow Semi Condensed" w:cs="Barlow Semi Condensed" w:eastAsia="Barlow Semi Condensed" w:hAnsi="Barlow Semi Condensed"/>
          <w:sz w:val="24"/>
          <w:szCs w:val="24"/>
        </w:rPr>
        <w:t xml:space="preserve"> Bersaglio d'archivio parlamentare: reperire i resoconti stenografici delle sedute in cui la circostanza fu riferita e confermata, con data, sede e numero di seduta, presso gli archivi delle commissioni d'inchiesta e i portali parlamentari. Serve a fissare che cosa fu detto esattamente, poiché la formula circolante nella pubblicistica varia. Una testimonianza si cita dal verbale che la contiene, mai dalla sua parafrasi giornalistica.</w:t>
      </w:r>
    </w:p>
    <w:p>
      <w:pPr>
        <w:spacing w:after="120" w:line="276"/>
        <w:jc w:val="both"/>
      </w:pPr>
      <w:r>
        <w:rPr>
          <w:rFonts w:ascii="Barlow Semi Condensed" w:cs="Barlow Semi Condensed" w:eastAsia="Barlow Semi Condensed" w:hAnsi="Barlow Semi Condensed"/>
          <w:b/>
          <w:bCs/>
          <w:sz w:val="24"/>
          <w:szCs w:val="24"/>
        </w:rPr>
        <w:t xml:space="preserve">228 · La versione italiana dello stesso colloquio.</w:t>
      </w:r>
      <w:r>
        <w:rPr>
          <w:rFonts w:ascii="Barlow Semi Condensed" w:cs="Barlow Semi Condensed" w:eastAsia="Barlow Semi Condensed" w:hAnsi="Barlow Semi Condensed"/>
          <w:sz w:val="24"/>
          <w:szCs w:val="24"/>
        </w:rPr>
        <w:t xml:space="preserve"> Il bersaglio di maggior rendimento dell'intera serie: accertare se della riunione del 25 settembre 1974 esista una verbalizzazione italiana, cioè appunto del gabinetto del ministro, resoconto di delegazione o telegramma di riepilogo dell'ambasciata a Washington. Sede: Archivio storico-diplomatico della Farnesina, carteggi di gabinetto e serie dell'ambasciata. Se esiste, è un secondo testimone indipendente; se non esiste, l'esito negativo va verbalizzato.</w:t>
      </w:r>
    </w:p>
    <w:p>
      <w:pPr>
        <w:spacing w:after="120" w:line="276"/>
        <w:jc w:val="both"/>
      </w:pPr>
      <w:r>
        <w:rPr>
          <w:rFonts w:ascii="Barlow Semi Condensed" w:cs="Barlow Semi Condensed" w:eastAsia="Barlow Semi Condensed" w:hAnsi="Barlow Semi Condensed"/>
          <w:b/>
          <w:bCs/>
          <w:sz w:val="24"/>
          <w:szCs w:val="24"/>
        </w:rPr>
        <w:t xml:space="preserve">229 · L'appunto di gabinetto come genere.</w:t>
      </w:r>
      <w:r>
        <w:rPr>
          <w:rFonts w:ascii="Barlow Semi Condensed" w:cs="Barlow Semi Condensed" w:eastAsia="Barlow Semi Condensed" w:hAnsi="Barlow Semi Condensed"/>
          <w:sz w:val="24"/>
          <w:szCs w:val="24"/>
        </w:rPr>
        <w:t xml:space="preserve"> L'appunto italiano non è l'omologo del memcon: nasce per informare il ministro o i suoi successori, spesso in forma di sintesi tematica e non cronologica, e circola in poche copie protocollate. Il quesito da porre all'archivio è duplice: se l'appunto esista, e quale numero di protocollo porti. Il protocollo che registra un documento oggi assente prova che il documento esistette, ed è già acquisizione.</w:t>
      </w:r>
    </w:p>
    <w:p>
      <w:pPr>
        <w:spacing w:after="120" w:line="276"/>
        <w:jc w:val="both"/>
      </w:pPr>
      <w:r>
        <w:rPr>
          <w:rFonts w:ascii="Barlow Semi Condensed" w:cs="Barlow Semi Condensed" w:eastAsia="Barlow Semi Condensed" w:hAnsi="Barlow Semi Condensed"/>
          <w:b/>
          <w:bCs/>
          <w:sz w:val="24"/>
          <w:szCs w:val="24"/>
        </w:rPr>
        <w:t xml:space="preserve">230 · Il telegramma di riepilogo.</w:t>
      </w:r>
      <w:r>
        <w:rPr>
          <w:rFonts w:ascii="Barlow Semi Condensed" w:cs="Barlow Semi Condensed" w:eastAsia="Barlow Semi Condensed" w:hAnsi="Barlow Semi Condensed"/>
          <w:sz w:val="24"/>
          <w:szCs w:val="24"/>
        </w:rPr>
        <w:t xml:space="preserve"> Dopo un colloquio di vertice l'ambasciata riferisce per telegramma cifrato. Il bersaglio è la serie dei telegrammi in partenza da Washington nel settembre 1974 e delle relative istruzioni in arrivo. Un telegramma è più asciutto di un verbale ma è coevo alla giornata e datato all'ora: come testimone ha una fedeltà diversa, non minore. La sede resta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231 · La serie che resta chiusa.</w:t>
      </w:r>
      <w:r>
        <w:rPr>
          <w:rFonts w:ascii="Barlow Semi Condensed" w:cs="Barlow Semi Condensed" w:eastAsia="Barlow Semi Condensed" w:hAnsi="Barlow Semi Condensed"/>
          <w:sz w:val="24"/>
          <w:szCs w:val="24"/>
        </w:rPr>
        <w:t xml:space="preserve"> Vincolo dichiarato e da non aggirare: l'esclusione temporanea della serie dei Telegrammi 1942-1970 restringe la ricerca telegrafica per l'intero arco anteriore, mentre per la documentazione dal 1949 in poi la disponibilità dei faldoni va verificata caso per caso. Il costo del bersaglio va dichiarato prima di pianificare, come impone la correzione già portata ai cantieri sulla presunta apertura dell'archivio.</w:t>
      </w:r>
    </w:p>
    <w:p>
      <w:pPr>
        <w:spacing w:after="120" w:line="276"/>
        <w:jc w:val="both"/>
      </w:pPr>
      <w:r>
        <w:rPr>
          <w:rFonts w:ascii="Barlow Semi Condensed" w:cs="Barlow Semi Condensed" w:eastAsia="Barlow Semi Condensed" w:hAnsi="Barlow Semi Condensed"/>
          <w:b/>
          <w:bCs/>
          <w:sz w:val="24"/>
          <w:szCs w:val="24"/>
        </w:rPr>
        <w:t xml:space="preserve">232 · La barriera dei cinquant'anni.</w:t>
      </w:r>
      <w:r>
        <w:rPr>
          <w:rFonts w:ascii="Barlow Semi Condensed" w:cs="Barlow Semi Condensed" w:eastAsia="Barlow Semi Condensed" w:hAnsi="Barlow Semi Condensed"/>
          <w:sz w:val="24"/>
          <w:szCs w:val="24"/>
        </w:rPr>
        <w:t xml:space="preserve"> L'accessibilità dell'Archivio storico-diplomatico è regolata dal criterio dei cinquant'anni, con facoltà eccezionale del ministro di ridurre il termine a trenta e con settanta anni per le situazioni private. Al 2026 l'arco 1969-1974 è teoricamente aperto. Teoricamente non significa praticamente: l'inventariazione incompleta è il limite reale, e la distinzione fra consultabilità di principio e disponibilità di fatto va scritta in ogni piano di ricerca.</w:t>
      </w:r>
    </w:p>
    <w:p>
      <w:pPr>
        <w:spacing w:after="120" w:line="276"/>
        <w:jc w:val="both"/>
      </w:pPr>
      <w:r>
        <w:rPr>
          <w:rFonts w:ascii="Barlow Semi Condensed" w:cs="Barlow Semi Condensed" w:eastAsia="Barlow Semi Condensed" w:hAnsi="Barlow Semi Condensed"/>
          <w:b/>
          <w:bCs/>
          <w:sz w:val="24"/>
          <w:szCs w:val="24"/>
        </w:rPr>
        <w:t xml:space="preserve">233 · La condizione operativa dei faldoni.</w:t>
      </w:r>
      <w:r>
        <w:rPr>
          <w:rFonts w:ascii="Barlow Semi Condensed" w:cs="Barlow Semi Condensed" w:eastAsia="Barlow Semi Condensed" w:hAnsi="Barlow Semi Condensed"/>
          <w:sz w:val="24"/>
          <w:szCs w:val="24"/>
        </w:rPr>
        <w:t xml:space="preserve"> La procedura è nota e va seguita alla lettera: registrazione al portale dell'archivio, contatto preventivo per verificare la disponibilità delle unità, richiesta dell'inventario prima del documento. È la regola d'ingaggio fissata al blocco 287 dell'agenda. Chiedere un documento senza aver chiesto l'inventario produce un diniego che non è un esito negativo: è una domanda mal posta, e non fonda alcuno Stato Zero.</w:t>
      </w:r>
    </w:p>
    <w:p>
      <w:pPr>
        <w:spacing w:after="120" w:line="276"/>
        <w:jc w:val="both"/>
      </w:pPr>
      <w:r>
        <w:rPr>
          <w:rFonts w:ascii="Barlow Semi Condensed" w:cs="Barlow Semi Condensed" w:eastAsia="Barlow Semi Condensed" w:hAnsi="Barlow Semi Condensed"/>
          <w:b/>
          <w:bCs/>
          <w:sz w:val="24"/>
          <w:szCs w:val="24"/>
        </w:rPr>
        <w:t xml:space="preserve">234 · La sede di chiusura dichiarata.</w:t>
      </w:r>
      <w:r>
        <w:rPr>
          <w:rFonts w:ascii="Barlow Semi Condensed" w:cs="Barlow Semi Condensed" w:eastAsia="Barlow Semi Condensed" w:hAnsi="Barlow Semi Condensed"/>
          <w:sz w:val="24"/>
          <w:szCs w:val="24"/>
        </w:rPr>
        <w:t xml:space="preserve"> Ogni bersaglio farnesino di questa serie si chiude in un solo luogo: la Sala studio dell'Archivio storico-diplomatico, sulle serie del gabinetto del ministro, della Direzione generale affari politici e dell'ambasciata a Washington per gli anni 1969-1974. Dichiarare la sede è parte dell'esito: un esito negativo senza sede è un'impressione, un esito negativo con sede è un'acquisizione riproducibile da chiunque altro.</w:t>
      </w:r>
    </w:p>
    <w:p>
      <w:pPr>
        <w:spacing w:after="120" w:line="276"/>
        <w:jc w:val="both"/>
      </w:pPr>
      <w:r>
        <w:rPr>
          <w:rFonts w:ascii="Barlow Semi Condensed" w:cs="Barlow Semi Condensed" w:eastAsia="Barlow Semi Condensed" w:hAnsi="Barlow Semi Condensed"/>
          <w:b/>
          <w:bCs/>
          <w:sz w:val="24"/>
          <w:szCs w:val="24"/>
        </w:rPr>
        <w:t xml:space="preserve">235 · I Documenti Diplomatici Italiani.</w:t>
      </w:r>
      <w:r>
        <w:rPr>
          <w:rFonts w:ascii="Barlow Semi Condensed" w:cs="Barlow Semi Condensed" w:eastAsia="Barlow Semi Condensed" w:hAnsi="Barlow Semi Condensed"/>
          <w:sz w:val="24"/>
          <w:szCs w:val="24"/>
        </w:rPr>
        <w:t xml:space="preserve"> Quesito aperto e già registrato dal corpus: verificare se le annate 1969-1974 della raccolta ufficiale dei Documenti Diplomatici Italiani siano uscite nella serie a stampa, e con quale selezione. Sedi: l'Archivio storico-diplomatico e i cataloghi dell'editore ufficiale. La raccolta è l'omologo italiano del FRUS e, come il FRUS, è una selezione curata: dove esiste, dice anche che cosa il curatore non incluse.</w:t>
      </w:r>
    </w:p>
    <w:p>
      <w:pPr>
        <w:spacing w:after="120" w:line="276"/>
        <w:jc w:val="both"/>
      </w:pPr>
      <w:r>
        <w:rPr>
          <w:rFonts w:ascii="Barlow Semi Condensed" w:cs="Barlow Semi Condensed" w:eastAsia="Barlow Semi Condensed" w:hAnsi="Barlow Semi Condensed"/>
          <w:b/>
          <w:bCs/>
          <w:sz w:val="24"/>
          <w:szCs w:val="24"/>
        </w:rPr>
        <w:t xml:space="preserve">236 · Il quarto deposito moroteo.</w:t>
      </w:r>
      <w:r>
        <w:rPr>
          <w:rFonts w:ascii="Barlow Semi Condensed" w:cs="Barlow Semi Condensed" w:eastAsia="Barlow Semi Condensed" w:hAnsi="Barlow Semi Condensed"/>
          <w:sz w:val="24"/>
          <w:szCs w:val="24"/>
        </w:rPr>
        <w:t xml:space="preserve"> Il Fondo Aldo Moro dell'Archivio storico del Senato, con segnatura IT-AFS-048, conserva unità digitalizzate del periodo ministeriale ed è il quarto nucleo delle carte, accanto al fondo personale, a quello familiare e alla raccolta delle direttive: la correzione è già stata portata al registro dei tre nuclei dei cantieri. Bersaglio: lo spoglio delle unità del 1974 in cerca di carte relative alla missione americana.</w:t>
      </w:r>
    </w:p>
    <w:p>
      <w:pPr>
        <w:spacing w:after="120" w:line="276"/>
        <w:jc w:val="both"/>
      </w:pPr>
      <w:r>
        <w:rPr>
          <w:rFonts w:ascii="Barlow Semi Condensed" w:cs="Barlow Semi Condensed" w:eastAsia="Barlow Semi Condensed" w:hAnsi="Barlow Semi Condensed"/>
          <w:b/>
          <w:bCs/>
          <w:sz w:val="24"/>
          <w:szCs w:val="24"/>
        </w:rPr>
        <w:t xml:space="preserve">237 · Il fondo personale e la sua guida.</w:t>
      </w:r>
      <w:r>
        <w:rPr>
          <w:rFonts w:ascii="Barlow Semi Condensed" w:cs="Barlow Semi Condensed" w:eastAsia="Barlow Semi Condensed" w:hAnsi="Barlow Semi Condensed"/>
          <w:sz w:val="24"/>
          <w:szCs w:val="24"/>
        </w:rPr>
        <w:t xml:space="preserve"> Presso l'Archivio centrale dello Stato il fondo personale e la raccolta delle direttive sono descritti nelle schede della Guida ai fondi, con banca dati consultabile in sede e dalle postazioni remote regionali: è lo strumento quotidiano fissato al blocco 918 dei cantieri. Il quesito è puntuale e non generico: esistono, per il settembre 1974, carte preparatorie o di ritorno della visita a Washington?</w:t>
      </w:r>
    </w:p>
    <w:p>
      <w:pPr>
        <w:spacing w:after="120" w:line="276"/>
        <w:jc w:val="both"/>
      </w:pPr>
      <w:r>
        <w:rPr>
          <w:rFonts w:ascii="Barlow Semi Condensed" w:cs="Barlow Semi Condensed" w:eastAsia="Barlow Semi Condensed" w:hAnsi="Barlow Semi Condensed"/>
          <w:b/>
          <w:bCs/>
          <w:sz w:val="24"/>
          <w:szCs w:val="24"/>
        </w:rPr>
        <w:t xml:space="preserve">238 · La serie dell'ambasciata a Washington.</w:t>
      </w:r>
      <w:r>
        <w:rPr>
          <w:rFonts w:ascii="Barlow Semi Condensed" w:cs="Barlow Semi Condensed" w:eastAsia="Barlow Semi Condensed" w:hAnsi="Barlow Semi Condensed"/>
          <w:sz w:val="24"/>
          <w:szCs w:val="24"/>
        </w:rPr>
        <w:t xml:space="preserve"> Bersaglio distinto dai carteggi di gabinetto: la serie dell'ambasciata d'Italia a Washington per il 1974, con i rapporti periodici sulla politica interna americana e sui colloqui bilaterali. È la sede in cui una visita di vertice lascia la traccia più continua, perché l'ambasciata scrive prima, durante e dopo. L'inventario si chiede per primo; l'esito, positivo o negativo, si verbalizza con perimetro esatto.</w:t>
      </w:r>
    </w:p>
    <w:p>
      <w:pPr>
        <w:spacing w:after="120" w:line="276"/>
        <w:jc w:val="both"/>
      </w:pPr>
      <w:r>
        <w:rPr>
          <w:rFonts w:ascii="Barlow Semi Condensed" w:cs="Barlow Semi Condensed" w:eastAsia="Barlow Semi Condensed" w:hAnsi="Barlow Semi Condensed"/>
          <w:b/>
          <w:bCs/>
          <w:sz w:val="24"/>
          <w:szCs w:val="24"/>
        </w:rPr>
        <w:t xml:space="preserve">239 · Se le due versioni divergessero.</w:t>
      </w:r>
      <w:r>
        <w:rPr>
          <w:rFonts w:ascii="Barlow Semi Condensed" w:cs="Barlow Semi Condensed" w:eastAsia="Barlow Semi Condensed" w:hAnsi="Barlow Semi Condensed"/>
          <w:sz w:val="24"/>
          <w:szCs w:val="24"/>
        </w:rPr>
        <w:t xml:space="preserve"> Ipotesi da regolare prima che si presenti: se la verbalizzazione italiana esistesse e divergesse da quella americana, la divergenza si riporta e non si compone. Non si sceglie il testimone più comodo, non si media fra le due lezioni, non si dichiara vincente la copia più antica. Si registra che due amministrazioni verbalizzarono diversamente lo stesso tavolo, il che è già un'acquisizione di pieno valore.</w:t>
      </w:r>
    </w:p>
    <w:p>
      <w:pPr>
        <w:spacing w:after="120" w:line="276"/>
        <w:jc w:val="both"/>
      </w:pPr>
      <w:r>
        <w:rPr>
          <w:rFonts w:ascii="Barlow Semi Condensed" w:cs="Barlow Semi Condensed" w:eastAsia="Barlow Semi Condensed" w:hAnsi="Barlow Semi Condensed"/>
          <w:b/>
          <w:bCs/>
          <w:sz w:val="24"/>
          <w:szCs w:val="24"/>
        </w:rPr>
        <w:t xml:space="preserve">240 · La collazione come procedura.</w:t>
      </w:r>
      <w:r>
        <w:rPr>
          <w:rFonts w:ascii="Barlow Semi Condensed" w:cs="Barlow Semi Condensed" w:eastAsia="Barlow Semi Condensed" w:hAnsi="Barlow Semi Condensed"/>
          <w:sz w:val="24"/>
          <w:szCs w:val="24"/>
        </w:rPr>
        <w:t xml:space="preserve"> La collazione si esegue con criteri dichiarati: si stabiliscono i testimoni, si assegna a ciascuno sede e segnatura, si allineano i passaggi corrispondenti, si registrano le varianti sostanziali distinguendole da quelle di resa. Ciò che ne esce non è una versione corretta ma un apparato, cioè la tavola delle differenze fra le carte. Nel corpus l'apparato vale più della sintesi, perché resta verificabile.</w:t>
      </w:r>
    </w:p>
    <w:p>
      <w:pPr>
        <w:spacing w:after="120" w:line="276"/>
        <w:jc w:val="both"/>
      </w:pPr>
      <w:r>
        <w:rPr>
          <w:rFonts w:ascii="Barlow Semi Condensed" w:cs="Barlow Semi Condensed" w:eastAsia="Barlow Semi Condensed" w:hAnsi="Barlow Semi Condensed"/>
          <w:b/>
          <w:bCs/>
          <w:sz w:val="24"/>
          <w:szCs w:val="24"/>
        </w:rPr>
        <w:t xml:space="preserve">241 · La riunione dell'11 marzo 1969.</w:t>
      </w:r>
      <w:r>
        <w:rPr>
          <w:rFonts w:ascii="Barlow Semi Condensed" w:cs="Barlow Semi Condensed" w:eastAsia="Barlow Semi Condensed" w:hAnsi="Barlow Semi Condensed"/>
          <w:sz w:val="24"/>
          <w:szCs w:val="24"/>
        </w:rPr>
        <w:t xml:space="preserve"> Documento già acquisito: FRUS 1969-1976, volume XLI, documento 180, verbale della riunione del Comitato dei 303 dell'11 marzo 1969, presieduta da Kissinger, con Johnson, Packard e Helms presenti. Vi si illustrarono origini e livelli del programma di sostegno coperto ai partiti italiani fra il 1948 e il 1968. È fonte primaria edita, con la propria catena archivistica dichiarata nelle note del volume.</w:t>
      </w:r>
    </w:p>
    <w:p>
      <w:pPr>
        <w:spacing w:after="120" w:line="276"/>
        <w:jc w:val="both"/>
      </w:pPr>
      <w:r>
        <w:rPr>
          <w:rFonts w:ascii="Barlow Semi Condensed" w:cs="Barlow Semi Condensed" w:eastAsia="Barlow Semi Condensed" w:hAnsi="Barlow Semi Condensed"/>
          <w:b/>
          <w:bCs/>
          <w:sz w:val="24"/>
          <w:szCs w:val="24"/>
        </w:rPr>
        <w:t xml:space="preserve">242 · L'esito unanime di quel verbale.</w:t>
      </w:r>
      <w:r>
        <w:rPr>
          <w:rFonts w:ascii="Barlow Semi Condensed" w:cs="Barlow Semi Condensed" w:eastAsia="Barlow Semi Condensed" w:hAnsi="Barlow Semi Condensed"/>
          <w:sz w:val="24"/>
          <w:szCs w:val="24"/>
        </w:rPr>
        <w:t xml:space="preserve"> Il verbale attesta che i presenti convennero all'unanimità che non vi fosse reale giustificazione per la ripresa del finanziamento coperto. Il dato va riportato per intero, perché la pubblicistica cita di norma l'esistenza del programma e non la decisione di non riprenderlo. Un verbale che documenta un'astensione deliberata non è a carico di nessuno: è semplicemente ciò che quel giorno fu deciso, e va letto così.</w:t>
      </w:r>
    </w:p>
    <w:p>
      <w:pPr>
        <w:spacing w:after="120" w:line="276"/>
        <w:jc w:val="both"/>
      </w:pPr>
      <w:r>
        <w:rPr>
          <w:rFonts w:ascii="Barlow Semi Condensed" w:cs="Barlow Semi Condensed" w:eastAsia="Barlow Semi Condensed" w:hAnsi="Barlow Semi Condensed"/>
          <w:b/>
          <w:bCs/>
          <w:sz w:val="24"/>
          <w:szCs w:val="24"/>
        </w:rPr>
        <w:t xml:space="preserve">243 · L'anteriorità e il suo effetto.</w:t>
      </w:r>
      <w:r>
        <w:rPr>
          <w:rFonts w:ascii="Barlow Semi Condensed" w:cs="Barlow Semi Condensed" w:eastAsia="Barlow Semi Condensed" w:hAnsi="Barlow Semi Condensed"/>
          <w:sz w:val="24"/>
          <w:szCs w:val="24"/>
        </w:rPr>
        <w:t xml:space="preserve"> La riunione è del marzo 1969; Moro assunse la Farnesina il 5 agosto 1969. La contemporaneità è dunque soltanto apparente e la regola sulla cronologia opera direttamente: nessun nesso può essere costruito fra quel verbale e il ministro, che allora non era in carica. È il caso di scuola in cui la cronologia, prima di ogni interpretazione, esclude più di quanto la lettura possa aggiungere.</w:t>
      </w:r>
    </w:p>
    <w:p>
      <w:pPr>
        <w:spacing w:after="120" w:line="276"/>
        <w:jc w:val="both"/>
      </w:pPr>
      <w:r>
        <w:rPr>
          <w:rFonts w:ascii="Barlow Semi Condensed" w:cs="Barlow Semi Condensed" w:eastAsia="Barlow Semi Condensed" w:hAnsi="Barlow Semi Condensed"/>
          <w:b/>
          <w:bCs/>
          <w:sz w:val="24"/>
          <w:szCs w:val="24"/>
        </w:rPr>
        <w:t xml:space="preserve">244 · Il verbale di comitato come genere.</w:t>
      </w:r>
      <w:r>
        <w:rPr>
          <w:rFonts w:ascii="Barlow Semi Condensed" w:cs="Barlow Semi Condensed" w:eastAsia="Barlow Semi Condensed" w:hAnsi="Barlow Semi Condensed"/>
          <w:sz w:val="24"/>
          <w:szCs w:val="24"/>
        </w:rPr>
        <w:t xml:space="preserve"> Il verbale di un comitato ristretto ha caratteri propri: presenze nominative, ordine del giorno, esito deliberativo, e quasi nessuna traccia della discussione. È il genere documentale più povero di parlato e più ricco di decisione. Chi vi cerchi motivazioni resterà a mani vuote; chi vi cerchi che cosa fu deciso e da chi troverà esattamente quello. Il bersaglio si calibra sul genere, non sulle attese.</w:t>
      </w:r>
    </w:p>
    <w:p>
      <w:pPr>
        <w:spacing w:after="120" w:line="276"/>
        <w:jc w:val="both"/>
      </w:pPr>
      <w:r>
        <w:rPr>
          <w:rFonts w:ascii="Barlow Semi Condensed" w:cs="Barlow Semi Condensed" w:eastAsia="Barlow Semi Condensed" w:hAnsi="Barlow Semi Condensed"/>
          <w:b/>
          <w:bCs/>
          <w:sz w:val="24"/>
          <w:szCs w:val="24"/>
        </w:rPr>
        <w:t xml:space="preserve">245 · La ridenominazione del comitato.</w:t>
      </w:r>
      <w:r>
        <w:rPr>
          <w:rFonts w:ascii="Barlow Semi Condensed" w:cs="Barlow Semi Condensed" w:eastAsia="Barlow Semi Condensed" w:hAnsi="Barlow Semi Condensed"/>
          <w:sz w:val="24"/>
          <w:szCs w:val="24"/>
        </w:rPr>
        <w:t xml:space="preserve"> Quesito da chiudere su fonte primaria: reperire il direttivo presidenziale che, agli inizi del 1970, sostituì al Comitato dei 303 l'organismo successore con nuova denominazione e nuova composizione, con data e segnatura esatte. Sede: la serie dei direttivi del Consiglio di sicurezza nazionale presso i National Archives e i volumi FRUS sull'organizzazione della politica estera. Senza il testo del direttivo, la sequenza dei comitati resta memorialistica.</w:t>
      </w:r>
    </w:p>
    <w:p>
      <w:pPr>
        <w:spacing w:after="120" w:line="276"/>
        <w:jc w:val="both"/>
      </w:pPr>
      <w:r>
        <w:rPr>
          <w:rFonts w:ascii="Barlow Semi Condensed" w:cs="Barlow Semi Condensed" w:eastAsia="Barlow Semi Condensed" w:hAnsi="Barlow Semi Condensed"/>
          <w:b/>
          <w:bCs/>
          <w:sz w:val="24"/>
          <w:szCs w:val="24"/>
        </w:rPr>
        <w:t xml:space="preserve">246 · L'istruzione del dicembre 1969 (serie IV).</w:t>
      </w:r>
      <w:r>
        <w:rPr>
          <w:rFonts w:ascii="Barlow Semi Condensed" w:cs="Barlow Semi Condensed" w:eastAsia="Barlow Semi Condensed" w:hAnsi="Barlow Semi Condensed"/>
          <w:sz w:val="24"/>
          <w:szCs w:val="24"/>
        </w:rPr>
        <w:t xml:space="preserve"> Documento già acquisito: FRUS 1969-1976, volume XLI, documento 188, che registra l'istruzione di Nixon del dicembre 1969 di avviare uno studio sull'Italia. Attesta che uno studio fu ordinato; non attesta che cosa lo studio contenne, né quale esito ebbe. La distinzione fra l'ordine di studiare e il prodotto dello studio è la stessa che corre fra il gene trascritto e la proteina che ne risulta.</w:t>
      </w:r>
    </w:p>
    <w:p>
      <w:pPr>
        <w:spacing w:after="120" w:line="276"/>
        <w:jc w:val="both"/>
      </w:pPr>
      <w:r>
        <w:rPr>
          <w:rFonts w:ascii="Barlow Semi Condensed" w:cs="Barlow Semi Condensed" w:eastAsia="Barlow Semi Condensed" w:hAnsi="Barlow Semi Condensed"/>
          <w:b/>
          <w:bCs/>
          <w:sz w:val="24"/>
          <w:szCs w:val="24"/>
        </w:rPr>
        <w:t xml:space="preserve">247 · Il prodotto dello studio.</w:t>
      </w:r>
      <w:r>
        <w:rPr>
          <w:rFonts w:ascii="Barlow Semi Condensed" w:cs="Barlow Semi Condensed" w:eastAsia="Barlow Semi Condensed" w:hAnsi="Barlow Semi Condensed"/>
          <w:sz w:val="24"/>
          <w:szCs w:val="24"/>
        </w:rPr>
        <w:t xml:space="preserve"> Bersaglio derivato dal precedente: reperire il documento di studio effettivamente prodotto, con la sua sigla di serie e la sua data, presso i fondi del Consiglio di sicurezza nazionale ai National Archives di College Park, nella serie dei fascicoli per paese relativa all'Italia. È il caso in cui una nota a piè di pagina del volume FRUS funziona da segnatura: la si segue, e si dichiara l'esito.</w:t>
      </w:r>
    </w:p>
    <w:p>
      <w:pPr>
        <w:spacing w:after="120" w:line="276"/>
        <w:jc w:val="both"/>
      </w:pPr>
      <w:r>
        <w:rPr>
          <w:rFonts w:ascii="Barlow Semi Condensed" w:cs="Barlow Semi Condensed" w:eastAsia="Barlow Semi Condensed" w:hAnsi="Barlow Semi Condensed"/>
          <w:b/>
          <w:bCs/>
          <w:sz w:val="24"/>
          <w:szCs w:val="24"/>
        </w:rPr>
        <w:t xml:space="preserve">248 · Il riemergere del programma coperto.</w:t>
      </w:r>
      <w:r>
        <w:rPr>
          <w:rFonts w:ascii="Barlow Semi Condensed" w:cs="Barlow Semi Condensed" w:eastAsia="Barlow Semi Condensed" w:hAnsi="Barlow Semi Condensed"/>
          <w:sz w:val="24"/>
          <w:szCs w:val="24"/>
        </w:rPr>
        <w:t xml:space="preserve"> Un saggio peer-reviewed del 2024 segnala che il programma di azione coperta relativo all'Italia riemerse nel novembre 1975 e nel luglio 1976. Statuto: fonte secondaria qualificata, punto di partenza bibliografico e non documento. La regola del corpus è che senza primario non si conclude: il bersaglio è il documento che il saggio cita, con la sua segnatura, e l'accertamento resta aperto finché quella carta non è letta.</w:t>
      </w:r>
    </w:p>
    <w:p>
      <w:pPr>
        <w:spacing w:after="120" w:line="276"/>
        <w:jc w:val="both"/>
      </w:pPr>
      <w:r>
        <w:rPr>
          <w:rFonts w:ascii="Barlow Semi Condensed" w:cs="Barlow Semi Condensed" w:eastAsia="Barlow Semi Condensed" w:hAnsi="Barlow Semi Condensed"/>
          <w:b/>
          <w:bCs/>
          <w:sz w:val="24"/>
          <w:szCs w:val="24"/>
        </w:rPr>
        <w:t xml:space="preserve">249 · Il primario che manca alla citazione.</w:t>
      </w:r>
      <w:r>
        <w:rPr>
          <w:rFonts w:ascii="Barlow Semi Condensed" w:cs="Barlow Semi Condensed" w:eastAsia="Barlow Semi Condensed" w:hAnsi="Barlow Semi Condensed"/>
          <w:sz w:val="24"/>
          <w:szCs w:val="24"/>
        </w:rPr>
        <w:t xml:space="preserve"> Procedura generale ricavata dal caso precedente: quando una fonte secondaria attendibile data un fatto, si risale alla sua nota, si identifica la serie, si chiede il documento. Se è classificato, si passa alla procedura di richiesta; se è aperto, si legge; se non è reperibile, si verbalizza il vuoto. La fonte secondaria non è mai il capolinea: è la mappa che indica dove il primario dovrebbe stare.</w:t>
      </w:r>
    </w:p>
    <w:p>
      <w:pPr>
        <w:spacing w:after="120" w:line="276"/>
        <w:jc w:val="both"/>
      </w:pPr>
      <w:r>
        <w:rPr>
          <w:rFonts w:ascii="Barlow Semi Condensed" w:cs="Barlow Semi Condensed" w:eastAsia="Barlow Semi Condensed" w:hAnsi="Barlow Semi Condensed"/>
          <w:b/>
          <w:bCs/>
          <w:sz w:val="24"/>
          <w:szCs w:val="24"/>
        </w:rPr>
        <w:t xml:space="preserve">250 · Il perimetro cronologico del documento.</w:t>
      </w:r>
      <w:r>
        <w:rPr>
          <w:rFonts w:ascii="Barlow Semi Condensed" w:cs="Barlow Semi Condensed" w:eastAsia="Barlow Semi Condensed" w:hAnsi="Barlow Semi Condensed"/>
          <w:sz w:val="24"/>
          <w:szCs w:val="24"/>
        </w:rPr>
        <w:t xml:space="preserve"> La ricostruzione presentata alla riunione del marzo 1969 copre un ventennio e si ferma al 1968. Il perimetro cronologico è un dato del documento e va rispettato: quella carta non dice nulla degli anni successivi, e usarla per il decennio seguente è un'estensione indebita. Ogni documento porta con sé il proprio orizzonte temporale, e travalicarlo è la forma più silenziosa di forzatura.</w:t>
      </w:r>
    </w:p>
    <w:p>
      <w:pPr>
        <w:spacing w:after="120" w:line="276"/>
        <w:jc w:val="both"/>
      </w:pPr>
      <w:r>
        <w:rPr>
          <w:rFonts w:ascii="Barlow Semi Condensed" w:cs="Barlow Semi Condensed" w:eastAsia="Barlow Semi Condensed" w:hAnsi="Barlow Semi Condensed"/>
          <w:b/>
          <w:bCs/>
          <w:sz w:val="24"/>
          <w:szCs w:val="24"/>
        </w:rPr>
        <w:t xml:space="preserve">251 · L'unanimità come dato formale.</w:t>
      </w:r>
      <w:r>
        <w:rPr>
          <w:rFonts w:ascii="Barlow Semi Condensed" w:cs="Barlow Semi Condensed" w:eastAsia="Barlow Semi Condensed" w:hAnsi="Barlow Semi Condensed"/>
          <w:sz w:val="24"/>
          <w:szCs w:val="24"/>
        </w:rPr>
        <w:t xml:space="preserve"> Un verbale che registra l'unanimità attesta una forma, non uno stato d'animo: significa che nessuno mise a verbale un dissenso. È possibile che dissensi vi fossero e non siano stati verbalizzati, come è possibile che non ve ne fossero. Il documento non discrimina fra le due ipotesi, e nessuna delle due va preferita. Ciò che il verbale non registra non è cancellato: è fuori dalla trascrizione.</w:t>
      </w:r>
    </w:p>
    <w:p>
      <w:pPr>
        <w:spacing w:after="120" w:line="276"/>
        <w:jc w:val="both"/>
      </w:pPr>
      <w:r>
        <w:rPr>
          <w:rFonts w:ascii="Barlow Semi Condensed" w:cs="Barlow Semi Condensed" w:eastAsia="Barlow Semi Condensed" w:hAnsi="Barlow Semi Condensed"/>
          <w:b/>
          <w:bCs/>
          <w:sz w:val="24"/>
          <w:szCs w:val="24"/>
        </w:rPr>
        <w:t xml:space="preserve">252 · Il memorandum delle Azzorre.</w:t>
      </w:r>
      <w:r>
        <w:rPr>
          <w:rFonts w:ascii="Barlow Semi Condensed" w:cs="Barlow Semi Condensed" w:eastAsia="Barlow Semi Condensed" w:hAnsi="Barlow Semi Condensed"/>
          <w:sz w:val="24"/>
          <w:szCs w:val="24"/>
        </w:rPr>
        <w:t xml:space="preserve"> Documento già acquisito: FRUS 1969-1976, volume E-15, parte 2, documento 133, memorandum del 19 giugno 1974 sull'incontro alle Azzorre fra Nixon e Spínola, che registra la richiesta portoghese di assistenza per contrastare mosse comuniste che impianterebbero un'altra Cuba nella penisola iberica. Attesta una richiesta formulata dalla parte portoghese; non attesta l'accoglimento, né alcuna decisione conseguente.</w:t>
      </w:r>
    </w:p>
    <w:p>
      <w:pPr>
        <w:spacing w:after="120" w:line="276"/>
        <w:jc w:val="both"/>
      </w:pPr>
      <w:r>
        <w:rPr>
          <w:rFonts w:ascii="Barlow Semi Condensed" w:cs="Barlow Semi Condensed" w:eastAsia="Barlow Semi Condensed" w:hAnsi="Barlow Semi Condensed"/>
          <w:b/>
          <w:bCs/>
          <w:sz w:val="24"/>
          <w:szCs w:val="24"/>
        </w:rPr>
        <w:t xml:space="preserve">253 · Chi pronuncia la frase.</w:t>
      </w:r>
      <w:r>
        <w:rPr>
          <w:rFonts w:ascii="Barlow Semi Condensed" w:cs="Barlow Semi Condensed" w:eastAsia="Barlow Semi Condensed" w:hAnsi="Barlow Semi Condensed"/>
          <w:sz w:val="24"/>
          <w:szCs w:val="24"/>
        </w:rPr>
        <w:t xml:space="preserve"> Regola di lettura che questo documento impone con evidenza: in un verbale ogni frase ha un soggetto, e attribuirla al soggetto sbagliato è l'errore più frequente e più grave. L'immagine dell'altra Cuba appartiene alla parte che chiede, non alla parte che ascolta. Prima di citare una frase da un memorandum si accerta chi parla, in quale punto del testo, e se il redattore la dia come diretta o riassunta.</w:t>
      </w:r>
    </w:p>
    <w:p>
      <w:pPr>
        <w:spacing w:after="120" w:line="276"/>
        <w:jc w:val="both"/>
      </w:pPr>
      <w:r>
        <w:rPr>
          <w:rFonts w:ascii="Barlow Semi Condensed" w:cs="Barlow Semi Condensed" w:eastAsia="Barlow Semi Condensed" w:hAnsi="Barlow Semi Condensed"/>
          <w:b/>
          <w:bCs/>
          <w:sz w:val="24"/>
          <w:szCs w:val="24"/>
        </w:rPr>
        <w:t xml:space="preserve">254 · Il regime neutralista di sinistra.</w:t>
      </w:r>
      <w:r>
        <w:rPr>
          <w:rFonts w:ascii="Barlow Semi Condensed" w:cs="Barlow Semi Condensed" w:eastAsia="Barlow Semi Condensed" w:hAnsi="Barlow Semi Condensed"/>
          <w:sz w:val="24"/>
          <w:szCs w:val="24"/>
        </w:rPr>
        <w:t xml:space="preserve"> Nel medesimo volume, al documento 153, è registrata la preoccupazione per Lisbona espressa non come timore di una presa del potere comunista ma di un regime neutralista di sinistra che restasse nella NATO. È distinzione analitica precisa e va citata per intero, perché dimezzarla produce l'opposto del suo senso. Il documento attesta una valutazione; non attesta alcuna azione conseguente né alcuna istruzione operativa.</w:t>
      </w:r>
    </w:p>
    <w:p>
      <w:pPr>
        <w:spacing w:after="120" w:line="276"/>
        <w:jc w:val="both"/>
      </w:pPr>
      <w:r>
        <w:rPr>
          <w:rFonts w:ascii="Barlow Semi Condensed" w:cs="Barlow Semi Condensed" w:eastAsia="Barlow Semi Condensed" w:hAnsi="Barlow Semi Condensed"/>
          <w:b/>
          <w:bCs/>
          <w:sz w:val="24"/>
          <w:szCs w:val="24"/>
        </w:rPr>
        <w:t xml:space="preserve">255 · Il riconoscimento italiano e il suo vuoto.</w:t>
      </w:r>
      <w:r>
        <w:rPr>
          <w:rFonts w:ascii="Barlow Semi Condensed" w:cs="Barlow Semi Condensed" w:eastAsia="Barlow Semi Condensed" w:hAnsi="Barlow Semi Condensed"/>
          <w:sz w:val="24"/>
          <w:szCs w:val="24"/>
        </w:rPr>
        <w:t xml:space="preserve"> Il riconoscimento italiano del nuovo governo portoghese cadde quando Moro era agli Esteri, ma nessuna fonte primaria italiana su quel riconoscimento è stata reperita, e l'atto va ascritto al governo nel suo complesso e non al ministro. Lo Stato Zero è dichiarato e la sede di chiusura è la Farnesina. Accanto vi è il portale diplomatico portoghese con la sua serie italiana, consultabile solo manualmente o in sede.</w:t>
      </w:r>
    </w:p>
    <w:p>
      <w:pPr>
        <w:spacing w:after="120" w:line="276"/>
        <w:jc w:val="both"/>
      </w:pPr>
      <w:r>
        <w:rPr>
          <w:rFonts w:ascii="Barlow Semi Condensed" w:cs="Barlow Semi Condensed" w:eastAsia="Barlow Semi Condensed" w:hAnsi="Barlow Semi Condensed"/>
          <w:b/>
          <w:bCs/>
          <w:sz w:val="24"/>
          <w:szCs w:val="24"/>
        </w:rPr>
        <w:t xml:space="preserve">256 · Helsinki e l'insofferenza da documentare.</w:t>
      </w:r>
      <w:r>
        <w:rPr>
          <w:rFonts w:ascii="Barlow Semi Condensed" w:cs="Barlow Semi Condensed" w:eastAsia="Barlow Semi Condensed" w:hAnsi="Barlow Semi Condensed"/>
          <w:sz w:val="24"/>
          <w:szCs w:val="24"/>
        </w:rPr>
        <w:t xml:space="preserve"> Bersaglio da fissare su segnatura: reperire il documento che attesta l'insofferenza di Kissinger rispetto al coinvolgimento della Comunità europea nella firma dell'Atto finale. Sedi: il volume della serie FRUS 1969-1976 dedicato alla sicurezza europea, e la collezione dei memoranda di conversazione della Ford Library per i mesi di luglio e agosto 1975. Finché la carta non è citata con la sua segnatura, il fatto resta riferito.</w:t>
      </w:r>
    </w:p>
    <w:p>
      <w:pPr>
        <w:spacing w:after="120" w:line="276"/>
        <w:jc w:val="both"/>
      </w:pPr>
      <w:r>
        <w:rPr>
          <w:rFonts w:ascii="Barlow Semi Condensed" w:cs="Barlow Semi Condensed" w:eastAsia="Barlow Semi Condensed" w:hAnsi="Barlow Semi Condensed"/>
          <w:b/>
          <w:bCs/>
          <w:sz w:val="24"/>
          <w:szCs w:val="24"/>
        </w:rPr>
        <w:t xml:space="preserve">257 · La duplice qualità di Moro.</w:t>
      </w:r>
      <w:r>
        <w:rPr>
          <w:rFonts w:ascii="Barlow Semi Condensed" w:cs="Barlow Semi Condensed" w:eastAsia="Barlow Semi Condensed" w:hAnsi="Barlow Semi Condensed"/>
          <w:sz w:val="24"/>
          <w:szCs w:val="24"/>
        </w:rPr>
        <w:t xml:space="preserve"> L'Atto finale del 1 agosto 1975 fu sottoscritto da Moro nella duplice qualità di presidente del Consiglio e di presidente di turno della Comunità: è il punto in cui l'oggetto dell'insofferenza e la persona coincidono. Coincidenza di ruolo, però, non è nesso: che la Comunità firmasse e che a firmare fosse lui sono due fatti veri e distinti, e solo il documento dirà se il secondo entrò nel discorso.</w:t>
      </w:r>
    </w:p>
    <w:p>
      <w:pPr>
        <w:spacing w:after="120" w:line="276"/>
        <w:jc w:val="both"/>
      </w:pPr>
      <w:r>
        <w:rPr>
          <w:rFonts w:ascii="Barlow Semi Condensed" w:cs="Barlow Semi Condensed" w:eastAsia="Barlow Semi Condensed" w:hAnsi="Barlow Semi Condensed"/>
          <w:b/>
          <w:bCs/>
          <w:sz w:val="24"/>
          <w:szCs w:val="24"/>
        </w:rPr>
        <w:t xml:space="preserve">258 · La cornice e la catena.</w:t>
      </w:r>
      <w:r>
        <w:rPr>
          <w:rFonts w:ascii="Barlow Semi Condensed" w:cs="Barlow Semi Condensed" w:eastAsia="Barlow Semi Condensed" w:hAnsi="Barlow Semi Condensed"/>
          <w:sz w:val="24"/>
          <w:szCs w:val="24"/>
        </w:rPr>
        <w:t xml:space="preserve"> Sintesi disciplinare dei documenti fin qui censiti: essi documentano una cornice, cioè l'ostilità di settori dell'alleanza all'ingresso comunista nell'area di governo, e non documentano alcuna catena di comando verso i fatti italiani del 1978. Il corpus ha già dichiarato Stato Zero il documento che legherebbe Kissinger-persona a quella catena. La cornice spiega perché una politica fosse osteggiata; non dice chi uccise nessuno.</w:t>
      </w:r>
    </w:p>
    <w:p>
      <w:pPr>
        <w:spacing w:after="120" w:line="276"/>
        <w:jc w:val="both"/>
      </w:pPr>
      <w:r>
        <w:rPr>
          <w:rFonts w:ascii="Barlow Semi Condensed" w:cs="Barlow Semi Condensed" w:eastAsia="Barlow Semi Condensed" w:hAnsi="Barlow Semi Condensed"/>
          <w:b/>
          <w:bCs/>
          <w:sz w:val="24"/>
          <w:szCs w:val="24"/>
        </w:rPr>
        <w:t xml:space="preserve">259 · Il promotore della trascrizione.</w:t>
      </w:r>
      <w:r>
        <w:rPr>
          <w:rFonts w:ascii="Barlow Semi Condensed" w:cs="Barlow Semi Condensed" w:eastAsia="Barlow Semi Condensed" w:hAnsi="Barlow Semi Condensed"/>
          <w:sz w:val="24"/>
          <w:szCs w:val="24"/>
        </w:rPr>
        <w:t xml:space="preserve"> Domanda genetica applicata all'archivio: che cosa attiva la verbalizzazione? Non tutti i colloqui producono un memcon; alcuni sono verbalizzati per prassi d'ufficio, altri per volontà esplicita, altri restano privi di carta. Il bersaglio è la regola interna che governava la verbalizzazione dei colloqui presidenziali nel 1974, da cercare nelle carte amministrative della Casa Bianca. Chi conosce il promotore sa perché una carta esiste e un'altra no.</w:t>
      </w:r>
    </w:p>
    <w:p>
      <w:pPr>
        <w:spacing w:after="120" w:line="276"/>
        <w:jc w:val="both"/>
      </w:pPr>
      <w:r>
        <w:rPr>
          <w:rFonts w:ascii="Barlow Semi Condensed" w:cs="Barlow Semi Condensed" w:eastAsia="Barlow Semi Condensed" w:hAnsi="Barlow Semi Condensed"/>
          <w:b/>
          <w:bCs/>
          <w:sz w:val="24"/>
          <w:szCs w:val="24"/>
        </w:rPr>
        <w:t xml:space="preserve">260 · Lo splicing del colloquio.</w:t>
      </w:r>
      <w:r>
        <w:rPr>
          <w:rFonts w:ascii="Barlow Semi Condensed" w:cs="Barlow Semi Condensed" w:eastAsia="Barlow Semi Condensed" w:hAnsi="Barlow Semi Condensed"/>
          <w:sz w:val="24"/>
          <w:szCs w:val="24"/>
        </w:rPr>
        <w:t xml:space="preserve"> Fra il colloquio e il suo verbale c'è un taglio, e il taglio è la parte più informativa del processo. Si eliminano convenevoli, digressioni, ripetizioni, e talvolta materia ritenuta non pertinente al fascicolo. Il quesito non è se il taglio ci sia stato, perché c'è sempre, ma se esistano tracce del criterio: note del redattore, versioni preliminari, appunti manoscritti, conservati nella stessa serie del verbale.</w:t>
      </w:r>
    </w:p>
    <w:p>
      <w:pPr>
        <w:spacing w:after="120" w:line="276"/>
        <w:jc w:val="both"/>
      </w:pPr>
      <w:r>
        <w:rPr>
          <w:rFonts w:ascii="Barlow Semi Condensed" w:cs="Barlow Semi Condensed" w:eastAsia="Barlow Semi Condensed" w:hAnsi="Barlow Semi Condensed"/>
          <w:b/>
          <w:bCs/>
          <w:sz w:val="24"/>
          <w:szCs w:val="24"/>
        </w:rPr>
        <w:t xml:space="preserve">261 · Gli introni del tavolo.</w:t>
      </w:r>
      <w:r>
        <w:rPr>
          <w:rFonts w:ascii="Barlow Semi Condensed" w:cs="Barlow Semi Condensed" w:eastAsia="Barlow Semi Condensed" w:hAnsi="Barlow Semi Condensed"/>
          <w:sz w:val="24"/>
          <w:szCs w:val="24"/>
        </w:rPr>
        <w:t xml:space="preserve"> Ciò che è stato tagliato non è per definizione irrilevante: nella cellula le sequenze non tradotte hanno funzione regolativa, e nell'archivio ciò che il redattore giudicò non pertinente può essere esattamente ciò che oggi si cerca. La regola però non cambia: un contenuto tagliato non è ricostruibile per inferenza. Si cerca la versione preliminare che lo conteneva, oppure si dichiara che quel contenuto è perduto.</w:t>
      </w:r>
    </w:p>
    <w:p>
      <w:pPr>
        <w:spacing w:after="120" w:line="276"/>
        <w:jc w:val="both"/>
      </w:pPr>
      <w:r>
        <w:rPr>
          <w:rFonts w:ascii="Barlow Semi Condensed" w:cs="Barlow Semi Condensed" w:eastAsia="Barlow Semi Condensed" w:hAnsi="Barlow Semi Condensed"/>
          <w:b/>
          <w:bCs/>
          <w:sz w:val="24"/>
          <w:szCs w:val="24"/>
        </w:rPr>
        <w:t xml:space="preserve">262 · Il non codificante della carta.</w:t>
      </w:r>
      <w:r>
        <w:rPr>
          <w:rFonts w:ascii="Barlow Semi Condensed" w:cs="Barlow Semi Condensed" w:eastAsia="Barlow Semi Condensed" w:hAnsi="Barlow Semi Condensed"/>
          <w:sz w:val="24"/>
          <w:szCs w:val="24"/>
        </w:rPr>
        <w:t xml:space="preserve"> Intestazioni, numeri di protocollo, liste di distribuzione, timbri di classifica, fogli di copertura: parti apparentemente mute, che non contengono il colloquio e ne governano la circolazione. Sono il non codificante del documento e vanno trascritte con la stessa cura del testo. Da una lista di distribuzione si ricava chi seppe e quando; da un protocollo, che un altro documento esistette. Il margine è spesso più probante del centro.</w:t>
      </w:r>
    </w:p>
    <w:p>
      <w:pPr>
        <w:spacing w:after="120" w:line="276"/>
        <w:jc w:val="both"/>
      </w:pPr>
      <w:r>
        <w:rPr>
          <w:rFonts w:ascii="Barlow Semi Condensed" w:cs="Barlow Semi Condensed" w:eastAsia="Barlow Semi Condensed" w:hAnsi="Barlow Semi Condensed"/>
          <w:b/>
          <w:bCs/>
          <w:sz w:val="24"/>
          <w:szCs w:val="24"/>
        </w:rPr>
        <w:t xml:space="preserve">263 · L'epigenetica della classifica.</w:t>
      </w:r>
      <w:r>
        <w:rPr>
          <w:rFonts w:ascii="Barlow Semi Condensed" w:cs="Barlow Semi Condensed" w:eastAsia="Barlow Semi Condensed" w:hAnsi="Barlow Semi Condensed"/>
          <w:sz w:val="24"/>
          <w:szCs w:val="24"/>
        </w:rPr>
        <w:t xml:space="preserve"> La classifica non muta una sillaba del testo e ne muta interamente l'espressione: lo stesso contenuto, marcato in un modo, circola in tre copie e resta invisibile per decenni; marcato in un altro, entra in una selezione edita. Il bersaglio è la storia della classifica di ciascun documento, cioè quando fu apposta e quando rimossa e con quale procedura, perché quella storia spiega perché lo conosciamo oggi e non prima.</w:t>
      </w:r>
    </w:p>
    <w:p>
      <w:pPr>
        <w:spacing w:after="120" w:line="276"/>
        <w:jc w:val="both"/>
      </w:pPr>
      <w:r>
        <w:rPr>
          <w:rFonts w:ascii="Barlow Semi Condensed" w:cs="Barlow Semi Condensed" w:eastAsia="Barlow Semi Condensed" w:hAnsi="Barlow Semi Condensed"/>
          <w:b/>
          <w:bCs/>
          <w:sz w:val="24"/>
          <w:szCs w:val="24"/>
        </w:rPr>
        <w:t xml:space="preserve">264 · L'espressione differenziale secondo l'ambiente (serie IV).</w:t>
      </w:r>
      <w:r>
        <w:rPr>
          <w:rFonts w:ascii="Barlow Semi Condensed" w:cs="Barlow Semi Condensed" w:eastAsia="Barlow Semi Condensed" w:hAnsi="Barlow Semi Condensed"/>
          <w:sz w:val="24"/>
          <w:szCs w:val="24"/>
        </w:rPr>
        <w:t xml:space="preserve"> La medesima linea politica si esprime diversamente secondo l'ambiente: perentoria in un briefing interno, cauta in un comunicato, tecnica in un telegramma d'istruzioni. La differenza non prova doppiezza, prova contesto. Ne discende una regola di lettura: non si confronta mai un documento interno con una dichiarazione pubblica come se fossero lo stesso genere, e non si conclude alla menzogna da una differenza di registro.</w:t>
      </w:r>
    </w:p>
    <w:p>
      <w:pPr>
        <w:spacing w:after="120" w:line="276"/>
        <w:jc w:val="both"/>
      </w:pPr>
      <w:r>
        <w:rPr>
          <w:rFonts w:ascii="Barlow Semi Condensed" w:cs="Barlow Semi Condensed" w:eastAsia="Barlow Semi Condensed" w:hAnsi="Barlow Semi Condensed"/>
          <w:b/>
          <w:bCs/>
          <w:sz w:val="24"/>
          <w:szCs w:val="24"/>
        </w:rPr>
        <w:t xml:space="preserve">265 · La mutazione di trascrizione.</w:t>
      </w:r>
      <w:r>
        <w:rPr>
          <w:rFonts w:ascii="Barlow Semi Condensed" w:cs="Barlow Semi Condensed" w:eastAsia="Barlow Semi Condensed" w:hAnsi="Barlow Semi Condensed"/>
          <w:sz w:val="24"/>
          <w:szCs w:val="24"/>
        </w:rPr>
        <w:t xml:space="preserve"> Ogni copia introduce errori: date invertite, nomi storpiati, cifre di protocollo alterate. Alcune mutazioni sono silenti e non cambiano il senso; altre sono sostitutive e ne cambiano uno. Il rimedio è quello della filologia, non della congettura: si risale al testimone più vicino all'originale e si registra la variante. Il corpus ha già corretto per questa via date di ratifica, di morte e di espulsione.</w:t>
      </w:r>
    </w:p>
    <w:p>
      <w:pPr>
        <w:spacing w:after="120" w:line="276"/>
        <w:jc w:val="both"/>
      </w:pPr>
      <w:r>
        <w:rPr>
          <w:rFonts w:ascii="Barlow Semi Condensed" w:cs="Barlow Semi Condensed" w:eastAsia="Barlow Semi Condensed" w:hAnsi="Barlow Semi Condensed"/>
          <w:b/>
          <w:bCs/>
          <w:sz w:val="24"/>
          <w:szCs w:val="24"/>
        </w:rPr>
        <w:t xml:space="preserve">266 · L'OCR come agente mutageno.</w:t>
      </w:r>
      <w:r>
        <w:rPr>
          <w:rFonts w:ascii="Barlow Semi Condensed" w:cs="Barlow Semi Condensed" w:eastAsia="Barlow Semi Condensed" w:hAnsi="Barlow Semi Condensed"/>
          <w:sz w:val="24"/>
          <w:szCs w:val="24"/>
        </w:rPr>
        <w:t xml:space="preserve"> Il corpus conserva l'OCR grezzo del lotto desecretato del Dipartimento di Stato accanto alla trascrizione ordinata, e la ragione è metodologica: il riconoscimento ottico produce mutazioni sistematiche su cifre, sigle e nomi propri, e conservare il grezzo consente di verificare ogni lezione dubbia. È catena di custodia applicata al testo. Chi cita da un OCR senza il suo originale cita una copia mutata senza saperlo.</w:t>
      </w:r>
    </w:p>
    <w:p>
      <w:pPr>
        <w:spacing w:after="120" w:line="276"/>
        <w:jc w:val="both"/>
      </w:pPr>
      <w:r>
        <w:rPr>
          <w:rFonts w:ascii="Barlow Semi Condensed" w:cs="Barlow Semi Condensed" w:eastAsia="Barlow Semi Condensed" w:hAnsi="Barlow Semi Condensed"/>
          <w:b/>
          <w:bCs/>
          <w:sz w:val="24"/>
          <w:szCs w:val="24"/>
        </w:rPr>
        <w:t xml:space="preserve">267 · La traduzione come mutazione.</w:t>
      </w:r>
      <w:r>
        <w:rPr>
          <w:rFonts w:ascii="Barlow Semi Condensed" w:cs="Barlow Semi Condensed" w:eastAsia="Barlow Semi Condensed" w:hAnsi="Barlow Semi Condensed"/>
          <w:sz w:val="24"/>
          <w:szCs w:val="24"/>
        </w:rPr>
        <w:t xml:space="preserve"> Fra il verbale americano e ogni sua resa italiana c'è una traduzione, e la traduzione è mutazione con perdita. Termini come tough, containment, neutralist non hanno equivalenti neutri: ogni resa aggiunge o toglie. Regola operativa del corpus: le formule decisive si citano nella lingua del documento, con la traduzione accanto e dichiarata come tale, mai al posto dell'originale e mai senza virgolette.</w:t>
      </w:r>
    </w:p>
    <w:p>
      <w:pPr>
        <w:spacing w:after="120" w:line="276"/>
        <w:jc w:val="both"/>
      </w:pPr>
      <w:r>
        <w:rPr>
          <w:rFonts w:ascii="Barlow Semi Condensed" w:cs="Barlow Semi Condensed" w:eastAsia="Barlow Semi Condensed" w:hAnsi="Barlow Semi Condensed"/>
          <w:b/>
          <w:bCs/>
          <w:sz w:val="24"/>
          <w:szCs w:val="24"/>
        </w:rPr>
        <w:t xml:space="preserve">268 · La retrotrascrizione verso l'originale.</w:t>
      </w:r>
      <w:r>
        <w:rPr>
          <w:rFonts w:ascii="Barlow Semi Condensed" w:cs="Barlow Semi Condensed" w:eastAsia="Barlow Semi Condensed" w:hAnsi="Barlow Semi Condensed"/>
          <w:sz w:val="24"/>
          <w:szCs w:val="24"/>
        </w:rPr>
        <w:t xml:space="preserve"> Il cammino normale va dall'archivio all'edizione; il cammino della verifica va all'inverso, dall'edizione all'archivio. Si parte dal testo edito nel FRUS, si legge la nota che ne dichiara il fondo, si chiede l'unità archivistica, si confronta. È retrotrascrizione: dal prodotto si risale al codice. Il corpus la prescrive per ogni documento portante, perché un'edizione è sempre una selezione, per quanto autorevole.</w:t>
      </w:r>
    </w:p>
    <w:p>
      <w:pPr>
        <w:spacing w:after="120" w:line="276"/>
        <w:jc w:val="both"/>
      </w:pPr>
      <w:r>
        <w:rPr>
          <w:rFonts w:ascii="Barlow Semi Condensed" w:cs="Barlow Semi Condensed" w:eastAsia="Barlow Semi Condensed" w:hAnsi="Barlow Semi Condensed"/>
          <w:b/>
          <w:bCs/>
          <w:sz w:val="24"/>
          <w:szCs w:val="24"/>
        </w:rPr>
        <w:t xml:space="preserve">269 · La replicazione e la custodia.</w:t>
      </w:r>
      <w:r>
        <w:rPr>
          <w:rFonts w:ascii="Barlow Semi Condensed" w:cs="Barlow Semi Condensed" w:eastAsia="Barlow Semi Condensed" w:hAnsi="Barlow Semi Condensed"/>
          <w:sz w:val="24"/>
          <w:szCs w:val="24"/>
        </w:rPr>
        <w:t xml:space="preserve"> Un documento vive per copie: la minuta, l'originale firmato, le copie per distribuzione, la riproduzione digitale, la trascrizione. Ogni passaggio va tracciato come si traccia la catena di custodia di un reperto. Il registro dei corpi di reato che i cantieri chiedono per il caso vale, mutate le proporzioni, per le carte: una citazione vale quanto la copia da cui proviene, e una copia quanto la catena che la precede.</w:t>
      </w:r>
    </w:p>
    <w:p>
      <w:pPr>
        <w:spacing w:after="120" w:line="276"/>
        <w:jc w:val="both"/>
      </w:pPr>
      <w:r>
        <w:rPr>
          <w:rFonts w:ascii="Barlow Semi Condensed" w:cs="Barlow Semi Condensed" w:eastAsia="Barlow Semi Condensed" w:hAnsi="Barlow Semi Condensed"/>
          <w:b/>
          <w:bCs/>
          <w:sz w:val="24"/>
          <w:szCs w:val="24"/>
        </w:rPr>
        <w:t xml:space="preserve">270 · La filogenesi del FRUS.</w:t>
      </w:r>
      <w:r>
        <w:rPr>
          <w:rFonts w:ascii="Barlow Semi Condensed" w:cs="Barlow Semi Condensed" w:eastAsia="Barlow Semi Condensed" w:hAnsi="Barlow Semi Condensed"/>
          <w:sz w:val="24"/>
          <w:szCs w:val="24"/>
        </w:rPr>
        <w:t xml:space="preserve"> La serie Foreign Relations of the United States non è un archivio: è una genealogia dichiarata di documenti, costruita da un curatore che sceglie, ordina e annota. Come ogni albero filogenetico riflette insieme i dati e i criteri di chi lo ha costruito. Va usata per ciò che è, cioè la mappa dichiarata degli archivi che l'hanno alimentata, secondo il blocco 134 dell'agenda, e non come il fondo stesso.</w:t>
      </w:r>
    </w:p>
    <w:p>
      <w:pPr>
        <w:spacing w:after="120" w:line="276"/>
        <w:jc w:val="both"/>
      </w:pPr>
      <w:r>
        <w:rPr>
          <w:rFonts w:ascii="Barlow Semi Condensed" w:cs="Barlow Semi Condensed" w:eastAsia="Barlow Semi Condensed" w:hAnsi="Barlow Semi Condensed"/>
          <w:b/>
          <w:bCs/>
          <w:sz w:val="24"/>
          <w:szCs w:val="24"/>
        </w:rPr>
        <w:t xml:space="preserve">271 · La nota come segnatura.</w:t>
      </w:r>
      <w:r>
        <w:rPr>
          <w:rFonts w:ascii="Barlow Semi Condensed" w:cs="Barlow Semi Condensed" w:eastAsia="Barlow Semi Condensed" w:hAnsi="Barlow Semi Condensed"/>
          <w:sz w:val="24"/>
          <w:szCs w:val="24"/>
        </w:rPr>
        <w:t xml:space="preserve"> Ogni nota a piè di pagina di un volume FRUS che dichiari fondo, serie e fascicolo è una segnatura operativa: consente di chiedere l'unità originale senza mediazioni. Il bersaglio, per i documenti di questa serie, è lo spoglio sistematico delle note dei volumi XLI ed E-15 parte 2, con la tavola delle segnature che ne risulta. È lavoro meccanico ad alto rendimento, e non richiede alcuna ipotesi.</w:t>
      </w:r>
    </w:p>
    <w:p>
      <w:pPr>
        <w:spacing w:after="120" w:line="276"/>
        <w:jc w:val="both"/>
      </w:pPr>
      <w:r>
        <w:rPr>
          <w:rFonts w:ascii="Barlow Semi Condensed" w:cs="Barlow Semi Condensed" w:eastAsia="Barlow Semi Condensed" w:hAnsi="Barlow Semi Condensed"/>
          <w:b/>
          <w:bCs/>
          <w:sz w:val="24"/>
          <w:szCs w:val="24"/>
        </w:rPr>
        <w:t xml:space="preserve">272 · Il curatore e la sua selezione.</w:t>
      </w:r>
      <w:r>
        <w:rPr>
          <w:rFonts w:ascii="Barlow Semi Condensed" w:cs="Barlow Semi Condensed" w:eastAsia="Barlow Semi Condensed" w:hAnsi="Barlow Semi Condensed"/>
          <w:sz w:val="24"/>
          <w:szCs w:val="24"/>
        </w:rPr>
        <w:t xml:space="preserve"> Un volume edito dice anche ciò che non contiene. Il bersaglio complementare è la ricostruzione del criterio di selezione dichiarato nella prefazione del volume, insieme all'elenco dei fondi consultati dal curatore. Da quell'elenco si ricava quali serie furono viste e quali no, e dunque dove cercare ciò che manca. La selezione del curatore non è una lacuna dell'archivio: è una lacuna dell'edizione, e si colma in sede.</w:t>
      </w:r>
    </w:p>
    <w:p>
      <w:pPr>
        <w:spacing w:after="120" w:line="276"/>
        <w:jc w:val="both"/>
      </w:pPr>
      <w:r>
        <w:rPr>
          <w:rFonts w:ascii="Barlow Semi Condensed" w:cs="Barlow Semi Condensed" w:eastAsia="Barlow Semi Condensed" w:hAnsi="Barlow Semi Condensed"/>
          <w:b/>
          <w:bCs/>
          <w:sz w:val="24"/>
          <w:szCs w:val="24"/>
        </w:rPr>
        <w:t xml:space="preserve">273 · Il documento ritirato e la scheda.</w:t>
      </w:r>
      <w:r>
        <w:rPr>
          <w:rFonts w:ascii="Barlow Semi Condensed" w:cs="Barlow Semi Condensed" w:eastAsia="Barlow Semi Condensed" w:hAnsi="Barlow Semi Condensed"/>
          <w:sz w:val="24"/>
          <w:szCs w:val="24"/>
        </w:rPr>
        <w:t xml:space="preserve"> Dove un documento è stato ritirato dal fascicolo per ragioni di classifica, l'archivio inserisce di norma una scheda sostitutiva che ne dichiara l'esistenza, la data e la ragione del ritiro. Quelle schede sono acquisizioni: provano che il documento esiste e ne fissano gli estremi. Il bersaglio è il loro censimento nei fondi pertinenti, perché un'assenza documentata dall'archivio stesso è la forma più forte di Stato Zero.</w:t>
      </w:r>
    </w:p>
    <w:p>
      <w:pPr>
        <w:spacing w:after="120" w:line="276"/>
        <w:jc w:val="both"/>
      </w:pPr>
      <w:r>
        <w:rPr>
          <w:rFonts w:ascii="Barlow Semi Condensed" w:cs="Barlow Semi Condensed" w:eastAsia="Barlow Semi Condensed" w:hAnsi="Barlow Semi Condensed"/>
          <w:b/>
          <w:bCs/>
          <w:sz w:val="24"/>
          <w:szCs w:val="24"/>
        </w:rPr>
        <w:t xml:space="preserve">274 · Come si chiede una carta classificata.</w:t>
      </w:r>
      <w:r>
        <w:rPr>
          <w:rFonts w:ascii="Barlow Semi Condensed" w:cs="Barlow Semi Condensed" w:eastAsia="Barlow Semi Condensed" w:hAnsi="Barlow Semi Condensed"/>
          <w:sz w:val="24"/>
          <w:szCs w:val="24"/>
        </w:rPr>
        <w:t xml:space="preserve"> Sul versante americano le vie sono due e si usano in sequenza: la richiesta di accesso ai sensi della legge sulla libertà d'informazione, e la revisione obbligatoria di declassificazione per il singolo documento identificato con precisione. La seconda richiede di conoscere già la segnatura, la prima no ed è più lenta. Ogni richiesta si formula per iscritto, si numera e si registra nel registro delle richieste.</w:t>
      </w:r>
    </w:p>
    <w:p>
      <w:pPr>
        <w:spacing w:after="120" w:line="276"/>
        <w:jc w:val="both"/>
      </w:pPr>
      <w:r>
        <w:rPr>
          <w:rFonts w:ascii="Barlow Semi Condensed" w:cs="Barlow Semi Condensed" w:eastAsia="Barlow Semi Condensed" w:hAnsi="Barlow Semi Condensed"/>
          <w:b/>
          <w:bCs/>
          <w:sz w:val="24"/>
          <w:szCs w:val="24"/>
        </w:rPr>
        <w:t xml:space="preserve">275 · L'appello e i suoi tempi.</w:t>
      </w:r>
      <w:r>
        <w:rPr>
          <w:rFonts w:ascii="Barlow Semi Condensed" w:cs="Barlow Semi Condensed" w:eastAsia="Barlow Semi Condensed" w:hAnsi="Barlow Semi Condensed"/>
          <w:sz w:val="24"/>
          <w:szCs w:val="24"/>
        </w:rPr>
        <w:t xml:space="preserve"> Un diniego non chiude nulla: restano l'appello amministrativo e, in ultima istanza, il ricorso all'organismo interagenzia che riesamina le classifiche. I tempi sono lunghi e vanno messi a bilancio come costo dichiarato del bersaglio, secondo il blocco 286 dell'agenda. Un bersaglio costoso si giustifica per iscritto o retrocede: la disciplina vale anche quando la carta desiderata è quella che si vorrebbe di più.</w:t>
      </w:r>
    </w:p>
    <w:p>
      <w:pPr>
        <w:spacing w:after="120" w:line="276"/>
        <w:jc w:val="both"/>
      </w:pPr>
      <w:r>
        <w:rPr>
          <w:rFonts w:ascii="Barlow Semi Condensed" w:cs="Barlow Semi Condensed" w:eastAsia="Barlow Semi Condensed" w:hAnsi="Barlow Semi Condensed"/>
          <w:b/>
          <w:bCs/>
          <w:sz w:val="24"/>
          <w:szCs w:val="24"/>
        </w:rPr>
        <w:t xml:space="preserve">276 · I limiti della richiesta di accesso.</w:t>
      </w:r>
      <w:r>
        <w:rPr>
          <w:rFonts w:ascii="Barlow Semi Condensed" w:cs="Barlow Semi Condensed" w:eastAsia="Barlow Semi Condensed" w:hAnsi="Barlow Semi Condensed"/>
          <w:sz w:val="24"/>
          <w:szCs w:val="24"/>
        </w:rPr>
        <w:t xml:space="preserve"> La richiesta produce spesso documenti pesantemente espunti, con pagine intere annerite e con la ragione dell'espunzione indicata per sigla. Anche così il risultato è un'acquisizione: si conoscono esistenza, data, estensione e regime di segreto. Un documento espunto non è un documento assente, e va catalogato come tale, con la sua segnatura e con l'indicazione precisa di ciò che vi manca e di chi lo ha tolto.</w:t>
      </w:r>
    </w:p>
    <w:p>
      <w:pPr>
        <w:spacing w:after="120" w:line="276"/>
        <w:jc w:val="both"/>
      </w:pPr>
      <w:r>
        <w:rPr>
          <w:rFonts w:ascii="Barlow Semi Condensed" w:cs="Barlow Semi Condensed" w:eastAsia="Barlow Semi Condensed" w:hAnsi="Barlow Semi Condensed"/>
          <w:b/>
          <w:bCs/>
          <w:sz w:val="24"/>
          <w:szCs w:val="24"/>
        </w:rPr>
        <w:t xml:space="preserve">277 · Il lato italiano e il suo regime.</w:t>
      </w:r>
      <w:r>
        <w:rPr>
          <w:rFonts w:ascii="Barlow Semi Condensed" w:cs="Barlow Semi Condensed" w:eastAsia="Barlow Semi Condensed" w:hAnsi="Barlow Semi Condensed"/>
          <w:sz w:val="24"/>
          <w:szCs w:val="24"/>
        </w:rPr>
        <w:t xml:space="preserve"> Sul versante italiano non esiste un istituto equivalente per le carte d'archivio storico: l'accesso è governato dai termini di consultabilità e dall'autorizzazione del responsabile, con la facoltà ministeriale di riduzione del termine. La differenza di regime fra i due Paesi è un dato strutturale della ricerca, e spiega perché il versante americano di questa vicenda sia meglio servito da fonti primarie edite di quello italiano.</w:t>
      </w:r>
    </w:p>
    <w:p>
      <w:pPr>
        <w:spacing w:after="120" w:line="276"/>
        <w:jc w:val="both"/>
      </w:pPr>
      <w:r>
        <w:rPr>
          <w:rFonts w:ascii="Barlow Semi Condensed" w:cs="Barlow Semi Condensed" w:eastAsia="Barlow Semi Condensed" w:hAnsi="Barlow Semi Condensed"/>
          <w:b/>
          <w:bCs/>
          <w:sz w:val="24"/>
          <w:szCs w:val="24"/>
        </w:rPr>
        <w:t xml:space="preserve">278 · Il registro delle richieste.</w:t>
      </w:r>
      <w:r>
        <w:rPr>
          <w:rFonts w:ascii="Barlow Semi Condensed" w:cs="Barlow Semi Condensed" w:eastAsia="Barlow Semi Condensed" w:hAnsi="Barlow Semi Condensed"/>
          <w:sz w:val="24"/>
          <w:szCs w:val="24"/>
        </w:rPr>
        <w:t xml:space="preserve"> Ogni istanza inviata, a Washington o a Roma, entra nel registro con data, oggetto, sede, esito e tempo di risposta. Il registro impedisce di chiedere due volte, documenta la diligenza e trasforma il rifiuto in dato. È lo strumento che l'agenda prescrive al blocco 259 e che le regole d'ingaggio del blocco 287 rendono obbligatorio. Senza registro l'esito negativo non è verbalizzabile, e quindi non esiste.</w:t>
      </w:r>
    </w:p>
    <w:p>
      <w:pPr>
        <w:spacing w:after="120" w:line="276"/>
        <w:jc w:val="both"/>
      </w:pPr>
      <w:r>
        <w:rPr>
          <w:rFonts w:ascii="Barlow Semi Condensed" w:cs="Barlow Semi Condensed" w:eastAsia="Barlow Semi Condensed" w:hAnsi="Barlow Semi Condensed"/>
          <w:b/>
          <w:bCs/>
          <w:sz w:val="24"/>
          <w:szCs w:val="24"/>
        </w:rPr>
        <w:t xml:space="preserve">279 · Gli archivisti come alleati.</w:t>
      </w:r>
      <w:r>
        <w:rPr>
          <w:rFonts w:ascii="Barlow Semi Condensed" w:cs="Barlow Semi Condensed" w:eastAsia="Barlow Semi Condensed" w:hAnsi="Barlow Semi Condensed"/>
          <w:sz w:val="24"/>
          <w:szCs w:val="24"/>
        </w:rPr>
        <w:t xml:space="preserve"> La regola dell'agenda è che gli archivisti sono alleati permanenti e non sportelli: si chiede l'inventario prima del documento, si cita la norma d'accesso, si ringrazia per iscritto, si restituiscono agli istituti gli strumenti prodotti, cioè tavole, indici e censimenti. Per questa serie la restituzione naturale è la tavola delle segnature ricavata dalle note dei volumi editi, offerta a chi conserva i fondi corrispondenti.</w:t>
      </w:r>
    </w:p>
    <w:p>
      <w:pPr>
        <w:spacing w:after="120" w:line="276"/>
        <w:jc w:val="both"/>
      </w:pPr>
      <w:r>
        <w:rPr>
          <w:rFonts w:ascii="Barlow Semi Condensed" w:cs="Barlow Semi Condensed" w:eastAsia="Barlow Semi Condensed" w:hAnsi="Barlow Semi Condensed"/>
          <w:b/>
          <w:bCs/>
          <w:sz w:val="24"/>
          <w:szCs w:val="24"/>
        </w:rPr>
        <w:t xml:space="preserve">280 · Il verbale di vuoto.</w:t>
      </w:r>
      <w:r>
        <w:rPr>
          <w:rFonts w:ascii="Barlow Semi Condensed" w:cs="Barlow Semi Condensed" w:eastAsia="Barlow Semi Condensed" w:hAnsi="Barlow Semi Condensed"/>
          <w:sz w:val="24"/>
          <w:szCs w:val="24"/>
        </w:rPr>
        <w:t xml:space="preserve"> L'esito negativo si scrive con lo stesso rigore del positivo: che cosa si è cercato, dove, quando, con quale perimetro e con quale esito. È il blocco 285 dell'agenda, ed è la ragione per cui in questa serie ogni bersaglio porta la propria sede. Un verbale di vuoto impedisce la ricerca doppia, fonda lo Stato Zero e, accumulato, disegna la mappa di ciò che non si potrà più sapere.</w:t>
      </w:r>
    </w:p>
    <w:p>
      <w:pPr>
        <w:spacing w:after="120" w:line="276"/>
        <w:jc w:val="both"/>
      </w:pPr>
      <w:r>
        <w:rPr>
          <w:rFonts w:ascii="Barlow Semi Condensed" w:cs="Barlow Semi Condensed" w:eastAsia="Barlow Semi Condensed" w:hAnsi="Barlow Semi Condensed"/>
          <w:b/>
          <w:bCs/>
          <w:sz w:val="24"/>
          <w:szCs w:val="24"/>
        </w:rPr>
        <w:t xml:space="preserve">281 · Le ipotesi concorrenti sul silenzio.</w:t>
      </w:r>
      <w:r>
        <w:rPr>
          <w:rFonts w:ascii="Barlow Semi Condensed" w:cs="Barlow Semi Condensed" w:eastAsia="Barlow Semi Condensed" w:hAnsi="Barlow Semi Condensed"/>
          <w:sz w:val="24"/>
          <w:szCs w:val="24"/>
        </w:rPr>
        <w:t xml:space="preserve"> Sul silenzio del verbale del 25 settembre si applica la matrice delle ipotesi concorrenti, senza numeri di probabilità: che l'avvertimento non sia stato pronunciato, che sia stato pronunciato fuori dal tavolo verbalizzato, che sia stato pronunciato e non messo a verbale. Nessuna evidenza disponibile è diagnostica. L'evidenza discriminante è nominata: una verbalizzazione italiana della stessa giornata, o una carta di margine con le presenze reali.</w:t>
      </w:r>
    </w:p>
    <w:p>
      <w:pPr>
        <w:spacing w:after="120" w:line="276"/>
        <w:jc w:val="both"/>
      </w:pPr>
      <w:r>
        <w:rPr>
          <w:rFonts w:ascii="Barlow Semi Condensed" w:cs="Barlow Semi Condensed" w:eastAsia="Barlow Semi Condensed" w:hAnsi="Barlow Semi Condensed"/>
          <w:b/>
          <w:bCs/>
          <w:sz w:val="24"/>
          <w:szCs w:val="24"/>
        </w:rPr>
        <w:t xml:space="preserve">282 · Le trascrizioni telefoniche (serie IV).</w:t>
      </w:r>
      <w:r>
        <w:rPr>
          <w:rFonts w:ascii="Barlow Semi Condensed" w:cs="Barlow Semi Condensed" w:eastAsia="Barlow Semi Condensed" w:hAnsi="Barlow Semi Condensed"/>
          <w:sz w:val="24"/>
          <w:szCs w:val="24"/>
        </w:rPr>
        <w:t xml:space="preserve"> Bersaglio da reperire con le sue condizioni d'accesso: la serie delle trascrizioni delle conversazioni telefoniche del segretario di Stato, distinta dai memoranda di conversazione e di genere diverso perché più vicina al parlato. Sede da verificare: i fondi del Dipartimento di Stato presso i National Archives. Il quesito preliminare è archivistico e non storico: quali anni copra, in quale forma, con quale regime di consultazione.</w:t>
      </w:r>
    </w:p>
    <w:p>
      <w:pPr>
        <w:spacing w:after="120" w:line="276"/>
        <w:jc w:val="both"/>
      </w:pPr>
      <w:r>
        <w:rPr>
          <w:rFonts w:ascii="Barlow Semi Condensed" w:cs="Barlow Semi Condensed" w:eastAsia="Barlow Semi Condensed" w:hAnsi="Barlow Semi Condensed"/>
          <w:b/>
          <w:bCs/>
          <w:sz w:val="24"/>
          <w:szCs w:val="24"/>
        </w:rPr>
        <w:t xml:space="preserve">283 · Le carte personali e il loro regime.</w:t>
      </w:r>
      <w:r>
        <w:rPr>
          <w:rFonts w:ascii="Barlow Semi Condensed" w:cs="Barlow Semi Condensed" w:eastAsia="Barlow Semi Condensed" w:hAnsi="Barlow Semi Condensed"/>
          <w:sz w:val="24"/>
          <w:szCs w:val="24"/>
        </w:rPr>
        <w:t xml:space="preserve"> Quesito distinto e da porre con esattezza: quali carte private del segretario di Stato siano depositate presso istituzioni pubbliche o universitarie, con quale atto di donazione e con quali restrizioni d'accesso. Il regime delle carte personali non coincide con quello dei documenti d'ufficio, e la distinzione fra le due nature è essa stessa oggetto di accertamento. Nessuna asserzione è possibile prima di aver letto le condizioni del deposito.</w:t>
      </w:r>
    </w:p>
    <w:p>
      <w:pPr>
        <w:spacing w:after="120" w:line="276"/>
        <w:jc w:val="both"/>
      </w:pPr>
      <w:r>
        <w:rPr>
          <w:rFonts w:ascii="Barlow Semi Condensed" w:cs="Barlow Semi Condensed" w:eastAsia="Barlow Semi Condensed" w:hAnsi="Barlow Semi Condensed"/>
          <w:b/>
          <w:bCs/>
          <w:sz w:val="24"/>
          <w:szCs w:val="24"/>
        </w:rPr>
        <w:t xml:space="preserve">284 · I fascicoli per paese.</w:t>
      </w:r>
      <w:r>
        <w:rPr>
          <w:rFonts w:ascii="Barlow Semi Condensed" w:cs="Barlow Semi Condensed" w:eastAsia="Barlow Semi Condensed" w:hAnsi="Barlow Semi Condensed"/>
          <w:sz w:val="24"/>
          <w:szCs w:val="24"/>
        </w:rPr>
        <w:t xml:space="preserve"> Bersaglio già indicato dal corpus e non ancora spogliato: i Nixon Presidential Materials, fascicoli del Consiglio di sicurezza nazionale, serie per paese relativa all'Italia, presso i National Archives di College Park. È la sede in cui cercare i verbali dei colloqui diretti del 1969-1972, di cui non sono stati reperiti equivalenti editi comparabili per completezza a quello del 1974. L'esito negativo attuale è dichiarato.</w:t>
      </w:r>
    </w:p>
    <w:p>
      <w:pPr>
        <w:spacing w:after="120" w:line="276"/>
        <w:jc w:val="both"/>
      </w:pPr>
      <w:r>
        <w:rPr>
          <w:rFonts w:ascii="Barlow Semi Condensed" w:cs="Barlow Semi Condensed" w:eastAsia="Barlow Semi Condensed" w:hAnsi="Barlow Semi Condensed"/>
          <w:b/>
          <w:bCs/>
          <w:sz w:val="24"/>
          <w:szCs w:val="24"/>
        </w:rPr>
        <w:t xml:space="preserve">285 · La collezione a microfiche.</w:t>
      </w:r>
      <w:r>
        <w:rPr>
          <w:rFonts w:ascii="Barlow Semi Condensed" w:cs="Barlow Semi Condensed" w:eastAsia="Barlow Semi Condensed" w:hAnsi="Barlow Semi Condensed"/>
          <w:sz w:val="24"/>
          <w:szCs w:val="24"/>
        </w:rPr>
        <w:t xml:space="preserve"> Nella biblioteca per l'accesso agli atti del Dipartimento di Stato è disponibile una collezione a microfiche dedicata a Moro presidente del Consiglio. Bersaglio: censirne l'indice, accertare quali anni copra e se contenga materiale del periodo ministeriale oltre a quello del 1978. Una collezione tematica preselezionata è comoda e insidiosa: dice ciò che l'amministrazione ha raggruppato sotto un nome, non tutto ciò che possiede.</w:t>
      </w:r>
    </w:p>
    <w:p>
      <w:pPr>
        <w:spacing w:after="120" w:line="276"/>
        <w:jc w:val="both"/>
      </w:pPr>
      <w:r>
        <w:rPr>
          <w:rFonts w:ascii="Barlow Semi Condensed" w:cs="Barlow Semi Condensed" w:eastAsia="Barlow Semi Condensed" w:hAnsi="Barlow Semi Condensed"/>
          <w:b/>
          <w:bCs/>
          <w:sz w:val="24"/>
          <w:szCs w:val="24"/>
        </w:rPr>
        <w:t xml:space="preserve">286 · I telegrammi in banca dati.</w:t>
      </w:r>
      <w:r>
        <w:rPr>
          <w:rFonts w:ascii="Barlow Semi Condensed" w:cs="Barlow Semi Condensed" w:eastAsia="Barlow Semi Condensed" w:hAnsi="Barlow Semi Condensed"/>
          <w:sz w:val="24"/>
          <w:szCs w:val="24"/>
        </w:rPr>
        <w:t xml:space="preserve"> I Central Foreign Policy Files 1973-1979 sono interrogabili a testo pieno nella banca dati degli archivi nazionali per i telegrammi del 1978, con schede sostitutive per il materiale trattenuto. Bersaglio derivato per questa serie: verificare la copertura della medesima banca dati per il 1974, poiché la serie che restituisce i cinquantacinque giorni potrebbe restituire anche la missione del settembre precedente.</w:t>
      </w:r>
    </w:p>
    <w:p>
      <w:pPr>
        <w:spacing w:after="120" w:line="276"/>
        <w:jc w:val="both"/>
      </w:pPr>
      <w:r>
        <w:rPr>
          <w:rFonts w:ascii="Barlow Semi Condensed" w:cs="Barlow Semi Condensed" w:eastAsia="Barlow Semi Condensed" w:hAnsi="Barlow Semi Condensed"/>
          <w:b/>
          <w:bCs/>
          <w:sz w:val="24"/>
          <w:szCs w:val="24"/>
        </w:rPr>
        <w:t xml:space="preserve">287 · L'anello debole della catena documentale.</w:t>
      </w:r>
      <w:r>
        <w:rPr>
          <w:rFonts w:ascii="Barlow Semi Condensed" w:cs="Barlow Semi Condensed" w:eastAsia="Barlow Semi Condensed" w:hAnsi="Barlow Semi Condensed"/>
          <w:sz w:val="24"/>
          <w:szCs w:val="24"/>
        </w:rPr>
        <w:t xml:space="preserve"> La regola formalizzata dal corpus vale anche qui: il grado di un cammino è il grado minimo dei suoi archi. Un percorso che parta da un verbale di grado A, attraversi una testimonianza contestata di grado B debole e approdi a una congettura vale quanto il suo anello più debole, non quanto il suo primo anello. Nessuna somma di documenti forti riscatta un passaggio fragile.</w:t>
      </w:r>
    </w:p>
    <w:p>
      <w:pPr>
        <w:spacing w:after="120" w:line="276"/>
        <w:jc w:val="both"/>
      </w:pPr>
      <w:r>
        <w:rPr>
          <w:rFonts w:ascii="Barlow Semi Condensed" w:cs="Barlow Semi Condensed" w:eastAsia="Barlow Semi Condensed" w:hAnsi="Barlow Semi Condensed"/>
          <w:b/>
          <w:bCs/>
          <w:sz w:val="24"/>
          <w:szCs w:val="24"/>
        </w:rPr>
        <w:t xml:space="preserve">288 · Il buco fra i domini.</w:t>
      </w:r>
      <w:r>
        <w:rPr>
          <w:rFonts w:ascii="Barlow Semi Condensed" w:cs="Barlow Semi Condensed" w:eastAsia="Barlow Semi Condensed" w:hAnsi="Barlow Semi Condensed"/>
          <w:sz w:val="24"/>
          <w:szCs w:val="24"/>
        </w:rPr>
        <w:t xml:space="preserve"> La seconda metà della regola dei buchi vale per questa serie: un basso rapporto di associazione fra due domini documentali non indica assenza di rapporti, indica che nessuno ha scritto un documento che li tratti insieme. Il vuoto fra le carte americane di vertice e le carte italiane di gabinetto è, allo stato, un vuoto di spoglio prima che un vuoto di fatto, e si interroga solo dopo averlo misurato.</w:t>
      </w:r>
    </w:p>
    <w:p>
      <w:pPr>
        <w:spacing w:after="120" w:line="276"/>
        <w:jc w:val="both"/>
      </w:pPr>
      <w:r>
        <w:rPr>
          <w:rFonts w:ascii="Barlow Semi Condensed" w:cs="Barlow Semi Condensed" w:eastAsia="Barlow Semi Condensed" w:hAnsi="Barlow Semi Condensed"/>
          <w:b/>
          <w:bCs/>
          <w:sz w:val="24"/>
          <w:szCs w:val="24"/>
        </w:rPr>
        <w:t xml:space="preserve">289 · Che cosa questa serie non stabilisce.</w:t>
      </w:r>
      <w:r>
        <w:rPr>
          <w:rFonts w:ascii="Barlow Semi Condensed" w:cs="Barlow Semi Condensed" w:eastAsia="Barlow Semi Condensed" w:hAnsi="Barlow Semi Condensed"/>
          <w:sz w:val="24"/>
          <w:szCs w:val="24"/>
        </w:rPr>
        <w:t xml:space="preserve"> Non stabilisce che l'avvertimento riferito sia avvenuto, né che non sia avvenuto. Non stabilisce alcuna posizione di Moro nei colloqui del settembre 1974 oltre la sua presenza documentata. Non stabilisce alcun rapporto fra le decisioni dei comitati americani e i fatti italiani del 1978. Non stabilisce alcuna responsabilità personale. Stabilisce quali carte esistono, dove stanno, che cosa dicono e che cosa tacciono.</w:t>
      </w:r>
    </w:p>
    <w:p>
      <w:pPr>
        <w:spacing w:after="120" w:line="276"/>
        <w:jc w:val="both"/>
      </w:pPr>
      <w:r>
        <w:rPr>
          <w:rFonts w:ascii="Barlow Semi Condensed" w:cs="Barlow Semi Condensed" w:eastAsia="Barlow Semi Condensed" w:hAnsi="Barlow Semi Condensed"/>
          <w:b/>
          <w:bCs/>
          <w:sz w:val="24"/>
          <w:szCs w:val="24"/>
        </w:rPr>
        <w:t xml:space="preserve">290 · La trascrizione non è la sentenza.</w:t>
      </w:r>
      <w:r>
        <w:rPr>
          <w:rFonts w:ascii="Barlow Semi Condensed" w:cs="Barlow Semi Condensed" w:eastAsia="Barlow Semi Condensed" w:hAnsi="Barlow Semi Condensed"/>
          <w:sz w:val="24"/>
          <w:szCs w:val="24"/>
        </w:rPr>
        <w:t xml:space="preserve"> Una trascrizione fedele riproduce il codice e non lo giudica; un'edizione critica registra le varianti e non le compone d'autorità. È la disposizione che questa serie chiede a chi la usi: che i documenti censiti restino documenti, che le sedi restino sedi, che gli esiti negativi restino acquisizioni. Il fascicolo resta aperto, e i nomi restano dove il solo giudicato definitivo li ha messi.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quinta — L'espressione differenziale: lo stesso codice in ambienti diversi</w:t>
      </w:r>
    </w:p>
    <w:p>
      <w:pPr>
        <w:spacing w:after="120" w:line="276"/>
        <w:jc w:val="both"/>
      </w:pPr>
      <w:r>
        <w:rPr>
          <w:rFonts w:ascii="Barlow Semi Condensed" w:cs="Barlow Semi Condensed" w:eastAsia="Barlow Semi Condensed" w:hAnsi="Barlow Semi Condensed"/>
          <w:i/>
          <w:iCs/>
          <w:sz w:val="24"/>
          <w:szCs w:val="24"/>
        </w:rPr>
        <w:t xml:space="preserve">Blocchi 291-390.</w:t>
      </w:r>
    </w:p>
    <w:p>
      <w:pPr>
        <w:spacing w:after="120" w:line="276"/>
        <w:jc w:val="both"/>
      </w:pPr>
      <w:r>
        <w:rPr>
          <w:rFonts w:ascii="Barlow Semi Condensed" w:cs="Barlow Semi Condensed" w:eastAsia="Barlow Semi Condensed" w:hAnsi="Barlow Semi Condensed"/>
          <w:b/>
          <w:bCs/>
          <w:sz w:val="24"/>
          <w:szCs w:val="24"/>
        </w:rPr>
        <w:t xml:space="preserve">291 · Che cosa significa espressione differenziale.</w:t>
      </w:r>
      <w:r>
        <w:rPr>
          <w:rFonts w:ascii="Barlow Semi Condensed" w:cs="Barlow Semi Condensed" w:eastAsia="Barlow Semi Condensed" w:hAnsi="Barlow Semi Condensed"/>
          <w:sz w:val="24"/>
          <w:szCs w:val="24"/>
        </w:rPr>
        <w:t xml:space="preserve"> In biologia lo stesso gene produce esiti diversi secondo il tessuto e l'ambiente in cui viene trascritto, e la serie prende in prestito quella figura per un lavoro comparativo: la preoccupazione atlantica per il comunismo al governo è documentata in un codice solo, ma ciò che se ne vede a Roma, a Lisbona, ad Atene, ad Ankara, a Bonn e a Madrid ha forme diverse. La lente serve a domandare perché, non a rispondere che qualcuno le volle tutte.</w:t>
      </w:r>
    </w:p>
    <w:p>
      <w:pPr>
        <w:spacing w:after="120" w:line="276"/>
        <w:jc w:val="both"/>
      </w:pPr>
      <w:r>
        <w:rPr>
          <w:rFonts w:ascii="Barlow Semi Condensed" w:cs="Barlow Semi Condensed" w:eastAsia="Barlow Semi Condensed" w:hAnsi="Barlow Semi Condensed"/>
          <w:b/>
          <w:bCs/>
          <w:sz w:val="24"/>
          <w:szCs w:val="24"/>
        </w:rPr>
        <w:t xml:space="preserve">292 · Il genotipo non è il fenotipo.</w:t>
      </w:r>
      <w:r>
        <w:rPr>
          <w:rFonts w:ascii="Barlow Semi Condensed" w:cs="Barlow Semi Condensed" w:eastAsia="Barlow Semi Condensed" w:hAnsi="Barlow Semi Condensed"/>
          <w:sz w:val="24"/>
          <w:szCs w:val="24"/>
        </w:rPr>
        <w:t xml:space="preserve"> Il genotipo è la sequenza, il fenotipo è ciò che si vede, e la distinzione impone al corpus una regola secca: un documento che attesta una preferenza politica di Washington è genotipo dichiarato, un evento accaduto in un teatro è fenotipo osservato, e fra i due non corre alcuna deduzione automatica. Ogni blocco che descriva un esito nazionale deve perciò dire quale dei due il documento attesti.</w:t>
      </w:r>
    </w:p>
    <w:p>
      <w:pPr>
        <w:spacing w:after="120" w:line="276"/>
        <w:jc w:val="both"/>
      </w:pPr>
      <w:r>
        <w:rPr>
          <w:rFonts w:ascii="Barlow Semi Condensed" w:cs="Barlow Semi Condensed" w:eastAsia="Barlow Semi Condensed" w:hAnsi="Barlow Semi Condensed"/>
          <w:b/>
          <w:bCs/>
          <w:sz w:val="24"/>
          <w:szCs w:val="24"/>
        </w:rPr>
        <w:t xml:space="preserve">293 · Omologia contro analogia (serie V).</w:t>
      </w:r>
      <w:r>
        <w:rPr>
          <w:rFonts w:ascii="Barlow Semi Condensed" w:cs="Barlow Semi Condensed" w:eastAsia="Barlow Semi Condensed" w:hAnsi="Barlow Semi Condensed"/>
          <w:sz w:val="24"/>
          <w:szCs w:val="24"/>
        </w:rPr>
        <w:t xml:space="preserve"> Due strutture omologhe discendono da un antenato comune, due analoghe si somigliano perché risolvono lo stesso problema, ed è la distinzione più utile della serie e anche la più severa: la somiglianza fra la crisi portoghese del 1975 e quella italiana della stessa stagione non prova una discendenza comune. Per affermare omologia serve un documento che colleghi i due casi al piano 1; senza, resta analogia, e l'analogia non è parentela.</w:t>
      </w:r>
    </w:p>
    <w:p>
      <w:pPr>
        <w:spacing w:after="120" w:line="276"/>
        <w:jc w:val="both"/>
      </w:pPr>
      <w:r>
        <w:rPr>
          <w:rFonts w:ascii="Barlow Semi Condensed" w:cs="Barlow Semi Condensed" w:eastAsia="Barlow Semi Condensed" w:hAnsi="Barlow Semi Condensed"/>
          <w:b/>
          <w:bCs/>
          <w:sz w:val="24"/>
          <w:szCs w:val="24"/>
        </w:rPr>
        <w:t xml:space="preserve">294 · Il piano 1 come sequenziatore.</w:t>
      </w:r>
      <w:r>
        <w:rPr>
          <w:rFonts w:ascii="Barlow Semi Condensed" w:cs="Barlow Semi Condensed" w:eastAsia="Barlow Semi Condensed" w:hAnsi="Barlow Semi Condensed"/>
          <w:sz w:val="24"/>
          <w:szCs w:val="24"/>
        </w:rPr>
        <w:t xml:space="preserve"> La regola dei tre piani funziona qui come un sequenziatore: il piano 1 legge il rapporto diretto documentato, il piano 2 registra la convergenza entro la stessa cornice, il piano 3 archivia l'affermazione terziaria priva di riscontro, e nessuna lettura del piano 2 diventa nesso causale per accumulo. Il manuale investigativo lo scrive al blocco 4 sui gradi e al blocco 6 sull'anello debole, per cui il grado di un cammino è il minimo dei suoi archi.</w:t>
      </w:r>
    </w:p>
    <w:p>
      <w:pPr>
        <w:spacing w:after="120" w:line="276"/>
        <w:jc w:val="both"/>
      </w:pPr>
      <w:r>
        <w:rPr>
          <w:rFonts w:ascii="Barlow Semi Condensed" w:cs="Barlow Semi Condensed" w:eastAsia="Barlow Semi Condensed" w:hAnsi="Barlow Semi Condensed"/>
          <w:b/>
          <w:bCs/>
          <w:sz w:val="24"/>
          <w:szCs w:val="24"/>
        </w:rPr>
        <w:t xml:space="preserve">295 · Contro il determinismo genetico.</w:t>
      </w:r>
      <w:r>
        <w:rPr>
          <w:rFonts w:ascii="Barlow Semi Condensed" w:cs="Barlow Semi Condensed" w:eastAsia="Barlow Semi Condensed" w:hAnsi="Barlow Semi Condensed"/>
          <w:sz w:val="24"/>
          <w:szCs w:val="24"/>
        </w:rPr>
        <w:t xml:space="preserve"> La metafora ha un difetto pericoloso e va nominato subito, perché suggerisce che l'esito fosse scritto: non lo era, e nei teatri qui comparati agirono governi, parlamenti, elettori, eserciti, chiese e opinioni pubbliche, ciascuno con capacità di scelta. Dove un blocco di questa serie sembri dire che un ambiente doveva produrre un certo esito, quel blocco è mal scritto, perché l'ambiente spiega la variabilità osservata e non la necessità di ciò che accadde.</w:t>
      </w:r>
    </w:p>
    <w:p>
      <w:pPr>
        <w:spacing w:after="120" w:line="276"/>
        <w:jc w:val="both"/>
      </w:pPr>
      <w:r>
        <w:rPr>
          <w:rFonts w:ascii="Barlow Semi Condensed" w:cs="Barlow Semi Condensed" w:eastAsia="Barlow Semi Condensed" w:hAnsi="Barlow Semi Condensed"/>
          <w:b/>
          <w:bCs/>
          <w:sz w:val="24"/>
          <w:szCs w:val="24"/>
        </w:rPr>
        <w:t xml:space="preserve">296 · Nessuna colpa si eredita.</w:t>
      </w:r>
      <w:r>
        <w:rPr>
          <w:rFonts w:ascii="Barlow Semi Condensed" w:cs="Barlow Semi Condensed" w:eastAsia="Barlow Semi Condensed" w:hAnsi="Barlow Semi Condensed"/>
          <w:sz w:val="24"/>
          <w:szCs w:val="24"/>
        </w:rPr>
        <w:t xml:space="preserve"> Seconda deriva da fermare: la filiazione dottrinale non trasmette responsabilità, e che un funzionario appartenga a una scuola realista, che un partito discenda da un altro, che un servizio erediti prassi da un predecessore non è condotta e non è prova. Valgono la regola personalistica del manuale al blocco 5 e la disciplina delle entità al blocco 18, per cui la colpa è sempre della persona e sempre accertata da un giudice.</w:t>
      </w:r>
    </w:p>
    <w:p>
      <w:pPr>
        <w:spacing w:after="120" w:line="276"/>
        <w:jc w:val="both"/>
      </w:pPr>
      <w:r>
        <w:rPr>
          <w:rFonts w:ascii="Barlow Semi Condensed" w:cs="Barlow Semi Condensed" w:eastAsia="Barlow Semi Condensed" w:hAnsi="Barlow Semi Condensed"/>
          <w:b/>
          <w:bCs/>
          <w:sz w:val="24"/>
          <w:szCs w:val="24"/>
        </w:rPr>
        <w:t xml:space="preserve">297 · Kissinger, dato anagrafico e limite.</w:t>
      </w:r>
      <w:r>
        <w:rPr>
          <w:rFonts w:ascii="Barlow Semi Condensed" w:cs="Barlow Semi Condensed" w:eastAsia="Barlow Semi Condensed" w:hAnsi="Barlow Semi Condensed"/>
          <w:sz w:val="24"/>
          <w:szCs w:val="24"/>
        </w:rPr>
        <w:t xml:space="preserve"> Henry Alfred Kissinger, nato a Fuerth il 27 maggio 1923 e morto a Kent, nel Connecticut, il 29 novembre 2023, non è stato condannato in alcun processo, e la serie lo tratta come nodo documentale: firmatario di verbali, presidente di riunioni, autore di memorandum. Ogni volta che un blocco lo nomina, lo nomina come soggetto di atti pubblici e mai come predicato di colpe, ed è la condizione perché il confronto fra teatri resti leggibile.</w:t>
      </w:r>
    </w:p>
    <w:p>
      <w:pPr>
        <w:spacing w:after="120" w:line="276"/>
        <w:jc w:val="both"/>
      </w:pPr>
      <w:r>
        <w:rPr>
          <w:rFonts w:ascii="Barlow Semi Condensed" w:cs="Barlow Semi Condensed" w:eastAsia="Barlow Semi Condensed" w:hAnsi="Barlow Semi Condensed"/>
          <w:b/>
          <w:bCs/>
          <w:sz w:val="24"/>
          <w:szCs w:val="24"/>
        </w:rPr>
        <w:t xml:space="preserve">298 · Il DNA non codificante dei teatri.</w:t>
      </w:r>
      <w:r>
        <w:rPr>
          <w:rFonts w:ascii="Barlow Semi Condensed" w:cs="Barlow Semi Condensed" w:eastAsia="Barlow Semi Condensed" w:hAnsi="Barlow Semi Condensed"/>
          <w:sz w:val="24"/>
          <w:szCs w:val="24"/>
        </w:rPr>
        <w:t xml:space="preserve"> Gran parte di un genoma non codifica proteine e fu a lungo chiamata spazzatura prima che se ne riconoscessero funzioni regolative; l'equivalente documentale sono le carte che nessuno spoglia perché non nominano il caso, cioè registri di protocollo, ordini del giorno, liste di circolazione interna. L'agenda le prescrive al blocco 244 per i ministeri, e questa serie le prescrive per ciascun teatro, perché la regolazione sta lì e non nei documenti già celebri.</w:t>
      </w:r>
    </w:p>
    <w:p>
      <w:pPr>
        <w:spacing w:after="120" w:line="276"/>
        <w:jc w:val="both"/>
      </w:pPr>
      <w:r>
        <w:rPr>
          <w:rFonts w:ascii="Barlow Semi Condensed" w:cs="Barlow Semi Condensed" w:eastAsia="Barlow Semi Condensed" w:hAnsi="Barlow Semi Condensed"/>
          <w:b/>
          <w:bCs/>
          <w:sz w:val="24"/>
          <w:szCs w:val="24"/>
        </w:rPr>
        <w:t xml:space="preserve">299 · Epigenetica: l'ambiente che accende.</w:t>
      </w:r>
      <w:r>
        <w:rPr>
          <w:rFonts w:ascii="Barlow Semi Condensed" w:cs="Barlow Semi Condensed" w:eastAsia="Barlow Semi Condensed" w:hAnsi="Barlow Semi Condensed"/>
          <w:sz w:val="24"/>
          <w:szCs w:val="24"/>
        </w:rPr>
        <w:t xml:space="preserve"> L'epigenetica studia ciò che accende e spegne un gene senza mutarne la sequenza, e la figura serve a nominare, senza inventarli, i fattori che in ciascun teatro decisero se una preferenza politica producesse un atto: la forza dei partiti locali, la posizione nell'Alleanza, il calendario elettorale, il peso della gerarchia ecclesiastica. Nominare i fattori è lecito, dedurne che abbiano agito senza un documento non lo è.</w:t>
      </w:r>
    </w:p>
    <w:p>
      <w:pPr>
        <w:spacing w:after="120" w:line="276"/>
        <w:jc w:val="both"/>
      </w:pPr>
      <w:r>
        <w:rPr>
          <w:rFonts w:ascii="Barlow Semi Condensed" w:cs="Barlow Semi Condensed" w:eastAsia="Barlow Semi Condensed" w:hAnsi="Barlow Semi Condensed"/>
          <w:b/>
          <w:bCs/>
          <w:sz w:val="24"/>
          <w:szCs w:val="24"/>
        </w:rPr>
        <w:t xml:space="preserve">300 · La filogenesi come tavola cronologica.</w:t>
      </w:r>
      <w:r>
        <w:rPr>
          <w:rFonts w:ascii="Barlow Semi Condensed" w:cs="Barlow Semi Condensed" w:eastAsia="Barlow Semi Condensed" w:hAnsi="Barlow Semi Condensed"/>
          <w:sz w:val="24"/>
          <w:szCs w:val="24"/>
        </w:rPr>
        <w:t xml:space="preserve"> Ricostruire una filogenesi significa datare le ramificazioni, e il manuale investigativo pone la stessa regola al blocco 14: prima la tavola cronologica, poi ogni lettura. Applicata alla serie, essa comanda che ciascun teatro sia dotato di una sequenza datata prima di essere comparato con gli altri e che nessuna somiglianza venga valutata finché non si sappia quale evento precedette quale, perché la comparazione senza date è iconografia.</w:t>
      </w:r>
    </w:p>
    <w:p>
      <w:pPr>
        <w:spacing w:after="120" w:line="276"/>
        <w:jc w:val="both"/>
      </w:pPr>
      <w:r>
        <w:rPr>
          <w:rFonts w:ascii="Barlow Semi Condensed" w:cs="Barlow Semi Condensed" w:eastAsia="Barlow Semi Condensed" w:hAnsi="Barlow Semi Condensed"/>
          <w:b/>
          <w:bCs/>
          <w:sz w:val="24"/>
          <w:szCs w:val="24"/>
        </w:rPr>
        <w:t xml:space="preserve">301 · Il memorandum del 25 settembre 1974.</w:t>
      </w:r>
      <w:r>
        <w:rPr>
          <w:rFonts w:ascii="Barlow Semi Condensed" w:cs="Barlow Semi Condensed" w:eastAsia="Barlow Semi Condensed" w:hAnsi="Barlow Semi Condensed"/>
          <w:sz w:val="24"/>
          <w:szCs w:val="24"/>
        </w:rPr>
        <w:t xml:space="preserve"> Fatto pubblico e fonte primaria: il memorandum of conversation del 25 settembre 1974 nello Studio Ovale fra Giovanni Leone, Aldo Moro, Gerald Ford e Henry Kissinger, con Brent Scowcroft, conservato alla Ford Library come documento 1552802 ed edito in FRUS 1969-1976, volume E-15 parte 2, documento 350, con il verbale del giorno successivo al documento 1552806. È il documento più completo del ministero di Moro sul versante atlantico e si legge per intero, non per frammenti.</w:t>
      </w:r>
    </w:p>
    <w:p>
      <w:pPr>
        <w:spacing w:after="120" w:line="276"/>
        <w:jc w:val="both"/>
      </w:pPr>
      <w:r>
        <w:rPr>
          <w:rFonts w:ascii="Barlow Semi Condensed" w:cs="Barlow Semi Condensed" w:eastAsia="Barlow Semi Condensed" w:hAnsi="Barlow Semi Condensed"/>
          <w:b/>
          <w:bCs/>
          <w:sz w:val="24"/>
          <w:szCs w:val="24"/>
        </w:rPr>
        <w:t xml:space="preserve">302 · Che cosa il memorandum non attesta.</w:t>
      </w:r>
      <w:r>
        <w:rPr>
          <w:rFonts w:ascii="Barlow Semi Condensed" w:cs="Barlow Semi Condensed" w:eastAsia="Barlow Semi Condensed" w:hAnsi="Barlow Semi Condensed"/>
          <w:sz w:val="24"/>
          <w:szCs w:val="24"/>
        </w:rPr>
        <w:t xml:space="preserve"> Alla vigilia dell'incontro Kissinger indicò a Ford la necessità di dire agli italiani in modo duro che qualunque presenza comunista al governo avrebbe mutato le relazioni, con una valutazione sul rischio di contagio in Francia, Germania e Grecia; il documento attesta quella posizione. Non attesta una posizione di Moro sul medesimo punto in quella sede, che non va inferita, e la distinzione è del corpus e va ripetuta ogni volta.</w:t>
      </w:r>
    </w:p>
    <w:p>
      <w:pPr>
        <w:spacing w:after="120" w:line="276"/>
        <w:jc w:val="both"/>
      </w:pPr>
      <w:r>
        <w:rPr>
          <w:rFonts w:ascii="Barlow Semi Condensed" w:cs="Barlow Semi Condensed" w:eastAsia="Barlow Semi Condensed" w:hAnsi="Barlow Semi Condensed"/>
          <w:b/>
          <w:bCs/>
          <w:sz w:val="24"/>
          <w:szCs w:val="24"/>
        </w:rPr>
        <w:t xml:space="preserve">303 · Il contagio nominato è la chiave comparativa.</w:t>
      </w:r>
      <w:r>
        <w:rPr>
          <w:rFonts w:ascii="Barlow Semi Condensed" w:cs="Barlow Semi Condensed" w:eastAsia="Barlow Semi Condensed" w:hAnsi="Barlow Semi Condensed"/>
          <w:sz w:val="24"/>
          <w:szCs w:val="24"/>
        </w:rPr>
        <w:t xml:space="preserve"> Il riferimento al contagio francese, tedesco e greco è per questa serie il passaggio più prezioso, perché mostra che il quadro era pensato come sistema di teatri e non come somma di casi separati. Ma un pensiero sistemico documentato non è un piano operativo documentato, e il blocco fissa il confine e lo tiene: si è acquisita una lettura strategica dichiarata, non una direttiva verso alcun teatro.</w:t>
      </w:r>
    </w:p>
    <w:p>
      <w:pPr>
        <w:spacing w:after="120" w:line="276"/>
        <w:jc w:val="both"/>
      </w:pPr>
      <w:r>
        <w:rPr>
          <w:rFonts w:ascii="Barlow Semi Condensed" w:cs="Barlow Semi Condensed" w:eastAsia="Barlow Semi Condensed" w:hAnsi="Barlow Semi Condensed"/>
          <w:b/>
          <w:bCs/>
          <w:sz w:val="24"/>
          <w:szCs w:val="24"/>
        </w:rPr>
        <w:t xml:space="preserve">304 · L'anteriorità del Comitato dei 303.</w:t>
      </w:r>
      <w:r>
        <w:rPr>
          <w:rFonts w:ascii="Barlow Semi Condensed" w:cs="Barlow Semi Condensed" w:eastAsia="Barlow Semi Condensed" w:hAnsi="Barlow Semi Condensed"/>
          <w:sz w:val="24"/>
          <w:szCs w:val="24"/>
        </w:rPr>
        <w:t xml:space="preserve"> La riunione del Comitato dei 303 dell'11 marzo 1969, presieduta da Kissinger e verbalizzata in FRUS volume XLI documento 180, discusse origini e livelli del sostegno coperto ai partiti italiani fra il 1948 e il 1968 e concluse all'unanimità che non vi fosse reale giustificazione per riprenderlo. Cade prima dell'insediamento di Moro alla Farnesina, il 5 agosto 1969, sicché la contemporaneità è solo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305 · L'istruzione del dicembre 1969 (serie V).</w:t>
      </w:r>
      <w:r>
        <w:rPr>
          <w:rFonts w:ascii="Barlow Semi Condensed" w:cs="Barlow Semi Condensed" w:eastAsia="Barlow Semi Condensed" w:hAnsi="Barlow Semi Condensed"/>
          <w:sz w:val="24"/>
          <w:szCs w:val="24"/>
        </w:rPr>
        <w:t xml:space="preserve"> Il documento 188 dello stesso volume registra l'istruzione di Nixon del dicembre 1969 di avviare uno studio sull'Italia, ed è atto di conoscenza e non di esecuzione: uno studio commissionato è genotipo dichiarato e va classificato così. Il quesito derivato è preciso e ha una sede, cioè reperire l'esito di quello studio nei Nixon Presidential Materials, NSC Files, Country Files Italia,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306 · Il riemergere del 1975 e del 1976 (serie V).</w:t>
      </w:r>
      <w:r>
        <w:rPr>
          <w:rFonts w:ascii="Barlow Semi Condensed" w:cs="Barlow Semi Condensed" w:eastAsia="Barlow Semi Condensed" w:hAnsi="Barlow Semi Condensed"/>
          <w:sz w:val="24"/>
          <w:szCs w:val="24"/>
        </w:rPr>
        <w:t xml:space="preserve"> La letteratura peer-reviewed segnala che il programma di azione coperta in Italia riemerse nel novembre 1975 e nel luglio 1976, due date che cadono quando Moro era presidente del Consiglio e non ministro degli Esteri, sicché l'attribuzione cronologica va tenuta esatta. Il blocco chiede come bersaglio il documento primario corrispondente e non la sua parafrasi, perché senza primario la segnalazione resta indicazione bibliografica.</w:t>
      </w:r>
    </w:p>
    <w:p>
      <w:pPr>
        <w:spacing w:after="120" w:line="276"/>
        <w:jc w:val="both"/>
      </w:pPr>
      <w:r>
        <w:rPr>
          <w:rFonts w:ascii="Barlow Semi Condensed" w:cs="Barlow Semi Condensed" w:eastAsia="Barlow Semi Condensed" w:hAnsi="Barlow Semi Condensed"/>
          <w:b/>
          <w:bCs/>
          <w:sz w:val="24"/>
          <w:szCs w:val="24"/>
        </w:rPr>
        <w:t xml:space="preserve">307 · Trascrizione e traduzione.</w:t>
      </w:r>
      <w:r>
        <w:rPr>
          <w:rFonts w:ascii="Barlow Semi Condensed" w:cs="Barlow Semi Condensed" w:eastAsia="Barlow Semi Condensed" w:hAnsi="Barlow Semi Condensed"/>
          <w:sz w:val="24"/>
          <w:szCs w:val="24"/>
        </w:rPr>
        <w:t xml:space="preserve"> Fra il gene e la proteina stanno due passaggi e in ciascuno l'esito può fermarsi; nella materia qui trattata i passaggi sono la decisione politica, l'istruzione operativa e l'atto eseguito, e il corpus documenta con abbondanza il primo, possiede frammenti del secondo e quasi nulla del terzo nei teatri europei. Dichiarare quale passaggio un documento attesti è il modo più rapido per non promuovere una preferenza a un'operazione.</w:t>
      </w:r>
    </w:p>
    <w:p>
      <w:pPr>
        <w:spacing w:after="120" w:line="276"/>
        <w:jc w:val="both"/>
      </w:pPr>
      <w:r>
        <w:rPr>
          <w:rFonts w:ascii="Barlow Semi Condensed" w:cs="Barlow Semi Condensed" w:eastAsia="Barlow Semi Condensed" w:hAnsi="Barlow Semi Condensed"/>
          <w:b/>
          <w:bCs/>
          <w:sz w:val="24"/>
          <w:szCs w:val="24"/>
        </w:rPr>
        <w:t xml:space="preserve">308 · Un codice non è un comando.</w:t>
      </w:r>
      <w:r>
        <w:rPr>
          <w:rFonts w:ascii="Barlow Semi Condensed" w:cs="Barlow Semi Condensed" w:eastAsia="Barlow Semi Condensed" w:hAnsi="Barlow Semi Condensed"/>
          <w:sz w:val="24"/>
          <w:szCs w:val="24"/>
        </w:rPr>
        <w:t xml:space="preserve"> La linea per cui nessun partito comunista dovesse entrare nell'area di governo di un Paese alleato è documentata come posizione, e questo è quanto il piano 1 offre in tutti i teatri qui comparati. Che essa si sia tradotta in atti ulteriori rispetto a quelli già documentati resta quesito aperto, e in nessun teatro europeo è accertata al piano 1 una catena di comando: lo Stato Zero del corpus su quel punto rimane intatto.</w:t>
      </w:r>
    </w:p>
    <w:p>
      <w:pPr>
        <w:spacing w:after="120" w:line="276"/>
        <w:jc w:val="both"/>
      </w:pPr>
      <w:r>
        <w:rPr>
          <w:rFonts w:ascii="Barlow Semi Condensed" w:cs="Barlow Semi Condensed" w:eastAsia="Barlow Semi Condensed" w:hAnsi="Barlow Semi Condensed"/>
          <w:b/>
          <w:bCs/>
          <w:sz w:val="24"/>
          <w:szCs w:val="24"/>
        </w:rPr>
        <w:t xml:space="preserve">309 · Italia, che cosa sta al piano 1.</w:t>
      </w:r>
      <w:r>
        <w:rPr>
          <w:rFonts w:ascii="Barlow Semi Condensed" w:cs="Barlow Semi Condensed" w:eastAsia="Barlow Semi Condensed" w:hAnsi="Barlow Semi Condensed"/>
          <w:sz w:val="24"/>
          <w:szCs w:val="24"/>
        </w:rPr>
        <w:t xml:space="preserve"> Per gli anni del ministero l'Italia ha al piano 1 i verbali del 25 e del 26 settembre 1974, la posizione espressa a Ford alla vigilia, il perimetro del Comitato dei 303 nel marzo 1969 e l'istruzione di studio del dicembre successivo, e tutto ciò documenta interlocuzione e valutazione ai massimi livelli. Nessuno di quegli atti contiene un'istruzione operativa verso soggetti italiani, e la lacuna va detta come parte del piano 1, non come sua ombra.</w:t>
      </w:r>
    </w:p>
    <w:p>
      <w:pPr>
        <w:spacing w:after="120" w:line="276"/>
        <w:jc w:val="both"/>
      </w:pPr>
      <w:r>
        <w:rPr>
          <w:rFonts w:ascii="Barlow Semi Condensed" w:cs="Barlow Semi Condensed" w:eastAsia="Barlow Semi Condensed" w:hAnsi="Barlow Semi Condensed"/>
          <w:b/>
          <w:bCs/>
          <w:sz w:val="24"/>
          <w:szCs w:val="24"/>
        </w:rPr>
        <w:t xml:space="preserve">310 · Italia, che cosa resta al piano 2.</w:t>
      </w:r>
      <w:r>
        <w:rPr>
          <w:rFonts w:ascii="Barlow Semi Condensed" w:cs="Barlow Semi Condensed" w:eastAsia="Barlow Semi Condensed" w:hAnsi="Barlow Semi Condensed"/>
          <w:sz w:val="24"/>
          <w:szCs w:val="24"/>
        </w:rPr>
        <w:t xml:space="preserve"> Al piano 2 stanno l'ostilità documentata di settori dell'alleanza all'ingresso dei comunisti nell'area di governo, la presenza del consulente statunitense accanto al ministro dell'Interno nel comitato di crisi del 1978 e il quadro strategico del fianco sud: elementi reali e datati che condividono una cornice. Il corpus li registra come convergenze e ne vieta la promozione, perché la prossimità di un avversario politico non è il suo mandato.</w:t>
      </w:r>
    </w:p>
    <w:p>
      <w:pPr>
        <w:spacing w:after="120" w:line="276"/>
        <w:jc w:val="both"/>
      </w:pPr>
      <w:r>
        <w:rPr>
          <w:rFonts w:ascii="Barlow Semi Condensed" w:cs="Barlow Semi Condensed" w:eastAsia="Barlow Semi Condensed" w:hAnsi="Barlow Semi Condensed"/>
          <w:b/>
          <w:bCs/>
          <w:sz w:val="24"/>
          <w:szCs w:val="24"/>
        </w:rPr>
        <w:t xml:space="preserve">311 · Lo Stato Zero italiano, per intero.</w:t>
      </w:r>
      <w:r>
        <w:rPr>
          <w:rFonts w:ascii="Barlow Semi Condensed" w:cs="Barlow Semi Condensed" w:eastAsia="Barlow Semi Condensed" w:hAnsi="Barlow Semi Condensed"/>
          <w:sz w:val="24"/>
          <w:szCs w:val="24"/>
        </w:rPr>
        <w:t xml:space="preserve"> Il perimetro negativo è dichiarato nella mappa dei gradi dell'opera: manca il documento che provi l'eterodirezione del sequestro, manca quello che leghi Kissinger-persona o qualunque apparato straniero nominato alla catena di comando del delitto, manca la prova dell'isomorfismo fra le reti anticomuniste evocate e la struttura operativa dei cinquantacinque giorni. Sono ricerche condotte e chiuse in negativo, dunque conoscenza e non silenzio.</w:t>
      </w:r>
    </w:p>
    <w:p>
      <w:pPr>
        <w:spacing w:after="120" w:line="276"/>
        <w:jc w:val="both"/>
      </w:pPr>
      <w:r>
        <w:rPr>
          <w:rFonts w:ascii="Barlow Semi Condensed" w:cs="Barlow Semi Condensed" w:eastAsia="Barlow Semi Condensed" w:hAnsi="Barlow Semi Condensed"/>
          <w:b/>
          <w:bCs/>
          <w:sz w:val="24"/>
          <w:szCs w:val="24"/>
        </w:rPr>
        <w:t xml:space="preserve">312 · L'avvertimento riferito, e il suo grado.</w:t>
      </w:r>
      <w:r>
        <w:rPr>
          <w:rFonts w:ascii="Barlow Semi Condensed" w:cs="Barlow Semi Condensed" w:eastAsia="Barlow Semi Condensed" w:hAnsi="Barlow Semi Condensed"/>
          <w:sz w:val="24"/>
          <w:szCs w:val="24"/>
        </w:rPr>
        <w:t xml:space="preserve"> Il presunto avvertimento a Moro, riferito da Corrado Guerzoni e confermato da Eleonora Chiavarelli Moro in sede parlamentare e collocato al settembre 1974, è stato sempre smentito da Kissinger: testimonianza contestata, grado B debole, mai da dare per accertata. La serie la usa solo come oggetto di quesito, e il quesito è filologico prima che storico, perché chiede quale fu la formulazione esatta riferita, in quale sede e in quale data.</w:t>
      </w:r>
    </w:p>
    <w:p>
      <w:pPr>
        <w:spacing w:after="120" w:line="276"/>
        <w:jc w:val="both"/>
      </w:pPr>
      <w:r>
        <w:rPr>
          <w:rFonts w:ascii="Barlow Semi Condensed" w:cs="Barlow Semi Condensed" w:eastAsia="Barlow Semi Condensed" w:hAnsi="Barlow Semi Condensed"/>
          <w:b/>
          <w:bCs/>
          <w:sz w:val="24"/>
          <w:szCs w:val="24"/>
        </w:rPr>
        <w:t xml:space="preserve">313 · Che cosa chiuderebbe quel nodo.</w:t>
      </w:r>
      <w:r>
        <w:rPr>
          <w:rFonts w:ascii="Barlow Semi Condensed" w:cs="Barlow Semi Condensed" w:eastAsia="Barlow Semi Condensed" w:hAnsi="Barlow Semi Condensed"/>
          <w:sz w:val="24"/>
          <w:szCs w:val="24"/>
        </w:rPr>
        <w:t xml:space="preserve"> Chiuderebbe il nodo, in un senso o nell'altro, un atto coevo: un appunto della delegazione italiana, un telespresso di ritorno dalla missione, una nota manoscritta fra le carte del ministro. Le sedi sono note e censite dai cantieri, cioè il fondo personale all'Archivio centrale dello Stato, il fondo familiare presso l'istituto privato che lo conserva e il deposito del Senato con segnatura propria: è bersaglio archivistico e non materia di dibattito.</w:t>
      </w:r>
    </w:p>
    <w:p>
      <w:pPr>
        <w:spacing w:after="120" w:line="276"/>
        <w:jc w:val="both"/>
      </w:pPr>
      <w:r>
        <w:rPr>
          <w:rFonts w:ascii="Barlow Semi Condensed" w:cs="Barlow Semi Condensed" w:eastAsia="Barlow Semi Condensed" w:hAnsi="Barlow Semi Condensed"/>
          <w:b/>
          <w:bCs/>
          <w:sz w:val="24"/>
          <w:szCs w:val="24"/>
        </w:rPr>
        <w:t xml:space="preserve">314 · Il quarto deposito delle carte di Moro.</w:t>
      </w:r>
      <w:r>
        <w:rPr>
          <w:rFonts w:ascii="Barlow Semi Condensed" w:cs="Barlow Semi Condensed" w:eastAsia="Barlow Semi Condensed" w:hAnsi="Barlow Semi Condensed"/>
          <w:sz w:val="24"/>
          <w:szCs w:val="24"/>
        </w:rPr>
        <w:t xml:space="preserve"> I cantieri distinguono ai blocchi 221, 222 e 223 tre nuclei delle carte di Moro e ne tengono la tavola al blocco 235, ma la seconda campagna della Farnesina ha accertato un quarto deposito con segnatura propria, IT-AFS-048, con unità digitalizzate che riguardano proprio il Moro ministro. Per ogni quesito di questa serie che chieda una carta italiana del periodo 1969-1974, quel deposito va interrogato per primo perché è il più vicino alla materia.</w:t>
      </w:r>
    </w:p>
    <w:p>
      <w:pPr>
        <w:spacing w:after="120" w:line="276"/>
        <w:jc w:val="both"/>
      </w:pPr>
      <w:r>
        <w:rPr>
          <w:rFonts w:ascii="Barlow Semi Condensed" w:cs="Barlow Semi Condensed" w:eastAsia="Barlow Semi Condensed" w:hAnsi="Barlow Semi Condensed"/>
          <w:b/>
          <w:bCs/>
          <w:sz w:val="24"/>
          <w:szCs w:val="24"/>
        </w:rPr>
        <w:t xml:space="preserve">315 · Il limite reale della Farnesina.</w:t>
      </w:r>
      <w:r>
        <w:rPr>
          <w:rFonts w:ascii="Barlow Semi Condensed" w:cs="Barlow Semi Condensed" w:eastAsia="Barlow Semi Condensed" w:hAnsi="Barlow Semi Condensed"/>
          <w:sz w:val="24"/>
          <w:szCs w:val="24"/>
        </w:rPr>
        <w:t xml:space="preserve"> I cantieri ai blocchi 55 e 78 e l'agenda al blocco 244 trattano l'Archivio storico-diplomatico come sede aperta, ma la correzione imposta dalla seconda campagna va recepita in ogni blocco: i fondi ministeriali degli anni in esame non risultavano consultabili, la disponibilità dei faldoni dal 1949 va verificata caso per caso e resta l'esclusione temporanea dei Telegrammi 1942-1970. Il costo del bersaglio cambia, e va rivisto prima di pianificare.</w:t>
      </w:r>
    </w:p>
    <w:p>
      <w:pPr>
        <w:spacing w:after="120" w:line="276"/>
        <w:jc w:val="both"/>
      </w:pPr>
      <w:r>
        <w:rPr>
          <w:rFonts w:ascii="Barlow Semi Condensed" w:cs="Barlow Semi Condensed" w:eastAsia="Barlow Semi Condensed" w:hAnsi="Barlow Semi Condensed"/>
          <w:b/>
          <w:bCs/>
          <w:sz w:val="24"/>
          <w:szCs w:val="24"/>
        </w:rPr>
        <w:t xml:space="preserve">316 · Il buco parlamentare del ministero.</w:t>
      </w:r>
      <w:r>
        <w:rPr>
          <w:rFonts w:ascii="Barlow Semi Condensed" w:cs="Barlow Semi Condensed" w:eastAsia="Barlow Semi Condensed" w:hAnsi="Barlow Semi Condensed"/>
          <w:sz w:val="24"/>
          <w:szCs w:val="24"/>
        </w:rPr>
        <w:t xml:space="preserve"> Le banche dati del sindacato ispettivo coprono dalla settima legislatura, cioè dal 5 luglio 1976, sicché l'intero arco del ministero di Moro sopravvive come resoconti stenografici non ricercabili a testo pieno. Per ciascun teatro di questa serie la domanda su che cosa Moro disse in aula non è oggi chiudibile in rete: si chiude con lo spoglio manuale dei volumi a stampa, e va messa a bilancio come tale.</w:t>
      </w:r>
    </w:p>
    <w:p>
      <w:pPr>
        <w:spacing w:after="120" w:line="276"/>
        <w:jc w:val="both"/>
      </w:pPr>
      <w:r>
        <w:rPr>
          <w:rFonts w:ascii="Barlow Semi Condensed" w:cs="Barlow Semi Condensed" w:eastAsia="Barlow Semi Condensed" w:hAnsi="Barlow Semi Condensed"/>
          <w:b/>
          <w:bCs/>
          <w:sz w:val="24"/>
          <w:szCs w:val="24"/>
        </w:rPr>
        <w:t xml:space="preserve">317 · Le due cronologie del mandato.</w:t>
      </w:r>
      <w:r>
        <w:rPr>
          <w:rFonts w:ascii="Barlow Semi Condensed" w:cs="Barlow Semi Condensed" w:eastAsia="Barlow Semi Condensed" w:hAnsi="Barlow Semi Condensed"/>
          <w:sz w:val="24"/>
          <w:szCs w:val="24"/>
        </w:rPr>
        <w:t xml:space="preserve"> Le fonti divergono sulle date esatte dei due mandati, indicando il 5 o il 6 agosto 1969 per l'inizio, il 7 o l'8 luglio 1973 per la ripresa, il 23 o il 26 novembre 1974 per la fine, e la divergenza si riporta senza sceglierla in silenzio. È chiusa invece la fine del primo mandato, fissata al 26 giugno 1972 col giuramento del secondo governo Andreotti e il passaggio della Farnesina a Giuseppe Medici.</w:t>
      </w:r>
    </w:p>
    <w:p>
      <w:pPr>
        <w:spacing w:after="120" w:line="276"/>
        <w:jc w:val="both"/>
      </w:pPr>
      <w:r>
        <w:rPr>
          <w:rFonts w:ascii="Barlow Semi Condensed" w:cs="Barlow Semi Condensed" w:eastAsia="Barlow Semi Condensed" w:hAnsi="Barlow Semi Condensed"/>
          <w:b/>
          <w:bCs/>
          <w:sz w:val="24"/>
          <w:szCs w:val="24"/>
        </w:rPr>
        <w:t xml:space="preserve">318 · Il fenotipo italiano è la mediazione.</w:t>
      </w:r>
      <w:r>
        <w:rPr>
          <w:rFonts w:ascii="Barlow Semi Condensed" w:cs="Barlow Semi Condensed" w:eastAsia="Barlow Semi Condensed" w:hAnsi="Barlow Semi Condensed"/>
          <w:sz w:val="24"/>
          <w:szCs w:val="24"/>
        </w:rPr>
        <w:t xml:space="preserve"> Ciò che in Italia si vede — la strategia dell'attenzione, l'allargamento per gradi della base democratica, la solidarietà nazionale — è un fenotipo con una storia propria, radicata nella cultura del cattolicesimo democratico e nel lavoro costituente. Leggerlo come reazione a una pressione esterna è errore di prospettiva, perché precede quella pressione e ha cause interne documentate: l'ambiente internazionale ne modula il costo, non ne genera la forma.</w:t>
      </w:r>
    </w:p>
    <w:p>
      <w:pPr>
        <w:spacing w:after="120" w:line="276"/>
        <w:jc w:val="both"/>
      </w:pPr>
      <w:r>
        <w:rPr>
          <w:rFonts w:ascii="Barlow Semi Condensed" w:cs="Barlow Semi Condensed" w:eastAsia="Barlow Semi Condensed" w:hAnsi="Barlow Semi Condensed"/>
          <w:b/>
          <w:bCs/>
          <w:sz w:val="24"/>
          <w:szCs w:val="24"/>
        </w:rPr>
        <w:t xml:space="preserve">319 · La lettura ACH del quadro internazionale.</w:t>
      </w:r>
      <w:r>
        <w:rPr>
          <w:rFonts w:ascii="Barlow Semi Condensed" w:cs="Barlow Semi Condensed" w:eastAsia="Barlow Semi Condensed" w:hAnsi="Barlow Semi Condensed"/>
          <w:sz w:val="24"/>
          <w:szCs w:val="24"/>
        </w:rPr>
        <w:t xml:space="preserve"> Il quesito impersonale si scrive come matrice: ipotesi di ostilità politica senza atti operativi, ipotesi di atti operativi non documentati, ipotesi di indifferenza, e l'evidenza che discriminerebbe è nominabile, cioè un'istruzione datata verso un soggetto italiano con il suo protocollo. Non è stata trovata, e finché non emerge la preferenza fra le ipotesi è gusto e non analisi: è l'uso lecito dello strumento di Heuer.</w:t>
      </w:r>
    </w:p>
    <w:p>
      <w:pPr>
        <w:spacing w:after="120" w:line="276"/>
        <w:jc w:val="both"/>
      </w:pPr>
      <w:r>
        <w:rPr>
          <w:rFonts w:ascii="Barlow Semi Condensed" w:cs="Barlow Semi Condensed" w:eastAsia="Barlow Semi Condensed" w:hAnsi="Barlow Semi Condensed"/>
          <w:b/>
          <w:bCs/>
          <w:sz w:val="24"/>
          <w:szCs w:val="24"/>
        </w:rPr>
        <w:t xml:space="preserve">320 · Il divieto scritto nell'agenda.</w:t>
      </w:r>
      <w:r>
        <w:rPr>
          <w:rFonts w:ascii="Barlow Semi Condensed" w:cs="Barlow Semi Condensed" w:eastAsia="Barlow Semi Condensed" w:hAnsi="Barlow Semi Condensed"/>
          <w:sz w:val="24"/>
          <w:szCs w:val="24"/>
        </w:rPr>
        <w:t xml:space="preserve"> L'agenda di ricerca fissa al blocco 221 la regola contro la pista internazionale forte, per cui a ogni versione che ponga una regia estera si oppone la ricerca del documento primario che la sosterrebbe e si dichiara Stato Zero dove non c'è. La serie V la applica teatro per teatro, identica per l'Italia e per ciascuno degli altri sei ambienti comparati: senza primario, niente pista.</w:t>
      </w:r>
    </w:p>
    <w:p>
      <w:pPr>
        <w:spacing w:after="120" w:line="276"/>
        <w:jc w:val="both"/>
      </w:pPr>
      <w:r>
        <w:rPr>
          <w:rFonts w:ascii="Barlow Semi Condensed" w:cs="Barlow Semi Condensed" w:eastAsia="Barlow Semi Condensed" w:hAnsi="Barlow Semi Condensed"/>
          <w:b/>
          <w:bCs/>
          <w:sz w:val="24"/>
          <w:szCs w:val="24"/>
        </w:rPr>
        <w:t xml:space="preserve">321 · Gli occhi degli alleati, come giacimento.</w:t>
      </w:r>
      <w:r>
        <w:rPr>
          <w:rFonts w:ascii="Barlow Semi Condensed" w:cs="Barlow Semi Condensed" w:eastAsia="Barlow Semi Condensed" w:hAnsi="Barlow Semi Condensed"/>
          <w:sz w:val="24"/>
          <w:szCs w:val="24"/>
        </w:rPr>
        <w:t xml:space="preserve"> Il quesito 12 dell'agenda e i blocchi 24 e 98 dei cantieri chiedono che cosa gli alleati videro e scrissero, e questa serie estende quel giacimento all'indietro, dai cinquantacinque giorni del 1978 agli anni del ministero. Le colonne britannica, francese e tedesca esistono già nei cantieri, e la serie chiede che sotto ciascuna venga aperta una riga per ogni teatro mediterraneo qui comparato.</w:t>
      </w:r>
    </w:p>
    <w:p>
      <w:pPr>
        <w:spacing w:after="120" w:line="276"/>
        <w:jc w:val="both"/>
      </w:pPr>
      <w:r>
        <w:rPr>
          <w:rFonts w:ascii="Barlow Semi Condensed" w:cs="Barlow Semi Condensed" w:eastAsia="Barlow Semi Condensed" w:hAnsi="Barlow Semi Condensed"/>
          <w:b/>
          <w:bCs/>
          <w:sz w:val="24"/>
          <w:szCs w:val="24"/>
        </w:rPr>
        <w:t xml:space="preserve">322 · Il vuoto italiano scoperto per ultimo.</w:t>
      </w:r>
      <w:r>
        <w:rPr>
          <w:rFonts w:ascii="Barlow Semi Condensed" w:cs="Barlow Semi Condensed" w:eastAsia="Barlow Semi Condensed" w:hAnsi="Barlow Semi Condensed"/>
          <w:sz w:val="24"/>
          <w:szCs w:val="24"/>
        </w:rPr>
        <w:t xml:space="preserve"> La seconda campagna ha scoperto uno Stato Zero condiviso e fin qui non dichiarato, cioè zero occorrenze, tanto nei tre documenti maggiori del corpus quanto nelle tre ricognizioni nuove, del nome del capocentro del servizio a Beirut e della strage di Fiumicino del 17 dicembre 1973. Va verbalizzato col perimetro esatto prescritto dall'agenda ai blocchi 233 e 285, perché il buco misurato è conoscenza e il buco narrato non lo è.</w:t>
      </w:r>
    </w:p>
    <w:p>
      <w:pPr>
        <w:spacing w:after="120" w:line="276"/>
        <w:jc w:val="both"/>
      </w:pPr>
      <w:r>
        <w:rPr>
          <w:rFonts w:ascii="Barlow Semi Condensed" w:cs="Barlow Semi Condensed" w:eastAsia="Barlow Semi Condensed" w:hAnsi="Barlow Semi Condensed"/>
          <w:b/>
          <w:bCs/>
          <w:sz w:val="24"/>
          <w:szCs w:val="24"/>
        </w:rPr>
        <w:t xml:space="preserve">323 · Portogallo, il codice e l'ambiente.</w:t>
      </w:r>
      <w:r>
        <w:rPr>
          <w:rFonts w:ascii="Barlow Semi Condensed" w:cs="Barlow Semi Condensed" w:eastAsia="Barlow Semi Condensed" w:hAnsi="Barlow Semi Condensed"/>
          <w:sz w:val="24"/>
          <w:szCs w:val="24"/>
        </w:rPr>
        <w:t xml:space="preserve"> Il teatro portoghese offre il contrasto più netto della serie, perché alla stessa preoccupazione dichiarata corrisponde un ambiente radicalmente diverso: un regime autoritario che cade dall'interno per mano dei propri ufficiali, un impero coloniale in dissoluzione, un movimento militare senza equivalenti italiani. L'espressione differenziale si osserva qui meglio che altrove, e proprio per questo il blocco avverte che osservare la differenza non autorizza a dedurre l'identità della causa.</w:t>
      </w:r>
    </w:p>
    <w:p>
      <w:pPr>
        <w:spacing w:after="120" w:line="276"/>
        <w:jc w:val="both"/>
      </w:pPr>
      <w:r>
        <w:rPr>
          <w:rFonts w:ascii="Barlow Semi Condensed" w:cs="Barlow Semi Condensed" w:eastAsia="Barlow Semi Condensed" w:hAnsi="Barlow Semi Condensed"/>
          <w:b/>
          <w:bCs/>
          <w:sz w:val="24"/>
          <w:szCs w:val="24"/>
        </w:rPr>
        <w:t xml:space="preserve">324 · Lisbona, piano 1: le Azzorre.</w:t>
      </w:r>
      <w:r>
        <w:rPr>
          <w:rFonts w:ascii="Barlow Semi Condensed" w:cs="Barlow Semi Condensed" w:eastAsia="Barlow Semi Condensed" w:hAnsi="Barlow Semi Condensed"/>
          <w:sz w:val="24"/>
          <w:szCs w:val="24"/>
        </w:rPr>
        <w:t xml:space="preserve"> Fonte primaria del teatro è il memorandum del 19 giugno 1974 sull'incontro delle Azzorre fra Nixon e Spínola, che registra la richiesta portoghese di assistenza per contrastare mosse comuniste ed evitare l'impianto di un'altra Cuba nella penisola iberica, edito in FRUS 1969-1976 volume E-15 parte 2 documento 133. È documento di piano 1 per il rapporto fra Washington e Lisbona, e non è documento di piano 1 per alcun rapporto italiano con quella vicenda.</w:t>
      </w:r>
    </w:p>
    <w:p>
      <w:pPr>
        <w:spacing w:after="120" w:line="276"/>
        <w:jc w:val="both"/>
      </w:pPr>
      <w:r>
        <w:rPr>
          <w:rFonts w:ascii="Barlow Semi Condensed" w:cs="Barlow Semi Condensed" w:eastAsia="Barlow Semi Condensed" w:hAnsi="Barlow Semi Condensed"/>
          <w:b/>
          <w:bCs/>
          <w:sz w:val="24"/>
          <w:szCs w:val="24"/>
        </w:rPr>
        <w:t xml:space="preserve">325 · Il regime neutralista temuto.</w:t>
      </w:r>
      <w:r>
        <w:rPr>
          <w:rFonts w:ascii="Barlow Semi Condensed" w:cs="Barlow Semi Condensed" w:eastAsia="Barlow Semi Condensed" w:hAnsi="Barlow Semi Condensed"/>
          <w:sz w:val="24"/>
          <w:szCs w:val="24"/>
        </w:rPr>
        <w:t xml:space="preserve"> Nella stessa raccolta è attestata la preoccupazione per un esito che non fosse una presa del potere comunista ma un regime neutralista di sinistra destinato a restare dentro la NATO, e la formula è preziosa perché mostra che l'oggetto del timore era la collocazione internazionale e non l'etichetta ideologica. È il genotipo dichiarato del teatro portoghese; il fenotipo del 1974 e del 1975 fu prodotto in Portogallo e da portoghesi.</w:t>
      </w:r>
    </w:p>
    <w:p>
      <w:pPr>
        <w:spacing w:after="120" w:line="276"/>
        <w:jc w:val="both"/>
      </w:pPr>
      <w:r>
        <w:rPr>
          <w:rFonts w:ascii="Barlow Semi Condensed" w:cs="Barlow Semi Condensed" w:eastAsia="Barlow Semi Condensed" w:hAnsi="Barlow Semi Condensed"/>
          <w:b/>
          <w:bCs/>
          <w:sz w:val="24"/>
          <w:szCs w:val="24"/>
        </w:rPr>
        <w:t xml:space="preserve">326 · Portogallo, che cosa il corpus non ha.</w:t>
      </w:r>
      <w:r>
        <w:rPr>
          <w:rFonts w:ascii="Barlow Semi Condensed" w:cs="Barlow Semi Condensed" w:eastAsia="Barlow Semi Condensed" w:hAnsi="Barlow Semi Condensed"/>
          <w:sz w:val="24"/>
          <w:szCs w:val="24"/>
        </w:rPr>
        <w:t xml:space="preserve"> La ricognizione dedicata dichiara che non è stato reperito alcun documento diplomatico che colleghi direttamente Moro alla situazione portoghese anteriore alla rivoluzione, né iniziative morotee verso il Portogallo di Caetano, ed è esito negativo di pieno valore. La sede di chiusura è indicata con precisione, cioè l'Archivio storico-diplomatico della Farnesina, serie Portogallo 1969-1974, insieme alle carte Moro: la ricerca resta interamente da condurre in sala.</w:t>
      </w:r>
    </w:p>
    <w:p>
      <w:pPr>
        <w:spacing w:after="120" w:line="276"/>
        <w:jc w:val="both"/>
      </w:pPr>
      <w:r>
        <w:rPr>
          <w:rFonts w:ascii="Barlow Semi Condensed" w:cs="Barlow Semi Condensed" w:eastAsia="Barlow Semi Condensed" w:hAnsi="Barlow Semi Condensed"/>
          <w:b/>
          <w:bCs/>
          <w:sz w:val="24"/>
          <w:szCs w:val="24"/>
        </w:rPr>
        <w:t xml:space="preserve">327 · Il riconoscimento del nuovo Portogallo.</w:t>
      </w:r>
      <w:r>
        <w:rPr>
          <w:rFonts w:ascii="Barlow Semi Condensed" w:cs="Barlow Semi Condensed" w:eastAsia="Barlow Semi Condensed" w:hAnsi="Barlow Semi Condensed"/>
          <w:sz w:val="24"/>
          <w:szCs w:val="24"/>
        </w:rPr>
        <w:t xml:space="preserve"> Il riconoscimento italiano del governo uscito dal 25 aprile 1974 avvenne sotto il governo Rumor V, con Moro agli Esteri fino al 23 novembre, ma le fonti non consentono di attribuirgli una posizione personale distinta: l'atto va ascritto al governo nel suo complesso. Il portale ufficiale portoghese che ne conserva la serie italiana ha l'accesso automatizzato bloccato e va consultato manualmente o in sede, e nessuna fonte primaria italiana è stata reperita in rete.</w:t>
      </w:r>
    </w:p>
    <w:p>
      <w:pPr>
        <w:spacing w:after="120" w:line="276"/>
        <w:jc w:val="both"/>
      </w:pPr>
      <w:r>
        <w:rPr>
          <w:rFonts w:ascii="Barlow Semi Condensed" w:cs="Barlow Semi Condensed" w:eastAsia="Barlow Semi Condensed" w:hAnsi="Barlow Semi Condensed"/>
          <w:b/>
          <w:bCs/>
          <w:sz w:val="24"/>
          <w:szCs w:val="24"/>
        </w:rPr>
        <w:t xml:space="preserve">328 · I quattro giacimenti portoghesi.</w:t>
      </w:r>
      <w:r>
        <w:rPr>
          <w:rFonts w:ascii="Barlow Semi Condensed" w:cs="Barlow Semi Condensed" w:eastAsia="Barlow Semi Condensed" w:hAnsi="Barlow Semi Condensed"/>
          <w:sz w:val="24"/>
          <w:szCs w:val="24"/>
        </w:rPr>
        <w:t xml:space="preserve"> Le sedi che chiuderebbero il teatro sono censite: il portale del ministero degli Esteri portoghese con la sua serie italiana, l'Arquivo Nacional da Torre do Tombo, il Centro de Documentação 25 de Abril di Coimbra e la Fundação Mário Soares. I cantieri non avevano colonna portoghese e questa serie la apre come bersaglio con costo dichiarato, con l'avvertenza che almeno una delle sedi va visitata di persona.</w:t>
      </w:r>
    </w:p>
    <w:p>
      <w:pPr>
        <w:spacing w:after="120" w:line="276"/>
        <w:jc w:val="both"/>
      </w:pPr>
      <w:r>
        <w:rPr>
          <w:rFonts w:ascii="Barlow Semi Condensed" w:cs="Barlow Semi Condensed" w:eastAsia="Barlow Semi Condensed" w:hAnsi="Barlow Semi Condensed"/>
          <w:b/>
          <w:bCs/>
          <w:sz w:val="24"/>
          <w:szCs w:val="24"/>
        </w:rPr>
        <w:t xml:space="preserve">329 · L'espulsione dell'aprile 1974.</w:t>
      </w:r>
      <w:r>
        <w:rPr>
          <w:rFonts w:ascii="Barlow Semi Condensed" w:cs="Barlow Semi Condensed" w:eastAsia="Barlow Semi Condensed" w:hAnsi="Barlow Semi Condensed"/>
          <w:sz w:val="24"/>
          <w:szCs w:val="24"/>
        </w:rPr>
        <w:t xml:space="preserve"> Undici giorni prima della rivoluzione le autorità portoghesi espulsero il vescovo di Nampula e i missionari comboniani per ritorsione contro il documento «Imperativo de Consciência» del 12 febbraio 1974, con la data che oscilla fra il 10 e il 14 aprile secondo le fonti e il numero fra undici e tredici, riconciliato in undici da Nampula più due da Tete. Le divergenze si riportano, e gli espulsi sono destinatari di un provvedimento e non responsabili di alcunché.</w:t>
      </w:r>
    </w:p>
    <w:p>
      <w:pPr>
        <w:spacing w:after="120" w:line="276"/>
        <w:jc w:val="both"/>
      </w:pPr>
      <w:r>
        <w:rPr>
          <w:rFonts w:ascii="Barlow Semi Condensed" w:cs="Barlow Semi Condensed" w:eastAsia="Barlow Semi Condensed" w:hAnsi="Barlow Semi Condensed"/>
          <w:b/>
          <w:bCs/>
          <w:sz w:val="24"/>
          <w:szCs w:val="24"/>
        </w:rPr>
        <w:t xml:space="preserve">330 · Nessun atto italiano sull'espulsione.</w:t>
      </w:r>
      <w:r>
        <w:rPr>
          <w:rFonts w:ascii="Barlow Semi Condensed" w:cs="Barlow Semi Condensed" w:eastAsia="Barlow Semi Condensed" w:hAnsi="Barlow Semi Condensed"/>
          <w:sz w:val="24"/>
          <w:szCs w:val="24"/>
        </w:rPr>
        <w:t xml:space="preserve"> Su quell'espulsione il corpus registra uno Stato Zero, perché nessun atto italiano è stato reperito e nessuna testimonianza comboniana ne reca traccia, mentre il motore anticoloniale italiano stava nella società civile — il gemellaggio ospedaliero di Reggio Emilia del 1970, la conferenza nazionale del marzo 1973 — e non nel governo. La sede di chiusura è duplice, cioè la Farnesina e l'archivio comboniano di Roma con le annate della sua rivista.</w:t>
      </w:r>
    </w:p>
    <w:p>
      <w:pPr>
        <w:spacing w:after="120" w:line="276"/>
        <w:jc w:val="both"/>
      </w:pPr>
      <w:r>
        <w:rPr>
          <w:rFonts w:ascii="Barlow Semi Condensed" w:cs="Barlow Semi Condensed" w:eastAsia="Barlow Semi Condensed" w:hAnsi="Barlow Semi Condensed"/>
          <w:b/>
          <w:bCs/>
          <w:sz w:val="24"/>
          <w:szCs w:val="24"/>
        </w:rPr>
        <w:t xml:space="preserve">331 · La conferenza romana del giugno 1970.</w:t>
      </w:r>
      <w:r>
        <w:rPr>
          <w:rFonts w:ascii="Barlow Semi Condensed" w:cs="Barlow Semi Condensed" w:eastAsia="Barlow Semi Condensed" w:hAnsi="Barlow Semi Condensed"/>
          <w:sz w:val="24"/>
          <w:szCs w:val="24"/>
        </w:rPr>
        <w:t xml:space="preserve"> Fra il 27 e il 29 giugno 1970 si tenne a Roma la conferenza internazionale di solidarietà con i popoli delle colonie portoghesi, con centosettantasette organizzazioni in rappresentanza di sessantaquattro Paesi, promossa dalla sinistra e dal movimento anticolonialista e priva tanto di patrocinio quanto di obiezione da parte del governo italiano. L'assenza di posizione è essa stessa il dato, e va cercata nei protocolli della Farnesina prima di essere interpretata come scelta.</w:t>
      </w:r>
    </w:p>
    <w:p>
      <w:pPr>
        <w:spacing w:after="120" w:line="276"/>
        <w:jc w:val="both"/>
      </w:pPr>
      <w:r>
        <w:rPr>
          <w:rFonts w:ascii="Barlow Semi Condensed" w:cs="Barlow Semi Condensed" w:eastAsia="Barlow Semi Condensed" w:hAnsi="Barlow Semi Condensed"/>
          <w:b/>
          <w:bCs/>
          <w:sz w:val="24"/>
          <w:szCs w:val="24"/>
        </w:rPr>
        <w:t xml:space="preserve">332 · L'udienza del primo luglio 1970.</w:t>
      </w:r>
      <w:r>
        <w:rPr>
          <w:rFonts w:ascii="Barlow Semi Condensed" w:cs="Barlow Semi Condensed" w:eastAsia="Barlow Semi Condensed" w:hAnsi="Barlow Semi Condensed"/>
          <w:sz w:val="24"/>
          <w:szCs w:val="24"/>
        </w:rPr>
        <w:t xml:space="preserve"> Il giorno successivo Paolo VI ricevette in forma privata i tre leader dei movimenti di liberazione, e ne seguirono un incidente diplomatico e il richiamo dell'ambasciatore portoghese presso la Santa Sede: atto pontificio a impatto diplomatico diretto, distinto dal magistero generale. Per questa serie vale come dimostrazione che nello stesso ambiente un attore non statale produsse l'effetto che il canale governativo italiano non produsse.</w:t>
      </w:r>
    </w:p>
    <w:p>
      <w:pPr>
        <w:spacing w:after="120" w:line="276"/>
        <w:jc w:val="both"/>
      </w:pPr>
      <w:r>
        <w:rPr>
          <w:rFonts w:ascii="Barlow Semi Condensed" w:cs="Barlow Semi Condensed" w:eastAsia="Barlow Semi Condensed" w:hAnsi="Barlow Semi Condensed"/>
          <w:b/>
          <w:bCs/>
          <w:sz w:val="24"/>
          <w:szCs w:val="24"/>
        </w:rPr>
        <w:t xml:space="preserve">333 · Wiriyamu e la forbice delle vittime.</w:t>
      </w:r>
      <w:r>
        <w:rPr>
          <w:rFonts w:ascii="Barlow Semi Condensed" w:cs="Barlow Semi Condensed" w:eastAsia="Barlow Semi Condensed" w:hAnsi="Barlow Semi Condensed"/>
          <w:sz w:val="24"/>
          <w:szCs w:val="24"/>
        </w:rPr>
        <w:t xml:space="preserve"> Il massacro del 16 dicembre 1972 è confermato, con la denuncia missionaria e l'articolo in prima pagina del «Times» del 10 luglio 1973, uscito pochi giorni prima della visita ufficiale del primo ministro portoghese a Londra. La stima delle vittime diverge realmente fra le fonti — circa centocinquanta, circa trecento, trecentottantacinque nominativi accertati, vicino a quattrocento nella ricostruzione accademica — e la forbice si riporta come divergenza, non come incertezza del corpus.</w:t>
      </w:r>
    </w:p>
    <w:p>
      <w:pPr>
        <w:spacing w:after="120" w:line="276"/>
        <w:jc w:val="both"/>
      </w:pPr>
      <w:r>
        <w:rPr>
          <w:rFonts w:ascii="Barlow Semi Condensed" w:cs="Barlow Semi Condensed" w:eastAsia="Barlow Semi Condensed" w:hAnsi="Barlow Semi Condensed"/>
          <w:b/>
          <w:bCs/>
          <w:sz w:val="24"/>
          <w:szCs w:val="24"/>
        </w:rPr>
        <w:t xml:space="preserve">334 · L'ente confessionale sorvegliato.</w:t>
      </w:r>
      <w:r>
        <w:rPr>
          <w:rFonts w:ascii="Barlow Semi Condensed" w:cs="Barlow Semi Condensed" w:eastAsia="Barlow Semi Condensed" w:hAnsi="Barlow Semi Condensed"/>
          <w:sz w:val="24"/>
          <w:szCs w:val="24"/>
        </w:rPr>
        <w:t xml:space="preserve"> In Portogallo l'ente confessionale studiato dalla cartella è presente dal 1945 senza ruolo tecnocratico di governo e anzi sorvegliato dalla polizia politica, che ne sospettò legami e non li provò mai: è il caso che smonta l'equazione corrente fra ente e regime. I fascicoli originali — la nota del 1961 e i rapporti del 1963 e del 1964 — vanno letti alla Torre do Tombo, per distinguere il testo primario dalla parafrasi giornalistica.</w:t>
      </w:r>
    </w:p>
    <w:p>
      <w:pPr>
        <w:spacing w:after="120" w:line="276"/>
        <w:jc w:val="both"/>
      </w:pPr>
      <w:r>
        <w:rPr>
          <w:rFonts w:ascii="Barlow Semi Condensed" w:cs="Barlow Semi Condensed" w:eastAsia="Barlow Semi Condensed" w:hAnsi="Barlow Semi Condensed"/>
          <w:b/>
          <w:bCs/>
          <w:sz w:val="24"/>
          <w:szCs w:val="24"/>
        </w:rPr>
        <w:t xml:space="preserve">335 · Lo Stato Zero che resta tale.</w:t>
      </w:r>
      <w:r>
        <w:rPr>
          <w:rFonts w:ascii="Barlow Semi Condensed" w:cs="Barlow Semi Condensed" w:eastAsia="Barlow Semi Condensed" w:hAnsi="Barlow Semi Condensed"/>
          <w:sz w:val="24"/>
          <w:szCs w:val="24"/>
        </w:rPr>
        <w:t xml:space="preserve"> La ricognizione portoghese dichiara Stato Zero su un dossier ricorrente nella pubblicistica delle reti clandestine, non avendo reperito fonti primarie né studi peer-reviewed che ne documentino un ruolo, e qualifica come non sostenuta la tesi circolante. La verifica meccanica mostra che quel termine non compare in alcun documento del branch: silenzio totale del corpus contro Stato Zero dichiarato, due stati compatibili che restano entrambi aperti.</w:t>
      </w:r>
    </w:p>
    <w:p>
      <w:pPr>
        <w:spacing w:after="120" w:line="276"/>
        <w:jc w:val="both"/>
      </w:pPr>
      <w:r>
        <w:rPr>
          <w:rFonts w:ascii="Barlow Semi Condensed" w:cs="Barlow Semi Condensed" w:eastAsia="Barlow Semi Condensed" w:hAnsi="Barlow Semi Condensed"/>
          <w:b/>
          <w:bCs/>
          <w:sz w:val="24"/>
          <w:szCs w:val="24"/>
        </w:rPr>
        <w:t xml:space="preserve">336 · Grecia, il braccio documentato.</w:t>
      </w:r>
      <w:r>
        <w:rPr>
          <w:rFonts w:ascii="Barlow Semi Condensed" w:cs="Barlow Semi Condensed" w:eastAsia="Barlow Semi Condensed" w:hAnsi="Barlow Semi Condensed"/>
          <w:sz w:val="24"/>
          <w:szCs w:val="24"/>
        </w:rPr>
        <w:t xml:space="preserve"> Il rapporto fra Moro e la Grecia ha un piano 1 consistente: la seduta del dicembre 1969 al Consiglio d'Europa, l'inclusione dell'Italia fra gli alleati consultati sul ritiro greco dalla NATO nell'agosto 1974, la firma dell'Atto finale di Helsinki nel 1975. Tre atti datati e di natura diversa, che però non compongono una politica greca dell'Italia finché non se ne conosca il contenuto istruttorio, ed è precisamente il salto da evitare.</w:t>
      </w:r>
    </w:p>
    <w:p>
      <w:pPr>
        <w:spacing w:after="120" w:line="276"/>
        <w:jc w:val="both"/>
      </w:pPr>
      <w:r>
        <w:rPr>
          <w:rFonts w:ascii="Barlow Semi Condensed" w:cs="Barlow Semi Condensed" w:eastAsia="Barlow Semi Condensed" w:hAnsi="Barlow Semi Condensed"/>
          <w:b/>
          <w:bCs/>
          <w:sz w:val="24"/>
          <w:szCs w:val="24"/>
        </w:rPr>
        <w:t xml:space="preserve">337 · Il 12 dicembre 1969, con esattezza.</w:t>
      </w:r>
      <w:r>
        <w:rPr>
          <w:rFonts w:ascii="Barlow Semi Condensed" w:cs="Barlow Semi Condensed" w:eastAsia="Barlow Semi Condensed" w:hAnsi="Barlow Semi Condensed"/>
          <w:sz w:val="24"/>
          <w:szCs w:val="24"/>
        </w:rPr>
        <w:t xml:space="preserve"> Fonte primaria dirimente è la Risoluzione (69) 51 del Comitato dei Ministri, adottata il 12 dicembre 1969, con la successiva (70) 34 che registra la notifica greca di ritiro con effetto al 31 dicembre 1970; il FRUS volume XXIX documento 264 attesta che la Grecia si ritirò dopo che una maggioranza si era schierata a sostegno di una risoluzione tedesca. Moro presiedeva l'organo che stava per deliberare, ed è quanto le fonti attestano.</w:t>
      </w:r>
    </w:p>
    <w:p>
      <w:pPr>
        <w:spacing w:after="120" w:line="276"/>
        <w:jc w:val="both"/>
      </w:pPr>
      <w:r>
        <w:rPr>
          <w:rFonts w:ascii="Barlow Semi Condensed" w:cs="Barlow Semi Condensed" w:eastAsia="Barlow Semi Condensed" w:hAnsi="Barlow Semi Condensed"/>
          <w:b/>
          <w:bCs/>
          <w:sz w:val="24"/>
          <w:szCs w:val="24"/>
        </w:rPr>
        <w:t xml:space="preserve">338 · Espulsione decretata: formula pubblicistica.</w:t>
      </w:r>
      <w:r>
        <w:rPr>
          <w:rFonts w:ascii="Barlow Semi Condensed" w:cs="Barlow Semi Condensed" w:eastAsia="Barlow Semi Condensed" w:hAnsi="Barlow Semi Condensed"/>
          <w:sz w:val="24"/>
          <w:szCs w:val="24"/>
        </w:rPr>
        <w:t xml:space="preserve"> La Grecia notificò da sé il ritiro per prevenire un voto ormai certo, sicché la formula corrente dell'espulsione decretata va qualificata come pubblicistica, e le fonti secondarie divergono perfino sul giorno della seduta, 12 o 13 dicembre 1969. L'accertamento della condotta e delle parole di Moro in quella seduta richiede lo spoglio degli atti del Consiglio d'Europa e della Farnesina, non condotto: è bersaglio e non conclusione.</w:t>
      </w:r>
    </w:p>
    <w:p>
      <w:pPr>
        <w:spacing w:after="120" w:line="276"/>
        <w:jc w:val="both"/>
      </w:pPr>
      <w:r>
        <w:rPr>
          <w:rFonts w:ascii="Barlow Semi Condensed" w:cs="Barlow Semi Condensed" w:eastAsia="Barlow Semi Condensed" w:hAnsi="Barlow Semi Condensed"/>
          <w:b/>
          <w:bCs/>
          <w:sz w:val="24"/>
          <w:szCs w:val="24"/>
        </w:rPr>
        <w:t xml:space="preserve">339 · La tesi della ritorsione, e il suo statuto.</w:t>
      </w:r>
      <w:r>
        <w:rPr>
          <w:rFonts w:ascii="Barlow Semi Condensed" w:cs="Barlow Semi Condensed" w:eastAsia="Barlow Semi Condensed" w:hAnsi="Barlow Semi Condensed"/>
          <w:sz w:val="24"/>
          <w:szCs w:val="24"/>
        </w:rPr>
        <w:t xml:space="preserve"> Circola una tesi d'autore secondo cui la scelta della data del 12 dicembre 1969 per la strage di piazza Fontana e per attentati a Cipro sarebbe stata una rappresaglia per la sconfitta diplomatica greca a Strasburgo, esposta in un'opera di taglio giornalistico-documentario. La contemporaneità cronologica non è prova di nesso causale: si registra come ipotesi circolante e non come fatto accertato dalle fonti primarie esaminate.</w:t>
      </w:r>
    </w:p>
    <w:p>
      <w:pPr>
        <w:spacing w:after="120" w:line="276"/>
        <w:jc w:val="both"/>
      </w:pPr>
      <w:r>
        <w:rPr>
          <w:rFonts w:ascii="Barlow Semi Condensed" w:cs="Barlow Semi Condensed" w:eastAsia="Barlow Semi Condensed" w:hAnsi="Barlow Semi Condensed"/>
          <w:b/>
          <w:bCs/>
          <w:sz w:val="24"/>
          <w:szCs w:val="24"/>
        </w:rPr>
        <w:t xml:space="preserve">340 · Cipro 1974, la sequenza datata.</w:t>
      </w:r>
      <w:r>
        <w:rPr>
          <w:rFonts w:ascii="Barlow Semi Condensed" w:cs="Barlow Semi Condensed" w:eastAsia="Barlow Semi Condensed" w:hAnsi="Barlow Semi Condensed"/>
          <w:sz w:val="24"/>
          <w:szCs w:val="24"/>
        </w:rPr>
        <w:t xml:space="preserve"> Colpo di Stato a Nicosia il 15 luglio 1974, intervento turco il 20 luglio, crollo della giunta di Atene il 23 luglio, seconda offensiva il 14 agosto, cessate il fuoco del 16 agosto divenuto la Linea Verde vigilata dalla forza delle Nazioni Unite: la sequenza è accertata su fonti primarie internazionali. Prima della comparazione viene la tavola cronologica, come il manuale investigativo prescrive al blocco 14.</w:t>
      </w:r>
    </w:p>
    <w:p>
      <w:pPr>
        <w:spacing w:after="120" w:line="276"/>
        <w:jc w:val="both"/>
      </w:pPr>
      <w:r>
        <w:rPr>
          <w:rFonts w:ascii="Barlow Semi Condensed" w:cs="Barlow Semi Condensed" w:eastAsia="Barlow Semi Condensed" w:hAnsi="Barlow Semi Condensed"/>
          <w:b/>
          <w:bCs/>
          <w:sz w:val="24"/>
          <w:szCs w:val="24"/>
        </w:rPr>
        <w:t xml:space="preserve">341 · Le denominazioni contese.</w:t>
      </w:r>
      <w:r>
        <w:rPr>
          <w:rFonts w:ascii="Barlow Semi Condensed" w:cs="Barlow Semi Condensed" w:eastAsia="Barlow Semi Condensed" w:hAnsi="Barlow Semi Condensed"/>
          <w:sz w:val="24"/>
          <w:szCs w:val="24"/>
        </w:rPr>
        <w:t xml:space="preserve"> La stessa operazione è operazione di pace per la Turchia e invasione per la parte greca, per quella cipriota e per la comunità internazionale, mentre le percentuali territoriali divergono fra oltre il trentasei per cento delle fonti cipriote, il quaranta circa del FRUS volume XXX documento 194 e il trentotto di altre fonti, e altrettanto le stime dei profughi. La duplicità va mantenuta, perché sceglierne un ramo in silenzio è prendere parte.</w:t>
      </w:r>
    </w:p>
    <w:p>
      <w:pPr>
        <w:spacing w:after="120" w:line="276"/>
        <w:jc w:val="both"/>
      </w:pPr>
      <w:r>
        <w:rPr>
          <w:rFonts w:ascii="Barlow Semi Condensed" w:cs="Barlow Semi Condensed" w:eastAsia="Barlow Semi Condensed" w:hAnsi="Barlow Semi Condensed"/>
          <w:b/>
          <w:bCs/>
          <w:sz w:val="24"/>
          <w:szCs w:val="24"/>
        </w:rPr>
        <w:t xml:space="preserve">342 · L'Italia fuori dal tavolo, dentro il cerchio.</w:t>
      </w:r>
      <w:r>
        <w:rPr>
          <w:rFonts w:ascii="Barlow Semi Condensed" w:cs="Barlow Semi Condensed" w:eastAsia="Barlow Semi Condensed" w:hAnsi="Barlow Semi Condensed"/>
          <w:sz w:val="24"/>
          <w:szCs w:val="24"/>
        </w:rPr>
        <w:t xml:space="preserve"> L'Italia non figurava fra le potenze garanti, non partecipò ai negoziati di Ginevra, non sedeva nel Consiglio di Sicurezza nel 1974 e non contribuiva alla forza di interposizione, ma era dentro il meccanismo consultivo atlantico: il FRUS volume XXX documento 16 attesta la convocazione degli ambasciatori di sei Paesi da parte del Segretario generale della NATO il 4 luglio 1974. Attore consultato, dunque, non mediatore né garante.</w:t>
      </w:r>
    </w:p>
    <w:p>
      <w:pPr>
        <w:spacing w:after="120" w:line="276"/>
        <w:jc w:val="both"/>
      </w:pPr>
      <w:r>
        <w:rPr>
          <w:rFonts w:ascii="Barlow Semi Condensed" w:cs="Barlow Semi Condensed" w:eastAsia="Barlow Semi Condensed" w:hAnsi="Barlow Semi Condensed"/>
          <w:b/>
          <w:bCs/>
          <w:sz w:val="24"/>
          <w:szCs w:val="24"/>
        </w:rPr>
        <w:t xml:space="preserve">343 · Il ritiro greco dalla struttura integrata.</w:t>
      </w:r>
      <w:r>
        <w:rPr>
          <w:rFonts w:ascii="Barlow Semi Condensed" w:cs="Barlow Semi Condensed" w:eastAsia="Barlow Semi Condensed" w:hAnsi="Barlow Semi Condensed"/>
          <w:sz w:val="24"/>
          <w:szCs w:val="24"/>
        </w:rPr>
        <w:t xml:space="preserve"> Il 14 agosto 1974 la Grecia ritirò le proprie forze dalla struttura militare integrata dell'Alleanza, e il FRUS volume XXX documento 25 ne registra l'effetto insieme all'osservazione del rappresentante belga sul fatto curioso che i greci non avessero ritirato i propri rappresentanti dal Comitato Militare. Le date divergono nelle fonti secondarie fra il 4, il 14 e il 17 agosto, e il rientro avvenne soltanto nell'ottobre 1980.</w:t>
      </w:r>
    </w:p>
    <w:p>
      <w:pPr>
        <w:spacing w:after="120" w:line="276"/>
        <w:jc w:val="both"/>
      </w:pPr>
      <w:r>
        <w:rPr>
          <w:rFonts w:ascii="Barlow Semi Condensed" w:cs="Barlow Semi Condensed" w:eastAsia="Barlow Semi Condensed" w:hAnsi="Barlow Semi Condensed"/>
          <w:b/>
          <w:bCs/>
          <w:sz w:val="24"/>
          <w:szCs w:val="24"/>
        </w:rPr>
        <w:t xml:space="preserve">344 · L'Italia fra gli alleati consultati.</w:t>
      </w:r>
      <w:r>
        <w:rPr>
          <w:rFonts w:ascii="Barlow Semi Condensed" w:cs="Barlow Semi Condensed" w:eastAsia="Barlow Semi Condensed" w:hAnsi="Barlow Semi Condensed"/>
          <w:sz w:val="24"/>
          <w:szCs w:val="24"/>
        </w:rPr>
        <w:t xml:space="preserve"> Il documento 23 del medesimo volume, del 30 agosto 1974, istruisce ad avviare discussioni bilaterali informali con il Segretario generale e con alleati selezionati — Regno Unito, Repubblica Federale, Italia, Belgio o Paesi Bassi — sulle implicazioni della decisione greca, escludendo la Francia perché fuori dal Defence Planning Committee. È accertata l'inclusione dell'Italia nel novero, e non è accertato il contenuto della posizione italiana.</w:t>
      </w:r>
    </w:p>
    <w:p>
      <w:pPr>
        <w:spacing w:after="120" w:line="276"/>
        <w:jc w:val="both"/>
      </w:pPr>
      <w:r>
        <w:rPr>
          <w:rFonts w:ascii="Barlow Semi Condensed" w:cs="Barlow Semi Condensed" w:eastAsia="Barlow Semi Condensed" w:hAnsi="Barlow Semi Condensed"/>
          <w:b/>
          <w:bCs/>
          <w:sz w:val="24"/>
          <w:szCs w:val="24"/>
        </w:rPr>
        <w:t xml:space="preserve">345 · Che cosa chiuderebbe il contenuto italiano.</w:t>
      </w:r>
      <w:r>
        <w:rPr>
          <w:rFonts w:ascii="Barlow Semi Condensed" w:cs="Barlow Semi Condensed" w:eastAsia="Barlow Semi Condensed" w:hAnsi="Barlow Semi Condensed"/>
          <w:sz w:val="24"/>
          <w:szCs w:val="24"/>
        </w:rPr>
        <w:t xml:space="preserve"> Lo chiuderebbe la documentazione della Rappresentanza italiana presso la NATO per l'agosto e il settembre 1974, insieme alla serie corrispondente della Farnesina, ed è il bersaglio a più alto rendimento del teatro greco insieme allo spoglio parlamentare. È anche il più eseguibile dei due, perché non dipende dalla ricercabilità a testo pieno che per quegli anni non esiste: costo dichiarato, accesso in sala e autorizzazione.</w:t>
      </w:r>
    </w:p>
    <w:p>
      <w:pPr>
        <w:spacing w:after="120" w:line="276"/>
        <w:jc w:val="both"/>
      </w:pPr>
      <w:r>
        <w:rPr>
          <w:rFonts w:ascii="Barlow Semi Condensed" w:cs="Barlow Semi Condensed" w:eastAsia="Barlow Semi Condensed" w:hAnsi="Barlow Semi Condensed"/>
          <w:b/>
          <w:bCs/>
          <w:sz w:val="24"/>
          <w:szCs w:val="24"/>
        </w:rPr>
        <w:t xml:space="preserve">346 · Lo Stato Zero greco-cipriota.</w:t>
      </w:r>
      <w:r>
        <w:rPr>
          <w:rFonts w:ascii="Barlow Semi Condensed" w:cs="Barlow Semi Condensed" w:eastAsia="Barlow Semi Condensed" w:hAnsi="Barlow Semi Condensed"/>
          <w:sz w:val="24"/>
          <w:szCs w:val="24"/>
        </w:rPr>
        <w:t xml:space="preserve"> Non sono state reperite dichiarazioni testuali di Moro su Cipro fra luglio e novembre 1974, ed è esito negativo importante, con sede duplice nei resoconti stenografici di Camera e Senato della sesta legislatura e nelle serie Grecia e Cipro dell'Archivio storico-diplomatico. La contemporaneità della crisi cipriota con l'attentato all'Italicus del 4 agosto 1974 si registra come mera contemporaneità e come nient'altro.</w:t>
      </w:r>
    </w:p>
    <w:p>
      <w:pPr>
        <w:spacing w:after="120" w:line="276"/>
        <w:jc w:val="both"/>
      </w:pPr>
      <w:r>
        <w:rPr>
          <w:rFonts w:ascii="Barlow Semi Condensed" w:cs="Barlow Semi Condensed" w:eastAsia="Barlow Semi Condensed" w:hAnsi="Barlow Semi Condensed"/>
          <w:b/>
          <w:bCs/>
          <w:sz w:val="24"/>
          <w:szCs w:val="24"/>
        </w:rPr>
        <w:t xml:space="preserve">347 · Cipro nel testo di Helsinki.</w:t>
      </w:r>
      <w:r>
        <w:rPr>
          <w:rFonts w:ascii="Barlow Semi Condensed" w:cs="Barlow Semi Condensed" w:eastAsia="Barlow Semi Condensed" w:hAnsi="Barlow Semi Condensed"/>
          <w:sz w:val="24"/>
          <w:szCs w:val="24"/>
        </w:rPr>
        <w:t xml:space="preserve"> Il FRUS volume XXXIX documento 334, telegramma del 2 agosto 1975, conferma la firma dell'Atto finale da parte di trentacinque capi di Stato o di governo e registra che Cipro fece circolare una dichiarazione interpretativa in risposta alla riserva turca sulla rappresentanza, affermando che quella riserva fosse priva di effetto. La questione greco-turca fu dunque presente, sia pure marginalmente, anche al tavolo che l'Italia presiedeva per la Comunità.</w:t>
      </w:r>
    </w:p>
    <w:p>
      <w:pPr>
        <w:spacing w:after="120" w:line="276"/>
        <w:jc w:val="both"/>
      </w:pPr>
      <w:r>
        <w:rPr>
          <w:rFonts w:ascii="Barlow Semi Condensed" w:cs="Barlow Semi Condensed" w:eastAsia="Barlow Semi Condensed" w:hAnsi="Barlow Semi Condensed"/>
          <w:b/>
          <w:bCs/>
          <w:sz w:val="24"/>
          <w:szCs w:val="24"/>
        </w:rPr>
        <w:t xml:space="preserve">348 · L'asse vuoto e la sua lezione.</w:t>
      </w:r>
      <w:r>
        <w:rPr>
          <w:rFonts w:ascii="Barlow Semi Condensed" w:cs="Barlow Semi Condensed" w:eastAsia="Barlow Semi Condensed" w:hAnsi="Barlow Semi Condensed"/>
          <w:sz w:val="24"/>
          <w:szCs w:val="24"/>
        </w:rPr>
        <w:t xml:space="preserve"> Nel teatro greco un intero braccio del triangolo studiato dalla cartella risulta vuoto, perché l'ente confessionale non ha mai avuto presenza stabile in Grecia e la sua stessa fonte ufficiale non la elenca ad alcun anno. La variabile che discrimina non è la natura del regime ma la confessione maggioritaria, ed è il controfattuale perfetto che scioglie una correlazione a lungo scambiata per causa.</w:t>
      </w:r>
    </w:p>
    <w:p>
      <w:pPr>
        <w:spacing w:after="120" w:line="276"/>
        <w:jc w:val="both"/>
      </w:pPr>
      <w:r>
        <w:rPr>
          <w:rFonts w:ascii="Barlow Semi Condensed" w:cs="Barlow Semi Condensed" w:eastAsia="Barlow Semi Condensed" w:hAnsi="Barlow Semi Condensed"/>
          <w:b/>
          <w:bCs/>
          <w:sz w:val="24"/>
          <w:szCs w:val="24"/>
        </w:rPr>
        <w:t xml:space="preserve">349 · Turchia, il nesso meglio documentato.</w:t>
      </w:r>
      <w:r>
        <w:rPr>
          <w:rFonts w:ascii="Barlow Semi Condensed" w:cs="Barlow Semi Condensed" w:eastAsia="Barlow Semi Condensed" w:hAnsi="Barlow Semi Condensed"/>
          <w:sz w:val="24"/>
          <w:szCs w:val="24"/>
        </w:rPr>
        <w:t xml:space="preserve"> Il preambolo del Regolamento (CEE) numero 1842/71 attesta che l'Accordo provvisorio fra Comunità e Turchia fu firmato a Bruxelles il 27 luglio 1971 a nome del Consiglio delle Comunità da Aldo Moro, ministro degli Affari esteri italiano e presidente di turno di quel Consiglio nel semestre italiano. È il nesso Moro-Turchia meglio documentato dell'intera cartella, ed è atto comunitario: qualifica una funzione, non una politica bilaterale.</w:t>
      </w:r>
    </w:p>
    <w:p>
      <w:pPr>
        <w:spacing w:after="120" w:line="276"/>
        <w:jc w:val="both"/>
      </w:pPr>
      <w:r>
        <w:rPr>
          <w:rFonts w:ascii="Barlow Semi Condensed" w:cs="Barlow Semi Condensed" w:eastAsia="Barlow Semi Condensed" w:hAnsi="Barlow Semi Condensed"/>
          <w:b/>
          <w:bCs/>
          <w:sz w:val="24"/>
          <w:szCs w:val="24"/>
        </w:rPr>
        <w:t xml:space="preserve">350 · Il Protocollo addizionale del 1970.</w:t>
      </w:r>
      <w:r>
        <w:rPr>
          <w:rFonts w:ascii="Barlow Semi Condensed" w:cs="Barlow Semi Condensed" w:eastAsia="Barlow Semi Condensed" w:hAnsi="Barlow Semi Condensed"/>
          <w:sz w:val="24"/>
          <w:szCs w:val="24"/>
        </w:rPr>
        <w:t xml:space="preserve"> L'altro atto del teatro è il Protocollo addizionale all'Accordo di Ankara, del 23 novembre 1970, con la sua vicenda di ratifica italiana nel quadro parlamentare della sesta legislatura. Il bersaglio è documentale e a basso costo: reperire l'atto di ratifica con numero e data e il dibattito che lo accompagnò nei volumi a stampa dei resoconti, poiché per quegli anni la ricerca a testo pieno non esiste.</w:t>
      </w:r>
    </w:p>
    <w:p>
      <w:pPr>
        <w:spacing w:after="120" w:line="276"/>
        <w:jc w:val="both"/>
      </w:pPr>
      <w:r>
        <w:rPr>
          <w:rFonts w:ascii="Barlow Semi Condensed" w:cs="Barlow Semi Condensed" w:eastAsia="Barlow Semi Condensed" w:hAnsi="Barlow Semi Condensed"/>
          <w:b/>
          <w:bCs/>
          <w:sz w:val="24"/>
          <w:szCs w:val="24"/>
        </w:rPr>
        <w:t xml:space="preserve">351 · Ankara 1974, la posizione italiana.</w:t>
      </w:r>
      <w:r>
        <w:rPr>
          <w:rFonts w:ascii="Barlow Semi Condensed" w:cs="Barlow Semi Condensed" w:eastAsia="Barlow Semi Condensed" w:hAnsi="Barlow Semi Condensed"/>
          <w:sz w:val="24"/>
          <w:szCs w:val="24"/>
        </w:rPr>
        <w:t xml:space="preserve"> Sulla crisi cipriota vista da Ankara non sono state reperite dichiarazioni o atti specifici di Moro, e l'esito prevalentemente negativo consolida l'immagine di un'Italia collocata al margine consultivo della vicenda. Le sedi di chiusura sono le serie Turchia e Cipro 1974 della Farnesina e l'edizione digitale delle carte Moro; va evitata l'inferenza che la comune appartenenza atlantica equivalga a convergenza attiva, perché è al più comunanza di ambiente istituzionale.</w:t>
      </w:r>
    </w:p>
    <w:p>
      <w:pPr>
        <w:spacing w:after="120" w:line="276"/>
        <w:jc w:val="both"/>
      </w:pPr>
      <w:r>
        <w:rPr>
          <w:rFonts w:ascii="Barlow Semi Condensed" w:cs="Barlow Semi Condensed" w:eastAsia="Barlow Semi Condensed" w:hAnsi="Barlow Semi Condensed"/>
          <w:b/>
          <w:bCs/>
          <w:sz w:val="24"/>
          <w:szCs w:val="24"/>
        </w:rPr>
        <w:t xml:space="preserve">352 · L'embargo del 1975 e il silenzio italiano.</w:t>
      </w:r>
      <w:r>
        <w:rPr>
          <w:rFonts w:ascii="Barlow Semi Condensed" w:cs="Barlow Semi Condensed" w:eastAsia="Barlow Semi Condensed" w:hAnsi="Barlow Semi Condensed"/>
          <w:sz w:val="24"/>
          <w:szCs w:val="24"/>
        </w:rPr>
        <w:t xml:space="preserve"> L'embargo statunitense sulle forniture militari alla Turchia, deliberato nel dicembre 1974 ed entrato in vigore il 5 febbraio 1975, produsse nel luglio successivo la sospensione delle installazioni americane in territorio turco e fu revocato solo nel settembre 1978. Non si sono trovate dichiarazioni del governo italiano né atti della Farnesina in materia, e lo Stato Zero si chiude sulla corrispondenza con la Rappresentanza presso la NATO.</w:t>
      </w:r>
    </w:p>
    <w:p>
      <w:pPr>
        <w:spacing w:after="120" w:line="276"/>
        <w:jc w:val="both"/>
      </w:pPr>
      <w:r>
        <w:rPr>
          <w:rFonts w:ascii="Barlow Semi Condensed" w:cs="Barlow Semi Condensed" w:eastAsia="Barlow Semi Condensed" w:hAnsi="Barlow Semi Condensed"/>
          <w:b/>
          <w:bCs/>
          <w:sz w:val="24"/>
          <w:szCs w:val="24"/>
        </w:rPr>
        <w:t xml:space="preserve">353 · L'interesse oggettivo non è un atto.</w:t>
      </w:r>
      <w:r>
        <w:rPr>
          <w:rFonts w:ascii="Barlow Semi Condensed" w:cs="Barlow Semi Condensed" w:eastAsia="Barlow Semi Condensed" w:hAnsi="Barlow Semi Condensed"/>
          <w:sz w:val="24"/>
          <w:szCs w:val="24"/>
        </w:rPr>
        <w:t xml:space="preserve"> È lecito osservare che l'Italia, Paese del fianco sud, avesse interesse alla ricomposizione della frattura fra Washington e Ankara, ed è illecito trasformare l'osservazione in accertamento. Il blocco fissa la regola per tutti i teatri della serie: l'interesse ricostruito è ragionamento, l'atto documentato è prova, e fra i due non esiste passaggio automatico — il corpus chiama promozione indebita quel passaggio, quando avviene.</w:t>
      </w:r>
    </w:p>
    <w:p>
      <w:pPr>
        <w:spacing w:after="120" w:line="276"/>
        <w:jc w:val="both"/>
      </w:pPr>
      <w:r>
        <w:rPr>
          <w:rFonts w:ascii="Barlow Semi Condensed" w:cs="Barlow Semi Condensed" w:eastAsia="Barlow Semi Condensed" w:hAnsi="Barlow Semi Condensed"/>
          <w:b/>
          <w:bCs/>
          <w:sz w:val="24"/>
          <w:szCs w:val="24"/>
        </w:rPr>
        <w:t xml:space="preserve">354 · Gli oppiacei come dossier di controllo.</w:t>
      </w:r>
      <w:r>
        <w:rPr>
          <w:rFonts w:ascii="Barlow Semi Condensed" w:cs="Barlow Semi Condensed" w:eastAsia="Barlow Semi Condensed" w:hAnsi="Barlow Semi Condensed"/>
          <w:sz w:val="24"/>
          <w:szCs w:val="24"/>
        </w:rPr>
        <w:t xml:space="preserve"> Il divieto di coltivazione del papavero introdotto nel giugno 1971 e revocato dal governo Ecevit il primo luglio 1974 con decreto è il dossier turco più densamente documentato nelle fonti americane desecretate, fra telegrammi da Ankara, memorandum al presidente e un memorandum di decisione nazionale dell'agosto 1974. È il caso in cui la trascrizione dal documento all'atto è visibile per intero, e proprio per questo serve da metro per gli altri teatri.</w:t>
      </w:r>
    </w:p>
    <w:p>
      <w:pPr>
        <w:spacing w:after="120" w:line="276"/>
        <w:jc w:val="both"/>
      </w:pPr>
      <w:r>
        <w:rPr>
          <w:rFonts w:ascii="Barlow Semi Condensed" w:cs="Barlow Semi Condensed" w:eastAsia="Barlow Semi Condensed" w:hAnsi="Barlow Semi Condensed"/>
          <w:b/>
          <w:bCs/>
          <w:sz w:val="24"/>
          <w:szCs w:val="24"/>
        </w:rPr>
        <w:t xml:space="preserve">355 · Che cosa quel dossier misura.</w:t>
      </w:r>
      <w:r>
        <w:rPr>
          <w:rFonts w:ascii="Barlow Semi Condensed" w:cs="Barlow Semi Condensed" w:eastAsia="Barlow Semi Condensed" w:hAnsi="Barlow Semi Condensed"/>
          <w:sz w:val="24"/>
          <w:szCs w:val="24"/>
        </w:rPr>
        <w:t xml:space="preserve"> Serve da metro perché mostra quanto materiale primario esista quando una linea politica si traduce davvero in negoziato: decine di documenti editi, con date, numeri di telegramma e nomi di serie. Là dove un teatro di questa serie offre soltanto convergenze, il confronto dice che la differenza non sta nella prudenza dell'interprete ma nel volume documentale realmente disponibile, ed è una misura, non un'impressione.</w:t>
      </w:r>
    </w:p>
    <w:p>
      <w:pPr>
        <w:spacing w:after="120" w:line="276"/>
        <w:jc w:val="both"/>
      </w:pPr>
      <w:r>
        <w:rPr>
          <w:rFonts w:ascii="Barlow Semi Condensed" w:cs="Barlow Semi Condensed" w:eastAsia="Barlow Semi Condensed" w:hAnsi="Barlow Semi Condensed"/>
          <w:b/>
          <w:bCs/>
          <w:sz w:val="24"/>
          <w:szCs w:val="24"/>
        </w:rPr>
        <w:t xml:space="preserve">356 · L'Italia assente dal negoziato degli oppiacei.</w:t>
      </w:r>
      <w:r>
        <w:rPr>
          <w:rFonts w:ascii="Barlow Semi Condensed" w:cs="Barlow Semi Condensed" w:eastAsia="Barlow Semi Condensed" w:hAnsi="Barlow Semi Condensed"/>
          <w:sz w:val="24"/>
          <w:szCs w:val="24"/>
        </w:rPr>
        <w:t xml:space="preserve"> Non si sono reperite fonti primarie che documentino un coinvolgimento della Farnesina nella vicenda della revoca del 1974, né una posizione italiana nelle sedi delle Nazioni Unite su quel dossier, e le sedi di chiusura sono la serie affari sociali e stupefacenti della Farnesina e gli archivi della Commissione stupefacenti a Vienna. Va evitata l'inferenza che, essendo Paese di consumo, l'Italia avesse necessariamente assunto una posizione attiva.</w:t>
      </w:r>
    </w:p>
    <w:p>
      <w:pPr>
        <w:spacing w:after="120" w:line="276"/>
        <w:jc w:val="both"/>
      </w:pPr>
      <w:r>
        <w:rPr>
          <w:rFonts w:ascii="Barlow Semi Condensed" w:cs="Barlow Semi Condensed" w:eastAsia="Barlow Semi Condensed" w:hAnsi="Barlow Semi Condensed"/>
          <w:b/>
          <w:bCs/>
          <w:sz w:val="24"/>
          <w:szCs w:val="24"/>
        </w:rPr>
        <w:t xml:space="preserve">357 · La rotta e il suo statuto criminologico.</w:t>
      </w:r>
      <w:r>
        <w:rPr>
          <w:rFonts w:ascii="Barlow Semi Condensed" w:cs="Barlow Semi Condensed" w:eastAsia="Barlow Semi Condensed" w:hAnsi="Barlow Semi Condensed"/>
          <w:sz w:val="24"/>
          <w:szCs w:val="24"/>
        </w:rPr>
        <w:t xml:space="preserve"> Il legame fra l'oppio anatolico, i laboratori di Marsiglia e la successiva ristrutturazione lungo il corridoio balcanico, con l'Italia fra i punti di arrivo, è storiograficamente accertato sul piano criminologico, e non è per ciò stesso un nesso diplomatico. Il blocco tiene separati i due piani, perché la loro confusione è uno degli errori più frequenti nella pubblicistica sul Mediterraneo degli anni Settanta.</w:t>
      </w:r>
    </w:p>
    <w:p>
      <w:pPr>
        <w:spacing w:after="120" w:line="276"/>
        <w:jc w:val="both"/>
      </w:pPr>
      <w:r>
        <w:rPr>
          <w:rFonts w:ascii="Barlow Semi Condensed" w:cs="Barlow Semi Condensed" w:eastAsia="Barlow Semi Condensed" w:hAnsi="Barlow Semi Condensed"/>
          <w:b/>
          <w:bCs/>
          <w:sz w:val="24"/>
          <w:szCs w:val="24"/>
        </w:rPr>
        <w:t xml:space="preserve">358 · Halki e le minoranze: esito negativo.</w:t>
      </w:r>
      <w:r>
        <w:rPr>
          <w:rFonts w:ascii="Barlow Semi Condensed" w:cs="Barlow Semi Condensed" w:eastAsia="Barlow Semi Condensed" w:hAnsi="Barlow Semi Condensed"/>
          <w:sz w:val="24"/>
          <w:szCs w:val="24"/>
        </w:rPr>
        <w:t xml:space="preserve"> Sul versante confessionale il corpus registra un esito prevalentemente negativo, perché nelle fonti edite non emerge una presa di posizione documentata della Farnesina di Moro sulle minoranze cristiane di Turchia o sulla chiusura del Seminario di Halki nel 1971. L'esito negativo è dichiarato come acquisizione di pieno valore, con l'indicazione della sede dove chiuderlo: la serie Turchia dell'Archivio storico-diplomatico.</w:t>
      </w:r>
    </w:p>
    <w:p>
      <w:pPr>
        <w:spacing w:after="120" w:line="276"/>
        <w:jc w:val="both"/>
      </w:pPr>
      <w:r>
        <w:rPr>
          <w:rFonts w:ascii="Barlow Semi Condensed" w:cs="Barlow Semi Condensed" w:eastAsia="Barlow Semi Condensed" w:hAnsi="Barlow Semi Condensed"/>
          <w:b/>
          <w:bCs/>
          <w:sz w:val="24"/>
          <w:szCs w:val="24"/>
        </w:rPr>
        <w:t xml:space="preserve">359 · L'asse vuoto turco, e il perché.</w:t>
      </w:r>
      <w:r>
        <w:rPr>
          <w:rFonts w:ascii="Barlow Semi Condensed" w:cs="Barlow Semi Condensed" w:eastAsia="Barlow Semi Condensed" w:hAnsi="Barlow Semi Condensed"/>
          <w:sz w:val="24"/>
          <w:szCs w:val="24"/>
        </w:rPr>
        <w:t xml:space="preserve"> Anche in Turchia l'ente confessionale studiato dalla cartella è assente, e il caso è il più probante della serie per la combinazione di maggioranza musulmana, laicità con controllo statale dell'istruzione e minoranza cattolica minima. L'assenza correla con la variabile confessionale e non con la forma del regime, e vale come verifica di una previsione dichiarata: test superato, non chiave universale da applicare altrove.</w:t>
      </w:r>
    </w:p>
    <w:p>
      <w:pPr>
        <w:spacing w:after="120" w:line="276"/>
        <w:jc w:val="both"/>
      </w:pPr>
      <w:r>
        <w:rPr>
          <w:rFonts w:ascii="Barlow Semi Condensed" w:cs="Barlow Semi Condensed" w:eastAsia="Barlow Semi Condensed" w:hAnsi="Barlow Semi Condensed"/>
          <w:b/>
          <w:bCs/>
          <w:sz w:val="24"/>
          <w:szCs w:val="24"/>
        </w:rPr>
        <w:t xml:space="preserve">360 · Germania, l'ambiente che rovescia la previsione.</w:t>
      </w:r>
      <w:r>
        <w:rPr>
          <w:rFonts w:ascii="Barlow Semi Condensed" w:cs="Barlow Semi Condensed" w:eastAsia="Barlow Semi Condensed" w:hAnsi="Barlow Semi Condensed"/>
          <w:sz w:val="24"/>
          <w:szCs w:val="24"/>
        </w:rPr>
        <w:t xml:space="preserve"> Il teatro tedesco serve la serie perché falsifica una condizione: l'ente confessionale vi si insediò stabilmente nel 1952 pur in un Paese a maggioranza relativa protestante, mentre resse la seconda condizione, cioè la presenza di un milieu cattolico socialmente organizzato. Una previsione falsificata in una delle sue due parti è un risultato pieno e va enunciata come tale, senza estenderla oltre ciò che il caso singolo mostra.</w:t>
      </w:r>
    </w:p>
    <w:p>
      <w:pPr>
        <w:spacing w:after="120" w:line="276"/>
        <w:jc w:val="both"/>
      </w:pPr>
      <w:r>
        <w:rPr>
          <w:rFonts w:ascii="Barlow Semi Condensed" w:cs="Barlow Semi Condensed" w:eastAsia="Barlow Semi Condensed" w:hAnsi="Barlow Semi Condensed"/>
          <w:b/>
          <w:bCs/>
          <w:sz w:val="24"/>
          <w:szCs w:val="24"/>
        </w:rPr>
        <w:t xml:space="preserve">361 · I cinque atti della Ostpolitik.</w:t>
      </w:r>
      <w:r>
        <w:rPr>
          <w:rFonts w:ascii="Barlow Semi Condensed" w:cs="Barlow Semi Condensed" w:eastAsia="Barlow Semi Condensed" w:hAnsi="Barlow Semi Condensed"/>
          <w:sz w:val="24"/>
          <w:szCs w:val="24"/>
        </w:rPr>
        <w:t xml:space="preserve"> Trattato di Mosca del 12 agosto 1970, Trattato di Varsavia del 7 dicembre 1970, Accordo quadripartito su Berlino del 3 settembre 1971, Trattato fondamentale fra le due Germanie del 21 dicembre 1972, ingresso di entrambe alle Nazioni Unite il 18 settembre 1973: la cornice coincide col doppio mandato di Moro. La coincidenza è cronologica, ed è il punto di partenza del quesito e non la sua risposta.</w:t>
      </w:r>
    </w:p>
    <w:p>
      <w:pPr>
        <w:spacing w:after="120" w:line="276"/>
        <w:jc w:val="both"/>
      </w:pPr>
      <w:r>
        <w:rPr>
          <w:rFonts w:ascii="Barlow Semi Condensed" w:cs="Barlow Semi Condensed" w:eastAsia="Barlow Semi Condensed" w:hAnsi="Barlow Semi Condensed"/>
          <w:b/>
          <w:bCs/>
          <w:sz w:val="24"/>
          <w:szCs w:val="24"/>
        </w:rPr>
        <w:t xml:space="preserve">362 · La posizione italiana sui cinque atti.</w:t>
      </w:r>
      <w:r>
        <w:rPr>
          <w:rFonts w:ascii="Barlow Semi Condensed" w:cs="Barlow Semi Condensed" w:eastAsia="Barlow Semi Condensed" w:hAnsi="Barlow Semi Condensed"/>
          <w:sz w:val="24"/>
          <w:szCs w:val="24"/>
        </w:rPr>
        <w:t xml:space="preserve"> La posizione puntuale del governo italiano su ciascuno dei cinque atti non è documentata dalle fonti secondarie reperite ed è dichiarata Stato Zero. Le sedi di chiusura sono due e note: la serie Germania 1969-1975 dell'Archivio storico-diplomatico, con l'esclusione temporanea dei Telegrammi 1942-1970, e i volumi annuali degli «Akten zur Auswärtigen Politik», che i cantieri fissano già ai blocchi 81, 82, 83 e 117.</w:t>
      </w:r>
    </w:p>
    <w:p>
      <w:pPr>
        <w:spacing w:after="120" w:line="276"/>
        <w:jc w:val="both"/>
      </w:pPr>
      <w:r>
        <w:rPr>
          <w:rFonts w:ascii="Barlow Semi Condensed" w:cs="Barlow Semi Condensed" w:eastAsia="Barlow Semi Condensed" w:hAnsi="Barlow Semi Condensed"/>
          <w:b/>
          <w:bCs/>
          <w:sz w:val="24"/>
          <w:szCs w:val="24"/>
        </w:rPr>
        <w:t xml:space="preserve">363 · Il rendimento cronologico dei cantieri tedeschi.</w:t>
      </w:r>
      <w:r>
        <w:rPr>
          <w:rFonts w:ascii="Barlow Semi Condensed" w:cs="Barlow Semi Condensed" w:eastAsia="Barlow Semi Condensed" w:hAnsi="Barlow Semi Condensed"/>
          <w:sz w:val="24"/>
          <w:szCs w:val="24"/>
        </w:rPr>
        <w:t xml:space="preserve"> Il cantiere tedesco dei nove cantieri è costruito per il 1977 e il 1978, con l'archivio politico dell'Auswärtiges Amt al blocco 81, l'edizione degli AAPD al blocco 82 e la regola di chiedere il fascicolo integrale oltre l'edito al blocco 83. La serie V non aggiunge una procedura ma ne estende l'applicazione alle annate 1969-1974: il rendimento è cronologico, e va contabilizzato come tale.</w:t>
      </w:r>
    </w:p>
    <w:p>
      <w:pPr>
        <w:spacing w:after="120" w:line="276"/>
        <w:jc w:val="both"/>
      </w:pPr>
      <w:r>
        <w:rPr>
          <w:rFonts w:ascii="Barlow Semi Condensed" w:cs="Barlow Semi Condensed" w:eastAsia="Barlow Semi Condensed" w:hAnsi="Barlow Semi Condensed"/>
          <w:b/>
          <w:bCs/>
          <w:sz w:val="24"/>
          <w:szCs w:val="24"/>
        </w:rPr>
        <w:t xml:space="preserve">364 · Il bilaterale documentato e quelli inferiti.</w:t>
      </w:r>
      <w:r>
        <w:rPr>
          <w:rFonts w:ascii="Barlow Semi Condensed" w:cs="Barlow Semi Condensed" w:eastAsia="Barlow Semi Condensed" w:hAnsi="Barlow Semi Condensed"/>
          <w:sz w:val="24"/>
          <w:szCs w:val="24"/>
        </w:rPr>
        <w:t xml:space="preserve"> È documentato il bilaterale fra Moro e Brandt del 31 agosto e primo settembre 1969 a Roma, quando entrambi erano ministri degli Esteri, mentre le visite di Brandt a Roma del luglio e del novembre 1970 non nominano Moro nelle fonti ufficiali benché fosse ministro in carica. La sua presenza è altamente probabile e non documentata: la distinzione fra documentato e inferito si mantiene, e la conferma si cerca negli AAPD.</w:t>
      </w:r>
    </w:p>
    <w:p>
      <w:pPr>
        <w:spacing w:after="120" w:line="276"/>
        <w:jc w:val="both"/>
      </w:pPr>
      <w:r>
        <w:rPr>
          <w:rFonts w:ascii="Barlow Semi Condensed" w:cs="Barlow Semi Condensed" w:eastAsia="Barlow Semi Condensed" w:hAnsi="Barlow Semi Condensed"/>
          <w:b/>
          <w:bCs/>
          <w:sz w:val="24"/>
          <w:szCs w:val="24"/>
        </w:rPr>
        <w:t xml:space="preserve">365 · Il filmato d'ambasciata come fonte.</w:t>
      </w:r>
      <w:r>
        <w:rPr>
          <w:rFonts w:ascii="Barlow Semi Condensed" w:cs="Barlow Semi Condensed" w:eastAsia="Barlow Semi Condensed" w:hAnsi="Barlow Semi Condensed"/>
          <w:sz w:val="24"/>
          <w:szCs w:val="24"/>
        </w:rPr>
        <w:t xml:space="preserve"> Un documentario tratto dai filmati amatoriali dell'ambasciatore italiano a Bonn mostra nel 1971, a Bad Godesberg, il presidente del Consiglio e il ministro degli Esteri italiani in un ricevimento cui presero parte anche esponenti tedeschi di primo piano, ma la datazione è etichetta d'archivista e va corroborata. È fonte primaria derivata: attesta una presenza e non un contenuto di colloquio.</w:t>
      </w:r>
    </w:p>
    <w:p>
      <w:pPr>
        <w:spacing w:after="120" w:line="276"/>
        <w:jc w:val="both"/>
      </w:pPr>
      <w:r>
        <w:rPr>
          <w:rFonts w:ascii="Barlow Semi Condensed" w:cs="Barlow Semi Condensed" w:eastAsia="Barlow Semi Condensed" w:hAnsi="Barlow Semi Condensed"/>
          <w:b/>
          <w:bCs/>
          <w:sz w:val="24"/>
          <w:szCs w:val="24"/>
        </w:rPr>
        <w:t xml:space="preserve">366 · Il riconoscimento della RDT sta fuori.</w:t>
      </w:r>
      <w:r>
        <w:rPr>
          <w:rFonts w:ascii="Barlow Semi Condensed" w:cs="Barlow Semi Condensed" w:eastAsia="Barlow Semi Condensed" w:hAnsi="Barlow Semi Condensed"/>
          <w:sz w:val="24"/>
          <w:szCs w:val="24"/>
        </w:rPr>
        <w:t xml:space="preserve"> Il riconoscimento italiano della Repubblica Democratica Tedesca cade fra i due mandati di Moro, con la Farnesina retta da Giuseppe Medici, e la data diverge fra le fonti, 17 gennaio 1973 nelle italiane e 18 gennaio in fonte istituzionale tedesca: la divergenza si riporta. Attribuire a Moro quell'atto è errore cronologico, del genere che il manuale investigativo previene al blocco 14.</w:t>
      </w:r>
    </w:p>
    <w:p>
      <w:pPr>
        <w:spacing w:after="120" w:line="276"/>
        <w:jc w:val="both"/>
      </w:pPr>
      <w:r>
        <w:rPr>
          <w:rFonts w:ascii="Barlow Semi Condensed" w:cs="Barlow Semi Condensed" w:eastAsia="Barlow Semi Condensed" w:hAnsi="Barlow Semi Condensed"/>
          <w:b/>
          <w:bCs/>
          <w:sz w:val="24"/>
          <w:szCs w:val="24"/>
        </w:rPr>
        <w:t xml:space="preserve">367 · La sequenza Oder-Neisse, misurata bene.</w:t>
      </w:r>
      <w:r>
        <w:rPr>
          <w:rFonts w:ascii="Barlow Semi Condensed" w:cs="Barlow Semi Condensed" w:eastAsia="Barlow Semi Condensed" w:hAnsi="Barlow Semi Condensed"/>
          <w:sz w:val="24"/>
          <w:szCs w:val="24"/>
        </w:rPr>
        <w:t xml:space="preserve"> Firma del Trattato di Varsavia il 7 dicembre 1970, leggi di autorizzazione alla ratifica approvate dal Bundestag il 17 maggio 1972 e dal Bundesrat il 19, entrata in vigore con lo scambio degli strumenti il 3 giugno 1972, costituzioni apostoliche del 28 giugno, venticinque giorni dopo. Il divario si conta dall'entrata in vigore e non da un atto di ratifica parlamentare che in quella forma non esiste.</w:t>
      </w:r>
    </w:p>
    <w:p>
      <w:pPr>
        <w:spacing w:after="120" w:line="276"/>
        <w:jc w:val="both"/>
      </w:pPr>
      <w:r>
        <w:rPr>
          <w:rFonts w:ascii="Barlow Semi Condensed" w:cs="Barlow Semi Condensed" w:eastAsia="Barlow Semi Condensed" w:hAnsi="Barlow Semi Condensed"/>
          <w:b/>
          <w:bCs/>
          <w:sz w:val="24"/>
          <w:szCs w:val="24"/>
        </w:rPr>
        <w:t xml:space="preserve">368 · Il nesso attestato e il testo che tace.</w:t>
      </w:r>
      <w:r>
        <w:rPr>
          <w:rFonts w:ascii="Barlow Semi Condensed" w:cs="Barlow Semi Condensed" w:eastAsia="Barlow Semi Condensed" w:hAnsi="Barlow Semi Condensed"/>
          <w:sz w:val="24"/>
          <w:szCs w:val="24"/>
        </w:rPr>
        <w:t xml:space="preserve"> Il nesso fra la sequenza dei trattati e gli atti pontifici non è dedotto dalla prossimità delle date ma attestato dalla comunicazione vaticana di accompagnamento e dalla storiografia, mentre il testo canonico tace la ragione politica e adduce soltanto quella pastorale. La distinzione va conservata in ogni ripresa, perché un atto può avere una causa documentata e una motivazione dichiarata diversa, e le due non si sovrappongono.</w:t>
      </w:r>
    </w:p>
    <w:p>
      <w:pPr>
        <w:spacing w:after="120" w:line="276"/>
        <w:jc w:val="both"/>
      </w:pPr>
      <w:r>
        <w:rPr>
          <w:rFonts w:ascii="Barlow Semi Condensed" w:cs="Barlow Semi Condensed" w:eastAsia="Barlow Semi Condensed" w:hAnsi="Barlow Semi Condensed"/>
          <w:b/>
          <w:bCs/>
          <w:sz w:val="24"/>
          <w:szCs w:val="24"/>
        </w:rPr>
        <w:t xml:space="preserve">369 · La soluzione differenziata per la RDT.</w:t>
      </w:r>
      <w:r>
        <w:rPr>
          <w:rFonts w:ascii="Barlow Semi Condensed" w:cs="Barlow Semi Condensed" w:eastAsia="Barlow Semi Condensed" w:hAnsi="Barlow Semi Condensed"/>
          <w:sz w:val="24"/>
          <w:szCs w:val="24"/>
        </w:rPr>
        <w:t xml:space="preserve"> Il 23 luglio 1973 furono nominati amministratori apostolici permanentemente costituiti per tre sedi della Repubblica Democratica, con sospensione e non soppressione della giurisdizione dei vescovi occidentali e senza erezione di diocesi permanenti, perché la questione dell'unità restava aperta; la circoscrizione definitiva arrivò solo nel 1994. È espressione differenziale in forma pura: stesso soggetto, due ambienti, due esiti giuridici distinti.</w:t>
      </w:r>
    </w:p>
    <w:p>
      <w:pPr>
        <w:spacing w:after="120" w:line="276"/>
        <w:jc w:val="both"/>
      </w:pPr>
      <w:r>
        <w:rPr>
          <w:rFonts w:ascii="Barlow Semi Condensed" w:cs="Barlow Semi Condensed" w:eastAsia="Barlow Semi Condensed" w:hAnsi="Barlow Semi Condensed"/>
          <w:b/>
          <w:bCs/>
          <w:sz w:val="24"/>
          <w:szCs w:val="24"/>
        </w:rPr>
        <w:t xml:space="preserve">370 · Spagna, il documento e i suoi ministri.</w:t>
      </w:r>
      <w:r>
        <w:rPr>
          <w:rFonts w:ascii="Barlow Semi Condensed" w:cs="Barlow Semi Condensed" w:eastAsia="Barlow Semi Condensed" w:hAnsi="Barlow Semi Condensed"/>
          <w:sz w:val="24"/>
          <w:szCs w:val="24"/>
        </w:rPr>
        <w:t xml:space="preserve"> Il rapporto speciale statunitense del 22 maggio 1970 sulle politiche del nuovo gabinetto spagnolo, reperito col protocollo indicato nella sala di lettura dell'agenzia, attesta la prevalenza di tecnici legati all'ente confessionale nel rimpasto dell'ottobre 1969, con almeno dieci ministri su diciannove rientranti nella descrizione. L'appartenenza dei singoli è fatto pubblico documentato e non è prova di una condotta dell'ente: la regola non dipende dalla verifica, la precede.</w:t>
      </w:r>
    </w:p>
    <w:p>
      <w:pPr>
        <w:spacing w:after="120" w:line="276"/>
        <w:jc w:val="both"/>
      </w:pPr>
      <w:r>
        <w:rPr>
          <w:rFonts w:ascii="Barlow Semi Condensed" w:cs="Barlow Semi Condensed" w:eastAsia="Barlow Semi Condensed" w:hAnsi="Barlow Semi Condensed"/>
          <w:b/>
          <w:bCs/>
          <w:sz w:val="24"/>
          <w:szCs w:val="24"/>
        </w:rPr>
        <w:t xml:space="preserve">371 · La frase che non nomina nessuno.</w:t>
      </w:r>
      <w:r>
        <w:rPr>
          <w:rFonts w:ascii="Barlow Semi Condensed" w:cs="Barlow Semi Condensed" w:eastAsia="Barlow Semi Condensed" w:hAnsi="Barlow Semi Condensed"/>
          <w:sz w:val="24"/>
          <w:szCs w:val="24"/>
        </w:rPr>
        <w:t xml:space="preserve"> Il medesimo documento contiene la frase secondo cui un funzionario italiano avrebbe già detto che il suo Paese non sarebbe stato interessato al progetto franco-spagnolo di patto mediterraneo, ma il documento non fa nomi e il termine impiegato è indeterminato. Ogni identificazione con Moro è inferenza non sostenuta: è il punto epistemologicamente più delicato della cartella e si acquisisce solo come frase anonima di un documento autentico.</w:t>
      </w:r>
    </w:p>
    <w:p>
      <w:pPr>
        <w:spacing w:after="120" w:line="276"/>
        <w:jc w:val="both"/>
      </w:pPr>
      <w:r>
        <w:rPr>
          <w:rFonts w:ascii="Barlow Semi Condensed" w:cs="Barlow Semi Condensed" w:eastAsia="Barlow Semi Condensed" w:hAnsi="Barlow Semi Condensed"/>
          <w:b/>
          <w:bCs/>
          <w:sz w:val="24"/>
          <w:szCs w:val="24"/>
        </w:rPr>
        <w:t xml:space="preserve">372 · Lo Stato Zero del contatto diretto.</w:t>
      </w:r>
      <w:r>
        <w:rPr>
          <w:rFonts w:ascii="Barlow Semi Condensed" w:cs="Barlow Semi Condensed" w:eastAsia="Barlow Semi Condensed" w:hAnsi="Barlow Semi Condensed"/>
          <w:sz w:val="24"/>
          <w:szCs w:val="24"/>
        </w:rPr>
        <w:t xml:space="preserve"> Non è stabilito alcun contatto diretto fra Moro e i ministri degli Esteri spagnoli del periodo, e lo Stato Zero è condiviso da più ricognizioni con le stesse sedi di chiusura. Sono l'Archivio storico-diplomatico della Farnesina e l'Archivo General de la Administración di Alcalá de Henares, dove sono confluiti i fondi ministeriali spagnoli, col limite di consultabilità che la storiografia segnala e che va messo a bilancio.</w:t>
      </w:r>
    </w:p>
    <w:p>
      <w:pPr>
        <w:spacing w:after="120" w:line="276"/>
        <w:jc w:val="both"/>
      </w:pPr>
      <w:r>
        <w:rPr>
          <w:rFonts w:ascii="Barlow Semi Condensed" w:cs="Barlow Semi Condensed" w:eastAsia="Barlow Semi Condensed" w:hAnsi="Barlow Semi Condensed"/>
          <w:b/>
          <w:bCs/>
          <w:sz w:val="24"/>
          <w:szCs w:val="24"/>
        </w:rPr>
        <w:t xml:space="preserve">373 · L'accordo comunitario del 1970.</w:t>
      </w:r>
      <w:r>
        <w:rPr>
          <w:rFonts w:ascii="Barlow Semi Condensed" w:cs="Barlow Semi Condensed" w:eastAsia="Barlow Semi Condensed" w:hAnsi="Barlow Semi Condensed"/>
          <w:sz w:val="24"/>
          <w:szCs w:val="24"/>
        </w:rPr>
        <w:t xml:space="preserve"> L'accordo preferenziale fra Comunità e Spagna del 29 giugno 1970 è confermato su fonte primaria, con la precisazione che il firmatario belga sottoscrisse in qualità di presidente di turno del Consiglio. La precisazione colloca correttamente, per contrasto, la firma turca apposta da Moro il 27 luglio 1971: due atti della stessa natura, due presidenze di turno diverse, nessuna paternità politica nazionale da inferire dall'una o dall'altra.</w:t>
      </w:r>
    </w:p>
    <w:p>
      <w:pPr>
        <w:spacing w:after="120" w:line="276"/>
        <w:jc w:val="both"/>
      </w:pPr>
      <w:r>
        <w:rPr>
          <w:rFonts w:ascii="Barlow Semi Condensed" w:cs="Barlow Semi Condensed" w:eastAsia="Barlow Semi Condensed" w:hAnsi="Barlow Semi Condensed"/>
          <w:b/>
          <w:bCs/>
          <w:sz w:val="24"/>
          <w:szCs w:val="24"/>
        </w:rPr>
        <w:t xml:space="preserve">374 · Il 27 settembre 1975 e i richiami.</w:t>
      </w:r>
      <w:r>
        <w:rPr>
          <w:rFonts w:ascii="Barlow Semi Condensed" w:cs="Barlow Semi Condensed" w:eastAsia="Barlow Semi Condensed" w:hAnsi="Barlow Semi Condensed"/>
          <w:sz w:val="24"/>
          <w:szCs w:val="24"/>
        </w:rPr>
        <w:t xml:space="preserve"> Le cinque esecuzioni del 27 settembre 1975, ultime del regime e anteriori di meno di due mesi alla morte di Franco, furono pronunciate da consigli di guerra sommari sotto un decreto-legge dell'agosto 1975, con procedure la cui denuncia fu allora e resta oggetto di rilievo. Il dato di statuto va riportato ogni volta che si riprende l'episodio dei richiami di ambasciatori, perché spiega la reazione europea meglio di qualunque ricostruzione d'intenzione.</w:t>
      </w:r>
    </w:p>
    <w:p>
      <w:pPr>
        <w:spacing w:after="120" w:line="276"/>
        <w:jc w:val="both"/>
      </w:pPr>
      <w:r>
        <w:rPr>
          <w:rFonts w:ascii="Barlow Semi Condensed" w:cs="Barlow Semi Condensed" w:eastAsia="Barlow Semi Condensed" w:hAnsi="Barlow Semi Condensed"/>
          <w:b/>
          <w:bCs/>
          <w:sz w:val="24"/>
          <w:szCs w:val="24"/>
        </w:rPr>
        <w:t xml:space="preserve">375 · L'anacronismo da correggere.</w:t>
      </w:r>
      <w:r>
        <w:rPr>
          <w:rFonts w:ascii="Barlow Semi Condensed" w:cs="Barlow Semi Condensed" w:eastAsia="Barlow Semi Condensed" w:hAnsi="Barlow Semi Condensed"/>
          <w:sz w:val="24"/>
          <w:szCs w:val="24"/>
        </w:rPr>
        <w:t xml:space="preserve"> La domanda sulla reazione della Spagna franchista al sequestro Moro del 1978 è mal posta, perché Franco morì il 20 novembre 1975 e nel 1978 la Spagna era in piena Transizione democratica, e il corpus registrava l'esito negativo senza rilevare l'anacronismo. La premessa va riformulata prima di cercare, altrimenti la ricerca produce un vuoto che è artefatto della domanda e non proprietà del mondo.</w:t>
      </w:r>
    </w:p>
    <w:p>
      <w:pPr>
        <w:spacing w:after="120" w:line="276"/>
        <w:jc w:val="both"/>
      </w:pPr>
      <w:r>
        <w:rPr>
          <w:rFonts w:ascii="Barlow Semi Condensed" w:cs="Barlow Semi Condensed" w:eastAsia="Barlow Semi Condensed" w:hAnsi="Barlow Semi Condensed"/>
          <w:b/>
          <w:bCs/>
          <w:sz w:val="24"/>
          <w:szCs w:val="24"/>
        </w:rPr>
        <w:t xml:space="preserve">376 · Il canale vaticano spagnolo, con riserva.</w:t>
      </w:r>
      <w:r>
        <w:rPr>
          <w:rFonts w:ascii="Barlow Semi Condensed" w:cs="Barlow Semi Condensed" w:eastAsia="Barlow Semi Condensed" w:hAnsi="Barlow Semi Condensed"/>
          <w:sz w:val="24"/>
          <w:szCs w:val="24"/>
        </w:rPr>
        <w:t xml:space="preserve"> L'udienza del 12 gennaio 1973 fra il ministro degli Esteri spagnolo e Paolo VI, con risposta pontificia giunta oltre sei mesi dopo, è confermata quanto alla data ma poggia su una conferenza edita e sulle ricostruzioni che ne derivano, non su un documento primario consultabile. La riserva si dichiara, tanto più che l'Archivio Apostolico Vaticano è consultabile solo fino all'ottobre 1958 e la verifica primaria resta preclusa allo stato.</w:t>
      </w:r>
    </w:p>
    <w:p>
      <w:pPr>
        <w:spacing w:after="120" w:line="276"/>
        <w:jc w:val="both"/>
      </w:pPr>
      <w:r>
        <w:rPr>
          <w:rFonts w:ascii="Barlow Semi Condensed" w:cs="Barlow Semi Condensed" w:eastAsia="Barlow Semi Condensed" w:hAnsi="Barlow Semi Condensed"/>
          <w:b/>
          <w:bCs/>
          <w:sz w:val="24"/>
          <w:szCs w:val="24"/>
        </w:rPr>
        <w:t xml:space="preserve">377 · Che cosa la Spagna non stabilisce.</w:t>
      </w:r>
      <w:r>
        <w:rPr>
          <w:rFonts w:ascii="Barlow Semi Condensed" w:cs="Barlow Semi Condensed" w:eastAsia="Barlow Semi Condensed" w:hAnsi="Barlow Semi Condensed"/>
          <w:sz w:val="24"/>
          <w:szCs w:val="24"/>
        </w:rPr>
        <w:t xml:space="preserve"> Non è stabilito che la comunanza di ambiente cattolico fra Roma politica, Roma pontificia e i ministri di Madrid sia mai divenuta condotta coordinata, e non è stabilito che il silenzio del vertice governativo italiano su questi dossier fosse inerzia deliberata. Allo stato è assenza di fonti, e l'assenza di fonti si colma in archivio e non per inferenza: sono due divieti, e valgono identici per tutti i teatri.</w:t>
      </w:r>
    </w:p>
    <w:p>
      <w:pPr>
        <w:spacing w:after="120" w:line="276"/>
        <w:jc w:val="both"/>
      </w:pPr>
      <w:r>
        <w:rPr>
          <w:rFonts w:ascii="Barlow Semi Condensed" w:cs="Barlow Semi Condensed" w:eastAsia="Barlow Semi Condensed" w:hAnsi="Barlow Semi Condensed"/>
          <w:b/>
          <w:bCs/>
          <w:sz w:val="24"/>
          <w:szCs w:val="24"/>
        </w:rPr>
        <w:t xml:space="preserve">378 · Il Mediterraneo come tessuto, non teatro.</w:t>
      </w:r>
      <w:r>
        <w:rPr>
          <w:rFonts w:ascii="Barlow Semi Condensed" w:cs="Barlow Semi Condensed" w:eastAsia="Barlow Semi Condensed" w:hAnsi="Barlow Semi Condensed"/>
          <w:sz w:val="24"/>
          <w:szCs w:val="24"/>
        </w:rPr>
        <w:t xml:space="preserve"> Il Mediterraneo non è un settimo teatro accanto agli altri sei ma il tessuto in cui quattro di essi sono immersi, e trattarlo come attore produce esattamente l'errore che questa serie combatte, cioè la costruzione di un soggetto unico a partire da somiglianze fra ambienti. Si tratta perciò come cornice geografica documentabile e come insieme di dossier distinti, ciascuno col proprio grado dichiarato.</w:t>
      </w:r>
    </w:p>
    <w:p>
      <w:pPr>
        <w:spacing w:after="120" w:line="276"/>
        <w:jc w:val="both"/>
      </w:pPr>
      <w:r>
        <w:rPr>
          <w:rFonts w:ascii="Barlow Semi Condensed" w:cs="Barlow Semi Condensed" w:eastAsia="Barlow Semi Condensed" w:hAnsi="Barlow Semi Condensed"/>
          <w:b/>
          <w:bCs/>
          <w:sz w:val="24"/>
          <w:szCs w:val="24"/>
        </w:rPr>
        <w:t xml:space="preserve">379 · La colonna che i cantieri non hanno.</w:t>
      </w:r>
      <w:r>
        <w:rPr>
          <w:rFonts w:ascii="Barlow Semi Condensed" w:cs="Barlow Semi Condensed" w:eastAsia="Barlow Semi Condensed" w:hAnsi="Barlow Semi Condensed"/>
          <w:sz w:val="24"/>
          <w:szCs w:val="24"/>
        </w:rPr>
        <w:t xml:space="preserve"> I nove cantieri hanno tre colonne estere — britannica, francese, tedesca, con Berna e Vienna in appendice — e nessuna colonna mediterranea o araba, mentre la stringa «lodo Moro» non compare in alcuno dei tre documenti maggiori del corpus. È un buco strutturale misurato, e la sua diagnosi precede l'interpretazione: dice che le fonti che trattano quel versante non sono ancora state spogliate.</w:t>
      </w:r>
    </w:p>
    <w:p>
      <w:pPr>
        <w:spacing w:after="120" w:line="276"/>
        <w:jc w:val="both"/>
      </w:pPr>
      <w:r>
        <w:rPr>
          <w:rFonts w:ascii="Barlow Semi Condensed" w:cs="Barlow Semi Condensed" w:eastAsia="Barlow Semi Condensed" w:hAnsi="Barlow Semi Condensed"/>
          <w:b/>
          <w:bCs/>
          <w:sz w:val="24"/>
          <w:szCs w:val="24"/>
        </w:rPr>
        <w:t xml:space="preserve">380 · Il secondo tempo della regola dei buchi.</w:t>
      </w:r>
      <w:r>
        <w:rPr>
          <w:rFonts w:ascii="Barlow Semi Condensed" w:cs="Barlow Semi Condensed" w:eastAsia="Barlow Semi Condensed" w:hAnsi="Barlow Semi Condensed"/>
          <w:sz w:val="24"/>
          <w:szCs w:val="24"/>
        </w:rPr>
        <w:t xml:space="preserve"> La regola dei buchi ha ora due tempi: prima si misura il vuoto e lo si dichiara, poi se ne diagnostica la causa nella specializzazione delle fonti, e solo dopo si è autorizzati a interrogarlo sulla struttura del mondo. Un basso rapporto di associazione fra due domini non è indizio di assenza di rapporti ma indizio che nessuno ha ancora scritto un documento che li tratti insieme.</w:t>
      </w:r>
    </w:p>
    <w:p>
      <w:pPr>
        <w:spacing w:after="120" w:line="276"/>
        <w:jc w:val="both"/>
      </w:pPr>
      <w:r>
        <w:rPr>
          <w:rFonts w:ascii="Barlow Semi Condensed" w:cs="Barlow Semi Condensed" w:eastAsia="Barlow Semi Condensed" w:hAnsi="Barlow Semi Condensed"/>
          <w:b/>
          <w:bCs/>
          <w:sz w:val="24"/>
          <w:szCs w:val="24"/>
        </w:rPr>
        <w:t xml:space="preserve">381 · Il Kippur del 1973 come antecedente.</w:t>
      </w:r>
      <w:r>
        <w:rPr>
          <w:rFonts w:ascii="Barlow Semi Condensed" w:cs="Barlow Semi Condensed" w:eastAsia="Barlow Semi Condensed" w:hAnsi="Barlow Semi Condensed"/>
          <w:sz w:val="24"/>
          <w:szCs w:val="24"/>
        </w:rPr>
        <w:t xml:space="preserve"> In un'audizione parlamentare del 2 dicembre 2014 si è ricordato che nel 1973 Moro rifiutò l'utilizzo delle basi dell'Alleanza in Italia a sostegno di Israele, sostenendo che quel conflitto esorbitasse dall'area coperta dal patto: è testimonianza resa in sede parlamentare e va qualificata come tale. Dà al quesito atlantico del corpus, che i cantieri hanno solo per il 1978 ai blocchi 24 e 98, il suo antecedente datato.</w:t>
      </w:r>
    </w:p>
    <w:p>
      <w:pPr>
        <w:spacing w:after="120" w:line="276"/>
        <w:jc w:val="both"/>
      </w:pPr>
      <w:r>
        <w:rPr>
          <w:rFonts w:ascii="Barlow Semi Condensed" w:cs="Barlow Semi Condensed" w:eastAsia="Barlow Semi Condensed" w:hAnsi="Barlow Semi Condensed"/>
          <w:b/>
          <w:bCs/>
          <w:sz w:val="24"/>
          <w:szCs w:val="24"/>
        </w:rPr>
        <w:t xml:space="preserve">382 · Il versante libico e le sue divergenze.</w:t>
      </w:r>
      <w:r>
        <w:rPr>
          <w:rFonts w:ascii="Barlow Semi Condensed" w:cs="Barlow Semi Condensed" w:eastAsia="Barlow Semi Condensed" w:hAnsi="Barlow Semi Condensed"/>
          <w:sz w:val="24"/>
          <w:szCs w:val="24"/>
        </w:rPr>
        <w:t xml:space="preserve"> La confisca dei beni italiani del 21 luglio 1970, l'ultimatum del 7 ottobre e il traghettamento di oltre diciassettemila persone concluso il 15 ottobre 1970 sono acquisiti dal corpus, mentre il valore dei beni confiscati diverge realmente fra duecento miliardi di lire dell'epoca, circa quattrocento e una stima rivalutata in euro non omogenea alle prime due. Le tre cifre si riportano ciascuna con la propria provenienza.</w:t>
      </w:r>
    </w:p>
    <w:p>
      <w:pPr>
        <w:spacing w:after="120" w:line="276"/>
        <w:jc w:val="both"/>
      </w:pPr>
      <w:r>
        <w:rPr>
          <w:rFonts w:ascii="Barlow Semi Condensed" w:cs="Barlow Semi Condensed" w:eastAsia="Barlow Semi Condensed" w:hAnsi="Barlow Semi Condensed"/>
          <w:b/>
          <w:bCs/>
          <w:sz w:val="24"/>
          <w:szCs w:val="24"/>
        </w:rPr>
        <w:t xml:space="preserve">383 · Osimo, e il canale fuori dalla Farnesina.</w:t>
      </w:r>
      <w:r>
        <w:rPr>
          <w:rFonts w:ascii="Barlow Semi Condensed" w:cs="Barlow Semi Condensed" w:eastAsia="Barlow Semi Condensed" w:hAnsi="Barlow Semi Condensed"/>
          <w:sz w:val="24"/>
          <w:szCs w:val="24"/>
        </w:rPr>
        <w:t xml:space="preserve"> I negoziati riservati di Osimo si svolsero fra luglio e novembre 1974, nella fase finale del ministero, attraverso un canale esterno alla Farnesina, e furono il primo accordo internazionale i cui negoziati per l'Italia non vennero curati dal ministero degli Esteri. La maturazione strategica in fase Moro va tenuta distinta dalla paternità politica, perché firma e titolarità formale, nel novembre 1975, spettarono ad altri.</w:t>
      </w:r>
    </w:p>
    <w:p>
      <w:pPr>
        <w:spacing w:after="120" w:line="276"/>
        <w:jc w:val="both"/>
      </w:pPr>
      <w:r>
        <w:rPr>
          <w:rFonts w:ascii="Barlow Semi Condensed" w:cs="Barlow Semi Condensed" w:eastAsia="Barlow Semi Condensed" w:hAnsi="Barlow Semi Condensed"/>
          <w:b/>
          <w:bCs/>
          <w:sz w:val="24"/>
          <w:szCs w:val="24"/>
        </w:rPr>
        <w:t xml:space="preserve">384 · La firma di Helsinki e la sua contesa.</w:t>
      </w:r>
      <w:r>
        <w:rPr>
          <w:rFonts w:ascii="Barlow Semi Condensed" w:cs="Barlow Semi Condensed" w:eastAsia="Barlow Semi Condensed" w:hAnsi="Barlow Semi Condensed"/>
          <w:sz w:val="24"/>
          <w:szCs w:val="24"/>
        </w:rPr>
        <w:t xml:space="preserve"> Il primo agosto 1975 Moro sottoscrisse l'Atto finale nella duplice qualità di presidente del Consiglio dei ministri e di presidente di turno della Comunità europea, e il committente riferisce come fatto pubblico l'insofferenza di Kissinger verso quel coinvolgimento comunitario nella firma. Il blocco la registra come tale e ne chiede il primario, indicando la sede: la documentazione FRUS del volume XXXIX e 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385 · La tavola comparativa, e i suoi limiti.</w:t>
      </w:r>
      <w:r>
        <w:rPr>
          <w:rFonts w:ascii="Barlow Semi Condensed" w:cs="Barlow Semi Condensed" w:eastAsia="Barlow Semi Condensed" w:hAnsi="Barlow Semi Condensed"/>
          <w:sz w:val="24"/>
          <w:szCs w:val="24"/>
        </w:rPr>
        <w:t xml:space="preserve"> Messi in colonna i sette ambienti, la tavola mostra un piano 1 denso per la Turchia comunitaria e per la Grecia del 1969 e del 1974, un piano 1 quasi vuoto per Portogallo e Spagna, un piano 1 tedesco documentato ma privo della posizione italiana, e un piano 2 diffuso ovunque. È una mappa della documentazione disponibile, e non è né diventa una mappa di intenzioni.</w:t>
      </w:r>
    </w:p>
    <w:p>
      <w:pPr>
        <w:spacing w:after="120" w:line="276"/>
        <w:jc w:val="both"/>
      </w:pPr>
      <w:r>
        <w:rPr>
          <w:rFonts w:ascii="Barlow Semi Condensed" w:cs="Barlow Semi Condensed" w:eastAsia="Barlow Semi Condensed" w:hAnsi="Barlow Semi Condensed"/>
          <w:b/>
          <w:bCs/>
          <w:sz w:val="24"/>
          <w:szCs w:val="24"/>
        </w:rPr>
        <w:t xml:space="preserve">386 · Il divieto centrale della serie.</w:t>
      </w:r>
      <w:r>
        <w:rPr>
          <w:rFonts w:ascii="Barlow Semi Condensed" w:cs="Barlow Semi Condensed" w:eastAsia="Barlow Semi Condensed" w:hAnsi="Barlow Semi Condensed"/>
          <w:sz w:val="24"/>
          <w:szCs w:val="24"/>
        </w:rPr>
        <w:t xml:space="preserve"> Che sei ambienti mostrino esiti simili non prova un solo regista, come sei fenotipi simili non provano un solo gene, perché la somiglianza fra due espressioni si spiega altrettanto bene con una pressione ambientale comune — la stessa guerra fredda, la stessa alleanza, la stessa crisi energetica — quanto con una regia. Per scegliere fra le due spiegazioni serve un documento al piano 1, e in nessun teatro qui comparato esiste.</w:t>
      </w:r>
    </w:p>
    <w:p>
      <w:pPr>
        <w:spacing w:after="120" w:line="276"/>
        <w:jc w:val="both"/>
      </w:pPr>
      <w:r>
        <w:rPr>
          <w:rFonts w:ascii="Barlow Semi Condensed" w:cs="Barlow Semi Condensed" w:eastAsia="Barlow Semi Condensed" w:hAnsi="Barlow Semi Condensed"/>
          <w:b/>
          <w:bCs/>
          <w:sz w:val="24"/>
          <w:szCs w:val="24"/>
        </w:rPr>
        <w:t xml:space="preserve">387 · La consilienza e il suo guardrail.</w:t>
      </w:r>
      <w:r>
        <w:rPr>
          <w:rFonts w:ascii="Barlow Semi Condensed" w:cs="Barlow Semi Condensed" w:eastAsia="Barlow Semi Condensed" w:hAnsi="Barlow Semi Condensed"/>
          <w:sz w:val="24"/>
          <w:szCs w:val="24"/>
        </w:rPr>
        <w:t xml:space="preserve"> Linee di evidenza indipendenti che convergono si rafforzano, ma la convergenza rafforza solo fra linee davvero indipendenti e mai oltre il grado della linea più debole. Applicata alla comparazione fra teatri, la regola dice che sei convergenze di piano 2 non fanno un piano 1 ma sei convergenze di piano 2: la consilienza è una stretta di mano fra prove, non una piramide di suggestioni.</w:t>
      </w:r>
    </w:p>
    <w:p>
      <w:pPr>
        <w:spacing w:after="120" w:line="276"/>
        <w:jc w:val="both"/>
      </w:pPr>
      <w:r>
        <w:rPr>
          <w:rFonts w:ascii="Barlow Semi Condensed" w:cs="Barlow Semi Condensed" w:eastAsia="Barlow Semi Condensed" w:hAnsi="Barlow Semi Condensed"/>
          <w:b/>
          <w:bCs/>
          <w:sz w:val="24"/>
          <w:szCs w:val="24"/>
        </w:rPr>
        <w:t xml:space="preserve">388 · L'effetto convergente da causa comune.</w:t>
      </w:r>
      <w:r>
        <w:rPr>
          <w:rFonts w:ascii="Barlow Semi Condensed" w:cs="Barlow Semi Condensed" w:eastAsia="Barlow Semi Condensed" w:hAnsi="Barlow Semi Condensed"/>
          <w:sz w:val="24"/>
          <w:szCs w:val="24"/>
        </w:rPr>
        <w:t xml:space="preserve"> La seconda campagna della Farnesina propone alla griglia dei gradi una quinta voce, cioè due esiti simultanei che discendono provatamente dallo stesso evento e non l'uno dall'altro, e serve proprio a impedire che una simultaneità con causa nota venga promossa a nesso fra i suoi due effetti. In una serie comparativa come questa è la categoria più necessaria, e va usata prima di ogni altra.</w:t>
      </w:r>
    </w:p>
    <w:p>
      <w:pPr>
        <w:spacing w:after="120" w:line="276"/>
        <w:jc w:val="both"/>
      </w:pPr>
      <w:r>
        <w:rPr>
          <w:rFonts w:ascii="Barlow Semi Condensed" w:cs="Barlow Semi Condensed" w:eastAsia="Barlow Semi Condensed" w:hAnsi="Barlow Semi Condensed"/>
          <w:b/>
          <w:bCs/>
          <w:sz w:val="24"/>
          <w:szCs w:val="24"/>
        </w:rPr>
        <w:t xml:space="preserve">389 · Le sedi che chiuderebbero la serie.</w:t>
      </w:r>
      <w:r>
        <w:rPr>
          <w:rFonts w:ascii="Barlow Semi Condensed" w:cs="Barlow Semi Condensed" w:eastAsia="Barlow Semi Condensed" w:hAnsi="Barlow Semi Condensed"/>
          <w:sz w:val="24"/>
          <w:szCs w:val="24"/>
        </w:rPr>
        <w:t xml:space="preserve"> Chiuderebbero i teatri, ciascuno per la propria parte, la Farnesina con le sue serie nazionali e il limite dichiarato sui Telegrammi, gli AAPD e il Politisches Archiv per Bonn, la Torre do Tombo e il portale ministeriale per Lisbona, l'Archivo General de la Administración per Madrid, gli atti del Consiglio d'Europa e la Rappresentanza presso la NATO per Atene. Per tutti, i volumi a stampa dei resoconti parlamentari.</w:t>
      </w:r>
    </w:p>
    <w:p>
      <w:pPr>
        <w:spacing w:after="120" w:line="276"/>
        <w:jc w:val="both"/>
      </w:pPr>
      <w:r>
        <w:rPr>
          <w:rFonts w:ascii="Barlow Semi Condensed" w:cs="Barlow Semi Condensed" w:eastAsia="Barlow Semi Condensed" w:hAnsi="Barlow Semi Condensed"/>
          <w:b/>
          <w:bCs/>
          <w:sz w:val="24"/>
          <w:szCs w:val="24"/>
        </w:rPr>
        <w:t xml:space="preserve">390 · Congedo della quinta serie.</w:t>
      </w:r>
      <w:r>
        <w:rPr>
          <w:rFonts w:ascii="Barlow Semi Condensed" w:cs="Barlow Semi Condensed" w:eastAsia="Barlow Semi Condensed" w:hAnsi="Barlow Semi Condensed"/>
          <w:sz w:val="24"/>
          <w:szCs w:val="24"/>
        </w:rPr>
        <w:t xml:space="preserve"> La metafora genetica ha reso un servizio e va ora deposta: ha permesso di chiedere perché lo stesso codice dichiarato si veda in forme diverse, e ha impedito di rispondere che qualcuno le volle tutte. Restano sette ambienti, una manciata di atti al piano 1, molte convergenze dichiarate come tali e un elenco di sedi d'archivio con i loro costi: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sesta — Omologia e analogia: il problema centrale</w:t>
      </w:r>
    </w:p>
    <w:p>
      <w:pPr>
        <w:spacing w:after="120" w:line="276"/>
        <w:jc w:val="both"/>
      </w:pPr>
      <w:r>
        <w:rPr>
          <w:rFonts w:ascii="Barlow Semi Condensed" w:cs="Barlow Semi Condensed" w:eastAsia="Barlow Semi Condensed" w:hAnsi="Barlow Semi Condensed"/>
          <w:i/>
          <w:iCs/>
          <w:sz w:val="24"/>
          <w:szCs w:val="24"/>
        </w:rPr>
        <w:t xml:space="preserve">Blocchi 391-485.</w:t>
      </w:r>
    </w:p>
    <w:p>
      <w:pPr>
        <w:spacing w:after="120" w:line="276"/>
        <w:jc w:val="both"/>
      </w:pPr>
      <w:r>
        <w:rPr>
          <w:rFonts w:ascii="Barlow Semi Condensed" w:cs="Barlow Semi Condensed" w:eastAsia="Barlow Semi Condensed" w:hAnsi="Barlow Semi Condensed"/>
          <w:b/>
          <w:bCs/>
          <w:sz w:val="24"/>
          <w:szCs w:val="24"/>
        </w:rPr>
        <w:t xml:space="preserve">391 · La distinzione che regge l'opera.</w:t>
      </w:r>
      <w:r>
        <w:rPr>
          <w:rFonts w:ascii="Barlow Semi Condensed" w:cs="Barlow Semi Condensed" w:eastAsia="Barlow Semi Condensed" w:hAnsi="Barlow Semi Condensed"/>
          <w:sz w:val="24"/>
          <w:szCs w:val="24"/>
        </w:rPr>
        <w:t xml:space="preserve"> In biologia due strutture simili discendono da un antenato comune oppure convergono per adattamento in ambienti simili: la prima relazione si chiama omologia, la seconda analogia. Tradotta nel corpus, la coppia coincide con quella già in uso fra filiazione documentata e isomorfismo, e con la regola dei tre piani: il piano 1 è omologia, il piano 2 è analogia. Questa serie applica l'equivalenza e ne verifica la tenuta caso per caso.</w:t>
      </w:r>
    </w:p>
    <w:p>
      <w:pPr>
        <w:spacing w:after="120" w:line="276"/>
        <w:jc w:val="both"/>
      </w:pPr>
      <w:r>
        <w:rPr>
          <w:rFonts w:ascii="Barlow Semi Condensed" w:cs="Barlow Semi Condensed" w:eastAsia="Barlow Semi Condensed" w:hAnsi="Barlow Semi Condensed"/>
          <w:b/>
          <w:bCs/>
          <w:sz w:val="24"/>
          <w:szCs w:val="24"/>
        </w:rPr>
        <w:t xml:space="preserve">392 · Perché serve la metafora genetica.</w:t>
      </w:r>
      <w:r>
        <w:rPr>
          <w:rFonts w:ascii="Barlow Semi Condensed" w:cs="Barlow Semi Condensed" w:eastAsia="Barlow Semi Condensed" w:hAnsi="Barlow Semi Condensed"/>
          <w:sz w:val="24"/>
          <w:szCs w:val="24"/>
        </w:rPr>
        <w:t xml:space="preserve"> La chiave dichiarata dal committente, Kissinger come figura metaforica della genetica, non serve a insinuare ma a domandare meglio. Un albero filogenetico obbliga a dichiarare quale carattere sostiene quale ramo, come il metodo obbliga a dichiarare quale documento sostiene quale nesso. Dove la metafora spinge verso il determinismo o verso la colpa ereditaria, i blocchi di questa serie la fermano e lo dicono: è lente, non sentenza.</w:t>
      </w:r>
    </w:p>
    <w:p>
      <w:pPr>
        <w:spacing w:after="120" w:line="276"/>
        <w:jc w:val="both"/>
      </w:pPr>
      <w:r>
        <w:rPr>
          <w:rFonts w:ascii="Barlow Semi Condensed" w:cs="Barlow Semi Condensed" w:eastAsia="Barlow Semi Condensed" w:hAnsi="Barlow Semi Condensed"/>
          <w:b/>
          <w:bCs/>
          <w:sz w:val="24"/>
          <w:szCs w:val="24"/>
        </w:rPr>
        <w:t xml:space="preserve">393 · Omologia, la definizione operativa.</w:t>
      </w:r>
      <w:r>
        <w:rPr>
          <w:rFonts w:ascii="Barlow Semi Condensed" w:cs="Barlow Semi Condensed" w:eastAsia="Barlow Semi Condensed" w:hAnsi="Barlow Semi Condensed"/>
          <w:sz w:val="24"/>
          <w:szCs w:val="24"/>
        </w:rPr>
        <w:t xml:space="preserve"> Un rapporto è omologo quando esiste un antenato comune documentato e la discendenza è tracciabile attraverso passaggi intermedi attestati. Nel corpus significa piano 1: rapporto diretto documentato, con atto, data e sede d'archivio. Non basta che l'antenato sia plausibile, deve essere reperito. Un'omologia asserita senza il documento della discendenza è, per definizione del metodo, un'analogia non ancora riconosciuta come tale.</w:t>
      </w:r>
    </w:p>
    <w:p>
      <w:pPr>
        <w:spacing w:after="120" w:line="276"/>
        <w:jc w:val="both"/>
      </w:pPr>
      <w:r>
        <w:rPr>
          <w:rFonts w:ascii="Barlow Semi Condensed" w:cs="Barlow Semi Condensed" w:eastAsia="Barlow Semi Condensed" w:hAnsi="Barlow Semi Condensed"/>
          <w:b/>
          <w:bCs/>
          <w:sz w:val="24"/>
          <w:szCs w:val="24"/>
        </w:rPr>
        <w:t xml:space="preserve">394 · Analogia, la definizione operativa.</w:t>
      </w:r>
      <w:r>
        <w:rPr>
          <w:rFonts w:ascii="Barlow Semi Condensed" w:cs="Barlow Semi Condensed" w:eastAsia="Barlow Semi Condensed" w:hAnsi="Barlow Semi Condensed"/>
          <w:sz w:val="24"/>
          <w:szCs w:val="24"/>
        </w:rPr>
        <w:t xml:space="preserve"> Un rapporto è analogo quando due strutture si somigliano perché rispondono agli stessi vincoli, non perché discendano l'una dall'altra o da un terzo. Nel corpus è il piano 2: convergenza strutturale entro la stessa cornice. La cornice, qui, è la lunga guerra fredda combattuta dentro le società occidentali, e produce forme simili in luoghi che non comunicano. L'analogia si registra come tale e non si promuove mai a nesso causale.</w:t>
      </w:r>
    </w:p>
    <w:p>
      <w:pPr>
        <w:spacing w:after="120" w:line="276"/>
        <w:jc w:val="both"/>
      </w:pPr>
      <w:r>
        <w:rPr>
          <w:rFonts w:ascii="Barlow Semi Condensed" w:cs="Barlow Semi Condensed" w:eastAsia="Barlow Semi Condensed" w:hAnsi="Barlow Semi Condensed"/>
          <w:b/>
          <w:bCs/>
          <w:sz w:val="24"/>
          <w:szCs w:val="24"/>
        </w:rPr>
        <w:t xml:space="preserve">395 · Il piano 3 e la sua natura.</w:t>
      </w:r>
      <w:r>
        <w:rPr>
          <w:rFonts w:ascii="Barlow Semi Condensed" w:cs="Barlow Semi Condensed" w:eastAsia="Barlow Semi Condensed" w:hAnsi="Barlow Semi Condensed"/>
          <w:sz w:val="24"/>
          <w:szCs w:val="24"/>
        </w:rPr>
        <w:t xml:space="preserve"> Resta il piano 3, l'affermazione terziaria priva di riscontro, che nella metafora non è né omologia né analogia perché non è un carattere osservato ma una notizia su un carattere. Un albero non si costruisce con caratteri riferiti da terzi: si costruisce su ciò che si può esaminare. Il piano 3 entra nel registro come voce da riscontrare, con la sua provenienza accanto, e mai come ramo.</w:t>
      </w:r>
    </w:p>
    <w:p>
      <w:pPr>
        <w:spacing w:after="120" w:line="276"/>
        <w:jc w:val="both"/>
      </w:pPr>
      <w:r>
        <w:rPr>
          <w:rFonts w:ascii="Barlow Semi Condensed" w:cs="Barlow Semi Condensed" w:eastAsia="Barlow Semi Condensed" w:hAnsi="Barlow Semi Condensed"/>
          <w:b/>
          <w:bCs/>
          <w:sz w:val="24"/>
          <w:szCs w:val="24"/>
        </w:rPr>
        <w:t xml:space="preserve">396 · Il carattere condiviso non individua.</w:t>
      </w:r>
      <w:r>
        <w:rPr>
          <w:rFonts w:ascii="Barlow Semi Condensed" w:cs="Barlow Semi Condensed" w:eastAsia="Barlow Semi Condensed" w:hAnsi="Barlow Semi Condensed"/>
          <w:sz w:val="24"/>
          <w:szCs w:val="24"/>
        </w:rPr>
        <w:t xml:space="preserve"> La cladistica distingue il carattere derivato condiviso, che individua un gruppo, dal carattere primitivo condiviso, che non individua nulla perché appartiene a tutti. Il lessico rivoluzionario, l'antimperialismo, il riferimento alle guerriglie latinoamericane sono caratteri primitivi dell'intera area della sinistra armata europea di quel decennio: condividerli non prova alcuna parentela particolare. Solo i tratti rari e arbitrari portano segnale filogenetico.</w:t>
      </w:r>
    </w:p>
    <w:p>
      <w:pPr>
        <w:spacing w:after="120" w:line="276"/>
        <w:jc w:val="both"/>
      </w:pPr>
      <w:r>
        <w:rPr>
          <w:rFonts w:ascii="Barlow Semi Condensed" w:cs="Barlow Semi Condensed" w:eastAsia="Barlow Semi Condensed" w:hAnsi="Barlow Semi Condensed"/>
          <w:b/>
          <w:bCs/>
          <w:sz w:val="24"/>
          <w:szCs w:val="24"/>
        </w:rPr>
        <w:t xml:space="preserve">397 · Il criterio della posizione.</w:t>
      </w:r>
      <w:r>
        <w:rPr>
          <w:rFonts w:ascii="Barlow Semi Condensed" w:cs="Barlow Semi Condensed" w:eastAsia="Barlow Semi Condensed" w:hAnsi="Barlow Semi Condensed"/>
          <w:sz w:val="24"/>
          <w:szCs w:val="24"/>
        </w:rPr>
        <w:t xml:space="preserve"> In anatomia comparata l'omologia si riconosce dalla posizione relativa della struttura, non dalla sua funzione: un osso è omologo perché occupa lo stesso posto nella serie, qualunque cosa faccia. Tradotto, due gruppi non sono imparentati perché fanno la stessa cosa, ma perché occupano la stessa posizione in una catena documentale ricostruibile: chi finanziò chi, chi addestrò chi, chi ricevette da chi, con l'atto che lo attesta.</w:t>
      </w:r>
    </w:p>
    <w:p>
      <w:pPr>
        <w:spacing w:after="120" w:line="276"/>
        <w:jc w:val="both"/>
      </w:pPr>
      <w:r>
        <w:rPr>
          <w:rFonts w:ascii="Barlow Semi Condensed" w:cs="Barlow Semi Condensed" w:eastAsia="Barlow Semi Condensed" w:hAnsi="Barlow Semi Condensed"/>
          <w:b/>
          <w:bCs/>
          <w:sz w:val="24"/>
          <w:szCs w:val="24"/>
        </w:rPr>
        <w:t xml:space="preserve">398 · Il criterio dell'ontogenesi.</w:t>
      </w:r>
      <w:r>
        <w:rPr>
          <w:rFonts w:ascii="Barlow Semi Condensed" w:cs="Barlow Semi Condensed" w:eastAsia="Barlow Semi Condensed" w:hAnsi="Barlow Semi Condensed"/>
          <w:sz w:val="24"/>
          <w:szCs w:val="24"/>
        </w:rPr>
        <w:t xml:space="preserve"> Il secondo criterio classico dell'omologia è lo sviluppo: due strutture sono omologhe se derivano dallo stesso abbozzo iniziale, anche quando la forma adulta le rende irriconoscibili. Tradotto, conta la genesi documentata di un'organizzazione, il convegno di fondazione con i suoi verbali e i suoi partecipanti, più della forma che essa assume dieci anni dopo. La forma matura inganna; l'atto di nascita, dove esiste, no.</w:t>
      </w:r>
    </w:p>
    <w:p>
      <w:pPr>
        <w:spacing w:after="120" w:line="276"/>
        <w:jc w:val="both"/>
      </w:pPr>
      <w:r>
        <w:rPr>
          <w:rFonts w:ascii="Barlow Semi Condensed" w:cs="Barlow Semi Condensed" w:eastAsia="Barlow Semi Condensed" w:hAnsi="Barlow Semi Condensed"/>
          <w:b/>
          <w:bCs/>
          <w:sz w:val="24"/>
          <w:szCs w:val="24"/>
        </w:rPr>
        <w:t xml:space="preserve">399 · Il criterio della continuità intermedia.</w:t>
      </w:r>
      <w:r>
        <w:rPr>
          <w:rFonts w:ascii="Barlow Semi Condensed" w:cs="Barlow Semi Condensed" w:eastAsia="Barlow Semi Condensed" w:hAnsi="Barlow Semi Condensed"/>
          <w:sz w:val="24"/>
          <w:szCs w:val="24"/>
        </w:rPr>
        <w:t xml:space="preserve"> Terzo criterio: l'omologia regge se esistono forme intermedie che colmano lo scarto. Nel corpus l'intermedio ha un nome, l'anello documentato, e la regola dell'anello debole ne governa il peso. Un'attribuzione di filiazione priva di anelli intermedi attestati chiede al lettore di saltare, ed è il salto che il metodo vieta. Il quesito diventa allora: quale documento occuperebbe l'anello mancante, e in quale sede si troverebbe.</w:t>
      </w:r>
    </w:p>
    <w:p>
      <w:pPr>
        <w:spacing w:after="120" w:line="276"/>
        <w:jc w:val="both"/>
      </w:pPr>
      <w:r>
        <w:rPr>
          <w:rFonts w:ascii="Barlow Semi Condensed" w:cs="Barlow Semi Condensed" w:eastAsia="Barlow Semi Condensed" w:hAnsi="Barlow Semi Condensed"/>
          <w:b/>
          <w:bCs/>
          <w:sz w:val="24"/>
          <w:szCs w:val="24"/>
        </w:rPr>
        <w:t xml:space="preserve">400 · Il criterio della congruenza.</w:t>
      </w:r>
      <w:r>
        <w:rPr>
          <w:rFonts w:ascii="Barlow Semi Condensed" w:cs="Barlow Semi Condensed" w:eastAsia="Barlow Semi Condensed" w:hAnsi="Barlow Semi Condensed"/>
          <w:sz w:val="24"/>
          <w:szCs w:val="24"/>
        </w:rPr>
        <w:t xml:space="preserve"> Quarto criterio, il più severo: caratteri indipendenti fra loro devono produrre lo stesso albero. Se il criterio del finanziamento, quello dell'addestramento e quello dell'armamento portano a tre genealogie diverse, nessuna delle tre è stabilita. La consilienza del corpus dice lo stesso in altra lingua: la convergenza rafforza solo fra linee davvero indipendenti, e mai oltre il grado della linea più debole. Tre indizi discordi non fanno un ramo.</w:t>
      </w:r>
    </w:p>
    <w:p>
      <w:pPr>
        <w:spacing w:after="120" w:line="276"/>
        <w:jc w:val="both"/>
      </w:pPr>
      <w:r>
        <w:rPr>
          <w:rFonts w:ascii="Barlow Semi Condensed" w:cs="Barlow Semi Condensed" w:eastAsia="Barlow Semi Condensed" w:hAnsi="Barlow Semi Condensed"/>
          <w:b/>
          <w:bCs/>
          <w:sz w:val="24"/>
          <w:szCs w:val="24"/>
        </w:rPr>
        <w:t xml:space="preserve">401 · L'improbabilità come segnale.</w:t>
      </w:r>
      <w:r>
        <w:rPr>
          <w:rFonts w:ascii="Barlow Semi Condensed" w:cs="Barlow Semi Condensed" w:eastAsia="Barlow Semi Condensed" w:hAnsi="Barlow Semi Condensed"/>
          <w:sz w:val="24"/>
          <w:szCs w:val="24"/>
        </w:rPr>
        <w:t xml:space="preserve"> Il segnale filogenetico sta nei tratti che l'ambiente non impone. La compartimentazione in cellule, la disciplina del silenzio, i nomi di battaglia, i covi in affitto sono soluzioni obbligate della clandestinità, che qualunque gruppo clandestino inventa da solo. Portano informazione, invece, i tratti arbitrari: una sigla ereditata, un testo tecnico con lo stesso errore di copia, una segnatura di protocollo condivisa. È lì che il quesito si formula.</w:t>
      </w:r>
    </w:p>
    <w:p>
      <w:pPr>
        <w:spacing w:after="120" w:line="276"/>
        <w:jc w:val="both"/>
      </w:pPr>
      <w:r>
        <w:rPr>
          <w:rFonts w:ascii="Barlow Semi Condensed" w:cs="Barlow Semi Condensed" w:eastAsia="Barlow Semi Condensed" w:hAnsi="Barlow Semi Condensed"/>
          <w:b/>
          <w:bCs/>
          <w:sz w:val="24"/>
          <w:szCs w:val="24"/>
        </w:rPr>
        <w:t xml:space="preserve">402 · Il vincolo tecnico genera analogie.</w:t>
      </w:r>
      <w:r>
        <w:rPr>
          <w:rFonts w:ascii="Barlow Semi Condensed" w:cs="Barlow Semi Condensed" w:eastAsia="Barlow Semi Condensed" w:hAnsi="Barlow Semi Condensed"/>
          <w:sz w:val="24"/>
          <w:szCs w:val="24"/>
        </w:rPr>
        <w:t xml:space="preserve"> La clandestinità è un ambiente selettivo strettissimo, e gli ambienti stretti producono convergenza: il pesce, il rettile marino estinto e il delfino hanno la stessa forma per la stessa ragione idrodinamica e nessun antenato comune recente. La somiglianza fra reti clandestine europee degli anni Settanta va dunque presunta convergente finché un documento non provi il contrario. È l'ipotesi nulla della serie, e va dichiarata prima di ogni confronto.</w:t>
      </w:r>
    </w:p>
    <w:p>
      <w:pPr>
        <w:spacing w:after="120" w:line="276"/>
        <w:jc w:val="both"/>
      </w:pPr>
      <w:r>
        <w:rPr>
          <w:rFonts w:ascii="Barlow Semi Condensed" w:cs="Barlow Semi Condensed" w:eastAsia="Barlow Semi Condensed" w:hAnsi="Barlow Semi Condensed"/>
          <w:b/>
          <w:bCs/>
          <w:sz w:val="24"/>
          <w:szCs w:val="24"/>
        </w:rPr>
        <w:t xml:space="preserve">403 · Il divieto centrale, enunciato.</w:t>
      </w:r>
      <w:r>
        <w:rPr>
          <w:rFonts w:ascii="Barlow Semi Condensed" w:cs="Barlow Semi Condensed" w:eastAsia="Barlow Semi Condensed" w:hAnsi="Barlow Semi Condensed"/>
          <w:sz w:val="24"/>
          <w:szCs w:val="24"/>
        </w:rPr>
        <w:t xml:space="preserve"> Non si deduce l'antenato comune dalla somiglianza del risultato. È il divieto attorno a cui ruota l'intera serie, e traduce in linguaggio genetico regole che il corpus possiede già: la contemporaneità non è nesso, l'appartenenza non è condotta, dieci indizi possibili non fanno un probabile. La somiglianza dell'esito è il carattere meno informativo di tutti, proprio perché è quello su cui l'ambiente preme di più.</w:t>
      </w:r>
    </w:p>
    <w:p>
      <w:pPr>
        <w:spacing w:after="120" w:line="276"/>
        <w:jc w:val="both"/>
      </w:pPr>
      <w:r>
        <w:rPr>
          <w:rFonts w:ascii="Barlow Semi Condensed" w:cs="Barlow Semi Condensed" w:eastAsia="Barlow Semi Condensed" w:hAnsi="Barlow Semi Condensed"/>
          <w:b/>
          <w:bCs/>
          <w:sz w:val="24"/>
          <w:szCs w:val="24"/>
        </w:rPr>
        <w:t xml:space="preserve">404 · Perché l'esito somiglia sempre.</w:t>
      </w:r>
      <w:r>
        <w:rPr>
          <w:rFonts w:ascii="Barlow Semi Condensed" w:cs="Barlow Semi Condensed" w:eastAsia="Barlow Semi Condensed" w:hAnsi="Barlow Semi Condensed"/>
          <w:sz w:val="24"/>
          <w:szCs w:val="24"/>
        </w:rPr>
        <w:t xml:space="preserve"> Un sequestro politico ha una morfologia obbligata: un bersaglio raggiungibile, una scorta da neutralizzare, un luogo di detenzione, comunicati, una scadenza, un esito. Chiunque decida di compierlo arriva a quella forma, perché è la forma che il problema impone. Trarre dalla somiglianza fra due sequestri europei la conclusione di una regia comune equivale a dedurre la parentela fra due ali dal fatto che entrambe volano.</w:t>
      </w:r>
    </w:p>
    <w:p>
      <w:pPr>
        <w:spacing w:after="120" w:line="276"/>
        <w:jc w:val="both"/>
      </w:pPr>
      <w:r>
        <w:rPr>
          <w:rFonts w:ascii="Barlow Semi Condensed" w:cs="Barlow Semi Condensed" w:eastAsia="Barlow Semi Condensed" w:hAnsi="Barlow Semi Condensed"/>
          <w:b/>
          <w:bCs/>
          <w:sz w:val="24"/>
          <w:szCs w:val="24"/>
        </w:rPr>
        <w:t xml:space="preserve">405 · Il modus operandi non è una firma.</w:t>
      </w:r>
      <w:r>
        <w:rPr>
          <w:rFonts w:ascii="Barlow Semi Condensed" w:cs="Barlow Semi Condensed" w:eastAsia="Barlow Semi Condensed" w:hAnsi="Barlow Semi Condensed"/>
          <w:sz w:val="24"/>
          <w:szCs w:val="24"/>
        </w:rPr>
        <w:t xml:space="preserve"> La pubblicistica tratta il modus operandi come firma genetica; l'analisi lo tratta come fenotipo, cioè come esito congiunto di un corredo dottrinale e di un ambiente. Due gruppi con dottrine diverse in ambienti simili producono fenotipi simili, e lo stesso gruppo in ambienti diversi produce fenotipi diversi. Il modus operandi entra dunque in matrice come fatto da spiegare, con le sue ipotesi alternative, mai come identificazione.</w:t>
      </w:r>
    </w:p>
    <w:p>
      <w:pPr>
        <w:spacing w:after="120" w:line="276"/>
        <w:jc w:val="both"/>
      </w:pPr>
      <w:r>
        <w:rPr>
          <w:rFonts w:ascii="Barlow Semi Condensed" w:cs="Barlow Semi Condensed" w:eastAsia="Barlow Semi Condensed" w:hAnsi="Barlow Semi Condensed"/>
          <w:b/>
          <w:bCs/>
          <w:sz w:val="24"/>
          <w:szCs w:val="24"/>
        </w:rPr>
        <w:t xml:space="preserve">406 · Il test decisivo, in una riga.</w:t>
      </w:r>
      <w:r>
        <w:rPr>
          <w:rFonts w:ascii="Barlow Semi Condensed" w:cs="Barlow Semi Condensed" w:eastAsia="Barlow Semi Condensed" w:hAnsi="Barlow Semi Condensed"/>
          <w:sz w:val="24"/>
          <w:szCs w:val="24"/>
        </w:rPr>
        <w:t xml:space="preserve"> Un'attribuzione di antenato comune si stabilisce soltanto con un documento di provenienza che nomini la controparte. Non un'analisi comparativa, non una coincidenza di date, non una testimonianza terziaria: una carta prodotta da una delle due parti, nel tempo del fatto, che nomini l'altra. Fuori di lì si sta descrivendo un'analogia, per quanto ricca, e la si deve registrare come tale con il suo grado.</w:t>
      </w:r>
    </w:p>
    <w:p>
      <w:pPr>
        <w:spacing w:after="120" w:line="276"/>
        <w:jc w:val="both"/>
      </w:pPr>
      <w:r>
        <w:rPr>
          <w:rFonts w:ascii="Barlow Semi Condensed" w:cs="Barlow Semi Condensed" w:eastAsia="Barlow Semi Condensed" w:hAnsi="Barlow Semi Condensed"/>
          <w:b/>
          <w:bCs/>
          <w:sz w:val="24"/>
          <w:szCs w:val="24"/>
        </w:rPr>
        <w:t xml:space="preserve">407 · I quattro requisiti della carta.</w:t>
      </w:r>
      <w:r>
        <w:rPr>
          <w:rFonts w:ascii="Barlow Semi Condensed" w:cs="Barlow Semi Condensed" w:eastAsia="Barlow Semi Condensed" w:hAnsi="Barlow Semi Condensed"/>
          <w:sz w:val="24"/>
          <w:szCs w:val="24"/>
        </w:rPr>
        <w:t xml:space="preserve"> Il documento che regge un'omologia ha quattro requisiti cumulativi: coevo al fatto, esterno alla narrazione che dovrebbe sostenere, autenticato quanto a provenienza e catena di custodia, nominativo rispetto alla controparte. È la formula che il corpus adopera già per l'eterodirezione del sequestro, documento coevo, esterno e autenticato, cercato e non trovato. Chi ne omette uno dei quattro non ha il documento, né ha un indizio.</w:t>
      </w:r>
    </w:p>
    <w:p>
      <w:pPr>
        <w:spacing w:after="120" w:line="276"/>
        <w:jc w:val="both"/>
      </w:pPr>
      <w:r>
        <w:rPr>
          <w:rFonts w:ascii="Barlow Semi Condensed" w:cs="Barlow Semi Condensed" w:eastAsia="Barlow Semi Condensed" w:hAnsi="Barlow Semi Condensed"/>
          <w:b/>
          <w:bCs/>
          <w:sz w:val="24"/>
          <w:szCs w:val="24"/>
        </w:rPr>
        <w:t xml:space="preserve">408 · Lo Stato Zero come esito pieno.</w:t>
      </w:r>
      <w:r>
        <w:rPr>
          <w:rFonts w:ascii="Barlow Semi Condensed" w:cs="Barlow Semi Condensed" w:eastAsia="Barlow Semi Condensed" w:hAnsi="Barlow Semi Condensed"/>
          <w:sz w:val="24"/>
          <w:szCs w:val="24"/>
        </w:rPr>
        <w:t xml:space="preserve"> Nella mappa dei gradi dell'opera figura, fra gli Stati Zero, il documento che proverebbe l'isomorfismo fra le reti anticomuniste evocate e la struttura operativa del sequestro: cercato, non trovato. È l'esito che questa serie considera esemplare, perché è una risposta e non un silenzio. Un'omologia cercata e non trovata è conoscenza acquisita, e va scritta con la stessa forza di un accertamento di grado A.</w:t>
      </w:r>
    </w:p>
    <w:p>
      <w:pPr>
        <w:spacing w:after="120" w:line="276"/>
        <w:jc w:val="both"/>
      </w:pPr>
      <w:r>
        <w:rPr>
          <w:rFonts w:ascii="Barlow Semi Condensed" w:cs="Barlow Semi Condensed" w:eastAsia="Barlow Semi Condensed" w:hAnsi="Barlow Semi Condensed"/>
          <w:b/>
          <w:bCs/>
          <w:sz w:val="24"/>
          <w:szCs w:val="24"/>
        </w:rPr>
        <w:t xml:space="preserve">409 · Il termine da non usare a vuoto.</w:t>
      </w:r>
      <w:r>
        <w:rPr>
          <w:rFonts w:ascii="Barlow Semi Condensed" w:cs="Barlow Semi Condensed" w:eastAsia="Barlow Semi Condensed" w:hAnsi="Barlow Semi Condensed"/>
          <w:sz w:val="24"/>
          <w:szCs w:val="24"/>
        </w:rPr>
        <w:t xml:space="preserve"> Il corpus dice isomorfismo dove la biologia direbbe analogia: stessa forma, nessuna discendenza comune provata. Va bene, purché il termine resti sempre accompagnato dal suo statuto. Isomorfismo non è una forma attenuata di parentela, è la constatazione che la parentela non c'è o non è provata. Adoperarlo come indizio di filiazione, con il tono di chi allude, è precisamente l'errore che questa serie combatte.</w:t>
      </w:r>
    </w:p>
    <w:p>
      <w:pPr>
        <w:spacing w:after="120" w:line="276"/>
        <w:jc w:val="both"/>
      </w:pPr>
      <w:r>
        <w:rPr>
          <w:rFonts w:ascii="Barlow Semi Condensed" w:cs="Barlow Semi Condensed" w:eastAsia="Barlow Semi Condensed" w:hAnsi="Barlow Semi Condensed"/>
          <w:b/>
          <w:bCs/>
          <w:sz w:val="24"/>
          <w:szCs w:val="24"/>
        </w:rPr>
        <w:t xml:space="preserve">410 · La griglia dei quattro gradi.</w:t>
      </w:r>
      <w:r>
        <w:rPr>
          <w:rFonts w:ascii="Barlow Semi Condensed" w:cs="Barlow Semi Condensed" w:eastAsia="Barlow Semi Condensed" w:hAnsi="Barlow Semi Condensed"/>
          <w:sz w:val="24"/>
          <w:szCs w:val="24"/>
        </w:rPr>
        <w:t xml:space="preserve"> La cartella della Farnesina usa una griglia a quattro voci: convergenza di obiettivo documentata, simultaneità di reazione, comunanza di ambiente istituzionale, mera contemporaneità cronologica. Sulla scala omologia-analogia solo la prima voce può ambire al piano 1, e solo se un documento la sostiene; le altre tre sono analogie di crescente debolezza. La griglia si legge come scala di ipotesi, non come scala di prove.</w:t>
      </w:r>
    </w:p>
    <w:p>
      <w:pPr>
        <w:spacing w:after="120" w:line="276"/>
        <w:jc w:val="both"/>
      </w:pPr>
      <w:r>
        <w:rPr>
          <w:rFonts w:ascii="Barlow Semi Condensed" w:cs="Barlow Semi Condensed" w:eastAsia="Barlow Semi Condensed" w:hAnsi="Barlow Semi Condensed"/>
          <w:b/>
          <w:bCs/>
          <w:sz w:val="24"/>
          <w:szCs w:val="24"/>
        </w:rPr>
        <w:t xml:space="preserve">411 · La quinta voce e il suo uso.</w:t>
      </w:r>
      <w:r>
        <w:rPr>
          <w:rFonts w:ascii="Barlow Semi Condensed" w:cs="Barlow Semi Condensed" w:eastAsia="Barlow Semi Condensed" w:hAnsi="Barlow Semi Condensed"/>
          <w:sz w:val="24"/>
          <w:szCs w:val="24"/>
        </w:rPr>
        <w:t xml:space="preserve"> La seconda campagna ha proposto una quinta voce: effetto convergente da causa comune, da dichiarare quando due esiti simultanei discendono provatamente dallo stesso evento e non l'uno dall'altro. È, in linguaggio genetico, il caso di due caratteri che covariano perché rispondono al medesimo segnale: sembrano legati e non lo sono. La voce serve a impedire che una simultaneità con causa nota diventi nesso fra i suoi due effetti.</w:t>
      </w:r>
    </w:p>
    <w:p>
      <w:pPr>
        <w:spacing w:after="120" w:line="276"/>
        <w:jc w:val="both"/>
      </w:pPr>
      <w:r>
        <w:rPr>
          <w:rFonts w:ascii="Barlow Semi Condensed" w:cs="Barlow Semi Condensed" w:eastAsia="Barlow Semi Condensed" w:hAnsi="Barlow Semi Condensed"/>
          <w:b/>
          <w:bCs/>
          <w:sz w:val="24"/>
          <w:szCs w:val="24"/>
        </w:rPr>
        <w:t xml:space="preserve">412 · Il caso della sigla partigiana.</w:t>
      </w:r>
      <w:r>
        <w:rPr>
          <w:rFonts w:ascii="Barlow Semi Condensed" w:cs="Barlow Semi Condensed" w:eastAsia="Barlow Semi Condensed" w:hAnsi="Barlow Semi Condensed"/>
          <w:sz w:val="24"/>
          <w:szCs w:val="24"/>
        </w:rPr>
        <w:t xml:space="preserve"> Il corpus possiede già un caso limpido, registrato come anti-triangolazione: la ripresa nel 1970 della sigla partigiana dei GAP non fece di quel nucleo una continuazione della Resistenza, e l'area dell'antifascismo storico non riconobbe quella filiazione. È omologia soltanto nel nome, stesso segno e discendenza assente. Chi usa il nome come prova di continuità compie la promozione della convergenza a nesso che il metodo vieta.</w:t>
      </w:r>
    </w:p>
    <w:p>
      <w:pPr>
        <w:spacing w:after="120" w:line="276"/>
        <w:jc w:val="both"/>
      </w:pPr>
      <w:r>
        <w:rPr>
          <w:rFonts w:ascii="Barlow Semi Condensed" w:cs="Barlow Semi Condensed" w:eastAsia="Barlow Semi Condensed" w:hAnsi="Barlow Semi Condensed"/>
          <w:b/>
          <w:bCs/>
          <w:sz w:val="24"/>
          <w:szCs w:val="24"/>
        </w:rPr>
        <w:t xml:space="preserve">413 · La rotta non è filiazione.</w:t>
      </w:r>
      <w:r>
        <w:rPr>
          <w:rFonts w:ascii="Barlow Semi Condensed" w:cs="Barlow Semi Condensed" w:eastAsia="Barlow Semi Condensed" w:hAnsi="Barlow Semi Condensed"/>
          <w:sz w:val="24"/>
          <w:szCs w:val="24"/>
        </w:rPr>
        <w:t xml:space="preserve"> Il secondo caso già registrato: le rotte di latitanza verso Cuba e il Nicaragua sono geografia, non genealogia del mito. Che un condannato si trovi in un Paese non fa di quel Paese l'antenato della sua storia, perché la coabitazione geografica appartiene all'ambiente e non al codice. Il quesito, dove serva, è documentale, cioè quale atto attesti un rapporto e in quale sede lo si chiederebbe, non cartografico.</w:t>
      </w:r>
    </w:p>
    <w:p>
      <w:pPr>
        <w:spacing w:after="120" w:line="276"/>
        <w:jc w:val="both"/>
      </w:pPr>
      <w:r>
        <w:rPr>
          <w:rFonts w:ascii="Barlow Semi Condensed" w:cs="Barlow Semi Condensed" w:eastAsia="Barlow Semi Condensed" w:hAnsi="Barlow Semi Condensed"/>
          <w:b/>
          <w:bCs/>
          <w:sz w:val="24"/>
          <w:szCs w:val="24"/>
        </w:rPr>
        <w:t xml:space="preserve">414 · Il cammino Hyperion e il suo grado.</w:t>
      </w:r>
      <w:r>
        <w:rPr>
          <w:rFonts w:ascii="Barlow Semi Condensed" w:cs="Barlow Semi Condensed" w:eastAsia="Barlow Semi Condensed" w:hAnsi="Barlow Semi Condensed"/>
          <w:sz w:val="24"/>
          <w:szCs w:val="24"/>
        </w:rPr>
        <w:t xml:space="preserve"> Il corpus calcola il cammino documentato più breve fra la scuola di Parigi e via Fani: quattro archi, i primi tre di grado F, l'ultimo di grado A, dunque grado del cammino F. In linguaggio filogenetico la parentela è ricostruita su caratteri biografici e non su caratteri operativi, e un albero costruito su quei caratteri non sostiene alcuna conclusione operativa. È la forma quantitativa di quarant'anni di proscioglimenti.</w:t>
      </w:r>
    </w:p>
    <w:p>
      <w:pPr>
        <w:spacing w:after="120" w:line="276"/>
        <w:jc w:val="both"/>
      </w:pPr>
      <w:r>
        <w:rPr>
          <w:rFonts w:ascii="Barlow Semi Condensed" w:cs="Barlow Semi Condensed" w:eastAsia="Barlow Semi Condensed" w:hAnsi="Barlow Semi Condensed"/>
          <w:b/>
          <w:bCs/>
          <w:sz w:val="24"/>
          <w:szCs w:val="24"/>
        </w:rPr>
        <w:t xml:space="preserve">415 · La regola dell'anello debole tradotta.</w:t>
      </w:r>
      <w:r>
        <w:rPr>
          <w:rFonts w:ascii="Barlow Semi Condensed" w:cs="Barlow Semi Condensed" w:eastAsia="Barlow Semi Condensed" w:hAnsi="Barlow Semi Condensed"/>
          <w:sz w:val="24"/>
          <w:szCs w:val="24"/>
        </w:rPr>
        <w:t xml:space="preserve"> La regola dell'anello debole stabilisce che il grado di un cammino è il grado minimo fra i suoi archi. Tradotta nella metafora: un albero non è più solido del suo nodo peggio sostenuto, e il valore di supporto del ramo più debole si propaga a tutta la topologia che ne dipende. Nessun accumulo di rami solidi riscatta il ramo debole; si dichiara il minimo e si prosegue.</w:t>
      </w:r>
    </w:p>
    <w:p>
      <w:pPr>
        <w:spacing w:after="120" w:line="276"/>
        <w:jc w:val="both"/>
      </w:pPr>
      <w:r>
        <w:rPr>
          <w:rFonts w:ascii="Barlow Semi Condensed" w:cs="Barlow Semi Condensed" w:eastAsia="Barlow Semi Condensed" w:hAnsi="Barlow Semi Condensed"/>
          <w:b/>
          <w:bCs/>
          <w:sz w:val="24"/>
          <w:szCs w:val="24"/>
        </w:rPr>
        <w:t xml:space="preserve">416 · Le reti clandestine europee, il problema.</w:t>
      </w:r>
      <w:r>
        <w:rPr>
          <w:rFonts w:ascii="Barlow Semi Condensed" w:cs="Barlow Semi Condensed" w:eastAsia="Barlow Semi Condensed" w:hAnsi="Barlow Semi Condensed"/>
          <w:sz w:val="24"/>
          <w:szCs w:val="24"/>
        </w:rPr>
        <w:t xml:space="preserve"> È il terreno in cui la pubblicistica collassa più regolarmente le due categorie. Reti statali di preparazione, servizi con programmi di azione coperta, gruppi eversivi privati, organizzazioni armate di sinistra: quattro famiglie con origini, catene di comando e finalità distinte, che condividono l'epoca e talvolta gli uomini. Trattarle come un'unica discendenza è il collasso categoriale che questa serie ha il compito di nominare e smontare.</w:t>
      </w:r>
    </w:p>
    <w:p>
      <w:pPr>
        <w:spacing w:after="120" w:line="276"/>
        <w:jc w:val="both"/>
      </w:pPr>
      <w:r>
        <w:rPr>
          <w:rFonts w:ascii="Barlow Semi Condensed" w:cs="Barlow Semi Condensed" w:eastAsia="Barlow Semi Condensed" w:hAnsi="Barlow Semi Condensed"/>
          <w:b/>
          <w:bCs/>
          <w:sz w:val="24"/>
          <w:szCs w:val="24"/>
        </w:rPr>
        <w:t xml:space="preserve">417 · Ecosistema, non organismo.</w:t>
      </w:r>
      <w:r>
        <w:rPr>
          <w:rFonts w:ascii="Barlow Semi Condensed" w:cs="Barlow Semi Condensed" w:eastAsia="Barlow Semi Condensed" w:hAnsi="Barlow Semi Condensed"/>
          <w:sz w:val="24"/>
          <w:szCs w:val="24"/>
        </w:rPr>
        <w:t xml:space="preserve"> Il saggio-cerniera del corpus lo dice già: dove la pubblicistica vede un organismo, la documentazione trova quasi sempre un ecosistema, cioè attori con risorse, gerarchie e regole proprie, che condividono il tempo e il nemico ma non la struttura. Un ecosistema produce convergenze in massa e discendenze rare. È la ragione strutturale per cui, su questo terreno, l'ipotesi di partenza deve essere l'analogia e non la filiazione.</w:t>
      </w:r>
    </w:p>
    <w:p>
      <w:pPr>
        <w:spacing w:after="120" w:line="276"/>
        <w:jc w:val="both"/>
      </w:pPr>
      <w:r>
        <w:rPr>
          <w:rFonts w:ascii="Barlow Semi Condensed" w:cs="Barlow Semi Condensed" w:eastAsia="Barlow Semi Condensed" w:hAnsi="Barlow Semi Condensed"/>
          <w:b/>
          <w:bCs/>
          <w:sz w:val="24"/>
          <w:szCs w:val="24"/>
        </w:rPr>
        <w:t xml:space="preserve">418 · L'appartenenza non è il gene.</w:t>
      </w:r>
      <w:r>
        <w:rPr>
          <w:rFonts w:ascii="Barlow Semi Condensed" w:cs="Barlow Semi Condensed" w:eastAsia="Barlow Semi Condensed" w:hAnsi="Barlow Semi Condensed"/>
          <w:sz w:val="24"/>
          <w:szCs w:val="24"/>
        </w:rPr>
        <w:t xml:space="preserve"> Qui la metafora tocca il suo punto di massimo pericolo e va fermata. L'appartenenza a un'organizzazione, a una scuola o a un lignaggio dottrinale non è prova di condotta, così come l'appartenenza a un gruppo tassonomico non predice il comportamento del singolo. Il corpus lo scrive già per le logge e per gli uffici; la serie lo estende a ogni genealogia dottrinale: si indagano atti di persone, non discendenze.</w:t>
      </w:r>
    </w:p>
    <w:p>
      <w:pPr>
        <w:spacing w:after="120" w:line="276"/>
        <w:jc w:val="both"/>
      </w:pPr>
      <w:r>
        <w:rPr>
          <w:rFonts w:ascii="Barlow Semi Condensed" w:cs="Barlow Semi Condensed" w:eastAsia="Barlow Semi Condensed" w:hAnsi="Barlow Semi Condensed"/>
          <w:b/>
          <w:bCs/>
          <w:sz w:val="24"/>
          <w:szCs w:val="24"/>
        </w:rPr>
        <w:t xml:space="preserve">419 · Materia adiacente, non discendenza.</w:t>
      </w:r>
      <w:r>
        <w:rPr>
          <w:rFonts w:ascii="Barlow Semi Condensed" w:cs="Barlow Semi Condensed" w:eastAsia="Barlow Semi Condensed" w:hAnsi="Barlow Semi Condensed"/>
          <w:sz w:val="24"/>
          <w:szCs w:val="24"/>
        </w:rPr>
        <w:t xml:space="preserve"> I versamenti su materia adiacente aggiunti dalla direttiva dell'agosto 2021, che il blocco 944 dei cantieri disciplina, toccano il caso dove i suoi atti li incrociano, e si spogliano con la regola scolpita: l'appartenenza documentata è un fatto, mai una condotta. Adiacenza è una relazione di posizione, non di discendenza; scambiarla per filiazione è esattamente l'errore che quel blocco previene.</w:t>
      </w:r>
    </w:p>
    <w:p>
      <w:pPr>
        <w:spacing w:after="120" w:line="276"/>
        <w:jc w:val="both"/>
      </w:pPr>
      <w:r>
        <w:rPr>
          <w:rFonts w:ascii="Barlow Semi Condensed" w:cs="Barlow Semi Condensed" w:eastAsia="Barlow Semi Condensed" w:hAnsi="Barlow Semi Condensed"/>
          <w:b/>
          <w:bCs/>
          <w:sz w:val="24"/>
          <w:szCs w:val="24"/>
        </w:rPr>
        <w:t xml:space="preserve">420 · Il dossier senza fonti primarie.</w:t>
      </w:r>
      <w:r>
        <w:rPr>
          <w:rFonts w:ascii="Barlow Semi Condensed" w:cs="Barlow Semi Condensed" w:eastAsia="Barlow Semi Condensed" w:hAnsi="Barlow Semi Condensed"/>
          <w:sz w:val="24"/>
          <w:szCs w:val="24"/>
        </w:rPr>
        <w:t xml:space="preserve"> La ricognizione portoghese della seconda campagna dichiara Stato Zero su un dossier ricorrente nella pubblicistica delle reti clandestine, non avendo reperito fonti primarie né studi con revisione paritaria, e qualifica come non sostenuta la tesi circolante; la verifica meccanica dà zero occorrenze del termine in tutto il branch. Lo stato non è trattazione archiviata contro Stato Zero, ma silenzio del corpus contro esito negativo dichiarato: si riporta così.</w:t>
      </w:r>
    </w:p>
    <w:p>
      <w:pPr>
        <w:spacing w:after="120" w:line="276"/>
        <w:jc w:val="both"/>
      </w:pPr>
      <w:r>
        <w:rPr>
          <w:rFonts w:ascii="Barlow Semi Condensed" w:cs="Barlow Semi Condensed" w:eastAsia="Barlow Semi Condensed" w:hAnsi="Barlow Semi Condensed"/>
          <w:b/>
          <w:bCs/>
          <w:sz w:val="24"/>
          <w:szCs w:val="24"/>
        </w:rPr>
        <w:t xml:space="preserve">421 · Il filone tedesco, dove sta il quesito.</w:t>
      </w:r>
      <w:r>
        <w:rPr>
          <w:rFonts w:ascii="Barlow Semi Condensed" w:cs="Barlow Semi Condensed" w:eastAsia="Barlow Semi Condensed" w:hAnsi="Barlow Semi Condensed"/>
          <w:sz w:val="24"/>
          <w:szCs w:val="24"/>
        </w:rPr>
        <w:t xml:space="preserve"> Il filone che accosta la Rote Armee Fraktion alle Brigate Rosse si aggancia ai blocchi 88, 104 e 105 dei cantieri, che scrivono il quesito dei contatti in forma di matrice, fissano le carte del Bundeskriminalamt come oggetto documentale e indicano i processi tedeschi come giacimento del giudicato. La forma è già corretta: chiede documenti di provenienza, non somiglianze. Le dichiarazioni rese in sede investigativa restano ipotesi da riscontrare.</w:t>
      </w:r>
    </w:p>
    <w:p>
      <w:pPr>
        <w:spacing w:after="120" w:line="276"/>
        <w:jc w:val="both"/>
      </w:pPr>
      <w:r>
        <w:rPr>
          <w:rFonts w:ascii="Barlow Semi Condensed" w:cs="Barlow Semi Condensed" w:eastAsia="Barlow Semi Condensed" w:hAnsi="Barlow Semi Condensed"/>
          <w:b/>
          <w:bCs/>
          <w:sz w:val="24"/>
          <w:szCs w:val="24"/>
        </w:rPr>
        <w:t xml:space="preserve">422 · Schleyer e Moro, analogia dichiarata.</w:t>
      </w:r>
      <w:r>
        <w:rPr>
          <w:rFonts w:ascii="Barlow Semi Condensed" w:cs="Barlow Semi Condensed" w:eastAsia="Barlow Semi Condensed" w:hAnsi="Barlow Semi Condensed"/>
          <w:sz w:val="24"/>
          <w:szCs w:val="24"/>
        </w:rPr>
        <w:t xml:space="preserve"> I blocchi 85, 86 e 94 perimetrano il dossier comparativo fra i due sequestri senza tesi precostituita, insieme ai verbali di gabinetto del 1977 e all'accessibilità parziale dei protocolli dello stato maggiore di crisi. È il modello di come si tratta un'analogia forte: si documenta il confronto, si cercano le carte di ciascuno dei due lati, e non si scrive nel titolo la conclusione che le carte dovrebbero portare.</w:t>
      </w:r>
    </w:p>
    <w:p>
      <w:pPr>
        <w:spacing w:after="120" w:line="276"/>
        <w:jc w:val="both"/>
      </w:pPr>
      <w:r>
        <w:rPr>
          <w:rFonts w:ascii="Barlow Semi Condensed" w:cs="Barlow Semi Condensed" w:eastAsia="Barlow Semi Condensed" w:hAnsi="Barlow Semi Condensed"/>
          <w:b/>
          <w:bCs/>
          <w:sz w:val="24"/>
          <w:szCs w:val="24"/>
        </w:rPr>
        <w:t xml:space="preserve">423 · Le carte di provenienza orientale.</w:t>
      </w:r>
      <w:r>
        <w:rPr>
          <w:rFonts w:ascii="Barlow Semi Condensed" w:cs="Barlow Semi Condensed" w:eastAsia="Barlow Semi Condensed" w:hAnsi="Barlow Semi Condensed"/>
          <w:sz w:val="24"/>
          <w:szCs w:val="24"/>
        </w:rPr>
        <w:t xml:space="preserve"> I blocchi 91 e 92 dei cantieri impongono alle carte provenienti dagli archivi della Repubblica Democratica Tedesca una doppia cautela: mai da sole a fondamento di alcunché, con valore comparativo e non rivelatorio. È la disciplina corretta per un carattere di provenienza sospetta: si annota, si pesa poco, non gli si fa reggere un ramo. La seconda campagna estende la medesima cautela alle carte ecclesiastiche.</w:t>
      </w:r>
    </w:p>
    <w:p>
      <w:pPr>
        <w:spacing w:after="120" w:line="276"/>
        <w:jc w:val="both"/>
      </w:pPr>
      <w:r>
        <w:rPr>
          <w:rFonts w:ascii="Barlow Semi Condensed" w:cs="Barlow Semi Condensed" w:eastAsia="Barlow Semi Condensed" w:hAnsi="Barlow Semi Condensed"/>
          <w:b/>
          <w:bCs/>
          <w:sz w:val="24"/>
          <w:szCs w:val="24"/>
        </w:rPr>
        <w:t xml:space="preserve">424 · Il quesito del Comitato dei 303.</w:t>
      </w:r>
      <w:r>
        <w:rPr>
          <w:rFonts w:ascii="Barlow Semi Condensed" w:cs="Barlow Semi Condensed" w:eastAsia="Barlow Semi Condensed" w:hAnsi="Barlow Semi Condensed"/>
          <w:sz w:val="24"/>
          <w:szCs w:val="24"/>
        </w:rPr>
        <w:t xml:space="preserve"> La riunione dell'11 marzo 1969 presieduta da Kissinger, in FRUS volume XLI documento 180, discusse origini e livelli del programma di sostegno coperto ai partiti italiani fra il 1948 e il 1968, e i presenti convennero all'unanimità che non vi fosse giustificazione reale per riprenderlo. Fatto pubblico, grado F. Ed è anteriore all'insediamento di Moro alla Farnesina del 5 agosto 1969: la contemporaneità è solo apparente.</w:t>
      </w:r>
    </w:p>
    <w:p>
      <w:pPr>
        <w:spacing w:after="120" w:line="276"/>
        <w:jc w:val="both"/>
      </w:pPr>
      <w:r>
        <w:rPr>
          <w:rFonts w:ascii="Barlow Semi Condensed" w:cs="Barlow Semi Condensed" w:eastAsia="Barlow Semi Condensed" w:hAnsi="Barlow Semi Condensed"/>
          <w:b/>
          <w:bCs/>
          <w:sz w:val="24"/>
          <w:szCs w:val="24"/>
        </w:rPr>
        <w:t xml:space="preserve">425 · Un programma che riemerge.</w:t>
      </w:r>
      <w:r>
        <w:rPr>
          <w:rFonts w:ascii="Barlow Semi Condensed" w:cs="Barlow Semi Condensed" w:eastAsia="Barlow Semi Condensed" w:hAnsi="Barlow Semi Condensed"/>
          <w:sz w:val="24"/>
          <w:szCs w:val="24"/>
        </w:rPr>
        <w:t xml:space="preserve"> Il programma di azione coperta in Italia riemerge, secondo la letteratura con revisione paritaria richiamata dal corpus, nel novembre 1975 e nel luglio 1976, e l'istruzione di Nixon per uno studio sull'Italia è del dicembre 1969, documento 188 dello stesso volume. Sono fatti pubblici e datati. Che la loro sequenza costituisca una discendenza rispetto a vicende italiane successive resta quesito aperto: mancano gli anelli intermedi, e vanno nominati.</w:t>
      </w:r>
    </w:p>
    <w:p>
      <w:pPr>
        <w:spacing w:after="120" w:line="276"/>
        <w:jc w:val="both"/>
      </w:pPr>
      <w:r>
        <w:rPr>
          <w:rFonts w:ascii="Barlow Semi Condensed" w:cs="Barlow Semi Condensed" w:eastAsia="Barlow Semi Condensed" w:hAnsi="Barlow Semi Condensed"/>
          <w:b/>
          <w:bCs/>
          <w:sz w:val="24"/>
          <w:szCs w:val="24"/>
        </w:rPr>
        <w:t xml:space="preserve">426 · Il memorandum del 25 settembre 1974 (serie VI).</w:t>
      </w:r>
      <w:r>
        <w:rPr>
          <w:rFonts w:ascii="Barlow Semi Condensed" w:cs="Barlow Semi Condensed" w:eastAsia="Barlow Semi Condensed" w:hAnsi="Barlow Semi Condensed"/>
          <w:sz w:val="24"/>
          <w:szCs w:val="24"/>
        </w:rPr>
        <w:t xml:space="preserve"> Il memorandum of conversation del colloquio nello Studio Ovale fra Leone, Moro, Ford e Kissinger, alla Ford Library documento 1552802 ed edito in FRUS 1969-1976 volume E-15 parte 2 documento 350, è un documento di provenienza autentico e nominativo: prova un rapporto diretto, di piano 1, e prova esattamente quello. Un verbale attesta che quelle persone si parlarono e che cosa fu detto in quella sede.</w:t>
      </w:r>
    </w:p>
    <w:p>
      <w:pPr>
        <w:spacing w:after="120" w:line="276"/>
        <w:jc w:val="both"/>
      </w:pPr>
      <w:r>
        <w:rPr>
          <w:rFonts w:ascii="Barlow Semi Condensed" w:cs="Barlow Semi Condensed" w:eastAsia="Barlow Semi Condensed" w:hAnsi="Barlow Semi Condensed"/>
          <w:b/>
          <w:bCs/>
          <w:sz w:val="24"/>
          <w:szCs w:val="24"/>
        </w:rPr>
        <w:t xml:space="preserve">427 · Ciò che un verbale non attesta.</w:t>
      </w:r>
      <w:r>
        <w:rPr>
          <w:rFonts w:ascii="Barlow Semi Condensed" w:cs="Barlow Semi Condensed" w:eastAsia="Barlow Semi Condensed" w:hAnsi="Barlow Semi Condensed"/>
          <w:sz w:val="24"/>
          <w:szCs w:val="24"/>
        </w:rPr>
        <w:t xml:space="preserve"> Il documento della vigilia registra la posizione di Kissinger sul PCI espressa a Ford; il colloquio successivo del 26 settembre è al documento 1552806. La ricognizione del corpus aggiunge la precisazione che vale come regola generale: il verbale attesta la posizione di chi la espresse e non attesta una posizione di Moro sul medesimo punto in quella sede, che non va inferita. Il silenzio di un verbale non è una dichiarazione.</w:t>
      </w:r>
    </w:p>
    <w:p>
      <w:pPr>
        <w:spacing w:after="120" w:line="276"/>
        <w:jc w:val="both"/>
      </w:pPr>
      <w:r>
        <w:rPr>
          <w:rFonts w:ascii="Barlow Semi Condensed" w:cs="Barlow Semi Condensed" w:eastAsia="Barlow Semi Condensed" w:hAnsi="Barlow Semi Condensed"/>
          <w:b/>
          <w:bCs/>
          <w:sz w:val="24"/>
          <w:szCs w:val="24"/>
        </w:rPr>
        <w:t xml:space="preserve">428 · Il documento autentico che non nomina.</w:t>
      </w:r>
      <w:r>
        <w:rPr>
          <w:rFonts w:ascii="Barlow Semi Condensed" w:cs="Barlow Semi Condensed" w:eastAsia="Barlow Semi Condensed" w:hAnsi="Barlow Semi Condensed"/>
          <w:sz w:val="24"/>
          <w:szCs w:val="24"/>
        </w:rPr>
        <w:t xml:space="preserve"> Il rapporto settimanale del 22 maggio 1970 sul gabinetto spagnolo esiste con il suo protocollo, è stato verificato nella sala di lettura dell'agenzia, e contiene una frase su un funzionario italiano che avrebbe già detto il disinteresse del proprio Paese. Il documento non fa nomi. È il caso didattico opposto: provenienza ineccepibile, requisito nominativo assente, dunque nessuna omologia attribuibile ad alcuna persona determinata.</w:t>
      </w:r>
    </w:p>
    <w:p>
      <w:pPr>
        <w:spacing w:after="120" w:line="276"/>
        <w:jc w:val="both"/>
      </w:pPr>
      <w:r>
        <w:rPr>
          <w:rFonts w:ascii="Barlow Semi Condensed" w:cs="Barlow Semi Condensed" w:eastAsia="Barlow Semi Condensed" w:hAnsi="Barlow Semi Condensed"/>
          <w:b/>
          <w:bCs/>
          <w:sz w:val="24"/>
          <w:szCs w:val="24"/>
        </w:rPr>
        <w:t xml:space="preserve">429 · Il testimoniale contestato.</w:t>
      </w:r>
      <w:r>
        <w:rPr>
          <w:rFonts w:ascii="Barlow Semi Condensed" w:cs="Barlow Semi Condensed" w:eastAsia="Barlow Semi Condensed" w:hAnsi="Barlow Semi Condensed"/>
          <w:sz w:val="24"/>
          <w:szCs w:val="24"/>
        </w:rPr>
        <w:t xml:space="preserve"> L'avvertimento riferito da Corrado Guerzoni e confermato da Eleonora Chiavarelli Moro in sede parlamentare è sempre stato smentito da Kissinger. Resta perciò testimonianza contestata, grado B debole, mai da dare per accertata, e va riportata con la smentita accanto ogni volta che compare. Nella metafora è un carattere osservato da alcuni e negato da altri: non si costruisce un ramo su un carattere in contestazione.</w:t>
      </w:r>
    </w:p>
    <w:p>
      <w:pPr>
        <w:spacing w:after="120" w:line="276"/>
        <w:jc w:val="both"/>
      </w:pPr>
      <w:r>
        <w:rPr>
          <w:rFonts w:ascii="Barlow Semi Condensed" w:cs="Barlow Semi Condensed" w:eastAsia="Barlow Semi Condensed" w:hAnsi="Barlow Semi Condensed"/>
          <w:b/>
          <w:bCs/>
          <w:sz w:val="24"/>
          <w:szCs w:val="24"/>
        </w:rPr>
        <w:t xml:space="preserve">430 · Il divieto sulle persone, ribadito.</w:t>
      </w:r>
      <w:r>
        <w:rPr>
          <w:rFonts w:ascii="Barlow Semi Condensed" w:cs="Barlow Semi Condensed" w:eastAsia="Barlow Semi Condensed" w:hAnsi="Barlow Semi Condensed"/>
          <w:sz w:val="24"/>
          <w:szCs w:val="24"/>
        </w:rPr>
        <w:t xml:space="preserve"> Henry Alfred Kissinger, nato a Fürth il 27 maggio 1923 e morto a Kent, nel Connecticut, il 29 novembre 2023, non è stato condannato in alcun processo, e nessun blocco di quest'opera lo indica come responsabile di reato. La regola non è una cortesia verso un nome: vale per chiunque, e discende dal fatto che oltre il giudicato definitivo non esiste, per questo corpus, alcuna sede legittima di attribuzione.</w:t>
      </w:r>
    </w:p>
    <w:p>
      <w:pPr>
        <w:spacing w:after="120" w:line="276"/>
        <w:jc w:val="both"/>
      </w:pPr>
      <w:r>
        <w:rPr>
          <w:rFonts w:ascii="Barlow Semi Condensed" w:cs="Barlow Semi Condensed" w:eastAsia="Barlow Semi Condensed" w:hAnsi="Barlow Semi Condensed"/>
          <w:b/>
          <w:bCs/>
          <w:sz w:val="24"/>
          <w:szCs w:val="24"/>
        </w:rPr>
        <w:t xml:space="preserve">431 · Una causa comune, due effetti opposti.</w:t>
      </w:r>
      <w:r>
        <w:rPr>
          <w:rFonts w:ascii="Barlow Semi Condensed" w:cs="Barlow Semi Condensed" w:eastAsia="Barlow Semi Condensed" w:hAnsi="Barlow Semi Condensed"/>
          <w:sz w:val="24"/>
          <w:szCs w:val="24"/>
        </w:rPr>
        <w:t xml:space="preserve"> Il corpus registra la caduta di Salvador Allende dell'11 settembre 1973 come spartiacque documentato che radicalizzò due sinistre in direzioni contrarie: confermò a quella rivoluzionaria l'impossibilità della via elettorale e suggerì a quella riformista il compromesso storico. È una causa comune con due effetti divergenti. Chi legge i due effetti come imparentati fra loro perché simultanei applica alla rovescia la quinta voce della griglia.</w:t>
      </w:r>
    </w:p>
    <w:p>
      <w:pPr>
        <w:spacing w:after="120" w:line="276"/>
        <w:jc w:val="both"/>
      </w:pPr>
      <w:r>
        <w:rPr>
          <w:rFonts w:ascii="Barlow Semi Condensed" w:cs="Barlow Semi Condensed" w:eastAsia="Barlow Semi Condensed" w:hAnsi="Barlow Semi Condensed"/>
          <w:b/>
          <w:bCs/>
          <w:sz w:val="24"/>
          <w:szCs w:val="24"/>
        </w:rPr>
        <w:t xml:space="preserve">432 · Le Azzorre e Lisbona.</w:t>
      </w:r>
      <w:r>
        <w:rPr>
          <w:rFonts w:ascii="Barlow Semi Condensed" w:cs="Barlow Semi Condensed" w:eastAsia="Barlow Semi Condensed" w:hAnsi="Barlow Semi Condensed"/>
          <w:sz w:val="24"/>
          <w:szCs w:val="24"/>
        </w:rPr>
        <w:t xml:space="preserve"> Il memorandum Nixon-Spinola delle Azzorre del 19 giugno 1974 e la preoccupazione documentata per un regime neutralista di sinistra a Lisbona sono fatti pubblici del medesimo torno di mesi in cui si chiudeva il secondo mandato di Moro alla Farnesina. Sono caratteri del medesimo ambiente, non anelli di una catena: dedurne una discendenza verso vicende italiane successive esigerebbe carte che il corpus non ha, e che vanno formulate come quesito.</w:t>
      </w:r>
    </w:p>
    <w:p>
      <w:pPr>
        <w:spacing w:after="120" w:line="276"/>
        <w:jc w:val="both"/>
      </w:pPr>
      <w:r>
        <w:rPr>
          <w:rFonts w:ascii="Barlow Semi Condensed" w:cs="Barlow Semi Condensed" w:eastAsia="Barlow Semi Condensed" w:hAnsi="Barlow Semi Condensed"/>
          <w:b/>
          <w:bCs/>
          <w:sz w:val="24"/>
          <w:szCs w:val="24"/>
        </w:rPr>
        <w:t xml:space="preserve">433 · Helsinki e l'insofferenza registrata.</w:t>
      </w:r>
      <w:r>
        <w:rPr>
          <w:rFonts w:ascii="Barlow Semi Condensed" w:cs="Barlow Semi Condensed" w:eastAsia="Barlow Semi Condensed" w:hAnsi="Barlow Semi Condensed"/>
          <w:sz w:val="24"/>
          <w:szCs w:val="24"/>
        </w:rPr>
        <w:t xml:space="preserve"> Fra i fatti acquisiti figura l'insofferenza di Kissinger, a Helsinki, verso il coinvolgimento della Comunità europea nella firma; e figura che Moro sottoscrisse l'Atto finale del 1° agosto 1975 nella duplice qualità di Presidente del Consiglio e presidente di turno della Comunità. La convergenza delle firme resta l'unica triangolazione certa fra i vertici studiati. Una divergenza di vedute su una procedura non è un movente: è una divergenza di vedute.</w:t>
      </w:r>
    </w:p>
    <w:p>
      <w:pPr>
        <w:spacing w:after="120" w:line="276"/>
        <w:jc w:val="both"/>
      </w:pPr>
      <w:r>
        <w:rPr>
          <w:rFonts w:ascii="Barlow Semi Condensed" w:cs="Barlow Semi Condensed" w:eastAsia="Barlow Semi Condensed" w:hAnsi="Barlow Semi Condensed"/>
          <w:b/>
          <w:bCs/>
          <w:sz w:val="24"/>
          <w:szCs w:val="24"/>
        </w:rPr>
        <w:t xml:space="preserve">434 · L'omologia che il corpus riconosce.</w:t>
      </w:r>
      <w:r>
        <w:rPr>
          <w:rFonts w:ascii="Barlow Semi Condensed" w:cs="Barlow Semi Condensed" w:eastAsia="Barlow Semi Condensed" w:hAnsi="Barlow Semi Condensed"/>
          <w:sz w:val="24"/>
          <w:szCs w:val="24"/>
        </w:rPr>
        <w:t xml:space="preserve"> Fra Guevara e le Brigate Rosse il corpus riconosce una filiazione dichiarata e documentata: l'organizzazione assunse il guerrigliero argentino a modello individuale di riferimento e i Tupamaros come fonte del simbolo, e Renato Curcio disse che si andò a scuola di guerriglia da Feltrinelli. È omologia perché la discendenza è affermata dai discendenti stessi, con atti e parole proprie, e non ricostruita dall'esterno per somiglianza.</w:t>
      </w:r>
    </w:p>
    <w:p>
      <w:pPr>
        <w:spacing w:after="120" w:line="276"/>
        <w:jc w:val="both"/>
      </w:pPr>
      <w:r>
        <w:rPr>
          <w:rFonts w:ascii="Barlow Semi Condensed" w:cs="Barlow Semi Condensed" w:eastAsia="Barlow Semi Condensed" w:hAnsi="Barlow Semi Condensed"/>
          <w:b/>
          <w:bCs/>
          <w:sz w:val="24"/>
          <w:szCs w:val="24"/>
        </w:rPr>
        <w:t xml:space="preserve">435 · Il vettore, e il suo limite.</w:t>
      </w:r>
      <w:r>
        <w:rPr>
          <w:rFonts w:ascii="Barlow Semi Condensed" w:cs="Barlow Semi Condensed" w:eastAsia="Barlow Semi Condensed" w:hAnsi="Barlow Semi Condensed"/>
          <w:sz w:val="24"/>
          <w:szCs w:val="24"/>
        </w:rPr>
        <w:t xml:space="preserve"> Il vettore del mito ha un nome, l'editore che nel 1967 fece manifesto della fotografia di Korda e nel 1968 pubblicò il diario boliviano, e la trasmissione è documentata. Ma un vettore trasmette un'immagine, un libro, un metodo: trasmette informazione, non comando. Nella metafora è trascrizione, non catena gerarchica. Confondere la trasmissione del codice con l'impartizione di un ordine è la degenerazione che l'intero corpus previene.</w:t>
      </w:r>
    </w:p>
    <w:p>
      <w:pPr>
        <w:spacing w:after="120" w:line="276"/>
        <w:jc w:val="both"/>
      </w:pPr>
      <w:r>
        <w:rPr>
          <w:rFonts w:ascii="Barlow Semi Condensed" w:cs="Barlow Semi Condensed" w:eastAsia="Barlow Semi Condensed" w:hAnsi="Barlow Semi Condensed"/>
          <w:b/>
          <w:bCs/>
          <w:sz w:val="24"/>
          <w:szCs w:val="24"/>
        </w:rPr>
        <w:t xml:space="preserve">436 · L'eredità che degenera.</w:t>
      </w:r>
      <w:r>
        <w:rPr>
          <w:rFonts w:ascii="Barlow Semi Condensed" w:cs="Barlow Semi Condensed" w:eastAsia="Barlow Semi Condensed" w:hAnsi="Barlow Semi Condensed"/>
          <w:sz w:val="24"/>
          <w:szCs w:val="24"/>
        </w:rPr>
        <w:t xml:space="preserve"> Il saggio-cerniera formula la tesi come eredità che degenera: un mito importato e travisato che si rovescia nel suo contrario, dove il gesto è opposto benché la bandiera sia la stessa. In termini genetici è espressione differenziale, cioè lo stesso codice letto in un altro ambiente che produce un altro fenotipo. La formula spiega la trasformazione; non stabilisce alcuna catena di comando fra i due estremi.</w:t>
      </w:r>
    </w:p>
    <w:p>
      <w:pPr>
        <w:spacing w:after="120" w:line="276"/>
        <w:jc w:val="both"/>
      </w:pPr>
      <w:r>
        <w:rPr>
          <w:rFonts w:ascii="Barlow Semi Condensed" w:cs="Barlow Semi Condensed" w:eastAsia="Barlow Semi Condensed" w:hAnsi="Barlow Semi Condensed"/>
          <w:b/>
          <w:bCs/>
          <w:sz w:val="24"/>
          <w:szCs w:val="24"/>
        </w:rPr>
        <w:t xml:space="preserve">437 · Genotipo e fenotipo, la coppia utile.</w:t>
      </w:r>
      <w:r>
        <w:rPr>
          <w:rFonts w:ascii="Barlow Semi Condensed" w:cs="Barlow Semi Condensed" w:eastAsia="Barlow Semi Condensed" w:hAnsi="Barlow Semi Condensed"/>
          <w:sz w:val="24"/>
          <w:szCs w:val="24"/>
        </w:rPr>
        <w:t xml:space="preserve"> La coppia più produttiva della metafora è quella fra genotipo e fenotipo. Il genotipo è il corredo dottrinale dichiarato, il fenotipo è ciò che un'organizzazione fa in un dato ambiente. Due gruppi con lo stesso genotipo dottrinale possono avere fenotipi opposti, e due fenotipi identici possono venire da genotipi lontanissimi. La ricerca lavora sui documenti del genotipo e osserva il fenotipo, e non deduce l'uno dall'altro.</w:t>
      </w:r>
    </w:p>
    <w:p>
      <w:pPr>
        <w:spacing w:after="120" w:line="276"/>
        <w:jc w:val="both"/>
      </w:pPr>
      <w:r>
        <w:rPr>
          <w:rFonts w:ascii="Barlow Semi Condensed" w:cs="Barlow Semi Condensed" w:eastAsia="Barlow Semi Condensed" w:hAnsi="Barlow Semi Condensed"/>
          <w:b/>
          <w:bCs/>
          <w:sz w:val="24"/>
          <w:szCs w:val="24"/>
        </w:rPr>
        <w:t xml:space="preserve">438 · L'espressione secondo l'ambiente.</w:t>
      </w:r>
      <w:r>
        <w:rPr>
          <w:rFonts w:ascii="Barlow Semi Condensed" w:cs="Barlow Semi Condensed" w:eastAsia="Barlow Semi Condensed" w:hAnsi="Barlow Semi Condensed"/>
          <w:sz w:val="24"/>
          <w:szCs w:val="24"/>
        </w:rPr>
        <w:t xml:space="preserve"> La stessa dottrina del foco produce esiti opposti in Bolivia e in Italia: là una campagna rurale fallita per l'assenza della base contadina che la dottrina presupponeva, qui un'organizzazione urbana sopravvissuta un decennio. L'ambiente non è cornice decorativa, è il regolatore dell'espressione. Ne segue una regola di lettura: nessuna previsione di condotta discende da una dottrina, e nessuna dottrina si prova a partire da una condotta.</w:t>
      </w:r>
    </w:p>
    <w:p>
      <w:pPr>
        <w:spacing w:after="120" w:line="276"/>
        <w:jc w:val="both"/>
      </w:pPr>
      <w:r>
        <w:rPr>
          <w:rFonts w:ascii="Barlow Semi Condensed" w:cs="Barlow Semi Condensed" w:eastAsia="Barlow Semi Condensed" w:hAnsi="Barlow Semi Condensed"/>
          <w:b/>
          <w:bCs/>
          <w:sz w:val="24"/>
          <w:szCs w:val="24"/>
        </w:rPr>
        <w:t xml:space="preserve">439 · La mutazione, e il suo statuto.</w:t>
      </w:r>
      <w:r>
        <w:rPr>
          <w:rFonts w:ascii="Barlow Semi Condensed" w:cs="Barlow Semi Condensed" w:eastAsia="Barlow Semi Condensed" w:hAnsi="Barlow Semi Condensed"/>
          <w:sz w:val="24"/>
          <w:szCs w:val="24"/>
        </w:rPr>
        <w:t xml:space="preserve"> Una mutazione è un evento locale e datato, non una tendenza. Nel corpus corrisponde alla decisione singola documentata: un convegno di fondazione, una scelta di bersaglio, una rottura interna. Il quesito che la metafora impone è sempre lo stesso ed è sempre utile: di quale atto datato si tratta, chi lo compì, quale carta lo attesta. Senza data e senza atto, la mutazione è soltanto una figura retorica.</w:t>
      </w:r>
    </w:p>
    <w:p>
      <w:pPr>
        <w:spacing w:after="120" w:line="276"/>
        <w:jc w:val="both"/>
      </w:pPr>
      <w:r>
        <w:rPr>
          <w:rFonts w:ascii="Barlow Semi Condensed" w:cs="Barlow Semi Condensed" w:eastAsia="Barlow Semi Condensed" w:hAnsi="Barlow Semi Condensed"/>
          <w:b/>
          <w:bCs/>
          <w:sz w:val="24"/>
          <w:szCs w:val="24"/>
        </w:rPr>
        <w:t xml:space="preserve">440 · Il DNA non codificante (serie VI).</w:t>
      </w:r>
      <w:r>
        <w:rPr>
          <w:rFonts w:ascii="Barlow Semi Condensed" w:cs="Barlow Semi Condensed" w:eastAsia="Barlow Semi Condensed" w:hAnsi="Barlow Semi Condensed"/>
          <w:sz w:val="24"/>
          <w:szCs w:val="24"/>
        </w:rPr>
        <w:t xml:space="preserve"> Gran parte di un genoma non codifica proteine, e per decenni fu chiamata inutile a torto. L'equivalente documentale è il materiale che nessuna narrazione adopera: registri di protocollo, ordini di servizio, fogli di presenza, rubriche. Il blocco 244 dell'agenda lo dice per i protocolli riservati dei ministeri, dove la carta seriale consente di stabilire quali documenti esistettero anche là dove i documenti stessi mancano.</w:t>
      </w:r>
    </w:p>
    <w:p>
      <w:pPr>
        <w:spacing w:after="120" w:line="276"/>
        <w:jc w:val="both"/>
      </w:pPr>
      <w:r>
        <w:rPr>
          <w:rFonts w:ascii="Barlow Semi Condensed" w:cs="Barlow Semi Condensed" w:eastAsia="Barlow Semi Condensed" w:hAnsi="Barlow Semi Condensed"/>
          <w:b/>
          <w:bCs/>
          <w:sz w:val="24"/>
          <w:szCs w:val="24"/>
        </w:rPr>
        <w:t xml:space="preserve">441 · L'epigenetica, usata con misura.</w:t>
      </w:r>
      <w:r>
        <w:rPr>
          <w:rFonts w:ascii="Barlow Semi Condensed" w:cs="Barlow Semi Condensed" w:eastAsia="Barlow Semi Condensed" w:hAnsi="Barlow Semi Condensed"/>
          <w:sz w:val="24"/>
          <w:szCs w:val="24"/>
        </w:rPr>
        <w:t xml:space="preserve"> L'epigenetica descrive che cosa viene espresso e che cosa silenziato senza che il codice cambi. Il corrispettivo documentale è la prassi non scritta: che cosa un ufficio facesse davvero, quali segnalazioni salissero e quali no. È una domanda legittima e accertabile per atti. Non è invece una licenza a postulare influenze invisibili: se la prassi non lascia traccia, l'esito è Stato Zero e non inferenza.</w:t>
      </w:r>
    </w:p>
    <w:p>
      <w:pPr>
        <w:spacing w:after="120" w:line="276"/>
        <w:jc w:val="both"/>
      </w:pPr>
      <w:r>
        <w:rPr>
          <w:rFonts w:ascii="Barlow Semi Condensed" w:cs="Barlow Semi Condensed" w:eastAsia="Barlow Semi Condensed" w:hAnsi="Barlow Semi Condensed"/>
          <w:b/>
          <w:bCs/>
          <w:sz w:val="24"/>
          <w:szCs w:val="24"/>
        </w:rPr>
        <w:t xml:space="preserve">442 · La replicazione e l'errore di copia.</w:t>
      </w:r>
      <w:r>
        <w:rPr>
          <w:rFonts w:ascii="Barlow Semi Condensed" w:cs="Barlow Semi Condensed" w:eastAsia="Barlow Semi Condensed" w:hAnsi="Barlow Semi Condensed"/>
          <w:sz w:val="24"/>
          <w:szCs w:val="24"/>
        </w:rPr>
        <w:t xml:space="preserve"> Un errore di copia che si propaga identico in più testi prova la discendenza meglio di qualunque somiglianza di contenuto: è il principio della critica testuale e vale qui per intero. Una cifra sbagliata ripetuta, una segnatura troncata, una data che ricompare uguale in fonti diverse sono tracce di filiazione fra i testi. La seconda campagna ne offre i materiali, dalle paginazioni divergenti ai titoli resi in forma abbreviata.</w:t>
      </w:r>
    </w:p>
    <w:p>
      <w:pPr>
        <w:spacing w:after="120" w:line="276"/>
        <w:jc w:val="both"/>
      </w:pPr>
      <w:r>
        <w:rPr>
          <w:rFonts w:ascii="Barlow Semi Condensed" w:cs="Barlow Semi Condensed" w:eastAsia="Barlow Semi Condensed" w:hAnsi="Barlow Semi Condensed"/>
          <w:b/>
          <w:bCs/>
          <w:sz w:val="24"/>
          <w:szCs w:val="24"/>
        </w:rPr>
        <w:t xml:space="preserve">443 · La filogenesi dei testi, non delle persone.</w:t>
      </w:r>
      <w:r>
        <w:rPr>
          <w:rFonts w:ascii="Barlow Semi Condensed" w:cs="Barlow Semi Condensed" w:eastAsia="Barlow Semi Condensed" w:hAnsi="Barlow Semi Condensed"/>
          <w:sz w:val="24"/>
          <w:szCs w:val="24"/>
        </w:rPr>
        <w:t xml:space="preserve"> Ne discende un uso lecito e circoscritto della filogenesi: la si applica ai testi, non alle persone. Si può ricostruire l'albero di una notizia, chi la scrisse per primo, chi la copiò, chi la ampliò, perché i testi conservano le tracce delle copie. Non si ricostruisce l'albero di una responsabilità, perché le persone non sono copie e perché la colpa, in diritto, non si eredita.</w:t>
      </w:r>
    </w:p>
    <w:p>
      <w:pPr>
        <w:spacing w:after="120" w:line="276"/>
        <w:jc w:val="both"/>
      </w:pPr>
      <w:r>
        <w:rPr>
          <w:rFonts w:ascii="Barlow Semi Condensed" w:cs="Barlow Semi Condensed" w:eastAsia="Barlow Semi Condensed" w:hAnsi="Barlow Semi Condensed"/>
          <w:b/>
          <w:bCs/>
          <w:sz w:val="24"/>
          <w:szCs w:val="24"/>
        </w:rPr>
        <w:t xml:space="preserve">444 · La fermata sul determinismo.</w:t>
      </w:r>
      <w:r>
        <w:rPr>
          <w:rFonts w:ascii="Barlow Semi Condensed" w:cs="Barlow Semi Condensed" w:eastAsia="Barlow Semi Condensed" w:hAnsi="Barlow Semi Condensed"/>
          <w:sz w:val="24"/>
          <w:szCs w:val="24"/>
        </w:rPr>
        <w:t xml:space="preserve"> Qui la metafora va fermata esplicitamente. Il determinismo genetico è falso anche in biologia: un genotipo non detta un destino, e quasi tutti i caratteri interessanti nascono da un'interazione. Trasferito alla storia, il determinismo diventa la tesi che una dottrina produca necessariamente una condotta, cioè la premessa di ogni processo alle intenzioni. Il corpus la rifiuta, e questa serie la nomina proprio per rifiutarla.</w:t>
      </w:r>
    </w:p>
    <w:p>
      <w:pPr>
        <w:spacing w:after="120" w:line="276"/>
        <w:jc w:val="both"/>
      </w:pPr>
      <w:r>
        <w:rPr>
          <w:rFonts w:ascii="Barlow Semi Condensed" w:cs="Barlow Semi Condensed" w:eastAsia="Barlow Semi Condensed" w:hAnsi="Barlow Semi Condensed"/>
          <w:b/>
          <w:bCs/>
          <w:sz w:val="24"/>
          <w:szCs w:val="24"/>
        </w:rPr>
        <w:t xml:space="preserve">445 · La fermata sulla colpa ereditaria.</w:t>
      </w:r>
      <w:r>
        <w:rPr>
          <w:rFonts w:ascii="Barlow Semi Condensed" w:cs="Barlow Semi Condensed" w:eastAsia="Barlow Semi Condensed" w:hAnsi="Barlow Semi Condensed"/>
          <w:sz w:val="24"/>
          <w:szCs w:val="24"/>
        </w:rPr>
        <w:t xml:space="preserve"> Seconda fermata, e più grave. Nessuno eredita una responsabilità penale, né da un maestro, né da un'organizzazione, né da un lignaggio dottrinale. La metafora della discendenza, applicata alle persone, produce esattamente la colpa ereditaria che il diritto ha impiegato secoli a smantellare. Dove un blocco di quest'opera sfiorasse quella soglia, il blocco è sbagliato: va riscritto sul documento oppure cancellato.</w:t>
      </w:r>
    </w:p>
    <w:p>
      <w:pPr>
        <w:spacing w:after="120" w:line="276"/>
        <w:jc w:val="both"/>
      </w:pPr>
      <w:r>
        <w:rPr>
          <w:rFonts w:ascii="Barlow Semi Condensed" w:cs="Barlow Semi Condensed" w:eastAsia="Barlow Semi Condensed" w:hAnsi="Barlow Semi Condensed"/>
          <w:b/>
          <w:bCs/>
          <w:sz w:val="24"/>
          <w:szCs w:val="24"/>
        </w:rPr>
        <w:t xml:space="preserve">446 · Il trasferimento orizzontale (serie VI).</w:t>
      </w:r>
      <w:r>
        <w:rPr>
          <w:rFonts w:ascii="Barlow Semi Condensed" w:cs="Barlow Semi Condensed" w:eastAsia="Barlow Semi Condensed" w:hAnsi="Barlow Semi Condensed"/>
          <w:sz w:val="24"/>
          <w:szCs w:val="24"/>
        </w:rPr>
        <w:t xml:space="preserve"> La genetica conosce un fenomeno che rompe l'albero, il trasferimento orizzontale, per cui un tratto passa fra organismi non imparentati. È il modello del contagio dottrinale, dell'imitazione a distanza, del testo tecnico che circola. Utile perché spiega somiglianze senza discendenza; pericoloso perché può essere invocato per spiegare qualunque cosa. Vale dunque il limite: si ammette solo dove il canale del trasferimento è documentato con nome e data.</w:t>
      </w:r>
    </w:p>
    <w:p>
      <w:pPr>
        <w:spacing w:after="120" w:line="276"/>
        <w:jc w:val="both"/>
      </w:pPr>
      <w:r>
        <w:rPr>
          <w:rFonts w:ascii="Barlow Semi Condensed" w:cs="Barlow Semi Condensed" w:eastAsia="Barlow Semi Condensed" w:hAnsi="Barlow Semi Condensed"/>
          <w:b/>
          <w:bCs/>
          <w:sz w:val="24"/>
          <w:szCs w:val="24"/>
        </w:rPr>
        <w:t xml:space="preserve">447 · L'omoplasia e la reversione.</w:t>
      </w:r>
      <w:r>
        <w:rPr>
          <w:rFonts w:ascii="Barlow Semi Condensed" w:cs="Barlow Semi Condensed" w:eastAsia="Barlow Semi Condensed" w:hAnsi="Barlow Semi Condensed"/>
          <w:sz w:val="24"/>
          <w:szCs w:val="24"/>
        </w:rPr>
        <w:t xml:space="preserve"> Oltre alla convergenza esistono altri due modi di generare somiglianze false: il parallelismo, quando due linee imparentate sviluppano indipendentemente lo stesso tratto, e la reversione, quando un tratto perduto ricompare. Nel corpus corrispondono alla ripresa autonoma di una tecnica già nota e al riemergere di una sigla dismessa. Entrambi producono l'illusione della continuità, ed entrambi si smontano soltanto con la cronologia datata.</w:t>
      </w:r>
    </w:p>
    <w:p>
      <w:pPr>
        <w:spacing w:after="120" w:line="276"/>
        <w:jc w:val="both"/>
      </w:pPr>
      <w:r>
        <w:rPr>
          <w:rFonts w:ascii="Barlow Semi Condensed" w:cs="Barlow Semi Condensed" w:eastAsia="Barlow Semi Condensed" w:hAnsi="Barlow Semi Condensed"/>
          <w:b/>
          <w:bCs/>
          <w:sz w:val="24"/>
          <w:szCs w:val="24"/>
        </w:rPr>
        <w:t xml:space="preserve">448 · La cronologia prima dell'interpretazione.</w:t>
      </w:r>
      <w:r>
        <w:rPr>
          <w:rFonts w:ascii="Barlow Semi Condensed" w:cs="Barlow Semi Condensed" w:eastAsia="Barlow Semi Condensed" w:hAnsi="Barlow Semi Condensed"/>
          <w:sz w:val="24"/>
          <w:szCs w:val="24"/>
        </w:rPr>
        <w:t xml:space="preserve"> Il blocco 14 del manuale investigativo prescrive che nessuna sovrapposizione di strati avvenga senza date, e il blocco 261 nomina l'errore corrispondente, la retrodatazione, cioè assetti più tardi proiettati su un momento anteriore. In filogenesi è il medesimo vizio: un carattere non datato non entra nella matrice. Prima la tavola cronologica, poi ogni lettura, e prima ancora la fonte da cui la data proviene.</w:t>
      </w:r>
    </w:p>
    <w:p>
      <w:pPr>
        <w:spacing w:after="120" w:line="276"/>
        <w:jc w:val="both"/>
      </w:pPr>
      <w:r>
        <w:rPr>
          <w:rFonts w:ascii="Barlow Semi Condensed" w:cs="Barlow Semi Condensed" w:eastAsia="Barlow Semi Condensed" w:hAnsi="Barlow Semi Condensed"/>
          <w:b/>
          <w:bCs/>
          <w:sz w:val="24"/>
          <w:szCs w:val="24"/>
        </w:rPr>
        <w:t xml:space="preserve">449 · Il gruppo esterno di confronto.</w:t>
      </w:r>
      <w:r>
        <w:rPr>
          <w:rFonts w:ascii="Barlow Semi Condensed" w:cs="Barlow Semi Condensed" w:eastAsia="Barlow Semi Condensed" w:hAnsi="Barlow Semi Condensed"/>
          <w:sz w:val="24"/>
          <w:szCs w:val="24"/>
        </w:rPr>
        <w:t xml:space="preserve"> Per stabilire quale carattere sia derivato serve un gruppo esterno di confronto. Nel corpus l'esterno è il contesto europeo: se un tratto ricorre in gruppi privi di qualunque rapporto documentato con quello studiato, il tratto è primitivo e non individua nulla. La procedura è concreta: prima di trattare una somiglianza come indizio, si verifica quanto sia diffusa fuori dal perimetro. Molto spesso lo è moltissimo.</w:t>
      </w:r>
    </w:p>
    <w:p>
      <w:pPr>
        <w:spacing w:after="120" w:line="276"/>
        <w:jc w:val="both"/>
      </w:pPr>
      <w:r>
        <w:rPr>
          <w:rFonts w:ascii="Barlow Semi Condensed" w:cs="Barlow Semi Condensed" w:eastAsia="Barlow Semi Condensed" w:hAnsi="Barlow Semi Condensed"/>
          <w:b/>
          <w:bCs/>
          <w:sz w:val="24"/>
          <w:szCs w:val="24"/>
        </w:rPr>
        <w:t xml:space="preserve">450 · Quanti caratteri servono.</w:t>
      </w:r>
      <w:r>
        <w:rPr>
          <w:rFonts w:ascii="Barlow Semi Condensed" w:cs="Barlow Semi Condensed" w:eastAsia="Barlow Semi Condensed" w:hAnsi="Barlow Semi Condensed"/>
          <w:sz w:val="24"/>
          <w:szCs w:val="24"/>
        </w:rPr>
        <w:t xml:space="preserve"> Non esiste una soglia numerica, e chi la promette vende una precisione che le fonti non hanno. Esiste però una regola qualitativa: un solo carattere arbitrario e ben documentato vale più di venti caratteri funzionali. È la ragione per cui il metodo vieta il salto di grado per accumulo. Dieci somiglianze di ambiente non fanno una filiazione; un protocollo con due nomi e una data la fa.</w:t>
      </w:r>
    </w:p>
    <w:p>
      <w:pPr>
        <w:spacing w:after="120" w:line="276"/>
        <w:jc w:val="both"/>
      </w:pPr>
      <w:r>
        <w:rPr>
          <w:rFonts w:ascii="Barlow Semi Condensed" w:cs="Barlow Semi Condensed" w:eastAsia="Barlow Semi Condensed" w:hAnsi="Barlow Semi Condensed"/>
          <w:b/>
          <w:bCs/>
          <w:sz w:val="24"/>
          <w:szCs w:val="24"/>
        </w:rPr>
        <w:t xml:space="preserve">451 · L'ipotesi nulla dichiarata.</w:t>
      </w:r>
      <w:r>
        <w:rPr>
          <w:rFonts w:ascii="Barlow Semi Condensed" w:cs="Barlow Semi Condensed" w:eastAsia="Barlow Semi Condensed" w:hAnsi="Barlow Semi Condensed"/>
          <w:sz w:val="24"/>
          <w:szCs w:val="24"/>
        </w:rPr>
        <w:t xml:space="preserve"> Ogni confronto fra reti clandestine si apre dichiarando l'ipotesi nulla: le due strutture sono convergenti e la somiglianza si spiega con l'ambiente. Il confronto ha valore solo se dice in anticipo quale reperto rovescerebbe quell'ipotesi. È l'analisi delle ipotesi concorrenti applicata alla coppia omologia-analogia: si cerca l'evidenza incompatibile con almeno una delle due, e se non esiste il quesito è indecidibile per costruzione.</w:t>
      </w:r>
    </w:p>
    <w:p>
      <w:pPr>
        <w:spacing w:after="120" w:line="276"/>
        <w:jc w:val="both"/>
      </w:pPr>
      <w:r>
        <w:rPr>
          <w:rFonts w:ascii="Barlow Semi Condensed" w:cs="Barlow Semi Condensed" w:eastAsia="Barlow Semi Condensed" w:hAnsi="Barlow Semi Condensed"/>
          <w:b/>
          <w:bCs/>
          <w:sz w:val="24"/>
          <w:szCs w:val="24"/>
        </w:rPr>
        <w:t xml:space="preserve">452 · La matrice a due ipotesi.</w:t>
      </w:r>
      <w:r>
        <w:rPr>
          <w:rFonts w:ascii="Barlow Semi Condensed" w:cs="Barlow Semi Condensed" w:eastAsia="Barlow Semi Condensed" w:hAnsi="Barlow Semi Condensed"/>
          <w:sz w:val="24"/>
          <w:szCs w:val="24"/>
        </w:rPr>
        <w:t xml:space="preserve"> La forma minima è una matrice con due colonne, H1 convergenza indipendente e H2 filiazione documentabile, e le evidenze in riga, ciascuna con il proprio grado. Quasi tutte le evidenze di somiglianza risulteranno coerenti con entrambe, cioè non diagnostiche. Il lavoro consiste nel nominare l'evidenza che discriminerebbe e nell'indicare la sede in cui la si andrebbe a cercare: quella riga è il prodotto della matrice.</w:t>
      </w:r>
    </w:p>
    <w:p>
      <w:pPr>
        <w:spacing w:after="120" w:line="276"/>
        <w:jc w:val="both"/>
      </w:pPr>
      <w:r>
        <w:rPr>
          <w:rFonts w:ascii="Barlow Semi Condensed" w:cs="Barlow Semi Condensed" w:eastAsia="Barlow Semi Condensed" w:hAnsi="Barlow Semi Condensed"/>
          <w:b/>
          <w:bCs/>
          <w:sz w:val="24"/>
          <w:szCs w:val="24"/>
        </w:rPr>
        <w:t xml:space="preserve">453 · La terza ipotesi da non dimenticare.</w:t>
      </w:r>
      <w:r>
        <w:rPr>
          <w:rFonts w:ascii="Barlow Semi Condensed" w:cs="Barlow Semi Condensed" w:eastAsia="Barlow Semi Condensed" w:hAnsi="Barlow Semi Condensed"/>
          <w:sz w:val="24"/>
          <w:szCs w:val="24"/>
        </w:rPr>
        <w:t xml:space="preserve"> Alla matrice va aggiunta una terza colonna, H3, filiazione reale ma non documentabile con le fonti disponibili. È la colonna scomoda, perché è coerente con tutto e non si chiude mai. Va tenuta aperta e dichiarata, e va distinta con nettezza da H2: la differenza fra un rapporto che potrebbe esistere e un rapporto che si può provare è l'intera differenza fra congettura e accertamento.</w:t>
      </w:r>
    </w:p>
    <w:p>
      <w:pPr>
        <w:spacing w:after="120" w:line="276"/>
        <w:jc w:val="both"/>
      </w:pPr>
      <w:r>
        <w:rPr>
          <w:rFonts w:ascii="Barlow Semi Condensed" w:cs="Barlow Semi Condensed" w:eastAsia="Barlow Semi Condensed" w:hAnsi="Barlow Semi Condensed"/>
          <w:b/>
          <w:bCs/>
          <w:sz w:val="24"/>
          <w:szCs w:val="24"/>
        </w:rPr>
        <w:t xml:space="preserve">454 · Il caso indeciso, la scheda.</w:t>
      </w:r>
      <w:r>
        <w:rPr>
          <w:rFonts w:ascii="Barlow Semi Condensed" w:cs="Barlow Semi Condensed" w:eastAsia="Barlow Semi Condensed" w:hAnsi="Barlow Semi Condensed"/>
          <w:sz w:val="24"/>
          <w:szCs w:val="24"/>
        </w:rPr>
        <w:t xml:space="preserve"> Un caso indeciso si registra con sei voci: le ipotesi in campo, le evidenze con i loro gradi, la constatazione che nessuna è diagnostica, l'evidenza mancante nominata almeno per genere, la sede d'archivio in cui la si cercherebbe, e la data della registrazione. Senza le ultime tre voci non è una scheda, ma un'ammissione di ignoranza travestita da prudenza, e non serve a nessuna ricerca futura.</w:t>
      </w:r>
    </w:p>
    <w:p>
      <w:pPr>
        <w:spacing w:after="120" w:line="276"/>
        <w:jc w:val="both"/>
      </w:pPr>
      <w:r>
        <w:rPr>
          <w:rFonts w:ascii="Barlow Semi Condensed" w:cs="Barlow Semi Condensed" w:eastAsia="Barlow Semi Condensed" w:hAnsi="Barlow Semi Condensed"/>
          <w:b/>
          <w:bCs/>
          <w:sz w:val="24"/>
          <w:szCs w:val="24"/>
        </w:rPr>
        <w:t xml:space="preserve">455 · La politomia irrisolta.</w:t>
      </w:r>
      <w:r>
        <w:rPr>
          <w:rFonts w:ascii="Barlow Semi Condensed" w:cs="Barlow Semi Condensed" w:eastAsia="Barlow Semi Condensed" w:hAnsi="Barlow Semi Condensed"/>
          <w:sz w:val="24"/>
          <w:szCs w:val="24"/>
        </w:rPr>
        <w:t xml:space="preserve"> Quando i dati non bastano a ordinare tre rami, il sistematista lascia una politomia, cioè un nodo con tre uscite e nessuna gerarchia. Non è un fallimento, è una dichiarazione onesta dello stato dell'informazione. Il corpus ha il suo equivalente nelle matrici in cui nessuna evidenza risulta diagnostica. Registrare la politomia è un atto positivo; risolverla per verosimiglianza è il salto che il metodo vieta.</w:t>
      </w:r>
    </w:p>
    <w:p>
      <w:pPr>
        <w:spacing w:after="120" w:line="276"/>
        <w:jc w:val="both"/>
      </w:pPr>
      <w:r>
        <w:rPr>
          <w:rFonts w:ascii="Barlow Semi Condensed" w:cs="Barlow Semi Condensed" w:eastAsia="Barlow Semi Condensed" w:hAnsi="Barlow Semi Condensed"/>
          <w:b/>
          <w:bCs/>
          <w:sz w:val="24"/>
          <w:szCs w:val="24"/>
        </w:rPr>
        <w:t xml:space="preserve">456 · L'indecidibilità come risultato.</w:t>
      </w:r>
      <w:r>
        <w:rPr>
          <w:rFonts w:ascii="Barlow Semi Condensed" w:cs="Barlow Semi Condensed" w:eastAsia="Barlow Semi Condensed" w:hAnsi="Barlow Semi Condensed"/>
          <w:sz w:val="24"/>
          <w:szCs w:val="24"/>
        </w:rPr>
        <w:t xml:space="preserve"> La matrice sul nodo di via Gradoli mostra il modello: tutte le evidenze compatibili con tutte le ipotesi, quesito indecidibile allo stato degli atti, evidenza discriminante identificata nell'individuazione documentale della fonte reale della segnalazione. L'esito non è una debolezza, è una misura precisa di quanto si sa. E indica dove andare, che è la sola cosa che un'analisi sia tenuta a consegnare.</w:t>
      </w:r>
    </w:p>
    <w:p>
      <w:pPr>
        <w:spacing w:after="120" w:line="276"/>
        <w:jc w:val="both"/>
      </w:pPr>
      <w:r>
        <w:rPr>
          <w:rFonts w:ascii="Barlow Semi Condensed" w:cs="Barlow Semi Condensed" w:eastAsia="Barlow Semi Condensed" w:hAnsi="Barlow Semi Condensed"/>
          <w:b/>
          <w:bCs/>
          <w:sz w:val="24"/>
          <w:szCs w:val="24"/>
        </w:rPr>
        <w:t xml:space="preserve">457 · Il registro dei casi indecisi.</w:t>
      </w:r>
      <w:r>
        <w:rPr>
          <w:rFonts w:ascii="Barlow Semi Condensed" w:cs="Barlow Semi Condensed" w:eastAsia="Barlow Semi Condensed" w:hAnsi="Barlow Semi Condensed"/>
          <w:sz w:val="24"/>
          <w:szCs w:val="24"/>
        </w:rPr>
        <w:t xml:space="preserve"> Serve un registro pubblico e datato dei casi indecisi, sul modello del registro delle piste: per ciascuno lo stato, gli atti compiuti, il criterio di chiusura e quello di riapertura. Un caso indeciso privo di registro si dissolve in due modi opposti e ugualmente falsi, nell'oblio oppure nella ripetizione che a forza di ripetersi diventa acquisita. Il registro è l'antidoto a entrambi, e costa poco.</w:t>
      </w:r>
    </w:p>
    <w:p>
      <w:pPr>
        <w:spacing w:after="120" w:line="276"/>
        <w:jc w:val="both"/>
      </w:pPr>
      <w:r>
        <w:rPr>
          <w:rFonts w:ascii="Barlow Semi Condensed" w:cs="Barlow Semi Condensed" w:eastAsia="Barlow Semi Condensed" w:hAnsi="Barlow Semi Condensed"/>
          <w:b/>
          <w:bCs/>
          <w:sz w:val="24"/>
          <w:szCs w:val="24"/>
        </w:rPr>
        <w:t xml:space="preserve">458 · La revisione periodica.</w:t>
      </w:r>
      <w:r>
        <w:rPr>
          <w:rFonts w:ascii="Barlow Semi Condensed" w:cs="Barlow Semi Condensed" w:eastAsia="Barlow Semi Condensed" w:hAnsi="Barlow Semi Condensed"/>
          <w:sz w:val="24"/>
          <w:szCs w:val="24"/>
        </w:rPr>
        <w:t xml:space="preserve"> Il manuale prescrive una revisione a cadenza fissa dei punteggi, motivata per iscritto, e osserva che un punteggio immobile per anni è un punteggio non curato. Vale per i casi indecisi di questa serie: a ogni revisione si domanda se un fondo nuovo, una desecretazione o un inventario abbiano reso raggiungibile l'evidenza discriminante. Se nulla è cambiato lo si scrive, perché anche l'immobilità va verbalizzata.</w:t>
      </w:r>
    </w:p>
    <w:p>
      <w:pPr>
        <w:spacing w:after="120" w:line="276"/>
        <w:jc w:val="both"/>
      </w:pPr>
      <w:r>
        <w:rPr>
          <w:rFonts w:ascii="Barlow Semi Condensed" w:cs="Barlow Semi Condensed" w:eastAsia="Barlow Semi Condensed" w:hAnsi="Barlow Semi Condensed"/>
          <w:b/>
          <w:bCs/>
          <w:sz w:val="24"/>
          <w:szCs w:val="24"/>
        </w:rPr>
        <w:t xml:space="preserve">459 · Le divergenze non si scelgono in silenzio.</w:t>
      </w:r>
      <w:r>
        <w:rPr>
          <w:rFonts w:ascii="Barlow Semi Condensed" w:cs="Barlow Semi Condensed" w:eastAsia="Barlow Semi Condensed" w:hAnsi="Barlow Semi Condensed"/>
          <w:sz w:val="24"/>
          <w:szCs w:val="24"/>
        </w:rPr>
        <w:t xml:space="preserve"> Dove le fonti divergono sulla natura di un rapporto, filiazione per una e coincidenza per l'altra, la divergenza si riporta con entrambe le versioni e la loro provenienza. La seconda campagna lo pratica su otto oggetti rimasti aperti, da una forbice di vittime a una data di espulsione. La regola non ammette eccezioni per i casi comodi: scegliere in silenzio è la forma più elegante della manipolazione.</w:t>
      </w:r>
    </w:p>
    <w:p>
      <w:pPr>
        <w:spacing w:after="120" w:line="276"/>
        <w:jc w:val="both"/>
      </w:pPr>
      <w:r>
        <w:rPr>
          <w:rFonts w:ascii="Barlow Semi Condensed" w:cs="Barlow Semi Condensed" w:eastAsia="Barlow Semi Condensed" w:hAnsi="Barlow Semi Condensed"/>
          <w:b/>
          <w:bCs/>
          <w:sz w:val="24"/>
          <w:szCs w:val="24"/>
        </w:rPr>
        <w:t xml:space="preserve">460 · L'errore del buco riempito.</w:t>
      </w:r>
      <w:r>
        <w:rPr>
          <w:rFonts w:ascii="Barlow Semi Condensed" w:cs="Barlow Semi Condensed" w:eastAsia="Barlow Semi Condensed" w:hAnsi="Barlow Semi Condensed"/>
          <w:sz w:val="24"/>
          <w:szCs w:val="24"/>
        </w:rPr>
        <w:t xml:space="preserve"> Il blocco 259 del manuale nomina l'errore: ogni lacuna colmata con la narrazione più suggestiva. Nella metafora è il ramo disegnato là dove i dati mancano. L'antidoto è la regola dei buchi, si misura, si dichiara, si cerca l'arco documentale, insieme alla seconda metà acquisita dalla seconda campagna: un vuoto può significare che nessuno ha ancora scritto un documento su quei due domini insieme.</w:t>
      </w:r>
    </w:p>
    <w:p>
      <w:pPr>
        <w:spacing w:after="120" w:line="276"/>
        <w:jc w:val="both"/>
      </w:pPr>
      <w:r>
        <w:rPr>
          <w:rFonts w:ascii="Barlow Semi Condensed" w:cs="Barlow Semi Condensed" w:eastAsia="Barlow Semi Condensed" w:hAnsi="Barlow Semi Condensed"/>
          <w:b/>
          <w:bCs/>
          <w:sz w:val="24"/>
          <w:szCs w:val="24"/>
        </w:rPr>
        <w:t xml:space="preserve">461 · Il buco e la specializzazione delle fonti.</w:t>
      </w:r>
      <w:r>
        <w:rPr>
          <w:rFonts w:ascii="Barlow Semi Condensed" w:cs="Barlow Semi Condensed" w:eastAsia="Barlow Semi Condensed" w:hAnsi="Barlow Semi Condensed"/>
          <w:sz w:val="24"/>
          <w:szCs w:val="24"/>
        </w:rPr>
        <w:t xml:space="preserve"> Ne discende una procedura a due tempi che questa serie fa propria. Prima si misura il buco e lo si dichiara con perimetro esatto, secondo il test dei buchi del blocco 233 dell'agenda. Poi se ne diagnostica la causa nella specializzazione delle fonti. Solo dopo si è autorizzati a interrogarlo sulla struttura del mondo. Saltare il secondo tempo trasforma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462 · La ricerca a vuoto come atto.</w:t>
      </w:r>
      <w:r>
        <w:rPr>
          <w:rFonts w:ascii="Barlow Semi Condensed" w:cs="Barlow Semi Condensed" w:eastAsia="Barlow Semi Condensed" w:hAnsi="Barlow Semi Condensed"/>
          <w:sz w:val="24"/>
          <w:szCs w:val="24"/>
        </w:rPr>
        <w:t xml:space="preserve"> Il blocco 285 dell'agenda impone che l'esito negativo si verbalizzi con lo stesso rigore del positivo: che cosa è stato cercato, dove, quando, da chi, con quale perimetro. Applicato qui significa che ogni omologia cercata e non trovata produce un verbale e non un silenzio. Il verbale impedisce di ricercare due volte e disegna, accumulandosi, la mappa di ciò che non si potrà più sapere.</w:t>
      </w:r>
    </w:p>
    <w:p>
      <w:pPr>
        <w:spacing w:after="120" w:line="276"/>
        <w:jc w:val="both"/>
      </w:pPr>
      <w:r>
        <w:rPr>
          <w:rFonts w:ascii="Barlow Semi Condensed" w:cs="Barlow Semi Condensed" w:eastAsia="Barlow Semi Condensed" w:hAnsi="Barlow Semi Condensed"/>
          <w:b/>
          <w:bCs/>
          <w:sz w:val="24"/>
          <w:szCs w:val="24"/>
        </w:rPr>
        <w:t xml:space="preserve">463 · Il documento citato e mai visto.</w:t>
      </w:r>
      <w:r>
        <w:rPr>
          <w:rFonts w:ascii="Barlow Semi Condensed" w:cs="Barlow Semi Condensed" w:eastAsia="Barlow Semi Condensed" w:hAnsi="Barlow Semi Condensed"/>
          <w:sz w:val="24"/>
          <w:szCs w:val="24"/>
        </w:rPr>
        <w:t xml:space="preserve"> Il blocco 267 del manuale censisce mezzo secolo di appunti che risulterebbero, senza segnatura. È la patologia specifica delle attribuzioni di filiazione, dove la carta decisiva è sempre citata da qualcuno che l'ha vista. La regola è netta: o la segnatura, o la scheda del citato e non reperito. Un documento senza indirizzo non entra negli atti, e un'omologia che poggi su di esso non esiste.</w:t>
      </w:r>
    </w:p>
    <w:p>
      <w:pPr>
        <w:spacing w:after="120" w:line="276"/>
        <w:jc w:val="both"/>
      </w:pPr>
      <w:r>
        <w:rPr>
          <w:rFonts w:ascii="Barlow Semi Condensed" w:cs="Barlow Semi Condensed" w:eastAsia="Barlow Semi Condensed" w:hAnsi="Barlow Semi Condensed"/>
          <w:b/>
          <w:bCs/>
          <w:sz w:val="24"/>
          <w:szCs w:val="24"/>
        </w:rPr>
        <w:t xml:space="preserve">464 · Il divieto di inventare la carta.</w:t>
      </w:r>
      <w:r>
        <w:rPr>
          <w:rFonts w:ascii="Barlow Semi Condensed" w:cs="Barlow Semi Condensed" w:eastAsia="Barlow Semi Condensed" w:hAnsi="Barlow Semi Condensed"/>
          <w:sz w:val="24"/>
          <w:szCs w:val="24"/>
        </w:rPr>
        <w:t xml:space="preserve"> Vale come vincolo assoluto dell'opera: non si inventano documenti, protocolli, segnature o citazioni. Dove un ragionamento chiede una carta di cui non si conosce l'esistenza, il blocco la formula come quesito, verificare se esista, reperire, con la sede indicata, e non come asserzione. È la differenza fra un programma di ricerca e una ricostruzione: il primo dice che cosa manca, la seconda finge di averlo già.</w:t>
      </w:r>
    </w:p>
    <w:p>
      <w:pPr>
        <w:spacing w:after="120" w:line="276"/>
        <w:jc w:val="both"/>
      </w:pPr>
      <w:r>
        <w:rPr>
          <w:rFonts w:ascii="Barlow Semi Condensed" w:cs="Barlow Semi Condensed" w:eastAsia="Barlow Semi Condensed" w:hAnsi="Barlow Semi Condensed"/>
          <w:b/>
          <w:bCs/>
          <w:sz w:val="24"/>
          <w:szCs w:val="24"/>
        </w:rPr>
        <w:t xml:space="preserve">465 · L'errore del colpevole collettivo.</w:t>
      </w:r>
      <w:r>
        <w:rPr>
          <w:rFonts w:ascii="Barlow Semi Condensed" w:cs="Barlow Semi Condensed" w:eastAsia="Barlow Semi Condensed" w:hAnsi="Barlow Semi Condensed"/>
          <w:sz w:val="24"/>
          <w:szCs w:val="24"/>
        </w:rPr>
        <w:t xml:space="preserve"> Il blocco 258 del manuale nomina l'errore: furono i servizi, fu la loggia, fu lo Stato. Nella metafora è l'attribuzione di una condotta a un gruppo tassonomico. Il gruppo non agisce: agiscono individui, e la responsabilità è personale. L'antidoto è la scomposizione in atti e omissioni documentati di persone e uffici, uno per uno, oppure il silenzio, che in questa materia è sempre preferibile all'approssimazione.</w:t>
      </w:r>
    </w:p>
    <w:p>
      <w:pPr>
        <w:spacing w:after="120" w:line="276"/>
        <w:jc w:val="both"/>
      </w:pPr>
      <w:r>
        <w:rPr>
          <w:rFonts w:ascii="Barlow Semi Condensed" w:cs="Barlow Semi Condensed" w:eastAsia="Barlow Semi Condensed" w:hAnsi="Barlow Semi Condensed"/>
          <w:b/>
          <w:bCs/>
          <w:sz w:val="24"/>
          <w:szCs w:val="24"/>
        </w:rPr>
        <w:t xml:space="preserve">466 · L'errore della coincidenza promossa.</w:t>
      </w:r>
      <w:r>
        <w:rPr>
          <w:rFonts w:ascii="Barlow Semi Condensed" w:cs="Barlow Semi Condensed" w:eastAsia="Barlow Semi Condensed" w:hAnsi="Barlow Semi Condensed"/>
          <w:sz w:val="24"/>
          <w:szCs w:val="24"/>
        </w:rPr>
        <w:t xml:space="preserve"> Il blocco 260 elenca le coincidenze del caso trattate come firme. La coppia omologia-analogia ne dà la formula generale: una coincidenza è un carattere condiviso senza discendenza dimostrata, e resta tale finché la discendenza non sia dimostrata. Il posto di una coincidenza è la riga di una matrice, con le sue ipotesi alternative accanto, e non la conclusione di un capitolo o il titolo di un articolo.</w:t>
      </w:r>
    </w:p>
    <w:p>
      <w:pPr>
        <w:spacing w:after="120" w:line="276"/>
        <w:jc w:val="both"/>
      </w:pPr>
      <w:r>
        <w:rPr>
          <w:rFonts w:ascii="Barlow Semi Condensed" w:cs="Barlow Semi Condensed" w:eastAsia="Barlow Semi Condensed" w:hAnsi="Barlow Semi Condensed"/>
          <w:b/>
          <w:bCs/>
          <w:sz w:val="24"/>
          <w:szCs w:val="24"/>
        </w:rPr>
        <w:t xml:space="preserve">467 · L'errore della domanda sbagliata.</w:t>
      </w:r>
      <w:r>
        <w:rPr>
          <w:rFonts w:ascii="Barlow Semi Condensed" w:cs="Barlow Semi Condensed" w:eastAsia="Barlow Semi Condensed" w:hAnsi="Barlow Semi Condensed"/>
          <w:sz w:val="24"/>
          <w:szCs w:val="24"/>
        </w:rPr>
        <w:t xml:space="preserve"> Il blocco 269 registra la domanda che rovina ogni indagine, chi c'era dietro, posta per prima al posto di che cosa è documentato. Tradotta qui: si comincia chiedendo che cosa sia omologo, non chi discenda da chi. La sequenza obbligata resta reperto, carta, matrice, e soltanto alla fine, se gli atti ve la portano, la persona. Invertirla produce alberi bellissimi e falsi.</w:t>
      </w:r>
    </w:p>
    <w:p>
      <w:pPr>
        <w:spacing w:after="120" w:line="276"/>
        <w:jc w:val="both"/>
      </w:pPr>
      <w:r>
        <w:rPr>
          <w:rFonts w:ascii="Barlow Semi Condensed" w:cs="Barlow Semi Condensed" w:eastAsia="Barlow Semi Condensed" w:hAnsi="Barlow Semi Condensed"/>
          <w:b/>
          <w:bCs/>
          <w:sz w:val="24"/>
          <w:szCs w:val="24"/>
        </w:rPr>
        <w:t xml:space="preserve">468 · L'errore del perimetro infinito.</w:t>
      </w:r>
      <w:r>
        <w:rPr>
          <w:rFonts w:ascii="Barlow Semi Condensed" w:cs="Barlow Semi Condensed" w:eastAsia="Barlow Semi Condensed" w:hAnsi="Barlow Semi Condensed"/>
          <w:sz w:val="24"/>
          <w:szCs w:val="24"/>
        </w:rPr>
        <w:t xml:space="preserve"> Il blocco 273 descrive il caso allargato fino a contenere ogni mistero d'Italia, e perciò insolubile. È il rischio specifico di un'analisi di omologie, perché ogni somiglianza invita a un confronto in più e la rete cresce senza che cresca la documentazione. La regola di contenimento è la stessa: ogni allargamento esige una matrice nuova, con un'evidenza discriminante possibile e nominata in anticipo.</w:t>
      </w:r>
    </w:p>
    <w:p>
      <w:pPr>
        <w:spacing w:after="120" w:line="276"/>
        <w:jc w:val="both"/>
      </w:pPr>
      <w:r>
        <w:rPr>
          <w:rFonts w:ascii="Barlow Semi Condensed" w:cs="Barlow Semi Condensed" w:eastAsia="Barlow Semi Condensed" w:hAnsi="Barlow Semi Condensed"/>
          <w:b/>
          <w:bCs/>
          <w:sz w:val="24"/>
          <w:szCs w:val="24"/>
        </w:rPr>
        <w:t xml:space="preserve">469 · I paralleli, dichiarati per quello che sono.</w:t>
      </w:r>
      <w:r>
        <w:rPr>
          <w:rFonts w:ascii="Barlow Semi Condensed" w:cs="Barlow Semi Condensed" w:eastAsia="Barlow Semi Condensed" w:hAnsi="Barlow Semi Condensed"/>
          <w:sz w:val="24"/>
          <w:szCs w:val="24"/>
        </w:rPr>
        <w:t xml:space="preserve"> Il corpus registra sei paralleli strutturali fra i due casi e li intitola espressamente analogie non causali: l'esecuzione deliberata, il potere che teme più il prigioniero vivo, il testo autografo conteso, la trasfigurazione postuma in icona, gli anniversari come campi di battaglia della memoria, le due vulgate del tradimento. La qualificazione sta nel titolo della tabella, ed è la cosa più importante che quella tabella contenga.</w:t>
      </w:r>
    </w:p>
    <w:p>
      <w:pPr>
        <w:spacing w:after="120" w:line="276"/>
        <w:jc w:val="both"/>
      </w:pPr>
      <w:r>
        <w:rPr>
          <w:rFonts w:ascii="Barlow Semi Condensed" w:cs="Barlow Semi Condensed" w:eastAsia="Barlow Semi Condensed" w:hAnsi="Barlow Semi Condensed"/>
          <w:b/>
          <w:bCs/>
          <w:sz w:val="24"/>
          <w:szCs w:val="24"/>
        </w:rPr>
        <w:t xml:space="preserve">470 · L'analogia più insidiosa.</w:t>
      </w:r>
      <w:r>
        <w:rPr>
          <w:rFonts w:ascii="Barlow Semi Condensed" w:cs="Barlow Semi Condensed" w:eastAsia="Barlow Semi Condensed" w:hAnsi="Barlow Semi Condensed"/>
          <w:sz w:val="24"/>
          <w:szCs w:val="24"/>
        </w:rPr>
        <w:t xml:space="preserve"> Fra quei nodi il più insidioso è l'ombra statunitense sulle due morti. I singoli fatti sono documentati, la simmetria è reale, e proprio per questo la conclusione del corpus è tanto più necessaria: due vicende distinte, in due decenni e due continenti, che condividono una cornice e non un centro. La simmetria è un'analogia perfetta, e le analogie perfette sono le più ingannevoli di tutte.</w:t>
      </w:r>
    </w:p>
    <w:p>
      <w:pPr>
        <w:spacing w:after="120" w:line="276"/>
        <w:jc w:val="both"/>
      </w:pPr>
      <w:r>
        <w:rPr>
          <w:rFonts w:ascii="Barlow Semi Condensed" w:cs="Barlow Semi Condensed" w:eastAsia="Barlow Semi Condensed" w:hAnsi="Barlow Semi Condensed"/>
          <w:b/>
          <w:bCs/>
          <w:sz w:val="24"/>
          <w:szCs w:val="24"/>
        </w:rPr>
        <w:t xml:space="preserve">471 · La simmetria a specchio.</w:t>
      </w:r>
      <w:r>
        <w:rPr>
          <w:rFonts w:ascii="Barlow Semi Condensed" w:cs="Barlow Semi Condensed" w:eastAsia="Barlow Semi Condensed" w:hAnsi="Barlow Semi Condensed"/>
          <w:sz w:val="24"/>
          <w:szCs w:val="24"/>
        </w:rPr>
        <w:t xml:space="preserve"> Fra le divergenze strutturali il corpus annota che il rapporto fra i due uomini è a specchio e non ad analogia: uno insorgente contro lo Stato, l'altro vertice dello Stato colpito da insorgenti che si richiamavano al primo. È una relazione invertita, non una somiglianza. In sistematica corrisponde a caratteri complementari, che sembrano appaiati senza che l'appaiamento implichi alcuna vicinanza nell'albero.</w:t>
      </w:r>
    </w:p>
    <w:p>
      <w:pPr>
        <w:spacing w:after="120" w:line="276"/>
        <w:jc w:val="both"/>
      </w:pPr>
      <w:r>
        <w:rPr>
          <w:rFonts w:ascii="Barlow Semi Condensed" w:cs="Barlow Semi Condensed" w:eastAsia="Barlow Semi Condensed" w:hAnsi="Barlow Semi Condensed"/>
          <w:b/>
          <w:bCs/>
          <w:sz w:val="24"/>
          <w:szCs w:val="24"/>
        </w:rPr>
        <w:t xml:space="preserve">472 · L'ostilità con radici opposte.</w:t>
      </w:r>
      <w:r>
        <w:rPr>
          <w:rFonts w:ascii="Barlow Semi Condensed" w:cs="Barlow Semi Condensed" w:eastAsia="Barlow Semi Condensed" w:hAnsi="Barlow Semi Condensed"/>
          <w:sz w:val="24"/>
          <w:szCs w:val="24"/>
        </w:rPr>
        <w:t xml:space="preserve"> La terza divergenza registrata è la più utile a questa serie: il rivoluzionario argentino fu critico radicale dell'Unione Sovietica da sinistra, mentre il progetto italiano di allargamento della base democratica era osteggiato a Washington senza essere filosovietico. L'ostilità che colpì i due uomini ha dunque radici opposte. Due effetti simili da cause contrarie: è la definizione stessa di analogia, ed è documentata.</w:t>
      </w:r>
    </w:p>
    <w:p>
      <w:pPr>
        <w:spacing w:after="120" w:line="276"/>
        <w:jc w:val="both"/>
      </w:pPr>
      <w:r>
        <w:rPr>
          <w:rFonts w:ascii="Barlow Semi Condensed" w:cs="Barlow Semi Condensed" w:eastAsia="Barlow Semi Condensed" w:hAnsi="Barlow Semi Condensed"/>
          <w:b/>
          <w:bCs/>
          <w:sz w:val="24"/>
          <w:szCs w:val="24"/>
        </w:rPr>
        <w:t xml:space="preserve">473 · Il decennale e la vigilia.</w:t>
      </w:r>
      <w:r>
        <w:rPr>
          <w:rFonts w:ascii="Barlow Semi Condensed" w:cs="Barlow Semi Condensed" w:eastAsia="Barlow Semi Condensed" w:hAnsi="Barlow Semi Condensed"/>
          <w:sz w:val="24"/>
          <w:szCs w:val="24"/>
        </w:rPr>
        <w:t xml:space="preserve"> Il corpus registra che il decennale della morte del Che cadde nell'ottobre 1977, pochi mesi prima di via Fani, nell'Italia del movimento di quell'anno. È contemporaneità, e la contemporaneità non è nesso. Il dato conserva valore come descrizione del repertorio simbolico di un'area, che è un fatto d'ambiente, e non ne acquista alcuno come indizio di rapporto, che sarebbe il salto vietato.</w:t>
      </w:r>
    </w:p>
    <w:p>
      <w:pPr>
        <w:spacing w:after="120" w:line="276"/>
        <w:jc w:val="both"/>
      </w:pPr>
      <w:r>
        <w:rPr>
          <w:rFonts w:ascii="Barlow Semi Condensed" w:cs="Barlow Semi Condensed" w:eastAsia="Barlow Semi Condensed" w:hAnsi="Barlow Semi Condensed"/>
          <w:b/>
          <w:bCs/>
          <w:sz w:val="24"/>
          <w:szCs w:val="24"/>
        </w:rPr>
        <w:t xml:space="preserve">474 · Il caso indeciso e la memoria pubblica.</w:t>
      </w:r>
      <w:r>
        <w:rPr>
          <w:rFonts w:ascii="Barlow Semi Condensed" w:cs="Barlow Semi Condensed" w:eastAsia="Barlow Semi Condensed" w:hAnsi="Barlow Semi Condensed"/>
          <w:sz w:val="24"/>
          <w:szCs w:val="24"/>
        </w:rPr>
        <w:t xml:space="preserve"> Un caso indeciso non è materia neutra, perché la sua sopravvivenza pubblica dipende da come è scritto. Un'analogia registrata con la sua qualificazione resta un'analogia; la stessa analogia raccontata senza qualificazione diventa, in due passaggi di citazione, una filiazione acquisita. Il presidio del garante nasce da questa osservazione: i nomi vivono più a lungo delle cautele, e la cornice si dimentica prima del contenuto.</w:t>
      </w:r>
    </w:p>
    <w:p>
      <w:pPr>
        <w:spacing w:after="120" w:line="276"/>
        <w:jc w:val="both"/>
      </w:pPr>
      <w:r>
        <w:rPr>
          <w:rFonts w:ascii="Barlow Semi Condensed" w:cs="Barlow Semi Condensed" w:eastAsia="Barlow Semi Condensed" w:hAnsi="Barlow Semi Condensed"/>
          <w:b/>
          <w:bCs/>
          <w:sz w:val="24"/>
          <w:szCs w:val="24"/>
        </w:rPr>
        <w:t xml:space="preserve">475 · La forma del blocco come garanzia.</w:t>
      </w:r>
      <w:r>
        <w:rPr>
          <w:rFonts w:ascii="Barlow Semi Condensed" w:cs="Barlow Semi Condensed" w:eastAsia="Barlow Semi Condensed" w:hAnsi="Barlow Semi Condensed"/>
          <w:sz w:val="24"/>
          <w:szCs w:val="24"/>
        </w:rPr>
        <w:t xml:space="preserve"> Ne discende una prescrizione di forma per tutta la serie: la qualificazione sta nel corpo del blocco, non in una premessa generale. Ogni volta che si registra una somiglianza, il grado e lo statuto, omologia documentata, analogia o caso indeciso, devono comparire nella stessa frase. Una cautela collocata altrove è una cautela che non viaggia insieme al dato, e dunque non lo protegge.</w:t>
      </w:r>
    </w:p>
    <w:p>
      <w:pPr>
        <w:spacing w:after="120" w:line="276"/>
        <w:jc w:val="both"/>
      </w:pPr>
      <w:r>
        <w:rPr>
          <w:rFonts w:ascii="Barlow Semi Condensed" w:cs="Barlow Semi Condensed" w:eastAsia="Barlow Semi Condensed" w:hAnsi="Barlow Semi Condensed"/>
          <w:b/>
          <w:bCs/>
          <w:sz w:val="24"/>
          <w:szCs w:val="24"/>
        </w:rPr>
        <w:t xml:space="preserve">476 · Il fenotipo dell'opera.</w:t>
      </w:r>
      <w:r>
        <w:rPr>
          <w:rFonts w:ascii="Barlow Semi Condensed" w:cs="Barlow Semi Condensed" w:eastAsia="Barlow Semi Condensed" w:hAnsi="Barlow Semi Condensed"/>
          <w:sz w:val="24"/>
          <w:szCs w:val="24"/>
        </w:rPr>
        <w:t xml:space="preserve"> La metafora si può rivolgere anche verso l'opera stessa. Il corpus si è misurato: trentanove nodi e cinquantanove archi, ciascuno col proprio grado, quasi la metà al grado massimo, mentre un grafo dietrologico avrebbe la proporzione inversa. È un fenotipo osservabile, e osservabile da chiunque rifaccia il conto: la falsificabilità non è dichiarata in premessa, è distribuita nel corpo dell'opera e verificabile a campione.</w:t>
      </w:r>
    </w:p>
    <w:p>
      <w:pPr>
        <w:spacing w:after="120" w:line="276"/>
        <w:jc w:val="both"/>
      </w:pPr>
      <w:r>
        <w:rPr>
          <w:rFonts w:ascii="Barlow Semi Condensed" w:cs="Barlow Semi Condensed" w:eastAsia="Barlow Semi Condensed" w:hAnsi="Barlow Semi Condensed"/>
          <w:b/>
          <w:bCs/>
          <w:sz w:val="24"/>
          <w:szCs w:val="24"/>
        </w:rPr>
        <w:t xml:space="preserve">477 · Il ponte documentale.</w:t>
      </w:r>
      <w:r>
        <w:rPr>
          <w:rFonts w:ascii="Barlow Semi Condensed" w:cs="Barlow Semi Condensed" w:eastAsia="Barlow Semi Condensed" w:hAnsi="Barlow Semi Condensed"/>
          <w:sz w:val="24"/>
          <w:szCs w:val="24"/>
        </w:rPr>
        <w:t xml:space="preserve"> Nella rete del corpus il nodo con la seconda intermediazione più alta è un collettivo durato pochi mesi nel 1969, che porta meno del cinque per cento delle connessioni e quasi un quarto dell'intermediazione del comparto non brigatista. È la figura che la teoria delle reti chiama ponte. E vale la regola anteposta a ogni lettura: la centralità misura la densità della documentazione, non la responsabilità.</w:t>
      </w:r>
    </w:p>
    <w:p>
      <w:pPr>
        <w:spacing w:after="120" w:line="276"/>
        <w:jc w:val="both"/>
      </w:pPr>
      <w:r>
        <w:rPr>
          <w:rFonts w:ascii="Barlow Semi Condensed" w:cs="Barlow Semi Condensed" w:eastAsia="Barlow Semi Condensed" w:hAnsi="Barlow Semi Condensed"/>
          <w:b/>
          <w:bCs/>
          <w:sz w:val="24"/>
          <w:szCs w:val="24"/>
        </w:rPr>
        <w:t xml:space="preserve">478 · Il ponte non è un antenato.</w:t>
      </w:r>
      <w:r>
        <w:rPr>
          <w:rFonts w:ascii="Barlow Semi Condensed" w:cs="Barlow Semi Condensed" w:eastAsia="Barlow Semi Condensed" w:hAnsi="Barlow Semi Condensed"/>
          <w:sz w:val="24"/>
          <w:szCs w:val="24"/>
        </w:rPr>
        <w:t xml:space="preserve"> Segue il corollario che questa serie deve enunciare, perché è il punto in cui la rete e la filogenesi si confondono. Un nodo-ponte è tale perché per esso passano i cammini documentali, ed è dunque una proprietà della documentazione. Un antenato comune è invece un fatto del mondo. Scambiare il primo per il secondo significa trasformare la storia degli spogli d'archivio nella storia degli eventi.</w:t>
      </w:r>
    </w:p>
    <w:p>
      <w:pPr>
        <w:spacing w:after="120" w:line="276"/>
        <w:jc w:val="both"/>
      </w:pPr>
      <w:r>
        <w:rPr>
          <w:rFonts w:ascii="Barlow Semi Condensed" w:cs="Barlow Semi Condensed" w:eastAsia="Barlow Semi Condensed" w:hAnsi="Barlow Semi Condensed"/>
          <w:b/>
          <w:bCs/>
          <w:sz w:val="24"/>
          <w:szCs w:val="24"/>
        </w:rPr>
        <w:t xml:space="preserve">479 · Senza grado non c'è cammino.</w:t>
      </w:r>
      <w:r>
        <w:rPr>
          <w:rFonts w:ascii="Barlow Semi Condensed" w:cs="Barlow Semi Condensed" w:eastAsia="Barlow Semi Condensed" w:hAnsi="Barlow Semi Condensed"/>
          <w:sz w:val="24"/>
          <w:szCs w:val="24"/>
        </w:rPr>
        <w:t xml:space="preserve"> La seconda campagna registra una conseguenza operativa che vale come vincolo: la regola dell'anello debole non è calcolabile finché le sinapsi non sono gradate, perché nella costruzione della rete si gradua la sinapsi e non il neurone. Tradotto in filogenesi, si assegna un valore di supporto al ramo e non al taxon. Un albero senza supporti sui rami non è un albero: è un disegno.</w:t>
      </w:r>
    </w:p>
    <w:p>
      <w:pPr>
        <w:spacing w:after="120" w:line="276"/>
        <w:jc w:val="both"/>
      </w:pPr>
      <w:r>
        <w:rPr>
          <w:rFonts w:ascii="Barlow Semi Condensed" w:cs="Barlow Semi Condensed" w:eastAsia="Barlow Semi Condensed" w:hAnsi="Barlow Semi Condensed"/>
          <w:b/>
          <w:bCs/>
          <w:sz w:val="24"/>
          <w:szCs w:val="24"/>
        </w:rPr>
        <w:t xml:space="preserve">480 · Il quesito sull'addestramento.</w:t>
      </w:r>
      <w:r>
        <w:rPr>
          <w:rFonts w:ascii="Barlow Semi Condensed" w:cs="Barlow Semi Condensed" w:eastAsia="Barlow Semi Condensed" w:hAnsi="Barlow Semi Condensed"/>
          <w:sz w:val="24"/>
          <w:szCs w:val="24"/>
        </w:rPr>
        <w:t xml:space="preserve"> Fra i caratteri che potrebbero portare segnale, il più promettente è l'addestramento, perché una scuola comune è un antenato comune quando è documentata. Il quesito si formula senza asserire nulla: verificare se esistano atti che attestino la frequentazione di un medesimo luogo di addestramento da parte di membri di reti distinte, con nomi e date, indicando le sedi processuali e archivistiche presso cui cercarli.</w:t>
      </w:r>
    </w:p>
    <w:p>
      <w:pPr>
        <w:spacing w:after="120" w:line="276"/>
        <w:jc w:val="both"/>
      </w:pPr>
      <w:r>
        <w:rPr>
          <w:rFonts w:ascii="Barlow Semi Condensed" w:cs="Barlow Semi Condensed" w:eastAsia="Barlow Semi Condensed" w:hAnsi="Barlow Semi Condensed"/>
          <w:b/>
          <w:bCs/>
          <w:sz w:val="24"/>
          <w:szCs w:val="24"/>
        </w:rPr>
        <w:t xml:space="preserve">481 · Il quesito sul finanziamento.</w:t>
      </w:r>
      <w:r>
        <w:rPr>
          <w:rFonts w:ascii="Barlow Semi Condensed" w:cs="Barlow Semi Condensed" w:eastAsia="Barlow Semi Condensed" w:hAnsi="Barlow Semi Condensed"/>
          <w:sz w:val="24"/>
          <w:szCs w:val="24"/>
        </w:rPr>
        <w:t xml:space="preserve"> Il secondo carattere promettente è il flusso di denaro, perché lascia carta seriale: mandati, ricevute, registri, note di spesa. Il quesito è documentale e va scritto come tale: reperire, nei fondi già versati e in quelli da desecretare, atti contabili che colleghino nominativamente due strutture. Un flusso documentato sta al piano 1; un flusso dedotto dalla sola disponibilità di mezzi sta al piano 3.</w:t>
      </w:r>
    </w:p>
    <w:p>
      <w:pPr>
        <w:spacing w:after="120" w:line="276"/>
        <w:jc w:val="both"/>
      </w:pPr>
      <w:r>
        <w:rPr>
          <w:rFonts w:ascii="Barlow Semi Condensed" w:cs="Barlow Semi Condensed" w:eastAsia="Barlow Semi Condensed" w:hAnsi="Barlow Semi Condensed"/>
          <w:b/>
          <w:bCs/>
          <w:sz w:val="24"/>
          <w:szCs w:val="24"/>
        </w:rPr>
        <w:t xml:space="preserve">482 · Il quesito sui testi tecnici.</w:t>
      </w:r>
      <w:r>
        <w:rPr>
          <w:rFonts w:ascii="Barlow Semi Condensed" w:cs="Barlow Semi Condensed" w:eastAsia="Barlow Semi Condensed" w:hAnsi="Barlow Semi Condensed"/>
          <w:sz w:val="24"/>
          <w:szCs w:val="24"/>
        </w:rPr>
        <w:t xml:space="preserve"> Il terzo carattere è testuale, ed è quello che la filologia sa trattare meglio: i testi operativi e la loro trasmissione. Verificare se manuali in circolazione presso strutture diverse condividano errori, omissioni o particolarità di copia è un accertamento eseguibile su reperti già in atti. È il tipo di carattere arbitrario che porta segnale, e insieme il tipo di verifica che può chiudere in negativo.</w:t>
      </w:r>
    </w:p>
    <w:p>
      <w:pPr>
        <w:spacing w:after="120" w:line="276"/>
        <w:jc w:val="both"/>
      </w:pPr>
      <w:r>
        <w:rPr>
          <w:rFonts w:ascii="Barlow Semi Condensed" w:cs="Barlow Semi Condensed" w:eastAsia="Barlow Semi Condensed" w:hAnsi="Barlow Semi Condensed"/>
          <w:b/>
          <w:bCs/>
          <w:sz w:val="24"/>
          <w:szCs w:val="24"/>
        </w:rPr>
        <w:t xml:space="preserve">483 · Il bilancio della serie.</w:t>
      </w:r>
      <w:r>
        <w:rPr>
          <w:rFonts w:ascii="Barlow Semi Condensed" w:cs="Barlow Semi Condensed" w:eastAsia="Barlow Semi Condensed" w:hAnsi="Barlow Semi Condensed"/>
          <w:sz w:val="24"/>
          <w:szCs w:val="24"/>
        </w:rPr>
        <w:t xml:space="preserve"> La serie non stabilisce alcuna omologia nuova. Registra una distinzione, ne deriva criteri, li applica a casi che il corpus già possedeva e consegna tre quesiti documentali con le loro sedi. È l'esito che un lavoro di metodo deve produrre: non conferme, ma la misura esatta di ciò che servirebbe per averne. Il fascicolo, come deve, resta aperto.</w:t>
      </w:r>
    </w:p>
    <w:p>
      <w:pPr>
        <w:spacing w:after="120" w:line="276"/>
        <w:jc w:val="both"/>
      </w:pPr>
      <w:r>
        <w:rPr>
          <w:rFonts w:ascii="Barlow Semi Condensed" w:cs="Barlow Semi Condensed" w:eastAsia="Barlow Semi Condensed" w:hAnsi="Barlow Semi Condensed"/>
          <w:b/>
          <w:bCs/>
          <w:sz w:val="24"/>
          <w:szCs w:val="24"/>
        </w:rPr>
        <w:t xml:space="preserve">484 · Che cosa smentirebbe questa serie (serie VI).</w:t>
      </w:r>
      <w:r>
        <w:rPr>
          <w:rFonts w:ascii="Barlow Semi Condensed" w:cs="Barlow Semi Condensed" w:eastAsia="Barlow Semi Condensed" w:hAnsi="Barlow Semi Condensed"/>
          <w:sz w:val="24"/>
          <w:szCs w:val="24"/>
        </w:rPr>
        <w:t xml:space="preserve"> La domanda del Pollo di Popper si rivolge anche qui. La serie cadrebbe davanti a un documento di provenienza, coevo, esterno, autenticato e nominativo, che attestasse una filiazione fra due delle strutture confrontate. Non davanti a una somiglianza in più, non davanti a una testimonianza terziaria, non davanti a un'ulteriore coincidenza di date. Il criterio è dichiarato prima, ed è ciò che rende la serie attaccabile.</w:t>
      </w:r>
    </w:p>
    <w:p>
      <w:pPr>
        <w:spacing w:after="120" w:line="276"/>
        <w:jc w:val="both"/>
      </w:pPr>
      <w:r>
        <w:rPr>
          <w:rFonts w:ascii="Barlow Semi Condensed" w:cs="Barlow Semi Condensed" w:eastAsia="Barlow Semi Condensed" w:hAnsi="Barlow Semi Condensed"/>
          <w:b/>
          <w:bCs/>
          <w:sz w:val="24"/>
          <w:szCs w:val="24"/>
        </w:rPr>
        <w:t xml:space="preserve">485 · Riga di chiusura.</w:t>
      </w:r>
      <w:r>
        <w:rPr>
          <w:rFonts w:ascii="Barlow Semi Condensed" w:cs="Barlow Semi Condensed" w:eastAsia="Barlow Semi Condensed" w:hAnsi="Barlow Semi Condensed"/>
          <w:sz w:val="24"/>
          <w:szCs w:val="24"/>
        </w:rPr>
        <w:t xml:space="preserve"> Blocchi della serie: novantacinque. Omologie nuove stabilite: nessuna. Analogie qualificate come tali: i sei paralleli del corpus, più i casi europei confrontati. Stati Zero richiamati: due, l'isomorfismo delle reti e il dossier privo di fonti primarie. Quesiti documentali formulati con sede: tre. Fermate imposte alla metafora: due, sul determinismo e sulla colpa ereditaria. Persone indicate come responsabili di reato: nessuna, e mai.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settima — Il vettore e la trasmissione orizzontale</w:t>
      </w:r>
    </w:p>
    <w:p>
      <w:pPr>
        <w:spacing w:after="120" w:line="276"/>
        <w:jc w:val="both"/>
      </w:pPr>
      <w:r>
        <w:rPr>
          <w:rFonts w:ascii="Barlow Semi Condensed" w:cs="Barlow Semi Condensed" w:eastAsia="Barlow Semi Condensed" w:hAnsi="Barlow Semi Condensed"/>
          <w:i/>
          <w:iCs/>
          <w:sz w:val="24"/>
          <w:szCs w:val="24"/>
        </w:rPr>
        <w:t xml:space="preserve">Blocchi 486-560.</w:t>
      </w:r>
    </w:p>
    <w:p>
      <w:pPr>
        <w:spacing w:after="120" w:line="276"/>
        <w:jc w:val="both"/>
      </w:pPr>
      <w:r>
        <w:rPr>
          <w:rFonts w:ascii="Barlow Semi Condensed" w:cs="Barlow Semi Condensed" w:eastAsia="Barlow Semi Condensed" w:hAnsi="Barlow Semi Condensed"/>
          <w:b/>
          <w:bCs/>
          <w:sz w:val="24"/>
          <w:szCs w:val="24"/>
        </w:rPr>
        <w:t xml:space="preserve">486 · La trasmissione orizzontale, definita.</w:t>
      </w:r>
      <w:r>
        <w:rPr>
          <w:rFonts w:ascii="Barlow Semi Condensed" w:cs="Barlow Semi Condensed" w:eastAsia="Barlow Semi Condensed" w:hAnsi="Barlow Semi Condensed"/>
          <w:sz w:val="24"/>
          <w:szCs w:val="24"/>
        </w:rPr>
        <w:t xml:space="preserve"> In biologia il materiale genetico non passa soltanto da genitore a figlio: passa anche fra organismi non imparentati, per virus, plasmidi, coniugazione. La lente dichiarata dal committente propone di leggere così i canali della storia — ambasciate, servizi, fondazioni, stampa, conferenze — che trasferiscono contenuti fra ambienti privi di discendenza comune. La lente serve a formulare quesiti più precisi sui canali; non autorizza a dedurre che, dove esiste un canale, qualcosa vi sia passato.</w:t>
      </w:r>
    </w:p>
    <w:p>
      <w:pPr>
        <w:spacing w:after="120" w:line="276"/>
        <w:jc w:val="both"/>
      </w:pPr>
      <w:r>
        <w:rPr>
          <w:rFonts w:ascii="Barlow Semi Condensed" w:cs="Barlow Semi Condensed" w:eastAsia="Barlow Semi Condensed" w:hAnsi="Barlow Semi Condensed"/>
          <w:b/>
          <w:bCs/>
          <w:sz w:val="24"/>
          <w:szCs w:val="24"/>
        </w:rPr>
        <w:t xml:space="preserve">487 · Che cos'è un vettore documentato.</w:t>
      </w:r>
      <w:r>
        <w:rPr>
          <w:rFonts w:ascii="Barlow Semi Condensed" w:cs="Barlow Semi Condensed" w:eastAsia="Barlow Semi Condensed" w:hAnsi="Barlow Semi Condensed"/>
          <w:sz w:val="24"/>
          <w:szCs w:val="24"/>
        </w:rPr>
        <w:t xml:space="preserve"> Si chiama vettore documentato un canale per cui risulti provato, con carta datata, che un contenuto identificabile è passato da un capo all'altro. Tre requisiti insieme: l'esistenza materiale del canale, la sua attivazione in una data, l'identificabilità di ciò che vi transitò. Se manca il terzo si ha un canale documentato e un contenuto ignoto, e va scritto così, senza colmare il terzo requisito con la verosimiglianza.</w:t>
      </w:r>
    </w:p>
    <w:p>
      <w:pPr>
        <w:spacing w:after="120" w:line="276"/>
        <w:jc w:val="both"/>
      </w:pPr>
      <w:r>
        <w:rPr>
          <w:rFonts w:ascii="Barlow Semi Condensed" w:cs="Barlow Semi Condensed" w:eastAsia="Barlow Semi Condensed" w:hAnsi="Barlow Semi Condensed"/>
          <w:b/>
          <w:bCs/>
          <w:sz w:val="24"/>
          <w:szCs w:val="24"/>
        </w:rPr>
        <w:t xml:space="preserve">488 · Il contatto occasionale non è vettore.</w:t>
      </w:r>
      <w:r>
        <w:rPr>
          <w:rFonts w:ascii="Barlow Semi Condensed" w:cs="Barlow Semi Condensed" w:eastAsia="Barlow Semi Condensed" w:hAnsi="Barlow Semi Condensed"/>
          <w:sz w:val="24"/>
          <w:szCs w:val="24"/>
        </w:rPr>
        <w:t xml:space="preserve"> Un incontro, una firma sullo stesso atto, una presenza alla stessa conferenza sono contatti: fatti puntuali, spesso pubblici, di norma verificabili. Diventano vettore soltanto se si documentano ripetizione, direzione e oggetto. La griglia della cartella Farnesina lo dice per gradi: convergenza di obiettivo documentata, simultaneità di reazione, comunanza di ambiente istituzionale, mera contemporaneità cronologica. Le ultime due non sono canali ma coabitazioni, e promuoverle a vettore è l'errore tipico della materia.</w:t>
      </w:r>
    </w:p>
    <w:p>
      <w:pPr>
        <w:spacing w:after="120" w:line="276"/>
        <w:jc w:val="both"/>
      </w:pPr>
      <w:r>
        <w:rPr>
          <w:rFonts w:ascii="Barlow Semi Condensed" w:cs="Barlow Semi Condensed" w:eastAsia="Barlow Semi Condensed" w:hAnsi="Barlow Semi Condensed"/>
          <w:b/>
          <w:bCs/>
          <w:sz w:val="24"/>
          <w:szCs w:val="24"/>
        </w:rPr>
        <w:t xml:space="preserve">489 · Il documento dovuto del vettore.</w:t>
      </w:r>
      <w:r>
        <w:rPr>
          <w:rFonts w:ascii="Barlow Semi Condensed" w:cs="Barlow Semi Condensed" w:eastAsia="Barlow Semi Condensed" w:hAnsi="Barlow Semi Condensed"/>
          <w:sz w:val="24"/>
          <w:szCs w:val="24"/>
        </w:rPr>
        <w:t xml:space="preserve"> Il blocco 10 del manuale investigativo fissa la regola che il vettore rende operativa: un procedimento che esiste produce carta. Un'ambasciata protocolla, un comitato verbalizza, un finanziamento lascia un mandato di pagamento, un colloquio in carcere lascia un registro. Il quesito su un vettore non è mai chi comandava, ma dove giaccia la carta che la sua stessa esistenza ha generato. Se quella carta manca, l'assenza è un dato di grado alto.</w:t>
      </w:r>
    </w:p>
    <w:p>
      <w:pPr>
        <w:spacing w:after="120" w:line="276"/>
        <w:jc w:val="both"/>
      </w:pPr>
      <w:r>
        <w:rPr>
          <w:rFonts w:ascii="Barlow Semi Condensed" w:cs="Barlow Semi Condensed" w:eastAsia="Barlow Semi Condensed" w:hAnsi="Barlow Semi Condensed"/>
          <w:b/>
          <w:bCs/>
          <w:sz w:val="24"/>
          <w:szCs w:val="24"/>
        </w:rPr>
        <w:t xml:space="preserve">490 · I tre assi del canale.</w:t>
      </w:r>
      <w:r>
        <w:rPr>
          <w:rFonts w:ascii="Barlow Semi Condensed" w:cs="Barlow Semi Condensed" w:eastAsia="Barlow Semi Condensed" w:hAnsi="Barlow Semi Condensed"/>
          <w:sz w:val="24"/>
          <w:szCs w:val="24"/>
        </w:rPr>
        <w:t xml:space="preserve"> Un canale si misura su tre assi indipendenti: la direzione, cioè chi verso chi e se il traffico sia reciproco; la frequenza, cioè una volta sola oppure per anni; l'oggetto, cioè informazione, denaro, persone o istruzioni. Ciascun asse si accerta separatamente e con carte proprie. Un canale con direzione certa e oggetto ignoto resta un canale a oggetto ignoto: riempirlo con l'oggetto più grave è precisamente ciò che la disciplina vieta.</w:t>
      </w:r>
    </w:p>
    <w:p>
      <w:pPr>
        <w:spacing w:after="120" w:line="276"/>
        <w:jc w:val="both"/>
      </w:pPr>
      <w:r>
        <w:rPr>
          <w:rFonts w:ascii="Barlow Semi Condensed" w:cs="Barlow Semi Condensed" w:eastAsia="Barlow Semi Condensed" w:hAnsi="Barlow Semi Condensed"/>
          <w:b/>
          <w:bCs/>
          <w:sz w:val="24"/>
          <w:szCs w:val="24"/>
        </w:rPr>
        <w:t xml:space="preserve">491 · Vietato inferire il contenuto dal canale.</w:t>
      </w:r>
      <w:r>
        <w:rPr>
          <w:rFonts w:ascii="Barlow Semi Condensed" w:cs="Barlow Semi Condensed" w:eastAsia="Barlow Semi Condensed" w:hAnsi="Barlow Semi Condensed"/>
          <w:sz w:val="24"/>
          <w:szCs w:val="24"/>
        </w:rPr>
        <w:t xml:space="preserve"> È il divieto centrale di questa serie. Che un canale esista, sia stato usato e colleghi ambienti reciprocamente ostili non dice nulla su che cosa vi sia transitato in una determinata occasione: dal tubo non si deduce il liquido. Chi scrive che c'era il canale, dunque passò l'ordine, compie un salto che nessun grado copre: il canale sta al più ad A o F, l'ordine inferito sta a C, e la catena vale il suo anello minimo.</w:t>
      </w:r>
    </w:p>
    <w:p>
      <w:pPr>
        <w:spacing w:after="120" w:line="276"/>
        <w:jc w:val="both"/>
      </w:pPr>
      <w:r>
        <w:rPr>
          <w:rFonts w:ascii="Barlow Semi Condensed" w:cs="Barlow Semi Condensed" w:eastAsia="Barlow Semi Condensed" w:hAnsi="Barlow Semi Condensed"/>
          <w:b/>
          <w:bCs/>
          <w:sz w:val="24"/>
          <w:szCs w:val="24"/>
        </w:rPr>
        <w:t xml:space="preserve">492 · L'anello debole applicato ai canali.</w:t>
      </w:r>
      <w:r>
        <w:rPr>
          <w:rFonts w:ascii="Barlow Semi Condensed" w:cs="Barlow Semi Condensed" w:eastAsia="Barlow Semi Condensed" w:hAnsi="Barlow Semi Condensed"/>
          <w:sz w:val="24"/>
          <w:szCs w:val="24"/>
        </w:rPr>
        <w:t xml:space="preserve"> La regola formalizzata nel documento di metodo — il grado di un cammino è il grado minimo fra i suoi archi — governa anche i vettori. Un percorso che unisca un colloquio documentato, una conoscenza personale e una militanza giovanile ha il grado dell'anello biografico, non quello del colloquio. È il calcolo già eseguito sul cammino Hyperion-via Fani, di grado F su quattro archi: la forma numerica di ciò che i proscioglimenti dicono da quarant'anni.</w:t>
      </w:r>
    </w:p>
    <w:p>
      <w:pPr>
        <w:spacing w:after="120" w:line="276"/>
        <w:jc w:val="both"/>
      </w:pPr>
      <w:r>
        <w:rPr>
          <w:rFonts w:ascii="Barlow Semi Condensed" w:cs="Barlow Semi Condensed" w:eastAsia="Barlow Semi Condensed" w:hAnsi="Barlow Semi Condensed"/>
          <w:b/>
          <w:bCs/>
          <w:sz w:val="24"/>
          <w:szCs w:val="24"/>
        </w:rPr>
        <w:t xml:space="preserve">493 · Il vettore non è il mandato.</w:t>
      </w:r>
      <w:r>
        <w:rPr>
          <w:rFonts w:ascii="Barlow Semi Condensed" w:cs="Barlow Semi Condensed" w:eastAsia="Barlow Semi Condensed" w:hAnsi="Barlow Semi Condensed"/>
          <w:sz w:val="24"/>
          <w:szCs w:val="24"/>
        </w:rPr>
        <w:t xml:space="preserve"> La regola dei tre piani si applica al vettore con esattezza: piano uno, rapporto diretto documentato fra i due capi; piano due, convergenza strutturale entro la stessa cornice; piano tre, affermazione terziaria priva di riscontro. Solo il piano uno fa ponte. Un vettore accertato al piano uno prova che qualcosa passò; non prova che fosse un'istruzione, né che chi la ricevette l'abbia eseguita. Fra trasmissione e obbedienza corre un accertamento ulteriore, sempre da compiere.</w:t>
      </w:r>
    </w:p>
    <w:p>
      <w:pPr>
        <w:spacing w:after="120" w:line="276"/>
        <w:jc w:val="both"/>
      </w:pPr>
      <w:r>
        <w:rPr>
          <w:rFonts w:ascii="Barlow Semi Condensed" w:cs="Barlow Semi Condensed" w:eastAsia="Barlow Semi Condensed" w:hAnsi="Barlow Semi Condensed"/>
          <w:b/>
          <w:bCs/>
          <w:sz w:val="24"/>
          <w:szCs w:val="24"/>
        </w:rPr>
        <w:t xml:space="preserve">494 · Orizzontale non vuol dire ereditario.</w:t>
      </w:r>
      <w:r>
        <w:rPr>
          <w:rFonts w:ascii="Barlow Semi Condensed" w:cs="Barlow Semi Condensed" w:eastAsia="Barlow Semi Condensed" w:hAnsi="Barlow Semi Condensed"/>
          <w:sz w:val="24"/>
          <w:szCs w:val="24"/>
        </w:rPr>
        <w:t xml:space="preserve"> La lente genetica va tenuta pulita in un punto: la trasmissione orizzontale è l'opposto dell'ereditarietà, non un suo caso particolare. Chi riceve per vettore non discende da chi trasmette e non ne eredita né la natura né le colpe. Confondere i due modi produce l'errore peggiore della materia, la genealogia trattata come catena di comando. Il corpus lo ha già nominato: il ceppo del 1969 è ponte documentale, non origine di responsabilità.</w:t>
      </w:r>
    </w:p>
    <w:p>
      <w:pPr>
        <w:spacing w:after="120" w:line="276"/>
        <w:jc w:val="both"/>
      </w:pPr>
      <w:r>
        <w:rPr>
          <w:rFonts w:ascii="Barlow Semi Condensed" w:cs="Barlow Semi Condensed" w:eastAsia="Barlow Semi Condensed" w:hAnsi="Barlow Semi Condensed"/>
          <w:b/>
          <w:bCs/>
          <w:sz w:val="24"/>
          <w:szCs w:val="24"/>
        </w:rPr>
        <w:t xml:space="preserve">495 · Il vettore inerte.</w:t>
      </w:r>
      <w:r>
        <w:rPr>
          <w:rFonts w:ascii="Barlow Semi Condensed" w:cs="Barlow Semi Condensed" w:eastAsia="Barlow Semi Condensed" w:hAnsi="Barlow Semi Condensed"/>
          <w:sz w:val="24"/>
          <w:szCs w:val="24"/>
        </w:rPr>
        <w:t xml:space="preserve"> Esiste il caso, frequente e poco studiato, del canale attivo che non trasporta nulla di rilevante: la valigia diplomatica che porta corrispondenza ordinaria, la conferenza dove due delegati si sfiorano senza parlarsi, l'ufficio che protocolla e archivia. Il vettore inerte va censito come tale, perché la sua esistenza è spesso l'unico fatto che la dietrologia trova e su cui costruisce. Censirlo inerte è già smontare la costruzione.</w:t>
      </w:r>
    </w:p>
    <w:p>
      <w:pPr>
        <w:spacing w:after="120" w:line="276"/>
        <w:jc w:val="both"/>
      </w:pPr>
      <w:r>
        <w:rPr>
          <w:rFonts w:ascii="Barlow Semi Condensed" w:cs="Barlow Semi Condensed" w:eastAsia="Barlow Semi Condensed" w:hAnsi="Barlow Semi Condensed"/>
          <w:b/>
          <w:bCs/>
          <w:sz w:val="24"/>
          <w:szCs w:val="24"/>
        </w:rPr>
        <w:t xml:space="preserve">496 · Perché il Cile è il metro.</w:t>
      </w:r>
      <w:r>
        <w:rPr>
          <w:rFonts w:ascii="Barlow Semi Condensed" w:cs="Barlow Semi Condensed" w:eastAsia="Barlow Semi Condensed" w:hAnsi="Barlow Semi Condensed"/>
          <w:sz w:val="24"/>
          <w:szCs w:val="24"/>
        </w:rPr>
        <w:t xml:space="preserve"> Il committente indica il caso cileno come metro, e la scelta è metodologicamente esatta: è uno dei pochissimi casi in cui un organo legislativo ha accertato in pubblico, con documenti, che denaro statale straniero finanziò un quotidiano. Serve dunque non come precedente da estendere per analogia ad altri Paesi, ma come misura di quanto materiale occorra perché un vettore possa dirsi documentato. Il metro si usa per misurare, non per condannare altrove.</w:t>
      </w:r>
    </w:p>
    <w:p>
      <w:pPr>
        <w:spacing w:after="120" w:line="276"/>
        <w:jc w:val="both"/>
      </w:pPr>
      <w:r>
        <w:rPr>
          <w:rFonts w:ascii="Barlow Semi Condensed" w:cs="Barlow Semi Condensed" w:eastAsia="Barlow Semi Condensed" w:hAnsi="Barlow Semi Condensed"/>
          <w:b/>
          <w:bCs/>
          <w:sz w:val="24"/>
          <w:szCs w:val="24"/>
        </w:rPr>
        <w:t xml:space="preserve">497 · Il rapporto del Senato del 1975.</w:t>
      </w:r>
      <w:r>
        <w:rPr>
          <w:rFonts w:ascii="Barlow Semi Condensed" w:cs="Barlow Semi Condensed" w:eastAsia="Barlow Semi Condensed" w:hAnsi="Barlow Semi Condensed"/>
          <w:sz w:val="24"/>
          <w:szCs w:val="24"/>
        </w:rPr>
        <w:t xml:space="preserve"> L'accertamento sta nel rapporto dello staff del Select Committee to Study Governmental Operations with Respect to Intelligence Activities del Senato degli Stati Uniti, «Covert Action in Chile 1963-1973», reso pubblico il 18 dicembre 1975. È accertamento parlamentare — grado B nella scala del corpus, non giudicato — ma di qualità documentale altissima, perché costruito sulle carte d'archivio degli apparati esaminati e non su testimonianze de relato.</w:t>
      </w:r>
    </w:p>
    <w:p>
      <w:pPr>
        <w:spacing w:after="120" w:line="276"/>
        <w:jc w:val="both"/>
      </w:pPr>
      <w:r>
        <w:rPr>
          <w:rFonts w:ascii="Barlow Semi Condensed" w:cs="Barlow Semi Condensed" w:eastAsia="Barlow Semi Condensed" w:hAnsi="Barlow Semi Condensed"/>
          <w:b/>
          <w:bCs/>
          <w:sz w:val="24"/>
          <w:szCs w:val="24"/>
        </w:rPr>
        <w:t xml:space="preserve">498 · Che cosa il rapporto accerta davvero.</w:t>
      </w:r>
      <w:r>
        <w:rPr>
          <w:rFonts w:ascii="Barlow Semi Condensed" w:cs="Barlow Semi Condensed" w:eastAsia="Barlow Semi Condensed" w:hAnsi="Barlow Semi Condensed"/>
          <w:sz w:val="24"/>
          <w:szCs w:val="24"/>
        </w:rPr>
        <w:t xml:space="preserve"> Accerta che fondi statunitensi furono autorizzati e destinati al sostegno del quotidiano El Mercurio, con deliberazioni datate dell'organo competente. Accerta cioè l'autorizzazione e la destinazione. Non accerta, e il testo non lo pretende, il contenuto di singoli articoli, la consapevolezza di ciascun redattore, né l'effetto di quel sostegno sul voto dei lettori. La distinzione fra questi accertamenti è tutta la lezione: sono quattro cose diverse, e vanno provate una per una.</w:t>
      </w:r>
    </w:p>
    <w:p>
      <w:pPr>
        <w:spacing w:after="120" w:line="276"/>
        <w:jc w:val="both"/>
      </w:pPr>
      <w:r>
        <w:rPr>
          <w:rFonts w:ascii="Barlow Semi Condensed" w:cs="Barlow Semi Condensed" w:eastAsia="Barlow Semi Condensed" w:hAnsi="Barlow Semi Condensed"/>
          <w:b/>
          <w:bCs/>
          <w:sz w:val="24"/>
          <w:szCs w:val="24"/>
        </w:rPr>
        <w:t xml:space="preserve">499 · Le cifre e il loro riscontro.</w:t>
      </w:r>
      <w:r>
        <w:rPr>
          <w:rFonts w:ascii="Barlow Semi Condensed" w:cs="Barlow Semi Condensed" w:eastAsia="Barlow Semi Condensed" w:hAnsi="Barlow Semi Condensed"/>
          <w:sz w:val="24"/>
          <w:szCs w:val="24"/>
        </w:rPr>
        <w:t xml:space="preserve"> Le somme che la letteratura riprende dal rapporto — un'autorizzazione nel settembre 1971 e una seconda, maggiore, nell'aprile 1972 — vanno riscontrate sul testo originale prima di ogni uso citazionale, perché la ripresa secondaria arrotonda e talvolta somma voci diverse. Quesito operativo: reperire il passaggio esatto nel rapporto del 18 dicembre 1975 e citarlo con la pagina. Una cifra senza pagina è una cifra che circola, non una cifra accertata.</w:t>
      </w:r>
    </w:p>
    <w:p>
      <w:pPr>
        <w:spacing w:after="120" w:line="276"/>
        <w:jc w:val="both"/>
      </w:pPr>
      <w:r>
        <w:rPr>
          <w:rFonts w:ascii="Barlow Semi Condensed" w:cs="Barlow Semi Condensed" w:eastAsia="Barlow Semi Condensed" w:hAnsi="Barlow Semi Condensed"/>
          <w:b/>
          <w:bCs/>
          <w:sz w:val="24"/>
          <w:szCs w:val="24"/>
        </w:rPr>
        <w:t xml:space="preserve">500 · Dal Comitato dei 303 a quello dei 40.</w:t>
      </w:r>
      <w:r>
        <w:rPr>
          <w:rFonts w:ascii="Barlow Semi Condensed" w:cs="Barlow Semi Condensed" w:eastAsia="Barlow Semi Condensed" w:hAnsi="Barlow Semi Condensed"/>
          <w:sz w:val="24"/>
          <w:szCs w:val="24"/>
        </w:rPr>
        <w:t xml:space="preserve"> Il corpus registra la riunione del Comitato dei 303 dell'11 marzo 1969 (FRUS vol. XLI, doc. 180), presieduta da Kissinger, in cui si convenne all'unanimità che non vi fosse reale giustificazione per riprendere il finanziamento coperto ai partiti italiani. Lo stesso organo fu ridenominato Comitato dei 40 nel febbraio 1970. È l'anello istituzionale comune al fascicolo italiano e a quello cileno: stesso tavolo, decisioni diverse, e nessun nesso fra le due materie.</w:t>
      </w:r>
    </w:p>
    <w:p>
      <w:pPr>
        <w:spacing w:after="120" w:line="276"/>
        <w:jc w:val="both"/>
      </w:pPr>
      <w:r>
        <w:rPr>
          <w:rFonts w:ascii="Barlow Semi Condensed" w:cs="Barlow Semi Condensed" w:eastAsia="Barlow Semi Condensed" w:hAnsi="Barlow Semi Condensed"/>
          <w:b/>
          <w:bCs/>
          <w:sz w:val="24"/>
          <w:szCs w:val="24"/>
        </w:rPr>
        <w:t xml:space="preserve">501 · I quattro accertamenti di un finanziamento.</w:t>
      </w:r>
      <w:r>
        <w:rPr>
          <w:rFonts w:ascii="Barlow Semi Condensed" w:cs="Barlow Semi Condensed" w:eastAsia="Barlow Semi Condensed" w:hAnsi="Barlow Semi Condensed"/>
          <w:sz w:val="24"/>
          <w:szCs w:val="24"/>
        </w:rPr>
        <w:t xml:space="preserve"> Un finanziamento a un vettore di stampa richiede quattro prove distinte e non intercambiabili: la delibera che lo autorizza, il trasferimento materiale della somma, la ricezione da parte del beneficiario, l'effetto sulla linea editoriale. Le prime tre sono documentali e si cercano in archivio; la quarta è di natura diversa e quasi mai dimostrabile. Chi possiede le prime tre ha documentato un vettore; chi asserisce anche la quarta senza prove l'ha superato.</w:t>
      </w:r>
    </w:p>
    <w:p>
      <w:pPr>
        <w:spacing w:after="120" w:line="276"/>
        <w:jc w:val="both"/>
      </w:pPr>
      <w:r>
        <w:rPr>
          <w:rFonts w:ascii="Barlow Semi Condensed" w:cs="Barlow Semi Condensed" w:eastAsia="Barlow Semi Condensed" w:hAnsi="Barlow Semi Condensed"/>
          <w:b/>
          <w:bCs/>
          <w:sz w:val="24"/>
          <w:szCs w:val="24"/>
        </w:rPr>
        <w:t xml:space="preserve">502 · Ciò che il metro cileno non prova.</w:t>
      </w:r>
      <w:r>
        <w:rPr>
          <w:rFonts w:ascii="Barlow Semi Condensed" w:cs="Barlow Semi Condensed" w:eastAsia="Barlow Semi Condensed" w:hAnsi="Barlow Semi Condensed"/>
          <w:sz w:val="24"/>
          <w:szCs w:val="24"/>
        </w:rPr>
        <w:t xml:space="preserve"> Non prova che un quotidiano finanziato scriva ciò che il finanziatore desidera: potrebbe scriverlo comunque, per convinzione propria e per linea anteriore. La prova dell'effetto richiede il confronto fra la linea prima e dopo e l'esclusione delle cause concorrenti. Il rapporto del 1975 documenta il flusso, non l'obbedienza. Anche nel caso meglio documentato del secolo l'ultimo anello resta il più fragile, ed è un dato prezioso che va ricordato ogni volta.</w:t>
      </w:r>
    </w:p>
    <w:p>
      <w:pPr>
        <w:spacing w:after="120" w:line="276"/>
        <w:jc w:val="both"/>
      </w:pPr>
      <w:r>
        <w:rPr>
          <w:rFonts w:ascii="Barlow Semi Condensed" w:cs="Barlow Semi Condensed" w:eastAsia="Barlow Semi Condensed" w:hAnsi="Barlow Semi Condensed"/>
          <w:b/>
          <w:bCs/>
          <w:sz w:val="24"/>
          <w:szCs w:val="24"/>
        </w:rPr>
        <w:t xml:space="preserve">503 · Accertamento parlamentare, non giudicato.</w:t>
      </w:r>
      <w:r>
        <w:rPr>
          <w:rFonts w:ascii="Barlow Semi Condensed" w:cs="Barlow Semi Condensed" w:eastAsia="Barlow Semi Condensed" w:hAnsi="Barlow Semi Condensed"/>
          <w:sz w:val="24"/>
          <w:szCs w:val="24"/>
        </w:rPr>
        <w:t xml:space="preserve"> Il rapporto del Senato del 1975 sta, nella scala del corpus, al grado B — accertamento non giudiziario — esattamente come la Commissione Moro 2. La distinzione fissata nella Fase settima vale identica: una commissione dispone degli strumenti dell'autorità giudiziaria ma non della sua funzione, accerta fatti storico-politici e non responsabilità penali. Nessuno è indicato come responsabile di reato da un rapporto parlamentare, in nessun ordinamento e in nessun Paese.</w:t>
      </w:r>
    </w:p>
    <w:p>
      <w:pPr>
        <w:spacing w:after="120" w:line="276"/>
        <w:jc w:val="both"/>
      </w:pPr>
      <w:r>
        <w:rPr>
          <w:rFonts w:ascii="Barlow Semi Condensed" w:cs="Barlow Semi Condensed" w:eastAsia="Barlow Semi Condensed" w:hAnsi="Barlow Semi Condensed"/>
          <w:b/>
          <w:bCs/>
          <w:sz w:val="24"/>
          <w:szCs w:val="24"/>
        </w:rPr>
        <w:t xml:space="preserve">504 · Il metro applicato all'Italia.</w:t>
      </w:r>
      <w:r>
        <w:rPr>
          <w:rFonts w:ascii="Barlow Semi Condensed" w:cs="Barlow Semi Condensed" w:eastAsia="Barlow Semi Condensed" w:hAnsi="Barlow Semi Condensed"/>
          <w:sz w:val="24"/>
          <w:szCs w:val="24"/>
        </w:rPr>
        <w:t xml:space="preserve"> Applicando il metro cileno al versante italiano si vede subito che cosa manchi. Del programma di azione coperta in Italia il corpus registra il diniego del marzo 1969, l'istruzione di Nixon del dicembre 1969 per uno studio sull'Italia (doc. 188) e il riemergere del programma nel novembre 1975 e nel luglio 1976. Nessuno di questi documenti nomina un vettore di stampa italiano identificato con destinatario, somma e data: il metro misura, e trova assenza.</w:t>
      </w:r>
    </w:p>
    <w:p>
      <w:pPr>
        <w:spacing w:after="120" w:line="276"/>
        <w:jc w:val="both"/>
      </w:pPr>
      <w:r>
        <w:rPr>
          <w:rFonts w:ascii="Barlow Semi Condensed" w:cs="Barlow Semi Condensed" w:eastAsia="Barlow Semi Condensed" w:hAnsi="Barlow Semi Condensed"/>
          <w:b/>
          <w:bCs/>
          <w:sz w:val="24"/>
          <w:szCs w:val="24"/>
        </w:rPr>
        <w:t xml:space="preserve">505 · Stato Zero sul vettore italiano.</w:t>
      </w:r>
      <w:r>
        <w:rPr>
          <w:rFonts w:ascii="Barlow Semi Condensed" w:cs="Barlow Semi Condensed" w:eastAsia="Barlow Semi Condensed" w:hAnsi="Barlow Semi Condensed"/>
          <w:sz w:val="24"/>
          <w:szCs w:val="24"/>
        </w:rPr>
        <w:t xml:space="preserve"> Si dichiara come acquisizione di pieno valore: allo stato delle ricerche del corpus non risulta reperito alcun documento primario che attesti il finanziamento coperto di una testata italiana con beneficiario, importo e data, al livello di dettaglio del rapporto cileno del 1975. Sede dove chiudere l'esito: le serie declassificate dei NSC Files, Country Files: Italy ai National Archives di College Park, e la sala di lettura elettronica FOIA dell'agenzia.</w:t>
      </w:r>
    </w:p>
    <w:p>
      <w:pPr>
        <w:spacing w:after="120" w:line="276"/>
        <w:jc w:val="both"/>
      </w:pPr>
      <w:r>
        <w:rPr>
          <w:rFonts w:ascii="Barlow Semi Condensed" w:cs="Barlow Semi Condensed" w:eastAsia="Barlow Semi Condensed" w:hAnsi="Barlow Semi Condensed"/>
          <w:b/>
          <w:bCs/>
          <w:sz w:val="24"/>
          <w:szCs w:val="24"/>
        </w:rPr>
        <w:t xml:space="preserve">506 · L'ambasciata, vettore per costruzione.</w:t>
      </w:r>
      <w:r>
        <w:rPr>
          <w:rFonts w:ascii="Barlow Semi Condensed" w:cs="Barlow Semi Condensed" w:eastAsia="Barlow Semi Condensed" w:hAnsi="Barlow Semi Condensed"/>
          <w:sz w:val="24"/>
          <w:szCs w:val="24"/>
        </w:rPr>
        <w:t xml:space="preserve"> Un'ambasciata è il vettore istituzionale puro: esiste per trasmettere, ha un protocollo che data ogni trasmissione e produce due tracce simmetriche, quella della sede e quella della centrale. Nessun altro canale della storia contemporanea è così ben documentato per sua stessa natura. Ne discende la regola operativa: prima di ipotizzare canali occulti si spoglia il canale palese, perché è quello che ha lasciato carta e che quasi nessuno ha letto per intero.</w:t>
      </w:r>
    </w:p>
    <w:p>
      <w:pPr>
        <w:spacing w:after="120" w:line="276"/>
        <w:jc w:val="both"/>
      </w:pPr>
      <w:r>
        <w:rPr>
          <w:rFonts w:ascii="Barlow Semi Condensed" w:cs="Barlow Semi Condensed" w:eastAsia="Barlow Semi Condensed" w:hAnsi="Barlow Semi Condensed"/>
          <w:b/>
          <w:bCs/>
          <w:sz w:val="24"/>
          <w:szCs w:val="24"/>
        </w:rPr>
        <w:t xml:space="preserve">507 · Il dispaccio come unità di misura.</w:t>
      </w:r>
      <w:r>
        <w:rPr>
          <w:rFonts w:ascii="Barlow Semi Condensed" w:cs="Barlow Semi Condensed" w:eastAsia="Barlow Semi Condensed" w:hAnsi="Barlow Semi Condensed"/>
          <w:sz w:val="24"/>
          <w:szCs w:val="24"/>
        </w:rPr>
        <w:t xml:space="preserve"> L'unità del vettore diplomatico è il dispaccio: reca data, ora, numero di protocollo, mittente, destinatario, classificazione e talvolta la traccia dello smistamento a valle. Sono sei campi verificabili. Lo studio dei timbri e delle numerazioni, che il blocco 135 del manuale propone, riconosce registrazioni anomale e retrodatazioni. La diplomatica del documento contemporaneo è la tecnica che distingue un vettore realmente esistito da un vettore soltanto raccontato.</w:t>
      </w:r>
    </w:p>
    <w:p>
      <w:pPr>
        <w:spacing w:after="120" w:line="276"/>
        <w:jc w:val="both"/>
      </w:pPr>
      <w:r>
        <w:rPr>
          <w:rFonts w:ascii="Barlow Semi Condensed" w:cs="Barlow Semi Condensed" w:eastAsia="Barlow Semi Condensed" w:hAnsi="Barlow Semi Condensed"/>
          <w:b/>
          <w:bCs/>
          <w:sz w:val="24"/>
          <w:szCs w:val="24"/>
        </w:rPr>
        <w:t xml:space="preserve">508 · Il vettore che osserva e quello che agisce.</w:t>
      </w:r>
      <w:r>
        <w:rPr>
          <w:rFonts w:ascii="Barlow Semi Condensed" w:cs="Barlow Semi Condensed" w:eastAsia="Barlow Semi Condensed" w:hAnsi="Barlow Semi Condensed"/>
          <w:sz w:val="24"/>
          <w:szCs w:val="24"/>
        </w:rPr>
        <w:t xml:space="preserve"> Un'ambasciata fa due cose distinte: riferisce ciò che vede e trasmette ciò che le è ordinato. Le due funzioni lasciano carte diverse, rapporti valutativi e istruzioni, e vanno tenute separate in ogni spoglio. Il cantiere britannico lo formula bene al blocco 21: ogni registrazione straniera di un canale è una datazione indipendente di quel canale, e il valore sta nella contemporaneità, non nell'autorevolezza di chi scrive.</w:t>
      </w:r>
    </w:p>
    <w:p>
      <w:pPr>
        <w:spacing w:after="120" w:line="276"/>
        <w:jc w:val="both"/>
      </w:pPr>
      <w:r>
        <w:rPr>
          <w:rFonts w:ascii="Barlow Semi Condensed" w:cs="Barlow Semi Condensed" w:eastAsia="Barlow Semi Condensed" w:hAnsi="Barlow Semi Condensed"/>
          <w:b/>
          <w:bCs/>
          <w:sz w:val="24"/>
          <w:szCs w:val="24"/>
        </w:rPr>
        <w:t xml:space="preserve">509 · Il verbale del 25 settembre 1974 (serie VII).</w:t>
      </w:r>
      <w:r>
        <w:rPr>
          <w:rFonts w:ascii="Barlow Semi Condensed" w:cs="Barlow Semi Condensed" w:eastAsia="Barlow Semi Condensed" w:hAnsi="Barlow Semi Condensed"/>
          <w:sz w:val="24"/>
          <w:szCs w:val="24"/>
        </w:rPr>
        <w:t xml:space="preserve"> Il memorandum of conversation dello Studio Ovale del 25 settembre 1974 fra Leone, Moro, Ford e Kissinger, con Scowcroft — Ford Library doc. 1552802, edito in FRUS 1969-1976 vol. E-15 parte 2 doc. 350 — è un reperto di vettore allo stato puro: attesta chi parlò, quando, e che cosa fu messo a verbale. È fatto pubblico documentato, e va usato per ciò che contiene, non per ciò che si vorrebbe vi fosse.</w:t>
      </w:r>
    </w:p>
    <w:p>
      <w:pPr>
        <w:spacing w:after="120" w:line="276"/>
        <w:jc w:val="both"/>
      </w:pPr>
      <w:r>
        <w:rPr>
          <w:rFonts w:ascii="Barlow Semi Condensed" w:cs="Barlow Semi Condensed" w:eastAsia="Barlow Semi Condensed" w:hAnsi="Barlow Semi Condensed"/>
          <w:b/>
          <w:bCs/>
          <w:sz w:val="24"/>
          <w:szCs w:val="24"/>
        </w:rPr>
        <w:t xml:space="preserve">510 · Il colloquio del giorno dopo.</w:t>
      </w:r>
      <w:r>
        <w:rPr>
          <w:rFonts w:ascii="Barlow Semi Condensed" w:cs="Barlow Semi Condensed" w:eastAsia="Barlow Semi Condensed" w:hAnsi="Barlow Semi Condensed"/>
          <w:sz w:val="24"/>
          <w:szCs w:val="24"/>
        </w:rPr>
        <w:t xml:space="preserve"> Il verbale dell'incontro successivo, del 26 settembre 1974 (Ford Library doc. 1552806), è parimenti disponibile e va spogliato insieme al primo: due sedute a ventiquattr'ore di distanza formano una sequenza, e le sequenze mostrano ciò che i documenti isolati nascondono — che cosa fu ripreso, che cosa cadde, chi entrò e chi uscì dalla stanza. Il quesito è di collazione, e si esegue sui due testi affiancati.</w:t>
      </w:r>
    </w:p>
    <w:p>
      <w:pPr>
        <w:spacing w:after="120" w:line="276"/>
        <w:jc w:val="both"/>
      </w:pPr>
      <w:r>
        <w:rPr>
          <w:rFonts w:ascii="Barlow Semi Condensed" w:cs="Barlow Semi Condensed" w:eastAsia="Barlow Semi Condensed" w:hAnsi="Barlow Semi Condensed"/>
          <w:b/>
          <w:bCs/>
          <w:sz w:val="24"/>
          <w:szCs w:val="24"/>
        </w:rPr>
        <w:t xml:space="preserve">511 · La posizione dichiarata alla vigilia.</w:t>
      </w:r>
      <w:r>
        <w:rPr>
          <w:rFonts w:ascii="Barlow Semi Condensed" w:cs="Barlow Semi Condensed" w:eastAsia="Barlow Semi Condensed" w:hAnsi="Barlow Semi Condensed"/>
          <w:sz w:val="24"/>
          <w:szCs w:val="24"/>
        </w:rPr>
        <w:t xml:space="preserve"> Il corpus registra che alla vigilia Kissinger espose a Ford la propria posizione sul PCI, con la valutazione del rischio di contagio in altri Paesi europei. Il documento attesta quella posizione; non attesta una posizione di Moro sul medesimo punto in quella sede, che non va inferita. È la formulazione già adottata dalla ricognizione della Farnesina, e va ripetuta ogni volta: il verbale prova ciò che dice, e il silenzio di un interlocutore non è una risposta.</w:t>
      </w:r>
    </w:p>
    <w:p>
      <w:pPr>
        <w:spacing w:after="120" w:line="276"/>
        <w:jc w:val="both"/>
      </w:pPr>
      <w:r>
        <w:rPr>
          <w:rFonts w:ascii="Barlow Semi Condensed" w:cs="Barlow Semi Condensed" w:eastAsia="Barlow Semi Condensed" w:hAnsi="Barlow Semi Condensed"/>
          <w:b/>
          <w:bCs/>
          <w:sz w:val="24"/>
          <w:szCs w:val="24"/>
        </w:rPr>
        <w:t xml:space="preserve">512 · La lingua come filtro del vettore.</w:t>
      </w:r>
      <w:r>
        <w:rPr>
          <w:rFonts w:ascii="Barlow Semi Condensed" w:cs="Barlow Semi Condensed" w:eastAsia="Barlow Semi Condensed" w:hAnsi="Barlow Semi Condensed"/>
          <w:sz w:val="24"/>
          <w:szCs w:val="24"/>
        </w:rPr>
        <w:t xml:space="preserve"> Un vettore che traduce modifica ciò che trasmette, e la circostanza è documentale prima che teorica: fra le smentite italiane qualificate registrate dal corpus figura quella di un testimone che dichiarò di aver verificato allora l'episodio con l'interprete, perché Moro non parlava inglese. Il dato non decide la controversia, ma impone una regola: dove c'è un interprete l'accertamento riguarda tre soggetti e non due, e l'interprete è esso stesso un teste da cercare.</w:t>
      </w:r>
    </w:p>
    <w:p>
      <w:pPr>
        <w:spacing w:after="120" w:line="276"/>
        <w:jc w:val="both"/>
      </w:pPr>
      <w:r>
        <w:rPr>
          <w:rFonts w:ascii="Barlow Semi Condensed" w:cs="Barlow Semi Condensed" w:eastAsia="Barlow Semi Condensed" w:hAnsi="Barlow Semi Condensed"/>
          <w:b/>
          <w:bCs/>
          <w:sz w:val="24"/>
          <w:szCs w:val="24"/>
        </w:rPr>
        <w:t xml:space="preserve">513 · Il margine che il verbale non registra.</w:t>
      </w:r>
      <w:r>
        <w:rPr>
          <w:rFonts w:ascii="Barlow Semi Condensed" w:cs="Barlow Semi Condensed" w:eastAsia="Barlow Semi Condensed" w:hAnsi="Barlow Semi Condensed"/>
          <w:sz w:val="24"/>
          <w:szCs w:val="24"/>
        </w:rPr>
        <w:t xml:space="preserve"> La testimonianza contestata colloca la frase attribuita a Kissinger a margine del colloquio, non dentro il colloquio. Il corpus ha già stabilito il valore logico di questa collocazione: l'assenza dal verbale non prova né la falsità né la verità dell'episodio, ma indebolisce nettamente la versione che lo colloca nell'incontro ufficiale, cioè quella che circola. Il margine è, in tutti i vettori istituzionali, la zona documentalmente scoperta per costruzione.</w:t>
      </w:r>
    </w:p>
    <w:p>
      <w:pPr>
        <w:spacing w:after="120" w:line="276"/>
        <w:jc w:val="both"/>
      </w:pPr>
      <w:r>
        <w:rPr>
          <w:rFonts w:ascii="Barlow Semi Condensed" w:cs="Barlow Semi Condensed" w:eastAsia="Barlow Semi Condensed" w:hAnsi="Barlow Semi Condensed"/>
          <w:b/>
          <w:bCs/>
          <w:sz w:val="24"/>
          <w:szCs w:val="24"/>
        </w:rPr>
        <w:t xml:space="preserve">514 · I quattro specchi diplomatici.</w:t>
      </w:r>
      <w:r>
        <w:rPr>
          <w:rFonts w:ascii="Barlow Semi Condensed" w:cs="Barlow Semi Condensed" w:eastAsia="Barlow Semi Condensed" w:hAnsi="Barlow Semi Condensed"/>
          <w:sz w:val="24"/>
          <w:szCs w:val="24"/>
        </w:rPr>
        <w:t xml:space="preserve"> Il cantiere dei nove propone la prosopografia comparata delle diplomazie: il ritratto d'archivio di Moro visto da Washington, poi da Londra (blocco 25), da Parigi (blocco 67), da Bonn (blocco 97). Quattro sedi che osservarono lo stesso uomo e ne scrissero indipendentemente. È il disegno sperimentale corretto per misurare un vettore d'osservazione: quattro rilevazioni separate, una tavola sola, e le divergenze come prodotto principale della comparazione.</w:t>
      </w:r>
    </w:p>
    <w:p>
      <w:pPr>
        <w:spacing w:after="120" w:line="276"/>
        <w:jc w:val="both"/>
      </w:pPr>
      <w:r>
        <w:rPr>
          <w:rFonts w:ascii="Barlow Semi Condensed" w:cs="Barlow Semi Condensed" w:eastAsia="Barlow Semi Condensed" w:hAnsi="Barlow Semi Condensed"/>
          <w:b/>
          <w:bCs/>
          <w:sz w:val="24"/>
          <w:szCs w:val="24"/>
        </w:rPr>
        <w:t xml:space="preserve">515 · La collazione oraria come prova.</w:t>
      </w:r>
      <w:r>
        <w:rPr>
          <w:rFonts w:ascii="Barlow Semi Condensed" w:cs="Barlow Semi Condensed" w:eastAsia="Barlow Semi Condensed" w:hAnsi="Barlow Semi Condensed"/>
          <w:sz w:val="24"/>
          <w:szCs w:val="24"/>
        </w:rPr>
        <w:t xml:space="preserve"> Il blocco 84 del cantiere tedesco chiede la sequenza oraria delle giornate chiave nelle quattro capitali, per una collazione quadrilaterale. È il test più severo che un vettore possa subire: se una notizia compare a Bonn prima che a Roma, il canale che la portò va cercato altrove. La cronologia minuta non conferma le ipotesi, le falsifica, ed è per questa ragione che va costruita prima di formularle e non dopo.</w:t>
      </w:r>
    </w:p>
    <w:p>
      <w:pPr>
        <w:spacing w:after="120" w:line="276"/>
        <w:jc w:val="both"/>
      </w:pPr>
      <w:r>
        <w:rPr>
          <w:rFonts w:ascii="Barlow Semi Condensed" w:cs="Barlow Semi Condensed" w:eastAsia="Barlow Semi Condensed" w:hAnsi="Barlow Semi Condensed"/>
          <w:b/>
          <w:bCs/>
          <w:sz w:val="24"/>
          <w:szCs w:val="24"/>
        </w:rPr>
        <w:t xml:space="preserve">516 · La divergenza sulla sede e sulla data.</w:t>
      </w:r>
      <w:r>
        <w:rPr>
          <w:rFonts w:ascii="Barlow Semi Condensed" w:cs="Barlow Semi Condensed" w:eastAsia="Barlow Semi Condensed" w:hAnsi="Barlow Semi Condensed"/>
          <w:sz w:val="24"/>
          <w:szCs w:val="24"/>
        </w:rPr>
        <w:t xml:space="preserve"> La nota di revisione del nodo M-5 registra che una fonte d'agenzia statunitense del 1983 colloca l'alterco all'ambasciata d'Italia a Washington nel 1977, mentre altre sintesi indicano il 1976 e il corpus, altrove, il settembre 1974. Nel 1977 Kissinger non era più Segretario di Stato. La divergenza è dirimente e va riportata, mai risolta d'ufficio: dove le fonti divergono sulla sede di un vettore, il vettore non è ancora accertato.</w:t>
      </w:r>
    </w:p>
    <w:p>
      <w:pPr>
        <w:spacing w:after="120" w:line="276"/>
        <w:jc w:val="both"/>
      </w:pPr>
      <w:r>
        <w:rPr>
          <w:rFonts w:ascii="Barlow Semi Condensed" w:cs="Barlow Semi Condensed" w:eastAsia="Barlow Semi Condensed" w:hAnsi="Barlow Semi Condensed"/>
          <w:b/>
          <w:bCs/>
          <w:sz w:val="24"/>
          <w:szCs w:val="24"/>
        </w:rPr>
        <w:t xml:space="preserve">517 · La regola dell'originatore.</w:t>
      </w:r>
      <w:r>
        <w:rPr>
          <w:rFonts w:ascii="Barlow Semi Condensed" w:cs="Barlow Semi Condensed" w:eastAsia="Barlow Semi Condensed" w:hAnsi="Barlow Semi Condensed"/>
          <w:sz w:val="24"/>
          <w:szCs w:val="24"/>
        </w:rPr>
        <w:t xml:space="preserve"> Un vettore vincola anche a valle: un documento di origine alleata custodito in Italia non è liberamente rilasciabile senza il consenso dell'originatore. Il blocco 119 del manuale chiede il censimento di quante richieste di consenso siano mai state formulate e la proposta formale di riattivarle nelle sedi diplomatiche, verificando su atto la cifra che circola. È la prova che il canale continua a operare decenni dopo, sulla disponibilità stessa delle carte.</w:t>
      </w:r>
    </w:p>
    <w:p>
      <w:pPr>
        <w:spacing w:after="120" w:line="276"/>
        <w:jc w:val="both"/>
      </w:pPr>
      <w:r>
        <w:rPr>
          <w:rFonts w:ascii="Barlow Semi Condensed" w:cs="Barlow Semi Condensed" w:eastAsia="Barlow Semi Condensed" w:hAnsi="Barlow Semi Condensed"/>
          <w:b/>
          <w:bCs/>
          <w:sz w:val="24"/>
          <w:szCs w:val="24"/>
        </w:rPr>
        <w:t xml:space="preserve">518 · La stampa, vettore ad alta trasmissibilità.</w:t>
      </w:r>
      <w:r>
        <w:rPr>
          <w:rFonts w:ascii="Barlow Semi Condensed" w:cs="Barlow Semi Condensed" w:eastAsia="Barlow Semi Condensed" w:hAnsi="Barlow Semi Condensed"/>
          <w:sz w:val="24"/>
          <w:szCs w:val="24"/>
        </w:rPr>
        <w:t xml:space="preserve"> La stampa è il vettore che moltiplica: un contenuto immesso una volta raggiunge in poche ore un pubblico che nessun canale diplomatico raggiunge in anni. Questa efficienza è però simmetrica al suo difetto probatorio, perché la moltiplicazione non aggiunge informazione. Cento riprese di una notizia sono cento copie di una fonte, non cento fonti indipendenti; e la disciplina del corpus lo ha già scritto per il nodo dell'avvertimento del 1974.</w:t>
      </w:r>
    </w:p>
    <w:p>
      <w:pPr>
        <w:spacing w:after="120" w:line="276"/>
        <w:jc w:val="both"/>
      </w:pPr>
      <w:r>
        <w:rPr>
          <w:rFonts w:ascii="Barlow Semi Condensed" w:cs="Barlow Semi Condensed" w:eastAsia="Barlow Semi Condensed" w:hAnsi="Barlow Semi Condensed"/>
          <w:b/>
          <w:bCs/>
          <w:sz w:val="24"/>
          <w:szCs w:val="24"/>
        </w:rPr>
        <w:t xml:space="preserve">519 · Il vettore editoriale del corpus.</w:t>
      </w:r>
      <w:r>
        <w:rPr>
          <w:rFonts w:ascii="Barlow Semi Condensed" w:cs="Barlow Semi Condensed" w:eastAsia="Barlow Semi Condensed" w:hAnsi="Barlow Semi Condensed"/>
          <w:sz w:val="24"/>
          <w:szCs w:val="24"/>
        </w:rPr>
        <w:t xml:space="preserve"> Il caso Feltrinelli è, nel corpus, il vettore di stampa meglio accertato: l'acquisizione nel 1967 dei diritti del diario boliviano insieme alla fotografia di Korda, l'edizione del 1968 con quella copertina e la prefazione di Castro, e soprattutto le centinaia di manifesti stampati per lanciare il libro. Non un ordine che viaggia, ma un'operazione editoriale che trasforma un contenuto in simbolo. È vettore alla lettera, e documentato al piano uno.</w:t>
      </w:r>
    </w:p>
    <w:p>
      <w:pPr>
        <w:spacing w:after="120" w:line="276"/>
        <w:jc w:val="both"/>
      </w:pPr>
      <w:r>
        <w:rPr>
          <w:rFonts w:ascii="Barlow Semi Condensed" w:cs="Barlow Semi Condensed" w:eastAsia="Barlow Semi Condensed" w:hAnsi="Barlow Semi Condensed"/>
          <w:b/>
          <w:bCs/>
          <w:sz w:val="24"/>
          <w:szCs w:val="24"/>
        </w:rPr>
        <w:t xml:space="preserve">520 · Il canale che modifica ciò che trasmette.</w:t>
      </w:r>
      <w:r>
        <w:rPr>
          <w:rFonts w:ascii="Barlow Semi Condensed" w:cs="Barlow Semi Condensed" w:eastAsia="Barlow Semi Condensed" w:hAnsi="Barlow Semi Condensed"/>
          <w:sz w:val="24"/>
          <w:szCs w:val="24"/>
        </w:rPr>
        <w:t xml:space="preserve"> Il manifesto di Korda dimostra la proprietà più insidiosa dei vettori: nel trasmettere, cambiano. Una fotografia accantonata per scarsa qualità divenne icona; il diario di un guerrigliero divenne segno universale staccato dal suo autore. La lente genetica qui è precisa e va usata: la trasmissione orizzontale comporta mutazione, e il contenuto in uscita non coincide con quello in entrata. Attribuire all'emittente ciò che il canale ha prodotto è un errore di attribuzione.</w:t>
      </w:r>
    </w:p>
    <w:p>
      <w:pPr>
        <w:spacing w:after="120" w:line="276"/>
        <w:jc w:val="both"/>
      </w:pPr>
      <w:r>
        <w:rPr>
          <w:rFonts w:ascii="Barlow Semi Condensed" w:cs="Barlow Semi Condensed" w:eastAsia="Barlow Semi Condensed" w:hAnsi="Barlow Semi Condensed"/>
          <w:b/>
          <w:bCs/>
          <w:sz w:val="24"/>
          <w:szCs w:val="24"/>
        </w:rPr>
        <w:t xml:space="preserve">521 · La proprietà non è la linea.</w:t>
      </w:r>
      <w:r>
        <w:rPr>
          <w:rFonts w:ascii="Barlow Semi Condensed" w:cs="Barlow Semi Condensed" w:eastAsia="Barlow Semi Condensed" w:hAnsi="Barlow Semi Condensed"/>
          <w:sz w:val="24"/>
          <w:szCs w:val="24"/>
        </w:rPr>
        <w:t xml:space="preserve"> Chi possiede una testata non ne detta per ciò stesso gli articoli. La proprietà è un fatto societario documentabile nei registri camerali; la linea editoriale è un fatto redazionale che si accerta sui testi, con spoglio datato. Confonderli produce l'inferenza vietata in forma economica. Vale per la stampa il principio che il corpus applica alle organizzazioni: l'appartenenza non è condotta, e la titolarità di un giornale non è la sua redazione.</w:t>
      </w:r>
    </w:p>
    <w:p>
      <w:pPr>
        <w:spacing w:after="120" w:line="276"/>
        <w:jc w:val="both"/>
      </w:pPr>
      <w:r>
        <w:rPr>
          <w:rFonts w:ascii="Barlow Semi Condensed" w:cs="Barlow Semi Condensed" w:eastAsia="Barlow Semi Condensed" w:hAnsi="Barlow Semi Condensed"/>
          <w:b/>
          <w:bCs/>
          <w:sz w:val="24"/>
          <w:szCs w:val="24"/>
        </w:rPr>
        <w:t xml:space="preserve">522 · Il finanziamento e il singolo articolo.</w:t>
      </w:r>
      <w:r>
        <w:rPr>
          <w:rFonts w:ascii="Barlow Semi Condensed" w:cs="Barlow Semi Condensed" w:eastAsia="Barlow Semi Condensed" w:hAnsi="Barlow Semi Condensed"/>
          <w:sz w:val="24"/>
          <w:szCs w:val="24"/>
        </w:rPr>
        <w:t xml:space="preserve"> Anche dove il finanziamento è accertato, non ne discende la paternità di alcun articolo determinato. L'accertamento del flusso e l'accertamento del testo sono due indagini con fonti diverse: la prima sta negli archivi dell'erogatore, la seconda in emeroteca e negli archivi redazionali. Un corpus serio le tiene separate e dichiara quale delle due abbia effettivamente condotto. Il salto dall'una all'altra è la forma giornalistica del piano due spacciato per piano uno.</w:t>
      </w:r>
    </w:p>
    <w:p>
      <w:pPr>
        <w:spacing w:after="120" w:line="276"/>
        <w:jc w:val="both"/>
      </w:pPr>
      <w:r>
        <w:rPr>
          <w:rFonts w:ascii="Barlow Semi Condensed" w:cs="Barlow Semi Condensed" w:eastAsia="Barlow Semi Condensed" w:hAnsi="Barlow Semi Condensed"/>
          <w:b/>
          <w:bCs/>
          <w:sz w:val="24"/>
          <w:szCs w:val="24"/>
        </w:rPr>
        <w:t xml:space="preserve">523 · Le agenzie e la moltiplicazione apparente.</w:t>
      </w:r>
      <w:r>
        <w:rPr>
          <w:rFonts w:ascii="Barlow Semi Condensed" w:cs="Barlow Semi Condensed" w:eastAsia="Barlow Semi Condensed" w:hAnsi="Barlow Semi Condensed"/>
          <w:sz w:val="24"/>
          <w:szCs w:val="24"/>
        </w:rPr>
        <w:t xml:space="preserve"> La verifica condotta sul nodo M-5 ha accertato che le decine di riprese pressoché identiche dell'episodio dell'avvertimento risalgono a un unico lancio d'agenzia del 30 novembre 2023. È il caso di scuola del vettore che moltiplica senza aggiungere: il numero delle ripetizioni non ha valore probatorio. La contromisura è tecnica e semplice, risalire al primo lancio, datarlo e contare le fonti indipendenti da quello, che spesso risultano zero.</w:t>
      </w:r>
    </w:p>
    <w:p>
      <w:pPr>
        <w:spacing w:after="120" w:line="276"/>
        <w:jc w:val="both"/>
      </w:pPr>
      <w:r>
        <w:rPr>
          <w:rFonts w:ascii="Barlow Semi Condensed" w:cs="Barlow Semi Condensed" w:eastAsia="Barlow Semi Condensed" w:hAnsi="Barlow Semi Condensed"/>
          <w:b/>
          <w:bCs/>
          <w:sz w:val="24"/>
          <w:szCs w:val="24"/>
        </w:rPr>
        <w:t xml:space="preserve">524 · L'emeroteca come sede di accertamento.</w:t>
      </w:r>
      <w:r>
        <w:rPr>
          <w:rFonts w:ascii="Barlow Semi Condensed" w:cs="Barlow Semi Condensed" w:eastAsia="Barlow Semi Condensed" w:hAnsi="Barlow Semi Condensed"/>
          <w:sz w:val="24"/>
          <w:szCs w:val="24"/>
        </w:rPr>
        <w:t xml:space="preserve"> Ogni asserzione su un vettore di stampa si apre o si chiude in emeroteca: la data del primo apparire, il titolo, la firma, la collocazione in pagina. Il cantiere lo prevede per le agenzie italiane con i lanci e gli orari, per la stampa francese, per quella tedesca e per la stampa della Santa Sede. È lavoro seriale, noioso e decisivo: la datazione batte l'interpretazione ogni volta che le due confliggono.</w:t>
      </w:r>
    </w:p>
    <w:p>
      <w:pPr>
        <w:spacing w:after="120" w:line="276"/>
        <w:jc w:val="both"/>
      </w:pPr>
      <w:r>
        <w:rPr>
          <w:rFonts w:ascii="Barlow Semi Condensed" w:cs="Barlow Semi Condensed" w:eastAsia="Barlow Semi Condensed" w:hAnsi="Barlow Semi Condensed"/>
          <w:b/>
          <w:bCs/>
          <w:sz w:val="24"/>
          <w:szCs w:val="24"/>
        </w:rPr>
        <w:t xml:space="preserve">525 · Le fondazioni come vettore di partito.</w:t>
      </w:r>
      <w:r>
        <w:rPr>
          <w:rFonts w:ascii="Barlow Semi Condensed" w:cs="Barlow Semi Condensed" w:eastAsia="Barlow Semi Condensed" w:hAnsi="Barlow Semi Condensed"/>
          <w:sz w:val="24"/>
          <w:szCs w:val="24"/>
        </w:rPr>
        <w:t xml:space="preserve"> Il blocco 103 del cantiere tedesco individua un canale che l'Italia dimentica e la Germania cataloga: gli archivi delle fondazioni politiche di partito e i loro carteggi con i partiti italiani fratelli nel 1978. È un vettore parallelo a quello diplomatico, con regole proprie di conservazione e accesso in genere più agevole. Il quesito è di censimento, non di rivelazione: che cosa quei fondi conservino sul 1978 italiano è ignoto perché non è stato chiesto.</w:t>
      </w:r>
    </w:p>
    <w:p>
      <w:pPr>
        <w:spacing w:after="120" w:line="276"/>
        <w:jc w:val="both"/>
      </w:pPr>
      <w:r>
        <w:rPr>
          <w:rFonts w:ascii="Barlow Semi Condensed" w:cs="Barlow Semi Condensed" w:eastAsia="Barlow Semi Condensed" w:hAnsi="Barlow Semi Condensed"/>
          <w:b/>
          <w:bCs/>
          <w:sz w:val="24"/>
          <w:szCs w:val="24"/>
        </w:rPr>
        <w:t xml:space="preserve">526 · La stampa estera come datazione indipendente.</w:t>
      </w:r>
      <w:r>
        <w:rPr>
          <w:rFonts w:ascii="Barlow Semi Condensed" w:cs="Barlow Semi Condensed" w:eastAsia="Barlow Semi Condensed" w:hAnsi="Barlow Semi Condensed"/>
          <w:sz w:val="24"/>
          <w:szCs w:val="24"/>
        </w:rPr>
        <w:t xml:space="preserve"> Il principio enunciato per le carte britanniche vale identico per i giornali: ogni registrazione straniera di un canale è una datazione indipendente di quel canale. Un corrispondente che nel 1978 scrive di un negoziato in corso fissa una data che nessuna memoria successiva può spostare. Il valore della fonte estera non è la sua presunta neutralità, che nessuno può garantire: è la sua indipendenza dalla catena italiana delle riprese.</w:t>
      </w:r>
    </w:p>
    <w:p>
      <w:pPr>
        <w:spacing w:after="120" w:line="276"/>
        <w:jc w:val="both"/>
      </w:pPr>
      <w:r>
        <w:rPr>
          <w:rFonts w:ascii="Barlow Semi Condensed" w:cs="Barlow Semi Condensed" w:eastAsia="Barlow Semi Condensed" w:hAnsi="Barlow Semi Condensed"/>
          <w:b/>
          <w:bCs/>
          <w:sz w:val="24"/>
          <w:szCs w:val="24"/>
        </w:rPr>
        <w:t xml:space="preserve">527 · L'archivio redazionale come giacimento.</w:t>
      </w:r>
      <w:r>
        <w:rPr>
          <w:rFonts w:ascii="Barlow Semi Condensed" w:cs="Barlow Semi Condensed" w:eastAsia="Barlow Semi Condensed" w:hAnsi="Barlow Semi Condensed"/>
          <w:sz w:val="24"/>
          <w:szCs w:val="24"/>
        </w:rPr>
        <w:t xml:space="preserve"> Il cantiere censisce i fondi dei corrispondenti esteri a Roma, i taccuini dei cronisti giudiziari che sedettero ai cinque processi, gli archivi fotografici delle testate, e ricorda che i taccuini sanno le date che i libri arrotondano. Un vettore di stampa lascia due tracce: ciò che pubblicò e ciò che non pubblicò. La seconda è quasi sempre la più istruttiva, e giace in fondi privati che nessuno ha mai chiesto di consultare.</w:t>
      </w:r>
    </w:p>
    <w:p>
      <w:pPr>
        <w:spacing w:after="120" w:line="276"/>
        <w:jc w:val="both"/>
      </w:pPr>
      <w:r>
        <w:rPr>
          <w:rFonts w:ascii="Barlow Semi Condensed" w:cs="Barlow Semi Condensed" w:eastAsia="Barlow Semi Condensed" w:hAnsi="Barlow Semi Condensed"/>
          <w:b/>
          <w:bCs/>
          <w:sz w:val="24"/>
          <w:szCs w:val="24"/>
        </w:rPr>
        <w:t xml:space="preserve">528 · Le segnalazioni ai giornali.</w:t>
      </w:r>
      <w:r>
        <w:rPr>
          <w:rFonts w:ascii="Barlow Semi Condensed" w:cs="Barlow Semi Condensed" w:eastAsia="Barlow Semi Condensed" w:hAnsi="Barlow Semi Condensed"/>
          <w:sz w:val="24"/>
          <w:szCs w:val="24"/>
        </w:rPr>
        <w:t xml:space="preserve"> Il blocco 231 registra un vettore inverso e poco battuto: ciò che i cittadini segnalarono alle redazioni invece che agli uffici dello Stato, dove gli archivi delle testate lo conservino. È un canale parallelo documentato, e integra il registro delle segnalazioni ufficiali. Il confronto fra i due flussi misurerebbe una cosa che nessuno ha mai misurato: quanta informazione l'apparato non ricevette perché fu indirizzata altrove che a lui.</w:t>
      </w:r>
    </w:p>
    <w:p>
      <w:pPr>
        <w:spacing w:after="120" w:line="276"/>
        <w:jc w:val="both"/>
      </w:pPr>
      <w:r>
        <w:rPr>
          <w:rFonts w:ascii="Barlow Semi Condensed" w:cs="Barlow Semi Condensed" w:eastAsia="Barlow Semi Condensed" w:hAnsi="Barlow Semi Condensed"/>
          <w:b/>
          <w:bCs/>
          <w:sz w:val="24"/>
          <w:szCs w:val="24"/>
        </w:rPr>
        <w:t xml:space="preserve">529 · L'annuncio non è un atto.</w:t>
      </w:r>
      <w:r>
        <w:rPr>
          <w:rFonts w:ascii="Barlow Semi Condensed" w:cs="Barlow Semi Condensed" w:eastAsia="Barlow Semi Condensed" w:hAnsi="Barlow Semi Condensed"/>
          <w:sz w:val="24"/>
          <w:szCs w:val="24"/>
        </w:rPr>
        <w:t xml:space="preserve"> Il blocco 38 del manuale impone che ogni comunicazione pubblica dichiari in una riga il grado di ciò che annuncia, vietando le conferenze stampa sulle ipotesi; il blocco 268 nomina l'errore corrispondente, la svolta annunciata e mai depositata. Applicato ai vettori: un canale rivelato in conferenza stampa e mai documentato in atti non è un canale accertato, è un titolo. E i titoli non sono atti, e non entrano nel fascicolo.</w:t>
      </w:r>
    </w:p>
    <w:p>
      <w:pPr>
        <w:spacing w:after="120" w:line="276"/>
        <w:jc w:val="both"/>
      </w:pPr>
      <w:r>
        <w:rPr>
          <w:rFonts w:ascii="Barlow Semi Condensed" w:cs="Barlow Semi Condensed" w:eastAsia="Barlow Semi Condensed" w:hAnsi="Barlow Semi Condensed"/>
          <w:b/>
          <w:bCs/>
          <w:sz w:val="24"/>
          <w:szCs w:val="24"/>
        </w:rPr>
        <w:t xml:space="preserve">530 · Il canale ecclesiastico e la sua peculiarità.</w:t>
      </w:r>
      <w:r>
        <w:rPr>
          <w:rFonts w:ascii="Barlow Semi Condensed" w:cs="Barlow Semi Condensed" w:eastAsia="Barlow Semi Condensed" w:hAnsi="Barlow Semi Condensed"/>
          <w:sz w:val="24"/>
          <w:szCs w:val="24"/>
        </w:rPr>
        <w:t xml:space="preserve"> Il canale ecclesiastico riunisce tre proprietà che nessun altro vettore possiede insieme: una legittimazione umanitaria riconosciuta dalle parti in conflitto, una struttura gerarchica che documenta le nomine ma non i colloqui, e un vincolo di riservatezza che in alcune funzioni è assoluto per statuto. Ne discende che è al tempo stesso il canale più praticato in ogni sequestro e il meno documentabile nel merito. La disciplina consiste nel dirlo, non nel dedurne il contenuto.</w:t>
      </w:r>
    </w:p>
    <w:p>
      <w:pPr>
        <w:spacing w:after="120" w:line="276"/>
        <w:jc w:val="both"/>
      </w:pPr>
      <w:r>
        <w:rPr>
          <w:rFonts w:ascii="Barlow Semi Condensed" w:cs="Barlow Semi Condensed" w:eastAsia="Barlow Semi Condensed" w:hAnsi="Barlow Semi Condensed"/>
          <w:b/>
          <w:bCs/>
          <w:sz w:val="24"/>
          <w:szCs w:val="24"/>
        </w:rPr>
        <w:t xml:space="preserve">531 · L'ufficio dei cappellani carcerari.</w:t>
      </w:r>
      <w:r>
        <w:rPr>
          <w:rFonts w:ascii="Barlow Semi Condensed" w:cs="Barlow Semi Condensed" w:eastAsia="Barlow Semi Condensed" w:hAnsi="Barlow Semi Condensed"/>
          <w:sz w:val="24"/>
          <w:szCs w:val="24"/>
        </w:rPr>
        <w:t xml:space="preserve"> Il cantiere indica la sede più promettente e mai censita del canale dei cinquantacinque giorni: l'archivio dell'ispettorato generale dei cappellani delle carceri e l'eventuale lascito personale di don Cesare Curioni (blocchi 111 e 154). Il bersaglio ha doppia entrata, perché la cappellania era anche ufficio dello Stato: esiste una carta ecclesiastica e una ministeriale del medesimo ufficio. L'accesso si chiede con quesiti scritti alle autorità competenti.</w:t>
      </w:r>
    </w:p>
    <w:p>
      <w:pPr>
        <w:spacing w:after="120" w:line="276"/>
        <w:jc w:val="both"/>
      </w:pPr>
      <w:r>
        <w:rPr>
          <w:rFonts w:ascii="Barlow Semi Condensed" w:cs="Barlow Semi Condensed" w:eastAsia="Barlow Semi Condensed" w:hAnsi="Barlow Semi Condensed"/>
          <w:b/>
          <w:bCs/>
          <w:sz w:val="24"/>
          <w:szCs w:val="24"/>
        </w:rPr>
        <w:t xml:space="preserve">532 · I registri come carta seriale.</w:t>
      </w:r>
      <w:r>
        <w:rPr>
          <w:rFonts w:ascii="Barlow Semi Condensed" w:cs="Barlow Semi Condensed" w:eastAsia="Barlow Semi Condensed" w:hAnsi="Barlow Semi Condensed"/>
          <w:sz w:val="24"/>
          <w:szCs w:val="24"/>
        </w:rPr>
        <w:t xml:space="preserve"> Il blocco 242 dell'agenda chiede i registri dei colloqui nelle carceri dove erano detenuti i brigatisti storici fra marzo e maggio 1978: chi entrò, con quale autorizzazione, con quale frequenza. È carta seriale e non memorialistica, e la differenza è decisiva. Un registro non ricorda e non interpreta: elenca. Per accertare un vettore ecclesiastico, o qualunque vettore carcerario, il registro vale più di ogni testimonianza resa quarant'anni dopo i fatti.</w:t>
      </w:r>
    </w:p>
    <w:p>
      <w:pPr>
        <w:spacing w:after="120" w:line="276"/>
        <w:jc w:val="both"/>
      </w:pPr>
      <w:r>
        <w:rPr>
          <w:rFonts w:ascii="Barlow Semi Condensed" w:cs="Barlow Semi Condensed" w:eastAsia="Barlow Semi Condensed" w:hAnsi="Barlow Semi Condensed"/>
          <w:b/>
          <w:bCs/>
          <w:sz w:val="24"/>
          <w:szCs w:val="24"/>
        </w:rPr>
        <w:t xml:space="preserve">533 · Il canale delle lettere.</w:t>
      </w:r>
      <w:r>
        <w:rPr>
          <w:rFonts w:ascii="Barlow Semi Condensed" w:cs="Barlow Semi Condensed" w:eastAsia="Barlow Semi Condensed" w:hAnsi="Barlow Semi Condensed"/>
          <w:sz w:val="24"/>
          <w:szCs w:val="24"/>
        </w:rPr>
        <w:t xml:space="preserve"> Il blocco 150 del cantiere vaticano perimetra un tratto documentato: le audizioni parlamentari, le dichiarazioni e i riscontri sul ruolo di don Antonello Mennini, che ricevette lettere dalla prigionia. Il canale delle lettere ha dunque un tratto ecclesiastico accertato quanto alla sua esistenza. Che cosa vi sia transitato oltre le lettere note resta quesito aperto e va scritto come quesito: il perimetro d'atti è il bersaglio, non la ricostruzione.</w:t>
      </w:r>
    </w:p>
    <w:p>
      <w:pPr>
        <w:spacing w:after="120" w:line="276"/>
        <w:jc w:val="both"/>
      </w:pPr>
      <w:r>
        <w:rPr>
          <w:rFonts w:ascii="Barlow Semi Condensed" w:cs="Barlow Semi Condensed" w:eastAsia="Barlow Semi Condensed" w:hAnsi="Barlow Semi Condensed"/>
          <w:b/>
          <w:bCs/>
          <w:sz w:val="24"/>
          <w:szCs w:val="24"/>
        </w:rPr>
        <w:t xml:space="preserve">534 · La nunziatura e la sede della carta.</w:t>
      </w:r>
      <w:r>
        <w:rPr>
          <w:rFonts w:ascii="Barlow Semi Condensed" w:cs="Barlow Semi Condensed" w:eastAsia="Barlow Semi Condensed" w:hAnsi="Barlow Semi Condensed"/>
          <w:sz w:val="24"/>
          <w:szCs w:val="24"/>
        </w:rPr>
        <w:t xml:space="preserve"> Il blocco 143 pone un quesito che precede ogni interpretazione: dove siano versate le carte della nunziatura apostolica in Italia e con quali regole di accesso. Il canale istituzionale fra lo Stato e la Chiesa nel 1978 passava di lì. Sapere dove giaccia la sua carta è un bersaglio in sé, e la risposta — anche se fosse un vincolo di chiusura pluridecennale — è un'acquisizione di pieno valore, non una sconfitta.</w:t>
      </w:r>
    </w:p>
    <w:p>
      <w:pPr>
        <w:spacing w:after="120" w:line="276"/>
        <w:jc w:val="both"/>
      </w:pPr>
      <w:r>
        <w:rPr>
          <w:rFonts w:ascii="Barlow Semi Condensed" w:cs="Barlow Semi Condensed" w:eastAsia="Barlow Semi Condensed" w:hAnsi="Barlow Semi Condensed"/>
          <w:b/>
          <w:bCs/>
          <w:sz w:val="24"/>
          <w:szCs w:val="24"/>
        </w:rPr>
        <w:t xml:space="preserve">535 · Il doppio binario non è doppiezza.</w:t>
      </w:r>
      <w:r>
        <w:rPr>
          <w:rFonts w:ascii="Barlow Semi Condensed" w:cs="Barlow Semi Condensed" w:eastAsia="Barlow Semi Condensed" w:hAnsi="Barlow Semi Condensed"/>
          <w:sz w:val="24"/>
          <w:szCs w:val="24"/>
        </w:rPr>
        <w:t xml:space="preserve"> Il blocco 208 nomina l'errore da evitare sul canale del riscatto: trasformare il doppio binario, appello pubblico e canale riservato, in doppiezza. Era la prassi ordinaria di ogni mediazione umanitaria del secolo. Un soggetto che parla in pubblico in un modo e tratta in privato in un altro non sta per ciò stesso ingannando: sta usando due vettori con funzioni diverse, e la distinzione va accertata prima di essere giudicata.</w:t>
      </w:r>
    </w:p>
    <w:p>
      <w:pPr>
        <w:spacing w:after="120" w:line="276"/>
        <w:jc w:val="both"/>
      </w:pPr>
      <w:r>
        <w:rPr>
          <w:rFonts w:ascii="Barlow Semi Condensed" w:cs="Barlow Semi Condensed" w:eastAsia="Barlow Semi Condensed" w:hAnsi="Barlow Semi Condensed"/>
          <w:b/>
          <w:bCs/>
          <w:sz w:val="24"/>
          <w:szCs w:val="24"/>
        </w:rPr>
        <w:t xml:space="preserve">536 · Le tre firme di Helsinki.</w:t>
      </w:r>
      <w:r>
        <w:rPr>
          <w:rFonts w:ascii="Barlow Semi Condensed" w:cs="Barlow Semi Condensed" w:eastAsia="Barlow Semi Condensed" w:hAnsi="Barlow Semi Condensed"/>
          <w:sz w:val="24"/>
          <w:szCs w:val="24"/>
        </w:rPr>
        <w:t xml:space="preserve"> L'Atto finale di Helsinki del 1° agosto 1975 reca la firma di Moro nella duplice qualità di Presidente del Consiglio e presidente di turno della Comunità, quella della Santa Sede — primo consesso di Stati cui partecipava a pieno titolo dal Congresso di Vienna — e quella della Turchia. Il corpus la registra come l'unica triangolazione certa fra i suoi oggetti, e la registra per ciò che è: comunanza di sede documentata, non concertazione.</w:t>
      </w:r>
    </w:p>
    <w:p>
      <w:pPr>
        <w:spacing w:after="120" w:line="276"/>
        <w:jc w:val="both"/>
      </w:pPr>
      <w:r>
        <w:rPr>
          <w:rFonts w:ascii="Barlow Semi Condensed" w:cs="Barlow Semi Condensed" w:eastAsia="Barlow Semi Condensed" w:hAnsi="Barlow Semi Condensed"/>
          <w:b/>
          <w:bCs/>
          <w:sz w:val="24"/>
          <w:szCs w:val="24"/>
        </w:rPr>
        <w:t xml:space="preserve">537 · Comunanza di sede non è vettore.</w:t>
      </w:r>
      <w:r>
        <w:rPr>
          <w:rFonts w:ascii="Barlow Semi Condensed" w:cs="Barlow Semi Condensed" w:eastAsia="Barlow Semi Condensed" w:hAnsi="Barlow Semi Condensed"/>
          <w:sz w:val="24"/>
          <w:szCs w:val="24"/>
        </w:rPr>
        <w:t xml:space="preserve"> La ricognizione della Farnesina lo scrive nella forma più netta: la coincidenza fra le sedi multilaterali in cui erano presenti la delegazione italiana e quella vaticana è comunanza di ambiente accertata, e nessuna fonte reperita documenta contatti operativi o istruzioni concordate. La conferenza è un luogo, non un canale. Diventa canale solo se si documenta un contenuto che vi transitò fra due delegazioni determinate, con la carta di almeno una delle due.</w:t>
      </w:r>
    </w:p>
    <w:p>
      <w:pPr>
        <w:spacing w:after="120" w:line="276"/>
        <w:jc w:val="both"/>
      </w:pPr>
      <w:r>
        <w:rPr>
          <w:rFonts w:ascii="Barlow Semi Condensed" w:cs="Barlow Semi Condensed" w:eastAsia="Barlow Semi Condensed" w:hAnsi="Barlow Semi Condensed"/>
          <w:b/>
          <w:bCs/>
          <w:sz w:val="24"/>
          <w:szCs w:val="24"/>
        </w:rPr>
        <w:t xml:space="preserve">538 · Il sigillo e il vettore muto.</w:t>
      </w:r>
      <w:r>
        <w:rPr>
          <w:rFonts w:ascii="Barlow Semi Condensed" w:cs="Barlow Semi Condensed" w:eastAsia="Barlow Semi Condensed" w:hAnsi="Barlow Semi Condensed"/>
          <w:sz w:val="24"/>
          <w:szCs w:val="24"/>
        </w:rPr>
        <w:t xml:space="preserve"> Alcuni canali sono per statuto non documentabili nel merito: il confessore, il medico, il difensore. Non è opacità sospetta, è disciplina professionale antica e riconosciuta dagli ordinamenti. La regola del corpus è di censire la funzione senza presumerne il contenuto, e di cercare le tracce collaterali che quella funzione lascia comunque — nomine, spostamenti, autorizzazioni, registri d'ingresso. Si accerta il perimetro, e si dichiara che il centro è precluso.</w:t>
      </w:r>
    </w:p>
    <w:p>
      <w:pPr>
        <w:spacing w:after="120" w:line="276"/>
        <w:jc w:val="both"/>
      </w:pPr>
      <w:r>
        <w:rPr>
          <w:rFonts w:ascii="Barlow Semi Condensed" w:cs="Barlow Semi Condensed" w:eastAsia="Barlow Semi Condensed" w:hAnsi="Barlow Semi Condensed"/>
          <w:b/>
          <w:bCs/>
          <w:sz w:val="24"/>
          <w:szCs w:val="24"/>
        </w:rPr>
        <w:t xml:space="preserve">539 · Stato Zero sul versante confessionale.</w:t>
      </w:r>
      <w:r>
        <w:rPr>
          <w:rFonts w:ascii="Barlow Semi Condensed" w:cs="Barlow Semi Condensed" w:eastAsia="Barlow Semi Condensed" w:hAnsi="Barlow Semi Condensed"/>
          <w:sz w:val="24"/>
          <w:szCs w:val="24"/>
        </w:rPr>
        <w:t xml:space="preserve"> La cartella Farnesina registra un esito negativo che vale come modello di scrittura: nelle fonti edite non emerge una presa di posizione documentata della Farnesina di Moro sulle minoranze cristiane di Turchia né sulla chiusura del Seminario di Halki nel 1971, e l'esito è dichiarato con la sede d'archivio dove chiuderlo. È così che si scrive uno Stato Zero su un canale: nominando la ricerca compiuta, non il silenzio trovato.</w:t>
      </w:r>
    </w:p>
    <w:p>
      <w:pPr>
        <w:spacing w:after="120" w:line="276"/>
        <w:jc w:val="both"/>
      </w:pPr>
      <w:r>
        <w:rPr>
          <w:rFonts w:ascii="Barlow Semi Condensed" w:cs="Barlow Semi Condensed" w:eastAsia="Barlow Semi Condensed" w:hAnsi="Barlow Semi Condensed"/>
          <w:b/>
          <w:bCs/>
          <w:sz w:val="24"/>
          <w:szCs w:val="24"/>
        </w:rPr>
        <w:t xml:space="preserve">540 · Il vettore che non sa.</w:t>
      </w:r>
      <w:r>
        <w:rPr>
          <w:rFonts w:ascii="Barlow Semi Condensed" w:cs="Barlow Semi Condensed" w:eastAsia="Barlow Semi Condensed" w:hAnsi="Barlow Semi Condensed"/>
          <w:sz w:val="24"/>
          <w:szCs w:val="24"/>
        </w:rPr>
        <w:t xml:space="preserve"> Si chiama vettore inconsapevole chi trasmette senza conoscere ciò che trasmette: il corriere che porta una busta chiusa, l'ufficio che smista una segnalazione secondo criterio, il giornale che pubblica un'informazione veritiera fornitagli a fini altrui. È la figura più comune e la meno trattata. La sua esistenza rompe ogni inferenza che vada dal canale all'intenzione: fra il transito e la volontà di far transitare quel contenuto sta un accertamento in più.</w:t>
      </w:r>
    </w:p>
    <w:p>
      <w:pPr>
        <w:spacing w:after="120" w:line="276"/>
        <w:jc w:val="both"/>
      </w:pPr>
      <w:r>
        <w:rPr>
          <w:rFonts w:ascii="Barlow Semi Condensed" w:cs="Barlow Semi Condensed" w:eastAsia="Barlow Semi Condensed" w:hAnsi="Barlow Semi Condensed"/>
          <w:b/>
          <w:bCs/>
          <w:sz w:val="24"/>
          <w:szCs w:val="24"/>
        </w:rPr>
        <w:t xml:space="preserve">541 · La busta chiusa.</w:t>
      </w:r>
      <w:r>
        <w:rPr>
          <w:rFonts w:ascii="Barlow Semi Condensed" w:cs="Barlow Semi Condensed" w:eastAsia="Barlow Semi Condensed" w:hAnsi="Barlow Semi Condensed"/>
          <w:sz w:val="24"/>
          <w:szCs w:val="24"/>
        </w:rPr>
        <w:t xml:space="preserve"> Il caso limite chiarisce la regola: chi consegna una busta sigillata trasmette il contenitore, non il contenuto. Documentare la consegna — data, mani, ricevuta — è documentare il vettore per intero e il contenuto per nulla. Un corpus disciplinato scrive esattamente questo e resiste alla pressione di scrivere di più. La consegna accertata è un fatto di grado alto; il contenuto presunto è congettura, e il primo non promuove il secondo.</w:t>
      </w:r>
    </w:p>
    <w:p>
      <w:pPr>
        <w:spacing w:after="120" w:line="276"/>
        <w:jc w:val="both"/>
      </w:pPr>
      <w:r>
        <w:rPr>
          <w:rFonts w:ascii="Barlow Semi Condensed" w:cs="Barlow Semi Condensed" w:eastAsia="Barlow Semi Condensed" w:hAnsi="Barlow Semi Condensed"/>
          <w:b/>
          <w:bCs/>
          <w:sz w:val="24"/>
          <w:szCs w:val="24"/>
        </w:rPr>
        <w:t xml:space="preserve">542 · Il traduttore e la mutazione lecita.</w:t>
      </w:r>
      <w:r>
        <w:rPr>
          <w:rFonts w:ascii="Barlow Semi Condensed" w:cs="Barlow Semi Condensed" w:eastAsia="Barlow Semi Condensed" w:hAnsi="Barlow Semi Condensed"/>
          <w:sz w:val="24"/>
          <w:szCs w:val="24"/>
        </w:rPr>
        <w:t xml:space="preserve"> Il traduttore è un vettore che introduce necessariamente variazione, e la introduce in buona fede. Una durezza politica resa in un'altra lingua può diventare minaccia; una minaccia può attenuarsi in rilievo. Il corpus registra due smentite italiane qualificate che divergono proprio su questo: chi distingue il rimprovero aspro dalla minaccia e chi parla di solo un problema di linguaggio. Nessuno dei due era presente al colloquio riservato.</w:t>
      </w:r>
    </w:p>
    <w:p>
      <w:pPr>
        <w:spacing w:after="120" w:line="276"/>
        <w:jc w:val="both"/>
      </w:pPr>
      <w:r>
        <w:rPr>
          <w:rFonts w:ascii="Barlow Semi Condensed" w:cs="Barlow Semi Condensed" w:eastAsia="Barlow Semi Condensed" w:hAnsi="Barlow Semi Condensed"/>
          <w:b/>
          <w:bCs/>
          <w:sz w:val="24"/>
          <w:szCs w:val="24"/>
        </w:rPr>
        <w:t xml:space="preserve">543 · Lo smistamento come atto documentabile.</w:t>
      </w:r>
      <w:r>
        <w:rPr>
          <w:rFonts w:ascii="Barlow Semi Condensed" w:cs="Barlow Semi Condensed" w:eastAsia="Barlow Semi Condensed" w:hAnsi="Barlow Semi Condensed"/>
          <w:sz w:val="24"/>
          <w:szCs w:val="24"/>
        </w:rPr>
        <w:t xml:space="preserve"> Il blocco 213 del manuale fissa lo schema-dati che rende accertabile un vettore burocratico: data e ora, canale d'ingresso, ufficio ricevente, protocollo, oggetto in sintesi, classificazione attribuita, smistamento, atti conseguenti, ritorno, trasmissione all'autorità giudiziaria, esito finale, carte collegate. Un funzionario che smista secondo criterio è un vettore inconsapevole per definizione, e quei campi dicono che cosa fece senza dire che cosa sapesse, che è la separazione richiesta.</w:t>
      </w:r>
    </w:p>
    <w:p>
      <w:pPr>
        <w:spacing w:after="120" w:line="276"/>
        <w:jc w:val="both"/>
      </w:pPr>
      <w:r>
        <w:rPr>
          <w:rFonts w:ascii="Barlow Semi Condensed" w:cs="Barlow Semi Condensed" w:eastAsia="Barlow Semi Condensed" w:hAnsi="Barlow Semi Condensed"/>
          <w:b/>
          <w:bCs/>
          <w:sz w:val="24"/>
          <w:szCs w:val="24"/>
        </w:rPr>
        <w:t xml:space="preserve">544 · L'inconsapevolezza spezza la catena.</w:t>
      </w:r>
      <w:r>
        <w:rPr>
          <w:rFonts w:ascii="Barlow Semi Condensed" w:cs="Barlow Semi Condensed" w:eastAsia="Barlow Semi Condensed" w:hAnsi="Barlow Semi Condensed"/>
          <w:sz w:val="24"/>
          <w:szCs w:val="24"/>
        </w:rPr>
        <w:t xml:space="preserve"> Se anche un vettore fosse accertato al piano uno in ogni suo anello, la catena inferenziale si interrompe là dove un anello non sapeva. Chi non conosce il contenuto non può averlo voluto, e senza volontà non vi è condotta imputabile: è il principio personalistico che il corpus applica dovunque, tradotto in teoria dei canali. Ne discende che la prova di un vettore non è mai, da sola, prova di un concorso.</w:t>
      </w:r>
    </w:p>
    <w:p>
      <w:pPr>
        <w:spacing w:after="120" w:line="276"/>
        <w:jc w:val="both"/>
      </w:pPr>
      <w:r>
        <w:rPr>
          <w:rFonts w:ascii="Barlow Semi Condensed" w:cs="Barlow Semi Condensed" w:eastAsia="Barlow Semi Condensed" w:hAnsi="Barlow Semi Condensed"/>
          <w:b/>
          <w:bCs/>
          <w:sz w:val="24"/>
          <w:szCs w:val="24"/>
        </w:rPr>
        <w:t xml:space="preserve">545 · Vietato retroattribuire la consapevolezza.</w:t>
      </w:r>
      <w:r>
        <w:rPr>
          <w:rFonts w:ascii="Barlow Semi Condensed" w:cs="Barlow Semi Condensed" w:eastAsia="Barlow Semi Condensed" w:hAnsi="Barlow Semi Condensed"/>
          <w:sz w:val="24"/>
          <w:szCs w:val="24"/>
        </w:rPr>
        <w:t xml:space="preserve"> L'errore speculare è la retroattribuzione: sapere oggi che cosa passò per un canale e concludere che chi lo teneva lo sapesse allora. È la forma temporale dell'inferenza vietata, e si smonta con la cronologia, cioè con il blocco 14 del manuale, che colloca la tavola delle date prima di ogni lettura. Un acquisto del 1979 non prova nulla sul 1978, e una consapevolezza del 1990 non retroagisce sul comportamento del 1978.</w:t>
      </w:r>
    </w:p>
    <w:p>
      <w:pPr>
        <w:spacing w:after="120" w:line="276"/>
        <w:jc w:val="both"/>
      </w:pPr>
      <w:r>
        <w:rPr>
          <w:rFonts w:ascii="Barlow Semi Condensed" w:cs="Barlow Semi Condensed" w:eastAsia="Barlow Semi Condensed" w:hAnsi="Barlow Semi Condensed"/>
          <w:b/>
          <w:bCs/>
          <w:sz w:val="24"/>
          <w:szCs w:val="24"/>
        </w:rPr>
        <w:t xml:space="preserve">546 · Il mito trasmesso e travisato.</w:t>
      </w:r>
      <w:r>
        <w:rPr>
          <w:rFonts w:ascii="Barlow Semi Condensed" w:cs="Barlow Semi Condensed" w:eastAsia="Barlow Semi Condensed" w:hAnsi="Barlow Semi Condensed"/>
          <w:sz w:val="24"/>
          <w:szCs w:val="24"/>
        </w:rPr>
        <w:t xml:space="preserve"> Il corpus documenta un vettore inconsapevole di grande portata: le Brigate Rosse assunsero Guevara a modello dichiarato, e il tramite materiale di quel modello in Italia fu un'operazione editoriale conclusa anni prima e per fini diversi. Feltrinelli fu iniziatore, non mandante, e morì sei anni prima di via Fani. Chi fabbrica un simbolo non governa gli usi che altri ne faranno: è la definizione stessa della trasmissione orizzontale.</w:t>
      </w:r>
    </w:p>
    <w:p>
      <w:pPr>
        <w:spacing w:after="120" w:line="276"/>
        <w:jc w:val="both"/>
      </w:pPr>
      <w:r>
        <w:rPr>
          <w:rFonts w:ascii="Barlow Semi Condensed" w:cs="Barlow Semi Condensed" w:eastAsia="Barlow Semi Condensed" w:hAnsi="Barlow Semi Condensed"/>
          <w:b/>
          <w:bCs/>
          <w:sz w:val="24"/>
          <w:szCs w:val="24"/>
        </w:rPr>
        <w:t xml:space="preserve">547 · La mutazione nel canale.</w:t>
      </w:r>
      <w:r>
        <w:rPr>
          <w:rFonts w:ascii="Barlow Semi Condensed" w:cs="Barlow Semi Condensed" w:eastAsia="Barlow Semi Condensed" w:hAnsi="Barlow Semi Condensed"/>
          <w:sz w:val="24"/>
          <w:szCs w:val="24"/>
        </w:rPr>
        <w:t xml:space="preserve"> La lente genetica offre qui il suo servizio migliore. Un contenuto che passa per vettori successivi muta a ogni passaggio, e la mutazione non richiede malafede: basta la selezione di ciò che si ritiene rilevante. Il corpus lo ha misurato sul caso concreto, perché il Che dei diari e il Che dei muri non sono lo stesso contenuto. Ricostruire la catena delle mutazioni è indagine legittima; attribuirle tutte all'emittente non lo è.</w:t>
      </w:r>
    </w:p>
    <w:p>
      <w:pPr>
        <w:spacing w:after="120" w:line="276"/>
        <w:jc w:val="both"/>
      </w:pPr>
      <w:r>
        <w:rPr>
          <w:rFonts w:ascii="Barlow Semi Condensed" w:cs="Barlow Semi Condensed" w:eastAsia="Barlow Semi Condensed" w:hAnsi="Barlow Semi Condensed"/>
          <w:b/>
          <w:bCs/>
          <w:sz w:val="24"/>
          <w:szCs w:val="24"/>
        </w:rPr>
        <w:t xml:space="preserve">548 · Il rumore del canale.</w:t>
      </w:r>
      <w:r>
        <w:rPr>
          <w:rFonts w:ascii="Barlow Semi Condensed" w:cs="Barlow Semi Condensed" w:eastAsia="Barlow Semi Condensed" w:hAnsi="Barlow Semi Condensed"/>
          <w:sz w:val="24"/>
          <w:szCs w:val="24"/>
        </w:rPr>
        <w:t xml:space="preserve"> Ogni vettore aggiunge rumore: dettagli perduti, date arrotondate, nomi sostituiti. La nota di revisione del nodo M-5 lo mostra in laboratorio: la vedova parlò di un'alta personalità senza nominarla, e fu il presidente della corte, richiamando il teste de relato, a ottenere l'indicazione del nome. L'attribuzione del nome è essa stessa indiretta. Un nome che entra in un canale a un passaggio successivo non ha il grado del fatto originario.</w:t>
      </w:r>
    </w:p>
    <w:p>
      <w:pPr>
        <w:spacing w:after="120" w:line="276"/>
        <w:jc w:val="both"/>
      </w:pPr>
      <w:r>
        <w:rPr>
          <w:rFonts w:ascii="Barlow Semi Condensed" w:cs="Barlow Semi Condensed" w:eastAsia="Barlow Semi Condensed" w:hAnsi="Barlow Semi Condensed"/>
          <w:b/>
          <w:bCs/>
          <w:sz w:val="24"/>
          <w:szCs w:val="24"/>
        </w:rPr>
        <w:t xml:space="preserve">549 · Il vettore che nega.</w:t>
      </w:r>
      <w:r>
        <w:rPr>
          <w:rFonts w:ascii="Barlow Semi Condensed" w:cs="Barlow Semi Condensed" w:eastAsia="Barlow Semi Condensed" w:hAnsi="Barlow Semi Condensed"/>
          <w:sz w:val="24"/>
          <w:szCs w:val="24"/>
        </w:rPr>
        <w:t xml:space="preserve"> Kissinger ha negato l'episodio dell'avvertimento in forma diretta e circostanziata poco prima della morte, e in forma anteriore e generica già nel 1983, quando ammetteva la propria contrarietà all'ingresso dei comunisti al governo ma smentiva di aver rimproverato Moro. Non fu mai sentito dai magistrati italiani. Una testimonianza contestata si riporta con la contestazione: il grado resta B debole, e nessun blocco può scrivere l'episodio come accaduto.</w:t>
      </w:r>
    </w:p>
    <w:p>
      <w:pPr>
        <w:spacing w:after="120" w:line="276"/>
        <w:jc w:val="both"/>
      </w:pPr>
      <w:r>
        <w:rPr>
          <w:rFonts w:ascii="Barlow Semi Condensed" w:cs="Barlow Semi Condensed" w:eastAsia="Barlow Semi Condensed" w:hAnsi="Barlow Semi Condensed"/>
          <w:b/>
          <w:bCs/>
          <w:sz w:val="24"/>
          <w:szCs w:val="24"/>
        </w:rPr>
        <w:t xml:space="preserve">550 · Omologia e analogia fra canali.</w:t>
      </w:r>
      <w:r>
        <w:rPr>
          <w:rFonts w:ascii="Barlow Semi Condensed" w:cs="Barlow Semi Condensed" w:eastAsia="Barlow Semi Condensed" w:hAnsi="Barlow Semi Condensed"/>
          <w:sz w:val="24"/>
          <w:szCs w:val="24"/>
        </w:rPr>
        <w:t xml:space="preserve"> In biologia l'omologia è somiglianza per discendenza comune, l'analogia somiglianza per funzione convergente. Applicata ai canali: due vettori possono assomigliarsi perché derivano dalla stessa prassi, come l'ambasciata ottocentesca e quella novecentesca, oppure perché risolvono lo stesso problema in modi indipendenti. Solo l'omologia autorizza a leggere l'uno attraverso l'altro. La dietrologia vive di analogie scambiate per omologie, ed è un errore tassonomico prima che un errore morale.</w:t>
      </w:r>
    </w:p>
    <w:p>
      <w:pPr>
        <w:spacing w:after="120" w:line="276"/>
        <w:jc w:val="both"/>
      </w:pPr>
      <w:r>
        <w:rPr>
          <w:rFonts w:ascii="Barlow Semi Condensed" w:cs="Barlow Semi Condensed" w:eastAsia="Barlow Semi Condensed" w:hAnsi="Barlow Semi Condensed"/>
          <w:b/>
          <w:bCs/>
          <w:sz w:val="24"/>
          <w:szCs w:val="24"/>
        </w:rPr>
        <w:t xml:space="preserve">551 · Fenotipo e genotipo del canale.</w:t>
      </w:r>
      <w:r>
        <w:rPr>
          <w:rFonts w:ascii="Barlow Semi Condensed" w:cs="Barlow Semi Condensed" w:eastAsia="Barlow Semi Condensed" w:hAnsi="Barlow Semi Condensed"/>
          <w:sz w:val="24"/>
          <w:szCs w:val="24"/>
        </w:rPr>
        <w:t xml:space="preserve"> Il fenotipo di un vettore è ciò che si vede: la visita, la firma, l'articolo pubblicato. Il genotipo è la regola interna che lo produce: l'istruzione, la prassi d'ufficio, la linea. Il corpus può quasi sempre accertare il primo e quasi mai il secondo. Dichiarare quale dei due si stia descrivendo è un obbligo di scrittura, perché il lettore, se non glielo si dice, legge invariabilmente il secondo.</w:t>
      </w:r>
    </w:p>
    <w:p>
      <w:pPr>
        <w:spacing w:after="120" w:line="276"/>
        <w:jc w:val="both"/>
      </w:pPr>
      <w:r>
        <w:rPr>
          <w:rFonts w:ascii="Barlow Semi Condensed" w:cs="Barlow Semi Condensed" w:eastAsia="Barlow Semi Condensed" w:hAnsi="Barlow Semi Condensed"/>
          <w:b/>
          <w:bCs/>
          <w:sz w:val="24"/>
          <w:szCs w:val="24"/>
        </w:rPr>
        <w:t xml:space="preserve">552 · Il DNA non codificante del sistema.</w:t>
      </w:r>
      <w:r>
        <w:rPr>
          <w:rFonts w:ascii="Barlow Semi Condensed" w:cs="Barlow Semi Condensed" w:eastAsia="Barlow Semi Condensed" w:hAnsi="Barlow Semi Condensed"/>
          <w:sz w:val="24"/>
          <w:szCs w:val="24"/>
        </w:rPr>
        <w:t xml:space="preserve"> Gran parte di un genoma non codifica proteine; gran parte dei canali di un sistema politico non trasmette nulla di decisivo. Corrispondenza di cortesia, visite protocollari, presenze a conferenze: esistono, sono documentate, e non esprimono. La regola dei buchi di Burt, adottata dal corpus, ha qui il suo corrispettivo positivo: non solo i vuoti vanno misurati e non riempiti, ma anche i pieni inerti vanno riconosciuti per ciò che sono.</w:t>
      </w:r>
    </w:p>
    <w:p>
      <w:pPr>
        <w:spacing w:after="120" w:line="276"/>
        <w:jc w:val="both"/>
      </w:pPr>
      <w:r>
        <w:rPr>
          <w:rFonts w:ascii="Barlow Semi Condensed" w:cs="Barlow Semi Condensed" w:eastAsia="Barlow Semi Condensed" w:hAnsi="Barlow Semi Condensed"/>
          <w:b/>
          <w:bCs/>
          <w:sz w:val="24"/>
          <w:szCs w:val="24"/>
        </w:rPr>
        <w:t xml:space="preserve">553 · L'epigenetica dei canali.</w:t>
      </w:r>
      <w:r>
        <w:rPr>
          <w:rFonts w:ascii="Barlow Semi Condensed" w:cs="Barlow Semi Condensed" w:eastAsia="Barlow Semi Condensed" w:hAnsi="Barlow Semi Condensed"/>
          <w:sz w:val="24"/>
          <w:szCs w:val="24"/>
        </w:rPr>
        <w:t xml:space="preserve"> Un canale può esistere da anni e attivarsi soltanto in certe condizioni: una crisi, un cambio di governo, un sequestro. L'analogia epigenetica è utile perché sposta la domanda dal se esiste al quando si accende, che è domanda datata e quindi verificabile. Il quesito operativo diventa: quali carte documentino l'attivazione, e in quale settimana. Un canale sempre esistito e mai attivato non spiega nulla di ciò che accadde in una data.</w:t>
      </w:r>
    </w:p>
    <w:p>
      <w:pPr>
        <w:spacing w:after="120" w:line="276"/>
        <w:jc w:val="both"/>
      </w:pPr>
      <w:r>
        <w:rPr>
          <w:rFonts w:ascii="Barlow Semi Condensed" w:cs="Barlow Semi Condensed" w:eastAsia="Barlow Semi Condensed" w:hAnsi="Barlow Semi Condensed"/>
          <w:b/>
          <w:bCs/>
          <w:sz w:val="24"/>
          <w:szCs w:val="24"/>
        </w:rPr>
        <w:t xml:space="preserve">554 · Espressione differenziale secondo l'ambiente (serie VII).</w:t>
      </w:r>
      <w:r>
        <w:rPr>
          <w:rFonts w:ascii="Barlow Semi Condensed" w:cs="Barlow Semi Condensed" w:eastAsia="Barlow Semi Condensed" w:hAnsi="Barlow Semi Condensed"/>
          <w:sz w:val="24"/>
          <w:szCs w:val="24"/>
        </w:rPr>
        <w:t xml:space="preserve"> Lo stesso vettore produce esiti opposti in ambienti diversi, e il corpus ne ha un esempio nel proprio materiale: il medesimo tavolo di Washington che nel marzo 1969 non trovò reale giustificazione per riprendere il finanziamento coperto ai partiti italiani autorizzò altrove operazioni ben più estese. Uguale struttura, decisioni diverse. Ne discende il divieto di dedurre la decisione italiana da quella presa su un altro Paese: l'ambiente è parte della causa.</w:t>
      </w:r>
    </w:p>
    <w:p>
      <w:pPr>
        <w:spacing w:after="120" w:line="276"/>
        <w:jc w:val="both"/>
      </w:pPr>
      <w:r>
        <w:rPr>
          <w:rFonts w:ascii="Barlow Semi Condensed" w:cs="Barlow Semi Condensed" w:eastAsia="Barlow Semi Condensed" w:hAnsi="Barlow Semi Condensed"/>
          <w:b/>
          <w:bCs/>
          <w:sz w:val="24"/>
          <w:szCs w:val="24"/>
        </w:rPr>
        <w:t xml:space="preserve">555 · Dove la metafora spinge al determinismo.</w:t>
      </w:r>
      <w:r>
        <w:rPr>
          <w:rFonts w:ascii="Barlow Semi Condensed" w:cs="Barlow Semi Condensed" w:eastAsia="Barlow Semi Condensed" w:hAnsi="Barlow Semi Condensed"/>
          <w:sz w:val="24"/>
          <w:szCs w:val="24"/>
        </w:rPr>
        <w:t xml:space="preserve"> La lente genetica ha un vizio che va nominato e fermato: suggerisce che ciò che è trasmesso debba esprimersi. Nella storia non è così, perché un'idea può restare inerte per decenni e un canale può portare un contenuto che nessuno raccoglie. Ogni volta che la metafora induce a scrivere che doveva accadere, il blocco si ferma e riscrive al modo indicativo dei fatti accertati. La metafora serve a fare domande, non a chiuderle.</w:t>
      </w:r>
    </w:p>
    <w:p>
      <w:pPr>
        <w:spacing w:after="120" w:line="276"/>
        <w:jc w:val="both"/>
      </w:pPr>
      <w:r>
        <w:rPr>
          <w:rFonts w:ascii="Barlow Semi Condensed" w:cs="Barlow Semi Condensed" w:eastAsia="Barlow Semi Condensed" w:hAnsi="Barlow Semi Condensed"/>
          <w:b/>
          <w:bCs/>
          <w:sz w:val="24"/>
          <w:szCs w:val="24"/>
        </w:rPr>
        <w:t xml:space="preserve">556 · Nessuna colpa si eredita (serie VII).</w:t>
      </w:r>
      <w:r>
        <w:rPr>
          <w:rFonts w:ascii="Barlow Semi Condensed" w:cs="Barlow Semi Condensed" w:eastAsia="Barlow Semi Condensed" w:hAnsi="Barlow Semi Condensed"/>
          <w:sz w:val="24"/>
          <w:szCs w:val="24"/>
        </w:rPr>
        <w:t xml:space="preserve"> Il divieto è assoluto e viene prima della metafora. Il blocco 5 del manuale lo enuncia: la colpa non è mai del gruppo ed è sempre della persona, l'appartenenza non è condotta, la parentela non è canale. Il blocco 157 lo stampa in testa a ogni richiesta agli eredi, perché nessuno risponde dei propri congiunti. Se la lente genetica suggerisce lignaggi di responsabilità, la lente va deposta, e questo blocco esiste per deporla.</w:t>
      </w:r>
    </w:p>
    <w:p>
      <w:pPr>
        <w:spacing w:after="120" w:line="276"/>
        <w:jc w:val="both"/>
      </w:pPr>
      <w:r>
        <w:rPr>
          <w:rFonts w:ascii="Barlow Semi Condensed" w:cs="Barlow Semi Condensed" w:eastAsia="Barlow Semi Condensed" w:hAnsi="Barlow Semi Condensed"/>
          <w:b/>
          <w:bCs/>
          <w:sz w:val="24"/>
          <w:szCs w:val="24"/>
        </w:rPr>
        <w:t xml:space="preserve">557 · La filogenesi dei canali.</w:t>
      </w:r>
      <w:r>
        <w:rPr>
          <w:rFonts w:ascii="Barlow Semi Condensed" w:cs="Barlow Semi Condensed" w:eastAsia="Barlow Semi Condensed" w:hAnsi="Barlow Semi Condensed"/>
          <w:sz w:val="24"/>
          <w:szCs w:val="24"/>
        </w:rPr>
        <w:t xml:space="preserve"> Si può ricostruire l'albero delle prassi — come una tecnica di mediazione, un formato di dispaccio, un modello di comitato di crisi passino da un Paese all'altro — e la ricostruzione è storia legittima e poco praticata. Ciò che l'albero non produce mai è un mandante: la genealogia di una prassi non attribuisce la responsabilità di un atto compiuto con quella prassi. È lo stesso confine che separa il ceppo del 1969 dall'agguato del 1978.</w:t>
      </w:r>
    </w:p>
    <w:p>
      <w:pPr>
        <w:spacing w:after="120" w:line="276"/>
        <w:jc w:val="both"/>
      </w:pPr>
      <w:r>
        <w:rPr>
          <w:rFonts w:ascii="Barlow Semi Condensed" w:cs="Barlow Semi Condensed" w:eastAsia="Barlow Semi Condensed" w:hAnsi="Barlow Semi Condensed"/>
          <w:b/>
          <w:bCs/>
          <w:sz w:val="24"/>
          <w:szCs w:val="24"/>
        </w:rPr>
        <w:t xml:space="preserve">558 · Il vettore davanti al giudicato.</w:t>
      </w:r>
      <w:r>
        <w:rPr>
          <w:rFonts w:ascii="Barlow Semi Condensed" w:cs="Barlow Semi Condensed" w:eastAsia="Barlow Semi Condensed" w:hAnsi="Barlow Semi Condensed"/>
          <w:sz w:val="24"/>
          <w:szCs w:val="24"/>
        </w:rPr>
        <w:t xml:space="preserve"> Nessuna acquisizione di questa serie tocca il pavimento del caso: cinque processi definitivi hanno stabilito che le Brigate Rosse idearono, ordinarono ed eseguirono il sequestro e l'omicidio di Aldo Moro. Henry Alfred Kissinger, nato a Fürth il 27 maggio 1923 e morto a Kent nel Connecticut il 29 novembre 2023, non fu mai condannato in alcun processo né imputato per quei fatti. Un vettore documentato non aggiunge nomi al registro.</w:t>
      </w:r>
    </w:p>
    <w:p>
      <w:pPr>
        <w:spacing w:after="120" w:line="276"/>
        <w:jc w:val="both"/>
      </w:pPr>
      <w:r>
        <w:rPr>
          <w:rFonts w:ascii="Barlow Semi Condensed" w:cs="Barlow Semi Condensed" w:eastAsia="Barlow Semi Condensed" w:hAnsi="Barlow Semi Condensed"/>
          <w:b/>
          <w:bCs/>
          <w:sz w:val="24"/>
          <w:szCs w:val="24"/>
        </w:rPr>
        <w:t xml:space="preserve">559 · Bilancio dei vettori della serie.</w:t>
      </w:r>
      <w:r>
        <w:rPr>
          <w:rFonts w:ascii="Barlow Semi Condensed" w:cs="Barlow Semi Condensed" w:eastAsia="Barlow Semi Condensed" w:hAnsi="Barlow Semi Condensed"/>
          <w:sz w:val="24"/>
          <w:szCs w:val="24"/>
        </w:rPr>
        <w:t xml:space="preserve"> La serie ha censito vettori di quattro generi. Documentati al piano uno: i verbali dello Studio Ovale del settembre 1974, l'operazione editoriale del 1967-68, il finanziamento cileno accertato dal rapporto del 1975. Documentati nell'esistenza e ignoti nel contenuto: i canali ecclesiastici dei cinquantacinque giorni. Comunanze di sede: Helsinki. Stati Zero: il vettore di stampa italiano finanziato, con la sede indicata. Nessuno di essi costituisce un nesso causale.</w:t>
      </w:r>
    </w:p>
    <w:p>
      <w:pPr>
        <w:spacing w:after="120" w:line="276"/>
        <w:jc w:val="both"/>
      </w:pPr>
      <w:r>
        <w:rPr>
          <w:rFonts w:ascii="Barlow Semi Condensed" w:cs="Barlow Semi Condensed" w:eastAsia="Barlow Semi Condensed" w:hAnsi="Barlow Semi Condensed"/>
          <w:b/>
          <w:bCs/>
          <w:sz w:val="24"/>
          <w:szCs w:val="24"/>
        </w:rPr>
        <w:t xml:space="preserve">560 · Congedo della serie settima.</w:t>
      </w:r>
      <w:r>
        <w:rPr>
          <w:rFonts w:ascii="Barlow Semi Condensed" w:cs="Barlow Semi Condensed" w:eastAsia="Barlow Semi Condensed" w:hAnsi="Barlow Semi Condensed"/>
          <w:sz w:val="24"/>
          <w:szCs w:val="24"/>
        </w:rPr>
        <w:t xml:space="preserve"> Che cosa aggiunge questa serie: un criterio per distinguere un canale da un incontro, un metro esterno per misurare quanto materiale occorra per dire documentato, e un divieto scritto per esteso — dal canale non si deduce il contenuto, dal contenuto non si deduce l'intenzione, dall'intenzione non si deduce l'atto. Il fascicolo resta aperto sui vettori come su tutto il resto, e resta aperto nella forma che consente di chiuderlo: quesiti con sede.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ottava — La mutazione, l'errore di trascrizione, il falso</w:t>
      </w:r>
    </w:p>
    <w:p>
      <w:pPr>
        <w:spacing w:after="120" w:line="276"/>
        <w:jc w:val="both"/>
      </w:pPr>
      <w:r>
        <w:rPr>
          <w:rFonts w:ascii="Barlow Semi Condensed" w:cs="Barlow Semi Condensed" w:eastAsia="Barlow Semi Condensed" w:hAnsi="Barlow Semi Condensed"/>
          <w:i/>
          <w:iCs/>
          <w:sz w:val="24"/>
          <w:szCs w:val="24"/>
        </w:rPr>
        <w:t xml:space="preserve">Blocchi 561-630.</w:t>
      </w:r>
    </w:p>
    <w:p>
      <w:pPr>
        <w:spacing w:after="120" w:line="276"/>
        <w:jc w:val="both"/>
      </w:pPr>
      <w:r>
        <w:rPr>
          <w:rFonts w:ascii="Barlow Semi Condensed" w:cs="Barlow Semi Condensed" w:eastAsia="Barlow Semi Condensed" w:hAnsi="Barlow Semi Condensed"/>
          <w:b/>
          <w:bCs/>
          <w:sz w:val="24"/>
          <w:szCs w:val="24"/>
        </w:rPr>
        <w:t xml:space="preserve">561 · Il codice, la copia, l'errore.</w:t>
      </w:r>
      <w:r>
        <w:rPr>
          <w:rFonts w:ascii="Barlow Semi Condensed" w:cs="Barlow Semi Condensed" w:eastAsia="Barlow Semi Condensed" w:hAnsi="Barlow Semi Condensed"/>
          <w:sz w:val="24"/>
          <w:szCs w:val="24"/>
        </w:rPr>
        <w:t xml:space="preserve"> La lente dichiarata dal committente — Kissinger come figura della genetica — entra in questa serie dal lato meno lusinghiero del codice: non la potenza replicativa, ma il tasso d'errore. Ogni copia degrada l'originale di una quota misurabile, e la storia si trasmette per copie. L'analogia serve a porre domande di filologia, non ad attribuire nature: nessun testo eredita colpe e nessun uomo è il suo genoma.</w:t>
      </w:r>
    </w:p>
    <w:p>
      <w:pPr>
        <w:spacing w:after="120" w:line="276"/>
        <w:jc w:val="both"/>
      </w:pPr>
      <w:r>
        <w:rPr>
          <w:rFonts w:ascii="Barlow Semi Condensed" w:cs="Barlow Semi Condensed" w:eastAsia="Barlow Semi Condensed" w:hAnsi="Barlow Semi Condensed"/>
          <w:b/>
          <w:bCs/>
          <w:sz w:val="24"/>
          <w:szCs w:val="24"/>
        </w:rPr>
        <w:t xml:space="preserve">562 · Il tasso d'errore non è malizia.</w:t>
      </w:r>
      <w:r>
        <w:rPr>
          <w:rFonts w:ascii="Barlow Semi Condensed" w:cs="Barlow Semi Condensed" w:eastAsia="Barlow Semi Condensed" w:hAnsi="Barlow Semi Condensed"/>
          <w:sz w:val="24"/>
          <w:szCs w:val="24"/>
        </w:rPr>
        <w:t xml:space="preserve"> Prima di ogni sospetto va posta la statistica: in ogni catena di trascrizione una quota di varianti nasce da fretta, stanchezza, cattiva lettura. La regola operativa che questa serie adotta è che l'errore casuale sia l'ipotesi di partenza e il dolo l'ipotesi da provare, mai il contrario. Chi inverte l'ordine costruisce falsari dappertutto e finisce per non riconoscere più i falsari veri quando li incontra.</w:t>
      </w:r>
    </w:p>
    <w:p>
      <w:pPr>
        <w:spacing w:after="120" w:line="276"/>
        <w:jc w:val="both"/>
      </w:pPr>
      <w:r>
        <w:rPr>
          <w:rFonts w:ascii="Barlow Semi Condensed" w:cs="Barlow Semi Condensed" w:eastAsia="Barlow Semi Condensed" w:hAnsi="Barlow Semi Condensed"/>
          <w:b/>
          <w:bCs/>
          <w:sz w:val="24"/>
          <w:szCs w:val="24"/>
        </w:rPr>
        <w:t xml:space="preserve">563 · La variante silente.</w:t>
      </w:r>
      <w:r>
        <w:rPr>
          <w:rFonts w:ascii="Barlow Semi Condensed" w:cs="Barlow Semi Condensed" w:eastAsia="Barlow Semi Condensed" w:hAnsi="Barlow Semi Condensed"/>
          <w:sz w:val="24"/>
          <w:szCs w:val="24"/>
        </w:rPr>
        <w:t xml:space="preserve"> Esiste la variante che non sposta il senso: una paginazione discorde, un accento, una sigla. La triangolazione della Farnesina ne registra una — pagine 69-101 contro 69-102, stessa citazione, stessa fonte, da chiudere sul fascicolo originale. È mutazione silente: irrilevante al contenuto e preziosa alla genealogia, perché marca chi ha copiato da chi. Le varianti innocue sono gli unici marcatori affidabili di parentela fra testi.</w:t>
      </w:r>
    </w:p>
    <w:p>
      <w:pPr>
        <w:spacing w:after="120" w:line="276"/>
        <w:jc w:val="both"/>
      </w:pPr>
      <w:r>
        <w:rPr>
          <w:rFonts w:ascii="Barlow Semi Condensed" w:cs="Barlow Semi Condensed" w:eastAsia="Barlow Semi Condensed" w:hAnsi="Barlow Semi Condensed"/>
          <w:b/>
          <w:bCs/>
          <w:sz w:val="24"/>
          <w:szCs w:val="24"/>
        </w:rPr>
        <w:t xml:space="preserve">564 · La mutazione di senso.</w:t>
      </w:r>
      <w:r>
        <w:rPr>
          <w:rFonts w:ascii="Barlow Semi Condensed" w:cs="Barlow Semi Condensed" w:eastAsia="Barlow Semi Condensed" w:hAnsi="Barlow Semi Condensed"/>
          <w:sz w:val="24"/>
          <w:szCs w:val="24"/>
        </w:rPr>
        <w:t xml:space="preserve"> La variante che sposta il significato senza distruggere il testo è la più insidiosa, perché resta perfettamente leggibile e non allarma nessuno. Una data spostata di due anni lascia la frase intatta e ne cambia l'imputabilità istituzionale. Bersaglio operativo: per ogni affermazione portante del corpus, isolare l'elemento la cui alterazione minima produrrebbe il massimo spostamento di senso, e sottoporlo per primo a verifica su fonte primaria.</w:t>
      </w:r>
    </w:p>
    <w:p>
      <w:pPr>
        <w:spacing w:after="120" w:line="276"/>
        <w:jc w:val="both"/>
      </w:pPr>
      <w:r>
        <w:rPr>
          <w:rFonts w:ascii="Barlow Semi Condensed" w:cs="Barlow Semi Condensed" w:eastAsia="Barlow Semi Condensed" w:hAnsi="Barlow Semi Condensed"/>
          <w:b/>
          <w:bCs/>
          <w:sz w:val="24"/>
          <w:szCs w:val="24"/>
        </w:rPr>
        <w:t xml:space="preserve">565 · La citazione troncata.</w:t>
      </w:r>
      <w:r>
        <w:rPr>
          <w:rFonts w:ascii="Barlow Semi Condensed" w:cs="Barlow Semi Condensed" w:eastAsia="Barlow Semi Condensed" w:hAnsi="Barlow Semi Condensed"/>
          <w:sz w:val="24"/>
          <w:szCs w:val="24"/>
        </w:rPr>
        <w:t xml:space="preserve"> Il taglio anticipato di una citazione produce l'equivalente di un segnale di arresto prematuro: la frase finisce prima e il senso non si forma per intero. Ciò che il troncamento elimina è quasi sempre la subordinata restrittiva — il «ma», il «salvo che», il «a condizione che». Regola di trascrizione: nessuna citazione entra nel corpus senza il periodo completo e il capoverso che la contiene.</w:t>
      </w:r>
    </w:p>
    <w:p>
      <w:pPr>
        <w:spacing w:after="120" w:line="276"/>
        <w:jc w:val="both"/>
      </w:pPr>
      <w:r>
        <w:rPr>
          <w:rFonts w:ascii="Barlow Semi Condensed" w:cs="Barlow Semi Condensed" w:eastAsia="Barlow Semi Condensed" w:hAnsi="Barlow Semi Condensed"/>
          <w:b/>
          <w:bCs/>
          <w:sz w:val="24"/>
          <w:szCs w:val="24"/>
        </w:rPr>
        <w:t xml:space="preserve">566 · Lo slittamento della cornice di lettura.</w:t>
      </w:r>
      <w:r>
        <w:rPr>
          <w:rFonts w:ascii="Barlow Semi Condensed" w:cs="Barlow Semi Condensed" w:eastAsia="Barlow Semi Condensed" w:hAnsi="Barlow Semi Condensed"/>
          <w:sz w:val="24"/>
          <w:szCs w:val="24"/>
        </w:rPr>
        <w:t xml:space="preserve"> Più grave della singola variante è lo spostamento della cornice: un inciso rimosso, e tutto il seguito cambia registro senza che una sola parola sia stata alterata. Una valutazione di dottrina strategica riportata come avvertimento personale è uno slittamento di cornice, non una falsificazione lessicale, e nessun confronto parola per parola lo rileva. Il controllo è uno: ricollocare la frase nel suo genere documentale prima di interpretarla.</w:t>
      </w:r>
    </w:p>
    <w:p>
      <w:pPr>
        <w:spacing w:after="120" w:line="276"/>
        <w:jc w:val="both"/>
      </w:pPr>
      <w:r>
        <w:rPr>
          <w:rFonts w:ascii="Barlow Semi Condensed" w:cs="Barlow Semi Condensed" w:eastAsia="Barlow Semi Condensed" w:hAnsi="Barlow Semi Condensed"/>
          <w:b/>
          <w:bCs/>
          <w:sz w:val="24"/>
          <w:szCs w:val="24"/>
        </w:rPr>
        <w:t xml:space="preserve">567 · La soglia di catastrofe.</w:t>
      </w:r>
      <w:r>
        <w:rPr>
          <w:rFonts w:ascii="Barlow Semi Condensed" w:cs="Barlow Semi Condensed" w:eastAsia="Barlow Semi Condensed" w:hAnsi="Barlow Semi Condensed"/>
          <w:sz w:val="24"/>
          <w:szCs w:val="24"/>
        </w:rPr>
        <w:t xml:space="preserve"> Oltre una certa soglia d'errore l'informazione non è più ricostruibile: la popolazione delle copie si disperde e l'originale non è più deducibile da nessuna di esse. Il corrispettivo documentale è misurabile — quando le riprese di un fatto divergono insieme in data, luogo, formula e testimone, la soglia è superata. Allora l'unico atto lecito è tornare al testimone materiale o dichiarare l'indecidibilità allo stato degli atti.</w:t>
      </w:r>
    </w:p>
    <w:p>
      <w:pPr>
        <w:spacing w:after="120" w:line="276"/>
        <w:jc w:val="both"/>
      </w:pPr>
      <w:r>
        <w:rPr>
          <w:rFonts w:ascii="Barlow Semi Condensed" w:cs="Barlow Semi Condensed" w:eastAsia="Barlow Semi Condensed" w:hAnsi="Barlow Semi Condensed"/>
          <w:b/>
          <w:bCs/>
          <w:sz w:val="24"/>
          <w:szCs w:val="24"/>
        </w:rPr>
        <w:t xml:space="preserve">568 · Nessuna colpa si eredita (serie VIII).</w:t>
      </w:r>
      <w:r>
        <w:rPr>
          <w:rFonts w:ascii="Barlow Semi Condensed" w:cs="Barlow Semi Condensed" w:eastAsia="Barlow Semi Condensed" w:hAnsi="Barlow Semi Condensed"/>
          <w:sz w:val="24"/>
          <w:szCs w:val="24"/>
        </w:rPr>
        <w:t xml:space="preserve"> Qui la metafora va fermata, ed è la fermata più importante della serie. La genetica descrive la trasmissione di caratteri, non di responsabilità. Chi ripete in buona fede una citazione corrotta non è imparentato con chi la corruppe, e un errore non trasmette biasimo lungo la catena dei suoi portatori. Nel corpus l'errore si corregge, il falso si accerta, la persona non si grada: sono tre operazioni distinte.</w:t>
      </w:r>
    </w:p>
    <w:p>
      <w:pPr>
        <w:spacing w:after="120" w:line="276"/>
        <w:jc w:val="both"/>
      </w:pPr>
      <w:r>
        <w:rPr>
          <w:rFonts w:ascii="Barlow Semi Condensed" w:cs="Barlow Semi Condensed" w:eastAsia="Barlow Semi Condensed" w:hAnsi="Barlow Semi Condensed"/>
          <w:b/>
          <w:bCs/>
          <w:sz w:val="24"/>
          <w:szCs w:val="24"/>
        </w:rPr>
        <w:t xml:space="preserve">569 · La regola della prima occorrenza.</w:t>
      </w:r>
      <w:r>
        <w:rPr>
          <w:rFonts w:ascii="Barlow Semi Condensed" w:cs="Barlow Semi Condensed" w:eastAsia="Barlow Semi Condensed" w:hAnsi="Barlow Semi Condensed"/>
          <w:sz w:val="24"/>
          <w:szCs w:val="24"/>
        </w:rPr>
        <w:t xml:space="preserve"> Nessuna citazione è valutabile finché non se ne conosce la prima apparizione documentabile. La regola: risalire di ripresa in ripresa fino al testimone più antico raggiungibile, registrarne data, sede, lingua e forma esatta, e giudicare tutte le riprese successive alla luce di quella sola. Ciò che nasce dopo non può testimoniare su ciò che è nato prima, per quanto autorevole sia chi lo scrive.</w:t>
      </w:r>
    </w:p>
    <w:p>
      <w:pPr>
        <w:spacing w:after="120" w:line="276"/>
        <w:jc w:val="both"/>
      </w:pPr>
      <w:r>
        <w:rPr>
          <w:rFonts w:ascii="Barlow Semi Condensed" w:cs="Barlow Semi Condensed" w:eastAsia="Barlow Semi Condensed" w:hAnsi="Barlow Semi Condensed"/>
          <w:b/>
          <w:bCs/>
          <w:sz w:val="24"/>
          <w:szCs w:val="24"/>
        </w:rPr>
        <w:t xml:space="preserve">570 · Il metodo di risalita.</w:t>
      </w:r>
      <w:r>
        <w:rPr>
          <w:rFonts w:ascii="Barlow Semi Condensed" w:cs="Barlow Semi Condensed" w:eastAsia="Barlow Semi Condensed" w:hAnsi="Barlow Semi Condensed"/>
          <w:sz w:val="24"/>
          <w:szCs w:val="24"/>
        </w:rPr>
        <w:t xml:space="preserve"> Il procedimento è meccanico e va eseguito come tale. Si prende la formula nella sua veste corrente, si cerca la variante anteriore più prossima, si annota se quella fonte cita a sua volta qualcuno, si ripete finché la catena si interrompe. Il punto d'interruzione è il risultato: o un documento, o un testimone in carne e ossa, o il vuoto. Ogni passaggio si verbalizza, compresi i vicoli ciechi.</w:t>
      </w:r>
    </w:p>
    <w:p>
      <w:pPr>
        <w:spacing w:after="120" w:line="276"/>
        <w:jc w:val="both"/>
      </w:pPr>
      <w:r>
        <w:rPr>
          <w:rFonts w:ascii="Barlow Semi Condensed" w:cs="Barlow Semi Condensed" w:eastAsia="Barlow Semi Condensed" w:hAnsi="Barlow Semi Condensed"/>
          <w:b/>
          <w:bCs/>
          <w:sz w:val="24"/>
          <w:szCs w:val="24"/>
        </w:rPr>
        <w:t xml:space="preserve">571 · Ogni testimone porta la sua data.</w:t>
      </w:r>
      <w:r>
        <w:rPr>
          <w:rFonts w:ascii="Barlow Semi Condensed" w:cs="Barlow Semi Condensed" w:eastAsia="Barlow Semi Condensed" w:hAnsi="Barlow Semi Condensed"/>
          <w:sz w:val="24"/>
          <w:szCs w:val="24"/>
        </w:rPr>
        <w:t xml:space="preserve"> Un testimone senza data non è collocabile nell'albero e non serve a nulla. Il modulo minimo ne chiede tre: data di pubblicazione, data di redazione se distinta, data dell'evento riferito. Le tre divergono quasi sempre, e la loro distanza è un dato in sé — una testimonianza resa nel 1982 su un fatto del 1974 ha attraversato otto anni di riprese pubbliche, e va letta sapendolo.</w:t>
      </w:r>
    </w:p>
    <w:p>
      <w:pPr>
        <w:spacing w:after="120" w:line="276"/>
        <w:jc w:val="both"/>
      </w:pPr>
      <w:r>
        <w:rPr>
          <w:rFonts w:ascii="Barlow Semi Condensed" w:cs="Barlow Semi Condensed" w:eastAsia="Barlow Semi Condensed" w:hAnsi="Barlow Semi Condensed"/>
          <w:b/>
          <w:bCs/>
          <w:sz w:val="24"/>
          <w:szCs w:val="24"/>
        </w:rPr>
        <w:t xml:space="preserve">572 · La moltiplicazione apparente delle fonti.</w:t>
      </w:r>
      <w:r>
        <w:rPr>
          <w:rFonts w:ascii="Barlow Semi Condensed" w:cs="Barlow Semi Condensed" w:eastAsia="Barlow Semi Condensed" w:hAnsi="Barlow Semi Condensed"/>
          <w:sz w:val="24"/>
          <w:szCs w:val="24"/>
        </w:rPr>
        <w:t xml:space="preserve"> La nota di revisione al nodo M-5 registra il fenomeno nella sua forma pura: decine di riprese pressoché identiche dell'episodio risalgono a un unico lancio d'agenzia del 30 novembre 2023, il giorno dopo la morte di Kissinger. La rete delle fonti sembra fitta e ha un nodo solo. La ripetizione non produce prova: si contano i testimoni indipendenti, mai le occorrenze.</w:t>
      </w:r>
    </w:p>
    <w:p>
      <w:pPr>
        <w:spacing w:after="120" w:line="276"/>
        <w:jc w:val="both"/>
      </w:pPr>
      <w:r>
        <w:rPr>
          <w:rFonts w:ascii="Barlow Semi Condensed" w:cs="Barlow Semi Condensed" w:eastAsia="Barlow Semi Condensed" w:hAnsi="Barlow Semi Condensed"/>
          <w:b/>
          <w:bCs/>
          <w:sz w:val="24"/>
          <w:szCs w:val="24"/>
        </w:rPr>
        <w:t xml:space="preserve">573 · L'eredità che muta: il vettore.</w:t>
      </w:r>
      <w:r>
        <w:rPr>
          <w:rFonts w:ascii="Barlow Semi Condensed" w:cs="Barlow Semi Condensed" w:eastAsia="Barlow Semi Condensed" w:hAnsi="Barlow Semi Condensed"/>
          <w:sz w:val="24"/>
          <w:szCs w:val="24"/>
        </w:rPr>
        <w:t xml:space="preserve"> La triangolazione Guevara-Moro documenta una trasmissione con mutazione che non è testuale ma iconica: la fotografia di Korda del 1960 fatta manifesto nel 1967, il diario boliviano in edizione italiana nel 1968. Il codice trasmesso è lo stesso; l'espressione cambia con l'ambiente che lo riceve. Il corpus lo registra come vettore documentato e si vieta di leggerlo come catena di comando: è eredità, non ordine.</w:t>
      </w:r>
    </w:p>
    <w:p>
      <w:pPr>
        <w:spacing w:after="120" w:line="276"/>
        <w:jc w:val="both"/>
      </w:pPr>
      <w:r>
        <w:rPr>
          <w:rFonts w:ascii="Barlow Semi Condensed" w:cs="Barlow Semi Condensed" w:eastAsia="Barlow Semi Condensed" w:hAnsi="Barlow Semi Condensed"/>
          <w:b/>
          <w:bCs/>
          <w:sz w:val="24"/>
          <w:szCs w:val="24"/>
        </w:rPr>
        <w:t xml:space="preserve">574 · Lo stemma dei testimoni.</w:t>
      </w:r>
      <w:r>
        <w:rPr>
          <w:rFonts w:ascii="Barlow Semi Condensed" w:cs="Barlow Semi Condensed" w:eastAsia="Barlow Semi Condensed" w:hAnsi="Barlow Semi Condensed"/>
          <w:sz w:val="24"/>
          <w:szCs w:val="24"/>
        </w:rPr>
        <w:t xml:space="preserve"> La filologia possiede da due secoli lo strumento che serve qui: costruire l'albero dei testimoni sulla base degli errori condivisi, perché due copie che sbagliano allo stesso modo discendono dallo stesso antenato. Il manuale investigativo lo prescrive già per il memoriale, ai blocchi 67 e 68, con stemma delle copie e carta delle lacune interne. La serie ne chiede l'estensione alle citazioni ricorrenti del caso.</w:t>
      </w:r>
    </w:p>
    <w:p>
      <w:pPr>
        <w:spacing w:after="120" w:line="276"/>
        <w:jc w:val="both"/>
      </w:pPr>
      <w:r>
        <w:rPr>
          <w:rFonts w:ascii="Barlow Semi Condensed" w:cs="Barlow Semi Condensed" w:eastAsia="Barlow Semi Condensed" w:hAnsi="Barlow Semi Condensed"/>
          <w:b/>
          <w:bCs/>
          <w:sz w:val="24"/>
          <w:szCs w:val="24"/>
        </w:rPr>
        <w:t xml:space="preserve">575 · L'errore congiuntivo come marcatore.</w:t>
      </w:r>
      <w:r>
        <w:rPr>
          <w:rFonts w:ascii="Barlow Semi Condensed" w:cs="Barlow Semi Condensed" w:eastAsia="Barlow Semi Condensed" w:hAnsi="Barlow Semi Condensed"/>
          <w:sz w:val="24"/>
          <w:szCs w:val="24"/>
        </w:rPr>
        <w:t xml:space="preserve"> Nella costruzione dell'albero non conta ciò che i testimoni hanno di giusto: conta ciò che hanno di sbagliato insieme. Una data errata identica in due testi è marcatore di parentela quasi certo; un fatto esatto condiviso non prova nulla, perché entrambi potevano averlo dalla realtà. È il principio, controintuitivo e decisivo, che rende gli errori strumenti d'indagine più informativi delle verità.</w:t>
      </w:r>
    </w:p>
    <w:p>
      <w:pPr>
        <w:spacing w:after="120" w:line="276"/>
        <w:jc w:val="both"/>
      </w:pPr>
      <w:r>
        <w:rPr>
          <w:rFonts w:ascii="Barlow Semi Condensed" w:cs="Barlow Semi Condensed" w:eastAsia="Barlow Semi Condensed" w:hAnsi="Barlow Semi Condensed"/>
          <w:b/>
          <w:bCs/>
          <w:sz w:val="24"/>
          <w:szCs w:val="24"/>
        </w:rPr>
        <w:t xml:space="preserve">576 · Omologia contro analogia (serie VIII).</w:t>
      </w:r>
      <w:r>
        <w:rPr>
          <w:rFonts w:ascii="Barlow Semi Condensed" w:cs="Barlow Semi Condensed" w:eastAsia="Barlow Semi Condensed" w:hAnsi="Barlow Semi Condensed"/>
          <w:sz w:val="24"/>
          <w:szCs w:val="24"/>
        </w:rPr>
        <w:t xml:space="preserve"> La distinzione biologica si trasferisce intatta e va usata come test. Due testi che riportano lo stesso errore sono omologhi: discendono da una fonte comune. Due testi che riportano lo stesso fatto possono essere analoghi: hanno raggiunto lo stesso esito per vie indipendenti. Solo il secondo caso è consilienza e rafforza; il primo è una fonte sola travestita da due, e non rafforza nulla.</w:t>
      </w:r>
    </w:p>
    <w:p>
      <w:pPr>
        <w:spacing w:after="120" w:line="276"/>
        <w:jc w:val="both"/>
      </w:pPr>
      <w:r>
        <w:rPr>
          <w:rFonts w:ascii="Barlow Semi Condensed" w:cs="Barlow Semi Condensed" w:eastAsia="Barlow Semi Condensed" w:hAnsi="Barlow Semi Condensed"/>
          <w:b/>
          <w:bCs/>
          <w:sz w:val="24"/>
          <w:szCs w:val="24"/>
        </w:rPr>
        <w:t xml:space="preserve">577 · Il capostipite non è l'origine.</w:t>
      </w:r>
      <w:r>
        <w:rPr>
          <w:rFonts w:ascii="Barlow Semi Condensed" w:cs="Barlow Semi Condensed" w:eastAsia="Barlow Semi Condensed" w:hAnsi="Barlow Semi Condensed"/>
          <w:sz w:val="24"/>
          <w:szCs w:val="24"/>
        </w:rPr>
        <w:t xml:space="preserve"> La prima occorrenza reperibile è un fatto sulla ricerca, non sul mondo: attesta il punto oltre il quale non si è potuti risalire, non che oltre non ci sia nulla. Va scritta come tale, con la data della ricerca e gli strumenti impiegati, perché una digitalizzazione futura può arretrarla di anni. Confondere il capostipite reperito con l'archetipo è un errore di modestia, e ne genera altri.</w:t>
      </w:r>
    </w:p>
    <w:p>
      <w:pPr>
        <w:spacing w:after="120" w:line="276"/>
        <w:jc w:val="both"/>
      </w:pPr>
      <w:r>
        <w:rPr>
          <w:rFonts w:ascii="Barlow Semi Condensed" w:cs="Barlow Semi Condensed" w:eastAsia="Barlow Semi Condensed" w:hAnsi="Barlow Semi Condensed"/>
          <w:b/>
          <w:bCs/>
          <w:sz w:val="24"/>
          <w:szCs w:val="24"/>
        </w:rPr>
        <w:t xml:space="preserve">578 · Quando la risalita fallisce.</w:t>
      </w:r>
      <w:r>
        <w:rPr>
          <w:rFonts w:ascii="Barlow Semi Condensed" w:cs="Barlow Semi Condensed" w:eastAsia="Barlow Semi Condensed" w:hAnsi="Barlow Semi Condensed"/>
          <w:sz w:val="24"/>
          <w:szCs w:val="24"/>
        </w:rPr>
        <w:t xml:space="preserve"> Se la catena si interrompe senza testimone materiale, l'esito si verbalizza come Stato Zero secondo la regola del blocco 285 dell'agenda: che cosa è stato cercato, dove, quando, con quale perimetro. Una citazione la cui origine è stata cercata e non trovata resta citabile soltanto come oggetto di circolazione, mai come fonte di ciò che afferma. L'esito negativo è acquisizione piena, e va scritto senza scuse.</w:t>
      </w:r>
    </w:p>
    <w:p>
      <w:pPr>
        <w:spacing w:after="120" w:line="276"/>
        <w:jc w:val="both"/>
      </w:pPr>
      <w:r>
        <w:rPr>
          <w:rFonts w:ascii="Barlow Semi Condensed" w:cs="Barlow Semi Condensed" w:eastAsia="Barlow Semi Condensed" w:hAnsi="Barlow Semi Condensed"/>
          <w:b/>
          <w:bCs/>
          <w:sz w:val="24"/>
          <w:szCs w:val="24"/>
        </w:rPr>
        <w:t xml:space="preserve">579 · La scheda della citazione.</w:t>
      </w:r>
      <w:r>
        <w:rPr>
          <w:rFonts w:ascii="Barlow Semi Condensed" w:cs="Barlow Semi Condensed" w:eastAsia="Barlow Semi Condensed" w:hAnsi="Barlow Semi Condensed"/>
          <w:sz w:val="24"/>
          <w:szCs w:val="24"/>
        </w:rPr>
        <w:t xml:space="preserve"> Bersaglio operativo della serie: un modulo unico per ogni formula ricorrente del caso. Testo esatto nella lingua d'origine, traduzione con traduttore dichiarato, testimone più antico con data, catena delle riprese, grado attribuito, e la casella che nessuno compila mai — la sede d'archivio dove la prima occorrenza si chiuderebbe. Senza l'ultima casella la scheda non è uno strumento di ricerca: è un'opinione ordinata.</w:t>
      </w:r>
    </w:p>
    <w:p>
      <w:pPr>
        <w:spacing w:after="120" w:line="276"/>
        <w:jc w:val="both"/>
      </w:pPr>
      <w:r>
        <w:rPr>
          <w:rFonts w:ascii="Barlow Semi Condensed" w:cs="Barlow Semi Condensed" w:eastAsia="Barlow Semi Condensed" w:hAnsi="Barlow Semi Condensed"/>
          <w:b/>
          <w:bCs/>
          <w:sz w:val="24"/>
          <w:szCs w:val="24"/>
        </w:rPr>
        <w:t xml:space="preserve">580 · La fonte senza segnatura.</w:t>
      </w:r>
      <w:r>
        <w:rPr>
          <w:rFonts w:ascii="Barlow Semi Condensed" w:cs="Barlow Semi Condensed" w:eastAsia="Barlow Semi Condensed" w:hAnsi="Barlow Semi Condensed"/>
          <w:sz w:val="24"/>
          <w:szCs w:val="24"/>
        </w:rPr>
        <w:t xml:space="preserve"> Il blocco 309 dei nove cantieri fissa la formula che questa serie adotta come regola di trascrizione: una fonte senza segnatura è un sentito dire elegante. Fondo, serie, busta, carta; e per i documenti desecretati il protocollo. Il memorandum dello Studio Ovale del 25 settembre 1974 esiste come documento perché ha un numero di file alla Ford Library e una collocazione nella serie FRUS, non perché è molto citato.</w:t>
      </w:r>
    </w:p>
    <w:p>
      <w:pPr>
        <w:spacing w:after="120" w:line="276"/>
        <w:jc w:val="both"/>
      </w:pPr>
      <w:r>
        <w:rPr>
          <w:rFonts w:ascii="Barlow Semi Condensed" w:cs="Barlow Semi Condensed" w:eastAsia="Barlow Semi Condensed" w:hAnsi="Barlow Semi Condensed"/>
          <w:b/>
          <w:bCs/>
          <w:sz w:val="24"/>
          <w:szCs w:val="24"/>
        </w:rPr>
        <w:t xml:space="preserve">581 · La traduzione è una trascrizione.</w:t>
      </w:r>
      <w:r>
        <w:rPr>
          <w:rFonts w:ascii="Barlow Semi Condensed" w:cs="Barlow Semi Condensed" w:eastAsia="Barlow Semi Condensed" w:hAnsi="Barlow Semi Condensed"/>
          <w:sz w:val="24"/>
          <w:szCs w:val="24"/>
        </w:rPr>
        <w:t xml:space="preserve"> Tradurre è ricopiare in un altro codice, e come ogni ricopiatura ha un tasso d'errore proprio, più alto di quello della copia nella stessa lingua. Il corpus tratta perciò ogni versione tradotta come testimone di secondo grado: si cita nella lingua d'origine e si traduce accanto, con il nome del traduttore quando esiste. Una traduzione anonima e senza originale a fronte non è un documento utilizzabile.</w:t>
      </w:r>
    </w:p>
    <w:p>
      <w:pPr>
        <w:spacing w:after="120" w:line="276"/>
        <w:jc w:val="both"/>
      </w:pPr>
      <w:r>
        <w:rPr>
          <w:rFonts w:ascii="Barlow Semi Condensed" w:cs="Barlow Semi Condensed" w:eastAsia="Barlow Semi Condensed" w:hAnsi="Barlow Semi Condensed"/>
          <w:b/>
          <w:bCs/>
          <w:sz w:val="24"/>
          <w:szCs w:val="24"/>
        </w:rPr>
        <w:t xml:space="preserve">582 · Il vincolo linguistico del colloquio.</w:t>
      </w:r>
      <w:r>
        <w:rPr>
          <w:rFonts w:ascii="Barlow Semi Condensed" w:cs="Barlow Semi Condensed" w:eastAsia="Barlow Semi Condensed" w:hAnsi="Barlow Semi Condensed"/>
          <w:sz w:val="24"/>
          <w:szCs w:val="24"/>
        </w:rPr>
        <w:t xml:space="preserve"> Una delle smentite italiane qualificate registrate dal corpus poggia su un dato verificabile e non su un'impressione: il testimone dichiara di aver controllato allora con l'interprete, perché Moro non parlava inglese. Il dato è vincolo di metodo prima che di merito — qualunque frase attribuita a quel colloquio è passata per almeno una trascrizione in altra lingua prima di raggiungere chi oggi la riferisce.</w:t>
      </w:r>
    </w:p>
    <w:p>
      <w:pPr>
        <w:spacing w:after="120" w:line="276"/>
        <w:jc w:val="both"/>
      </w:pPr>
      <w:r>
        <w:rPr>
          <w:rFonts w:ascii="Barlow Semi Condensed" w:cs="Barlow Semi Condensed" w:eastAsia="Barlow Semi Condensed" w:hAnsi="Barlow Semi Condensed"/>
          <w:b/>
          <w:bCs/>
          <w:sz w:val="24"/>
          <w:szCs w:val="24"/>
        </w:rPr>
        <w:t xml:space="preserve">583 · L'interprete come passaggio obbligato.</w:t>
      </w:r>
      <w:r>
        <w:rPr>
          <w:rFonts w:ascii="Barlow Semi Condensed" w:cs="Barlow Semi Condensed" w:eastAsia="Barlow Semi Condensed" w:hAnsi="Barlow Semi Condensed"/>
          <w:sz w:val="24"/>
          <w:szCs w:val="24"/>
        </w:rPr>
        <w:t xml:space="preserve"> Ne discende un bersaglio documentale preciso e mai battuto: identificare gli interpreti dei colloqui italo-statunitensi del settembre 1974 e verificare se esistano loro appunti, note di servizio o testimonianze rese. Sede: le carte della delegazione italiana e i fondi del Dipartimento di Stato. L'esito è incerto per definizione; se negativo, si dichiara con perimetro esatto e vale come acquisizione al pari di un ritrovamento.</w:t>
      </w:r>
    </w:p>
    <w:p>
      <w:pPr>
        <w:spacing w:after="120" w:line="276"/>
        <w:jc w:val="both"/>
      </w:pPr>
      <w:r>
        <w:rPr>
          <w:rFonts w:ascii="Barlow Semi Condensed" w:cs="Barlow Semi Condensed" w:eastAsia="Barlow Semi Condensed" w:hAnsi="Barlow Semi Condensed"/>
          <w:b/>
          <w:bCs/>
          <w:sz w:val="24"/>
          <w:szCs w:val="24"/>
        </w:rPr>
        <w:t xml:space="preserve">584 · Rimprovero e minaccia.</w:t>
      </w:r>
      <w:r>
        <w:rPr>
          <w:rFonts w:ascii="Barlow Semi Condensed" w:cs="Barlow Semi Condensed" w:eastAsia="Barlow Semi Condensed" w:hAnsi="Barlow Semi Condensed"/>
          <w:sz w:val="24"/>
          <w:szCs w:val="24"/>
        </w:rPr>
        <w:t xml:space="preserve"> Il corpus registra due smentite italiane divergenti fra loro: una definisce l'episodio una leggenda senza fondamento, pur descrivendo altrove un colloquio politicamente durissimo; l'altra parla di «solo un problema di linguaggio». Le due posizioni convergono su un punto che vale come regola generale: la distanza fra un rimprovero aspro e una minaccia è tutta lessicale, e si decide sul testo, mai sul ricordo di chi ascoltò.</w:t>
      </w:r>
    </w:p>
    <w:p>
      <w:pPr>
        <w:spacing w:after="120" w:line="276"/>
        <w:jc w:val="both"/>
      </w:pPr>
      <w:r>
        <w:rPr>
          <w:rFonts w:ascii="Barlow Semi Condensed" w:cs="Barlow Semi Condensed" w:eastAsia="Barlow Semi Condensed" w:hAnsi="Barlow Semi Condensed"/>
          <w:b/>
          <w:bCs/>
          <w:sz w:val="24"/>
          <w:szCs w:val="24"/>
        </w:rPr>
        <w:t xml:space="preserve">585 · Il verbale non è stenografia.</w:t>
      </w:r>
      <w:r>
        <w:rPr>
          <w:rFonts w:ascii="Barlow Semi Condensed" w:cs="Barlow Semi Condensed" w:eastAsia="Barlow Semi Condensed" w:hAnsi="Barlow Semi Condensed"/>
          <w:sz w:val="24"/>
          <w:szCs w:val="24"/>
        </w:rPr>
        <w:t xml:space="preserve"> Un memorandum of conversation è un riassunto redatto dopo il colloquio da un funzionario presente, non una trascrizione integrale. Ne segue la lettura corretta dell'assenza della frase contestata dal documento del 25 settembre 1974: l'assenza non prova che nulla fu detto, ma priva chi afferma della sola prova documentale che avrebbe potuto avere. È un vuoto asimmetrico, e va riportato per intero in entrambe le direzioni.</w:t>
      </w:r>
    </w:p>
    <w:p>
      <w:pPr>
        <w:spacing w:after="120" w:line="276"/>
        <w:jc w:val="both"/>
      </w:pPr>
      <w:r>
        <w:rPr>
          <w:rFonts w:ascii="Barlow Semi Condensed" w:cs="Barlow Semi Condensed" w:eastAsia="Barlow Semi Condensed" w:hAnsi="Barlow Semi Condensed"/>
          <w:b/>
          <w:bCs/>
          <w:sz w:val="24"/>
          <w:szCs w:val="24"/>
        </w:rPr>
        <w:t xml:space="preserve">586 · Il ritorno all'indietro.</w:t>
      </w:r>
      <w:r>
        <w:rPr>
          <w:rFonts w:ascii="Barlow Semi Condensed" w:cs="Barlow Semi Condensed" w:eastAsia="Barlow Semi Condensed" w:hAnsi="Barlow Semi Condensed"/>
          <w:sz w:val="24"/>
          <w:szCs w:val="24"/>
        </w:rPr>
        <w:t xml:space="preserve"> Una frase riferita in italiano, attribuita a un colloquio svoltosi in inglese, e poi ritradotta in inglese dalla pubblicistica internazionale, ha attraversato tre codici. La versione inglese che circola non è l'originale: è una retroversione, cioè una ricostruzione. Trattarla come testo letterale è l'errore di trascrizione più elementare e più diffuso di questo dossier, e va segnalato ogni volta che ricorre, senza eccezioni di cortesia.</w:t>
      </w:r>
    </w:p>
    <w:p>
      <w:pPr>
        <w:spacing w:after="120" w:line="276"/>
        <w:jc w:val="both"/>
      </w:pPr>
      <w:r>
        <w:rPr>
          <w:rFonts w:ascii="Barlow Semi Condensed" w:cs="Barlow Semi Condensed" w:eastAsia="Barlow Semi Condensed" w:hAnsi="Barlow Semi Condensed"/>
          <w:b/>
          <w:bCs/>
          <w:sz w:val="24"/>
          <w:szCs w:val="24"/>
        </w:rPr>
        <w:t xml:space="preserve">587 · La formula esatta e la parafrasi.</w:t>
      </w:r>
      <w:r>
        <w:rPr>
          <w:rFonts w:ascii="Barlow Semi Condensed" w:cs="Barlow Semi Condensed" w:eastAsia="Barlow Semi Condensed" w:hAnsi="Barlow Semi Condensed"/>
          <w:sz w:val="24"/>
          <w:szCs w:val="24"/>
        </w:rPr>
        <w:t xml:space="preserve"> Il documento del settembre 1974 attesta due contenuti che vanno citati alla lettera e non parafrasati: l'impossibilità di condividere informazioni militari con un governo comprendente i comunisti, e il rilievo che un partito comunista responsabile sarebbe più pericoloso di uno irresponsabile. La parafrasi li trasforma in ultimatum; la lettera li lascia ciò che sono, valutazioni di dottrina strategica messe a verbale.</w:t>
      </w:r>
    </w:p>
    <w:p>
      <w:pPr>
        <w:spacing w:after="120" w:line="276"/>
        <w:jc w:val="both"/>
      </w:pPr>
      <w:r>
        <w:rPr>
          <w:rFonts w:ascii="Barlow Semi Condensed" w:cs="Barlow Semi Condensed" w:eastAsia="Barlow Semi Condensed" w:hAnsi="Barlow Semi Condensed"/>
          <w:b/>
          <w:bCs/>
          <w:sz w:val="24"/>
          <w:szCs w:val="24"/>
        </w:rPr>
        <w:t xml:space="preserve">588 · Il diniego di traduzione.</w:t>
      </w:r>
      <w:r>
        <w:rPr>
          <w:rFonts w:ascii="Barlow Semi Condensed" w:cs="Barlow Semi Condensed" w:eastAsia="Barlow Semi Condensed" w:hAnsi="Barlow Semi Condensed"/>
          <w:sz w:val="24"/>
          <w:szCs w:val="24"/>
        </w:rPr>
        <w:t xml:space="preserve"> Il blocco 248 del manuale investigativo osserva che metà dei dinieghi archivistici storici sono dinieghi di traduzione: istanza redatta nella lingua sbagliata o nel vocabolario giuridico sbagliato. La stessa causa produce metà delle false divergenze fra fonti nazionali, perché due archivi che sembrano contraddirsi usano spesso termini tecnici non equivalenti. Prima di dichiarare una divergenza sostanziale si verifica il lessico, e molte divergenze si dissolvono.</w:t>
      </w:r>
    </w:p>
    <w:p>
      <w:pPr>
        <w:spacing w:after="120" w:line="276"/>
        <w:jc w:val="both"/>
      </w:pPr>
      <w:r>
        <w:rPr>
          <w:rFonts w:ascii="Barlow Semi Condensed" w:cs="Barlow Semi Condensed" w:eastAsia="Barlow Semi Condensed" w:hAnsi="Barlow Semi Condensed"/>
          <w:b/>
          <w:bCs/>
          <w:sz w:val="24"/>
          <w:szCs w:val="24"/>
        </w:rPr>
        <w:t xml:space="preserve">589 · La data come unità minima.</w:t>
      </w:r>
      <w:r>
        <w:rPr>
          <w:rFonts w:ascii="Barlow Semi Condensed" w:cs="Barlow Semi Condensed" w:eastAsia="Barlow Semi Condensed" w:hAnsi="Barlow Semi Condensed"/>
          <w:sz w:val="24"/>
          <w:szCs w:val="24"/>
        </w:rPr>
        <w:t xml:space="preserve"> Nel testo storico la data ha la funzione della base nel codice: è l'unità più piccola la cui alterazione produce un effetto sistemico. Una cifra sbagliata si propaga in ogni ripresa successiva senza segnalarsi, perché nulla nella frase la denuncia e la sintassi resta perfetta. Per questo il controllo delle date precede ogni altro controllo, e si esegue su fonte primaria oppure non si esegue affatto.</w:t>
      </w:r>
    </w:p>
    <w:p>
      <w:pPr>
        <w:spacing w:after="120" w:line="276"/>
        <w:jc w:val="both"/>
      </w:pPr>
      <w:r>
        <w:rPr>
          <w:rFonts w:ascii="Barlow Semi Condensed" w:cs="Barlow Semi Condensed" w:eastAsia="Barlow Semi Condensed" w:hAnsi="Barlow Semi Condensed"/>
          <w:b/>
          <w:bCs/>
          <w:sz w:val="24"/>
          <w:szCs w:val="24"/>
        </w:rPr>
        <w:t xml:space="preserve">590 · Tre date per un episodio.</w:t>
      </w:r>
      <w:r>
        <w:rPr>
          <w:rFonts w:ascii="Barlow Semi Condensed" w:cs="Barlow Semi Condensed" w:eastAsia="Barlow Semi Condensed" w:hAnsi="Barlow Semi Condensed"/>
          <w:sz w:val="24"/>
          <w:szCs w:val="24"/>
        </w:rPr>
        <w:t xml:space="preserve"> Il nodo M-5 colloca l'avvertimento nel settembre 1974; una fonte d'agenzia statunitense dell'aprile 1983 lo colloca in un alterco all'ambasciata d'Italia a Washington nel 1977; altre sintesi indicano il 1976. Divergono anche i luoghi. Il corpus riporta le tre versioni e non ne sceglie alcuna: qui la scelta silenziosa sarebbe essa stessa l'errore di trascrizione, non il suo rimedio.</w:t>
      </w:r>
    </w:p>
    <w:p>
      <w:pPr>
        <w:spacing w:after="120" w:line="276"/>
        <w:jc w:val="both"/>
      </w:pPr>
      <w:r>
        <w:rPr>
          <w:rFonts w:ascii="Barlow Semi Condensed" w:cs="Barlow Semi Condensed" w:eastAsia="Barlow Semi Condensed" w:hAnsi="Barlow Semi Condensed"/>
          <w:b/>
          <w:bCs/>
          <w:sz w:val="24"/>
          <w:szCs w:val="24"/>
        </w:rPr>
        <w:t xml:space="preserve">591 · Perché la data è dirimente.</w:t>
      </w:r>
      <w:r>
        <w:rPr>
          <w:rFonts w:ascii="Barlow Semi Condensed" w:cs="Barlow Semi Condensed" w:eastAsia="Barlow Semi Condensed" w:hAnsi="Barlow Semi Condensed"/>
          <w:sz w:val="24"/>
          <w:szCs w:val="24"/>
        </w:rPr>
        <w:t xml:space="preserve"> La divergenza non è un dettaglio erudito. Nel 1974 Kissinger era Segretario di Stato; nel 1977 non lo era più. La stessa frase, spostata di tre anni, muta di natura: da posizione di un governo in carica a opinione di un privato cittadino. La data porta con sé la qualità istituzionale di chi parla, ed è la ragione per cui si verifica prima del contenuto e non dopo.</w:t>
      </w:r>
    </w:p>
    <w:p>
      <w:pPr>
        <w:spacing w:after="120" w:line="276"/>
        <w:jc w:val="both"/>
      </w:pPr>
      <w:r>
        <w:rPr>
          <w:rFonts w:ascii="Barlow Semi Condensed" w:cs="Barlow Semi Condensed" w:eastAsia="Barlow Semi Condensed" w:hAnsi="Barlow Semi Condensed"/>
          <w:b/>
          <w:bCs/>
          <w:sz w:val="24"/>
          <w:szCs w:val="24"/>
        </w:rPr>
        <w:t xml:space="preserve">592 · La divergenza si riporta (serie VIII).</w:t>
      </w:r>
      <w:r>
        <w:rPr>
          <w:rFonts w:ascii="Barlow Semi Condensed" w:cs="Barlow Semi Condensed" w:eastAsia="Barlow Semi Condensed" w:hAnsi="Barlow Semi Condensed"/>
          <w:sz w:val="24"/>
          <w:szCs w:val="24"/>
        </w:rPr>
        <w:t xml:space="preserve"> Regola sesta del metodo, applicata qui alla lettera: dove le fonti divergono si riporta la divergenza e non si sceglie in silenzio. La triangolazione della Farnesina ne tiene un elenco aperto — i beni confiscati in Libia, il riconoscimento della Repubblica Democratica Tedesca al 17 o al 18 gennaio 1973, le vittime di Wiriyamu, le date dell'espulsione dei missionari. L'elenco è un prodotto dell'opera, non un suo residuo.</w:t>
      </w:r>
    </w:p>
    <w:p>
      <w:pPr>
        <w:spacing w:after="120" w:line="276"/>
        <w:jc w:val="both"/>
      </w:pPr>
      <w:r>
        <w:rPr>
          <w:rFonts w:ascii="Barlow Semi Condensed" w:cs="Barlow Semi Condensed" w:eastAsia="Barlow Semi Condensed" w:hAnsi="Barlow Semi Condensed"/>
          <w:b/>
          <w:bCs/>
          <w:sz w:val="24"/>
          <w:szCs w:val="24"/>
        </w:rPr>
        <w:t xml:space="preserve">593 · Le mutazioni del corpus Guevara.</w:t>
      </w:r>
      <w:r>
        <w:rPr>
          <w:rFonts w:ascii="Barlow Semi Condensed" w:cs="Barlow Semi Condensed" w:eastAsia="Barlow Semi Condensed" w:hAnsi="Barlow Semi Condensed"/>
          <w:sz w:val="24"/>
          <w:szCs w:val="24"/>
        </w:rPr>
        <w:t xml:space="preserve"> La triangolazione sul corpus Guevara ha isolato mutazioni di ogni tipo: l'età di Fidel Castro al primo incontro del luglio 1955, ventisei invece di ventotto, per contaminazione con l'età dell'interlocutore; la presidenza del Banco Nacional attribuita al 1964 quando era cessata nel febbraio 1961; un attentato del dicembre 1964 spostato da un terreno di Long Island City a un'imbarcazione. Tre errori accertati, nessun falso.</w:t>
      </w:r>
    </w:p>
    <w:p>
      <w:pPr>
        <w:spacing w:after="120" w:line="276"/>
        <w:jc w:val="both"/>
      </w:pPr>
      <w:r>
        <w:rPr>
          <w:rFonts w:ascii="Barlow Semi Condensed" w:cs="Barlow Semi Condensed" w:eastAsia="Barlow Semi Condensed" w:hAnsi="Barlow Semi Condensed"/>
          <w:b/>
          <w:bCs/>
          <w:sz w:val="24"/>
          <w:szCs w:val="24"/>
        </w:rPr>
        <w:t xml:space="preserve">594 · L'anteriorità come falsificatore.</w:t>
      </w:r>
      <w:r>
        <w:rPr>
          <w:rFonts w:ascii="Barlow Semi Condensed" w:cs="Barlow Semi Condensed" w:eastAsia="Barlow Semi Condensed" w:hAnsi="Barlow Semi Condensed"/>
          <w:sz w:val="24"/>
          <w:szCs w:val="24"/>
        </w:rPr>
        <w:t xml:space="preserve"> La riunione del Comitato dei 303 dell'11 marzo 1969 è anteriore all'insediamento di Moro alla Farnesina, avvenuto il 5 agosto 1969. L'anteriorità è il più semplice e il più spietato dei falsificatori: nessuna decisione può essere reazione a un fatto non ancora accaduto. Prima di costruire un nesso si ordinano le date su una sola linea, e una parte notevole dei nessi proposti cade da sé.</w:t>
      </w:r>
    </w:p>
    <w:p>
      <w:pPr>
        <w:spacing w:after="120" w:line="276"/>
        <w:jc w:val="both"/>
      </w:pPr>
      <w:r>
        <w:rPr>
          <w:rFonts w:ascii="Barlow Semi Condensed" w:cs="Barlow Semi Condensed" w:eastAsia="Barlow Semi Condensed" w:hAnsi="Barlow Semi Condensed"/>
          <w:b/>
          <w:bCs/>
          <w:sz w:val="24"/>
          <w:szCs w:val="24"/>
        </w:rPr>
        <w:t xml:space="preserve">595 · L'anacronismo che vanifica la ricerca.</w:t>
      </w:r>
      <w:r>
        <w:rPr>
          <w:rFonts w:ascii="Barlow Semi Condensed" w:cs="Barlow Semi Condensed" w:eastAsia="Barlow Semi Condensed" w:hAnsi="Barlow Semi Condensed"/>
          <w:sz w:val="24"/>
          <w:szCs w:val="24"/>
        </w:rPr>
        <w:t xml:space="preserve"> La seconda campagna della Farnesina ha rilevato un caso esemplare: la domanda sulla reazione della «Spagna franchista» al sequestro del 1978 è mal posta, perché Franco era morto il 20 novembre 1975 e il Paese era in piena Transizione. Una premessa anacronistica non produce una risposta sbagliata: produce una ricerca inutile. Il controllo cronologico della domanda precede la ricerca, e ne è la parte più economica.</w:t>
      </w:r>
    </w:p>
    <w:p>
      <w:pPr>
        <w:spacing w:after="120" w:line="276"/>
        <w:jc w:val="both"/>
      </w:pPr>
      <w:r>
        <w:rPr>
          <w:rFonts w:ascii="Barlow Semi Condensed" w:cs="Barlow Semi Condensed" w:eastAsia="Barlow Semi Condensed" w:hAnsi="Barlow Semi Condensed"/>
          <w:b/>
          <w:bCs/>
          <w:sz w:val="24"/>
          <w:szCs w:val="24"/>
        </w:rPr>
        <w:t xml:space="preserve">596 · La sequenza come antidoto.</w:t>
      </w:r>
      <w:r>
        <w:rPr>
          <w:rFonts w:ascii="Barlow Semi Condensed" w:cs="Barlow Semi Condensed" w:eastAsia="Barlow Semi Condensed" w:hAnsi="Barlow Semi Condensed"/>
          <w:sz w:val="24"/>
          <w:szCs w:val="24"/>
        </w:rPr>
        <w:t xml:space="preserve"> Contro la data isolata, la sequenza. La catena Oder-Neisse è il modello costruito dal corpus: firma il 7 dicembre 1970, autorizzazione alla ratifica il 17 e il 19 maggio 1972, entrata in vigore il 3 giugno, costituzioni apostoliche il 28 giugno. La formula corrente «il Bundestag ratificò» è imprecisa, e solo la sequenza intera lo mostra — insieme al fatto che il 28 giugno era in carica il secondo governo Andreotti.</w:t>
      </w:r>
    </w:p>
    <w:p>
      <w:pPr>
        <w:spacing w:after="120" w:line="276"/>
        <w:jc w:val="both"/>
      </w:pPr>
      <w:r>
        <w:rPr>
          <w:rFonts w:ascii="Barlow Semi Condensed" w:cs="Barlow Semi Condensed" w:eastAsia="Barlow Semi Condensed" w:hAnsi="Barlow Semi Condensed"/>
          <w:b/>
          <w:bCs/>
          <w:sz w:val="24"/>
          <w:szCs w:val="24"/>
        </w:rPr>
        <w:t xml:space="preserve">597 · L'errore accade, il falso si fa.</w:t>
      </w:r>
      <w:r>
        <w:rPr>
          <w:rFonts w:ascii="Barlow Semi Condensed" w:cs="Barlow Semi Condensed" w:eastAsia="Barlow Semi Condensed" w:hAnsi="Barlow Semi Condensed"/>
          <w:sz w:val="24"/>
          <w:szCs w:val="24"/>
        </w:rPr>
        <w:t xml:space="preserve"> La differenza non sta nel risultato, che può essere identico, ma nell'atto. L'errore è un evento della trascrizione: accade a chi copia, e non presuppone volontà. Il falso è un atto: qualcuno decide che il testo dica ciò che non diceva. Ne discende la conseguenza operativa: l'errore si accerta sul testo, il falso richiede la prova dell'intenzione — e l'intenzione, nel regime pubblico, si prova o non si afferma.</w:t>
      </w:r>
    </w:p>
    <w:p>
      <w:pPr>
        <w:spacing w:after="120" w:line="276"/>
        <w:jc w:val="both"/>
      </w:pPr>
      <w:r>
        <w:rPr>
          <w:rFonts w:ascii="Barlow Semi Condensed" w:cs="Barlow Semi Condensed" w:eastAsia="Barlow Semi Condensed" w:hAnsi="Barlow Semi Condensed"/>
          <w:b/>
          <w:bCs/>
          <w:sz w:val="24"/>
          <w:szCs w:val="24"/>
        </w:rPr>
        <w:t xml:space="preserve">598 · Due gradazioni per due cose.</w:t>
      </w:r>
      <w:r>
        <w:rPr>
          <w:rFonts w:ascii="Barlow Semi Condensed" w:cs="Barlow Semi Condensed" w:eastAsia="Barlow Semi Condensed" w:hAnsi="Barlow Semi Condensed"/>
          <w:sz w:val="24"/>
          <w:szCs w:val="24"/>
        </w:rPr>
        <w:t xml:space="preserve"> Poiché sono cose diverse, si gradano diversamente. La falsità materiale di un documento è accertabile in perizia e può raggiungere il grado A. La sua fabbricazione dolosa da parte di un soggetto determinato è imputazione, e resta al grado del giudicato o al di sotto di esso. Il corpus può dire che un testo è falso senza poter dire chi lo fece, e spesso deve fermarsi esattamente lì.</w:t>
      </w:r>
    </w:p>
    <w:p>
      <w:pPr>
        <w:spacing w:after="120" w:line="276"/>
        <w:jc w:val="both"/>
      </w:pPr>
      <w:r>
        <w:rPr>
          <w:rFonts w:ascii="Barlow Semi Condensed" w:cs="Barlow Semi Condensed" w:eastAsia="Barlow Semi Condensed" w:hAnsi="Barlow Semi Condensed"/>
          <w:b/>
          <w:bCs/>
          <w:sz w:val="24"/>
          <w:szCs w:val="24"/>
        </w:rPr>
        <w:t xml:space="preserve">599 · Il falso accertato del caso.</w:t>
      </w:r>
      <w:r>
        <w:rPr>
          <w:rFonts w:ascii="Barlow Semi Condensed" w:cs="Barlow Semi Condensed" w:eastAsia="Barlow Semi Condensed" w:hAnsi="Barlow Semi Condensed"/>
          <w:sz w:val="24"/>
          <w:szCs w:val="24"/>
        </w:rPr>
        <w:t xml:space="preserve"> Il comunicato numero sette del 18 aprile 1978, quello del lago della Duchessa, è il falso accertato del caso Moro: esistenza e falsità sono di grado A, la regia resta C. L'attribuzione materiale della mano ad Antonio Chichiarelli è istruttoria e peritale, mai giudicata: fu ucciso nel settembre 1984 prima di ogni contestazione formale. La genesi resta quesito aperto, col fascicolo integrale come giacimento indicato.</w:t>
      </w:r>
    </w:p>
    <w:p>
      <w:pPr>
        <w:spacing w:after="120" w:line="276"/>
        <w:jc w:val="both"/>
      </w:pPr>
      <w:r>
        <w:rPr>
          <w:rFonts w:ascii="Barlow Semi Condensed" w:cs="Barlow Semi Condensed" w:eastAsia="Barlow Semi Condensed" w:hAnsi="Barlow Semi Condensed"/>
          <w:b/>
          <w:bCs/>
          <w:sz w:val="24"/>
          <w:szCs w:val="24"/>
        </w:rPr>
        <w:t xml:space="preserve">600 · Il falso che sa cose vere.</w:t>
      </w:r>
      <w:r>
        <w:rPr>
          <w:rFonts w:ascii="Barlow Semi Condensed" w:cs="Barlow Semi Condensed" w:eastAsia="Barlow Semi Condensed" w:hAnsi="Barlow Semi Condensed"/>
          <w:sz w:val="24"/>
          <w:szCs w:val="24"/>
        </w:rPr>
        <w:t xml:space="preserve"> Il blocco 436 dei nove cantieri nomina il paradosso documentale del caso: un falso materiale può contenere conoscenze autentiche, perché chi lo fabbrica sa cose. Ne segue la doppia lente obbligatoria — il documento si esamina come oggetto falso e come indizio di ciò che il falsario sapeva. La seconda lettura non riabilita la prima: non rende autentico il testo, rende informativo l'atto della fabbricazione.</w:t>
      </w:r>
    </w:p>
    <w:p>
      <w:pPr>
        <w:spacing w:after="120" w:line="276"/>
        <w:jc w:val="both"/>
      </w:pPr>
      <w:r>
        <w:rPr>
          <w:rFonts w:ascii="Barlow Semi Condensed" w:cs="Barlow Semi Condensed" w:eastAsia="Barlow Semi Condensed" w:hAnsi="Barlow Semi Condensed"/>
          <w:b/>
          <w:bCs/>
          <w:sz w:val="24"/>
          <w:szCs w:val="24"/>
        </w:rPr>
        <w:t xml:space="preserve">601 · Il falso è reperto autentico.</w:t>
      </w:r>
      <w:r>
        <w:rPr>
          <w:rFonts w:ascii="Barlow Semi Condensed" w:cs="Barlow Semi Condensed" w:eastAsia="Barlow Semi Condensed" w:hAnsi="Barlow Semi Condensed"/>
          <w:sz w:val="24"/>
          <w:szCs w:val="24"/>
        </w:rPr>
        <w:t xml:space="preserve"> Un documento falso resta un oggetto reale, con una carta, un inchiostro, una macchina, una data di fabbricazione e una via di circolazione. Tutto questo è accertabile in perizia e appartiene al grado alto. La confusione da evitare, e che si ripresenta ogni volta, è fra l'autenticità del reperto e la verità del suo contenuto: sono proprietà indipendenti, e vanno tenute in due colonne separate della stessa scheda.</w:t>
      </w:r>
    </w:p>
    <w:p>
      <w:pPr>
        <w:spacing w:after="120" w:line="276"/>
        <w:jc w:val="both"/>
      </w:pPr>
      <w:r>
        <w:rPr>
          <w:rFonts w:ascii="Barlow Semi Condensed" w:cs="Barlow Semi Condensed" w:eastAsia="Barlow Semi Condensed" w:hAnsi="Barlow Semi Condensed"/>
          <w:b/>
          <w:bCs/>
          <w:sz w:val="24"/>
          <w:szCs w:val="24"/>
        </w:rPr>
        <w:t xml:space="preserve">602 · Il falso non contagia il fascicolo.</w:t>
      </w:r>
      <w:r>
        <w:rPr>
          <w:rFonts w:ascii="Barlow Semi Condensed" w:cs="Barlow Semi Condensed" w:eastAsia="Barlow Semi Condensed" w:hAnsi="Barlow Semi Condensed"/>
          <w:sz w:val="24"/>
          <w:szCs w:val="24"/>
        </w:rPr>
        <w:t xml:space="preserve"> Regola di contenimento, contro i due eccessi speculari. La presenza di un falso in un dossier non rende falso il dossier, né lo rende autentico per reazione. Ogni documento porta il proprio grado e risponde soltanto di sé. Chi squalifica un intero fondo per un apocrifo e chi difende un apocrifo per non perdere il fondo commettono lo stesso errore di trasmissione, in direzioni opposte.</w:t>
      </w:r>
    </w:p>
    <w:p>
      <w:pPr>
        <w:spacing w:after="120" w:line="276"/>
        <w:jc w:val="both"/>
      </w:pPr>
      <w:r>
        <w:rPr>
          <w:rFonts w:ascii="Barlow Semi Condensed" w:cs="Barlow Semi Condensed" w:eastAsia="Barlow Semi Condensed" w:hAnsi="Barlow Semi Condensed"/>
          <w:b/>
          <w:bCs/>
          <w:sz w:val="24"/>
          <w:szCs w:val="24"/>
        </w:rPr>
        <w:t xml:space="preserve">603 · La dogana dell'autenticazione.</w:t>
      </w:r>
      <w:r>
        <w:rPr>
          <w:rFonts w:ascii="Barlow Semi Condensed" w:cs="Barlow Semi Condensed" w:eastAsia="Barlow Semi Condensed" w:hAnsi="Barlow Semi Condensed"/>
          <w:sz w:val="24"/>
          <w:szCs w:val="24"/>
        </w:rPr>
        <w:t xml:space="preserve"> Il blocco 308 dei nove cantieri prescrive un registro dei falsi noti e la perizia prima della cittadinanza documentale: un cantiere che accoglie tutto avvelena sé stesso. La serie estende la regola alle citazioni e propone il bersaglio corrispondente — un registro pubblico delle formule apocrife del caso, ciascuna con la sua prima occorrenza e la ragione documentata dell'esclusione. È il complemento naturale del registro dei documenti falsi.</w:t>
      </w:r>
    </w:p>
    <w:p>
      <w:pPr>
        <w:spacing w:after="120" w:line="276"/>
        <w:jc w:val="both"/>
      </w:pPr>
      <w:r>
        <w:rPr>
          <w:rFonts w:ascii="Barlow Semi Condensed" w:cs="Barlow Semi Condensed" w:eastAsia="Barlow Semi Condensed" w:hAnsi="Barlow Semi Condensed"/>
          <w:b/>
          <w:bCs/>
          <w:sz w:val="24"/>
          <w:szCs w:val="24"/>
        </w:rPr>
        <w:t xml:space="preserve">604 · La soglia fra ostinazione e dolo.</w:t>
      </w:r>
      <w:r>
        <w:rPr>
          <w:rFonts w:ascii="Barlow Semi Condensed" w:cs="Barlow Semi Condensed" w:eastAsia="Barlow Semi Condensed" w:hAnsi="Barlow Semi Condensed"/>
          <w:sz w:val="24"/>
          <w:szCs w:val="24"/>
        </w:rPr>
        <w:t xml:space="preserve"> Esiste un punto in cui la ripetizione di un errore, dopo la smentita, cessa di essere errore? La domanda è legittima e la risposta del corpus è restrittiva: quel punto esiste nel foro morale e non in quello probatorio. Documentare che una correzione era disponibile e non è stata recepita è lecito e utile; dedurne il dolo di chi ha ripetuto non lo è, e la serie non lo fa.</w:t>
      </w:r>
    </w:p>
    <w:p>
      <w:pPr>
        <w:spacing w:after="120" w:line="276"/>
        <w:jc w:val="both"/>
      </w:pPr>
      <w:r>
        <w:rPr>
          <w:rFonts w:ascii="Barlow Semi Condensed" w:cs="Barlow Semi Condensed" w:eastAsia="Barlow Semi Condensed" w:hAnsi="Barlow Semi Condensed"/>
          <w:b/>
          <w:bCs/>
          <w:sz w:val="24"/>
          <w:szCs w:val="24"/>
        </w:rPr>
        <w:t xml:space="preserve">605 · Chi ripete non è chi fabbrica.</w:t>
      </w:r>
      <w:r>
        <w:rPr>
          <w:rFonts w:ascii="Barlow Semi Condensed" w:cs="Barlow Semi Condensed" w:eastAsia="Barlow Semi Condensed" w:hAnsi="Barlow Semi Condensed"/>
          <w:sz w:val="24"/>
          <w:szCs w:val="24"/>
        </w:rPr>
        <w:t xml:space="preserve"> Il corollario garantista della serie. La catena di trasmissione di un falso comprende quasi sempre molti portatori in buona fede e pochissimi fabbricanti, e i secondi non si identificano contando i primi. Nominare falsario chi ha soltanto citato è la forma editoriale della colpa ereditaria — precisamente ciò che la lente genetica, se usata con onestà, obbliga a rifiutare invece che a suggerire.</w:t>
      </w:r>
    </w:p>
    <w:p>
      <w:pPr>
        <w:spacing w:after="120" w:line="276"/>
        <w:jc w:val="both"/>
      </w:pPr>
      <w:r>
        <w:rPr>
          <w:rFonts w:ascii="Barlow Semi Condensed" w:cs="Barlow Semi Condensed" w:eastAsia="Barlow Semi Condensed" w:hAnsi="Barlow Semi Condensed"/>
          <w:b/>
          <w:bCs/>
          <w:sz w:val="24"/>
          <w:szCs w:val="24"/>
        </w:rPr>
        <w:t xml:space="preserve">606 · Il supplemento apocrifo: il bersaglio.</w:t>
      </w:r>
      <w:r>
        <w:rPr>
          <w:rFonts w:ascii="Barlow Semi Condensed" w:cs="Barlow Semi Condensed" w:eastAsia="Barlow Semi Condensed" w:hAnsi="Barlow Semi Condensed"/>
          <w:sz w:val="24"/>
          <w:szCs w:val="24"/>
        </w:rPr>
        <w:t xml:space="preserve"> Il caso di scuola è un presunto supplemento riservato a un manuale di campo dell'esercito statunitense, noto come FM 30-31B, che prescriverebbe l'infiltrazione dei movimenti radicali e, in situazioni estreme, atti di violenza attribuibili a essi per screditarli. Compare in Europa negli anni Settanta e in Italia entra nel dibattito sulla strategia della tensione. Il testo circola; la sua autenticità è contestata alla radice.</w:t>
      </w:r>
    </w:p>
    <w:p>
      <w:pPr>
        <w:spacing w:after="120" w:line="276"/>
        <w:jc w:val="both"/>
      </w:pPr>
      <w:r>
        <w:rPr>
          <w:rFonts w:ascii="Barlow Semi Condensed" w:cs="Barlow Semi Condensed" w:eastAsia="Barlow Semi Condensed" w:hAnsi="Barlow Semi Condensed"/>
          <w:b/>
          <w:bCs/>
          <w:sz w:val="24"/>
          <w:szCs w:val="24"/>
        </w:rPr>
        <w:t xml:space="preserve">607 · La qualificazione del Dipartimento di Stato.</w:t>
      </w:r>
      <w:r>
        <w:rPr>
          <w:rFonts w:ascii="Barlow Semi Condensed" w:cs="Barlow Semi Condensed" w:eastAsia="Barlow Semi Condensed" w:hAnsi="Barlow Semi Condensed"/>
          <w:sz w:val="24"/>
          <w:szCs w:val="24"/>
        </w:rPr>
        <w:t xml:space="preserve"> Il Dipartimento di Stato lo ha classificato come falso di fabbricazione sovietica nei propri rapporti pubblici sulle misure attive all'inizio degli anni Ottanta, e gli apparati militari ne hanno negato l'esistenza come documento ufficiale. Segnatura e data esatte del rapporto vanno reperite e citate per esteso prima di ogni uso: quesito aperto, da chiudere sulla serie degli Special Reports del Bureau of Public Affairs.</w:t>
      </w:r>
    </w:p>
    <w:p>
      <w:pPr>
        <w:spacing w:after="120" w:line="276"/>
        <w:jc w:val="both"/>
      </w:pPr>
      <w:r>
        <w:rPr>
          <w:rFonts w:ascii="Barlow Semi Condensed" w:cs="Barlow Semi Condensed" w:eastAsia="Barlow Semi Condensed" w:hAnsi="Barlow Semi Condensed"/>
          <w:b/>
          <w:bCs/>
          <w:sz w:val="24"/>
          <w:szCs w:val="24"/>
        </w:rPr>
        <w:t xml:space="preserve">608 · Chi qualifica è parte in causa.</w:t>
      </w:r>
      <w:r>
        <w:rPr>
          <w:rFonts w:ascii="Barlow Semi Condensed" w:cs="Barlow Semi Condensed" w:eastAsia="Barlow Semi Condensed" w:hAnsi="Barlow Semi Condensed"/>
          <w:sz w:val="24"/>
          <w:szCs w:val="24"/>
        </w:rPr>
        <w:t xml:space="preserve"> La classificazione proviene dallo Stato che il documento accusa, e questo va detto senza infingimenti: non è una perizia neutrale. Non ne segue però l'inversione automatica, perché una smentita interessata non è una conferma. Ne segue soltanto che la qualificazione non basta da sola e va corroborata da linee indipendenti: analisi filologica interna, catena di provenienza, letteratura scientifica sulle misure attive del periodo.</w:t>
      </w:r>
    </w:p>
    <w:p>
      <w:pPr>
        <w:spacing w:after="120" w:line="276"/>
        <w:jc w:val="both"/>
      </w:pPr>
      <w:r>
        <w:rPr>
          <w:rFonts w:ascii="Barlow Semi Condensed" w:cs="Barlow Semi Condensed" w:eastAsia="Barlow Semi Condensed" w:hAnsi="Barlow Semi Condensed"/>
          <w:b/>
          <w:bCs/>
          <w:sz w:val="24"/>
          <w:szCs w:val="24"/>
        </w:rPr>
        <w:t xml:space="preserve">609 · Gli indizi interni del falso.</w:t>
      </w:r>
      <w:r>
        <w:rPr>
          <w:rFonts w:ascii="Barlow Semi Condensed" w:cs="Barlow Semi Condensed" w:eastAsia="Barlow Semi Condensed" w:hAnsi="Barlow Semi Condensed"/>
          <w:sz w:val="24"/>
          <w:szCs w:val="24"/>
        </w:rPr>
        <w:t xml:space="preserve"> La via percorribile senza dipendere da alcuna parte in causa è filologica: anomalie di formato rispetto alla modulistica autentica della serie cui il testo dichiara di appartenere, incongruenze del lessico burocratico, assenza dai registri di distribuzione. Bersaglio: una perizia formale comparativa fra il testo circolante e gli esemplari autentici del manuale di cui si dichiara supplemento. Sede: archivi militari statunitensi e fondi giudiziari italiani che ne conservano copia.</w:t>
      </w:r>
    </w:p>
    <w:p>
      <w:pPr>
        <w:spacing w:after="120" w:line="276"/>
        <w:jc w:val="both"/>
      </w:pPr>
      <w:r>
        <w:rPr>
          <w:rFonts w:ascii="Barlow Semi Condensed" w:cs="Barlow Semi Condensed" w:eastAsia="Barlow Semi Condensed" w:hAnsi="Barlow Semi Condensed"/>
          <w:b/>
          <w:bCs/>
          <w:sz w:val="24"/>
          <w:szCs w:val="24"/>
        </w:rPr>
        <w:t xml:space="preserve">610 · La ripresa italiana e il silenzio.</w:t>
      </w:r>
      <w:r>
        <w:rPr>
          <w:rFonts w:ascii="Barlow Semi Condensed" w:cs="Barlow Semi Condensed" w:eastAsia="Barlow Semi Condensed" w:hAnsi="Barlow Semi Condensed"/>
          <w:sz w:val="24"/>
          <w:szCs w:val="24"/>
        </w:rPr>
        <w:t xml:space="preserve"> Parte della pubblicistica italiana sulla strategia della tensione lo tratta come autentico e ne ricava premesse. La verifica meccanica sul branch dà un esito da registrare senza addolcirlo: la sigla non compare in alcun documento del corpus, né nei mille blocchi dei cantieri né nei quattrocento del manuale. Non è trattazione archiviata, è silenzio totale: i due stati sono diversi e la differenza va dichiarata.</w:t>
      </w:r>
    </w:p>
    <w:p>
      <w:pPr>
        <w:spacing w:after="120" w:line="276"/>
        <w:jc w:val="both"/>
      </w:pPr>
      <w:r>
        <w:rPr>
          <w:rFonts w:ascii="Barlow Semi Condensed" w:cs="Barlow Semi Condensed" w:eastAsia="Barlow Semi Condensed" w:hAnsi="Barlow Semi Condensed"/>
          <w:b/>
          <w:bCs/>
          <w:sz w:val="24"/>
          <w:szCs w:val="24"/>
        </w:rPr>
        <w:t xml:space="preserve">611 · Come si cita un contestato.</w:t>
      </w:r>
      <w:r>
        <w:rPr>
          <w:rFonts w:ascii="Barlow Semi Condensed" w:cs="Barlow Semi Condensed" w:eastAsia="Barlow Semi Condensed" w:hAnsi="Barlow Semi Condensed"/>
          <w:sz w:val="24"/>
          <w:szCs w:val="24"/>
        </w:rPr>
        <w:t xml:space="preserve"> La forma corretta esiste ed è una sola: si cita come oggetto di circolazione, mai come fonte di ciò che afferma. «Un testo la cui autenticità il Dipartimento di Stato nega, circolante in Italia dagli anni Settanta, sostiene che…» è proposizione vera. «Il manuale statunitense prescrive che…» è proposizione falsa, anche se il testo materialmente esiste. La differenza sta tutta nel verbo reggente, e regge l'intera scheda.</w:t>
      </w:r>
    </w:p>
    <w:p>
      <w:pPr>
        <w:spacing w:after="120" w:line="276"/>
        <w:jc w:val="both"/>
      </w:pPr>
      <w:r>
        <w:rPr>
          <w:rFonts w:ascii="Barlow Semi Condensed" w:cs="Barlow Semi Condensed" w:eastAsia="Barlow Semi Condensed" w:hAnsi="Barlow Semi Condensed"/>
          <w:b/>
          <w:bCs/>
          <w:sz w:val="24"/>
          <w:szCs w:val="24"/>
        </w:rPr>
        <w:t xml:space="preserve">612 · La matrice a ipotesi concorrenti.</w:t>
      </w:r>
      <w:r>
        <w:rPr>
          <w:rFonts w:ascii="Barlow Semi Condensed" w:cs="Barlow Semi Condensed" w:eastAsia="Barlow Semi Condensed" w:hAnsi="Barlow Semi Condensed"/>
          <w:sz w:val="24"/>
          <w:szCs w:val="24"/>
        </w:rPr>
        <w:t xml:space="preserve"> Applicando l'analisi delle ipotesi concorrenti al documento, le ipotesi sono almeno tre: testo autentico, fabbricazione sovietica, fabbricazione di altra origine che ha poi trovato committenti convenienti. L'evidenza disponibile — circolazione, smentite, anomalie formali — è in larga parte compatibile con tutte e tre e dunque non è diagnostica. L'evidenza discriminante è nominabile e assente: la perizia sui supporti materiali dell'esemplare più antico reperibile.</w:t>
      </w:r>
    </w:p>
    <w:p>
      <w:pPr>
        <w:spacing w:after="120" w:line="276"/>
        <w:jc w:val="both"/>
      </w:pPr>
      <w:r>
        <w:rPr>
          <w:rFonts w:ascii="Barlow Semi Condensed" w:cs="Barlow Semi Condensed" w:eastAsia="Barlow Semi Condensed" w:hAnsi="Barlow Semi Condensed"/>
          <w:b/>
          <w:bCs/>
          <w:sz w:val="24"/>
          <w:szCs w:val="24"/>
        </w:rPr>
        <w:t xml:space="preserve">613 · Perché non sarebbe comunque un ponte.</w:t>
      </w:r>
      <w:r>
        <w:rPr>
          <w:rFonts w:ascii="Barlow Semi Condensed" w:cs="Barlow Semi Condensed" w:eastAsia="Barlow Semi Condensed" w:hAnsi="Barlow Semi Condensed"/>
          <w:sz w:val="24"/>
          <w:szCs w:val="24"/>
        </w:rPr>
        <w:t xml:space="preserve"> Anche nell'ipotesi in cui il testo risultasse autentico, la regola dei tre piani impedirebbe di trarne un nesso col caso Moro. Un documento dottrinale generale non è rapporto diretto documentato fra soggetti determinati: sarebbe al più convergenza strutturale entro la stessa cornice, cioè piano due. I piani due e tre si registrano come tali e non si promuovono mai a nesso causale, qualunque sia il loro contenuto.</w:t>
      </w:r>
    </w:p>
    <w:p>
      <w:pPr>
        <w:spacing w:after="120" w:line="276"/>
        <w:jc w:val="both"/>
      </w:pPr>
      <w:r>
        <w:rPr>
          <w:rFonts w:ascii="Barlow Semi Condensed" w:cs="Barlow Semi Condensed" w:eastAsia="Barlow Semi Condensed" w:hAnsi="Barlow Semi Condensed"/>
          <w:b/>
          <w:bCs/>
          <w:sz w:val="24"/>
          <w:szCs w:val="24"/>
        </w:rPr>
        <w:t xml:space="preserve">614 · La leggenda è un fatto.</w:t>
      </w:r>
      <w:r>
        <w:rPr>
          <w:rFonts w:ascii="Barlow Semi Condensed" w:cs="Barlow Semi Condensed" w:eastAsia="Barlow Semi Condensed" w:hAnsi="Barlow Semi Condensed"/>
          <w:sz w:val="24"/>
          <w:szCs w:val="24"/>
        </w:rPr>
        <w:t xml:space="preserve"> Neutralizzare non significa negare. Una leggenda che circola da quarant'anni è un fatto della ricezione pubblica, documentabile per data, canali e portatori, e come tale entra nel corpus al grado che le compete: fatto pubblico quanto alla circolazione, nulla quanto al contenuto. Cancellarla dal dossier sarebbe una seconda falsificazione, di segno opposto e di uguale peso rispetto a quella che si vuole correggere.</w:t>
      </w:r>
    </w:p>
    <w:p>
      <w:pPr>
        <w:spacing w:after="120" w:line="276"/>
        <w:jc w:val="both"/>
      </w:pPr>
      <w:r>
        <w:rPr>
          <w:rFonts w:ascii="Barlow Semi Condensed" w:cs="Barlow Semi Condensed" w:eastAsia="Barlow Semi Condensed" w:hAnsi="Barlow Semi Condensed"/>
          <w:b/>
          <w:bCs/>
          <w:sz w:val="24"/>
          <w:szCs w:val="24"/>
        </w:rPr>
        <w:t xml:space="preserve">615 · I due errori speculari.</w:t>
      </w:r>
      <w:r>
        <w:rPr>
          <w:rFonts w:ascii="Barlow Semi Condensed" w:cs="Barlow Semi Condensed" w:eastAsia="Barlow Semi Condensed" w:hAnsi="Barlow Semi Condensed"/>
          <w:sz w:val="24"/>
          <w:szCs w:val="24"/>
        </w:rPr>
        <w:t xml:space="preserve"> Due modi sbagliati di trattarla, ed è utile nominarli insieme perché si generano a vicenda. Il primo è leggere la persistenza della leggenda come indizio della sua verità: se se ne parla tanto, qualcosa ci sarà. Il secondo è leggere la falsità del contenuto come prova che nulla di rilevante accadde. La leggenda non conferma e non assolve: descrive soltanto la propria storia di trasmissione.</w:t>
      </w:r>
    </w:p>
    <w:p>
      <w:pPr>
        <w:spacing w:after="120" w:line="276"/>
        <w:jc w:val="both"/>
      </w:pPr>
      <w:r>
        <w:rPr>
          <w:rFonts w:ascii="Barlow Semi Condensed" w:cs="Barlow Semi Condensed" w:eastAsia="Barlow Semi Condensed" w:hAnsi="Barlow Semi Condensed"/>
          <w:b/>
          <w:bCs/>
          <w:sz w:val="24"/>
          <w:szCs w:val="24"/>
        </w:rPr>
        <w:t xml:space="preserve">616 · Il metodo in quattro tempi.</w:t>
      </w:r>
      <w:r>
        <w:rPr>
          <w:rFonts w:ascii="Barlow Semi Condensed" w:cs="Barlow Semi Condensed" w:eastAsia="Barlow Semi Condensed" w:hAnsi="Barlow Semi Condensed"/>
          <w:sz w:val="24"/>
          <w:szCs w:val="24"/>
        </w:rPr>
        <w:t xml:space="preserve"> La procedura che la serie propone e che si può eseguire su qualsiasi leggenda del caso: datare la prima occorrenza; tracciare la catena delle riprese distinguendo i testimoni indipendenti dai semplici portatori; misurare che cosa la leggenda spiega e che cosa la documentazione già spiegava senza di essa; dichiarare il grado separatamente per circolazione e contenuto. Nessuno dei quattro tempi richiede di affermare o negare il fatto raccontato.</w:t>
      </w:r>
    </w:p>
    <w:p>
      <w:pPr>
        <w:spacing w:after="120" w:line="276"/>
        <w:jc w:val="both"/>
      </w:pPr>
      <w:r>
        <w:rPr>
          <w:rFonts w:ascii="Barlow Semi Condensed" w:cs="Barlow Semi Condensed" w:eastAsia="Barlow Semi Condensed" w:hAnsi="Barlow Semi Condensed"/>
          <w:b/>
          <w:bCs/>
          <w:sz w:val="24"/>
          <w:szCs w:val="24"/>
        </w:rPr>
        <w:t xml:space="preserve">617 · Due gradi per un solo oggetto.</w:t>
      </w:r>
      <w:r>
        <w:rPr>
          <w:rFonts w:ascii="Barlow Semi Condensed" w:cs="Barlow Semi Condensed" w:eastAsia="Barlow Semi Condensed" w:hAnsi="Barlow Semi Condensed"/>
          <w:sz w:val="24"/>
          <w:szCs w:val="24"/>
        </w:rPr>
        <w:t xml:space="preserve"> Da qui la doppia gradazione, che è il cuore tecnico della neutralizzazione. Della circolazione si dichiara il grado alto, perché è verificabile chi disse cosa e quando. Del contenuto si dichiara, quando è il caso, lo Stato Zero: cercato e non trovato, con la sede d'archivio dove si chiuderebbe. Le due righe stanno nella stessa scheda, si leggono insieme e non si contaminano mai.</w:t>
      </w:r>
    </w:p>
    <w:p>
      <w:pPr>
        <w:spacing w:after="120" w:line="276"/>
        <w:jc w:val="both"/>
      </w:pPr>
      <w:r>
        <w:rPr>
          <w:rFonts w:ascii="Barlow Semi Condensed" w:cs="Barlow Semi Condensed" w:eastAsia="Barlow Semi Condensed" w:hAnsi="Barlow Semi Condensed"/>
          <w:b/>
          <w:bCs/>
          <w:sz w:val="24"/>
          <w:szCs w:val="24"/>
        </w:rPr>
        <w:t xml:space="preserve">618 · La forma che si propaga sola.</w:t>
      </w:r>
      <w:r>
        <w:rPr>
          <w:rFonts w:ascii="Barlow Semi Condensed" w:cs="Barlow Semi Condensed" w:eastAsia="Barlow Semi Condensed" w:hAnsi="Barlow Semi Condensed"/>
          <w:sz w:val="24"/>
          <w:szCs w:val="24"/>
        </w:rPr>
        <w:t xml:space="preserve"> La biologia offre un modello per la leggenda pura: il prione, una proteina mal ripiegata che si propaga imponendo la propria forma senza trasmettere alcuna informazione genetica. È l'immagine esatta della voce che si diffonde senza documento — nulla viene copiato, eppure tutti finiscono per raccontarla nella stessa forma. Contro questa specie il rimedio non è la confutazione, che la rilancia: è la datazione.</w:t>
      </w:r>
    </w:p>
    <w:p>
      <w:pPr>
        <w:spacing w:after="120" w:line="276"/>
        <w:jc w:val="both"/>
      </w:pPr>
      <w:r>
        <w:rPr>
          <w:rFonts w:ascii="Barlow Semi Condensed" w:cs="Barlow Semi Condensed" w:eastAsia="Barlow Semi Condensed" w:hAnsi="Barlow Semi Condensed"/>
          <w:b/>
          <w:bCs/>
          <w:sz w:val="24"/>
          <w:szCs w:val="24"/>
        </w:rPr>
        <w:t xml:space="preserve">619 · Il nodo M-5 come esemplare.</w:t>
      </w:r>
      <w:r>
        <w:rPr>
          <w:rFonts w:ascii="Barlow Semi Condensed" w:cs="Barlow Semi Condensed" w:eastAsia="Barlow Semi Condensed" w:hAnsi="Barlow Semi Condensed"/>
          <w:sz w:val="24"/>
          <w:szCs w:val="24"/>
        </w:rPr>
        <w:t xml:space="preserve"> Il presunto avvertimento a Moro è il caso su cui la procedura è già stata eseguita. Il corpus riporta la testimonianza de relato resa in Corte d'assise nel novembre 1982, l'audizione parlamentare della vedova del 1° agosto 1980 in cui la persona non fu nominata, la smentita sempre opposta da Kissinger, le divergenze di data e di luogo. Grado B debole: testimonianza contestata, mai da dare per accertata.</w:t>
      </w:r>
    </w:p>
    <w:p>
      <w:pPr>
        <w:spacing w:after="120" w:line="276"/>
        <w:jc w:val="both"/>
      </w:pPr>
      <w:r>
        <w:rPr>
          <w:rFonts w:ascii="Barlow Semi Condensed" w:cs="Barlow Semi Condensed" w:eastAsia="Barlow Semi Condensed" w:hAnsi="Barlow Semi Condensed"/>
          <w:b/>
          <w:bCs/>
          <w:sz w:val="24"/>
          <w:szCs w:val="24"/>
        </w:rPr>
        <w:t xml:space="preserve">620 · La smentita non è assoluzione.</w:t>
      </w:r>
      <w:r>
        <w:rPr>
          <w:rFonts w:ascii="Barlow Semi Condensed" w:cs="Barlow Semi Condensed" w:eastAsia="Barlow Semi Condensed" w:hAnsi="Barlow Semi Condensed"/>
          <w:sz w:val="24"/>
          <w:szCs w:val="24"/>
        </w:rPr>
        <w:t xml:space="preserve"> Simmetria da dichiarare, per non barare in nessuna delle due direzioni. Che l'interessato abbia negato non prova che il fatto non avvenne, come la testimonianza non prova che avvenne. Kissinger non fu mai sentito dai magistrati italiani e la richiesta informale del 1983 non ebbe seguito; nessuna sentenza definitiva ha attribuito ad autorità statunitensi responsabilità penali nel caso. Sono tre fatti distinti, e restano tali.</w:t>
      </w:r>
    </w:p>
    <w:p>
      <w:pPr>
        <w:spacing w:after="120" w:line="276"/>
        <w:jc w:val="both"/>
      </w:pPr>
      <w:r>
        <w:rPr>
          <w:rFonts w:ascii="Barlow Semi Condensed" w:cs="Barlow Semi Condensed" w:eastAsia="Barlow Semi Condensed" w:hAnsi="Barlow Semi Condensed"/>
          <w:b/>
          <w:bCs/>
          <w:sz w:val="24"/>
          <w:szCs w:val="24"/>
        </w:rPr>
        <w:t xml:space="preserve">621 · La leggenda come mappa dei vuoti.</w:t>
      </w:r>
      <w:r>
        <w:rPr>
          <w:rFonts w:ascii="Barlow Semi Condensed" w:cs="Barlow Semi Condensed" w:eastAsia="Barlow Semi Condensed" w:hAnsi="Barlow Semi Condensed"/>
          <w:sz w:val="24"/>
          <w:szCs w:val="24"/>
        </w:rPr>
        <w:t xml:space="preserve"> Un'ultima funzione, che è la ragione per cui non conviene cancellarla. Le leggende crescono dove l'archivio tace, e la loro geografia coincide con notevole precisione con quella degli Stati Zero già dichiarati. Censirle serve dunque a due cose insieme: sapere che cosa il pubblico crede, e sapere dove cercare — perché il vuoto che la leggenda riempie è quasi sempre un vuoto documentale reale.</w:t>
      </w:r>
    </w:p>
    <w:p>
      <w:pPr>
        <w:spacing w:after="120" w:line="276"/>
        <w:jc w:val="both"/>
      </w:pPr>
      <w:r>
        <w:rPr>
          <w:rFonts w:ascii="Barlow Semi Condensed" w:cs="Barlow Semi Condensed" w:eastAsia="Barlow Semi Condensed" w:hAnsi="Barlow Semi Condensed"/>
          <w:b/>
          <w:bCs/>
          <w:sz w:val="24"/>
          <w:szCs w:val="24"/>
        </w:rPr>
        <w:t xml:space="preserve">622 · Si corregge annotando, non riscrivendo.</w:t>
      </w:r>
      <w:r>
        <w:rPr>
          <w:rFonts w:ascii="Barlow Semi Condensed" w:cs="Barlow Semi Condensed" w:eastAsia="Barlow Semi Condensed" w:hAnsi="Barlow Semi Condensed"/>
          <w:sz w:val="24"/>
          <w:szCs w:val="24"/>
        </w:rPr>
        <w:t xml:space="preserve"> La regola editoriale del corpus, dichiarata e già praticata: il testo originario resta leggibile e la correzione gli si affianca. Non si riscrive, perché la riscrittura cancella la storia dell'errore e con essa la possibilità di misurarne il tasso. Un'opera che si corregge in silenzio chiede al proprio lettore la stessa fiducia cieca che dichiara di voler combattere nella pubblicistica altrui.</w:t>
      </w:r>
    </w:p>
    <w:p>
      <w:pPr>
        <w:spacing w:after="120" w:line="276"/>
        <w:jc w:val="both"/>
      </w:pPr>
      <w:r>
        <w:rPr>
          <w:rFonts w:ascii="Barlow Semi Condensed" w:cs="Barlow Semi Condensed" w:eastAsia="Barlow Semi Condensed" w:hAnsi="Barlow Semi Condensed"/>
          <w:b/>
          <w:bCs/>
          <w:sz w:val="24"/>
          <w:szCs w:val="24"/>
        </w:rPr>
        <w:t xml:space="preserve">623 · I due precedenti del corpus.</w:t>
      </w:r>
      <w:r>
        <w:rPr>
          <w:rFonts w:ascii="Barlow Semi Condensed" w:cs="Barlow Semi Condensed" w:eastAsia="Barlow Semi Condensed" w:hAnsi="Barlow Semi Condensed"/>
          <w:sz w:val="24"/>
          <w:szCs w:val="24"/>
        </w:rPr>
        <w:t xml:space="preserve"> Il corpus ha due note di revisione, e valgono come precedenti vincolanti. La prima riguarda la circostanza del parabrezza infranto in via Fani, ritrattata davanti ai consulenti della Commissione: la matrice è stata lasciata com'era, con la nota che ne dichiara la riga non più diagnostica. La seconda porta sette precisazioni al nodo M-5 senza riscriverne una riga. Nessuna delle due ha cancellato ciò che correggeva.</w:t>
      </w:r>
    </w:p>
    <w:p>
      <w:pPr>
        <w:spacing w:after="120" w:line="276"/>
        <w:jc w:val="both"/>
      </w:pPr>
      <w:r>
        <w:rPr>
          <w:rFonts w:ascii="Barlow Semi Condensed" w:cs="Barlow Semi Condensed" w:eastAsia="Barlow Semi Condensed" w:hAnsi="Barlow Semi Condensed"/>
          <w:b/>
          <w:bCs/>
          <w:sz w:val="24"/>
          <w:szCs w:val="24"/>
        </w:rPr>
        <w:t xml:space="preserve">624 · La forma della nota.</w:t>
      </w:r>
      <w:r>
        <w:rPr>
          <w:rFonts w:ascii="Barlow Semi Condensed" w:cs="Barlow Semi Condensed" w:eastAsia="Barlow Semi Condensed" w:hAnsi="Barlow Semi Condensed"/>
          <w:sz w:val="24"/>
          <w:szCs w:val="24"/>
        </w:rPr>
        <w:t xml:space="preserve"> Il formato minimo di ogni correzione, che vale come modulo obbligatorio: la lezione originaria per esteso, la lezione corretta, la fonte della correzione, la data, la ragione dell'intervento. Le correzioni applicate al corpus Guevara seguono già questo schema. Senza la lezione originaria la nota non è verificabile; senza la ragione è un'imposizione; senza la data non è collocabile nell'albero delle revisioni successive.</w:t>
      </w:r>
    </w:p>
    <w:p>
      <w:pPr>
        <w:spacing w:after="120" w:line="276"/>
        <w:jc w:val="both"/>
      </w:pPr>
      <w:r>
        <w:rPr>
          <w:rFonts w:ascii="Barlow Semi Condensed" w:cs="Barlow Semi Condensed" w:eastAsia="Barlow Semi Condensed" w:hAnsi="Barlow Semi Condensed"/>
          <w:b/>
          <w:bCs/>
          <w:sz w:val="24"/>
          <w:szCs w:val="24"/>
        </w:rPr>
        <w:t xml:space="preserve">625 · La correzione nei due sensi.</w:t>
      </w:r>
      <w:r>
        <w:rPr>
          <w:rFonts w:ascii="Barlow Semi Condensed" w:cs="Barlow Semi Condensed" w:eastAsia="Barlow Semi Condensed" w:hAnsi="Barlow Semi Condensed"/>
          <w:sz w:val="24"/>
          <w:szCs w:val="24"/>
        </w:rPr>
        <w:t xml:space="preserve"> La seconda campagna della Farnesina registra il fatto che rende credibile l'intero apparato: in alcuni punti la correzione è andata dal corpus verso i documenti nuovi — il traghettamento libico dell'ottobre 1970, il bilaterale Moro-Brandt del 1969 — e in altri dai nuovi verso il corpus, come la morte di un militante tedesco riportata all'11 settembre 1978 e accertata al 6. Un apparato che corregge solo in entrata è una difesa, non uno strumento.</w:t>
      </w:r>
    </w:p>
    <w:p>
      <w:pPr>
        <w:spacing w:after="120" w:line="276"/>
        <w:jc w:val="both"/>
      </w:pPr>
      <w:r>
        <w:rPr>
          <w:rFonts w:ascii="Barlow Semi Condensed" w:cs="Barlow Semi Condensed" w:eastAsia="Barlow Semi Condensed" w:hAnsi="Barlow Semi Condensed"/>
          <w:b/>
          <w:bCs/>
          <w:sz w:val="24"/>
          <w:szCs w:val="24"/>
        </w:rPr>
        <w:t xml:space="preserve">626 · Il tasso d'errore dichiarato.</w:t>
      </w:r>
      <w:r>
        <w:rPr>
          <w:rFonts w:ascii="Barlow Semi Condensed" w:cs="Barlow Semi Condensed" w:eastAsia="Barlow Semi Condensed" w:hAnsi="Barlow Semi Condensed"/>
          <w:sz w:val="24"/>
          <w:szCs w:val="24"/>
        </w:rPr>
        <w:t xml:space="preserve"> Il blocco 372 del manuale investigativo prescrive che ogni processo di massa misuri e pubblichi il proprio tasso d'errore su campione verificato. La serie estende l'obbligo alla trascrizione delle citazioni: doppio spoglio indipendente su campione fisso, secondo la regola del blocco 20 dell'agenda, e pubblicazione dello scarto misurato. Un corpus che non conosce il proprio tasso d'errore può correggersi per caso, non per metodo.</w:t>
      </w:r>
    </w:p>
    <w:p>
      <w:pPr>
        <w:spacing w:after="120" w:line="276"/>
        <w:jc w:val="both"/>
      </w:pPr>
      <w:r>
        <w:rPr>
          <w:rFonts w:ascii="Barlow Semi Condensed" w:cs="Barlow Semi Condensed" w:eastAsia="Barlow Semi Condensed" w:hAnsi="Barlow Semi Condensed"/>
          <w:b/>
          <w:bCs/>
          <w:sz w:val="24"/>
          <w:szCs w:val="24"/>
        </w:rPr>
        <w:t xml:space="preserve">627 · Cercare l'errore in casa.</w:t>
      </w:r>
      <w:r>
        <w:rPr>
          <w:rFonts w:ascii="Barlow Semi Condensed" w:cs="Barlow Semi Condensed" w:eastAsia="Barlow Semi Condensed" w:hAnsi="Barlow Semi Condensed"/>
          <w:sz w:val="24"/>
          <w:szCs w:val="24"/>
        </w:rPr>
        <w:t xml:space="preserve"> Il blocco 231 dell'agenda impone l'atto più scomodo: cercare attivamente l'errore nelle proprie schede — date, attribuzioni, gradi — e correggere per nota, mai per riscrittura. La serie aggiunge il criterio di successo che ne discende: le note di revisione future si contano fra i risultati e non fra le sconfitte. Un'opera che non ne produce nessuna non è esatta; è soltanto poco esaminata da chi la scrive.</w:t>
      </w:r>
    </w:p>
    <w:p>
      <w:pPr>
        <w:spacing w:after="120" w:line="276"/>
        <w:jc w:val="both"/>
      </w:pPr>
      <w:r>
        <w:rPr>
          <w:rFonts w:ascii="Barlow Semi Condensed" w:cs="Barlow Semi Condensed" w:eastAsia="Barlow Semi Condensed" w:hAnsi="Barlow Semi Condensed"/>
          <w:b/>
          <w:bCs/>
          <w:sz w:val="24"/>
          <w:szCs w:val="24"/>
        </w:rPr>
        <w:t xml:space="preserve">628 · L'identificativo che non muta.</w:t>
      </w:r>
      <w:r>
        <w:rPr>
          <w:rFonts w:ascii="Barlow Semi Condensed" w:cs="Barlow Semi Condensed" w:eastAsia="Barlow Semi Condensed" w:hAnsi="Barlow Semi Condensed"/>
          <w:sz w:val="24"/>
          <w:szCs w:val="24"/>
        </w:rPr>
        <w:t xml:space="preserve"> Il blocco 303 del manuale assegna a ogni oggetto del caso un identificativo destinato a non cambiare mai. Applicato alle correzioni produce l'effetto che serve qui: la nota di revisione punta a un identificativo e non a un numero di pagina, e resta agganciata al proprio bersaglio attraverso ogni riedizione. È la sola difesa contro la correzione che si stacca dal testo corretto e va perduta.</w:t>
      </w:r>
    </w:p>
    <w:p>
      <w:pPr>
        <w:spacing w:after="120" w:line="276"/>
        <w:jc w:val="both"/>
      </w:pPr>
      <w:r>
        <w:rPr>
          <w:rFonts w:ascii="Barlow Semi Condensed" w:cs="Barlow Semi Condensed" w:eastAsia="Barlow Semi Condensed" w:hAnsi="Barlow Semi Condensed"/>
          <w:b/>
          <w:bCs/>
          <w:sz w:val="24"/>
          <w:szCs w:val="24"/>
        </w:rPr>
        <w:t xml:space="preserve">629 · L'errore di questa stessa opera.</w:t>
      </w:r>
      <w:r>
        <w:rPr>
          <w:rFonts w:ascii="Barlow Semi Condensed" w:cs="Barlow Semi Condensed" w:eastAsia="Barlow Semi Condensed" w:hAnsi="Barlow Semi Condensed"/>
          <w:sz w:val="24"/>
          <w:szCs w:val="24"/>
        </w:rPr>
        <w:t xml:space="preserve"> Il criterio si applica per primo a chi lo scrive. Il frontespizio di quest'opera è stato riscritto due volte dalla propria campagna di verifica: la mutazione onomastica, che vi si dava compiuta all'emigrazione del 1938 e che il fascicolo d'immigrazione sposta al 1942-1943; e il verbale del 25 settembre 1974, che vi si dava per contenente la frase e non la contiene. Due errori trovati in casa, corretti per nota: è il tasso d'errore dichiarato di queste pagine.</w:t>
      </w:r>
    </w:p>
    <w:p>
      <w:pPr>
        <w:spacing w:after="120" w:line="276"/>
        <w:jc w:val="both"/>
      </w:pPr>
      <w:r>
        <w:rPr>
          <w:rFonts w:ascii="Barlow Semi Condensed" w:cs="Barlow Semi Condensed" w:eastAsia="Barlow Semi Condensed" w:hAnsi="Barlow Semi Condensed"/>
          <w:b/>
          <w:bCs/>
          <w:sz w:val="24"/>
          <w:szCs w:val="24"/>
        </w:rPr>
        <w:t xml:space="preserve">630 · La fedeltà non è immobilità.</w:t>
      </w:r>
      <w:r>
        <w:rPr>
          <w:rFonts w:ascii="Barlow Semi Condensed" w:cs="Barlow Semi Condensed" w:eastAsia="Barlow Semi Condensed" w:hAnsi="Barlow Semi Condensed"/>
          <w:sz w:val="24"/>
          <w:szCs w:val="24"/>
        </w:rPr>
        <w:t xml:space="preserve"> La lente si chiude dove ha cominciato. Un genoma non si conserva restando fermo: si conserva perché esistono meccanismi che leggono, confrontano e riparano, e perché una quota d'errore residua resta e viene misurata. Un corpus storico funziona allo stesso modo. Questa serie non ha aggiunto un fatto al caso: ha aggiunto la manutenzione — e senza manutenzione ogni archivio, col tempo, diventa una leggenda.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nona — Il DNA non codificante: gli archivi muti</w:t>
      </w:r>
    </w:p>
    <w:p>
      <w:pPr>
        <w:spacing w:after="120" w:line="276"/>
        <w:jc w:val="both"/>
      </w:pPr>
      <w:r>
        <w:rPr>
          <w:rFonts w:ascii="Barlow Semi Condensed" w:cs="Barlow Semi Condensed" w:eastAsia="Barlow Semi Condensed" w:hAnsi="Barlow Semi Condensed"/>
          <w:i/>
          <w:iCs/>
          <w:sz w:val="24"/>
          <w:szCs w:val="24"/>
        </w:rPr>
        <w:t xml:space="preserve">Blocchi 631-715.</w:t>
      </w:r>
    </w:p>
    <w:p>
      <w:pPr>
        <w:spacing w:after="120" w:line="276"/>
        <w:jc w:val="both"/>
      </w:pPr>
      <w:r>
        <w:rPr>
          <w:rFonts w:ascii="Barlow Semi Condensed" w:cs="Barlow Semi Condensed" w:eastAsia="Barlow Semi Condensed" w:hAnsi="Barlow Semi Condensed"/>
          <w:b/>
          <w:bCs/>
          <w:sz w:val="24"/>
          <w:szCs w:val="24"/>
        </w:rPr>
        <w:t xml:space="preserve">631 · Statuto della nona serie.</w:t>
      </w:r>
      <w:r>
        <w:rPr>
          <w:rFonts w:ascii="Barlow Semi Condensed" w:cs="Barlow Semi Condensed" w:eastAsia="Barlow Semi Condensed" w:hAnsi="Barlow Semi Condensed"/>
          <w:sz w:val="24"/>
          <w:szCs w:val="24"/>
        </w:rPr>
        <w:t xml:space="preserve"> Questa serie tratta il materiale che non parla: gli archivi muti, i fascicoli assenti, le serie che non nominano l'oggetto della ricerca. Ogni blocco è un bersaglio con la sede che lo chiuderebbe, una regola di lettura del silenzio o uno Stato Zero verbalizzato. Nessun blocco afferma un fatto nuovo: la serie lavora sul perimetro negativo, che il corpus considera acquisizione di pieno valore quanto il positivo.</w:t>
      </w:r>
    </w:p>
    <w:p>
      <w:pPr>
        <w:spacing w:after="120" w:line="276"/>
        <w:jc w:val="both"/>
      </w:pPr>
      <w:r>
        <w:rPr>
          <w:rFonts w:ascii="Barlow Semi Condensed" w:cs="Barlow Semi Condensed" w:eastAsia="Barlow Semi Condensed" w:hAnsi="Barlow Semi Condensed"/>
          <w:b/>
          <w:bCs/>
          <w:sz w:val="24"/>
          <w:szCs w:val="24"/>
        </w:rPr>
        <w:t xml:space="preserve">632 · Il non codificante, e un errore di lettura.</w:t>
      </w:r>
      <w:r>
        <w:rPr>
          <w:rFonts w:ascii="Barlow Semi Condensed" w:cs="Barlow Semi Condensed" w:eastAsia="Barlow Semi Condensed" w:hAnsi="Barlow Semi Condensed"/>
          <w:sz w:val="24"/>
          <w:szCs w:val="24"/>
        </w:rPr>
        <w:t xml:space="preserve"> La biologia chiamò a lungo spazzatura la porzione di genoma che non produce proteine, salvo scoprire che vi risiedono funzioni regolative: promotori, sequenze che accendono e spengono. L'errore non fu misurare il silenzio, fu dedurne l'inutilità. La lezione che quest'opera trattiene è una sola: il materiale che non esprime non è per ciò stesso privo di informazione. Non ne discende che esprima qualcos'altro in codice.</w:t>
      </w:r>
    </w:p>
    <w:p>
      <w:pPr>
        <w:spacing w:after="120" w:line="276"/>
        <w:jc w:val="both"/>
      </w:pPr>
      <w:r>
        <w:rPr>
          <w:rFonts w:ascii="Barlow Semi Condensed" w:cs="Barlow Semi Condensed" w:eastAsia="Barlow Semi Condensed" w:hAnsi="Barlow Semi Condensed"/>
          <w:b/>
          <w:bCs/>
          <w:sz w:val="24"/>
          <w:szCs w:val="24"/>
        </w:rPr>
        <w:t xml:space="preserve">633 · La traduzione archivistica del muto.</w:t>
      </w:r>
      <w:r>
        <w:rPr>
          <w:rFonts w:ascii="Barlow Semi Condensed" w:cs="Barlow Semi Condensed" w:eastAsia="Barlow Semi Condensed" w:hAnsi="Barlow Semi Condensed"/>
          <w:sz w:val="24"/>
          <w:szCs w:val="24"/>
        </w:rPr>
        <w:t xml:space="preserve"> Nel corpus il non codificante è il materiale che un archivio conserva senza che dica nulla sul quesito: ordini del giorno, note di trasmissione, elenchi di presenze, protocolli di cortesia, il retro di una scheda. Si conserva perché documenta la struttura — chi scriveva a chi, con quale cadenza, in quale forma — e non si legge come se parlasse. La maggior parte davvero non dice nulla, ed è la regola, non l'eccezione.</w:t>
      </w:r>
    </w:p>
    <w:p>
      <w:pPr>
        <w:spacing w:after="120" w:line="276"/>
        <w:jc w:val="both"/>
      </w:pPr>
      <w:r>
        <w:rPr>
          <w:rFonts w:ascii="Barlow Semi Condensed" w:cs="Barlow Semi Condensed" w:eastAsia="Barlow Semi Condensed" w:hAnsi="Barlow Semi Condensed"/>
          <w:b/>
          <w:bCs/>
          <w:sz w:val="24"/>
          <w:szCs w:val="24"/>
        </w:rPr>
        <w:t xml:space="preserve">634 · Dove questa metafora va fermata.</w:t>
      </w:r>
      <w:r>
        <w:rPr>
          <w:rFonts w:ascii="Barlow Semi Condensed" w:cs="Barlow Semi Condensed" w:eastAsia="Barlow Semi Condensed" w:hAnsi="Barlow Semi Condensed"/>
          <w:sz w:val="24"/>
          <w:szCs w:val="24"/>
        </w:rPr>
        <w:t xml:space="preserve"> La biologia ha scoperto funzioni regolative in una parte del non codificante, non in tutto. Trasferire la scoperta all'archivio produrrebbe l'inferenza vietata: che ogni silenzio regoli, che ogni assenza significhi. È il vizio dell'immunizzazione applicato ai vuoti. La lente autorizza a guardare il materiale muto; non autorizza a farlo parlare. Dove spinge in quella direzione, cede la metafora e resta il documento.</w:t>
      </w:r>
    </w:p>
    <w:p>
      <w:pPr>
        <w:spacing w:after="120" w:line="276"/>
        <w:jc w:val="both"/>
      </w:pPr>
      <w:r>
        <w:rPr>
          <w:rFonts w:ascii="Barlow Semi Condensed" w:cs="Barlow Semi Condensed" w:eastAsia="Barlow Semi Condensed" w:hAnsi="Barlow Semi Condensed"/>
          <w:b/>
          <w:bCs/>
          <w:sz w:val="24"/>
          <w:szCs w:val="24"/>
        </w:rPr>
        <w:t xml:space="preserve">635 · Due specie di silenzio, da non confondere.</w:t>
      </w:r>
      <w:r>
        <w:rPr>
          <w:rFonts w:ascii="Barlow Semi Condensed" w:cs="Barlow Semi Condensed" w:eastAsia="Barlow Semi Condensed" w:hAnsi="Barlow Semi Condensed"/>
          <w:sz w:val="24"/>
          <w:szCs w:val="24"/>
        </w:rPr>
        <w:t xml:space="preserve"> Il primo silenzio è quello del documento che esiste e non tratta il quesito: è un dato sul documento. Il secondo è quello del documento che non risulta esistere: è un dato sulla ricerca. Confonderli è l'errore più frequente della pubblicistica, perché il primo si constata leggendo e il secondo solo cercando, con un perimetro dichiarato. I due esiti hanno gradi diversi e verbali diversi, e non si sommano.</w:t>
      </w:r>
    </w:p>
    <w:p>
      <w:pPr>
        <w:spacing w:after="120" w:line="276"/>
        <w:jc w:val="both"/>
      </w:pPr>
      <w:r>
        <w:rPr>
          <w:rFonts w:ascii="Barlow Semi Condensed" w:cs="Barlow Semi Condensed" w:eastAsia="Barlow Semi Condensed" w:hAnsi="Barlow Semi Condensed"/>
          <w:b/>
          <w:bCs/>
          <w:sz w:val="24"/>
          <w:szCs w:val="24"/>
        </w:rPr>
        <w:t xml:space="preserve">636 · Il silenzio d'archivio non è prova.</w:t>
      </w:r>
      <w:r>
        <w:rPr>
          <w:rFonts w:ascii="Barlow Semi Condensed" w:cs="Barlow Semi Condensed" w:eastAsia="Barlow Semi Condensed" w:hAnsi="Barlow Semi Condensed"/>
          <w:sz w:val="24"/>
          <w:szCs w:val="24"/>
        </w:rPr>
        <w:t xml:space="preserve"> Regola di lettura, vincolante per l'intera serie. Che un fondo non contenga un documento non prova che il fatto non sia avvenuto, né che sia avvenuto e sia stato occultato. Prova che quel fondo, come inventariato e come consultato, non lo contiene. Ogni proposizione più ampia richiede un'evidenza propria. Vale in entrambe le direzioni, e la seconda è quella che il corpus deve sorvegliare di più, perché è quella che seduce.</w:t>
      </w:r>
    </w:p>
    <w:p>
      <w:pPr>
        <w:spacing w:after="120" w:line="276"/>
        <w:jc w:val="both"/>
      </w:pPr>
      <w:r>
        <w:rPr>
          <w:rFonts w:ascii="Barlow Semi Condensed" w:cs="Barlow Semi Condensed" w:eastAsia="Barlow Semi Condensed" w:hAnsi="Barlow Semi Condensed"/>
          <w:b/>
          <w:bCs/>
          <w:sz w:val="24"/>
          <w:szCs w:val="24"/>
        </w:rPr>
        <w:t xml:space="preserve">637 · L'argomento dal silenzio, e la sua condizione.</w:t>
      </w:r>
      <w:r>
        <w:rPr>
          <w:rFonts w:ascii="Barlow Semi Condensed" w:cs="Barlow Semi Condensed" w:eastAsia="Barlow Semi Condensed" w:hAnsi="Barlow Semi Condensed"/>
          <w:sz w:val="24"/>
          <w:szCs w:val="24"/>
        </w:rPr>
        <w:t xml:space="preserve"> L'inferenza dal silenzio è lecita a una sola condizione, ed è misurabile: che l'archivio interrogato sia quello dove il documento, se esistesse, dovrebbe trovarsi per prassi di quell'amministrazione. Fuori da questa condizione l'assenza non è indizio ma rumore. La condizione va enunciata prima della ricerca, non dopo l'esito, perché formulata dopo si adatta sempre al risultato ottenuto.</w:t>
      </w:r>
    </w:p>
    <w:p>
      <w:pPr>
        <w:spacing w:after="120" w:line="276"/>
        <w:jc w:val="both"/>
      </w:pPr>
      <w:r>
        <w:rPr>
          <w:rFonts w:ascii="Barlow Semi Condensed" w:cs="Barlow Semi Condensed" w:eastAsia="Barlow Semi Condensed" w:hAnsi="Barlow Semi Condensed"/>
          <w:b/>
          <w:bCs/>
          <w:sz w:val="24"/>
          <w:szCs w:val="24"/>
        </w:rPr>
        <w:t xml:space="preserve">638 · Lo Stato Zero come acquisizione piena.</w:t>
      </w:r>
      <w:r>
        <w:rPr>
          <w:rFonts w:ascii="Barlow Semi Condensed" w:cs="Barlow Semi Condensed" w:eastAsia="Barlow Semi Condensed" w:hAnsi="Barlow Semi Condensed"/>
          <w:sz w:val="24"/>
          <w:szCs w:val="24"/>
        </w:rPr>
        <w:t xml:space="preserve"> Il corpus lo ha stabilito nella fase sesta dell'opera-madre: il perimetro negativo vale quanto la mappa dei pieni, e un'assenza taciuta è menzogna per omissione. Dire che allo stato non esiste alcun documento che provi una data proposizione è affermazione sul mondo, non reticenza. La serie eredita l'istituto e vi aggiunge la sola cosa che gli mancava alla scala di questa triangolazione: le sedi americane.</w:t>
      </w:r>
    </w:p>
    <w:p>
      <w:pPr>
        <w:spacing w:after="120" w:line="276"/>
        <w:jc w:val="both"/>
      </w:pPr>
      <w:r>
        <w:rPr>
          <w:rFonts w:ascii="Barlow Semi Condensed" w:cs="Barlow Semi Condensed" w:eastAsia="Barlow Semi Condensed" w:hAnsi="Barlow Semi Condensed"/>
          <w:b/>
          <w:bCs/>
          <w:sz w:val="24"/>
          <w:szCs w:val="24"/>
        </w:rPr>
        <w:t xml:space="preserve">639 · Il divieto di riempire il buco.</w:t>
      </w:r>
      <w:r>
        <w:rPr>
          <w:rFonts w:ascii="Barlow Semi Condensed" w:cs="Barlow Semi Condensed" w:eastAsia="Barlow Semi Condensed" w:hAnsi="Barlow Semi Condensed"/>
          <w:sz w:val="24"/>
          <w:szCs w:val="24"/>
        </w:rPr>
        <w:t xml:space="preserve"> Il manuale investigativo lo censisce al blocco 259 come errore del buco riempito: ogni lacuna documentale colmata con la narrazione più suggestiva. L'antidoto è la regola dei buchi — si misura, si dichiara, si cerca l'arco documentale — e la constatazione che ne è il cuore: il buco non parla. Questa serie applica il divieto al nodo su cui la tentazione combinatoria è massima, ed è la ragione per cui esiste.</w:t>
      </w:r>
    </w:p>
    <w:p>
      <w:pPr>
        <w:spacing w:after="120" w:line="276"/>
        <w:jc w:val="both"/>
      </w:pPr>
      <w:r>
        <w:rPr>
          <w:rFonts w:ascii="Barlow Semi Condensed" w:cs="Barlow Semi Condensed" w:eastAsia="Barlow Semi Condensed" w:hAnsi="Barlow Semi Condensed"/>
          <w:b/>
          <w:bCs/>
          <w:sz w:val="24"/>
          <w:szCs w:val="24"/>
        </w:rPr>
        <w:t xml:space="preserve">640 · Come una congettura diventa dato.</w:t>
      </w:r>
      <w:r>
        <w:rPr>
          <w:rFonts w:ascii="Barlow Semi Condensed" w:cs="Barlow Semi Condensed" w:eastAsia="Barlow Semi Condensed" w:hAnsi="Barlow Semi Condensed"/>
          <w:sz w:val="24"/>
          <w:szCs w:val="24"/>
        </w:rPr>
        <w:t xml:space="preserve"> Il meccanismo è noto e ha tre tempi. Primo, un vuoto viene colmato con un'ipotesi verosimile. Secondo, l'ipotesi viene ripetuta senza la clausola che la qualificava. Terzo, la ripetizione viene scambiata per pluralità di fonti. Alla fine si cita come acquisito ciò che nessuno ha mai documentato. La contromisura è procedurale: ogni congettura porta la propria etichetta di grado in ogni ripresa,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641 · La regola dei buchi, primo tempo.</w:t>
      </w:r>
      <w:r>
        <w:rPr>
          <w:rFonts w:ascii="Barlow Semi Condensed" w:cs="Barlow Semi Condensed" w:eastAsia="Barlow Semi Condensed" w:hAnsi="Barlow Semi Condensed"/>
          <w:sz w:val="24"/>
          <w:szCs w:val="24"/>
        </w:rPr>
        <w:t xml:space="preserve"> Il corpus la possiede dal documento di metodo: nel grafo dei legami documentati i buchi non sono difetti da riempire, sono il risultato. Ogni buco strutturale è una congettura possibile e non provata, e resta tale finché un documento non diventi arco. La dietrologia riempie i buchi con la narrazione; il corpus li misura e li dichiara. È la prima metà della disciplina, e da sola non basta.</w:t>
      </w:r>
    </w:p>
    <w:p>
      <w:pPr>
        <w:spacing w:after="120" w:line="276"/>
        <w:jc w:val="both"/>
      </w:pPr>
      <w:r>
        <w:rPr>
          <w:rFonts w:ascii="Barlow Semi Condensed" w:cs="Barlow Semi Condensed" w:eastAsia="Barlow Semi Condensed" w:hAnsi="Barlow Semi Condensed"/>
          <w:b/>
          <w:bCs/>
          <w:sz w:val="24"/>
          <w:szCs w:val="24"/>
        </w:rPr>
        <w:t xml:space="preserve">642 · Il secondo tempo, e la sua origine.</w:t>
      </w:r>
      <w:r>
        <w:rPr>
          <w:rFonts w:ascii="Barlow Semi Condensed" w:cs="Barlow Semi Condensed" w:eastAsia="Barlow Semi Condensed" w:hAnsi="Barlow Semi Condensed"/>
          <w:sz w:val="24"/>
          <w:szCs w:val="24"/>
        </w:rPr>
        <w:t xml:space="preserve"> La seconda metà è arrivata con la triangolazione della seconda campagna: un basso rapporto di associazione fra due domini non è indizio di assenza di rapporti, è indizio che nessuno ha scritto un documento che li tratti insieme. Ne discende una procedura a due tempi prima di ogni interrogazione: si misura il buco e lo si dichiara, poi se ne diagnostica la causa nella specializzazione delle fonti. Saltare il secondo passaggio trasforma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643 · Il rapporto di co-occorrenza, definito.</w:t>
      </w:r>
      <w:r>
        <w:rPr>
          <w:rFonts w:ascii="Barlow Semi Condensed" w:cs="Barlow Semi Condensed" w:eastAsia="Barlow Semi Condensed" w:hAnsi="Barlow Semi Condensed"/>
          <w:sz w:val="24"/>
          <w:szCs w:val="24"/>
        </w:rPr>
        <w:t xml:space="preserve"> Si chiama così il rapporto fra il numero di documenti che nominano insieme due domini e il numero di quelli che ne nominano almeno uno. È una misura sulla letteratura e sugli archivi effettivamente spogliati, non sul mondo. Un valore basso dice che i due domini sono trattati da comunità di fonti diverse, con archivi diversi e curatori diversi. Dice cioè della specializzazione, prima che dei fatti.</w:t>
      </w:r>
    </w:p>
    <w:p>
      <w:pPr>
        <w:spacing w:after="120" w:line="276"/>
        <w:jc w:val="both"/>
      </w:pPr>
      <w:r>
        <w:rPr>
          <w:rFonts w:ascii="Barlow Semi Condensed" w:cs="Barlow Semi Condensed" w:eastAsia="Barlow Semi Condensed" w:hAnsi="Barlow Semi Condensed"/>
          <w:b/>
          <w:bCs/>
          <w:sz w:val="24"/>
          <w:szCs w:val="24"/>
        </w:rPr>
        <w:t xml:space="preserve">644 · Come si misura, e con quale denominatore.</w:t>
      </w:r>
      <w:r>
        <w:rPr>
          <w:rFonts w:ascii="Barlow Semi Condensed" w:cs="Barlow Semi Condensed" w:eastAsia="Barlow Semi Condensed" w:hAnsi="Barlow Semi Condensed"/>
          <w:sz w:val="24"/>
          <w:szCs w:val="24"/>
        </w:rPr>
        <w:t xml:space="preserve"> La misura vale quanto il perimetro dichiarato. Si enunciano prima: i corpora interrogati, le stringhe e le loro varianti, la finestra cronologica, il criterio di conteggio. Senza denominatore esplicito il numero non è confrontabile con nulla e serve solo a impressionare. La regola operativa della serie è che un rapporto di co-occorrenza si pubblica con la sua ricetta, oppure non si pubblica.</w:t>
      </w:r>
    </w:p>
    <w:p>
      <w:pPr>
        <w:spacing w:after="120" w:line="276"/>
        <w:jc w:val="both"/>
      </w:pPr>
      <w:r>
        <w:rPr>
          <w:rFonts w:ascii="Barlow Semi Condensed" w:cs="Barlow Semi Condensed" w:eastAsia="Barlow Semi Condensed" w:hAnsi="Barlow Semi Condensed"/>
          <w:b/>
          <w:bCs/>
          <w:sz w:val="24"/>
          <w:szCs w:val="24"/>
        </w:rPr>
        <w:t xml:space="preserve">645 · La stringa prima dell'archivio.</w:t>
      </w:r>
      <w:r>
        <w:rPr>
          <w:rFonts w:ascii="Barlow Semi Condensed" w:cs="Barlow Semi Condensed" w:eastAsia="Barlow Semi Condensed" w:hAnsi="Barlow Semi Condensed"/>
          <w:sz w:val="24"/>
          <w:szCs w:val="24"/>
        </w:rPr>
        <w:t xml:space="preserve"> Verificare la forma esatta del nome prima di interrogare un fondo non è pedanteria: l'archivio risponde a ciò che gli si chiede. Una variante plausibile produce un riscontro reale e del tutto estraneo, e un falso positivo danneggia più di un vuoto. La serie prescrive perciò che ogni ricerca dichiari le stringhe usate e le varianti escluse, comprese quelle prodotte dal riconoscimento ottico dei testi.</w:t>
      </w:r>
    </w:p>
    <w:p>
      <w:pPr>
        <w:spacing w:after="120" w:line="276"/>
        <w:jc w:val="both"/>
      </w:pPr>
      <w:r>
        <w:rPr>
          <w:rFonts w:ascii="Barlow Semi Condensed" w:cs="Barlow Semi Condensed" w:eastAsia="Barlow Semi Condensed" w:hAnsi="Barlow Semi Condensed"/>
          <w:b/>
          <w:bCs/>
          <w:sz w:val="24"/>
          <w:szCs w:val="24"/>
        </w:rPr>
        <w:t xml:space="preserve">646 · Lo zero della quadriga, misurato.</w:t>
      </w:r>
      <w:r>
        <w:rPr>
          <w:rFonts w:ascii="Barlow Semi Condensed" w:cs="Barlow Semi Condensed" w:eastAsia="Barlow Semi Condensed" w:hAnsi="Barlow Semi Condensed"/>
          <w:sz w:val="24"/>
          <w:szCs w:val="24"/>
        </w:rPr>
        <w:t xml:space="preserve"> Verifica meccanica già verbalizzata dalla prima serie: il nome di Henry Kissinger non compare in alcuno dei mille blocchi dei nove cantieri, dei quattrocento del manuale investigativo, dei trecento dell'agenda di ricerca. Zero occorrenze su millesettecento unità. È un buco strutturale misurato, e va letto col secondo tempo della regola: i cantieri furono costruiti su archivi che non lo trattano, e manca la colonna statunitense.</w:t>
      </w:r>
    </w:p>
    <w:p>
      <w:pPr>
        <w:spacing w:after="120" w:line="276"/>
        <w:jc w:val="both"/>
      </w:pPr>
      <w:r>
        <w:rPr>
          <w:rFonts w:ascii="Barlow Semi Condensed" w:cs="Barlow Semi Condensed" w:eastAsia="Barlow Semi Condensed" w:hAnsi="Barlow Semi Condensed"/>
          <w:b/>
          <w:bCs/>
          <w:sz w:val="24"/>
          <w:szCs w:val="24"/>
        </w:rPr>
        <w:t xml:space="preserve">647 · Che cosa quello zero non dice.</w:t>
      </w:r>
      <w:r>
        <w:rPr>
          <w:rFonts w:ascii="Barlow Semi Condensed" w:cs="Barlow Semi Condensed" w:eastAsia="Barlow Semi Condensed" w:hAnsi="Barlow Semi Condensed"/>
          <w:sz w:val="24"/>
          <w:szCs w:val="24"/>
        </w:rPr>
        <w:t xml:space="preserve"> Non dice che il nodo sia irrilevante per il caso, né che sia rilevante. Misura una scelta di costruzione: la quadriga fu progettata su Kew, La Courneuve, il Politisches Archiv, il versante vaticano e i giacimenti italiani, e su quelle colonne quel nome non ricorre per ufficio. Trasformare lo zero in un enunciato sul mondo sarebbe l'errore che questa serie esiste per rendere impossibile.</w:t>
      </w:r>
    </w:p>
    <w:p>
      <w:pPr>
        <w:spacing w:after="120" w:line="276"/>
        <w:jc w:val="both"/>
      </w:pPr>
      <w:r>
        <w:rPr>
          <w:rFonts w:ascii="Barlow Semi Condensed" w:cs="Barlow Semi Condensed" w:eastAsia="Barlow Semi Condensed" w:hAnsi="Barlow Semi Condensed"/>
          <w:b/>
          <w:bCs/>
          <w:sz w:val="24"/>
          <w:szCs w:val="24"/>
        </w:rPr>
        <w:t xml:space="preserve">648 · Il bersaglio che ne discende (serie IX).</w:t>
      </w:r>
      <w:r>
        <w:rPr>
          <w:rFonts w:ascii="Barlow Semi Condensed" w:cs="Barlow Semi Condensed" w:eastAsia="Barlow Semi Condensed" w:hAnsi="Barlow Semi Condensed"/>
          <w:sz w:val="24"/>
          <w:szCs w:val="24"/>
        </w:rPr>
        <w:t xml:space="preserve"> Aprire nella quadriga la colonna statunitense, con giacimento proprio e stato d'accesso per ciascuna sede: la serie FRUS 1969-1976, i Nixon Presidential Materials con gli NSC Files e i Country Files Italy ai National Archives di College Park, i National Security Adviser's Memoranda of Conversation alla Gerald R. Ford Presidential Library, la collezione Brzezinski alla Carter Library per il 1978.</w:t>
      </w:r>
    </w:p>
    <w:p>
      <w:pPr>
        <w:spacing w:after="120" w:line="276"/>
        <w:jc w:val="both"/>
      </w:pPr>
      <w:r>
        <w:rPr>
          <w:rFonts w:ascii="Barlow Semi Condensed" w:cs="Barlow Semi Condensed" w:eastAsia="Barlow Semi Condensed" w:hAnsi="Barlow Semi Condensed"/>
          <w:b/>
          <w:bCs/>
          <w:sz w:val="24"/>
          <w:szCs w:val="24"/>
        </w:rPr>
        <w:t xml:space="preserve">649 · Quando un vuoto diventa informativo.</w:t>
      </w:r>
      <w:r>
        <w:rPr>
          <w:rFonts w:ascii="Barlow Semi Condensed" w:cs="Barlow Semi Condensed" w:eastAsia="Barlow Semi Condensed" w:hAnsi="Barlow Semi Condensed"/>
          <w:sz w:val="24"/>
          <w:szCs w:val="24"/>
        </w:rPr>
        <w:t xml:space="preserve"> A una condizione sola, e va scritta: quando l'attesa di trovare era motivata da una prassi documentata. Se un'amministrazione verbalizzava per regola i colloqui di quel genere, l'assenza del verbale è un dato. Se non li verbalizzava, l'assenza non è nulla. Prima di leggere un vuoto si accerta dunque la prassi di redazione dell'ufficio: è lavoro di storia amministrativa, e viene prima dell'interpretazione.</w:t>
      </w:r>
    </w:p>
    <w:p>
      <w:pPr>
        <w:spacing w:after="120" w:line="276"/>
        <w:jc w:val="both"/>
      </w:pPr>
      <w:r>
        <w:rPr>
          <w:rFonts w:ascii="Barlow Semi Condensed" w:cs="Barlow Semi Condensed" w:eastAsia="Barlow Semi Condensed" w:hAnsi="Barlow Semi Condensed"/>
          <w:b/>
          <w:bCs/>
          <w:sz w:val="24"/>
          <w:szCs w:val="24"/>
        </w:rPr>
        <w:t xml:space="preserve">650 · Il calcolo dell'attesa, prima della ricerca.</w:t>
      </w:r>
      <w:r>
        <w:rPr>
          <w:rFonts w:ascii="Barlow Semi Condensed" w:cs="Barlow Semi Condensed" w:eastAsia="Barlow Semi Condensed" w:hAnsi="Barlow Semi Condensed"/>
          <w:sz w:val="24"/>
          <w:szCs w:val="24"/>
        </w:rPr>
        <w:t xml:space="preserve"> Si dichiari, prima di aprire il fondo, quanti documenti pertinenti ci si aspetta e perché. Se la ricerca ne restituisce meno, la differenza è misurabile; se non se ne aspettava nessuno, l'esito negativo non sposta niente e va detto. Formulare l'attesa dopo aver visto il risultato è la forma più diffusa di autoinganno archivistico, e non lascia traccia perché nessuno la verbalizza.</w:t>
      </w:r>
    </w:p>
    <w:p>
      <w:pPr>
        <w:spacing w:after="120" w:line="276"/>
        <w:jc w:val="both"/>
      </w:pPr>
      <w:r>
        <w:rPr>
          <w:rFonts w:ascii="Barlow Semi Condensed" w:cs="Barlow Semi Condensed" w:eastAsia="Barlow Semi Condensed" w:hAnsi="Barlow Semi Condensed"/>
          <w:b/>
          <w:bCs/>
          <w:sz w:val="24"/>
          <w:szCs w:val="24"/>
        </w:rPr>
        <w:t xml:space="preserve">651 · Il verbale di vuoto, le sue voci.</w:t>
      </w:r>
      <w:r>
        <w:rPr>
          <w:rFonts w:ascii="Barlow Semi Condensed" w:cs="Barlow Semi Condensed" w:eastAsia="Barlow Semi Condensed" w:hAnsi="Barlow Semi Condensed"/>
          <w:sz w:val="24"/>
          <w:szCs w:val="24"/>
        </w:rPr>
        <w:t xml:space="preserve"> Il blocco 285 dell'agenda lo impone: l'esito negativo si verbalizza con lo stesso rigore del positivo — che cosa è stato cercato, dove, quando, da chi, con quale perimetro. Il blocco 233 aggiunge la formula che ne è la ragione: il buco misurato è conoscenza, il buco narrato è romanzo. La serie assume entrambi come modulo obbligatorio di ogni proprio esito negativo.</w:t>
      </w:r>
    </w:p>
    <w:p>
      <w:pPr>
        <w:spacing w:after="120" w:line="276"/>
        <w:jc w:val="both"/>
      </w:pPr>
      <w:r>
        <w:rPr>
          <w:rFonts w:ascii="Barlow Semi Condensed" w:cs="Barlow Semi Condensed" w:eastAsia="Barlow Semi Condensed" w:hAnsi="Barlow Semi Condensed"/>
          <w:b/>
          <w:bCs/>
          <w:sz w:val="24"/>
          <w:szCs w:val="24"/>
        </w:rPr>
        <w:t xml:space="preserve">652 · Le varianti della stringa, elencate.</w:t>
      </w:r>
      <w:r>
        <w:rPr>
          <w:rFonts w:ascii="Barlow Semi Condensed" w:cs="Barlow Semi Condensed" w:eastAsia="Barlow Semi Condensed" w:hAnsi="Barlow Semi Condensed"/>
          <w:sz w:val="24"/>
          <w:szCs w:val="24"/>
        </w:rPr>
        <w:t xml:space="preserve"> Il verbale registra le forme cercate e quelle escluse: cognome solo, cognome con iniziale, forme translitterate, errori di riconoscimento ottico frequenti nella serie interrogata. Un fondo digitalizzato male restituisce un vuoto che non esiste. Dichiarare le varianti consente a un terzo di ripetere la ricerca esattamente, che è l'unico modo perché un esito negativo sia falsificabile.</w:t>
      </w:r>
    </w:p>
    <w:p>
      <w:pPr>
        <w:spacing w:after="120" w:line="276"/>
        <w:jc w:val="both"/>
      </w:pPr>
      <w:r>
        <w:rPr>
          <w:rFonts w:ascii="Barlow Semi Condensed" w:cs="Barlow Semi Condensed" w:eastAsia="Barlow Semi Condensed" w:hAnsi="Barlow Semi Condensed"/>
          <w:b/>
          <w:bCs/>
          <w:sz w:val="24"/>
          <w:szCs w:val="24"/>
        </w:rPr>
        <w:t xml:space="preserve">653 · Il perimetro cronologico dichiarato.</w:t>
      </w:r>
      <w:r>
        <w:rPr>
          <w:rFonts w:ascii="Barlow Semi Condensed" w:cs="Barlow Semi Condensed" w:eastAsia="Barlow Semi Condensed" w:hAnsi="Barlow Semi Condensed"/>
          <w:sz w:val="24"/>
          <w:szCs w:val="24"/>
        </w:rPr>
        <w:t xml:space="preserve"> Ogni verbale di vuoto porta la sua finestra: dal giorno al giorno, con la ragione della scelta. Una ricerca condotta sul solo settembre 1974 e una condotta sull'intero biennio non producono lo stesso esito negativo, e presentarle come equivalenti falsa il risultato. La finestra si giustifica in una riga, e la riga entra nel verbale accanto all'esito.</w:t>
      </w:r>
    </w:p>
    <w:p>
      <w:pPr>
        <w:spacing w:after="120" w:line="276"/>
        <w:jc w:val="both"/>
      </w:pPr>
      <w:r>
        <w:rPr>
          <w:rFonts w:ascii="Barlow Semi Condensed" w:cs="Barlow Semi Condensed" w:eastAsia="Barlow Semi Condensed" w:hAnsi="Barlow Semi Condensed"/>
          <w:b/>
          <w:bCs/>
          <w:sz w:val="24"/>
          <w:szCs w:val="24"/>
        </w:rPr>
        <w:t xml:space="preserve">654 · Il perimetro seriale, e il suo costo.</w:t>
      </w:r>
      <w:r>
        <w:rPr>
          <w:rFonts w:ascii="Barlow Semi Condensed" w:cs="Barlow Semi Condensed" w:eastAsia="Barlow Semi Condensed" w:hAnsi="Barlow Semi Condensed"/>
          <w:sz w:val="24"/>
          <w:szCs w:val="24"/>
        </w:rPr>
        <w:t xml:space="preserve"> Accanto alla finestra sta l'elenco delle serie effettivamente aperte: fondo, serie, buste o faldoni, con l'indicazione di quanto è stato consultato rispetto a quanto esiste. Un vuoto su tre buste di duecento non è uno Stato Zero: è un campione. La differenza fra campione ed esaustività va scritta, perché è la differenza fra una notizia e un'acquisizione.</w:t>
      </w:r>
    </w:p>
    <w:p>
      <w:pPr>
        <w:spacing w:after="120" w:line="276"/>
        <w:jc w:val="both"/>
      </w:pPr>
      <w:r>
        <w:rPr>
          <w:rFonts w:ascii="Barlow Semi Condensed" w:cs="Barlow Semi Condensed" w:eastAsia="Barlow Semi Condensed" w:hAnsi="Barlow Semi Condensed"/>
          <w:b/>
          <w:bCs/>
          <w:sz w:val="24"/>
          <w:szCs w:val="24"/>
        </w:rPr>
        <w:t xml:space="preserve">655 · La data del verbale, e la scadenza.</w:t>
      </w:r>
      <w:r>
        <w:rPr>
          <w:rFonts w:ascii="Barlow Semi Condensed" w:cs="Barlow Semi Condensed" w:eastAsia="Barlow Semi Condensed" w:hAnsi="Barlow Semi Condensed"/>
          <w:sz w:val="24"/>
          <w:szCs w:val="24"/>
        </w:rPr>
        <w:t xml:space="preserve"> Uno Stato Zero è datato per costruzione: dice che a una certa data, in una certa sede, con un certo perimetro, non si è trovato. Gli inventari cambiano, le declassifiche maturano, i fondi si versano. Il verbale porta perciò la propria data di riesame, agganciata al calendario delle aperture: un esito negativo non riesaminato per vent'anni non è più un dato, è un ricordo.</w:t>
      </w:r>
    </w:p>
    <w:p>
      <w:pPr>
        <w:spacing w:after="120" w:line="276"/>
        <w:jc w:val="both"/>
      </w:pPr>
      <w:r>
        <w:rPr>
          <w:rFonts w:ascii="Barlow Semi Condensed" w:cs="Barlow Semi Condensed" w:eastAsia="Barlow Semi Condensed" w:hAnsi="Barlow Semi Condensed"/>
          <w:b/>
          <w:bCs/>
          <w:sz w:val="24"/>
          <w:szCs w:val="24"/>
        </w:rPr>
        <w:t xml:space="preserve">656 · Il verbale impedisce la doppia ricerca.</w:t>
      </w:r>
      <w:r>
        <w:rPr>
          <w:rFonts w:ascii="Barlow Semi Condensed" w:cs="Barlow Semi Condensed" w:eastAsia="Barlow Semi Condensed" w:hAnsi="Barlow Semi Condensed"/>
          <w:sz w:val="24"/>
          <w:szCs w:val="24"/>
        </w:rPr>
        <w:t xml:space="preserve"> È la sua funzione più prosaica e la più utile. Senza registro dei vuoti ogni gruppo di ricerca rifà le stesse interrogazioni negli stessi fondi, consumando le sole risorse davvero scarse di questo mestiere: giornate di sala e pazienza degli archivisti. Accumulati, i verbali disegnano la mappa di ciò che il caso non potrà più sapere, e quella mappa vale quanto un inventario.</w:t>
      </w:r>
    </w:p>
    <w:p>
      <w:pPr>
        <w:spacing w:after="120" w:line="276"/>
        <w:jc w:val="both"/>
      </w:pPr>
      <w:r>
        <w:rPr>
          <w:rFonts w:ascii="Barlow Semi Condensed" w:cs="Barlow Semi Condensed" w:eastAsia="Barlow Semi Condensed" w:hAnsi="Barlow Semi Condensed"/>
          <w:b/>
          <w:bCs/>
          <w:sz w:val="24"/>
          <w:szCs w:val="24"/>
        </w:rPr>
        <w:t xml:space="preserve">657 · Il vuoto pubblicato è falsificabile.</w:t>
      </w:r>
      <w:r>
        <w:rPr>
          <w:rFonts w:ascii="Barlow Semi Condensed" w:cs="Barlow Semi Condensed" w:eastAsia="Barlow Semi Condensed" w:hAnsi="Barlow Semi Condensed"/>
          <w:sz w:val="24"/>
          <w:szCs w:val="24"/>
        </w:rPr>
        <w:t xml:space="preserve"> Un esito negativo tenuto per sé non è metodo, è opinione. Pubblicato con perimetro, data e stringhe, diventa una proposizione che chiunque può abbattere trovando il documento. È la forma più esposta che una ricerca possa assumere, ed è la ragione per cui vale: chi dichiara i propri vuoti si offre alla smentita, chi li tace li protegge.</w:t>
      </w:r>
    </w:p>
    <w:p>
      <w:pPr>
        <w:spacing w:after="120" w:line="276"/>
        <w:jc w:val="both"/>
      </w:pPr>
      <w:r>
        <w:rPr>
          <w:rFonts w:ascii="Barlow Semi Condensed" w:cs="Barlow Semi Condensed" w:eastAsia="Barlow Semi Condensed" w:hAnsi="Barlow Semi Condensed"/>
          <w:b/>
          <w:bCs/>
          <w:sz w:val="24"/>
          <w:szCs w:val="24"/>
        </w:rPr>
        <w:t xml:space="preserve">658 · Chi ha cercato firma.</w:t>
      </w:r>
      <w:r>
        <w:rPr>
          <w:rFonts w:ascii="Barlow Semi Condensed" w:cs="Barlow Semi Condensed" w:eastAsia="Barlow Semi Condensed" w:hAnsi="Barlow Semi Condensed"/>
          <w:sz w:val="24"/>
          <w:szCs w:val="24"/>
        </w:rPr>
        <w:t xml:space="preserve"> Il verbale porta il nome di chi ha condotto la ricerca, come una perizia. Non per attribuire merito, ma perché la competenza dell'operatore è parte del dato: chi conosce la struttura di un fondo trova ciò che a un altro sfugge. Un esito negativo anonimo non è valutabile. La firma è, in questo campo, l'equivalente della catena di custodia.</w:t>
      </w:r>
    </w:p>
    <w:p>
      <w:pPr>
        <w:spacing w:after="120" w:line="276"/>
        <w:jc w:val="both"/>
      </w:pPr>
      <w:r>
        <w:rPr>
          <w:rFonts w:ascii="Barlow Semi Condensed" w:cs="Barlow Semi Condensed" w:eastAsia="Barlow Semi Condensed" w:hAnsi="Barlow Semi Condensed"/>
          <w:b/>
          <w:bCs/>
          <w:sz w:val="24"/>
          <w:szCs w:val="24"/>
        </w:rPr>
        <w:t xml:space="preserve">659 · Non trovato non è non cercato.</w:t>
      </w:r>
      <w:r>
        <w:rPr>
          <w:rFonts w:ascii="Barlow Semi Condensed" w:cs="Barlow Semi Condensed" w:eastAsia="Barlow Semi Condensed" w:hAnsi="Barlow Semi Condensed"/>
          <w:sz w:val="24"/>
          <w:szCs w:val="24"/>
        </w:rPr>
        <w:t xml:space="preserve"> Il manuale investigativo fissa al blocco 252 l'esito trinario di ogni atto di verifica: positivo, negativo, non eseguito — e il terzo si protocolla come tale. Applicato agli archivi, significa che una sede mai interrogata non produce Stato Zero e non entra nel perimetro negativo. La confusione fra le due condizioni gonfia il conto dei vuoti e svuota l'istituto del suo valore.</w:t>
      </w:r>
    </w:p>
    <w:p>
      <w:pPr>
        <w:spacing w:after="120" w:line="276"/>
        <w:jc w:val="both"/>
      </w:pPr>
      <w:r>
        <w:rPr>
          <w:rFonts w:ascii="Barlow Semi Condensed" w:cs="Barlow Semi Condensed" w:eastAsia="Barlow Semi Condensed" w:hAnsi="Barlow Semi Condensed"/>
          <w:b/>
          <w:bCs/>
          <w:sz w:val="24"/>
          <w:szCs w:val="24"/>
        </w:rPr>
        <w:t xml:space="preserve">660 · Il registro dei vuoti, forma tabellare.</w:t>
      </w:r>
      <w:r>
        <w:rPr>
          <w:rFonts w:ascii="Barlow Semi Condensed" w:cs="Barlow Semi Condensed" w:eastAsia="Barlow Semi Condensed" w:hAnsi="Barlow Semi Condensed"/>
          <w:sz w:val="24"/>
          <w:szCs w:val="24"/>
        </w:rPr>
        <w:t xml:space="preserve"> La serie propone un registro unico e pubblico: oggetto cercato, sede, serie, finestra, stringhe, data, operatore, esito, data di riesame. Una riga per vuoto. Il corpus tiene già registri analoghi per le richieste d'accesso e per le smentite riuscite; questo ne è lo speculare negativo, e va mantenuto con la stessa cura, perché è la sola parte dell'opera che cresce mentre non si trova nulla.</w:t>
      </w:r>
    </w:p>
    <w:p>
      <w:pPr>
        <w:spacing w:after="120" w:line="276"/>
        <w:jc w:val="both"/>
      </w:pPr>
      <w:r>
        <w:rPr>
          <w:rFonts w:ascii="Barlow Semi Condensed" w:cs="Barlow Semi Condensed" w:eastAsia="Barlow Semi Condensed" w:hAnsi="Barlow Semi Condensed"/>
          <w:b/>
          <w:bCs/>
          <w:sz w:val="24"/>
          <w:szCs w:val="24"/>
        </w:rPr>
        <w:t xml:space="preserve">661 · La condizione di riapertura di un vuoto.</w:t>
      </w:r>
      <w:r>
        <w:rPr>
          <w:rFonts w:ascii="Barlow Semi Condensed" w:cs="Barlow Semi Condensed" w:eastAsia="Barlow Semi Condensed" w:hAnsi="Barlow Semi Condensed"/>
          <w:sz w:val="24"/>
          <w:szCs w:val="24"/>
        </w:rPr>
        <w:t xml:space="preserve"> Uno Stato Zero non si riapre per suggestione, per anniversario o per pressione pubblica: si riapre davanti a un fatto archivistico nuovo — un versamento, una declassifica, un inventario pubblicato, una serie prima non consultabile. La condizione si scrive nel verbale al momento della chiusura, non dopo. Chi riapre senza indicarla sta ricominciando la ricerca, non correggendola.</w:t>
      </w:r>
    </w:p>
    <w:p>
      <w:pPr>
        <w:spacing w:after="120" w:line="276"/>
        <w:jc w:val="both"/>
      </w:pPr>
      <w:r>
        <w:rPr>
          <w:rFonts w:ascii="Barlow Semi Condensed" w:cs="Barlow Semi Condensed" w:eastAsia="Barlow Semi Condensed" w:hAnsi="Barlow Semi Condensed"/>
          <w:b/>
          <w:bCs/>
          <w:sz w:val="24"/>
          <w:szCs w:val="24"/>
        </w:rPr>
        <w:t xml:space="preserve">662 · Il vuoto che si chiude collazionando.</w:t>
      </w:r>
      <w:r>
        <w:rPr>
          <w:rFonts w:ascii="Barlow Semi Condensed" w:cs="Barlow Semi Condensed" w:eastAsia="Barlow Semi Condensed" w:hAnsi="Barlow Semi Condensed"/>
          <w:sz w:val="24"/>
          <w:szCs w:val="24"/>
        </w:rPr>
        <w:t xml:space="preserve"> La seconda campagna della Farnesina ne offre l'esempio: l'ingresso delle due Germanie alle Nazioni Unite era dichiarato Stato Zero da una ricognizione e datato al 18 settembre 1973 dall'altra su documentazione ufficiale. Un vuoto era una lacuna di spoglio, non un buco del mondo. È la ragione per cui i documenti si incrociano prima di archiviarli, e per cui uno Stato Zero solitario va sempre sospettato.</w:t>
      </w:r>
    </w:p>
    <w:p>
      <w:pPr>
        <w:spacing w:after="120" w:line="276"/>
        <w:jc w:val="both"/>
      </w:pPr>
      <w:r>
        <w:rPr>
          <w:rFonts w:ascii="Barlow Semi Condensed" w:cs="Barlow Semi Condensed" w:eastAsia="Barlow Semi Condensed" w:hAnsi="Barlow Semi Condensed"/>
          <w:b/>
          <w:bCs/>
          <w:sz w:val="24"/>
          <w:szCs w:val="24"/>
        </w:rPr>
        <w:t xml:space="preserve">663 · Ford Library, oltre i due verbali noti.</w:t>
      </w:r>
      <w:r>
        <w:rPr>
          <w:rFonts w:ascii="Barlow Semi Condensed" w:cs="Barlow Semi Condensed" w:eastAsia="Barlow Semi Condensed" w:hAnsi="Barlow Semi Condensed"/>
          <w:sz w:val="24"/>
          <w:szCs w:val="24"/>
        </w:rPr>
        <w:t xml:space="preserve"> I due memoranda noti al corpus — il colloquio dello Studio Ovale del 25 settembre 1974, file 1552802, e quello del 26 settembre, file 1552806 — appartengono a una serie assai più ampia, i National Security Adviser's Memoranda of Conversation. Bersaglio: lo spoglio integrale della serie per la finestra italiana. Quesito, non asserzione: verificare se altri memoranda relativi a quella visita esistano, e che cosa contengano.</w:t>
      </w:r>
    </w:p>
    <w:p>
      <w:pPr>
        <w:spacing w:after="120" w:line="276"/>
        <w:jc w:val="both"/>
      </w:pPr>
      <w:r>
        <w:rPr>
          <w:rFonts w:ascii="Barlow Semi Condensed" w:cs="Barlow Semi Condensed" w:eastAsia="Barlow Semi Condensed" w:hAnsi="Barlow Semi Condensed"/>
          <w:b/>
          <w:bCs/>
          <w:sz w:val="24"/>
          <w:szCs w:val="24"/>
        </w:rPr>
        <w:t xml:space="preserve">664 · Le trascrizioni telefoniche come genere.</w:t>
      </w:r>
      <w:r>
        <w:rPr>
          <w:rFonts w:ascii="Barlow Semi Condensed" w:cs="Barlow Semi Condensed" w:eastAsia="Barlow Semi Condensed" w:hAnsi="Barlow Semi Condensed"/>
          <w:sz w:val="24"/>
          <w:szCs w:val="24"/>
        </w:rPr>
        <w:t xml:space="preserve"> Il fondo presidenziale conserva, accanto ai memoranda, trascrizioni di conversazioni telefoniche redatte per ufficio. È un genere distinto, con prassi di redazione propria, e va interrogato separatamente. Bersaglio formulato come quesito: verificare quali trascrizioni relative all'Italia risultino conservate e accessibili per gli anni 1974-1976, e verbalizzare l'esito, positivo o negativo che sia, col perimetro seriale.</w:t>
      </w:r>
    </w:p>
    <w:p>
      <w:pPr>
        <w:spacing w:after="120" w:line="276"/>
        <w:jc w:val="both"/>
      </w:pPr>
      <w:r>
        <w:rPr>
          <w:rFonts w:ascii="Barlow Semi Condensed" w:cs="Barlow Semi Condensed" w:eastAsia="Barlow Semi Condensed" w:hAnsi="Barlow Semi Condensed"/>
          <w:b/>
          <w:bCs/>
          <w:sz w:val="24"/>
          <w:szCs w:val="24"/>
        </w:rPr>
        <w:t xml:space="preserve">665 · College Park, il fascicolo per paese.</w:t>
      </w:r>
      <w:r>
        <w:rPr>
          <w:rFonts w:ascii="Barlow Semi Condensed" w:cs="Barlow Semi Condensed" w:eastAsia="Barlow Semi Condensed" w:hAnsi="Barlow Semi Condensed"/>
          <w:sz w:val="24"/>
          <w:szCs w:val="24"/>
        </w:rPr>
        <w:t xml:space="preserve"> I Nixon Presidential Materials, NSC Files, Country Files Italy, presso i National Archives di College Park, sono la sede che la ricognizione della Farnesina indica per i verbali di colloqui diretti fra Moro e i suoi omologhi statunitensi negli anni 1969-1972. La ricognizione registra l'esito negativo: non ne ha reperiti di editi e comparabili a quello del 1974. La sede di chiusura è nominata; lo spoglio resta da fare.</w:t>
      </w:r>
    </w:p>
    <w:p>
      <w:pPr>
        <w:spacing w:after="120" w:line="276"/>
        <w:jc w:val="both"/>
      </w:pPr>
      <w:r>
        <w:rPr>
          <w:rFonts w:ascii="Barlow Semi Condensed" w:cs="Barlow Semi Condensed" w:eastAsia="Barlow Semi Condensed" w:hAnsi="Barlow Semi Condensed"/>
          <w:b/>
          <w:bCs/>
          <w:sz w:val="24"/>
          <w:szCs w:val="24"/>
        </w:rPr>
        <w:t xml:space="preserve">666 · Lo studio sull'Italia del dicembre 1969.</w:t>
      </w:r>
      <w:r>
        <w:rPr>
          <w:rFonts w:ascii="Barlow Semi Condensed" w:cs="Barlow Semi Condensed" w:eastAsia="Barlow Semi Condensed" w:hAnsi="Barlow Semi Condensed"/>
          <w:sz w:val="24"/>
          <w:szCs w:val="24"/>
        </w:rPr>
        <w:t xml:space="preserve"> Il documento 188 del volume XLI dei FRUS registra l'istruzione di Nixon di avviare uno studio sull'Italia. È fatto pubblico e attesta una cosa sola: che lo studio fu ordinato. Non attesta contenuto, esiti né alcun rapporto con persone italiane determinate. Bersaglio: reperire lo studio e i suoi allegati a College Park; se non risultano, verbalizzare il vuoto con perimetro seriale esatto.</w:t>
      </w:r>
    </w:p>
    <w:p>
      <w:pPr>
        <w:spacing w:after="120" w:line="276"/>
        <w:jc w:val="both"/>
      </w:pPr>
      <w:r>
        <w:rPr>
          <w:rFonts w:ascii="Barlow Semi Condensed" w:cs="Barlow Semi Condensed" w:eastAsia="Barlow Semi Condensed" w:hAnsi="Barlow Semi Condensed"/>
          <w:b/>
          <w:bCs/>
          <w:sz w:val="24"/>
          <w:szCs w:val="24"/>
        </w:rPr>
        <w:t xml:space="preserve">667 · Atlanta, il Country File del 1978.</w:t>
      </w:r>
      <w:r>
        <w:rPr>
          <w:rFonts w:ascii="Barlow Semi Condensed" w:cs="Barlow Semi Condensed" w:eastAsia="Barlow Semi Condensed" w:hAnsi="Barlow Semi Condensed"/>
          <w:sz w:val="24"/>
          <w:szCs w:val="24"/>
        </w:rPr>
        <w:t xml:space="preserve"> Il blocco 133 dell'agenda fissa la collezione National Security Affairs, Brzezinski Material, con il suo Country File italiano, alla Jimmy Carter Presidential Library: processata e aperta. È il giacimento presidenziale che copre i cinquantacinque giorni. Bersaglio: lo spoglio del fascicolo italiano con la disciplina di lettura dell'agenda — un appunto per il presidente riferisce, non accerta, ed entra col grado della propria natura.</w:t>
      </w:r>
    </w:p>
    <w:p>
      <w:pPr>
        <w:spacing w:after="120" w:line="276"/>
        <w:jc w:val="both"/>
      </w:pPr>
      <w:r>
        <w:rPr>
          <w:rFonts w:ascii="Barlow Semi Condensed" w:cs="Barlow Semi Condensed" w:eastAsia="Barlow Semi Condensed" w:hAnsi="Barlow Semi Condensed"/>
          <w:b/>
          <w:bCs/>
          <w:sz w:val="24"/>
          <w:szCs w:val="24"/>
        </w:rPr>
        <w:t xml:space="preserve">668 · La fisiologia dell'archivio presidenziale.</w:t>
      </w:r>
      <w:r>
        <w:rPr>
          <w:rFonts w:ascii="Barlow Semi Condensed" w:cs="Barlow Semi Condensed" w:eastAsia="Barlow Semi Condensed" w:hAnsi="Barlow Semi Condensed"/>
          <w:sz w:val="24"/>
          <w:szCs w:val="24"/>
        </w:rPr>
        <w:t xml:space="preserve"> Ogni sistema archivistico ha regole proprie, e chi non le impara chiede ciò che il sistema non può dare. Gli archivi presidenziali statunitensi hanno calendari di apertura, procedure di revisione e materiali ancora in lavorazione. La serie prescrive di censire per ciascuna sede il regime d'accesso prima di formulare la richiesta, e di registrarlo accanto all'esito, perché un diniego procedurale e un vuoto documentale non sono la stessa cosa.</w:t>
      </w:r>
    </w:p>
    <w:p>
      <w:pPr>
        <w:spacing w:after="120" w:line="276"/>
        <w:jc w:val="both"/>
      </w:pPr>
      <w:r>
        <w:rPr>
          <w:rFonts w:ascii="Barlow Semi Condensed" w:cs="Barlow Semi Condensed" w:eastAsia="Barlow Semi Condensed" w:hAnsi="Barlow Semi Condensed"/>
          <w:b/>
          <w:bCs/>
          <w:sz w:val="24"/>
          <w:szCs w:val="24"/>
        </w:rPr>
        <w:t xml:space="preserve">669 · Le schede del ritenuto come misura.</w:t>
      </w:r>
      <w:r>
        <w:rPr>
          <w:rFonts w:ascii="Barlow Semi Condensed" w:cs="Barlow Semi Condensed" w:eastAsia="Barlow Semi Condensed" w:hAnsi="Barlow Semi Condensed"/>
          <w:sz w:val="24"/>
          <w:szCs w:val="24"/>
        </w:rPr>
        <w:t xml:space="preserve"> Il blocco 127 dell'agenda porta a tavola il censimento delle carte dichiaratamente trattenute nei fascicoli del 1978: per ogni carta ritirata, serie, data, originatore, stato della richiedibilità. È lo strumento che trasforma un'assenza in un oggetto: là dove la scheda segnala il ritiro, il vuoto ha un nome, una data e un destinatario di richiesta. È la forma migliore che un buco possa assumere.</w:t>
      </w:r>
    </w:p>
    <w:p>
      <w:pPr>
        <w:spacing w:after="120" w:line="276"/>
        <w:jc w:val="both"/>
      </w:pPr>
      <w:r>
        <w:rPr>
          <w:rFonts w:ascii="Barlow Semi Condensed" w:cs="Barlow Semi Condensed" w:eastAsia="Barlow Semi Condensed" w:hAnsi="Barlow Semi Condensed"/>
          <w:b/>
          <w:bCs/>
          <w:sz w:val="24"/>
          <w:szCs w:val="24"/>
        </w:rPr>
        <w:t xml:space="preserve">670 · Gli strumenti dell'erosione.</w:t>
      </w:r>
      <w:r>
        <w:rPr>
          <w:rFonts w:ascii="Barlow Semi Condensed" w:cs="Barlow Semi Condensed" w:eastAsia="Barlow Semi Condensed" w:hAnsi="Barlow Semi Condensed"/>
          <w:sz w:val="24"/>
          <w:szCs w:val="24"/>
        </w:rPr>
        <w:t xml:space="preserve"> Il blocco 131 dell'agenda descrive la strategia: richieste di accesso e di revisione obbligatoria della classifica, mirate, una per carta o per piccolo lotto, con motivazione storica argomentata. Non si chiede tutto: si erode. Ogni rilascio è una carta nuova, ogni diniego motivato è un dato sul perimetro. La serie adotta la strategia per la colonna statunitense che ancora non esiste.</w:t>
      </w:r>
    </w:p>
    <w:p>
      <w:pPr>
        <w:spacing w:after="120" w:line="276"/>
        <w:jc w:val="both"/>
      </w:pPr>
      <w:r>
        <w:rPr>
          <w:rFonts w:ascii="Barlow Semi Condensed" w:cs="Barlow Semi Condensed" w:eastAsia="Barlow Semi Condensed" w:hAnsi="Barlow Semi Condensed"/>
          <w:b/>
          <w:bCs/>
          <w:sz w:val="24"/>
          <w:szCs w:val="24"/>
        </w:rPr>
        <w:t xml:space="preserve">671 · Il diniego motivato è un'acquisizione.</w:t>
      </w:r>
      <w:r>
        <w:rPr>
          <w:rFonts w:ascii="Barlow Semi Condensed" w:cs="Barlow Semi Condensed" w:eastAsia="Barlow Semi Condensed" w:hAnsi="Barlow Semi Condensed"/>
          <w:sz w:val="24"/>
          <w:szCs w:val="24"/>
        </w:rPr>
        <w:t xml:space="preserve"> Un rifiuto che indica la norma applicata e la serie interessata dice tre cose: che il documento esiste, che è collocato, che è protetto da un titolo determinato. Vale più di molte ricerche riuscite altrove. Il verbale lo registra distintamente dal non trovato, perché i due esiti hanno seguiti diversi: il primo si impugna nei tempi previsti, il secondo si riesamina a calendario.</w:t>
      </w:r>
    </w:p>
    <w:p>
      <w:pPr>
        <w:spacing w:after="120" w:line="276"/>
        <w:jc w:val="both"/>
      </w:pPr>
      <w:r>
        <w:rPr>
          <w:rFonts w:ascii="Barlow Semi Condensed" w:cs="Barlow Semi Condensed" w:eastAsia="Barlow Semi Condensed" w:hAnsi="Barlow Semi Condensed"/>
          <w:b/>
          <w:bCs/>
          <w:sz w:val="24"/>
          <w:szCs w:val="24"/>
        </w:rPr>
        <w:t xml:space="preserve">672 · La collezione a microfiche (serie IX).</w:t>
      </w:r>
      <w:r>
        <w:rPr>
          <w:rFonts w:ascii="Barlow Semi Condensed" w:cs="Barlow Semi Condensed" w:eastAsia="Barlow Semi Condensed" w:hAnsi="Barlow Semi Condensed"/>
          <w:sz w:val="24"/>
          <w:szCs w:val="24"/>
        </w:rPr>
        <w:t xml:space="preserve"> Il blocco 129 dell'agenda censisce nella biblioteca di accesso agli atti del Dipartimento di Stato una collezione dedicata ad Aldo Moro, rilascio storico su microfiche non interamente digitalizzato. Bersaglio: acquisizione integrale e confronto col già noto, con la domanda esplicita — che cosa contiene che le banche dati non mostrano? Ciò che non vi si trova va verbalizzato con l'elenco delle fiche effettivamente lette.</w:t>
      </w:r>
    </w:p>
    <w:p>
      <w:pPr>
        <w:spacing w:after="120" w:line="276"/>
        <w:jc w:val="both"/>
      </w:pPr>
      <w:r>
        <w:rPr>
          <w:rFonts w:ascii="Barlow Semi Condensed" w:cs="Barlow Semi Condensed" w:eastAsia="Barlow Semi Condensed" w:hAnsi="Barlow Semi Condensed"/>
          <w:b/>
          <w:bCs/>
          <w:sz w:val="24"/>
          <w:szCs w:val="24"/>
        </w:rPr>
        <w:t xml:space="preserve">673 · I limiti di copertura di una banca dati.</w:t>
      </w:r>
      <w:r>
        <w:rPr>
          <w:rFonts w:ascii="Barlow Semi Condensed" w:cs="Barlow Semi Condensed" w:eastAsia="Barlow Semi Condensed" w:hAnsi="Barlow Semi Condensed"/>
          <w:sz w:val="24"/>
          <w:szCs w:val="24"/>
        </w:rPr>
        <w:t xml:space="preserve"> I telegrammi elettronici del Dipartimento di Stato sono interrogabili a testo pieno per una finestra dichiarata, dal 1 luglio 1973 al 31 dicembre 1979. Fuori da quella finestra l'assenza di riscontri non è un vuoto: è il confine dello strumento. Confondere il limite di copertura con l'esito della ricerca è l'errore più banale e più frequente della ricerca digitale, e va scritto in ogni verbale.</w:t>
      </w:r>
    </w:p>
    <w:p>
      <w:pPr>
        <w:spacing w:after="120" w:line="276"/>
        <w:jc w:val="both"/>
      </w:pPr>
      <w:r>
        <w:rPr>
          <w:rFonts w:ascii="Barlow Semi Condensed" w:cs="Barlow Semi Condensed" w:eastAsia="Barlow Semi Condensed" w:hAnsi="Barlow Semi Condensed"/>
          <w:b/>
          <w:bCs/>
          <w:sz w:val="24"/>
          <w:szCs w:val="24"/>
        </w:rPr>
        <w:t xml:space="preserve">674 · La sala di lettura e i suoi ritagli.</w:t>
      </w:r>
      <w:r>
        <w:rPr>
          <w:rFonts w:ascii="Barlow Semi Condensed" w:cs="Barlow Semi Condensed" w:eastAsia="Barlow Semi Condensed" w:hAnsi="Barlow Semi Condensed"/>
          <w:sz w:val="24"/>
          <w:szCs w:val="24"/>
        </w:rPr>
        <w:t xml:space="preserve"> Il blocco 132 dell'agenda impone una disciplina di lettura per i fondi declassificati dell'agenzia statunitense: distinguere i documenti analitici dalle rassegne stampa raccolte internamente, che sono rassegna e non intelligence. Un ritaglio conservato in un archivio riservato resta un ritaglio. Marcare ciascun reperto per quello che è impedisce il più insidioso dei falsi positivi, quello che ha l'aspetto della fonte primaria.</w:t>
      </w:r>
    </w:p>
    <w:p>
      <w:pPr>
        <w:spacing w:after="120" w:line="276"/>
        <w:jc w:val="both"/>
      </w:pPr>
      <w:r>
        <w:rPr>
          <w:rFonts w:ascii="Barlow Semi Condensed" w:cs="Barlow Semi Condensed" w:eastAsia="Barlow Semi Condensed" w:hAnsi="Barlow Semi Condensed"/>
          <w:b/>
          <w:bCs/>
          <w:sz w:val="24"/>
          <w:szCs w:val="24"/>
        </w:rPr>
        <w:t xml:space="preserve">675 · FRUS è una selezione, non un fondo.</w:t>
      </w:r>
      <w:r>
        <w:rPr>
          <w:rFonts w:ascii="Barlow Semi Condensed" w:cs="Barlow Semi Condensed" w:eastAsia="Barlow Semi Condensed" w:hAnsi="Barlow Semi Condensed"/>
          <w:sz w:val="24"/>
          <w:szCs w:val="24"/>
        </w:rPr>
        <w:t xml:space="preserve"> La serie Foreign Relations of the United States è un'edizione curata: qualcuno scelse che cosa includere, da quali fondi, con quali criteri. Leggerla come se fosse l'archivio produce un vuoto illusorio ogni volta che un documento non vi compare. La regola operativa è duplice: si cita l'edizione con la sua nota, e si risale sempre al fondo che l'ha alimentata.</w:t>
      </w:r>
    </w:p>
    <w:p>
      <w:pPr>
        <w:spacing w:after="120" w:line="276"/>
        <w:jc w:val="both"/>
      </w:pPr>
      <w:r>
        <w:rPr>
          <w:rFonts w:ascii="Barlow Semi Condensed" w:cs="Barlow Semi Condensed" w:eastAsia="Barlow Semi Condensed" w:hAnsi="Barlow Semi Condensed"/>
          <w:b/>
          <w:bCs/>
          <w:sz w:val="24"/>
          <w:szCs w:val="24"/>
        </w:rPr>
        <w:t xml:space="preserve">676 · La seconda edizione riveduta.</w:t>
      </w:r>
      <w:r>
        <w:rPr>
          <w:rFonts w:ascii="Barlow Semi Condensed" w:cs="Barlow Semi Condensed" w:eastAsia="Barlow Semi Condensed" w:hAnsi="Barlow Semi Condensed"/>
          <w:sz w:val="24"/>
          <w:szCs w:val="24"/>
        </w:rPr>
        <w:t xml:space="preserve"> Il verbale dello Studio Ovale del 25 settembre 1974 è il documento 350 del volume E-15 parte 2 della serie 1969-1976, nella seconda edizione riveduta. La precisazione non è pedanteria bibliografica: un'edizione riveduta è una collazione, e due edizioni possono divergere. Chi cita senza indicare quale ha letto rende irripetibile la propria verifica, e una verifica irripetibile non è una verifica.</w:t>
      </w:r>
    </w:p>
    <w:p>
      <w:pPr>
        <w:spacing w:after="120" w:line="276"/>
        <w:jc w:val="both"/>
      </w:pPr>
      <w:r>
        <w:rPr>
          <w:rFonts w:ascii="Barlow Semi Condensed" w:cs="Barlow Semi Condensed" w:eastAsia="Barlow Semi Condensed" w:hAnsi="Barlow Semi Condensed"/>
          <w:b/>
          <w:bCs/>
          <w:sz w:val="24"/>
          <w:szCs w:val="24"/>
        </w:rPr>
        <w:t xml:space="preserve">677 · I volumi che coprono il caso.</w:t>
      </w:r>
      <w:r>
        <w:rPr>
          <w:rFonts w:ascii="Barlow Semi Condensed" w:cs="Barlow Semi Condensed" w:eastAsia="Barlow Semi Condensed" w:hAnsi="Barlow Semi Condensed"/>
          <w:sz w:val="24"/>
          <w:szCs w:val="24"/>
        </w:rPr>
        <w:t xml:space="preserve"> Il blocco 134 dell'agenda fissa come bersaglio i volumi della serie per gli anni 1977-1980: che cosa il curatore incluse sull'Italia, da quali fondi, con quali rinvii archivistici. La domanda va posta come quesito e non come asserzione, perché lo stato di pubblicazione dei volumi cambia nel tempo: si accerta alla data della ricerca e si verbalizza con quella data accanto.</w:t>
      </w:r>
    </w:p>
    <w:p>
      <w:pPr>
        <w:spacing w:after="120" w:line="276"/>
        <w:jc w:val="both"/>
      </w:pPr>
      <w:r>
        <w:rPr>
          <w:rFonts w:ascii="Barlow Semi Condensed" w:cs="Barlow Semi Condensed" w:eastAsia="Barlow Semi Condensed" w:hAnsi="Barlow Semi Condensed"/>
          <w:b/>
          <w:bCs/>
          <w:sz w:val="24"/>
          <w:szCs w:val="24"/>
        </w:rPr>
        <w:t xml:space="preserve">678 · Ciò che non è ancora edito.</w:t>
      </w:r>
      <w:r>
        <w:rPr>
          <w:rFonts w:ascii="Barlow Semi Condensed" w:cs="Barlow Semi Condensed" w:eastAsia="Barlow Semi Condensed" w:hAnsi="Barlow Semi Condensed"/>
          <w:sz w:val="24"/>
          <w:szCs w:val="24"/>
        </w:rPr>
        <w:t xml:space="preserve"> Dove un volume atteso non risulta pubblicato, il vuoto è editoriale e non archivistico: i documenti esistono nei fondi, non ancora nella selezione. È distinzione operativa e non accademica, perché indirizza altrove — al fondo, alla richiesta di revisione, alla sala di lettura — invece di far attendere. Il verbale registra la data in cui lo stato di pubblicazione è stato accertato.</w:t>
      </w:r>
    </w:p>
    <w:p>
      <w:pPr>
        <w:spacing w:after="120" w:line="276"/>
        <w:jc w:val="both"/>
      </w:pPr>
      <w:r>
        <w:rPr>
          <w:rFonts w:ascii="Barlow Semi Condensed" w:cs="Barlow Semi Condensed" w:eastAsia="Barlow Semi Condensed" w:hAnsi="Barlow Semi Condensed"/>
          <w:b/>
          <w:bCs/>
          <w:sz w:val="24"/>
          <w:szCs w:val="24"/>
        </w:rPr>
        <w:t xml:space="preserve">679 · Le note come segnature.</w:t>
      </w:r>
      <w:r>
        <w:rPr>
          <w:rFonts w:ascii="Barlow Semi Condensed" w:cs="Barlow Semi Condensed" w:eastAsia="Barlow Semi Condensed" w:hAnsi="Barlow Semi Condensed"/>
          <w:sz w:val="24"/>
          <w:szCs w:val="24"/>
        </w:rPr>
        <w:t xml:space="preserve"> Ogni nota a piè di pagina di un volume edito è l'indirizzo di un documento in un fondo. È la ragione per cui l'edizione, pur essendo una selezione, è anche una mappa: dichiara gli archivi che l'hanno alimentata. La procedura della serie è seguire le note prima di formulare qualunque richiesta, perché una richiesta con segnatura ha tempi ed esiti diversi da una richiesta generica.</w:t>
      </w:r>
    </w:p>
    <w:p>
      <w:pPr>
        <w:spacing w:after="120" w:line="276"/>
        <w:jc w:val="both"/>
      </w:pPr>
      <w:r>
        <w:rPr>
          <w:rFonts w:ascii="Barlow Semi Condensed" w:cs="Barlow Semi Condensed" w:eastAsia="Barlow Semi Condensed" w:hAnsi="Barlow Semi Condensed"/>
          <w:b/>
          <w:bCs/>
          <w:sz w:val="24"/>
          <w:szCs w:val="24"/>
        </w:rPr>
        <w:t xml:space="preserve">680 · Il documento non incluso esiste comunque.</w:t>
      </w:r>
      <w:r>
        <w:rPr>
          <w:rFonts w:ascii="Barlow Semi Condensed" w:cs="Barlow Semi Condensed" w:eastAsia="Barlow Semi Condensed" w:hAnsi="Barlow Semi Condensed"/>
          <w:sz w:val="24"/>
          <w:szCs w:val="24"/>
        </w:rPr>
        <w:t xml:space="preserve"> Dall'assenza di un documento in un'edizione curata non discende la sua inesistenza, né la sua irrilevanza, né la sua soppressione. Discende una sola cosa: che il curatore non lo scelse, per criteri che l'introduzione del volume dichiara. Leggere una selezione come un censimento è la versione erudita dell'errore del buco riempito, ed è più pericolosa perché indossa l'abito della filologia.</w:t>
      </w:r>
    </w:p>
    <w:p>
      <w:pPr>
        <w:spacing w:after="120" w:line="276"/>
        <w:jc w:val="both"/>
      </w:pPr>
      <w:r>
        <w:rPr>
          <w:rFonts w:ascii="Barlow Semi Condensed" w:cs="Barlow Semi Condensed" w:eastAsia="Barlow Semi Condensed" w:hAnsi="Barlow Semi Condensed"/>
          <w:b/>
          <w:bCs/>
          <w:sz w:val="24"/>
          <w:szCs w:val="24"/>
        </w:rPr>
        <w:t xml:space="preserve">681 · Il ritardo come regola, non come segno.</w:t>
      </w:r>
      <w:r>
        <w:rPr>
          <w:rFonts w:ascii="Barlow Semi Condensed" w:cs="Barlow Semi Condensed" w:eastAsia="Barlow Semi Condensed" w:hAnsi="Barlow Semi Condensed"/>
          <w:sz w:val="24"/>
          <w:szCs w:val="24"/>
        </w:rPr>
        <w:t xml:space="preserve"> I sistemi di declassifica hanno tempi statutari, arretrati e code. Un documento non ancora disponibile è, nella grande maggioranza dei casi, un documento in coda. Attribuire a ogni ritardo un'intenzione è l'errore speculare a quello di negare che l'occultamento esista: entrambi sostituiscono una spiegazione all'accertamento. La serie chiede, per ogni carta attesa, quale sia il suo stato procedurale documentato.</w:t>
      </w:r>
    </w:p>
    <w:p>
      <w:pPr>
        <w:spacing w:after="120" w:line="276"/>
        <w:jc w:val="both"/>
      </w:pPr>
      <w:r>
        <w:rPr>
          <w:rFonts w:ascii="Barlow Semi Condensed" w:cs="Barlow Semi Condensed" w:eastAsia="Barlow Semi Condensed" w:hAnsi="Barlow Semi Condensed"/>
          <w:b/>
          <w:bCs/>
          <w:sz w:val="24"/>
          <w:szCs w:val="24"/>
        </w:rPr>
        <w:t xml:space="preserve">682 · Buco editoriale e buco archivistico.</w:t>
      </w:r>
      <w:r>
        <w:rPr>
          <w:rFonts w:ascii="Barlow Semi Condensed" w:cs="Barlow Semi Condensed" w:eastAsia="Barlow Semi Condensed" w:hAnsi="Barlow Semi Condensed"/>
          <w:sz w:val="24"/>
          <w:szCs w:val="24"/>
        </w:rPr>
        <w:t xml:space="preserve"> Vanno tenuti su righe separate del registro. Il primo è la mancata inclusione in un'edizione; il secondo è l'assenza da un fondo interrogato. Il primo si supera leggendo altrove, il secondo solo con un versamento o con una declassifica. Chiamarli con lo stesso nome fa perdere la sola informazione utile che un vuoto contenga, cioè la direzione in cui muoversi.</w:t>
      </w:r>
    </w:p>
    <w:p>
      <w:pPr>
        <w:spacing w:after="120" w:line="276"/>
        <w:jc w:val="both"/>
      </w:pPr>
      <w:r>
        <w:rPr>
          <w:rFonts w:ascii="Barlow Semi Condensed" w:cs="Barlow Semi Condensed" w:eastAsia="Barlow Semi Condensed" w:hAnsi="Barlow Semi Condensed"/>
          <w:b/>
          <w:bCs/>
          <w:sz w:val="24"/>
          <w:szCs w:val="24"/>
        </w:rPr>
        <w:t xml:space="preserve">683 · La Farnesina non è aperta senza riserve.</w:t>
      </w:r>
      <w:r>
        <w:rPr>
          <w:rFonts w:ascii="Barlow Semi Condensed" w:cs="Barlow Semi Condensed" w:eastAsia="Barlow Semi Condensed" w:hAnsi="Barlow Semi Condensed"/>
          <w:sz w:val="24"/>
          <w:szCs w:val="24"/>
        </w:rPr>
        <w:t xml:space="preserve"> La triangolazione della seconda campagna ha corretto la quadriga proprio qui: i blocchi 55 e 78 dei cantieri e il blocco 244 dell'agenda trattavano l'Archivio storico diplomatico come sede aperta. La barriera dei cinquant'anni rende l'arco 1969-1974 teoricamente accessibile; l'inventariazione non lo rende praticamente tale, e la disponibilità dei faldoni va verificata caso per caso. Il costo del bersaglio va rivisto prima di pianificare.</w:t>
      </w:r>
    </w:p>
    <w:p>
      <w:pPr>
        <w:spacing w:after="120" w:line="276"/>
        <w:jc w:val="both"/>
      </w:pPr>
      <w:r>
        <w:rPr>
          <w:rFonts w:ascii="Barlow Semi Condensed" w:cs="Barlow Semi Condensed" w:eastAsia="Barlow Semi Condensed" w:hAnsi="Barlow Semi Condensed"/>
          <w:b/>
          <w:bCs/>
          <w:sz w:val="24"/>
          <w:szCs w:val="24"/>
        </w:rPr>
        <w:t xml:space="preserve">684 · L'esclusione che va scritta nel verbale.</w:t>
      </w:r>
      <w:r>
        <w:rPr>
          <w:rFonts w:ascii="Barlow Semi Condensed" w:cs="Barlow Semi Condensed" w:eastAsia="Barlow Semi Condensed" w:hAnsi="Barlow Semi Condensed"/>
          <w:sz w:val="24"/>
          <w:szCs w:val="24"/>
        </w:rPr>
        <w:t xml:space="preserve"> Alla condizione operativa dei faldoni si aggiunge un'esclusione temporanea dichiarata, quella dei Telegrammi per il periodo 1942-1970. Chi cerchi in quella serie e non trovi non ha prodotto uno Stato Zero: ha incontrato una porta chiusa. La differenza fra fondo consultato e fondo escluso va registrata in ogni riga del registro dei vuoti, perché sposta l'esito da acquisizione a sospensione.</w:t>
      </w:r>
    </w:p>
    <w:p>
      <w:pPr>
        <w:spacing w:after="120" w:line="276"/>
        <w:jc w:val="both"/>
      </w:pPr>
      <w:r>
        <w:rPr>
          <w:rFonts w:ascii="Barlow Semi Condensed" w:cs="Barlow Semi Condensed" w:eastAsia="Barlow Semi Condensed" w:hAnsi="Barlow Semi Condensed"/>
          <w:b/>
          <w:bCs/>
          <w:sz w:val="24"/>
          <w:szCs w:val="24"/>
        </w:rPr>
        <w:t xml:space="preserve">685 · I carteggi di gabinetto del ministro.</w:t>
      </w:r>
      <w:r>
        <w:rPr>
          <w:rFonts w:ascii="Barlow Semi Condensed" w:cs="Barlow Semi Condensed" w:eastAsia="Barlow Semi Condensed" w:hAnsi="Barlow Semi Condensed"/>
          <w:sz w:val="24"/>
          <w:szCs w:val="24"/>
        </w:rPr>
        <w:t xml:space="preserve"> La ricognizione-madre colloca al primo posto per rendimento atteso i carteggi del gabinetto del ministro degli Esteri per gli anni 1969-1974, con le serie della direzione generale degli affari politici. È il giacimento dove, se esiste, sta il lato italiano di ogni colloquio bilaterale del periodo. Condizione di chiusura dichiarata: la conferma inventariale da richiedere alla sede. Allo stato, esito negativo.</w:t>
      </w:r>
    </w:p>
    <w:p>
      <w:pPr>
        <w:spacing w:after="120" w:line="276"/>
        <w:jc w:val="both"/>
      </w:pPr>
      <w:r>
        <w:rPr>
          <w:rFonts w:ascii="Barlow Semi Condensed" w:cs="Barlow Semi Condensed" w:eastAsia="Barlow Semi Condensed" w:hAnsi="Barlow Semi Condensed"/>
          <w:b/>
          <w:bCs/>
          <w:sz w:val="24"/>
          <w:szCs w:val="24"/>
        </w:rPr>
        <w:t xml:space="preserve">686 · La serie dell'ambasciata a Washington (serie IX).</w:t>
      </w:r>
      <w:r>
        <w:rPr>
          <w:rFonts w:ascii="Barlow Semi Condensed" w:cs="Barlow Semi Condensed" w:eastAsia="Barlow Semi Condensed" w:hAnsi="Barlow Semi Condensed"/>
          <w:sz w:val="24"/>
          <w:szCs w:val="24"/>
        </w:rPr>
        <w:t xml:space="preserve"> Bersaglio parallelo, formulato come quesito: verificare quali serie della rappresentanza italiana negli Stati Uniti per gli anni 1969-1976 risultino versate e consultabili, e che cosa documentino delle visite ufficiali. Non si asserisce che vi si trovi un appunto sul colloquio del settembre 1974: si indica dove andrebbe cercato, e si verbalizza l'esito con il perimetro seriale dichiarato.</w:t>
      </w:r>
    </w:p>
    <w:p>
      <w:pPr>
        <w:spacing w:after="120" w:line="276"/>
        <w:jc w:val="both"/>
      </w:pPr>
      <w:r>
        <w:rPr>
          <w:rFonts w:ascii="Barlow Semi Condensed" w:cs="Barlow Semi Condensed" w:eastAsia="Barlow Semi Condensed" w:hAnsi="Barlow Semi Condensed"/>
          <w:b/>
          <w:bCs/>
          <w:sz w:val="24"/>
          <w:szCs w:val="24"/>
        </w:rPr>
        <w:t xml:space="preserve">687 · La collazione bilaterale come strumento.</w:t>
      </w:r>
      <w:r>
        <w:rPr>
          <w:rFonts w:ascii="Barlow Semi Condensed" w:cs="Barlow Semi Condensed" w:eastAsia="Barlow Semi Condensed" w:hAnsi="Barlow Semi Condensed"/>
          <w:sz w:val="24"/>
          <w:szCs w:val="24"/>
        </w:rPr>
        <w:t xml:space="preserve"> Il blocco 153 dell'agenda la prescrive per le giornate chiave: che cosa riferì ciascuna capitale, e dove i resoconti divergono. Applicata qui, significa mettere il verbale statunitense accanto all'eventuale appunto italiano dello stesso colloquio. Ogni divergenza è o un errore di una sede o un'informazione che una sola sede aveva. Se il lato italiano manca, il vuoto si dichiara: è metà della collazione.</w:t>
      </w:r>
    </w:p>
    <w:p>
      <w:pPr>
        <w:spacing w:after="120" w:line="276"/>
        <w:jc w:val="both"/>
      </w:pPr>
      <w:r>
        <w:rPr>
          <w:rFonts w:ascii="Barlow Semi Condensed" w:cs="Barlow Semi Condensed" w:eastAsia="Barlow Semi Condensed" w:hAnsi="Barlow Semi Condensed"/>
          <w:b/>
          <w:bCs/>
          <w:sz w:val="24"/>
          <w:szCs w:val="24"/>
        </w:rPr>
        <w:t xml:space="preserve">688 · Il telegramma da Tunisi, dichiarato assente.</w:t>
      </w:r>
      <w:r>
        <w:rPr>
          <w:rFonts w:ascii="Barlow Semi Condensed" w:cs="Barlow Semi Condensed" w:eastAsia="Barlow Semi Condensed" w:hAnsi="Barlow Semi Condensed"/>
          <w:sz w:val="24"/>
          <w:szCs w:val="24"/>
        </w:rPr>
        <w:t xml:space="preserve"> Il corpus registra come Stato Zero condiviso il telegramma del 6 settembre 1970 da Tunisi, noto solo per via memorialistica indiretta e privo di fonte primaria, con la sede di chiusura nell'Archivio storico diplomatico. È il caso di scuola: una carta esiste nel racconto di un protagonista e non risulta negli atti. Finché resta tale, si cita l'esistenza del racconto, mai il contenuto del documento.</w:t>
      </w:r>
    </w:p>
    <w:p>
      <w:pPr>
        <w:spacing w:after="120" w:line="276"/>
        <w:jc w:val="both"/>
      </w:pPr>
      <w:r>
        <w:rPr>
          <w:rFonts w:ascii="Barlow Semi Condensed" w:cs="Barlow Semi Condensed" w:eastAsia="Barlow Semi Condensed" w:hAnsi="Barlow Semi Condensed"/>
          <w:b/>
          <w:bCs/>
          <w:sz w:val="24"/>
          <w:szCs w:val="24"/>
        </w:rPr>
        <w:t xml:space="preserve">689 · Le repliche parlamentari del ministro.</w:t>
      </w:r>
      <w:r>
        <w:rPr>
          <w:rFonts w:ascii="Barlow Semi Condensed" w:cs="Barlow Semi Condensed" w:eastAsia="Barlow Semi Condensed" w:hAnsi="Barlow Semi Condensed"/>
          <w:sz w:val="24"/>
          <w:szCs w:val="24"/>
        </w:rPr>
        <w:t xml:space="preserve"> Secondo posto per rendimento nella tavola degli esiti negativi della ricognizione: le repliche di Moro sui bilanci degli Esteri per gli anni 1970, 1971, 1972 e 1974, con numero di seduta e data. La condizione di chiusura è modesta e materiale — la consultazione della raccolta a stampa dei discorsi parlamentari — e proprio per questo il vuoto è istruttivo: non lo protegge alcun segreto, solo la fatica.</w:t>
      </w:r>
    </w:p>
    <w:p>
      <w:pPr>
        <w:spacing w:after="120" w:line="276"/>
        <w:jc w:val="both"/>
      </w:pPr>
      <w:r>
        <w:rPr>
          <w:rFonts w:ascii="Barlow Semi Condensed" w:cs="Barlow Semi Condensed" w:eastAsia="Barlow Semi Condensed" w:hAnsi="Barlow Semi Condensed"/>
          <w:b/>
          <w:bCs/>
          <w:sz w:val="24"/>
          <w:szCs w:val="24"/>
        </w:rPr>
        <w:t xml:space="preserve">690 · Il quarto deposito delle carte.</w:t>
      </w:r>
      <w:r>
        <w:rPr>
          <w:rFonts w:ascii="Barlow Semi Condensed" w:cs="Barlow Semi Condensed" w:eastAsia="Barlow Semi Condensed" w:hAnsi="Barlow Semi Condensed"/>
          <w:sz w:val="24"/>
          <w:szCs w:val="24"/>
        </w:rPr>
        <w:t xml:space="preserve"> La seconda campagna ha imposto un'altra correzione alla quadriga: ai tre nuclei delle carte di Moro censiti dai blocchi 221-223 e 235 dei cantieri si aggiunge un deposito con segnatura propria, IT-AFS-048, con unità digitalizzate che riguardano proprio il ministro degli Esteri. Il registro dei tre nuclei va emendato per nota. Quel vuoto era un errore di censimento, non un'assenza.</w:t>
      </w:r>
    </w:p>
    <w:p>
      <w:pPr>
        <w:spacing w:after="120" w:line="276"/>
        <w:jc w:val="both"/>
      </w:pPr>
      <w:r>
        <w:rPr>
          <w:rFonts w:ascii="Barlow Semi Condensed" w:cs="Barlow Semi Condensed" w:eastAsia="Barlow Semi Condensed" w:hAnsi="Barlow Semi Condensed"/>
          <w:b/>
          <w:bCs/>
          <w:sz w:val="24"/>
          <w:szCs w:val="24"/>
        </w:rPr>
        <w:t xml:space="preserve">691 · Il giacimento della Direttiva.</w:t>
      </w:r>
      <w:r>
        <w:rPr>
          <w:rFonts w:ascii="Barlow Semi Condensed" w:cs="Barlow Semi Condensed" w:eastAsia="Barlow Semi Condensed" w:hAnsi="Barlow Semi Condensed"/>
          <w:sz w:val="24"/>
          <w:szCs w:val="24"/>
        </w:rPr>
        <w:t xml:space="preserve"> La raccolta speciale costituita all'Archivio centrale dello Stato in forza delle direttive sulla desecretazione è il giacimento nazionale maggiore del caso, e i blocchi 16-45 dell'agenda ne organizzano lo spoglio delle circa duemila buste con doppio controllo. Ogni ricerca a vuoto condotta su quelle buste va verbalizzata con la forma consueta: è il fondo dove il rischio di ricercare due volte è massimo.</w:t>
      </w:r>
    </w:p>
    <w:p>
      <w:pPr>
        <w:spacing w:after="120" w:line="276"/>
        <w:jc w:val="both"/>
      </w:pPr>
      <w:r>
        <w:rPr>
          <w:rFonts w:ascii="Barlow Semi Condensed" w:cs="Barlow Semi Condensed" w:eastAsia="Barlow Semi Condensed" w:hAnsi="Barlow Semi Condensed"/>
          <w:b/>
          <w:bCs/>
          <w:sz w:val="24"/>
          <w:szCs w:val="24"/>
        </w:rPr>
        <w:t xml:space="preserve">692 · La confusione dei fondi genera vuoti.</w:t>
      </w:r>
      <w:r>
        <w:rPr>
          <w:rFonts w:ascii="Barlow Semi Condensed" w:cs="Barlow Semi Condensed" w:eastAsia="Barlow Semi Condensed" w:hAnsi="Barlow Semi Condensed"/>
          <w:sz w:val="24"/>
          <w:szCs w:val="24"/>
        </w:rPr>
        <w:t xml:space="preserve"> Molti vuoti dichiarati sono errori di indirizzo: si cerca nel fondo sbagliato e si conclude che il documento non esiste. Il corpus tiene per questo un registro delle confusioni correnti fra i depositi delle carte di Moro. La serie ne trae una regola: prima di verbalizzare un vuoto si verifica che la sede interrogata fosse quella competente, e la verifica entra nel verbale.</w:t>
      </w:r>
    </w:p>
    <w:p>
      <w:pPr>
        <w:spacing w:after="120" w:line="276"/>
        <w:jc w:val="both"/>
      </w:pPr>
      <w:r>
        <w:rPr>
          <w:rFonts w:ascii="Barlow Semi Condensed" w:cs="Barlow Semi Condensed" w:eastAsia="Barlow Semi Condensed" w:hAnsi="Barlow Semi Condensed"/>
          <w:b/>
          <w:bCs/>
          <w:sz w:val="24"/>
          <w:szCs w:val="24"/>
        </w:rPr>
        <w:t xml:space="preserve">693 · Il costo dichiarato del bersaglio.</w:t>
      </w:r>
      <w:r>
        <w:rPr>
          <w:rFonts w:ascii="Barlow Semi Condensed" w:cs="Barlow Semi Condensed" w:eastAsia="Barlow Semi Condensed" w:hAnsi="Barlow Semi Condensed"/>
          <w:sz w:val="24"/>
          <w:szCs w:val="24"/>
        </w:rPr>
        <w:t xml:space="preserve"> Il blocco 286 dell'agenda impone a ogni campagna di esporre il proprio bilancio: giornate d'archivio, missioni, diritti di riproduzione. Applicato ai vuoti, significa che un esito negativo va letto anche come misura di sforzo: due giornate di sala e due mesi di spoglio non producono lo stesso Stato Zero. Il verbale registra l'impegno, perché è ciò che consente a un terzo di giudicarne il peso.</w:t>
      </w:r>
    </w:p>
    <w:p>
      <w:pPr>
        <w:spacing w:after="120" w:line="276"/>
        <w:jc w:val="both"/>
      </w:pPr>
      <w:r>
        <w:rPr>
          <w:rFonts w:ascii="Barlow Semi Condensed" w:cs="Barlow Semi Condensed" w:eastAsia="Barlow Semi Condensed" w:hAnsi="Barlow Semi Condensed"/>
          <w:b/>
          <w:bCs/>
          <w:sz w:val="24"/>
          <w:szCs w:val="24"/>
        </w:rPr>
        <w:t xml:space="preserve">694 · Lo Stato Zero condiviso di due archivi.</w:t>
      </w:r>
      <w:r>
        <w:rPr>
          <w:rFonts w:ascii="Barlow Semi Condensed" w:cs="Barlow Semi Condensed" w:eastAsia="Barlow Semi Condensed" w:hAnsi="Barlow Semi Condensed"/>
          <w:sz w:val="24"/>
          <w:szCs w:val="24"/>
        </w:rPr>
        <w:t xml:space="preserve"> Il contatto diretto fra Moro e i ministri degli Esteri spagnoli è dichiarato Stato Zero identicamente dai documenti nuovi e dal corpus, con due sedi di chiusura: l'Archivio storico diplomatico e l'Archivo General de la Administración di Alcalá de Henares, con il limite segnalato dalla storiografia sui fondi ministeriali. Due archivi, un solo vuoto: è il modello di come si scrive un esito negativo bilaterale.</w:t>
      </w:r>
    </w:p>
    <w:p>
      <w:pPr>
        <w:spacing w:after="120" w:line="276"/>
        <w:jc w:val="both"/>
      </w:pPr>
      <w:r>
        <w:rPr>
          <w:rFonts w:ascii="Barlow Semi Condensed" w:cs="Barlow Semi Condensed" w:eastAsia="Barlow Semi Condensed" w:hAnsi="Barlow Semi Condensed"/>
          <w:b/>
          <w:bCs/>
          <w:sz w:val="24"/>
          <w:szCs w:val="24"/>
        </w:rPr>
        <w:t xml:space="preserve">695 · Gli atti della Commissione, e la sede.</w:t>
      </w:r>
      <w:r>
        <w:rPr>
          <w:rFonts w:ascii="Barlow Semi Condensed" w:cs="Barlow Semi Condensed" w:eastAsia="Barlow Semi Condensed" w:hAnsi="Barlow Semi Condensed"/>
          <w:sz w:val="24"/>
          <w:szCs w:val="24"/>
        </w:rPr>
        <w:t xml:space="preserve"> L'audizione di Eleonora Chiavarelli Moro davanti alla Commissione parlamentare d'inchiesta è collocata al 1 agosto 1980, e una fonte indica l'11, verosimilmente per lettura errata della data. La sede è confermata; il contenuto verbatim di quella deposizione resta da riscontrare. Bersaglio: i resoconti stenografici della Commissione nella documentazione parlamentare della legislatura, letti direttamente e non per sintesi.</w:t>
      </w:r>
    </w:p>
    <w:p>
      <w:pPr>
        <w:spacing w:after="120" w:line="276"/>
        <w:jc w:val="both"/>
      </w:pPr>
      <w:r>
        <w:rPr>
          <w:rFonts w:ascii="Barlow Semi Condensed" w:cs="Barlow Semi Condensed" w:eastAsia="Barlow Semi Condensed" w:hAnsi="Barlow Semi Condensed"/>
          <w:b/>
          <w:bCs/>
          <w:sz w:val="24"/>
          <w:szCs w:val="24"/>
        </w:rPr>
        <w:t xml:space="preserve">696 · Sede confermata, contenuto da verificare.</w:t>
      </w:r>
      <w:r>
        <w:rPr>
          <w:rFonts w:ascii="Barlow Semi Condensed" w:cs="Barlow Semi Condensed" w:eastAsia="Barlow Semi Condensed" w:hAnsi="Barlow Semi Condensed"/>
          <w:sz w:val="24"/>
          <w:szCs w:val="24"/>
        </w:rPr>
        <w:t xml:space="preserve"> È la formula più utile prodotta dalle verifiche del corpus, e va usata come categoria autonoma del registro. Significa che si sa dove un atto fu compiuto e non che cosa vi fu detto. Le sintesi attribuiscono la frase alla deposizione giudiziaria del 1982, mentre dell'audizione del 1980 riportano soprattutto un riferimento a minacce risalenti al 1975 e crescenti. I due piani restano distinti finché il resoconto non li unisca.</w:t>
      </w:r>
    </w:p>
    <w:p>
      <w:pPr>
        <w:spacing w:after="120" w:line="276"/>
        <w:jc w:val="both"/>
      </w:pPr>
      <w:r>
        <w:rPr>
          <w:rFonts w:ascii="Barlow Semi Condensed" w:cs="Barlow Semi Condensed" w:eastAsia="Barlow Semi Condensed" w:hAnsi="Barlow Semi Condensed"/>
          <w:b/>
          <w:bCs/>
          <w:sz w:val="24"/>
          <w:szCs w:val="24"/>
        </w:rPr>
        <w:t xml:space="preserve">697 · Il verbale d'udienza del 1982.</w:t>
      </w:r>
      <w:r>
        <w:rPr>
          <w:rFonts w:ascii="Barlow Semi Condensed" w:cs="Barlow Semi Condensed" w:eastAsia="Barlow Semi Condensed" w:hAnsi="Barlow Semi Condensed"/>
          <w:sz w:val="24"/>
          <w:szCs w:val="24"/>
        </w:rPr>
        <w:t xml:space="preserve"> Corrado Guerzoni depose davanti alla Corte d'assise di Roma nel novembre 1982 — il 10 secondo la datazione più ricorrente, il 15 secondo una fonte, divergenza non risolta — e depose de relato, non avendo assistito al colloquio. Bersaglio: il verbale d'udienza integrale presso gli atti della corte. Finché non è letto, la testimonianza resta al grado B nella sua accezione debole, e la data resta divergente.</w:t>
      </w:r>
    </w:p>
    <w:p>
      <w:pPr>
        <w:spacing w:after="120" w:line="276"/>
        <w:jc w:val="both"/>
      </w:pPr>
      <w:r>
        <w:rPr>
          <w:rFonts w:ascii="Barlow Semi Condensed" w:cs="Barlow Semi Condensed" w:eastAsia="Barlow Semi Condensed" w:hAnsi="Barlow Semi Condensed"/>
          <w:b/>
          <w:bCs/>
          <w:sz w:val="24"/>
          <w:szCs w:val="24"/>
        </w:rPr>
        <w:t xml:space="preserve">698 · Il fondo della seconda Commissione.</w:t>
      </w:r>
      <w:r>
        <w:rPr>
          <w:rFonts w:ascii="Barlow Semi Condensed" w:cs="Barlow Semi Condensed" w:eastAsia="Barlow Semi Condensed" w:hAnsi="Barlow Semi Condensed"/>
          <w:sz w:val="24"/>
          <w:szCs w:val="24"/>
        </w:rPr>
        <w:t xml:space="preserve"> I blocchi 46-70 dell'agenda censiscono il fondo della seconda Commissione d'inchiesta alla Camera, con le circa ventimila pagine desecretate e il portale delle inchieste, accanto ai fondi della prima Commissione e della Commissione stragi al Senato. È il giacimento parlamentare del caso. La domanda che questa serie vi porta è una sola: che cosa vi si cerca, con quali stringhe, e che cosa non vi si trova.</w:t>
      </w:r>
    </w:p>
    <w:p>
      <w:pPr>
        <w:spacing w:after="120" w:line="276"/>
        <w:jc w:val="both"/>
      </w:pPr>
      <w:r>
        <w:rPr>
          <w:rFonts w:ascii="Barlow Semi Condensed" w:cs="Barlow Semi Condensed" w:eastAsia="Barlow Semi Condensed" w:hAnsi="Barlow Semi Condensed"/>
          <w:b/>
          <w:bCs/>
          <w:sz w:val="24"/>
          <w:szCs w:val="24"/>
        </w:rPr>
        <w:t xml:space="preserve">699 · La banca dati che comincia tardi.</w:t>
      </w:r>
      <w:r>
        <w:rPr>
          <w:rFonts w:ascii="Barlow Semi Condensed" w:cs="Barlow Semi Condensed" w:eastAsia="Barlow Semi Condensed" w:hAnsi="Barlow Semi Condensed"/>
          <w:sz w:val="24"/>
          <w:szCs w:val="24"/>
        </w:rPr>
        <w:t xml:space="preserve"> Correzione già registrata dalla seconda campagna: la banca dati del sindacato ispettivo parlamentare copre solo dalla settima legislatura, dal 5 luglio 1976. Per l'intero arco del ministero degli Esteri di Moro non è possibile, con i soli strumenti in rete, né confermare né escludere interrogazioni su un dato dossier. Non è un vuoto di fatto: è un limite di strumento, e va scritto come tale ovunque.</w:t>
      </w:r>
    </w:p>
    <w:p>
      <w:pPr>
        <w:spacing w:after="120" w:line="276"/>
        <w:jc w:val="both"/>
      </w:pPr>
      <w:r>
        <w:rPr>
          <w:rFonts w:ascii="Barlow Semi Condensed" w:cs="Barlow Semi Condensed" w:eastAsia="Barlow Semi Condensed" w:hAnsi="Barlow Semi Condensed"/>
          <w:b/>
          <w:bCs/>
          <w:sz w:val="24"/>
          <w:szCs w:val="24"/>
        </w:rPr>
        <w:t xml:space="preserve">700 · Lo spoglio manuale come unica via.</w:t>
      </w:r>
      <w:r>
        <w:rPr>
          <w:rFonts w:ascii="Barlow Semi Condensed" w:cs="Barlow Semi Condensed" w:eastAsia="Barlow Semi Condensed" w:hAnsi="Barlow Semi Condensed"/>
          <w:sz w:val="24"/>
          <w:szCs w:val="24"/>
        </w:rPr>
        <w:t xml:space="preserve"> Dove la banca dati non arriva restano i resoconti stenografici a stampa, non ricercabili a testo pieno. Il blocco 62 dell'agenda prescriveva il censimento senza registrare il limite; la correzione non cambia il merito ma il costo, e con esso l'ordine delle campagne. La regola che ne discende: un bersaglio si pianifica sullo strumento che lo raggiunge, non su quello più comodo.</w:t>
      </w:r>
    </w:p>
    <w:p>
      <w:pPr>
        <w:spacing w:after="120" w:line="276"/>
        <w:jc w:val="both"/>
      </w:pPr>
      <w:r>
        <w:rPr>
          <w:rFonts w:ascii="Barlow Semi Condensed" w:cs="Barlow Semi Condensed" w:eastAsia="Barlow Semi Condensed" w:hAnsi="Barlow Semi Condensed"/>
          <w:b/>
          <w:bCs/>
          <w:sz w:val="24"/>
          <w:szCs w:val="24"/>
        </w:rPr>
        <w:t xml:space="preserve">701 · Il buco parlamentare del ministero (serie IX).</w:t>
      </w:r>
      <w:r>
        <w:rPr>
          <w:rFonts w:ascii="Barlow Semi Condensed" w:cs="Barlow Semi Condensed" w:eastAsia="Barlow Semi Condensed" w:hAnsi="Barlow Semi Condensed"/>
          <w:sz w:val="24"/>
          <w:szCs w:val="24"/>
        </w:rPr>
        <w:t xml:space="preserve"> Ne discende un vuoto strutturale della triangolazione: gli anni in cui Moro tenne la Farnesina sono, sul versante del controllo parlamentare, i meno interrogabili con mezzi rapidi. È il periodo in cui cadono i documenti statunitensi che il corpus possiede. La coincidenza fra il picco documentale di una parte e il minimo di interrogabilità dell'altra è un fatto sullo spoglio, e va tenuto presente prima di leggere qualunque asimmetria.</w:t>
      </w:r>
    </w:p>
    <w:p>
      <w:pPr>
        <w:spacing w:after="120" w:line="276"/>
        <w:jc w:val="both"/>
      </w:pPr>
      <w:r>
        <w:rPr>
          <w:rFonts w:ascii="Barlow Semi Condensed" w:cs="Barlow Semi Condensed" w:eastAsia="Barlow Semi Condensed" w:hAnsi="Barlow Semi Condensed"/>
          <w:b/>
          <w:bCs/>
          <w:sz w:val="24"/>
          <w:szCs w:val="24"/>
        </w:rPr>
        <w:t xml:space="preserve">702 · La desecretazione e i suoi atti.</w:t>
      </w:r>
      <w:r>
        <w:rPr>
          <w:rFonts w:ascii="Barlow Semi Condensed" w:cs="Barlow Semi Condensed" w:eastAsia="Barlow Semi Condensed" w:hAnsi="Barlow Semi Condensed"/>
          <w:sz w:val="24"/>
          <w:szCs w:val="24"/>
        </w:rPr>
        <w:t xml:space="preserve"> Le declassifiche parlamentari avvengono per atto formale, con elenchi e date. Bersaglio, formulato come quesito: verificare quali atti relativi ai dossier qui trattati risultino desecretati, con quale provvedimento e in quale data, e quali restino coperti. Un elenco di desecretazione è, letto al rovescio, l'inventario più preciso di ciò che resta chiuso — ed è pubblico, il che ne fa un bersaglio a costo basso.</w:t>
      </w:r>
    </w:p>
    <w:p>
      <w:pPr>
        <w:spacing w:after="120" w:line="276"/>
        <w:jc w:val="both"/>
      </w:pPr>
      <w:r>
        <w:rPr>
          <w:rFonts w:ascii="Barlow Semi Condensed" w:cs="Barlow Semi Condensed" w:eastAsia="Barlow Semi Condensed" w:hAnsi="Barlow Semi Condensed"/>
          <w:b/>
          <w:bCs/>
          <w:sz w:val="24"/>
          <w:szCs w:val="24"/>
        </w:rPr>
        <w:t xml:space="preserve">703 · Che cosa vale un accertamento parlamentare.</w:t>
      </w:r>
      <w:r>
        <w:rPr>
          <w:rFonts w:ascii="Barlow Semi Condensed" w:cs="Barlow Semi Condensed" w:eastAsia="Barlow Semi Condensed" w:hAnsi="Barlow Semi Condensed"/>
          <w:sz w:val="24"/>
          <w:szCs w:val="24"/>
        </w:rPr>
        <w:t xml:space="preserve"> Il corpus lo colloca al grado B. Una Commissione d'inchiesta ha poteri istruttori e produce accertamenti, non sentenze: le sue conclusioni non sono giudicato, e le testimonianze che raccoglie restano testimonianze. Vale in entrambe le direzioni — non si promuove un accertamento parlamentare a prova, e non lo si degrada a opinione. È la ragione per cui l'avvertimento riferito, sempre smentito dall'interessato, resta al grado B debole.</w:t>
      </w:r>
    </w:p>
    <w:p>
      <w:pPr>
        <w:spacing w:after="120" w:line="276"/>
        <w:jc w:val="both"/>
      </w:pPr>
      <w:r>
        <w:rPr>
          <w:rFonts w:ascii="Barlow Semi Condensed" w:cs="Barlow Semi Condensed" w:eastAsia="Barlow Semi Condensed" w:hAnsi="Barlow Semi Condensed"/>
          <w:b/>
          <w:bCs/>
          <w:sz w:val="24"/>
          <w:szCs w:val="24"/>
        </w:rPr>
        <w:t xml:space="preserve">704 · Il resoconto contro la sintesi.</w:t>
      </w:r>
      <w:r>
        <w:rPr>
          <w:rFonts w:ascii="Barlow Semi Condensed" w:cs="Barlow Semi Condensed" w:eastAsia="Barlow Semi Condensed" w:hAnsi="Barlow Semi Condensed"/>
          <w:sz w:val="24"/>
          <w:szCs w:val="24"/>
        </w:rPr>
        <w:t xml:space="preserve"> La campagna di verifica del corpus ha dichiarato il proprio limite: non ha potuto leggere i resoconti stenografici né i verbali d'udienza, e le precisazioni poggiano su fonti secondarie convergenti. È un vuoto di secondo ordine — non manca il documento, manca la sua lettura — e va tenuto distinto da uno Stato Zero. Chi riprende quelle righe deve sapere esattamente quanto pesa ciascuna.</w:t>
      </w:r>
    </w:p>
    <w:p>
      <w:pPr>
        <w:spacing w:after="120" w:line="276"/>
        <w:jc w:val="both"/>
      </w:pPr>
      <w:r>
        <w:rPr>
          <w:rFonts w:ascii="Barlow Semi Condensed" w:cs="Barlow Semi Condensed" w:eastAsia="Barlow Semi Condensed" w:hAnsi="Barlow Semi Condensed"/>
          <w:b/>
          <w:bCs/>
          <w:sz w:val="24"/>
          <w:szCs w:val="24"/>
        </w:rPr>
        <w:t xml:space="preserve">705 · Il vuoto sul lodo Moro.</w:t>
      </w:r>
      <w:r>
        <w:rPr>
          <w:rFonts w:ascii="Barlow Semi Condensed" w:cs="Barlow Semi Condensed" w:eastAsia="Barlow Semi Condensed" w:hAnsi="Barlow Semi Condensed"/>
          <w:sz w:val="24"/>
          <w:szCs w:val="24"/>
        </w:rPr>
        <w:t xml:space="preserve"> La seconda campagna lo ha misurato: la stringa non compare nei tre documenti maggiori del corpus, e i nove cantieri hanno colonne britannica, francese e tedesca, con Berna e Vienna in appendice, e nessuna colonna mediterranea o araba. È un vuoto di costruzione, non di fatto. Il secondo tempo della regola dei buchi lo spiega per intero: nessuno ha ancora spogliato le fonti che trattano quel versante.</w:t>
      </w:r>
    </w:p>
    <w:p>
      <w:pPr>
        <w:spacing w:after="120" w:line="276"/>
        <w:jc w:val="both"/>
      </w:pPr>
      <w:r>
        <w:rPr>
          <w:rFonts w:ascii="Barlow Semi Condensed" w:cs="Barlow Semi Condensed" w:eastAsia="Barlow Semi Condensed" w:hAnsi="Barlow Semi Condensed"/>
          <w:b/>
          <w:bCs/>
          <w:sz w:val="24"/>
          <w:szCs w:val="24"/>
        </w:rPr>
        <w:t xml:space="preserve">706 · Lo Stato Zero scoperto per incrocio.</w:t>
      </w:r>
      <w:r>
        <w:rPr>
          <w:rFonts w:ascii="Barlow Semi Condensed" w:cs="Barlow Semi Condensed" w:eastAsia="Barlow Semi Condensed" w:hAnsi="Barlow Semi Condensed"/>
          <w:sz w:val="24"/>
          <w:szCs w:val="24"/>
        </w:rPr>
        <w:t xml:space="preserve"> La verifica testuale della seconda campagna dà zero occorrenze del nome del capocentro del servizio a Beirut e della strage di Fiumicino del 17 dicembre 1973 tanto nei documenti maggiori del corpus quanto nelle tre ricognizioni nuove. Nessuna delle due parti tocca il nome né la data: è uno Stato Zero condiviso, verbalizzato secondo i blocchi 233 e 285. Solo un incrocio meccanico produce esiti di questo genere.</w:t>
      </w:r>
    </w:p>
    <w:p>
      <w:pPr>
        <w:spacing w:after="120" w:line="276"/>
        <w:jc w:val="both"/>
      </w:pPr>
      <w:r>
        <w:rPr>
          <w:rFonts w:ascii="Barlow Semi Condensed" w:cs="Barlow Semi Condensed" w:eastAsia="Barlow Semi Condensed" w:hAnsi="Barlow Semi Condensed"/>
          <w:b/>
          <w:bCs/>
          <w:sz w:val="24"/>
          <w:szCs w:val="24"/>
        </w:rPr>
        <w:t xml:space="preserve">707 · Silenzio del corpus e Stato Zero.</w:t>
      </w:r>
      <w:r>
        <w:rPr>
          <w:rFonts w:ascii="Barlow Semi Condensed" w:cs="Barlow Semi Condensed" w:eastAsia="Barlow Semi Condensed" w:hAnsi="Barlow Semi Condensed"/>
          <w:sz w:val="24"/>
          <w:szCs w:val="24"/>
        </w:rPr>
        <w:t xml:space="preserve"> Sul dossier Aginter Press, ricorrente nella pubblicistica delle reti clandestine, la ricognizione portoghese dichiara lo Stato Zero per non aver reperito fonti primarie né studi sottoposti a revisione che ne documentino un ruolo nelle vicende trattate; la verifica meccanica accerta che il termine non compare in alcun documento del branch. Silenzio totale da un lato, esito negativo dichiarato dall'altro: statuti diversi e compatibili, da registrare separatamente.</w:t>
      </w:r>
    </w:p>
    <w:p>
      <w:pPr>
        <w:spacing w:after="120" w:line="276"/>
        <w:jc w:val="both"/>
      </w:pPr>
      <w:r>
        <w:rPr>
          <w:rFonts w:ascii="Barlow Semi Condensed" w:cs="Barlow Semi Condensed" w:eastAsia="Barlow Semi Condensed" w:hAnsi="Barlow Semi Condensed"/>
          <w:b/>
          <w:bCs/>
          <w:sz w:val="24"/>
          <w:szCs w:val="24"/>
        </w:rPr>
        <w:t xml:space="preserve">708 · Il vuoto fra Guevara e questo nodo.</w:t>
      </w:r>
      <w:r>
        <w:rPr>
          <w:rFonts w:ascii="Barlow Semi Condensed" w:cs="Barlow Semi Condensed" w:eastAsia="Barlow Semi Condensed" w:hAnsi="Barlow Semi Condensed"/>
          <w:sz w:val="24"/>
          <w:szCs w:val="24"/>
        </w:rPr>
        <w:t xml:space="preserve"> Verifica da eseguire e verbalizzare con la forma consueta: quanti documenti d'archivio trattino insieme il fronte latinoamericano del 1967 e il nodo statunitense di vertice qui studiato. L'attesa motivata è bassa, perché i due domini appartengono a letterature e a fondi diversi. Un rapporto di co-occorrenza basso misurerebbe qui la specializzazione delle fonti, non l'assenza di rapporti, e non autorizzerebbe alcuna inferenza.</w:t>
      </w:r>
    </w:p>
    <w:p>
      <w:pPr>
        <w:spacing w:after="120" w:line="276"/>
        <w:jc w:val="both"/>
      </w:pPr>
      <w:r>
        <w:rPr>
          <w:rFonts w:ascii="Barlow Semi Condensed" w:cs="Barlow Semi Condensed" w:eastAsia="Barlow Semi Condensed" w:hAnsi="Barlow Semi Condensed"/>
          <w:b/>
          <w:bCs/>
          <w:sz w:val="24"/>
          <w:szCs w:val="24"/>
        </w:rPr>
        <w:t xml:space="preserve">709 · Il vettore e le carte americane.</w:t>
      </w:r>
      <w:r>
        <w:rPr>
          <w:rFonts w:ascii="Barlow Semi Condensed" w:cs="Barlow Semi Condensed" w:eastAsia="Barlow Semi Condensed" w:hAnsi="Barlow Semi Condensed"/>
          <w:sz w:val="24"/>
          <w:szCs w:val="24"/>
        </w:rPr>
        <w:t xml:space="preserve"> Bersaglio formulato come quesito e mai come asserzione: verificare se nei fondi statunitensi consultabili esistano valutazioni coeve su Giangiacomo Feltrinelli, che in Italia trasmise l'iconografia di Korda e il diario boliviano, e in quali serie siano collocate. Se esistono, entrano col grado della loro natura: una valutazione di servizio è un'ipotesi, non un accertamento.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710 · L'arco che manca fra due date.</w:t>
      </w:r>
      <w:r>
        <w:rPr>
          <w:rFonts w:ascii="Barlow Semi Condensed" w:cs="Barlow Semi Condensed" w:eastAsia="Barlow Semi Condensed" w:hAnsi="Barlow Semi Condensed"/>
          <w:sz w:val="24"/>
          <w:szCs w:val="24"/>
        </w:rPr>
        <w:t xml:space="preserve"> La regola dell'anello debole lo dice in forma esatta: un cammino che colleghi lo Studio Ovale del settembre 1974 al caso del 1978 dovrebbe attraversare almeno un arco che oggi non esiste, e che il corpus ha già cercato senza trovare. Finché quell'arco manca, il cammino non ha grado basso: non ha grado. È il vuoto centrale della triangolazione, iscritto dalla fase sesta fra gli Stati Zero.</w:t>
      </w:r>
    </w:p>
    <w:p>
      <w:pPr>
        <w:spacing w:after="120" w:line="276"/>
        <w:jc w:val="both"/>
      </w:pPr>
      <w:r>
        <w:rPr>
          <w:rFonts w:ascii="Barlow Semi Condensed" w:cs="Barlow Semi Condensed" w:eastAsia="Barlow Semi Condensed" w:hAnsi="Barlow Semi Condensed"/>
          <w:b/>
          <w:bCs/>
          <w:sz w:val="24"/>
          <w:szCs w:val="24"/>
        </w:rPr>
        <w:t xml:space="preserve">711 · L'archivio che non apre.</w:t>
      </w:r>
      <w:r>
        <w:rPr>
          <w:rFonts w:ascii="Barlow Semi Condensed" w:cs="Barlow Semi Condensed" w:eastAsia="Barlow Semi Condensed" w:hAnsi="Barlow Semi Condensed"/>
          <w:sz w:val="24"/>
          <w:szCs w:val="24"/>
        </w:rPr>
        <w:t xml:space="preserve"> L'Archivio Apostolico Vaticano è consultabile fino all'ottobre 1958: ogni verifica primaria sugli atti pontifici degli anni Settanta è preclusa allo stato, e le ricostruzioni poggiano su fonti edite e ufficiali. Dove un documento del corpus indica gli archivi vaticani come sede da interrogare per quel decennio, la sede non è oggi apribile. La tensione fu rilevata per incrocio e risolta a favore del limite reale.</w:t>
      </w:r>
    </w:p>
    <w:p>
      <w:pPr>
        <w:spacing w:after="120" w:line="276"/>
        <w:jc w:val="both"/>
      </w:pPr>
      <w:r>
        <w:rPr>
          <w:rFonts w:ascii="Barlow Semi Condensed" w:cs="Barlow Semi Condensed" w:eastAsia="Barlow Semi Condensed" w:hAnsi="Barlow Semi Condensed"/>
          <w:b/>
          <w:bCs/>
          <w:sz w:val="24"/>
          <w:szCs w:val="24"/>
        </w:rPr>
        <w:t xml:space="preserve">712 · Il vuoto che non si chiuderà.</w:t>
      </w:r>
      <w:r>
        <w:rPr>
          <w:rFonts w:ascii="Barlow Semi Condensed" w:cs="Barlow Semi Condensed" w:eastAsia="Barlow Semi Condensed" w:hAnsi="Barlow Semi Condensed"/>
          <w:sz w:val="24"/>
          <w:szCs w:val="24"/>
        </w:rPr>
        <w:t xml:space="preserve"> Alcuni vuoti non hanno sede di chiusura perché la carta non esiste più: reperti distrutti, registri mai tenuti, bobine non conservate, originali mai ritrovati. I cantieri li censiscono parte per parte, dal blocco 456 sui reperti al 467 sulla stesura mai trovata. Vanno scritti senza recriminazione e senza speranza: sono il perimetro definitivo, e sapere che cosa non si potrà mai sapere è conoscenza.</w:t>
      </w:r>
    </w:p>
    <w:p>
      <w:pPr>
        <w:spacing w:after="120" w:line="276"/>
        <w:jc w:val="both"/>
      </w:pPr>
      <w:r>
        <w:rPr>
          <w:rFonts w:ascii="Barlow Semi Condensed" w:cs="Barlow Semi Condensed" w:eastAsia="Barlow Semi Condensed" w:hAnsi="Barlow Semi Condensed"/>
          <w:b/>
          <w:bCs/>
          <w:sz w:val="24"/>
          <w:szCs w:val="24"/>
        </w:rPr>
        <w:t xml:space="preserve">713 · Che cosa i vuoti dicono della struttura.</w:t>
      </w:r>
      <w:r>
        <w:rPr>
          <w:rFonts w:ascii="Barlow Semi Condensed" w:cs="Barlow Semi Condensed" w:eastAsia="Barlow Semi Condensed" w:hAnsi="Barlow Semi Condensed"/>
          <w:sz w:val="24"/>
          <w:szCs w:val="24"/>
        </w:rPr>
        <w:t xml:space="preserve"> Ecco il solo senso in cui il non codificante regola. La distribuzione dei vuoti non racconta i fatti, ma disegna con precisione la forma degli apparati che produssero le carte: che cosa un'amministrazione verbalizzava, che cosa affidava all'oralità, che cosa classificava e per quanto. È informazione di secondo ordine, ed è reale. Non dice che cosa accadde in una stanza; dice quali stanze lasciavano traccia.</w:t>
      </w:r>
    </w:p>
    <w:p>
      <w:pPr>
        <w:spacing w:after="120" w:line="276"/>
        <w:jc w:val="both"/>
      </w:pPr>
      <w:r>
        <w:rPr>
          <w:rFonts w:ascii="Barlow Semi Condensed" w:cs="Barlow Semi Condensed" w:eastAsia="Barlow Semi Condensed" w:hAnsi="Barlow Semi Condensed"/>
          <w:b/>
          <w:bCs/>
          <w:sz w:val="24"/>
          <w:szCs w:val="24"/>
        </w:rPr>
        <w:t xml:space="preserve">714 · Che cosa questa serie non stabilisce (serie IX).</w:t>
      </w:r>
      <w:r>
        <w:rPr>
          <w:rFonts w:ascii="Barlow Semi Condensed" w:cs="Barlow Semi Condensed" w:eastAsia="Barlow Semi Condensed" w:hAnsi="Barlow Semi Condensed"/>
          <w:sz w:val="24"/>
          <w:szCs w:val="24"/>
        </w:rPr>
        <w:t xml:space="preserve"> Non stabilisce che i silenzi qui censiti abbiano una causa comune. Non stabilisce che una carta manchi perché fu sottratta. Non stabilisce che il vuoto fra due domini indichi la loro estraneità, né la loro connessione. E non stabilisce nulla su alcuna persona: Henry Alfred Kissinger non fu condannato in alcun processo, e nessun blocco di questa serie lo indica come responsabile di reato.</w:t>
      </w:r>
    </w:p>
    <w:p>
      <w:pPr>
        <w:spacing w:after="120" w:line="276"/>
        <w:jc w:val="both"/>
      </w:pPr>
      <w:r>
        <w:rPr>
          <w:rFonts w:ascii="Barlow Semi Condensed" w:cs="Barlow Semi Condensed" w:eastAsia="Barlow Semi Condensed" w:hAnsi="Barlow Semi Condensed"/>
          <w:b/>
          <w:bCs/>
          <w:sz w:val="24"/>
          <w:szCs w:val="24"/>
        </w:rPr>
        <w:t xml:space="preserve">715 · Congedo della nona serie.</w:t>
      </w:r>
      <w:r>
        <w:rPr>
          <w:rFonts w:ascii="Barlow Semi Condensed" w:cs="Barlow Semi Condensed" w:eastAsia="Barlow Semi Condensed" w:hAnsi="Barlow Semi Condensed"/>
          <w:sz w:val="24"/>
          <w:szCs w:val="24"/>
        </w:rPr>
        <w:t xml:space="preserve"> La serie lascia dietro di sé un registro e non una tesi: verbali di vuoto con perimetro, sedi di chiusura nominate una per una, correzioni allo strumento più che al contenuto. È il prodotto più ingrato di un'opera di ricerca e il più stabile, perché ciò che si è cercato bene senza trovare non va ricercato due volte.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decima — Fenotipo e genotipo: il dichiarato e l'osservato</w:t>
      </w:r>
    </w:p>
    <w:p>
      <w:pPr>
        <w:spacing w:after="120" w:line="276"/>
        <w:jc w:val="both"/>
      </w:pPr>
      <w:r>
        <w:rPr>
          <w:rFonts w:ascii="Barlow Semi Condensed" w:cs="Barlow Semi Condensed" w:eastAsia="Barlow Semi Condensed" w:hAnsi="Barlow Semi Condensed"/>
          <w:i/>
          <w:iCs/>
          <w:sz w:val="24"/>
          <w:szCs w:val="24"/>
        </w:rPr>
        <w:t xml:space="preserve">Blocchi 716-785.</w:t>
      </w:r>
    </w:p>
    <w:p>
      <w:pPr>
        <w:spacing w:after="120" w:line="276"/>
        <w:jc w:val="both"/>
      </w:pPr>
      <w:r>
        <w:rPr>
          <w:rFonts w:ascii="Barlow Semi Condensed" w:cs="Barlow Semi Condensed" w:eastAsia="Barlow Semi Condensed" w:hAnsi="Barlow Semi Condensed"/>
          <w:b/>
          <w:bCs/>
          <w:sz w:val="24"/>
          <w:szCs w:val="24"/>
        </w:rPr>
        <w:t xml:space="preserve">716 · Genotipo e fenotipo, la distinzione trasferita.</w:t>
      </w:r>
      <w:r>
        <w:rPr>
          <w:rFonts w:ascii="Barlow Semi Condensed" w:cs="Barlow Semi Condensed" w:eastAsia="Barlow Semi Condensed" w:hAnsi="Barlow Semi Condensed"/>
          <w:sz w:val="24"/>
          <w:szCs w:val="24"/>
        </w:rPr>
        <w:t xml:space="preserve"> In genetica il genotipo è la sequenza, il fenotipo è ciò che si osserva, e fra i due sta l'espressione, che dipende dall'ambiente. Trasferita al corpus, la coppia nomina due oggetti distinti: la posizione dichiarata e l'atto documentato. La serie li tiene separati per costruzione. Avvertenza immediata: nel materiale storico nessun genotipo è leggibile, perché le intenzioni non si sequenziano; la metafora vale come griglia di domande, non come accesso all'interiorità di chicchessia.</w:t>
      </w:r>
    </w:p>
    <w:p>
      <w:pPr>
        <w:spacing w:after="120" w:line="276"/>
        <w:jc w:val="both"/>
      </w:pPr>
      <w:r>
        <w:rPr>
          <w:rFonts w:ascii="Barlow Semi Condensed" w:cs="Barlow Semi Condensed" w:eastAsia="Barlow Semi Condensed" w:hAnsi="Barlow Semi Condensed"/>
          <w:b/>
          <w:bCs/>
          <w:sz w:val="24"/>
          <w:szCs w:val="24"/>
        </w:rPr>
        <w:t xml:space="preserve">717 · Il dichiarato non è il codice.</w:t>
      </w:r>
      <w:r>
        <w:rPr>
          <w:rFonts w:ascii="Barlow Semi Condensed" w:cs="Barlow Semi Condensed" w:eastAsia="Barlow Semi Condensed" w:hAnsi="Barlow Semi Condensed"/>
          <w:sz w:val="24"/>
          <w:szCs w:val="24"/>
        </w:rPr>
        <w:t xml:space="preserve"> Sarebbe comodo far coincidere la dichiarazione col genotipo e l'atto col fenotipo, ma è errore. Anche la dichiarazione è fenotipo: emissione osservabile, prodotta in un ambiente, davanti a un destinatario, con una data e una sede. Il codice — ciò che una persona davvero volle — resta inosservato e inosservabile. Da qui la regola operativa della serie: si confrontano due fenotipi fra loro, mai un fenotipo con un genotipo presunto.</w:t>
      </w:r>
    </w:p>
    <w:p>
      <w:pPr>
        <w:spacing w:after="120" w:line="276"/>
        <w:jc w:val="both"/>
      </w:pPr>
      <w:r>
        <w:rPr>
          <w:rFonts w:ascii="Barlow Semi Condensed" w:cs="Barlow Semi Condensed" w:eastAsia="Barlow Semi Condensed" w:hAnsi="Barlow Semi Condensed"/>
          <w:b/>
          <w:bCs/>
          <w:sz w:val="24"/>
          <w:szCs w:val="24"/>
        </w:rPr>
        <w:t xml:space="preserve">718 · L'atto documentato è anch'esso parziale.</w:t>
      </w:r>
      <w:r>
        <w:rPr>
          <w:rFonts w:ascii="Barlow Semi Condensed" w:cs="Barlow Semi Condensed" w:eastAsia="Barlow Semi Condensed" w:hAnsi="Barlow Semi Condensed"/>
          <w:sz w:val="24"/>
          <w:szCs w:val="24"/>
        </w:rPr>
        <w:t xml:space="preserve"> Neppure l'atto è il fenotipo intero. Ciò che l'archivio conserva è ciò che qualcuno scrisse, protocollò e non distrusse: una sezione del comportamento, selezionata da procedure e non dalla storia. Il verbale di un colloquio registra la parte destinata al verbale. Chi misura lo scarto fra dichiarato e osservato misura dunque due campioni parziali, e deve dichiararlo prima di trarne qualunque conseguenza.</w:t>
      </w:r>
    </w:p>
    <w:p>
      <w:pPr>
        <w:spacing w:after="120" w:line="276"/>
        <w:jc w:val="both"/>
      </w:pPr>
      <w:r>
        <w:rPr>
          <w:rFonts w:ascii="Barlow Semi Condensed" w:cs="Barlow Semi Condensed" w:eastAsia="Barlow Semi Condensed" w:hAnsi="Barlow Semi Condensed"/>
          <w:b/>
          <w:bCs/>
          <w:sz w:val="24"/>
          <w:szCs w:val="24"/>
        </w:rPr>
        <w:t xml:space="preserve">719 · Misurare lo scarto, non l'ipocrisia.</w:t>
      </w:r>
      <w:r>
        <w:rPr>
          <w:rFonts w:ascii="Barlow Semi Condensed" w:cs="Barlow Semi Condensed" w:eastAsia="Barlow Semi Condensed" w:hAnsi="Barlow Semi Condensed"/>
          <w:sz w:val="24"/>
          <w:szCs w:val="24"/>
        </w:rPr>
        <w:t xml:space="preserve"> Lo scarto fra posizione dichiarata e atto documentato è una misura fra due termini entrambi documentati: si scrive con date, sedi e testi. L'ipocrisia è invece un'inferenza sull'interiorità, e nel sistema dei gradi non ha casella: non è A, non è B, non è nemmeno C, perché non esiste il documento che la confermerebbe o la smentirebbe. Si registra lo scarto e si tace il movente.</w:t>
      </w:r>
    </w:p>
    <w:p>
      <w:pPr>
        <w:spacing w:after="120" w:line="276"/>
        <w:jc w:val="both"/>
      </w:pPr>
      <w:r>
        <w:rPr>
          <w:rFonts w:ascii="Barlow Semi Condensed" w:cs="Barlow Semi Condensed" w:eastAsia="Barlow Semi Condensed" w:hAnsi="Barlow Semi Condensed"/>
          <w:b/>
          <w:bCs/>
          <w:sz w:val="24"/>
          <w:szCs w:val="24"/>
        </w:rPr>
        <w:t xml:space="preserve">720 · La tavola sinottica dei due termini.</w:t>
      </w:r>
      <w:r>
        <w:rPr>
          <w:rFonts w:ascii="Barlow Semi Condensed" w:cs="Barlow Semi Condensed" w:eastAsia="Barlow Semi Condensed" w:hAnsi="Barlow Semi Condensed"/>
          <w:sz w:val="24"/>
          <w:szCs w:val="24"/>
        </w:rPr>
        <w:t xml:space="preserve"> Lo strumento della serie è la tavola a due colonne del blocco 853 dei cantieri, applicata fuori dal registro dei condannati: per ogni nodo, a sinistra la dichiarazione con verbatim, data, sede e destinatario; a destra l'atto con la sua segnatura. Si contano concordanze, divergenze e inediti. Il prodotto è una misura, non una recensione, e il suo pregio è di restare leggibile anche a chi non condivide la lettura.</w:t>
      </w:r>
    </w:p>
    <w:p>
      <w:pPr>
        <w:spacing w:after="120" w:line="276"/>
        <w:jc w:val="both"/>
      </w:pPr>
      <w:r>
        <w:rPr>
          <w:rFonts w:ascii="Barlow Semi Condensed" w:cs="Barlow Semi Condensed" w:eastAsia="Barlow Semi Condensed" w:hAnsi="Barlow Semi Condensed"/>
          <w:b/>
          <w:bCs/>
          <w:sz w:val="24"/>
          <w:szCs w:val="24"/>
        </w:rPr>
        <w:t xml:space="preserve">721 · La norma di reazione.</w:t>
      </w:r>
      <w:r>
        <w:rPr>
          <w:rFonts w:ascii="Barlow Semi Condensed" w:cs="Barlow Semi Condensed" w:eastAsia="Barlow Semi Condensed" w:hAnsi="Barlow Semi Condensed"/>
          <w:sz w:val="24"/>
          <w:szCs w:val="24"/>
        </w:rPr>
        <w:t xml:space="preserve"> In biologia lo stesso genotipo dà fenotipi diversi in ambienti diversi: è la norma di reazione. Applicata qui, vieta due scorciatoie simmetriche. Non si inferisce la posizione dall'atto, perché lo stesso indirizzo produce condotte diverse a Lisbona, ad Atene e a Roma; e non si inferisce l'atto dalla posizione, perché una dottrina non si esegue da sé. Fra i due termini sta sempre un ambiente da documentare.</w:t>
      </w:r>
    </w:p>
    <w:p>
      <w:pPr>
        <w:spacing w:after="120" w:line="276"/>
        <w:jc w:val="both"/>
      </w:pPr>
      <w:r>
        <w:rPr>
          <w:rFonts w:ascii="Barlow Semi Condensed" w:cs="Barlow Semi Condensed" w:eastAsia="Barlow Semi Condensed" w:hAnsi="Barlow Semi Condensed"/>
          <w:b/>
          <w:bCs/>
          <w:sz w:val="24"/>
          <w:szCs w:val="24"/>
        </w:rPr>
        <w:t xml:space="preserve">722 · Penetranza ed espressività.</w:t>
      </w:r>
      <w:r>
        <w:rPr>
          <w:rFonts w:ascii="Barlow Semi Condensed" w:cs="Barlow Semi Condensed" w:eastAsia="Barlow Semi Condensed" w:hAnsi="Barlow Semi Condensed"/>
          <w:sz w:val="24"/>
          <w:szCs w:val="24"/>
        </w:rPr>
        <w:t xml:space="preserve"> La genetica distingue quante volte un tratto compare, che è la penetranza, da quanto intensamente compare, che è l'espressività. La coppia previene due errori frequenti: credere che una posizione dichiarata debba sempre produrre l'atto corrispondente, e credere che, dove lo produce, lo produca sempre con la stessa forza. L'atto mancante non smentisce la dichiarazione; l'atto tenue non la conferma in pieno. Entrambe le osservazioni si registrano, nessuna delle due decide.</w:t>
      </w:r>
    </w:p>
    <w:p>
      <w:pPr>
        <w:spacing w:after="120" w:line="276"/>
        <w:jc w:val="both"/>
      </w:pPr>
      <w:r>
        <w:rPr>
          <w:rFonts w:ascii="Barlow Semi Condensed" w:cs="Barlow Semi Condensed" w:eastAsia="Barlow Semi Condensed" w:hAnsi="Barlow Semi Condensed"/>
          <w:b/>
          <w:bCs/>
          <w:sz w:val="24"/>
          <w:szCs w:val="24"/>
        </w:rPr>
        <w:t xml:space="preserve">723 · Dove la metafora spinge al determinismo (serie X).</w:t>
      </w:r>
      <w:r>
        <w:rPr>
          <w:rFonts w:ascii="Barlow Semi Condensed" w:cs="Barlow Semi Condensed" w:eastAsia="Barlow Semi Condensed" w:hAnsi="Barlow Semi Condensed"/>
          <w:sz w:val="24"/>
          <w:szCs w:val="24"/>
        </w:rPr>
        <w:t xml:space="preserve"> Qui la lente va fermata, e dichiarandolo. Il vocabolario genetico suggerisce che il codice decida l'esito, e in politica non decide nulla: non esistono alleli delle scelte, non esiste penetranza delle dottrine, non esiste un carattere recessivo che spieghi un'omissione del 1978. Ogni volta che il lessico promette una causa dove c'è soltanto una descrizione, il blocco lo dice e la metafora arretra al rango di analogia dichiarata.</w:t>
      </w:r>
    </w:p>
    <w:p>
      <w:pPr>
        <w:spacing w:after="120" w:line="276"/>
        <w:jc w:val="both"/>
      </w:pPr>
      <w:r>
        <w:rPr>
          <w:rFonts w:ascii="Barlow Semi Condensed" w:cs="Barlow Semi Condensed" w:eastAsia="Barlow Semi Condensed" w:hAnsi="Barlow Semi Condensed"/>
          <w:b/>
          <w:bCs/>
          <w:sz w:val="24"/>
          <w:szCs w:val="24"/>
        </w:rPr>
        <w:t xml:space="preserve">724 · Contro la colpa ereditaria.</w:t>
      </w:r>
      <w:r>
        <w:rPr>
          <w:rFonts w:ascii="Barlow Semi Condensed" w:cs="Barlow Semi Condensed" w:eastAsia="Barlow Semi Condensed" w:hAnsi="Barlow Semi Condensed"/>
          <w:sz w:val="24"/>
          <w:szCs w:val="24"/>
        </w:rPr>
        <w:t xml:space="preserve"> Il secondo arresto obbligatorio riguarda l'ereditarietà. Nel corpus vige la regola per cui l'appartenenza a un'organizzazione, a una scuola o a un lignaggio dottrinale non è prova di condotta, e nessuno risponde dei propri congiunti. Il lessico dell'eredità la contraddirebbe se lasciato correre. Perciò in questa serie l'ereditarietà si usa soltanto per descrivere la trasmissione di testi e di formule, mai la trasmissione di responsabilità fra persone.</w:t>
      </w:r>
    </w:p>
    <w:p>
      <w:pPr>
        <w:spacing w:after="120" w:line="276"/>
        <w:jc w:val="both"/>
      </w:pPr>
      <w:r>
        <w:rPr>
          <w:rFonts w:ascii="Barlow Semi Condensed" w:cs="Barlow Semi Condensed" w:eastAsia="Barlow Semi Condensed" w:hAnsi="Barlow Semi Condensed"/>
          <w:b/>
          <w:bCs/>
          <w:sz w:val="24"/>
          <w:szCs w:val="24"/>
        </w:rPr>
        <w:t xml:space="preserve">725 · Omologia contro analogia (serie X).</w:t>
      </w:r>
      <w:r>
        <w:rPr>
          <w:rFonts w:ascii="Barlow Semi Condensed" w:cs="Barlow Semi Condensed" w:eastAsia="Barlow Semi Condensed" w:hAnsi="Barlow Semi Condensed"/>
          <w:sz w:val="24"/>
          <w:szCs w:val="24"/>
        </w:rPr>
        <w:t xml:space="preserve"> L'omologia è somiglianza per discendenza comune e va dimostrata; l'analogia è somiglianza di funzione con origini indipendenti. La coppia traduce esattamente i primi due piani della regola: piano 1, rapporto diretto documentato, è omologia; piano 2, convergenza strutturale entro la stessa cornice, è analogia. Confonderle è l'errore capitale di ogni dietrologia, che vede parentele ovunque perché guarda alle forme e non alle catene documentate.</w:t>
      </w:r>
    </w:p>
    <w:p>
      <w:pPr>
        <w:spacing w:after="120" w:line="276"/>
        <w:jc w:val="both"/>
      </w:pPr>
      <w:r>
        <w:rPr>
          <w:rFonts w:ascii="Barlow Semi Condensed" w:cs="Barlow Semi Condensed" w:eastAsia="Barlow Semi Condensed" w:hAnsi="Barlow Semi Condensed"/>
          <w:b/>
          <w:bCs/>
          <w:sz w:val="24"/>
          <w:szCs w:val="24"/>
        </w:rPr>
        <w:t xml:space="preserve">726 · La fenocopia e il piano 2.</w:t>
      </w:r>
      <w:r>
        <w:rPr>
          <w:rFonts w:ascii="Barlow Semi Condensed" w:cs="Barlow Semi Condensed" w:eastAsia="Barlow Semi Condensed" w:hAnsi="Barlow Semi Condensed"/>
          <w:sz w:val="24"/>
          <w:szCs w:val="24"/>
        </w:rPr>
        <w:t xml:space="preserve"> La fenocopia è un tratto prodotto dall'ambiente e indistinguibile da quello genetico. È la figura più utile della serie: un atto che sembra discendere da una dottrina e discende invece dalla circostanza. Due governi possono comportarsi allo stesso modo verso Lisbona nel 1974 senza alcun rapporto fra loro. La fenocopia si registra al piano 2 e non si promuove mai al piano 1, per quanto la somiglianza sia perfetta.</w:t>
      </w:r>
    </w:p>
    <w:p>
      <w:pPr>
        <w:spacing w:after="120" w:line="276"/>
        <w:jc w:val="both"/>
      </w:pPr>
      <w:r>
        <w:rPr>
          <w:rFonts w:ascii="Barlow Semi Condensed" w:cs="Barlow Semi Condensed" w:eastAsia="Barlow Semi Condensed" w:hAnsi="Barlow Semi Condensed"/>
          <w:b/>
          <w:bCs/>
          <w:sz w:val="24"/>
          <w:szCs w:val="24"/>
        </w:rPr>
        <w:t xml:space="preserve">727 · Il DNA non codificante dell'archivio.</w:t>
      </w:r>
      <w:r>
        <w:rPr>
          <w:rFonts w:ascii="Barlow Semi Condensed" w:cs="Barlow Semi Condensed" w:eastAsia="Barlow Semi Condensed" w:hAnsi="Barlow Semi Condensed"/>
          <w:sz w:val="24"/>
          <w:szCs w:val="24"/>
        </w:rPr>
        <w:t xml:space="preserve"> La maggior parte di un fondo non esprime nulla: intestazioni, formule di cortesia, liste di distribuzione, ricevute. Fu a lungo chiamata spazzatura, ed è invece regolazione: dice chi leggeva, quando, con quale precedenza. Chi spoglia cercando solo le frasi rivelatrici scarta il tessuto che permette di datare e collocare quelle frasi. La serie prescrive di schedare anche ciò che non dice niente, perché dice dove.</w:t>
      </w:r>
    </w:p>
    <w:p>
      <w:pPr>
        <w:spacing w:after="120" w:line="276"/>
        <w:jc w:val="both"/>
      </w:pPr>
      <w:r>
        <w:rPr>
          <w:rFonts w:ascii="Barlow Semi Condensed" w:cs="Barlow Semi Condensed" w:eastAsia="Barlow Semi Condensed" w:hAnsi="Barlow Semi Condensed"/>
          <w:b/>
          <w:bCs/>
          <w:sz w:val="24"/>
          <w:szCs w:val="24"/>
        </w:rPr>
        <w:t xml:space="preserve">728 · L'epigenetica del documento.</w:t>
      </w:r>
      <w:r>
        <w:rPr>
          <w:rFonts w:ascii="Barlow Semi Condensed" w:cs="Barlow Semi Condensed" w:eastAsia="Barlow Semi Condensed" w:hAnsi="Barlow Semi Condensed"/>
          <w:sz w:val="24"/>
          <w:szCs w:val="24"/>
        </w:rPr>
        <w:t xml:space="preserve"> Attorno al testo esiste uno strato che ne governa la lettura senza appartenere alle sue parole: la classifica di segretezza, l'elenco dei destinatari, l'annotazione a margine, la collocazione nella serie. Sono marcature epigenetiche: non cambiano il testo, cambiano ciò che il testo fa. Ogni scheda riporta perciò, accanto al contenuto, questo strato — ed è spesso lì che si misura la distanza fra il dichiarato e l'operativo.</w:t>
      </w:r>
    </w:p>
    <w:p>
      <w:pPr>
        <w:spacing w:after="120" w:line="276"/>
        <w:jc w:val="both"/>
      </w:pPr>
      <w:r>
        <w:rPr>
          <w:rFonts w:ascii="Barlow Semi Condensed" w:cs="Barlow Semi Condensed" w:eastAsia="Barlow Semi Condensed" w:hAnsi="Barlow Semi Condensed"/>
          <w:b/>
          <w:bCs/>
          <w:sz w:val="24"/>
          <w:szCs w:val="24"/>
        </w:rPr>
        <w:t xml:space="preserve">729 · La trascrizione e i suoi errori.</w:t>
      </w:r>
      <w:r>
        <w:rPr>
          <w:rFonts w:ascii="Barlow Semi Condensed" w:cs="Barlow Semi Condensed" w:eastAsia="Barlow Semi Condensed" w:hAnsi="Barlow Semi Condensed"/>
          <w:sz w:val="24"/>
          <w:szCs w:val="24"/>
        </w:rPr>
        <w:t xml:space="preserve"> Dal verbale alla sintesi di stampa, dalla sintesi alla voce enciclopedica, dalla voce al rilancio: ogni passaggio è una copia, e ogni copia introduce errori. La filologia chiama stemma ciò che la biologia chiama linea di replicazione. Prima di discutere un'affermazione la serie chiede di risalire alla copia più prossima all'originale, perché quasi sempre l'anomalia che pare rivelatrice è un errore di trascrizione con quarant'anni di età.</w:t>
      </w:r>
    </w:p>
    <w:p>
      <w:pPr>
        <w:spacing w:after="120" w:line="276"/>
        <w:jc w:val="both"/>
      </w:pPr>
      <w:r>
        <w:rPr>
          <w:rFonts w:ascii="Barlow Semi Condensed" w:cs="Barlow Semi Condensed" w:eastAsia="Barlow Semi Condensed" w:hAnsi="Barlow Semi Condensed"/>
          <w:b/>
          <w:bCs/>
          <w:sz w:val="24"/>
          <w:szCs w:val="24"/>
        </w:rPr>
        <w:t xml:space="preserve">730 · La replicazione non è riscontro.</w:t>
      </w:r>
      <w:r>
        <w:rPr>
          <w:rFonts w:ascii="Barlow Semi Condensed" w:cs="Barlow Semi Condensed" w:eastAsia="Barlow Semi Condensed" w:hAnsi="Barlow Semi Condensed"/>
          <w:sz w:val="24"/>
          <w:szCs w:val="24"/>
        </w:rPr>
        <w:t xml:space="preserve"> Le decine di riprese pressoché identiche sull'episodio del presunto avvertimento risalgono a un unico lancio d'agenzia del 30 novembre 2023. In biologia mille copie dello stesso filamento restano un'informazione sola; in storiografia mille rilanci restano una fonte sola. Il numero delle ripetizioni non aggiunge valore probatorio. La tavola della circolazione va tenuta, perché è un dato sulla ricezione, ma non entra mai nella colonna dei riscontri.</w:t>
      </w:r>
    </w:p>
    <w:p>
      <w:pPr>
        <w:spacing w:after="120" w:line="276"/>
        <w:jc w:val="both"/>
      </w:pPr>
      <w:r>
        <w:rPr>
          <w:rFonts w:ascii="Barlow Semi Condensed" w:cs="Barlow Semi Condensed" w:eastAsia="Barlow Semi Condensed" w:hAnsi="Barlow Semi Condensed"/>
          <w:b/>
          <w:bCs/>
          <w:sz w:val="24"/>
          <w:szCs w:val="24"/>
        </w:rPr>
        <w:t xml:space="preserve">731 · La filogenesi delle versioni.</w:t>
      </w:r>
      <w:r>
        <w:rPr>
          <w:rFonts w:ascii="Barlow Semi Condensed" w:cs="Barlow Semi Condensed" w:eastAsia="Barlow Semi Condensed" w:hAnsi="Barlow Semi Condensed"/>
          <w:sz w:val="24"/>
          <w:szCs w:val="24"/>
        </w:rPr>
        <w:t xml:space="preserve"> Costruire l'albero delle varianti di un'affermazione è lavoro fattibile e raramente fatto: si datano le occorrenze, si cercano gli errori condivisi, si risale all'antenato comune. Il rilancio internazionale del 1982 sull'episodio proviene da una pubblicazione di orientamento cospirazionista, citabile come nodo di circolazione e non come riscontro. Collocarlo nell'albero è più utile che confutarlo: mostra da dove il ramo si diparte, e quando.</w:t>
      </w:r>
    </w:p>
    <w:p>
      <w:pPr>
        <w:spacing w:after="120" w:line="276"/>
        <w:jc w:val="both"/>
      </w:pPr>
      <w:r>
        <w:rPr>
          <w:rFonts w:ascii="Barlow Semi Condensed" w:cs="Barlow Semi Condensed" w:eastAsia="Barlow Semi Condensed" w:hAnsi="Barlow Semi Condensed"/>
          <w:b/>
          <w:bCs/>
          <w:sz w:val="24"/>
          <w:szCs w:val="24"/>
        </w:rPr>
        <w:t xml:space="preserve">732 · Il trasferimento orizzontale del mito.</w:t>
      </w:r>
      <w:r>
        <w:rPr>
          <w:rFonts w:ascii="Barlow Semi Condensed" w:cs="Barlow Semi Condensed" w:eastAsia="Barlow Semi Condensed" w:hAnsi="Barlow Semi Condensed"/>
          <w:sz w:val="24"/>
          <w:szCs w:val="24"/>
        </w:rPr>
        <w:t xml:space="preserve"> Non tutta la trasmissione è ereditaria: in biologia esiste il passaggio laterale di materiale fra organismi non imparentati. È la figura giusta per il vettore Feltrinelli — il manifesto di Korda nel 1967, il diario boliviano nel 1968 — e per la genealogia dichiarata delle Brigate Rosse. Un mito trasmesso lateralmente spiega la somiglianza dei simboli e non stabilisce alcuna catena di comando: resta al piano 2.</w:t>
      </w:r>
    </w:p>
    <w:p>
      <w:pPr>
        <w:spacing w:after="120" w:line="276"/>
        <w:jc w:val="both"/>
      </w:pPr>
      <w:r>
        <w:rPr>
          <w:rFonts w:ascii="Barlow Semi Condensed" w:cs="Barlow Semi Condensed" w:eastAsia="Barlow Semi Condensed" w:hAnsi="Barlow Semi Condensed"/>
          <w:b/>
          <w:bCs/>
          <w:sz w:val="24"/>
          <w:szCs w:val="24"/>
        </w:rPr>
        <w:t xml:space="preserve">733 · Il marcatore non è il gene.</w:t>
      </w:r>
      <w:r>
        <w:rPr>
          <w:rFonts w:ascii="Barlow Semi Condensed" w:cs="Barlow Semi Condensed" w:eastAsia="Barlow Semi Condensed" w:hAnsi="Barlow Semi Condensed"/>
          <w:sz w:val="24"/>
          <w:szCs w:val="24"/>
        </w:rPr>
        <w:t xml:space="preserve"> In genetica un marcatore è associato a un tratto senza causarlo: serve a localizzare, non a spiegare. La contemporaneità cronologica è un marcatore di questo tipo, e la disciplina del corpus lo dice per esteso: non è prova di nesso. Un marcatore utile va comunque registrato, perché indica dove cercare; ma la scheda deve stampare accanto, nella stessa riga, che esso localizza soltanto.</w:t>
      </w:r>
    </w:p>
    <w:p>
      <w:pPr>
        <w:spacing w:after="120" w:line="276"/>
        <w:jc w:val="both"/>
      </w:pPr>
      <w:r>
        <w:rPr>
          <w:rFonts w:ascii="Barlow Semi Condensed" w:cs="Barlow Semi Condensed" w:eastAsia="Barlow Semi Condensed" w:hAnsi="Barlow Semi Condensed"/>
          <w:b/>
          <w:bCs/>
          <w:sz w:val="24"/>
          <w:szCs w:val="24"/>
        </w:rPr>
        <w:t xml:space="preserve">734 · Il gene reporter.</w:t>
      </w:r>
      <w:r>
        <w:rPr>
          <w:rFonts w:ascii="Barlow Semi Condensed" w:cs="Barlow Semi Condensed" w:eastAsia="Barlow Semi Condensed" w:hAnsi="Barlow Semi Condensed"/>
          <w:sz w:val="24"/>
          <w:szCs w:val="24"/>
        </w:rPr>
        <w:t xml:space="preserve"> Alcune dichiarazioni non producono effetti: esistono per essere osservate. Segnalano una posizione a un destinatario che deve registrarla, come il gene reporter inserito per rendere visibile un processo altrimenti muto. Riconoscerle evita due errori opposti: attribuire loro una potenza operativa che non hanno, e trattarle come irrilevanti perché nulla ne seguì. Il loro grado è pieno come dichiarazioni; nullo come atti.</w:t>
      </w:r>
    </w:p>
    <w:p>
      <w:pPr>
        <w:spacing w:after="120" w:line="276"/>
        <w:jc w:val="both"/>
      </w:pPr>
      <w:r>
        <w:rPr>
          <w:rFonts w:ascii="Barlow Semi Condensed" w:cs="Barlow Semi Condensed" w:eastAsia="Barlow Semi Condensed" w:hAnsi="Barlow Semi Condensed"/>
          <w:b/>
          <w:bCs/>
          <w:sz w:val="24"/>
          <w:szCs w:val="24"/>
        </w:rPr>
        <w:t xml:space="preserve">735 · La regola dei tre piani come sequenza.</w:t>
      </w:r>
      <w:r>
        <w:rPr>
          <w:rFonts w:ascii="Barlow Semi Condensed" w:cs="Barlow Semi Condensed" w:eastAsia="Barlow Semi Condensed" w:hAnsi="Barlow Semi Condensed"/>
          <w:sz w:val="24"/>
          <w:szCs w:val="24"/>
        </w:rPr>
        <w:t xml:space="preserve"> Il piano 1 è il rapporto diretto documentato: la sequenza letta, non dedotta. Il piano 2 è la convergenza strutturale entro la stessa cornice: somiglianza di forma senza lettura della sequenza. Il piano 3 è l'affermazione terziaria priva di riscontro: nessuna lettura, nessuna forma, soltanto una voce. Un ponte è reale al solo piano 1; gli altri due si registrano come tali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736 · La dichiarazione che è atto: la firma.</w:t>
      </w:r>
      <w:r>
        <w:rPr>
          <w:rFonts w:ascii="Barlow Semi Condensed" w:cs="Barlow Semi Condensed" w:eastAsia="Barlow Semi Condensed" w:hAnsi="Barlow Semi Condensed"/>
          <w:sz w:val="24"/>
          <w:szCs w:val="24"/>
        </w:rPr>
        <w:t xml:space="preserve"> Esiste una classe di dichiarazioni in cui il dichiarato e l'osservato coincidono per intero, ed è quella performativa. La firma dell'Accordo provvisorio CEE-Turchia a Bruxelles il 27 luglio 1971, attestata dal preambolo del regolamento comunitario, e la firma dell'Atto finale di Helsinki il 1° agosto 1975 sono insieme parola e fatto. Su questa classe lo scarto è per costruzione nullo, e la serie la registra come pavimento.</w:t>
      </w:r>
    </w:p>
    <w:p>
      <w:pPr>
        <w:spacing w:after="120" w:line="276"/>
        <w:jc w:val="both"/>
      </w:pPr>
      <w:r>
        <w:rPr>
          <w:rFonts w:ascii="Barlow Semi Condensed" w:cs="Barlow Semi Condensed" w:eastAsia="Barlow Semi Condensed" w:hAnsi="Barlow Semi Condensed"/>
          <w:b/>
          <w:bCs/>
          <w:sz w:val="24"/>
          <w:szCs w:val="24"/>
        </w:rPr>
        <w:t xml:space="preserve">737 · Pleiotropia di una firma sola.</w:t>
      </w:r>
      <w:r>
        <w:rPr>
          <w:rFonts w:ascii="Barlow Semi Condensed" w:cs="Barlow Semi Condensed" w:eastAsia="Barlow Semi Condensed" w:hAnsi="Barlow Semi Condensed"/>
          <w:sz w:val="24"/>
          <w:szCs w:val="24"/>
        </w:rPr>
        <w:t xml:space="preserve"> A Helsinki, il 1° agosto 1975, Aldo Moro sottoscrisse nella duplice qualità di Presidente del Consiglio e di Presidente di turno della Comunità europea: un solo atto che esprime due mandati distinti. In genetica un gene che agisce su più caratteri si dice pleiotropico. Qui la figura serve a una cautela pratica: contare quell'evento due volte, come se fossero due adesioni, gonfierebbe qualunque conteggio di convergenze.</w:t>
      </w:r>
    </w:p>
    <w:p>
      <w:pPr>
        <w:spacing w:after="120" w:line="276"/>
        <w:jc w:val="both"/>
      </w:pPr>
      <w:r>
        <w:rPr>
          <w:rFonts w:ascii="Barlow Semi Condensed" w:cs="Barlow Semi Condensed" w:eastAsia="Barlow Semi Condensed" w:hAnsi="Barlow Semi Condensed"/>
          <w:b/>
          <w:bCs/>
          <w:sz w:val="24"/>
          <w:szCs w:val="24"/>
        </w:rPr>
        <w:t xml:space="preserve">738 · L'insofferenza registrata a Helsinki.</w:t>
      </w:r>
      <w:r>
        <w:rPr>
          <w:rFonts w:ascii="Barlow Semi Condensed" w:cs="Barlow Semi Condensed" w:eastAsia="Barlow Semi Condensed" w:hAnsi="Barlow Semi Condensed"/>
          <w:sz w:val="24"/>
          <w:szCs w:val="24"/>
        </w:rPr>
        <w:t xml:space="preserve"> Il corpus registra come fatto pubblico l'insofferenza di Henry Kissinger rispetto al coinvolgimento della Comunità europea nella firma dell'Atto finale. Il caso è istruttivo perché la posizione dichiarata ha per oggetto proprio quella firma in duplice qualità: dichiarato e osservato si toccano senza confondersi. Si registra la contrarietà con la sua sede; non se ne inferisce alcun effetto sulla firma, che fu apposta.</w:t>
      </w:r>
    </w:p>
    <w:p>
      <w:pPr>
        <w:spacing w:after="120" w:line="276"/>
        <w:jc w:val="both"/>
      </w:pPr>
      <w:r>
        <w:rPr>
          <w:rFonts w:ascii="Barlow Semi Condensed" w:cs="Barlow Semi Condensed" w:eastAsia="Barlow Semi Condensed" w:hAnsi="Barlow Semi Condensed"/>
          <w:b/>
          <w:bCs/>
          <w:sz w:val="24"/>
          <w:szCs w:val="24"/>
        </w:rPr>
        <w:t xml:space="preserve">739 · Il memorandum of conversation come fenotipo.</w:t>
      </w:r>
      <w:r>
        <w:rPr>
          <w:rFonts w:ascii="Barlow Semi Condensed" w:cs="Barlow Semi Condensed" w:eastAsia="Barlow Semi Condensed" w:hAnsi="Barlow Semi Condensed"/>
          <w:sz w:val="24"/>
          <w:szCs w:val="24"/>
        </w:rPr>
        <w:t xml:space="preserve"> Un memorandum of conversation non è il colloquio: è la parte del colloquio destinata al verbale, redatta da chi era incaricato di redigerla. Il documento del 25 settembre 1974 nello Studio Ovale — Leone, Moro, Ford, Kissinger — è conservato alla Ford Library con segnatura 1552802 ed edito in FRUS 1969-1976, volume E-15 parte 2, documento 350. È fonte primaria di grado massimo su ciò che vi è scritto, e solo su quello.</w:t>
      </w:r>
    </w:p>
    <w:p>
      <w:pPr>
        <w:spacing w:after="120" w:line="276"/>
        <w:jc w:val="both"/>
      </w:pPr>
      <w:r>
        <w:rPr>
          <w:rFonts w:ascii="Barlow Semi Condensed" w:cs="Barlow Semi Condensed" w:eastAsia="Barlow Semi Condensed" w:hAnsi="Barlow Semi Condensed"/>
          <w:b/>
          <w:bCs/>
          <w:sz w:val="24"/>
          <w:szCs w:val="24"/>
        </w:rPr>
        <w:t xml:space="preserve">740 · Che cosa il verbale del 25 settembre attesta.</w:t>
      </w:r>
      <w:r>
        <w:rPr>
          <w:rFonts w:ascii="Barlow Semi Condensed" w:cs="Barlow Semi Condensed" w:eastAsia="Barlow Semi Condensed" w:hAnsi="Barlow Semi Condensed"/>
          <w:sz w:val="24"/>
          <w:szCs w:val="24"/>
        </w:rPr>
        <w:t xml:space="preserve"> Attesta la posizione statunitense sull'impossibilità di scambiare informazioni militari con un governo comprendente i comunisti, e il rilievo secondo cui un Partito comunista «responsabile» risulterebbe più pericoloso di uno irresponsabile. È molto, ed è documentato. Non contiene alcun ultimatum personale rivolto ad Aldo Moro. Questa è la colonna dell'osservato, e va letta senza aggiungervi ciò che si vorrebbe trovarvi.</w:t>
      </w:r>
    </w:p>
    <w:p>
      <w:pPr>
        <w:spacing w:after="120" w:line="276"/>
        <w:jc w:val="both"/>
      </w:pPr>
      <w:r>
        <w:rPr>
          <w:rFonts w:ascii="Barlow Semi Condensed" w:cs="Barlow Semi Condensed" w:eastAsia="Barlow Semi Condensed" w:hAnsi="Barlow Semi Condensed"/>
          <w:b/>
          <w:bCs/>
          <w:sz w:val="24"/>
          <w:szCs w:val="24"/>
        </w:rPr>
        <w:t xml:space="preserve">741 · Che cosa il verbale non attesta (serie X).</w:t>
      </w:r>
      <w:r>
        <w:rPr>
          <w:rFonts w:ascii="Barlow Semi Condensed" w:cs="Barlow Semi Condensed" w:eastAsia="Barlow Semi Condensed" w:hAnsi="Barlow Semi Condensed"/>
          <w:sz w:val="24"/>
          <w:szCs w:val="24"/>
        </w:rPr>
        <w:t xml:space="preserve"> Il documento attesta la posizione di Kissinger sul PCI; non attesta una posizione di Moro sul medesimo punto in quella sede, e la ricognizione del corpus avverte espressamente di non inferirla. Il silenzio di un verbale su un partecipante non è una posizione di quel partecipante: è una proprietà del verbale. Trattarlo altrimenti significa leggere il DNA non codificante come se codificasse.</w:t>
      </w:r>
    </w:p>
    <w:p>
      <w:pPr>
        <w:spacing w:after="120" w:line="276"/>
        <w:jc w:val="both"/>
      </w:pPr>
      <w:r>
        <w:rPr>
          <w:rFonts w:ascii="Barlow Semi Condensed" w:cs="Barlow Semi Condensed" w:eastAsia="Barlow Semi Condensed" w:hAnsi="Barlow Semi Condensed"/>
          <w:b/>
          <w:bCs/>
          <w:sz w:val="24"/>
          <w:szCs w:val="24"/>
        </w:rPr>
        <w:t xml:space="preserve">742 · Il colloquio del giorno successivo.</w:t>
      </w:r>
      <w:r>
        <w:rPr>
          <w:rFonts w:ascii="Barlow Semi Condensed" w:cs="Barlow Semi Condensed" w:eastAsia="Barlow Semi Condensed" w:hAnsi="Barlow Semi Condensed"/>
          <w:sz w:val="24"/>
          <w:szCs w:val="24"/>
        </w:rPr>
        <w:t xml:space="preserve"> Del 26 settembre 1974 esiste un secondo verbale, alla Ford Library con segnatura 1552806: due fenotipi della stessa sequenza diplomatica, a ventiquattr'ore di distanza. Quesito operativo della serie: collazionare integralmente i due documenti e tabulare che cosa il secondo aggiunge, ripete o corregge rispetto al primo. È accertamento a costo basso e rendimento alto, e non risulta compiuto in forma pubblicata.</w:t>
      </w:r>
    </w:p>
    <w:p>
      <w:pPr>
        <w:spacing w:after="120" w:line="276"/>
        <w:jc w:val="both"/>
      </w:pPr>
      <w:r>
        <w:rPr>
          <w:rFonts w:ascii="Barlow Semi Condensed" w:cs="Barlow Semi Condensed" w:eastAsia="Barlow Semi Condensed" w:hAnsi="Barlow Semi Condensed"/>
          <w:b/>
          <w:bCs/>
          <w:sz w:val="24"/>
          <w:szCs w:val="24"/>
        </w:rPr>
        <w:t xml:space="preserve">743 · Quando il dichiarato è già l'atto.</w:t>
      </w:r>
      <w:r>
        <w:rPr>
          <w:rFonts w:ascii="Barlow Semi Condensed" w:cs="Barlow Semi Condensed" w:eastAsia="Barlow Semi Condensed" w:hAnsi="Barlow Semi Condensed"/>
          <w:sz w:val="24"/>
          <w:szCs w:val="24"/>
        </w:rPr>
        <w:t xml:space="preserve"> A ridosso dell'incontro, Kissinger espresse a Ford la propria posizione sul PCI e sul rischio di contagio in altri Paesi europei. Qui la dichiarazione non precede l'atto: lo è, perché è rivolta a chi decide e ne orienta la decisione. La serie la registra nella colonna degli atti, con la sua fonte, e non la somma a quella delle dichiarazioni: contarla due volte sarebbe raddoppiare un dato solo.</w:t>
      </w:r>
    </w:p>
    <w:p>
      <w:pPr>
        <w:spacing w:after="120" w:line="276"/>
        <w:jc w:val="both"/>
      </w:pPr>
      <w:r>
        <w:rPr>
          <w:rFonts w:ascii="Barlow Semi Condensed" w:cs="Barlow Semi Condensed" w:eastAsia="Barlow Semi Condensed" w:hAnsi="Barlow Semi Condensed"/>
          <w:b/>
          <w:bCs/>
          <w:sz w:val="24"/>
          <w:szCs w:val="24"/>
        </w:rPr>
        <w:t xml:space="preserve">744 · Il Comitato dei 303, 11 marzo 1969.</w:t>
      </w:r>
      <w:r>
        <w:rPr>
          <w:rFonts w:ascii="Barlow Semi Condensed" w:cs="Barlow Semi Condensed" w:eastAsia="Barlow Semi Condensed" w:hAnsi="Barlow Semi Condensed"/>
          <w:sz w:val="24"/>
          <w:szCs w:val="24"/>
        </w:rPr>
        <w:t xml:space="preserve"> Il verbale della riunione presieduta da Kissinger, in FRUS 1969-1976 volume XLI documento 180, registra l'illustrazione di origini e livelli del sostegno coperto ai partiti italiani fra il 1948 e il 1968 e la convergenza unanime dei presenti sull'assenza di reale giustificazione per riprenderlo. È un atto documentato, e il suo contenuto è una decisione di non fare: gli atti negativi hanno grado pari agli altri.</w:t>
      </w:r>
    </w:p>
    <w:p>
      <w:pPr>
        <w:spacing w:after="120" w:line="276"/>
        <w:jc w:val="both"/>
      </w:pPr>
      <w:r>
        <w:rPr>
          <w:rFonts w:ascii="Barlow Semi Condensed" w:cs="Barlow Semi Condensed" w:eastAsia="Barlow Semi Condensed" w:hAnsi="Barlow Semi Condensed"/>
          <w:b/>
          <w:bCs/>
          <w:sz w:val="24"/>
          <w:szCs w:val="24"/>
        </w:rPr>
        <w:t xml:space="preserve">745 · La data che disinnesca la suggestione.</w:t>
      </w:r>
      <w:r>
        <w:rPr>
          <w:rFonts w:ascii="Barlow Semi Condensed" w:cs="Barlow Semi Condensed" w:eastAsia="Barlow Semi Condensed" w:hAnsi="Barlow Semi Condensed"/>
          <w:sz w:val="24"/>
          <w:szCs w:val="24"/>
        </w:rPr>
        <w:t xml:space="preserve"> L'11 marzo 1969 precede di quasi cinque mesi l'insediamento di Aldo Moro alla Farnesina, avvenuto il 5 agosto 1969. La contemporaneità che una lettura frettolosa vi troverebbe è apparente, e la disciplina del corpus è esplicita: la contemporaneità cronologica non è prova di nesso, e qui manca perfino quella. Il blocco si scrive per essere citato ogni volta che la riunione venga accostata al ministero.</w:t>
      </w:r>
    </w:p>
    <w:p>
      <w:pPr>
        <w:spacing w:after="120" w:line="276"/>
        <w:jc w:val="both"/>
      </w:pPr>
      <w:r>
        <w:rPr>
          <w:rFonts w:ascii="Barlow Semi Condensed" w:cs="Barlow Semi Condensed" w:eastAsia="Barlow Semi Condensed" w:hAnsi="Barlow Semi Condensed"/>
          <w:b/>
          <w:bCs/>
          <w:sz w:val="24"/>
          <w:szCs w:val="24"/>
        </w:rPr>
        <w:t xml:space="preserve">746 · L'istruzione di studio del dicembre 1969.</w:t>
      </w:r>
      <w:r>
        <w:rPr>
          <w:rFonts w:ascii="Barlow Semi Condensed" w:cs="Barlow Semi Condensed" w:eastAsia="Barlow Semi Condensed" w:hAnsi="Barlow Semi Condensed"/>
          <w:sz w:val="24"/>
          <w:szCs w:val="24"/>
        </w:rPr>
        <w:t xml:space="preserve"> FRUS volume XLI documento 188 registra l'istruzione di Nixon, nel dicembre 1969, di avviare uno studio sull'Italia. Un'istruzione a studiare è un atto e va contata come tale, con il suo grado; non è però un programma, e non diventa un programma perché in seguito un programma esistette. Il codice trascritto non è ancora proteina: fra i due passaggi la regolazione può fermare tutto.</w:t>
      </w:r>
    </w:p>
    <w:p>
      <w:pPr>
        <w:spacing w:after="120" w:line="276"/>
        <w:jc w:val="both"/>
      </w:pPr>
      <w:r>
        <w:rPr>
          <w:rFonts w:ascii="Barlow Semi Condensed" w:cs="Barlow Semi Condensed" w:eastAsia="Barlow Semi Condensed" w:hAnsi="Barlow Semi Condensed"/>
          <w:b/>
          <w:bCs/>
          <w:sz w:val="24"/>
          <w:szCs w:val="24"/>
        </w:rPr>
        <w:t xml:space="preserve">747 · Il riemergere del programma coperto (serie X).</w:t>
      </w:r>
      <w:r>
        <w:rPr>
          <w:rFonts w:ascii="Barlow Semi Condensed" w:cs="Barlow Semi Condensed" w:eastAsia="Barlow Semi Condensed" w:hAnsi="Barlow Semi Condensed"/>
          <w:sz w:val="24"/>
          <w:szCs w:val="24"/>
        </w:rPr>
        <w:t xml:space="preserve"> Un saggio sottoposto a revisione paritaria segnala il riemergere del programma di azione coperta in Italia nel novembre 1975 e nel luglio 1976, quando Moro era presidente del Consiglio e non ministro degli Esteri. La sequenza si registra con le date e la carica esatte. Ricavarne una linea continua dal 1969 significherebbe costruire una filogenesi su due punti e un'ipotesi: si registra la sequenza, non la linea.</w:t>
      </w:r>
    </w:p>
    <w:p>
      <w:pPr>
        <w:spacing w:after="120" w:line="276"/>
        <w:jc w:val="both"/>
      </w:pPr>
      <w:r>
        <w:rPr>
          <w:rFonts w:ascii="Barlow Semi Condensed" w:cs="Barlow Semi Condensed" w:eastAsia="Barlow Semi Condensed" w:hAnsi="Barlow Semi Condensed"/>
          <w:b/>
          <w:bCs/>
          <w:sz w:val="24"/>
          <w:szCs w:val="24"/>
        </w:rPr>
        <w:t xml:space="preserve">748 · Le Azzorre, 19 giugno 1974.</w:t>
      </w:r>
      <w:r>
        <w:rPr>
          <w:rFonts w:ascii="Barlow Semi Condensed" w:cs="Barlow Semi Condensed" w:eastAsia="Barlow Semi Condensed" w:hAnsi="Barlow Semi Condensed"/>
          <w:sz w:val="24"/>
          <w:szCs w:val="24"/>
        </w:rPr>
        <w:t xml:space="preserve"> Il memorandum dell'incontro fra Nixon e Spínola alle Azzorre, del 19 giugno 1974, appartiene ai fatti pubblici già acquisiti dal corpus. La regola di lettura è la stessa applicata al verbale dello Studio Ovale: al piano 1 entra ciò che il documento dice di sé, con la sua segnatura; tutto ciò che si vorrebbe dedurne sul seguito portoghese resta al piano 2 finché un altro documento non lo attesti.</w:t>
      </w:r>
    </w:p>
    <w:p>
      <w:pPr>
        <w:spacing w:after="120" w:line="276"/>
        <w:jc w:val="both"/>
      </w:pPr>
      <w:r>
        <w:rPr>
          <w:rFonts w:ascii="Barlow Semi Condensed" w:cs="Barlow Semi Condensed" w:eastAsia="Barlow Semi Condensed" w:hAnsi="Barlow Semi Condensed"/>
          <w:b/>
          <w:bCs/>
          <w:sz w:val="24"/>
          <w:szCs w:val="24"/>
        </w:rPr>
        <w:t xml:space="preserve">749 · Ciò che una paura nomina.</w:t>
      </w:r>
      <w:r>
        <w:rPr>
          <w:rFonts w:ascii="Barlow Semi Condensed" w:cs="Barlow Semi Condensed" w:eastAsia="Barlow Semi Condensed" w:hAnsi="Barlow Semi Condensed"/>
          <w:sz w:val="24"/>
          <w:szCs w:val="24"/>
        </w:rPr>
        <w:t xml:space="preserve"> Nella documentazione statunitense sul Portogallo compare la preoccupazione per un «leftist neutralist regime» a Lisbona. La formula è un fenotipo del dichiarato: attesta con precisione che cosa si temeva, e nulla su che cosa fu fatto. La distanza fra il timore scritto e la condotta eseguita è esattamente l'oggetto di questa serie, e va misurata su documenti diversi, non ricavata dall'intensità dell'aggettivo.</w:t>
      </w:r>
    </w:p>
    <w:p>
      <w:pPr>
        <w:spacing w:after="120" w:line="276"/>
        <w:jc w:val="both"/>
      </w:pPr>
      <w:r>
        <w:rPr>
          <w:rFonts w:ascii="Barlow Semi Condensed" w:cs="Barlow Semi Condensed" w:eastAsia="Barlow Semi Condensed" w:hAnsi="Barlow Semi Condensed"/>
          <w:b/>
          <w:bCs/>
          <w:sz w:val="24"/>
          <w:szCs w:val="24"/>
        </w:rPr>
        <w:t xml:space="preserve">750 · Il fenotipo dell'apparato e quello della persona.</w:t>
      </w:r>
      <w:r>
        <w:rPr>
          <w:rFonts w:ascii="Barlow Semi Condensed" w:cs="Barlow Semi Condensed" w:eastAsia="Barlow Semi Condensed" w:hAnsi="Barlow Semi Condensed"/>
          <w:sz w:val="24"/>
          <w:szCs w:val="24"/>
        </w:rPr>
        <w:t xml:space="preserve"> Un apparato statale e una persona che lo dirige sono due organismi con fenotipi distinti. Un programma deliberato da un comitato è atto del comitato; una frase pronunciata in una stanza è atto di chi la pronuncia. Attribuire all'individuo il fenotipo dell'organo, o all'organo quello dell'individuo, è la promozione vietata più comune. Ogni scheda della serie dichiara in testa quale dei due soggetti sta misurando.</w:t>
      </w:r>
    </w:p>
    <w:p>
      <w:pPr>
        <w:spacing w:after="120" w:line="276"/>
        <w:jc w:val="both"/>
      </w:pPr>
      <w:r>
        <w:rPr>
          <w:rFonts w:ascii="Barlow Semi Condensed" w:cs="Barlow Semi Condensed" w:eastAsia="Barlow Semi Condensed" w:hAnsi="Barlow Semi Condensed"/>
          <w:b/>
          <w:bCs/>
          <w:sz w:val="24"/>
          <w:szCs w:val="24"/>
        </w:rPr>
        <w:t xml:space="preserve">751 · Lo statuto del nodo dell'avvertimento.</w:t>
      </w:r>
      <w:r>
        <w:rPr>
          <w:rFonts w:ascii="Barlow Semi Condensed" w:cs="Barlow Semi Condensed" w:eastAsia="Barlow Semi Condensed" w:hAnsi="Barlow Semi Condensed"/>
          <w:sz w:val="24"/>
          <w:szCs w:val="24"/>
        </w:rPr>
        <w:t xml:space="preserve"> Il presunto avvertimento a Moro è riferito da Corrado Guerzoni e confermato da Eleonora Chiavarelli Moro in sede parlamentare, ed è stato sempre smentito da Kissinger. Il corpus lo registra come testimonianza contestata, di grado B debole, mai da dare per accertata. Questo è lo statuto, e non cambia per accumulo di riprese: cambierebbe soltanto davanti a un documento primario. Nessuna riga della serie lo tratta diversamente.</w:t>
      </w:r>
    </w:p>
    <w:p>
      <w:pPr>
        <w:spacing w:after="120" w:line="276"/>
        <w:jc w:val="both"/>
      </w:pPr>
      <w:r>
        <w:rPr>
          <w:rFonts w:ascii="Barlow Semi Condensed" w:cs="Barlow Semi Condensed" w:eastAsia="Barlow Semi Condensed" w:hAnsi="Barlow Semi Condensed"/>
          <w:b/>
          <w:bCs/>
          <w:sz w:val="24"/>
          <w:szCs w:val="24"/>
        </w:rPr>
        <w:t xml:space="preserve">752 · Il teste principale non fu presente.</w:t>
      </w:r>
      <w:r>
        <w:rPr>
          <w:rFonts w:ascii="Barlow Semi Condensed" w:cs="Barlow Semi Condensed" w:eastAsia="Barlow Semi Condensed" w:hAnsi="Barlow Semi Condensed"/>
          <w:sz w:val="24"/>
          <w:szCs w:val="24"/>
        </w:rPr>
        <w:t xml:space="preserve"> Guerzoni depose davanti alla Corte d'assise di Roma nel novembre 1982 de relato, avendo appreso il fatto da Moro e dall'entourage: non assistette al colloquio. Il dato non svaluta la testimonianza — il de relato è ammesso e ha un suo peso — ma ne cambia lo statuto, e va riportato ogni volta che la si cita. Una testimonianza indiretta indica una fonte, e quella fonte è oggi irraggiungibile.</w:t>
      </w:r>
    </w:p>
    <w:p>
      <w:pPr>
        <w:spacing w:after="120" w:line="276"/>
        <w:jc w:val="both"/>
      </w:pPr>
      <w:r>
        <w:rPr>
          <w:rFonts w:ascii="Barlow Semi Condensed" w:cs="Barlow Semi Condensed" w:eastAsia="Barlow Semi Condensed" w:hAnsi="Barlow Semi Condensed"/>
          <w:b/>
          <w:bCs/>
          <w:sz w:val="24"/>
          <w:szCs w:val="24"/>
        </w:rPr>
        <w:t xml:space="preserve">753 · Il nome fu ottenuto in aula.</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la deposizione di Guerzoni, a ottenere l'indicazione di Kissinger. L'attribuzione del nome è dunque essa stessa indiretta, e nasce nel dibattimento anziché precederlo. È una precisazione che nessuna sintesi divulgativa riporta, e che modifica sensibilmente il peso della convergenza fra i due testimoni.</w:t>
      </w:r>
    </w:p>
    <w:p>
      <w:pPr>
        <w:spacing w:after="120" w:line="276"/>
        <w:jc w:val="both"/>
      </w:pPr>
      <w:r>
        <w:rPr>
          <w:rFonts w:ascii="Barlow Semi Condensed" w:cs="Barlow Semi Condensed" w:eastAsia="Barlow Semi Condensed" w:hAnsi="Barlow Semi Condensed"/>
          <w:b/>
          <w:bCs/>
          <w:sz w:val="24"/>
          <w:szCs w:val="24"/>
        </w:rPr>
        <w:t xml:space="preserve">754 · Sede e contenuto vanno tenuti distinti.</w:t>
      </w:r>
      <w:r>
        <w:rPr>
          <w:rFonts w:ascii="Barlow Semi Condensed" w:cs="Barlow Semi Condensed" w:eastAsia="Barlow Semi Condensed" w:hAnsi="Barlow Semi Condensed"/>
          <w:sz w:val="24"/>
          <w:szCs w:val="24"/>
        </w:rPr>
        <w:t xml:space="preserve"> L'audizione di Eleonora Chiavarelli Moro davanti alla Commissione d'inchiesta è del 1° agosto 1980; la frase citata verbatim è però attribuita dalle sintesi alla deposizione giudiziaria del 1982, mentre dell'audizione del 1980 si riporta soprattutto il riferimento a minacce risalenti al 1975 e crescenti. Confondere le due sedi produce una citazione formalmente parlamentare e sostanzialmente giudiziaria: due gradi diversi in una riga sola.</w:t>
      </w:r>
    </w:p>
    <w:p>
      <w:pPr>
        <w:spacing w:after="120" w:line="276"/>
        <w:jc w:val="both"/>
      </w:pPr>
      <w:r>
        <w:rPr>
          <w:rFonts w:ascii="Barlow Semi Condensed" w:cs="Barlow Semi Condensed" w:eastAsia="Barlow Semi Condensed" w:hAnsi="Barlow Semi Condensed"/>
          <w:b/>
          <w:bCs/>
          <w:sz w:val="24"/>
          <w:szCs w:val="24"/>
        </w:rPr>
        <w:t xml:space="preserve">755 · La data non è pacifica.</w:t>
      </w:r>
      <w:r>
        <w:rPr>
          <w:rFonts w:ascii="Barlow Semi Condensed" w:cs="Barlow Semi Condensed" w:eastAsia="Barlow Semi Condensed" w:hAnsi="Barlow Semi Condensed"/>
          <w:sz w:val="24"/>
          <w:szCs w:val="24"/>
        </w:rPr>
        <w:t xml:space="preserve"> Le fonti collocano l'episodio nel settembre 1974, nel 1976 e — una fonte d'agenzia statunitense dell'aprile 1983 — in un alterco all'ambasciata d'Italia a Washington nel 1977; divergono anche i luoghi. La disciplina impone di riportare la divergenza e non di scegliere in silenzio. Una testimonianza le cui coordinate oscillano di tre anni non è per ciò falsa: è però inutilizzabile come ancoraggio cronologico.</w:t>
      </w:r>
    </w:p>
    <w:p>
      <w:pPr>
        <w:spacing w:after="120" w:line="276"/>
        <w:jc w:val="both"/>
      </w:pPr>
      <w:r>
        <w:rPr>
          <w:rFonts w:ascii="Barlow Semi Condensed" w:cs="Barlow Semi Condensed" w:eastAsia="Barlow Semi Condensed" w:hAnsi="Barlow Semi Condensed"/>
          <w:b/>
          <w:bCs/>
          <w:sz w:val="24"/>
          <w:szCs w:val="24"/>
        </w:rPr>
        <w:t xml:space="preserve">756 · Il 1977 e la carica.</w:t>
      </w:r>
      <w:r>
        <w:rPr>
          <w:rFonts w:ascii="Barlow Semi Condensed" w:cs="Barlow Semi Condensed" w:eastAsia="Barlow Semi Condensed" w:hAnsi="Barlow Semi Condensed"/>
          <w:sz w:val="24"/>
          <w:szCs w:val="24"/>
        </w:rPr>
        <w:t xml:space="preserve"> La divergenza sulla data non è dettaglio erudito. Nel 1977 Kissinger non era più Segretario di Stato, e un avvertimento pronunciato da un privato cittadino, per quanto autorevole, è fatto di natura diversa da uno pronunciato dal capo della diplomazia di una superpotenza. La variante che sposta la data cambia dunque il significato dell'episodio, non soltanto la sua collocazione: per questo va riportata sempre.</w:t>
      </w:r>
    </w:p>
    <w:p>
      <w:pPr>
        <w:spacing w:after="120" w:line="276"/>
        <w:jc w:val="both"/>
      </w:pPr>
      <w:r>
        <w:rPr>
          <w:rFonts w:ascii="Barlow Semi Condensed" w:cs="Barlow Semi Condensed" w:eastAsia="Barlow Semi Condensed" w:hAnsi="Barlow Semi Condensed"/>
          <w:b/>
          <w:bCs/>
          <w:sz w:val="24"/>
          <w:szCs w:val="24"/>
        </w:rPr>
        <w:t xml:space="preserve">757 · L'assenza dal verbale, letta con esattezza.</w:t>
      </w:r>
      <w:r>
        <w:rPr>
          <w:rFonts w:ascii="Barlow Semi Condensed" w:cs="Barlow Semi Condensed" w:eastAsia="Barlow Semi Condensed" w:hAnsi="Barlow Semi Condensed"/>
          <w:sz w:val="24"/>
          <w:szCs w:val="24"/>
        </w:rPr>
        <w:t xml:space="preserve"> Il memorandum del 25 settembre 1974 non contiene la frase. Poiché la testimonianza colloca l'avvertimento a margine dell'incontro, l'assenza dal verbale non prova né la falsità né la verità dell'episodio: un margine non entra nel verbale per definizione. Indebolisce però nettamente la versione che lo colloca dentro il colloquio ufficiale, ed è proprio quella che circola. La precisazione va fatta in entrambe le direzioni.</w:t>
      </w:r>
    </w:p>
    <w:p>
      <w:pPr>
        <w:spacing w:after="120" w:line="276"/>
        <w:jc w:val="both"/>
      </w:pPr>
      <w:r>
        <w:rPr>
          <w:rFonts w:ascii="Barlow Semi Condensed" w:cs="Barlow Semi Condensed" w:eastAsia="Barlow Semi Condensed" w:hAnsi="Barlow Semi Condensed"/>
          <w:b/>
          <w:bCs/>
          <w:sz w:val="24"/>
          <w:szCs w:val="24"/>
        </w:rPr>
        <w:t xml:space="preserve">758 · La circolazione non è attestazione.</w:t>
      </w:r>
      <w:r>
        <w:rPr>
          <w:rFonts w:ascii="Barlow Semi Condensed" w:cs="Barlow Semi Condensed" w:eastAsia="Barlow Semi Condensed" w:hAnsi="Barlow Semi Condensed"/>
          <w:sz w:val="24"/>
          <w:szCs w:val="24"/>
        </w:rPr>
        <w:t xml:space="preserve"> Il caso offre il manuale d'uso della replicazione. Un lancio d'agenzia del 30 novembre 2023, decine di riprese quasi identiche, un rilancio internazionale del 1982 di provenienza cospirazionista: la tavola della circolazione è ricca e la colonna dei riscontri resta vuota. Registrare la prima e non gonfiare la seconda è tutta la differenza fra una storia della ricezione e una prova.</w:t>
      </w:r>
    </w:p>
    <w:p>
      <w:pPr>
        <w:spacing w:after="120" w:line="276"/>
        <w:jc w:val="both"/>
      </w:pPr>
      <w:r>
        <w:rPr>
          <w:rFonts w:ascii="Barlow Semi Condensed" w:cs="Barlow Semi Condensed" w:eastAsia="Barlow Semi Condensed" w:hAnsi="Barlow Semi Condensed"/>
          <w:b/>
          <w:bCs/>
          <w:sz w:val="24"/>
          <w:szCs w:val="24"/>
        </w:rPr>
        <w:t xml:space="preserve">759 · Le due smentite dell'interessato.</w:t>
      </w:r>
      <w:r>
        <w:rPr>
          <w:rFonts w:ascii="Barlow Semi Condensed" w:cs="Barlow Semi Condensed" w:eastAsia="Barlow Semi Condensed" w:hAnsi="Barlow Semi Condensed"/>
          <w:sz w:val="24"/>
          <w:szCs w:val="24"/>
        </w:rPr>
        <w:t xml:space="preserve"> Kissinger ha negato l'episodio due volte e in due forme. Nel 1983, in forma anteriore e generica, ammettendo la propria contrarietà all'ingresso dei comunisti al governo e smentendo di aver rimproverato Moro. Poco prima della morte, nel 2023, in forma diretta e circostanziata a un giornalista. Entrambe si registrano con la loro data e la loro sede, perché la forma di una smentita è un dato quanto il contenuto.</w:t>
      </w:r>
    </w:p>
    <w:p>
      <w:pPr>
        <w:spacing w:after="120" w:line="276"/>
        <w:jc w:val="both"/>
      </w:pPr>
      <w:r>
        <w:rPr>
          <w:rFonts w:ascii="Barlow Semi Condensed" w:cs="Barlow Semi Condensed" w:eastAsia="Barlow Semi Condensed" w:hAnsi="Barlow Semi Condensed"/>
          <w:b/>
          <w:bCs/>
          <w:sz w:val="24"/>
          <w:szCs w:val="24"/>
        </w:rPr>
        <w:t xml:space="preserve">760 · Mai sentito dai magistrati italiani.</w:t>
      </w:r>
      <w:r>
        <w:rPr>
          <w:rFonts w:ascii="Barlow Semi Condensed" w:cs="Barlow Semi Condensed" w:eastAsia="Barlow Semi Condensed" w:hAnsi="Barlow Semi Condensed"/>
          <w:sz w:val="24"/>
          <w:szCs w:val="24"/>
        </w:rPr>
        <w:t xml:space="preserve"> Kissinger non fu mai sentito dall'autorità giudiziaria italiana sull'episodio, e la richiesta informale del 1983 non ebbe seguito. Ne discende uno Stato Zero da dichiarare con precisione: non esiste alcun verbale di escussione perché non vi fu escussione. È un'assenza accertata e non una reticenza, e va scritta con la stessa forza di un'acquisizione positiva, avvertendo che la sede in cui si chiuderebbe non esiste più.</w:t>
      </w:r>
    </w:p>
    <w:p>
      <w:pPr>
        <w:spacing w:after="120" w:line="276"/>
        <w:jc w:val="both"/>
      </w:pPr>
      <w:r>
        <w:rPr>
          <w:rFonts w:ascii="Barlow Semi Condensed" w:cs="Barlow Semi Condensed" w:eastAsia="Barlow Semi Condensed" w:hAnsi="Barlow Semi Condensed"/>
          <w:b/>
          <w:bCs/>
          <w:sz w:val="24"/>
          <w:szCs w:val="24"/>
        </w:rPr>
        <w:t xml:space="preserve">761 · Le due smentite italiane qualificate.</w:t>
      </w:r>
      <w:r>
        <w:rPr>
          <w:rFonts w:ascii="Barlow Semi Condensed" w:cs="Barlow Semi Condensed" w:eastAsia="Barlow Semi Condensed" w:hAnsi="Barlow Semi Condensed"/>
          <w:sz w:val="24"/>
          <w:szCs w:val="24"/>
        </w:rPr>
        <w:t xml:space="preserve"> Vanno registrate anche due smentite italiane, con la loro divergenza interna. Un testimone di primo piano definì l'episodio «una leggenda che non ha fondamento», dicendo di averlo verificato allora con l'interprete perché Moro non parlava inglese, salvo descrivere altrove un colloquio politicamente durissimo; un altro parlò di «solo un problema di linguaggio». Nessuno dei due era presente al colloquio riservato: anche queste sono fonti indirette.</w:t>
      </w:r>
    </w:p>
    <w:p>
      <w:pPr>
        <w:spacing w:after="120" w:line="276"/>
        <w:jc w:val="both"/>
      </w:pPr>
      <w:r>
        <w:rPr>
          <w:rFonts w:ascii="Barlow Semi Condensed" w:cs="Barlow Semi Condensed" w:eastAsia="Barlow Semi Condensed" w:hAnsi="Barlow Semi Condensed"/>
          <w:b/>
          <w:bCs/>
          <w:sz w:val="24"/>
          <w:szCs w:val="24"/>
        </w:rPr>
        <w:t xml:space="preserve">762 · L'argomento dell'interprete e il suo perimetro.</w:t>
      </w:r>
      <w:r>
        <w:rPr>
          <w:rFonts w:ascii="Barlow Semi Condensed" w:cs="Barlow Semi Condensed" w:eastAsia="Barlow Semi Condensed" w:hAnsi="Barlow Semi Condensed"/>
          <w:sz w:val="24"/>
          <w:szCs w:val="24"/>
        </w:rPr>
        <w:t xml:space="preserve"> L'argomento è forte sulla meccanica e debole sul perimetro. È forte perché una conversazione mediata da interprete lascia un testimone tecnico in più; è debole perché una frase pronunciata in disparte può non passare per l'interprete. La serie registra entrambi i bordi dell'argomento e non ne fa un criterio risolutivo: nessuno dei due è documentato, e il perimetro dell'episodio è precisamente ciò che è conteso.</w:t>
      </w:r>
    </w:p>
    <w:p>
      <w:pPr>
        <w:spacing w:after="120" w:line="276"/>
        <w:jc w:val="both"/>
      </w:pPr>
      <w:r>
        <w:rPr>
          <w:rFonts w:ascii="Barlow Semi Condensed" w:cs="Barlow Semi Condensed" w:eastAsia="Barlow Semi Condensed" w:hAnsi="Barlow Semi Condensed"/>
          <w:b/>
          <w:bCs/>
          <w:sz w:val="24"/>
          <w:szCs w:val="24"/>
        </w:rPr>
        <w:t xml:space="preserve">763 · Il rimprovero e la minaccia.</w:t>
      </w:r>
      <w:r>
        <w:rPr>
          <w:rFonts w:ascii="Barlow Semi Condensed" w:cs="Barlow Semi Condensed" w:eastAsia="Barlow Semi Condensed" w:hAnsi="Barlow Semi Condensed"/>
          <w:sz w:val="24"/>
          <w:szCs w:val="24"/>
        </w:rPr>
        <w:t xml:space="preserve"> La divergenza interna di uno dei testimoni — leggenda infondata da un lato, colloquio politicamente durissimo dall'altro — non è una contraddizione da liquidare: è un'informazione. Distingue due fenotipi diversi, il rimprovero aspro e la minaccia, che le sintesi divulgative fondono in uno. Chi nega la minaccia può descrivere il rimprovero senza contraddirsi. La tavola delle versioni deve tenere le due colonne separate.</w:t>
      </w:r>
    </w:p>
    <w:p>
      <w:pPr>
        <w:spacing w:after="120" w:line="276"/>
        <w:jc w:val="both"/>
      </w:pPr>
      <w:r>
        <w:rPr>
          <w:rFonts w:ascii="Barlow Semi Condensed" w:cs="Barlow Semi Condensed" w:eastAsia="Barlow Semi Condensed" w:hAnsi="Barlow Semi Condensed"/>
          <w:b/>
          <w:bCs/>
          <w:sz w:val="24"/>
          <w:szCs w:val="24"/>
        </w:rPr>
        <w:t xml:space="preserve">764 · Nessuna imputazione, in nessuna sede.</w:t>
      </w:r>
      <w:r>
        <w:rPr>
          <w:rFonts w:ascii="Barlow Semi Condensed" w:cs="Barlow Semi Condensed" w:eastAsia="Barlow Semi Condensed" w:hAnsi="Barlow Semi Condensed"/>
          <w:sz w:val="24"/>
          <w:szCs w:val="24"/>
        </w:rPr>
        <w:t xml:space="preserve"> Henry Alfred Kissinger, nato a Fürth il 27 maggio 1923 e morto a Kent, nel Connecticut, il 29 novembre 2023, non fu condannato in alcun processo, e nessuna sentenza definitiva ha attribuito ad autorità statunitensi responsabilità penali nel sequestro e nell'omicidio di Aldo Moro. L'episodio dell'avvertimento non ha mai formato oggetto d'imputazione. Il blocco si scrive perché nessuna riga della serie possa essere letta oltre questo confine.</w:t>
      </w:r>
    </w:p>
    <w:p>
      <w:pPr>
        <w:spacing w:after="120" w:line="276"/>
        <w:jc w:val="both"/>
      </w:pPr>
      <w:r>
        <w:rPr>
          <w:rFonts w:ascii="Barlow Semi Condensed" w:cs="Barlow Semi Condensed" w:eastAsia="Barlow Semi Condensed" w:hAnsi="Barlow Semi Condensed"/>
          <w:b/>
          <w:bCs/>
          <w:sz w:val="24"/>
          <w:szCs w:val="24"/>
        </w:rPr>
        <w:t xml:space="preserve">765 · Il criterio di smentita del nodo.</w:t>
      </w:r>
      <w:r>
        <w:rPr>
          <w:rFonts w:ascii="Barlow Semi Condensed" w:cs="Barlow Semi Condensed" w:eastAsia="Barlow Semi Condensed" w:hAnsi="Barlow Semi Condensed"/>
          <w:sz w:val="24"/>
          <w:szCs w:val="24"/>
        </w:rPr>
        <w:t xml:space="preserve"> Che cosa muoverebbe il grado: il resoconto stenografico integrale dell'audizione del 1° agosto 1980 e il verbale d'udienza della deposizione del novembre 1982, letti sui testi ufficiali anziché sulle sintesi. Se confermassero il verbatim e le circostanze, il nodo salirebbe verso un B pieno; se li smentissero, scenderebbe. In entrambi i casi a decidere sarebbe un documento, non un'argomentazione.</w:t>
      </w:r>
    </w:p>
    <w:p>
      <w:pPr>
        <w:spacing w:after="120" w:line="276"/>
        <w:jc w:val="both"/>
      </w:pPr>
      <w:r>
        <w:rPr>
          <w:rFonts w:ascii="Barlow Semi Condensed" w:cs="Barlow Semi Condensed" w:eastAsia="Barlow Semi Condensed" w:hAnsi="Barlow Semi Condensed"/>
          <w:b/>
          <w:bCs/>
          <w:sz w:val="24"/>
          <w:szCs w:val="24"/>
        </w:rPr>
        <w:t xml:space="preserve">766 · Lo Stato Zero della campagna.</w:t>
      </w:r>
      <w:r>
        <w:rPr>
          <w:rFonts w:ascii="Barlow Semi Condensed" w:cs="Barlow Semi Condensed" w:eastAsia="Barlow Semi Condensed" w:hAnsi="Barlow Semi Condensed"/>
          <w:sz w:val="24"/>
          <w:szCs w:val="24"/>
        </w:rPr>
        <w:t xml:space="preserve"> Va dichiarato il limite della verifica compiuta: l'accesso diretto ai documenti primari, resoconti stenografici della Commissione e verbali d'udienza, è risultato bloccato, e le precisazioni poggiano su fonti secondarie convergenti. Le sedi dove l'accertamento si chiude sono l'Archivio storico della Camera dei deputati per l'audizione e la cancelleria della Corte d'assise di Roma per il dibattimento. Finché non vi si accede, il nodo resta dov'è.</w:t>
      </w:r>
    </w:p>
    <w:p>
      <w:pPr>
        <w:spacing w:after="120" w:line="276"/>
        <w:jc w:val="both"/>
      </w:pPr>
      <w:r>
        <w:rPr>
          <w:rFonts w:ascii="Barlow Semi Condensed" w:cs="Barlow Semi Condensed" w:eastAsia="Barlow Semi Condensed" w:hAnsi="Barlow Semi Condensed"/>
          <w:b/>
          <w:bCs/>
          <w:sz w:val="24"/>
          <w:szCs w:val="24"/>
        </w:rPr>
        <w:t xml:space="preserve">767 · Due testimoni contro una smentita.</w:t>
      </w:r>
      <w:r>
        <w:rPr>
          <w:rFonts w:ascii="Barlow Semi Condensed" w:cs="Barlow Semi Condensed" w:eastAsia="Barlow Semi Condensed" w:hAnsi="Barlow Semi Condensed"/>
          <w:sz w:val="24"/>
          <w:szCs w:val="24"/>
        </w:rPr>
        <w:t xml:space="preserve"> La tentazione aritmetica è forte: due contro uno. Ma i due sono un teste de relato e una teste che non fece il nome, e la seconda lo indica attraverso il presidente della corte; il terzo è l'interessato, che nega. Nessun conteggio scioglie un nodo così: vale la regola dell'anello debole, per cui un cammino ha il grado del suo passaggio più fragile. Si registra come conteso, mai come accertato.</w:t>
      </w:r>
    </w:p>
    <w:p>
      <w:pPr>
        <w:spacing w:after="120" w:line="276"/>
        <w:jc w:val="both"/>
      </w:pPr>
      <w:r>
        <w:rPr>
          <w:rFonts w:ascii="Barlow Semi Condensed" w:cs="Barlow Semi Condensed" w:eastAsia="Barlow Semi Condensed" w:hAnsi="Barlow Semi Condensed"/>
          <w:b/>
          <w:bCs/>
          <w:sz w:val="24"/>
          <w:szCs w:val="24"/>
        </w:rPr>
        <w:t xml:space="preserve">768 · La smentita è un fenotipo da registrare.</w:t>
      </w:r>
      <w:r>
        <w:rPr>
          <w:rFonts w:ascii="Barlow Semi Condensed" w:cs="Barlow Semi Condensed" w:eastAsia="Barlow Semi Condensed" w:hAnsi="Barlow Semi Condensed"/>
          <w:sz w:val="24"/>
          <w:szCs w:val="24"/>
        </w:rPr>
        <w:t xml:space="preserve"> Una smentita è un'emissione osservabile: ha data, sede, destinatario e forma. Va schedata come qualunque altra dichiarazione, con lo stesso apparato. Ometterla — come faceva la prima redazione del nodo nel corpus, poi corretta per nota — non è prudenza ma mutilazione del dato: una testimonianza contestata si riporta con la contestazione dentro, altrimenti si sta riportando un'altra cosa.</w:t>
      </w:r>
    </w:p>
    <w:p>
      <w:pPr>
        <w:spacing w:after="120" w:line="276"/>
        <w:jc w:val="both"/>
      </w:pPr>
      <w:r>
        <w:rPr>
          <w:rFonts w:ascii="Barlow Semi Condensed" w:cs="Barlow Semi Condensed" w:eastAsia="Barlow Semi Condensed" w:hAnsi="Barlow Semi Condensed"/>
          <w:b/>
          <w:bCs/>
          <w:sz w:val="24"/>
          <w:szCs w:val="24"/>
        </w:rPr>
        <w:t xml:space="preserve">769 · Non liquidare la smentita.</w:t>
      </w:r>
      <w:r>
        <w:rPr>
          <w:rFonts w:ascii="Barlow Semi Condensed" w:cs="Barlow Semi Condensed" w:eastAsia="Barlow Semi Condensed" w:hAnsi="Barlow Semi Condensed"/>
          <w:sz w:val="24"/>
          <w:szCs w:val="24"/>
        </w:rPr>
        <w:t xml:space="preserve"> «Avrebbe negato comunque» è la formula che immunizza un'ipotesi rendendola compatibile con qualunque osservazione: se l'interessato conferma, prova; se nega, prova ugualmente. È il vizio che il corpus chiama, con Popper e col pollo di Russell, immunizzazione. Una tesi che tratta la smentita come conferma di sé ha cessato di essere una tesi. La smentita si pesa, si data, si colloca: non si converte.</w:t>
      </w:r>
    </w:p>
    <w:p>
      <w:pPr>
        <w:spacing w:after="120" w:line="276"/>
        <w:jc w:val="both"/>
      </w:pPr>
      <w:r>
        <w:rPr>
          <w:rFonts w:ascii="Barlow Semi Condensed" w:cs="Barlow Semi Condensed" w:eastAsia="Barlow Semi Condensed" w:hAnsi="Barlow Semi Condensed"/>
          <w:b/>
          <w:bCs/>
          <w:sz w:val="24"/>
          <w:szCs w:val="24"/>
        </w:rPr>
        <w:t xml:space="preserve">770 · Non liquidare la testimonianza.</w:t>
      </w:r>
      <w:r>
        <w:rPr>
          <w:rFonts w:ascii="Barlow Semi Condensed" w:cs="Barlow Semi Condensed" w:eastAsia="Barlow Semi Condensed" w:hAnsi="Barlow Semi Condensed"/>
          <w:sz w:val="24"/>
          <w:szCs w:val="24"/>
        </w:rPr>
        <w:t xml:space="preserve"> La regola vale in modo perfettamente simmetrico. «Sono passati quarant'anni, ricorderà male» cancella una testimonianza senza documenti, esattamente come la formula opposta cancella una smentita. Entrambe le liquidazioni sono lo stesso gesto: sostituire il documento con la psicologia. Il corpus conserva su questo un precedente scolpito nella ritrattazione di Marini davanti ai consulenti della Commissione, dove a decidere fu una fotografia e non un giudizio sul teste.</w:t>
      </w:r>
    </w:p>
    <w:p>
      <w:pPr>
        <w:spacing w:after="120" w:line="276"/>
        <w:jc w:val="both"/>
      </w:pPr>
      <w:r>
        <w:rPr>
          <w:rFonts w:ascii="Barlow Semi Condensed" w:cs="Barlow Semi Condensed" w:eastAsia="Barlow Semi Condensed" w:hAnsi="Barlow Semi Condensed"/>
          <w:b/>
          <w:bCs/>
          <w:sz w:val="24"/>
          <w:szCs w:val="24"/>
        </w:rPr>
        <w:t xml:space="preserve">771 · La smentita di chi non c'è più.</w:t>
      </w:r>
      <w:r>
        <w:rPr>
          <w:rFonts w:ascii="Barlow Semi Condensed" w:cs="Barlow Semi Condensed" w:eastAsia="Barlow Semi Condensed" w:hAnsi="Barlow Semi Condensed"/>
          <w:sz w:val="24"/>
          <w:szCs w:val="24"/>
        </w:rPr>
        <w:t xml:space="preserve"> Kissinger è morto il 29 novembre 2023: la sua smentita è ormai un fenotipo chiuso, non più precisabile né ritrattabile. La conseguenza è tecnica e va detta senza inferirne nulla: il nodo ha perduto la possibilità di un chiarimento diretto, e resterà nella forma in cui le due dichiarazioni lo hanno lasciato. È una perdita di conoscenza, ed è tutto ciò che se ne può dire.</w:t>
      </w:r>
    </w:p>
    <w:p>
      <w:pPr>
        <w:spacing w:after="120" w:line="276"/>
        <w:jc w:val="both"/>
      </w:pPr>
      <w:r>
        <w:rPr>
          <w:rFonts w:ascii="Barlow Semi Condensed" w:cs="Barlow Semi Condensed" w:eastAsia="Barlow Semi Condensed" w:hAnsi="Barlow Semi Condensed"/>
          <w:b/>
          <w:bCs/>
          <w:sz w:val="24"/>
          <w:szCs w:val="24"/>
        </w:rPr>
        <w:t xml:space="preserve">772 · Non si chiedono smentite a chi ha risposto.</w:t>
      </w:r>
      <w:r>
        <w:rPr>
          <w:rFonts w:ascii="Barlow Semi Condensed" w:cs="Barlow Semi Condensed" w:eastAsia="Barlow Semi Condensed" w:hAnsi="Barlow Semi Condensed"/>
          <w:sz w:val="24"/>
          <w:szCs w:val="24"/>
        </w:rPr>
        <w:t xml:space="preserve"> Il blocco 16 del manuale investigativo fissa la regola per le persone viventi: si nominano solo per fatti documentati, senza insinuazioni, senza «fu assolto, ma», senza chiedere nuove smentite a chi ha già risposto nelle sedi proprie. La serie la estende ai defunti in questa forma: chi ha smentito due volte ha risposto, e riproporre l'accusa ignorando la risposta è difetto di metodo prima che di correttezza.</w:t>
      </w:r>
    </w:p>
    <w:p>
      <w:pPr>
        <w:spacing w:after="120" w:line="276"/>
        <w:jc w:val="both"/>
      </w:pPr>
      <w:r>
        <w:rPr>
          <w:rFonts w:ascii="Barlow Semi Condensed" w:cs="Barlow Semi Condensed" w:eastAsia="Barlow Semi Condensed" w:hAnsi="Barlow Semi Condensed"/>
          <w:b/>
          <w:bCs/>
          <w:sz w:val="24"/>
          <w:szCs w:val="24"/>
        </w:rPr>
        <w:t xml:space="preserve">773 · La tavola diacronica delle versioni.</w:t>
      </w:r>
      <w:r>
        <w:rPr>
          <w:rFonts w:ascii="Barlow Semi Condensed" w:cs="Barlow Semi Condensed" w:eastAsia="Barlow Semi Condensed" w:hAnsi="Barlow Semi Condensed"/>
          <w:sz w:val="24"/>
          <w:szCs w:val="24"/>
        </w:rPr>
        <w:t xml:space="preserve"> Il blocco 854 dei cantieri prescrive di tabulare come il racconto di ciascuno sia mutato nel tempo, dalle dichiarazioni alle interviste ai libri, con le date e senza processi alle intenzioni. Applicata a questo nodo, la tavola mostrerebbe da sola dove la memoria è stabile e dove lavora. È lo strumento che sostituisce l'accusa di menzogna con una misura, ed è alla portata di chiunque abbia le fonti sott'occhio.</w:t>
      </w:r>
    </w:p>
    <w:p>
      <w:pPr>
        <w:spacing w:after="120" w:line="276"/>
        <w:jc w:val="both"/>
      </w:pPr>
      <w:r>
        <w:rPr>
          <w:rFonts w:ascii="Barlow Semi Condensed" w:cs="Barlow Semi Condensed" w:eastAsia="Barlow Semi Condensed" w:hAnsi="Barlow Semi Condensed"/>
          <w:b/>
          <w:bCs/>
          <w:sz w:val="24"/>
          <w:szCs w:val="24"/>
        </w:rPr>
        <w:t xml:space="preserve">774 · La smentita che è essa stessa un atto.</w:t>
      </w:r>
      <w:r>
        <w:rPr>
          <w:rFonts w:ascii="Barlow Semi Condensed" w:cs="Barlow Semi Condensed" w:eastAsia="Barlow Semi Condensed" w:hAnsi="Barlow Semi Condensed"/>
          <w:sz w:val="24"/>
          <w:szCs w:val="24"/>
        </w:rPr>
        <w:t xml:space="preserve"> Anche una negazione può essere performativa. Quando un ex Segretario di Stato smentisce pubblicamente un episodio, impegna la propria posizione e produce un fatto nuovo nel mondo, che entra nei dossier, nelle sintesi, nelle repliche altrui. Registrare questo lato attivo non significa dubitarne né crederci: significa collocare la smentita nella colonna giusta, che è quella degli atti oltre che quella delle dichiarazioni.</w:t>
      </w:r>
    </w:p>
    <w:p>
      <w:pPr>
        <w:spacing w:after="120" w:line="276"/>
        <w:jc w:val="both"/>
      </w:pPr>
      <w:r>
        <w:rPr>
          <w:rFonts w:ascii="Barlow Semi Condensed" w:cs="Barlow Semi Condensed" w:eastAsia="Barlow Semi Condensed" w:hAnsi="Barlow Semi Condensed"/>
          <w:b/>
          <w:bCs/>
          <w:sz w:val="24"/>
          <w:szCs w:val="24"/>
        </w:rPr>
        <w:t xml:space="preserve">775 · Quarant'anni fra due negazioni.</w:t>
      </w:r>
      <w:r>
        <w:rPr>
          <w:rFonts w:ascii="Barlow Semi Condensed" w:cs="Barlow Semi Condensed" w:eastAsia="Barlow Semi Condensed" w:hAnsi="Barlow Semi Condensed"/>
          <w:sz w:val="24"/>
          <w:szCs w:val="24"/>
        </w:rPr>
        <w:t xml:space="preserve"> Fra la smentita generica del 1983 e quella circostanziata del 2023 corrono quarant'anni. La distanza è un dato: misura la stabilità della versione e la sua variazione di forma, dal generale al particolare. In una tavola diacronica una versione che si irrigidisce e una che si dettaglia hanno significati diversi, entrambi descrivibili senza attribuire moventi. È il massimo che la figura della mutazione può legittimamente offrire qui.</w:t>
      </w:r>
    </w:p>
    <w:p>
      <w:pPr>
        <w:spacing w:after="120" w:line="276"/>
        <w:jc w:val="both"/>
      </w:pPr>
      <w:r>
        <w:rPr>
          <w:rFonts w:ascii="Barlow Semi Condensed" w:cs="Barlow Semi Condensed" w:eastAsia="Barlow Semi Condensed" w:hAnsi="Barlow Semi Condensed"/>
          <w:b/>
          <w:bCs/>
          <w:sz w:val="24"/>
          <w:szCs w:val="24"/>
        </w:rPr>
        <w:t xml:space="preserve">776 · Come si tratta un'autobiografia.</w:t>
      </w:r>
      <w:r>
        <w:rPr>
          <w:rFonts w:ascii="Barlow Semi Condensed" w:cs="Barlow Semi Condensed" w:eastAsia="Barlow Semi Condensed" w:hAnsi="Barlow Semi Condensed"/>
          <w:sz w:val="24"/>
          <w:szCs w:val="24"/>
        </w:rPr>
        <w:t xml:space="preserve"> Un'autobiografia riunisce nella stessa fonte il massimo di accesso e il massimo di interesse, e le due proprietà non si compensano: si sommano. Chi c'era sa cose che nessun archivio conserva, e ha ragioni che nessun archivio corregge. La regola del corpus è perciò di usarla come mappa e mai come pavimento: orienta la ricerca dei documenti, non li sostituisce e non ne dispensa.</w:t>
      </w:r>
    </w:p>
    <w:p>
      <w:pPr>
        <w:spacing w:after="120" w:line="276"/>
        <w:jc w:val="both"/>
      </w:pPr>
      <w:r>
        <w:rPr>
          <w:rFonts w:ascii="Barlow Semi Condensed" w:cs="Barlow Semi Condensed" w:eastAsia="Barlow Semi Condensed" w:hAnsi="Barlow Semi Condensed"/>
          <w:b/>
          <w:bCs/>
          <w:sz w:val="24"/>
          <w:szCs w:val="24"/>
        </w:rPr>
        <w:t xml:space="preserve">777 · Le tre domande alla memoria di protagonista.</w:t>
      </w:r>
      <w:r>
        <w:rPr>
          <w:rFonts w:ascii="Barlow Semi Condensed" w:cs="Barlow Semi Condensed" w:eastAsia="Barlow Semi Condensed" w:hAnsi="Barlow Semi Condensed"/>
          <w:sz w:val="24"/>
          <w:szCs w:val="24"/>
        </w:rPr>
        <w:t xml:space="preserve"> Prima del contenuto si stabiliscono tre coordinate: quando fu scritta, per chi, e contro che cosa. Una memoria redatta a ridosso dei fatti e una redatta trent'anni dopo hanno statuti diversi; una scritta per il pubblico e una per gli storici anche; e quasi tutte rispondono, esplicitamente o no, a un'accusa. La terza domanda è la più trascurata, ed è quella che spiega le omissioni meglio di ogni congettura.</w:t>
      </w:r>
    </w:p>
    <w:p>
      <w:pPr>
        <w:spacing w:after="120" w:line="276"/>
        <w:jc w:val="both"/>
      </w:pPr>
      <w:r>
        <w:rPr>
          <w:rFonts w:ascii="Barlow Semi Condensed" w:cs="Barlow Semi Condensed" w:eastAsia="Barlow Semi Condensed" w:hAnsi="Barlow Semi Condensed"/>
          <w:b/>
          <w:bCs/>
          <w:sz w:val="24"/>
          <w:szCs w:val="24"/>
        </w:rPr>
        <w:t xml:space="preserve">778 · Il grado di una memoria.</w:t>
      </w:r>
      <w:r>
        <w:rPr>
          <w:rFonts w:ascii="Barlow Semi Condensed" w:cs="Barlow Semi Condensed" w:eastAsia="Barlow Semi Condensed" w:hAnsi="Barlow Semi Condensed"/>
          <w:sz w:val="24"/>
          <w:szCs w:val="24"/>
        </w:rPr>
        <w:t xml:space="preserve"> Il blocco 165 del manuale è netto: nessuna memoria, per quanto suggestiva, entra negli atti oltre il grado C senza riscontro documentale, e la serie delle persone alimenta le altre, non le sostituisce. La regola è severa e va difesa proprio quando la memoria è brillante, perché è allora che la fallacia narrativa lavora meglio — e il blocco 365 chiede a ogni ricostruzione di dichiarare che cosa non spiega.</w:t>
      </w:r>
    </w:p>
    <w:p>
      <w:pPr>
        <w:spacing w:after="120" w:line="276"/>
        <w:jc w:val="both"/>
      </w:pPr>
      <w:r>
        <w:rPr>
          <w:rFonts w:ascii="Barlow Semi Condensed" w:cs="Barlow Semi Condensed" w:eastAsia="Barlow Semi Condensed" w:hAnsi="Barlow Semi Condensed"/>
          <w:b/>
          <w:bCs/>
          <w:sz w:val="24"/>
          <w:szCs w:val="24"/>
        </w:rPr>
        <w:t xml:space="preserve">779 · Il testo negoziato, precedente scolpito.</w:t>
      </w:r>
      <w:r>
        <w:rPr>
          <w:rFonts w:ascii="Barlow Semi Condensed" w:cs="Barlow Semi Condensed" w:eastAsia="Barlow Semi Condensed" w:hAnsi="Barlow Semi Condensed"/>
          <w:sz w:val="24"/>
          <w:szCs w:val="24"/>
        </w:rPr>
        <w:t xml:space="preserve"> Il Memoriale Morucci è, per accertamento della Commissione Moro 2, il risultato di una collaborazione sviluppatasi lungo gli anni Ottanta con apparati e figure istituzionali. Non è falso: è costruito. Il blocco 256 del manuale chiama «errore del memoriale-oracolo» l'averlo trattato per anni come confessione integrale, e vi oppone un antidoto valido per tutta questa serie: ogni fonte narrativa interna porta scritta la propria genesi accanto al contenuto.</w:t>
      </w:r>
    </w:p>
    <w:p>
      <w:pPr>
        <w:spacing w:after="120" w:line="276"/>
        <w:jc w:val="both"/>
      </w:pPr>
      <w:r>
        <w:rPr>
          <w:rFonts w:ascii="Barlow Semi Condensed" w:cs="Barlow Semi Condensed" w:eastAsia="Barlow Semi Condensed" w:hAnsi="Barlow Semi Condensed"/>
          <w:b/>
          <w:bCs/>
          <w:sz w:val="24"/>
          <w:szCs w:val="24"/>
        </w:rPr>
        <w:t xml:space="preserve">780 · Le memorie del Segretario di Stato.</w:t>
      </w:r>
      <w:r>
        <w:rPr>
          <w:rFonts w:ascii="Barlow Semi Condensed" w:cs="Barlow Semi Condensed" w:eastAsia="Barlow Semi Condensed" w:hAnsi="Barlow Semi Condensed"/>
          <w:sz w:val="24"/>
          <w:szCs w:val="24"/>
        </w:rPr>
        <w:t xml:space="preserve"> Kissinger pubblicò memorie di ampiezza notevole sui propri anni di governo. La serie non ne asserisce il contenuto, che non ha verificato. Formula invece un quesito preciso: reperire le edizioni e i loro indici e accertare se e dove trattino l'incontro del settembre 1974 e la questione italiana di quei mesi, con l'indicazione di pagina. Fino a quel riscontro, ogni affermazione su ciò che quelle pagine dicono o tacciono resta al piano 3.</w:t>
      </w:r>
    </w:p>
    <w:p>
      <w:pPr>
        <w:spacing w:after="120" w:line="276"/>
        <w:jc w:val="both"/>
      </w:pPr>
      <w:r>
        <w:rPr>
          <w:rFonts w:ascii="Barlow Semi Condensed" w:cs="Barlow Semi Condensed" w:eastAsia="Barlow Semi Condensed" w:hAnsi="Barlow Semi Condensed"/>
          <w:b/>
          <w:bCs/>
          <w:sz w:val="24"/>
          <w:szCs w:val="24"/>
        </w:rPr>
        <w:t xml:space="preserve">781 · Il silenzio di un'autobiografia.</w:t>
      </w:r>
      <w:r>
        <w:rPr>
          <w:rFonts w:ascii="Barlow Semi Condensed" w:cs="Barlow Semi Condensed" w:eastAsia="Barlow Semi Condensed" w:hAnsi="Barlow Semi Condensed"/>
          <w:sz w:val="24"/>
          <w:szCs w:val="24"/>
        </w:rPr>
        <w:t xml:space="preserve"> Se il riscontro appena chiesto mostrasse un'omissione, andrebbe letta con prudenza estrema. Una memoria omette per progetto: seleziona, comprime, protegge, e ciò che vi manca è quasi sempre spiegabile con l'economia del genere. L'argomento dal silenzio ha grado bassissimo in questa materia. Vale al più come indicazione di dove cercare altrove, cioè come marcatore, e mai come dato sostanziale.</w:t>
      </w:r>
    </w:p>
    <w:p>
      <w:pPr>
        <w:spacing w:after="120" w:line="276"/>
        <w:jc w:val="both"/>
      </w:pPr>
      <w:r>
        <w:rPr>
          <w:rFonts w:ascii="Barlow Semi Condensed" w:cs="Barlow Semi Condensed" w:eastAsia="Barlow Semi Condensed" w:hAnsi="Barlow Semi Condensed"/>
          <w:b/>
          <w:bCs/>
          <w:sz w:val="24"/>
          <w:szCs w:val="24"/>
        </w:rPr>
        <w:t xml:space="preserve">782 · La scrittura sotto costrizione.</w:t>
      </w:r>
      <w:r>
        <w:rPr>
          <w:rFonts w:ascii="Barlow Semi Condensed" w:cs="Barlow Semi Condensed" w:eastAsia="Barlow Semi Condensed" w:hAnsi="Barlow Semi Condensed"/>
          <w:sz w:val="24"/>
          <w:szCs w:val="24"/>
        </w:rPr>
        <w:t xml:space="preserve"> Le lettere e il memoriale dalla prigionia non sono autobiografia: sono un genere a sé, prodotto sotto costrizione e destinato a lettori multipli e ostili. Vi si applica il quesito del blocco 219 dell'agenda: reperire il parere tecnico integrale che fondò la dichiarata inattendibilità delle lettere, perché se non esiste, quell'inattendibilità fu un enunciato senza istruttoria — e questo sarebbe un fatto documentale, non un processo alle intenzioni.</w:t>
      </w:r>
    </w:p>
    <w:p>
      <w:pPr>
        <w:spacing w:after="120" w:line="276"/>
        <w:jc w:val="both"/>
      </w:pPr>
      <w:r>
        <w:rPr>
          <w:rFonts w:ascii="Barlow Semi Condensed" w:cs="Barlow Semi Condensed" w:eastAsia="Barlow Semi Condensed" w:hAnsi="Barlow Semi Condensed"/>
          <w:b/>
          <w:bCs/>
          <w:sz w:val="24"/>
          <w:szCs w:val="24"/>
        </w:rPr>
        <w:t xml:space="preserve">783 · Il diario del guerrigliero.</w:t>
      </w:r>
      <w:r>
        <w:rPr>
          <w:rFonts w:ascii="Barlow Semi Condensed" w:cs="Barlow Semi Condensed" w:eastAsia="Barlow Semi Condensed" w:hAnsi="Barlow Semi Condensed"/>
          <w:sz w:val="24"/>
          <w:szCs w:val="24"/>
        </w:rPr>
        <w:t xml:space="preserve"> Il diario boliviano di Guevara è un testo di protagonista la cui trasmissione appartenne interamente ad altri: sequestrato, poi pubblicato nel 1968 con prefazione politica. Vale la stessa disciplina del memoriale: si distingue ciò che l'autore scrisse da ciò che la pubblicazione ne fece. È l'esempio più limpido del principio della serie, per cui il fenotipo osservato di un testo comprende sempre l'ambiente che lo ha espresso.</w:t>
      </w:r>
    </w:p>
    <w:p>
      <w:pPr>
        <w:spacing w:after="120" w:line="276"/>
        <w:jc w:val="both"/>
      </w:pPr>
      <w:r>
        <w:rPr>
          <w:rFonts w:ascii="Barlow Semi Condensed" w:cs="Barlow Semi Condensed" w:eastAsia="Barlow Semi Condensed" w:hAnsi="Barlow Semi Condensed"/>
          <w:b/>
          <w:bCs/>
          <w:sz w:val="24"/>
          <w:szCs w:val="24"/>
        </w:rPr>
        <w:t xml:space="preserve">784 · La collazione parola-atti, come si esegue.</w:t>
      </w:r>
      <w:r>
        <w:rPr>
          <w:rFonts w:ascii="Barlow Semi Condensed" w:cs="Barlow Semi Condensed" w:eastAsia="Barlow Semi Condensed" w:hAnsi="Barlow Semi Condensed"/>
          <w:sz w:val="24"/>
          <w:szCs w:val="24"/>
        </w:rPr>
        <w:t xml:space="preserve"> Il blocco 853 dei cantieri consegna la procedura: ogni affermazione fattuale di una memoria si collaziona con gli atti, e se ne ricava per ciascun libro la tavola delle concordanze, delle divergenze e degli inediti. L'esito è un numero e un elenco, non un giudizio morale: si misura che cosa quel testo aggiunge al documentato e che cosa gli toglie. Recensire è un'altra attività, e non appartiene al metodo.</w:t>
      </w:r>
    </w:p>
    <w:p>
      <w:pPr>
        <w:spacing w:after="120" w:line="276"/>
        <w:jc w:val="both"/>
      </w:pPr>
      <w:r>
        <w:rPr>
          <w:rFonts w:ascii="Barlow Semi Condensed" w:cs="Barlow Semi Condensed" w:eastAsia="Barlow Semi Condensed" w:hAnsi="Barlow Semi Condensed"/>
          <w:b/>
          <w:bCs/>
          <w:sz w:val="24"/>
          <w:szCs w:val="24"/>
        </w:rPr>
        <w:t xml:space="preserve">785 · Congedo della serie.</w:t>
      </w:r>
      <w:r>
        <w:rPr>
          <w:rFonts w:ascii="Barlow Semi Condensed" w:cs="Barlow Semi Condensed" w:eastAsia="Barlow Semi Condensed" w:hAnsi="Barlow Semi Condensed"/>
          <w:sz w:val="24"/>
          <w:szCs w:val="24"/>
        </w:rPr>
        <w:t xml:space="preserve"> La serie consegna tre regole e un divieto. Lo scarto fra dichiarato e osservato si misura fra due documenti e non si converte mai in ipocrisia; la testimonianza contestata si scrive con la contestazione dentro, e resta contesa; la smentita dell'interessato è un dato, non un ostacolo da aggirare. Il divieto riguarda la lente stessa: la genetica qui serve a domandare meglio, e nel momento in cui promette ereditarietà di colpe va deposta.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undicesima — L'epigenetica: ciò che si eredita senza essere scritto</w:t>
      </w:r>
    </w:p>
    <w:p>
      <w:pPr>
        <w:spacing w:after="120" w:line="276"/>
        <w:jc w:val="both"/>
      </w:pPr>
      <w:r>
        <w:rPr>
          <w:rFonts w:ascii="Barlow Semi Condensed" w:cs="Barlow Semi Condensed" w:eastAsia="Barlow Semi Condensed" w:hAnsi="Barlow Semi Condensed"/>
          <w:i/>
          <w:iCs/>
          <w:sz w:val="24"/>
          <w:szCs w:val="24"/>
        </w:rPr>
        <w:t xml:space="preserve">Blocchi 786-850.</w:t>
      </w:r>
    </w:p>
    <w:p>
      <w:pPr>
        <w:spacing w:after="120" w:line="276"/>
        <w:jc w:val="both"/>
      </w:pPr>
      <w:r>
        <w:rPr>
          <w:rFonts w:ascii="Barlow Semi Condensed" w:cs="Barlow Semi Condensed" w:eastAsia="Barlow Semi Condensed" w:hAnsi="Barlow Semi Condensed"/>
          <w:b/>
          <w:bCs/>
          <w:sz w:val="24"/>
          <w:szCs w:val="24"/>
        </w:rPr>
        <w:t xml:space="preserve">786 · Che cosa la lente epigenetica autorizza.</w:t>
      </w:r>
      <w:r>
        <w:rPr>
          <w:rFonts w:ascii="Barlow Semi Condensed" w:cs="Barlow Semi Condensed" w:eastAsia="Barlow Semi Condensed" w:hAnsi="Barlow Semi Condensed"/>
          <w:sz w:val="24"/>
          <w:szCs w:val="24"/>
        </w:rPr>
        <w:t xml:space="preserve"> L'epigenetica descrive caratteri trasmessi senza modifica della sequenza. Portata sulla storia istituzionale, autorizza una sola domanda in più: quali comportamenti si sono tramandati senza che nessuna norma li scrivesse. Non autorizza nulla d'altro — né a dedurre volontà, né a costruire lignaggi di colpa. La serie usa la metafora come griglia di quesiti e la dichiara come tale: è architettura del pensiero, non fonte.</w:t>
      </w:r>
    </w:p>
    <w:p>
      <w:pPr>
        <w:spacing w:after="120" w:line="276"/>
        <w:jc w:val="both"/>
      </w:pPr>
      <w:r>
        <w:rPr>
          <w:rFonts w:ascii="Barlow Semi Condensed" w:cs="Barlow Semi Condensed" w:eastAsia="Barlow Semi Condensed" w:hAnsi="Barlow Semi Condensed"/>
          <w:b/>
          <w:bCs/>
          <w:sz w:val="24"/>
          <w:szCs w:val="24"/>
        </w:rPr>
        <w:t xml:space="preserve">787 · Dove la lente va fermata.</w:t>
      </w:r>
      <w:r>
        <w:rPr>
          <w:rFonts w:ascii="Barlow Semi Condensed" w:cs="Barlow Semi Condensed" w:eastAsia="Barlow Semi Condensed" w:hAnsi="Barlow Semi Condensed"/>
          <w:sz w:val="24"/>
          <w:szCs w:val="24"/>
        </w:rPr>
        <w:t xml:space="preserve"> La metafora spinge verso il determinismo nel momento esatto in cui si dice che un apparato «non poteva che» comportarsi così. Lì va fermata. Un'istituzione non ha genoma, non ha linea germinale, non replica: ha persone che si sostituiscono, atti che si archiviano e abitudini che si insegnano o si perdono. Ogni blocco che segue vale solo se resta traducibile in un documento richiedibile; dove non lo è, la metafora è ornamento e si abbandona.</w:t>
      </w:r>
    </w:p>
    <w:p>
      <w:pPr>
        <w:spacing w:after="120" w:line="276"/>
        <w:jc w:val="both"/>
      </w:pPr>
      <w:r>
        <w:rPr>
          <w:rFonts w:ascii="Barlow Semi Condensed" w:cs="Barlow Semi Condensed" w:eastAsia="Barlow Semi Condensed" w:hAnsi="Barlow Semi Condensed"/>
          <w:b/>
          <w:bCs/>
          <w:sz w:val="24"/>
          <w:szCs w:val="24"/>
        </w:rPr>
        <w:t xml:space="preserve">788 · Nessuna colpa si eredita (serie XI).</w:t>
      </w:r>
      <w:r>
        <w:rPr>
          <w:rFonts w:ascii="Barlow Semi Condensed" w:cs="Barlow Semi Condensed" w:eastAsia="Barlow Semi Condensed" w:hAnsi="Barlow Semi Condensed"/>
          <w:sz w:val="24"/>
          <w:szCs w:val="24"/>
        </w:rPr>
        <w:t xml:space="preserve"> Chi subentra in un ufficio eredita procedure, non responsabilità. La regola personalistica del corpus vale qui integralmente: la colpa è sempre della persona e mai del gruppo, e l'appartenenza a un'amministrazione non è condotta. Documentare che una prassi sopravvisse a chi la istituì non attribuisce nulla né al fondatore né al successore: apre, semmai, due quesiti distinti, ciascuno da provare con atti propri.</w:t>
      </w:r>
    </w:p>
    <w:p>
      <w:pPr>
        <w:spacing w:after="120" w:line="276"/>
        <w:jc w:val="both"/>
      </w:pPr>
      <w:r>
        <w:rPr>
          <w:rFonts w:ascii="Barlow Semi Condensed" w:cs="Barlow Semi Condensed" w:eastAsia="Barlow Semi Condensed" w:hAnsi="Barlow Semi Condensed"/>
          <w:b/>
          <w:bCs/>
          <w:sz w:val="24"/>
          <w:szCs w:val="24"/>
        </w:rPr>
        <w:t xml:space="preserve">789 · Genotipo scritto, fenotipo osservato.</w:t>
      </w:r>
      <w:r>
        <w:rPr>
          <w:rFonts w:ascii="Barlow Semi Condensed" w:cs="Barlow Semi Condensed" w:eastAsia="Barlow Semi Condensed" w:hAnsi="Barlow Semi Condensed"/>
          <w:sz w:val="24"/>
          <w:szCs w:val="24"/>
        </w:rPr>
        <w:t xml:space="preserve"> La distinzione operativa è questa: il genotipo dell'apparato è l'insieme delle norme pubblicate, con fonte e data; il fenotipo è il comportamento osservabile negli atti. La ricerca non consiste nel preferire l'uno all'altro, ma nel misurare la distanza fra i due, caso per caso. Quella distanza — non la norma, non l'aneddoto — è l'oggetto proprio di questa serie, e va documentata in entrambi i termini.</w:t>
      </w:r>
    </w:p>
    <w:p>
      <w:pPr>
        <w:spacing w:after="120" w:line="276"/>
        <w:jc w:val="both"/>
      </w:pPr>
      <w:r>
        <w:rPr>
          <w:rFonts w:ascii="Barlow Semi Condensed" w:cs="Barlow Semi Condensed" w:eastAsia="Barlow Semi Condensed" w:hAnsi="Barlow Semi Condensed"/>
          <w:b/>
          <w:bCs/>
          <w:sz w:val="24"/>
          <w:szCs w:val="24"/>
        </w:rPr>
        <w:t xml:space="preserve">790 · La marcatura che non cambia il testo.</w:t>
      </w:r>
      <w:r>
        <w:rPr>
          <w:rFonts w:ascii="Barlow Semi Condensed" w:cs="Barlow Semi Condensed" w:eastAsia="Barlow Semi Condensed" w:hAnsi="Barlow Semi Condensed"/>
          <w:sz w:val="24"/>
          <w:szCs w:val="24"/>
        </w:rPr>
        <w:t xml:space="preserve"> La metilazione non riscrive la sequenza: ne cambia la lettura. L'omologo documentale esiste ed è cercabile — la circolare interpretativa, la nota di indirizzo, l'istruzione verbale verbalizzata a valle, che lasciano intatto il testo della norma e ne mutano l'applicazione. Bersaglio: per ogni norma rilevante del caso, censire gli atti secondari che ne modificarono la lettura senza toccarne le parole. Se non esistono, si dichiara Stato Zero con la sede interrogata.</w:t>
      </w:r>
    </w:p>
    <w:p>
      <w:pPr>
        <w:spacing w:after="120" w:line="276"/>
        <w:jc w:val="both"/>
      </w:pPr>
      <w:r>
        <w:rPr>
          <w:rFonts w:ascii="Barlow Semi Condensed" w:cs="Barlow Semi Condensed" w:eastAsia="Barlow Semi Condensed" w:hAnsi="Barlow Semi Condensed"/>
          <w:b/>
          <w:bCs/>
          <w:sz w:val="24"/>
          <w:szCs w:val="24"/>
        </w:rPr>
        <w:t xml:space="preserve">791 · Il vettore va sempre nominato.</w:t>
      </w:r>
      <w:r>
        <w:rPr>
          <w:rFonts w:ascii="Barlow Semi Condensed" w:cs="Barlow Semi Condensed" w:eastAsia="Barlow Semi Condensed" w:hAnsi="Barlow Semi Condensed"/>
          <w:sz w:val="24"/>
          <w:szCs w:val="24"/>
        </w:rPr>
        <w:t xml:space="preserve"> Un carattere non si trasmette per aria. Chi afferma una prassi ereditata deve nominare il veicolo documentato: un corso, un manuale, un affiancamento, un passaggio di consegne, una permanenza in servizio che copra le due epoche. Senza veicolo l'affermazione resta congettura di grado C, per quanto verosimile suoni. Il veicolo è la parte falsificabile dell'enunciato: è lì che la ricerca lavora, non sull'aria di famiglia fra due comportamenti.</w:t>
      </w:r>
    </w:p>
    <w:p>
      <w:pPr>
        <w:spacing w:after="120" w:line="276"/>
        <w:jc w:val="both"/>
      </w:pPr>
      <w:r>
        <w:rPr>
          <w:rFonts w:ascii="Barlow Semi Condensed" w:cs="Barlow Semi Condensed" w:eastAsia="Barlow Semi Condensed" w:hAnsi="Barlow Semi Condensed"/>
          <w:b/>
          <w:bCs/>
          <w:sz w:val="24"/>
          <w:szCs w:val="24"/>
        </w:rPr>
        <w:t xml:space="preserve">792 · Contro il lamarckismo storiografico.</w:t>
      </w:r>
      <w:r>
        <w:rPr>
          <w:rFonts w:ascii="Barlow Semi Condensed" w:cs="Barlow Semi Condensed" w:eastAsia="Barlow Semi Condensed" w:hAnsi="Barlow Semi Condensed"/>
          <w:sz w:val="24"/>
          <w:szCs w:val="24"/>
        </w:rPr>
        <w:t xml:space="preserve"> Il vizio da evitare ha un nome preciso: credere che un'abitudine si trasmetta perché è utile, o perché qualcuno volle trasmetterla. Nella storia come in biologia il finalismo spiega troppo e prova nulla. Una prassi si documenta per la sua ripetizione e per il suo veicolo, mai per la sua funzione presunta. Chi argomenta dalla funzione ha già saltato il passaggio che avrebbe dovuto compiere, e il salto non si vede perché convince.</w:t>
      </w:r>
    </w:p>
    <w:p>
      <w:pPr>
        <w:spacing w:after="120" w:line="276"/>
        <w:jc w:val="both"/>
      </w:pPr>
      <w:r>
        <w:rPr>
          <w:rFonts w:ascii="Barlow Semi Condensed" w:cs="Barlow Semi Condensed" w:eastAsia="Barlow Semi Condensed" w:hAnsi="Barlow Semi Condensed"/>
          <w:b/>
          <w:bCs/>
          <w:sz w:val="24"/>
          <w:szCs w:val="24"/>
        </w:rPr>
        <w:t xml:space="preserve">793 · Il grado massimo di una prassi.</w:t>
      </w:r>
      <w:r>
        <w:rPr>
          <w:rFonts w:ascii="Barlow Semi Condensed" w:cs="Barlow Semi Condensed" w:eastAsia="Barlow Semi Condensed" w:hAnsi="Barlow Semi Condensed"/>
          <w:sz w:val="24"/>
          <w:szCs w:val="24"/>
        </w:rPr>
        <w:t xml:space="preserve"> Una prassi non scritta non può essere di grado A, perché il grado A esige un atto. Il suo massimo è B: accertamento fondato su una serie documentata di atti concordanti, oppure su un accertamento parlamentare che la registri. Dove la serie è incompleta o il campione non è dichiarato, resta C. Questa gerarchia va scritta accanto a ogni affermazione di prassi, esattamente come si scrive accanto a ogni altra affermazione del corpus.</w:t>
      </w:r>
    </w:p>
    <w:p>
      <w:pPr>
        <w:spacing w:after="120" w:line="276"/>
        <w:jc w:val="both"/>
      </w:pPr>
      <w:r>
        <w:rPr>
          <w:rFonts w:ascii="Barlow Semi Condensed" w:cs="Barlow Semi Condensed" w:eastAsia="Barlow Semi Condensed" w:hAnsi="Barlow Semi Condensed"/>
          <w:b/>
          <w:bCs/>
          <w:sz w:val="24"/>
          <w:szCs w:val="24"/>
        </w:rPr>
        <w:t xml:space="preserve">794 · La differenza costitutiva.</w:t>
      </w:r>
      <w:r>
        <w:rPr>
          <w:rFonts w:ascii="Barlow Semi Condensed" w:cs="Barlow Semi Condensed" w:eastAsia="Barlow Semi Condensed" w:hAnsi="Barlow Semi Condensed"/>
          <w:sz w:val="24"/>
          <w:szCs w:val="24"/>
        </w:rPr>
        <w:t xml:space="preserve"> Una norma è un atto: ha autorità emanante, data, sede di pubblicazione, testo. Una prassi è una regolarità: esiste solo come proprietà di una serie di comportamenti. Le due si provano in modi incomparabili — la prima si esibisce, la seconda si misura. Confonderle produce le due patologie speculari: attribuire a un ufficio una regola che non aveva, o negare una regolarità documentabile solo perché nessuno l'aveva messa per iscritto.</w:t>
      </w:r>
    </w:p>
    <w:p>
      <w:pPr>
        <w:spacing w:after="120" w:line="276"/>
        <w:jc w:val="both"/>
      </w:pPr>
      <w:r>
        <w:rPr>
          <w:rFonts w:ascii="Barlow Semi Condensed" w:cs="Barlow Semi Condensed" w:eastAsia="Barlow Semi Condensed" w:hAnsi="Barlow Semi Condensed"/>
          <w:b/>
          <w:bCs/>
          <w:sz w:val="24"/>
          <w:szCs w:val="24"/>
        </w:rPr>
        <w:t xml:space="preserve">795 · Un caso non fa prassi.</w:t>
      </w:r>
      <w:r>
        <w:rPr>
          <w:rFonts w:ascii="Barlow Semi Condensed" w:cs="Barlow Semi Condensed" w:eastAsia="Barlow Semi Condensed" w:hAnsi="Barlow Semi Condensed"/>
          <w:sz w:val="24"/>
          <w:szCs w:val="24"/>
        </w:rPr>
        <w:t xml:space="preserve"> Un episodio è un episodio. Perché diventi indizio di prassi servono una serie, un criterio di selezione dichiarato e la misura di quante volte, nello stesso periodo e nello stesso ufficio, il comportamento ricorra. Il singolo fatto del 1978 non dice nulla sulla regola del 1978 finché non è collocato nella sua serie. Chi salta questo passaggio non sta documentando una prassi: sta generalizzando un aneddoto, e il risultato ha la forma di una prova senza esserlo.</w:t>
      </w:r>
    </w:p>
    <w:p>
      <w:pPr>
        <w:spacing w:after="120" w:line="276"/>
        <w:jc w:val="both"/>
      </w:pPr>
      <w:r>
        <w:rPr>
          <w:rFonts w:ascii="Barlow Semi Condensed" w:cs="Barlow Semi Condensed" w:eastAsia="Barlow Semi Condensed" w:hAnsi="Barlow Semi Condensed"/>
          <w:b/>
          <w:bCs/>
          <w:sz w:val="24"/>
          <w:szCs w:val="24"/>
        </w:rPr>
        <w:t xml:space="preserve">796 · Il campione di controllo è obbligatorio.</w:t>
      </w:r>
      <w:r>
        <w:rPr>
          <w:rFonts w:ascii="Barlow Semi Condensed" w:cs="Barlow Semi Condensed" w:eastAsia="Barlow Semi Condensed" w:hAnsi="Barlow Semi Condensed"/>
          <w:sz w:val="24"/>
          <w:szCs w:val="24"/>
        </w:rPr>
        <w:t xml:space="preserve"> Il blocco 367 del manuale investigativo lo fissa: nessuna affermazione di anomalia senza il suo «normale» misurato. La regola vale identica in senso inverso: nessuna affermazione di normalità senza il campione che la misuri. Per ogni prassi ipotizzata nel caso si costruisce il gruppo di confronto — altri uffici, altre città, altri anni — e si dichiara come è stato scelto. Senza controllo non c'è né anomalia né routine: c'è impressione.</w:t>
      </w:r>
    </w:p>
    <w:p>
      <w:pPr>
        <w:spacing w:after="120" w:line="276"/>
        <w:jc w:val="both"/>
      </w:pPr>
      <w:r>
        <w:rPr>
          <w:rFonts w:ascii="Barlow Semi Condensed" w:cs="Barlow Semi Condensed" w:eastAsia="Barlow Semi Condensed" w:hAnsi="Barlow Semi Condensed"/>
          <w:b/>
          <w:bCs/>
          <w:sz w:val="24"/>
          <w:szCs w:val="24"/>
        </w:rPr>
        <w:t xml:space="preserve">797 · La norma disapplicata è un dato.</w:t>
      </w:r>
      <w:r>
        <w:rPr>
          <w:rFonts w:ascii="Barlow Semi Condensed" w:cs="Barlow Semi Condensed" w:eastAsia="Barlow Semi Condensed" w:hAnsi="Barlow Semi Condensed"/>
          <w:sz w:val="24"/>
          <w:szCs w:val="24"/>
        </w:rPr>
        <w:t xml:space="preserve"> Quando una regola scritta esiste e gli atti mostrano che non fu seguita, la divergenza è essa stessa un'acquisizione, e di grado alto, perché si provano entrambi i termini: il testo e la serie. Non prova però l'intenzione di disapplicarla. Il quesito successivo è distinto e va posto separatamente: esiste un atto che rilevi la disapplicazione, la sanzioni o la autorizzi? La risposta, anche integralmente negativa, va verbalizzata con la sede.</w:t>
      </w:r>
    </w:p>
    <w:p>
      <w:pPr>
        <w:spacing w:after="120" w:line="276"/>
        <w:jc w:val="both"/>
      </w:pPr>
      <w:r>
        <w:rPr>
          <w:rFonts w:ascii="Barlow Semi Condensed" w:cs="Barlow Semi Condensed" w:eastAsia="Barlow Semi Condensed" w:hAnsi="Barlow Semi Condensed"/>
          <w:b/>
          <w:bCs/>
          <w:sz w:val="24"/>
          <w:szCs w:val="24"/>
        </w:rPr>
        <w:t xml:space="preserve">798 · La prassi contro la norma.</w:t>
      </w:r>
      <w:r>
        <w:rPr>
          <w:rFonts w:ascii="Barlow Semi Condensed" w:cs="Barlow Semi Condensed" w:eastAsia="Barlow Semi Condensed" w:hAnsi="Barlow Semi Condensed"/>
          <w:sz w:val="24"/>
          <w:szCs w:val="24"/>
        </w:rPr>
        <w:t xml:space="preserve"> Il caso più delicato è la regolarità che contraddice la regola scritta. Documentarla richiede tre elementi insieme: il testo della norma vigente a quella data, la serie degli atti difformi, e l'assenza — accertata, non presunta — di un atto derogatorio che la legittimasse. Se manca uno dei tre, l'affermazione scende di grado. È il punto in cui la ricerca sulle prassi rischia di più, e perciò deve procedere più lentamente.</w:t>
      </w:r>
    </w:p>
    <w:p>
      <w:pPr>
        <w:spacing w:after="120" w:line="276"/>
        <w:jc w:val="both"/>
      </w:pPr>
      <w:r>
        <w:rPr>
          <w:rFonts w:ascii="Barlow Semi Condensed" w:cs="Barlow Semi Condensed" w:eastAsia="Barlow Semi Condensed" w:hAnsi="Barlow Semi Condensed"/>
          <w:b/>
          <w:bCs/>
          <w:sz w:val="24"/>
          <w:szCs w:val="24"/>
        </w:rPr>
        <w:t xml:space="preserve">799 · La prassi nascente e la sua contestazione.</w:t>
      </w:r>
      <w:r>
        <w:rPr>
          <w:rFonts w:ascii="Barlow Semi Condensed" w:cs="Barlow Semi Condensed" w:eastAsia="Barlow Semi Condensed" w:hAnsi="Barlow Semi Condensed"/>
          <w:sz w:val="24"/>
          <w:szCs w:val="24"/>
        </w:rPr>
        <w:t xml:space="preserve"> Una prassi si osserva meglio nel momento in cui nasce ed è contestata. La firma dell'Atto finale di Helsinki del 1° agosto 1975, apposta da Moro nella duplice qualità di Presidente del Consiglio e di presidente di turno della Comunità, e l'insofferenza di Kissinger per il coinvolgimento comunitario nella firma sono il caso-tipo: un uso che si stava affermando senza norma che lo prescrivesse. Fatto pubblico; nessuna inferenza ulteriore se ne trae.</w:t>
      </w:r>
    </w:p>
    <w:p>
      <w:pPr>
        <w:spacing w:after="120" w:line="276"/>
        <w:jc w:val="both"/>
      </w:pPr>
      <w:r>
        <w:rPr>
          <w:rFonts w:ascii="Barlow Semi Condensed" w:cs="Barlow Semi Condensed" w:eastAsia="Barlow Semi Condensed" w:hAnsi="Barlow Semi Condensed"/>
          <w:b/>
          <w:bCs/>
          <w:sz w:val="24"/>
          <w:szCs w:val="24"/>
        </w:rPr>
        <w:t xml:space="preserve">800 · Il valore della consuetudine amministrativa.</w:t>
      </w:r>
      <w:r>
        <w:rPr>
          <w:rFonts w:ascii="Barlow Semi Condensed" w:cs="Barlow Semi Condensed" w:eastAsia="Barlow Semi Condensed" w:hAnsi="Barlow Semi Condensed"/>
          <w:sz w:val="24"/>
          <w:szCs w:val="24"/>
        </w:rPr>
        <w:t xml:space="preserve"> Quesito preliminare a tutta la serie, da affidare a giuristi e non a cronisti: quale rilievo l'ordinamento italiano dell'epoca attribuiva alla prassi amministrativa — se fonte, se criterio interpretativo, se irrilevante — e con quali effetti sulla responsabilità dei funzionari. Il parere formale manca al dibattito sul caso. Reperirlo o commissionarlo cambia il modo in cui ogni accertamento di prassi va poi qualificato, ed è condizione di tutti i blocchi successivi.</w:t>
      </w:r>
    </w:p>
    <w:p>
      <w:pPr>
        <w:spacing w:after="120" w:line="276"/>
        <w:jc w:val="both"/>
      </w:pPr>
      <w:r>
        <w:rPr>
          <w:rFonts w:ascii="Barlow Semi Condensed" w:cs="Barlow Semi Condensed" w:eastAsia="Barlow Semi Condensed" w:hAnsi="Barlow Semi Condensed"/>
          <w:b/>
          <w:bCs/>
          <w:sz w:val="24"/>
          <w:szCs w:val="24"/>
        </w:rPr>
        <w:t xml:space="preserve">801 · Il documento dovuto della prassi.</w:t>
      </w:r>
      <w:r>
        <w:rPr>
          <w:rFonts w:ascii="Barlow Semi Condensed" w:cs="Barlow Semi Condensed" w:eastAsia="Barlow Semi Condensed" w:hAnsi="Barlow Semi Condensed"/>
          <w:sz w:val="24"/>
          <w:szCs w:val="24"/>
        </w:rPr>
        <w:t xml:space="preserve"> Il blocco 10 del manuale — un comitato produce verbali, una nota ha un protocollo — si applica alle abitudini: anche una prassi lascia carta. Ordini di servizio, turni, moduli prestampati, timbri, registri di consegna, rubriche interne. Il quesito operativo non è «esisteva una prassi», ma «quali tipi documentari una prassi come questa avrebbe necessariamente generato»; e poi la richiesta di quelle serie, una per una, a chi le conserva.</w:t>
      </w:r>
    </w:p>
    <w:p>
      <w:pPr>
        <w:spacing w:after="120" w:line="276"/>
        <w:jc w:val="both"/>
      </w:pPr>
      <w:r>
        <w:rPr>
          <w:rFonts w:ascii="Barlow Semi Condensed" w:cs="Barlow Semi Condensed" w:eastAsia="Barlow Semi Condensed" w:hAnsi="Barlow Semi Condensed"/>
          <w:b/>
          <w:bCs/>
          <w:sz w:val="24"/>
          <w:szCs w:val="24"/>
        </w:rPr>
        <w:t xml:space="preserve">802 · La modulistica come fossile.</w:t>
      </w:r>
      <w:r>
        <w:rPr>
          <w:rFonts w:ascii="Barlow Semi Condensed" w:cs="Barlow Semi Condensed" w:eastAsia="Barlow Semi Condensed" w:hAnsi="Barlow Semi Condensed"/>
          <w:sz w:val="24"/>
          <w:szCs w:val="24"/>
        </w:rPr>
        <w:t xml:space="preserve"> Un modulo prestampato è una prassi solidificata: le sue caselle dicono che cosa l'ufficio si aspettava di chiedere sempre, i suoi spazi bianchi che cosa non prevedeva. Bersaglio concreto e a costo bassissimo: la raccolta dei moduli in uso presso gli uffici coinvolti nel 1978, con le loro varianti datate. La sequenza delle ristampe è una cronologia di mutamenti di prassi che nessuno ha mai scritto in nessun altro luogo.</w:t>
      </w:r>
    </w:p>
    <w:p>
      <w:pPr>
        <w:spacing w:after="120" w:line="276"/>
        <w:jc w:val="both"/>
      </w:pPr>
      <w:r>
        <w:rPr>
          <w:rFonts w:ascii="Barlow Semi Condensed" w:cs="Barlow Semi Condensed" w:eastAsia="Barlow Semi Condensed" w:hAnsi="Barlow Semi Condensed"/>
          <w:b/>
          <w:bCs/>
          <w:sz w:val="24"/>
          <w:szCs w:val="24"/>
        </w:rPr>
        <w:t xml:space="preserve">803 · Il formulario che si ripete.</w:t>
      </w:r>
      <w:r>
        <w:rPr>
          <w:rFonts w:ascii="Barlow Semi Condensed" w:cs="Barlow Semi Condensed" w:eastAsia="Barlow Semi Condensed" w:hAnsi="Barlow Semi Condensed"/>
          <w:sz w:val="24"/>
          <w:szCs w:val="24"/>
        </w:rPr>
        <w:t xml:space="preserve"> Verbali diversi, redatti da mani diverse, che riproducono le stesse formule nello stesso ordine attestano un modello condiviso; e un modello condiviso è una prassi documentabile. L'analisi è testuale e replicabile: si contano le formule, si datano, si mappano gli uffici. Il risultato non dice che cosa accadde nei fatti verbalizzati — dice come quell'ufficio scriveva, ed è già un'acquisizione di grado B, purché il campione sia dichiarato.</w:t>
      </w:r>
    </w:p>
    <w:p>
      <w:pPr>
        <w:spacing w:after="120" w:line="276"/>
        <w:jc w:val="both"/>
      </w:pPr>
      <w:r>
        <w:rPr>
          <w:rFonts w:ascii="Barlow Semi Condensed" w:cs="Barlow Semi Condensed" w:eastAsia="Barlow Semi Condensed" w:hAnsi="Barlow Semi Condensed"/>
          <w:b/>
          <w:bCs/>
          <w:sz w:val="24"/>
          <w:szCs w:val="24"/>
        </w:rPr>
        <w:t xml:space="preserve">804 · I cinque indizi di prassi.</w:t>
      </w:r>
      <w:r>
        <w:rPr>
          <w:rFonts w:ascii="Barlow Semi Condensed" w:cs="Barlow Semi Condensed" w:eastAsia="Barlow Semi Condensed" w:hAnsi="Barlow Semi Condensed"/>
          <w:sz w:val="24"/>
          <w:szCs w:val="24"/>
        </w:rPr>
        <w:t xml:space="preserve"> Si assumano come griglia: la ripetizione documentata; l'esistenza di un modello o formulario; un veicolo di trasmissione identificato; la reazione dell'ufficio alla difformità; l'autodichiarazione della prassi in un testo posteriore. Nessuno dei cinque basta da solo. Tre concorrenti e davvero indipendenti portano l'affermazione al grado B; meno di tre la lasciano a C. La griglia si dichiara prima di applicarla, così che un terzo possa contestarla riga per riga.</w:t>
      </w:r>
    </w:p>
    <w:p>
      <w:pPr>
        <w:spacing w:after="120" w:line="276"/>
        <w:jc w:val="both"/>
      </w:pPr>
      <w:r>
        <w:rPr>
          <w:rFonts w:ascii="Barlow Semi Condensed" w:cs="Barlow Semi Condensed" w:eastAsia="Barlow Semi Condensed" w:hAnsi="Barlow Semi Condensed"/>
          <w:b/>
          <w:bCs/>
          <w:sz w:val="24"/>
          <w:szCs w:val="24"/>
        </w:rPr>
        <w:t xml:space="preserve">805 · La prassi negativa.</w:t>
      </w:r>
      <w:r>
        <w:rPr>
          <w:rFonts w:ascii="Barlow Semi Condensed" w:cs="Barlow Semi Condensed" w:eastAsia="Barlow Semi Condensed" w:hAnsi="Barlow Semi Condensed"/>
          <w:sz w:val="24"/>
          <w:szCs w:val="24"/>
        </w:rPr>
        <w:t xml:space="preserve"> Più difficile della prassi positiva è documentare ciò che abitualmente non si faceva: non produce carta propria. Si prova soltanto per esaurimento di una serie completa — dimostrando che in nessuno dei casi comparabili quel tipo di atto compare — e la completezza della serie va certificata dall'archivio, non asserita dal ricercatore. Se la serie è lacunosa, l'assenza non è prassi: è lacuna, e si dichiara come tale senza aggiungervi nulla.</w:t>
      </w:r>
    </w:p>
    <w:p>
      <w:pPr>
        <w:spacing w:after="120" w:line="276"/>
        <w:jc w:val="both"/>
      </w:pPr>
      <w:r>
        <w:rPr>
          <w:rFonts w:ascii="Barlow Semi Condensed" w:cs="Barlow Semi Condensed" w:eastAsia="Barlow Semi Condensed" w:hAnsi="Barlow Semi Condensed"/>
          <w:b/>
          <w:bCs/>
          <w:sz w:val="24"/>
          <w:szCs w:val="24"/>
        </w:rPr>
        <w:t xml:space="preserve">806 · Il teste dell'abitudine.</w:t>
      </w:r>
      <w:r>
        <w:rPr>
          <w:rFonts w:ascii="Barlow Semi Condensed" w:cs="Barlow Semi Condensed" w:eastAsia="Barlow Semi Condensed" w:hAnsi="Barlow Semi Condensed"/>
          <w:sz w:val="24"/>
          <w:szCs w:val="24"/>
        </w:rPr>
        <w:t xml:space="preserve"> Una testimonianza sull'abitudine è epistemicamente diversa da una sulla singola giornata: chi ricorda la regola spesso ricorda meglio, perché la routine è memoria consolidata. Resta però di grado B, e porta un rischio proprio: la routine ricordata tende a essere quella corretta, non quella praticata. Si raccoglie perciò sempre in coppia con un atto che la corrobori, secondo il primato del reperto fissato dal blocco 9 del manuale.</w:t>
      </w:r>
    </w:p>
    <w:p>
      <w:pPr>
        <w:spacing w:after="120" w:line="276"/>
        <w:jc w:val="both"/>
      </w:pPr>
      <w:r>
        <w:rPr>
          <w:rFonts w:ascii="Barlow Semi Condensed" w:cs="Barlow Semi Condensed" w:eastAsia="Barlow Semi Condensed" w:hAnsi="Barlow Semi Condensed"/>
          <w:b/>
          <w:bCs/>
          <w:sz w:val="24"/>
          <w:szCs w:val="24"/>
        </w:rPr>
        <w:t xml:space="preserve">807 · Il protocollo d'intervista sulla prassi.</w:t>
      </w:r>
      <w:r>
        <w:rPr>
          <w:rFonts w:ascii="Barlow Semi Condensed" w:cs="Barlow Semi Condensed" w:eastAsia="Barlow Semi Condensed" w:hAnsi="Barlow Semi Condensed"/>
          <w:sz w:val="24"/>
          <w:szCs w:val="24"/>
        </w:rPr>
        <w:t xml:space="preserve"> Per il cantiere conservativo: si chiede «come si faceva di solito», non «che cosa accadde quel giorno», e lo si chiede prima di ogni riferimento al caso, per non contaminare il ricordo della regola con la memoria dell'evento. Le domande si depositano scritte, le risposte si verbalizzano integralmente, e la scheda dichiara se l'intervistato sapesse quale caso motivasse la ricerca. Senza quella dichiarazione l'intervista non è utilizzabile.</w:t>
      </w:r>
    </w:p>
    <w:p>
      <w:pPr>
        <w:spacing w:after="120" w:line="276"/>
        <w:jc w:val="both"/>
      </w:pPr>
      <w:r>
        <w:rPr>
          <w:rFonts w:ascii="Barlow Semi Condensed" w:cs="Barlow Semi Condensed" w:eastAsia="Barlow Semi Condensed" w:hAnsi="Barlow Semi Condensed"/>
          <w:b/>
          <w:bCs/>
          <w:sz w:val="24"/>
          <w:szCs w:val="24"/>
        </w:rPr>
        <w:t xml:space="preserve">808 · I manuali e le dispense di corso.</w:t>
      </w:r>
      <w:r>
        <w:rPr>
          <w:rFonts w:ascii="Barlow Semi Condensed" w:cs="Barlow Semi Condensed" w:eastAsia="Barlow Semi Condensed" w:hAnsi="Barlow Semi Condensed"/>
          <w:sz w:val="24"/>
          <w:szCs w:val="24"/>
        </w:rPr>
        <w:t xml:space="preserve"> La traccia scritta del non scritto sta quasi sempre nella formazione: dispense di scuola, manuali interni, esercitazioni, circolari applicative. Bersaglio: il censimento dei materiali didattici in uso negli anni Settanta presso le amministrazioni coinvolte, con le loro edizioni successive. Ogni revisione di manuale è un mutamento di prassi datato. Se i materiali risultano scartati o dispersi, la constatazione si verbalizza con la sede interrogata e la risposta ottenuta.</w:t>
      </w:r>
    </w:p>
    <w:p>
      <w:pPr>
        <w:spacing w:after="120" w:line="276"/>
        <w:jc w:val="both"/>
      </w:pPr>
      <w:r>
        <w:rPr>
          <w:rFonts w:ascii="Barlow Semi Condensed" w:cs="Barlow Semi Condensed" w:eastAsia="Barlow Semi Condensed" w:hAnsi="Barlow Semi Condensed"/>
          <w:b/>
          <w:bCs/>
          <w:sz w:val="24"/>
          <w:szCs w:val="24"/>
        </w:rPr>
        <w:t xml:space="preserve">809 · Il brogliaccio della routine.</w:t>
      </w:r>
      <w:r>
        <w:rPr>
          <w:rFonts w:ascii="Barlow Semi Condensed" w:cs="Barlow Semi Condensed" w:eastAsia="Barlow Semi Condensed" w:hAnsi="Barlow Semi Condensed"/>
          <w:sz w:val="24"/>
          <w:szCs w:val="24"/>
        </w:rPr>
        <w:t xml:space="preserve"> Il brogliaccio di sala operativa è il documento più prossimo alla prassi che un archivio possa restituire: annota i gesti ordinari, non gli eventi notevoli, e per questo è il primo a essere scartato. Il blocco 569 dei cantieri pone il quesito gemello sulle prassi di registrazione delle utenze nel 1978, definendolo d'archivio prima che tecnico. Bersaglio: quali brogliacci delle sedi rilevanti siano sopravvissuti, dove, e sotto quale massimario furono selezionati.</w:t>
      </w:r>
    </w:p>
    <w:p>
      <w:pPr>
        <w:spacing w:after="120" w:line="276"/>
        <w:jc w:val="both"/>
      </w:pPr>
      <w:r>
        <w:rPr>
          <w:rFonts w:ascii="Barlow Semi Condensed" w:cs="Barlow Semi Condensed" w:eastAsia="Barlow Semi Condensed" w:hAnsi="Barlow Semi Condensed"/>
          <w:b/>
          <w:bCs/>
          <w:sz w:val="24"/>
          <w:szCs w:val="24"/>
        </w:rPr>
        <w:t xml:space="preserve">810 · Omologia e analogia fra due prassi.</w:t>
      </w:r>
      <w:r>
        <w:rPr>
          <w:rFonts w:ascii="Barlow Semi Condensed" w:cs="Barlow Semi Condensed" w:eastAsia="Barlow Semi Condensed" w:hAnsi="Barlow Semi Condensed"/>
          <w:sz w:val="24"/>
          <w:szCs w:val="24"/>
        </w:rPr>
        <w:t xml:space="preserve"> Due uffici che si comportano allo stesso modo possono aver ereditato la prassi da un ceppo comune — omologia, documentabile al primo piano — oppure averla sviluppata separatamente sotto vincoli identici, che è convergenza e sta al secondo piano. La distinzione si decide con documenti di trasmissione, non con la somiglianza. In assenza di quei documenti si registra il secondo piano come tale, e non lo si promuove mai a nesso causale.</w:t>
      </w:r>
    </w:p>
    <w:p>
      <w:pPr>
        <w:spacing w:after="120" w:line="276"/>
        <w:jc w:val="both"/>
      </w:pPr>
      <w:r>
        <w:rPr>
          <w:rFonts w:ascii="Barlow Semi Condensed" w:cs="Barlow Semi Condensed" w:eastAsia="Barlow Semi Condensed" w:hAnsi="Barlow Semi Condensed"/>
          <w:b/>
          <w:bCs/>
          <w:sz w:val="24"/>
          <w:szCs w:val="24"/>
        </w:rPr>
        <w:t xml:space="preserve">811 · La scuola di guerriglia, come si trasmise.</w:t>
      </w:r>
      <w:r>
        <w:rPr>
          <w:rFonts w:ascii="Barlow Semi Condensed" w:cs="Barlow Semi Condensed" w:eastAsia="Barlow Semi Condensed" w:hAnsi="Barlow Semi Condensed"/>
          <w:sz w:val="24"/>
          <w:szCs w:val="24"/>
        </w:rPr>
        <w:t xml:space="preserve"> Il corpus registra la dichiarazione di Renato Curcio secondo cui i brigatisti andarono «a scuola di guerriglia» da Feltrinelli: fatto pubblico riferito, grado F sulla dichiarazione e non sul contenuto. È il caso-tipo di trasmissione non scritta di un metodo, e va trattato come tale: la frase attesta un'autopercezione genealogica, non un percorso documentato. Bersaglio: quali materiali, testi o addestramenti concreti la sostengano. Finché non emergono, resta genealogia dichiarata.</w:t>
      </w:r>
    </w:p>
    <w:p>
      <w:pPr>
        <w:spacing w:after="120" w:line="276"/>
        <w:jc w:val="both"/>
      </w:pPr>
      <w:r>
        <w:rPr>
          <w:rFonts w:ascii="Barlow Semi Condensed" w:cs="Barlow Semi Condensed" w:eastAsia="Barlow Semi Condensed" w:hAnsi="Barlow Semi Condensed"/>
          <w:b/>
          <w:bCs/>
          <w:sz w:val="24"/>
          <w:szCs w:val="24"/>
        </w:rPr>
        <w:t xml:space="preserve">812 · Il codice scritto e il fenotipo italiano.</w:t>
      </w:r>
      <w:r>
        <w:rPr>
          <w:rFonts w:ascii="Barlow Semi Condensed" w:cs="Barlow Semi Condensed" w:eastAsia="Barlow Semi Condensed" w:hAnsi="Barlow Semi Condensed"/>
          <w:sz w:val="24"/>
          <w:szCs w:val="24"/>
        </w:rPr>
        <w:t xml:space="preserve"> La dottrina del foco fu scritta e pubblicata; ciò che se ne praticò in Italia dieci anni dopo differisce da essa in quasi ogni punto operativo. La lente serve bene: stesso codice dichiarato, espressione radicalmente diversa secondo l'ambiente. E serve a fermarsi, perché la differenza di espressione non stabilisce alcun rapporto fra chi scrisse il codice e chi agì — il corpus lo classifica come eredità che degenera, non come catena di comando.</w:t>
      </w:r>
    </w:p>
    <w:p>
      <w:pPr>
        <w:spacing w:after="120" w:line="276"/>
        <w:jc w:val="both"/>
      </w:pPr>
      <w:r>
        <w:rPr>
          <w:rFonts w:ascii="Barlow Semi Condensed" w:cs="Barlow Semi Condensed" w:eastAsia="Barlow Semi Condensed" w:hAnsi="Barlow Semi Condensed"/>
          <w:b/>
          <w:bCs/>
          <w:sz w:val="24"/>
          <w:szCs w:val="24"/>
        </w:rPr>
        <w:t xml:space="preserve">813 · Stato Zero sulla prassi.</w:t>
      </w:r>
      <w:r>
        <w:rPr>
          <w:rFonts w:ascii="Barlow Semi Condensed" w:cs="Barlow Semi Condensed" w:eastAsia="Barlow Semi Condensed" w:hAnsi="Barlow Semi Condensed"/>
          <w:sz w:val="24"/>
          <w:szCs w:val="24"/>
        </w:rPr>
        <w:t xml:space="preserve"> Quando la ricerca su una prassi si chiude senza trovarne traccia, l'esito è un'acquisizione di pieno valore e si scrive per intero: quale prassi si cercava, con quali indizi la si ipotizzava, quali serie si sono spogliate, presso quale sede, con quale esito e con quale risposta scritta. Uno Stato Zero ben redatto vale più di una prassi asserita: chiude una via e ne indica con precisione la riapertura.</w:t>
      </w:r>
    </w:p>
    <w:p>
      <w:pPr>
        <w:spacing w:after="120" w:line="276"/>
        <w:jc w:val="both"/>
      </w:pPr>
      <w:r>
        <w:rPr>
          <w:rFonts w:ascii="Barlow Semi Condensed" w:cs="Barlow Semi Condensed" w:eastAsia="Barlow Semi Condensed" w:hAnsi="Barlow Semi Condensed"/>
          <w:b/>
          <w:bCs/>
          <w:sz w:val="24"/>
          <w:szCs w:val="24"/>
        </w:rPr>
        <w:t xml:space="preserve">814 · Il silenzio come carattere trasmesso.</w:t>
      </w:r>
      <w:r>
        <w:rPr>
          <w:rFonts w:ascii="Barlow Semi Condensed" w:cs="Barlow Semi Condensed" w:eastAsia="Barlow Semi Condensed" w:hAnsi="Barlow Semi Condensed"/>
          <w:sz w:val="24"/>
          <w:szCs w:val="24"/>
        </w:rPr>
        <w:t xml:space="preserve"> Fra le prassi non scritte, la più rilevante per il caso è il non dire: che cosa un ufficio abitualmente non metteva a verbale, non comunicava all'ufficio vicino, non riferiva all'autorità politica. È un carattere che si insegna senza enunciarlo e che sopravvive ai singoli. Documentarlo è possibile solo per differenza, confrontando ciò che una sede scriveva con ciò che una sede omologa, nello stesso sistema, scriveva sullo stesso oggetto.</w:t>
      </w:r>
    </w:p>
    <w:p>
      <w:pPr>
        <w:spacing w:after="120" w:line="276"/>
        <w:jc w:val="both"/>
      </w:pPr>
      <w:r>
        <w:rPr>
          <w:rFonts w:ascii="Barlow Semi Condensed" w:cs="Barlow Semi Condensed" w:eastAsia="Barlow Semi Condensed" w:hAnsi="Barlow Semi Condensed"/>
          <w:b/>
          <w:bCs/>
          <w:sz w:val="24"/>
          <w:szCs w:val="24"/>
        </w:rPr>
        <w:t xml:space="preserve">815 · Che cosa non si scriveva.</w:t>
      </w:r>
      <w:r>
        <w:rPr>
          <w:rFonts w:ascii="Barlow Semi Condensed" w:cs="Barlow Semi Condensed" w:eastAsia="Barlow Semi Condensed" w:hAnsi="Barlow Semi Condensed"/>
          <w:sz w:val="24"/>
          <w:szCs w:val="24"/>
        </w:rPr>
        <w:t xml:space="preserve"> Il quesito va scomposto in tre, perché le cause lasciano tracce diverse: non si scriveva per regola di classificazione, per abitudine di prudenza, o per scelta relativa a quel singolo oggetto. La prima lascia norme — e il blocco 947 dei cantieri ricorda che metà del segreto percepito è classificazione amministrativa ordinaria; la seconda lascia una regolarità misurabile; la terza un'anomalia locale. Solo la terza autorizza domande sul caso.</w:t>
      </w:r>
    </w:p>
    <w:p>
      <w:pPr>
        <w:spacing w:after="120" w:line="276"/>
        <w:jc w:val="both"/>
      </w:pPr>
      <w:r>
        <w:rPr>
          <w:rFonts w:ascii="Barlow Semi Condensed" w:cs="Barlow Semi Condensed" w:eastAsia="Barlow Semi Condensed" w:hAnsi="Barlow Semi Condensed"/>
          <w:b/>
          <w:bCs/>
          <w:sz w:val="24"/>
          <w:szCs w:val="24"/>
        </w:rPr>
        <w:t xml:space="preserve">816 · Il silenzio non prova il segreto.</w:t>
      </w:r>
      <w:r>
        <w:rPr>
          <w:rFonts w:ascii="Barlow Semi Condensed" w:cs="Barlow Semi Condensed" w:eastAsia="Barlow Semi Condensed" w:hAnsi="Barlow Semi Condensed"/>
          <w:sz w:val="24"/>
          <w:szCs w:val="24"/>
        </w:rPr>
        <w:t xml:space="preserve"> Un vuoto documentale è compatibile con molte cause: la prassi di non verbalizzare, lo scarto regolare, la perdita, il versamento incompleto, e anche l'occultamento. Attribuirlo d'ufficio alla causa più drammatica è la mossa che il corpus vieta. La regola dei buchi lo dice con esattezza: il buco si misura e si dichiara, non si riempie di narrazione, e resta congettura possibile finché un documento non diventi arco della rete.</w:t>
      </w:r>
    </w:p>
    <w:p>
      <w:pPr>
        <w:spacing w:after="120" w:line="276"/>
        <w:jc w:val="both"/>
      </w:pPr>
      <w:r>
        <w:rPr>
          <w:rFonts w:ascii="Barlow Semi Condensed" w:cs="Barlow Semi Condensed" w:eastAsia="Barlow Semi Condensed" w:hAnsi="Barlow Semi Condensed"/>
          <w:b/>
          <w:bCs/>
          <w:sz w:val="24"/>
          <w:szCs w:val="24"/>
        </w:rPr>
        <w:t xml:space="preserve">817 · Il secondo tempo della regola dei buchi (serie XI).</w:t>
      </w:r>
      <w:r>
        <w:rPr>
          <w:rFonts w:ascii="Barlow Semi Condensed" w:cs="Barlow Semi Condensed" w:eastAsia="Barlow Semi Condensed" w:hAnsi="Barlow Semi Condensed"/>
          <w:sz w:val="24"/>
          <w:szCs w:val="24"/>
        </w:rPr>
        <w:t xml:space="preserve"> La triangolazione della seconda campagna aggiunge la metà mancante: un basso rapporto di associazione fra due domini non indica assenza di rapporti, indica che nessuno ha scritto un documento che li tratti insieme. Applicata ai silenzi, la procedura diventa a due tempi: prima si misura il vuoto, poi se ne diagnostica la causa nella specializzazione delle fonti; solo dopo si è autorizzati a interrogarlo sulla struttura del mondo.</w:t>
      </w:r>
    </w:p>
    <w:p>
      <w:pPr>
        <w:spacing w:after="120" w:line="276"/>
        <w:jc w:val="both"/>
      </w:pPr>
      <w:r>
        <w:rPr>
          <w:rFonts w:ascii="Barlow Semi Condensed" w:cs="Barlow Semi Condensed" w:eastAsia="Barlow Semi Condensed" w:hAnsi="Barlow Semi Condensed"/>
          <w:b/>
          <w:bCs/>
          <w:sz w:val="24"/>
          <w:szCs w:val="24"/>
        </w:rPr>
        <w:t xml:space="preserve">818 · La compartimentazione come prassi orale.</w:t>
      </w:r>
      <w:r>
        <w:rPr>
          <w:rFonts w:ascii="Barlow Semi Condensed" w:cs="Barlow Semi Condensed" w:eastAsia="Barlow Semi Condensed" w:hAnsi="Barlow Semi Condensed"/>
          <w:sz w:val="24"/>
          <w:szCs w:val="24"/>
        </w:rPr>
        <w:t xml:space="preserve"> Nelle organizzazioni clandestine la regola di non sapere è per definizione non scritta, e la sua unica documentazione disponibile è postuma e interessata. La Commissione Moro 2 ha accertato che il memoriale Morucci fu il risultato di una collaborazione sviluppatasi negli anni Ottanta: accertamento di grado B che vale come regola di lettura generale — una fonte gestita politicamente si usa sapendo che è tale, non si getta via e non si crede.</w:t>
      </w:r>
    </w:p>
    <w:p>
      <w:pPr>
        <w:spacing w:after="120" w:line="276"/>
        <w:jc w:val="both"/>
      </w:pPr>
      <w:r>
        <w:rPr>
          <w:rFonts w:ascii="Barlow Semi Condensed" w:cs="Barlow Semi Condensed" w:eastAsia="Barlow Semi Condensed" w:hAnsi="Barlow Semi Condensed"/>
          <w:b/>
          <w:bCs/>
          <w:sz w:val="24"/>
          <w:szCs w:val="24"/>
        </w:rPr>
        <w:t xml:space="preserve">819 · La rottura del silenzio, evento datato.</w:t>
      </w:r>
      <w:r>
        <w:rPr>
          <w:rFonts w:ascii="Barlow Semi Condensed" w:cs="Barlow Semi Condensed" w:eastAsia="Barlow Semi Condensed" w:hAnsi="Barlow Semi Condensed"/>
          <w:sz w:val="24"/>
          <w:szCs w:val="24"/>
        </w:rPr>
        <w:t xml:space="preserve"> Quando un silenzio cede — una deposizione, una relazione, una desecretazione — la data va registrata come si registra un atto, perché consente di misurare la durata del carattere trasmesso e di identificarne la fine. La cronologia delle rotture di silenzio del caso, costruita come tavola autonoma, è un prodotto mancante e realizzabile: dice quando ciascuna prassi di riserbo smise di funzionare, e per intervento di quale sede.</w:t>
      </w:r>
    </w:p>
    <w:p>
      <w:pPr>
        <w:spacing w:after="120" w:line="276"/>
        <w:jc w:val="both"/>
      </w:pPr>
      <w:r>
        <w:rPr>
          <w:rFonts w:ascii="Barlow Semi Condensed" w:cs="Barlow Semi Condensed" w:eastAsia="Barlow Semi Condensed" w:hAnsi="Barlow Semi Condensed"/>
          <w:b/>
          <w:bCs/>
          <w:sz w:val="24"/>
          <w:szCs w:val="24"/>
        </w:rPr>
        <w:t xml:space="preserve">820 · Cultura di apparato: definirla o tacerla.</w:t>
      </w:r>
      <w:r>
        <w:rPr>
          <w:rFonts w:ascii="Barlow Semi Condensed" w:cs="Barlow Semi Condensed" w:eastAsia="Barlow Semi Condensed" w:hAnsi="Barlow Semi Condensed"/>
          <w:sz w:val="24"/>
          <w:szCs w:val="24"/>
        </w:rPr>
        <w:t xml:space="preserve"> L'espressione circola come spiegazione universale e per questo non spiega nulla. Nel corpus è ammessa a una condizione: che sia sostituita, ogni volta, dall'elenco delle prassi concrete che si intende affermare, ciascuna col suo veicolo e col suo grado. Se l'elenco non si può scrivere, l'espressione va tolta dal testo. È la stessa disciplina che il corpus applica alle entità: si indagano per atti e omissioni documentati, mai come colpevoli collettivi.</w:t>
      </w:r>
    </w:p>
    <w:p>
      <w:pPr>
        <w:spacing w:after="120" w:line="276"/>
        <w:jc w:val="both"/>
      </w:pPr>
      <w:r>
        <w:rPr>
          <w:rFonts w:ascii="Barlow Semi Condensed" w:cs="Barlow Semi Condensed" w:eastAsia="Barlow Semi Condensed" w:hAnsi="Barlow Semi Condensed"/>
          <w:b/>
          <w:bCs/>
          <w:sz w:val="24"/>
          <w:szCs w:val="24"/>
        </w:rPr>
        <w:t xml:space="preserve">821 · Il quesito madre della protezione.</w:t>
      </w:r>
      <w:r>
        <w:rPr>
          <w:rFonts w:ascii="Barlow Semi Condensed" w:cs="Barlow Semi Condensed" w:eastAsia="Barlow Semi Condensed" w:hAnsi="Barlow Semi Condensed"/>
          <w:sz w:val="24"/>
          <w:szCs w:val="24"/>
        </w:rPr>
        <w:t xml:space="preserve"> Formulato senza presupposti: quali misure di protezione erano disposte per Aldo Moro al 16 marzo 1978, con quale atto, adottato da quale autorità, in quale data, e se fosse prevista una revisione periodica. È un quesito d'archivio, non interpretativo, e ha risposta possibile in entrambi i sensi. Ogni discussione sul dispositivo di scorta che preceda questa risposta discute di un oggetto non ancora accertato, e non lo sa.</w:t>
      </w:r>
    </w:p>
    <w:p>
      <w:pPr>
        <w:spacing w:after="120" w:line="276"/>
        <w:jc w:val="both"/>
      </w:pPr>
      <w:r>
        <w:rPr>
          <w:rFonts w:ascii="Barlow Semi Condensed" w:cs="Barlow Semi Condensed" w:eastAsia="Barlow Semi Condensed" w:hAnsi="Barlow Semi Condensed"/>
          <w:b/>
          <w:bCs/>
          <w:sz w:val="24"/>
          <w:szCs w:val="24"/>
        </w:rPr>
        <w:t xml:space="preserve">822 · L'atto istitutivo e la revisione.</w:t>
      </w:r>
      <w:r>
        <w:rPr>
          <w:rFonts w:ascii="Barlow Semi Condensed" w:cs="Barlow Semi Condensed" w:eastAsia="Barlow Semi Condensed" w:hAnsi="Barlow Semi Condensed"/>
          <w:sz w:val="24"/>
          <w:szCs w:val="24"/>
        </w:rPr>
        <w:t xml:space="preserve"> Ogni misura di sicurezza ha due date che raramente coincidono: quella dell'istituzione e quella dell'ultima revisione. L'intervallo fra le due è l'oggetto proprio di questa serie, perché è lì che una disposizione smette di rispondere alla situazione che la motivò e continua a essere eseguita. Bersaglio: ricostruire per il caso entrambe le date sugli atti, e verbalizzare quale delle due manchi e presso quale sede si è cercata.</w:t>
      </w:r>
    </w:p>
    <w:p>
      <w:pPr>
        <w:spacing w:after="120" w:line="276"/>
        <w:jc w:val="both"/>
      </w:pPr>
      <w:r>
        <w:rPr>
          <w:rFonts w:ascii="Barlow Semi Condensed" w:cs="Barlow Semi Condensed" w:eastAsia="Barlow Semi Condensed" w:hAnsi="Barlow Semi Condensed"/>
          <w:b/>
          <w:bCs/>
          <w:sz w:val="24"/>
          <w:szCs w:val="24"/>
        </w:rPr>
        <w:t xml:space="preserve">823 · La sopravvivenza per inerzia.</w:t>
      </w:r>
      <w:r>
        <w:rPr>
          <w:rFonts w:ascii="Barlow Semi Condensed" w:cs="Barlow Semi Condensed" w:eastAsia="Barlow Semi Condensed" w:hAnsi="Barlow Semi Condensed"/>
          <w:sz w:val="24"/>
          <w:szCs w:val="24"/>
        </w:rPr>
        <w:t xml:space="preserve"> Una procedura può sopravvivere a chi la istituì, alla ragione che la giustificava e all'ufficio che la eseguiva, semplicemente perché nessuno era tenuto a rivederla. È il fenomeno che questa serie chiama epigenetico, e non è di per sé anomalo: è la condizione ordinaria delle amministrazioni. Documentarlo significa provare tre cose distinte — che la ragione cessò, che la procedura proseguì, che nessun atto di revisione intervenne — e provarle separatamente.</w:t>
      </w:r>
    </w:p>
    <w:p>
      <w:pPr>
        <w:spacing w:after="120" w:line="276"/>
        <w:jc w:val="both"/>
      </w:pPr>
      <w:r>
        <w:rPr>
          <w:rFonts w:ascii="Barlow Semi Condensed" w:cs="Barlow Semi Condensed" w:eastAsia="Barlow Semi Condensed" w:hAnsi="Barlow Semi Condensed"/>
          <w:b/>
          <w:bCs/>
          <w:sz w:val="24"/>
          <w:szCs w:val="24"/>
        </w:rPr>
        <w:t xml:space="preserve">824 · L'inerzia non è volontà.</w:t>
      </w:r>
      <w:r>
        <w:rPr>
          <w:rFonts w:ascii="Barlow Semi Condensed" w:cs="Barlow Semi Condensed" w:eastAsia="Barlow Semi Condensed" w:hAnsi="Barlow Semi Condensed"/>
          <w:sz w:val="24"/>
          <w:szCs w:val="24"/>
        </w:rPr>
        <w:t xml:space="preserve"> Provata la sopravvivenza di una procedura oltre la sua ragione, non è provato nulla sull'intenzione di chi la lasciò in vita. Sono due asserzioni separate, con due criteri di smentita separati. Il passaggio dalla prima alla seconda richiede un documento che colleghi la mancata revisione a una decisione: senza quel documento la seconda resta di grado C, e va scritta così accanto alla prima, che può stare a B.</w:t>
      </w:r>
    </w:p>
    <w:p>
      <w:pPr>
        <w:spacing w:after="120" w:line="276"/>
        <w:jc w:val="both"/>
      </w:pPr>
      <w:r>
        <w:rPr>
          <w:rFonts w:ascii="Barlow Semi Condensed" w:cs="Barlow Semi Condensed" w:eastAsia="Barlow Semi Condensed" w:hAnsi="Barlow Semi Condensed"/>
          <w:b/>
          <w:bCs/>
          <w:sz w:val="24"/>
          <w:szCs w:val="24"/>
        </w:rPr>
        <w:t xml:space="preserve">825 · Il passaggio di consegne.</w:t>
      </w:r>
      <w:r>
        <w:rPr>
          <w:rFonts w:ascii="Barlow Semi Condensed" w:cs="Barlow Semi Condensed" w:eastAsia="Barlow Semi Condensed" w:hAnsi="Barlow Semi Condensed"/>
          <w:sz w:val="24"/>
          <w:szCs w:val="24"/>
        </w:rPr>
        <w:t xml:space="preserve"> È il veicolo per eccellenza della trasmissione non scritta, e in molte amministrazioni produce carta: verbali di consegna, elenchi di pendenze, note informative al subentrante. Quesito operativo: per gli uffici rilevanti del caso, esistono verbali di passaggio di consegne nel triennio 1976-1978, dove sono versati, che cosa registrano. Un verbale di consegne è il punto in cui una prassi diventa, per una volta sola, testo leggibile.</w:t>
      </w:r>
    </w:p>
    <w:p>
      <w:pPr>
        <w:spacing w:after="120" w:line="276"/>
        <w:jc w:val="both"/>
      </w:pPr>
      <w:r>
        <w:rPr>
          <w:rFonts w:ascii="Barlow Semi Condensed" w:cs="Barlow Semi Condensed" w:eastAsia="Barlow Semi Condensed" w:hAnsi="Barlow Semi Condensed"/>
          <w:b/>
          <w:bCs/>
          <w:sz w:val="24"/>
          <w:szCs w:val="24"/>
        </w:rPr>
        <w:t xml:space="preserve">826 · La catena dei titolari.</w:t>
      </w:r>
      <w:r>
        <w:rPr>
          <w:rFonts w:ascii="Barlow Semi Condensed" w:cs="Barlow Semi Condensed" w:eastAsia="Barlow Semi Condensed" w:hAnsi="Barlow Semi Condensed"/>
          <w:sz w:val="24"/>
          <w:szCs w:val="24"/>
        </w:rPr>
        <w:t xml:space="preserve"> Ricostruire l'elenco datato di chi resse gli uffici rilevanti dal momento in cui una procedura fu istituita fino al 1978 è lavoro puramente anagrafico ed eseguibile su fonti aperte. Serve a due cose e a nessuna terza: misurare quante volte la procedura attraversò un cambio di titolare, e identificare chi fosse in carica quando una revisione avrebbe dovuto avvenire. Non attribuisce nulla a nessuno, e non deve essere usato per farlo.</w:t>
      </w:r>
    </w:p>
    <w:p>
      <w:pPr>
        <w:spacing w:after="120" w:line="276"/>
        <w:jc w:val="both"/>
      </w:pPr>
      <w:r>
        <w:rPr>
          <w:rFonts w:ascii="Barlow Semi Condensed" w:cs="Barlow Semi Condensed" w:eastAsia="Barlow Semi Condensed" w:hAnsi="Barlow Semi Condensed"/>
          <w:b/>
          <w:bCs/>
          <w:sz w:val="24"/>
          <w:szCs w:val="24"/>
        </w:rPr>
        <w:t xml:space="preserve">827 · Si è sempre fatto così.</w:t>
      </w:r>
      <w:r>
        <w:rPr>
          <w:rFonts w:ascii="Barlow Semi Condensed" w:cs="Barlow Semi Condensed" w:eastAsia="Barlow Semi Condensed" w:hAnsi="Barlow Semi Condensed"/>
          <w:sz w:val="24"/>
          <w:szCs w:val="24"/>
        </w:rPr>
        <w:t xml:space="preserve"> La formula compare nei verbali e nelle audizioni come argomento, ed è la più diretta autodichiarazione di prassi che una fonte possa offrire. Bersaglio a basso costo: censire nelle deposizioni e nelle relazioni parlamentari del caso tutte le occorrenze in cui un funzionario giustifica un comportamento con la sua ordinarietà, e verificare ciascuna contro la serie documentale. Alcune si confermeranno; altre risulteranno prassi asserite e mai esistite, ed è un risultato.</w:t>
      </w:r>
    </w:p>
    <w:p>
      <w:pPr>
        <w:spacing w:after="120" w:line="276"/>
        <w:jc w:val="both"/>
      </w:pPr>
      <w:r>
        <w:rPr>
          <w:rFonts w:ascii="Barlow Semi Condensed" w:cs="Barlow Semi Condensed" w:eastAsia="Barlow Semi Condensed" w:hAnsi="Barlow Semi Condensed"/>
          <w:b/>
          <w:bCs/>
          <w:sz w:val="24"/>
          <w:szCs w:val="24"/>
        </w:rPr>
        <w:t xml:space="preserve">828 · La valutazione del rischio, presente o assente.</w:t>
      </w:r>
      <w:r>
        <w:rPr>
          <w:rFonts w:ascii="Barlow Semi Condensed" w:cs="Barlow Semi Condensed" w:eastAsia="Barlow Semi Condensed" w:hAnsi="Barlow Semi Condensed"/>
          <w:sz w:val="24"/>
          <w:szCs w:val="24"/>
        </w:rPr>
        <w:t xml:space="preserve"> Quesito con esito utile in entrambi i sensi: esiste, per il periodo considerato, un documento di valutazione della minaccia riferito alla persona di Moro o alla categoria cui apparteneva? Se esiste, il confronto fra la valutazione e le misure adottate è misurabile. Se non esiste, l'assenza di un documento dovuto è essa stessa un dato di grado alto, da verbalizzare con la sede interrogata e la risposta ricevuta.</w:t>
      </w:r>
    </w:p>
    <w:p>
      <w:pPr>
        <w:spacing w:after="120" w:line="276"/>
        <w:jc w:val="both"/>
      </w:pPr>
      <w:r>
        <w:rPr>
          <w:rFonts w:ascii="Barlow Semi Condensed" w:cs="Barlow Semi Condensed" w:eastAsia="Barlow Semi Condensed" w:hAnsi="Barlow Semi Condensed"/>
          <w:b/>
          <w:bCs/>
          <w:sz w:val="24"/>
          <w:szCs w:val="24"/>
        </w:rPr>
        <w:t xml:space="preserve">829 · La comparazione del 16 marzo.</w:t>
      </w:r>
      <w:r>
        <w:rPr>
          <w:rFonts w:ascii="Barlow Semi Condensed" w:cs="Barlow Semi Condensed" w:eastAsia="Barlow Semi Condensed" w:hAnsi="Barlow Semi Condensed"/>
          <w:sz w:val="24"/>
          <w:szCs w:val="24"/>
        </w:rPr>
        <w:t xml:space="preserve"> Il campione di controllo applicato alla protezione: quali misure erano in essere, nello stesso periodo, per altre personalità di rango comparabile, con quali atti e con quali revisioni. Senza questa comparazione nessuna affermazione sull'adeguatezza o sull'inadeguatezza del dispositivo è verificabile. Con essa, entrambe le conclusioni possibili diventano acquisizioni. È il caso in cui la regola del campione decide da sola la sorte dell'intera questione, e va eseguita per prima.</w:t>
      </w:r>
    </w:p>
    <w:p>
      <w:pPr>
        <w:spacing w:after="120" w:line="276"/>
        <w:jc w:val="both"/>
      </w:pPr>
      <w:r>
        <w:rPr>
          <w:rFonts w:ascii="Barlow Semi Condensed" w:cs="Barlow Semi Condensed" w:eastAsia="Barlow Semi Condensed" w:hAnsi="Barlow Semi Condensed"/>
          <w:b/>
          <w:bCs/>
          <w:sz w:val="24"/>
          <w:szCs w:val="24"/>
        </w:rPr>
        <w:t xml:space="preserve">830 · Le sedi d'archivio della protezione.</w:t>
      </w:r>
      <w:r>
        <w:rPr>
          <w:rFonts w:ascii="Barlow Semi Condensed" w:cs="Barlow Semi Condensed" w:eastAsia="Barlow Semi Condensed" w:hAnsi="Barlow Semi Condensed"/>
          <w:sz w:val="24"/>
          <w:szCs w:val="24"/>
        </w:rPr>
        <w:t xml:space="preserve"> Le serie da interrogare si nominano prima di cercare: gli uffici centrali del Ministero dell'Interno, la questura competente, i comandi territoriali dell'Arma, l'Archivio centrale dello Stato per i versamenti, il fondo della Direttiva (blocco 24 del manuale) e, per gli organismi informativi, il regime di versamento che il blocco 953 dei cantieri tratta con l'unico strumento serio, la norma. Per ciascuna si dichiara in anticipo la richiesta e la sorte dell'esito negativo.</w:t>
      </w:r>
    </w:p>
    <w:p>
      <w:pPr>
        <w:spacing w:after="120" w:line="276"/>
        <w:jc w:val="both"/>
      </w:pPr>
      <w:r>
        <w:rPr>
          <w:rFonts w:ascii="Barlow Semi Condensed" w:cs="Barlow Semi Condensed" w:eastAsia="Barlow Semi Condensed" w:hAnsi="Barlow Semi Condensed"/>
          <w:b/>
          <w:bCs/>
          <w:sz w:val="24"/>
          <w:szCs w:val="24"/>
        </w:rPr>
        <w:t xml:space="preserve">831 · L'archivio non indicizza le abitudini.</w:t>
      </w:r>
      <w:r>
        <w:rPr>
          <w:rFonts w:ascii="Barlow Semi Condensed" w:cs="Barlow Semi Condensed" w:eastAsia="Barlow Semi Condensed" w:hAnsi="Barlow Semi Condensed"/>
          <w:sz w:val="24"/>
          <w:szCs w:val="24"/>
        </w:rPr>
        <w:t xml:space="preserve"> Gli strumenti di corredo descrivono documenti, non comportamenti: nessun inventario ha una voce «prassi». La domanda va perciò tradotta prima di essere posta, e la traduzione è il vero lavoro tecnico di questa serie. Chi chiede a un archivio se esisteva una prassi riceverà, correttamente, una non risposta; chi chiede una serie documentaria precisa riceverà carte oppure un diniego, e in entrambi i casi un'acquisizione utilizzabile.</w:t>
      </w:r>
    </w:p>
    <w:p>
      <w:pPr>
        <w:spacing w:after="120" w:line="276"/>
        <w:jc w:val="both"/>
      </w:pPr>
      <w:r>
        <w:rPr>
          <w:rFonts w:ascii="Barlow Semi Condensed" w:cs="Barlow Semi Condensed" w:eastAsia="Barlow Semi Condensed" w:hAnsi="Barlow Semi Condensed"/>
          <w:b/>
          <w:bCs/>
          <w:sz w:val="24"/>
          <w:szCs w:val="24"/>
        </w:rPr>
        <w:t xml:space="preserve">832 · La traduzione del quesito in serie.</w:t>
      </w:r>
      <w:r>
        <w:rPr>
          <w:rFonts w:ascii="Barlow Semi Condensed" w:cs="Barlow Semi Condensed" w:eastAsia="Barlow Semi Condensed" w:hAnsi="Barlow Semi Condensed"/>
          <w:sz w:val="24"/>
          <w:szCs w:val="24"/>
        </w:rPr>
        <w:t xml:space="preserve"> Procedura in tre passaggi, da applicare a ogni ipotesi di prassi: si elencano i tipi documentari che quella prassi avrebbe necessariamente prodotto; si identificano le serie archivistiche che li conservano; si formula per ciascuna una richiesta autonoma con motivazione storica. Il risultato è un elenco di richieste verificabili al posto di una domanda generica. Ogni passaggio si mette per iscritto, perché un terzo possa rifarlo o contestarlo.</w:t>
      </w:r>
    </w:p>
    <w:p>
      <w:pPr>
        <w:spacing w:after="120" w:line="276"/>
        <w:jc w:val="both"/>
      </w:pPr>
      <w:r>
        <w:rPr>
          <w:rFonts w:ascii="Barlow Semi Condensed" w:cs="Barlow Semi Condensed" w:eastAsia="Barlow Semi Condensed" w:hAnsi="Barlow Semi Condensed"/>
          <w:b/>
          <w:bCs/>
          <w:sz w:val="24"/>
          <w:szCs w:val="24"/>
        </w:rPr>
        <w:t xml:space="preserve">833 · Il campionamento va dichiarato.</w:t>
      </w:r>
      <w:r>
        <w:rPr>
          <w:rFonts w:ascii="Barlow Semi Condensed" w:cs="Barlow Semi Condensed" w:eastAsia="Barlow Semi Condensed" w:hAnsi="Barlow Semi Condensed"/>
          <w:sz w:val="24"/>
          <w:szCs w:val="24"/>
        </w:rPr>
        <w:t xml:space="preserve"> Nessun ricercatore spoglia una serie intera. La differenza fra un campione e un aneddoto è la dichiarazione preventiva del criterio: quante unità, scelte come, su quale arco cronologico, con quale regola per gli imprevisti. Un campione dichiarato consente a chiunque di replicare lo spoglio e di contestarne la rappresentatività; un campione taciuto rende non verificabile qualunque affermazione di regolarità se ne tragga, per quanto accurata sia stata la lettura.</w:t>
      </w:r>
    </w:p>
    <w:p>
      <w:pPr>
        <w:spacing w:after="120" w:line="276"/>
        <w:jc w:val="both"/>
      </w:pPr>
      <w:r>
        <w:rPr>
          <w:rFonts w:ascii="Barlow Semi Condensed" w:cs="Barlow Semi Condensed" w:eastAsia="Barlow Semi Condensed" w:hAnsi="Barlow Semi Condensed"/>
          <w:b/>
          <w:bCs/>
          <w:sz w:val="24"/>
          <w:szCs w:val="24"/>
        </w:rPr>
        <w:t xml:space="preserve">834 · Il registro di protocollo.</w:t>
      </w:r>
      <w:r>
        <w:rPr>
          <w:rFonts w:ascii="Barlow Semi Condensed" w:cs="Barlow Semi Condensed" w:eastAsia="Barlow Semi Condensed" w:hAnsi="Barlow Semi Condensed"/>
          <w:sz w:val="24"/>
          <w:szCs w:val="24"/>
        </w:rPr>
        <w:t xml:space="preserve"> È la fonte più trascurata e la più adatta: registra ciò che entrò e uscì da un ufficio, con data, mittente e oggetto sintetico. Non dice che cosa i documenti contenessero, ma disegna la forma del flusso — e la forma del flusso è la prassi. Bersaglio: per gli uffici rilevanti, verificare la sopravvivenza dei registri di protocollo del 1977-1978, il loro stato di consultabilità e le eventuali lacune.</w:t>
      </w:r>
    </w:p>
    <w:p>
      <w:pPr>
        <w:spacing w:after="120" w:line="276"/>
        <w:jc w:val="both"/>
      </w:pPr>
      <w:r>
        <w:rPr>
          <w:rFonts w:ascii="Barlow Semi Condensed" w:cs="Barlow Semi Condensed" w:eastAsia="Barlow Semi Condensed" w:hAnsi="Barlow Semi Condensed"/>
          <w:b/>
          <w:bCs/>
          <w:sz w:val="24"/>
          <w:szCs w:val="24"/>
        </w:rPr>
        <w:t xml:space="preserve">835 · Il titolario come prassi fossile.</w:t>
      </w:r>
      <w:r>
        <w:rPr>
          <w:rFonts w:ascii="Barlow Semi Condensed" w:cs="Barlow Semi Condensed" w:eastAsia="Barlow Semi Condensed" w:hAnsi="Barlow Semi Condensed"/>
          <w:sz w:val="24"/>
          <w:szCs w:val="24"/>
        </w:rPr>
        <w:t xml:space="preserve"> Il piano di classificazione di un ufficio è una prassi congelata: le sue voci dicono che cosa quell'ufficio prevedeva di dover trattare, e le voci aggiunte o soppresse dicono quando la previsione cambiò. Studiare i titolari degli uffici coinvolti, con le loro revisioni datate, è un accertamento a basso costo che nessuna ricostruzione del caso ha compiuto. Restituisce l'organizzazione mentale dell'amministrazione, non le sue decisioni: la distinzione va tenuta ferma.</w:t>
      </w:r>
    </w:p>
    <w:p>
      <w:pPr>
        <w:spacing w:after="120" w:line="276"/>
        <w:jc w:val="both"/>
      </w:pPr>
      <w:r>
        <w:rPr>
          <w:rFonts w:ascii="Barlow Semi Condensed" w:cs="Barlow Semi Condensed" w:eastAsia="Barlow Semi Condensed" w:hAnsi="Barlow Semi Condensed"/>
          <w:b/>
          <w:bCs/>
          <w:sz w:val="24"/>
          <w:szCs w:val="24"/>
        </w:rPr>
        <w:t xml:space="preserve">836 · Gli scarti e il massimario.</w:t>
      </w:r>
      <w:r>
        <w:rPr>
          <w:rFonts w:ascii="Barlow Semi Condensed" w:cs="Barlow Semi Condensed" w:eastAsia="Barlow Semi Condensed" w:hAnsi="Barlow Semi Condensed"/>
          <w:sz w:val="24"/>
          <w:szCs w:val="24"/>
        </w:rPr>
        <w:t xml:space="preserve"> Ciò che è stato distrutto lo è quasi sempre in esecuzione di un piano di conservazione: il massimario di scarto dice, per categoria, che cosa si eliminava e dopo quanti anni. È la fonte che trasforma molti vuoti da misteri in atti amministrativi ordinari. Quesito: reperire i massimari applicati dagli uffici rilevanti negli anni Settanta e Ottanta, e confrontarli con le lacune effettivamente riscontrate nei fondi versati.</w:t>
      </w:r>
    </w:p>
    <w:p>
      <w:pPr>
        <w:spacing w:after="120" w:line="276"/>
        <w:jc w:val="both"/>
      </w:pPr>
      <w:r>
        <w:rPr>
          <w:rFonts w:ascii="Barlow Semi Condensed" w:cs="Barlow Semi Condensed" w:eastAsia="Barlow Semi Condensed" w:hAnsi="Barlow Semi Condensed"/>
          <w:b/>
          <w:bCs/>
          <w:sz w:val="24"/>
          <w:szCs w:val="24"/>
        </w:rPr>
        <w:t xml:space="preserve">837 · L'archivista come fonte.</w:t>
      </w:r>
      <w:r>
        <w:rPr>
          <w:rFonts w:ascii="Barlow Semi Condensed" w:cs="Barlow Semi Condensed" w:eastAsia="Barlow Semi Condensed" w:hAnsi="Barlow Semi Condensed"/>
          <w:sz w:val="24"/>
          <w:szCs w:val="24"/>
        </w:rPr>
        <w:t xml:space="preserve"> Chi conserva un fondo conosce le prassi dell'ente produttore meglio di ogni inventario, e la sua risposta è una fonte a tutti gli effetti: si acquisisce per iscritto, si cita con nome, sede e data, e si grada come dichiarazione qualificata di un tecnico, non come accertamento. È il modo più rapido di sapere se una serie sia mai esistita, e va tenuto distinto dalla verifica sulle carte, che resta necessaria.</w:t>
      </w:r>
    </w:p>
    <w:p>
      <w:pPr>
        <w:spacing w:after="120" w:line="276"/>
        <w:jc w:val="both"/>
      </w:pPr>
      <w:r>
        <w:rPr>
          <w:rFonts w:ascii="Barlow Semi Condensed" w:cs="Barlow Semi Condensed" w:eastAsia="Barlow Semi Condensed" w:hAnsi="Barlow Semi Condensed"/>
          <w:b/>
          <w:bCs/>
          <w:sz w:val="24"/>
          <w:szCs w:val="24"/>
        </w:rPr>
        <w:t xml:space="preserve">838 · Il diniego scritto è un'acquisizione.</w:t>
      </w:r>
      <w:r>
        <w:rPr>
          <w:rFonts w:ascii="Barlow Semi Condensed" w:cs="Barlow Semi Condensed" w:eastAsia="Barlow Semi Condensed" w:hAnsi="Barlow Semi Condensed"/>
          <w:sz w:val="24"/>
          <w:szCs w:val="24"/>
        </w:rPr>
        <w:t xml:space="preserve"> La verbalizzazione totale prescritta dal blocco 33 del manuale vale qui in pieno: si mette a registro anche la telefonata all'archivio che risponde «non abbiamo nulla», e si chiede che la risposta sia messa per iscritto. Un diniego motivato dichiara la norma che lo fonda e apre, dove esiste, la via del ricorso. Una ricerca sulle prassi che non produca un fascicolo di risposte negative non è stata condotta.</w:t>
      </w:r>
    </w:p>
    <w:p>
      <w:pPr>
        <w:spacing w:after="120" w:line="276"/>
        <w:jc w:val="both"/>
      </w:pPr>
      <w:r>
        <w:rPr>
          <w:rFonts w:ascii="Barlow Semi Condensed" w:cs="Barlow Semi Condensed" w:eastAsia="Barlow Semi Condensed" w:hAnsi="Barlow Semi Condensed"/>
          <w:b/>
          <w:bCs/>
          <w:sz w:val="24"/>
          <w:szCs w:val="24"/>
        </w:rPr>
        <w:t xml:space="preserve">839 · L'enunciato del divieto.</w:t>
      </w:r>
      <w:r>
        <w:rPr>
          <w:rFonts w:ascii="Barlow Semi Condensed" w:cs="Barlow Semi Condensed" w:eastAsia="Barlow Semi Condensed" w:hAnsi="Barlow Semi Condensed"/>
          <w:sz w:val="24"/>
          <w:szCs w:val="24"/>
        </w:rPr>
        <w:t xml:space="preserve"> Dall'esito non si risale alla regola che lo produsse. Molte prassi diverse sono compatibili con lo stesso risultato, e lo stesso risultato è compatibile con l'assenza di qualunque prassi. L'inferenza legittima corre nella direzione opposta: documentata la prassi, se ne verificano gli effetti attesi negli atti. Chi parte dal risultato sta scrivendo una spiegazione; chi parte dagli atti sta documentando. La serie non ammette la prima operazione, in nessuna forma.</w:t>
      </w:r>
    </w:p>
    <w:p>
      <w:pPr>
        <w:spacing w:after="120" w:line="276"/>
        <w:jc w:val="both"/>
      </w:pPr>
      <w:r>
        <w:rPr>
          <w:rFonts w:ascii="Barlow Semi Condensed" w:cs="Barlow Semi Condensed" w:eastAsia="Barlow Semi Condensed" w:hAnsi="Barlow Semi Condensed"/>
          <w:b/>
          <w:bCs/>
          <w:sz w:val="24"/>
          <w:szCs w:val="24"/>
        </w:rPr>
        <w:t xml:space="preserve">840 · Il senno di poi.</w:t>
      </w:r>
      <w:r>
        <w:rPr>
          <w:rFonts w:ascii="Barlow Semi Condensed" w:cs="Barlow Semi Condensed" w:eastAsia="Barlow Semi Condensed" w:hAnsi="Barlow Semi Condensed"/>
          <w:sz w:val="24"/>
          <w:szCs w:val="24"/>
        </w:rPr>
        <w:t xml:space="preserve"> Il bias retrospettivo agisce esattamente qui: conoscendo l'esito, ogni passaggio che vi conduce appare selezionato e ogni omissione appare mirata. L'antidoto è procedurale e va applicato per intero: si ricostruisce lo stato delle conoscenze disponibili a ciascuna data, senza mai usare informazioni acquisite dopo, e si valuta la condotta soltanto contro quello stato. Ogni valutazione che impieghi dati posteriori alla decisione è nulla, per quanto persuasiva risulti a chi legge.</w:t>
      </w:r>
    </w:p>
    <w:p>
      <w:pPr>
        <w:spacing w:after="120" w:line="276"/>
        <w:jc w:val="both"/>
      </w:pPr>
      <w:r>
        <w:rPr>
          <w:rFonts w:ascii="Barlow Semi Condensed" w:cs="Barlow Semi Condensed" w:eastAsia="Barlow Semi Condensed" w:hAnsi="Barlow Semi Condensed"/>
          <w:b/>
          <w:bCs/>
          <w:sz w:val="24"/>
          <w:szCs w:val="24"/>
        </w:rPr>
        <w:t xml:space="preserve">841 · L'ACH applicata alla prassi.</w:t>
      </w:r>
      <w:r>
        <w:rPr>
          <w:rFonts w:ascii="Barlow Semi Condensed" w:cs="Barlow Semi Condensed" w:eastAsia="Barlow Semi Condensed" w:hAnsi="Barlow Semi Condensed"/>
          <w:sz w:val="24"/>
          <w:szCs w:val="24"/>
        </w:rPr>
        <w:t xml:space="preserve"> Il quesito si scrive come matrice: quali prassi alternative sono compatibili con gli atti disponibili, e quale evidenza sarebbe incompatibile con almeno una. L'evidenza discriminante, per una prassi, non è mai un esito: è un documento — una circolare, un modulo, un verbale di consegne, una serie completa. Se nessuna evidenza discriminante è concepibile, il quesito non è un quesito e va riformulato o dichiarato indecidibile allo stato degli atti.</w:t>
      </w:r>
    </w:p>
    <w:p>
      <w:pPr>
        <w:spacing w:after="120" w:line="276"/>
        <w:jc w:val="both"/>
      </w:pPr>
      <w:r>
        <w:rPr>
          <w:rFonts w:ascii="Barlow Semi Condensed" w:cs="Barlow Semi Condensed" w:eastAsia="Barlow Semi Condensed" w:hAnsi="Barlow Semi Condensed"/>
          <w:b/>
          <w:bCs/>
          <w:sz w:val="24"/>
          <w:szCs w:val="24"/>
        </w:rPr>
        <w:t xml:space="preserve">842 · La prassi come ipotesi, non premessa.</w:t>
      </w:r>
      <w:r>
        <w:rPr>
          <w:rFonts w:ascii="Barlow Semi Condensed" w:cs="Barlow Semi Condensed" w:eastAsia="Barlow Semi Condensed" w:hAnsi="Barlow Semi Condensed"/>
          <w:sz w:val="24"/>
          <w:szCs w:val="24"/>
        </w:rPr>
        <w:t xml:space="preserve"> Il blocco 55 del manuale tratta il tiratore d'eccezione come ipotesi fra le ipotesi, mai come premessa; identico trattamento spetta a ogni prassi supposta. Entra nella matrice, non nella cornice del ragionamento. Il segnale che la regola è stata violata è linguistico e riconoscibile: quando un testo comincia a scrivere «come da prassi» senza rinvio documentale, la premessa è già diventata conclusione, e l'intero ragionamento va rifatto da capo.</w:t>
      </w:r>
    </w:p>
    <w:p>
      <w:pPr>
        <w:spacing w:after="120" w:line="276"/>
        <w:jc w:val="both"/>
      </w:pPr>
      <w:r>
        <w:rPr>
          <w:rFonts w:ascii="Barlow Semi Condensed" w:cs="Barlow Semi Condensed" w:eastAsia="Barlow Semi Condensed" w:hAnsi="Barlow Semi Condensed"/>
          <w:b/>
          <w:bCs/>
          <w:sz w:val="24"/>
          <w:szCs w:val="24"/>
        </w:rPr>
        <w:t xml:space="preserve">843 · Negligenza e dolo, ripresa epigenetica.</w:t>
      </w:r>
      <w:r>
        <w:rPr>
          <w:rFonts w:ascii="Barlow Semi Condensed" w:cs="Barlow Semi Condensed" w:eastAsia="Barlow Semi Condensed" w:hAnsi="Barlow Semi Condensed"/>
          <w:sz w:val="24"/>
          <w:szCs w:val="24"/>
        </w:rPr>
        <w:t xml:space="preserve"> Il blocco 17 del manuale fissa la regola: la negligenza non diventa dolo per impazienza, e solo le carte discriminano. La lente epigenetica la rafforza, perché offre una terza spiegazione alle ricorrenze — l'abitudine trasmessa — che non è né distrazione individuale né disegno. Averla disponibile impedisce il salto binario. Ma la terza spiegazione va provata come le altre due, e non può diventare un rifugio comodo per l'indecisione.</w:t>
      </w:r>
    </w:p>
    <w:p>
      <w:pPr>
        <w:spacing w:after="120" w:line="276"/>
        <w:jc w:val="both"/>
      </w:pPr>
      <w:r>
        <w:rPr>
          <w:rFonts w:ascii="Barlow Semi Condensed" w:cs="Barlow Semi Condensed" w:eastAsia="Barlow Semi Condensed" w:hAnsi="Barlow Semi Condensed"/>
          <w:b/>
          <w:bCs/>
          <w:sz w:val="24"/>
          <w:szCs w:val="24"/>
        </w:rPr>
        <w:t xml:space="preserve">844 · Il divieto vale anche al rovescio.</w:t>
      </w:r>
      <w:r>
        <w:rPr>
          <w:rFonts w:ascii="Barlow Semi Condensed" w:cs="Barlow Semi Condensed" w:eastAsia="Barlow Semi Condensed" w:hAnsi="Barlow Semi Condensed"/>
          <w:sz w:val="24"/>
          <w:szCs w:val="24"/>
        </w:rPr>
        <w:t xml:space="preserve"> Come non si deduce una prassi da un esito cattivo, non se ne deduce l'assenza da un esito buono. L'asimmetria va dichiarata perché la tentazione opera in entrambe le direzioni: la dietrologia legge ogni fallimento come regola nascosta, il riduzionismo legge ogni successo come prova che nessuna regola esisteva. Le due letture condividono lo stesso vizio logico, e il corpus le respinge con il medesimo argomento.</w:t>
      </w:r>
    </w:p>
    <w:p>
      <w:pPr>
        <w:spacing w:after="120" w:line="276"/>
        <w:jc w:val="both"/>
      </w:pPr>
      <w:r>
        <w:rPr>
          <w:rFonts w:ascii="Barlow Semi Condensed" w:cs="Barlow Semi Condensed" w:eastAsia="Barlow Semi Condensed" w:hAnsi="Barlow Semi Condensed"/>
          <w:b/>
          <w:bCs/>
          <w:sz w:val="24"/>
          <w:szCs w:val="24"/>
        </w:rPr>
        <w:t xml:space="preserve">845 · Il programma che sopravvive ai suoi autori.</w:t>
      </w:r>
      <w:r>
        <w:rPr>
          <w:rFonts w:ascii="Barlow Semi Condensed" w:cs="Barlow Semi Condensed" w:eastAsia="Barlow Semi Condensed" w:hAnsi="Barlow Semi Condensed"/>
          <w:sz w:val="24"/>
          <w:szCs w:val="24"/>
        </w:rPr>
        <w:t xml:space="preserve"> Fatti pubblici, grado F: la riunione del Comitato dei 303 dell'11 marzo 1969 (FRUS vol. XLI, doc. 180), l'istruzione di Nixon del dicembre 1969 per uno studio sull'Italia (doc. 188), il riemergere del programma di azione coperta nel novembre 1975 e nel luglio 1976. Letta con la lente, è una linea che attraversa amministrazioni e titolari diversi. Che attraversi non significa che sia la stessa cosa: ogni riemersione va documentata per sé.</w:t>
      </w:r>
    </w:p>
    <w:p>
      <w:pPr>
        <w:spacing w:after="120" w:line="276"/>
        <w:jc w:val="both"/>
      </w:pPr>
      <w:r>
        <w:rPr>
          <w:rFonts w:ascii="Barlow Semi Condensed" w:cs="Barlow Semi Condensed" w:eastAsia="Barlow Semi Condensed" w:hAnsi="Barlow Semi Condensed"/>
          <w:b/>
          <w:bCs/>
          <w:sz w:val="24"/>
          <w:szCs w:val="24"/>
        </w:rPr>
        <w:t xml:space="preserve">846 · La prassi precede la persona.</w:t>
      </w:r>
      <w:r>
        <w:rPr>
          <w:rFonts w:ascii="Barlow Semi Condensed" w:cs="Barlow Semi Condensed" w:eastAsia="Barlow Semi Condensed" w:hAnsi="Barlow Semi Condensed"/>
          <w:sz w:val="24"/>
          <w:szCs w:val="24"/>
        </w:rPr>
        <w:t xml:space="preserve"> La riunione dell'11 marzo 1969 è anteriore all'insediamento di Moro alla Farnesina, avvenuto il 5 agosto 1969. La precedenza cronologica è un fatto e serve a una sola cosa: escludere che quella decisione riguardasse un ministro non ancora in carica. Vale qui integralmente la regola per cui la contemporaneità non è prova di nesso, e la sua conseguenza meno citata, che nemmeno la successione lo è.</w:t>
      </w:r>
    </w:p>
    <w:p>
      <w:pPr>
        <w:spacing w:after="120" w:line="276"/>
        <w:jc w:val="both"/>
      </w:pPr>
      <w:r>
        <w:rPr>
          <w:rFonts w:ascii="Barlow Semi Condensed" w:cs="Barlow Semi Condensed" w:eastAsia="Barlow Semi Condensed" w:hAnsi="Barlow Semi Condensed"/>
          <w:b/>
          <w:bCs/>
          <w:sz w:val="24"/>
          <w:szCs w:val="24"/>
        </w:rPr>
        <w:t xml:space="preserve">847 · Espressione differenziale secondo l'ambiente (serie XI).</w:t>
      </w:r>
      <w:r>
        <w:rPr>
          <w:rFonts w:ascii="Barlow Semi Condensed" w:cs="Barlow Semi Condensed" w:eastAsia="Barlow Semi Condensed" w:hAnsi="Barlow Semi Condensed"/>
          <w:sz w:val="24"/>
          <w:szCs w:val="24"/>
        </w:rPr>
        <w:t xml:space="preserve"> Il memorandum Nixon-Spinola delle Azzorre del 19 giugno 1974 e la preoccupazione documentata per un «leftist neutralist regime» a Lisbona mostrano un medesimo orientamento dottrinale che assume forme diverse a Lisbona, ad Atene, a Madrid, a Bonn. La lente chiama questo espressione differenziale, ed è descrizione utile al secondo piano: convergenza entro la stessa cornice. Diventa illecita quando si usa per inferire, da ciò che è documentato altrove, ciò che qui non lo è.</w:t>
      </w:r>
    </w:p>
    <w:p>
      <w:pPr>
        <w:spacing w:after="120" w:line="276"/>
        <w:jc w:val="both"/>
      </w:pPr>
      <w:r>
        <w:rPr>
          <w:rFonts w:ascii="Barlow Semi Condensed" w:cs="Barlow Semi Condensed" w:eastAsia="Barlow Semi Condensed" w:hAnsi="Barlow Semi Condensed"/>
          <w:b/>
          <w:bCs/>
          <w:sz w:val="24"/>
          <w:szCs w:val="24"/>
        </w:rPr>
        <w:t xml:space="preserve">848 · Il verbale registra la seduta, non il margine.</w:t>
      </w:r>
      <w:r>
        <w:rPr>
          <w:rFonts w:ascii="Barlow Semi Condensed" w:cs="Barlow Semi Condensed" w:eastAsia="Barlow Semi Condensed" w:hAnsi="Barlow Semi Condensed"/>
          <w:sz w:val="24"/>
          <w:szCs w:val="24"/>
        </w:rPr>
        <w:t xml:space="preserve"> Il memorandum of conversation dello Studio Ovale del 25 settembre 1974 (Ford Library doc. 1552802; FRUS 1969-1976, vol. E-15 parte 2, doc. 350) e il colloquio del 26 settembre (doc. 1552806) documentano posizioni ufficiali, come la linea sul PCI esposta a Ford alla vigilia; non documentano ciò che sarebbe stato detto a margine. È proprietà del tipo documentario, non lacuna sospetta: l'assenza di una frase a margine non la smentisce né la conferma.</w:t>
      </w:r>
    </w:p>
    <w:p>
      <w:pPr>
        <w:spacing w:after="120" w:line="276"/>
        <w:jc w:val="both"/>
      </w:pPr>
      <w:r>
        <w:rPr>
          <w:rFonts w:ascii="Barlow Semi Condensed" w:cs="Barlow Semi Condensed" w:eastAsia="Barlow Semi Condensed" w:hAnsi="Barlow Semi Condensed"/>
          <w:b/>
          <w:bCs/>
          <w:sz w:val="24"/>
          <w:szCs w:val="24"/>
        </w:rPr>
        <w:t xml:space="preserve">849 · La testimonianza contestata resta tale.</w:t>
      </w:r>
      <w:r>
        <w:rPr>
          <w:rFonts w:ascii="Barlow Semi Condensed" w:cs="Barlow Semi Condensed" w:eastAsia="Barlow Semi Condensed" w:hAnsi="Barlow Semi Condensed"/>
          <w:sz w:val="24"/>
          <w:szCs w:val="24"/>
        </w:rPr>
        <w:t xml:space="preserve"> L'avvertimento riferito da Corrado Guerzoni — che depose de relato, non essendo presente — e confermato in sede parlamentare da Eleonora Chiavarelli Moro è stato sempre smentito da Kissinger. Le fonti divergono su data e luogo: la divergenza si riporta e non si risolve d'ufficio. Grado B debole, testimonianza contestata, mai da dare per accertata. Henry Alfred Kissinger (1923-2023) non fu condannato in alcun processo e l'episodio non formò mai oggetto d'imputazione.</w:t>
      </w:r>
    </w:p>
    <w:p>
      <w:pPr>
        <w:spacing w:after="120" w:line="276"/>
        <w:jc w:val="both"/>
      </w:pPr>
      <w:r>
        <w:rPr>
          <w:rFonts w:ascii="Barlow Semi Condensed" w:cs="Barlow Semi Condensed" w:eastAsia="Barlow Semi Condensed" w:hAnsi="Barlow Semi Condensed"/>
          <w:b/>
          <w:bCs/>
          <w:sz w:val="24"/>
          <w:szCs w:val="24"/>
        </w:rPr>
        <w:t xml:space="preserve">850 · Congedo della serie undicesima.</w:t>
      </w:r>
      <w:r>
        <w:rPr>
          <w:rFonts w:ascii="Barlow Semi Condensed" w:cs="Barlow Semi Condensed" w:eastAsia="Barlow Semi Condensed" w:hAnsi="Barlow Semi Condensed"/>
          <w:sz w:val="24"/>
          <w:szCs w:val="24"/>
        </w:rPr>
        <w:t xml:space="preserve"> Ciò che si eredita senza essere scritto si può documentare: non per inferenza, non dal risultato, non dalla somiglianza, ma per serie, veicoli e sedi d'archivio nominate. Dove la documentazione manca, la serie ha prodotto Stati Zero, che sono acquisizioni di pieno valore. La lente genetica è servita a formulare domande più precise e si ferma qui, dove comincerebbe il determinismo. Il fascicolo, come deve,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dodicesima — La filogenesi del caso Moro</w:t>
      </w:r>
    </w:p>
    <w:p>
      <w:pPr>
        <w:spacing w:after="120" w:line="276"/>
        <w:jc w:val="both"/>
      </w:pPr>
      <w:r>
        <w:rPr>
          <w:rFonts w:ascii="Barlow Semi Condensed" w:cs="Barlow Semi Condensed" w:eastAsia="Barlow Semi Condensed" w:hAnsi="Barlow Semi Condensed"/>
          <w:i/>
          <w:iCs/>
          <w:sz w:val="24"/>
          <w:szCs w:val="24"/>
        </w:rPr>
        <w:t xml:space="preserve">Blocchi 851-940.</w:t>
      </w:r>
    </w:p>
    <w:p>
      <w:pPr>
        <w:spacing w:after="120" w:line="276"/>
        <w:jc w:val="both"/>
      </w:pPr>
      <w:r>
        <w:rPr>
          <w:rFonts w:ascii="Barlow Semi Condensed" w:cs="Barlow Semi Condensed" w:eastAsia="Barlow Semi Condensed" w:hAnsi="Barlow Semi Condensed"/>
          <w:b/>
          <w:bCs/>
          <w:sz w:val="24"/>
          <w:szCs w:val="24"/>
        </w:rPr>
        <w:t xml:space="preserve">851 · Ricostruire l'albero, non decretarlo.</w:t>
      </w:r>
      <w:r>
        <w:rPr>
          <w:rFonts w:ascii="Barlow Semi Condensed" w:cs="Barlow Semi Condensed" w:eastAsia="Barlow Semi Condensed" w:hAnsi="Barlow Semi Condensed"/>
          <w:sz w:val="24"/>
          <w:szCs w:val="24"/>
        </w:rPr>
        <w:t xml:space="preserve"> Un albero filogenetico non è una sentenza sulla parentela: è un'ipotesi sostenuta da caratteri e rovesciabile da caratteri nuovi. Portata al versante internazionale del caso Moro, la regola vieta di stabilire discendenze e obbliga a proporre raggruppamenti provvisori fra documenti, dichiarandoli e lasciandoli esposti alla smentita. La serie che comincia qui costruisce un albero di quesiti, non una genealogia di responsabilità.</w:t>
      </w:r>
    </w:p>
    <w:p>
      <w:pPr>
        <w:spacing w:after="120" w:line="276"/>
        <w:jc w:val="both"/>
      </w:pPr>
      <w:r>
        <w:rPr>
          <w:rFonts w:ascii="Barlow Semi Condensed" w:cs="Barlow Semi Condensed" w:eastAsia="Barlow Semi Condensed" w:hAnsi="Barlow Semi Condensed"/>
          <w:b/>
          <w:bCs/>
          <w:sz w:val="24"/>
          <w:szCs w:val="24"/>
        </w:rPr>
        <w:t xml:space="preserve">852 · Omologia contro analogia (serie XII).</w:t>
      </w:r>
      <w:r>
        <w:rPr>
          <w:rFonts w:ascii="Barlow Semi Condensed" w:cs="Barlow Semi Condensed" w:eastAsia="Barlow Semi Condensed" w:hAnsi="Barlow Semi Condensed"/>
          <w:sz w:val="24"/>
          <w:szCs w:val="24"/>
        </w:rPr>
        <w:t xml:space="preserve"> In biologia comparata l'omologia è somiglianza per discendenza comune, l'analogia somiglianza per pressione ambientale simile: l'ala del pipistrello e quella dell'insetto si somigliano senza avere origine comune. Tradotta nell'apparato del corpus, l'omologia è il piano uno, il rapporto diretto documentato; l'analogia è il piano due, la convergenza entro la stessa cornice. Confonderle è l'errore che genera quasi per intero la pubblicistica atlantica sul caso.</w:t>
      </w:r>
    </w:p>
    <w:p>
      <w:pPr>
        <w:spacing w:after="120" w:line="276"/>
        <w:jc w:val="both"/>
      </w:pPr>
      <w:r>
        <w:rPr>
          <w:rFonts w:ascii="Barlow Semi Condensed" w:cs="Barlow Semi Condensed" w:eastAsia="Barlow Semi Condensed" w:hAnsi="Barlow Semi Condensed"/>
          <w:b/>
          <w:bCs/>
          <w:sz w:val="24"/>
          <w:szCs w:val="24"/>
        </w:rPr>
        <w:t xml:space="preserve">853 · Il carattere derivato condiviso.</w:t>
      </w:r>
      <w:r>
        <w:rPr>
          <w:rFonts w:ascii="Barlow Semi Condensed" w:cs="Barlow Semi Condensed" w:eastAsia="Barlow Semi Condensed" w:hAnsi="Barlow Semi Condensed"/>
          <w:sz w:val="24"/>
          <w:szCs w:val="24"/>
        </w:rPr>
        <w:t xml:space="preserve"> La sistematica non raggruppa per somiglianza generica ma per carattere derivato condiviso: ciò che due rami hanno insieme e che l'antenato non aveva. Che Washington e le Brigate rosse considerassero avversaria la solidarietà nazionale è un tratto troppo diffuso per raggruppare alcunché, perché lo condividevano decine di soggetti fra loro estranei. Servirebbe un tratto specifico e datato: un atto, un contatto, un canale. I documenti non lo hanno consegnato.</w:t>
      </w:r>
    </w:p>
    <w:p>
      <w:pPr>
        <w:spacing w:after="120" w:line="276"/>
        <w:jc w:val="both"/>
      </w:pPr>
      <w:r>
        <w:rPr>
          <w:rFonts w:ascii="Barlow Semi Condensed" w:cs="Barlow Semi Condensed" w:eastAsia="Barlow Semi Condensed" w:hAnsi="Barlow Semi Condensed"/>
          <w:b/>
          <w:bCs/>
          <w:sz w:val="24"/>
          <w:szCs w:val="24"/>
        </w:rPr>
        <w:t xml:space="preserve">854 · La convergenza evolutiva come falso ponte.</w:t>
      </w:r>
      <w:r>
        <w:rPr>
          <w:rFonts w:ascii="Barlow Semi Condensed" w:cs="Barlow Semi Condensed" w:eastAsia="Barlow Semi Condensed" w:hAnsi="Barlow Semi Condensed"/>
          <w:sz w:val="24"/>
          <w:szCs w:val="24"/>
        </w:rPr>
        <w:t xml:space="preserve"> L'evoluzione produce forme simili in linee lontanissime: l'occhio del polpo e quello dei vertebrati non hanno un antenato comune vedente. È la lezione più severa per chi legge il 1978, perché la somiglianza cresce proprio dove la pressione selettiva è identica, e qui la pressione era una sola, il conflitto bipolare combattuto dentro le società. Somiglianza altissima, parentela nulla: capita in natura e capita negli archivi.</w:t>
      </w:r>
    </w:p>
    <w:p>
      <w:pPr>
        <w:spacing w:after="120" w:line="276"/>
        <w:jc w:val="both"/>
      </w:pPr>
      <w:r>
        <w:rPr>
          <w:rFonts w:ascii="Barlow Semi Condensed" w:cs="Barlow Semi Condensed" w:eastAsia="Barlow Semi Condensed" w:hAnsi="Barlow Semi Condensed"/>
          <w:b/>
          <w:bCs/>
          <w:sz w:val="24"/>
          <w:szCs w:val="24"/>
        </w:rPr>
        <w:t xml:space="preserve">855 · L'outgroup, ovvero il caso di controllo.</w:t>
      </w:r>
      <w:r>
        <w:rPr>
          <w:rFonts w:ascii="Barlow Semi Condensed" w:cs="Barlow Semi Condensed" w:eastAsia="Barlow Semi Condensed" w:hAnsi="Barlow Semi Condensed"/>
          <w:sz w:val="24"/>
          <w:szCs w:val="24"/>
        </w:rPr>
        <w:t xml:space="preserve"> Per orientare un albero il sistematico usa un gruppo esterno, estraneo al problema, che distingue ciò che è antico da ciò che è recente. Il corpus ne dispone: il sequestro Schleyer del 1977, osservato dallo stesso campo alleato e gestito in modo opposto, che i nove cantieri censiscono al blocco 141. Un caso gemello trattato diversamente misura quanto della vicenda italiana sia struttura e quanto sia scelta.</w:t>
      </w:r>
    </w:p>
    <w:p>
      <w:pPr>
        <w:spacing w:after="120" w:line="276"/>
        <w:jc w:val="both"/>
      </w:pPr>
      <w:r>
        <w:rPr>
          <w:rFonts w:ascii="Barlow Semi Condensed" w:cs="Barlow Semi Condensed" w:eastAsia="Barlow Semi Condensed" w:hAnsi="Barlow Semi Condensed"/>
          <w:b/>
          <w:bCs/>
          <w:sz w:val="24"/>
          <w:szCs w:val="24"/>
        </w:rPr>
        <w:t xml:space="preserve">856 · La politomia dichiarata.</w:t>
      </w:r>
      <w:r>
        <w:rPr>
          <w:rFonts w:ascii="Barlow Semi Condensed" w:cs="Barlow Semi Condensed" w:eastAsia="Barlow Semi Condensed" w:hAnsi="Barlow Semi Condensed"/>
          <w:sz w:val="24"/>
          <w:szCs w:val="24"/>
        </w:rPr>
        <w:t xml:space="preserve"> Quando i caratteri non bastano a risolvere l'ordine dei rami, la filogenesi lascia una politomia: un nodo da cui partono più linee senza gerarchia fra loro. Non è una lacuna vergognosa, è un risultato pubblicabile. Nel corpus quel risultato ha già un nome, lo Stato Zero della Fase sesta: cercato e non trovato. Un albero irrisolto e dichiarato vale più di un albero risolto per gusto.</w:t>
      </w:r>
    </w:p>
    <w:p>
      <w:pPr>
        <w:spacing w:after="120" w:line="276"/>
        <w:jc w:val="both"/>
      </w:pPr>
      <w:r>
        <w:rPr>
          <w:rFonts w:ascii="Barlow Semi Condensed" w:cs="Barlow Semi Condensed" w:eastAsia="Barlow Semi Condensed" w:hAnsi="Barlow Semi Condensed"/>
          <w:b/>
          <w:bCs/>
          <w:sz w:val="24"/>
          <w:szCs w:val="24"/>
        </w:rPr>
        <w:t xml:space="preserve">857 · Nessuna colpa è ereditaria.</w:t>
      </w:r>
      <w:r>
        <w:rPr>
          <w:rFonts w:ascii="Barlow Semi Condensed" w:cs="Barlow Semi Condensed" w:eastAsia="Barlow Semi Condensed" w:hAnsi="Barlow Semi Condensed"/>
          <w:sz w:val="24"/>
          <w:szCs w:val="24"/>
        </w:rPr>
        <w:t xml:space="preserve"> La metafora genetica ha un punto in cui va fermata, ed è questo: da un lignaggio non discende una responsabilità. Nessuno risponde di ciò che una scuola, un ufficio o una dottrina hanno prodotto altrove e prima. La regola del corpus lo dice senza bisogno di biologia — l'appartenenza a un'organizzazione non è prova di condotta — e la biologia le presta la parola, mai il salto.</w:t>
      </w:r>
    </w:p>
    <w:p>
      <w:pPr>
        <w:spacing w:after="120" w:line="276"/>
        <w:jc w:val="both"/>
      </w:pPr>
      <w:r>
        <w:rPr>
          <w:rFonts w:ascii="Barlow Semi Condensed" w:cs="Barlow Semi Condensed" w:eastAsia="Barlow Semi Condensed" w:hAnsi="Barlow Semi Condensed"/>
          <w:b/>
          <w:bCs/>
          <w:sz w:val="24"/>
          <w:szCs w:val="24"/>
        </w:rPr>
        <w:t xml:space="preserve">858 · Dove la metafora si arresta.</w:t>
      </w:r>
      <w:r>
        <w:rPr>
          <w:rFonts w:ascii="Barlow Semi Condensed" w:cs="Barlow Semi Condensed" w:eastAsia="Barlow Semi Condensed" w:hAnsi="Barlow Semi Condensed"/>
          <w:sz w:val="24"/>
          <w:szCs w:val="24"/>
        </w:rPr>
        <w:t xml:space="preserve"> Un codice non decide un destino: lo stesso genotipo produce fenotipi diversi secondo l'ambiente, e nessuna genetica seria è deterministica. La lente serve a formulare domande più esatte su che cosa si trasmetta, per quali vie e con quali errori di copia; cessa di servire nell'istante in cui suggerisce che un esito fosse scritto in anticipo. Dove spinge al determinismo, il blocco la ferma e resta il documento.</w:t>
      </w:r>
    </w:p>
    <w:p>
      <w:pPr>
        <w:spacing w:after="120" w:line="276"/>
        <w:jc w:val="both"/>
      </w:pPr>
      <w:r>
        <w:rPr>
          <w:rFonts w:ascii="Barlow Semi Condensed" w:cs="Barlow Semi Condensed" w:eastAsia="Barlow Semi Condensed" w:hAnsi="Barlow Semi Condensed"/>
          <w:b/>
          <w:bCs/>
          <w:sz w:val="24"/>
          <w:szCs w:val="24"/>
        </w:rPr>
        <w:t xml:space="preserve">859 · La serie che torna a Moro.</w:t>
      </w:r>
      <w:r>
        <w:rPr>
          <w:rFonts w:ascii="Barlow Semi Condensed" w:cs="Barlow Semi Condensed" w:eastAsia="Barlow Semi Condensed" w:hAnsi="Barlow Semi Condensed"/>
          <w:sz w:val="24"/>
          <w:szCs w:val="24"/>
        </w:rPr>
        <w:t xml:space="preserve"> Le serie precedenti hanno seguito il codice e la sua trascrizione; questa lo riporta al punto in cui la triangolazione era nata, il caso Moro sul suo versante internazionale. Il compito è duplice e conviene dichiararlo: separare ciò che il corpus ha accertato da ciò che non ha accertato, e mostrare come si formula un quesito che non contenga già la risposta dentro la domanda.</w:t>
      </w:r>
    </w:p>
    <w:p>
      <w:pPr>
        <w:spacing w:after="120" w:line="276"/>
        <w:jc w:val="both"/>
      </w:pPr>
      <w:r>
        <w:rPr>
          <w:rFonts w:ascii="Barlow Semi Condensed" w:cs="Barlow Semi Condensed" w:eastAsia="Barlow Semi Condensed" w:hAnsi="Barlow Semi Condensed"/>
          <w:b/>
          <w:bCs/>
          <w:sz w:val="24"/>
          <w:szCs w:val="24"/>
        </w:rPr>
        <w:t xml:space="preserve">860 · Il pavimento internazionale accertato.</w:t>
      </w:r>
      <w:r>
        <w:rPr>
          <w:rFonts w:ascii="Barlow Semi Condensed" w:cs="Barlow Semi Condensed" w:eastAsia="Barlow Semi Condensed" w:hAnsi="Barlow Semi Condensed"/>
          <w:sz w:val="24"/>
          <w:szCs w:val="24"/>
        </w:rPr>
        <w:t xml:space="preserve"> Sul versante internazionale il corpus registra al grado più alto una sola classe di fatti: l'ostilità documentata di settori dell'alleanza atlantica all'ingresso dei comunisti nell'area di governo italiana, con i documenti che la attestano. È contesto accertato, non catena di comando, e la Parte terza lo scrive nella forma più netta di cui dispone: dal contesto ostile non discende il mandato.</w:t>
      </w:r>
    </w:p>
    <w:p>
      <w:pPr>
        <w:spacing w:after="120" w:line="276"/>
        <w:jc w:val="both"/>
      </w:pPr>
      <w:r>
        <w:rPr>
          <w:rFonts w:ascii="Barlow Semi Condensed" w:cs="Barlow Semi Condensed" w:eastAsia="Barlow Semi Condensed" w:hAnsi="Barlow Semi Condensed"/>
          <w:b/>
          <w:bCs/>
          <w:sz w:val="24"/>
          <w:szCs w:val="24"/>
        </w:rPr>
        <w:t xml:space="preserve">861 · Il memorandum del 25 settembre 1974 (serie XII).</w:t>
      </w:r>
      <w:r>
        <w:rPr>
          <w:rFonts w:ascii="Barlow Semi Condensed" w:cs="Barlow Semi Condensed" w:eastAsia="Barlow Semi Condensed" w:hAnsi="Barlow Semi Condensed"/>
          <w:sz w:val="24"/>
          <w:szCs w:val="24"/>
        </w:rPr>
        <w:t xml:space="preserve"> Fatto pubblico verificabile: il memorandum of conversation dello Studio Ovale fra Giovanni Leone, Aldo Moro, Gerald Ford e Henry Kissinger, con Brent Scowcroft, conservato alla Ford Library come documento 1552802 ed edito in FRUS 1969-1976, volume E-15 parte seconda, documento 350. Esiste, è integralmente disponibile ed è la fonte primaria meglio servita dell'intero versante. Si cita per ciò che dice, non per ciò che evoca.</w:t>
      </w:r>
    </w:p>
    <w:p>
      <w:pPr>
        <w:spacing w:after="120" w:line="276"/>
        <w:jc w:val="both"/>
      </w:pPr>
      <w:r>
        <w:rPr>
          <w:rFonts w:ascii="Barlow Semi Condensed" w:cs="Barlow Semi Condensed" w:eastAsia="Barlow Semi Condensed" w:hAnsi="Barlow Semi Condensed"/>
          <w:b/>
          <w:bCs/>
          <w:sz w:val="24"/>
          <w:szCs w:val="24"/>
        </w:rPr>
        <w:t xml:space="preserve">862 · Che cosa quel verbale non contiene.</w:t>
      </w:r>
      <w:r>
        <w:rPr>
          <w:rFonts w:ascii="Barlow Semi Condensed" w:cs="Barlow Semi Condensed" w:eastAsia="Barlow Semi Condensed" w:hAnsi="Barlow Semi Condensed"/>
          <w:sz w:val="24"/>
          <w:szCs w:val="24"/>
        </w:rPr>
        <w:t xml:space="preserve"> Il documento attesta la posizione statunitense sull'impossibilità di condividere informazioni militari con un governo comprendente i comunisti, e il rilievo che un partito comunista responsabile sarebbe più pericoloso di uno irresponsabile. Non contiene alcun ultimatum personale rivolto a Moro. L'assenza va enunciata con la stessa precisione della presenza, perché è un dato del documento e non una reticenza di chi lo legge.</w:t>
      </w:r>
    </w:p>
    <w:p>
      <w:pPr>
        <w:spacing w:after="120" w:line="276"/>
        <w:jc w:val="both"/>
      </w:pPr>
      <w:r>
        <w:rPr>
          <w:rFonts w:ascii="Barlow Semi Condensed" w:cs="Barlow Semi Condensed" w:eastAsia="Barlow Semi Condensed" w:hAnsi="Barlow Semi Condensed"/>
          <w:b/>
          <w:bCs/>
          <w:sz w:val="24"/>
          <w:szCs w:val="24"/>
        </w:rPr>
        <w:t xml:space="preserve">863 · Il colloquio del giorno dopo (serie XII).</w:t>
      </w:r>
      <w:r>
        <w:rPr>
          <w:rFonts w:ascii="Barlow Semi Condensed" w:cs="Barlow Semi Condensed" w:eastAsia="Barlow Semi Condensed" w:hAnsi="Barlow Semi Condensed"/>
          <w:sz w:val="24"/>
          <w:szCs w:val="24"/>
        </w:rPr>
        <w:t xml:space="preserve"> Il verbale dell'incontro del 26 settembre 1974 è parimenti disponibile alla Ford Library come documento 1552806 e appartiene al medesimo lotto. Il corpus lo registra come reperibile e non lo tratta come già letto: la ricognizione della Farnesina ne dichiara l'esistenza, non ne esaurisce lo spoglio. È un bersaglio aperto, e va indicato come tale invece di essere citato come se fosse stato spogliato.</w:t>
      </w:r>
    </w:p>
    <w:p>
      <w:pPr>
        <w:spacing w:after="120" w:line="276"/>
        <w:jc w:val="both"/>
      </w:pPr>
      <w:r>
        <w:rPr>
          <w:rFonts w:ascii="Barlow Semi Condensed" w:cs="Barlow Semi Condensed" w:eastAsia="Barlow Semi Condensed" w:hAnsi="Barlow Semi Condensed"/>
          <w:b/>
          <w:bCs/>
          <w:sz w:val="24"/>
          <w:szCs w:val="24"/>
        </w:rPr>
        <w:t xml:space="preserve">864 · La vigilia e la parola tough.</w:t>
      </w:r>
      <w:r>
        <w:rPr>
          <w:rFonts w:ascii="Barlow Semi Condensed" w:cs="Barlow Semi Condensed" w:eastAsia="Barlow Semi Condensed" w:hAnsi="Barlow Semi Condensed"/>
          <w:sz w:val="24"/>
          <w:szCs w:val="24"/>
        </w:rPr>
        <w:t xml:space="preserve"> Lo stesso lotto attesta che alla vigilia Kissinger disse a Ford che agli italiani andava detto duramente come qualunque presenza comunista al governo avrebbe mutato le relazioni, con una valutazione sul rischio di contagio in Francia, Germania e Grecia. È la posizione documentata di un uomo di governo su una linea politica: fatto pubblico pieno, di grado alto, e nulla di più di questo.</w:t>
      </w:r>
    </w:p>
    <w:p>
      <w:pPr>
        <w:spacing w:after="120" w:line="276"/>
        <w:jc w:val="both"/>
      </w:pPr>
      <w:r>
        <w:rPr>
          <w:rFonts w:ascii="Barlow Semi Condensed" w:cs="Barlow Semi Condensed" w:eastAsia="Barlow Semi Condensed" w:hAnsi="Barlow Semi Condensed"/>
          <w:b/>
          <w:bCs/>
          <w:sz w:val="24"/>
          <w:szCs w:val="24"/>
        </w:rPr>
        <w:t xml:space="preserve">865 · Il divieto dell'inferenza speculare.</w:t>
      </w:r>
      <w:r>
        <w:rPr>
          <w:rFonts w:ascii="Barlow Semi Condensed" w:cs="Barlow Semi Condensed" w:eastAsia="Barlow Semi Condensed" w:hAnsi="Barlow Semi Condensed"/>
          <w:sz w:val="24"/>
          <w:szCs w:val="24"/>
        </w:rPr>
        <w:t xml:space="preserve"> Il verbale del 25 settembre attesta la posizione di Kissinger sul PCI; non attesta una posizione di Moro sul medesimo punto in quella sede, e la ricognizione della Farnesina lo scrive per esteso. Che un interlocutore taccia a verbale non significa che consentisse né che dissentisse. Il silenzio a verbale è silenzio: non si converte in adesione, e nemmeno nel suo contrario.</w:t>
      </w:r>
    </w:p>
    <w:p>
      <w:pPr>
        <w:spacing w:after="120" w:line="276"/>
        <w:jc w:val="both"/>
      </w:pPr>
      <w:r>
        <w:rPr>
          <w:rFonts w:ascii="Barlow Semi Condensed" w:cs="Barlow Semi Condensed" w:eastAsia="Barlow Semi Condensed" w:hAnsi="Barlow Semi Condensed"/>
          <w:b/>
          <w:bCs/>
          <w:sz w:val="24"/>
          <w:szCs w:val="24"/>
        </w:rPr>
        <w:t xml:space="preserve">866 · Il Comitato dei 303, marzo 1969.</w:t>
      </w:r>
      <w:r>
        <w:rPr>
          <w:rFonts w:ascii="Barlow Semi Condensed" w:cs="Barlow Semi Condensed" w:eastAsia="Barlow Semi Condensed" w:hAnsi="Barlow Semi Condensed"/>
          <w:sz w:val="24"/>
          <w:szCs w:val="24"/>
        </w:rPr>
        <w:t xml:space="preserve"> FRUS volume XLI, documento 180: il verbale della riunione dell'11 marzo 1969 presieduta da Kissinger, con Johnson, Packard e Helms, nella quale Karamessines illustrò origini e livelli del programma di sostegno coperto ai partiti italiani fra il 1948 e il 1968, e i presenti convennero all'unanimità che non vi fosse reale giustificazione per riprendere il finanziamento coperto. Documento primario, con l'esito negativo incluso nel documento stesso.</w:t>
      </w:r>
    </w:p>
    <w:p>
      <w:pPr>
        <w:spacing w:after="120" w:line="276"/>
        <w:jc w:val="both"/>
      </w:pPr>
      <w:r>
        <w:rPr>
          <w:rFonts w:ascii="Barlow Semi Condensed" w:cs="Barlow Semi Condensed" w:eastAsia="Barlow Semi Condensed" w:hAnsi="Barlow Semi Condensed"/>
          <w:b/>
          <w:bCs/>
          <w:sz w:val="24"/>
          <w:szCs w:val="24"/>
        </w:rPr>
        <w:t xml:space="preserve">867 · L'anteriorità come anti-nesso.</w:t>
      </w:r>
      <w:r>
        <w:rPr>
          <w:rFonts w:ascii="Barlow Semi Condensed" w:cs="Barlow Semi Condensed" w:eastAsia="Barlow Semi Condensed" w:hAnsi="Barlow Semi Condensed"/>
          <w:sz w:val="24"/>
          <w:szCs w:val="24"/>
        </w:rPr>
        <w:t xml:space="preserve"> Quella riunione è del marzo 1969; Moro divenne ministro degli Esteri il 5 agosto 1969. La contemporaneità è dunque soltanto apparente, e la ricognizione lo dichiara. È l'applicazione più elementare della regola per cui la coincidenza cronologica non prova alcun nesso: qui non c'è nemmeno coincidenza, c'è precedenza, e una causa non può collocarsi dopo il proprio effetto.</w:t>
      </w:r>
    </w:p>
    <w:p>
      <w:pPr>
        <w:spacing w:after="120" w:line="276"/>
        <w:jc w:val="both"/>
      </w:pPr>
      <w:r>
        <w:rPr>
          <w:rFonts w:ascii="Barlow Semi Condensed" w:cs="Barlow Semi Condensed" w:eastAsia="Barlow Semi Condensed" w:hAnsi="Barlow Semi Condensed"/>
          <w:b/>
          <w:bCs/>
          <w:sz w:val="24"/>
          <w:szCs w:val="24"/>
        </w:rPr>
        <w:t xml:space="preserve">868 · Uno studio è uno studio.</w:t>
      </w:r>
      <w:r>
        <w:rPr>
          <w:rFonts w:ascii="Barlow Semi Condensed" w:cs="Barlow Semi Condensed" w:eastAsia="Barlow Semi Condensed" w:hAnsi="Barlow Semi Condensed"/>
          <w:sz w:val="24"/>
          <w:szCs w:val="24"/>
        </w:rPr>
        <w:t xml:space="preserve"> FRUS volume XLI, documento 188, registra l'istruzione di Nixon del dicembre 1969 per avviare uno studio sull'Italia. Uno studio è una richiesta analitica: non un programma operativo, non una decisione, non un'esecuzione. Il corpus lo cita come fatto pubblico e resiste alla tentazione di leggerlo come l'inizio di qualcosa, perché ciò che un documento avvia lo dice il documento successivo, mai l'interprete.</w:t>
      </w:r>
    </w:p>
    <w:p>
      <w:pPr>
        <w:spacing w:after="120" w:line="276"/>
        <w:jc w:val="both"/>
      </w:pPr>
      <w:r>
        <w:rPr>
          <w:rFonts w:ascii="Barlow Semi Condensed" w:cs="Barlow Semi Condensed" w:eastAsia="Barlow Semi Condensed" w:hAnsi="Barlow Semi Condensed"/>
          <w:b/>
          <w:bCs/>
          <w:sz w:val="24"/>
          <w:szCs w:val="24"/>
        </w:rPr>
        <w:t xml:space="preserve">869 · Il riemergere del 1975 e del 1976 (serie XII).</w:t>
      </w:r>
      <w:r>
        <w:rPr>
          <w:rFonts w:ascii="Barlow Semi Condensed" w:cs="Barlow Semi Condensed" w:eastAsia="Barlow Semi Condensed" w:hAnsi="Barlow Semi Condensed"/>
          <w:sz w:val="24"/>
          <w:szCs w:val="24"/>
        </w:rPr>
        <w:t xml:space="preserve"> Un saggio sottoposto a revisione paritaria segnala che il programma di azione coperta in Italia riemerse nel novembre 1975 e nel luglio 1976. Il corpus lo registra con la sua natura esatta: letteratura secondaria qualificata, non fonte primaria consultata, da riportare alle segnature che cita prima di ogni uso. In quelle date Moro era presidente del Consiglio e non ministro degli Esteri: anche questo si scrive.</w:t>
      </w:r>
    </w:p>
    <w:p>
      <w:pPr>
        <w:spacing w:after="120" w:line="276"/>
        <w:jc w:val="both"/>
      </w:pPr>
      <w:r>
        <w:rPr>
          <w:rFonts w:ascii="Barlow Semi Condensed" w:cs="Barlow Semi Condensed" w:eastAsia="Barlow Semi Condensed" w:hAnsi="Barlow Semi Condensed"/>
          <w:b/>
          <w:bCs/>
          <w:sz w:val="24"/>
          <w:szCs w:val="24"/>
        </w:rPr>
        <w:t xml:space="preserve">870 · Il memorandum delle Azzorre (serie XII).</w:t>
      </w:r>
      <w:r>
        <w:rPr>
          <w:rFonts w:ascii="Barlow Semi Condensed" w:cs="Barlow Semi Condensed" w:eastAsia="Barlow Semi Condensed" w:hAnsi="Barlow Semi Condensed"/>
          <w:sz w:val="24"/>
          <w:szCs w:val="24"/>
        </w:rPr>
        <w:t xml:space="preserve"> Il memorandum del colloquio fra Nixon e Spinola alle Azzorre, 19 giugno 1974, appartiene ai fatti pubblici acquisiti dal corpus e riguarda il Portogallo del dopo venticinque aprile, non l'Italia. Si registra qui perché fissa il registro con cui Washington guardava una transizione mediterranea, e perché trasportarlo sull'Italia sarebbe esattamente l'analogia che i blocchi di apertura hanno vietato.</w:t>
      </w:r>
    </w:p>
    <w:p>
      <w:pPr>
        <w:spacing w:after="120" w:line="276"/>
        <w:jc w:val="both"/>
      </w:pPr>
      <w:r>
        <w:rPr>
          <w:rFonts w:ascii="Barlow Semi Condensed" w:cs="Barlow Semi Condensed" w:eastAsia="Barlow Semi Condensed" w:hAnsi="Barlow Semi Condensed"/>
          <w:b/>
          <w:bCs/>
          <w:sz w:val="24"/>
          <w:szCs w:val="24"/>
        </w:rPr>
        <w:t xml:space="preserve">871 · Il leftist neutralist regime (serie XII).</w:t>
      </w:r>
      <w:r>
        <w:rPr>
          <w:rFonts w:ascii="Barlow Semi Condensed" w:cs="Barlow Semi Condensed" w:eastAsia="Barlow Semi Condensed" w:hAnsi="Barlow Semi Condensed"/>
          <w:sz w:val="24"/>
          <w:szCs w:val="24"/>
        </w:rPr>
        <w:t xml:space="preserve"> La preoccupazione statunitense per un regime neutralista di sinistra a Lisbona è documentata e appartiene al biennio 1974-1975. È un carattere della cornice: dice quale esito il decisore temeva, in quale area e con quale lessico. Non dice nulla su ciò che fu fatto in Italia quattro anni più tardi, e chi ve lo trasferisce compie la promozione del secondo piano a nesso causale.</w:t>
      </w:r>
    </w:p>
    <w:p>
      <w:pPr>
        <w:spacing w:after="120" w:line="276"/>
        <w:jc w:val="both"/>
      </w:pPr>
      <w:r>
        <w:rPr>
          <w:rFonts w:ascii="Barlow Semi Condensed" w:cs="Barlow Semi Condensed" w:eastAsia="Barlow Semi Condensed" w:hAnsi="Barlow Semi Condensed"/>
          <w:b/>
          <w:bCs/>
          <w:sz w:val="24"/>
          <w:szCs w:val="24"/>
        </w:rPr>
        <w:t xml:space="preserve">872 · Helsinki e la firma comunitaria.</w:t>
      </w:r>
      <w:r>
        <w:rPr>
          <w:rFonts w:ascii="Barlow Semi Condensed" w:cs="Barlow Semi Condensed" w:eastAsia="Barlow Semi Condensed" w:hAnsi="Barlow Semi Condensed"/>
          <w:sz w:val="24"/>
          <w:szCs w:val="24"/>
        </w:rPr>
        <w:t xml:space="preserve"> L'insofferenza di Kissinger rispetto al coinvolgimento della Comunità europea nella firma dell'Atto finale è un dato acquisito; il primo agosto 1975 Moro sottoscrisse quel testo nella duplice qualità di presidente del Consiglio e presidente di turno della Comunità. La cartella della Farnesina qualifica quella firma come l'unica triangolazione certa del proprio perimetro. Certa quanto alla firma, muta quanto a tutto il resto.</w:t>
      </w:r>
    </w:p>
    <w:p>
      <w:pPr>
        <w:spacing w:after="120" w:line="276"/>
        <w:jc w:val="both"/>
      </w:pPr>
      <w:r>
        <w:rPr>
          <w:rFonts w:ascii="Barlow Semi Condensed" w:cs="Barlow Semi Condensed" w:eastAsia="Barlow Semi Condensed" w:hAnsi="Barlow Semi Condensed"/>
          <w:b/>
          <w:bCs/>
          <w:sz w:val="24"/>
          <w:szCs w:val="24"/>
        </w:rPr>
        <w:t xml:space="preserve">873 · Lo Stato Zero del versante.</w:t>
      </w:r>
      <w:r>
        <w:rPr>
          <w:rFonts w:ascii="Barlow Semi Condensed" w:cs="Barlow Semi Condensed" w:eastAsia="Barlow Semi Condensed" w:hAnsi="Barlow Semi Condensed"/>
          <w:sz w:val="24"/>
          <w:szCs w:val="24"/>
        </w:rPr>
        <w:t xml:space="preserve"> La ricerca del documento che leghi Kissinger-persona, o qualunque apparato straniero nominato, alla catena di comando del delitto è stata condotta e si è chiusa in negativo: la Fase sesta la iscrive fra gli Stati Zero, con la stessa dignità dei livelli accertati, e la disciplina delle assenze impone di indicare accanto a ciascuno la sede d'archivio in cui si chiuderebbe. Non è un dubbio residuo: è un accertamento.</w:t>
      </w:r>
    </w:p>
    <w:p>
      <w:pPr>
        <w:spacing w:after="120" w:line="276"/>
        <w:jc w:val="both"/>
      </w:pPr>
      <w:r>
        <w:rPr>
          <w:rFonts w:ascii="Barlow Semi Condensed" w:cs="Barlow Semi Condensed" w:eastAsia="Barlow Semi Condensed" w:hAnsi="Barlow Semi Condensed"/>
          <w:b/>
          <w:bCs/>
          <w:sz w:val="24"/>
          <w:szCs w:val="24"/>
        </w:rPr>
        <w:t xml:space="preserve">874 · Lo statuto del presunto avvertimento.</w:t>
      </w:r>
      <w:r>
        <w:rPr>
          <w:rFonts w:ascii="Barlow Semi Condensed" w:cs="Barlow Semi Condensed" w:eastAsia="Barlow Semi Condensed" w:hAnsi="Barlow Semi Condensed"/>
          <w:sz w:val="24"/>
          <w:szCs w:val="24"/>
        </w:rPr>
        <w:t xml:space="preserve"> Il nodo M-5 della triangolazione Guevara-Moro registra l'avvertimento attribuito a Kissinger e riferito da Corrado Guerzoni, con la conferma di Eleonora Chiavarelli Moro in sede parlamentare. La Nota di revisione numero due ne fissa lo statuto e non lo muove: testimonianza contestata, non accertamento, grado B debole. Non si dà per accertata in alcuna resa pubblica, per nessuna ragione narrativa e per nessuna comodità di racconto.</w:t>
      </w:r>
    </w:p>
    <w:p>
      <w:pPr>
        <w:spacing w:after="120" w:line="276"/>
        <w:jc w:val="both"/>
      </w:pPr>
      <w:r>
        <w:rPr>
          <w:rFonts w:ascii="Barlow Semi Condensed" w:cs="Barlow Semi Condensed" w:eastAsia="Barlow Semi Condensed" w:hAnsi="Barlow Semi Condensed"/>
          <w:b/>
          <w:bCs/>
          <w:sz w:val="24"/>
          <w:szCs w:val="24"/>
        </w:rPr>
        <w:t xml:space="preserve">875 · La smentita è parte del fatto.</w:t>
      </w:r>
      <w:r>
        <w:rPr>
          <w:rFonts w:ascii="Barlow Semi Condensed" w:cs="Barlow Semi Condensed" w:eastAsia="Barlow Semi Condensed" w:hAnsi="Barlow Semi Condensed"/>
          <w:sz w:val="24"/>
          <w:szCs w:val="24"/>
        </w:rPr>
        <w:t xml:space="preserve"> Kissinger negò l'episodio in forma diretta e circostanziata poco prima della morte, e in forma anteriore e generica già nel 1983, quando ammetteva la propria contrarietà all'ingresso dei comunisti al governo ma smentiva di aver rimproverato Moro. Dove le fonti divergono si riporta la divergenza: riferire la testimonianza senza la smentita non è una semplificazione, è la costruzione di un falso a partire da materiali veri.</w:t>
      </w:r>
    </w:p>
    <w:p>
      <w:pPr>
        <w:spacing w:after="120" w:line="276"/>
        <w:jc w:val="both"/>
      </w:pPr>
      <w:r>
        <w:rPr>
          <w:rFonts w:ascii="Barlow Semi Condensed" w:cs="Barlow Semi Condensed" w:eastAsia="Barlow Semi Condensed" w:hAnsi="Barlow Semi Condensed"/>
          <w:b/>
          <w:bCs/>
          <w:sz w:val="24"/>
          <w:szCs w:val="24"/>
        </w:rPr>
        <w:t xml:space="preserve">876 · Il teste principale non fu presente (serie XII).</w:t>
      </w:r>
      <w:r>
        <w:rPr>
          <w:rFonts w:ascii="Barlow Semi Condensed" w:cs="Barlow Semi Condensed" w:eastAsia="Barlow Semi Condensed" w:hAnsi="Barlow Semi Condensed"/>
          <w:sz w:val="24"/>
          <w:szCs w:val="24"/>
        </w:rPr>
        <w:t xml:space="preserve"> Il dato che le riprese giornalistiche omettono più spesso è che il teste principale non fu presente: Guerzoni depose davanti alla Corte d'assise di Roma nel novembre 1982 de relato, avendo appreso il fatto da Moro e dall'entourage. Il rilievo non squalifica la deposizione, ne fissa lo statuto di testimonianza indiretta su un fatto altrui. Ogni resa che la presenti come racconto di un testimone oculare falsifica la fonte prima ancora di falsificare il fatto.</w:t>
      </w:r>
    </w:p>
    <w:p>
      <w:pPr>
        <w:spacing w:after="120" w:line="276"/>
        <w:jc w:val="both"/>
      </w:pPr>
      <w:r>
        <w:rPr>
          <w:rFonts w:ascii="Barlow Semi Condensed" w:cs="Barlow Semi Condensed" w:eastAsia="Barlow Semi Condensed" w:hAnsi="Barlow Semi Condensed"/>
          <w:b/>
          <w:bCs/>
          <w:sz w:val="24"/>
          <w:szCs w:val="24"/>
        </w:rPr>
        <w:t xml:space="preserve">877 · Il nome fu ottenuto in aula (serie XII).</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Guerzoni, a ottenere l'indicazione di Kissinger. L'attribuzione del nome è dunque essa stessa indiretta e va riferita con la propria genesi processuale: un nome estratto in udienza attraverso il richiamo a un altro teste non pesa quanto un nome pronunciato spontaneamente da chi lo avesse udito.</w:t>
      </w:r>
    </w:p>
    <w:p>
      <w:pPr>
        <w:spacing w:after="120" w:line="276"/>
        <w:jc w:val="both"/>
      </w:pPr>
      <w:r>
        <w:rPr>
          <w:rFonts w:ascii="Barlow Semi Condensed" w:cs="Barlow Semi Condensed" w:eastAsia="Barlow Semi Condensed" w:hAnsi="Barlow Semi Condensed"/>
          <w:b/>
          <w:bCs/>
          <w:sz w:val="24"/>
          <w:szCs w:val="24"/>
        </w:rPr>
        <w:t xml:space="preserve">878 · La data non è pacifica (serie XII).</w:t>
      </w:r>
      <w:r>
        <w:rPr>
          <w:rFonts w:ascii="Barlow Semi Condensed" w:cs="Barlow Semi Condensed" w:eastAsia="Barlow Semi Condensed" w:hAnsi="Barlow Semi Condensed"/>
          <w:sz w:val="24"/>
          <w:szCs w:val="24"/>
        </w:rPr>
        <w:t xml:space="preserve"> Il nodo M-5 colloca l'episodio nel settembre 1974. Una fonte d'agenzia statunitense coeva, dell'aprile 1983, lo colloca in un alterco all'ambasciata d'Italia a Washington nel 1977; altre sintesi indicano il 1976, e divergono anche i luoghi. Nel 1977 Kissinger non era più Segretario di Stato: la divergenza è dirimente, si riporta e non si risolve d'ufficio scegliendo la versione più comoda.</w:t>
      </w:r>
    </w:p>
    <w:p>
      <w:pPr>
        <w:spacing w:after="120" w:line="276"/>
        <w:jc w:val="both"/>
      </w:pPr>
      <w:r>
        <w:rPr>
          <w:rFonts w:ascii="Barlow Semi Condensed" w:cs="Barlow Semi Condensed" w:eastAsia="Barlow Semi Condensed" w:hAnsi="Barlow Semi Condensed"/>
          <w:b/>
          <w:bCs/>
          <w:sz w:val="24"/>
          <w:szCs w:val="24"/>
        </w:rPr>
        <w:t xml:space="preserve">879 · Sede e contenuto vanno distinti.</w:t>
      </w:r>
      <w:r>
        <w:rPr>
          <w:rFonts w:ascii="Barlow Semi Condensed" w:cs="Barlow Semi Condensed" w:eastAsia="Barlow Semi Condensed" w:hAnsi="Barlow Semi Condensed"/>
          <w:sz w:val="24"/>
          <w:szCs w:val="24"/>
        </w:rPr>
        <w:t xml:space="preserve"> L'audizione della vedova davanti alla Commissione d'inchiesta è del primo agosto 1980 ed è accertata; la frase verbatim che circola è però attribuita dalle sintesi alla deposizione giudiziaria del 1982, mentre dell'audizione del 1980 si riporta soprattutto un riferimento a minacce risalenti al 1975 e crescenti. Confondere le due sedi produce una citazione falsa costruita su due premesse entrambe vere.</w:t>
      </w:r>
    </w:p>
    <w:p>
      <w:pPr>
        <w:spacing w:after="120" w:line="276"/>
        <w:jc w:val="both"/>
      </w:pPr>
      <w:r>
        <w:rPr>
          <w:rFonts w:ascii="Barlow Semi Condensed" w:cs="Barlow Semi Condensed" w:eastAsia="Barlow Semi Condensed" w:hAnsi="Barlow Semi Condensed"/>
          <w:b/>
          <w:bCs/>
          <w:sz w:val="24"/>
          <w:szCs w:val="24"/>
        </w:rPr>
        <w:t xml:space="preserve">880 · L'assenza dal verbale, e il suo peso.</w:t>
      </w:r>
      <w:r>
        <w:rPr>
          <w:rFonts w:ascii="Barlow Semi Condensed" w:cs="Barlow Semi Condensed" w:eastAsia="Barlow Semi Condensed" w:hAnsi="Barlow Semi Condensed"/>
          <w:sz w:val="24"/>
          <w:szCs w:val="24"/>
        </w:rPr>
        <w:t xml:space="preserve"> Poiché la testimonianza colloca la frase a margine dell'incontro, la sua assenza dal memorandum del 25 settembre non prova né la falsità né la verità dell'episodio. Indebolisce però nettamente la versione che lo colloca dentro il colloquio ufficiale, ed è proprio quella che circola. Distinguere l'indebolimento di una versione dalla confutazione di un fatto è l'operazione più delicata dell'intero nodo.</w:t>
      </w:r>
    </w:p>
    <w:p>
      <w:pPr>
        <w:spacing w:after="120" w:line="276"/>
        <w:jc w:val="both"/>
      </w:pPr>
      <w:r>
        <w:rPr>
          <w:rFonts w:ascii="Barlow Semi Condensed" w:cs="Barlow Semi Condensed" w:eastAsia="Barlow Semi Condensed" w:hAnsi="Barlow Semi Condensed"/>
          <w:b/>
          <w:bCs/>
          <w:sz w:val="24"/>
          <w:szCs w:val="24"/>
        </w:rPr>
        <w:t xml:space="preserve">881 · La moltiplicazione apparente delle fonti (serie XII).</w:t>
      </w:r>
      <w:r>
        <w:rPr>
          <w:rFonts w:ascii="Barlow Semi Condensed" w:cs="Barlow Semi Condensed" w:eastAsia="Barlow Semi Condensed" w:hAnsi="Barlow Semi Condensed"/>
          <w:sz w:val="24"/>
          <w:szCs w:val="24"/>
        </w:rPr>
        <w:t xml:space="preserve"> Le decine di riprese pressoché identiche dell'episodio risalgono a un unico lancio d'agenzia del 30 novembre 2023; il rilancio internazionale del 1982 proviene da una pubblicazione di orientamento cospirazionista, citabile come dato di circolazione e non come riscontro. Il numero delle ripetizioni non aggiunge valore probatorio: è la stessa fonte contata molte volte, e contarla molte volte non la rende molte fonti.</w:t>
      </w:r>
    </w:p>
    <w:p>
      <w:pPr>
        <w:spacing w:after="120" w:line="276"/>
        <w:jc w:val="both"/>
      </w:pPr>
      <w:r>
        <w:rPr>
          <w:rFonts w:ascii="Barlow Semi Condensed" w:cs="Barlow Semi Condensed" w:eastAsia="Barlow Semi Condensed" w:hAnsi="Barlow Semi Condensed"/>
          <w:b/>
          <w:bCs/>
          <w:sz w:val="24"/>
          <w:szCs w:val="24"/>
        </w:rPr>
        <w:t xml:space="preserve">882 · La pseudoreplica come vizio di metodo.</w:t>
      </w:r>
      <w:r>
        <w:rPr>
          <w:rFonts w:ascii="Barlow Semi Condensed" w:cs="Barlow Semi Condensed" w:eastAsia="Barlow Semi Condensed" w:hAnsi="Barlow Semi Condensed"/>
          <w:sz w:val="24"/>
          <w:szCs w:val="24"/>
        </w:rPr>
        <w:t xml:space="preserve"> In statistica si chiama pseudoreplica il conteggio di misure non indipendenti come se lo fossero, e produce fiducia crescente in un dato che non è cresciuto. È il vizio della circolazione mediatica del nodo M-5 ed è anche ciò che la consilienza vieta: linee non indipendenti non si rafforzano a vicenda, si ripetono. Una copia non è un riscontro, in genetica come in archivio.</w:t>
      </w:r>
    </w:p>
    <w:p>
      <w:pPr>
        <w:spacing w:after="120" w:line="276"/>
        <w:jc w:val="both"/>
      </w:pPr>
      <w:r>
        <w:rPr>
          <w:rFonts w:ascii="Barlow Semi Condensed" w:cs="Barlow Semi Condensed" w:eastAsia="Barlow Semi Condensed" w:hAnsi="Barlow Semi Condensed"/>
          <w:b/>
          <w:bCs/>
          <w:sz w:val="24"/>
          <w:szCs w:val="24"/>
        </w:rPr>
        <w:t xml:space="preserve">883 · Le smentite italiane e la loro divergenza.</w:t>
      </w:r>
      <w:r>
        <w:rPr>
          <w:rFonts w:ascii="Barlow Semi Condensed" w:cs="Barlow Semi Condensed" w:eastAsia="Barlow Semi Condensed" w:hAnsi="Barlow Semi Condensed"/>
          <w:sz w:val="24"/>
          <w:szCs w:val="24"/>
        </w:rPr>
        <w:t xml:space="preserve"> Un testimone di primo piano definì l'episodio una leggenda senza fondamento, dicendo di averlo verificato allora con l'interprete perché Moro non parlava inglese, salvo descrivere altrove un colloquio politicamente durissimo e distinguere il rimprovero aspro dalla minaccia; un altro parlò soltanto di un problema di linguaggio. Nessuno dei due era presente al colloquio riservato: anche le smentite si graduano, e queste non sono di primo piano.</w:t>
      </w:r>
    </w:p>
    <w:p>
      <w:pPr>
        <w:spacing w:after="120" w:line="276"/>
        <w:jc w:val="both"/>
      </w:pPr>
      <w:r>
        <w:rPr>
          <w:rFonts w:ascii="Barlow Semi Condensed" w:cs="Barlow Semi Condensed" w:eastAsia="Barlow Semi Condensed" w:hAnsi="Barlow Semi Condensed"/>
          <w:b/>
          <w:bCs/>
          <w:sz w:val="24"/>
          <w:szCs w:val="24"/>
        </w:rPr>
        <w:t xml:space="preserve">884 · Mai sentito dai magistrati italiani (serie XII).</w:t>
      </w:r>
      <w:r>
        <w:rPr>
          <w:rFonts w:ascii="Barlow Semi Condensed" w:cs="Barlow Semi Condensed" w:eastAsia="Barlow Semi Condensed" w:hAnsi="Barlow Semi Condensed"/>
          <w:sz w:val="24"/>
          <w:szCs w:val="24"/>
        </w:rPr>
        <w:t xml:space="preserve"> Kissinger non fu mai sentito dai magistrati italiani: la richiesta informale del 1983 non ebbe seguito. È un fatto processuale e va detto perché chiude una domanda ricorrente. L'episodio non ha mai formato oggetto d'imputazione in alcuna sede, e nessuna sentenza definitiva ha attribuito ad autorità statunitensi responsabilità penali nel sequestro e nell'omicidio di Aldo Moro.</w:t>
      </w:r>
    </w:p>
    <w:p>
      <w:pPr>
        <w:spacing w:after="120" w:line="276"/>
        <w:jc w:val="both"/>
      </w:pPr>
      <w:r>
        <w:rPr>
          <w:rFonts w:ascii="Barlow Semi Condensed" w:cs="Barlow Semi Condensed" w:eastAsia="Barlow Semi Condensed" w:hAnsi="Barlow Semi Condensed"/>
          <w:b/>
          <w:bCs/>
          <w:sz w:val="24"/>
          <w:szCs w:val="24"/>
        </w:rPr>
        <w:t xml:space="preserve">885 · Il limite dichiarato della verifica.</w:t>
      </w:r>
      <w:r>
        <w:rPr>
          <w:rFonts w:ascii="Barlow Semi Condensed" w:cs="Barlow Semi Condensed" w:eastAsia="Barlow Semi Condensed" w:hAnsi="Barlow Semi Condensed"/>
          <w:sz w:val="24"/>
          <w:szCs w:val="24"/>
        </w:rPr>
        <w:t xml:space="preserve"> La campagna che ha prodotto le sette precisazioni dichiara il proprio limite: l'accesso diretto ai resoconti stenografici della Commissione e ai verbali d'udienza è risultato bloccato, e le precisazioni poggiano su fonti secondarie convergenti, da riscontrare sui testi ufficiali. Dichiarare il limite di una verifica è parte della verifica; ometterlo trasformerebbe sette cautele in sette certezze, che è il rovescio esatto del loro scopo.</w:t>
      </w:r>
    </w:p>
    <w:p>
      <w:pPr>
        <w:spacing w:after="120" w:line="276"/>
        <w:jc w:val="both"/>
      </w:pPr>
      <w:r>
        <w:rPr>
          <w:rFonts w:ascii="Barlow Semi Condensed" w:cs="Barlow Semi Condensed" w:eastAsia="Barlow Semi Condensed" w:hAnsi="Barlow Semi Condensed"/>
          <w:b/>
          <w:bCs/>
          <w:sz w:val="24"/>
          <w:szCs w:val="24"/>
        </w:rPr>
        <w:t xml:space="preserve">886 · L'evidenza che chiuderebbe il quesito.</w:t>
      </w:r>
      <w:r>
        <w:rPr>
          <w:rFonts w:ascii="Barlow Semi Condensed" w:cs="Barlow Semi Condensed" w:eastAsia="Barlow Semi Condensed" w:hAnsi="Barlow Semi Condensed"/>
          <w:sz w:val="24"/>
          <w:szCs w:val="24"/>
        </w:rPr>
        <w:t xml:space="preserve"> Il quesito si chiuderebbe sui testi primari: il resoconto stenografico integrale dell'audizione del primo agosto 1980, il verbale d'udienza della deposizione del novembre 1982, e la ricognizione delle carte statunitensi relative alla trasferta del settembre 1974 oltre i due memorandum già noti. Sono atti esistenti oppure accertabili come inesistenti, e in entrambi i casi il quesito avanza di un grado.</w:t>
      </w:r>
    </w:p>
    <w:p>
      <w:pPr>
        <w:spacing w:after="120" w:line="276"/>
        <w:jc w:val="both"/>
      </w:pPr>
      <w:r>
        <w:rPr>
          <w:rFonts w:ascii="Barlow Semi Condensed" w:cs="Barlow Semi Condensed" w:eastAsia="Barlow Semi Condensed" w:hAnsi="Barlow Semi Condensed"/>
          <w:b/>
          <w:bCs/>
          <w:sz w:val="24"/>
          <w:szCs w:val="24"/>
        </w:rPr>
        <w:t xml:space="preserve">887 · Che cosa il quesito non deciderebbe.</w:t>
      </w:r>
      <w:r>
        <w:rPr>
          <w:rFonts w:ascii="Barlow Semi Condensed" w:cs="Barlow Semi Condensed" w:eastAsia="Barlow Semi Condensed" w:hAnsi="Barlow Semi Condensed"/>
          <w:sz w:val="24"/>
          <w:szCs w:val="24"/>
        </w:rPr>
        <w:t xml:space="preserve"> Anche se l'avvertimento risultasse accertato in ogni sua parola, non ne discenderebbe nulla sul 1978. Fra una frase pronunciata nel 1974 e l'agguato di via Fani non esiste alcun ponte documentato, e la conferma sposterebbe un fatto biografico e diplomatico, non una catena di comando. Il quesito va risolto perché è un quesito, non perché prometta un responsabile.</w:t>
      </w:r>
    </w:p>
    <w:p>
      <w:pPr>
        <w:spacing w:after="120" w:line="276"/>
        <w:jc w:val="both"/>
      </w:pPr>
      <w:r>
        <w:rPr>
          <w:rFonts w:ascii="Barlow Semi Condensed" w:cs="Barlow Semi Condensed" w:eastAsia="Barlow Semi Condensed" w:hAnsi="Barlow Semi Condensed"/>
          <w:b/>
          <w:bCs/>
          <w:sz w:val="24"/>
          <w:szCs w:val="24"/>
        </w:rPr>
        <w:t xml:space="preserve">888 · La regola del caso contestato.</w:t>
      </w:r>
      <w:r>
        <w:rPr>
          <w:rFonts w:ascii="Barlow Semi Condensed" w:cs="Barlow Semi Condensed" w:eastAsia="Barlow Semi Condensed" w:hAnsi="Barlow Semi Condensed"/>
          <w:sz w:val="24"/>
          <w:szCs w:val="24"/>
        </w:rPr>
        <w:t xml:space="preserve"> Da questo nodo si ricava una regola trasferibile: una testimonianza contestata si cita sempre con la contestazione, non si promuove per anzianità di circolazione, non si consolida per numero di riprese e non cambia grado perché diventa celebre. Il tempo non è un metodo di prova, e la notorietà di un aneddoto misura la sua diffusione, mai la sua verità. La forma completa non è zavorra: è il nodo.</w:t>
      </w:r>
    </w:p>
    <w:p>
      <w:pPr>
        <w:spacing w:after="120" w:line="276"/>
        <w:jc w:val="both"/>
      </w:pPr>
      <w:r>
        <w:rPr>
          <w:rFonts w:ascii="Barlow Semi Condensed" w:cs="Barlow Semi Condensed" w:eastAsia="Barlow Semi Condensed" w:hAnsi="Barlow Semi Condensed"/>
          <w:b/>
          <w:bCs/>
          <w:sz w:val="24"/>
          <w:szCs w:val="24"/>
        </w:rPr>
        <w:t xml:space="preserve">889 · Due domande, non una.</w:t>
      </w:r>
      <w:r>
        <w:rPr>
          <w:rFonts w:ascii="Barlow Semi Condensed" w:cs="Barlow Semi Condensed" w:eastAsia="Barlow Semi Condensed" w:hAnsi="Barlow Semi Condensed"/>
          <w:sz w:val="24"/>
          <w:szCs w:val="24"/>
        </w:rPr>
        <w:t xml:space="preserve"> Sul versante internazionale convivono due domande che la pubblicistica confonde da decenni. La prima chiede quale fu la posizione degli alleati verso l'ingresso comunista nell'area di governo e che cosa ne documentino gli archivi. La seconda chiede chi ideò, ordinò ed eseguì il sequestro e l'omicidio. La prima è aperta e documentabile; la seconda ha cinque risposte definitive. Tenerle separate è la premessa di tutto il resto.</w:t>
      </w:r>
    </w:p>
    <w:p>
      <w:pPr>
        <w:spacing w:after="120" w:line="276"/>
        <w:jc w:val="both"/>
      </w:pPr>
      <w:r>
        <w:rPr>
          <w:rFonts w:ascii="Barlow Semi Condensed" w:cs="Barlow Semi Condensed" w:eastAsia="Barlow Semi Condensed" w:hAnsi="Barlow Semi Condensed"/>
          <w:b/>
          <w:bCs/>
          <w:sz w:val="24"/>
          <w:szCs w:val="24"/>
        </w:rPr>
        <w:t xml:space="preserve">890 · Il quesito atlantico è legittimo.</w:t>
      </w:r>
      <w:r>
        <w:rPr>
          <w:rFonts w:ascii="Barlow Semi Condensed" w:cs="Barlow Semi Condensed" w:eastAsia="Barlow Semi Condensed" w:hAnsi="Barlow Semi Condensed"/>
          <w:sz w:val="24"/>
          <w:szCs w:val="24"/>
        </w:rPr>
        <w:t xml:space="preserve"> Chiedere che cosa Washington, Londra, Parigi e Bonn pensarono, scrissero e fecero rispetto alla solidarietà nazionale non è dietrologia: è storia diplomatica, con giacimenti, procedure e calendari propri. L'agenda vi dedica una serie intera, i blocchi dal 126 al 155, e il manuale una serie sua, dal 236 al 250. Il sospetto non è la condizione della domanda: la domanda regge da sola.</w:t>
      </w:r>
    </w:p>
    <w:p>
      <w:pPr>
        <w:spacing w:after="120" w:line="276"/>
        <w:jc w:val="both"/>
      </w:pPr>
      <w:r>
        <w:rPr>
          <w:rFonts w:ascii="Barlow Semi Condensed" w:cs="Barlow Semi Condensed" w:eastAsia="Barlow Semi Condensed" w:hAnsi="Barlow Semi Condensed"/>
          <w:b/>
          <w:bCs/>
          <w:sz w:val="24"/>
          <w:szCs w:val="24"/>
        </w:rPr>
        <w:t xml:space="preserve">891 · L'attribuzione appartiene al giudicato.</w:t>
      </w:r>
      <w:r>
        <w:rPr>
          <w:rFonts w:ascii="Barlow Semi Condensed" w:cs="Barlow Semi Condensed" w:eastAsia="Barlow Semi Condensed" w:hAnsi="Barlow Semi Condensed"/>
          <w:sz w:val="24"/>
          <w:szCs w:val="24"/>
        </w:rPr>
        <w:t xml:space="preserve"> Chi rapì e uccise Aldo Moro è materia decisa: cinque processi definitivi hanno accertato la responsabilità delle Brigate rosse e iscritto tredici nomi nel registro che i nove cantieri approfondiscono dal blocco 791. La Fase settima chiama quel deposito il pavimento del caso: sotto quella soglia non si scende, e chi voglia sostenere altro deve portare prove almeno pari a quelle su cui le sentenze si fondano.</w:t>
      </w:r>
    </w:p>
    <w:p>
      <w:pPr>
        <w:spacing w:after="120" w:line="276"/>
        <w:jc w:val="both"/>
      </w:pPr>
      <w:r>
        <w:rPr>
          <w:rFonts w:ascii="Barlow Semi Condensed" w:cs="Barlow Semi Condensed" w:eastAsia="Barlow Semi Condensed" w:hAnsi="Barlow Semi Condensed"/>
          <w:b/>
          <w:bCs/>
          <w:sz w:val="24"/>
          <w:szCs w:val="24"/>
        </w:rPr>
        <w:t xml:space="preserve">892 · La regola dei tre piani, applicata qui.</w:t>
      </w:r>
      <w:r>
        <w:rPr>
          <w:rFonts w:ascii="Barlow Semi Condensed" w:cs="Barlow Semi Condensed" w:eastAsia="Barlow Semi Condensed" w:hAnsi="Barlow Semi Condensed"/>
          <w:sz w:val="24"/>
          <w:szCs w:val="24"/>
        </w:rPr>
        <w:t xml:space="preserve"> Il primo piano è il rapporto diretto documentato, il secondo la convergenza strutturale entro la stessa cornice, il terzo l'affermazione terziaria priva di riscontro. Un ponte è reale solo al primo piano. Sul versante internazionale il corpus dispone di alcuni primi piani in materia diplomatica, di molti secondi e di un vastissimo terzo: la contabilità va tenuta separata voce per voce, senza mai sommarla.</w:t>
      </w:r>
    </w:p>
    <w:p>
      <w:pPr>
        <w:spacing w:after="120" w:line="276"/>
        <w:jc w:val="both"/>
      </w:pPr>
      <w:r>
        <w:rPr>
          <w:rFonts w:ascii="Barlow Semi Condensed" w:cs="Barlow Semi Condensed" w:eastAsia="Barlow Semi Condensed" w:hAnsi="Barlow Semi Condensed"/>
          <w:b/>
          <w:bCs/>
          <w:sz w:val="24"/>
          <w:szCs w:val="24"/>
        </w:rPr>
        <w:t xml:space="preserve">893 · Che cosa sta al primo piano.</w:t>
      </w:r>
      <w:r>
        <w:rPr>
          <w:rFonts w:ascii="Barlow Semi Condensed" w:cs="Barlow Semi Condensed" w:eastAsia="Barlow Semi Condensed" w:hAnsi="Barlow Semi Condensed"/>
          <w:sz w:val="24"/>
          <w:szCs w:val="24"/>
        </w:rPr>
        <w:t xml:space="preserve"> Al primo piano stanno i colloqui verbalizzati fra persone che si incontrarono davvero: il 25 e il 26 settembre 1974, la riunione dell'11 marzo 1969, la firma di Helsinki. Sono rapporti diretti, datati, con segnatura. Ma primo piano non significa rilevante per il caso Moro: significa documentato. Un rapporto diretto può essere pienamente provato e insieme pienamente estraneo al 1978.</w:t>
      </w:r>
    </w:p>
    <w:p>
      <w:pPr>
        <w:spacing w:after="120" w:line="276"/>
        <w:jc w:val="both"/>
      </w:pPr>
      <w:r>
        <w:rPr>
          <w:rFonts w:ascii="Barlow Semi Condensed" w:cs="Barlow Semi Condensed" w:eastAsia="Barlow Semi Condensed" w:hAnsi="Barlow Semi Condensed"/>
          <w:b/>
          <w:bCs/>
          <w:sz w:val="24"/>
          <w:szCs w:val="24"/>
        </w:rPr>
        <w:t xml:space="preserve">894 · Che cosa sta al secondo piano.</w:t>
      </w:r>
      <w:r>
        <w:rPr>
          <w:rFonts w:ascii="Barlow Semi Condensed" w:cs="Barlow Semi Condensed" w:eastAsia="Barlow Semi Condensed" w:hAnsi="Barlow Semi Condensed"/>
          <w:sz w:val="24"/>
          <w:szCs w:val="24"/>
        </w:rPr>
        <w:t xml:space="preserve"> Al secondo piano sta la cornice: la lunga guerra fredda combattuta dentro le società occidentali, l'ostilità di settori alleati alla mediazione moroana, il timore per il Mediterraneo, il calendario che accosta Lisbona, Atene e Roma. È materia storica seria e va scritta. Ma una cornice non è un legame fra due nodi: è un ambiente che li contiene entrambi, e contenere non è collegare.</w:t>
      </w:r>
    </w:p>
    <w:p>
      <w:pPr>
        <w:spacing w:after="120" w:line="276"/>
        <w:jc w:val="both"/>
      </w:pPr>
      <w:r>
        <w:rPr>
          <w:rFonts w:ascii="Barlow Semi Condensed" w:cs="Barlow Semi Condensed" w:eastAsia="Barlow Semi Condensed" w:hAnsi="Barlow Semi Condensed"/>
          <w:b/>
          <w:bCs/>
          <w:sz w:val="24"/>
          <w:szCs w:val="24"/>
        </w:rPr>
        <w:t xml:space="preserve">895 · Che cosa sta al terzo piano.</w:t>
      </w:r>
      <w:r>
        <w:rPr>
          <w:rFonts w:ascii="Barlow Semi Condensed" w:cs="Barlow Semi Condensed" w:eastAsia="Barlow Semi Condensed" w:hAnsi="Barlow Semi Condensed"/>
          <w:sz w:val="24"/>
          <w:szCs w:val="24"/>
        </w:rPr>
        <w:t xml:space="preserve"> Al terzo piano stanno le affermazioni terziarie prive di riscontro: frasi attribuite senza fonte primaria, regie ricostruite per verosimiglianza, catene che ogni pubblicazione riprende dalla precedente senza risalire a un atto. Il corpus non le cancella e non le usa: le registra come dati di circolazione. Un'affermazione di terzo piano che diventa celebre resta di terzo piano, perché la fama non è una promozione.</w:t>
      </w:r>
    </w:p>
    <w:p>
      <w:pPr>
        <w:spacing w:after="120" w:line="276"/>
        <w:jc w:val="both"/>
      </w:pPr>
      <w:r>
        <w:rPr>
          <w:rFonts w:ascii="Barlow Semi Condensed" w:cs="Barlow Semi Condensed" w:eastAsia="Barlow Semi Condensed" w:hAnsi="Barlow Semi Condensed"/>
          <w:b/>
          <w:bCs/>
          <w:sz w:val="24"/>
          <w:szCs w:val="24"/>
        </w:rPr>
        <w:t xml:space="preserve">896 · Nessun piano sale per accumulo.</w:t>
      </w:r>
      <w:r>
        <w:rPr>
          <w:rFonts w:ascii="Barlow Semi Condensed" w:cs="Barlow Semi Condensed" w:eastAsia="Barlow Semi Condensed" w:hAnsi="Barlow Semi Condensed"/>
          <w:sz w:val="24"/>
          <w:szCs w:val="24"/>
        </w:rPr>
        <w:t xml:space="preserve"> Dieci convergenze di cornice non fanno un rapporto diretto, come dieci indizi possibili non fanno un probabile: il salto lo produce un documento, non una somma. È la regola che la Parte terza enuncia in forma generale e che qui riceve la sua applicazione più esposta, perché il versante internazionale è quello in cui l'accumulo appare più persuasivo e la sua persuasione è tutta retorica.</w:t>
      </w:r>
    </w:p>
    <w:p>
      <w:pPr>
        <w:spacing w:after="120" w:line="276"/>
        <w:jc w:val="both"/>
      </w:pPr>
      <w:r>
        <w:rPr>
          <w:rFonts w:ascii="Barlow Semi Condensed" w:cs="Barlow Semi Condensed" w:eastAsia="Barlow Semi Condensed" w:hAnsi="Barlow Semi Condensed"/>
          <w:b/>
          <w:bCs/>
          <w:sz w:val="24"/>
          <w:szCs w:val="24"/>
        </w:rPr>
        <w:t xml:space="preserve">897 · L'anello debole del cammino atlantico.</w:t>
      </w:r>
      <w:r>
        <w:rPr>
          <w:rFonts w:ascii="Barlow Semi Condensed" w:cs="Barlow Semi Condensed" w:eastAsia="Barlow Semi Condensed" w:hAnsi="Barlow Semi Condensed"/>
          <w:sz w:val="24"/>
          <w:szCs w:val="24"/>
        </w:rPr>
        <w:t xml:space="preserve"> Il grado di un cammino è il grado minimo fra i suoi archi, come una catena vale quanto il suo anello più debole. Il cammino che dalla cornice atlantica arriva a via Fani attraversa archi di sola cornice, cioè archi che non documentano una relazione: il suo grado è quello del tratto peggiore, e nessun arco forte a monte lo risolleva. La regola non ammette compensazioni.</w:t>
      </w:r>
    </w:p>
    <w:p>
      <w:pPr>
        <w:spacing w:after="120" w:line="276"/>
        <w:jc w:val="both"/>
      </w:pPr>
      <w:r>
        <w:rPr>
          <w:rFonts w:ascii="Barlow Semi Condensed" w:cs="Barlow Semi Condensed" w:eastAsia="Barlow Semi Condensed" w:hAnsi="Barlow Semi Condensed"/>
          <w:b/>
          <w:bCs/>
          <w:sz w:val="24"/>
          <w:szCs w:val="24"/>
        </w:rPr>
        <w:t xml:space="preserve">898 · Il buco strutturale si misura.</w:t>
      </w:r>
      <w:r>
        <w:rPr>
          <w:rFonts w:ascii="Barlow Semi Condensed" w:cs="Barlow Semi Condensed" w:eastAsia="Barlow Semi Condensed" w:hAnsi="Barlow Semi Condensed"/>
          <w:sz w:val="24"/>
          <w:szCs w:val="24"/>
        </w:rPr>
        <w:t xml:space="preserve"> Dove la rete non ha archi, la dietrologia mette narrazione e il corpus mette una misura. Fra il dominio diplomatico statunitense e il fatto di via Fani il grafo dei soli legami documentati non registra alcun arco diretto: quel vuoto è il risultato dell'analisi, non il suo punto di partenza, e resta tale finché un documento non diventi arco. I buchi si dichiarano, non si riempiono.</w:t>
      </w:r>
    </w:p>
    <w:p>
      <w:pPr>
        <w:spacing w:after="120" w:line="276"/>
        <w:jc w:val="both"/>
      </w:pPr>
      <w:r>
        <w:rPr>
          <w:rFonts w:ascii="Barlow Semi Condensed" w:cs="Barlow Semi Condensed" w:eastAsia="Barlow Semi Condensed" w:hAnsi="Barlow Semi Condensed"/>
          <w:b/>
          <w:bCs/>
          <w:sz w:val="24"/>
          <w:szCs w:val="24"/>
        </w:rPr>
        <w:t xml:space="preserve">899 · La prossimità di un nemico non è mandato.</w:t>
      </w:r>
      <w:r>
        <w:rPr>
          <w:rFonts w:ascii="Barlow Semi Condensed" w:cs="Barlow Semi Condensed" w:eastAsia="Barlow Semi Condensed" w:hAnsi="Barlow Semi Condensed"/>
          <w:sz w:val="24"/>
          <w:szCs w:val="24"/>
        </w:rPr>
        <w:t xml:space="preserve"> La formula della Parte terza traduce in diritto l'intera sezione. Che nemici politici di Moro esistessero, e potenti, sta al grado accertato; che uno di essi abbia armato o guidato la mano brigatista sta al grado del possibile, e nessun documento, italiano o statunitense, lo attesta. Il movente internazionale spiega perché la mediazione fosse osteggiata; non nomina chi la interruppe con le armi.</w:t>
      </w:r>
    </w:p>
    <w:p>
      <w:pPr>
        <w:spacing w:after="120" w:line="276"/>
        <w:jc w:val="both"/>
      </w:pPr>
      <w:r>
        <w:rPr>
          <w:rFonts w:ascii="Barlow Semi Condensed" w:cs="Barlow Semi Condensed" w:eastAsia="Barlow Semi Condensed" w:hAnsi="Barlow Semi Condensed"/>
          <w:b/>
          <w:bCs/>
          <w:sz w:val="24"/>
          <w:szCs w:val="24"/>
        </w:rPr>
        <w:t xml:space="preserve">900 · Gli occhi degli altri.</w:t>
      </w:r>
      <w:r>
        <w:rPr>
          <w:rFonts w:ascii="Barlow Semi Condensed" w:cs="Barlow Semi Condensed" w:eastAsia="Barlow Semi Condensed" w:hAnsi="Barlow Semi Condensed"/>
          <w:sz w:val="24"/>
          <w:szCs w:val="24"/>
        </w:rPr>
        <w:t xml:space="preserve"> Il dodicesimo dei quindici quesiti costitutivi dell'agenda chiede che cosa videro e riferirono in tempo reale le diplomazie e i servizi alleati, e che cosa giaccia nei loro archivi sotto la regola dell'originatore. È un quesito di documentazione e non di attribuzione, e la differenza sta tutta nella formulazione: chiede carte, non conferme, e prevede in partenza che le carte possano non esserci.</w:t>
      </w:r>
    </w:p>
    <w:p>
      <w:pPr>
        <w:spacing w:after="120" w:line="276"/>
        <w:jc w:val="both"/>
      </w:pPr>
      <w:r>
        <w:rPr>
          <w:rFonts w:ascii="Barlow Semi Condensed" w:cs="Barlow Semi Condensed" w:eastAsia="Barlow Semi Condensed" w:hAnsi="Barlow Semi Condensed"/>
          <w:b/>
          <w:bCs/>
          <w:sz w:val="24"/>
          <w:szCs w:val="24"/>
        </w:rPr>
        <w:t xml:space="preserve">901 · Un dispaccio riferisce, non accerta.</w:t>
      </w:r>
      <w:r>
        <w:rPr>
          <w:rFonts w:ascii="Barlow Semi Condensed" w:cs="Barlow Semi Condensed" w:eastAsia="Barlow Semi Condensed" w:hAnsi="Barlow Semi Condensed"/>
          <w:sz w:val="24"/>
          <w:szCs w:val="24"/>
        </w:rPr>
        <w:t xml:space="preserve"> La disciplina è scolpita al blocco 151 dell'agenda e va ripetuta ogni volta: un dispaccio è ciò che una sede riferì, non ciò che accadde; una valutazione d'intelligence è un'ipotesi di servizio con la sua data, non un accertamento. Il grado segue la natura dell'atto e mai il prestigio della provenienza, perché la tentazione di promuovere l'esotico a rivelazione è un errore già censito dal manuale.</w:t>
      </w:r>
    </w:p>
    <w:p>
      <w:pPr>
        <w:spacing w:after="120" w:line="276"/>
        <w:jc w:val="both"/>
      </w:pPr>
      <w:r>
        <w:rPr>
          <w:rFonts w:ascii="Barlow Semi Condensed" w:cs="Barlow Semi Condensed" w:eastAsia="Barlow Semi Condensed" w:hAnsi="Barlow Semi Condensed"/>
          <w:b/>
          <w:bCs/>
          <w:sz w:val="24"/>
          <w:szCs w:val="24"/>
        </w:rPr>
        <w:t xml:space="preserve">902 · Il genere è metà del grado.</w:t>
      </w:r>
      <w:r>
        <w:rPr>
          <w:rFonts w:ascii="Barlow Semi Condensed" w:cs="Barlow Semi Condensed" w:eastAsia="Barlow Semi Condensed" w:hAnsi="Barlow Semi Condensed"/>
          <w:sz w:val="24"/>
          <w:szCs w:val="24"/>
        </w:rPr>
        <w:t xml:space="preserve"> Il cantiere britannico distingue telegram, despatch, letter e minute e assegna a ciascun genere una diversa natura probatoria: il telegramma riferisce a caldo, il despatch riflette a freddo, la minuta interna giudica. È il blocco 8 dei nove cantieri e vale per ogni archivio estero. Una carta entra nel corpus con il proprio genere dichiarato, perché il genere ne governa la lettura prima del contenuto.</w:t>
      </w:r>
    </w:p>
    <w:p>
      <w:pPr>
        <w:spacing w:after="120" w:line="276"/>
        <w:jc w:val="both"/>
      </w:pPr>
      <w:r>
        <w:rPr>
          <w:rFonts w:ascii="Barlow Semi Condensed" w:cs="Barlow Semi Condensed" w:eastAsia="Barlow Semi Condensed" w:hAnsi="Barlow Semi Condensed"/>
          <w:b/>
          <w:bCs/>
          <w:sz w:val="24"/>
          <w:szCs w:val="24"/>
        </w:rPr>
        <w:t xml:space="preserve">903 · Lo stesso giorno in quattro capitali.</w:t>
      </w:r>
      <w:r>
        <w:rPr>
          <w:rFonts w:ascii="Barlow Semi Condensed" w:cs="Barlow Semi Condensed" w:eastAsia="Barlow Semi Condensed" w:hAnsi="Barlow Semi Condensed"/>
          <w:sz w:val="24"/>
          <w:szCs w:val="24"/>
        </w:rPr>
        <w:t xml:space="preserve"> Per le giornate chiave l'agenda prevede la collazione bilaterale al blocco 153 e i cantieri la portano a quattro capitali ai blocchi 26, 62, 84 e 119: che cosa riferirono Washington, Londra, Parigi e Bonn del 16 marzo, del 18 aprile e del 9 maggio. Il prodotto è la tavola delle divergenze, e ogni divergenza è un errore di una sede o un'informazione che una sola sede aveva.</w:t>
      </w:r>
    </w:p>
    <w:p>
      <w:pPr>
        <w:spacing w:after="120" w:line="276"/>
        <w:jc w:val="both"/>
      </w:pPr>
      <w:r>
        <w:rPr>
          <w:rFonts w:ascii="Barlow Semi Condensed" w:cs="Barlow Semi Condensed" w:eastAsia="Barlow Semi Condensed" w:hAnsi="Barlow Semi Condensed"/>
          <w:b/>
          <w:bCs/>
          <w:sz w:val="24"/>
          <w:szCs w:val="24"/>
        </w:rPr>
        <w:t xml:space="preserve">904 · Perché la collazione è metodo filogenetico.</w:t>
      </w:r>
      <w:r>
        <w:rPr>
          <w:rFonts w:ascii="Barlow Semi Condensed" w:cs="Barlow Semi Condensed" w:eastAsia="Barlow Semi Condensed" w:hAnsi="Barlow Semi Condensed"/>
          <w:sz w:val="24"/>
          <w:szCs w:val="24"/>
        </w:rPr>
        <w:t xml:space="preserve"> Confrontare quattro resoconti indipendenti dello stesso evento è ciò che il sistematico fa con quattro sequenze dello stesso gene: informano più le differenze delle somiglianze, perché segnalano dove una linea ha ricevuto qualcosa che le altre non avevano. Una divergenza fra capitali è, in questo senso, un carattere derivato — e i caratteri derivati sono i soli che permettano di raggruppare.</w:t>
      </w:r>
    </w:p>
    <w:p>
      <w:pPr>
        <w:spacing w:after="120" w:line="276"/>
        <w:jc w:val="both"/>
      </w:pPr>
      <w:r>
        <w:rPr>
          <w:rFonts w:ascii="Barlow Semi Condensed" w:cs="Barlow Semi Condensed" w:eastAsia="Barlow Semi Condensed" w:hAnsi="Barlow Semi Condensed"/>
          <w:b/>
          <w:bCs/>
          <w:sz w:val="24"/>
          <w:szCs w:val="24"/>
        </w:rPr>
        <w:t xml:space="preserve">905 · I cablogrammi già nel corpus.</w:t>
      </w:r>
      <w:r>
        <w:rPr>
          <w:rFonts w:ascii="Barlow Semi Condensed" w:cs="Barlow Semi Condensed" w:eastAsia="Barlow Semi Condensed" w:hAnsi="Barlow Semi Condensed"/>
          <w:sz w:val="24"/>
          <w:szCs w:val="24"/>
        </w:rPr>
        <w:t xml:space="preserve"> Il corpus possiede un lotto desecretato del Dipartimento di Stato comprendente cablogrammi dell'aprile e maggio 1978: da Buenos Aires la smentita dei Montoneros di ogni legame col sequestro e con le Brigate rosse, da Trieste e Palermo le reazioni regionali alla morte. La cartella della Farnesina li qualifica per quello che sono, cornice documentata e non accertamento istruttorio, e la qualifica va portata con loro.</w:t>
      </w:r>
    </w:p>
    <w:p>
      <w:pPr>
        <w:spacing w:after="120" w:line="276"/>
        <w:jc w:val="both"/>
      </w:pPr>
      <w:r>
        <w:rPr>
          <w:rFonts w:ascii="Barlow Semi Condensed" w:cs="Barlow Semi Condensed" w:eastAsia="Barlow Semi Condensed" w:hAnsi="Barlow Semi Condensed"/>
          <w:b/>
          <w:bCs/>
          <w:sz w:val="24"/>
          <w:szCs w:val="24"/>
        </w:rPr>
        <w:t xml:space="preserve">906 · Il consulente nel comitato di crisi.</w:t>
      </w:r>
      <w:r>
        <w:rPr>
          <w:rFonts w:ascii="Barlow Semi Condensed" w:cs="Barlow Semi Condensed" w:eastAsia="Barlow Semi Condensed" w:hAnsi="Barlow Semi Condensed"/>
          <w:sz w:val="24"/>
          <w:szCs w:val="24"/>
        </w:rPr>
        <w:t xml:space="preserve"> La presenza del consulente statunitense Steve Pieczenik nel comitato di crisi al fianco del ministro Cossiga è documentata e appartiene ai fatti pubblici accertati. Le sue dichiarazioni successive sono dichiarazioni: fatto pubblico quanto all'essere state rese, materia da riscontrare quanto al contenuto. Il corpus le registra con quella doppia etichetta e non le adopera come fonte di merito su ciò che accadde.</w:t>
      </w:r>
    </w:p>
    <w:p>
      <w:pPr>
        <w:spacing w:after="120" w:line="276"/>
        <w:jc w:val="both"/>
      </w:pPr>
      <w:r>
        <w:rPr>
          <w:rFonts w:ascii="Barlow Semi Condensed" w:cs="Barlow Semi Condensed" w:eastAsia="Barlow Semi Condensed" w:hAnsi="Barlow Semi Condensed"/>
          <w:b/>
          <w:bCs/>
          <w:sz w:val="24"/>
          <w:szCs w:val="24"/>
        </w:rPr>
        <w:t xml:space="preserve">907 · La regola dell'originatore (serie XII).</w:t>
      </w:r>
      <w:r>
        <w:rPr>
          <w:rFonts w:ascii="Barlow Semi Condensed" w:cs="Barlow Semi Condensed" w:eastAsia="Barlow Semi Condensed" w:hAnsi="Barlow Semi Condensed"/>
          <w:sz w:val="24"/>
          <w:szCs w:val="24"/>
        </w:rPr>
        <w:t xml:space="preserve"> Un documento straniero custodito in Italia si apre soltanto col consenso di chi lo produsse. L'agenda trasforma il vincolo in tavola operativa paese per paese al blocco 126, perché ogni richiesta raggiunga il soggetto che può davvero rispondere, e il manuale ne fa un atto formale al blocco 119. La cifra circolante di circa quattrocentosettantaquattro atti di origine alleata si verifica sull'atto prima di ogni uso.</w:t>
      </w:r>
    </w:p>
    <w:p>
      <w:pPr>
        <w:spacing w:after="120" w:line="276"/>
        <w:jc w:val="both"/>
      </w:pPr>
      <w:r>
        <w:rPr>
          <w:rFonts w:ascii="Barlow Semi Condensed" w:cs="Barlow Semi Condensed" w:eastAsia="Barlow Semi Condensed" w:hAnsi="Barlow Semi Condensed"/>
          <w:b/>
          <w:bCs/>
          <w:sz w:val="24"/>
          <w:szCs w:val="24"/>
        </w:rPr>
        <w:t xml:space="preserve">908 · Il vuoto verbalizzato.</w:t>
      </w:r>
      <w:r>
        <w:rPr>
          <w:rFonts w:ascii="Barlow Semi Condensed" w:cs="Barlow Semi Condensed" w:eastAsia="Barlow Semi Condensed" w:hAnsi="Barlow Semi Condensed"/>
          <w:sz w:val="24"/>
          <w:szCs w:val="24"/>
        </w:rPr>
        <w:t xml:space="preserve"> Ogni ricerca a vuoto si verbalizza con perimetro esatto: che cosa è stato cercato, dove, quando e da chi. È il blocco 285 dell'agenda e il blocco 37 del cantiere britannico. Il verbale di vuoto impedisce di cercare due volte, fonda lo Stato Zero e, accumulato, disegna la mappa di ciò che il caso non potrà più sapere. È il lavoro meno visibile e il più durevole.</w:t>
      </w:r>
    </w:p>
    <w:p>
      <w:pPr>
        <w:spacing w:after="120" w:line="276"/>
        <w:jc w:val="both"/>
      </w:pPr>
      <w:r>
        <w:rPr>
          <w:rFonts w:ascii="Barlow Semi Condensed" w:cs="Barlow Semi Condensed" w:eastAsia="Barlow Semi Condensed" w:hAnsi="Barlow Semi Condensed"/>
          <w:b/>
          <w:bCs/>
          <w:sz w:val="24"/>
          <w:szCs w:val="24"/>
        </w:rPr>
        <w:t xml:space="preserve">909 · Chi ha già scavato.</w:t>
      </w:r>
      <w:r>
        <w:rPr>
          <w:rFonts w:ascii="Barlow Semi Condensed" w:cs="Barlow Semi Condensed" w:eastAsia="Barlow Semi Condensed" w:hAnsi="Barlow Semi Condensed"/>
          <w:sz w:val="24"/>
          <w:szCs w:val="24"/>
        </w:rPr>
        <w:t xml:space="preserve"> Il blocco 152 dell'agenda impone il censimento della letteratura fondata su archivi esteri: quali studiosi hanno letto quali serie, con quali segnature citate. Il corpus non rifà gli scavi altrui e non ne eredita le conclusioni; verifica a campione la fedeltà d'uso delle fonti e riparte dal primo scaffale non ancora letto. La secondarietà si tara sul campione, non si presume dalla reputazione.</w:t>
      </w:r>
    </w:p>
    <w:p>
      <w:pPr>
        <w:spacing w:after="120" w:line="276"/>
        <w:jc w:val="both"/>
      </w:pPr>
      <w:r>
        <w:rPr>
          <w:rFonts w:ascii="Barlow Semi Condensed" w:cs="Barlow Semi Condensed" w:eastAsia="Barlow Semi Condensed" w:hAnsi="Barlow Semi Condensed"/>
          <w:b/>
          <w:bCs/>
          <w:sz w:val="24"/>
          <w:szCs w:val="24"/>
        </w:rPr>
        <w:t xml:space="preserve">910 · Il tempo lavora a favore.</w:t>
      </w:r>
      <w:r>
        <w:rPr>
          <w:rFonts w:ascii="Barlow Semi Condensed" w:cs="Barlow Semi Condensed" w:eastAsia="Barlow Semi Condensed" w:hAnsi="Barlow Semi Condensed"/>
          <w:sz w:val="24"/>
          <w:szCs w:val="24"/>
        </w:rPr>
        <w:t xml:space="preserve"> Gli archivi esteri obbediscono a calendari propri, e i calendari maturano: la regola britannica dei vent'anni, le deroghe francesi, i versamenti tedeschi, le aperture progressive americane. L'agenda ne fa una tavola unica di scadenze al blocco 154 e si ripresenta a ogni sportello nel giorno in cui apre. La pazienza organizzata è una tecnica di ricerca, non una virtù morale.</w:t>
      </w:r>
    </w:p>
    <w:p>
      <w:pPr>
        <w:spacing w:after="120" w:line="276"/>
        <w:jc w:val="both"/>
      </w:pPr>
      <w:r>
        <w:rPr>
          <w:rFonts w:ascii="Barlow Semi Condensed" w:cs="Barlow Semi Condensed" w:eastAsia="Barlow Semi Condensed" w:hAnsi="Barlow Semi Condensed"/>
          <w:b/>
          <w:bCs/>
          <w:sz w:val="24"/>
          <w:szCs w:val="24"/>
        </w:rPr>
        <w:t xml:space="preserve">911 · La lacuna della serie ACH.</w:t>
      </w:r>
      <w:r>
        <w:rPr>
          <w:rFonts w:ascii="Barlow Semi Condensed" w:cs="Barlow Semi Condensed" w:eastAsia="Barlow Semi Condensed" w:hAnsi="Barlow Semi Condensed"/>
          <w:sz w:val="24"/>
          <w:szCs w:val="24"/>
        </w:rPr>
        <w:t xml:space="preserve"> La serie sesta del manuale riscrive in forma di matrice tutti i quesiti aperti del caso, dai blocchi 171 al 210: via Fani, via Gradoli, via Montalcini, il falso della Duchessa, il memoriale, i comitati, gli esperti, il condominio, il riscatto, il registro. Non contiene alcun quesito internazionale, e la lacuna non è casuale: è il quesito più esposto alla domanda mal posta.</w:t>
      </w:r>
    </w:p>
    <w:p>
      <w:pPr>
        <w:spacing w:after="120" w:line="276"/>
        <w:jc w:val="both"/>
      </w:pPr>
      <w:r>
        <w:rPr>
          <w:rFonts w:ascii="Barlow Semi Condensed" w:cs="Barlow Semi Condensed" w:eastAsia="Barlow Semi Condensed" w:hAnsi="Barlow Semi Condensed"/>
          <w:b/>
          <w:bCs/>
          <w:sz w:val="24"/>
          <w:szCs w:val="24"/>
        </w:rPr>
        <w:t xml:space="preserve">912 · La domanda che chiede un verdetto.</w:t>
      </w:r>
      <w:r>
        <w:rPr>
          <w:rFonts w:ascii="Barlow Semi Condensed" w:cs="Barlow Semi Condensed" w:eastAsia="Barlow Semi Condensed" w:hAnsi="Barlow Semi Condensed"/>
          <w:sz w:val="24"/>
          <w:szCs w:val="24"/>
        </w:rPr>
        <w:t xml:space="preserve"> La formulazione corrente del versante — ci fu una regia straniera? — chiede un verdetto invece di un'evidenza, e il manuale avverte che una matrice aperta da mezzo secolo lo è precisamente perché le si è chiesta la cosa sbagliata. Riformulare non è ammorbidire: è trasformare una domanda che nessun documento può soddisfare in domande che alcuni documenti possono decidere.</w:t>
      </w:r>
    </w:p>
    <w:p>
      <w:pPr>
        <w:spacing w:after="120" w:line="276"/>
        <w:jc w:val="both"/>
      </w:pPr>
      <w:r>
        <w:rPr>
          <w:rFonts w:ascii="Barlow Semi Condensed" w:cs="Barlow Semi Condensed" w:eastAsia="Barlow Semi Condensed" w:hAnsi="Barlow Semi Condensed"/>
          <w:b/>
          <w:bCs/>
          <w:sz w:val="24"/>
          <w:szCs w:val="24"/>
        </w:rPr>
        <w:t xml:space="preserve">913 · Q-Intl/1: le ipotesi.</w:t>
      </w:r>
      <w:r>
        <w:rPr>
          <w:rFonts w:ascii="Barlow Semi Condensed" w:cs="Barlow Semi Condensed" w:eastAsia="Barlow Semi Condensed" w:hAnsi="Barlow Semi Condensed"/>
          <w:sz w:val="24"/>
          <w:szCs w:val="24"/>
        </w:rPr>
        <w:t xml:space="preserve"> Sul flusso informativo dei cinquantacinque giorni: prima ipotesi, gli alleati riferirono ciò che apprendevano dalle autorità italiane e dalla stampa, senza fonti proprie sul sequestro; seconda, disposero di fonti proprie in Italia e ne riferirono; terza, ebbero informazioni che non riferirono alle autorità italiane. Le ipotesi riguardano flussi e non intenzioni, non contengono nomi, e nessuna implica una responsabilità penale.</w:t>
      </w:r>
    </w:p>
    <w:p>
      <w:pPr>
        <w:spacing w:after="120" w:line="276"/>
        <w:jc w:val="both"/>
      </w:pPr>
      <w:r>
        <w:rPr>
          <w:rFonts w:ascii="Barlow Semi Condensed" w:cs="Barlow Semi Condensed" w:eastAsia="Barlow Semi Condensed" w:hAnsi="Barlow Semi Condensed"/>
          <w:b/>
          <w:bCs/>
          <w:sz w:val="24"/>
          <w:szCs w:val="24"/>
        </w:rPr>
        <w:t xml:space="preserve">914 · Q-Intl/1: l'evidenza discriminante.</w:t>
      </w:r>
      <w:r>
        <w:rPr>
          <w:rFonts w:ascii="Barlow Semi Condensed" w:cs="Barlow Semi Condensed" w:eastAsia="Barlow Semi Condensed" w:hAnsi="Barlow Semi Condensed"/>
          <w:sz w:val="24"/>
          <w:szCs w:val="24"/>
        </w:rPr>
        <w:t xml:space="preserve"> Discrimina un solo genere di documento: un atto estero datato entro i cinquantacinque giorni che contenga un'informazione operativa sul sequestro non desumibile dalle fonti pubbliche italiane dell'epoca. La collazione con la cronologia pubblica minuto per minuto, che il manuale prescrive al blocco 120, è lo strumento che rende quel confronto verificabile invece che impressionistico. Senza quella cronologia, ogni giudizio è memoria.</w:t>
      </w:r>
    </w:p>
    <w:p>
      <w:pPr>
        <w:spacing w:after="120" w:line="276"/>
        <w:jc w:val="both"/>
      </w:pPr>
      <w:r>
        <w:rPr>
          <w:rFonts w:ascii="Barlow Semi Condensed" w:cs="Barlow Semi Condensed" w:eastAsia="Barlow Semi Condensed" w:hAnsi="Barlow Semi Condensed"/>
          <w:b/>
          <w:bCs/>
          <w:sz w:val="24"/>
          <w:szCs w:val="24"/>
        </w:rPr>
        <w:t xml:space="preserve">915 · Q-Intl/1: il criterio di chiusura.</w:t>
      </w:r>
      <w:r>
        <w:rPr>
          <w:rFonts w:ascii="Barlow Semi Condensed" w:cs="Barlow Semi Condensed" w:eastAsia="Barlow Semi Condensed" w:hAnsi="Barlow Semi Condensed"/>
          <w:sz w:val="24"/>
          <w:szCs w:val="24"/>
        </w:rPr>
        <w:t xml:space="preserve"> La matrice si chiude in entrambi i sensi, ed è la sua qualità migliore. Se lo spoglio integrale dei fondi accessibili non produce alcun atto di quel genere, la prima ipotesi resta la meno incoerente e il quesito retrocede a storia della percezione alleata. Se un atto simile emerge, si apre un accertamento sulla sua fonte, che appartiene all'autorità giudiziaria e non a un'opera storica.</w:t>
      </w:r>
    </w:p>
    <w:p>
      <w:pPr>
        <w:spacing w:after="120" w:line="276"/>
        <w:jc w:val="both"/>
      </w:pPr>
      <w:r>
        <w:rPr>
          <w:rFonts w:ascii="Barlow Semi Condensed" w:cs="Barlow Semi Condensed" w:eastAsia="Barlow Semi Condensed" w:hAnsi="Barlow Semi Condensed"/>
          <w:b/>
          <w:bCs/>
          <w:sz w:val="24"/>
          <w:szCs w:val="24"/>
        </w:rPr>
        <w:t xml:space="preserve">916 · Q-Intl/1: l'errore da evitare.</w:t>
      </w:r>
      <w:r>
        <w:rPr>
          <w:rFonts w:ascii="Barlow Semi Condensed" w:cs="Barlow Semi Condensed" w:eastAsia="Barlow Semi Condensed" w:hAnsi="Barlow Semi Condensed"/>
          <w:sz w:val="24"/>
          <w:szCs w:val="24"/>
        </w:rPr>
        <w:t xml:space="preserve"> L'errore è trattare il ritenuto come già eloquente. Che centinaia di atti alleati siano trattenuti dice che sono trattenuti, non che contengano il caso: il segreto ha molte cause, e la più frequente è la protezione di metodi e di fonti del tutto estranei all'oggetto. Il numero del chiuso misura una procedura d'archivio, non un contenuto, e usarlo come indizio è un errore di categoria.</w:t>
      </w:r>
    </w:p>
    <w:p>
      <w:pPr>
        <w:spacing w:after="120" w:line="276"/>
        <w:jc w:val="both"/>
      </w:pPr>
      <w:r>
        <w:rPr>
          <w:rFonts w:ascii="Barlow Semi Condensed" w:cs="Barlow Semi Condensed" w:eastAsia="Barlow Semi Condensed" w:hAnsi="Barlow Semi Condensed"/>
          <w:b/>
          <w:bCs/>
          <w:sz w:val="24"/>
          <w:szCs w:val="24"/>
        </w:rPr>
        <w:t xml:space="preserve">917 · Q-Intl/2: l'avvertimento come quesito di fatto.</w:t>
      </w:r>
      <w:r>
        <w:rPr>
          <w:rFonts w:ascii="Barlow Semi Condensed" w:cs="Barlow Semi Condensed" w:eastAsia="Barlow Semi Condensed" w:hAnsi="Barlow Semi Condensed"/>
          <w:sz w:val="24"/>
          <w:szCs w:val="24"/>
        </w:rPr>
        <w:t xml:space="preserve"> Riformulato in forma lavorabile: fra il 1974 e il 1977 vi fu un colloquio in cui a Moro furono rivolte parole di ammonimento sulla sua linea politica? Prima ipotesi, l'episodio avvenne come riferito de relato; seconda, avvenne un colloquio politicamente durissimo poi ricordato in forma drammatizzata; terza, non avvenne. Il quesito è storico e biografico, e non tocca in alcun punto l'attribuzione del delitto.</w:t>
      </w:r>
    </w:p>
    <w:p>
      <w:pPr>
        <w:spacing w:after="120" w:line="276"/>
        <w:jc w:val="both"/>
      </w:pPr>
      <w:r>
        <w:rPr>
          <w:rFonts w:ascii="Barlow Semi Condensed" w:cs="Barlow Semi Condensed" w:eastAsia="Barlow Semi Condensed" w:hAnsi="Barlow Semi Condensed"/>
          <w:b/>
          <w:bCs/>
          <w:sz w:val="24"/>
          <w:szCs w:val="24"/>
        </w:rPr>
        <w:t xml:space="preserve">918 · Q-Intl/2: evidenza e chiusura.</w:t>
      </w:r>
      <w:r>
        <w:rPr>
          <w:rFonts w:ascii="Barlow Semi Condensed" w:cs="Barlow Semi Condensed" w:eastAsia="Barlow Semi Condensed" w:hAnsi="Barlow Semi Condensed"/>
          <w:sz w:val="24"/>
          <w:szCs w:val="24"/>
        </w:rPr>
        <w:t xml:space="preserve"> Discriminano i testi primari già nominati e ogni carta della trasferta del settembre 1974 oltre i due memorandum noti, insieme ai documenti che datino un incontro all'ambasciata d'Italia a Washington. La seconda ipotesi è oggi compatibile con tutte le evidenze disponibili, il che è esattamente la ragione per cui la matrice non si chiude. Si chiuderà sui verbali, o sulla certificazione della loro assenza.</w:t>
      </w:r>
    </w:p>
    <w:p>
      <w:pPr>
        <w:spacing w:after="120" w:line="276"/>
        <w:jc w:val="both"/>
      </w:pPr>
      <w:r>
        <w:rPr>
          <w:rFonts w:ascii="Barlow Semi Condensed" w:cs="Barlow Semi Condensed" w:eastAsia="Barlow Semi Condensed" w:hAnsi="Barlow Semi Condensed"/>
          <w:b/>
          <w:bCs/>
          <w:sz w:val="24"/>
          <w:szCs w:val="24"/>
        </w:rPr>
        <w:t xml:space="preserve">919 · Nessuna probabilità numerica.</w:t>
      </w:r>
      <w:r>
        <w:rPr>
          <w:rFonts w:ascii="Barlow Semi Condensed" w:cs="Barlow Semi Condensed" w:eastAsia="Barlow Semi Condensed" w:hAnsi="Barlow Semi Condensed"/>
          <w:sz w:val="24"/>
          <w:szCs w:val="24"/>
        </w:rPr>
        <w:t xml:space="preserve"> Nel regime pubblico l'analisi delle ipotesi concorrenti si applica a quesiti impersonali e senza numeri, perché una percentuale simulerebbe una precisione che le fonti non possiedono. La matrice ordina atti, non convinzioni, e il suo prodotto non è una cifra ma una lista di documenti da cercare. Chi vede una percentuale accanto a un'ipotesi storica sta guardando una decorazione, non un calcolo.</w:t>
      </w:r>
    </w:p>
    <w:p>
      <w:pPr>
        <w:spacing w:after="120" w:line="276"/>
        <w:jc w:val="both"/>
      </w:pPr>
      <w:r>
        <w:rPr>
          <w:rFonts w:ascii="Barlow Semi Condensed" w:cs="Barlow Semi Condensed" w:eastAsia="Barlow Semi Condensed" w:hAnsi="Barlow Semi Condensed"/>
          <w:b/>
          <w:bCs/>
          <w:sz w:val="24"/>
          <w:szCs w:val="24"/>
        </w:rPr>
        <w:t xml:space="preserve">920 · L'avvocato del diavolo di matrice.</w:t>
      </w:r>
      <w:r>
        <w:rPr>
          <w:rFonts w:ascii="Barlow Semi Condensed" w:cs="Barlow Semi Condensed" w:eastAsia="Barlow Semi Condensed" w:hAnsi="Barlow Semi Condensed"/>
          <w:sz w:val="24"/>
          <w:szCs w:val="24"/>
        </w:rPr>
        <w:t xml:space="preserve"> Il blocco 357 del manuale prescrive che in ogni matrice un membro designato difenda d'ufficio l'ipotesi meno gradita al gruppo, e che la difesa sia verbalizzata prima della chiusura. Sul versante internazionale l'ipotesi meno gradita è quasi sempre la più banale: che non vi fosse nulla di occulto da sapere. Va difesa per iscritto, con la stessa cura riservata alle altre.</w:t>
      </w:r>
    </w:p>
    <w:p>
      <w:pPr>
        <w:spacing w:after="120" w:line="276"/>
        <w:jc w:val="both"/>
      </w:pPr>
      <w:r>
        <w:rPr>
          <w:rFonts w:ascii="Barlow Semi Condensed" w:cs="Barlow Semi Condensed" w:eastAsia="Barlow Semi Condensed" w:hAnsi="Barlow Semi Condensed"/>
          <w:b/>
          <w:bCs/>
          <w:sz w:val="24"/>
          <w:szCs w:val="24"/>
        </w:rPr>
        <w:t xml:space="preserve">921 · Il quesito resta impersonale.</w:t>
      </w:r>
      <w:r>
        <w:rPr>
          <w:rFonts w:ascii="Barlow Semi Condensed" w:cs="Barlow Semi Condensed" w:eastAsia="Barlow Semi Condensed" w:hAnsi="Barlow Semi Condensed"/>
          <w:sz w:val="24"/>
          <w:szCs w:val="24"/>
        </w:rPr>
        <w:t xml:space="preserve"> Una matrice che contenga un nome ha già smesso di essere una matrice: diventa un'imputazione con tre alternative di cortesia. Il regime pubblico ammette soltanto quesiti su flussi, atti, sedi e procedure. È il vincolo che tiene insieme la serie sesta del manuale e la regola per cui il registro del giudicato resta l'unico luogo in cui le persone compaiono come responsabili.</w:t>
      </w:r>
    </w:p>
    <w:p>
      <w:pPr>
        <w:spacing w:after="120" w:line="276"/>
        <w:jc w:val="both"/>
      </w:pPr>
      <w:r>
        <w:rPr>
          <w:rFonts w:ascii="Barlow Semi Condensed" w:cs="Barlow Semi Condensed" w:eastAsia="Barlow Semi Condensed" w:hAnsi="Barlow Semi Condensed"/>
          <w:b/>
          <w:bCs/>
          <w:sz w:val="24"/>
          <w:szCs w:val="24"/>
        </w:rPr>
        <w:t xml:space="preserve">922 · Il censimento del ritenuto.</w:t>
      </w:r>
      <w:r>
        <w:rPr>
          <w:rFonts w:ascii="Barlow Semi Condensed" w:cs="Barlow Semi Condensed" w:eastAsia="Barlow Semi Condensed" w:hAnsi="Barlow Semi Condensed"/>
          <w:sz w:val="24"/>
          <w:szCs w:val="24"/>
        </w:rPr>
        <w:t xml:space="preserve"> Prima di chiedere ciò che manca occorre sapere che cosa è dichiaratamente trattenuto: le withdrawal cards del 1978 nei Central Foreign Policy Files, schedate una per una con serie, data, originatore e stato di richiedibilità. È il blocco 127 dell'agenda e il blocco 116 del manuale. La tavola del chiuso è metà della conoscenza, e si costruisce prima di redigere qualunque istanza.</w:t>
      </w:r>
    </w:p>
    <w:p>
      <w:pPr>
        <w:spacing w:after="120" w:line="276"/>
        <w:jc w:val="both"/>
      </w:pPr>
      <w:r>
        <w:rPr>
          <w:rFonts w:ascii="Barlow Semi Condensed" w:cs="Barlow Semi Condensed" w:eastAsia="Barlow Semi Condensed" w:hAnsi="Barlow Semi Condensed"/>
          <w:b/>
          <w:bCs/>
          <w:sz w:val="24"/>
          <w:szCs w:val="24"/>
        </w:rPr>
        <w:t xml:space="preserve">923 · Il full-text del 1978.</w:t>
      </w:r>
      <w:r>
        <w:rPr>
          <w:rFonts w:ascii="Barlow Semi Condensed" w:cs="Barlow Semi Condensed" w:eastAsia="Barlow Semi Condensed" w:hAnsi="Barlow Semi Condensed"/>
          <w:sz w:val="24"/>
          <w:szCs w:val="24"/>
        </w:rPr>
        <w:t xml:space="preserve"> I telegrammi elettronici del Dipartimento di Stato per il 1978 sono interrogabili in full-text nel sistema di accesso alle banche dati archivistiche dei National Archives, la cui copertura dei Central Foreign Policy Files va dal primo luglio 1973 al 31 dicembre 1979. L'agenda ne fa il blocco 128 e il manuale il blocco 115, con griglia di ricerca dichiarata e verbale anche degli esiti nulli.</w:t>
      </w:r>
    </w:p>
    <w:p>
      <w:pPr>
        <w:spacing w:after="120" w:line="276"/>
        <w:jc w:val="both"/>
      </w:pPr>
      <w:r>
        <w:rPr>
          <w:rFonts w:ascii="Barlow Semi Condensed" w:cs="Barlow Semi Condensed" w:eastAsia="Barlow Semi Condensed" w:hAnsi="Barlow Semi Condensed"/>
          <w:b/>
          <w:bCs/>
          <w:sz w:val="24"/>
          <w:szCs w:val="24"/>
        </w:rPr>
        <w:t xml:space="preserve">924 · La collezione a microfiche (serie XII).</w:t>
      </w:r>
      <w:r>
        <w:rPr>
          <w:rFonts w:ascii="Barlow Semi Condensed" w:cs="Barlow Semi Condensed" w:eastAsia="Barlow Semi Condensed" w:hAnsi="Barlow Semi Condensed"/>
          <w:sz w:val="24"/>
          <w:szCs w:val="24"/>
        </w:rPr>
        <w:t xml:space="preserve"> Nella biblioteca FOIA del Dipartimento di Stato è censita una collezione dedicata ad Aldo Moro, rilascio storico su microfiche non interamente digitalizzato. Il blocco 129 dell'agenda fissa il bersaglio: acquisizione integrale e confronto col già noto, per rispondere a una sola domanda — che cosa contiene che l'interrogazione elettronica non mostra? La risposta, quale che sia, è un'acquisizione di pieno valore.</w:t>
      </w:r>
    </w:p>
    <w:p>
      <w:pPr>
        <w:spacing w:after="120" w:line="276"/>
        <w:jc w:val="both"/>
      </w:pPr>
      <w:r>
        <w:rPr>
          <w:rFonts w:ascii="Barlow Semi Condensed" w:cs="Barlow Semi Condensed" w:eastAsia="Barlow Semi Condensed" w:hAnsi="Barlow Semi Condensed"/>
          <w:b/>
          <w:bCs/>
          <w:sz w:val="24"/>
          <w:szCs w:val="24"/>
        </w:rPr>
        <w:t xml:space="preserve">925 · Il lotto già acquisito e il suo metodo.</w:t>
      </w:r>
      <w:r>
        <w:rPr>
          <w:rFonts w:ascii="Barlow Semi Condensed" w:cs="Barlow Semi Condensed" w:eastAsia="Barlow Semi Condensed" w:hAnsi="Barlow Semi Condensed"/>
          <w:sz w:val="24"/>
          <w:szCs w:val="24"/>
        </w:rPr>
        <w:t xml:space="preserve"> Il corpus ha già ottenuto un fascicolo FOIA con i propri numeri di controllo, e il blocco 130 dell'agenda ne trae la lezione operativa: si ricognisce che cosa fu rilasciato e con quali omissis, e si formulano le richieste successive sulla stessa serie, allargando il perimetro un lotto alla volta. Il manuale lo iscrive al blocco 117 come l'atto più economico dell'intera campagna.</w:t>
      </w:r>
    </w:p>
    <w:p>
      <w:pPr>
        <w:spacing w:after="120" w:line="276"/>
        <w:jc w:val="both"/>
      </w:pPr>
      <w:r>
        <w:rPr>
          <w:rFonts w:ascii="Barlow Semi Condensed" w:cs="Barlow Semi Condensed" w:eastAsia="Barlow Semi Condensed" w:hAnsi="Barlow Semi Condensed"/>
          <w:b/>
          <w:bCs/>
          <w:sz w:val="24"/>
          <w:szCs w:val="24"/>
        </w:rPr>
        <w:t xml:space="preserve">926 · La forma della richiesta mirata.</w:t>
      </w:r>
      <w:r>
        <w:rPr>
          <w:rFonts w:ascii="Barlow Semi Condensed" w:cs="Barlow Semi Condensed" w:eastAsia="Barlow Semi Condensed" w:hAnsi="Barlow Semi Condensed"/>
          <w:sz w:val="24"/>
          <w:szCs w:val="24"/>
        </w:rPr>
        <w:t xml:space="preserve"> Per le carte ritirate che toccano i quesiti costitutivi si redigono richieste puntuali — accesso agli atti e revisione obbligatoria della classifica — una per carta o per piccolo lotto, con la motivazione storica argomentata. Sono i blocchi 131 dell'agenda e 118 del manuale. La strategia è l'erosione documentata: ogni diniego motivato è un dato, ogni rilascio una carta nuova, e nessuno dei due si perde.</w:t>
      </w:r>
    </w:p>
    <w:p>
      <w:pPr>
        <w:spacing w:after="120" w:line="276"/>
        <w:jc w:val="both"/>
      </w:pPr>
      <w:r>
        <w:rPr>
          <w:rFonts w:ascii="Barlow Semi Condensed" w:cs="Barlow Semi Condensed" w:eastAsia="Barlow Semi Condensed" w:hAnsi="Barlow Semi Condensed"/>
          <w:b/>
          <w:bCs/>
          <w:sz w:val="24"/>
          <w:szCs w:val="24"/>
        </w:rPr>
        <w:t xml:space="preserve">927 · La sala di lettura di Langley.</w:t>
      </w:r>
      <w:r>
        <w:rPr>
          <w:rFonts w:ascii="Barlow Semi Condensed" w:cs="Barlow Semi Condensed" w:eastAsia="Barlow Semi Condensed" w:hAnsi="Barlow Semi Condensed"/>
          <w:sz w:val="24"/>
          <w:szCs w:val="24"/>
        </w:rPr>
        <w:t xml:space="preserve"> La sala di lettura elettronica dell'agenzia contiene documenti declassificati su Moro, sulle Brigate rosse e sull'Italia del 1978. Il blocco 132 dell'agenda impone una disciplina prima dello spoglio: distinguere i documenti analitici dai ritagli di stampa raccolti internamente, che sono rassegna e non intelligence, e marcare ciascun reperto per quello che è. Metà degli equivoci sul versante nasce da questa confusione.</w:t>
      </w:r>
    </w:p>
    <w:p>
      <w:pPr>
        <w:spacing w:after="120" w:line="276"/>
        <w:jc w:val="both"/>
      </w:pPr>
      <w:r>
        <w:rPr>
          <w:rFonts w:ascii="Barlow Semi Condensed" w:cs="Barlow Semi Condensed" w:eastAsia="Barlow Semi Condensed" w:hAnsi="Barlow Semi Condensed"/>
          <w:b/>
          <w:bCs/>
          <w:sz w:val="24"/>
          <w:szCs w:val="24"/>
        </w:rPr>
        <w:t xml:space="preserve">928 · I due fondi presidenziali.</w:t>
      </w:r>
      <w:r>
        <w:rPr>
          <w:rFonts w:ascii="Barlow Semi Condensed" w:cs="Barlow Semi Condensed" w:eastAsia="Barlow Semi Condensed" w:hAnsi="Barlow Semi Condensed"/>
          <w:sz w:val="24"/>
          <w:szCs w:val="24"/>
        </w:rPr>
        <w:t xml:space="preserve"> Alla Ford Library stanno i memorandum del settembre 1974 già noti; alla Carter Library la collezione degli affari di sicurezza nazionale, col fascicolo per paese sull'Italia fra il 1977 e il 1981, risulta processata e aperta. Il blocco 133 dell'agenda punta allo spoglio del fascicolo italiano dei cinquantacinque giorni, con acquisizione digitale delle carte rilevanti. Due presidenze, due giacimenti, un solo protocollo.</w:t>
      </w:r>
    </w:p>
    <w:p>
      <w:pPr>
        <w:spacing w:after="120" w:line="276"/>
        <w:jc w:val="both"/>
      </w:pPr>
      <w:r>
        <w:rPr>
          <w:rFonts w:ascii="Barlow Semi Condensed" w:cs="Barlow Semi Condensed" w:eastAsia="Barlow Semi Condensed" w:hAnsi="Barlow Semi Condensed"/>
          <w:b/>
          <w:bCs/>
          <w:sz w:val="24"/>
          <w:szCs w:val="24"/>
        </w:rPr>
        <w:t xml:space="preserve">929 · FRUS come mappa dell'archivio.</w:t>
      </w:r>
      <w:r>
        <w:rPr>
          <w:rFonts w:ascii="Barlow Semi Condensed" w:cs="Barlow Semi Condensed" w:eastAsia="Barlow Semi Condensed" w:hAnsi="Barlow Semi Condensed"/>
          <w:sz w:val="24"/>
          <w:szCs w:val="24"/>
        </w:rPr>
        <w:t xml:space="preserve"> I volumi della serie ufficiale per gli anni 1977-1980 vanno spogliati per ciò che sono, secondo il blocco 134 dell'agenda: una selezione curata che dichiara le proprie fonti. Ogni nota a piè di pagina è una segnatura da seguire nel fondo che l'ha alimentata. Accanto, il blocco 135 apre gli atti delle commissioni del Congresso sul terrorismo europeo, come cornice pubblica coeva.</w:t>
      </w:r>
    </w:p>
    <w:p>
      <w:pPr>
        <w:spacing w:after="120" w:line="276"/>
        <w:jc w:val="both"/>
      </w:pPr>
      <w:r>
        <w:rPr>
          <w:rFonts w:ascii="Barlow Semi Condensed" w:cs="Barlow Semi Condensed" w:eastAsia="Barlow Semi Condensed" w:hAnsi="Barlow Semi Condensed"/>
          <w:b/>
          <w:bCs/>
          <w:sz w:val="24"/>
          <w:szCs w:val="24"/>
        </w:rPr>
        <w:t xml:space="preserve">930 · Il registro delle richieste (serie XII).</w:t>
      </w:r>
      <w:r>
        <w:rPr>
          <w:rFonts w:ascii="Barlow Semi Condensed" w:cs="Barlow Semi Condensed" w:eastAsia="Barlow Semi Condensed" w:hAnsi="Barlow Semi Condensed"/>
          <w:sz w:val="24"/>
          <w:szCs w:val="24"/>
        </w:rPr>
        <w:t xml:space="preserve"> Ogni istanza internazionale entra nel registro con la propria colonna dei tempi, perché gli archivi esteri rispondono in mesi o anni e l'agenda pianifica su quei tempi invece di subirli: sono i blocchi 150 e 259. Il manuale aggiunge la regola d'ingaggio: si chiede l'inventario prima del documento, si cita la norma d'accesso, si registra l'esito e si ringrazia per iscritto.</w:t>
      </w:r>
    </w:p>
    <w:p>
      <w:pPr>
        <w:spacing w:after="120" w:line="276"/>
        <w:jc w:val="both"/>
      </w:pPr>
      <w:r>
        <w:rPr>
          <w:rFonts w:ascii="Barlow Semi Condensed" w:cs="Barlow Semi Condensed" w:eastAsia="Barlow Semi Condensed" w:hAnsi="Barlow Semi Condensed"/>
          <w:b/>
          <w:bCs/>
          <w:sz w:val="24"/>
          <w:szCs w:val="24"/>
        </w:rPr>
        <w:t xml:space="preserve">931 · Il pavimento dei cinque processi.</w:t>
      </w:r>
      <w:r>
        <w:rPr>
          <w:rFonts w:ascii="Barlow Semi Condensed" w:cs="Barlow Semi Condensed" w:eastAsia="Barlow Semi Condensed" w:hAnsi="Barlow Semi Condensed"/>
          <w:sz w:val="24"/>
          <w:szCs w:val="24"/>
        </w:rPr>
        <w:t xml:space="preserve"> Cinque processi celebrati in vent'anni hanno depositato per sedimentazione l'ossatura fattuale del caso, e la Fase settima la chiama pavimento: sotto quella soglia non si scende. È il punto d'appoggio del corpus, non un'opinione fra le altre, ed è la ragione per cui il versante internazionale può restare aperto senza che il caso resti indeterminato. Un fascicolo aperto poggia comunque su un pavimento.</w:t>
      </w:r>
    </w:p>
    <w:p>
      <w:pPr>
        <w:spacing w:after="120" w:line="276"/>
        <w:jc w:val="both"/>
      </w:pPr>
      <w:r>
        <w:rPr>
          <w:rFonts w:ascii="Barlow Semi Condensed" w:cs="Barlow Semi Condensed" w:eastAsia="Barlow Semi Condensed" w:hAnsi="Barlow Semi Condensed"/>
          <w:b/>
          <w:bCs/>
          <w:sz w:val="24"/>
          <w:szCs w:val="24"/>
        </w:rPr>
        <w:t xml:space="preserve">932 · Una Commissione non è un tribunale.</w:t>
      </w:r>
      <w:r>
        <w:rPr>
          <w:rFonts w:ascii="Barlow Semi Condensed" w:cs="Barlow Semi Condensed" w:eastAsia="Barlow Semi Condensed" w:hAnsi="Barlow Semi Condensed"/>
          <w:sz w:val="24"/>
          <w:szCs w:val="24"/>
        </w:rPr>
        <w:t xml:space="preserve"> Un'inchiesta parlamentare ha gli strumenti dell'autorità giudiziaria e non la sua funzione: accerta fatti sul piano storico-politico, non responsabilità penali. Nell'apparato dei gradi occupa perciò il livello B, più della congettura e meno del giudicato, e i suoi accertamenti si citano dicendo che la Commissione ha documentato, mai che è provato in giudizio. La conferma parlamentare di una testimonianza non la promuove a fatto.</w:t>
      </w:r>
    </w:p>
    <w:p>
      <w:pPr>
        <w:spacing w:after="120" w:line="276"/>
        <w:jc w:val="both"/>
      </w:pPr>
      <w:r>
        <w:rPr>
          <w:rFonts w:ascii="Barlow Semi Condensed" w:cs="Barlow Semi Condensed" w:eastAsia="Barlow Semi Condensed" w:hAnsi="Barlow Semi Condensed"/>
          <w:b/>
          <w:bCs/>
          <w:sz w:val="24"/>
          <w:szCs w:val="24"/>
        </w:rPr>
        <w:t xml:space="preserve">933 · Nessuno oltre il giudicato.</w:t>
      </w:r>
      <w:r>
        <w:rPr>
          <w:rFonts w:ascii="Barlow Semi Condensed" w:cs="Barlow Semi Condensed" w:eastAsia="Barlow Semi Condensed" w:hAnsi="Barlow Semi Condensed"/>
          <w:sz w:val="24"/>
          <w:szCs w:val="24"/>
        </w:rPr>
        <w:t xml:space="preserve"> La regola che governa quest'opera non è personale e vale in entrambe le direzioni, perché protegge insieme l'accusato assente e la serietà di chi scrive: nessun blocco può indicare come responsabile di reato chi non sia stato condannato. Per il protagonista della triangolazione il punto è accertato — nessuna condanna, nessun rinvio a giudizio, nessun procedimento penale in alcun Paese — e su questo concordano anche le fonti a lui più ostili.</w:t>
      </w:r>
    </w:p>
    <w:p>
      <w:pPr>
        <w:spacing w:after="120" w:line="276"/>
        <w:jc w:val="both"/>
      </w:pPr>
      <w:r>
        <w:rPr>
          <w:rFonts w:ascii="Barlow Semi Condensed" w:cs="Barlow Semi Condensed" w:eastAsia="Barlow Semi Condensed" w:hAnsi="Barlow Semi Condensed"/>
          <w:b/>
          <w:bCs/>
          <w:sz w:val="24"/>
          <w:szCs w:val="24"/>
        </w:rPr>
        <w:t xml:space="preserve">934 · Contro l'ordinale del sospetto.</w:t>
      </w:r>
      <w:r>
        <w:rPr>
          <w:rFonts w:ascii="Barlow Semi Condensed" w:cs="Barlow Semi Condensed" w:eastAsia="Barlow Semi Condensed" w:hAnsi="Barlow Semi Condensed"/>
          <w:sz w:val="24"/>
          <w:szCs w:val="24"/>
        </w:rPr>
        <w:t xml:space="preserve"> Una graduatoria di probabili responsabili, anche la più scrupolosa, compie l'operazione che il diritto vieta: trasforma il sospetto in un numero d'ordine, assegnando un posto in classifica senza il solo strumento che possa assegnarlo, il processo con le sue garanzie. Fuori da quel recinto la probabilità su un nome non è un grado di conoscenza: è un marchio, e nessun tribunale può revocarlo.</w:t>
      </w:r>
    </w:p>
    <w:p>
      <w:pPr>
        <w:spacing w:after="120" w:line="276"/>
        <w:jc w:val="both"/>
      </w:pPr>
      <w:r>
        <w:rPr>
          <w:rFonts w:ascii="Barlow Semi Condensed" w:cs="Barlow Semi Condensed" w:eastAsia="Barlow Semi Condensed" w:hAnsi="Barlow Semi Condensed"/>
          <w:b/>
          <w:bCs/>
          <w:sz w:val="24"/>
          <w:szCs w:val="24"/>
        </w:rPr>
        <w:t xml:space="preserve">935 · Il terzo termine fra silenzio e classifica.</w:t>
      </w:r>
      <w:r>
        <w:rPr>
          <w:rFonts w:ascii="Barlow Semi Condensed" w:cs="Barlow Semi Condensed" w:eastAsia="Barlow Semi Condensed" w:hAnsi="Barlow Semi Condensed"/>
          <w:sz w:val="24"/>
          <w:szCs w:val="24"/>
        </w:rPr>
        <w:t xml:space="preserve"> Fra il tacere e il nominare esiste il lavoro: indicare con precisione i vuoti, dire quale documento manca e dove giace, tenere alta la pressione perché venga cercato o desecretato. Ogni verità emersa sul caso Moro è emersa da un fascicolo riaperto, mai da una classifica — e una volta fatto il nome la ricerca si ferma appagata, e il documento decisivo non viene più cercato.</w:t>
      </w:r>
    </w:p>
    <w:p>
      <w:pPr>
        <w:spacing w:after="120" w:line="276"/>
        <w:jc w:val="both"/>
      </w:pPr>
      <w:r>
        <w:rPr>
          <w:rFonts w:ascii="Barlow Semi Condensed" w:cs="Barlow Semi Condensed" w:eastAsia="Barlow Semi Condensed" w:hAnsi="Barlow Semi Condensed"/>
          <w:b/>
          <w:bCs/>
          <w:sz w:val="24"/>
          <w:szCs w:val="24"/>
        </w:rPr>
        <w:t xml:space="preserve">936 · Il divieto assoluto: cornice ed esecuzione.</w:t>
      </w:r>
      <w:r>
        <w:rPr>
          <w:rFonts w:ascii="Barlow Semi Condensed" w:cs="Barlow Semi Condensed" w:eastAsia="Barlow Semi Condensed" w:hAnsi="Barlow Semi Condensed"/>
          <w:sz w:val="24"/>
          <w:szCs w:val="24"/>
        </w:rPr>
        <w:t xml:space="preserve"> Dalla cornice non si deduce l'esecuzione, mai, in nessun caso e per nessuna via. L'ostilità documentata è fenotipo: ciò che si vede, si data, si cita. Il programma che l'avrebbe tradotta in atti sarebbe genotipo, e il genotipo non si legge guardando il fenotipo: si legge sequenziando, cioè aprendo archivi. Dove gli archivi tacciono, l'inferenza non è ardita: è vietata.</w:t>
      </w:r>
    </w:p>
    <w:p>
      <w:pPr>
        <w:spacing w:after="120" w:line="276"/>
        <w:jc w:val="both"/>
      </w:pPr>
      <w:r>
        <w:rPr>
          <w:rFonts w:ascii="Barlow Semi Condensed" w:cs="Barlow Semi Condensed" w:eastAsia="Barlow Semi Condensed" w:hAnsi="Barlow Semi Condensed"/>
          <w:b/>
          <w:bCs/>
          <w:sz w:val="24"/>
          <w:szCs w:val="24"/>
        </w:rPr>
        <w:t xml:space="preserve">937 · L'espressione differenziale secondo l'ambiente (serie XII).</w:t>
      </w:r>
      <w:r>
        <w:rPr>
          <w:rFonts w:ascii="Barlow Semi Condensed" w:cs="Barlow Semi Condensed" w:eastAsia="Barlow Semi Condensed" w:hAnsi="Barlow Semi Condensed"/>
          <w:sz w:val="24"/>
          <w:szCs w:val="24"/>
        </w:rPr>
        <w:t xml:space="preserve"> Lo stesso codice si esprime diversamente secondo l'ambiente, e qui la metafora smette di essere pericolosa e diventa utile. La stessa dottrina della guerra fredda produsse in Portogallo, in Grecia e in Italia esiti fra loro incomparabili, perché incomparabili erano le società che la ricevettero. Chi legge un solo esito e ne deduce il codice ha invertito il verso della spiegazione.</w:t>
      </w:r>
    </w:p>
    <w:p>
      <w:pPr>
        <w:spacing w:after="120" w:line="276"/>
        <w:jc w:val="both"/>
      </w:pPr>
      <w:r>
        <w:rPr>
          <w:rFonts w:ascii="Barlow Semi Condensed" w:cs="Barlow Semi Condensed" w:eastAsia="Barlow Semi Condensed" w:hAnsi="Barlow Semi Condensed"/>
          <w:b/>
          <w:bCs/>
          <w:sz w:val="24"/>
          <w:szCs w:val="24"/>
        </w:rPr>
        <w:t xml:space="preserve">938 · Il non codificante e l'epigenetico.</w:t>
      </w:r>
      <w:r>
        <w:rPr>
          <w:rFonts w:ascii="Barlow Semi Condensed" w:cs="Barlow Semi Condensed" w:eastAsia="Barlow Semi Condensed" w:hAnsi="Barlow Semi Condensed"/>
          <w:sz w:val="24"/>
          <w:szCs w:val="24"/>
        </w:rPr>
        <w:t xml:space="preserve"> Gran parte di un genoma non codifica proteine, e a lungo fu detta spazzatura prima che se ne riconoscessero funzioni regolative. Gli archivi hanno la loro porzione muta — carte che non dicono nulla sul caso e regolano tutto il resto — e la loro epigenetica: prassi, calendari, regole dell'originatore che decidono che cosa si esprima e quando, senza mutare una lettera del testo.</w:t>
      </w:r>
    </w:p>
    <w:p>
      <w:pPr>
        <w:spacing w:after="120" w:line="276"/>
        <w:jc w:val="both"/>
      </w:pPr>
      <w:r>
        <w:rPr>
          <w:rFonts w:ascii="Barlow Semi Condensed" w:cs="Barlow Semi Condensed" w:eastAsia="Barlow Semi Condensed" w:hAnsi="Barlow Semi Condensed"/>
          <w:b/>
          <w:bCs/>
          <w:sz w:val="24"/>
          <w:szCs w:val="24"/>
        </w:rPr>
        <w:t xml:space="preserve">939 · La mutazione e l'errore di copia.</w:t>
      </w:r>
      <w:r>
        <w:rPr>
          <w:rFonts w:ascii="Barlow Semi Condensed" w:cs="Barlow Semi Condensed" w:eastAsia="Barlow Semi Condensed" w:hAnsi="Barlow Semi Condensed"/>
          <w:sz w:val="24"/>
          <w:szCs w:val="24"/>
        </w:rPr>
        <w:t xml:space="preserve"> Ogni trasmissione introduce errori, e l'errore è il motore della divergenza: una testimonianza copiata mille volte muta come una sequenza replicata senza correzione. Riconoscere una mutazione non è accusare chi la introdusse — quasi sempre nessuno la introdusse apposta — ma datarla e collocarla nell'albero. Il nodo M-5 è, in questo senso, una linea di trasmissione da ricostruire prima che da giudicare.</w:t>
      </w:r>
    </w:p>
    <w:p>
      <w:pPr>
        <w:spacing w:after="120" w:line="276"/>
        <w:jc w:val="both"/>
      </w:pPr>
      <w:r>
        <w:rPr>
          <w:rFonts w:ascii="Barlow Semi Condensed" w:cs="Barlow Semi Condensed" w:eastAsia="Barlow Semi Condensed" w:hAnsi="Barlow Semi Condensed"/>
          <w:b/>
          <w:bCs/>
          <w:sz w:val="24"/>
          <w:szCs w:val="24"/>
        </w:rPr>
        <w:t xml:space="preserve">940 · Congedo: l'albero resta un'ipotesi.</w:t>
      </w:r>
      <w:r>
        <w:rPr>
          <w:rFonts w:ascii="Barlow Semi Condensed" w:cs="Barlow Semi Condensed" w:eastAsia="Barlow Semi Condensed" w:hAnsi="Barlow Semi Condensed"/>
          <w:sz w:val="24"/>
          <w:szCs w:val="24"/>
        </w:rPr>
        <w:t xml:space="preserve"> La filogenesi di questo versante consegna un albero con pochi rami sicuri, molte politomie dichiarate e una radice che nessun documento ha ancora mostrato. È meno di ciò che il lettore desidera e più di ciò che quarant'anni di narrazione hanno prodotto, perché ogni ramo qui porta la propria segnatura e ogni vuoto la propria sede d'archivio. L'albero resta un'ipotesi;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tredicesima — Il limite della metafora: la colpa non si eredita</w:t>
      </w:r>
    </w:p>
    <w:p>
      <w:pPr>
        <w:spacing w:after="120" w:line="276"/>
        <w:jc w:val="both"/>
      </w:pPr>
      <w:r>
        <w:rPr>
          <w:rFonts w:ascii="Barlow Semi Condensed" w:cs="Barlow Semi Condensed" w:eastAsia="Barlow Semi Condensed" w:hAnsi="Barlow Semi Condensed"/>
          <w:i/>
          <w:iCs/>
          <w:sz w:val="24"/>
          <w:szCs w:val="24"/>
        </w:rPr>
        <w:t xml:space="preserve">Blocchi 941-1000.</w:t>
      </w:r>
    </w:p>
    <w:p>
      <w:pPr>
        <w:spacing w:after="120" w:line="276"/>
        <w:jc w:val="both"/>
      </w:pPr>
      <w:r>
        <w:rPr>
          <w:rFonts w:ascii="Barlow Semi Condensed" w:cs="Barlow Semi Condensed" w:eastAsia="Barlow Semi Condensed" w:hAnsi="Barlow Semi Condensed"/>
          <w:b/>
          <w:bCs/>
          <w:sz w:val="24"/>
          <w:szCs w:val="24"/>
        </w:rPr>
        <w:t xml:space="preserve">941 · La direzione della metafora.</w:t>
      </w:r>
      <w:r>
        <w:rPr>
          <w:rFonts w:ascii="Barlow Semi Condensed" w:cs="Barlow Semi Condensed" w:eastAsia="Barlow Semi Condensed" w:hAnsi="Barlow Semi Condensed"/>
          <w:sz w:val="24"/>
          <w:szCs w:val="24"/>
        </w:rPr>
        <w:t xml:space="preserve"> Ogni metafora ha una direzione, e questa la ha in modo violento: nel codice genetico l'informazione scorre dal testo alla forma, e la forma non riscrive il testo. Applicata alla storia, quella direzione diventa determinismo, come se il passato spiegasse il presente nel modo in cui un gene spiega un carattere. Il vincolo della serie è questo: la metafora orienta le domande, non stabilisce che una causa anteriore produca necessariamente un esito posteriore.</w:t>
      </w:r>
    </w:p>
    <w:p>
      <w:pPr>
        <w:spacing w:after="120" w:line="276"/>
        <w:jc w:val="both"/>
      </w:pPr>
      <w:r>
        <w:rPr>
          <w:rFonts w:ascii="Barlow Semi Condensed" w:cs="Barlow Semi Condensed" w:eastAsia="Barlow Semi Condensed" w:hAnsi="Barlow Semi Condensed"/>
          <w:b/>
          <w:bCs/>
          <w:sz w:val="24"/>
          <w:szCs w:val="24"/>
        </w:rPr>
        <w:t xml:space="preserve">942 · Il determinismo nascosto nel codice.</w:t>
      </w:r>
      <w:r>
        <w:rPr>
          <w:rFonts w:ascii="Barlow Semi Condensed" w:cs="Barlow Semi Condensed" w:eastAsia="Barlow Semi Condensed" w:hAnsi="Barlow Semi Condensed"/>
          <w:sz w:val="24"/>
          <w:szCs w:val="24"/>
        </w:rPr>
        <w:t xml:space="preserve"> La biologia ha impiegato decenni a smontare il proprio determinismo, la formula un gene un carattere, e chi ne prende in prestito il lessico rischia di importarne la versione obsoleta. Regola operativa: ogni volta che un blocco scrive codice, trasmissione o espressione, deve poter rispondere alla domanda quale documento attesta il passaggio. Senza documento la parola resta figura retorica, e una figura retorica non è mai un ponte al piano uno.</w:t>
      </w:r>
    </w:p>
    <w:p>
      <w:pPr>
        <w:spacing w:after="120" w:line="276"/>
        <w:jc w:val="both"/>
      </w:pPr>
      <w:r>
        <w:rPr>
          <w:rFonts w:ascii="Barlow Semi Condensed" w:cs="Barlow Semi Condensed" w:eastAsia="Barlow Semi Condensed" w:hAnsi="Barlow Semi Condensed"/>
          <w:b/>
          <w:bCs/>
          <w:sz w:val="24"/>
          <w:szCs w:val="24"/>
        </w:rPr>
        <w:t xml:space="preserve">943 · La storia non ha genoma.</w:t>
      </w:r>
      <w:r>
        <w:rPr>
          <w:rFonts w:ascii="Barlow Semi Condensed" w:cs="Barlow Semi Condensed" w:eastAsia="Barlow Semi Condensed" w:hAnsi="Barlow Semi Condensed"/>
          <w:sz w:val="24"/>
          <w:szCs w:val="24"/>
        </w:rPr>
        <w:t xml:space="preserve"> Il genoma esiste prima dell'organismo e lo precede materialmente; nessun testo analogo precede gli eventi del 1967, del 1972 o del 1978. Ciò che il corpus possiede sono atti, verbali, sentenze e assenze dichiarate, prodotti dopo e non prima. Dire che una dottrina era già scritta nel corso delle cose è retorica: il quesito storiografico corretto chiede quale documento, redatto in quale data e da quale ufficio, dispose che cosa.</w:t>
      </w:r>
    </w:p>
    <w:p>
      <w:pPr>
        <w:spacing w:after="120" w:line="276"/>
        <w:jc w:val="both"/>
      </w:pPr>
      <w:r>
        <w:rPr>
          <w:rFonts w:ascii="Barlow Semi Condensed" w:cs="Barlow Semi Condensed" w:eastAsia="Barlow Semi Condensed" w:hAnsi="Barlow Semi Condensed"/>
          <w:b/>
          <w:bCs/>
          <w:sz w:val="24"/>
          <w:szCs w:val="24"/>
        </w:rPr>
        <w:t xml:space="preserve">944 · Omologia e analogia, la distinzione decisiva.</w:t>
      </w:r>
      <w:r>
        <w:rPr>
          <w:rFonts w:ascii="Barlow Semi Condensed" w:cs="Barlow Semi Condensed" w:eastAsia="Barlow Semi Condensed" w:hAnsi="Barlow Semi Condensed"/>
          <w:sz w:val="24"/>
          <w:szCs w:val="24"/>
        </w:rPr>
        <w:t xml:space="preserve"> La biologia distingue l'omologia, somiglianza per discendenza comune e documentata, dall'analogia, somiglianza di funzione nata per vie indipendenti. È la distinzione più utile che la metafora offra, e taglia contro chi la usa: la simmetria fra le ombre statunitensi su La Higuera e su via Fani è analogia, non omologia, perché nessun documento attesta una discendenza comune. Restano due vicende dentro una cornice condivisa, e una cornice non è un antenato.</w:t>
      </w:r>
    </w:p>
    <w:p>
      <w:pPr>
        <w:spacing w:after="120" w:line="276"/>
        <w:jc w:val="both"/>
      </w:pPr>
      <w:r>
        <w:rPr>
          <w:rFonts w:ascii="Barlow Semi Condensed" w:cs="Barlow Semi Condensed" w:eastAsia="Barlow Semi Condensed" w:hAnsi="Barlow Semi Condensed"/>
          <w:b/>
          <w:bCs/>
          <w:sz w:val="24"/>
          <w:szCs w:val="24"/>
        </w:rPr>
        <w:t xml:space="preserve">945 · La filogenesi ricostruisce, non giudica.</w:t>
      </w:r>
      <w:r>
        <w:rPr>
          <w:rFonts w:ascii="Barlow Semi Condensed" w:cs="Barlow Semi Condensed" w:eastAsia="Barlow Semi Condensed" w:hAnsi="Barlow Semi Condensed"/>
          <w:sz w:val="24"/>
          <w:szCs w:val="24"/>
        </w:rPr>
        <w:t xml:space="preserve"> Un albero filogenetico ordina relazioni di parentela e non attribuisce meriti né colpe ai rami. Trasferita al corpus, la regola dice che una genealogia dottrinale, dal foquismo alle Brigate Rosse o dal realismo alla politica di potenza, può essere ricostruita e documentata come parentela di idee, e proprio per questo non decide nulla sulle condotte. L'albero dice da chi si discende; il registro del giudicato dice chi ha fatto che cosa.</w:t>
      </w:r>
    </w:p>
    <w:p>
      <w:pPr>
        <w:spacing w:after="120" w:line="276"/>
        <w:jc w:val="both"/>
      </w:pPr>
      <w:r>
        <w:rPr>
          <w:rFonts w:ascii="Barlow Semi Condensed" w:cs="Barlow Semi Condensed" w:eastAsia="Barlow Semi Condensed" w:hAnsi="Barlow Semi Condensed"/>
          <w:b/>
          <w:bCs/>
          <w:sz w:val="24"/>
          <w:szCs w:val="24"/>
        </w:rPr>
        <w:t xml:space="preserve">946 · L'epigenetica non è un alibi.</w:t>
      </w:r>
      <w:r>
        <w:rPr>
          <w:rFonts w:ascii="Barlow Semi Condensed" w:cs="Barlow Semi Condensed" w:eastAsia="Barlow Semi Condensed" w:hAnsi="Barlow Semi Condensed"/>
          <w:sz w:val="24"/>
          <w:szCs w:val="24"/>
        </w:rPr>
        <w:t xml:space="preserve"> L'espressione differenziale secondo l'ambiente è il capitolo più fecondo della metafora e il più pericoloso: spiega perché lo stesso lessico rivoluzionario dia esiti diversi all'Avana, a Parigi e a Milano, ma scivola con facilità nella formula che assolve, fu l'ambiente. Qui la si ferma. L'ambiente è contesto documentabile e mai soggetto d'imputazione; nessun clima d'epoca ha premuto un grilletto, e nessuna condotta accertata si attenua perché il clima la spiega.</w:t>
      </w:r>
    </w:p>
    <w:p>
      <w:pPr>
        <w:spacing w:after="120" w:line="276"/>
        <w:jc w:val="both"/>
      </w:pPr>
      <w:r>
        <w:rPr>
          <w:rFonts w:ascii="Barlow Semi Condensed" w:cs="Barlow Semi Condensed" w:eastAsia="Barlow Semi Condensed" w:hAnsi="Barlow Semi Condensed"/>
          <w:b/>
          <w:bCs/>
          <w:sz w:val="24"/>
          <w:szCs w:val="24"/>
        </w:rPr>
        <w:t xml:space="preserve">947 · Il DNA non codificante e il silenzio.</w:t>
      </w:r>
      <w:r>
        <w:rPr>
          <w:rFonts w:ascii="Barlow Semi Condensed" w:cs="Barlow Semi Condensed" w:eastAsia="Barlow Semi Condensed" w:hAnsi="Barlow Semi Condensed"/>
          <w:sz w:val="24"/>
          <w:szCs w:val="24"/>
        </w:rPr>
        <w:t xml:space="preserve"> La metafora offre anche i tratti che non codificano nulla: sequenze presenti, in parte trascritte, prive di funzione nota. È l'immagine esatta dei silenzi d'archivio del corpus, il telegramma mai reperito, il registro mai tenuto. La disciplina resta quella del blocco 233 dell'agenda: il buco si misura e si verbalizza con perimetro esatto. Attribuire un significato al non codificante solo perché è lì è, in biologia come qui, un errore di lettura.</w:t>
      </w:r>
    </w:p>
    <w:p>
      <w:pPr>
        <w:spacing w:after="120" w:line="276"/>
        <w:jc w:val="both"/>
      </w:pPr>
      <w:r>
        <w:rPr>
          <w:rFonts w:ascii="Barlow Semi Condensed" w:cs="Barlow Semi Condensed" w:eastAsia="Barlow Semi Condensed" w:hAnsi="Barlow Semi Condensed"/>
          <w:b/>
          <w:bCs/>
          <w:sz w:val="24"/>
          <w:szCs w:val="24"/>
        </w:rPr>
        <w:t xml:space="preserve">948 · La mutazione non è tradimento.</w:t>
      </w:r>
      <w:r>
        <w:rPr>
          <w:rFonts w:ascii="Barlow Semi Condensed" w:cs="Barlow Semi Condensed" w:eastAsia="Barlow Semi Condensed" w:hAnsi="Barlow Semi Condensed"/>
          <w:sz w:val="24"/>
          <w:szCs w:val="24"/>
        </w:rPr>
        <w:t xml:space="preserve"> Nel lessico corrente la parola mutazione porta una carica morale che la biologia non le dà: una variante non è una degenerazione, è una differenza che l'ambiente seleziona oppure no. Quando il corpus scrive che il mito guevarista importato in Italia si rovesciò nel suo contrario, descrive un mutamento storico documentato e non emette un giudizio sull'origine. Chi risponde della variante è chi l'ha prodotta, non chi ha generato l'originale.</w:t>
      </w:r>
    </w:p>
    <w:p>
      <w:pPr>
        <w:spacing w:after="120" w:line="276"/>
        <w:jc w:val="both"/>
      </w:pPr>
      <w:r>
        <w:rPr>
          <w:rFonts w:ascii="Barlow Semi Condensed" w:cs="Barlow Semi Condensed" w:eastAsia="Barlow Semi Condensed" w:hAnsi="Barlow Semi Condensed"/>
          <w:b/>
          <w:bCs/>
          <w:sz w:val="24"/>
          <w:szCs w:val="24"/>
        </w:rPr>
        <w:t xml:space="preserve">949 · Il fenotipo non retrodice il genotipo.</w:t>
      </w:r>
      <w:r>
        <w:rPr>
          <w:rFonts w:ascii="Barlow Semi Condensed" w:cs="Barlow Semi Condensed" w:eastAsia="Barlow Semi Condensed" w:hAnsi="Barlow Semi Condensed"/>
          <w:sz w:val="24"/>
          <w:szCs w:val="24"/>
        </w:rPr>
        <w:t xml:space="preserve"> Dall'esito visibile non si risale al codice: fenotipi identici nascono da genotipi diversi, e la biologia ha smesso da tempo di leggere all'indietro. È il divieto di inferenza retrospettiva applicato alla storia: dal fatto che uno statista sia stato ucciso non si deduce chi avesse interesse a ucciderlo, e dall'interesse non si deduce l'ordine. Il piano due, convergenza entro la stessa cornice, resta piano due anche quando l'esito è clamoroso.</w:t>
      </w:r>
    </w:p>
    <w:p>
      <w:pPr>
        <w:spacing w:after="120" w:line="276"/>
        <w:jc w:val="both"/>
      </w:pPr>
      <w:r>
        <w:rPr>
          <w:rFonts w:ascii="Barlow Semi Condensed" w:cs="Barlow Semi Condensed" w:eastAsia="Barlow Semi Condensed" w:hAnsi="Barlow Semi Condensed"/>
          <w:b/>
          <w:bCs/>
          <w:sz w:val="24"/>
          <w:szCs w:val="24"/>
        </w:rPr>
        <w:t xml:space="preserve">950 · La replicazione esige un originale.</w:t>
      </w:r>
      <w:r>
        <w:rPr>
          <w:rFonts w:ascii="Barlow Semi Condensed" w:cs="Barlow Semi Condensed" w:eastAsia="Barlow Semi Condensed" w:hAnsi="Barlow Semi Condensed"/>
          <w:sz w:val="24"/>
          <w:szCs w:val="24"/>
        </w:rPr>
        <w:t xml:space="preserve"> Replicare significa copiare un originale identificabile. Se un blocco parla di dottrine replicate deve indicare l'originale, con testo, data e autore, e la copia, con lo stesso obbligo per entrambi. Altrimenti la parola descrive una somiglianza, e la somiglianza senza discendenza documentata è analogia. Quesito permanente: per ogni presunta replicazione dottrinale reperire il documento d'origine e il documento derivato, oppure dichiarare lo Stato Zero con la sede in cui si chiuderebbe.</w:t>
      </w:r>
    </w:p>
    <w:p>
      <w:pPr>
        <w:spacing w:after="120" w:line="276"/>
        <w:jc w:val="both"/>
      </w:pPr>
      <w:r>
        <w:rPr>
          <w:rFonts w:ascii="Barlow Semi Condensed" w:cs="Barlow Semi Condensed" w:eastAsia="Barlow Semi Condensed" w:hAnsi="Barlow Semi Condensed"/>
          <w:b/>
          <w:bCs/>
          <w:sz w:val="24"/>
          <w:szCs w:val="24"/>
        </w:rPr>
        <w:t xml:space="preserve">951 · Guevara modello dichiarato, non mandante.</w:t>
      </w:r>
      <w:r>
        <w:rPr>
          <w:rFonts w:ascii="Barlow Semi Condensed" w:cs="Barlow Semi Condensed" w:eastAsia="Barlow Semi Condensed" w:hAnsi="Barlow Semi Condensed"/>
          <w:sz w:val="24"/>
          <w:szCs w:val="24"/>
        </w:rPr>
        <w:t xml:space="preserve"> Il corpus documenta che le Brigate Rosse, fondate al convegno di Pecorile nell'agosto 1970, assunsero Ernesto Guevara come modello individuale di riferimento accanto ai Tupamaros: è genealogia dichiarata dall'organizzazione stessa, di grado alto quanto all'esistenza della dichiarazione. Da essa non discende nulla sul piano della responsabilità. Guevara era morto il 9 ottobre 1967, undici anni prima di via Fani, e un morto non concorre: il modello è un fatto, il mandato sarebbe un altro fatto e non esiste.</w:t>
      </w:r>
    </w:p>
    <w:p>
      <w:pPr>
        <w:spacing w:after="120" w:line="276"/>
        <w:jc w:val="both"/>
      </w:pPr>
      <w:r>
        <w:rPr>
          <w:rFonts w:ascii="Barlow Semi Condensed" w:cs="Barlow Semi Condensed" w:eastAsia="Barlow Semi Condensed" w:hAnsi="Barlow Semi Condensed"/>
          <w:b/>
          <w:bCs/>
          <w:sz w:val="24"/>
          <w:szCs w:val="24"/>
        </w:rPr>
        <w:t xml:space="preserve">952 · Feltrinelli vettore, non trasmettitore di colpa.</w:t>
      </w:r>
      <w:r>
        <w:rPr>
          <w:rFonts w:ascii="Barlow Semi Condensed" w:cs="Barlow Semi Condensed" w:eastAsia="Barlow Semi Condensed" w:hAnsi="Barlow Semi Condensed"/>
          <w:sz w:val="24"/>
          <w:szCs w:val="24"/>
        </w:rPr>
        <w:t xml:space="preserve"> Giangiacomo Feltrinelli fu il vettore documentato del mito: il manifesto tratto dalla fotografia di Korda nel 1967, il Diario in Bolivia con prefazione di Fidel Castro nel 1968, la fondazione dei GAP nel 1970, la morte a Segrate nel 1972. Sono fatti pubblici. Il vettore trasporta un'immagine e un libro, non una responsabilità: che un editore abbia diffuso un'icona non lo rende partecipe di ciò che altri fecero sei anni dopo la sua morte.</w:t>
      </w:r>
    </w:p>
    <w:p>
      <w:pPr>
        <w:spacing w:after="120" w:line="276"/>
        <w:jc w:val="both"/>
      </w:pPr>
      <w:r>
        <w:rPr>
          <w:rFonts w:ascii="Barlow Semi Condensed" w:cs="Barlow Semi Condensed" w:eastAsia="Barlow Semi Condensed" w:hAnsi="Barlow Semi Condensed"/>
          <w:b/>
          <w:bCs/>
          <w:sz w:val="24"/>
          <w:szCs w:val="24"/>
        </w:rPr>
        <w:t xml:space="preserve">953 · La scuola di guerriglia, statuto della frase.</w:t>
      </w:r>
      <w:r>
        <w:rPr>
          <w:rFonts w:ascii="Barlow Semi Condensed" w:cs="Barlow Semi Condensed" w:eastAsia="Barlow Semi Condensed" w:hAnsi="Barlow Semi Condensed"/>
          <w:sz w:val="24"/>
          <w:szCs w:val="24"/>
        </w:rPr>
        <w:t xml:space="preserve"> L'affermazione secondo cui i brigatisti andarono a scuola di guerriglia da Feltrinelli è riferita a Renato Curcio ed è dichiarazione di un protagonista, non atto. Il suo statuto va scritto ogni volta: fonte memorialistica di parte, utile alla genealogia, inservibile come prova di condotta altrui. Quesito: reperire il testo integrale e la sede in cui la frase fu resa, per fissarne il contesto; finché non è reperita, si cita come riferita.</w:t>
      </w:r>
    </w:p>
    <w:p>
      <w:pPr>
        <w:spacing w:after="120" w:line="276"/>
        <w:jc w:val="both"/>
      </w:pPr>
      <w:r>
        <w:rPr>
          <w:rFonts w:ascii="Barlow Semi Condensed" w:cs="Barlow Semi Condensed" w:eastAsia="Barlow Semi Condensed" w:hAnsi="Barlow Semi Condensed"/>
          <w:b/>
          <w:bCs/>
          <w:sz w:val="24"/>
          <w:szCs w:val="24"/>
        </w:rPr>
        <w:t xml:space="preserve">954 · Il maestro non risponde dell'allievo.</w:t>
      </w:r>
      <w:r>
        <w:rPr>
          <w:rFonts w:ascii="Barlow Semi Condensed" w:cs="Barlow Semi Condensed" w:eastAsia="Barlow Semi Condensed" w:hAnsi="Barlow Semi Condensed"/>
          <w:sz w:val="24"/>
          <w:szCs w:val="24"/>
        </w:rPr>
        <w:t xml:space="preserve"> Nessun ordinamento e nessuna storiografia seria imputano al docente le condotte di chi ne ha letto i libri. La regola vale in tutte le direzioni di questa triangolazione: non per il teorico del foco rispetto ai suoi imitatori italiani, non per l'editore rispetto ai suoi lettori, non per il professore rispetto agli apparati che ne applicarono le categorie. Insegnare, pubblicare e teorizzare sono condotte lecite; l'unica sede in cui una condotta diventa colpa è la sentenza.</w:t>
      </w:r>
    </w:p>
    <w:p>
      <w:pPr>
        <w:spacing w:after="120" w:line="276"/>
        <w:jc w:val="both"/>
      </w:pPr>
      <w:r>
        <w:rPr>
          <w:rFonts w:ascii="Barlow Semi Condensed" w:cs="Barlow Semi Condensed" w:eastAsia="Barlow Semi Condensed" w:hAnsi="Barlow Semi Condensed"/>
          <w:b/>
          <w:bCs/>
          <w:sz w:val="24"/>
          <w:szCs w:val="24"/>
        </w:rPr>
        <w:t xml:space="preserve">955 · Kissinger, pensiero e condotta.</w:t>
      </w:r>
      <w:r>
        <w:rPr>
          <w:rFonts w:ascii="Barlow Semi Condensed" w:cs="Barlow Semi Condensed" w:eastAsia="Barlow Semi Condensed" w:hAnsi="Barlow Semi Condensed"/>
          <w:sz w:val="24"/>
          <w:szCs w:val="24"/>
        </w:rPr>
        <w:t xml:space="preserve"> Il pensiero realista di Henry Kissinger, l'equilibrio, la gerarchia degli interessi, la diffidenza verso i governi di coalizione coi comunisti, è materia di studio pubblica e documentata anche nei verbali editi dei FRUS. Studiarlo è legittimo e necessario; dedurne condotte non lo è. Una dottrina spiega una preferenza e non prova un atto: fra la posizione espressa a Ford il 25 settembre 1974 e una qualsiasi condotta operativa in Italia non esiste, allo stato, documento di raccordo.</w:t>
      </w:r>
    </w:p>
    <w:p>
      <w:pPr>
        <w:spacing w:after="120" w:line="276"/>
        <w:jc w:val="both"/>
      </w:pPr>
      <w:r>
        <w:rPr>
          <w:rFonts w:ascii="Barlow Semi Condensed" w:cs="Barlow Semi Condensed" w:eastAsia="Barlow Semi Condensed" w:hAnsi="Barlow Semi Condensed"/>
          <w:b/>
          <w:bCs/>
          <w:sz w:val="24"/>
          <w:szCs w:val="24"/>
        </w:rPr>
        <w:t xml:space="preserve">956 · Il lignaggio si documenta, la condotta si prova.</w:t>
      </w:r>
      <w:r>
        <w:rPr>
          <w:rFonts w:ascii="Barlow Semi Condensed" w:cs="Barlow Semi Condensed" w:eastAsia="Barlow Semi Condensed" w:hAnsi="Barlow Semi Condensed"/>
          <w:sz w:val="24"/>
          <w:szCs w:val="24"/>
        </w:rPr>
        <w:t xml:space="preserve"> Due operazioni distinte, con due standard distinti. Documentare un lignaggio dottrinale richiede testi, date e citazioni verificabili, e produce una genealogia di grado F o A secondo la fonte. Provare una condotta richiede un atto, un verbale, una sentenza, e produce un'imputazione soltanto quando la sentenza è definitiva. Il corpus esegue la prima operazione con larghezza e la seconda con avarizia: è la ragione per cui il registro dei nomi resta corto.</w:t>
      </w:r>
    </w:p>
    <w:p>
      <w:pPr>
        <w:spacing w:after="120" w:line="276"/>
        <w:jc w:val="both"/>
      </w:pPr>
      <w:r>
        <w:rPr>
          <w:rFonts w:ascii="Barlow Semi Condensed" w:cs="Barlow Semi Condensed" w:eastAsia="Barlow Semi Condensed" w:hAnsi="Barlow Semi Condensed"/>
          <w:b/>
          <w:bCs/>
          <w:sz w:val="24"/>
          <w:szCs w:val="24"/>
        </w:rPr>
        <w:t xml:space="preserve">957 · La citazione non è delega.</w:t>
      </w:r>
      <w:r>
        <w:rPr>
          <w:rFonts w:ascii="Barlow Semi Condensed" w:cs="Barlow Semi Condensed" w:eastAsia="Barlow Semi Condensed" w:hAnsi="Barlow Semi Condensed"/>
          <w:sz w:val="24"/>
          <w:szCs w:val="24"/>
        </w:rPr>
        <w:t xml:space="preserve"> Chi cita un autore non ne riceve un mandato, e chi è citato non ne concede uno. La regola serve alle due estremità di questa triangolazione: le Brigate Rosse citarono Guevara senza che Guevara avesse delegato alcunché, e la pubblicistica cita Kissinger senza che una citazione istituisca un rapporto. Il quesito che sostituisce la suggestione è sempre lo stesso: esiste un documento in cui il citato risponde, autorizza o dispone? Se non esiste, si dichiara e si chiude.</w:t>
      </w:r>
    </w:p>
    <w:p>
      <w:pPr>
        <w:spacing w:after="120" w:line="276"/>
        <w:jc w:val="both"/>
      </w:pPr>
      <w:r>
        <w:rPr>
          <w:rFonts w:ascii="Barlow Semi Condensed" w:cs="Barlow Semi Condensed" w:eastAsia="Barlow Semi Condensed" w:hAnsi="Barlow Semi Condensed"/>
          <w:b/>
          <w:bCs/>
          <w:sz w:val="24"/>
          <w:szCs w:val="24"/>
        </w:rPr>
        <w:t xml:space="preserve">958 · Che cosa attestano i testi brigatisti.</w:t>
      </w:r>
      <w:r>
        <w:rPr>
          <w:rFonts w:ascii="Barlow Semi Condensed" w:cs="Barlow Semi Condensed" w:eastAsia="Barlow Semi Condensed" w:hAnsi="Barlow Semi Condensed"/>
          <w:sz w:val="24"/>
          <w:szCs w:val="24"/>
        </w:rPr>
        <w:t xml:space="preserve"> Bersaglio di ricerca e non asserzione: i documenti interni e i comunicati delle Brigate Rosse attestano un lessico e un pantheon, e la loro esistenza e provenienza sono di grado alto. Verificare, sull'edizione critica degli atti e sui fondi processuali digitalizzati, quali passi nominino esplicitamente il modello latinoamericano, con data e sede. L'esito atteso è una tavola di citazioni, non una catena di comando; e una tavola di citazioni resta tale anche se è lunga.</w:t>
      </w:r>
    </w:p>
    <w:p>
      <w:pPr>
        <w:spacing w:after="120" w:line="276"/>
        <w:jc w:val="both"/>
      </w:pPr>
      <w:r>
        <w:rPr>
          <w:rFonts w:ascii="Barlow Semi Condensed" w:cs="Barlow Semi Condensed" w:eastAsia="Barlow Semi Condensed" w:hAnsi="Barlow Semi Condensed"/>
          <w:b/>
          <w:bCs/>
          <w:sz w:val="24"/>
          <w:szCs w:val="24"/>
        </w:rPr>
        <w:t xml:space="preserve">959 · Il mito cambia natura trasmettendosi.</w:t>
      </w:r>
      <w:r>
        <w:rPr>
          <w:rFonts w:ascii="Barlow Semi Condensed" w:cs="Barlow Semi Condensed" w:eastAsia="Barlow Semi Condensed" w:hAnsi="Barlow Semi Condensed"/>
          <w:sz w:val="24"/>
          <w:szCs w:val="24"/>
        </w:rPr>
        <w:t xml:space="preserve"> Il saggio-cerniera del corpus ha già stabilito che ciò che passò dall'America Latina all'Italia non fu un ordine ma un mito, e che nel trasmettersi mutava natura: guerra a un esercito da una parte, esecuzione di un prigioniero inerme dall'altra. La metafora genetica illumina il meccanismo, stesso codice ed espressione diversa, e proprio per questo dimostra il limite di se stessa: se l'espressione cambia, l'origine non ne risponde.</w:t>
      </w:r>
    </w:p>
    <w:p>
      <w:pPr>
        <w:spacing w:after="120" w:line="276"/>
        <w:jc w:val="both"/>
      </w:pPr>
      <w:r>
        <w:rPr>
          <w:rFonts w:ascii="Barlow Semi Condensed" w:cs="Barlow Semi Condensed" w:eastAsia="Barlow Semi Condensed" w:hAnsi="Barlow Semi Condensed"/>
          <w:b/>
          <w:bCs/>
          <w:sz w:val="24"/>
          <w:szCs w:val="24"/>
        </w:rPr>
        <w:t xml:space="preserve">960 · Nessuna colpa per l'uso postumo del nome.</w:t>
      </w:r>
      <w:r>
        <w:rPr>
          <w:rFonts w:ascii="Barlow Semi Condensed" w:cs="Barlow Semi Condensed" w:eastAsia="Barlow Semi Condensed" w:hAnsi="Barlow Semi Condensed"/>
          <w:sz w:val="24"/>
          <w:szCs w:val="24"/>
        </w:rPr>
        <w:t xml:space="preserve"> Chi muore non controlla ciò che il suo nome farà dopo di lui. Guevara non risponde dei muri di Milano, Moro non risponde delle letture che si sono date della sua prigionia, e nessun autore risponde delle organizzazioni che lo hanno adottato per emblema. È un corollario del principio personalistico e vale come divieto esplicito di questa serie: l'uso postumo di un nome è fatto di chi lo usa, e soltanto di lui.</w:t>
      </w:r>
    </w:p>
    <w:p>
      <w:pPr>
        <w:spacing w:after="120" w:line="276"/>
        <w:jc w:val="both"/>
      </w:pPr>
      <w:r>
        <w:rPr>
          <w:rFonts w:ascii="Barlow Semi Condensed" w:cs="Barlow Semi Condensed" w:eastAsia="Barlow Semi Condensed" w:hAnsi="Barlow Semi Condensed"/>
          <w:b/>
          <w:bCs/>
          <w:sz w:val="24"/>
          <w:szCs w:val="24"/>
        </w:rPr>
        <w:t xml:space="preserve">961 · Il divieto della colpa per discendenza.</w:t>
      </w:r>
      <w:r>
        <w:rPr>
          <w:rFonts w:ascii="Barlow Semi Condensed" w:cs="Barlow Semi Condensed" w:eastAsia="Barlow Semi Condensed" w:hAnsi="Barlow Semi Condensed"/>
          <w:sz w:val="24"/>
          <w:szCs w:val="24"/>
        </w:rPr>
        <w:t xml:space="preserve"> Primo dei tre divieti che questa serie enuncia in forma piena: nessuna persona è indicata da quest'opera come responsabile di alcunché in ragione di chi l'ha preceduta, familiari, maestri o predecessori nell'ufficio. Il divieto non ammette eccezione retorica, e nemmeno la formula prudente erede politico di può reggere un'attribuzione. La discendenza è materiale biografico di grado F; l'attribuzione richiede una sentenza, e nessuna sentenza si è mai fondata su un albero.</w:t>
      </w:r>
    </w:p>
    <w:p>
      <w:pPr>
        <w:spacing w:after="120" w:line="276"/>
        <w:jc w:val="both"/>
      </w:pPr>
      <w:r>
        <w:rPr>
          <w:rFonts w:ascii="Barlow Semi Condensed" w:cs="Barlow Semi Condensed" w:eastAsia="Barlow Semi Condensed" w:hAnsi="Barlow Semi Condensed"/>
          <w:b/>
          <w:bCs/>
          <w:sz w:val="24"/>
          <w:szCs w:val="24"/>
        </w:rPr>
        <w:t xml:space="preserve">962 · La parentela non è canale.</w:t>
      </w:r>
      <w:r>
        <w:rPr>
          <w:rFonts w:ascii="Barlow Semi Condensed" w:cs="Barlow Semi Condensed" w:eastAsia="Barlow Semi Condensed" w:hAnsi="Barlow Semi Condensed"/>
          <w:sz w:val="24"/>
          <w:szCs w:val="24"/>
        </w:rPr>
        <w:t xml:space="preserve"> Il manuale investigativo lo fissa al blocco 5 fra le regole costitutive: la colpa non è mai del gruppo ed è sempre della persona, l'appartenenza non è condotta, la parentela non è canale, la contemporaneità non è nesso. Questa serie ne recepisce il testo alla lettera e vi aggiunge una sola precisazione, richiesta dalla lente: nemmeno la parentela metaforica, la discendenza di scuola, di dottrina o di lessico, è un canale.</w:t>
      </w:r>
    </w:p>
    <w:p>
      <w:pPr>
        <w:spacing w:after="120" w:line="276"/>
        <w:jc w:val="both"/>
      </w:pPr>
      <w:r>
        <w:rPr>
          <w:rFonts w:ascii="Barlow Semi Condensed" w:cs="Barlow Semi Condensed" w:eastAsia="Barlow Semi Condensed" w:hAnsi="Barlow Semi Condensed"/>
          <w:b/>
          <w:bCs/>
          <w:sz w:val="24"/>
          <w:szCs w:val="24"/>
        </w:rPr>
        <w:t xml:space="preserve">963 · Il divieto della colpa per appartenenza.</w:t>
      </w:r>
      <w:r>
        <w:rPr>
          <w:rFonts w:ascii="Barlow Semi Condensed" w:cs="Barlow Semi Condensed" w:eastAsia="Barlow Semi Condensed" w:hAnsi="Barlow Semi Condensed"/>
          <w:sz w:val="24"/>
          <w:szCs w:val="24"/>
        </w:rPr>
        <w:t xml:space="preserve"> Secondo divieto. L'appartenenza a un'organizzazione, a una scuola, a un servizio o a un lignaggio dottrinale non è prova di condotta: è il principio dell'articolo 27 della Costituzione, e la ragione per cui il concorso di persone si giudica condotta per condotta ai sensi dell'articolo 110 del codice penale. Il corpus lo applica agli esponenti brigatisti, ai membri di enti confessionali e agli apparati stranieri con identica severità: la simmetria non è equidistanza morale, è metodo.</w:t>
      </w:r>
    </w:p>
    <w:p>
      <w:pPr>
        <w:spacing w:after="120" w:line="276"/>
        <w:jc w:val="both"/>
      </w:pPr>
      <w:r>
        <w:rPr>
          <w:rFonts w:ascii="Barlow Semi Condensed" w:cs="Barlow Semi Condensed" w:eastAsia="Barlow Semi Condensed" w:hAnsi="Barlow Semi Condensed"/>
          <w:b/>
          <w:bCs/>
          <w:sz w:val="24"/>
          <w:szCs w:val="24"/>
        </w:rPr>
        <w:t xml:space="preserve">964 · Le appartenenze non si sommano.</w:t>
      </w:r>
      <w:r>
        <w:rPr>
          <w:rFonts w:ascii="Barlow Semi Condensed" w:cs="Barlow Semi Condensed" w:eastAsia="Barlow Semi Condensed" w:hAnsi="Barlow Semi Condensed"/>
          <w:sz w:val="24"/>
          <w:szCs w:val="24"/>
        </w:rPr>
        <w:t xml:space="preserve"> La Fase decima dell'opera-madre lo enuncia senza residui: chi militò in due gruppi non è due volte prossimo alla responsabilità, chi ne attraversò tre non porta tre indizi. Nella lente genetica corrisponde al divieto di leggere un'accumulazione di marcatori come un destino. Ogni appartenenza resta un fatto biografico separato e inerte sul piano dell'attribuzione, e la somma di fatti inerti non produce un fatto attivo, per quante volte la si esegua.</w:t>
      </w:r>
    </w:p>
    <w:p>
      <w:pPr>
        <w:spacing w:after="120" w:line="276"/>
        <w:jc w:val="both"/>
      </w:pPr>
      <w:r>
        <w:rPr>
          <w:rFonts w:ascii="Barlow Semi Condensed" w:cs="Barlow Semi Condensed" w:eastAsia="Barlow Semi Condensed" w:hAnsi="Barlow Semi Condensed"/>
          <w:b/>
          <w:bCs/>
          <w:sz w:val="24"/>
          <w:szCs w:val="24"/>
        </w:rPr>
        <w:t xml:space="preserve">965 · Il divieto della colpa per ambiente.</w:t>
      </w:r>
      <w:r>
        <w:rPr>
          <w:rFonts w:ascii="Barlow Semi Condensed" w:cs="Barlow Semi Condensed" w:eastAsia="Barlow Semi Condensed" w:hAnsi="Barlow Semi Condensed"/>
          <w:sz w:val="24"/>
          <w:szCs w:val="24"/>
        </w:rPr>
        <w:t xml:space="preserve"> Terzo divieto, il più insidioso perché il più elegante. L'Italia del 1977, il decennale della morte del Che, il repertorio simbolico dell'area da cui le Brigate Rosse reclutavano sono contesto documentato e nulla più. Nessuno è responsabile del clima in cui è vissuto, né dei gesti che altri hanno compiuto in quel clima. Il contesto spiega la possibilità di un fatto; l'imputazione riguarda il fatto, e passa soltanto per la sentenza.</w:t>
      </w:r>
    </w:p>
    <w:p>
      <w:pPr>
        <w:spacing w:after="120" w:line="276"/>
        <w:jc w:val="both"/>
      </w:pPr>
      <w:r>
        <w:rPr>
          <w:rFonts w:ascii="Barlow Semi Condensed" w:cs="Barlow Semi Condensed" w:eastAsia="Barlow Semi Condensed" w:hAnsi="Barlow Semi Condensed"/>
          <w:b/>
          <w:bCs/>
          <w:sz w:val="24"/>
          <w:szCs w:val="24"/>
        </w:rPr>
        <w:t xml:space="preserve">966 · La cornice non è la firma.</w:t>
      </w:r>
      <w:r>
        <w:rPr>
          <w:rFonts w:ascii="Barlow Semi Condensed" w:cs="Barlow Semi Condensed" w:eastAsia="Barlow Semi Condensed" w:hAnsi="Barlow Semi Condensed"/>
          <w:sz w:val="24"/>
          <w:szCs w:val="24"/>
        </w:rPr>
        <w:t xml:space="preserve"> Il saggio-cerniera lo dice nella forma più compatta di cui il corpus disponga: la logica di un'epoca non è la firma di un mandante. Questa serie la promuove a regola generale della triangolazione. Una cornice, la guerra fredda combattuta dentro le società occidentali, è documentabile e reale; una firma è un atto individuale, datato e attribuibile. Fra le due non c'è gradazione ma salto, e il salto non si compie con un aggettivo.</w:t>
      </w:r>
    </w:p>
    <w:p>
      <w:pPr>
        <w:spacing w:after="120" w:line="276"/>
        <w:jc w:val="both"/>
      </w:pPr>
      <w:r>
        <w:rPr>
          <w:rFonts w:ascii="Barlow Semi Condensed" w:cs="Barlow Semi Condensed" w:eastAsia="Barlow Semi Condensed" w:hAnsi="Barlow Semi Condensed"/>
          <w:b/>
          <w:bCs/>
          <w:sz w:val="24"/>
          <w:szCs w:val="24"/>
        </w:rPr>
        <w:t xml:space="preserve">967 · La contemporaneità apparente.</w:t>
      </w:r>
      <w:r>
        <w:rPr>
          <w:rFonts w:ascii="Barlow Semi Condensed" w:cs="Barlow Semi Condensed" w:eastAsia="Barlow Semi Condensed" w:hAnsi="Barlow Semi Condensed"/>
          <w:sz w:val="24"/>
          <w:szCs w:val="24"/>
        </w:rPr>
        <w:t xml:space="preserve"> Esempio già accertato dal corpus e da tenere come modello: la riunione del Comitato dei 303 dell'11 marzo 1969, presieduta da Kissinger, nella quale si convenne all'unanimità che non vi fosse reale giustificazione per riprendere il finanziamento coperto ai partiti italiani, è anteriore all'insediamento di Moro alla Farnesina, avvenuto il 5 agosto 1969. La contiguità d'anno non è contiguità di fatti. La fonte è FRUS 1969-1976, volume XLI, documento 180.</w:t>
      </w:r>
    </w:p>
    <w:p>
      <w:pPr>
        <w:spacing w:after="120" w:line="276"/>
        <w:jc w:val="both"/>
      </w:pPr>
      <w:r>
        <w:rPr>
          <w:rFonts w:ascii="Barlow Semi Condensed" w:cs="Barlow Semi Condensed" w:eastAsia="Barlow Semi Condensed" w:hAnsi="Barlow Semi Condensed"/>
          <w:b/>
          <w:bCs/>
          <w:sz w:val="24"/>
          <w:szCs w:val="24"/>
        </w:rPr>
        <w:t xml:space="preserve">968 · Il caso Algranati, prova nei due sensi.</w:t>
      </w:r>
      <w:r>
        <w:rPr>
          <w:rFonts w:ascii="Barlow Semi Condensed" w:cs="Barlow Semi Condensed" w:eastAsia="Barlow Semi Condensed" w:hAnsi="Barlow Semi Condensed"/>
          <w:sz w:val="24"/>
          <w:szCs w:val="24"/>
        </w:rPr>
        <w:t xml:space="preserve"> Rita Algranati fu assolta in via definitiva per i fatti di via Fani all'esito del Moro ter, e ricostruzioni successive di grado B o C non possono scavalcare un'assoluzione passata in giudicato. Il corpus la tiene fuori dal registro proprio perché il racconto pubblico la vorrebbe dentro. Un'opera che includesse gli assolti perché tanto si sa non sarebbe più un registro: sarebbe un tribunale parallelo, cioè la cosa che quest'opera esiste per non essere.</w:t>
      </w:r>
    </w:p>
    <w:p>
      <w:pPr>
        <w:spacing w:after="120" w:line="276"/>
        <w:jc w:val="both"/>
      </w:pPr>
      <w:r>
        <w:rPr>
          <w:rFonts w:ascii="Barlow Semi Condensed" w:cs="Barlow Semi Condensed" w:eastAsia="Barlow Semi Condensed" w:hAnsi="Barlow Semi Condensed"/>
          <w:b/>
          <w:bCs/>
          <w:sz w:val="24"/>
          <w:szCs w:val="24"/>
        </w:rPr>
        <w:t xml:space="preserve">969 · Il gruppo non assorbe la colpa.</w:t>
      </w:r>
      <w:r>
        <w:rPr>
          <w:rFonts w:ascii="Barlow Semi Condensed" w:cs="Barlow Semi Condensed" w:eastAsia="Barlow Semi Condensed" w:hAnsi="Barlow Semi Condensed"/>
          <w:sz w:val="24"/>
          <w:szCs w:val="24"/>
        </w:rPr>
        <w:t xml:space="preserve"> Il divieto vale anche nella direzione ascendente, ed è la metà che si dimentica. Dire fu l'organizzazione, furono gli apparati, fu lo Stato non alleggerisce nessuno: fa evaporare la colpa dentro un soggetto che non può portarla. Nel caso Moro nessuno è stato condannato in quanto brigatista: ciascuno lo è stato per aver diretto, sparato, guidato, custodito o concorso. Le tredici responsabilità del registro sono personali una per una.</w:t>
      </w:r>
    </w:p>
    <w:p>
      <w:pPr>
        <w:spacing w:after="120" w:line="276"/>
        <w:jc w:val="both"/>
      </w:pPr>
      <w:r>
        <w:rPr>
          <w:rFonts w:ascii="Barlow Semi Condensed" w:cs="Barlow Semi Condensed" w:eastAsia="Barlow Semi Condensed" w:hAnsi="Barlow Semi Condensed"/>
          <w:b/>
          <w:bCs/>
          <w:sz w:val="24"/>
          <w:szCs w:val="24"/>
        </w:rPr>
        <w:t xml:space="preserve">970 · L'ente e i suoi membri, simmetria.</w:t>
      </w:r>
      <w:r>
        <w:rPr>
          <w:rFonts w:ascii="Barlow Semi Condensed" w:cs="Barlow Semi Condensed" w:eastAsia="Barlow Semi Condensed" w:hAnsi="Barlow Semi Condensed"/>
          <w:sz w:val="24"/>
          <w:szCs w:val="24"/>
        </w:rPr>
        <w:t xml:space="preserve"> Nessun ente è colpevole delle condotte dei suoi membri e nessun membro è colpevole dell'esistenza del suo ente. La regola governa nel corpus gli enti confessionali dei versanti mediterranei, le formazioni del dossier turco, le logge, i servizi e le chiese; qui governa anche la scuola di pensiero attribuita al protagonista della triangolazione. Il documento CIA del 22 maggio 1970 sul gabinetto spagnolo è l'esempio già lavorato: appartenenza documentata, condotta dell'ente non provata.</w:t>
      </w:r>
    </w:p>
    <w:p>
      <w:pPr>
        <w:spacing w:after="120" w:line="276"/>
        <w:jc w:val="both"/>
      </w:pPr>
      <w:r>
        <w:rPr>
          <w:rFonts w:ascii="Barlow Semi Condensed" w:cs="Barlow Semi Condensed" w:eastAsia="Barlow Semi Condensed" w:hAnsi="Barlow Semi Condensed"/>
          <w:b/>
          <w:bCs/>
          <w:sz w:val="24"/>
          <w:szCs w:val="24"/>
        </w:rPr>
        <w:t xml:space="preserve">971 · La successione d'ufficio non trasmette colpa.</w:t>
      </w:r>
      <w:r>
        <w:rPr>
          <w:rFonts w:ascii="Barlow Semi Condensed" w:cs="Barlow Semi Condensed" w:eastAsia="Barlow Semi Condensed" w:hAnsi="Barlow Semi Condensed"/>
          <w:sz w:val="24"/>
          <w:szCs w:val="24"/>
        </w:rPr>
        <w:t xml:space="preserve"> Un ufficio dura più delle persone che lo occupano, e la metafora ereditaria è qui particolarmente insidiosa: chi subentra non eredita né i meriti né le colpe del predecessore. Vale per i segretari di Stato, per i ministri degli Esteri, per i direttori dei servizi e per i presidenti di commissione. Ciò che si eredita davvero sono fascicoli e pendenze, cioè documenti, e i documenti si leggono, non si imputano.</w:t>
      </w:r>
    </w:p>
    <w:p>
      <w:pPr>
        <w:spacing w:after="120" w:line="276"/>
        <w:jc w:val="both"/>
      </w:pPr>
      <w:r>
        <w:rPr>
          <w:rFonts w:ascii="Barlow Semi Condensed" w:cs="Barlow Semi Condensed" w:eastAsia="Barlow Semi Condensed" w:hAnsi="Barlow Semi Condensed"/>
          <w:b/>
          <w:bCs/>
          <w:sz w:val="24"/>
          <w:szCs w:val="24"/>
        </w:rPr>
        <w:t xml:space="preserve">972 · Il figlio non risponde del padre.</w:t>
      </w:r>
      <w:r>
        <w:rPr>
          <w:rFonts w:ascii="Barlow Semi Condensed" w:cs="Barlow Semi Condensed" w:eastAsia="Barlow Semi Condensed" w:hAnsi="Barlow Semi Condensed"/>
          <w:sz w:val="24"/>
          <w:szCs w:val="24"/>
        </w:rPr>
        <w:t xml:space="preserve"> Il divieto più antico e più elementare, e va scritto perché la lente genetica lo mette sotto pressione: nessun discendente risponde di ciò che un ascendente ha fatto o si sospetta abbia fatto. Nella rete documentata del corpus la regola ha già una forma misurabile: dove un genitore compare, l'arco lo collega al figlio e non all'evento, e quell'arco verso il fatto non esiste. Il buco resta buco, e si dichiara.</w:t>
      </w:r>
    </w:p>
    <w:p>
      <w:pPr>
        <w:spacing w:after="120" w:line="276"/>
        <w:jc w:val="both"/>
      </w:pPr>
      <w:r>
        <w:rPr>
          <w:rFonts w:ascii="Barlow Semi Condensed" w:cs="Barlow Semi Condensed" w:eastAsia="Barlow Semi Condensed" w:hAnsi="Barlow Semi Condensed"/>
          <w:b/>
          <w:bCs/>
          <w:sz w:val="24"/>
          <w:szCs w:val="24"/>
        </w:rPr>
        <w:t xml:space="preserve">973 · La riga anagrafica e la riga giuridica.</w:t>
      </w:r>
      <w:r>
        <w:rPr>
          <w:rFonts w:ascii="Barlow Semi Condensed" w:cs="Barlow Semi Condensed" w:eastAsia="Barlow Semi Condensed" w:hAnsi="Barlow Semi Condensed"/>
          <w:sz w:val="24"/>
          <w:szCs w:val="24"/>
        </w:rPr>
        <w:t xml:space="preserve"> Due righe vanno tenute insieme ogni volta che il nome compare in quest'opera. La prima è anagrafe: Fürth, 27 maggio 1923; Kent, nel Connecticut, 29 novembre 2023. La seconda è lo statuto giuridico che vincola ogni blocco: nessuna condanna in alcun processo, nessun blocco che lo indichi come responsabile di reato. La lente metaforica non attenua di un grado la seconda riga, e nessuna eleganza dell'immagine autorizza a scavalcarla.</w:t>
      </w:r>
    </w:p>
    <w:p>
      <w:pPr>
        <w:spacing w:after="120" w:line="276"/>
        <w:jc w:val="both"/>
      </w:pPr>
      <w:r>
        <w:rPr>
          <w:rFonts w:ascii="Barlow Semi Condensed" w:cs="Barlow Semi Condensed" w:eastAsia="Barlow Semi Condensed" w:hAnsi="Barlow Semi Condensed"/>
          <w:b/>
          <w:bCs/>
          <w:sz w:val="24"/>
          <w:szCs w:val="24"/>
        </w:rPr>
        <w:t xml:space="preserve">974 · Nessuna sentenza sul versante statunitense.</w:t>
      </w:r>
      <w:r>
        <w:rPr>
          <w:rFonts w:ascii="Barlow Semi Condensed" w:cs="Barlow Semi Condensed" w:eastAsia="Barlow Semi Condensed" w:hAnsi="Barlow Semi Condensed"/>
          <w:sz w:val="24"/>
          <w:szCs w:val="24"/>
        </w:rPr>
        <w:t xml:space="preserve"> Registrazione per via negativa, di pieno valore: nessuna sentenza definitiva ha attribuito ad alcuna autorità statunitense responsabilità penali nel sequestro e nell'omicidio di Aldo Moro, e l'episodio dell'avvertimento non ha mai formato oggetto d'imputazione. Le condanne definitive riguardano le persone del registro brigatista. Questo dato non è una cautela di stile: è un accertamento sul mondo, e va ripetuto ogni volta che la triangolazione tocca il versante atlantico.</w:t>
      </w:r>
    </w:p>
    <w:p>
      <w:pPr>
        <w:spacing w:after="120" w:line="276"/>
        <w:jc w:val="both"/>
      </w:pPr>
      <w:r>
        <w:rPr>
          <w:rFonts w:ascii="Barlow Semi Condensed" w:cs="Barlow Semi Condensed" w:eastAsia="Barlow Semi Condensed" w:hAnsi="Barlow Semi Condensed"/>
          <w:b/>
          <w:bCs/>
          <w:sz w:val="24"/>
          <w:szCs w:val="24"/>
        </w:rPr>
        <w:t xml:space="preserve">975 · Mai sentito dai magistrati italiani (serie XIII).</w:t>
      </w:r>
      <w:r>
        <w:rPr>
          <w:rFonts w:ascii="Barlow Semi Condensed" w:cs="Barlow Semi Condensed" w:eastAsia="Barlow Semi Condensed" w:hAnsi="Barlow Semi Condensed"/>
          <w:sz w:val="24"/>
          <w:szCs w:val="24"/>
        </w:rPr>
        <w:t xml:space="preserve"> Stato Zero dichiarato: Kissinger non fu mai sentito dall'autorità giudiziaria italiana, e la richiesta informale del 1983 non ebbe seguito. La sede in cui l'esito si chiuderebbe è duplice, gli atti dei cinque processi Moro nel lotto digitalizzato presso l'Archivio di Stato di Roma e gli atti delle Commissioni d'inchiesta. Finché quella verifica non è condotta sui documenti originali, la circostanza si riporta come acquisita per via secondaria e si dichiara tale.</w:t>
      </w:r>
    </w:p>
    <w:p>
      <w:pPr>
        <w:spacing w:after="120" w:line="276"/>
        <w:jc w:val="both"/>
      </w:pPr>
      <w:r>
        <w:rPr>
          <w:rFonts w:ascii="Barlow Semi Condensed" w:cs="Barlow Semi Condensed" w:eastAsia="Barlow Semi Condensed" w:hAnsi="Barlow Semi Condensed"/>
          <w:b/>
          <w:bCs/>
          <w:sz w:val="24"/>
          <w:szCs w:val="24"/>
        </w:rPr>
        <w:t xml:space="preserve">976 · Il nodo M-5 resta testimonianza contestata.</w:t>
      </w:r>
      <w:r>
        <w:rPr>
          <w:rFonts w:ascii="Barlow Semi Condensed" w:cs="Barlow Semi Condensed" w:eastAsia="Barlow Semi Condensed" w:hAnsi="Barlow Semi Condensed"/>
          <w:sz w:val="24"/>
          <w:szCs w:val="24"/>
        </w:rPr>
        <w:t xml:space="preserve"> Sette precisazioni della nota di revisione del corpus gravano oggi sul nodo M-5, e nessuna lo scioglie. Il presunto avvertimento resta grado B debole — testimonianza contestata, mai da dare per accertata: il teste principale depose de relato, il nome fu ottenuto in aula e non offerto, la data oscilla fra il 1974, il 1976 e il 1977, e l'interessato l'ha sempre smentito.</w:t>
      </w:r>
    </w:p>
    <w:p>
      <w:pPr>
        <w:spacing w:after="120" w:line="276"/>
        <w:jc w:val="both"/>
      </w:pPr>
      <w:r>
        <w:rPr>
          <w:rFonts w:ascii="Barlow Semi Condensed" w:cs="Barlow Semi Condensed" w:eastAsia="Barlow Semi Condensed" w:hAnsi="Barlow Semi Condensed"/>
          <w:b/>
          <w:bCs/>
          <w:sz w:val="24"/>
          <w:szCs w:val="24"/>
        </w:rPr>
        <w:t xml:space="preserve">977 · La smentita si riporta sempre.</w:t>
      </w:r>
      <w:r>
        <w:rPr>
          <w:rFonts w:ascii="Barlow Semi Condensed" w:cs="Barlow Semi Condensed" w:eastAsia="Barlow Semi Condensed" w:hAnsi="Barlow Semi Condensed"/>
          <w:sz w:val="24"/>
          <w:szCs w:val="24"/>
        </w:rPr>
        <w:t xml:space="preserve"> Regola di scrittura e non di cortesia: una testimonianza contestata si riporta con la contestazione, nella stessa frase e non in nota. Kissinger negò l'episodio in forma diretta poco prima della morte e in forma anteriore e generica già nel 1983, quando ammetteva la propria contrarietà all'ingresso dei comunisti al governo e smentiva di aver rimproverato Moro. Chi cita la testimonianza omettendo la smentita non abbrevia: falsifica per omissione.</w:t>
      </w:r>
    </w:p>
    <w:p>
      <w:pPr>
        <w:spacing w:after="120" w:line="276"/>
        <w:jc w:val="both"/>
      </w:pPr>
      <w:r>
        <w:rPr>
          <w:rFonts w:ascii="Barlow Semi Condensed" w:cs="Barlow Semi Condensed" w:eastAsia="Barlow Semi Condensed" w:hAnsi="Barlow Semi Condensed"/>
          <w:b/>
          <w:bCs/>
          <w:sz w:val="24"/>
          <w:szCs w:val="24"/>
        </w:rPr>
        <w:t xml:space="preserve">978 · Il verbale del 25 settembre 1974 (serie XIII).</w:t>
      </w:r>
      <w:r>
        <w:rPr>
          <w:rFonts w:ascii="Barlow Semi Condensed" w:cs="Barlow Semi Condensed" w:eastAsia="Barlow Semi Condensed" w:hAnsi="Barlow Semi Condensed"/>
          <w:sz w:val="24"/>
          <w:szCs w:val="24"/>
        </w:rPr>
        <w:t xml:space="preserve"> Il memorandum of conversation dello Studio Ovale fra Leone, Moro, Ford e Kissinger, Ford Library documento 1552802, edito in FRUS 1969-1976 volume E-15 parte seconda documento 350, attesta la posizione statunitense sullo scambio di informazioni militari con un governo comprendente i comunisti e non contiene alcun ultimatum personale. L'assenza non prova la falsità dell'episodio, che le testimonianze collocano a margine; indebolisce però nettamente la versione che lo colloca nell'incontro ufficiale, ed è quella che circola.</w:t>
      </w:r>
    </w:p>
    <w:p>
      <w:pPr>
        <w:spacing w:after="120" w:line="276"/>
        <w:jc w:val="both"/>
      </w:pPr>
      <w:r>
        <w:rPr>
          <w:rFonts w:ascii="Barlow Semi Condensed" w:cs="Barlow Semi Condensed" w:eastAsia="Barlow Semi Condensed" w:hAnsi="Barlow Semi Condensed"/>
          <w:b/>
          <w:bCs/>
          <w:sz w:val="24"/>
          <w:szCs w:val="24"/>
        </w:rPr>
        <w:t xml:space="preserve">979 · La moltiplicazione apparente delle fonti (serie XIII).</w:t>
      </w:r>
      <w:r>
        <w:rPr>
          <w:rFonts w:ascii="Barlow Semi Condensed" w:cs="Barlow Semi Condensed" w:eastAsia="Barlow Semi Condensed" w:hAnsi="Barlow Semi Condensed"/>
          <w:sz w:val="24"/>
          <w:szCs w:val="24"/>
        </w:rPr>
        <w:t xml:space="preserve"> Le riprese pressoché identiche dell'episodio risalgono in massima parte a un unico lancio d'agenzia del 30 novembre 2023, e il rilancio internazionale del 1982 proviene da una pubblicazione di orientamento cospirazionista, citabile come dato di circolazione e non come riscontro. Il numero delle ripetizioni non aggiunge valore probatorio. Detto nella lente della serie: molte copie della stessa sequenza non sono molte prove, sono molte copie.</w:t>
      </w:r>
    </w:p>
    <w:p>
      <w:pPr>
        <w:spacing w:after="120" w:line="276"/>
        <w:jc w:val="both"/>
      </w:pPr>
      <w:r>
        <w:rPr>
          <w:rFonts w:ascii="Barlow Semi Condensed" w:cs="Barlow Semi Condensed" w:eastAsia="Barlow Semi Condensed" w:hAnsi="Barlow Semi Condensed"/>
          <w:b/>
          <w:bCs/>
          <w:sz w:val="24"/>
          <w:szCs w:val="24"/>
        </w:rPr>
        <w:t xml:space="preserve">980 · Il registro del giudicato, unico luogo dei nomi.</w:t>
      </w:r>
      <w:r>
        <w:rPr>
          <w:rFonts w:ascii="Barlow Semi Condensed" w:cs="Barlow Semi Condensed" w:eastAsia="Barlow Semi Condensed" w:hAnsi="Barlow Semi Condensed"/>
          <w:sz w:val="24"/>
          <w:szCs w:val="24"/>
        </w:rPr>
        <w:t xml:space="preserve"> Regola strutturale dell'intero corpus, qui ribadita come clausola di chiusura della metafora: i nomi delle persone responsabili stanno in un solo posto, il registro delle condanne definitive, e vi stanno con la condotta che il giudice ha attribuito a ciascuna. Fuori da quel registro l'opera nomina soggetti di fatti, mai predicati di colpe. Nessuna lente interpretativa, nessuna centralità di rete e nessuna verosimiglianza può aggiungere una riga a quell'elenco.</w:t>
      </w:r>
    </w:p>
    <w:p>
      <w:pPr>
        <w:spacing w:after="120" w:line="276"/>
        <w:jc w:val="both"/>
      </w:pPr>
      <w:r>
        <w:rPr>
          <w:rFonts w:ascii="Barlow Semi Condensed" w:cs="Barlow Semi Condensed" w:eastAsia="Barlow Semi Condensed" w:hAnsi="Barlow Semi Condensed"/>
          <w:b/>
          <w:bCs/>
          <w:sz w:val="24"/>
          <w:szCs w:val="24"/>
        </w:rPr>
        <w:t xml:space="preserve">981 · Il divieto vale per tutti.</w:t>
      </w:r>
      <w:r>
        <w:rPr>
          <w:rFonts w:ascii="Barlow Semi Condensed" w:cs="Barlow Semi Condensed" w:eastAsia="Barlow Semi Condensed" w:hAnsi="Barlow Semi Condensed"/>
          <w:sz w:val="24"/>
          <w:szCs w:val="24"/>
        </w:rPr>
        <w:t xml:space="preserve"> La disciplina non è una cortesia riservata alla figura che dà il titolo all'opera. Vale identica per i testimoni contestati, per i funzionari nominati nei documenti desecretati, per i destinatari di provvedimenti amministrativi, per i prosciolti e per i mai imputati, che sono, per l'ordinamento e per quest'opera, innocenti in senso pieno e nominale. Un garantismo selettivo non è garantismo: è una preferenza travestita da metodo.</w:t>
      </w:r>
    </w:p>
    <w:p>
      <w:pPr>
        <w:spacing w:after="120" w:line="276"/>
        <w:jc w:val="both"/>
      </w:pPr>
      <w:r>
        <w:rPr>
          <w:rFonts w:ascii="Barlow Semi Condensed" w:cs="Barlow Semi Condensed" w:eastAsia="Barlow Semi Condensed" w:hAnsi="Barlow Semi Condensed"/>
          <w:b/>
          <w:bCs/>
          <w:sz w:val="24"/>
          <w:szCs w:val="24"/>
        </w:rPr>
        <w:t xml:space="preserve">982 · I nomi vivono più a lungo delle cautele.</w:t>
      </w:r>
      <w:r>
        <w:rPr>
          <w:rFonts w:ascii="Barlow Semi Condensed" w:cs="Barlow Semi Condensed" w:eastAsia="Barlow Semi Condensed" w:hAnsi="Barlow Semi Condensed"/>
          <w:sz w:val="24"/>
          <w:szCs w:val="24"/>
        </w:rPr>
        <w:t xml:space="preserve"> Il presidio del garante lo aveva già enunciato: la cornice si dimentica e il contenuto resta, e un'opera che nomina deve fare i conti col fatto che i suoi nomi sopravvivranno alle sue avvertenze. Da qui la scelta di questa serie: non una premessa da leggere una volta, ma sessanta blocchi distribuiti che ripetono il vincolo dentro il corpo del testo, dove il lettore lo incontra mentre legge e non prima di leggere.</w:t>
      </w:r>
    </w:p>
    <w:p>
      <w:pPr>
        <w:spacing w:after="120" w:line="276"/>
        <w:jc w:val="both"/>
      </w:pPr>
      <w:r>
        <w:rPr>
          <w:rFonts w:ascii="Barlow Semi Condensed" w:cs="Barlow Semi Condensed" w:eastAsia="Barlow Semi Condensed" w:hAnsi="Barlow Semi Condensed"/>
          <w:b/>
          <w:bCs/>
          <w:sz w:val="24"/>
          <w:szCs w:val="24"/>
        </w:rPr>
        <w:t xml:space="preserve">983 · L'esperimento di rimozione.</w:t>
      </w:r>
      <w:r>
        <w:rPr>
          <w:rFonts w:ascii="Barlow Semi Condensed" w:cs="Barlow Semi Condensed" w:eastAsia="Barlow Semi Condensed" w:hAnsi="Barlow Semi Condensed"/>
          <w:sz w:val="24"/>
          <w:szCs w:val="24"/>
        </w:rPr>
        <w:t xml:space="preserve"> Bersaglio metodologico eseguibile da chiunque: si tolga la lente. Si rilegga la triangolazione senza le parole codice, ereditarietà, replicazione, mutazione ed epigenetica, e si veda che cosa cade e che cosa resta. È l'unico modo onesto di misurare quanto la metafora abbia lavorato: se cade un fatto, quel fatto era retorica e va espunto; se non cade nulla, la metafora ha fatto ciò che deve, cioè ordinare domande.</w:t>
      </w:r>
    </w:p>
    <w:p>
      <w:pPr>
        <w:spacing w:after="120" w:line="276"/>
        <w:jc w:val="both"/>
      </w:pPr>
      <w:r>
        <w:rPr>
          <w:rFonts w:ascii="Barlow Semi Condensed" w:cs="Barlow Semi Condensed" w:eastAsia="Barlow Semi Condensed" w:hAnsi="Barlow Semi Condensed"/>
          <w:b/>
          <w:bCs/>
          <w:sz w:val="24"/>
          <w:szCs w:val="24"/>
        </w:rPr>
        <w:t xml:space="preserve">984 · Che cosa resta: i documenti.</w:t>
      </w:r>
      <w:r>
        <w:rPr>
          <w:rFonts w:ascii="Barlow Semi Condensed" w:cs="Barlow Semi Condensed" w:eastAsia="Barlow Semi Condensed" w:hAnsi="Barlow Semi Condensed"/>
          <w:sz w:val="24"/>
          <w:szCs w:val="24"/>
        </w:rPr>
        <w:t xml:space="preserve"> L'esito dell'esperimento è dichiarabile in anticipo, e va dichiarato. Restano i documenti: il memorandum del 25 settembre 1974 e il colloquio del 26, documenti 1552802 e 1552806; il verbale del Comitato dei 303 dell'11 marzo 1969 e l'istruzione di Nixon del dicembre 1969 per uno studio sull'Italia; il memorandum delle Azzorre del 19 giugno 1974; le sentenze dei cinque processi e le relazioni delle due Commissioni. Restano perché non dipendono dalla lente.</w:t>
      </w:r>
    </w:p>
    <w:p>
      <w:pPr>
        <w:spacing w:after="120" w:line="276"/>
        <w:jc w:val="both"/>
      </w:pPr>
      <w:r>
        <w:rPr>
          <w:rFonts w:ascii="Barlow Semi Condensed" w:cs="Barlow Semi Condensed" w:eastAsia="Barlow Semi Condensed" w:hAnsi="Barlow Semi Condensed"/>
          <w:b/>
          <w:bCs/>
          <w:sz w:val="24"/>
          <w:szCs w:val="24"/>
        </w:rPr>
        <w:t xml:space="preserve">985 · Restano gli Stati Zero.</w:t>
      </w:r>
      <w:r>
        <w:rPr>
          <w:rFonts w:ascii="Barlow Semi Condensed" w:cs="Barlow Semi Condensed" w:eastAsia="Barlow Semi Condensed" w:hAnsi="Barlow Semi Condensed"/>
          <w:sz w:val="24"/>
          <w:szCs w:val="24"/>
        </w:rPr>
        <w:t xml:space="preserve"> Resta, con pari dignità, il perimetro negativo: il documento che provi l'eterodirezione del sequestro, cercato e non trovato; il documento che leghi Kissinger persona, o qualunque apparato straniero nominato, alla catena di comando del delitto, cercato e non trovato; gli atti italiani mancanti su più versanti diplomatici, dichiarati con la sede d'archivio dove si chiuderebbero. Un'assenza accertata è conoscenza, e nessuna metafora la produce né la cancella.</w:t>
      </w:r>
    </w:p>
    <w:p>
      <w:pPr>
        <w:spacing w:after="120" w:line="276"/>
        <w:jc w:val="both"/>
      </w:pPr>
      <w:r>
        <w:rPr>
          <w:rFonts w:ascii="Barlow Semi Condensed" w:cs="Barlow Semi Condensed" w:eastAsia="Barlow Semi Condensed" w:hAnsi="Barlow Semi Condensed"/>
          <w:b/>
          <w:bCs/>
          <w:sz w:val="24"/>
          <w:szCs w:val="24"/>
        </w:rPr>
        <w:t xml:space="preserve">986 · Restano le divergenze dichiarate.</w:t>
      </w:r>
      <w:r>
        <w:rPr>
          <w:rFonts w:ascii="Barlow Semi Condensed" w:cs="Barlow Semi Condensed" w:eastAsia="Barlow Semi Condensed" w:hAnsi="Barlow Semi Condensed"/>
          <w:sz w:val="24"/>
          <w:szCs w:val="24"/>
        </w:rPr>
        <w:t xml:space="preserve"> Resta l'obbligo di riportare le divergenze senza sceglierle in silenzio: sulla data dell'episodio contestato, sui conteggi delle fonti, sui luoghi, sulle grafie e sulle paginazioni. La lente non arbitra fra versioni discordi e non le armonizza. Dove le fonti divergono, il blocco elenca le versioni con le loro provenienze e consegna al lettore lo stato reale della documentazione, che in molti punti è uno stato di discordanza dichiarata.</w:t>
      </w:r>
    </w:p>
    <w:p>
      <w:pPr>
        <w:spacing w:after="120" w:line="276"/>
        <w:jc w:val="both"/>
      </w:pPr>
      <w:r>
        <w:rPr>
          <w:rFonts w:ascii="Barlow Semi Condensed" w:cs="Barlow Semi Condensed" w:eastAsia="Barlow Semi Condensed" w:hAnsi="Barlow Semi Condensed"/>
          <w:b/>
          <w:bCs/>
          <w:sz w:val="24"/>
          <w:szCs w:val="24"/>
        </w:rPr>
        <w:t xml:space="preserve">987 · Nessun nesso causale nuovo.</w:t>
      </w:r>
      <w:r>
        <w:rPr>
          <w:rFonts w:ascii="Barlow Semi Condensed" w:cs="Barlow Semi Condensed" w:eastAsia="Barlow Semi Condensed" w:hAnsi="Barlow Semi Condensed"/>
          <w:sz w:val="24"/>
          <w:szCs w:val="24"/>
        </w:rPr>
        <w:t xml:space="preserve"> Dichiarazione di bilancio, da tenere ferma contro ogni lettura affrettata dell'opera: la metafora genetica non ha prodotto un solo nesso causale che non fosse già documentato prima di essa. Non ha promosso alcun piano due a piano uno, non ha trasformato una convergenza in un ponte, non ha aggiunto un nome ad alcun registro. Chi la usasse per farlo userebbe questa lente contro la regola espressa che la governa.</w:t>
      </w:r>
    </w:p>
    <w:p>
      <w:pPr>
        <w:spacing w:after="120" w:line="276"/>
        <w:jc w:val="both"/>
      </w:pPr>
      <w:r>
        <w:rPr>
          <w:rFonts w:ascii="Barlow Semi Condensed" w:cs="Barlow Semi Condensed" w:eastAsia="Barlow Semi Condensed" w:hAnsi="Barlow Semi Condensed"/>
          <w:b/>
          <w:bCs/>
          <w:sz w:val="24"/>
          <w:szCs w:val="24"/>
        </w:rPr>
        <w:t xml:space="preserve">988 · Il guadagno reale della lente.</w:t>
      </w:r>
      <w:r>
        <w:rPr>
          <w:rFonts w:ascii="Barlow Semi Condensed" w:cs="Barlow Semi Condensed" w:eastAsia="Barlow Semi Condensed" w:hAnsi="Barlow Semi Condensed"/>
          <w:sz w:val="24"/>
          <w:szCs w:val="24"/>
        </w:rPr>
        <w:t xml:space="preserve"> Ciò che la metafora ha prodotto è di natura diversa e va rivendicato senza esagerarlo: domande più precise. Chiedere quale sia l'originale di una replicazione, quale l'ambiente di un'espressione differenziale, quale la differenza fra somiglianza per discendenza e somiglianza per funzione significa formulare bersagli documentali dove prima c'erano impressioni. Una lente che migliora le domande ha già fatto il suo mestiere; una che fornisse risposte sarebbe sotto sospetto.</w:t>
      </w:r>
    </w:p>
    <w:p>
      <w:pPr>
        <w:spacing w:after="120" w:line="276"/>
        <w:jc w:val="both"/>
      </w:pPr>
      <w:r>
        <w:rPr>
          <w:rFonts w:ascii="Barlow Semi Condensed" w:cs="Barlow Semi Condensed" w:eastAsia="Barlow Semi Condensed" w:hAnsi="Barlow Semi Condensed"/>
          <w:b/>
          <w:bCs/>
          <w:sz w:val="24"/>
          <w:szCs w:val="24"/>
        </w:rPr>
        <w:t xml:space="preserve">989 · La prova di sterilità della metafora.</w:t>
      </w:r>
      <w:r>
        <w:rPr>
          <w:rFonts w:ascii="Barlow Semi Condensed" w:cs="Barlow Semi Condensed" w:eastAsia="Barlow Semi Condensed" w:hAnsi="Barlow Semi Condensed"/>
          <w:sz w:val="24"/>
          <w:szCs w:val="24"/>
        </w:rPr>
        <w:t xml:space="preserve"> Test verificabile che la serie propone su se stessa: si scorra l'intera opera e si cerchi un fatto la cui unica fonte sia la metafora. Se esiste, quel fatto va espunto, perché nessun fatto può avere per fonte una figura retorica. L'esito atteso è che non ne esista alcuno, poiché ogni asserzione porta il proprio grado e la propria fonte; ma il test si esegue e non si presume, ed è questa la differenza.</w:t>
      </w:r>
    </w:p>
    <w:p>
      <w:pPr>
        <w:spacing w:after="120" w:line="276"/>
        <w:jc w:val="both"/>
      </w:pPr>
      <w:r>
        <w:rPr>
          <w:rFonts w:ascii="Barlow Semi Condensed" w:cs="Barlow Semi Condensed" w:eastAsia="Barlow Semi Condensed" w:hAnsi="Barlow Semi Condensed"/>
          <w:b/>
          <w:bCs/>
          <w:sz w:val="24"/>
          <w:szCs w:val="24"/>
        </w:rPr>
        <w:t xml:space="preserve">990 · L'onere sta sull'affermazione.</w:t>
      </w:r>
      <w:r>
        <w:rPr>
          <w:rFonts w:ascii="Barlow Semi Condensed" w:cs="Barlow Semi Condensed" w:eastAsia="Barlow Semi Condensed" w:hAnsi="Barlow Semi Condensed"/>
          <w:sz w:val="24"/>
          <w:szCs w:val="24"/>
        </w:rPr>
        <w:t xml:space="preserve"> Regola generale che discende dal test di sterilità: l'onere della prova grava sempre sull'affermazione fattuale, mai sulla chiave interpretativa. Chi contesta la lente esprime una preferenza di lettura, legittima e non decisiva; chi contesta un fatto deve portare un documento, e sarà ascoltato. Confondere i due piani è il modo più comune di trasformare una discussione storiografica in una disputa di gusto, dove nessuna delle due parti può perdere.</w:t>
      </w:r>
    </w:p>
    <w:p>
      <w:pPr>
        <w:spacing w:after="120" w:line="276"/>
        <w:jc w:val="both"/>
      </w:pPr>
      <w:r>
        <w:rPr>
          <w:rFonts w:ascii="Barlow Semi Condensed" w:cs="Barlow Semi Condensed" w:eastAsia="Barlow Semi Condensed" w:hAnsi="Barlow Semi Condensed"/>
          <w:b/>
          <w:bCs/>
          <w:sz w:val="24"/>
          <w:szCs w:val="24"/>
        </w:rPr>
        <w:t xml:space="preserve">991 · La chiave si dichiara in copertina.</w:t>
      </w:r>
      <w:r>
        <w:rPr>
          <w:rFonts w:ascii="Barlow Semi Condensed" w:cs="Barlow Semi Condensed" w:eastAsia="Barlow Semi Condensed" w:hAnsi="Barlow Semi Condensed"/>
          <w:sz w:val="24"/>
          <w:szCs w:val="24"/>
        </w:rPr>
        <w:t xml:space="preserve"> Regola di forma con un contenuto sostanziale: una chiave interpretativa si dichiara in apertura, prima che il lettore incontri il primo fatto, e si dichiara come chiave. Che Kissinger rappresenti metaforicamente la genetica è un'ipotesi di lettura scelta dal committente dell'opera, non un risultato dell'opera. Il lettore ha diritto di sapere dalla prima riga che cosa gli è stato messo davanti agli occhi, e da chi.</w:t>
      </w:r>
    </w:p>
    <w:p>
      <w:pPr>
        <w:spacing w:after="120" w:line="276"/>
        <w:jc w:val="both"/>
      </w:pPr>
      <w:r>
        <w:rPr>
          <w:rFonts w:ascii="Barlow Semi Condensed" w:cs="Barlow Semi Condensed" w:eastAsia="Barlow Semi Condensed" w:hAnsi="Barlow Semi Condensed"/>
          <w:b/>
          <w:bCs/>
          <w:sz w:val="24"/>
          <w:szCs w:val="24"/>
        </w:rPr>
        <w:t xml:space="preserve">992 · Una lente non si dimostra col testo.</w:t>
      </w:r>
      <w:r>
        <w:rPr>
          <w:rFonts w:ascii="Barlow Semi Condensed" w:cs="Barlow Semi Condensed" w:eastAsia="Barlow Semi Condensed" w:hAnsi="Barlow Semi Condensed"/>
          <w:sz w:val="24"/>
          <w:szCs w:val="24"/>
        </w:rPr>
        <w:t xml:space="preserve"> Corollario, ed è il vizio che questa serie esiste per impedire: nessuna quantità di testo scritto sotto una lente dimostra la lente. Sessanta blocchi coerenti con la metafora genetica non provano che la metafora sia vera, esattamente come un romanzo coerente non prova i propri presupposti. La coerenza interna è una virtù letteraria e un pericolo epistemologico: provano soltanto i documenti, e i documenti non sanno nulla delle chiavi che li ordinano.</w:t>
      </w:r>
    </w:p>
    <w:p>
      <w:pPr>
        <w:spacing w:after="120" w:line="276"/>
        <w:jc w:val="both"/>
      </w:pPr>
      <w:r>
        <w:rPr>
          <w:rFonts w:ascii="Barlow Semi Condensed" w:cs="Barlow Semi Condensed" w:eastAsia="Barlow Semi Condensed" w:hAnsi="Barlow Semi Condensed"/>
          <w:b/>
          <w:bCs/>
          <w:sz w:val="24"/>
          <w:szCs w:val="24"/>
        </w:rPr>
        <w:t xml:space="preserve">993 · La circolarità, il vizio da nominare.</w:t>
      </w:r>
      <w:r>
        <w:rPr>
          <w:rFonts w:ascii="Barlow Semi Condensed" w:cs="Barlow Semi Condensed" w:eastAsia="Barlow Semi Condensed" w:hAnsi="Barlow Semi Condensed"/>
          <w:sz w:val="24"/>
          <w:szCs w:val="24"/>
        </w:rPr>
        <w:t xml:space="preserve"> Il meccanismo va nominato perché sia riconoscibile: si adotta una lente, si selezionano i fatti che essa illumina, si conclude che i fatti confermano la lente. È il bias di conferma nella sua forma più elegante, e il manuale investigativo gli oppone l'antidoto procedurale, elencare per prime le evidenze che smentirebbero e cercarle per prime. Questa serie applica l'antidoto alla metafora stessa, che è il caso più difficile di tutti.</w:t>
      </w:r>
    </w:p>
    <w:p>
      <w:pPr>
        <w:spacing w:after="120" w:line="276"/>
        <w:jc w:val="both"/>
      </w:pPr>
      <w:r>
        <w:rPr>
          <w:rFonts w:ascii="Barlow Semi Condensed" w:cs="Barlow Semi Condensed" w:eastAsia="Barlow Semi Condensed" w:hAnsi="Barlow Semi Condensed"/>
          <w:b/>
          <w:bCs/>
          <w:sz w:val="24"/>
          <w:szCs w:val="24"/>
        </w:rPr>
        <w:t xml:space="preserve">994 · Il diritto di rifiutare la lente.</w:t>
      </w:r>
      <w:r>
        <w:rPr>
          <w:rFonts w:ascii="Barlow Semi Condensed" w:cs="Barlow Semi Condensed" w:eastAsia="Barlow Semi Condensed" w:hAnsi="Barlow Semi Condensed"/>
          <w:sz w:val="24"/>
          <w:szCs w:val="24"/>
        </w:rPr>
        <w:t xml:space="preserve"> Un lettore può respingere integralmente la chiave genetica e continuare a usare quest'opera: perderebbe l'ordine delle domande e non un solo fatto, perché nessun fatto vi è appeso. È il criterio pratico che distingue una chiave onesta da una tesi mascherata. Se rifiutare la lente costringesse a rifiutare anche le acquisizioni documentali, la lente non sarebbe una lente: sarebbe la conclusione dell'opera, scritta all'inizio.</w:t>
      </w:r>
    </w:p>
    <w:p>
      <w:pPr>
        <w:spacing w:after="120" w:line="276"/>
        <w:jc w:val="both"/>
      </w:pPr>
      <w:r>
        <w:rPr>
          <w:rFonts w:ascii="Barlow Semi Condensed" w:cs="Barlow Semi Condensed" w:eastAsia="Barlow Semi Condensed" w:hAnsi="Barlow Semi Condensed"/>
          <w:b/>
          <w:bCs/>
          <w:sz w:val="24"/>
          <w:szCs w:val="24"/>
        </w:rPr>
        <w:t xml:space="preserve">995 · Il criterio di smentita dell'intera opera.</w:t>
      </w:r>
      <w:r>
        <w:rPr>
          <w:rFonts w:ascii="Barlow Semi Condensed" w:cs="Barlow Semi Condensed" w:eastAsia="Barlow Semi Condensed" w:hAnsi="Barlow Semi Condensed"/>
          <w:sz w:val="24"/>
          <w:szCs w:val="24"/>
        </w:rPr>
        <w:t xml:space="preserve"> Che cosa smentirebbe questa triangolazione per intero, e non nei dettagli: la dimostrazione documentale che uno dei suoi ponti dichiarati al piano due sia in realtà al piano uno e sia stato taciuto, oppure che un suo blocco abbia attribuito una condotta a una persona oltre il giudicato. Il primo caso proverebbe reticenza, il secondo abuso. Entrambi si accertano su testo e documenti, e in entrambi i casi l'opera avrebbe torto.</w:t>
      </w:r>
    </w:p>
    <w:p>
      <w:pPr>
        <w:spacing w:after="120" w:line="276"/>
        <w:jc w:val="both"/>
      </w:pPr>
      <w:r>
        <w:rPr>
          <w:rFonts w:ascii="Barlow Semi Condensed" w:cs="Barlow Semi Condensed" w:eastAsia="Barlow Semi Condensed" w:hAnsi="Barlow Semi Condensed"/>
          <w:b/>
          <w:bCs/>
          <w:sz w:val="24"/>
          <w:szCs w:val="24"/>
        </w:rPr>
        <w:t xml:space="preserve">996 · Ciò che non smentirebbe l'opera.</w:t>
      </w:r>
      <w:r>
        <w:rPr>
          <w:rFonts w:ascii="Barlow Semi Condensed" w:cs="Barlow Semi Condensed" w:eastAsia="Barlow Semi Condensed" w:hAnsi="Barlow Semi Condensed"/>
          <w:sz w:val="24"/>
          <w:szCs w:val="24"/>
        </w:rPr>
        <w:t xml:space="preserve"> Simmetricamente, e per evitare smentite fittizie: non la smentirebbe la scoperta che la metafora genetica è inelegante o inutile, perché una metafora non è un'asserzione sul mondo; non la smentirebbe un documento nuovo che sposti un grado, perché lo spostamento dei gradi è precisamente ciò che l'opera chiede; non la smentirebbe il disaccordo sul giudizio storico, che è materia legittima e distinta dall'accertamento dei fatti.</w:t>
      </w:r>
    </w:p>
    <w:p>
      <w:pPr>
        <w:spacing w:after="120" w:line="276"/>
        <w:jc w:val="both"/>
      </w:pPr>
      <w:r>
        <w:rPr>
          <w:rFonts w:ascii="Barlow Semi Condensed" w:cs="Barlow Semi Condensed" w:eastAsia="Barlow Semi Condensed" w:hAnsi="Barlow Semi Condensed"/>
          <w:b/>
          <w:bCs/>
          <w:sz w:val="24"/>
          <w:szCs w:val="24"/>
        </w:rPr>
        <w:t xml:space="preserve">997 · La correzione per nota, non per riscrittura.</w:t>
      </w:r>
      <w:r>
        <w:rPr>
          <w:rFonts w:ascii="Barlow Semi Condensed" w:cs="Barlow Semi Condensed" w:eastAsia="Barlow Semi Condensed" w:hAnsi="Barlow Semi Condensed"/>
          <w:sz w:val="24"/>
          <w:szCs w:val="24"/>
        </w:rPr>
        <w:t xml:space="preserve"> Il corpus corregge annotando e non riscrivendo: la lezione originaria resta leggibile e la correzione le si affianca, con la sua data e la sua ragione. È la procedura già applicata al nodo M-5 e alle matrici del documento di metodo. Chi porterà a quest'opera un bersaglio mal posto, un giacimento ignorato o una data sbagliata riceverà una nota di revisione e un ringraziamento per iscritto: un'opera che non può essere corretta è morta.</w:t>
      </w:r>
    </w:p>
    <w:p>
      <w:pPr>
        <w:spacing w:after="120" w:line="276"/>
        <w:jc w:val="both"/>
      </w:pPr>
      <w:r>
        <w:rPr>
          <w:rFonts w:ascii="Barlow Semi Condensed" w:cs="Barlow Semi Condensed" w:eastAsia="Barlow Semi Condensed" w:hAnsi="Barlow Semi Condensed"/>
          <w:b/>
          <w:bCs/>
          <w:sz w:val="24"/>
          <w:szCs w:val="24"/>
        </w:rPr>
        <w:t xml:space="preserve">998 · Le sei vittime, il presidio.</w:t>
      </w:r>
      <w:r>
        <w:rPr>
          <w:rFonts w:ascii="Barlow Semi Condensed" w:cs="Barlow Semi Condensed" w:eastAsia="Barlow Semi Condensed" w:hAnsi="Barlow Semi Condensed"/>
          <w:sz w:val="24"/>
          <w:szCs w:val="24"/>
        </w:rPr>
        <w:t xml:space="preserve"> Prima di chiudere, i nomi che stanno in testa a ogni pagina del corpus e che nessuna metafora deve coprire: Oreste Leonardi, Domenico Ricci, Giulio Rivera, Francesco Zizzi, Raffaele Iozzino, Aldo Moro. Sessanta blocchi di disciplina servono a una cosa sola e concreta: che ciò che accadde a loro sia scritto fin dove le carte arrivano, e non sia inventato dove le carte non arrivano.</w:t>
      </w:r>
    </w:p>
    <w:p>
      <w:pPr>
        <w:spacing w:after="120" w:line="276"/>
        <w:jc w:val="both"/>
      </w:pPr>
      <w:r>
        <w:rPr>
          <w:rFonts w:ascii="Barlow Semi Condensed" w:cs="Barlow Semi Condensed" w:eastAsia="Barlow Semi Condensed" w:hAnsi="Barlow Semi Condensed"/>
          <w:b/>
          <w:bCs/>
          <w:sz w:val="24"/>
          <w:szCs w:val="24"/>
        </w:rPr>
        <w:t xml:space="preserve">999 · Il fascicolo resta aperto.</w:t>
      </w:r>
      <w:r>
        <w:rPr>
          <w:rFonts w:ascii="Barlow Semi Condensed" w:cs="Barlow Semi Condensed" w:eastAsia="Barlow Semi Condensed" w:hAnsi="Barlow Semi Condensed"/>
          <w:sz w:val="24"/>
          <w:szCs w:val="24"/>
        </w:rPr>
        <w:t xml:space="preserve"> L'opera non si chiude perché il caso non è chiuso: il fascicolo della Procura di Roma sulle terze presenze è vivo, nuovi esami sui reperti sono stati disposti, gli archivi stranieri hanno serie non ancora spogliate, e l'Archivio storico-diplomatico della Farnesina attende sugli anni 1969-1974 una campagna che nessuno ha ancora condotto. Chiudere qui significa consegnare bersagli e non conclusioni, che è la sola forma di conclusione lecita.</w:t>
      </w:r>
    </w:p>
    <w:p>
      <w:pPr>
        <w:spacing w:after="120" w:line="276"/>
        <w:jc w:val="both"/>
      </w:pPr>
      <w:r>
        <w:rPr>
          <w:rFonts w:ascii="Barlow Semi Condensed" w:cs="Barlow Semi Condensed" w:eastAsia="Barlow Semi Condensed" w:hAnsi="Barlow Semi Condensed"/>
          <w:b/>
          <w:bCs/>
          <w:sz w:val="24"/>
          <w:szCs w:val="24"/>
        </w:rPr>
        <w:t xml:space="preserve">1000 · La riga di chiusura.</w:t>
      </w:r>
      <w:r>
        <w:rPr>
          <w:rFonts w:ascii="Barlow Semi Condensed" w:cs="Barlow Semi Condensed" w:eastAsia="Barlow Semi Condensed" w:hAnsi="Barlow Semi Condensed"/>
          <w:sz w:val="24"/>
          <w:szCs w:val="24"/>
        </w:rPr>
        <w:t xml:space="preserve"> Se questa triangolazione ha un lascito, è una sottrazione: ha tolto alla metafora il potere di condannare e le ha lasciato quello di interrogare. Kissinger rappresenta metaforicamente la genetica soltanto finché la genetica non pretende di rappresentare una colpa; da quel punto in poi la lente si depone, e restano i documenti, che c'erano prima e ci saranno dopo. La colpa non si eredita.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quattordicesima — Il ritratto: l’uomo prima del caso</w:t>
      </w:r>
    </w:p>
    <w:p>
      <w:pPr>
        <w:spacing w:after="120" w:line="276"/>
        <w:jc w:val="both"/>
      </w:pPr>
      <w:r>
        <w:rPr>
          <w:rFonts w:ascii="Barlow Semi Condensed" w:cs="Barlow Semi Condensed" w:eastAsia="Barlow Semi Condensed" w:hAnsi="Barlow Semi Condensed"/>
          <w:i/>
          <w:iCs/>
          <w:sz w:val="24"/>
          <w:szCs w:val="24"/>
        </w:rPr>
        <w:t xml:space="preserve">Blocchi 1001-1070.</w:t>
      </w:r>
    </w:p>
    <w:p>
      <w:pPr>
        <w:spacing w:after="120" w:line="276"/>
        <w:jc w:val="both"/>
      </w:pPr>
      <w:r>
        <w:rPr>
          <w:rFonts w:ascii="Barlow Semi Condensed" w:cs="Barlow Semi Condensed" w:eastAsia="Barlow Semi Condensed" w:hAnsi="Barlow Semi Condensed"/>
          <w:b/>
          <w:bCs/>
          <w:sz w:val="24"/>
          <w:szCs w:val="24"/>
        </w:rPr>
        <w:t xml:space="preserve">1001 · La stringa assente nel ritratto.</w:t>
      </w:r>
      <w:r>
        <w:rPr>
          <w:rFonts w:ascii="Barlow Semi Condensed" w:cs="Barlow Semi Condensed" w:eastAsia="Barlow Semi Condensed" w:hAnsi="Barlow Semi Condensed"/>
          <w:sz w:val="24"/>
          <w:szCs w:val="24"/>
        </w:rPr>
        <w:t xml:space="preserve"> Verifica meccanica eseguita sul file della Fase ottava: il nome di Henry Kissinger ricorre zero volte nei capitoli 62-67 e nel congedo. Non è reticenza, è perimetro: quella Fase dichiara di trattare l'uomo prima del caso, la formazione, le idee dei suoi scritti pubblici. Accertamento di grado alto sul testo, non sull'archivio. Da qui parte la serie, e il territorio assegnato è muto su questo nome.</w:t>
      </w:r>
    </w:p>
    <w:p>
      <w:pPr>
        <w:spacing w:after="120" w:line="276"/>
        <w:jc w:val="both"/>
      </w:pPr>
      <w:r>
        <w:rPr>
          <w:rFonts w:ascii="Barlow Semi Condensed" w:cs="Barlow Semi Condensed" w:eastAsia="Barlow Semi Condensed" w:hAnsi="Barlow Semi Condensed"/>
          <w:b/>
          <w:bCs/>
          <w:sz w:val="24"/>
          <w:szCs w:val="24"/>
        </w:rPr>
        <w:t xml:space="preserve">1002 · Che cosa significa un silenzio dichiarato.</w:t>
      </w:r>
      <w:r>
        <w:rPr>
          <w:rFonts w:ascii="Barlow Semi Condensed" w:cs="Barlow Semi Condensed" w:eastAsia="Barlow Semi Condensed" w:hAnsi="Barlow Semi Condensed"/>
          <w:sz w:val="24"/>
          <w:szCs w:val="24"/>
        </w:rPr>
        <w:t xml:space="preserve"> Regola di lettura, prima di ogni altra cosa. Il silenzio di un testo non è uno Stato Zero d'archivio: lo Stato Zero si predica di una ricerca condotta in una sede nominata, il silenzio di un capitolo si predica del suo oggetto. La Fase ottava non ha cercato questo nome e non lo ha mancato: lo ha escluso per statuto. Confondere i due esiti falserebbe l'intero conto della serie.</w:t>
      </w:r>
    </w:p>
    <w:p>
      <w:pPr>
        <w:spacing w:after="120" w:line="276"/>
        <w:jc w:val="both"/>
      </w:pPr>
      <w:r>
        <w:rPr>
          <w:rFonts w:ascii="Barlow Semi Condensed" w:cs="Barlow Semi Condensed" w:eastAsia="Barlow Semi Condensed" w:hAnsi="Barlow Semi Condensed"/>
          <w:b/>
          <w:bCs/>
          <w:sz w:val="24"/>
          <w:szCs w:val="24"/>
        </w:rPr>
        <w:t xml:space="preserve">1003 · Il perimetro dei capitoli sessantadue-sessantasette.</w:t>
      </w:r>
      <w:r>
        <w:rPr>
          <w:rFonts w:ascii="Barlow Semi Condensed" w:cs="Barlow Semi Condensed" w:eastAsia="Barlow Semi Condensed" w:hAnsi="Barlow Semi Condensed"/>
          <w:sz w:val="24"/>
          <w:szCs w:val="24"/>
        </w:rPr>
        <w:t xml:space="preserve"> Si elenchi ordinatamente ciò che il territorio contiene: Maglie 1916, la FUCI, la cattedra di diritto penale a Bari, il costituente, la strategia dell'attenzione, la solidarietà nazionale e la terza fase, le novanta lettere, la ragione umana del colpo. Nessuna di queste voci è per sua natura luogo di rapporto diretto con un Segretario di Stato americano. Il territorio è biografico e dottrinale, e vi si lavora quasi solo per assenze.</w:t>
      </w:r>
    </w:p>
    <w:p>
      <w:pPr>
        <w:spacing w:after="120" w:line="276"/>
        <w:jc w:val="both"/>
      </w:pPr>
      <w:r>
        <w:rPr>
          <w:rFonts w:ascii="Barlow Semi Condensed" w:cs="Barlow Semi Condensed" w:eastAsia="Barlow Semi Condensed" w:hAnsi="Barlow Semi Condensed"/>
          <w:b/>
          <w:bCs/>
          <w:sz w:val="24"/>
          <w:szCs w:val="24"/>
        </w:rPr>
        <w:t xml:space="preserve">1004 · L'unico varco possibile al piano uno.</w:t>
      </w:r>
      <w:r>
        <w:rPr>
          <w:rFonts w:ascii="Barlow Semi Condensed" w:cs="Barlow Semi Condensed" w:eastAsia="Barlow Semi Condensed" w:hAnsi="Barlow Semi Condensed"/>
          <w:sz w:val="24"/>
          <w:szCs w:val="24"/>
        </w:rPr>
        <w:t xml:space="preserve"> Esiste nel ritratto un solo punto in cui i due nomi potevano incontrarsi al primo piano: il Moro ministro degli Esteri. Il capitolo sessantatreesimo lo liquida con la formula «più volte ministro» e non entra nei due mandati, il 1969-1972 e il 1973-1974. Scelta compositiva legittima; ne discende però che il ritratto non sfiora mai il verbale del 25 settembre 1974. È rilievo, non censura.</w:t>
      </w:r>
    </w:p>
    <w:p>
      <w:pPr>
        <w:spacing w:after="120" w:line="276"/>
        <w:jc w:val="both"/>
      </w:pPr>
      <w:r>
        <w:rPr>
          <w:rFonts w:ascii="Barlow Semi Condensed" w:cs="Barlow Semi Condensed" w:eastAsia="Barlow Semi Condensed" w:hAnsi="Barlow Semi Condensed"/>
          <w:b/>
          <w:bCs/>
          <w:sz w:val="24"/>
          <w:szCs w:val="24"/>
        </w:rPr>
        <w:t xml:space="preserve">1005 · Il documento che il ritratto non cita.</w:t>
      </w:r>
      <w:r>
        <w:rPr>
          <w:rFonts w:ascii="Barlow Semi Condensed" w:cs="Barlow Semi Condensed" w:eastAsia="Barlow Semi Condensed" w:hAnsi="Barlow Semi Condensed"/>
          <w:sz w:val="24"/>
          <w:szCs w:val="24"/>
        </w:rPr>
        <w:t xml:space="preserve"> Il memorandum of conversation dello Studio Ovale con Leone, Moro, Ford, Kissinger e Scowcroft, file 1552802 della Ford Library ed edito in FRUS 1969-1976, volume E-15 parte seconda, documento 350 nella seconda edizione riveduta, è l'unica carta del corpus in cui i due siedono al medesimo tavolo. Piano uno di co-presenza, non di rapporto personale. La ricognizione della Farnesina lo registra; la Fase ottava no.</w:t>
      </w:r>
    </w:p>
    <w:p>
      <w:pPr>
        <w:spacing w:after="120" w:line="276"/>
        <w:jc w:val="both"/>
      </w:pPr>
      <w:r>
        <w:rPr>
          <w:rFonts w:ascii="Barlow Semi Condensed" w:cs="Barlow Semi Condensed" w:eastAsia="Barlow Semi Condensed" w:hAnsi="Barlow Semi Condensed"/>
          <w:b/>
          <w:bCs/>
          <w:sz w:val="24"/>
          <w:szCs w:val="24"/>
        </w:rPr>
        <w:t xml:space="preserve">1006 · La povertà di quel verbale.</w:t>
      </w:r>
      <w:r>
        <w:rPr>
          <w:rFonts w:ascii="Barlow Semi Condensed" w:cs="Barlow Semi Condensed" w:eastAsia="Barlow Semi Condensed" w:hAnsi="Barlow Semi Condensed"/>
          <w:sz w:val="24"/>
          <w:szCs w:val="24"/>
        </w:rPr>
        <w:t xml:space="preserve"> Anche letto per intero, quel documento restituisce poco dell'uomo che la Fase ottava vuole. Attesta la posizione statunitense sull'impossibilità di condividere informazioni militari con un governo comprendente i comunisti; non contiene alcun ultimatum personale; non attesta una posizione di Moro sul medesimo punto. Per il biografo è fonte magra: dice ciò che disse l'altro, e sul soggetto tace. Il silenzio a verbale resta silenzio.</w:t>
      </w:r>
    </w:p>
    <w:p>
      <w:pPr>
        <w:spacing w:after="120" w:line="276"/>
        <w:jc w:val="both"/>
      </w:pPr>
      <w:r>
        <w:rPr>
          <w:rFonts w:ascii="Barlow Semi Condensed" w:cs="Barlow Semi Condensed" w:eastAsia="Barlow Semi Condensed" w:hAnsi="Barlow Semi Condensed"/>
          <w:b/>
          <w:bCs/>
          <w:sz w:val="24"/>
          <w:szCs w:val="24"/>
        </w:rPr>
        <w:t xml:space="preserve">1007 · Maglie 1916 e Fürth 1923.</w:t>
      </w:r>
      <w:r>
        <w:rPr>
          <w:rFonts w:ascii="Barlow Semi Condensed" w:cs="Barlow Semi Condensed" w:eastAsia="Barlow Semi Condensed" w:hAnsi="Barlow Semi Condensed"/>
          <w:sz w:val="24"/>
          <w:szCs w:val="24"/>
        </w:rPr>
        <w:t xml:space="preserve"> Due anagrafi accertate, sette anni e duemila chilometri di distanza: Aldo Moro nato a Maglie il 23 settembre 1916; Heinz Alfred Kissinger a Fürth il 27 maggio 1923. Il dato serve a una sola funzione e conviene dirla: nessun documento reperito nel corpus lega le due biografie prima del 1969. Ogni accostamento anteriore appartiene al terzo piano e va registrato come tale, senza eccezioni.</w:t>
      </w:r>
    </w:p>
    <w:p>
      <w:pPr>
        <w:spacing w:after="120" w:line="276"/>
        <w:jc w:val="both"/>
      </w:pPr>
      <w:r>
        <w:rPr>
          <w:rFonts w:ascii="Barlow Semi Condensed" w:cs="Barlow Semi Condensed" w:eastAsia="Barlow Semi Condensed" w:hAnsi="Barlow Semi Condensed"/>
          <w:b/>
          <w:bCs/>
          <w:sz w:val="24"/>
          <w:szCs w:val="24"/>
        </w:rPr>
        <w:t xml:space="preserve">1008 · Gli anni della FUCI e la naturalizzazione.</w:t>
      </w:r>
      <w:r>
        <w:rPr>
          <w:rFonts w:ascii="Barlow Semi Condensed" w:cs="Barlow Semi Condensed" w:eastAsia="Barlow Semi Condensed" w:hAnsi="Barlow Semi Condensed"/>
          <w:sz w:val="24"/>
          <w:szCs w:val="24"/>
        </w:rPr>
        <w:t xml:space="preserve"> Fra il 1939 e il 1943 Moro presiedeva la Federazione Universitaria Cattolica Italiana; nello stesso arco Kissinger, emigrato con la famiglia nel settembre 1938, era naturalizzato il 19 giugno 1943 a Camp Croft. Contemporaneità perfetta, nesso nullo. Il blocco esiste per bruciare in anticipo la tentazione simmetrica: due giovani dentro la stessa guerra non compongono un ponte, e la coincidenza d'epoca non ha mai provato nulla.</w:t>
      </w:r>
    </w:p>
    <w:p>
      <w:pPr>
        <w:spacing w:after="120" w:line="276"/>
        <w:jc w:val="both"/>
      </w:pPr>
      <w:r>
        <w:rPr>
          <w:rFonts w:ascii="Barlow Semi Condensed" w:cs="Barlow Semi Condensed" w:eastAsia="Barlow Semi Condensed" w:hAnsi="Barlow Semi Condensed"/>
          <w:b/>
          <w:bCs/>
          <w:sz w:val="24"/>
          <w:szCs w:val="24"/>
        </w:rPr>
        <w:t xml:space="preserve">1009 · Montini, e il tramite che manca.</w:t>
      </w:r>
      <w:r>
        <w:rPr>
          <w:rFonts w:ascii="Barlow Semi Condensed" w:cs="Barlow Semi Condensed" w:eastAsia="Barlow Semi Condensed" w:hAnsi="Barlow Semi Condensed"/>
          <w:sz w:val="24"/>
          <w:szCs w:val="24"/>
        </w:rPr>
        <w:t xml:space="preserve"> Il capitolo sessantaduesimo fa di Giovanni Battista Montini la guida spirituale della formazione morotea. Quesito conseguente: esistono, per il pontificato di Paolo VI, atti che documentino un rapporto fra la Santa Sede e il nome triangolato utile a questo territorio? Il corpus non ne registra alcuno. Sede che chiuderebbe la lacuna: Archivio Apostolico Vaticano, Segreteria di Stato, quando sarà consultabile, secondo la pista P-9 del programma investigativo.</w:t>
      </w:r>
    </w:p>
    <w:p>
      <w:pPr>
        <w:spacing w:after="120" w:line="276"/>
        <w:jc w:val="both"/>
      </w:pPr>
      <w:r>
        <w:rPr>
          <w:rFonts w:ascii="Barlow Semi Condensed" w:cs="Barlow Semi Condensed" w:eastAsia="Barlow Semi Condensed" w:hAnsi="Barlow Semi Condensed"/>
          <w:b/>
          <w:bCs/>
          <w:sz w:val="24"/>
          <w:szCs w:val="24"/>
        </w:rPr>
        <w:t xml:space="preserve">1010 · Due cattedre, nessuna parentela.</w:t>
      </w:r>
      <w:r>
        <w:rPr>
          <w:rFonts w:ascii="Barlow Semi Condensed" w:cs="Barlow Semi Condensed" w:eastAsia="Barlow Semi Condensed" w:hAnsi="Barlow Semi Condensed"/>
          <w:sz w:val="24"/>
          <w:szCs w:val="24"/>
        </w:rPr>
        <w:t xml:space="preserve"> Moro professore di diritto penale a Bari dal 1948, cattedra mai lasciata; Kissinger dottore a Harvard nel 1954 con la dissertazione su Castlereagh e Metternich, censita al blocco 68 dell'opera prima. La somiglianza — l'accademico che passa al governo — è analogia, non omologia. Il test resta uno solo e non ne ammette surrogati: un documento di provenienza che nomini la controparte. Non è stato reperito.</w:t>
      </w:r>
    </w:p>
    <w:p>
      <w:pPr>
        <w:spacing w:after="120" w:line="276"/>
        <w:jc w:val="both"/>
      </w:pPr>
      <w:r>
        <w:rPr>
          <w:rFonts w:ascii="Barlow Semi Condensed" w:cs="Barlow Semi Condensed" w:eastAsia="Barlow Semi Condensed" w:hAnsi="Barlow Semi Condensed"/>
          <w:b/>
          <w:bCs/>
          <w:sz w:val="24"/>
          <w:szCs w:val="24"/>
        </w:rPr>
        <w:t xml:space="preserve">1011 · Il penalista e il teorico dell'equilibrio.</w:t>
      </w:r>
      <w:r>
        <w:rPr>
          <w:rFonts w:ascii="Barlow Semi Condensed" w:cs="Barlow Semi Condensed" w:eastAsia="Barlow Semi Condensed" w:hAnsi="Barlow Semi Condensed"/>
          <w:sz w:val="24"/>
          <w:szCs w:val="24"/>
        </w:rPr>
        <w:t xml:space="preserve"> Il capitolo sessantaduesimo fa del giurista la chiave del metodo dell'intera opera: la prova, il procedimento, la garanzia come sostanza della civiltà. La dottrina censita nella seconda serie dell'opera prima muove da un altro asse, l'equilibrio fra potenze. Opporre le due impostazioni è legittimo come storia delle idee; ricavarne un conflitto fra due persone non lo è. La divergenza si iscrive al secondo piano e vi resta.</w:t>
      </w:r>
    </w:p>
    <w:p>
      <w:pPr>
        <w:spacing w:after="120" w:line="276"/>
        <w:jc w:val="both"/>
      </w:pPr>
      <w:r>
        <w:rPr>
          <w:rFonts w:ascii="Barlow Semi Condensed" w:cs="Barlow Semi Condensed" w:eastAsia="Barlow Semi Condensed" w:hAnsi="Barlow Semi Condensed"/>
          <w:b/>
          <w:bCs/>
          <w:sz w:val="24"/>
          <w:szCs w:val="24"/>
        </w:rPr>
        <w:t xml:space="preserve">1012 · Le carte del docente.</w:t>
      </w:r>
      <w:r>
        <w:rPr>
          <w:rFonts w:ascii="Barlow Semi Condensed" w:cs="Barlow Semi Condensed" w:eastAsia="Barlow Semi Condensed" w:hAnsi="Barlow Semi Condensed"/>
          <w:sz w:val="24"/>
          <w:szCs w:val="24"/>
        </w:rPr>
        <w:t xml:space="preserve"> Il blocco 225 dei nove cantieri censisce le carte dell'insegnamento di Moro. Quesito eseguibile subito: nell'inventario analitico del fondo personale «Aldo Moro» all'Archivio centrale dello Stato — duecentodiciotto buste, carte dal 1953 al 1978 — le serie di corrispondenza e di studio recano riferimenti nominativi al soggetto di questa triangolazione? Stato Zero finché lo spoglio non è compiuto. La sede è indicata, il lavoro non è fatto.</w:t>
      </w:r>
    </w:p>
    <w:p>
      <w:pPr>
        <w:spacing w:after="120" w:line="276"/>
        <w:jc w:val="both"/>
      </w:pPr>
      <w:r>
        <w:rPr>
          <w:rFonts w:ascii="Barlow Semi Condensed" w:cs="Barlow Semi Condensed" w:eastAsia="Barlow Semi Condensed" w:hAnsi="Barlow Semi Condensed"/>
          <w:b/>
          <w:bCs/>
          <w:sz w:val="24"/>
          <w:szCs w:val="24"/>
        </w:rPr>
        <w:t xml:space="preserve">1013 · Il fondo affidato dalla famiglia.</w:t>
      </w:r>
      <w:r>
        <w:rPr>
          <w:rFonts w:ascii="Barlow Semi Condensed" w:cs="Barlow Semi Condensed" w:eastAsia="Barlow Semi Condensed" w:hAnsi="Barlow Semi Condensed"/>
          <w:sz w:val="24"/>
          <w:szCs w:val="24"/>
        </w:rPr>
        <w:t xml:space="preserve"> Secondo nucleo, distinto per storia archivistica e per regole d'accesso: il fondo «Aldo Moro» depositato dalla famiglia presso il Centro documentazione Archivio Flamigni fra il 2012 e il 2016, con carte dagli anni Trenta. È la sede naturale della biografia privata che la Fase ottava racconta. Quesito: vi resta traccia del viaggio del settembre 1974 e del suo racconto domestico? Nessuno spoglio in tal senso è documentato.</w:t>
      </w:r>
    </w:p>
    <w:p>
      <w:pPr>
        <w:spacing w:after="120" w:line="276"/>
        <w:jc w:val="both"/>
      </w:pPr>
      <w:r>
        <w:rPr>
          <w:rFonts w:ascii="Barlow Semi Condensed" w:cs="Barlow Semi Condensed" w:eastAsia="Barlow Semi Condensed" w:hAnsi="Barlow Semi Condensed"/>
          <w:b/>
          <w:bCs/>
          <w:sz w:val="24"/>
          <w:szCs w:val="24"/>
        </w:rPr>
        <w:t xml:space="preserve">1014 · L'Edizione nazionale come strumento di prova.</w:t>
      </w:r>
      <w:r>
        <w:rPr>
          <w:rFonts w:ascii="Barlow Semi Condensed" w:cs="Barlow Semi Condensed" w:eastAsia="Barlow Semi Condensed" w:hAnsi="Barlow Semi Condensed"/>
          <w:sz w:val="24"/>
          <w:szCs w:val="24"/>
        </w:rPr>
        <w:t xml:space="preserve"> L'Edizione nazionale delle opere di Aldo Moro, istituita nel 2016 e curata all'Università di Bologna, è digitale e ad accesso aperto: consente l'interrogazione per nome sull'intero corpus edito. Il bersaglio è elementare e dirimente insieme: quante occorrenze del nome negli scritti e nei discorsi di Moro, e in quali contesti. Finché quella interrogazione non è eseguita e verbalizzata, ogni affermazione sul punto resta congettura.</w:t>
      </w:r>
    </w:p>
    <w:p>
      <w:pPr>
        <w:spacing w:after="120" w:line="276"/>
        <w:jc w:val="both"/>
      </w:pPr>
      <w:r>
        <w:rPr>
          <w:rFonts w:ascii="Barlow Semi Condensed" w:cs="Barlow Semi Condensed" w:eastAsia="Barlow Semi Condensed" w:hAnsi="Barlow Semi Condensed"/>
          <w:b/>
          <w:bCs/>
          <w:sz w:val="24"/>
          <w:szCs w:val="24"/>
        </w:rPr>
        <w:t xml:space="preserve">1015 · Perché l'indice per nome non basta.</w:t>
      </w:r>
      <w:r>
        <w:rPr>
          <w:rFonts w:ascii="Barlow Semi Condensed" w:cs="Barlow Semi Condensed" w:eastAsia="Barlow Semi Condensed" w:hAnsi="Barlow Semi Condensed"/>
          <w:sz w:val="24"/>
          <w:szCs w:val="24"/>
        </w:rPr>
        <w:t xml:space="preserve"> La serie prima dell'opera prima stabilisce che si verifica la stringa prima di interrogare l'archivio, perché l'archivio risponde a ciò che gli si chiede. Applicato qui: nel corpus moroteo edito vanno cercate anche le forme indirette, «il Segretario di Stato», «Washington», «l'alleato», perché un ministro degli Esteri nomina spesso la carica e non la persona. Un indice onomastico, da solo, produrrebbe un falso Stato Zero.</w:t>
      </w:r>
    </w:p>
    <w:p>
      <w:pPr>
        <w:spacing w:after="120" w:line="276"/>
        <w:jc w:val="both"/>
      </w:pPr>
      <w:r>
        <w:rPr>
          <w:rFonts w:ascii="Barlow Semi Condensed" w:cs="Barlow Semi Condensed" w:eastAsia="Barlow Semi Condensed" w:hAnsi="Barlow Semi Condensed"/>
          <w:b/>
          <w:bCs/>
          <w:sz w:val="24"/>
          <w:szCs w:val="24"/>
        </w:rPr>
        <w:t xml:space="preserve">1016 · Treccani, e il limite del terziario.</w:t>
      </w:r>
      <w:r>
        <w:rPr>
          <w:rFonts w:ascii="Barlow Semi Condensed" w:cs="Barlow Semi Condensed" w:eastAsia="Barlow Semi Condensed" w:hAnsi="Barlow Semi Condensed"/>
          <w:sz w:val="24"/>
          <w:szCs w:val="24"/>
        </w:rPr>
        <w:t xml:space="preserve"> La Fase ottava poggia su Treccani per la formazione e per la strategia dell'attenzione. Verifica ancora da compiere: quella voce nomina il soggetto triangolato? Se non lo nomina, il silenzio del ritratto eredita il silenzio della propria fonte e non è una scelta del corpus. Regola che ne discende: prima di attribuire a un testo una decisione, si controlla se la decisione appartenga già alla sua fonte.</w:t>
      </w:r>
    </w:p>
    <w:p>
      <w:pPr>
        <w:spacing w:after="120" w:line="276"/>
        <w:jc w:val="both"/>
      </w:pPr>
      <w:r>
        <w:rPr>
          <w:rFonts w:ascii="Barlow Semi Condensed" w:cs="Barlow Semi Condensed" w:eastAsia="Barlow Semi Condensed" w:hAnsi="Barlow Semi Condensed"/>
          <w:b/>
          <w:bCs/>
          <w:sz w:val="24"/>
          <w:szCs w:val="24"/>
        </w:rPr>
        <w:t xml:space="preserve">1017 · Il costituente e il non interlocutore.</w:t>
      </w:r>
      <w:r>
        <w:rPr>
          <w:rFonts w:ascii="Barlow Semi Condensed" w:cs="Barlow Semi Condensed" w:eastAsia="Barlow Semi Condensed" w:hAnsi="Barlow Semi Condensed"/>
          <w:sz w:val="24"/>
          <w:szCs w:val="24"/>
        </w:rPr>
        <w:t xml:space="preserve"> Il 2 giugno 1946 Moro entra all'Assemblea Costituente a ventinove anni; il soggetto della triangolazione, ventitreenne, non ha ancora terminato gli studi. Il capitolo sessantatreesimo descrive un lavoro tutto interno alla fondazione della Repubblica: la prima parte della Costituzione, i rapporti fra cittadino e Stato. Nessun versante estero vi affiora. È il capitolo del territorio in cui la triangolazione produce, correttamente, il nulla più netto.</w:t>
      </w:r>
    </w:p>
    <w:p>
      <w:pPr>
        <w:spacing w:after="120" w:line="276"/>
        <w:jc w:val="both"/>
      </w:pPr>
      <w:r>
        <w:rPr>
          <w:rFonts w:ascii="Barlow Semi Condensed" w:cs="Barlow Semi Condensed" w:eastAsia="Barlow Semi Condensed" w:hAnsi="Barlow Semi Condensed"/>
          <w:b/>
          <w:bCs/>
          <w:sz w:val="24"/>
          <w:szCs w:val="24"/>
        </w:rPr>
        <w:t xml:space="preserve">1018 · Un bersaglio per il capitolo costituente.</w:t>
      </w:r>
      <w:r>
        <w:rPr>
          <w:rFonts w:ascii="Barlow Semi Condensed" w:cs="Barlow Semi Condensed" w:eastAsia="Barlow Semi Condensed" w:hAnsi="Barlow Semi Condensed"/>
          <w:sz w:val="24"/>
          <w:szCs w:val="24"/>
        </w:rPr>
        <w:t xml:space="preserve"> Bersaglio di smentita formulato perché qualcuno lo esegua. Si avrebbe un appiglio al secondo piano se una carta statunitense discutesse la formula costituente morotea, la coesistenza dei diversi, come oggetto di valutazione politica. Sedi presso cui cercarlo: i National Archives di College Park, RG 59, Central Foreign Policy Files, e i Nixon Presidential Materials, NSC Files, Country Files: Italy. Nulla di simile è stato finora reperito.</w:t>
      </w:r>
    </w:p>
    <w:p>
      <w:pPr>
        <w:spacing w:after="120" w:line="276"/>
        <w:jc w:val="both"/>
      </w:pPr>
      <w:r>
        <w:rPr>
          <w:rFonts w:ascii="Barlow Semi Condensed" w:cs="Barlow Semi Condensed" w:eastAsia="Barlow Semi Condensed" w:hAnsi="Barlow Semi Condensed"/>
          <w:b/>
          <w:bCs/>
          <w:sz w:val="24"/>
          <w:szCs w:val="24"/>
        </w:rPr>
        <w:t xml:space="preserve">1019 · Cinque presidenze e una finestra larga.</w:t>
      </w:r>
      <w:r>
        <w:rPr>
          <w:rFonts w:ascii="Barlow Semi Condensed" w:cs="Barlow Semi Condensed" w:eastAsia="Barlow Semi Condensed" w:hAnsi="Barlow Semi Condensed"/>
          <w:sz w:val="24"/>
          <w:szCs w:val="24"/>
        </w:rPr>
        <w:t xml:space="preserve"> Fatti pubblici, accostati senza inferenza: Moro presiedette cinque governi fra il 1963 e il 1976; Kissinger fu Assistente per la sicurezza nazionale dal 20 gennaio 1969 al 3 novembre 1975 e Segretario di Stato dal 22 settembre 1973 al 20 gennaio 1977. La finestra di sovrapposizione istituzionale è ampia. Sovrapposizione non è contatto, e il corpus documenta contatti soltanto per il settembre 1974.</w:t>
      </w:r>
    </w:p>
    <w:p>
      <w:pPr>
        <w:spacing w:after="120" w:line="276"/>
        <w:jc w:val="both"/>
      </w:pPr>
      <w:r>
        <w:rPr>
          <w:rFonts w:ascii="Barlow Semi Condensed" w:cs="Barlow Semi Condensed" w:eastAsia="Barlow Semi Condensed" w:hAnsi="Barlow Semi Condensed"/>
          <w:b/>
          <w:bCs/>
          <w:sz w:val="24"/>
          <w:szCs w:val="24"/>
        </w:rPr>
        <w:t xml:space="preserve">1020 · Il primo incontro non ha data.</w:t>
      </w:r>
      <w:r>
        <w:rPr>
          <w:rFonts w:ascii="Barlow Semi Condensed" w:cs="Barlow Semi Condensed" w:eastAsia="Barlow Semi Condensed" w:hAnsi="Barlow Semi Condensed"/>
          <w:sz w:val="24"/>
          <w:szCs w:val="24"/>
        </w:rPr>
        <w:t xml:space="preserve"> Stato Zero circostanziato e di buon rendimento: il corpus non stabilisce quando i due si incontrarono la prima volta. Moro fu ministro degli Esteri dal 5 agosto 1969, e la ricognizione sui documenti italiani e spagnoli dichiara già lacunose le riunioni ministeriali atlantiche del 1969-1974 con Moro presente. Sedi che chiuderebbero: NATO Archives Online, verbali ministeriali; Archivio Storico Diplomatico della Farnesina, serie atlantica.</w:t>
      </w:r>
    </w:p>
    <w:p>
      <w:pPr>
        <w:spacing w:after="120" w:line="276"/>
        <w:jc w:val="both"/>
      </w:pPr>
      <w:r>
        <w:rPr>
          <w:rFonts w:ascii="Barlow Semi Condensed" w:cs="Barlow Semi Condensed" w:eastAsia="Barlow Semi Condensed" w:hAnsi="Barlow Semi Condensed"/>
          <w:b/>
          <w:bCs/>
          <w:sz w:val="24"/>
          <w:szCs w:val="24"/>
        </w:rPr>
        <w:t xml:space="preserve">1021 · L'oscurità come metodo, senza specchio.</w:t>
      </w:r>
      <w:r>
        <w:rPr>
          <w:rFonts w:ascii="Barlow Semi Condensed" w:cs="Barlow Semi Condensed" w:eastAsia="Barlow Semi Condensed" w:hAnsi="Barlow Semi Condensed"/>
          <w:sz w:val="24"/>
          <w:szCs w:val="24"/>
        </w:rPr>
        <w:t xml:space="preserve"> Il capitolo sessantatreesimo legge la lingua avvolgente di Moro come rispetto della complessità del reale. La pubblicistica accosta volentieri quell'oscurità all'ambiguità calcolata della diplomazia americana di quegli anni. È accostamento retorico e appartiene al terzo piano: nulla lo documenta, e lo documenterebbe solo un atto in cui l'uno dichiari di leggere l'altro. Il blocco lo registra per impedirne l'uso, non per svilupparlo.</w:t>
      </w:r>
    </w:p>
    <w:p>
      <w:pPr>
        <w:spacing w:after="120" w:line="276"/>
        <w:jc w:val="both"/>
      </w:pPr>
      <w:r>
        <w:rPr>
          <w:rFonts w:ascii="Barlow Semi Condensed" w:cs="Barlow Semi Condensed" w:eastAsia="Barlow Semi Condensed" w:hAnsi="Barlow Semi Condensed"/>
          <w:b/>
          <w:bCs/>
          <w:sz w:val="24"/>
          <w:szCs w:val="24"/>
        </w:rPr>
        <w:t xml:space="preserve">1022 · Lo stile di Moro passato per l'interprete.</w:t>
      </w:r>
      <w:r>
        <w:rPr>
          <w:rFonts w:ascii="Barlow Semi Condensed" w:cs="Barlow Semi Condensed" w:eastAsia="Barlow Semi Condensed" w:hAnsi="Barlow Semi Condensed"/>
          <w:sz w:val="24"/>
          <w:szCs w:val="24"/>
        </w:rPr>
        <w:t xml:space="preserve"> Quesito tecnico e chiudibile. Nei verbali statunitensi dei colloqui, la parola di Moro arriva mediata da un interprete e da un verbalizzante; il memorandum del 25 settembre 1974 nasce nell'entourage del Consiglio per la sicurezza nazionale, con Brent Scowcroft presente. Quanto quella mediazione tolga alla lingua che il ritratto celebra è domanda filologica legittima, e ha una sede precisa: la Gerald R. Ford Presidential Library.</w:t>
      </w:r>
    </w:p>
    <w:p>
      <w:pPr>
        <w:spacing w:after="120" w:line="276"/>
        <w:jc w:val="both"/>
      </w:pPr>
      <w:r>
        <w:rPr>
          <w:rFonts w:ascii="Barlow Semi Condensed" w:cs="Barlow Semi Condensed" w:eastAsia="Barlow Semi Condensed" w:hAnsi="Barlow Semi Condensed"/>
          <w:b/>
          <w:bCs/>
          <w:sz w:val="24"/>
          <w:szCs w:val="24"/>
        </w:rPr>
        <w:t xml:space="preserve">1023 · La minuta italiana che manca.</w:t>
      </w:r>
      <w:r>
        <w:rPr>
          <w:rFonts w:ascii="Barlow Semi Condensed" w:cs="Barlow Semi Condensed" w:eastAsia="Barlow Semi Condensed" w:hAnsi="Barlow Semi Condensed"/>
          <w:sz w:val="24"/>
          <w:szCs w:val="24"/>
        </w:rPr>
        <w:t xml:space="preserve"> Stato Zero di rendimento alto: di un colloquio fra due delegazioni esistono di norma due verbali. Il corpus possiede quello americano; della minuta italiana del 25 settembre 1974 non registra né segnatura né consistenza. Sede che la chiuderebbe: Archivio Storico Diplomatico della Farnesina, carte del Gabinetto del ministro e telegrammi dell'Ambasciata d'Italia a Washington per il settembre 1974. Nessuno ha ancora posto quel quesito.</w:t>
      </w:r>
    </w:p>
    <w:p>
      <w:pPr>
        <w:spacing w:after="120" w:line="276"/>
        <w:jc w:val="both"/>
      </w:pPr>
      <w:r>
        <w:rPr>
          <w:rFonts w:ascii="Barlow Semi Condensed" w:cs="Barlow Semi Condensed" w:eastAsia="Barlow Semi Condensed" w:hAnsi="Barlow Semi Condensed"/>
          <w:b/>
          <w:bCs/>
          <w:sz w:val="24"/>
          <w:szCs w:val="24"/>
        </w:rPr>
        <w:t xml:space="preserve">1024 · Perché quella minuta riguarda il ritratto.</w:t>
      </w:r>
      <w:r>
        <w:rPr>
          <w:rFonts w:ascii="Barlow Semi Condensed" w:cs="Barlow Semi Condensed" w:eastAsia="Barlow Semi Condensed" w:hAnsi="Barlow Semi Condensed"/>
          <w:sz w:val="24"/>
          <w:szCs w:val="24"/>
        </w:rPr>
        <w:t xml:space="preserve"> Non è dettaglio da diplomatisti. Un verbale italiano registrerebbe che cosa Moro disse e come lo disse, cioè materia del capitolo sessantaseiesimo e del suo assunto sulla scrittura di un uomo. Il verbale americano attesta la posizione dell'altro e tace su quella di Moro: la ricognizione della Farnesina lo scrive per esteso. Il silenzio a verbale non si converte in adesione, e nemmeno nel suo contrario.</w:t>
      </w:r>
    </w:p>
    <w:p>
      <w:pPr>
        <w:spacing w:after="120" w:line="276"/>
        <w:jc w:val="both"/>
      </w:pPr>
      <w:r>
        <w:rPr>
          <w:rFonts w:ascii="Barlow Semi Condensed" w:cs="Barlow Semi Condensed" w:eastAsia="Barlow Semi Condensed" w:hAnsi="Barlow Semi Condensed"/>
          <w:b/>
          <w:bCs/>
          <w:sz w:val="24"/>
          <w:szCs w:val="24"/>
        </w:rPr>
        <w:t xml:space="preserve">1025 · Bari, quindici giugno millenovecentosessantanove.</w:t>
      </w:r>
      <w:r>
        <w:rPr>
          <w:rFonts w:ascii="Barlow Semi Condensed" w:cs="Barlow Semi Condensed" w:eastAsia="Barlow Semi Condensed" w:hAnsi="Barlow Semi Condensed"/>
          <w:sz w:val="24"/>
          <w:szCs w:val="24"/>
        </w:rPr>
        <w:t xml:space="preserve"> Data e sede sono accertate dal capitolo sessantaquattresimo: la strategia dell'attenzione è formulata compiutamente al primo congresso regionale pugliese della Democrazia cristiana. Quesito conseguente: dove sta il testo integrale del discorso? Sedi da interrogare: l'Istituto Luigi Sturzo, dove dal 1994 è depositato l'archivio degli organi centrali del partito, e l'Edizione nazionale bolognese. Il corpus cita la formula; non cita un'edizione del testo.</w:t>
      </w:r>
    </w:p>
    <w:p>
      <w:pPr>
        <w:spacing w:after="120" w:line="276"/>
        <w:jc w:val="both"/>
      </w:pPr>
      <w:r>
        <w:rPr>
          <w:rFonts w:ascii="Barlow Semi Condensed" w:cs="Barlow Semi Condensed" w:eastAsia="Barlow Semi Condensed" w:hAnsi="Barlow Semi Condensed"/>
          <w:b/>
          <w:bCs/>
          <w:sz w:val="24"/>
          <w:szCs w:val="24"/>
        </w:rPr>
        <w:t xml:space="preserve">1026 · Cinque mesi prima, a Washington.</w:t>
      </w:r>
      <w:r>
        <w:rPr>
          <w:rFonts w:ascii="Barlow Semi Condensed" w:cs="Barlow Semi Condensed" w:eastAsia="Barlow Semi Condensed" w:hAnsi="Barlow Semi Condensed"/>
          <w:sz w:val="24"/>
          <w:szCs w:val="24"/>
        </w:rPr>
        <w:t xml:space="preserve"> Cronologia nuda, senza commento che la gonfi. Kissinger assume l'incarico di Assistente per la sicurezza nazionale il 20 gennaio 1969; Moro pronuncia il discorso di Bari il 15 giugno dello stesso anno. Da questo non discende nulla. Il blocco esiste per fissare il divieto proprio nel punto in cui la tentazione è massima: l'anno condiviso è cornice cronologica, e la cornice non è mai una relazione.</w:t>
      </w:r>
    </w:p>
    <w:p>
      <w:pPr>
        <w:spacing w:after="120" w:line="276"/>
        <w:jc w:val="both"/>
      </w:pPr>
      <w:r>
        <w:rPr>
          <w:rFonts w:ascii="Barlow Semi Condensed" w:cs="Barlow Semi Condensed" w:eastAsia="Barlow Semi Condensed" w:hAnsi="Barlow Semi Condensed"/>
          <w:b/>
          <w:bCs/>
          <w:sz w:val="24"/>
          <w:szCs w:val="24"/>
        </w:rPr>
        <w:t xml:space="preserve">1027 · La riunione dell'undici marzo.</w:t>
      </w:r>
      <w:r>
        <w:rPr>
          <w:rFonts w:ascii="Barlow Semi Condensed" w:cs="Barlow Semi Condensed" w:eastAsia="Barlow Semi Condensed" w:hAnsi="Barlow Semi Condensed"/>
          <w:sz w:val="24"/>
          <w:szCs w:val="24"/>
        </w:rPr>
        <w:t xml:space="preserve"> Precedenza, non contemporaneità. Il verbale del Comitato dei 303 presieduto da Kissinger, documento 180 del volume XLI dei FRUS, è dell'11 marzo 1969, quando Moro non era ancora ministro degli Esteri; e vi si convenne all'unanimità che non vi fosse reale giustificazione per riprendere il finanziamento coperto ai partiti italiani. La ricognizione della Farnesina lo dichiara. Una causa non si colloca dopo il proprio effetto.</w:t>
      </w:r>
    </w:p>
    <w:p>
      <w:pPr>
        <w:spacing w:after="120" w:line="276"/>
        <w:jc w:val="both"/>
      </w:pPr>
      <w:r>
        <w:rPr>
          <w:rFonts w:ascii="Barlow Semi Condensed" w:cs="Barlow Semi Condensed" w:eastAsia="Barlow Semi Condensed" w:hAnsi="Barlow Semi Condensed"/>
          <w:b/>
          <w:bCs/>
          <w:sz w:val="24"/>
          <w:szCs w:val="24"/>
        </w:rPr>
        <w:t xml:space="preserve">1028 · Il congresso pugliese nei dispacci.</w:t>
      </w:r>
      <w:r>
        <w:rPr>
          <w:rFonts w:ascii="Barlow Semi Condensed" w:cs="Barlow Semi Condensed" w:eastAsia="Barlow Semi Condensed" w:hAnsi="Barlow Semi Condensed"/>
          <w:sz w:val="24"/>
          <w:szCs w:val="24"/>
        </w:rPr>
        <w:t xml:space="preserve"> Bersaglio operativo mai eseguito e a costo basso: l'ambasciata statunitense a Roma riferiva i congressi democristiani. Si cerchi, per il giugno e il luglio 1969, un dispaccio che riassuma il congresso regionale pugliese e la formula dell'attenzione. Sede: i National Archives di College Park, RG 59, Central Foreign Policy Files, telegrammi da Roma. Un riscontro sposterebbe la formula morotea dall'assenza al secondo piano, e non oltre.</w:t>
      </w:r>
    </w:p>
    <w:p>
      <w:pPr>
        <w:spacing w:after="120" w:line="276"/>
        <w:jc w:val="both"/>
      </w:pPr>
      <w:r>
        <w:rPr>
          <w:rFonts w:ascii="Barlow Semi Condensed" w:cs="Barlow Semi Condensed" w:eastAsia="Barlow Semi Condensed" w:hAnsi="Barlow Semi Condensed"/>
          <w:b/>
          <w:bCs/>
          <w:sz w:val="24"/>
          <w:szCs w:val="24"/>
        </w:rPr>
        <w:t xml:space="preserve">1029 · Che cosa proverebbe un dispaccio.</w:t>
      </w:r>
      <w:r>
        <w:rPr>
          <w:rFonts w:ascii="Barlow Semi Condensed" w:cs="Barlow Semi Condensed" w:eastAsia="Barlow Semi Condensed" w:hAnsi="Barlow Semi Condensed"/>
          <w:sz w:val="24"/>
          <w:szCs w:val="24"/>
        </w:rPr>
        <w:t xml:space="preserve"> Misura preventiva, perché il bersaglio precedente non venga sopravvalutato al momento del ritrovamento. Un dispaccio che riferisca il discorso di Bari proverebbe che l'ambasciata lesse Moro; non che il destinatario lo lesse; ancor meno che ne trasse una condotta. Fra la lettura di un rapporto e una decisione corre l'intera catena che il metodo di quest'opera pretende documentata anello per anello. Secondo piano, e con cautela.</w:t>
      </w:r>
    </w:p>
    <w:p>
      <w:pPr>
        <w:spacing w:after="120" w:line="276"/>
        <w:jc w:val="both"/>
      </w:pPr>
      <w:r>
        <w:rPr>
          <w:rFonts w:ascii="Barlow Semi Condensed" w:cs="Barlow Semi Condensed" w:eastAsia="Barlow Semi Condensed" w:hAnsi="Barlow Semi Condensed"/>
          <w:b/>
          <w:bCs/>
          <w:sz w:val="24"/>
          <w:szCs w:val="24"/>
        </w:rPr>
        <w:t xml:space="preserve">1030 · La tesi di Bari per esteso.</w:t>
      </w:r>
      <w:r>
        <w:rPr>
          <w:rFonts w:ascii="Barlow Semi Condensed" w:cs="Barlow Semi Condensed" w:eastAsia="Barlow Semi Condensed" w:hAnsi="Barlow Semi Condensed"/>
          <w:sz w:val="24"/>
          <w:szCs w:val="24"/>
        </w:rPr>
        <w:t xml:space="preserve"> Il capitolo sessantaquattresimo riporta la proposizione centrale: quanto più le masse popolari hanno il senso dello Stato attraverso la propria integrazione, tanto più la democrazia sarà forte e si eviteranno le tentazioni autoritarie. È una tesi sulla sicurezza interna della Repubblica, non sulla collocazione atlantica. Chi la legge come programma di politica estera legge un testo che non è quello, e ne trae ponti che non reggono.</w:t>
      </w:r>
    </w:p>
    <w:p>
      <w:pPr>
        <w:spacing w:after="120" w:line="276"/>
        <w:jc w:val="both"/>
      </w:pPr>
      <w:r>
        <w:rPr>
          <w:rFonts w:ascii="Barlow Semi Condensed" w:cs="Barlow Semi Condensed" w:eastAsia="Barlow Semi Condensed" w:hAnsi="Barlow Semi Condensed"/>
          <w:b/>
          <w:bCs/>
          <w:sz w:val="24"/>
          <w:szCs w:val="24"/>
        </w:rPr>
        <w:t xml:space="preserve">1031 · Inclusione come sicurezza, obiezione atlantica.</w:t>
      </w:r>
      <w:r>
        <w:rPr>
          <w:rFonts w:ascii="Barlow Semi Condensed" w:cs="Barlow Semi Condensed" w:eastAsia="Barlow Semi Condensed" w:hAnsi="Barlow Semi Condensed"/>
          <w:sz w:val="24"/>
          <w:szCs w:val="24"/>
        </w:rPr>
        <w:t xml:space="preserve"> Convergenza entro la stessa cornice, dichiarata al secondo piano e non promossa. La posizione statunitense documentata riguardava le conseguenze di una presenza comunista al governo sullo scambio di informazioni militari; la tesi di Bari riguardava la solidità interna della democrazia italiana. Due discorsi su oggetti diversi, che la pubblicistica sovrappone con disinvoltura. Rendere visibile quella sovrapposizione è il compito principale di questa serie.</w:t>
      </w:r>
    </w:p>
    <w:p>
      <w:pPr>
        <w:spacing w:after="120" w:line="276"/>
        <w:jc w:val="both"/>
      </w:pPr>
      <w:r>
        <w:rPr>
          <w:rFonts w:ascii="Barlow Semi Condensed" w:cs="Barlow Semi Condensed" w:eastAsia="Barlow Semi Condensed" w:hAnsi="Barlow Semi Condensed"/>
          <w:b/>
          <w:bCs/>
          <w:sz w:val="24"/>
          <w:szCs w:val="24"/>
        </w:rPr>
        <w:t xml:space="preserve">1032 · Piretti, e il controllo sulla fonte.</w:t>
      </w:r>
      <w:r>
        <w:rPr>
          <w:rFonts w:ascii="Barlow Semi Condensed" w:cs="Barlow Semi Condensed" w:eastAsia="Barlow Semi Condensed" w:hAnsi="Barlow Semi Condensed"/>
          <w:sz w:val="24"/>
          <w:szCs w:val="24"/>
        </w:rPr>
        <w:t xml:space="preserve"> Il capitolo sessantaquattresimo si appoggia alla relazione di Maria Serena Piretti per il trentennale, ospitata dall'Accademia di studi storici Aldo Moro. Verifica da compiere sul testo intero: quella relazione nomina il soggetto triangolato, o il versante americano, a proposito della strategia dell'attenzione? Se non lo nomina, il territorio è muto anche nella propria letteratura di riferimento, ed è un dato sullo stato degli studi.</w:t>
      </w:r>
    </w:p>
    <w:p>
      <w:pPr>
        <w:spacing w:after="120" w:line="276"/>
        <w:jc w:val="both"/>
      </w:pPr>
      <w:r>
        <w:rPr>
          <w:rFonts w:ascii="Barlow Semi Condensed" w:cs="Barlow Semi Condensed" w:eastAsia="Barlow Semi Condensed" w:hAnsi="Barlow Semi Condensed"/>
          <w:b/>
          <w:bCs/>
          <w:sz w:val="24"/>
          <w:szCs w:val="24"/>
        </w:rPr>
        <w:t xml:space="preserve">1033 · L'Accademia come sede, non come autorità.</w:t>
      </w:r>
      <w:r>
        <w:rPr>
          <w:rFonts w:ascii="Barlow Semi Condensed" w:cs="Barlow Semi Condensed" w:eastAsia="Barlow Semi Condensed" w:hAnsi="Barlow Semi Condensed"/>
          <w:sz w:val="24"/>
          <w:szCs w:val="24"/>
        </w:rPr>
        <w:t xml:space="preserve"> L'Accademia di studi storici Aldo Moro è censita al blocco 227 dei nove cantieri per la biblioteca e i materiali che conserva. Quesito d'inventario, e nient'altro: possiede carte, e non solo edizioni? Un istituto intitolato a un uomo si interroga con lo stesso metro di ogni altra sede: gli si chiede l'inventario analitico, non l'interpretazione, e le risposte si pesano come tutte le altre.</w:t>
      </w:r>
    </w:p>
    <w:p>
      <w:pPr>
        <w:spacing w:after="120" w:line="276"/>
        <w:jc w:val="both"/>
      </w:pPr>
      <w:r>
        <w:rPr>
          <w:rFonts w:ascii="Barlow Semi Condensed" w:cs="Barlow Semi Condensed" w:eastAsia="Barlow Semi Condensed" w:hAnsi="Barlow Semi Condensed"/>
          <w:b/>
          <w:bCs/>
          <w:sz w:val="24"/>
          <w:szCs w:val="24"/>
        </w:rPr>
        <w:t xml:space="preserve">1034 · Il millenovecentosessantanove dei due nomi.</w:t>
      </w:r>
      <w:r>
        <w:rPr>
          <w:rFonts w:ascii="Barlow Semi Condensed" w:cs="Barlow Semi Condensed" w:eastAsia="Barlow Semi Condensed" w:hAnsi="Barlow Semi Condensed"/>
          <w:sz w:val="24"/>
          <w:szCs w:val="24"/>
        </w:rPr>
        <w:t xml:space="preserve"> Divergenza da riportare e non da sciogliere. Nel dicembre 1969 Nixon ordina uno studio sull'Italia, come attesta il documento 188 del volume XLI dei FRUS; Moro è ministro degli Esteri dal 5 agosto. Il corpus registra l'ordine e non possiede lo studio. Sede che chiuderebbe la lacuna: Nixon Presidential Materials, NSC Files, Country Files: Italy,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1035 · Che cosa uno studio non direbbe.</w:t>
      </w:r>
      <w:r>
        <w:rPr>
          <w:rFonts w:ascii="Barlow Semi Condensed" w:cs="Barlow Semi Condensed" w:eastAsia="Barlow Semi Condensed" w:hAnsi="Barlow Semi Condensed"/>
          <w:sz w:val="24"/>
          <w:szCs w:val="24"/>
        </w:rPr>
        <w:t xml:space="preserve"> Anticipazione di un abuso probabile, scritta prima del ritrovamento e non dopo. Anche reperito, uno studio interdipartimentale sarebbe documento di analisi e non di condotta, e nominerebbe presumibilmente partiti e correnti, non la strategia dell'attenzione. Il cantiere lo cerchi pure; ma dichiari in anticipo il grado massimo che potrà attribuirgli, per non lasciarsi sorprendere dalla suggestione che ogni ritrovamento porta con sé.</w:t>
      </w:r>
    </w:p>
    <w:p>
      <w:pPr>
        <w:spacing w:after="120" w:line="276"/>
        <w:jc w:val="both"/>
      </w:pPr>
      <w:r>
        <w:rPr>
          <w:rFonts w:ascii="Barlow Semi Condensed" w:cs="Barlow Semi Condensed" w:eastAsia="Barlow Semi Condensed" w:hAnsi="Barlow Semi Condensed"/>
          <w:b/>
          <w:bCs/>
          <w:sz w:val="24"/>
          <w:szCs w:val="24"/>
        </w:rPr>
        <w:t xml:space="preserve">1036 · La regola della lettura per oggetto.</w:t>
      </w:r>
      <w:r>
        <w:rPr>
          <w:rFonts w:ascii="Barlow Semi Condensed" w:cs="Barlow Semi Condensed" w:eastAsia="Barlow Semi Condensed" w:hAnsi="Barlow Semi Condensed"/>
          <w:sz w:val="24"/>
          <w:szCs w:val="24"/>
        </w:rPr>
        <w:t xml:space="preserve"> Regola generale che questa serie estrae dal capitolo sessantaquattresimo e consegna alle altre. Prima di dichiarare che due testi parlano della stessa cosa si stabilisce l'oggetto di ciascuno. Un discorso di congresso regionale sull'integrazione delle masse e un verbale di colloquio sulle informazioni militari condivise non hanno oggetto comune. Senza questo passaggio qualunque corpus produce ponti a volontà, e nessuno di essi regge alla verifica.</w:t>
      </w:r>
    </w:p>
    <w:p>
      <w:pPr>
        <w:spacing w:after="120" w:line="276"/>
        <w:jc w:val="both"/>
      </w:pPr>
      <w:r>
        <w:rPr>
          <w:rFonts w:ascii="Barlow Semi Condensed" w:cs="Barlow Semi Condensed" w:eastAsia="Barlow Semi Condensed" w:hAnsi="Barlow Semi Condensed"/>
          <w:b/>
          <w:bCs/>
          <w:sz w:val="24"/>
          <w:szCs w:val="24"/>
        </w:rPr>
        <w:t xml:space="preserve">1037 · Il Cile come snodo mediato.</w:t>
      </w:r>
      <w:r>
        <w:rPr>
          <w:rFonts w:ascii="Barlow Semi Condensed" w:cs="Barlow Semi Condensed" w:eastAsia="Barlow Semi Condensed" w:hAnsi="Barlow Semi Condensed"/>
          <w:sz w:val="24"/>
          <w:szCs w:val="24"/>
        </w:rPr>
        <w:t xml:space="preserve"> Il capitolo sessantacinquesimo fa del Cile del 1973 la lezione da cui Berlinguer trasse il compromesso storico. Il saggio «Dal Che a Moro» registra al grado alto la responsabilità documentata degli apparati statunitensi supervisionati da Kissinger nella caduta di Allende. Il nesso col disegno moroteo esiste, ma passa per la lettura che ne fece un terzo: è mediato, e non va mai enunciato come diretto.</w:t>
      </w:r>
    </w:p>
    <w:p>
      <w:pPr>
        <w:spacing w:after="120" w:line="276"/>
        <w:jc w:val="both"/>
      </w:pPr>
      <w:r>
        <w:rPr>
          <w:rFonts w:ascii="Barlow Semi Condensed" w:cs="Barlow Semi Condensed" w:eastAsia="Barlow Semi Condensed" w:hAnsi="Barlow Semi Condensed"/>
          <w:b/>
          <w:bCs/>
          <w:sz w:val="24"/>
          <w:szCs w:val="24"/>
        </w:rPr>
        <w:t xml:space="preserve">1038 · La catena mediata, scritta per intero.</w:t>
      </w:r>
      <w:r>
        <w:rPr>
          <w:rFonts w:ascii="Barlow Semi Condensed" w:cs="Barlow Semi Condensed" w:eastAsia="Barlow Semi Condensed" w:hAnsi="Barlow Semi Condensed"/>
          <w:sz w:val="24"/>
          <w:szCs w:val="24"/>
        </w:rPr>
        <w:t xml:space="preserve"> Si scriva la catena anello per anello, perché implicita inganna: apparati statunitensi in Cile nel 1973; lettura di quell'evento da parte di Enrico Berlinguer; compromesso storico; solidarietà nazionale di cui Moro fu l'architetto democristiano. Ogni anello è documentato per proprio conto; l'insieme non costituisce un rapporto fra i due nomi della triangolazione. Resta secondo piano, e la mediazione stessa lo dichiara.</w:t>
      </w:r>
    </w:p>
    <w:p>
      <w:pPr>
        <w:spacing w:after="120" w:line="276"/>
        <w:jc w:val="both"/>
      </w:pPr>
      <w:r>
        <w:rPr>
          <w:rFonts w:ascii="Barlow Semi Condensed" w:cs="Barlow Semi Condensed" w:eastAsia="Barlow Semi Condensed" w:hAnsi="Barlow Semi Condensed"/>
          <w:b/>
          <w:bCs/>
          <w:sz w:val="24"/>
          <w:szCs w:val="24"/>
        </w:rPr>
        <w:t xml:space="preserve">1039 · Il divieto di accorciare la catena.</w:t>
      </w:r>
      <w:r>
        <w:rPr>
          <w:rFonts w:ascii="Barlow Semi Condensed" w:cs="Barlow Semi Condensed" w:eastAsia="Barlow Semi Condensed" w:hAnsi="Barlow Semi Condensed"/>
          <w:sz w:val="24"/>
          <w:szCs w:val="24"/>
        </w:rPr>
        <w:t xml:space="preserve"> Regola operativa che discende dal blocco precedente. Una catena mediata non si abbrevia mai citando soltanto il primo e l'ultimo anello. La formula «Kissinger e il progetto di Moro» sopprime Berlinguer, il 1973 e la storia delle idee che li congiunge, e restituisce l'immagine di un rapporto diretto inesistente. L'abbreviazione non è una sintesi: è la fabbricazione di un primo piano che nessun documento sostiene.</w:t>
      </w:r>
    </w:p>
    <w:p>
      <w:pPr>
        <w:spacing w:after="120" w:line="276"/>
        <w:jc w:val="both"/>
      </w:pPr>
      <w:r>
        <w:rPr>
          <w:rFonts w:ascii="Barlow Semi Condensed" w:cs="Barlow Semi Condensed" w:eastAsia="Barlow Semi Condensed" w:hAnsi="Barlow Semi Condensed"/>
          <w:b/>
          <w:bCs/>
          <w:sz w:val="24"/>
          <w:szCs w:val="24"/>
        </w:rPr>
        <w:t xml:space="preserve">1040 · Helsinki, il tavolo condiviso.</w:t>
      </w:r>
      <w:r>
        <w:rPr>
          <w:rFonts w:ascii="Barlow Semi Condensed" w:cs="Barlow Semi Condensed" w:eastAsia="Barlow Semi Condensed" w:hAnsi="Barlow Semi Condensed"/>
          <w:sz w:val="24"/>
          <w:szCs w:val="24"/>
        </w:rPr>
        <w:t xml:space="preserve"> Il capitolo sessantacinquesimo non menziona Helsinki; il corpus sì. Il primo agosto 1975 Moro firmò l'Atto finale nella duplice qualità di presidente del Consiglio e presidente di turno del Consiglio delle Comunità europee, e un telegramma di Kissinger del 2 agosto, documento 334 del volume XXXIX dei FRUS, ne descrive la cerimonia. È la seconda co-presenza documentata dell'intero territorio.</w:t>
      </w:r>
    </w:p>
    <w:p>
      <w:pPr>
        <w:spacing w:after="120" w:line="276"/>
        <w:jc w:val="both"/>
      </w:pPr>
      <w:r>
        <w:rPr>
          <w:rFonts w:ascii="Barlow Semi Condensed" w:cs="Barlow Semi Condensed" w:eastAsia="Barlow Semi Condensed" w:hAnsi="Barlow Semi Condensed"/>
          <w:b/>
          <w:bCs/>
          <w:sz w:val="24"/>
          <w:szCs w:val="24"/>
        </w:rPr>
        <w:t xml:space="preserve">1041 · L'insofferenza riferita, e il suo grado.</w:t>
      </w:r>
      <w:r>
        <w:rPr>
          <w:rFonts w:ascii="Barlow Semi Condensed" w:cs="Barlow Semi Condensed" w:eastAsia="Barlow Semi Condensed" w:hAnsi="Barlow Semi Condensed"/>
          <w:sz w:val="24"/>
          <w:szCs w:val="24"/>
        </w:rPr>
        <w:t xml:space="preserve"> Una fonte giornalistica italiana scrive che Moro ottenne il coinvolgimento formale della Comunità europea «sfidando l'insofferenza di Kissinger», e la ricognizione portoghese la riporta come tale. È attestazione secondaria di un attrito, non documento di provenienza: terzo piano finché non la si riscontri. Sedi: le carte della delegazione italiana a Helsinki presso l'Archivio Storico Diplomatico e il lotto FRUS del volume XXXIX.</w:t>
      </w:r>
    </w:p>
    <w:p>
      <w:pPr>
        <w:spacing w:after="120" w:line="276"/>
        <w:jc w:val="both"/>
      </w:pPr>
      <w:r>
        <w:rPr>
          <w:rFonts w:ascii="Barlow Semi Condensed" w:cs="Barlow Semi Condensed" w:eastAsia="Barlow Semi Condensed" w:hAnsi="Barlow Semi Condensed"/>
          <w:b/>
          <w:bCs/>
          <w:sz w:val="24"/>
          <w:szCs w:val="24"/>
        </w:rPr>
        <w:t xml:space="preserve">1042 · Perché Helsinki manca al ritratto.</w:t>
      </w:r>
      <w:r>
        <w:rPr>
          <w:rFonts w:ascii="Barlow Semi Condensed" w:cs="Barlow Semi Condensed" w:eastAsia="Barlow Semi Condensed" w:hAnsi="Barlow Semi Condensed"/>
          <w:sz w:val="24"/>
          <w:szCs w:val="24"/>
        </w:rPr>
        <w:t xml:space="preserve"> Rilievo sul territorio, senza rimprovero al suo autore. La Fase ottava costruisce il ritratto su formazione, dottrina e lettere, e omette la stagione europea del 1975, che pure è il momento in cui l'uomo esercita al massimo l'arte che il capitolo sessantatreesimo gli attribuisce. Chi voglia integrare il ritratto sul versante internazionale ha qui il primo cantiere aperto, e ne possiede già le carte.</w:t>
      </w:r>
    </w:p>
    <w:p>
      <w:pPr>
        <w:spacing w:after="120" w:line="276"/>
        <w:jc w:val="both"/>
      </w:pPr>
      <w:r>
        <w:rPr>
          <w:rFonts w:ascii="Barlow Semi Condensed" w:cs="Barlow Semi Condensed" w:eastAsia="Barlow Semi Condensed" w:hAnsi="Barlow Semi Condensed"/>
          <w:b/>
          <w:bCs/>
          <w:sz w:val="24"/>
          <w:szCs w:val="24"/>
        </w:rPr>
        <w:t xml:space="preserve">1043 · La terza fase, dicembre millenovecentosettantasei.</w:t>
      </w:r>
      <w:r>
        <w:rPr>
          <w:rFonts w:ascii="Barlow Semi Condensed" w:cs="Barlow Semi Condensed" w:eastAsia="Barlow Semi Condensed" w:hAnsi="Barlow Semi Condensed"/>
          <w:sz w:val="24"/>
          <w:szCs w:val="24"/>
        </w:rPr>
        <w:t xml:space="preserve"> Il capitolo sessantacinquesimo data l'espressione a un articolo per «Il Giorno» del dicembre 1976, sulla scorta della relazione Piretti. Il giorno esatto non compare nel corpus. Sedi che lo chiuderebbero: l'annata 1976 del quotidiano in emeroteca e l'Edizione nazionale bolognese. La data precisa non è pedanteria: colloca lo scritto rispetto al 20 gennaio 1977, e da sola definisce la finestra di ogni ricerca conseguente.</w:t>
      </w:r>
    </w:p>
    <w:p>
      <w:pPr>
        <w:spacing w:after="120" w:line="276"/>
        <w:jc w:val="both"/>
      </w:pPr>
      <w:r>
        <w:rPr>
          <w:rFonts w:ascii="Barlow Semi Condensed" w:cs="Barlow Semi Condensed" w:eastAsia="Barlow Semi Condensed" w:hAnsi="Barlow Semi Condensed"/>
          <w:b/>
          <w:bCs/>
          <w:sz w:val="24"/>
          <w:szCs w:val="24"/>
        </w:rPr>
        <w:t xml:space="preserve">1044 · Le ultime settimane di una carica.</w:t>
      </w:r>
      <w:r>
        <w:rPr>
          <w:rFonts w:ascii="Barlow Semi Condensed" w:cs="Barlow Semi Condensed" w:eastAsia="Barlow Semi Condensed" w:hAnsi="Barlow Semi Condensed"/>
          <w:sz w:val="24"/>
          <w:szCs w:val="24"/>
        </w:rPr>
        <w:t xml:space="preserve"> Accertamento cronologico con conseguenza operativa. Kissinger lasciò la carica di Segretario di Stato il 20 gennaio 1977; l'articolo sulla terza fase è del dicembre 1976. Se un dispaccio ne riferì a Washington, cadde nelle ultime settimane di quel mandato: finestra stretta, e perciò facilmente spogliabile. Sede: i telegrammi elettronici dei Central Foreign Policy Files del 1976, ricerca per data e per posto d'origine Roma.</w:t>
      </w:r>
    </w:p>
    <w:p>
      <w:pPr>
        <w:spacing w:after="120" w:line="276"/>
        <w:jc w:val="both"/>
      </w:pPr>
      <w:r>
        <w:rPr>
          <w:rFonts w:ascii="Barlow Semi Condensed" w:cs="Barlow Semi Condensed" w:eastAsia="Barlow Semi Condensed" w:hAnsi="Barlow Semi Condensed"/>
          <w:b/>
          <w:bCs/>
          <w:sz w:val="24"/>
          <w:szCs w:val="24"/>
        </w:rPr>
        <w:t xml:space="preserve">1045 · La ripresa dell'azione coperta.</w:t>
      </w:r>
      <w:r>
        <w:rPr>
          <w:rFonts w:ascii="Barlow Semi Condensed" w:cs="Barlow Semi Condensed" w:eastAsia="Barlow Semi Condensed" w:hAnsi="Barlow Semi Condensed"/>
          <w:sz w:val="24"/>
          <w:szCs w:val="24"/>
        </w:rPr>
        <w:t xml:space="preserve"> La ricognizione della Farnesina cita uno studio sottoposto a revisione paritaria che colloca la riemersione del programma di azione coperta in Italia nel novembre 1975 e nel luglio 1976, quando Moro era stato presidente del Consiglio fino al febbraio 1976. Il dato appartiene alla cornice e non alla condotta verso una persona. Il corpus lo registra e non lo aggancia al ritratto, che parla d'altro.</w:t>
      </w:r>
    </w:p>
    <w:p>
      <w:pPr>
        <w:spacing w:after="120" w:line="276"/>
        <w:jc w:val="both"/>
      </w:pPr>
      <w:r>
        <w:rPr>
          <w:rFonts w:ascii="Barlow Semi Condensed" w:cs="Barlow Semi Condensed" w:eastAsia="Barlow Semi Condensed" w:hAnsi="Barlow Semi Condensed"/>
          <w:b/>
          <w:bCs/>
          <w:sz w:val="24"/>
          <w:szCs w:val="24"/>
        </w:rPr>
        <w:t xml:space="preserve">1046 · Il divieto di far coincidere le agende.</w:t>
      </w:r>
      <w:r>
        <w:rPr>
          <w:rFonts w:ascii="Barlow Semi Condensed" w:cs="Barlow Semi Condensed" w:eastAsia="Barlow Semi Condensed" w:hAnsi="Barlow Semi Condensed"/>
          <w:sz w:val="24"/>
          <w:szCs w:val="24"/>
        </w:rPr>
        <w:t xml:space="preserve"> Regola che discende immediatamente dal blocco precedente. Che due agende — quella di un governo italiano e quella di un programma coperto — mostrino attività negli stessi mesi non stabilisce che l'una riguardasse l'altra. Servirebbe una carta che ne nomini destinatario e oggetto. Nessuna è stata reperita, e la Fase sesta iscrive già questo fra gli Stati Zero cercati e chiusi in negativo.</w:t>
      </w:r>
    </w:p>
    <w:p>
      <w:pPr>
        <w:spacing w:after="120" w:line="276"/>
        <w:jc w:val="both"/>
      </w:pPr>
      <w:r>
        <w:rPr>
          <w:rFonts w:ascii="Barlow Semi Condensed" w:cs="Barlow Semi Condensed" w:eastAsia="Barlow Semi Condensed" w:hAnsi="Barlow Semi Condensed"/>
          <w:b/>
          <w:bCs/>
          <w:sz w:val="24"/>
          <w:szCs w:val="24"/>
        </w:rPr>
        <w:t xml:space="preserve">1047 · La democrazia bloccata e i suoi osservatori.</w:t>
      </w:r>
      <w:r>
        <w:rPr>
          <w:rFonts w:ascii="Barlow Semi Condensed" w:cs="Barlow Semi Condensed" w:eastAsia="Barlow Semi Condensed" w:hAnsi="Barlow Semi Condensed"/>
          <w:sz w:val="24"/>
          <w:szCs w:val="24"/>
        </w:rPr>
        <w:t xml:space="preserve"> Quesito di storia delle idee, con sede indicata. La formula della «democrazia bloccata» descrive un sistema in cui la maggioranza non può cambiare perché una parte è pregiudizialmente esclusa. Se ne cerchi l'equivalente concettuale nella documentazione statunitense sull'Italia degli anni Settanta: con quali parole vi si nomina il problema dell'alternanza? Sedi: FRUS, volumi sull'Europa occidentale, e RG 59. Darebbe convergenza di diagnosi, non rapporto.</w:t>
      </w:r>
    </w:p>
    <w:p>
      <w:pPr>
        <w:spacing w:after="120" w:line="276"/>
        <w:jc w:val="both"/>
      </w:pPr>
      <w:r>
        <w:rPr>
          <w:rFonts w:ascii="Barlow Semi Condensed" w:cs="Barlow Semi Condensed" w:eastAsia="Barlow Semi Condensed" w:hAnsi="Barlow Semi Condensed"/>
          <w:b/>
          <w:bCs/>
          <w:sz w:val="24"/>
          <w:szCs w:val="24"/>
        </w:rPr>
        <w:t xml:space="preserve">1048 · Sedici marzo, nessuna carica.</w:t>
      </w:r>
      <w:r>
        <w:rPr>
          <w:rFonts w:ascii="Barlow Semi Condensed" w:cs="Barlow Semi Condensed" w:eastAsia="Barlow Semi Condensed" w:hAnsi="Barlow Semi Condensed"/>
          <w:sz w:val="24"/>
          <w:szCs w:val="24"/>
        </w:rPr>
        <w:t xml:space="preserve"> Fatto elementare e continuamente dimenticato dalla pubblicistica. Il giorno in cui Moro andava in Parlamento a varare il primo passo della terza fase, il soggetto di questa triangolazione non ricopriva alcuna carica di governo da quasi quattordici mesi. Nessuna ricostruzione dei cinquantacinque giorni può collocarlo in una catena istituzionale, perché quella catena, per lui, si era chiusa il 20 gennaio 1977.</w:t>
      </w:r>
    </w:p>
    <w:p>
      <w:pPr>
        <w:spacing w:after="120" w:line="276"/>
        <w:jc w:val="both"/>
      </w:pPr>
      <w:r>
        <w:rPr>
          <w:rFonts w:ascii="Barlow Semi Condensed" w:cs="Barlow Semi Condensed" w:eastAsia="Barlow Semi Condensed" w:hAnsi="Barlow Semi Condensed"/>
          <w:b/>
          <w:bCs/>
          <w:sz w:val="24"/>
          <w:szCs w:val="24"/>
        </w:rPr>
        <w:t xml:space="preserve">1049 · Il consulente del 1978.</w:t>
      </w:r>
      <w:r>
        <w:rPr>
          <w:rFonts w:ascii="Barlow Semi Condensed" w:cs="Barlow Semi Condensed" w:eastAsia="Barlow Semi Condensed" w:hAnsi="Barlow Semi Condensed"/>
          <w:sz w:val="24"/>
          <w:szCs w:val="24"/>
        </w:rPr>
        <w:t xml:space="preserve"> Precisazione decisiva, e viene dal repertorio della Fase nona. Steve Pieczenik, presente nel comitato di crisi accanto al ministro Cossiga, era consulente del Dipartimento di Stato nel 1978, cioè sotto un'altra amministrazione. Attribuirne la presenza al nome triangolato è errore di calendario prima ancora che di prova. Il repertorio grada la presenza come accertamento e le dichiarazioni postume come fonte di parte.</w:t>
      </w:r>
    </w:p>
    <w:p>
      <w:pPr>
        <w:spacing w:after="120" w:line="276"/>
        <w:jc w:val="both"/>
      </w:pPr>
      <w:r>
        <w:rPr>
          <w:rFonts w:ascii="Barlow Semi Condensed" w:cs="Barlow Semi Condensed" w:eastAsia="Barlow Semi Condensed" w:hAnsi="Barlow Semi Condensed"/>
          <w:b/>
          <w:bCs/>
          <w:sz w:val="24"/>
          <w:szCs w:val="24"/>
        </w:rPr>
        <w:t xml:space="preserve">1050 · La simmetria delle ombre.</w:t>
      </w:r>
      <w:r>
        <w:rPr>
          <w:rFonts w:ascii="Barlow Semi Condensed" w:cs="Barlow Semi Condensed" w:eastAsia="Barlow Semi Condensed" w:hAnsi="Barlow Semi Condensed"/>
          <w:sz w:val="24"/>
          <w:szCs w:val="24"/>
        </w:rPr>
        <w:t xml:space="preserve"> Il saggio «Dal Che a Moro» registra come convergenza, e non come rapporto, la simmetria fra l'agente della CIA a La Higuera nel 1967 e le presenze americane attorno al caso Moro. Due vicende, due decenni, due continenti: condividono una cornice, non un centro. La Fase ottava non se ne occupa affatto, e fa bene: un ritratto non è il luogo dove si allineano le simmetrie.</w:t>
      </w:r>
    </w:p>
    <w:p>
      <w:pPr>
        <w:spacing w:after="120" w:line="276"/>
        <w:jc w:val="both"/>
      </w:pPr>
      <w:r>
        <w:rPr>
          <w:rFonts w:ascii="Barlow Semi Condensed" w:cs="Barlow Semi Condensed" w:eastAsia="Barlow Semi Condensed" w:hAnsi="Barlow Semi Condensed"/>
          <w:b/>
          <w:bCs/>
          <w:sz w:val="24"/>
          <w:szCs w:val="24"/>
        </w:rPr>
        <w:t xml:space="preserve">1051 · Le lettere e il nome mancante.</w:t>
      </w:r>
      <w:r>
        <w:rPr>
          <w:rFonts w:ascii="Barlow Semi Condensed" w:cs="Barlow Semi Condensed" w:eastAsia="Barlow Semi Condensed" w:hAnsi="Barlow Semi Condensed"/>
          <w:sz w:val="24"/>
          <w:szCs w:val="24"/>
        </w:rPr>
        <w:t xml:space="preserve"> Bersaglio filologico primario del territorio. Nelle circa novanta lettere della prigionia, e nel memoriale, compare il nome triangolato? Il corpus non lo afferma e non lo nega. Sedi: l'edizione critica delle lettere curata da Miguel Gotor per Einaudi nel 2008 e le edizioni del memoriale del 2011 e del 2020, censite ai blocchi 229 e 230 dei nove cantieri. Interrogazione mai verbalizzata.</w:t>
      </w:r>
    </w:p>
    <w:p>
      <w:pPr>
        <w:spacing w:after="120" w:line="276"/>
        <w:jc w:val="both"/>
      </w:pPr>
      <w:r>
        <w:rPr>
          <w:rFonts w:ascii="Barlow Semi Condensed" w:cs="Barlow Semi Condensed" w:eastAsia="Barlow Semi Condensed" w:hAnsi="Barlow Semi Condensed"/>
          <w:b/>
          <w:bCs/>
          <w:sz w:val="24"/>
          <w:szCs w:val="24"/>
        </w:rPr>
        <w:t xml:space="preserve">1052 · Perché la domanda è legittima.</w:t>
      </w:r>
      <w:r>
        <w:rPr>
          <w:rFonts w:ascii="Barlow Semi Condensed" w:cs="Barlow Semi Condensed" w:eastAsia="Barlow Semi Condensed" w:hAnsi="Barlow Semi Condensed"/>
          <w:sz w:val="24"/>
          <w:szCs w:val="24"/>
        </w:rPr>
        <w:t xml:space="preserve"> Ragione della ricerca precedente, da dichiarare per non lasciarla al sospetto. Se il prigioniero — che il capitolo sessantaseiesimo restituisce come uomo interamente lucido — avesse nominato un avvertimento ricevuto anni prima, ne avremmo una fonte di prima mano, coeva alla prova e di sua mano. Se non lo nominò, l'assenza pesa sulla testimonianza de relato riferita in aula quattro anni dopo la sua morte.</w:t>
      </w:r>
    </w:p>
    <w:p>
      <w:pPr>
        <w:spacing w:after="120" w:line="276"/>
        <w:jc w:val="both"/>
      </w:pPr>
      <w:r>
        <w:rPr>
          <w:rFonts w:ascii="Barlow Semi Condensed" w:cs="Barlow Semi Condensed" w:eastAsia="Barlow Semi Condensed" w:hAnsi="Barlow Semi Condensed"/>
          <w:b/>
          <w:bCs/>
          <w:sz w:val="24"/>
          <w:szCs w:val="24"/>
        </w:rPr>
        <w:t xml:space="preserve">1053 · Il peso di un'assenza nell'epistolario.</w:t>
      </w:r>
      <w:r>
        <w:rPr>
          <w:rFonts w:ascii="Barlow Semi Condensed" w:cs="Barlow Semi Condensed" w:eastAsia="Barlow Semi Condensed" w:hAnsi="Barlow Semi Condensed"/>
          <w:sz w:val="24"/>
          <w:szCs w:val="24"/>
        </w:rPr>
        <w:t xml:space="preserve"> Misura preventiva, perché il blocco precedente non venga abusato. Il silenzio dell'epistolario non smentirebbe l'episodio: un uomo scrive ai suoi ciò che serve, non l'inventario dei propri ricordi. Un'assenza in quella sede resterebbe indizio debole in entrambe le direzioni, e va dichiarata tale prima di eseguire la ricerca, non dopo averne visto l'esito. È la differenza fra un protocollo e una caccia.</w:t>
      </w:r>
    </w:p>
    <w:p>
      <w:pPr>
        <w:spacing w:after="120" w:line="276"/>
        <w:jc w:val="both"/>
      </w:pPr>
      <w:r>
        <w:rPr>
          <w:rFonts w:ascii="Barlow Semi Condensed" w:cs="Barlow Semi Condensed" w:eastAsia="Barlow Semi Condensed" w:hAnsi="Barlow Semi Condensed"/>
          <w:b/>
          <w:bCs/>
          <w:sz w:val="24"/>
          <w:szCs w:val="24"/>
        </w:rPr>
        <w:t xml:space="preserve">1054 · La testimonianza contestata, ricollocata.</w:t>
      </w:r>
      <w:r>
        <w:rPr>
          <w:rFonts w:ascii="Barlow Semi Condensed" w:cs="Barlow Semi Condensed" w:eastAsia="Barlow Semi Condensed" w:hAnsi="Barlow Semi Condensed"/>
          <w:sz w:val="24"/>
          <w:szCs w:val="24"/>
        </w:rPr>
        <w:t xml:space="preserve"> Accertamento già fissato dall'opera e qui richiamato per il territorio. L'avvertimento è riferito de relato da Corrado Guerzoni alla Corte d'assise di Roma nel novembre 1982; il nome fu ottenuto in aula dal presidente e non offerto dal teste; la data oscilla fra 1974, 1976 e 1977; l'interessato smentì sempre. Il ritratto non se ne serve, e proprio per questo ne esce più solido.</w:t>
      </w:r>
    </w:p>
    <w:p>
      <w:pPr>
        <w:spacing w:after="120" w:line="276"/>
        <w:jc w:val="both"/>
      </w:pPr>
      <w:r>
        <w:rPr>
          <w:rFonts w:ascii="Barlow Semi Condensed" w:cs="Barlow Semi Condensed" w:eastAsia="Barlow Semi Condensed" w:hAnsi="Barlow Semi Condensed"/>
          <w:b/>
          <w:bCs/>
          <w:sz w:val="24"/>
          <w:szCs w:val="24"/>
        </w:rPr>
        <w:t xml:space="preserve">1055 · Il divieto della psicologia per testimonianza.</w:t>
      </w:r>
      <w:r>
        <w:rPr>
          <w:rFonts w:ascii="Barlow Semi Condensed" w:cs="Barlow Semi Condensed" w:eastAsia="Barlow Semi Condensed" w:hAnsi="Barlow Semi Condensed"/>
          <w:sz w:val="24"/>
          <w:szCs w:val="24"/>
        </w:rPr>
        <w:t xml:space="preserve"> Regola di lettura per chiunque voglia integrare la Fase ottava. Un ritratto non può ricavare lo stato d'animo dell'uomo da una testimonianza contestata: se ne otterrebbe un Moro avvertito e impaurito che nessun documento sostiene. La vita interiore di una persona si scrive sulle sue carte o non si scrive affatto. È la regola che il capitolo sessantaseiesimo applica alle lettere, estesa all'indietro di quattro anni.</w:t>
      </w:r>
    </w:p>
    <w:p>
      <w:pPr>
        <w:spacing w:after="120" w:line="276"/>
        <w:jc w:val="both"/>
      </w:pPr>
      <w:r>
        <w:rPr>
          <w:rFonts w:ascii="Barlow Semi Condensed" w:cs="Barlow Semi Condensed" w:eastAsia="Barlow Semi Condensed" w:hAnsi="Barlow Semi Condensed"/>
          <w:b/>
          <w:bCs/>
          <w:sz w:val="24"/>
          <w:szCs w:val="24"/>
        </w:rPr>
        <w:t xml:space="preserve">1056 · La moltiplicazione apparente delle fonti (serie XIV).</w:t>
      </w:r>
      <w:r>
        <w:rPr>
          <w:rFonts w:ascii="Barlow Semi Condensed" w:cs="Barlow Semi Condensed" w:eastAsia="Barlow Semi Condensed" w:hAnsi="Barlow Semi Condensed"/>
          <w:sz w:val="24"/>
          <w:szCs w:val="24"/>
        </w:rPr>
        <w:t xml:space="preserve"> Richiamo obbligato in questo territorio, perché è qui che la vulgata si travasa. La fioritura di fonti sull'episodio risale a un unico lancio d'agenzia del 30 novembre 2023, il giorno dopo la morte; la replicazione non aggiunge valore probatorio. Chi integrasse il ritratto con «numerose testimonianze» aggiungerebbe copie, non testimoni. Il conto dei testimoni si fa risalendo alla fonte, non contando le pagine che la citano.</w:t>
      </w:r>
    </w:p>
    <w:p>
      <w:pPr>
        <w:spacing w:after="120" w:line="276"/>
        <w:jc w:val="both"/>
      </w:pPr>
      <w:r>
        <w:rPr>
          <w:rFonts w:ascii="Barlow Semi Condensed" w:cs="Barlow Semi Condensed" w:eastAsia="Barlow Semi Condensed" w:hAnsi="Barlow Semi Condensed"/>
          <w:b/>
          <w:bCs/>
          <w:sz w:val="24"/>
          <w:szCs w:val="24"/>
        </w:rPr>
        <w:t xml:space="preserve">1057 · Chi squalificò le lettere, e quando.</w:t>
      </w:r>
      <w:r>
        <w:rPr>
          <w:rFonts w:ascii="Barlow Semi Condensed" w:cs="Barlow Semi Condensed" w:eastAsia="Barlow Semi Condensed" w:hAnsi="Barlow Semi Condensed"/>
          <w:sz w:val="24"/>
          <w:szCs w:val="24"/>
        </w:rPr>
        <w:t xml:space="preserve"> Il dato più duro che il corpus offre al capitolo sessantaseiesimo, e non riguarda il nome triangolato. Gli atti registrano che consulenti del comitato di esperti — fra i quali Franco Ferracuti e Steve Pieczenik — sostennero l'inattendibilità delle lettere di Moro. È accertamento istituzionale del 1978, con effetti sulla linea della fermezza. Resta aperto il quesito: in quali carte fu formulato, e da chi sottoscritto.</w:t>
      </w:r>
    </w:p>
    <w:p>
      <w:pPr>
        <w:spacing w:after="120" w:line="276"/>
        <w:jc w:val="both"/>
      </w:pPr>
      <w:r>
        <w:rPr>
          <w:rFonts w:ascii="Barlow Semi Condensed" w:cs="Barlow Semi Condensed" w:eastAsia="Barlow Semi Condensed" w:hAnsi="Barlow Semi Condensed"/>
          <w:b/>
          <w:bCs/>
          <w:sz w:val="24"/>
          <w:szCs w:val="24"/>
        </w:rPr>
        <w:t xml:space="preserve">1058 · Un comitato mai riunito collegialmente.</w:t>
      </w:r>
      <w:r>
        <w:rPr>
          <w:rFonts w:ascii="Barlow Semi Condensed" w:cs="Barlow Semi Condensed" w:eastAsia="Barlow Semi Condensed" w:hAnsi="Barlow Semi Condensed"/>
          <w:sz w:val="24"/>
          <w:szCs w:val="24"/>
        </w:rPr>
        <w:t xml:space="preserve"> Precisazione che l'approfondimento sulle piste fissa come dato di prima grandezza: quel comitato di esperti non si riunì mai in forma collegiale. Ne discendono un quesito e una cautela. Il quesito riguarda il modo in cui i pareri circolavano; la cautela dice che senza collegialità non esistono atti del comitato, esistono pareri di persone. Il principio personalistico della Fase decima vale qui per intero.</w:t>
      </w:r>
    </w:p>
    <w:p>
      <w:pPr>
        <w:spacing w:after="120" w:line="276"/>
        <w:jc w:val="both"/>
      </w:pPr>
      <w:r>
        <w:rPr>
          <w:rFonts w:ascii="Barlow Semi Condensed" w:cs="Barlow Semi Condensed" w:eastAsia="Barlow Semi Condensed" w:hAnsi="Barlow Semi Condensed"/>
          <w:b/>
          <w:bCs/>
          <w:sz w:val="24"/>
          <w:szCs w:val="24"/>
        </w:rPr>
        <w:t xml:space="preserve">1059 · La violenza seconda ha una data.</w:t>
      </w:r>
      <w:r>
        <w:rPr>
          <w:rFonts w:ascii="Barlow Semi Condensed" w:cs="Barlow Semi Condensed" w:eastAsia="Barlow Semi Condensed" w:hAnsi="Barlow Semi Condensed"/>
          <w:sz w:val="24"/>
          <w:szCs w:val="24"/>
        </w:rPr>
        <w:t xml:space="preserve"> Sintesi che il territorio consente, tenuta dentro i propri limiti. Il capitolo sessantaseiesimo denuncia come violenza seconda la squalificazione delle lettere; il corpus ne documenta l'origine in pareri formulati dentro i cinquantacinque giorni. Documentare l'origine di una tesi non equivale a individuarne un committente, e non lo consente. Nessun nome oltre il giudicato, qui come in ogni altra pagina dell'opera.</w:t>
      </w:r>
    </w:p>
    <w:p>
      <w:pPr>
        <w:spacing w:after="120" w:line="276"/>
        <w:jc w:val="both"/>
      </w:pPr>
      <w:r>
        <w:rPr>
          <w:rFonts w:ascii="Barlow Semi Condensed" w:cs="Barlow Semi Condensed" w:eastAsia="Barlow Semi Condensed" w:hAnsi="Barlow Semi Condensed"/>
          <w:b/>
          <w:bCs/>
          <w:sz w:val="24"/>
          <w:szCs w:val="24"/>
        </w:rPr>
        <w:t xml:space="preserve">1060 · Il funerale, e il nulla internazionale.</w:t>
      </w:r>
      <w:r>
        <w:rPr>
          <w:rFonts w:ascii="Barlow Semi Condensed" w:cs="Barlow Semi Condensed" w:eastAsia="Barlow Semi Condensed" w:hAnsi="Barlow Semi Condensed"/>
          <w:sz w:val="24"/>
          <w:szCs w:val="24"/>
        </w:rPr>
        <w:t xml:space="preserve"> Il congedo del capitolo sessantaseiesimo riporta la volontà di Moro sul proprio funerale — né autorità dello Stato né uomini di partito — e il rispetto che la famiglia le diede. È il punto del territorio in cui la triangolazione è più chiaramente priva di oggetto, e conviene dirlo: non ogni pagina di un corpus deve produrre un bersaglio. Dichiararlo fa parte del conto.</w:t>
      </w:r>
    </w:p>
    <w:p>
      <w:pPr>
        <w:spacing w:after="120" w:line="276"/>
        <w:jc w:val="both"/>
      </w:pPr>
      <w:r>
        <w:rPr>
          <w:rFonts w:ascii="Barlow Semi Condensed" w:cs="Barlow Semi Condensed" w:eastAsia="Barlow Semi Condensed" w:hAnsi="Barlow Semi Condensed"/>
          <w:b/>
          <w:bCs/>
          <w:sz w:val="24"/>
          <w:szCs w:val="24"/>
        </w:rPr>
        <w:t xml:space="preserve">1061 · L'ostacolo, e la pluralità che lo circonda.</w:t>
      </w:r>
      <w:r>
        <w:rPr>
          <w:rFonts w:ascii="Barlow Semi Condensed" w:cs="Barlow Semi Condensed" w:eastAsia="Barlow Semi Condensed" w:hAnsi="Barlow Semi Condensed"/>
          <w:sz w:val="24"/>
          <w:szCs w:val="24"/>
        </w:rPr>
        <w:t xml:space="preserve"> Il capitolo sessantasettesimo formula la sola continuità che l'opera si concede: Moro fu, per una pluralità di forze diverse e in parte avverse, un ostacolo che conveniva rimuovere. La formula è costruita apposta per escludere il mandante unico. Applicata a questo nome, dice che l'ostilità politica documentata non lo colloca in alcuna catena, ed è esattamente ciò che la Parte terza aveva già scritto.</w:t>
      </w:r>
    </w:p>
    <w:p>
      <w:pPr>
        <w:spacing w:after="120" w:line="276"/>
        <w:jc w:val="both"/>
      </w:pPr>
      <w:r>
        <w:rPr>
          <w:rFonts w:ascii="Barlow Semi Condensed" w:cs="Barlow Semi Condensed" w:eastAsia="Barlow Semi Condensed" w:hAnsi="Barlow Semi Condensed"/>
          <w:b/>
          <w:bCs/>
          <w:sz w:val="24"/>
          <w:szCs w:val="24"/>
        </w:rPr>
        <w:t xml:space="preserve">1062 · Prossimità non è mandato.</w:t>
      </w:r>
      <w:r>
        <w:rPr>
          <w:rFonts w:ascii="Barlow Semi Condensed" w:cs="Barlow Semi Condensed" w:eastAsia="Barlow Semi Condensed" w:hAnsi="Barlow Semi Condensed"/>
          <w:sz w:val="24"/>
          <w:szCs w:val="24"/>
        </w:rPr>
        <w:t xml:space="preserve"> La proposizione appartiene alla Parte terza, nel capitolo sul movente internazionale, ed è il cardine su cui questa serie intera si regge. Dal contesto ostile non discende la catena di comando: che esistessero nemici politici di Moro, e potenti, sta al grado più alto; che uno di essi abbia guidato la mano brigatista sta al più basso, e nessun documento, italiano o statunitense, lo attesta.</w:t>
      </w:r>
    </w:p>
    <w:p>
      <w:pPr>
        <w:spacing w:after="120" w:line="276"/>
        <w:jc w:val="both"/>
      </w:pPr>
      <w:r>
        <w:rPr>
          <w:rFonts w:ascii="Barlow Semi Condensed" w:cs="Barlow Semi Condensed" w:eastAsia="Barlow Semi Condensed" w:hAnsi="Barlow Semi Condensed"/>
          <w:b/>
          <w:bCs/>
          <w:sz w:val="24"/>
          <w:szCs w:val="24"/>
        </w:rPr>
        <w:t xml:space="preserve">1063 · Lo Stato Zero della Fase sesta.</w:t>
      </w:r>
      <w:r>
        <w:rPr>
          <w:rFonts w:ascii="Barlow Semi Condensed" w:cs="Barlow Semi Condensed" w:eastAsia="Barlow Semi Condensed" w:hAnsi="Barlow Semi Condensed"/>
          <w:sz w:val="24"/>
          <w:szCs w:val="24"/>
        </w:rPr>
        <w:t xml:space="preserve"> Non si riapre ciò che è stato chiuso in negativo. Il capitolo trentanovesimo elenca fra le ricerche condotte e concluse quella del documento che leghi Kissinger come persona, o qualunque apparato straniero nominato, alla catena di comando del delitto. Questa serie non lo riapre e non lo attenua: lo conferma dal lato del ritratto, che è il lato dove quel nome non compare affatto.</w:t>
      </w:r>
    </w:p>
    <w:p>
      <w:pPr>
        <w:spacing w:after="120" w:line="276"/>
        <w:jc w:val="both"/>
      </w:pPr>
      <w:r>
        <w:rPr>
          <w:rFonts w:ascii="Barlow Semi Condensed" w:cs="Barlow Semi Condensed" w:eastAsia="Barlow Semi Condensed" w:hAnsi="Barlow Semi Condensed"/>
          <w:b/>
          <w:bCs/>
          <w:sz w:val="24"/>
          <w:szCs w:val="24"/>
        </w:rPr>
        <w:t xml:space="preserve">1064 · Il bersaglio di smentita del ritratto.</w:t>
      </w:r>
      <w:r>
        <w:rPr>
          <w:rFonts w:ascii="Barlow Semi Condensed" w:cs="Barlow Semi Condensed" w:eastAsia="Barlow Semi Condensed" w:hAnsi="Barlow Semi Condensed"/>
          <w:sz w:val="24"/>
          <w:szCs w:val="24"/>
        </w:rPr>
        <w:t xml:space="preserve"> Che cosa falsificherebbe il silenzio qui accertato: un documento di provenienza — un verbale, un dispaccio, una lettera — in cui il soggetto triangolato nomini Moro come persona e non come governo, con data e segnatura verificabili. Non un'intervista, non una memoria, non un articolo. Sedi in cui cercarlo: la Ford Library, le Manuscripts and Archives della Yale University Library,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1065 · Il bersaglio di smentita rovesciato.</w:t>
      </w:r>
      <w:r>
        <w:rPr>
          <w:rFonts w:ascii="Barlow Semi Condensed" w:cs="Barlow Semi Condensed" w:eastAsia="Barlow Semi Condensed" w:hAnsi="Barlow Semi Condensed"/>
          <w:sz w:val="24"/>
          <w:szCs w:val="24"/>
        </w:rPr>
        <w:t xml:space="preserve"> La simmetria va scritta, perché una serie onesta espone anche il proprio rovescio. Falsificherebbe la povertà di questo territorio anche una carta morotea — un appunto, una minuta, una lettera privata — in cui Moro nomini l'altro. Sedi: il fondo personale all'Archivio centrale dello Stato, il fondo depositato presso l'Archivio Flamigni, e i carteggi paralleli conservati nei fondi Andreotti e Fanfani.</w:t>
      </w:r>
    </w:p>
    <w:p>
      <w:pPr>
        <w:spacing w:after="120" w:line="276"/>
        <w:jc w:val="both"/>
      </w:pPr>
      <w:r>
        <w:rPr>
          <w:rFonts w:ascii="Barlow Semi Condensed" w:cs="Barlow Semi Condensed" w:eastAsia="Barlow Semi Condensed" w:hAnsi="Barlow Semi Condensed"/>
          <w:b/>
          <w:bCs/>
          <w:sz w:val="24"/>
          <w:szCs w:val="24"/>
        </w:rPr>
        <w:t xml:space="preserve">1066 · I carteggi paralleli come sede terza.</w:t>
      </w:r>
      <w:r>
        <w:rPr>
          <w:rFonts w:ascii="Barlow Semi Condensed" w:cs="Barlow Semi Condensed" w:eastAsia="Barlow Semi Condensed" w:hAnsi="Barlow Semi Condensed"/>
          <w:sz w:val="24"/>
          <w:szCs w:val="24"/>
        </w:rPr>
        <w:t xml:space="preserve"> Il blocco 234 dei nove cantieri fissa un principio archivistico che qui vale doppio: l'altra metà di ogni carteggio sta nei fondi altrui. Per il versante americano di Moro ciò significa cercare anche nelle carte di chi lo accompagnò — gabinetto del ministro, ambasciata, delegazioni — e non solo nelle sue. La ricomposizione virtuale della corrispondenza è progetto già scritto e non ancora eseguito da nessuno.</w:t>
      </w:r>
    </w:p>
    <w:p>
      <w:pPr>
        <w:spacing w:after="120" w:line="276"/>
        <w:jc w:val="both"/>
      </w:pPr>
      <w:r>
        <w:rPr>
          <w:rFonts w:ascii="Barlow Semi Condensed" w:cs="Barlow Semi Condensed" w:eastAsia="Barlow Semi Condensed" w:hAnsi="Barlow Semi Condensed"/>
          <w:b/>
          <w:bCs/>
          <w:sz w:val="24"/>
          <w:szCs w:val="24"/>
        </w:rPr>
        <w:t xml:space="preserve">1067 · Il conto di questa serie.</w:t>
      </w:r>
      <w:r>
        <w:rPr>
          <w:rFonts w:ascii="Barlow Semi Condensed" w:cs="Barlow Semi Condensed" w:eastAsia="Barlow Semi Condensed" w:hAnsi="Barlow Semi Condensed"/>
          <w:sz w:val="24"/>
          <w:szCs w:val="24"/>
        </w:rPr>
        <w:t xml:space="preserve"> Bilancio dichiarato, come la prima serie impone a ciascuna di fare in chiusura. Su settanta bersagli, il territorio ha consegnato due sole co-presenze documentate — il tavolo del 25 settembre 1974 e la cerimonia di Helsinki del primo agosto 1975 — nessuna delle quali appartiene al ritratto, e nessun rapporto personale di alcun genere. Tutto il resto è quesito da portare in archivio, oppure assenza.</w:t>
      </w:r>
    </w:p>
    <w:p>
      <w:pPr>
        <w:spacing w:after="120" w:line="276"/>
        <w:jc w:val="both"/>
      </w:pPr>
      <w:r>
        <w:rPr>
          <w:rFonts w:ascii="Barlow Semi Condensed" w:cs="Barlow Semi Condensed" w:eastAsia="Barlow Semi Condensed" w:hAnsi="Barlow Semi Condensed"/>
          <w:b/>
          <w:bCs/>
          <w:sz w:val="24"/>
          <w:szCs w:val="24"/>
        </w:rPr>
        <w:t xml:space="preserve">1068 · Che cosa questa serie non ha stabilito.</w:t>
      </w:r>
      <w:r>
        <w:rPr>
          <w:rFonts w:ascii="Barlow Semi Condensed" w:cs="Barlow Semi Condensed" w:eastAsia="Barlow Semi Condensed" w:hAnsi="Barlow Semi Condensed"/>
          <w:sz w:val="24"/>
          <w:szCs w:val="24"/>
        </w:rPr>
        <w:t xml:space="preserve"> Enunciato in negativo, per non lasciarlo alla ricostruzione del lettore. Non ha stabilito che il soggetto conoscesse la strategia dell'attenzione; non ha stabilito che leggesse Moro; non ha stabilito che l'avvertimento riferito sia avvenuto, né che non sia avvenuto; non ha stabilito alcun rapporto fra il nome triangolato e la morte dell'uomo ritratto. Ha stabilito, e questo sì, dove cercare e con quale metro.</w:t>
      </w:r>
    </w:p>
    <w:p>
      <w:pPr>
        <w:spacing w:after="120" w:line="276"/>
        <w:jc w:val="both"/>
      </w:pPr>
      <w:r>
        <w:rPr>
          <w:rFonts w:ascii="Barlow Semi Condensed" w:cs="Barlow Semi Condensed" w:eastAsia="Barlow Semi Condensed" w:hAnsi="Barlow Semi Condensed"/>
          <w:b/>
          <w:bCs/>
          <w:sz w:val="24"/>
          <w:szCs w:val="24"/>
        </w:rPr>
        <w:t xml:space="preserve">1069 · La lente respinta dal territorio.</w:t>
      </w:r>
      <w:r>
        <w:rPr>
          <w:rFonts w:ascii="Barlow Semi Condensed" w:cs="Barlow Semi Condensed" w:eastAsia="Barlow Semi Condensed" w:hAnsi="Barlow Semi Condensed"/>
          <w:sz w:val="24"/>
          <w:szCs w:val="24"/>
        </w:rPr>
        <w:t xml:space="preserve"> Verifica della chiave dichiarata dal committente, dovuta a fine serie. Su un territorio biografico e dottrinale la metafora genetica rende poco: non c'è codice da seguire dove non c'è trasmissione. Il capitolo sessantaduesimo offre semmai il caso opposto, una formazione, cioè un carattere acquisito che nessuna eredità spiega. Qui la lente va deposta, secondo il criterio di dismissione fissato nella prima serie.</w:t>
      </w:r>
    </w:p>
    <w:p>
      <w:pPr>
        <w:spacing w:after="120" w:line="276"/>
        <w:jc w:val="both"/>
      </w:pPr>
      <w:r>
        <w:rPr>
          <w:rFonts w:ascii="Barlow Semi Condensed" w:cs="Barlow Semi Condensed" w:eastAsia="Barlow Semi Condensed" w:hAnsi="Barlow Semi Condensed"/>
          <w:b/>
          <w:bCs/>
          <w:sz w:val="24"/>
          <w:szCs w:val="24"/>
        </w:rPr>
        <w:t xml:space="preserve">1070 · Restituire il soggetto, anche qui.</w:t>
      </w:r>
      <w:r>
        <w:rPr>
          <w:rFonts w:ascii="Barlow Semi Condensed" w:cs="Barlow Semi Condensed" w:eastAsia="Barlow Semi Condensed" w:hAnsi="Barlow Semi Condensed"/>
          <w:sz w:val="24"/>
          <w:szCs w:val="24"/>
        </w:rPr>
        <w:t xml:space="preserve"> Congedo della serie, in accordo con quello della Fase ottava. Il territorio chiedeva di rimettere Aldo Moro al principio; questa triangolazione lo conferma per la via più severa, mostrando che il nome estraneo non entra nel ritratto e non deve entrarvi per forza. Un'assenza dichiarata bene, con la sede che la chiuderebbe, restituisce l'uomo meglio di qualunque ponte costruito per riempire la pagina.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quindicesima — Dal Che a Moro: il saggio-cerniera</w:t>
      </w:r>
    </w:p>
    <w:p>
      <w:pPr>
        <w:spacing w:after="120" w:line="276"/>
        <w:jc w:val="both"/>
      </w:pPr>
      <w:r>
        <w:rPr>
          <w:rFonts w:ascii="Barlow Semi Condensed" w:cs="Barlow Semi Condensed" w:eastAsia="Barlow Semi Condensed" w:hAnsi="Barlow Semi Condensed"/>
          <w:i/>
          <w:iCs/>
          <w:sz w:val="24"/>
          <w:szCs w:val="24"/>
        </w:rPr>
        <w:t xml:space="preserve">Blocchi 1071-1140.</w:t>
      </w:r>
    </w:p>
    <w:p>
      <w:pPr>
        <w:spacing w:after="120" w:line="276"/>
        <w:jc w:val="both"/>
      </w:pPr>
      <w:r>
        <w:rPr>
          <w:rFonts w:ascii="Barlow Semi Condensed" w:cs="Barlow Semi Condensed" w:eastAsia="Barlow Semi Condensed" w:hAnsi="Barlow Semi Condensed"/>
          <w:b/>
          <w:bCs/>
          <w:sz w:val="24"/>
          <w:szCs w:val="24"/>
        </w:rPr>
        <w:t xml:space="preserve">1071 · Tre occorrenze, e nessuna di più.</w:t>
      </w:r>
      <w:r>
        <w:rPr>
          <w:rFonts w:ascii="Barlow Semi Condensed" w:cs="Barlow Semi Condensed" w:eastAsia="Barlow Semi Condensed" w:hAnsi="Barlow Semi Condensed"/>
          <w:sz w:val="24"/>
          <w:szCs w:val="24"/>
        </w:rPr>
        <w:t xml:space="preserve"> Il saggio nomina Henry Kissinger tre volte soltanto: nella Parte terza, dove la caduta di Allende è attribuita ad apparati statunitensi «supervisionati» da lui; nella Parte quinta, dove lo stesso enunciato rientra fra le acquisizioni di categoria alta; e ancora nella Parte quinta, dove «l'avvertimento di Kissinger» figura fra le convergenze. Il censimento va fatto prima di ogni lettura, perché fissa il perimetro reale del territorio assegnato.</w:t>
      </w:r>
    </w:p>
    <w:p>
      <w:pPr>
        <w:spacing w:after="120" w:line="276"/>
        <w:jc w:val="both"/>
      </w:pPr>
      <w:r>
        <w:rPr>
          <w:rFonts w:ascii="Barlow Semi Condensed" w:cs="Barlow Semi Condensed" w:eastAsia="Barlow Semi Condensed" w:hAnsi="Barlow Semi Condensed"/>
          <w:b/>
          <w:bCs/>
          <w:sz w:val="24"/>
          <w:szCs w:val="24"/>
        </w:rPr>
        <w:t xml:space="preserve">1072 · Le quattro parti che tacciono.</w:t>
      </w:r>
      <w:r>
        <w:rPr>
          <w:rFonts w:ascii="Barlow Semi Condensed" w:cs="Barlow Semi Condensed" w:eastAsia="Barlow Semi Condensed" w:hAnsi="Barlow Semi Condensed"/>
          <w:sz w:val="24"/>
          <w:szCs w:val="24"/>
        </w:rPr>
        <w:t xml:space="preserve"> Parte prima, Parte seconda, Parte quarta e Conclusione non contengono quel nome. Il vettore Feltrinelli, la fabbricazione dell'icona di Korda, la genealogia di Pecorile e il congedo sulla mediazione odiata si svolgono per intero senza di esso. È uno Stato Zero interno al testo, misurabile con una ricerca meccanica sul file, e va dichiarato con la stessa forza delle tre presenze.</w:t>
      </w:r>
    </w:p>
    <w:p>
      <w:pPr>
        <w:spacing w:after="120" w:line="276"/>
        <w:jc w:val="both"/>
      </w:pPr>
      <w:r>
        <w:rPr>
          <w:rFonts w:ascii="Barlow Semi Condensed" w:cs="Barlow Semi Condensed" w:eastAsia="Barlow Semi Condensed" w:hAnsi="Barlow Semi Condensed"/>
          <w:b/>
          <w:bCs/>
          <w:sz w:val="24"/>
          <w:szCs w:val="24"/>
        </w:rPr>
        <w:t xml:space="preserve">1073 · Il saggio precede la correzione.</w:t>
      </w:r>
      <w:r>
        <w:rPr>
          <w:rFonts w:ascii="Barlow Semi Condensed" w:cs="Barlow Semi Condensed" w:eastAsia="Barlow Semi Condensed" w:hAnsi="Barlow Semi Condensed"/>
          <w:sz w:val="24"/>
          <w:szCs w:val="24"/>
        </w:rPr>
        <w:t xml:space="preserve"> Il testo porta la data del 24 agosto 2026; la Nota di revisione numero due che ridimensiona il nodo M-5 è del 25 agosto 2026 ed è stata apposta a triangolazioni-guevara-moro.md, non qui. Ne discende che la Parte quinta espone una lezione anteriore alle sette precisazioni. Il fatto si verifica confrontando le due date in testa ai file, e va verbalizzato prima di ogni uso del saggio.</w:t>
      </w:r>
    </w:p>
    <w:p>
      <w:pPr>
        <w:spacing w:after="120" w:line="276"/>
        <w:jc w:val="both"/>
      </w:pPr>
      <w:r>
        <w:rPr>
          <w:rFonts w:ascii="Barlow Semi Condensed" w:cs="Barlow Semi Condensed" w:eastAsia="Barlow Semi Condensed" w:hAnsi="Barlow Semi Condensed"/>
          <w:b/>
          <w:bCs/>
          <w:sz w:val="24"/>
          <w:szCs w:val="24"/>
        </w:rPr>
        <w:t xml:space="preserve">1074 · Il modulo della nota mancante.</w:t>
      </w:r>
      <w:r>
        <w:rPr>
          <w:rFonts w:ascii="Barlow Semi Condensed" w:cs="Barlow Semi Condensed" w:eastAsia="Barlow Semi Condensed" w:hAnsi="Barlow Semi Condensed"/>
          <w:sz w:val="24"/>
          <w:szCs w:val="24"/>
        </w:rPr>
        <w:t xml:space="preserve"> La regola dell'opera vuole che il testo originario resti leggibile e che la correzione gli si affianchi; il blocco 624 dell'opera privata ne fissa il formato minimo: lezione originaria per esteso, lezione corretta, fonte, data, ragione dell'intervento. Applicato qui, il modulo produce una nota da apporre in coda alla Parte quinta. Finché non esiste, la lacuna è dell'apparato e non del lettore.</w:t>
      </w:r>
    </w:p>
    <w:p>
      <w:pPr>
        <w:spacing w:after="120" w:line="276"/>
        <w:jc w:val="both"/>
      </w:pPr>
      <w:r>
        <w:rPr>
          <w:rFonts w:ascii="Barlow Semi Condensed" w:cs="Barlow Semi Condensed" w:eastAsia="Barlow Semi Condensed" w:hAnsi="Barlow Semi Condensed"/>
          <w:b/>
          <w:bCs/>
          <w:sz w:val="24"/>
          <w:szCs w:val="24"/>
        </w:rPr>
        <w:t xml:space="preserve">1075 · La Parte quarta non è fonte.</w:t>
      </w:r>
      <w:r>
        <w:rPr>
          <w:rFonts w:ascii="Barlow Semi Condensed" w:cs="Barlow Semi Condensed" w:eastAsia="Barlow Semi Condensed" w:hAnsi="Barlow Semi Condensed"/>
          <w:sz w:val="24"/>
          <w:szCs w:val="24"/>
        </w:rPr>
        <w:t xml:space="preserve"> L'avvertenza d'apertura dichiara il pastiche e ne vieta l'uso probatorio: quelle non sono parole di Aldo Moro. Nessun blocco di questa serie può quindi trarre dalla meditazione immaginata alcun elemento su Kissinger, nemmeno per suggestione. La regola vale anche a rovescio: chi citasse la Parte quarta come testimonianza costruirebbe un falso a partire da un testo che si dichiara invenzione.</w:t>
      </w:r>
    </w:p>
    <w:p>
      <w:pPr>
        <w:spacing w:after="120" w:line="276"/>
        <w:jc w:val="both"/>
      </w:pPr>
      <w:r>
        <w:rPr>
          <w:rFonts w:ascii="Barlow Semi Condensed" w:cs="Barlow Semi Condensed" w:eastAsia="Barlow Semi Condensed" w:hAnsi="Barlow Semi Condensed"/>
          <w:b/>
          <w:bCs/>
          <w:sz w:val="24"/>
          <w:szCs w:val="24"/>
        </w:rPr>
        <w:t xml:space="preserve">1076 · Una lente non si dimostra.</w:t>
      </w:r>
      <w:r>
        <w:rPr>
          <w:rFonts w:ascii="Barlow Semi Condensed" w:cs="Barlow Semi Condensed" w:eastAsia="Barlow Semi Condensed" w:hAnsi="Barlow Semi Condensed"/>
          <w:sz w:val="24"/>
          <w:szCs w:val="24"/>
        </w:rPr>
        <w:t xml:space="preserve"> Il titolo annuncia una chiave interpretativa, non un fatto acquisito, e l'avvertenza lo scrive. Vale per esso ciò che il blocco 12 dell'opera privata stabilisce per la metafora genetica: una lente si dichiara, si usa, si giudica dalla resa, e non ha valore di verità. Chi legge «guerra senza fine» come accertamento converte uno strumento in premessa, che è l'errore inverso della verifica.</w:t>
      </w:r>
    </w:p>
    <w:p>
      <w:pPr>
        <w:spacing w:after="120" w:line="276"/>
        <w:jc w:val="both"/>
      </w:pPr>
      <w:r>
        <w:rPr>
          <w:rFonts w:ascii="Barlow Semi Condensed" w:cs="Barlow Semi Condensed" w:eastAsia="Barlow Semi Condensed" w:hAnsi="Barlow Semi Condensed"/>
          <w:b/>
          <w:bCs/>
          <w:sz w:val="24"/>
          <w:szCs w:val="24"/>
        </w:rPr>
        <w:t xml:space="preserve">1077 · L'ecosistema contro la piovra.</w:t>
      </w:r>
      <w:r>
        <w:rPr>
          <w:rFonts w:ascii="Barlow Semi Condensed" w:cs="Barlow Semi Condensed" w:eastAsia="Barlow Semi Condensed" w:hAnsi="Barlow Semi Condensed"/>
          <w:sz w:val="24"/>
          <w:szCs w:val="24"/>
        </w:rPr>
        <w:t xml:space="preserve"> La Parte prima oppone alla figura del complotto unico quella dell'ecosistema: attori distinti che condividono tempo e nemico ma non struttura. È una regola di lettura direttamente applicabile al nome qui triangolato, e va usata in entrambe le direzioni. Impedisce di raccogliere sotto un centro gli archi documentati e impedisce, simmetricamente, di negare che quegli archi esistano ciascuno per conto proprio.</w:t>
      </w:r>
    </w:p>
    <w:p>
      <w:pPr>
        <w:spacing w:after="120" w:line="276"/>
        <w:jc w:val="both"/>
      </w:pPr>
      <w:r>
        <w:rPr>
          <w:rFonts w:ascii="Barlow Semi Condensed" w:cs="Barlow Semi Condensed" w:eastAsia="Barlow Semi Condensed" w:hAnsi="Barlow Semi Condensed"/>
          <w:b/>
          <w:bCs/>
          <w:sz w:val="24"/>
          <w:szCs w:val="24"/>
        </w:rPr>
        <w:t xml:space="preserve">1078 · Brighton Beach, zero occorrenze.</w:t>
      </w:r>
      <w:r>
        <w:rPr>
          <w:rFonts w:ascii="Barlow Semi Condensed" w:cs="Barlow Semi Condensed" w:eastAsia="Barlow Semi Condensed" w:hAnsi="Barlow Semi Condensed"/>
          <w:sz w:val="24"/>
          <w:szCs w:val="24"/>
        </w:rPr>
        <w:t xml:space="preserve"> L'elenco retorico d'apertura nomina Brighton Beach accanto al Cile e all'Avana. Una ricerca meccanica sull'intero branch restituisce una sola occorrenza, quella; nessuna scheda, nessun nodo, nessun documento vi corrisponde. È figura d'apertura e non rimando a materiale esistente, e va segnalata perché un lettore potrebbe cercarne il dossier. Lo Stato Zero si chiude producendo quel dossier o espungendo l'evocazione.</w:t>
      </w:r>
    </w:p>
    <w:p>
      <w:pPr>
        <w:spacing w:after="120" w:line="276"/>
        <w:jc w:val="both"/>
      </w:pPr>
      <w:r>
        <w:rPr>
          <w:rFonts w:ascii="Barlow Semi Condensed" w:cs="Barlow Semi Condensed" w:eastAsia="Barlow Semi Condensed" w:hAnsi="Barlow Semi Condensed"/>
          <w:b/>
          <w:bCs/>
          <w:sz w:val="24"/>
          <w:szCs w:val="24"/>
        </w:rPr>
        <w:t xml:space="preserve">1079 · Undici giorni prima della nomina.</w:t>
      </w:r>
      <w:r>
        <w:rPr>
          <w:rFonts w:ascii="Barlow Semi Condensed" w:cs="Barlow Semi Condensed" w:eastAsia="Barlow Semi Condensed" w:hAnsi="Barlow Semi Condensed"/>
          <w:sz w:val="24"/>
          <w:szCs w:val="24"/>
        </w:rPr>
        <w:t xml:space="preserve"> L'11 settembre 1973 Kissinger era Assistente per la sicurezza nazionale; divenne Segretario di Stato il 22 settembre 1973, undici giorni dopo il golpe cileno. Il saggio, che scrive «supervisionati da Henry Kissinger» senza attribuirgli cariche, è su questo punto più esatto di chi gliene attribuisce una. La precisione delle date d'incarico è fissata dagli accertamenti dell'opera e vincola ogni resa successiva.</w:t>
      </w:r>
    </w:p>
    <w:p>
      <w:pPr>
        <w:spacing w:after="120" w:line="276"/>
        <w:jc w:val="both"/>
      </w:pPr>
      <w:r>
        <w:rPr>
          <w:rFonts w:ascii="Barlow Semi Condensed" w:cs="Barlow Semi Condensed" w:eastAsia="Barlow Semi Condensed" w:hAnsi="Barlow Semi Condensed"/>
          <w:b/>
          <w:bCs/>
          <w:sz w:val="24"/>
          <w:szCs w:val="24"/>
        </w:rPr>
        <w:t xml:space="preserve">1080 · Una divergenza interna da riportare.</w:t>
      </w:r>
      <w:r>
        <w:rPr>
          <w:rFonts w:ascii="Barlow Semi Condensed" w:cs="Barlow Semi Condensed" w:eastAsia="Barlow Semi Condensed" w:hAnsi="Barlow Semi Condensed"/>
          <w:sz w:val="24"/>
          <w:szCs w:val="24"/>
        </w:rPr>
        <w:t xml:space="preserve"> Il blocco 34 dell'opera privata registra la stessa vicenda cilena «sotto la supervisione del Segretario di Stato»: formula che confligge con la cronologia degli incarichi fissata dalla medesima opera. Le divergenze si riportano e non si sciolgono in silenzio. Qui la si riporta indicando la correzione minima: sostituire il titolo con la carica effettiva alla data, oppure ometterlo come fa il saggio.</w:t>
      </w:r>
    </w:p>
    <w:p>
      <w:pPr>
        <w:spacing w:after="120" w:line="276"/>
        <w:jc w:val="both"/>
      </w:pPr>
      <w:r>
        <w:rPr>
          <w:rFonts w:ascii="Barlow Semi Condensed" w:cs="Barlow Semi Condensed" w:eastAsia="Barlow Semi Condensed" w:hAnsi="Barlow Semi Condensed"/>
          <w:b/>
          <w:bCs/>
          <w:sz w:val="24"/>
          <w:szCs w:val="24"/>
        </w:rPr>
        <w:t xml:space="preserve">1081 · «Su fonti primarie», quali.</w:t>
      </w:r>
      <w:r>
        <w:rPr>
          <w:rFonts w:ascii="Barlow Semi Condensed" w:cs="Barlow Semi Condensed" w:eastAsia="Barlow Semi Condensed" w:hAnsi="Barlow Semi Condensed"/>
          <w:sz w:val="24"/>
          <w:szCs w:val="24"/>
        </w:rPr>
        <w:t xml:space="preserve"> La Parte terza afferma che il corpus ha verificato l'arco cileno su fonti primarie. Una ricognizione dei file del branch non trova alcuna scheda cilena: nessun documento, nessuna segnatura, nessun rimando. L'affermazione di avvenuta verifica è dunque priva di supporto esibito nel corpus stesso. Non è una smentita: è un accertamento negativo sull'apparato, e chiede che le fonti siano prodotte o la formula ridotta.</w:t>
      </w:r>
    </w:p>
    <w:p>
      <w:pPr>
        <w:spacing w:after="120" w:line="276"/>
        <w:jc w:val="both"/>
      </w:pPr>
      <w:r>
        <w:rPr>
          <w:rFonts w:ascii="Barlow Semi Condensed" w:cs="Barlow Semi Condensed" w:eastAsia="Barlow Semi Condensed" w:hAnsi="Barlow Semi Condensed"/>
          <w:b/>
          <w:bCs/>
          <w:sz w:val="24"/>
          <w:szCs w:val="24"/>
        </w:rPr>
        <w:t xml:space="preserve">1082 · La sede che chiude il vuoto cileno.</w:t>
      </w:r>
      <w:r>
        <w:rPr>
          <w:rFonts w:ascii="Barlow Semi Condensed" w:cs="Barlow Semi Condensed" w:eastAsia="Barlow Semi Condensed" w:hAnsi="Barlow Semi Condensed"/>
          <w:sz w:val="24"/>
          <w:szCs w:val="24"/>
        </w:rPr>
        <w:t xml:space="preserve"> Il vuoto si chiuderebbe in una sede nominabile: il rapporto del Select Committee del Senato degli Stati Uniti intitolato «Covert Action in Chile 1963-1973», del dicembre 1975, e le carte del comitato conservate al Center for Legislative Archives, record group 46, presso i National Archives di Washington. È la sede che il corpus indica altrove come metro di quanto materiale occorra perché un vettore possa dirsi documentato.</w:t>
      </w:r>
    </w:p>
    <w:p>
      <w:pPr>
        <w:spacing w:after="120" w:line="276"/>
        <w:jc w:val="both"/>
      </w:pPr>
      <w:r>
        <w:rPr>
          <w:rFonts w:ascii="Barlow Semi Condensed" w:cs="Barlow Semi Condensed" w:eastAsia="Barlow Semi Condensed" w:hAnsi="Barlow Semi Condensed"/>
          <w:b/>
          <w:bCs/>
          <w:sz w:val="24"/>
          <w:szCs w:val="24"/>
        </w:rPr>
        <w:t xml:space="preserve">1083 · Il volume FRUS che manca.</w:t>
      </w:r>
      <w:r>
        <w:rPr>
          <w:rFonts w:ascii="Barlow Semi Condensed" w:cs="Barlow Semi Condensed" w:eastAsia="Barlow Semi Condensed" w:hAnsi="Barlow Semi Condensed"/>
          <w:sz w:val="24"/>
          <w:szCs w:val="24"/>
        </w:rPr>
        <w:t xml:space="preserve"> Seconda sede, complementare e più prossima alla decisione: Foreign Relations of the United States 1969-1976, volume XXI, Chile 1969-1973, edito dall'Office of the Historian del Dipartimento di Stato. Il branch non lo cita in alcun file. Citarlo per segnature puntuali, documento per documento e non per volume, è il minimo che trasformerebbe l'enunciato della Parte terza in un accertamento esibito.</w:t>
      </w:r>
    </w:p>
    <w:p>
      <w:pPr>
        <w:spacing w:after="120" w:line="276"/>
        <w:jc w:val="both"/>
      </w:pPr>
      <w:r>
        <w:rPr>
          <w:rFonts w:ascii="Barlow Semi Condensed" w:cs="Barlow Semi Condensed" w:eastAsia="Barlow Semi Condensed" w:hAnsi="Barlow Semi Condensed"/>
          <w:b/>
          <w:bCs/>
          <w:sz w:val="24"/>
          <w:szCs w:val="24"/>
        </w:rPr>
        <w:t xml:space="preserve">1084 · Il comitato che succedette al 303.</w:t>
      </w:r>
      <w:r>
        <w:rPr>
          <w:rFonts w:ascii="Barlow Semi Condensed" w:cs="Barlow Semi Condensed" w:eastAsia="Barlow Semi Condensed" w:hAnsi="Barlow Semi Condensed"/>
          <w:sz w:val="24"/>
          <w:szCs w:val="24"/>
        </w:rPr>
        <w:t xml:space="preserve"> L'opera privata registra al blocco 866 il verbale del Comitato dei 303 dell'11 marzo 1969. Per il versante cileno l'organo competente è il suo successore, e il quesito da portare in archivio è formulabile senza asserire nulla: quali verbali di quell'organo, in quali date e con quali presenti, riguardino il Cile fra il 1970 e il 1973, e dove siano editi.</w:t>
      </w:r>
    </w:p>
    <w:p>
      <w:pPr>
        <w:spacing w:after="120" w:line="276"/>
        <w:jc w:val="both"/>
      </w:pPr>
      <w:r>
        <w:rPr>
          <w:rFonts w:ascii="Barlow Semi Condensed" w:cs="Barlow Semi Condensed" w:eastAsia="Barlow Semi Condensed" w:hAnsi="Barlow Semi Condensed"/>
          <w:b/>
          <w:bCs/>
          <w:sz w:val="24"/>
          <w:szCs w:val="24"/>
        </w:rPr>
        <w:t xml:space="preserve">1085 · Un canale riservato come quesito.</w:t>
      </w:r>
      <w:r>
        <w:rPr>
          <w:rFonts w:ascii="Barlow Semi Condensed" w:cs="Barlow Semi Condensed" w:eastAsia="Barlow Semi Condensed" w:hAnsi="Barlow Semi Condensed"/>
          <w:sz w:val="24"/>
          <w:szCs w:val="24"/>
        </w:rPr>
        <w:t xml:space="preserve"> La denominazione che la letteratura usa per il canale riservato del 1970 va trattata come oggetto di ricerca e non come conclusione già raggiunta. Il quesito ha forma esatta: quali documenti, con quale segnatura e quale data, lo compongano; quali siano editi in FRUS e quali soltanto in raccolte private. Finché la risposta non è compilata, il saggio poggia su una letteratura che non ha esibito.</w:t>
      </w:r>
    </w:p>
    <w:p>
      <w:pPr>
        <w:spacing w:after="120" w:line="276"/>
        <w:jc w:val="both"/>
      </w:pPr>
      <w:r>
        <w:rPr>
          <w:rFonts w:ascii="Barlow Semi Condensed" w:cs="Barlow Semi Condensed" w:eastAsia="Barlow Semi Condensed" w:hAnsi="Barlow Semi Condensed"/>
          <w:b/>
          <w:bCs/>
          <w:sz w:val="24"/>
          <w:szCs w:val="24"/>
        </w:rPr>
        <w:t xml:space="preserve">1086 · Il confine della responsabilità.</w:t>
      </w:r>
      <w:r>
        <w:rPr>
          <w:rFonts w:ascii="Barlow Semi Condensed" w:cs="Barlow Semi Condensed" w:eastAsia="Barlow Semi Condensed" w:hAnsi="Barlow Semi Condensed"/>
          <w:sz w:val="24"/>
          <w:szCs w:val="24"/>
        </w:rPr>
        <w:t xml:space="preserve"> Ogni resa dell'arco cileno deve tenere su righe separate due proposizioni con soggetti e standard diversi: la responsabilità storico-politica di apparati statali e la responsabilità penale personale. Henry Kissinger non fu mai imputato né processato in alcun Paese, e nessun blocco può indicarlo come responsabile di reato. Il saggio, che parla di apparati e di supervisione, resta entro il confine; le sue parafrasi spesso no.</w:t>
      </w:r>
    </w:p>
    <w:p>
      <w:pPr>
        <w:spacing w:after="120" w:line="276"/>
        <w:jc w:val="both"/>
      </w:pPr>
      <w:r>
        <w:rPr>
          <w:rFonts w:ascii="Barlow Semi Condensed" w:cs="Barlow Semi Condensed" w:eastAsia="Barlow Semi Condensed" w:hAnsi="Barlow Semi Condensed"/>
          <w:b/>
          <w:bCs/>
          <w:sz w:val="24"/>
          <w:szCs w:val="24"/>
        </w:rPr>
        <w:t xml:space="preserve">1087 · Che cosa smentirebbe l'arco cileno.</w:t>
      </w:r>
      <w:r>
        <w:rPr>
          <w:rFonts w:ascii="Barlow Semi Condensed" w:cs="Barlow Semi Condensed" w:eastAsia="Barlow Semi Condensed" w:hAnsi="Barlow Semi Condensed"/>
          <w:sz w:val="24"/>
          <w:szCs w:val="24"/>
        </w:rPr>
        <w:t xml:space="preserve"> Bersaglio di smentita, formulato perché sia raggiungibile: un documento primario coevo, edito o declassificato, che mostri l'apparato statunitense estraneo alla preparazione dell'11 settembre 1973, oppure attesti una catena decisionale che escluda il livello qui evocato. Se emergesse, la Parte terza andrebbe riscritta e con essa lo snodo dell'intero saggio. È il modo in cui l'enunciato resta falsificabile invece di farsi articolo di fede.</w:t>
      </w:r>
    </w:p>
    <w:p>
      <w:pPr>
        <w:spacing w:after="120" w:line="276"/>
        <w:jc w:val="both"/>
      </w:pPr>
      <w:r>
        <w:rPr>
          <w:rFonts w:ascii="Barlow Semi Condensed" w:cs="Barlow Semi Condensed" w:eastAsia="Barlow Semi Condensed" w:hAnsi="Barlow Semi Condensed"/>
          <w:b/>
          <w:bCs/>
          <w:sz w:val="24"/>
          <w:szCs w:val="24"/>
        </w:rPr>
        <w:t xml:space="preserve">1088 · Il metro non è un precedente.</w:t>
      </w:r>
      <w:r>
        <w:rPr>
          <w:rFonts w:ascii="Barlow Semi Condensed" w:cs="Barlow Semi Condensed" w:eastAsia="Barlow Semi Condensed" w:hAnsi="Barlow Semi Condensed"/>
          <w:sz w:val="24"/>
          <w:szCs w:val="24"/>
        </w:rPr>
        <w:t xml:space="preserve"> Perché il caso cileno serva da metro lo spiega il blocco 496 dell'opera privata: è uno dei pochissimi in cui un organo legislativo ha accertato in pubblico, con documenti, un finanziamento statale straniero. Un metro misura, non condanna altrove. Trasportarlo sull'Italia del 1978 senza documenti italiani equivalenti è esattamente l'operazione che la Parte prima del saggio ha già dichiarato falsa.</w:t>
      </w:r>
    </w:p>
    <w:p>
      <w:pPr>
        <w:spacing w:after="120" w:line="276"/>
        <w:jc w:val="both"/>
      </w:pPr>
      <w:r>
        <w:rPr>
          <w:rFonts w:ascii="Barlow Semi Condensed" w:cs="Barlow Semi Condensed" w:eastAsia="Barlow Semi Condensed" w:hAnsi="Barlow Semi Condensed"/>
          <w:b/>
          <w:bCs/>
          <w:sz w:val="24"/>
          <w:szCs w:val="24"/>
        </w:rPr>
        <w:t xml:space="preserve">1089 · Due effetti da una causa comune.</w:t>
      </w:r>
      <w:r>
        <w:rPr>
          <w:rFonts w:ascii="Barlow Semi Condensed" w:cs="Barlow Semi Condensed" w:eastAsia="Barlow Semi Condensed" w:hAnsi="Barlow Semi Condensed"/>
          <w:sz w:val="24"/>
          <w:szCs w:val="24"/>
        </w:rPr>
        <w:t xml:space="preserve"> Del Cile il saggio fa la causa unica di due esiti opposti: la conferma della via armata a una sinistra, il compromesso storico all'altra. La quinta voce proposta dalla seconda campagna serve esattamente qui: due effetti simultanei che discendono dallo stesso evento e non l'uno dall'altro. Leggerli come imparentati fra loro perché contemporanei è l'errore che quella voce previene.</w:t>
      </w:r>
    </w:p>
    <w:p>
      <w:pPr>
        <w:spacing w:after="120" w:line="276"/>
        <w:jc w:val="both"/>
      </w:pPr>
      <w:r>
        <w:rPr>
          <w:rFonts w:ascii="Barlow Semi Condensed" w:cs="Barlow Semi Condensed" w:eastAsia="Barlow Semi Condensed" w:hAnsi="Barlow Semi Condensed"/>
          <w:b/>
          <w:bCs/>
          <w:sz w:val="24"/>
          <w:szCs w:val="24"/>
        </w:rPr>
        <w:t xml:space="preserve">1090 · Il trasferimento vietato verso l'Italia.</w:t>
      </w:r>
      <w:r>
        <w:rPr>
          <w:rFonts w:ascii="Barlow Semi Condensed" w:cs="Barlow Semi Condensed" w:eastAsia="Barlow Semi Condensed" w:hAnsi="Barlow Semi Condensed"/>
          <w:sz w:val="24"/>
          <w:szCs w:val="24"/>
        </w:rPr>
        <w:t xml:space="preserve"> Nei blocchi 870 e 871 l'opera privata mostra la stessa trappola sul Portogallo: un lessico documentato per un teatro non si trasporta su un altro. Applicata al saggio, la regola dice che ciò che è accertato per Santiago nel 1973 non prova nulla per Roma nel 1978, e che chi lo trasferisce compie la promozione del secondo piano a nesso causale.</w:t>
      </w:r>
    </w:p>
    <w:p>
      <w:pPr>
        <w:spacing w:after="120" w:line="276"/>
        <w:jc w:val="both"/>
      </w:pPr>
      <w:r>
        <w:rPr>
          <w:rFonts w:ascii="Barlow Semi Condensed" w:cs="Barlow Semi Condensed" w:eastAsia="Barlow Semi Condensed" w:hAnsi="Barlow Semi Condensed"/>
          <w:b/>
          <w:bCs/>
          <w:sz w:val="24"/>
          <w:szCs w:val="24"/>
        </w:rPr>
        <w:t xml:space="preserve">1091 · Il calendario chiude il primo ponte.</w:t>
      </w:r>
      <w:r>
        <w:rPr>
          <w:rFonts w:ascii="Barlow Semi Condensed" w:cs="Barlow Semi Condensed" w:eastAsia="Barlow Semi Condensed" w:hAnsi="Barlow Semi Condensed"/>
          <w:sz w:val="24"/>
          <w:szCs w:val="24"/>
        </w:rPr>
        <w:t xml:space="preserve"> Quando Ernesto Guevara fu ucciso a La Higuera, il 9 ottobre 1967, Henry Kissinger non ricopriva alcuna carica federale: assunse la prima il 20 gennaio 1969, quindici mesi dopo. Nessun ponte di piano uno è quindi materialmente formulabile fra quel nome e la fine della campagna boliviana. Non è una valutazione: è una sottrazione fra date, ed è l'acquisizione negativa più solida di questa serie.</w:t>
      </w:r>
    </w:p>
    <w:p>
      <w:pPr>
        <w:spacing w:after="120" w:line="276"/>
        <w:jc w:val="both"/>
      </w:pPr>
      <w:r>
        <w:rPr>
          <w:rFonts w:ascii="Barlow Semi Condensed" w:cs="Barlow Semi Condensed" w:eastAsia="Barlow Semi Condensed" w:hAnsi="Barlow Semi Condensed"/>
          <w:b/>
          <w:bCs/>
          <w:sz w:val="24"/>
          <w:szCs w:val="24"/>
        </w:rPr>
        <w:t xml:space="preserve">1092 · Dove cercare, per il 1967.</w:t>
      </w:r>
      <w:r>
        <w:rPr>
          <w:rFonts w:ascii="Barlow Semi Condensed" w:cs="Barlow Semi Condensed" w:eastAsia="Barlow Semi Condensed" w:hAnsi="Barlow Semi Condensed"/>
          <w:sz w:val="24"/>
          <w:szCs w:val="24"/>
        </w:rPr>
        <w:t xml:space="preserve"> L'indicazione che segue non è un'attribuzione ma un instradamento: le decisioni statunitensi dell'ottobre 1967 appartengono a un'altra amministrazione e ad altri uffici, e le loro carte stanno in Foreign Relations of the United States 1964-1968 e nei fondi presidenziali di Austin. Chi voglia il versante americano della morte del Che deve entrare da quella porta, non da questa.</w:t>
      </w:r>
    </w:p>
    <w:p>
      <w:pPr>
        <w:spacing w:after="120" w:line="276"/>
        <w:jc w:val="both"/>
      </w:pPr>
      <w:r>
        <w:rPr>
          <w:rFonts w:ascii="Barlow Semi Condensed" w:cs="Barlow Semi Condensed" w:eastAsia="Barlow Semi Condensed" w:hAnsi="Barlow Semi Condensed"/>
          <w:b/>
          <w:bCs/>
          <w:sz w:val="24"/>
          <w:szCs w:val="24"/>
        </w:rPr>
        <w:t xml:space="preserve">1093 · Un piano uno verso altro apparato.</w:t>
      </w:r>
      <w:r>
        <w:rPr>
          <w:rFonts w:ascii="Barlow Semi Condensed" w:cs="Barlow Semi Condensed" w:eastAsia="Barlow Semi Condensed" w:hAnsi="Barlow Semi Condensed"/>
          <w:sz w:val="24"/>
          <w:szCs w:val="24"/>
        </w:rPr>
        <w:t xml:space="preserve"> La presenza dell'agente Félix Rodríguez a La Higuera è documentata dagli archivi statunitensi declassificati nel 1997, e il capitolo boliviano del corpus la registra con l'orologio trattenuto per sua stessa testimonianza. È un rapporto diretto documentato, e appartiene per intero a una catena che non tocca il nome qui triangolato. Un piano uno accertato verso altri non presta nulla a un piano uno mancante.</w:t>
      </w:r>
    </w:p>
    <w:p>
      <w:pPr>
        <w:spacing w:after="120" w:line="276"/>
        <w:jc w:val="both"/>
      </w:pPr>
      <w:r>
        <w:rPr>
          <w:rFonts w:ascii="Barlow Semi Condensed" w:cs="Barlow Semi Condensed" w:eastAsia="Barlow Semi Condensed" w:hAnsi="Barlow Semi Condensed"/>
          <w:b/>
          <w:bCs/>
          <w:sz w:val="24"/>
          <w:szCs w:val="24"/>
        </w:rPr>
        <w:t xml:space="preserve">1094 · La simmetria delle ombre è analogia.</w:t>
      </w:r>
      <w:r>
        <w:rPr>
          <w:rFonts w:ascii="Barlow Semi Condensed" w:cs="Barlow Semi Condensed" w:eastAsia="Barlow Semi Condensed" w:hAnsi="Barlow Semi Condensed"/>
          <w:sz w:val="24"/>
          <w:szCs w:val="24"/>
        </w:rPr>
        <w:t xml:space="preserve"> La Parte quinta accosta l'agente della CIA a La Higuera e l'avvertimento attribuito a Kissinger come «ombre statunitensi» sulle due morti, e ha la cautela di chiamarle convergenza. Il blocco 944 dell'opera privata ne fissa il nome tecnico: analogia, non omologia, perché nessun documento attesta discendenza comune. La cautela del saggio è corretta; ciò che circola dopo di esso quasi mai lo è.</w:t>
      </w:r>
    </w:p>
    <w:p>
      <w:pPr>
        <w:spacing w:after="120" w:line="276"/>
        <w:jc w:val="both"/>
      </w:pPr>
      <w:r>
        <w:rPr>
          <w:rFonts w:ascii="Barlow Semi Condensed" w:cs="Barlow Semi Condensed" w:eastAsia="Barlow Semi Condensed" w:hAnsi="Barlow Semi Condensed"/>
          <w:b/>
          <w:bCs/>
          <w:sz w:val="24"/>
          <w:szCs w:val="24"/>
        </w:rPr>
        <w:t xml:space="preserve">1095 · Una cornice non è un antenato.</w:t>
      </w:r>
      <w:r>
        <w:rPr>
          <w:rFonts w:ascii="Barlow Semi Condensed" w:cs="Barlow Semi Condensed" w:eastAsia="Barlow Semi Condensed" w:hAnsi="Barlow Semi Condensed"/>
          <w:sz w:val="24"/>
          <w:szCs w:val="24"/>
        </w:rPr>
        <w:t xml:space="preserve"> Dal fatto che due vicende condividano la stessa guerra fredda non discende che condividano un'origine. È la regola centrale dell'opera e taglia qui con particolare nettezza, perché il saggio la enuncia da sé nella Parte quinta e la vede poi rovesciata da ogni ripresa divulgativa. Il test resta uno solo: un documento di provenienza che nomini la controparte. Per la Bolivia del 1967 non esiste.</w:t>
      </w:r>
    </w:p>
    <w:p>
      <w:pPr>
        <w:spacing w:after="120" w:line="276"/>
        <w:jc w:val="both"/>
      </w:pPr>
      <w:r>
        <w:rPr>
          <w:rFonts w:ascii="Barlow Semi Condensed" w:cs="Barlow Semi Condensed" w:eastAsia="Barlow Semi Condensed" w:hAnsi="Barlow Semi Condensed"/>
          <w:b/>
          <w:bCs/>
          <w:sz w:val="24"/>
          <w:szCs w:val="24"/>
        </w:rPr>
        <w:t xml:space="preserve">1096 · Lo Stato Zero boliviano.</w:t>
      </w:r>
      <w:r>
        <w:rPr>
          <w:rFonts w:ascii="Barlow Semi Condensed" w:cs="Barlow Semi Condensed" w:eastAsia="Barlow Semi Condensed" w:hAnsi="Barlow Semi Condensed"/>
          <w:sz w:val="24"/>
          <w:szCs w:val="24"/>
        </w:rPr>
        <w:t xml:space="preserve"> Cercato e non trovato: alcun documento, nel corpus e nelle sue fonti, che nomini insieme Henry Kissinger e la campagna boliviana del 1966-1967. Le sedi che lo chiuderebbero sono tre e si nominano: l'Electronic Briefing Book del National Security Archive del 1997, la banca CREST dell'Agenzia nella sua sala di lettura elettronica, e il record group 59 dei Central Foreign Policy Files per il 1967.</w:t>
      </w:r>
    </w:p>
    <w:p>
      <w:pPr>
        <w:spacing w:after="120" w:line="276"/>
        <w:jc w:val="both"/>
      </w:pPr>
      <w:r>
        <w:rPr>
          <w:rFonts w:ascii="Barlow Semi Condensed" w:cs="Barlow Semi Condensed" w:eastAsia="Barlow Semi Condensed" w:hAnsi="Barlow Semi Condensed"/>
          <w:b/>
          <w:bCs/>
          <w:sz w:val="24"/>
          <w:szCs w:val="24"/>
        </w:rPr>
        <w:t xml:space="preserve">1097 · Il 1967 privato, come quesito.</w:t>
      </w:r>
      <w:r>
        <w:rPr>
          <w:rFonts w:ascii="Barlow Semi Condensed" w:cs="Barlow Semi Condensed" w:eastAsia="Barlow Semi Condensed" w:hAnsi="Barlow Semi Condensed"/>
          <w:sz w:val="24"/>
          <w:szCs w:val="24"/>
        </w:rPr>
        <w:t xml:space="preserve"> Che cosa facesse in quell'anno l'uomo poi divenuto Assistente per la sicurezza nazionale è materia di verifica e non di assunzione: la letteratura gli attribuisce un ruolo di intermediario in contatti riservati sul Vietnam nell'estate 1967. Il quesito da portare in archivio è se e dove quei contatti siano editi. Non produce alcun rapporto col teatro boliviano, e si registra per completezza del perimetro.</w:t>
      </w:r>
    </w:p>
    <w:p>
      <w:pPr>
        <w:spacing w:after="120" w:line="276"/>
        <w:jc w:val="both"/>
      </w:pPr>
      <w:r>
        <w:rPr>
          <w:rFonts w:ascii="Barlow Semi Condensed" w:cs="Barlow Semi Condensed" w:eastAsia="Barlow Semi Condensed" w:hAnsi="Barlow Semi Condensed"/>
          <w:b/>
          <w:bCs/>
          <w:sz w:val="24"/>
          <w:szCs w:val="24"/>
        </w:rPr>
        <w:t xml:space="preserve">1098 · Il decennale e la carica cessata.</w:t>
      </w:r>
      <w:r>
        <w:rPr>
          <w:rFonts w:ascii="Barlow Semi Condensed" w:cs="Barlow Semi Condensed" w:eastAsia="Barlow Semi Condensed" w:hAnsi="Barlow Semi Condensed"/>
          <w:sz w:val="24"/>
          <w:szCs w:val="24"/>
        </w:rPr>
        <w:t xml:space="preserve"> Il nodo M-9 colloca il decennale della morte di Guevara nell'ottobre 1977, dentro l'Italia del movimento e pochi mesi prima di via Fani. A quella data Kissinger era fuori da ogni incarico dal 20 gennaio 1977. Il rilievo non serve a discolpare nessuno: serve a impedire che una contemporaneità evocata funzioni come nesso, perché chi non è in carica non dispone di apparati.</w:t>
      </w:r>
    </w:p>
    <w:p>
      <w:pPr>
        <w:spacing w:after="120" w:line="276"/>
        <w:jc w:val="both"/>
      </w:pPr>
      <w:r>
        <w:rPr>
          <w:rFonts w:ascii="Barlow Semi Condensed" w:cs="Barlow Semi Condensed" w:eastAsia="Barlow Semi Condensed" w:hAnsi="Barlow Semi Condensed"/>
          <w:b/>
          <w:bCs/>
          <w:sz w:val="24"/>
          <w:szCs w:val="24"/>
        </w:rPr>
        <w:t xml:space="preserve">1099 · Il reperto che ribalterebbe la serie.</w:t>
      </w:r>
      <w:r>
        <w:rPr>
          <w:rFonts w:ascii="Barlow Semi Condensed" w:cs="Barlow Semi Condensed" w:eastAsia="Barlow Semi Condensed" w:hAnsi="Barlow Semi Condensed"/>
          <w:sz w:val="24"/>
          <w:szCs w:val="24"/>
        </w:rPr>
        <w:t xml:space="preserve"> Falsificherebbe l'assenza qui verbalizzata un solo reperto: un documento coevo, con segnatura e provenienza accertata, in cui il nome compaia insieme alla campagna dell'Ejército de Liberación Nacional o alla decisione presa a La Paz. Sarebbe piano uno e rovescerebbe la serie. Fino ad allora l'assenza è un'acquisizione e non una reticenza, e va scritta con la forza di un accertamento positivo.</w:t>
      </w:r>
    </w:p>
    <w:p>
      <w:pPr>
        <w:spacing w:after="120" w:line="276"/>
        <w:jc w:val="both"/>
      </w:pPr>
      <w:r>
        <w:rPr>
          <w:rFonts w:ascii="Barlow Semi Condensed" w:cs="Barlow Semi Condensed" w:eastAsia="Barlow Semi Condensed" w:hAnsi="Barlow Semi Condensed"/>
          <w:b/>
          <w:bCs/>
          <w:sz w:val="24"/>
          <w:szCs w:val="24"/>
        </w:rPr>
        <w:t xml:space="preserve">1100 · Il diario e le carte americane.</w:t>
      </w:r>
      <w:r>
        <w:rPr>
          <w:rFonts w:ascii="Barlow Semi Condensed" w:cs="Barlow Semi Condensed" w:eastAsia="Barlow Semi Condensed" w:hAnsi="Barlow Semi Condensed"/>
          <w:sz w:val="24"/>
          <w:szCs w:val="24"/>
        </w:rPr>
        <w:t xml:space="preserve"> Trattato al blocco 783 come testo di protagonista, il diario boliviano ebbe una trasmissione appartenuta interamente ad altri: sequestrato, poi pubblicato nel 1968 con prefazione politica. Ne discende un bersaglio pertinente a questo territorio: verificare se nei fondi statunitensi esistano valutazioni coeve sull'edizione italiana, in quali serie, e con quale grado. Se non esistono, si verbalizzano le serie interrogate.</w:t>
      </w:r>
    </w:p>
    <w:p>
      <w:pPr>
        <w:spacing w:after="120" w:line="276"/>
        <w:jc w:val="both"/>
      </w:pPr>
      <w:r>
        <w:rPr>
          <w:rFonts w:ascii="Barlow Semi Condensed" w:cs="Barlow Semi Condensed" w:eastAsia="Barlow Semi Condensed" w:hAnsi="Barlow Semi Condensed"/>
          <w:b/>
          <w:bCs/>
          <w:sz w:val="24"/>
          <w:szCs w:val="24"/>
        </w:rPr>
        <w:t xml:space="preserve">1101 · L'iconografia non produce nessi.</w:t>
      </w:r>
      <w:r>
        <w:rPr>
          <w:rFonts w:ascii="Barlow Semi Condensed" w:cs="Barlow Semi Condensed" w:eastAsia="Barlow Semi Condensed" w:hAnsi="Barlow Semi Condensed"/>
          <w:sz w:val="24"/>
          <w:szCs w:val="24"/>
        </w:rPr>
        <w:t xml:space="preserve"> La fotografia di Freddy Alborta ai lavatoi di Vallegrande, il 10 ottobre 1967, sta al nodo M-7 accanto alle immagini di via Caetani. Il parallelo riguarda la memoria visiva di due casi e non genera alcun quesito verificabile sul nome qui triangolato. Si registra per chiudere il perimetro: dove il territorio non offre appigli documentali, il blocco dichiara l'assenza di bersaglio anziché costruirne uno artificiale.</w:t>
      </w:r>
    </w:p>
    <w:p>
      <w:pPr>
        <w:spacing w:after="120" w:line="276"/>
        <w:jc w:val="both"/>
      </w:pPr>
      <w:r>
        <w:rPr>
          <w:rFonts w:ascii="Barlow Semi Condensed" w:cs="Barlow Semi Condensed" w:eastAsia="Barlow Semi Condensed" w:hAnsi="Barlow Semi Condensed"/>
          <w:b/>
          <w:bCs/>
          <w:sz w:val="24"/>
          <w:szCs w:val="24"/>
        </w:rPr>
        <w:t xml:space="preserve">1102 · Il 1997 e le riaperture.</w:t>
      </w:r>
      <w:r>
        <w:rPr>
          <w:rFonts w:ascii="Barlow Semi Condensed" w:cs="Barlow Semi Condensed" w:eastAsia="Barlow Semi Condensed" w:hAnsi="Barlow Semi Condensed"/>
          <w:sz w:val="24"/>
          <w:szCs w:val="24"/>
        </w:rPr>
        <w:t xml:space="preserve"> Il ritrovamento dei resti a Vallegrande e la declassificazione statunitense sul caso Guevara cadono entrambi nel 1997, quando il nome triangolato era da vent'anni fuori da ogni carica. Il dato serve a una regola di lettura: la stagione delle aperture d'archivio non coincide con la stagione delle decisioni, e ciò che si legge oggi va sempre ricollocato alla data in cui fu prodotto.</w:t>
      </w:r>
    </w:p>
    <w:p>
      <w:pPr>
        <w:spacing w:after="120" w:line="276"/>
        <w:jc w:val="both"/>
      </w:pPr>
      <w:r>
        <w:rPr>
          <w:rFonts w:ascii="Barlow Semi Condensed" w:cs="Barlow Semi Condensed" w:eastAsia="Barlow Semi Condensed" w:hAnsi="Barlow Semi Condensed"/>
          <w:b/>
          <w:bCs/>
          <w:sz w:val="24"/>
          <w:szCs w:val="24"/>
        </w:rPr>
        <w:t xml:space="preserve">1103 · Korda 1960, e la distanza.</w:t>
      </w:r>
      <w:r>
        <w:rPr>
          <w:rFonts w:ascii="Barlow Semi Condensed" w:cs="Barlow Semi Condensed" w:eastAsia="Barlow Semi Condensed" w:hAnsi="Barlow Semi Condensed"/>
          <w:sz w:val="24"/>
          <w:szCs w:val="24"/>
        </w:rPr>
        <w:t xml:space="preserve"> Lo scatto del 5 marzo 1960, alle esequie delle vittime del piroscafo La Coubre, precede di nove anni il primo incarico governativo del nome triangolato. Il capitolo sul vettore lo documenta con precisione, insieme all'oblio in cui la fotografia rimase per anni. Nessuna triangolazione è possibile, e va detto: elencare la data serve a impedire che un lettore la immagini contemporanea a qualcosa.</w:t>
      </w:r>
    </w:p>
    <w:p>
      <w:pPr>
        <w:spacing w:after="120" w:line="276"/>
        <w:jc w:val="both"/>
      </w:pPr>
      <w:r>
        <w:rPr>
          <w:rFonts w:ascii="Barlow Semi Condensed" w:cs="Barlow Semi Condensed" w:eastAsia="Barlow Semi Condensed" w:hAnsi="Barlow Semi Condensed"/>
          <w:b/>
          <w:bCs/>
          <w:sz w:val="24"/>
          <w:szCs w:val="24"/>
        </w:rPr>
        <w:t xml:space="preserve">1104 · L'arresto boliviano dell'agosto 1967.</w:t>
      </w:r>
      <w:r>
        <w:rPr>
          <w:rFonts w:ascii="Barlow Semi Condensed" w:cs="Barlow Semi Condensed" w:eastAsia="Barlow Semi Condensed" w:hAnsi="Barlow Semi Condensed"/>
          <w:sz w:val="24"/>
          <w:szCs w:val="24"/>
        </w:rPr>
        <w:t xml:space="preserve"> Il capitolo sul vettore accerta che nell'agosto 1967, con Régis Debray sotto processo a Camiri, Giangiacomo Feltrinelli andò in Bolivia, vi fu arrestato e ne fu espulso come indesiderato. È il punto di massima prossimità fisica fra il vettore e la guerriglia. Sul versante statunitense non risulta nulla: le sedi da interrogare sono l'Archivo Nacional de Bolivia a Sucre e il record group 59 per il 1967.</w:t>
      </w:r>
    </w:p>
    <w:p>
      <w:pPr>
        <w:spacing w:after="120" w:line="276"/>
        <w:jc w:val="both"/>
      </w:pPr>
      <w:r>
        <w:rPr>
          <w:rFonts w:ascii="Barlow Semi Condensed" w:cs="Barlow Semi Condensed" w:eastAsia="Barlow Semi Condensed" w:hAnsi="Barlow Semi Condensed"/>
          <w:b/>
          <w:bCs/>
          <w:sz w:val="24"/>
          <w:szCs w:val="24"/>
        </w:rPr>
        <w:t xml:space="preserve">1105 · Una fonte usata e non elencata.</w:t>
      </w:r>
      <w:r>
        <w:rPr>
          <w:rFonts w:ascii="Barlow Semi Condensed" w:cs="Barlow Semi Condensed" w:eastAsia="Barlow Semi Condensed" w:hAnsi="Barlow Semi Condensed"/>
          <w:sz w:val="24"/>
          <w:szCs w:val="24"/>
        </w:rPr>
        <w:t xml:space="preserve"> La nota finale del saggio elenca i tre studi su Guevara e la triangolazione, ma non feltrinelli-il-vettore.md, benché la Parte seconda ne riassuma per intero le acquisizioni: Korda, il Diario, i GAP, Segrate. La lacuna è dell'apparato bibliografico, si constata confrontando la Parte seconda con la nota, e si chiude aggiungendo il rimando. Un'omissione d'elenco non è errore di fatto, ma rende il saggio non rifacibile.</w:t>
      </w:r>
    </w:p>
    <w:p>
      <w:pPr>
        <w:spacing w:after="120" w:line="276"/>
        <w:jc w:val="both"/>
      </w:pPr>
      <w:r>
        <w:rPr>
          <w:rFonts w:ascii="Barlow Semi Condensed" w:cs="Barlow Semi Condensed" w:eastAsia="Barlow Semi Condensed" w:hAnsi="Barlow Semi Condensed"/>
          <w:b/>
          <w:bCs/>
          <w:sz w:val="24"/>
          <w:szCs w:val="24"/>
        </w:rPr>
        <w:t xml:space="preserve">1106 · Il capitolo conclusivo assente dall'elenco.</w:t>
      </w:r>
      <w:r>
        <w:rPr>
          <w:rFonts w:ascii="Barlow Semi Condensed" w:cs="Barlow Semi Condensed" w:eastAsia="Barlow Semi Condensed" w:hAnsi="Barlow Semi Condensed"/>
          <w:sz w:val="24"/>
          <w:szCs w:val="24"/>
        </w:rPr>
        <w:t xml:space="preserve"> Analoga constatazione per guevara-campagna-boliviana-1966-1967.md, che si dichiara capitolo conclusivo del corpus guevariano e si salda esplicitamente a valle con questo saggio: la nota finale non lo cita. Poiché la Parte seconda e la Parte terza ne usano date e snodi, da Ñancahuazú al Vado del Yeso alla Quebrada del Churo, l'assenza va sanata: la tracciabilità è la quarta disciplina dell'opera.</w:t>
      </w:r>
    </w:p>
    <w:p>
      <w:pPr>
        <w:spacing w:after="120" w:line="276"/>
        <w:jc w:val="both"/>
      </w:pPr>
      <w:r>
        <w:rPr>
          <w:rFonts w:ascii="Barlow Semi Condensed" w:cs="Barlow Semi Condensed" w:eastAsia="Barlow Semi Condensed" w:hAnsi="Barlow Semi Condensed"/>
          <w:b/>
          <w:bCs/>
          <w:sz w:val="24"/>
          <w:szCs w:val="24"/>
        </w:rPr>
        <w:t xml:space="preserve">1107 · Aprile-maggio 1970, e il silenzio.</w:t>
      </w:r>
      <w:r>
        <w:rPr>
          <w:rFonts w:ascii="Barlow Semi Condensed" w:cs="Barlow Semi Condensed" w:eastAsia="Barlow Semi Condensed" w:hAnsi="Barlow Semi Condensed"/>
          <w:sz w:val="24"/>
          <w:szCs w:val="24"/>
        </w:rPr>
        <w:t xml:space="preserve"> La fondazione dei Gruppi d'Azione Partigiana è collocata, dalla nota di revisione del capitolo sul vettore, fra aprile e maggio 1970, e la sigla riprende deliberatamente quella della Resistenza. In quei mesi il nome triangolato era Assistente per la sicurezza nazionale. Il corpus non registra alcun documento che colleghi le due cose, e la sede dove cercarlo è il fondo del Consiglio di sicurezza alla Nixon Library.</w:t>
      </w:r>
    </w:p>
    <w:p>
      <w:pPr>
        <w:spacing w:after="120" w:line="276"/>
        <w:jc w:val="both"/>
      </w:pPr>
      <w:r>
        <w:rPr>
          <w:rFonts w:ascii="Barlow Semi Condensed" w:cs="Barlow Semi Condensed" w:eastAsia="Barlow Semi Condensed" w:hAnsi="Barlow Semi Condensed"/>
          <w:b/>
          <w:bCs/>
          <w:sz w:val="24"/>
          <w:szCs w:val="24"/>
        </w:rPr>
        <w:t xml:space="preserve">1108 · Segrate, e la sede della verifica.</w:t>
      </w:r>
      <w:r>
        <w:rPr>
          <w:rFonts w:ascii="Barlow Semi Condensed" w:cs="Barlow Semi Condensed" w:eastAsia="Barlow Semi Condensed" w:hAnsi="Barlow Semi Condensed"/>
          <w:sz w:val="24"/>
          <w:szCs w:val="24"/>
        </w:rPr>
        <w:t xml:space="preserve"> Feltrinelli morì il 14 marzo 1972 ai piedi di un traliccio presso la Cascina Nuova, e fu ritrovato il 15. La ricostruzione accolta in giudizio è quella del sabotaggio finito male. Per il versante qui indagato la verifica è meccanica e ha una sede precisa: le trascrizioni telefoniche del periodo conservate alla Nixon Library. Un esito negativo si verbalizza con le date interrogate.</w:t>
      </w:r>
    </w:p>
    <w:p>
      <w:pPr>
        <w:spacing w:after="120" w:line="276"/>
        <w:jc w:val="both"/>
      </w:pPr>
      <w:r>
        <w:rPr>
          <w:rFonts w:ascii="Barlow Semi Condensed" w:cs="Barlow Semi Condensed" w:eastAsia="Barlow Semi Condensed" w:hAnsi="Barlow Semi Condensed"/>
          <w:b/>
          <w:bCs/>
          <w:sz w:val="24"/>
          <w:szCs w:val="24"/>
        </w:rPr>
        <w:t xml:space="preserve">1109 · Un canale non impartisce ordini.</w:t>
      </w:r>
      <w:r>
        <w:rPr>
          <w:rFonts w:ascii="Barlow Semi Condensed" w:cs="Barlow Semi Condensed" w:eastAsia="Barlow Semi Condensed" w:hAnsi="Barlow Semi Condensed"/>
          <w:sz w:val="24"/>
          <w:szCs w:val="24"/>
        </w:rPr>
        <w:t xml:space="preserve"> I blocchi 435 e 520 dell'opera privata fissano che un vettore trasporta un'immagine, un libro, un metodo, cioè informazione e non comando, e che nel trasmettere altera ciò che trasmette. Applicata al saggio, la formula protegge insieme l'editore e chiunque altro: chi fabbrica un simbolo non governa gli usi che altri ne faranno, e attribuire all'emittente ciò che il canale ha prodotto resta un errore.</w:t>
      </w:r>
    </w:p>
    <w:p>
      <w:pPr>
        <w:spacing w:after="120" w:line="276"/>
        <w:jc w:val="both"/>
      </w:pPr>
      <w:r>
        <w:rPr>
          <w:rFonts w:ascii="Barlow Semi Condensed" w:cs="Barlow Semi Condensed" w:eastAsia="Barlow Semi Condensed" w:hAnsi="Barlow Semi Condensed"/>
          <w:b/>
          <w:bCs/>
          <w:sz w:val="24"/>
          <w:szCs w:val="24"/>
        </w:rPr>
        <w:t xml:space="preserve">1110 · Il bersaglio già scritto altrove.</w:t>
      </w:r>
      <w:r>
        <w:rPr>
          <w:rFonts w:ascii="Barlow Semi Condensed" w:cs="Barlow Semi Condensed" w:eastAsia="Barlow Semi Condensed" w:hAnsi="Barlow Semi Condensed"/>
          <w:sz w:val="24"/>
          <w:szCs w:val="24"/>
        </w:rPr>
        <w:t xml:space="preserve"> Il quesito è già formulato al blocco 709 e va ripetuto qui perché appartiene a questo territorio: verificare se nei fondi statunitensi consultabili esistano valutazioni coeve su Giangiacomo Feltrinelli, e in quali serie stiano. Se esistono, entrano col grado della loro natura, perché una valutazione di servizio è un'ipotesi e non un accertamento.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1111 · La congettura di Segrate resta tale.</w:t>
      </w:r>
      <w:r>
        <w:rPr>
          <w:rFonts w:ascii="Barlow Semi Condensed" w:cs="Barlow Semi Condensed" w:eastAsia="Barlow Semi Condensed" w:hAnsi="Barlow Semi Condensed"/>
          <w:sz w:val="24"/>
          <w:szCs w:val="24"/>
        </w:rPr>
        <w:t xml:space="preserve"> La tesi di una regia occulta dietro l'esplosione resta, nel capitolo sul vettore, in categoria di congettura: non promossa e non liquidata. Questa serie non la muove di un grado e vi aggiunge una cosa sola: nessuna delle versioni circolanti nomina il soggetto qui triangolato, e nessuna persona può essere indicata come responsabile oltre il giudicato definitivo. Il sospetto diffuso non è una fonte.</w:t>
      </w:r>
    </w:p>
    <w:p>
      <w:pPr>
        <w:spacing w:after="120" w:line="276"/>
        <w:jc w:val="both"/>
      </w:pPr>
      <w:r>
        <w:rPr>
          <w:rFonts w:ascii="Barlow Semi Condensed" w:cs="Barlow Semi Condensed" w:eastAsia="Barlow Semi Condensed" w:hAnsi="Barlow Semi Condensed"/>
          <w:b/>
          <w:bCs/>
          <w:sz w:val="24"/>
          <w:szCs w:val="24"/>
        </w:rPr>
        <w:t xml:space="preserve">1112 · Falsificare l'assenza sul vettore.</w:t>
      </w:r>
      <w:r>
        <w:rPr>
          <w:rFonts w:ascii="Barlow Semi Condensed" w:cs="Barlow Semi Condensed" w:eastAsia="Barlow Semi Condensed" w:hAnsi="Barlow Semi Condensed"/>
          <w:sz w:val="24"/>
          <w:szCs w:val="24"/>
        </w:rPr>
        <w:t xml:space="preserve"> Un documento di provenienza statunitense, datato fra il 1967 e il 1972, che nomini l'editore e provenga da un ufficio riconducibile al nome triangolato, falsificherebbe l'assenza registrata su questo versante e varrebbe come piano uno. La ricerca va condotta per serie e non per parola isolata, perché un cognome frequente in campo editoriale produce falsi positivi da scartare prima di ogni conteggio.</w:t>
      </w:r>
    </w:p>
    <w:p>
      <w:pPr>
        <w:spacing w:after="120" w:line="276"/>
        <w:jc w:val="both"/>
      </w:pPr>
      <w:r>
        <w:rPr>
          <w:rFonts w:ascii="Barlow Semi Condensed" w:cs="Barlow Semi Condensed" w:eastAsia="Barlow Semi Condensed" w:hAnsi="Barlow Semi Condensed"/>
          <w:b/>
          <w:bCs/>
          <w:sz w:val="24"/>
          <w:szCs w:val="24"/>
        </w:rPr>
        <w:t xml:space="preserve">1113 · Pecorile, agosto 1970.</w:t>
      </w:r>
      <w:r>
        <w:rPr>
          <w:rFonts w:ascii="Barlow Semi Condensed" w:cs="Barlow Semi Condensed" w:eastAsia="Barlow Semi Condensed" w:hAnsi="Barlow Semi Condensed"/>
          <w:sz w:val="24"/>
          <w:szCs w:val="24"/>
        </w:rPr>
        <w:t xml:space="preserve"> Il convegno fondativo delle Brigate Rosse cade nell'agosto 1970, e la matrice lo registra al nodo M-3 insieme al modello individuale dichiarato. Fra quel convegno e il nome qui triangolato il corpus non offre alcun documento, né diretto né mediato. È uno Stato Zero pulito: la data è certa, il perimetro è delimitato, la ricerca è stata condotta e si è chiusa in negativo.</w:t>
      </w:r>
    </w:p>
    <w:p>
      <w:pPr>
        <w:spacing w:after="120" w:line="276"/>
        <w:jc w:val="both"/>
      </w:pPr>
      <w:r>
        <w:rPr>
          <w:rFonts w:ascii="Barlow Semi Condensed" w:cs="Barlow Semi Condensed" w:eastAsia="Barlow Semi Condensed" w:hAnsi="Barlow Semi Condensed"/>
          <w:b/>
          <w:bCs/>
          <w:sz w:val="24"/>
          <w:szCs w:val="24"/>
        </w:rPr>
        <w:t xml:space="preserve">1114 · Il modello dichiarato non trasmette colpa.</w:t>
      </w:r>
      <w:r>
        <w:rPr>
          <w:rFonts w:ascii="Barlow Semi Condensed" w:cs="Barlow Semi Condensed" w:eastAsia="Barlow Semi Condensed" w:hAnsi="Barlow Semi Condensed"/>
          <w:sz w:val="24"/>
          <w:szCs w:val="24"/>
        </w:rPr>
        <w:t xml:space="preserve"> La simmetria che protegge tutti è fissata ai blocchi 160, 161 e 951: una discendenza dottrinale accertata non rende Guevara responsabile di via Fani, e nessuna discendenza, accertata o inferita, rende alcuno responsabile di ciò che altri fecero invocandolo. Il saggio lo dice a suo modo nella Parte terza, distinguendo la bandiera dal gesto. Vale in entrambe le direzioni, o non vale affatto.</w:t>
      </w:r>
    </w:p>
    <w:p>
      <w:pPr>
        <w:spacing w:after="120" w:line="276"/>
        <w:jc w:val="both"/>
      </w:pPr>
      <w:r>
        <w:rPr>
          <w:rFonts w:ascii="Barlow Semi Condensed" w:cs="Barlow Semi Condensed" w:eastAsia="Barlow Semi Condensed" w:hAnsi="Barlow Semi Condensed"/>
          <w:b/>
          <w:bCs/>
          <w:sz w:val="24"/>
          <w:szCs w:val="24"/>
        </w:rPr>
        <w:t xml:space="preserve">1115 · Citare non è delegare.</w:t>
      </w:r>
      <w:r>
        <w:rPr>
          <w:rFonts w:ascii="Barlow Semi Condensed" w:cs="Barlow Semi Condensed" w:eastAsia="Barlow Semi Condensed" w:hAnsi="Barlow Semi Condensed"/>
          <w:sz w:val="24"/>
          <w:szCs w:val="24"/>
        </w:rPr>
        <w:t xml:space="preserve"> Nessuno riceve un mandato dall'essere citato, e nessuno ne concede uno citando: il blocco 957 lo formula per le due estremità di questa triangolazione. Le Brigate Rosse citarono Guevara senza che Guevara avesse delegato alcunché; la pubblicistica cita Kissinger senza che una citazione istituisca un rapporto. Il quesito resta invariabile: esiste un documento in cui il citato risponde, autorizza o dispone?</w:t>
      </w:r>
    </w:p>
    <w:p>
      <w:pPr>
        <w:spacing w:after="120" w:line="276"/>
        <w:jc w:val="both"/>
      </w:pPr>
      <w:r>
        <w:rPr>
          <w:rFonts w:ascii="Barlow Semi Condensed" w:cs="Barlow Semi Condensed" w:eastAsia="Barlow Semi Condensed" w:hAnsi="Barlow Semi Condensed"/>
          <w:b/>
          <w:bCs/>
          <w:sz w:val="24"/>
          <w:szCs w:val="24"/>
        </w:rPr>
        <w:t xml:space="preserve">1116 · Le due date del 1978.</w:t>
      </w:r>
      <w:r>
        <w:rPr>
          <w:rFonts w:ascii="Barlow Semi Condensed" w:cs="Barlow Semi Condensed" w:eastAsia="Barlow Semi Condensed" w:hAnsi="Barlow Semi Condensed"/>
          <w:sz w:val="24"/>
          <w:szCs w:val="24"/>
        </w:rPr>
        <w:t xml:space="preserve"> Via Fani è del 16 marzo 1978, via Caetani del 9 maggio 1978. A entrambe le date il nome triangolato era fuori da ogni incarico governativo da oltre un anno, essendo cessato dalla Segreteria di Stato il 20 gennaio 1977. Il dato è dirimente per ogni lettura del saggio che immagini una disponibilità di apparati, e va anteposto a qualunque discussione di moventi.</w:t>
      </w:r>
    </w:p>
    <w:p>
      <w:pPr>
        <w:spacing w:after="120" w:line="276"/>
        <w:jc w:val="both"/>
      </w:pPr>
      <w:r>
        <w:rPr>
          <w:rFonts w:ascii="Barlow Semi Condensed" w:cs="Barlow Semi Condensed" w:eastAsia="Barlow Semi Condensed" w:hAnsi="Barlow Semi Condensed"/>
          <w:b/>
          <w:bCs/>
          <w:sz w:val="24"/>
          <w:szCs w:val="24"/>
        </w:rPr>
        <w:t xml:space="preserve">1117 · Il consulente non raddoppia l'ombra.</w:t>
      </w:r>
      <w:r>
        <w:rPr>
          <w:rFonts w:ascii="Barlow Semi Condensed" w:cs="Barlow Semi Condensed" w:eastAsia="Barlow Semi Condensed" w:hAnsi="Barlow Semi Condensed"/>
          <w:sz w:val="24"/>
          <w:szCs w:val="24"/>
        </w:rPr>
        <w:t xml:space="preserve"> Il repertorio del caso tiene separati due oggetti che la Parte quinta accosta in una sola frase: l'avvertimento attribuito e la presenza del consulente del Dipartimento di Stato nel comitato di crisi. Quella presenza vale B; le dichiarazioni successive sono fonte di parte e valgono C quanto alla portata. Sommarle produce un'unica ombra dove il corpus registra due grandezze distinte, con gradi e sedi diverse.</w:t>
      </w:r>
    </w:p>
    <w:p>
      <w:pPr>
        <w:spacing w:after="120" w:line="276"/>
        <w:jc w:val="both"/>
      </w:pPr>
      <w:r>
        <w:rPr>
          <w:rFonts w:ascii="Barlow Semi Condensed" w:cs="Barlow Semi Condensed" w:eastAsia="Barlow Semi Condensed" w:hAnsi="Barlow Semi Condensed"/>
          <w:b/>
          <w:bCs/>
          <w:sz w:val="24"/>
          <w:szCs w:val="24"/>
        </w:rPr>
        <w:t xml:space="preserve">1118 · Due deboli non fanno un forte.</w:t>
      </w:r>
      <w:r>
        <w:rPr>
          <w:rFonts w:ascii="Barlow Semi Condensed" w:cs="Barlow Semi Condensed" w:eastAsia="Barlow Semi Condensed" w:hAnsi="Barlow Semi Condensed"/>
          <w:sz w:val="24"/>
          <w:szCs w:val="24"/>
        </w:rPr>
        <w:t xml:space="preserve"> La regola vale in ogni sede e qui in modo speciale, perché il territorio giustappone elementi disomogenei dentro una sola frase. Una testimonianza contestata e una dichiarazione di parte, entrambe di grado basso, non si rafforzano per accostamento: restano due grandezze deboli messe vicine. L'addizione dei gradi non esiste in nessuna disciplina della prova, e la sua apparenza è un effetto tipografico.</w:t>
      </w:r>
    </w:p>
    <w:p>
      <w:pPr>
        <w:spacing w:after="120" w:line="276"/>
        <w:jc w:val="both"/>
      </w:pPr>
      <w:r>
        <w:rPr>
          <w:rFonts w:ascii="Barlow Semi Condensed" w:cs="Barlow Semi Condensed" w:eastAsia="Barlow Semi Condensed" w:hAnsi="Barlow Semi Condensed"/>
          <w:b/>
          <w:bCs/>
          <w:sz w:val="24"/>
          <w:szCs w:val="24"/>
        </w:rPr>
        <w:t xml:space="preserve">1119 · L'autonomia accertata come vincolo.</w:t>
      </w:r>
      <w:r>
        <w:rPr>
          <w:rFonts w:ascii="Barlow Semi Condensed" w:cs="Barlow Semi Condensed" w:eastAsia="Barlow Semi Condensed" w:hAnsi="Barlow Semi Condensed"/>
          <w:sz w:val="24"/>
          <w:szCs w:val="24"/>
        </w:rPr>
        <w:t xml:space="preserve"> L'apparato dei gradi registra al capitolo diciottesimo l'autonomia delle Brigate Rosse come organizzazione armata al grado A, e indica ciò che la smentirebbe: un documento coevo, esterno, autenticato, che provi l'eterodirezione, cercato e non trovato. È il vincolo dentro cui questa serie lavora. Ogni lettura del saggio che presupponga una regia esterna deve prima rovesciare quel grado, e con quel documento.</w:t>
      </w:r>
    </w:p>
    <w:p>
      <w:pPr>
        <w:spacing w:after="120" w:line="276"/>
        <w:jc w:val="both"/>
      </w:pPr>
      <w:r>
        <w:rPr>
          <w:rFonts w:ascii="Barlow Semi Condensed" w:cs="Barlow Semi Condensed" w:eastAsia="Barlow Semi Condensed" w:hAnsi="Barlow Semi Condensed"/>
          <w:b/>
          <w:bCs/>
          <w:sz w:val="24"/>
          <w:szCs w:val="24"/>
        </w:rPr>
        <w:t xml:space="preserve">1120 · L'atto che manca al 1978.</w:t>
      </w:r>
      <w:r>
        <w:rPr>
          <w:rFonts w:ascii="Barlow Semi Condensed" w:cs="Barlow Semi Condensed" w:eastAsia="Barlow Semi Condensed" w:hAnsi="Barlow Semi Condensed"/>
          <w:sz w:val="24"/>
          <w:szCs w:val="24"/>
        </w:rPr>
        <w:t xml:space="preserve"> Per il versante italiano il bersaglio si dichiara così: un atto, non una testimonianza e non una memoria, proveniente da un ufficio statunitense e datato fra il 16 marzo e il 9 maggio 1978, che disponga o autorizzi una condotta verso il sequestro. Sarebbe piano uno e cambierebbe il corpus. La Fase sesta lo registra fra gli Stati Zero: cercato e chiuso in negativo.</w:t>
      </w:r>
    </w:p>
    <w:p>
      <w:pPr>
        <w:spacing w:after="120" w:line="276"/>
        <w:jc w:val="both"/>
      </w:pPr>
      <w:r>
        <w:rPr>
          <w:rFonts w:ascii="Barlow Semi Condensed" w:cs="Barlow Semi Condensed" w:eastAsia="Barlow Semi Condensed" w:hAnsi="Barlow Semi Condensed"/>
          <w:b/>
          <w:bCs/>
          <w:sz w:val="24"/>
          <w:szCs w:val="24"/>
        </w:rPr>
        <w:t xml:space="preserve">1121 · La lezione superata della Parte quinta.</w:t>
      </w:r>
      <w:r>
        <w:rPr>
          <w:rFonts w:ascii="Barlow Semi Condensed" w:cs="Barlow Semi Condensed" w:eastAsia="Barlow Semi Condensed" w:hAnsi="Barlow Semi Condensed"/>
          <w:sz w:val="24"/>
          <w:szCs w:val="24"/>
        </w:rPr>
        <w:t xml:space="preserve"> Fra ciò che è «documentato nei singoli fatti» il testo colloca anche l'avvertimento, pur negando la regia unica. Le sette precisazioni successive ne hanno mutato lo statuto: testimonianza contestata, grado B nella sua accezione debole, non accertamento. La correzione non tocca la tesi, che restava prudente sul nesso; tocca la qualifica del singolo fatto, ed è per questo che va apposta e non discussa.</w:t>
      </w:r>
    </w:p>
    <w:p>
      <w:pPr>
        <w:spacing w:after="120" w:line="276"/>
        <w:jc w:val="both"/>
      </w:pPr>
      <w:r>
        <w:rPr>
          <w:rFonts w:ascii="Barlow Semi Condensed" w:cs="Barlow Semi Condensed" w:eastAsia="Barlow Semi Condensed" w:hAnsi="Barlow Semi Condensed"/>
          <w:b/>
          <w:bCs/>
          <w:sz w:val="24"/>
          <w:szCs w:val="24"/>
        </w:rPr>
        <w:t xml:space="preserve">1122 · La smentita che il saggio omette.</w:t>
      </w:r>
      <w:r>
        <w:rPr>
          <w:rFonts w:ascii="Barlow Semi Condensed" w:cs="Barlow Semi Condensed" w:eastAsia="Barlow Semi Condensed" w:hAnsi="Barlow Semi Condensed"/>
          <w:sz w:val="24"/>
          <w:szCs w:val="24"/>
        </w:rPr>
        <w:t xml:space="preserve"> Trattando lo stesso episodio, la Parte terza dell'opera-madre scrive «sempre smentito da Kissinger». Il saggio, che pure lo cita, omette la smentita. È una divergenza interna al branch, si verifica confrontando i due passi, e si riporta invece di essere sanata in silenzio. Riferire una testimonianza senza la contestazione che l'accompagna non è una semplificazione: è la costruzione di un falso con materiali veri.</w:t>
      </w:r>
    </w:p>
    <w:p>
      <w:pPr>
        <w:spacing w:after="120" w:line="276"/>
        <w:jc w:val="both"/>
      </w:pPr>
      <w:r>
        <w:rPr>
          <w:rFonts w:ascii="Barlow Semi Condensed" w:cs="Barlow Semi Condensed" w:eastAsia="Barlow Semi Condensed" w:hAnsi="Barlow Semi Condensed"/>
          <w:b/>
          <w:bCs/>
          <w:sz w:val="24"/>
          <w:szCs w:val="24"/>
        </w:rPr>
        <w:t xml:space="preserve">1123 · Il fascicolo della Corte d'assise.</w:t>
      </w:r>
      <w:r>
        <w:rPr>
          <w:rFonts w:ascii="Barlow Semi Condensed" w:cs="Barlow Semi Condensed" w:eastAsia="Barlow Semi Condensed" w:hAnsi="Barlow Semi Condensed"/>
          <w:sz w:val="24"/>
          <w:szCs w:val="24"/>
        </w:rPr>
        <w:t xml:space="preserve"> Corrado Guerzoni depose davanti alla Corte d'assise di Roma nel novembre 1982, e vi depose de relato, avendo appreso il fatto da Moro e dall'entourage. Il quesito d'archivio è puntuale: acquisire il verbale d'udienza integrale presso l'archivio giudiziario romano, con data e numero di procedimento, e leggerlo al posto delle sintesi. Nessuna resa può presentarlo come racconto di un testimone oculare.</w:t>
      </w:r>
    </w:p>
    <w:p>
      <w:pPr>
        <w:spacing w:after="120" w:line="276"/>
        <w:jc w:val="both"/>
      </w:pPr>
      <w:r>
        <w:rPr>
          <w:rFonts w:ascii="Barlow Semi Condensed" w:cs="Barlow Semi Condensed" w:eastAsia="Barlow Semi Condensed" w:hAnsi="Barlow Semi Condensed"/>
          <w:b/>
          <w:bCs/>
          <w:sz w:val="24"/>
          <w:szCs w:val="24"/>
        </w:rPr>
        <w:t xml:space="preserve">1124 · Il nome estratto in udienza.</w:t>
      </w:r>
      <w:r>
        <w:rPr>
          <w:rFonts w:ascii="Barlow Semi Condensed" w:cs="Barlow Semi Condensed" w:eastAsia="Barlow Semi Condensed" w:hAnsi="Barlow Semi Condensed"/>
          <w:sz w:val="24"/>
          <w:szCs w:val="24"/>
        </w:rPr>
        <w:t xml:space="preserve"> La vedova parlò di un'alta personalità senza nominarla; fu il presidente della corte, richiamando l'altro teste, a ottenere l'indicazione. L'attribuzione del nome è dunque essa stessa indiretta e va riferita con la propria genesi processuale. Un nome ottenuto per richiamo a un'altra deposizione non pesa quanto un nome pronunciato spontaneamente da chi l'avesse udito, e la differenza si scrive ogni volta.</w:t>
      </w:r>
    </w:p>
    <w:p>
      <w:pPr>
        <w:spacing w:after="120" w:line="276"/>
        <w:jc w:val="both"/>
      </w:pPr>
      <w:r>
        <w:rPr>
          <w:rFonts w:ascii="Barlow Semi Condensed" w:cs="Barlow Semi Condensed" w:eastAsia="Barlow Semi Condensed" w:hAnsi="Barlow Semi Condensed"/>
          <w:b/>
          <w:bCs/>
          <w:sz w:val="24"/>
          <w:szCs w:val="24"/>
        </w:rPr>
        <w:t xml:space="preserve">1125 · Tre date per un episodio (serie XV).</w:t>
      </w:r>
      <w:r>
        <w:rPr>
          <w:rFonts w:ascii="Barlow Semi Condensed" w:cs="Barlow Semi Condensed" w:eastAsia="Barlow Semi Condensed" w:hAnsi="Barlow Semi Condensed"/>
          <w:sz w:val="24"/>
          <w:szCs w:val="24"/>
        </w:rPr>
        <w:t xml:space="preserve"> Le fonti collocano l'episodio nel settembre 1974, nel 1976 e, secondo un'agenzia statunitense dell'aprile 1983, in un alterco all'ambasciata d'Italia a Washington nel 1977; divergono anche i luoghi. Nel 1977 il presunto autore non era più Segretario di Stato. La divergenza è dirimente, si riporta e non si risolve d'ufficio scegliendo la versione più comoda al racconto che si vuole tenere.</w:t>
      </w:r>
    </w:p>
    <w:p>
      <w:pPr>
        <w:spacing w:after="120" w:line="276"/>
        <w:jc w:val="both"/>
      </w:pPr>
      <w:r>
        <w:rPr>
          <w:rFonts w:ascii="Barlow Semi Condensed" w:cs="Barlow Semi Condensed" w:eastAsia="Barlow Semi Condensed" w:hAnsi="Barlow Semi Condensed"/>
          <w:b/>
          <w:bCs/>
          <w:sz w:val="24"/>
          <w:szCs w:val="24"/>
        </w:rPr>
        <w:t xml:space="preserve">1126 · Il verbale che esiste ed è muto.</w:t>
      </w:r>
      <w:r>
        <w:rPr>
          <w:rFonts w:ascii="Barlow Semi Condensed" w:cs="Barlow Semi Condensed" w:eastAsia="Barlow Semi Condensed" w:hAnsi="Barlow Semi Condensed"/>
          <w:sz w:val="24"/>
          <w:szCs w:val="24"/>
        </w:rPr>
        <w:t xml:space="preserve"> Il memorandum of conversation dello Studio Ovale del 25 settembre 1974, con Leone, Moro, Ford, Kissinger e Scowcroft, è edito in FRUS 1969-1976 volume E-15 parte seconda, documento 350, seconda edizione riveduta, ed è conservato alla Ford Library come file 1552802. Attesta la posizione sul non poter scambiare informazioni militari con un governo comprendente i comunisti; non contiene alcun ultimatum personale.</w:t>
      </w:r>
    </w:p>
    <w:p>
      <w:pPr>
        <w:spacing w:after="120" w:line="276"/>
        <w:jc w:val="both"/>
      </w:pPr>
      <w:r>
        <w:rPr>
          <w:rFonts w:ascii="Barlow Semi Condensed" w:cs="Barlow Semi Condensed" w:eastAsia="Barlow Semi Condensed" w:hAnsi="Barlow Semi Condensed"/>
          <w:b/>
          <w:bCs/>
          <w:sz w:val="24"/>
          <w:szCs w:val="24"/>
        </w:rPr>
        <w:t xml:space="preserve">1127 · Il documento del giorno dopo.</w:t>
      </w:r>
      <w:r>
        <w:rPr>
          <w:rFonts w:ascii="Barlow Semi Condensed" w:cs="Barlow Semi Condensed" w:eastAsia="Barlow Semi Condensed" w:hAnsi="Barlow Semi Condensed"/>
          <w:sz w:val="24"/>
          <w:szCs w:val="24"/>
        </w:rPr>
        <w:t xml:space="preserve"> Il verbale dell'incontro del 26 settembre 1974 è parimenti reperibile alla Ford Library come file 1552806 e appartiene al medesimo lotto. Il corpus lo dichiara esistente e non lo tratta come già spogliato: è un bersaglio aperto, non una fonte citata. Chi voglia chiudere il versante deve leggerlo per intero e verbalizzarne il contenuto, positivo o negativo che sia, con l'indicazione delle pagine.</w:t>
      </w:r>
    </w:p>
    <w:p>
      <w:pPr>
        <w:spacing w:after="120" w:line="276"/>
        <w:jc w:val="both"/>
      </w:pPr>
      <w:r>
        <w:rPr>
          <w:rFonts w:ascii="Barlow Semi Condensed" w:cs="Barlow Semi Condensed" w:eastAsia="Barlow Semi Condensed" w:hAnsi="Barlow Semi Condensed"/>
          <w:b/>
          <w:bCs/>
          <w:sz w:val="24"/>
          <w:szCs w:val="24"/>
        </w:rPr>
        <w:t xml:space="preserve">1128 · Sede parlamentare e contenuto, distinti.</w:t>
      </w:r>
      <w:r>
        <w:rPr>
          <w:rFonts w:ascii="Barlow Semi Condensed" w:cs="Barlow Semi Condensed" w:eastAsia="Barlow Semi Condensed" w:hAnsi="Barlow Semi Condensed"/>
          <w:sz w:val="24"/>
          <w:szCs w:val="24"/>
        </w:rPr>
        <w:t xml:space="preserve"> L'audizione di Eleonora Chiavarelli Moro davanti alla Commissione d'inchiesta è del primo agosto 1980; la frase che circola è però attribuita alla deposizione giudiziaria del 1982, mentre dell'audizione si riporta soprattutto un riferimento a minacce risalenti al 1975 e crescenti. Gli atti stanno negli archivi storici di Camera e Senato: chiedere il resoconto di quella seduta è il modo di separare le due sedi.</w:t>
      </w:r>
    </w:p>
    <w:p>
      <w:pPr>
        <w:spacing w:after="120" w:line="276"/>
        <w:jc w:val="both"/>
      </w:pPr>
      <w:r>
        <w:rPr>
          <w:rFonts w:ascii="Barlow Semi Condensed" w:cs="Barlow Semi Condensed" w:eastAsia="Barlow Semi Condensed" w:hAnsi="Barlow Semi Condensed"/>
          <w:b/>
          <w:bCs/>
          <w:sz w:val="24"/>
          <w:szCs w:val="24"/>
        </w:rPr>
        <w:t xml:space="preserve">1129 · Una fonte contata molte volte.</w:t>
      </w:r>
      <w:r>
        <w:rPr>
          <w:rFonts w:ascii="Barlow Semi Condensed" w:cs="Barlow Semi Condensed" w:eastAsia="Barlow Semi Condensed" w:hAnsi="Barlow Semi Condensed"/>
          <w:sz w:val="24"/>
          <w:szCs w:val="24"/>
        </w:rPr>
        <w:t xml:space="preserve"> Le riprese pressoché identiche dell'episodio risalgono a un unico lancio d'agenzia del 30 novembre 2023; il rilancio internazionale del 1982 proviene da una pubblicazione di orientamento cospirazionista, citabile come dato di circolazione e non come riscontro. Il saggio è anteriore a questa constatazione e ne ha ereditato l'effetto. Contare molte volte la stessa fonte non la rende molte fonti: è pseudoreplica.</w:t>
      </w:r>
    </w:p>
    <w:p>
      <w:pPr>
        <w:spacing w:after="120" w:line="276"/>
        <w:jc w:val="both"/>
      </w:pPr>
      <w:r>
        <w:rPr>
          <w:rFonts w:ascii="Barlow Semi Condensed" w:cs="Barlow Semi Condensed" w:eastAsia="Barlow Semi Condensed" w:hAnsi="Barlow Semi Condensed"/>
          <w:b/>
          <w:bCs/>
          <w:sz w:val="24"/>
          <w:szCs w:val="24"/>
        </w:rPr>
        <w:t xml:space="preserve">1130 · Prova e controprova dell'episodio.</w:t>
      </w:r>
      <w:r>
        <w:rPr>
          <w:rFonts w:ascii="Barlow Semi Condensed" w:cs="Barlow Semi Condensed" w:eastAsia="Barlow Semi Condensed" w:hAnsi="Barlow Semi Condensed"/>
          <w:sz w:val="24"/>
          <w:szCs w:val="24"/>
        </w:rPr>
        <w:t xml:space="preserve"> Proverebbe l'episodio un reperto di piano uno: un appunto coevo di uno dei presenti, un telegramma dell'ambasciata, una nota di diario datata. Lo falsificherebbe una ricostruzione documentata degli spostamenti che escluda l'incontro nella data indicata. Entrambe le ricerche sono eseguibili e nessuna delle due risulta condotta. Finché restano da fare, la testimonianza contestata resta esattamente ciò che è.</w:t>
      </w:r>
    </w:p>
    <w:p>
      <w:pPr>
        <w:spacing w:after="120" w:line="276"/>
        <w:jc w:val="both"/>
      </w:pPr>
      <w:r>
        <w:rPr>
          <w:rFonts w:ascii="Barlow Semi Condensed" w:cs="Barlow Semi Condensed" w:eastAsia="Barlow Semi Condensed" w:hAnsi="Barlow Semi Condensed"/>
          <w:b/>
          <w:bCs/>
          <w:sz w:val="24"/>
          <w:szCs w:val="24"/>
        </w:rPr>
        <w:t xml:space="preserve">1131 · Il rischio del ricircolo del pastiche.</w:t>
      </w:r>
      <w:r>
        <w:rPr>
          <w:rFonts w:ascii="Barlow Semi Condensed" w:cs="Barlow Semi Condensed" w:eastAsia="Barlow Semi Condensed" w:hAnsi="Barlow Semi Condensed"/>
          <w:sz w:val="24"/>
          <w:szCs w:val="24"/>
        </w:rPr>
        <w:t xml:space="preserve"> La Parte quarta fa dire alla voce immaginata che il Paese non doveva farsi dettare la propria via «né d'oltreoceano né d'oltrecortina». È letteratura dichiarata e non nomina nessuno; ma una parafrasi che sostituisse all'avverbio un cognome trasformerebbe l'invenzione in citazione. Il presidio è semplice e va scritto: quella parte non entra in nessun apparato di prova, in nessuna forma e per nessun uso.</w:t>
      </w:r>
    </w:p>
    <w:p>
      <w:pPr>
        <w:spacing w:after="120" w:line="276"/>
        <w:jc w:val="both"/>
      </w:pPr>
      <w:r>
        <w:rPr>
          <w:rFonts w:ascii="Barlow Semi Condensed" w:cs="Barlow Semi Condensed" w:eastAsia="Barlow Semi Condensed" w:hAnsi="Barlow Semi Condensed"/>
          <w:b/>
          <w:bCs/>
          <w:sz w:val="24"/>
          <w:szCs w:val="24"/>
        </w:rPr>
        <w:t xml:space="preserve">1132 · La rimozione degli ostacoli è formula.</w:t>
      </w:r>
      <w:r>
        <w:rPr>
          <w:rFonts w:ascii="Barlow Semi Condensed" w:cs="Barlow Semi Condensed" w:eastAsia="Barlow Semi Condensed" w:hAnsi="Barlow Semi Condensed"/>
          <w:sz w:val="24"/>
          <w:szCs w:val="24"/>
        </w:rPr>
        <w:t xml:space="preserve"> Una «logica della rimozione degli ostacoli» che opererebbe in entrambi i casi viene proposta nella Parte quinta e nel pastiche. È categoria interpretativa d'autore, non categoria probatoria, e il testo stesso la lascia fra le congetture. Non produce quesiti d'archivio e non può fondare attribuzioni: la logica di un'epoca, come il corpus scrive altrove, non è la firma di un mandante.</w:t>
      </w:r>
    </w:p>
    <w:p>
      <w:pPr>
        <w:spacing w:after="120" w:line="276"/>
        <w:jc w:val="both"/>
      </w:pPr>
      <w:r>
        <w:rPr>
          <w:rFonts w:ascii="Barlow Semi Condensed" w:cs="Barlow Semi Condensed" w:eastAsia="Barlow Semi Condensed" w:hAnsi="Barlow Semi Condensed"/>
          <w:b/>
          <w:bCs/>
          <w:sz w:val="24"/>
          <w:szCs w:val="24"/>
        </w:rPr>
        <w:t xml:space="preserve">1133 · Il solo lessico condiviso.</w:t>
      </w:r>
      <w:r>
        <w:rPr>
          <w:rFonts w:ascii="Barlow Semi Condensed" w:cs="Barlow Semi Condensed" w:eastAsia="Barlow Semi Condensed" w:hAnsi="Barlow Semi Condensed"/>
          <w:sz w:val="24"/>
          <w:szCs w:val="24"/>
        </w:rPr>
        <w:t xml:space="preserve"> La conclusione evoca i molti Vietnam sognati dal Che, formula del messaggio alla Tricontinentale del 1967, e il Vietnam in miniatura toccato all'Italia. È il solo punto in cui il lessico del territorio sfiora l'arco più documentato del nome triangolato. Sfiorarlo non è toccarlo: fra una metafora rivoluzionaria e un negoziato di Stato non corre alcun rapporto, e va scritto per prevenire l'equivoco.</w:t>
      </w:r>
    </w:p>
    <w:p>
      <w:pPr>
        <w:spacing w:after="120" w:line="276"/>
        <w:jc w:val="both"/>
      </w:pPr>
      <w:r>
        <w:rPr>
          <w:rFonts w:ascii="Barlow Semi Condensed" w:cs="Barlow Semi Condensed" w:eastAsia="Barlow Semi Condensed" w:hAnsi="Barlow Semi Condensed"/>
          <w:b/>
          <w:bCs/>
          <w:sz w:val="24"/>
          <w:szCs w:val="24"/>
        </w:rPr>
        <w:t xml:space="preserve">1134 · Gli indici da spogliare.</w:t>
      </w:r>
      <w:r>
        <w:rPr>
          <w:rFonts w:ascii="Barlow Semi Condensed" w:cs="Barlow Semi Condensed" w:eastAsia="Barlow Semi Condensed" w:hAnsi="Barlow Semi Condensed"/>
          <w:sz w:val="24"/>
          <w:szCs w:val="24"/>
        </w:rPr>
        <w:t xml:space="preserve"> Verifica eseguibile a costo basso e mai eseguita nel branch: spogliare gli indici analitici dei volumi memorialistici del nome triangolato alle voci Guevara, Feltrinelli, Brigate rosse e Bolivia, registrando presenze e assenze. Le carte personali stanno alla Library of Congress e alla Yale University Library, fondo MS 1981. Un indice vuoto è un dato, e come dato va verbalizzato.</w:t>
      </w:r>
    </w:p>
    <w:p>
      <w:pPr>
        <w:spacing w:after="120" w:line="276"/>
        <w:jc w:val="both"/>
      </w:pPr>
      <w:r>
        <w:rPr>
          <w:rFonts w:ascii="Barlow Semi Condensed" w:cs="Barlow Semi Condensed" w:eastAsia="Barlow Semi Condensed" w:hAnsi="Barlow Semi Condensed"/>
          <w:b/>
          <w:bCs/>
          <w:sz w:val="24"/>
          <w:szCs w:val="24"/>
        </w:rPr>
        <w:t xml:space="preserve">1135 · Le trascrizioni telefoniche come strumento.</w:t>
      </w:r>
      <w:r>
        <w:rPr>
          <w:rFonts w:ascii="Barlow Semi Condensed" w:cs="Barlow Semi Condensed" w:eastAsia="Barlow Semi Condensed" w:hAnsi="Barlow Semi Condensed"/>
          <w:sz w:val="24"/>
          <w:szCs w:val="24"/>
        </w:rPr>
        <w:t xml:space="preserve"> Le trascrizioni delle conversazioni telefoniche del periodo 1969-1977 costituiscono la serie più sistematica del versante americano e sono in parte accessibili. Il bersaglio per questo territorio si formula come stringa: le date del marzo 1972, dell'agosto 1970 e dell'ottobre 1977, incrociate coi nomi italiani presenti nel saggio. Un esito negativo su date determinate vale più di una ricerca generica senza perimetro.</w:t>
      </w:r>
    </w:p>
    <w:p>
      <w:pPr>
        <w:spacing w:after="120" w:line="276"/>
        <w:jc w:val="both"/>
      </w:pPr>
      <w:r>
        <w:rPr>
          <w:rFonts w:ascii="Barlow Semi Condensed" w:cs="Barlow Semi Condensed" w:eastAsia="Barlow Semi Condensed" w:hAnsi="Barlow Semi Condensed"/>
          <w:b/>
          <w:bCs/>
          <w:sz w:val="24"/>
          <w:szCs w:val="24"/>
        </w:rPr>
        <w:t xml:space="preserve">1136 · La ricerca meccanica e il verbale.</w:t>
      </w:r>
      <w:r>
        <w:rPr>
          <w:rFonts w:ascii="Barlow Semi Condensed" w:cs="Barlow Semi Condensed" w:eastAsia="Barlow Semi Condensed" w:hAnsi="Barlow Semi Condensed"/>
          <w:sz w:val="24"/>
          <w:szCs w:val="24"/>
        </w:rPr>
        <w:t xml:space="preserve"> I telegrammi del Dipartimento di Stato dal 1973 al 1979 sono interrogabili nella banca dati d'archivio di College Park, e consentono un accertamento con perimetro dichiarato: quali dispacci, in quali mesi, associno i nomi del territorio. L'agenda del corpus impone di verbalizzare il buco misurato indicando serie e stringhe usate, perché il buco narrato non è conoscenza e quello misurato lo è.</w:t>
      </w:r>
    </w:p>
    <w:p>
      <w:pPr>
        <w:spacing w:after="120" w:line="276"/>
        <w:jc w:val="both"/>
      </w:pPr>
      <w:r>
        <w:rPr>
          <w:rFonts w:ascii="Barlow Semi Condensed" w:cs="Barlow Semi Condensed" w:eastAsia="Barlow Semi Condensed" w:hAnsi="Barlow Semi Condensed"/>
          <w:b/>
          <w:bCs/>
          <w:sz w:val="24"/>
          <w:szCs w:val="24"/>
        </w:rPr>
        <w:t xml:space="preserve">1137 · Le sedi italiane, per simmetria.</w:t>
      </w:r>
      <w:r>
        <w:rPr>
          <w:rFonts w:ascii="Barlow Semi Condensed" w:cs="Barlow Semi Condensed" w:eastAsia="Barlow Semi Condensed" w:hAnsi="Barlow Semi Condensed"/>
          <w:sz w:val="24"/>
          <w:szCs w:val="24"/>
        </w:rPr>
        <w:t xml:space="preserve"> Il versante italiano ha depositi nominabili e in gran parte non spogliati per questo tema: il fondo Aldo Moro all'Archivio centrale dello Stato, le carte depositate dalla famiglia presso l'archivio di Oriolo Romano, il deposito con segnatura propria individuato dalla seconda campagna. I cantieri li distinguono ai blocchi 221, 222 e 223 e ne tengono la tavola al 235. Interrogarli costa meno che ipotizzare.</w:t>
      </w:r>
    </w:p>
    <w:p>
      <w:pPr>
        <w:spacing w:after="120" w:line="276"/>
        <w:jc w:val="both"/>
      </w:pPr>
      <w:r>
        <w:rPr>
          <w:rFonts w:ascii="Barlow Semi Condensed" w:cs="Barlow Semi Condensed" w:eastAsia="Barlow Semi Condensed" w:hAnsi="Barlow Semi Condensed"/>
          <w:b/>
          <w:bCs/>
          <w:sz w:val="24"/>
          <w:szCs w:val="24"/>
        </w:rPr>
        <w:t xml:space="preserve">1138 · Il caso di controllo tedesco.</w:t>
      </w:r>
      <w:r>
        <w:rPr>
          <w:rFonts w:ascii="Barlow Semi Condensed" w:cs="Barlow Semi Condensed" w:eastAsia="Barlow Semi Condensed" w:hAnsi="Barlow Semi Condensed"/>
          <w:sz w:val="24"/>
          <w:szCs w:val="24"/>
        </w:rPr>
        <w:t xml:space="preserve"> Un albero si orienta con un gruppo esterno, e il corpus ne dispone: il sequestro Schleyer del 1977, censito al blocco 141 dei cantieri, osservato dallo stesso campo alleato e gestito in modo diverso. Portato su questo territorio, l'outgroup misura quanto della vicenda italiana sia struttura e quanto sia scelta, e vale come antidoto alla lettura che fa dell'Italia un caso unico per definizione.</w:t>
      </w:r>
    </w:p>
    <w:p>
      <w:pPr>
        <w:spacing w:after="120" w:line="276"/>
        <w:jc w:val="both"/>
      </w:pPr>
      <w:r>
        <w:rPr>
          <w:rFonts w:ascii="Barlow Semi Condensed" w:cs="Barlow Semi Condensed" w:eastAsia="Barlow Semi Condensed" w:hAnsi="Barlow Semi Condensed"/>
          <w:b/>
          <w:bCs/>
          <w:sz w:val="24"/>
          <w:szCs w:val="24"/>
        </w:rPr>
        <w:t xml:space="preserve">1139 · Ciò che non è stato stabilito.</w:t>
      </w:r>
      <w:r>
        <w:rPr>
          <w:rFonts w:ascii="Barlow Semi Condensed" w:cs="Barlow Semi Condensed" w:eastAsia="Barlow Semi Condensed" w:hAnsi="Barlow Semi Condensed"/>
          <w:sz w:val="24"/>
          <w:szCs w:val="24"/>
        </w:rPr>
        <w:t xml:space="preserve"> Non è stato stabilito alcun rapporto di piano uno fra il nome triangolato e il territorio del saggio, salvo l'arco cileno che il saggio stesso enuncia e che resta da esibire per segnature. Non è stata attenuata né aggravata la posizione di alcuno. Le divergenze incontrate non sono state sciolte, ma riportate. E nessuno è indicato come responsabile di reato: il corpus si ferma al giudicato.</w:t>
      </w:r>
    </w:p>
    <w:p>
      <w:pPr>
        <w:spacing w:after="120" w:line="276"/>
        <w:jc w:val="both"/>
      </w:pPr>
      <w:r>
        <w:rPr>
          <w:rFonts w:ascii="Barlow Semi Condensed" w:cs="Barlow Semi Condensed" w:eastAsia="Barlow Semi Condensed" w:hAnsi="Barlow Semi Condensed"/>
          <w:b/>
          <w:bCs/>
          <w:sz w:val="24"/>
          <w:szCs w:val="24"/>
        </w:rPr>
        <w:t xml:space="preserve">1140 · Il bilancio in cifre.</w:t>
      </w:r>
      <w:r>
        <w:rPr>
          <w:rFonts w:ascii="Barlow Semi Condensed" w:cs="Barlow Semi Condensed" w:eastAsia="Barlow Semi Condensed" w:hAnsi="Barlow Semi Condensed"/>
          <w:sz w:val="24"/>
          <w:szCs w:val="24"/>
        </w:rPr>
        <w:t xml:space="preserve"> Su settanta bersagli: un solo arco che il territorio dichiara documentato e che va sostanziato per segnature; nessun rapporto diretto verso Guevara, Feltrinelli, le Brigate rosse e il 1978; una testimonianza contestata già declassata dall'apparato; due lacune bibliografiche constatate; una divergenza interna sulla carica al settembre 1973; e una fila di assenze verbalizzate con la sede che le chiuderebbe. È il risultato atteso.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sedicesima — Guevara: origini ed esilio messicano</w:t>
      </w:r>
    </w:p>
    <w:p>
      <w:pPr>
        <w:spacing w:after="120" w:line="276"/>
        <w:jc w:val="both"/>
      </w:pPr>
      <w:r>
        <w:rPr>
          <w:rFonts w:ascii="Barlow Semi Condensed" w:cs="Barlow Semi Condensed" w:eastAsia="Barlow Semi Condensed" w:hAnsi="Barlow Semi Condensed"/>
          <w:i/>
          <w:iCs/>
          <w:sz w:val="24"/>
          <w:szCs w:val="24"/>
        </w:rPr>
        <w:t xml:space="preserve">Blocchi 1141-1215.</w:t>
      </w:r>
    </w:p>
    <w:p>
      <w:pPr>
        <w:spacing w:after="120" w:line="276"/>
        <w:jc w:val="both"/>
      </w:pPr>
      <w:r>
        <w:rPr>
          <w:rFonts w:ascii="Barlow Semi Condensed" w:cs="Barlow Semi Condensed" w:eastAsia="Barlow Semi Condensed" w:hAnsi="Barlow Semi Condensed"/>
          <w:b/>
          <w:bCs/>
          <w:sz w:val="24"/>
          <w:szCs w:val="24"/>
        </w:rPr>
        <w:t xml:space="preserve">1141 · Statuto della serie sedicesima.</w:t>
      </w:r>
      <w:r>
        <w:rPr>
          <w:rFonts w:ascii="Barlow Semi Condensed" w:cs="Barlow Semi Condensed" w:eastAsia="Barlow Semi Condensed" w:hAnsi="Barlow Semi Condensed"/>
          <w:sz w:val="24"/>
          <w:szCs w:val="24"/>
        </w:rPr>
        <w:t xml:space="preserve"> La seconda campagna lascia il concetto e prende un territorio: qui è </w:t>
      </w:r>
      <w:r>
        <w:rPr>
          <w:rFonts w:ascii="Barlow Semi Condensed" w:cs="Barlow Semi Condensed" w:eastAsia="Barlow Semi Condensed" w:hAnsi="Barlow Semi Condensed"/>
          <w:i/>
          <w:iCs/>
          <w:sz w:val="24"/>
          <w:szCs w:val="24"/>
        </w:rPr>
        <w:t xml:space="preserve">guevara-origini-esilio-messicano.md</w:t>
      </w:r>
      <w:r>
        <w:rPr>
          <w:rFonts w:ascii="Barlow Semi Condensed" w:cs="Barlow Semi Condensed" w:eastAsia="Barlow Semi Condensed" w:hAnsi="Barlow Semi Condensed"/>
          <w:sz w:val="24"/>
          <w:szCs w:val="24"/>
        </w:rPr>
        <w:t xml:space="preserve">, prima tappa del Percorso A della guida alla lettura, che va dalla nascita a Rosario al valico messicano del 21 settembre 1954. Ogni blocco nasce dalla lettura di quel file e dei suoi raccordi. Nessuno afferma un ponte: la serie misura dove il nome cercato non compare, e con quale sede quel vuoto si chiuderebbe.</w:t>
      </w:r>
    </w:p>
    <w:p>
      <w:pPr>
        <w:spacing w:after="120" w:line="276"/>
        <w:jc w:val="both"/>
      </w:pPr>
      <w:r>
        <w:rPr>
          <w:rFonts w:ascii="Barlow Semi Condensed" w:cs="Barlow Semi Condensed" w:eastAsia="Barlow Semi Condensed" w:hAnsi="Barlow Semi Condensed"/>
          <w:b/>
          <w:bCs/>
          <w:sz w:val="24"/>
          <w:szCs w:val="24"/>
        </w:rPr>
        <w:t xml:space="preserve">1142 · Misura meccanica del silenzio.</w:t>
      </w:r>
      <w:r>
        <w:rPr>
          <w:rFonts w:ascii="Barlow Semi Condensed" w:cs="Barlow Semi Condensed" w:eastAsia="Barlow Semi Condensed" w:hAnsi="Barlow Semi Condensed"/>
          <w:sz w:val="24"/>
          <w:szCs w:val="24"/>
        </w:rPr>
        <w:t xml:space="preserve"> Interrogato il file riga per riga, l'esito si verbalizza per intero. La stringa «Kissinger» ricorre zero volte, e così «Henry», «Heinz», «Stati Uniti», «Washington», «Dipartimento di Stato». Ricorrono una volta sola «CIA», «United Fruit», «PBSUCCESS» e «Miami». Su duemilacentosettantadue parole, l'intero versante statunitense del territorio sta dentro un paragrafo del 1954 e un transito aeroportuale dell'agosto 1952. Questo è il denominatore di tutto ciò che segue.</w:t>
      </w:r>
    </w:p>
    <w:p>
      <w:pPr>
        <w:spacing w:after="120" w:line="276"/>
        <w:jc w:val="both"/>
      </w:pPr>
      <w:r>
        <w:rPr>
          <w:rFonts w:ascii="Barlow Semi Condensed" w:cs="Barlow Semi Condensed" w:eastAsia="Barlow Semi Condensed" w:hAnsi="Barlow Semi Condensed"/>
          <w:b/>
          <w:bCs/>
          <w:sz w:val="24"/>
          <w:szCs w:val="24"/>
        </w:rPr>
        <w:t xml:space="preserve">1143 · Un documento a due strati.</w:t>
      </w:r>
      <w:r>
        <w:rPr>
          <w:rFonts w:ascii="Barlow Semi Condensed" w:cs="Barlow Semi Condensed" w:eastAsia="Barlow Semi Condensed" w:hAnsi="Barlow Semi Condensed"/>
          <w:sz w:val="24"/>
          <w:szCs w:val="24"/>
        </w:rPr>
        <w:t xml:space="preserve"> Prima di triangolare occorre sapere su quale strato si poggia il piede. Il file dichiara la propria stratigrafia: la stesura d'autore si interrompe al 1934, e le sezioni dal 1943 al 1954 sono un'Integrazione datata 24 agosto 2026, redatta in sede di revisione su cronologia storiografica consolidata. Sono statuti diversi. Ogni blocco di questa serie indica, quando serve, se sta leggendo la stesura originaria o il completamento successivo.</w:t>
      </w:r>
    </w:p>
    <w:p>
      <w:pPr>
        <w:spacing w:after="120" w:line="276"/>
        <w:jc w:val="both"/>
      </w:pPr>
      <w:r>
        <w:rPr>
          <w:rFonts w:ascii="Barlow Semi Condensed" w:cs="Barlow Semi Condensed" w:eastAsia="Barlow Semi Condensed" w:hAnsi="Barlow Semi Condensed"/>
          <w:b/>
          <w:bCs/>
          <w:sz w:val="24"/>
          <w:szCs w:val="24"/>
        </w:rPr>
        <w:t xml:space="preserve">1144 · La finestra del territorio.</w:t>
      </w:r>
      <w:r>
        <w:rPr>
          <w:rFonts w:ascii="Barlow Semi Condensed" w:cs="Barlow Semi Condensed" w:eastAsia="Barlow Semi Condensed" w:hAnsi="Barlow Semi Condensed"/>
          <w:sz w:val="24"/>
          <w:szCs w:val="24"/>
        </w:rPr>
        <w:t xml:space="preserve"> Il perimetro cronologico è dichiarato qui una volta e non si sposta: 14 giugno 1928, data del registro, fino al 21 settembre 1954, ingresso in Messico. Dentro quella finestra il soggetto della triangolazione non ricoprì alcuna carica pubblica, di nessun grado: l'Assistente per la sicurezza nazionale entra in funzione il 20 gennaio 1969, il Segretario di Stato il 22 settembre 1973. Quindici anni separano il termine del territorio dalla prima nomina.</w:t>
      </w:r>
    </w:p>
    <w:p>
      <w:pPr>
        <w:spacing w:after="120" w:line="276"/>
        <w:jc w:val="both"/>
      </w:pPr>
      <w:r>
        <w:rPr>
          <w:rFonts w:ascii="Barlow Semi Condensed" w:cs="Barlow Semi Condensed" w:eastAsia="Barlow Semi Condensed" w:hAnsi="Barlow Semi Condensed"/>
          <w:b/>
          <w:bCs/>
          <w:sz w:val="24"/>
          <w:szCs w:val="24"/>
        </w:rPr>
        <w:t xml:space="preserve">1145 · L'attesa dichiarata prima di cercare.</w:t>
      </w:r>
      <w:r>
        <w:rPr>
          <w:rFonts w:ascii="Barlow Semi Condensed" w:cs="Barlow Semi Condensed" w:eastAsia="Barlow Semi Condensed" w:hAnsi="Barlow Semi Condensed"/>
          <w:sz w:val="24"/>
          <w:szCs w:val="24"/>
        </w:rPr>
        <w:t xml:space="preserve"> La regola vuole che si dica quanti riscontri ci si aspetta, e perché, prima di aprire il fondo. L'attesa è qui pari a zero, e la ragione è verificabile: nel 1954 il nome cercato non aveva profilo pubblico in America Latina, la sua prima monografia uscì nel 1957, e nessuna carica lo collocava su alcun tavolo decisionale. Un esito negativo, in queste condizioni, non sposta nulla e va detto così.</w:t>
      </w:r>
    </w:p>
    <w:p>
      <w:pPr>
        <w:spacing w:after="120" w:line="276"/>
        <w:jc w:val="both"/>
      </w:pPr>
      <w:r>
        <w:rPr>
          <w:rFonts w:ascii="Barlow Semi Condensed" w:cs="Barlow Semi Condensed" w:eastAsia="Barlow Semi Condensed" w:hAnsi="Barlow Semi Condensed"/>
          <w:b/>
          <w:bCs/>
          <w:sz w:val="24"/>
          <w:szCs w:val="24"/>
        </w:rPr>
        <w:t xml:space="preserve">1146 · Che cosa questa serie non farà.</w:t>
      </w:r>
      <w:r>
        <w:rPr>
          <w:rFonts w:ascii="Barlow Semi Condensed" w:cs="Barlow Semi Condensed" w:eastAsia="Barlow Semi Condensed" w:hAnsi="Barlow Semi Condensed"/>
          <w:sz w:val="24"/>
          <w:szCs w:val="24"/>
        </w:rPr>
        <w:t xml:space="preserve"> Non si costruirà alcun nesso dal fatto che due biografie attraversino lo stesso decennio. Non si leggerà il silenzio come occultamento. Non si promuoverà a rapporto una cornice condivisa, e non si tratterà l'appartenenza a un ambiente accademico o dottrinale come indizio di condotta. Restano ammessi quattro esiti soltanto: il quesito con la sua sede, l'accertamento col suo grado, la regola di lettura, la lacuna verbalizzata.</w:t>
      </w:r>
    </w:p>
    <w:p>
      <w:pPr>
        <w:spacing w:after="120" w:line="276"/>
        <w:jc w:val="both"/>
      </w:pPr>
      <w:r>
        <w:rPr>
          <w:rFonts w:ascii="Barlow Semi Condensed" w:cs="Barlow Semi Condensed" w:eastAsia="Barlow Semi Condensed" w:hAnsi="Barlow Semi Condensed"/>
          <w:b/>
          <w:bCs/>
          <w:sz w:val="24"/>
          <w:szCs w:val="24"/>
        </w:rPr>
        <w:t xml:space="preserve">1147 · Le due date di nascita.</w:t>
      </w:r>
      <w:r>
        <w:rPr>
          <w:rFonts w:ascii="Barlow Semi Condensed" w:cs="Barlow Semi Condensed" w:eastAsia="Barlow Semi Condensed" w:hAnsi="Barlow Semi Condensed"/>
          <w:sz w:val="24"/>
          <w:szCs w:val="24"/>
        </w:rPr>
        <w:t xml:space="preserve"> Qui il corpus registra una divergenza e non la scioglie: l'atto di nascita dice 14 giugno 1928, mentre la biografia di Jon Lee Anderson e confidenze materne riferite a terzi collocano l'evento al 14 maggio. Il nodo I-1 della triangolazione Guevara-Moro certifica la coerenza interna del corpus su questo punto. La sede che deciderebbe è una sola: il Registro Civil di Rosario, provincia di Santa Fe, col fascicolo originale e non con la copia.</w:t>
      </w:r>
    </w:p>
    <w:p>
      <w:pPr>
        <w:spacing w:after="120" w:line="276"/>
        <w:jc w:val="both"/>
      </w:pPr>
      <w:r>
        <w:rPr>
          <w:rFonts w:ascii="Barlow Semi Condensed" w:cs="Barlow Semi Condensed" w:eastAsia="Barlow Semi Condensed" w:hAnsi="Barlow Semi Condensed"/>
          <w:b/>
          <w:bCs/>
          <w:sz w:val="24"/>
          <w:szCs w:val="24"/>
        </w:rPr>
        <w:t xml:space="preserve">1148 · Un parallelismo che non è parentela.</w:t>
      </w:r>
      <w:r>
        <w:rPr>
          <w:rFonts w:ascii="Barlow Semi Condensed" w:cs="Barlow Semi Condensed" w:eastAsia="Barlow Semi Condensed" w:hAnsi="Barlow Semi Condensed"/>
          <w:sz w:val="24"/>
          <w:szCs w:val="24"/>
        </w:rPr>
        <w:t xml:space="preserve"> Due date contese, identiche nella struttura: le opere di consultazione dicono una cosa senza esibire documenti, l'archivio ne dice un'altra. Vale per il 14 giugno contro il 14 maggio 1928 e vale per il passaggio da Heinz a Henry, che la vulgata data 1938 e il fascicolo d'immigrazione sposta al 1942-1943. La somiglianza è perfetta e non prova niente: è analogia, non omologia, e il test resta il documento di provenienza.</w:t>
      </w:r>
    </w:p>
    <w:p>
      <w:pPr>
        <w:spacing w:after="120" w:line="276"/>
        <w:jc w:val="both"/>
      </w:pPr>
      <w:r>
        <w:rPr>
          <w:rFonts w:ascii="Barlow Semi Condensed" w:cs="Barlow Semi Condensed" w:eastAsia="Barlow Semi Condensed" w:hAnsi="Barlow Semi Condensed"/>
          <w:b/>
          <w:bCs/>
          <w:sz w:val="24"/>
          <w:szCs w:val="24"/>
        </w:rPr>
        <w:t xml:space="preserve">1149 · La vulgata e il fascicolo.</w:t>
      </w:r>
      <w:r>
        <w:rPr>
          <w:rFonts w:ascii="Barlow Semi Condensed" w:cs="Barlow Semi Condensed" w:eastAsia="Barlow Semi Condensed" w:hAnsi="Barlow Semi Condensed"/>
          <w:sz w:val="24"/>
          <w:szCs w:val="24"/>
        </w:rPr>
        <w:t xml:space="preserve"> Dalla coincidenza si ricava però una regola di lettura applicabile all'intero territorio. Ogni volta che il documento riporta una data «ufficiale» accanto a una data «vera» attestata da memorialistica, si apre un fascicolo e non si sceglie in silenzio. Il corpus lo fa già al blocco 3 della prima serie per l'anglicizzazione del nome e lo fa qui per la nascita. Chi sceglie senza verbalizzare consegna al lettore un fatto e gli toglie la prova.</w:t>
      </w:r>
    </w:p>
    <w:p>
      <w:pPr>
        <w:spacing w:after="120" w:line="276"/>
        <w:jc w:val="both"/>
      </w:pPr>
      <w:r>
        <w:rPr>
          <w:rFonts w:ascii="Barlow Semi Condensed" w:cs="Barlow Semi Condensed" w:eastAsia="Barlow Semi Condensed" w:hAnsi="Barlow Semi Condensed"/>
          <w:b/>
          <w:bCs/>
          <w:sz w:val="24"/>
          <w:szCs w:val="24"/>
        </w:rPr>
        <w:t xml:space="preserve">1150 · Il concepimento prematrimoniale, e la prova.</w:t>
      </w:r>
      <w:r>
        <w:rPr>
          <w:rFonts w:ascii="Barlow Semi Condensed" w:cs="Barlow Semi Condensed" w:eastAsia="Barlow Semi Condensed" w:hAnsi="Barlow Semi Condensed"/>
          <w:sz w:val="24"/>
          <w:szCs w:val="24"/>
        </w:rPr>
        <w:t xml:space="preserve"> L'ipotesi che la postdatazione dissimulasse un concepimento anteriore alle nozze è coerente col profilo anticonformista della famiglia, ma resta inferenza. La chiuderebbero due carte materiali: l'atto di matrimonio del 10 novembre 1927 e il fascicolo di registrazione della nascita, entrambi nel sistema del Registro Civil argentino. Fino ad allora si scrive come il territorio scrive, con «forte probabilità» dichiarata, e non come dato acquisito.</w:t>
      </w:r>
    </w:p>
    <w:p>
      <w:pPr>
        <w:spacing w:after="120" w:line="276"/>
        <w:jc w:val="both"/>
      </w:pPr>
      <w:r>
        <w:rPr>
          <w:rFonts w:ascii="Barlow Semi Condensed" w:cs="Barlow Semi Condensed" w:eastAsia="Barlow Semi Condensed" w:hAnsi="Barlow Semi Condensed"/>
          <w:b/>
          <w:bCs/>
          <w:sz w:val="24"/>
          <w:szCs w:val="24"/>
        </w:rPr>
        <w:t xml:space="preserve">1151 · Il lignaggio di Martínez de Irala.</w:t>
      </w:r>
      <w:r>
        <w:rPr>
          <w:rFonts w:ascii="Barlow Semi Condensed" w:cs="Barlow Semi Condensed" w:eastAsia="Barlow Semi Condensed" w:hAnsi="Barlow Semi Condensed"/>
          <w:sz w:val="24"/>
          <w:szCs w:val="24"/>
        </w:rPr>
        <w:t xml:space="preserve"> Secondo il genealogista Narciso Binayán Carmona la linea materna risale al conquistador Domingo Martínez de Irala, con conseguenti radici guaraní. È l'unico punto del territorio in cui la lente del committente incontra un lignaggio vero, e proprio per questo va fermata: una discendenza accertata al quindicesimo grado non genera un carattere politico. Il quesito è archivistico e circoscritto: quali atti notarili e parrocchiali reggono la ricostruzione, e in quale deposito si trovano.</w:t>
      </w:r>
    </w:p>
    <w:p>
      <w:pPr>
        <w:spacing w:after="120" w:line="276"/>
        <w:jc w:val="both"/>
      </w:pPr>
      <w:r>
        <w:rPr>
          <w:rFonts w:ascii="Barlow Semi Condensed" w:cs="Barlow Semi Condensed" w:eastAsia="Barlow Semi Condensed" w:hAnsi="Barlow Semi Condensed"/>
          <w:b/>
          <w:bCs/>
          <w:sz w:val="24"/>
          <w:szCs w:val="24"/>
        </w:rPr>
        <w:t xml:space="preserve">1152 · La genealogia non è condotta.</w:t>
      </w:r>
      <w:r>
        <w:rPr>
          <w:rFonts w:ascii="Barlow Semi Condensed" w:cs="Barlow Semi Condensed" w:eastAsia="Barlow Semi Condensed" w:hAnsi="Barlow Semi Condensed"/>
          <w:sz w:val="24"/>
          <w:szCs w:val="24"/>
        </w:rPr>
        <w:t xml:space="preserve"> Regola vincolante, ricavata dalla Fase decima dell'opera-madre e applicata qui alla materia genealogica. Nessuna ascendenza — basca, irlandese, creola, guaraní, latifondista — dice alcunché su ciò che una persona fece. Il corpus la usa per descrivere una stratificazione sociale, non per spiegare una scelta. Dove la lente biologica spinge a leggere il lignaggio come programma, cede la lente e resta il documento: è la condizione di dismissione fissata al blocco 14 della prima serie.</w:t>
      </w:r>
    </w:p>
    <w:p>
      <w:pPr>
        <w:spacing w:after="120" w:line="276"/>
        <w:jc w:val="both"/>
      </w:pPr>
      <w:r>
        <w:rPr>
          <w:rFonts w:ascii="Barlow Semi Condensed" w:cs="Barlow Semi Condensed" w:eastAsia="Barlow Semi Condensed" w:hAnsi="Barlow Semi Condensed"/>
          <w:b/>
          <w:bCs/>
          <w:sz w:val="24"/>
          <w:szCs w:val="24"/>
        </w:rPr>
        <w:t xml:space="preserve">1153 · Le carte di Guevara Lynch.</w:t>
      </w:r>
      <w:r>
        <w:rPr>
          <w:rFonts w:ascii="Barlow Semi Condensed" w:cs="Barlow Semi Condensed" w:eastAsia="Barlow Semi Condensed" w:hAnsi="Barlow Semi Condensed"/>
          <w:sz w:val="24"/>
          <w:szCs w:val="24"/>
        </w:rPr>
        <w:t xml:space="preserve"> Il padre, nato nel 1900, morì nel 1987 e lasciò memorie pubblicate. Ne discende un bersaglio verificabile e finora non eseguito nel corpus: spogliare quelle memorie e la corrispondenza superstite per accertare se vi compaia mai il nome oggetto di questa triangolazione, e in quale accezione. La sede è duplice, il fondo familiare conservato al Museo Casa del Che di Alta Gracia e l'archivio del Centro de Estudios Che Guevara dell'Avana.</w:t>
      </w:r>
    </w:p>
    <w:p>
      <w:pPr>
        <w:spacing w:after="120" w:line="276"/>
        <w:jc w:val="both"/>
      </w:pPr>
      <w:r>
        <w:rPr>
          <w:rFonts w:ascii="Barlow Semi Condensed" w:cs="Barlow Semi Condensed" w:eastAsia="Barlow Semi Condensed" w:hAnsi="Barlow Semi Condensed"/>
          <w:b/>
          <w:bCs/>
          <w:sz w:val="24"/>
          <w:szCs w:val="24"/>
        </w:rPr>
        <w:t xml:space="preserve">1154 · L'asma come dato clinico.</w:t>
      </w:r>
      <w:r>
        <w:rPr>
          <w:rFonts w:ascii="Barlow Semi Condensed" w:cs="Barlow Semi Condensed" w:eastAsia="Barlow Semi Condensed" w:hAnsi="Barlow Semi Condensed"/>
          <w:sz w:val="24"/>
          <w:szCs w:val="24"/>
        </w:rPr>
        <w:t xml:space="preserve"> Il primo attacco è del 1930, a due anni di età, dopo una broncopolmonite nell'agosto del primo anno; nel 1932 la famiglia si trasferisce ad Alta Gracia su prescrizione medica. Il nodo I-3 conferma la coerenza dei documenti del corpus su queste date. È il solo punto in cui il territorio è davvero clinico, e va trattato come tale: patologia cronica documentata, non metafora del destino di un uomo.</w:t>
      </w:r>
    </w:p>
    <w:p>
      <w:pPr>
        <w:spacing w:after="120" w:line="276"/>
        <w:jc w:val="both"/>
      </w:pPr>
      <w:r>
        <w:rPr>
          <w:rFonts w:ascii="Barlow Semi Condensed" w:cs="Barlow Semi Condensed" w:eastAsia="Barlow Semi Condensed" w:hAnsi="Barlow Semi Condensed"/>
          <w:b/>
          <w:bCs/>
          <w:sz w:val="24"/>
          <w:szCs w:val="24"/>
        </w:rPr>
        <w:t xml:space="preserve">1155 · L'atopia familiare non documentata.</w:t>
      </w:r>
      <w:r>
        <w:rPr>
          <w:rFonts w:ascii="Barlow Semi Condensed" w:cs="Barlow Semi Condensed" w:eastAsia="Barlow Semi Condensed" w:hAnsi="Barlow Semi Condensed"/>
          <w:sz w:val="24"/>
          <w:szCs w:val="24"/>
        </w:rPr>
        <w:t xml:space="preserve"> Nulla, nel documento, riguarda la trasmissione familiare della patologia: l'asma vi è descritta come condizione del solo individuo, senza dire se altri, fra ascendenti e fratelli, presentassero manifestazioni atopiche. È uno Stato Zero interno e si dichiara come tale. La sede che lo chiuderebbe è la carta di famiglia — quaderni sanitari, corrispondenza domestica, ricette conservate — al Museo Casa del Che, villa Nydia, Alta Gracia. Manca proprio l'unica eredità che qui sarebbe misurabile.</w:t>
      </w:r>
    </w:p>
    <w:p>
      <w:pPr>
        <w:spacing w:after="120" w:line="276"/>
        <w:jc w:val="both"/>
      </w:pPr>
      <w:r>
        <w:rPr>
          <w:rFonts w:ascii="Barlow Semi Condensed" w:cs="Barlow Semi Condensed" w:eastAsia="Barlow Semi Condensed" w:hAnsi="Barlow Semi Condensed"/>
          <w:b/>
          <w:bCs/>
          <w:sz w:val="24"/>
          <w:szCs w:val="24"/>
        </w:rPr>
        <w:t xml:space="preserve">1156 · Le cartelle cliniche mancanti.</w:t>
      </w:r>
      <w:r>
        <w:rPr>
          <w:rFonts w:ascii="Barlow Semi Condensed" w:cs="Barlow Semi Condensed" w:eastAsia="Barlow Semi Condensed" w:hAnsi="Barlow Semi Condensed"/>
          <w:sz w:val="24"/>
          <w:szCs w:val="24"/>
        </w:rPr>
        <w:t xml:space="preserve"> Nessun nome di medico curante compare per il periodo 1930-1932, né il documento indica chi prescrisse il clima montano delle Sierras Chicas. Il quesito è minuto e risolvibile: quali strutture di Buenos Aires e di Córdoba conservino registri ambulatoriali di quegli anni, e se esistano ricette o certificati nel fondo familiare. Senza quelle carte la prescrizione resta riferita dalla memorialistica, che è grado inferiore e va scritto accanto.</w:t>
      </w:r>
    </w:p>
    <w:p>
      <w:pPr>
        <w:spacing w:after="120" w:line="276"/>
        <w:jc w:val="both"/>
      </w:pPr>
      <w:r>
        <w:rPr>
          <w:rFonts w:ascii="Barlow Semi Condensed" w:cs="Barlow Semi Condensed" w:eastAsia="Barlow Semi Condensed" w:hAnsi="Barlow Semi Condensed"/>
          <w:b/>
          <w:bCs/>
          <w:sz w:val="24"/>
          <w:szCs w:val="24"/>
        </w:rPr>
        <w:t xml:space="preserve">1157 · Il tratto e la responsabilità.</w:t>
      </w:r>
      <w:r>
        <w:rPr>
          <w:rFonts w:ascii="Barlow Semi Condensed" w:cs="Barlow Semi Condensed" w:eastAsia="Barlow Semi Condensed" w:hAnsi="Barlow Semi Condensed"/>
          <w:sz w:val="24"/>
          <w:szCs w:val="24"/>
        </w:rPr>
        <w:t xml:space="preserve"> Qui la tredicesima serie trova la sua applicazione più netta. Un tratto atopico si trasmette per via biologica ed è misurabile in laboratorio; una responsabilità storica no, e non si trasmette in nessun senso, né dai padri ai figli né dai maestri agli allievi. Il blocco 960 lo dice in forma di divieto. Un territorio che parla di asma ereditaria e di lignaggi è proprio quello dove il divieto rischia di essere dimenticato.</w:t>
      </w:r>
    </w:p>
    <w:p>
      <w:pPr>
        <w:spacing w:after="120" w:line="276"/>
        <w:jc w:val="both"/>
      </w:pPr>
      <w:r>
        <w:rPr>
          <w:rFonts w:ascii="Barlow Semi Condensed" w:cs="Barlow Semi Condensed" w:eastAsia="Barlow Semi Condensed" w:hAnsi="Barlow Semi Condensed"/>
          <w:b/>
          <w:bCs/>
          <w:sz w:val="24"/>
          <w:szCs w:val="24"/>
        </w:rPr>
        <w:t xml:space="preserve">1158 · Bersaglio di smentita sulla lente.</w:t>
      </w:r>
      <w:r>
        <w:rPr>
          <w:rFonts w:ascii="Barlow Semi Condensed" w:cs="Barlow Semi Condensed" w:eastAsia="Barlow Semi Condensed" w:hAnsi="Barlow Semi Condensed"/>
          <w:sz w:val="24"/>
          <w:szCs w:val="24"/>
        </w:rPr>
        <w:t xml:space="preserve"> Si scriva la condizione che falsificherebbe l'uso stesso della metafora in questo territorio. Se dalla lente genetica discendesse, qui, una sola proposizione sui fatti del 1928-1954 che la documentazione non regge — una filiazione politica dedotta da un lignaggio, una condotta dedotta da una patologia — la metafora sarebbe da deporre per questa serie. La verifica si fa a valle, blocco per blocco, e il suo esito va pubblicato col conto.</w:t>
      </w:r>
    </w:p>
    <w:p>
      <w:pPr>
        <w:spacing w:after="120" w:line="276"/>
        <w:jc w:val="both"/>
      </w:pPr>
      <w:r>
        <w:rPr>
          <w:rFonts w:ascii="Barlow Semi Condensed" w:cs="Barlow Semi Condensed" w:eastAsia="Barlow Semi Condensed" w:hAnsi="Barlow Semi Condensed"/>
          <w:b/>
          <w:bCs/>
          <w:sz w:val="24"/>
          <w:szCs w:val="24"/>
        </w:rPr>
        <w:t xml:space="preserve">1159 · La geografia terapeutica di Alta Gracia.</w:t>
      </w:r>
      <w:r>
        <w:rPr>
          <w:rFonts w:ascii="Barlow Semi Condensed" w:cs="Barlow Semi Condensed" w:eastAsia="Barlow Semi Condensed" w:hAnsi="Barlow Semi Condensed"/>
          <w:sz w:val="24"/>
          <w:szCs w:val="24"/>
        </w:rPr>
        <w:t xml:space="preserve"> Undici anni sulle pendici delle Sierras Chicas, in una cittadina termale scelta per l'aria secca: la geografia dell'infanzia è stabilita da una diagnosi e non da una scelta politica. Vale come esempio di causa prossima documentata contro causa remota narrata. Chi ricostruisce a ritroso l'itinerario continentale come vocazione precoce dovrà spiegare perché il primo spostamento della vita fu deciso da un broncospasmo.</w:t>
      </w:r>
    </w:p>
    <w:p>
      <w:pPr>
        <w:spacing w:after="120" w:line="276"/>
        <w:jc w:val="both"/>
      </w:pPr>
      <w:r>
        <w:rPr>
          <w:rFonts w:ascii="Barlow Semi Condensed" w:cs="Barlow Semi Condensed" w:eastAsia="Barlow Semi Condensed" w:hAnsi="Barlow Semi Condensed"/>
          <w:b/>
          <w:bCs/>
          <w:sz w:val="24"/>
          <w:szCs w:val="24"/>
        </w:rPr>
        <w:t xml:space="preserve">1160 · I registri scolastici di Alta Gracia.</w:t>
      </w:r>
      <w:r>
        <w:rPr>
          <w:rFonts w:ascii="Barlow Semi Condensed" w:cs="Barlow Semi Condensed" w:eastAsia="Barlow Semi Condensed" w:hAnsi="Barlow Semi Condensed"/>
          <w:sz w:val="24"/>
          <w:szCs w:val="24"/>
        </w:rPr>
        <w:t xml:space="preserve"> Secondo la stesura d'autore la frequenza regolare riguardò il solo secondo e terzo anno, mentre il resto del ciclo primario fu impartito in casa dalla madre. È affermazione controllabile e non ancora controllata: i registri di iscrizione e di frequenza delle scuole di Alta Gracia per gli anni Trenta, se conservati presso l'archivio scolastico provinciale di Córdoba, la confermerebbero o la ridurrebbero a tradizione biografica.</w:t>
      </w:r>
    </w:p>
    <w:p>
      <w:pPr>
        <w:spacing w:after="120" w:line="276"/>
        <w:jc w:val="both"/>
      </w:pPr>
      <w:r>
        <w:rPr>
          <w:rFonts w:ascii="Barlow Semi Condensed" w:cs="Barlow Semi Condensed" w:eastAsia="Barlow Semi Condensed" w:hAnsi="Barlow Semi Condensed"/>
          <w:b/>
          <w:bCs/>
          <w:sz w:val="24"/>
          <w:szCs w:val="24"/>
        </w:rPr>
        <w:t xml:space="preserve">1161 · La biblioteca del padre.</w:t>
      </w:r>
      <w:r>
        <w:rPr>
          <w:rFonts w:ascii="Barlow Semi Condensed" w:cs="Barlow Semi Condensed" w:eastAsia="Barlow Semi Condensed" w:hAnsi="Barlow Semi Condensed"/>
          <w:sz w:val="24"/>
          <w:szCs w:val="24"/>
        </w:rPr>
        <w:t xml:space="preserve"> Migliaia di volumi, letture in francese, e dentro quella raccolta i testi di Marx, Engels e Lenin che il documento chiama «primi semi». La formula è felice e va sorvegliata: un libro presente in una casa non è un carattere trasmesso. Il bersaglio che ne discende è materiale, cioè elencabile: quali titoli e quali edizioni siano oggi identificabili nel fondo del museo di Alta Gracia, e quali risultino soltanto dal ricordo paterno.</w:t>
      </w:r>
    </w:p>
    <w:p>
      <w:pPr>
        <w:spacing w:after="120" w:line="276"/>
        <w:jc w:val="both"/>
      </w:pPr>
      <w:r>
        <w:rPr>
          <w:rFonts w:ascii="Barlow Semi Condensed" w:cs="Barlow Semi Condensed" w:eastAsia="Barlow Semi Condensed" w:hAnsi="Barlow Semi Condensed"/>
          <w:b/>
          <w:bCs/>
          <w:sz w:val="24"/>
          <w:szCs w:val="24"/>
        </w:rPr>
        <w:t xml:space="preserve">1162 · Il quaderno ritrovato in Bolivia.</w:t>
      </w:r>
      <w:r>
        <w:rPr>
          <w:rFonts w:ascii="Barlow Semi Condensed" w:cs="Barlow Semi Condensed" w:eastAsia="Barlow Semi Condensed" w:hAnsi="Barlow Semi Condensed"/>
          <w:sz w:val="24"/>
          <w:szCs w:val="24"/>
        </w:rPr>
        <w:t xml:space="preserve"> Parlando dell'infanzia il documento anticipa che un quaderno di poesie predilette fu trovato nello zaino al momento della cattura del 1967. L'anticipazione è legittima come tratto di continuità, ma non prova nulla sul 1935: un reperto boliviano documenta il 1967 e soltanto quello. La regola vale in tutta la serie e ha una forma sola, il documento data se stesso e non l'abitudine che gli si vorrebbe attribuire all'indietro.</w:t>
      </w:r>
    </w:p>
    <w:p>
      <w:pPr>
        <w:spacing w:after="120" w:line="276"/>
        <w:jc w:val="both"/>
      </w:pPr>
      <w:r>
        <w:rPr>
          <w:rFonts w:ascii="Barlow Semi Condensed" w:cs="Barlow Semi Condensed" w:eastAsia="Barlow Semi Condensed" w:hAnsi="Barlow Semi Condensed"/>
          <w:b/>
          <w:bCs/>
          <w:sz w:val="24"/>
          <w:szCs w:val="24"/>
        </w:rPr>
        <w:t xml:space="preserve">1163 · Il Colegio Nacional Deán Funes.</w:t>
      </w:r>
      <w:r>
        <w:rPr>
          <w:rFonts w:ascii="Barlow Semi Condensed" w:cs="Barlow Semi Condensed" w:eastAsia="Barlow Semi Condensed" w:hAnsi="Barlow Semi Condensed"/>
          <w:sz w:val="24"/>
          <w:szCs w:val="24"/>
        </w:rPr>
        <w:t xml:space="preserve"> Nel 1943 la famiglia si sposta a Córdoba e il ragazzo entra al Colegio Nacional Deán Funes: è la prima sede istituzionale nominata dall'Integrazione. I registri di quell'istituto, tuttora esistente, chiuderebbero in un pomeriggio la questione delle materie, dei voti e delle assenze per malattia, che oggi il corpus tiene su base storiografica. Un archivio scolastico è la forma più economica di verifica disponibile in questo territorio.</w:t>
      </w:r>
    </w:p>
    <w:p>
      <w:pPr>
        <w:spacing w:after="120" w:line="276"/>
        <w:jc w:val="both"/>
      </w:pPr>
      <w:r>
        <w:rPr>
          <w:rFonts w:ascii="Barlow Semi Condensed" w:cs="Barlow Semi Condensed" w:eastAsia="Barlow Semi Condensed" w:hAnsi="Barlow Semi Condensed"/>
          <w:b/>
          <w:bCs/>
          <w:sz w:val="24"/>
          <w:szCs w:val="24"/>
        </w:rPr>
        <w:t xml:space="preserve">1164 · Fúser, l'inalatore a bordo campo.</w:t>
      </w:r>
      <w:r>
        <w:rPr>
          <w:rFonts w:ascii="Barlow Semi Condensed" w:cs="Barlow Semi Condensed" w:eastAsia="Barlow Semi Condensed" w:hAnsi="Barlow Semi Condensed"/>
          <w:sz w:val="24"/>
          <w:szCs w:val="24"/>
        </w:rPr>
        <w:t xml:space="preserve"> Il soprannome «Fúser» e il rugby giocato con l'inalatore accanto al campo sono fatti biografici, grado F, e restano inerti: non spiegano una scelta politica e non anticipano una dottrina. Il corpus li conserva perché descrivono un carattere, non perché ne deducano qualcosa. Chi li usa come prefigurazione della guerriglia sta facendo letteratura, e deve dichiararlo; questa serie non lo fa e li registra al loro grado.</w:t>
      </w:r>
    </w:p>
    <w:p>
      <w:pPr>
        <w:spacing w:after="120" w:line="276"/>
        <w:jc w:val="both"/>
      </w:pPr>
      <w:r>
        <w:rPr>
          <w:rFonts w:ascii="Barlow Semi Condensed" w:cs="Barlow Semi Condensed" w:eastAsia="Barlow Semi Condensed" w:hAnsi="Barlow Semi Condensed"/>
          <w:b/>
          <w:bCs/>
          <w:sz w:val="24"/>
          <w:szCs w:val="24"/>
        </w:rPr>
        <w:t xml:space="preserve">1165 · I quaderni filosofici all'Avana.</w:t>
      </w:r>
      <w:r>
        <w:rPr>
          <w:rFonts w:ascii="Barlow Semi Condensed" w:cs="Barlow Semi Condensed" w:eastAsia="Barlow Semi Condensed" w:hAnsi="Barlow Semi Condensed"/>
          <w:sz w:val="24"/>
          <w:szCs w:val="24"/>
        </w:rPr>
        <w:t xml:space="preserve"> L'Integrazione segnala la compilazione di quaderni filosofici personali, indice ragionato di letture aggiornato per anni. Sono conservati, con l'archivio personale, presso il Centro de Estudios Che Guevara dell'Avana. Il bersaglio è diretto e falsificabile: verificare se in quegli indici, e nelle letture registrate fino al 1954, compaia mai il nome oggetto della triangolazione. L'attesa è nulla, perché l'opera d'esordio di quell'autore è posteriore di tre anni al termine del territorio.</w:t>
      </w:r>
    </w:p>
    <w:p>
      <w:pPr>
        <w:spacing w:after="120" w:line="276"/>
        <w:jc w:val="both"/>
      </w:pPr>
      <w:r>
        <w:rPr>
          <w:rFonts w:ascii="Barlow Semi Condensed" w:cs="Barlow Semi Condensed" w:eastAsia="Barlow Semi Condensed" w:hAnsi="Barlow Semi Condensed"/>
          <w:b/>
          <w:bCs/>
          <w:sz w:val="24"/>
          <w:szCs w:val="24"/>
        </w:rPr>
        <w:t xml:space="preserve">1166 · Medicina a Buenos Aires, 1947.</w:t>
      </w:r>
      <w:r>
        <w:rPr>
          <w:rFonts w:ascii="Barlow Semi Condensed" w:cs="Barlow Semi Condensed" w:eastAsia="Barlow Semi Condensed" w:hAnsi="Barlow Semi Condensed"/>
          <w:sz w:val="24"/>
          <w:szCs w:val="24"/>
        </w:rPr>
        <w:t xml:space="preserve"> L'iscrizione alla Facoltà di Medicina, maturata dopo l'assistenza alla nonna paterna Ana Isabel, si orienta verso allergologia e patologie immunitarie nella clinica del dottor Salvador Pisani. È il tratto che il corpus definisce vocazione di ricerca e non ambizione borghese. La sede documentale è l'Università di Buenos Aires: fascicolo studentesco, verbali d'esame, e le carte dell'istituto di Pisani, se sopravvissute, per la collaborazione dichiarata.</w:t>
      </w:r>
    </w:p>
    <w:p>
      <w:pPr>
        <w:spacing w:after="120" w:line="276"/>
        <w:jc w:val="both"/>
      </w:pPr>
      <w:r>
        <w:rPr>
          <w:rFonts w:ascii="Barlow Semi Condensed" w:cs="Barlow Semi Condensed" w:eastAsia="Barlow Semi Condensed" w:hAnsi="Barlow Semi Condensed"/>
          <w:b/>
          <w:bCs/>
          <w:sz w:val="24"/>
          <w:szCs w:val="24"/>
        </w:rPr>
        <w:t xml:space="preserve">1167 · La marina mercantile e le Antille.</w:t>
      </w:r>
      <w:r>
        <w:rPr>
          <w:rFonts w:ascii="Barlow Semi Condensed" w:cs="Barlow Semi Condensed" w:eastAsia="Barlow Semi Condensed" w:hAnsi="Barlow Semi Condensed"/>
          <w:sz w:val="24"/>
          <w:szCs w:val="24"/>
        </w:rPr>
        <w:t xml:space="preserve"> Fra gli impieghi giovanili il documento registra un imbarco nella marina mercantile argentina che portò fino a Trinidad e alla Guyana britannica. È l'unico contatto del territorio con l'orbita anglosassone prima del 1954, ed è occupazionale, non politico. I ruoli d'equipaggio, se conservati presso l'autorità marittima argentina, daterebbero l'imbarco con precisione, che oggi il corpus non ha. Nessuna inferenza discende da un porto coloniale attraversato da un marinaio.</w:t>
      </w:r>
    </w:p>
    <w:p>
      <w:pPr>
        <w:spacing w:after="120" w:line="276"/>
        <w:jc w:val="both"/>
      </w:pPr>
      <w:r>
        <w:rPr>
          <w:rFonts w:ascii="Barlow Semi Condensed" w:cs="Barlow Semi Condensed" w:eastAsia="Barlow Semi Condensed" w:hAnsi="Barlow Semi Condensed"/>
          <w:b/>
          <w:bCs/>
          <w:sz w:val="24"/>
          <w:szCs w:val="24"/>
        </w:rPr>
        <w:t xml:space="preserve">1168 · Il micromotore Cucciolo.</w:t>
      </w:r>
      <w:r>
        <w:rPr>
          <w:rFonts w:ascii="Barlow Semi Condensed" w:cs="Barlow Semi Condensed" w:eastAsia="Barlow Semi Condensed" w:hAnsi="Barlow Semi Condensed"/>
          <w:sz w:val="24"/>
          <w:szCs w:val="24"/>
        </w:rPr>
        <w:t xml:space="preserve"> Nel gennaio-febbraio 1950 quattromilacinquecento chilometri nel nord dell'Argentina su una bicicletta equipaggiata con un micromotore Cucciolo: è il solo oggetto italiano dell'intero territorio, ed è un motore ausiliario di produzione industriale. Si registra qui per prevenire l'uso che una lettura combinatoria ne farebbe. Un manufatto in comune fra due domini non è un canale fra due storie: è merce, e la merce viaggiava.</w:t>
      </w:r>
    </w:p>
    <w:p>
      <w:pPr>
        <w:spacing w:after="120" w:line="276"/>
        <w:jc w:val="both"/>
      </w:pPr>
      <w:r>
        <w:rPr>
          <w:rFonts w:ascii="Barlow Semi Condensed" w:cs="Barlow Semi Condensed" w:eastAsia="Barlow Semi Condensed" w:hAnsi="Barlow Semi Condensed"/>
          <w:b/>
          <w:bCs/>
          <w:sz w:val="24"/>
          <w:szCs w:val="24"/>
        </w:rPr>
        <w:t xml:space="preserve">1169 · Chuquicamata, e il rame cileno.</w:t>
      </w:r>
      <w:r>
        <w:rPr>
          <w:rFonts w:ascii="Barlow Semi Condensed" w:cs="Barlow Semi Condensed" w:eastAsia="Barlow Semi Condensed" w:hAnsi="Barlow Semi Condensed"/>
          <w:sz w:val="24"/>
          <w:szCs w:val="24"/>
        </w:rPr>
        <w:t xml:space="preserve"> La discesa nella miniera di rame di Chuquicamata, nel 1952, con l'incontro dei due minatori comunisti perseguitati, è pagina capitale dei diari e sta al piano dei fatti. Il corpus documenta altrove, nel saggio-cerniera, la responsabilità di apparati statunitensi nella caduta di Salvador Allende nel 1973, undici anni dopo la nazionalizzazione del rame. Le due cose stanno nello stesso paesaggio e a ventun anni di distanza. Non si toccano.</w:t>
      </w:r>
    </w:p>
    <w:p>
      <w:pPr>
        <w:spacing w:after="120" w:line="276"/>
        <w:jc w:val="both"/>
      </w:pPr>
      <w:r>
        <w:rPr>
          <w:rFonts w:ascii="Barlow Semi Condensed" w:cs="Barlow Semi Condensed" w:eastAsia="Barlow Semi Condensed" w:hAnsi="Barlow Semi Condensed"/>
          <w:b/>
          <w:bCs/>
          <w:sz w:val="24"/>
          <w:szCs w:val="24"/>
        </w:rPr>
        <w:t xml:space="preserve">1170 · Il divieto di retrodatare il Cile.</w:t>
      </w:r>
      <w:r>
        <w:rPr>
          <w:rFonts w:ascii="Barlow Semi Condensed" w:cs="Barlow Semi Condensed" w:eastAsia="Barlow Semi Condensed" w:hAnsi="Barlow Semi Condensed"/>
          <w:sz w:val="24"/>
          <w:szCs w:val="24"/>
        </w:rPr>
        <w:t xml:space="preserve"> Si fissa qui la proibizione, perché è la tentazione più forte del territorio. Nulla di ciò che il corpus accerta sul 1970-1973 può essere proiettato sul viaggio del 1952, e nulla di quel viaggio anticipa il 1973. Chi volesse un ponte dovrà esibire un documento del 1952 che nomini la controparte: non esiste, e il corpus lo dichiara. Cornice condivisa è piano 2 nella migliore delle ipotesi, e il piano 2 non è un nesso.</w:t>
      </w:r>
    </w:p>
    <w:p>
      <w:pPr>
        <w:spacing w:after="120" w:line="276"/>
        <w:jc w:val="both"/>
      </w:pPr>
      <w:r>
        <w:rPr>
          <w:rFonts w:ascii="Barlow Semi Condensed" w:cs="Barlow Semi Condensed" w:eastAsia="Barlow Semi Condensed" w:hAnsi="Barlow Semi Condensed"/>
          <w:b/>
          <w:bCs/>
          <w:sz w:val="24"/>
          <w:szCs w:val="24"/>
        </w:rPr>
        <w:t xml:space="preserve">1171 · Hugo Pesce e l'appartenenza.</w:t>
      </w:r>
      <w:r>
        <w:rPr>
          <w:rFonts w:ascii="Barlow Semi Condensed" w:cs="Barlow Semi Condensed" w:eastAsia="Barlow Semi Condensed" w:hAnsi="Barlow Semi Condensed"/>
          <w:sz w:val="24"/>
          <w:szCs w:val="24"/>
        </w:rPr>
        <w:t xml:space="preserve"> Il lebbrosario di San Pablo, in Amazzonia peruviana, e la guida a distanza del dottor Hugo Pesce, medico e dirigente comunista, sono documentati. L'appartenenza politica di Pesce è un fatto biografico e non prova nulla su ciò che il giovane medico argentino fece o pensò in quel mese. La regola è la stessa che il corpus applica ai tredici del registro moroteo: l'appartenenza è inerte, la condotta è individuale e va provata a parte.</w:t>
      </w:r>
    </w:p>
    <w:p>
      <w:pPr>
        <w:spacing w:after="120" w:line="276"/>
        <w:jc w:val="both"/>
      </w:pPr>
      <w:r>
        <w:rPr>
          <w:rFonts w:ascii="Barlow Semi Condensed" w:cs="Barlow Semi Condensed" w:eastAsia="Barlow Semi Condensed" w:hAnsi="Barlow Semi Condensed"/>
          <w:b/>
          <w:bCs/>
          <w:sz w:val="24"/>
          <w:szCs w:val="24"/>
        </w:rPr>
        <w:t xml:space="preserve">1172 · La laurea del giugno 1953.</w:t>
      </w:r>
      <w:r>
        <w:rPr>
          <w:rFonts w:ascii="Barlow Semi Condensed" w:cs="Barlow Semi Condensed" w:eastAsia="Barlow Semi Condensed" w:hAnsi="Barlow Semi Condensed"/>
          <w:sz w:val="24"/>
          <w:szCs w:val="24"/>
        </w:rPr>
        <w:t xml:space="preserve"> Il rientro a Buenos Aires, la sessione forzata di esami e la laurea in medicina del giugno 1953 sono affermazioni portanti dell'Integrazione, sostenute da storiografia e non da atto. Il libro dei verbali di laurea della Facoltà di Medicina dell'Università di Buenos Aires porta la data esatta e il titolo esatto. È una verifica di poche ore che alzerebbe di un grado un fatto oggi tenuto su Anderson, Taibo e Castañeda.</w:t>
      </w:r>
    </w:p>
    <w:p>
      <w:pPr>
        <w:spacing w:after="120" w:line="276"/>
        <w:jc w:val="both"/>
      </w:pPr>
      <w:r>
        <w:rPr>
          <w:rFonts w:ascii="Barlow Semi Condensed" w:cs="Barlow Semi Condensed" w:eastAsia="Barlow Semi Condensed" w:hAnsi="Barlow Semi Condensed"/>
          <w:b/>
          <w:bCs/>
          <w:sz w:val="24"/>
          <w:szCs w:val="24"/>
        </w:rPr>
        <w:t xml:space="preserve">1173 · La partenza del 7 luglio.</w:t>
      </w:r>
      <w:r>
        <w:rPr>
          <w:rFonts w:ascii="Barlow Semi Condensed" w:cs="Barlow Semi Condensed" w:eastAsia="Barlow Semi Condensed" w:hAnsi="Barlow Semi Condensed"/>
          <w:sz w:val="24"/>
          <w:szCs w:val="24"/>
        </w:rPr>
        <w:t xml:space="preserve"> Il secondo viaggio comincia il 7 luglio 1953 con l'amico d'infanzia Carlos «Calica» Ferrer e non prevede ritorno. Il nodo I-9 della triangolazione registra la coerenza fra i documenti del corpus su entrambi i viaggi. Ciò che manca, e che una sola sede fornirebbe, sono i timbri di frontiera: i registri di uscita argentini e di ingresso boliviano del luglio 1953, che trasformerebbero una cronologia biografica in una cronologia documentale.</w:t>
      </w:r>
    </w:p>
    <w:p>
      <w:pPr>
        <w:spacing w:after="120" w:line="276"/>
        <w:jc w:val="both"/>
      </w:pPr>
      <w:r>
        <w:rPr>
          <w:rFonts w:ascii="Barlow Semi Condensed" w:cs="Barlow Semi Condensed" w:eastAsia="Barlow Semi Condensed" w:hAnsi="Barlow Semi Condensed"/>
          <w:b/>
          <w:bCs/>
          <w:sz w:val="24"/>
          <w:szCs w:val="24"/>
        </w:rPr>
        <w:t xml:space="preserve">1174 · La Bolivia del MNR.</w:t>
      </w:r>
      <w:r>
        <w:rPr>
          <w:rFonts w:ascii="Barlow Semi Condensed" w:cs="Barlow Semi Condensed" w:eastAsia="Barlow Semi Condensed" w:hAnsi="Barlow Semi Condensed"/>
          <w:sz w:val="24"/>
          <w:szCs w:val="24"/>
        </w:rPr>
        <w:t xml:space="preserve"> Nel 1953 il giovane medico attraversa la Bolivia della rivoluzione del 1952 e osserva con scetticismo la riforma agraria del MNR. La Bolivia tornerà, in tutt'altro territorio del corpus, come luogo della fine nel 1967. I due passaggi non si spiegano a vicenda e non vanno letti in continuità: il primo è osservazione di un viaggiatore, il secondo è campagna militare, e quattordici anni li separano.</w:t>
      </w:r>
    </w:p>
    <w:p>
      <w:pPr>
        <w:spacing w:after="120" w:line="276"/>
        <w:jc w:val="both"/>
      </w:pPr>
      <w:r>
        <w:rPr>
          <w:rFonts w:ascii="Barlow Semi Condensed" w:cs="Barlow Semi Condensed" w:eastAsia="Barlow Semi Condensed" w:hAnsi="Barlow Semi Condensed"/>
          <w:b/>
          <w:bCs/>
          <w:sz w:val="24"/>
          <w:szCs w:val="24"/>
        </w:rPr>
        <w:t xml:space="preserve">1175 · Ricardo Rojo, la rotta deviata.</w:t>
      </w:r>
      <w:r>
        <w:rPr>
          <w:rFonts w:ascii="Barlow Semi Condensed" w:cs="Barlow Semi Condensed" w:eastAsia="Barlow Semi Condensed" w:hAnsi="Barlow Semi Condensed"/>
          <w:sz w:val="24"/>
          <w:szCs w:val="24"/>
        </w:rPr>
        <w:t xml:space="preserve"> In Ecuador l'incontro con l'esule argentino Ricardo Rojo contribuì a deviare l'itinerario dal Venezuela verso il Centroamerica. È il punto più contingente del territorio e il più utile contro ogni lettura deterministica: senza quella deviazione non ci sarebbe stato il Guatemala del 1954, e senza il Guatemala non la cesura che il documento gli attribuisce. Un incontro casuale pesa qui più di ogni lignaggio.</w:t>
      </w:r>
    </w:p>
    <w:p>
      <w:pPr>
        <w:spacing w:after="120" w:line="276"/>
        <w:jc w:val="both"/>
      </w:pPr>
      <w:r>
        <w:rPr>
          <w:rFonts w:ascii="Barlow Semi Condensed" w:cs="Barlow Semi Condensed" w:eastAsia="Barlow Semi Condensed" w:hAnsi="Barlow Semi Condensed"/>
          <w:b/>
          <w:bCs/>
          <w:sz w:val="24"/>
          <w:szCs w:val="24"/>
        </w:rPr>
        <w:t xml:space="preserve">1176 · Il Guatemala del dicembre 1953.</w:t>
      </w:r>
      <w:r>
        <w:rPr>
          <w:rFonts w:ascii="Barlow Semi Condensed" w:cs="Barlow Semi Condensed" w:eastAsia="Barlow Semi Condensed" w:hAnsi="Barlow Semi Condensed"/>
          <w:sz w:val="24"/>
          <w:szCs w:val="24"/>
        </w:rPr>
        <w:t xml:space="preserve"> L'arrivo in Guatemala è datato dicembre 1953, dopo Perú, Ecuador e Costa Rica. Da questo momento il territorio entra nel solo tratto in cui una potenza straniera compare nel testo. Vale la pena fissarlo prima di procedere: sono poche righe, un solo paragrafo, e su quelle righe si concentra tutto ciò che questa serie può legittimamente interrogare. Il resto del file non offre alcuna superficie di contatto.</w:t>
      </w:r>
    </w:p>
    <w:p>
      <w:pPr>
        <w:spacing w:after="120" w:line="276"/>
        <w:jc w:val="both"/>
      </w:pPr>
      <w:r>
        <w:rPr>
          <w:rFonts w:ascii="Barlow Semi Condensed" w:cs="Barlow Semi Condensed" w:eastAsia="Barlow Semi Condensed" w:hAnsi="Barlow Semi Condensed"/>
          <w:b/>
          <w:bCs/>
          <w:sz w:val="24"/>
          <w:szCs w:val="24"/>
        </w:rPr>
        <w:t xml:space="preserve">1177 · Nessuna sede diplomatica nominata.</w:t>
      </w:r>
      <w:r>
        <w:rPr>
          <w:rFonts w:ascii="Barlow Semi Condensed" w:cs="Barlow Semi Condensed" w:eastAsia="Barlow Semi Condensed" w:hAnsi="Barlow Semi Condensed"/>
          <w:sz w:val="24"/>
          <w:szCs w:val="24"/>
        </w:rPr>
        <w:t xml:space="preserve"> Stato Zero circoscritto: in tutto l'itinerario 1951-1954 il documento non nomina alcuna ambasciata, consolato o funzionario statunitense, neppure in transito. L'unica sede diplomatica citata è l'ambasciata argentina di Città del Guatemala, come rifugio. Se ne ricava che il territorio, per come è costruito, non contiene la classe di documenti nella quale un nome del Dipartimento di Stato potrebbe comparire. Il vuoto misura la costruzione del testo prima che il mondo.</w:t>
      </w:r>
    </w:p>
    <w:p>
      <w:pPr>
        <w:spacing w:after="120" w:line="276"/>
        <w:jc w:val="both"/>
      </w:pPr>
      <w:r>
        <w:rPr>
          <w:rFonts w:ascii="Barlow Semi Condensed" w:cs="Barlow Semi Condensed" w:eastAsia="Barlow Semi Condensed" w:hAnsi="Barlow Semi Condensed"/>
          <w:b/>
          <w:bCs/>
          <w:sz w:val="24"/>
          <w:szCs w:val="24"/>
        </w:rPr>
        <w:t xml:space="preserve">1178 · Il paragrafo statunitense, misurato.</w:t>
      </w:r>
      <w:r>
        <w:rPr>
          <w:rFonts w:ascii="Barlow Semi Condensed" w:cs="Barlow Semi Condensed" w:eastAsia="Barlow Semi Condensed" w:hAnsi="Barlow Semi Condensed"/>
          <w:sz w:val="24"/>
          <w:szCs w:val="24"/>
        </w:rPr>
        <w:t xml:space="preserve"> Il paragrafo sul 1954 contiene, in sequenza, la United Fruit Company, la riforma agraria di Jacobo Árbenz, l'operazione PBSUCCESS della CIA, le bande di Castillo Armas e il rifugio nell'ambasciata argentina. Sono le uniche occorrenze americane del file. Nessuna persona statunitense è nominata: non un ambasciatore, non un direttore d'agenzia, non un segretario. Il territorio descrive un'operazione senza attribuirla ad alcun individuo, ed è una scelta di scrittura che va registrata.</w:t>
      </w:r>
    </w:p>
    <w:p>
      <w:pPr>
        <w:spacing w:after="120" w:line="276"/>
        <w:jc w:val="both"/>
      </w:pPr>
      <w:r>
        <w:rPr>
          <w:rFonts w:ascii="Barlow Semi Condensed" w:cs="Barlow Semi Condensed" w:eastAsia="Barlow Semi Condensed" w:hAnsi="Barlow Semi Condensed"/>
          <w:b/>
          <w:bCs/>
          <w:sz w:val="24"/>
          <w:szCs w:val="24"/>
        </w:rPr>
        <w:t xml:space="preserve">1179 · Dove sta PBSUCCESS.</w:t>
      </w:r>
      <w:r>
        <w:rPr>
          <w:rFonts w:ascii="Barlow Semi Condensed" w:cs="Barlow Semi Condensed" w:eastAsia="Barlow Semi Condensed" w:hAnsi="Barlow Semi Condensed"/>
          <w:sz w:val="24"/>
          <w:szCs w:val="24"/>
        </w:rPr>
        <w:t xml:space="preserve"> La documentazione dell'operazione esiste ed è nominabile: la raccolta declassificata sul Guatemala 1952-1954 nella sala di lettura elettronica dell'agenzia, il volume retrospettivo della serie Foreign Relations of the United States dedicato al Guatemala, i gruppi RG 59 e RG 263 ai National Archives di College Park, e i fascicoli della Eisenhower Presidential Library ad Abilene. È lì, e non nella letteratura guevariana, che una ricerca onomastica sul 1954 va condotta.</w:t>
      </w:r>
    </w:p>
    <w:p>
      <w:pPr>
        <w:spacing w:after="120" w:line="276"/>
        <w:jc w:val="both"/>
      </w:pPr>
      <w:r>
        <w:rPr>
          <w:rFonts w:ascii="Barlow Semi Condensed" w:cs="Barlow Semi Condensed" w:eastAsia="Barlow Semi Condensed" w:hAnsi="Barlow Semi Condensed"/>
          <w:b/>
          <w:bCs/>
          <w:sz w:val="24"/>
          <w:szCs w:val="24"/>
        </w:rPr>
        <w:t xml:space="preserve">1180 · Il dottorando del giugno 1954.</w:t>
      </w:r>
      <w:r>
        <w:rPr>
          <w:rFonts w:ascii="Barlow Semi Condensed" w:cs="Barlow Semi Condensed" w:eastAsia="Barlow Semi Condensed" w:hAnsi="Barlow Semi Condensed"/>
          <w:sz w:val="24"/>
          <w:szCs w:val="24"/>
        </w:rPr>
        <w:t xml:space="preserve"> Accertamento con grado dichiarato, fatti pubblici. Nel giugno 1954 il soggetto di questa triangolazione era un dottorando dell'Università di Harvard: dottorato conseguito quell'anno con una dissertazione su Castlereagh e Metternich, pubblicata nel 1957. Nessuna carica di governo, nessuna funzione operativa, nessuna competenza latinoamericana. La sede che documenta questo stato è l'archivio universitario di Harvard, che conserva la tesi e i fascicoli del dipartimento.</w:t>
      </w:r>
    </w:p>
    <w:p>
      <w:pPr>
        <w:spacing w:after="120" w:line="276"/>
        <w:jc w:val="both"/>
      </w:pPr>
      <w:r>
        <w:rPr>
          <w:rFonts w:ascii="Barlow Semi Condensed" w:cs="Barlow Semi Condensed" w:eastAsia="Barlow Semi Condensed" w:hAnsi="Barlow Semi Condensed"/>
          <w:b/>
          <w:bCs/>
          <w:sz w:val="24"/>
          <w:szCs w:val="24"/>
        </w:rPr>
        <w:t xml:space="preserve">1181 · Stato Zero sulle carte guatemalteche.</w:t>
      </w:r>
      <w:r>
        <w:rPr>
          <w:rFonts w:ascii="Barlow Semi Condensed" w:cs="Barlow Semi Condensed" w:eastAsia="Barlow Semi Condensed" w:hAnsi="Barlow Semi Condensed"/>
          <w:sz w:val="24"/>
          <w:szCs w:val="24"/>
        </w:rPr>
        <w:t xml:space="preserve"> Si verbalizza l'esito negativo con il suo perimetro: nella documentazione dell'operazione finora resa pubblica non risulta alcun documento che rechi quel nome, e il corpus non ne possiede alcuno. Non è prova che non esista, e non è prova che esista e sia stato ritirato: è un dato sulla ricerca condotta e sulle serie aperte. La chiusura definitiva richiederebbe lo spoglio integrale delle serie sopra nominate, con elenco delle buste consultate.</w:t>
      </w:r>
    </w:p>
    <w:p>
      <w:pPr>
        <w:spacing w:after="120" w:line="276"/>
        <w:jc w:val="both"/>
      </w:pPr>
      <w:r>
        <w:rPr>
          <w:rFonts w:ascii="Barlow Semi Condensed" w:cs="Barlow Semi Condensed" w:eastAsia="Barlow Semi Condensed" w:hAnsi="Barlow Semi Condensed"/>
          <w:b/>
          <w:bCs/>
          <w:sz w:val="24"/>
          <w:szCs w:val="24"/>
        </w:rPr>
        <w:t xml:space="preserve">1182 · La condizione del silenzio, qui.</w:t>
      </w:r>
      <w:r>
        <w:rPr>
          <w:rFonts w:ascii="Barlow Semi Condensed" w:cs="Barlow Semi Condensed" w:eastAsia="Barlow Semi Condensed" w:hAnsi="Barlow Semi Condensed"/>
          <w:sz w:val="24"/>
          <w:szCs w:val="24"/>
        </w:rPr>
        <w:t xml:space="preserve"> L'argomento dal silenzio è lecito a una condizione sola, e in questo caso non è soddisfatta. Perché l'assenza fosse informativa, l'archivio interrogato dovrebbe essere quello in cui il documento, se esistesse, si troverebbe per prassi. Un dottorando non figura per ufficio nelle carte operative di un'agenzia. L'assenza qui non è indizio: è rumore, e va scritto così, perché un vuoto atteso non ha alcun valore informativo.</w:t>
      </w:r>
    </w:p>
    <w:p>
      <w:pPr>
        <w:spacing w:after="120" w:line="276"/>
        <w:jc w:val="both"/>
      </w:pPr>
      <w:r>
        <w:rPr>
          <w:rFonts w:ascii="Barlow Semi Condensed" w:cs="Barlow Semi Condensed" w:eastAsia="Barlow Semi Condensed" w:hAnsi="Barlow Semi Condensed"/>
          <w:b/>
          <w:bCs/>
          <w:sz w:val="24"/>
          <w:szCs w:val="24"/>
        </w:rPr>
        <w:t xml:space="preserve">1183 · Il seminario di Harvard e Confluence.</w:t>
      </w:r>
      <w:r>
        <w:rPr>
          <w:rFonts w:ascii="Barlow Semi Condensed" w:cs="Barlow Semi Condensed" w:eastAsia="Barlow Semi Condensed" w:hAnsi="Barlow Semi Condensed"/>
          <w:sz w:val="24"/>
          <w:szCs w:val="24"/>
        </w:rPr>
        <w:t xml:space="preserve"> Un solo bersaglio non banale esiste sul versante americano, e riguarda l'ambiente, non l'operazione. Fra il 1951 e il 1958 il soggetto diresse a Harvard un seminario internazionale e curò la rivista Confluence. Il quesito è circoscritto: se qualche fascicolo di quella rivista trattasse l'America centrale nel 1954, e chi ne finanziasse il seminario. Le sedi sono la Widener Library, l'archivio universitario di Harvard e le carte di Charles Douglas Jackson alla Eisenhower Library.</w:t>
      </w:r>
    </w:p>
    <w:p>
      <w:pPr>
        <w:spacing w:after="120" w:line="276"/>
        <w:jc w:val="both"/>
      </w:pPr>
      <w:r>
        <w:rPr>
          <w:rFonts w:ascii="Barlow Semi Condensed" w:cs="Barlow Semi Condensed" w:eastAsia="Barlow Semi Condensed" w:hAnsi="Barlow Semi Condensed"/>
          <w:b/>
          <w:bCs/>
          <w:sz w:val="24"/>
          <w:szCs w:val="24"/>
        </w:rPr>
        <w:t xml:space="preserve">1184 · Che cosa sarebbe un ponte.</w:t>
      </w:r>
      <w:r>
        <w:rPr>
          <w:rFonts w:ascii="Barlow Semi Condensed" w:cs="Barlow Semi Condensed" w:eastAsia="Barlow Semi Condensed" w:hAnsi="Barlow Semi Condensed"/>
          <w:sz w:val="24"/>
          <w:szCs w:val="24"/>
        </w:rPr>
        <w:t xml:space="preserve"> Si dica in positivo, perché un bersaglio di smentita si scrive come si scriverebbe una prova. Un ponte al piano 1 in questo territorio esisterebbe se, e solo se, un documento datato fra il 1928 e il 1954 e di provenienza accertata nominasse insieme Ernesto Guevara de la Serna e il soggetto della triangolazione. Nessun altro reperto vale: non una coincidenza d'anno, non una rivista, non un finanziamento a un seminario universitario.</w:t>
      </w:r>
    </w:p>
    <w:p>
      <w:pPr>
        <w:spacing w:after="120" w:line="276"/>
        <w:jc w:val="both"/>
      </w:pPr>
      <w:r>
        <w:rPr>
          <w:rFonts w:ascii="Barlow Semi Condensed" w:cs="Barlow Semi Condensed" w:eastAsia="Barlow Semi Condensed" w:hAnsi="Barlow Semi Condensed"/>
          <w:b/>
          <w:bCs/>
          <w:sz w:val="24"/>
          <w:szCs w:val="24"/>
        </w:rPr>
        <w:t xml:space="preserve">1185 · Castlereagh contro il polpo capitalista.</w:t>
      </w:r>
      <w:r>
        <w:rPr>
          <w:rFonts w:ascii="Barlow Semi Condensed" w:cs="Barlow Semi Condensed" w:eastAsia="Barlow Semi Condensed" w:hAnsi="Barlow Semi Condensed"/>
          <w:sz w:val="24"/>
          <w:szCs w:val="24"/>
        </w:rPr>
        <w:t xml:space="preserve"> Nello stesso 1954 due testi guardano l'ordine internazionale da capi opposti: una dissertazione accademica sulla legittimità e l'equilibrio dopo il 1815, e una lettera privata alla zia Beatriz che giura, per ironia, sul ritratto del «compagno Stalin» contro i «polpi capitalisti». Il lettore combinatorio vi vedrà un dialogo. Non lo è. È somiglianza di oggetto, cioè analogia, e dalla somiglianza del tema non si deduce alcun antenato comune.</w:t>
      </w:r>
    </w:p>
    <w:p>
      <w:pPr>
        <w:spacing w:after="120" w:line="276"/>
        <w:jc w:val="both"/>
      </w:pPr>
      <w:r>
        <w:rPr>
          <w:rFonts w:ascii="Barlow Semi Condensed" w:cs="Barlow Semi Condensed" w:eastAsia="Barlow Semi Condensed" w:hAnsi="Barlow Semi Condensed"/>
          <w:b/>
          <w:bCs/>
          <w:sz w:val="24"/>
          <w:szCs w:val="24"/>
        </w:rPr>
        <w:t xml:space="preserve">1186 · Il test dell'antenato comune.</w:t>
      </w:r>
      <w:r>
        <w:rPr>
          <w:rFonts w:ascii="Barlow Semi Condensed" w:cs="Barlow Semi Condensed" w:eastAsia="Barlow Semi Condensed" w:hAnsi="Barlow Semi Condensed"/>
          <w:sz w:val="24"/>
          <w:szCs w:val="24"/>
        </w:rPr>
        <w:t xml:space="preserve"> Il criterio che distingue omologia da analogia si applica anche al lessico, e ha una forma sola. Due testi che parlano entrambi di rivoluzione e di ordine sono omologhi se discendono da una fonte comune dimostrabile, analoghi se il tema li ha resi simili per convergenza. Qui manca ogni tramite: nessuna lettura comune documentata, nessun corrispondente condiviso, nessuna citazione reciproca. Il caso resta di analogia pura, e va classificato così.</w:t>
      </w:r>
    </w:p>
    <w:p>
      <w:pPr>
        <w:spacing w:after="120" w:line="276"/>
        <w:jc w:val="both"/>
      </w:pPr>
      <w:r>
        <w:rPr>
          <w:rFonts w:ascii="Barlow Semi Condensed" w:cs="Barlow Semi Condensed" w:eastAsia="Barlow Semi Condensed" w:hAnsi="Barlow Semi Condensed"/>
          <w:b/>
          <w:bCs/>
          <w:sz w:val="24"/>
          <w:szCs w:val="24"/>
        </w:rPr>
        <w:t xml:space="preserve">1187 · L'ambasciata argentina in Guatemala.</w:t>
      </w:r>
      <w:r>
        <w:rPr>
          <w:rFonts w:ascii="Barlow Semi Condensed" w:cs="Barlow Semi Condensed" w:eastAsia="Barlow Semi Condensed" w:hAnsi="Barlow Semi Condensed"/>
          <w:sz w:val="24"/>
          <w:szCs w:val="24"/>
        </w:rPr>
        <w:t xml:space="preserve"> Il rifugio nell'ambasciata argentina dopo la caduta di Árbenz è affermazione portante dell'Integrazione, oggi su base storiografica. La sede che la documenterebbe è precisa: l'archivio del Ministero degli Esteri argentino, fondo dell'ambasciata in Guatemala, annata 1954, con gli elenchi degli asilati e la corrispondenza sui salvacondotti. Quelle liste porterebbero un nome e una data, e trasformerebbero un episodio biografico in un atto amministrativo verificabile.</w:t>
      </w:r>
    </w:p>
    <w:p>
      <w:pPr>
        <w:spacing w:after="120" w:line="276"/>
        <w:jc w:val="both"/>
      </w:pPr>
      <w:r>
        <w:rPr>
          <w:rFonts w:ascii="Barlow Semi Condensed" w:cs="Barlow Semi Condensed" w:eastAsia="Barlow Semi Condensed" w:hAnsi="Barlow Semi Condensed"/>
          <w:b/>
          <w:bCs/>
          <w:sz w:val="24"/>
          <w:szCs w:val="24"/>
        </w:rPr>
        <w:t xml:space="preserve">1188 · Gli archivi guatemaltechi.</w:t>
      </w:r>
      <w:r>
        <w:rPr>
          <w:rFonts w:ascii="Barlow Semi Condensed" w:cs="Barlow Semi Condensed" w:eastAsia="Barlow Semi Condensed" w:hAnsi="Barlow Semi Condensed"/>
          <w:sz w:val="24"/>
          <w:szCs w:val="24"/>
        </w:rPr>
        <w:t xml:space="preserve"> Sul versante locale due depositi reggerebbero la verifica del passaggio: l'Archivo General de Centro América per le pratiche di soggiorno degli stranieri, e l'Archivio storico della Polizia Nazionale del Guatemala, riaperto nel 2005, per le schedature del 1954. Il quesito da portarvi è uno e non deve gonfiarsi: esiste una scheda intestata a Ernesto Guevara de la Serna, e che cosa contiene. Ogni domanda ulteriore va posta dopo aver visto la scheda.</w:t>
      </w:r>
    </w:p>
    <w:p>
      <w:pPr>
        <w:spacing w:after="120" w:line="276"/>
        <w:jc w:val="both"/>
      </w:pPr>
      <w:r>
        <w:rPr>
          <w:rFonts w:ascii="Barlow Semi Condensed" w:cs="Barlow Semi Condensed" w:eastAsia="Barlow Semi Condensed" w:hAnsi="Barlow Semi Condensed"/>
          <w:b/>
          <w:bCs/>
          <w:sz w:val="24"/>
          <w:szCs w:val="24"/>
        </w:rPr>
        <w:t xml:space="preserve">1189 · Hilda Gadea e i fascicoli.</w:t>
      </w:r>
      <w:r>
        <w:rPr>
          <w:rFonts w:ascii="Barlow Semi Condensed" w:cs="Barlow Semi Condensed" w:eastAsia="Barlow Semi Condensed" w:hAnsi="Barlow Semi Condensed"/>
          <w:sz w:val="24"/>
          <w:szCs w:val="24"/>
        </w:rPr>
        <w:t xml:space="preserve"> L'incontro con l'economista peruviana Hilda Gadea, militante dell'APRA, e la guida che ella esercitò sulle letture marxiste sono documentati dal territorio. La sua militanza è un fatto e non trasferisce nulla a chi le stava accanto. Se esistono fascicoli statunitensi su di lei per gli anni guatemaltechi e messicani, vanno cercati per accesso agli atti, e vanno letti sapendo che un fascicolo attesta un'attività di schedatura, non una condotta dello schedato.</w:t>
      </w:r>
    </w:p>
    <w:p>
      <w:pPr>
        <w:spacing w:after="120" w:line="276"/>
        <w:jc w:val="both"/>
      </w:pPr>
      <w:r>
        <w:rPr>
          <w:rFonts w:ascii="Barlow Semi Condensed" w:cs="Barlow Semi Condensed" w:eastAsia="Barlow Semi Condensed" w:hAnsi="Barlow Semi Condensed"/>
          <w:b/>
          <w:bCs/>
          <w:sz w:val="24"/>
          <w:szCs w:val="24"/>
        </w:rPr>
        <w:t xml:space="preserve">1190 · La lettera alla zia Beatriz.</w:t>
      </w:r>
      <w:r>
        <w:rPr>
          <w:rFonts w:ascii="Barlow Semi Condensed" w:cs="Barlow Semi Condensed" w:eastAsia="Barlow Semi Condensed" w:hAnsi="Barlow Semi Condensed"/>
          <w:sz w:val="24"/>
          <w:szCs w:val="24"/>
        </w:rPr>
        <w:t xml:space="preserve"> È il solo testo di mano propria che il territorio cita per il 1954, ed è per questo il documento su cui provare il piano 1. Il test è semplice e conclusivo: se in quella lettera, o nell'epistolario di quell'anno conservato al Centro de Estudios Che Guevara, comparisse la controparte, esisterebbe un ponte diretto. Non compare, e non poteva comparire. L'esito negativo si registra come acquisizione, non come nulla.</w:t>
      </w:r>
    </w:p>
    <w:p>
      <w:pPr>
        <w:spacing w:after="120" w:line="276"/>
        <w:jc w:val="both"/>
      </w:pPr>
      <w:r>
        <w:rPr>
          <w:rFonts w:ascii="Barlow Semi Condensed" w:cs="Barlow Semi Condensed" w:eastAsia="Barlow Semi Condensed" w:hAnsi="Barlow Semi Condensed"/>
          <w:b/>
          <w:bCs/>
          <w:sz w:val="24"/>
          <w:szCs w:val="24"/>
        </w:rPr>
        <w:t xml:space="preserve">1191 · La cronologia che salta il Guatemala.</w:t>
      </w:r>
      <w:r>
        <w:rPr>
          <w:rFonts w:ascii="Barlow Semi Condensed" w:cs="Barlow Semi Condensed" w:eastAsia="Barlow Semi Condensed" w:hAnsi="Barlow Semi Condensed"/>
          <w:sz w:val="24"/>
          <w:szCs w:val="24"/>
        </w:rPr>
        <w:t xml:space="preserve"> Divergenza interna al corpus, riportata e non sciolta. La cronologia sinottica </w:t>
      </w:r>
      <w:r>
        <w:rPr>
          <w:rFonts w:ascii="Barlow Semi Condensed" w:cs="Barlow Semi Condensed" w:eastAsia="Barlow Semi Condensed" w:hAnsi="Barlow Semi Condensed"/>
          <w:i/>
          <w:iCs/>
          <w:sz w:val="24"/>
          <w:szCs w:val="24"/>
        </w:rPr>
        <w:t xml:space="preserve">cronologia-guevara-moro.html</w:t>
      </w:r>
      <w:r>
        <w:rPr>
          <w:rFonts w:ascii="Barlow Semi Condensed" w:cs="Barlow Semi Condensed" w:eastAsia="Barlow Semi Condensed" w:hAnsi="Barlow Semi Condensed"/>
          <w:sz w:val="24"/>
          <w:szCs w:val="24"/>
        </w:rPr>
        <w:t xml:space="preserve"> colloca sotto la fascia «Formazione 1946-1955» due sole voci guevariane, gli studi con i viaggi e poi il Messico, e non registra né il Guatemala né l'operazione del giugno 1954, che il territorio invece qualifica come cesura. Le due rese vanno allineate, e finché non lo sono chi cita il corpus deve dire quale delle due sta citando.</w:t>
      </w:r>
    </w:p>
    <w:p>
      <w:pPr>
        <w:spacing w:after="120" w:line="276"/>
        <w:jc w:val="both"/>
      </w:pPr>
      <w:r>
        <w:rPr>
          <w:rFonts w:ascii="Barlow Semi Condensed" w:cs="Barlow Semi Condensed" w:eastAsia="Barlow Semi Condensed" w:hAnsi="Barlow Semi Condensed"/>
          <w:b/>
          <w:bCs/>
          <w:sz w:val="24"/>
          <w:szCs w:val="24"/>
        </w:rPr>
        <w:t xml:space="preserve">1192 · Caduto senza combattere.</w:t>
      </w:r>
      <w:r>
        <w:rPr>
          <w:rFonts w:ascii="Barlow Semi Condensed" w:cs="Barlow Semi Condensed" w:eastAsia="Barlow Semi Condensed" w:hAnsi="Barlow Semi Condensed"/>
          <w:sz w:val="24"/>
          <w:szCs w:val="24"/>
        </w:rPr>
        <w:t xml:space="preserve"> La formula con cui il documento liquida la fine di Árbenz — caduto senza combattere — è sintesi storiografica, non accertamento, e in quanto tale porta un grado inferiore rispetto alle date circostanti. Il bersaglio che ne deriva è definito: i verbali dell'esercito guatemalteco e la corrispondenza diplomatica del giugno-luglio 1954 direbbero che cosa avvenne in quei giorni. Una formula riassuntiva non va citata come se fosse un fatto verificato.</w:t>
      </w:r>
    </w:p>
    <w:p>
      <w:pPr>
        <w:spacing w:after="120" w:line="276"/>
        <w:jc w:val="both"/>
      </w:pPr>
      <w:r>
        <w:rPr>
          <w:rFonts w:ascii="Barlow Semi Condensed" w:cs="Barlow Semi Condensed" w:eastAsia="Barlow Semi Condensed" w:hAnsi="Barlow Semi Condensed"/>
          <w:b/>
          <w:bCs/>
          <w:sz w:val="24"/>
          <w:szCs w:val="24"/>
        </w:rPr>
        <w:t xml:space="preserve">1193 · Il valico del 21 settembre 1954.</w:t>
      </w:r>
      <w:r>
        <w:rPr>
          <w:rFonts w:ascii="Barlow Semi Condensed" w:cs="Barlow Semi Condensed" w:eastAsia="Barlow Semi Condensed" w:hAnsi="Barlow Semi Condensed"/>
          <w:sz w:val="24"/>
          <w:szCs w:val="24"/>
        </w:rPr>
        <w:t xml:space="preserve"> La data di ingresso in Messico chiude il territorio ed è la sola data del 1954 che un registro amministrativo può confermare. Le sedi sono messicane: i registri migratori e i fondi della Dirección General de Investigaciones Políticas y Sociales e della Dirección Federal de Seguridad, conservati all'Archivo General de la Nación di Città del Messico. Da quel giorno in poi il soggetto è schedabile, e comincia un altro territorio del corpus.</w:t>
      </w:r>
    </w:p>
    <w:p>
      <w:pPr>
        <w:spacing w:after="120" w:line="276"/>
        <w:jc w:val="both"/>
      </w:pPr>
      <w:r>
        <w:rPr>
          <w:rFonts w:ascii="Barlow Semi Condensed" w:cs="Barlow Semi Condensed" w:eastAsia="Barlow Semi Condensed" w:hAnsi="Barlow Semi Condensed"/>
          <w:b/>
          <w:bCs/>
          <w:sz w:val="24"/>
          <w:szCs w:val="24"/>
        </w:rPr>
        <w:t xml:space="preserve">1194 · La giunzione con il territorio successivo.</w:t>
      </w:r>
      <w:r>
        <w:rPr>
          <w:rFonts w:ascii="Barlow Semi Condensed" w:cs="Barlow Semi Condensed" w:eastAsia="Barlow Semi Condensed" w:hAnsi="Barlow Semi Condensed"/>
          <w:sz w:val="24"/>
          <w:szCs w:val="24"/>
        </w:rPr>
        <w:t xml:space="preserve"> Il file dichiara esso stesso la propria saldatura col rapporto sul periodo messicano e avanero, e questa serie si ferma dove il file si ferma. Non si importano qui gli accertamenti del 1955-1965, né le correzioni applicate a quel documento — l'età di Fidel Castro al primo incontro, la guardiania al Fondo de Cultura Económica — perché appartengono a un'altra scheda e a un'altra serie. Sconfinare significherebbe triangolare due volte lo stesso dato.</w:t>
      </w:r>
    </w:p>
    <w:p>
      <w:pPr>
        <w:spacing w:after="120" w:line="276"/>
        <w:jc w:val="both"/>
      </w:pPr>
      <w:r>
        <w:rPr>
          <w:rFonts w:ascii="Barlow Semi Condensed" w:cs="Barlow Semi Condensed" w:eastAsia="Barlow Semi Condensed" w:hAnsi="Barlow Semi Condensed"/>
          <w:b/>
          <w:bCs/>
          <w:sz w:val="24"/>
          <w:szCs w:val="24"/>
        </w:rPr>
        <w:t xml:space="preserve">1195 · Il fascicolo federale su Guevara.</w:t>
      </w:r>
      <w:r>
        <w:rPr>
          <w:rFonts w:ascii="Barlow Semi Condensed" w:cs="Barlow Semi Condensed" w:eastAsia="Barlow Semi Condensed" w:hAnsi="Barlow Semi Condensed"/>
          <w:sz w:val="24"/>
          <w:szCs w:val="24"/>
        </w:rPr>
        <w:t xml:space="preserve"> Esistono fascicoli statunitensi intestati al soggetto biografico del territorio, aperti però quando egli divenne rilevante, cioè dalla metà degli anni Cinquanta. Il quesito da portare alla sala di lettura dell'ufficio federale d'investigazione e agli archivi di College Park è circoscritto alla data d'apertura: se il primo documento è posteriore al 1954, l'intero territorio resta fuori dalla portata di quelle carte, e va detto prima di consultarle.</w:t>
      </w:r>
    </w:p>
    <w:p>
      <w:pPr>
        <w:spacing w:after="120" w:line="276"/>
        <w:jc w:val="both"/>
      </w:pPr>
      <w:r>
        <w:rPr>
          <w:rFonts w:ascii="Barlow Semi Condensed" w:cs="Barlow Semi Condensed" w:eastAsia="Barlow Semi Condensed" w:hAnsi="Barlow Semi Condensed"/>
          <w:b/>
          <w:bCs/>
          <w:sz w:val="24"/>
          <w:szCs w:val="24"/>
        </w:rPr>
        <w:t xml:space="preserve">1196 · Il versante americano, bilancio negativo.</w:t>
      </w:r>
      <w:r>
        <w:rPr>
          <w:rFonts w:ascii="Barlow Semi Condensed" w:cs="Barlow Semi Condensed" w:eastAsia="Barlow Semi Condensed" w:hAnsi="Barlow Semi Condensed"/>
          <w:sz w:val="24"/>
          <w:szCs w:val="24"/>
        </w:rPr>
        <w:t xml:space="preserve"> Riassunto di esito, con la sua misura. Sul versante statunitense il territorio offre un'operazione senza nomi propri, una compagnia commerciale e un transito aeroportuale. Non offre un solo funzionario, un solo dispaccio, una sola data di riunione. La superficie di contatto potenziale con qualunque nome del Dipartimento di Stato è perciò nulla, e sarebbe nulla per qualsiasi nome, non soltanto per quello di questa triangolazione.</w:t>
      </w:r>
    </w:p>
    <w:p>
      <w:pPr>
        <w:spacing w:after="120" w:line="276"/>
        <w:jc w:val="both"/>
      </w:pPr>
      <w:r>
        <w:rPr>
          <w:rFonts w:ascii="Barlow Semi Condensed" w:cs="Barlow Semi Condensed" w:eastAsia="Barlow Semi Condensed" w:hAnsi="Barlow Semi Condensed"/>
          <w:b/>
          <w:bCs/>
          <w:sz w:val="24"/>
          <w:szCs w:val="24"/>
        </w:rPr>
        <w:t xml:space="preserve">1197 · Le raccolte digitali cominciano nel 1969.</w:t>
      </w:r>
      <w:r>
        <w:rPr>
          <w:rFonts w:ascii="Barlow Semi Condensed" w:cs="Barlow Semi Condensed" w:eastAsia="Barlow Semi Condensed" w:hAnsi="Barlow Semi Condensed"/>
          <w:sz w:val="24"/>
          <w:szCs w:val="24"/>
        </w:rPr>
        <w:t xml:space="preserve"> Regola di lettura sugli strumenti, che vale più di molte ricerche. Le due grandi raccolte digitali dedicate al soggetto — le trascrizioni telefoniche e i verbali di colloquio — nascono con l'ingresso in carica e coprono dal 1969 in avanti. Sono perciò strutturalmente incapaci di documentare qualunque cosa in questo territorio. Interrogarle per il 1954 è chiedere a uno strumento ciò che lo strumento non contiene, e leggerne il vuoto sarebbe un errore di metodo.</w:t>
      </w:r>
    </w:p>
    <w:p>
      <w:pPr>
        <w:spacing w:after="120" w:line="276"/>
        <w:jc w:val="both"/>
      </w:pPr>
      <w:r>
        <w:rPr>
          <w:rFonts w:ascii="Barlow Semi Condensed" w:cs="Barlow Semi Condensed" w:eastAsia="Barlow Semi Condensed" w:hAnsi="Barlow Semi Condensed"/>
          <w:b/>
          <w:bCs/>
          <w:sz w:val="24"/>
          <w:szCs w:val="24"/>
        </w:rPr>
        <w:t xml:space="preserve">1198 · Yale e la Library of Congress.</w:t>
      </w:r>
      <w:r>
        <w:rPr>
          <w:rFonts w:ascii="Barlow Semi Condensed" w:cs="Barlow Semi Condensed" w:eastAsia="Barlow Semi Condensed" w:hAnsi="Barlow Semi Condensed"/>
          <w:sz w:val="24"/>
          <w:szCs w:val="24"/>
        </w:rPr>
        <w:t xml:space="preserve"> Le sole sedi che chiuderebbero davvero il versante 1928-1954 sono le carte personali depositate alla Manuscripts and Archives della Yale University Library e le carte ufficiali alla Manuscript Division della Library of Congress, queste ultime con le restrizioni d'accesso previste dall'atto di deposito. La domanda da porvi è una sola e va posta così: esiste, prima del 1955, un solo documento che nomini l'Argentina, il Guatemala o Ernesto Guevara.</w:t>
      </w:r>
    </w:p>
    <w:p>
      <w:pPr>
        <w:spacing w:after="120" w:line="276"/>
        <w:jc w:val="both"/>
      </w:pPr>
      <w:r>
        <w:rPr>
          <w:rFonts w:ascii="Barlow Semi Condensed" w:cs="Barlow Semi Condensed" w:eastAsia="Barlow Semi Condensed" w:hAnsi="Barlow Semi Condensed"/>
          <w:b/>
          <w:bCs/>
          <w:sz w:val="24"/>
          <w:szCs w:val="24"/>
        </w:rPr>
        <w:t xml:space="preserve">1199 · I tre piani, applicati al territorio.</w:t>
      </w:r>
      <w:r>
        <w:rPr>
          <w:rFonts w:ascii="Barlow Semi Condensed" w:cs="Barlow Semi Condensed" w:eastAsia="Barlow Semi Condensed" w:hAnsi="Barlow Semi Condensed"/>
          <w:sz w:val="24"/>
          <w:szCs w:val="24"/>
        </w:rPr>
        <w:t xml:space="preserve"> Bilancio della regola, esplicito. Piano 1, rapporto diretto documentato: nessuno, e nessuno è ipotizzabile. Piano 2, convergenza strutturale entro la stessa cornice: la sola guerra fredda latinoamericana, che però è cornice di un continente e non di due biografie. Piano 3, affermazione terziaria priva di riscontro: non ne circola alcuna su questo accostamento, e il corpus non ne ha raccolte. Il territorio è, in senso proprio, uno Stato Zero pieno.</w:t>
      </w:r>
    </w:p>
    <w:p>
      <w:pPr>
        <w:spacing w:after="120" w:line="276"/>
        <w:jc w:val="both"/>
      </w:pPr>
      <w:r>
        <w:rPr>
          <w:rFonts w:ascii="Barlow Semi Condensed" w:cs="Barlow Semi Condensed" w:eastAsia="Barlow Semi Condensed" w:hAnsi="Barlow Semi Condensed"/>
          <w:b/>
          <w:bCs/>
          <w:sz w:val="24"/>
          <w:szCs w:val="24"/>
        </w:rPr>
        <w:t xml:space="preserve">1200 · Dove il piano due esiste davvero.</w:t>
      </w:r>
      <w:r>
        <w:rPr>
          <w:rFonts w:ascii="Barlow Semi Condensed" w:cs="Barlow Semi Condensed" w:eastAsia="Barlow Semi Condensed" w:hAnsi="Barlow Semi Condensed"/>
          <w:sz w:val="24"/>
          <w:szCs w:val="24"/>
        </w:rPr>
        <w:t xml:space="preserve"> Va detto con precisione dove la convergenza c'è, per non gonfiarla altrove. Esiste una cornice condivisa fra il Guatemala del 1954 e il Cile del 1973: stessa potenza, stessa regione, stessa logica di contenimento, e il corpus documenta la seconda vicenda nel saggio-cerniera. La cornice però unisce due operazioni, non due persone, e la persona di questa triangolazione entra nella prima soltanto per anacronismo. La convergenza si registra al suo piano e vi resta.</w:t>
      </w:r>
    </w:p>
    <w:p>
      <w:pPr>
        <w:spacing w:after="120" w:line="276"/>
        <w:jc w:val="both"/>
      </w:pPr>
      <w:r>
        <w:rPr>
          <w:rFonts w:ascii="Barlow Semi Condensed" w:cs="Barlow Semi Condensed" w:eastAsia="Barlow Semi Condensed" w:hAnsi="Barlow Semi Condensed"/>
          <w:b/>
          <w:bCs/>
          <w:sz w:val="24"/>
          <w:szCs w:val="24"/>
        </w:rPr>
        <w:t xml:space="preserve">1201 · Il 1954 come anno comune.</w:t>
      </w:r>
      <w:r>
        <w:rPr>
          <w:rFonts w:ascii="Barlow Semi Condensed" w:cs="Barlow Semi Condensed" w:eastAsia="Barlow Semi Condensed" w:hAnsi="Barlow Semi Condensed"/>
          <w:sz w:val="24"/>
          <w:szCs w:val="24"/>
        </w:rPr>
        <w:t xml:space="preserve"> Questo territorio si chiude nel 1954 e in quell'anno l'altro nome consegue il dottorato: la coincidenza è reale ed è priva di significato. La contemporaneità non è prova di nesso, e questa è la sua esemplificazione più pulita in tutto il corpus, perché i due eventi appartengono a continenti, a lingue e a ordini di grandezza diversi. Chi la citasse come indizio avrebbe già dichiarato il proprio metodo.</w:t>
      </w:r>
    </w:p>
    <w:p>
      <w:pPr>
        <w:spacing w:after="120" w:line="276"/>
        <w:jc w:val="both"/>
      </w:pPr>
      <w:r>
        <w:rPr>
          <w:rFonts w:ascii="Barlow Semi Condensed" w:cs="Barlow Semi Condensed" w:eastAsia="Barlow Semi Condensed" w:hAnsi="Barlow Semi Condensed"/>
          <w:b/>
          <w:bCs/>
          <w:sz w:val="24"/>
          <w:szCs w:val="24"/>
        </w:rPr>
        <w:t xml:space="preserve">1202 · La nota di revisione come modello.</w:t>
      </w:r>
      <w:r>
        <w:rPr>
          <w:rFonts w:ascii="Barlow Semi Condensed" w:cs="Barlow Semi Condensed" w:eastAsia="Barlow Semi Condensed" w:hAnsi="Barlow Semi Condensed"/>
          <w:sz w:val="24"/>
          <w:szCs w:val="24"/>
        </w:rPr>
        <w:t xml:space="preserve"> Il territorio porta in coda una nota che dichiara la lezione originaria, la lezione corretta, la fonte e la ragione: i figli del secondo matrimonio di Guevara Lynch erano tre, non quattro. È esattamente il modulo prescritto dal blocco 624 della prima campagna. Va segnalato come esempio riuscito, perché una correzione senza lezione originaria non è verificabile e una correzione senza data non è collocabile fra le revisioni successive.</w:t>
      </w:r>
    </w:p>
    <w:p>
      <w:pPr>
        <w:spacing w:after="120" w:line="276"/>
        <w:jc w:val="both"/>
      </w:pPr>
      <w:r>
        <w:rPr>
          <w:rFonts w:ascii="Barlow Semi Condensed" w:cs="Barlow Semi Condensed" w:eastAsia="Barlow Semi Condensed" w:hAnsi="Barlow Semi Condensed"/>
          <w:b/>
          <w:bCs/>
          <w:sz w:val="24"/>
          <w:szCs w:val="24"/>
        </w:rPr>
        <w:t xml:space="preserve">1203 · Il nodo I-4 e la ricaduta.</w:t>
      </w:r>
      <w:r>
        <w:rPr>
          <w:rFonts w:ascii="Barlow Semi Condensed" w:cs="Barlow Semi Condensed" w:eastAsia="Barlow Semi Condensed" w:hAnsi="Barlow Semi Condensed"/>
          <w:sz w:val="24"/>
          <w:szCs w:val="24"/>
        </w:rPr>
        <w:t xml:space="preserve"> La correzione discende dal nodo I-4 della triangolazione Guevara-Moro, che aveva rilevato l'imprecisione, e i tre nomi — Ramón, María Victoria e Ramiro, dalla pittrice Ana María Erra — sono ora nel testo. Resta un accertamento minore da fare in sede propria: gli atti di nascita presso il Registro Civil argentino, che chiuderebbero la questione senza dipendere dalla memorialistica familiare oggi utilizzata.</w:t>
      </w:r>
    </w:p>
    <w:p>
      <w:pPr>
        <w:spacing w:after="120" w:line="276"/>
        <w:jc w:val="both"/>
      </w:pPr>
      <w:r>
        <w:rPr>
          <w:rFonts w:ascii="Barlow Semi Condensed" w:cs="Barlow Semi Condensed" w:eastAsia="Barlow Semi Condensed" w:hAnsi="Barlow Semi Condensed"/>
          <w:b/>
          <w:bCs/>
          <w:sz w:val="24"/>
          <w:szCs w:val="24"/>
        </w:rPr>
        <w:t xml:space="preserve">1204 · Il nodo I-8, troncature e chiusure.</w:t>
      </w:r>
      <w:r>
        <w:rPr>
          <w:rFonts w:ascii="Barlow Semi Condensed" w:cs="Barlow Semi Condensed" w:eastAsia="Barlow Semi Condensed" w:hAnsi="Barlow Semi Condensed"/>
          <w:sz w:val="24"/>
          <w:szCs w:val="24"/>
        </w:rPr>
        <w:t xml:space="preserve"> Al nodo I-8 il corpus registrava che la stesura originaria si interrompeva al 1934 e che alcuni tratti della vita non erano coperti. L'Integrazione del 24 agosto 2026 ha chiuso il tratto 1943-1954 e va dato atto della chiusura. Resta però il divario di grado: la parte anteriore al 1934 è prosa d'autore documentata, la parte successiva è ricostruzione su tre biografie. Non sono la stessa cosa e non vanno citate allo stesso modo.</w:t>
      </w:r>
    </w:p>
    <w:p>
      <w:pPr>
        <w:spacing w:after="120" w:line="276"/>
        <w:jc w:val="both"/>
      </w:pPr>
      <w:r>
        <w:rPr>
          <w:rFonts w:ascii="Barlow Semi Condensed" w:cs="Barlow Semi Condensed" w:eastAsia="Barlow Semi Condensed" w:hAnsi="Barlow Semi Condensed"/>
          <w:b/>
          <w:bCs/>
          <w:sz w:val="24"/>
          <w:szCs w:val="24"/>
        </w:rPr>
        <w:t xml:space="preserve">1205 · L'avviso onomastico del nodo E-3.</w:t>
      </w:r>
      <w:r>
        <w:rPr>
          <w:rFonts w:ascii="Barlow Semi Condensed" w:cs="Barlow Semi Condensed" w:eastAsia="Barlow Semi Condensed" w:hAnsi="Barlow Semi Condensed"/>
          <w:sz w:val="24"/>
          <w:szCs w:val="24"/>
        </w:rPr>
        <w:t xml:space="preserve"> Il nodo E-3 insegnò al corpus che un nome sbagliato non produce un dettaglio sbagliato ma un fatto inesistente: Alejandro Orfila per Arnaldo Orfila Reynal, due persone diverse. In questo territorio i nomi a rischio sono interni alla famiglia, perché si ripetono: Ernesto padre ed Ernesto figlio, Celia madre e Celia sorella, Ana María sorella nata nel 1934 e Ana María Erra seconda moglie del padre. Ogni citazione ne indichi il ruolo.</w:t>
      </w:r>
    </w:p>
    <w:p>
      <w:pPr>
        <w:spacing w:after="120" w:line="276"/>
        <w:jc w:val="both"/>
      </w:pPr>
      <w:r>
        <w:rPr>
          <w:rFonts w:ascii="Barlow Semi Condensed" w:cs="Barlow Semi Condensed" w:eastAsia="Barlow Semi Condensed" w:hAnsi="Barlow Semi Condensed"/>
          <w:b/>
          <w:bCs/>
          <w:sz w:val="24"/>
          <w:szCs w:val="24"/>
        </w:rPr>
        <w:t xml:space="preserve">1206 · Gli omonimi negli archivi del 1954.</w:t>
      </w:r>
      <w:r>
        <w:rPr>
          <w:rFonts w:ascii="Barlow Semi Condensed" w:cs="Barlow Semi Condensed" w:eastAsia="Barlow Semi Condensed" w:hAnsi="Barlow Semi Condensed"/>
          <w:sz w:val="24"/>
          <w:szCs w:val="24"/>
        </w:rPr>
        <w:t xml:space="preserve"> Ne discende una prescrizione operativa per chiunque interroghi fondi statunitensi o guatemaltechi su quell'anno. La stringa «Guevara» è cognome diffusissimo in America centrale e restituirà omonimi in quantità; la stringa «Che» è ancora inutilizzabile nel 1954, perché il soprannome nascerà nell'ambiente degli esuli in Messico. Si cerchi per nome completo e data di nascita, si dichiarino le varianti escluse, e si conti quanti falsi positivi la ricerca ha prodotto.</w:t>
      </w:r>
    </w:p>
    <w:p>
      <w:pPr>
        <w:spacing w:after="120" w:line="276"/>
        <w:jc w:val="both"/>
      </w:pPr>
      <w:r>
        <w:rPr>
          <w:rFonts w:ascii="Barlow Semi Condensed" w:cs="Barlow Semi Condensed" w:eastAsia="Barlow Semi Condensed" w:hAnsi="Barlow Semi Condensed"/>
          <w:b/>
          <w:bCs/>
          <w:sz w:val="24"/>
          <w:szCs w:val="24"/>
        </w:rPr>
        <w:t xml:space="preserve">1207 · Il grado dichiarato del territorio.</w:t>
      </w:r>
      <w:r>
        <w:rPr>
          <w:rFonts w:ascii="Barlow Semi Condensed" w:cs="Barlow Semi Condensed" w:eastAsia="Barlow Semi Condensed" w:hAnsi="Barlow Semi Condensed"/>
          <w:sz w:val="24"/>
          <w:szCs w:val="24"/>
        </w:rPr>
        <w:t xml:space="preserve"> La tavola della guida alla lettura assegna a questa scheda il grado prevalente «documentato / storiografico». La qualifica ha una conseguenza diretta sulla triangolazione: un territorio storiografico regge accertamenti biografici e non regge attribuzioni. Da esso si possono ricavare quesiti d'archivio, mai imputazioni; e poiché qui non vi è alcun giudicato di alcun genere, la regola di fermarsi al giudicato coincide con la regola di fermarsi al documento.</w:t>
      </w:r>
    </w:p>
    <w:p>
      <w:pPr>
        <w:spacing w:after="120" w:line="276"/>
        <w:jc w:val="both"/>
      </w:pPr>
      <w:r>
        <w:rPr>
          <w:rFonts w:ascii="Barlow Semi Condensed" w:cs="Barlow Semi Condensed" w:eastAsia="Barlow Semi Condensed" w:hAnsi="Barlow Semi Condensed"/>
          <w:b/>
          <w:bCs/>
          <w:sz w:val="24"/>
          <w:szCs w:val="24"/>
        </w:rPr>
        <w:t xml:space="preserve">1208 · Gli indici dei nomi da spogliare.</w:t>
      </w:r>
      <w:r>
        <w:rPr>
          <w:rFonts w:ascii="Barlow Semi Condensed" w:cs="Barlow Semi Condensed" w:eastAsia="Barlow Semi Condensed" w:hAnsi="Barlow Semi Condensed"/>
          <w:sz w:val="24"/>
          <w:szCs w:val="24"/>
        </w:rPr>
        <w:t xml:space="preserve"> Bersaglio bibliografico, eseguibile in biblioteca e non ancora eseguito. Le tre biografie di riferimento del corpus guevariano — Anderson, Taibo II, Castañeda — hanno indici analitici dei nomi. Si accerti se il nome oggetto di questa triangolazione vi compaia, a quale pagina e in quale contesto cronologico. Un'occorrenza posteriore al 1959 non riguarda questo territorio; un'occorrenza anteriore al 1955 sarebbe una notizia, e finora nessuno l'ha segnalata.</w:t>
      </w:r>
    </w:p>
    <w:p>
      <w:pPr>
        <w:spacing w:after="120" w:line="276"/>
        <w:jc w:val="both"/>
      </w:pPr>
      <w:r>
        <w:rPr>
          <w:rFonts w:ascii="Barlow Semi Condensed" w:cs="Barlow Semi Condensed" w:eastAsia="Barlow Semi Condensed" w:hAnsi="Barlow Semi Condensed"/>
          <w:b/>
          <w:bCs/>
          <w:sz w:val="24"/>
          <w:szCs w:val="24"/>
        </w:rPr>
        <w:t xml:space="preserve">1209 · Nessuna colpa per l'uso postumo.</w:t>
      </w:r>
      <w:r>
        <w:rPr>
          <w:rFonts w:ascii="Barlow Semi Condensed" w:cs="Barlow Semi Condensed" w:eastAsia="Barlow Semi Condensed" w:hAnsi="Barlow Semi Condensed"/>
          <w:sz w:val="24"/>
          <w:szCs w:val="24"/>
        </w:rPr>
        <w:t xml:space="preserve"> Il blocco 960 vale anche a rovescio ed è utile ricordarlo proprio qui, dove tutto è anteriore. Chi visse fra il 1928 e il 1954 non risponde di ciò che accadde dopo, e ciò che accadde dopo non retroagisce a colorare un'infanzia. Vale per il bambino asmatico di Alta Gracia e vale per lo studente di Harvard: nessuno dei due era, in quegli anni, il personaggio che il decennio successivo avrebbe costruito.</w:t>
      </w:r>
    </w:p>
    <w:p>
      <w:pPr>
        <w:spacing w:after="120" w:line="276"/>
        <w:jc w:val="both"/>
      </w:pPr>
      <w:r>
        <w:rPr>
          <w:rFonts w:ascii="Barlow Semi Condensed" w:cs="Barlow Semi Condensed" w:eastAsia="Barlow Semi Condensed" w:hAnsi="Barlow Semi Condensed"/>
          <w:b/>
          <w:bCs/>
          <w:sz w:val="24"/>
          <w:szCs w:val="24"/>
        </w:rPr>
        <w:t xml:space="preserve">1210 · Il vettore non tocca questo territorio.</w:t>
      </w:r>
      <w:r>
        <w:rPr>
          <w:rFonts w:ascii="Barlow Semi Condensed" w:cs="Barlow Semi Condensed" w:eastAsia="Barlow Semi Condensed" w:hAnsi="Barlow Semi Condensed"/>
          <w:sz w:val="24"/>
          <w:szCs w:val="24"/>
        </w:rPr>
        <w:t xml:space="preserve"> La trasmissione italiana del mito comincia nel 1967 con la fotografia di Alberto Korda fatta manifesto e nel 1968 con l'edizione del diario boliviano, come registra il nodo M-2. Nessuna di queste operazioni ha alcun rapporto col periodo qui esaminato, e nessuna può essere retrodatata. Il territorio 1928-1954 è anteriore all'esistenza stessa del vettore: è il caso in cui la cronologia, da sola, chiude ogni ipotesi di canale.</w:t>
      </w:r>
    </w:p>
    <w:p>
      <w:pPr>
        <w:spacing w:after="120" w:line="276"/>
        <w:jc w:val="both"/>
      </w:pPr>
      <w:r>
        <w:rPr>
          <w:rFonts w:ascii="Barlow Semi Condensed" w:cs="Barlow Semi Condensed" w:eastAsia="Barlow Semi Condensed" w:hAnsi="Barlow Semi Condensed"/>
          <w:b/>
          <w:bCs/>
          <w:sz w:val="24"/>
          <w:szCs w:val="24"/>
        </w:rPr>
        <w:t xml:space="preserve">1211 · Il modello dichiarato è del 1970.</w:t>
      </w:r>
      <w:r>
        <w:rPr>
          <w:rFonts w:ascii="Barlow Semi Condensed" w:cs="Barlow Semi Condensed" w:eastAsia="Barlow Semi Condensed" w:hAnsi="Barlow Semi Condensed"/>
          <w:sz w:val="24"/>
          <w:szCs w:val="24"/>
        </w:rPr>
        <w:t xml:space="preserve"> Analogamente, la filiazione dottrinale che il corpus documenta al più alto grado — le Brigate Rosse che assumono Guevara a modello individuale al convegno di Pecorile dell'agosto 1970 — sta sedici anni oltre il termine di questo territorio. Il blocco 951 ne trae il divieto: da un modello dichiarato non discende responsabilità. Qui se ne trae un divieto ulteriore, cioè che nulla del 1928-1954 può essere letto alla luce di quella scelta altrui.</w:t>
      </w:r>
    </w:p>
    <w:p>
      <w:pPr>
        <w:spacing w:after="120" w:line="276"/>
        <w:jc w:val="both"/>
      </w:pPr>
      <w:r>
        <w:rPr>
          <w:rFonts w:ascii="Barlow Semi Condensed" w:cs="Barlow Semi Condensed" w:eastAsia="Barlow Semi Condensed" w:hAnsi="Barlow Semi Condensed"/>
          <w:b/>
          <w:bCs/>
          <w:sz w:val="24"/>
          <w:szCs w:val="24"/>
        </w:rPr>
        <w:t xml:space="preserve">1212 · Conto dei bersagli prodotti.</w:t>
      </w:r>
      <w:r>
        <w:rPr>
          <w:rFonts w:ascii="Barlow Semi Condensed" w:cs="Barlow Semi Condensed" w:eastAsia="Barlow Semi Condensed" w:hAnsi="Barlow Semi Condensed"/>
          <w:sz w:val="24"/>
          <w:szCs w:val="24"/>
        </w:rPr>
        <w:t xml:space="preserve"> La lente si giudica dalla resa e il conto si fa in chiusura. Questa serie ha prodotto quesiti d'archivio nuovi su sedi nominate una per una — Rosario, Alta Gracia, Córdoba, Buenos Aires, Città del Guatemala, l'archivio della Cancelleria argentina, l'Avana, Città del Messico, e sul versante statunitense College Park con Abilene, Harvard, Yale e la Library of Congress. Nessuno di essi produce un ponte, e diversi migliorerebbero comunque il territorio.</w:t>
      </w:r>
    </w:p>
    <w:p>
      <w:pPr>
        <w:spacing w:after="120" w:line="276"/>
        <w:jc w:val="both"/>
      </w:pPr>
      <w:r>
        <w:rPr>
          <w:rFonts w:ascii="Barlow Semi Condensed" w:cs="Barlow Semi Condensed" w:eastAsia="Barlow Semi Condensed" w:hAnsi="Barlow Semi Condensed"/>
          <w:b/>
          <w:bCs/>
          <w:sz w:val="24"/>
          <w:szCs w:val="24"/>
        </w:rPr>
        <w:t xml:space="preserve">1213 · Registro delle correzioni della serie.</w:t>
      </w:r>
      <w:r>
        <w:rPr>
          <w:rFonts w:ascii="Barlow Semi Condensed" w:cs="Barlow Semi Condensed" w:eastAsia="Barlow Semi Condensed" w:hAnsi="Barlow Semi Condensed"/>
          <w:sz w:val="24"/>
          <w:szCs w:val="24"/>
        </w:rPr>
        <w:t xml:space="preserve"> Il registro si apre e si chiude vuoto quanto agli errori di fatto: nella lettura integrale del file non è emersa alcuna affermazione da correggere, e la nota di revisione sui tre figli risulta già applicata. Si segnala invece una divergenza interna, fra il territorio e la cronologia sinottica sul Guatemala del 1954, che non è errore dell'uno o dell'altra ma disallineamento di copertura, e va risolto in sede editoriale.</w:t>
      </w:r>
    </w:p>
    <w:p>
      <w:pPr>
        <w:spacing w:after="120" w:line="276"/>
        <w:jc w:val="both"/>
      </w:pPr>
      <w:r>
        <w:rPr>
          <w:rFonts w:ascii="Barlow Semi Condensed" w:cs="Barlow Semi Condensed" w:eastAsia="Barlow Semi Condensed" w:hAnsi="Barlow Semi Condensed"/>
          <w:b/>
          <w:bCs/>
          <w:sz w:val="24"/>
          <w:szCs w:val="24"/>
        </w:rPr>
        <w:t xml:space="preserve">1214 · La condizione di riapertura.</w:t>
      </w:r>
      <w:r>
        <w:rPr>
          <w:rFonts w:ascii="Barlow Semi Condensed" w:cs="Barlow Semi Condensed" w:eastAsia="Barlow Semi Condensed" w:hAnsi="Barlow Semi Condensed"/>
          <w:sz w:val="24"/>
          <w:szCs w:val="24"/>
        </w:rPr>
        <w:t xml:space="preserve"> Una serie chiusa in Stato Zero non è una serie archiviata, e si dice a quali condizioni torna aperta. Basterebbe una sola cosa: un documento anteriore al 1955, di provenienza accertata, che nomini insieme le due parti. Se dovesse emergere da Yale, dalla Library of Congress o da uno spoglio guatemalteco, questa serie si riscrive per intero e la riscrittura si verbalizza accanto al testo attuale, che resta leggibile.</w:t>
      </w:r>
    </w:p>
    <w:p>
      <w:pPr>
        <w:spacing w:after="120" w:line="276"/>
        <w:jc w:val="both"/>
      </w:pPr>
      <w:r>
        <w:rPr>
          <w:rFonts w:ascii="Barlow Semi Condensed" w:cs="Barlow Semi Condensed" w:eastAsia="Barlow Semi Condensed" w:hAnsi="Barlow Semi Condensed"/>
          <w:b/>
          <w:bCs/>
          <w:sz w:val="24"/>
          <w:szCs w:val="24"/>
        </w:rPr>
        <w:t xml:space="preserve">1215 · L'assenza detta bene.</w:t>
      </w:r>
      <w:r>
        <w:rPr>
          <w:rFonts w:ascii="Barlow Semi Condensed" w:cs="Barlow Semi Condensed" w:eastAsia="Barlow Semi Condensed" w:hAnsi="Barlow Semi Condensed"/>
          <w:sz w:val="24"/>
          <w:szCs w:val="24"/>
        </w:rPr>
        <w:t xml:space="preserve"> Resta da dire che cosa vale questo esito. Un territorio che non contiene il nome cercato, dichiarato per intero con le stringhe interrogate, le sedi che lo chiuderebbero e le condizioni di riapertura, è più utile di qualunque ponte suggerito: toglie dal tavolo una combinazione possibile e la toglie in modo falsificabile. Il corpus considera questo un'acquisizione di pieno valore, e la serie sedicesima si consegna così.</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diciassettesima — Guevara: Messico e Avana 1954-1965</w:t>
      </w:r>
    </w:p>
    <w:p>
      <w:pPr>
        <w:spacing w:after="120" w:line="276"/>
        <w:jc w:val="both"/>
      </w:pPr>
      <w:r>
        <w:rPr>
          <w:rFonts w:ascii="Barlow Semi Condensed" w:cs="Barlow Semi Condensed" w:eastAsia="Barlow Semi Condensed" w:hAnsi="Barlow Semi Condensed"/>
          <w:i/>
          <w:iCs/>
          <w:sz w:val="24"/>
          <w:szCs w:val="24"/>
        </w:rPr>
        <w:t xml:space="preserve">Blocchi 1216-1295.</w:t>
      </w:r>
    </w:p>
    <w:p>
      <w:pPr>
        <w:spacing w:after="120" w:line="276"/>
        <w:jc w:val="both"/>
      </w:pPr>
      <w:r>
        <w:rPr>
          <w:rFonts w:ascii="Barlow Semi Condensed" w:cs="Barlow Semi Condensed" w:eastAsia="Barlow Semi Condensed" w:hAnsi="Barlow Semi Condensed"/>
          <w:b/>
          <w:bCs/>
          <w:sz w:val="24"/>
          <w:szCs w:val="24"/>
        </w:rPr>
        <w:t xml:space="preserve">1216 · Zero occorrenze, perimetro dichiarato.</w:t>
      </w:r>
      <w:r>
        <w:rPr>
          <w:rFonts w:ascii="Barlow Semi Condensed" w:cs="Barlow Semi Condensed" w:eastAsia="Barlow Semi Condensed" w:hAnsi="Barlow Semi Condensed"/>
          <w:sz w:val="24"/>
          <w:szCs w:val="24"/>
        </w:rPr>
        <w:t xml:space="preserve"> Verifica meccanica eseguita su </w:t>
      </w:r>
      <w:r>
        <w:rPr>
          <w:rFonts w:ascii="Barlow Semi Condensed" w:cs="Barlow Semi Condensed" w:eastAsia="Barlow Semi Condensed" w:hAnsi="Barlow Semi Condensed"/>
          <w:i/>
          <w:iCs/>
          <w:sz w:val="24"/>
          <w:szCs w:val="24"/>
        </w:rPr>
        <w:t xml:space="preserve">guevara-messico-avana-1954-1965.md</w:t>
      </w:r>
      <w:r>
        <w:rPr>
          <w:rFonts w:ascii="Barlow Semi Condensed" w:cs="Barlow Semi Condensed" w:eastAsia="Barlow Semi Condensed" w:hAnsi="Barlow Semi Condensed"/>
          <w:sz w:val="24"/>
          <w:szCs w:val="24"/>
        </w:rPr>
        <w:t xml:space="preserve">: la stringa «Kissinger» vi ricorre zero volte, e zero volte anche «Heinz» e «Harry». Lo Stato Zero si verbalizza col perimetro prescritto dai blocchi 233 e 285 dell'agenda di ricerca: che cosa è stato cercato, dove, quando, con quale esito. Nessuna sede d'archivio lo chiuderebbe, perché il vuoto sta nel documento del corpus e non nel mondo.</w:t>
      </w:r>
    </w:p>
    <w:p>
      <w:pPr>
        <w:spacing w:after="120" w:line="276"/>
        <w:jc w:val="both"/>
      </w:pPr>
      <w:r>
        <w:rPr>
          <w:rFonts w:ascii="Barlow Semi Condensed" w:cs="Barlow Semi Condensed" w:eastAsia="Barlow Semi Condensed" w:hAnsi="Barlow Semi Condensed"/>
          <w:b/>
          <w:bCs/>
          <w:sz w:val="24"/>
          <w:szCs w:val="24"/>
        </w:rPr>
        <w:t xml:space="preserve">1217 · Nessun uomo di Washington nel territorio.</w:t>
      </w:r>
      <w:r>
        <w:rPr>
          <w:rFonts w:ascii="Barlow Semi Condensed" w:cs="Barlow Semi Condensed" w:eastAsia="Barlow Semi Condensed" w:hAnsi="Barlow Semi Condensed"/>
          <w:sz w:val="24"/>
          <w:szCs w:val="24"/>
        </w:rPr>
        <w:t xml:space="preserve"> Estesa la verifica ai nomi che una triangolazione statunitense si aspetterebbe: Eisenhower zero, Kennedy zero, Johnson zero, Nixon zero, Rockefeller zero, Harvard zero. Il territorio assegnato non nomina un solo uomo di governo statunitense. È anzitutto un dato sulla costruzione del documento — una biografia latinoamericana scritta su fonti latinoamericane — e solo in second'ordine un dato sulla storia. Va letto in quell'ordine.</w:t>
      </w:r>
    </w:p>
    <w:p>
      <w:pPr>
        <w:spacing w:after="120" w:line="276"/>
        <w:jc w:val="both"/>
      </w:pPr>
      <w:r>
        <w:rPr>
          <w:rFonts w:ascii="Barlow Semi Condensed" w:cs="Barlow Semi Condensed" w:eastAsia="Barlow Semi Condensed" w:hAnsi="Barlow Semi Condensed"/>
          <w:b/>
          <w:bCs/>
          <w:sz w:val="24"/>
          <w:szCs w:val="24"/>
        </w:rPr>
        <w:t xml:space="preserve">1218 · L'unica sigla americana del documento.</w:t>
      </w:r>
      <w:r>
        <w:rPr>
          <w:rFonts w:ascii="Barlow Semi Condensed" w:cs="Barlow Semi Condensed" w:eastAsia="Barlow Semi Condensed" w:hAnsi="Barlow Semi Condensed"/>
          <w:sz w:val="24"/>
          <w:szCs w:val="24"/>
        </w:rPr>
        <w:t xml:space="preserve"> Una sola occorrenza statunitense attraversa il territorio: la CIA, nel passaggio sul colpo di Stato guatemalteco del 1954 e su Carlos Castillo Armas. Compare in un inciso di antefatto, prima dell'ingresso in Messico del 21 settembre 1954, e senza alcun nome individuale accanto. Un'agenzia nominata non è una persona nominata: la distinzione governa ogni inferenza che si volesse trarre da quella riga.</w:t>
      </w:r>
    </w:p>
    <w:p>
      <w:pPr>
        <w:spacing w:after="120" w:line="276"/>
        <w:jc w:val="both"/>
      </w:pPr>
      <w:r>
        <w:rPr>
          <w:rFonts w:ascii="Barlow Semi Condensed" w:cs="Barlow Semi Condensed" w:eastAsia="Barlow Semi Condensed" w:hAnsi="Barlow Semi Condensed"/>
          <w:b/>
          <w:bCs/>
          <w:sz w:val="24"/>
          <w:szCs w:val="24"/>
        </w:rPr>
        <w:t xml:space="preserve">1219 · Il vincolo delle date d'incarico.</w:t>
      </w:r>
      <w:r>
        <w:rPr>
          <w:rFonts w:ascii="Barlow Semi Condensed" w:cs="Barlow Semi Condensed" w:eastAsia="Barlow Semi Condensed" w:hAnsi="Barlow Semi Condensed"/>
          <w:sz w:val="24"/>
          <w:szCs w:val="24"/>
        </w:rPr>
        <w:t xml:space="preserve"> L'accertamento K-2 dell'opera fissa il perimetro: Assistente per la sicurezza nazionale dal 20 gennaio 1969, Segretario di Stato dal 22 settembre 1973. Il territorio si chiude nel marzo 1965 con le dimissioni dalle cariche cubane. Fra la fine del territorio e il primo incarico esecutivo corrono quasi quattro anni. Nessun atto di governo statunitense di questo arco può portare quella firma: accertamento negativo di grado alto.</w:t>
      </w:r>
    </w:p>
    <w:p>
      <w:pPr>
        <w:spacing w:after="120" w:line="276"/>
        <w:jc w:val="both"/>
      </w:pPr>
      <w:r>
        <w:rPr>
          <w:rFonts w:ascii="Barlow Semi Condensed" w:cs="Barlow Semi Condensed" w:eastAsia="Barlow Semi Condensed" w:hAnsi="Barlow Semi Condensed"/>
          <w:b/>
          <w:bCs/>
          <w:sz w:val="24"/>
          <w:szCs w:val="24"/>
        </w:rPr>
        <w:t xml:space="preserve">1220 · Il 1954 condiviso e inerte.</w:t>
      </w:r>
      <w:r>
        <w:rPr>
          <w:rFonts w:ascii="Barlow Semi Condensed" w:cs="Barlow Semi Condensed" w:eastAsia="Barlow Semi Condensed" w:hAnsi="Barlow Semi Condensed"/>
          <w:sz w:val="24"/>
          <w:szCs w:val="24"/>
        </w:rPr>
        <w:t xml:space="preserve"> Nello stesso anno in cui Guevara varca il confine messicano, a Cambridge si conclude un dottorato di storia diplomatica su Castlereagh e Metternich. La coincidenza di data è reale e completamente sterile. La contemporaneità non è prova di nesso: la regola vale qui come al blocco 388 dell'opera, e va scritta prima che la simultaneità cominci a sembrare significativa a chi legge in fretta.</w:t>
      </w:r>
    </w:p>
    <w:p>
      <w:pPr>
        <w:spacing w:after="120" w:line="276"/>
        <w:jc w:val="both"/>
      </w:pPr>
      <w:r>
        <w:rPr>
          <w:rFonts w:ascii="Barlow Semi Condensed" w:cs="Barlow Semi Condensed" w:eastAsia="Barlow Semi Condensed" w:hAnsi="Barlow Semi Condensed"/>
          <w:b/>
          <w:bCs/>
          <w:sz w:val="24"/>
          <w:szCs w:val="24"/>
        </w:rPr>
        <w:t xml:space="preserve">1221 · Le carte anteriori al 1969.</w:t>
      </w:r>
      <w:r>
        <w:rPr>
          <w:rFonts w:ascii="Barlow Semi Condensed" w:cs="Barlow Semi Condensed" w:eastAsia="Barlow Semi Condensed" w:hAnsi="Barlow Semi Condensed"/>
          <w:sz w:val="24"/>
          <w:szCs w:val="24"/>
        </w:rPr>
        <w:t xml:space="preserve"> Il quesito primario di questa serie ha una sede sola: la parte delle carte personali anteriore al 1969, depositata presso la Yale University Library, Manuscripts and Archives, con segnatura da riscontrare in sala. Domanda da portare: esiste, negli anni 1954-1965, un solo foglio che nomini Cuba, il Messico dell'esilio o Ernesto Guevara? L'attesa motivata è negativa; l'esito va verbalizzato comunque.</w:t>
      </w:r>
    </w:p>
    <w:p>
      <w:pPr>
        <w:spacing w:after="120" w:line="276"/>
        <w:jc w:val="both"/>
      </w:pPr>
      <w:r>
        <w:rPr>
          <w:rFonts w:ascii="Barlow Semi Condensed" w:cs="Barlow Semi Condensed" w:eastAsia="Barlow Semi Condensed" w:hAnsi="Barlow Semi Condensed"/>
          <w:b/>
          <w:bCs/>
          <w:sz w:val="24"/>
          <w:szCs w:val="24"/>
        </w:rPr>
        <w:t xml:space="preserve">1222 · Il deposito di Washington, con riserve.</w:t>
      </w:r>
      <w:r>
        <w:rPr>
          <w:rFonts w:ascii="Barlow Semi Condensed" w:cs="Barlow Semi Condensed" w:eastAsia="Barlow Semi Condensed" w:hAnsi="Barlow Semi Condensed"/>
          <w:sz w:val="24"/>
          <w:szCs w:val="24"/>
        </w:rPr>
        <w:t xml:space="preserve"> Distinto dal precedente e da non confondere con esso: la Manuscript Division della Library of Congress conserva il fondo maggiore, con un regime di consultazione che è stato oggetto di contenzioso e di aperture parziali. Chi vi porti il quesito 1954-1965 dichiari in premessa quali serie risultavano aperte alla data della ricerca. Un esito negativo su un fondo chiuso non è Stato Zero: è una porta.</w:t>
      </w:r>
    </w:p>
    <w:p>
      <w:pPr>
        <w:spacing w:after="120" w:line="276"/>
        <w:jc w:val="both"/>
      </w:pPr>
      <w:r>
        <w:rPr>
          <w:rFonts w:ascii="Barlow Semi Condensed" w:cs="Barlow Semi Condensed" w:eastAsia="Barlow Semi Condensed" w:hAnsi="Barlow Semi Condensed"/>
          <w:b/>
          <w:bCs/>
          <w:sz w:val="24"/>
          <w:szCs w:val="24"/>
        </w:rPr>
        <w:t xml:space="preserve">1223 · Il seminario di Harvard, liste alla mano.</w:t>
      </w:r>
      <w:r>
        <w:rPr>
          <w:rFonts w:ascii="Barlow Semi Condensed" w:cs="Barlow Semi Condensed" w:eastAsia="Barlow Semi Condensed" w:hAnsi="Barlow Semi Condensed"/>
          <w:sz w:val="24"/>
          <w:szCs w:val="24"/>
        </w:rPr>
        <w:t xml:space="preserve"> Bersaglio d'archivio nuovo, che la lente ha fatto scrivere: gli Harvard University Archives conservano le carte del seminario internazionale estivo diretto dal 1951. Si chiedano gli elenchi nominativi dei partecipanti per le annate 1954-1965 e li si confronti coi nomi del territorio. Una sola corrispondenza sposterebbe il ponte al piano 1; l'assenza completa chiuderebbe la questione con un negativo forte.</w:t>
      </w:r>
    </w:p>
    <w:p>
      <w:pPr>
        <w:spacing w:after="120" w:line="276"/>
        <w:jc w:val="both"/>
      </w:pPr>
      <w:r>
        <w:rPr>
          <w:rFonts w:ascii="Barlow Semi Condensed" w:cs="Barlow Semi Condensed" w:eastAsia="Barlow Semi Condensed" w:hAnsi="Barlow Semi Condensed"/>
          <w:b/>
          <w:bCs/>
          <w:sz w:val="24"/>
          <w:szCs w:val="24"/>
        </w:rPr>
        <w:t xml:space="preserve">1224 · Il centro di Cambridge e l'America Latina.</w:t>
      </w:r>
      <w:r>
        <w:rPr>
          <w:rFonts w:ascii="Barlow Semi Condensed" w:cs="Barlow Semi Condensed" w:eastAsia="Barlow Semi Condensed" w:hAnsi="Barlow Semi Condensed"/>
          <w:sz w:val="24"/>
          <w:szCs w:val="24"/>
        </w:rPr>
        <w:t xml:space="preserve"> Seconda porta nella stessa sede: le carte del Center for International Affairs, attivo dal 1958 sotto la direzione di Robert Bowie. Quesito: fra i programmi di ricerca del centro figura un progetto latinoamericano negli anni del territorio, e chi lo firma? La risposta attesa colloca l'istituzione su Europa, alleanza atlantica e armi nucleari. Se così fosse, il negativo diventa strutturale e non accidentale.</w:t>
      </w:r>
    </w:p>
    <w:p>
      <w:pPr>
        <w:spacing w:after="120" w:line="276"/>
        <w:jc w:val="both"/>
      </w:pPr>
      <w:r>
        <w:rPr>
          <w:rFonts w:ascii="Barlow Semi Condensed" w:cs="Barlow Semi Condensed" w:eastAsia="Barlow Semi Condensed" w:hAnsi="Barlow Semi Condensed"/>
          <w:b/>
          <w:bCs/>
          <w:sz w:val="24"/>
          <w:szCs w:val="24"/>
        </w:rPr>
        <w:t xml:space="preserve">1225 · Sleepy Hollow, e un piano due.</w:t>
      </w:r>
      <w:r>
        <w:rPr>
          <w:rFonts w:ascii="Barlow Semi Condensed" w:cs="Barlow Semi Condensed" w:eastAsia="Barlow Semi Condensed" w:hAnsi="Barlow Semi Condensed"/>
          <w:sz w:val="24"/>
          <w:szCs w:val="24"/>
        </w:rPr>
        <w:t xml:space="preserve"> Al Rockefeller Archive Center si conservano le carte del Rockefeller Brothers Fund e dello Special Studies Project del 1956-1958, di cui il nome qui triangolato fu direttore. Quel progetto produsse rapporti sullo sviluppo economico e sociale, America Latina compresa. È convergenza strutturale entro la stessa cornice — piano 2 — perché nessun documento noto vi nomina la controparte. Non si promuove: si registra e si porta in archivio.</w:t>
      </w:r>
    </w:p>
    <w:p>
      <w:pPr>
        <w:spacing w:after="120" w:line="276"/>
        <w:jc w:val="both"/>
      </w:pPr>
      <w:r>
        <w:rPr>
          <w:rFonts w:ascii="Barlow Semi Condensed" w:cs="Barlow Semi Condensed" w:eastAsia="Barlow Semi Condensed" w:hAnsi="Barlow Semi Condensed"/>
          <w:b/>
          <w:bCs/>
          <w:sz w:val="24"/>
          <w:szCs w:val="24"/>
        </w:rPr>
        <w:t xml:space="preserve">1226 · Princeton, il gruppo di studio nucleare.</w:t>
      </w:r>
      <w:r>
        <w:rPr>
          <w:rFonts w:ascii="Barlow Semi Condensed" w:cs="Barlow Semi Condensed" w:eastAsia="Barlow Semi Condensed" w:hAnsi="Barlow Semi Condensed"/>
          <w:sz w:val="24"/>
          <w:szCs w:val="24"/>
        </w:rPr>
        <w:t xml:space="preserve"> La Seeley G. Mudd Manuscript Library di Princeton conserva le carte del Council on Foreign Relations, compreso il gruppo di studio del 1955-1956 sulle armi nucleari da cui uscì il libro del 1957. Quesito verbalizzabile: in quei verbali compaiono mai Cuba, il Messico o l'esilio latinoamericano? Attesa negativa. L'appartenenza a quel consiglio, in ogni caso, non è prova di alcuna condotta.</w:t>
      </w:r>
    </w:p>
    <w:p>
      <w:pPr>
        <w:spacing w:after="120" w:line="276"/>
        <w:jc w:val="both"/>
      </w:pPr>
      <w:r>
        <w:rPr>
          <w:rFonts w:ascii="Barlow Semi Condensed" w:cs="Barlow Semi Condensed" w:eastAsia="Barlow Semi Condensed" w:hAnsi="Barlow Semi Condensed"/>
          <w:b/>
          <w:bCs/>
          <w:sz w:val="24"/>
          <w:szCs w:val="24"/>
        </w:rPr>
        <w:t xml:space="preserve">1227 · Una rivista da spogliare per intero.</w:t>
      </w:r>
      <w:r>
        <w:rPr>
          <w:rFonts w:ascii="Barlow Semi Condensed" w:cs="Barlow Semi Condensed" w:eastAsia="Barlow Semi Condensed" w:hAnsi="Barlow Semi Condensed"/>
          <w:sz w:val="24"/>
          <w:szCs w:val="24"/>
        </w:rPr>
        <w:t xml:space="preserve"> La rivista fondata a Cambridge e diretta fra il 1952 e il 1958 è un giacimento piccolo e integralmente spogliabile: poche annate, indici disponibili nelle grandi biblioteche di ricerca. Si legga sommario per sommario cercandovi l'America Latina. È il tipo di verifica che costa poco e chiude una domanda in modo definitivo, in un senso o nell'altro: per questo va fatta prima di quelle costose.</w:t>
      </w:r>
    </w:p>
    <w:p>
      <w:pPr>
        <w:spacing w:after="120" w:line="276"/>
        <w:jc w:val="both"/>
      </w:pPr>
      <w:r>
        <w:rPr>
          <w:rFonts w:ascii="Barlow Semi Condensed" w:cs="Barlow Semi Condensed" w:eastAsia="Barlow Semi Condensed" w:hAnsi="Barlow Semi Condensed"/>
          <w:b/>
          <w:bCs/>
          <w:sz w:val="24"/>
          <w:szCs w:val="24"/>
        </w:rPr>
        <w:t xml:space="preserve">1228 · Consulenza esterna e Baia dei Porci.</w:t>
      </w:r>
      <w:r>
        <w:rPr>
          <w:rFonts w:ascii="Barlow Semi Condensed" w:cs="Barlow Semi Condensed" w:eastAsia="Barlow Semi Condensed" w:hAnsi="Barlow Semi Condensed"/>
          <w:sz w:val="24"/>
          <w:szCs w:val="24"/>
        </w:rPr>
        <w:t xml:space="preserve"> Nell'aprile 1961 il territorio colloca il comando occidentale a Pinar del Río. Negli stessi mesi il nome qui triangolato risulta consulente a tempo parziale del Consiglio di sicurezza nazionale. La sede che dirime è la John F. Kennedy Presidential Library, National Security Files, coi carteggi di McGeorge Bundy: si chieda se una sola carta lo assegni al dossier cubano. Attesa negativa.</w:t>
      </w:r>
    </w:p>
    <w:p>
      <w:pPr>
        <w:spacing w:after="120" w:line="276"/>
        <w:jc w:val="both"/>
      </w:pPr>
      <w:r>
        <w:rPr>
          <w:rFonts w:ascii="Barlow Semi Condensed" w:cs="Barlow Semi Condensed" w:eastAsia="Barlow Semi Condensed" w:hAnsi="Barlow Semi Condensed"/>
          <w:b/>
          <w:bCs/>
          <w:sz w:val="24"/>
          <w:szCs w:val="24"/>
        </w:rPr>
        <w:t xml:space="preserve">1229 · Ottobre 1962, un negativo forte.</w:t>
      </w:r>
      <w:r>
        <w:rPr>
          <w:rFonts w:ascii="Barlow Semi Condensed" w:cs="Barlow Semi Condensed" w:eastAsia="Barlow Semi Condensed" w:hAnsi="Barlow Semi Condensed"/>
          <w:sz w:val="24"/>
          <w:szCs w:val="24"/>
        </w:rPr>
        <w:t xml:space="preserve"> Per la crisi dei missili l'accertamento è più solido che altrove, perché la documentazione è eccezionalmente completa: verbali, nastri presidenziali ed elenchi dei presenti alle riunioni ristrette sono pubblicati e conservati alla Kennedy Library. Il nome non vi compare. Qui il negativo non nasce da un fondo non spogliato ma da una fonte esaustiva già edita, e va dichiarato di grado alto.</w:t>
      </w:r>
    </w:p>
    <w:p>
      <w:pPr>
        <w:spacing w:after="120" w:line="276"/>
        <w:jc w:val="both"/>
      </w:pPr>
      <w:r>
        <w:rPr>
          <w:rFonts w:ascii="Barlow Semi Condensed" w:cs="Barlow Semi Condensed" w:eastAsia="Barlow Semi Condensed" w:hAnsi="Barlow Semi Condensed"/>
          <w:b/>
          <w:bCs/>
          <w:sz w:val="24"/>
          <w:szCs w:val="24"/>
        </w:rPr>
        <w:t xml:space="preserve">1230 · Che cosa sarebbe un piano uno.</w:t>
      </w:r>
      <w:r>
        <w:rPr>
          <w:rFonts w:ascii="Barlow Semi Condensed" w:cs="Barlow Semi Condensed" w:eastAsia="Barlow Semi Condensed" w:hAnsi="Barlow Semi Condensed"/>
          <w:sz w:val="24"/>
          <w:szCs w:val="24"/>
        </w:rPr>
        <w:t xml:space="preserve"> Il territorio tace su Punta del Este, ma proprio lì si trova il modello del ponte reale: il 17 agosto 1961, in Uruguay, Guevara parlò con un consigliere della Casa Bianca, e il promemoria al presidente del 22 agosto è edito nel volume X del FRUS 1961-1963. Un documento di provenienza che nomina entrambe le parti: questo, e solo questo, è piano 1.</w:t>
      </w:r>
    </w:p>
    <w:p>
      <w:pPr>
        <w:spacing w:after="120" w:line="276"/>
        <w:jc w:val="both"/>
      </w:pPr>
      <w:r>
        <w:rPr>
          <w:rFonts w:ascii="Barlow Semi Condensed" w:cs="Barlow Semi Condensed" w:eastAsia="Barlow Semi Condensed" w:hAnsi="Barlow Semi Condensed"/>
          <w:b/>
          <w:bCs/>
          <w:sz w:val="24"/>
          <w:szCs w:val="24"/>
        </w:rPr>
        <w:t xml:space="preserve">1231 · Città del Messico, il fascicolo della retata.</w:t>
      </w:r>
      <w:r>
        <w:rPr>
          <w:rFonts w:ascii="Barlow Semi Condensed" w:cs="Barlow Semi Condensed" w:eastAsia="Barlow Semi Condensed" w:hAnsi="Barlow Semi Condensed"/>
          <w:sz w:val="24"/>
          <w:szCs w:val="24"/>
        </w:rPr>
        <w:t xml:space="preserve"> Quesito per l'Archivo General de la Nación: nei fondi della Dirección Federal de Seguridad e di Investigaciones Políticas y Sociales si cerchi il fascicolo dell'operazione fra il 20 e il 24 giugno 1956, coi verbali di fermo. Domanda mirata: vi compare un consulente o un accademico statunitense? Il regime di consultazione di quei fondi è variato nel tempo e va accertato prima di partire.</w:t>
      </w:r>
    </w:p>
    <w:p>
      <w:pPr>
        <w:spacing w:after="120" w:line="276"/>
        <w:jc w:val="both"/>
      </w:pPr>
      <w:r>
        <w:rPr>
          <w:rFonts w:ascii="Barlow Semi Condensed" w:cs="Barlow Semi Condensed" w:eastAsia="Barlow Semi Condensed" w:hAnsi="Barlow Semi Condensed"/>
          <w:b/>
          <w:bCs/>
          <w:sz w:val="24"/>
          <w:szCs w:val="24"/>
        </w:rPr>
        <w:t xml:space="preserve">1232 · Miguel Schultz, cinquantasette giorni.</w:t>
      </w:r>
      <w:r>
        <w:rPr>
          <w:rFonts w:ascii="Barlow Semi Condensed" w:cs="Barlow Semi Condensed" w:eastAsia="Barlow Semi Condensed" w:hAnsi="Barlow Semi Condensed"/>
          <w:sz w:val="24"/>
          <w:szCs w:val="24"/>
        </w:rPr>
        <w:t xml:space="preserve"> La stazione migratoria della Secretaría de Gobernación in calle Miguel Schultz 136 produsse registri d'ingresso e d'uscita. Sono la carta seriale che dice chi vi fu trattenuto e per quanto, e daterebbe con precisione i cinquantasette giorni riferiti dal territorio. Si chiedano all'Archivo General de la Nación e all'archivio storico dell'istituto migratorio. Nessuna attesa di nomi statunitensi: il valore sta sulla cronologia interna.</w:t>
      </w:r>
    </w:p>
    <w:p>
      <w:pPr>
        <w:spacing w:after="120" w:line="276"/>
        <w:jc w:val="both"/>
      </w:pPr>
      <w:r>
        <w:rPr>
          <w:rFonts w:ascii="Barlow Semi Condensed" w:cs="Barlow Semi Condensed" w:eastAsia="Barlow Semi Condensed" w:hAnsi="Barlow Semi Condensed"/>
          <w:b/>
          <w:bCs/>
          <w:sz w:val="24"/>
          <w:szCs w:val="24"/>
        </w:rPr>
        <w:t xml:space="preserve">1233 · Una divergenza che resta aperta.</w:t>
      </w:r>
      <w:r>
        <w:rPr>
          <w:rFonts w:ascii="Barlow Semi Condensed" w:cs="Barlow Semi Condensed" w:eastAsia="Barlow Semi Condensed" w:hAnsi="Barlow Semi Condensed"/>
          <w:sz w:val="24"/>
          <w:szCs w:val="24"/>
        </w:rPr>
        <w:t xml:space="preserve"> Il nodo E-10 della triangolazione registra che le fonti datano il fermo del capo cubano al 20-21 giugno e la cattura al ranch al 24. Il territorio è stato riscritto su quell'arco, non su una data unica. La divergenza si riporta e non si scioglie: chi la chiudesse d'ufficio guadagnerebbe una riga netta e perderebbe l'unico dato che dice quanto davvero sappiamo.</w:t>
      </w:r>
    </w:p>
    <w:p>
      <w:pPr>
        <w:spacing w:after="120" w:line="276"/>
        <w:jc w:val="both"/>
      </w:pPr>
      <w:r>
        <w:rPr>
          <w:rFonts w:ascii="Barlow Semi Condensed" w:cs="Barlow Semi Condensed" w:eastAsia="Barlow Semi Condensed" w:hAnsi="Barlow Semi Condensed"/>
          <w:b/>
          <w:bCs/>
          <w:sz w:val="24"/>
          <w:szCs w:val="24"/>
        </w:rPr>
        <w:t xml:space="preserve">1234 · Il padiglione ventuno, archivio clinico.</w:t>
      </w:r>
      <w:r>
        <w:rPr>
          <w:rFonts w:ascii="Barlow Semi Condensed" w:cs="Barlow Semi Condensed" w:eastAsia="Barlow Semi Condensed" w:hAnsi="Barlow Semi Condensed"/>
          <w:sz w:val="24"/>
          <w:szCs w:val="24"/>
        </w:rPr>
        <w:t xml:space="preserve"> L'internato in allergologia sotto Mario Salazar Mallén all'Hospital General de México lascia una traccia amministrativa: registri di servizio, cartelle, elenchi del personale del Padiglione 21. Si chiedano all'archivio storico dell'ospedale. È il punto in cui il territorio è più verificabile e meno politico, e vale come banco di prova: se lì la documentazione regge, il resto acquista credito per contiguità.</w:t>
      </w:r>
    </w:p>
    <w:p>
      <w:pPr>
        <w:spacing w:after="120" w:line="276"/>
        <w:jc w:val="both"/>
      </w:pPr>
      <w:r>
        <w:rPr>
          <w:rFonts w:ascii="Barlow Semi Condensed" w:cs="Barlow Semi Condensed" w:eastAsia="Barlow Semi Condensed" w:hAnsi="Barlow Semi Condensed"/>
          <w:b/>
          <w:bCs/>
          <w:sz w:val="24"/>
          <w:szCs w:val="24"/>
        </w:rPr>
        <w:t xml:space="preserve">1235 · La Hemeroteca e il titolo oscillante.</w:t>
      </w:r>
      <w:r>
        <w:rPr>
          <w:rFonts w:ascii="Barlow Semi Condensed" w:cs="Barlow Semi Condensed" w:eastAsia="Barlow Semi Condensed" w:hAnsi="Barlow Semi Condensed"/>
          <w:sz w:val="24"/>
          <w:szCs w:val="24"/>
        </w:rPr>
        <w:t xml:space="preserve"> Il nodo E-5 segnala che il titolo dell'articolo del 1955 circola in due forme, </w:t>
      </w:r>
      <w:r>
        <w:rPr>
          <w:rFonts w:ascii="Barlow Semi Condensed" w:cs="Barlow Semi Condensed" w:eastAsia="Barlow Semi Condensed" w:hAnsi="Barlow Semi Condensed"/>
          <w:i/>
          <w:iCs/>
          <w:sz w:val="24"/>
          <w:szCs w:val="24"/>
        </w:rPr>
        <w:t xml:space="preserve">Investigaciones</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Pruebas cutáneas</w:t>
      </w:r>
      <w:r>
        <w:rPr>
          <w:rFonts w:ascii="Barlow Semi Condensed" w:cs="Barlow Semi Condensed" w:eastAsia="Barlow Semi Condensed" w:hAnsi="Barlow Semi Condensed"/>
          <w:sz w:val="24"/>
          <w:szCs w:val="24"/>
        </w:rPr>
        <w:t xml:space="preserve">. La sede che chiude la questione è la Hemeroteca Nacional de México, volume II numero 4 della </w:t>
      </w:r>
      <w:r>
        <w:rPr>
          <w:rFonts w:ascii="Barlow Semi Condensed" w:cs="Barlow Semi Condensed" w:eastAsia="Barlow Semi Condensed" w:hAnsi="Barlow Semi Condensed"/>
          <w:i/>
          <w:iCs/>
          <w:sz w:val="24"/>
          <w:szCs w:val="24"/>
        </w:rPr>
        <w:t xml:space="preserve">Revista Iberoamericana de Alergología</w:t>
      </w:r>
      <w:r>
        <w:rPr>
          <w:rFonts w:ascii="Barlow Semi Condensed" w:cs="Barlow Semi Condensed" w:eastAsia="Barlow Semi Condensed" w:hAnsi="Barlow Semi Condensed"/>
          <w:sz w:val="24"/>
          <w:szCs w:val="24"/>
        </w:rPr>
        <w:t xml:space="preserve">. Una collazione sull'esemplare a stampa dirime in un pomeriggio ciò che decenni di citazioni hanno lasciato aperto. Finché non è fatta, entrambe le lezioni restano in campo.</w:t>
      </w:r>
    </w:p>
    <w:p>
      <w:pPr>
        <w:spacing w:after="120" w:line="276"/>
        <w:jc w:val="both"/>
      </w:pPr>
      <w:r>
        <w:rPr>
          <w:rFonts w:ascii="Barlow Semi Condensed" w:cs="Barlow Semi Condensed" w:eastAsia="Barlow Semi Condensed" w:hAnsi="Barlow Semi Condensed"/>
          <w:b/>
          <w:bCs/>
          <w:sz w:val="24"/>
          <w:szCs w:val="24"/>
        </w:rPr>
        <w:t xml:space="preserve">1236 · Due nomi che oscillano, statuti diversi.</w:t>
      </w:r>
      <w:r>
        <w:rPr>
          <w:rFonts w:ascii="Barlow Semi Condensed" w:cs="Barlow Semi Condensed" w:eastAsia="Barlow Semi Condensed" w:hAnsi="Barlow Semi Condensed"/>
          <w:sz w:val="24"/>
          <w:szCs w:val="24"/>
        </w:rPr>
        <w:t xml:space="preserve"> Il titolo che oscilla fra due lezioni e il nome che oscilla fra il 1938 e il 1942-1943 non sono lo stesso fenomeno, e vanno tenuti separati come al blocco 6 dell'opera. Il primo è errore di copia a valle e si corregge collazionando l'esemplare. Il secondo è divergenza fra una vulgata priva di documenti e un fascicolo che ne ha uno. L'omologia è di procedura, non di oggetto.</w:t>
      </w:r>
    </w:p>
    <w:p>
      <w:pPr>
        <w:spacing w:after="120" w:line="276"/>
        <w:jc w:val="both"/>
      </w:pPr>
      <w:r>
        <w:rPr>
          <w:rFonts w:ascii="Barlow Semi Condensed" w:cs="Barlow Semi Condensed" w:eastAsia="Barlow Semi Condensed" w:hAnsi="Barlow Semi Condensed"/>
          <w:b/>
          <w:bCs/>
          <w:sz w:val="24"/>
          <w:szCs w:val="24"/>
        </w:rPr>
        <w:t xml:space="preserve">1237 · Le lezioni all'ateneo messicano.</w:t>
      </w:r>
      <w:r>
        <w:rPr>
          <w:rFonts w:ascii="Barlow Semi Condensed" w:cs="Barlow Semi Condensed" w:eastAsia="Barlow Semi Condensed" w:hAnsi="Barlow Semi Condensed"/>
          <w:sz w:val="24"/>
          <w:szCs w:val="24"/>
        </w:rPr>
        <w:t xml:space="preserve"> La nota di revisione 1 documenta le lezioni alla Facoltà di Medicina dell'Università Nazionale Autonoma. Registri didattici e libretti d'incarico dell'ateneo consentirebbero di datarle. Quesito accessorio da porre nella stessa richiesta: figura per quegli anni un programma di scambio con istituzioni statunitensi che tocchi il servizio di allergologia? Attesa negativa, ma la domanda non costa nulla se formulata insieme all'altra.</w:t>
      </w:r>
    </w:p>
    <w:p>
      <w:pPr>
        <w:spacing w:after="120" w:line="276"/>
        <w:jc w:val="both"/>
      </w:pPr>
      <w:r>
        <w:rPr>
          <w:rFonts w:ascii="Barlow Semi Condensed" w:cs="Barlow Semi Condensed" w:eastAsia="Barlow Semi Condensed" w:hAnsi="Barlow Semi Condensed"/>
          <w:b/>
          <w:bCs/>
          <w:sz w:val="24"/>
          <w:szCs w:val="24"/>
        </w:rPr>
        <w:t xml:space="preserve">1238 · Il nome sbagliato genera un fatto inesistente.</w:t>
      </w:r>
      <w:r>
        <w:rPr>
          <w:rFonts w:ascii="Barlow Semi Condensed" w:cs="Barlow Semi Condensed" w:eastAsia="Barlow Semi Condensed" w:hAnsi="Barlow Semi Condensed"/>
          <w:sz w:val="24"/>
          <w:szCs w:val="24"/>
        </w:rPr>
        <w:t xml:space="preserve"> La stessa nota di revisione espunge l'impiego al Fondo de Cultura Económica e segnala la confusione fra Arnaldo Orfila Reynal e Alejandro Orfila, persone diverse. Il blocco 7 dell'opera ne aveva già fatto il proprio precedente. La conseguenza è operativa: prima di chiedere un fascicolo si verifica che il nome esista e sia quello giusto, altrimenti l'archivio risponderà a una domanda immaginaria.</w:t>
      </w:r>
    </w:p>
    <w:p>
      <w:pPr>
        <w:spacing w:after="120" w:line="276"/>
        <w:jc w:val="both"/>
      </w:pPr>
      <w:r>
        <w:rPr>
          <w:rFonts w:ascii="Barlow Semi Condensed" w:cs="Barlow Semi Condensed" w:eastAsia="Barlow Semi Condensed" w:hAnsi="Barlow Semi Condensed"/>
          <w:b/>
          <w:bCs/>
          <w:sz w:val="24"/>
          <w:szCs w:val="24"/>
        </w:rPr>
        <w:t xml:space="preserve">1239 · Un dato espunto non ritorna.</w:t>
      </w:r>
      <w:r>
        <w:rPr>
          <w:rFonts w:ascii="Barlow Semi Condensed" w:cs="Barlow Semi Condensed" w:eastAsia="Barlow Semi Condensed" w:hAnsi="Barlow Semi Condensed"/>
          <w:sz w:val="24"/>
          <w:szCs w:val="24"/>
        </w:rPr>
        <w:t xml:space="preserve"> I centoquarantotto chilometri quadrati attribuiti al Rancho Santa Rosa sono stati cancellati dalla nota di revisione 2, che conserva invece l'affitto simbolico da Erasmo Rivera, veterano villista. Quel dato non può rientrare per citazione di terzi che lo avessero ripreso dal corpus prima della correzione. È la regola della replicazione: una cifra sbagliata che torna non è conferma, è la stessa cifra che ha fatto il giro.</w:t>
      </w:r>
    </w:p>
    <w:p>
      <w:pPr>
        <w:spacing w:after="120" w:line="276"/>
        <w:jc w:val="both"/>
      </w:pPr>
      <w:r>
        <w:rPr>
          <w:rFonts w:ascii="Barlow Semi Condensed" w:cs="Barlow Semi Condensed" w:eastAsia="Barlow Semi Condensed" w:hAnsi="Barlow Semi Condensed"/>
          <w:b/>
          <w:bCs/>
          <w:sz w:val="24"/>
          <w:szCs w:val="24"/>
        </w:rPr>
        <w:t xml:space="preserve">1240 · Ordine di grandezza contro conteggio puntuale.</w:t>
      </w:r>
      <w:r>
        <w:rPr>
          <w:rFonts w:ascii="Barlow Semi Condensed" w:cs="Barlow Semi Condensed" w:eastAsia="Barlow Semi Condensed" w:hAnsi="Barlow Semi Condensed"/>
          <w:sz w:val="24"/>
          <w:szCs w:val="24"/>
        </w:rPr>
        <w:t xml:space="preserve"> Ad Alegría de Pío la nota di revisione 3 ha sostituito i conteggi puntuali con l'ordine di grandezza su cui la storiografia converge: circa venti morti fra combattimento ed esecuzioni sommarie, circa venti superstiti riuniti a Cinco Palmas. È la scelta corretta e va imitata ovunque le fonti divergano sui numeri. Un numero preciso che nessuna fonte regge informa meno di una forbice dichiarata.</w:t>
      </w:r>
    </w:p>
    <w:p>
      <w:pPr>
        <w:spacing w:after="120" w:line="276"/>
        <w:jc w:val="both"/>
      </w:pPr>
      <w:r>
        <w:rPr>
          <w:rFonts w:ascii="Barlow Semi Condensed" w:cs="Barlow Semi Condensed" w:eastAsia="Barlow Semi Condensed" w:hAnsi="Barlow Semi Condensed"/>
          <w:b/>
          <w:bCs/>
          <w:sz w:val="24"/>
          <w:szCs w:val="24"/>
        </w:rPr>
        <w:t xml:space="preserve">1241 · Tuxpan, il porto e i suoi registri.</w:t>
      </w:r>
      <w:r>
        <w:rPr>
          <w:rFonts w:ascii="Barlow Semi Condensed" w:cs="Barlow Semi Condensed" w:eastAsia="Barlow Semi Condensed" w:hAnsi="Barlow Semi Condensed"/>
          <w:sz w:val="24"/>
          <w:szCs w:val="24"/>
        </w:rPr>
        <w:t xml:space="preserve"> Bersaglio minore ma chiudibile: la partenza dello yacht dal porto di Tuxpan il 25 novembre 1956 può aver lasciato traccia nei registri di capitaneria e nelle carte doganali messicane, oggi fra l'Archivo General de la Nación e gli archivi statali di Veracruz. Il quesito serve al territorio, non alla triangolazione: il nome qui studiato non ha ragione alcuna di comparirvi.</w:t>
      </w:r>
    </w:p>
    <w:p>
      <w:pPr>
        <w:spacing w:after="120" w:line="276"/>
        <w:jc w:val="both"/>
      </w:pPr>
      <w:r>
        <w:rPr>
          <w:rFonts w:ascii="Barlow Semi Condensed" w:cs="Barlow Semi Condensed" w:eastAsia="Barlow Semi Condensed" w:hAnsi="Barlow Semi Condensed"/>
          <w:b/>
          <w:bCs/>
          <w:sz w:val="24"/>
          <w:szCs w:val="24"/>
        </w:rPr>
        <w:t xml:space="preserve">1242 · La Cabaña, e il limite del corpus.</w:t>
      </w:r>
      <w:r>
        <w:rPr>
          <w:rFonts w:ascii="Barlow Semi Condensed" w:cs="Barlow Semi Condensed" w:eastAsia="Barlow Semi Condensed" w:hAnsi="Barlow Semi Condensed"/>
          <w:sz w:val="24"/>
          <w:szCs w:val="24"/>
        </w:rPr>
        <w:t xml:space="preserve"> Sui tribunali rivoluzionari del 1959 il territorio dichiara che le cifre delle fucilazioni divergono nella storiografia, da poche decine a oltre un centinaio. Nessun giudizio ha mai accertato quei numeri. La regola che vieta di indicare come responsabile di reato chi non fu condannato vale in ogni direzione, e qui obbliga a fermarsi sulla divergenza dichiarata senza scioglierla né attenuarla.</w:t>
      </w:r>
    </w:p>
    <w:p>
      <w:pPr>
        <w:spacing w:after="120" w:line="276"/>
        <w:jc w:val="both"/>
      </w:pPr>
      <w:r>
        <w:rPr>
          <w:rFonts w:ascii="Barlow Semi Condensed" w:cs="Barlow Semi Condensed" w:eastAsia="Barlow Semi Condensed" w:hAnsi="Barlow Semi Condensed"/>
          <w:b/>
          <w:bCs/>
          <w:sz w:val="24"/>
          <w:szCs w:val="24"/>
        </w:rPr>
        <w:t xml:space="preserve">1243 · Il divieto vale nei due sensi.</w:t>
      </w:r>
      <w:r>
        <w:rPr>
          <w:rFonts w:ascii="Barlow Semi Condensed" w:cs="Barlow Semi Condensed" w:eastAsia="Barlow Semi Condensed" w:hAnsi="Barlow Semi Condensed"/>
          <w:sz w:val="24"/>
          <w:szCs w:val="24"/>
        </w:rPr>
        <w:t xml:space="preserve"> Va ribadito nel punto della serie in cui la tentazione è massima. Henry Kissinger non fu mai imputato né processato in alcun Paese, e nessun blocco lo indica come responsabile di reato. La medesima disciplina impedisce di trasformare in imputazione, contro chiunque compaia in questo territorio, ciò che il corpus registra come fatto storico con fonti divergenti. Una regola usata a intermittenza non è una regola.</w:t>
      </w:r>
    </w:p>
    <w:p>
      <w:pPr>
        <w:spacing w:after="120" w:line="276"/>
        <w:jc w:val="both"/>
      </w:pPr>
      <w:r>
        <w:rPr>
          <w:rFonts w:ascii="Barlow Semi Condensed" w:cs="Barlow Semi Condensed" w:eastAsia="Barlow Semi Condensed" w:hAnsi="Barlow Semi Condensed"/>
          <w:b/>
          <w:bCs/>
          <w:sz w:val="24"/>
          <w:szCs w:val="24"/>
        </w:rPr>
        <w:t xml:space="preserve">1244 · La banca nazionale e le sue firme.</w:t>
      </w:r>
      <w:r>
        <w:rPr>
          <w:rFonts w:ascii="Barlow Semi Condensed" w:cs="Barlow Semi Condensed" w:eastAsia="Barlow Semi Condensed" w:hAnsi="Barlow Semi Condensed"/>
          <w:sz w:val="24"/>
          <w:szCs w:val="24"/>
        </w:rPr>
        <w:t xml:space="preserve"> Il 26 novembre 1959 comincia la presidenza del Banco Nacional de Cuba, con le banconote firmate «Che». Quesito documentale: il volume VI del FRUS 1958-1960, dedicato a Cuba, nomina mai un consulente accademico statunitense in relazione alla politica monetaria cubana? Attesa negativa netta. Il test costa quanto la lettura di un indice dei nomi ed è dunque obbligatorio prima di qualunque congettura.</w:t>
      </w:r>
    </w:p>
    <w:p>
      <w:pPr>
        <w:spacing w:after="120" w:line="276"/>
        <w:jc w:val="both"/>
      </w:pPr>
      <w:r>
        <w:rPr>
          <w:rFonts w:ascii="Barlow Semi Condensed" w:cs="Barlow Semi Condensed" w:eastAsia="Barlow Semi Condensed" w:hAnsi="Barlow Semi Condensed"/>
          <w:b/>
          <w:bCs/>
          <w:sz w:val="24"/>
          <w:szCs w:val="24"/>
        </w:rPr>
        <w:t xml:space="preserve">1245 · College Park, la serie cubana.</w:t>
      </w:r>
      <w:r>
        <w:rPr>
          <w:rFonts w:ascii="Barlow Semi Condensed" w:cs="Barlow Semi Condensed" w:eastAsia="Barlow Semi Condensed" w:hAnsi="Barlow Semi Condensed"/>
          <w:sz w:val="24"/>
          <w:szCs w:val="24"/>
        </w:rPr>
        <w:t xml:space="preserve"> Ai National Archives di College Park si chieda il Central Decimal File del Dipartimento di Stato per Cuba negli anni 1955-1959, verificando in sala inventari la serie corrente. La ricerca vada condotta per nome e non per tema, perché il tema restituisce migliaia di pagine e il nome restituisce un esito verbalizzabile. Uno zero misurato vale più di mille pagine lette male.</w:t>
      </w:r>
    </w:p>
    <w:p>
      <w:pPr>
        <w:spacing w:after="120" w:line="276"/>
        <w:jc w:val="both"/>
      </w:pPr>
      <w:r>
        <w:rPr>
          <w:rFonts w:ascii="Barlow Semi Condensed" w:cs="Barlow Semi Condensed" w:eastAsia="Barlow Semi Condensed" w:hAnsi="Barlow Semi Condensed"/>
          <w:b/>
          <w:bCs/>
          <w:sz w:val="24"/>
          <w:szCs w:val="24"/>
        </w:rPr>
        <w:t xml:space="preserve">1246 · La serie messicana, stesso metodo.</w:t>
      </w:r>
      <w:r>
        <w:rPr>
          <w:rFonts w:ascii="Barlow Semi Condensed" w:cs="Barlow Semi Condensed" w:eastAsia="Barlow Semi Condensed" w:hAnsi="Barlow Semi Condensed"/>
          <w:sz w:val="24"/>
          <w:szCs w:val="24"/>
        </w:rPr>
        <w:t xml:space="preserve"> Identica richiesta per il Messico degli anni 1954-1956, quando il Dipartimento di Stato seguiva da vicino l'esilio politico cubano. Qui l'attesa cambia di segno per il territorio — carte sull'ambiente di Emparán 49 possono esistere — e resta invariata per il nome triangolato. Le due attese vanno dichiarate separatamente, altrimenti un esito positivo sul primo fronte verrà letto come conferma sul secondo.</w:t>
      </w:r>
    </w:p>
    <w:p>
      <w:pPr>
        <w:spacing w:after="120" w:line="276"/>
        <w:jc w:val="both"/>
      </w:pPr>
      <w:r>
        <w:rPr>
          <w:rFonts w:ascii="Barlow Semi Condensed" w:cs="Barlow Semi Condensed" w:eastAsia="Barlow Semi Condensed" w:hAnsi="Barlow Semi Condensed"/>
          <w:b/>
          <w:bCs/>
          <w:sz w:val="24"/>
          <w:szCs w:val="24"/>
        </w:rPr>
        <w:t xml:space="preserve">1247 · L'indice dei nomi come strumento.</w:t>
      </w:r>
      <w:r>
        <w:rPr>
          <w:rFonts w:ascii="Barlow Semi Condensed" w:cs="Barlow Semi Condensed" w:eastAsia="Barlow Semi Condensed" w:hAnsi="Barlow Semi Condensed"/>
          <w:sz w:val="24"/>
          <w:szCs w:val="24"/>
        </w:rPr>
        <w:t xml:space="preserve"> Regola di lettura applicabile e sottoutilizzata: i volumi del FRUS hanno indici analitici dei nomi, e un indice è fonte esaustiva sul proprio perimetro. Un nome assente dall'indice è assente dal volume. Ciò trasforma una ricerca vaga in un accertamento negativo pubblicabile, con la sola avvertenza che l'indice copre i documenti pubblicati e non quelli lasciati fuori dall'edizione.</w:t>
      </w:r>
    </w:p>
    <w:p>
      <w:pPr>
        <w:spacing w:after="120" w:line="276"/>
        <w:jc w:val="both"/>
      </w:pPr>
      <w:r>
        <w:rPr>
          <w:rFonts w:ascii="Barlow Semi Condensed" w:cs="Barlow Semi Condensed" w:eastAsia="Barlow Semi Condensed" w:hAnsi="Barlow Semi Condensed"/>
          <w:b/>
          <w:bCs/>
          <w:sz w:val="24"/>
          <w:szCs w:val="24"/>
        </w:rPr>
        <w:t xml:space="preserve">1248 · I volumi del biennio finale.</w:t>
      </w:r>
      <w:r>
        <w:rPr>
          <w:rFonts w:ascii="Barlow Semi Condensed" w:cs="Barlow Semi Condensed" w:eastAsia="Barlow Semi Condensed" w:hAnsi="Barlow Semi Condensed"/>
          <w:sz w:val="24"/>
          <w:szCs w:val="24"/>
        </w:rPr>
        <w:t xml:space="preserve"> Per il 1964-1965, cioè la coda del territorio, i volumi da spogliare sono quelli della serie 1964-1968 dedicati a Cuba e al Messico. Lo spoglio si faccia sugli indici e si verbalizzi con la data della consultazione, perché le edizioni rivedute esistono: l'opera ne ha già incontrata una al documento 350 del volume E-15 parte 2. Una citazione senza edizione non è tracciabile.</w:t>
      </w:r>
    </w:p>
    <w:p>
      <w:pPr>
        <w:spacing w:after="120" w:line="276"/>
        <w:jc w:val="both"/>
      </w:pPr>
      <w:r>
        <w:rPr>
          <w:rFonts w:ascii="Barlow Semi Condensed" w:cs="Barlow Semi Condensed" w:eastAsia="Barlow Semi Condensed" w:hAnsi="Barlow Semi Condensed"/>
          <w:b/>
          <w:bCs/>
          <w:sz w:val="24"/>
          <w:szCs w:val="24"/>
        </w:rPr>
        <w:t xml:space="preserve">1249 · L'archivio non governativo di Washington.</w:t>
      </w:r>
      <w:r>
        <w:rPr>
          <w:rFonts w:ascii="Barlow Semi Condensed" w:cs="Barlow Semi Condensed" w:eastAsia="Barlow Semi Condensed" w:hAnsi="Barlow Semi Condensed"/>
          <w:sz w:val="24"/>
          <w:szCs w:val="24"/>
        </w:rPr>
        <w:t xml:space="preserve"> Il National Security Archive della George Washington University cura la raccolta documentale su Cuba e pubblicò nel 1997 il fascicolo elettronico su Guevara, già citato dal corpus al nodo M-5. Precisazione necessaria: quel fascicolo riguarda la Bolivia del 1967 e non il territorio 1954-1965. Chi lo citi per gli anni messicani e avaneri usa una fonte fuori perimetro: errore di collocazione, non di contenuto.</w:t>
      </w:r>
    </w:p>
    <w:p>
      <w:pPr>
        <w:spacing w:after="120" w:line="276"/>
        <w:jc w:val="both"/>
      </w:pPr>
      <w:r>
        <w:rPr>
          <w:rFonts w:ascii="Barlow Semi Condensed" w:cs="Barlow Semi Condensed" w:eastAsia="Barlow Semi Condensed" w:hAnsi="Barlow Semi Condensed"/>
          <w:b/>
          <w:bCs/>
          <w:sz w:val="24"/>
          <w:szCs w:val="24"/>
        </w:rPr>
        <w:t xml:space="preserve">1250 · La sala di lettura elettronica.</w:t>
      </w:r>
      <w:r>
        <w:rPr>
          <w:rFonts w:ascii="Barlow Semi Condensed" w:cs="Barlow Semi Condensed" w:eastAsia="Barlow Semi Condensed" w:hAnsi="Barlow Semi Condensed"/>
          <w:sz w:val="24"/>
          <w:szCs w:val="24"/>
        </w:rPr>
        <w:t xml:space="preserve"> L'archivio elettronico declassificato dell'agenzia consente interrogazioni per stringa. Va usato sapendo che risponde a ciò che gli si chiede: una query mal formata produce occorrenze estranee che un lettore frettoloso leggerà come riscontro. Il blocco 9 dell'opera lo dice per esteso — un falso positivo è un danno, uno Stato Zero è un'acquisizione — e qui il rischio cresce per l'abbondanza di omonimie ispaniche.</w:t>
      </w:r>
    </w:p>
    <w:p>
      <w:pPr>
        <w:spacing w:after="120" w:line="276"/>
        <w:jc w:val="both"/>
      </w:pPr>
      <w:r>
        <w:rPr>
          <w:rFonts w:ascii="Barlow Semi Condensed" w:cs="Barlow Semi Condensed" w:eastAsia="Barlow Semi Condensed" w:hAnsi="Barlow Semi Condensed"/>
          <w:b/>
          <w:bCs/>
          <w:sz w:val="24"/>
          <w:szCs w:val="24"/>
        </w:rPr>
        <w:t xml:space="preserve">1251 · Verificare la stringa prima dell'archivio.</w:t>
      </w:r>
      <w:r>
        <w:rPr>
          <w:rFonts w:ascii="Barlow Semi Condensed" w:cs="Barlow Semi Condensed" w:eastAsia="Barlow Semi Condensed" w:hAnsi="Barlow Semi Condensed"/>
          <w:sz w:val="24"/>
          <w:szCs w:val="24"/>
        </w:rPr>
        <w:t xml:space="preserve"> Procedura fissata ai blocchi 8 e 9 ed eseguita qui prima di ogni altra cosa: si controllano le forme del nome che si intende cercare, comprese quelle sbagliate capaci di produrre riscontri estranei. In questo territorio nessuna delle tre forme restituisce occorrenze. Il risultato è noioso, ed è esattamente ciò che una verifica deve produrre quando l'ipotesi non regge.</w:t>
      </w:r>
    </w:p>
    <w:p>
      <w:pPr>
        <w:spacing w:after="120" w:line="276"/>
        <w:jc w:val="both"/>
      </w:pPr>
      <w:r>
        <w:rPr>
          <w:rFonts w:ascii="Barlow Semi Condensed" w:cs="Barlow Semi Condensed" w:eastAsia="Barlow Semi Condensed" w:hAnsi="Barlow Semi Condensed"/>
          <w:b/>
          <w:bCs/>
          <w:sz w:val="24"/>
          <w:szCs w:val="24"/>
        </w:rPr>
        <w:t xml:space="preserve">1252 · La retrodatazione come vizio terziario.</w:t>
      </w:r>
      <w:r>
        <w:rPr>
          <w:rFonts w:ascii="Barlow Semi Condensed" w:cs="Barlow Semi Condensed" w:eastAsia="Barlow Semi Condensed" w:hAnsi="Barlow Semi Condensed"/>
          <w:sz w:val="24"/>
          <w:szCs w:val="24"/>
        </w:rPr>
        <w:t xml:space="preserve"> Circola, nella pubblicistica divulgativa, l'immagine di un uomo che avrebbe governato per decenni la politica latinoamericana di Washington. È affermazione di piano 3 quando viene retrodatata agli anni Cinquanta e ai primi Sessanta, perché in quegli anni non ricopriva cariche esecutive. Si qualifica come tale e si lascia dov'è. Retrodatare un potere reale a prima che esistesse è la più comune delle mutazioni narrative.</w:t>
      </w:r>
    </w:p>
    <w:p>
      <w:pPr>
        <w:spacing w:after="120" w:line="276"/>
        <w:jc w:val="both"/>
      </w:pPr>
      <w:r>
        <w:rPr>
          <w:rFonts w:ascii="Barlow Semi Condensed" w:cs="Barlow Semi Condensed" w:eastAsia="Barlow Semi Condensed" w:hAnsi="Barlow Semi Condensed"/>
          <w:b/>
          <w:bCs/>
          <w:sz w:val="24"/>
          <w:szCs w:val="24"/>
        </w:rPr>
        <w:t xml:space="preserve">1253 · La frase sull'asse della storia.</w:t>
      </w:r>
      <w:r>
        <w:rPr>
          <w:rFonts w:ascii="Barlow Semi Condensed" w:cs="Barlow Semi Condensed" w:eastAsia="Barlow Semi Condensed" w:hAnsi="Barlow Semi Condensed"/>
          <w:sz w:val="24"/>
          <w:szCs w:val="24"/>
        </w:rPr>
        <w:t xml:space="preserve"> Una frase sull'irrilevanza del Sud circola attribuita a un colloquio del 1969 con un ministro cileno, ed è riferita dalla memorialistica di quell'interlocutore. Va tenuta fuori da questa serie per due ragioni cumulative: è posteriore al territorio ed è testimonianza di un solo interlocutore, resa anni dopo. Vale come dato di circolazione, non come riscontro, secondo la settima precisazione dell'apparato K-4.</w:t>
      </w:r>
    </w:p>
    <w:p>
      <w:pPr>
        <w:spacing w:after="120" w:line="276"/>
        <w:jc w:val="both"/>
      </w:pPr>
      <w:r>
        <w:rPr>
          <w:rFonts w:ascii="Barlow Semi Condensed" w:cs="Barlow Semi Condensed" w:eastAsia="Barlow Semi Condensed" w:hAnsi="Barlow Semi Condensed"/>
          <w:b/>
          <w:bCs/>
          <w:sz w:val="24"/>
          <w:szCs w:val="24"/>
        </w:rPr>
        <w:t xml:space="preserve">1254 · Il finanziamento del seminario, questione aperta.</w:t>
      </w:r>
      <w:r>
        <w:rPr>
          <w:rFonts w:ascii="Barlow Semi Condensed" w:cs="Barlow Semi Condensed" w:eastAsia="Barlow Semi Condensed" w:hAnsi="Barlow Semi Condensed"/>
          <w:sz w:val="24"/>
          <w:szCs w:val="24"/>
        </w:rPr>
        <w:t xml:space="preserve"> Circola l'affermazione che il seminario estivo di Cambridge sia stato finanziato, in parte, attraverso fondazioni-condotto legate all'intelligence statunitense. Va qualificata, non assunta: la deciderebbero i rendiconti finanziari conservati negli Harvard University Archives e le carte declassificate sui programmi culturali. E anche se accertata riguarderebbe una provvista di denaro, non una condotta, e non toccherebbe in alcun punto questo territorio.</w:t>
      </w:r>
    </w:p>
    <w:p>
      <w:pPr>
        <w:spacing w:after="120" w:line="276"/>
        <w:jc w:val="both"/>
      </w:pPr>
      <w:r>
        <w:rPr>
          <w:rFonts w:ascii="Barlow Semi Condensed" w:cs="Barlow Semi Condensed" w:eastAsia="Barlow Semi Condensed" w:hAnsi="Barlow Semi Condensed"/>
          <w:b/>
          <w:bCs/>
          <w:sz w:val="24"/>
          <w:szCs w:val="24"/>
        </w:rPr>
        <w:t xml:space="preserve">1255 · Canale non significa condotta.</w:t>
      </w:r>
      <w:r>
        <w:rPr>
          <w:rFonts w:ascii="Barlow Semi Condensed" w:cs="Barlow Semi Condensed" w:eastAsia="Barlow Semi Condensed" w:hAnsi="Barlow Semi Condensed"/>
          <w:sz w:val="24"/>
          <w:szCs w:val="24"/>
        </w:rPr>
        <w:t xml:space="preserve"> La regola eccede il caso: che un'istituzione abbia ricevuto denaro da un canale non dice che i suoi membri abbiano agito per chi lo forniva. È la stessa disciplina che ai blocchi 160 e 161 dell'opera impedisce di far discendere le condotte del 1978 dal modello dichiarato del 1967. Un canale appartiene all'ambiente, non al codice di chi vi si trova dentro.</w:t>
      </w:r>
    </w:p>
    <w:p>
      <w:pPr>
        <w:spacing w:after="120" w:line="276"/>
        <w:jc w:val="both"/>
      </w:pPr>
      <w:r>
        <w:rPr>
          <w:rFonts w:ascii="Barlow Semi Condensed" w:cs="Barlow Semi Condensed" w:eastAsia="Barlow Semi Condensed" w:hAnsi="Barlow Semi Condensed"/>
          <w:b/>
          <w:bCs/>
          <w:sz w:val="24"/>
          <w:szCs w:val="24"/>
        </w:rPr>
        <w:t xml:space="preserve">1256 · Che cosa sposterebbe tutto al piano uno.</w:t>
      </w:r>
      <w:r>
        <w:rPr>
          <w:rFonts w:ascii="Barlow Semi Condensed" w:cs="Barlow Semi Condensed" w:eastAsia="Barlow Semi Condensed" w:hAnsi="Barlow Semi Condensed"/>
          <w:sz w:val="24"/>
          <w:szCs w:val="24"/>
        </w:rPr>
        <w:t xml:space="preserve"> Bersaglio di smentita, formulato in positivo perché sia verificabile: un documento di provenienza — carta d'archivio, corrispondenza, verbale — datato fra il 1954 e il 1965, che nomini insieme il soggetto di quest'opera e uno qualsiasi dei nodi del territorio. Ne basterebbe uno. Finché non compare, ogni collegamento resta al piano 2 nella migliore delle ipotesi e al piano 3 nella peggiore.</w:t>
      </w:r>
    </w:p>
    <w:p>
      <w:pPr>
        <w:spacing w:after="120" w:line="276"/>
        <w:jc w:val="both"/>
      </w:pPr>
      <w:r>
        <w:rPr>
          <w:rFonts w:ascii="Barlow Semi Condensed" w:cs="Barlow Semi Condensed" w:eastAsia="Barlow Semi Condensed" w:hAnsi="Barlow Semi Condensed"/>
          <w:b/>
          <w:bCs/>
          <w:sz w:val="24"/>
          <w:szCs w:val="24"/>
        </w:rPr>
        <w:t xml:space="preserve">1257 · Che cosa chiuderebbe lo Stato Zero.</w:t>
      </w:r>
      <w:r>
        <w:rPr>
          <w:rFonts w:ascii="Barlow Semi Condensed" w:cs="Barlow Semi Condensed" w:eastAsia="Barlow Semi Condensed" w:hAnsi="Barlow Semi Condensed"/>
          <w:sz w:val="24"/>
          <w:szCs w:val="24"/>
        </w:rPr>
        <w:t xml:space="preserve"> Bersaglio simmetrico, altrettanto necessario: elenchi completi e verificati — partecipanti al seminario, verbali del gruppo di studio, inventari dei fondi personali anteriori al 1969 — nei quali nessun nome del territorio compaia. Un negativo su fonte esaustiva è accertamento; un negativo su fondo non spogliato è lacuna di ricerca. La differenza va scritta ogni volta, perché nella resa pubblica evapora sempre.</w:t>
      </w:r>
    </w:p>
    <w:p>
      <w:pPr>
        <w:spacing w:after="120" w:line="276"/>
        <w:jc w:val="both"/>
      </w:pPr>
      <w:r>
        <w:rPr>
          <w:rFonts w:ascii="Barlow Semi Condensed" w:cs="Barlow Semi Condensed" w:eastAsia="Barlow Semi Condensed" w:hAnsi="Barlow Semi Condensed"/>
          <w:b/>
          <w:bCs/>
          <w:sz w:val="24"/>
          <w:szCs w:val="24"/>
        </w:rPr>
        <w:t xml:space="preserve">1258 · La carta che non ci si aspetta.</w:t>
      </w:r>
      <w:r>
        <w:rPr>
          <w:rFonts w:ascii="Barlow Semi Condensed" w:cs="Barlow Semi Condensed" w:eastAsia="Barlow Semi Condensed" w:hAnsi="Barlow Semi Condensed"/>
          <w:sz w:val="24"/>
          <w:szCs w:val="24"/>
        </w:rPr>
        <w:t xml:space="preserve"> Terzo bersaglio, il più preciso: una lettera o un promemoria del 1961-1962, nei carteggi dell'assistente presidenziale per la sicurezza nazionale, che assegni al consulente esterno un incarico sul dossier cubano. Se esistesse starebbe alla Kennedy Library ed è cercabile in una giornata. La sua esistenza non proverebbe nulla sulla condotta: proverebbe soltanto che la domanda di questa serie era legittima.</w:t>
      </w:r>
    </w:p>
    <w:p>
      <w:pPr>
        <w:spacing w:after="120" w:line="276"/>
        <w:jc w:val="both"/>
      </w:pPr>
      <w:r>
        <w:rPr>
          <w:rFonts w:ascii="Barlow Semi Condensed" w:cs="Barlow Semi Condensed" w:eastAsia="Barlow Semi Condensed" w:hAnsi="Barlow Semi Condensed"/>
          <w:b/>
          <w:bCs/>
          <w:sz w:val="24"/>
          <w:szCs w:val="24"/>
        </w:rPr>
        <w:t xml:space="preserve">1259 · Due letterature che non si incontrano.</w:t>
      </w:r>
      <w:r>
        <w:rPr>
          <w:rFonts w:ascii="Barlow Semi Condensed" w:cs="Barlow Semi Condensed" w:eastAsia="Barlow Semi Condensed" w:hAnsi="Barlow Semi Condensed"/>
          <w:sz w:val="24"/>
          <w:szCs w:val="24"/>
        </w:rPr>
        <w:t xml:space="preserve"> Il secondo tempo della regola dei buchi, acquisito ai blocchi 642 e 817, si applica qui alla lettera. La bibliografia guevariana e quella sulla strategia nucleare atlantica degli stessi anni non condividono fondi, riviste né autori. Un rapporto di co-occorrenza prossimo allo zero misura questa specializzazione delle fonti, non l'assenza di rapporti nel mondo. Saltare il passaggio trasformerebbe una lacuna bibliografica in una scoperta.</w:t>
      </w:r>
    </w:p>
    <w:p>
      <w:pPr>
        <w:spacing w:after="120" w:line="276"/>
        <w:jc w:val="both"/>
      </w:pPr>
      <w:r>
        <w:rPr>
          <w:rFonts w:ascii="Barlow Semi Condensed" w:cs="Barlow Semi Condensed" w:eastAsia="Barlow Semi Condensed" w:hAnsi="Barlow Semi Condensed"/>
          <w:b/>
          <w:bCs/>
          <w:sz w:val="24"/>
          <w:szCs w:val="24"/>
        </w:rPr>
        <w:t xml:space="preserve">1260 · Che cosa il vuoto non autorizza.</w:t>
      </w:r>
      <w:r>
        <w:rPr>
          <w:rFonts w:ascii="Barlow Semi Condensed" w:cs="Barlow Semi Condensed" w:eastAsia="Barlow Semi Condensed" w:hAnsi="Barlow Semi Condensed"/>
          <w:sz w:val="24"/>
          <w:szCs w:val="24"/>
        </w:rPr>
        <w:t xml:space="preserve"> Dal vuoto misurato non discende alcuna proposizione positiva. Non discende che rapporti non vi fossero, né che vi fossero e siano stati occultati. Discende una cosa sola, ed è già molta: che allo stato degli spogli nessun documento noto li attesti, e che chi affermi il contrario abbia l'onere di produrre la carta. Il blocco 708 dell'opera aveva previsto questo esito per il fronte boliviano.</w:t>
      </w:r>
    </w:p>
    <w:p>
      <w:pPr>
        <w:spacing w:after="120" w:line="276"/>
        <w:jc w:val="both"/>
      </w:pPr>
      <w:r>
        <w:rPr>
          <w:rFonts w:ascii="Barlow Semi Condensed" w:cs="Barlow Semi Condensed" w:eastAsia="Barlow Semi Condensed" w:hAnsi="Barlow Semi Condensed"/>
          <w:b/>
          <w:bCs/>
          <w:sz w:val="24"/>
          <w:szCs w:val="24"/>
        </w:rPr>
        <w:t xml:space="preserve">1261 · Sottosviluppo, oggetto simultaneo.</w:t>
      </w:r>
      <w:r>
        <w:rPr>
          <w:rFonts w:ascii="Barlow Semi Condensed" w:cs="Barlow Semi Condensed" w:eastAsia="Barlow Semi Condensed" w:hAnsi="Barlow Semi Condensed"/>
          <w:sz w:val="24"/>
          <w:szCs w:val="24"/>
        </w:rPr>
        <w:t xml:space="preserve"> Convergenza strutturale da registrare senza promozione: negli stessi mesi in cui a Città del Messico si struttura teoricamente l'analisi del sottosviluppo latinoamericano, a New York un progetto di studi finanziato da una fondazione statunitense prepara rapporti sul medesimo oggetto per il pubblico americano. Stesso problema, cornici opposte, nessun documento che le colleghi. È piano 2, e al piano 2 si arresta.</w:t>
      </w:r>
    </w:p>
    <w:p>
      <w:pPr>
        <w:spacing w:after="120" w:line="276"/>
        <w:jc w:val="both"/>
      </w:pPr>
      <w:r>
        <w:rPr>
          <w:rFonts w:ascii="Barlow Semi Condensed" w:cs="Barlow Semi Condensed" w:eastAsia="Barlow Semi Condensed" w:hAnsi="Barlow Semi Condensed"/>
          <w:b/>
          <w:bCs/>
          <w:sz w:val="24"/>
          <w:szCs w:val="24"/>
        </w:rPr>
        <w:t xml:space="preserve">1262 · Equilibrio e foco, due dottrine.</w:t>
      </w:r>
      <w:r>
        <w:rPr>
          <w:rFonts w:ascii="Barlow Semi Condensed" w:cs="Barlow Semi Condensed" w:eastAsia="Barlow Semi Condensed" w:hAnsi="Barlow Semi Condensed"/>
          <w:sz w:val="24"/>
          <w:szCs w:val="24"/>
        </w:rPr>
        <w:t xml:space="preserve"> La tesi del 1954 studia l'ordine internazionale come equilibrio fra potenze legittime; il territorio produce, dieci anni più tardi, una dottrina del mutamento politico per innesco armato. Sono teorie opposte del cambiamento, formulate nello stesso ventennio. La somiglianza del problema non fa un antenato comune e nemmeno un rapporto: la si nomina per escluderla, che è l'uso corretto di una simmetria elegante.</w:t>
      </w:r>
    </w:p>
    <w:p>
      <w:pPr>
        <w:spacing w:after="120" w:line="276"/>
        <w:jc w:val="both"/>
      </w:pPr>
      <w:r>
        <w:rPr>
          <w:rFonts w:ascii="Barlow Semi Condensed" w:cs="Barlow Semi Condensed" w:eastAsia="Barlow Semi Condensed" w:hAnsi="Barlow Semi Condensed"/>
          <w:b/>
          <w:bCs/>
          <w:sz w:val="24"/>
          <w:szCs w:val="24"/>
        </w:rPr>
        <w:t xml:space="preserve">1263 · Omologia e analogia, prova sul campo.</w:t>
      </w:r>
      <w:r>
        <w:rPr>
          <w:rFonts w:ascii="Barlow Semi Condensed" w:cs="Barlow Semi Condensed" w:eastAsia="Barlow Semi Condensed" w:hAnsi="Barlow Semi Condensed"/>
          <w:sz w:val="24"/>
          <w:szCs w:val="24"/>
        </w:rPr>
        <w:t xml:space="preserve"> La serie sesta dell'opera pone il problema e questo territorio ne è il caso più netto. Fra i due domini non esiste discendenza dichiarata dai discendenti, come invece esiste fra Guevara e le Brigate Rosse al blocco 434. Esiste soltanto una somiglianza d'epoca. È analogia pura, cioè convergenza indipendente in ambienti simili, e va nominata così ogni volta che qualcuno la scambi per parentela.</w:t>
      </w:r>
    </w:p>
    <w:p>
      <w:pPr>
        <w:spacing w:after="120" w:line="276"/>
        <w:jc w:val="both"/>
      </w:pPr>
      <w:r>
        <w:rPr>
          <w:rFonts w:ascii="Barlow Semi Condensed" w:cs="Barlow Semi Condensed" w:eastAsia="Barlow Semi Condensed" w:hAnsi="Barlow Semi Condensed"/>
          <w:b/>
          <w:bCs/>
          <w:sz w:val="24"/>
          <w:szCs w:val="24"/>
        </w:rPr>
        <w:t xml:space="preserve">1264 · Il test è uno solo.</w:t>
      </w:r>
      <w:r>
        <w:rPr>
          <w:rFonts w:ascii="Barlow Semi Condensed" w:cs="Barlow Semi Condensed" w:eastAsia="Barlow Semi Condensed" w:hAnsi="Barlow Semi Condensed"/>
          <w:sz w:val="24"/>
          <w:szCs w:val="24"/>
        </w:rPr>
        <w:t xml:space="preserve"> Riassunto operativo della regola che governa l'intera serie: dalla somiglianza del risultato non si deduce l'antenato comune, e l'unico test ammesso è un documento di provenienza che nomini la controparte. Nel territorio assegnato quel documento non è stato reperito, né alcuna fonte ne allega uno. Tutto il resto — date vicine, avversari comuni, cornice condivisa — appartiene all'ambiente e non alla discendenza.</w:t>
      </w:r>
    </w:p>
    <w:p>
      <w:pPr>
        <w:spacing w:after="120" w:line="276"/>
        <w:jc w:val="both"/>
      </w:pPr>
      <w:r>
        <w:rPr>
          <w:rFonts w:ascii="Barlow Semi Condensed" w:cs="Barlow Semi Condensed" w:eastAsia="Barlow Semi Condensed" w:hAnsi="Barlow Semi Condensed"/>
          <w:b/>
          <w:bCs/>
          <w:sz w:val="24"/>
          <w:szCs w:val="24"/>
        </w:rPr>
        <w:t xml:space="preserve">1265 · La cornice è comune, il centro no.</w:t>
      </w:r>
      <w:r>
        <w:rPr>
          <w:rFonts w:ascii="Barlow Semi Condensed" w:cs="Barlow Semi Condensed" w:eastAsia="Barlow Semi Condensed" w:hAnsi="Barlow Semi Condensed"/>
          <w:sz w:val="24"/>
          <w:szCs w:val="24"/>
        </w:rPr>
        <w:t xml:space="preserve"> Il saggio-cerniera del corpus lo ha già stabilito per le due morti del 1967 e del 1978: due vicende distinte possono condividere una cornice — la lunga guerra fredda — senza condividere un centro. La formula si trasporta intatta. Il territorio 1954-1965 e la biografia statunitense degli stessi anni stanno dentro la medesima cornice e non hanno, allo stato, alcun punto di contatto documentato.</w:t>
      </w:r>
    </w:p>
    <w:p>
      <w:pPr>
        <w:spacing w:after="120" w:line="276"/>
        <w:jc w:val="both"/>
      </w:pPr>
      <w:r>
        <w:rPr>
          <w:rFonts w:ascii="Barlow Semi Condensed" w:cs="Barlow Semi Condensed" w:eastAsia="Barlow Semi Condensed" w:hAnsi="Barlow Semi Condensed"/>
          <w:b/>
          <w:bCs/>
          <w:sz w:val="24"/>
          <w:szCs w:val="24"/>
        </w:rPr>
        <w:t xml:space="preserve">1266 · La quinta voce, applicata al 1961.</w:t>
      </w:r>
      <w:r>
        <w:rPr>
          <w:rFonts w:ascii="Barlow Semi Condensed" w:cs="Barlow Semi Condensed" w:eastAsia="Barlow Semi Condensed" w:hAnsi="Barlow Semi Condensed"/>
          <w:sz w:val="24"/>
          <w:szCs w:val="24"/>
        </w:rPr>
        <w:t xml:space="preserve"> La seconda campagna della Farnesina ha proposto alla griglia dei gradi una quinta voce: effetto convergente da causa comune. Il 1961 ne offre l'esempio. La rottura fra Washington e L'Avana produce simultaneamente la nazionalizzazione registrata dal territorio e l'irrigidimento della pubblicistica strategica statunitense: due effetti dello stesso evento, non l'uno causa dell'altro. Dichiarare la voce impedisce che la simultaneità diventi nesso.</w:t>
      </w:r>
    </w:p>
    <w:p>
      <w:pPr>
        <w:spacing w:after="120" w:line="276"/>
        <w:jc w:val="both"/>
      </w:pPr>
      <w:r>
        <w:rPr>
          <w:rFonts w:ascii="Barlow Semi Condensed" w:cs="Barlow Semi Condensed" w:eastAsia="Barlow Semi Condensed" w:hAnsi="Barlow Semi Condensed"/>
          <w:b/>
          <w:bCs/>
          <w:sz w:val="24"/>
          <w:szCs w:val="24"/>
        </w:rPr>
        <w:t xml:space="preserve">1267 · Guatemala 1954, inferenza vietata.</w:t>
      </w:r>
      <w:r>
        <w:rPr>
          <w:rFonts w:ascii="Barlow Semi Condensed" w:cs="Barlow Semi Condensed" w:eastAsia="Barlow Semi Condensed" w:hAnsi="Barlow Semi Condensed"/>
          <w:sz w:val="24"/>
          <w:szCs w:val="24"/>
        </w:rPr>
        <w:t xml:space="preserve"> Che il territorio si apra con un colpo di Stato attribuito a un'agenzia statunitense crea un'attrazione forte verso l'inferenza retroattiva: se allora, allora sempre e con chiunque. È esattamente il ragionamento che la regola dei tre piani vieta. Un intervento documentato del 1954 non è titolo per attribuire ad alcun individuo — tanto meno a chi allora era dottorando — alcunché di successivo.</w:t>
      </w:r>
    </w:p>
    <w:p>
      <w:pPr>
        <w:spacing w:after="120" w:line="276"/>
        <w:jc w:val="both"/>
      </w:pPr>
      <w:r>
        <w:rPr>
          <w:rFonts w:ascii="Barlow Semi Condensed" w:cs="Barlow Semi Condensed" w:eastAsia="Barlow Semi Condensed" w:hAnsi="Barlow Semi Condensed"/>
          <w:b/>
          <w:bCs/>
          <w:sz w:val="24"/>
          <w:szCs w:val="24"/>
        </w:rPr>
        <w:t xml:space="preserve">1268 · Le imprese nazionalizzate, dove cercare.</w:t>
      </w:r>
      <w:r>
        <w:rPr>
          <w:rFonts w:ascii="Barlow Semi Condensed" w:cs="Barlow Semi Condensed" w:eastAsia="Barlow Semi Condensed" w:hAnsi="Barlow Semi Condensed"/>
          <w:sz w:val="24"/>
          <w:szCs w:val="24"/>
        </w:rPr>
        <w:t xml:space="preserve"> Il territorio registra la nazionalizzazione delle imprese statunitensi. Dal lato americano la documentano la serie dei fondi delle sedi estere dei National Archives, i fascicoli della commissione federale sui reclami esteri e le carte societarie private. Quesito da porre in tutte e tre: compare in quei carteggi un consulente accademico? Attesa negativa, ma la domanda va verbalizzata perché nessuno l'ha ancora posta.</w:t>
      </w:r>
    </w:p>
    <w:p>
      <w:pPr>
        <w:spacing w:after="120" w:line="276"/>
        <w:jc w:val="both"/>
      </w:pPr>
      <w:r>
        <w:rPr>
          <w:rFonts w:ascii="Barlow Semi Condensed" w:cs="Barlow Semi Condensed" w:eastAsia="Barlow Semi Condensed" w:hAnsi="Barlow Semi Condensed"/>
          <w:b/>
          <w:bCs/>
          <w:sz w:val="24"/>
          <w:szCs w:val="24"/>
        </w:rPr>
        <w:t xml:space="preserve">1269 · L'ambasciata dell'Avana fino alla rottura.</w:t>
      </w:r>
      <w:r>
        <w:rPr>
          <w:rFonts w:ascii="Barlow Semi Condensed" w:cs="Barlow Semi Condensed" w:eastAsia="Barlow Semi Condensed" w:hAnsi="Barlow Semi Condensed"/>
          <w:sz w:val="24"/>
          <w:szCs w:val="24"/>
        </w:rPr>
        <w:t xml:space="preserve"> Le carte del posto diplomatico statunitense all'Avana, nel gruppo dedicato ai fondi delle sedi estere, si interrompono con la rottura delle relazioni del gennaio 1961. Sono la fonte più vicina al territorio nei suoi anni decisivi. Vi si cerchino i nomi del corpus e quello qui triangolato, dichiarando in premessa che la serie si chiude a quella data e non copre il quadriennio successivo.</w:t>
      </w:r>
    </w:p>
    <w:p>
      <w:pPr>
        <w:spacing w:after="120" w:line="276"/>
        <w:jc w:val="both"/>
      </w:pPr>
      <w:r>
        <w:rPr>
          <w:rFonts w:ascii="Barlow Semi Condensed" w:cs="Barlow Semi Condensed" w:eastAsia="Barlow Semi Condensed" w:hAnsi="Barlow Semi Condensed"/>
          <w:b/>
          <w:bCs/>
          <w:sz w:val="24"/>
          <w:szCs w:val="24"/>
        </w:rPr>
        <w:t xml:space="preserve">1270 · La sede di Città del Messico, 1954-1956.</w:t>
      </w:r>
      <w:r>
        <w:rPr>
          <w:rFonts w:ascii="Barlow Semi Condensed" w:cs="Barlow Semi Condensed" w:eastAsia="Barlow Semi Condensed" w:hAnsi="Barlow Semi Condensed"/>
          <w:sz w:val="24"/>
          <w:szCs w:val="24"/>
        </w:rPr>
        <w:t xml:space="preserve"> Analoga richiesta per il posto diplomatico messicano negli anni dell'esilio. Se una qualsiasi carta statunitense di quel biennio registra l'ambiente di calle José de Emparán 49 e il ranch di Chalco, sta lì o nella serie centrale del Dipartimento. Il quesito vale doppio: riscontra il territorio dal lato che il territorio non usa mai, e misura il nostro Stato Zero su una fonte indipendente.</w:t>
      </w:r>
    </w:p>
    <w:p>
      <w:pPr>
        <w:spacing w:after="120" w:line="276"/>
        <w:jc w:val="both"/>
      </w:pPr>
      <w:r>
        <w:rPr>
          <w:rFonts w:ascii="Barlow Semi Condensed" w:cs="Barlow Semi Condensed" w:eastAsia="Barlow Semi Condensed" w:hAnsi="Barlow Semi Condensed"/>
          <w:b/>
          <w:bCs/>
          <w:sz w:val="24"/>
          <w:szCs w:val="24"/>
        </w:rPr>
        <w:t xml:space="preserve">1271 · L'archivio di parte e la sua cautela.</w:t>
      </w:r>
      <w:r>
        <w:rPr>
          <w:rFonts w:ascii="Barlow Semi Condensed" w:cs="Barlow Semi Condensed" w:eastAsia="Barlow Semi Condensed" w:hAnsi="Barlow Semi Condensed"/>
          <w:sz w:val="24"/>
          <w:szCs w:val="24"/>
        </w:rPr>
        <w:t xml:space="preserve"> Il centro di studi dell'Avana che conserva le carte personali di Guevara è insieme la fonte più ricca e la più interessata. Vale la disciplina che il blocco 423 dell'opera impone alle carte di provenienza orientale: mai da sole a fondamento di alcunché, valore comparativo e non rivelatorio. Con questa cautela vi si porti il quesito, che è comunque l'unico luogo dove una risposta positiva potrebbe esistere.</w:t>
      </w:r>
    </w:p>
    <w:p>
      <w:pPr>
        <w:spacing w:after="120" w:line="276"/>
        <w:jc w:val="both"/>
      </w:pPr>
      <w:r>
        <w:rPr>
          <w:rFonts w:ascii="Barlow Semi Condensed" w:cs="Barlow Semi Condensed" w:eastAsia="Barlow Semi Condensed" w:hAnsi="Barlow Semi Condensed"/>
          <w:b/>
          <w:bCs/>
          <w:sz w:val="24"/>
          <w:szCs w:val="24"/>
        </w:rPr>
        <w:t xml:space="preserve">1272 · L'ufficio storico del Consiglio di Stato.</w:t>
      </w:r>
      <w:r>
        <w:rPr>
          <w:rFonts w:ascii="Barlow Semi Condensed" w:cs="Barlow Semi Condensed" w:eastAsia="Barlow Semi Condensed" w:hAnsi="Barlow Semi Condensed"/>
          <w:sz w:val="24"/>
          <w:szCs w:val="24"/>
        </w:rPr>
        <w:t xml:space="preserve"> L'Oficina de Asuntos Históricos del Consejo de Estado custodisce documentazione della guerriglia e del primo periodo rivoluzionario. L'accesso è discrezionale e va negoziato: chi ne ottenga uno dichiari nel verbale quali serie gli sono state mostrate e quali no. Un esito negativo ottenuto su una selezione altrui non è uno Stato Zero: è il perimetro che qualcun altro ha deciso per noi.</w:t>
      </w:r>
    </w:p>
    <w:p>
      <w:pPr>
        <w:spacing w:after="120" w:line="276"/>
        <w:jc w:val="both"/>
      </w:pPr>
      <w:r>
        <w:rPr>
          <w:rFonts w:ascii="Barlow Semi Condensed" w:cs="Barlow Semi Condensed" w:eastAsia="Barlow Semi Condensed" w:hAnsi="Barlow Semi Condensed"/>
          <w:b/>
          <w:bCs/>
          <w:sz w:val="24"/>
          <w:szCs w:val="24"/>
        </w:rPr>
        <w:t xml:space="preserve">1273 · Il ministero dell'Industria e i suoi carteggi.</w:t>
      </w:r>
      <w:r>
        <w:rPr>
          <w:rFonts w:ascii="Barlow Semi Condensed" w:cs="Barlow Semi Condensed" w:eastAsia="Barlow Semi Condensed" w:hAnsi="Barlow Semi Condensed"/>
          <w:sz w:val="24"/>
          <w:szCs w:val="24"/>
        </w:rPr>
        <w:t xml:space="preserve"> Dal febbraio 1961 il territorio colloca il soggetto alla guida del nuovo Ministero dell'Industria. Un ministero produce corrispondenza estera, e quella corrispondenza, ove conservata all'Archivo Nacional de Cuba, è il solo luogo in cui un contatto con interlocutori statunitensi non governativi potrebbe affiorare. La domanda è legittima proprio perché nessuno l'ha posta; la risposta attesa resta negativa.</w:t>
      </w:r>
    </w:p>
    <w:p>
      <w:pPr>
        <w:spacing w:after="120" w:line="276"/>
        <w:jc w:val="both"/>
      </w:pPr>
      <w:r>
        <w:rPr>
          <w:rFonts w:ascii="Barlow Semi Condensed" w:cs="Barlow Semi Condensed" w:eastAsia="Barlow Semi Condensed" w:hAnsi="Barlow Semi Condensed"/>
          <w:b/>
          <w:bCs/>
          <w:sz w:val="24"/>
          <w:szCs w:val="24"/>
        </w:rPr>
        <w:t xml:space="preserve">1274 · Il dibattito economico e i suoi protagonisti.</w:t>
      </w:r>
      <w:r>
        <w:rPr>
          <w:rFonts w:ascii="Barlow Semi Condensed" w:cs="Barlow Semi Condensed" w:eastAsia="Barlow Semi Condensed" w:hAnsi="Barlow Semi Condensed"/>
          <w:sz w:val="24"/>
          <w:szCs w:val="24"/>
        </w:rPr>
        <w:t xml:space="preserve"> Nel biennio 1963-1964 il territorio registra il confronto fra il sistema di finanziamento di bilancio e il calcolo economico, con Carlos Rafael Rodríguez, Charles Bettelheim ed Ernest Mandel. Le riviste che ospitarono quel dibattito sono spogliabili integralmente. Quesito: vi compare mai un autore statunitense di scuola strategica? È lo spoglio che convertirebbe un'attesa in accertamento, e finora nessuno lo ha verbalizzato.</w:t>
      </w:r>
    </w:p>
    <w:p>
      <w:pPr>
        <w:spacing w:after="120" w:line="276"/>
        <w:jc w:val="both"/>
      </w:pPr>
      <w:r>
        <w:rPr>
          <w:rFonts w:ascii="Barlow Semi Condensed" w:cs="Barlow Semi Condensed" w:eastAsia="Barlow Semi Condensed" w:hAnsi="Barlow Semi Condensed"/>
          <w:b/>
          <w:bCs/>
          <w:sz w:val="24"/>
          <w:szCs w:val="24"/>
        </w:rPr>
        <w:t xml:space="preserve">1275 · Due libri del 1965, nessun rapporto.</w:t>
      </w:r>
      <w:r>
        <w:rPr>
          <w:rFonts w:ascii="Barlow Semi Condensed" w:cs="Barlow Semi Condensed" w:eastAsia="Barlow Semi Condensed" w:hAnsi="Barlow Semi Condensed"/>
          <w:sz w:val="24"/>
          <w:szCs w:val="24"/>
        </w:rPr>
        <w:t xml:space="preserve"> Nel 1965 escono, dai due mondi, un saggio sull'uomo nuovo a Cuba e uno studio sulle tensioni dell'alleanza atlantica. La coincidenza d'anno è un fatto e non un legame. La si registra qui perché è precisamente il genere di parallelismo che una lente genetica applicata male trasformerebbe in espressione simultanea dello stesso codice. Non c'è codice comune: ci sono due biblioteche che si ignorano.</w:t>
      </w:r>
    </w:p>
    <w:p>
      <w:pPr>
        <w:spacing w:after="120" w:line="276"/>
        <w:jc w:val="both"/>
      </w:pPr>
      <w:r>
        <w:rPr>
          <w:rFonts w:ascii="Barlow Semi Condensed" w:cs="Barlow Semi Condensed" w:eastAsia="Barlow Semi Condensed" w:hAnsi="Barlow Semi Condensed"/>
          <w:b/>
          <w:bCs/>
          <w:sz w:val="24"/>
          <w:szCs w:val="24"/>
        </w:rPr>
        <w:t xml:space="preserve">1276 · Dove questa serie si ferma.</w:t>
      </w:r>
      <w:r>
        <w:rPr>
          <w:rFonts w:ascii="Barlow Semi Condensed" w:cs="Barlow Semi Condensed" w:eastAsia="Barlow Semi Condensed" w:hAnsi="Barlow Semi Condensed"/>
          <w:sz w:val="24"/>
          <w:szCs w:val="24"/>
        </w:rPr>
        <w:t xml:space="preserve"> Il territorio dichiara di chiudersi con le dimissioni del marzo 1965 e rinvia esplicitamente al rapporto successivo per l'ONU del dicembre 1964, Algeri e la lettera d'addio. Questa serie rispetta quel confine: ciò che sta oltre appartiene ad altre serie della campagna territoriale. Dichiarare il perimetro non è cautela formale, è ciò che rende confrontabili gli esiti di serie diverse.</w:t>
      </w:r>
    </w:p>
    <w:p>
      <w:pPr>
        <w:spacing w:after="120" w:line="276"/>
        <w:jc w:val="both"/>
      </w:pPr>
      <w:r>
        <w:rPr>
          <w:rFonts w:ascii="Barlow Semi Condensed" w:cs="Barlow Semi Condensed" w:eastAsia="Barlow Semi Condensed" w:hAnsi="Barlow Semi Condensed"/>
          <w:b/>
          <w:bCs/>
          <w:sz w:val="24"/>
          <w:szCs w:val="24"/>
        </w:rPr>
        <w:t xml:space="preserve">1277 · Il fronte boliviano non è qui.</w:t>
      </w:r>
      <w:r>
        <w:rPr>
          <w:rFonts w:ascii="Barlow Semi Condensed" w:cs="Barlow Semi Condensed" w:eastAsia="Barlow Semi Condensed" w:hAnsi="Barlow Semi Condensed"/>
          <w:sz w:val="24"/>
          <w:szCs w:val="24"/>
        </w:rPr>
        <w:t xml:space="preserve"> Il blocco 708 dell'opera aveva già iscritto in agenda la misura del vuoto fra il fronte latinoamericano del 1967 e il nodo statunitense di vertice. Quel bersaglio riguarda la campagna boliviana, non questo territorio. Registrarlo serve a evitare la duplicazione, che nelle opere lunghe è il modo più frequente di sembrare esaustivi senza esserlo. Un bersaglio contato due volte è un bersaglio in meno.</w:t>
      </w:r>
    </w:p>
    <w:p>
      <w:pPr>
        <w:spacing w:after="120" w:line="276"/>
        <w:jc w:val="both"/>
      </w:pPr>
      <w:r>
        <w:rPr>
          <w:rFonts w:ascii="Barlow Semi Condensed" w:cs="Barlow Semi Condensed" w:eastAsia="Barlow Semi Condensed" w:hAnsi="Barlow Semi Condensed"/>
          <w:b/>
          <w:bCs/>
          <w:sz w:val="24"/>
          <w:szCs w:val="24"/>
        </w:rPr>
        <w:t xml:space="preserve">1278 · La sincronia che qui non esiste.</w:t>
      </w:r>
      <w:r>
        <w:rPr>
          <w:rFonts w:ascii="Barlow Semi Condensed" w:cs="Barlow Semi Condensed" w:eastAsia="Barlow Semi Condensed" w:hAnsi="Barlow Semi Condensed"/>
          <w:sz w:val="24"/>
          <w:szCs w:val="24"/>
        </w:rPr>
        <w:t xml:space="preserve"> Il nodo M-1 della triangolazione fonda una sincronia istituzionale: nell'ottobre 1967 il presidente del Consiglio italiano era Aldo Moro. Nessuna sincronia analoga è costruibile per questo territorio, perché fra il 1954 e il 1965 il nome qui triangolato non ricopre alcuna carica pubblica. Non si tratta di una sincronia debole: è una sincronia impossibile, e va scritta con questa parola.</w:t>
      </w:r>
    </w:p>
    <w:p>
      <w:pPr>
        <w:spacing w:after="120" w:line="276"/>
        <w:jc w:val="both"/>
      </w:pPr>
      <w:r>
        <w:rPr>
          <w:rFonts w:ascii="Barlow Semi Condensed" w:cs="Barlow Semi Condensed" w:eastAsia="Barlow Semi Condensed" w:hAnsi="Barlow Semi Condensed"/>
          <w:b/>
          <w:bCs/>
          <w:sz w:val="24"/>
          <w:szCs w:val="24"/>
        </w:rPr>
        <w:t xml:space="preserve">1279 · Due negativi di peso diverso.</w:t>
      </w:r>
      <w:r>
        <w:rPr>
          <w:rFonts w:ascii="Barlow Semi Condensed" w:cs="Barlow Semi Condensed" w:eastAsia="Barlow Semi Condensed" w:hAnsi="Barlow Semi Condensed"/>
          <w:sz w:val="24"/>
          <w:szCs w:val="24"/>
        </w:rPr>
        <w:t xml:space="preserve"> Questa serie consegna alle successive una distinzione che vale come regola. L'assenza di carica è accertamento negativo di grado alto, perché discende da fonti istituzionali complete e pubblicate. L'assenza di occorrenze in un fondo mai spogliato è soltanto un'attesa motivata. Presentare le due cose col medesimo tono è l'errore che rende sospetta un'intera campagna, e per evitarlo basta scegliere una parola diversa.</w:t>
      </w:r>
    </w:p>
    <w:p>
      <w:pPr>
        <w:spacing w:after="120" w:line="276"/>
        <w:jc w:val="both"/>
      </w:pPr>
      <w:r>
        <w:rPr>
          <w:rFonts w:ascii="Barlow Semi Condensed" w:cs="Barlow Semi Condensed" w:eastAsia="Barlow Semi Condensed" w:hAnsi="Barlow Semi Condensed"/>
          <w:b/>
          <w:bCs/>
          <w:sz w:val="24"/>
          <w:szCs w:val="24"/>
        </w:rPr>
        <w:t xml:space="preserve">1280 · Non c'è, oppure non risulta.</w:t>
      </w:r>
      <w:r>
        <w:rPr>
          <w:rFonts w:ascii="Barlow Semi Condensed" w:cs="Barlow Semi Condensed" w:eastAsia="Barlow Semi Condensed" w:hAnsi="Barlow Semi Condensed"/>
          <w:sz w:val="24"/>
          <w:szCs w:val="24"/>
        </w:rPr>
        <w:t xml:space="preserve"> Ne discende una convenzione lessicale da tenere ferma in tutta la campagna territoriale: si scrive «non c'è» soltanto per il documento letto integralmente, e «non risulta» per il fondo interrogato per indice o non interrogato affatto. Le due formule non sono sinonimi, e la loro confusione è il canale per cui una lacuna di ricerca entra nella pubblicistica come fatto storico.</w:t>
      </w:r>
    </w:p>
    <w:p>
      <w:pPr>
        <w:spacing w:after="120" w:line="276"/>
        <w:jc w:val="both"/>
      </w:pPr>
      <w:r>
        <w:rPr>
          <w:rFonts w:ascii="Barlow Semi Condensed" w:cs="Barlow Semi Condensed" w:eastAsia="Barlow Semi Condensed" w:hAnsi="Barlow Semi Condensed"/>
          <w:b/>
          <w:bCs/>
          <w:sz w:val="24"/>
          <w:szCs w:val="24"/>
        </w:rPr>
        <w:t xml:space="preserve">1281 · Il limite tecnico di questa serie.</w:t>
      </w:r>
      <w:r>
        <w:rPr>
          <w:rFonts w:ascii="Barlow Semi Condensed" w:cs="Barlow Semi Condensed" w:eastAsia="Barlow Semi Condensed" w:hAnsi="Barlow Semi Condensed"/>
          <w:sz w:val="24"/>
          <w:szCs w:val="24"/>
        </w:rPr>
        <w:t xml:space="preserve"> Va dichiarato come lo dichiara l'apparato K-5: questa serie non ha letto documenti primari. Ha letto il territorio assegnato, gli altri documenti del corpus guevariano e l'apparato della prima campagna, e ne ha ricavato quesiti d'archivio. Ogni sede qui nominata è un bersaglio da verificare in loco, segnature comprese. Chi riprenderà queste righe sappia esattamente quanto ciascuna pesa.</w:t>
      </w:r>
    </w:p>
    <w:p>
      <w:pPr>
        <w:spacing w:after="120" w:line="276"/>
        <w:jc w:val="both"/>
      </w:pPr>
      <w:r>
        <w:rPr>
          <w:rFonts w:ascii="Barlow Semi Condensed" w:cs="Barlow Semi Condensed" w:eastAsia="Barlow Semi Condensed" w:hAnsi="Barlow Semi Condensed"/>
          <w:b/>
          <w:bCs/>
          <w:sz w:val="24"/>
          <w:szCs w:val="24"/>
        </w:rPr>
        <w:t xml:space="preserve">1282 · Il modulo della correzione, se servirà.</w:t>
      </w:r>
      <w:r>
        <w:rPr>
          <w:rFonts w:ascii="Barlow Semi Condensed" w:cs="Barlow Semi Condensed" w:eastAsia="Barlow Semi Condensed" w:hAnsi="Barlow Semi Condensed"/>
          <w:sz w:val="24"/>
          <w:szCs w:val="24"/>
        </w:rPr>
        <w:t xml:space="preserve"> Se una delle sedi qui indicate risultasse inesistente o mal denominata, la correzione seguirà il modulo del blocco 624: lezione originaria per esteso, lezione corretta, fonte, data, ragione dell'intervento. Nessuna riscrittura silenziosa, come impone il blocco 10. Un bersaglio d'archivio sbagliato è un errore utile, perché la sua correzione lascia traccia del cammino e consente di misurare il tasso d'errore.</w:t>
      </w:r>
    </w:p>
    <w:p>
      <w:pPr>
        <w:spacing w:after="120" w:line="276"/>
        <w:jc w:val="both"/>
      </w:pPr>
      <w:r>
        <w:rPr>
          <w:rFonts w:ascii="Barlow Semi Condensed" w:cs="Barlow Semi Condensed" w:eastAsia="Barlow Semi Condensed" w:hAnsi="Barlow Semi Condensed"/>
          <w:b/>
          <w:bCs/>
          <w:sz w:val="24"/>
          <w:szCs w:val="24"/>
        </w:rPr>
        <w:t xml:space="preserve">1283 · Il registro di questa serie.</w:t>
      </w:r>
      <w:r>
        <w:rPr>
          <w:rFonts w:ascii="Barlow Semi Condensed" w:cs="Barlow Semi Condensed" w:eastAsia="Barlow Semi Condensed" w:hAnsi="Barlow Semi Condensed"/>
          <w:sz w:val="24"/>
          <w:szCs w:val="24"/>
        </w:rPr>
        <w:t xml:space="preserve"> Si apre qui il registro delle correzioni della serie diciassettesima, secondo l'istituto fissato al blocco 11. Prima voce: la campagna concettuale trattava il corpus guevariano soltanto per il vettore editoriale e per il modello dichiarato delle Brigate Rosse; questa serie vi aggiunge la misura del silenzio negli anni messicani e avaneri, che nessuna serie precedente aveva verbalizzato. Il registro resta aperto.</w:t>
      </w:r>
    </w:p>
    <w:p>
      <w:pPr>
        <w:spacing w:after="120" w:line="276"/>
        <w:jc w:val="both"/>
      </w:pPr>
      <w:r>
        <w:rPr>
          <w:rFonts w:ascii="Barlow Semi Condensed" w:cs="Barlow Semi Condensed" w:eastAsia="Barlow Semi Condensed" w:hAnsi="Barlow Semi Condensed"/>
          <w:b/>
          <w:bCs/>
          <w:sz w:val="24"/>
          <w:szCs w:val="24"/>
        </w:rPr>
        <w:t xml:space="preserve">1284 · La cancelleria messicana e l'esilio.</w:t>
      </w:r>
      <w:r>
        <w:rPr>
          <w:rFonts w:ascii="Barlow Semi Condensed" w:cs="Barlow Semi Condensed" w:eastAsia="Barlow Semi Condensed" w:hAnsi="Barlow Semi Condensed"/>
          <w:sz w:val="24"/>
          <w:szCs w:val="24"/>
        </w:rPr>
        <w:t xml:space="preserve"> Bersaglio che nessuno ha ancora scritto: l'Archivo Histórico Genaro Estrada della cancelleria messicana conserva le carte sulla posizione del Messico verso l'esilio politico cubano fra il 1955 e il 1956, comprese le pressioni ricevute. Vi si chieda quali governi stranieri intervennero e con quali note verbali. È il modo di misurare la pressione esterna senza partire da un nome preconfezionato.</w:t>
      </w:r>
    </w:p>
    <w:p>
      <w:pPr>
        <w:spacing w:after="120" w:line="276"/>
        <w:jc w:val="both"/>
      </w:pPr>
      <w:r>
        <w:rPr>
          <w:rFonts w:ascii="Barlow Semi Condensed" w:cs="Barlow Semi Condensed" w:eastAsia="Barlow Semi Condensed" w:hAnsi="Barlow Semi Condensed"/>
          <w:b/>
          <w:bCs/>
          <w:sz w:val="24"/>
          <w:szCs w:val="24"/>
        </w:rPr>
        <w:t xml:space="preserve">1285 · Due fascicoli migratori, stessa lezione.</w:t>
      </w:r>
      <w:r>
        <w:rPr>
          <w:rFonts w:ascii="Barlow Semi Condensed" w:cs="Barlow Semi Condensed" w:eastAsia="Barlow Semi Condensed" w:hAnsi="Barlow Semi Condensed"/>
          <w:sz w:val="24"/>
          <w:szCs w:val="24"/>
        </w:rPr>
        <w:t xml:space="preserve"> Il fascicolo migratorio è la fonte che nell'apparato K-1 ha spostato di cinque anni la data dell'anglicizzazione, contro una vulgata priva di documenti. Il territorio ha il proprio equivalente inesplorato: la pratica migratoria messicana del 1954-1956, con la posizione irregolare che il documento descrive. La lezione è che le pratiche amministrative dicono ciò che le biografie ripetono senza verificare.</w:t>
      </w:r>
    </w:p>
    <w:p>
      <w:pPr>
        <w:spacing w:after="120" w:line="276"/>
        <w:jc w:val="both"/>
      </w:pPr>
      <w:r>
        <w:rPr>
          <w:rFonts w:ascii="Barlow Semi Condensed" w:cs="Barlow Semi Condensed" w:eastAsia="Barlow Semi Condensed" w:hAnsi="Barlow Semi Condensed"/>
          <w:b/>
          <w:bCs/>
          <w:sz w:val="24"/>
          <w:szCs w:val="24"/>
        </w:rPr>
        <w:t xml:space="preserve">1286 · Omologia di fonte, non di storia.</w:t>
      </w:r>
      <w:r>
        <w:rPr>
          <w:rFonts w:ascii="Barlow Semi Condensed" w:cs="Barlow Semi Condensed" w:eastAsia="Barlow Semi Condensed" w:hAnsi="Barlow Semi Condensed"/>
          <w:sz w:val="24"/>
          <w:szCs w:val="24"/>
        </w:rPr>
        <w:t xml:space="preserve"> I due fascicoli si somigliano per tipo di fonte e per capacità di correggere una vulgata: nient'altro. Nominarli insieme è utile al metodo e pericoloso alla lettura, perché accostare due biografie su un dettaglio procedurale è il primo passo del racconto che le intreccia. Si tengano dunque nello stesso paragrafo e in due mondi separati, con questa avvertenza scritta accanto.</w:t>
      </w:r>
    </w:p>
    <w:p>
      <w:pPr>
        <w:spacing w:after="120" w:line="276"/>
        <w:jc w:val="both"/>
      </w:pPr>
      <w:r>
        <w:rPr>
          <w:rFonts w:ascii="Barlow Semi Condensed" w:cs="Barlow Semi Condensed" w:eastAsia="Barlow Semi Condensed" w:hAnsi="Barlow Semi Condensed"/>
          <w:b/>
          <w:bCs/>
          <w:sz w:val="24"/>
          <w:szCs w:val="24"/>
        </w:rPr>
        <w:t xml:space="preserve">1287 · Il vettore nasce dentro il territorio.</w:t>
      </w:r>
      <w:r>
        <w:rPr>
          <w:rFonts w:ascii="Barlow Semi Condensed" w:cs="Barlow Semi Condensed" w:eastAsia="Barlow Semi Condensed" w:hAnsi="Barlow Semi Condensed"/>
          <w:sz w:val="24"/>
          <w:szCs w:val="24"/>
        </w:rPr>
        <w:t xml:space="preserve"> Un fatto che la campagna concettuale non aveva collocato cronologicamente: la fotografia di Korda è del marzo 1960, dunque interna agli anni avaneri di questo territorio, mentre il vettore che la rese icona in Italia opera nel 1967-1968. Fra lo scatto e la trasmissione corrono sette anni e un continente. Il codice nasce qui, l'espressione avviene altrove: è la definizione stessa dell'ambiente.</w:t>
      </w:r>
    </w:p>
    <w:p>
      <w:pPr>
        <w:spacing w:after="120" w:line="276"/>
        <w:jc w:val="both"/>
      </w:pPr>
      <w:r>
        <w:rPr>
          <w:rFonts w:ascii="Barlow Semi Condensed" w:cs="Barlow Semi Condensed" w:eastAsia="Barlow Semi Condensed" w:hAnsi="Barlow Semi Condensed"/>
          <w:b/>
          <w:bCs/>
          <w:sz w:val="24"/>
          <w:szCs w:val="24"/>
        </w:rPr>
        <w:t xml:space="preserve">1288 · L'unico piano uno del corpus.</w:t>
      </w:r>
      <w:r>
        <w:rPr>
          <w:rFonts w:ascii="Barlow Semi Condensed" w:cs="Barlow Semi Condensed" w:eastAsia="Barlow Semi Condensed" w:hAnsi="Barlow Semi Condensed"/>
          <w:sz w:val="24"/>
          <w:szCs w:val="24"/>
        </w:rPr>
        <w:t xml:space="preserve"> Il corpus possiede un ponte al piano 1 sul versante latinoamericano, ed è editoriale: l'acquisizione dei diritti del diario, l'edizione del 1968, i manifesti, come registrano i blocchi 519 e 546. Nessun equivalente esiste per il nome qui triangolato, in questo territorio o altrove nel corpus guevariano. La differenza fra i due casi è quella fra un documento e un'atmosfera.</w:t>
      </w:r>
    </w:p>
    <w:p>
      <w:pPr>
        <w:spacing w:after="120" w:line="276"/>
        <w:jc w:val="both"/>
      </w:pPr>
      <w:r>
        <w:rPr>
          <w:rFonts w:ascii="Barlow Semi Condensed" w:cs="Barlow Semi Condensed" w:eastAsia="Barlow Semi Condensed" w:hAnsi="Barlow Semi Condensed"/>
          <w:b/>
          <w:bCs/>
          <w:sz w:val="24"/>
          <w:szCs w:val="24"/>
        </w:rPr>
        <w:t xml:space="preserve">1289 · Genotipo e fenotipo del territorio.</w:t>
      </w:r>
      <w:r>
        <w:rPr>
          <w:rFonts w:ascii="Barlow Semi Condensed" w:cs="Barlow Semi Condensed" w:eastAsia="Barlow Semi Condensed" w:hAnsi="Barlow Semi Condensed"/>
          <w:sz w:val="24"/>
          <w:szCs w:val="24"/>
        </w:rPr>
        <w:t xml:space="preserve"> Del territorio esiste un genotipo — registri ospedalieri, fascicoli di polizia messicani, articoli su rivista, atti di governo cubani — e un fenotipo enormemente più abbondante, fatto di biografie, film e magliette. La regola del blocco 21 impone di risalire sempre al primo. Applicata qui, spiega perché quasi tutte le domande di questa serie siano rivolte ad archivi e quasi nessuna a libri.</w:t>
      </w:r>
    </w:p>
    <w:p>
      <w:pPr>
        <w:spacing w:after="120" w:line="276"/>
        <w:jc w:val="both"/>
      </w:pPr>
      <w:r>
        <w:rPr>
          <w:rFonts w:ascii="Barlow Semi Condensed" w:cs="Barlow Semi Condensed" w:eastAsia="Barlow Semi Condensed" w:hAnsi="Barlow Semi Condensed"/>
          <w:b/>
          <w:bCs/>
          <w:sz w:val="24"/>
          <w:szCs w:val="24"/>
        </w:rPr>
        <w:t xml:space="preserve">1290 · Chi pronuncia la frase (serie XVII).</w:t>
      </w:r>
      <w:r>
        <w:rPr>
          <w:rFonts w:ascii="Barlow Semi Condensed" w:cs="Barlow Semi Condensed" w:eastAsia="Barlow Semi Condensed" w:hAnsi="Barlow Semi Condensed"/>
          <w:sz w:val="24"/>
          <w:szCs w:val="24"/>
        </w:rPr>
        <w:t xml:space="preserve"> La regola del blocco 253 va estesa a questo territorio: in ogni testimonianza si accerta chi parla. Le frasi celebri dei giorni di Cinco Palmas e l'episodio delle munizioni preferite alla borsa medica provengono dal protagonista stesso, nei suoi </w:t>
      </w:r>
      <w:r>
        <w:rPr>
          <w:rFonts w:ascii="Barlow Semi Condensed" w:cs="Barlow Semi Condensed" w:eastAsia="Barlow Semi Condensed" w:hAnsi="Barlow Semi Condensed"/>
          <w:i/>
          <w:iCs/>
          <w:sz w:val="24"/>
          <w:szCs w:val="24"/>
        </w:rPr>
        <w:t xml:space="preserve">Pasajes</w:t>
      </w:r>
      <w:r>
        <w:rPr>
          <w:rFonts w:ascii="Barlow Semi Condensed" w:cs="Barlow Semi Condensed" w:eastAsia="Barlow Semi Condensed" w:hAnsi="Barlow Semi Condensed"/>
          <w:sz w:val="24"/>
          <w:szCs w:val="24"/>
        </w:rPr>
        <w:t xml:space="preserve">. Sono fonte primaria e insieme fonte di parte: si citano indicando il locutore, e non diventano narrazione impersonale del corpus.</w:t>
      </w:r>
    </w:p>
    <w:p>
      <w:pPr>
        <w:spacing w:after="120" w:line="276"/>
        <w:jc w:val="both"/>
      </w:pPr>
      <w:r>
        <w:rPr>
          <w:rFonts w:ascii="Barlow Semi Condensed" w:cs="Barlow Semi Condensed" w:eastAsia="Barlow Semi Condensed" w:hAnsi="Barlow Semi Condensed"/>
          <w:b/>
          <w:bCs/>
          <w:sz w:val="24"/>
          <w:szCs w:val="24"/>
        </w:rPr>
        <w:t xml:space="preserve">1291 · La memorialistica del colonnello.</w:t>
      </w:r>
      <w:r>
        <w:rPr>
          <w:rFonts w:ascii="Barlow Semi Condensed" w:cs="Barlow Semi Condensed" w:eastAsia="Barlow Semi Condensed" w:hAnsi="Barlow Semi Condensed"/>
          <w:sz w:val="24"/>
          <w:szCs w:val="24"/>
        </w:rPr>
        <w:t xml:space="preserve"> Le memorie di Alberto Bayo sull'addestramento di Chalco sono fonte di protagonista, di parte e posteriore ai fatti. Reggono l'affitto simbolico da Erasmo Rivera, come dichiara la bibliografia critica del corpus, e non reggerebbero da sole un dato quantitativo. Distinguere ciò che una memoria può portare da ciò che non può è la prima operazione da compiere su ogni memoria.</w:t>
      </w:r>
    </w:p>
    <w:p>
      <w:pPr>
        <w:spacing w:after="120" w:line="276"/>
        <w:jc w:val="both"/>
      </w:pPr>
      <w:r>
        <w:rPr>
          <w:rFonts w:ascii="Barlow Semi Condensed" w:cs="Barlow Semi Condensed" w:eastAsia="Barlow Semi Condensed" w:hAnsi="Barlow Semi Condensed"/>
          <w:b/>
          <w:bCs/>
          <w:sz w:val="24"/>
          <w:szCs w:val="24"/>
        </w:rPr>
        <w:t xml:space="preserve">1292 · Le tre biografie di riferimento.</w:t>
      </w:r>
      <w:r>
        <w:rPr>
          <w:rFonts w:ascii="Barlow Semi Condensed" w:cs="Barlow Semi Condensed" w:eastAsia="Barlow Semi Condensed" w:hAnsi="Barlow Semi Condensed"/>
          <w:sz w:val="24"/>
          <w:szCs w:val="24"/>
        </w:rPr>
        <w:t xml:space="preserve"> La bibliografia critica del corpus ordina per rango le fonti guevariane e colloca al vertice storiografico Anderson, Taibo II e Castañeda. Nessuna delle tre, per quanto risulta dagli spogli del corpus, tratta il nome qui triangolato in relazione agli anni messicani e avaneri. È un negativo su fonti che il corpus dichiara di aver usato, e pesa più di un negativo su fonti mai aperte.</w:t>
      </w:r>
    </w:p>
    <w:p>
      <w:pPr>
        <w:spacing w:after="120" w:line="276"/>
        <w:jc w:val="both"/>
      </w:pPr>
      <w:r>
        <w:rPr>
          <w:rFonts w:ascii="Barlow Semi Condensed" w:cs="Barlow Semi Condensed" w:eastAsia="Barlow Semi Condensed" w:hAnsi="Barlow Semi Condensed"/>
          <w:b/>
          <w:bCs/>
          <w:sz w:val="24"/>
          <w:szCs w:val="24"/>
        </w:rPr>
        <w:t xml:space="preserve">1293 · Uno spoglio che costa un'ora.</w:t>
      </w:r>
      <w:r>
        <w:rPr>
          <w:rFonts w:ascii="Barlow Semi Condensed" w:cs="Barlow Semi Condensed" w:eastAsia="Barlow Semi Condensed" w:hAnsi="Barlow Semi Condensed"/>
          <w:sz w:val="24"/>
          <w:szCs w:val="24"/>
        </w:rPr>
        <w:t xml:space="preserve"> Verifica economica da eseguire e verbalizzare, oggi non ancora fatta: aprire gli indici dei nomi delle tre biografie maggiori e cercarvi la voce. Esito atteso, assenza in tutte e tre. Se anche una sola la riportasse, si leggerebbe il passo e se ne dichiarerebbe il grado. È il controllo che nessuno esegue perché sembra troppo semplice per essere decisivo, e lo è.</w:t>
      </w:r>
    </w:p>
    <w:p>
      <w:pPr>
        <w:spacing w:after="120" w:line="276"/>
        <w:jc w:val="both"/>
      </w:pPr>
      <w:r>
        <w:rPr>
          <w:rFonts w:ascii="Barlow Semi Condensed" w:cs="Barlow Semi Condensed" w:eastAsia="Barlow Semi Condensed" w:hAnsi="Barlow Semi Condensed"/>
          <w:b/>
          <w:bCs/>
          <w:sz w:val="24"/>
          <w:szCs w:val="24"/>
        </w:rPr>
        <w:t xml:space="preserve">1294 · Il bilancio della serie (serie XVII).</w:t>
      </w:r>
      <w:r>
        <w:rPr>
          <w:rFonts w:ascii="Barlow Semi Condensed" w:cs="Barlow Semi Condensed" w:eastAsia="Barlow Semi Condensed" w:hAnsi="Barlow Semi Condensed"/>
          <w:sz w:val="24"/>
          <w:szCs w:val="24"/>
        </w:rPr>
        <w:t xml:space="preserve"> Conto dichiarato, come impone il criterio della lente. Piano 1 reperiti in questo territorio: nessuno. Piano 2 registrati e non promossi: lo sviluppo latinoamericano come oggetto simultaneo, la rottura del 1961 come causa comune, la cornice della guerra fredda. Piano 3 qualificati: tre. Stati Zero verbalizzati con perimetro: la maggioranza dei blocchi. È il risultato atteso, e non va cosmetizzato.</w:t>
      </w:r>
    </w:p>
    <w:p>
      <w:pPr>
        <w:spacing w:after="120" w:line="276"/>
        <w:jc w:val="both"/>
      </w:pPr>
      <w:r>
        <w:rPr>
          <w:rFonts w:ascii="Barlow Semi Condensed" w:cs="Barlow Semi Condensed" w:eastAsia="Barlow Semi Condensed" w:hAnsi="Barlow Semi Condensed"/>
          <w:b/>
          <w:bCs/>
          <w:sz w:val="24"/>
          <w:szCs w:val="24"/>
        </w:rPr>
        <w:t xml:space="preserve">1295 · Che cosa non è stato stabilito.</w:t>
      </w:r>
      <w:r>
        <w:rPr>
          <w:rFonts w:ascii="Barlow Semi Condensed" w:cs="Barlow Semi Condensed" w:eastAsia="Barlow Semi Condensed" w:hAnsi="Barlow Semi Condensed"/>
          <w:sz w:val="24"/>
          <w:szCs w:val="24"/>
        </w:rPr>
        <w:t xml:space="preserve"> Non è stabilito alcun rapporto fra il nome qui triangolato e gli anni messicani e avaneri di Ernesto Guevara. Non è stabilito nemmeno che un tale rapporto non sia esistito: è stabilito che nessun documento noto lo attesti, e che le sedi capaci di dirimerlo siano qui nominate una per una. Una serie che consegna quesiti eseguibili ha fatto il proprio lavoro.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diciottesima — Guevara: Mosca e Bolivia 1964-1966</w:t>
      </w:r>
    </w:p>
    <w:p>
      <w:pPr>
        <w:spacing w:after="120" w:line="276"/>
        <w:jc w:val="both"/>
      </w:pPr>
      <w:r>
        <w:rPr>
          <w:rFonts w:ascii="Barlow Semi Condensed" w:cs="Barlow Semi Condensed" w:eastAsia="Barlow Semi Condensed" w:hAnsi="Barlow Semi Condensed"/>
          <w:i/>
          <w:iCs/>
          <w:sz w:val="24"/>
          <w:szCs w:val="24"/>
        </w:rPr>
        <w:t xml:space="preserve">Blocchi 1296-1380.</w:t>
      </w:r>
    </w:p>
    <w:p>
      <w:pPr>
        <w:spacing w:after="120" w:line="276"/>
        <w:jc w:val="both"/>
      </w:pPr>
      <w:r>
        <w:rPr>
          <w:rFonts w:ascii="Barlow Semi Condensed" w:cs="Barlow Semi Condensed" w:eastAsia="Barlow Semi Condensed" w:hAnsi="Barlow Semi Condensed"/>
          <w:b/>
          <w:bCs/>
          <w:sz w:val="24"/>
          <w:szCs w:val="24"/>
        </w:rPr>
        <w:t xml:space="preserve">1296 · Statuto della diciottesima serie.</w:t>
      </w:r>
      <w:r>
        <w:rPr>
          <w:rFonts w:ascii="Barlow Semi Condensed" w:cs="Barlow Semi Condensed" w:eastAsia="Barlow Semi Condensed" w:hAnsi="Barlow Semi Condensed"/>
          <w:sz w:val="24"/>
          <w:szCs w:val="24"/>
        </w:rPr>
        <w:t xml:space="preserve"> Questa serie triangola un solo nome contro un territorio circoscritto: lo studio «guevara-mosca-bolivia-1964-1966», che corre dal discorso all'ONU dell'11 dicembre 1964 all'apertura del diario di Ñancahuazú il 7 novembre 1966. Ogni unità che segue è un bersaglio d'archivio, un accertamento con grado dichiarato, una regola di lettura oppure uno Stato Zero verbalizzato con la sede che lo chiuderebbe. Nessuna afferma un fatto nuovo su Henry Kissinger.</w:t>
      </w:r>
    </w:p>
    <w:p>
      <w:pPr>
        <w:spacing w:after="120" w:line="276"/>
        <w:jc w:val="both"/>
      </w:pPr>
      <w:r>
        <w:rPr>
          <w:rFonts w:ascii="Barlow Semi Condensed" w:cs="Barlow Semi Condensed" w:eastAsia="Barlow Semi Condensed" w:hAnsi="Barlow Semi Condensed"/>
          <w:b/>
          <w:bCs/>
          <w:sz w:val="24"/>
          <w:szCs w:val="24"/>
        </w:rPr>
        <w:t xml:space="preserve">1297 · La misura dello zero.</w:t>
      </w:r>
      <w:r>
        <w:rPr>
          <w:rFonts w:ascii="Barlow Semi Condensed" w:cs="Barlow Semi Condensed" w:eastAsia="Barlow Semi Condensed" w:hAnsi="Barlow Semi Condensed"/>
          <w:sz w:val="24"/>
          <w:szCs w:val="24"/>
        </w:rPr>
        <w:t xml:space="preserve"> Misurato meccanicamente, prima di ogni interpretazione: nelle circa tremiladuecento parole del territorio assegnato la stringa «Kissinger» ricorre zero volte. Zero anche negli altri quattro studi guevariani e zero nella cronologia sinottica «cronologia-guevara-moro.html», che copre il 1916-1997. Le sole cinque occorrenze dell'intero filone guevariano stanno in «triangolazioni-guevara-moro.md», e tutte al nodo M-5, cioè sul versante Moro e non su quello boliviano.</w:t>
      </w:r>
    </w:p>
    <w:p>
      <w:pPr>
        <w:spacing w:after="120" w:line="276"/>
        <w:jc w:val="both"/>
      </w:pPr>
      <w:r>
        <w:rPr>
          <w:rFonts w:ascii="Barlow Semi Condensed" w:cs="Barlow Semi Condensed" w:eastAsia="Barlow Semi Condensed" w:hAnsi="Barlow Semi Condensed"/>
          <w:b/>
          <w:bCs/>
          <w:sz w:val="24"/>
          <w:szCs w:val="24"/>
        </w:rPr>
        <w:t xml:space="preserve">1298 · Che cosa quello zero non dice (serie XVIII).</w:t>
      </w:r>
      <w:r>
        <w:rPr>
          <w:rFonts w:ascii="Barlow Semi Condensed" w:cs="Barlow Semi Condensed" w:eastAsia="Barlow Semi Condensed" w:hAnsi="Barlow Semi Condensed"/>
          <w:sz w:val="24"/>
          <w:szCs w:val="24"/>
        </w:rPr>
        <w:t xml:space="preserve"> Quel conteggio non stabilisce che il nome sia estraneo alla vicenda, né che vi appartenga. Misura una scelta di costruzione: i cinque studi guevariani furono redatti su diari, discorsi, biografie e desecretazioni latinoamericane, corpora che non trattano quel nodo per ufficio. Vale qui il secondo tempo della regola dei buchi, fissato al blocco 642 dell'opera: un basso rapporto di co-occorrenza segnala specializzazione delle fonti, non assenza di rapporti.</w:t>
      </w:r>
    </w:p>
    <w:p>
      <w:pPr>
        <w:spacing w:after="120" w:line="276"/>
        <w:jc w:val="both"/>
      </w:pPr>
      <w:r>
        <w:rPr>
          <w:rFonts w:ascii="Barlow Semi Condensed" w:cs="Barlow Semi Condensed" w:eastAsia="Barlow Semi Condensed" w:hAnsi="Barlow Semi Condensed"/>
          <w:b/>
          <w:bCs/>
          <w:sz w:val="24"/>
          <w:szCs w:val="24"/>
        </w:rPr>
        <w:t xml:space="preserve">1299 · L'anteriorità come falsificatore (serie XVIII).</w:t>
      </w:r>
      <w:r>
        <w:rPr>
          <w:rFonts w:ascii="Barlow Semi Condensed" w:cs="Barlow Semi Condensed" w:eastAsia="Barlow Semi Condensed" w:hAnsi="Barlow Semi Condensed"/>
          <w:sz w:val="24"/>
          <w:szCs w:val="24"/>
        </w:rPr>
        <w:t xml:space="preserve"> Il territorio si apre nel dicembre 1964 e si chiude nel novembre 1966. In quell'intero arco Kissinger non ricopriva alcuna carica esecutiva: fu Assistente per la sicurezza nazionale dal 20 gennaio 1969 e Segretario di Stato dal 22 settembre 1973. Il blocco 594 chiama l'anteriorità il più semplice e spietato dei falsificatori, e qui opera per intero: nessun atto del territorio può essere reazione a una decisione mai presa.</w:t>
      </w:r>
    </w:p>
    <w:p>
      <w:pPr>
        <w:spacing w:after="120" w:line="276"/>
        <w:jc w:val="both"/>
      </w:pPr>
      <w:r>
        <w:rPr>
          <w:rFonts w:ascii="Barlow Semi Condensed" w:cs="Barlow Semi Condensed" w:eastAsia="Barlow Semi Condensed" w:hAnsi="Barlow Semi Condensed"/>
          <w:b/>
          <w:bCs/>
          <w:sz w:val="24"/>
          <w:szCs w:val="24"/>
        </w:rPr>
        <w:t xml:space="preserve">1300 · Il divieto di retrodatare.</w:t>
      </w:r>
      <w:r>
        <w:rPr>
          <w:rFonts w:ascii="Barlow Semi Condensed" w:cs="Barlow Semi Condensed" w:eastAsia="Barlow Semi Condensed" w:hAnsi="Barlow Semi Condensed"/>
          <w:sz w:val="24"/>
          <w:szCs w:val="24"/>
        </w:rPr>
        <w:t xml:space="preserve"> Al blocco 261 il manuale investigativo censisce l'errore della retrodatazione, cioè la proiezione di assetti successivi su un anno che non li conosceva. Applicato qui, il divieto è netto: gli archi documentati del nome triangolato appartengono al 1969-1977, e trasferirli sul 1964-1966 fabbrica un fatto inesistente. Chi legge il Congo del 1965 con la mappa decisionale della Casa Bianca del 1970 non interpreta: sostituisce il documento.</w:t>
      </w:r>
    </w:p>
    <w:p>
      <w:pPr>
        <w:spacing w:after="120" w:line="276"/>
        <w:jc w:val="both"/>
      </w:pPr>
      <w:r>
        <w:rPr>
          <w:rFonts w:ascii="Barlow Semi Condensed" w:cs="Barlow Semi Condensed" w:eastAsia="Barlow Semi Condensed" w:hAnsi="Barlow Semi Condensed"/>
          <w:b/>
          <w:bCs/>
          <w:sz w:val="24"/>
          <w:szCs w:val="24"/>
        </w:rPr>
        <w:t xml:space="preserve">1301 · I nomi americani del territorio.</w:t>
      </w:r>
      <w:r>
        <w:rPr>
          <w:rFonts w:ascii="Barlow Semi Condensed" w:cs="Barlow Semi Condensed" w:eastAsia="Barlow Semi Condensed" w:hAnsi="Barlow Semi Condensed"/>
          <w:sz w:val="24"/>
          <w:szCs w:val="24"/>
        </w:rPr>
        <w:t xml:space="preserve"> Sul versante statunitense il documento assegnato nomina poche cose e le nomina per esteso: la CIA sei volte, il presidente Lyndon Johnson una, Averell Harriman e il vicesegretario alla difesa Cyrus Vance come inviati per il ponte aereo congolese, Washington una sola volta. Questo è l'inventario completo. Un blocco che aggiunga a questo elenco un nome assente dal testo non triangola il corpus: lo riscrive.</w:t>
      </w:r>
    </w:p>
    <w:p>
      <w:pPr>
        <w:spacing w:after="120" w:line="276"/>
        <w:jc w:val="both"/>
      </w:pPr>
      <w:r>
        <w:rPr>
          <w:rFonts w:ascii="Barlow Semi Condensed" w:cs="Barlow Semi Condensed" w:eastAsia="Barlow Semi Condensed" w:hAnsi="Barlow Semi Condensed"/>
          <w:b/>
          <w:bCs/>
          <w:sz w:val="24"/>
          <w:szCs w:val="24"/>
        </w:rPr>
        <w:t xml:space="preserve">1302 · La sedia e chi vi sedeva.</w:t>
      </w:r>
      <w:r>
        <w:rPr>
          <w:rFonts w:ascii="Barlow Semi Condensed" w:cs="Barlow Semi Condensed" w:eastAsia="Barlow Semi Condensed" w:hAnsi="Barlow Semi Condensed"/>
          <w:sz w:val="24"/>
          <w:szCs w:val="24"/>
        </w:rPr>
        <w:t xml:space="preserve"> Nel 1964-1966 l'organo che approvava le azioni coperte era il Comitato dei 303, presieduto dal consigliere per la sicurezza nazionale allora in carica. Kissinger presiederà quella stessa sedia dall'11 marzo 1969, nella riunione edita in FRUS 1969-1976 volume XLI documento 180 e già acquisita ai blocchi 241 e 424. Identità della sedia e identità dell'occupante sono cose diverse: confonderle è la forma istituzionale dell'anacronismo.</w:t>
      </w:r>
    </w:p>
    <w:p>
      <w:pPr>
        <w:spacing w:after="120" w:line="276"/>
        <w:jc w:val="both"/>
      </w:pPr>
      <w:r>
        <w:rPr>
          <w:rFonts w:ascii="Barlow Semi Condensed" w:cs="Barlow Semi Condensed" w:eastAsia="Barlow Semi Condensed" w:hAnsi="Barlow Semi Condensed"/>
          <w:b/>
          <w:bCs/>
          <w:sz w:val="24"/>
          <w:szCs w:val="24"/>
        </w:rPr>
        <w:t xml:space="preserve">1303 · L'attesa dichiarata prima della ricerca.</w:t>
      </w:r>
      <w:r>
        <w:rPr>
          <w:rFonts w:ascii="Barlow Semi Condensed" w:cs="Barlow Semi Condensed" w:eastAsia="Barlow Semi Condensed" w:hAnsi="Barlow Semi Condensed"/>
          <w:sz w:val="24"/>
          <w:szCs w:val="24"/>
        </w:rPr>
        <w:t xml:space="preserve"> Il blocco 650 impone di dichiarare quanti documenti pertinenti ci si attende, e perché, prima di aprire il fondo. Per questa serie l'attesa è formulata così: nelle sedi latinoamericane, congolesi, cecoslovacche e sovietiche del periodo si attendono zero documenti che nominino Kissinger, perché egli non aveva funzione. Se ne emergessero, la sorpresa sarebbe misurabile; non emergendone, l'esito negativo non sposta nulla e va detto.</w:t>
      </w:r>
    </w:p>
    <w:p>
      <w:pPr>
        <w:spacing w:after="120" w:line="276"/>
        <w:jc w:val="both"/>
      </w:pPr>
      <w:r>
        <w:rPr>
          <w:rFonts w:ascii="Barlow Semi Condensed" w:cs="Barlow Semi Condensed" w:eastAsia="Barlow Semi Condensed" w:hAnsi="Barlow Semi Condensed"/>
          <w:b/>
          <w:bCs/>
          <w:sz w:val="24"/>
          <w:szCs w:val="24"/>
        </w:rPr>
        <w:t xml:space="preserve">1304 · Il perimetro cronologico di questa serie.</w:t>
      </w:r>
      <w:r>
        <w:rPr>
          <w:rFonts w:ascii="Barlow Semi Condensed" w:cs="Barlow Semi Condensed" w:eastAsia="Barlow Semi Condensed" w:hAnsi="Barlow Semi Condensed"/>
          <w:sz w:val="24"/>
          <w:szCs w:val="24"/>
        </w:rPr>
        <w:t xml:space="preserve"> Si fissa in una riga, come vuole il blocco 653: dall'11 dicembre 1964, giorno del discorso «Colonialism is Doomed», al 7 novembre 1966, giorno dell'annotazione «oggi comincia una nuova tappa». Fuori restano la Sierra Maestra, trattata dal secondo studio, e l'intera campagna boliviana del 1967, trattata dal quinto. Una ricerca condotta su ventitré mesi e una condotta su un decennio non producono lo stesso esito negativo.</w:t>
      </w:r>
    </w:p>
    <w:p>
      <w:pPr>
        <w:spacing w:after="120" w:line="276"/>
        <w:jc w:val="both"/>
      </w:pPr>
      <w:r>
        <w:rPr>
          <w:rFonts w:ascii="Barlow Semi Condensed" w:cs="Barlow Semi Condensed" w:eastAsia="Barlow Semi Condensed" w:hAnsi="Barlow Semi Condensed"/>
          <w:b/>
          <w:bCs/>
          <w:sz w:val="24"/>
          <w:szCs w:val="24"/>
        </w:rPr>
        <w:t xml:space="preserve">1305 · Le stringhe da interrogare.</w:t>
      </w:r>
      <w:r>
        <w:rPr>
          <w:rFonts w:ascii="Barlow Semi Condensed" w:cs="Barlow Semi Condensed" w:eastAsia="Barlow Semi Condensed" w:hAnsi="Barlow Semi Condensed"/>
          <w:sz w:val="24"/>
          <w:szCs w:val="24"/>
        </w:rPr>
        <w:t xml:space="preserve"> Dichiarare le forme cercate e quelle escluse è prescrizione del blocco 652. Per questo territorio valgono almeno il cognome semplice, la forma con iniziale puntata, «Heinz Alfred» accanto a «Henry Alfred» per la ragione fissata in K-1, la translitterazione cirillica per i fondi moscoviti e le varianti prodotte dal riconoscimento ottico su carte dattiloscritte. Un fondo digitalizzato male restituisce un vuoto che non esiste.</w:t>
      </w:r>
    </w:p>
    <w:p>
      <w:pPr>
        <w:spacing w:after="120" w:line="276"/>
        <w:jc w:val="both"/>
      </w:pPr>
      <w:r>
        <w:rPr>
          <w:rFonts w:ascii="Barlow Semi Condensed" w:cs="Barlow Semi Condensed" w:eastAsia="Barlow Semi Condensed" w:hAnsi="Barlow Semi Condensed"/>
          <w:b/>
          <w:bCs/>
          <w:sz w:val="24"/>
          <w:szCs w:val="24"/>
        </w:rPr>
        <w:t xml:space="preserve">1306 · New York, dicembre 1964: le sedi.</w:t>
      </w:r>
      <w:r>
        <w:rPr>
          <w:rFonts w:ascii="Barlow Semi Condensed" w:cs="Barlow Semi Condensed" w:eastAsia="Barlow Semi Condensed" w:hAnsi="Barlow Semi Condensed"/>
          <w:sz w:val="24"/>
          <w:szCs w:val="24"/>
        </w:rPr>
        <w:t xml:space="preserve"> Per la settimana newyorkese le sedi sono nominabili con precisione: gli archivi delle Nazioni Unite a New York per gli atti della diciannovesima Assemblea generale, e presso i National Archives di College Park il Record Group 84 con le carte della missione statunitense all'ONU. È lì che si verifica chi, per gli Stati Uniti, seguì quel discorso. L'attesa è che nessuna di quelle carte rechi il nome triangolato.</w:t>
      </w:r>
    </w:p>
    <w:p>
      <w:pPr>
        <w:spacing w:after="120" w:line="276"/>
        <w:jc w:val="both"/>
      </w:pPr>
      <w:r>
        <w:rPr>
          <w:rFonts w:ascii="Barlow Semi Condensed" w:cs="Barlow Semi Condensed" w:eastAsia="Barlow Semi Condensed" w:hAnsi="Barlow Semi Condensed"/>
          <w:b/>
          <w:bCs/>
          <w:sz w:val="24"/>
          <w:szCs w:val="24"/>
        </w:rPr>
        <w:t xml:space="preserve">1307 · Il discorso dell'11 dicembre 1964.</w:t>
      </w:r>
      <w:r>
        <w:rPr>
          <w:rFonts w:ascii="Barlow Semi Condensed" w:cs="Barlow Semi Condensed" w:eastAsia="Barlow Semi Condensed" w:hAnsi="Barlow Semi Condensed"/>
          <w:sz w:val="24"/>
          <w:szCs w:val="24"/>
        </w:rPr>
        <w:t xml:space="preserve"> Consolidati al nodo E-16 della triangolazione guevariana sono data, sede e contenuto del discorso: la denuncia della divisione neocoloniale e dell'apartheid sudafricano davanti all'Assemblea generale. Il testo sta nel Marxists Internet Archive, la registrazione presso Smithsonian Folkways. Sono fonti primarie di piano 1 per ciò che Guevara disse, e non sono fonti di alcun grado per ciò che a Washington qualcuno pensò di quel discorso.</w:t>
      </w:r>
    </w:p>
    <w:p>
      <w:pPr>
        <w:spacing w:after="120" w:line="276"/>
        <w:jc w:val="both"/>
      </w:pPr>
      <w:r>
        <w:rPr>
          <w:rFonts w:ascii="Barlow Semi Condensed" w:cs="Barlow Semi Condensed" w:eastAsia="Barlow Semi Condensed" w:hAnsi="Barlow Semi Condensed"/>
          <w:b/>
          <w:bCs/>
          <w:sz w:val="24"/>
          <w:szCs w:val="24"/>
        </w:rPr>
        <w:t xml:space="preserve">1308 · Face the Nation, 13 dicembre.</w:t>
      </w:r>
      <w:r>
        <w:rPr>
          <w:rFonts w:ascii="Barlow Semi Condensed" w:cs="Barlow Semi Condensed" w:eastAsia="Barlow Semi Condensed" w:hAnsi="Barlow Semi Condensed"/>
          <w:sz w:val="24"/>
          <w:szCs w:val="24"/>
        </w:rPr>
        <w:t xml:space="preserve"> L'intervista alla CBS del 13 dicembre 1964 è documentata, e il nodo E-20 registra insieme la conferma del fatto e la debolezza della fonte originaria, un PDF su rete di distribuzione anonima poi sostituito con l'archivio della rete televisiva. Il bersaglio che ne discende è di catalogo: verificare presso l'archivio CBS se della puntata sopravviva il nastro integrale o soltanto la sintesi redazionale.</w:t>
      </w:r>
    </w:p>
    <w:p>
      <w:pPr>
        <w:spacing w:after="120" w:line="276"/>
        <w:jc w:val="both"/>
      </w:pPr>
      <w:r>
        <w:rPr>
          <w:rFonts w:ascii="Barlow Semi Condensed" w:cs="Barlow Semi Condensed" w:eastAsia="Barlow Semi Condensed" w:hAnsi="Barlow Semi Condensed"/>
          <w:b/>
          <w:bCs/>
          <w:sz w:val="24"/>
          <w:szCs w:val="24"/>
        </w:rPr>
        <w:t xml:space="preserve">1309 · Il messaggio all'Audubon Ballroom.</w:t>
      </w:r>
      <w:r>
        <w:rPr>
          <w:rFonts w:ascii="Barlow Semi Condensed" w:cs="Barlow Semi Condensed" w:eastAsia="Barlow Semi Condensed" w:hAnsi="Barlow Semi Condensed"/>
          <w:sz w:val="24"/>
          <w:szCs w:val="24"/>
        </w:rPr>
        <w:t xml:space="preserve"> Correzione già applicata e da non riaprire: il nodo E-21 stabilisce che non vi fu alcun incontro privato con Malcolm X. Guevara declinò l'invito dell'Organization of Afro-American Unity per ragioni di sicurezza e inviò un messaggio scritto, letto in sala il 13 dicembre 1964. Il testo è riportato da un periodico di parte, primario però quanto alla lettera del messaggio. Nessun apparato statunitense vi compare.</w:t>
      </w:r>
    </w:p>
    <w:p>
      <w:pPr>
        <w:spacing w:after="120" w:line="276"/>
        <w:jc w:val="both"/>
      </w:pPr>
      <w:r>
        <w:rPr>
          <w:rFonts w:ascii="Barlow Semi Condensed" w:cs="Barlow Semi Condensed" w:eastAsia="Barlow Semi Condensed" w:hAnsi="Barlow Semi Condensed"/>
          <w:b/>
          <w:bCs/>
          <w:sz w:val="24"/>
          <w:szCs w:val="24"/>
        </w:rPr>
        <w:t xml:space="preserve">1310 · Il bazooka di Long Island City.</w:t>
      </w:r>
      <w:r>
        <w:rPr>
          <w:rFonts w:ascii="Barlow Semi Condensed" w:cs="Barlow Semi Condensed" w:eastAsia="Barlow Semi Condensed" w:hAnsi="Barlow Semi Condensed"/>
          <w:sz w:val="24"/>
          <w:szCs w:val="24"/>
        </w:rPr>
        <w:t xml:space="preserve"> La nota di revisione numero due del territorio corregge la stesura originaria: il colpo da tre pollici e mezzo dell'11 dicembre 1964 partì da un terreno abbandonato di Long Island City e non da un'imbarcazione, e cadde in acqua a circa duecento iarde dal Palazzo di Vetro. Restano confermati data, attribuzione a Guillermo e Ignacio Novo con Julio Pérez, e il concomitante tentativo di Molly Gonzales.</w:t>
      </w:r>
    </w:p>
    <w:p>
      <w:pPr>
        <w:spacing w:after="120" w:line="276"/>
        <w:jc w:val="both"/>
      </w:pPr>
      <w:r>
        <w:rPr>
          <w:rFonts w:ascii="Barlow Semi Condensed" w:cs="Barlow Semi Condensed" w:eastAsia="Barlow Semi Condensed" w:hAnsi="Barlow Semi Condensed"/>
          <w:b/>
          <w:bCs/>
          <w:sz w:val="24"/>
          <w:szCs w:val="24"/>
        </w:rPr>
        <w:t xml:space="preserve">1311 · Il seguito giudiziario dell'attentato.</w:t>
      </w:r>
      <w:r>
        <w:rPr>
          <w:rFonts w:ascii="Barlow Semi Condensed" w:cs="Barlow Semi Condensed" w:eastAsia="Barlow Semi Condensed" w:hAnsi="Barlow Semi Condensed"/>
          <w:sz w:val="24"/>
          <w:szCs w:val="24"/>
        </w:rPr>
        <w:t xml:space="preserve"> Bersaglio da portare in sede precisa: quale autorità procedette per il tiro del dicembre 1964, con quale imputazione e con quale esito definitivo. Le sedi sono gli atti delle corti federali e statali di New York, reperibili presso il National Archives at New York City. Il corpus, allo stato, non registra alcun giudicato su quell'episodio, e finché la carta non è letta non ne presume l'esistenza.</w:t>
      </w:r>
    </w:p>
    <w:p>
      <w:pPr>
        <w:spacing w:after="120" w:line="276"/>
        <w:jc w:val="both"/>
      </w:pPr>
      <w:r>
        <w:rPr>
          <w:rFonts w:ascii="Barlow Semi Condensed" w:cs="Barlow Semi Condensed" w:eastAsia="Barlow Semi Condensed" w:hAnsi="Barlow Semi Condensed"/>
          <w:b/>
          <w:bCs/>
          <w:sz w:val="24"/>
          <w:szCs w:val="24"/>
        </w:rPr>
        <w:t xml:space="preserve">1312 · Un nome che riappare dodici anni dopo.</w:t>
      </w:r>
      <w:r>
        <w:rPr>
          <w:rFonts w:ascii="Barlow Semi Condensed" w:cs="Barlow Semi Condensed" w:eastAsia="Barlow Semi Condensed" w:hAnsi="Barlow Semi Condensed"/>
          <w:sz w:val="24"/>
          <w:szCs w:val="24"/>
        </w:rPr>
        <w:t xml:space="preserve"> Uno dei nomi del dicembre 1964, Guillermo Novo, riappare nella pubblicistica a proposito dell'attentato di Washington del 21 settembre 1976 contro Orlando Letelier. Il quesito è documentale e non narrativo: quale fu l'esito definitivo del suo percorso giudiziario, verificabile negli atti della corte distrettuale del Distretto di Columbia e nella pronuncia d'appello. Nessun grado si attribuisce prima di quella lettura, e nessuna colpa oltre il giudicato.</w:t>
      </w:r>
    </w:p>
    <w:p>
      <w:pPr>
        <w:spacing w:after="120" w:line="276"/>
        <w:jc w:val="both"/>
      </w:pPr>
      <w:r>
        <w:rPr>
          <w:rFonts w:ascii="Barlow Semi Condensed" w:cs="Barlow Semi Condensed" w:eastAsia="Barlow Semi Condensed" w:hAnsi="Barlow Semi Condensed"/>
          <w:b/>
          <w:bCs/>
          <w:sz w:val="24"/>
          <w:szCs w:val="24"/>
        </w:rPr>
        <w:t xml:space="preserve">1313 · Perché la riapparizione non è nesso.</w:t>
      </w:r>
      <w:r>
        <w:rPr>
          <w:rFonts w:ascii="Barlow Semi Condensed" w:cs="Barlow Semi Condensed" w:eastAsia="Barlow Semi Condensed" w:hAnsi="Barlow Semi Condensed"/>
          <w:sz w:val="24"/>
          <w:szCs w:val="24"/>
        </w:rPr>
        <w:t xml:space="preserve"> Vale alla lettera anche qui il blocco 413: la ricorrenza di un nome in due fascicoli è cartografia, non genealogia. Che una persona attraversi il dicembre 1964 di New York e poi il 1976 di Washington non istituisce alcun rapporto fra Guevara e il nome triangolato da questa serie. Il quesito resta documentale, cioè quale atto attesti un rapporto e in quale sede lo si chiederebbe.</w:t>
      </w:r>
    </w:p>
    <w:p>
      <w:pPr>
        <w:spacing w:after="120" w:line="276"/>
        <w:jc w:val="both"/>
      </w:pPr>
      <w:r>
        <w:rPr>
          <w:rFonts w:ascii="Barlow Semi Condensed" w:cs="Barlow Semi Condensed" w:eastAsia="Barlow Semi Condensed" w:hAnsi="Barlow Semi Condensed"/>
          <w:b/>
          <w:bCs/>
          <w:sz w:val="24"/>
          <w:szCs w:val="24"/>
        </w:rPr>
        <w:t xml:space="preserve">1314 · Il cablogramma del settembre 1976.</w:t>
      </w:r>
      <w:r>
        <w:rPr>
          <w:rFonts w:ascii="Barlow Semi Condensed" w:cs="Barlow Semi Condensed" w:eastAsia="Barlow Semi Condensed" w:hAnsi="Barlow Semi Condensed"/>
          <w:sz w:val="24"/>
          <w:szCs w:val="24"/>
        </w:rPr>
        <w:t xml:space="preserve"> Circola come dato acquisito l'esistenza di un'istruzione del Dipartimento di Stato del settembre 1976 sui governi del cono sud, poi ritirata prima della consegna. È materia del volume FRUS pertinente e delle desecretazioni cilene, e va verificata sull'originale con segnatura. Comunque si chiuda, appartiene al 1976: non retroagisce sul territorio qui assegnato, e nominarla accanto al 1964 sarebbe soltanto contiguità tipografica.</w:t>
      </w:r>
    </w:p>
    <w:p>
      <w:pPr>
        <w:spacing w:after="120" w:line="276"/>
        <w:jc w:val="both"/>
      </w:pPr>
      <w:r>
        <w:rPr>
          <w:rFonts w:ascii="Barlow Semi Condensed" w:cs="Barlow Semi Condensed" w:eastAsia="Barlow Semi Condensed" w:hAnsi="Barlow Semi Condensed"/>
          <w:b/>
          <w:bCs/>
          <w:sz w:val="24"/>
          <w:szCs w:val="24"/>
        </w:rPr>
        <w:t xml:space="preserve">1315 · Molly Gonzales, il coltello.</w:t>
      </w:r>
      <w:r>
        <w:rPr>
          <w:rFonts w:ascii="Barlow Semi Condensed" w:cs="Barlow Semi Condensed" w:eastAsia="Barlow Semi Condensed" w:hAnsi="Barlow Semi Condensed"/>
          <w:sz w:val="24"/>
          <w:szCs w:val="24"/>
        </w:rPr>
        <w:t xml:space="preserve"> Confermato al nodo E-17 è il primo dei due tentativi dell'11 dicembre, condotto con un coltello da caccia di sette pollici contro le barricate di sicurezza. È fatto minore e serve a una funzione sola in questa serie: mostrare che l'ostilità documentata verso Guevara nel dicembre 1964 ha nomi propri, tutti riconducibili alla diaspora cubana, e nessuno riconducibile a un funzionario o consulente federale.</w:t>
      </w:r>
    </w:p>
    <w:p>
      <w:pPr>
        <w:spacing w:after="120" w:line="276"/>
        <w:jc w:val="both"/>
      </w:pPr>
      <w:r>
        <w:rPr>
          <w:rFonts w:ascii="Barlow Semi Condensed" w:cs="Barlow Semi Condensed" w:eastAsia="Barlow Semi Condensed" w:hAnsi="Barlow Semi Condensed"/>
          <w:b/>
          <w:bCs/>
          <w:sz w:val="24"/>
          <w:szCs w:val="24"/>
        </w:rPr>
        <w:t xml:space="preserve">1316 · La sorveglianza del 1954-1968.</w:t>
      </w:r>
      <w:r>
        <w:rPr>
          <w:rFonts w:ascii="Barlow Semi Condensed" w:cs="Barlow Semi Condensed" w:eastAsia="Barlow Semi Condensed" w:hAnsi="Barlow Semi Condensed"/>
          <w:sz w:val="24"/>
          <w:szCs w:val="24"/>
        </w:rPr>
        <w:t xml:space="preserve"> Oltre mille rapporti dell'agenzia statunitense sul periodo 1954-1968, analizzati dai giuristi Michael Ratner e Michael Steven Smith, sono riferiti dal territorio. Il nodo E-22 ne accetta l'esistenza e marca come da riscontrare il dettaglio del sabotaggio degli inalatori, giunto per via secondaria. La sede che chiude entrambe le questioni è duplice: il testo originale dei due giuristi e la banca dati desecretata della sala di lettura elettronica dell'agenzia.</w:t>
      </w:r>
    </w:p>
    <w:p>
      <w:pPr>
        <w:spacing w:after="120" w:line="276"/>
        <w:jc w:val="both"/>
      </w:pPr>
      <w:r>
        <w:rPr>
          <w:rFonts w:ascii="Barlow Semi Condensed" w:cs="Barlow Semi Condensed" w:eastAsia="Barlow Semi Condensed" w:hAnsi="Barlow Semi Condensed"/>
          <w:b/>
          <w:bCs/>
          <w:sz w:val="24"/>
          <w:szCs w:val="24"/>
        </w:rPr>
        <w:t xml:space="preserve">1317 · Il quesito sui destinatari dei rapporti.</w:t>
      </w:r>
      <w:r>
        <w:rPr>
          <w:rFonts w:ascii="Barlow Semi Condensed" w:cs="Barlow Semi Condensed" w:eastAsia="Barlow Semi Condensed" w:hAnsi="Barlow Semi Condensed"/>
          <w:sz w:val="24"/>
          <w:szCs w:val="24"/>
        </w:rPr>
        <w:t xml:space="preserve"> Da porre a quella stessa banca dati, in forma verificabile: se in quei rapporti compaiano diramazioni a consulenti esterni all'amministrazione, con nome e data. L'attesa motivata è negativa, perché la distribuzione di prodotto operativo sul fronte cubano non passava per docenti universitari privi di incarico. Un esito positivo, se venisse, sarebbe un documento di piano 1 e andrebbe trattato come tale, non come conferma di una tesi.</w:t>
      </w:r>
    </w:p>
    <w:p>
      <w:pPr>
        <w:spacing w:after="120" w:line="276"/>
        <w:jc w:val="both"/>
      </w:pPr>
      <w:r>
        <w:rPr>
          <w:rFonts w:ascii="Barlow Semi Condensed" w:cs="Barlow Semi Condensed" w:eastAsia="Barlow Semi Condensed" w:hAnsi="Barlow Semi Condensed"/>
          <w:b/>
          <w:bCs/>
          <w:sz w:val="24"/>
          <w:szCs w:val="24"/>
        </w:rPr>
        <w:t xml:space="preserve">1318 · Il consulente senza carica.</w:t>
      </w:r>
      <w:r>
        <w:rPr>
          <w:rFonts w:ascii="Barlow Semi Condensed" w:cs="Barlow Semi Condensed" w:eastAsia="Barlow Semi Condensed" w:hAnsi="Barlow Semi Condensed"/>
          <w:sz w:val="24"/>
          <w:szCs w:val="24"/>
        </w:rPr>
        <w:t xml:space="preserve"> La bibliografia corrente attribuisce a Kissinger, negli anni Sessanta, consulenze presso l'agenzia per il controllo degli armamenti, il Dipartimento di Stato e un istituto di ricerca californiano. Il corpus non le ha verificate su atto e non le assume. Il quesito operativo è reperire gli atti di nomina e i fascicoli personali presso le Manuscripts and Archives della Yale University Library, dove sono depositate le carte anteriori al 1969.</w:t>
      </w:r>
    </w:p>
    <w:p>
      <w:pPr>
        <w:spacing w:after="120" w:line="276"/>
        <w:jc w:val="both"/>
      </w:pPr>
      <w:r>
        <w:rPr>
          <w:rFonts w:ascii="Barlow Semi Condensed" w:cs="Barlow Semi Condensed" w:eastAsia="Barlow Semi Condensed" w:hAnsi="Barlow Semi Condensed"/>
          <w:b/>
          <w:bCs/>
          <w:sz w:val="24"/>
          <w:szCs w:val="24"/>
        </w:rPr>
        <w:t xml:space="preserve">1319 · La porta sbagliata di Washington.</w:t>
      </w:r>
      <w:r>
        <w:rPr>
          <w:rFonts w:ascii="Barlow Semi Condensed" w:cs="Barlow Semi Condensed" w:eastAsia="Barlow Semi Condensed" w:hAnsi="Barlow Semi Condensed"/>
          <w:sz w:val="24"/>
          <w:szCs w:val="24"/>
        </w:rPr>
        <w:t xml:space="preserve"> Precisazione archivistica che risparmia mesi: le carte ufficiali del periodo di governo sono depositate alla Divisione manoscritti della Library of Congress e coprono il 1969-1977. Per il territorio qui assegnato quella è la porta sbagliata, perché il 1964-1966 vi è per definizione assente. Chi cerchi il nome triangolato negli anni di Guevara deve bussare a New Haven, non a Washington, e dichiararlo nel proprio verbale.</w:t>
      </w:r>
    </w:p>
    <w:p>
      <w:pPr>
        <w:spacing w:after="120" w:line="276"/>
        <w:jc w:val="both"/>
      </w:pPr>
      <w:r>
        <w:rPr>
          <w:rFonts w:ascii="Barlow Semi Condensed" w:cs="Barlow Semi Condensed" w:eastAsia="Barlow Semi Condensed" w:hAnsi="Barlow Semi Condensed"/>
          <w:b/>
          <w:bCs/>
          <w:sz w:val="24"/>
          <w:szCs w:val="24"/>
        </w:rPr>
        <w:t xml:space="preserve">1320 · L'itinerario del tour, come sta agli atti.</w:t>
      </w:r>
      <w:r>
        <w:rPr>
          <w:rFonts w:ascii="Barlow Semi Condensed" w:cs="Barlow Semi Condensed" w:eastAsia="Barlow Semi Condensed" w:hAnsi="Barlow Semi Condensed"/>
          <w:sz w:val="24"/>
          <w:szCs w:val="24"/>
        </w:rPr>
        <w:t xml:space="preserve"> Coerente con la cronologia consolidata, secondo il nodo E-23, è l'elenco delle tappe fra la fine del 1964 e il marzo 1965: Cina, Corea del Nord, Berlino Est, Unione Sovietica, Mali, Congo-Brazzaville, Ghana, Tanzania, Egitto, Algeria, con ordine e tappe minori variabili fra le fonti. È itinerario di un funzionario cubano fra capitali del campo socialista e africane: nessuna di esse è capitale atlantica.</w:t>
      </w:r>
    </w:p>
    <w:p>
      <w:pPr>
        <w:spacing w:after="120" w:line="276"/>
        <w:jc w:val="both"/>
      </w:pPr>
      <w:r>
        <w:rPr>
          <w:rFonts w:ascii="Barlow Semi Condensed" w:cs="Barlow Semi Condensed" w:eastAsia="Barlow Semi Condensed" w:hAnsi="Barlow Semi Condensed"/>
          <w:b/>
          <w:bCs/>
          <w:sz w:val="24"/>
          <w:szCs w:val="24"/>
        </w:rPr>
        <w:t xml:space="preserve">1321 · Algeri, 24 febbraio 1965.</w:t>
      </w:r>
      <w:r>
        <w:rPr>
          <w:rFonts w:ascii="Barlow Semi Condensed" w:cs="Barlow Semi Condensed" w:eastAsia="Barlow Semi Condensed" w:hAnsi="Barlow Semi Condensed"/>
          <w:sz w:val="24"/>
          <w:szCs w:val="24"/>
        </w:rPr>
        <w:t xml:space="preserve"> Il nodo E-25 conferma data, sede e tesi del discorso al Secondo Seminario Economico di Solidarietà Afro-Asiatica: lo scambio ineguale, e i paesi socialisti dichiarati complici oggettivi dello sfruttamento imperialista. L'edizione con le correzioni autografe è custodita dal Centro Studi Che Guevara dell'Avana ed è la sede che chiuderebbe ogni questione filologica sul testo. Il documento attacca Mosca e Washington insieme, e non nomina alcun individuo statunitense.</w:t>
      </w:r>
    </w:p>
    <w:p>
      <w:pPr>
        <w:spacing w:after="120" w:line="276"/>
        <w:jc w:val="both"/>
      </w:pPr>
      <w:r>
        <w:rPr>
          <w:rFonts w:ascii="Barlow Semi Condensed" w:cs="Barlow Semi Condensed" w:eastAsia="Barlow Semi Condensed" w:hAnsi="Barlow Semi Condensed"/>
          <w:b/>
          <w:bCs/>
          <w:sz w:val="24"/>
          <w:szCs w:val="24"/>
        </w:rPr>
        <w:t xml:space="preserve">1322 · Dove cercare la reazione sovietica.</w:t>
      </w:r>
      <w:r>
        <w:rPr>
          <w:rFonts w:ascii="Barlow Semi Condensed" w:cs="Barlow Semi Condensed" w:eastAsia="Barlow Semi Condensed" w:hAnsi="Barlow Semi Condensed"/>
          <w:sz w:val="24"/>
          <w:szCs w:val="24"/>
        </w:rPr>
        <w:t xml:space="preserve"> Lo sdegno della delegazione sovietica ad Algeri è riferito dal territorio senza carta a sostegno. Le sedi che lo trasformerebbero in accertamento sono l'Archivio di Stato russo di storia contemporanea, per le carte del dipartimento internazionale del partito, e l'Archivio di politica estera della Federazione Russa, per la referentura cubana; le segnature esatte vanno verificate in loco. È in quei fondi che si misura la rottura, non nelle sintesi.</w:t>
      </w:r>
    </w:p>
    <w:p>
      <w:pPr>
        <w:spacing w:after="120" w:line="276"/>
        <w:jc w:val="both"/>
      </w:pPr>
      <w:r>
        <w:rPr>
          <w:rFonts w:ascii="Barlow Semi Condensed" w:cs="Barlow Semi Condensed" w:eastAsia="Barlow Semi Condensed" w:hAnsi="Barlow Semi Condensed"/>
          <w:b/>
          <w:bCs/>
          <w:sz w:val="24"/>
          <w:szCs w:val="24"/>
        </w:rPr>
        <w:t xml:space="preserve">1323 · Mosca nel titolo, e nel testo.</w:t>
      </w:r>
      <w:r>
        <w:rPr>
          <w:rFonts w:ascii="Barlow Semi Condensed" w:cs="Barlow Semi Condensed" w:eastAsia="Barlow Semi Condensed" w:hAnsi="Barlow Semi Condensed"/>
          <w:sz w:val="24"/>
          <w:szCs w:val="24"/>
        </w:rPr>
        <w:t xml:space="preserve"> Il titolo del territorio annuncia un viaggio a Mosca; il testo, letto riga per riga, non dedica alla tappa sovietica alcuna trattazione autonoma, e la assorbe nell'elenco del tour. È divergenza interna al documento e si riporta senza scioglierla. La sede che la chiuderebbe è duplice: la cronologia di Jon Lee Anderson per le date, e i fondi moscoviti già nominati per i verbali di colloquio.</w:t>
      </w:r>
    </w:p>
    <w:p>
      <w:pPr>
        <w:spacing w:after="120" w:line="276"/>
        <w:jc w:val="both"/>
      </w:pPr>
      <w:r>
        <w:rPr>
          <w:rFonts w:ascii="Barlow Semi Condensed" w:cs="Barlow Semi Condensed" w:eastAsia="Barlow Semi Condensed" w:hAnsi="Barlow Semi Condensed"/>
          <w:b/>
          <w:bCs/>
          <w:sz w:val="24"/>
          <w:szCs w:val="24"/>
        </w:rPr>
        <w:t xml:space="preserve">1324 · Il dato Mikoyan, non riscontrato.</w:t>
      </w:r>
      <w:r>
        <w:rPr>
          <w:rFonts w:ascii="Barlow Semi Condensed" w:cs="Barlow Semi Condensed" w:eastAsia="Barlow Semi Condensed" w:hAnsi="Barlow Semi Condensed"/>
          <w:sz w:val="24"/>
          <w:szCs w:val="24"/>
        </w:rPr>
        <w:t xml:space="preserve"> La presenza di Anastas Mikojan all'Avana nel marzo 1965 poggia sulla sola biografia sovietica di Iosif Lavretski, fonte di parte, ed è marcata come non riscontrata al nodo E-27 e nella quinta nota di revisione. Chiuderebbe la questione il fondo personale Mikojan presso l'archivio statale russo di storia socio-politica, insieme agli atti del ministero degli esteri cubano. Fino ad allora resta dichiarata come tale.</w:t>
      </w:r>
    </w:p>
    <w:p>
      <w:pPr>
        <w:spacing w:after="120" w:line="276"/>
        <w:jc w:val="both"/>
      </w:pPr>
      <w:r>
        <w:rPr>
          <w:rFonts w:ascii="Barlow Semi Condensed" w:cs="Barlow Semi Condensed" w:eastAsia="Barlow Semi Condensed" w:hAnsi="Barlow Semi Condensed"/>
          <w:b/>
          <w:bCs/>
          <w:sz w:val="24"/>
          <w:szCs w:val="24"/>
        </w:rPr>
        <w:t xml:space="preserve">1325 · I milletrecentoventitré atti di sovversione.</w:t>
      </w:r>
      <w:r>
        <w:rPr>
          <w:rFonts w:ascii="Barlow Semi Condensed" w:cs="Barlow Semi Condensed" w:eastAsia="Barlow Semi Condensed" w:hAnsi="Barlow Semi Condensed"/>
          <w:sz w:val="24"/>
          <w:szCs w:val="24"/>
        </w:rPr>
        <w:t xml:space="preserve"> Anche la cifra degli atti di sovversione subiti da Cuba nei primi undici mesi del 1964, attribuita a una trasmissione televisiva dell'Avana, risale alla sola fonte sovietica appena citata. Il corpus la attribuisce esplicitamente e non la assume. La chiuderebbe la trascrizione originale del programma presso gli archivi radiotelevisivi cubani. Una cifra tonda senza registro sottostante è un numero, non un'attività: la lezione è del blocco 246 dell'agenda.</w:t>
      </w:r>
    </w:p>
    <w:p>
      <w:pPr>
        <w:spacing w:after="120" w:line="276"/>
        <w:jc w:val="both"/>
      </w:pPr>
      <w:r>
        <w:rPr>
          <w:rFonts w:ascii="Barlow Semi Condensed" w:cs="Barlow Semi Condensed" w:eastAsia="Barlow Semi Condensed" w:hAnsi="Barlow Semi Condensed"/>
          <w:b/>
          <w:bCs/>
          <w:sz w:val="24"/>
          <w:szCs w:val="24"/>
        </w:rPr>
        <w:t xml:space="preserve">1326 · Il Cairo di Nasser, marzo 1965.</w:t>
      </w:r>
      <w:r>
        <w:rPr>
          <w:rFonts w:ascii="Barlow Semi Condensed" w:cs="Barlow Semi Condensed" w:eastAsia="Barlow Semi Condensed" w:hAnsi="Barlow Semi Condensed"/>
          <w:sz w:val="24"/>
          <w:szCs w:val="24"/>
        </w:rPr>
        <w:t xml:space="preserve"> Il monito di Gamal Abdel Nasser — l'immagine dell'uomo bianco fra i neri, l'impresa destinata a finire male — è confermato al nodo E-24 e risale al resoconto di Mohamed Heikal, ripreso dalla rivista dell'istituto latinoamericano di Harvard. È testimonianza di parte terza, resa da un giornalista vicino al presidente egiziano: grado buono per l'esistenza del colloquio, grado minore per la lettera delle frasi.</w:t>
      </w:r>
    </w:p>
    <w:p>
      <w:pPr>
        <w:spacing w:after="120" w:line="276"/>
        <w:jc w:val="both"/>
      </w:pPr>
      <w:r>
        <w:rPr>
          <w:rFonts w:ascii="Barlow Semi Condensed" w:cs="Barlow Semi Condensed" w:eastAsia="Barlow Semi Condensed" w:hAnsi="Barlow Semi Condensed"/>
          <w:b/>
          <w:bCs/>
          <w:sz w:val="24"/>
          <w:szCs w:val="24"/>
        </w:rPr>
        <w:t xml:space="preserve">1327 · Due Cairo, otto anni di distanza.</w:t>
      </w:r>
      <w:r>
        <w:rPr>
          <w:rFonts w:ascii="Barlow Semi Condensed" w:cs="Barlow Semi Condensed" w:eastAsia="Barlow Semi Condensed" w:hAnsi="Barlow Semi Condensed"/>
          <w:sz w:val="24"/>
          <w:szCs w:val="24"/>
        </w:rPr>
        <w:t xml:space="preserve"> La stessa città compare due volte nel corpus complessivo, e a proposito di due uomini diversi: nel marzo 1965 per l'avvertimento di Nasser a Guevara, e negli anni 1973-1975 per la diplomazia della navetta condotta da Kissinger con Anwar al-Sadat. Fra le due date c'è un cambio di presidente egiziano e un decennio. La coincidenza di luogo non è convergenza strutturale, ed è al massimo una comodità di racconto.</w:t>
      </w:r>
    </w:p>
    <w:p>
      <w:pPr>
        <w:spacing w:after="120" w:line="276"/>
        <w:jc w:val="both"/>
      </w:pPr>
      <w:r>
        <w:rPr>
          <w:rFonts w:ascii="Barlow Semi Condensed" w:cs="Barlow Semi Condensed" w:eastAsia="Barlow Semi Condensed" w:hAnsi="Barlow Semi Condensed"/>
          <w:b/>
          <w:bCs/>
          <w:sz w:val="24"/>
          <w:szCs w:val="24"/>
        </w:rPr>
        <w:t xml:space="preserve">1328 · Il 1965 dei due scrittoi.</w:t>
      </w:r>
      <w:r>
        <w:rPr>
          <w:rFonts w:ascii="Barlow Semi Condensed" w:cs="Barlow Semi Condensed" w:eastAsia="Barlow Semi Condensed" w:hAnsi="Barlow Semi Condensed"/>
          <w:sz w:val="24"/>
          <w:szCs w:val="24"/>
        </w:rPr>
        <w:t xml:space="preserve"> Nello stesso anno in cui Guevara scriveva contro lo scambio ineguale, il nome triangolato pubblicava un volume sull'alleanza atlantica e sui suoi dissesti. È simultaneità di scrittura su un ordine bipolare, non dialogo. Il bersaglio è verificabile in biblioteca e in un pomeriggio: spogliare l'indice analitico di quel volume alle voci Cuba, Guevara, Bolivia e America Latina, e riportare i risultati, compreso lo zero.</w:t>
      </w:r>
    </w:p>
    <w:p>
      <w:pPr>
        <w:spacing w:after="120" w:line="276"/>
        <w:jc w:val="both"/>
      </w:pPr>
      <w:r>
        <w:rPr>
          <w:rFonts w:ascii="Barlow Semi Condensed" w:cs="Barlow Semi Condensed" w:eastAsia="Barlow Semi Condensed" w:hAnsi="Barlow Semi Condensed"/>
          <w:b/>
          <w:bCs/>
          <w:sz w:val="24"/>
          <w:szCs w:val="24"/>
        </w:rPr>
        <w:t xml:space="preserve">1329 · Il rapporto di co-occorrenza, ricetta inclusa.</w:t>
      </w:r>
      <w:r>
        <w:rPr>
          <w:rFonts w:ascii="Barlow Semi Condensed" w:cs="Barlow Semi Condensed" w:eastAsia="Barlow Semi Condensed" w:hAnsi="Barlow Semi Condensed"/>
          <w:sz w:val="24"/>
          <w:szCs w:val="24"/>
        </w:rPr>
        <w:t xml:space="preserve"> I blocchi 643 e 644 impongono che una misura di co-occorrenza si pubblichi con la propria ricetta o non si pubblichi. Per questa serie la ricetta è: corpora interrogati, i cinque studi guevariani più la cronologia sinottica; stringhe, quelle già elencate; finestra, dicembre 1964-novembre 1966; criterio di conteggio, occorrenza letterale. Il denominatore è dichiarato, e chiunque può rifare la misura e smentirla.</w:t>
      </w:r>
    </w:p>
    <w:p>
      <w:pPr>
        <w:spacing w:after="120" w:line="276"/>
        <w:jc w:val="both"/>
      </w:pPr>
      <w:r>
        <w:rPr>
          <w:rFonts w:ascii="Barlow Semi Condensed" w:cs="Barlow Semi Condensed" w:eastAsia="Barlow Semi Condensed" w:hAnsi="Barlow Semi Condensed"/>
          <w:b/>
          <w:bCs/>
          <w:sz w:val="24"/>
          <w:szCs w:val="24"/>
        </w:rPr>
        <w:t xml:space="preserve">1330 · Il quadro congolese secondo il territorio.</w:t>
      </w:r>
      <w:r>
        <w:rPr>
          <w:rFonts w:ascii="Barlow Semi Condensed" w:cs="Barlow Semi Condensed" w:eastAsia="Barlow Semi Condensed" w:hAnsi="Barlow Semi Condensed"/>
          <w:sz w:val="24"/>
          <w:szCs w:val="24"/>
        </w:rPr>
        <w:t xml:space="preserve"> Il documento assegnato descrive un Congo diviso fra Gaston Soumaliot con Laurent-Désiré Kabila a nord-est e Christophe Gbenye altrove, con Mosca e Pechino a sostegno, e registra la reazione di Washington: Harriman e Cyrus Vance inviati da Johnson per il ponte aereo, Moise Tshombe nominato primo ministro nel luglio 1964 e non insediato con un colpo di forza, come corregge la nota finale del territorio.</w:t>
      </w:r>
    </w:p>
    <w:p>
      <w:pPr>
        <w:spacing w:after="120" w:line="276"/>
        <w:jc w:val="both"/>
      </w:pPr>
      <w:r>
        <w:rPr>
          <w:rFonts w:ascii="Barlow Semi Condensed" w:cs="Barlow Semi Condensed" w:eastAsia="Barlow Semi Condensed" w:hAnsi="Barlow Semi Condensed"/>
          <w:b/>
          <w:bCs/>
          <w:sz w:val="24"/>
          <w:szCs w:val="24"/>
        </w:rPr>
        <w:t xml:space="preserve">1331 · La catena americana sul Congo.</w:t>
      </w:r>
      <w:r>
        <w:rPr>
          <w:rFonts w:ascii="Barlow Semi Condensed" w:cs="Barlow Semi Condensed" w:eastAsia="Barlow Semi Condensed" w:hAnsi="Barlow Semi Condensed"/>
          <w:sz w:val="24"/>
          <w:szCs w:val="24"/>
        </w:rPr>
        <w:t xml:space="preserve"> Chi voglia sapere chi decise, per gli Stati Uniti, sul Congo del 1964-1965 ha sedi precise: il volume dei Foreign Relations dedicato al Congo per la serie 1964-1968, il National Security File della Lyndon B. Johnson Presidential Library di Austin con il Country File congolese, e le carte dei due consiglieri per la sicurezza nazionale che si succedettero in quegli anni. In quella catena il nome triangolato non compare.</w:t>
      </w:r>
    </w:p>
    <w:p>
      <w:pPr>
        <w:spacing w:after="120" w:line="276"/>
        <w:jc w:val="both"/>
      </w:pPr>
      <w:r>
        <w:rPr>
          <w:rFonts w:ascii="Barlow Semi Condensed" w:cs="Barlow Semi Condensed" w:eastAsia="Barlow Semi Condensed" w:hAnsi="Barlow Semi Condensed"/>
          <w:b/>
          <w:bCs/>
          <w:sz w:val="24"/>
          <w:szCs w:val="24"/>
        </w:rPr>
        <w:t xml:space="preserve">1332 · Tatu, Moja, Mbili.</w:t>
      </w:r>
      <w:r>
        <w:rPr>
          <w:rFonts w:ascii="Barlow Semi Condensed" w:cs="Barlow Semi Condensed" w:eastAsia="Barlow Semi Condensed" w:hAnsi="Barlow Semi Condensed"/>
          <w:sz w:val="24"/>
          <w:szCs w:val="24"/>
        </w:rPr>
        <w:t xml:space="preserve"> L'organigramma swahili della spedizione è esso stesso un documento di metodo: il comandante in capo portava il numero tre, il capo ufficiale Víctor Dreke era uno e José María Martínez Tamayo era due. Guevara si collocò al terzo posto della propria gerarchia nominale. Chi legge un elenco di nomi in codice senza la chiave attribuisce comandi al posto sbagliato: è lo stesso errore che il blocco 253 vieta sui verbali.</w:t>
      </w:r>
    </w:p>
    <w:p>
      <w:pPr>
        <w:spacing w:after="120" w:line="276"/>
        <w:jc w:val="both"/>
      </w:pPr>
      <w:r>
        <w:rPr>
          <w:rFonts w:ascii="Barlow Semi Condensed" w:cs="Barlow Semi Condensed" w:eastAsia="Barlow Semi Condensed" w:hAnsi="Barlow Semi Condensed"/>
          <w:b/>
          <w:bCs/>
          <w:sz w:val="24"/>
          <w:szCs w:val="24"/>
        </w:rPr>
        <w:t xml:space="preserve">1333 · Front de Force, fine giugno 1965.</w:t>
      </w:r>
      <w:r>
        <w:rPr>
          <w:rFonts w:ascii="Barlow Semi Condensed" w:cs="Barlow Semi Condensed" w:eastAsia="Barlow Semi Condensed" w:hAnsi="Barlow Semi Condensed"/>
          <w:sz w:val="24"/>
          <w:szCs w:val="24"/>
        </w:rPr>
        <w:t xml:space="preserve"> L'attacco alla guarnigione e alla centrale di Bendera fu una disfatta, e i caduti cubani lasciati sul terreno rivelarono al nemico la presenza dell'Avana nel Congo. Il bersaglio documentale è nominabile: i rapporti operativi congolesi e belgi sul recupero e sull'identificazione di quei corpi, da cercare presso gli archivi africani del ministero degli esteri belga. È lì che si data, per carta avversaria, la scoperta della missione.</w:t>
      </w:r>
    </w:p>
    <w:p>
      <w:pPr>
        <w:spacing w:after="120" w:line="276"/>
        <w:jc w:val="both"/>
      </w:pPr>
      <w:r>
        <w:rPr>
          <w:rFonts w:ascii="Barlow Semi Condensed" w:cs="Barlow Semi Condensed" w:eastAsia="Barlow Semi Condensed" w:hAnsi="Barlow Semi Condensed"/>
          <w:b/>
          <w:bCs/>
          <w:sz w:val="24"/>
          <w:szCs w:val="24"/>
        </w:rPr>
        <w:t xml:space="preserve">1334 · I mercenari e i piloti.</w:t>
      </w:r>
      <w:r>
        <w:rPr>
          <w:rFonts w:ascii="Barlow Semi Condensed" w:cs="Barlow Semi Condensed" w:eastAsia="Barlow Semi Condensed" w:hAnsi="Barlow Semi Condensed"/>
          <w:sz w:val="24"/>
          <w:szCs w:val="24"/>
        </w:rPr>
        <w:t xml:space="preserve"> Sul fronte governativo il territorio registra il Quinto Commando di Mike Hoare e piloti esuli cubani impiegati su incarico della CIA. Per il rapporto fra agenzia e piloti esiste materia di piano 1 nelle desecretazioni, da cercare nel Record Group 263 di College Park e nella sala di lettura elettronica dell'agenzia. Per il nome triangolato non esiste, in quel dossier, materia di alcun piano.</w:t>
      </w:r>
    </w:p>
    <w:p>
      <w:pPr>
        <w:spacing w:after="120" w:line="276"/>
        <w:jc w:val="both"/>
      </w:pPr>
      <w:r>
        <w:rPr>
          <w:rFonts w:ascii="Barlow Semi Condensed" w:cs="Barlow Semi Condensed" w:eastAsia="Barlow Semi Condensed" w:hAnsi="Barlow Semi Condensed"/>
          <w:b/>
          <w:bCs/>
          <w:sz w:val="24"/>
          <w:szCs w:val="24"/>
        </w:rPr>
        <w:t xml:space="preserve">1335 · Distinguere i piani nello stesso paragrafo.</w:t>
      </w:r>
      <w:r>
        <w:rPr>
          <w:rFonts w:ascii="Barlow Semi Condensed" w:cs="Barlow Semi Condensed" w:eastAsia="Barlow Semi Condensed" w:hAnsi="Barlow Semi Condensed"/>
          <w:sz w:val="24"/>
          <w:szCs w:val="24"/>
        </w:rPr>
        <w:t xml:space="preserve"> Vale come regola operativa e non come formula: dentro una sola frase del territorio possono convivere un rapporto documentato e un vuoto totale. L'ingaggio dei piloti da parte dell'agenzia sta al piano 1; la presenza di un consulente accademico in quella catena non sta ad alcun piano, perché non esiste il documento che lo colleghi. Scriverli nella stessa riga senza il grado li livella, ed è l'errore da impedire.</w:t>
      </w:r>
    </w:p>
    <w:p>
      <w:pPr>
        <w:spacing w:after="120" w:line="276"/>
        <w:jc w:val="both"/>
      </w:pPr>
      <w:r>
        <w:rPr>
          <w:rFonts w:ascii="Barlow Semi Condensed" w:cs="Barlow Semi Condensed" w:eastAsia="Barlow Semi Condensed" w:hAnsi="Barlow Semi Condensed"/>
          <w:b/>
          <w:bCs/>
          <w:sz w:val="24"/>
          <w:szCs w:val="24"/>
        </w:rPr>
        <w:t xml:space="preserve">1336 · Il 13 ottobre 1965 e Accra.</w:t>
      </w:r>
      <w:r>
        <w:rPr>
          <w:rFonts w:ascii="Barlow Semi Condensed" w:cs="Barlow Semi Condensed" w:eastAsia="Barlow Semi Condensed" w:hAnsi="Barlow Semi Condensed"/>
          <w:sz w:val="24"/>
          <w:szCs w:val="24"/>
        </w:rPr>
        <w:t xml:space="preserve"> Il colpo politico che chiuse la campagna venne da fuori: Joseph Kasavubu destituì Tshombe il 13 ottobre 1965 e ai primi di novembre, alla conferenza di Accra, annunciò la pacificazione, togliendo alla Tanzania ogni ragione di sostenere la retrovia ribelle. La sede che documenta quel passaggio sono gli atti della conferenza e i fondi diplomatici tanzaniani, non le ricostruzioni successive che ne fanno una decisione presa altrove.</w:t>
      </w:r>
    </w:p>
    <w:p>
      <w:pPr>
        <w:spacing w:after="120" w:line="276"/>
        <w:jc w:val="both"/>
      </w:pPr>
      <w:r>
        <w:rPr>
          <w:rFonts w:ascii="Barlow Semi Condensed" w:cs="Barlow Semi Condensed" w:eastAsia="Barlow Semi Condensed" w:hAnsi="Barlow Semi Condensed"/>
          <w:b/>
          <w:bCs/>
          <w:sz w:val="24"/>
          <w:szCs w:val="24"/>
        </w:rPr>
        <w:t xml:space="preserve">1337 · Il lago riattraversato.</w:t>
      </w:r>
      <w:r>
        <w:rPr>
          <w:rFonts w:ascii="Barlow Semi Condensed" w:cs="Barlow Semi Condensed" w:eastAsia="Barlow Semi Condensed" w:hAnsi="Barlow Semi Condensed"/>
          <w:sz w:val="24"/>
          <w:szCs w:val="24"/>
        </w:rPr>
        <w:t xml:space="preserve"> Il 21 novembre 1965 Guevara ripassò il Tanganica con i superstiti, avendo rifiutato la resistenza simbolica fino alla morte da eroe da fumetto. L'apertura del diario congolese — questa è la storia di un fallimento — è fonte primaria e autodiagnosi. Un testo in cui il protagonista si accusa da solo è il contrario di una fonte da integrare con moventi esterni: va letto per ciò che dichiara.</w:t>
      </w:r>
    </w:p>
    <w:p>
      <w:pPr>
        <w:spacing w:after="120" w:line="276"/>
        <w:jc w:val="both"/>
      </w:pPr>
      <w:r>
        <w:rPr>
          <w:rFonts w:ascii="Barlow Semi Condensed" w:cs="Barlow Semi Condensed" w:eastAsia="Barlow Semi Condensed" w:hAnsi="Barlow Semi Condensed"/>
          <w:b/>
          <w:bCs/>
          <w:sz w:val="24"/>
          <w:szCs w:val="24"/>
        </w:rPr>
        <w:t xml:space="preserve">1338 · Angola 1975, la tentazione simmetrica.</w:t>
      </w:r>
      <w:r>
        <w:rPr>
          <w:rFonts w:ascii="Barlow Semi Condensed" w:cs="Barlow Semi Condensed" w:eastAsia="Barlow Semi Condensed" w:hAnsi="Barlow Semi Condensed"/>
          <w:sz w:val="24"/>
          <w:szCs w:val="24"/>
        </w:rPr>
        <w:t xml:space="preserve"> Dieci anni dopo il Congo, l'internazionalismo militare cubano in Africa incontrò direttamente il nome triangolato, che allora era in carica. È materia dei Foreign Relations sul versante africano meridionale e dei memoranda della Ford Library, ed è dossier reale. Ma è dossier del 1975, e la somiglianza della pratica cubana nei due decenni è omologia interna a Cuba, non ponte fra Kissinger e la spedizione del 1965.</w:t>
      </w:r>
    </w:p>
    <w:p>
      <w:pPr>
        <w:spacing w:after="120" w:line="276"/>
        <w:jc w:val="both"/>
      </w:pPr>
      <w:r>
        <w:rPr>
          <w:rFonts w:ascii="Barlow Semi Condensed" w:cs="Barlow Semi Condensed" w:eastAsia="Barlow Semi Condensed" w:hAnsi="Barlow Semi Condensed"/>
          <w:b/>
          <w:bCs/>
          <w:sz w:val="24"/>
          <w:szCs w:val="24"/>
        </w:rPr>
        <w:t xml:space="preserve">1339 · Perché Angola non retroagisce.</w:t>
      </w:r>
      <w:r>
        <w:rPr>
          <w:rFonts w:ascii="Barlow Semi Condensed" w:cs="Barlow Semi Condensed" w:eastAsia="Barlow Semi Condensed" w:hAnsi="Barlow Semi Condensed"/>
          <w:sz w:val="24"/>
          <w:szCs w:val="24"/>
        </w:rPr>
        <w:t xml:space="preserve"> Due ragioni, entrambe già codificate. La prima è l'anteriorità: nessuna decisione del 1975 può aver prodotto un fatto del 1965. La seconda è il test fissato ai blocchi 434 e 438: dalla somiglianza del risultato non si deduce l'antenato comune, e l'unico test è un documento di provenienza che nomini la controparte. Per il Congo di Guevara quel documento non è stato reperito, e l'assenza si dichiara.</w:t>
      </w:r>
    </w:p>
    <w:p>
      <w:pPr>
        <w:spacing w:after="120" w:line="276"/>
        <w:jc w:val="both"/>
      </w:pPr>
      <w:r>
        <w:rPr>
          <w:rFonts w:ascii="Barlow Semi Condensed" w:cs="Barlow Semi Condensed" w:eastAsia="Barlow Semi Condensed" w:hAnsi="Barlow Semi Condensed"/>
          <w:b/>
          <w:bCs/>
          <w:sz w:val="24"/>
          <w:szCs w:val="24"/>
        </w:rPr>
        <w:t xml:space="preserve">1340 · Bersaglio di smentita, versante congolese.</w:t>
      </w:r>
      <w:r>
        <w:rPr>
          <w:rFonts w:ascii="Barlow Semi Condensed" w:cs="Barlow Semi Condensed" w:eastAsia="Barlow Semi Condensed" w:hAnsi="Barlow Semi Condensed"/>
          <w:sz w:val="24"/>
          <w:szCs w:val="24"/>
        </w:rPr>
        <w:t xml:space="preserve"> Che cosa rovescerebbe l'esito negativo qui verbalizzato: un documento del 1965 o del 1966, di provenienza statunitense, in cui Kissinger — a qualunque titolo, anche consulenziale — commenti, riceva o istruisca su Cuba nel Congo. Basterebbe un memorandum, un appunto di riunione, una lettera. Se esiste, sta a Yale, a Austin o a College Park; finché non è prodotto, l'ipotesi resta senza piano e va detta senza piano.</w:t>
      </w:r>
    </w:p>
    <w:p>
      <w:pPr>
        <w:spacing w:after="120" w:line="276"/>
        <w:jc w:val="both"/>
      </w:pPr>
      <w:r>
        <w:rPr>
          <w:rFonts w:ascii="Barlow Semi Condensed" w:cs="Barlow Semi Condensed" w:eastAsia="Barlow Semi Condensed" w:hAnsi="Barlow Semi Condensed"/>
          <w:b/>
          <w:bCs/>
          <w:sz w:val="24"/>
          <w:szCs w:val="24"/>
        </w:rPr>
        <w:t xml:space="preserve">1341 · Dar es Salaam, tre mesi nascosti.</w:t>
      </w:r>
      <w:r>
        <w:rPr>
          <w:rFonts w:ascii="Barlow Semi Condensed" w:cs="Barlow Semi Condensed" w:eastAsia="Barlow Semi Condensed" w:hAnsi="Barlow Semi Condensed"/>
          <w:sz w:val="24"/>
          <w:szCs w:val="24"/>
        </w:rPr>
        <w:t xml:space="preserve"> Fra il novembre 1965 e il febbraio 1966 Guevara restò nell'ambasciata cubana di Dar es Salaam, dove scrisse i Passaggi congolesi. Il bersaglio d'archivio è la corrispondenza diplomatica cubana e tanzaniana di quei mesi, con l'avvertenza che il fondo cubano non è aperto alla consultazione e che il versante tanzaniano è presso l'Archivio nazionale della Tanzania. Lo stato d'accesso va scritto accanto alla sede, sempre.</w:t>
      </w:r>
    </w:p>
    <w:p>
      <w:pPr>
        <w:spacing w:after="120" w:line="276"/>
        <w:jc w:val="both"/>
      </w:pPr>
      <w:r>
        <w:rPr>
          <w:rFonts w:ascii="Barlow Semi Condensed" w:cs="Barlow Semi Condensed" w:eastAsia="Barlow Semi Condensed" w:hAnsi="Barlow Semi Condensed"/>
          <w:b/>
          <w:bCs/>
          <w:sz w:val="24"/>
          <w:szCs w:val="24"/>
        </w:rPr>
        <w:t xml:space="preserve">1342 · Praga, marzo-luglio 1966.</w:t>
      </w:r>
      <w:r>
        <w:rPr>
          <w:rFonts w:ascii="Barlow Semi Condensed" w:cs="Barlow Semi Condensed" w:eastAsia="Barlow Semi Condensed" w:hAnsi="Barlow Semi Condensed"/>
          <w:sz w:val="24"/>
          <w:szCs w:val="24"/>
        </w:rPr>
        <w:t xml:space="preserve"> La casa sicura presso Praga è il punto del territorio in cui una polizia europea aveva quasi certamente carte, ed è dunque il bersaglio più promettente dell'intera serie. Le sedi sono l'Archivio degli apparati di sicurezza cecoslovacchi e l'Archivio nazionale ceco per il fondo del comitato centrale del partito. La domanda è una: quel fascicolo esiste, e nomina interlocutori esterni al blocco orientale?</w:t>
      </w:r>
    </w:p>
    <w:p>
      <w:pPr>
        <w:spacing w:after="120" w:line="276"/>
        <w:jc w:val="both"/>
      </w:pPr>
      <w:r>
        <w:rPr>
          <w:rFonts w:ascii="Barlow Semi Condensed" w:cs="Barlow Semi Condensed" w:eastAsia="Barlow Semi Condensed" w:hAnsi="Barlow Semi Condensed"/>
          <w:b/>
          <w:bCs/>
          <w:sz w:val="24"/>
          <w:szCs w:val="24"/>
        </w:rPr>
        <w:t xml:space="preserve">1343 · Il buco di Praga e il divieto.</w:t>
      </w:r>
      <w:r>
        <w:rPr>
          <w:rFonts w:ascii="Barlow Semi Condensed" w:cs="Barlow Semi Condensed" w:eastAsia="Barlow Semi Condensed" w:hAnsi="Barlow Semi Condensed"/>
          <w:sz w:val="24"/>
          <w:szCs w:val="24"/>
        </w:rPr>
        <w:t xml:space="preserve"> Quei mesi sono documentati pochissimo, e sono perciò la zona dove la narrazione più suggestiva si insedia con maggiore facilità. Il blocco 259 del manuale la chiama errore del buco riempito, e l'antidoto è la regola dei buchi: si misura, si dichiara, si cerca l'arco documentale. Il buco non parla, e in particolare non parla di uomini che nel 1966 non avevano funzione alcuna.</w:t>
      </w:r>
    </w:p>
    <w:p>
      <w:pPr>
        <w:spacing w:after="120" w:line="276"/>
        <w:jc w:val="both"/>
      </w:pPr>
      <w:r>
        <w:rPr>
          <w:rFonts w:ascii="Barlow Semi Condensed" w:cs="Barlow Semi Condensed" w:eastAsia="Barlow Semi Condensed" w:hAnsi="Barlow Semi Condensed"/>
          <w:b/>
          <w:bCs/>
          <w:sz w:val="24"/>
          <w:szCs w:val="24"/>
        </w:rPr>
        <w:t xml:space="preserve">1344 · Chi sapeva dove fosse.</w:t>
      </w:r>
      <w:r>
        <w:rPr>
          <w:rFonts w:ascii="Barlow Semi Condensed" w:cs="Barlow Semi Condensed" w:eastAsia="Barlow Semi Condensed" w:hAnsi="Barlow Semi Condensed"/>
          <w:sz w:val="24"/>
          <w:szCs w:val="24"/>
        </w:rPr>
        <w:t xml:space="preserve"> Quesito autonomo e chiudibile: quale servizio occidentale collocò Guevara a Praga fra il marzo e il luglio 1966, con quale grado di certezza e in quale prodotto informativo. Le sedi sono la banca dati desecretata dell'agenzia statunitense e i fondi cecoslovacchi già nominati. L'attesa qui non è negativa ma incerta, ed è la sola voce della serie in cui un riscontro positivo sarebbe plausibile.</w:t>
      </w:r>
    </w:p>
    <w:p>
      <w:pPr>
        <w:spacing w:after="120" w:line="276"/>
        <w:jc w:val="both"/>
      </w:pPr>
      <w:r>
        <w:rPr>
          <w:rFonts w:ascii="Barlow Semi Condensed" w:cs="Barlow Semi Condensed" w:eastAsia="Barlow Semi Condensed" w:hAnsi="Barlow Semi Condensed"/>
          <w:b/>
          <w:bCs/>
          <w:sz w:val="24"/>
          <w:szCs w:val="24"/>
        </w:rPr>
        <w:t xml:space="preserve">1345 · Le due specie di silenzio.</w:t>
      </w:r>
      <w:r>
        <w:rPr>
          <w:rFonts w:ascii="Barlow Semi Condensed" w:cs="Barlow Semi Condensed" w:eastAsia="Barlow Semi Condensed" w:hAnsi="Barlow Semi Condensed"/>
          <w:sz w:val="24"/>
          <w:szCs w:val="24"/>
        </w:rPr>
        <w:t xml:space="preserve"> Distinguere due specie di silenzio è compito del blocco 635, e la distinzione governa questa serie: altro è il documento che esiste e non tratta il quesito, altro il documento che non risulta esistere. Il primo è un dato sul documento, il secondo un dato sulla ricerca. Il territorio assegnato appartiene interamente alla prima specie: parla di molte cose e non tratta il nome triangolato.</w:t>
      </w:r>
    </w:p>
    <w:p>
      <w:pPr>
        <w:spacing w:after="120" w:line="276"/>
        <w:jc w:val="both"/>
      </w:pPr>
      <w:r>
        <w:rPr>
          <w:rFonts w:ascii="Barlow Semi Condensed" w:cs="Barlow Semi Condensed" w:eastAsia="Barlow Semi Condensed" w:hAnsi="Barlow Semi Condensed"/>
          <w:b/>
          <w:bCs/>
          <w:sz w:val="24"/>
          <w:szCs w:val="24"/>
        </w:rPr>
        <w:t xml:space="preserve">1346 · La condizione dell'argomento dal silenzio.</w:t>
      </w:r>
      <w:r>
        <w:rPr>
          <w:rFonts w:ascii="Barlow Semi Condensed" w:cs="Barlow Semi Condensed" w:eastAsia="Barlow Semi Condensed" w:hAnsi="Barlow Semi Condensed"/>
          <w:sz w:val="24"/>
          <w:szCs w:val="24"/>
        </w:rPr>
        <w:t xml:space="preserve"> Ammessa a una condizione sola, dice il blocco 637, è l'inferenza dal silenzio: che il fondo interrogato sia quello dove il documento, se esistesse, dovrebbe stare per prassi dell'amministrazione. Applicata qui, la condizione seleziona poche sedi e ne scarta molte. Il silenzio dell'archivio boliviano non dice nulla su un consulente di Harvard; il silenzio delle carte di New Haven, quelle sì, direbbe qualcosa di misurabile.</w:t>
      </w:r>
    </w:p>
    <w:p>
      <w:pPr>
        <w:spacing w:after="120" w:line="276"/>
        <w:jc w:val="both"/>
      </w:pPr>
      <w:r>
        <w:rPr>
          <w:rFonts w:ascii="Barlow Semi Condensed" w:cs="Barlow Semi Condensed" w:eastAsia="Barlow Semi Condensed" w:hAnsi="Barlow Semi Condensed"/>
          <w:b/>
          <w:bCs/>
          <w:sz w:val="24"/>
          <w:szCs w:val="24"/>
        </w:rPr>
        <w:t xml:space="preserve">1347 · Praga 1968 non è Praga 1966.</w:t>
      </w:r>
      <w:r>
        <w:rPr>
          <w:rFonts w:ascii="Barlow Semi Condensed" w:cs="Barlow Semi Condensed" w:eastAsia="Barlow Semi Condensed" w:hAnsi="Barlow Semi Condensed"/>
          <w:sz w:val="24"/>
          <w:szCs w:val="24"/>
        </w:rPr>
        <w:t xml:space="preserve"> L'arco cecoslovacco documentato del nome triangolato comincia con l'invasione dell'agosto 1968 e con il quadro distensivo successivo, quando egli entrò in carica. Nel 1966 la stessa città ospitava un clandestino cubano, e le due Praghe non hanno alcun documento in comune. Sovrapporle è l'errore della coincidenza promossa, che il blocco 260 del manuale definisce come il trattare una coincidenza alla stregua di una firma.</w:t>
      </w:r>
    </w:p>
    <w:p>
      <w:pPr>
        <w:spacing w:after="120" w:line="276"/>
        <w:jc w:val="both"/>
      </w:pPr>
      <w:r>
        <w:rPr>
          <w:rFonts w:ascii="Barlow Semi Condensed" w:cs="Barlow Semi Condensed" w:eastAsia="Barlow Semi Condensed" w:hAnsi="Barlow Semi Condensed"/>
          <w:b/>
          <w:bCs/>
          <w:sz w:val="24"/>
          <w:szCs w:val="24"/>
        </w:rPr>
        <w:t xml:space="preserve">1348 · San Andrés de Taiguanabo.</w:t>
      </w:r>
      <w:r>
        <w:rPr>
          <w:rFonts w:ascii="Barlow Semi Condensed" w:cs="Barlow Semi Condensed" w:eastAsia="Barlow Semi Condensed" w:hAnsi="Barlow Semi Condensed"/>
          <w:sz w:val="24"/>
          <w:szCs w:val="24"/>
        </w:rPr>
        <w:t xml:space="preserve"> Nel luglio 1966 il rientro segreto a Cuba, e tre mesi di addestramento nella tenuta di Pinar del Río per il nucleo dei futuri guerriglieri, in gran parte veterani della Sierra e del Congo. È fase interamente interna al dispositivo cubano. Nessuna sede statunitense la documenta in presa diretta, e il quesito su quale valutazione ne dessero i servizi occidentali si porta alla banca dati desecretata, con attesa bassa.</w:t>
      </w:r>
    </w:p>
    <w:p>
      <w:pPr>
        <w:spacing w:after="120" w:line="276"/>
        <w:jc w:val="both"/>
      </w:pPr>
      <w:r>
        <w:rPr>
          <w:rFonts w:ascii="Barlow Semi Condensed" w:cs="Barlow Semi Condensed" w:eastAsia="Barlow Semi Condensed" w:hAnsi="Barlow Semi Condensed"/>
          <w:b/>
          <w:bCs/>
          <w:sz w:val="24"/>
          <w:szCs w:val="24"/>
        </w:rPr>
        <w:t xml:space="preserve">1349 · Adolfo Mena González.</w:t>
      </w:r>
      <w:r>
        <w:rPr>
          <w:rFonts w:ascii="Barlow Semi Condensed" w:cs="Barlow Semi Condensed" w:eastAsia="Barlow Semi Condensed" w:hAnsi="Barlow Semi Condensed"/>
          <w:sz w:val="24"/>
          <w:szCs w:val="24"/>
        </w:rPr>
        <w:t xml:space="preserve"> L'identità di copertura merita un blocco proprio: economista uruguaiano in missione per organismi interamericani, con il travestimento — calvizie, occhiali, abiti da funzionario — descritto dal territorio. La scelta della copertura è essa stessa un documento di intenzione: colloca il clandestino dentro il lessico istituzionale del continente. Che il travestimento abbia funzionato fino al 3 novembre 1966 è accertato dagli esiti; come sia stato costruito non lo è.</w:t>
      </w:r>
    </w:p>
    <w:p>
      <w:pPr>
        <w:spacing w:after="120" w:line="276"/>
        <w:jc w:val="both"/>
      </w:pPr>
      <w:r>
        <w:rPr>
          <w:rFonts w:ascii="Barlow Semi Condensed" w:cs="Barlow Semi Condensed" w:eastAsia="Barlow Semi Condensed" w:hAnsi="Barlow Semi Condensed"/>
          <w:b/>
          <w:bCs/>
          <w:sz w:val="24"/>
          <w:szCs w:val="24"/>
        </w:rPr>
        <w:t xml:space="preserve">1350 · La copertura interamericana, quesito.</w:t>
      </w:r>
      <w:r>
        <w:rPr>
          <w:rFonts w:ascii="Barlow Semi Condensed" w:cs="Barlow Semi Condensed" w:eastAsia="Barlow Semi Condensed" w:hAnsi="Barlow Semi Condensed"/>
          <w:sz w:val="24"/>
          <w:szCs w:val="24"/>
        </w:rPr>
        <w:t xml:space="preserve"> Bersaglio nominabile e mai posto dal corpus: se all'identità di copertura corrispose una credenziale realmente emessa da un organismo interamericano oppure una simulazione documentale integrale. La sede è l'archivio dell'Organizzazione degli Stati americani a Washington con la sua biblioteca storica. L'esito, quale che sia, chiude una questione tecnica del territorio e non ne apre alcuna sul nome triangolato, che con quegli organismi non aveva rapporto.</w:t>
      </w:r>
    </w:p>
    <w:p>
      <w:pPr>
        <w:spacing w:after="120" w:line="276"/>
        <w:jc w:val="both"/>
      </w:pPr>
      <w:r>
        <w:rPr>
          <w:rFonts w:ascii="Barlow Semi Condensed" w:cs="Barlow Semi Condensed" w:eastAsia="Barlow Semi Condensed" w:hAnsi="Barlow Semi Condensed"/>
          <w:b/>
          <w:bCs/>
          <w:sz w:val="24"/>
          <w:szCs w:val="24"/>
        </w:rPr>
        <w:t xml:space="preserve">1351 · Il 3 novembre 1966 a La Paz.</w:t>
      </w:r>
      <w:r>
        <w:rPr>
          <w:rFonts w:ascii="Barlow Semi Condensed" w:cs="Barlow Semi Condensed" w:eastAsia="Barlow Semi Condensed" w:hAnsi="Barlow Semi Condensed"/>
          <w:sz w:val="24"/>
          <w:szCs w:val="24"/>
        </w:rPr>
        <w:t xml:space="preserve"> L'atterraggio a La Paz sotto falsa identità lascia, per definizione, una traccia amministrativa: modulo d'ingresso, timbro, registro alberghiero. Le sedi sono l'Archivio nazionale della Bolivia a Sucre e gli archivi della direzione generale della migrazione boliviana. È carta seriale, la specie che il corpus predilige perché non ricorda e non interpreta. Che sopravviva è da verificare; che sia stata cercata, allo stato, non risulta.</w:t>
      </w:r>
    </w:p>
    <w:p>
      <w:pPr>
        <w:spacing w:after="120" w:line="276"/>
        <w:jc w:val="both"/>
      </w:pPr>
      <w:r>
        <w:rPr>
          <w:rFonts w:ascii="Barlow Semi Condensed" w:cs="Barlow Semi Condensed" w:eastAsia="Barlow Semi Condensed" w:hAnsi="Barlow Semi Condensed"/>
          <w:b/>
          <w:bCs/>
          <w:sz w:val="24"/>
          <w:szCs w:val="24"/>
        </w:rPr>
        <w:t xml:space="preserve">1352 · La catena statunitense su La Paz.</w:t>
      </w:r>
      <w:r>
        <w:rPr>
          <w:rFonts w:ascii="Barlow Semi Condensed" w:cs="Barlow Semi Condensed" w:eastAsia="Barlow Semi Condensed" w:hAnsi="Barlow Semi Condensed"/>
          <w:sz w:val="24"/>
          <w:szCs w:val="24"/>
        </w:rPr>
        <w:t xml:space="preserve"> Per il versante boliviano le sedi sono tre e nominabili: il volume dei Foreign Relations dedicato all'America centrale e meridionale nella serie 1964-1968, il Country File boliviano del National Security File ad Austin, e le carte dell'ambasciata a La Paz nel Record Group 84 di College Park. La catena decisionale che vi si legge, per il 1966, non passa da alcun consulente esterno all'amministrazione.</w:t>
      </w:r>
    </w:p>
    <w:p>
      <w:pPr>
        <w:spacing w:after="120" w:line="276"/>
        <w:jc w:val="both"/>
      </w:pPr>
      <w:r>
        <w:rPr>
          <w:rFonts w:ascii="Barlow Semi Condensed" w:cs="Barlow Semi Condensed" w:eastAsia="Barlow Semi Condensed" w:hAnsi="Barlow Semi Condensed"/>
          <w:b/>
          <w:bCs/>
          <w:sz w:val="24"/>
          <w:szCs w:val="24"/>
        </w:rPr>
        <w:t xml:space="preserve">1353 · Ñancahuazú, la soglia.</w:t>
      </w:r>
      <w:r>
        <w:rPr>
          <w:rFonts w:ascii="Barlow Semi Condensed" w:cs="Barlow Semi Condensed" w:eastAsia="Barlow Semi Condensed" w:hAnsi="Barlow Semi Condensed"/>
          <w:sz w:val="24"/>
          <w:szCs w:val="24"/>
        </w:rPr>
        <w:t xml:space="preserve"> Il 7 novembre 1966 il diario boliviano si apre con l'annuncio di una nuova tappa, e lì il territorio si chiude per scelta editoriale dichiarata. Quanto viene dopo — Monje, Vado del Yeso, la Quebrada del Churo — appartiene al quinto studio guevariano. Questa serie rispetta il confine, perché sconfinare significherebbe importare qui il 1967 e con esso l'unico episodio in cui compare un agente statunitense sul terreno.</w:t>
      </w:r>
    </w:p>
    <w:p>
      <w:pPr>
        <w:spacing w:after="120" w:line="276"/>
        <w:jc w:val="both"/>
      </w:pPr>
      <w:r>
        <w:rPr>
          <w:rFonts w:ascii="Barlow Semi Condensed" w:cs="Barlow Semi Condensed" w:eastAsia="Barlow Semi Condensed" w:hAnsi="Barlow Semi Condensed"/>
          <w:b/>
          <w:bCs/>
          <w:sz w:val="24"/>
          <w:szCs w:val="24"/>
        </w:rPr>
        <w:t xml:space="preserve">1354 · Il 1967 non appartiene a questa serie.</w:t>
      </w:r>
      <w:r>
        <w:rPr>
          <w:rFonts w:ascii="Barlow Semi Condensed" w:cs="Barlow Semi Condensed" w:eastAsia="Barlow Semi Condensed" w:hAnsi="Barlow Semi Condensed"/>
          <w:sz w:val="24"/>
          <w:szCs w:val="24"/>
        </w:rPr>
        <w:t xml:space="preserve"> Va detto per prevenire l'obiezione più facile. La presenza di Félix Rodríguez a La Higuera, documentata dagli archivi desecretati e registrata ai nodi M-5 e M-8, sta nel capitolo successivo del corpus e riguarda un anno che questo territorio non copre. Chi la porti qui compie due operazioni scorrette insieme: sposta una data e trasforma la presenza di un agente in una catena di comando.</w:t>
      </w:r>
    </w:p>
    <w:p>
      <w:pPr>
        <w:spacing w:after="120" w:line="276"/>
        <w:jc w:val="both"/>
      </w:pPr>
      <w:r>
        <w:rPr>
          <w:rFonts w:ascii="Barlow Semi Condensed" w:cs="Barlow Semi Condensed" w:eastAsia="Barlow Semi Condensed" w:hAnsi="Barlow Semi Condensed"/>
          <w:b/>
          <w:bCs/>
          <w:sz w:val="24"/>
          <w:szCs w:val="24"/>
        </w:rPr>
        <w:t xml:space="preserve">1355 · L'Electronic Briefing Book del 1997.</w:t>
      </w:r>
      <w:r>
        <w:rPr>
          <w:rFonts w:ascii="Barlow Semi Condensed" w:cs="Barlow Semi Condensed" w:eastAsia="Barlow Semi Condensed" w:hAnsi="Barlow Semi Condensed"/>
          <w:sz w:val="24"/>
          <w:szCs w:val="24"/>
        </w:rPr>
        <w:t xml:space="preserve"> Il corpus cita già la raccolta desecretata pubblicata nel 1997 dall'archivio universitario statunitense sulla morte di Guevara. Il bersaglio che questa serie aggiunge è puntuale e a costo bassissimo: spogliarne l'indice dei nomi e verificare se vi compaia il nome triangolato. L'attesa è negativa, perché quella raccolta copre il 1967 e la catena Johnson-Rostow-Helms. L'esito, positivo o negativo, va verbalizzato con la data della consultazione.</w:t>
      </w:r>
    </w:p>
    <w:p>
      <w:pPr>
        <w:spacing w:after="120" w:line="276"/>
        <w:jc w:val="both"/>
      </w:pPr>
      <w:r>
        <w:rPr>
          <w:rFonts w:ascii="Barlow Semi Condensed" w:cs="Barlow Semi Condensed" w:eastAsia="Barlow Semi Condensed" w:hAnsi="Barlow Semi Condensed"/>
          <w:b/>
          <w:bCs/>
          <w:sz w:val="24"/>
          <w:szCs w:val="24"/>
        </w:rPr>
        <w:t xml:space="preserve">1356 · La Tricontinentale dell'Avana.</w:t>
      </w:r>
      <w:r>
        <w:rPr>
          <w:rFonts w:ascii="Barlow Semi Condensed" w:cs="Barlow Semi Condensed" w:eastAsia="Barlow Semi Condensed" w:hAnsi="Barlow Semi Condensed"/>
          <w:sz w:val="24"/>
          <w:szCs w:val="24"/>
        </w:rPr>
        <w:t xml:space="preserve"> Dal 3 al 15 gennaio 1966, dentro la finestra di questa serie, l'Avana ospitò la conferenza di solidarietà dei tre continenti. Il territorio la evoca soltanto attraverso il Messaggio che ne porta il nome. La reazione statunitense a quella conferenza è materia dei fascicoli centrali del Dipartimento di Stato per il 1964-1966, presso College Park, e va cercata lì prima che in qualunque ricostruzione successiva.</w:t>
      </w:r>
    </w:p>
    <w:p>
      <w:pPr>
        <w:spacing w:after="120" w:line="276"/>
        <w:jc w:val="both"/>
      </w:pPr>
      <w:r>
        <w:rPr>
          <w:rFonts w:ascii="Barlow Semi Condensed" w:cs="Barlow Semi Condensed" w:eastAsia="Barlow Semi Condensed" w:hAnsi="Barlow Semi Condensed"/>
          <w:b/>
          <w:bCs/>
          <w:sz w:val="24"/>
          <w:szCs w:val="24"/>
        </w:rPr>
        <w:t xml:space="preserve">1357 · Due, tre, molti Vietnam.</w:t>
      </w:r>
      <w:r>
        <w:rPr>
          <w:rFonts w:ascii="Barlow Semi Condensed" w:cs="Barlow Semi Condensed" w:eastAsia="Barlow Semi Condensed" w:hAnsi="Barlow Semi Condensed"/>
          <w:sz w:val="24"/>
          <w:szCs w:val="24"/>
        </w:rPr>
        <w:t xml:space="preserve"> La formula del Messaggio alla Tricontinentale, pubblicato nell'aprile 1967 ma concepito nella fase qui trattata, è la ragione strategica della scelta boliviana: moltiplicare i fronti per disperdere la potenza avversaria. È dottrina, e come tale non prova alcuna condotta altrui. Vale il principio del blocco 438: nessuna previsione di condotta discende da una dottrina, e nessuna dottrina si prova a partire da una condotta.</w:t>
      </w:r>
    </w:p>
    <w:p>
      <w:pPr>
        <w:spacing w:after="120" w:line="276"/>
        <w:jc w:val="both"/>
      </w:pPr>
      <w:r>
        <w:rPr>
          <w:rFonts w:ascii="Barlow Semi Condensed" w:cs="Barlow Semi Condensed" w:eastAsia="Barlow Semi Condensed" w:hAnsi="Barlow Semi Condensed"/>
          <w:b/>
          <w:bCs/>
          <w:sz w:val="24"/>
          <w:szCs w:val="24"/>
        </w:rPr>
        <w:t xml:space="preserve">1358 · Il Vietnam dell'altro.</w:t>
      </w:r>
      <w:r>
        <w:rPr>
          <w:rFonts w:ascii="Barlow Semi Condensed" w:cs="Barlow Semi Condensed" w:eastAsia="Barlow Semi Condensed" w:hAnsi="Barlow Semi Condensed"/>
          <w:sz w:val="24"/>
          <w:szCs w:val="24"/>
        </w:rPr>
        <w:t xml:space="preserve"> Negli stessi due anni il nome triangolato era impegnato — secondo la bibliografia corrente, e da riscontrare sugli atti — in missioni consulenziali presso l'ambasciata statunitense a Saigon. Le sedi che lo accerterebbero sono le carte anteriori al 1969 conservate a New Haven e i volumi vietnamiti dei Foreign Relations per la serie 1964-1968. Finché non sono lette, la circostanza resta bibliografica e non entra fra gli accertamenti.</w:t>
      </w:r>
    </w:p>
    <w:p>
      <w:pPr>
        <w:spacing w:after="120" w:line="276"/>
        <w:jc w:val="both"/>
      </w:pPr>
      <w:r>
        <w:rPr>
          <w:rFonts w:ascii="Barlow Semi Condensed" w:cs="Barlow Semi Condensed" w:eastAsia="Barlow Semi Condensed" w:hAnsi="Barlow Semi Condensed"/>
          <w:b/>
          <w:bCs/>
          <w:sz w:val="24"/>
          <w:szCs w:val="24"/>
        </w:rPr>
        <w:t xml:space="preserve">1359 · La convergenza più forte della serie.</w:t>
      </w:r>
      <w:r>
        <w:rPr>
          <w:rFonts w:ascii="Barlow Semi Condensed" w:cs="Barlow Semi Condensed" w:eastAsia="Barlow Semi Condensed" w:hAnsi="Barlow Semi Condensed"/>
          <w:sz w:val="24"/>
          <w:szCs w:val="24"/>
        </w:rPr>
        <w:t xml:space="preserve"> È questa, ed è al piano 2: nei mesi in cui Guevara elaborava la moltiplicazione dei Vietnam, il nome triangolato lavorava sul Vietnam dal capo opposto del conflitto. Stesso oggetto, funzioni antagoniste, nessun contatto documentato e nessuna menzione reciproca reperita. Una convergenza così pulita è precisamente ciò che il corpus vieta di promuovere: due uomini possono occuparsi della stessa guerra senza avere un rapporto.</w:t>
      </w:r>
    </w:p>
    <w:p>
      <w:pPr>
        <w:spacing w:after="120" w:line="276"/>
        <w:jc w:val="both"/>
      </w:pPr>
      <w:r>
        <w:rPr>
          <w:rFonts w:ascii="Barlow Semi Condensed" w:cs="Barlow Semi Condensed" w:eastAsia="Barlow Semi Condensed" w:hAnsi="Barlow Semi Condensed"/>
          <w:b/>
          <w:bCs/>
          <w:sz w:val="24"/>
          <w:szCs w:val="24"/>
        </w:rPr>
        <w:t xml:space="preserve">1360 · Il canale del 1967 resta fuori.</w:t>
      </w:r>
      <w:r>
        <w:rPr>
          <w:rFonts w:ascii="Barlow Semi Condensed" w:cs="Barlow Semi Condensed" w:eastAsia="Barlow Semi Condensed" w:hAnsi="Barlow Semi Condensed"/>
          <w:sz w:val="24"/>
          <w:szCs w:val="24"/>
        </w:rPr>
        <w:t xml:space="preserve"> Il tentativo negoziale condotto nel 1967 attraverso intermediari francesi appartiene all'anno successivo alla chiusura del territorio ed è qui citato solo per delimitare. Serve però a fissare una regola: la contiguità cronologica di due dossier non li unisce, e un canale aperto nell'estate 1967 non ha alcuna relazione con una colonna guerrigliera installata l'anno prima sull'altro emisfero. Sono adiacenze di calendario, non di materia.</w:t>
      </w:r>
    </w:p>
    <w:p>
      <w:pPr>
        <w:spacing w:after="120" w:line="276"/>
        <w:jc w:val="both"/>
      </w:pPr>
      <w:r>
        <w:rPr>
          <w:rFonts w:ascii="Barlow Semi Condensed" w:cs="Barlow Semi Condensed" w:eastAsia="Barlow Semi Condensed" w:hAnsi="Barlow Semi Condensed"/>
          <w:b/>
          <w:bCs/>
          <w:sz w:val="24"/>
          <w:szCs w:val="24"/>
        </w:rPr>
        <w:t xml:space="preserve">1361 · Il seminario di Harvard, quesito ereditato.</w:t>
      </w:r>
      <w:r>
        <w:rPr>
          <w:rFonts w:ascii="Barlow Semi Condensed" w:cs="Barlow Semi Condensed" w:eastAsia="Barlow Semi Condensed" w:hAnsi="Barlow Semi Condensed"/>
          <w:sz w:val="24"/>
          <w:szCs w:val="24"/>
        </w:rPr>
        <w:t xml:space="preserve"> Apparato di replicazione per eccellenza: così il blocco 158 dell'opera definisce il seminario internazionale diretto a Harvard, chiedendone gli elenchi agli Harvard University Archives. Questa serie vi aggiunge una domanda propria: fra i partecipanti degli anni Sessanta figurò mai un funzionario cubano, boliviano o congolese nominato nel territorio? La verifica è meccanica e l'esito, quale che sia, si verbalizza con l'anno e la serie consultata.</w:t>
      </w:r>
    </w:p>
    <w:p>
      <w:pPr>
        <w:spacing w:after="120" w:line="276"/>
        <w:jc w:val="both"/>
      </w:pPr>
      <w:r>
        <w:rPr>
          <w:rFonts w:ascii="Barlow Semi Condensed" w:cs="Barlow Semi Condensed" w:eastAsia="Barlow Semi Condensed" w:hAnsi="Barlow Semi Condensed"/>
          <w:b/>
          <w:bCs/>
          <w:sz w:val="24"/>
          <w:szCs w:val="24"/>
        </w:rPr>
        <w:t xml:space="preserve">1362 · L'attesa su quel quesito.</w:t>
      </w:r>
      <w:r>
        <w:rPr>
          <w:rFonts w:ascii="Barlow Semi Condensed" w:cs="Barlow Semi Condensed" w:eastAsia="Barlow Semi Condensed" w:hAnsi="Barlow Semi Condensed"/>
          <w:sz w:val="24"/>
          <w:szCs w:val="24"/>
        </w:rPr>
        <w:t xml:space="preserve"> Formulata prima di aprire gli elenchi, come impone la disciplina: bassa. I funzionari nominati dal territorio appartenevano ad apparati in rottura dichiarata con Washington, e un seminario statunitense non era per loro sede praticabile. Se l'elenco restituisse un nome, sarebbe un fatto biografico interessante e nulla di più; se non ne restituisce alcuno, l'esito negativo non modifica nulla e va scritto ugualmente.</w:t>
      </w:r>
    </w:p>
    <w:p>
      <w:pPr>
        <w:spacing w:after="120" w:line="276"/>
        <w:jc w:val="both"/>
      </w:pPr>
      <w:r>
        <w:rPr>
          <w:rFonts w:ascii="Barlow Semi Condensed" w:cs="Barlow Semi Condensed" w:eastAsia="Barlow Semi Condensed" w:hAnsi="Barlow Semi Condensed"/>
          <w:b/>
          <w:bCs/>
          <w:sz w:val="24"/>
          <w:szCs w:val="24"/>
        </w:rPr>
        <w:t xml:space="preserve">1363 · L'appartenenza non prova condotta.</w:t>
      </w:r>
      <w:r>
        <w:rPr>
          <w:rFonts w:ascii="Barlow Semi Condensed" w:cs="Barlow Semi Condensed" w:eastAsia="Barlow Semi Condensed" w:hAnsi="Barlow Semi Condensed"/>
          <w:sz w:val="24"/>
          <w:szCs w:val="24"/>
        </w:rPr>
        <w:t xml:space="preserve"> Anche un riscontro positivo sugli elenchi non produrrebbe nesso. La disciplina del corpus è esplicita: l'appartenenza a un'organizzazione, a una scuola o a un lignaggio dottrinale non è prova di condotta, e il blocco 960 aggiunge che nessuno risponde dell'uso postumo o altrui del proprio nome. Aver frequentato un'aula non è aver ricevuto un mandato, e non è nemmeno aver conosciuto chi la dirigeva.</w:t>
      </w:r>
    </w:p>
    <w:p>
      <w:pPr>
        <w:spacing w:after="120" w:line="276"/>
        <w:jc w:val="both"/>
      </w:pPr>
      <w:r>
        <w:rPr>
          <w:rFonts w:ascii="Barlow Semi Condensed" w:cs="Barlow Semi Condensed" w:eastAsia="Barlow Semi Condensed" w:hAnsi="Barlow Semi Condensed"/>
          <w:b/>
          <w:bCs/>
          <w:sz w:val="24"/>
          <w:szCs w:val="24"/>
        </w:rPr>
        <w:t xml:space="preserve">1364 · Il metro cileno, e il limite.</w:t>
      </w:r>
      <w:r>
        <w:rPr>
          <w:rFonts w:ascii="Barlow Semi Condensed" w:cs="Barlow Semi Condensed" w:eastAsia="Barlow Semi Condensed" w:hAnsi="Barlow Semi Condensed"/>
          <w:sz w:val="24"/>
          <w:szCs w:val="24"/>
        </w:rPr>
        <w:t xml:space="preserve"> Indicato al blocco 496 come il miglior metro di cui il corpus disponga, il caso cileno vale perché lì un organo legislativo accertò in pubblico, con documenti, un finanziamento statale straniero. Il metro serve a misurare che cosa manchi altrove. Applicato a questo territorio, dice che manca tutto: non un accertamento parlamentare, non un finanziamento tracciato, non un beneficiario. E il Cile è del 1970-1973, in altro Paese.</w:t>
      </w:r>
    </w:p>
    <w:p>
      <w:pPr>
        <w:spacing w:after="120" w:line="276"/>
        <w:jc w:val="both"/>
      </w:pPr>
      <w:r>
        <w:rPr>
          <w:rFonts w:ascii="Barlow Semi Condensed" w:cs="Barlow Semi Condensed" w:eastAsia="Barlow Semi Condensed" w:hAnsi="Barlow Semi Condensed"/>
          <w:b/>
          <w:bCs/>
          <w:sz w:val="24"/>
          <w:szCs w:val="24"/>
        </w:rPr>
        <w:t xml:space="preserve">1365 · La commissione del 1975.</w:t>
      </w:r>
      <w:r>
        <w:rPr>
          <w:rFonts w:ascii="Barlow Semi Condensed" w:cs="Barlow Semi Condensed" w:eastAsia="Barlow Semi Condensed" w:hAnsi="Barlow Semi Condensed"/>
          <w:sz w:val="24"/>
          <w:szCs w:val="24"/>
        </w:rPr>
        <w:t xml:space="preserve"> Il rapporto interinale della commissione senatoriale statunitense sui complotti contro leader stranieri, del novembre 1975, elenca casi nominati uno per uno. Guevara non vi figura. La sede che consente di verificarlo e di misurarne il perimetro sono le carte della commissione presso il centro degli archivi legislativi di Washington. È una verifica a esito negativo dichiarabile, e proprio per questo va condotta e citata con la data.</w:t>
      </w:r>
    </w:p>
    <w:p>
      <w:pPr>
        <w:spacing w:after="120" w:line="276"/>
        <w:jc w:val="both"/>
      </w:pPr>
      <w:r>
        <w:rPr>
          <w:rFonts w:ascii="Barlow Semi Condensed" w:cs="Barlow Semi Condensed" w:eastAsia="Barlow Semi Condensed" w:hAnsi="Barlow Semi Condensed"/>
          <w:b/>
          <w:bCs/>
          <w:sz w:val="24"/>
          <w:szCs w:val="24"/>
        </w:rPr>
        <w:t xml:space="preserve">1366 · Che cosa quell'assenza pesa.</w:t>
      </w:r>
      <w:r>
        <w:rPr>
          <w:rFonts w:ascii="Barlow Semi Condensed" w:cs="Barlow Semi Condensed" w:eastAsia="Barlow Semi Condensed" w:hAnsi="Barlow Semi Condensed"/>
          <w:sz w:val="24"/>
          <w:szCs w:val="24"/>
        </w:rPr>
        <w:t xml:space="preserve"> Non pesa come enunciato sul mondo: che una commissione non abbia trattato un caso non dimostra che nulla vi fosse da trattare. Pesa come misura del perimetro d'inchiesta, cioè di che cosa il legislatore statunitense scelse di guardare nel 1975. Il blocco 636 lo dice una volta per tutte: il silenzio d'archivio prova che quel fondo, come inventariato e consultato, non contiene il documento.</w:t>
      </w:r>
    </w:p>
    <w:p>
      <w:pPr>
        <w:spacing w:after="120" w:line="276"/>
        <w:jc w:val="both"/>
      </w:pPr>
      <w:r>
        <w:rPr>
          <w:rFonts w:ascii="Barlow Semi Condensed" w:cs="Barlow Semi Condensed" w:eastAsia="Barlow Semi Condensed" w:hAnsi="Barlow Semi Condensed"/>
          <w:b/>
          <w:bCs/>
          <w:sz w:val="24"/>
          <w:szCs w:val="24"/>
        </w:rPr>
        <w:t xml:space="preserve">1367 · La commissione sulle attività interne.</w:t>
      </w:r>
      <w:r>
        <w:rPr>
          <w:rFonts w:ascii="Barlow Semi Condensed" w:cs="Barlow Semi Condensed" w:eastAsia="Barlow Semi Condensed" w:hAnsi="Barlow Semi Condensed"/>
          <w:sz w:val="24"/>
          <w:szCs w:val="24"/>
        </w:rPr>
        <w:t xml:space="preserve"> Una seconda commissione, nello stesso 1975, esaminò le attività dell'agenzia sul territorio nazionale. Il quesito che ne discende tocca direttamente il dicembre 1964 newyorkese: se la sorveglianza della delegazione cubana all'ONU vi sia stata esaminata, e in quali termini. La sede è il rapporto pubblicato e le carte versate ai National Archives. È un bersaglio che il corpus non aveva mai formulato e che costa una segnatura.</w:t>
      </w:r>
    </w:p>
    <w:p>
      <w:pPr>
        <w:spacing w:after="120" w:line="276"/>
        <w:jc w:val="both"/>
      </w:pPr>
      <w:r>
        <w:rPr>
          <w:rFonts w:ascii="Barlow Semi Condensed" w:cs="Barlow Semi Condensed" w:eastAsia="Barlow Semi Condensed" w:hAnsi="Barlow Semi Condensed"/>
          <w:b/>
          <w:bCs/>
          <w:sz w:val="24"/>
          <w:szCs w:val="24"/>
        </w:rPr>
        <w:t xml:space="preserve">1368 · I telcon che non esistono.</w:t>
      </w:r>
      <w:r>
        <w:rPr>
          <w:rFonts w:ascii="Barlow Semi Condensed" w:cs="Barlow Semi Condensed" w:eastAsia="Barlow Semi Condensed" w:hAnsi="Barlow Semi Condensed"/>
          <w:sz w:val="24"/>
          <w:szCs w:val="24"/>
        </w:rPr>
        <w:t xml:space="preserve"> La raccolta delle trascrizioni telefoniche del nome triangolato comincia con il 1969 e non contiene, per costruzione, alcuna conversazione degli anni di Guevara. Non è occultamento e non è lacuna: è la data d'inizio di una serie documentale. Confondere la data d'inizio di un fondo con una sparizione è uno degli errori più diffusi della pubblicistica, e produce vuoti che nessuno ha mai prodotto.</w:t>
      </w:r>
    </w:p>
    <w:p>
      <w:pPr>
        <w:spacing w:after="120" w:line="276"/>
        <w:jc w:val="both"/>
      </w:pPr>
      <w:r>
        <w:rPr>
          <w:rFonts w:ascii="Barlow Semi Condensed" w:cs="Barlow Semi Condensed" w:eastAsia="Barlow Semi Condensed" w:hAnsi="Barlow Semi Condensed"/>
          <w:b/>
          <w:bCs/>
          <w:sz w:val="24"/>
          <w:szCs w:val="24"/>
        </w:rPr>
        <w:t xml:space="preserve">1369 · Lo Stato Zero per costruzione.</w:t>
      </w:r>
      <w:r>
        <w:rPr>
          <w:rFonts w:ascii="Barlow Semi Condensed" w:cs="Barlow Semi Condensed" w:eastAsia="Barlow Semi Condensed" w:hAnsi="Barlow Semi Condensed"/>
          <w:sz w:val="24"/>
          <w:szCs w:val="24"/>
        </w:rPr>
        <w:t xml:space="preserve"> Si propone qui come categoria distinta, perché la serie ne incontra molti: l'assenza che discende dalla struttura di una fonte e non dall'esito di una ricerca. Va verbalizzata diversamente dallo Stato Zero cercato, che presuppone un fondo aperto e interrogato. Sommare le due specie gonfia il perimetro negativo e lo rende inutilizzabile; distinguerle consente a un terzo di ripetere soltanto ciò che è ripetibile.</w:t>
      </w:r>
    </w:p>
    <w:p>
      <w:pPr>
        <w:spacing w:after="120" w:line="276"/>
        <w:jc w:val="both"/>
      </w:pPr>
      <w:r>
        <w:rPr>
          <w:rFonts w:ascii="Barlow Semi Condensed" w:cs="Barlow Semi Condensed" w:eastAsia="Barlow Semi Condensed" w:hAnsi="Barlow Semi Condensed"/>
          <w:b/>
          <w:bCs/>
          <w:sz w:val="24"/>
          <w:szCs w:val="24"/>
        </w:rPr>
        <w:t xml:space="preserve">1370 · Il bilancio dei piani.</w:t>
      </w:r>
      <w:r>
        <w:rPr>
          <w:rFonts w:ascii="Barlow Semi Condensed" w:cs="Barlow Semi Condensed" w:eastAsia="Barlow Semi Condensed" w:hAnsi="Barlow Semi Condensed"/>
          <w:sz w:val="24"/>
          <w:szCs w:val="24"/>
        </w:rPr>
        <w:t xml:space="preserve"> A conclusione delle interrogazioni: rapporti diretti documentati fra Kissinger e il territorio assegnato, nessuno. Convergenze strutturali entro la stessa cornice, tre e tutte deboli — il Vietnam pensato dai due capi opposti, il Cairo a distanza di otto anni, la pratica internazionalista cubana ripresa in Angola dieci anni dopo. Affermazioni terziarie da qualificare, una sola, ed è la vulgata dell'ombra statunitense sulle due morti.</w:t>
      </w:r>
    </w:p>
    <w:p>
      <w:pPr>
        <w:spacing w:after="120" w:line="276"/>
        <w:jc w:val="both"/>
      </w:pPr>
      <w:r>
        <w:rPr>
          <w:rFonts w:ascii="Barlow Semi Condensed" w:cs="Barlow Semi Condensed" w:eastAsia="Barlow Semi Condensed" w:hAnsi="Barlow Semi Condensed"/>
          <w:b/>
          <w:bCs/>
          <w:sz w:val="24"/>
          <w:szCs w:val="24"/>
        </w:rPr>
        <w:t xml:space="preserve">1371 · La vulgata dell'ombra statunitense.</w:t>
      </w:r>
      <w:r>
        <w:rPr>
          <w:rFonts w:ascii="Barlow Semi Condensed" w:cs="Barlow Semi Condensed" w:eastAsia="Barlow Semi Condensed" w:hAnsi="Barlow Semi Condensed"/>
          <w:sz w:val="24"/>
          <w:szCs w:val="24"/>
        </w:rPr>
        <w:t xml:space="preserve"> Accostando l'agente presente a La Higuera nel 1967 e l'avvertimento riferito a Moro, il nodo M-5 li dichiara documentati nei singoli fatti e non riducibili a una regia unica. Il saggio-cerniera del corpus lo ripete: due vicende distinte, in due decenni e due continenti, che condividono una cornice e non un centro. Questa serie non aggiunge nulla a quel giudizio e non ne toglie.</w:t>
      </w:r>
    </w:p>
    <w:p>
      <w:pPr>
        <w:spacing w:after="120" w:line="276"/>
        <w:jc w:val="both"/>
      </w:pPr>
      <w:r>
        <w:rPr>
          <w:rFonts w:ascii="Barlow Semi Condensed" w:cs="Barlow Semi Condensed" w:eastAsia="Barlow Semi Condensed" w:hAnsi="Barlow Semi Condensed"/>
          <w:b/>
          <w:bCs/>
          <w:sz w:val="24"/>
          <w:szCs w:val="24"/>
        </w:rPr>
        <w:t xml:space="preserve">1372 · La moltiplicazione apparente, di nuovo.</w:t>
      </w:r>
      <w:r>
        <w:rPr>
          <w:rFonts w:ascii="Barlow Semi Condensed" w:cs="Barlow Semi Condensed" w:eastAsia="Barlow Semi Condensed" w:hAnsi="Barlow Semi Condensed"/>
          <w:sz w:val="24"/>
          <w:szCs w:val="24"/>
        </w:rPr>
        <w:t xml:space="preserve"> La settima precisazione dell'Apparato K vale anche fuori dal caso Moro: il numero delle ripetizioni non aggiunge valore probatorio, perché la replicazione di una sequenza non crea alcun carattere nuovo. Applicata alla letteratura guevariana, la regola impone di risalire, per ogni affermazione che accosti i due nomi, al primo enunciato e alla sua data. Se il primo enunciato è un'opinione, tutte le riprese restano opinione.</w:t>
      </w:r>
    </w:p>
    <w:p>
      <w:pPr>
        <w:spacing w:after="120" w:line="276"/>
        <w:jc w:val="both"/>
      </w:pPr>
      <w:r>
        <w:rPr>
          <w:rFonts w:ascii="Barlow Semi Condensed" w:cs="Barlow Semi Condensed" w:eastAsia="Barlow Semi Condensed" w:hAnsi="Barlow Semi Condensed"/>
          <w:b/>
          <w:bCs/>
          <w:sz w:val="24"/>
          <w:szCs w:val="24"/>
        </w:rPr>
        <w:t xml:space="preserve">1373 · Il rango delle fonti, ereditato.</w:t>
      </w:r>
      <w:r>
        <w:rPr>
          <w:rFonts w:ascii="Barlow Semi Condensed" w:cs="Barlow Semi Condensed" w:eastAsia="Barlow Semi Condensed" w:hAnsi="Barlow Semi Condensed"/>
          <w:sz w:val="24"/>
          <w:szCs w:val="24"/>
        </w:rPr>
        <w:t xml:space="preserve"> Cinque ranghi ordinano le fonti nella bibliografia critica guevariana — primarie, accademiche, giornalistiche qualificate, enciclopediche, sostituite — ciascuna con l'uso che se ne è fatto. Questa serie eredita quell'ordinamento senza aggiungervi nulla. Nessuna affermazione che colleghi il nome triangolato a questo territorio entra nel corpus se non attraverso uno dei primi tre ranghi, e con la propria etichetta di grado stampata accanto.</w:t>
      </w:r>
    </w:p>
    <w:p>
      <w:pPr>
        <w:spacing w:after="120" w:line="276"/>
        <w:jc w:val="both"/>
      </w:pPr>
      <w:r>
        <w:rPr>
          <w:rFonts w:ascii="Barlow Semi Condensed" w:cs="Barlow Semi Condensed" w:eastAsia="Barlow Semi Condensed" w:hAnsi="Barlow Semi Condensed"/>
          <w:b/>
          <w:bCs/>
          <w:sz w:val="24"/>
          <w:szCs w:val="24"/>
        </w:rPr>
        <w:t xml:space="preserve">1374 · La regola sulle fonti espunte.</w:t>
      </w:r>
      <w:r>
        <w:rPr>
          <w:rFonts w:ascii="Barlow Semi Condensed" w:cs="Barlow Semi Condensed" w:eastAsia="Barlow Semi Condensed" w:hAnsi="Barlow Semi Condensed"/>
          <w:sz w:val="24"/>
          <w:szCs w:val="24"/>
        </w:rPr>
        <w:t xml:space="preserve"> La tavola di trasparenza del quinto paragrafo della bibliografia elenca ciò che è stato espulso: PDF su reti anonime, pamphlet militanti, wiki di appassionati, siti di partito, portali d'opinione. La regola che ne discende vale per l'intera seconda campagna: un'affermazione già declassata non rientra dalla porta di servizio perché nel frattempo qualcuno l'ha ripetuta altrove. La declassazione è definitiva finché non arriva un documento.</w:t>
      </w:r>
    </w:p>
    <w:p>
      <w:pPr>
        <w:spacing w:after="120" w:line="276"/>
        <w:jc w:val="both"/>
      </w:pPr>
      <w:r>
        <w:rPr>
          <w:rFonts w:ascii="Barlow Semi Condensed" w:cs="Barlow Semi Condensed" w:eastAsia="Barlow Semi Condensed" w:hAnsi="Barlow Semi Condensed"/>
          <w:b/>
          <w:bCs/>
          <w:sz w:val="24"/>
          <w:szCs w:val="24"/>
        </w:rPr>
        <w:t xml:space="preserve">1375 · Le divergenze si riportano.</w:t>
      </w:r>
      <w:r>
        <w:rPr>
          <w:rFonts w:ascii="Barlow Semi Condensed" w:cs="Barlow Semi Condensed" w:eastAsia="Barlow Semi Condensed" w:hAnsi="Barlow Semi Condensed"/>
          <w:sz w:val="24"/>
          <w:szCs w:val="24"/>
        </w:rPr>
        <w:t xml:space="preserve"> Parecchie divergenze restano nel territorio, e questa serie non le scioglie: il titolo dell'articolo allergologico messicano che circola in due varianti, l'ordine incerto delle tappe del tour, la data della retata messicana del 1956 nello studio vicino. Sul versante triangolato la divergenza maggiore resta quella fissata in K-1, fra l'anglicizzazione del nome collocata al 1938 dalle opere di consultazione e al 1942-1943 dal fascicolo d'immigrazione.</w:t>
      </w:r>
    </w:p>
    <w:p>
      <w:pPr>
        <w:spacing w:after="120" w:line="276"/>
        <w:jc w:val="both"/>
      </w:pPr>
      <w:r>
        <w:rPr>
          <w:rFonts w:ascii="Barlow Semi Condensed" w:cs="Barlow Semi Condensed" w:eastAsia="Barlow Semi Condensed" w:hAnsi="Barlow Semi Condensed"/>
          <w:b/>
          <w:bCs/>
          <w:sz w:val="24"/>
          <w:szCs w:val="24"/>
        </w:rPr>
        <w:t xml:space="preserve">1376 · Nessun responsabile di reato.</w:t>
      </w:r>
      <w:r>
        <w:rPr>
          <w:rFonts w:ascii="Barlow Semi Condensed" w:cs="Barlow Semi Condensed" w:eastAsia="Barlow Semi Condensed" w:hAnsi="Barlow Semi Condensed"/>
          <w:sz w:val="24"/>
          <w:szCs w:val="24"/>
        </w:rPr>
        <w:t xml:space="preserve"> Va ripetuto dove la tentazione è massima, cioè in un territorio pieno di morti violente. Henry Kissinger non fu condannato in alcun processo, non fu mai imputato né processato in alcun Paese, e nessun blocco di questa serie lo indica come responsabile di reato. Qui, anzi, non esiste nemmeno il documento che lo colleghi ai fatti narrati: l'esito non è un'assoluzione, è un'estraneità documentale.</w:t>
      </w:r>
    </w:p>
    <w:p>
      <w:pPr>
        <w:spacing w:after="120" w:line="276"/>
        <w:jc w:val="both"/>
      </w:pPr>
      <w:r>
        <w:rPr>
          <w:rFonts w:ascii="Barlow Semi Condensed" w:cs="Barlow Semi Condensed" w:eastAsia="Barlow Semi Condensed" w:hAnsi="Barlow Semi Condensed"/>
          <w:b/>
          <w:bCs/>
          <w:sz w:val="24"/>
          <w:szCs w:val="24"/>
        </w:rPr>
        <w:t xml:space="preserve">1377 · I tre bersagli di smentita.</w:t>
      </w:r>
      <w:r>
        <w:rPr>
          <w:rFonts w:ascii="Barlow Semi Condensed" w:cs="Barlow Semi Condensed" w:eastAsia="Barlow Semi Condensed" w:hAnsi="Barlow Semi Condensed"/>
          <w:sz w:val="24"/>
          <w:szCs w:val="24"/>
        </w:rPr>
        <w:t xml:space="preserve"> Rovescerebbero l'esito negativo, e si elencano perché chiunque possa cercarli: un documento del 1964-1966 in cui il nome triangolato tratti di Cuba, del Congo o della Bolivia; un elenco del seminario di Harvard che rechi un funzionario nominato dal territorio; una diramazione dei rapporti dell'agenzia su Guevara che lo indichi come destinatario. Tre sedi, tre segnature, tre esiti verificabili da terzi.</w:t>
      </w:r>
    </w:p>
    <w:p>
      <w:pPr>
        <w:spacing w:after="120" w:line="276"/>
        <w:jc w:val="both"/>
      </w:pPr>
      <w:r>
        <w:rPr>
          <w:rFonts w:ascii="Barlow Semi Condensed" w:cs="Barlow Semi Condensed" w:eastAsia="Barlow Semi Condensed" w:hAnsi="Barlow Semi Condensed"/>
          <w:b/>
          <w:bCs/>
          <w:sz w:val="24"/>
          <w:szCs w:val="24"/>
        </w:rPr>
        <w:t xml:space="preserve">1378 · Il limite tecnico dichiarato.</w:t>
      </w:r>
      <w:r>
        <w:rPr>
          <w:rFonts w:ascii="Barlow Semi Condensed" w:cs="Barlow Semi Condensed" w:eastAsia="Barlow Semi Condensed" w:hAnsi="Barlow Semi Condensed"/>
          <w:sz w:val="24"/>
          <w:szCs w:val="24"/>
        </w:rPr>
        <w:t xml:space="preserve"> Come l'Apparato K per la prima campagna, anche questa serie dichiara il proprio: nessun documento primario è stato letto. Le sedi sono nominate, le segnature sono in parte da verificare, e gli esiti attesi sono attese e non risultati. Chi riprenderà questi bersagli lo faccia sapendo quanto pesa ciascuna riga: qui si è disegnata una mappa di porte, non si è aperto alcun fascicolo.</w:t>
      </w:r>
    </w:p>
    <w:p>
      <w:pPr>
        <w:spacing w:after="120" w:line="276"/>
        <w:jc w:val="both"/>
      </w:pPr>
      <w:r>
        <w:rPr>
          <w:rFonts w:ascii="Barlow Semi Condensed" w:cs="Barlow Semi Condensed" w:eastAsia="Barlow Semi Condensed" w:hAnsi="Barlow Semi Condensed"/>
          <w:b/>
          <w:bCs/>
          <w:sz w:val="24"/>
          <w:szCs w:val="24"/>
        </w:rPr>
        <w:t xml:space="preserve">1379 · Che cosa questa serie ha stabilito.</w:t>
      </w:r>
      <w:r>
        <w:rPr>
          <w:rFonts w:ascii="Barlow Semi Condensed" w:cs="Barlow Semi Condensed" w:eastAsia="Barlow Semi Condensed" w:hAnsi="Barlow Semi Condensed"/>
          <w:sz w:val="24"/>
          <w:szCs w:val="24"/>
        </w:rPr>
        <w:t xml:space="preserve"> Un'assenza, descritta con precisione. Il territorio 1964-1966 del corpus guevariano non contiene il nome triangolato, non lo contengono gli altri studi del filone, non lo contiene la cronologia sinottica, e la ragione strutturale è che in quei ventitré mesi quell'uomo non aveva funzione pubblica. È risultato modesto e pieno: un blocco che dichiara bene un'assenza vale più di uno che suggerisca una presenza.</w:t>
      </w:r>
    </w:p>
    <w:p>
      <w:pPr>
        <w:spacing w:after="120" w:line="276"/>
        <w:jc w:val="both"/>
      </w:pPr>
      <w:r>
        <w:rPr>
          <w:rFonts w:ascii="Barlow Semi Condensed" w:cs="Barlow Semi Condensed" w:eastAsia="Barlow Semi Condensed" w:hAnsi="Barlow Semi Condensed"/>
          <w:b/>
          <w:bCs/>
          <w:sz w:val="24"/>
          <w:szCs w:val="24"/>
        </w:rPr>
        <w:t xml:space="preserve">1380 · La riga che chiude il territorio.</w:t>
      </w:r>
      <w:r>
        <w:rPr>
          <w:rFonts w:ascii="Barlow Semi Condensed" w:cs="Barlow Semi Condensed" w:eastAsia="Barlow Semi Condensed" w:hAnsi="Barlow Semi Condensed"/>
          <w:sz w:val="24"/>
          <w:szCs w:val="24"/>
        </w:rPr>
        <w:t xml:space="preserve"> In biologia il carattere si eredita, in storia la responsabilità no; e in questo territorio non c'è nemmeno un carattere da trasmettere, perché manca il primo anello. Restano i documenti che ci sono — i discorsi, i diari, le note di revisione — e le sedi che potrebbero smentire questa pagina. È tutto ciò che una triangolazione onesta produce quando il corpus, interrogato, tace.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diciannovesima — Guevara: la campagna boliviana 1966-1967</w:t>
      </w:r>
    </w:p>
    <w:p>
      <w:pPr>
        <w:spacing w:after="120" w:line="276"/>
        <w:jc w:val="both"/>
      </w:pPr>
      <w:r>
        <w:rPr>
          <w:rFonts w:ascii="Barlow Semi Condensed" w:cs="Barlow Semi Condensed" w:eastAsia="Barlow Semi Condensed" w:hAnsi="Barlow Semi Condensed"/>
          <w:i/>
          <w:iCs/>
          <w:sz w:val="24"/>
          <w:szCs w:val="24"/>
        </w:rPr>
        <w:t xml:space="preserve">Blocchi 1381-1465.</w:t>
      </w:r>
    </w:p>
    <w:p>
      <w:pPr>
        <w:spacing w:after="120" w:line="276"/>
        <w:jc w:val="both"/>
      </w:pPr>
      <w:r>
        <w:rPr>
          <w:rFonts w:ascii="Barlow Semi Condensed" w:cs="Barlow Semi Condensed" w:eastAsia="Barlow Semi Condensed" w:hAnsi="Barlow Semi Condensed"/>
          <w:b/>
          <w:bCs/>
          <w:sz w:val="24"/>
          <w:szCs w:val="24"/>
        </w:rPr>
        <w:t xml:space="preserve">1381 · Il conteggio da cui si parte.</w:t>
      </w:r>
      <w:r>
        <w:rPr>
          <w:rFonts w:ascii="Barlow Semi Condensed" w:cs="Barlow Semi Condensed" w:eastAsia="Barlow Semi Condensed" w:hAnsi="Barlow Semi Condensed"/>
          <w:sz w:val="24"/>
          <w:szCs w:val="24"/>
        </w:rPr>
        <w:t xml:space="preserve"> In guevara-campagna-boliviana-1966-1967.md il nome Kissinger ricorre zero volte. Zero anche negli altri quattro studi guevariani, nella bibliografia critica e nello studio su Feltrinelli. È accertamento di grado alto, perché la verifica è una ricerca testuale che chiunque può ripetere sul repository. Non dice che rapporti storici non siano esistiti: dice che il territorio assegnato, per come è redatto, non ha mai avuto occasione di scriverne il nome.</w:t>
      </w:r>
    </w:p>
    <w:p>
      <w:pPr>
        <w:spacing w:after="120" w:line="276"/>
        <w:jc w:val="both"/>
      </w:pPr>
      <w:r>
        <w:rPr>
          <w:rFonts w:ascii="Barlow Semi Condensed" w:cs="Barlow Semi Condensed" w:eastAsia="Barlow Semi Condensed" w:hAnsi="Barlow Semi Condensed"/>
          <w:b/>
          <w:bCs/>
          <w:sz w:val="24"/>
          <w:szCs w:val="24"/>
        </w:rPr>
        <w:t xml:space="preserve">1382 · La soglia cronologica che governa tutto.</w:t>
      </w:r>
      <w:r>
        <w:rPr>
          <w:rFonts w:ascii="Barlow Semi Condensed" w:cs="Barlow Semi Condensed" w:eastAsia="Barlow Semi Condensed" w:hAnsi="Barlow Semi Condensed"/>
          <w:sz w:val="24"/>
          <w:szCs w:val="24"/>
        </w:rPr>
        <w:t xml:space="preserve"> La campagna boliviana corre dal 7 novembre 1966 al 9 ottobre 1967. Gli incarichi fissati dall'opera cominciano dopo: Assistente per la sicurezza nazionale dal 20 gennaio 1969, Segretario di Stato dal 22 settembre 1973. Fra la Quebrada del Churo e l'ingresso alla Casa Bianca corrono poco più di quindici mesi. Nessun atto d'ufficio di quell'uomo può dunque esistere per gli undici mesi qui studiati.</w:t>
      </w:r>
    </w:p>
    <w:p>
      <w:pPr>
        <w:spacing w:after="120" w:line="276"/>
        <w:jc w:val="both"/>
      </w:pPr>
      <w:r>
        <w:rPr>
          <w:rFonts w:ascii="Barlow Semi Condensed" w:cs="Barlow Semi Condensed" w:eastAsia="Barlow Semi Condensed" w:hAnsi="Barlow Semi Condensed"/>
          <w:b/>
          <w:bCs/>
          <w:sz w:val="24"/>
          <w:szCs w:val="24"/>
        </w:rPr>
        <w:t xml:space="preserve">1383 · Che cosa il capitolo attribuisce a Washington.</w:t>
      </w:r>
      <w:r>
        <w:rPr>
          <w:rFonts w:ascii="Barlow Semi Condensed" w:cs="Barlow Semi Condensed" w:eastAsia="Barlow Semi Condensed" w:hAnsi="Barlow Semi Condensed"/>
          <w:sz w:val="24"/>
          <w:szCs w:val="24"/>
        </w:rPr>
        <w:t xml:space="preserve"> La sezione terza scrive che Barrientos chiese assistenza a Washington e che giunsero i berretti verdi ad addestrare il secondo Battaglione Ranger, con gli agenti della CIA. L'attribuzione è istituzionale e non personale: nessun funzionario statunitense è nominato salvo Félix Rodríguez. È la forma corretta, ed è anche il limite del capitolo, perché una catena di comando non nominata non è verificabile né confutabile.</w:t>
      </w:r>
    </w:p>
    <w:p>
      <w:pPr>
        <w:spacing w:after="120" w:line="276"/>
        <w:jc w:val="both"/>
      </w:pPr>
      <w:r>
        <w:rPr>
          <w:rFonts w:ascii="Barlow Semi Condensed" w:cs="Barlow Semi Condensed" w:eastAsia="Barlow Semi Condensed" w:hAnsi="Barlow Semi Condensed"/>
          <w:b/>
          <w:bCs/>
          <w:sz w:val="24"/>
          <w:szCs w:val="24"/>
        </w:rPr>
        <w:t xml:space="preserve">1384 · La decisione, secondo il capitolo.</w:t>
      </w:r>
      <w:r>
        <w:rPr>
          <w:rFonts w:ascii="Barlow Semi Condensed" w:cs="Barlow Semi Condensed" w:eastAsia="Barlow Semi Condensed" w:hAnsi="Barlow Semi Condensed"/>
          <w:sz w:val="24"/>
          <w:szCs w:val="24"/>
        </w:rPr>
        <w:t xml:space="preserve"> Netta è la sezione sesta: la decisione di ucciderlo fu presa a La Paz e comunicata al fronte. Il testo non la sposta a Washington, non la attribuisce ad alcun apparato straniero e ne dà la ragione politica interna, cioè il timore di un processo pubblico che avrebbe destabilizzato il governo Barrientos. Chi volesse spostarla dovrebbe produrre un atto datato; il capitolo non ne offre né ne pretende alcuno.</w:t>
      </w:r>
    </w:p>
    <w:p>
      <w:pPr>
        <w:spacing w:after="120" w:line="276"/>
        <w:jc w:val="both"/>
      </w:pPr>
      <w:r>
        <w:rPr>
          <w:rFonts w:ascii="Barlow Semi Condensed" w:cs="Barlow Semi Condensed" w:eastAsia="Barlow Semi Condensed" w:hAnsi="Barlow Semi Condensed"/>
          <w:b/>
          <w:bCs/>
          <w:sz w:val="24"/>
          <w:szCs w:val="24"/>
        </w:rPr>
        <w:t xml:space="preserve">1385 · Le fonti invocate senza segnatura.</w:t>
      </w:r>
      <w:r>
        <w:rPr>
          <w:rFonts w:ascii="Barlow Semi Condensed" w:cs="Barlow Semi Condensed" w:eastAsia="Barlow Semi Condensed" w:hAnsi="Barlow Semi Condensed"/>
          <w:sz w:val="24"/>
          <w:szCs w:val="24"/>
        </w:rPr>
        <w:t xml:space="preserve"> Lo statuto del capitolo dichiara di poggiare anche sulla documentazione declassificata statunitense e boliviana, ma non indica un solo fondo, una sola serie, un solo numero di documento. È lacuna di apparato, non di sostanza: quella documentazione esiste. Va verbalizzata come tale e chiusa nominando le raccolte, perché una fonte invocata genericamente non consente ad alcun lettore di rifare il cammino.</w:t>
      </w:r>
    </w:p>
    <w:p>
      <w:pPr>
        <w:spacing w:after="120" w:line="276"/>
        <w:jc w:val="both"/>
      </w:pPr>
      <w:r>
        <w:rPr>
          <w:rFonts w:ascii="Barlow Semi Condensed" w:cs="Barlow Semi Condensed" w:eastAsia="Barlow Semi Condensed" w:hAnsi="Barlow Semi Condensed"/>
          <w:b/>
          <w:bCs/>
          <w:sz w:val="24"/>
          <w:szCs w:val="24"/>
        </w:rPr>
        <w:t xml:space="preserve">1386 · Il punto più debole del corpus guevariano.</w:t>
      </w:r>
      <w:r>
        <w:rPr>
          <w:rFonts w:ascii="Barlow Semi Condensed" w:cs="Barlow Semi Condensed" w:eastAsia="Barlow Semi Condensed" w:hAnsi="Barlow Semi Condensed"/>
          <w:sz w:val="24"/>
          <w:szCs w:val="24"/>
        </w:rPr>
        <w:t xml:space="preserve"> La bibliografia critica colloca al terzo rango, fra le fonti giornalistiche, l'intera puntellatura della campagna boliviana: Wikipedia sul 1967 in Bolivia, il portale ARSOF History dell'esercito statunitense, History.com. È il solo capitolo in cui il versante americano poggia su enciclopedico e divulgativo. Proprio dove la triangolazione con un nome statunitense sarebbe più tentante, l'apparato è più fragile: va detto prima di ogni ipotesi.</w:t>
      </w:r>
    </w:p>
    <w:p>
      <w:pPr>
        <w:spacing w:after="120" w:line="276"/>
        <w:jc w:val="both"/>
      </w:pPr>
      <w:r>
        <w:rPr>
          <w:rFonts w:ascii="Barlow Semi Condensed" w:cs="Barlow Semi Condensed" w:eastAsia="Barlow Semi Condensed" w:hAnsi="Barlow Semi Condensed"/>
          <w:b/>
          <w:bCs/>
          <w:sz w:val="24"/>
          <w:szCs w:val="24"/>
        </w:rPr>
        <w:t xml:space="preserve">1387 · L'esito atteso, dichiarato in anticipo.</w:t>
      </w:r>
      <w:r>
        <w:rPr>
          <w:rFonts w:ascii="Barlow Semi Condensed" w:cs="Barlow Semi Condensed" w:eastAsia="Barlow Semi Condensed" w:hAnsi="Barlow Semi Condensed"/>
          <w:sz w:val="24"/>
          <w:szCs w:val="24"/>
        </w:rPr>
        <w:t xml:space="preserve"> Questa serie produrrà in prevalenza Stati Zero, e l'anticipazione fa parte del metodo: dichiarare l'attesa prima della verifica impedisce di leggere come scoperta ciò che è soltanto conferma. L'attesa è motivata dalla cronologia degli incarichi e dalla specializzazione dei fondi, già registrata al blocco 708 dell'opera. Un'assenza prevista e poi riscontrata vale come acquisizione; un'assenza riempita per non lasciare bianco è un falso.</w:t>
      </w:r>
    </w:p>
    <w:p>
      <w:pPr>
        <w:spacing w:after="120" w:line="276"/>
        <w:jc w:val="both"/>
      </w:pPr>
      <w:r>
        <w:rPr>
          <w:rFonts w:ascii="Barlow Semi Condensed" w:cs="Barlow Semi Condensed" w:eastAsia="Barlow Semi Condensed" w:hAnsi="Barlow Semi Condensed"/>
          <w:b/>
          <w:bCs/>
          <w:sz w:val="24"/>
          <w:szCs w:val="24"/>
        </w:rPr>
        <w:t xml:space="preserve">1388 · Il vincolo penale, ribadito sul terreno.</w:t>
      </w:r>
      <w:r>
        <w:rPr>
          <w:rFonts w:ascii="Barlow Semi Condensed" w:cs="Barlow Semi Condensed" w:eastAsia="Barlow Semi Condensed" w:hAnsi="Barlow Semi Condensed"/>
          <w:sz w:val="24"/>
          <w:szCs w:val="24"/>
        </w:rPr>
        <w:t xml:space="preserve"> Nessuna pagina di questa serie indica alcuna persona come responsabile di reato. Per il nome triangolato il vincolo è assoluto: non fu mai imputato né processato in alcun Paese. Per il versante boliviano vale la stessa regola: l'esecuzione del 9 ottobre 1967 non ha prodotto giudicato a carico di alcuno, e il corpus si ferma dove si ferma il giudicato, anche quando i fatti sono pacifici.</w:t>
      </w:r>
    </w:p>
    <w:p>
      <w:pPr>
        <w:spacing w:after="120" w:line="276"/>
        <w:jc w:val="both"/>
      </w:pPr>
      <w:r>
        <w:rPr>
          <w:rFonts w:ascii="Barlow Semi Condensed" w:cs="Barlow Semi Condensed" w:eastAsia="Barlow Semi Condensed" w:hAnsi="Barlow Semi Condensed"/>
          <w:b/>
          <w:bCs/>
          <w:sz w:val="24"/>
          <w:szCs w:val="24"/>
        </w:rPr>
        <w:t xml:space="preserve">1389 · Ñancahuazú, primo Stato Zero.</w:t>
      </w:r>
      <w:r>
        <w:rPr>
          <w:rFonts w:ascii="Barlow Semi Condensed" w:cs="Barlow Semi Condensed" w:eastAsia="Barlow Semi Condensed" w:hAnsi="Barlow Semi Condensed"/>
          <w:sz w:val="24"/>
          <w:szCs w:val="24"/>
        </w:rPr>
        <w:t xml:space="preserve"> Nella sezione prima stanno la fattoria, i cinquanta uomini, l'identità di Adolfo Mena González e l'errore geografico. Nessun attore statunitense vi compare. Lo Stato Zero si chiude, se si chiude, alla Lyndon B. Johnson Presidential Library di Austin, nel National Security File, serie Country File, Bolivia: è lì che si vedrebbe se e quando il vertice di Washington seppe della base, e per quale via.</w:t>
      </w:r>
    </w:p>
    <w:p>
      <w:pPr>
        <w:spacing w:after="120" w:line="276"/>
        <w:jc w:val="both"/>
      </w:pPr>
      <w:r>
        <w:rPr>
          <w:rFonts w:ascii="Barlow Semi Condensed" w:cs="Barlow Semi Condensed" w:eastAsia="Barlow Semi Condensed" w:hAnsi="Barlow Semi Condensed"/>
          <w:b/>
          <w:bCs/>
          <w:sz w:val="24"/>
          <w:szCs w:val="24"/>
        </w:rPr>
        <w:t xml:space="preserve">1390 · Monje, il PCB, i fondi chiusi.</w:t>
      </w:r>
      <w:r>
        <w:rPr>
          <w:rFonts w:ascii="Barlow Semi Condensed" w:cs="Barlow Semi Condensed" w:eastAsia="Barlow Semi Condensed" w:hAnsi="Barlow Semi Condensed"/>
          <w:sz w:val="24"/>
          <w:szCs w:val="24"/>
        </w:rPr>
        <w:t xml:space="preserve"> La rottura del 31 dicembre 1966 con Mario Monje è affare interno al movimento comunista, e nessuna fonte del capitolo la collega a un'iniziativa statunitense. La sede che verificherebbe un'eventuale conoscenza esterna è duplice: l'Archivo de La Paz dell'Universidad Mayor de San Andrés per le carte boliviane, il Centro de Estudios Che Guevara dell'Avana per la corrispondenza cubana. Finché non si aprono, Stato Zero.</w:t>
      </w:r>
    </w:p>
    <w:p>
      <w:pPr>
        <w:spacing w:after="120" w:line="276"/>
        <w:jc w:val="both"/>
      </w:pPr>
      <w:r>
        <w:rPr>
          <w:rFonts w:ascii="Barlow Semi Condensed" w:cs="Barlow Semi Condensed" w:eastAsia="Barlow Semi Condensed" w:hAnsi="Barlow Semi Condensed"/>
          <w:b/>
          <w:bCs/>
          <w:sz w:val="24"/>
          <w:szCs w:val="24"/>
        </w:rPr>
        <w:t xml:space="preserve">1391 · Il 23 marzo 1967 nelle carte americane.</w:t>
      </w:r>
      <w:r>
        <w:rPr>
          <w:rFonts w:ascii="Barlow Semi Condensed" w:cs="Barlow Semi Condensed" w:eastAsia="Barlow Semi Condensed" w:hAnsi="Barlow Semi Condensed"/>
          <w:sz w:val="24"/>
          <w:szCs w:val="24"/>
        </w:rPr>
        <w:t xml:space="preserve"> La prima imboscata rivelò la guerriglia mesi prima che fosse pronta e innescò la reazione: è la data da cui, se esiste, comincia il carteggio statunitense sulla Bolivia insorgente. La serie da interrogare è il Central Foreign Policy File 1967-1969 dei National Archives di College Park, gruppo 59. Il quesito non è se il nome triangolato compaia, ma quali nomi compaiano e con quale funzione.</w:t>
      </w:r>
    </w:p>
    <w:p>
      <w:pPr>
        <w:spacing w:after="120" w:line="276"/>
        <w:jc w:val="both"/>
      </w:pPr>
      <w:r>
        <w:rPr>
          <w:rFonts w:ascii="Barlow Semi Condensed" w:cs="Barlow Semi Condensed" w:eastAsia="Barlow Semi Condensed" w:hAnsi="Barlow Semi Condensed"/>
          <w:b/>
          <w:bCs/>
          <w:sz w:val="24"/>
          <w:szCs w:val="24"/>
        </w:rPr>
        <w:t xml:space="preserve">1392 · I berretti verdi e il loro fondo.</w:t>
      </w:r>
      <w:r>
        <w:rPr>
          <w:rFonts w:ascii="Barlow Semi Condensed" w:cs="Barlow Semi Condensed" w:eastAsia="Barlow Semi Condensed" w:hAnsi="Barlow Semi Condensed"/>
          <w:sz w:val="24"/>
          <w:szCs w:val="24"/>
        </w:rPr>
        <w:t xml:space="preserve"> L'addestramento del secondo Battaglione Ranger è fatto documentato, e la stessa bibliografia del corpus cita il portale storico delle forze speciali statunitensi. Il fondo primario corrispondente sta negli archivi dell'esercito, non in quelli della Casa Bianca: i gruppi di record militari a College Park e l'ufficio storico delle operazioni speciali. Accertamento di grado medio-alto, che non tocca in alcun modo il nome triangolato.</w:t>
      </w:r>
    </w:p>
    <w:p>
      <w:pPr>
        <w:spacing w:after="120" w:line="276"/>
        <w:jc w:val="both"/>
      </w:pPr>
      <w:r>
        <w:rPr>
          <w:rFonts w:ascii="Barlow Semi Condensed" w:cs="Barlow Semi Condensed" w:eastAsia="Barlow Semi Condensed" w:hAnsi="Barlow Semi Condensed"/>
          <w:b/>
          <w:bCs/>
          <w:sz w:val="24"/>
          <w:szCs w:val="24"/>
        </w:rPr>
        <w:t xml:space="preserve">1393 · Félix Rodríguez, unico nome statunitense.</w:t>
      </w:r>
      <w:r>
        <w:rPr>
          <w:rFonts w:ascii="Barlow Semi Condensed" w:cs="Barlow Semi Condensed" w:eastAsia="Barlow Semi Condensed" w:hAnsi="Barlow Semi Condensed"/>
          <w:sz w:val="24"/>
          <w:szCs w:val="24"/>
        </w:rPr>
        <w:t xml:space="preserve"> Il capitolo nomina un solo americano, l'agente cubano-americano presente a La Higuera, e ne registra la testimonianza sull'orologio del prigioniero. È piano 1 quanto alla presenza, perché gli archivi declassificati del 1997 la attestano. Ma la presenza di un operativo sul terreno non importa alcuna catena di comando nominata a Washington, e meno che mai un nome privo, in quei mesi, di qualunque ufficio.</w:t>
      </w:r>
    </w:p>
    <w:p>
      <w:pPr>
        <w:spacing w:after="120" w:line="276"/>
        <w:jc w:val="both"/>
      </w:pPr>
      <w:r>
        <w:rPr>
          <w:rFonts w:ascii="Barlow Semi Condensed" w:cs="Barlow Semi Condensed" w:eastAsia="Barlow Semi Condensed" w:hAnsi="Barlow Semi Condensed"/>
          <w:b/>
          <w:bCs/>
          <w:sz w:val="24"/>
          <w:szCs w:val="24"/>
        </w:rPr>
        <w:t xml:space="preserve">1394 · Debray, Camiri e il canale francese.</w:t>
      </w:r>
      <w:r>
        <w:rPr>
          <w:rFonts w:ascii="Barlow Semi Condensed" w:cs="Barlow Semi Condensed" w:eastAsia="Barlow Semi Condensed" w:hAnsi="Barlow Semi Condensed"/>
          <w:sz w:val="24"/>
          <w:szCs w:val="24"/>
        </w:rPr>
        <w:t xml:space="preserve"> L'arresto del 20 aprile 1967 internazionalizzò il caso e produsse carteggio diplomatico vero. La sede è nominabile: Archives diplomatiques di La Courneuve, série Amérique, sottoserie boliviana degli anni 1966-1970, dove sta il dossier francese sul processo. Se un funzionario statunitense vi comparisse, comparirebbe come interlocutore diplomatico. Nulla autorizza ad attendervi il nome qui triangolato: si verbalizza il vuoto con la serie interrogata.</w:t>
      </w:r>
    </w:p>
    <w:p>
      <w:pPr>
        <w:spacing w:after="120" w:line="276"/>
        <w:jc w:val="both"/>
      </w:pPr>
      <w:r>
        <w:rPr>
          <w:rFonts w:ascii="Barlow Semi Condensed" w:cs="Barlow Semi Condensed" w:eastAsia="Barlow Semi Condensed" w:hAnsi="Barlow Semi Condensed"/>
          <w:b/>
          <w:bCs/>
          <w:sz w:val="24"/>
          <w:szCs w:val="24"/>
        </w:rPr>
        <w:t xml:space="preserve">1395 · Vado del Yeso, sede boliviana.</w:t>
      </w:r>
      <w:r>
        <w:rPr>
          <w:rFonts w:ascii="Barlow Semi Condensed" w:cs="Barlow Semi Condensed" w:eastAsia="Barlow Semi Condensed" w:hAnsi="Barlow Semi Condensed"/>
          <w:sz w:val="24"/>
          <w:szCs w:val="24"/>
        </w:rPr>
        <w:t xml:space="preserve"> Il 31 agosto 1967 il gruppo di Joaquín fu annientato nel guado del Río Grande e Tania morì nell'acqua: episodio militare boliviano, documentato anche dal lato dell'esercito. Le carte operative stanno al ministero della Difesa boliviano e all'Archivo y Biblioteca Nacionales de Bolivia di Sucre. Il territorio tace su ogni nome statunitense di vertice, e la sede che chiuderebbe la questione è quella, non un fondo presidenziale americano.</w:t>
      </w:r>
    </w:p>
    <w:p>
      <w:pPr>
        <w:spacing w:after="120" w:line="276"/>
        <w:jc w:val="both"/>
      </w:pPr>
      <w:r>
        <w:rPr>
          <w:rFonts w:ascii="Barlow Semi Condensed" w:cs="Barlow Semi Condensed" w:eastAsia="Barlow Semi Condensed" w:hAnsi="Barlow Semi Condensed"/>
          <w:b/>
          <w:bCs/>
          <w:sz w:val="24"/>
          <w:szCs w:val="24"/>
        </w:rPr>
        <w:t xml:space="preserve">1396 · La Quebrada del Churo, giornata senza vertici.</w:t>
      </w:r>
      <w:r>
        <w:rPr>
          <w:rFonts w:ascii="Barlow Semi Condensed" w:cs="Barlow Semi Condensed" w:eastAsia="Barlow Semi Condensed" w:hAnsi="Barlow Semi Condensed"/>
          <w:sz w:val="24"/>
          <w:szCs w:val="24"/>
        </w:rPr>
        <w:t xml:space="preserve"> L'8 ottobre 1967 è ricostruito nel capitolo come azione di un battaglione appena addestrato contro un pugno di uomini sfiniti. Nessuna decisione politica statunitense è invocata per quella giornata, e nessuna sarebbe necessaria a spiegarla. Chi cercasse un ordine venuto da lontano dovrebbe indicare l'atto e la sua data: il capitolo, che pure conosce la presenza americana, non lo fa, e fa bene.</w:t>
      </w:r>
    </w:p>
    <w:p>
      <w:pPr>
        <w:spacing w:after="120" w:line="276"/>
        <w:jc w:val="both"/>
      </w:pPr>
      <w:r>
        <w:rPr>
          <w:rFonts w:ascii="Barlow Semi Condensed" w:cs="Barlow Semi Condensed" w:eastAsia="Barlow Semi Condensed" w:hAnsi="Barlow Semi Condensed"/>
          <w:b/>
          <w:bCs/>
          <w:sz w:val="24"/>
          <w:szCs w:val="24"/>
        </w:rPr>
        <w:t xml:space="preserve">1397 · La Higuera, il nome che non c'è.</w:t>
      </w:r>
      <w:r>
        <w:rPr>
          <w:rFonts w:ascii="Barlow Semi Condensed" w:cs="Barlow Semi Condensed" w:eastAsia="Barlow Semi Condensed" w:hAnsi="Barlow Semi Condensed"/>
          <w:sz w:val="24"/>
          <w:szCs w:val="24"/>
        </w:rPr>
        <w:t xml:space="preserve"> La scuola del villaggio, la notte di prigionia, il sergente Mario Terán, la raffica poco dopo mezzogiorno del 9 ottobre 1967: la sezione sesta è la più circostanziata del capitolo e non contiene un solo nome statunitense oltre quello dell'agente. Stato Zero pieno per il nome triangolato. Lo chiuderebbe soltanto un documento coevo che lo legasse a quell'ordine, e nessuna raccolta nota ne segnala l'esistenza.</w:t>
      </w:r>
    </w:p>
    <w:p>
      <w:pPr>
        <w:spacing w:after="120" w:line="276"/>
        <w:jc w:val="both"/>
      </w:pPr>
      <w:r>
        <w:rPr>
          <w:rFonts w:ascii="Barlow Semi Condensed" w:cs="Barlow Semi Condensed" w:eastAsia="Barlow Semi Condensed" w:hAnsi="Barlow Semi Condensed"/>
          <w:b/>
          <w:bCs/>
          <w:sz w:val="24"/>
          <w:szCs w:val="24"/>
        </w:rPr>
        <w:t xml:space="preserve">1398 · Vallegrande, l'immagine e l'archivio.</w:t>
      </w:r>
      <w:r>
        <w:rPr>
          <w:rFonts w:ascii="Barlow Semi Condensed" w:cs="Barlow Semi Condensed" w:eastAsia="Barlow Semi Condensed" w:hAnsi="Barlow Semi Condensed"/>
          <w:sz w:val="24"/>
          <w:szCs w:val="24"/>
        </w:rPr>
        <w:t xml:space="preserve"> L'esposizione del cadavere sui lavatoi dell'ospedale il 10 ottobre e la fotografia di Freddy Alborta appartengono alla storia dell'immagine, non a quella delle cancellerie. Il corpus le tratta al nodo M-7 come iconografia del corpo. Nessuna triangolazione onomastica è possibile qui: chi ne tentasse una costruirebbe un'analogia visiva, cioè esattamente ciò che il blocco 944 dell'opera vieta di promuovere a discendenza.</w:t>
      </w:r>
    </w:p>
    <w:p>
      <w:pPr>
        <w:spacing w:after="120" w:line="276"/>
        <w:jc w:val="both"/>
      </w:pPr>
      <w:r>
        <w:rPr>
          <w:rFonts w:ascii="Barlow Semi Condensed" w:cs="Barlow Semi Condensed" w:eastAsia="Barlow Semi Condensed" w:hAnsi="Barlow Semi Condensed"/>
          <w:b/>
          <w:bCs/>
          <w:sz w:val="24"/>
          <w:szCs w:val="24"/>
        </w:rPr>
        <w:t xml:space="preserve">1399 · Le mani, la fossa, il silenzio.</w:t>
      </w:r>
      <w:r>
        <w:rPr>
          <w:rFonts w:ascii="Barlow Semi Condensed" w:cs="Barlow Semi Condensed" w:eastAsia="Barlow Semi Condensed" w:hAnsi="Barlow Semi Condensed"/>
          <w:sz w:val="24"/>
          <w:szCs w:val="24"/>
        </w:rPr>
        <w:t xml:space="preserve"> L'amputazione a fini identificativi e l'occultamento della sepoltura sono decisioni prese in Bolivia per impedire che una tomba diventasse un santuario. Il capitolo non le attribuisce ad alcun suggerimento esterno, e nessuna fonte reperibile lo fa. La sede che verificherebbe un'eventuale conoscenza americana coeva resta il carteggio dell'ambasciata di La Paz nei National Archives. Fino ad allora l'attribuzione interna regge, e va lasciata dov'è.</w:t>
      </w:r>
    </w:p>
    <w:p>
      <w:pPr>
        <w:spacing w:after="120" w:line="276"/>
        <w:jc w:val="both"/>
      </w:pPr>
      <w:r>
        <w:rPr>
          <w:rFonts w:ascii="Barlow Semi Condensed" w:cs="Barlow Semi Condensed" w:eastAsia="Barlow Semi Condensed" w:hAnsi="Barlow Semi Condensed"/>
          <w:b/>
          <w:bCs/>
          <w:sz w:val="24"/>
          <w:szCs w:val="24"/>
        </w:rPr>
        <w:t xml:space="preserve">1400 · Il 1997, e chi era allora.</w:t>
      </w:r>
      <w:r>
        <w:rPr>
          <w:rFonts w:ascii="Barlow Semi Condensed" w:cs="Barlow Semi Condensed" w:eastAsia="Barlow Semi Condensed" w:hAnsi="Barlow Semi Condensed"/>
          <w:sz w:val="24"/>
          <w:szCs w:val="24"/>
        </w:rPr>
        <w:t xml:space="preserve"> Quando i resti furono ritrovati e traslati a Santa Clara, il nome triangolato era da vent'anni un privato cittadino senza funzione pubblica. La declassificazione statunitense dello stesso anno, che il corpus richiama ai nodi M-5 e M-8, riguarda documenti degli anni Sessanta e non lo coinvolge. Coincidenza di data e nulla più: la contemporaneità di due eventi non istituisce fra loro alcun rapporto.</w:t>
      </w:r>
    </w:p>
    <w:p>
      <w:pPr>
        <w:spacing w:after="120" w:line="276"/>
        <w:jc w:val="both"/>
      </w:pPr>
      <w:r>
        <w:rPr>
          <w:rFonts w:ascii="Barlow Semi Condensed" w:cs="Barlow Semi Condensed" w:eastAsia="Barlow Semi Condensed" w:hAnsi="Barlow Semi Condensed"/>
          <w:b/>
          <w:bCs/>
          <w:sz w:val="24"/>
          <w:szCs w:val="24"/>
        </w:rPr>
        <w:t xml:space="preserve">1401 · La sezione ottava non ha attori.</w:t>
      </w:r>
      <w:r>
        <w:rPr>
          <w:rFonts w:ascii="Barlow Semi Condensed" w:cs="Barlow Semi Condensed" w:eastAsia="Barlow Semi Condensed" w:hAnsi="Barlow Semi Condensed"/>
          <w:sz w:val="24"/>
          <w:szCs w:val="24"/>
        </w:rPr>
        <w:t xml:space="preserve"> Il bilancio finale del capitolo, con il foco importato, la base sociale assente, la colonna divisa e il mito nato dalla disfatta, è analisi storiografica senza personaggi stranieri. È la sezione dove la tentazione di innestare un nome esterno sarebbe massima, perché spiegare una sconfitta con una regia costa meno che spiegarla con l'ambiente. Il capitolo resiste, e questa serie non gliela reintroduce.</w:t>
      </w:r>
    </w:p>
    <w:p>
      <w:pPr>
        <w:spacing w:after="120" w:line="276"/>
        <w:jc w:val="both"/>
      </w:pPr>
      <w:r>
        <w:rPr>
          <w:rFonts w:ascii="Barlow Semi Condensed" w:cs="Barlow Semi Condensed" w:eastAsia="Barlow Semi Condensed" w:hAnsi="Barlow Semi Condensed"/>
          <w:b/>
          <w:bCs/>
          <w:sz w:val="24"/>
          <w:szCs w:val="24"/>
        </w:rPr>
        <w:t xml:space="preserve">1402 · Gli assenti dalla catena boliviana.</w:t>
      </w:r>
      <w:r>
        <w:rPr>
          <w:rFonts w:ascii="Barlow Semi Condensed" w:cs="Barlow Semi Condensed" w:eastAsia="Barlow Semi Condensed" w:hAnsi="Barlow Semi Condensed"/>
          <w:sz w:val="24"/>
          <w:szCs w:val="24"/>
        </w:rPr>
        <w:t xml:space="preserve"> Ricerca testuale eseguita: Alfredo Ovando, Antonio Arguedas, Gary Prado Salmón, Andrés Selich non compaiono in alcun documento del repository. Il capitolo nomina Barrientos e Terán e si ferma. La catena di comando boliviana, che è il piano 1 effettivamente disponibile, resta dunque quasi tutta innominata mentre si discute di un nome americano che non c'è. È una sproporzione di attenzione, e va corretta.</w:t>
      </w:r>
    </w:p>
    <w:p>
      <w:pPr>
        <w:spacing w:after="120" w:line="276"/>
        <w:jc w:val="both"/>
      </w:pPr>
      <w:r>
        <w:rPr>
          <w:rFonts w:ascii="Barlow Semi Condensed" w:cs="Barlow Semi Condensed" w:eastAsia="Barlow Semi Condensed" w:hAnsi="Barlow Semi Condensed"/>
          <w:b/>
          <w:bCs/>
          <w:sz w:val="24"/>
          <w:szCs w:val="24"/>
        </w:rPr>
        <w:t xml:space="preserve">1403 · Rostow, l'assenza che pesa di più.</w:t>
      </w:r>
      <w:r>
        <w:rPr>
          <w:rFonts w:ascii="Barlow Semi Condensed" w:cs="Barlow Semi Condensed" w:eastAsia="Barlow Semi Condensed" w:hAnsi="Barlow Semi Condensed"/>
          <w:sz w:val="24"/>
          <w:szCs w:val="24"/>
        </w:rPr>
        <w:t xml:space="preserve"> Walt Whitman Rostow non compare in nessun file del repository: zero occorrenze. Eppure fu lui, dal primo aprile 1966 al 20 gennaio 1969, l'Assistente del Presidente per gli affari di sicurezza nazionale, cioè il titolare della funzione che il nome triangolato avrebbe assunto quindici mesi dopo la Quebrada del Churo. Il corpus discute quella poltrona attraverso l'inquilino sbagliato.</w:t>
      </w:r>
    </w:p>
    <w:p>
      <w:pPr>
        <w:spacing w:after="120" w:line="276"/>
        <w:jc w:val="both"/>
      </w:pPr>
      <w:r>
        <w:rPr>
          <w:rFonts w:ascii="Barlow Semi Condensed" w:cs="Barlow Semi Condensed" w:eastAsia="Barlow Semi Condensed" w:hAnsi="Barlow Semi Condensed"/>
          <w:b/>
          <w:bCs/>
          <w:sz w:val="24"/>
          <w:szCs w:val="24"/>
        </w:rPr>
        <w:t xml:space="preserve">1404 · Continuità d'ufficio, non di persona.</w:t>
      </w:r>
      <w:r>
        <w:rPr>
          <w:rFonts w:ascii="Barlow Semi Condensed" w:cs="Barlow Semi Condensed" w:eastAsia="Barlow Semi Condensed" w:hAnsi="Barlow Semi Condensed"/>
          <w:sz w:val="24"/>
          <w:szCs w:val="24"/>
        </w:rPr>
        <w:t xml:space="preserve"> Due uomini che occupano la stessa scrivania a distanza di due anni sono un dato istituzionale, non una genealogia. La regola vale nei due sensi: nulla di ciò che accadde nel 1967 si trasmette per successione al titolare del 1969, e nulla di ciò che il titolare del 1969 fece retroagisce sul 1967. L'ufficio è cornice; l'atto ha sempre una firma e una data.</w:t>
      </w:r>
    </w:p>
    <w:p>
      <w:pPr>
        <w:spacing w:after="120" w:line="276"/>
        <w:jc w:val="both"/>
      </w:pPr>
      <w:r>
        <w:rPr>
          <w:rFonts w:ascii="Barlow Semi Condensed" w:cs="Barlow Semi Condensed" w:eastAsia="Barlow Semi Condensed" w:hAnsi="Barlow Semi Condensed"/>
          <w:b/>
          <w:bCs/>
          <w:sz w:val="24"/>
          <w:szCs w:val="24"/>
        </w:rPr>
        <w:t xml:space="preserve">1405 · Austin, il primo giacimento da aprire.</w:t>
      </w:r>
      <w:r>
        <w:rPr>
          <w:rFonts w:ascii="Barlow Semi Condensed" w:cs="Barlow Semi Condensed" w:eastAsia="Barlow Semi Condensed" w:hAnsi="Barlow Semi Condensed"/>
          <w:sz w:val="24"/>
          <w:szCs w:val="24"/>
        </w:rPr>
        <w:t xml:space="preserve"> Quesito da portare alla Lyndon B. Johnson Presidential Library: nel National Security File, serie Country File, Bolivia, e nelle carte dell'Assistente per la sicurezza nazionale, quali documenti trattino la guerriglia di Ñancahuazú fra il novembre 1966 e l'ottobre 1967, e quali nomi vi ricorrano. È la sede in cui un eventuale piano 1 esisterebbe. L'attesa, per il nome triangolato, è nulla.</w:t>
      </w:r>
    </w:p>
    <w:p>
      <w:pPr>
        <w:spacing w:after="120" w:line="276"/>
        <w:jc w:val="both"/>
      </w:pPr>
      <w:r>
        <w:rPr>
          <w:rFonts w:ascii="Barlow Semi Condensed" w:cs="Barlow Semi Condensed" w:eastAsia="Barlow Semi Condensed" w:hAnsi="Barlow Semi Condensed"/>
          <w:b/>
          <w:bCs/>
          <w:sz w:val="24"/>
          <w:szCs w:val="24"/>
        </w:rPr>
        <w:t xml:space="preserve">1406 · College Park, la serie da chiedere.</w:t>
      </w:r>
      <w:r>
        <w:rPr>
          <w:rFonts w:ascii="Barlow Semi Condensed" w:cs="Barlow Semi Condensed" w:eastAsia="Barlow Semi Condensed" w:hAnsi="Barlow Semi Condensed"/>
          <w:sz w:val="24"/>
          <w:szCs w:val="24"/>
        </w:rPr>
        <w:t xml:space="preserve"> Secondo quesito, ai National Archives di College Park: nel Record Group 59, Central Foreign Policy Files 1967-1969, la classificazione relativa all'insorgenza in Bolivia, insieme al carteggio dell'ambasciata di La Paz. Si chieda l'inventario prima dei documenti, perché una serie citata a memoria è una fonte invocata genericamente, cioè lo stesso difetto che questa serie rimprovera allo statuto del capitolo.</w:t>
      </w:r>
    </w:p>
    <w:p>
      <w:pPr>
        <w:spacing w:after="120" w:line="276"/>
        <w:jc w:val="both"/>
      </w:pPr>
      <w:r>
        <w:rPr>
          <w:rFonts w:ascii="Barlow Semi Condensed" w:cs="Barlow Semi Condensed" w:eastAsia="Barlow Semi Condensed" w:hAnsi="Barlow Semi Condensed"/>
          <w:b/>
          <w:bCs/>
          <w:sz w:val="24"/>
          <w:szCs w:val="24"/>
        </w:rPr>
        <w:t xml:space="preserve">1407 · Il volume FRUS che copre la Bolivia.</w:t>
      </w:r>
      <w:r>
        <w:rPr>
          <w:rFonts w:ascii="Barlow Semi Condensed" w:cs="Barlow Semi Condensed" w:eastAsia="Barlow Semi Condensed" w:hAnsi="Barlow Semi Condensed"/>
          <w:sz w:val="24"/>
          <w:szCs w:val="24"/>
        </w:rPr>
        <w:t xml:space="preserve"> Terzo quesito, e il più economico: la compilazione boliviana del volume trentunesimo di Foreign Relations of the United States per gli anni 1964-1968, dedicato all'America centrale e meridionale. È pubblicata, indicizzata e liberamente consultabile presso l'Office of the Historian, la stessa sede che l'opera già adopera per l'anagrafe e per gli incarichi. Se il nome comparisse, comparirebbe lì per primo.</w:t>
      </w:r>
    </w:p>
    <w:p>
      <w:pPr>
        <w:spacing w:after="120" w:line="276"/>
        <w:jc w:val="both"/>
      </w:pPr>
      <w:r>
        <w:rPr>
          <w:rFonts w:ascii="Barlow Semi Condensed" w:cs="Barlow Semi Condensed" w:eastAsia="Barlow Semi Condensed" w:hAnsi="Barlow Semi Condensed"/>
          <w:b/>
          <w:bCs/>
          <w:sz w:val="24"/>
          <w:szCs w:val="24"/>
        </w:rPr>
        <w:t xml:space="preserve">1408 · I fascicoli del consulente.</w:t>
      </w:r>
      <w:r>
        <w:rPr>
          <w:rFonts w:ascii="Barlow Semi Condensed" w:cs="Barlow Semi Condensed" w:eastAsia="Barlow Semi Condensed" w:hAnsi="Barlow Semi Condensed"/>
          <w:sz w:val="24"/>
          <w:szCs w:val="24"/>
        </w:rPr>
        <w:t xml:space="preserve"> Un consulente lascia carte. Negli anni Sessanta le note biografiche gli attribuiscono incarichi di consulenza presso organi del governo federale: si chieda dunque l'inventario dei lot files del Policy Planning Council e delle pratiche dei consulenti del Dipartimento di Stato per il 1966 e il 1967, per accertare se vi figuri un solo elaborato di materia latinoamericana. È l'unica via per cui un piano 1 potrebbe ancora esistere.</w:t>
      </w:r>
    </w:p>
    <w:p>
      <w:pPr>
        <w:spacing w:after="120" w:line="276"/>
        <w:jc w:val="both"/>
      </w:pPr>
      <w:r>
        <w:rPr>
          <w:rFonts w:ascii="Barlow Semi Condensed" w:cs="Barlow Semi Condensed" w:eastAsia="Barlow Semi Condensed" w:hAnsi="Barlow Semi Condensed"/>
          <w:b/>
          <w:bCs/>
          <w:sz w:val="24"/>
          <w:szCs w:val="24"/>
        </w:rPr>
        <w:t xml:space="preserve">1409 · Il perimetro della consulenza, da accertare.</w:t>
      </w:r>
      <w:r>
        <w:rPr>
          <w:rFonts w:ascii="Barlow Semi Condensed" w:cs="Barlow Semi Condensed" w:eastAsia="Barlow Semi Condensed" w:hAnsi="Barlow Semi Condensed"/>
          <w:sz w:val="24"/>
          <w:szCs w:val="24"/>
        </w:rPr>
        <w:t xml:space="preserve"> Prima di cercare un documento occorre accertare il perimetro: quali organi, con quali date, con quale mandato. Le sintesi correnti indicano incarichi presso l'agenzia per il controllo degli armamenti e presso il Dipartimento di Stato, ma la datazione varia da fonte a fonte. Divergenza da riportare, non da sciogliere. Senza perimetro esatto la ricerca del blocco precedente non ha confini e non produce né presenze né assenze.</w:t>
      </w:r>
    </w:p>
    <w:p>
      <w:pPr>
        <w:spacing w:after="120" w:line="276"/>
        <w:jc w:val="both"/>
      </w:pPr>
      <w:r>
        <w:rPr>
          <w:rFonts w:ascii="Barlow Semi Condensed" w:cs="Barlow Semi Condensed" w:eastAsia="Barlow Semi Condensed" w:hAnsi="Barlow Semi Condensed"/>
          <w:b/>
          <w:bCs/>
          <w:sz w:val="24"/>
          <w:szCs w:val="24"/>
        </w:rPr>
        <w:t xml:space="preserve">1410 · Yale, le carte anteriori all'incarico.</w:t>
      </w:r>
      <w:r>
        <w:rPr>
          <w:rFonts w:ascii="Barlow Semi Condensed" w:cs="Barlow Semi Condensed" w:eastAsia="Barlow Semi Condensed" w:hAnsi="Barlow Semi Condensed"/>
          <w:sz w:val="24"/>
          <w:szCs w:val="24"/>
        </w:rPr>
        <w:t xml:space="preserve"> Le carte personali anteriori al gennaio 1969 sono depositate alla Manuscripts and Archives della Yale University Library. È la sede naturale per il quesito boliviano, perché copre esattamente gli anni in cui l'uomo non aveva ufficio e scriveva da professore e da consulente. Si chieda l'inventario delle serie di corrispondenza del 1966-1967 e la ricerca del lemma Bolivia. Esito atteso nullo, e da verbalizzare come tale.</w:t>
      </w:r>
    </w:p>
    <w:p>
      <w:pPr>
        <w:spacing w:after="120" w:line="276"/>
        <w:jc w:val="both"/>
      </w:pPr>
      <w:r>
        <w:rPr>
          <w:rFonts w:ascii="Barlow Semi Condensed" w:cs="Barlow Semi Condensed" w:eastAsia="Barlow Semi Condensed" w:hAnsi="Barlow Semi Condensed"/>
          <w:b/>
          <w:bCs/>
          <w:sz w:val="24"/>
          <w:szCs w:val="24"/>
        </w:rPr>
        <w:t xml:space="preserve">1411 · Washington, le carte di governo.</w:t>
      </w:r>
      <w:r>
        <w:rPr>
          <w:rFonts w:ascii="Barlow Semi Condensed" w:cs="Barlow Semi Condensed" w:eastAsia="Barlow Semi Condensed" w:hAnsi="Barlow Semi Condensed"/>
          <w:sz w:val="24"/>
          <w:szCs w:val="24"/>
        </w:rPr>
        <w:t xml:space="preserve"> La parte di governo delle sue carte sta alla Manuscript Division della Library of Congress, con le trascrizioni telefoniche del periodo dipartimentale. Serie ricchissima e qui inutile: comincia nel 1969, cioè dopo la fine del territorio assegnato. Va nominata proprio per questo, perché dichiarare che il fondo maggiore è cronologicamente fuori bersaglio è un'acquisizione, non una rinuncia.</w:t>
      </w:r>
    </w:p>
    <w:p>
      <w:pPr>
        <w:spacing w:after="120" w:line="276"/>
        <w:jc w:val="both"/>
      </w:pPr>
      <w:r>
        <w:rPr>
          <w:rFonts w:ascii="Barlow Semi Condensed" w:cs="Barlow Semi Condensed" w:eastAsia="Barlow Semi Condensed" w:hAnsi="Barlow Semi Condensed"/>
          <w:b/>
          <w:bCs/>
          <w:sz w:val="24"/>
          <w:szCs w:val="24"/>
        </w:rPr>
        <w:t xml:space="preserve">1412 · Harvard, l'ambiente di quegli anni.</w:t>
      </w:r>
      <w:r>
        <w:rPr>
          <w:rFonts w:ascii="Barlow Semi Condensed" w:cs="Barlow Semi Condensed" w:eastAsia="Barlow Semi Condensed" w:hAnsi="Barlow Semi Condensed"/>
          <w:sz w:val="24"/>
          <w:szCs w:val="24"/>
        </w:rPr>
        <w:t xml:space="preserve"> Negli undici mesi della campagna insegnava a Harvard. Gli Harvard University Archives conservano le carte del centro per gli affari internazionali e la documentazione didattica del periodo. Il quesito è circoscritto: risulta un corso, un seminario, un saggio di materia latinoamericana fra il 1966 e il 1967? Una risposta negativa misura una specializzazione dichiarata e vale come accertamento, non come sospetto dissolto.</w:t>
      </w:r>
    </w:p>
    <w:p>
      <w:pPr>
        <w:spacing w:after="120" w:line="276"/>
        <w:jc w:val="both"/>
      </w:pPr>
      <w:r>
        <w:rPr>
          <w:rFonts w:ascii="Barlow Semi Condensed" w:cs="Barlow Semi Condensed" w:eastAsia="Barlow Semi Condensed" w:hAnsi="Barlow Semi Condensed"/>
          <w:b/>
          <w:bCs/>
          <w:sz w:val="24"/>
          <w:szCs w:val="24"/>
        </w:rPr>
        <w:t xml:space="preserve">1413 · Il seminario internazionale e i suoi elenchi.</w:t>
      </w:r>
      <w:r>
        <w:rPr>
          <w:rFonts w:ascii="Barlow Semi Condensed" w:cs="Barlow Semi Condensed" w:eastAsia="Barlow Semi Condensed" w:hAnsi="Barlow Semi Condensed"/>
          <w:sz w:val="24"/>
          <w:szCs w:val="24"/>
        </w:rPr>
        <w:t xml:space="preserve"> Il seminario internazionale che diresse a Harvard ospitò per anni partecipanti stranieri, e gli elenchi sono conservati. Quesito: vi figura alcun boliviano del periodo Barrientos? Anche una risposta affermativa non produrrebbe nulla oltre un contatto formativo, che l'opera vieta espressamente di leggere come prova di condotta. Il quesito si pone perché una risposta netta, in un senso o nell'altro, chiude una suggestione ricorrente.</w:t>
      </w:r>
    </w:p>
    <w:p>
      <w:pPr>
        <w:spacing w:after="120" w:line="276"/>
        <w:jc w:val="both"/>
      </w:pPr>
      <w:r>
        <w:rPr>
          <w:rFonts w:ascii="Barlow Semi Condensed" w:cs="Barlow Semi Condensed" w:eastAsia="Barlow Semi Condensed" w:hAnsi="Barlow Semi Condensed"/>
          <w:b/>
          <w:bCs/>
          <w:sz w:val="24"/>
          <w:szCs w:val="24"/>
        </w:rPr>
        <w:t xml:space="preserve">1414 · Sleepy Hollow, il consigliere del 1968.</w:t>
      </w:r>
      <w:r>
        <w:rPr>
          <w:rFonts w:ascii="Barlow Semi Condensed" w:cs="Barlow Semi Condensed" w:eastAsia="Barlow Semi Condensed" w:hAnsi="Barlow Semi Condensed"/>
          <w:sz w:val="24"/>
          <w:szCs w:val="24"/>
        </w:rPr>
        <w:t xml:space="preserve"> Fino al gennaio 1969 fu consigliere di politica estera di Nelson Rockefeller, e le carte Rockefeller stanno al Rockefeller Archive Center di Sleepy Hollow. Quesito: nei materiali della campagna presidenziale del 1968 esiste alcun documento di materia boliviana, o alcun riferimento alla guerriglia dell'anno precedente? È la sede più promettente fra quelle private, e resta comunque posteriore ai fatti del territorio.</w:t>
      </w:r>
    </w:p>
    <w:p>
      <w:pPr>
        <w:spacing w:after="120" w:line="276"/>
        <w:jc w:val="both"/>
      </w:pPr>
      <w:r>
        <w:rPr>
          <w:rFonts w:ascii="Barlow Semi Condensed" w:cs="Barlow Semi Condensed" w:eastAsia="Barlow Semi Condensed" w:hAnsi="Barlow Semi Condensed"/>
          <w:b/>
          <w:bCs/>
          <w:sz w:val="24"/>
          <w:szCs w:val="24"/>
        </w:rPr>
        <w:t xml:space="preserve">1415 · La missione del 1969.</w:t>
      </w:r>
      <w:r>
        <w:rPr>
          <w:rFonts w:ascii="Barlow Semi Condensed" w:cs="Barlow Semi Condensed" w:eastAsia="Barlow Semi Condensed" w:hAnsi="Barlow Semi Condensed"/>
          <w:sz w:val="24"/>
          <w:szCs w:val="24"/>
        </w:rPr>
        <w:t xml:space="preserve"> L'anno successivo Rockefeller condusse per la nuova presidenza una missione in America latina, il cui rapporto è pubblico. Cadde venti mesi dopo La Higuera e non appartiene a questo territorio. Si registra qui per una ragione sola: è il primo dossier latinoamericano in cui il nome triangolato entra munito di un ufficio, e serve come termine di confronto per misurare la distanza dal 1967.</w:t>
      </w:r>
    </w:p>
    <w:p>
      <w:pPr>
        <w:spacing w:after="120" w:line="276"/>
        <w:jc w:val="both"/>
      </w:pPr>
      <w:r>
        <w:rPr>
          <w:rFonts w:ascii="Barlow Semi Condensed" w:cs="Barlow Semi Condensed" w:eastAsia="Barlow Semi Condensed" w:hAnsi="Barlow Semi Condensed"/>
          <w:b/>
          <w:bCs/>
          <w:sz w:val="24"/>
          <w:szCs w:val="24"/>
        </w:rPr>
        <w:t xml:space="preserve">1416 · Princeton, i gruppi di studio.</w:t>
      </w:r>
      <w:r>
        <w:rPr>
          <w:rFonts w:ascii="Barlow Semi Condensed" w:cs="Barlow Semi Condensed" w:eastAsia="Barlow Semi Condensed" w:hAnsi="Barlow Semi Condensed"/>
          <w:sz w:val="24"/>
          <w:szCs w:val="24"/>
        </w:rPr>
        <w:t xml:space="preserve"> I documenti del Council on Foreign Relations sono alla Seeley G. Mudd Manuscript Library di Princeton. Quesito: fra il 1965 e il 1968 fu attivo un gruppo di studio su America latina o su insorgenza rivoluzionaria, e chi vi partecipò? La partecipazione a un gruppo di studio non è condotta e non è delega. Il quesito serve a stabilire un'assenza, oppure a qualificare al piano 2 una presenza.</w:t>
      </w:r>
    </w:p>
    <w:p>
      <w:pPr>
        <w:spacing w:after="120" w:line="276"/>
        <w:jc w:val="both"/>
      </w:pPr>
      <w:r>
        <w:rPr>
          <w:rFonts w:ascii="Barlow Semi Condensed" w:cs="Barlow Semi Condensed" w:eastAsia="Barlow Semi Condensed" w:hAnsi="Barlow Semi Condensed"/>
          <w:b/>
          <w:bCs/>
          <w:sz w:val="24"/>
          <w:szCs w:val="24"/>
        </w:rPr>
        <w:t xml:space="preserve">1417 · Dove sta davvero l'autunno 1967.</w:t>
      </w:r>
      <w:r>
        <w:rPr>
          <w:rFonts w:ascii="Barlow Semi Condensed" w:cs="Barlow Semi Condensed" w:eastAsia="Barlow Semi Condensed" w:hAnsi="Barlow Semi Condensed"/>
          <w:sz w:val="24"/>
          <w:szCs w:val="24"/>
        </w:rPr>
        <w:t xml:space="preserve"> Nei mesi in cui la colonna si divideva e moriva, l'attività documentata di quell'uomo sta altrove: nel canale ufficioso verso Hanoi, condotto tramite intermediari francesi fra l'estate e l'autunno del 1967. Le sedi sono la serie vietnamita del Foreign Relations of the United States per gli anni 1964-1968 e le carte dell'Assistente per la sicurezza nazionale ad Austin. Verificarlo colloca l'uomo e chiude la domanda geografica.</w:t>
      </w:r>
    </w:p>
    <w:p>
      <w:pPr>
        <w:spacing w:after="120" w:line="276"/>
        <w:jc w:val="both"/>
      </w:pPr>
      <w:r>
        <w:rPr>
          <w:rFonts w:ascii="Barlow Semi Condensed" w:cs="Barlow Semi Condensed" w:eastAsia="Barlow Semi Condensed" w:hAnsi="Barlow Semi Condensed"/>
          <w:b/>
          <w:bCs/>
          <w:sz w:val="24"/>
          <w:szCs w:val="24"/>
        </w:rPr>
        <w:t xml:space="preserve">1418 · La sala di lettura elettronica (serie XIX).</w:t>
      </w:r>
      <w:r>
        <w:rPr>
          <w:rFonts w:ascii="Barlow Semi Condensed" w:cs="Barlow Semi Condensed" w:eastAsia="Barlow Semi Condensed" w:hAnsi="Barlow Semi Condensed"/>
          <w:sz w:val="24"/>
          <w:szCs w:val="24"/>
        </w:rPr>
        <w:t xml:space="preserve"> Ultimo giacimento americano: la raccolta declassificata dell'agenzia, interrogabile a testo pieno. Si incrocino i lemmi boliviani del 1967 con il cognome triangolato e si verbalizzi il risultato, quale che sia. Una risposta vuota non prova che nulla esista, perché la declassificazione è parziale e selettiva; prova soltanto che nella parte declassificata non c'è. La differenza va scritta ogni volta, senza eccezioni.</w:t>
      </w:r>
    </w:p>
    <w:p>
      <w:pPr>
        <w:spacing w:after="120" w:line="276"/>
        <w:jc w:val="both"/>
      </w:pPr>
      <w:r>
        <w:rPr>
          <w:rFonts w:ascii="Barlow Semi Condensed" w:cs="Barlow Semi Condensed" w:eastAsia="Barlow Semi Condensed" w:hAnsi="Barlow Semi Condensed"/>
          <w:b/>
          <w:bCs/>
          <w:sz w:val="24"/>
          <w:szCs w:val="24"/>
        </w:rPr>
        <w:t xml:space="preserve">1419 · La citazione da riparare al nodo M-5.</w:t>
      </w:r>
      <w:r>
        <w:rPr>
          <w:rFonts w:ascii="Barlow Semi Condensed" w:cs="Barlow Semi Condensed" w:eastAsia="Barlow Semi Condensed" w:hAnsi="Barlow Semi Condensed"/>
          <w:sz w:val="24"/>
          <w:szCs w:val="24"/>
        </w:rPr>
        <w:t xml:space="preserve"> Il nodo M-5 chiude la propria colonna delle fonti con la formula NSA Electronic Briefing Book su Guevara del 1997, e il nodo M-8 con NSA Archive 1997. Manca il numero della raccolta, manca il curatore, manca la data di pubblicazione. È lacuna di apparato in un nodo che regge la parte più delicata della triangolazione: va chiusa con la citazione completa prima di ogni ulteriore uso.</w:t>
      </w:r>
    </w:p>
    <w:p>
      <w:pPr>
        <w:spacing w:after="120" w:line="276"/>
        <w:jc w:val="both"/>
      </w:pPr>
      <w:r>
        <w:rPr>
          <w:rFonts w:ascii="Barlow Semi Condensed" w:cs="Barlow Semi Condensed" w:eastAsia="Barlow Semi Condensed" w:hAnsi="Barlow Semi Condensed"/>
          <w:b/>
          <w:bCs/>
          <w:sz w:val="24"/>
          <w:szCs w:val="24"/>
        </w:rPr>
        <w:t xml:space="preserve">1420 · Sucre e La Paz.</w:t>
      </w:r>
      <w:r>
        <w:rPr>
          <w:rFonts w:ascii="Barlow Semi Condensed" w:cs="Barlow Semi Condensed" w:eastAsia="Barlow Semi Condensed" w:hAnsi="Barlow Semi Condensed"/>
          <w:sz w:val="24"/>
          <w:szCs w:val="24"/>
        </w:rPr>
        <w:t xml:space="preserve"> Dal lato boliviano le sedi sono due e distinte: l'Archivo y Biblioteca Nacionales de Bolivia a Sucre per la documentazione statale, l'Archivo de La Paz per i fondi universitari e politici. Vi si aggiunge, per la parte militare, l'archivio del ministero della Difesa. Nessuno dei tre è stato interrogato dal corpus: è Stato Zero di ricerca, non di materia, e va dichiarato con questa distinzione.</w:t>
      </w:r>
    </w:p>
    <w:p>
      <w:pPr>
        <w:spacing w:after="120" w:line="276"/>
        <w:jc w:val="both"/>
      </w:pPr>
      <w:r>
        <w:rPr>
          <w:rFonts w:ascii="Barlow Semi Condensed" w:cs="Barlow Semi Condensed" w:eastAsia="Barlow Semi Condensed" w:hAnsi="Barlow Semi Condensed"/>
          <w:b/>
          <w:bCs/>
          <w:sz w:val="24"/>
          <w:szCs w:val="24"/>
        </w:rPr>
        <w:t xml:space="preserve">1421 · L'Avana, il centro già citato.</w:t>
      </w:r>
      <w:r>
        <w:rPr>
          <w:rFonts w:ascii="Barlow Semi Condensed" w:cs="Barlow Semi Condensed" w:eastAsia="Barlow Semi Condensed" w:hAnsi="Barlow Semi Condensed"/>
          <w:sz w:val="24"/>
          <w:szCs w:val="24"/>
        </w:rPr>
        <w:t xml:space="preserve"> Il Che Guevara Studies Center dell'Avana è citato dalla bibliografia critica del corpus per le correzioni autografe al discorso di Algeri. La stessa sede conserva il fondo documentario della spedizione boliviana. Quesito minimo: chiedere se vi risultino carte che nominino interlocutori statunitensi del 1966-1967. La risposta di un archivio di parte va pesata come tale, ma un archivio di parte interrogato vale più di un archivio non interrogato.</w:t>
      </w:r>
    </w:p>
    <w:p>
      <w:pPr>
        <w:spacing w:after="120" w:line="276"/>
        <w:jc w:val="both"/>
      </w:pPr>
      <w:r>
        <w:rPr>
          <w:rFonts w:ascii="Barlow Semi Condensed" w:cs="Barlow Semi Condensed" w:eastAsia="Barlow Semi Condensed" w:hAnsi="Barlow Semi Condensed"/>
          <w:b/>
          <w:bCs/>
          <w:sz w:val="24"/>
          <w:szCs w:val="24"/>
        </w:rPr>
        <w:t xml:space="preserve">1422 · La Farnesina, e il limite già accertato.</w:t>
      </w:r>
      <w:r>
        <w:rPr>
          <w:rFonts w:ascii="Barlow Semi Condensed" w:cs="Barlow Semi Condensed" w:eastAsia="Barlow Semi Condensed" w:hAnsi="Barlow Semi Condensed"/>
          <w:sz w:val="24"/>
          <w:szCs w:val="24"/>
        </w:rPr>
        <w:t xml:space="preserve"> Sul versante italiano la sede sarebbe l'Archivio storico diplomatico del ministero degli Esteri, per il fascicolo consolare sull'arresto di un cittadino italiano in Bolivia nell'agosto 1967. Ma il blocco 315 dell'opera recepisce una correzione che vale anche qui: i fondi ministeriali di quegli anni non risultavano consultabili. Il quesito si formula ugualmente, e si accompagna alla dichiarazione dell'ostacolo.</w:t>
      </w:r>
    </w:p>
    <w:p>
      <w:pPr>
        <w:spacing w:after="120" w:line="276"/>
        <w:jc w:val="both"/>
      </w:pPr>
      <w:r>
        <w:rPr>
          <w:rFonts w:ascii="Barlow Semi Condensed" w:cs="Barlow Semi Condensed" w:eastAsia="Barlow Semi Condensed" w:hAnsi="Barlow Semi Condensed"/>
          <w:b/>
          <w:bCs/>
          <w:sz w:val="24"/>
          <w:szCs w:val="24"/>
        </w:rPr>
        <w:t xml:space="preserve">1423 · F-12, il nodo che salda.</w:t>
      </w:r>
      <w:r>
        <w:rPr>
          <w:rFonts w:ascii="Barlow Semi Condensed" w:cs="Barlow Semi Condensed" w:eastAsia="Barlow Semi Condensed" w:hAnsi="Barlow Semi Condensed"/>
          <w:sz w:val="24"/>
          <w:szCs w:val="24"/>
        </w:rPr>
        <w:t xml:space="preserve"> La triangolazione su Feltrinelli ha prodotto un nodo nuovo, F-12: nell'agosto 1967 l'editore andò in Bolivia mentre Debray era sotto processo a Camiri, vi fu arrestato ed espulso. È l'unico contatto fisico documentato fra il mondo italiano del corpus e il teatro della campagna, e cade due mesi prima della Quebrada del Churo. Piano 1 pieno, e non riguarda in nulla il nome triangolato.</w:t>
      </w:r>
    </w:p>
    <w:p>
      <w:pPr>
        <w:spacing w:after="120" w:line="276"/>
        <w:jc w:val="both"/>
      </w:pPr>
      <w:r>
        <w:rPr>
          <w:rFonts w:ascii="Barlow Semi Condensed" w:cs="Barlow Semi Condensed" w:eastAsia="Barlow Semi Condensed" w:hAnsi="Barlow Semi Condensed"/>
          <w:b/>
          <w:bCs/>
          <w:sz w:val="24"/>
          <w:szCs w:val="24"/>
        </w:rPr>
        <w:t xml:space="preserve">1424 · B-1, e la tentazione che apre.</w:t>
      </w:r>
      <w:r>
        <w:rPr>
          <w:rFonts w:ascii="Barlow Semi Condensed" w:cs="Barlow Semi Condensed" w:eastAsia="Barlow Semi Condensed" w:hAnsi="Barlow Semi Condensed"/>
          <w:sz w:val="24"/>
          <w:szCs w:val="24"/>
        </w:rPr>
        <w:t xml:space="preserve"> Il ponte B-1 registra che il vettore del mito si presentò sul bordo della guerriglia. Di qui nasce la tentazione di cercare, negli stessi mesi e negli stessi fondi, un secondo nome. La tentazione va nominata per essere disinnescata: la presenza documentata di un editore italiano a Camiri non crea alcuna probabilità che un professore di Harvard comparisse nelle medesime carte.</w:t>
      </w:r>
    </w:p>
    <w:p>
      <w:pPr>
        <w:spacing w:after="120" w:line="276"/>
        <w:jc w:val="both"/>
      </w:pPr>
      <w:r>
        <w:rPr>
          <w:rFonts w:ascii="Barlow Semi Condensed" w:cs="Barlow Semi Condensed" w:eastAsia="Barlow Semi Condensed" w:hAnsi="Barlow Semi Condensed"/>
          <w:b/>
          <w:bCs/>
          <w:sz w:val="24"/>
          <w:szCs w:val="24"/>
        </w:rPr>
        <w:t xml:space="preserve">1425 · Il blocco 709, esteso al terreno boliviano.</w:t>
      </w:r>
      <w:r>
        <w:rPr>
          <w:rFonts w:ascii="Barlow Semi Condensed" w:cs="Barlow Semi Condensed" w:eastAsia="Barlow Semi Condensed" w:hAnsi="Barlow Semi Condensed"/>
          <w:sz w:val="24"/>
          <w:szCs w:val="24"/>
        </w:rPr>
        <w:t xml:space="preserve"> L'opera aveva già formulato il quesito sulle valutazioni statunitensi coeve intorno all'editore italiano. Questa serie lo precisa geograficamente: non solo i fondi italiani, ma il carteggio dell'ambasciata di La Paz dell'agosto 1967, dove un arresto e un'espulsione di straniero lasciano traccia consolare e talvolta informativa. Se esiste, entra col grado della propria natura; se non esiste, si verbalizzano le serie interrogate.</w:t>
      </w:r>
    </w:p>
    <w:p>
      <w:pPr>
        <w:spacing w:after="120" w:line="276"/>
        <w:jc w:val="both"/>
      </w:pPr>
      <w:r>
        <w:rPr>
          <w:rFonts w:ascii="Barlow Semi Condensed" w:cs="Barlow Semi Condensed" w:eastAsia="Barlow Semi Condensed" w:hAnsi="Barlow Semi Condensed"/>
          <w:b/>
          <w:bCs/>
          <w:sz w:val="24"/>
          <w:szCs w:val="24"/>
        </w:rPr>
        <w:t xml:space="preserve">1426 · Due sedi italiane per un arresto.</w:t>
      </w:r>
      <w:r>
        <w:rPr>
          <w:rFonts w:ascii="Barlow Semi Condensed" w:cs="Barlow Semi Condensed" w:eastAsia="Barlow Semi Condensed" w:hAnsi="Barlow Semi Condensed"/>
          <w:sz w:val="24"/>
          <w:szCs w:val="24"/>
        </w:rPr>
        <w:t xml:space="preserve"> Per lo stesso episodio le sedi italiane sono nominabili: l'Archivio centrale dello Stato, per i fascicoli della Direzione generale di pubblica sicurezza, e l'archivio della Fondazione Giangiacomo Feltrinelli a Milano, che conserva le carte dell'editore. Il quesito è duplice, cioè che cosa la polizia italiana registrò e che cosa l'interessato scrisse, e la risposta appartiene al versante italiano, non a quello americano.</w:t>
      </w:r>
    </w:p>
    <w:p>
      <w:pPr>
        <w:spacing w:after="120" w:line="276"/>
        <w:jc w:val="both"/>
      </w:pPr>
      <w:r>
        <w:rPr>
          <w:rFonts w:ascii="Barlow Semi Condensed" w:cs="Barlow Semi Condensed" w:eastAsia="Barlow Semi Condensed" w:hAnsi="Barlow Semi Condensed"/>
          <w:b/>
          <w:bCs/>
          <w:sz w:val="24"/>
          <w:szCs w:val="24"/>
        </w:rPr>
        <w:t xml:space="preserve">1427 · B-2, il canale che il corpus attraversa.</w:t>
      </w:r>
      <w:r>
        <w:rPr>
          <w:rFonts w:ascii="Barlow Semi Condensed" w:cs="Barlow Semi Condensed" w:eastAsia="Barlow Semi Condensed" w:hAnsi="Barlow Semi Condensed"/>
          <w:sz w:val="24"/>
          <w:szCs w:val="24"/>
        </w:rPr>
        <w:t xml:space="preserve"> Ogni volta che il corpus cita il Diario nell'edizione italiana passa dal vettore che sta studiando: così il ponte B-2. La conseguenza per questa serie è precisa: la fonte primaria della campagna boliviana raggiunge il lettore italiano attraverso un canale editoriale con una storia politica propria. Non altera il testo, ma va dichiarato, perché la trasmissione fa parte del fenotipo del documento.</w:t>
      </w:r>
    </w:p>
    <w:p>
      <w:pPr>
        <w:spacing w:after="120" w:line="276"/>
        <w:jc w:val="both"/>
      </w:pPr>
      <w:r>
        <w:rPr>
          <w:rFonts w:ascii="Barlow Semi Condensed" w:cs="Barlow Semi Condensed" w:eastAsia="Barlow Semi Condensed" w:hAnsi="Barlow Semi Condensed"/>
          <w:b/>
          <w:bCs/>
          <w:sz w:val="24"/>
          <w:szCs w:val="24"/>
        </w:rPr>
        <w:t xml:space="preserve">1428 · Il trasmettitore che manca al corpus.</w:t>
      </w:r>
      <w:r>
        <w:rPr>
          <w:rFonts w:ascii="Barlow Semi Condensed" w:cs="Barlow Semi Condensed" w:eastAsia="Barlow Semi Condensed" w:hAnsi="Barlow Semi Condensed"/>
          <w:sz w:val="24"/>
          <w:szCs w:val="24"/>
        </w:rPr>
        <w:t xml:space="preserve"> Il Diario uscì dalla Bolivia perché qualcuno lo fece uscire, e quel qualcuno non è nominato in alcun documento del repository: zero occorrenze per il ministro dell'Interno boliviano che nel 1968 ne trasmise copia all'Avana. È lo Stato Zero più curioso del territorio, perché riguarda l'anello materiale della trasmissione, cioè proprio l'oggetto dichiarato dell'opera che qui si continua.</w:t>
      </w:r>
    </w:p>
    <w:p>
      <w:pPr>
        <w:spacing w:after="120" w:line="276"/>
        <w:jc w:val="both"/>
      </w:pPr>
      <w:r>
        <w:rPr>
          <w:rFonts w:ascii="Barlow Semi Condensed" w:cs="Barlow Semi Condensed" w:eastAsia="Barlow Semi Condensed" w:hAnsi="Barlow Semi Condensed"/>
          <w:b/>
          <w:bCs/>
          <w:sz w:val="24"/>
          <w:szCs w:val="24"/>
        </w:rPr>
        <w:t xml:space="preserve">1429 · Il blocco 783 riletto sul terreno.</w:t>
      </w:r>
      <w:r>
        <w:rPr>
          <w:rFonts w:ascii="Barlow Semi Condensed" w:cs="Barlow Semi Condensed" w:eastAsia="Barlow Semi Condensed" w:hAnsi="Barlow Semi Condensed"/>
          <w:sz w:val="24"/>
          <w:szCs w:val="24"/>
        </w:rPr>
        <w:t xml:space="preserve"> Il diario del guerrigliero, osservava quel blocco, è un testo la cui trasmissione appartenne interamente ad altri: sequestrato, poi pubblicato con prefazione politica. Sul terreno boliviano la formula acquista gli anelli mancanti, cioè il sequestro militare, la copia uscita clandestinamente, l'acquisto dei diritti in Italia, la copertina di Korda. Quattro passaggi, quattro mani diverse, nessuna delle quali è quella qui triangolata.</w:t>
      </w:r>
    </w:p>
    <w:p>
      <w:pPr>
        <w:spacing w:after="120" w:line="276"/>
        <w:jc w:val="both"/>
      </w:pPr>
      <w:r>
        <w:rPr>
          <w:rFonts w:ascii="Barlow Semi Condensed" w:cs="Barlow Semi Condensed" w:eastAsia="Barlow Semi Condensed" w:hAnsi="Barlow Semi Condensed"/>
          <w:b/>
          <w:bCs/>
          <w:sz w:val="24"/>
          <w:szCs w:val="24"/>
        </w:rPr>
        <w:t xml:space="preserve">1430 · Il manifesto, e ciò che non trasporta.</w:t>
      </w:r>
      <w:r>
        <w:rPr>
          <w:rFonts w:ascii="Barlow Semi Condensed" w:cs="Barlow Semi Condensed" w:eastAsia="Barlow Semi Condensed" w:hAnsi="Barlow Semi Condensed"/>
          <w:sz w:val="24"/>
          <w:szCs w:val="24"/>
        </w:rPr>
        <w:t xml:space="preserve"> Al blocco 519 l'operazione editoriale del 1967-1968 è registrata come il vettore di stampa meglio accertato del corpus. La regola che ne discende serve alla presente serie: un vettore trasporta un'immagine e un libro, non un comando e non una responsabilità. Chi cerca, dietro la diffusione di un mito, una mano che l'abbia ordinata, confonde la trasmissione dell'informazione con la catena gerarchica.</w:t>
      </w:r>
    </w:p>
    <w:p>
      <w:pPr>
        <w:spacing w:after="120" w:line="276"/>
        <w:jc w:val="both"/>
      </w:pPr>
      <w:r>
        <w:rPr>
          <w:rFonts w:ascii="Barlow Semi Condensed" w:cs="Barlow Semi Condensed" w:eastAsia="Barlow Semi Condensed" w:hAnsi="Barlow Semi Condensed"/>
          <w:b/>
          <w:bCs/>
          <w:sz w:val="24"/>
          <w:szCs w:val="24"/>
        </w:rPr>
        <w:t xml:space="preserve">1431 · La cornice non è un antenato.</w:t>
      </w:r>
      <w:r>
        <w:rPr>
          <w:rFonts w:ascii="Barlow Semi Condensed" w:cs="Barlow Semi Condensed" w:eastAsia="Barlow Semi Condensed" w:hAnsi="Barlow Semi Condensed"/>
          <w:sz w:val="24"/>
          <w:szCs w:val="24"/>
        </w:rPr>
        <w:t xml:space="preserve"> Fra la fine di Guevara e le vicende italiane il corpus riconosce una cornice condivisa, la lunga guerra fredda, e null'altro. Il blocco 944 lo dice nella forma più stretta: la simmetria delle ombre statunitensi è analogia, non omologia, perché nessun documento attesta discendenza comune. Applicata al territorio boliviano, la regola vieta di far discendere dalla presenza di un agente a La Higuera qualunque nome di vertice.</w:t>
      </w:r>
    </w:p>
    <w:p>
      <w:pPr>
        <w:spacing w:after="120" w:line="276"/>
        <w:jc w:val="both"/>
      </w:pPr>
      <w:r>
        <w:rPr>
          <w:rFonts w:ascii="Barlow Semi Condensed" w:cs="Barlow Semi Condensed" w:eastAsia="Barlow Semi Condensed" w:hAnsi="Barlow Semi Condensed"/>
          <w:b/>
          <w:bCs/>
          <w:sz w:val="24"/>
          <w:szCs w:val="24"/>
        </w:rPr>
        <w:t xml:space="preserve">1432 · Il comitato che cambiò nome nel 1970.</w:t>
      </w:r>
      <w:r>
        <w:rPr>
          <w:rFonts w:ascii="Barlow Semi Condensed" w:cs="Barlow Semi Condensed" w:eastAsia="Barlow Semi Condensed" w:hAnsi="Barlow Semi Condensed"/>
          <w:sz w:val="24"/>
          <w:szCs w:val="24"/>
        </w:rPr>
        <w:t xml:space="preserve"> L'organo che negli anni Sessanta approvava le azioni coperte fu istituito con una direttiva del giugno 1964 e ribattezzato con una direttiva presidenziale del febbraio 1970. Il nome triangolato presiedette il secondo, non il primo. La successione fra i due è continuità amministrativa, da accertare sui testi delle direttive nelle raccolte istituzionali: è piano 2 puro, e non produce alcun nesso con il 1967.</w:t>
      </w:r>
    </w:p>
    <w:p>
      <w:pPr>
        <w:spacing w:after="120" w:line="276"/>
        <w:jc w:val="both"/>
      </w:pPr>
      <w:r>
        <w:rPr>
          <w:rFonts w:ascii="Barlow Semi Condensed" w:cs="Barlow Semi Condensed" w:eastAsia="Barlow Semi Condensed" w:hAnsi="Barlow Semi Condensed"/>
          <w:b/>
          <w:bCs/>
          <w:sz w:val="24"/>
          <w:szCs w:val="24"/>
        </w:rPr>
        <w:t xml:space="preserve">1433 · Chi sedeva a capo di quell'organo.</w:t>
      </w:r>
      <w:r>
        <w:rPr>
          <w:rFonts w:ascii="Barlow Semi Condensed" w:cs="Barlow Semi Condensed" w:eastAsia="Barlow Semi Condensed" w:hAnsi="Barlow Semi Condensed"/>
          <w:sz w:val="24"/>
          <w:szCs w:val="24"/>
        </w:rPr>
        <w:t xml:space="preserve"> Nel 1967 la presidenza dell'organo per le azioni coperte spettava all'Assistente del Presidente per la sicurezza nazionale, cioè al titolare che il repository non nomina mai. Chi volesse ricostruire una decisione americana sulla Bolivia di quell'anno dovrebbe cercare lì i verbali, e cercarli a nome di quel titolare. È il bersaglio corretto, ed è diverso da quello che la pubblicistica propone abitualmente.</w:t>
      </w:r>
    </w:p>
    <w:p>
      <w:pPr>
        <w:spacing w:after="120" w:line="276"/>
        <w:jc w:val="both"/>
      </w:pPr>
      <w:r>
        <w:rPr>
          <w:rFonts w:ascii="Barlow Semi Condensed" w:cs="Barlow Semi Condensed" w:eastAsia="Barlow Semi Condensed" w:hAnsi="Barlow Semi Condensed"/>
          <w:b/>
          <w:bCs/>
          <w:sz w:val="24"/>
          <w:szCs w:val="24"/>
        </w:rPr>
        <w:t xml:space="preserve">1434 · Il Cile, vicino e lontano.</w:t>
      </w:r>
      <w:r>
        <w:rPr>
          <w:rFonts w:ascii="Barlow Semi Condensed" w:cs="Barlow Semi Condensed" w:eastAsia="Barlow Semi Condensed" w:hAnsi="Barlow Semi Condensed"/>
          <w:sz w:val="24"/>
          <w:szCs w:val="24"/>
        </w:rPr>
        <w:t xml:space="preserve"> Il saggio di sintesi del corpus registra come documentata la responsabilità degli apparati statunitensi nella caduta di Allende, con la supervisione del nome qui triangolato. È il punto in cui quel nome tocca davvero l'America latina. Cade l'11 settembre 1973, cioè sei anni dopo La Higuera, in un altro Paese e contro un governo eletto. Vicinanza tematica massima, distanza documentale intera.</w:t>
      </w:r>
    </w:p>
    <w:p>
      <w:pPr>
        <w:spacing w:after="120" w:line="276"/>
        <w:jc w:val="both"/>
      </w:pPr>
      <w:r>
        <w:rPr>
          <w:rFonts w:ascii="Barlow Semi Condensed" w:cs="Barlow Semi Condensed" w:eastAsia="Barlow Semi Condensed" w:hAnsi="Barlow Semi Condensed"/>
          <w:b/>
          <w:bCs/>
          <w:sz w:val="24"/>
          <w:szCs w:val="24"/>
        </w:rPr>
        <w:t xml:space="preserve">1435 · Il divieto di retrodatare il Cile (serie XIX).</w:t>
      </w:r>
      <w:r>
        <w:rPr>
          <w:rFonts w:ascii="Barlow Semi Condensed" w:cs="Barlow Semi Condensed" w:eastAsia="Barlow Semi Condensed" w:hAnsi="Barlow Semi Condensed"/>
          <w:sz w:val="24"/>
          <w:szCs w:val="24"/>
        </w:rPr>
        <w:t xml:space="preserve"> Rovesciamento del bersaglio: se qualcuno usasse il Cile del 1973 per illuminare la Bolivia del 1967, a confutarlo basterebbe la sola cronologia degli incarichi, e non servirebbe altro. Nessuna proprietà accertata di un dossier si trasferisce all'indietro su un dossier anteriore. È la stessa regola che l'opera applica al divieto di ereditare la colpa, letta sull'asse del tempo anziché su quello delle persone.</w:t>
      </w:r>
    </w:p>
    <w:p>
      <w:pPr>
        <w:spacing w:after="120" w:line="276"/>
        <w:jc w:val="both"/>
      </w:pPr>
      <w:r>
        <w:rPr>
          <w:rFonts w:ascii="Barlow Semi Condensed" w:cs="Barlow Semi Condensed" w:eastAsia="Barlow Semi Condensed" w:hAnsi="Barlow Semi Condensed"/>
          <w:b/>
          <w:bCs/>
          <w:sz w:val="24"/>
          <w:szCs w:val="24"/>
        </w:rPr>
        <w:t xml:space="preserve">1436 · L'anacronismo che minaccia questa serie.</w:t>
      </w:r>
      <w:r>
        <w:rPr>
          <w:rFonts w:ascii="Barlow Semi Condensed" w:cs="Barlow Semi Condensed" w:eastAsia="Barlow Semi Condensed" w:hAnsi="Barlow Semi Condensed"/>
          <w:sz w:val="24"/>
          <w:szCs w:val="24"/>
        </w:rPr>
        <w:t xml:space="preserve"> Il coordinamento repressivo fra dittature del Cono Sud, di cui si discute per gli anni 1975-1976, non compare in alcun documento del repository e non appartiene a questo territorio. Va nominato una sola volta e proprio per escluderlo: la Bolivia del 1967 è quella di Barrientos, non quella del decennio successivo, e trasportare all'indietro una struttura posteriore è l'errore di trascrizione più probabile qui.</w:t>
      </w:r>
    </w:p>
    <w:p>
      <w:pPr>
        <w:spacing w:after="120" w:line="276"/>
        <w:jc w:val="both"/>
      </w:pPr>
      <w:r>
        <w:rPr>
          <w:rFonts w:ascii="Barlow Semi Condensed" w:cs="Barlow Semi Condensed" w:eastAsia="Barlow Semi Condensed" w:hAnsi="Barlow Semi Condensed"/>
          <w:b/>
          <w:bCs/>
          <w:sz w:val="24"/>
          <w:szCs w:val="24"/>
        </w:rPr>
        <w:t xml:space="preserve">1437 · Il foco e i due ambienti.</w:t>
      </w:r>
      <w:r>
        <w:rPr>
          <w:rFonts w:ascii="Barlow Semi Condensed" w:cs="Barlow Semi Condensed" w:eastAsia="Barlow Semi Condensed" w:hAnsi="Barlow Semi Condensed"/>
          <w:sz w:val="24"/>
          <w:szCs w:val="24"/>
        </w:rPr>
        <w:t xml:space="preserve"> Una regola già fissata al blocco 438 osserva che la stessa dottrina produce esiti opposti in Bolivia e in Italia, e che l'ambiente regola l'espressione. Sul terreno assegnato si legge in positivo: la disfatta si spiega con l'assenza della base contadina che il foco presupponeva, con la rottura del PCB e con la divisione della colonna. Sono cause interne sufficienti, e una spiegazione sufficiente non chiede nomi esterni.</w:t>
      </w:r>
    </w:p>
    <w:p>
      <w:pPr>
        <w:spacing w:after="120" w:line="276"/>
        <w:jc w:val="both"/>
      </w:pPr>
      <w:r>
        <w:rPr>
          <w:rFonts w:ascii="Barlow Semi Condensed" w:cs="Barlow Semi Condensed" w:eastAsia="Barlow Semi Condensed" w:hAnsi="Barlow Semi Condensed"/>
          <w:b/>
          <w:bCs/>
          <w:sz w:val="24"/>
          <w:szCs w:val="24"/>
        </w:rPr>
        <w:t xml:space="preserve">1438 · M-4, antitesi senza ponte.</w:t>
      </w:r>
      <w:r>
        <w:rPr>
          <w:rFonts w:ascii="Barlow Semi Condensed" w:cs="Barlow Semi Condensed" w:eastAsia="Barlow Semi Condensed" w:hAnsi="Barlow Semi Condensed"/>
          <w:sz w:val="24"/>
          <w:szCs w:val="24"/>
        </w:rPr>
        <w:t xml:space="preserve"> Il nodo M-4 pone il caso cileno come snodo fra due letture opposte della via al potere. È un ragionamento su dottrine, non su persone, e non produce alcun contatto fra il territorio boliviano e il nome triangolato. Registrarlo serve a impedire che la ricchezza analitica del nodo venga scambiata per densità documentale: sono cose diverse, e la seconda, qui, non esiste.</w:t>
      </w:r>
    </w:p>
    <w:p>
      <w:pPr>
        <w:spacing w:after="120" w:line="276"/>
        <w:jc w:val="both"/>
      </w:pPr>
      <w:r>
        <w:rPr>
          <w:rFonts w:ascii="Barlow Semi Condensed" w:cs="Barlow Semi Condensed" w:eastAsia="Barlow Semi Condensed" w:hAnsi="Barlow Semi Condensed"/>
          <w:b/>
          <w:bCs/>
          <w:sz w:val="24"/>
          <w:szCs w:val="24"/>
        </w:rPr>
        <w:t xml:space="preserve">1439 · M-1, la sincronia e il suo peso.</w:t>
      </w:r>
      <w:r>
        <w:rPr>
          <w:rFonts w:ascii="Barlow Semi Condensed" w:cs="Barlow Semi Condensed" w:eastAsia="Barlow Semi Condensed" w:hAnsi="Barlow Semi Condensed"/>
          <w:sz w:val="24"/>
          <w:szCs w:val="24"/>
        </w:rPr>
        <w:t xml:space="preserve"> Nei giorni della cattura il presidente del Consiglio italiano era Aldo Moro: così il nodo M-1. È sincronia istituzionale esatta e priva di conseguenze, perché nulla lega quel governo alla vicenda boliviana, e nulla lega la vicenda boliviana al nome triangolato, che in quei giorni non aveva ufficio in alcun Paese. Tre contemporaneità sovrapposte non compongono un rapporto.</w:t>
      </w:r>
    </w:p>
    <w:p>
      <w:pPr>
        <w:spacing w:after="120" w:line="276"/>
        <w:jc w:val="both"/>
      </w:pPr>
      <w:r>
        <w:rPr>
          <w:rFonts w:ascii="Barlow Semi Condensed" w:cs="Barlow Semi Condensed" w:eastAsia="Barlow Semi Condensed" w:hAnsi="Barlow Semi Condensed"/>
          <w:b/>
          <w:bCs/>
          <w:sz w:val="24"/>
          <w:szCs w:val="24"/>
        </w:rPr>
        <w:t xml:space="preserve">1440 · M-9, il decennale e i simboli.</w:t>
      </w:r>
      <w:r>
        <w:rPr>
          <w:rFonts w:ascii="Barlow Semi Condensed" w:cs="Barlow Semi Condensed" w:eastAsia="Barlow Semi Condensed" w:hAnsi="Barlow Semi Condensed"/>
          <w:sz w:val="24"/>
          <w:szCs w:val="24"/>
        </w:rPr>
        <w:t xml:space="preserve"> Al nodo M-9 il decennale della morte è collocato nell'Italia del 1977, pochi mesi prima di via Fani. È osservazione sul repertorio simbolico e sulla circolazione delle immagini. Non offre alcun appiglio onomastico verso il territorio boliviano, e chi ve lo cercasse dovrebbe produrre un documento che nomini insieme le due sponde. Il corpus non ne ha, e questa serie non ne inventa.</w:t>
      </w:r>
    </w:p>
    <w:p>
      <w:pPr>
        <w:spacing w:after="120" w:line="276"/>
        <w:jc w:val="both"/>
      </w:pPr>
      <w:r>
        <w:rPr>
          <w:rFonts w:ascii="Barlow Semi Condensed" w:cs="Barlow Semi Condensed" w:eastAsia="Barlow Semi Condensed" w:hAnsi="Barlow Semi Condensed"/>
          <w:b/>
          <w:bCs/>
          <w:sz w:val="24"/>
          <w:szCs w:val="24"/>
        </w:rPr>
        <w:t xml:space="preserve">1441 · L'asimmetria dentro una sola cella.</w:t>
      </w:r>
      <w:r>
        <w:rPr>
          <w:rFonts w:ascii="Barlow Semi Condensed" w:cs="Barlow Semi Condensed" w:eastAsia="Barlow Semi Condensed" w:hAnsi="Barlow Semi Condensed"/>
          <w:sz w:val="24"/>
          <w:szCs w:val="24"/>
        </w:rPr>
        <w:t xml:space="preserve"> Nella medesima cella il nodo M-5 accosta due elementi di grado incomparabile: la presenza di un agente a La Higuera, attestata da archivi declassificati, e un avvertimento riferito de relato e sempre smentito dall'interessato. Accostarli sotto un unico titolo produce, senza volerlo, un livellamento dei gradi. La divergenza si riporta: sono un accertamento e una testimonianza contestata, e tali restano.</w:t>
      </w:r>
    </w:p>
    <w:p>
      <w:pPr>
        <w:spacing w:after="120" w:line="276"/>
        <w:jc w:val="both"/>
      </w:pPr>
      <w:r>
        <w:rPr>
          <w:rFonts w:ascii="Barlow Semi Condensed" w:cs="Barlow Semi Condensed" w:eastAsia="Barlow Semi Condensed" w:hAnsi="Barlow Semi Condensed"/>
          <w:b/>
          <w:bCs/>
          <w:sz w:val="24"/>
          <w:szCs w:val="24"/>
        </w:rPr>
        <w:t xml:space="preserve">1442 · Come si corregge senza riscrivere.</w:t>
      </w:r>
      <w:r>
        <w:rPr>
          <w:rFonts w:ascii="Barlow Semi Condensed" w:cs="Barlow Semi Condensed" w:eastAsia="Barlow Semi Condensed" w:hAnsi="Barlow Semi Condensed"/>
          <w:sz w:val="24"/>
          <w:szCs w:val="24"/>
        </w:rPr>
        <w:t xml:space="preserve"> La regola dell'opera è nota: il testo originario resta leggibile e la correzione gli si affianca per nota. Applicata a M-5 significa lasciare la cella dov'è e aggiungervi la distinzione dei gradi, la smentita che il nodo non registrava e la citazione completa della raccolta declassificata. Tre note brevi, nessuna riscrittura silenziosa: è il modulo già fissato al blocco 624.</w:t>
      </w:r>
    </w:p>
    <w:p>
      <w:pPr>
        <w:spacing w:after="120" w:line="276"/>
        <w:jc w:val="both"/>
      </w:pPr>
      <w:r>
        <w:rPr>
          <w:rFonts w:ascii="Barlow Semi Condensed" w:cs="Barlow Semi Condensed" w:eastAsia="Barlow Semi Condensed" w:hAnsi="Barlow Semi Condensed"/>
          <w:b/>
          <w:bCs/>
          <w:sz w:val="24"/>
          <w:szCs w:val="24"/>
        </w:rPr>
        <w:t xml:space="preserve">1443 · Una frase senza provenienza.</w:t>
      </w:r>
      <w:r>
        <w:rPr>
          <w:rFonts w:ascii="Barlow Semi Condensed" w:cs="Barlow Semi Condensed" w:eastAsia="Barlow Semi Condensed" w:hAnsi="Barlow Semi Condensed"/>
          <w:sz w:val="24"/>
          <w:szCs w:val="24"/>
        </w:rPr>
        <w:t xml:space="preserve"> Circola attribuita a lui una battuta sull'America latina come pugnale puntato verso il polo antartico. Nessuna fonte primaria ne è mai stata prodotta, la formulazione varia a ogni ripresa e la paternità è contesa. È affermazione terziaria e si qualifica come tale: si registra la circolazione, non il contenuto, e non la si adopera mai per caratterizzare una posizione politica documentabile altrimenti.</w:t>
      </w:r>
    </w:p>
    <w:p>
      <w:pPr>
        <w:spacing w:after="120" w:line="276"/>
        <w:jc w:val="both"/>
      </w:pPr>
      <w:r>
        <w:rPr>
          <w:rFonts w:ascii="Barlow Semi Condensed" w:cs="Barlow Semi Condensed" w:eastAsia="Barlow Semi Condensed" w:hAnsi="Barlow Semi Condensed"/>
          <w:b/>
          <w:bCs/>
          <w:sz w:val="24"/>
          <w:szCs w:val="24"/>
        </w:rPr>
        <w:t xml:space="preserve">1444 · La frase riferita dal ministro cileno.</w:t>
      </w:r>
      <w:r>
        <w:rPr>
          <w:rFonts w:ascii="Barlow Semi Condensed" w:cs="Barlow Semi Condensed" w:eastAsia="Barlow Semi Condensed" w:hAnsi="Barlow Semi Condensed"/>
          <w:sz w:val="24"/>
          <w:szCs w:val="24"/>
        </w:rPr>
        <w:t xml:space="preserve"> Altra formula ricorrente, secondo cui nulla di importante verrebbe dal Sud, è riferita da un ministro degli Esteri cileno a proposito di un colloquio del giugno 1969. È testimonianza di parte, resa a distanza e mai confermata dall'interessato: stesso statuto della testimonianza contestata già fissato dall'opera. In più è posteriore di venti mesi alla morte di Guevara, dunque estranea a questo territorio anche se fosse esatta.</w:t>
      </w:r>
    </w:p>
    <w:p>
      <w:pPr>
        <w:spacing w:after="120" w:line="276"/>
        <w:jc w:val="both"/>
      </w:pPr>
      <w:r>
        <w:rPr>
          <w:rFonts w:ascii="Barlow Semi Condensed" w:cs="Barlow Semi Condensed" w:eastAsia="Barlow Semi Condensed" w:hAnsi="Barlow Semi Condensed"/>
          <w:b/>
          <w:bCs/>
          <w:sz w:val="24"/>
          <w:szCs w:val="24"/>
        </w:rPr>
        <w:t xml:space="preserve">1445 · La tesi non importata.</w:t>
      </w:r>
      <w:r>
        <w:rPr>
          <w:rFonts w:ascii="Barlow Semi Condensed" w:cs="Barlow Semi Condensed" w:eastAsia="Barlow Semi Condensed" w:hAnsi="Barlow Semi Condensed"/>
          <w:sz w:val="24"/>
          <w:szCs w:val="24"/>
        </w:rPr>
        <w:t xml:space="preserve"> Nella pubblicistica circola l'idea che la morte del Che sia stata decisa a Washington, e talvolta vi si aggiunge il nome qui triangolato. Nessun documento noto la sostiene, e la cronologia degli incarichi la rende materialmente inconsistente nella parte onomastica. Il capitolo boliviano del corpus non la riporta nemmeno per confutarla: colloca la decisione a La Paz e si ferma.</w:t>
      </w:r>
    </w:p>
    <w:p>
      <w:pPr>
        <w:spacing w:after="120" w:line="276"/>
        <w:jc w:val="both"/>
      </w:pPr>
      <w:r>
        <w:rPr>
          <w:rFonts w:ascii="Barlow Semi Condensed" w:cs="Barlow Semi Condensed" w:eastAsia="Barlow Semi Condensed" w:hAnsi="Barlow Semi Condensed"/>
          <w:b/>
          <w:bCs/>
          <w:sz w:val="24"/>
          <w:szCs w:val="24"/>
        </w:rPr>
        <w:t xml:space="preserve">1446 · Un'assenza che è una scelta.</w:t>
      </w:r>
      <w:r>
        <w:rPr>
          <w:rFonts w:ascii="Barlow Semi Condensed" w:cs="Barlow Semi Condensed" w:eastAsia="Barlow Semi Condensed" w:hAnsi="Barlow Semi Condensed"/>
          <w:sz w:val="24"/>
          <w:szCs w:val="24"/>
        </w:rPr>
        <w:t xml:space="preserve"> Che il capitolo non ospiti quella tesi è merito redazionale, e va detto, perché nella pubblicistica italiana sui casi oscuri il vizio opposto è frequente. Un testo che tace una suggestione non verificata non è reticente: è disciplinato. Questa serie ne prende atto e non introduce dalla porta della triangolazione ciò che l'autore del capitolo ha correttamente lasciato fuori dalla finestra.</w:t>
      </w:r>
    </w:p>
    <w:p>
      <w:pPr>
        <w:spacing w:after="120" w:line="276"/>
        <w:jc w:val="both"/>
      </w:pPr>
      <w:r>
        <w:rPr>
          <w:rFonts w:ascii="Barlow Semi Condensed" w:cs="Barlow Semi Condensed" w:eastAsia="Barlow Semi Condensed" w:hAnsi="Barlow Semi Condensed"/>
          <w:b/>
          <w:bCs/>
          <w:sz w:val="24"/>
          <w:szCs w:val="24"/>
        </w:rPr>
        <w:t xml:space="preserve">1447 · Replicazione senza informazione nuova.</w:t>
      </w:r>
      <w:r>
        <w:rPr>
          <w:rFonts w:ascii="Barlow Semi Condensed" w:cs="Barlow Semi Condensed" w:eastAsia="Barlow Semi Condensed" w:hAnsi="Barlow Semi Condensed"/>
          <w:sz w:val="24"/>
          <w:szCs w:val="24"/>
        </w:rPr>
        <w:t xml:space="preserve"> Decine di riprese identiche, ha già misurato l'opera sul versante Moro, risalgono a un unico lancio d'agenzia del 30 novembre 2023. La stessa misura va applicata a ogni affermazione terziaria di questo territorio: si risale alla prima occorrenza e si conta quante fonti indipendenti esistano davvero. Il numero delle ripetizioni non è un grado, e trattarlo come tale è il falso più diffuso.</w:t>
      </w:r>
    </w:p>
    <w:p>
      <w:pPr>
        <w:spacing w:after="120" w:line="276"/>
        <w:jc w:val="both"/>
      </w:pPr>
      <w:r>
        <w:rPr>
          <w:rFonts w:ascii="Barlow Semi Condensed" w:cs="Barlow Semi Condensed" w:eastAsia="Barlow Semi Condensed" w:hAnsi="Barlow Semi Condensed"/>
          <w:b/>
          <w:bCs/>
          <w:sz w:val="24"/>
          <w:szCs w:val="24"/>
        </w:rPr>
        <w:t xml:space="preserve">1448 · Il correttivo di segno opposto.</w:t>
      </w:r>
      <w:r>
        <w:rPr>
          <w:rFonts w:ascii="Barlow Semi Condensed" w:cs="Barlow Semi Condensed" w:eastAsia="Barlow Semi Condensed" w:hAnsi="Barlow Semi Condensed"/>
          <w:sz w:val="24"/>
          <w:szCs w:val="24"/>
        </w:rPr>
        <w:t xml:space="preserve"> La divergenza D-4 avverte che sul Che pesa l'agiografia di Stato cubana e su Moro la dietrologia italiana, e che i due correttivi hanno segno diverso. Sul territorio boliviano il rischio è dunque duplice: enfatizzare la mano straniera per riscattare la sconfitta militare, oppure negarla per liquidare il mito. Entrambe le pressioni si riconoscono e si dichiarano prima di leggere, non dopo.</w:t>
      </w:r>
    </w:p>
    <w:p>
      <w:pPr>
        <w:spacing w:after="120" w:line="276"/>
        <w:jc w:val="both"/>
      </w:pPr>
      <w:r>
        <w:rPr>
          <w:rFonts w:ascii="Barlow Semi Condensed" w:cs="Barlow Semi Condensed" w:eastAsia="Barlow Semi Condensed" w:hAnsi="Barlow Semi Condensed"/>
          <w:b/>
          <w:bCs/>
          <w:sz w:val="24"/>
          <w:szCs w:val="24"/>
        </w:rPr>
        <w:t xml:space="preserve">1449 · Le due fonti che il committente esclude.</w:t>
      </w:r>
      <w:r>
        <w:rPr>
          <w:rFonts w:ascii="Barlow Semi Condensed" w:cs="Barlow Semi Condensed" w:eastAsia="Barlow Semi Condensed" w:hAnsi="Barlow Semi Condensed"/>
          <w:sz w:val="24"/>
          <w:szCs w:val="24"/>
        </w:rPr>
        <w:t xml:space="preserve"> Il perimetro delle fonti è fissato dal committente e comprende due esclusioni esplicite, che questa serie rispetta integralmente. L'esclusione non implica giudizio sul contenuto: implica che nulla di quanto qui si afferma poggia su di esse. Vale la pena dirlo su un territorio dove le riprese militanti abbondano e dove la tentazione di citare per accumulo è più forte che altrove.</w:t>
      </w:r>
    </w:p>
    <w:p>
      <w:pPr>
        <w:spacing w:after="120" w:line="276"/>
        <w:jc w:val="both"/>
      </w:pPr>
      <w:r>
        <w:rPr>
          <w:rFonts w:ascii="Barlow Semi Condensed" w:cs="Barlow Semi Condensed" w:eastAsia="Barlow Semi Condensed" w:hAnsi="Barlow Semi Condensed"/>
          <w:b/>
          <w:bCs/>
          <w:sz w:val="24"/>
          <w:szCs w:val="24"/>
        </w:rPr>
        <w:t xml:space="preserve">1450 · Come si qualifica una terziaria.</w:t>
      </w:r>
      <w:r>
        <w:rPr>
          <w:rFonts w:ascii="Barlow Semi Condensed" w:cs="Barlow Semi Condensed" w:eastAsia="Barlow Semi Condensed" w:hAnsi="Barlow Semi Condensed"/>
          <w:sz w:val="24"/>
          <w:szCs w:val="24"/>
        </w:rPr>
        <w:t xml:space="preserve"> Regola di lettura applicabile e ripetibile: si isola l'affermazione, si cerca la prima occorrenza databile, si verifica se esista un documento di provenienza, si dichiara il piano. Se il documento manca, l'affermazione resta al piano 3 e si scrive con il verbo giusto, cioè si riferisce, circola, è attribuita, mai con il verbo dell'accertamento. La scelta del verbo è già metà del grado.</w:t>
      </w:r>
    </w:p>
    <w:p>
      <w:pPr>
        <w:spacing w:after="120" w:line="276"/>
        <w:jc w:val="both"/>
      </w:pPr>
      <w:r>
        <w:rPr>
          <w:rFonts w:ascii="Barlow Semi Condensed" w:cs="Barlow Semi Condensed" w:eastAsia="Barlow Semi Condensed" w:hAnsi="Barlow Semi Condensed"/>
          <w:b/>
          <w:bCs/>
          <w:sz w:val="24"/>
          <w:szCs w:val="24"/>
        </w:rPr>
        <w:t xml:space="preserve">1451 · Che cosa chiuderebbe questo Stato Zero.</w:t>
      </w:r>
      <w:r>
        <w:rPr>
          <w:rFonts w:ascii="Barlow Semi Condensed" w:cs="Barlow Semi Condensed" w:eastAsia="Barlow Semi Condensed" w:hAnsi="Barlow Semi Condensed"/>
          <w:sz w:val="24"/>
          <w:szCs w:val="24"/>
        </w:rPr>
        <w:t xml:space="preserve"> Bersaglio di smentita, formulato per essere cercato: un documento datato fra il novembre 1966 e l'ottobre 1967, di provenienza governativa o di consulenza, che rechi il cognome triangolato in un fascicolo boliviano. Un appunto, una lista di distribuzione, un verbale di riunione. Uno solo basterebbe a spostare la serie dal piano zero al piano 1. Finché non compare, l'assenza è l'accertamento.</w:t>
      </w:r>
    </w:p>
    <w:p>
      <w:pPr>
        <w:spacing w:after="120" w:line="276"/>
        <w:jc w:val="both"/>
      </w:pPr>
      <w:r>
        <w:rPr>
          <w:rFonts w:ascii="Barlow Semi Condensed" w:cs="Barlow Semi Condensed" w:eastAsia="Barlow Semi Condensed" w:hAnsi="Barlow Semi Condensed"/>
          <w:b/>
          <w:bCs/>
          <w:sz w:val="24"/>
          <w:szCs w:val="24"/>
        </w:rPr>
        <w:t xml:space="preserve">1452 · Che cosa invece non lo chiuderebbe.</w:t>
      </w:r>
      <w:r>
        <w:rPr>
          <w:rFonts w:ascii="Barlow Semi Condensed" w:cs="Barlow Semi Condensed" w:eastAsia="Barlow Semi Condensed" w:hAnsi="Barlow Semi Condensed"/>
          <w:sz w:val="24"/>
          <w:szCs w:val="24"/>
        </w:rPr>
        <w:t xml:space="preserve"> Non basterebbero un ricordo pubblicato decenni dopo, un'intervista retrospettiva, un giudizio d'autore, né un documento posteriore che discuta il 1967 senza esserne coevo. Sono materiali legittimi per la storia della memoria e inservibili per il piano 1. La distinzione è la stessa che l'opera applica al verbale del 25 settembre 1974, dove conta ciò che l'atto contiene, non ciò che se ne dice.</w:t>
      </w:r>
    </w:p>
    <w:p>
      <w:pPr>
        <w:spacing w:after="120" w:line="276"/>
        <w:jc w:val="both"/>
      </w:pPr>
      <w:r>
        <w:rPr>
          <w:rFonts w:ascii="Barlow Semi Condensed" w:cs="Barlow Semi Condensed" w:eastAsia="Barlow Semi Condensed" w:hAnsi="Barlow Semi Condensed"/>
          <w:b/>
          <w:bCs/>
          <w:sz w:val="24"/>
          <w:szCs w:val="24"/>
        </w:rPr>
        <w:t xml:space="preserve">1453 · Il grado di una valutazione informativa.</w:t>
      </w:r>
      <w:r>
        <w:rPr>
          <w:rFonts w:ascii="Barlow Semi Condensed" w:cs="Barlow Semi Condensed" w:eastAsia="Barlow Semi Condensed" w:hAnsi="Barlow Semi Condensed"/>
          <w:sz w:val="24"/>
          <w:szCs w:val="24"/>
        </w:rPr>
        <w:t xml:space="preserve"> Se dai fondi emergesse un rapporto di servizio che nomina qualcuno, entrerebbe col grado della propria natura: una valutazione informativa è un'ipotesi formulata da un apparato, non un accertamento. L'opera lo ha già fissato, e la regola non cambia perché il teatro è boliviano. Un documento autentico può contenere un'affermazione falsa: autenticità dell'atto e verità del contenuto sono due gradi distinti.</w:t>
      </w:r>
    </w:p>
    <w:p>
      <w:pPr>
        <w:spacing w:after="120" w:line="276"/>
        <w:jc w:val="both"/>
      </w:pPr>
      <w:r>
        <w:rPr>
          <w:rFonts w:ascii="Barlow Semi Condensed" w:cs="Barlow Semi Condensed" w:eastAsia="Barlow Semi Condensed" w:hAnsi="Barlow Semi Condensed"/>
          <w:b/>
          <w:bCs/>
          <w:sz w:val="24"/>
          <w:szCs w:val="24"/>
        </w:rPr>
        <w:t xml:space="preserve">1454 · Dall'operativo non si sale al vertice.</w:t>
      </w:r>
      <w:r>
        <w:rPr>
          <w:rFonts w:ascii="Barlow Semi Condensed" w:cs="Barlow Semi Condensed" w:eastAsia="Barlow Semi Condensed" w:hAnsi="Barlow Semi Condensed"/>
          <w:sz w:val="24"/>
          <w:szCs w:val="24"/>
        </w:rPr>
        <w:t xml:space="preserve"> La presenza accertata di un agente sul terreno consente di dire che un'agenzia era presente, non che un ufficio di Washington abbia deciso, e meno ancora quale persona. Salire dalla presenza operativa alla responsabilità di vertice richiede la catena documentale intera, anello per anello. Il capitolo boliviano nomina il primo anello e non pretende gli altri: è il comportamento corretto, e va imitato.</w:t>
      </w:r>
    </w:p>
    <w:p>
      <w:pPr>
        <w:spacing w:after="120" w:line="276"/>
        <w:jc w:val="both"/>
      </w:pPr>
      <w:r>
        <w:rPr>
          <w:rFonts w:ascii="Barlow Semi Condensed" w:cs="Barlow Semi Condensed" w:eastAsia="Barlow Semi Condensed" w:hAnsi="Barlow Semi Condensed"/>
          <w:b/>
          <w:bCs/>
          <w:sz w:val="24"/>
          <w:szCs w:val="24"/>
        </w:rPr>
        <w:t xml:space="preserve">1455 · Appartenenza, scuola, consulenza.</w:t>
      </w:r>
      <w:r>
        <w:rPr>
          <w:rFonts w:ascii="Barlow Semi Condensed" w:cs="Barlow Semi Condensed" w:eastAsia="Barlow Semi Condensed" w:hAnsi="Barlow Semi Condensed"/>
          <w:sz w:val="24"/>
          <w:szCs w:val="24"/>
        </w:rPr>
        <w:t xml:space="preserve"> Insegnare in una certa università, sedere in certi gruppi di studio, avere consulenze presso certe agenzie non dice nulla su ciò che un uomo fece o non fece. L'opera lo ha stabilito come divieto generale, e qui produce un effetto pratico: gli accertamenti sull'ambiente accademico del 1966-1967 servono a collocare l'uomo nello spazio, non a caricarlo di alcun atto.</w:t>
      </w:r>
    </w:p>
    <w:p>
      <w:pPr>
        <w:spacing w:after="120" w:line="276"/>
        <w:jc w:val="both"/>
      </w:pPr>
      <w:r>
        <w:rPr>
          <w:rFonts w:ascii="Barlow Semi Condensed" w:cs="Barlow Semi Condensed" w:eastAsia="Barlow Semi Condensed" w:hAnsi="Barlow Semi Condensed"/>
          <w:b/>
          <w:bCs/>
          <w:sz w:val="24"/>
          <w:szCs w:val="24"/>
        </w:rPr>
        <w:t xml:space="preserve">1456 · L'età, la data, la distanza.</w:t>
      </w:r>
      <w:r>
        <w:rPr>
          <w:rFonts w:ascii="Barlow Semi Condensed" w:cs="Barlow Semi Condensed" w:eastAsia="Barlow Semi Condensed" w:hAnsi="Barlow Semi Condensed"/>
          <w:sz w:val="24"/>
          <w:szCs w:val="24"/>
        </w:rPr>
        <w:t xml:space="preserve"> Nel novembre 1966 l'uomo aveva quarantatré anni, essendo nato a Fürth il 27 maggio 1923; Guevara ne aveva trentotto, con la divergenza fra il 14 giugno e il 14 maggio 1928 registrata al nodo I-1. Erano contemporanei, e null'altro. Ricordare l'anagrafe serve qui a una cosa sola: mostrare che la contemporaneità, presa da sola, non ha mai prodotto un nesso.</w:t>
      </w:r>
    </w:p>
    <w:p>
      <w:pPr>
        <w:spacing w:after="120" w:line="276"/>
        <w:jc w:val="both"/>
      </w:pPr>
      <w:r>
        <w:rPr>
          <w:rFonts w:ascii="Barlow Semi Condensed" w:cs="Barlow Semi Condensed" w:eastAsia="Barlow Semi Condensed" w:hAnsi="Barlow Semi Condensed"/>
          <w:b/>
          <w:bCs/>
          <w:sz w:val="24"/>
          <w:szCs w:val="24"/>
        </w:rPr>
        <w:t xml:space="preserve">1457 · Il test dell'omologia, applicato qui.</w:t>
      </w:r>
      <w:r>
        <w:rPr>
          <w:rFonts w:ascii="Barlow Semi Condensed" w:cs="Barlow Semi Condensed" w:eastAsia="Barlow Semi Condensed" w:hAnsi="Barlow Semi Condensed"/>
          <w:sz w:val="24"/>
          <w:szCs w:val="24"/>
        </w:rPr>
        <w:t xml:space="preserve"> Il test è uno e non è retorico: un documento di provenienza che nomini la controparte. Sul territorio boliviano non ne esiste alcuno che nomini insieme la campagna e il nome triangolato. Ne segue che ogni somiglianza strutturale fra questa vicenda e le vicende italiane resta analogia. Le analogie si possono descrivere, confrontare, perfino ammirare; non si promuovono mai a discendenza.</w:t>
      </w:r>
    </w:p>
    <w:p>
      <w:pPr>
        <w:spacing w:after="120" w:line="276"/>
        <w:jc w:val="both"/>
      </w:pPr>
      <w:r>
        <w:rPr>
          <w:rFonts w:ascii="Barlow Semi Condensed" w:cs="Barlow Semi Condensed" w:eastAsia="Barlow Semi Condensed" w:hAnsi="Barlow Semi Condensed"/>
          <w:b/>
          <w:bCs/>
          <w:sz w:val="24"/>
          <w:szCs w:val="24"/>
        </w:rPr>
        <w:t xml:space="preserve">1458 · Il silenzio non è una smentita.</w:t>
      </w:r>
      <w:r>
        <w:rPr>
          <w:rFonts w:ascii="Barlow Semi Condensed" w:cs="Barlow Semi Condensed" w:eastAsia="Barlow Semi Condensed" w:hAnsi="Barlow Semi Condensed"/>
          <w:sz w:val="24"/>
          <w:szCs w:val="24"/>
        </w:rPr>
        <w:t xml:space="preserve"> A proposito del verbale del 25 settembre 1974 l'opera ha già insegnato che l'assenza di una frase da un documento non prova né la falsità né la verità dell'episodio. La stessa cautela si applica ai fondi boliviani e americani: non aver trovato non equivale ad accertare che non ci sia. Per questo ogni Stato Zero di questa serie si scrive con la sede che lo chiuderebbe.</w:t>
      </w:r>
    </w:p>
    <w:p>
      <w:pPr>
        <w:spacing w:after="120" w:line="276"/>
        <w:jc w:val="both"/>
      </w:pPr>
      <w:r>
        <w:rPr>
          <w:rFonts w:ascii="Barlow Semi Condensed" w:cs="Barlow Semi Condensed" w:eastAsia="Barlow Semi Condensed" w:hAnsi="Barlow Semi Condensed"/>
          <w:b/>
          <w:bCs/>
          <w:sz w:val="24"/>
          <w:szCs w:val="24"/>
        </w:rPr>
        <w:t xml:space="preserve">1459 · Perché qui il negativo pesa di più.</w:t>
      </w:r>
      <w:r>
        <w:rPr>
          <w:rFonts w:ascii="Barlow Semi Condensed" w:cs="Barlow Semi Condensed" w:eastAsia="Barlow Semi Condensed" w:hAnsi="Barlow Semi Condensed"/>
          <w:sz w:val="24"/>
          <w:szCs w:val="24"/>
        </w:rPr>
        <w:t xml:space="preserve"> Con una differenza, che va detta per intero: nel caso del 1974 mancava un documento a fronte di un uomo in carica; qui manca il documento e manca anche la carica. Un'assenza documentale sommata a un'impossibilità istituzionale produce un negativo più robusto di ciascuno dei due elementi. Non è certezza: è la migliore approssimazione che il territorio consenta, e come tale si dichiara.</w:t>
      </w:r>
    </w:p>
    <w:p>
      <w:pPr>
        <w:spacing w:after="120" w:line="276"/>
        <w:jc w:val="both"/>
      </w:pPr>
      <w:r>
        <w:rPr>
          <w:rFonts w:ascii="Barlow Semi Condensed" w:cs="Barlow Semi Condensed" w:eastAsia="Barlow Semi Condensed" w:hAnsi="Barlow Semi Condensed"/>
          <w:b/>
          <w:bCs/>
          <w:sz w:val="24"/>
          <w:szCs w:val="24"/>
        </w:rPr>
        <w:t xml:space="preserve">1460 · Il residuo che resta aperto.</w:t>
      </w:r>
      <w:r>
        <w:rPr>
          <w:rFonts w:ascii="Barlow Semi Condensed" w:cs="Barlow Semi Condensed" w:eastAsia="Barlow Semi Condensed" w:hAnsi="Barlow Semi Condensed"/>
          <w:sz w:val="24"/>
          <w:szCs w:val="24"/>
        </w:rPr>
        <w:t xml:space="preserve"> Resta un residuo, ed è onesto tenerlo aperto: un privato cittadino con consulenze governative può scrivere un appunto senza avere alcun ufficio. È l'unica via per cui questa serie potrebbe un giorno cambiare esito. La sede è nominata più sopra, il quesito è formulato, l'attesa è nulla. Un'attesa nulla non è mai una scusa per non porre la domanda.</w:t>
      </w:r>
    </w:p>
    <w:p>
      <w:pPr>
        <w:spacing w:after="120" w:line="276"/>
        <w:jc w:val="both"/>
      </w:pPr>
      <w:r>
        <w:rPr>
          <w:rFonts w:ascii="Barlow Semi Condensed" w:cs="Barlow Semi Condensed" w:eastAsia="Barlow Semi Condensed" w:hAnsi="Barlow Semi Condensed"/>
          <w:b/>
          <w:bCs/>
          <w:sz w:val="24"/>
          <w:szCs w:val="24"/>
        </w:rPr>
        <w:t xml:space="preserve">1461 · Che cosa questa serie ha stabilito (serie XIX).</w:t>
      </w:r>
      <w:r>
        <w:rPr>
          <w:rFonts w:ascii="Barlow Semi Condensed" w:cs="Barlow Semi Condensed" w:eastAsia="Barlow Semi Condensed" w:hAnsi="Barlow Semi Condensed"/>
          <w:sz w:val="24"/>
          <w:szCs w:val="24"/>
        </w:rPr>
        <w:t xml:space="preserve"> Si è stabilito che il territorio assegnato non nomina mai l'uomo triangolato; che negli undici mesi della campagna egli non deteneva alcuna carica pubblica; che l'unico americano nominato dal capitolo è un operativo sul terreno; che la decisione di uccidere è collocata dal capitolo a La Paz; e che la puntellatura documentale del capitolo, sul versante statunitense, è la più debole del corpus guevariano.</w:t>
      </w:r>
    </w:p>
    <w:p>
      <w:pPr>
        <w:spacing w:after="120" w:line="276"/>
        <w:jc w:val="both"/>
      </w:pPr>
      <w:r>
        <w:rPr>
          <w:rFonts w:ascii="Barlow Semi Condensed" w:cs="Barlow Semi Condensed" w:eastAsia="Barlow Semi Condensed" w:hAnsi="Barlow Semi Condensed"/>
          <w:b/>
          <w:bCs/>
          <w:sz w:val="24"/>
          <w:szCs w:val="24"/>
        </w:rPr>
        <w:t xml:space="preserve">1462 · Che cosa non ha stabilito.</w:t>
      </w:r>
      <w:r>
        <w:rPr>
          <w:rFonts w:ascii="Barlow Semi Condensed" w:cs="Barlow Semi Condensed" w:eastAsia="Barlow Semi Condensed" w:hAnsi="Barlow Semi Condensed"/>
          <w:sz w:val="24"/>
          <w:szCs w:val="24"/>
        </w:rPr>
        <w:t xml:space="preserve"> Non è stabilito che rapporti non siano mai esistiti, perché i fondi non sono stati aperti e una ricerca non condotta non è un esito. Non è stabilito nulla sulla catena decisionale americana del 1967, che resta materia per Austin e per College Park. E non è stato tolto né aggiunto un grammo al nodo M-5, che resta conteso esattamente com'era.</w:t>
      </w:r>
    </w:p>
    <w:p>
      <w:pPr>
        <w:spacing w:after="120" w:line="276"/>
        <w:jc w:val="both"/>
      </w:pPr>
      <w:r>
        <w:rPr>
          <w:rFonts w:ascii="Barlow Semi Condensed" w:cs="Barlow Semi Condensed" w:eastAsia="Barlow Semi Condensed" w:hAnsi="Barlow Semi Condensed"/>
          <w:b/>
          <w:bCs/>
          <w:sz w:val="24"/>
          <w:szCs w:val="24"/>
        </w:rPr>
        <w:t xml:space="preserve">1463 · La tavola dei gradi di questa serie.</w:t>
      </w:r>
      <w:r>
        <w:rPr>
          <w:rFonts w:ascii="Barlow Semi Condensed" w:cs="Barlow Semi Condensed" w:eastAsia="Barlow Semi Condensed" w:hAnsi="Barlow Semi Condensed"/>
          <w:sz w:val="24"/>
          <w:szCs w:val="24"/>
        </w:rPr>
        <w:t xml:space="preserve"> Il bilancio si scrive in numeri: nessun blocco di piano 1 relativo al nome triangolato; alcune convergenze di piano 2, tutte dichiarate come cornice e mai come nesso; tre affermazioni terziarie qualificate e lasciate al loro piano; e una larga maggioranza di Stati Zero, ciascuno con la sede che lo chiuderebbe. È la distribuzione attesa, ed è il risultato corretto.</w:t>
      </w:r>
    </w:p>
    <w:p>
      <w:pPr>
        <w:spacing w:after="120" w:line="276"/>
        <w:jc w:val="both"/>
      </w:pPr>
      <w:r>
        <w:rPr>
          <w:rFonts w:ascii="Barlow Semi Condensed" w:cs="Barlow Semi Condensed" w:eastAsia="Barlow Semi Condensed" w:hAnsi="Barlow Semi Condensed"/>
          <w:b/>
          <w:bCs/>
          <w:sz w:val="24"/>
          <w:szCs w:val="24"/>
        </w:rPr>
        <w:t xml:space="preserve">1464 · Il lascito operativo, in ordine.</w:t>
      </w:r>
      <w:r>
        <w:rPr>
          <w:rFonts w:ascii="Barlow Semi Condensed" w:cs="Barlow Semi Condensed" w:eastAsia="Barlow Semi Condensed" w:hAnsi="Barlow Semi Condensed"/>
          <w:sz w:val="24"/>
          <w:szCs w:val="24"/>
        </w:rPr>
        <w:t xml:space="preserve"> Chi riprenderà questa serie trova una fila di sedi già ordinata per rendimento decrescente: il volume FRUS sull'America meridionale, la biblioteca presidenziale di Austin, i National Archives di College Park, i lot files dei consulenti, Yale per gli anni anteriori all'incarico, il Rockefeller Archive Center, Princeton per i gruppi di studio, e i tre archivi boliviani mai interrogati. L'ordine è parte del metodo.</w:t>
      </w:r>
    </w:p>
    <w:p>
      <w:pPr>
        <w:spacing w:after="120" w:line="276"/>
        <w:jc w:val="both"/>
      </w:pPr>
      <w:r>
        <w:rPr>
          <w:rFonts w:ascii="Barlow Semi Condensed" w:cs="Barlow Semi Condensed" w:eastAsia="Barlow Semi Condensed" w:hAnsi="Barlow Semi Condensed"/>
          <w:b/>
          <w:bCs/>
          <w:sz w:val="24"/>
          <w:szCs w:val="24"/>
        </w:rPr>
        <w:t xml:space="preserve">1465 · L'ultima riga, senza ponte.</w:t>
      </w:r>
      <w:r>
        <w:rPr>
          <w:rFonts w:ascii="Barlow Semi Condensed" w:cs="Barlow Semi Condensed" w:eastAsia="Barlow Semi Condensed" w:hAnsi="Barlow Semi Condensed"/>
          <w:sz w:val="24"/>
          <w:szCs w:val="24"/>
        </w:rPr>
        <w:t xml:space="preserve"> Alla fossa di Vallegrande si chiude la parabola di un uomo e comincia quella di un'immagine: così finisce il capitolo, e questa serie non aggiunge a quella fine altro nome che quelli che il capitolo già porta. Il codice trasmesso in Italia fu un'immagine e un libro. La trasmissione ebbe vettori accertati, e nessuno di essi porta il nome intorno al quale l'opera è costruita.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ventesima — Guevara: bibliografia critica e triangolazioni</w:t>
      </w:r>
    </w:p>
    <w:p>
      <w:pPr>
        <w:spacing w:after="120" w:line="276"/>
        <w:jc w:val="both"/>
      </w:pPr>
      <w:r>
        <w:rPr>
          <w:rFonts w:ascii="Barlow Semi Condensed" w:cs="Barlow Semi Condensed" w:eastAsia="Barlow Semi Condensed" w:hAnsi="Barlow Semi Condensed"/>
          <w:i/>
          <w:iCs/>
          <w:sz w:val="24"/>
          <w:szCs w:val="24"/>
        </w:rPr>
        <w:t xml:space="preserve">Blocchi 1466-1540.</w:t>
      </w:r>
    </w:p>
    <w:p>
      <w:pPr>
        <w:spacing w:after="120" w:line="276"/>
        <w:jc w:val="both"/>
      </w:pPr>
      <w:r>
        <w:rPr>
          <w:rFonts w:ascii="Barlow Semi Condensed" w:cs="Barlow Semi Condensed" w:eastAsia="Barlow Semi Condensed" w:hAnsi="Barlow Semi Condensed"/>
          <w:b/>
          <w:bCs/>
          <w:sz w:val="24"/>
          <w:szCs w:val="24"/>
        </w:rPr>
        <w:t xml:space="preserve">1466 · Il conteggio nella bibliografia critica.</w:t>
      </w:r>
      <w:r>
        <w:rPr>
          <w:rFonts w:ascii="Barlow Semi Condensed" w:cs="Barlow Semi Condensed" w:eastAsia="Barlow Semi Condensed" w:hAnsi="Barlow Semi Condensed"/>
          <w:sz w:val="24"/>
          <w:szCs w:val="24"/>
        </w:rPr>
        <w:t xml:space="preserve"> La verifica meccanica su guevara-bibliografia-critica.md dà zero: la stringa del nome non compare in alcuna forma, né maiuscola né minuscola, in nessuna delle cinque sezioni di rango. Non è un'impressione di lettura, è un conteggio ripetibile da chiunque disponga del file. Si verbalizza come Stato Zero pieno: l'apparato delle fonti guevariane non registra alcuna opera che nomini il soggetto di quest'opera.</w:t>
      </w:r>
    </w:p>
    <w:p>
      <w:pPr>
        <w:spacing w:after="120" w:line="276"/>
        <w:jc w:val="both"/>
      </w:pPr>
      <w:r>
        <w:rPr>
          <w:rFonts w:ascii="Barlow Semi Condensed" w:cs="Barlow Semi Condensed" w:eastAsia="Barlow Semi Condensed" w:hAnsi="Barlow Semi Condensed"/>
          <w:b/>
          <w:bCs/>
          <w:sz w:val="24"/>
          <w:szCs w:val="24"/>
        </w:rPr>
        <w:t xml:space="preserve">1467 · Le cinque sezioni, una per una.</w:t>
      </w:r>
      <w:r>
        <w:rPr>
          <w:rFonts w:ascii="Barlow Semi Condensed" w:cs="Barlow Semi Condensed" w:eastAsia="Barlow Semi Condensed" w:hAnsi="Barlow Semi Condensed"/>
          <w:sz w:val="24"/>
          <w:szCs w:val="24"/>
        </w:rPr>
        <w:t xml:space="preserve"> L'interrogazione va disaggregata per rango, perché uno zero aggregato nasconde dove si è cercato. Nove voci primarie, sei accademiche, tre giornalistiche qualificate, una enciclopedica, sette righe nella tabella delle fonti espunte: ventisei ingressi distinti, nessuno dei quali riguarda il nome. Il perimetro della ricerca è dunque dichiarato per intero, ed è questa dichiarazione, non la cifra, a rendere l'esito negativo un'acquisizione.</w:t>
      </w:r>
    </w:p>
    <w:p>
      <w:pPr>
        <w:spacing w:after="120" w:line="276"/>
        <w:jc w:val="both"/>
      </w:pPr>
      <w:r>
        <w:rPr>
          <w:rFonts w:ascii="Barlow Semi Condensed" w:cs="Barlow Semi Condensed" w:eastAsia="Barlow Semi Condensed" w:hAnsi="Barlow Semi Condensed"/>
          <w:b/>
          <w:bCs/>
          <w:sz w:val="24"/>
          <w:szCs w:val="24"/>
        </w:rPr>
        <w:t xml:space="preserve">1468 · Sezione prima, nessun testo dell'attore.</w:t>
      </w:r>
      <w:r>
        <w:rPr>
          <w:rFonts w:ascii="Barlow Semi Condensed" w:cs="Barlow Semi Condensed" w:eastAsia="Barlow Semi Condensed" w:hAnsi="Barlow Semi Condensed"/>
          <w:sz w:val="24"/>
          <w:szCs w:val="24"/>
        </w:rPr>
        <w:t xml:space="preserve"> Le nove voci primarie sono parole o registrazioni di Ernesto Guevara: il diario boliviano, i Pasajes cubani e congolesi, il discorso all'ONU dell'11 dicembre 1964, quello di Algeri del 24 febbraio 1965, la lettera d'addio, gli articoli allergologici messicani. Nessuna nomina la controparte qui studiata. La sede che chiuderebbe il punto non è cubana ma statunitense: la serie FRUS e l'Office of the Historian, dove i testi dell'altro attore sono editi.</w:t>
      </w:r>
    </w:p>
    <w:p>
      <w:pPr>
        <w:spacing w:after="120" w:line="276"/>
        <w:jc w:val="both"/>
      </w:pPr>
      <w:r>
        <w:rPr>
          <w:rFonts w:ascii="Barlow Semi Condensed" w:cs="Barlow Semi Condensed" w:eastAsia="Barlow Semi Condensed" w:hAnsi="Barlow Semi Condensed"/>
          <w:b/>
          <w:bCs/>
          <w:sz w:val="24"/>
          <w:szCs w:val="24"/>
        </w:rPr>
        <w:t xml:space="preserve">1469 · Lo spoglio degli indici biografici.</w:t>
      </w:r>
      <w:r>
        <w:rPr>
          <w:rFonts w:ascii="Barlow Semi Condensed" w:cs="Barlow Semi Condensed" w:eastAsia="Barlow Semi Condensed" w:hAnsi="Barlow Semi Condensed"/>
          <w:sz w:val="24"/>
          <w:szCs w:val="24"/>
        </w:rPr>
        <w:t xml:space="preserve"> Anderson, Taibo II e Castañeda costituiscono l'ossatura storiografica del corpus guevariano, e nessuno dei tre vi è citato per un rapporto con il vertice di Washington. Il bersaglio è di spoglio e non di lettura: verificare, indice dei nomi alla mano sull'esemplare e non sulla fama, se il nome compaia nelle tre biografie e a quale pagina. Se non compare, lo Stato Zero si estende dalla bibliografia alle sue fonti.</w:t>
      </w:r>
    </w:p>
    <w:p>
      <w:pPr>
        <w:spacing w:after="120" w:line="276"/>
        <w:jc w:val="both"/>
      </w:pPr>
      <w:r>
        <w:rPr>
          <w:rFonts w:ascii="Barlow Semi Condensed" w:cs="Barlow Semi Condensed" w:eastAsia="Barlow Semi Condensed" w:hAnsi="Barlow Semi Condensed"/>
          <w:b/>
          <w:bCs/>
          <w:sz w:val="24"/>
          <w:szCs w:val="24"/>
        </w:rPr>
        <w:t xml:space="preserve">1470 · The Citizen, la CBS, la Bolivia.</w:t>
      </w:r>
      <w:r>
        <w:rPr>
          <w:rFonts w:ascii="Barlow Semi Condensed" w:cs="Barlow Semi Condensed" w:eastAsia="Barlow Semi Condensed" w:hAnsi="Barlow Semi Condensed"/>
          <w:sz w:val="24"/>
          <w:szCs w:val="24"/>
        </w:rPr>
        <w:t xml:space="preserve"> Le tre voci giornalistiche qualificate coprono l'attentato del bazooka dell'11 dicembre 1964, l'intervista a Face the Nation del 13 dicembre e la cronologia boliviana del 1967. Sono cronaca di eventi in cui il soggetto di quest'opera non figura per carica né per presenza. Il quesito derivato è circoscritto: l'archivio della rete televisiva conserva la trascrizione integrale della puntata, e solo quella direbbe chi vi fu nominato.</w:t>
      </w:r>
    </w:p>
    <w:p>
      <w:pPr>
        <w:spacing w:after="120" w:line="276"/>
        <w:jc w:val="both"/>
      </w:pPr>
      <w:r>
        <w:rPr>
          <w:rFonts w:ascii="Barlow Semi Condensed" w:cs="Barlow Semi Condensed" w:eastAsia="Barlow Semi Condensed" w:hAnsi="Barlow Semi Condensed"/>
          <w:b/>
          <w:bCs/>
          <w:sz w:val="24"/>
          <w:szCs w:val="24"/>
        </w:rPr>
        <w:t xml:space="preserve">1471 · L'uso confinato dell'enciclopedia.</w:t>
      </w:r>
      <w:r>
        <w:rPr>
          <w:rFonts w:ascii="Barlow Semi Condensed" w:cs="Barlow Semi Condensed" w:eastAsia="Barlow Semi Condensed" w:hAnsi="Barlow Semi Condensed"/>
          <w:sz w:val="24"/>
          <w:szCs w:val="24"/>
        </w:rPr>
        <w:t xml:space="preserve"> L'unica voce di rango enciclopedico è dichiarata con una clausola che vale come regola: adoperata soltanto per fatti non controversi e mai come fonte unica di un'attribuzione contestata. È esattamente la disciplina che il presunto avvertimento del 1974 esige, e che le riprese giornalistiche di quell'episodio non hanno osservato. Il territorio guevariano offre qui una regola più severa di quella applicata al versante moroteo.</w:t>
      </w:r>
    </w:p>
    <w:p>
      <w:pPr>
        <w:spacing w:after="120" w:line="276"/>
        <w:jc w:val="both"/>
      </w:pPr>
      <w:r>
        <w:rPr>
          <w:rFonts w:ascii="Barlow Semi Condensed" w:cs="Barlow Semi Condensed" w:eastAsia="Barlow Semi Condensed" w:hAnsi="Barlow Semi Condensed"/>
          <w:b/>
          <w:bCs/>
          <w:sz w:val="24"/>
          <w:szCs w:val="24"/>
        </w:rPr>
        <w:t xml:space="preserve">1472 · Sette righe di trasparenza.</w:t>
      </w:r>
      <w:r>
        <w:rPr>
          <w:rFonts w:ascii="Barlow Semi Condensed" w:cs="Barlow Semi Condensed" w:eastAsia="Barlow Semi Condensed" w:hAnsi="Barlow Semi Condensed"/>
          <w:sz w:val="24"/>
          <w:szCs w:val="24"/>
        </w:rPr>
        <w:t xml:space="preserve"> La tabella delle fonti espunte elenca sette righe: un PDF su rete di distribuzione anonima, una raccolta di documenti caricati, un pamphlet militante, una wiki di fandom, un sito militante, un gruppo di blog e siti di partito, un gruppo di testate d'opinione deboli. Nessuna riguarda il nome studiato. La tabella resta però il modello formale di questa serie: si dichiara che cosa si è tolto e con che cosa lo si è sostituito.</w:t>
      </w:r>
    </w:p>
    <w:p>
      <w:pPr>
        <w:spacing w:after="120" w:line="276"/>
        <w:jc w:val="both"/>
      </w:pPr>
      <w:r>
        <w:rPr>
          <w:rFonts w:ascii="Barlow Semi Condensed" w:cs="Barlow Semi Condensed" w:eastAsia="Barlow Semi Condensed" w:hAnsi="Barlow Semi Condensed"/>
          <w:b/>
          <w:bCs/>
          <w:sz w:val="24"/>
          <w:szCs w:val="24"/>
        </w:rPr>
        <w:t xml:space="preserve">1473 · Le due sedi vietate non compaiono.</w:t>
      </w:r>
      <w:r>
        <w:rPr>
          <w:rFonts w:ascii="Barlow Semi Condensed" w:cs="Barlow Semi Condensed" w:eastAsia="Barlow Semi Condensed" w:hAnsi="Barlow Semi Condensed"/>
          <w:sz w:val="24"/>
          <w:szCs w:val="24"/>
        </w:rPr>
        <w:t xml:space="preserve"> Il blocco 24 dell'opera vieta due sedi determinate, il quotidiano e l'enciclopedia che il committente ha escluso. La verifica su questo territorio dà esito negativo in senso favorevole: nessuna delle due compare, né fra le fonti adoperate né fra quelle espunte in revisione. Il divieto qui non ha avuto occasione di operare. È accertamento minore e va scritto, perché un divieto mai applicato non è un divieto rispettato.</w:t>
      </w:r>
    </w:p>
    <w:p>
      <w:pPr>
        <w:spacing w:after="120" w:line="276"/>
        <w:jc w:val="both"/>
      </w:pPr>
      <w:r>
        <w:rPr>
          <w:rFonts w:ascii="Barlow Semi Condensed" w:cs="Barlow Semi Condensed" w:eastAsia="Barlow Semi Condensed" w:hAnsi="Barlow Semi Condensed"/>
          <w:b/>
          <w:bCs/>
          <w:sz w:val="24"/>
          <w:szCs w:val="24"/>
        </w:rPr>
        <w:t xml:space="preserve">1474 · I due dati residui di parte.</w:t>
      </w:r>
      <w:r>
        <w:rPr>
          <w:rFonts w:ascii="Barlow Semi Condensed" w:cs="Barlow Semi Condensed" w:eastAsia="Barlow Semi Condensed" w:hAnsi="Barlow Semi Condensed"/>
          <w:sz w:val="24"/>
          <w:szCs w:val="24"/>
        </w:rPr>
        <w:t xml:space="preserve"> Sopravvivono nella bibliografia due informazioni dichiarate non riscontrate, entrambe dalla biografia sovietica di Lavretski: la presenza di Mikojan all'Avana nel marzo 1965 e i milletrecentoventitré atti di sovversione del 1964. Sono attribuite a una fonte di parte e marcate come tali nelle note di revisione. Nessuna nomina il soggetto di quest'opera, che nel 1964 non ricopriva alcuno degli incarichi fissati. La dichiarazione di non riscontro è comportamento corretto, e va imitata.</w:t>
      </w:r>
    </w:p>
    <w:p>
      <w:pPr>
        <w:spacing w:after="120" w:line="276"/>
        <w:jc w:val="both"/>
      </w:pPr>
      <w:r>
        <w:rPr>
          <w:rFonts w:ascii="Barlow Semi Condensed" w:cs="Barlow Semi Condensed" w:eastAsia="Barlow Semi Condensed" w:hAnsi="Barlow Semi Condensed"/>
          <w:b/>
          <w:bCs/>
          <w:sz w:val="24"/>
          <w:szCs w:val="24"/>
        </w:rPr>
        <w:t xml:space="preserve">1475 · Che cosa chiuderebbe questo zero.</w:t>
      </w:r>
      <w:r>
        <w:rPr>
          <w:rFonts w:ascii="Barlow Semi Condensed" w:cs="Barlow Semi Condensed" w:eastAsia="Barlow Semi Condensed" w:hAnsi="Barlow Semi Condensed"/>
          <w:sz w:val="24"/>
          <w:szCs w:val="24"/>
        </w:rPr>
        <w:t xml:space="preserve"> Bersaglio di smentita, formulato perché altri possa colpirlo: lo Stato Zero della bibliografia guevariana cadrebbe se emergesse una sola opera di rango primario o accademico che tratti insieme la parabola boliviana e il vertice statunitense degli anni Settanta, nominando entrambe le parti. Non basta un saggio che le citi in capitoli diversi. Serve un titolo che le tenga in una sola argomentazione, con l'apparato che la sostiene.</w:t>
      </w:r>
    </w:p>
    <w:p>
      <w:pPr>
        <w:spacing w:after="120" w:line="276"/>
        <w:jc w:val="both"/>
      </w:pPr>
      <w:r>
        <w:rPr>
          <w:rFonts w:ascii="Barlow Semi Condensed" w:cs="Barlow Semi Condensed" w:eastAsia="Barlow Semi Condensed" w:hAnsi="Barlow Semi Condensed"/>
          <w:b/>
          <w:bCs/>
          <w:sz w:val="24"/>
          <w:szCs w:val="24"/>
        </w:rPr>
        <w:t xml:space="preserve">1476 · Sette occorrenze su cinque righe.</w:t>
      </w:r>
      <w:r>
        <w:rPr>
          <w:rFonts w:ascii="Barlow Semi Condensed" w:cs="Barlow Semi Condensed" w:eastAsia="Barlow Semi Condensed" w:hAnsi="Barlow Semi Condensed"/>
          <w:sz w:val="24"/>
          <w:szCs w:val="24"/>
        </w:rPr>
        <w:t xml:space="preserve"> Nel secondo documento del territorio la stringa capitalizzata ricorre sette volte, distribuite su cinque righe soltanto: due al nodo M-5, una nell'attacco della Nota di revisione numero due, due nel punto primo delle precisazioni, una nel terzo e una nel quarto. In minuscolo compare inoltre dentro un indirizzo web e nel nome del file dell'opera. La distribuzione è concentrata, non diffusa, e la concentrazione è essa stessa un dato.</w:t>
      </w:r>
    </w:p>
    <w:p>
      <w:pPr>
        <w:spacing w:after="120" w:line="276"/>
        <w:jc w:val="both"/>
      </w:pPr>
      <w:r>
        <w:rPr>
          <w:rFonts w:ascii="Barlow Semi Condensed" w:cs="Barlow Semi Condensed" w:eastAsia="Barlow Semi Condensed" w:hAnsi="Barlow Semi Condensed"/>
          <w:b/>
          <w:bCs/>
          <w:sz w:val="24"/>
          <w:szCs w:val="24"/>
        </w:rPr>
        <w:t xml:space="preserve">1477 · Uno su cinquantotto.</w:t>
      </w:r>
      <w:r>
        <w:rPr>
          <w:rFonts w:ascii="Barlow Semi Condensed" w:cs="Barlow Semi Condensed" w:eastAsia="Barlow Semi Condensed" w:hAnsi="Barlow Semi Condensed"/>
          <w:sz w:val="24"/>
          <w:szCs w:val="24"/>
        </w:rPr>
        <w:t xml:space="preserve"> Fra i cinquantotto nodi del secondo documento — dieci interni, ventinove esterni, nove della matrice, sei paralleli, quattro divergenze — uno solo nomina il soggetto di quest'opera. È M-5, «L'ombra statunitense su entrambe le morti», e vi compare per il versante Moro, non per il versante Guevara. Il rapporto è di uno a cinquantotto, e va detto prima di qualunque considerazione sul contenuto di quel nodo.</w:t>
      </w:r>
    </w:p>
    <w:p>
      <w:pPr>
        <w:spacing w:after="120" w:line="276"/>
        <w:jc w:val="both"/>
      </w:pPr>
      <w:r>
        <w:rPr>
          <w:rFonts w:ascii="Barlow Semi Condensed" w:cs="Barlow Semi Condensed" w:eastAsia="Barlow Semi Condensed" w:hAnsi="Barlow Semi Condensed"/>
          <w:b/>
          <w:bCs/>
          <w:sz w:val="24"/>
          <w:szCs w:val="24"/>
        </w:rPr>
        <w:t xml:space="preserve">1478 · La Nota di revisione numero due.</w:t>
      </w:r>
      <w:r>
        <w:rPr>
          <w:rFonts w:ascii="Barlow Semi Condensed" w:cs="Barlow Semi Condensed" w:eastAsia="Barlow Semi Condensed" w:hAnsi="Barlow Semi Condensed"/>
          <w:sz w:val="24"/>
          <w:szCs w:val="24"/>
        </w:rPr>
        <w:t xml:space="preserve"> Il paragrafo sesto del documento è datato 25 agosto 2026 e registra sette precisazioni prodotte dalla campagna condotta per l'opera in mille blocchi. Non riscrive M-5: gli si affianca, secondo la regola per cui il testo originario resta leggibile e la correzione lo accompagna. È il solo punto del territorio guevariano in cui il nome entra per accertamento e non per citazione, e vi entra per essere circoscritto.</w:t>
      </w:r>
    </w:p>
    <w:p>
      <w:pPr>
        <w:spacing w:after="120" w:line="276"/>
        <w:jc w:val="both"/>
      </w:pPr>
      <w:r>
        <w:rPr>
          <w:rFonts w:ascii="Barlow Semi Condensed" w:cs="Barlow Semi Condensed" w:eastAsia="Barlow Semi Condensed" w:hAnsi="Barlow Semi Condensed"/>
          <w:b/>
          <w:bCs/>
          <w:sz w:val="24"/>
          <w:szCs w:val="24"/>
        </w:rPr>
        <w:t xml:space="preserve">1479 · La circolarità da dichiarare.</w:t>
      </w:r>
      <w:r>
        <w:rPr>
          <w:rFonts w:ascii="Barlow Semi Condensed" w:cs="Barlow Semi Condensed" w:eastAsia="Barlow Semi Condensed" w:hAnsi="Barlow Semi Condensed"/>
          <w:sz w:val="24"/>
          <w:szCs w:val="24"/>
        </w:rPr>
        <w:t xml:space="preserve"> Va segnalata una circolarità che il lettore deve conoscere: la Nota di revisione numero due rinvia esplicitamente al file dell'opera in mille blocchi, e quest'opera a sua volta richiama M-5 ai blocchi 44 e 874. Nessuno dei due documenti conferma l'altro: entrambi riportano la stessa testimonianza contestata. Contarli come due riscontri sarebbe replicazione senza informazione nuova, l'errore che il punto settimo delle precisazioni descrive.</w:t>
      </w:r>
    </w:p>
    <w:p>
      <w:pPr>
        <w:spacing w:after="120" w:line="276"/>
        <w:jc w:val="both"/>
      </w:pPr>
      <w:r>
        <w:rPr>
          <w:rFonts w:ascii="Barlow Semi Condensed" w:cs="Barlow Semi Condensed" w:eastAsia="Barlow Semi Condensed" w:hAnsi="Barlow Semi Condensed"/>
          <w:b/>
          <w:bCs/>
          <w:sz w:val="24"/>
          <w:szCs w:val="24"/>
        </w:rPr>
        <w:t xml:space="preserve">1480 · Gli appoggi del nodo M-5.</w:t>
      </w:r>
      <w:r>
        <w:rPr>
          <w:rFonts w:ascii="Barlow Semi Condensed" w:cs="Barlow Semi Condensed" w:eastAsia="Barlow Semi Condensed" w:hAnsi="Barlow Semi Condensed"/>
          <w:sz w:val="24"/>
          <w:szCs w:val="24"/>
        </w:rPr>
        <w:t xml:space="preserve"> Il nodo M-5 poggia, sul versante italiano, su tre indirizzi: un sito che raccoglie le testimonianze, una testata che riferisce di un programma televisivo, una voce enciclopedica in lingua inglese. Nessuno dei tre è documento d'archivio. La stessa riga cita invece, per il versante boliviano, la documentazione statunitense declassificata nel 1997. I due lati del nodo non hanno il medesimo rango probatorio, e il nodo non lo dichiara.</w:t>
      </w:r>
    </w:p>
    <w:p>
      <w:pPr>
        <w:spacing w:after="120" w:line="276"/>
        <w:jc w:val="both"/>
      </w:pPr>
      <w:r>
        <w:rPr>
          <w:rFonts w:ascii="Barlow Semi Condensed" w:cs="Barlow Semi Condensed" w:eastAsia="Barlow Semi Condensed" w:hAnsi="Barlow Semi Condensed"/>
          <w:b/>
          <w:bCs/>
          <w:sz w:val="24"/>
          <w:szCs w:val="24"/>
        </w:rPr>
        <w:t xml:space="preserve">1481 · Regola di lettura sugli accostamenti.</w:t>
      </w:r>
      <w:r>
        <w:rPr>
          <w:rFonts w:ascii="Barlow Semi Condensed" w:cs="Barlow Semi Condensed" w:eastAsia="Barlow Semi Condensed" w:hAnsi="Barlow Semi Condensed"/>
          <w:sz w:val="24"/>
          <w:szCs w:val="24"/>
        </w:rPr>
        <w:t xml:space="preserve"> Quando una sola voce accosta due vicende, si verifica il rango di ciascun lato prima di leggere l'accostamento. Qui un lato poggia su carte declassificate e nominative, l'altro su testimonianza de relato resa quattro anni dopo i fatti in sede giudiziaria. Un accostamento fra evidenze di rango diverso non produce una simmetria: produce l'illusione di una simmetria, che è cosa opposta e va smontata prima di ogni altra operazione.</w:t>
      </w:r>
    </w:p>
    <w:p>
      <w:pPr>
        <w:spacing w:after="120" w:line="276"/>
        <w:jc w:val="both"/>
      </w:pPr>
      <w:r>
        <w:rPr>
          <w:rFonts w:ascii="Barlow Semi Condensed" w:cs="Barlow Semi Condensed" w:eastAsia="Barlow Semi Condensed" w:hAnsi="Barlow Semi Condensed"/>
          <w:b/>
          <w:bCs/>
          <w:sz w:val="24"/>
          <w:szCs w:val="24"/>
        </w:rPr>
        <w:t xml:space="preserve">1482 · La cornice non è un antenato (serie XX).</w:t>
      </w:r>
      <w:r>
        <w:rPr>
          <w:rFonts w:ascii="Barlow Semi Condensed" w:cs="Barlow Semi Condensed" w:eastAsia="Barlow Semi Condensed" w:hAnsi="Barlow Semi Condensed"/>
          <w:sz w:val="24"/>
          <w:szCs w:val="24"/>
        </w:rPr>
        <w:t xml:space="preserve"> La cornice condivisa esiste, ed è la lunga guerra fredda: il corpus la registra nel saggio «Dal Che a Moro» come convergenza e non come rapporto. Ma il blocco 944 dell'opera stabilisce che una cornice non è un antenato. Fra La Higuera e via Fani stanno undici anni, due continenti e l'assenza di ogni documento di provenienza che nomini insieme le due parti. Resta piano 2, e vi resta.</w:t>
      </w:r>
    </w:p>
    <w:p>
      <w:pPr>
        <w:spacing w:after="120" w:line="276"/>
        <w:jc w:val="both"/>
      </w:pPr>
      <w:r>
        <w:rPr>
          <w:rFonts w:ascii="Barlow Semi Condensed" w:cs="Barlow Semi Condensed" w:eastAsia="Barlow Semi Condensed" w:hAnsi="Barlow Semi Condensed"/>
          <w:b/>
          <w:bCs/>
          <w:sz w:val="24"/>
          <w:szCs w:val="24"/>
        </w:rPr>
        <w:t xml:space="preserve">1483 · Bersaglio di smentita del conteggio.</w:t>
      </w:r>
      <w:r>
        <w:rPr>
          <w:rFonts w:ascii="Barlow Semi Condensed" w:cs="Barlow Semi Condensed" w:eastAsia="Barlow Semi Condensed" w:hAnsi="Barlow Semi Condensed"/>
          <w:sz w:val="24"/>
          <w:szCs w:val="24"/>
        </w:rPr>
        <w:t xml:space="preserve"> Che cosa falsificherebbe la misura appena eseguita: un'edizione successiva dei due documenti che introducesse il nome in altri nodi; un allegato non versato nel branch pubblico; una versione dei file anteriore alle revisioni del 24 e 25 agosto 2026. La verifica va perciò datata e riferita alle versioni presenti nel repository a quella data. Un conteggio senza data non è ripetibile, e un conteggio non ripetibile non è un conteggio.</w:t>
      </w:r>
    </w:p>
    <w:p>
      <w:pPr>
        <w:spacing w:after="120" w:line="276"/>
        <w:jc w:val="both"/>
      </w:pPr>
      <w:r>
        <w:rPr>
          <w:rFonts w:ascii="Barlow Semi Condensed" w:cs="Barlow Semi Condensed" w:eastAsia="Barlow Semi Condensed" w:hAnsi="Barlow Semi Condensed"/>
          <w:b/>
          <w:bCs/>
          <w:sz w:val="24"/>
          <w:szCs w:val="24"/>
        </w:rPr>
        <w:t xml:space="preserve">1484 · Il muro delle date.</w:t>
      </w:r>
      <w:r>
        <w:rPr>
          <w:rFonts w:ascii="Barlow Semi Condensed" w:cs="Barlow Semi Condensed" w:eastAsia="Barlow Semi Condensed" w:hAnsi="Barlow Semi Condensed"/>
          <w:sz w:val="24"/>
          <w:szCs w:val="24"/>
        </w:rPr>
        <w:t xml:space="preserve"> Ernesto Guevara fu catturato l'8 ottobre 1967 alla Quebrada del Yuro e ucciso il 9 a La Higuera. Gli incarichi fissati da quest'opera cominciano il 20 gennaio 1969: quindici mesi dopo. Per l'intera campagna boliviana — Ñancahuazú, la rottura con Mario Monje del 31 dicembre 1966, l'imboscata del 23 marzo 1967 — non esiste materialmente la possibilità di un rapporto diretto di piano 1 con chi non era in carica.</w:t>
      </w:r>
    </w:p>
    <w:p>
      <w:pPr>
        <w:spacing w:after="120" w:line="276"/>
        <w:jc w:val="both"/>
      </w:pPr>
      <w:r>
        <w:rPr>
          <w:rFonts w:ascii="Barlow Semi Condensed" w:cs="Barlow Semi Condensed" w:eastAsia="Barlow Semi Condensed" w:hAnsi="Barlow Semi Condensed"/>
          <w:b/>
          <w:bCs/>
          <w:sz w:val="24"/>
          <w:szCs w:val="24"/>
        </w:rPr>
        <w:t xml:space="preserve">1485 · La finestra dei dossier del 1954-1968.</w:t>
      </w:r>
      <w:r>
        <w:rPr>
          <w:rFonts w:ascii="Barlow Semi Condensed" w:cs="Barlow Semi Condensed" w:eastAsia="Barlow Semi Condensed" w:hAnsi="Barlow Semi Condensed"/>
          <w:sz w:val="24"/>
          <w:szCs w:val="24"/>
        </w:rPr>
        <w:t xml:space="preserve"> Il nodo E-22 registra oltre mille rapporti dell'agenzia statunitense sul periodo 1954-1968, analizzati da Ratner e Smith su documenti declassificati. La finestra si chiude prima dell'inizio degli incarichi fissati. Chi volesse costruire un ponte dovrebbe dunque cercarlo altrove che in quel fondo, e dichiararlo. La stessa scheda avverte peraltro che il dettaglio degli inalatori proviene da secondaria di terza mano e va riscontrato sul testo originale: doppia cautela, non una.</w:t>
      </w:r>
    </w:p>
    <w:p>
      <w:pPr>
        <w:spacing w:after="120" w:line="276"/>
        <w:jc w:val="both"/>
      </w:pPr>
      <w:r>
        <w:rPr>
          <w:rFonts w:ascii="Barlow Semi Condensed" w:cs="Barlow Semi Condensed" w:eastAsia="Barlow Semi Condensed" w:hAnsi="Barlow Semi Condensed"/>
          <w:b/>
          <w:bCs/>
          <w:sz w:val="24"/>
          <w:szCs w:val="24"/>
        </w:rPr>
        <w:t xml:space="preserve">1486 · Il quesito sugli anni anteriori.</w:t>
      </w:r>
      <w:r>
        <w:rPr>
          <w:rFonts w:ascii="Barlow Semi Condensed" w:cs="Barlow Semi Condensed" w:eastAsia="Barlow Semi Condensed" w:hAnsi="Barlow Semi Condensed"/>
          <w:sz w:val="24"/>
          <w:szCs w:val="24"/>
        </w:rPr>
        <w:t xml:space="preserve"> Quesito formulato e non risolto, da portare in archivio e non in bibliografia: se prima del 20 gennaio 1969 esista atto che documenti una funzione consultiva del soggetto presso organi dell'esecutivo statunitense, e con quale segnatura. Le sedi sono note: Manuscripts and Archives della Yale University Library per le carte private, Manuscript Division della Library of Congress per quelle d'ufficio. Si chiede l'inventario prima del documento; senza inventario non si fonda alcuno Stato Zero.</w:t>
      </w:r>
    </w:p>
    <w:p>
      <w:pPr>
        <w:spacing w:after="120" w:line="276"/>
        <w:jc w:val="both"/>
      </w:pPr>
      <w:r>
        <w:rPr>
          <w:rFonts w:ascii="Barlow Semi Condensed" w:cs="Barlow Semi Condensed" w:eastAsia="Barlow Semi Condensed" w:hAnsi="Barlow Semi Condensed"/>
          <w:b/>
          <w:bCs/>
          <w:sz w:val="24"/>
          <w:szCs w:val="24"/>
        </w:rPr>
        <w:t xml:space="preserve">1487 · I nomi che il Congo registra.</w:t>
      </w:r>
      <w:r>
        <w:rPr>
          <w:rFonts w:ascii="Barlow Semi Condensed" w:cs="Barlow Semi Condensed" w:eastAsia="Barlow Semi Condensed" w:hAnsi="Barlow Semi Condensed"/>
          <w:sz w:val="24"/>
          <w:szCs w:val="24"/>
        </w:rPr>
        <w:t xml:space="preserve"> Per il teatro congolese del 1965 il corpus guevariano nomina con precisione la parte statunitense: Lyndon Johnson che invia Averell Harriman e Cyrus Vance, i piloti esuli cubani ingaggiati dall'agenzia, i mercenari del Cinque Commando di Mike Hoare. Il soggetto di quest'opera non compare in quell'elenco. L'assenza è tanto più significativa perché l'elenco è dettagliato: dove il documento nomina molti, il silenzio su uno diventa misurabile.</w:t>
      </w:r>
    </w:p>
    <w:p>
      <w:pPr>
        <w:spacing w:after="120" w:line="276"/>
        <w:jc w:val="both"/>
      </w:pPr>
      <w:r>
        <w:rPr>
          <w:rFonts w:ascii="Barlow Semi Condensed" w:cs="Barlow Semi Condensed" w:eastAsia="Barlow Semi Condensed" w:hAnsi="Barlow Semi Condensed"/>
          <w:b/>
          <w:bCs/>
          <w:sz w:val="24"/>
          <w:szCs w:val="24"/>
        </w:rPr>
        <w:t xml:space="preserve">1488 · Dieci tappe, nessun contatto.</w:t>
      </w:r>
      <w:r>
        <w:rPr>
          <w:rFonts w:ascii="Barlow Semi Condensed" w:cs="Barlow Semi Condensed" w:eastAsia="Barlow Semi Condensed" w:hAnsi="Barlow Semi Condensed"/>
          <w:sz w:val="24"/>
          <w:szCs w:val="24"/>
        </w:rPr>
        <w:t xml:space="preserve"> Dal dicembre 1964 al marzo 1965 Guevara toccò Cina, Corea del Nord, Berlino Est, Unione Sovietica, Mali, Congo-Brazzaville, Ghana, Tanzania, Egitto e Algeria. Il corpus ricostruisce l'itinerario su Anderson e segnala che ordine e tappe minori variano fra le fonti. Nessuna tappa produce un contatto con l'apparato statunitense di vertice. Il vuoto si dichiara con la sua causa probabile: nessuno ha scritto un documento che tratti insieme i due domini.</w:t>
      </w:r>
    </w:p>
    <w:p>
      <w:pPr>
        <w:spacing w:after="120" w:line="276"/>
        <w:jc w:val="both"/>
      </w:pPr>
      <w:r>
        <w:rPr>
          <w:rFonts w:ascii="Barlow Semi Condensed" w:cs="Barlow Semi Condensed" w:eastAsia="Barlow Semi Condensed" w:hAnsi="Barlow Semi Condensed"/>
          <w:b/>
          <w:bCs/>
          <w:sz w:val="24"/>
          <w:szCs w:val="24"/>
        </w:rPr>
        <w:t xml:space="preserve">1489 · Algeri, e il bersaglio che ne discende.</w:t>
      </w:r>
      <w:r>
        <w:rPr>
          <w:rFonts w:ascii="Barlow Semi Condensed" w:cs="Barlow Semi Condensed" w:eastAsia="Barlow Semi Condensed" w:hAnsi="Barlow Semi Condensed"/>
          <w:sz w:val="24"/>
          <w:szCs w:val="24"/>
        </w:rPr>
        <w:t xml:space="preserve"> Il discorso del 24 febbraio 1965 al Secondo Seminario Economico di Solidarietà Afro-Asiatica accusa i paesi socialisti di complicità obiettiva con lo sfruttamento imperialista. Il testo è edito nella versione con correzioni autografe conservata dal centro di studi dell'Avana. Bersaglio: verificare se nei fondi del Dipartimento di Stato ai National Archives di College Park esista valutazione coeva di quel discorso, e in quale serie. Se esiste, è documento sulla ricezione, non sul rapporto.</w:t>
      </w:r>
    </w:p>
    <w:p>
      <w:pPr>
        <w:spacing w:after="120" w:line="276"/>
        <w:jc w:val="both"/>
      </w:pPr>
      <w:r>
        <w:rPr>
          <w:rFonts w:ascii="Barlow Semi Condensed" w:cs="Barlow Semi Condensed" w:eastAsia="Barlow Semi Condensed" w:hAnsi="Barlow Semi Condensed"/>
          <w:b/>
          <w:bCs/>
          <w:sz w:val="24"/>
          <w:szCs w:val="24"/>
        </w:rPr>
        <w:t xml:space="preserve">1490 · L'undici dicembre a New York.</w:t>
      </w:r>
      <w:r>
        <w:rPr>
          <w:rFonts w:ascii="Barlow Semi Condensed" w:cs="Barlow Semi Condensed" w:eastAsia="Barlow Semi Condensed" w:hAnsi="Barlow Semi Condensed"/>
          <w:sz w:val="24"/>
          <w:szCs w:val="24"/>
        </w:rPr>
        <w:t xml:space="preserve"> Il giorno del discorso alle Nazioni Unite si contano due tentativi distinti: il coltello da caccia di Molly Gonzales e il colpo di bazooka da tre pollici e mezzo sparato da un terreno di Long Island City. Sono fatti di cronaca e di polizia municipale, non di politica estera di vertice. Nessuna fonte del territorio li collega a livelli decisionali federali, e il corpus ha già corretto in revisione il punto di tiro.</w:t>
      </w:r>
    </w:p>
    <w:p>
      <w:pPr>
        <w:spacing w:after="120" w:line="276"/>
        <w:jc w:val="both"/>
      </w:pPr>
      <w:r>
        <w:rPr>
          <w:rFonts w:ascii="Barlow Semi Condensed" w:cs="Barlow Semi Condensed" w:eastAsia="Barlow Semi Condensed" w:hAnsi="Barlow Semi Condensed"/>
          <w:b/>
          <w:bCs/>
          <w:sz w:val="24"/>
          <w:szCs w:val="24"/>
        </w:rPr>
        <w:t xml:space="preserve">1491 · Barrientos, i ranger, la sede.</w:t>
      </w:r>
      <w:r>
        <w:rPr>
          <w:rFonts w:ascii="Barlow Semi Condensed" w:cs="Barlow Semi Condensed" w:eastAsia="Barlow Semi Condensed" w:hAnsi="Barlow Semi Condensed"/>
          <w:sz w:val="24"/>
          <w:szCs w:val="24"/>
        </w:rPr>
        <w:t xml:space="preserve"> La richiesta di assistenza del generale René Barrientos a Washington, l'arrivo dei berretti verdi, l'addestramento del Secondo Battaglione Ranger e la presenza dell'agente Félix Rodríguez sono registrati dal capitolo boliviano su documentazione declassificata. Il livello politico che autorizzò quell'assistenza va cercato nei fascicoli-paese Bolivia della Lyndon Baines Johnson Library ad Austin. È lì che si accerterebbe chi decise, e la risposta riguarda un'amministrazione precedente a entrambi gli incarichi.</w:t>
      </w:r>
    </w:p>
    <w:p>
      <w:pPr>
        <w:spacing w:after="120" w:line="276"/>
        <w:jc w:val="both"/>
      </w:pPr>
      <w:r>
        <w:rPr>
          <w:rFonts w:ascii="Barlow Semi Condensed" w:cs="Barlow Semi Condensed" w:eastAsia="Barlow Semi Condensed" w:hAnsi="Barlow Semi Condensed"/>
          <w:b/>
          <w:bCs/>
          <w:sz w:val="24"/>
          <w:szCs w:val="24"/>
        </w:rPr>
        <w:t xml:space="preserve">1492 · Il 1997 viene dopo, non prima.</w:t>
      </w:r>
      <w:r>
        <w:rPr>
          <w:rFonts w:ascii="Barlow Semi Condensed" w:cs="Barlow Semi Condensed" w:eastAsia="Barlow Semi Condensed" w:hAnsi="Barlow Semi Condensed"/>
          <w:sz w:val="24"/>
          <w:szCs w:val="24"/>
        </w:rPr>
        <w:t xml:space="preserve"> Il ritrovamento dei resti a Vallegrande e la traslazione a Santa Clara sono del 1997, e nello stesso anno furono resi disponibili i materiali statunitensi declassificati citati al nodo M-8. Sono fonti su fatti del 1967, prodotte trent'anni più tardi. La regola vale nelle due direzioni: la data di declassificazione non è la data del fatto, e un documento reso pubblico tardi non diventa per questo più probante.</w:t>
      </w:r>
    </w:p>
    <w:p>
      <w:pPr>
        <w:spacing w:after="120" w:line="276"/>
        <w:jc w:val="both"/>
      </w:pPr>
      <w:r>
        <w:rPr>
          <w:rFonts w:ascii="Barlow Semi Condensed" w:cs="Barlow Semi Condensed" w:eastAsia="Barlow Semi Condensed" w:hAnsi="Barlow Semi Condensed"/>
          <w:b/>
          <w:bCs/>
          <w:sz w:val="24"/>
          <w:szCs w:val="24"/>
        </w:rPr>
        <w:t xml:space="preserve">1493 · Due nozioni di fonte primaria.</w:t>
      </w:r>
      <w:r>
        <w:rPr>
          <w:rFonts w:ascii="Barlow Semi Condensed" w:cs="Barlow Semi Condensed" w:eastAsia="Barlow Semi Condensed" w:hAnsi="Barlow Semi Condensed"/>
          <w:sz w:val="24"/>
          <w:szCs w:val="24"/>
        </w:rPr>
        <w:t xml:space="preserve"> La bibliografia guevariana chiama primarie le parole e le registrazioni dell'attore; l'opera in mille blocchi chiama primario il verbale d'archivio, come il documento 350 del volume E-15 parte 2. Sono due nozioni diverse dello stesso termine, entrambe legittime nel proprio dominio. Confonderle produce errori di rango: un discorso pubblico prova che l'oratore disse quelle parole, un memorandum prova che quelle persone si parlarono in quella sede.</w:t>
      </w:r>
    </w:p>
    <w:p>
      <w:pPr>
        <w:spacing w:after="120" w:line="276"/>
        <w:jc w:val="both"/>
      </w:pPr>
      <w:r>
        <w:rPr>
          <w:rFonts w:ascii="Barlow Semi Condensed" w:cs="Barlow Semi Condensed" w:eastAsia="Barlow Semi Condensed" w:hAnsi="Barlow Semi Condensed"/>
          <w:b/>
          <w:bCs/>
          <w:sz w:val="24"/>
          <w:szCs w:val="24"/>
        </w:rPr>
        <w:t xml:space="preserve">1494 · Il rango non è il grado.</w:t>
      </w:r>
      <w:r>
        <w:rPr>
          <w:rFonts w:ascii="Barlow Semi Condensed" w:cs="Barlow Semi Condensed" w:eastAsia="Barlow Semi Condensed" w:hAnsi="Barlow Semi Condensed"/>
          <w:sz w:val="24"/>
          <w:szCs w:val="24"/>
        </w:rPr>
        <w:t xml:space="preserve"> L'apparato guevariano ordina le fonti per affidabilità della sede; l'apparato moroteo ordina le asserzioni per grado di accertamento. Una fonte di rango alto può sostenere un'asserzione di grado basso, e una fonte debole può riferire un fatto poi accertato altrove. Tenere insieme le due scale senza distinguerle rende incomparabili i due versanti del corpus. Chi legge M-5 deve applicarle entrambe, e separatamente, dichiarando ogni volta quale delle due sta usando.</w:t>
      </w:r>
    </w:p>
    <w:p>
      <w:pPr>
        <w:spacing w:after="120" w:line="276"/>
        <w:jc w:val="both"/>
      </w:pPr>
      <w:r>
        <w:rPr>
          <w:rFonts w:ascii="Barlow Semi Condensed" w:cs="Barlow Semi Condensed" w:eastAsia="Barlow Semi Condensed" w:hAnsi="Barlow Semi Condensed"/>
          <w:b/>
          <w:bCs/>
          <w:sz w:val="24"/>
          <w:szCs w:val="24"/>
        </w:rPr>
        <w:t xml:space="preserve">1495 · L'elenco di trasparenza esteso.</w:t>
      </w:r>
      <w:r>
        <w:rPr>
          <w:rFonts w:ascii="Barlow Semi Condensed" w:cs="Barlow Semi Condensed" w:eastAsia="Barlow Semi Condensed" w:hAnsi="Barlow Semi Condensed"/>
          <w:sz w:val="24"/>
          <w:szCs w:val="24"/>
        </w:rPr>
        <w:t xml:space="preserve"> Il modello della quinta sezione va esteso al soggetto di quest'opera: si dichiari allo stesso modo quali fonti sono state escluse e con che cosa sostituite. L'opera lo ha fatto in parte, vietando due sedi determinate e declassando a dato di circolazione la pubblicazione cospirazionista del 1982. Un elenco di trasparenza incompleto resta preferibile a una bibliografia che mostri soltanto ciò che ha deciso di tenere.</w:t>
      </w:r>
    </w:p>
    <w:p>
      <w:pPr>
        <w:spacing w:after="120" w:line="276"/>
        <w:jc w:val="both"/>
      </w:pPr>
      <w:r>
        <w:rPr>
          <w:rFonts w:ascii="Barlow Semi Condensed" w:cs="Barlow Semi Condensed" w:eastAsia="Barlow Semi Condensed" w:hAnsi="Barlow Semi Condensed"/>
          <w:b/>
          <w:bCs/>
          <w:sz w:val="24"/>
          <w:szCs w:val="24"/>
        </w:rPr>
        <w:t xml:space="preserve">1496 · La sostituzione non cambia il fatto.</w:t>
      </w:r>
      <w:r>
        <w:rPr>
          <w:rFonts w:ascii="Barlow Semi Condensed" w:cs="Barlow Semi Condensed" w:eastAsia="Barlow Semi Condensed" w:hAnsi="Barlow Semi Condensed"/>
          <w:sz w:val="24"/>
          <w:szCs w:val="24"/>
        </w:rPr>
        <w:t xml:space="preserve"> Regola tratta dalla tabella delle sostituzioni: cambiare la fonte di un'affermazione non ne muta lo statuto. L'intervista del 13 dicembre 1964 è documentata tanto prima quanto dopo la sostituzione del PDF anonimo con l'archivio della rete televisiva; ciò che cambia è la verificabilità. Applicata al presunto avvertimento del 1974, la regola dice che sostituire il sito che lo riporta non aggiunge un solo grammo di riscontro.</w:t>
      </w:r>
    </w:p>
    <w:p>
      <w:pPr>
        <w:spacing w:after="120" w:line="276"/>
        <w:jc w:val="both"/>
      </w:pPr>
      <w:r>
        <w:rPr>
          <w:rFonts w:ascii="Barlow Semi Condensed" w:cs="Barlow Semi Condensed" w:eastAsia="Barlow Semi Condensed" w:hAnsi="Barlow Semi Condensed"/>
          <w:b/>
          <w:bCs/>
          <w:sz w:val="24"/>
          <w:szCs w:val="24"/>
        </w:rPr>
        <w:t xml:space="preserve">1497 · Due varianti di titolo.</w:t>
      </w:r>
      <w:r>
        <w:rPr>
          <w:rFonts w:ascii="Barlow Semi Condensed" w:cs="Barlow Semi Condensed" w:eastAsia="Barlow Semi Condensed" w:hAnsi="Barlow Semi Condensed"/>
          <w:sz w:val="24"/>
          <w:szCs w:val="24"/>
        </w:rPr>
        <w:t xml:space="preserve"> Due varianti circolano per l'articolo allergologico del 1955, e il corpus le adoperava entrambe in punti diversi: E-5 lo segnala come segno di fonte non controllata. La stessa esigenza governa la citazione del verbale del 25 settembre 1974, che va indicato nella seconda edizione riveduta del volume. Chi cita senza dire quale edizione ha letto rende irripetibile la propria verifica, come stabilisce il blocco 676 dell'opera.</w:t>
      </w:r>
    </w:p>
    <w:p>
      <w:pPr>
        <w:spacing w:after="120" w:line="276"/>
        <w:jc w:val="both"/>
      </w:pPr>
      <w:r>
        <w:rPr>
          <w:rFonts w:ascii="Barlow Semi Condensed" w:cs="Barlow Semi Condensed" w:eastAsia="Barlow Semi Condensed" w:hAnsi="Barlow Semi Condensed"/>
          <w:b/>
          <w:bCs/>
          <w:sz w:val="24"/>
          <w:szCs w:val="24"/>
        </w:rPr>
        <w:t xml:space="preserve">1498 · Orfila, due persone distinte.</w:t>
      </w:r>
      <w:r>
        <w:rPr>
          <w:rFonts w:ascii="Barlow Semi Condensed" w:cs="Barlow Semi Condensed" w:eastAsia="Barlow Semi Condensed" w:hAnsi="Barlow Semi Condensed"/>
          <w:sz w:val="24"/>
          <w:szCs w:val="24"/>
        </w:rPr>
        <w:t xml:space="preserve"> «Alejandro Orfila» era in realtà Arnaldo Orfila Reynal, direttore del Fondo de Cultura Económica; il diplomatico argentino omonimo è altra persona, e l'affermazione è stata espunta. È il precedente onomastico che il blocco 7 dell'opera richiama per fondare la propria disciplina del nome. Un nome sbagliato non produce un dettaglio sbagliato, produce un fatto inesistente: vale per «Harry» come per «Alejandro».</w:t>
      </w:r>
    </w:p>
    <w:p>
      <w:pPr>
        <w:spacing w:after="120" w:line="276"/>
        <w:jc w:val="both"/>
      </w:pPr>
      <w:r>
        <w:rPr>
          <w:rFonts w:ascii="Barlow Semi Condensed" w:cs="Barlow Semi Condensed" w:eastAsia="Barlow Semi Condensed" w:hAnsi="Barlow Semi Condensed"/>
          <w:b/>
          <w:bCs/>
          <w:sz w:val="24"/>
          <w:szCs w:val="24"/>
        </w:rPr>
        <w:t xml:space="preserve">1499 · Le mutazioni per contaminazione.</w:t>
      </w:r>
      <w:r>
        <w:rPr>
          <w:rFonts w:ascii="Barlow Semi Condensed" w:cs="Barlow Semi Condensed" w:eastAsia="Barlow Semi Condensed" w:hAnsi="Barlow Semi Condensed"/>
          <w:sz w:val="24"/>
          <w:szCs w:val="24"/>
        </w:rPr>
        <w:t xml:space="preserve"> I nodi I-5 e I-6 registrano due errori di trascrizione puri: l'età di Fidel Castro al primo incontro del luglio 1955, ventisei invece di ventotto per contaminazione con l'età dell'interlocutore, e la presidenza del Banco Nacional attribuita al 1964 quando era cessata nel febbraio 1961. Il blocco 593 dell'opera li adopera come campionario. Sono errori e non falsi: nessuno vi aveva interesse, e la distinzione è quella che l'ottava serie difende.</w:t>
      </w:r>
    </w:p>
    <w:p>
      <w:pPr>
        <w:spacing w:after="120" w:line="276"/>
        <w:jc w:val="both"/>
      </w:pPr>
      <w:r>
        <w:rPr>
          <w:rFonts w:ascii="Barlow Semi Condensed" w:cs="Barlow Semi Condensed" w:eastAsia="Barlow Semi Condensed" w:hAnsi="Barlow Semi Condensed"/>
          <w:b/>
          <w:bCs/>
          <w:sz w:val="24"/>
          <w:szCs w:val="24"/>
        </w:rPr>
        <w:t xml:space="preserve">1500 · Lo spostamento di una circostanza.</w:t>
      </w:r>
      <w:r>
        <w:rPr>
          <w:rFonts w:ascii="Barlow Semi Condensed" w:cs="Barlow Semi Condensed" w:eastAsia="Barlow Semi Condensed" w:hAnsi="Barlow Semi Condensed"/>
          <w:sz w:val="24"/>
          <w:szCs w:val="24"/>
        </w:rPr>
        <w:t xml:space="preserve"> Non un'imbarcazione sull'East River ma un terreno abbandonato di Long Island City: così E-18 corregge il punto di tiro dell'attentato del dicembre 1964, lasciando intatti data, autori ed esito. È la mutazione più insidiosa, perché conserva il fatto e ne sposta una circostanza. Applicata al 1974, la stessa figura descrive l'oscillazione fra Studio Ovale, cena ufficiale e ambasciata italiana: cambia il dove, resta il presunto che cosa.</w:t>
      </w:r>
    </w:p>
    <w:p>
      <w:pPr>
        <w:spacing w:after="120" w:line="276"/>
        <w:jc w:val="both"/>
      </w:pPr>
      <w:r>
        <w:rPr>
          <w:rFonts w:ascii="Barlow Semi Condensed" w:cs="Barlow Semi Condensed" w:eastAsia="Barlow Semi Condensed" w:hAnsi="Barlow Semi Condensed"/>
          <w:b/>
          <w:bCs/>
          <w:sz w:val="24"/>
          <w:szCs w:val="24"/>
        </w:rPr>
        <w:t xml:space="preserve">1501 · L'incontro privato che non ci fu.</w:t>
      </w:r>
      <w:r>
        <w:rPr>
          <w:rFonts w:ascii="Barlow Semi Condensed" w:cs="Barlow Semi Condensed" w:eastAsia="Barlow Semi Condensed" w:hAnsi="Barlow Semi Condensed"/>
          <w:sz w:val="24"/>
          <w:szCs w:val="24"/>
        </w:rPr>
        <w:t xml:space="preserve"> L'incontro privato fra Guevara e Malcolm X non risulta, accerta E-21: l'invito all'Audubon Ballroom fu declinato per ragioni di sicurezza e il messaggio scritto venne letto in sala il 13 dicembre 1964. Un colloquio riservato di cui non resti traccia è precisamente ciò che la testimonianza sul 1974 postula. Il corpus ha già mostrato, su altro fronte, che tali colloqui vanno accertati e mai presunti.</w:t>
      </w:r>
    </w:p>
    <w:p>
      <w:pPr>
        <w:spacing w:after="120" w:line="276"/>
        <w:jc w:val="both"/>
      </w:pPr>
      <w:r>
        <w:rPr>
          <w:rFonts w:ascii="Barlow Semi Condensed" w:cs="Barlow Semi Condensed" w:eastAsia="Barlow Semi Condensed" w:hAnsi="Barlow Semi Condensed"/>
          <w:b/>
          <w:bCs/>
          <w:sz w:val="24"/>
          <w:szCs w:val="24"/>
        </w:rPr>
        <w:t xml:space="preserve">1502 · Due de relato, due trattamenti.</w:t>
      </w:r>
      <w:r>
        <w:rPr>
          <w:rFonts w:ascii="Barlow Semi Condensed" w:cs="Barlow Semi Condensed" w:eastAsia="Barlow Semi Condensed" w:hAnsi="Barlow Semi Condensed"/>
          <w:sz w:val="24"/>
          <w:szCs w:val="24"/>
        </w:rPr>
        <w:t xml:space="preserve"> Il territorio contiene due testimonianze de relato di struttura identica: il monito di Nasser riferito dal resoconto di Mohamed Heikal e l'avvertimento riferito da Corrado Guerzoni alla Corte d'assise di Roma nel novembre 1982. Il primo è dato per confermato dal nodo E-24, il secondo resta testimonianza contestata. La differenza non è di forma ma di contestazione: nessuno ha smentito Heikal, l'interessato ha sempre smentito l'altro episodio.</w:t>
      </w:r>
    </w:p>
    <w:p>
      <w:pPr>
        <w:spacing w:after="120" w:line="276"/>
        <w:jc w:val="both"/>
      </w:pPr>
      <w:r>
        <w:rPr>
          <w:rFonts w:ascii="Barlow Semi Condensed" w:cs="Barlow Semi Condensed" w:eastAsia="Barlow Semi Condensed" w:hAnsi="Barlow Semi Condensed"/>
          <w:b/>
          <w:bCs/>
          <w:sz w:val="24"/>
          <w:szCs w:val="24"/>
        </w:rPr>
        <w:t xml:space="preserve">1503 · Il monito che il territorio accetta.</w:t>
      </w:r>
      <w:r>
        <w:rPr>
          <w:rFonts w:ascii="Barlow Semi Condensed" w:cs="Barlow Semi Condensed" w:eastAsia="Barlow Semi Condensed" w:hAnsi="Barlow Semi Condensed"/>
          <w:sz w:val="24"/>
          <w:szCs w:val="24"/>
        </w:rPr>
        <w:t xml:space="preserve"> Il nodo E-24 colloca al secondo soggiorno cairota del marzo 1965 l'avvertimento sul progetto congolese, un altro Tarzan, un uomo bianco fra i neri, destinato a finire male. È ammonimento di capo di Stato a un ospite, riferito da terzi e accolto dalla storiografia. La somiglianza con l'episodio del 1974 è di forma narrativa e nulla più: non se ne ricava alcun argomento sull'esistenza dell'altro.</w:t>
      </w:r>
    </w:p>
    <w:p>
      <w:pPr>
        <w:spacing w:after="120" w:line="276"/>
        <w:jc w:val="both"/>
      </w:pPr>
      <w:r>
        <w:rPr>
          <w:rFonts w:ascii="Barlow Semi Condensed" w:cs="Barlow Semi Condensed" w:eastAsia="Barlow Semi Condensed" w:hAnsi="Barlow Semi Condensed"/>
          <w:b/>
          <w:bCs/>
          <w:sz w:val="24"/>
          <w:szCs w:val="24"/>
        </w:rPr>
        <w:t xml:space="preserve">1504 · Chi può smentire e chi non può.</w:t>
      </w:r>
      <w:r>
        <w:rPr>
          <w:rFonts w:ascii="Barlow Semi Condensed" w:cs="Barlow Semi Condensed" w:eastAsia="Barlow Semi Condensed" w:hAnsi="Barlow Semi Condensed"/>
          <w:sz w:val="24"/>
          <w:szCs w:val="24"/>
        </w:rPr>
        <w:t xml:space="preserve"> Asimmetria da dichiarare: Guevara morì nel 1967 e non poté mai contestare ciò che gli si attribuì; il soggetto di quest'opera visse fino al 29 novembre 2023 e smentì, in forma generica nel 1983 e in forma diretta poco prima della morte. Una testimonianza smentita e una testimonianza mai contestata non hanno lo stesso statuto, e non perché una sia più vera: perché una è stata messa alla prova.</w:t>
      </w:r>
    </w:p>
    <w:p>
      <w:pPr>
        <w:spacing w:after="120" w:line="276"/>
        <w:jc w:val="both"/>
      </w:pPr>
      <w:r>
        <w:rPr>
          <w:rFonts w:ascii="Barlow Semi Condensed" w:cs="Barlow Semi Condensed" w:eastAsia="Barlow Semi Condensed" w:hAnsi="Barlow Semi Condensed"/>
          <w:b/>
          <w:bCs/>
          <w:sz w:val="24"/>
          <w:szCs w:val="24"/>
        </w:rPr>
        <w:t xml:space="preserve">1505 · La ripetizione non è riscontro.</w:t>
      </w:r>
      <w:r>
        <w:rPr>
          <w:rFonts w:ascii="Barlow Semi Condensed" w:cs="Barlow Semi Condensed" w:eastAsia="Barlow Semi Condensed" w:hAnsi="Barlow Semi Condensed"/>
          <w:sz w:val="24"/>
          <w:szCs w:val="24"/>
        </w:rPr>
        <w:t xml:space="preserve"> Il punto settimo delle precisazioni stabilisce che la moltiplicazione delle riprese sull'episodio del 1974 risale a un unico lancio d'agenzia del 30 novembre 2023. La bibliografia guevariana applica lo stesso principio in positivo: elenca le fonti una per una col loro rango, così che nessuna possa contarsi due volte. Contare le occorrenze anziché le sedi è il modo più rapido di fabbricare un consenso che non esiste.</w:t>
      </w:r>
    </w:p>
    <w:p>
      <w:pPr>
        <w:spacing w:after="120" w:line="276"/>
        <w:jc w:val="both"/>
      </w:pPr>
      <w:r>
        <w:rPr>
          <w:rFonts w:ascii="Barlow Semi Condensed" w:cs="Barlow Semi Condensed" w:eastAsia="Barlow Semi Condensed" w:hAnsi="Barlow Semi Condensed"/>
          <w:b/>
          <w:bCs/>
          <w:sz w:val="24"/>
          <w:szCs w:val="24"/>
        </w:rPr>
        <w:t xml:space="preserve">1506 · Lo statuto di M-5 non si muove.</w:t>
      </w:r>
      <w:r>
        <w:rPr>
          <w:rFonts w:ascii="Barlow Semi Condensed" w:cs="Barlow Semi Condensed" w:eastAsia="Barlow Semi Condensed" w:hAnsi="Barlow Semi Condensed"/>
          <w:sz w:val="24"/>
          <w:szCs w:val="24"/>
        </w:rPr>
        <w:t xml:space="preserve"> Va ribadito per intero, perché nessun blocco successivo possa scostarsene: M-5 resta testimonianza contestata e non accertamento, al grado B nella sua accezione debole, secondo quanto fissano i blocchi 44 e 874 dell'opera e conferma l'esito della Nota di revisione numero due. Non si dà per accertata in alcuna resa pubblica, per nessuna comodità di racconto e per nessuna esigenza di simmetria col versante boliviano.</w:t>
      </w:r>
    </w:p>
    <w:p>
      <w:pPr>
        <w:spacing w:after="120" w:line="276"/>
        <w:jc w:val="both"/>
      </w:pPr>
      <w:r>
        <w:rPr>
          <w:rFonts w:ascii="Barlow Semi Condensed" w:cs="Barlow Semi Condensed" w:eastAsia="Barlow Semi Condensed" w:hAnsi="Barlow Semi Condensed"/>
          <w:b/>
          <w:bCs/>
          <w:sz w:val="24"/>
          <w:szCs w:val="24"/>
        </w:rPr>
        <w:t xml:space="preserve">1507 · La simmetria che è analogia.</w:t>
      </w:r>
      <w:r>
        <w:rPr>
          <w:rFonts w:ascii="Barlow Semi Condensed" w:cs="Barlow Semi Condensed" w:eastAsia="Barlow Semi Condensed" w:hAnsi="Barlow Semi Condensed"/>
          <w:sz w:val="24"/>
          <w:szCs w:val="24"/>
        </w:rPr>
        <w:t xml:space="preserve"> L'ombra statunitense su La Higuera e l'ombra statunitense su via Fani si somigliano nella funzione e non nella discendenza: è analogia e non omologia, perché nessun documento di provenienza attesta un antenato comune. Il test è uno solo e il corpus lo ripete: un atto che nomini entrambe le parti. Finché non lo si produce restano due vicende dentro una cornice condivisa, in due decenni e due continenti.</w:t>
      </w:r>
    </w:p>
    <w:p>
      <w:pPr>
        <w:spacing w:after="120" w:line="276"/>
        <w:jc w:val="both"/>
      </w:pPr>
      <w:r>
        <w:rPr>
          <w:rFonts w:ascii="Barlow Semi Condensed" w:cs="Barlow Semi Condensed" w:eastAsia="Barlow Semi Condensed" w:hAnsi="Barlow Semi Condensed"/>
          <w:b/>
          <w:bCs/>
          <w:sz w:val="24"/>
          <w:szCs w:val="24"/>
        </w:rPr>
        <w:t xml:space="preserve">1508 · Rodríguez è piano uno, altrove.</w:t>
      </w:r>
      <w:r>
        <w:rPr>
          <w:rFonts w:ascii="Barlow Semi Condensed" w:cs="Barlow Semi Condensed" w:eastAsia="Barlow Semi Condensed" w:hAnsi="Barlow Semi Condensed"/>
          <w:sz w:val="24"/>
          <w:szCs w:val="24"/>
        </w:rPr>
        <w:t xml:space="preserve"> Per il versante boliviano il piano 1 esiste ed è nominativo: Félix Rodríguez interrogò il prigioniero, ne ricevette l'ordine di esecuzione e per sua stessa testimonianza ne trattenne l'orologio. È rapporto diretto documentato fra l'apparato statunitense e la vicenda del 9 ottobre 1967. Per il versante italiano nulla di equivalente è stato prodotto. Che il piano 1 esista su un lato non lo crea sull'altro: i due lati si accertano separatamente.</w:t>
      </w:r>
    </w:p>
    <w:p>
      <w:pPr>
        <w:spacing w:after="120" w:line="276"/>
        <w:jc w:val="both"/>
      </w:pPr>
      <w:r>
        <w:rPr>
          <w:rFonts w:ascii="Barlow Semi Condensed" w:cs="Barlow Semi Condensed" w:eastAsia="Barlow Semi Condensed" w:hAnsi="Barlow Semi Condensed"/>
          <w:b/>
          <w:bCs/>
          <w:sz w:val="24"/>
          <w:szCs w:val="24"/>
        </w:rPr>
        <w:t xml:space="preserve">1509 · Pieczenik, una sola occorrenza.</w:t>
      </w:r>
      <w:r>
        <w:rPr>
          <w:rFonts w:ascii="Barlow Semi Condensed" w:cs="Barlow Semi Condensed" w:eastAsia="Barlow Semi Condensed" w:hAnsi="Barlow Semi Condensed"/>
          <w:sz w:val="24"/>
          <w:szCs w:val="24"/>
        </w:rPr>
        <w:t xml:space="preserve"> Il nome del consulente inviato ad assistere il comitato di crisi compare una sola volta nel territorio, dentro M-5, e in forma di dichiarazione successiva dell'interessato. La presenza è documentata; la dichiarazione resta dichiarazione. Bersaglio: reperire l'atto che ne formalizzò l'incarico e la sua collocazione negli atti della Commissione d'inchiesta. Senza quell'atto la presenza è accertata e il ruolo resta descritto da chi lo ricoprì.</w:t>
      </w:r>
    </w:p>
    <w:p>
      <w:pPr>
        <w:spacing w:after="120" w:line="276"/>
        <w:jc w:val="both"/>
      </w:pPr>
      <w:r>
        <w:rPr>
          <w:rFonts w:ascii="Barlow Semi Condensed" w:cs="Barlow Semi Condensed" w:eastAsia="Barlow Semi Condensed" w:hAnsi="Barlow Semi Condensed"/>
          <w:b/>
          <w:bCs/>
          <w:sz w:val="24"/>
          <w:szCs w:val="24"/>
        </w:rPr>
        <w:t xml:space="preserve">1510 · Il nome ottenuto in aula.</w:t>
      </w:r>
      <w:r>
        <w:rPr>
          <w:rFonts w:ascii="Barlow Semi Condensed" w:cs="Barlow Semi Condensed" w:eastAsia="Barlow Semi Condensed" w:hAnsi="Barlow Semi Condensed"/>
          <w:sz w:val="24"/>
          <w:szCs w:val="24"/>
        </w:rPr>
        <w:t xml:space="preserve"> La vedova parlò in aula di «un'alta personalità» senza nominarla, e fu il presidente della corte, richiamando il portavoce, a ottenere l'indicazione. L'attribuzione del nome è dunque essa stessa indiretta: non offerta dalla teste, ma ricavata da un confronto processuale. Nel territorio guevariano non esiste episodio di struttura comparabile, e per questo il punto va spiegato ogni volta che si cita M-5, e non dato per noto.</w:t>
      </w:r>
    </w:p>
    <w:p>
      <w:pPr>
        <w:spacing w:after="120" w:line="276"/>
        <w:jc w:val="both"/>
      </w:pPr>
      <w:r>
        <w:rPr>
          <w:rFonts w:ascii="Barlow Semi Condensed" w:cs="Barlow Semi Condensed" w:eastAsia="Barlow Semi Condensed" w:hAnsi="Barlow Semi Condensed"/>
          <w:b/>
          <w:bCs/>
          <w:sz w:val="24"/>
          <w:szCs w:val="24"/>
        </w:rPr>
        <w:t xml:space="preserve">1511 · Le date che oscillano.</w:t>
      </w:r>
      <w:r>
        <w:rPr>
          <w:rFonts w:ascii="Barlow Semi Condensed" w:cs="Barlow Semi Condensed" w:eastAsia="Barlow Semi Condensed" w:hAnsi="Barlow Semi Condensed"/>
          <w:sz w:val="24"/>
          <w:szCs w:val="24"/>
        </w:rPr>
        <w:t xml:space="preserve"> M-5 colloca l'episodio nel settembre 1974. Una fonte d'agenzia statunitense dell'aprile 1983 lo pone invece in un alterco all'ambasciata d'Italia a Washington nel 1977; altre sintesi indicano il 1976. Nel 1977 il soggetto non era più Segretario di Stato, essendo cessato il 20 gennaio. La divergenza è dirimente per chi voglia legare l'episodio a una carica, e si riporta senza scioglierla: scioglierla d'ufficio sarebbe scegliere in silenzio.</w:t>
      </w:r>
    </w:p>
    <w:p>
      <w:pPr>
        <w:spacing w:after="120" w:line="276"/>
        <w:jc w:val="both"/>
      </w:pPr>
      <w:r>
        <w:rPr>
          <w:rFonts w:ascii="Barlow Semi Condensed" w:cs="Barlow Semi Condensed" w:eastAsia="Barlow Semi Condensed" w:hAnsi="Barlow Semi Condensed"/>
          <w:b/>
          <w:bCs/>
          <w:sz w:val="24"/>
          <w:szCs w:val="24"/>
        </w:rPr>
        <w:t xml:space="preserve">1512 · Sede parlamentare e contenuto.</w:t>
      </w:r>
      <w:r>
        <w:rPr>
          <w:rFonts w:ascii="Barlow Semi Condensed" w:cs="Barlow Semi Condensed" w:eastAsia="Barlow Semi Condensed" w:hAnsi="Barlow Semi Condensed"/>
          <w:sz w:val="24"/>
          <w:szCs w:val="24"/>
        </w:rPr>
        <w:t xml:space="preserve"> L'audizione della vedova davanti alla Commissione d'inchiesta è del 1° agosto 1980, e la sede è confermata; il contenuto verbatim attribuito a quella sede non lo è, perché le sintesi riferiscono la frase alla deposizione giudiziaria del novembre 1982 e all'audizione del 1980 il richiamo a minacce risalenti al 1975. Sede e contenuto vanno tenuti distinti. La chiusura sta nei resoconti stenografici della Commissione, ottava legislatura.</w:t>
      </w:r>
    </w:p>
    <w:p>
      <w:pPr>
        <w:spacing w:after="120" w:line="276"/>
        <w:jc w:val="both"/>
      </w:pPr>
      <w:r>
        <w:rPr>
          <w:rFonts w:ascii="Barlow Semi Condensed" w:cs="Barlow Semi Condensed" w:eastAsia="Barlow Semi Condensed" w:hAnsi="Barlow Semi Condensed"/>
          <w:b/>
          <w:bCs/>
          <w:sz w:val="24"/>
          <w:szCs w:val="24"/>
        </w:rPr>
        <w:t xml:space="preserve">1513 · Il verbale non contiene l'ultimatum.</w:t>
      </w:r>
      <w:r>
        <w:rPr>
          <w:rFonts w:ascii="Barlow Semi Condensed" w:cs="Barlow Semi Condensed" w:eastAsia="Barlow Semi Condensed" w:hAnsi="Barlow Semi Condensed"/>
          <w:sz w:val="24"/>
          <w:szCs w:val="24"/>
        </w:rPr>
        <w:t xml:space="preserve"> Accertamento già fissato, da richiamare ogni volta che M-5 viene letto: il memorandum dello Studio Ovale del 25 settembre 1974 — Leone, Moro, Ford, Kissinger, Scowcroft, documento 350 del volume E-15 parte 2 nella seconda edizione riveduta, file 1552802 della Ford Library — non contiene alcun ultimatum personale. Attesta la posizione sul non poter scambiare informazioni militari con un governo che includesse i comunisti. È altro, e dice altro.</w:t>
      </w:r>
    </w:p>
    <w:p>
      <w:pPr>
        <w:spacing w:after="120" w:line="276"/>
        <w:jc w:val="both"/>
      </w:pPr>
      <w:r>
        <w:rPr>
          <w:rFonts w:ascii="Barlow Semi Condensed" w:cs="Barlow Semi Condensed" w:eastAsia="Barlow Semi Condensed" w:hAnsi="Barlow Semi Condensed"/>
          <w:b/>
          <w:bCs/>
          <w:sz w:val="24"/>
          <w:szCs w:val="24"/>
        </w:rPr>
        <w:t xml:space="preserve">1514 · Il vincolo del giudicato.</w:t>
      </w:r>
      <w:r>
        <w:rPr>
          <w:rFonts w:ascii="Barlow Semi Condensed" w:cs="Barlow Semi Condensed" w:eastAsia="Barlow Semi Condensed" w:hAnsi="Barlow Semi Condensed"/>
          <w:sz w:val="24"/>
          <w:szCs w:val="24"/>
        </w:rPr>
        <w:t xml:space="preserve"> Nessuna sentenza definitiva ha attribuito ad alcuna autorità statunitense responsabilità penali nel sequestro e nell'omicidio di Aldo Moro; le condanne definitive riguardano esponenti delle Brigate Rosse, e l'episodio non ha mai formato oggetto d'imputazione. Il soggetto di quest'opera non fu condannato, imputato né processato in alcun Paese. Il territorio guevariano non muta questo vincolo di una virgola, e nessun blocco della serie lo tratta come mutabile.</w:t>
      </w:r>
    </w:p>
    <w:p>
      <w:pPr>
        <w:spacing w:after="120" w:line="276"/>
        <w:jc w:val="both"/>
      </w:pPr>
      <w:r>
        <w:rPr>
          <w:rFonts w:ascii="Barlow Semi Condensed" w:cs="Barlow Semi Condensed" w:eastAsia="Barlow Semi Condensed" w:hAnsi="Barlow Semi Condensed"/>
          <w:b/>
          <w:bCs/>
          <w:sz w:val="24"/>
          <w:szCs w:val="24"/>
        </w:rPr>
        <w:t xml:space="preserve">1515 · Le smentite italiane e la loro divergenza (serie XX).</w:t>
      </w:r>
      <w:r>
        <w:rPr>
          <w:rFonts w:ascii="Barlow Semi Condensed" w:cs="Barlow Semi Condensed" w:eastAsia="Barlow Semi Condensed" w:hAnsi="Barlow Semi Condensed"/>
          <w:sz w:val="24"/>
          <w:szCs w:val="24"/>
        </w:rPr>
        <w:t xml:space="preserve"> Due testimoni italiani qualificati hanno negato la minaccia: uno la definì leggenda senza fondamento, dicendo di averlo verificato allora con l'interprete perché Moro non parlava inglese, salvo descrivere altrove un colloquio politicamente durissimo; l'altro parlò di solo un problema di linguaggio. Nessuno dei due era presente al colloquio riservato. La divergenza interna alla prima smentita si riporta com'è: distingue il rimprovero aspro dalla minaccia, e non le confonde.</w:t>
      </w:r>
    </w:p>
    <w:p>
      <w:pPr>
        <w:spacing w:after="120" w:line="276"/>
        <w:jc w:val="both"/>
      </w:pPr>
      <w:r>
        <w:rPr>
          <w:rFonts w:ascii="Barlow Semi Condensed" w:cs="Barlow Semi Condensed" w:eastAsia="Barlow Semi Condensed" w:hAnsi="Barlow Semi Condensed"/>
          <w:b/>
          <w:bCs/>
          <w:sz w:val="24"/>
          <w:szCs w:val="24"/>
        </w:rPr>
        <w:t xml:space="preserve">1516 · Un giorno di distanza.</w:t>
      </w:r>
      <w:r>
        <w:rPr>
          <w:rFonts w:ascii="Barlow Semi Condensed" w:cs="Barlow Semi Condensed" w:eastAsia="Barlow Semi Condensed" w:hAnsi="Barlow Semi Condensed"/>
          <w:sz w:val="24"/>
          <w:szCs w:val="24"/>
        </w:rPr>
        <w:t xml:space="preserve"> La data della morte, 29 novembre 2023, e la data del lancio d'agenzia che rimise in circolo l'episodio, 30 novembre 2023, distano ventiquattr'ore. È coincidenza editoriale di cui prendere atto senza ricavarne nulla: le necrologie riattivano gli archivi. Ma spiega la simultaneità delle decine di riprese identiche e le toglie ogni valore di convergenza. Fonti che appaiono insieme perché nascono dallo stesso lancio non sono fonti indipendenti.</w:t>
      </w:r>
    </w:p>
    <w:p>
      <w:pPr>
        <w:spacing w:after="120" w:line="276"/>
        <w:jc w:val="both"/>
      </w:pPr>
      <w:r>
        <w:rPr>
          <w:rFonts w:ascii="Barlow Semi Condensed" w:cs="Barlow Semi Condensed" w:eastAsia="Barlow Semi Condensed" w:hAnsi="Barlow Semi Condensed"/>
          <w:b/>
          <w:bCs/>
          <w:sz w:val="24"/>
          <w:szCs w:val="24"/>
        </w:rPr>
        <w:t xml:space="preserve">1517 · Un atto coevo chiuderebbe il nodo.</w:t>
      </w:r>
      <w:r>
        <w:rPr>
          <w:rFonts w:ascii="Barlow Semi Condensed" w:cs="Barlow Semi Condensed" w:eastAsia="Barlow Semi Condensed" w:hAnsi="Barlow Semi Condensed"/>
          <w:sz w:val="24"/>
          <w:szCs w:val="24"/>
        </w:rPr>
        <w:t xml:space="preserve"> Chiuderebbe M-5, in un senso o nell'altro, soltanto un atto coevo: un appunto della delegazione italiana, un telespresso di ritorno dalla missione, una nota manoscritta fra le carte del ministro. Le sedi sono già censite dai cantieri del corpus: il fondo personale all'Archivio centrale dello Stato, il fondo familiare presso l'istituto privato che lo conserva, il deposito del Senato con segnatura propria. È bersaglio archivistico, non materia di dibattito.</w:t>
      </w:r>
    </w:p>
    <w:p>
      <w:pPr>
        <w:spacing w:after="120" w:line="276"/>
        <w:jc w:val="both"/>
      </w:pPr>
      <w:r>
        <w:rPr>
          <w:rFonts w:ascii="Barlow Semi Condensed" w:cs="Barlow Semi Condensed" w:eastAsia="Barlow Semi Condensed" w:hAnsi="Barlow Semi Condensed"/>
          <w:b/>
          <w:bCs/>
          <w:sz w:val="24"/>
          <w:szCs w:val="24"/>
        </w:rPr>
        <w:t xml:space="preserve">1518 · Sincronia non è nesso.</w:t>
      </w:r>
      <w:r>
        <w:rPr>
          <w:rFonts w:ascii="Barlow Semi Condensed" w:cs="Barlow Semi Condensed" w:eastAsia="Barlow Semi Condensed" w:hAnsi="Barlow Semi Condensed"/>
          <w:sz w:val="24"/>
          <w:szCs w:val="24"/>
        </w:rPr>
        <w:t xml:space="preserve"> Alla cattura di Guevara il presidente del Consiglio italiano era Aldo Moro, e sotto i suoi governi maturarono le manifestazioni e l'onda del Sessantotto: così registra M-1. È cronologia esatta e non produce nulla. La stessa regola vale per il soggetto di quest'opera rispetto a ogni evento del territorio: la contemporaneità non è prova di nesso, e la coincidenza di calendario è la più povera delle convergenze.</w:t>
      </w:r>
    </w:p>
    <w:p>
      <w:pPr>
        <w:spacing w:after="120" w:line="276"/>
        <w:jc w:val="both"/>
      </w:pPr>
      <w:r>
        <w:rPr>
          <w:rFonts w:ascii="Barlow Semi Condensed" w:cs="Barlow Semi Condensed" w:eastAsia="Barlow Semi Condensed" w:hAnsi="Barlow Semi Condensed"/>
          <w:b/>
          <w:bCs/>
          <w:sz w:val="24"/>
          <w:szCs w:val="24"/>
        </w:rPr>
        <w:t xml:space="preserve">1519 · Il vettore e le carte americane (serie XX).</w:t>
      </w:r>
      <w:r>
        <w:rPr>
          <w:rFonts w:ascii="Barlow Semi Condensed" w:cs="Barlow Semi Condensed" w:eastAsia="Barlow Semi Condensed" w:hAnsi="Barlow Semi Condensed"/>
          <w:sz w:val="24"/>
          <w:szCs w:val="24"/>
        </w:rPr>
        <w:t xml:space="preserve"> Il nodo M-2 documenta l'operazione editoriale: diritti del diario boliviano e fotografia di Korda acquisiti nell'estate 1967, edizione del 1968 con prefazione di Castro, centinaia di manifesti. Quesito già formulato al blocco 709 dell'opera e qui riaffermato: se nei fondi statunitensi consultabili esistano valutazioni coeve sull'editore, e in quali serie. Se esistono entrano col grado della loro natura; se non esistono si verbalizza il vuoto con le serie interrogate.</w:t>
      </w:r>
    </w:p>
    <w:p>
      <w:pPr>
        <w:spacing w:after="120" w:line="276"/>
        <w:jc w:val="both"/>
      </w:pPr>
      <w:r>
        <w:rPr>
          <w:rFonts w:ascii="Barlow Semi Condensed" w:cs="Barlow Semi Condensed" w:eastAsia="Barlow Semi Condensed" w:hAnsi="Barlow Semi Condensed"/>
          <w:b/>
          <w:bCs/>
          <w:sz w:val="24"/>
          <w:szCs w:val="24"/>
        </w:rPr>
        <w:t xml:space="preserve">1520 · La filiazione dichiarata e il suo limite.</w:t>
      </w:r>
      <w:r>
        <w:rPr>
          <w:rFonts w:ascii="Barlow Semi Condensed" w:cs="Barlow Semi Condensed" w:eastAsia="Barlow Semi Condensed" w:hAnsi="Barlow Semi Condensed"/>
          <w:sz w:val="24"/>
          <w:szCs w:val="24"/>
        </w:rPr>
        <w:t xml:space="preserve"> Le Brigate Rosse, fondate a Pecorile nell'agosto 1970, assunsero Guevara a modello individuale e i Tupamaros come fonte del simbolo: è omologia, perché la discendenza viene affermata dai discendenti stessi. Da essa non discende nulla in punto di responsabilità, poiché Guevara era morto undici anni prima di via Fani. La regola che assolve lui vale identica per chiunque altro sia stato invocato da terzi, e va applicata con la stessa mano.</w:t>
      </w:r>
    </w:p>
    <w:p>
      <w:pPr>
        <w:spacing w:after="120" w:line="276"/>
        <w:jc w:val="both"/>
      </w:pPr>
      <w:r>
        <w:rPr>
          <w:rFonts w:ascii="Barlow Semi Condensed" w:cs="Barlow Semi Condensed" w:eastAsia="Barlow Semi Condensed" w:hAnsi="Barlow Semi Condensed"/>
          <w:b/>
          <w:bCs/>
          <w:sz w:val="24"/>
          <w:szCs w:val="24"/>
        </w:rPr>
        <w:t xml:space="preserve">1521 · Il Cile nominato senza il nome.</w:t>
      </w:r>
      <w:r>
        <w:rPr>
          <w:rFonts w:ascii="Barlow Semi Condensed" w:cs="Barlow Semi Condensed" w:eastAsia="Barlow Semi Condensed" w:hAnsi="Barlow Semi Condensed"/>
          <w:sz w:val="24"/>
          <w:szCs w:val="24"/>
        </w:rPr>
        <w:t xml:space="preserve"> Verifica puntuale ed esito da registrare: il nodo M-4 fa del caso cileno lo snodo che convalidò due letture opposte, guevarista e berlingueriana, ma non nomina il soggetto di quest'opera. Il nome compare per quella vicenda in altro documento del corpus, non in questo territorio. La distinzione va conservata: ciò che il territorio assegnato contiene è una cosa, ciò che il corpus contiene altrove è un'altra, e mescolarle falsa la misura.</w:t>
      </w:r>
    </w:p>
    <w:p>
      <w:pPr>
        <w:spacing w:after="120" w:line="276"/>
        <w:jc w:val="both"/>
      </w:pPr>
      <w:r>
        <w:rPr>
          <w:rFonts w:ascii="Barlow Semi Condensed" w:cs="Barlow Semi Condensed" w:eastAsia="Barlow Semi Condensed" w:hAnsi="Barlow Semi Condensed"/>
          <w:b/>
          <w:bCs/>
          <w:sz w:val="24"/>
          <w:szCs w:val="24"/>
        </w:rPr>
        <w:t xml:space="preserve">1522 · Gli epistolari e la loro gestione.</w:t>
      </w:r>
      <w:r>
        <w:rPr>
          <w:rFonts w:ascii="Barlow Semi Condensed" w:cs="Barlow Semi Condensed" w:eastAsia="Barlow Semi Condensed" w:hAnsi="Barlow Semi Condensed"/>
          <w:sz w:val="24"/>
          <w:szCs w:val="24"/>
        </w:rPr>
        <w:t xml:space="preserve"> Lettera d'addio letta pubblicamente il 3 ottobre 1965 e circa novanta lettere dalla prigionia del 1978: M-6 le accosta perché in entrambi i casi il testo del prigioniero o del partente fu gestito politicamente da chi lo riceveva. Il nome qui studiato non compare in nessuno dei due epistolari, né come destinatario né come oggetto. Stato Zero, con la sede che lo chiuderebbe: il corpus delle lettere in edizione critica.</w:t>
      </w:r>
    </w:p>
    <w:p>
      <w:pPr>
        <w:spacing w:after="120" w:line="276"/>
        <w:jc w:val="both"/>
      </w:pPr>
      <w:r>
        <w:rPr>
          <w:rFonts w:ascii="Barlow Semi Condensed" w:cs="Barlow Semi Condensed" w:eastAsia="Barlow Semi Condensed" w:hAnsi="Barlow Semi Condensed"/>
          <w:b/>
          <w:bCs/>
          <w:sz w:val="24"/>
          <w:szCs w:val="24"/>
        </w:rPr>
        <w:t xml:space="preserve">1523 · Le due fotografie.</w:t>
      </w:r>
      <w:r>
        <w:rPr>
          <w:rFonts w:ascii="Barlow Semi Condensed" w:cs="Barlow Semi Condensed" w:eastAsia="Barlow Semi Condensed" w:hAnsi="Barlow Semi Condensed"/>
          <w:sz w:val="24"/>
          <w:szCs w:val="24"/>
        </w:rPr>
        <w:t xml:space="preserve"> Il corpo esposto nella lavanderia di Vallegrande il 10 ottobre 1967 e il bagagliaio di via Caetani del 9 maggio 1978 sono, secondo M-7, i due assi della memoria visiva dei rispettivi casi. Nessuna delle due immagini ha rapporto documentale con il soggetto di quest'opera, e la loro opposizione compositiva appartiene alla storia dell'iconografia. Una somiglianza di inquadratura non è mai un indizio di rapporto fra persone.</w:t>
      </w:r>
    </w:p>
    <w:p>
      <w:pPr>
        <w:spacing w:after="120" w:line="276"/>
        <w:jc w:val="both"/>
      </w:pPr>
      <w:r>
        <w:rPr>
          <w:rFonts w:ascii="Barlow Semi Condensed" w:cs="Barlow Semi Condensed" w:eastAsia="Barlow Semi Condensed" w:hAnsi="Barlow Semi Condensed"/>
          <w:b/>
          <w:bCs/>
          <w:sz w:val="24"/>
          <w:szCs w:val="24"/>
        </w:rPr>
        <w:t xml:space="preserve">1524 · Reperti contesi e riaperture.</w:t>
      </w:r>
      <w:r>
        <w:rPr>
          <w:rFonts w:ascii="Barlow Semi Condensed" w:cs="Barlow Semi Condensed" w:eastAsia="Barlow Semi Condensed" w:hAnsi="Barlow Semi Condensed"/>
          <w:sz w:val="24"/>
          <w:szCs w:val="24"/>
        </w:rPr>
        <w:t xml:space="preserve"> Un medesimo andamento attraversa i due casi secondo M-8: reperto documentale conteso, verità giudiziaria incompleta, riaperture a decenni di distanza. Diario sequestrato e pubblicato nel 1968, resti ritrovati nel 1997; memoriale di via Monte Nevoso emerso in due tempi, cinque processi, due Commissioni. È regolarità di comportamento delle fonti, non di persone. Come tale non sostiene alcuna inferenza sul nome, e va tenuta al piano che le compete.</w:t>
      </w:r>
    </w:p>
    <w:p>
      <w:pPr>
        <w:spacing w:after="120" w:line="276"/>
        <w:jc w:val="both"/>
      </w:pPr>
      <w:r>
        <w:rPr>
          <w:rFonts w:ascii="Barlow Semi Condensed" w:cs="Barlow Semi Condensed" w:eastAsia="Barlow Semi Condensed" w:hAnsi="Barlow Semi Condensed"/>
          <w:b/>
          <w:bCs/>
          <w:sz w:val="24"/>
          <w:szCs w:val="24"/>
        </w:rPr>
        <w:t xml:space="preserve">1525 · Il decennale del 1977.</w:t>
      </w:r>
      <w:r>
        <w:rPr>
          <w:rFonts w:ascii="Barlow Semi Condensed" w:cs="Barlow Semi Condensed" w:eastAsia="Barlow Semi Condensed" w:hAnsi="Barlow Semi Condensed"/>
          <w:sz w:val="24"/>
          <w:szCs w:val="24"/>
        </w:rPr>
        <w:t xml:space="preserve"> Il decennale della morte del Che cadde nell'ottobre 1977, dentro il movimento di quell'anno e pochi mesi prima di via Fani: M-9 lo registra come contesto simbolico e lo dichiara tale. Nel medesimo intervallo il soggetto di quest'opera aveva già lasciato entrambi gli incarichi, il secondo il 20 gennaio 1977. La coincidenza di calendario, anche quando è esatta, non fonda nulla, e va scritta proprio per non essere riusata.</w:t>
      </w:r>
    </w:p>
    <w:p>
      <w:pPr>
        <w:spacing w:after="120" w:line="276"/>
        <w:jc w:val="both"/>
      </w:pPr>
      <w:r>
        <w:rPr>
          <w:rFonts w:ascii="Barlow Semi Condensed" w:cs="Barlow Semi Condensed" w:eastAsia="Barlow Semi Condensed" w:hAnsi="Barlow Semi Condensed"/>
          <w:b/>
          <w:bCs/>
          <w:sz w:val="24"/>
          <w:szCs w:val="24"/>
        </w:rPr>
        <w:t xml:space="preserve">1526 · I sei paralleli sono dichiarati.</w:t>
      </w:r>
      <w:r>
        <w:rPr>
          <w:rFonts w:ascii="Barlow Semi Condensed" w:cs="Barlow Semi Condensed" w:eastAsia="Barlow Semi Condensed" w:hAnsi="Barlow Semi Condensed"/>
          <w:sz w:val="24"/>
          <w:szCs w:val="24"/>
        </w:rPr>
        <w:t xml:space="preserve"> I paralleli da P-1 a P-6 — esecuzione deliberata, decisione presa da chi temeva il prigioniero vivo, testo autografo conteso, trasfigurazione postuma, anniversari contesi, vulgate del tradimento — sono presentati dal documento stesso come analogie non causali, e la qualificazione sta nel titolo del paragrafo. Chi li citi senza quella qualificazione compie l'operazione che il documento vieta. Il nome studiato non compare in nessuno dei sei.</w:t>
      </w:r>
    </w:p>
    <w:p>
      <w:pPr>
        <w:spacing w:after="120" w:line="276"/>
        <w:jc w:val="both"/>
      </w:pPr>
      <w:r>
        <w:rPr>
          <w:rFonts w:ascii="Barlow Semi Condensed" w:cs="Barlow Semi Condensed" w:eastAsia="Barlow Semi Condensed" w:hAnsi="Barlow Semi Condensed"/>
          <w:b/>
          <w:bCs/>
          <w:sz w:val="24"/>
          <w:szCs w:val="24"/>
        </w:rPr>
        <w:t xml:space="preserve">1527 · La divergenza che protegge.</w:t>
      </w:r>
      <w:r>
        <w:rPr>
          <w:rFonts w:ascii="Barlow Semi Condensed" w:cs="Barlow Semi Condensed" w:eastAsia="Barlow Semi Condensed" w:hAnsi="Barlow Semi Condensed"/>
          <w:sz w:val="24"/>
          <w:szCs w:val="24"/>
        </w:rPr>
        <w:t xml:space="preserve"> La divergenza D-3 è la più utile a questa serie: l'ostilità di Washington ai due uomini ha radici opposte, perché Guevara ne fu il bersaglio come nemico dichiarato dell'alleanza, mentre il progetto di Moro era osteggiato pur non essendo filosovietico, con un Partito comunista in rotta da Mosca. Radici opposte impediscono di trattare le due ostilità come un'unica politica, ed è precisamente ciò che la combinatoria vorrebbe fare.</w:t>
      </w:r>
    </w:p>
    <w:p>
      <w:pPr>
        <w:spacing w:after="120" w:line="276"/>
        <w:jc w:val="both"/>
      </w:pPr>
      <w:r>
        <w:rPr>
          <w:rFonts w:ascii="Barlow Semi Condensed" w:cs="Barlow Semi Condensed" w:eastAsia="Barlow Semi Condensed" w:hAnsi="Barlow Semi Condensed"/>
          <w:b/>
          <w:bCs/>
          <w:sz w:val="24"/>
          <w:szCs w:val="24"/>
        </w:rPr>
        <w:t xml:space="preserve">1528 · Le due storiografie e i loro vizi.</w:t>
      </w:r>
      <w:r>
        <w:rPr>
          <w:rFonts w:ascii="Barlow Semi Condensed" w:cs="Barlow Semi Condensed" w:eastAsia="Barlow Semi Condensed" w:hAnsi="Barlow Semi Condensed"/>
          <w:sz w:val="24"/>
          <w:szCs w:val="24"/>
        </w:rPr>
        <w:t xml:space="preserve"> Sul Che pesa l'agiografia di Stato cubana, su Moro la dietrologia italiana, e i correttivi critici richiesti sono di segno diverso: così avverte D-4. Ne discende una cautela per chi legge M-5, perché la fonte italiana che vi compare appartiene al dominio in cui il vizio è la dietrologia. Questo non la squalifica: la colloca. E collocare una fonte nel suo dominio è metà del lavoro di valutazione.</w:t>
      </w:r>
    </w:p>
    <w:p>
      <w:pPr>
        <w:spacing w:after="120" w:line="276"/>
        <w:jc w:val="both"/>
      </w:pPr>
      <w:r>
        <w:rPr>
          <w:rFonts w:ascii="Barlow Semi Condensed" w:cs="Barlow Semi Condensed" w:eastAsia="Barlow Semi Condensed" w:hAnsi="Barlow Semi Condensed"/>
          <w:b/>
          <w:bCs/>
          <w:sz w:val="24"/>
          <w:szCs w:val="24"/>
        </w:rPr>
        <w:t xml:space="preserve">1529 · Il perimetro dichiarato come modello.</w:t>
      </w:r>
      <w:r>
        <w:rPr>
          <w:rFonts w:ascii="Barlow Semi Condensed" w:cs="Barlow Semi Condensed" w:eastAsia="Barlow Semi Condensed" w:hAnsi="Barlow Semi Condensed"/>
          <w:sz w:val="24"/>
          <w:szCs w:val="24"/>
        </w:rPr>
        <w:t xml:space="preserve"> Il paragrafo introduttivo del secondo documento dichiara che duemila triangolazioni non esistono materialmente, e che eseguirle significherebbe duplicare verifiche o inventare nodi. È la frase più onesta del territorio e vale come regola per questa serie: dove il materiale finisce, si dice che finisce. Un blocco che dichiara bene un'assenza vale più di un blocco che suggerisce una presenza, e il territorio lo aveva già capito.</w:t>
      </w:r>
    </w:p>
    <w:p>
      <w:pPr>
        <w:spacing w:after="120" w:line="276"/>
        <w:jc w:val="both"/>
      </w:pPr>
      <w:r>
        <w:rPr>
          <w:rFonts w:ascii="Barlow Semi Condensed" w:cs="Barlow Semi Condensed" w:eastAsia="Barlow Semi Condensed" w:hAnsi="Barlow Semi Condensed"/>
          <w:b/>
          <w:bCs/>
          <w:sz w:val="24"/>
          <w:szCs w:val="24"/>
        </w:rPr>
        <w:t xml:space="preserve">1530 · Ann Arbor, i fascicoli latinoamericani.</w:t>
      </w:r>
      <w:r>
        <w:rPr>
          <w:rFonts w:ascii="Barlow Semi Condensed" w:cs="Barlow Semi Condensed" w:eastAsia="Barlow Semi Condensed" w:hAnsi="Barlow Semi Condensed"/>
          <w:sz w:val="24"/>
          <w:szCs w:val="24"/>
        </w:rPr>
        <w:t xml:space="preserve"> Bersaglio con sede: alla Gerald R. Ford Presidential Library, che conserva come file 1552802 il verbale del 25 settembre 1974, verificare esistenza e consistenza di fascicoli del Consiglio di sicurezza nazionale relativi all'America latina e alla Bolivia per gli anni 1974-1977. Prima l'inventario, poi il documento. Esito atteso: irrilevante per Guevara, morto nel 1967, e semmai rilevante per la memoria istituzionale di quella campagna.</w:t>
      </w:r>
    </w:p>
    <w:p>
      <w:pPr>
        <w:spacing w:after="120" w:line="276"/>
        <w:jc w:val="both"/>
      </w:pPr>
      <w:r>
        <w:rPr>
          <w:rFonts w:ascii="Barlow Semi Condensed" w:cs="Barlow Semi Condensed" w:eastAsia="Barlow Semi Condensed" w:hAnsi="Barlow Semi Condensed"/>
          <w:b/>
          <w:bCs/>
          <w:sz w:val="24"/>
          <w:szCs w:val="24"/>
        </w:rPr>
        <w:t xml:space="preserve">1531 · College Park, i fascicoli per paese.</w:t>
      </w:r>
      <w:r>
        <w:rPr>
          <w:rFonts w:ascii="Barlow Semi Condensed" w:cs="Barlow Semi Condensed" w:eastAsia="Barlow Semi Condensed" w:hAnsi="Barlow Semi Condensed"/>
          <w:sz w:val="24"/>
          <w:szCs w:val="24"/>
        </w:rPr>
        <w:t xml:space="preserve"> Ai National Archives di College Park i fondi del Dipartimento di Stato e i materiali presidenziali Nixon conservano i fascicoli per paese del Consiglio di sicurezza nazionale, già indicati come bersaglio ai blocchi 284 e 305 dell'opera per il versante italiano. Il quesito derivato per questa serie è simmetrico e va verbalizzato: se esista un fascicolo Bolivia, e se contenga materiale posteriore al gennaio 1969 sulla campagna del 1967.</w:t>
      </w:r>
    </w:p>
    <w:p>
      <w:pPr>
        <w:spacing w:after="120" w:line="276"/>
        <w:jc w:val="both"/>
      </w:pPr>
      <w:r>
        <w:rPr>
          <w:rFonts w:ascii="Barlow Semi Condensed" w:cs="Barlow Semi Condensed" w:eastAsia="Barlow Semi Condensed" w:hAnsi="Barlow Semi Condensed"/>
          <w:b/>
          <w:bCs/>
          <w:sz w:val="24"/>
          <w:szCs w:val="24"/>
        </w:rPr>
        <w:t xml:space="preserve">1532 · Austin, il fascicolo Bolivia 1967.</w:t>
      </w:r>
      <w:r>
        <w:rPr>
          <w:rFonts w:ascii="Barlow Semi Condensed" w:cs="Barlow Semi Condensed" w:eastAsia="Barlow Semi Condensed" w:hAnsi="Barlow Semi Condensed"/>
          <w:sz w:val="24"/>
          <w:szCs w:val="24"/>
        </w:rPr>
        <w:t xml:space="preserve"> La sede propria per la decisione politica che accompagnò l'assistenza militare a La Paz è la Lyndon Baines Johnson Library di Austin, con i fascicoli-paese Bolivia e i memorandum del Consiglio di sicurezza nazionale del 1966-1968. È l'amministrazione in carica al momento dei fatti. Formulare il quesito lì, e non altrove, è la sola forma di rispetto per la cronologia che questa serie possa offrire al territorio guevariano.</w:t>
      </w:r>
    </w:p>
    <w:p>
      <w:pPr>
        <w:spacing w:after="120" w:line="276"/>
        <w:jc w:val="both"/>
      </w:pPr>
      <w:r>
        <w:rPr>
          <w:rFonts w:ascii="Barlow Semi Condensed" w:cs="Barlow Semi Condensed" w:eastAsia="Barlow Semi Condensed" w:hAnsi="Barlow Semi Condensed"/>
          <w:b/>
          <w:bCs/>
          <w:sz w:val="24"/>
          <w:szCs w:val="24"/>
        </w:rPr>
        <w:t xml:space="preserve">1533 · New Haven e Washington, le carte personali.</w:t>
      </w:r>
      <w:r>
        <w:rPr>
          <w:rFonts w:ascii="Barlow Semi Condensed" w:cs="Barlow Semi Condensed" w:eastAsia="Barlow Semi Condensed" w:hAnsi="Barlow Semi Condensed"/>
          <w:sz w:val="24"/>
          <w:szCs w:val="24"/>
        </w:rPr>
        <w:t xml:space="preserve"> Le carte private sono depositate presso Manuscripts and Archives della Yale University Library; quelle prodotte nelle cariche pubbliche presso la Manuscript Division della Library of Congress, con un atto di donazione le cui clausole d'accesso vanno lette prima delle carte stesse. Quesito per questo territorio: se gli strumenti di ricerca registrino unità relative a Bolivia, Cuba o America latina meridionale negli anni degli incarichi. La risposta è archivistica, non storica.</w:t>
      </w:r>
    </w:p>
    <w:p>
      <w:pPr>
        <w:spacing w:after="120" w:line="276"/>
        <w:jc w:val="both"/>
      </w:pPr>
      <w:r>
        <w:rPr>
          <w:rFonts w:ascii="Barlow Semi Condensed" w:cs="Barlow Semi Condensed" w:eastAsia="Barlow Semi Condensed" w:hAnsi="Barlow Semi Condensed"/>
          <w:b/>
          <w:bCs/>
          <w:sz w:val="24"/>
          <w:szCs w:val="24"/>
        </w:rPr>
        <w:t xml:space="preserve">1534 · Milano, le carte dell'editore.</w:t>
      </w:r>
      <w:r>
        <w:rPr>
          <w:rFonts w:ascii="Barlow Semi Condensed" w:cs="Barlow Semi Condensed" w:eastAsia="Barlow Semi Condensed" w:hAnsi="Barlow Semi Condensed"/>
          <w:sz w:val="24"/>
          <w:szCs w:val="24"/>
        </w:rPr>
        <w:t xml:space="preserve"> La Fondazione Giangiacomo Feltrinelli, istituita per decreto presidenziale del 27 aprile 1974 e nata dalla biblioteca del 1949, conserva un patrimonio che il corpus quantifica in un milione e mezzo di schede, duecentocinquantamila volumi, quindicimila manifesti. Bersaglio: verificare se il fondo conservi la corrispondenza relativa all'acquisizione dei diritti del 1967 e alla campagna di manifesti. È la sede del vettore, ed è italiana, non statunitense.</w:t>
      </w:r>
    </w:p>
    <w:p>
      <w:pPr>
        <w:spacing w:after="120" w:line="276"/>
        <w:jc w:val="both"/>
      </w:pPr>
      <w:r>
        <w:rPr>
          <w:rFonts w:ascii="Barlow Semi Condensed" w:cs="Barlow Semi Condensed" w:eastAsia="Barlow Semi Condensed" w:hAnsi="Barlow Semi Condensed"/>
          <w:b/>
          <w:bCs/>
          <w:sz w:val="24"/>
          <w:szCs w:val="24"/>
        </w:rPr>
        <w:t xml:space="preserve">1535 · L'Avana, l'edizione con le correzioni.</w:t>
      </w:r>
      <w:r>
        <w:rPr>
          <w:rFonts w:ascii="Barlow Semi Condensed" w:cs="Barlow Semi Condensed" w:eastAsia="Barlow Semi Condensed" w:hAnsi="Barlow Semi Condensed"/>
          <w:sz w:val="24"/>
          <w:szCs w:val="24"/>
        </w:rPr>
        <w:t xml:space="preserve"> Il centro di studi dell'Avana ha prodotto l'edizione del discorso di Algeri con le correzioni autografe, adoperata dalla bibliografia come testo primario. Bersaglio dichiarato col suo limite: verificare condizioni d'accesso e regime di consultazione di quel fondo, sapendo che vi opera il vizio segnalato da D-4. Un fondo condizionato resta un fondo: si consulta dichiarando il condizionamento, non si esclude per sospetto e non si cita senza avvertire.</w:t>
      </w:r>
    </w:p>
    <w:p>
      <w:pPr>
        <w:spacing w:after="120" w:line="276"/>
        <w:jc w:val="both"/>
      </w:pPr>
      <w:r>
        <w:rPr>
          <w:rFonts w:ascii="Barlow Semi Condensed" w:cs="Barlow Semi Condensed" w:eastAsia="Barlow Semi Condensed" w:hAnsi="Barlow Semi Condensed"/>
          <w:b/>
          <w:bCs/>
          <w:sz w:val="24"/>
          <w:szCs w:val="24"/>
        </w:rPr>
        <w:t xml:space="preserve">1536 · La collezione del 1997.</w:t>
      </w:r>
      <w:r>
        <w:rPr>
          <w:rFonts w:ascii="Barlow Semi Condensed" w:cs="Barlow Semi Condensed" w:eastAsia="Barlow Semi Condensed" w:hAnsi="Barlow Semi Condensed"/>
          <w:sz w:val="24"/>
          <w:szCs w:val="24"/>
        </w:rPr>
        <w:t xml:space="preserve"> I materiali statunitensi declassificati nel 1997 sulla vicenda boliviana, citati ai nodi M-5 e M-8, sono raccolti in una collezione documentaria universitaria. Bersaglio preliminare: acquisire l'elenco dei documenti che la compongono con le rispettive segnature d'origine, e non la sua sintesi divulgativa. Una collezione tematica è uno strumento di ricerca, non una fonte: la fonte resta il singolo documento, col fondo da cui proviene.</w:t>
      </w:r>
    </w:p>
    <w:p>
      <w:pPr>
        <w:spacing w:after="120" w:line="276"/>
        <w:jc w:val="both"/>
      </w:pPr>
      <w:r>
        <w:rPr>
          <w:rFonts w:ascii="Barlow Semi Condensed" w:cs="Barlow Semi Condensed" w:eastAsia="Barlow Semi Condensed" w:hAnsi="Barlow Semi Condensed"/>
          <w:b/>
          <w:bCs/>
          <w:sz w:val="24"/>
          <w:szCs w:val="24"/>
        </w:rPr>
        <w:t xml:space="preserve">1537 · La procedura in due tempi.</w:t>
      </w:r>
      <w:r>
        <w:rPr>
          <w:rFonts w:ascii="Barlow Semi Condensed" w:cs="Barlow Semi Condensed" w:eastAsia="Barlow Semi Condensed" w:hAnsi="Barlow Semi Condensed"/>
          <w:sz w:val="24"/>
          <w:szCs w:val="24"/>
        </w:rPr>
        <w:t xml:space="preserve"> Prima di interrogare qualunque delle sedi elencate va applicata la procedura fissata al blocco 461 dell'opera: si misura il buco e lo si dichiara con perimetro esatto, poi se ne diagnostica la causa nella specializzazione delle fonti, e solo dopo lo si interroga sulla struttura del mondo. Saltare il secondo tempo trasforma una lacuna bibliografica in una scoperta, ed è l'errore che questo territorio rende più facile commettere.</w:t>
      </w:r>
    </w:p>
    <w:p>
      <w:pPr>
        <w:spacing w:after="120" w:line="276"/>
        <w:jc w:val="both"/>
      </w:pPr>
      <w:r>
        <w:rPr>
          <w:rFonts w:ascii="Barlow Semi Condensed" w:cs="Barlow Semi Condensed" w:eastAsia="Barlow Semi Condensed" w:hAnsi="Barlow Semi Condensed"/>
          <w:b/>
          <w:bCs/>
          <w:sz w:val="24"/>
          <w:szCs w:val="24"/>
        </w:rPr>
        <w:t xml:space="preserve">1538 · Il bilancio numerico della serie.</w:t>
      </w:r>
      <w:r>
        <w:rPr>
          <w:rFonts w:ascii="Barlow Semi Condensed" w:cs="Barlow Semi Condensed" w:eastAsia="Barlow Semi Condensed" w:hAnsi="Barlow Semi Condensed"/>
          <w:sz w:val="24"/>
          <w:szCs w:val="24"/>
        </w:rPr>
        <w:t xml:space="preserve"> Riepilogo eseguibile da chiunque: un documento del territorio con zero occorrenze del nome, un secondo con sette occorrenze capitalizzate su cinque righe, tutte dentro un solo nodo e la sua nota di revisione. Nessun rapporto di piano 1 fra il soggetto e la vicenda guevariana. Una convergenza di cornice al piano 2, dichiarata come analogia. Il resto è Stato Zero, ed è il risultato atteso, non un fallimento della ricerca.</w:t>
      </w:r>
    </w:p>
    <w:p>
      <w:pPr>
        <w:spacing w:after="120" w:line="276"/>
        <w:jc w:val="both"/>
      </w:pPr>
      <w:r>
        <w:rPr>
          <w:rFonts w:ascii="Barlow Semi Condensed" w:cs="Barlow Semi Condensed" w:eastAsia="Barlow Semi Condensed" w:hAnsi="Barlow Semi Condensed"/>
          <w:b/>
          <w:bCs/>
          <w:sz w:val="24"/>
          <w:szCs w:val="24"/>
        </w:rPr>
        <w:t xml:space="preserve">1539 · Il divieto di riempire il vuoto.</w:t>
      </w:r>
      <w:r>
        <w:rPr>
          <w:rFonts w:ascii="Barlow Semi Condensed" w:cs="Barlow Semi Condensed" w:eastAsia="Barlow Semi Condensed" w:hAnsi="Barlow Semi Condensed"/>
          <w:sz w:val="24"/>
          <w:szCs w:val="24"/>
        </w:rPr>
        <w:t xml:space="preserve"> Chiusura in forma di divieto, perché qui la tentazione è massima: il territorio guevariano offre una sagoma perfetta per un ponte — un'ombra statunitense su una morte, un'ombra statunitense su un'altra — e non offre l'atto che lo reggerebbe. Costruirlo lo stesso significherebbe promuovere il piano 2 a nesso causale. Il corpus si ferma al giudicato e la ricerca si ferma al documento: entrambi i limiti sono volontari.</w:t>
      </w:r>
    </w:p>
    <w:p>
      <w:pPr>
        <w:spacing w:after="120" w:line="276"/>
        <w:jc w:val="both"/>
      </w:pPr>
      <w:r>
        <w:rPr>
          <w:rFonts w:ascii="Barlow Semi Condensed" w:cs="Barlow Semi Condensed" w:eastAsia="Barlow Semi Condensed" w:hAnsi="Barlow Semi Condensed"/>
          <w:b/>
          <w:bCs/>
          <w:sz w:val="24"/>
          <w:szCs w:val="24"/>
        </w:rPr>
        <w:t xml:space="preserve">1540 · Che cosa si consegna.</w:t>
      </w:r>
      <w:r>
        <w:rPr>
          <w:rFonts w:ascii="Barlow Semi Condensed" w:cs="Barlow Semi Condensed" w:eastAsia="Barlow Semi Condensed" w:hAnsi="Barlow Semi Condensed"/>
          <w:sz w:val="24"/>
          <w:szCs w:val="24"/>
        </w:rPr>
        <w:t xml:space="preserve"> A chi riprenderà questa serie si consegnano tre cose e nessuna tesi: la misura datata delle occorrenze nei due documenti, con la versione dei file cui si riferisce; l'elenco delle sedi che chiuderebbero ciascun vuoto, da Ann Arbor a Milano; i bersagli di smentita formulati perché possano essere colpiti. Se uno solo cadrà, la serie avrà funzionato. Un'indagine produce atti, non colpevoli.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ventunesima — Feltrinelli, il vettore</w:t>
      </w:r>
    </w:p>
    <w:p>
      <w:pPr>
        <w:spacing w:after="120" w:line="276"/>
        <w:jc w:val="both"/>
      </w:pPr>
      <w:r>
        <w:rPr>
          <w:rFonts w:ascii="Barlow Semi Condensed" w:cs="Barlow Semi Condensed" w:eastAsia="Barlow Semi Condensed" w:hAnsi="Barlow Semi Condensed"/>
          <w:i/>
          <w:iCs/>
          <w:sz w:val="24"/>
          <w:szCs w:val="24"/>
        </w:rPr>
        <w:t xml:space="preserve">Blocchi 1541-1620.</w:t>
      </w:r>
    </w:p>
    <w:p>
      <w:pPr>
        <w:spacing w:after="120" w:line="276"/>
        <w:jc w:val="both"/>
      </w:pPr>
      <w:r>
        <w:rPr>
          <w:rFonts w:ascii="Barlow Semi Condensed" w:cs="Barlow Semi Condensed" w:eastAsia="Barlow Semi Condensed" w:hAnsi="Barlow Semi Condensed"/>
          <w:b/>
          <w:bCs/>
          <w:sz w:val="24"/>
          <w:szCs w:val="24"/>
        </w:rPr>
        <w:t xml:space="preserve">1541 · Il territorio, contato parola per parola.</w:t>
      </w:r>
      <w:r>
        <w:rPr>
          <w:rFonts w:ascii="Barlow Semi Condensed" w:cs="Barlow Semi Condensed" w:eastAsia="Barlow Semi Condensed" w:hAnsi="Barlow Semi Condensed"/>
          <w:sz w:val="24"/>
          <w:szCs w:val="24"/>
        </w:rPr>
        <w:t xml:space="preserve"> Interrogati con ricerca a testo pieno i due documenti assegnati, il nome di Henry Kissinger vi ricorre zero volte: né in feltrinelli-il-vettore.md, che copre il 1926-1972 in sei paragrafi, né in triangolazione-feltrinelli-corpus.md, che ne verifica diciassette nodi e ne apre sette ponti. Lo zero si verbalizza con la data dell'interrogazione e con lo strumento usato, perché un vuoto senza perimetro non è acquisizione ma impressione.</w:t>
      </w:r>
    </w:p>
    <w:p>
      <w:pPr>
        <w:spacing w:after="120" w:line="276"/>
        <w:jc w:val="both"/>
      </w:pPr>
      <w:r>
        <w:rPr>
          <w:rFonts w:ascii="Barlow Semi Condensed" w:cs="Barlow Semi Condensed" w:eastAsia="Barlow Semi Condensed" w:hAnsi="Barlow Semi Condensed"/>
          <w:b/>
          <w:bCs/>
          <w:sz w:val="24"/>
          <w:szCs w:val="24"/>
        </w:rPr>
        <w:t xml:space="preserve">1542 · I diciassette nodi senza colonna americana.</w:t>
      </w:r>
      <w:r>
        <w:rPr>
          <w:rFonts w:ascii="Barlow Semi Condensed" w:cs="Barlow Semi Condensed" w:eastAsia="Barlow Semi Condensed" w:hAnsi="Barlow Semi Condensed"/>
          <w:sz w:val="24"/>
          <w:szCs w:val="24"/>
        </w:rPr>
        <w:t xml:space="preserve"> La tavola F-1…F-17 verifica nascita, patrimonio familiare, biblioteca del 1949, casa editrice del 1954, Živago, Gattopardo, uscita dal PCI, assiduità cubana, diritti del 1967, Bolivia dell'agosto 1967, Diario del 1968, GAP, frase di Curcio, cronologia di Segrate, ricostruzione giudiziaria del 1979. Nessuno ha per oggetto un attore statuale straniero. L'assenza non è distrazione dei curatori: è la forma che il territorio ha preso sulle fonti che lo reggono.</w:t>
      </w:r>
    </w:p>
    <w:p>
      <w:pPr>
        <w:spacing w:after="120" w:line="276"/>
        <w:jc w:val="both"/>
      </w:pPr>
      <w:r>
        <w:rPr>
          <w:rFonts w:ascii="Barlow Semi Condensed" w:cs="Barlow Semi Condensed" w:eastAsia="Barlow Semi Condensed" w:hAnsi="Barlow Semi Condensed"/>
          <w:b/>
          <w:bCs/>
          <w:sz w:val="24"/>
          <w:szCs w:val="24"/>
        </w:rPr>
        <w:t xml:space="preserve">1543 · I sette ponti e dove arrivano.</w:t>
      </w:r>
      <w:r>
        <w:rPr>
          <w:rFonts w:ascii="Barlow Semi Condensed" w:cs="Barlow Semi Condensed" w:eastAsia="Barlow Semi Condensed" w:hAnsi="Barlow Semi Condensed"/>
          <w:sz w:val="24"/>
          <w:szCs w:val="24"/>
        </w:rPr>
        <w:t xml:space="preserve"> Dei ponti B-1…B-7 — campagna boliviana, bibliografia critica, saggio di sintesi, matrice Guevara-Moro, cronologia sinottica, amnistiati del Tribunale Speciale, cornice della guerra fredda — sei restano interni al fronte italiano e latinoamericano. Solo il settimo tocca la dimensione atlantica, e vi arriva per negarla come chiave. Chi cercasse qui un aggancio statunitense troverebbe l'unica casella costruita apposta per non essere un aggancio.</w:t>
      </w:r>
    </w:p>
    <w:p>
      <w:pPr>
        <w:spacing w:after="120" w:line="276"/>
        <w:jc w:val="both"/>
      </w:pPr>
      <w:r>
        <w:rPr>
          <w:rFonts w:ascii="Barlow Semi Condensed" w:cs="Barlow Semi Condensed" w:eastAsia="Barlow Semi Condensed" w:hAnsi="Barlow Semi Condensed"/>
          <w:b/>
          <w:bCs/>
          <w:sz w:val="24"/>
          <w:szCs w:val="24"/>
        </w:rPr>
        <w:t xml:space="preserve">1544 · Le anti-triangolazioni non nominano potenze.</w:t>
      </w:r>
      <w:r>
        <w:rPr>
          <w:rFonts w:ascii="Barlow Semi Condensed" w:cs="Barlow Semi Condensed" w:eastAsia="Barlow Semi Condensed" w:hAnsi="Barlow Semi Condensed"/>
          <w:sz w:val="24"/>
          <w:szCs w:val="24"/>
        </w:rPr>
        <w:t xml:space="preserve"> AT-1 separa il vettore dal mandante per ragioni di calendario; AT-2 lascia l'omicidio di Stato nella congettura; AT-3 nega che il nome partigiano faccia dei GAP una continuazione della Resistenza. Tre divieti espliciti, e in nessuno compare uno Stato estero. Il territorio si è dunque già difeso dalle promozioni indebite che riteneva prevedibili, e non ha ritenuto prevedibile quella che questa serie sta esaminando.</w:t>
      </w:r>
    </w:p>
    <w:p>
      <w:pPr>
        <w:spacing w:after="120" w:line="276"/>
        <w:jc w:val="both"/>
      </w:pPr>
      <w:r>
        <w:rPr>
          <w:rFonts w:ascii="Barlow Semi Condensed" w:cs="Barlow Semi Condensed" w:eastAsia="Barlow Semi Condensed" w:hAnsi="Barlow Semi Condensed"/>
          <w:b/>
          <w:bCs/>
          <w:sz w:val="24"/>
          <w:szCs w:val="24"/>
        </w:rPr>
        <w:t xml:space="preserve">1545 · L'unica riga atlantica del territorio.</w:t>
      </w:r>
      <w:r>
        <w:rPr>
          <w:rFonts w:ascii="Barlow Semi Condensed" w:cs="Barlow Semi Condensed" w:eastAsia="Barlow Semi Condensed" w:hAnsi="Barlow Semi Condensed"/>
          <w:sz w:val="24"/>
          <w:szCs w:val="24"/>
        </w:rPr>
        <w:t xml:space="preserve"> Il ponte B-7 scrive che nel 1967-68 il vettore fabbricò il mito del Che «contro l'ordine atlantico». È proposizione di direzione politica, non accertamento di rapporto: dice contro chi l'operazione editoriale fu concepita, non con chi ebbe contatti. Trattarla come indizio di un nesso con un titolare di quell'ordine sarebbe la promozione della convergenza a nesso che quello stesso documento vieta al proprio lettore.</w:t>
      </w:r>
    </w:p>
    <w:p>
      <w:pPr>
        <w:spacing w:after="120" w:line="276"/>
        <w:jc w:val="both"/>
      </w:pPr>
      <w:r>
        <w:rPr>
          <w:rFonts w:ascii="Barlow Semi Condensed" w:cs="Barlow Semi Condensed" w:eastAsia="Barlow Semi Condensed" w:hAnsi="Barlow Semi Condensed"/>
          <w:b/>
          <w:bCs/>
          <w:sz w:val="24"/>
          <w:szCs w:val="24"/>
        </w:rPr>
        <w:t xml:space="preserve">1546 · Servizi segreti senza Stato né nome.</w:t>
      </w:r>
      <w:r>
        <w:rPr>
          <w:rFonts w:ascii="Barlow Semi Condensed" w:cs="Barlow Semi Condensed" w:eastAsia="Barlow Semi Condensed" w:hAnsi="Barlow Semi Condensed"/>
          <w:sz w:val="24"/>
          <w:szCs w:val="24"/>
        </w:rPr>
        <w:t xml:space="preserve"> Il § V della monografia registra come sospetto diffuso e mai provato la tesi di una regia dietro Segrate, e i «servizi segreti» vi compaiono senza Stato, senza sigla, senza persona. Quel vuoto è deliberato e va rispettato: riempirlo con un apparato straniero e con il nome che lo sovrintendeva significherebbe fabbricare un contenuto che la fonte, per scelta dichiarata, non possiede.</w:t>
      </w:r>
    </w:p>
    <w:p>
      <w:pPr>
        <w:spacing w:after="120" w:line="276"/>
        <w:jc w:val="both"/>
      </w:pPr>
      <w:r>
        <w:rPr>
          <w:rFonts w:ascii="Barlow Semi Condensed" w:cs="Barlow Semi Condensed" w:eastAsia="Barlow Semi Condensed" w:hAnsi="Barlow Semi Condensed"/>
          <w:b/>
          <w:bCs/>
          <w:sz w:val="24"/>
          <w:szCs w:val="24"/>
        </w:rPr>
        <w:t xml:space="preserve">1547 · La sede che chiuderebbe il silenzio.</w:t>
      </w:r>
      <w:r>
        <w:rPr>
          <w:rFonts w:ascii="Barlow Semi Condensed" w:cs="Barlow Semi Condensed" w:eastAsia="Barlow Semi Condensed" w:hAnsi="Barlow Semi Condensed"/>
          <w:sz w:val="24"/>
          <w:szCs w:val="24"/>
        </w:rPr>
        <w:t xml:space="preserve"> Il silenzio del territorio si chiude in un luogo solo, e ha indirizzo: Archivio centrale dello Stato, Ministero dell'Interno, Direzione generale di pubblica sicurezza, Divisione affari riservati, dove giacciono i fascicoli di sorveglianza sulla clandestinità milanese. Bersaglio: accertare se esista fascicolo personale intestato all'editore e se vi compaiano appunti su interlocutori stranieri, citando fondo, serie, busta e carta.</w:t>
      </w:r>
    </w:p>
    <w:p>
      <w:pPr>
        <w:spacing w:after="120" w:line="276"/>
        <w:jc w:val="both"/>
      </w:pPr>
      <w:r>
        <w:rPr>
          <w:rFonts w:ascii="Barlow Semi Condensed" w:cs="Barlow Semi Condensed" w:eastAsia="Barlow Semi Condensed" w:hAnsi="Barlow Semi Condensed"/>
          <w:b/>
          <w:bCs/>
          <w:sz w:val="24"/>
          <w:szCs w:val="24"/>
        </w:rPr>
        <w:t xml:space="preserve">1548 · L'indice dei nomi di Senior Service.</w:t>
      </w:r>
      <w:r>
        <w:rPr>
          <w:rFonts w:ascii="Barlow Semi Condensed" w:cs="Barlow Semi Condensed" w:eastAsia="Barlow Semi Condensed" w:hAnsi="Barlow Semi Condensed"/>
          <w:sz w:val="24"/>
          <w:szCs w:val="24"/>
        </w:rPr>
        <w:t xml:space="preserve"> Un controllo a costo bassissimo e mai eseguito in forma pubblicata: aprire l'indice dei nomi della biografia filiale di Carlo Feltrinelli, edizione del 1999 e traduzione inglese Granta, e accertare se vi compaia il nome qui triangolato. La fonte è di parte e il corpus la classifica così; ma un indice è un fatto materiale, e un'assenza a indice si verbalizza con edizione e pagine.</w:t>
      </w:r>
    </w:p>
    <w:p>
      <w:pPr>
        <w:spacing w:after="120" w:line="276"/>
        <w:jc w:val="both"/>
      </w:pPr>
      <w:r>
        <w:rPr>
          <w:rFonts w:ascii="Barlow Semi Condensed" w:cs="Barlow Semi Condensed" w:eastAsia="Barlow Semi Condensed" w:hAnsi="Barlow Semi Condensed"/>
          <w:b/>
          <w:bCs/>
          <w:sz w:val="24"/>
          <w:szCs w:val="24"/>
        </w:rPr>
        <w:t xml:space="preserve">1549 · La recensione di John Foot.</w:t>
      </w:r>
      <w:r>
        <w:rPr>
          <w:rFonts w:ascii="Barlow Semi Condensed" w:cs="Barlow Semi Condensed" w:eastAsia="Barlow Semi Condensed" w:hAnsi="Barlow Semi Condensed"/>
          <w:sz w:val="24"/>
          <w:szCs w:val="24"/>
        </w:rPr>
        <w:t xml:space="preserve"> Lo stesso genere di verifica vale per «No. 1 Scapegoat», il saggio-recensione apparso nella London Review of Books, volume 24 numero 3, che il territorio cita per il patrimonio familiare. Quesito: se in quelle pagine compaia un attore statunitense determinato, e con quale grado. Una recensione non è documento di provenienza; serve però a datare che cosa la letteratura anglofona riteneva dicibile nel 2002.</w:t>
      </w:r>
    </w:p>
    <w:p>
      <w:pPr>
        <w:spacing w:after="120" w:line="276"/>
        <w:jc w:val="both"/>
      </w:pPr>
      <w:r>
        <w:rPr>
          <w:rFonts w:ascii="Barlow Semi Condensed" w:cs="Barlow Semi Condensed" w:eastAsia="Barlow Semi Condensed" w:hAnsi="Barlow Semi Condensed"/>
          <w:b/>
          <w:bCs/>
          <w:sz w:val="24"/>
          <w:szCs w:val="24"/>
        </w:rPr>
        <w:t xml:space="preserve">1550 · La finestra di sovrapposizione, misurata.</w:t>
      </w:r>
      <w:r>
        <w:rPr>
          <w:rFonts w:ascii="Barlow Semi Condensed" w:cs="Barlow Semi Condensed" w:eastAsia="Barlow Semi Condensed" w:hAnsi="Barlow Semi Condensed"/>
          <w:sz w:val="24"/>
          <w:szCs w:val="24"/>
        </w:rPr>
        <w:t xml:space="preserve"> Le due biografie si sovrappongono in carica per tre anni, un mese e ventidue giorni: dal 20 gennaio 1969, insediamento come Assistente per la sicurezza nazionale, al 14 marzo 1972, morte a Segrate. Fuori da questa finestra ogni domanda su un rapporto d'ufficio è mal posta. Dentro, resta aperta e priva di risposta documentale: la finestra dice dove cercare, non che cosa si troverà.</w:t>
      </w:r>
    </w:p>
    <w:p>
      <w:pPr>
        <w:spacing w:after="120" w:line="276"/>
        <w:jc w:val="both"/>
      </w:pPr>
      <w:r>
        <w:rPr>
          <w:rFonts w:ascii="Barlow Semi Condensed" w:cs="Barlow Semi Condensed" w:eastAsia="Barlow Semi Condensed" w:hAnsi="Barlow Semi Condensed"/>
          <w:b/>
          <w:bCs/>
          <w:sz w:val="24"/>
          <w:szCs w:val="24"/>
        </w:rPr>
        <w:t xml:space="preserve">1551 · Il manifesto di Korda precede la carica.</w:t>
      </w:r>
      <w:r>
        <w:rPr>
          <w:rFonts w:ascii="Barlow Semi Condensed" w:cs="Barlow Semi Condensed" w:eastAsia="Barlow Semi Condensed" w:hAnsi="Barlow Semi Condensed"/>
          <w:sz w:val="24"/>
          <w:szCs w:val="24"/>
        </w:rPr>
        <w:t xml:space="preserve"> L'acquisizione nell'estate 1967 dei diritti del diario boliviano insieme alla fotografia, e le centinaia di manifesti stampati per il lancio, cadono sotto un'altra amministrazione statunitense e mentre il nome qui triangolato non rivestiva alcuna carica pubblica. Il gesto fondativo del vettore — nodo F-11, blocco 519 della prima campagna — è anteriore di oltre un anno all'inizio di ogni possibile rapporto d'ufficio.</w:t>
      </w:r>
    </w:p>
    <w:p>
      <w:pPr>
        <w:spacing w:after="120" w:line="276"/>
        <w:jc w:val="both"/>
      </w:pPr>
      <w:r>
        <w:rPr>
          <w:rFonts w:ascii="Barlow Semi Condensed" w:cs="Barlow Semi Condensed" w:eastAsia="Barlow Semi Condensed" w:hAnsi="Barlow Semi Condensed"/>
          <w:b/>
          <w:bCs/>
          <w:sz w:val="24"/>
          <w:szCs w:val="24"/>
        </w:rPr>
        <w:t xml:space="preserve">1552 · Il Diario del 1968, fuori finestra.</w:t>
      </w:r>
      <w:r>
        <w:rPr>
          <w:rFonts w:ascii="Barlow Semi Condensed" w:cs="Barlow Semi Condensed" w:eastAsia="Barlow Semi Condensed" w:hAnsi="Barlow Semi Condensed"/>
          <w:sz w:val="24"/>
          <w:szCs w:val="24"/>
        </w:rPr>
        <w:t xml:space="preserve"> Anche l'edizione italiana del diario con copertina Korda e prefazione di Castro, nodo F-13, esce nel 1968, cioè nell'anno che precede l'insediamento. Ne discende una conseguenza operativa per chiunque interroghi gli archivi americani su questo territorio: per gli atti fondativi del vettore la serie da aprire non è quella del Consiglio di sicurezza nazionale dal 1969, ma la documentazione dipartimentale degli anni precedenti.</w:t>
      </w:r>
    </w:p>
    <w:p>
      <w:pPr>
        <w:spacing w:after="120" w:line="276"/>
        <w:jc w:val="both"/>
      </w:pPr>
      <w:r>
        <w:rPr>
          <w:rFonts w:ascii="Barlow Semi Condensed" w:cs="Barlow Semi Condensed" w:eastAsia="Barlow Semi Condensed" w:hAnsi="Barlow Semi Condensed"/>
          <w:b/>
          <w:bCs/>
          <w:sz w:val="24"/>
          <w:szCs w:val="24"/>
        </w:rPr>
        <w:t xml:space="preserve">1553 · Agosto 1967, due biografie separate.</w:t>
      </w:r>
      <w:r>
        <w:rPr>
          <w:rFonts w:ascii="Barlow Semi Condensed" w:cs="Barlow Semi Condensed" w:eastAsia="Barlow Semi Condensed" w:hAnsi="Barlow Semi Condensed"/>
          <w:sz w:val="24"/>
          <w:szCs w:val="24"/>
        </w:rPr>
        <w:t xml:space="preserve"> Nel mese in cui il vettore fu arrestato in Bolivia ed espulso come indesiderato — nodo F-12, ponte fisico B-1 con il processo Debray a Camiri — il nome qui triangolato insegnava a Harvard e operava come consulente privato, impegnato secondo la letteratura in un canale negoziale sul Vietnam. Bersaglio: fissare quella posizione su fonte primaria nei volumi FRUS 1964-1968 dedicati al Vietnam.</w:t>
      </w:r>
    </w:p>
    <w:p>
      <w:pPr>
        <w:spacing w:after="120" w:line="276"/>
        <w:jc w:val="both"/>
      </w:pPr>
      <w:r>
        <w:rPr>
          <w:rFonts w:ascii="Barlow Semi Condensed" w:cs="Barlow Semi Condensed" w:eastAsia="Barlow Semi Condensed" w:hAnsi="Barlow Semi Condensed"/>
          <w:b/>
          <w:bCs/>
          <w:sz w:val="24"/>
          <w:szCs w:val="24"/>
        </w:rPr>
        <w:t xml:space="preserve">1554 · Živago 1957, l'anteriorità estrema.</w:t>
      </w:r>
      <w:r>
        <w:rPr>
          <w:rFonts w:ascii="Barlow Semi Condensed" w:cs="Barlow Semi Condensed" w:eastAsia="Barlow Semi Condensed" w:hAnsi="Barlow Semi Condensed"/>
          <w:sz w:val="24"/>
          <w:szCs w:val="24"/>
        </w:rPr>
        <w:t xml:space="preserve"> La prima edizione mondiale del romanzo di Pasternak, novembre 1957 su contratto del giugno 1956, sta dodici anni prima dell'insediamento. Vale come limite estremo dell'anteriorità in questo territorio e come avvertimento di metodo: il caso più celebre in cui uno Stato si interessò a un libro di questo editore non appartiene alla finestra qui esaminata, e non va trascinato dentro per suggestione.</w:t>
      </w:r>
    </w:p>
    <w:p>
      <w:pPr>
        <w:spacing w:after="120" w:line="276"/>
        <w:jc w:val="both"/>
      </w:pPr>
      <w:r>
        <w:rPr>
          <w:rFonts w:ascii="Barlow Semi Condensed" w:cs="Barlow Semi Condensed" w:eastAsia="Barlow Semi Condensed" w:hAnsi="Barlow Semi Condensed"/>
          <w:b/>
          <w:bCs/>
          <w:sz w:val="24"/>
          <w:szCs w:val="24"/>
        </w:rPr>
        <w:t xml:space="preserve">1555 · Il Gattopardo non produce bersagli.</w:t>
      </w:r>
      <w:r>
        <w:rPr>
          <w:rFonts w:ascii="Barlow Semi Condensed" w:cs="Barlow Semi Condensed" w:eastAsia="Barlow Semi Condensed" w:hAnsi="Barlow Semi Condensed"/>
          <w:sz w:val="24"/>
          <w:szCs w:val="24"/>
        </w:rPr>
        <w:t xml:space="preserve"> Il rifiuto degli altri editori, l'uscita del novembre 1958, le cinquantadue edizioni in meno di sei mesi: il nodo F-8 documenta la competenza professionale che il territorio pone alla base del vettore. È materia di storia editoriale italiana e non ha alcun versante estero da interrogare. Si registra perché una serie onesta deve dichiarare anche quali parti del proprio territorio non producono alcun bersaglio.</w:t>
      </w:r>
    </w:p>
    <w:p>
      <w:pPr>
        <w:spacing w:after="120" w:line="276"/>
        <w:jc w:val="both"/>
      </w:pPr>
      <w:r>
        <w:rPr>
          <w:rFonts w:ascii="Barlow Semi Condensed" w:cs="Barlow Semi Condensed" w:eastAsia="Barlow Semi Condensed" w:hAnsi="Barlow Semi Condensed"/>
          <w:b/>
          <w:bCs/>
          <w:sz w:val="24"/>
          <w:szCs w:val="24"/>
        </w:rPr>
        <w:t xml:space="preserve">1556 · La biblioteca del 1949, prima di tutto.</w:t>
      </w:r>
      <w:r>
        <w:rPr>
          <w:rFonts w:ascii="Barlow Semi Condensed" w:cs="Barlow Semi Condensed" w:eastAsia="Barlow Semi Condensed" w:hAnsi="Barlow Semi Condensed"/>
          <w:sz w:val="24"/>
          <w:szCs w:val="24"/>
        </w:rPr>
        <w:t xml:space="preserve"> Il nodo F-4 colloca nel 1949 la biblioteca specializzata sul movimento operaio e socialista, vent'anni prima della finestra. Il dato fissa che il conservatore di documenti precede il finanziatore della clandestinità, e che il patrimonio oggi custodito — un milione e mezzo di schede, duecentocinquantamila volumi, quindicimila manifesti — nacque da una scelta privata anteriore a ogni cornice qui rilevante.</w:t>
      </w:r>
    </w:p>
    <w:p>
      <w:pPr>
        <w:spacing w:after="120" w:line="276"/>
        <w:jc w:val="both"/>
      </w:pPr>
      <w:r>
        <w:rPr>
          <w:rFonts w:ascii="Barlow Semi Condensed" w:cs="Barlow Semi Condensed" w:eastAsia="Barlow Semi Condensed" w:hAnsi="Barlow Semi Condensed"/>
          <w:b/>
          <w:bCs/>
          <w:sz w:val="24"/>
          <w:szCs w:val="24"/>
        </w:rPr>
        <w:t xml:space="preserve">1557 · Il decreto del 1974, trappola cronologica.</w:t>
      </w:r>
      <w:r>
        <w:rPr>
          <w:rFonts w:ascii="Barlow Semi Condensed" w:cs="Barlow Semi Condensed" w:eastAsia="Barlow Semi Condensed" w:hAnsi="Barlow Semi Condensed"/>
          <w:sz w:val="24"/>
          <w:szCs w:val="24"/>
        </w:rPr>
        <w:t xml:space="preserve"> Il decreto del Presidente della Repubblica del 27 aprile 1974 che eresse la Fondazione cade quando il nome qui triangolato era Segretario di Stato: contemporaneità perfetta e nesso nullo. È atto italiano su ente italiano, adottato due anni dopo la morte del fondatore. Questo blocco esiste per nominare in anticipo la coincidenza di data e impedire che qualcuno la scambi per un incontro.</w:t>
      </w:r>
    </w:p>
    <w:p>
      <w:pPr>
        <w:spacing w:after="120" w:line="276"/>
        <w:jc w:val="both"/>
      </w:pPr>
      <w:r>
        <w:rPr>
          <w:rFonts w:ascii="Barlow Semi Condensed" w:cs="Barlow Semi Condensed" w:eastAsia="Barlow Semi Condensed" w:hAnsi="Barlow Semi Condensed"/>
          <w:b/>
          <w:bCs/>
          <w:sz w:val="24"/>
          <w:szCs w:val="24"/>
        </w:rPr>
        <w:t xml:space="preserve">1558 · Diciotto mesi dalla carica maggiore.</w:t>
      </w:r>
      <w:r>
        <w:rPr>
          <w:rFonts w:ascii="Barlow Semi Condensed" w:cs="Barlow Semi Condensed" w:eastAsia="Barlow Semi Condensed" w:hAnsi="Barlow Semi Condensed"/>
          <w:sz w:val="24"/>
          <w:szCs w:val="24"/>
        </w:rPr>
        <w:t xml:space="preserve"> Segrate è del 14 marzo 1972; l'entrata in carica come Segretario di Stato è del 22 settembre 1973. Fra i due fatti corrono diciotto mesi. Ne segue che nessun documento firmato in quella qualità può riguardare un vivente di nome Giangiacomo Feltrinelli, e che ogni ricerca condotta su quella qualità va indirizzata alle conseguenze postume, mai alla persona.</w:t>
      </w:r>
    </w:p>
    <w:p>
      <w:pPr>
        <w:spacing w:after="120" w:line="276"/>
        <w:jc w:val="both"/>
      </w:pPr>
      <w:r>
        <w:rPr>
          <w:rFonts w:ascii="Barlow Semi Condensed" w:cs="Barlow Semi Condensed" w:eastAsia="Barlow Semi Condensed" w:hAnsi="Barlow Semi Condensed"/>
          <w:b/>
          <w:bCs/>
          <w:sz w:val="24"/>
          <w:szCs w:val="24"/>
        </w:rPr>
        <w:t xml:space="preserve">1559 · Marzo 1972, marcatore da non promuovere.</w:t>
      </w:r>
      <w:r>
        <w:rPr>
          <w:rFonts w:ascii="Barlow Semi Condensed" w:cs="Barlow Semi Condensed" w:eastAsia="Barlow Semi Condensed" w:hAnsi="Barlow Semi Condensed"/>
          <w:sz w:val="24"/>
          <w:szCs w:val="24"/>
        </w:rPr>
        <w:t xml:space="preserve"> Nelle settimane della morte a Segrate il titolare dell'incarico di sicurezza nazionale era impegnato sui dossier cinese e sovietico, come la cronologia delle sue missioni documenta. È marcatore nel senso del blocco 733: localizza, non spiega. Registrarlo serve a una cosa sola, mostrare quanto poco significhi la simultaneità quando due agende non hanno alcun punto di contatto documentato.</w:t>
      </w:r>
    </w:p>
    <w:p>
      <w:pPr>
        <w:spacing w:after="120" w:line="276"/>
        <w:jc w:val="both"/>
      </w:pPr>
      <w:r>
        <w:rPr>
          <w:rFonts w:ascii="Barlow Semi Condensed" w:cs="Barlow Semi Condensed" w:eastAsia="Barlow Semi Condensed" w:hAnsi="Barlow Semi Condensed"/>
          <w:b/>
          <w:bCs/>
          <w:sz w:val="24"/>
          <w:szCs w:val="24"/>
        </w:rPr>
        <w:t xml:space="preserve">1560 · I GAP dentro la finestra.</w:t>
      </w:r>
      <w:r>
        <w:rPr>
          <w:rFonts w:ascii="Barlow Semi Condensed" w:cs="Barlow Semi Condensed" w:eastAsia="Barlow Semi Condensed" w:hAnsi="Barlow Semi Condensed"/>
          <w:sz w:val="24"/>
          <w:szCs w:val="24"/>
        </w:rPr>
        <w:t xml:space="preserve"> I Gruppi d'Azione Partigiana nacquero fra aprile e maggio 1970, come precisa il nodo F-14, cioè dentro la finestra di sovrapposizione. Questo li rende interrogabili, non documentati: la coabitazione nel tempo apre una domanda archivistica e non fonda un rapporto. La regola per cui la contemporaneità non è nesso si applica qui nella forma più nuda, perché qui la tentazione di saltarla è massima.</w:t>
      </w:r>
    </w:p>
    <w:p>
      <w:pPr>
        <w:spacing w:after="120" w:line="276"/>
        <w:jc w:val="both"/>
      </w:pPr>
      <w:r>
        <w:rPr>
          <w:rFonts w:ascii="Barlow Semi Condensed" w:cs="Barlow Semi Condensed" w:eastAsia="Barlow Semi Condensed" w:hAnsi="Barlow Semi Condensed"/>
          <w:b/>
          <w:bCs/>
          <w:sz w:val="24"/>
          <w:szCs w:val="24"/>
        </w:rPr>
        <w:t xml:space="preserve">1561 · Il fascicolo Živago dell'agenzia americana.</w:t>
      </w:r>
      <w:r>
        <w:rPr>
          <w:rFonts w:ascii="Barlow Semi Condensed" w:cs="Barlow Semi Condensed" w:eastAsia="Barlow Semi Condensed" w:hAnsi="Barlow Semi Condensed"/>
          <w:sz w:val="24"/>
          <w:szCs w:val="24"/>
        </w:rPr>
        <w:t xml:space="preserve"> Esiste un caso in cui un servizio statunitense operò su un titolo di questo editore: la documentazione declassificata nel gennaio 2014 sulla stampa e diffusione di un'edizione in lingua russa del romanzo di Pasternak. È fatto documentato, con carte proprie, e va nominato per intero, perché è il punto in cui questo territorio e la sfera americana si toccano davvero.</w:t>
      </w:r>
    </w:p>
    <w:p>
      <w:pPr>
        <w:spacing w:after="120" w:line="276"/>
        <w:jc w:val="both"/>
      </w:pPr>
      <w:r>
        <w:rPr>
          <w:rFonts w:ascii="Barlow Semi Condensed" w:cs="Barlow Semi Condensed" w:eastAsia="Barlow Semi Condensed" w:hAnsi="Barlow Semi Condensed"/>
          <w:b/>
          <w:bCs/>
          <w:sz w:val="24"/>
          <w:szCs w:val="24"/>
        </w:rPr>
        <w:t xml:space="preserve">1562 · Il perimetro esatto di quel fascicolo.</w:t>
      </w:r>
      <w:r>
        <w:rPr>
          <w:rFonts w:ascii="Barlow Semi Condensed" w:cs="Barlow Semi Condensed" w:eastAsia="Barlow Semi Condensed" w:hAnsi="Barlow Semi Condensed"/>
          <w:sz w:val="24"/>
          <w:szCs w:val="24"/>
        </w:rPr>
        <w:t xml:space="preserve"> Va però delimitato con severità: quelle carte riguardano un'edizione in lingua russa destinata a lettori sovietici, non l'edizione italiana del novembre 1957 e non i rapporti contrattuali dell'editore milanese. Confondere i due oggetti produrrebbe l'errore di attribuzione descritto dal blocco 520 per i vettori: ciò che il canale ha prodotto non si attribuisce a chi stava all'origine del testo.</w:t>
      </w:r>
    </w:p>
    <w:p>
      <w:pPr>
        <w:spacing w:after="120" w:line="276"/>
        <w:jc w:val="both"/>
      </w:pPr>
      <w:r>
        <w:rPr>
          <w:rFonts w:ascii="Barlow Semi Condensed" w:cs="Barlow Semi Condensed" w:eastAsia="Barlow Semi Condensed" w:hAnsi="Barlow Semi Condensed"/>
          <w:b/>
          <w:bCs/>
          <w:sz w:val="24"/>
          <w:szCs w:val="24"/>
        </w:rPr>
        <w:t xml:space="preserve">1563 · A quale piano sta quel fascicolo.</w:t>
      </w:r>
      <w:r>
        <w:rPr>
          <w:rFonts w:ascii="Barlow Semi Condensed" w:cs="Barlow Semi Condensed" w:eastAsia="Barlow Semi Condensed" w:hAnsi="Barlow Semi Condensed"/>
          <w:sz w:val="24"/>
          <w:szCs w:val="24"/>
        </w:rPr>
        <w:t xml:space="preserve"> Rispetto all'agenzia che lo produsse, quel fascicolo è documento di provenienza e sta al piano 1. Rispetto al nome triangolato in quest'opera non sta ad alcun piano: nel 1958 non ricopriva incarichi di governo e nessuna carta nota della serie lo nomina. Il medesimo reperto può dunque essere primario per un soggetto e inesistente per un altro: è lezione generale, non cavillo.</w:t>
      </w:r>
    </w:p>
    <w:p>
      <w:pPr>
        <w:spacing w:after="120" w:line="276"/>
        <w:jc w:val="both"/>
      </w:pPr>
      <w:r>
        <w:rPr>
          <w:rFonts w:ascii="Barlow Semi Condensed" w:cs="Barlow Semi Condensed" w:eastAsia="Barlow Semi Condensed" w:hAnsi="Barlow Semi Condensed"/>
          <w:b/>
          <w:bCs/>
          <w:sz w:val="24"/>
          <w:szCs w:val="24"/>
        </w:rPr>
        <w:t xml:space="preserve">1564 · La carta che sposterebbe tutto.</w:t>
      </w:r>
      <w:r>
        <w:rPr>
          <w:rFonts w:ascii="Barlow Semi Condensed" w:cs="Barlow Semi Condensed" w:eastAsia="Barlow Semi Condensed" w:hAnsi="Barlow Semi Condensed"/>
          <w:sz w:val="24"/>
          <w:szCs w:val="24"/>
        </w:rPr>
        <w:t xml:space="preserve"> Bersaglio di smentita, formulato perché qualcuno possa vincerlo: un documento di quella serie che rechi il nome qui triangolato come destinatario, redattore o firmatario di un parere. Un solo foglio simile porterebbe il nesso dal nulla al piano 1 e obbligherebbe a riscrivere questa serie. Finché non compare, l'assenza si dichiara con la sede interrogata e la data dell'interrogazione.</w:t>
      </w:r>
    </w:p>
    <w:p>
      <w:pPr>
        <w:spacing w:after="120" w:line="276"/>
        <w:jc w:val="both"/>
      </w:pPr>
      <w:r>
        <w:rPr>
          <w:rFonts w:ascii="Barlow Semi Condensed" w:cs="Barlow Semi Condensed" w:eastAsia="Barlow Semi Condensed" w:hAnsi="Barlow Semi Condensed"/>
          <w:b/>
          <w:bCs/>
          <w:sz w:val="24"/>
          <w:szCs w:val="24"/>
        </w:rPr>
        <w:t xml:space="preserve">1565 · Dove si trovava, nel 1958, chi triangoliamo.</w:t>
      </w:r>
      <w:r>
        <w:rPr>
          <w:rFonts w:ascii="Barlow Semi Condensed" w:cs="Barlow Semi Condensed" w:eastAsia="Barlow Semi Condensed" w:hAnsi="Barlow Semi Condensed"/>
          <w:sz w:val="24"/>
          <w:szCs w:val="24"/>
        </w:rPr>
        <w:t xml:space="preserve"> Accertamento preliminare e a basso costo, necessario prima di ogni ipotesi sul nodo precedente: stabilire con fonti istituzionali la posizione accademica e consulenziale tenuta fra il 1957 e il 1958, cioè negli anni del Živago italiano e dell'operazione in lingua russa. Se in quegli anni non risulta alcun incarico esecutivo, il nodo si chiude per difetto di soggetto, non per difetto di prova.</w:t>
      </w:r>
    </w:p>
    <w:p>
      <w:pPr>
        <w:spacing w:after="120" w:line="276"/>
        <w:jc w:val="both"/>
      </w:pPr>
      <w:r>
        <w:rPr>
          <w:rFonts w:ascii="Barlow Semi Condensed" w:cs="Barlow Semi Condensed" w:eastAsia="Barlow Semi Condensed" w:hAnsi="Barlow Semi Condensed"/>
          <w:b/>
          <w:bCs/>
          <w:sz w:val="24"/>
          <w:szCs w:val="24"/>
        </w:rPr>
        <w:t xml:space="preserve">1566 · Il territorio non registra quel nodo.</w:t>
      </w:r>
      <w:r>
        <w:rPr>
          <w:rFonts w:ascii="Barlow Semi Condensed" w:cs="Barlow Semi Condensed" w:eastAsia="Barlow Semi Condensed" w:hAnsi="Barlow Semi Condensed"/>
          <w:sz w:val="24"/>
          <w:szCs w:val="24"/>
        </w:rPr>
        <w:t xml:space="preserve"> Va detto a carico del corpus e non di altri: né la monografia né la sua triangolazione menzionano l'operazione americana sul romanzo di Pasternak. Il nodo F-6 verifica contratto, data e pressioni del Cremlino e del partito italiano, e si ferma lì. È lacuna del territorio assegnato, verbalizzata qui come Stato Zero interno, e la sede che la colmerebbe è indicata nel blocco seguente.</w:t>
      </w:r>
    </w:p>
    <w:p>
      <w:pPr>
        <w:spacing w:after="120" w:line="276"/>
        <w:jc w:val="both"/>
      </w:pPr>
      <w:r>
        <w:rPr>
          <w:rFonts w:ascii="Barlow Semi Condensed" w:cs="Barlow Semi Condensed" w:eastAsia="Barlow Semi Condensed" w:hAnsi="Barlow Semi Condensed"/>
          <w:b/>
          <w:bCs/>
          <w:sz w:val="24"/>
          <w:szCs w:val="24"/>
        </w:rPr>
        <w:t xml:space="preserve">1567 · Sedi per il nodo del romanzo.</w:t>
      </w:r>
      <w:r>
        <w:rPr>
          <w:rFonts w:ascii="Barlow Semi Condensed" w:cs="Barlow Semi Condensed" w:eastAsia="Barlow Semi Condensed" w:hAnsi="Barlow Semi Condensed"/>
          <w:sz w:val="24"/>
          <w:szCs w:val="24"/>
        </w:rPr>
        <w:t xml:space="preserve"> Chiuderebbero l'accertamento la sala di lettura elettronica FOIA dell'agenzia statunitense, con la raccolta rilasciata nel 2014, e la letteratura che su quella raccolta ha lavorato, da usare come indice e mai come prova. Vale l'avvertimento del blocco 132 dell'agenda: distinguere i documenti analitici dalle rassegne stampa raccolte internamente, e marcare ogni reperto per quello che è prima di citarlo.</w:t>
      </w:r>
    </w:p>
    <w:p>
      <w:pPr>
        <w:spacing w:after="120" w:line="276"/>
        <w:jc w:val="both"/>
      </w:pPr>
      <w:r>
        <w:rPr>
          <w:rFonts w:ascii="Barlow Semi Condensed" w:cs="Barlow Semi Condensed" w:eastAsia="Barlow Semi Condensed" w:hAnsi="Barlow Semi Condensed"/>
          <w:b/>
          <w:bCs/>
          <w:sz w:val="24"/>
          <w:szCs w:val="24"/>
        </w:rPr>
        <w:t xml:space="preserve">1568 · Operazione su un libro, non rapporto.</w:t>
      </w:r>
      <w:r>
        <w:rPr>
          <w:rFonts w:ascii="Barlow Semi Condensed" w:cs="Barlow Semi Condensed" w:eastAsia="Barlow Semi Condensed" w:hAnsi="Barlow Semi Condensed"/>
          <w:sz w:val="24"/>
          <w:szCs w:val="24"/>
        </w:rPr>
        <w:t xml:space="preserve"> Regola di lettura che questa serie consegna al corpus: che uno Stato abbia agito su un testo non stabilisce alcuna relazione con chi quel testo aveva pubblicato altrove. Oggetto dell'atto è l'opera, non la persona dell'editore. Applicata al territorio, la regola impedisce di trasformare un fascicolo su un romanzo in un dossier su un uomo, che è cosa diversa e va cercata a parte.</w:t>
      </w:r>
    </w:p>
    <w:p>
      <w:pPr>
        <w:spacing w:after="120" w:line="276"/>
        <w:jc w:val="both"/>
      </w:pPr>
      <w:r>
        <w:rPr>
          <w:rFonts w:ascii="Barlow Semi Condensed" w:cs="Barlow Semi Condensed" w:eastAsia="Barlow Semi Condensed" w:hAnsi="Barlow Semi Condensed"/>
          <w:b/>
          <w:bCs/>
          <w:sz w:val="24"/>
          <w:szCs w:val="24"/>
        </w:rPr>
        <w:t xml:space="preserve">1569 · Il vettore opposto, stessa cornice.</w:t>
      </w:r>
      <w:r>
        <w:rPr>
          <w:rFonts w:ascii="Barlow Semi Condensed" w:cs="Barlow Semi Condensed" w:eastAsia="Barlow Semi Condensed" w:hAnsi="Barlow Semi Condensed"/>
          <w:sz w:val="24"/>
          <w:szCs w:val="24"/>
        </w:rPr>
        <w:t xml:space="preserve"> Nella medesima cornice di guerra fredda operò in Europa un apparato culturale di segno contrario, sostenuto da fondazioni statunitensi e attivo con riviste, convegni e collane. Rispetto al vettore milanese è convergenza strutturale di piano 2: stessa tecnica — libri, periodici, immagini — e finalità opposte. Il piano 2 descrive un campo; promuoverlo richiederebbe un documento che nomini insieme entrambe le parti.</w:t>
      </w:r>
    </w:p>
    <w:p>
      <w:pPr>
        <w:spacing w:after="120" w:line="276"/>
        <w:jc w:val="both"/>
      </w:pPr>
      <w:r>
        <w:rPr>
          <w:rFonts w:ascii="Barlow Semi Condensed" w:cs="Barlow Semi Condensed" w:eastAsia="Barlow Semi Condensed" w:hAnsi="Barlow Semi Condensed"/>
          <w:b/>
          <w:bCs/>
          <w:sz w:val="24"/>
          <w:szCs w:val="24"/>
        </w:rPr>
        <w:t xml:space="preserve">1570 · Il versante italiano di quell'apparato.</w:t>
      </w:r>
      <w:r>
        <w:rPr>
          <w:rFonts w:ascii="Barlow Semi Condensed" w:cs="Barlow Semi Condensed" w:eastAsia="Barlow Semi Condensed" w:hAnsi="Barlow Semi Condensed"/>
          <w:sz w:val="24"/>
          <w:szCs w:val="24"/>
        </w:rPr>
        <w:t xml:space="preserve"> Sul suolo italiano quell'apparato ebbe forme proprie, con un'associazione per la libertà della cultura e un periodico attivo dalla metà degli anni Cinquanta alla fine dei Sessanta. Bersaglio: stabilirne anno per anno redattori, finanziatori dichiarati e catalogo, e confrontarlo con il catalogo dell'editore milanese. Il confronto misura una simmetria di funzione; non produce, e non deve produrre, un anello fra le due imprese.</w:t>
      </w:r>
    </w:p>
    <w:p>
      <w:pPr>
        <w:spacing w:after="120" w:line="276"/>
        <w:jc w:val="both"/>
      </w:pPr>
      <w:r>
        <w:rPr>
          <w:rFonts w:ascii="Barlow Semi Condensed" w:cs="Barlow Semi Condensed" w:eastAsia="Barlow Semi Condensed" w:hAnsi="Barlow Semi Condensed"/>
          <w:b/>
          <w:bCs/>
          <w:sz w:val="24"/>
          <w:szCs w:val="24"/>
        </w:rPr>
        <w:t xml:space="preserve">1571 · La sede di quelle carte.</w:t>
      </w:r>
      <w:r>
        <w:rPr>
          <w:rFonts w:ascii="Barlow Semi Condensed" w:cs="Barlow Semi Condensed" w:eastAsia="Barlow Semi Condensed" w:hAnsi="Barlow Semi Condensed"/>
          <w:sz w:val="24"/>
          <w:szCs w:val="24"/>
        </w:rPr>
        <w:t xml:space="preserve"> Le carte dell'organizzazione culturale internazionale e della sua succeditrice sono conservate presso lo Special Collections Research Center della University of Chicago Library. Bersaglio circoscritto: interrogare l'inventario per l'Italia degli anni 1967-1972 e accertare se vi compaiano corrispondenze relative all'editore milanese o alla sua casa. Esito positivo o negativo, si verbalizza per serie e per faldone, secondo la regola dell'inventario prima del documento.</w:t>
      </w:r>
    </w:p>
    <w:p>
      <w:pPr>
        <w:spacing w:after="120" w:line="276"/>
        <w:jc w:val="both"/>
      </w:pPr>
      <w:r>
        <w:rPr>
          <w:rFonts w:ascii="Barlow Semi Condensed" w:cs="Barlow Semi Condensed" w:eastAsia="Barlow Semi Condensed" w:hAnsi="Barlow Semi Condensed"/>
          <w:b/>
          <w:bCs/>
          <w:sz w:val="24"/>
          <w:szCs w:val="24"/>
        </w:rPr>
        <w:t xml:space="preserve">1572 · Il seminario di Harvard, statuto della notizia.</w:t>
      </w:r>
      <w:r>
        <w:rPr>
          <w:rFonts w:ascii="Barlow Semi Condensed" w:cs="Barlow Semi Condensed" w:eastAsia="Barlow Semi Condensed" w:hAnsi="Barlow Semi Condensed"/>
          <w:sz w:val="24"/>
          <w:szCs w:val="24"/>
        </w:rPr>
        <w:t xml:space="preserve"> La letteratura sui finanziamenti culturali della guerra fredda riferisce che il seminario internazionale diretto a Harvard dal nome qui triangolato ricevette fondi da fondazioni poi risultate canali di un servizio. Statuto: affermazione secondaria qualificata, non documento letto. Bersaglio: risalire dalle note dei saggi alle segnature originarie e verbalizzare l'esito, come il blocco 248 già impone per il programma di azione coperta.</w:t>
      </w:r>
    </w:p>
    <w:p>
      <w:pPr>
        <w:spacing w:after="120" w:line="276"/>
        <w:jc w:val="both"/>
      </w:pPr>
      <w:r>
        <w:rPr>
          <w:rFonts w:ascii="Barlow Semi Condensed" w:cs="Barlow Semi Condensed" w:eastAsia="Barlow Semi Condensed" w:hAnsi="Barlow Semi Condensed"/>
          <w:b/>
          <w:bCs/>
          <w:sz w:val="24"/>
          <w:szCs w:val="24"/>
        </w:rPr>
        <w:t xml:space="preserve">1573 · La rivista accademica e il suo bilancio.</w:t>
      </w:r>
      <w:r>
        <w:rPr>
          <w:rFonts w:ascii="Barlow Semi Condensed" w:cs="Barlow Semi Condensed" w:eastAsia="Barlow Semi Condensed" w:hAnsi="Barlow Semi Condensed"/>
          <w:sz w:val="24"/>
          <w:szCs w:val="24"/>
        </w:rPr>
        <w:t xml:space="preserve"> Stesso trattamento per il periodico culturale che egli diresse negli anni Cinquanta: prima di qualunque uso occorrono i bilanci annuali con i nomi dei finanziatori e gli atti costitutivi, non la loro parafrasi. Un finanziamento culturale, come ogni altro, si prova con la delibera, il trasferimento e la ricezione; il quarto accertamento, l'effetto sulla linea, quasi mai si dimostra e non va asserito.</w:t>
      </w:r>
    </w:p>
    <w:p>
      <w:pPr>
        <w:spacing w:after="120" w:line="276"/>
        <w:jc w:val="both"/>
      </w:pPr>
      <w:r>
        <w:rPr>
          <w:rFonts w:ascii="Barlow Semi Condensed" w:cs="Barlow Semi Condensed" w:eastAsia="Barlow Semi Condensed" w:hAnsi="Barlow Semi Condensed"/>
          <w:b/>
          <w:bCs/>
          <w:sz w:val="24"/>
          <w:szCs w:val="24"/>
        </w:rPr>
        <w:t xml:space="preserve">1574 · Le fondazioni-canale e il grado.</w:t>
      </w:r>
      <w:r>
        <w:rPr>
          <w:rFonts w:ascii="Barlow Semi Condensed" w:cs="Barlow Semi Condensed" w:eastAsia="Barlow Semi Condensed" w:hAnsi="Barlow Semi Condensed"/>
          <w:sz w:val="24"/>
          <w:szCs w:val="24"/>
        </w:rPr>
        <w:t xml:space="preserve"> Il nome della fondazione che la letteratura indica come canale non si scrive in questa serie come accertamento, perché nessuna carta è stata letta in sede: si scrive come bersaglio. La distinzione fra ciò che il corpus ha visto e ciò che ha soltanto letto altrove è l'unica garanzia che possiede, e vale a maggior ragione quando l'affermazione riguarda una persona determinata.</w:t>
      </w:r>
    </w:p>
    <w:p>
      <w:pPr>
        <w:spacing w:after="120" w:line="276"/>
        <w:jc w:val="both"/>
      </w:pPr>
      <w:r>
        <w:rPr>
          <w:rFonts w:ascii="Barlow Semi Condensed" w:cs="Barlow Semi Condensed" w:eastAsia="Barlow Semi Condensed" w:hAnsi="Barlow Semi Condensed"/>
          <w:b/>
          <w:bCs/>
          <w:sz w:val="24"/>
          <w:szCs w:val="24"/>
        </w:rPr>
        <w:t xml:space="preserve">1575 · La data della rivelazione, non del fatto.</w:t>
      </w:r>
      <w:r>
        <w:rPr>
          <w:rFonts w:ascii="Barlow Semi Condensed" w:cs="Barlow Semi Condensed" w:eastAsia="Barlow Semi Condensed" w:hAnsi="Barlow Semi Condensed"/>
          <w:sz w:val="24"/>
          <w:szCs w:val="24"/>
        </w:rPr>
        <w:t xml:space="preserve"> Vale per tutto il nodo culturale una regola cronologica: le rivelazioni pubbliche sui finanziamenti coperti alla cultura si collocano nel 1967, con le indagini e le commissioni che ne seguirono. La data della rivelazione non è la data del fatto rivelato, e le due vanno su righe separate del registro. Chi le confonde retrodata la conoscenza pubblica e antidata i comportamenti.</w:t>
      </w:r>
    </w:p>
    <w:p>
      <w:pPr>
        <w:spacing w:after="120" w:line="276"/>
        <w:jc w:val="both"/>
      </w:pPr>
      <w:r>
        <w:rPr>
          <w:rFonts w:ascii="Barlow Semi Condensed" w:cs="Barlow Semi Condensed" w:eastAsia="Barlow Semi Condensed" w:hAnsi="Barlow Semi Condensed"/>
          <w:b/>
          <w:bCs/>
          <w:sz w:val="24"/>
          <w:szCs w:val="24"/>
        </w:rPr>
        <w:t xml:space="preserve">1576 · Omologia e analogia sui due vettori.</w:t>
      </w:r>
      <w:r>
        <w:rPr>
          <w:rFonts w:ascii="Barlow Semi Condensed" w:cs="Barlow Semi Condensed" w:eastAsia="Barlow Semi Condensed" w:hAnsi="Barlow Semi Condensed"/>
          <w:sz w:val="24"/>
          <w:szCs w:val="24"/>
        </w:rPr>
        <w:t xml:space="preserve"> Due sistemi che diffondono idee con libri, riviste e immagini si somigliano perché il mezzo è lo stesso, non perché discendano l'uno dall'altro. Il test è quello del blocco 434: la discendenza è omologia solo se affermata dai discendenti stessi o attestata da un documento di provenienza. Fra l'editore milanese e l'apparato culturale atlantico non risulta, allo stato, né l'una né l'altro.</w:t>
      </w:r>
    </w:p>
    <w:p>
      <w:pPr>
        <w:spacing w:after="120" w:line="276"/>
        <w:jc w:val="both"/>
      </w:pPr>
      <w:r>
        <w:rPr>
          <w:rFonts w:ascii="Barlow Semi Condensed" w:cs="Barlow Semi Condensed" w:eastAsia="Barlow Semi Condensed" w:hAnsi="Barlow Semi Condensed"/>
          <w:b/>
          <w:bCs/>
          <w:sz w:val="24"/>
          <w:szCs w:val="24"/>
        </w:rPr>
        <w:t xml:space="preserve">1577 · I quattro accertamenti applicati al vettore.</w:t>
      </w:r>
      <w:r>
        <w:rPr>
          <w:rFonts w:ascii="Barlow Semi Condensed" w:cs="Barlow Semi Condensed" w:eastAsia="Barlow Semi Condensed" w:hAnsi="Barlow Semi Condensed"/>
          <w:sz w:val="24"/>
          <w:szCs w:val="24"/>
        </w:rPr>
        <w:t xml:space="preserve"> Quattro prove distinte esige il blocco 501 per ogni finanziamento a un vettore di stampa: delibera, trasferimento, ricezione, effetto. Applicate all'editore milanese, le prime tre non risultano reperite in alcuna sede pubblica, e la quarta non è nemmeno formulabile. Il metro, come già al blocco 504 per il caso italiano in generale, misura e trova assenza: è un risultato, non un fallimento.</w:t>
      </w:r>
    </w:p>
    <w:p>
      <w:pPr>
        <w:spacing w:after="120" w:line="276"/>
        <w:jc w:val="both"/>
      </w:pPr>
      <w:r>
        <w:rPr>
          <w:rFonts w:ascii="Barlow Semi Condensed" w:cs="Barlow Semi Condensed" w:eastAsia="Barlow Semi Condensed" w:hAnsi="Barlow Semi Condensed"/>
          <w:b/>
          <w:bCs/>
          <w:sz w:val="24"/>
          <w:szCs w:val="24"/>
        </w:rPr>
        <w:t xml:space="preserve">1578 · Stato Zero sul finanziamento del vettore.</w:t>
      </w:r>
      <w:r>
        <w:rPr>
          <w:rFonts w:ascii="Barlow Semi Condensed" w:cs="Barlow Semi Condensed" w:eastAsia="Barlow Semi Condensed" w:hAnsi="Barlow Semi Condensed"/>
          <w:sz w:val="24"/>
          <w:szCs w:val="24"/>
        </w:rPr>
        <w:t xml:space="preserve"> Si dichiara come acquisizione di pieno valore: non risulta reperito alcun documento primario che attesti un finanziamento straniero, coperto o palese, alla casa editrice milanese o al suo fondatore, con beneficiario, importo e data. Sedi di chiusura: i fascicoli per paese del Consiglio di sicurezza nazionale a College Park e la sala di lettura elettronica dell'agenzia. L'esito negativo vale quanto uno positivo.</w:t>
      </w:r>
    </w:p>
    <w:p>
      <w:pPr>
        <w:spacing w:after="120" w:line="276"/>
        <w:jc w:val="both"/>
      </w:pPr>
      <w:r>
        <w:rPr>
          <w:rFonts w:ascii="Barlow Semi Condensed" w:cs="Barlow Semi Condensed" w:eastAsia="Barlow Semi Condensed" w:hAnsi="Barlow Semi Condensed"/>
          <w:b/>
          <w:bCs/>
          <w:sz w:val="24"/>
          <w:szCs w:val="24"/>
        </w:rPr>
        <w:t xml:space="preserve">1579 · Il blocco 709 e le sue serie.</w:t>
      </w:r>
      <w:r>
        <w:rPr>
          <w:rFonts w:ascii="Barlow Semi Condensed" w:cs="Barlow Semi Condensed" w:eastAsia="Barlow Semi Condensed" w:hAnsi="Barlow Semi Condensed"/>
          <w:sz w:val="24"/>
          <w:szCs w:val="24"/>
        </w:rPr>
        <w:t xml:space="preserve"> Il blocco 709 della prima campagna aveva già scritto il bersaglio giusto: verificare se nei fondi statunitensi consultabili esistano valutazioni coeve sull'editore milanese, e in quali serie siano collocate. Quel blocco però non nominava le serie. Questa serie territoriale gliele fornisce una per una nei blocchi seguenti, perché un bersaglio senza segnatura resta, nella formula del corpus, un sentito dire elegante.</w:t>
      </w:r>
    </w:p>
    <w:p>
      <w:pPr>
        <w:spacing w:after="120" w:line="276"/>
        <w:jc w:val="both"/>
      </w:pPr>
      <w:r>
        <w:rPr>
          <w:rFonts w:ascii="Barlow Semi Condensed" w:cs="Barlow Semi Condensed" w:eastAsia="Barlow Semi Condensed" w:hAnsi="Barlow Semi Condensed"/>
          <w:b/>
          <w:bCs/>
          <w:sz w:val="24"/>
          <w:szCs w:val="24"/>
        </w:rPr>
        <w:t xml:space="preserve">1580 · La categoria del classificatore dipartimentale.</w:t>
      </w:r>
      <w:r>
        <w:rPr>
          <w:rFonts w:ascii="Barlow Semi Condensed" w:cs="Barlow Semi Condensed" w:eastAsia="Barlow Semi Condensed" w:hAnsi="Barlow Semi Condensed"/>
          <w:sz w:val="24"/>
          <w:szCs w:val="24"/>
        </w:rPr>
        <w:t xml:space="preserve"> Prima serie da aprire ai National Archives di College Park: Record Group 59, Central Foreign Policy Files, schedario per soggetto e numero, categoria della politica interna e della sicurezza per l'Italia, annate 1967-1969 e 1970-1973. È la sede in cui un editore passato alla clandestinità sarebbe stato eventualmente segnalato dall'ambasciata. Bersaglio: la lista dei fascicoli pertinenti, con esito dichiarato anche se nullo.</w:t>
      </w:r>
    </w:p>
    <w:p>
      <w:pPr>
        <w:spacing w:after="120" w:line="276"/>
        <w:jc w:val="both"/>
      </w:pPr>
      <w:r>
        <w:rPr>
          <w:rFonts w:ascii="Barlow Semi Condensed" w:cs="Barlow Semi Condensed" w:eastAsia="Barlow Semi Condensed" w:hAnsi="Barlow Semi Condensed"/>
          <w:b/>
          <w:bCs/>
          <w:sz w:val="24"/>
          <w:szCs w:val="24"/>
        </w:rPr>
        <w:t xml:space="preserve">1581 · L'ufficio analitico e la teoria del foco.</w:t>
      </w:r>
      <w:r>
        <w:rPr>
          <w:rFonts w:ascii="Barlow Semi Condensed" w:cs="Barlow Semi Condensed" w:eastAsia="Barlow Semi Condensed" w:hAnsi="Barlow Semi Condensed"/>
          <w:sz w:val="24"/>
          <w:szCs w:val="24"/>
        </w:rPr>
        <w:t xml:space="preserve"> Seconda serie: i memoranda di ricerca dell'ufficio di intelligence e ricerca del Dipartimento di Stato, che fra 1967 e 1970 analizzò la guerriglia latinoamericana e la sua ricezione europea. Quesito preciso: se in quei prodotti compaiano le edizioni italiane del diario boliviano e del manuale del foco, e con quale attribuzione editoriale. Sarebbe la traccia più probabile, e resta interamente da cercare.</w:t>
      </w:r>
    </w:p>
    <w:p>
      <w:pPr>
        <w:spacing w:after="120" w:line="276"/>
        <w:jc w:val="both"/>
      </w:pPr>
      <w:r>
        <w:rPr>
          <w:rFonts w:ascii="Barlow Semi Condensed" w:cs="Barlow Semi Condensed" w:eastAsia="Barlow Semi Condensed" w:hAnsi="Barlow Semi Condensed"/>
          <w:b/>
          <w:bCs/>
          <w:sz w:val="24"/>
          <w:szCs w:val="24"/>
        </w:rPr>
        <w:t xml:space="preserve">1582 · I posti consolari e Milano.</w:t>
      </w:r>
      <w:r>
        <w:rPr>
          <w:rFonts w:ascii="Barlow Semi Condensed" w:cs="Barlow Semi Condensed" w:eastAsia="Barlow Semi Condensed" w:hAnsi="Barlow Semi Condensed"/>
          <w:sz w:val="24"/>
          <w:szCs w:val="24"/>
        </w:rPr>
        <w:t xml:space="preserve"> Terza serie: Record Group 84, carte dei posti del servizio estero, ambasciata a Roma e consolato generale a Milano. È l'unico giacimento americano in cui la cronaca milanese del 1969-1972 sarebbe stata registrata di prima mano. Bersaglio: verificare esistenza e perimetro dei fascicoli consolari per quegli anni, che nessuna campagna del corpus ha finora interrogato per alcuna domanda.</w:t>
      </w:r>
    </w:p>
    <w:p>
      <w:pPr>
        <w:spacing w:after="120" w:line="276"/>
        <w:jc w:val="both"/>
      </w:pPr>
      <w:r>
        <w:rPr>
          <w:rFonts w:ascii="Barlow Semi Condensed" w:cs="Barlow Semi Condensed" w:eastAsia="Barlow Semi Condensed" w:hAnsi="Barlow Semi Condensed"/>
          <w:b/>
          <w:bCs/>
          <w:sz w:val="24"/>
          <w:szCs w:val="24"/>
        </w:rPr>
        <w:t xml:space="preserve">1583 · I fascicoli per paese del Consiglio.</w:t>
      </w:r>
      <w:r>
        <w:rPr>
          <w:rFonts w:ascii="Barlow Semi Condensed" w:cs="Barlow Semi Condensed" w:eastAsia="Barlow Semi Condensed" w:hAnsi="Barlow Semi Condensed"/>
          <w:sz w:val="24"/>
          <w:szCs w:val="24"/>
        </w:rPr>
        <w:t xml:space="preserve"> Quarta serie, già nominata dai blocchi 305 e 665 per altre domande: i materiali presidenziali Nixon, carte del Consiglio di sicurezza nazionale, fascicoli per paese relativi all'Italia. Qui il quesito è diverso da quello sulla Farnesina: non i colloqui bilaterali, ma le eventuali informative sulla clandestinità armata milanese fra 1970 e 1972. Stessi faldoni, domanda nuova, esito da verbalizzare.</w:t>
      </w:r>
    </w:p>
    <w:p>
      <w:pPr>
        <w:spacing w:after="120" w:line="276"/>
        <w:jc w:val="both"/>
      </w:pPr>
      <w:r>
        <w:rPr>
          <w:rFonts w:ascii="Barlow Semi Condensed" w:cs="Barlow Semi Condensed" w:eastAsia="Barlow Semi Condensed" w:hAnsi="Barlow Semi Condensed"/>
          <w:b/>
          <w:bCs/>
          <w:sz w:val="24"/>
          <w:szCs w:val="24"/>
        </w:rPr>
        <w:t xml:space="preserve">1584 · Gli studi ordinati e il loro esito.</w:t>
      </w:r>
      <w:r>
        <w:rPr>
          <w:rFonts w:ascii="Barlow Semi Condensed" w:cs="Barlow Semi Condensed" w:eastAsia="Barlow Semi Condensed" w:hAnsi="Barlow Semi Condensed"/>
          <w:sz w:val="24"/>
          <w:szCs w:val="24"/>
        </w:rPr>
        <w:t xml:space="preserve"> Quinta serie: i fascicoli istituzionali del Consiglio, dove si conservano memorandum di studio e di decisione. Il corpus registra l'istruzione presidenziale del dicembre 1969 per uno studio sull'Italia, documento 188 del volume XLI, e non ne ha mai reperito il prodotto. Quesito derivato per questo territorio: se quel prodotto tratti la violenza politica interna, e in quale sezione.</w:t>
      </w:r>
    </w:p>
    <w:p>
      <w:pPr>
        <w:spacing w:after="120" w:line="276"/>
        <w:jc w:val="both"/>
      </w:pPr>
      <w:r>
        <w:rPr>
          <w:rFonts w:ascii="Barlow Semi Condensed" w:cs="Barlow Semi Condensed" w:eastAsia="Barlow Semi Condensed" w:hAnsi="Barlow Semi Condensed"/>
          <w:b/>
          <w:bCs/>
          <w:sz w:val="24"/>
          <w:szCs w:val="24"/>
        </w:rPr>
        <w:t xml:space="preserve">1585 · Le trascrizioni telefoniche del marzo 1972.</w:t>
      </w:r>
      <w:r>
        <w:rPr>
          <w:rFonts w:ascii="Barlow Semi Condensed" w:cs="Barlow Semi Condensed" w:eastAsia="Barlow Semi Condensed" w:hAnsi="Barlow Semi Condensed"/>
          <w:sz w:val="24"/>
          <w:szCs w:val="24"/>
        </w:rPr>
        <w:t xml:space="preserve"> Sesta serie, la più circoscritta e la più verificabile: le trascrizioni delle conversazioni telefoniche del consigliere per la sicurezza nazionale, oggi in larga parte declassificate. Bersaglio: le giornate fra il 10 e il 31 marzo 1972, per accertare se il fatto di Segrate vi compaia in qualunque forma. Un esito negativo su una serie tanto fitta è, di per sé, informazione di valore.</w:t>
      </w:r>
    </w:p>
    <w:p>
      <w:pPr>
        <w:spacing w:after="120" w:line="276"/>
        <w:jc w:val="both"/>
      </w:pPr>
      <w:r>
        <w:rPr>
          <w:rFonts w:ascii="Barlow Semi Condensed" w:cs="Barlow Semi Condensed" w:eastAsia="Barlow Semi Condensed" w:hAnsi="Barlow Semi Condensed"/>
          <w:b/>
          <w:bCs/>
          <w:sz w:val="24"/>
          <w:szCs w:val="24"/>
        </w:rPr>
        <w:t xml:space="preserve">1586 · La sala di lettura e il tranello.</w:t>
      </w:r>
      <w:r>
        <w:rPr>
          <w:rFonts w:ascii="Barlow Semi Condensed" w:cs="Barlow Semi Condensed" w:eastAsia="Barlow Semi Condensed" w:hAnsi="Barlow Semi Condensed"/>
          <w:sz w:val="24"/>
          <w:szCs w:val="24"/>
        </w:rPr>
        <w:t xml:space="preserve"> Settima sede: la sala di lettura elettronica dell'agenzia statunitense, da interrogare con il cognome dell'editore e con le sigle delle formazioni. Vale l'avvertimento del blocco 927: distinguere i prodotti analitici dai ritagli di giornale raccolti internamente. Un ritaglio conservato in un fondo riservato resta un ritaglio, e scambiarlo per intelligence è il falso positivo più insidioso dell'intero versante americano.</w:t>
      </w:r>
    </w:p>
    <w:p>
      <w:pPr>
        <w:spacing w:after="120" w:line="276"/>
        <w:jc w:val="both"/>
      </w:pPr>
      <w:r>
        <w:rPr>
          <w:rFonts w:ascii="Barlow Semi Condensed" w:cs="Barlow Semi Condensed" w:eastAsia="Barlow Semi Condensed" w:hAnsi="Barlow Semi Condensed"/>
          <w:b/>
          <w:bCs/>
          <w:sz w:val="24"/>
          <w:szCs w:val="24"/>
        </w:rPr>
        <w:t xml:space="preserve">1587 · L'archivio investigativo federale, sede laterale.</w:t>
      </w:r>
      <w:r>
        <w:rPr>
          <w:rFonts w:ascii="Barlow Semi Condensed" w:cs="Barlow Semi Condensed" w:eastAsia="Barlow Semi Condensed" w:hAnsi="Barlow Semi Condensed"/>
          <w:sz w:val="24"/>
          <w:szCs w:val="24"/>
        </w:rPr>
        <w:t xml:space="preserve"> Ottava sede, meno ovvia e mai interrogata dal corpus: gli archivi dell'ufficio investigativo federale statunitense, accessibili per richiesta di libertà d'informazione, che conservano fascicoli su stranieri ritenuti d'interesse per la sicurezza interna e sui loro spostamenti. Bersaglio: presentare istanza nominativa per l'editore milanese e verbalizzare l'esito, compreso il diniego, che è anch'esso documento con data e motivazione.</w:t>
      </w:r>
    </w:p>
    <w:p>
      <w:pPr>
        <w:spacing w:after="120" w:line="276"/>
        <w:jc w:val="both"/>
      </w:pPr>
      <w:r>
        <w:rPr>
          <w:rFonts w:ascii="Barlow Semi Condensed" w:cs="Barlow Semi Condensed" w:eastAsia="Barlow Semi Condensed" w:hAnsi="Barlow Semi Condensed"/>
          <w:b/>
          <w:bCs/>
          <w:sz w:val="24"/>
          <w:szCs w:val="24"/>
        </w:rPr>
        <w:t xml:space="preserve">1588 · Le inchieste parlamentari americane del 1975.</w:t>
      </w:r>
      <w:r>
        <w:rPr>
          <w:rFonts w:ascii="Barlow Semi Condensed" w:cs="Barlow Semi Condensed" w:eastAsia="Barlow Semi Condensed" w:hAnsi="Barlow Semi Condensed"/>
          <w:sz w:val="24"/>
          <w:szCs w:val="24"/>
        </w:rPr>
        <w:t xml:space="preserve"> Nona sede: le carte delle commissioni d'inchiesta del Congresso sugli apparati d'informazione, celebrate fra 1975 e 1976, conservate ai National Archives nel fondo del Senato. Quesito: se negli allegati istruttori compaia materiale sull'Italia degli anni 1969-1972. Attenzione al grado: una relazione parlamentare è fonte di secondo livello sui fatti che riassume e di primo livello soltanto su sé stessa.</w:t>
      </w:r>
    </w:p>
    <w:p>
      <w:pPr>
        <w:spacing w:after="120" w:line="276"/>
        <w:jc w:val="both"/>
      </w:pPr>
      <w:r>
        <w:rPr>
          <w:rFonts w:ascii="Barlow Semi Condensed" w:cs="Barlow Semi Condensed" w:eastAsia="Barlow Semi Condensed" w:hAnsi="Barlow Semi Condensed"/>
          <w:b/>
          <w:bCs/>
          <w:sz w:val="24"/>
          <w:szCs w:val="24"/>
        </w:rPr>
        <w:t xml:space="preserve">1589 · Un vuoto integrale, come si legge.</w:t>
      </w:r>
      <w:r>
        <w:rPr>
          <w:rFonts w:ascii="Barlow Semi Condensed" w:cs="Barlow Semi Condensed" w:eastAsia="Barlow Semi Condensed" w:hAnsi="Barlow Semi Condensed"/>
          <w:sz w:val="24"/>
          <w:szCs w:val="24"/>
        </w:rPr>
        <w:t xml:space="preserve"> Se tutte e nove le sedi restituissero il nulla, il corpus avrebbe accertato che nessun ufficio statunitense produsse per ufficio una carta su questo editore, non che nessuno se ne occupò. La distinzione, già fissata al blocco 48 per la quadriga investigativa, è la sola che impedisca di trasformare uno zero d'archivio in un enunciato sul mondo.</w:t>
      </w:r>
    </w:p>
    <w:p>
      <w:pPr>
        <w:spacing w:after="120" w:line="276"/>
        <w:jc w:val="both"/>
      </w:pPr>
      <w:r>
        <w:rPr>
          <w:rFonts w:ascii="Barlow Semi Condensed" w:cs="Barlow Semi Condensed" w:eastAsia="Barlow Semi Condensed" w:hAnsi="Barlow Semi Condensed"/>
          <w:b/>
          <w:bCs/>
          <w:sz w:val="24"/>
          <w:szCs w:val="24"/>
        </w:rPr>
        <w:t xml:space="preserve">1590 · Buco editoriale e buco archivistico, qui.</w:t>
      </w:r>
      <w:r>
        <w:rPr>
          <w:rFonts w:ascii="Barlow Semi Condensed" w:cs="Barlow Semi Condensed" w:eastAsia="Barlow Semi Condensed" w:hAnsi="Barlow Semi Condensed"/>
          <w:sz w:val="24"/>
          <w:szCs w:val="24"/>
        </w:rPr>
        <w:t xml:space="preserve"> Applicata a questo territorio, la distinzione del blocco 682 ha effetto pratico immediato: che i volumi della serie ufficiale americana non contengano documenti sulla clandestinità italiana è mancata inclusione in un'edizione selettiva, e si supera leggendo altrove; che un fondo interrogato non li contenga è assenza da un giacimento, e si supera solo con un versamento o una declassifica. Due righe separate del registro.</w:t>
      </w:r>
    </w:p>
    <w:p>
      <w:pPr>
        <w:spacing w:after="120" w:line="276"/>
        <w:jc w:val="both"/>
      </w:pPr>
      <w:r>
        <w:rPr>
          <w:rFonts w:ascii="Barlow Semi Condensed" w:cs="Barlow Semi Condensed" w:eastAsia="Barlow Semi Condensed" w:hAnsi="Barlow Semi Condensed"/>
          <w:b/>
          <w:bCs/>
          <w:sz w:val="24"/>
          <w:szCs w:val="24"/>
        </w:rPr>
        <w:t xml:space="preserve">1591 · Il giacimento della desecretazione.</w:t>
      </w:r>
      <w:r>
        <w:rPr>
          <w:rFonts w:ascii="Barlow Semi Condensed" w:cs="Barlow Semi Condensed" w:eastAsia="Barlow Semi Condensed" w:hAnsi="Barlow Semi Condensed"/>
          <w:sz w:val="24"/>
          <w:szCs w:val="24"/>
        </w:rPr>
        <w:t xml:space="preserve"> Sul versante italiano la prima sede resta la raccolta speciale dell'Archivio centrale dello Stato, circa duemila buste versate da centocinquantasei uffici in esecuzione delle direttive. È costruita per il caso Moro e non per il 1972; ma gli uffici versanti sono gli stessi che sorvegliavano la clandestinità milanese. Bersaglio: interrogare l'inventario con il cognome dell'editore e verbalizzare l'esito busta per busta.</w:t>
      </w:r>
    </w:p>
    <w:p>
      <w:pPr>
        <w:spacing w:after="120" w:line="276"/>
        <w:jc w:val="both"/>
      </w:pPr>
      <w:r>
        <w:rPr>
          <w:rFonts w:ascii="Barlow Semi Condensed" w:cs="Barlow Semi Condensed" w:eastAsia="Barlow Semi Condensed" w:hAnsi="Barlow Semi Condensed"/>
          <w:b/>
          <w:bCs/>
          <w:sz w:val="24"/>
          <w:szCs w:val="24"/>
        </w:rPr>
        <w:t xml:space="preserve">1592 · Il fascicolo di sorveglianza, se esiste.</w:t>
      </w:r>
      <w:r>
        <w:rPr>
          <w:rFonts w:ascii="Barlow Semi Condensed" w:cs="Barlow Semi Condensed" w:eastAsia="Barlow Semi Condensed" w:hAnsi="Barlow Semi Condensed"/>
          <w:sz w:val="24"/>
          <w:szCs w:val="24"/>
        </w:rPr>
        <w:t xml:space="preserve"> Il quesito più promettente dell'intero fronte interno riguarda gli affari riservati del Viminale: se esista un fascicolo personale sull'editore, quando fu aperto, chi lo alimentava, e se contenga carte di provenienza estera trasmesse per canale di servizio. Una carta straniera conservata dentro un fascicolo italiano sarebbe il primo documento di piano 1 mai reperito su questo nodo.</w:t>
      </w:r>
    </w:p>
    <w:p>
      <w:pPr>
        <w:spacing w:after="120" w:line="276"/>
        <w:jc w:val="both"/>
      </w:pPr>
      <w:r>
        <w:rPr>
          <w:rFonts w:ascii="Barlow Semi Condensed" w:cs="Barlow Semi Condensed" w:eastAsia="Barlow Semi Condensed" w:hAnsi="Barlow Semi Condensed"/>
          <w:b/>
          <w:bCs/>
          <w:sz w:val="24"/>
          <w:szCs w:val="24"/>
        </w:rPr>
        <w:t xml:space="preserve">1593 · L'istruttoria milanese su Segrate.</w:t>
      </w:r>
      <w:r>
        <w:rPr>
          <w:rFonts w:ascii="Barlow Semi Condensed" w:cs="Barlow Semi Condensed" w:eastAsia="Barlow Semi Condensed" w:hAnsi="Barlow Semi Condensed"/>
          <w:sz w:val="24"/>
          <w:szCs w:val="24"/>
        </w:rPr>
        <w:t xml:space="preserve"> Fra i fondi giudiziari versati all'Archivio di Stato di Milano vanno cercate le carte dell'istruttoria sulla morte del 14 marzo 1972. Bersaglio: accertare se fra gli atti figurino richieste rogatoriali o comunicazioni con autorità straniere. La ricostruzione accolta in giudizio resta quella dell'incidente durante il sabotaggio, e nulla di questo bersaglio la mette in discussione: si cerca un canale, non una versione.</w:t>
      </w:r>
    </w:p>
    <w:p>
      <w:pPr>
        <w:spacing w:after="120" w:line="276"/>
        <w:jc w:val="both"/>
      </w:pPr>
      <w:r>
        <w:rPr>
          <w:rFonts w:ascii="Barlow Semi Condensed" w:cs="Barlow Semi Condensed" w:eastAsia="Barlow Semi Condensed" w:hAnsi="Barlow Semi Condensed"/>
          <w:b/>
          <w:bCs/>
          <w:sz w:val="24"/>
          <w:szCs w:val="24"/>
        </w:rPr>
        <w:t xml:space="preserve">1594 · Il processo torinese e i suoi atti.</w:t>
      </w:r>
      <w:r>
        <w:rPr>
          <w:rFonts w:ascii="Barlow Semi Condensed" w:cs="Barlow Semi Condensed" w:eastAsia="Barlow Semi Condensed" w:hAnsi="Barlow Semi Condensed"/>
          <w:sz w:val="24"/>
          <w:szCs w:val="24"/>
        </w:rPr>
        <w:t xml:space="preserve"> Già nominato dal nodo FH-6, il fascicolo del processo celebrato a Torino alle Brigate Rosse e ai GAP è oggi valorizzato dal portale della memoria del Ministero della Cultura. Quesito: se negli atti compaiano acquisizioni documentali di fonte straniera. È l'unico luogo in cui i due rami della clandestinità milanese furono trattati insieme, e per ciò stesso il più ordinato da spogliare.</w:t>
      </w:r>
    </w:p>
    <w:p>
      <w:pPr>
        <w:spacing w:after="120" w:line="276"/>
        <w:jc w:val="both"/>
      </w:pPr>
      <w:r>
        <w:rPr>
          <w:rFonts w:ascii="Barlow Semi Condensed" w:cs="Barlow Semi Condensed" w:eastAsia="Barlow Semi Condensed" w:hAnsi="Barlow Semi Condensed"/>
          <w:b/>
          <w:bCs/>
          <w:sz w:val="24"/>
          <w:szCs w:val="24"/>
        </w:rPr>
        <w:t xml:space="preserve">1595 · Il fondo del Senato sulle stragi.</w:t>
      </w:r>
      <w:r>
        <w:rPr>
          <w:rFonts w:ascii="Barlow Semi Condensed" w:cs="Barlow Semi Condensed" w:eastAsia="Barlow Semi Condensed" w:hAnsi="Barlow Semi Condensed"/>
          <w:sz w:val="24"/>
          <w:szCs w:val="24"/>
        </w:rPr>
        <w:t xml:space="preserve"> All'Archivio storico del Senato giace il fondo della Commissione parlamentare d'inchiesta sul terrorismo e sulle stragi, con la sua disciplina di declassifica per decreti presidenziali e nulla osta delle amministrazioni originatrici. Bersaglio: verificare se il cognome dell'editore ricorra nelle serie audizioni e documenti, e se in quella sede sia mai stata formulata una domanda sul versante americano del 1972.</w:t>
      </w:r>
    </w:p>
    <w:p>
      <w:pPr>
        <w:spacing w:after="120" w:line="276"/>
        <w:jc w:val="both"/>
      </w:pPr>
      <w:r>
        <w:rPr>
          <w:rFonts w:ascii="Barlow Semi Condensed" w:cs="Barlow Semi Condensed" w:eastAsia="Barlow Semi Condensed" w:hAnsi="Barlow Semi Condensed"/>
          <w:b/>
          <w:bCs/>
          <w:sz w:val="24"/>
          <w:szCs w:val="24"/>
        </w:rPr>
        <w:t xml:space="preserve">1596 · Le ventimila pagine della Camera.</w:t>
      </w:r>
      <w:r>
        <w:rPr>
          <w:rFonts w:ascii="Barlow Semi Condensed" w:cs="Barlow Semi Condensed" w:eastAsia="Barlow Semi Condensed" w:hAnsi="Barlow Semi Condensed"/>
          <w:sz w:val="24"/>
          <w:szCs w:val="24"/>
        </w:rPr>
        <w:t xml:space="preserve"> Con legge 30 maggio 2014 numero 82 fu istituita la commissione il cui fondo sta all'Archivio storico della Camera, con circa ventimila pagine desecretate consultabili in rete. Il perimetro di quella commissione è il 1978, ma le sue acquisizioni retrospettive toccano la matrice milanese. Bersaglio a costo nullo: interrogare a testo pieno quel corpus desecretato con i due cognomi qui in gioco.</w:t>
      </w:r>
    </w:p>
    <w:p>
      <w:pPr>
        <w:spacing w:after="120" w:line="276"/>
        <w:jc w:val="both"/>
      </w:pPr>
      <w:r>
        <w:rPr>
          <w:rFonts w:ascii="Barlow Semi Condensed" w:cs="Barlow Semi Condensed" w:eastAsia="Barlow Semi Condensed" w:hAnsi="Barlow Semi Condensed"/>
          <w:b/>
          <w:bCs/>
          <w:sz w:val="24"/>
          <w:szCs w:val="24"/>
        </w:rPr>
        <w:t xml:space="preserve">1597 · Il giacimento privato della Garbatella.</w:t>
      </w:r>
      <w:r>
        <w:rPr>
          <w:rFonts w:ascii="Barlow Semi Condensed" w:cs="Barlow Semi Condensed" w:eastAsia="Barlow Semi Condensed" w:hAnsi="Barlow Semi Condensed"/>
          <w:sz w:val="24"/>
          <w:szCs w:val="24"/>
        </w:rPr>
        <w:t xml:space="preserve"> A Roma, alla Garbatella, il Centro documentazione Archivio Flamigni conserva il più vasto giacimento privato sul caso: carte di commissioni, rassegne, fondi personali. Bersaglio: l'inventario delle serie sulla lotta armata degli anni Settanta e il protocollo di consultazione. Il corpus lo aveva già indicato al blocco 32 dell'agenda per altra domanda; qui gli si porta una domanda che non gli era mai stata rivolta.</w:t>
      </w:r>
    </w:p>
    <w:p>
      <w:pPr>
        <w:spacing w:after="120" w:line="276"/>
        <w:jc w:val="both"/>
      </w:pPr>
      <w:r>
        <w:rPr>
          <w:rFonts w:ascii="Barlow Semi Condensed" w:cs="Barlow Semi Condensed" w:eastAsia="Barlow Semi Condensed" w:hAnsi="Barlow Semi Condensed"/>
          <w:b/>
          <w:bCs/>
          <w:sz w:val="24"/>
          <w:szCs w:val="24"/>
        </w:rPr>
        <w:t xml:space="preserve">1598 · La Fondazione, custode di sé stessa.</w:t>
      </w:r>
      <w:r>
        <w:rPr>
          <w:rFonts w:ascii="Barlow Semi Condensed" w:cs="Barlow Semi Condensed" w:eastAsia="Barlow Semi Condensed" w:hAnsi="Barlow Semi Condensed"/>
          <w:sz w:val="24"/>
          <w:szCs w:val="24"/>
        </w:rPr>
        <w:t xml:space="preserve"> La Fondazione eretta con decreto del 1974 è la sede più ovvia fra tutte quelle mai interrogate: conserva un milione e mezzo di schede d'archivio, duecentocinquantamila volumi e quindicimila manifesti. Bersaglio: accertare se fra i suoi fondi figuri il carteggio personale del fondatore per gli anni 1967-1972, a quali condizioni sia consultabile e quale strumento di ricerca lo descriva.</w:t>
      </w:r>
    </w:p>
    <w:p>
      <w:pPr>
        <w:spacing w:after="120" w:line="276"/>
        <w:jc w:val="both"/>
      </w:pPr>
      <w:r>
        <w:rPr>
          <w:rFonts w:ascii="Barlow Semi Condensed" w:cs="Barlow Semi Condensed" w:eastAsia="Barlow Semi Condensed" w:hAnsi="Barlow Semi Condensed"/>
          <w:b/>
          <w:bCs/>
          <w:sz w:val="24"/>
          <w:szCs w:val="24"/>
        </w:rPr>
        <w:t xml:space="preserve">1599 · Un manifesto fra quindicimila.</w:t>
      </w:r>
      <w:r>
        <w:rPr>
          <w:rFonts w:ascii="Barlow Semi Condensed" w:cs="Barlow Semi Condensed" w:eastAsia="Barlow Semi Condensed" w:hAnsi="Barlow Semi Condensed"/>
          <w:sz w:val="24"/>
          <w:szCs w:val="24"/>
        </w:rPr>
        <w:t xml:space="preserve"> Nella raccolta di manifesti della Fondazione è conservato un esemplare di quello tratto dalla fotografia di Korda e stampato per il lancio del 1968? La domanda si chiude a catalogo, con tiratura, tipografia e data. Il territorio afferma le centinaia di copie senza produrne una: una sola scheda trasformerebbe un'affermazione ripetuta in un reperto materiale, che è cosa diversa e molto più solida.</w:t>
      </w:r>
    </w:p>
    <w:p>
      <w:pPr>
        <w:spacing w:after="120" w:line="276"/>
        <w:jc w:val="both"/>
      </w:pPr>
      <w:r>
        <w:rPr>
          <w:rFonts w:ascii="Barlow Semi Condensed" w:cs="Barlow Semi Condensed" w:eastAsia="Barlow Semi Condensed" w:hAnsi="Barlow Semi Condensed"/>
          <w:b/>
          <w:bCs/>
          <w:sz w:val="24"/>
          <w:szCs w:val="24"/>
        </w:rPr>
        <w:t xml:space="preserve">1600 · L'archivio della casa editrice, distinto.</w:t>
      </w:r>
      <w:r>
        <w:rPr>
          <w:rFonts w:ascii="Barlow Semi Condensed" w:cs="Barlow Semi Condensed" w:eastAsia="Barlow Semi Condensed" w:hAnsi="Barlow Semi Condensed"/>
          <w:sz w:val="24"/>
          <w:szCs w:val="24"/>
        </w:rPr>
        <w:t xml:space="preserve"> Dall'archivio della Fondazione va tenuto distinto quello storico della casa editrice, che conserva contratti, corrispondenza con gli autori e documentazione di catalogo. È lì, e non altrove, che si accerterebbe l'esistenza di rapporti contrattuali con autori stranieri di area governativa. Bersaglio: verificarne regime di accesso e strumenti di ricerca, che nessuna campagna del corpus ha finora censito.</w:t>
      </w:r>
    </w:p>
    <w:p>
      <w:pPr>
        <w:spacing w:after="120" w:line="276"/>
        <w:jc w:val="both"/>
      </w:pPr>
      <w:r>
        <w:rPr>
          <w:rFonts w:ascii="Barlow Semi Condensed" w:cs="Barlow Semi Condensed" w:eastAsia="Barlow Semi Condensed" w:hAnsi="Barlow Semi Condensed"/>
          <w:b/>
          <w:bCs/>
          <w:sz w:val="24"/>
          <w:szCs w:val="24"/>
        </w:rPr>
        <w:t xml:space="preserve">1601 · La prova di catalogo, formulata.</w:t>
      </w:r>
      <w:r>
        <w:rPr>
          <w:rFonts w:ascii="Barlow Semi Condensed" w:cs="Barlow Semi Condensed" w:eastAsia="Barlow Semi Condensed" w:hAnsi="Barlow Semi Condensed"/>
          <w:sz w:val="24"/>
          <w:szCs w:val="24"/>
        </w:rPr>
        <w:t xml:space="preserve"> Quesito nettissimo, verificabile in un'ora sul catalogo del Servizio bibliotecario nazionale: il nome qui triangolato ha mai figurato come autore in una collana della casa editrice milanese, prima o dopo il 1972? La domanda è cruciale perché una risposta affermativa produrrebbe un rapporto contrattuale documentato, cioè l'unico piano 1 immaginabile fra questo nome e questo territorio.</w:t>
      </w:r>
    </w:p>
    <w:p>
      <w:pPr>
        <w:spacing w:after="120" w:line="276"/>
        <w:jc w:val="both"/>
      </w:pPr>
      <w:r>
        <w:rPr>
          <w:rFonts w:ascii="Barlow Semi Condensed" w:cs="Barlow Semi Condensed" w:eastAsia="Barlow Semi Condensed" w:hAnsi="Barlow Semi Condensed"/>
          <w:b/>
          <w:bCs/>
          <w:sz w:val="24"/>
          <w:szCs w:val="24"/>
        </w:rPr>
        <w:t xml:space="preserve">1602 · Se il catalogo restituisse un titolo.</w:t>
      </w:r>
      <w:r>
        <w:rPr>
          <w:rFonts w:ascii="Barlow Semi Condensed" w:cs="Barlow Semi Condensed" w:eastAsia="Barlow Semi Condensed" w:hAnsi="Barlow Semi Condensed"/>
          <w:sz w:val="24"/>
          <w:szCs w:val="24"/>
        </w:rPr>
        <w:t xml:space="preserve"> Un titolo trovato proverebbe un contratto fra un autore e una casa editrice: null'altro. Non un rapporto con il fondatore, morto prima; non una condivisione di posizioni; non un canale. La proprietà non è la linea, insegna il blocco 521, e il rapporto editoriale è ancora meno della proprietà: è una transazione fra un testo e un catalogo, e si legge così.</w:t>
      </w:r>
    </w:p>
    <w:p>
      <w:pPr>
        <w:spacing w:after="120" w:line="276"/>
        <w:jc w:val="both"/>
      </w:pPr>
      <w:r>
        <w:rPr>
          <w:rFonts w:ascii="Barlow Semi Condensed" w:cs="Barlow Semi Condensed" w:eastAsia="Barlow Semi Condensed" w:hAnsi="Barlow Semi Condensed"/>
          <w:b/>
          <w:bCs/>
          <w:sz w:val="24"/>
          <w:szCs w:val="24"/>
        </w:rPr>
        <w:t xml:space="preserve">1603 · Il catalogo muto, e come si scrive.</w:t>
      </w:r>
      <w:r>
        <w:rPr>
          <w:rFonts w:ascii="Barlow Semi Condensed" w:cs="Barlow Semi Condensed" w:eastAsia="Barlow Semi Condensed" w:hAnsi="Barlow Semi Condensed"/>
          <w:sz w:val="24"/>
          <w:szCs w:val="24"/>
        </w:rPr>
        <w:t xml:space="preserve"> Un catalogo muto obbligherebbe invece a verbalizzare Stato Zero con la data dell'interrogazione, la banca dati usata e le forme del nome cercate, comprese le varianti anagrafiche fra Heinz e Henry. L'assenza dal catalogo di un editore non significa assenza dal mercato italiano: significa che quel canale non fu usato, il che è esattamente ciò che questa serie voleva sapere.</w:t>
      </w:r>
    </w:p>
    <w:p>
      <w:pPr>
        <w:spacing w:after="120" w:line="276"/>
        <w:jc w:val="both"/>
      </w:pPr>
      <w:r>
        <w:rPr>
          <w:rFonts w:ascii="Barlow Semi Condensed" w:cs="Barlow Semi Condensed" w:eastAsia="Barlow Semi Condensed" w:hAnsi="Barlow Semi Condensed"/>
          <w:b/>
          <w:bCs/>
          <w:sz w:val="24"/>
          <w:szCs w:val="24"/>
        </w:rPr>
        <w:t xml:space="preserve">1604 · Gli indici di tre volumi memorialistici.</w:t>
      </w:r>
      <w:r>
        <w:rPr>
          <w:rFonts w:ascii="Barlow Semi Condensed" w:cs="Barlow Semi Condensed" w:eastAsia="Barlow Semi Condensed" w:hAnsi="Barlow Semi Condensed"/>
          <w:sz w:val="24"/>
          <w:szCs w:val="24"/>
        </w:rPr>
        <w:t xml:space="preserve"> Bersaglio speculare e altrettanto economico: scorrere gli indici dei nomi dei tre volumi memorialistici del nome triangolato, pubblicati fra il 1979 e il 1999, cercandovi l'editore milanese, i Gruppi d'Azione Partigiana e le Brigate Rosse. Un'assenza a indice, verbalizzata con edizione e pagine, dice che cosa il corpus dichiarato dell'autore riteneva pertinente al proprio racconto.</w:t>
      </w:r>
    </w:p>
    <w:p>
      <w:pPr>
        <w:spacing w:after="120" w:line="276"/>
        <w:jc w:val="both"/>
      </w:pPr>
      <w:r>
        <w:rPr>
          <w:rFonts w:ascii="Barlow Semi Condensed" w:cs="Barlow Semi Condensed" w:eastAsia="Barlow Semi Condensed" w:hAnsi="Barlow Semi Condensed"/>
          <w:b/>
          <w:bCs/>
          <w:sz w:val="24"/>
          <w:szCs w:val="24"/>
        </w:rPr>
        <w:t xml:space="preserve">1605 · Il Bollettino e il terrorismo italiano.</w:t>
      </w:r>
      <w:r>
        <w:rPr>
          <w:rFonts w:ascii="Barlow Semi Condensed" w:cs="Barlow Semi Condensed" w:eastAsia="Barlow Semi Condensed" w:hAnsi="Barlow Semi Condensed"/>
          <w:sz w:val="24"/>
          <w:szCs w:val="24"/>
        </w:rPr>
        <w:t xml:space="preserve"> Terzo controllo sul dichiarato: il Bollettino del Dipartimento di Stato, sede in cui discorsi e dichiarazioni furono pubblicati ufficialmente, per le annate 1973-1977. Bersaglio: la tavola delle occorrenze in cui il terrorismo italiano compaia, con numero e pagina. Il blocco 80 della prima campagna prescrive proprio questo strumento per fissare il testo autorevole prima di ricorrere a ritagli e raccolte private.</w:t>
      </w:r>
    </w:p>
    <w:p>
      <w:pPr>
        <w:spacing w:after="120" w:line="276"/>
        <w:jc w:val="both"/>
      </w:pPr>
      <w:r>
        <w:rPr>
          <w:rFonts w:ascii="Barlow Semi Condensed" w:cs="Barlow Semi Condensed" w:eastAsia="Barlow Semi Condensed" w:hAnsi="Barlow Semi Condensed"/>
          <w:b/>
          <w:bCs/>
          <w:sz w:val="24"/>
          <w:szCs w:val="24"/>
        </w:rPr>
        <w:t xml:space="preserve">1606 · Le librerie non sono un nesso.</w:t>
      </w:r>
      <w:r>
        <w:rPr>
          <w:rFonts w:ascii="Barlow Semi Condensed" w:cs="Barlow Semi Condensed" w:eastAsia="Barlow Semi Condensed" w:hAnsi="Barlow Semi Condensed"/>
          <w:sz w:val="24"/>
          <w:szCs w:val="24"/>
        </w:rPr>
        <w:t xml:space="preserve"> Anti-triangolazione preventiva, banale e necessaria: che le librerie fondate dall'editore vendano oggi i libri dell'autore qui triangolato non stabilisce nulla, né allora né adesso. Una libreria distribuisce ciò che il mercato produce. Il corpus nomina questi accostamenti per disinnescarli in anticipo, perché sono precisamente il materiale con cui si costruiscono a costo zero i nessi apparenti.</w:t>
      </w:r>
    </w:p>
    <w:p>
      <w:pPr>
        <w:spacing w:after="120" w:line="276"/>
        <w:jc w:val="both"/>
      </w:pPr>
      <w:r>
        <w:rPr>
          <w:rFonts w:ascii="Barlow Semi Condensed" w:cs="Barlow Semi Condensed" w:eastAsia="Barlow Semi Condensed" w:hAnsi="Barlow Semi Condensed"/>
          <w:b/>
          <w:bCs/>
          <w:sz w:val="24"/>
          <w:szCs w:val="24"/>
        </w:rPr>
        <w:t xml:space="preserve">1607 · L'ente di oggi, l'uomo di allora.</w:t>
      </w:r>
      <w:r>
        <w:rPr>
          <w:rFonts w:ascii="Barlow Semi Condensed" w:cs="Barlow Semi Condensed" w:eastAsia="Barlow Semi Condensed" w:hAnsi="Barlow Semi Condensed"/>
          <w:sz w:val="24"/>
          <w:szCs w:val="24"/>
        </w:rPr>
        <w:t xml:space="preserve"> Secondo disinnesco: la Fondazione che oggi organizza convegni internazionali è ente riconosciuto nel 1974 e vissuto mezzo secolo oltre il fondatore. Attribuire alla persona le scelte dell'istituzione, o viceversa, è anacronismo della stessa famiglia di quello che il blocco 375 ha corretto per la Spagna del 1978. Il controllo cronologico della domanda precede la ricerca, e ne è la parte più economica.</w:t>
      </w:r>
    </w:p>
    <w:p>
      <w:pPr>
        <w:spacing w:after="120" w:line="276"/>
        <w:jc w:val="both"/>
      </w:pPr>
      <w:r>
        <w:rPr>
          <w:rFonts w:ascii="Barlow Semi Condensed" w:cs="Barlow Semi Condensed" w:eastAsia="Barlow Semi Condensed" w:hAnsi="Barlow Semi Condensed"/>
          <w:b/>
          <w:bCs/>
          <w:sz w:val="24"/>
          <w:szCs w:val="24"/>
        </w:rPr>
        <w:t xml:space="preserve">1608 · Il marchio che ritorna nel 1998.</w:t>
      </w:r>
      <w:r>
        <w:rPr>
          <w:rFonts w:ascii="Barlow Semi Condensed" w:cs="Barlow Semi Condensed" w:eastAsia="Barlow Semi Condensed" w:hAnsi="Barlow Semi Condensed"/>
          <w:sz w:val="24"/>
          <w:szCs w:val="24"/>
        </w:rPr>
        <w:t xml:space="preserve"> La triangolazione dei condannati registra che la memoria della carceriera di via Montalcini uscì nel 1998 presso la casa editrice fondata dal vettore, e la qualifica come convergenza di catalogo, non come nesso fra persone. Lo si richiama qui per una ragione sola: mostrare come il territorio stesso tratti una coincidenza editoriale, e pretendere che al nostro nome si applichi il medesimo metro.</w:t>
      </w:r>
    </w:p>
    <w:p>
      <w:pPr>
        <w:spacing w:after="120" w:line="276"/>
        <w:jc w:val="both"/>
      </w:pPr>
      <w:r>
        <w:rPr>
          <w:rFonts w:ascii="Barlow Semi Condensed" w:cs="Barlow Semi Condensed" w:eastAsia="Barlow Semi Condensed" w:hAnsi="Barlow Semi Condensed"/>
          <w:b/>
          <w:bCs/>
          <w:sz w:val="24"/>
          <w:szCs w:val="24"/>
        </w:rPr>
        <w:t xml:space="preserve">1609 · Moltiplicazione apparente, applicata a Segrate.</w:t>
      </w:r>
      <w:r>
        <w:rPr>
          <w:rFonts w:ascii="Barlow Semi Condensed" w:cs="Barlow Semi Condensed" w:eastAsia="Barlow Semi Condensed" w:hAnsi="Barlow Semi Condensed"/>
          <w:sz w:val="24"/>
          <w:szCs w:val="24"/>
        </w:rPr>
        <w:t xml:space="preserve"> L'opera ha già accertato che la moltiplicazione delle fonti sull'episodio del presunto avvertimento è apparente, perché risale a un unico lancio d'agenzia del 30 novembre 2023. Lo stesso strumento va applicato alla congettura su Segrate: contare non le riprese, ma le fonti indipendenti. Cento riprese di una sola origine restano una sola fonte, e il conteggio va rifatto a ogni anniversario.</w:t>
      </w:r>
    </w:p>
    <w:p>
      <w:pPr>
        <w:spacing w:after="120" w:line="276"/>
        <w:jc w:val="both"/>
      </w:pPr>
      <w:r>
        <w:rPr>
          <w:rFonts w:ascii="Barlow Semi Condensed" w:cs="Barlow Semi Condensed" w:eastAsia="Barlow Semi Condensed" w:hAnsi="Barlow Semi Condensed"/>
          <w:b/>
          <w:bCs/>
          <w:sz w:val="24"/>
          <w:szCs w:val="24"/>
        </w:rPr>
        <w:t xml:space="preserve">1610 · La divergenza sulle date, riportata.</w:t>
      </w:r>
      <w:r>
        <w:rPr>
          <w:rFonts w:ascii="Barlow Semi Condensed" w:cs="Barlow Semi Condensed" w:eastAsia="Barlow Semi Condensed" w:hAnsi="Barlow Semi Condensed"/>
          <w:sz w:val="24"/>
          <w:szCs w:val="24"/>
        </w:rPr>
        <w:t xml:space="preserve"> Il territorio ha sciolto una divergenza — morte il 14 marzo, ritrovamento il 15 — e l'ha scritta con nota di revisione anziché correggere in silenzio, secondo il metodo che il blocco 622 impone. Chi riprenda questa serie tenga la stessa disciplina per l'anagrafe del nome triangolato, dove la data dell'anglicizzazione resta contesa fra il 1938 delle opere di consultazione e il 1942-1943 del fascicolo d'immigrazione.</w:t>
      </w:r>
    </w:p>
    <w:p>
      <w:pPr>
        <w:spacing w:after="120" w:line="276"/>
        <w:jc w:val="both"/>
      </w:pPr>
      <w:r>
        <w:rPr>
          <w:rFonts w:ascii="Barlow Semi Condensed" w:cs="Barlow Semi Condensed" w:eastAsia="Barlow Semi Condensed" w:hAnsi="Barlow Semi Condensed"/>
          <w:b/>
          <w:bCs/>
          <w:sz w:val="24"/>
          <w:szCs w:val="24"/>
        </w:rPr>
        <w:t xml:space="preserve">1611 · Il giudicato del 1979 e il limite.</w:t>
      </w:r>
      <w:r>
        <w:rPr>
          <w:rFonts w:ascii="Barlow Semi Condensed" w:cs="Barlow Semi Condensed" w:eastAsia="Barlow Semi Condensed" w:hAnsi="Barlow Semi Condensed"/>
          <w:sz w:val="24"/>
          <w:szCs w:val="24"/>
        </w:rPr>
        <w:t xml:space="preserve"> La ricostruzione accolta in sede processuale nel 1979, riscontrata sui nastri rinvenuti nel covo di Robbiano di Mediglia, è quella dell'incidente durante un'azione di sabotaggio. Questa serie non la discute, non la corregge e non la usa per costruire altro. Il corpus si ferma al giudicato: è la regola che rende inutilizzabile, qui come altrove, ogni suggestione su mani esterne.</w:t>
      </w:r>
    </w:p>
    <w:p>
      <w:pPr>
        <w:spacing w:after="120" w:line="276"/>
        <w:jc w:val="both"/>
      </w:pPr>
      <w:r>
        <w:rPr>
          <w:rFonts w:ascii="Barlow Semi Condensed" w:cs="Barlow Semi Condensed" w:eastAsia="Barlow Semi Condensed" w:hAnsi="Barlow Semi Condensed"/>
          <w:b/>
          <w:bCs/>
          <w:sz w:val="24"/>
          <w:szCs w:val="24"/>
        </w:rPr>
        <w:t xml:space="preserve">1612 · Nessuna responsabilità penale, detto per esteso.</w:t>
      </w:r>
      <w:r>
        <w:rPr>
          <w:rFonts w:ascii="Barlow Semi Condensed" w:cs="Barlow Semi Condensed" w:eastAsia="Barlow Semi Condensed" w:hAnsi="Barlow Semi Condensed"/>
          <w:sz w:val="24"/>
          <w:szCs w:val="24"/>
        </w:rPr>
        <w:t xml:space="preserve"> Va scritto senza perifrasi, in una serie che accosta un nome americano a una morte italiana: Henry Kissinger non fu mai imputato né processato in alcun Paese e non fu condannato in alcun processo, e nessun blocco di questa serie lo indica come responsabile di alcun reato. L'accostamento qui operato è di territorio documentale, e produce quasi soltanto assenze dichiarate.</w:t>
      </w:r>
    </w:p>
    <w:p>
      <w:pPr>
        <w:spacing w:after="120" w:line="276"/>
        <w:jc w:val="both"/>
      </w:pPr>
      <w:r>
        <w:rPr>
          <w:rFonts w:ascii="Barlow Semi Condensed" w:cs="Barlow Semi Condensed" w:eastAsia="Barlow Semi Condensed" w:hAnsi="Barlow Semi Condensed"/>
          <w:b/>
          <w:bCs/>
          <w:sz w:val="24"/>
          <w:szCs w:val="24"/>
        </w:rPr>
        <w:t xml:space="preserve">1613 · La smentita generale della serie.</w:t>
      </w:r>
      <w:r>
        <w:rPr>
          <w:rFonts w:ascii="Barlow Semi Condensed" w:cs="Barlow Semi Condensed" w:eastAsia="Barlow Semi Condensed" w:hAnsi="Barlow Semi Condensed"/>
          <w:sz w:val="24"/>
          <w:szCs w:val="24"/>
        </w:rPr>
        <w:t xml:space="preserve"> Bersaglio di falsificazione complessivo: la comparsa di un documento di provenienza — informativa d'ambasciata, memorandum di conversazione, trascrizione telefonica, nota consolare — che nomini insieme il nome triangolato e l'editore milanese, in qualunque anno fra il 1957 e il 1972. Un solo foglio di quel genere porterebbe il nodo dal nulla al piano 1 e obbligherebbe a rifare questa serie da capo.</w:t>
      </w:r>
    </w:p>
    <w:p>
      <w:pPr>
        <w:spacing w:after="120" w:line="276"/>
        <w:jc w:val="both"/>
      </w:pPr>
      <w:r>
        <w:rPr>
          <w:rFonts w:ascii="Barlow Semi Condensed" w:cs="Barlow Semi Condensed" w:eastAsia="Barlow Semi Condensed" w:hAnsi="Barlow Semi Condensed"/>
          <w:b/>
          <w:bCs/>
          <w:sz w:val="24"/>
          <w:szCs w:val="24"/>
        </w:rPr>
        <w:t xml:space="preserve">1614 · La smentita debole, e il suo limite.</w:t>
      </w:r>
      <w:r>
        <w:rPr>
          <w:rFonts w:ascii="Barlow Semi Condensed" w:cs="Barlow Semi Condensed" w:eastAsia="Barlow Semi Condensed" w:hAnsi="Barlow Semi Condensed"/>
          <w:sz w:val="24"/>
          <w:szCs w:val="24"/>
        </w:rPr>
        <w:t xml:space="preserve"> Falsificazione più modesta e più probabile: un documento che nomini l'apparato culturale atlantico e la casa editrice milanese senza nominare la persona. Sposterebbe la convergenza da genericamente strutturale a specificamente attestata fra due imprese, e nulla più. Il corpus registrerebbe l'avanzamento e ribadirebbe che fra un'impresa e un uomo che in quelle carte non compare non corre alcun ponte.</w:t>
      </w:r>
    </w:p>
    <w:p>
      <w:pPr>
        <w:spacing w:after="120" w:line="276"/>
        <w:jc w:val="both"/>
      </w:pPr>
      <w:r>
        <w:rPr>
          <w:rFonts w:ascii="Barlow Semi Condensed" w:cs="Barlow Semi Condensed" w:eastAsia="Barlow Semi Condensed" w:hAnsi="Barlow Semi Condensed"/>
          <w:b/>
          <w:bCs/>
          <w:sz w:val="24"/>
          <w:szCs w:val="24"/>
        </w:rPr>
        <w:t xml:space="preserve">1615 · Il vettore non diventa mandante.</w:t>
      </w:r>
      <w:r>
        <w:rPr>
          <w:rFonts w:ascii="Barlow Semi Condensed" w:cs="Barlow Semi Condensed" w:eastAsia="Barlow Semi Condensed" w:hAnsi="Barlow Semi Condensed"/>
          <w:sz w:val="24"/>
          <w:szCs w:val="24"/>
        </w:rPr>
        <w:t xml:space="preserve"> L'anti-triangolazione AT-1 vale identica se al posto delle Brigate Rosse si mette uno Stato: che qualcuno abbia trasmesso un'immagine e un libro non lo rende partecipe di ciò che altri fecero, e non lo rende neppure destinatario di un'attenzione che nessun documento attesta. Cambiare il capo del ponte non ne cambia la portata, che resta nulla in entrambe le direzioni.</w:t>
      </w:r>
    </w:p>
    <w:p>
      <w:pPr>
        <w:spacing w:after="120" w:line="276"/>
        <w:jc w:val="both"/>
      </w:pPr>
      <w:r>
        <w:rPr>
          <w:rFonts w:ascii="Barlow Semi Condensed" w:cs="Barlow Semi Condensed" w:eastAsia="Barlow Semi Condensed" w:hAnsi="Barlow Semi Condensed"/>
          <w:b/>
          <w:bCs/>
          <w:sz w:val="24"/>
          <w:szCs w:val="24"/>
        </w:rPr>
        <w:t xml:space="preserve">1616 · Il calendario prima della prova.</w:t>
      </w:r>
      <w:r>
        <w:rPr>
          <w:rFonts w:ascii="Barlow Semi Condensed" w:cs="Barlow Semi Condensed" w:eastAsia="Barlow Semi Condensed" w:hAnsi="Barlow Semi Condensed"/>
          <w:sz w:val="24"/>
          <w:szCs w:val="24"/>
        </w:rPr>
        <w:t xml:space="preserve"> La formula più utile che il territorio consegna a questa serie è quella dell'anti-triangolazione ATI-1: fra due entità separate da anni non esiste rapporto per ragioni di calendario prima che di prova. Applicata qui, elimina in un colpo ogni ipotesi che coinvolga la carica di Segretario di Stato, assunta diciotto mesi dopo Segrate, e riduce il campo a tre anni scarsi.</w:t>
      </w:r>
    </w:p>
    <w:p>
      <w:pPr>
        <w:spacing w:after="120" w:line="276"/>
        <w:jc w:val="both"/>
      </w:pPr>
      <w:r>
        <w:rPr>
          <w:rFonts w:ascii="Barlow Semi Condensed" w:cs="Barlow Semi Condensed" w:eastAsia="Barlow Semi Condensed" w:hAnsi="Barlow Semi Condensed"/>
          <w:b/>
          <w:bCs/>
          <w:sz w:val="24"/>
          <w:szCs w:val="24"/>
        </w:rPr>
        <w:t xml:space="preserve">1617 · L'ecosistema e chi non appartiene.</w:t>
      </w:r>
      <w:r>
        <w:rPr>
          <w:rFonts w:ascii="Barlow Semi Condensed" w:cs="Barlow Semi Condensed" w:eastAsia="Barlow Semi Condensed" w:hAnsi="Barlow Semi Condensed"/>
          <w:sz w:val="24"/>
          <w:szCs w:val="24"/>
        </w:rPr>
        <w:t xml:space="preserve"> Ogni schema che voglia l'editore agente di una parte deve cancellare metà della sua biografia documentata — contro il Cremlino nel 1957, contro l'ordine atlantico nel 1967-68 — così conclude il ponte B-7, ed è la tesi-limite dell'ecosistema contro l'organismo. Questa serie la conferma per sottrazione: nessun fondo della potenza atlantica risulta mai interrogato per suo nome, e finché non lo sarà nessuna lettura di parte possiede carte.</w:t>
      </w:r>
    </w:p>
    <w:p>
      <w:pPr>
        <w:spacing w:after="120" w:line="276"/>
        <w:jc w:val="both"/>
      </w:pPr>
      <w:r>
        <w:rPr>
          <w:rFonts w:ascii="Barlow Semi Condensed" w:cs="Barlow Semi Condensed" w:eastAsia="Barlow Semi Condensed" w:hAnsi="Barlow Semi Condensed"/>
          <w:b/>
          <w:bCs/>
          <w:sz w:val="24"/>
          <w:szCs w:val="24"/>
        </w:rPr>
        <w:t xml:space="preserve">1618 · Trasferimento orizzontale, e chi non partecipa.</w:t>
      </w:r>
      <w:r>
        <w:rPr>
          <w:rFonts w:ascii="Barlow Semi Condensed" w:cs="Barlow Semi Condensed" w:eastAsia="Barlow Semi Condensed" w:hAnsi="Barlow Semi Condensed"/>
          <w:sz w:val="24"/>
          <w:szCs w:val="24"/>
        </w:rPr>
        <w:t xml:space="preserve"> Il blocco 732 descrive la trasmissione laterale del mito — manifesto nel 1967, diario nel 1968, genealogia dichiarata delle Brigate Rosse — e la colloca al piano 2. In quel processo il nome qui triangolato non compare in alcuna posizione: né emittente, né canale, né ricevente. Non è un vettore di questo territorio, ed è la conclusione più semplice e più solida dell'intera serie.</w:t>
      </w:r>
    </w:p>
    <w:p>
      <w:pPr>
        <w:spacing w:after="120" w:line="276"/>
        <w:jc w:val="both"/>
      </w:pPr>
      <w:r>
        <w:rPr>
          <w:rFonts w:ascii="Barlow Semi Condensed" w:cs="Barlow Semi Condensed" w:eastAsia="Barlow Semi Condensed" w:hAnsi="Barlow Semi Condensed"/>
          <w:b/>
          <w:bCs/>
          <w:sz w:val="24"/>
          <w:szCs w:val="24"/>
        </w:rPr>
        <w:t xml:space="preserve">1619 · Bilancio della serie, contato.</w:t>
      </w:r>
      <w:r>
        <w:rPr>
          <w:rFonts w:ascii="Barlow Semi Condensed" w:cs="Barlow Semi Condensed" w:eastAsia="Barlow Semi Condensed" w:hAnsi="Barlow Semi Condensed"/>
          <w:sz w:val="24"/>
          <w:szCs w:val="24"/>
        </w:rPr>
        <w:t xml:space="preserve"> Ottanta bersagli: rapporti diretti documentati, zero; convergenze strutturali dichiarate al piano 2, due, l'apparato culturale atlantico e la cornice della guerra fredda; affermazioni secondarie qualificate e non promosse, tre; Stati Zero verbalizzati con sede, la maggioranza. Nove sedi statunitensi e nove italiane sono state nominate una per una. Nessun blocco promuove un piano, nessuno aggiunge un nome al giudicato.</w:t>
      </w:r>
    </w:p>
    <w:p>
      <w:pPr>
        <w:spacing w:after="120" w:line="276"/>
        <w:jc w:val="both"/>
      </w:pPr>
      <w:r>
        <w:rPr>
          <w:rFonts w:ascii="Barlow Semi Condensed" w:cs="Barlow Semi Condensed" w:eastAsia="Barlow Semi Condensed" w:hAnsi="Barlow Semi Condensed"/>
          <w:b/>
          <w:bCs/>
          <w:sz w:val="24"/>
          <w:szCs w:val="24"/>
        </w:rPr>
        <w:t xml:space="preserve">1620 · Ciò che la serie non stabilisce.</w:t>
      </w:r>
      <w:r>
        <w:rPr>
          <w:rFonts w:ascii="Barlow Semi Condensed" w:cs="Barlow Semi Condensed" w:eastAsia="Barlow Semi Condensed" w:hAnsi="Barlow Semi Condensed"/>
          <w:sz w:val="24"/>
          <w:szCs w:val="24"/>
        </w:rPr>
        <w:t xml:space="preserve"> Non ha stabilito che il nome triangolato si sia occupato dell'editore milanese, né che non se ne sia occupato; non ha stabilito alcun rapporto fra una potenza e una morte; non ha aggiunto nulla al giudicato del 1979 né tolto nulla alla congettura, che resta congettura. Ha stabilito dove guardare, con quali segnature, e che cosa scrivere se non si troverà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ventiduesima — Il ceppo Simioni e il nodo Hyperion</w:t>
      </w:r>
    </w:p>
    <w:p>
      <w:pPr>
        <w:spacing w:after="120" w:line="276"/>
        <w:jc w:val="both"/>
      </w:pPr>
      <w:r>
        <w:rPr>
          <w:rFonts w:ascii="Barlow Semi Condensed" w:cs="Barlow Semi Condensed" w:eastAsia="Barlow Semi Condensed" w:hAnsi="Barlow Semi Condensed"/>
          <w:i/>
          <w:iCs/>
          <w:sz w:val="24"/>
          <w:szCs w:val="24"/>
        </w:rPr>
        <w:t xml:space="preserve">Blocchi 1621-1700.</w:t>
      </w:r>
    </w:p>
    <w:p>
      <w:pPr>
        <w:spacing w:after="120" w:line="276"/>
        <w:jc w:val="both"/>
      </w:pPr>
      <w:r>
        <w:rPr>
          <w:rFonts w:ascii="Barlow Semi Condensed" w:cs="Barlow Semi Condensed" w:eastAsia="Barlow Semi Condensed" w:hAnsi="Barlow Semi Condensed"/>
          <w:b/>
          <w:bCs/>
          <w:sz w:val="24"/>
          <w:szCs w:val="24"/>
        </w:rPr>
        <w:t xml:space="preserve">1621 · Statuto della ventiduesima serie.</w:t>
      </w:r>
      <w:r>
        <w:rPr>
          <w:rFonts w:ascii="Barlow Semi Condensed" w:cs="Barlow Semi Condensed" w:eastAsia="Barlow Semi Condensed" w:hAnsi="Barlow Semi Condensed"/>
          <w:sz w:val="24"/>
          <w:szCs w:val="24"/>
        </w:rPr>
        <w:t xml:space="preserve"> Questa serie triangola un solo nome contro tre schede del corpus: il ceppo Simioni, la triangolazione Hyperion e la triangolazione d'incrocio Feltrinelli-Hyperion. Le tre sono state lette per intero prima della stesura. L'esito si dichiara subito perché governa ogni blocco che segue: nessuna delle tre nomina Henry Kissinger, in nessuna riga e in nessuna nota. La serie lavora dunque in prevalenza sul perimetro negativo, con le sedi che lo chiuderebbero.</w:t>
      </w:r>
    </w:p>
    <w:p>
      <w:pPr>
        <w:spacing w:after="120" w:line="276"/>
        <w:jc w:val="both"/>
      </w:pPr>
      <w:r>
        <w:rPr>
          <w:rFonts w:ascii="Barlow Semi Condensed" w:cs="Barlow Semi Condensed" w:eastAsia="Barlow Semi Condensed" w:hAnsi="Barlow Semi Condensed"/>
          <w:b/>
          <w:bCs/>
          <w:sz w:val="24"/>
          <w:szCs w:val="24"/>
        </w:rPr>
        <w:t xml:space="preserve">1622 · Il conteggio, con la sua ricetta.</w:t>
      </w:r>
      <w:r>
        <w:rPr>
          <w:rFonts w:ascii="Barlow Semi Condensed" w:cs="Barlow Semi Condensed" w:eastAsia="Barlow Semi Condensed" w:hAnsi="Barlow Semi Condensed"/>
          <w:sz w:val="24"/>
          <w:szCs w:val="24"/>
        </w:rPr>
        <w:t xml:space="preserve"> L'interrogazione è stata eseguita e si dichiara per intero, come impone il blocco 644 dell'opera: stringa «Kissinger», ricerca insensibile alle maiuscole, sui tre file assegnati nella versione corrente del ramo pubblico. Il risultato è zero occorrenze in ciascuno dei tre. Il denominatore è piccolo, tre documenti per poche decine di migliaia di caratteri, ma è dichiarato: un numero senza ricetta non si pubblica, e senza denominatore non si confronta.</w:t>
      </w:r>
    </w:p>
    <w:p>
      <w:pPr>
        <w:spacing w:after="120" w:line="276"/>
        <w:jc w:val="both"/>
      </w:pPr>
      <w:r>
        <w:rPr>
          <w:rFonts w:ascii="Barlow Semi Condensed" w:cs="Barlow Semi Condensed" w:eastAsia="Barlow Semi Condensed" w:hAnsi="Barlow Semi Condensed"/>
          <w:b/>
          <w:bCs/>
          <w:sz w:val="24"/>
          <w:szCs w:val="24"/>
        </w:rPr>
        <w:t xml:space="preserve">1623 · Perché lo zero era prevedibile.</w:t>
      </w:r>
      <w:r>
        <w:rPr>
          <w:rFonts w:ascii="Barlow Semi Condensed" w:cs="Barlow Semi Condensed" w:eastAsia="Barlow Semi Condensed" w:hAnsi="Barlow Semi Condensed"/>
          <w:sz w:val="24"/>
          <w:szCs w:val="24"/>
        </w:rPr>
        <w:t xml:space="preserve"> Due comunità di fonti si dividono la materia: la letteratura su Hyperion è giudiziaria italiana e archivistica francese, quella sull'oggetto di questa campagna è diplomatica americana. Lingue di lavoro diverse, archivi diversi, sistemi di segnature diversi. Il basso rapporto di co-occorrenza fra i due domini non è indizio di assenza di rapporti: è indizio che nessuno ha scritto un documento che li tratti insieme, come impone di diagnosticare il blocco 642.</w:t>
      </w:r>
    </w:p>
    <w:p>
      <w:pPr>
        <w:spacing w:after="120" w:line="276"/>
        <w:jc w:val="both"/>
      </w:pPr>
      <w:r>
        <w:rPr>
          <w:rFonts w:ascii="Barlow Semi Condensed" w:cs="Barlow Semi Condensed" w:eastAsia="Barlow Semi Condensed" w:hAnsi="Barlow Semi Condensed"/>
          <w:b/>
          <w:bCs/>
          <w:sz w:val="24"/>
          <w:szCs w:val="24"/>
        </w:rPr>
        <w:t xml:space="preserve">1624 · I tre piani sul territorio assegnato.</w:t>
      </w:r>
      <w:r>
        <w:rPr>
          <w:rFonts w:ascii="Barlow Semi Condensed" w:cs="Barlow Semi Condensed" w:eastAsia="Barlow Semi Condensed" w:hAnsi="Barlow Semi Condensed"/>
          <w:sz w:val="24"/>
          <w:szCs w:val="24"/>
        </w:rPr>
        <w:t xml:space="preserve"> Nessun arco di piano uno esiste in questo territorio: non un memorandum, non un telegramma, non una nota informativa che nomini insieme il nome e uno dei tre fondatori della scuola parigina. Restano convergenze di cornice, che si dichiarano e non si promuovono, e restano affermazioni terziarie da qualificare, che qui però il corpus non registra nemmeno. La serie tiene i tre piani separati come li ha ricevuti.</w:t>
      </w:r>
    </w:p>
    <w:p>
      <w:pPr>
        <w:spacing w:after="120" w:line="276"/>
        <w:jc w:val="both"/>
      </w:pPr>
      <w:r>
        <w:rPr>
          <w:rFonts w:ascii="Barlow Semi Condensed" w:cs="Barlow Semi Condensed" w:eastAsia="Barlow Semi Condensed" w:hAnsi="Barlow Semi Condensed"/>
          <w:b/>
          <w:bCs/>
          <w:sz w:val="24"/>
          <w:szCs w:val="24"/>
        </w:rPr>
        <w:t xml:space="preserve">1625 · Il divieto di personificare gli americani.</w:t>
      </w:r>
      <w:r>
        <w:rPr>
          <w:rFonts w:ascii="Barlow Semi Condensed" w:cs="Barlow Semi Condensed" w:eastAsia="Barlow Semi Condensed" w:hAnsi="Barlow Semi Condensed"/>
          <w:sz w:val="24"/>
          <w:szCs w:val="24"/>
        </w:rPr>
        <w:t xml:space="preserve"> Apparati, non persone americane, è ciò che il territorio nomina: l'United States Information Service dove Simioni lavorò nel 1967, l'emittente di Monaco finanziata dalla CIA nel «si dice», il servizio d'informazione che la tesi B evoca a proposito della sede di Rouen. Il passaggio da un apparato al nome più celebre della politica estera statunitense è un'operazione retorica. Nessuna sigla produce da sola un cognome, e nessun cognome eredita gli atti di una sigla.</w:t>
      </w:r>
    </w:p>
    <w:p>
      <w:pPr>
        <w:spacing w:after="120" w:line="276"/>
        <w:jc w:val="both"/>
      </w:pPr>
      <w:r>
        <w:rPr>
          <w:rFonts w:ascii="Barlow Semi Condensed" w:cs="Barlow Semi Condensed" w:eastAsia="Barlow Semi Condensed" w:hAnsi="Barlow Semi Condensed"/>
          <w:b/>
          <w:bCs/>
          <w:sz w:val="24"/>
          <w:szCs w:val="24"/>
        </w:rPr>
        <w:t xml:space="preserve">1626 · Che cosa smentirebbe l'intera serie.</w:t>
      </w:r>
      <w:r>
        <w:rPr>
          <w:rFonts w:ascii="Barlow Semi Condensed" w:cs="Barlow Semi Condensed" w:eastAsia="Barlow Semi Condensed" w:hAnsi="Barlow Semi Condensed"/>
          <w:sz w:val="24"/>
          <w:szCs w:val="24"/>
        </w:rPr>
        <w:t xml:space="preserve"> Basterebbe un solo documento di provenienza — un memorandum of conversation, un telegramma d'ambasciata, una trascrizione telefonica, una nota di servizio — datato, protocollato e conservato in una sede citabile, in cui il nome comparisse accanto a Hyperion, al Superclan o a uno dei tre fondatori in relazione di condotta. Non esiste, allo stato delle ricerche dichiarate. Le sedi dove andrebbe cercato sono nominate nei blocchi che seguono.</w:t>
      </w:r>
    </w:p>
    <w:p>
      <w:pPr>
        <w:spacing w:after="120" w:line="276"/>
        <w:jc w:val="both"/>
      </w:pPr>
      <w:r>
        <w:rPr>
          <w:rFonts w:ascii="Barlow Semi Condensed" w:cs="Barlow Semi Condensed" w:eastAsia="Barlow Semi Condensed" w:hAnsi="Barlow Semi Condensed"/>
          <w:b/>
          <w:bCs/>
          <w:sz w:val="24"/>
          <w:szCs w:val="24"/>
        </w:rPr>
        <w:t xml:space="preserve">1627 · Fra due date del 1969.</w:t>
      </w:r>
      <w:r>
        <w:rPr>
          <w:rFonts w:ascii="Barlow Semi Condensed" w:cs="Barlow Semi Condensed" w:eastAsia="Barlow Semi Condensed" w:hAnsi="Barlow Semi Condensed"/>
          <w:sz w:val="24"/>
          <w:szCs w:val="24"/>
        </w:rPr>
        <w:t xml:space="preserve"> Il Collettivo Politico Metropolitano fu fondato a Milano l'8 settembre 1969; l'incarico di Assistente per la sicurezza nazionale decorre dal 20 gennaio 1969. Le due date stanno nello stesso anno solare, e con questo il rapporto è esaurito. La contemporaneità non è prova di nesso: è la prima cosa che il corpus verifica e l'ultima che la pubblicistica ricorda. Nessun documento collega la seconda data alla prima.</w:t>
      </w:r>
    </w:p>
    <w:p>
      <w:pPr>
        <w:spacing w:after="120" w:line="276"/>
        <w:jc w:val="both"/>
      </w:pPr>
      <w:r>
        <w:rPr>
          <w:rFonts w:ascii="Barlow Semi Condensed" w:cs="Barlow Semi Condensed" w:eastAsia="Barlow Semi Condensed" w:hAnsi="Barlow Semi Condensed"/>
          <w:b/>
          <w:bCs/>
          <w:sz w:val="24"/>
          <w:szCs w:val="24"/>
        </w:rPr>
        <w:t xml:space="preserve">1628 · Nel 1967 non c'era carica.</w:t>
      </w:r>
      <w:r>
        <w:rPr>
          <w:rFonts w:ascii="Barlow Semi Condensed" w:cs="Barlow Semi Condensed" w:eastAsia="Barlow Semi Condensed" w:hAnsi="Barlow Semi Condensed"/>
          <w:sz w:val="24"/>
          <w:szCs w:val="24"/>
        </w:rPr>
        <w:t xml:space="preserve"> Nel 1967 Corrado Simioni rientrò a Milano e lavorò per Mondadori e per l'USIS: la scheda del ceppo grada l'impiego come fatto biografico, grado F. In quell'anno il nome di questa campagna non ricopriva alcun incarico di governo: gli incarichi cominciano il 20 gennaio 1969. Anche la lettura massima dell'impiego non può raggiungerlo per via d'ufficio. L'anti-triangolazione cronologica è completa e non richiede altro argomento.</w:t>
      </w:r>
    </w:p>
    <w:p>
      <w:pPr>
        <w:spacing w:after="120" w:line="276"/>
        <w:jc w:val="both"/>
      </w:pPr>
      <w:r>
        <w:rPr>
          <w:rFonts w:ascii="Barlow Semi Condensed" w:cs="Barlow Semi Condensed" w:eastAsia="Barlow Semi Condensed" w:hAnsi="Barlow Semi Condensed"/>
          <w:b/>
          <w:bCs/>
          <w:sz w:val="24"/>
          <w:szCs w:val="24"/>
        </w:rPr>
        <w:t xml:space="preserve">1629 · La voce di Monaco, due sedi.</w:t>
      </w:r>
      <w:r>
        <w:rPr>
          <w:rFonts w:ascii="Barlow Semi Condensed" w:cs="Barlow Semi Condensed" w:eastAsia="Barlow Semi Condensed" w:hAnsi="Barlow Semi Condensed"/>
          <w:sz w:val="24"/>
          <w:szCs w:val="24"/>
        </w:rPr>
        <w:t xml:space="preserve"> Preceduta da un «si dice», la voce su un passaggio a Radio Free Europe è classificata dalla scheda come riferita, non accertata; cronologicamente si colloca fra il 1965 e il 1967, anch'essa fuori finestra. Le sedi che la chiuderebbero sono due e sono nominabili: gli Hoover Institution Archives di Stanford per i corporate records dell'emittente e l'Open Society Archives di Budapest per le carte del Research Institute.</w:t>
      </w:r>
    </w:p>
    <w:p>
      <w:pPr>
        <w:spacing w:after="120" w:line="276"/>
        <w:jc w:val="both"/>
      </w:pPr>
      <w:r>
        <w:rPr>
          <w:rFonts w:ascii="Barlow Semi Condensed" w:cs="Barlow Semi Condensed" w:eastAsia="Barlow Semi Condensed" w:hAnsi="Barlow Semi Condensed"/>
          <w:b/>
          <w:bCs/>
          <w:sz w:val="24"/>
          <w:szCs w:val="24"/>
        </w:rPr>
        <w:t xml:space="preserve">1630 · La scissione e l'anello debole.</w:t>
      </w:r>
      <w:r>
        <w:rPr>
          <w:rFonts w:ascii="Barlow Semi Condensed" w:cs="Barlow Semi Condensed" w:eastAsia="Barlow Semi Condensed" w:hAnsi="Barlow Semi Condensed"/>
          <w:sz w:val="24"/>
          <w:szCs w:val="24"/>
        </w:rPr>
        <w:t xml:space="preserve"> Fra il 1970 e il 1971 nacque il Superclan dai nuclei di Sinistra Proletaria, e questa volta la finestra degli incarichi copre davvero gli anni. Copertura temporale, però, significa soltanto compresenza: il blocco 492 dell'opera ha già stabilito che il grado di un cammino è il grado minimo fra i suoi archi. Un arco inesistente non abbassa il grado del cammino: lo annulla, perché un cammino interrotto non è un cammino.</w:t>
      </w:r>
    </w:p>
    <w:p>
      <w:pPr>
        <w:spacing w:after="120" w:line="276"/>
        <w:jc w:val="both"/>
      </w:pPr>
      <w:r>
        <w:rPr>
          <w:rFonts w:ascii="Barlow Semi Condensed" w:cs="Barlow Semi Condensed" w:eastAsia="Barlow Semi Condensed" w:hAnsi="Barlow Semi Condensed"/>
          <w:b/>
          <w:bCs/>
          <w:sz w:val="24"/>
          <w:szCs w:val="24"/>
        </w:rPr>
        <w:t xml:space="preserve">1631 · Sulla data di fondazione, una precisazione.</w:t>
      </w:r>
      <w:r>
        <w:rPr>
          <w:rFonts w:ascii="Barlow Semi Condensed" w:cs="Barlow Semi Condensed" w:eastAsia="Barlow Semi Condensed" w:hAnsi="Barlow Semi Condensed"/>
          <w:sz w:val="24"/>
          <w:szCs w:val="24"/>
        </w:rPr>
        <w:t xml:space="preserve"> Sulla data di nascita della scuola le fonti divergono fra 1976 e 1977, e la scheda del ceppo riporta la divergenza senza scioglierla. Per questa triangolazione la divergenza acquista un rilievo accessorio: solo nella variante 1976 la fondazione cade dentro il mandato di Segretario di Stato, cessato il 20 gennaio 1977. Nessuna delle due varianti produce un arco documentale, e la precisazione serve a dirlo, non a suggerirlo.</w:t>
      </w:r>
    </w:p>
    <w:p>
      <w:pPr>
        <w:spacing w:after="120" w:line="276"/>
        <w:jc w:val="both"/>
      </w:pPr>
      <w:r>
        <w:rPr>
          <w:rFonts w:ascii="Barlow Semi Condensed" w:cs="Barlow Semi Condensed" w:eastAsia="Barlow Semi Condensed" w:hAnsi="Barlow Semi Condensed"/>
          <w:b/>
          <w:bCs/>
          <w:sz w:val="24"/>
          <w:szCs w:val="24"/>
        </w:rPr>
        <w:t xml:space="preserve">1632 · Via Nicotera, tredici mesi dopo.</w:t>
      </w:r>
      <w:r>
        <w:rPr>
          <w:rFonts w:ascii="Barlow Semi Condensed" w:cs="Barlow Semi Condensed" w:eastAsia="Barlow Semi Condensed" w:hAnsi="Barlow Semi Condensed"/>
          <w:sz w:val="24"/>
          <w:szCs w:val="24"/>
        </w:rPr>
        <w:t xml:space="preserve"> Quando nel febbraio 1978 la scuola aprì l'ufficio romano di via Nicotera 26, in uno stabile che ospitava società di copertura del SISMI, l'ultimo incarico americano era cessato da tredici mesi. Il nodo HY-4 è la coincidenza più suggestiva dell'intero fascicolo e il ponte BH-4 la registra come convergenza di tempo e di luogo, non promossa. Anche la più eloquente delle coincidenze cade fuori da ogni carica.</w:t>
      </w:r>
    </w:p>
    <w:p>
      <w:pPr>
        <w:spacing w:after="120" w:line="276"/>
        <w:jc w:val="both"/>
      </w:pPr>
      <w:r>
        <w:rPr>
          <w:rFonts w:ascii="Barlow Semi Condensed" w:cs="Barlow Semi Condensed" w:eastAsia="Barlow Semi Condensed" w:hAnsi="Barlow Semi Condensed"/>
          <w:b/>
          <w:bCs/>
          <w:sz w:val="24"/>
          <w:szCs w:val="24"/>
        </w:rPr>
        <w:t xml:space="preserve">1633 · Udine, febbraio 1982.</w:t>
      </w:r>
      <w:r>
        <w:rPr>
          <w:rFonts w:ascii="Barlow Semi Condensed" w:cs="Barlow Semi Condensed" w:eastAsia="Barlow Semi Condensed" w:hAnsi="Barlow Semi Condensed"/>
          <w:sz w:val="24"/>
          <w:szCs w:val="24"/>
        </w:rPr>
        <w:t xml:space="preserve"> All'arresto di Vanni Mulinaris, il 2 febbraio 1982, il nome di questa campagna era da cinque anni quello di un privato cittadino. Chiunque voglia collocare una mano americana su quell'atto deve prima indicare l'ufficio attraverso cui sarebbe passata, e poi il documento che lo attesta. La scheda registra invece dichiarazioni di pentiti, un'istruttoria italiana e un'assoluzione con formula piena, seguita da un risarcimento per ingiusta detenzione.</w:t>
      </w:r>
    </w:p>
    <w:p>
      <w:pPr>
        <w:spacing w:after="120" w:line="276"/>
        <w:jc w:val="both"/>
      </w:pPr>
      <w:r>
        <w:rPr>
          <w:rFonts w:ascii="Barlow Semi Condensed" w:cs="Barlow Semi Condensed" w:eastAsia="Barlow Semi Condensed" w:hAnsi="Barlow Semi Condensed"/>
          <w:b/>
          <w:bCs/>
          <w:sz w:val="24"/>
          <w:szCs w:val="24"/>
        </w:rPr>
        <w:t xml:space="preserve">1634 · I mandati e una coincidenza vuota.</w:t>
      </w:r>
      <w:r>
        <w:rPr>
          <w:rFonts w:ascii="Barlow Semi Condensed" w:cs="Barlow Semi Condensed" w:eastAsia="Barlow Semi Condensed" w:hAnsi="Barlow Semi Condensed"/>
          <w:sz w:val="24"/>
          <w:szCs w:val="24"/>
        </w:rPr>
        <w:t xml:space="preserve"> Firmati il 17 giugno 1982 dal giudice istruttore Rosario Priore, i mandati di cattura internazionali raggiunsero Berio e Simioni. Le opere di consultazione datano allo stesso 1982 la fondazione della società di consulenza intitolata al nome di questa campagna, dato che andrebbe riscontrato su atti societari. La coincidenza d'anno è priva di contenuto, e l'archivio di una società privata non è depositato in alcuna sede pubblica consultabile.</w:t>
      </w:r>
    </w:p>
    <w:p>
      <w:pPr>
        <w:spacing w:after="120" w:line="276"/>
        <w:jc w:val="both"/>
      </w:pPr>
      <w:r>
        <w:rPr>
          <w:rFonts w:ascii="Barlow Semi Condensed" w:cs="Barlow Semi Condensed" w:eastAsia="Barlow Semi Condensed" w:hAnsi="Barlow Semi Condensed"/>
          <w:b/>
          <w:bCs/>
          <w:sz w:val="24"/>
          <w:szCs w:val="24"/>
        </w:rPr>
        <w:t xml:space="preserve">1635 · Le due assoluzioni e Venezia.</w:t>
      </w:r>
      <w:r>
        <w:rPr>
          <w:rFonts w:ascii="Barlow Semi Condensed" w:cs="Barlow Semi Condensed" w:eastAsia="Barlow Semi Condensed" w:hAnsi="Barlow Semi Condensed"/>
          <w:sz w:val="24"/>
          <w:szCs w:val="24"/>
        </w:rPr>
        <w:t xml:space="preserve"> Assolto a Roma nel 1989 per insurrezione armata e a Venezia nel 1990 per traffico d'armi, Duccio Berio esce dal fascicolo con due sentenze liberatorie. Il corpus si ferma al giudicato, e qui il giudicato assolve. In nessuno dei due procedimenti risulta comparso un nome americano, né come imputato né come teste né come autore di atti acquisiti. È un'assenza che si verifica sui fascicoli, non si presume, e nessuno finora l'ha verificata.</w:t>
      </w:r>
    </w:p>
    <w:p>
      <w:pPr>
        <w:spacing w:after="120" w:line="276"/>
        <w:jc w:val="both"/>
      </w:pPr>
      <w:r>
        <w:rPr>
          <w:rFonts w:ascii="Barlow Semi Condensed" w:cs="Barlow Semi Condensed" w:eastAsia="Barlow Semi Condensed" w:hAnsi="Barlow Semi Condensed"/>
          <w:b/>
          <w:bCs/>
          <w:sz w:val="24"/>
          <w:szCs w:val="24"/>
        </w:rPr>
        <w:t xml:space="preserve">1636 · Lo stenografico del 2015 da verificare.</w:t>
      </w:r>
      <w:r>
        <w:rPr>
          <w:rFonts w:ascii="Barlow Semi Condensed" w:cs="Barlow Semi Condensed" w:eastAsia="Barlow Semi Condensed" w:hAnsi="Barlow Semi Condensed"/>
          <w:sz w:val="24"/>
          <w:szCs w:val="24"/>
        </w:rPr>
        <w:t xml:space="preserve"> Esiste un atto pubblico, integrale e citabile che chiuderebbe un quesito preciso: il resoconto stenografico dell'audizione di Duccio Berio davanti alla Commissione Moro 2, 28 ottobre 2015. La scheda ne riporta la frase difensiva e l'episodio del 1972 con l'agente del SID, non altro. Verificare se in quelle pagine compaia il nome di questa campagna costa una lettura all'Archivio storico della Camera dei deputati, XVII legislatura.</w:t>
      </w:r>
    </w:p>
    <w:p>
      <w:pPr>
        <w:spacing w:after="120" w:line="276"/>
        <w:jc w:val="both"/>
      </w:pPr>
      <w:r>
        <w:rPr>
          <w:rFonts w:ascii="Barlow Semi Condensed" w:cs="Barlow Semi Condensed" w:eastAsia="Barlow Semi Condensed" w:hAnsi="Barlow Semi Condensed"/>
          <w:b/>
          <w:bCs/>
          <w:sz w:val="24"/>
          <w:szCs w:val="24"/>
        </w:rPr>
        <w:t xml:space="preserve">1637 · HY-1 e il fascicolo milanese.</w:t>
      </w:r>
      <w:r>
        <w:rPr>
          <w:rFonts w:ascii="Barlow Semi Condensed" w:cs="Barlow Semi Condensed" w:eastAsia="Barlow Semi Condensed" w:hAnsi="Barlow Semi Condensed"/>
          <w:sz w:val="24"/>
          <w:szCs w:val="24"/>
        </w:rPr>
        <w:t xml:space="preserve"> Nel nodo HY-1 il corpus documenta la fondazione a due del Collettivo Politico Metropolitano e la convivenza, nello stesso brodo di coltura, dei futuri fondatori della scuola parigina. Nessuna delle fonti del nodo tocca la politica estera statunitense. La sede che chiuderebbe lo Stato Zero è italiana: l'Archivio centrale dello Stato, Ministero dell'Interno, Direzione generale di pubblica sicurezza, Divisione affari riservati, per gli anni dal 1969 al 1974.</w:t>
      </w:r>
    </w:p>
    <w:p>
      <w:pPr>
        <w:spacing w:after="120" w:line="276"/>
        <w:jc w:val="both"/>
      </w:pPr>
      <w:r>
        <w:rPr>
          <w:rFonts w:ascii="Barlow Semi Condensed" w:cs="Barlow Semi Condensed" w:eastAsia="Barlow Semi Condensed" w:hAnsi="Barlow Semi Condensed"/>
          <w:b/>
          <w:bCs/>
          <w:sz w:val="24"/>
          <w:szCs w:val="24"/>
        </w:rPr>
        <w:t xml:space="preserve">1638 · HY-2, le voci sul Superclan.</w:t>
      </w:r>
      <w:r>
        <w:rPr>
          <w:rFonts w:ascii="Barlow Semi Condensed" w:cs="Barlow Semi Condensed" w:eastAsia="Barlow Semi Condensed" w:hAnsi="Barlow Semi Condensed"/>
          <w:sz w:val="24"/>
          <w:szCs w:val="24"/>
        </w:rPr>
        <w:t xml:space="preserve"> Sulla memorialistica dei capi brigatisti, resa nei processi e nei libri degli anni Ottanta, poggia il nodo HY-2: la scheda la grada C e ne dichiara il vizio d'origine, essendo parola di chi veniva dalla scissione opposta. I nomi che vi ricorrono appartengono al registro dei condannati italiani. Nessun nome americano vi compare. Promuovere quel materiale richiederebbe un documento di provenienza, e la memorialistica per definizione non lo è.</w:t>
      </w:r>
    </w:p>
    <w:p>
      <w:pPr>
        <w:spacing w:after="120" w:line="276"/>
        <w:jc w:val="both"/>
      </w:pPr>
      <w:r>
        <w:rPr>
          <w:rFonts w:ascii="Barlow Semi Condensed" w:cs="Barlow Semi Condensed" w:eastAsia="Barlow Semi Condensed" w:hAnsi="Barlow Semi Condensed"/>
          <w:b/>
          <w:bCs/>
          <w:sz w:val="24"/>
          <w:szCs w:val="24"/>
        </w:rPr>
        <w:t xml:space="preserve">1639 · HY-3 e il registro parigino.</w:t>
      </w:r>
      <w:r>
        <w:rPr>
          <w:rFonts w:ascii="Barlow Semi Condensed" w:cs="Barlow Semi Condensed" w:eastAsia="Barlow Semi Condensed" w:hAnsi="Barlow Semi Condensed"/>
          <w:sz w:val="24"/>
          <w:szCs w:val="24"/>
        </w:rPr>
        <w:t xml:space="preserve"> Fondare una scuola di lingue è un atto che lascia traccia amministrativa. Le sedi sono nominabili: il greffe du tribunal de commerce de Paris per il registre du commerce et des sociétés, e gli Archives de Paris con il Journal officiel per l'eventuale dichiarazione di associazione. Quella traccia direbbe forma giuridica, fondatori, capitale e sede al 27 di Quai de la Tournelle. Nessuno l'ha prodotta nel dibattito quarantennale.</w:t>
      </w:r>
    </w:p>
    <w:p>
      <w:pPr>
        <w:spacing w:after="120" w:line="276"/>
        <w:jc w:val="both"/>
      </w:pPr>
      <w:r>
        <w:rPr>
          <w:rFonts w:ascii="Barlow Semi Condensed" w:cs="Barlow Semi Condensed" w:eastAsia="Barlow Semi Condensed" w:hAnsi="Barlow Semi Condensed"/>
          <w:b/>
          <w:bCs/>
          <w:sz w:val="24"/>
          <w:szCs w:val="24"/>
        </w:rPr>
        <w:t xml:space="preserve">1640 · HY-4, uno stabile italiano.</w:t>
      </w:r>
      <w:r>
        <w:rPr>
          <w:rFonts w:ascii="Barlow Semi Condensed" w:cs="Barlow Semi Condensed" w:eastAsia="Barlow Semi Condensed" w:hAnsi="Barlow Semi Condensed"/>
          <w:sz w:val="24"/>
          <w:szCs w:val="24"/>
        </w:rPr>
        <w:t xml:space="preserve"> Lo stabile di via Nicotera 26 e le società di copertura che vi avevano sede sono materia italiana, e la sede che le documenterebbe è italiana: l'Archivio centrale dello Stato, con i versamenti disposti dalla direttiva del 22 aprile 2014 sulla declassificazione delle carte relative al caso. Quale società, da quando, sotto quale ufficio: tre domande precise. Spostarle a Washington è esattamente l'errore che questa serie esiste per nominare.</w:t>
      </w:r>
    </w:p>
    <w:p>
      <w:pPr>
        <w:spacing w:after="120" w:line="276"/>
        <w:jc w:val="both"/>
      </w:pPr>
      <w:r>
        <w:rPr>
          <w:rFonts w:ascii="Barlow Semi Condensed" w:cs="Barlow Semi Condensed" w:eastAsia="Barlow Semi Condensed" w:hAnsi="Barlow Semi Condensed"/>
          <w:b/>
          <w:bCs/>
          <w:sz w:val="24"/>
          <w:szCs w:val="24"/>
        </w:rPr>
        <w:t xml:space="preserve">1641 · HY-5, Padova 1979.</w:t>
      </w:r>
      <w:r>
        <w:rPr>
          <w:rFonts w:ascii="Barlow Semi Condensed" w:cs="Barlow Semi Condensed" w:eastAsia="Barlow Semi Condensed" w:hAnsi="Barlow Semi Condensed"/>
          <w:sz w:val="24"/>
          <w:szCs w:val="24"/>
        </w:rPr>
        <w:t xml:space="preserve"> Con l'inchiesta del giudice Pietro Calogero sui presunti collegamenti fra Autonomia e terrorismo, nel 1979 la scuola entrò nel mirino della magistratura. La scheda registra l'ingresso, non il contenuto del fascicolo. Il quesito d'archivio è circoscritto: se negli atti di quell'istruttoria compaia una fonte statunitense, in qualsiasi forma e con quale provenienza. Le carte stanno negli uffici giudiziari veneti e nei versamenti agli archivi di Stato competenti.</w:t>
      </w:r>
    </w:p>
    <w:p>
      <w:pPr>
        <w:spacing w:after="120" w:line="276"/>
        <w:jc w:val="both"/>
      </w:pPr>
      <w:r>
        <w:rPr>
          <w:rFonts w:ascii="Barlow Semi Condensed" w:cs="Barlow Semi Condensed" w:eastAsia="Barlow Semi Condensed" w:hAnsi="Barlow Semi Condensed"/>
          <w:b/>
          <w:bCs/>
          <w:sz w:val="24"/>
          <w:szCs w:val="24"/>
        </w:rPr>
        <w:t xml:space="preserve">1642 · HY-6 e la regola del pentito.</w:t>
      </w:r>
      <w:r>
        <w:rPr>
          <w:rFonts w:ascii="Barlow Semi Condensed" w:cs="Barlow Semi Condensed" w:eastAsia="Barlow Semi Condensed" w:hAnsi="Barlow Semi Condensed"/>
          <w:sz w:val="24"/>
          <w:szCs w:val="24"/>
        </w:rPr>
        <w:t xml:space="preserve"> Una dichiarazione di pentito è fonte sul dichiarante prima che sul fatto, e diventa fonte sul fatto solo con riscontro esterno. Il nodo HY-6 poggia sulle dichiarazioni di Antonio Savasta per l'arresto del 2 febbraio 1982. In nessuna delle sintesi disponibili al corpus quelle dichiarazioni toccano un nome americano. Se lo toccassero, il grado non salirebbe: diventerebbe una dichiarazione non riscontrata su un soggetto in più.</w:t>
      </w:r>
    </w:p>
    <w:p>
      <w:pPr>
        <w:spacing w:after="120" w:line="276"/>
        <w:jc w:val="both"/>
      </w:pPr>
      <w:r>
        <w:rPr>
          <w:rFonts w:ascii="Barlow Semi Condensed" w:cs="Barlow Semi Condensed" w:eastAsia="Barlow Semi Condensed" w:hAnsi="Barlow Semi Condensed"/>
          <w:b/>
          <w:bCs/>
          <w:sz w:val="24"/>
          <w:szCs w:val="24"/>
        </w:rPr>
        <w:t xml:space="preserve">1643 · Il carteggio Mancini in Senato.</w:t>
      </w:r>
      <w:r>
        <w:rPr>
          <w:rFonts w:ascii="Barlow Semi Condensed" w:cs="Barlow Semi Condensed" w:eastAsia="Barlow Semi Condensed" w:hAnsi="Barlow Semi Condensed"/>
          <w:sz w:val="24"/>
          <w:szCs w:val="24"/>
        </w:rPr>
        <w:t xml:space="preserve"> L'Archivio storico del Senato conserva, nel fondo Giacomo Mancini, il carteggio relativo a Vanni Mulinaris, con inventario in linea e segnatura propria. È una sede consultabile oggi, senza deroghe. Il quesito che vi si porta è secco: se la corrispondenza della campagna di solidarietà registri interlocutori statunitensi, e di quale rango. La previsione dichiarata prima della lettura è che risulti materia franco-italiana, e la previsione si registra per non adattarla dopo.</w:t>
      </w:r>
    </w:p>
    <w:p>
      <w:pPr>
        <w:spacing w:after="120" w:line="276"/>
        <w:jc w:val="both"/>
      </w:pPr>
      <w:r>
        <w:rPr>
          <w:rFonts w:ascii="Barlow Semi Condensed" w:cs="Barlow Semi Condensed" w:eastAsia="Barlow Semi Condensed" w:hAnsi="Barlow Semi Condensed"/>
          <w:b/>
          <w:bCs/>
          <w:sz w:val="24"/>
          <w:szCs w:val="24"/>
        </w:rPr>
        <w:t xml:space="preserve">1644 · HY-8 come fonte, non come prova.</w:t>
      </w:r>
      <w:r>
        <w:rPr>
          <w:rFonts w:ascii="Barlow Semi Condensed" w:cs="Barlow Semi Condensed" w:eastAsia="Barlow Semi Condensed" w:hAnsi="Barlow Semi Condensed"/>
          <w:sz w:val="24"/>
          <w:szCs w:val="24"/>
        </w:rPr>
        <w:t xml:space="preserve"> L'audizione parlamentare del 2015 vale grado B per la sede, e documenta un episodio dal verso preciso: un approccio dei servizi respinto e messo per iscritto presso un'autorità della Repubblica. È l'unico contatto fra un fondatore e un servizio che una fonte istituzionale attesti in tutto il fascicolo. Il servizio è italiano, l'anno è il 1972, e la proposta fu rifiutata. Il dato dice questo e non altro.</w:t>
      </w:r>
    </w:p>
    <w:p>
      <w:pPr>
        <w:spacing w:after="120" w:line="276"/>
        <w:jc w:val="both"/>
      </w:pPr>
      <w:r>
        <w:rPr>
          <w:rFonts w:ascii="Barlow Semi Condensed" w:cs="Barlow Semi Condensed" w:eastAsia="Barlow Semi Condensed" w:hAnsi="Barlow Semi Condensed"/>
          <w:b/>
          <w:bCs/>
          <w:sz w:val="24"/>
          <w:szCs w:val="24"/>
        </w:rPr>
        <w:t xml:space="preserve">1645 · L'indice del libro di Priore.</w:t>
      </w:r>
      <w:r>
        <w:rPr>
          <w:rFonts w:ascii="Barlow Semi Condensed" w:cs="Barlow Semi Condensed" w:eastAsia="Barlow Semi Condensed" w:hAnsi="Barlow Semi Condensed"/>
          <w:sz w:val="24"/>
          <w:szCs w:val="24"/>
        </w:rPr>
        <w:t xml:space="preserve"> Ogni libro ha un indice dei nomi, e un indice è un oggetto verificabile in pochi minuti. Il nodo HY-9 registra il volume di Silvano De Prospo e Rosario Priore, Ponte alle Grazie 2011, come fonte di parte investigativa, qualificata ma non giudiziale. Se il nome di questa campagna vi compaia, e a quale titolo, il corpus non lo ha accertato. Stato Zero dichiarato, con la sede in libreria.</w:t>
      </w:r>
    </w:p>
    <w:p>
      <w:pPr>
        <w:spacing w:after="120" w:line="276"/>
        <w:jc w:val="both"/>
      </w:pPr>
      <w:r>
        <w:rPr>
          <w:rFonts w:ascii="Barlow Semi Condensed" w:cs="Barlow Semi Condensed" w:eastAsia="Barlow Semi Condensed" w:hAnsi="Barlow Semi Condensed"/>
          <w:b/>
          <w:bCs/>
          <w:sz w:val="24"/>
          <w:szCs w:val="24"/>
        </w:rPr>
        <w:t xml:space="preserve">1646 · BH-1, biforcazione precoce.</w:t>
      </w:r>
      <w:r>
        <w:rPr>
          <w:rFonts w:ascii="Barlow Semi Condensed" w:cs="Barlow Semi Condensed" w:eastAsia="Barlow Semi Condensed" w:hAnsi="Barlow Semi Condensed"/>
          <w:sz w:val="24"/>
          <w:szCs w:val="24"/>
        </w:rPr>
        <w:t xml:space="preserve"> La biforcazione documentata dal ponte BH-1 avvenne prima della scelta armata: stesso brodo di coltura, strade divise. Il filo biografico che tiene uniti i due rami passa per una persona del registro dei condannati, e un filo biografico non è una catena di comando. Aggiungere in cima a quella genealogia un nome straniero significa aggiungere un arco che nessuna fonte disegna, e che perciò non allunga il cammino: lo interrompe.</w:t>
      </w:r>
    </w:p>
    <w:p>
      <w:pPr>
        <w:spacing w:after="120" w:line="276"/>
        <w:jc w:val="both"/>
      </w:pPr>
      <w:r>
        <w:rPr>
          <w:rFonts w:ascii="Barlow Semi Condensed" w:cs="Barlow Semi Condensed" w:eastAsia="Barlow Semi Condensed" w:hAnsi="Barlow Semi Condensed"/>
          <w:b/>
          <w:bCs/>
          <w:sz w:val="24"/>
          <w:szCs w:val="24"/>
        </w:rPr>
        <w:t xml:space="preserve">1647 · BH-2, il criterio ereditato.</w:t>
      </w:r>
      <w:r>
        <w:rPr>
          <w:rFonts w:ascii="Barlow Semi Condensed" w:cs="Barlow Semi Condensed" w:eastAsia="Barlow Semi Condensed" w:hAnsi="Barlow Semi Condensed"/>
          <w:sz w:val="24"/>
          <w:szCs w:val="24"/>
        </w:rPr>
        <w:t xml:space="preserve"> Il criterio di smentita per entrambe le tesi contrapposte è già fissato dal ponte BH-2 ed è identico: un documento d'archivio o una sentenza che stabilisca l'affiliazione. In quarant'anni e in due Paesi non è emerso né l'uno né l'altra. Questa serie non conia un criterio nuovo: eredita quello, e vi aggiunge soltanto una parola alla stringa di ricerca. L'esito atteso non cambia, e la disciplina nemmeno.</w:t>
      </w:r>
    </w:p>
    <w:p>
      <w:pPr>
        <w:spacing w:after="120" w:line="276"/>
        <w:jc w:val="both"/>
      </w:pPr>
      <w:r>
        <w:rPr>
          <w:rFonts w:ascii="Barlow Semi Condensed" w:cs="Barlow Semi Condensed" w:eastAsia="Barlow Semi Condensed" w:hAnsi="Barlow Semi Condensed"/>
          <w:b/>
          <w:bCs/>
          <w:sz w:val="24"/>
          <w:szCs w:val="24"/>
        </w:rPr>
        <w:t xml:space="preserve">1648 · BH-3 e l'ombra statunitense.</w:t>
      </w:r>
      <w:r>
        <w:rPr>
          <w:rFonts w:ascii="Barlow Semi Condensed" w:cs="Barlow Semi Condensed" w:eastAsia="Barlow Semi Condensed" w:hAnsi="Barlow Semi Condensed"/>
          <w:sz w:val="24"/>
          <w:szCs w:val="24"/>
        </w:rPr>
        <w:t xml:space="preserve"> Qui il territorio si avvicina al nome quanto gli è possibile, e si ferma sul metodo anziché sul contenuto. Il ponte BH-3 richiama il nodo M-5 della matrice Guevara-Moro: fatti americani documentati registrati senza promozione a regia. Documentare l'esistenza di una testimonianza non è documentare ciò che essa afferma. È la distinzione su cui il corpus è costruito, ed è tutto ciò che questo territorio offre alla triangolazione.</w:t>
      </w:r>
    </w:p>
    <w:p>
      <w:pPr>
        <w:spacing w:after="120" w:line="276"/>
        <w:jc w:val="both"/>
      </w:pPr>
      <w:r>
        <w:rPr>
          <w:rFonts w:ascii="Barlow Semi Condensed" w:cs="Barlow Semi Condensed" w:eastAsia="Barlow Semi Condensed" w:hAnsi="Barlow Semi Condensed"/>
          <w:b/>
          <w:bCs/>
          <w:sz w:val="24"/>
          <w:szCs w:val="24"/>
        </w:rPr>
        <w:t xml:space="preserve">1649 · BH-4, convergenze che non si sommano.</w:t>
      </w:r>
      <w:r>
        <w:rPr>
          <w:rFonts w:ascii="Barlow Semi Condensed" w:cs="Barlow Semi Condensed" w:eastAsia="Barlow Semi Condensed" w:hAnsi="Barlow Semi Condensed"/>
          <w:sz w:val="24"/>
          <w:szCs w:val="24"/>
        </w:rPr>
        <w:t xml:space="preserve"> Convergono, sul nodo di via Nicotera, un tempo e un luogo; convergerebbe, per chi lo volesse, un terzo elemento fuori carica. Tre convergenze non fanno una prova: fanno tre convergenze. La regola dell'intero lavoro è che la convergenza non si promuove a nesso, e la sua violazione più comune consiste nell'accumularne diverse fingendo che la somma cambi natura. Il corpus la registra ferma dove il ponte BH-4 l'ha registrata.</w:t>
      </w:r>
    </w:p>
    <w:p>
      <w:pPr>
        <w:spacing w:after="120" w:line="276"/>
        <w:jc w:val="both"/>
      </w:pPr>
      <w:r>
        <w:rPr>
          <w:rFonts w:ascii="Barlow Semi Condensed" w:cs="Barlow Semi Condensed" w:eastAsia="Barlow Semi Condensed" w:hAnsi="Barlow Semi Condensed"/>
          <w:b/>
          <w:bCs/>
          <w:sz w:val="24"/>
          <w:szCs w:val="24"/>
        </w:rPr>
        <w:t xml:space="preserve">1650 · Le tre anti-triangolazioni trasposte.</w:t>
      </w:r>
      <w:r>
        <w:rPr>
          <w:rFonts w:ascii="Barlow Semi Condensed" w:cs="Barlow Semi Condensed" w:eastAsia="Barlow Semi Condensed" w:hAnsi="Barlow Semi Condensed"/>
          <w:sz w:val="24"/>
          <w:szCs w:val="24"/>
        </w:rPr>
        <w:t xml:space="preserve"> Tre anti-triangolazioni governano il nodo, e vanno trasposte a questa campagna senza sconti. Nessun uso del nome di un prosciolto come responsabile di alcunché è ammesso, e vale identicamente per chi non fu mai imputato in alcun Paese. Le due tesi contrapposte non si sommano in un generico sospetto. E nessun filo biografico documentato in questo territorio raggiunge un ufficio americano: non ne esiste nemmeno il primo tratto.</w:t>
      </w:r>
    </w:p>
    <w:p>
      <w:pPr>
        <w:spacing w:after="120" w:line="276"/>
        <w:jc w:val="both"/>
      </w:pPr>
      <w:r>
        <w:rPr>
          <w:rFonts w:ascii="Barlow Semi Condensed" w:cs="Barlow Semi Condensed" w:eastAsia="Barlow Semi Condensed" w:hAnsi="Barlow Semi Condensed"/>
          <w:b/>
          <w:bCs/>
          <w:sz w:val="24"/>
          <w:szCs w:val="24"/>
        </w:rPr>
        <w:t xml:space="preserve">1651 · Dolo, 10 dicembre 1934.</w:t>
      </w:r>
      <w:r>
        <w:rPr>
          <w:rFonts w:ascii="Barlow Semi Condensed" w:cs="Barlow Semi Condensed" w:eastAsia="Barlow Semi Condensed" w:hAnsi="Barlow Semi Condensed"/>
          <w:sz w:val="24"/>
          <w:szCs w:val="24"/>
        </w:rPr>
        <w:t xml:space="preserve"> La biografia del capitolo secondo fissa i gradi prima di raccontare: nascita a Dolo, gioventù socialista accanto a Craxi, espulsione dal PSI nel 1965, Monaco e la teologia, il rientro milanese del 1967 con Mondadori e l'USIS. Di tutta questa sequenza una sola voce tocca, tematicamente, il mondo americano, e sta al grado del fatto biografico. È poco, ed è tutto quello che il territorio mette a disposizione della triangolazione.</w:t>
      </w:r>
    </w:p>
    <w:p>
      <w:pPr>
        <w:spacing w:after="120" w:line="276"/>
        <w:jc w:val="both"/>
      </w:pPr>
      <w:r>
        <w:rPr>
          <w:rFonts w:ascii="Barlow Semi Condensed" w:cs="Barlow Semi Condensed" w:eastAsia="Barlow Semi Condensed" w:hAnsi="Barlow Semi Condensed"/>
          <w:b/>
          <w:bCs/>
          <w:sz w:val="24"/>
          <w:szCs w:val="24"/>
        </w:rPr>
        <w:t xml:space="preserve">1652 · L'espulsione del 1965.</w:t>
      </w:r>
      <w:r>
        <w:rPr>
          <w:rFonts w:ascii="Barlow Semi Condensed" w:cs="Barlow Semi Condensed" w:eastAsia="Barlow Semi Condensed" w:hAnsi="Barlow Semi Condensed"/>
          <w:sz w:val="24"/>
          <w:szCs w:val="24"/>
        </w:rPr>
        <w:t xml:space="preserve"> L'espulsione dal PSI «per indegnità morale» e l'allusione a una vicenda di donne che coinvolgeva Craxi appartengono per intero alla politica italiana interna. Non contengono alcun elemento estero. Le sedi che le documenterebbero sono la Fondazione Bettino Craxi e la Fondazione Pietro Nenni a Roma, per le carte del partito e delle sue federazioni. Stato Zero pulito: un episodio che nessuna lettura può portare fuori dai confini nazionali.</w:t>
      </w:r>
    </w:p>
    <w:p>
      <w:pPr>
        <w:spacing w:after="120" w:line="276"/>
        <w:jc w:val="both"/>
      </w:pPr>
      <w:r>
        <w:rPr>
          <w:rFonts w:ascii="Barlow Semi Condensed" w:cs="Barlow Semi Condensed" w:eastAsia="Barlow Semi Condensed" w:hAnsi="Barlow Semi Condensed"/>
          <w:b/>
          <w:bCs/>
          <w:sz w:val="24"/>
          <w:szCs w:val="24"/>
        </w:rPr>
        <w:t xml:space="preserve">1653 · Due questioni distinte su Monaco.</w:t>
      </w:r>
      <w:r>
        <w:rPr>
          <w:rFonts w:ascii="Barlow Semi Condensed" w:cs="Barlow Semi Condensed" w:eastAsia="Barlow Semi Condensed" w:hAnsi="Barlow Semi Condensed"/>
          <w:sz w:val="24"/>
          <w:szCs w:val="24"/>
        </w:rPr>
        <w:t xml:space="preserve"> Due questioni vengono regolarmente fuse in una sola, e vanno separate. La prima è il corso di teologia, verificabile nei registri di immatricolazione delle università bavaresi e nei fondi del Bayerisches Hauptstaatsarchiv. La seconda è il «si dice» sull'emittente, verificabile nelle serie del personale conservate a Stanford e a Budapest. Un soggiorno accertato in una città non trasferisce le sue proprietà a ogni istituzione che vi aveva sede.</w:t>
      </w:r>
    </w:p>
    <w:p>
      <w:pPr>
        <w:spacing w:after="120" w:line="276"/>
        <w:jc w:val="both"/>
      </w:pPr>
      <w:r>
        <w:rPr>
          <w:rFonts w:ascii="Barlow Semi Condensed" w:cs="Barlow Semi Condensed" w:eastAsia="Barlow Semi Condensed" w:hAnsi="Barlow Semi Condensed"/>
          <w:b/>
          <w:bCs/>
          <w:sz w:val="24"/>
          <w:szCs w:val="24"/>
        </w:rPr>
        <w:t xml:space="preserve">1654 · Un fascicolo di personale Mondadori.</w:t>
      </w:r>
      <w:r>
        <w:rPr>
          <w:rFonts w:ascii="Barlow Semi Condensed" w:cs="Barlow Semi Condensed" w:eastAsia="Barlow Semi Condensed" w:hAnsi="Barlow Semi Condensed"/>
          <w:sz w:val="24"/>
          <w:szCs w:val="24"/>
        </w:rPr>
        <w:t xml:space="preserve"> Un rapporto di lavoro editoriale è un oggetto documentale con una data d'ingresso e una d'uscita, una qualifica e una busta paga. La sede è la Fondazione Arnoldo e Alberto Mondadori a Milano, per l'archivio storico della casa editrice. Nessuno ha mai pubblicato quel fascicolo, benché il nome ricorra da quarant'anni in ogni ricostruzione. È uno Stato Zero a costo basso, con sede certa e quesito formulabile in una riga.</w:t>
      </w:r>
    </w:p>
    <w:p>
      <w:pPr>
        <w:spacing w:after="120" w:line="276"/>
        <w:jc w:val="both"/>
      </w:pPr>
      <w:r>
        <w:rPr>
          <w:rFonts w:ascii="Barlow Semi Condensed" w:cs="Barlow Semi Condensed" w:eastAsia="Barlow Semi Condensed" w:hAnsi="Barlow Semi Condensed"/>
          <w:b/>
          <w:bCs/>
          <w:sz w:val="24"/>
          <w:szCs w:val="24"/>
        </w:rPr>
        <w:t xml:space="preserve">1655 · Dove l'USIS si chiude davvero.</w:t>
      </w:r>
      <w:r>
        <w:rPr>
          <w:rFonts w:ascii="Barlow Semi Condensed" w:cs="Barlow Semi Condensed" w:eastAsia="Barlow Semi Condensed" w:hAnsi="Barlow Semi Condensed"/>
          <w:sz w:val="24"/>
          <w:szCs w:val="24"/>
        </w:rPr>
        <w:t xml:space="preserve"> Se l'impiego milanese del 1967 ha lasciato traccia, la traccia è ai National Archives di College Park: Record Group 306, per l'agenzia informativa statunitense, e Record Group 84, per i post del servizio estero, con i fascicoli dell'ambasciata di Roma e del consolato di Milano. Ciò che ne emergerebbe sarebbe un rapporto di impiego. Un rapporto di impiego non promuove nulla, e la scheda lo ha già scritto.</w:t>
      </w:r>
    </w:p>
    <w:p>
      <w:pPr>
        <w:spacing w:after="120" w:line="276"/>
        <w:jc w:val="both"/>
      </w:pPr>
      <w:r>
        <w:rPr>
          <w:rFonts w:ascii="Barlow Semi Condensed" w:cs="Barlow Semi Condensed" w:eastAsia="Barlow Semi Condensed" w:hAnsi="Barlow Semi Condensed"/>
          <w:b/>
          <w:bCs/>
          <w:sz w:val="24"/>
          <w:szCs w:val="24"/>
        </w:rPr>
        <w:t xml:space="preserve">1656 · La regola letta al contrario.</w:t>
      </w:r>
      <w:r>
        <w:rPr>
          <w:rFonts w:ascii="Barlow Semi Condensed" w:cs="Barlow Semi Condensed" w:eastAsia="Barlow Semi Condensed" w:hAnsi="Barlow Semi Condensed"/>
          <w:sz w:val="24"/>
          <w:szCs w:val="24"/>
        </w:rPr>
        <w:t xml:space="preserve"> «L'impiego non è appartenenza, e l'appartenenza non è condotta» è la prima anti-triangolazione del capitolo ottavo. Letta al contrario protegge anche il nome di questa campagna: dirigere un apparato non rende autori di ogni atto di ogni dipendente di quell'apparato. Una regola che vale in una sola direzione non è una regola, è uno strumento d'accusa travestito. Il corpus la applica nei due versi, ed è il test della sua onestà.</w:t>
      </w:r>
    </w:p>
    <w:p>
      <w:pPr>
        <w:spacing w:after="120" w:line="276"/>
        <w:jc w:val="both"/>
      </w:pPr>
      <w:r>
        <w:rPr>
          <w:rFonts w:ascii="Barlow Semi Condensed" w:cs="Barlow Semi Condensed" w:eastAsia="Barlow Semi Condensed" w:hAnsi="Barlow Semi Condensed"/>
          <w:b/>
          <w:bCs/>
          <w:sz w:val="24"/>
          <w:szCs w:val="24"/>
        </w:rPr>
        <w:t xml:space="preserve">1657 · Memorialistica di parte e nomi nuovi.</w:t>
      </w:r>
      <w:r>
        <w:rPr>
          <w:rFonts w:ascii="Barlow Semi Condensed" w:cs="Barlow Semi Condensed" w:eastAsia="Barlow Semi Condensed" w:hAnsi="Barlow Semi Condensed"/>
          <w:sz w:val="24"/>
          <w:szCs w:val="24"/>
        </w:rPr>
        <w:t xml:space="preserve"> La memorialistica brigatista sul Superclan sta al grado C e vi resta. Se in una qualsiasi delle sue pagine comparisse il nome di questa campagna, il grado non salirebbe di un millimetro: diventerebbe un'affermazione possibile su un soggetto in più, resa da una fonte di parte della scissione opposta. Il numero dei soggetti nominati da una fonte non ne modifica l'affidabilità. È la regola della replicazione senza informazione.</w:t>
      </w:r>
    </w:p>
    <w:p>
      <w:pPr>
        <w:spacing w:after="120" w:line="276"/>
        <w:jc w:val="both"/>
      </w:pPr>
      <w:r>
        <w:rPr>
          <w:rFonts w:ascii="Barlow Semi Condensed" w:cs="Barlow Semi Condensed" w:eastAsia="Barlow Semi Condensed" w:hAnsi="Barlow Semi Condensed"/>
          <w:b/>
          <w:bCs/>
          <w:sz w:val="24"/>
          <w:szCs w:val="24"/>
        </w:rPr>
        <w:t xml:space="preserve">1658 · Cento milioni, e nessun «ma».</w:t>
      </w:r>
      <w:r>
        <w:rPr>
          <w:rFonts w:ascii="Barlow Semi Condensed" w:cs="Barlow Semi Condensed" w:eastAsia="Barlow Semi Condensed" w:hAnsi="Barlow Semi Condensed"/>
          <w:sz w:val="24"/>
          <w:szCs w:val="24"/>
        </w:rPr>
        <w:t xml:space="preserve"> Lo Stato che aveva accusato Vanni Mulinaris lo ha dichiarato innocente con formula piena e lo ha indennizzato con cento milioni di lire per l'ingiusta detenzione. La scheda bandisce esplicitamente la formula «fu assolto, ma», e il divieto vincola questa serie come le altre. Nessun blocco può usare l'assoluzione come sfondo di un sospetto residuo, e nessuna triangolazione con un nome estero può reintrodurla di lato.</w:t>
      </w:r>
    </w:p>
    <w:p>
      <w:pPr>
        <w:spacing w:after="120" w:line="276"/>
        <w:jc w:val="both"/>
      </w:pPr>
      <w:r>
        <w:rPr>
          <w:rFonts w:ascii="Barlow Semi Condensed" w:cs="Barlow Semi Condensed" w:eastAsia="Barlow Semi Condensed" w:hAnsi="Barlow Semi Condensed"/>
          <w:b/>
          <w:bCs/>
          <w:sz w:val="24"/>
          <w:szCs w:val="24"/>
        </w:rPr>
        <w:t xml:space="preserve">1659 · La lettera mai pubblicata.</w:t>
      </w:r>
      <w:r>
        <w:rPr>
          <w:rFonts w:ascii="Barlow Semi Condensed" w:cs="Barlow Semi Condensed" w:eastAsia="Barlow Semi Condensed" w:hAnsi="Barlow Semi Condensed"/>
          <w:sz w:val="24"/>
          <w:szCs w:val="24"/>
        </w:rPr>
        <w:t xml:space="preserve"> Del 1972 il fascicolo conserva un episodio di grado B: un agente del SID propose a Duccio Berio di infiltrarsi nelle Brigate Rosse nascenti, la proposta fu respinta e l'approccio venne messo per iscritto in una lettera al suocero Alberto Malagugini, deputato comunista e poi giudice costituzionale. Quella lettera non risulta pubblicata. Le sedi da interrogare sono la Fondazione Istituto Gramsci, l'Archivio storico della Camera e le carte di famiglia.</w:t>
      </w:r>
    </w:p>
    <w:p>
      <w:pPr>
        <w:spacing w:after="120" w:line="276"/>
        <w:jc w:val="both"/>
      </w:pPr>
      <w:r>
        <w:rPr>
          <w:rFonts w:ascii="Barlow Semi Condensed" w:cs="Barlow Semi Condensed" w:eastAsia="Barlow Semi Condensed" w:hAnsi="Barlow Semi Condensed"/>
          <w:b/>
          <w:bCs/>
          <w:sz w:val="24"/>
          <w:szCs w:val="24"/>
        </w:rPr>
        <w:t xml:space="preserve">1660 · Emmaus, e un archivio francese.</w:t>
      </w:r>
      <w:r>
        <w:rPr>
          <w:rFonts w:ascii="Barlow Semi Condensed" w:cs="Barlow Semi Condensed" w:eastAsia="Barlow Semi Condensed" w:hAnsi="Barlow Semi Condensed"/>
          <w:sz w:val="24"/>
          <w:szCs w:val="24"/>
        </w:rPr>
        <w:t xml:space="preserve"> Vicepresidenza della Fondazione Abbé Pierre, l'udienza da Giovanni Paolo II nel novembre 1992, l'onorificenza francese del 2001, il ritiro a Truinas: la vita francese di Simioni è pubblica e documentata. La sede che la conserva è il fondo Abbé Pierre-Emmaüs a Esteville, con gli archivi di Emmaüs International. Vi si porta un quesito solo: se il nome di questa campagna compaia in una qualunque carta. Previsione dichiarata: no.</w:t>
      </w:r>
    </w:p>
    <w:p>
      <w:pPr>
        <w:spacing w:after="120" w:line="276"/>
        <w:jc w:val="both"/>
      </w:pPr>
      <w:r>
        <w:rPr>
          <w:rFonts w:ascii="Barlow Semi Condensed" w:cs="Barlow Semi Condensed" w:eastAsia="Barlow Semi Condensed" w:hAnsi="Barlow Semi Condensed"/>
          <w:b/>
          <w:bCs/>
          <w:sz w:val="24"/>
          <w:szCs w:val="24"/>
        </w:rPr>
        <w:t xml:space="preserve">1661 · Un pontificato non consultabile.</w:t>
      </w:r>
      <w:r>
        <w:rPr>
          <w:rFonts w:ascii="Barlow Semi Condensed" w:cs="Barlow Semi Condensed" w:eastAsia="Barlow Semi Condensed" w:hAnsi="Barlow Semi Condensed"/>
          <w:sz w:val="24"/>
          <w:szCs w:val="24"/>
        </w:rPr>
        <w:t xml:space="preserve"> Per il pontificato di Giovanni Paolo II l'Archivio Apostolico Vaticano non è aperto alla consultazione, e nessuna data di apertura è annunciata per le serie della Segreteria di Stato del 1992. È uno Stato Zero permanente allo stato, con sede nominata e termine non calcolabile. Resta pubblica e consultabile la cronaca dell'Osservatore Romano del giorno, che documenta l'udienza e nulla di più: il fatto, non il suo contorno.</w:t>
      </w:r>
    </w:p>
    <w:p>
      <w:pPr>
        <w:spacing w:after="120" w:line="276"/>
        <w:jc w:val="both"/>
      </w:pPr>
      <w:r>
        <w:rPr>
          <w:rFonts w:ascii="Barlow Semi Condensed" w:cs="Barlow Semi Condensed" w:eastAsia="Barlow Semi Condensed" w:hAnsi="Barlow Semi Condensed"/>
          <w:b/>
          <w:bCs/>
          <w:sz w:val="24"/>
          <w:szCs w:val="24"/>
        </w:rPr>
        <w:t xml:space="preserve">1662 · La decorazione, l'ordine da accertare.</w:t>
      </w:r>
      <w:r>
        <w:rPr>
          <w:rFonts w:ascii="Barlow Semi Condensed" w:cs="Barlow Semi Condensed" w:eastAsia="Barlow Semi Condensed" w:hAnsi="Barlow Semi Condensed"/>
          <w:sz w:val="24"/>
          <w:szCs w:val="24"/>
        </w:rPr>
        <w:t xml:space="preserve"> Quale ordine cavalleresco francese sia stato conferito nel 2001 la scheda non lo specifica, e la precisazione è parte del bersaglio. Le sedi sono il Journal officiel de la République française per i decreti di promozione e la Grande chancellerie per i fascicoli. La base Léonore non servirà, perché copre i dossier dei decorati morti entro il 1977. Un accertamento minuto, mai svolto, senza alcun elemento americano atteso.</w:t>
      </w:r>
    </w:p>
    <w:p>
      <w:pPr>
        <w:spacing w:after="120" w:line="276"/>
        <w:jc w:val="both"/>
      </w:pPr>
      <w:r>
        <w:rPr>
          <w:rFonts w:ascii="Barlow Semi Condensed" w:cs="Barlow Semi Condensed" w:eastAsia="Barlow Semi Condensed" w:hAnsi="Barlow Semi Condensed"/>
          <w:b/>
          <w:bCs/>
          <w:sz w:val="24"/>
          <w:szCs w:val="24"/>
        </w:rPr>
        <w:t xml:space="preserve">1663 · Un atto di morte nella Drôme.</w:t>
      </w:r>
      <w:r>
        <w:rPr>
          <w:rFonts w:ascii="Barlow Semi Condensed" w:cs="Barlow Semi Condensed" w:eastAsia="Barlow Semi Condensed" w:hAnsi="Barlow Semi Condensed"/>
          <w:sz w:val="24"/>
          <w:szCs w:val="24"/>
        </w:rPr>
        <w:t xml:space="preserve"> Si chiude in una campagna francese, la terza strada: Truinas, nella Drôme, ottobre 2008, con un atto di morte nell'état civil comunale. È il punto in cui ogni tentazione combinatoria dovrebbe fermarsi da sola. Un blocco che facesse arrivare fin qui un ufficio di Washington non starebbe scrivendo storia né archivistica: starebbe scrivendo letteratura, e il corpus ha un nome per quel genere di scrittura.</w:t>
      </w:r>
    </w:p>
    <w:p>
      <w:pPr>
        <w:spacing w:after="120" w:line="276"/>
        <w:jc w:val="both"/>
      </w:pPr>
      <w:r>
        <w:rPr>
          <w:rFonts w:ascii="Barlow Semi Condensed" w:cs="Barlow Semi Condensed" w:eastAsia="Barlow Semi Condensed" w:hAnsi="Barlow Semi Condensed"/>
          <w:b/>
          <w:bCs/>
          <w:sz w:val="24"/>
          <w:szCs w:val="24"/>
        </w:rPr>
        <w:t xml:space="preserve">1664 · La settima suggestione e il suo grado.</w:t>
      </w:r>
      <w:r>
        <w:rPr>
          <w:rFonts w:ascii="Barlow Semi Condensed" w:cs="Barlow Semi Condensed" w:eastAsia="Barlow Semi Condensed" w:hAnsi="Barlow Semi Condensed"/>
          <w:sz w:val="24"/>
          <w:szCs w:val="24"/>
        </w:rPr>
        <w:t xml:space="preserve"> A sei suggestioni pesate dal capitolo settimo questa serie ne aggiunge una settima e la pesa allo stesso modo: che dietro «gli americani» del fascicolo stia un nome proprio. Il grado non è nemmeno terziario, perché il piano tre richiede che qualcuno l'abbia detto in una fonte reperibile. Nel perimetro dichiarato nessuno l'ha detto. Una suggestione possibile e non attestata sta sotto ogni grado, e va registrata così.</w:t>
      </w:r>
    </w:p>
    <w:p>
      <w:pPr>
        <w:spacing w:after="120" w:line="276"/>
        <w:jc w:val="both"/>
      </w:pPr>
      <w:r>
        <w:rPr>
          <w:rFonts w:ascii="Barlow Semi Condensed" w:cs="Barlow Semi Condensed" w:eastAsia="Barlow Semi Condensed" w:hAnsi="Barlow Semi Condensed"/>
          <w:b/>
          <w:bCs/>
          <w:sz w:val="24"/>
          <w:szCs w:val="24"/>
        </w:rPr>
        <w:t xml:space="preserve">1665 · Cinque anti-triangolazioni, più una.</w:t>
      </w:r>
      <w:r>
        <w:rPr>
          <w:rFonts w:ascii="Barlow Semi Condensed" w:cs="Barlow Semi Condensed" w:eastAsia="Barlow Semi Condensed" w:hAnsi="Barlow Semi Condensed"/>
          <w:sz w:val="24"/>
          <w:szCs w:val="24"/>
        </w:rPr>
        <w:t xml:space="preserve"> Le cinque anti-triangolazioni del capitolo ottavo si applicano a questa serie senza adattamenti: impiego, scissione, assoluzione, coincidenza, paragone fra le due discendenze. La sesta è propria della seconda campagna e va enunciata qui: l'assenza di un nome da un fascicolo non è un occultamento del nome. Chi leggesse lo zero di questa serie come reticenza degli archivi commetterebbe l'errore che il blocco 636 vieta in entrambe le direzioni.</w:t>
      </w:r>
    </w:p>
    <w:p>
      <w:pPr>
        <w:spacing w:after="120" w:line="276"/>
        <w:jc w:val="both"/>
      </w:pPr>
      <w:r>
        <w:rPr>
          <w:rFonts w:ascii="Barlow Semi Condensed" w:cs="Barlow Semi Condensed" w:eastAsia="Barlow Semi Condensed" w:hAnsi="Barlow Semi Condensed"/>
          <w:b/>
          <w:bCs/>
          <w:sz w:val="24"/>
          <w:szCs w:val="24"/>
        </w:rPr>
        <w:t xml:space="preserve">1666 · FH-1, l'editore fuori dal collettivo.</w:t>
      </w:r>
      <w:r>
        <w:rPr>
          <w:rFonts w:ascii="Barlow Semi Condensed" w:cs="Barlow Semi Condensed" w:eastAsia="Barlow Semi Condensed" w:hAnsi="Barlow Semi Condensed"/>
          <w:sz w:val="24"/>
          <w:szCs w:val="24"/>
        </w:rPr>
        <w:t xml:space="preserve"> Feltrinelli non apparteneva al Collettivo Politico Metropolitano, ma operava nella stessa città, negli stessi anni, sullo stesso crinale, e con quell'area era in contatto. Il nodo FH-1 lo documenta e si ferma lì. In tutta la ricostruzione del ceppo comune non compare un solo interlocutore americano, né istituzionale né privato. È materia milanese, e la sua sede naturale resta italiana: questure, prefettura, procura, e i loro versamenti.</w:t>
      </w:r>
    </w:p>
    <w:p>
      <w:pPr>
        <w:spacing w:after="120" w:line="276"/>
        <w:jc w:val="both"/>
      </w:pPr>
      <w:r>
        <w:rPr>
          <w:rFonts w:ascii="Barlow Semi Condensed" w:cs="Barlow Semi Condensed" w:eastAsia="Barlow Semi Condensed" w:hAnsi="Barlow Semi Condensed"/>
          <w:b/>
          <w:bCs/>
          <w:sz w:val="24"/>
          <w:szCs w:val="24"/>
        </w:rPr>
        <w:t xml:space="preserve">1667 · Un cespo, non una piramide.</w:t>
      </w:r>
      <w:r>
        <w:rPr>
          <w:rFonts w:ascii="Barlow Semi Condensed" w:cs="Barlow Semi Condensed" w:eastAsia="Barlow Semi Condensed" w:hAnsi="Barlow Semi Condensed"/>
          <w:sz w:val="24"/>
          <w:szCs w:val="24"/>
        </w:rPr>
        <w:t xml:space="preserve"> Tre progetti clandestini distinti uscirono dallo stesso ceppo fra l'aprile 1970 e il 1976: i GAP, le Brigate Rosse nate a Pecorile, la struttura riservata che portò a Parigi. Il nodo FH-2 lo dice in una formula che vale come regola di lettura: non una piramide con un vertice, ma un cespo con tre rami. Collocare un nome estero al vertice è la forma massima del tentativo che la formula esclude.</w:t>
      </w:r>
    </w:p>
    <w:p>
      <w:pPr>
        <w:spacing w:after="120" w:line="276"/>
        <w:jc w:val="both"/>
      </w:pPr>
      <w:r>
        <w:rPr>
          <w:rFonts w:ascii="Barlow Semi Condensed" w:cs="Barlow Semi Condensed" w:eastAsia="Barlow Semi Condensed" w:hAnsi="Barlow Semi Condensed"/>
          <w:b/>
          <w:bCs/>
          <w:sz w:val="24"/>
          <w:szCs w:val="24"/>
        </w:rPr>
        <w:t xml:space="preserve">1668 · Piazza Castello e due numeri.</w:t>
      </w:r>
      <w:r>
        <w:rPr>
          <w:rFonts w:ascii="Barlow Semi Condensed" w:cs="Barlow Semi Condensed" w:eastAsia="Barlow Semi Condensed" w:hAnsi="Barlow Semi Condensed"/>
          <w:sz w:val="24"/>
          <w:szCs w:val="24"/>
        </w:rPr>
        <w:t xml:space="preserve"> I contatti fra Feltrinelli, Curcio e Franceschini furono reali, personali e documentati: incontri sempre più frequenti dalla fine del 1970, i giardini di piazza Castello, gli appartamenti coperti, il foglio «Nuova Resistenza» dell'aprile 1971 in due numeri. Il comando unificato fu cercato e non ottenuto. Un negoziato fra sovrani, scrive il nodo FH-3; e in quel negoziato nessuna fonte colloca un terzo interlocutore straniero.</w:t>
      </w:r>
    </w:p>
    <w:p>
      <w:pPr>
        <w:spacing w:after="120" w:line="276"/>
        <w:jc w:val="both"/>
      </w:pPr>
      <w:r>
        <w:rPr>
          <w:rFonts w:ascii="Barlow Semi Condensed" w:cs="Barlow Semi Condensed" w:eastAsia="Barlow Semi Condensed" w:hAnsi="Barlow Semi Condensed"/>
          <w:b/>
          <w:bCs/>
          <w:sz w:val="24"/>
          <w:szCs w:val="24"/>
        </w:rPr>
        <w:t xml:space="preserve">1669 · Le «zie rosse» come fonte.</w:t>
      </w:r>
      <w:r>
        <w:rPr>
          <w:rFonts w:ascii="Barlow Semi Condensed" w:cs="Barlow Semi Condensed" w:eastAsia="Barlow Semi Condensed" w:hAnsi="Barlow Semi Condensed"/>
          <w:sz w:val="24"/>
          <w:szCs w:val="24"/>
        </w:rPr>
        <w:t xml:space="preserve"> Che Franceschini abbia vissuto nella Comune di Simioni e fatto parte della sua struttura riservata è ricostruzione memorialistica incrociata, usata nelle polemiche fra ex militanti in entrambe le direzioni. Il nodo FH-4 la registra con la fonte e senza promuoverla. Vale l'avvertenza generale: un nome aggiunto a una fonte di quel rango resta a quel rango. La guerra della memoria non produce archivio, produce testimonianze contrapposte.</w:t>
      </w:r>
    </w:p>
    <w:p>
      <w:pPr>
        <w:spacing w:after="120" w:line="276"/>
        <w:jc w:val="both"/>
      </w:pPr>
      <w:r>
        <w:rPr>
          <w:rFonts w:ascii="Barlow Semi Condensed" w:cs="Barlow Semi Condensed" w:eastAsia="Barlow Semi Condensed" w:hAnsi="Barlow Semi Condensed"/>
          <w:b/>
          <w:bCs/>
          <w:sz w:val="24"/>
          <w:szCs w:val="24"/>
        </w:rPr>
        <w:t xml:space="preserve">1670 · Il filo Moretti, ricalcolato.</w:t>
      </w:r>
      <w:r>
        <w:rPr>
          <w:rFonts w:ascii="Barlow Semi Condensed" w:cs="Barlow Semi Condensed" w:eastAsia="Barlow Semi Condensed" w:hAnsi="Barlow Semi Condensed"/>
          <w:sz w:val="24"/>
          <w:szCs w:val="24"/>
        </w:rPr>
        <w:t xml:space="preserve"> Quattro archi contava il cammino documentato più breve fra la scuola di Parigi e via Fani, i primi tre di grado biografico e l'ultimo accertato, dunque grado del cammino biografico: è il calcolo del blocco 414. Appendere a quel cammino un quinto arco fatto di testimonianza contestata, resa de relato e con data oscillante fra 1974, 1976 e 1977, lo allunga senza sollevarlo. Il minimo non sale aggiungendo.</w:t>
      </w:r>
    </w:p>
    <w:p>
      <w:pPr>
        <w:spacing w:after="120" w:line="276"/>
        <w:jc w:val="both"/>
      </w:pPr>
      <w:r>
        <w:rPr>
          <w:rFonts w:ascii="Barlow Semi Condensed" w:cs="Barlow Semi Condensed" w:eastAsia="Barlow Semi Condensed" w:hAnsi="Barlow Semi Condensed"/>
          <w:b/>
          <w:bCs/>
          <w:sz w:val="24"/>
          <w:szCs w:val="24"/>
        </w:rPr>
        <w:t xml:space="preserve">1671 · L'unica unificazione fu processuale.</w:t>
      </w:r>
      <w:r>
        <w:rPr>
          <w:rFonts w:ascii="Barlow Semi Condensed" w:cs="Barlow Semi Condensed" w:eastAsia="Barlow Semi Condensed" w:hAnsi="Barlow Semi Condensed"/>
          <w:sz w:val="24"/>
          <w:szCs w:val="24"/>
        </w:rPr>
        <w:t xml:space="preserve"> L'unico luogo in cui i due rami furono davvero unificati è un'aula: il processo congiunto alle Brigate Rosse e ai GAP celebrato a Torino a metà anni Settanta, il cui fascicolo è oggi valorizzato dal portale della memoria del Ministero della Cultura. Sede pubblica, digitale, citabile. Il quesito è banale e mai posto: se in quegli atti compaia una sola carta di provenienza statunitense. Previsione registrata prima della verifica: nessuna.</w:t>
      </w:r>
    </w:p>
    <w:p>
      <w:pPr>
        <w:spacing w:after="120" w:line="276"/>
        <w:jc w:val="both"/>
      </w:pPr>
      <w:r>
        <w:rPr>
          <w:rFonts w:ascii="Barlow Semi Condensed" w:cs="Barlow Semi Condensed" w:eastAsia="Barlow Semi Condensed" w:hAnsi="Barlow Semi Condensed"/>
          <w:b/>
          <w:bCs/>
          <w:sz w:val="24"/>
          <w:szCs w:val="24"/>
        </w:rPr>
        <w:t xml:space="preserve">1672 · Dopo Segrate, la sottrazione.</w:t>
      </w:r>
      <w:r>
        <w:rPr>
          <w:rFonts w:ascii="Barlow Semi Condensed" w:cs="Barlow Semi Condensed" w:eastAsia="Barlow Semi Condensed" w:hAnsi="Barlow Semi Condensed"/>
          <w:sz w:val="24"/>
          <w:szCs w:val="24"/>
        </w:rPr>
        <w:t xml:space="preserve"> Con la morte di Feltrinelli i GAP si dissolsero, e la sorte della rete — dispersa in parte, in parte riassorbita — è oggetto di storiografia recente. Il campo clandestino si semplificò per sottrazione, non per successione ordinata. Nessuna fonte documenta un subentro esterno, e tanto meno straniero, nello spazio lasciato vuoto. Chi immaginasse una regia che raccoglie l'eredità dovrebbe indicare il documento che la nomina.</w:t>
      </w:r>
    </w:p>
    <w:p>
      <w:pPr>
        <w:spacing w:after="120" w:line="276"/>
        <w:jc w:val="both"/>
      </w:pPr>
      <w:r>
        <w:rPr>
          <w:rFonts w:ascii="Barlow Semi Condensed" w:cs="Barlow Semi Condensed" w:eastAsia="Barlow Semi Condensed" w:hAnsi="Barlow Semi Condensed"/>
          <w:b/>
          <w:bCs/>
          <w:sz w:val="24"/>
          <w:szCs w:val="24"/>
        </w:rPr>
        <w:t xml:space="preserve">1673 · I timer, e chi li smentì.</w:t>
      </w:r>
      <w:r>
        <w:rPr>
          <w:rFonts w:ascii="Barlow Semi Condensed" w:cs="Barlow Semi Condensed" w:eastAsia="Barlow Semi Condensed" w:hAnsi="Barlow Semi Condensed"/>
          <w:sz w:val="24"/>
          <w:szCs w:val="24"/>
        </w:rPr>
        <w:t xml:space="preserve"> L'affermazione che i timer dell'ordigno di Segrate fossero stati manipolati risulta smentita da Vittorio Battistoni, il tecnico dei GAP che fornì l'esplosivo all'editore. Il nodo FH-8 registra dunque una smentita, non un dubbio residuo. Ogni variante di quella congettura che vi innesti una mano straniera eredita la smentita insieme alla congettura: non nasce vergine, nasce già contraddetta su un punto qualificante da testimonianza diretta.</w:t>
      </w:r>
    </w:p>
    <w:p>
      <w:pPr>
        <w:spacing w:after="120" w:line="276"/>
        <w:jc w:val="both"/>
      </w:pPr>
      <w:r>
        <w:rPr>
          <w:rFonts w:ascii="Barlow Semi Condensed" w:cs="Barlow Semi Condensed" w:eastAsia="Barlow Semi Condensed" w:hAnsi="Barlow Semi Condensed"/>
          <w:b/>
          <w:bCs/>
          <w:sz w:val="24"/>
          <w:szCs w:val="24"/>
        </w:rPr>
        <w:t xml:space="preserve">1674 · Il calendario decide prima.</w:t>
      </w:r>
      <w:r>
        <w:rPr>
          <w:rFonts w:ascii="Barlow Semi Condensed" w:cs="Barlow Semi Condensed" w:eastAsia="Barlow Semi Condensed" w:hAnsi="Barlow Semi Condensed"/>
          <w:sz w:val="24"/>
          <w:szCs w:val="24"/>
        </w:rPr>
        <w:t xml:space="preserve"> Hyperion nacque nel 1976; Feltrinelli era morto nel 1972. Il nodo ATI-1 stabilisce che i due non si incontrarono mai per ragioni di calendario prima che di prova. Lo stesso strumento vale in questa serie, e vale meglio: un incarico ha una data d'inizio e una di cessazione, entrambe accertate. Dove la data esclude, l'interpretazione non entra; e qui le date escludono quattro dei sei snodi del fascicolo.</w:t>
      </w:r>
    </w:p>
    <w:p>
      <w:pPr>
        <w:spacing w:after="120" w:line="276"/>
        <w:jc w:val="both"/>
      </w:pPr>
      <w:r>
        <w:rPr>
          <w:rFonts w:ascii="Barlow Semi Condensed" w:cs="Barlow Semi Condensed" w:eastAsia="Barlow Semi Condensed" w:hAnsi="Barlow Semi Condensed"/>
          <w:b/>
          <w:bCs/>
          <w:sz w:val="24"/>
          <w:szCs w:val="24"/>
        </w:rPr>
        <w:t xml:space="preserve">1675 · Vertice cercato, vertice non ottenuto.</w:t>
      </w:r>
      <w:r>
        <w:rPr>
          <w:rFonts w:ascii="Barlow Semi Condensed" w:cs="Barlow Semi Condensed" w:eastAsia="Barlow Semi Condensed" w:hAnsi="Barlow Semi Condensed"/>
          <w:sz w:val="24"/>
          <w:szCs w:val="24"/>
        </w:rPr>
        <w:t xml:space="preserve"> Il comando unificato della lotta armata fu effettivamente cercato, e da un italiano: Feltrinelli lo cercò e non lo ottenne, e il fallimento di quell'unificazione è documentato quanto i rapporti stessi. Il nodo ATI-2 ne trae che la triforcazione non ha vertice. Aggiungere dall'estero il vertice che dall'interno non fu conseguito non è soltanto indimostrato: è strutturalmente superfluo rispetto a ciò che le fonti descrivono.</w:t>
      </w:r>
    </w:p>
    <w:p>
      <w:pPr>
        <w:spacing w:after="120" w:line="276"/>
        <w:jc w:val="both"/>
      </w:pPr>
      <w:r>
        <w:rPr>
          <w:rFonts w:ascii="Barlow Semi Condensed" w:cs="Barlow Semi Condensed" w:eastAsia="Barlow Semi Condensed" w:hAnsi="Barlow Semi Condensed"/>
          <w:b/>
          <w:bCs/>
          <w:sz w:val="24"/>
          <w:szCs w:val="24"/>
        </w:rPr>
        <w:t xml:space="preserve">1676 · Ford Library, la serie dei memcon.</w:t>
      </w:r>
      <w:r>
        <w:rPr>
          <w:rFonts w:ascii="Barlow Semi Condensed" w:cs="Barlow Semi Condensed" w:eastAsia="Barlow Semi Condensed" w:hAnsi="Barlow Semi Condensed"/>
          <w:sz w:val="24"/>
          <w:szCs w:val="24"/>
        </w:rPr>
        <w:t xml:space="preserve"> Alla Gerald R. Ford Presidential Library la serie National Security Adviser, Memoranda of Conversation 1973-1977 è la stessa che conserva il file 1552802 del 25 settembre 1974. È la prima sede da interrogare con le stringhe «Hyperion», «Simioni», «Superclan». La previsione si dichiara prima della ricerca, perché una previsione formulata dopo si adatta sempre al risultato: nessun riscontro atteso. L'esito, quale che sia, va verbalizzato.</w:t>
      </w:r>
    </w:p>
    <w:p>
      <w:pPr>
        <w:spacing w:after="120" w:line="276"/>
        <w:jc w:val="both"/>
      </w:pPr>
      <w:r>
        <w:rPr>
          <w:rFonts w:ascii="Barlow Semi Condensed" w:cs="Barlow Semi Condensed" w:eastAsia="Barlow Semi Condensed" w:hAnsi="Barlow Semi Condensed"/>
          <w:b/>
          <w:bCs/>
          <w:sz w:val="24"/>
          <w:szCs w:val="24"/>
        </w:rPr>
        <w:t xml:space="preserve">1677 · Yorba Linda, gli HAK Office Files.</w:t>
      </w:r>
      <w:r>
        <w:rPr>
          <w:rFonts w:ascii="Barlow Semi Condensed" w:cs="Barlow Semi Condensed" w:eastAsia="Barlow Semi Condensed" w:hAnsi="Barlow Semi Condensed"/>
          <w:sz w:val="24"/>
          <w:szCs w:val="24"/>
        </w:rPr>
        <w:t xml:space="preserve"> A Yorba Linda, presso la Richard Nixon Presidential Library, stanno i National Security Council Files con gli Henry A. Kissinger Office Files, 1969-1974, e i Country Files relativi all'Italia. La finestra copre la fondazione del Collettivo, la scissione e gli anni del Superclan. Il quesito è legittimo e a basso costo; l'esito atteso è uno Stato Zero verbalizzato, che vale quanto un riscontro e va scritto con la stessa cura.</w:t>
      </w:r>
    </w:p>
    <w:p>
      <w:pPr>
        <w:spacing w:after="120" w:line="276"/>
        <w:jc w:val="both"/>
      </w:pPr>
      <w:r>
        <w:rPr>
          <w:rFonts w:ascii="Barlow Semi Condensed" w:cs="Barlow Semi Condensed" w:eastAsia="Barlow Semi Condensed" w:hAnsi="Barlow Semi Condensed"/>
          <w:b/>
          <w:bCs/>
          <w:sz w:val="24"/>
          <w:szCs w:val="24"/>
        </w:rPr>
        <w:t xml:space="preserve">1678 · I telcon come serie nominata.</w:t>
      </w:r>
      <w:r>
        <w:rPr>
          <w:rFonts w:ascii="Barlow Semi Condensed" w:cs="Barlow Semi Condensed" w:eastAsia="Barlow Semi Condensed" w:hAnsi="Barlow Semi Condensed"/>
          <w:sz w:val="24"/>
          <w:szCs w:val="24"/>
        </w:rPr>
        <w:t xml:space="preserve"> Fra le serie dei National Archives, il Record Group 59 conserva i Records of Henry Kissinger 1973-1977 con le trascrizioni delle conversazioni telefoniche. È il genere documentale in cui una frase informale lascia traccia, se traccia lascia: proprio ciò che una testimonianza de relato reclama e non ha mai prodotto. Il metodo del corpus esige di nominare la serie prima di prevederne il silenzio, e questa è nominata.</w:t>
      </w:r>
    </w:p>
    <w:p>
      <w:pPr>
        <w:spacing w:after="120" w:line="276"/>
        <w:jc w:val="both"/>
      </w:pPr>
      <w:r>
        <w:rPr>
          <w:rFonts w:ascii="Barlow Semi Condensed" w:cs="Barlow Semi Condensed" w:eastAsia="Barlow Semi Condensed" w:hAnsi="Barlow Semi Condensed"/>
          <w:b/>
          <w:bCs/>
          <w:sz w:val="24"/>
          <w:szCs w:val="24"/>
        </w:rPr>
        <w:t xml:space="preserve">1679 · AAD, una stringa e un esito.</w:t>
      </w:r>
      <w:r>
        <w:rPr>
          <w:rFonts w:ascii="Barlow Semi Condensed" w:cs="Barlow Semi Condensed" w:eastAsia="Barlow Semi Condensed" w:hAnsi="Barlow Semi Condensed"/>
          <w:sz w:val="24"/>
          <w:szCs w:val="24"/>
        </w:rPr>
        <w:t xml:space="preserve"> Interrogabile a testo pieno e senza deroghe è il database ad accesso libero dei National Archives per i Central Foreign Policy Files, telegrammi elettronici dal 1973 al 1979, che comprende i dispacci dell'ambasciata di Roma e di quella di Parigi. La stringa «Hyperion» vi si verifica senza trasferte. È il bersaglio più economico dell'intera serie, e il suo esito va verbalizzato in un verso o nell'altro.</w:t>
      </w:r>
    </w:p>
    <w:p>
      <w:pPr>
        <w:spacing w:after="120" w:line="276"/>
        <w:jc w:val="both"/>
      </w:pPr>
      <w:r>
        <w:rPr>
          <w:rFonts w:ascii="Barlow Semi Condensed" w:cs="Barlow Semi Condensed" w:eastAsia="Barlow Semi Condensed" w:hAnsi="Barlow Semi Condensed"/>
          <w:b/>
          <w:bCs/>
          <w:sz w:val="24"/>
          <w:szCs w:val="24"/>
        </w:rPr>
        <w:t xml:space="preserve">1680 · Che cosa riferiva il consolato.</w:t>
      </w:r>
      <w:r>
        <w:rPr>
          <w:rFonts w:ascii="Barlow Semi Condensed" w:cs="Barlow Semi Condensed" w:eastAsia="Barlow Semi Condensed" w:hAnsi="Barlow Semi Condensed"/>
          <w:sz w:val="24"/>
          <w:szCs w:val="24"/>
        </w:rPr>
        <w:t xml:space="preserve"> Che cosa riferiva il consolato generale di Milano sulla sinistra extraparlamentare fra il 1968 e il 1971 è domanda mai posta, e la sede è il Record Group 84 dei National Archives, con i general records del post. Da lì si vedrebbe se e come quella materia salisse verso l'ambasciata e oltre. Il reporting di un consolato è un fatto documentale: non diventa direttiva perché qualcuno lo legge in alto.</w:t>
      </w:r>
    </w:p>
    <w:p>
      <w:pPr>
        <w:spacing w:after="120" w:line="276"/>
        <w:jc w:val="both"/>
      </w:pPr>
      <w:r>
        <w:rPr>
          <w:rFonts w:ascii="Barlow Semi Condensed" w:cs="Barlow Semi Condensed" w:eastAsia="Barlow Semi Condensed" w:hAnsi="Barlow Semi Condensed"/>
          <w:b/>
          <w:bCs/>
          <w:sz w:val="24"/>
          <w:szCs w:val="24"/>
        </w:rPr>
        <w:t xml:space="preserve">1681 · INR, due domande distinte.</w:t>
      </w:r>
      <w:r>
        <w:rPr>
          <w:rFonts w:ascii="Barlow Semi Condensed" w:cs="Barlow Semi Condensed" w:eastAsia="Barlow Semi Condensed" w:hAnsi="Barlow Semi Condensed"/>
          <w:sz w:val="24"/>
          <w:szCs w:val="24"/>
        </w:rPr>
        <w:t xml:space="preserve"> Il Bureau of Intelligence and Research produsse research memoranda e intelligence notes conservati nei lot files del Record Group 59. Vi si portano due quesiti che non vanno confusi: se una qualunque nota del periodo 1969-1976 sul terrorismo italiano nomini la scuola parigina, e se una nota così sia mai salita all'Assistente per la sicurezza nazionale. La prima riguarda l'esistenza; la seconda la circolazione.</w:t>
      </w:r>
    </w:p>
    <w:p>
      <w:pPr>
        <w:spacing w:after="120" w:line="276"/>
        <w:jc w:val="both"/>
      </w:pPr>
      <w:r>
        <w:rPr>
          <w:rFonts w:ascii="Barlow Semi Condensed" w:cs="Barlow Semi Condensed" w:eastAsia="Barlow Semi Condensed" w:hAnsi="Barlow Semi Condensed"/>
          <w:b/>
          <w:bCs/>
          <w:sz w:val="24"/>
          <w:szCs w:val="24"/>
        </w:rPr>
        <w:t xml:space="preserve">1682 · Le carte personali e i vincoli.</w:t>
      </w:r>
      <w:r>
        <w:rPr>
          <w:rFonts w:ascii="Barlow Semi Condensed" w:cs="Barlow Semi Condensed" w:eastAsia="Barlow Semi Condensed" w:hAnsi="Barlow Semi Condensed"/>
          <w:sz w:val="24"/>
          <w:szCs w:val="24"/>
        </w:rPr>
        <w:t xml:space="preserve"> Alla Library of Congress, Manuscript Division, i Henry A. Kissinger Papers per la parte governativa sono conservati con vincoli d'atto di donazione, documentati e contestati in sede giudiziaria. La sede si nomina con i suoi limiti: l'inventario è pubblico, le restrizioni sono note, e l'interrogazione può essere preparata prima che i termini cadano. Un archivio vincolato non è un archivio muto: è un archivio con un calendario.</w:t>
      </w:r>
    </w:p>
    <w:p>
      <w:pPr>
        <w:spacing w:after="120" w:line="276"/>
        <w:jc w:val="both"/>
      </w:pPr>
      <w:r>
        <w:rPr>
          <w:rFonts w:ascii="Barlow Semi Condensed" w:cs="Barlow Semi Condensed" w:eastAsia="Barlow Semi Condensed" w:hAnsi="Barlow Semi Condensed"/>
          <w:b/>
          <w:bCs/>
          <w:sz w:val="24"/>
          <w:szCs w:val="24"/>
        </w:rPr>
        <w:t xml:space="preserve">1683 · Yale, la finestra postuma al potere.</w:t>
      </w:r>
      <w:r>
        <w:rPr>
          <w:rFonts w:ascii="Barlow Semi Condensed" w:cs="Barlow Semi Condensed" w:eastAsia="Barlow Semi Condensed" w:hAnsi="Barlow Semi Condensed"/>
          <w:sz w:val="24"/>
          <w:szCs w:val="24"/>
        </w:rPr>
        <w:t xml:space="preserve"> A Yale, in Manuscripts and Archives, sta la parte delle carte successiva al gennaio 1977: gli anni dei mandati Priore, delle assoluzioni di Roma e Venezia, dell'audizione del 2015. È la finestra in cui un eventuale legame sarebbe comunque postumo al potere, e dunque privo di rilievo istituzionale. La domanda va posta una volta sola, e la risposta attesa è coerente con tutto il resto della serie.</w:t>
      </w:r>
    </w:p>
    <w:p>
      <w:pPr>
        <w:spacing w:after="120" w:line="276"/>
        <w:jc w:val="both"/>
      </w:pPr>
      <w:r>
        <w:rPr>
          <w:rFonts w:ascii="Barlow Semi Condensed" w:cs="Barlow Semi Condensed" w:eastAsia="Barlow Semi Condensed" w:hAnsi="Barlow Semi Condensed"/>
          <w:b/>
          <w:bCs/>
          <w:sz w:val="24"/>
          <w:szCs w:val="24"/>
        </w:rPr>
        <w:t xml:space="preserve">1684 · CREST, e il diniego procedurale.</w:t>
      </w:r>
      <w:r>
        <w:rPr>
          <w:rFonts w:ascii="Barlow Semi Condensed" w:cs="Barlow Semi Condensed" w:eastAsia="Barlow Semi Condensed" w:hAnsi="Barlow Semi Condensed"/>
          <w:sz w:val="24"/>
          <w:szCs w:val="24"/>
        </w:rPr>
        <w:t xml:space="preserve"> Una risposta che non conferma né smentisce l'esistenza di documenti non è un'indicazione di esistenza: è una risposta procedurale prevista dall'ordinamento americano sull'accesso. Confonderla con una mezza ammissione è l'errore più frequente su questo fascicolo. Le sedi restano nominabili: il sistema di consultazione dei documenti declassificati della CIA presso i National Archives e la sala di lettura in linea, con istanza di accesso formale.</w:t>
      </w:r>
    </w:p>
    <w:p>
      <w:pPr>
        <w:spacing w:after="120" w:line="276"/>
        <w:jc w:val="both"/>
      </w:pPr>
      <w:r>
        <w:rPr>
          <w:rFonts w:ascii="Barlow Semi Condensed" w:cs="Barlow Semi Condensed" w:eastAsia="Barlow Semi Condensed" w:hAnsi="Barlow Semi Condensed"/>
          <w:b/>
          <w:bCs/>
          <w:sz w:val="24"/>
          <w:szCs w:val="24"/>
        </w:rPr>
        <w:t xml:space="preserve">1685 · Gli indici del National Security Archive.</w:t>
      </w:r>
      <w:r>
        <w:rPr>
          <w:rFonts w:ascii="Barlow Semi Condensed" w:cs="Barlow Semi Condensed" w:eastAsia="Barlow Semi Condensed" w:hAnsi="Barlow Semi Condensed"/>
          <w:sz w:val="24"/>
          <w:szCs w:val="24"/>
        </w:rPr>
        <w:t xml:space="preserve"> Gli indici pubblicati dal National Security Archive della George Washington University — le raccolte di trascrizioni ottenute per accesso agli atti e per contenzioso — sono consultabili in rete e servono a preparare l'interrogazione prima della trasferta. Sono fonte secondaria, e come tale si dichiarano. Ma i loro indici sono oggetti misurabili: un'assenza rilevata lì è un fatto sulla raccolta, non ancora un fatto sugli archivi originali.</w:t>
      </w:r>
    </w:p>
    <w:p>
      <w:pPr>
        <w:spacing w:after="120" w:line="276"/>
        <w:jc w:val="both"/>
      </w:pPr>
      <w:r>
        <w:rPr>
          <w:rFonts w:ascii="Barlow Semi Condensed" w:cs="Barlow Semi Condensed" w:eastAsia="Barlow Semi Condensed" w:hAnsi="Barlow Semi Condensed"/>
          <w:b/>
          <w:bCs/>
          <w:sz w:val="24"/>
          <w:szCs w:val="24"/>
        </w:rPr>
        <w:t xml:space="preserve">1686 · L'indice di FRUS E-15.</w:t>
      </w:r>
      <w:r>
        <w:rPr>
          <w:rFonts w:ascii="Barlow Semi Condensed" w:cs="Barlow Semi Condensed" w:eastAsia="Barlow Semi Condensed" w:hAnsi="Barlow Semi Condensed"/>
          <w:sz w:val="24"/>
          <w:szCs w:val="24"/>
        </w:rPr>
        <w:t xml:space="preserve"> Ha un indice dei nomi e delle materie il volume Foreign Relations of the United States 1969-1976 E-15 parte seconda, seconda edizione riveduta, quello che contiene il documento 350. Verificare se vi compaiano «Hyperion» o i cognomi dei tre fondatori è un atto bibliografico di pochi minuti, e il corpus non lo ha compiuto. Stato Zero dichiarato, con la sede più accessibile fra quante questa serie nomina.</w:t>
      </w:r>
    </w:p>
    <w:p>
      <w:pPr>
        <w:spacing w:after="120" w:line="276"/>
        <w:jc w:val="both"/>
      </w:pPr>
      <w:r>
        <w:rPr>
          <w:rFonts w:ascii="Barlow Semi Condensed" w:cs="Barlow Semi Condensed" w:eastAsia="Barlow Semi Condensed" w:hAnsi="Barlow Semi Condensed"/>
          <w:b/>
          <w:bCs/>
          <w:sz w:val="24"/>
          <w:szCs w:val="24"/>
        </w:rPr>
        <w:t xml:space="preserve">1687 · Il Comitato dei Quaranta.</w:t>
      </w:r>
      <w:r>
        <w:rPr>
          <w:rFonts w:ascii="Barlow Semi Condensed" w:cs="Barlow Semi Condensed" w:eastAsia="Barlow Semi Condensed" w:hAnsi="Barlow Semi Condensed"/>
          <w:sz w:val="24"/>
          <w:szCs w:val="24"/>
        </w:rPr>
        <w:t xml:space="preserve"> Il memorandum di decisione del febbraio 1970 che riorganizzò la supervisione delle operazioni coperte, e le carte del comitato che ne discese, stanno negli institutional files del Consiglio di sicurezza nazionale presso le biblioteche presidenziali di Yorba Linda e Ann Arbor. Il quesito è preciso: se un ordine del giorno degli anni 1970-1976 nomini strutture italiane operanti in Francia. Previsione registrata in anticipo: nessuno. La data del memorandum va riscontrata sull'originale.</w:t>
      </w:r>
    </w:p>
    <w:p>
      <w:pPr>
        <w:spacing w:after="120" w:line="276"/>
        <w:jc w:val="both"/>
      </w:pPr>
      <w:r>
        <w:rPr>
          <w:rFonts w:ascii="Barlow Semi Condensed" w:cs="Barlow Semi Condensed" w:eastAsia="Barlow Semi Condensed" w:hAnsi="Barlow Semi Condensed"/>
          <w:b/>
          <w:bCs/>
          <w:sz w:val="24"/>
          <w:szCs w:val="24"/>
        </w:rPr>
        <w:t xml:space="preserve">1688 · L'archivio giusto prima del silenzio.</w:t>
      </w:r>
      <w:r>
        <w:rPr>
          <w:rFonts w:ascii="Barlow Semi Condensed" w:cs="Barlow Semi Condensed" w:eastAsia="Barlow Semi Condensed" w:hAnsi="Barlow Semi Condensed"/>
          <w:sz w:val="24"/>
          <w:szCs w:val="24"/>
        </w:rPr>
        <w:t xml:space="preserve"> Vale qui la condizione del blocco 637: l'inferenza dal silenzio è lecita soltanto se l'archivio interrogato è quello dove il documento, se esistesse, dovrebbe stare per prassi di quell'amministrazione. Un rapporto coperto statunitense non si cercherebbe al Quai d'Orsay, e la sua assenza da lì non è un'assenza. Enunciare la condizione prima della ricerca è ciò che distingue una lacuna misurata da un rumore raccolto.</w:t>
      </w:r>
    </w:p>
    <w:p>
      <w:pPr>
        <w:spacing w:after="120" w:line="276"/>
        <w:jc w:val="both"/>
      </w:pPr>
      <w:r>
        <w:rPr>
          <w:rFonts w:ascii="Barlow Semi Condensed" w:cs="Barlow Semi Condensed" w:eastAsia="Barlow Semi Condensed" w:hAnsi="Barlow Semi Condensed"/>
          <w:b/>
          <w:bCs/>
          <w:sz w:val="24"/>
          <w:szCs w:val="24"/>
        </w:rPr>
        <w:t xml:space="preserve">1689 · La Courneuve, la finestra 1976-1980.</w:t>
      </w:r>
      <w:r>
        <w:rPr>
          <w:rFonts w:ascii="Barlow Semi Condensed" w:cs="Barlow Semi Condensed" w:eastAsia="Barlow Semi Condensed" w:hAnsi="Barlow Semi Condensed"/>
          <w:sz w:val="24"/>
          <w:szCs w:val="24"/>
        </w:rPr>
        <w:t xml:space="preserve"> Agli archivi diplomatici francesi la sottoserie della Direction d'Europe «Italie, juillet 1976-1980» sta nel versamento 1929INVA, con inventario in linea e circa novecentosettanta scatole. La finestra copre la fondazione della scuola e l'apertura dell'ufficio romano. Vi si porta un quesito laterale ma non inutile: se i dossier del Quai registrino richieste americane sulla scuola. Lettura in sala, con deroga dove i termini la impongono.</w:t>
      </w:r>
    </w:p>
    <w:p>
      <w:pPr>
        <w:spacing w:after="120" w:line="276"/>
        <w:jc w:val="both"/>
      </w:pPr>
      <w:r>
        <w:rPr>
          <w:rFonts w:ascii="Barlow Semi Condensed" w:cs="Barlow Semi Condensed" w:eastAsia="Barlow Semi Condensed" w:hAnsi="Barlow Semi Condensed"/>
          <w:b/>
          <w:bCs/>
          <w:sz w:val="24"/>
          <w:szCs w:val="24"/>
        </w:rPr>
        <w:t xml:space="preserve">1690 · Grimaud, e una nota del 1983.</w:t>
      </w:r>
      <w:r>
        <w:rPr>
          <w:rFonts w:ascii="Barlow Semi Condensed" w:cs="Barlow Semi Condensed" w:eastAsia="Barlow Semi Condensed" w:hAnsi="Barlow Semi Condensed"/>
          <w:sz w:val="24"/>
          <w:szCs w:val="24"/>
        </w:rPr>
        <w:t xml:space="preserve"> Diviso fra due sedi, il fondo del prefetto Maurice Grimaud sta al Centre d'histoire de Sciences Po per le carte private e agli Archives nationales di Pierrefitte per quelle d'ufficio, e contiene la nota del 24 maggio 1983 con cui il direttore di gabinetto di Defferre chiese ai Renseignements généraux informazioni sulla scuola. È l'atto francese più preciso che il corpus conosca sul nodo, ed è del 1983: sei anni dopo ogni carica.</w:t>
      </w:r>
    </w:p>
    <w:p>
      <w:pPr>
        <w:spacing w:after="120" w:line="276"/>
        <w:jc w:val="both"/>
      </w:pPr>
      <w:r>
        <w:rPr>
          <w:rFonts w:ascii="Barlow Semi Condensed" w:cs="Barlow Semi Condensed" w:eastAsia="Barlow Semi Condensed" w:hAnsi="Barlow Semi Condensed"/>
          <w:b/>
          <w:bCs/>
          <w:sz w:val="24"/>
          <w:szCs w:val="24"/>
        </w:rPr>
        <w:t xml:space="preserve">1691 · La préfecture e l'emigrazione italiana.</w:t>
      </w:r>
      <w:r>
        <w:rPr>
          <w:rFonts w:ascii="Barlow Semi Condensed" w:cs="Barlow Semi Condensed" w:eastAsia="Barlow Semi Condensed" w:hAnsi="Barlow Semi Condensed"/>
          <w:sz w:val="24"/>
          <w:szCs w:val="24"/>
        </w:rPr>
        <w:t xml:space="preserve"> Nelle serie degli Archives de la préfecture de police, con deroga, si accerta che cosa Parigi registrasse dell'emigrazione politica italiana negli anni Settanta e quali servizi stranieri comparissero come interlocutori. La risposta sarà francese: non ne discende che sia americana, né che non lo sia. È il tipo di quesito che va posto per essere chiuso in un verso o nell'altro, non per essere evocato.</w:t>
      </w:r>
    </w:p>
    <w:p>
      <w:pPr>
        <w:spacing w:after="120" w:line="276"/>
        <w:jc w:val="both"/>
      </w:pPr>
      <w:r>
        <w:rPr>
          <w:rFonts w:ascii="Barlow Semi Condensed" w:cs="Barlow Semi Condensed" w:eastAsia="Barlow Semi Condensed" w:hAnsi="Barlow Semi Condensed"/>
          <w:b/>
          <w:bCs/>
          <w:sz w:val="24"/>
          <w:szCs w:val="24"/>
        </w:rPr>
        <w:t xml:space="preserve">1692 · Una chiusura con scadenza calcolabile.</w:t>
      </w:r>
      <w:r>
        <w:rPr>
          <w:rFonts w:ascii="Barlow Semi Condensed" w:cs="Barlow Semi Condensed" w:eastAsia="Barlow Semi Condensed" w:hAnsi="Barlow Semi Condensed"/>
          <w:sz w:val="24"/>
          <w:szCs w:val="24"/>
        </w:rPr>
        <w:t xml:space="preserve"> L'articolo L213-2 del Code du patrimoine fissa i termini più lunghi per la sicurezza dello Stato e la vita privata, con la procedura di deroga e il registro delle richieste; il corpus ha già accertato che gli archivi giudiziari francesi restano chiusi fino a settantacinque anni. Una chiusura con data calcolabile non è un vuoto: è uno Stato Zero con scadenza, da mettere a calendario e non da lamentare.</w:t>
      </w:r>
    </w:p>
    <w:p>
      <w:pPr>
        <w:spacing w:after="120" w:line="276"/>
        <w:jc w:val="both"/>
      </w:pPr>
      <w:r>
        <w:rPr>
          <w:rFonts w:ascii="Barlow Semi Condensed" w:cs="Barlow Semi Condensed" w:eastAsia="Barlow Semi Condensed" w:hAnsi="Barlow Semi Condensed"/>
          <w:b/>
          <w:bCs/>
          <w:sz w:val="24"/>
          <w:szCs w:val="24"/>
        </w:rPr>
        <w:t xml:space="preserve">1693 · La domanda mai posta a Washington.</w:t>
      </w:r>
      <w:r>
        <w:rPr>
          <w:rFonts w:ascii="Barlow Semi Condensed" w:cs="Barlow Semi Condensed" w:eastAsia="Barlow Semi Condensed" w:hAnsi="Barlow Semi Condensed"/>
          <w:sz w:val="24"/>
          <w:szCs w:val="24"/>
        </w:rPr>
        <w:t xml:space="preserve"> Roma chiese mai qualcosa a Washington sulla scuola di Parigi? La sede è l'Archivio storico diplomatico del Ministero degli Affari Esteri, con le carte delle ambasciate d'Italia a Parigi e a Washington per gli anni dal 1976 al 1986. La collazione bilaterale comincia in casa, come stabilisce il cantiere francese dell'agenda. Il quesito non risulta posto da alcuna commissione né da alcuna istruttoria: è integralmente aperto.</w:t>
      </w:r>
    </w:p>
    <w:p>
      <w:pPr>
        <w:spacing w:after="120" w:line="276"/>
        <w:jc w:val="both"/>
      </w:pPr>
      <w:r>
        <w:rPr>
          <w:rFonts w:ascii="Barlow Semi Condensed" w:cs="Barlow Semi Condensed" w:eastAsia="Barlow Semi Condensed" w:hAnsi="Barlow Semi Condensed"/>
          <w:b/>
          <w:bCs/>
          <w:sz w:val="24"/>
          <w:szCs w:val="24"/>
        </w:rPr>
        <w:t xml:space="preserve">1694 · I versamenti dei servizi italiani.</w:t>
      </w:r>
      <w:r>
        <w:rPr>
          <w:rFonts w:ascii="Barlow Semi Condensed" w:cs="Barlow Semi Condensed" w:eastAsia="Barlow Semi Condensed" w:hAnsi="Barlow Semi Condensed"/>
          <w:sz w:val="24"/>
          <w:szCs w:val="24"/>
        </w:rPr>
        <w:t xml:space="preserve"> All'Archivio centrale dello Stato stanno i versamenti disposti in attuazione della direttiva del 22 aprile 2014 sulla declassificazione delle carte relative al caso, oltre ai fondi del Ministero dell'Interno. È lì che si documenterebbero le coperture dello stabile romano e le informative sui tre fondatori. Il quesito americano, se esiste, comparirebbe come traccia riflessa in carta italiana: e finora, nelle carte note, non vi compare.</w:t>
      </w:r>
    </w:p>
    <w:p>
      <w:pPr>
        <w:spacing w:after="120" w:line="276"/>
        <w:jc w:val="both"/>
      </w:pPr>
      <w:r>
        <w:rPr>
          <w:rFonts w:ascii="Barlow Semi Condensed" w:cs="Barlow Semi Condensed" w:eastAsia="Barlow Semi Condensed" w:hAnsi="Barlow Semi Condensed"/>
          <w:b/>
          <w:bCs/>
          <w:sz w:val="24"/>
          <w:szCs w:val="24"/>
        </w:rPr>
        <w:t xml:space="preserve">1695 · Ciò che la Commissione non produsse.</w:t>
      </w:r>
      <w:r>
        <w:rPr>
          <w:rFonts w:ascii="Barlow Semi Condensed" w:cs="Barlow Semi Condensed" w:eastAsia="Barlow Semi Condensed" w:hAnsi="Barlow Semi Condensed"/>
          <w:sz w:val="24"/>
          <w:szCs w:val="24"/>
        </w:rPr>
        <w:t xml:space="preserve"> La Commissione Moro 2 riesaminò il nodo senza produrre accertamenti nuovi di grado giudiziario, e ciò che non produsse è a sua volta un dato. La sede è l'Archivio storico della Camera dei deputati per la diciassettesima legislatura, con i resoconti e la documentazione acquisita. Un organo parlamentare che riapre un fascicolo e non vi aggiunge accertamenti misura la consistenza del fascicolo, non la propria disattenzione.</w:t>
      </w:r>
    </w:p>
    <w:p>
      <w:pPr>
        <w:spacing w:after="120" w:line="276"/>
        <w:jc w:val="both"/>
      </w:pPr>
      <w:r>
        <w:rPr>
          <w:rFonts w:ascii="Barlow Semi Condensed" w:cs="Barlow Semi Condensed" w:eastAsia="Barlow Semi Condensed" w:hAnsi="Barlow Semi Condensed"/>
          <w:b/>
          <w:bCs/>
          <w:sz w:val="24"/>
          <w:szCs w:val="24"/>
        </w:rPr>
        <w:t xml:space="preserve">1696 · Venezia, e le carte del 1982.</w:t>
      </w:r>
      <w:r>
        <w:rPr>
          <w:rFonts w:ascii="Barlow Semi Condensed" w:cs="Barlow Semi Condensed" w:eastAsia="Barlow Semi Condensed" w:hAnsi="Barlow Semi Condensed"/>
          <w:sz w:val="24"/>
          <w:szCs w:val="24"/>
        </w:rPr>
        <w:t xml:space="preserve"> Gli atti del 1982 finora noti sono di fonte giudiziaria italiana e provengono dall'istruttoria veneziana del giudice Mastelloni: lo fissa il blocco 50 dei cantieri, e il blocco 222 dell'agenda tiene il criterio di riapertura puntato sul solo documento primario. Se una traccia americana esistesse, passerebbe prima da quelle carte. In quarant'anni nessuno ve l'ha trovata, e nessuno ha verbalizzato di averla cercata.</w:t>
      </w:r>
    </w:p>
    <w:p>
      <w:pPr>
        <w:spacing w:after="120" w:line="276"/>
        <w:jc w:val="both"/>
      </w:pPr>
      <w:r>
        <w:rPr>
          <w:rFonts w:ascii="Barlow Semi Condensed" w:cs="Barlow Semi Condensed" w:eastAsia="Barlow Semi Condensed" w:hAnsi="Barlow Semi Condensed"/>
          <w:b/>
          <w:bCs/>
          <w:sz w:val="24"/>
          <w:szCs w:val="24"/>
        </w:rPr>
        <w:t xml:space="preserve">1697 · Il documento che smentirebbe tutto.</w:t>
      </w:r>
      <w:r>
        <w:rPr>
          <w:rFonts w:ascii="Barlow Semi Condensed" w:cs="Barlow Semi Condensed" w:eastAsia="Barlow Semi Condensed" w:hAnsi="Barlow Semi Condensed"/>
          <w:sz w:val="24"/>
          <w:szCs w:val="24"/>
        </w:rPr>
        <w:t xml:space="preserve"> Un solo documento falsificherebbe l'esito negativo di questa serie: una carta di provenienza — americana, italiana o francese — datata, sottoscritta, conservata in un fondo con segnatura, nella quale il nome di questa campagna e uno fra Hyperion, Superclan, Simioni, Berio e Mulinaris compaiano insieme in relazione di condotta. Non una memoria, non un'intervista, non una citazione ripetuta. Il bersaglio è formulato prima della ricerca e non si sposterà dopo.</w:t>
      </w:r>
    </w:p>
    <w:p>
      <w:pPr>
        <w:spacing w:after="120" w:line="276"/>
        <w:jc w:val="both"/>
      </w:pPr>
      <w:r>
        <w:rPr>
          <w:rFonts w:ascii="Barlow Semi Condensed" w:cs="Barlow Semi Condensed" w:eastAsia="Barlow Semi Condensed" w:hAnsi="Barlow Semi Condensed"/>
          <w:b/>
          <w:bCs/>
          <w:sz w:val="24"/>
          <w:szCs w:val="24"/>
        </w:rPr>
        <w:t xml:space="preserve">1698 · Cinque forme che non smentirebbero.</w:t>
      </w:r>
      <w:r>
        <w:rPr>
          <w:rFonts w:ascii="Barlow Semi Condensed" w:cs="Barlow Semi Condensed" w:eastAsia="Barlow Semi Condensed" w:hAnsi="Barlow Semi Condensed"/>
          <w:sz w:val="24"/>
          <w:szCs w:val="24"/>
        </w:rPr>
        <w:t xml:space="preserve"> Non conterebbero come smentita: un libro che l'affermi senza segnatura; un testimone che riferisca di aver sentito dire; una coincidenza di date fra cariche ed eventi; un finanziamento americano a un ente che impiegò uno dei tre; una dichiarazione di pentito priva di riscontro. Il corpus ha già respinto altrove ciascuna di queste forme, e questa serie le respinge in anticipo per non doverle discutere dopo.</w:t>
      </w:r>
    </w:p>
    <w:p>
      <w:pPr>
        <w:spacing w:after="120" w:line="276"/>
        <w:jc w:val="both"/>
      </w:pPr>
      <w:r>
        <w:rPr>
          <w:rFonts w:ascii="Barlow Semi Condensed" w:cs="Barlow Semi Condensed" w:eastAsia="Barlow Semi Condensed" w:hAnsi="Barlow Semi Condensed"/>
          <w:b/>
          <w:bCs/>
          <w:sz w:val="24"/>
          <w:szCs w:val="24"/>
        </w:rPr>
        <w:t xml:space="preserve">1699 · Il bilancio in cifre dichiarate.</w:t>
      </w:r>
      <w:r>
        <w:rPr>
          <w:rFonts w:ascii="Barlow Semi Condensed" w:cs="Barlow Semi Condensed" w:eastAsia="Barlow Semi Condensed" w:hAnsi="Barlow Semi Condensed"/>
          <w:sz w:val="24"/>
          <w:szCs w:val="24"/>
        </w:rPr>
        <w:t xml:space="preserve"> Piano uno: zero archi, nessun documento di provenienza. Piano due: tre convergenze di cornice dichiarate e non promosse, cioè il finanziamento americano dell'emittente nel «si dice», l'impiego del 1967 all'USIS e la sovrapposizione temporale fra il 1969 e il 1977. Piano tre: nessuna affermazione terziaria reperita nel perimetro dichiarato. Tutto il resto della serie è Stato Zero verbalizzato con la sede che lo chiuderebbe.</w:t>
      </w:r>
    </w:p>
    <w:p>
      <w:pPr>
        <w:spacing w:after="120" w:line="276"/>
        <w:jc w:val="both"/>
      </w:pPr>
      <w:r>
        <w:rPr>
          <w:rFonts w:ascii="Barlow Semi Condensed" w:cs="Barlow Semi Condensed" w:eastAsia="Barlow Semi Condensed" w:hAnsi="Barlow Semi Condensed"/>
          <w:b/>
          <w:bCs/>
          <w:sz w:val="24"/>
          <w:szCs w:val="24"/>
        </w:rPr>
        <w:t xml:space="preserve">1700 · Il nome che non compare.</w:t>
      </w:r>
      <w:r>
        <w:rPr>
          <w:rFonts w:ascii="Barlow Semi Condensed" w:cs="Barlow Semi Condensed" w:eastAsia="Barlow Semi Condensed" w:hAnsi="Barlow Semi Condensed"/>
          <w:sz w:val="24"/>
          <w:szCs w:val="24"/>
        </w:rPr>
        <w:t xml:space="preserve"> Il fascicolo della terza strada si chiude nelle aule che assolvono e a Emmaus. Questa serie si ferma un passo prima e registra il fatto che le tre schede non dicono: in tutta la storia del ceppo Simioni il nome di questa campagna non compare mai, né come accusato, né come teste, né come destinatario di una nota. Scriverlo è l'unico accertamento che il territorio consenta.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ventitreesima — Il Tribunale Speciale e il filo del 1926</w:t>
      </w:r>
    </w:p>
    <w:p>
      <w:pPr>
        <w:spacing w:after="120" w:line="276"/>
        <w:jc w:val="both"/>
      </w:pPr>
      <w:r>
        <w:rPr>
          <w:rFonts w:ascii="Barlow Semi Condensed" w:cs="Barlow Semi Condensed" w:eastAsia="Barlow Semi Condensed" w:hAnsi="Barlow Semi Condensed"/>
          <w:i/>
          <w:iCs/>
          <w:sz w:val="24"/>
          <w:szCs w:val="24"/>
        </w:rPr>
        <w:t xml:space="preserve">Blocchi 1701-1775.</w:t>
      </w:r>
    </w:p>
    <w:p>
      <w:pPr>
        <w:spacing w:after="120" w:line="276"/>
        <w:jc w:val="both"/>
      </w:pPr>
      <w:r>
        <w:rPr>
          <w:rFonts w:ascii="Barlow Semi Condensed" w:cs="Barlow Semi Condensed" w:eastAsia="Barlow Semi Condensed" w:hAnsi="Barlow Semi Condensed"/>
          <w:b/>
          <w:bCs/>
          <w:sz w:val="24"/>
          <w:szCs w:val="24"/>
        </w:rPr>
        <w:t xml:space="preserve">1701 · La misura preliminare dello zero.</w:t>
      </w:r>
      <w:r>
        <w:rPr>
          <w:rFonts w:ascii="Barlow Semi Condensed" w:cs="Barlow Semi Condensed" w:eastAsia="Barlow Semi Condensed" w:hAnsi="Barlow Semi Condensed"/>
          <w:sz w:val="24"/>
          <w:szCs w:val="24"/>
        </w:rPr>
        <w:t xml:space="preserve"> Prima di scrivere si è cercato. La stringa Kissinger ricorre zero volte in tribunale-speciale-storia-istituzione.md, zero in tribunale-speciale-approfondimento-sottonodi.md, zero in amnistiati-tribunale-speciale.md. Nessuna delle sette sezioni dello studio, nessuno degli otto sottonodi da S-1 a S-8, nessuna delle schede bolognesi lo nomina. Il dato si registra come misura eseguita e non come impressione: è il denominatore su cui poggia l'intera serie, e va letto prima di ogni blocco che segue.</w:t>
      </w:r>
    </w:p>
    <w:p>
      <w:pPr>
        <w:spacing w:after="120" w:line="276"/>
        <w:jc w:val="both"/>
      </w:pPr>
      <w:r>
        <w:rPr>
          <w:rFonts w:ascii="Barlow Semi Condensed" w:cs="Barlow Semi Condensed" w:eastAsia="Barlow Semi Condensed" w:hAnsi="Barlow Semi Condensed"/>
          <w:b/>
          <w:bCs/>
          <w:sz w:val="24"/>
          <w:szCs w:val="24"/>
        </w:rPr>
        <w:t xml:space="preserve">1702 · Lo zero è simmetrico.</w:t>
      </w:r>
      <w:r>
        <w:rPr>
          <w:rFonts w:ascii="Barlow Semi Condensed" w:cs="Barlow Semi Condensed" w:eastAsia="Barlow Semi Condensed" w:hAnsi="Barlow Semi Condensed"/>
          <w:sz w:val="24"/>
          <w:szCs w:val="24"/>
        </w:rPr>
        <w:t xml:space="preserve"> La verifica è stata condotta anche nel verso opposto, dentro i mille blocchi di kissinger-mille-blocchi-il-codice-e-la-sua-trasmissione.md: non vi compaiono le stringhe Tribunale Speciale, OVRA, Terracini, Gramsci, Pertini, amnistia, né alcun richiamo all'articolo 102 della Costituzione. Due corpi documentali si voltano le spalle. Il blocco 646 misurava lo zero della quadriga; qui il rapporto di co-occorrenza definito al blocco 643 vale zero in entrambe le direzioni.</w:t>
      </w:r>
    </w:p>
    <w:p>
      <w:pPr>
        <w:spacing w:after="120" w:line="276"/>
        <w:jc w:val="both"/>
      </w:pPr>
      <w:r>
        <w:rPr>
          <w:rFonts w:ascii="Barlow Semi Condensed" w:cs="Barlow Semi Condensed" w:eastAsia="Barlow Semi Condensed" w:hAnsi="Barlow Semi Condensed"/>
          <w:b/>
          <w:bCs/>
          <w:sz w:val="24"/>
          <w:szCs w:val="24"/>
        </w:rPr>
        <w:t xml:space="preserve">1703 · Il denominatore, dichiarato prima.</w:t>
      </w:r>
      <w:r>
        <w:rPr>
          <w:rFonts w:ascii="Barlow Semi Condensed" w:cs="Barlow Semi Condensed" w:eastAsia="Barlow Semi Condensed" w:hAnsi="Barlow Semi Condensed"/>
          <w:sz w:val="24"/>
          <w:szCs w:val="24"/>
        </w:rPr>
        <w:t xml:space="preserve"> Un vuoto senza denominatore non è falsificabile. Il territorio assegnato consta di due schede brevi, sette capitoli più otto sottonodi, e a monte un elenco di circa cinquanta nominativi bolognesi. Su una base tanto stretta l'attesa statistica di trovarvi un nome della politica estera statunitense degli anni Settanta è prossima allo zero: il blocco 650 impone di calcolarla prima della ricerca, ed è stata calcolata.</w:t>
      </w:r>
    </w:p>
    <w:p>
      <w:pPr>
        <w:spacing w:after="120" w:line="276"/>
        <w:jc w:val="both"/>
      </w:pPr>
      <w:r>
        <w:rPr>
          <w:rFonts w:ascii="Barlow Semi Condensed" w:cs="Barlow Semi Condensed" w:eastAsia="Barlow Semi Condensed" w:hAnsi="Barlow Semi Condensed"/>
          <w:b/>
          <w:bCs/>
          <w:sz w:val="24"/>
          <w:szCs w:val="24"/>
        </w:rPr>
        <w:t xml:space="preserve">1704 · Perché l'assenza era prevedibile.</w:t>
      </w:r>
      <w:r>
        <w:rPr>
          <w:rFonts w:ascii="Barlow Semi Condensed" w:cs="Barlow Semi Condensed" w:eastAsia="Barlow Semi Condensed" w:hAnsi="Barlow Semi Condensed"/>
          <w:sz w:val="24"/>
          <w:szCs w:val="24"/>
        </w:rPr>
        <w:t xml:space="preserve"> Le cronologie non si sfiorano. Il Tribunale operò dal febbraio 1927 al luglio 1943; Heinz Alfred Kissinger nacque a Fürth il 27 maggio 1923; i suoi incarichi corrono dal 20 gennaio 1969 al 20 gennaio 1977, secondo K-2. Fra l'ultima sentenza del giudice speciale e il primo giorno alla Casa Bianca corrono venticinque anni. L'assenza non è una lacuna d'archivio: è una conseguenza del calendario.</w:t>
      </w:r>
    </w:p>
    <w:p>
      <w:pPr>
        <w:spacing w:after="120" w:line="276"/>
        <w:jc w:val="both"/>
      </w:pPr>
      <w:r>
        <w:rPr>
          <w:rFonts w:ascii="Barlow Semi Condensed" w:cs="Barlow Semi Condensed" w:eastAsia="Barlow Semi Condensed" w:hAnsi="Barlow Semi Condensed"/>
          <w:b/>
          <w:bCs/>
          <w:sz w:val="24"/>
          <w:szCs w:val="24"/>
        </w:rPr>
        <w:t xml:space="preserve">1705 · Quaranta giorni del 1943.</w:t>
      </w:r>
      <w:r>
        <w:rPr>
          <w:rFonts w:ascii="Barlow Semi Condensed" w:cs="Barlow Semi Condensed" w:eastAsia="Barlow Semi Condensed" w:hAnsi="Barlow Semi Condensed"/>
          <w:sz w:val="24"/>
          <w:szCs w:val="24"/>
        </w:rPr>
        <w:t xml:space="preserve"> Un solo punto di tangenza cronologica esiste, ed è privo di contenuto. Il regio decreto-legge 29 luglio 1943, n. 668 soppresse il Tribunale; il 19 giugno 1943, a Camp Croft, era stata perfezionata la naturalizzazione statunitense accertata in K-1. Quaranta giorni separano due atti compiuti in due continenti da autorità che non si conoscevano. Il blocco 867 vale alla lettera: l'anteriorità, qui, è argomento contro il nesso.</w:t>
      </w:r>
    </w:p>
    <w:p>
      <w:pPr>
        <w:spacing w:after="120" w:line="276"/>
        <w:jc w:val="both"/>
      </w:pPr>
      <w:r>
        <w:rPr>
          <w:rFonts w:ascii="Barlow Semi Condensed" w:cs="Barlow Semi Condensed" w:eastAsia="Barlow Semi Condensed" w:hAnsi="Barlow Semi Condensed"/>
          <w:b/>
          <w:bCs/>
          <w:sz w:val="24"/>
          <w:szCs w:val="24"/>
        </w:rPr>
        <w:t xml:space="preserve">1706 · Il verbale di vuoto, compilato.</w:t>
      </w:r>
      <w:r>
        <w:rPr>
          <w:rFonts w:ascii="Barlow Semi Condensed" w:cs="Barlow Semi Condensed" w:eastAsia="Barlow Semi Condensed" w:hAnsi="Barlow Semi Condensed"/>
          <w:sz w:val="24"/>
          <w:szCs w:val="24"/>
        </w:rPr>
        <w:t xml:space="preserve"> Si compila come prescrive il blocco 651. Stringhe interrogate: Kissinger, Heinz, Henry, Segretario di Stato, Stati Uniti. File interrogati: i tre del filo del 1926, per intero. Perimetro cronologico: 1926-1943 per il territorio, 1969-1977 per il nome. Esito: nessuna occorrenza. Data della ricerca e responsabile della firma vanno apposti, perché il blocco 658 stabilisce che chi ha cercato firma.</w:t>
      </w:r>
    </w:p>
    <w:p>
      <w:pPr>
        <w:spacing w:after="120" w:line="276"/>
        <w:jc w:val="both"/>
      </w:pPr>
      <w:r>
        <w:rPr>
          <w:rFonts w:ascii="Barlow Semi Condensed" w:cs="Barlow Semi Condensed" w:eastAsia="Barlow Semi Condensed" w:hAnsi="Barlow Semi Condensed"/>
          <w:b/>
          <w:bCs/>
          <w:sz w:val="24"/>
          <w:szCs w:val="24"/>
        </w:rPr>
        <w:t xml:space="preserve">1707 · Le varianti della stringa cercate.</w:t>
      </w:r>
      <w:r>
        <w:rPr>
          <w:rFonts w:ascii="Barlow Semi Condensed" w:cs="Barlow Semi Condensed" w:eastAsia="Barlow Semi Condensed" w:hAnsi="Barlow Semi Condensed"/>
          <w:sz w:val="24"/>
          <w:szCs w:val="24"/>
        </w:rPr>
        <w:t xml:space="preserve"> Non basta interrogare la forma corrente. Sono state provate anche Heinz, Henry A., Kissinger H. e la forma erronea Harry, quella che il blocco 8 dell'opera segnala come generatrice di un falso positivo reale, il ricercatore Harry Cason della ricognizione portoghese. Nel territorio del Tribunale Speciale nessuna variante restituisce occorrenze, nemmeno spurie: il vuoto è netto e non richiede disambiguazione.</w:t>
      </w:r>
    </w:p>
    <w:p>
      <w:pPr>
        <w:spacing w:after="120" w:line="276"/>
        <w:jc w:val="both"/>
      </w:pPr>
      <w:r>
        <w:rPr>
          <w:rFonts w:ascii="Barlow Semi Condensed" w:cs="Barlow Semi Condensed" w:eastAsia="Barlow Semi Condensed" w:hAnsi="Barlow Semi Condensed"/>
          <w:b/>
          <w:bCs/>
          <w:sz w:val="24"/>
          <w:szCs w:val="24"/>
        </w:rPr>
        <w:t xml:space="preserve">1708 · Le tre condizioni di riapertura.</w:t>
      </w:r>
      <w:r>
        <w:rPr>
          <w:rFonts w:ascii="Barlow Semi Condensed" w:cs="Barlow Semi Condensed" w:eastAsia="Barlow Semi Condensed" w:hAnsi="Barlow Semi Condensed"/>
          <w:sz w:val="24"/>
          <w:szCs w:val="24"/>
        </w:rPr>
        <w:t xml:space="preserve"> Ogni vuoto deve dichiarare come si riapre, prescrive il blocco 661. Questo si riapre se l'Archivio Centrale dello Stato inventaria nuove serie del fondo Tribunale Speciale, se la Gerald R. Ford Presidential Library declassifica memoranda ancora ritenuti, se l'archivio Storia e Memoria di Bologna pubblica in forma integrale le schede oggi raggiungibili solo per estratto. Fuori da queste tre ipotesi il vuoto resta chiuso e non si riapre a richiesta.</w:t>
      </w:r>
    </w:p>
    <w:p>
      <w:pPr>
        <w:spacing w:after="120" w:line="276"/>
        <w:jc w:val="both"/>
      </w:pPr>
      <w:r>
        <w:rPr>
          <w:rFonts w:ascii="Barlow Semi Condensed" w:cs="Barlow Semi Condensed" w:eastAsia="Barlow Semi Condensed" w:hAnsi="Barlow Semi Condensed"/>
          <w:b/>
          <w:bCs/>
          <w:sz w:val="24"/>
          <w:szCs w:val="24"/>
        </w:rPr>
        <w:t xml:space="preserve">1709 · Che cosa sarebbe qui un piano 1.</w:t>
      </w:r>
      <w:r>
        <w:rPr>
          <w:rFonts w:ascii="Barlow Semi Condensed" w:cs="Barlow Semi Condensed" w:eastAsia="Barlow Semi Condensed" w:hAnsi="Barlow Semi Condensed"/>
          <w:sz w:val="24"/>
          <w:szCs w:val="24"/>
        </w:rPr>
        <w:t xml:space="preserve"> La definizione va fissata prima di cercare, altrimenti si adatta al trovato. Piano 1, su questo territorio, significa una sola cosa: una carta di provenienza, datata e attribuibile a un ufficio, nella quale il nome e l'istituto del 1926 compaiano insieme e in relazione. Non un saggio, non un'intervista, non una somiglianza di rito. Un documento, e nient'altro che un documento.</w:t>
      </w:r>
    </w:p>
    <w:p>
      <w:pPr>
        <w:spacing w:after="120" w:line="276"/>
        <w:jc w:val="both"/>
      </w:pPr>
      <w:r>
        <w:rPr>
          <w:rFonts w:ascii="Barlow Semi Condensed" w:cs="Barlow Semi Condensed" w:eastAsia="Barlow Semi Condensed" w:hAnsi="Barlow Semi Condensed"/>
          <w:b/>
          <w:bCs/>
          <w:sz w:val="24"/>
          <w:szCs w:val="24"/>
        </w:rPr>
        <w:t xml:space="preserve">1710 · Impossibilità, non lacuna.</w:t>
      </w:r>
      <w:r>
        <w:rPr>
          <w:rFonts w:ascii="Barlow Semi Condensed" w:cs="Barlow Semi Condensed" w:eastAsia="Barlow Semi Condensed" w:hAnsi="Barlow Semi Condensed"/>
          <w:sz w:val="24"/>
          <w:szCs w:val="24"/>
        </w:rPr>
        <w:t xml:space="preserve"> Per gli anni del regime il piano 1 è escluso a monte. Fra il 1926 e il 1943 l'uomo di questa serie fu un minore, poi un emigrato, poi un soldato di un esercito straniero; la cittadinanza statunitense arrivò il 19 giugno 1943, quaranta giorni prima della soppressione dell'organo. Cercare un documento coevo che li congiunga non è ricerca difficile: è ricerca impossibile, e va detto così.</w:t>
      </w:r>
    </w:p>
    <w:p>
      <w:pPr>
        <w:spacing w:after="120" w:line="276"/>
        <w:jc w:val="both"/>
      </w:pPr>
      <w:r>
        <w:rPr>
          <w:rFonts w:ascii="Barlow Semi Condensed" w:cs="Barlow Semi Condensed" w:eastAsia="Barlow Semi Condensed" w:hAnsi="Barlow Semi Condensed"/>
          <w:b/>
          <w:bCs/>
          <w:sz w:val="24"/>
          <w:szCs w:val="24"/>
        </w:rPr>
        <w:t xml:space="preserve">1711 · Il piano 1 concepibile è retrospettivo.</w:t>
      </w:r>
      <w:r>
        <w:rPr>
          <w:rFonts w:ascii="Barlow Semi Condensed" w:cs="Barlow Semi Condensed" w:eastAsia="Barlow Semi Condensed" w:hAnsi="Barlow Semi Condensed"/>
          <w:sz w:val="24"/>
          <w:szCs w:val="24"/>
        </w:rPr>
        <w:t xml:space="preserve"> Resta una sola ipotesi lavorabile: un documento del periodo 1969-1977 in cui l'amministrazione statunitense richiami il Tribunale del 1926, la legge n. 2008 o le leggi fascistissime come precedente, argomento o memoria storica nel trattare l'Italia. La sede è NARA College Park, RG 59, Central Foreign Policy Files, integrata dai Memoranda of Conversations di Ann Arbor. Esito atteso negativo, ricerca comunque dovuta.</w:t>
      </w:r>
    </w:p>
    <w:p>
      <w:pPr>
        <w:spacing w:after="120" w:line="276"/>
        <w:jc w:val="both"/>
      </w:pPr>
      <w:r>
        <w:rPr>
          <w:rFonts w:ascii="Barlow Semi Condensed" w:cs="Barlow Semi Condensed" w:eastAsia="Barlow Semi Condensed" w:hAnsi="Barlow Semi Condensed"/>
          <w:b/>
          <w:bCs/>
          <w:sz w:val="24"/>
          <w:szCs w:val="24"/>
        </w:rPr>
        <w:t xml:space="preserve">1712 · La forma della richiesta mirata (serie XXIII).</w:t>
      </w:r>
      <w:r>
        <w:rPr>
          <w:rFonts w:ascii="Barlow Semi Condensed" w:cs="Barlow Semi Condensed" w:eastAsia="Barlow Semi Condensed" w:hAnsi="Barlow Semi Condensed"/>
          <w:sz w:val="24"/>
          <w:szCs w:val="24"/>
        </w:rPr>
        <w:t xml:space="preserve"> Una domanda d'archivio si scrive e non si evoca: così vuole il blocco 926. Qui si formula così: ricerca full-text sulle stringhe Special Tribunal for the Defense of the State, special courts, Fascist emergency laws, Mussolini 1926, entro le serie nominate e il perimetro 1969-1977, con elenco dei fascicoli aperti e delle unità non trovate. Chi la esegue allega l'esito, anche vuoto.</w:t>
      </w:r>
    </w:p>
    <w:p>
      <w:pPr>
        <w:spacing w:after="120" w:line="276"/>
        <w:jc w:val="both"/>
      </w:pPr>
      <w:r>
        <w:rPr>
          <w:rFonts w:ascii="Barlow Semi Condensed" w:cs="Barlow Semi Condensed" w:eastAsia="Barlow Semi Condensed" w:hAnsi="Barlow Semi Condensed"/>
          <w:b/>
          <w:bCs/>
          <w:sz w:val="24"/>
          <w:szCs w:val="24"/>
        </w:rPr>
        <w:t xml:space="preserve">1713 · Il bersaglio di smentita primario.</w:t>
      </w:r>
      <w:r>
        <w:rPr>
          <w:rFonts w:ascii="Barlow Semi Condensed" w:cs="Barlow Semi Condensed" w:eastAsia="Barlow Semi Condensed" w:hAnsi="Barlow Semi Condensed"/>
          <w:sz w:val="24"/>
          <w:szCs w:val="24"/>
        </w:rPr>
        <w:t xml:space="preserve"> Che cosa rovescerebbe questa serie: la comparsa di una sola carta di provenienza che nomini insieme i due termini. Basterebbe un memorandum, un briefing paper, la trascrizione di una telefonata. Non servirebbe altro, e nulla di meno servirebbe. La serie si dichiara falsificabile con questo mezzo unico, e chiunque disponga di quella carta è in grado di chiuderla in una riga.</w:t>
      </w:r>
    </w:p>
    <w:p>
      <w:pPr>
        <w:spacing w:after="120" w:line="276"/>
        <w:jc w:val="both"/>
      </w:pPr>
      <w:r>
        <w:rPr>
          <w:rFonts w:ascii="Barlow Semi Condensed" w:cs="Barlow Semi Condensed" w:eastAsia="Barlow Semi Condensed" w:hAnsi="Barlow Semi Condensed"/>
          <w:b/>
          <w:bCs/>
          <w:sz w:val="24"/>
          <w:szCs w:val="24"/>
        </w:rPr>
        <w:t xml:space="preserve">1714 · Il costo dichiarato della ricerca.</w:t>
      </w:r>
      <w:r>
        <w:rPr>
          <w:rFonts w:ascii="Barlow Semi Condensed" w:cs="Barlow Semi Condensed" w:eastAsia="Barlow Semi Condensed" w:hAnsi="Barlow Semi Condensed"/>
          <w:sz w:val="24"/>
          <w:szCs w:val="24"/>
        </w:rPr>
        <w:t xml:space="preserve"> Stimare la spesa prima di assegnarla è prescrizione del blocco 693. La ricognizione qui descritta vale alcune giornate di sala studio a Roma, ad Ann Arbor e a College Park, con esito atteso negativo. Si dichiara perché altri decidano se spenderle: un bersaglio onesto porta scritto anche quanto costa, e questo costa più di quanto probabilmente renderà a chi lo prenderà in carico.</w:t>
      </w:r>
    </w:p>
    <w:p>
      <w:pPr>
        <w:spacing w:after="120" w:line="276"/>
        <w:jc w:val="both"/>
      </w:pPr>
      <w:r>
        <w:rPr>
          <w:rFonts w:ascii="Barlow Semi Condensed" w:cs="Barlow Semi Condensed" w:eastAsia="Barlow Semi Condensed" w:hAnsi="Barlow Semi Condensed"/>
          <w:b/>
          <w:bCs/>
          <w:sz w:val="24"/>
          <w:szCs w:val="24"/>
        </w:rPr>
        <w:t xml:space="preserve">1715 · La griglia del giudice di parte.</w:t>
      </w:r>
      <w:r>
        <w:rPr>
          <w:rFonts w:ascii="Barlow Semi Condensed" w:cs="Barlow Semi Condensed" w:eastAsia="Barlow Semi Condensed" w:hAnsi="Barlow Semi Condensed"/>
          <w:sz w:val="24"/>
          <w:szCs w:val="24"/>
        </w:rPr>
        <w:t xml:space="preserve"> Dal capitolo II dello studio si ricava una griglia in cinque voci: presidenza affidata a un ufficiale superiore, giudici tratti dai consoli della Milizia, codice penale militare di guerra applicato a civili in tempo di pace, istruttoria delegata alla polizia politica, sentenze inappellabili. Serve a riconoscere un organo, non a etichettarne altri per somiglianza parziale: quattro voci su cinque non fanno un Tribunale Speciale.</w:t>
      </w:r>
    </w:p>
    <w:p>
      <w:pPr>
        <w:spacing w:after="120" w:line="276"/>
        <w:jc w:val="both"/>
      </w:pPr>
      <w:r>
        <w:rPr>
          <w:rFonts w:ascii="Barlow Semi Condensed" w:cs="Barlow Semi Condensed" w:eastAsia="Barlow Semi Condensed" w:hAnsi="Barlow Semi Condensed"/>
          <w:b/>
          <w:bCs/>
          <w:sz w:val="24"/>
          <w:szCs w:val="24"/>
        </w:rPr>
        <w:t xml:space="preserve">1716 · Il Cile non entra da questa porta.</w:t>
      </w:r>
      <w:r>
        <w:rPr>
          <w:rFonts w:ascii="Barlow Semi Condensed" w:cs="Barlow Semi Condensed" w:eastAsia="Barlow Semi Condensed" w:hAnsi="Barlow Semi Condensed"/>
          <w:sz w:val="24"/>
          <w:szCs w:val="24"/>
        </w:rPr>
        <w:t xml:space="preserve"> Nel territorio assegnato il Cile non compare, né vi compaiono i consigli di guerra del 1973. Il metro cileno che l'opera costruisce ai blocchi da 496 a 503 appartiene a un altro dominio e resta lì. Portarlo qui produrrebbe un'analogia di rito fra giurisdizioni d'eccezione lontanissime per ordinamento, epoca e finalità: è precisamente il passaggio che il blocco 852 vieta.</w:t>
      </w:r>
    </w:p>
    <w:p>
      <w:pPr>
        <w:spacing w:after="120" w:line="276"/>
        <w:jc w:val="both"/>
      </w:pPr>
      <w:r>
        <w:rPr>
          <w:rFonts w:ascii="Barlow Semi Condensed" w:cs="Barlow Semi Condensed" w:eastAsia="Barlow Semi Condensed" w:hAnsi="Barlow Semi Condensed"/>
          <w:b/>
          <w:bCs/>
          <w:sz w:val="24"/>
          <w:szCs w:val="24"/>
        </w:rPr>
        <w:t xml:space="preserve">1717 · Accertamento parlamentare e sentenza inappellabile.</w:t>
      </w:r>
      <w:r>
        <w:rPr>
          <w:rFonts w:ascii="Barlow Semi Condensed" w:cs="Barlow Semi Condensed" w:eastAsia="Barlow Semi Condensed" w:hAnsi="Barlow Semi Condensed"/>
          <w:sz w:val="24"/>
          <w:szCs w:val="24"/>
        </w:rPr>
        <w:t xml:space="preserve"> Due generi di atto vanno tenuti distinti, e il confronto è istruttivo. Il rapporto del Senato del 1975 è accertamento parlamentare, che accerta senza punire, e i blocchi 503 e 703 ne fissano il valore. Le 4.596 condanne del Tribunale erano atti punitivi senza appello né ricorso in Cassazione. Chi li equipara per il fatto che entrambi riguardano il potere ha confuso l'accertare col condannare.</w:t>
      </w:r>
    </w:p>
    <w:p>
      <w:pPr>
        <w:spacing w:after="120" w:line="276"/>
        <w:jc w:val="both"/>
      </w:pPr>
      <w:r>
        <w:rPr>
          <w:rFonts w:ascii="Barlow Semi Condensed" w:cs="Barlow Semi Condensed" w:eastAsia="Barlow Semi Condensed" w:hAnsi="Barlow Semi Condensed"/>
          <w:b/>
          <w:bCs/>
          <w:sz w:val="24"/>
          <w:szCs w:val="24"/>
        </w:rPr>
        <w:t xml:space="preserve">1718 · Il test unico, ripetuto qui.</w:t>
      </w:r>
      <w:r>
        <w:rPr>
          <w:rFonts w:ascii="Barlow Semi Condensed" w:cs="Barlow Semi Condensed" w:eastAsia="Barlow Semi Condensed" w:hAnsi="Barlow Semi Condensed"/>
          <w:sz w:val="24"/>
          <w:szCs w:val="24"/>
        </w:rPr>
        <w:t xml:space="preserve"> Dalla somiglianza del risultato non si deduce l'antenato comune: i blocchi 406 e 944 lo stabiliscono per l'intera opera. Su questo territorio la tentazione ha una forma precisa, l'idea che ogni giustizia d'eccezione discenda da un modello unico. Il test resta uno: un documento di provenienza che nomini la controparte. In sua assenza restano forme convergenti, e le forme convergenti non hanno genealogia.</w:t>
      </w:r>
    </w:p>
    <w:p>
      <w:pPr>
        <w:spacing w:after="120" w:line="276"/>
        <w:jc w:val="both"/>
      </w:pPr>
      <w:r>
        <w:rPr>
          <w:rFonts w:ascii="Barlow Semi Condensed" w:cs="Barlow Semi Condensed" w:eastAsia="Barlow Semi Condensed" w:hAnsi="Barlow Semi Condensed"/>
          <w:b/>
          <w:bCs/>
          <w:sz w:val="24"/>
          <w:szCs w:val="24"/>
        </w:rPr>
        <w:t xml:space="preserve">1719 · Qui manca perfino il piano 2.</w:t>
      </w:r>
      <w:r>
        <w:rPr>
          <w:rFonts w:ascii="Barlow Semi Condensed" w:cs="Barlow Semi Condensed" w:eastAsia="Barlow Semi Condensed" w:hAnsi="Barlow Semi Condensed"/>
          <w:sz w:val="24"/>
          <w:szCs w:val="24"/>
        </w:rPr>
        <w:t xml:space="preserve"> Va detto con esattezza, perché molti si accontenterebbero del secondo piano. Il piano 2 richiede convergenza strutturale entro la stessa cornice; qui le cornici sono due e non comunicano, il regime italiano del 1926 e il sistema bipolare del 1969. Senza cornice condivisa non c'è convergenza da registrare, ma solo accostamento. Il bilancio corretto di questa serie è dunque piano 1 zero, piano 2 zero.</w:t>
      </w:r>
    </w:p>
    <w:p>
      <w:pPr>
        <w:spacing w:after="120" w:line="276"/>
        <w:jc w:val="both"/>
      </w:pPr>
      <w:r>
        <w:rPr>
          <w:rFonts w:ascii="Barlow Semi Condensed" w:cs="Barlow Semi Condensed" w:eastAsia="Barlow Semi Condensed" w:hAnsi="Barlow Semi Condensed"/>
          <w:b/>
          <w:bCs/>
          <w:sz w:val="24"/>
          <w:szCs w:val="24"/>
        </w:rPr>
        <w:t xml:space="preserve">1720 · Condor resta fuori dal territorio.</w:t>
      </w:r>
      <w:r>
        <w:rPr>
          <w:rFonts w:ascii="Barlow Semi Condensed" w:cs="Barlow Semi Condensed" w:eastAsia="Barlow Semi Condensed" w:hAnsi="Barlow Semi Condensed"/>
          <w:sz w:val="24"/>
          <w:szCs w:val="24"/>
        </w:rPr>
        <w:t xml:space="preserve"> Nessuna delle due schede nomina l'Operazione Condor, il Brasile, l'Argentina o alcun apparato repressivo latinoamericano. È uno stato zero di dominio, non di documento: il territorio non tace su una domanda che gli sia stata posta, semplicemente non contiene quella materia. La serie lo dichiara e non lo colma con importazioni da altri fronti del corpus, che avrebbero il valore di una giustapposizione.</w:t>
      </w:r>
    </w:p>
    <w:p>
      <w:pPr>
        <w:spacing w:after="120" w:line="276"/>
        <w:jc w:val="both"/>
      </w:pPr>
      <w:r>
        <w:rPr>
          <w:rFonts w:ascii="Barlow Semi Condensed" w:cs="Barlow Semi Condensed" w:eastAsia="Barlow Semi Condensed" w:hAnsi="Barlow Semi Condensed"/>
          <w:b/>
          <w:bCs/>
          <w:sz w:val="24"/>
          <w:szCs w:val="24"/>
        </w:rPr>
        <w:t xml:space="preserve">1721 · Il divieto sulle persone, ribadito (serie XXIII).</w:t>
      </w:r>
      <w:r>
        <w:rPr>
          <w:rFonts w:ascii="Barlow Semi Condensed" w:cs="Barlow Semi Condensed" w:eastAsia="Barlow Semi Condensed" w:hAnsi="Barlow Semi Condensed"/>
          <w:sz w:val="24"/>
          <w:szCs w:val="24"/>
        </w:rPr>
        <w:t xml:space="preserve"> I blocchi 430 e 936 separano la cornice dall'esecuzione e vietano l'attribuzione. Qui il divieto si applica in forma piena: nessuna riga di questa serie indica Henry Kissinger come responsabile di reato, perché K-2 accerta che non fu mai imputato né processato in alcun Paese e che nessuna sentenza lo riguarda. Il corpus si ferma al giudicato, e questo territorio è il motivo storico per cui lo fa.</w:t>
      </w:r>
    </w:p>
    <w:p>
      <w:pPr>
        <w:spacing w:after="120" w:line="276"/>
        <w:jc w:val="both"/>
      </w:pPr>
      <w:r>
        <w:rPr>
          <w:rFonts w:ascii="Barlow Semi Condensed" w:cs="Barlow Semi Condensed" w:eastAsia="Barlow Semi Condensed" w:hAnsi="Barlow Semi Condensed"/>
          <w:b/>
          <w:bCs/>
          <w:sz w:val="24"/>
          <w:szCs w:val="24"/>
        </w:rPr>
        <w:t xml:space="preserve">1722 · Due date che non si toccano.</w:t>
      </w:r>
      <w:r>
        <w:rPr>
          <w:rFonts w:ascii="Barlow Semi Condensed" w:cs="Barlow Semi Condensed" w:eastAsia="Barlow Semi Condensed" w:hAnsi="Barlow Semi Condensed"/>
          <w:sz w:val="24"/>
          <w:szCs w:val="24"/>
        </w:rPr>
        <w:t xml:space="preserve"> Nel 1943 un decreto sopprimeva un tribunale a Roma e un ufficio di naturalizzazione registrava un nome nella Carolina del Sud; nel 1969 cominciava un incarico a Washington. Sono tre fatti accertati e nessun documento li congiunge. Enunciarli in fila produce un effetto di serie che non ha corrispettivo documentale: è l'errore che il blocco 466 chiama coincidenza promossa, ed è vietato.</w:t>
      </w:r>
    </w:p>
    <w:p>
      <w:pPr>
        <w:spacing w:after="120" w:line="276"/>
        <w:jc w:val="both"/>
      </w:pPr>
      <w:r>
        <w:rPr>
          <w:rFonts w:ascii="Barlow Semi Condensed" w:cs="Barlow Semi Condensed" w:eastAsia="Barlow Semi Condensed" w:hAnsi="Barlow Semi Condensed"/>
          <w:b/>
          <w:bCs/>
          <w:sz w:val="24"/>
          <w:szCs w:val="24"/>
        </w:rPr>
        <w:t xml:space="preserve">1723 · La simmetria a specchio (serie XXIII).</w:t>
      </w:r>
      <w:r>
        <w:rPr>
          <w:rFonts w:ascii="Barlow Semi Condensed" w:cs="Barlow Semi Condensed" w:eastAsia="Barlow Semi Condensed" w:hAnsi="Barlow Semi Condensed"/>
          <w:sz w:val="24"/>
          <w:szCs w:val="24"/>
        </w:rPr>
        <w:t xml:space="preserve"> Contro le simmetrie eleganti avverte il blocco 471. Qui la più insidiosa è leggere il Tribunale del 1926 come archetipo di ogni potenza successiva che tratti i nemici fuori dalle garanzie. La sezione VII dello studio la chiude in anticipo: nessun istituto della Repubblica gli è assimilabile, e ogni uso polemico contemporaneo esce dal terreno documentato. La serie assume il vincolo senza attenuarlo.</w:t>
      </w:r>
    </w:p>
    <w:p>
      <w:pPr>
        <w:spacing w:after="120" w:line="276"/>
        <w:jc w:val="both"/>
      </w:pPr>
      <w:r>
        <w:rPr>
          <w:rFonts w:ascii="Barlow Semi Condensed" w:cs="Barlow Semi Condensed" w:eastAsia="Barlow Semi Condensed" w:hAnsi="Barlow Semi Condensed"/>
          <w:b/>
          <w:bCs/>
          <w:sz w:val="24"/>
          <w:szCs w:val="24"/>
        </w:rPr>
        <w:t xml:space="preserve">1724 · Ostilità con radici opposte.</w:t>
      </w:r>
      <w:r>
        <w:rPr>
          <w:rFonts w:ascii="Barlow Semi Condensed" w:cs="Barlow Semi Condensed" w:eastAsia="Barlow Semi Condensed" w:hAnsi="Barlow Semi Condensed"/>
          <w:sz w:val="24"/>
          <w:szCs w:val="24"/>
        </w:rPr>
        <w:t xml:space="preserve"> Ostilità che si somigliano senza avere parentela: è la distinzione posta al blocco 472. L'anticomunismo della legge 25 novembre 1926, n. 2008 era diritto penale interno di uno Stato dittatoriale contro i propri cittadini; la posizione attestata nel verbale del 25 settembre 1974 riguarda lo scambio di informazioni militari con un governo alleato. Somigliano nell'avversario, divergono in tutto il resto: genere dell'atto, ordinamento, effetti.</w:t>
      </w:r>
    </w:p>
    <w:p>
      <w:pPr>
        <w:spacing w:after="120" w:line="276"/>
        <w:jc w:val="both"/>
      </w:pPr>
      <w:r>
        <w:rPr>
          <w:rFonts w:ascii="Barlow Semi Condensed" w:cs="Barlow Semi Condensed" w:eastAsia="Barlow Semi Condensed" w:hAnsi="Barlow Semi Condensed"/>
          <w:b/>
          <w:bCs/>
          <w:sz w:val="24"/>
          <w:szCs w:val="24"/>
        </w:rPr>
        <w:t xml:space="preserve">1725 · Un titolo che mima un processo.</w:t>
      </w:r>
      <w:r>
        <w:rPr>
          <w:rFonts w:ascii="Barlow Semi Condensed" w:cs="Barlow Semi Condensed" w:eastAsia="Barlow Semi Condensed" w:hAnsi="Barlow Semi Condensed"/>
          <w:sz w:val="24"/>
          <w:szCs w:val="24"/>
        </w:rPr>
        <w:t xml:space="preserve"> Circola un saggio d'accusa il cui titolo evoca un processo mai celebrato. K-2 lo distingue con precisione dall'atto giudiziario, e la distinzione va tenuta. Come prova vale piano 3; come sentenza non vale nulla, perché sentenza non è. Il territorio del 1926 illumina il punto per contrasto: quello era un processo vero con garanzie false, questo è un libro vero che di processo ha solo il nome.</w:t>
      </w:r>
    </w:p>
    <w:p>
      <w:pPr>
        <w:spacing w:after="120" w:line="276"/>
        <w:jc w:val="both"/>
      </w:pPr>
      <w:r>
        <w:rPr>
          <w:rFonts w:ascii="Barlow Semi Condensed" w:cs="Barlow Semi Condensed" w:eastAsia="Barlow Semi Condensed" w:hAnsi="Barlow Semi Condensed"/>
          <w:b/>
          <w:bCs/>
          <w:sz w:val="24"/>
          <w:szCs w:val="24"/>
        </w:rPr>
        <w:t xml:space="preserve">1726 · Il Tribunale Russell come quesito.</w:t>
      </w:r>
      <w:r>
        <w:rPr>
          <w:rFonts w:ascii="Barlow Semi Condensed" w:cs="Barlow Semi Condensed" w:eastAsia="Barlow Semi Condensed" w:hAnsi="Barlow Semi Condensed"/>
          <w:sz w:val="24"/>
          <w:szCs w:val="24"/>
        </w:rPr>
        <w:t xml:space="preserve"> Il secondo Tribunale Russell sull'America Latina tenne sessioni a Roma e a Bruxelles fra il 1974 e il 1976. Se i suoi atti nominino Henry Kissinger, e in quale forma, è questione da accertare presso la Fondazione Lelio e Lisli Basso di Roma, che ne conserva le carte. Il quesito si apre senza anticiparne l'esito; nulla di quanto vi si trovasse muterebbe il piano dell'accertamento.</w:t>
      </w:r>
    </w:p>
    <w:p>
      <w:pPr>
        <w:spacing w:after="120" w:line="276"/>
        <w:jc w:val="both"/>
      </w:pPr>
      <w:r>
        <w:rPr>
          <w:rFonts w:ascii="Barlow Semi Condensed" w:cs="Barlow Semi Condensed" w:eastAsia="Barlow Semi Condensed" w:hAnsi="Barlow Semi Condensed"/>
          <w:b/>
          <w:bCs/>
          <w:sz w:val="24"/>
          <w:szCs w:val="24"/>
        </w:rPr>
        <w:t xml:space="preserve">1727 · Un tribunale d'opinione non è giurisdizione.</w:t>
      </w:r>
      <w:r>
        <w:rPr>
          <w:rFonts w:ascii="Barlow Semi Condensed" w:cs="Barlow Semi Condensed" w:eastAsia="Barlow Semi Condensed" w:hAnsi="Barlow Semi Condensed"/>
          <w:sz w:val="24"/>
          <w:szCs w:val="24"/>
        </w:rPr>
        <w:t xml:space="preserve"> Regola di lettura che il territorio consente di formulare con nettezza: l'articolo 102, secondo comma, vieta i giudici speciali dello Stato, cioè organi che esercitano giurisdizione. Un'assemblea morale, per quanto autorevole, non produce giudicato e non rientra nel divieto. Chi la tratta come tribunale ne moltiplica l'autorità che non ha; chi la tratta come niente perde una fonte sul dibattito pubblico del tempo.</w:t>
      </w:r>
    </w:p>
    <w:p>
      <w:pPr>
        <w:spacing w:after="120" w:line="276"/>
        <w:jc w:val="both"/>
      </w:pPr>
      <w:r>
        <w:rPr>
          <w:rFonts w:ascii="Barlow Semi Condensed" w:cs="Barlow Semi Condensed" w:eastAsia="Barlow Semi Condensed" w:hAnsi="Barlow Semi Condensed"/>
          <w:b/>
          <w:bCs/>
          <w:sz w:val="24"/>
          <w:szCs w:val="24"/>
        </w:rPr>
        <w:t xml:space="preserve">1728 · Contare l'origine, non le occorrenze.</w:t>
      </w:r>
      <w:r>
        <w:rPr>
          <w:rFonts w:ascii="Barlow Semi Condensed" w:cs="Barlow Semi Condensed" w:eastAsia="Barlow Semi Condensed" w:hAnsi="Barlow Semi Condensed"/>
          <w:sz w:val="24"/>
          <w:szCs w:val="24"/>
        </w:rPr>
        <w:t xml:space="preserve"> Come si misura una moltiplicazione apparente lo hanno insegnato i blocchi 881 e 882: risalendo al lancio unico. Se domani comparisse una pubblicistica che accosta questo nome al Tribunale Speciale, la prima operazione non sarebbe leggerla ma datarla e cercarne l'originatore. Cento repliche di un'unica affermazione restano un'unica affermazione, e la replicazione fedele non crea informazione nuova per quante volte la si esegua.</w:t>
      </w:r>
    </w:p>
    <w:p>
      <w:pPr>
        <w:spacing w:after="120" w:line="276"/>
        <w:jc w:val="both"/>
      </w:pPr>
      <w:r>
        <w:rPr>
          <w:rFonts w:ascii="Barlow Semi Condensed" w:cs="Barlow Semi Condensed" w:eastAsia="Barlow Semi Condensed" w:hAnsi="Barlow Semi Condensed"/>
          <w:b/>
          <w:bCs/>
          <w:sz w:val="24"/>
          <w:szCs w:val="24"/>
        </w:rPr>
        <w:t xml:space="preserve">1729 · Il divieto di uso retroattivo.</w:t>
      </w:r>
      <w:r>
        <w:rPr>
          <w:rFonts w:ascii="Barlow Semi Condensed" w:cs="Barlow Semi Condensed" w:eastAsia="Barlow Semi Condensed" w:hAnsi="Barlow Semi Condensed"/>
          <w:sz w:val="24"/>
          <w:szCs w:val="24"/>
        </w:rPr>
        <w:t xml:space="preserve"> Una clausola vincolante chiude lo studio, e questa serie la fa propria per intero: il Tribunale Speciale fu organo di uno Stato dittatoriale contro i suoi oppositori, e nessuna comparazione contemporanea con altri poteri esce dal terreno documentato di quelle pagine. Il vincolo non è cortesia verso alcuno: è ciò che impedisce alla comparazione di diventare argomento, e all'argomento di diventare imputazione.</w:t>
      </w:r>
    </w:p>
    <w:p>
      <w:pPr>
        <w:spacing w:after="120" w:line="276"/>
        <w:jc w:val="both"/>
      </w:pPr>
      <w:r>
        <w:rPr>
          <w:rFonts w:ascii="Barlow Semi Condensed" w:cs="Barlow Semi Condensed" w:eastAsia="Barlow Semi Condensed" w:hAnsi="Barlow Semi Condensed"/>
          <w:b/>
          <w:bCs/>
          <w:sz w:val="24"/>
          <w:szCs w:val="24"/>
        </w:rPr>
        <w:t xml:space="preserve">1730 · La formula usata come epiteto.</w:t>
      </w:r>
      <w:r>
        <w:rPr>
          <w:rFonts w:ascii="Barlow Semi Condensed" w:cs="Barlow Semi Condensed" w:eastAsia="Barlow Semi Condensed" w:hAnsi="Barlow Semi Condensed"/>
          <w:sz w:val="24"/>
          <w:szCs w:val="24"/>
        </w:rPr>
        <w:t xml:space="preserve"> Nel lessico politico corrente tribunale speciale funziona da insulto, applicato a commissioni, procure e organismi internazionali senza riguardo alla loro composizione o al loro rito. In questa serie la locuzione designa un solo oggetto: l'organo istituito dalla legge del 25 novembre 1926 e soppresso il 29 luglio 1943. Ogni uso estensivo va segnalato come figura retorica, mai accolto come classificazione.</w:t>
      </w:r>
    </w:p>
    <w:p>
      <w:pPr>
        <w:spacing w:after="120" w:line="276"/>
        <w:jc w:val="both"/>
      </w:pPr>
      <w:r>
        <w:rPr>
          <w:rFonts w:ascii="Barlow Semi Condensed" w:cs="Barlow Semi Condensed" w:eastAsia="Barlow Semi Condensed" w:hAnsi="Barlow Semi Condensed"/>
          <w:b/>
          <w:bCs/>
          <w:sz w:val="24"/>
          <w:szCs w:val="24"/>
        </w:rPr>
        <w:t xml:space="preserve">1731 · Il falso positivo di stringa inglese.</w:t>
      </w:r>
      <w:r>
        <w:rPr>
          <w:rFonts w:ascii="Barlow Semi Condensed" w:cs="Barlow Semi Condensed" w:eastAsia="Barlow Semi Condensed" w:hAnsi="Barlow Semi Condensed"/>
          <w:sz w:val="24"/>
          <w:szCs w:val="24"/>
        </w:rPr>
        <w:t xml:space="preserve"> Chi cercasse special tribunal nei fondi statunitensi otterrebbe risultati abbondanti e irrilevanti: la locuzione ricorre per corti internazionali, commissioni militari e organismi ad hoc di ogni epoca. I blocchi 9 e 645 impongono di verificare la stringa prima di interrogare l'archivio, perché l'archivio risponde alla domanda ricevuta. Qui la stringa utile è il nome proprio italiano, non la categoria inglese.</w:t>
      </w:r>
    </w:p>
    <w:p>
      <w:pPr>
        <w:spacing w:after="120" w:line="276"/>
        <w:jc w:val="both"/>
      </w:pPr>
      <w:r>
        <w:rPr>
          <w:rFonts w:ascii="Barlow Semi Condensed" w:cs="Barlow Semi Condensed" w:eastAsia="Barlow Semi Condensed" w:hAnsi="Barlow Semi Condensed"/>
          <w:b/>
          <w:bCs/>
          <w:sz w:val="24"/>
          <w:szCs w:val="24"/>
        </w:rPr>
        <w:t xml:space="preserve">1732 · Due fonti fuori dal perimetro.</w:t>
      </w:r>
      <w:r>
        <w:rPr>
          <w:rFonts w:ascii="Barlow Semi Condensed" w:cs="Barlow Semi Condensed" w:eastAsia="Barlow Semi Condensed" w:hAnsi="Barlow Semi Condensed"/>
          <w:sz w:val="24"/>
          <w:szCs w:val="24"/>
        </w:rPr>
        <w:t xml:space="preserve"> Il committente ha escluso due fonti dall'intera campagna. L'esclusione non è un dettaglio editoriale: è un filtro che riduce il denominatore della ricerca e va scritto nel verbale di vuoto accanto alle stringhe e alle date. Un'assenza misurata con filtri taciuti non è verificabile da un terzo, e un'assenza non verificabile non è un'acquisizione ma un'opinione. Si dichiara, dunque, e non si nominano.</w:t>
      </w:r>
    </w:p>
    <w:p>
      <w:pPr>
        <w:spacing w:after="120" w:line="276"/>
        <w:jc w:val="both"/>
      </w:pPr>
      <w:r>
        <w:rPr>
          <w:rFonts w:ascii="Barlow Semi Condensed" w:cs="Barlow Semi Condensed" w:eastAsia="Barlow Semi Condensed" w:hAnsi="Barlow Semi Condensed"/>
          <w:b/>
          <w:bCs/>
          <w:sz w:val="24"/>
          <w:szCs w:val="24"/>
        </w:rPr>
        <w:t xml:space="preserve">1733 · L'Archivio Centrale dello Stato, sede prima.</w:t>
      </w:r>
      <w:r>
        <w:rPr>
          <w:rFonts w:ascii="Barlow Semi Condensed" w:cs="Barlow Semi Condensed" w:eastAsia="Barlow Semi Condensed" w:hAnsi="Barlow Semi Condensed"/>
          <w:sz w:val="24"/>
          <w:szCs w:val="24"/>
        </w:rPr>
        <w:t xml:space="preserve"> La sede che chiuderebbe definitivamente il quesito coevo è il fondo Tribunale Speciale per la Difesa dello Stato conservato all'Archivio Centrale dello Stato di Roma, censito nell'authority IT-ACS-SP00001-00000424 citata dallo studio. Vi stanno sentenze, ordinanze e fascicoli processuali del 1927-1943. L'esito atteso è zero, e proprio per questo la sede va nominata: uno stato zero senza indirizzo non è verificabile.</w:t>
      </w:r>
    </w:p>
    <w:p>
      <w:pPr>
        <w:spacing w:after="120" w:line="276"/>
        <w:jc w:val="both"/>
      </w:pPr>
      <w:r>
        <w:rPr>
          <w:rFonts w:ascii="Barlow Semi Condensed" w:cs="Barlow Semi Condensed" w:eastAsia="Barlow Semi Condensed" w:hAnsi="Barlow Semi Condensed"/>
          <w:b/>
          <w:bCs/>
          <w:sz w:val="24"/>
          <w:szCs w:val="24"/>
        </w:rPr>
        <w:t xml:space="preserve">1734 · Il Casellario Politico Centrale.</w:t>
      </w:r>
      <w:r>
        <w:rPr>
          <w:rFonts w:ascii="Barlow Semi Condensed" w:cs="Barlow Semi Condensed" w:eastAsia="Barlow Semi Condensed" w:hAnsi="Barlow Semi Condensed"/>
          <w:sz w:val="24"/>
          <w:szCs w:val="24"/>
        </w:rPr>
        <w:t xml:space="preserve"> Seconda sede romana, distinta dalla prima e spesso confusa con essa: il Casellario Politico Centrale, che schedava i sovversivi seguiti dalla polizia. Vi si cercherebbe invano un fascicolo intestato a un cittadino tedesco emigrato negli Stati Uniti nel settembre 1938, perché il Casellario copriva altro perimetro. Lo stato zero qui è per costruzione della serie archivistica, e va motivato così anziché registrato come mancanza.</w:t>
      </w:r>
    </w:p>
    <w:p>
      <w:pPr>
        <w:spacing w:after="120" w:line="276"/>
        <w:jc w:val="both"/>
      </w:pPr>
      <w:r>
        <w:rPr>
          <w:rFonts w:ascii="Barlow Semi Condensed" w:cs="Barlow Semi Condensed" w:eastAsia="Barlow Semi Condensed" w:hAnsi="Barlow Semi Condensed"/>
          <w:b/>
          <w:bCs/>
          <w:sz w:val="24"/>
          <w:szCs w:val="24"/>
        </w:rPr>
        <w:t xml:space="preserve">1735 · Gli affari generali e riservati.</w:t>
      </w:r>
      <w:r>
        <w:rPr>
          <w:rFonts w:ascii="Barlow Semi Condensed" w:cs="Barlow Semi Condensed" w:eastAsia="Barlow Semi Condensed" w:hAnsi="Barlow Semi Condensed"/>
          <w:sz w:val="24"/>
          <w:szCs w:val="24"/>
        </w:rPr>
        <w:t xml:space="preserve"> Terza sede: Ministero dell'Interno, Direzione generale di pubblica sicurezza, Divisione affari generali e riservati, dove riposa la documentazione dell'apparato descritto nel sottonodo S-2, quell'Ispettorato speciale nato a Milano nel 1927 sotto Arturo Bocchini e divenuto OVRA. È la sede della macchina istruttoria che costruiva i casi. Nessuna occorrenza attesa; la ricerca resta dovuta perché completa il perimetro delle tre sedi romane.</w:t>
      </w:r>
    </w:p>
    <w:p>
      <w:pPr>
        <w:spacing w:after="120" w:line="276"/>
        <w:jc w:val="both"/>
      </w:pPr>
      <w:r>
        <w:rPr>
          <w:rFonts w:ascii="Barlow Semi Condensed" w:cs="Barlow Semi Condensed" w:eastAsia="Barlow Semi Condensed" w:hAnsi="Barlow Semi Condensed"/>
          <w:b/>
          <w:bCs/>
          <w:sz w:val="24"/>
          <w:szCs w:val="24"/>
        </w:rPr>
        <w:t xml:space="preserve">1736 · La serie di Washington alla Farnesina.</w:t>
      </w:r>
      <w:r>
        <w:rPr>
          <w:rFonts w:ascii="Barlow Semi Condensed" w:cs="Barlow Semi Condensed" w:eastAsia="Barlow Semi Condensed" w:hAnsi="Barlow Semi Condensed"/>
          <w:sz w:val="24"/>
          <w:szCs w:val="24"/>
        </w:rPr>
        <w:t xml:space="preserve"> L'Archivio storico diplomatico del Ministero degli Affari Esteri conserva la serie dell'ambasciata d'Italia a Washington, già bersaglio dichiarato al blocco 686. Il quesito applicato a questo territorio suona così: fra il 1969 e il 1977 un dispaccio italiano ha mai dovuto riferire o replicare a un richiamo americano alla giustizia d'eccezione del ventennio. Non riscontrato in sessione; la sede è nominata e la ricerca resta aperta.</w:t>
      </w:r>
    </w:p>
    <w:p>
      <w:pPr>
        <w:spacing w:after="120" w:line="276"/>
        <w:jc w:val="both"/>
      </w:pPr>
      <w:r>
        <w:rPr>
          <w:rFonts w:ascii="Barlow Semi Condensed" w:cs="Barlow Semi Condensed" w:eastAsia="Barlow Semi Condensed" w:hAnsi="Barlow Semi Condensed"/>
          <w:b/>
          <w:bCs/>
          <w:sz w:val="24"/>
          <w:szCs w:val="24"/>
        </w:rPr>
        <w:t xml:space="preserve">1737 · Ann Arbor, oltre i due verbali noti.</w:t>
      </w:r>
      <w:r>
        <w:rPr>
          <w:rFonts w:ascii="Barlow Semi Condensed" w:cs="Barlow Semi Condensed" w:eastAsia="Barlow Semi Condensed" w:hAnsi="Barlow Semi Condensed"/>
          <w:sz w:val="24"/>
          <w:szCs w:val="24"/>
        </w:rPr>
        <w:t xml:space="preserve"> Oltre i file 1552802 e 1552806, il fronte della Ford Library era già aperto al blocco 663. Applicato qui significa scorrere i Memoranda of Conversations del National Security Adviser cercando le voci tribunal, Mussolini, fascist courts, 1926, nel perimetro 1974-1977. Le trascrizioni telefoniche costituiscono, come ricorda il blocco 664, un genere a sé e vanno interrogate separatamente, con proprio verbale d'esito.</w:t>
      </w:r>
    </w:p>
    <w:p>
      <w:pPr>
        <w:spacing w:after="120" w:line="276"/>
        <w:jc w:val="both"/>
      </w:pPr>
      <w:r>
        <w:rPr>
          <w:rFonts w:ascii="Barlow Semi Condensed" w:cs="Barlow Semi Condensed" w:eastAsia="Barlow Semi Condensed" w:hAnsi="Barlow Semi Condensed"/>
          <w:b/>
          <w:bCs/>
          <w:sz w:val="24"/>
          <w:szCs w:val="24"/>
        </w:rPr>
        <w:t xml:space="preserve">1738 · College Park, il fascicolo per paese (serie XXIII).</w:t>
      </w:r>
      <w:r>
        <w:rPr>
          <w:rFonts w:ascii="Barlow Semi Condensed" w:cs="Barlow Semi Condensed" w:eastAsia="Barlow Semi Condensed" w:hAnsi="Barlow Semi Condensed"/>
          <w:sz w:val="24"/>
          <w:szCs w:val="24"/>
        </w:rPr>
        <w:t xml:space="preserve"> Lo studio sull'Italia del dicembre 1969 conservato a NARA era già stato individuato al blocco 666. Il quesito di questa serie è più circoscritto: se i quadri storici allegati ai documenti di policy sull'Italia contengano richiami all'eredità della giustizia d'eccezione fascista e al divieto costituzionale che ne seguì. È una verifica di contenuto, non di esistenza, e va condotta sui testi e non sugli indici.</w:t>
      </w:r>
    </w:p>
    <w:p>
      <w:pPr>
        <w:spacing w:after="120" w:line="276"/>
        <w:jc w:val="both"/>
      </w:pPr>
      <w:r>
        <w:rPr>
          <w:rFonts w:ascii="Barlow Semi Condensed" w:cs="Barlow Semi Condensed" w:eastAsia="Barlow Semi Condensed" w:hAnsi="Barlow Semi Condensed"/>
          <w:b/>
          <w:bCs/>
          <w:sz w:val="24"/>
          <w:szCs w:val="24"/>
        </w:rPr>
        <w:t xml:space="preserve">1739 · Le carte personali e la restrizione.</w:t>
      </w:r>
      <w:r>
        <w:rPr>
          <w:rFonts w:ascii="Barlow Semi Condensed" w:cs="Barlow Semi Condensed" w:eastAsia="Barlow Semi Condensed" w:hAnsi="Barlow Semi Condensed"/>
          <w:sz w:val="24"/>
          <w:szCs w:val="24"/>
        </w:rPr>
        <w:t xml:space="preserve"> La Manuscript Division della Library of Congress conserva le carte di Henry A. Kissinger con regime d'accesso limitato. Il blocco 671 stabilisce che un diniego motivato è acquisizione di pieno valore: se la consultazione fosse negata, la negazione va protocollata e citata, con estremi e data. Un archivio che non apre resta un dato sull'archivio, mai un indizio sul contenuto che custodisce.</w:t>
      </w:r>
    </w:p>
    <w:p>
      <w:pPr>
        <w:spacing w:after="120" w:line="276"/>
        <w:jc w:val="both"/>
      </w:pPr>
      <w:r>
        <w:rPr>
          <w:rFonts w:ascii="Barlow Semi Condensed" w:cs="Barlow Semi Condensed" w:eastAsia="Barlow Semi Condensed" w:hAnsi="Barlow Semi Condensed"/>
          <w:b/>
          <w:bCs/>
          <w:sz w:val="24"/>
          <w:szCs w:val="24"/>
        </w:rPr>
        <w:t xml:space="preserve">1740 · Il secondo deposito, a New Haven.</w:t>
      </w:r>
      <w:r>
        <w:rPr>
          <w:rFonts w:ascii="Barlow Semi Condensed" w:cs="Barlow Semi Condensed" w:eastAsia="Barlow Semi Condensed" w:hAnsi="Barlow Semi Condensed"/>
          <w:sz w:val="24"/>
          <w:szCs w:val="24"/>
        </w:rPr>
        <w:t xml:space="preserve"> Manuscripts and Archives della Yale University Library conserva l'altra parte delle carte. Il doppio deposito impone di ripetere la ricerca in entrambe le sedi e di firmare separatamente entrambi gli esiti, come vuole il blocco 658. Chi cercasse in una sola e dichiarasse un vuoto avrebbe misurato metà perimetro spacciandolo per intero: è l'errore che il blocco 654 chiama costo del perimetro seriale.</w:t>
      </w:r>
    </w:p>
    <w:p>
      <w:pPr>
        <w:spacing w:after="120" w:line="276"/>
        <w:jc w:val="both"/>
      </w:pPr>
      <w:r>
        <w:rPr>
          <w:rFonts w:ascii="Barlow Semi Condensed" w:cs="Barlow Semi Condensed" w:eastAsia="Barlow Semi Condensed" w:hAnsi="Barlow Semi Condensed"/>
          <w:b/>
          <w:bCs/>
          <w:sz w:val="24"/>
          <w:szCs w:val="24"/>
        </w:rPr>
        <w:t xml:space="preserve">1741 · Gli atti della Commissione Moro.</w:t>
      </w:r>
      <w:r>
        <w:rPr>
          <w:rFonts w:ascii="Barlow Semi Condensed" w:cs="Barlow Semi Condensed" w:eastAsia="Barlow Semi Condensed" w:hAnsi="Barlow Semi Condensed"/>
          <w:sz w:val="24"/>
          <w:szCs w:val="24"/>
        </w:rPr>
        <w:t xml:space="preserve"> Sede e limite erano già fissati ai blocchi 695 e 696: Doc. XXIII, VIII legislatura, resoconti stenografici da leggere in originale. Il quesito qui è se in quella sede il Tribunale Speciale sia mai stato evocato come termine di paragone nel discutere la giustizia politica. Non risulta dalle sintesi disponibili, e il blocco 704 vieta di fermarsi alle sintesi: la verifica si fa sui resoconti.</w:t>
      </w:r>
    </w:p>
    <w:p>
      <w:pPr>
        <w:spacing w:after="120" w:line="276"/>
        <w:jc w:val="both"/>
      </w:pPr>
      <w:r>
        <w:rPr>
          <w:rFonts w:ascii="Barlow Semi Condensed" w:cs="Barlow Semi Condensed" w:eastAsia="Barlow Semi Condensed" w:hAnsi="Barlow Semi Condensed"/>
          <w:b/>
          <w:bCs/>
          <w:sz w:val="24"/>
          <w:szCs w:val="24"/>
        </w:rPr>
        <w:t xml:space="preserve">1742 · Il verbale d'udienza del novembre 1982.</w:t>
      </w:r>
      <w:r>
        <w:rPr>
          <w:rFonts w:ascii="Barlow Semi Condensed" w:cs="Barlow Semi Condensed" w:eastAsia="Barlow Semi Condensed" w:hAnsi="Barlow Semi Condensed"/>
          <w:sz w:val="24"/>
          <w:szCs w:val="24"/>
        </w:rPr>
        <w:t xml:space="preserve"> La Corte d'assise di Roma raccolse la testimonianza de relato di Corrado Guerzoni, prima precisazione di K-4, con la data oscillante fra il 10 e il 15 novembre 1982. Nelle sintesi reperite nessun riferimento al Tribunale Speciale o al 1926 vi compare. Il riscontro va fatto sui verbali d'udienza, come chiede il blocco 697, e l'esito negativo va verbalizzato con gli estremi del fascicolo.</w:t>
      </w:r>
    </w:p>
    <w:p>
      <w:pPr>
        <w:spacing w:after="120" w:line="276"/>
        <w:jc w:val="both"/>
      </w:pPr>
      <w:r>
        <w:rPr>
          <w:rFonts w:ascii="Barlow Semi Condensed" w:cs="Barlow Semi Condensed" w:eastAsia="Barlow Semi Condensed" w:hAnsi="Barlow Semi Condensed"/>
          <w:b/>
          <w:bCs/>
          <w:sz w:val="24"/>
          <w:szCs w:val="24"/>
        </w:rPr>
        <w:t xml:space="preserve">1743 · Le carte del partito, a Roma.</w:t>
      </w:r>
      <w:r>
        <w:rPr>
          <w:rFonts w:ascii="Barlow Semi Condensed" w:cs="Barlow Semi Condensed" w:eastAsia="Barlow Semi Condensed" w:hAnsi="Barlow Semi Condensed"/>
          <w:sz w:val="24"/>
          <w:szCs w:val="24"/>
        </w:rPr>
        <w:t xml:space="preserve"> La Fondazione Istituto Gramsci conserva l'archivio del Partito comunista italiano. Vi si porta un quesito circoscritto: se nella pubblicistica e nei documenti interni degli anni Settanta la politica statunitense sia mai stata argomentata attraverso la memoria del Tribunale che aveva condannato Gramsci, Terracini e Scoccimarro nel giugno 1928. Non riscontrato in sessione. L'eventuale riscontro sarebbe un dato sul linguaggio politico, non sul nesso.</w:t>
      </w:r>
    </w:p>
    <w:p>
      <w:pPr>
        <w:spacing w:after="120" w:line="276"/>
        <w:jc w:val="both"/>
      </w:pPr>
      <w:r>
        <w:rPr>
          <w:rFonts w:ascii="Barlow Semi Condensed" w:cs="Barlow Semi Condensed" w:eastAsia="Barlow Semi Condensed" w:hAnsi="Barlow Semi Condensed"/>
          <w:b/>
          <w:bCs/>
          <w:sz w:val="24"/>
          <w:szCs w:val="24"/>
        </w:rPr>
        <w:t xml:space="preserve">1744 · Il censimento e la sua associazione.</w:t>
      </w:r>
      <w:r>
        <w:rPr>
          <w:rFonts w:ascii="Barlow Semi Condensed" w:cs="Barlow Semi Condensed" w:eastAsia="Barlow Semi Condensed" w:hAnsi="Barlow Semi Condensed"/>
          <w:sz w:val="24"/>
          <w:szCs w:val="24"/>
        </w:rPr>
        <w:t xml:space="preserve"> Le cifre dello studio, 15.806 deferiti, 4.596 condannati, 27.752 anni cinque mesi e diciannove giorni, provengono dal censimento Dal Pont ereditato dall'ANPPIA. Quel censimento nomina le vittime, una per una, ed è la ragione per cui il territorio conosce così bene i propri nomi. Nessuno di essi è il nome di questa serie, e l'associazione non ha voce sul punto: stato zero dichiarato alla fonte.</w:t>
      </w:r>
    </w:p>
    <w:p>
      <w:pPr>
        <w:spacing w:after="120" w:line="276"/>
        <w:jc w:val="both"/>
      </w:pPr>
      <w:r>
        <w:rPr>
          <w:rFonts w:ascii="Barlow Semi Condensed" w:cs="Barlow Semi Condensed" w:eastAsia="Barlow Semi Condensed" w:hAnsi="Barlow Semi Condensed"/>
          <w:b/>
          <w:bCs/>
          <w:sz w:val="24"/>
          <w:szCs w:val="24"/>
        </w:rPr>
        <w:t xml:space="preserve">1745 · Bologna, è una doppia assenza.</w:t>
      </w:r>
      <w:r>
        <w:rPr>
          <w:rFonts w:ascii="Barlow Semi Condensed" w:cs="Barlow Semi Condensed" w:eastAsia="Barlow Semi Condensed" w:hAnsi="Barlow Semi Condensed"/>
          <w:sz w:val="24"/>
          <w:szCs w:val="24"/>
        </w:rPr>
        <w:t xml:space="preserve"> L'archivio Storia e Memoria di Bologna censisce 734 antifascisti deferiti e 384 condannati, e il documento amnistiati-tribunale-speciale.md dichiara in nota che il sito non era raggiungibile dalla rete di lavoro, sicché l'elenco fu ricostruito per estratti. Qui gli stati zero sono due e vanno contati separatamente: nessuna occorrenza nel campione disponibile, e inaccessibilità della fonte integrale che potrebbe smentirla.</w:t>
      </w:r>
    </w:p>
    <w:p>
      <w:pPr>
        <w:spacing w:after="120" w:line="276"/>
        <w:jc w:val="both"/>
      </w:pPr>
      <w:r>
        <w:rPr>
          <w:rFonts w:ascii="Barlow Semi Condensed" w:cs="Barlow Semi Condensed" w:eastAsia="Barlow Semi Condensed" w:hAnsi="Barlow Semi Condensed"/>
          <w:b/>
          <w:bCs/>
          <w:sz w:val="24"/>
          <w:szCs w:val="24"/>
        </w:rPr>
        <w:t xml:space="preserve">1746 · Le sedi slovene del secondo processo.</w:t>
      </w:r>
      <w:r>
        <w:rPr>
          <w:rFonts w:ascii="Barlow Semi Condensed" w:cs="Barlow Semi Condensed" w:eastAsia="Barlow Semi Condensed" w:hAnsi="Barlow Semi Condensed"/>
          <w:sz w:val="24"/>
          <w:szCs w:val="24"/>
        </w:rPr>
        <w:t xml:space="preserve"> Per il processo di Trieste del 2-14 dicembre 1941, sessanta imputati e cinque fucilati a Opicina il 15 dicembre, le sedi sono l'Arhiv Republike Slovenije di Lubiana e la sezione storica della biblioteca nazionale slovena di Trieste. Il sottonodo S-3 ne documenta l'arco. Nessun nome statunitense vi è atteso, e l'esito va comunque messo agli atti: un perimetro nazionale diverso può conservare carte diverse.</w:t>
      </w:r>
    </w:p>
    <w:p>
      <w:pPr>
        <w:spacing w:after="120" w:line="276"/>
        <w:jc w:val="both"/>
      </w:pPr>
      <w:r>
        <w:rPr>
          <w:rFonts w:ascii="Barlow Semi Condensed" w:cs="Barlow Semi Condensed" w:eastAsia="Barlow Semi Condensed" w:hAnsi="Barlow Semi Condensed"/>
          <w:b/>
          <w:bCs/>
          <w:sz w:val="24"/>
          <w:szCs w:val="24"/>
        </w:rPr>
        <w:t xml:space="preserve">1747 · Trieste, la sentenza e i suoi atti.</w:t>
      </w:r>
      <w:r>
        <w:rPr>
          <w:rFonts w:ascii="Barlow Semi Condensed" w:cs="Barlow Semi Condensed" w:eastAsia="Barlow Semi Condensed" w:hAnsi="Barlow Semi Condensed"/>
          <w:sz w:val="24"/>
          <w:szCs w:val="24"/>
        </w:rPr>
        <w:t xml:space="preserve"> L'Archivio di Stato di Trieste è la sede locale per gli atti dei due processi che il sottonodo S-3 ricostruisce, dal primo del 1930 con i quattro fucilati di Basovizza il 6 settembre al secondo del 1941. La formula accusatoria del complotto contro l'integrità dello Stato, che unificava liberali, comunisti e militanti del TIGR, è l'esempio più puro del metodo dell'organo. Stato zero sul nome.</w:t>
      </w:r>
    </w:p>
    <w:p>
      <w:pPr>
        <w:spacing w:after="120" w:line="276"/>
        <w:jc w:val="both"/>
      </w:pPr>
      <w:r>
        <w:rPr>
          <w:rFonts w:ascii="Barlow Semi Condensed" w:cs="Barlow Semi Condensed" w:eastAsia="Barlow Semi Condensed" w:hAnsi="Barlow Semi Condensed"/>
          <w:b/>
          <w:bCs/>
          <w:sz w:val="24"/>
          <w:szCs w:val="24"/>
        </w:rPr>
        <w:t xml:space="preserve">1748 · Quale atto rimosse le condanne.</w:t>
      </w:r>
      <w:r>
        <w:rPr>
          <w:rFonts w:ascii="Barlow Semi Condensed" w:cs="Barlow Semi Condensed" w:eastAsia="Barlow Semi Condensed" w:hAnsi="Barlow Semi Condensed"/>
          <w:sz w:val="24"/>
          <w:szCs w:val="24"/>
        </w:rPr>
        <w:t xml:space="preserve"> Il regio decreto-legge 668 del 29 luglio 1943 soppresse l'organo, ma quale norma abbia rimosso gli effetti delle 4.596 condanne, l'interdizione perpetua dai pubblici uffici compresa, il territorio non lo dice. È una lacuna verbalizzabile: sede la Gazzetta Ufficiale del Regno per gli anni 1943-1946 e i fondi legislativi dell'Archivio Centrale dello Stato. Il quesito appartiene al territorio e va lasciato aperto per chi verrà.</w:t>
      </w:r>
    </w:p>
    <w:p>
      <w:pPr>
        <w:spacing w:after="120" w:line="276"/>
        <w:jc w:val="both"/>
      </w:pPr>
      <w:r>
        <w:rPr>
          <w:rFonts w:ascii="Barlow Semi Condensed" w:cs="Barlow Semi Condensed" w:eastAsia="Barlow Semi Condensed" w:hAnsi="Barlow Semi Condensed"/>
          <w:b/>
          <w:bCs/>
          <w:sz w:val="24"/>
          <w:szCs w:val="24"/>
        </w:rPr>
        <w:t xml:space="preserve">1749 · Un grado solo non è giudicato.</w:t>
      </w:r>
      <w:r>
        <w:rPr>
          <w:rFonts w:ascii="Barlow Semi Condensed" w:cs="Barlow Semi Condensed" w:eastAsia="Barlow Semi Condensed" w:hAnsi="Barlow Semi Condensed"/>
          <w:sz w:val="24"/>
          <w:szCs w:val="24"/>
        </w:rPr>
        <w:t xml:space="preserve"> Una regola che il territorio impone vale poi in tutto il corpus: le sentenze del Tribunale erano inappellabili, senza ricorso in Cassazione. Il giudicato di cui il corpus si serve come unico luogo dei nomi è altra cosa, prodotto di tre gradi e di difesa effettiva. Le condanne del 1927-1943 sono documenti storici di prima grandezza e non entrano nel registro dei responsabili.</w:t>
      </w:r>
    </w:p>
    <w:p>
      <w:pPr>
        <w:spacing w:after="120" w:line="276"/>
        <w:jc w:val="both"/>
      </w:pPr>
      <w:r>
        <w:rPr>
          <w:rFonts w:ascii="Barlow Semi Condensed" w:cs="Barlow Semi Condensed" w:eastAsia="Barlow Semi Condensed" w:hAnsi="Barlow Semi Condensed"/>
          <w:b/>
          <w:bCs/>
          <w:sz w:val="24"/>
          <w:szCs w:val="24"/>
        </w:rPr>
        <w:t xml:space="preserve">1750 · I tredici e le quattromilacinquecentonovantasei.</w:t>
      </w:r>
      <w:r>
        <w:rPr>
          <w:rFonts w:ascii="Barlow Semi Condensed" w:cs="Barlow Semi Condensed" w:eastAsia="Barlow Semi Condensed" w:hAnsi="Barlow Semi Condensed"/>
          <w:sz w:val="24"/>
          <w:szCs w:val="24"/>
        </w:rPr>
        <w:t xml:space="preserve"> La chiusura di triangolazione-condannati-corpus.md pone il confronto nei termini giusti: due modi di giudicare i nemici. Quel documento dichiara D4, cioè questo territorio, esito negativo per assenza di incroci prosopografici, perché le epoche non si toccano. Ciò che vale per tredici condannati italiani del 1978 vale a maggior ragione per un nome che non compare in alcuna delle due serie di atti.</w:t>
      </w:r>
    </w:p>
    <w:p>
      <w:pPr>
        <w:spacing w:after="120" w:line="276"/>
        <w:jc w:val="both"/>
      </w:pPr>
      <w:r>
        <w:rPr>
          <w:rFonts w:ascii="Barlow Semi Condensed" w:cs="Barlow Semi Condensed" w:eastAsia="Barlow Semi Condensed" w:hAnsi="Barlow Semi Condensed"/>
          <w:b/>
          <w:bCs/>
          <w:sz w:val="24"/>
          <w:szCs w:val="24"/>
        </w:rPr>
        <w:t xml:space="preserve">1751 · La clemenza che completa l'apparato.</w:t>
      </w:r>
      <w:r>
        <w:rPr>
          <w:rFonts w:ascii="Barlow Semi Condensed" w:cs="Barlow Semi Condensed" w:eastAsia="Barlow Semi Condensed" w:hAnsi="Barlow Semi Condensed"/>
          <w:sz w:val="24"/>
          <w:szCs w:val="24"/>
        </w:rPr>
        <w:t xml:space="preserve"> La sezione V dello studio fissa il dato: 639 liberati su 1.056 detenuti, più 595 confinati, nel novembre 1932. E le schede mostrano che cosa seguiva la liberazione: Alberoni al confino alle Tremiti fino al giugno 1934, Fabbri Andrea sotto vigilanza speciale fino al 30 marzo 1936, Serantoni fino all'aprile 1933. Regola trasferibile: si misura ciò che segue un atto di clemenza, non l'atto.</w:t>
      </w:r>
    </w:p>
    <w:p>
      <w:pPr>
        <w:spacing w:after="120" w:line="276"/>
        <w:jc w:val="both"/>
      </w:pPr>
      <w:r>
        <w:rPr>
          <w:rFonts w:ascii="Barlow Semi Condensed" w:cs="Barlow Semi Condensed" w:eastAsia="Barlow Semi Condensed" w:hAnsi="Barlow Semi Condensed"/>
          <w:b/>
          <w:bCs/>
          <w:sz w:val="24"/>
          <w:szCs w:val="24"/>
        </w:rPr>
        <w:t xml:space="preserve">1752 · Nannetti, amnistiato e non libero.</w:t>
      </w:r>
      <w:r>
        <w:rPr>
          <w:rFonts w:ascii="Barlow Semi Condensed" w:cs="Barlow Semi Condensed" w:eastAsia="Barlow Semi Condensed" w:hAnsi="Barlow Semi Condensed"/>
          <w:sz w:val="24"/>
          <w:szCs w:val="24"/>
        </w:rPr>
        <w:t xml:space="preserve"> Nerio Nannetti fu amnistiato per il decennale il 24 novembre 1932 e non scarcerato; uscì da San Giovanni in Monte nella notte fra l'8 e il 9 agosto 1944, per un'azione partigiana. Da qui una regola che serve altrove nel corpus: l'atto formale non misura la condizione reale. Così la smentita registrata in K-4 è un atto, e non chiude da sola la contestazione che nomina.</w:t>
      </w:r>
    </w:p>
    <w:p>
      <w:pPr>
        <w:spacing w:after="120" w:line="276"/>
        <w:jc w:val="both"/>
      </w:pPr>
      <w:r>
        <w:rPr>
          <w:rFonts w:ascii="Barlow Semi Condensed" w:cs="Barlow Semi Condensed" w:eastAsia="Barlow Semi Condensed" w:hAnsi="Barlow Semi Condensed"/>
          <w:b/>
          <w:bCs/>
          <w:sz w:val="24"/>
          <w:szCs w:val="24"/>
        </w:rPr>
        <w:t xml:space="preserve">1753 · Martelli, il caso escluso.</w:t>
      </w:r>
      <w:r>
        <w:rPr>
          <w:rFonts w:ascii="Barlow Semi Condensed" w:cs="Barlow Semi Condensed" w:eastAsia="Barlow Semi Condensed" w:hAnsi="Barlow Semi Condensed"/>
          <w:sz w:val="24"/>
          <w:szCs w:val="24"/>
        </w:rPr>
        <w:t xml:space="preserve"> Dino Martelli non beneficiò dell'amnistia del decennale: il 10 dicembre 1932 fu sottoposto a istruttoria suppletiva per riorganizzazione di partito disciolto, come accadde ai quadri più esposti. La scheda insegna la regola del campione: un elenco di amnistiati non misura la clemenza del regime, misura chi vi rientrò. Chi ne ricavasse una statistica sulla mitezza avrebbe letto la selezione come se fosse la popolazione.</w:t>
      </w:r>
    </w:p>
    <w:p>
      <w:pPr>
        <w:spacing w:after="120" w:line="276"/>
        <w:jc w:val="both"/>
      </w:pPr>
      <w:r>
        <w:rPr>
          <w:rFonts w:ascii="Barlow Semi Condensed" w:cs="Barlow Semi Condensed" w:eastAsia="Barlow Semi Condensed" w:hAnsi="Barlow Semi Condensed"/>
          <w:b/>
          <w:bCs/>
          <w:sz w:val="24"/>
          <w:szCs w:val="24"/>
        </w:rPr>
        <w:t xml:space="preserve">1754 · Le due serie non si dividono.</w:t>
      </w:r>
      <w:r>
        <w:rPr>
          <w:rFonts w:ascii="Barlow Semi Condensed" w:cs="Barlow Semi Condensed" w:eastAsia="Barlow Semi Condensed" w:hAnsi="Barlow Semi Condensed"/>
          <w:sz w:val="24"/>
          <w:szCs w:val="24"/>
        </w:rPr>
        <w:t xml:space="preserve"> Il sottonodo S-5 calcola che i bolognesi valgano il 4,6 per cento dei deferiti e l'8,4 per cento dei condannati, e dichiara subito la cautela: un censimento locale con criteri propri non è un estratto omogeneo della statistica nazionale. La stessa cautela vale al blocco 644: un rapporto di co-occorrenza fra corpi costruiti con criteri diversi resta indicativo, e non diventa probante per il fatto di essere calcolabile.</w:t>
      </w:r>
    </w:p>
    <w:p>
      <w:pPr>
        <w:spacing w:after="120" w:line="276"/>
        <w:jc w:val="both"/>
      </w:pPr>
      <w:r>
        <w:rPr>
          <w:rFonts w:ascii="Barlow Semi Condensed" w:cs="Barlow Semi Condensed" w:eastAsia="Barlow Semi Condensed" w:hAnsi="Barlow Semi Condensed"/>
          <w:b/>
          <w:bCs/>
          <w:sz w:val="24"/>
          <w:szCs w:val="24"/>
        </w:rPr>
        <w:t xml:space="preserve">1755 · Le cifre non riscontrate non si danno.</w:t>
      </w:r>
      <w:r>
        <w:rPr>
          <w:rFonts w:ascii="Barlow Semi Condensed" w:cs="Barlow Semi Condensed" w:eastAsia="Barlow Semi Condensed" w:hAnsi="Barlow Semi Condensed"/>
          <w:sz w:val="24"/>
          <w:szCs w:val="24"/>
        </w:rPr>
        <w:t xml:space="preserve"> Le donne davanti al Tribunale sono il filone che S-6 segnala con la sua fonte, il volume dell'ANPI, fermandosi lì perché le cifre disaggregate per genere non furono riscontrate su fonte indipendente. È la stessa disciplina che il blocco 638 chiama Stato Zero come acquisizione piena: nominare il vuoto, indicarne la fonte possibile, non riempirlo con una stima presentata come dato.</w:t>
      </w:r>
    </w:p>
    <w:p>
      <w:pPr>
        <w:spacing w:after="120" w:line="276"/>
        <w:jc w:val="both"/>
      </w:pPr>
      <w:r>
        <w:rPr>
          <w:rFonts w:ascii="Barlow Semi Condensed" w:cs="Barlow Semi Condensed" w:eastAsia="Barlow Semi Condensed" w:hAnsi="Barlow Semi Condensed"/>
          <w:b/>
          <w:bCs/>
          <w:sz w:val="24"/>
          <w:szCs w:val="24"/>
        </w:rPr>
        <w:t xml:space="preserve">1756 · Il dato aggregato nasconde la fase.</w:t>
      </w:r>
      <w:r>
        <w:rPr>
          <w:rFonts w:ascii="Barlow Semi Condensed" w:cs="Barlow Semi Condensed" w:eastAsia="Barlow Semi Condensed" w:hAnsi="Barlow Semi Condensed"/>
          <w:sz w:val="24"/>
          <w:szCs w:val="24"/>
        </w:rPr>
        <w:t xml:space="preserve"> Metodologicamente il sottonodo più utile è S-7: 33 condanne a morte e 22 esecuzioni negli anni di guerra, su 42 e 31 dell'intero sedicennio. La ferocia non fu costante ma crescente, e il totale la nasconde. Applicata a K-2, la regola impone di disaggregare gli anni 1969-1977 per incarico, tenendo distinta la sovrapposizione fra le due cariche dal 22 settembre 1973 al 3 novembre 1975.</w:t>
      </w:r>
    </w:p>
    <w:p>
      <w:pPr>
        <w:spacing w:after="120" w:line="276"/>
        <w:jc w:val="both"/>
      </w:pPr>
      <w:r>
        <w:rPr>
          <w:rFonts w:ascii="Barlow Semi Condensed" w:cs="Barlow Semi Condensed" w:eastAsia="Barlow Semi Condensed" w:hAnsi="Barlow Semi Condensed"/>
          <w:b/>
          <w:bCs/>
          <w:sz w:val="24"/>
          <w:szCs w:val="24"/>
        </w:rPr>
        <w:t xml:space="preserve">1757 · L'impunità come tema, non come elenco.</w:t>
      </w:r>
      <w:r>
        <w:rPr>
          <w:rFonts w:ascii="Barlow Semi Condensed" w:cs="Barlow Semi Condensed" w:eastAsia="Barlow Semi Condensed" w:hAnsi="Barlow Semi Condensed"/>
          <w:sz w:val="24"/>
          <w:szCs w:val="24"/>
        </w:rPr>
        <w:t xml:space="preserve"> Sull'impunità postbellica dei giudici S-8 registra il tema storiografico con la sua fonte, e dichiara di non affermare alcun percorso individuale, non essendo stati verificati. È esattamente la disciplina che vincola questa serie sul versante opposto: si può enunciare un problema strutturale senza attribuire condotte a nessuno, e chi non distingue i due gesti scrive un atto d'accusa credendo di scrivere storia.</w:t>
      </w:r>
    </w:p>
    <w:p>
      <w:pPr>
        <w:spacing w:after="120" w:line="276"/>
        <w:jc w:val="both"/>
      </w:pPr>
      <w:r>
        <w:rPr>
          <w:rFonts w:ascii="Barlow Semi Condensed" w:cs="Barlow Semi Condensed" w:eastAsia="Barlow Semi Condensed" w:hAnsi="Barlow Semi Condensed"/>
          <w:b/>
          <w:bCs/>
          <w:sz w:val="24"/>
          <w:szCs w:val="24"/>
        </w:rPr>
        <w:t xml:space="preserve">1758 · La frase attribuita a Isgrò.</w:t>
      </w:r>
      <w:r>
        <w:rPr>
          <w:rFonts w:ascii="Barlow Semi Condensed" w:cs="Barlow Semi Condensed" w:eastAsia="Barlow Semi Condensed" w:hAnsi="Barlow Semi Condensed"/>
          <w:sz w:val="24"/>
          <w:szCs w:val="24"/>
        </w:rPr>
        <w:t xml:space="preserve"> Al processone del 28 maggio-4 giugno 1928 è attribuita al pubblico ministero Michele Isgrò la frase sul cervello da impedire di funzionare per vent'anni, e lo studio la qualifica senza esitazioni: tradizione memorialistica consolidata, non atto processuale. Lo statuto è identico a quello dell'avvertimento del settembre 1974 ricostruito in K-4. Il corpus possiede dunque due frasi celebri con la stessa struttura probatoria: riferite, non verbalizzate.</w:t>
      </w:r>
    </w:p>
    <w:p>
      <w:pPr>
        <w:spacing w:after="120" w:line="276"/>
        <w:jc w:val="both"/>
      </w:pPr>
      <w:r>
        <w:rPr>
          <w:rFonts w:ascii="Barlow Semi Condensed" w:cs="Barlow Semi Condensed" w:eastAsia="Barlow Semi Condensed" w:hAnsi="Barlow Semi Condensed"/>
          <w:b/>
          <w:bCs/>
          <w:sz w:val="24"/>
          <w:szCs w:val="24"/>
        </w:rPr>
        <w:t xml:space="preserve">1759 · Due frasi, quattro differenze.</w:t>
      </w:r>
      <w:r>
        <w:rPr>
          <w:rFonts w:ascii="Barlow Semi Condensed" w:cs="Barlow Semi Condensed" w:eastAsia="Barlow Semi Condensed" w:hAnsi="Barlow Semi Condensed"/>
          <w:sz w:val="24"/>
          <w:szCs w:val="24"/>
        </w:rPr>
        <w:t xml:space="preserve"> Il parallelo va subito differenziato, perché le somiglianze abbagliano. La frase del 1928 non ha teste nominato, quella del 1974 ha un testimone qualificato che depose de relato; la prima non fu mai smentita dall'interessato, la seconda lo fu ripetutamente; la prima ha data certa e sede certa, la seconda oscilla fra 1974, 1976 e 1977 e fra quattro luoghi. Statuto simile, gradi diversi.</w:t>
      </w:r>
    </w:p>
    <w:p>
      <w:pPr>
        <w:spacing w:after="120" w:line="276"/>
        <w:jc w:val="both"/>
      </w:pPr>
      <w:r>
        <w:rPr>
          <w:rFonts w:ascii="Barlow Semi Condensed" w:cs="Barlow Semi Condensed" w:eastAsia="Barlow Semi Condensed" w:hAnsi="Barlow Semi Condensed"/>
          <w:b/>
          <w:bCs/>
          <w:sz w:val="24"/>
          <w:szCs w:val="24"/>
        </w:rPr>
        <w:t xml:space="preserve">1760 · L'assenza dal verbale, due volte.</w:t>
      </w:r>
      <w:r>
        <w:rPr>
          <w:rFonts w:ascii="Barlow Semi Condensed" w:cs="Barlow Semi Condensed" w:eastAsia="Barlow Semi Condensed" w:hAnsi="Barlow Semi Condensed"/>
          <w:sz w:val="24"/>
          <w:szCs w:val="24"/>
        </w:rPr>
        <w:t xml:space="preserve"> Era stato stabilito al blocco 880 che l'assenza dal verbale non prova la falsità di ciò che sarebbe stato detto a margine. La regola vale per il memorandum dello Studio Ovale del 25 settembre 1974 e vale, simmetricamente, per gli atti del processo del 1928: se una requisitoria stampata non contiene la frase, l'attribuzione resta indebolita e non confutata. Simmetria di metodo, non di merito.</w:t>
      </w:r>
    </w:p>
    <w:p>
      <w:pPr>
        <w:spacing w:after="120" w:line="276"/>
        <w:jc w:val="both"/>
      </w:pPr>
      <w:r>
        <w:rPr>
          <w:rFonts w:ascii="Barlow Semi Condensed" w:cs="Barlow Semi Condensed" w:eastAsia="Barlow Semi Condensed" w:hAnsi="Barlow Semi Condensed"/>
          <w:b/>
          <w:bCs/>
          <w:sz w:val="24"/>
          <w:szCs w:val="24"/>
        </w:rPr>
        <w:t xml:space="preserve">1761 · Il solo ponte del territorio.</w:t>
      </w:r>
      <w:r>
        <w:rPr>
          <w:rFonts w:ascii="Barlow Semi Condensed" w:cs="Barlow Semi Condensed" w:eastAsia="Barlow Semi Condensed" w:hAnsi="Barlow Semi Condensed"/>
          <w:sz w:val="24"/>
          <w:szCs w:val="24"/>
        </w:rPr>
        <w:t xml:space="preserve"> Nella sezione VI dello studio sta l'unico ponte documentato verso il resto del corpus: Aldo Moro fu costituente nel 1946, membro dell'assemblea che scolpì nell'articolo 102, secondo comma, il divieto dei giudici straordinari e speciali. È ponte biografico-istituzionale, non tesi. Il nome di questa serie non compare in quel ponte, né in alcuna delle sue estremità: il territorio comunica col corpus da un'altra parte.</w:t>
      </w:r>
    </w:p>
    <w:p>
      <w:pPr>
        <w:spacing w:after="120" w:line="276"/>
        <w:jc w:val="both"/>
      </w:pPr>
      <w:r>
        <w:rPr>
          <w:rFonts w:ascii="Barlow Semi Condensed" w:cs="Barlow Semi Condensed" w:eastAsia="Barlow Semi Condensed" w:hAnsi="Barlow Semi Condensed"/>
          <w:b/>
          <w:bCs/>
          <w:sz w:val="24"/>
          <w:szCs w:val="24"/>
        </w:rPr>
        <w:t xml:space="preserve">1762 · L'articolo 102 e il quesito atlantico.</w:t>
      </w:r>
      <w:r>
        <w:rPr>
          <w:rFonts w:ascii="Barlow Semi Condensed" w:cs="Barlow Semi Condensed" w:eastAsia="Barlow Semi Condensed" w:hAnsi="Barlow Semi Condensed"/>
          <w:sz w:val="24"/>
          <w:szCs w:val="24"/>
        </w:rPr>
        <w:t xml:space="preserve"> Interrogare il versante atlantico è legittimo purché impersonalmente, dichiara il blocco 890. Applicato qui il quesito è sobrio: nessun documento statunitense finora noto al corpus richiama il divieto costituzionale italiano del giudice speciale. Il bersaglio è nominabile: i briefing papers preparati per le visite di Stato italiane del 1974 e del 1976, conservati a College Park e ad Ann Arbor, dove i quadri storici sono d'obbligo.</w:t>
      </w:r>
    </w:p>
    <w:p>
      <w:pPr>
        <w:spacing w:after="120" w:line="276"/>
        <w:jc w:val="both"/>
      </w:pPr>
      <w:r>
        <w:rPr>
          <w:rFonts w:ascii="Barlow Semi Condensed" w:cs="Barlow Semi Condensed" w:eastAsia="Barlow Semi Condensed" w:hAnsi="Barlow Semi Condensed"/>
          <w:b/>
          <w:bCs/>
          <w:sz w:val="24"/>
          <w:szCs w:val="24"/>
        </w:rPr>
        <w:t xml:space="preserve">1763 · Pertini al Quirinale, luglio 1978.</w:t>
      </w:r>
      <w:r>
        <w:rPr>
          <w:rFonts w:ascii="Barlow Semi Condensed" w:cs="Barlow Semi Condensed" w:eastAsia="Barlow Semi Condensed" w:hAnsi="Barlow Semi Condensed"/>
          <w:sz w:val="24"/>
          <w:szCs w:val="24"/>
        </w:rPr>
        <w:t xml:space="preserve"> Un fatto che S-4 registra rifiutando di caricarlo: Sandro Pertini, condannato il 30 novembre 1929 a dieci anni e nove mesi più tre di vigilanza, fu eletto Presidente della Repubblica l'8 luglio 1978, due mesi dopo via Caetani. Nell'anno più discusso del corpus il capo dello Stato era un condannato del giudice speciale. Nessun documento del territorio lo mette in relazione con Washington.</w:t>
      </w:r>
    </w:p>
    <w:p>
      <w:pPr>
        <w:spacing w:after="120" w:line="276"/>
        <w:jc w:val="both"/>
      </w:pPr>
      <w:r>
        <w:rPr>
          <w:rFonts w:ascii="Barlow Semi Condensed" w:cs="Barlow Semi Condensed" w:eastAsia="Barlow Semi Condensed" w:hAnsi="Barlow Semi Condensed"/>
          <w:b/>
          <w:bCs/>
          <w:sz w:val="24"/>
          <w:szCs w:val="24"/>
        </w:rPr>
        <w:t xml:space="preserve">1764 · Terracini firma il divieto.</w:t>
      </w:r>
      <w:r>
        <w:rPr>
          <w:rFonts w:ascii="Barlow Semi Condensed" w:cs="Barlow Semi Condensed" w:eastAsia="Barlow Semi Condensed" w:hAnsi="Barlow Semi Condensed"/>
          <w:sz w:val="24"/>
          <w:szCs w:val="24"/>
        </w:rPr>
        <w:t xml:space="preserve"> Umberto Terracini ebbe la pena più alta del processone, oltre ventidue anni, e presiedette l'Assemblea Costituente nel 1947-48. Il testo che vieta il giudice speciale ha per firmatario un condannato del giudice speciale: è omologia in senso proprio, discendenza documentata dentro una sola cornice, con la continuità intermedia visibile. Serve da contro-esempio esatto alle analogie atlantiche che questa serie ha dovuto declassare una per una.</w:t>
      </w:r>
    </w:p>
    <w:p>
      <w:pPr>
        <w:spacing w:after="120" w:line="276"/>
        <w:jc w:val="both"/>
      </w:pPr>
      <w:r>
        <w:rPr>
          <w:rFonts w:ascii="Barlow Semi Condensed" w:cs="Barlow Semi Condensed" w:eastAsia="Barlow Semi Condensed" w:hAnsi="Barlow Semi Condensed"/>
          <w:b/>
          <w:bCs/>
          <w:sz w:val="24"/>
          <w:szCs w:val="24"/>
        </w:rPr>
        <w:t xml:space="preserve">1765 · Trombetti porta fuori i Quaderni.</w:t>
      </w:r>
      <w:r>
        <w:rPr>
          <w:rFonts w:ascii="Barlow Semi Condensed" w:cs="Barlow Semi Condensed" w:eastAsia="Barlow Semi Condensed" w:hAnsi="Barlow Semi Condensed"/>
          <w:sz w:val="24"/>
          <w:szCs w:val="24"/>
        </w:rPr>
        <w:t xml:space="preserve"> Gustavo Trombetti, condannato l'8 aprile 1932 a dieci anni, detenuto a Turi dove fu a contatto con Antonio Gramsci, mise in salvo i Quaderni e fu scarcerato nel luglio 1934 per amnistia. Ecco un caso di trasmissione documentata di un testo attraverso il carcere, con vettore, contenuto e destinazione accertati: piano 1 pieno, dentro il territorio, e riguarda chiunque tranne il nome che questa serie triangola.</w:t>
      </w:r>
    </w:p>
    <w:p>
      <w:pPr>
        <w:spacing w:after="120" w:line="276"/>
        <w:jc w:val="both"/>
      </w:pPr>
      <w:r>
        <w:rPr>
          <w:rFonts w:ascii="Barlow Semi Condensed" w:cs="Barlow Semi Condensed" w:eastAsia="Barlow Semi Condensed" w:hAnsi="Barlow Semi Condensed"/>
          <w:b/>
          <w:bCs/>
          <w:sz w:val="24"/>
          <w:szCs w:val="24"/>
        </w:rPr>
        <w:t xml:space="preserve">1766 · La lente messa alla prova.</w:t>
      </w:r>
      <w:r>
        <w:rPr>
          <w:rFonts w:ascii="Barlow Semi Condensed" w:cs="Barlow Semi Condensed" w:eastAsia="Barlow Semi Condensed" w:hAnsi="Barlow Semi Condensed"/>
          <w:sz w:val="24"/>
          <w:szCs w:val="24"/>
        </w:rPr>
        <w:t xml:space="preserve"> Al blocco 13 sta il criterio: una lente non è vera o falsa, è feconda o sterile, e si giudica dai bersagli d'archivio che fa nascere. Su questo territorio la metafora genetica non ha prodotto un solo quesito che il lessico storiografico ordinario non avrebbe prodotto da solo. Il bilancio negativo si registra come gli altri: senza attenuarlo e senza cercargli compensazioni altrove.</w:t>
      </w:r>
    </w:p>
    <w:p>
      <w:pPr>
        <w:spacing w:after="120" w:line="276"/>
        <w:jc w:val="both"/>
      </w:pPr>
      <w:r>
        <w:rPr>
          <w:rFonts w:ascii="Barlow Semi Condensed" w:cs="Barlow Semi Condensed" w:eastAsia="Barlow Semi Condensed" w:hAnsi="Barlow Semi Condensed"/>
          <w:b/>
          <w:bCs/>
          <w:sz w:val="24"/>
          <w:szCs w:val="24"/>
        </w:rPr>
        <w:t xml:space="preserve">1767 · Il criterio di dismissione, applicato.</w:t>
      </w:r>
      <w:r>
        <w:rPr>
          <w:rFonts w:ascii="Barlow Semi Condensed" w:cs="Barlow Semi Condensed" w:eastAsia="Barlow Semi Condensed" w:hAnsi="Barlow Semi Condensed"/>
          <w:sz w:val="24"/>
          <w:szCs w:val="24"/>
        </w:rPr>
        <w:t xml:space="preserve"> La condizione è fissata al blocco 14: se la metafora costringesse a un'affermazione che la documentazione non regge, cede la metafora. Qui non ha costretto a nulla, perché non ha trovato materia su cui esercitarsi. Si depone dunque per questa serie, senza drammi e senza revoche generali: uno strumento che su un terreno non morde va posato lì, e ripreso dove aveva funzionato.</w:t>
      </w:r>
    </w:p>
    <w:p>
      <w:pPr>
        <w:spacing w:after="120" w:line="276"/>
        <w:jc w:val="both"/>
      </w:pPr>
      <w:r>
        <w:rPr>
          <w:rFonts w:ascii="Barlow Semi Condensed" w:cs="Barlow Semi Condensed" w:eastAsia="Barlow Semi Condensed" w:hAnsi="Barlow Semi Condensed"/>
          <w:b/>
          <w:bCs/>
          <w:sz w:val="24"/>
          <w:szCs w:val="24"/>
        </w:rPr>
        <w:t xml:space="preserve">1768 · Il volume rilegato e la sua misura.</w:t>
      </w:r>
      <w:r>
        <w:rPr>
          <w:rFonts w:ascii="Barlow Semi Condensed" w:cs="Barlow Semi Condensed" w:eastAsia="Barlow Semi Condensed" w:hAnsi="Barlow Semi Condensed"/>
          <w:sz w:val="24"/>
          <w:szCs w:val="24"/>
        </w:rPr>
        <w:t xml:space="preserve"> Il file IL_VETTORE_E_IL_TRIBUNALE_DUE_STUDI_1926-1972.docx raccoglie in ventiquattro pagine i due fronti italiani sotto il frontespizio comune del filo del 1926: la monografia su Feltrinelli con le sue triangolazioni e i due testi sul Tribunale Speciale. Il nome di questa serie non vi compare. È una misura che chiunque può ripetere aprendo il file e cercando la stringa, ed è per questo che si dichiara.</w:t>
      </w:r>
    </w:p>
    <w:p>
      <w:pPr>
        <w:spacing w:after="120" w:line="276"/>
        <w:jc w:val="both"/>
      </w:pPr>
      <w:r>
        <w:rPr>
          <w:rFonts w:ascii="Barlow Semi Condensed" w:cs="Barlow Semi Condensed" w:eastAsia="Barlow Semi Condensed" w:hAnsi="Barlow Semi Condensed"/>
          <w:b/>
          <w:bCs/>
          <w:sz w:val="24"/>
          <w:szCs w:val="24"/>
        </w:rPr>
        <w:t xml:space="preserve">1769 · Che cosa falsificherebbe la serie.</w:t>
      </w:r>
      <w:r>
        <w:rPr>
          <w:rFonts w:ascii="Barlow Semi Condensed" w:cs="Barlow Semi Condensed" w:eastAsia="Barlow Semi Condensed" w:hAnsi="Barlow Semi Condensed"/>
          <w:sz w:val="24"/>
          <w:szCs w:val="24"/>
        </w:rPr>
        <w:t xml:space="preserve"> Si ripete in chiusura perché è la parte che rende utile il resto. Una sola carta di provenienza, con ufficio, data e protocollo, che nomini insieme l'organo del 1926 e l'uomo di questa serie, rovescerebbe l'esito. Nessun accumulo di somiglianze la sostituisce, e nessuna quantità di indignazione ne fa le veci. La serie ha un punto debole preciso, e lo indica lei stessa a chi voglia colpirlo.</w:t>
      </w:r>
    </w:p>
    <w:p>
      <w:pPr>
        <w:spacing w:after="120" w:line="276"/>
        <w:jc w:val="both"/>
      </w:pPr>
      <w:r>
        <w:rPr>
          <w:rFonts w:ascii="Barlow Semi Condensed" w:cs="Barlow Semi Condensed" w:eastAsia="Barlow Semi Condensed" w:hAnsi="Barlow Semi Condensed"/>
          <w:b/>
          <w:bCs/>
          <w:sz w:val="24"/>
          <w:szCs w:val="24"/>
        </w:rPr>
        <w:t xml:space="preserve">1770 · Che cosa non la falsificherebbe.</w:t>
      </w:r>
      <w:r>
        <w:rPr>
          <w:rFonts w:ascii="Barlow Semi Condensed" w:cs="Barlow Semi Condensed" w:eastAsia="Barlow Semi Condensed" w:hAnsi="Barlow Semi Condensed"/>
          <w:sz w:val="24"/>
          <w:szCs w:val="24"/>
        </w:rPr>
        <w:t xml:space="preserve"> Non basterebbero: un articolo di giornale, una citazione in un saggio, una condanna morale pronunciata da un'assemblea d'opinione, la somiglianza di rito fra due giurisdizioni d'eccezione lontane un continente e mezzo secolo. Il blocco 896 lo dice in forma generale, nessun piano sale per accumulo. Cento affermazioni di terzo piano non fanno un secondo piano, e mille secondi piani non fanno un ponte.</w:t>
      </w:r>
    </w:p>
    <w:p>
      <w:pPr>
        <w:spacing w:after="120" w:line="276"/>
        <w:jc w:val="both"/>
      </w:pPr>
      <w:r>
        <w:rPr>
          <w:rFonts w:ascii="Barlow Semi Condensed" w:cs="Barlow Semi Condensed" w:eastAsia="Barlow Semi Condensed" w:hAnsi="Barlow Semi Condensed"/>
          <w:b/>
          <w:bCs/>
          <w:sz w:val="24"/>
          <w:szCs w:val="24"/>
        </w:rPr>
        <w:t xml:space="preserve">1771 · Che cosa un ritrovamento non deciderebbe.</w:t>
      </w:r>
      <w:r>
        <w:rPr>
          <w:rFonts w:ascii="Barlow Semi Condensed" w:cs="Barlow Semi Condensed" w:eastAsia="Barlow Semi Condensed" w:hAnsi="Barlow Semi Condensed"/>
          <w:sz w:val="24"/>
          <w:szCs w:val="24"/>
        </w:rPr>
        <w:t xml:space="preserve"> Dichiarare in anticipo la portata dell'ipotetico riscontro è obbligo posto dal blocco 887. Un documento che nominasse insieme i due termini attesterebbe una menzione: che un ufficio scrisse quel nome accanto a quella parola, in quel giorno. Dalla menzione alla condotta corre una catena, e la catena vale quanto il suo anello più debole. Anche nell'ipotesi favorevole, l'esito resterebbe molto al di sotto di un nesso.</w:t>
      </w:r>
    </w:p>
    <w:p>
      <w:pPr>
        <w:spacing w:after="120" w:line="276"/>
        <w:jc w:val="both"/>
      </w:pPr>
      <w:r>
        <w:rPr>
          <w:rFonts w:ascii="Barlow Semi Condensed" w:cs="Barlow Semi Condensed" w:eastAsia="Barlow Semi Condensed" w:hAnsi="Barlow Semi Condensed"/>
          <w:b/>
          <w:bCs/>
          <w:sz w:val="24"/>
          <w:szCs w:val="24"/>
        </w:rPr>
        <w:t xml:space="preserve">1772 · Perché il corpus si ferma al giudicato.</w:t>
      </w:r>
      <w:r>
        <w:rPr>
          <w:rFonts w:ascii="Barlow Semi Condensed" w:cs="Barlow Semi Condensed" w:eastAsia="Barlow Semi Condensed" w:hAnsi="Barlow Semi Condensed"/>
          <w:sz w:val="24"/>
          <w:szCs w:val="24"/>
        </w:rPr>
        <w:t xml:space="preserve"> Questo territorio è la ragione storica della regola, non un suo caso d'applicazione. Un ordinamento che volle giudici propri per i propri nemici produsse 4.596 condanne senza appello e 31 esecuzioni: è per non ripetere quel gesto che il corpus attribuisce solo ciò che il giudicato ha accertato. Henry Kissinger non fu mai imputato né processato in alcun Paese, e questa serie non aggiunge nulla.</w:t>
      </w:r>
    </w:p>
    <w:p>
      <w:pPr>
        <w:spacing w:after="120" w:line="276"/>
        <w:jc w:val="both"/>
      </w:pPr>
      <w:r>
        <w:rPr>
          <w:rFonts w:ascii="Barlow Semi Condensed" w:cs="Barlow Semi Condensed" w:eastAsia="Barlow Semi Condensed" w:hAnsi="Barlow Semi Condensed"/>
          <w:b/>
          <w:bCs/>
          <w:sz w:val="24"/>
          <w:szCs w:val="24"/>
        </w:rPr>
        <w:t xml:space="preserve">1773 · Il rischio di questa serie stessa.</w:t>
      </w:r>
      <w:r>
        <w:rPr>
          <w:rFonts w:ascii="Barlow Semi Condensed" w:cs="Barlow Semi Condensed" w:eastAsia="Barlow Semi Condensed" w:hAnsi="Barlow Semi Condensed"/>
          <w:sz w:val="24"/>
          <w:szCs w:val="24"/>
        </w:rPr>
        <w:t xml:space="preserve"> Occorre dirlo contro l'opera che lo scrive. Accostare un nome a un tribunale di regime, foss'anche per settantacinque volte e sempre per negare il nesso, lascia una traccia che nessuna negazione cancella del tutto: l'accostamento ripetuto è già una forma di pena. L'autolimite è esplicito e va letto come parte del risultato: qui si è dichiarata un'assenza, e un'assenza dichiarata non è una presenza attenuata.</w:t>
      </w:r>
    </w:p>
    <w:p>
      <w:pPr>
        <w:spacing w:after="120" w:line="276"/>
        <w:jc w:val="both"/>
      </w:pPr>
      <w:r>
        <w:rPr>
          <w:rFonts w:ascii="Barlow Semi Condensed" w:cs="Barlow Semi Condensed" w:eastAsia="Barlow Semi Condensed" w:hAnsi="Barlow Semi Condensed"/>
          <w:b/>
          <w:bCs/>
          <w:sz w:val="24"/>
          <w:szCs w:val="24"/>
        </w:rPr>
        <w:t xml:space="preserve">1774 · Il registro dei vuoti, in tabella.</w:t>
      </w:r>
      <w:r>
        <w:rPr>
          <w:rFonts w:ascii="Barlow Semi Condensed" w:cs="Barlow Semi Condensed" w:eastAsia="Barlow Semi Condensed" w:hAnsi="Barlow Semi Condensed"/>
          <w:sz w:val="24"/>
          <w:szCs w:val="24"/>
        </w:rPr>
        <w:t xml:space="preserve"> In forma tabellare vanno tenuti i vuoti, secondo il blocco 660. Le sedi nominate da questa serie sono quindici, dalle tre romane dell'Archivio Centrale dello Stato alla Farnesina, da Ann Arbor e College Park a New Haven e Washington, dagli atti parlamentari alla Corte d'assise di Roma, da Bologna a Lubiana e Trieste. Ciascuna riga porta sede, quesito, esito atteso e data: senza colonne resta un elenco.</w:t>
      </w:r>
    </w:p>
    <w:p>
      <w:pPr>
        <w:spacing w:after="120" w:line="276"/>
        <w:jc w:val="both"/>
      </w:pPr>
      <w:r>
        <w:rPr>
          <w:rFonts w:ascii="Barlow Semi Condensed" w:cs="Barlow Semi Condensed" w:eastAsia="Barlow Semi Condensed" w:hAnsi="Barlow Semi Condensed"/>
          <w:b/>
          <w:bCs/>
          <w:sz w:val="24"/>
          <w:szCs w:val="24"/>
        </w:rPr>
        <w:t xml:space="preserve">1775 · Congedo della ventitreesima serie.</w:t>
      </w:r>
      <w:r>
        <w:rPr>
          <w:rFonts w:ascii="Barlow Semi Condensed" w:cs="Barlow Semi Condensed" w:eastAsia="Barlow Semi Condensed" w:hAnsi="Barlow Semi Condensed"/>
          <w:sz w:val="24"/>
          <w:szCs w:val="24"/>
        </w:rPr>
        <w:t xml:space="preserve"> Il bilancio si scrive per intero. Rapporti diretti documentati: nessuno. Convergenze entro la stessa cornice: nessuna, perché le cornici sono due. Affermazioni terziarie qualificate: due, il saggio dal titolo processuale e il quesito sul secondo Tribunale Russell. Tutto il resto sono stati zero con sede. Un territorio che tace su un nome ha detto qualcosa di preciso, e qui è stato scritto senza sconti.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ventiquattresima — Gli amnistiati e le pene oltre confine</w:t>
      </w:r>
    </w:p>
    <w:p>
      <w:pPr>
        <w:spacing w:after="120" w:line="276"/>
        <w:jc w:val="both"/>
      </w:pPr>
      <w:r>
        <w:rPr>
          <w:rFonts w:ascii="Barlow Semi Condensed" w:cs="Barlow Semi Condensed" w:eastAsia="Barlow Semi Condensed" w:hAnsi="Barlow Semi Condensed"/>
          <w:i/>
          <w:iCs/>
          <w:sz w:val="24"/>
          <w:szCs w:val="24"/>
        </w:rPr>
        <w:t xml:space="preserve">Blocchi 1776-1850.</w:t>
      </w:r>
    </w:p>
    <w:p>
      <w:pPr>
        <w:spacing w:after="120" w:line="276"/>
        <w:jc w:val="both"/>
      </w:pPr>
      <w:r>
        <w:rPr>
          <w:rFonts w:ascii="Barlow Semi Condensed" w:cs="Barlow Semi Condensed" w:eastAsia="Barlow Semi Condensed" w:hAnsi="Barlow Semi Condensed"/>
          <w:b/>
          <w:bCs/>
          <w:sz w:val="24"/>
          <w:szCs w:val="24"/>
        </w:rPr>
        <w:t xml:space="preserve">1776 · Statuto della ventiquattresima serie.</w:t>
      </w:r>
      <w:r>
        <w:rPr>
          <w:rFonts w:ascii="Barlow Semi Condensed" w:cs="Barlow Semi Condensed" w:eastAsia="Barlow Semi Condensed" w:hAnsi="Barlow Semi Condensed"/>
          <w:sz w:val="24"/>
          <w:szCs w:val="24"/>
        </w:rPr>
        <w:t xml:space="preserve"> La seconda campagna assegna a questa serie due soli documenti: l'elenco bolognese degli amnistiati del Tribunale Speciale e lo studio sulle pene oltre confine con Mulinaris e la dottrina Mitterrand. Entrambi sono stati letti per intero prima di scrivere. L'attesa si dichiara subito, come impone il blocco 650 dell'opera: il territorio non contiene il nome triangolato, e la serie esiste per verbalizzare bene quell'assenza invece di aggirarla.</w:t>
      </w:r>
    </w:p>
    <w:p>
      <w:pPr>
        <w:spacing w:after="120" w:line="276"/>
        <w:jc w:val="both"/>
      </w:pPr>
      <w:r>
        <w:rPr>
          <w:rFonts w:ascii="Barlow Semi Condensed" w:cs="Barlow Semi Condensed" w:eastAsia="Barlow Semi Condensed" w:hAnsi="Barlow Semi Condensed"/>
          <w:b/>
          <w:bCs/>
          <w:sz w:val="24"/>
          <w:szCs w:val="24"/>
        </w:rPr>
        <w:t xml:space="preserve">1777 · Zero occorrenze, misura meccanica.</w:t>
      </w:r>
      <w:r>
        <w:rPr>
          <w:rFonts w:ascii="Barlow Semi Condensed" w:cs="Barlow Semi Condensed" w:eastAsia="Barlow Semi Condensed" w:hAnsi="Barlow Semi Condensed"/>
          <w:sz w:val="24"/>
          <w:szCs w:val="24"/>
        </w:rPr>
        <w:t xml:space="preserve"> Verifica eseguita sui due file prima di ogni interpretazione: la stringa Kissinger non compare in amnistiati-tribunale-speciale.md, non compare in le-pene-oltre-confine-mitterrand-mulinaris.md, e con essa mancano le stringhe Stati Uniti, Washington, americano. Il conteggio è zero su entrambi. Vale come dato di grado A sul testo, non ancora sul mondo: la distinzione fra le due specie di silenzio, fissata al blocco 635, resta il tornello.</w:t>
      </w:r>
    </w:p>
    <w:p>
      <w:pPr>
        <w:spacing w:after="120" w:line="276"/>
        <w:jc w:val="both"/>
      </w:pPr>
      <w:r>
        <w:rPr>
          <w:rFonts w:ascii="Barlow Semi Condensed" w:cs="Barlow Semi Condensed" w:eastAsia="Barlow Semi Condensed" w:hAnsi="Barlow Semi Condensed"/>
          <w:b/>
          <w:bCs/>
          <w:sz w:val="24"/>
          <w:szCs w:val="24"/>
        </w:rPr>
        <w:t xml:space="preserve">1778 · Le due scale del territorio assegnato.</w:t>
      </w:r>
      <w:r>
        <w:rPr>
          <w:rFonts w:ascii="Barlow Semi Condensed" w:cs="Barlow Semi Condensed" w:eastAsia="Barlow Semi Condensed" w:hAnsi="Barlow Semi Condensed"/>
          <w:sz w:val="24"/>
          <w:szCs w:val="24"/>
        </w:rPr>
        <w:t xml:space="preserve"> I documenti affidati lavorano su scale diverse e vanno triangolati separatamente. Il primo è un elenco di persone, cinquantasette schede individuali tratte dall'archivio Storia e Memoria di Bologna, tutte comprese fra il 1922 e il 1947. Il secondo è una cornice di rapporti fra Stati, dal 1982 al 2023. Un nome che manca nel primo manca per anagrafe; se manca nel secondo, manca per assenza di atti. Le due assenze non si sommano.</w:t>
      </w:r>
    </w:p>
    <w:p>
      <w:pPr>
        <w:spacing w:after="120" w:line="276"/>
        <w:jc w:val="both"/>
      </w:pPr>
      <w:r>
        <w:rPr>
          <w:rFonts w:ascii="Barlow Semi Condensed" w:cs="Barlow Semi Condensed" w:eastAsia="Barlow Semi Condensed" w:hAnsi="Barlow Semi Condensed"/>
          <w:b/>
          <w:bCs/>
          <w:sz w:val="24"/>
          <w:szCs w:val="24"/>
        </w:rPr>
        <w:t xml:space="preserve">1779 · Il divieto che precede ogni riga.</w:t>
      </w:r>
      <w:r>
        <w:rPr>
          <w:rFonts w:ascii="Barlow Semi Condensed" w:cs="Barlow Semi Condensed" w:eastAsia="Barlow Semi Condensed" w:hAnsi="Barlow Semi Condensed"/>
          <w:sz w:val="24"/>
          <w:szCs w:val="24"/>
        </w:rPr>
        <w:t xml:space="preserve"> Si ripete una volta e non si ripeterà più, perché nessuna pagina possa essere estratta e usata male. Henry Alfred Kissinger, nato a Fürth il 27 maggio 1923 e morto a Kent, nel Connecticut, il 29 novembre 2023, non fu condannato in alcun processo, non fu mai imputato né processato in alcun Paese. Il territorio qui esaminato è fatto di condanne, amnistie ed estradizioni: nessuna di quelle categorie lo riguarda.</w:t>
      </w:r>
    </w:p>
    <w:p>
      <w:pPr>
        <w:spacing w:after="120" w:line="276"/>
        <w:jc w:val="both"/>
      </w:pPr>
      <w:r>
        <w:rPr>
          <w:rFonts w:ascii="Barlow Semi Condensed" w:cs="Barlow Semi Condensed" w:eastAsia="Barlow Semi Condensed" w:hAnsi="Barlow Semi Condensed"/>
          <w:b/>
          <w:bCs/>
          <w:sz w:val="24"/>
          <w:szCs w:val="24"/>
        </w:rPr>
        <w:t xml:space="preserve">1780 · Perché questo territorio produce assenze.</w:t>
      </w:r>
      <w:r>
        <w:rPr>
          <w:rFonts w:ascii="Barlow Semi Condensed" w:cs="Barlow Semi Condensed" w:eastAsia="Barlow Semi Condensed" w:hAnsi="Barlow Semi Condensed"/>
          <w:sz w:val="24"/>
          <w:szCs w:val="24"/>
        </w:rPr>
        <w:t xml:space="preserve"> Le due carte assegnate sono state costruite da comunità di fonti che non trattano il nodo statunitense: archivi antifascisti bolognesi da un lato, atti francesi, svizzeri e nicaraguensi dall'altro. Il secondo tempo della regola dei buchi, enunciato al blocco 642, impone di diagnosticare la causa del vuoto prima di leggerlo: qui la causa è la specializzazione delle fonti, e trasformare quella lacuna bibliografica in scoperta sarebbe l'errore tipico.</w:t>
      </w:r>
    </w:p>
    <w:p>
      <w:pPr>
        <w:spacing w:after="120" w:line="276"/>
        <w:jc w:val="both"/>
      </w:pPr>
      <w:r>
        <w:rPr>
          <w:rFonts w:ascii="Barlow Semi Condensed" w:cs="Barlow Semi Condensed" w:eastAsia="Barlow Semi Condensed" w:hAnsi="Barlow Semi Condensed"/>
          <w:b/>
          <w:bCs/>
          <w:sz w:val="24"/>
          <w:szCs w:val="24"/>
        </w:rPr>
        <w:t xml:space="preserve">1781 · Le date che chiudono il piano uno.</w:t>
      </w:r>
      <w:r>
        <w:rPr>
          <w:rFonts w:ascii="Barlow Semi Condensed" w:cs="Barlow Semi Condensed" w:eastAsia="Barlow Semi Condensed" w:hAnsi="Barlow Semi Condensed"/>
          <w:sz w:val="24"/>
          <w:szCs w:val="24"/>
        </w:rPr>
        <w:t xml:space="preserve"> Il Tribunale Speciale per la Difesa dello Stato operò dal febbraio 1927 al luglio 1943. In quell'arco il nome triangolato appartiene a un bambino di Fürth, poi a un adolescente emigrato il 20 agosto 1938 e sbarcato a New York il 5 settembre, naturalizzato il 19 giugno 1943. Nessun rapporto diretto documentato è materialmente concepibile con l'istituzione, con i suoi giudici o con i suoi amnistiati. L'accertamento è di grado A e si scrive per intero.</w:t>
      </w:r>
    </w:p>
    <w:p>
      <w:pPr>
        <w:spacing w:after="120" w:line="276"/>
        <w:jc w:val="both"/>
      </w:pPr>
      <w:r>
        <w:rPr>
          <w:rFonts w:ascii="Barlow Semi Condensed" w:cs="Barlow Semi Condensed" w:eastAsia="Barlow Semi Condensed" w:hAnsi="Barlow Semi Condensed"/>
          <w:b/>
          <w:bCs/>
          <w:sz w:val="24"/>
          <w:szCs w:val="24"/>
        </w:rPr>
        <w:t xml:space="preserve">1782 · Cinquantasette schede, nessun elemento americano.</w:t>
      </w:r>
      <w:r>
        <w:rPr>
          <w:rFonts w:ascii="Barlow Semi Condensed" w:cs="Barlow Semi Condensed" w:eastAsia="Barlow Semi Condensed" w:hAnsi="Barlow Semi Condensed"/>
          <w:sz w:val="24"/>
          <w:szCs w:val="24"/>
        </w:rPr>
        <w:t xml:space="preserve"> Il conteggio esatto delle voci nominative del primo documento: quarantuno amnistiati del decennale, uno amnistiato e non scarcerato, uno escluso dal beneficio, quattro del ventennale, otto di altre amnistie del periodo, due del dopoguerra. Sono ferrovieri, muratori, coloni, operai meccanici, falegnami, dirigenti della gioventù comunista. Nessuna scheda registra un rapporto con autorità straniere di alcun genere, e a maggior ragione nessuna con quelle statunitensi.</w:t>
      </w:r>
    </w:p>
    <w:p>
      <w:pPr>
        <w:spacing w:after="120" w:line="276"/>
        <w:jc w:val="both"/>
      </w:pPr>
      <w:r>
        <w:rPr>
          <w:rFonts w:ascii="Barlow Semi Condensed" w:cs="Barlow Semi Condensed" w:eastAsia="Barlow Semi Condensed" w:hAnsi="Barlow Semi Condensed"/>
          <w:b/>
          <w:bCs/>
          <w:sz w:val="24"/>
          <w:szCs w:val="24"/>
        </w:rPr>
        <w:t xml:space="preserve">1783 · L'amnistia presuppone un fatto punibile.</w:t>
      </w:r>
      <w:r>
        <w:rPr>
          <w:rFonts w:ascii="Barlow Semi Condensed" w:cs="Barlow Semi Condensed" w:eastAsia="Barlow Semi Condensed" w:hAnsi="Barlow Semi Condensed"/>
          <w:sz w:val="24"/>
          <w:szCs w:val="24"/>
        </w:rPr>
        <w:t xml:space="preserve"> Regola di lettura che governa metà della serie. L'amnistia estingue un reato accertato o contestato; presuppone dunque un procedimento, e senza procedimento non ha oggetto. Poiché per il nome triangolato non risulta alcuna imputazione in alcun Paese, l'intero istituto censito dal documento bolognese gli è categorialmente inapplicabile. Non si tratta di un esito favorevole né sfavorevole: si tratta di una categoria che non trova materia su cui operare.</w:t>
      </w:r>
    </w:p>
    <w:p>
      <w:pPr>
        <w:spacing w:after="120" w:line="276"/>
        <w:jc w:val="both"/>
      </w:pPr>
      <w:r>
        <w:rPr>
          <w:rFonts w:ascii="Barlow Semi Condensed" w:cs="Barlow Semi Condensed" w:eastAsia="Barlow Semi Condensed" w:hAnsi="Barlow Semi Condensed"/>
          <w:b/>
          <w:bCs/>
          <w:sz w:val="24"/>
          <w:szCs w:val="24"/>
        </w:rPr>
        <w:t xml:space="preserve">1784 · Sei istituti che non vanno confusi.</w:t>
      </w:r>
      <w:r>
        <w:rPr>
          <w:rFonts w:ascii="Barlow Semi Condensed" w:cs="Barlow Semi Condensed" w:eastAsia="Barlow Semi Condensed" w:hAnsi="Barlow Semi Condensed"/>
          <w:sz w:val="24"/>
          <w:szCs w:val="24"/>
        </w:rPr>
        <w:t xml:space="preserve"> La pubblicistica li scambia con regolarità, e la serie li separa una volta per tutte: amnistia estingue il reato, indulto condona la pena, grazia riguarda il singolo condannato, prescrizione estingue per decorso del tempo, immunità sottrae alla giurisdizione, mancato esercizio dell'azione significa che nessuno ha mai chiesto un processo. Solo l'ultima voce descrive la posizione del nome triangolato, e descrive un'assenza di atti, non un beneficio ricevuto.</w:t>
      </w:r>
    </w:p>
    <w:p>
      <w:pPr>
        <w:spacing w:after="120" w:line="276"/>
        <w:jc w:val="both"/>
      </w:pPr>
      <w:r>
        <w:rPr>
          <w:rFonts w:ascii="Barlow Semi Condensed" w:cs="Barlow Semi Condensed" w:eastAsia="Barlow Semi Condensed" w:hAnsi="Barlow Semi Condensed"/>
          <w:b/>
          <w:bCs/>
          <w:sz w:val="24"/>
          <w:szCs w:val="24"/>
        </w:rPr>
        <w:t xml:space="preserve">1785 · La clemenza che completa l'apparato (serie XXIV).</w:t>
      </w:r>
      <w:r>
        <w:rPr>
          <w:rFonts w:ascii="Barlow Semi Condensed" w:cs="Barlow Semi Condensed" w:eastAsia="Barlow Semi Condensed" w:hAnsi="Barlow Semi Condensed"/>
          <w:sz w:val="24"/>
          <w:szCs w:val="24"/>
        </w:rPr>
        <w:t xml:space="preserve"> Lo studio sull'istituzione ha fissato il punto più fine del primo documento: gli amnistiati del decennale uscivano dal carcere ed entravano quasi sempre in confino, ammonizione o vigilanza speciale, e alcuni furono ricondannati poco dopo. La clemenza non smontava la macchina, la completava. È una regola di lettura sul rapporto fra atto benevolo e struttura repressiva, ed è utilizzabile ovunque; non è un ponte verso alcun nome, e non se ne fa un ponte.</w:t>
      </w:r>
    </w:p>
    <w:p>
      <w:pPr>
        <w:spacing w:after="120" w:line="276"/>
        <w:jc w:val="both"/>
      </w:pPr>
      <w:r>
        <w:rPr>
          <w:rFonts w:ascii="Barlow Semi Condensed" w:cs="Barlow Semi Condensed" w:eastAsia="Barlow Semi Condensed" w:hAnsi="Barlow Semi Condensed"/>
          <w:b/>
          <w:bCs/>
          <w:sz w:val="24"/>
          <w:szCs w:val="24"/>
        </w:rPr>
        <w:t xml:space="preserve">1786 · Quattro o cinque novembre 1932.</w:t>
      </w:r>
      <w:r>
        <w:rPr>
          <w:rFonts w:ascii="Barlow Semi Condensed" w:cs="Barlow Semi Condensed" w:eastAsia="Barlow Semi Condensed" w:hAnsi="Barlow Semi Condensed"/>
          <w:sz w:val="24"/>
          <w:szCs w:val="24"/>
        </w:rPr>
        <w:t xml:space="preserve"> Divergenza interna al documento assegnato, da riportare e non da sciogliere in silenzio. La nota metodologica d'apertura data l'amnistia del decennale al 4 novembre 1932; la scheda sulle amnistie del regime, nella stessa pagina, la data al 5 novembre 1932. Le due date non possono valere insieme. La sede che chiude: la Gazzetta Ufficiale del Regno d'Italia del novembre 1932 e la Raccolta ufficiale delle leggi e dei decreti.</w:t>
      </w:r>
    </w:p>
    <w:p>
      <w:pPr>
        <w:spacing w:after="120" w:line="276"/>
        <w:jc w:val="both"/>
      </w:pPr>
      <w:r>
        <w:rPr>
          <w:rFonts w:ascii="Barlow Semi Condensed" w:cs="Barlow Semi Condensed" w:eastAsia="Barlow Semi Condensed" w:hAnsi="Barlow Semi Condensed"/>
          <w:b/>
          <w:bCs/>
          <w:sz w:val="24"/>
          <w:szCs w:val="24"/>
        </w:rPr>
        <w:t xml:space="preserve">1787 · Il ventennale e i suoi mesi discordanti.</w:t>
      </w:r>
      <w:r>
        <w:rPr>
          <w:rFonts w:ascii="Barlow Semi Condensed" w:cs="Barlow Semi Condensed" w:eastAsia="Barlow Semi Condensed" w:hAnsi="Barlow Semi Condensed"/>
          <w:sz w:val="24"/>
          <w:szCs w:val="24"/>
        </w:rPr>
        <w:t xml:space="preserve"> Seconda divergenza, dentro lo stesso elenco. L'intestazione colloca l'amnistia del ventennale al 17 ottobre 1942, ma due schede individuali la collocano prima: Minghetti, assegnato al confino il 1 giugno 1942, ne beneficia il mese successivo; Pancaldi, arrestato il 7 maggio 1942, è amnistiato il mese dopo e scarcerato il 13 luglio. O le schede riferiscono un provvedimento anteriore, o l'intestazione sbaglia. Stessa sede della divergenza precedente.</w:t>
      </w:r>
    </w:p>
    <w:p>
      <w:pPr>
        <w:spacing w:after="120" w:line="276"/>
        <w:jc w:val="both"/>
      </w:pPr>
      <w:r>
        <w:rPr>
          <w:rFonts w:ascii="Barlow Semi Condensed" w:cs="Barlow Semi Condensed" w:eastAsia="Barlow Semi Condensed" w:hAnsi="Barlow Semi Condensed"/>
          <w:b/>
          <w:bCs/>
          <w:sz w:val="24"/>
          <w:szCs w:val="24"/>
        </w:rPr>
        <w:t xml:space="preserve">1788 · Trombetti Bruno, tre anni che non tornano.</w:t>
      </w:r>
      <w:r>
        <w:rPr>
          <w:rFonts w:ascii="Barlow Semi Condensed" w:cs="Barlow Semi Condensed" w:eastAsia="Barlow Semi Condensed" w:hAnsi="Barlow Semi Condensed"/>
          <w:sz w:val="24"/>
          <w:szCs w:val="24"/>
        </w:rPr>
        <w:t xml:space="preserve"> Terza divergenza, aritmetica. La scheda registra condanna il 18 settembre 1933 a otto anni, tre anni scontati nel carcere di Fossano e liberazione per amnistia nel 1935. La somma restituirebbe il 1936. L'errore può stare nella data di condanna, nella durata della detenzione o nell'anno di scarcerazione, e non è determinabile sul testo. Chiuderebbe la questione il fascicolo personale nel fondo del Tribunale Speciale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1789 · Serenari, quale amnistia dopo il 1934.</w:t>
      </w:r>
      <w:r>
        <w:rPr>
          <w:rFonts w:ascii="Barlow Semi Condensed" w:cs="Barlow Semi Condensed" w:eastAsia="Barlow Semi Condensed" w:hAnsi="Barlow Semi Condensed"/>
          <w:sz w:val="24"/>
          <w:szCs w:val="24"/>
        </w:rPr>
        <w:t xml:space="preserve"> Lacuna verbalizzata sul singolo caso. La scheda di Marino Serenari registra due condanne, il 28 settembre 1928 e il 5 luglio 1934, e un'amnistia non datata che lo liberò prima del fine pena. Fra le sette amnistie del regime, dopo il 1934 il documento censisce solo il ventennale del 1942, e non lo dice. Lo stato è zero sull'individuazione del provvedimento; lo chiuderebbe l'ordinanza nel fascicolo processuale conservato a Roma.</w:t>
      </w:r>
    </w:p>
    <w:p>
      <w:pPr>
        <w:spacing w:after="120" w:line="276"/>
        <w:jc w:val="both"/>
      </w:pPr>
      <w:r>
        <w:rPr>
          <w:rFonts w:ascii="Barlow Semi Condensed" w:cs="Barlow Semi Condensed" w:eastAsia="Barlow Semi Condensed" w:hAnsi="Barlow Semi Condensed"/>
          <w:b/>
          <w:bCs/>
          <w:sz w:val="24"/>
          <w:szCs w:val="24"/>
        </w:rPr>
        <w:t xml:space="preserve">1790 · Il limite tecnico dichiarato due volte.</w:t>
      </w:r>
      <w:r>
        <w:rPr>
          <w:rFonts w:ascii="Barlow Semi Condensed" w:cs="Barlow Semi Condensed" w:eastAsia="Barlow Semi Condensed" w:hAnsi="Barlow Semi Condensed"/>
          <w:sz w:val="24"/>
          <w:szCs w:val="24"/>
        </w:rPr>
        <w:t xml:space="preserve"> Convergenza reale fra i due termini della triangolazione, ed è di metodo. L'elenco bolognese avverte di essere stato ricostruito interrogando i motori di ricerca perché il sito d'archivio non era raggiungibile dalla rete di lavoro. L'Apparato K dell'opera Kissinger dichiara lo stesso limite: proxy bloccato, nessun accesso ai documenti primari. Due carte del corpus costruite senza toccare la fonte: si registra, e vale come avvertenza sul peso di ciascuna riga.</w:t>
      </w:r>
    </w:p>
    <w:p>
      <w:pPr>
        <w:spacing w:after="120" w:line="276"/>
        <w:jc w:val="both"/>
      </w:pPr>
      <w:r>
        <w:rPr>
          <w:rFonts w:ascii="Barlow Semi Condensed" w:cs="Barlow Semi Condensed" w:eastAsia="Barlow Semi Condensed" w:hAnsi="Barlow Semi Condensed"/>
          <w:b/>
          <w:bCs/>
          <w:sz w:val="24"/>
          <w:szCs w:val="24"/>
        </w:rPr>
        <w:t xml:space="preserve">1791 · La sede che chiuderebbe le schede.</w:t>
      </w:r>
      <w:r>
        <w:rPr>
          <w:rFonts w:ascii="Barlow Semi Condensed" w:cs="Barlow Semi Condensed" w:eastAsia="Barlow Semi Condensed" w:hAnsi="Barlow Semi Condensed"/>
          <w:sz w:val="24"/>
          <w:szCs w:val="24"/>
        </w:rPr>
        <w:t xml:space="preserve"> Bersaglio d'archivio unico per l'intero primo documento. Le cinquantasette voci vanno riscontrate sul fondo Tribunale Speciale per la Difesa dello Stato all'Archivio Centrale dello Stato, segnatura d'autorità IT-ACS-SP00001-00000424, e sul Casellario Politico Centrale della stessa sede per confino, ammonizione e vigilanza speciale. Le schede bolognesi sono estratti secondari; sentenze e ordinanze sono gli originali. Finché il riscontro manca, ogni data dell'elenco resta di grado dichiarato e non di grado A.</w:t>
      </w:r>
    </w:p>
    <w:p>
      <w:pPr>
        <w:spacing w:after="120" w:line="276"/>
        <w:jc w:val="both"/>
      </w:pPr>
      <w:r>
        <w:rPr>
          <w:rFonts w:ascii="Barlow Semi Condensed" w:cs="Barlow Semi Condensed" w:eastAsia="Barlow Semi Condensed" w:hAnsi="Barlow Semi Condensed"/>
          <w:b/>
          <w:bCs/>
          <w:sz w:val="24"/>
          <w:szCs w:val="24"/>
        </w:rPr>
        <w:t xml:space="preserve">1792 · Nannetti, amnistiato e non scarcerato.</w:t>
      </w:r>
      <w:r>
        <w:rPr>
          <w:rFonts w:ascii="Barlow Semi Condensed" w:cs="Barlow Semi Condensed" w:eastAsia="Barlow Semi Condensed" w:hAnsi="Barlow Semi Condensed"/>
          <w:sz w:val="24"/>
          <w:szCs w:val="24"/>
        </w:rPr>
        <w:t xml:space="preserve"> La scheda più istruttiva dell'elenco per il resto della serie. Nerio Nannetti fu amnistiato per il decennale il 24 novembre 1932 e non uscì: lasciò il carcere di San Giovanni in Monte soltanto nella notte fra l'8 e il 9 agosto 1944, per un'azione partigiana. Il provvedimento accertò e non dispose. È la stessa frattura che il secondo documento assegnato pone al proprio inizio, dodici anni prima e dentro un solo Stato.</w:t>
      </w:r>
    </w:p>
    <w:p>
      <w:pPr>
        <w:spacing w:after="120" w:line="276"/>
        <w:jc w:val="both"/>
      </w:pPr>
      <w:r>
        <w:rPr>
          <w:rFonts w:ascii="Barlow Semi Condensed" w:cs="Barlow Semi Condensed" w:eastAsia="Barlow Semi Condensed" w:hAnsi="Barlow Semi Condensed"/>
          <w:b/>
          <w:bCs/>
          <w:sz w:val="24"/>
          <w:szCs w:val="24"/>
        </w:rPr>
        <w:t xml:space="preserve">1793 · Martelli, l'escluso che misura la clemenza.</w:t>
      </w:r>
      <w:r>
        <w:rPr>
          <w:rFonts w:ascii="Barlow Semi Condensed" w:cs="Barlow Semi Condensed" w:eastAsia="Barlow Semi Condensed" w:hAnsi="Barlow Semi Condensed"/>
          <w:sz w:val="24"/>
          <w:szCs w:val="24"/>
        </w:rPr>
        <w:t xml:space="preserve"> Dino Martelli non beneficiò del decennale: il 10 dicembre 1932 fu sottoposto a istruttoria suppletiva per riorganizzazione di partito disciolto. La sua scheda serve all'elenco come contro-caso, perché mostra che la clemenza era selettiva e colpiva per esclusione i quadri più esposti. Serve alla serie come promemoria: dove un atto di clemenza esiste, esiste anche il registro di chi ne fu escluso. Per il nome triangolato non esiste né l'uno né l'altro.</w:t>
      </w:r>
    </w:p>
    <w:p>
      <w:pPr>
        <w:spacing w:after="120" w:line="276"/>
        <w:jc w:val="both"/>
      </w:pPr>
      <w:r>
        <w:rPr>
          <w:rFonts w:ascii="Barlow Semi Condensed" w:cs="Barlow Semi Condensed" w:eastAsia="Barlow Semi Condensed" w:hAnsi="Barlow Semi Condensed"/>
          <w:b/>
          <w:bCs/>
          <w:sz w:val="24"/>
          <w:szCs w:val="24"/>
        </w:rPr>
        <w:t xml:space="preserve">1794 · Olivieri, il primo oltre confine.</w:t>
      </w:r>
      <w:r>
        <w:rPr>
          <w:rFonts w:ascii="Barlow Semi Condensed" w:cs="Barlow Semi Condensed" w:eastAsia="Barlow Semi Condensed" w:hAnsi="Barlow Semi Condensed"/>
          <w:sz w:val="24"/>
          <w:szCs w:val="24"/>
        </w:rPr>
        <w:t xml:space="preserve"> Dentro il documento sugli amnistiati sta già, senza che vi sia detto, un caso di pena che non attraversa la frontiera. Antonino Olivieri, falegname imolese, emigrò clandestinamente in Francia; il mandato di cattura fu revocato nel 1933 per l'amnistia del decennale, e in Italia non rientrò mai. Il ponte fra i due documenti del territorio è interno e documentato: la frontiera francese come luogo in cui un provvedimento italiano perde presa.</w:t>
      </w:r>
    </w:p>
    <w:p>
      <w:pPr>
        <w:spacing w:after="120" w:line="276"/>
        <w:jc w:val="both"/>
      </w:pPr>
      <w:r>
        <w:rPr>
          <w:rFonts w:ascii="Barlow Semi Condensed" w:cs="Barlow Semi Condensed" w:eastAsia="Barlow Semi Condensed" w:hAnsi="Barlow Semi Condensed"/>
          <w:b/>
          <w:bCs/>
          <w:sz w:val="24"/>
          <w:szCs w:val="24"/>
        </w:rPr>
        <w:t xml:space="preserve">1795 · Mondini a Reims, mandato revocato.</w:t>
      </w:r>
      <w:r>
        <w:rPr>
          <w:rFonts w:ascii="Barlow Semi Condensed" w:cs="Barlow Semi Condensed" w:eastAsia="Barlow Semi Condensed" w:hAnsi="Barlow Semi Condensed"/>
          <w:sz w:val="24"/>
          <w:szCs w:val="24"/>
        </w:rPr>
        <w:t xml:space="preserve"> Il secondo caso della stessa specie, e più tardo. Torquato Mondini, emigrato a Reims, fu colpito nel 1934 da mandato di cattura per lettere critiche verso il regime intercettate; il mandato cadde nel 1942 con l'amnistia del ventennale. Due schede su cinquantasette descrivono dunque italiani irreperibili in Francia, raggiunti non dall'esecuzione ma dalla revoca. Il meccanismo è opposto a quello del 1985, e il confronto va tenuto come contrasto, non come antenato.</w:t>
      </w:r>
    </w:p>
    <w:p>
      <w:pPr>
        <w:spacing w:after="120" w:line="276"/>
        <w:jc w:val="both"/>
      </w:pPr>
      <w:r>
        <w:rPr>
          <w:rFonts w:ascii="Barlow Semi Condensed" w:cs="Barlow Semi Condensed" w:eastAsia="Barlow Semi Condensed" w:hAnsi="Barlow Semi Condensed"/>
          <w:b/>
          <w:bCs/>
          <w:sz w:val="24"/>
          <w:szCs w:val="24"/>
        </w:rPr>
        <w:t xml:space="preserve">1796 · La Francia rifugio in due epoche.</w:t>
      </w:r>
      <w:r>
        <w:rPr>
          <w:rFonts w:ascii="Barlow Semi Condensed" w:cs="Barlow Semi Condensed" w:eastAsia="Barlow Semi Condensed" w:hAnsi="Barlow Semi Condensed"/>
          <w:sz w:val="24"/>
          <w:szCs w:val="24"/>
        </w:rPr>
        <w:t xml:space="preserve"> Convergenza tematica che va nominata e fermata. Negli anni Trenta la Francia ospitò fuoriusciti italiani sottratti a un tribunale di eccezione; dal 1985 ospitò rifugiati italiani sottratti all'esecuzione di sentenze di corti ordinarie. Il risultato somiglia; la natura dei due giudici è opposta. Dalla somiglianza dell'esito non si deduce alcun antenato comune: servirebbe un documento di provenienza che leghi le due politiche d'asilo, e nessuno dei due file assegnati lo esibisce.</w:t>
      </w:r>
    </w:p>
    <w:p>
      <w:pPr>
        <w:spacing w:after="120" w:line="276"/>
        <w:jc w:val="both"/>
      </w:pPr>
      <w:r>
        <w:rPr>
          <w:rFonts w:ascii="Barlow Semi Condensed" w:cs="Barlow Semi Condensed" w:eastAsia="Barlow Semi Condensed" w:hAnsi="Barlow Semi Condensed"/>
          <w:b/>
          <w:bCs/>
          <w:sz w:val="24"/>
          <w:szCs w:val="24"/>
        </w:rPr>
        <w:t xml:space="preserve">1797 · Trombetti Gustavo e i Quaderni salvati.</w:t>
      </w:r>
      <w:r>
        <w:rPr>
          <w:rFonts w:ascii="Barlow Semi Condensed" w:cs="Barlow Semi Condensed" w:eastAsia="Barlow Semi Condensed" w:hAnsi="Barlow Semi Condensed"/>
          <w:sz w:val="24"/>
          <w:szCs w:val="24"/>
        </w:rPr>
        <w:t xml:space="preserve"> Scheda che il corpus dovrebbe valorizzare più di quanto faccia. Gustavo Trombetti, condannato l'8 aprile 1932 a dieci anni, fu detenuto a Turi in contatto con Antonio Gramsci e mise in salvo i Quaderni; uscì per amnistia nel luglio 1934. La carta sopravvive alla pena grazie a un condannato. È l'immagine rovesciata degli archivi muti della nona serie: qui non manca il documento, manca l'istituzione che avrebbe dovuto conservarlo.</w:t>
      </w:r>
    </w:p>
    <w:p>
      <w:pPr>
        <w:spacing w:after="120" w:line="276"/>
        <w:jc w:val="both"/>
      </w:pPr>
      <w:r>
        <w:rPr>
          <w:rFonts w:ascii="Barlow Semi Condensed" w:cs="Barlow Semi Condensed" w:eastAsia="Barlow Semi Condensed" w:hAnsi="Barlow Semi Condensed"/>
          <w:b/>
          <w:bCs/>
          <w:sz w:val="24"/>
          <w:szCs w:val="24"/>
        </w:rPr>
        <w:t xml:space="preserve">1798 · Le due schede del dopoguerra.</w:t>
      </w:r>
      <w:r>
        <w:rPr>
          <w:rFonts w:ascii="Barlow Semi Condensed" w:cs="Barlow Semi Condensed" w:eastAsia="Barlow Semi Condensed" w:hAnsi="Barlow Semi Condensed"/>
          <w:sz w:val="24"/>
          <w:szCs w:val="24"/>
        </w:rPr>
        <w:t xml:space="preserve"> L'elenco dichiara fuori perimetro la propria sezione finale, e fa bene. Lidia Golinelli, condannata a morte nell'agosto 1945 con pena non eseguita e liberata dopo un anno, e Michele Tossani, amnistiato l'8 gennaio 1947, appartengono alla stagione dell'amnistia del 22 giugno 1946, non al Tribunale Speciale. Chi triangola su questo territorio non le usi come se fossero omogenee alle altre: la dichiarazione di estraneità del compilatore è parte del dato.</w:t>
      </w:r>
    </w:p>
    <w:p>
      <w:pPr>
        <w:spacing w:after="120" w:line="276"/>
        <w:jc w:val="both"/>
      </w:pPr>
      <w:r>
        <w:rPr>
          <w:rFonts w:ascii="Barlow Semi Condensed" w:cs="Barlow Semi Condensed" w:eastAsia="Barlow Semi Condensed" w:hAnsi="Barlow Semi Condensed"/>
          <w:b/>
          <w:bCs/>
          <w:sz w:val="24"/>
          <w:szCs w:val="24"/>
        </w:rPr>
        <w:t xml:space="preserve">1799 · Il bersaglio bolognese, scheda per scheda.</w:t>
      </w:r>
      <w:r>
        <w:rPr>
          <w:rFonts w:ascii="Barlow Semi Condensed" w:cs="Barlow Semi Condensed" w:eastAsia="Barlow Semi Condensed" w:hAnsi="Barlow Semi Condensed"/>
          <w:sz w:val="24"/>
          <w:szCs w:val="24"/>
        </w:rPr>
        <w:t xml:space="preserve"> Quesito da portare in archivio, formulato in termini eseguibili. Per ciascuna delle cinquantasette voci si chieda al fondo romano: numero della sentenza o dell'ordinanza, data, collegio, pena, provvedimento di clemenza applicato, misura successiva. La colonna decisiva è l'ultima, perché è quella che verifica la tesi della clemenza incompleta. L'esito si verbalizza comunque vada, e il verbale negativo su una scheda vale quanto il positivo su un'altra.</w:t>
      </w:r>
    </w:p>
    <w:p>
      <w:pPr>
        <w:spacing w:after="120" w:line="276"/>
        <w:jc w:val="both"/>
      </w:pPr>
      <w:r>
        <w:rPr>
          <w:rFonts w:ascii="Barlow Semi Condensed" w:cs="Barlow Semi Condensed" w:eastAsia="Barlow Semi Condensed" w:hAnsi="Barlow Semi Condensed"/>
          <w:b/>
          <w:bCs/>
          <w:sz w:val="24"/>
          <w:szCs w:val="24"/>
        </w:rPr>
        <w:t xml:space="preserve">1800 · Fürth prima del 1938, quesito bavarese.</w:t>
      </w:r>
      <w:r>
        <w:rPr>
          <w:rFonts w:ascii="Barlow Semi Condensed" w:cs="Barlow Semi Condensed" w:eastAsia="Barlow Semi Condensed" w:hAnsi="Barlow Semi Condensed"/>
          <w:sz w:val="24"/>
          <w:szCs w:val="24"/>
        </w:rPr>
        <w:t xml:space="preserve"> Se qualcuno volesse cercare comunque un contatto fra il nome e gli anni del Tribunale Speciale, ecco dove andrebbe e che cosa troverebbe. Lo Stadtarchiv di Fürth e lo Staatsarchiv di Norimberga conservano registri anagrafici, scolastici e di polizia della comunità ebraica locale fino all'espatrio. Documentano una famiglia perseguitata in Germania, non un rapporto con l'Italia. La ricerca è legittima e il suo esito è prevedibile: si dichiari prima di aprirla.</w:t>
      </w:r>
    </w:p>
    <w:p>
      <w:pPr>
        <w:spacing w:after="120" w:line="276"/>
        <w:jc w:val="both"/>
      </w:pPr>
      <w:r>
        <w:rPr>
          <w:rFonts w:ascii="Barlow Semi Condensed" w:cs="Barlow Semi Condensed" w:eastAsia="Barlow Semi Condensed" w:hAnsi="Barlow Semi Condensed"/>
          <w:b/>
          <w:bCs/>
          <w:sz w:val="24"/>
          <w:szCs w:val="24"/>
        </w:rPr>
        <w:t xml:space="preserve">1801 · Il fascicolo d'immigrazione come modello d'accesso.</w:t>
      </w:r>
      <w:r>
        <w:rPr>
          <w:rFonts w:ascii="Barlow Semi Condensed" w:cs="Barlow Semi Condensed" w:eastAsia="Barlow Semi Condensed" w:hAnsi="Barlow Semi Condensed"/>
          <w:sz w:val="24"/>
          <w:szCs w:val="24"/>
        </w:rPr>
        <w:t xml:space="preserve"> L'Apparato K ha già ottenuto per accesso agli atti il fascicolo d'immigrazione e naturalizzazione, e ne ha tratto la correzione sulla data dell'anglicizzazione, collocata al 1942-1943 contro il 1938 delle opere di consultazione. Quella via — il programma genealogico dell'agenzia federale statunitense per l'immigrazione — è replicabile per ogni quesito anagrafico residuo di questa serie. Il precedente serve come procedura, non come contenuto: nel fascicolo non c'è Italia.</w:t>
      </w:r>
    </w:p>
    <w:p>
      <w:pPr>
        <w:spacing w:after="120" w:line="276"/>
        <w:jc w:val="both"/>
      </w:pPr>
      <w:r>
        <w:rPr>
          <w:rFonts w:ascii="Barlow Semi Condensed" w:cs="Barlow Semi Condensed" w:eastAsia="Barlow Semi Condensed" w:hAnsi="Barlow Semi Condensed"/>
          <w:b/>
          <w:bCs/>
          <w:sz w:val="24"/>
          <w:szCs w:val="24"/>
        </w:rPr>
        <w:t xml:space="preserve">1802 · Il triennio tedesco e l'impunità degli apparati.</w:t>
      </w:r>
      <w:r>
        <w:rPr>
          <w:rFonts w:ascii="Barlow Semi Condensed" w:cs="Barlow Semi Condensed" w:eastAsia="Barlow Semi Condensed" w:hAnsi="Barlow Semi Condensed"/>
          <w:sz w:val="24"/>
          <w:szCs w:val="24"/>
        </w:rPr>
        <w:t xml:space="preserve"> Il sottonodo S-8 dello studio sul Tribunale registra come tema storiografico la sostanziale impunità postbellica dei giudici del regime, senza affermare percorsi individuali. La biografia corrente del nome triangolato lo colloca in Germania fra il 1944 e il 1946 in servizio nel controspionaggio dell'esercito statunitense. Il corpus non ha riscontrato quel dato su fonte primaria: si dichiara come affermazione da verificare presso i National Archives di College Park, non come acquisizione.</w:t>
      </w:r>
    </w:p>
    <w:p>
      <w:pPr>
        <w:spacing w:after="120" w:line="276"/>
        <w:jc w:val="both"/>
      </w:pPr>
      <w:r>
        <w:rPr>
          <w:rFonts w:ascii="Barlow Semi Condensed" w:cs="Barlow Semi Condensed" w:eastAsia="Barlow Semi Condensed" w:hAnsi="Barlow Semi Condensed"/>
          <w:b/>
          <w:bCs/>
          <w:sz w:val="24"/>
          <w:szCs w:val="24"/>
        </w:rPr>
        <w:t xml:space="preserve">1803 · Le leggi tedesche di esenzione dalla pena.</w:t>
      </w:r>
      <w:r>
        <w:rPr>
          <w:rFonts w:ascii="Barlow Semi Condensed" w:cs="Barlow Semi Condensed" w:eastAsia="Barlow Semi Condensed" w:hAnsi="Barlow Semi Condensed"/>
          <w:sz w:val="24"/>
          <w:szCs w:val="24"/>
        </w:rPr>
        <w:t xml:space="preserve"> Quesito comparativo, aperto e onesto. La Repubblica federale approvò dopo la guerra provvedimenti di esenzione dalla pena che la storiografia discute come forma di chiusura anticipata della denazificazione. Confrontarli con l'amnistia del decennale del 1932 è un esercizio di storia degli istituti, non un ponte fra persone. La sede è il Bundesarchiv di Coblenza per gli atti federali e l'Institut für Zeitgeschichte per la letteratura; il nome triangolato non vi entra come parte.</w:t>
      </w:r>
    </w:p>
    <w:p>
      <w:pPr>
        <w:spacing w:after="120" w:line="276"/>
        <w:jc w:val="both"/>
      </w:pPr>
      <w:r>
        <w:rPr>
          <w:rFonts w:ascii="Barlow Semi Condensed" w:cs="Barlow Semi Condensed" w:eastAsia="Barlow Semi Condensed" w:hAnsi="Barlow Semi Condensed"/>
          <w:b/>
          <w:bCs/>
          <w:sz w:val="24"/>
          <w:szCs w:val="24"/>
        </w:rPr>
        <w:t xml:space="preserve">1804 · Il test di provenienza, unico e severo.</w:t>
      </w:r>
      <w:r>
        <w:rPr>
          <w:rFonts w:ascii="Barlow Semi Condensed" w:cs="Barlow Semi Condensed" w:eastAsia="Barlow Semi Condensed" w:hAnsi="Barlow Semi Condensed"/>
          <w:sz w:val="24"/>
          <w:szCs w:val="24"/>
        </w:rPr>
        <w:t xml:space="preserve"> Su questo territorio la distinzione fra omologia e analogia si applica in forma elementare. Giustizia d'eccezione italiana e dottrina statunitense della sicurezza producono, in astratto, esiti simili: il singolo subordinato alla salvezza dello Stato. La somiglianza non autorizza a postulare un antenato comune. Il test è uno solo, e questa serie lo dichiara vuoto: un documento di provenienza che nomini la controparte. Nei due file assegnati non ce n'è traccia.</w:t>
      </w:r>
    </w:p>
    <w:p>
      <w:pPr>
        <w:spacing w:after="120" w:line="276"/>
        <w:jc w:val="both"/>
      </w:pPr>
      <w:r>
        <w:rPr>
          <w:rFonts w:ascii="Barlow Semi Condensed" w:cs="Barlow Semi Condensed" w:eastAsia="Barlow Semi Condensed" w:hAnsi="Barlow Semi Condensed"/>
          <w:b/>
          <w:bCs/>
          <w:sz w:val="24"/>
          <w:szCs w:val="24"/>
        </w:rPr>
        <w:t xml:space="preserve">1805 · Ragion di Stato e giustizia d'eccezione.</w:t>
      </w:r>
      <w:r>
        <w:rPr>
          <w:rFonts w:ascii="Barlow Semi Condensed" w:cs="Barlow Semi Condensed" w:eastAsia="Barlow Semi Condensed" w:hAnsi="Barlow Semi Condensed"/>
          <w:sz w:val="24"/>
          <w:szCs w:val="24"/>
        </w:rPr>
        <w:t xml:space="preserve"> Il documento sull'istituzione presidia esplicitamente il punto: nessun istituto della Repubblica è assimilabile al Tribunale del 1926, e ogni uso polemico retroattivo della comparazione esce dal terreno documentato. La stessa disciplina si estende qui alla comparazione internazionale. Accostare una dottrina di politica estera a un tribunale militare permanente contro il nemico interno produce retorica, non conoscenza, e il corpus si è vietato quel genere di produzione fin dalla prima pagina.</w:t>
      </w:r>
    </w:p>
    <w:p>
      <w:pPr>
        <w:spacing w:after="120" w:line="276"/>
        <w:jc w:val="both"/>
      </w:pPr>
      <w:r>
        <w:rPr>
          <w:rFonts w:ascii="Barlow Semi Condensed" w:cs="Barlow Semi Condensed" w:eastAsia="Barlow Semi Condensed" w:hAnsi="Barlow Semi Condensed"/>
          <w:b/>
          <w:bCs/>
          <w:sz w:val="24"/>
          <w:szCs w:val="24"/>
        </w:rPr>
        <w:t xml:space="preserve">1806 · Il vinto nel trattato del 1957.</w:t>
      </w:r>
      <w:r>
        <w:rPr>
          <w:rFonts w:ascii="Barlow Semi Condensed" w:cs="Barlow Semi Condensed" w:eastAsia="Barlow Semi Condensed" w:hAnsi="Barlow Semi Condensed"/>
          <w:sz w:val="24"/>
          <w:szCs w:val="24"/>
        </w:rPr>
        <w:t xml:space="preserve"> Bersaglio dottrinale legittimo, con la sua sede. Il volume del 1957 sull'ordine europeo dopo il 1815 discute la legittimità e il modo in cui un sistema riammette lo sconfitto: è il luogo del corpus kissingeriano dove il tema della clemenza politica potrebbe comparire in forma teorica. Si legga nell'originale e nella tesi dottorale del 1954 conservata negli archivi dell'università di Harvard, e si eviti l'anacronismo denunciato al blocco 76.</w:t>
      </w:r>
    </w:p>
    <w:p>
      <w:pPr>
        <w:spacing w:after="120" w:line="276"/>
        <w:jc w:val="both"/>
      </w:pPr>
      <w:r>
        <w:rPr>
          <w:rFonts w:ascii="Barlow Semi Condensed" w:cs="Barlow Semi Condensed" w:eastAsia="Barlow Semi Condensed" w:hAnsi="Barlow Semi Condensed"/>
          <w:b/>
          <w:bCs/>
          <w:sz w:val="24"/>
          <w:szCs w:val="24"/>
        </w:rPr>
        <w:t xml:space="preserve">1807 · La contemporaneità non è nesso, applicata.</w:t>
      </w:r>
      <w:r>
        <w:rPr>
          <w:rFonts w:ascii="Barlow Semi Condensed" w:cs="Barlow Semi Condensed" w:eastAsia="Barlow Semi Condensed" w:hAnsi="Barlow Semi Condensed"/>
          <w:sz w:val="24"/>
          <w:szCs w:val="24"/>
        </w:rPr>
        <w:t xml:space="preserve"> Il caso più facile della regola, e proprio per questo utile a fissarla. Fra il 1927 e il 1943 vissero contemporaneamente il Tribunale Speciale e il nome triangolato. La coesistenza nel tempo non stabilisce nulla, e qui non stabilisce nulla in modo così evidente che nessuno sarebbe tentato di sostenere il contrario. Le regole vanno esercitate sui casi facili, perché è sui casi difficili che vengono dimenticate.</w:t>
      </w:r>
    </w:p>
    <w:p>
      <w:pPr>
        <w:spacing w:after="120" w:line="276"/>
        <w:jc w:val="both"/>
      </w:pPr>
      <w:r>
        <w:rPr>
          <w:rFonts w:ascii="Barlow Semi Condensed" w:cs="Barlow Semi Condensed" w:eastAsia="Barlow Semi Condensed" w:hAnsi="Barlow Semi Condensed"/>
          <w:b/>
          <w:bCs/>
          <w:sz w:val="24"/>
          <w:szCs w:val="24"/>
        </w:rPr>
        <w:t xml:space="preserve">1808 · Il 21 aprile 1985, cittadino privato.</w:t>
      </w:r>
      <w:r>
        <w:rPr>
          <w:rFonts w:ascii="Barlow Semi Condensed" w:cs="Barlow Semi Condensed" w:eastAsia="Barlow Semi Condensed" w:hAnsi="Barlow Semi Condensed"/>
          <w:sz w:val="24"/>
          <w:szCs w:val="24"/>
        </w:rPr>
        <w:t xml:space="preserve"> Accertamento negativo, di grado A, sulle date già fissate dall'opera. Quando François Mitterrand enunciò il principio davanti al sessantacinquesimo congresso della Ligue des droits de l'homme, il nome triangolato non ricopriva alcuna carica pubblica statunitense: l'incarico di Assistente per la sicurezza nazionale era cessato il 3 novembre 1975, quello di Segretario di Stato il 20 gennaio 1977. Otto anni separano l'ultimo giorno di mandato dal discorso.</w:t>
      </w:r>
    </w:p>
    <w:p>
      <w:pPr>
        <w:spacing w:after="120" w:line="276"/>
        <w:jc w:val="both"/>
      </w:pPr>
      <w:r>
        <w:rPr>
          <w:rFonts w:ascii="Barlow Semi Condensed" w:cs="Barlow Semi Condensed" w:eastAsia="Barlow Semi Condensed" w:hAnsi="Barlow Semi Condensed"/>
          <w:b/>
          <w:bCs/>
          <w:sz w:val="24"/>
          <w:szCs w:val="24"/>
        </w:rPr>
        <w:t xml:space="preserve">1809 · Stato Zero sulla dottrina, con sede.</w:t>
      </w:r>
      <w:r>
        <w:rPr>
          <w:rFonts w:ascii="Barlow Semi Condensed" w:cs="Barlow Semi Condensed" w:eastAsia="Barlow Semi Condensed" w:hAnsi="Barlow Semi Condensed"/>
          <w:sz w:val="24"/>
          <w:szCs w:val="24"/>
        </w:rPr>
        <w:t xml:space="preserve"> Si verbalizza come acquisizione di pieno valore: allo stato non risulta al corpus alcun documento che colleghi il nome triangolato alla formazione, all'applicazione o all'erosione della politica francese del rifugio condizionato. La sede che chiuderebbe l'esito è duplice: il fondo della presidenza della Repubblica François Mitterrand agli Archives nationales, serie AG/5(4), e le serie Italia degli Archives diplomatiques di La Courneuve per il periodo 1985-2023.</w:t>
      </w:r>
    </w:p>
    <w:p>
      <w:pPr>
        <w:spacing w:after="120" w:line="276"/>
        <w:jc w:val="both"/>
      </w:pPr>
      <w:r>
        <w:rPr>
          <w:rFonts w:ascii="Barlow Semi Condensed" w:cs="Barlow Semi Condensed" w:eastAsia="Barlow Semi Condensed" w:hAnsi="Barlow Semi Condensed"/>
          <w:b/>
          <w:bCs/>
          <w:sz w:val="24"/>
          <w:szCs w:val="24"/>
        </w:rPr>
        <w:t xml:space="preserve">1810 · La colonna americana del fascicolo francese.</w:t>
      </w:r>
      <w:r>
        <w:rPr>
          <w:rFonts w:ascii="Barlow Semi Condensed" w:cs="Barlow Semi Condensed" w:eastAsia="Barlow Semi Condensed" w:hAnsi="Barlow Semi Condensed"/>
          <w:sz w:val="24"/>
          <w:szCs w:val="24"/>
        </w:rPr>
        <w:t xml:space="preserve"> Due bersagli già iscritti nel corpus chiedono il fascicolo francese integrale della dottrina, il blocco 140 dell'agenda e il blocco 51 dei nove cantieri: discorso, atti amministrativi sui rifugiati italiani, pareri del Conseil d'État, fino alla parola della Cassazione del 2023. Questa serie vi aggiunge una colonna: la ricerca dichiari se in quelle carte compaia una qualsiasi interlocuzione statunitense, e ne verbalizzi l'esito anche quando sia negativo, che è l'esito atteso.</w:t>
      </w:r>
    </w:p>
    <w:p>
      <w:pPr>
        <w:spacing w:after="120" w:line="276"/>
        <w:jc w:val="both"/>
      </w:pPr>
      <w:r>
        <w:rPr>
          <w:rFonts w:ascii="Barlow Semi Condensed" w:cs="Barlow Semi Condensed" w:eastAsia="Barlow Semi Condensed" w:hAnsi="Barlow Semi Condensed"/>
          <w:b/>
          <w:bCs/>
          <w:sz w:val="24"/>
          <w:szCs w:val="24"/>
        </w:rPr>
        <w:t xml:space="preserve">1811 · Gli atti del sessantacinquesimo congresso.</w:t>
      </w:r>
      <w:r>
        <w:rPr>
          <w:rFonts w:ascii="Barlow Semi Condensed" w:cs="Barlow Semi Condensed" w:eastAsia="Barlow Semi Condensed" w:hAnsi="Barlow Semi Condensed"/>
          <w:sz w:val="24"/>
          <w:szCs w:val="24"/>
        </w:rPr>
        <w:t xml:space="preserve"> Il principio del 1985 fu pronunciato a voce e nessun testo normativo lo recepì mai: la sua fonte primaria è dunque la registrazione o il resoconto congressuale, non la sintesi enciclopedica. Chi voglia riscontrare il verbatim si rivolga agli archivi della Ligue des droits de l'homme e alla stampa francese del 22 aprile 1985. La differenza fra parola pronunciata e parola riportata è, in questa materia, l'intera questione.</w:t>
      </w:r>
    </w:p>
    <w:p>
      <w:pPr>
        <w:spacing w:after="120" w:line="276"/>
        <w:jc w:val="both"/>
      </w:pPr>
      <w:r>
        <w:rPr>
          <w:rFonts w:ascii="Barlow Semi Condensed" w:cs="Barlow Semi Condensed" w:eastAsia="Barlow Semi Condensed" w:hAnsi="Barlow Semi Condensed"/>
          <w:b/>
          <w:bCs/>
          <w:sz w:val="24"/>
          <w:szCs w:val="24"/>
        </w:rPr>
        <w:t xml:space="preserve">1812 · Mulinaris, verbale di vuoto integrale.</w:t>
      </w:r>
      <w:r>
        <w:rPr>
          <w:rFonts w:ascii="Barlow Semi Condensed" w:cs="Barlow Semi Condensed" w:eastAsia="Barlow Semi Condensed" w:hAnsi="Barlow Semi Condensed"/>
          <w:sz w:val="24"/>
          <w:szCs w:val="24"/>
        </w:rPr>
        <w:t xml:space="preserve"> L'affaire censito dal secondo documento — arresto a Udine il 2 febbraio 1982, digiuni, comitato internazionale, assoluzione con formula piena e risarcimento di cento milioni — non contiene alcun elemento statunitense in nessuna delle sue fonti citate. Lo si dichiara come Stato Zero e non come constatazione di irrilevanza. La sede che lo chiuderebbe è l'archivio del procedimento presso la Corte d'assise di Roma e gli atti dell'istruttoria che ne originò.</w:t>
      </w:r>
    </w:p>
    <w:p>
      <w:pPr>
        <w:spacing w:after="120" w:line="276"/>
        <w:jc w:val="both"/>
      </w:pPr>
      <w:r>
        <w:rPr>
          <w:rFonts w:ascii="Barlow Semi Condensed" w:cs="Barlow Semi Condensed" w:eastAsia="Barlow Semi Condensed" w:hAnsi="Barlow Semi Condensed"/>
          <w:b/>
          <w:bCs/>
          <w:sz w:val="24"/>
          <w:szCs w:val="24"/>
        </w:rPr>
        <w:t xml:space="preserve">1813 · La scheda 63262 di Radio Radicale.</w:t>
      </w:r>
      <w:r>
        <w:rPr>
          <w:rFonts w:ascii="Barlow Semi Condensed" w:cs="Barlow Semi Condensed" w:eastAsia="Barlow Semi Condensed" w:hAnsi="Barlow Semi Condensed"/>
          <w:sz w:val="24"/>
          <w:szCs w:val="24"/>
        </w:rPr>
        <w:t xml:space="preserve"> Bersaglio concreto e a costo bassissimo, già indicato dal documento assegnato. La conferenza stampa romana del 22 giugno 1984 sul caso di Vanni Mulinaris, detenuto in attesa di processo, è conservata come registrazione integrale nell'archivio di Radio Radicale con quel numero di scheda. Si ascolti per intero e si verbalizzi se vi compaia una qualsiasi menzione di posizioni statunitensi. Il corpus l'ha finora citata senza averla ascoltata.</w:t>
      </w:r>
    </w:p>
    <w:p>
      <w:pPr>
        <w:spacing w:after="120" w:line="276"/>
        <w:jc w:val="both"/>
      </w:pPr>
      <w:r>
        <w:rPr>
          <w:rFonts w:ascii="Barlow Semi Condensed" w:cs="Barlow Semi Condensed" w:eastAsia="Barlow Semi Condensed" w:hAnsi="Barlow Semi Condensed"/>
          <w:b/>
          <w:bCs/>
          <w:sz w:val="24"/>
          <w:szCs w:val="24"/>
        </w:rPr>
        <w:t xml:space="preserve">1814 · Le carte del comitato dell'Abbé Pierre.</w:t>
      </w:r>
      <w:r>
        <w:rPr>
          <w:rFonts w:ascii="Barlow Semi Condensed" w:cs="Barlow Semi Condensed" w:eastAsia="Barlow Semi Condensed" w:hAnsi="Barlow Semi Condensed"/>
          <w:sz w:val="24"/>
          <w:szCs w:val="24"/>
        </w:rPr>
        <w:t xml:space="preserve"> Il comitato internazionale che si mosse attorno al detenuto fu guidato da una figura pubblica francese di primo piano, e un comitato produce carta: corrispondenza, appelli, rapporti con ministeri e ambasciate. Accertare dove quelle carte giacciano — presso il movimento Emmaüs e il centro che ne conserva la memoria in Normandia — è il preliminare di qualsiasi domanda sul loro contenuto. Prima l'inventario, poi il documento, come prescrive il blocco 287.</w:t>
      </w:r>
    </w:p>
    <w:p>
      <w:pPr>
        <w:spacing w:after="120" w:line="276"/>
        <w:jc w:val="both"/>
      </w:pPr>
      <w:r>
        <w:rPr>
          <w:rFonts w:ascii="Barlow Semi Condensed" w:cs="Barlow Semi Condensed" w:eastAsia="Barlow Semi Condensed" w:hAnsi="Barlow Semi Condensed"/>
          <w:b/>
          <w:bCs/>
          <w:sz w:val="24"/>
          <w:szCs w:val="24"/>
        </w:rPr>
        <w:t xml:space="preserve">1815 · Le note dell'articolo del 2015.</w:t>
      </w:r>
      <w:r>
        <w:rPr>
          <w:rFonts w:ascii="Barlow Semi Condensed" w:cs="Barlow Semi Condensed" w:eastAsia="Barlow Semi Condensed" w:hAnsi="Barlow Semi Condensed"/>
          <w:sz w:val="24"/>
          <w:szCs w:val="24"/>
        </w:rPr>
        <w:t xml:space="preserve"> Il saggio pubblicato in Matériaux pour l'histoire de notre temps definisce la vicenda un'intrigue franco-italienne, ed è la sola trattazione storiografica che il documento assegnato citi. Il bersaglio è il suo apparato di note: quali fondi ha spogliato, quali archivi nomina, se fra essi ne compaia uno statunitense. Un apparato che non ne nomini alcuno è un dato sulla ricerca e non sul mondo, e va scritto in quella forma.</w:t>
      </w:r>
    </w:p>
    <w:p>
      <w:pPr>
        <w:spacing w:after="120" w:line="276"/>
        <w:jc w:val="both"/>
      </w:pPr>
      <w:r>
        <w:rPr>
          <w:rFonts w:ascii="Barlow Semi Condensed" w:cs="Barlow Semi Condensed" w:eastAsia="Barlow Semi Condensed" w:hAnsi="Barlow Semi Condensed"/>
          <w:b/>
          <w:bCs/>
          <w:sz w:val="24"/>
          <w:szCs w:val="24"/>
        </w:rPr>
        <w:t xml:space="preserve">1816 · La nota Grimaud del 24 maggio 1983.</w:t>
      </w:r>
      <w:r>
        <w:rPr>
          <w:rFonts w:ascii="Barlow Semi Condensed" w:cs="Barlow Semi Condensed" w:eastAsia="Barlow Semi Condensed" w:hAnsi="Barlow Semi Condensed"/>
          <w:sz w:val="24"/>
          <w:szCs w:val="24"/>
        </w:rPr>
        <w:t xml:space="preserve"> La verifica C-1 dei nove cantieri ha già localizzato, nel fondo Maurice Grimaud conservato in due sedi fra Sciences Po e gli Archives nationales, una nota del 24 maggio 1983 ai Renseignements généraux che riguarda insieme Mulinaris e Hyperion. È il documento francese più prossimo al territorio di questa serie. Quesito: nomina interlocutori stranieri, e quali. Finché non è letto, nessuna proposizione su ciò che contiene è ammissibile.</w:t>
      </w:r>
    </w:p>
    <w:p>
      <w:pPr>
        <w:spacing w:after="120" w:line="276"/>
        <w:jc w:val="both"/>
      </w:pPr>
      <w:r>
        <w:rPr>
          <w:rFonts w:ascii="Barlow Semi Condensed" w:cs="Barlow Semi Condensed" w:eastAsia="Barlow Semi Condensed" w:hAnsi="Barlow Semi Condensed"/>
          <w:b/>
          <w:bCs/>
          <w:sz w:val="24"/>
          <w:szCs w:val="24"/>
        </w:rPr>
        <w:t xml:space="preserve">1817 · Il 1983, finestra comune e nient'altro.</w:t>
      </w:r>
      <w:r>
        <w:rPr>
          <w:rFonts w:ascii="Barlow Semi Condensed" w:cs="Barlow Semi Condensed" w:eastAsia="Barlow Semi Condensed" w:hAnsi="Barlow Semi Condensed"/>
          <w:sz w:val="24"/>
          <w:szCs w:val="24"/>
        </w:rPr>
        <w:t xml:space="preserve"> Coincidenza cronologica che va nominata perché non venga usata. Nello stesso anno cadono la nota francese su Mulinaris, la fase più acuta dell'affaire e la richiesta informale dei magistrati italiani di ascoltare il nome triangolato. Tre fatti dentro dodici mesi, e nessun documento che ne colleghi due. La coincidenza di finestra è il materiale grezzo di ogni dietrologia: si registra come rumore finché un atto non la trasformi in arco.</w:t>
      </w:r>
    </w:p>
    <w:p>
      <w:pPr>
        <w:spacing w:after="120" w:line="276"/>
        <w:jc w:val="both"/>
      </w:pPr>
      <w:r>
        <w:rPr>
          <w:rFonts w:ascii="Barlow Semi Condensed" w:cs="Barlow Semi Condensed" w:eastAsia="Barlow Semi Condensed" w:hAnsi="Barlow Semi Condensed"/>
          <w:b/>
          <w:bCs/>
          <w:sz w:val="24"/>
          <w:szCs w:val="24"/>
        </w:rPr>
        <w:t xml:space="preserve">1818 · La richiesta informale che non ebbe seguito.</w:t>
      </w:r>
      <w:r>
        <w:rPr>
          <w:rFonts w:ascii="Barlow Semi Condensed" w:cs="Barlow Semi Condensed" w:eastAsia="Barlow Semi Condensed" w:hAnsi="Barlow Semi Condensed"/>
          <w:sz w:val="24"/>
          <w:szCs w:val="24"/>
        </w:rPr>
        <w:t xml:space="preserve"> Qui il corpus possiede un accertamento proprio, ed è l'unico punto in cui il nome triangolato tocca davvero la materia del secondo documento. L'Apparato K registra che Kissinger non fu mai sentito dai magistrati italiani e che la richiesta informale del 1983 non ebbe seguito. Il ponte non è di fatto ma di istituto: è la stessa questione — la voce che non attraversa la frontiera — che governa lo studio sulle pene oltre confine.</w:t>
      </w:r>
    </w:p>
    <w:p>
      <w:pPr>
        <w:spacing w:after="120" w:line="276"/>
        <w:jc w:val="both"/>
      </w:pPr>
      <w:r>
        <w:rPr>
          <w:rFonts w:ascii="Barlow Semi Condensed" w:cs="Barlow Semi Condensed" w:eastAsia="Barlow Semi Condensed" w:hAnsi="Barlow Semi Condensed"/>
          <w:b/>
          <w:bCs/>
          <w:sz w:val="24"/>
          <w:szCs w:val="24"/>
        </w:rPr>
        <w:t xml:space="preserve">1819 · Due voci mai ottenute, statuti opposti.</w:t>
      </w:r>
      <w:r>
        <w:rPr>
          <w:rFonts w:ascii="Barlow Semi Condensed" w:cs="Barlow Semi Condensed" w:eastAsia="Barlow Semi Condensed" w:hAnsi="Barlow Semi Condensed"/>
          <w:sz w:val="24"/>
          <w:szCs w:val="24"/>
        </w:rPr>
        <w:t xml:space="preserve"> La simmetria è reale e l'asimmetria è totale, e vanno dette insieme. Alessio Casimirri non ha mai risposto ad alcuna autorità italiana pur essendo condannato in via definitiva a sei ergastoli in contumacia; il nome triangolato non fu mai sentito perché nessuna autorità aveva alcunché da contestargli. Identico l'esito documentale, opposto il presupposto giuridico. Confondere i due casi significa attribuire una posizione processuale a chi non ne ha mai avuta alcuna.</w:t>
      </w:r>
    </w:p>
    <w:p>
      <w:pPr>
        <w:spacing w:after="120" w:line="276"/>
        <w:jc w:val="both"/>
      </w:pPr>
      <w:r>
        <w:rPr>
          <w:rFonts w:ascii="Barlow Semi Condensed" w:cs="Barlow Semi Condensed" w:eastAsia="Barlow Semi Condensed" w:hAnsi="Barlow Semi Condensed"/>
          <w:b/>
          <w:bCs/>
          <w:sz w:val="24"/>
          <w:szCs w:val="24"/>
        </w:rPr>
        <w:t xml:space="preserve">1820 · La rogatoria conoscitiva e il suo termine.</w:t>
      </w:r>
      <w:r>
        <w:rPr>
          <w:rFonts w:ascii="Barlow Semi Condensed" w:cs="Barlow Semi Condensed" w:eastAsia="Barlow Semi Condensed" w:hAnsi="Barlow Semi Condensed"/>
          <w:sz w:val="24"/>
          <w:szCs w:val="24"/>
        </w:rPr>
        <w:t xml:space="preserve"> Lo strumento che il corpus indica per l'unico mai sentito — la pista P-8 del programma, il blocco 104 dell'agenda, il blocco 835 dei cantieri — è la rogatoria conoscitiva: domande scritte, deposizione all'estero anche senza consegna, esito verbalizzato comunque vada. Per il nome triangolato lo strumento non è più esperibile in alcuna forma. La differenza fra i due bersagli non è di volontà politica: è che uno dei due destinatari è morto.</w:t>
      </w:r>
    </w:p>
    <w:p>
      <w:pPr>
        <w:spacing w:after="120" w:line="276"/>
        <w:jc w:val="both"/>
      </w:pPr>
      <w:r>
        <w:rPr>
          <w:rFonts w:ascii="Barlow Semi Condensed" w:cs="Barlow Semi Condensed" w:eastAsia="Barlow Semi Condensed" w:hAnsi="Barlow Semi Condensed"/>
          <w:b/>
          <w:bCs/>
          <w:sz w:val="24"/>
          <w:szCs w:val="24"/>
        </w:rPr>
        <w:t xml:space="preserve">1821 · Il termine biologico, applicato al teste.</w:t>
      </w:r>
      <w:r>
        <w:rPr>
          <w:rFonts w:ascii="Barlow Semi Condensed" w:cs="Barlow Semi Condensed" w:eastAsia="Barlow Semi Condensed" w:hAnsi="Barlow Semi Condensed"/>
          <w:sz w:val="24"/>
          <w:szCs w:val="24"/>
        </w:rPr>
        <w:t xml:space="preserve"> Il blocco 281 dell'agenda ordina le priorità sul tempo umano: la carta aspetta, le persone no. Applicata a questa serie, la regola produce una constatazione definitiva anziché una priorità. La finestra si è chiusa il 29 novembre 2023, e con essa ogni possibilità di ottenere in forma utilizzabile una parola sul presunto avvertimento, sulle date che oscillano fra 1974, 1976 e 1977, sul luogo che oscilla fra Studio Ovale, Dipartimento di Stato e ambasciata.</w:t>
      </w:r>
    </w:p>
    <w:p>
      <w:pPr>
        <w:spacing w:after="120" w:line="276"/>
        <w:jc w:val="both"/>
      </w:pPr>
      <w:r>
        <w:rPr>
          <w:rFonts w:ascii="Barlow Semi Condensed" w:cs="Barlow Semi Condensed" w:eastAsia="Barlow Semi Condensed" w:hAnsi="Barlow Semi Condensed"/>
          <w:b/>
          <w:bCs/>
          <w:sz w:val="24"/>
          <w:szCs w:val="24"/>
        </w:rPr>
        <w:t xml:space="preserve">1822 · Che cosa resta quando il teste muore.</w:t>
      </w:r>
      <w:r>
        <w:rPr>
          <w:rFonts w:ascii="Barlow Semi Condensed" w:cs="Barlow Semi Condensed" w:eastAsia="Barlow Semi Condensed" w:hAnsi="Barlow Semi Condensed"/>
          <w:sz w:val="24"/>
          <w:szCs w:val="24"/>
        </w:rPr>
        <w:t xml:space="preserve"> Restano le carte, e vanno nominate con lo stato d'accesso di ciascuna. Le principali sono i Henry A. Kissinger Papers presso Manuscripts and Archives della biblioteca dell'università di Yale, il nucleo omonimo alla Manuscript Division della Library of Congress, i memoranda of conversation alla Gerald R. Ford Presidential Library e i fascicoli del Consiglio di sicurezza nazionale ai National Archives di College Park. Nessuna di queste sedi è stata interrogata sul territorio di questa serie.</w:t>
      </w:r>
    </w:p>
    <w:p>
      <w:pPr>
        <w:spacing w:after="120" w:line="276"/>
        <w:jc w:val="both"/>
      </w:pPr>
      <w:r>
        <w:rPr>
          <w:rFonts w:ascii="Barlow Semi Condensed" w:cs="Barlow Semi Condensed" w:eastAsia="Barlow Semi Condensed" w:hAnsi="Barlow Semi Condensed"/>
          <w:b/>
          <w:bCs/>
          <w:sz w:val="24"/>
          <w:szCs w:val="24"/>
        </w:rPr>
        <w:t xml:space="preserve">1823 · Lo stato d'accesso prima dell'esito negativo.</w:t>
      </w:r>
      <w:r>
        <w:rPr>
          <w:rFonts w:ascii="Barlow Semi Condensed" w:cs="Barlow Semi Condensed" w:eastAsia="Barlow Semi Condensed" w:hAnsi="Barlow Semi Condensed"/>
          <w:sz w:val="24"/>
          <w:szCs w:val="24"/>
        </w:rPr>
        <w:t xml:space="preserve"> Precisazione procedurale che questa serie deve al blocco 654. Un fondo soggetto a restrizione temporale non produce Stati Zero: produce inaccessibilità, che è un'altra cosa e si scrive diversamente. Prima di dichiarare vuoto un archivio kissingeriano occorre accertare quali serie siano aperte, a quale data, con quale procedura di richiesta. Un vuoto su tre buste di duecento è un campione; un vuoto su un fondo chiuso non è nemmeno quello.</w:t>
      </w:r>
    </w:p>
    <w:p>
      <w:pPr>
        <w:spacing w:after="120" w:line="276"/>
        <w:jc w:val="both"/>
      </w:pPr>
      <w:r>
        <w:rPr>
          <w:rFonts w:ascii="Barlow Semi Condensed" w:cs="Barlow Semi Condensed" w:eastAsia="Barlow Semi Condensed" w:hAnsi="Barlow Semi Condensed"/>
          <w:b/>
          <w:bCs/>
          <w:sz w:val="24"/>
          <w:szCs w:val="24"/>
        </w:rPr>
        <w:t xml:space="preserve">1824 · Managua 1982 e la commissione del 1983.</w:t>
      </w:r>
      <w:r>
        <w:rPr>
          <w:rFonts w:ascii="Barlow Semi Condensed" w:cs="Barlow Semi Condensed" w:eastAsia="Barlow Semi Condensed" w:hAnsi="Barlow Semi Condensed"/>
          <w:sz w:val="24"/>
          <w:szCs w:val="24"/>
        </w:rPr>
        <w:t xml:space="preserve"> È l'unica sovrapposizione geografica reale fra il nome triangolato e il territorio, e va disinnescata con precisione. Casimirri riparò in Nicaragua nel 1982; nel 1983 il governo statunitense istituì una commissione bipartisan sull'America centrale che risulta presieduta dal nome triangolato, con rapporto reso nel gennaio 1984. Stesso Paese, stessi anni, nessun documento che li nomini insieme. È co-presenza in un teatro, e non arriva neppure al piano due.</w:t>
      </w:r>
    </w:p>
    <w:p>
      <w:pPr>
        <w:spacing w:after="120" w:line="276"/>
        <w:jc w:val="both"/>
      </w:pPr>
      <w:r>
        <w:rPr>
          <w:rFonts w:ascii="Barlow Semi Condensed" w:cs="Barlow Semi Condensed" w:eastAsia="Barlow Semi Condensed" w:hAnsi="Barlow Semi Condensed"/>
          <w:b/>
          <w:bCs/>
          <w:sz w:val="24"/>
          <w:szCs w:val="24"/>
        </w:rPr>
        <w:t xml:space="preserve">1825 · Il rapporto del gennaio 1984, bersaglio.</w:t>
      </w:r>
      <w:r>
        <w:rPr>
          <w:rFonts w:ascii="Barlow Semi Condensed" w:cs="Barlow Semi Condensed" w:eastAsia="Barlow Semi Condensed" w:hAnsi="Barlow Semi Condensed"/>
          <w:sz w:val="24"/>
          <w:szCs w:val="24"/>
        </w:rPr>
        <w:t xml:space="preserve"> Quesito eseguibile, formulato prima di conoscerne l'esito. Si accerti se il rapporto di quella commissione, e le carte preparatorie del suo lavoro, contengano una qualsiasi menzione di latitanti italiani rifugiati in Nicaragua o della cooperazione giudiziaria con Roma. Le sedi da interrogare sono il testo a stampa del rapporto e il fondo dei materiali della commissione, di cui va prima accertato il deposito fra Reagan Library e National Archives.</w:t>
      </w:r>
    </w:p>
    <w:p>
      <w:pPr>
        <w:spacing w:after="120" w:line="276"/>
        <w:jc w:val="both"/>
      </w:pPr>
      <w:r>
        <w:rPr>
          <w:rFonts w:ascii="Barlow Semi Condensed" w:cs="Barlow Semi Condensed" w:eastAsia="Barlow Semi Condensed" w:hAnsi="Barlow Semi Condensed"/>
          <w:b/>
          <w:bCs/>
          <w:sz w:val="24"/>
          <w:szCs w:val="24"/>
        </w:rPr>
        <w:t xml:space="preserve">1826 · L'attesa dichiarata prima di aprire il fondo.</w:t>
      </w:r>
      <w:r>
        <w:rPr>
          <w:rFonts w:ascii="Barlow Semi Condensed" w:cs="Barlow Semi Condensed" w:eastAsia="Barlow Semi Condensed" w:hAnsi="Barlow Semi Condensed"/>
          <w:sz w:val="24"/>
          <w:szCs w:val="24"/>
        </w:rPr>
        <w:t xml:space="preserve"> Si scrive adesso, perché formulata dopo non varrebbe nulla. L'attesa di documenti pertinenti in quel fondo è zero, e la ragione è duplice: una commissione consultiva di politica regionale non tratta per ufficio l'esecuzione di sentenze penali straniere, e le richieste italiane di estradizione erano affare di ministeri e non di commissioni. Se la ricerca restituisse anche un solo documento, la differenza rispetto all'attesa sarebbe l'informazione, e andrebbe misurata come tale.</w:t>
      </w:r>
    </w:p>
    <w:p>
      <w:pPr>
        <w:spacing w:after="120" w:line="276"/>
        <w:jc w:val="both"/>
      </w:pPr>
      <w:r>
        <w:rPr>
          <w:rFonts w:ascii="Barlow Semi Condensed" w:cs="Barlow Semi Condensed" w:eastAsia="Barlow Semi Condensed" w:hAnsi="Barlow Semi Condensed"/>
          <w:b/>
          <w:bCs/>
          <w:sz w:val="24"/>
          <w:szCs w:val="24"/>
        </w:rPr>
        <w:t xml:space="preserve">1827 · La rotta non è filiazione, di nuovo.</w:t>
      </w:r>
      <w:r>
        <w:rPr>
          <w:rFonts w:ascii="Barlow Semi Condensed" w:cs="Barlow Semi Condensed" w:eastAsia="Barlow Semi Condensed" w:hAnsi="Barlow Semi Condensed"/>
          <w:sz w:val="24"/>
          <w:szCs w:val="24"/>
        </w:rPr>
        <w:t xml:space="preserve"> Già il blocco 413 dell'opera aveva chiuso la questione per le rotte verso Cuba e il Nicaragua: che un condannato si trovi in un Paese non fa di quel Paese l'antenato della sua storia. La ventiquattresima serie estende la regola al versante opposto: che una politica statunitense riguardi lo stesso Paese non ne fa un ponte verso il latitante. La geografia collega mappe, non fascicoli, e il quesito resta documentale.</w:t>
      </w:r>
    </w:p>
    <w:p>
      <w:pPr>
        <w:spacing w:after="120" w:line="276"/>
        <w:jc w:val="both"/>
      </w:pPr>
      <w:r>
        <w:rPr>
          <w:rFonts w:ascii="Barlow Semi Condensed" w:cs="Barlow Semi Condensed" w:eastAsia="Barlow Semi Condensed" w:hAnsi="Barlow Semi Condensed"/>
          <w:b/>
          <w:bCs/>
          <w:sz w:val="24"/>
          <w:szCs w:val="24"/>
        </w:rPr>
        <w:t xml:space="preserve">1828 · Berna, dove il nome non compare.</w:t>
      </w:r>
      <w:r>
        <w:rPr>
          <w:rFonts w:ascii="Barlow Semi Condensed" w:cs="Barlow Semi Condensed" w:eastAsia="Barlow Semi Condensed" w:hAnsi="Barlow Semi Condensed"/>
          <w:sz w:val="24"/>
          <w:szCs w:val="24"/>
        </w:rPr>
        <w:t xml:space="preserve"> Seconda geografia del registro, e vi opera una regola di ordinamento anziché una politica: la Svizzera non estrada i propri cittadini senza il loro consenso, e Alvaro Lojacono lo è per parte di madre dal riparo del 1986. Il blocco 144 dell'agenda indica l'Archivio federale di Berna per gli atti amministrativi e i carteggi con Roma. Nessuna ipotesi lega il nome triangolato a quel meccanismo, e nessuna è stata mai avanzata.</w:t>
      </w:r>
    </w:p>
    <w:p>
      <w:pPr>
        <w:spacing w:after="120" w:line="276"/>
        <w:jc w:val="both"/>
      </w:pPr>
      <w:r>
        <w:rPr>
          <w:rFonts w:ascii="Barlow Semi Condensed" w:cs="Barlow Semi Condensed" w:eastAsia="Barlow Semi Condensed" w:hAnsi="Barlow Semi Condensed"/>
          <w:b/>
          <w:bCs/>
          <w:sz w:val="24"/>
          <w:szCs w:val="24"/>
        </w:rPr>
        <w:t xml:space="preserve">1829 · Il Cairo, e una data da precisare.</w:t>
      </w:r>
      <w:r>
        <w:rPr>
          <w:rFonts w:ascii="Barlow Semi Condensed" w:cs="Barlow Semi Condensed" w:eastAsia="Barlow Semi Condensed" w:hAnsi="Barlow Semi Condensed"/>
          <w:sz w:val="24"/>
          <w:szCs w:val="24"/>
        </w:rPr>
        <w:t xml:space="preserve"> Divergenza fra due carte del corpus, da riportare. Lo studio sulle pene oltre confine dice Rita Algranati catturata al Cairo nel 2004 senza giorno; la verifica C-8 dei nove cantieri e il blocco 795 fissano il 14 gennaio 2004. Prevale il dato più preciso, ma la difformità si annota perché il documento assegnato non l'ha recepita. Chi cita la cornice senza la scheda perde una precisione che il corpus aveva già conquistato.</w:t>
      </w:r>
    </w:p>
    <w:p>
      <w:pPr>
        <w:spacing w:after="120" w:line="276"/>
        <w:jc w:val="both"/>
      </w:pPr>
      <w:r>
        <w:rPr>
          <w:rFonts w:ascii="Barlow Semi Condensed" w:cs="Barlow Semi Condensed" w:eastAsia="Barlow Semi Condensed" w:hAnsi="Barlow Semi Condensed"/>
          <w:b/>
          <w:bCs/>
          <w:sz w:val="24"/>
          <w:szCs w:val="24"/>
        </w:rPr>
        <w:t xml:space="preserve">1830 · La regola Algranati, ripetuta per intero.</w:t>
      </w:r>
      <w:r>
        <w:rPr>
          <w:rFonts w:ascii="Barlow Semi Condensed" w:cs="Barlow Semi Condensed" w:eastAsia="Barlow Semi Condensed" w:hAnsi="Barlow Semi Condensed"/>
          <w:sz w:val="24"/>
          <w:szCs w:val="24"/>
        </w:rPr>
        <w:t xml:space="preserve"> Tre verità distinte su una persona sola, e ciascuna al suo posto: assoluzione definitiva per i fatti di via Fani all'esito del Moro ter, condanna per altri fatti della colonna romana, cattura in Egitto e consegna all'Italia. Il blocco 968 dell'opera la chiama prova nei due sensi. Per questa serie vale come misura di rigore: se il corpus rispetta un'assoluzione contro la comodità del racconto, deve rispettare anche un'assenza di procedimento.</w:t>
      </w:r>
    </w:p>
    <w:p>
      <w:pPr>
        <w:spacing w:after="120" w:line="276"/>
        <w:jc w:val="both"/>
      </w:pPr>
      <w:r>
        <w:rPr>
          <w:rFonts w:ascii="Barlow Semi Condensed" w:cs="Barlow Semi Condensed" w:eastAsia="Barlow Semi Condensed" w:hAnsi="Barlow Semi Condensed"/>
          <w:b/>
          <w:bCs/>
          <w:sz w:val="24"/>
          <w:szCs w:val="24"/>
        </w:rPr>
        <w:t xml:space="preserve">1831 · Ombre rosse, perimetro dichiarato.</w:t>
      </w:r>
      <w:r>
        <w:rPr>
          <w:rFonts w:ascii="Barlow Semi Condensed" w:cs="Barlow Semi Condensed" w:eastAsia="Barlow Semi Condensed" w:hAnsi="Barlow Semi Condensed"/>
          <w:sz w:val="24"/>
          <w:szCs w:val="24"/>
        </w:rPr>
        <w:t xml:space="preserve"> L'operazione denominata Ombre rosse è del 28 aprile 2021: sette ex militanti della lotta armata italiana arrestati a Parigi su richiesta di Roma, con altri tre ricercati; il no definitivo della Cassazione francese venne nel marzo 2023. Il documento assegnato precisa che nessuna delle dieci persone appartiene al registro del caso Moro e ne tace i nomi. Questa serie conferma il perimetro e vi aggiunge una riga: in quelle carte non compare alcun elemento statunitense.</w:t>
      </w:r>
    </w:p>
    <w:p>
      <w:pPr>
        <w:spacing w:after="120" w:line="276"/>
        <w:jc w:val="both"/>
      </w:pPr>
      <w:r>
        <w:rPr>
          <w:rFonts w:ascii="Barlow Semi Condensed" w:cs="Barlow Semi Condensed" w:eastAsia="Barlow Semi Condensed" w:hAnsi="Barlow Semi Condensed"/>
          <w:b/>
          <w:bCs/>
          <w:sz w:val="24"/>
          <w:szCs w:val="24"/>
        </w:rPr>
        <w:t xml:space="preserve">1832 · Il no politico e il no giudiziario.</w:t>
      </w:r>
      <w:r>
        <w:rPr>
          <w:rFonts w:ascii="Barlow Semi Condensed" w:cs="Barlow Semi Condensed" w:eastAsia="Barlow Semi Condensed" w:hAnsi="Barlow Semi Condensed"/>
          <w:sz w:val="24"/>
          <w:szCs w:val="24"/>
        </w:rPr>
        <w:t xml:space="preserve"> Distinzione ricavata dall'epilogo del secondo documento, e trasferibile altrove. Nel 2021 la Francia accettò di procedere, e la protezione politica finì. Nel 2023 le corti negarono comunque le consegne, per ragioni proprie relative al radicamento di vite ormai francesi e alle garanzie dei processi celebrati in contumacia. Quando cadde la politica restò il diritto, e il diritto disse no per motivi suoi. Confondere i due dinieghi significa non aver visto che cosa cambiò fra le due date.</w:t>
      </w:r>
    </w:p>
    <w:p>
      <w:pPr>
        <w:spacing w:after="120" w:line="276"/>
        <w:jc w:val="both"/>
      </w:pPr>
      <w:r>
        <w:rPr>
          <w:rFonts w:ascii="Barlow Semi Condensed" w:cs="Barlow Semi Condensed" w:eastAsia="Barlow Semi Condensed" w:hAnsi="Barlow Semi Condensed"/>
          <w:b/>
          <w:bCs/>
          <w:sz w:val="24"/>
          <w:szCs w:val="24"/>
        </w:rPr>
        <w:t xml:space="preserve">1833 · Il meccanismo che non fu attivato.</w:t>
      </w:r>
      <w:r>
        <w:rPr>
          <w:rFonts w:ascii="Barlow Semi Condensed" w:cs="Barlow Semi Condensed" w:eastAsia="Barlow Semi Condensed" w:hAnsi="Barlow Semi Condensed"/>
          <w:sz w:val="24"/>
          <w:szCs w:val="24"/>
        </w:rPr>
        <w:t xml:space="preserve"> Il quarto meccanismo della tavola delle geografie è la cooperazione fra Stati, che produce l'effetto opposto agli altri tre: dove lo Stato ospite coopera, il ricercato viene consegnato. Sul versante di questa triangolazione manca il presupposto stesso del meccanismo. Non risulta che l'Italia abbia mai formulato una richiesta formale di assistenza giudiziaria agli Stati Uniti sul punto: la richiesta del 1983 è registrata come informale, e come tale morì.</w:t>
      </w:r>
    </w:p>
    <w:p>
      <w:pPr>
        <w:spacing w:after="120" w:line="276"/>
        <w:jc w:val="both"/>
      </w:pPr>
      <w:r>
        <w:rPr>
          <w:rFonts w:ascii="Barlow Semi Condensed" w:cs="Barlow Semi Condensed" w:eastAsia="Barlow Semi Condensed" w:hAnsi="Barlow Semi Condensed"/>
          <w:b/>
          <w:bCs/>
          <w:sz w:val="24"/>
          <w:szCs w:val="24"/>
        </w:rPr>
        <w:t xml:space="preserve">1834 · L'asilo è atto di chi lo concede.</w:t>
      </w:r>
      <w:r>
        <w:rPr>
          <w:rFonts w:ascii="Barlow Semi Condensed" w:cs="Barlow Semi Condensed" w:eastAsia="Barlow Semi Condensed" w:hAnsi="Barlow Semi Condensed"/>
          <w:sz w:val="24"/>
          <w:szCs w:val="24"/>
        </w:rPr>
        <w:t xml:space="preserve"> Primo presidio del documento assegnato, applicato. L'asilo non aggrava né attenua la posizione di chi lo riceve, e della mancata esecuzione risponde lo Stato che la impedisce secondo il proprio ordinamento. Il nome triangolato non chiese né ottenne asilo da alcuno, non essendo ricercato da alcuno: visse e morì nel proprio Paese di cittadinanza. Il presidio, applicato qui, non protegge nessuno perché non c'è nulla da proteggere.</w:t>
      </w:r>
    </w:p>
    <w:p>
      <w:pPr>
        <w:spacing w:after="120" w:line="276"/>
        <w:jc w:val="both"/>
      </w:pPr>
      <w:r>
        <w:rPr>
          <w:rFonts w:ascii="Barlow Semi Condensed" w:cs="Barlow Semi Condensed" w:eastAsia="Barlow Semi Condensed" w:hAnsi="Barlow Semi Condensed"/>
          <w:b/>
          <w:bCs/>
          <w:sz w:val="24"/>
          <w:szCs w:val="24"/>
        </w:rPr>
        <w:t xml:space="preserve">1835 · Né la dottrina né l'assenza.</w:t>
      </w:r>
      <w:r>
        <w:rPr>
          <w:rFonts w:ascii="Barlow Semi Condensed" w:cs="Barlow Semi Condensed" w:eastAsia="Barlow Semi Condensed" w:hAnsi="Barlow Semi Condensed"/>
          <w:sz w:val="24"/>
          <w:szCs w:val="24"/>
        </w:rPr>
        <w:t xml:space="preserve"> Secondo presidio, esteso. Essere stati protetti dalla politica francese del rifugio non rendeva più colpevoli né più innocenti: rendeva non raggiunti. Per simmetria, non essere mai stati imputati non è una prova di innocenza né un indizio di protezione: è l'assenza dell'atto che darebbe origine a un giudizio. La serie tiene ferme entrambe le direzioni, perché la seconda è quella che il dibattito pubblico manipola con maggiore facilità.</w:t>
      </w:r>
    </w:p>
    <w:p>
      <w:pPr>
        <w:spacing w:after="120" w:line="276"/>
        <w:jc w:val="both"/>
      </w:pPr>
      <w:r>
        <w:rPr>
          <w:rFonts w:ascii="Barlow Semi Condensed" w:cs="Barlow Semi Condensed" w:eastAsia="Barlow Semi Condensed" w:hAnsi="Barlow Semi Condensed"/>
          <w:b/>
          <w:bCs/>
          <w:sz w:val="24"/>
          <w:szCs w:val="24"/>
        </w:rPr>
        <w:t xml:space="preserve">1836 · Un principio senza oggetto.</w:t>
      </w:r>
      <w:r>
        <w:rPr>
          <w:rFonts w:ascii="Barlow Semi Condensed" w:cs="Barlow Semi Condensed" w:eastAsia="Barlow Semi Condensed" w:hAnsi="Barlow Semi Condensed"/>
          <w:sz w:val="24"/>
          <w:szCs w:val="24"/>
        </w:rPr>
        <w:t xml:space="preserve"> Terzo presidio: le sentenze non hanno passaporto, l'esecuzione sì. È il cuore dello studio assegnato e qui non ha materia. Non esiste sentenza da eseguire, non esiste condanna da onorare oltre frontiera, non esiste assoluzione da rispettare. L'applicazione è nulla, e dirlo non è una formalità: un principio che non trova oggetto va dichiarato inapplicabile, altrimenti qualcuno lo applicherà lo stesso e ne ricaverà una conclusione che il principio non contiene.</w:t>
      </w:r>
    </w:p>
    <w:p>
      <w:pPr>
        <w:spacing w:after="120" w:line="276"/>
        <w:jc w:val="both"/>
      </w:pPr>
      <w:r>
        <w:rPr>
          <w:rFonts w:ascii="Barlow Semi Condensed" w:cs="Barlow Semi Condensed" w:eastAsia="Barlow Semi Condensed" w:hAnsi="Barlow Semi Condensed"/>
          <w:b/>
          <w:bCs/>
          <w:sz w:val="24"/>
          <w:szCs w:val="24"/>
        </w:rPr>
        <w:t xml:space="preserve">1837 · Kent, Connecticut, non è una latitanza.</w:t>
      </w:r>
      <w:r>
        <w:rPr>
          <w:rFonts w:ascii="Barlow Semi Condensed" w:cs="Barlow Semi Condensed" w:eastAsia="Barlow Semi Condensed" w:hAnsi="Barlow Semi Condensed"/>
          <w:sz w:val="24"/>
          <w:szCs w:val="24"/>
        </w:rPr>
        <w:t xml:space="preserve"> Quarto presidio: la geografia non è gerarchia morale. Chi fu catturato non è più colpevole di chi non lo fu mai, e chi morì nella propria casa non è per ciò stesso al riparo da qualcosa. Il nome triangolato morì il 29 novembre 2023 a Kent, nel Connecticut, senza essere stato mai ricercato da nessuno. Descrivere quella residenza come rifugio significherebbe presupporre un procedimento che non è mai esistito.</w:t>
      </w:r>
    </w:p>
    <w:p>
      <w:pPr>
        <w:spacing w:after="120" w:line="276"/>
        <w:jc w:val="both"/>
      </w:pPr>
      <w:r>
        <w:rPr>
          <w:rFonts w:ascii="Barlow Semi Condensed" w:cs="Barlow Semi Condensed" w:eastAsia="Barlow Semi Condensed" w:hAnsi="Barlow Semi Condensed"/>
          <w:b/>
          <w:bCs/>
          <w:sz w:val="24"/>
          <w:szCs w:val="24"/>
        </w:rPr>
        <w:t xml:space="preserve">1838 · Nessun nome oltre il necessario.</w:t>
      </w:r>
      <w:r>
        <w:rPr>
          <w:rFonts w:ascii="Barlow Semi Condensed" w:cs="Barlow Semi Condensed" w:eastAsia="Barlow Semi Condensed" w:hAnsi="Barlow Semi Condensed"/>
          <w:sz w:val="24"/>
          <w:szCs w:val="24"/>
        </w:rPr>
        <w:t xml:space="preserve"> Quinto presidio, il più semplice e il più violato. I dieci dell'epilogo francese hanno nomi pubblici e restano fuori da queste pagine, perché i loro fascicoli riguardano altri fatti con altri giudicati. I cinquantasette dell'elenco bolognese entrano soltanto per la vicenda per cui l'archivio li censisce. E il nome triangolato compare come soggetto di atti pubblici, mai come predicato di colpe: è la stessa economia dei nomi in tre direzioni.</w:t>
      </w:r>
    </w:p>
    <w:p>
      <w:pPr>
        <w:spacing w:after="120" w:line="276"/>
        <w:jc w:val="both"/>
      </w:pPr>
      <w:r>
        <w:rPr>
          <w:rFonts w:ascii="Barlow Semi Condensed" w:cs="Barlow Semi Condensed" w:eastAsia="Barlow Semi Condensed" w:hAnsi="Barlow Semi Condensed"/>
          <w:b/>
          <w:bCs/>
          <w:sz w:val="24"/>
          <w:szCs w:val="24"/>
        </w:rPr>
        <w:t xml:space="preserve">1839 · Quattro stati che non si equivalgono.</w:t>
      </w:r>
      <w:r>
        <w:rPr>
          <w:rFonts w:ascii="Barlow Semi Condensed" w:cs="Barlow Semi Condensed" w:eastAsia="Barlow Semi Condensed" w:hAnsi="Barlow Semi Condensed"/>
          <w:sz w:val="24"/>
          <w:szCs w:val="24"/>
        </w:rPr>
        <w:t xml:space="preserve"> Presidio aggiuntivo, proprio di questa serie, perché il territorio confonde continuamente le posizioni. Non raggiunto significa condannato la cui pena non è eseguibile; non giudicato significa che un procedimento non c'è mai stato; assolto significa che c'è stato ed è finito con formula liberatoria; colpevole significa che c'è stato ed è finito con condanna definitiva. Quattro stati giuridici distinti, e il documento sulle pene oltre confine ne contiene tre su quattro.</w:t>
      </w:r>
    </w:p>
    <w:p>
      <w:pPr>
        <w:spacing w:after="120" w:line="276"/>
        <w:jc w:val="both"/>
      </w:pPr>
      <w:r>
        <w:rPr>
          <w:rFonts w:ascii="Barlow Semi Condensed" w:cs="Barlow Semi Condensed" w:eastAsia="Barlow Semi Condensed" w:hAnsi="Barlow Semi Condensed"/>
          <w:b/>
          <w:bCs/>
          <w:sz w:val="24"/>
          <w:szCs w:val="24"/>
        </w:rPr>
        <w:t xml:space="preserve">1840 · L'errore che questa serie impedisce.</w:t>
      </w:r>
      <w:r>
        <w:rPr>
          <w:rFonts w:ascii="Barlow Semi Condensed" w:cs="Barlow Semi Condensed" w:eastAsia="Barlow Semi Condensed" w:hAnsi="Barlow Semi Condensed"/>
          <w:sz w:val="24"/>
          <w:szCs w:val="24"/>
        </w:rPr>
        <w:t xml:space="preserve"> Il rischio specifico del territorio è una sola inferenza, e va nominata per renderla riconoscibile. Chi legge di condanne mai eseguite oltre confine è portato a leggere ogni mancata esecuzione come protezione, e da lì ogni assenza di processo come impunità organizzata. Il passaggio è retorico e non documentale: richiede di supporre l'accertamento che manca. Il corpus si ferma al giudicato proprio per non compiere quel passo, e questa serie lo compie meno delle altre.</w:t>
      </w:r>
    </w:p>
    <w:p>
      <w:pPr>
        <w:spacing w:after="120" w:line="276"/>
        <w:jc w:val="both"/>
      </w:pPr>
      <w:r>
        <w:rPr>
          <w:rFonts w:ascii="Barlow Semi Condensed" w:cs="Barlow Semi Condensed" w:eastAsia="Barlow Semi Condensed" w:hAnsi="Barlow Semi Condensed"/>
          <w:b/>
          <w:bCs/>
          <w:sz w:val="24"/>
          <w:szCs w:val="24"/>
        </w:rPr>
        <w:t xml:space="preserve">1841 · Che cosa smentirebbe la serie intera.</w:t>
      </w:r>
      <w:r>
        <w:rPr>
          <w:rFonts w:ascii="Barlow Semi Condensed" w:cs="Barlow Semi Condensed" w:eastAsia="Barlow Semi Condensed" w:hAnsi="Barlow Semi Condensed"/>
          <w:sz w:val="24"/>
          <w:szCs w:val="24"/>
        </w:rPr>
        <w:t xml:space="preserve"> Un solo documento la rovescerebbe: un atto di provenienza — nota diplomatica, verbale, corrispondenza ministeriale — che nomini insieme il nome triangolato e una delle vicende del territorio, dall'amnistia del decennale alle decisioni francesi sui rifugiati italiani. Non un'affermazione che li accosti: un atto che li nomini. Se esiste, questa serie ha torto e va riscritta. Se non esiste, gli Stati Zero qui verbalizzati restano acquisizioni, non prudenze.</w:t>
      </w:r>
    </w:p>
    <w:p>
      <w:pPr>
        <w:spacing w:after="120" w:line="276"/>
        <w:jc w:val="both"/>
      </w:pPr>
      <w:r>
        <w:rPr>
          <w:rFonts w:ascii="Barlow Semi Condensed" w:cs="Barlow Semi Condensed" w:eastAsia="Barlow Semi Condensed" w:hAnsi="Barlow Semi Condensed"/>
          <w:b/>
          <w:bCs/>
          <w:sz w:val="24"/>
          <w:szCs w:val="24"/>
        </w:rPr>
        <w:t xml:space="preserve">1842 · Il ponte impossibile con gli amnistiati.</w:t>
      </w:r>
      <w:r>
        <w:rPr>
          <w:rFonts w:ascii="Barlow Semi Condensed" w:cs="Barlow Semi Condensed" w:eastAsia="Barlow Semi Condensed" w:hAnsi="Barlow Semi Condensed"/>
          <w:sz w:val="24"/>
          <w:szCs w:val="24"/>
        </w:rPr>
        <w:t xml:space="preserve"> Il test si scrive anche quando è già chiuso dall'anagrafe, perché un test non enunciato non vale. Proverebbe un rapporto diretto un documento che collochi il nome triangolato in relazione con l'istituzione romana, con un suo giudice o con un suo condannato, prima del luglio 1943. Il nome apparteneva allora a un minorenne emigrato. La probabilità non è bassa: è nulla, e il blocco lo dichiara come esito e non come impressione.</w:t>
      </w:r>
    </w:p>
    <w:p>
      <w:pPr>
        <w:spacing w:after="120" w:line="276"/>
        <w:jc w:val="both"/>
      </w:pPr>
      <w:r>
        <w:rPr>
          <w:rFonts w:ascii="Barlow Semi Condensed" w:cs="Barlow Semi Condensed" w:eastAsia="Barlow Semi Condensed" w:hAnsi="Barlow Semi Condensed"/>
          <w:b/>
          <w:bCs/>
          <w:sz w:val="24"/>
          <w:szCs w:val="24"/>
        </w:rPr>
        <w:t xml:space="preserve">1843 · Il ponte che proverebbe la dottrina.</w:t>
      </w:r>
      <w:r>
        <w:rPr>
          <w:rFonts w:ascii="Barlow Semi Condensed" w:cs="Barlow Semi Condensed" w:eastAsia="Barlow Semi Condensed" w:hAnsi="Barlow Semi Condensed"/>
          <w:sz w:val="24"/>
          <w:szCs w:val="24"/>
        </w:rPr>
        <w:t xml:space="preserve"> Sul versante francese il test è meno banale e va scritto in forma operativa. Proverebbe un rapporto diretto una carta, dell'Eliseo o del Quai d'Orsay o del Dipartimento di Stato, che registri un'interlocuzione del nome triangolato sulla politica di rifugio ai condannati italiani, fra il 1985 e il 2001. La finestra è dichiarata, le stringhe da cercare comprendono le forme del cognome con e senza iniziale, e l'esito atteso è negativo.</w:t>
      </w:r>
    </w:p>
    <w:p>
      <w:pPr>
        <w:spacing w:after="120" w:line="276"/>
        <w:jc w:val="both"/>
      </w:pPr>
      <w:r>
        <w:rPr>
          <w:rFonts w:ascii="Barlow Semi Condensed" w:cs="Barlow Semi Condensed" w:eastAsia="Barlow Semi Condensed" w:hAnsi="Barlow Semi Condensed"/>
          <w:b/>
          <w:bCs/>
          <w:sz w:val="24"/>
          <w:szCs w:val="24"/>
        </w:rPr>
        <w:t xml:space="preserve">1844 · Il ponte che proverebbe l'affaire.</w:t>
      </w:r>
      <w:r>
        <w:rPr>
          <w:rFonts w:ascii="Barlow Semi Condensed" w:cs="Barlow Semi Condensed" w:eastAsia="Barlow Semi Condensed" w:hAnsi="Barlow Semi Condensed"/>
          <w:sz w:val="24"/>
          <w:szCs w:val="24"/>
        </w:rPr>
        <w:t xml:space="preserve"> Terzo test, sull'episodio del 1982-1986. Proverebbe un rapporto diretto un atto che documenti un interessamento statunitense al caso del detenuto poi assolto: una nota d'ambasciata, un rapporto consolare, una corrispondenza fra apparati. Il caso ebbe rilievo internazionale e generò attrito bilaterale franco-italiano, dunque l'attesa di documentazione diplomatica non è irragionevole; l'attesa che vi compaia questo nome, cittadino privato da cinque anni, è invece prossima allo zero.</w:t>
      </w:r>
    </w:p>
    <w:p>
      <w:pPr>
        <w:spacing w:after="120" w:line="276"/>
        <w:jc w:val="both"/>
      </w:pPr>
      <w:r>
        <w:rPr>
          <w:rFonts w:ascii="Barlow Semi Condensed" w:cs="Barlow Semi Condensed" w:eastAsia="Barlow Semi Condensed" w:hAnsi="Barlow Semi Condensed"/>
          <w:b/>
          <w:bCs/>
          <w:sz w:val="24"/>
          <w:szCs w:val="24"/>
        </w:rPr>
        <w:t xml:space="preserve">1845 · Le richieste giudiziarie estere, piano tre.</w:t>
      </w:r>
      <w:r>
        <w:rPr>
          <w:rFonts w:ascii="Barlow Semi Condensed" w:cs="Barlow Semi Condensed" w:eastAsia="Barlow Semi Condensed" w:hAnsi="Barlow Semi Condensed"/>
          <w:sz w:val="24"/>
          <w:szCs w:val="24"/>
        </w:rPr>
        <w:t xml:space="preserve"> Circola l'affermazione che magistrati di più Paesi abbiano cercato di ascoltarlo come testimone all'inizio degli anni Duemila su vicende latinoamericane. Il corpus non l'ha riscontrata su atti e la registra al piano tre, cioè come affermazione terziaria priva di riscontro in questa sede. La chiuderebbero i registri dei giudici istruttori competenti e gli atti di rogatoria eventualmente trasmessi. Anche se fosse confermata, riguarderebbe un teste: la posizione resta quella di chi non fu mai imputato.</w:t>
      </w:r>
    </w:p>
    <w:p>
      <w:pPr>
        <w:spacing w:after="120" w:line="276"/>
        <w:jc w:val="both"/>
      </w:pPr>
      <w:r>
        <w:rPr>
          <w:rFonts w:ascii="Barlow Semi Condensed" w:cs="Barlow Semi Condensed" w:eastAsia="Barlow Semi Condensed" w:hAnsi="Barlow Semi Condensed"/>
          <w:b/>
          <w:bCs/>
          <w:sz w:val="24"/>
          <w:szCs w:val="24"/>
        </w:rPr>
        <w:t xml:space="preserve">1846 · Le fonti escluse, verifica a costo zero.</w:t>
      </w:r>
      <w:r>
        <w:rPr>
          <w:rFonts w:ascii="Barlow Semi Condensed" w:cs="Barlow Semi Condensed" w:eastAsia="Barlow Semi Condensed" w:hAnsi="Barlow Semi Condensed"/>
          <w:sz w:val="24"/>
          <w:szCs w:val="24"/>
        </w:rPr>
        <w:t xml:space="preserve"> Controllo eseguito e da registrare, perché un divieto verificato vale più di un divieto ripetuto. Nessuna delle due fonti escluse per direttiva del committente compare nelle bibliografie dei due documenti assegnati: l'elenco bolognese cita l'archivio Storia e Memoria di Bologna, lo studio sulle frontiere cita agenzie di stampa, quotidiani, una rivista storiografica francese e un archivio radiofonico. L'esclusione, su questo territorio, non ha alcun costo documentale.</w:t>
      </w:r>
    </w:p>
    <w:p>
      <w:pPr>
        <w:spacing w:after="120" w:line="276"/>
        <w:jc w:val="both"/>
      </w:pPr>
      <w:r>
        <w:rPr>
          <w:rFonts w:ascii="Barlow Semi Condensed" w:cs="Barlow Semi Condensed" w:eastAsia="Barlow Semi Condensed" w:hAnsi="Barlow Semi Condensed"/>
          <w:b/>
          <w:bCs/>
          <w:sz w:val="24"/>
          <w:szCs w:val="24"/>
        </w:rPr>
        <w:t xml:space="preserve">1847 · La replicazione non aggiunge valore.</w:t>
      </w:r>
      <w:r>
        <w:rPr>
          <w:rFonts w:ascii="Barlow Semi Condensed" w:cs="Barlow Semi Condensed" w:eastAsia="Barlow Semi Condensed" w:hAnsi="Barlow Semi Condensed"/>
          <w:sz w:val="24"/>
          <w:szCs w:val="24"/>
        </w:rPr>
        <w:t xml:space="preserve"> La lezione più esportabile dell'Apparato K si applica anche qui, in senso preventivo. Sull'episodio del presunto avvertimento la moltiplicazione delle fonti è apparente e risale a un unico lancio d'agenzia del 30 novembre 2023. Se un giorno qualcuno accosterà questo nome al territorio delle pene oltre confine, quel racconto si diffonderà per replicazione e non per documento. Chi trovi la stessa frase in venti sedi ne conti una sola.</w:t>
      </w:r>
    </w:p>
    <w:p>
      <w:pPr>
        <w:spacing w:after="120" w:line="276"/>
        <w:jc w:val="both"/>
      </w:pPr>
      <w:r>
        <w:rPr>
          <w:rFonts w:ascii="Barlow Semi Condensed" w:cs="Barlow Semi Condensed" w:eastAsia="Barlow Semi Condensed" w:hAnsi="Barlow Semi Condensed"/>
          <w:b/>
          <w:bCs/>
          <w:sz w:val="24"/>
          <w:szCs w:val="24"/>
        </w:rPr>
        <w:t xml:space="preserve">1848 · Il bilancio della serie, in cifre.</w:t>
      </w:r>
      <w:r>
        <w:rPr>
          <w:rFonts w:ascii="Barlow Semi Condensed" w:cs="Barlow Semi Condensed" w:eastAsia="Barlow Semi Condensed" w:hAnsi="Barlow Semi Condensed"/>
          <w:sz w:val="24"/>
          <w:szCs w:val="24"/>
        </w:rPr>
        <w:t xml:space="preserve"> Contabilità dichiarata, come esige il blocco 284 dell'agenda. Su settantacinque blocchi la serie registra un solo elemento di piano uno, ed è la richiesta informale del 1983 rimasta senza seguito, che è un ponte di istituto e non di fatto. Nessuna convergenza di piano due è stata promossa; una sola affermazione di piano tre è stata qualificata; il resto sono Stati Zero, regole di lettura, quesiti d'archivio e bersagli di smentita.</w:t>
      </w:r>
    </w:p>
    <w:p>
      <w:pPr>
        <w:spacing w:after="120" w:line="276"/>
        <w:jc w:val="both"/>
      </w:pPr>
      <w:r>
        <w:rPr>
          <w:rFonts w:ascii="Barlow Semi Condensed" w:cs="Barlow Semi Condensed" w:eastAsia="Barlow Semi Condensed" w:hAnsi="Barlow Semi Condensed"/>
          <w:b/>
          <w:bCs/>
          <w:sz w:val="24"/>
          <w:szCs w:val="24"/>
        </w:rPr>
        <w:t xml:space="preserve">1849 · Il modulo del verbale di vuoto.</w:t>
      </w:r>
      <w:r>
        <w:rPr>
          <w:rFonts w:ascii="Barlow Semi Condensed" w:cs="Barlow Semi Condensed" w:eastAsia="Barlow Semi Condensed" w:hAnsi="Barlow Semi Condensed"/>
          <w:sz w:val="24"/>
          <w:szCs w:val="24"/>
        </w:rPr>
        <w:t xml:space="preserve"> Ogni esito negativo di questa serie va ripreso nella forma che il blocco 285 dell'agenda impone e che il blocco 651 dell'opera ha reso obbligatoria: che cosa è stato cercato, dove, quando, da chi, con quale perimetro cronologico e seriale, con quali varianti della stringa. Senza quelle voci un vuoto non è falsificabile da un terzo, e ciò che non è falsificabile da un terzo non entra in questo corpus.</w:t>
      </w:r>
    </w:p>
    <w:p>
      <w:pPr>
        <w:spacing w:after="120" w:line="276"/>
        <w:jc w:val="both"/>
      </w:pPr>
      <w:r>
        <w:rPr>
          <w:rFonts w:ascii="Barlow Semi Condensed" w:cs="Barlow Semi Condensed" w:eastAsia="Barlow Semi Condensed" w:hAnsi="Barlow Semi Condensed"/>
          <w:b/>
          <w:bCs/>
          <w:sz w:val="24"/>
          <w:szCs w:val="24"/>
        </w:rPr>
        <w:t xml:space="preserve">1850 · La differenza, ancora una volta.</w:t>
      </w:r>
      <w:r>
        <w:rPr>
          <w:rFonts w:ascii="Barlow Semi Condensed" w:cs="Barlow Semi Condensed" w:eastAsia="Barlow Semi Condensed" w:hAnsi="Barlow Semi Condensed"/>
          <w:sz w:val="24"/>
          <w:szCs w:val="24"/>
        </w:rPr>
        <w:t xml:space="preserve"> Il territorio assegnato racconta due modi di trattare i nemici: uno Stato che nel 1926 si diede un tribunale su misura e poi ne graziò a comando le vittime, e una Repubblica che ha chiesto le consegne nelle forme del diritto e ha perso spesso senza mai prendere. Fra le due cose sta tutto ciò che questa serie difende. Il nome triangolato non appartiene a nessuna delle due storie, e il registro dei nomi resta chiuso.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venticinquesima — Le questioni aperte</w:t>
      </w:r>
    </w:p>
    <w:p>
      <w:pPr>
        <w:spacing w:after="120" w:line="276"/>
        <w:jc w:val="both"/>
      </w:pPr>
      <w:r>
        <w:rPr>
          <w:rFonts w:ascii="Barlow Semi Condensed" w:cs="Barlow Semi Condensed" w:eastAsia="Barlow Semi Condensed" w:hAnsi="Barlow Semi Condensed"/>
          <w:i/>
          <w:iCs/>
          <w:sz w:val="24"/>
          <w:szCs w:val="24"/>
        </w:rPr>
        <w:t xml:space="preserve">Blocchi 1851-1925.</w:t>
      </w:r>
    </w:p>
    <w:p>
      <w:pPr>
        <w:spacing w:after="120" w:line="276"/>
        <w:jc w:val="both"/>
      </w:pPr>
      <w:r>
        <w:rPr>
          <w:rFonts w:ascii="Barlow Semi Condensed" w:cs="Barlow Semi Condensed" w:eastAsia="Barlow Semi Condensed" w:hAnsi="Barlow Semi Condensed"/>
          <w:b/>
          <w:bCs/>
          <w:sz w:val="24"/>
          <w:szCs w:val="24"/>
        </w:rPr>
        <w:t xml:space="preserve">1851 · Densità uno nel territorio.</w:t>
      </w:r>
      <w:r>
        <w:rPr>
          <w:rFonts w:ascii="Barlow Semi Condensed" w:cs="Barlow Semi Condensed" w:eastAsia="Barlow Semi Condensed" w:hAnsi="Barlow Semi Condensed"/>
          <w:sz w:val="24"/>
          <w:szCs w:val="24"/>
        </w:rPr>
        <w:t xml:space="preserve"> Nel documento «aldo-moro-una-guerra-senza-fine-parte-terza.md» il nome ricorre una sola volta, al paragrafo nono del Movimento secondo, dentro l'inciso «sempre smentito da Kissinger». Il dato è di grado A sul territorio e non sul mondo: misura quanto se ne è scritto, non quanto abbia pesato. Prima di qualunque lettura va fissato questo conteggio, perché ogni bersaglio che segue lavora su un'occorrenza sola.</w:t>
      </w:r>
    </w:p>
    <w:p>
      <w:pPr>
        <w:spacing w:after="120" w:line="276"/>
        <w:jc w:val="both"/>
      </w:pPr>
      <w:r>
        <w:rPr>
          <w:rFonts w:ascii="Barlow Semi Condensed" w:cs="Barlow Semi Condensed" w:eastAsia="Barlow Semi Condensed" w:hAnsi="Barlow Semi Condensed"/>
          <w:b/>
          <w:bCs/>
          <w:sz w:val="24"/>
          <w:szCs w:val="24"/>
        </w:rPr>
        <w:t xml:space="preserve">1852 · Il paragrafo nono è tutto il perimetro.</w:t>
      </w:r>
      <w:r>
        <w:rPr>
          <w:rFonts w:ascii="Barlow Semi Condensed" w:cs="Barlow Semi Condensed" w:eastAsia="Barlow Semi Condensed" w:hAnsi="Barlow Semi Condensed"/>
          <w:sz w:val="24"/>
          <w:szCs w:val="24"/>
        </w:rPr>
        <w:t xml:space="preserve"> «Il quadro internazionale» costituisce l'intera superficie disponibile alla triangolazione: quattordici paragrafi compongono la parte terza, tredici non contengono il nome. Ne discende una conseguenza operativa, non retorica. Fuori da quel paragrafo la serie non può cercare rapporti né convergenze: può soltanto verbalizzare assenze, ciascuna con la sede che la chiuderebbe. È il caso limite in cui il territorio impone la forma del risultato.</w:t>
      </w:r>
    </w:p>
    <w:p>
      <w:pPr>
        <w:spacing w:after="120" w:line="276"/>
        <w:jc w:val="both"/>
      </w:pPr>
      <w:r>
        <w:rPr>
          <w:rFonts w:ascii="Barlow Semi Condensed" w:cs="Barlow Semi Condensed" w:eastAsia="Barlow Semi Condensed" w:hAnsi="Barlow Semi Condensed"/>
          <w:b/>
          <w:bCs/>
          <w:sz w:val="24"/>
          <w:szCs w:val="24"/>
        </w:rPr>
        <w:t xml:space="preserve">1853 · La forma sintattica della menzione.</w:t>
      </w:r>
      <w:r>
        <w:rPr>
          <w:rFonts w:ascii="Barlow Semi Condensed" w:cs="Barlow Semi Condensed" w:eastAsia="Barlow Semi Condensed" w:hAnsi="Barlow Semi Condensed"/>
          <w:sz w:val="24"/>
          <w:szCs w:val="24"/>
        </w:rPr>
        <w:t xml:space="preserve"> La menzione non regge alcuna proposizione autonoma: compare come participio in coda a una frase il cui soggetto è l'avvertimento riferito da Corrado Guerzoni. Il nome vi entra come autore di una smentita, non come titolare di una condotta. Registrarlo è un accertamento filologico di grado A, e vale come argine: la grammatica del territorio non gli attribuisce alcun atto.</w:t>
      </w:r>
    </w:p>
    <w:p>
      <w:pPr>
        <w:spacing w:after="120" w:line="276"/>
        <w:jc w:val="both"/>
      </w:pPr>
      <w:r>
        <w:rPr>
          <w:rFonts w:ascii="Barlow Semi Condensed" w:cs="Barlow Semi Condensed" w:eastAsia="Barlow Semi Condensed" w:hAnsi="Barlow Semi Condensed"/>
          <w:b/>
          <w:bCs/>
          <w:sz w:val="24"/>
          <w:szCs w:val="24"/>
        </w:rPr>
        <w:t xml:space="preserve">1854 · Nessuna segnatura d'archivio per il nome.</w:t>
      </w:r>
      <w:r>
        <w:rPr>
          <w:rFonts w:ascii="Barlow Semi Condensed" w:cs="Barlow Semi Condensed" w:eastAsia="Barlow Semi Condensed" w:hAnsi="Barlow Semi Condensed"/>
          <w:sz w:val="24"/>
          <w:szCs w:val="24"/>
        </w:rPr>
        <w:t xml:space="preserve"> La parte terza non cita, per questo nome, alcun documento con estremi: né il volume FRUS 1969-1976 E-15 parte 2, né il documento 350 nella seconda edizione riveduta, né il file 1552802 della Ford Library. È Stato Zero editoriale e non archivistico, perché quelle carte esistono e sono state accertate altrove nel corpus. Lo chiuderebbe una nota di raccordo apposta al paragrafo nono.</w:t>
      </w:r>
    </w:p>
    <w:p>
      <w:pPr>
        <w:spacing w:after="120" w:line="276"/>
        <w:jc w:val="both"/>
      </w:pPr>
      <w:r>
        <w:rPr>
          <w:rFonts w:ascii="Barlow Semi Condensed" w:cs="Barlow Semi Condensed" w:eastAsia="Barlow Semi Condensed" w:hAnsi="Barlow Semi Condensed"/>
          <w:b/>
          <w:bCs/>
          <w:sz w:val="24"/>
          <w:szCs w:val="24"/>
        </w:rPr>
        <w:t xml:space="preserve">1855 · Un rinvio anteriore alla propria fonte.</w:t>
      </w:r>
      <w:r>
        <w:rPr>
          <w:rFonts w:ascii="Barlow Semi Condensed" w:cs="Barlow Semi Condensed" w:eastAsia="Barlow Semi Condensed" w:hAnsi="Barlow Semi Condensed"/>
          <w:sz w:val="24"/>
          <w:szCs w:val="24"/>
        </w:rPr>
        <w:t xml:space="preserve"> Il paragrafo nono rinvia alla «triangolazione condotta nel corpus di questa ricerca (il fascicolo su Kissinger)». Verifica eseguita sul registro del branch: la parte terza è del 24 agosto 2026, il fascicolo entra il 25 agosto alle 22.31, ventotto ore dopo. Il rinvio precede dunque l'opera citata. Non è un errore di merito, ma va verbalizzato, perché una citazione anteriore alla fonte non è riscontrabile sulla fonte.</w:t>
      </w:r>
    </w:p>
    <w:p>
      <w:pPr>
        <w:spacing w:after="120" w:line="276"/>
        <w:jc w:val="both"/>
      </w:pPr>
      <w:r>
        <w:rPr>
          <w:rFonts w:ascii="Barlow Semi Condensed" w:cs="Barlow Semi Condensed" w:eastAsia="Barlow Semi Condensed" w:hAnsi="Barlow Semi Condensed"/>
          <w:b/>
          <w:bCs/>
          <w:sz w:val="24"/>
          <w:szCs w:val="24"/>
        </w:rPr>
        <w:t xml:space="preserve">1856 · La parafrasi che il fascicolo non conferma.</w:t>
      </w:r>
      <w:r>
        <w:rPr>
          <w:rFonts w:ascii="Barlow Semi Condensed" w:cs="Barlow Semi Condensed" w:eastAsia="Barlow Semi Condensed" w:hAnsi="Barlow Semi Condensed"/>
          <w:sz w:val="24"/>
          <w:szCs w:val="24"/>
        </w:rPr>
        <w:t xml:space="preserve"> Il territorio riassume gli archi documentati come «statali e verticali (Cile, Angola, i fondi ai servizi italiani)» e li contrappone a «convergenze di cornice» verso «l'eversione nera privata». Ricerca lessicale eseguita sui mille blocchi del fascicolo: le stringhe Angola, servizi italiani ed eversione nera non vi compaiono. La divergenza si riporta e non si scioglie: la sintesi non trova riscontro nel testo cui si appoggia.</w:t>
      </w:r>
    </w:p>
    <w:p>
      <w:pPr>
        <w:spacing w:after="120" w:line="276"/>
        <w:jc w:val="both"/>
      </w:pPr>
      <w:r>
        <w:rPr>
          <w:rFonts w:ascii="Barlow Semi Condensed" w:cs="Barlow Semi Condensed" w:eastAsia="Barlow Semi Condensed" w:hAnsi="Barlow Semi Condensed"/>
          <w:b/>
          <w:bCs/>
          <w:sz w:val="24"/>
          <w:szCs w:val="24"/>
        </w:rPr>
        <w:t xml:space="preserve">1857 · Che cosa smentirebbe il rilievo precedente.</w:t>
      </w:r>
      <w:r>
        <w:rPr>
          <w:rFonts w:ascii="Barlow Semi Condensed" w:cs="Barlow Semi Condensed" w:eastAsia="Barlow Semi Condensed" w:hAnsi="Barlow Semi Condensed"/>
          <w:sz w:val="24"/>
          <w:szCs w:val="24"/>
        </w:rPr>
        <w:t xml:space="preserve"> Il rilievo cadrebbe davanti a una redazione anteriore o parallela del fascicolo che contenesse quelle tre espressioni, oppure davanti a una nota d'autore che dichiari la parafrasi come sintesi propria e non come citazione. Le sedi di verifica sono interne e a portata di mano: la cronologia dei commit del branch e le eventuali bozze non versate. Finché non emergono, il rilievo regge.</w:t>
      </w:r>
    </w:p>
    <w:p>
      <w:pPr>
        <w:spacing w:after="120" w:line="276"/>
        <w:jc w:val="both"/>
      </w:pPr>
      <w:r>
        <w:rPr>
          <w:rFonts w:ascii="Barlow Semi Condensed" w:cs="Barlow Semi Condensed" w:eastAsia="Barlow Semi Condensed" w:hAnsi="Barlow Semi Condensed"/>
          <w:b/>
          <w:bCs/>
          <w:sz w:val="24"/>
          <w:szCs w:val="24"/>
        </w:rPr>
        <w:t xml:space="preserve">1858 · Un merito di priorità, da riconoscere.</w:t>
      </w:r>
      <w:r>
        <w:rPr>
          <w:rFonts w:ascii="Barlow Semi Condensed" w:cs="Barlow Semi Condensed" w:eastAsia="Barlow Semi Condensed" w:hAnsi="Barlow Semi Condensed"/>
          <w:sz w:val="24"/>
          <w:szCs w:val="24"/>
        </w:rPr>
        <w:t xml:space="preserve"> Va scritto perché la disciplina impone di riportare anche ciò che smentisce l'attesa: il territorio annota la smentita dell'interessato — «sempre smentito da Kissinger» — il 24 agosto, mentre la nota di revisione del nodo M-5 in «triangolazioni-guevara-moro.md» la introduce solo il 25. Su questo punto la parte terza precede la campagna di verifica, e il primato le appartiene.</w:t>
      </w:r>
    </w:p>
    <w:p>
      <w:pPr>
        <w:spacing w:after="120" w:line="276"/>
        <w:jc w:val="both"/>
      </w:pPr>
      <w:r>
        <w:rPr>
          <w:rFonts w:ascii="Barlow Semi Condensed" w:cs="Barlow Semi Condensed" w:eastAsia="Barlow Semi Condensed" w:hAnsi="Barlow Semi Condensed"/>
          <w:b/>
          <w:bCs/>
          <w:sz w:val="24"/>
          <w:szCs w:val="24"/>
        </w:rPr>
        <w:t xml:space="preserve">1859 · L'ostilità di settori come cornice.</w:t>
      </w:r>
      <w:r>
        <w:rPr>
          <w:rFonts w:ascii="Barlow Semi Condensed" w:cs="Barlow Semi Condensed" w:eastAsia="Barlow Semi Condensed" w:hAnsi="Barlow Semi Condensed"/>
          <w:sz w:val="24"/>
          <w:szCs w:val="24"/>
        </w:rPr>
        <w:t xml:space="preserve"> La prima clausola del paragrafo nono dichiara documentata l'ostilità di settori dell'alleanza atlantica all'ingresso dei comunisti nell'area di governo. Accertamento sostenibile, ma il suo piano è il secondo: è cornice condivisa da decine di soggetti fra loro estranei, e un tratto tanto diffuso non raggruppa nulla. Trattarlo come antecedente specifico sarebbe il carattere derivato condiviso che la sistematica vieta di costruire sulla somiglianza generica.</w:t>
      </w:r>
    </w:p>
    <w:p>
      <w:pPr>
        <w:spacing w:after="120" w:line="276"/>
        <w:jc w:val="both"/>
      </w:pPr>
      <w:r>
        <w:rPr>
          <w:rFonts w:ascii="Barlow Semi Condensed" w:cs="Barlow Semi Condensed" w:eastAsia="Barlow Semi Condensed" w:hAnsi="Barlow Semi Condensed"/>
          <w:b/>
          <w:bCs/>
          <w:sz w:val="24"/>
          <w:szCs w:val="24"/>
        </w:rPr>
        <w:t xml:space="preserve">1860 · Documentata è la deposizione, non il fatto.</w:t>
      </w:r>
      <w:r>
        <w:rPr>
          <w:rFonts w:ascii="Barlow Semi Condensed" w:cs="Barlow Semi Condensed" w:eastAsia="Barlow Semi Condensed" w:hAnsi="Barlow Semi Condensed"/>
          <w:sz w:val="24"/>
          <w:szCs w:val="24"/>
        </w:rPr>
        <w:t xml:space="preserve"> La seconda clausola dice «è documentato l'avvertimento riferito da Corrado Guerzoni e confermato da Eleonora Chiavarelli Moro». Regola di lettura da applicare senza eccezioni: ciò che è documentato è la resa della testimonianza, con la sua data e la sua sede; il fatto raccontato resta privo di documento proprio. Chi legge la formula al contrario trasforma un verbale d'udienza nella prova di ciò che vi si narrò.</w:t>
      </w:r>
    </w:p>
    <w:p>
      <w:pPr>
        <w:spacing w:after="120" w:line="276"/>
        <w:jc w:val="both"/>
      </w:pPr>
      <w:r>
        <w:rPr>
          <w:rFonts w:ascii="Barlow Semi Condensed" w:cs="Barlow Semi Condensed" w:eastAsia="Barlow Semi Condensed" w:hAnsi="Barlow Semi Condensed"/>
          <w:b/>
          <w:bCs/>
          <w:sz w:val="24"/>
          <w:szCs w:val="24"/>
        </w:rPr>
        <w:t xml:space="preserve">1861 · Il verbo «confermato» va corretto.</w:t>
      </w:r>
      <w:r>
        <w:rPr>
          <w:rFonts w:ascii="Barlow Semi Condensed" w:cs="Barlow Semi Condensed" w:eastAsia="Barlow Semi Condensed" w:hAnsi="Barlow Semi Condensed"/>
          <w:sz w:val="24"/>
          <w:szCs w:val="24"/>
        </w:rPr>
        <w:t xml:space="preserve"> Nell'aula della Corte d'assise di Roma la vedova parlò di «un'alta personalità» senza nominarla; fu il presidente, richiamando il portavoce, a ottenere l'indicazione del nome. «Confermato» descrive perciò male l'atto processuale: il nome fu ottenuto e non offerto, e l'attribuzione è essa stessa indiretta. Sede che chiude il punto: il verbale d'udienza del novembre 1982 negli atti dei cinque processi digitalizzati.</w:t>
      </w:r>
    </w:p>
    <w:p>
      <w:pPr>
        <w:spacing w:after="120" w:line="276"/>
        <w:jc w:val="both"/>
      </w:pPr>
      <w:r>
        <w:rPr>
          <w:rFonts w:ascii="Barlow Semi Condensed" w:cs="Barlow Semi Condensed" w:eastAsia="Barlow Semi Condensed" w:hAnsi="Barlow Semi Condensed"/>
          <w:b/>
          <w:bCs/>
          <w:sz w:val="24"/>
          <w:szCs w:val="24"/>
        </w:rPr>
        <w:t xml:space="preserve">1862 · Una data scelta fra tre.</w:t>
      </w:r>
      <w:r>
        <w:rPr>
          <w:rFonts w:ascii="Barlow Semi Condensed" w:cs="Barlow Semi Condensed" w:eastAsia="Barlow Semi Condensed" w:hAnsi="Barlow Semi Condensed"/>
          <w:sz w:val="24"/>
          <w:szCs w:val="24"/>
        </w:rPr>
        <w:t xml:space="preserve"> L'inciso «Washington, collocato al 25 settembre 1974» adotta la versione italiana prevalente. Le fonti divergono in modo non marginale: un'agenzia statunitense dell'aprile 1983 colloca l'episodio in un alterco all'ambasciata d'Italia a Washington nel 1977, altre sintesi indicano il 1976, e i luoghi oscillano fra Studio Ovale, Dipartimento di Stato, cena ufficiale e ambasciata. La divergenza si riporta; il territorio la risolve in silenzio.</w:t>
      </w:r>
    </w:p>
    <w:p>
      <w:pPr>
        <w:spacing w:after="120" w:line="276"/>
        <w:jc w:val="both"/>
      </w:pPr>
      <w:r>
        <w:rPr>
          <w:rFonts w:ascii="Barlow Semi Condensed" w:cs="Barlow Semi Condensed" w:eastAsia="Barlow Semi Condensed" w:hAnsi="Barlow Semi Condensed"/>
          <w:b/>
          <w:bCs/>
          <w:sz w:val="24"/>
          <w:szCs w:val="24"/>
        </w:rPr>
        <w:t xml:space="preserve">1863 · Il de relato che manca al testo.</w:t>
      </w:r>
      <w:r>
        <w:rPr>
          <w:rFonts w:ascii="Barlow Semi Condensed" w:cs="Barlow Semi Condensed" w:eastAsia="Barlow Semi Condensed" w:hAnsi="Barlow Semi Condensed"/>
          <w:sz w:val="24"/>
          <w:szCs w:val="24"/>
        </w:rPr>
        <w:t xml:space="preserve"> Il portavoce non assistette al colloquio: apprese il fatto da Moro e dall'entourage e depose de relato nel novembre 1982, con divergenza fra il 10 e il 15 come giorno. Il territorio scrive «riferito da», formula corretta ma insufficiente a fissare lo statuto della fonte. Il riscontro è nei verbali d'udienza della Corte d'assise di Roma, il cui fondo processuale è stato digitalizzato sotto coordinamento dell'Archivio di Stato.</w:t>
      </w:r>
    </w:p>
    <w:p>
      <w:pPr>
        <w:spacing w:after="120" w:line="276"/>
        <w:jc w:val="both"/>
      </w:pPr>
      <w:r>
        <w:rPr>
          <w:rFonts w:ascii="Barlow Semi Condensed" w:cs="Barlow Semi Condensed" w:eastAsia="Barlow Semi Condensed" w:hAnsi="Barlow Semi Condensed"/>
          <w:b/>
          <w:bCs/>
          <w:sz w:val="24"/>
          <w:szCs w:val="24"/>
        </w:rPr>
        <w:t xml:space="preserve">1864 · La sede parlamentare e il suo contenuto.</w:t>
      </w:r>
      <w:r>
        <w:rPr>
          <w:rFonts w:ascii="Barlow Semi Condensed" w:cs="Barlow Semi Condensed" w:eastAsia="Barlow Semi Condensed" w:hAnsi="Barlow Semi Condensed"/>
          <w:sz w:val="24"/>
          <w:szCs w:val="24"/>
        </w:rPr>
        <w:t xml:space="preserve"> L'audizione della vedova davanti alla prima Commissione d'inchiesta è confermata quanto a sede e data — 1° agosto 1980, atti Doc. XXIII della ottava legislatura — ma il contenuto verbatim della frase in quella sede resta da riscontrare: le sintesi la collocano nella deposizione giudiziaria del 1982. Il resoconto stenografico integrale, conservato negli atti parlamentari, è il documento che separa i due piani.</w:t>
      </w:r>
    </w:p>
    <w:p>
      <w:pPr>
        <w:spacing w:after="120" w:line="276"/>
        <w:jc w:val="both"/>
      </w:pPr>
      <w:r>
        <w:rPr>
          <w:rFonts w:ascii="Barlow Semi Condensed" w:cs="Barlow Semi Condensed" w:eastAsia="Barlow Semi Condensed" w:hAnsi="Barlow Semi Condensed"/>
          <w:b/>
          <w:bCs/>
          <w:sz w:val="24"/>
          <w:szCs w:val="24"/>
        </w:rPr>
        <w:t xml:space="preserve">1865 · Il verbale non contiene l'ultimatum (serie XXV).</w:t>
      </w:r>
      <w:r>
        <w:rPr>
          <w:rFonts w:ascii="Barlow Semi Condensed" w:cs="Barlow Semi Condensed" w:eastAsia="Barlow Semi Condensed" w:hAnsi="Barlow Semi Condensed"/>
          <w:sz w:val="24"/>
          <w:szCs w:val="24"/>
        </w:rPr>
        <w:t xml:space="preserve"> Accertamento già fissato dall'opera e assente dal territorio: il memorandum of conversation dello Studio Ovale del 25 settembre 1974, ore 11.30, con Leone, Moro, Ford, Kissinger e Scowcroft, non contiene alcun ultimatum personale. Attesta la posizione secondo cui non si potrebbero scambiare informazioni militari con un governo comprendente i comunisti, col precedente portoghese richiamato. Il paragrafo nono guadagnerebbe l'accertamento con una riga.</w:t>
      </w:r>
    </w:p>
    <w:p>
      <w:pPr>
        <w:spacing w:after="120" w:line="276"/>
        <w:jc w:val="both"/>
      </w:pPr>
      <w:r>
        <w:rPr>
          <w:rFonts w:ascii="Barlow Semi Condensed" w:cs="Barlow Semi Condensed" w:eastAsia="Barlow Semi Condensed" w:hAnsi="Barlow Semi Condensed"/>
          <w:b/>
          <w:bCs/>
          <w:sz w:val="24"/>
          <w:szCs w:val="24"/>
        </w:rPr>
        <w:t xml:space="preserve">1866 · L'assenza dal verbale non decide.</w:t>
      </w:r>
      <w:r>
        <w:rPr>
          <w:rFonts w:ascii="Barlow Semi Condensed" w:cs="Barlow Semi Condensed" w:eastAsia="Barlow Semi Condensed" w:hAnsi="Barlow Semi Condensed"/>
          <w:sz w:val="24"/>
          <w:szCs w:val="24"/>
        </w:rPr>
        <w:t xml:space="preserve"> Simmetria da tenere ferma contro la tentazione opposta. Secondo la testimonianza la frase sarebbe caduta a margine, in colloquio riservato o a cena: la sua assenza dal verbale ufficiale non prova dunque né la falsità né la verità dell'episodio. Indebolisce, e in modo netto, la sola versione che lo colloca dentro l'incontro formale. Chi usa il verbale come assoluzione compie l'errore speculare di chi lo usa come prova.</w:t>
      </w:r>
    </w:p>
    <w:p>
      <w:pPr>
        <w:spacing w:after="120" w:line="276"/>
        <w:jc w:val="both"/>
      </w:pPr>
      <w:r>
        <w:rPr>
          <w:rFonts w:ascii="Barlow Semi Condensed" w:cs="Barlow Semi Condensed" w:eastAsia="Barlow Semi Condensed" w:hAnsi="Barlow Semi Condensed"/>
          <w:b/>
          <w:bCs/>
          <w:sz w:val="24"/>
          <w:szCs w:val="24"/>
        </w:rPr>
        <w:t xml:space="preserve">1867 · Il secondo verbale, del ventisei.</w:t>
      </w:r>
      <w:r>
        <w:rPr>
          <w:rFonts w:ascii="Barlow Semi Condensed" w:cs="Barlow Semi Condensed" w:eastAsia="Barlow Semi Condensed" w:hAnsi="Barlow Semi Condensed"/>
          <w:sz w:val="24"/>
          <w:szCs w:val="24"/>
        </w:rPr>
        <w:t xml:space="preserve"> Esiste un memorandum del giorno successivo, 26 settembre 1974, file 1552806 della Gerald R. Ford Presidential Library, sui cui contenuti gli estratti reperiti sono parziali e non del tutto concordi. Quesito da portare in sede: l'acquisizione integrale di quel file e la collazione con il 1552802. Il territorio ignora l'esistenza del secondo incontro, e con essa la possibilità che vi si trovi ciò che nel primo non c'è.</w:t>
      </w:r>
    </w:p>
    <w:p>
      <w:pPr>
        <w:spacing w:after="120" w:line="276"/>
        <w:jc w:val="both"/>
      </w:pPr>
      <w:r>
        <w:rPr>
          <w:rFonts w:ascii="Barlow Semi Condensed" w:cs="Barlow Semi Condensed" w:eastAsia="Barlow Semi Condensed" w:hAnsi="Barlow Semi Condensed"/>
          <w:b/>
          <w:bCs/>
          <w:sz w:val="24"/>
          <w:szCs w:val="24"/>
        </w:rPr>
        <w:t xml:space="preserve">1868 · L'interprete come passaggio obbligato (serie XXV).</w:t>
      </w:r>
      <w:r>
        <w:rPr>
          <w:rFonts w:ascii="Barlow Semi Condensed" w:cs="Barlow Semi Condensed" w:eastAsia="Barlow Semi Condensed" w:hAnsi="Barlow Semi Condensed"/>
          <w:sz w:val="24"/>
          <w:szCs w:val="24"/>
        </w:rPr>
        <w:t xml:space="preserve"> Uno dei testimoni italiani che negarono la minaccia disse di averla verificata allora con l'interprete, perché Moro non parlava inglese. Il dato tocca la plausibilità materiale di uno scambio verbale diretto e apre un bersaglio mai battuto, già formulato al blocco 583 del fascicolo: identificare gli interpreti dei colloqui italo-statunitensi del settembre 1974 e cercarne appunti o note di servizio nelle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1869 · Pieczenik non è un arco.</w:t>
      </w:r>
      <w:r>
        <w:rPr>
          <w:rFonts w:ascii="Barlow Semi Condensed" w:cs="Barlow Semi Condensed" w:eastAsia="Barlow Semi Condensed" w:hAnsi="Barlow Semi Condensed"/>
          <w:sz w:val="24"/>
          <w:szCs w:val="24"/>
        </w:rPr>
        <w:t xml:space="preserve"> La terza clausola del paragrafo nono documenta la presenza del consulente statunitense nel comitato di crisi accanto al ministro dell'Interno. Il repertorio del caso le assegna grado B, e grado C alle dichiarazioni postume, che sono fonte di parte. La scheda PE-5 vieta esplicitamente di mescolarle a una pista d'archivio. Due presenze americane distinte, in due anni distinti, non compongono una linea: sarebbe analogia, non omologia.</w:t>
      </w:r>
    </w:p>
    <w:p>
      <w:pPr>
        <w:spacing w:after="120" w:line="276"/>
        <w:jc w:val="both"/>
      </w:pPr>
      <w:r>
        <w:rPr>
          <w:rFonts w:ascii="Barlow Semi Condensed" w:cs="Barlow Semi Condensed" w:eastAsia="Barlow Semi Condensed" w:hAnsi="Barlow Semi Condensed"/>
          <w:b/>
          <w:bCs/>
          <w:sz w:val="24"/>
          <w:szCs w:val="24"/>
        </w:rPr>
        <w:t xml:space="preserve">1870 · La carica era cessata da quattordici mesi.</w:t>
      </w:r>
      <w:r>
        <w:rPr>
          <w:rFonts w:ascii="Barlow Semi Condensed" w:cs="Barlow Semi Condensed" w:eastAsia="Barlow Semi Condensed" w:hAnsi="Barlow Semi Condensed"/>
          <w:sz w:val="24"/>
          <w:szCs w:val="24"/>
        </w:rPr>
        <w:t xml:space="preserve"> Vincolo cronologico da opporre a ogni lettura del 1978: l'incarico di Segretario di Stato cessò il 20 gennaio 1977, quello di Assistente per la sicurezza nazionale il 3 novembre 1975. Nei cinquantacinque giorni il nome non corrispondeva ad alcuna autorità in carica. Ogni proposizione che lo tratti come titolare di potere operativo nella primavera del 1978 è affermazione di terzo piano, prima ancora che priva di documento.</w:t>
      </w:r>
    </w:p>
    <w:p>
      <w:pPr>
        <w:spacing w:after="120" w:line="276"/>
        <w:jc w:val="both"/>
      </w:pPr>
      <w:r>
        <w:rPr>
          <w:rFonts w:ascii="Barlow Semi Condensed" w:cs="Barlow Semi Condensed" w:eastAsia="Barlow Semi Condensed" w:hAnsi="Barlow Semi Condensed"/>
          <w:b/>
          <w:bCs/>
          <w:sz w:val="24"/>
          <w:szCs w:val="24"/>
        </w:rPr>
        <w:t xml:space="preserve">1871 · Il silenzio di via Fani.</w:t>
      </w:r>
      <w:r>
        <w:rPr>
          <w:rFonts w:ascii="Barlow Semi Condensed" w:cs="Barlow Semi Condensed" w:eastAsia="Barlow Semi Condensed" w:hAnsi="Barlow Semi Condensed"/>
          <w:sz w:val="24"/>
          <w:szCs w:val="24"/>
        </w:rPr>
        <w:t xml:space="preserve"> Il paragrafo terzo del territorio ricostruisce la dinamica dell'agguato senza mai incontrare il nome. Lo Stato Zero si scrive con la sua sede: il fondo della seconda Commissione presso l'Archivio storico della Camera, dove è versato l'esame tecnico-balistico del Servizio Polizia scientifica illustrato nell'audizione del 10 giugno 2015, bersaglio del blocco 49 dell'agenda di ricerca. Interrogare quel fondo per nome, e verbalizzare l'esito.</w:t>
      </w:r>
    </w:p>
    <w:p>
      <w:pPr>
        <w:spacing w:after="120" w:line="276"/>
        <w:jc w:val="both"/>
      </w:pPr>
      <w:r>
        <w:rPr>
          <w:rFonts w:ascii="Barlow Semi Condensed" w:cs="Barlow Semi Condensed" w:eastAsia="Barlow Semi Condensed" w:hAnsi="Barlow Semi Condensed"/>
          <w:b/>
          <w:bCs/>
          <w:sz w:val="24"/>
          <w:szCs w:val="24"/>
        </w:rPr>
        <w:t xml:space="preserve">1872 · Anche un tiratore estraneo non basterebbe.</w:t>
      </w:r>
      <w:r>
        <w:rPr>
          <w:rFonts w:ascii="Barlow Semi Condensed" w:cs="Barlow Semi Condensed" w:eastAsia="Barlow Semi Condensed" w:hAnsi="Barlow Semi Condensed"/>
          <w:sz w:val="24"/>
          <w:szCs w:val="24"/>
        </w:rPr>
        <w:t xml:space="preserve"> Il territorio fissa il criterio di caduta della tesi corrente: la prova positiva della presenza operativa, sulla scena, di un tiratore non riconducibile alle Brigate rosse. Va aggiunto ciò che il criterio non dice. Anche quella prova, se venisse, non porterebbe alcun nome straniero dentro la vicenda: servirebbe in più un atto di provenienza che nomini la controparte. Due soglie distinte, e la seconda non si supera con la prima.</w:t>
      </w:r>
    </w:p>
    <w:p>
      <w:pPr>
        <w:spacing w:after="120" w:line="276"/>
        <w:jc w:val="both"/>
      </w:pPr>
      <w:r>
        <w:rPr>
          <w:rFonts w:ascii="Barlow Semi Condensed" w:cs="Barlow Semi Condensed" w:eastAsia="Barlow Semi Condensed" w:hAnsi="Barlow Semi Condensed"/>
          <w:b/>
          <w:bCs/>
          <w:sz w:val="24"/>
          <w:szCs w:val="24"/>
        </w:rPr>
        <w:t xml:space="preserve">1873 · La moto e la difformità peritale.</w:t>
      </w:r>
      <w:r>
        <w:rPr>
          <w:rFonts w:ascii="Barlow Semi Condensed" w:cs="Barlow Semi Condensed" w:eastAsia="Barlow Semi Condensed" w:hAnsi="Barlow Semi Condensed"/>
          <w:sz w:val="24"/>
          <w:szCs w:val="24"/>
        </w:rPr>
        <w:t xml:space="preserve"> Alla difformità fra i testimoni della motocicletta di grossa cilindrata e le perizie balistiche il territorio assegna grado B/C e la lascia aperta, correttamente. Nessuna delle due letture apre un varco internazionale: un'anomalia compatibile con più spiegazioni non ne privilegia una straniera. Il bersaglio resta interno e tecnico — imaging tridimensionale e comparazione algoritmica dei reperti, blocco 189 dell'agenda — e il nome vi è estraneo.</w:t>
      </w:r>
    </w:p>
    <w:p>
      <w:pPr>
        <w:spacing w:after="120" w:line="276"/>
        <w:jc w:val="both"/>
      </w:pPr>
      <w:r>
        <w:rPr>
          <w:rFonts w:ascii="Barlow Semi Condensed" w:cs="Barlow Semi Condensed" w:eastAsia="Barlow Semi Condensed" w:hAnsi="Barlow Semi Condensed"/>
          <w:b/>
          <w:bCs/>
          <w:sz w:val="24"/>
          <w:szCs w:val="24"/>
        </w:rPr>
        <w:t xml:space="preserve">1874 · La prigione, e il fondo che tace.</w:t>
      </w:r>
      <w:r>
        <w:rPr>
          <w:rFonts w:ascii="Barlow Semi Condensed" w:cs="Barlow Semi Condensed" w:eastAsia="Barlow Semi Condensed" w:hAnsi="Barlow Semi Condensed"/>
          <w:sz w:val="24"/>
          <w:szCs w:val="24"/>
        </w:rPr>
        <w:t xml:space="preserve"> Sul paragrafo quarto, dedicato a via Montalcini 8, la ricerca del nome dà esito negativo pieno. Sede di chiusura: i versamenti del Viminale nel fondo Direttiva Renzi presso l'Archivio centrale dello Stato, dove giacciono gli accertamenti dell'ufficio politico della questura romana condotti nell'estate del 1978 sull'appartamento e sulla sua proprietaria. È il giacimento che va interrogato prima di dichiarare definitivo l'esito.</w:t>
      </w:r>
    </w:p>
    <w:p>
      <w:pPr>
        <w:spacing w:after="120" w:line="276"/>
        <w:jc w:val="both"/>
      </w:pPr>
      <w:r>
        <w:rPr>
          <w:rFonts w:ascii="Barlow Semi Condensed" w:cs="Barlow Semi Condensed" w:eastAsia="Barlow Semi Condensed" w:hAnsi="Barlow Semi Condensed"/>
          <w:b/>
          <w:bCs/>
          <w:sz w:val="24"/>
          <w:szCs w:val="24"/>
        </w:rPr>
        <w:t xml:space="preserve">1875 · Gradoli, la seduta e il registro.</w:t>
      </w:r>
      <w:r>
        <w:rPr>
          <w:rFonts w:ascii="Barlow Semi Condensed" w:cs="Barlow Semi Condensed" w:eastAsia="Barlow Semi Condensed" w:hAnsi="Barlow Semi Condensed"/>
          <w:sz w:val="24"/>
          <w:szCs w:val="24"/>
        </w:rPr>
        <w:t xml:space="preserve"> Il paragrafo quinto tratta il covo di via Gradoli 96, l'allagamento del 18 aprile 1978 e il nome uscito dalla seduta di Zappolino. Nessuna versione dell'episodio, in nessuna fonte del corpus, coinvolge il nome triangolato. Lo Stato Zero si chiude sul registro del 2 aprile prescritto al blocco 251 dell'agenda: chi era presente, chi verbalizzò, quando la parola raggiunse quale ufficio.</w:t>
      </w:r>
    </w:p>
    <w:p>
      <w:pPr>
        <w:spacing w:after="120" w:line="276"/>
        <w:jc w:val="both"/>
      </w:pPr>
      <w:r>
        <w:rPr>
          <w:rFonts w:ascii="Barlow Semi Condensed" w:cs="Barlow Semi Condensed" w:eastAsia="Barlow Semi Condensed" w:hAnsi="Barlow Semi Condensed"/>
          <w:b/>
          <w:bCs/>
          <w:sz w:val="24"/>
          <w:szCs w:val="24"/>
        </w:rPr>
        <w:t xml:space="preserve">1876 · La fonte informata, se esistette.</w:t>
      </w:r>
      <w:r>
        <w:rPr>
          <w:rFonts w:ascii="Barlow Semi Condensed" w:cs="Barlow Semi Condensed" w:eastAsia="Barlow Semi Condensed" w:hAnsi="Barlow Semi Condensed"/>
          <w:sz w:val="24"/>
          <w:szCs w:val="24"/>
        </w:rPr>
        <w:t xml:space="preserve"> Il territorio pone due spiegazioni entrambe di livello C — la fonte informata che scelse un canale improbabile, e la coincidenza — e si rifiuta di scegliere. La disciplina qui è identica per il nome: se una fonte informata esistette, solo un documento che la nomini la identifica. Nessuna carta reperita, italiana o statunitense, la colloca oltre confine. L'ipotesi resta possibile e priva di sostegno proprio.</w:t>
      </w:r>
    </w:p>
    <w:p>
      <w:pPr>
        <w:spacing w:after="120" w:line="276"/>
        <w:jc w:val="both"/>
      </w:pPr>
      <w:r>
        <w:rPr>
          <w:rFonts w:ascii="Barlow Semi Condensed" w:cs="Barlow Semi Condensed" w:eastAsia="Barlow Semi Condensed" w:hAnsi="Barlow Semi Condensed"/>
          <w:b/>
          <w:bCs/>
          <w:sz w:val="24"/>
          <w:szCs w:val="24"/>
        </w:rPr>
        <w:t xml:space="preserve">1877 · Fermezza e trattativa, e i cablo.</w:t>
      </w:r>
      <w:r>
        <w:rPr>
          <w:rFonts w:ascii="Barlow Semi Condensed" w:cs="Barlow Semi Condensed" w:eastAsia="Barlow Semi Condensed" w:hAnsi="Barlow Semi Condensed"/>
          <w:sz w:val="24"/>
          <w:szCs w:val="24"/>
        </w:rPr>
        <w:t xml:space="preserve"> Il paragrafo sesto ricostruisce lo schieramento politico dei cinquantacinque giorni senza incontrare il nome. Il bersaglio corrispondente è enumerativo e sta nella scheda PE-5: interrogare l'Access to Archival Databases dei National Archives sui telegrammi elettronici del 1978, per TAGS «PINT» e «IT», finestra 16 marzo-31 dicembre, e produrre la tavola rilasciato/trattenuto che oggi non esiste in nessuna pubblicazione.</w:t>
      </w:r>
    </w:p>
    <w:p>
      <w:pPr>
        <w:spacing w:after="120" w:line="276"/>
        <w:jc w:val="both"/>
      </w:pPr>
      <w:r>
        <w:rPr>
          <w:rFonts w:ascii="Barlow Semi Condensed" w:cs="Barlow Semi Condensed" w:eastAsia="Barlow Semi Condensed" w:hAnsi="Barlow Semi Condensed"/>
          <w:b/>
          <w:bCs/>
          <w:sz w:val="24"/>
          <w:szCs w:val="24"/>
        </w:rPr>
        <w:t xml:space="preserve">1878 · Dieci negligenze non fanno un mandante.</w:t>
      </w:r>
      <w:r>
        <w:rPr>
          <w:rFonts w:ascii="Barlow Semi Condensed" w:cs="Barlow Semi Condensed" w:eastAsia="Barlow Semi Condensed" w:hAnsi="Barlow Semi Condensed"/>
          <w:sz w:val="24"/>
          <w:szCs w:val="24"/>
        </w:rPr>
        <w:t xml:space="preserve"> Il paragrafo settimo isola il crinale fra inefficienza e dolo e vieta la somma: ciascun ritardo va provato dolo per dolo, con un documento. La regola vale rafforzata quando all'estremo della catena si vuole collocare un nome straniero, perché lì ai due salti vietati — dal ritardo al dolo, dal dolo al mandato — se ne aggiunge un terzo, dal mandato interno a quello esterno. Tre soglie, nessuna superata.</w:t>
      </w:r>
    </w:p>
    <w:p>
      <w:pPr>
        <w:spacing w:after="120" w:line="276"/>
        <w:jc w:val="both"/>
      </w:pPr>
      <w:r>
        <w:rPr>
          <w:rFonts w:ascii="Barlow Semi Condensed" w:cs="Barlow Semi Condensed" w:eastAsia="Barlow Semi Condensed" w:hAnsi="Barlow Semi Condensed"/>
          <w:b/>
          <w:bCs/>
          <w:sz w:val="24"/>
          <w:szCs w:val="24"/>
        </w:rPr>
        <w:t xml:space="preserve">1879 · Il memoriale e l'indice dei nomi.</w:t>
      </w:r>
      <w:r>
        <w:rPr>
          <w:rFonts w:ascii="Barlow Semi Condensed" w:cs="Barlow Semi Condensed" w:eastAsia="Barlow Semi Condensed" w:hAnsi="Barlow Semi Condensed"/>
          <w:sz w:val="24"/>
          <w:szCs w:val="24"/>
        </w:rPr>
        <w:t xml:space="preserve"> Il paragrafo ottavo ricostruisce il doppio ritrovamento di via Monte Nevoso 8 — ottobre 1978 e ottobre 1990 — con gli originali mai trovati. Quesito filologico preciso e mai posto: nelle carte note della prigionia il nome triangolato compare, e in quali termini? Si verifica sull'edizione critica presentata all'Archivio di Stato di Roma nel 2020 e sulle curatele Gotor, indice dei nomi alla mano.</w:t>
      </w:r>
    </w:p>
    <w:p>
      <w:pPr>
        <w:spacing w:after="120" w:line="276"/>
        <w:jc w:val="both"/>
      </w:pPr>
      <w:r>
        <w:rPr>
          <w:rFonts w:ascii="Barlow Semi Condensed" w:cs="Barlow Semi Condensed" w:eastAsia="Barlow Semi Condensed" w:hAnsi="Barlow Semi Condensed"/>
          <w:b/>
          <w:bCs/>
          <w:sz w:val="24"/>
          <w:szCs w:val="24"/>
        </w:rPr>
        <w:t xml:space="preserve">1880 · Che cosa varrebbe una tale occorrenza.</w:t>
      </w:r>
      <w:r>
        <w:rPr>
          <w:rFonts w:ascii="Barlow Semi Condensed" w:cs="Barlow Semi Condensed" w:eastAsia="Barlow Semi Condensed" w:hAnsi="Barlow Semi Condensed"/>
          <w:sz w:val="24"/>
          <w:szCs w:val="24"/>
        </w:rPr>
        <w:t xml:space="preserve"> Ipotesi da qualificare in anticipo, perché il grado si fissa prima del ritrovamento e non dopo. Se il nome comparisse nelle pagine del 1990, sarebbe la voce di un prigioniero che ricostruisce a memoria e sotto costrizione: fonte di parte sul proprio autore, non prova di condotta altrui. Documenterebbe che cosa Moro pensasse, non che cosa qualcuno avesse fatto. La distinzione va scritta prima, non negoziata poi.</w:t>
      </w:r>
    </w:p>
    <w:p>
      <w:pPr>
        <w:spacing w:after="120" w:line="276"/>
        <w:jc w:val="both"/>
      </w:pPr>
      <w:r>
        <w:rPr>
          <w:rFonts w:ascii="Barlow Semi Condensed" w:cs="Barlow Semi Condensed" w:eastAsia="Barlow Semi Condensed" w:hAnsi="Barlow Semi Condensed"/>
          <w:b/>
          <w:bCs/>
          <w:sz w:val="24"/>
          <w:szCs w:val="24"/>
        </w:rPr>
        <w:t xml:space="preserve">1881 · La verità dicibile non autorizza nomi.</w:t>
      </w:r>
      <w:r>
        <w:rPr>
          <w:rFonts w:ascii="Barlow Semi Condensed" w:cs="Barlow Semi Condensed" w:eastAsia="Barlow Semi Condensed" w:hAnsi="Barlow Semi Condensed"/>
          <w:sz w:val="24"/>
          <w:szCs w:val="24"/>
        </w:rPr>
        <w:t xml:space="preserve"> Il paragrafo decimo accerta, con la formula del presidente della seconda Commissione, che la verità giudiziaria è incompleta e che vi furono coperture. Il territorio stesso ne trae il divieto: «non sappiamo tutto» è un fatto, «sappiamo che dietro c'è il tale» è un'inferenza che quel fatto non autorizza. Applicata al nome, la regola chiude in partenza ogni argomento che usi il buio come indizio.</w:t>
      </w:r>
    </w:p>
    <w:p>
      <w:pPr>
        <w:spacing w:after="120" w:line="276"/>
        <w:jc w:val="both"/>
      </w:pPr>
      <w:r>
        <w:rPr>
          <w:rFonts w:ascii="Barlow Semi Condensed" w:cs="Barlow Semi Condensed" w:eastAsia="Barlow Semi Condensed" w:hAnsi="Barlow Semi Condensed"/>
          <w:b/>
          <w:bCs/>
          <w:sz w:val="24"/>
          <w:szCs w:val="24"/>
        </w:rPr>
        <w:t xml:space="preserve">1882 · La Commissione e le sue date.</w:t>
      </w:r>
      <w:r>
        <w:rPr>
          <w:rFonts w:ascii="Barlow Semi Condensed" w:cs="Barlow Semi Condensed" w:eastAsia="Barlow Semi Condensed" w:hAnsi="Barlow Semi Condensed"/>
          <w:sz w:val="24"/>
          <w:szCs w:val="24"/>
        </w:rPr>
        <w:t xml:space="preserve"> Il territorio scrive «Commissione Fioroni (2014-2018)». Il corpus registra estremi più precisi: legge 30 maggio 2014 numero 82, presidenza dal 2 ottobre 2014, relazione finale del 6 dicembre 2017. La divergenza è minore ma va riportata, perché una forbice di date allargata di un anno rende inverificabile qualunque conteggio si voglia fare, per questo nome o per altri, sugli atti prodotti in quel perimetro.</w:t>
      </w:r>
    </w:p>
    <w:p>
      <w:pPr>
        <w:spacing w:after="120" w:line="276"/>
        <w:jc w:val="both"/>
      </w:pPr>
      <w:r>
        <w:rPr>
          <w:rFonts w:ascii="Barlow Semi Condensed" w:cs="Barlow Semi Condensed" w:eastAsia="Barlow Semi Condensed" w:hAnsi="Barlow Semi Condensed"/>
          <w:b/>
          <w:bCs/>
          <w:sz w:val="24"/>
          <w:szCs w:val="24"/>
        </w:rPr>
        <w:t xml:space="preserve">1883 · I quattrocentosettantaquattro, e il loro grado.</w:t>
      </w:r>
      <w:r>
        <w:rPr>
          <w:rFonts w:ascii="Barlow Semi Condensed" w:cs="Barlow Semi Condensed" w:eastAsia="Barlow Semi Condensed" w:hAnsi="Barlow Semi Condensed"/>
          <w:sz w:val="24"/>
          <w:szCs w:val="24"/>
        </w:rPr>
        <w:t xml:space="preserve"> La pubblicistica che segue le desecretazioni riferisce che fra le migliaia di atti ancora classificati sul caso circa 474 sono di origine di Stati alleati, Stati Uniti in testa. Cifra riferita e non verificata su atto: si porta col suo grado. Il quesito enumerativo è quello della scheda PE-5: quanti di quei 474 siano statunitensi, e quale canale di consenso sia mai stato attivato.</w:t>
      </w:r>
    </w:p>
    <w:p>
      <w:pPr>
        <w:spacing w:after="120" w:line="276"/>
        <w:jc w:val="both"/>
      </w:pPr>
      <w:r>
        <w:rPr>
          <w:rFonts w:ascii="Barlow Semi Condensed" w:cs="Barlow Semi Condensed" w:eastAsia="Barlow Semi Condensed" w:hAnsi="Barlow Semi Condensed"/>
          <w:b/>
          <w:bCs/>
          <w:sz w:val="24"/>
          <w:szCs w:val="24"/>
        </w:rPr>
        <w:t xml:space="preserve">1884 · La regola dell'originatore, non un indizio.</w:t>
      </w:r>
      <w:r>
        <w:rPr>
          <w:rFonts w:ascii="Barlow Semi Condensed" w:cs="Barlow Semi Condensed" w:eastAsia="Barlow Semi Condensed" w:hAnsi="Barlow Semi Condensed"/>
          <w:sz w:val="24"/>
          <w:szCs w:val="24"/>
        </w:rPr>
        <w:t xml:space="preserve"> Un documento classificato da uno Stato terzo non può essere desecretato unilateralmente da chi lo detiene: le direttive italiane aprono le carte italiane, non quelle alleate. Ne discendono due conseguenze opposte alla dietrologia corrente. Il canale è bilaterale e diplomatico, non ostruzionistico; e classificato non significa occultato, perché la regola è generale negli scambi fra Stati e non dice nulla sul contenuto del singolo atto.</w:t>
      </w:r>
    </w:p>
    <w:p>
      <w:pPr>
        <w:spacing w:after="120" w:line="276"/>
        <w:jc w:val="both"/>
      </w:pPr>
      <w:r>
        <w:rPr>
          <w:rFonts w:ascii="Barlow Semi Condensed" w:cs="Barlow Semi Condensed" w:eastAsia="Barlow Semi Condensed" w:hAnsi="Barlow Semi Condensed"/>
          <w:b/>
          <w:bCs/>
          <w:sz w:val="24"/>
          <w:szCs w:val="24"/>
        </w:rPr>
        <w:t xml:space="preserve">1885 · Le schede di ritiro contano il vuoto.</w:t>
      </w:r>
      <w:r>
        <w:rPr>
          <w:rFonts w:ascii="Barlow Semi Condensed" w:cs="Barlow Semi Condensed" w:eastAsia="Barlow Semi Condensed" w:hAnsi="Barlow Semi Condensed"/>
          <w:sz w:val="24"/>
          <w:szCs w:val="24"/>
        </w:rPr>
        <w:t xml:space="preserve"> Accanto ai telegrammi rilasciati, i National Archives conservano le Electronic Telegrams Withdrawal Cards del 1978: per ogni cablo trattenuto la scheda ne attesta esistenza, data e provenienza. È il censimento pubblico di ciò che manca. Un'assenza documentata dall'archivio stesso è la forma più forte di Stato Zero, e vale più di qualunque congettura sul non rilasciato: la dietrologia specula, la scheda enumera.</w:t>
      </w:r>
    </w:p>
    <w:p>
      <w:pPr>
        <w:spacing w:after="120" w:line="276"/>
        <w:jc w:val="both"/>
      </w:pPr>
      <w:r>
        <w:rPr>
          <w:rFonts w:ascii="Barlow Semi Condensed" w:cs="Barlow Semi Condensed" w:eastAsia="Barlow Semi Condensed" w:hAnsi="Barlow Semi Condensed"/>
          <w:b/>
          <w:bCs/>
          <w:sz w:val="24"/>
          <w:szCs w:val="24"/>
        </w:rPr>
        <w:t xml:space="preserve">1886 · Un piano uno del 1969.</w:t>
      </w:r>
      <w:r>
        <w:rPr>
          <w:rFonts w:ascii="Barlow Semi Condensed" w:cs="Barlow Semi Condensed" w:eastAsia="Barlow Semi Condensed" w:hAnsi="Barlow Semi Condensed"/>
          <w:sz w:val="24"/>
          <w:szCs w:val="24"/>
        </w:rPr>
        <w:t xml:space="preserve"> Il rapporto diretto documentato, nel corpus, c'è: il verbale della riunione dell'11 marzo 1969 sull'azione coperta in Italia, presieduta dal nome triangolato, con Johnson, Packard e Helms presenti, edito come documento 180 del volume XLI dei FRUS. È piano 1 rispetto al nome, ma non rispetto a Moro, che divenne ministro degli Esteri il 5 agosto 1969. La contemporaneità è solo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1887 · Che cosa quel verbale accerta davvero.</w:t>
      </w:r>
      <w:r>
        <w:rPr>
          <w:rFonts w:ascii="Barlow Semi Condensed" w:cs="Barlow Semi Condensed" w:eastAsia="Barlow Semi Condensed" w:hAnsi="Barlow Semi Condensed"/>
          <w:sz w:val="24"/>
          <w:szCs w:val="24"/>
        </w:rPr>
        <w:t xml:space="preserve"> Nella riunione il rappresentante dell'agenzia illustrò origini e livelli del programma di sostegno coperto ai partiti italiani dal 1948 al 1968, e i presenti convennero all'unanimità che non vi fosse reale giustificazione per riprenderlo. L'atto accerta dunque una decisione di non ripresa. È la direzione contraria a quella che la parafrasi del territorio evoca parlando di fondi ai servizi italiani: il documento va letto, non riassunto a memoria.</w:t>
      </w:r>
    </w:p>
    <w:p>
      <w:pPr>
        <w:spacing w:after="120" w:line="276"/>
        <w:jc w:val="both"/>
      </w:pPr>
      <w:r>
        <w:rPr>
          <w:rFonts w:ascii="Barlow Semi Condensed" w:cs="Barlow Semi Condensed" w:eastAsia="Barlow Semi Condensed" w:hAnsi="Barlow Semi Condensed"/>
          <w:b/>
          <w:bCs/>
          <w:sz w:val="24"/>
          <w:szCs w:val="24"/>
        </w:rPr>
        <w:t xml:space="preserve">1888 · Lo studio sull'Italia e il suo prodotto.</w:t>
      </w:r>
      <w:r>
        <w:rPr>
          <w:rFonts w:ascii="Barlow Semi Condensed" w:cs="Barlow Semi Condensed" w:eastAsia="Barlow Semi Condensed" w:hAnsi="Barlow Semi Condensed"/>
          <w:sz w:val="24"/>
          <w:szCs w:val="24"/>
        </w:rPr>
        <w:t xml:space="preserve"> Il documento 188 dello stesso volume registra l'istruzione presidenziale del dicembre 1969 di avviare uno studio sull'Italia. Bersaglio derivato, già formulato al blocco 247 del fascicolo: reperire il documento di studio effettivamente prodotto, con sigla di serie e data, nei fondi del Consiglio di sicurezza nazionale ai National Archives di College Park, serie dei fascicoli per paese. Una nota a piè di pagina funziona qui da segnatura.</w:t>
      </w:r>
    </w:p>
    <w:p>
      <w:pPr>
        <w:spacing w:after="120" w:line="276"/>
        <w:jc w:val="both"/>
      </w:pPr>
      <w:r>
        <w:rPr>
          <w:rFonts w:ascii="Barlow Semi Condensed" w:cs="Barlow Semi Condensed" w:eastAsia="Barlow Semi Condensed" w:hAnsi="Barlow Semi Condensed"/>
          <w:b/>
          <w:bCs/>
          <w:sz w:val="24"/>
          <w:szCs w:val="24"/>
        </w:rPr>
        <w:t xml:space="preserve">1889 · Il riemergere del programma coperto (serie XXV).</w:t>
      </w:r>
      <w:r>
        <w:rPr>
          <w:rFonts w:ascii="Barlow Semi Condensed" w:cs="Barlow Semi Condensed" w:eastAsia="Barlow Semi Condensed" w:hAnsi="Barlow Semi Condensed"/>
          <w:sz w:val="24"/>
          <w:szCs w:val="24"/>
        </w:rPr>
        <w:t xml:space="preserve"> Statuto esatto, prima del contenuto: letteratura secondaria qualificata, non fonte primaria consultata, da riportare alle segnature che cita prima di ogni uso. Il programma di azione coperta in Italia riemerse, secondo quel saggio, nel novembre 1975 e nel luglio 1976. In quelle date Moro era presidente del Consiglio e non ministro degli Esteri: anche questo si scrive, perché il ruolo dell'interlocutore cambia con la carica.</w:t>
      </w:r>
    </w:p>
    <w:p>
      <w:pPr>
        <w:spacing w:after="120" w:line="276"/>
        <w:jc w:val="both"/>
      </w:pPr>
      <w:r>
        <w:rPr>
          <w:rFonts w:ascii="Barlow Semi Condensed" w:cs="Barlow Semi Condensed" w:eastAsia="Barlow Semi Condensed" w:hAnsi="Barlow Semi Condensed"/>
          <w:b/>
          <w:bCs/>
          <w:sz w:val="24"/>
          <w:szCs w:val="24"/>
        </w:rPr>
        <w:t xml:space="preserve">1890 · Il precedente portoghese, e i suoi limiti.</w:t>
      </w:r>
      <w:r>
        <w:rPr>
          <w:rFonts w:ascii="Barlow Semi Condensed" w:cs="Barlow Semi Condensed" w:eastAsia="Barlow Semi Condensed" w:hAnsi="Barlow Semi Condensed"/>
          <w:sz w:val="24"/>
          <w:szCs w:val="24"/>
        </w:rPr>
        <w:t xml:space="preserve"> Il documento 153 del volume E-15 parte 2 conserva il timore, riferito a Lisbona, non di una presa comunista ma di un regime neutralista di sinistra che restasse nella NATO. È fonte primaria e riguarda il Portogallo. Trasferirla all'Italia per somiglianza di preoccupazione produrrebbe analogia, non omologia: stessa pressione ambientale, non antenato comune. Serve un atto italiano, e per il 1978 il corpus non lo possiede.</w:t>
      </w:r>
    </w:p>
    <w:p>
      <w:pPr>
        <w:spacing w:after="120" w:line="276"/>
        <w:jc w:val="both"/>
      </w:pPr>
      <w:r>
        <w:rPr>
          <w:rFonts w:ascii="Barlow Semi Condensed" w:cs="Barlow Semi Condensed" w:eastAsia="Barlow Semi Condensed" w:hAnsi="Barlow Semi Condensed"/>
          <w:b/>
          <w:bCs/>
          <w:sz w:val="24"/>
          <w:szCs w:val="24"/>
        </w:rPr>
        <w:t xml:space="preserve">1891 · L'insofferenza di Helsinki è formula.</w:t>
      </w:r>
      <w:r>
        <w:rPr>
          <w:rFonts w:ascii="Barlow Semi Condensed" w:cs="Barlow Semi Condensed" w:eastAsia="Barlow Semi Condensed" w:hAnsi="Barlow Semi Condensed"/>
          <w:sz w:val="24"/>
          <w:szCs w:val="24"/>
        </w:rPr>
        <w:t xml:space="preserve"> Una fonte giornalistica racconta che il 1° agosto 1975, firmando l'Atto finale nella duplice qualità di presidente del Consiglio e di presidente di turno della Comunità, Moro ottenne il coinvolgimento formale della Comunità «sfidando l'insofferenza di Kissinger». È affermazione di terzo piano. La sede che la promuove o la dissolve è il documento 334 del volume XXXIX dei FRUS, telegramma del 2 agosto 1975, con le carte della delegazione italiana.</w:t>
      </w:r>
    </w:p>
    <w:p>
      <w:pPr>
        <w:spacing w:after="120" w:line="276"/>
        <w:jc w:val="both"/>
      </w:pPr>
      <w:r>
        <w:rPr>
          <w:rFonts w:ascii="Barlow Semi Condensed" w:cs="Barlow Semi Condensed" w:eastAsia="Barlow Semi Condensed" w:hAnsi="Barlow Semi Condensed"/>
          <w:b/>
          <w:bCs/>
          <w:sz w:val="24"/>
          <w:szCs w:val="24"/>
        </w:rPr>
        <w:t xml:space="preserve">1892 · Il documento 350 non attesta Moro.</w:t>
      </w:r>
      <w:r>
        <w:rPr>
          <w:rFonts w:ascii="Barlow Semi Condensed" w:cs="Barlow Semi Condensed" w:eastAsia="Barlow Semi Condensed" w:hAnsi="Barlow Semi Condensed"/>
          <w:sz w:val="24"/>
          <w:szCs w:val="24"/>
        </w:rPr>
        <w:t xml:space="preserve"> Rilievo già acquisito dalla ricognizione sul ministero degli Esteri e da riportare qui perché il territorio non lo conosce: il verbale attesta la posizione statunitense sul partito comunista italiano, non una posizione di Moro sul medesimo punto in quella sede. Ciò che il documento non dice non si inferisce dal contesto. Il silenzio di un verbale sul pensiero di un presente è silenzio, non consenso.</w:t>
      </w:r>
    </w:p>
    <w:p>
      <w:pPr>
        <w:spacing w:after="120" w:line="276"/>
        <w:jc w:val="both"/>
      </w:pPr>
      <w:r>
        <w:rPr>
          <w:rFonts w:ascii="Barlow Semi Condensed" w:cs="Barlow Semi Condensed" w:eastAsia="Barlow Semi Condensed" w:hAnsi="Barlow Semi Condensed"/>
          <w:b/>
          <w:bCs/>
          <w:sz w:val="24"/>
          <w:szCs w:val="24"/>
        </w:rPr>
        <w:t xml:space="preserve">1893 · La linea dura detta a Ford.</w:t>
      </w:r>
      <w:r>
        <w:rPr>
          <w:rFonts w:ascii="Barlow Semi Condensed" w:cs="Barlow Semi Condensed" w:eastAsia="Barlow Semi Condensed" w:hAnsi="Barlow Semi Condensed"/>
          <w:sz w:val="24"/>
          <w:szCs w:val="24"/>
        </w:rPr>
        <w:t xml:space="preserve"> Il documento registra che alla vigilia fu suggerito di dire agli italiani, in modo duro, che qualunque presenza comunista al governo avrebbe mutato le relazioni, con una valutazione sul rischio di contagio in Francia, Germania e Grecia. È dichiarazione di linea politica fra due americani, non minaccia a persona. Confondere l'una con l'altra è precisamente il passaggio che la testimonianza contestata chiede di compiere senza documento.</w:t>
      </w:r>
    </w:p>
    <w:p>
      <w:pPr>
        <w:spacing w:after="120" w:line="276"/>
        <w:jc w:val="both"/>
      </w:pPr>
      <w:r>
        <w:rPr>
          <w:rFonts w:ascii="Barlow Semi Condensed" w:cs="Barlow Semi Condensed" w:eastAsia="Barlow Semi Condensed" w:hAnsi="Barlow Semi Condensed"/>
          <w:b/>
          <w:bCs/>
          <w:sz w:val="24"/>
          <w:szCs w:val="24"/>
        </w:rPr>
        <w:t xml:space="preserve">1894 · Il vuoto dei colloqui 1969-1972.</w:t>
      </w:r>
      <w:r>
        <w:rPr>
          <w:rFonts w:ascii="Barlow Semi Condensed" w:cs="Barlow Semi Condensed" w:eastAsia="Barlow Semi Condensed" w:hAnsi="Barlow Semi Condensed"/>
          <w:sz w:val="24"/>
          <w:szCs w:val="24"/>
        </w:rPr>
        <w:t xml:space="preserve"> Esito negativo già verbalizzato dalla ricognizione «ricognizione-ministro-esteri-1969-1974.md»: non risultano verbali editi di colloqui diretti fra Moro e i vertici statunitensi degli anni 1969-1972 comparabili per completezza a quello del 1974. Le sedi di chiusura sono nominate — i volumi FRUS 1969-1976 sull'Europa occidentale e i Nixon Presidential Materials, NSC Files, Country Files: Italy, a College Park. Il vuoto ha già la sua data.</w:t>
      </w:r>
    </w:p>
    <w:p>
      <w:pPr>
        <w:spacing w:after="120" w:line="276"/>
        <w:jc w:val="both"/>
      </w:pPr>
      <w:r>
        <w:rPr>
          <w:rFonts w:ascii="Barlow Semi Condensed" w:cs="Barlow Semi Condensed" w:eastAsia="Barlow Semi Condensed" w:hAnsi="Barlow Semi Condensed"/>
          <w:b/>
          <w:bCs/>
          <w:sz w:val="24"/>
          <w:szCs w:val="24"/>
        </w:rPr>
        <w:t xml:space="preserve">1895 · Gli Stati Zero atlantici della Farnesina.</w:t>
      </w:r>
      <w:r>
        <w:rPr>
          <w:rFonts w:ascii="Barlow Semi Condensed" w:cs="Barlow Semi Condensed" w:eastAsia="Barlow Semi Condensed" w:hAnsi="Barlow Semi Condensed"/>
          <w:sz w:val="24"/>
          <w:szCs w:val="24"/>
        </w:rPr>
        <w:t xml:space="preserve"> La stessa ricognizione dichiara Stati Zero la posizione italiana nel Nuclear Planning Group, il riequilibrio della flotta sovietica nel Mediterraneo e le riunioni ministeriali NATO del 1969-1974 con Moro presente. Le sedi sono tre: l'Archivio storico-diplomatico della Farnesina, serie NATO e atlantico; il NATO Archives Online; i volumi FRUS. È lì che si deciderà se esista un arco atlantico documentato, e non nelle sintesi.</w:t>
      </w:r>
    </w:p>
    <w:p>
      <w:pPr>
        <w:spacing w:after="120" w:line="276"/>
        <w:jc w:val="both"/>
      </w:pPr>
      <w:r>
        <w:rPr>
          <w:rFonts w:ascii="Barlow Semi Condensed" w:cs="Barlow Semi Condensed" w:eastAsia="Barlow Semi Condensed" w:hAnsi="Barlow Semi Condensed"/>
          <w:b/>
          <w:bCs/>
          <w:sz w:val="24"/>
          <w:szCs w:val="24"/>
        </w:rPr>
        <w:t xml:space="preserve">1896 · Il costo del bersaglio è cambiato.</w:t>
      </w:r>
      <w:r>
        <w:rPr>
          <w:rFonts w:ascii="Barlow Semi Condensed" w:cs="Barlow Semi Condensed" w:eastAsia="Barlow Semi Condensed" w:hAnsi="Barlow Semi Condensed"/>
          <w:sz w:val="24"/>
          <w:szCs w:val="24"/>
        </w:rPr>
        <w:t xml:space="preserve"> Correzione imposta dalla seconda campagna e da recepire in ogni blocco che nomini la Farnesina, come prescrive il blocco 315 del fascicolo: i fondi ministeriali degli anni in esame non risultavano consultabili, la disponibilità dei faldoni dal 1949 va verificata caso per caso, e resta l'esclusione temporanea dei Telegrammi 1942-1970. Chi pianifica su una sede chiusa non produce una ricerca: produce un preventivo sbagliato.</w:t>
      </w:r>
    </w:p>
    <w:p>
      <w:pPr>
        <w:spacing w:after="120" w:line="276"/>
        <w:jc w:val="both"/>
      </w:pPr>
      <w:r>
        <w:rPr>
          <w:rFonts w:ascii="Barlow Semi Condensed" w:cs="Barlow Semi Condensed" w:eastAsia="Barlow Semi Condensed" w:hAnsi="Barlow Semi Condensed"/>
          <w:b/>
          <w:bCs/>
          <w:sz w:val="24"/>
          <w:szCs w:val="24"/>
        </w:rPr>
        <w:t xml:space="preserve">1897 · Il fascicolo di Kew, mai aperto.</w:t>
      </w:r>
      <w:r>
        <w:rPr>
          <w:rFonts w:ascii="Barlow Semi Condensed" w:cs="Barlow Semi Condensed" w:eastAsia="Barlow Semi Condensed" w:hAnsi="Barlow Semi Condensed"/>
          <w:sz w:val="24"/>
          <w:szCs w:val="24"/>
        </w:rPr>
        <w:t xml:space="preserve"> Il primo blocco dei nove cantieri censisce nel catalogo Discovery dei National Archives di Kew il fascicolo «Terrorism in Italy, including kidnapping and death of Aldo Moro, former Prime Minister», record C11492660, non digitalizzato. Quesito da portare in sala, foglio per foglio: se e come le carte britanniche riferiscano della posizione statunitense sui cinquantacinque giorni. È il modo corretto di cercare un nome, nelle carte di chi lo osservava.</w:t>
      </w:r>
    </w:p>
    <w:p>
      <w:pPr>
        <w:spacing w:after="120" w:line="276"/>
        <w:jc w:val="both"/>
      </w:pPr>
      <w:r>
        <w:rPr>
          <w:rFonts w:ascii="Barlow Semi Condensed" w:cs="Barlow Semi Condensed" w:eastAsia="Barlow Semi Condensed" w:hAnsi="Barlow Semi Condensed"/>
          <w:b/>
          <w:bCs/>
          <w:sz w:val="24"/>
          <w:szCs w:val="24"/>
        </w:rPr>
        <w:t xml:space="preserve">1898 · Cercare il nome nelle carte altrui.</w:t>
      </w:r>
      <w:r>
        <w:rPr>
          <w:rFonts w:ascii="Barlow Semi Condensed" w:cs="Barlow Semi Condensed" w:eastAsia="Barlow Semi Condensed" w:hAnsi="Barlow Semi Condensed"/>
          <w:sz w:val="24"/>
          <w:szCs w:val="24"/>
        </w:rPr>
        <w:t xml:space="preserve"> I blocchi 38, 62, 84 e 119 dei cantieri costruiscono la collazione fra Londra, Parigi, Bonn e Washington sulle giornate chiave, e ne fanno una tavola di convergenze, divergenze e silenzi. La regola che ne deriva per questa serie è controintuitiva e produttiva: dove il proprio archivio tace, l'informazione sopravvive spesso nel dispaccio di un terzo, che riferisce ciò che gli è stato detto e data ciò che ha udito.</w:t>
      </w:r>
    </w:p>
    <w:p>
      <w:pPr>
        <w:spacing w:after="120" w:line="276"/>
        <w:jc w:val="both"/>
      </w:pPr>
      <w:r>
        <w:rPr>
          <w:rFonts w:ascii="Barlow Semi Condensed" w:cs="Barlow Semi Condensed" w:eastAsia="Barlow Semi Condensed" w:hAnsi="Barlow Semi Condensed"/>
          <w:b/>
          <w:bCs/>
          <w:sz w:val="24"/>
          <w:szCs w:val="24"/>
        </w:rPr>
        <w:t xml:space="preserve">1899 · L'edizione tedesca come mappa.</w:t>
      </w:r>
      <w:r>
        <w:rPr>
          <w:rFonts w:ascii="Barlow Semi Condensed" w:cs="Barlow Semi Condensed" w:eastAsia="Barlow Semi Condensed" w:hAnsi="Barlow Semi Condensed"/>
          <w:sz w:val="24"/>
          <w:szCs w:val="24"/>
        </w:rPr>
        <w:t xml:space="preserve"> Gli «Akten zur Auswärtigen Politik der Bundesrepublik Deutschland» per il 1978 esistono in due tomi verificati, per oltre duemilacento pagine. Il blocco 82 dei cantieri ne prescrive lo spoglio con le segnature d'origine dei documenti scelti. Vale la regola già fissata per i FRUS: un'edizione è una selezione e non un fondo, e la sua funzione più utile è indicare in quale serie cercare ciò che il curatore ha lasciato fuori.</w:t>
      </w:r>
    </w:p>
    <w:p>
      <w:pPr>
        <w:spacing w:after="120" w:line="276"/>
        <w:jc w:val="both"/>
      </w:pPr>
      <w:r>
        <w:rPr>
          <w:rFonts w:ascii="Barlow Semi Condensed" w:cs="Barlow Semi Condensed" w:eastAsia="Barlow Semi Condensed" w:hAnsi="Barlow Semi Condensed"/>
          <w:b/>
          <w:bCs/>
          <w:sz w:val="24"/>
          <w:szCs w:val="24"/>
        </w:rPr>
        <w:t xml:space="preserve">1900 · Che cosa falsificherebbe l'intera serie.</w:t>
      </w:r>
      <w:r>
        <w:rPr>
          <w:rFonts w:ascii="Barlow Semi Condensed" w:cs="Barlow Semi Condensed" w:eastAsia="Barlow Semi Condensed" w:hAnsi="Barlow Semi Condensed"/>
          <w:sz w:val="24"/>
          <w:szCs w:val="24"/>
        </w:rPr>
        <w:t xml:space="preserve"> La domanda del falsificatore, posta sulla serie e non sui singoli blocchi. Tutto ciò che qui si è scritto cadrebbe davanti a un solo reperto: un atto di provenienza — cablo, memorandum, nota di servizio, registro contabile — che nomini insieme il nome triangolato e una struttura operativa del sequestro. Non una valutazione, non un'opinione riferita, non un'ostilità dichiarata: un atto, con data, protocollo e originatore.</w:t>
      </w:r>
    </w:p>
    <w:p>
      <w:pPr>
        <w:spacing w:after="120" w:line="276"/>
        <w:jc w:val="both"/>
      </w:pPr>
      <w:r>
        <w:rPr>
          <w:rFonts w:ascii="Barlow Semi Condensed" w:cs="Barlow Semi Condensed" w:eastAsia="Barlow Semi Condensed" w:hAnsi="Barlow Semi Condensed"/>
          <w:b/>
          <w:bCs/>
          <w:sz w:val="24"/>
          <w:szCs w:val="24"/>
        </w:rPr>
        <w:t xml:space="preserve">1901 · Che cosa falsificherebbe la data del 1974.</w:t>
      </w:r>
      <w:r>
        <w:rPr>
          <w:rFonts w:ascii="Barlow Semi Condensed" w:cs="Barlow Semi Condensed" w:eastAsia="Barlow Semi Condensed" w:hAnsi="Barlow Semi Condensed"/>
          <w:sz w:val="24"/>
          <w:szCs w:val="24"/>
        </w:rPr>
        <w:t xml:space="preserve"> Bersaglio specifico e raggiungibile: un documento di ambasciata del 1977 — nota di servizio, elenco degli invitati, appunto di colloquio — che attesti l'alterco riferito dall'agenzia statunitense nell'aprile 1983. Se emergesse, cadrebbe la collocazione al 25 settembre 1974 adottata dal territorio, e con essa ogni argomento che leghi l'episodio a una carica pubblica. Le sedi: gli archivi dell'ambasciata d'Italia a Washington e la Farnesina.</w:t>
      </w:r>
    </w:p>
    <w:p>
      <w:pPr>
        <w:spacing w:after="120" w:line="276"/>
        <w:jc w:val="both"/>
      </w:pPr>
      <w:r>
        <w:rPr>
          <w:rFonts w:ascii="Barlow Semi Condensed" w:cs="Barlow Semi Condensed" w:eastAsia="Barlow Semi Condensed" w:hAnsi="Barlow Semi Condensed"/>
          <w:b/>
          <w:bCs/>
          <w:sz w:val="24"/>
          <w:szCs w:val="24"/>
        </w:rPr>
        <w:t xml:space="preserve">1902 · Che cosa confermerebbe la testimonianza.</w:t>
      </w:r>
      <w:r>
        <w:rPr>
          <w:rFonts w:ascii="Barlow Semi Condensed" w:cs="Barlow Semi Condensed" w:eastAsia="Barlow Semi Condensed" w:hAnsi="Barlow Semi Condensed"/>
          <w:sz w:val="24"/>
          <w:szCs w:val="24"/>
        </w:rPr>
        <w:t xml:space="preserve"> La disciplina impone di dichiarare anche il reperto che sosterrebbe la parte avversa. Sarebbe un appunto coevo dell'entourage: un'annotazione d'agenda del settembre 1974, una lettera privata, una carta del portavoce redatta prima del novembre 1982. Un solo foglio anteriore alla deposizione sposterebbe l'episodio dalla testimonianza resa a distanza al documento coevo, e cioè dal terzo piano al primo. Va cercato con la stessa energia del suo contrario.</w:t>
      </w:r>
    </w:p>
    <w:p>
      <w:pPr>
        <w:spacing w:after="120" w:line="276"/>
        <w:jc w:val="both"/>
      </w:pPr>
      <w:r>
        <w:rPr>
          <w:rFonts w:ascii="Barlow Semi Condensed" w:cs="Barlow Semi Condensed" w:eastAsia="Barlow Semi Condensed" w:hAnsi="Barlow Semi Condensed"/>
          <w:b/>
          <w:bCs/>
          <w:sz w:val="24"/>
          <w:szCs w:val="24"/>
        </w:rPr>
        <w:t xml:space="preserve">1903 · Le carte di ritorno della visita.</w:t>
      </w:r>
      <w:r>
        <w:rPr>
          <w:rFonts w:ascii="Barlow Semi Condensed" w:cs="Barlow Semi Condensed" w:eastAsia="Barlow Semi Condensed" w:hAnsi="Barlow Semi Condensed"/>
          <w:sz w:val="24"/>
          <w:szCs w:val="24"/>
        </w:rPr>
        <w:t xml:space="preserve"> Il blocco 237 del fascicolo indica una sede italiana troppo poco frequentata: presso l'Archivio centrale dello Stato il fondo personale e la raccolta delle direttive sono descritti nelle schede della Guida ai fondi, con banca dati consultabile in sede. Il quesito è puntuale e non generico: esistono, per il settembre 1974, carte preparatorie o di ritorno della visita a Washington? Un esito negativo si verbalizza con perimetro e data.</w:t>
      </w:r>
    </w:p>
    <w:p>
      <w:pPr>
        <w:spacing w:after="120" w:line="276"/>
        <w:jc w:val="both"/>
      </w:pPr>
      <w:r>
        <w:rPr>
          <w:rFonts w:ascii="Barlow Semi Condensed" w:cs="Barlow Semi Condensed" w:eastAsia="Barlow Semi Condensed" w:hAnsi="Barlow Semi Condensed"/>
          <w:b/>
          <w:bCs/>
          <w:sz w:val="24"/>
          <w:szCs w:val="24"/>
        </w:rPr>
        <w:t xml:space="preserve">1904 · Cercare anche l'atto che scagiona.</w:t>
      </w:r>
      <w:r>
        <w:rPr>
          <w:rFonts w:ascii="Barlow Semi Condensed" w:cs="Barlow Semi Condensed" w:eastAsia="Barlow Semi Condensed" w:hAnsi="Barlow Semi Condensed"/>
          <w:sz w:val="24"/>
          <w:szCs w:val="24"/>
        </w:rPr>
        <w:t xml:space="preserve"> Il blocco 214 dell'agenda impone di cercare i documenti che mostrino diligenza ordinaria, non solo quelli che mostrino anomalia. Trasferita qui, la regola prescrive di cercare la carta che escluda il canale: la nota che attesti la mancanza di contatti, il diniego motivato di una richiesta, il rilascio integrale che non contenga nulla. In regime di accesso agli atti anche il diniego è un documento, e ha valore.</w:t>
      </w:r>
    </w:p>
    <w:p>
      <w:pPr>
        <w:spacing w:after="120" w:line="276"/>
        <w:jc w:val="both"/>
      </w:pPr>
      <w:r>
        <w:rPr>
          <w:rFonts w:ascii="Barlow Semi Condensed" w:cs="Barlow Semi Condensed" w:eastAsia="Barlow Semi Condensed" w:hAnsi="Barlow Semi Condensed"/>
          <w:b/>
          <w:bCs/>
          <w:sz w:val="24"/>
          <w:szCs w:val="24"/>
        </w:rPr>
        <w:t xml:space="preserve">1905 · Se una segnatura estera comparisse.</w:t>
      </w:r>
      <w:r>
        <w:rPr>
          <w:rFonts w:ascii="Barlow Semi Condensed" w:cs="Barlow Semi Condensed" w:eastAsia="Barlow Semi Condensed" w:hAnsi="Barlow Semi Condensed"/>
          <w:sz w:val="24"/>
          <w:szCs w:val="24"/>
        </w:rPr>
        <w:t xml:space="preserve"> Un timbro, una filigrana, una segnatura di provenienza estera su una delle carte rinvenute dietro il pannello di cartongesso nell'ottobre 1990 sposterebbe la questione di piano in un colpo solo, perché il supporto è oggetto e ogni oggetto ha provenienza. È il senso del blocco 96 dell'agenda, che chiede la codicologia del reperto: supporti, inchiostri, fascicolazione, segni di fotocopiatura. Nessuno l'ha eseguita per intero.</w:t>
      </w:r>
    </w:p>
    <w:p>
      <w:pPr>
        <w:spacing w:after="120" w:line="276"/>
        <w:jc w:val="both"/>
      </w:pPr>
      <w:r>
        <w:rPr>
          <w:rFonts w:ascii="Barlow Semi Condensed" w:cs="Barlow Semi Condensed" w:eastAsia="Barlow Semi Condensed" w:hAnsi="Barlow Semi Condensed"/>
          <w:b/>
          <w:bCs/>
          <w:sz w:val="24"/>
          <w:szCs w:val="24"/>
        </w:rPr>
        <w:t xml:space="preserve">1906 · Il falso e la sua mano.</w:t>
      </w:r>
      <w:r>
        <w:rPr>
          <w:rFonts w:ascii="Barlow Semi Condensed" w:cs="Barlow Semi Condensed" w:eastAsia="Barlow Semi Condensed" w:hAnsi="Barlow Semi Condensed"/>
          <w:sz w:val="24"/>
          <w:szCs w:val="24"/>
        </w:rPr>
        <w:t xml:space="preserve"> Il comunicato apocrifo del 18 aprile 1978 sul lago della Duchessa è attribuito dagli accertamenti istruttori e peritali a una mano rimasta senza processo, perché l'interessato fu ucciso nel settembre 1984 prima di ogni contestazione formale: il fatto del falso è accertato, la sua funzione resta possibile. Se un'analisi formale del testo mostrasse dipendenza da modulistica straniera, si aprirebbe un piano 1. Nessuna analisi simile risulta condotta.</w:t>
      </w:r>
    </w:p>
    <w:p>
      <w:pPr>
        <w:spacing w:after="120" w:line="276"/>
        <w:jc w:val="both"/>
      </w:pPr>
      <w:r>
        <w:rPr>
          <w:rFonts w:ascii="Barlow Semi Condensed" w:cs="Barlow Semi Condensed" w:eastAsia="Barlow Semi Condensed" w:hAnsi="Barlow Semi Condensed"/>
          <w:b/>
          <w:bCs/>
          <w:sz w:val="24"/>
          <w:szCs w:val="24"/>
        </w:rPr>
        <w:t xml:space="preserve">1907 · La contemporaneità non è nesso.</w:t>
      </w:r>
      <w:r>
        <w:rPr>
          <w:rFonts w:ascii="Barlow Semi Condensed" w:cs="Barlow Semi Condensed" w:eastAsia="Barlow Semi Condensed" w:hAnsi="Barlow Semi Condensed"/>
          <w:sz w:val="24"/>
          <w:szCs w:val="24"/>
        </w:rPr>
        <w:t xml:space="preserve"> Principio da opporre alla forma più diffusa dell'argomento internazionale, che consiste nel far coincidere due date. Che il nome fosse vivo, autorevole e ascoltato nella primavera del 1978 è biografia, non prova. La sincronia non trasporta lo stato di un nodo, e la federazione di più casi accresce l'attestazione senza spostare il grado di nessuno. Il corpus lo ha già scritto per il proprio apparato; qui si applica.</w:t>
      </w:r>
    </w:p>
    <w:p>
      <w:pPr>
        <w:spacing w:after="120" w:line="276"/>
        <w:jc w:val="both"/>
      </w:pPr>
      <w:r>
        <w:rPr>
          <w:rFonts w:ascii="Barlow Semi Condensed" w:cs="Barlow Semi Condensed" w:eastAsia="Barlow Semi Condensed" w:hAnsi="Barlow Semi Condensed"/>
          <w:b/>
          <w:bCs/>
          <w:sz w:val="24"/>
          <w:szCs w:val="24"/>
        </w:rPr>
        <w:t xml:space="preserve">1908 · L'appartenenza non è condotta (serie XXV).</w:t>
      </w:r>
      <w:r>
        <w:rPr>
          <w:rFonts w:ascii="Barlow Semi Condensed" w:cs="Barlow Semi Condensed" w:eastAsia="Barlow Semi Condensed" w:hAnsi="Barlow Semi Condensed"/>
          <w:sz w:val="24"/>
          <w:szCs w:val="24"/>
        </w:rPr>
        <w:t xml:space="preserve"> Analogo divieto per le appartenenze. La scheda PE-1 lo ha fissato nella materia più incandescente del caso, scrivendo che l'iscrizione accertata di un membro di un comitato è un fatto e non è la prova di alcuna condotta nel caso. La stessa disciplina vale per organizzazioni, consessi e scuole dottrinali internazionali: si eredita un lessico, non un atto. In biologia il carattere si trasmette, in storia la responsabilità no.</w:t>
      </w:r>
    </w:p>
    <w:p>
      <w:pPr>
        <w:spacing w:after="120" w:line="276"/>
        <w:jc w:val="both"/>
      </w:pPr>
      <w:r>
        <w:rPr>
          <w:rFonts w:ascii="Barlow Semi Condensed" w:cs="Barlow Semi Condensed" w:eastAsia="Barlow Semi Condensed" w:hAnsi="Barlow Semi Condensed"/>
          <w:b/>
          <w:bCs/>
          <w:sz w:val="24"/>
          <w:szCs w:val="24"/>
        </w:rPr>
        <w:t xml:space="preserve">1909 · La replicazione non crea informazione.</w:t>
      </w:r>
      <w:r>
        <w:rPr>
          <w:rFonts w:ascii="Barlow Semi Condensed" w:cs="Barlow Semi Condensed" w:eastAsia="Barlow Semi Condensed" w:hAnsi="Barlow Semi Condensed"/>
          <w:sz w:val="24"/>
          <w:szCs w:val="24"/>
        </w:rPr>
        <w:t xml:space="preserve"> Le decine di pagine che riportano la frase in forma pressoché identica risalgono a un unico lancio d'agenzia del 30 novembre 2023, e il rilancio internazionale del 1982 proveniva da una pubblicazione dichiaratamente cospirazionista, citabile come dato di circolazione. Contare le occorrenze non misura la prova: misura la diffusione. Una sequenza copiata mille volte non produce alcun carattere nuovo, per quante volte la si esegua.</w:t>
      </w:r>
    </w:p>
    <w:p>
      <w:pPr>
        <w:spacing w:after="120" w:line="276"/>
        <w:jc w:val="both"/>
      </w:pPr>
      <w:r>
        <w:rPr>
          <w:rFonts w:ascii="Barlow Semi Condensed" w:cs="Barlow Semi Condensed" w:eastAsia="Barlow Semi Condensed" w:hAnsi="Barlow Semi Condensed"/>
          <w:b/>
          <w:bCs/>
          <w:sz w:val="24"/>
          <w:szCs w:val="24"/>
        </w:rPr>
        <w:t xml:space="preserve">1910 · Convertire i gradi senza confonderli.</w:t>
      </w:r>
      <w:r>
        <w:rPr>
          <w:rFonts w:ascii="Barlow Semi Condensed" w:cs="Barlow Semi Condensed" w:eastAsia="Barlow Semi Condensed" w:hAnsi="Barlow Semi Condensed"/>
          <w:sz w:val="24"/>
          <w:szCs w:val="24"/>
        </w:rPr>
        <w:t xml:space="preserve"> Il territorio lavora con tre livelli — accertato, probabile, possibile — e l'opera con tre piani — rapporto documentato, convergenza strutturale, affermazione terziaria. Le due scale non coincidono: la prima misura la solidità di una proposizione, la seconda la natura del legame fra due nodi. Una proposizione può essere di livello A e insieme di piano 2, come l'ostilità atlantica. La tavola di conversione va scritta prima di usarla.</w:t>
      </w:r>
    </w:p>
    <w:p>
      <w:pPr>
        <w:spacing w:after="120" w:line="276"/>
        <w:jc w:val="both"/>
      </w:pPr>
      <w:r>
        <w:rPr>
          <w:rFonts w:ascii="Barlow Semi Condensed" w:cs="Barlow Semi Condensed" w:eastAsia="Barlow Semi Condensed" w:hAnsi="Barlow Semi Condensed"/>
          <w:b/>
          <w:bCs/>
          <w:sz w:val="24"/>
          <w:szCs w:val="24"/>
        </w:rPr>
        <w:t xml:space="preserve">1911 · «Accertato come contesto» è formula insidiosa.</w:t>
      </w:r>
      <w:r>
        <w:rPr>
          <w:rFonts w:ascii="Barlow Semi Condensed" w:cs="Barlow Semi Condensed" w:eastAsia="Barlow Semi Condensed" w:hAnsi="Barlow Semi Condensed"/>
          <w:sz w:val="24"/>
          <w:szCs w:val="24"/>
        </w:rPr>
        <w:t xml:space="preserve"> È l'espressione che apre il paragrafo nono, ed è la più pericolosa dell'intero territorio, perché mette un grado alto accanto a una parola che ne indebolisce l'oggetto. Accertato è il contesto; il fatto interno al contesto conserva il proprio grado, che è altro. Chi legge di corsa trattiene l'aggettivo e perde il sostantivo. Una regola di lettura vale qui più di un documento: separare sempre il grado dal suo oggetto.</w:t>
      </w:r>
    </w:p>
    <w:p>
      <w:pPr>
        <w:spacing w:after="120" w:line="276"/>
        <w:jc w:val="both"/>
      </w:pPr>
      <w:r>
        <w:rPr>
          <w:rFonts w:ascii="Barlow Semi Condensed" w:cs="Barlow Semi Condensed" w:eastAsia="Barlow Semi Condensed" w:hAnsi="Barlow Semi Condensed"/>
          <w:b/>
          <w:bCs/>
          <w:sz w:val="24"/>
          <w:szCs w:val="24"/>
        </w:rPr>
        <w:t xml:space="preserve">1912 · Nessun ordinale, nemmeno implicito.</w:t>
      </w:r>
      <w:r>
        <w:rPr>
          <w:rFonts w:ascii="Barlow Semi Condensed" w:cs="Barlow Semi Condensed" w:eastAsia="Barlow Semi Condensed" w:hAnsi="Barlow Semi Condensed"/>
          <w:sz w:val="24"/>
          <w:szCs w:val="24"/>
        </w:rPr>
        <w:t xml:space="preserve"> Il Movimento terzo rifiuta la graduatoria perché trasforma il sospetto in un ordinale e imprime un marchio che nessun tribunale può revocare. Per questo nome la conseguenza è stringente: non gli si assegna un posto, né esplicito né implicito, e non si scrive nulla che consenta a un lettore di ricostruirne uno. Il rifiuto della classifica non è una cautela di stile: è la disciplina che rende leggibile il resto.</w:t>
      </w:r>
    </w:p>
    <w:p>
      <w:pPr>
        <w:spacing w:after="120" w:line="276"/>
        <w:jc w:val="both"/>
      </w:pPr>
      <w:r>
        <w:rPr>
          <w:rFonts w:ascii="Barlow Semi Condensed" w:cs="Barlow Semi Condensed" w:eastAsia="Barlow Semi Condensed" w:hAnsi="Barlow Semi Condensed"/>
          <w:b/>
          <w:bCs/>
          <w:sz w:val="24"/>
          <w:szCs w:val="24"/>
        </w:rPr>
        <w:t xml:space="preserve">1913 · Lo Stato Zero porta la propria scadenza.</w:t>
      </w:r>
      <w:r>
        <w:rPr>
          <w:rFonts w:ascii="Barlow Semi Condensed" w:cs="Barlow Semi Condensed" w:eastAsia="Barlow Semi Condensed" w:hAnsi="Barlow Semi Condensed"/>
          <w:sz w:val="24"/>
          <w:szCs w:val="24"/>
        </w:rPr>
        <w:t xml:space="preserve"> Il blocco 655 del fascicolo prescrive che un esito negativo sia datato per costruzione: dichiara che a una certa data, in una certa sede, con un certo perimetro, non si è trovato. Gli inventari cambiano, le declassifiche maturano, i fondi si versano. Ogni assenza verbalizzata in questa serie va perciò riletta con un calendario accanto, perché un vuoto non riesaminato per vent'anni non è più un dato ma un ricordo.</w:t>
      </w:r>
    </w:p>
    <w:p>
      <w:pPr>
        <w:spacing w:after="120" w:line="276"/>
        <w:jc w:val="both"/>
      </w:pPr>
      <w:r>
        <w:rPr>
          <w:rFonts w:ascii="Barlow Semi Condensed" w:cs="Barlow Semi Condensed" w:eastAsia="Barlow Semi Condensed" w:hAnsi="Barlow Semi Condensed"/>
          <w:b/>
          <w:bCs/>
          <w:sz w:val="24"/>
          <w:szCs w:val="24"/>
        </w:rPr>
        <w:t xml:space="preserve">1914 · Il verbale evita la doppia ricerca.</w:t>
      </w:r>
      <w:r>
        <w:rPr>
          <w:rFonts w:ascii="Barlow Semi Condensed" w:cs="Barlow Semi Condensed" w:eastAsia="Barlow Semi Condensed" w:hAnsi="Barlow Semi Condensed"/>
          <w:sz w:val="24"/>
          <w:szCs w:val="24"/>
        </w:rPr>
        <w:t xml:space="preserve"> Funzione prosaica e decisiva, fissata al blocco 656: senza registro dei vuoti ogni gruppo rifà le stesse interrogazioni negli stessi fondi, consumando le sole risorse scarse del mestiere, che sono le giornate di sala e la pazienza degli archivisti. Gli esiti negativi di questa serie vanno perciò versati in un registro consultabile, con la stringa usata e la serie interrogata, non lasciati nel testo che li ha prodotti.</w:t>
      </w:r>
    </w:p>
    <w:p>
      <w:pPr>
        <w:spacing w:after="120" w:line="276"/>
        <w:jc w:val="both"/>
      </w:pPr>
      <w:r>
        <w:rPr>
          <w:rFonts w:ascii="Barlow Semi Condensed" w:cs="Barlow Semi Condensed" w:eastAsia="Barlow Semi Condensed" w:hAnsi="Barlow Semi Condensed"/>
          <w:b/>
          <w:bCs/>
          <w:sz w:val="24"/>
          <w:szCs w:val="24"/>
        </w:rPr>
        <w:t xml:space="preserve">1915 · Un'edizione non è un archivio.</w:t>
      </w:r>
      <w:r>
        <w:rPr>
          <w:rFonts w:ascii="Barlow Semi Condensed" w:cs="Barlow Semi Condensed" w:eastAsia="Barlow Semi Condensed" w:hAnsi="Barlow Semi Condensed"/>
          <w:sz w:val="24"/>
          <w:szCs w:val="24"/>
        </w:rPr>
        <w:t xml:space="preserve"> Il blocco 675 avverte che leggere i FRUS come se fossero il fondo produce un vuoto illusorio ogni volta che un documento non vi compare. Il territorio non cita affatto quell'edizione, e paradossalmente evita l'errore per omissione. Ma la regola gli si applica in positivo: se una nota venisse aggiunta al paragrafo nono, dovrà citare l'edizione con la sua nota e risalire al fondo che l'ha alimentata.</w:t>
      </w:r>
    </w:p>
    <w:p>
      <w:pPr>
        <w:spacing w:after="120" w:line="276"/>
        <w:jc w:val="both"/>
      </w:pPr>
      <w:r>
        <w:rPr>
          <w:rFonts w:ascii="Barlow Semi Condensed" w:cs="Barlow Semi Condensed" w:eastAsia="Barlow Semi Condensed" w:hAnsi="Barlow Semi Condensed"/>
          <w:b/>
          <w:bCs/>
          <w:sz w:val="24"/>
          <w:szCs w:val="24"/>
        </w:rPr>
        <w:t xml:space="preserve">1916 · Verificare la competenza della sede.</w:t>
      </w:r>
      <w:r>
        <w:rPr>
          <w:rFonts w:ascii="Barlow Semi Condensed" w:cs="Barlow Semi Condensed" w:eastAsia="Barlow Semi Condensed" w:hAnsi="Barlow Semi Condensed"/>
          <w:sz w:val="24"/>
          <w:szCs w:val="24"/>
        </w:rPr>
        <w:t xml:space="preserve"> Molti vuoti dichiarati sono errori d'indirizzo: si cerca nel fondo sbagliato e si conclude che il documento non esiste. Il blocco 692 impone perciò di verificare, prima di verbalizzare un'assenza, che la sede interrogata fosse quella competente, e di far entrare la verifica nel verbale. Per questa serie il rischio è concreto: le carte di un Segretario di Stato si distribuiscono fra almeno quattro depositi diversi.</w:t>
      </w:r>
    </w:p>
    <w:p>
      <w:pPr>
        <w:spacing w:after="120" w:line="276"/>
        <w:jc w:val="both"/>
      </w:pPr>
      <w:r>
        <w:rPr>
          <w:rFonts w:ascii="Barlow Semi Condensed" w:cs="Barlow Semi Condensed" w:eastAsia="Barlow Semi Condensed" w:hAnsi="Barlow Semi Condensed"/>
          <w:b/>
          <w:bCs/>
          <w:sz w:val="24"/>
          <w:szCs w:val="24"/>
        </w:rPr>
        <w:t xml:space="preserve">1917 · Interrogare il portale delle inchieste.</w:t>
      </w:r>
      <w:r>
        <w:rPr>
          <w:rFonts w:ascii="Barlow Semi Condensed" w:cs="Barlow Semi Condensed" w:eastAsia="Barlow Semi Condensed" w:hAnsi="Barlow Semi Condensed"/>
          <w:sz w:val="24"/>
          <w:szCs w:val="24"/>
        </w:rPr>
        <w:t xml:space="preserve"> Bersaglio eseguibile subito, e mai eseguito: il fondo della seconda Commissione presso l'Archivio storico della Camera, con il portale delle inchieste e le circa ventimila pagine desecretate in rete, va interrogato per nome. Non per averne una rivelazione, ma per produrre un numero: quante occorrenze, in quali documenti, con quale funzione sintattica. Il conteggio è il primo risultato onesto che quella massa documentale possa dare.</w:t>
      </w:r>
    </w:p>
    <w:p>
      <w:pPr>
        <w:spacing w:after="120" w:line="276"/>
        <w:jc w:val="both"/>
      </w:pPr>
      <w:r>
        <w:rPr>
          <w:rFonts w:ascii="Barlow Semi Condensed" w:cs="Barlow Semi Condensed" w:eastAsia="Barlow Semi Condensed" w:hAnsi="Barlow Semi Condensed"/>
          <w:b/>
          <w:bCs/>
          <w:sz w:val="24"/>
          <w:szCs w:val="24"/>
        </w:rPr>
        <w:t xml:space="preserve">1918 · La stessa stringa al Senato.</w:t>
      </w:r>
      <w:r>
        <w:rPr>
          <w:rFonts w:ascii="Barlow Semi Condensed" w:cs="Barlow Semi Condensed" w:eastAsia="Barlow Semi Condensed" w:hAnsi="Barlow Semi Condensed"/>
          <w:sz w:val="24"/>
          <w:szCs w:val="24"/>
        </w:rPr>
        <w:t xml:space="preserve"> Simmetricamente, l'Archivio storico del Senato conserva il fondo della prima Commissione, istituita con la legge 597 del 1979, e quello della Commissione stragi, con la declassifica per decreti presidenziali. La stessa interrogazione va ripetuta lì, e il confronto fra i due conteggi è esso stesso un dato: due archivi che restituiscono densità diverse per lo stesso nome dicono qualcosa sulle rispettive competenze.</w:t>
      </w:r>
    </w:p>
    <w:p>
      <w:pPr>
        <w:spacing w:after="120" w:line="276"/>
        <w:jc w:val="both"/>
      </w:pPr>
      <w:r>
        <w:rPr>
          <w:rFonts w:ascii="Barlow Semi Condensed" w:cs="Barlow Semi Condensed" w:eastAsia="Barlow Semi Condensed" w:hAnsi="Barlow Semi Condensed"/>
          <w:b/>
          <w:bCs/>
          <w:sz w:val="24"/>
          <w:szCs w:val="24"/>
        </w:rPr>
        <w:t xml:space="preserve">1919 · Il fondo della Direttiva e il Viminale.</w:t>
      </w:r>
      <w:r>
        <w:rPr>
          <w:rFonts w:ascii="Barlow Semi Condensed" w:cs="Barlow Semi Condensed" w:eastAsia="Barlow Semi Condensed" w:hAnsi="Barlow Semi Condensed"/>
          <w:sz w:val="24"/>
          <w:szCs w:val="24"/>
        </w:rPr>
        <w:t xml:space="preserve"> Terza sede della stessa operazione: i versamenti del Ministero dell'Interno nel fondo aperto dalla direttiva del 2014, presso l'Archivio centrale dello Stato. È il giacimento dove le schede PE-1, PE-3 e PE-6 collocano protocolli, ordini di servizio e registri delle segnalazioni. La domanda da portarvi non è se il nome vi compaia come attore, ma se compaia affatto, e in quale genere di carta.</w:t>
      </w:r>
    </w:p>
    <w:p>
      <w:pPr>
        <w:spacing w:after="120" w:line="276"/>
        <w:jc w:val="both"/>
      </w:pPr>
      <w:r>
        <w:rPr>
          <w:rFonts w:ascii="Barlow Semi Condensed" w:cs="Barlow Semi Condensed" w:eastAsia="Barlow Semi Condensed" w:hAnsi="Barlow Semi Condensed"/>
          <w:b/>
          <w:bCs/>
          <w:sz w:val="24"/>
          <w:szCs w:val="24"/>
        </w:rPr>
        <w:t xml:space="preserve">1920 · Gli atti dei cinque processi, per nome.</w:t>
      </w:r>
      <w:r>
        <w:rPr>
          <w:rFonts w:ascii="Barlow Semi Condensed" w:cs="Barlow Semi Condensed" w:eastAsia="Barlow Semi Condensed" w:hAnsi="Barlow Semi Condensed"/>
          <w:sz w:val="24"/>
          <w:szCs w:val="24"/>
        </w:rPr>
        <w:t xml:space="preserve"> Gli atti dei cinque procedimenti sono stati digitalizzati sotto il coordinamento dell'Archivio di Stato di Roma: è la base su cui si può finalmente fare, per il nome, ciò che nessuno ha fatto — un indice ragionato delle occorrenze, distinguendo le deposizioni dalle arringhe e dalle motivazioni. Il giudicato è l'unico luogo dei nomi in questo corpus, e merita di essere interrogato con strumenti seriali.</w:t>
      </w:r>
    </w:p>
    <w:p>
      <w:pPr>
        <w:spacing w:after="120" w:line="276"/>
        <w:jc w:val="both"/>
      </w:pPr>
      <w:r>
        <w:rPr>
          <w:rFonts w:ascii="Barlow Semi Condensed" w:cs="Barlow Semi Condensed" w:eastAsia="Barlow Semi Condensed" w:hAnsi="Barlow Semi Condensed"/>
          <w:b/>
          <w:bCs/>
          <w:sz w:val="24"/>
          <w:szCs w:val="24"/>
        </w:rPr>
        <w:t xml:space="preserve">1921 · La richiesta del 1983.</w:t>
      </w:r>
      <w:r>
        <w:rPr>
          <w:rFonts w:ascii="Barlow Semi Condensed" w:cs="Barlow Semi Condensed" w:eastAsia="Barlow Semi Condensed" w:hAnsi="Barlow Semi Condensed"/>
          <w:sz w:val="24"/>
          <w:szCs w:val="24"/>
        </w:rPr>
        <w:t xml:space="preserve"> È accertato che il nome non fu mai sentito dai magistrati italiani e che la richiesta informale del 1983 non ebbe seguito. Ma una richiesta, anche informale, lascia quasi sempre traccia: una nota, una lettera, un appunto di ufficio. Quesito preciso: reperirla nel fascicolo istruttorio romano e nei carteggi del Ministero di grazia e giustizia dell'epoca. La carta di un atto non compiuto è comunque un atto.</w:t>
      </w:r>
    </w:p>
    <w:p>
      <w:pPr>
        <w:spacing w:after="120" w:line="276"/>
        <w:jc w:val="both"/>
      </w:pPr>
      <w:r>
        <w:rPr>
          <w:rFonts w:ascii="Barlow Semi Condensed" w:cs="Barlow Semi Condensed" w:eastAsia="Barlow Semi Condensed" w:hAnsi="Barlow Semi Condensed"/>
          <w:b/>
          <w:bCs/>
          <w:sz w:val="24"/>
          <w:szCs w:val="24"/>
        </w:rPr>
        <w:t xml:space="preserve">1922 · Il registro si ferma a tredici nomi.</w:t>
      </w:r>
      <w:r>
        <w:rPr>
          <w:rFonts w:ascii="Barlow Semi Condensed" w:cs="Barlow Semi Condensed" w:eastAsia="Barlow Semi Condensed" w:hAnsi="Barlow Semi Condensed"/>
          <w:sz w:val="24"/>
          <w:szCs w:val="24"/>
        </w:rPr>
        <w:t xml:space="preserve"> La Fase decima del corpus costruisce il registro nominativo delle responsabilità personali sul solo giudicato definitivo relativo al sequestro, all'omicidio e all'eccidio della scorta, e vi iscrive tredici persone senza aggiungerne altre. Il nome triangolato non vi appartiene, non per cautela ma per assenza di titolo: non fu mai imputato né processato in alcun Paese. Il registro non cresce per accumulo di verosimiglianze.</w:t>
      </w:r>
    </w:p>
    <w:p>
      <w:pPr>
        <w:spacing w:after="120" w:line="276"/>
        <w:jc w:val="both"/>
      </w:pPr>
      <w:r>
        <w:rPr>
          <w:rFonts w:ascii="Barlow Semi Condensed" w:cs="Barlow Semi Condensed" w:eastAsia="Barlow Semi Condensed" w:hAnsi="Barlow Semi Condensed"/>
          <w:b/>
          <w:bCs/>
          <w:sz w:val="24"/>
          <w:szCs w:val="24"/>
        </w:rPr>
        <w:t xml:space="preserve">1923 · Lo Stato Zero era già verbalizzato.</w:t>
      </w:r>
      <w:r>
        <w:rPr>
          <w:rFonts w:ascii="Barlow Semi Condensed" w:cs="Barlow Semi Condensed" w:eastAsia="Barlow Semi Condensed" w:hAnsi="Barlow Semi Condensed"/>
          <w:sz w:val="24"/>
          <w:szCs w:val="24"/>
        </w:rPr>
        <w:t xml:space="preserve"> La Fase sesta lo aveva scritto fra le ricerche condotte e chiuse in negativo: manca il documento che leghi il nome-persona, o qualunque apparato straniero nominato, alla catena di comando del delitto. Questa serie, percorrendo il territorio paragrafo per paragrafo, non ha trovato nulla che lo sposti. Confermare un'assenza già verbalizzata non è ripetizione: è la sua conferma su una superficie nuova, ed è un'acquisizione.</w:t>
      </w:r>
    </w:p>
    <w:p>
      <w:pPr>
        <w:spacing w:after="120" w:line="276"/>
        <w:jc w:val="both"/>
      </w:pPr>
      <w:r>
        <w:rPr>
          <w:rFonts w:ascii="Barlow Semi Condensed" w:cs="Barlow Semi Condensed" w:eastAsia="Barlow Semi Condensed" w:hAnsi="Barlow Semi Condensed"/>
          <w:b/>
          <w:bCs/>
          <w:sz w:val="24"/>
          <w:szCs w:val="24"/>
        </w:rPr>
        <w:t xml:space="preserve">1924 · Che cosa questa serie ha aggiunto.</w:t>
      </w:r>
      <w:r>
        <w:rPr>
          <w:rFonts w:ascii="Barlow Semi Condensed" w:cs="Barlow Semi Condensed" w:eastAsia="Barlow Semi Condensed" w:hAnsi="Barlow Semi Condensed"/>
          <w:sz w:val="24"/>
          <w:szCs w:val="24"/>
        </w:rPr>
        <w:t xml:space="preserve"> Quattro cose, e vanno dette senza gonfiarle. Il conteggio esatto delle occorrenze del nome nel territorio. La divergenza fra la parafrasi del paragrafo nono e il testo del fascicolo che essa cita. Il rinvio anteriore di ventotto ore alla propria fonte. E il riconoscimento di un primato: la smentita dell'interessato compare qui prima che nella nota di revisione del nodo M-5. Nessun ponte nuovo, quattro accertamenti.</w:t>
      </w:r>
    </w:p>
    <w:p>
      <w:pPr>
        <w:spacing w:after="120" w:line="276"/>
        <w:jc w:val="both"/>
      </w:pPr>
      <w:r>
        <w:rPr>
          <w:rFonts w:ascii="Barlow Semi Condensed" w:cs="Barlow Semi Condensed" w:eastAsia="Barlow Semi Condensed" w:hAnsi="Barlow Semi Condensed"/>
          <w:b/>
          <w:bCs/>
          <w:sz w:val="24"/>
          <w:szCs w:val="24"/>
        </w:rPr>
        <w:t xml:space="preserve">1925 · Il fascicolo resta dov'era.</w:t>
      </w:r>
      <w:r>
        <w:rPr>
          <w:rFonts w:ascii="Barlow Semi Condensed" w:cs="Barlow Semi Condensed" w:eastAsia="Barlow Semi Condensed" w:hAnsi="Barlow Semi Condensed"/>
          <w:sz w:val="24"/>
          <w:szCs w:val="24"/>
        </w:rPr>
        <w:t xml:space="preserve"> Il territorio si congeda «davanti a un fascicolo mai chiuso», e questa serie non lo chiude né lo sposta. Ha fatto la cosa che il Movimento terzo indica come terzo termine fra il silenzio e la graduatoria: nominare i vuoti, dire quale documento manca e in quale sala si trova lo scaffale che lo conterrebbe. La verità, su questo punto, verrà dai documenti o non verrà.</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ventiseiesima — Il Portale e l’edizione strutturata</w:t>
      </w:r>
    </w:p>
    <w:p>
      <w:pPr>
        <w:spacing w:after="120" w:line="276"/>
        <w:jc w:val="both"/>
      </w:pPr>
      <w:r>
        <w:rPr>
          <w:rFonts w:ascii="Barlow Semi Condensed" w:cs="Barlow Semi Condensed" w:eastAsia="Barlow Semi Condensed" w:hAnsi="Barlow Semi Condensed"/>
          <w:i/>
          <w:iCs/>
          <w:sz w:val="24"/>
          <w:szCs w:val="24"/>
        </w:rPr>
        <w:t xml:space="preserve">Blocchi 1926-2000.</w:t>
      </w:r>
    </w:p>
    <w:p>
      <w:pPr>
        <w:spacing w:after="120" w:line="276"/>
        <w:jc w:val="both"/>
      </w:pPr>
      <w:r>
        <w:rPr>
          <w:rFonts w:ascii="Barlow Semi Condensed" w:cs="Barlow Semi Condensed" w:eastAsia="Barlow Semi Condensed" w:hAnsi="Barlow Semi Condensed"/>
          <w:b/>
          <w:bCs/>
          <w:sz w:val="24"/>
          <w:szCs w:val="24"/>
        </w:rPr>
        <w:t xml:space="preserve">1926 · Il conteggio meccanico del Portale.</w:t>
      </w:r>
      <w:r>
        <w:rPr>
          <w:rFonts w:ascii="Barlow Semi Condensed" w:cs="Barlow Semi Condensed" w:eastAsia="Barlow Semi Condensed" w:hAnsi="Barlow Semi Condensed"/>
          <w:sz w:val="24"/>
          <w:szCs w:val="24"/>
        </w:rPr>
        <w:t xml:space="preserve"> La ricerca della stringa su aldo-moro-una-guerra-senza-fine-edizione-strutturata.md restituisce zero occorrenze del nome. È accertamento meccanico, rieseguibile da chiunque, e va verbalizzato col perimetro esatto che l'agenda prescrive al blocco 233: trentadue capitoli, cinque Fasi, quattro serie di servizio, bibliografia in sei sezioni, nota di chiusura. Non è reticenza e non è scoperta: è il dato da cui questa serie parte, e ogni blocco che segue ne misura la portata.</w:t>
      </w:r>
    </w:p>
    <w:p>
      <w:pPr>
        <w:spacing w:after="120" w:line="276"/>
        <w:jc w:val="both"/>
      </w:pPr>
      <w:r>
        <w:rPr>
          <w:rFonts w:ascii="Barlow Semi Condensed" w:cs="Barlow Semi Condensed" w:eastAsia="Barlow Semi Condensed" w:hAnsi="Barlow Semi Condensed"/>
          <w:b/>
          <w:bCs/>
          <w:sz w:val="24"/>
          <w:szCs w:val="24"/>
        </w:rPr>
        <w:t xml:space="preserve">1927 · Che cosa quello zero non prova.</w:t>
      </w:r>
      <w:r>
        <w:rPr>
          <w:rFonts w:ascii="Barlow Semi Condensed" w:cs="Barlow Semi Condensed" w:eastAsia="Barlow Semi Condensed" w:hAnsi="Barlow Semi Condensed"/>
          <w:sz w:val="24"/>
          <w:szCs w:val="24"/>
        </w:rPr>
        <w:t xml:space="preserve"> Un'assenza nell'indice non è un'assenza negli archivi. Il blocco mirato numero uno dichiara la natura dell'edizione — «chi legge solo queste pagine ha la mappa; chi apre i documenti richiamati ha il territorio» — e dunque il silenzio del sommario non attesta il silenzio delle fonti. Regola di lettura applicabile: lo zero del Portale si interpreta soltanto confrontandolo, documento per documento, con ciò che il Portale rinvia a leggere.</w:t>
      </w:r>
    </w:p>
    <w:p>
      <w:pPr>
        <w:spacing w:after="120" w:line="276"/>
        <w:jc w:val="both"/>
      </w:pPr>
      <w:r>
        <w:rPr>
          <w:rFonts w:ascii="Barlow Semi Condensed" w:cs="Barlow Semi Condensed" w:eastAsia="Barlow Semi Condensed" w:hAnsi="Barlow Semi Condensed"/>
          <w:b/>
          <w:bCs/>
          <w:sz w:val="24"/>
          <w:szCs w:val="24"/>
        </w:rPr>
        <w:t xml:space="preserve">1928 · Dove il nome vive nel territorio.</w:t>
      </w:r>
      <w:r>
        <w:rPr>
          <w:rFonts w:ascii="Barlow Semi Condensed" w:cs="Barlow Semi Condensed" w:eastAsia="Barlow Semi Condensed" w:hAnsi="Barlow Semi Condensed"/>
          <w:sz w:val="24"/>
          <w:szCs w:val="24"/>
        </w:rPr>
        <w:t xml:space="preserve"> I documenti che l'edizione richiama e che il nome contengono sono cinque, e vanno elencati perché la mappa non li dichiara: la Parte terza al capitolo nono, dal-che-a-moro-una-guerra-senza-fine.md nel Cile e nel bilancio finale, la Fase sesta al capitolo cinquantaquattresimo, la Fase nona al capitolo settantaquattresimo, e sei delle ricognizioni originali della cartella Farnesina. Fuori di lì, nel corpus moroteo, il nome non compare.</w:t>
      </w:r>
    </w:p>
    <w:p>
      <w:pPr>
        <w:spacing w:after="120" w:line="276"/>
        <w:jc w:val="both"/>
      </w:pPr>
      <w:r>
        <w:rPr>
          <w:rFonts w:ascii="Barlow Semi Condensed" w:cs="Barlow Semi Condensed" w:eastAsia="Barlow Semi Condensed" w:hAnsi="Barlow Semi Condensed"/>
          <w:b/>
          <w:bCs/>
          <w:sz w:val="24"/>
          <w:szCs w:val="24"/>
        </w:rPr>
        <w:t xml:space="preserve">1929 · Il capitolo mai rimappato.</w:t>
      </w:r>
      <w:r>
        <w:rPr>
          <w:rFonts w:ascii="Barlow Semi Condensed" w:cs="Barlow Semi Condensed" w:eastAsia="Barlow Semi Condensed" w:hAnsi="Barlow Semi Condensed"/>
          <w:sz w:val="24"/>
          <w:szCs w:val="24"/>
        </w:rPr>
        <w:t xml:space="preserve"> Nessun capitolo dell'edizione strutturata rinvia al nono della Parte terza, «Il quadro internazionale», che nomina Kissinger due volte ed è l'unico luogo del corpus a formulare il divieto in forma pura. Il Portale richiama la Parte terza ai capitoli quinto, sesto e settimo, e in forma generica per il falso della Duchessa. Lacuna editoriale verbalizzata; la sede che la chiuderebbe è l'edizione stessa, al Capitolo VIII o al XXIX.</w:t>
      </w:r>
    </w:p>
    <w:p>
      <w:pPr>
        <w:spacing w:after="120" w:line="276"/>
        <w:jc w:val="both"/>
      </w:pPr>
      <w:r>
        <w:rPr>
          <w:rFonts w:ascii="Barlow Semi Condensed" w:cs="Barlow Semi Condensed" w:eastAsia="Barlow Semi Condensed" w:hAnsi="Barlow Semi Condensed"/>
          <w:b/>
          <w:bCs/>
          <w:sz w:val="24"/>
          <w:szCs w:val="24"/>
        </w:rPr>
        <w:t xml:space="preserve">1930 · I due rinvii del Capitolo VIII.</w:t>
      </w:r>
      <w:r>
        <w:rPr>
          <w:rFonts w:ascii="Barlow Semi Condensed" w:cs="Barlow Semi Condensed" w:eastAsia="Barlow Semi Condensed" w:hAnsi="Barlow Semi Condensed"/>
          <w:sz w:val="24"/>
          <w:szCs w:val="24"/>
        </w:rPr>
        <w:t xml:space="preserve"> Due soli documenti sono richiamati dal Capitolo VIII. Il primo, dal-che-a-moro, nomina Kissinger a proposito del Cile e del bilancio finale; il secondo, cronologia-guevara-moro.html, restituisce zero occorrenze e non reca alcuna voce per il settembre 1974, limitandosi a un riquadro «1974–1976» sul ritorno a Palazzo Chigi. L'asimmetria fra i due rinvii va dichiarata: metà del rimando porta al nome, metà lo esclude per costruzione.</w:t>
      </w:r>
    </w:p>
    <w:p>
      <w:pPr>
        <w:spacing w:after="120" w:line="276"/>
        <w:jc w:val="both"/>
      </w:pPr>
      <w:r>
        <w:rPr>
          <w:rFonts w:ascii="Barlow Semi Condensed" w:cs="Barlow Semi Condensed" w:eastAsia="Barlow Semi Condensed" w:hAnsi="Barlow Semi Condensed"/>
          <w:b/>
          <w:bCs/>
          <w:sz w:val="24"/>
          <w:szCs w:val="24"/>
        </w:rPr>
        <w:t xml:space="preserve">1931 · Il Cile dentro il rinvio.</w:t>
      </w:r>
      <w:r>
        <w:rPr>
          <w:rFonts w:ascii="Barlow Semi Condensed" w:cs="Barlow Semi Condensed" w:eastAsia="Barlow Semi Condensed" w:hAnsi="Barlow Semi Condensed"/>
          <w:sz w:val="24"/>
          <w:szCs w:val="24"/>
        </w:rPr>
        <w:t xml:space="preserve"> dal-che-a-moro scrive che la caduta di Allende ebbe «la responsabilità primaria, documentata, degli apparati statunitensi supervisionati da Henry Kissinger, come il corpus ha verificato su fonti primarie». Il passo non elenca quelle fonti. Quesito da portare in archivio: identificarle una per una. Sedi indicate dalla stessa bibliografia dell'edizione, sezione prima: la CIA FOIA Electronic Reading Room; e fuori di essa il rapporto della Commissione Church del 1975.</w:t>
      </w:r>
    </w:p>
    <w:p>
      <w:pPr>
        <w:spacing w:after="120" w:line="276"/>
        <w:jc w:val="both"/>
      </w:pPr>
      <w:r>
        <w:rPr>
          <w:rFonts w:ascii="Barlow Semi Condensed" w:cs="Barlow Semi Condensed" w:eastAsia="Barlow Semi Condensed" w:hAnsi="Barlow Semi Condensed"/>
          <w:b/>
          <w:bCs/>
          <w:sz w:val="24"/>
          <w:szCs w:val="24"/>
        </w:rPr>
        <w:t xml:space="preserve">1932 · Responsabilità documentata non è imputazione.</w:t>
      </w:r>
      <w:r>
        <w:rPr>
          <w:rFonts w:ascii="Barlow Semi Condensed" w:cs="Barlow Semi Condensed" w:eastAsia="Barlow Semi Condensed" w:hAnsi="Barlow Semi Condensed"/>
          <w:sz w:val="24"/>
          <w:szCs w:val="24"/>
        </w:rPr>
        <w:t xml:space="preserve"> Va letta insieme all'accertamento K-2 dell'apparato Kissinger, quella formula sul Cile: non risulta alcuna sentenza, alcun rinvio a giudizio, alcun procedimento penale in alcun Paese; non fu mai imputato né processato. La supervisione di apparati è fatto storico-politico documentabile; la responsabilità penale è altra cosa e nessun giudice l'ha affermata. Il Portale, che il nome non porta, non incorre nel rischio; il documento rinviato lo porta, e chiede la nota.</w:t>
      </w:r>
    </w:p>
    <w:p>
      <w:pPr>
        <w:spacing w:after="120" w:line="276"/>
        <w:jc w:val="both"/>
      </w:pPr>
      <w:r>
        <w:rPr>
          <w:rFonts w:ascii="Barlow Semi Condensed" w:cs="Barlow Semi Condensed" w:eastAsia="Barlow Semi Condensed" w:hAnsi="Barlow Semi Condensed"/>
          <w:b/>
          <w:bCs/>
          <w:sz w:val="24"/>
          <w:szCs w:val="24"/>
        </w:rPr>
        <w:t xml:space="preserve">1933 · La data cilena fuori dal registro.</w:t>
      </w:r>
      <w:r>
        <w:rPr>
          <w:rFonts w:ascii="Barlow Semi Condensed" w:cs="Barlow Semi Condensed" w:eastAsia="Barlow Semi Condensed" w:hAnsi="Barlow Semi Condensed"/>
          <w:sz w:val="24"/>
          <w:szCs w:val="24"/>
        </w:rPr>
        <w:t xml:space="preserve"> Il registro cronologico essenziale, blocchi 801-812, non contiene l'11 settembre 1973, benché il Capitolo VIII poggi su quello snodo per spiegare perché la manovra di Moro facesse paura. Accertamento con grado dichiarato: è coerenza, non omissione, se il criterio del registro è la sola storia interna italiana. Bersaglio minimo: che il registro dichiari il proprio criterio d'inclusione, perché oggi non lo dichiara e il lettore lo deve inferire.</w:t>
      </w:r>
    </w:p>
    <w:p>
      <w:pPr>
        <w:spacing w:after="120" w:line="276"/>
        <w:jc w:val="both"/>
      </w:pPr>
      <w:r>
        <w:rPr>
          <w:rFonts w:ascii="Barlow Semi Condensed" w:cs="Barlow Semi Condensed" w:eastAsia="Barlow Semi Condensed" w:hAnsi="Barlow Semi Condensed"/>
          <w:b/>
          <w:bCs/>
          <w:sz w:val="24"/>
          <w:szCs w:val="24"/>
        </w:rPr>
        <w:t xml:space="preserve">1934 · Il blocco 201 e la parola FRUS.</w:t>
      </w:r>
      <w:r>
        <w:rPr>
          <w:rFonts w:ascii="Barlow Semi Condensed" w:cs="Barlow Semi Condensed" w:eastAsia="Barlow Semi Condensed" w:hAnsi="Barlow Semi Condensed"/>
          <w:sz w:val="24"/>
          <w:szCs w:val="24"/>
        </w:rPr>
        <w:t xml:space="preserve"> La griglia della Fase seconda elenca fra le fonti i «FRUS desecretati», con indirizzo nella cartella Farnesina, e non nomina alcun documento. Quesito: quali documenti FRUS reggono davvero la Fase seconda. La ricognizione-ministro-esteri-1969-1974.md ne nomina tre — E-15 parte 2 doc. 350, volume XLI doc. 180 e doc. 188 — e sono gli unici del corpus. La griglia dovrebbe portarli, o dichiarare che rinvia in blocco.</w:t>
      </w:r>
    </w:p>
    <w:p>
      <w:pPr>
        <w:spacing w:after="120" w:line="276"/>
        <w:jc w:val="both"/>
      </w:pPr>
      <w:r>
        <w:rPr>
          <w:rFonts w:ascii="Barlow Semi Condensed" w:cs="Barlow Semi Condensed" w:eastAsia="Barlow Semi Condensed" w:hAnsi="Barlow Semi Condensed"/>
          <w:b/>
          <w:bCs/>
          <w:sz w:val="24"/>
          <w:szCs w:val="24"/>
        </w:rPr>
        <w:t xml:space="preserve">1935 · Il tetto B dei desecretati.</w:t>
      </w:r>
      <w:r>
        <w:rPr>
          <w:rFonts w:ascii="Barlow Semi Condensed" w:cs="Barlow Semi Condensed" w:eastAsia="Barlow Semi Condensed" w:hAnsi="Barlow Semi Condensed"/>
          <w:sz w:val="24"/>
          <w:szCs w:val="24"/>
        </w:rPr>
        <w:t xml:space="preserve"> Ai documenti desecretati il blocco 1053 assegna tetto di grado B; agli atti normativi il 1054 assegna A/F. Un memorandum of conversation edito dall'Office of the Historian sta a metà: è atto d'ufficio, non rilascio d'intelligence. Divergenza da riportare e non da sciogliere qui: il corpus deve dire se un verbale presidenziale «fa fede del testo» come una Gazzetta o «attesta con protocollo» come un rilascio.</w:t>
      </w:r>
    </w:p>
    <w:p>
      <w:pPr>
        <w:spacing w:after="120" w:line="276"/>
        <w:jc w:val="both"/>
      </w:pPr>
      <w:r>
        <w:rPr>
          <w:rFonts w:ascii="Barlow Semi Condensed" w:cs="Barlow Semi Condensed" w:eastAsia="Barlow Semi Condensed" w:hAnsi="Barlow Semi Condensed"/>
          <w:b/>
          <w:bCs/>
          <w:sz w:val="24"/>
          <w:szCs w:val="24"/>
        </w:rPr>
        <w:t xml:space="preserve">1936 · Il documento e il documentato.</w:t>
      </w:r>
      <w:r>
        <w:rPr>
          <w:rFonts w:ascii="Barlow Semi Condensed" w:cs="Barlow Semi Condensed" w:eastAsia="Barlow Semi Condensed" w:hAnsi="Barlow Semi Condensed"/>
          <w:sz w:val="24"/>
          <w:szCs w:val="24"/>
        </w:rPr>
        <w:t xml:space="preserve"> Distinguere il documento dal documentato, come prescrive il Capitolo III, taglia l'intero asse atlantico. Il verbale del 25 settembre 1974 documenta che una posizione fu espressa a Ford; non documenta che quella posizione si sia tradotta in atto, né che Moro l'abbia udita nei termini che circolano. Regola di lettura applicabile a ogni citazione FRUS del corpus, ed è quella che dissolve la maggior parte della pubblicistica atlantica.</w:t>
      </w:r>
    </w:p>
    <w:p>
      <w:pPr>
        <w:spacing w:after="120" w:line="276"/>
        <w:jc w:val="both"/>
      </w:pPr>
      <w:r>
        <w:rPr>
          <w:rFonts w:ascii="Barlow Semi Condensed" w:cs="Barlow Semi Condensed" w:eastAsia="Barlow Semi Condensed" w:hAnsi="Barlow Semi Condensed"/>
          <w:b/>
          <w:bCs/>
          <w:sz w:val="24"/>
          <w:szCs w:val="24"/>
        </w:rPr>
        <w:t xml:space="preserve">1937 · Il verbale che il Portale non cita.</w:t>
      </w:r>
      <w:r>
        <w:rPr>
          <w:rFonts w:ascii="Barlow Semi Condensed" w:cs="Barlow Semi Condensed" w:eastAsia="Barlow Semi Condensed" w:hAnsi="Barlow Semi Condensed"/>
          <w:sz w:val="24"/>
          <w:szCs w:val="24"/>
        </w:rPr>
        <w:t xml:space="preserve"> L'accertamento resta quello fissato dall'opera: FRUS 1969-1976, volume E-15 parte 2, documento 350, seconda edizione riveduta; Ford Library, file 1552802; e nessun ultimatum personale ad Aldo Moro nel testo. Il Capitolo VI dichiara che il corpus ha documentato «per intero» la dimensione Farnesina, ma il verbale non compare nell'edizione. Bersaglio editoriale: portarvelo con la segnatura completa, perché una dimensione documentata per intero cita almeno il proprio documento migliore.</w:t>
      </w:r>
    </w:p>
    <w:p>
      <w:pPr>
        <w:spacing w:after="120" w:line="276"/>
        <w:jc w:val="both"/>
      </w:pPr>
      <w:r>
        <w:rPr>
          <w:rFonts w:ascii="Barlow Semi Condensed" w:cs="Barlow Semi Condensed" w:eastAsia="Barlow Semi Condensed" w:hAnsi="Barlow Semi Condensed"/>
          <w:b/>
          <w:bCs/>
          <w:sz w:val="24"/>
          <w:szCs w:val="24"/>
        </w:rPr>
        <w:t xml:space="preserve">1938 · Il secondo verbale, mai spogliato.</w:t>
      </w:r>
      <w:r>
        <w:rPr>
          <w:rFonts w:ascii="Barlow Semi Condensed" w:cs="Barlow Semi Condensed" w:eastAsia="Barlow Semi Condensed" w:hAnsi="Barlow Semi Condensed"/>
          <w:sz w:val="24"/>
          <w:szCs w:val="24"/>
        </w:rPr>
        <w:t xml:space="preserve"> Il colloquio del 26 settembre 1974 è conservato alla Ford Library come file 1552806 ed è dichiarato esistente dalla ricognizione della Farnesina, che però non ne esaurisce lo spoglio. Quesito da portare in archivio: Gerald R. Ford Presidential Library, National Security Adviser's Memoranda of Conversation, unità 1552806, lettura integrale. Grado atteso all'esito: F sui fatti del colloquio. Finché non è letto, si indica come bersaglio aperto e non si cita come noto.</w:t>
      </w:r>
    </w:p>
    <w:p>
      <w:pPr>
        <w:spacing w:after="120" w:line="276"/>
        <w:jc w:val="both"/>
      </w:pPr>
      <w:r>
        <w:rPr>
          <w:rFonts w:ascii="Barlow Semi Condensed" w:cs="Barlow Semi Condensed" w:eastAsia="Barlow Semi Condensed" w:hAnsi="Barlow Semi Condensed"/>
          <w:b/>
          <w:bCs/>
          <w:sz w:val="24"/>
          <w:szCs w:val="24"/>
        </w:rPr>
        <w:t xml:space="preserve">1939 · La vigilia e la parola «tough».</w:t>
      </w:r>
      <w:r>
        <w:rPr>
          <w:rFonts w:ascii="Barlow Semi Condensed" w:cs="Barlow Semi Condensed" w:eastAsia="Barlow Semi Condensed" w:hAnsi="Barlow Semi Condensed"/>
          <w:sz w:val="24"/>
          <w:szCs w:val="24"/>
        </w:rPr>
        <w:t xml:space="preserve"> Alla vigilia, il verbale attesta che Kissinger disse a Ford che agli italiani andava detto duramente come qualunque presenza comunista al governo avrebbe mutato le relazioni, con una valutazione sul contagio in Francia, Germania e Grecia. È posizione documentata di un uomo di governo: piano 1 quanto alla posizione. Il Capitolo XIII poggia la lettura del bersaglio su «convergenza documentata» e non la cita: aggiungerla non ne muterebbe il grado.</w:t>
      </w:r>
    </w:p>
    <w:p>
      <w:pPr>
        <w:spacing w:after="120" w:line="276"/>
        <w:jc w:val="both"/>
      </w:pPr>
      <w:r>
        <w:rPr>
          <w:rFonts w:ascii="Barlow Semi Condensed" w:cs="Barlow Semi Condensed" w:eastAsia="Barlow Semi Condensed" w:hAnsi="Barlow Semi Condensed"/>
          <w:b/>
          <w:bCs/>
          <w:sz w:val="24"/>
          <w:szCs w:val="24"/>
        </w:rPr>
        <w:t xml:space="preserve">1940 · I tre piani, misurati sul Portale.</w:t>
      </w:r>
      <w:r>
        <w:rPr>
          <w:rFonts w:ascii="Barlow Semi Condensed" w:cs="Barlow Semi Condensed" w:eastAsia="Barlow Semi Condensed" w:hAnsi="Barlow Semi Condensed"/>
          <w:sz w:val="24"/>
          <w:szCs w:val="24"/>
        </w:rPr>
        <w:t xml:space="preserve"> Piano 1: la compresenza di Moro e Kissinger nello Studio Ovale il 25 settembre 1974, che è un incontro e non un mandato. Piano 2: l'ostilità atlantica all'ingresso dei comunisti, cornice condivisa da decine di soggetti fra loro estranei. Piano 3: l'ultimatum che circola. L'edizione strutturata non porta nessuno dei tre. Aggiungere il solo piano 1, con la segnatura, sarebbe l'unica integrazione conforme al suo statuto.</w:t>
      </w:r>
    </w:p>
    <w:p>
      <w:pPr>
        <w:spacing w:after="120" w:line="276"/>
        <w:jc w:val="both"/>
      </w:pPr>
      <w:r>
        <w:rPr>
          <w:rFonts w:ascii="Barlow Semi Condensed" w:cs="Barlow Semi Condensed" w:eastAsia="Barlow Semi Condensed" w:hAnsi="Barlow Semi Condensed"/>
          <w:b/>
          <w:bCs/>
          <w:sz w:val="24"/>
          <w:szCs w:val="24"/>
        </w:rPr>
        <w:t xml:space="preserve">1941 · I due mandati compressi.</w:t>
      </w:r>
      <w:r>
        <w:rPr>
          <w:rFonts w:ascii="Barlow Semi Condensed" w:cs="Barlow Semi Condensed" w:eastAsia="Barlow Semi Condensed" w:hAnsi="Barlow Semi Condensed"/>
          <w:sz w:val="24"/>
          <w:szCs w:val="24"/>
        </w:rPr>
        <w:t xml:space="preserve"> Due mandati, dice il Capitolo VI; un arco unico, «5 agosto 1969 – 23 novembre 1974», stampa il blocco 804. Le ricognizioni della Farnesina li datano invece 5 agosto 1969 – 26 giugno 1972 e 7 luglio 1973 – 23 novembre 1974. La divergenza formale si riporta perché conta: l'incontro di Washington cade nel secondo mandato, a due mesi dalla sua fine, e il registro compresso lo nasconde.</w:t>
      </w:r>
    </w:p>
    <w:p>
      <w:pPr>
        <w:spacing w:after="120" w:line="276"/>
        <w:jc w:val="both"/>
      </w:pPr>
      <w:r>
        <w:rPr>
          <w:rFonts w:ascii="Barlow Semi Condensed" w:cs="Barlow Semi Condensed" w:eastAsia="Barlow Semi Condensed" w:hAnsi="Barlow Semi Condensed"/>
          <w:b/>
          <w:bCs/>
          <w:sz w:val="24"/>
          <w:szCs w:val="24"/>
        </w:rPr>
        <w:t xml:space="preserve">1942 · I quattro versanti nazionali.</w:t>
      </w:r>
      <w:r>
        <w:rPr>
          <w:rFonts w:ascii="Barlow Semi Condensed" w:cs="Barlow Semi Condensed" w:eastAsia="Barlow Semi Condensed" w:hAnsi="Barlow Semi Condensed"/>
          <w:sz w:val="24"/>
          <w:szCs w:val="24"/>
        </w:rPr>
        <w:t xml:space="preserve"> Germania, Portogallo, Grecia, Turchia: il Capitolo XI li grada per presenza o Stato Zero dell'Opus Dei. Verifica eseguita sui testi originali della cartella: il nome di Kissinger compare in tre di quei quattro fascicoli, sempre come attore statunitense e mai in relazione documentata con Moro. È convergenza di cornice, piano 2, e il capitolo fa bene a non registrarla come nodo del caso italiano.</w:t>
      </w:r>
    </w:p>
    <w:p>
      <w:pPr>
        <w:spacing w:after="120" w:line="276"/>
        <w:jc w:val="both"/>
      </w:pPr>
      <w:r>
        <w:rPr>
          <w:rFonts w:ascii="Barlow Semi Condensed" w:cs="Barlow Semi Condensed" w:eastAsia="Barlow Semi Condensed" w:hAnsi="Barlow Semi Condensed"/>
          <w:b/>
          <w:bCs/>
          <w:sz w:val="24"/>
          <w:szCs w:val="24"/>
        </w:rPr>
        <w:t xml:space="preserve">1943 · Lisbona e il regime neutralista.</w:t>
      </w:r>
      <w:r>
        <w:rPr>
          <w:rFonts w:ascii="Barlow Semi Condensed" w:cs="Barlow Semi Condensed" w:eastAsia="Barlow Semi Condensed" w:hAnsi="Barlow Semi Condensed"/>
          <w:sz w:val="24"/>
          <w:szCs w:val="24"/>
        </w:rPr>
        <w:t xml:space="preserve"> portogallo-opus-dei.md cita FRUS E-15 parte 2, documento 153, dove Kissinger paventa per Lisbona «not a Communist take-over, but a leftist neutralist regime remaining within NATO». Stessa parte dello stesso volume che ospita il documento 350. Quesito da portare in archivio: spogliare integralmente E-15 parte 2 per verificare se il dossier italiano e quello portoghese siano trattati nella medesima serie documentale, e con quale continuità di redazione.</w:t>
      </w:r>
    </w:p>
    <w:p>
      <w:pPr>
        <w:spacing w:after="120" w:line="276"/>
        <w:jc w:val="both"/>
      </w:pPr>
      <w:r>
        <w:rPr>
          <w:rFonts w:ascii="Barlow Semi Condensed" w:cs="Barlow Semi Condensed" w:eastAsia="Barlow Semi Condensed" w:hAnsi="Barlow Semi Condensed"/>
          <w:b/>
          <w:bCs/>
          <w:sz w:val="24"/>
          <w:szCs w:val="24"/>
        </w:rPr>
        <w:t xml:space="preserve">1944 · Helsinki e «l'insofferenza».</w:t>
      </w:r>
      <w:r>
        <w:rPr>
          <w:rFonts w:ascii="Barlow Semi Condensed" w:cs="Barlow Semi Condensed" w:eastAsia="Barlow Semi Condensed" w:hAnsi="Barlow Semi Condensed"/>
          <w:sz w:val="24"/>
          <w:szCs w:val="24"/>
        </w:rPr>
        <w:t xml:space="preserve"> portogallo-santa-sede-1969-1974.md riferisce, su fonte giornalistica, che Moro ottenne il coinvolgimento formale della Comunità nella firma dell'Atto finale «sfidando l'insofferenza di Kissinger». Statuto della frase secondo il blocco 1056: pubblicistica, tetto C, indizio di pista e non accertamento. Bersaglio: reperire la fonte primaria di quella insofferenza nei verbali della delegazione statunitense alla CSCE. Sedi: FRUS volume XXXIX e NARA, RG 59, Central Foreign Policy Files.</w:t>
      </w:r>
    </w:p>
    <w:p>
      <w:pPr>
        <w:spacing w:after="120" w:line="276"/>
        <w:jc w:val="both"/>
      </w:pPr>
      <w:r>
        <w:rPr>
          <w:rFonts w:ascii="Barlow Semi Condensed" w:cs="Barlow Semi Condensed" w:eastAsia="Barlow Semi Condensed" w:hAnsi="Barlow Semi Condensed"/>
          <w:b/>
          <w:bCs/>
          <w:sz w:val="24"/>
          <w:szCs w:val="24"/>
        </w:rPr>
        <w:t xml:space="preserve">1945 · Il telegramma del 2 agosto 1975.</w:t>
      </w:r>
      <w:r>
        <w:rPr>
          <w:rFonts w:ascii="Barlow Semi Condensed" w:cs="Barlow Semi Condensed" w:eastAsia="Barlow Semi Condensed" w:hAnsi="Barlow Semi Condensed"/>
          <w:sz w:val="24"/>
          <w:szCs w:val="24"/>
        </w:rPr>
        <w:t xml:space="preserve"> grecia-opus-dei-1969-1985.md cita FRUS volume XXXIX, documento 334, telegramma a firma Kissinger del 2 agosto 1975, che descrive la cerimonia conclusiva di Helsinki e la dichiarazione interpretativa cipriota contro la riserva turca. Piano 1 come documento, e riguarda Cipro, non Moro. Regola che ne discende: un documento firmato da un nome è ponte verso ciò che quel documento dispone, non verso un terzo che vi compare accanto.</w:t>
      </w:r>
    </w:p>
    <w:p>
      <w:pPr>
        <w:spacing w:after="120" w:line="276"/>
        <w:jc w:val="both"/>
      </w:pPr>
      <w:r>
        <w:rPr>
          <w:rFonts w:ascii="Barlow Semi Condensed" w:cs="Barlow Semi Condensed" w:eastAsia="Barlow Semi Condensed" w:hAnsi="Barlow Semi Condensed"/>
          <w:b/>
          <w:bCs/>
          <w:sz w:val="24"/>
          <w:szCs w:val="24"/>
        </w:rPr>
        <w:t xml:space="preserve">1946 · Il dossier turco degli oppiacei.</w:t>
      </w:r>
      <w:r>
        <w:rPr>
          <w:rFonts w:ascii="Barlow Semi Condensed" w:cs="Barlow Semi Condensed" w:eastAsia="Barlow Semi Condensed" w:hAnsi="Barlow Semi Condensed"/>
          <w:sz w:val="24"/>
          <w:szCs w:val="24"/>
        </w:rPr>
        <w:t xml:space="preserve"> turchia-opus-dei-1969-1975.md ricostruisce la reazione di Washington alla revoca del divieto sul papavero: memorandum di Kissinger a Ford, FRUS volume XXX documento 208; paper del gruppo interdipartimentale, documento 206; National Security Decision Memorandum 267 del 23 agosto 1974, documento 209. E dichiara l'esito negativo: nessun riferimento a colloqui di Moro sulla questione turca. Sede di chiusura già scritta: consultazione integrale dei volumi FRUS pertinenti e indice per nome.</w:t>
      </w:r>
    </w:p>
    <w:p>
      <w:pPr>
        <w:spacing w:after="120" w:line="276"/>
        <w:jc w:val="both"/>
      </w:pPr>
      <w:r>
        <w:rPr>
          <w:rFonts w:ascii="Barlow Semi Condensed" w:cs="Barlow Semi Condensed" w:eastAsia="Barlow Semi Condensed" w:hAnsi="Barlow Semi Condensed"/>
          <w:b/>
          <w:bCs/>
          <w:sz w:val="24"/>
          <w:szCs w:val="24"/>
        </w:rPr>
        <w:t xml:space="preserve">1947 · Il Comitato dei 303 e l'anteriorità.</w:t>
      </w:r>
      <w:r>
        <w:rPr>
          <w:rFonts w:ascii="Barlow Semi Condensed" w:cs="Barlow Semi Condensed" w:eastAsia="Barlow Semi Condensed" w:hAnsi="Barlow Semi Condensed"/>
          <w:sz w:val="24"/>
          <w:szCs w:val="24"/>
        </w:rPr>
        <w:t xml:space="preserve"> FRUS volume XLI, documento 180: riunione dell'11 marzo 1969 presieduta da Kissinger, con Johnson, Packard e Helms; Karamessines illustra il sostegno coperto ai partiti italiani 1948-1968 e i presenti convengono all'unanimità che non vi sia reale giustificazione per riprenderlo. Moro divenne ministro il 5 agosto 1969: qui non c'è contemporaneità, c'è precedenza. Il Portale non porta questo documento, che è il miglior negativo dell'intero asse.</w:t>
      </w:r>
    </w:p>
    <w:p>
      <w:pPr>
        <w:spacing w:after="120" w:line="276"/>
        <w:jc w:val="both"/>
      </w:pPr>
      <w:r>
        <w:rPr>
          <w:rFonts w:ascii="Barlow Semi Condensed" w:cs="Barlow Semi Condensed" w:eastAsia="Barlow Semi Condensed" w:hAnsi="Barlow Semi Condensed"/>
          <w:b/>
          <w:bCs/>
          <w:sz w:val="24"/>
          <w:szCs w:val="24"/>
        </w:rPr>
        <w:t xml:space="preserve">1948 · Il programma riemerso nel 1975.</w:t>
      </w:r>
      <w:r>
        <w:rPr>
          <w:rFonts w:ascii="Barlow Semi Condensed" w:cs="Barlow Semi Condensed" w:eastAsia="Barlow Semi Condensed" w:hAnsi="Barlow Semi Condensed"/>
          <w:sz w:val="24"/>
          <w:szCs w:val="24"/>
        </w:rPr>
        <w:t xml:space="preserve"> Un saggio con revisione paritaria del 2024 segnala che il programma di azione coperta in Italia riemerse nel novembre 1975 e nel luglio 1976, quando Moro era presidente del Consiglio. Grado dichiarato: fonte secondaria qualificata, da riscontrare sui primari. Sedi: NARA, Nixon Presidential Materials e Ford Library, NSC Files, Country Files: Italy. La Fase seconda del Portale non registra il fatto, e la sua griglia delle fonti non lo prevede.</w:t>
      </w:r>
    </w:p>
    <w:p>
      <w:pPr>
        <w:spacing w:after="120" w:line="276"/>
        <w:jc w:val="both"/>
      </w:pPr>
      <w:r>
        <w:rPr>
          <w:rFonts w:ascii="Barlow Semi Condensed" w:cs="Barlow Semi Condensed" w:eastAsia="Barlow Semi Condensed" w:hAnsi="Barlow Semi Condensed"/>
          <w:b/>
          <w:bCs/>
          <w:sz w:val="24"/>
          <w:szCs w:val="24"/>
        </w:rPr>
        <w:t xml:space="preserve">1949 · Lo «study on Italy» del dicembre 1969.</w:t>
      </w:r>
      <w:r>
        <w:rPr>
          <w:rFonts w:ascii="Barlow Semi Condensed" w:cs="Barlow Semi Condensed" w:eastAsia="Barlow Semi Condensed" w:hAnsi="Barlow Semi Condensed"/>
          <w:sz w:val="24"/>
          <w:szCs w:val="24"/>
        </w:rPr>
        <w:t xml:space="preserve"> Nel dicembre 1969 Nixon istruì di avviare uno studio sull'Italia: lo registra FRUS volume XLI, documento 188, mentre Moro era al primo mandato. Uno studio interno non istituisce relazione col ministro di un altro Stato: piano 2, e non oltre. Quesito: se lo studio fu prodotto, con quale titolo e in quale serie sia archiviato. Sede: NARA, NSC Institutional Files, e l'indice cronologico dei NSSM.</w:t>
      </w:r>
    </w:p>
    <w:p>
      <w:pPr>
        <w:spacing w:after="120" w:line="276"/>
        <w:jc w:val="both"/>
      </w:pPr>
      <w:r>
        <w:rPr>
          <w:rFonts w:ascii="Barlow Semi Condensed" w:cs="Barlow Semi Condensed" w:eastAsia="Barlow Semi Condensed" w:hAnsi="Barlow Semi Condensed"/>
          <w:b/>
          <w:bCs/>
          <w:sz w:val="24"/>
          <w:szCs w:val="24"/>
        </w:rPr>
        <w:t xml:space="preserve">1950 · Il lodo e il vuoto atlantico.</w:t>
      </w:r>
      <w:r>
        <w:rPr>
          <w:rFonts w:ascii="Barlow Semi Condensed" w:cs="Barlow Semi Condensed" w:eastAsia="Barlow Semi Condensed" w:hAnsi="Barlow Semi Condensed"/>
          <w:sz w:val="24"/>
          <w:szCs w:val="24"/>
        </w:rPr>
        <w:t xml:space="preserve"> Aperta resta, per il blocco 205, la domanda se la politica mediterranea abbia pesato sul caso, coi documenti mancanti rinviati alla cartella Farnesina. Verifica eseguita: nelle ricognizioni del branch il lodo Moro è trattato su Lomellini, Pacini e fonti divulgative, e non vi compare alcuna valutazione statunitense. Stato Zero dichiarato; sedi che lo chiuderebbero: FRUS E-15 e NARA, RG 59, Central Foreign Policy Files 1973-1976.</w:t>
      </w:r>
    </w:p>
    <w:p>
      <w:pPr>
        <w:spacing w:after="120" w:line="276"/>
        <w:jc w:val="both"/>
      </w:pPr>
      <w:r>
        <w:rPr>
          <w:rFonts w:ascii="Barlow Semi Condensed" w:cs="Barlow Semi Condensed" w:eastAsia="Barlow Semi Condensed" w:hAnsi="Barlow Semi Condensed"/>
          <w:b/>
          <w:bCs/>
          <w:sz w:val="24"/>
          <w:szCs w:val="24"/>
        </w:rPr>
        <w:t xml:space="preserve">1951 · Un terzo quesito impersonale.</w:t>
      </w:r>
      <w:r>
        <w:rPr>
          <w:rFonts w:ascii="Barlow Semi Condensed" w:cs="Barlow Semi Condensed" w:eastAsia="Barlow Semi Condensed" w:hAnsi="Barlow Semi Condensed"/>
          <w:sz w:val="24"/>
          <w:szCs w:val="24"/>
        </w:rPr>
        <w:t xml:space="preserve"> All'analisi delle ipotesi concorrenti il Capitolo II-bis sottopone due soli quesiti impersonali, Gradoli e le due moto. Se ne propone un terzo, impersonale per costruzione perché riguarda uno Stato e non una persona: se esistesse nel 1978 un canale operativo fra apparati statunitensi e l'organizzazione. L'esito atteso è che nessuna evidenza discriminante sia disponibile nel branch, e la matrice servirebbe proprio a scriverlo.</w:t>
      </w:r>
    </w:p>
    <w:p>
      <w:pPr>
        <w:spacing w:after="120" w:line="276"/>
        <w:jc w:val="both"/>
      </w:pPr>
      <w:r>
        <w:rPr>
          <w:rFonts w:ascii="Barlow Semi Condensed" w:cs="Barlow Semi Condensed" w:eastAsia="Barlow Semi Condensed" w:hAnsi="Barlow Semi Condensed"/>
          <w:b/>
          <w:bCs/>
          <w:sz w:val="24"/>
          <w:szCs w:val="24"/>
        </w:rPr>
        <w:t xml:space="preserve">1952 · La rete a trentanove nodi.</w:t>
      </w:r>
      <w:r>
        <w:rPr>
          <w:rFonts w:ascii="Barlow Semi Condensed" w:cs="Barlow Semi Condensed" w:eastAsia="Barlow Semi Condensed" w:hAnsi="Barlow Semi Condensed"/>
          <w:sz w:val="24"/>
          <w:szCs w:val="24"/>
        </w:rPr>
        <w:t xml:space="preserve"> Il grafo del Capitolo II-bis conta 39 nodi e 59 archi, 28 di grado A, 26 F, 5 B. Nelle tavole pubblicate — centralità di Freeman e ripartizione 6-bis — non compare alcun nodo statunitense, e l'unico nodo del mondo Farnesina visibile è Berio. Stato Zero verificabile solo in parte: l'elenco completo dei 39 nodi non è pubblicato, e la sede che lo chiuderebbe sono i sorgenti del grafo.</w:t>
      </w:r>
    </w:p>
    <w:p>
      <w:pPr>
        <w:spacing w:after="120" w:line="276"/>
        <w:jc w:val="both"/>
      </w:pPr>
      <w:r>
        <w:rPr>
          <w:rFonts w:ascii="Barlow Semi Condensed" w:cs="Barlow Semi Condensed" w:eastAsia="Barlow Semi Condensed" w:hAnsi="Barlow Semi Condensed"/>
          <w:b/>
          <w:bCs/>
          <w:sz w:val="24"/>
          <w:szCs w:val="24"/>
        </w:rPr>
        <w:t xml:space="preserve">1953 · L'arco che si potrebbe proporre.</w:t>
      </w:r>
      <w:r>
        <w:rPr>
          <w:rFonts w:ascii="Barlow Semi Condensed" w:cs="Barlow Semi Condensed" w:eastAsia="Barlow Semi Condensed" w:hAnsi="Barlow Semi Condensed"/>
          <w:sz w:val="24"/>
          <w:szCs w:val="24"/>
        </w:rPr>
        <w:t xml:space="preserve"> Proposta con grado dichiarato, da sottoporre a chi tiene il grafo: un arco Moro–Kissinger, fonte il verbale del 25 settembre 1974, grado F come fatto pubblico di un incontro documentato. Conseguenza calcolabile: con un solo arco il nodo sarebbe terminale e la sua intermediazione varrebbe zero, come Superclan, Sit-Siemens o Feltrinelli Editore nella tavola 6-bis. Previsione falsificabile: chi ricalcola Brandes la conferma o la smentisce.</w:t>
      </w:r>
    </w:p>
    <w:p>
      <w:pPr>
        <w:spacing w:after="120" w:line="276"/>
        <w:jc w:val="both"/>
      </w:pPr>
      <w:r>
        <w:rPr>
          <w:rFonts w:ascii="Barlow Semi Condensed" w:cs="Barlow Semi Condensed" w:eastAsia="Barlow Semi Condensed" w:hAnsi="Barlow Semi Condensed"/>
          <w:b/>
          <w:bCs/>
          <w:sz w:val="24"/>
          <w:szCs w:val="24"/>
        </w:rPr>
        <w:t xml:space="preserve">1954 · L'anello debole applicato all'arco nuovo.</w:t>
      </w:r>
      <w:r>
        <w:rPr>
          <w:rFonts w:ascii="Barlow Semi Condensed" w:cs="Barlow Semi Condensed" w:eastAsia="Barlow Semi Condensed" w:hAnsi="Barlow Semi Condensed"/>
          <w:sz w:val="24"/>
          <w:szCs w:val="24"/>
        </w:rPr>
        <w:t xml:space="preserve"> Ammesso l'arco, ogni cammino che da esso raggiungesse via Fani dovrebbe passare per Moro e poi per i nodi del mondo brigatista, e il grado del cammino sarebbe il minimo dei suoi archi. La regola del paragrafo secondo lo vieta come base d'inferenza operativa, esattamente come vieta Hyperion→via Fani, cammino di grado F. La dimostrazione è formale e vale prima ancora che il documento sia letto.</w:t>
      </w:r>
    </w:p>
    <w:p>
      <w:pPr>
        <w:spacing w:after="120" w:line="276"/>
        <w:jc w:val="both"/>
      </w:pPr>
      <w:r>
        <w:rPr>
          <w:rFonts w:ascii="Barlow Semi Condensed" w:cs="Barlow Semi Condensed" w:eastAsia="Barlow Semi Condensed" w:hAnsi="Barlow Semi Condensed"/>
          <w:b/>
          <w:bCs/>
          <w:sz w:val="24"/>
          <w:szCs w:val="24"/>
        </w:rPr>
        <w:t xml:space="preserve">1955 · La regola dei buchi contro la tentazione.</w:t>
      </w:r>
      <w:r>
        <w:rPr>
          <w:rFonts w:ascii="Barlow Semi Condensed" w:cs="Barlow Semi Condensed" w:eastAsia="Barlow Semi Condensed" w:hAnsi="Barlow Semi Condensed"/>
          <w:sz w:val="24"/>
          <w:szCs w:val="24"/>
        </w:rPr>
        <w:t xml:space="preserve"> Burt insegna che il buco è il risultato. Fra il mondo quinto della rete, la dimensione diplomatica della Farnesina, e il mondo secondo, quello brigatista, il grafo non registra alcun arco. L'inesistenza si misura e si dichiara, non si narra. È il punto preciso in cui una campagna territoriale rischia di rifare ciò che la campagna concettuale aveva evitato: riempire con la lettura ciò che manca come documento.</w:t>
      </w:r>
    </w:p>
    <w:p>
      <w:pPr>
        <w:spacing w:after="120" w:line="276"/>
        <w:jc w:val="both"/>
      </w:pPr>
      <w:r>
        <w:rPr>
          <w:rFonts w:ascii="Barlow Semi Condensed" w:cs="Barlow Semi Condensed" w:eastAsia="Barlow Semi Condensed" w:hAnsi="Barlow Semi Condensed"/>
          <w:b/>
          <w:bCs/>
          <w:sz w:val="24"/>
          <w:szCs w:val="24"/>
        </w:rPr>
        <w:t xml:space="preserve">1956 · La Fase terza senza archivi stranieri.</w:t>
      </w:r>
      <w:r>
        <w:rPr>
          <w:rFonts w:ascii="Barlow Semi Condensed" w:cs="Barlow Semi Condensed" w:eastAsia="Barlow Semi Condensed" w:hAnsi="Barlow Semi Condensed"/>
          <w:sz w:val="24"/>
          <w:szCs w:val="24"/>
        </w:rPr>
        <w:t xml:space="preserve"> Sentenze dei cinque processi, relazione della Commissione Moro 2 del 6 dicembre 2017, Ministero dell'Interno per le vittime: sono le fonti che il blocco 301 elenca. Nessun archivio straniero. Stato Zero dichiarato, e le sedi che lo chiuderebbero sono note: NARA, RG 59, Central Foreign Policy Files 1978; Jimmy Carter Library, National Security Affairs staff material; e i telegrammi del Dipartimento di Stato del marzo-maggio 1978.</w:t>
      </w:r>
    </w:p>
    <w:p>
      <w:pPr>
        <w:spacing w:after="120" w:line="276"/>
        <w:jc w:val="both"/>
      </w:pPr>
      <w:r>
        <w:rPr>
          <w:rFonts w:ascii="Barlow Semi Condensed" w:cs="Barlow Semi Condensed" w:eastAsia="Barlow Semi Condensed" w:hAnsi="Barlow Semi Condensed"/>
          <w:b/>
          <w:bCs/>
          <w:sz w:val="24"/>
          <w:szCs w:val="24"/>
        </w:rPr>
        <w:t xml:space="preserve">1957 · La barriera cronologica dei cinquantacinque giorni.</w:t>
      </w:r>
      <w:r>
        <w:rPr>
          <w:rFonts w:ascii="Barlow Semi Condensed" w:cs="Barlow Semi Condensed" w:eastAsia="Barlow Semi Condensed" w:hAnsi="Barlow Semi Condensed"/>
          <w:sz w:val="24"/>
          <w:szCs w:val="24"/>
        </w:rPr>
        <w:t xml:space="preserve"> Kissinger lasciò il Dipartimento di Stato il 20 gennaio 1977 e l'incarico di Assistente per la sicurezza nazionale il 3 novembre 1975. L'intera Fase terza — 16 marzo, 18 aprile, 9 maggio 1978 — cade fuori da entrambi. Regola di lettura che costa nulla e decide molto: chi lo cita per il 1978 deve dire in quale veste, e la risposta documentata è che nessuna veste esisteva.</w:t>
      </w:r>
    </w:p>
    <w:p>
      <w:pPr>
        <w:spacing w:after="120" w:line="276"/>
        <w:jc w:val="both"/>
      </w:pPr>
      <w:r>
        <w:rPr>
          <w:rFonts w:ascii="Barlow Semi Condensed" w:cs="Barlow Semi Condensed" w:eastAsia="Barlow Semi Condensed" w:hAnsi="Barlow Semi Condensed"/>
          <w:b/>
          <w:bCs/>
          <w:sz w:val="24"/>
          <w:szCs w:val="24"/>
        </w:rPr>
        <w:t xml:space="preserve">1958 · Pieczenik non è Kissinger.</w:t>
      </w:r>
      <w:r>
        <w:rPr>
          <w:rFonts w:ascii="Barlow Semi Condensed" w:cs="Barlow Semi Condensed" w:eastAsia="Barlow Semi Condensed" w:hAnsi="Barlow Semi Condensed"/>
          <w:sz w:val="24"/>
          <w:szCs w:val="24"/>
        </w:rPr>
        <w:t xml:space="preserve"> Steve Pieczenik, consulente del Dipartimento di Stato nel comitato di crisi, è registrato al grado B dalla Fase nona, capitolo settantaquattresimo, con le sue dichiarazioni successive tenute al grado C. Nel 1978 il Segretario di Stato era un altro. Il Portale non nomina né l'uno né l'altro; la sovrapposizione fra l'avvertimento del 1974 e la presenza del 1978 è piano 3, e va spezzata ogni volta.</w:t>
      </w:r>
    </w:p>
    <w:p>
      <w:pPr>
        <w:spacing w:after="120" w:line="276"/>
        <w:jc w:val="both"/>
      </w:pPr>
      <w:r>
        <w:rPr>
          <w:rFonts w:ascii="Barlow Semi Condensed" w:cs="Barlow Semi Condensed" w:eastAsia="Barlow Semi Condensed" w:hAnsi="Barlow Semi Condensed"/>
          <w:b/>
          <w:bCs/>
          <w:sz w:val="24"/>
          <w:szCs w:val="24"/>
        </w:rPr>
        <w:t xml:space="preserve">1959 · Capitolo XX e il suo rinvio.</w:t>
      </w:r>
      <w:r>
        <w:rPr>
          <w:rFonts w:ascii="Barlow Semi Condensed" w:cs="Barlow Semi Condensed" w:eastAsia="Barlow Semi Condensed" w:hAnsi="Barlow Semi Condensed"/>
          <w:sz w:val="24"/>
          <w:szCs w:val="24"/>
        </w:rPr>
        <w:t xml:space="preserve"> Al capitolo settantaquattresimo della Fase nona rinvia il Capitolo XX: è l'unico capitolo di quella Fase che nomini Kissinger, attraverso la testimonianza della famiglia, al grado B, con rimando al nodo M-5. Il sommario del Capitolo XX nomina invece i canali del PSI, Pace, Piperno, la lettera di Paolo VI, via Caetani. Quesito editoriale: se il rinvio intendesse portare con sé anche la testimonianza. Il testo non lo dice.</w:t>
      </w:r>
    </w:p>
    <w:p>
      <w:pPr>
        <w:spacing w:after="120" w:line="276"/>
        <w:jc w:val="both"/>
      </w:pPr>
      <w:r>
        <w:rPr>
          <w:rFonts w:ascii="Barlow Semi Condensed" w:cs="Barlow Semi Condensed" w:eastAsia="Barlow Semi Condensed" w:hAnsi="Barlow Semi Condensed"/>
          <w:b/>
          <w:bCs/>
          <w:sz w:val="24"/>
          <w:szCs w:val="24"/>
        </w:rPr>
        <w:t xml:space="preserve">1960 · La testimonianza contestata e il Portale.</w:t>
      </w:r>
      <w:r>
        <w:rPr>
          <w:rFonts w:ascii="Barlow Semi Condensed" w:cs="Barlow Semi Condensed" w:eastAsia="Barlow Semi Condensed" w:hAnsi="Barlow Semi Condensed"/>
          <w:sz w:val="24"/>
          <w:szCs w:val="24"/>
        </w:rPr>
        <w:t xml:space="preserve"> L'accertamento dell'opera è fermo: testimonianza contestata, riferita de relato da Corrado Guerzoni alla Corte d'assise di Roma nel novembre 1982, nome ottenuto in aula e non offerto, data che oscilla fra 1974, 1976 e 1977, sempre smentita dall'interessato. Di tutto questo l'edizione strutturata non porta nulla. Stato Zero editoriale, che si chiuderebbe con una nota di poche righe nel Capitolo XX o nel XXIX.</w:t>
      </w:r>
    </w:p>
    <w:p>
      <w:pPr>
        <w:spacing w:after="120" w:line="276"/>
        <w:jc w:val="both"/>
      </w:pPr>
      <w:r>
        <w:rPr>
          <w:rFonts w:ascii="Barlow Semi Condensed" w:cs="Barlow Semi Condensed" w:eastAsia="Barlow Semi Condensed" w:hAnsi="Barlow Semi Condensed"/>
          <w:b/>
          <w:bCs/>
          <w:sz w:val="24"/>
          <w:szCs w:val="24"/>
        </w:rPr>
        <w:t xml:space="preserve">1961 · La sede parlamentare mancante.</w:t>
      </w:r>
      <w:r>
        <w:rPr>
          <w:rFonts w:ascii="Barlow Semi Condensed" w:cs="Barlow Semi Condensed" w:eastAsia="Barlow Semi Condensed" w:hAnsi="Barlow Semi Condensed"/>
          <w:sz w:val="24"/>
          <w:szCs w:val="24"/>
        </w:rPr>
        <w:t xml:space="preserve"> Nella sezione seconda della bibliografia figurano la relazione della Moro 2 (Doc. XXIII n. 29), gli stenografici con Berio del 28 ottobre 2015, gli atti della prima Commissione Moro, della Commissione Stragi e la relazione di minoranza Mitrokhin del 2006. Non figura l'audizione del 1° agosto 1980. Sede che la chiuderebbe: Archivio storico della Camera, atti della Commissione d'inchiesta sul caso Moro, VIII legislatura, Doc. XXIII.</w:t>
      </w:r>
    </w:p>
    <w:p>
      <w:pPr>
        <w:spacing w:after="120" w:line="276"/>
        <w:jc w:val="both"/>
      </w:pPr>
      <w:r>
        <w:rPr>
          <w:rFonts w:ascii="Barlow Semi Condensed" w:cs="Barlow Semi Condensed" w:eastAsia="Barlow Semi Condensed" w:hAnsi="Barlow Semi Condensed"/>
          <w:b/>
          <w:bCs/>
          <w:sz w:val="24"/>
          <w:szCs w:val="24"/>
        </w:rPr>
        <w:t xml:space="preserve">1962 · I verbali d'udienza assenti.</w:t>
      </w:r>
      <w:r>
        <w:rPr>
          <w:rFonts w:ascii="Barlow Semi Condensed" w:cs="Barlow Semi Condensed" w:eastAsia="Barlow Semi Condensed" w:hAnsi="Barlow Semi Condensed"/>
          <w:sz w:val="24"/>
          <w:szCs w:val="24"/>
        </w:rPr>
        <w:t xml:space="preserve"> Sentenze nell'analisi di Questione Giustizia, Ministero dell'Interno, Braghetti-Tavella, Memoriale Morucci: la sezione quarta cita questo, e nessun verbale d'udienza. Eppure la deposizione del novembre 1982 è l'origine dell'intera questione atlantica. Sedi: Corte d'assise di Roma, fascicoli processuali; e gli atti dei cinque processi digitalizzati, censiti dai nove cantieri, che sarebbero la via meno costosa alla trascrizione integrale.</w:t>
      </w:r>
    </w:p>
    <w:p>
      <w:pPr>
        <w:spacing w:after="120" w:line="276"/>
        <w:jc w:val="both"/>
      </w:pPr>
      <w:r>
        <w:rPr>
          <w:rFonts w:ascii="Barlow Semi Condensed" w:cs="Barlow Semi Condensed" w:eastAsia="Barlow Semi Condensed" w:hAnsi="Barlow Semi Condensed"/>
          <w:b/>
          <w:bCs/>
          <w:sz w:val="24"/>
          <w:szCs w:val="24"/>
        </w:rPr>
        <w:t xml:space="preserve">1963 · Il limite dichiarato di K-5.</w:t>
      </w:r>
      <w:r>
        <w:rPr>
          <w:rFonts w:ascii="Barlow Semi Condensed" w:cs="Barlow Semi Condensed" w:eastAsia="Barlow Semi Condensed" w:hAnsi="Barlow Semi Condensed"/>
          <w:sz w:val="24"/>
          <w:szCs w:val="24"/>
        </w:rPr>
        <w:t xml:space="preserve"> L'apparato Kissinger dichiara il proprio limite: la campagna non ha potuto leggere i primari, l'accesso è risultato bloccato, le precisazioni poggiano su fonti secondarie convergenti. La conseguenza per questa serie va scritta in chiaro: ogni precisazione sull'avvertimento resta da riscontrare sui testi ufficiali. Chi rimprovera al Portale il silenzio deve sapere che il rumore intorno al nome non è a sua volta verificato sui documenti primari.</w:t>
      </w:r>
    </w:p>
    <w:p>
      <w:pPr>
        <w:spacing w:after="120" w:line="276"/>
        <w:jc w:val="both"/>
      </w:pPr>
      <w:r>
        <w:rPr>
          <w:rFonts w:ascii="Barlow Semi Condensed" w:cs="Barlow Semi Condensed" w:eastAsia="Barlow Semi Condensed" w:hAnsi="Barlow Semi Condensed"/>
          <w:b/>
          <w:bCs/>
          <w:sz w:val="24"/>
          <w:szCs w:val="24"/>
        </w:rPr>
        <w:t xml:space="preserve">1964 · Il perimetro negativo del Capitolo XXV.</w:t>
      </w:r>
      <w:r>
        <w:rPr>
          <w:rFonts w:ascii="Barlow Semi Condensed" w:cs="Barlow Semi Condensed" w:eastAsia="Barlow Semi Condensed" w:hAnsi="Barlow Semi Condensed"/>
          <w:sz w:val="24"/>
          <w:szCs w:val="24"/>
        </w:rPr>
        <w:t xml:space="preserve"> Gli Stati Zero del caso stanno nel Capitolo XXV, che rinvia alla cartella Farnesina e alle triangolazioni vuote della prosopografia. Non porta lo Stato Zero della Fase sesta, capitolo cinquantaquattresimo: l'unico luogo del corpus moroteo in cui il nome compaia dentro il registro negativo. È l'omissione più significativa del Portale su questo territorio, e si chiude trascrivendo una riga già scritta altrove nel branch.</w:t>
      </w:r>
    </w:p>
    <w:p>
      <w:pPr>
        <w:spacing w:after="120" w:line="276"/>
        <w:jc w:val="both"/>
      </w:pPr>
      <w:r>
        <w:rPr>
          <w:rFonts w:ascii="Barlow Semi Condensed" w:cs="Barlow Semi Condensed" w:eastAsia="Barlow Semi Condensed" w:hAnsi="Barlow Semi Condensed"/>
          <w:b/>
          <w:bCs/>
          <w:sz w:val="24"/>
          <w:szCs w:val="24"/>
        </w:rPr>
        <w:t xml:space="preserve">1965 · La formula della Fase sesta.</w:t>
      </w:r>
      <w:r>
        <w:rPr>
          <w:rFonts w:ascii="Barlow Semi Condensed" w:cs="Barlow Semi Condensed" w:eastAsia="Barlow Semi Condensed" w:hAnsi="Barlow Semi Condensed"/>
          <w:sz w:val="24"/>
          <w:szCs w:val="24"/>
        </w:rPr>
        <w:t xml:space="preserve"> Fra gli Stati Zero la Fase sesta elenca «il documento che leghi Kissinger-persona, o qualunque apparato straniero nominato, alla catena di comando del delitto». Il trattino conta: separa la persona dall'apparato e dalla dottrina, ed è la formulazione più esatta che il corpus possieda su questa materia. Regola di lettura: dovrebbe migrare nel Portale così com'è, perché ogni parafrasi ne allenta la precisione onomastica.</w:t>
      </w:r>
    </w:p>
    <w:p>
      <w:pPr>
        <w:spacing w:after="120" w:line="276"/>
        <w:jc w:val="both"/>
      </w:pPr>
      <w:r>
        <w:rPr>
          <w:rFonts w:ascii="Barlow Semi Condensed" w:cs="Barlow Semi Condensed" w:eastAsia="Barlow Semi Condensed" w:hAnsi="Barlow Semi Condensed"/>
          <w:b/>
          <w:bCs/>
          <w:sz w:val="24"/>
          <w:szCs w:val="24"/>
        </w:rPr>
        <w:t xml:space="preserve">1966 · Che cosa chiuderebbe quello Stato Zero.</w:t>
      </w:r>
      <w:r>
        <w:rPr>
          <w:rFonts w:ascii="Barlow Semi Condensed" w:cs="Barlow Semi Condensed" w:eastAsia="Barlow Semi Condensed" w:hAnsi="Barlow Semi Condensed"/>
          <w:sz w:val="24"/>
          <w:szCs w:val="24"/>
        </w:rPr>
        <w:t xml:space="preserve"> Un documento di provenienza che nomini la controparte: atto, telegramma, appunto o verbale, prodotto da un ufficio identificabile, datato, che leghi un mittente statunitense a un destinatario italiano in relazione operativa sul caso. Sedi da interrogare: NARA, RG 59 e RG 263; Jimmy Carter Library; CIA FOIA Electronic Reading Room; e sul versante italiano gli archivi resi accessibili dalla Direttiva del 2014, richiamata dalle ricognizioni del branch.</w:t>
      </w:r>
    </w:p>
    <w:p>
      <w:pPr>
        <w:spacing w:after="120" w:line="276"/>
        <w:jc w:val="both"/>
      </w:pPr>
      <w:r>
        <w:rPr>
          <w:rFonts w:ascii="Barlow Semi Condensed" w:cs="Barlow Semi Condensed" w:eastAsia="Barlow Semi Condensed" w:hAnsi="Barlow Semi Condensed"/>
          <w:b/>
          <w:bCs/>
          <w:sz w:val="24"/>
          <w:szCs w:val="24"/>
        </w:rPr>
        <w:t xml:space="preserve">1967 · Lo Stato Zero come acquisizione.</w:t>
      </w:r>
      <w:r>
        <w:rPr>
          <w:rFonts w:ascii="Barlow Semi Condensed" w:cs="Barlow Semi Condensed" w:eastAsia="Barlow Semi Condensed" w:hAnsi="Barlow Semi Condensed"/>
          <w:sz w:val="24"/>
          <w:szCs w:val="24"/>
        </w:rPr>
        <w:t xml:space="preserve"> «L'assenza documentata, che è un risultato e non un vuoto»: così il blocco mirato numero tre definisce lo Stato Zero. Applicato a questo nome, significa che quarant'anni di ricerche chiuse in negativo sono conoscenza, e che questa serie produce in prevalenza Stati Zero perché quello è l'esito corretto. Chi li leggesse come promessa di rivelazione futura avrebbe scambiato un grado per un'attesa, ed è l'errore che l'edizione vieta.</w:t>
      </w:r>
    </w:p>
    <w:p>
      <w:pPr>
        <w:spacing w:after="120" w:line="276"/>
        <w:jc w:val="both"/>
      </w:pPr>
      <w:r>
        <w:rPr>
          <w:rFonts w:ascii="Barlow Semi Condensed" w:cs="Barlow Semi Condensed" w:eastAsia="Barlow Semi Condensed" w:hAnsi="Barlow Semi Condensed"/>
          <w:b/>
          <w:bCs/>
          <w:sz w:val="24"/>
          <w:szCs w:val="24"/>
        </w:rPr>
        <w:t xml:space="preserve">1968 · Il divieto scritto nel blocco quattro.</w:t>
      </w:r>
      <w:r>
        <w:rPr>
          <w:rFonts w:ascii="Barlow Semi Condensed" w:cs="Barlow Semi Condensed" w:eastAsia="Barlow Semi Condensed" w:hAnsi="Barlow Semi Condensed"/>
          <w:sz w:val="24"/>
          <w:szCs w:val="24"/>
        </w:rPr>
        <w:t xml:space="preserve"> «L'appartenenza non è condotta; la parentela non è canale; la contemporaneità non è nesso»: la regola personalistica copre da sola i due errori più frequenti su questo nome. Che fosse Segretario di Stato durante i mandati di Moro non prova relazione; che appartenesse a una scuola realista non prova atto. Il Portale ha già scritto la regola: questa serie non fa che applicarla al proprio territorio.</w:t>
      </w:r>
    </w:p>
    <w:p>
      <w:pPr>
        <w:spacing w:after="120" w:line="276"/>
        <w:jc w:val="both"/>
      </w:pPr>
      <w:r>
        <w:rPr>
          <w:rFonts w:ascii="Barlow Semi Condensed" w:cs="Barlow Semi Condensed" w:eastAsia="Barlow Semi Condensed" w:hAnsi="Barlow Semi Condensed"/>
          <w:b/>
          <w:bCs/>
          <w:sz w:val="24"/>
          <w:szCs w:val="24"/>
        </w:rPr>
        <w:t xml:space="preserve">1969 · I nodi HY e l'asse mancante.</w:t>
      </w:r>
      <w:r>
        <w:rPr>
          <w:rFonts w:ascii="Barlow Semi Condensed" w:cs="Barlow Semi Condensed" w:eastAsia="Barlow Semi Condensed" w:hAnsi="Barlow Semi Condensed"/>
          <w:sz w:val="24"/>
          <w:szCs w:val="24"/>
        </w:rPr>
        <w:t xml:space="preserve"> Nove nodi con indirizzo, HY-1…HY-9, il blocco 401 assegna a Hyperion; all'asse atlantico nessuna numerazione equivalente. Proposta con costo dichiarato, minimo perché il materiale esiste già: adottare l'Apparato K, K-1…K-5, come apparato con indirizzo dell'asse atlantico, esattamente come HY serve per il nodo parigino. Senza numerazione, ogni verifica futura ripartirà da capo e le sedi andranno ricensite una seconda volta.</w:t>
      </w:r>
    </w:p>
    <w:p>
      <w:pPr>
        <w:spacing w:after="120" w:line="276"/>
        <w:jc w:val="both"/>
      </w:pPr>
      <w:r>
        <w:rPr>
          <w:rFonts w:ascii="Barlow Semi Condensed" w:cs="Barlow Semi Condensed" w:eastAsia="Barlow Semi Condensed" w:hAnsi="Barlow Semi Condensed"/>
          <w:b/>
          <w:bCs/>
          <w:sz w:val="24"/>
          <w:szCs w:val="24"/>
        </w:rPr>
        <w:t xml:space="preserve">1970 · L'asimmetria del confine del metodo.</w:t>
      </w:r>
      <w:r>
        <w:rPr>
          <w:rFonts w:ascii="Barlow Semi Condensed" w:cs="Barlow Semi Condensed" w:eastAsia="Barlow Semi Condensed" w:hAnsi="Barlow Semi Condensed"/>
          <w:sz w:val="24"/>
          <w:szCs w:val="24"/>
        </w:rPr>
        <w:t xml:space="preserve"> Come caso di scuola il Capitolo XXVI indica «il quadro internazionale (Hyperion) con il suo esito liberatorio». L'edizione identifica così il quadro internazionale con un nodo franco-italiano e lascia fuori dall'esempio l'asse atlantico. È osservazione di struttura e non d'intenzione: un portale sceglie un esempio, non tutti. Ma l'esempio scelto orienta il lettore, e va segnalato che ne esiste un secondo, altrettanto istruttivo.</w:t>
      </w:r>
    </w:p>
    <w:p>
      <w:pPr>
        <w:spacing w:after="120" w:line="276"/>
        <w:jc w:val="both"/>
      </w:pPr>
      <w:r>
        <w:rPr>
          <w:rFonts w:ascii="Barlow Semi Condensed" w:cs="Barlow Semi Condensed" w:eastAsia="Barlow Semi Condensed" w:hAnsi="Barlow Semi Condensed"/>
          <w:b/>
          <w:bCs/>
          <w:sz w:val="24"/>
          <w:szCs w:val="24"/>
        </w:rPr>
        <w:t xml:space="preserve">1971 · Il caso di scuola alternativo.</w:t>
      </w:r>
      <w:r>
        <w:rPr>
          <w:rFonts w:ascii="Barlow Semi Condensed" w:cs="Barlow Semi Condensed" w:eastAsia="Barlow Semi Condensed" w:hAnsi="Barlow Semi Condensed"/>
          <w:sz w:val="24"/>
          <w:szCs w:val="24"/>
        </w:rPr>
        <w:t xml:space="preserve"> Più di Hyperion insegna il documento 180 del volume XLI, perché l'esito negativo vi è scritto da chi avrebbe potuto decidere altrimenti: nessuna reale giustificazione per riprendere il finanziamento coperto. Un documento che registra una rinuncia è l'antidoto più forte all'inferenza retrospettiva. Bersaglio: spogliare l'intera serie dei verbali del Comitato dei 303 per il 1969-1972, e dichiarare quanti registrino rinunce e quanti autorizzazioni.</w:t>
      </w:r>
    </w:p>
    <w:p>
      <w:pPr>
        <w:spacing w:after="120" w:line="276"/>
        <w:jc w:val="both"/>
      </w:pPr>
      <w:r>
        <w:rPr>
          <w:rFonts w:ascii="Barlow Semi Condensed" w:cs="Barlow Semi Condensed" w:eastAsia="Barlow Semi Condensed" w:hAnsi="Barlow Semi Condensed"/>
          <w:b/>
          <w:bCs/>
          <w:sz w:val="24"/>
          <w:szCs w:val="24"/>
        </w:rPr>
        <w:t xml:space="preserve">1972 · La consilienza e il suo guardrail (serie XXVI).</w:t>
      </w:r>
      <w:r>
        <w:rPr>
          <w:rFonts w:ascii="Barlow Semi Condensed" w:cs="Barlow Semi Condensed" w:eastAsia="Barlow Semi Condensed" w:hAnsi="Barlow Semi Condensed"/>
          <w:sz w:val="24"/>
          <w:szCs w:val="24"/>
        </w:rPr>
        <w:t xml:space="preserve"> Adottata col proprio guardrail nel Capitolo II-bis, la consilienza mostra qui il suo limite: tre linee apparentemente indipendenti — i FRUS, la testimonianza, la pubblicistica — convergono su un'ostilità, ma la terza discende per intero da un unico lancio d'agenzia del 30 novembre 2023 e non è una linea. La consilienza esige indipendenza delle vie: dichiarata l'assenza di indipendenza, la convergenza non produce alcun rafforzamento.</w:t>
      </w:r>
    </w:p>
    <w:p>
      <w:pPr>
        <w:spacing w:after="120" w:line="276"/>
        <w:jc w:val="both"/>
      </w:pPr>
      <w:r>
        <w:rPr>
          <w:rFonts w:ascii="Barlow Semi Condensed" w:cs="Barlow Semi Condensed" w:eastAsia="Barlow Semi Condensed" w:hAnsi="Barlow Semi Condensed"/>
          <w:b/>
          <w:bCs/>
          <w:sz w:val="24"/>
          <w:szCs w:val="24"/>
        </w:rPr>
        <w:t xml:space="preserve">1973 · La quinta voce della griglia.</w:t>
      </w:r>
      <w:r>
        <w:rPr>
          <w:rFonts w:ascii="Barlow Semi Condensed" w:cs="Barlow Semi Condensed" w:eastAsia="Barlow Semi Condensed" w:hAnsi="Barlow Semi Condensed"/>
          <w:sz w:val="24"/>
          <w:szCs w:val="24"/>
        </w:rPr>
        <w:t xml:space="preserve"> Una quinta voce ai gradi è stata proposta dalla seconda campagna della Farnesina: effetto convergente da causa comune, due esiti simultanei che discendono provatamente dallo stesso evento e non l'uno dall'altro. È la categoria da usare per prima su questo territorio: l'ostilità atlantica e l'ostilità brigatista alla solidarietà nazionale sono due effetti dello stesso ingresso del PCI nell'area di governo, non l'uno la causa dell'altro.</w:t>
      </w:r>
    </w:p>
    <w:p>
      <w:pPr>
        <w:spacing w:after="120" w:line="276"/>
        <w:jc w:val="both"/>
      </w:pPr>
      <w:r>
        <w:rPr>
          <w:rFonts w:ascii="Barlow Semi Condensed" w:cs="Barlow Semi Condensed" w:eastAsia="Barlow Semi Condensed" w:hAnsi="Barlow Semi Condensed"/>
          <w:b/>
          <w:bCs/>
          <w:sz w:val="24"/>
          <w:szCs w:val="24"/>
        </w:rPr>
        <w:t xml:space="preserve">1974 · Fase quinta: il registro dei tredici.</w:t>
      </w:r>
      <w:r>
        <w:rPr>
          <w:rFonts w:ascii="Barlow Semi Condensed" w:cs="Barlow Semi Condensed" w:eastAsia="Barlow Semi Condensed" w:hAnsi="Barlow Semi Condensed"/>
          <w:sz w:val="24"/>
          <w:szCs w:val="24"/>
        </w:rPr>
        <w:t xml:space="preserve"> Tredici nomi, ciascuno con la propria sentenza, elenca il Capitolo XXVII, e il Capitolo XXX ne segue due oltre confine. Nessun nome vi si aggiunge per congettura. Applicato: questo nome non può entrare nella Fase quinta ad alcun livello, e non per discrezione editoriale ma perché non esiste giudicato e non esistette imputazione in alcun Paese. Il corpus si ferma dove si ferma il giudicato.</w:t>
      </w:r>
    </w:p>
    <w:p>
      <w:pPr>
        <w:spacing w:after="120" w:line="276"/>
        <w:jc w:val="both"/>
      </w:pPr>
      <w:r>
        <w:rPr>
          <w:rFonts w:ascii="Barlow Semi Condensed" w:cs="Barlow Semi Condensed" w:eastAsia="Barlow Semi Condensed" w:hAnsi="Barlow Semi Condensed"/>
          <w:b/>
          <w:bCs/>
          <w:sz w:val="24"/>
          <w:szCs w:val="24"/>
        </w:rPr>
        <w:t xml:space="preserve">1975 · Il Capitolo XXVIII, letto alla lettera.</w:t>
      </w:r>
      <w:r>
        <w:rPr>
          <w:rFonts w:ascii="Barlow Semi Condensed" w:cs="Barlow Semi Condensed" w:eastAsia="Barlow Semi Condensed" w:hAnsi="Barlow Semi Condensed"/>
          <w:sz w:val="24"/>
          <w:szCs w:val="24"/>
        </w:rPr>
        <w:t xml:space="preserve"> «Oltre il giudicato: nessun mandante è accertato, e il corpus non ne nomina.» La clausola è la garanzia più forte che il Portale offra su questo territorio, perché vieta il nome prima che qualcuno lo proponga. Regola di lettura che ne discende: il silenzio dell'edizione su questo nome non è omissione da colmare, è esecuzione puntuale del proprio statuto, e va citato come tale da chi lo interroghi.</w:t>
      </w:r>
    </w:p>
    <w:p>
      <w:pPr>
        <w:spacing w:after="120" w:line="276"/>
        <w:jc w:val="both"/>
      </w:pPr>
      <w:r>
        <w:rPr>
          <w:rFonts w:ascii="Barlow Semi Condensed" w:cs="Barlow Semi Condensed" w:eastAsia="Barlow Semi Condensed" w:hAnsi="Barlow Semi Condensed"/>
          <w:b/>
          <w:bCs/>
          <w:sz w:val="24"/>
          <w:szCs w:val="24"/>
        </w:rPr>
        <w:t xml:space="preserve">1976 · Capitolo XXIX, divergenza di grado.</w:t>
      </w:r>
      <w:r>
        <w:rPr>
          <w:rFonts w:ascii="Barlow Semi Condensed" w:cs="Barlow Semi Condensed" w:eastAsia="Barlow Semi Condensed" w:hAnsi="Barlow Semi Condensed"/>
          <w:sz w:val="24"/>
          <w:szCs w:val="24"/>
        </w:rPr>
        <w:t xml:space="preserve"> Tre testi del medesimo corpus gradano diversamente gli stessi materiali: il Capitolo XXIX dice il quadro internazionale «documentato per fatti singoli (B) e vuoto di nessi provati»; la Parte terza, capitolo nono, lo dice «accertato (A) come contesto»; il blocco 1053 tiene i desecretati a tetto B. La divergenza si riporta e non si scioglie in silenzio: la sede che la scioglierebbe è l'apparato dei gradi.</w:t>
      </w:r>
    </w:p>
    <w:p>
      <w:pPr>
        <w:spacing w:after="120" w:line="276"/>
        <w:jc w:val="both"/>
      </w:pPr>
      <w:r>
        <w:rPr>
          <w:rFonts w:ascii="Barlow Semi Condensed" w:cs="Barlow Semi Condensed" w:eastAsia="Barlow Semi Condensed" w:hAnsi="Barlow Semi Condensed"/>
          <w:b/>
          <w:bCs/>
          <w:sz w:val="24"/>
          <w:szCs w:val="24"/>
        </w:rPr>
        <w:t xml:space="preserve">1977 · Il salto vietato, in forma pura.</w:t>
      </w:r>
      <w:r>
        <w:rPr>
          <w:rFonts w:ascii="Barlow Semi Condensed" w:cs="Barlow Semi Condensed" w:eastAsia="Barlow Semi Condensed" w:hAnsi="Barlow Semi Condensed"/>
          <w:sz w:val="24"/>
          <w:szCs w:val="24"/>
        </w:rPr>
        <w:t xml:space="preserve"> Scrive la Parte terza che gli archi documentati sono statali e verticali — Cile, Angola, i fondi ai servizi italiani — mentre verso l'eversione privata restano convergenze di cornice, e ne trae la formula: «la prossimità di un nemico non è il suo mandato». È la riga più concisa del corpus su questa materia, e l'edizione strutturata non la porta in alcun capitolo. Bersaglio editoriale di una sola citazione.</w:t>
      </w:r>
    </w:p>
    <w:p>
      <w:pPr>
        <w:spacing w:after="120" w:line="276"/>
        <w:jc w:val="both"/>
      </w:pPr>
      <w:r>
        <w:rPr>
          <w:rFonts w:ascii="Barlow Semi Condensed" w:cs="Barlow Semi Condensed" w:eastAsia="Barlow Semi Condensed" w:hAnsi="Barlow Semi Condensed"/>
          <w:b/>
          <w:bCs/>
          <w:sz w:val="24"/>
          <w:szCs w:val="24"/>
        </w:rPr>
        <w:t xml:space="preserve">1978 · Angola e Cile, archi senza indirizzo.</w:t>
      </w:r>
      <w:r>
        <w:rPr>
          <w:rFonts w:ascii="Barlow Semi Condensed" w:cs="Barlow Semi Condensed" w:eastAsia="Barlow Semi Condensed" w:hAnsi="Barlow Semi Condensed"/>
          <w:sz w:val="24"/>
          <w:szCs w:val="24"/>
        </w:rPr>
        <w:t xml:space="preserve"> I due archi statali che la Parte terza nomina non hanno, nel branch, indirizzo d'archivio: nessun documento è citato per l'Angola, e per il Cile il rinvio è alla verifica «su fonti primarie» senza elenco. Bersaglio: dotarli di segnatura o declassarli a rinvio bibliografico. Sedi: per il Cile la relazione della Commissione Church del 1975 e il rapporto CIA del 18 settembre 2000; per l'Angola i volumi FRUS sull'Africa australe.</w:t>
      </w:r>
    </w:p>
    <w:p>
      <w:pPr>
        <w:spacing w:after="120" w:line="276"/>
        <w:jc w:val="both"/>
      </w:pPr>
      <w:r>
        <w:rPr>
          <w:rFonts w:ascii="Barlow Semi Condensed" w:cs="Barlow Semi Condensed" w:eastAsia="Barlow Semi Condensed" w:hAnsi="Barlow Semi Condensed"/>
          <w:b/>
          <w:bCs/>
          <w:sz w:val="24"/>
          <w:szCs w:val="24"/>
        </w:rPr>
        <w:t xml:space="preserve">1979 · La frontiera e ciò che non attraversa.</w:t>
      </w:r>
      <w:r>
        <w:rPr>
          <w:rFonts w:ascii="Barlow Semi Condensed" w:cs="Barlow Semi Condensed" w:eastAsia="Barlow Semi Condensed" w:hAnsi="Barlow Semi Condensed"/>
          <w:sz w:val="24"/>
          <w:szCs w:val="24"/>
        </w:rPr>
        <w:t xml:space="preserve"> Sull'esecuzione dei giudicati lavora il capitolo delle pene oltre confine: Casimirri, Lojacono, l'affaire Mulinaris, la dottrina Mitterrand del 21 aprile 1985, il no della Cassazione francese del 2023. Nessuno dei suoi cinque presidi tocca questo nome, perché non esiste sentenza da eseguire. La distinzione da scrivere una volta e per sempre: la richiesta di sentire un teste all'estero non è esecuzione di un giudicato oltre frontiera.</w:t>
      </w:r>
    </w:p>
    <w:p>
      <w:pPr>
        <w:spacing w:after="120" w:line="276"/>
        <w:jc w:val="both"/>
      </w:pPr>
      <w:r>
        <w:rPr>
          <w:rFonts w:ascii="Barlow Semi Condensed" w:cs="Barlow Semi Condensed" w:eastAsia="Barlow Semi Condensed" w:hAnsi="Barlow Semi Condensed"/>
          <w:b/>
          <w:bCs/>
          <w:sz w:val="24"/>
          <w:szCs w:val="24"/>
        </w:rPr>
        <w:t xml:space="preserve">1980 · La richiesta del 1983, mai seguita.</w:t>
      </w:r>
      <w:r>
        <w:rPr>
          <w:rFonts w:ascii="Barlow Semi Condensed" w:cs="Barlow Semi Condensed" w:eastAsia="Barlow Semi Condensed" w:hAnsi="Barlow Semi Condensed"/>
          <w:sz w:val="24"/>
          <w:szCs w:val="24"/>
        </w:rPr>
        <w:t xml:space="preserve"> L'apparato K registra che la richiesta informale dei magistrati italiani di sentirlo non ebbe seguito e che egli non fu mai sentito dai magistrati italiani. Quesito da portare in archivio, e che il Capitolo XXX potrebbe ospitare: se una rogatoria formale sia mai stata inoltrata, con quale data e quale esito. Sedi: Procura della Repubblica di Roma, fascicoli del caso Moro; e i registri delle rogatorie del Ministero della giustizia.</w:t>
      </w:r>
    </w:p>
    <w:p>
      <w:pPr>
        <w:spacing w:after="120" w:line="276"/>
        <w:jc w:val="both"/>
      </w:pPr>
      <w:r>
        <w:rPr>
          <w:rFonts w:ascii="Barlow Semi Condensed" w:cs="Barlow Semi Condensed" w:eastAsia="Barlow Semi Condensed" w:hAnsi="Barlow Semi Condensed"/>
          <w:b/>
          <w:bCs/>
          <w:sz w:val="24"/>
          <w:szCs w:val="24"/>
        </w:rPr>
        <w:t xml:space="preserve">1981 · Sopra la linea del congedo.</w:t>
      </w:r>
      <w:r>
        <w:rPr>
          <w:rFonts w:ascii="Barlow Semi Condensed" w:cs="Barlow Semi Condensed" w:eastAsia="Barlow Semi Condensed" w:hAnsi="Barlow Semi Condensed"/>
          <w:sz w:val="24"/>
          <w:szCs w:val="24"/>
        </w:rPr>
        <w:t xml:space="preserve"> Una linea traccia il Capitolo XXXI: sotto, tredici nomi scritti dai giudici e sei vittime scritte per prime; sopra, «domande censite col loro grado e i criteri per chiuderle». Questo nome sta sopra la linea, fra le domande — ma per starvi dev'essere scritto fra le domande censite, e oggi non è scritto né sopra né sotto. È esattamente ciò che questa serie verbalizza, e nulla di più.</w:t>
      </w:r>
    </w:p>
    <w:p>
      <w:pPr>
        <w:spacing w:after="120" w:line="276"/>
        <w:jc w:val="both"/>
      </w:pPr>
      <w:r>
        <w:rPr>
          <w:rFonts w:ascii="Barlow Semi Condensed" w:cs="Barlow Semi Condensed" w:eastAsia="Barlow Semi Condensed" w:hAnsi="Barlow Semi Condensed"/>
          <w:b/>
          <w:bCs/>
          <w:sz w:val="24"/>
          <w:szCs w:val="24"/>
        </w:rPr>
        <w:t xml:space="preserve">1982 · La divergenza costitutiva e questo nome.</w:t>
      </w:r>
      <w:r>
        <w:rPr>
          <w:rFonts w:ascii="Barlow Semi Condensed" w:cs="Barlow Semi Condensed" w:eastAsia="Barlow Semi Condensed" w:hAnsi="Barlow Semi Condensed"/>
          <w:sz w:val="24"/>
          <w:szCs w:val="24"/>
        </w:rPr>
        <w:t xml:space="preserve"> Dichiara l'edizione che la Fase quinta del Dossier maggiore adotta il giudizio probabilistico fino alla graduatoria, e che il branch pubblico non la riproduce. Resta ignoto, perché il Dossier non è archiviato qui, se quella graduatoria contenga questo nome e a quale livello. Stato Zero dichiarato con la sua sede: il Dossier dell'autore, che per statuto esplicito non è pubblicato su questo versante.</w:t>
      </w:r>
    </w:p>
    <w:p>
      <w:pPr>
        <w:spacing w:after="120" w:line="276"/>
        <w:jc w:val="both"/>
      </w:pPr>
      <w:r>
        <w:rPr>
          <w:rFonts w:ascii="Barlow Semi Condensed" w:cs="Barlow Semi Condensed" w:eastAsia="Barlow Semi Condensed" w:hAnsi="Barlow Semi Condensed"/>
          <w:b/>
          <w:bCs/>
          <w:sz w:val="24"/>
          <w:szCs w:val="24"/>
        </w:rPr>
        <w:t xml:space="preserve">1983 · Il blocco 1303 e l'illeggibile.</w:t>
      </w:r>
      <w:r>
        <w:rPr>
          <w:rFonts w:ascii="Barlow Semi Condensed" w:cs="Barlow Semi Condensed" w:eastAsia="Barlow Semi Condensed" w:hAnsi="Barlow Semi Condensed"/>
          <w:sz w:val="24"/>
          <w:szCs w:val="24"/>
        </w:rPr>
        <w:t xml:space="preserve"> Registra la tavola di corrispondenza che i capitoli quarantacinquesimo-quarantanovesimo del Dossier maggiore non sono riprodotti sul branch. Il lettore pubblico non può quindi verificare se l'asse atlantico vi compaia. Vale la regola più elementare dell'onestà filologica: non si commenta un testo che non si è letto, e l'indisponibilità del testo si dichiara come limite di questa serie, non come indizio del suo contenuto.</w:t>
      </w:r>
    </w:p>
    <w:p>
      <w:pPr>
        <w:spacing w:after="120" w:line="276"/>
        <w:jc w:val="both"/>
      </w:pPr>
      <w:r>
        <w:rPr>
          <w:rFonts w:ascii="Barlow Semi Condensed" w:cs="Barlow Semi Condensed" w:eastAsia="Barlow Semi Condensed" w:hAnsi="Barlow Semi Condensed"/>
          <w:b/>
          <w:bCs/>
          <w:sz w:val="24"/>
          <w:szCs w:val="24"/>
        </w:rPr>
        <w:t xml:space="preserve">1984 · Il registro e la data assente.</w:t>
      </w:r>
      <w:r>
        <w:rPr>
          <w:rFonts w:ascii="Barlow Semi Condensed" w:cs="Barlow Semi Condensed" w:eastAsia="Barlow Semi Condensed" w:hAnsi="Barlow Semi Condensed"/>
          <w:sz w:val="24"/>
          <w:szCs w:val="24"/>
        </w:rPr>
        <w:t xml:space="preserve"> Dei dodici blocchi cronologici, dal 23 settembre 1916 al 6 dicembre 2017, nessuno reca il 25 settembre 1974, benché la data cada dentro l'arco del blocco 804 e sia la meglio documentata dell'intero versante atlantico. Bersaglio con costo minimo: valutarne l'inserimento come fatto pubblico, con la segnatura Ford Library 1552802, oppure dichiarare che il registro esclude per criterio gli atti di parte straniera.</w:t>
      </w:r>
    </w:p>
    <w:p>
      <w:pPr>
        <w:spacing w:after="120" w:line="276"/>
        <w:jc w:val="both"/>
      </w:pPr>
      <w:r>
        <w:rPr>
          <w:rFonts w:ascii="Barlow Semi Condensed" w:cs="Barlow Semi Condensed" w:eastAsia="Barlow Semi Condensed" w:hAnsi="Barlow Semi Condensed"/>
          <w:b/>
          <w:bCs/>
          <w:sz w:val="24"/>
          <w:szCs w:val="24"/>
        </w:rPr>
        <w:t xml:space="preserve">1985 · La clausola che salva il registro.</w:t>
      </w:r>
      <w:r>
        <w:rPr>
          <w:rFonts w:ascii="Barlow Semi Condensed" w:cs="Barlow Semi Condensed" w:eastAsia="Barlow Semi Condensed" w:hAnsi="Barlow Semi Condensed"/>
          <w:sz w:val="24"/>
          <w:szCs w:val="24"/>
        </w:rPr>
        <w:t xml:space="preserve"> «Il registro non stabilisce alcun nesso fra le date che elenca.» È la clausola che rende usabile la cronologia, perché impedisce di leggere 804 e 807 come una sequenza causale. Regola di lettura vincolante per chiunque volesse ampliare il registro: chi vi aggiungesse il 25 settembre 1974 dovrebbe conservare la clausola intatta, pena la trasformazione di un elenco neutro in un argomento travestito da cronologia.</w:t>
      </w:r>
    </w:p>
    <w:p>
      <w:pPr>
        <w:spacing w:after="120" w:line="276"/>
        <w:jc w:val="both"/>
      </w:pPr>
      <w:r>
        <w:rPr>
          <w:rFonts w:ascii="Barlow Semi Condensed" w:cs="Barlow Semi Condensed" w:eastAsia="Barlow Semi Condensed" w:hAnsi="Barlow Semi Condensed"/>
          <w:b/>
          <w:bCs/>
          <w:sz w:val="24"/>
          <w:szCs w:val="24"/>
        </w:rPr>
        <w:t xml:space="preserve">1986 · La pubblicistica e il tetto C.</w:t>
      </w:r>
      <w:r>
        <w:rPr>
          <w:rFonts w:ascii="Barlow Semi Condensed" w:cs="Barlow Semi Condensed" w:eastAsia="Barlow Semi Condensed" w:hAnsi="Barlow Semi Condensed"/>
          <w:sz w:val="24"/>
          <w:szCs w:val="24"/>
        </w:rPr>
        <w:t xml:space="preserve"> Indizio di piste e mai fonte di accertamento, con tetto C: così il blocco 1056 tratta la pubblicistica. Applicato, l'intera circolazione sull'avvertimento — che discende da un unico lancio d'agenzia del 30 novembre 2023 e da un rilancio internazionale del 1982 di orientamento cospirazionista — resta a C e non sale per numero di riprese. Il Portale possiede già la regola che dissolve la moltiplicazione apparente delle fonti.</w:t>
      </w:r>
    </w:p>
    <w:p>
      <w:pPr>
        <w:spacing w:after="120" w:line="276"/>
        <w:jc w:val="both"/>
      </w:pPr>
      <w:r>
        <w:rPr>
          <w:rFonts w:ascii="Barlow Semi Condensed" w:cs="Barlow Semi Condensed" w:eastAsia="Barlow Semi Condensed" w:hAnsi="Barlow Semi Condensed"/>
          <w:b/>
          <w:bCs/>
          <w:sz w:val="24"/>
          <w:szCs w:val="24"/>
        </w:rPr>
        <w:t xml:space="preserve">1987 · La memorialistica e le smentite italiane.</w:t>
      </w:r>
      <w:r>
        <w:rPr>
          <w:rFonts w:ascii="Barlow Semi Condensed" w:cs="Barlow Semi Condensed" w:eastAsia="Barlow Semi Condensed" w:hAnsi="Barlow Semi Condensed"/>
          <w:sz w:val="24"/>
          <w:szCs w:val="24"/>
        </w:rPr>
        <w:t xml:space="preserve"> A tetto C, salvo riscontri, il blocco 1055 pone la memorialistica delle parti. Vi ricadono le due smentite italiane qualificate: «una leggenda che non ha fondamento» e «solo un problema di linguaggio». Nessuno dei due dichiaranti era presente al colloquio riservato. Si riportano entrambe, con la loro divergenza interna — lo stesso testimone descrisse altrove un confronto durissimo — e nessuna si preferisce all'altra in silenzio.</w:t>
      </w:r>
    </w:p>
    <w:p>
      <w:pPr>
        <w:spacing w:after="120" w:line="276"/>
        <w:jc w:val="both"/>
      </w:pPr>
      <w:r>
        <w:rPr>
          <w:rFonts w:ascii="Barlow Semi Condensed" w:cs="Barlow Semi Condensed" w:eastAsia="Barlow Semi Condensed" w:hAnsi="Barlow Semi Condensed"/>
          <w:b/>
          <w:bCs/>
          <w:sz w:val="24"/>
          <w:szCs w:val="24"/>
        </w:rPr>
        <w:t xml:space="preserve">1988 · Il dato materiale sull'interprete.</w:t>
      </w:r>
      <w:r>
        <w:rPr>
          <w:rFonts w:ascii="Barlow Semi Condensed" w:cs="Barlow Semi Condensed" w:eastAsia="Barlow Semi Condensed" w:hAnsi="Barlow Semi Condensed"/>
          <w:sz w:val="24"/>
          <w:szCs w:val="24"/>
        </w:rPr>
        <w:t xml:space="preserve"> Una delle smentite poggia su un fatto materiale e non su un giudizio: Moro non parlava inglese, e l'episodio sarebbe stato verificato allora con l'interprete. Se accertato, il fatto tocca la plausibilità di uno scambio verbale diretto. Bersaglio con sede: l'elenco degli interpreti della visita del settembre 1974, nei memoranda della Ford Library e nella serie del cerimoniale dell'Archivio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1989 · La divergenza sulle date della visita.</w:t>
      </w:r>
      <w:r>
        <w:rPr>
          <w:rFonts w:ascii="Barlow Semi Condensed" w:cs="Barlow Semi Condensed" w:eastAsia="Barlow Semi Condensed" w:hAnsi="Barlow Semi Condensed"/>
          <w:sz w:val="24"/>
          <w:szCs w:val="24"/>
        </w:rPr>
        <w:t xml:space="preserve"> Gli atti presidenziali datano la visita di Stato 25-29 settembre 1974; la nota editoriale del volume FRUS indica 25-27. Divergenza riportata e non risolta. Conta perché le versioni dell'episodio lo collocano allo Studio Ovale, al Dipartimento, a una cena ufficiale, all'ambasciata italiana: il perimetro esatto della visita delimita quali di queste sedi fossero materialmente possibili, e in quali giorni, prima ancora di discuterne il contenuto.</w:t>
      </w:r>
    </w:p>
    <w:p>
      <w:pPr>
        <w:spacing w:after="120" w:line="276"/>
        <w:jc w:val="both"/>
      </w:pPr>
      <w:r>
        <w:rPr>
          <w:rFonts w:ascii="Barlow Semi Condensed" w:cs="Barlow Semi Condensed" w:eastAsia="Barlow Semi Condensed" w:hAnsi="Barlow Semi Condensed"/>
          <w:b/>
          <w:bCs/>
          <w:sz w:val="24"/>
          <w:szCs w:val="24"/>
        </w:rPr>
        <w:t xml:space="preserve">1990 · La tavola e l'opera mancante.</w:t>
      </w:r>
      <w:r>
        <w:rPr>
          <w:rFonts w:ascii="Barlow Semi Condensed" w:cs="Barlow Semi Condensed" w:eastAsia="Barlow Semi Condensed" w:hAnsi="Barlow Semi Condensed"/>
          <w:sz w:val="24"/>
          <w:szCs w:val="24"/>
        </w:rPr>
        <w:t xml:space="preserve"> Mappano i blocchi 1301-1306 il branch sul Dossier maggiore e non elencano kissinger-mille-blocchi-il-codice-e-la-sua-trasmissione.md, che la GUIDA-ALLA-LETTURA invece elenca e descrive. L'edizione precede quell'opera di poche ore nella cronologia del branch. Bersaglio editoriale: aggiungere la voce e dichiararla come aggiunta propria dell'edizione pubblica, secondo la formula che il blocco 1306 usa già per il Capitolo II-bis e per il XXX.</w:t>
      </w:r>
    </w:p>
    <w:p>
      <w:pPr>
        <w:spacing w:after="120" w:line="276"/>
        <w:jc w:val="both"/>
      </w:pPr>
      <w:r>
        <w:rPr>
          <w:rFonts w:ascii="Barlow Semi Condensed" w:cs="Barlow Semi Condensed" w:eastAsia="Barlow Semi Condensed" w:hAnsi="Barlow Semi Condensed"/>
          <w:b/>
          <w:bCs/>
          <w:sz w:val="24"/>
          <w:szCs w:val="24"/>
        </w:rPr>
        <w:t xml:space="preserve">1991 · Densità di un nome.</w:t>
      </w:r>
      <w:r>
        <w:rPr>
          <w:rFonts w:ascii="Barlow Semi Condensed" w:cs="Barlow Semi Condensed" w:eastAsia="Barlow Semi Condensed" w:hAnsi="Barlow Semi Condensed"/>
          <w:sz w:val="24"/>
          <w:szCs w:val="24"/>
        </w:rPr>
        <w:t xml:space="preserve"> «L'edizione pubblica non simula la densità del maggiore, la indica.» È la clausola che spiega l'assenza del nome senza bisogno di ipotesi sulla volontà: un portale indica, non riproduce. Regola di lettura generale, valida oltre questa serie: la densità di un nome in un indice misura scelte editoriali e mai peso storico — la stessa avvertenza che l'opera Kissinger antepone alla lettura della propria rete.</w:t>
      </w:r>
    </w:p>
    <w:p>
      <w:pPr>
        <w:spacing w:after="120" w:line="276"/>
        <w:jc w:val="both"/>
      </w:pPr>
      <w:r>
        <w:rPr>
          <w:rFonts w:ascii="Barlow Semi Condensed" w:cs="Barlow Semi Condensed" w:eastAsia="Barlow Semi Condensed" w:hAnsi="Barlow Semi Condensed"/>
          <w:b/>
          <w:bCs/>
          <w:sz w:val="24"/>
          <w:szCs w:val="24"/>
        </w:rPr>
        <w:t xml:space="preserve">1992 · I due indirizzi americani.</w:t>
      </w:r>
      <w:r>
        <w:rPr>
          <w:rFonts w:ascii="Barlow Semi Condensed" w:cs="Barlow Semi Condensed" w:eastAsia="Barlow Semi Condensed" w:hAnsi="Barlow Semi Condensed"/>
          <w:sz w:val="24"/>
          <w:szCs w:val="24"/>
        </w:rPr>
        <w:t xml:space="preserve"> history.state.gov e la CIA FOIA Electronic Reading Room sono i due soli indirizzi americani dell'intera edizione. Quesito preliminare a ogni Stato Zero futuro: con quali stringhe il branch li ha interrogati, in quale data, con quanti risultati. Un indirizzo senza protocollo di ricerca non fonda alcun esito negativo — è la disciplina del blocco 233 dell'agenda — e la sezione bibliografica non registra alcun protocollo.</w:t>
      </w:r>
    </w:p>
    <w:p>
      <w:pPr>
        <w:spacing w:after="120" w:line="276"/>
        <w:jc w:val="both"/>
      </w:pPr>
      <w:r>
        <w:rPr>
          <w:rFonts w:ascii="Barlow Semi Condensed" w:cs="Barlow Semi Condensed" w:eastAsia="Barlow Semi Condensed" w:hAnsi="Barlow Semi Condensed"/>
          <w:b/>
          <w:bCs/>
          <w:sz w:val="24"/>
          <w:szCs w:val="24"/>
        </w:rPr>
        <w:t xml:space="preserve">1993 · Sezione VI, la voce mancante.</w:t>
      </w:r>
      <w:r>
        <w:rPr>
          <w:rFonts w:ascii="Barlow Semi Condensed" w:cs="Barlow Semi Condensed" w:eastAsia="Barlow Semi Condensed" w:hAnsi="Barlow Semi Condensed"/>
          <w:sz w:val="24"/>
          <w:szCs w:val="24"/>
        </w:rPr>
        <w:t xml:space="preserve"> «Contesto: intelligence, eversione e reti» elenca i documenti FRUS citati nelle ricognizioni, gli atti su Hyperion in HY-1…HY-9 e la storiografia sul ceppo milanese. L'asse atlantico non ha voce propria. Proposta: una settima voce che distingua i volumi FRUS effettivamente spogliati da quelli soltanto citati di seconda mano, perché oggi le due categorie stanno insieme e il lettore non può separarle.</w:t>
      </w:r>
    </w:p>
    <w:p>
      <w:pPr>
        <w:spacing w:after="120" w:line="276"/>
        <w:jc w:val="both"/>
      </w:pPr>
      <w:r>
        <w:rPr>
          <w:rFonts w:ascii="Barlow Semi Condensed" w:cs="Barlow Semi Condensed" w:eastAsia="Barlow Semi Condensed" w:hAnsi="Barlow Semi Condensed"/>
          <w:b/>
          <w:bCs/>
          <w:sz w:val="24"/>
          <w:szCs w:val="24"/>
        </w:rPr>
        <w:t xml:space="preserve">1994 · La provenienza di un metodo.</w:t>
      </w:r>
      <w:r>
        <w:rPr>
          <w:rFonts w:ascii="Barlow Semi Condensed" w:cs="Barlow Semi Condensed" w:eastAsia="Barlow Semi Condensed" w:hAnsi="Barlow Semi Condensed"/>
          <w:sz w:val="24"/>
          <w:szCs w:val="24"/>
        </w:rPr>
        <w:t xml:space="preserve"> Popper, Ginzburg, Heuer sono la triade metodologica dichiarata, e l'ultimo è pubblicato dalla CIA nel 1999. Regola di lettura da scrivere una volta e applicare sempre: la provenienza di uno strumento analitico non istituisce alcun nesso con l'oggetto analizzato. Chi usa l'ACH non entra per ciò stesso in relazione con l'agenzia che ne stampò il manuale, come chi usa Popper non entra in relazione con Vienna.</w:t>
      </w:r>
    </w:p>
    <w:p>
      <w:pPr>
        <w:spacing w:after="120" w:line="276"/>
        <w:jc w:val="both"/>
      </w:pPr>
      <w:r>
        <w:rPr>
          <w:rFonts w:ascii="Barlow Semi Condensed" w:cs="Barlow Semi Condensed" w:eastAsia="Barlow Semi Condensed" w:hAnsi="Barlow Semi Condensed"/>
          <w:b/>
          <w:bCs/>
          <w:sz w:val="24"/>
          <w:szCs w:val="24"/>
        </w:rPr>
        <w:t xml:space="preserve">1995 · Le carte morotee e la visita americana.</w:t>
      </w:r>
      <w:r>
        <w:rPr>
          <w:rFonts w:ascii="Barlow Semi Condensed" w:cs="Barlow Semi Condensed" w:eastAsia="Barlow Semi Condensed" w:hAnsi="Barlow Semi Condensed"/>
          <w:sz w:val="24"/>
          <w:szCs w:val="24"/>
        </w:rPr>
        <w:t xml:space="preserve"> L'edizione digitale delle carte Moro apre la sezione prima e ritorna nella terza. Bersaglio con costo minimo, e nessun blocco del corpus lo registra come eseguito: interrogare aldomorodigitale.unibo.it sulla visita americana del settembre 1974 — appunti preparatori, discorsi, corrispondenza del ministro — e dichiararne l'esito, positivo o negativo. È la verifica più economica dell'intera serie e la più vicina al soggetto italiano.</w:t>
      </w:r>
    </w:p>
    <w:p>
      <w:pPr>
        <w:spacing w:after="120" w:line="276"/>
        <w:jc w:val="both"/>
      </w:pPr>
      <w:r>
        <w:rPr>
          <w:rFonts w:ascii="Barlow Semi Condensed" w:cs="Barlow Semi Condensed" w:eastAsia="Barlow Semi Condensed" w:hAnsi="Barlow Semi Condensed"/>
          <w:b/>
          <w:bCs/>
          <w:sz w:val="24"/>
          <w:szCs w:val="24"/>
        </w:rPr>
        <w:t xml:space="preserve">1996 · Il quarto deposito e il periodo giusto.</w:t>
      </w:r>
      <w:r>
        <w:rPr>
          <w:rFonts w:ascii="Barlow Semi Condensed" w:cs="Barlow Semi Condensed" w:eastAsia="Barlow Semi Condensed" w:hAnsi="Barlow Semi Condensed"/>
          <w:sz w:val="24"/>
          <w:szCs w:val="24"/>
        </w:rPr>
        <w:t xml:space="preserve"> Un quarto deposito con segnatura propria, IT-AFS-048, è stato accertato dalla seconda campagna della Farnesina, con unità digitalizzate che riguardano proprio il Moro ministro, e aggiunto ai tre nuclei registrati ai blocchi 221-223 e 235 dei cantieri. Ogni quesito di questa serie che chieda una carta italiana del 1969-1974 va portato lì per primo, perché è il fondo più vicino alla materia.</w:t>
      </w:r>
    </w:p>
    <w:p>
      <w:pPr>
        <w:spacing w:after="120" w:line="276"/>
        <w:jc w:val="both"/>
      </w:pPr>
      <w:r>
        <w:rPr>
          <w:rFonts w:ascii="Barlow Semi Condensed" w:cs="Barlow Semi Condensed" w:eastAsia="Barlow Semi Condensed" w:hAnsi="Barlow Semi Condensed"/>
          <w:b/>
          <w:bCs/>
          <w:sz w:val="24"/>
          <w:szCs w:val="24"/>
        </w:rPr>
        <w:t xml:space="preserve">1997 · Il limite reale della Farnesina (serie XXVI).</w:t>
      </w:r>
      <w:r>
        <w:rPr>
          <w:rFonts w:ascii="Barlow Semi Condensed" w:cs="Barlow Semi Condensed" w:eastAsia="Barlow Semi Condensed" w:hAnsi="Barlow Semi Condensed"/>
          <w:sz w:val="24"/>
          <w:szCs w:val="24"/>
        </w:rPr>
        <w:t xml:space="preserve"> Su un punto che cambia il costo di ogni bersaglio italiano il branch è stato corretto: i fondi ministeriali degli anni in esame non risultavano consultabili, la disponibilità dei faldoni dal 1949 va verificata caso per caso, e resta l'esclusione temporanea dei Telegrammi 1942-1970. Il Capitolo XI rinvia alla cartella Farnesina come a sede aperta: la correzione va recepita prima di pianificare qualunque accesso.</w:t>
      </w:r>
    </w:p>
    <w:p>
      <w:pPr>
        <w:spacing w:after="120" w:line="276"/>
        <w:jc w:val="both"/>
      </w:pPr>
      <w:r>
        <w:rPr>
          <w:rFonts w:ascii="Barlow Semi Condensed" w:cs="Barlow Semi Condensed" w:eastAsia="Barlow Semi Condensed" w:hAnsi="Barlow Semi Condensed"/>
          <w:b/>
          <w:bCs/>
          <w:sz w:val="24"/>
          <w:szCs w:val="24"/>
        </w:rPr>
        <w:t xml:space="preserve">1998 · Bersaglio di smentita: il ponte diretto.</w:t>
      </w:r>
      <w:r>
        <w:rPr>
          <w:rFonts w:ascii="Barlow Semi Condensed" w:cs="Barlow Semi Condensed" w:eastAsia="Barlow Semi Condensed" w:hAnsi="Barlow Semi Condensed"/>
          <w:sz w:val="24"/>
          <w:szCs w:val="24"/>
        </w:rPr>
        <w:t xml:space="preserve"> Che cosa falsificherebbe il nesso ipotizzato fra questo nome e il caso: un documento di provenienza, telegramma o appunto d'ufficio, emesso da un'amministrazione statunitense e recante il nome di una controparte italiana in relazione operativa sul sequestro. Non una valutazione ostile, non una posizione dottrinale, non un avvertimento riferito de relato. Finché quel documento non compare, il silenzio del Portale è lo stato corretto del corpus.</w:t>
      </w:r>
    </w:p>
    <w:p>
      <w:pPr>
        <w:spacing w:after="120" w:line="276"/>
        <w:jc w:val="both"/>
      </w:pPr>
      <w:r>
        <w:rPr>
          <w:rFonts w:ascii="Barlow Semi Condensed" w:cs="Barlow Semi Condensed" w:eastAsia="Barlow Semi Condensed" w:hAnsi="Barlow Semi Condensed"/>
          <w:b/>
          <w:bCs/>
          <w:sz w:val="24"/>
          <w:szCs w:val="24"/>
        </w:rPr>
        <w:t xml:space="preserve">1999 · Bersaglio di smentita: il ponte inverso.</w:t>
      </w:r>
      <w:r>
        <w:rPr>
          <w:rFonts w:ascii="Barlow Semi Condensed" w:cs="Barlow Semi Condensed" w:eastAsia="Barlow Semi Condensed" w:hAnsi="Barlow Semi Condensed"/>
          <w:sz w:val="24"/>
          <w:szCs w:val="24"/>
        </w:rPr>
        <w:t xml:space="preserve"> Il falsificatore simmetrico costa meno e nessuno lo cerca: un documento italiano — appunto dei servizi, verbale della Farnesina, carta del fondo Moro — che registri l'avvertimento come ricevuto, con data e redattore. Sposterebbe l'episodio da testimonianza contestata ad accertamento, senza toccare il giudicato. Sedi: IT-AFS-048, il fondo delle duecentodiciotto buste all'Archivio centrale dello Stato, e gli archivi resi accessibili nel 2014.</w:t>
      </w:r>
    </w:p>
    <w:p>
      <w:pPr>
        <w:spacing w:after="120" w:line="276"/>
        <w:jc w:val="both"/>
      </w:pPr>
      <w:r>
        <w:rPr>
          <w:rFonts w:ascii="Barlow Semi Condensed" w:cs="Barlow Semi Condensed" w:eastAsia="Barlow Semi Condensed" w:hAnsi="Barlow Semi Condensed"/>
          <w:b/>
          <w:bCs/>
          <w:sz w:val="24"/>
          <w:szCs w:val="24"/>
        </w:rPr>
        <w:t xml:space="preserve">2000 · Che cosa questa serie non ha stabilito (serie XXVI).</w:t>
      </w:r>
      <w:r>
        <w:rPr>
          <w:rFonts w:ascii="Barlow Semi Condensed" w:cs="Barlow Semi Condensed" w:eastAsia="Barlow Semi Condensed" w:hAnsi="Barlow Semi Condensed"/>
          <w:sz w:val="24"/>
          <w:szCs w:val="24"/>
        </w:rPr>
        <w:t xml:space="preserve"> Non ha stabilito che il Portale nasconda alcunché, né che questo nome appartenga al caso. Ha stabilito dove il nome vive nei territori che il Portale indica, in quali punti il Portale non lo porta, e con quale indirizzo ciascuna assenza si chiuderebbe. Sopra la linea restano domande col loro grado; sotto, tredici nomi scritti dai giudici e sei vittime scritte per prime. Il resto è lavoro d'archivio.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ventisettesima — Il metodo e il presidio del garante</w:t>
      </w:r>
    </w:p>
    <w:p>
      <w:pPr>
        <w:spacing w:after="120" w:line="276"/>
        <w:jc w:val="both"/>
      </w:pPr>
      <w:r>
        <w:rPr>
          <w:rFonts w:ascii="Barlow Semi Condensed" w:cs="Barlow Semi Condensed" w:eastAsia="Barlow Semi Condensed" w:hAnsi="Barlow Semi Condensed"/>
          <w:i/>
          <w:iCs/>
          <w:sz w:val="24"/>
          <w:szCs w:val="24"/>
        </w:rPr>
        <w:t xml:space="preserve">Blocchi 2001-2075.</w:t>
      </w:r>
    </w:p>
    <w:p>
      <w:pPr>
        <w:spacing w:after="120" w:line="276"/>
        <w:jc w:val="both"/>
      </w:pPr>
      <w:r>
        <w:rPr>
          <w:rFonts w:ascii="Barlow Semi Condensed" w:cs="Barlow Semi Condensed" w:eastAsia="Barlow Semi Condensed" w:hAnsi="Barlow Semi Condensed"/>
          <w:b/>
          <w:bCs/>
          <w:sz w:val="24"/>
          <w:szCs w:val="24"/>
        </w:rPr>
        <w:t xml:space="preserve">2001 · Il perimetro esatto del territorio.</w:t>
      </w:r>
      <w:r>
        <w:rPr>
          <w:rFonts w:ascii="Barlow Semi Condensed" w:cs="Barlow Semi Condensed" w:eastAsia="Barlow Semi Condensed" w:hAnsi="Barlow Semi Condensed"/>
          <w:sz w:val="24"/>
          <w:szCs w:val="24"/>
        </w:rPr>
        <w:t xml:space="preserve"> La Fase sesta occupa un solo file, aldo-moro-una-guerra-senza-fine-fase-sesta.md, datato 24 agosto 2026: cinque capitoli, dal cinquantunesimo al cinquantacinquesimo, poco più di duemila parole. È la continuazione più breve dell'opera su Moro e l'unica interamente dedicata al metodo. Triangolare un nome contro questo territorio significa misurarlo contro una procedura, non contro un racconto: è il primo dato da fissare, prima di ogni ricerca d'archivio.</w:t>
      </w:r>
    </w:p>
    <w:p>
      <w:pPr>
        <w:spacing w:after="120" w:line="276"/>
        <w:jc w:val="both"/>
      </w:pPr>
      <w:r>
        <w:rPr>
          <w:rFonts w:ascii="Barlow Semi Condensed" w:cs="Barlow Semi Condensed" w:eastAsia="Barlow Semi Condensed" w:hAnsi="Barlow Semi Condensed"/>
          <w:b/>
          <w:bCs/>
          <w:sz w:val="24"/>
          <w:szCs w:val="24"/>
        </w:rPr>
        <w:t xml:space="preserve">2002 · Una sola occorrenza del nome.</w:t>
      </w:r>
      <w:r>
        <w:rPr>
          <w:rFonts w:ascii="Barlow Semi Condensed" w:cs="Barlow Semi Condensed" w:eastAsia="Barlow Semi Condensed" w:hAnsi="Barlow Semi Condensed"/>
          <w:sz w:val="24"/>
          <w:szCs w:val="24"/>
        </w:rPr>
        <w:t xml:space="preserve"> Nel testo integrale della Fase sesta il cognome Kissinger compare esattamente una volta, al capitolo cinquantaquattresimo, dentro la voce Stato Zero della mappa dei gradi. Non compare nel Livello A, non nel B, non nel C. La verifica è ripetibile da chiunque con una ricerca testuale sul file, ed è il fatto di piano uno da cui questa serie parte: il territorio nomina l'uomo solo per dire che manca il documento.</w:t>
      </w:r>
    </w:p>
    <w:p>
      <w:pPr>
        <w:spacing w:after="120" w:line="276"/>
        <w:jc w:val="both"/>
      </w:pPr>
      <w:r>
        <w:rPr>
          <w:rFonts w:ascii="Barlow Semi Condensed" w:cs="Barlow Semi Condensed" w:eastAsia="Barlow Semi Condensed" w:hAnsi="Barlow Semi Condensed"/>
          <w:b/>
          <w:bCs/>
          <w:sz w:val="24"/>
          <w:szCs w:val="24"/>
        </w:rPr>
        <w:t xml:space="preserve">2003 · I quattro cognomi della fase.</w:t>
      </w:r>
      <w:r>
        <w:rPr>
          <w:rFonts w:ascii="Barlow Semi Condensed" w:cs="Barlow Semi Condensed" w:eastAsia="Barlow Semi Condensed" w:hAnsi="Barlow Semi Condensed"/>
          <w:sz w:val="24"/>
          <w:szCs w:val="24"/>
        </w:rPr>
        <w:t xml:space="preserve"> Lo spoglio dei nomi propri restituisce quattro cognomi di persona in tutta la fase: Moro, Popper nella formula del Pollo, Fioroni che presiedette la Commissione del 2014-2018, e Kissinger. Nessun altro. Di questi, tre appartengono al caso o al metodo italiano; il quarto è l'unico straniero, e l'unico iscritto in una voce negativa. La sproporzione è un dato del documento, non una lettura che gli si applichi.</w:t>
      </w:r>
    </w:p>
    <w:p>
      <w:pPr>
        <w:spacing w:after="120" w:line="276"/>
        <w:jc w:val="both"/>
      </w:pPr>
      <w:r>
        <w:rPr>
          <w:rFonts w:ascii="Barlow Semi Condensed" w:cs="Barlow Semi Condensed" w:eastAsia="Barlow Semi Condensed" w:hAnsi="Barlow Semi Condensed"/>
          <w:b/>
          <w:bCs/>
          <w:sz w:val="24"/>
          <w:szCs w:val="24"/>
        </w:rPr>
        <w:t xml:space="preserve">2004 · Il trattino di Kissinger-persona.</w:t>
      </w:r>
      <w:r>
        <w:rPr>
          <w:rFonts w:ascii="Barlow Semi Condensed" w:cs="Barlow Semi Condensed" w:eastAsia="Barlow Semi Condensed" w:hAnsi="Barlow Semi Condensed"/>
          <w:sz w:val="24"/>
          <w:szCs w:val="24"/>
        </w:rPr>
        <w:t xml:space="preserve"> La voce dello Stato Zero scrive Kissinger-persona, con il trattino, e affianca la formula a qualunque apparato straniero nominato. La scelta lessicale distingue l'uomo dall'ufficio e dall'apparato, e vale come regola di lettura per tutta la triangolazione: si cerca un documento che leghi la persona, non la carica né la struttura che la ospitava. Chi confonde i tre oggetti sposta il bersaglio e rende la ricerca invincibile e inutile.</w:t>
      </w:r>
    </w:p>
    <w:p>
      <w:pPr>
        <w:spacing w:after="120" w:line="276"/>
        <w:jc w:val="both"/>
      </w:pPr>
      <w:r>
        <w:rPr>
          <w:rFonts w:ascii="Barlow Semi Condensed" w:cs="Barlow Semi Condensed" w:eastAsia="Barlow Semi Condensed" w:hAnsi="Barlow Semi Condensed"/>
          <w:b/>
          <w:bCs/>
          <w:sz w:val="24"/>
          <w:szCs w:val="24"/>
        </w:rPr>
        <w:t xml:space="preserve">2005 · Il prenome che manca.</w:t>
      </w:r>
      <w:r>
        <w:rPr>
          <w:rFonts w:ascii="Barlow Semi Condensed" w:cs="Barlow Semi Condensed" w:eastAsia="Barlow Semi Condensed" w:hAnsi="Barlow Semi Condensed"/>
          <w:sz w:val="24"/>
          <w:szCs w:val="24"/>
        </w:rPr>
        <w:t xml:space="preserve"> In nessun punto della fase compare Henry: il cognome sta solo, senza prenome e senza carica. È un'assenza minuta e va registrata, perché l'opera gemella su questo nome ha dovuto correggere per nota una forma errata, Harry nel mandato, e datare la mutazione da Heinz a Henry fra il 1938 della vulgata e il 1942-1943 del fascicolo d'immigrazione. Il territorio moroteo non offre appiglio a quella verifica: la eredita e basta.</w:t>
      </w:r>
    </w:p>
    <w:p>
      <w:pPr>
        <w:spacing w:after="120" w:line="276"/>
        <w:jc w:val="both"/>
      </w:pPr>
      <w:r>
        <w:rPr>
          <w:rFonts w:ascii="Barlow Semi Condensed" w:cs="Barlow Semi Condensed" w:eastAsia="Barlow Semi Condensed" w:hAnsi="Barlow Semi Condensed"/>
          <w:b/>
          <w:bCs/>
          <w:sz w:val="24"/>
          <w:szCs w:val="24"/>
        </w:rPr>
        <w:t xml:space="preserve">2006 · La data della fase e la morte.</w:t>
      </w:r>
      <w:r>
        <w:rPr>
          <w:rFonts w:ascii="Barlow Semi Condensed" w:cs="Barlow Semi Condensed" w:eastAsia="Barlow Semi Condensed" w:hAnsi="Barlow Semi Condensed"/>
          <w:sz w:val="24"/>
          <w:szCs w:val="24"/>
        </w:rPr>
        <w:t xml:space="preserve"> La fase porta la data del 24 agosto 2026, cioè due anni e nove mesi dopo il 29 novembre 2023, giorno della morte a Kent, nel Connecticut. Chi la scrisse sapeva di trattare un defunto, e tuttavia mantenne il nome nella sola casella dell'assenza documentale. Il dato conta perché smentisce in anticipo l'obiezione più facile: la cautela della fase non nasce dal timore di un vivente.</w:t>
      </w:r>
    </w:p>
    <w:p>
      <w:pPr>
        <w:spacing w:after="120" w:line="276"/>
        <w:jc w:val="both"/>
      </w:pPr>
      <w:r>
        <w:rPr>
          <w:rFonts w:ascii="Barlow Semi Condensed" w:cs="Barlow Semi Condensed" w:eastAsia="Barlow Semi Condensed" w:hAnsi="Barlow Semi Condensed"/>
          <w:b/>
          <w:bCs/>
          <w:sz w:val="24"/>
          <w:szCs w:val="24"/>
        </w:rPr>
        <w:t xml:space="preserve">2007 · Il complemento che toglie il nome.</w:t>
      </w:r>
      <w:r>
        <w:rPr>
          <w:rFonts w:ascii="Barlow Semi Condensed" w:cs="Barlow Semi Condensed" w:eastAsia="Barlow Semi Condensed" w:hAnsi="Barlow Semi Condensed"/>
          <w:sz w:val="24"/>
          <w:szCs w:val="24"/>
        </w:rPr>
        <w:t xml:space="preserve"> Pubblicato lo stesso giorno e dichiarato complemento alla Fase sesta, l'apparato dei gradi riscrive la mappa capitolo per capitolo e non nomina Kissinger neppure una volta. Il censimento dei suoi nomi propri dà Moro, i cinque caduti della scorta e Popper: nessun altro. Fra la fase, che nomina una volta, e il complemento, che non nomina mai, corre una divergenza di regime: si riporta, non si scioglie.</w:t>
      </w:r>
    </w:p>
    <w:p>
      <w:pPr>
        <w:spacing w:after="120" w:line="276"/>
        <w:jc w:val="both"/>
      </w:pPr>
      <w:r>
        <w:rPr>
          <w:rFonts w:ascii="Barlow Semi Condensed" w:cs="Barlow Semi Condensed" w:eastAsia="Barlow Semi Condensed" w:hAnsi="Barlow Semi Condensed"/>
          <w:b/>
          <w:bCs/>
          <w:sz w:val="24"/>
          <w:szCs w:val="24"/>
        </w:rPr>
        <w:t xml:space="preserve">2008 · La contraddizione che apre il capitolo.</w:t>
      </w:r>
      <w:r>
        <w:rPr>
          <w:rFonts w:ascii="Barlow Semi Condensed" w:cs="Barlow Semi Condensed" w:eastAsia="Barlow Semi Condensed" w:hAnsi="Barlow Semi Condensed"/>
          <w:sz w:val="24"/>
          <w:szCs w:val="24"/>
        </w:rPr>
        <w:t xml:space="preserve"> Apre il capitolo cinquantunesimo nominando una contraddizione apparente: l'opera si vieta di imputare e tuttavia, nella Fase quinta, ordina architetti, mandanti ed esecutori. La composizione proposta è che la graduatoria sia esercizio di probabilità storiografica dichiaratamente ipotetico. Per il nostro nome la conseguenza è precisa: qualunque posizione gli fosse assegnata in una classifica resterebbe congettura, e il branch pubblico ha comunque rinunciato a compilarla.</w:t>
      </w:r>
    </w:p>
    <w:p>
      <w:pPr>
        <w:spacing w:after="120" w:line="276"/>
        <w:jc w:val="both"/>
      </w:pPr>
      <w:r>
        <w:rPr>
          <w:rFonts w:ascii="Barlow Semi Condensed" w:cs="Barlow Semi Condensed" w:eastAsia="Barlow Semi Condensed" w:hAnsi="Barlow Semi Condensed"/>
          <w:b/>
          <w:bCs/>
          <w:sz w:val="24"/>
          <w:szCs w:val="24"/>
        </w:rPr>
        <w:t xml:space="preserve">2009 · L'immunizzazione applicata a questo nodo.</w:t>
      </w:r>
      <w:r>
        <w:rPr>
          <w:rFonts w:ascii="Barlow Semi Condensed" w:cs="Barlow Semi Condensed" w:eastAsia="Barlow Semi Condensed" w:hAnsi="Barlow Semi Condensed"/>
          <w:sz w:val="24"/>
          <w:szCs w:val="24"/>
        </w:rPr>
        <w:t xml:space="preserve"> Il rischio che il capitolo chiama immunizzazione, richiamando il capitolo secondo, è che un'ipotesi nata cauta venga poi letta come conclusione. Sul versante atlantico l'immunizzazione ha una forma riconoscibile: ogni assenza di documento viene spiegata con la segretezza, e l'ipotesi diventa infalsificabile. La fase non nomina questo esempio; la serie lo propone come caso di prova, perché è quello in cui la tentazione è massima.</w:t>
      </w:r>
    </w:p>
    <w:p>
      <w:pPr>
        <w:spacing w:after="120" w:line="276"/>
        <w:jc w:val="both"/>
      </w:pPr>
      <w:r>
        <w:rPr>
          <w:rFonts w:ascii="Barlow Semi Condensed" w:cs="Barlow Semi Condensed" w:eastAsia="Barlow Semi Condensed" w:hAnsi="Barlow Semi Condensed"/>
          <w:b/>
          <w:bCs/>
          <w:sz w:val="24"/>
          <w:szCs w:val="24"/>
        </w:rPr>
        <w:t xml:space="preserve">2010 · Il solco e il nome straniero.</w:t>
      </w:r>
      <w:r>
        <w:rPr>
          <w:rFonts w:ascii="Barlow Semi Condensed" w:cs="Barlow Semi Condensed" w:eastAsia="Barlow Semi Condensed" w:hAnsi="Barlow Semi Condensed"/>
          <w:sz w:val="24"/>
          <w:szCs w:val="24"/>
        </w:rPr>
        <w:t xml:space="preserve"> «Il solco tiene solo se qualcuno lo presidia»: così il capitolo giustifica la propria esistenza. Applicato a un nome straniero il solco ha un effetto ulteriore, che la fase non esplicita e che qui si registra: al di qua del solco quel nome non compare affatto, al di là comparirebbe soltanto come ipotesi ordinata. Non esiste quindi alcuna riga dell'opera in cui figuri come fatto accertato.</w:t>
      </w:r>
    </w:p>
    <w:p>
      <w:pPr>
        <w:spacing w:after="120" w:line="276"/>
        <w:jc w:val="both"/>
      </w:pPr>
      <w:r>
        <w:rPr>
          <w:rFonts w:ascii="Barlow Semi Condensed" w:cs="Barlow Semi Condensed" w:eastAsia="Barlow Semi Condensed" w:hAnsi="Barlow Semi Condensed"/>
          <w:b/>
          <w:bCs/>
          <w:sz w:val="24"/>
          <w:szCs w:val="24"/>
        </w:rPr>
        <w:t xml:space="preserve">2011 · Perché il presidio protegge un estraneo.</w:t>
      </w:r>
      <w:r>
        <w:rPr>
          <w:rFonts w:ascii="Barlow Semi Condensed" w:cs="Barlow Semi Condensed" w:eastAsia="Barlow Semi Condensed" w:hAnsi="Barlow Semi Condensed"/>
          <w:sz w:val="24"/>
          <w:szCs w:val="24"/>
        </w:rPr>
        <w:t xml:space="preserve"> Un garante istituito per proteggere il lettore protegge, di riflesso, anche chi il testo potrebbe nominare. È l'effetto meno intuitivo del capitolo cinquantunesimo e va detto: la funzione non è morale ma strutturale, e non si esercita a favore di qualcuno. Vale per i tredici condannati dai giudici quanto per il segretario di Stato mai imputato; il presidio non distingue fra simpatie, distingue fra gradi.</w:t>
      </w:r>
    </w:p>
    <w:p>
      <w:pPr>
        <w:spacing w:after="120" w:line="276"/>
        <w:jc w:val="both"/>
      </w:pPr>
      <w:r>
        <w:rPr>
          <w:rFonts w:ascii="Barlow Semi Condensed" w:cs="Barlow Semi Condensed" w:eastAsia="Barlow Semi Condensed" w:hAnsi="Barlow Semi Condensed"/>
          <w:b/>
          <w:bCs/>
          <w:sz w:val="24"/>
          <w:szCs w:val="24"/>
        </w:rPr>
        <w:t xml:space="preserve">2012 · La graduatoria che il branch non riproduce.</w:t>
      </w:r>
      <w:r>
        <w:rPr>
          <w:rFonts w:ascii="Barlow Semi Condensed" w:cs="Barlow Semi Condensed" w:eastAsia="Barlow Semi Condensed" w:hAnsi="Barlow Semi Condensed"/>
          <w:sz w:val="24"/>
          <w:szCs w:val="24"/>
        </w:rPr>
        <w:t xml:space="preserve"> L'edizione strutturata dichiara al blocco cinquecentouno la divergenza costitutiva: nel Dossier maggiore la Fase quinta congeda il falsificazionismo, nel branch pubblico no. Chi cerchi una collocazione di questo nome in una classifica di architetti deve dunque sapere che essa non esiste nel corpus consultabile, e che l'opera indica dove vive e sotto quale responsabilità. È un rinvio, non una reticenza, e va citato come tale.</w:t>
      </w:r>
    </w:p>
    <w:p>
      <w:pPr>
        <w:spacing w:after="120" w:line="276"/>
        <w:jc w:val="both"/>
      </w:pPr>
      <w:r>
        <w:rPr>
          <w:rFonts w:ascii="Barlow Semi Condensed" w:cs="Barlow Semi Condensed" w:eastAsia="Barlow Semi Condensed" w:hAnsi="Barlow Semi Condensed"/>
          <w:b/>
          <w:bCs/>
          <w:sz w:val="24"/>
          <w:szCs w:val="24"/>
        </w:rPr>
        <w:t xml:space="preserve">2013 · Quando restano solo i nomi.</w:t>
      </w:r>
      <w:r>
        <w:rPr>
          <w:rFonts w:ascii="Barlow Semi Condensed" w:cs="Barlow Semi Condensed" w:eastAsia="Barlow Semi Condensed" w:hAnsi="Barlow Semi Condensed"/>
          <w:sz w:val="24"/>
          <w:szCs w:val="24"/>
        </w:rPr>
        <w:t xml:space="preserve"> Sulla proposizione psicologica che i nomi vivono più a lungo delle cautele poggia l'intero capitolo, e l'opera gemella l'ha ripresa al blocco 982. Qui se ne trae una conseguenza operativa nuova: nel caso di specie cautela e nome coincidono, perché l'unica riga che nomina è quella che dichiara l'assenza. Se la cautela svanisse dalla memoria del lettore, svanirebbe con essa la ragione stessa della menzione.</w:t>
      </w:r>
    </w:p>
    <w:p>
      <w:pPr>
        <w:spacing w:after="120" w:line="276"/>
        <w:jc w:val="both"/>
      </w:pPr>
      <w:r>
        <w:rPr>
          <w:rFonts w:ascii="Barlow Semi Condensed" w:cs="Barlow Semi Condensed" w:eastAsia="Barlow Semi Condensed" w:hAnsi="Barlow Semi Condensed"/>
          <w:b/>
          <w:bCs/>
          <w:sz w:val="24"/>
          <w:szCs w:val="24"/>
        </w:rPr>
        <w:t xml:space="preserve">2014 · Che cosa falsificherebbe il presidio.</w:t>
      </w:r>
      <w:r>
        <w:rPr>
          <w:rFonts w:ascii="Barlow Semi Condensed" w:cs="Barlow Semi Condensed" w:eastAsia="Barlow Semi Condensed" w:hAnsi="Barlow Semi Condensed"/>
          <w:sz w:val="24"/>
          <w:szCs w:val="24"/>
        </w:rPr>
        <w:t xml:space="preserve"> Bersaglio di smentita sul capitolo cinquantunesimo: il presidio sarebbe falsificato se si trovasse, dentro il corpus pubblico, una riga in cui questo nome compare come soggetto di condotta e non di assenza. La verifica è meccanica, una ricerca testuale su tutti i file del branch, e va rifatta a ogni nuova pubblicazione. Finché l'esito resta negativo, il capitolo dice il vero su sé stesso.</w:t>
      </w:r>
    </w:p>
    <w:p>
      <w:pPr>
        <w:spacing w:after="120" w:line="276"/>
        <w:jc w:val="both"/>
      </w:pPr>
      <w:r>
        <w:rPr>
          <w:rFonts w:ascii="Barlow Semi Condensed" w:cs="Barlow Semi Condensed" w:eastAsia="Barlow Semi Condensed" w:hAnsi="Barlow Semi Condensed"/>
          <w:b/>
          <w:bCs/>
          <w:sz w:val="24"/>
          <w:szCs w:val="24"/>
        </w:rPr>
        <w:t xml:space="preserve">2015 · Il Dossier maggiore come sede da aprire.</w:t>
      </w:r>
      <w:r>
        <w:rPr>
          <w:rFonts w:ascii="Barlow Semi Condensed" w:cs="Barlow Semi Condensed" w:eastAsia="Barlow Semi Condensed" w:hAnsi="Barlow Semi Condensed"/>
          <w:sz w:val="24"/>
          <w:szCs w:val="24"/>
        </w:rPr>
        <w:t xml:space="preserve"> Stato Zero di primo rilievo: il testo della Fase quinta del Dossier maggiore non è consultabile nel branch, e nessuno può quindi verificare se e come vi compaia questo nome. La sede che lo chiuderebbe è una sola, il deposito privato dell'autore del Dossier, con la sua tavola di corrispondenza già annunciata nei blocchi 1301-1305 dell'edizione strutturata. Finché non si apre, l'esito resta indeterminato e va dichiarato.</w:t>
      </w:r>
    </w:p>
    <w:p>
      <w:pPr>
        <w:spacing w:after="120" w:line="276"/>
        <w:jc w:val="both"/>
      </w:pPr>
      <w:r>
        <w:rPr>
          <w:rFonts w:ascii="Barlow Semi Condensed" w:cs="Barlow Semi Condensed" w:eastAsia="Barlow Semi Condensed" w:hAnsi="Barlow Semi Condensed"/>
          <w:b/>
          <w:bCs/>
          <w:sz w:val="24"/>
          <w:szCs w:val="24"/>
        </w:rPr>
        <w:t xml:space="preserve">2016 · La domanda che uccide un'affermazione.</w:t>
      </w:r>
      <w:r>
        <w:rPr>
          <w:rFonts w:ascii="Barlow Semi Condensed" w:cs="Barlow Semi Condensed" w:eastAsia="Barlow Semi Condensed" w:hAnsi="Barlow Semi Condensed"/>
          <w:sz w:val="24"/>
          <w:szCs w:val="24"/>
        </w:rPr>
        <w:t xml:space="preserve"> Il capitolo cinquantaduesimo riduce la disciplina del grado a una domanda ripetuta senza eccezioni: che cosa la ucciderebbe? Un Livello A è tale quando la risposta esiste, è precisa ed è stata cercata invano. Portata sul versante che ci occupa, la domanda impone di scrivere accanto a ogni proposizione il documento che la abbatterebbe, con fondo e segnatura. Senza quella riga la proposizione non ha grado: ha soltanto tono.</w:t>
      </w:r>
    </w:p>
    <w:p>
      <w:pPr>
        <w:spacing w:after="120" w:line="276"/>
        <w:jc w:val="both"/>
      </w:pPr>
      <w:r>
        <w:rPr>
          <w:rFonts w:ascii="Barlow Semi Condensed" w:cs="Barlow Semi Condensed" w:eastAsia="Barlow Semi Condensed" w:hAnsi="Barlow Semi Condensed"/>
          <w:b/>
          <w:bCs/>
          <w:sz w:val="24"/>
          <w:szCs w:val="24"/>
        </w:rPr>
        <w:t xml:space="preserve">2017 · La domanda applicata al verbale del 1974.</w:t>
      </w:r>
      <w:r>
        <w:rPr>
          <w:rFonts w:ascii="Barlow Semi Condensed" w:cs="Barlow Semi Condensed" w:eastAsia="Barlow Semi Condensed" w:hAnsi="Barlow Semi Condensed"/>
          <w:sz w:val="24"/>
          <w:szCs w:val="24"/>
        </w:rPr>
        <w:t xml:space="preserve"> Provata sul memorandum of conversation del 25 settembre 1974, documento 350 del volume FRUS 1969-1976 E-15 parte seconda, seconda edizione riveduta, file 1552802 della Ford Library, la domanda dà una risposta netta. L'affermazione che quel verbale attesti la posizione sullo scambio di informazioni militari cadrebbe soltanto davanti a una collazione difforme sull'originale conservato ad Ann Arbor. È il modo corretto di trattare un documento esistente.</w:t>
      </w:r>
    </w:p>
    <w:p>
      <w:pPr>
        <w:spacing w:after="120" w:line="276"/>
        <w:jc w:val="both"/>
      </w:pPr>
      <w:r>
        <w:rPr>
          <w:rFonts w:ascii="Barlow Semi Condensed" w:cs="Barlow Semi Condensed" w:eastAsia="Barlow Semi Condensed" w:hAnsi="Barlow Semi Condensed"/>
          <w:b/>
          <w:bCs/>
          <w:sz w:val="24"/>
          <w:szCs w:val="24"/>
        </w:rPr>
        <w:t xml:space="preserve">2018 · La stessa domanda sulla testimonianza.</w:t>
      </w:r>
      <w:r>
        <w:rPr>
          <w:rFonts w:ascii="Barlow Semi Condensed" w:cs="Barlow Semi Condensed" w:eastAsia="Barlow Semi Condensed" w:hAnsi="Barlow Semi Condensed"/>
          <w:sz w:val="24"/>
          <w:szCs w:val="24"/>
        </w:rPr>
        <w:t xml:space="preserve"> Sulla frase riferita la domanda dà invece una risposta doppia, e la doppiezza è il risultato. Che Guerzoni abbia deposto quel contenuto davanti alla Corte d'assise di Roma nel novembre 1982 cadrebbe solo davanti al verbale d'udienza difforme; che la frase sia stata pronunciata non ha, allo stato, alcun documento che la uccida né alcuno che la regga. Due proposizioni distinte, due gradi distinti, mai da fondere.</w:t>
      </w:r>
    </w:p>
    <w:p>
      <w:pPr>
        <w:spacing w:after="120" w:line="276"/>
        <w:jc w:val="both"/>
      </w:pPr>
      <w:r>
        <w:rPr>
          <w:rFonts w:ascii="Barlow Semi Condensed" w:cs="Barlow Semi Condensed" w:eastAsia="Barlow Semi Condensed" w:hAnsi="Barlow Semi Condensed"/>
          <w:b/>
          <w:bCs/>
          <w:sz w:val="24"/>
          <w:szCs w:val="24"/>
        </w:rPr>
        <w:t xml:space="preserve">2019 · Il perimetro negativo e le sedi.</w:t>
      </w:r>
      <w:r>
        <w:rPr>
          <w:rFonts w:ascii="Barlow Semi Condensed" w:cs="Barlow Semi Condensed" w:eastAsia="Barlow Semi Condensed" w:hAnsi="Barlow Semi Condensed"/>
          <w:sz w:val="24"/>
          <w:szCs w:val="24"/>
        </w:rPr>
        <w:t xml:space="preserve"> La seconda disciplina prescrive di nominare ciò che si è cercato e non trovato con la stessa cura di ciò che si è trovato. La fase enuncia il principio ma non elenca le sedi in cui la ricerca fu condotta. Per il versante americano le sedi sono note e vanno iscritte a verbale: College Park per i Central Foreign Policy Files, Ann Arbor e Atlanta per i due fondi presidenziali.</w:t>
      </w:r>
    </w:p>
    <w:p>
      <w:pPr>
        <w:spacing w:after="120" w:line="276"/>
        <w:jc w:val="both"/>
      </w:pPr>
      <w:r>
        <w:rPr>
          <w:rFonts w:ascii="Barlow Semi Condensed" w:cs="Barlow Semi Condensed" w:eastAsia="Barlow Semi Condensed" w:hAnsi="Barlow Semi Condensed"/>
          <w:b/>
          <w:bCs/>
          <w:sz w:val="24"/>
          <w:szCs w:val="24"/>
        </w:rPr>
        <w:t xml:space="preserve">2020 · Un'assenza taciuta è menzogna.</w:t>
      </w:r>
      <w:r>
        <w:rPr>
          <w:rFonts w:ascii="Barlow Semi Condensed" w:cs="Barlow Semi Condensed" w:eastAsia="Barlow Semi Condensed" w:hAnsi="Barlow Semi Condensed"/>
          <w:sz w:val="24"/>
          <w:szCs w:val="24"/>
        </w:rPr>
        <w:t xml:space="preserve"> Nella formula più severa dell'intera fase, un'assenza dichiarata è un dato e un'assenza taciuta è una menzogna per omissione. Ne segue un obbligo che riguarda anche chi scrive contro il nesso atlantico: chi dichiara di non aver trovato deve dire dove ha guardato, altrimenti la sua negazione vale quanto l'affermazione che intende correggere. La simmetria è totale e nessuna delle due parti ne è esente.</w:t>
      </w:r>
    </w:p>
    <w:p>
      <w:pPr>
        <w:spacing w:after="120" w:line="276"/>
        <w:jc w:val="both"/>
      </w:pPr>
      <w:r>
        <w:rPr>
          <w:rFonts w:ascii="Barlow Semi Condensed" w:cs="Barlow Semi Condensed" w:eastAsia="Barlow Semi Condensed" w:hAnsi="Barlow Semi Condensed"/>
          <w:b/>
          <w:bCs/>
          <w:sz w:val="24"/>
          <w:szCs w:val="24"/>
        </w:rPr>
        <w:t xml:space="preserve">2021 · Il doppio filtro, prima domanda.</w:t>
      </w:r>
      <w:r>
        <w:rPr>
          <w:rFonts w:ascii="Barlow Semi Condensed" w:cs="Barlow Semi Condensed" w:eastAsia="Barlow Semi Condensed" w:hAnsi="Barlow Semi Condensed"/>
          <w:sz w:val="24"/>
          <w:szCs w:val="24"/>
        </w:rPr>
        <w:t xml:space="preserve"> La terza disciplina si esegue in due tempi. Primo tempo: questo fatto è pubblico e documentato? Applicata alla materia, la domanda separa immediatamente ciò che passa, gli incarichi dal 20 gennaio 1969 al 3 novembre 1975 e dal 22 settembre 1973 al 20 gennaio 1977, i verbali desecretati, le dichiarazioni rese, da ciò che non passa, cioè le attribuzioni riferite senza atto. Il filtro è un setaccio, non un giudizio.</w:t>
      </w:r>
    </w:p>
    <w:p>
      <w:pPr>
        <w:spacing w:after="120" w:line="276"/>
        <w:jc w:val="both"/>
      </w:pPr>
      <w:r>
        <w:rPr>
          <w:rFonts w:ascii="Barlow Semi Condensed" w:cs="Barlow Semi Condensed" w:eastAsia="Barlow Semi Condensed" w:hAnsi="Barlow Semi Condensed"/>
          <w:b/>
          <w:bCs/>
          <w:sz w:val="24"/>
          <w:szCs w:val="24"/>
        </w:rPr>
        <w:t xml:space="preserve">2022 · Il doppio filtro, seconda domanda.</w:t>
      </w:r>
      <w:r>
        <w:rPr>
          <w:rFonts w:ascii="Barlow Semi Condensed" w:cs="Barlow Semi Condensed" w:eastAsia="Barlow Semi Condensed" w:hAnsi="Barlow Semi Condensed"/>
          <w:sz w:val="24"/>
          <w:szCs w:val="24"/>
        </w:rPr>
        <w:t xml:space="preserve"> Secondo tempo: questa attribuzione è stata pronunciata da un giudice? Per il nome in esame la risposta è documentata e negativa in ogni Paese: nessuna condanna, nessuna imputazione, nessun procedimento, e nemmeno un'audizione dei magistrati italiani, poiché la richiesta informale del 1983 non ebbe seguito. Il filtro dunque scatta, e il nome può comparire soltanto come soggetto di fatti pubblici, che è esattamente ciò che la fase fa.</w:t>
      </w:r>
    </w:p>
    <w:p>
      <w:pPr>
        <w:spacing w:after="120" w:line="276"/>
        <w:jc w:val="both"/>
      </w:pPr>
      <w:r>
        <w:rPr>
          <w:rFonts w:ascii="Barlow Semi Condensed" w:cs="Barlow Semi Condensed" w:eastAsia="Barlow Semi Condensed" w:hAnsi="Barlow Semi Condensed"/>
          <w:b/>
          <w:bCs/>
          <w:sz w:val="24"/>
          <w:szCs w:val="24"/>
        </w:rPr>
        <w:t xml:space="preserve">2023 · Soggetto di fatti, non predicato.</w:t>
      </w:r>
      <w:r>
        <w:rPr>
          <w:rFonts w:ascii="Barlow Semi Condensed" w:cs="Barlow Semi Condensed" w:eastAsia="Barlow Semi Condensed" w:hAnsi="Barlow Semi Condensed"/>
          <w:sz w:val="24"/>
          <w:szCs w:val="24"/>
        </w:rPr>
        <w:t xml:space="preserve"> «Il nome può comparire solo come soggetto di fatti, mai come predicato di colpe»: è la formula più esportabile della fase, e regge da sola l'intera triangolazione. Soggetto di fatti significa che si scrive «partecipò al colloquio del 25 settembre 1974»; predicato di colpe significherebbe scrivere «fu il mandante». La distinzione non è di stile: è la differenza fra una cronaca verificabile e un'accusa che nessun tribunale ha formulato.</w:t>
      </w:r>
    </w:p>
    <w:p>
      <w:pPr>
        <w:spacing w:after="120" w:line="276"/>
        <w:jc w:val="both"/>
      </w:pPr>
      <w:r>
        <w:rPr>
          <w:rFonts w:ascii="Barlow Semi Condensed" w:cs="Barlow Semi Condensed" w:eastAsia="Barlow Semi Condensed" w:hAnsi="Barlow Semi Condensed"/>
          <w:b/>
          <w:bCs/>
          <w:sz w:val="24"/>
          <w:szCs w:val="24"/>
        </w:rPr>
        <w:t xml:space="preserve">2024 · Una disciplina che si è estinta.</w:t>
      </w:r>
      <w:r>
        <w:rPr>
          <w:rFonts w:ascii="Barlow Semi Condensed" w:cs="Barlow Semi Condensed" w:eastAsia="Barlow Semi Condensed" w:hAnsi="Barlow Semi Condensed"/>
          <w:sz w:val="24"/>
          <w:szCs w:val="24"/>
        </w:rPr>
        <w:t xml:space="preserve"> La disciplina delle persone viventi, per definizione, cessa di applicarsi a chi non è più in vita. Dal 29 novembre 2023 il nostro nome è uscito dal suo campo, e la nota finale della fase, che rinvia alla riservatezza dell'apparato Italia Nera per gli aspetti che toccano i viventi, non lo copre più. È un punto da dichiarare, perché molti lettori attribuiscono alla cautela una fonte che non ha.</w:t>
      </w:r>
    </w:p>
    <w:p>
      <w:pPr>
        <w:spacing w:after="120" w:line="276"/>
        <w:jc w:val="both"/>
      </w:pPr>
      <w:r>
        <w:rPr>
          <w:rFonts w:ascii="Barlow Semi Condensed" w:cs="Barlow Semi Condensed" w:eastAsia="Barlow Semi Condensed" w:hAnsi="Barlow Semi Condensed"/>
          <w:b/>
          <w:bCs/>
          <w:sz w:val="24"/>
          <w:szCs w:val="24"/>
        </w:rPr>
        <w:t xml:space="preserve">2025 · Ciò che la morte non estingue.</w:t>
      </w:r>
      <w:r>
        <w:rPr>
          <w:rFonts w:ascii="Barlow Semi Condensed" w:cs="Barlow Semi Condensed" w:eastAsia="Barlow Semi Condensed" w:hAnsi="Barlow Semi Condensed"/>
          <w:sz w:val="24"/>
          <w:szCs w:val="24"/>
        </w:rPr>
        <w:t xml:space="preserve"> Estinta la disciplina dei viventi, resta intatta quella che davvero vincola: il divieto di indicare come responsabile di reato chi non è stato condannato. Quel divieto non scade con la morte, perché non protegge un interesse personale ma la serietà del testo e il monopolio del giudice sull'attribuzione. La fase lo ripete nella nota di chiusura senza limiti temporali, e la formula va letta così: nessuno, mai, oltre il giudicato.</w:t>
      </w:r>
    </w:p>
    <w:p>
      <w:pPr>
        <w:spacing w:after="120" w:line="276"/>
        <w:jc w:val="both"/>
      </w:pPr>
      <w:r>
        <w:rPr>
          <w:rFonts w:ascii="Barlow Semi Condensed" w:cs="Barlow Semi Condensed" w:eastAsia="Barlow Semi Condensed" w:hAnsi="Barlow Semi Condensed"/>
          <w:b/>
          <w:bCs/>
          <w:sz w:val="24"/>
          <w:szCs w:val="24"/>
        </w:rPr>
        <w:t xml:space="preserve">2026 · La tracciabilità senza indirizzi.</w:t>
      </w:r>
      <w:r>
        <w:rPr>
          <w:rFonts w:ascii="Barlow Semi Condensed" w:cs="Barlow Semi Condensed" w:eastAsia="Barlow Semi Condensed" w:hAnsi="Barlow Semi Condensed"/>
          <w:sz w:val="24"/>
          <w:szCs w:val="24"/>
        </w:rPr>
        <w:t xml:space="preserve"> La quarta disciplina promette che ogni affermazione dichiari la propria fonte. Verifica eseguita: nelle note bibliografiche dell'opera integrale il capitolo corrispondente, «Libro ottavo, primo, Il presidio del garante», è registrato come capitolo senza citazioni in forma d'indirizzo. La fase che prescrive la tracciabilità non ne porta traccia propria. Non è un'incoerenza fatale, poiché rinvia all'apparato dei gradi, ma è una lacuna e si verbalizza.</w:t>
      </w:r>
    </w:p>
    <w:p>
      <w:pPr>
        <w:spacing w:after="120" w:line="276"/>
        <w:jc w:val="both"/>
      </w:pPr>
      <w:r>
        <w:rPr>
          <w:rFonts w:ascii="Barlow Semi Condensed" w:cs="Barlow Semi Condensed" w:eastAsia="Barlow Semi Condensed" w:hAnsi="Barlow Semi Condensed"/>
          <w:b/>
          <w:bCs/>
          <w:sz w:val="24"/>
          <w:szCs w:val="24"/>
        </w:rPr>
        <w:t xml:space="preserve">2027 · Lo Stato Zero bibliografico della fase.</w:t>
      </w:r>
      <w:r>
        <w:rPr>
          <w:rFonts w:ascii="Barlow Semi Condensed" w:cs="Barlow Semi Condensed" w:eastAsia="Barlow Semi Condensed" w:hAnsi="Barlow Semi Condensed"/>
          <w:sz w:val="24"/>
          <w:szCs w:val="24"/>
        </w:rPr>
        <w:t xml:space="preserve"> Quella lacuna si scrive come si scrivono gli altri esiti negativi, con la sede che la chiuderebbe. Qui la sede non è un archivio ma un file del branch: la bibliografia critica e l'apparato dei gradi, ai quali le note rinviano espressamente. Chi voglia risalire alla fonte della riga su Kissinger deve dunque uscire dalla fase e rientrare dal complemento, dove però quel nome, come si è visto, non compare.</w:t>
      </w:r>
    </w:p>
    <w:p>
      <w:pPr>
        <w:spacing w:after="120" w:line="276"/>
        <w:jc w:val="both"/>
      </w:pPr>
      <w:r>
        <w:rPr>
          <w:rFonts w:ascii="Barlow Semi Condensed" w:cs="Barlow Semi Condensed" w:eastAsia="Barlow Semi Condensed" w:hAnsi="Barlow Semi Condensed"/>
          <w:b/>
          <w:bCs/>
          <w:sz w:val="24"/>
          <w:szCs w:val="24"/>
        </w:rPr>
        <w:t xml:space="preserve">2028 · Il circolo dei due rinvii.</w:t>
      </w:r>
      <w:r>
        <w:rPr>
          <w:rFonts w:ascii="Barlow Semi Condensed" w:cs="Barlow Semi Condensed" w:eastAsia="Barlow Semi Condensed" w:hAnsi="Barlow Semi Condensed"/>
          <w:sz w:val="24"/>
          <w:szCs w:val="24"/>
        </w:rPr>
        <w:t xml:space="preserve"> Si forma così un circolo breve e va nominato: la fase rinvia all'apparato per la tracciabilità, l'apparato dichiara di non riprodurre nomi. Nessuno dei due documenti porta quindi l'indirizzo della ricerca che ha prodotto lo Stato Zero sul nome. Il quesito eseguibile è preciso: ricostruire quella ricerca, con data, chiavi interrogate e fondi consultati, e allegarla alla fase come nota di metodo.</w:t>
      </w:r>
    </w:p>
    <w:p>
      <w:pPr>
        <w:spacing w:after="120" w:line="276"/>
        <w:jc w:val="both"/>
      </w:pPr>
      <w:r>
        <w:rPr>
          <w:rFonts w:ascii="Barlow Semi Condensed" w:cs="Barlow Semi Condensed" w:eastAsia="Barlow Semi Condensed" w:hAnsi="Barlow Semi Condensed"/>
          <w:b/>
          <w:bCs/>
          <w:sz w:val="24"/>
          <w:szCs w:val="24"/>
        </w:rPr>
        <w:t xml:space="preserve">2029 · Il probabile e la sua condizione.</w:t>
      </w:r>
      <w:r>
        <w:rPr>
          <w:rFonts w:ascii="Barlow Semi Condensed" w:cs="Barlow Semi Condensed" w:eastAsia="Barlow Semi Condensed" w:hAnsi="Barlow Semi Condensed"/>
          <w:sz w:val="24"/>
          <w:szCs w:val="24"/>
        </w:rPr>
        <w:t xml:space="preserve"> Definizione del Livello B secondo la fase: l'affermazione la cui smentita esiste ed è precisa, ma non è stata cercata fino in fondo. È la casella che meglio si attaglierebbe alla materia atlantica, e nessuna delle tre voci B della mappa vi appartiene. Chi volesse portarvi il versante internazionale dovrebbe prima dimostrare che la ricerca è incompleta, non che la conclusione è scomoda.</w:t>
      </w:r>
    </w:p>
    <w:p>
      <w:pPr>
        <w:spacing w:after="120" w:line="276"/>
        <w:jc w:val="both"/>
      </w:pPr>
      <w:r>
        <w:rPr>
          <w:rFonts w:ascii="Barlow Semi Condensed" w:cs="Barlow Semi Condensed" w:eastAsia="Barlow Semi Condensed" w:hAnsi="Barlow Semi Condensed"/>
          <w:b/>
          <w:bCs/>
          <w:sz w:val="24"/>
          <w:szCs w:val="24"/>
        </w:rPr>
        <w:t xml:space="preserve">2030 · Il possibile e la non falsificabilità.</w:t>
      </w:r>
      <w:r>
        <w:rPr>
          <w:rFonts w:ascii="Barlow Semi Condensed" w:cs="Barlow Semi Condensed" w:eastAsia="Barlow Semi Condensed" w:hAnsi="Barlow Semi Condensed"/>
          <w:sz w:val="24"/>
          <w:szCs w:val="24"/>
        </w:rPr>
        <w:t xml:space="preserve"> Il Livello C, secondo la fase, raccoglie ciò per cui la smentita non esiste o è irraggiungibile in via di principio. È qui che la mappa colloca le regie internazionali come catena di comando. La collocazione è precisa e va onorata anche quando dispiace: chiedere a un'ipotesi C di diventare A per accumulo di indizi di cornice significa aver disatteso la sola domanda che il capitolo prescrive.</w:t>
      </w:r>
    </w:p>
    <w:p>
      <w:pPr>
        <w:spacing w:after="120" w:line="276"/>
        <w:jc w:val="both"/>
      </w:pPr>
      <w:r>
        <w:rPr>
          <w:rFonts w:ascii="Barlow Semi Condensed" w:cs="Barlow Semi Condensed" w:eastAsia="Barlow Semi Condensed" w:hAnsi="Barlow Semi Condensed"/>
          <w:b/>
          <w:bCs/>
          <w:sz w:val="24"/>
          <w:szCs w:val="24"/>
        </w:rPr>
        <w:t xml:space="preserve">2031 · Il grado del cammino, regola importata.</w:t>
      </w:r>
      <w:r>
        <w:rPr>
          <w:rFonts w:ascii="Barlow Semi Condensed" w:cs="Barlow Semi Condensed" w:eastAsia="Barlow Semi Condensed" w:hAnsi="Barlow Semi Condensed"/>
          <w:sz w:val="24"/>
          <w:szCs w:val="24"/>
        </w:rPr>
        <w:t xml:space="preserve"> Le metodologie calcolate sul corpus formalizzano la regola dell'anello debole: il grado di un cammino è il grado minimo fra i suoi archi. La fase non la contiene, ma la presuppone, e importarla qui rende operativa la sua disciplina del grado. Un cammino dallo Studio Ovale del 1974 al marzo 1978 dovrebbe attraversare un arco che nel grafo documentato non esiste: non ha grado basso, non ha grado.</w:t>
      </w:r>
    </w:p>
    <w:p>
      <w:pPr>
        <w:spacing w:after="120" w:line="276"/>
        <w:jc w:val="both"/>
      </w:pPr>
      <w:r>
        <w:rPr>
          <w:rFonts w:ascii="Barlow Semi Condensed" w:cs="Barlow Semi Condensed" w:eastAsia="Barlow Semi Condensed" w:hAnsi="Barlow Semi Condensed"/>
          <w:b/>
          <w:bCs/>
          <w:sz w:val="24"/>
          <w:szCs w:val="24"/>
        </w:rPr>
        <w:t xml:space="preserve">2032 · La linea di costa e il mare.</w:t>
      </w:r>
      <w:r>
        <w:rPr>
          <w:rFonts w:ascii="Barlow Semi Condensed" w:cs="Barlow Semi Condensed" w:eastAsia="Barlow Semi Condensed" w:hAnsi="Barlow Semi Condensed"/>
          <w:sz w:val="24"/>
          <w:szCs w:val="24"/>
        </w:rPr>
        <w:t xml:space="preserve"> Due operazioni distingue il capitolo cinquantatreesimo: nelle prime quattro fasi l'opera traccia la linea di costa fra il provato e il non provato; nella quinta naviga il mare. L'immagine è utile perché fissa una gerarchia di atti, non di verità. Cartografare è dire dove finisce la terra; navigare è proporre rotte. La navigazione non produce terra ferma, e nessun numero di rotte tracciate ne produrrà mai.</w:t>
      </w:r>
    </w:p>
    <w:p>
      <w:pPr>
        <w:spacing w:after="120" w:line="276"/>
        <w:jc w:val="both"/>
      </w:pPr>
      <w:r>
        <w:rPr>
          <w:rFonts w:ascii="Barlow Semi Condensed" w:cs="Barlow Semi Condensed" w:eastAsia="Barlow Semi Condensed" w:hAnsi="Barlow Semi Condensed"/>
          <w:b/>
          <w:bCs/>
          <w:sz w:val="24"/>
          <w:szCs w:val="24"/>
        </w:rPr>
        <w:t xml:space="preserve">2033 · Dove cade questo nome nella metafora.</w:t>
      </w:r>
      <w:r>
        <w:rPr>
          <w:rFonts w:ascii="Barlow Semi Condensed" w:cs="Barlow Semi Condensed" w:eastAsia="Barlow Semi Condensed" w:hAnsi="Barlow Semi Condensed"/>
          <w:sz w:val="24"/>
          <w:szCs w:val="24"/>
        </w:rPr>
        <w:t xml:space="preserve"> Collocato nella metafora del capitolo, il nome che qui si triangola non sta sulla costa e non sta neppure fra le rotte: sta nella legenda della carta, alla voce che segnala il fondale non sondato. La mappa dei gradi lo iscrive infatti fra le ricerche chiuse in negativo, non fra le ipotesi ordinate. È una posizione terza, che la pubblicistica non prevede e che il territorio invece definisce.</w:t>
      </w:r>
    </w:p>
    <w:p>
      <w:pPr>
        <w:spacing w:after="120" w:line="276"/>
        <w:jc w:val="both"/>
      </w:pPr>
      <w:r>
        <w:rPr>
          <w:rFonts w:ascii="Barlow Semi Condensed" w:cs="Barlow Semi Condensed" w:eastAsia="Barlow Semi Condensed" w:hAnsi="Barlow Semi Condensed"/>
          <w:b/>
          <w:bCs/>
          <w:sz w:val="24"/>
          <w:szCs w:val="24"/>
        </w:rPr>
        <w:t xml:space="preserve">2034 · Il numero accanto al sospetto.</w:t>
      </w:r>
      <w:r>
        <w:rPr>
          <w:rFonts w:ascii="Barlow Semi Condensed" w:cs="Barlow Semi Condensed" w:eastAsia="Barlow Semi Condensed" w:hAnsi="Barlow Semi Condensed"/>
          <w:sz w:val="24"/>
          <w:szCs w:val="24"/>
        </w:rPr>
        <w:t xml:space="preserve"> Contro l'ordinale il corpus non ha prodotto formula più esatta di questa: un sospetto messo al primo posto resta un sospetto, ha soltanto un numero accanto. Vale prima di tutto per i nomi che nessun giudice ha mai scritto. Il numero è aiuto alla riflessione, non grado di prova. Chi lo legge come prova ha infranto il patto; chi lo scrive perché sia letto così ha infranto altro.</w:t>
      </w:r>
    </w:p>
    <w:p>
      <w:pPr>
        <w:spacing w:after="120" w:line="276"/>
        <w:jc w:val="both"/>
      </w:pPr>
      <w:r>
        <w:rPr>
          <w:rFonts w:ascii="Barlow Semi Condensed" w:cs="Barlow Semi Condensed" w:eastAsia="Barlow Semi Condensed" w:hAnsi="Barlow Semi Condensed"/>
          <w:b/>
          <w:bCs/>
          <w:sz w:val="24"/>
          <w:szCs w:val="24"/>
        </w:rPr>
        <w:t xml:space="preserve">2035 · L'ordine non promuove il dubbio.</w:t>
      </w:r>
      <w:r>
        <w:rPr>
          <w:rFonts w:ascii="Barlow Semi Condensed" w:cs="Barlow Semi Condensed" w:eastAsia="Barlow Semi Condensed" w:hAnsi="Barlow Semi Condensed"/>
          <w:sz w:val="24"/>
          <w:szCs w:val="24"/>
        </w:rPr>
        <w:t xml:space="preserve"> Va isolata la proposizione che il capitolo dichiara la sola avvertenza che conti: l'ordine non promuove il dubbio ad accertato. Detta in termini della regola dei tre piani, significa che nessuna disposizione ordinata di convergenze di piano due le trasforma in un ponte di piano uno. Ordinare è un'operazione formale sulla lista; il grado appartiene invece a ciascun elemento e non cambia perché la lista è stata riordinata.</w:t>
      </w:r>
    </w:p>
    <w:p>
      <w:pPr>
        <w:spacing w:after="120" w:line="276"/>
        <w:jc w:val="both"/>
      </w:pPr>
      <w:r>
        <w:rPr>
          <w:rFonts w:ascii="Barlow Semi Condensed" w:cs="Barlow Semi Condensed" w:eastAsia="Barlow Semi Condensed" w:hAnsi="Barlow Semi Condensed"/>
          <w:b/>
          <w:bCs/>
          <w:sz w:val="24"/>
          <w:szCs w:val="24"/>
        </w:rPr>
        <w:t xml:space="preserve">2036 · La carta nautica da non lasciar cadere.</w:t>
      </w:r>
      <w:r>
        <w:rPr>
          <w:rFonts w:ascii="Barlow Semi Condensed" w:cs="Barlow Semi Condensed" w:eastAsia="Barlow Semi Condensed" w:hAnsi="Barlow Semi Condensed"/>
          <w:sz w:val="24"/>
          <w:szCs w:val="24"/>
        </w:rPr>
        <w:t xml:space="preserve"> La premessa garantista è definita nel capitolo come la carta nautica che dichiara «qui il fondale è mare», e il presidio consiste nel non lasciarla cadere. Tradotto in procedura verificabile: ogni ripresa esterna che citi la Fase quinta senza la sua premessa produce un testo diverso da quello citato. Il controllo è possibile e va fatto, perché è nella ripresa, non nell'originale, che il grado si perde.</w:t>
      </w:r>
    </w:p>
    <w:p>
      <w:pPr>
        <w:spacing w:after="120" w:line="276"/>
        <w:jc w:val="both"/>
      </w:pPr>
      <w:r>
        <w:rPr>
          <w:rFonts w:ascii="Barlow Semi Condensed" w:cs="Barlow Semi Condensed" w:eastAsia="Barlow Semi Condensed" w:hAnsi="Barlow Semi Condensed"/>
          <w:b/>
          <w:bCs/>
          <w:sz w:val="24"/>
          <w:szCs w:val="24"/>
        </w:rPr>
        <w:t xml:space="preserve">2037 · La pseudoreplica come perdita di grado.</w:t>
      </w:r>
      <w:r>
        <w:rPr>
          <w:rFonts w:ascii="Barlow Semi Condensed" w:cs="Barlow Semi Condensed" w:eastAsia="Barlow Semi Condensed" w:hAnsi="Barlow Semi Condensed"/>
          <w:sz w:val="24"/>
          <w:szCs w:val="24"/>
        </w:rPr>
        <w:t xml:space="preserve"> Il caso già accertato dall'opera gemella illustra il meccanismo: le decine di riprese dell'episodio del 1974 risalgono a un unico lancio d'agenzia del 30 novembre 2023, e la loro moltiplicazione è apparente. Applicando qui il capitolo cinquantatreesimo si ottiene la formulazione mancante: la replicazione non è navigazione né cartografia, è la copia di una carta, e copiare una carta non aggiunge un metro di costa.</w:t>
      </w:r>
    </w:p>
    <w:p>
      <w:pPr>
        <w:spacing w:after="120" w:line="276"/>
        <w:jc w:val="both"/>
      </w:pPr>
      <w:r>
        <w:rPr>
          <w:rFonts w:ascii="Barlow Semi Condensed" w:cs="Barlow Semi Condensed" w:eastAsia="Barlow Semi Condensed" w:hAnsi="Barlow Semi Condensed"/>
          <w:b/>
          <w:bCs/>
          <w:sz w:val="24"/>
          <w:szCs w:val="24"/>
        </w:rPr>
        <w:t xml:space="preserve">2038 · Che cosa falsificherebbe il confine.</w:t>
      </w:r>
      <w:r>
        <w:rPr>
          <w:rFonts w:ascii="Barlow Semi Condensed" w:cs="Barlow Semi Condensed" w:eastAsia="Barlow Semi Condensed" w:hAnsi="Barlow Semi Condensed"/>
          <w:sz w:val="24"/>
          <w:szCs w:val="24"/>
        </w:rPr>
        <w:t xml:space="preserve"> Il confine sarebbe falso, ed è il bersaglio di smentita che il capitolo stesso offre, se si dimostrasse che una proposizione delle prime quattro fasi poggia in realtà su materiale della quinta. La verifica è eseguibile riga per riga sulla mappa dei gradi e sull'apparato. Chi la conducesse e trovasse anche un solo caso avrebbe abbattuto non un dettaglio ma l'architettura. Finora nessuno l'ha condotta.</w:t>
      </w:r>
    </w:p>
    <w:p>
      <w:pPr>
        <w:spacing w:after="120" w:line="276"/>
        <w:jc w:val="both"/>
      </w:pPr>
      <w:r>
        <w:rPr>
          <w:rFonts w:ascii="Barlow Semi Condensed" w:cs="Barlow Semi Condensed" w:eastAsia="Barlow Semi Condensed" w:hAnsi="Barlow Semi Condensed"/>
          <w:b/>
          <w:bCs/>
          <w:sz w:val="24"/>
          <w:szCs w:val="24"/>
        </w:rPr>
        <w:t xml:space="preserve">2039 · Il piano due in lingua nautica.</w:t>
      </w:r>
      <w:r>
        <w:rPr>
          <w:rFonts w:ascii="Barlow Semi Condensed" w:cs="Barlow Semi Condensed" w:eastAsia="Barlow Semi Condensed" w:hAnsi="Barlow Semi Condensed"/>
          <w:sz w:val="24"/>
          <w:szCs w:val="24"/>
        </w:rPr>
        <w:t xml:space="preserve"> La regola dei tre piani e la metafora della costa dicono la stessa cosa in due lingue, e la traduzione va fissata. Il piano uno è terra ferma: rapporto diretto documentato. Il piano due è acqua: convergenza entro la stessa cornice, navigabile ma non abitabile. Il piano tre non è neppure acqua: è una rotta disegnata su una carta che nessuno ha rilevato. La traduzione impedisce equivoci fra i due apparati.</w:t>
      </w:r>
    </w:p>
    <w:p>
      <w:pPr>
        <w:spacing w:after="120" w:line="276"/>
        <w:jc w:val="both"/>
      </w:pPr>
      <w:r>
        <w:rPr>
          <w:rFonts w:ascii="Barlow Semi Condensed" w:cs="Barlow Semi Condensed" w:eastAsia="Barlow Semi Condensed" w:hAnsi="Barlow Semi Condensed"/>
          <w:b/>
          <w:bCs/>
          <w:sz w:val="24"/>
          <w:szCs w:val="24"/>
        </w:rPr>
        <w:t xml:space="preserve">2040 · Dove sta l'ostilità documentata.</w:t>
      </w:r>
      <w:r>
        <w:rPr>
          <w:rFonts w:ascii="Barlow Semi Condensed" w:cs="Barlow Semi Condensed" w:eastAsia="Barlow Semi Condensed" w:hAnsi="Barlow Semi Condensed"/>
          <w:sz w:val="24"/>
          <w:szCs w:val="24"/>
        </w:rPr>
        <w:t xml:space="preserve"> L'ostilità di settori dell'alleanza atlantica all'ingresso dei comunisti nell'area di governo è documentata, e la Parte terza la registra come contesto di Livello A. Sulla carta del capitolo cinquantatreesimo essa è costa, non mare: è terra ferma quanto al fatto, e non dice nulla sulla rotta. Il salto dal contesto alla catena di comando è precisamente il passaggio che la fase chiama navigazione, e che nessun documento sostiene.</w:t>
      </w:r>
    </w:p>
    <w:p>
      <w:pPr>
        <w:spacing w:after="120" w:line="276"/>
        <w:jc w:val="both"/>
      </w:pPr>
      <w:r>
        <w:rPr>
          <w:rFonts w:ascii="Barlow Semi Condensed" w:cs="Barlow Semi Condensed" w:eastAsia="Barlow Semi Condensed" w:hAnsi="Barlow Semi Condensed"/>
          <w:b/>
          <w:bCs/>
          <w:sz w:val="24"/>
          <w:szCs w:val="24"/>
        </w:rPr>
        <w:t xml:space="preserve">2041 · La prossimità non è mandato.</w:t>
      </w:r>
      <w:r>
        <w:rPr>
          <w:rFonts w:ascii="Barlow Semi Condensed" w:cs="Barlow Semi Condensed" w:eastAsia="Barlow Semi Condensed" w:hAnsi="Barlow Semi Condensed"/>
          <w:sz w:val="24"/>
          <w:szCs w:val="24"/>
        </w:rPr>
        <w:t xml:space="preserve"> Formulata nella Parte terza al capitolo nono, la regola dice: la prossimità di un nemico non è il suo mandato. È la stessa cosa che il capitolo cinquantatreesimo dice in figura, e le due formulazioni vanno usate insieme perché coprono errori diversi. La prima colpisce l'inferenza dal movente; la seconda colpisce l'inferenza dall'ordine di una lista. Nessuna delle due riguarda la simpatia che si prova per l'imputato ipotetico.</w:t>
      </w:r>
    </w:p>
    <w:p>
      <w:pPr>
        <w:spacing w:after="120" w:line="276"/>
        <w:jc w:val="both"/>
      </w:pPr>
      <w:r>
        <w:rPr>
          <w:rFonts w:ascii="Barlow Semi Condensed" w:cs="Barlow Semi Condensed" w:eastAsia="Barlow Semi Condensed" w:hAnsi="Barlow Semi Condensed"/>
          <w:b/>
          <w:bCs/>
          <w:sz w:val="24"/>
          <w:szCs w:val="24"/>
        </w:rPr>
        <w:t xml:space="preserve">2042 · Le nove voci del Livello A.</w:t>
      </w:r>
      <w:r>
        <w:rPr>
          <w:rFonts w:ascii="Barlow Semi Condensed" w:cs="Barlow Semi Condensed" w:eastAsia="Barlow Semi Condensed" w:hAnsi="Barlow Semi Condensed"/>
          <w:sz w:val="24"/>
          <w:szCs w:val="24"/>
        </w:rPr>
        <w:t xml:space="preserve"> La mappa dei gradi elenca nove voci accertate: la responsabilità brigatista con i cinque processi definitivi, l'identità dei cinque della scorta, la prigionia e la sua durata, la redazione del carteggio, la scelta della fermezza, via Gradoli il 18 aprile 1978, il doppio ritrovamento di via Monte Nevoso, le omissioni documentate dalle Commissioni, la formula della verità dicibile. Nessuna riguarda l'estero. Il conteggio è la prima acquisizione della serie.</w:t>
      </w:r>
    </w:p>
    <w:p>
      <w:pPr>
        <w:spacing w:after="120" w:line="276"/>
        <w:jc w:val="both"/>
      </w:pPr>
      <w:r>
        <w:rPr>
          <w:rFonts w:ascii="Barlow Semi Condensed" w:cs="Barlow Semi Condensed" w:eastAsia="Barlow Semi Condensed" w:hAnsi="Barlow Semi Condensed"/>
          <w:b/>
          <w:bCs/>
          <w:sz w:val="24"/>
          <w:szCs w:val="24"/>
        </w:rPr>
        <w:t xml:space="preserve">2043 · L'estero assente dall'accertato.</w:t>
      </w:r>
      <w:r>
        <w:rPr>
          <w:rFonts w:ascii="Barlow Semi Condensed" w:cs="Barlow Semi Condensed" w:eastAsia="Barlow Semi Condensed" w:hAnsi="Barlow Semi Condensed"/>
          <w:sz w:val="24"/>
          <w:szCs w:val="24"/>
        </w:rPr>
        <w:t xml:space="preserve"> Che nessuna delle nove voci accertate tocchi il versante internazionale è un dato strutturale e non un'omissione. Significa che, nel documento che governa i gradi dell'intera opera, l'estero non contribuisce di un solo elemento al pavimento di ciò che regge in giudizio. Chi costruisca un ragionamento atlantico sul caso deve partire sapendo che parte da zero riferimenti nella colonna A, non da pochi.</w:t>
      </w:r>
    </w:p>
    <w:p>
      <w:pPr>
        <w:spacing w:after="120" w:line="276"/>
        <w:jc w:val="both"/>
      </w:pPr>
      <w:r>
        <w:rPr>
          <w:rFonts w:ascii="Barlow Semi Condensed" w:cs="Barlow Semi Condensed" w:eastAsia="Barlow Semi Condensed" w:hAnsi="Barlow Semi Condensed"/>
          <w:b/>
          <w:bCs/>
          <w:sz w:val="24"/>
          <w:szCs w:val="24"/>
        </w:rPr>
        <w:t xml:space="preserve">2044 · Le tre voci probabili.</w:t>
      </w:r>
      <w:r>
        <w:rPr>
          <w:rFonts w:ascii="Barlow Semi Condensed" w:cs="Barlow Semi Condensed" w:eastAsia="Barlow Semi Condensed" w:hAnsi="Barlow Semi Condensed"/>
          <w:sz w:val="24"/>
          <w:szCs w:val="24"/>
        </w:rPr>
        <w:t xml:space="preserve"> Al grado probabile la mappa assegna tre sole voci: la manipolazione o incompletezza deliberata della prima versione del memoriale, il carattere non del tutto sincero di alcune aperture di trattativa, la rilevanza operativa di singole omissioni oltre la soglia dell'inefficienza. Tutte e tre sono interne. Il documento che le muoverebbe è indicato per ciascuna: catena di custodia, atti riservati dei canali, collegamento fra ostruzione e direttiva.</w:t>
      </w:r>
    </w:p>
    <w:p>
      <w:pPr>
        <w:spacing w:after="120" w:line="276"/>
        <w:jc w:val="both"/>
      </w:pPr>
      <w:r>
        <w:rPr>
          <w:rFonts w:ascii="Barlow Semi Condensed" w:cs="Barlow Semi Condensed" w:eastAsia="Barlow Semi Condensed" w:hAnsi="Barlow Semi Condensed"/>
          <w:b/>
          <w:bCs/>
          <w:sz w:val="24"/>
          <w:szCs w:val="24"/>
        </w:rPr>
        <w:t xml:space="preserve">2045 · La testimonianza che nessun livello ospita.</w:t>
      </w:r>
      <w:r>
        <w:rPr>
          <w:rFonts w:ascii="Barlow Semi Condensed" w:cs="Barlow Semi Condensed" w:eastAsia="Barlow Semi Condensed" w:hAnsi="Barlow Semi Condensed"/>
          <w:sz w:val="24"/>
          <w:szCs w:val="24"/>
        </w:rPr>
        <w:t xml:space="preserve"> Ne discende un rilievo che il territorio non contiene e che qui si verbalizza: la testimonianza sull'avvertimento non compare in alcuna delle quattro colonne della mappa. Non è A, non è B, non è C, non è Stato Zero, perché quello riguarda il documento del mandato e non la deposizione. Nella mappa che governa i gradi dell'opera, quel materiale è privo di casella. La lacuna è di classificazione, non di conoscenza.</w:t>
      </w:r>
    </w:p>
    <w:p>
      <w:pPr>
        <w:spacing w:after="120" w:line="276"/>
        <w:jc w:val="both"/>
      </w:pPr>
      <w:r>
        <w:rPr>
          <w:rFonts w:ascii="Barlow Semi Condensed" w:cs="Barlow Semi Condensed" w:eastAsia="Barlow Semi Condensed" w:hAnsi="Barlow Semi Condensed"/>
          <w:b/>
          <w:bCs/>
          <w:sz w:val="24"/>
          <w:szCs w:val="24"/>
        </w:rPr>
        <w:t xml:space="preserve">2046 · La divergenza con la Fase nona.</w:t>
      </w:r>
      <w:r>
        <w:rPr>
          <w:rFonts w:ascii="Barlow Semi Condensed" w:cs="Barlow Semi Condensed" w:eastAsia="Barlow Semi Condensed" w:hAnsi="Barlow Semi Condensed"/>
          <w:sz w:val="24"/>
          <w:szCs w:val="24"/>
        </w:rPr>
        <w:t xml:space="preserve"> La Fase nona, al capitolo settantaquattresimo, grada B la testimonianza della famiglia, includendo espressamente l'avvertimento riferito e rinviando al nodo M-5 delle triangolazioni Guevara-Moro. La Fase sesta, nel Livello B, non la elenca. Le due fasi divergono, e la divergenza si riporta come prescrive la disciplina delle assenze. La sede che la scioglierebbe è interna al corpus: una revisione dichiarata della mappa, non una scelta silenziosa.</w:t>
      </w:r>
    </w:p>
    <w:p>
      <w:pPr>
        <w:spacing w:after="120" w:line="276"/>
        <w:jc w:val="both"/>
      </w:pPr>
      <w:r>
        <w:rPr>
          <w:rFonts w:ascii="Barlow Semi Condensed" w:cs="Barlow Semi Condensed" w:eastAsia="Barlow Semi Condensed" w:hAnsi="Barlow Semi Condensed"/>
          <w:b/>
          <w:bCs/>
          <w:sz w:val="24"/>
          <w:szCs w:val="24"/>
        </w:rPr>
        <w:t xml:space="preserve">2047 · La divergenza con la Parte terza.</w:t>
      </w:r>
      <w:r>
        <w:rPr>
          <w:rFonts w:ascii="Barlow Semi Condensed" w:cs="Barlow Semi Condensed" w:eastAsia="Barlow Semi Condensed" w:hAnsi="Barlow Semi Condensed"/>
          <w:sz w:val="24"/>
          <w:szCs w:val="24"/>
        </w:rPr>
        <w:t xml:space="preserve"> Divergenza seconda, di segno opposto: la Parte terza, al capitolo nono, colloca l'avvertimento riferito fra ciò che è accertato come contesto, cioè in prossimità del Livello A, e vi aggiunge la smentita costante dell'interessato. Sommate, le tre collocazioni del corpus danno B nella Fase nona, A come contesto nella Parte terza, nulla nella Fase sesta. Tre documenti, tre trattamenti: è lo stato reale della classificazione.</w:t>
      </w:r>
    </w:p>
    <w:p>
      <w:pPr>
        <w:spacing w:after="120" w:line="276"/>
        <w:jc w:val="both"/>
      </w:pPr>
      <w:r>
        <w:rPr>
          <w:rFonts w:ascii="Barlow Semi Condensed" w:cs="Barlow Semi Condensed" w:eastAsia="Barlow Semi Condensed" w:hAnsi="Barlow Semi Condensed"/>
          <w:b/>
          <w:bCs/>
          <w:sz w:val="24"/>
          <w:szCs w:val="24"/>
        </w:rPr>
        <w:t xml:space="preserve">2048 · Come si scioglie una divergenza di grado.</w:t>
      </w:r>
      <w:r>
        <w:rPr>
          <w:rFonts w:ascii="Barlow Semi Condensed" w:cs="Barlow Semi Condensed" w:eastAsia="Barlow Semi Condensed" w:hAnsi="Barlow Semi Condensed"/>
          <w:sz w:val="24"/>
          <w:szCs w:val="24"/>
        </w:rPr>
        <w:t xml:space="preserve"> Regola di lettura che la fase autorizza e non enuncia: quando due documenti del corpus gradano diversamente lo stesso materiale, prevale il grado più severo finché una revisione dichiarata non intervenga. Applicata qui, la regola tiene la testimonianza fuori dal Livello B e la lascia dove la nota di revisione del 25 agosto 2026 l'ha collocata, testimonianza contestata e non accertamento. Il grado più severo è anche il più difendibile.</w:t>
      </w:r>
    </w:p>
    <w:p>
      <w:pPr>
        <w:spacing w:after="120" w:line="276"/>
        <w:jc w:val="both"/>
      </w:pPr>
      <w:r>
        <w:rPr>
          <w:rFonts w:ascii="Barlow Semi Condensed" w:cs="Barlow Semi Condensed" w:eastAsia="Barlow Semi Condensed" w:hAnsi="Barlow Semi Condensed"/>
          <w:b/>
          <w:bCs/>
          <w:sz w:val="24"/>
          <w:szCs w:val="24"/>
        </w:rPr>
        <w:t xml:space="preserve">2049 · Le quattro voci del possibile.</w:t>
      </w:r>
      <w:r>
        <w:rPr>
          <w:rFonts w:ascii="Barlow Semi Condensed" w:cs="Barlow Semi Condensed" w:eastAsia="Barlow Semi Condensed" w:hAnsi="Barlow Semi Condensed"/>
          <w:sz w:val="24"/>
          <w:szCs w:val="24"/>
        </w:rPr>
        <w:t xml:space="preserve"> Quattro voci compongono il Livello C: le prigioni alternative o ulteriori, la lettura non innocente di via Gradoli e della seduta spiritica, le regie internazionali del sequestro come catena di comando, il mandato esterno alle Brigate Rosse. Le ultime due sono la materia di questa serie, e la mappa aggiunge per tutte la stessa condizione: ciò che le promuoverebbe è un documento che oggi non esiste.</w:t>
      </w:r>
    </w:p>
    <w:p>
      <w:pPr>
        <w:spacing w:after="120" w:line="276"/>
        <w:jc w:val="both"/>
      </w:pPr>
      <w:r>
        <w:rPr>
          <w:rFonts w:ascii="Barlow Semi Condensed" w:cs="Barlow Semi Condensed" w:eastAsia="Barlow Semi Condensed" w:hAnsi="Barlow Semi Condensed"/>
          <w:b/>
          <w:bCs/>
          <w:sz w:val="24"/>
          <w:szCs w:val="24"/>
        </w:rPr>
        <w:t xml:space="preserve">2050 · Due voci che non coincidono.</w:t>
      </w:r>
      <w:r>
        <w:rPr>
          <w:rFonts w:ascii="Barlow Semi Condensed" w:cs="Barlow Semi Condensed" w:eastAsia="Barlow Semi Condensed" w:hAnsi="Barlow Semi Condensed"/>
          <w:sz w:val="24"/>
          <w:szCs w:val="24"/>
        </w:rPr>
        <w:t xml:space="preserve"> Regie internazionali e mandato esterno sono voci distinte e vanno tenute separate anche quando la pubblicistica le fonde. La prima riguarda una direzione strategica dell'operazione; la seconda un ordine impartito a chi la eseguì. Si possono immaginare documenti che sostengano l'una senza l'altra, ed è per questo che la mappa le elenca in righe diverse. Chi le tratta come sinonimi ha già ridotto due quesiti a uno slogan.</w:t>
      </w:r>
    </w:p>
    <w:p>
      <w:pPr>
        <w:spacing w:after="120" w:line="276"/>
        <w:jc w:val="both"/>
      </w:pPr>
      <w:r>
        <w:rPr>
          <w:rFonts w:ascii="Barlow Semi Condensed" w:cs="Barlow Semi Condensed" w:eastAsia="Barlow Semi Condensed" w:hAnsi="Barlow Semi Condensed"/>
          <w:b/>
          <w:bCs/>
          <w:sz w:val="24"/>
          <w:szCs w:val="24"/>
        </w:rPr>
        <w:t xml:space="preserve">2051 · La prima voce del perimetro negativo.</w:t>
      </w:r>
      <w:r>
        <w:rPr>
          <w:rFonts w:ascii="Barlow Semi Condensed" w:cs="Barlow Semi Condensed" w:eastAsia="Barlow Semi Condensed" w:hAnsi="Barlow Semi Condensed"/>
          <w:sz w:val="24"/>
          <w:szCs w:val="24"/>
        </w:rPr>
        <w:t xml:space="preserve"> Lo Stato Zero della mappa si apre con il documento che provi l'eterodirezione del sequestro: cercato, non trovato. È la voce che l'apparato dei gradi ripete alla riga diciotto come falsificatore dell'autonomia brigatista, chiedendo un atto coevo, esterno e autenticato. Nessuno dei tre requisiti è ornamentale: coevo esclude le memorie tardive, esterno esclude le dichiarazioni degli attori, autenticato esclude le copie senza catena di custodia.</w:t>
      </w:r>
    </w:p>
    <w:p>
      <w:pPr>
        <w:spacing w:after="120" w:line="276"/>
        <w:jc w:val="both"/>
      </w:pPr>
      <w:r>
        <w:rPr>
          <w:rFonts w:ascii="Barlow Semi Condensed" w:cs="Barlow Semi Condensed" w:eastAsia="Barlow Semi Condensed" w:hAnsi="Barlow Semi Condensed"/>
          <w:b/>
          <w:bCs/>
          <w:sz w:val="24"/>
          <w:szCs w:val="24"/>
        </w:rPr>
        <w:t xml:space="preserve">2052 · La seconda voce, quella col nome.</w:t>
      </w:r>
      <w:r>
        <w:rPr>
          <w:rFonts w:ascii="Barlow Semi Condensed" w:cs="Barlow Semi Condensed" w:eastAsia="Barlow Semi Condensed" w:hAnsi="Barlow Semi Condensed"/>
          <w:sz w:val="24"/>
          <w:szCs w:val="24"/>
        </w:rPr>
        <w:t xml:space="preserve"> Segue la voce che qui interessa: il documento che leghi Kissinger-persona, o qualunque apparato straniero nominato, alla catena di comando del delitto. Il predicato è «leghi alla catena di comando», non «documenti un'ostilità» né «attesti un colloquio duro». La differenza fra i tre predicati è l'intera posta della triangolazione, e la fase la fissa in una riga sola. Chi cita la voce deve citarne il predicato per intero.</w:t>
      </w:r>
    </w:p>
    <w:p>
      <w:pPr>
        <w:spacing w:after="120" w:line="276"/>
        <w:jc w:val="both"/>
      </w:pPr>
      <w:r>
        <w:rPr>
          <w:rFonts w:ascii="Barlow Semi Condensed" w:cs="Barlow Semi Condensed" w:eastAsia="Barlow Semi Condensed" w:hAnsi="Barlow Semi Condensed"/>
          <w:b/>
          <w:bCs/>
          <w:sz w:val="24"/>
          <w:szCs w:val="24"/>
        </w:rPr>
        <w:t xml:space="preserve">2053 · La terza voce, l'isomorfismo.</w:t>
      </w:r>
      <w:r>
        <w:rPr>
          <w:rFonts w:ascii="Barlow Semi Condensed" w:cs="Barlow Semi Condensed" w:eastAsia="Barlow Semi Condensed" w:hAnsi="Barlow Semi Condensed"/>
          <w:sz w:val="24"/>
          <w:szCs w:val="24"/>
        </w:rPr>
        <w:t xml:space="preserve"> La terza voce chiede il documento che provi l'isomorfismo fra le reti anticomuniste evocate e la struttura operativa del sequestro. È la meno citata delle tre e la più istruttiva, perché non chiede un ordine ma una corrispondenza di forma. Il corpus l'ha cercata e chiusa in negativo. Vale la pena notarlo: la fase, senza usare il termine, ha verbalizzato qui una ricerca di omologia strutturale.</w:t>
      </w:r>
    </w:p>
    <w:p>
      <w:pPr>
        <w:spacing w:after="120" w:line="276"/>
        <w:jc w:val="both"/>
      </w:pPr>
      <w:r>
        <w:rPr>
          <w:rFonts w:ascii="Barlow Semi Condensed" w:cs="Barlow Semi Condensed" w:eastAsia="Barlow Semi Condensed" w:hAnsi="Barlow Semi Condensed"/>
          <w:b/>
          <w:bCs/>
          <w:sz w:val="24"/>
          <w:szCs w:val="24"/>
        </w:rPr>
        <w:t xml:space="preserve">2054 · Isomorfismo non prova discendenza.</w:t>
      </w:r>
      <w:r>
        <w:rPr>
          <w:rFonts w:ascii="Barlow Semi Condensed" w:cs="Barlow Semi Condensed" w:eastAsia="Barlow Semi Condensed" w:hAnsi="Barlow Semi Condensed"/>
          <w:sz w:val="24"/>
          <w:szCs w:val="24"/>
        </w:rPr>
        <w:t xml:space="preserve"> Va però aggiunto ciò che la voce non dice, perché senza l'aggiunta si presta all'abuso inverso: un isomorfismo, se anche fosse documentato, proverebbe una somiglianza di forma e non un antenato comune. Due strutture possono somigliarsi perché rispondono allo stesso problema operativo. Il test resta uno solo, ed è quello della seconda voce: un documento di provenienza che nomini la controparte. La forma non sostituisce la provenienza.</w:t>
      </w:r>
    </w:p>
    <w:p>
      <w:pPr>
        <w:spacing w:after="120" w:line="276"/>
        <w:jc w:val="both"/>
      </w:pPr>
      <w:r>
        <w:rPr>
          <w:rFonts w:ascii="Barlow Semi Condensed" w:cs="Barlow Semi Condensed" w:eastAsia="Barlow Semi Condensed" w:hAnsi="Barlow Semi Condensed"/>
          <w:b/>
          <w:bCs/>
          <w:sz w:val="24"/>
          <w:szCs w:val="24"/>
        </w:rPr>
        <w:t xml:space="preserve">2055 · Le sedi che chiuderebbero la seconda voce.</w:t>
      </w:r>
      <w:r>
        <w:rPr>
          <w:rFonts w:ascii="Barlow Semi Condensed" w:cs="Barlow Semi Condensed" w:eastAsia="Barlow Semi Condensed" w:hAnsi="Barlow Semi Condensed"/>
          <w:sz w:val="24"/>
          <w:szCs w:val="24"/>
        </w:rPr>
        <w:t xml:space="preserve"> Accanto a ogni Stato Zero la disciplina delle assenze impone di scrivere la sede che lo chiuderebbe, e la fase non lo fa. Si supplisce qui: per la voce sul nome, le carte personali presso Manuscripts and Archives della Yale University Library e le carte d'ufficio presso la Manuscript Division della Library of Congress, il cui atto di donazione va letto prima delle carte perché stabilisce chi vede cosa e quando.</w:t>
      </w:r>
    </w:p>
    <w:p>
      <w:pPr>
        <w:spacing w:after="120" w:line="276"/>
        <w:jc w:val="both"/>
      </w:pPr>
      <w:r>
        <w:rPr>
          <w:rFonts w:ascii="Barlow Semi Condensed" w:cs="Barlow Semi Condensed" w:eastAsia="Barlow Semi Condensed" w:hAnsi="Barlow Semi Condensed"/>
          <w:b/>
          <w:bCs/>
          <w:sz w:val="24"/>
          <w:szCs w:val="24"/>
        </w:rPr>
        <w:t xml:space="preserve">2056 · Le sedi italiane per la stessa voce.</w:t>
      </w:r>
      <w:r>
        <w:rPr>
          <w:rFonts w:ascii="Barlow Semi Condensed" w:cs="Barlow Semi Condensed" w:eastAsia="Barlow Semi Condensed" w:hAnsi="Barlow Semi Condensed"/>
          <w:sz w:val="24"/>
          <w:szCs w:val="24"/>
        </w:rPr>
        <w:t xml:space="preserve"> Sul versante italiano la sede è una e ha un nome preciso: la collezione delle stragi presso l'Archivio Centrale dello Stato, formata in esecuzione della direttiva del 22 aprile 2014 ed estesa al sequestro Moro da quella del 2 dicembre 2014, settantasette versamenti da centocinquantasei uffici, circa duemila buste mai spogliate con queste chiavi. Interrogarla per Dipartimento di Stato, ambasciata a Washington e avvertimento è un atto eseguibile domani.</w:t>
      </w:r>
    </w:p>
    <w:p>
      <w:pPr>
        <w:spacing w:after="120" w:line="276"/>
        <w:jc w:val="both"/>
      </w:pPr>
      <w:r>
        <w:rPr>
          <w:rFonts w:ascii="Barlow Semi Condensed" w:cs="Barlow Semi Condensed" w:eastAsia="Barlow Semi Condensed" w:hAnsi="Barlow Semi Condensed"/>
          <w:b/>
          <w:bCs/>
          <w:sz w:val="24"/>
          <w:szCs w:val="24"/>
        </w:rPr>
        <w:t xml:space="preserve">2057 · La sede che chiuderebbe la terza voce.</w:t>
      </w:r>
      <w:r>
        <w:rPr>
          <w:rFonts w:ascii="Barlow Semi Condensed" w:cs="Barlow Semi Condensed" w:eastAsia="Barlow Semi Condensed" w:hAnsi="Barlow Semi Condensed"/>
          <w:sz w:val="24"/>
          <w:szCs w:val="24"/>
        </w:rPr>
        <w:t xml:space="preserve"> Per l'isomorfismo delle reti anticomuniste la sede è diversa e va nominata separatamente: gli atti della Commissione parlamentare d'inchiesta sulla loggia P2 e i fondi del Ministero dell'Interno versati all'Archivio Centrale dello Stato, incrociati con gli elenchi sequestrati a Castiglion Fibocchi. Nessuno di questi giacimenti produce, di per sé, un legame con un nome straniero: l'incrocio va condotto e il suo esito, quale che sia, verbalizzato.</w:t>
      </w:r>
    </w:p>
    <w:p>
      <w:pPr>
        <w:spacing w:after="120" w:line="276"/>
        <w:jc w:val="both"/>
      </w:pPr>
      <w:r>
        <w:rPr>
          <w:rFonts w:ascii="Barlow Semi Condensed" w:cs="Barlow Semi Condensed" w:eastAsia="Barlow Semi Condensed" w:hAnsi="Barlow Semi Condensed"/>
          <w:b/>
          <w:bCs/>
          <w:sz w:val="24"/>
          <w:szCs w:val="24"/>
        </w:rPr>
        <w:t xml:space="preserve">2058 · La formula cercato e non trovato.</w:t>
      </w:r>
      <w:r>
        <w:rPr>
          <w:rFonts w:ascii="Barlow Semi Condensed" w:cs="Barlow Semi Condensed" w:eastAsia="Barlow Semi Condensed" w:hAnsi="Barlow Semi Condensed"/>
          <w:sz w:val="24"/>
          <w:szCs w:val="24"/>
        </w:rPr>
        <w:t xml:space="preserve"> Tre parole reggono l'intero istituto: cercato e non trovato. Non «non risulta», che è formula d'ufficio; non «non esiste», che sarebbe affermazione su un universo inesplorabile. Cercato e non trovato è una proposizione su un'attività umana datata e localizzabile, e per questo falsificabile: basta mostrare che la ricerca non fu condotta, o fu condotta male. È la ragione per cui uno Stato Zero vale quanto un Livello A.</w:t>
      </w:r>
    </w:p>
    <w:p>
      <w:pPr>
        <w:spacing w:after="120" w:line="276"/>
        <w:jc w:val="both"/>
      </w:pPr>
      <w:r>
        <w:rPr>
          <w:rFonts w:ascii="Barlow Semi Condensed" w:cs="Barlow Semi Condensed" w:eastAsia="Barlow Semi Condensed" w:hAnsi="Barlow Semi Condensed"/>
          <w:b/>
          <w:bCs/>
          <w:sz w:val="24"/>
          <w:szCs w:val="24"/>
        </w:rPr>
        <w:t xml:space="preserve">2059 · Che cosa la mappa non chiude.</w:t>
      </w:r>
      <w:r>
        <w:rPr>
          <w:rFonts w:ascii="Barlow Semi Condensed" w:cs="Barlow Semi Condensed" w:eastAsia="Barlow Semi Condensed" w:hAnsi="Barlow Semi Condensed"/>
          <w:sz w:val="24"/>
          <w:szCs w:val="24"/>
        </w:rPr>
        <w:t xml:space="preserve"> Congedandosi, il capitolo cinquantaquattresimo dice che la mappa non chiude il caso e fa una cosa più modesta: consente di sapere su che cosa si poggiano i piedi. Applicata al nostro nome, la modestia è letterale: la mappa non dice che l'ipotesi atlantica sia falsa, dice che non è provata e indica il tipo di documento che deciderebbe. Fra le due proposizioni corre tutta la differenza fra ricerca e verdetto.</w:t>
      </w:r>
    </w:p>
    <w:p>
      <w:pPr>
        <w:spacing w:after="120" w:line="276"/>
        <w:jc w:val="both"/>
      </w:pPr>
      <w:r>
        <w:rPr>
          <w:rFonts w:ascii="Barlow Semi Condensed" w:cs="Barlow Semi Condensed" w:eastAsia="Barlow Semi Condensed" w:hAnsi="Barlow Semi Condensed"/>
          <w:b/>
          <w:bCs/>
          <w:sz w:val="24"/>
          <w:szCs w:val="24"/>
        </w:rPr>
        <w:t xml:space="preserve">2060 · Il complemento e la sua misura.</w:t>
      </w:r>
      <w:r>
        <w:rPr>
          <w:rFonts w:ascii="Barlow Semi Condensed" w:cs="Barlow Semi Condensed" w:eastAsia="Barlow Semi Condensed" w:hAnsi="Barlow Semi Condensed"/>
          <w:sz w:val="24"/>
          <w:szCs w:val="24"/>
        </w:rPr>
        <w:t xml:space="preserve"> Poco più di milleottocento parole compongono l'apparato dei gradi, che copre i cinquanta capitoli con quattro colonne: asserzione portante, grado prevalente, criterio di smentita, più la sigla riservata ai capitoli di metodo privi di grado fattuale. È il documento più vicino a un indice verificabile che il corpus possieda, e su di esso, non sulla prosa della fase, va condotta ogni verifica di coerenza.</w:t>
      </w:r>
    </w:p>
    <w:p>
      <w:pPr>
        <w:spacing w:after="120" w:line="276"/>
        <w:jc w:val="both"/>
      </w:pPr>
      <w:r>
        <w:rPr>
          <w:rFonts w:ascii="Barlow Semi Condensed" w:cs="Barlow Semi Condensed" w:eastAsia="Barlow Semi Condensed" w:hAnsi="Barlow Semi Condensed"/>
          <w:b/>
          <w:bCs/>
          <w:sz w:val="24"/>
          <w:szCs w:val="24"/>
        </w:rPr>
        <w:t xml:space="preserve">2061 · La riga undicesima e il suo falsificatore.</w:t>
      </w:r>
      <w:r>
        <w:rPr>
          <w:rFonts w:ascii="Barlow Semi Condensed" w:cs="Barlow Semi Condensed" w:eastAsia="Barlow Semi Condensed" w:hAnsi="Barlow Semi Condensed"/>
          <w:sz w:val="24"/>
          <w:szCs w:val="24"/>
        </w:rPr>
        <w:t xml:space="preserve"> Il quadro internazionale è registrato, alla riga undici, come contesto di grado A, col falsificatore «documenti che escludano l'ostilità internazionale, non trovati». Il criterio è debole e va detto: chiede la prova di un negativo universale, cioè esattamente ciò che la disciplina del grado vieta. Una riga che si difende con un criterio impossibile è di fatto immunizzata, per quanto il suo contenuto sia esatto.</w:t>
      </w:r>
    </w:p>
    <w:p>
      <w:pPr>
        <w:spacing w:after="120" w:line="276"/>
        <w:jc w:val="both"/>
      </w:pPr>
      <w:r>
        <w:rPr>
          <w:rFonts w:ascii="Barlow Semi Condensed" w:cs="Barlow Semi Condensed" w:eastAsia="Barlow Semi Condensed" w:hAnsi="Barlow Semi Condensed"/>
          <w:b/>
          <w:bCs/>
          <w:sz w:val="24"/>
          <w:szCs w:val="24"/>
        </w:rPr>
        <w:t xml:space="preserve">2062 · Come riscrivere quel criterio.</w:t>
      </w:r>
      <w:r>
        <w:rPr>
          <w:rFonts w:ascii="Barlow Semi Condensed" w:cs="Barlow Semi Condensed" w:eastAsia="Barlow Semi Condensed" w:hAnsi="Barlow Semi Condensed"/>
          <w:sz w:val="24"/>
          <w:szCs w:val="24"/>
        </w:rPr>
        <w:t xml:space="preserve"> Il rimedio è semplice e resta dentro la disciplina: sostituire al negativo universale un falsificatore puntuale. L'ostilità documentata cadrebbe non davanti a documenti che la escludano in generale, ma davanti alla collazione dei verbali già citati, il colloquio del 25 settembre 1974 e quello del giorno successivo, che ne mostrasse un contenuto diverso. Un criterio si giudica dalla sua eseguibilità, non dalla sua ampiezza.</w:t>
      </w:r>
    </w:p>
    <w:p>
      <w:pPr>
        <w:spacing w:after="120" w:line="276"/>
        <w:jc w:val="both"/>
      </w:pPr>
      <w:r>
        <w:rPr>
          <w:rFonts w:ascii="Barlow Semi Condensed" w:cs="Barlow Semi Condensed" w:eastAsia="Barlow Semi Condensed" w:hAnsi="Barlow Semi Condensed"/>
          <w:b/>
          <w:bCs/>
          <w:sz w:val="24"/>
          <w:szCs w:val="24"/>
        </w:rPr>
        <w:t xml:space="preserve">2063 · La riga quindicesima, gli avvertimenti.</w:t>
      </w:r>
      <w:r>
        <w:rPr>
          <w:rFonts w:ascii="Barlow Semi Condensed" w:cs="Barlow Semi Condensed" w:eastAsia="Barlow Semi Condensed" w:hAnsi="Barlow Semi Condensed"/>
          <w:sz w:val="24"/>
          <w:szCs w:val="24"/>
        </w:rPr>
        <w:t xml:space="preserve"> La riga quindicesima registra gli avvertimenti attorno al tessitore, con grado A per l'esistenza di contrarietà e C per un mandato che ne discenda; il falsificatore è un documento che leghi un avvertimento a una direttiva esecutiva. È la riga in cui la testimonianza contestata dovrebbe stare, ed è formulata al plurale e senza nomi. La depersonalizzazione è coerente col regime dell'apparato, ma cancella la possibilità di verificare quale avvertimento si intenda.</w:t>
      </w:r>
    </w:p>
    <w:p>
      <w:pPr>
        <w:spacing w:after="120" w:line="276"/>
        <w:jc w:val="both"/>
      </w:pPr>
      <w:r>
        <w:rPr>
          <w:rFonts w:ascii="Barlow Semi Condensed" w:cs="Barlow Semi Condensed" w:eastAsia="Barlow Semi Condensed" w:hAnsi="Barlow Semi Condensed"/>
          <w:b/>
          <w:bCs/>
          <w:sz w:val="24"/>
          <w:szCs w:val="24"/>
        </w:rPr>
        <w:t xml:space="preserve">2064 · Il falsificatore più utile del corpus.</w:t>
      </w:r>
      <w:r>
        <w:rPr>
          <w:rFonts w:ascii="Barlow Semi Condensed" w:cs="Barlow Semi Condensed" w:eastAsia="Barlow Semi Condensed" w:hAnsi="Barlow Semi Condensed"/>
          <w:sz w:val="24"/>
          <w:szCs w:val="24"/>
        </w:rPr>
        <w:t xml:space="preserve"> Fra tutti i criteri di smentita censiti, quello che chiede un documento capace di legare un avvertimento a una direttiva esecutiva è il più utile per la nostra triangolazione, perché è insieme preciso ed eseguibile. Non chiede di provare che l'avvertimento fu dato: chiede l'anello successivo. Anche se la frase del 1974 fosse un giorno documentata, senza quell'anello la riga resterebbe a C.</w:t>
      </w:r>
    </w:p>
    <w:p>
      <w:pPr>
        <w:spacing w:after="120" w:line="276"/>
        <w:jc w:val="both"/>
      </w:pPr>
      <w:r>
        <w:rPr>
          <w:rFonts w:ascii="Barlow Semi Condensed" w:cs="Barlow Semi Condensed" w:eastAsia="Barlow Semi Condensed" w:hAnsi="Barlow Semi Condensed"/>
          <w:b/>
          <w:bCs/>
          <w:sz w:val="24"/>
          <w:szCs w:val="24"/>
        </w:rPr>
        <w:t xml:space="preserve">2065 · La riga diciottesima e l'autonomia.</w:t>
      </w:r>
      <w:r>
        <w:rPr>
          <w:rFonts w:ascii="Barlow Semi Condensed" w:cs="Barlow Semi Condensed" w:eastAsia="Barlow Semi Condensed" w:hAnsi="Barlow Semi Condensed"/>
          <w:sz w:val="24"/>
          <w:szCs w:val="24"/>
        </w:rPr>
        <w:t xml:space="preserve"> Il grado A copre, alla riga diciotto, l'autonomia accertata delle Brigate Rosse come organizzazione armata. È la riga che sostiene tutte le altre, e la sua smentita coincide con la prima voce dello Stato Zero. Ne discende una conseguenza raramente esplicitata: qualunque documento provasse l'eterodirezione abbatterebbe insieme una riga A e uno Stato Zero, cioè due istituti diversi. Sarebbe l'evento più rilevante della storiografia del caso.</w:t>
      </w:r>
    </w:p>
    <w:p>
      <w:pPr>
        <w:spacing w:after="120" w:line="276"/>
        <w:jc w:val="both"/>
      </w:pPr>
      <w:r>
        <w:rPr>
          <w:rFonts w:ascii="Barlow Semi Condensed" w:cs="Barlow Semi Condensed" w:eastAsia="Barlow Semi Condensed" w:hAnsi="Barlow Semi Condensed"/>
          <w:b/>
          <w:bCs/>
          <w:sz w:val="24"/>
          <w:szCs w:val="24"/>
        </w:rPr>
        <w:t xml:space="preserve">2066 · La riga trentanovesima, senza nome.</w:t>
      </w:r>
      <w:r>
        <w:rPr>
          <w:rFonts w:ascii="Barlow Semi Condensed" w:cs="Barlow Semi Condensed" w:eastAsia="Barlow Semi Condensed" w:hAnsi="Barlow Semi Condensed"/>
          <w:sz w:val="24"/>
          <w:szCs w:val="24"/>
        </w:rPr>
        <w:t xml:space="preserve"> Alla riga trentanove l'apparato registra gli Stati Zero e scrive, come criterio, che la comparsa del documento oggi assente prometterebbe uno Stato Zero verso i gradi superiori. Il nome che la fase aveva scritto qui scompare. Chi consultasse soltanto l'apparato non saprebbe che il corpus ha cercato specificamente su questo nome. La perdita d'informazione è reale e si segnala, senza dedurne intenzioni.</w:t>
      </w:r>
    </w:p>
    <w:p>
      <w:pPr>
        <w:spacing w:after="120" w:line="276"/>
        <w:jc w:val="both"/>
      </w:pPr>
      <w:r>
        <w:rPr>
          <w:rFonts w:ascii="Barlow Semi Condensed" w:cs="Barlow Semi Condensed" w:eastAsia="Barlow Semi Condensed" w:hAnsi="Barlow Semi Condensed"/>
          <w:b/>
          <w:bCs/>
          <w:sz w:val="24"/>
          <w:szCs w:val="24"/>
        </w:rPr>
        <w:t xml:space="preserve">2067 · La riga quarantaseiesima e gli architetti.</w:t>
      </w:r>
      <w:r>
        <w:rPr>
          <w:rFonts w:ascii="Barlow Semi Condensed" w:cs="Barlow Semi Condensed" w:eastAsia="Barlow Semi Condensed" w:hAnsi="Barlow Semi Condensed"/>
          <w:sz w:val="24"/>
          <w:szCs w:val="24"/>
        </w:rPr>
        <w:t xml:space="preserve"> Sugli architetti la riga quarantasei grada A la capacità progettuale autonoma delle Brigate Rosse e C ogni architetto esterno, rinviando per la smentita al documento di eterodirezione della riga trentanove. La costruzione è circolare per necessità e va detto: l'unico falsificatore dell'architetto esterno è lo stesso che falsificherebbe l'autonomia. Non è un vizio logico, è la constatazione che su quel piano esiste una sola prova possibile.</w:t>
      </w:r>
    </w:p>
    <w:p>
      <w:pPr>
        <w:spacing w:after="120" w:line="276"/>
        <w:jc w:val="both"/>
      </w:pPr>
      <w:r>
        <w:rPr>
          <w:rFonts w:ascii="Barlow Semi Condensed" w:cs="Barlow Semi Condensed" w:eastAsia="Barlow Semi Condensed" w:hAnsi="Barlow Semi Condensed"/>
          <w:b/>
          <w:bCs/>
          <w:sz w:val="24"/>
          <w:szCs w:val="24"/>
        </w:rPr>
        <w:t xml:space="preserve">2068 · La nota che prevale su ogni riga.</w:t>
      </w:r>
      <w:r>
        <w:rPr>
          <w:rFonts w:ascii="Barlow Semi Condensed" w:cs="Barlow Semi Condensed" w:eastAsia="Barlow Semi Condensed" w:hAnsi="Barlow Semi Condensed"/>
          <w:sz w:val="24"/>
          <w:szCs w:val="24"/>
        </w:rPr>
        <w:t xml:space="preserve"> Una nota dichiarata prevalente su ogni riga successiva precede la tavola della Fase quinta: quella fase congeda il falsificazionismo e passa alla probabilità ipotetica, e perciò è registrata al Livello C, salvo gli elementi che poggiano su sentenze definitive. La clausola di prevalenza è uno strumento raro e va imitato: dice al lettore che, in caso di conflitto fra la tabella e la premessa, vince la premessa.</w:t>
      </w:r>
    </w:p>
    <w:p>
      <w:pPr>
        <w:spacing w:after="120" w:line="276"/>
        <w:jc w:val="both"/>
      </w:pPr>
      <w:r>
        <w:rPr>
          <w:rFonts w:ascii="Barlow Semi Condensed" w:cs="Barlow Semi Condensed" w:eastAsia="Barlow Semi Condensed" w:hAnsi="Barlow Semi Condensed"/>
          <w:b/>
          <w:bCs/>
          <w:sz w:val="24"/>
          <w:szCs w:val="24"/>
        </w:rPr>
        <w:t xml:space="preserve">2069 · Registrare i gradi, non i sospetti.</w:t>
      </w:r>
      <w:r>
        <w:rPr>
          <w:rFonts w:ascii="Barlow Semi Condensed" w:cs="Barlow Semi Condensed" w:eastAsia="Barlow Semi Condensed" w:hAnsi="Barlow Semi Condensed"/>
          <w:sz w:val="24"/>
          <w:szCs w:val="24"/>
        </w:rPr>
        <w:t xml:space="preserve"> «L'apparato non riproduce la graduatoria e non ordina nomi: registra i gradi, non i sospetti.» È la frase in cui il complemento definisce sé stesso, ed è anche la definizione più economica di che cosa sia un lavoro storiografico disciplinato su un nome che nessun giudice ha scritto. Chi la applichi con rigore ottiene un testo che nessuno può usare come atto d'accusa, e che nessuno può accusare di reticenza.</w:t>
      </w:r>
    </w:p>
    <w:p>
      <w:pPr>
        <w:spacing w:after="120" w:line="276"/>
        <w:jc w:val="both"/>
      </w:pPr>
      <w:r>
        <w:rPr>
          <w:rFonts w:ascii="Barlow Semi Condensed" w:cs="Barlow Semi Condensed" w:eastAsia="Barlow Semi Condensed" w:hAnsi="Barlow Semi Condensed"/>
          <w:b/>
          <w:bCs/>
          <w:sz w:val="24"/>
          <w:szCs w:val="24"/>
        </w:rPr>
        <w:t xml:space="preserve">2070 · Il congedo e la presunzione.</w:t>
      </w:r>
      <w:r>
        <w:rPr>
          <w:rFonts w:ascii="Barlow Semi Condensed" w:cs="Barlow Semi Condensed" w:eastAsia="Barlow Semi Condensed" w:hAnsi="Barlow Semi Condensed"/>
          <w:sz w:val="24"/>
          <w:szCs w:val="24"/>
        </w:rPr>
        <w:t xml:space="preserve"> Sulla presunzione d'innocenza il capitolo cinquantacinquesimo fonda il presidio, e ne dà una giustificazione che non è ingenua: non si presume l'innocenza perché si creda innocenti tutti, ma perché il marchio impresso fuori dal processo non ha chi lo tolga. Applicata a chi non fu mai imputato in alcun Paese, la proposizione non concede nulla: constata che non esiste sede in cui una tale imputazione sia stata mai discussa.</w:t>
      </w:r>
    </w:p>
    <w:p>
      <w:pPr>
        <w:spacing w:after="120" w:line="276"/>
        <w:jc w:val="both"/>
      </w:pPr>
      <w:r>
        <w:rPr>
          <w:rFonts w:ascii="Barlow Semi Condensed" w:cs="Barlow Semi Condensed" w:eastAsia="Barlow Semi Condensed" w:hAnsi="Barlow Semi Condensed"/>
          <w:b/>
          <w:bCs/>
          <w:sz w:val="24"/>
          <w:szCs w:val="24"/>
        </w:rPr>
        <w:t xml:space="preserve">2071 · L'ironia che il garante teme.</w:t>
      </w:r>
      <w:r>
        <w:rPr>
          <w:rFonts w:ascii="Barlow Semi Condensed" w:cs="Barlow Semi Condensed" w:eastAsia="Barlow Semi Condensed" w:hAnsi="Barlow Semi Condensed"/>
          <w:sz w:val="24"/>
          <w:szCs w:val="24"/>
        </w:rPr>
        <w:t xml:space="preserve"> La più amara delle ironie, dice il congedo, sarebbe ripetere sul piano del giudizio storico il gesto che il caso Moro documenta: la ragion di Stato che decide di un uomo fuori dalle regole. L'avvertenza vale in tutte le direzioni, comprese quelle scomode. Un'opera che condannasse per convergenza, fuori dal processo, farebbe con la penna ciò che rimprovera; e lo farebbe, per giunta, contro chi non può più rispondere.</w:t>
      </w:r>
    </w:p>
    <w:p>
      <w:pPr>
        <w:spacing w:after="120" w:line="276"/>
        <w:jc w:val="both"/>
      </w:pPr>
      <w:r>
        <w:rPr>
          <w:rFonts w:ascii="Barlow Semi Condensed" w:cs="Barlow Semi Condensed" w:eastAsia="Barlow Semi Condensed" w:hAnsi="Barlow Semi Condensed"/>
          <w:b/>
          <w:bCs/>
          <w:sz w:val="24"/>
          <w:szCs w:val="24"/>
        </w:rPr>
        <w:t xml:space="preserve">2072 · La certezza senza prova.</w:t>
      </w:r>
      <w:r>
        <w:rPr>
          <w:rFonts w:ascii="Barlow Semi Condensed" w:cs="Barlow Semi Condensed" w:eastAsia="Barlow Semi Condensed" w:hAnsi="Barlow Semi Condensed"/>
          <w:sz w:val="24"/>
          <w:szCs w:val="24"/>
        </w:rPr>
        <w:t xml:space="preserve"> L'epigrafe dell'opera dice che è l'ignoranza a creare la violenza; il garante aggiunge che anche la certezza senza prova è una forma d'ignoranza. La postilla è la sola cosa che il capitolo si concede, ed è il criterio con cui misurare qualunque conclusione su questo versante. Una certezza atlantica senza documento e una certezza assolutoria senza documento sono lo stesso errore, e la fase non ne privilegia nessuna.</w:t>
      </w:r>
    </w:p>
    <w:p>
      <w:pPr>
        <w:spacing w:after="120" w:line="276"/>
        <w:jc w:val="both"/>
      </w:pPr>
      <w:r>
        <w:rPr>
          <w:rFonts w:ascii="Barlow Semi Condensed" w:cs="Barlow Semi Condensed" w:eastAsia="Barlow Semi Condensed" w:hAnsi="Barlow Semi Condensed"/>
          <w:b/>
          <w:bCs/>
          <w:sz w:val="24"/>
          <w:szCs w:val="24"/>
        </w:rPr>
        <w:t xml:space="preserve">2073 · Il garante che torna a tacere.</w:t>
      </w:r>
      <w:r>
        <w:rPr>
          <w:rFonts w:ascii="Barlow Semi Condensed" w:cs="Barlow Semi Condensed" w:eastAsia="Barlow Semi Condensed" w:hAnsi="Barlow Semi Condensed"/>
          <w:sz w:val="24"/>
          <w:szCs w:val="24"/>
        </w:rPr>
        <w:t xml:space="preserve"> Chiude la Fase settima dichiarando che il garante il quale ha parlato nella Fase sesta torna lì a tacere, avendo ancorato il dossier al registro degli atti. Nella sua tavola di raccordo la riga del quadro internazionale ha la casella del giudicato vuota, con un trattino. Quel trattino è la rappresentazione grafica dello Stato Zero, e vale come citazione: nessun processo ha mai accertato alcunché su quel versante.</w:t>
      </w:r>
    </w:p>
    <w:p>
      <w:pPr>
        <w:spacing w:after="120" w:line="276"/>
        <w:jc w:val="both"/>
      </w:pPr>
      <w:r>
        <w:rPr>
          <w:rFonts w:ascii="Barlow Semi Condensed" w:cs="Barlow Semi Condensed" w:eastAsia="Barlow Semi Condensed" w:hAnsi="Barlow Semi Condensed"/>
          <w:b/>
          <w:bCs/>
          <w:sz w:val="24"/>
          <w:szCs w:val="24"/>
        </w:rPr>
        <w:t xml:space="preserve">2074 · Il grafo che non ha questo nodo.</w:t>
      </w:r>
      <w:r>
        <w:rPr>
          <w:rFonts w:ascii="Barlow Semi Condensed" w:cs="Barlow Semi Condensed" w:eastAsia="Barlow Semi Condensed" w:hAnsi="Barlow Semi Condensed"/>
          <w:sz w:val="24"/>
          <w:szCs w:val="24"/>
        </w:rPr>
        <w:t xml:space="preserve"> Nel grafo dei legami documentati del corpus, trentanove nodi e cinquantanove archi con nessun arco congetturale ammesso, non compare né Kissinger né alcun soggetto statunitense, e i dieci mondi censiti non contemplano un mondo di Washington. È una misura, non un'opinione: nella rete documentata del caso quel nome non ha un solo arco. Chi ne voglia uno deve portare un documento, non un ragionamento.</w:t>
      </w:r>
    </w:p>
    <w:p>
      <w:pPr>
        <w:spacing w:after="120" w:line="276"/>
        <w:jc w:val="both"/>
      </w:pPr>
      <w:r>
        <w:rPr>
          <w:rFonts w:ascii="Barlow Semi Condensed" w:cs="Barlow Semi Condensed" w:eastAsia="Barlow Semi Condensed" w:hAnsi="Barlow Semi Condensed"/>
          <w:b/>
          <w:bCs/>
          <w:sz w:val="24"/>
          <w:szCs w:val="24"/>
        </w:rPr>
        <w:t xml:space="preserve">2075 · Che cosa smentirebbe questa serie (serie XXVII).</w:t>
      </w:r>
      <w:r>
        <w:rPr>
          <w:rFonts w:ascii="Barlow Semi Condensed" w:cs="Barlow Semi Condensed" w:eastAsia="Barlow Semi Condensed" w:hAnsi="Barlow Semi Condensed"/>
          <w:sz w:val="24"/>
          <w:szCs w:val="24"/>
        </w:rPr>
        <w:t xml:space="preserve"> Offerto a chi voglia abbattere quanto precede, ecco il bersaglio finale. Questa serie cadrebbe se si dimostrasse che la Fase sesta nomina il nostro nome altrove che nello Stato Zero, che il suo complemento lo nomina, o che una sede fra quelle indicate custodisce l'atto richiesto dalla seconda voce. Le tre verifiche sono eseguibili: due con una ricerca testuale, la terza con una richiesta d'accesso. Chi le compia riferisca l'esito.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ventottesima — Le metodologie del Dossier</w:t>
      </w:r>
    </w:p>
    <w:p>
      <w:pPr>
        <w:spacing w:after="120" w:line="276"/>
        <w:jc w:val="both"/>
      </w:pPr>
      <w:r>
        <w:rPr>
          <w:rFonts w:ascii="Barlow Semi Condensed" w:cs="Barlow Semi Condensed" w:eastAsia="Barlow Semi Condensed" w:hAnsi="Barlow Semi Condensed"/>
          <w:i/>
          <w:iCs/>
          <w:sz w:val="24"/>
          <w:szCs w:val="24"/>
        </w:rPr>
        <w:t xml:space="preserve">Blocchi 2076-2155.</w:t>
      </w:r>
    </w:p>
    <w:p>
      <w:pPr>
        <w:spacing w:after="120" w:line="276"/>
        <w:jc w:val="both"/>
      </w:pPr>
      <w:r>
        <w:rPr>
          <w:rFonts w:ascii="Barlow Semi Condensed" w:cs="Barlow Semi Condensed" w:eastAsia="Barlow Semi Condensed" w:hAnsi="Barlow Semi Condensed"/>
          <w:b/>
          <w:bCs/>
          <w:sz w:val="24"/>
          <w:szCs w:val="24"/>
        </w:rPr>
        <w:t xml:space="preserve">2076 · La stringa che non c'è.</w:t>
      </w:r>
      <w:r>
        <w:rPr>
          <w:rFonts w:ascii="Barlow Semi Condensed" w:cs="Barlow Semi Condensed" w:eastAsia="Barlow Semi Condensed" w:hAnsi="Barlow Semi Condensed"/>
          <w:sz w:val="24"/>
          <w:szCs w:val="24"/>
        </w:rPr>
        <w:t xml:space="preserve"> Verifica meccanica eseguita sul file metodologie-del-dossier-sinaptogenesi-e-strumenti.md: la stringa Kissinger vi compare zero volte. Nel branch pubblico il nome ricorre centosessantadue volte, distribuite su quindici documenti markdown dei cinquantatré censiti fuori dalle cartelle di piramide, e il documento di metodo non è fra quei quindici. Stato Zero dichiarato in apertura perché governa l'intera serie: la cassetta degli attrezzi del Dossier fu costruita e calcolata senza che questo nome entrasse in alcuna misura.</w:t>
      </w:r>
    </w:p>
    <w:p>
      <w:pPr>
        <w:spacing w:after="120" w:line="276"/>
        <w:jc w:val="both"/>
      </w:pPr>
      <w:r>
        <w:rPr>
          <w:rFonts w:ascii="Barlow Semi Condensed" w:cs="Barlow Semi Condensed" w:eastAsia="Barlow Semi Condensed" w:hAnsi="Barlow Semi Condensed"/>
          <w:b/>
          <w:bCs/>
          <w:sz w:val="24"/>
          <w:szCs w:val="24"/>
        </w:rPr>
        <w:t xml:space="preserve">2077 · Le due sole occorrenze di Moro.</w:t>
      </w:r>
      <w:r>
        <w:rPr>
          <w:rFonts w:ascii="Barlow Semi Condensed" w:cs="Barlow Semi Condensed" w:eastAsia="Barlow Semi Condensed" w:hAnsi="Barlow Semi Condensed"/>
          <w:sz w:val="24"/>
          <w:szCs w:val="24"/>
        </w:rPr>
        <w:t xml:space="preserve"> Nel documento di metodo la parola Moro compare due volte soltanto, e in nessuna delle due indica l'uomo: entrambe leggono Moro 2, cioè la Commissione parlamentare d'inchiesta della diciassettesima legislatura. Il dato ridimensiona subito ogni lettura sospettosa dell'assenza qui accertata, perché il territorio non tace un nome, tace i nomi. Misura documenti e cammini, non biografie, e la sua reticenza onomastica è di statuto e non di scelta.</w:t>
      </w:r>
    </w:p>
    <w:p>
      <w:pPr>
        <w:spacing w:after="120" w:line="276"/>
        <w:jc w:val="both"/>
      </w:pPr>
      <w:r>
        <w:rPr>
          <w:rFonts w:ascii="Barlow Semi Condensed" w:cs="Barlow Semi Condensed" w:eastAsia="Barlow Semi Condensed" w:hAnsi="Barlow Semi Condensed"/>
          <w:b/>
          <w:bCs/>
          <w:sz w:val="24"/>
          <w:szCs w:val="24"/>
        </w:rPr>
        <w:t xml:space="preserve">2078 · L'unica CIA del territorio.</w:t>
      </w:r>
      <w:r>
        <w:rPr>
          <w:rFonts w:ascii="Barlow Semi Condensed" w:cs="Barlow Semi Condensed" w:eastAsia="Barlow Semi Condensed" w:hAnsi="Barlow Semi Condensed"/>
          <w:sz w:val="24"/>
          <w:szCs w:val="24"/>
        </w:rPr>
        <w:t xml:space="preserve"> La sigla CIA compare una sola volta in tutto il documento, alla riga che cita Heuer, Psychology of Intelligence Analysis, CIA 1999. L'unica istituzione statunitense presente nel territorio assegnato vi entra come marchio editoriale di un manuale di metodo, non come soggetto di una vicenda. Chi cercasse qui una traccia americana troverebbe un'impronta bibliografica, ed è precisamente il tipo di falso positivo che la serie prima dell'opera insegna a disinnescare.</w:t>
      </w:r>
    </w:p>
    <w:p>
      <w:pPr>
        <w:spacing w:after="120" w:line="276"/>
        <w:jc w:val="both"/>
      </w:pPr>
      <w:r>
        <w:rPr>
          <w:rFonts w:ascii="Barlow Semi Condensed" w:cs="Barlow Semi Condensed" w:eastAsia="Barlow Semi Condensed" w:hAnsi="Barlow Semi Condensed"/>
          <w:b/>
          <w:bCs/>
          <w:sz w:val="24"/>
          <w:szCs w:val="24"/>
        </w:rPr>
        <w:t xml:space="preserve">2079 · Nessun lemma internazionale nel documento.</w:t>
      </w:r>
      <w:r>
        <w:rPr>
          <w:rFonts w:ascii="Barlow Semi Condensed" w:cs="Barlow Semi Condensed" w:eastAsia="Barlow Semi Condensed" w:hAnsi="Barlow Semi Condensed"/>
          <w:sz w:val="24"/>
          <w:szCs w:val="24"/>
        </w:rPr>
        <w:t xml:space="preserve"> Censimento lessicale eseguito sul territorio: Stati Uniti zero, NATO zero, atlantico zero, Washington zero, internazionale zero, estero zero. Compaiono una volta diplomatica e una volta Farnesina, sempre nella stessa riga, quella che elenca il quinto dei dieci mondi. L'intero versante estero del corpus entra nel documento di metodo con due parole in una sola frase: è la misura esatta dello spazio concesso al dominio dove questo nome potrebbe vivere.</w:t>
      </w:r>
    </w:p>
    <w:p>
      <w:pPr>
        <w:spacing w:after="120" w:line="276"/>
        <w:jc w:val="both"/>
      </w:pPr>
      <w:r>
        <w:rPr>
          <w:rFonts w:ascii="Barlow Semi Condensed" w:cs="Barlow Semi Condensed" w:eastAsia="Barlow Semi Condensed" w:hAnsi="Barlow Semi Condensed"/>
          <w:b/>
          <w:bCs/>
          <w:sz w:val="24"/>
          <w:szCs w:val="24"/>
        </w:rPr>
        <w:t xml:space="preserve">2080 · Il tacere non è negare.</w:t>
      </w:r>
      <w:r>
        <w:rPr>
          <w:rFonts w:ascii="Barlow Semi Condensed" w:cs="Barlow Semi Condensed" w:eastAsia="Barlow Semi Condensed" w:hAnsi="Barlow Semi Condensed"/>
          <w:sz w:val="24"/>
          <w:szCs w:val="24"/>
        </w:rPr>
        <w:t xml:space="preserve"> Prima di procedere va fissata una regola di lettura. L'assenza di un nome da un documento metrologico non è una presa di posizione su quel nome: è una conseguenza di come il grafo fu costruito, cioè con l'ammissione del solo arco documentato e verificato. Trattarla come una negazione sarebbe l'errore speculare a quello che la regola dei buchi vieta, perché entrambi fanno parlare un vuoto che per costruzione non parla.</w:t>
      </w:r>
    </w:p>
    <w:p>
      <w:pPr>
        <w:spacing w:after="120" w:line="276"/>
        <w:jc w:val="both"/>
      </w:pPr>
      <w:r>
        <w:rPr>
          <w:rFonts w:ascii="Barlow Semi Condensed" w:cs="Barlow Semi Condensed" w:eastAsia="Barlow Semi Condensed" w:hAnsi="Barlow Semi Condensed"/>
          <w:b/>
          <w:bCs/>
          <w:sz w:val="24"/>
          <w:szCs w:val="24"/>
        </w:rPr>
        <w:t xml:space="preserve">2081 · Che cosa farebbe entrare il nome.</w:t>
      </w:r>
      <w:r>
        <w:rPr>
          <w:rFonts w:ascii="Barlow Semi Condensed" w:cs="Barlow Semi Condensed" w:eastAsia="Barlow Semi Condensed" w:hAnsi="Barlow Semi Condensed"/>
          <w:sz w:val="24"/>
          <w:szCs w:val="24"/>
        </w:rPr>
        <w:t xml:space="preserve"> Si accerta, col grado dichiarato. Perché Kissinger diventi nodo di questa rete non basta che sia citato altrove nel corpus: occorre un arco documentato e gradato che lo colleghi a un nodo già censito. La sede che lo produrrebbe è nominabile, ed è la Gerald R. Ford Presidential Library, serie National Security Adviser's Memoranda of Conversation, dove giacciono i file 1552802 e 1552806, insieme ai volumi FRUS 1969-1976 con l'indice per nome.</w:t>
      </w:r>
    </w:p>
    <w:p>
      <w:pPr>
        <w:spacing w:after="120" w:line="276"/>
        <w:jc w:val="both"/>
      </w:pPr>
      <w:r>
        <w:rPr>
          <w:rFonts w:ascii="Barlow Semi Condensed" w:cs="Barlow Semi Condensed" w:eastAsia="Barlow Semi Condensed" w:hAnsi="Barlow Semi Condensed"/>
          <w:b/>
          <w:bCs/>
          <w:sz w:val="24"/>
          <w:szCs w:val="24"/>
        </w:rPr>
        <w:t xml:space="preserve">2082 · Il solo piano uno sta altrove.</w:t>
      </w:r>
      <w:r>
        <w:rPr>
          <w:rFonts w:ascii="Barlow Semi Condensed" w:cs="Barlow Semi Condensed" w:eastAsia="Barlow Semi Condensed" w:hAnsi="Barlow Semi Condensed"/>
          <w:sz w:val="24"/>
          <w:szCs w:val="24"/>
        </w:rPr>
        <w:t xml:space="preserve"> Il rapporto diretto documentato fra questo nome e il corpus esiste, ma non abita il territorio assegnato: sta nella cartella della Farnesina, alla ricognizione ricognizione-ministro-esteri-1969-1974.md, che riporta per esteso il memorandum of conversation dello Studio Ovale del 25 settembre 1974 con la sua doppia segnatura. Il documento di metodo non lo richiama, non lo grada e non lo usa: il piano uno del corpus resta fuori dal perimetro degli strumenti.</w:t>
      </w:r>
    </w:p>
    <w:p>
      <w:pPr>
        <w:spacing w:after="120" w:line="276"/>
        <w:jc w:val="both"/>
      </w:pPr>
      <w:r>
        <w:rPr>
          <w:rFonts w:ascii="Barlow Semi Condensed" w:cs="Barlow Semi Condensed" w:eastAsia="Barlow Semi Condensed" w:hAnsi="Barlow Semi Condensed"/>
          <w:b/>
          <w:bCs/>
          <w:sz w:val="24"/>
          <w:szCs w:val="24"/>
        </w:rPr>
        <w:t xml:space="preserve">2083 · Bersaglio di smentita della serie.</w:t>
      </w:r>
      <w:r>
        <w:rPr>
          <w:rFonts w:ascii="Barlow Semi Condensed" w:cs="Barlow Semi Condensed" w:eastAsia="Barlow Semi Condensed" w:hAnsi="Barlow Semi Condensed"/>
          <w:sz w:val="24"/>
          <w:szCs w:val="24"/>
        </w:rPr>
        <w:t xml:space="preserve"> Falsificherebbe il primo blocco una sola occorrenza della stringa nel file, in qualunque forma, testo o nota o tabella o commento, oppure una versione anteriore o posteriore del documento che la contenga. Il controllo si rifà con un comando e si verbalizza col suo esito, data compresa. Finché la verifica torna a zero, l'assenza resta un'acquisizione di pieno valore e non una lacuna da colmare per interpolazione.</w:t>
      </w:r>
    </w:p>
    <w:p>
      <w:pPr>
        <w:spacing w:after="120" w:line="276"/>
        <w:jc w:val="both"/>
      </w:pPr>
      <w:r>
        <w:rPr>
          <w:rFonts w:ascii="Barlow Semi Condensed" w:cs="Barlow Semi Condensed" w:eastAsia="Barlow Semi Condensed" w:hAnsi="Barlow Semi Condensed"/>
          <w:b/>
          <w:bCs/>
          <w:sz w:val="24"/>
          <w:szCs w:val="24"/>
        </w:rPr>
        <w:t xml:space="preserve">2084 · I trentanove nodi, contati.</w:t>
      </w:r>
      <w:r>
        <w:rPr>
          <w:rFonts w:ascii="Barlow Semi Condensed" w:cs="Barlow Semi Condensed" w:eastAsia="Barlow Semi Condensed" w:hAnsi="Barlow Semi Condensed"/>
          <w:sz w:val="24"/>
          <w:szCs w:val="24"/>
        </w:rPr>
        <w:t xml:space="preserve"> Accertamento eseguito sul territorio, grado B perché ricostruttivo. La tavola del paragrafo 6-bis elenca quindici nodi non brigatisti con quota propria e dieci nodi terminali raggruppati in una riga: venticinque. Aggiunti la BR come organizzazione e i tredici del registro nominativo della Fase decima si arriva esattamente a trentanove, senza residuo. L'enumerazione chiude, non resta posto per un nodo non elencato, e Kissinger non è fra gli elencati.</w:t>
      </w:r>
    </w:p>
    <w:p>
      <w:pPr>
        <w:spacing w:after="120" w:line="276"/>
        <w:jc w:val="both"/>
      </w:pPr>
      <w:r>
        <w:rPr>
          <w:rFonts w:ascii="Barlow Semi Condensed" w:cs="Barlow Semi Condensed" w:eastAsia="Barlow Semi Condensed" w:hAnsi="Barlow Semi Condensed"/>
          <w:b/>
          <w:bCs/>
          <w:sz w:val="24"/>
          <w:szCs w:val="24"/>
        </w:rPr>
        <w:t xml:space="preserve">2085 · Il nodo che non ha betweenness.</w:t>
      </w:r>
      <w:r>
        <w:rPr>
          <w:rFonts w:ascii="Barlow Semi Condensed" w:cs="Barlow Semi Condensed" w:eastAsia="Barlow Semi Condensed" w:hAnsi="Barlow Semi Condensed"/>
          <w:sz w:val="24"/>
          <w:szCs w:val="24"/>
        </w:rPr>
        <w:t xml:space="preserve"> Il blocco 52 della prima campagna aveva registrato l'assenza; la verifica territoriale la irrigidisce. Non si tratta di un nodo periferico con centralità trascurabile, si tratta di un nome che non entra nel dominio della funzione. La betweenness calcolata con l'algoritmo di Brandes richiede un nodo del grafo: qui il grafo non lo contiene, e nessun valore, nemmeno zero, gli è attribuibile senza prima costruire un arco.</w:t>
      </w:r>
    </w:p>
    <w:p>
      <w:pPr>
        <w:spacing w:after="120" w:line="276"/>
        <w:jc w:val="both"/>
      </w:pPr>
      <w:r>
        <w:rPr>
          <w:rFonts w:ascii="Barlow Semi Condensed" w:cs="Barlow Semi Condensed" w:eastAsia="Barlow Semi Condensed" w:hAnsi="Barlow Semi Condensed"/>
          <w:b/>
          <w:bCs/>
          <w:sz w:val="24"/>
          <w:szCs w:val="24"/>
        </w:rPr>
        <w:t xml:space="preserve">2086 · Terminale non è assente.</w:t>
      </w:r>
      <w:r>
        <w:rPr>
          <w:rFonts w:ascii="Barlow Semi Condensed" w:cs="Barlow Semi Condensed" w:eastAsia="Barlow Semi Condensed" w:hAnsi="Barlow Semi Condensed"/>
          <w:sz w:val="24"/>
          <w:szCs w:val="24"/>
        </w:rPr>
        <w:t xml:space="preserve"> Distinzione che la tavola del 6-bis rende visibile e che va scolpita. Superclan, Sit-Siemens, la sala stampa vaticana, il SID dell'approccio respinto, il Nicaragua, la Svizzera, Monte Nevoso, Malagugini, Feltrinelli e Feltrinelli Editore hanno quota di intermediazione dello 0,0 per cento: stanno nel grafo, con archi, e non cadono su alcun cammino minimo. Uno zero misurato è un dato; un nome assente dal censimento non ha nemmeno lo zero.</w:t>
      </w:r>
    </w:p>
    <w:p>
      <w:pPr>
        <w:spacing w:after="120" w:line="276"/>
        <w:jc w:val="both"/>
      </w:pPr>
      <w:r>
        <w:rPr>
          <w:rFonts w:ascii="Barlow Semi Condensed" w:cs="Barlow Semi Condensed" w:eastAsia="Barlow Semi Condensed" w:hAnsi="Barlow Semi Condensed"/>
          <w:b/>
          <w:bCs/>
          <w:sz w:val="24"/>
          <w:szCs w:val="24"/>
        </w:rPr>
        <w:t xml:space="preserve">2087 · Gli estremi dei cinquantanove archi.</w:t>
      </w:r>
      <w:r>
        <w:rPr>
          <w:rFonts w:ascii="Barlow Semi Condensed" w:cs="Barlow Semi Condensed" w:eastAsia="Barlow Semi Condensed" w:hAnsi="Barlow Semi Condensed"/>
          <w:sz w:val="24"/>
          <w:szCs w:val="24"/>
        </w:rPr>
        <w:t xml:space="preserve"> Ricognizione degli archi, condotta sulle proporzioni dichiarate: ventotto di grado A, ventisei di grado F, cinque di grado B. Nessuno di essi ha per estremo un soggetto statunitense, e la ripartizione lo conferma indirettamente, perché il comparto interamente non brigatista, diciassette archi su cinquantanove, è fatto per l'82,4 per cento di fatti biografici italiani. La rete è, per costruzione documentale prima che per scelta, una rete domestica.</w:t>
      </w:r>
    </w:p>
    <w:p>
      <w:pPr>
        <w:spacing w:after="120" w:line="276"/>
        <w:jc w:val="both"/>
      </w:pPr>
      <w:r>
        <w:rPr>
          <w:rFonts w:ascii="Barlow Semi Condensed" w:cs="Barlow Semi Condensed" w:eastAsia="Barlow Semi Condensed" w:hAnsi="Barlow Semi Condensed"/>
          <w:b/>
          <w:bCs/>
          <w:sz w:val="24"/>
          <w:szCs w:val="24"/>
        </w:rPr>
        <w:t xml:space="preserve">2088 · La riga mancante nella tavola.</w:t>
      </w:r>
      <w:r>
        <w:rPr>
          <w:rFonts w:ascii="Barlow Semi Condensed" w:cs="Barlow Semi Condensed" w:eastAsia="Barlow Semi Condensed" w:hAnsi="Barlow Semi Condensed"/>
          <w:sz w:val="24"/>
          <w:szCs w:val="24"/>
        </w:rPr>
        <w:t xml:space="preserve"> Il paragrafo 6-bis normalizza a cento la centralità del comparto non brigatista e distribuisce le quote fra venticinque nodi, dal 24,7 per cento del CPM allo 0,1 per cento del canale PSI. Non esiste una riga per questo nome, e non se ne può inserire una per stima: una quota si calcola su archi esistenti. Chi la scrivesse produrrebbe un numero senza denominatore, cioè l'esatto contrario di quanto il documento dichiara di fare.</w:t>
      </w:r>
    </w:p>
    <w:p>
      <w:pPr>
        <w:spacing w:after="120" w:line="276"/>
        <w:jc w:val="both"/>
      </w:pPr>
      <w:r>
        <w:rPr>
          <w:rFonts w:ascii="Barlow Semi Condensed" w:cs="Barlow Semi Condensed" w:eastAsia="Barlow Semi Condensed" w:hAnsi="Barlow Semi Condensed"/>
          <w:b/>
          <w:bCs/>
          <w:sz w:val="24"/>
          <w:szCs w:val="24"/>
        </w:rPr>
        <w:t xml:space="preserve">2089 · Con quale grado entrerebbe l'arco.</w:t>
      </w:r>
      <w:r>
        <w:rPr>
          <w:rFonts w:ascii="Barlow Semi Condensed" w:cs="Barlow Semi Condensed" w:eastAsia="Barlow Semi Condensed" w:hAnsi="Barlow Semi Condensed"/>
          <w:sz w:val="24"/>
          <w:szCs w:val="24"/>
        </w:rPr>
        <w:t xml:space="preserve"> Un quesito d'archivio, formulato con precisione. Il memorandum of conversation del 25 settembre 1974 è un atto, ed entrerebbe dunque come arco di grado A nella scala del territorio, che riserva la A al giudicato e all'atto. Ma un arco Moro-Kissinger di grado A collegherebbe due nodi dentro il quinto mondo, non dentro il secondo, e la disciplina multistrato impedirebbe comunque a quel grado di transitare verso il fatto.</w:t>
      </w:r>
    </w:p>
    <w:p>
      <w:pPr>
        <w:spacing w:after="120" w:line="276"/>
        <w:jc w:val="both"/>
      </w:pPr>
      <w:r>
        <w:rPr>
          <w:rFonts w:ascii="Barlow Semi Condensed" w:cs="Barlow Semi Condensed" w:eastAsia="Barlow Semi Condensed" w:hAnsi="Barlow Semi Condensed"/>
          <w:b/>
          <w:bCs/>
          <w:sz w:val="24"/>
          <w:szCs w:val="24"/>
        </w:rPr>
        <w:t xml:space="preserve">2090 · Cinque nomi in un solo verbale.</w:t>
      </w:r>
      <w:r>
        <w:rPr>
          <w:rFonts w:ascii="Barlow Semi Condensed" w:cs="Barlow Semi Condensed" w:eastAsia="Barlow Semi Condensed" w:hAnsi="Barlow Semi Condensed"/>
          <w:sz w:val="24"/>
          <w:szCs w:val="24"/>
        </w:rPr>
        <w:t xml:space="preserve"> Il verbale dello Studio Ovale nomina Giovanni Leone, Aldo Moro, Gerald Ford, Henry Kissinger e Brent Scowcroft. Ammetterlo nel grafo significherebbe introdurre fino a cinque nodi nuovi e un fascio di archi generati da un unico documento, struttura che gonfierebbe la densità senza aggiungere informazione. È il rischio che la sinaptogenesi corre quando una fonte sola produce molti legami insieme, e va dichiarato prima di qualunque ricalcolo, non dopo.</w:t>
      </w:r>
    </w:p>
    <w:p>
      <w:pPr>
        <w:spacing w:after="120" w:line="276"/>
        <w:jc w:val="both"/>
      </w:pPr>
      <w:r>
        <w:rPr>
          <w:rFonts w:ascii="Barlow Semi Condensed" w:cs="Barlow Semi Condensed" w:eastAsia="Barlow Semi Condensed" w:hAnsi="Barlow Semi Condensed"/>
          <w:b/>
          <w:bCs/>
          <w:sz w:val="24"/>
          <w:szCs w:val="24"/>
        </w:rPr>
        <w:t xml:space="preserve">2091 · Il ricalcolo di Brandes come bersaglio.</w:t>
      </w:r>
      <w:r>
        <w:rPr>
          <w:rFonts w:ascii="Barlow Semi Condensed" w:cs="Barlow Semi Condensed" w:eastAsia="Barlow Semi Condensed" w:hAnsi="Barlow Semi Condensed"/>
          <w:sz w:val="24"/>
          <w:szCs w:val="24"/>
        </w:rPr>
        <w:t xml:space="preserve"> Accertamento non ancora eseguito, e dichiarato come tale. Se il verbale del 1974 entrasse nella rete, l'algoritmo andrebbe rieseguito per intero: le quote del 6-bis cambierebbero denominatore e la graduatoria delle intermediazioni potrebbe spostarsi, o non spostarsi affatto. Il bersaglio è calcolabile e va calcolato prima di essere commentato. Finché il ricalcolo manca, nessuna affermazione sull'effetto dell'ingresso di questo nome nel grafo è sostenibile.</w:t>
      </w:r>
    </w:p>
    <w:p>
      <w:pPr>
        <w:spacing w:after="120" w:line="276"/>
        <w:jc w:val="both"/>
      </w:pPr>
      <w:r>
        <w:rPr>
          <w:rFonts w:ascii="Barlow Semi Condensed" w:cs="Barlow Semi Condensed" w:eastAsia="Barlow Semi Condensed" w:hAnsi="Barlow Semi Condensed"/>
          <w:b/>
          <w:bCs/>
          <w:sz w:val="24"/>
          <w:szCs w:val="24"/>
        </w:rPr>
        <w:t xml:space="preserve">2092 · La densità misura la scrittura.</w:t>
      </w:r>
      <w:r>
        <w:rPr>
          <w:rFonts w:ascii="Barlow Semi Condensed" w:cs="Barlow Semi Condensed" w:eastAsia="Barlow Semi Condensed" w:hAnsi="Barlow Semi Condensed"/>
          <w:sz w:val="24"/>
          <w:szCs w:val="24"/>
        </w:rPr>
        <w:t xml:space="preserve"> Si riprende dal paragrafo 1 la regola e la si applica al caso peggiore. La centralità in questo grafo misura la densità della documentazione e non la responsabilità: che la BR domini il grado con quindici connessioni è ovvio, perché su di essa si concentra il giudicato. Applicata a un nome che nel branch ricorre centosessantadue volte, la regola dice che quelle occorrenze misurano quanto se ne è scritto, non quanto ha pesato.</w:t>
      </w:r>
    </w:p>
    <w:p>
      <w:pPr>
        <w:spacing w:after="120" w:line="276"/>
        <w:jc w:val="both"/>
      </w:pPr>
      <w:r>
        <w:rPr>
          <w:rFonts w:ascii="Barlow Semi Condensed" w:cs="Barlow Semi Condensed" w:eastAsia="Barlow Semi Condensed" w:hAnsi="Barlow Semi Condensed"/>
          <w:b/>
          <w:bCs/>
          <w:sz w:val="24"/>
          <w:szCs w:val="24"/>
        </w:rPr>
        <w:t xml:space="preserve">2093 · Bersaglio di smentita del grafo.</w:t>
      </w:r>
      <w:r>
        <w:rPr>
          <w:rFonts w:ascii="Barlow Semi Condensed" w:cs="Barlow Semi Condensed" w:eastAsia="Barlow Semi Condensed" w:hAnsi="Barlow Semi Condensed"/>
          <w:sz w:val="24"/>
          <w:szCs w:val="24"/>
        </w:rPr>
        <w:t xml:space="preserve"> Tre cose falsificherebbero i blocchi sul nodo assente: una versione del grafo che elenchi quaranta nodi o più; una lista nominativa dei trentanove che non coincida con la ricostruzione qui condotta; un arco già presente nella rete che colleghi un nodo censito a un soggetto statunitense. Il primo controllo si chiude con il foglio di calcolo del documento di metodo, se l'autore lo depositerà insieme al testo.</w:t>
      </w:r>
    </w:p>
    <w:p>
      <w:pPr>
        <w:spacing w:after="120" w:line="276"/>
        <w:jc w:val="both"/>
      </w:pPr>
      <w:r>
        <w:rPr>
          <w:rFonts w:ascii="Barlow Semi Condensed" w:cs="Barlow Semi Condensed" w:eastAsia="Barlow Semi Condensed" w:hAnsi="Barlow Semi Condensed"/>
          <w:b/>
          <w:bCs/>
          <w:sz w:val="24"/>
          <w:szCs w:val="24"/>
        </w:rPr>
        <w:t xml:space="preserve">2094 · Il cammino privo di archi.</w:t>
      </w:r>
      <w:r>
        <w:rPr>
          <w:rFonts w:ascii="Barlow Semi Condensed" w:cs="Barlow Semi Condensed" w:eastAsia="Barlow Semi Condensed" w:hAnsi="Barlow Semi Condensed"/>
          <w:sz w:val="24"/>
          <w:szCs w:val="24"/>
        </w:rPr>
        <w:t xml:space="preserve"> Applicazione della regola dell'anello debole al quesito che la pubblicistica pone più spesso. Un cammino che colleghi lo Studio Ovale del settembre 1974 all'agguato del marzo 1978 dovrebbe attraversare almeno un arco che nella rete non esiste. Il grado di quel cammino non è basso: è indefinito, perché la funzione minimo non si applica a un insieme vuoto. La differenza è formale, ed è essa stessa un esito da scrivere.</w:t>
      </w:r>
    </w:p>
    <w:p>
      <w:pPr>
        <w:spacing w:after="120" w:line="276"/>
        <w:jc w:val="both"/>
      </w:pPr>
      <w:r>
        <w:rPr>
          <w:rFonts w:ascii="Barlow Semi Condensed" w:cs="Barlow Semi Condensed" w:eastAsia="Barlow Semi Condensed" w:hAnsi="Barlow Semi Condensed"/>
          <w:b/>
          <w:bCs/>
          <w:sz w:val="24"/>
          <w:szCs w:val="24"/>
        </w:rPr>
        <w:t xml:space="preserve">2095 · Confronto col cammino di Hyperion.</w:t>
      </w:r>
      <w:r>
        <w:rPr>
          <w:rFonts w:ascii="Barlow Semi Condensed" w:cs="Barlow Semi Condensed" w:eastAsia="Barlow Semi Condensed" w:hAnsi="Barlow Semi Condensed"/>
          <w:sz w:val="24"/>
          <w:szCs w:val="24"/>
        </w:rPr>
        <w:t xml:space="preserve"> Il territorio fornisce il metro. Il cammino Hyperion, Simioni, CPM, Moretti, via Fani esiste, ha quattro archi, tre dei quali F e uno A, e dunque grado F: documentato per intero e inservibile per inferenze operative. È il termine di paragone corretto, perché mostra la differenza fra una catena debole e una catena inesistente. La prima si misura e si dichiara inutilizzabile, la seconda non si misura affatto.</w:t>
      </w:r>
    </w:p>
    <w:p>
      <w:pPr>
        <w:spacing w:after="120" w:line="276"/>
        <w:jc w:val="both"/>
      </w:pPr>
      <w:r>
        <w:rPr>
          <w:rFonts w:ascii="Barlow Semi Condensed" w:cs="Barlow Semi Condensed" w:eastAsia="Barlow Semi Condensed" w:hAnsi="Barlow Semi Condensed"/>
          <w:b/>
          <w:bCs/>
          <w:sz w:val="24"/>
          <w:szCs w:val="24"/>
        </w:rPr>
        <w:t xml:space="preserve">2096 · Il canale PSI come contro-esempio.</w:t>
      </w:r>
      <w:r>
        <w:rPr>
          <w:rFonts w:ascii="Barlow Semi Condensed" w:cs="Barlow Semi Condensed" w:eastAsia="Barlow Semi Condensed" w:hAnsi="Barlow Semi Condensed"/>
          <w:sz w:val="24"/>
          <w:szCs w:val="24"/>
        </w:rPr>
        <w:t xml:space="preserve"> Il secondo cammino calcolato nel territorio, canale PSI, Pace, Morucci, via Fani, Moretti, via Montalcini, porta archi di grado B e anelli F, e la sua lettura è che il canale documentato raggiunse chi trasmetteva i comunicati, mentre ciò che arrivasse oltre la rete non lo attesta. È il modello di una conclusione onesta su un cammino reale, e serve a mostrare che cosa manchi al cammino atlantico: gli anelli intermedi.</w:t>
      </w:r>
    </w:p>
    <w:p>
      <w:pPr>
        <w:spacing w:after="120" w:line="276"/>
        <w:jc w:val="both"/>
      </w:pPr>
      <w:r>
        <w:rPr>
          <w:rFonts w:ascii="Barlow Semi Condensed" w:cs="Barlow Semi Condensed" w:eastAsia="Barlow Semi Condensed" w:hAnsi="Barlow Semi Condensed"/>
          <w:b/>
          <w:bCs/>
          <w:sz w:val="24"/>
          <w:szCs w:val="24"/>
        </w:rPr>
        <w:t xml:space="preserve">2097 · Grado assente contro grado basso.</w:t>
      </w:r>
      <w:r>
        <w:rPr>
          <w:rFonts w:ascii="Barlow Semi Condensed" w:cs="Barlow Semi Condensed" w:eastAsia="Barlow Semi Condensed" w:hAnsi="Barlow Semi Condensed"/>
          <w:sz w:val="24"/>
          <w:szCs w:val="24"/>
        </w:rPr>
        <w:t xml:space="preserve"> Ne discende una regola derivata, da usare in tutta la seconda campagna. Un cammino con un anello di grado F è debole ma calcolabile; un cammino con un anello mancante non è debole, è nullo. Confondere i due casi consente alla congetturistica di presentare un vuoto come una fragilità superabile con altri indizi. Il vuoto non si supera per accumulo: si chiude con un documento, oppure resta aperto e si verbalizza.</w:t>
      </w:r>
    </w:p>
    <w:p>
      <w:pPr>
        <w:spacing w:after="120" w:line="276"/>
        <w:jc w:val="both"/>
      </w:pPr>
      <w:r>
        <w:rPr>
          <w:rFonts w:ascii="Barlow Semi Condensed" w:cs="Barlow Semi Condensed" w:eastAsia="Barlow Semi Condensed" w:hAnsi="Barlow Semi Condensed"/>
          <w:b/>
          <w:bCs/>
          <w:sz w:val="24"/>
          <w:szCs w:val="24"/>
        </w:rPr>
        <w:t xml:space="preserve">2098 · La testimonianza contestata non fa arco.</w:t>
      </w:r>
      <w:r>
        <w:rPr>
          <w:rFonts w:ascii="Barlow Semi Condensed" w:cs="Barlow Semi Condensed" w:eastAsia="Barlow Semi Condensed" w:hAnsi="Barlow Semi Condensed"/>
          <w:sz w:val="24"/>
          <w:szCs w:val="24"/>
        </w:rPr>
        <w:t xml:space="preserve"> Accertamento con grado dichiarato. L'episodio riferito da Corrado Guerzoni alla Corte d'assise di Roma nel novembre 1982 è testimonianza de relato, con il nome ottenuto in aula dal presidente e non offerto dalla teste, con la data che oscilla fra 1974, 1976 e 1977, e sempre smentito dall'interessato. Un elemento conteso non è A, non è B, non è F: nella grammatica della rete non è ammissibile come arco.</w:t>
      </w:r>
    </w:p>
    <w:p>
      <w:pPr>
        <w:spacing w:after="120" w:line="276"/>
        <w:jc w:val="both"/>
      </w:pPr>
      <w:r>
        <w:rPr>
          <w:rFonts w:ascii="Barlow Semi Condensed" w:cs="Barlow Semi Condensed" w:eastAsia="Barlow Semi Condensed" w:hAnsi="Barlow Semi Condensed"/>
          <w:b/>
          <w:bCs/>
          <w:sz w:val="24"/>
          <w:szCs w:val="24"/>
        </w:rPr>
        <w:t xml:space="preserve">2099 · Il de relato nella scala dei gradi.</w:t>
      </w:r>
      <w:r>
        <w:rPr>
          <w:rFonts w:ascii="Barlow Semi Condensed" w:cs="Barlow Semi Condensed" w:eastAsia="Barlow Semi Condensed" w:hAnsi="Barlow Semi Condensed"/>
          <w:sz w:val="24"/>
          <w:szCs w:val="24"/>
        </w:rPr>
        <w:t xml:space="preserve"> Precisazione tecnica che il territorio impone. La scala del documento conosce tre gradi d'arco e nessuno dei tre ospita il conteso: A è giudicato o atto, B è accertamento, F è fatto biografico pubblico. Una testimonianza indiretta, contestata dall'interessato e divergente su data e luogo, non ricade in alcuna delle tre caselle. Escluderla dal grafo non è un giudizio sul teste: è una conseguenza della definizione di arco.</w:t>
      </w:r>
    </w:p>
    <w:p>
      <w:pPr>
        <w:spacing w:after="120" w:line="276"/>
        <w:jc w:val="both"/>
      </w:pPr>
      <w:r>
        <w:rPr>
          <w:rFonts w:ascii="Barlow Semi Condensed" w:cs="Barlow Semi Condensed" w:eastAsia="Barlow Semi Condensed" w:hAnsi="Barlow Semi Condensed"/>
          <w:b/>
          <w:bCs/>
          <w:sz w:val="24"/>
          <w:szCs w:val="24"/>
        </w:rPr>
        <w:t xml:space="preserve">2100 · Il vincolo del venti gennaio 1977.</w:t>
      </w:r>
      <w:r>
        <w:rPr>
          <w:rFonts w:ascii="Barlow Semi Condensed" w:cs="Barlow Semi Condensed" w:eastAsia="Barlow Semi Condensed" w:hAnsi="Barlow Semi Condensed"/>
          <w:sz w:val="24"/>
          <w:szCs w:val="24"/>
        </w:rPr>
        <w:t xml:space="preserve"> Fatto pubblico di grado F, e vincolo di calendario che pesa su ogni cammino. Kissinger cessò da Segretario di Stato il 20 gennaio 1977, dopo aver lasciato l'incarico di Assistente per la sicurezza nazionale il 3 novembre 1975. I cinquantacinque giorni del 1978 cadono interamente fuori da entrambe le cariche: un arco che li raggiungesse non potrebbe essere istituzionale, e dovrebbe documentare una condotta privata mai attestata.</w:t>
      </w:r>
    </w:p>
    <w:p>
      <w:pPr>
        <w:spacing w:after="120" w:line="276"/>
        <w:jc w:val="both"/>
      </w:pPr>
      <w:r>
        <w:rPr>
          <w:rFonts w:ascii="Barlow Semi Condensed" w:cs="Barlow Semi Condensed" w:eastAsia="Barlow Semi Condensed" w:hAnsi="Barlow Semi Condensed"/>
          <w:b/>
          <w:bCs/>
          <w:sz w:val="24"/>
          <w:szCs w:val="24"/>
        </w:rPr>
        <w:t xml:space="preserve">2101 · Il ponte fra due date non esiste.</w:t>
      </w:r>
      <w:r>
        <w:rPr>
          <w:rFonts w:ascii="Barlow Semi Condensed" w:cs="Barlow Semi Condensed" w:eastAsia="Barlow Semi Condensed" w:hAnsi="Barlow Semi Condensed"/>
          <w:sz w:val="24"/>
          <w:szCs w:val="24"/>
        </w:rPr>
        <w:t xml:space="preserve"> Verbalizzazione dello Stato Zero centrale, già iscritto dalla Fase sesta fra i cercati e non trovati. Fra il verbale del settembre 1974 e il fatto del marzo 1978 il corpus non possiede alcun documento intermedio che nomini insieme i due estremi. Le sedi che lo chiuderebbero sono i Nixon e Ford Presidential Materials, i NSC Files Country Files Italy a College Park, e l'Archivio storico diplomatico della Farnesina.</w:t>
      </w:r>
    </w:p>
    <w:p>
      <w:pPr>
        <w:spacing w:after="120" w:line="276"/>
        <w:jc w:val="both"/>
      </w:pPr>
      <w:r>
        <w:rPr>
          <w:rFonts w:ascii="Barlow Semi Condensed" w:cs="Barlow Semi Condensed" w:eastAsia="Barlow Semi Condensed" w:hAnsi="Barlow Semi Condensed"/>
          <w:b/>
          <w:bCs/>
          <w:sz w:val="24"/>
          <w:szCs w:val="24"/>
        </w:rPr>
        <w:t xml:space="preserve">2102 · Due anelli documentati contro otto suggestivi.</w:t>
      </w:r>
      <w:r>
        <w:rPr>
          <w:rFonts w:ascii="Barlow Semi Condensed" w:cs="Barlow Semi Condensed" w:eastAsia="Barlow Semi Condensed" w:hAnsi="Barlow Semi Condensed"/>
          <w:sz w:val="24"/>
          <w:szCs w:val="24"/>
        </w:rPr>
        <w:t xml:space="preserve"> Applicazione del principio formulato al blocco 169 della prima campagna, qui verificata sul grafo reale. Le catene lunghe del corpus sono quasi sempre deboli: quella di Hyperion ne ha quattro e vale F. Una catena a due anelli documentati varrebbe più di una a otto anelli suggestivi, e la conseguenza operativa è che la ricerca deve puntare all'anello intermedio mancante, non alla moltiplicazione dei termini attorno ai due estremi.</w:t>
      </w:r>
    </w:p>
    <w:p>
      <w:pPr>
        <w:spacing w:after="120" w:line="276"/>
        <w:jc w:val="both"/>
      </w:pPr>
      <w:r>
        <w:rPr>
          <w:rFonts w:ascii="Barlow Semi Condensed" w:cs="Barlow Semi Condensed" w:eastAsia="Barlow Semi Condensed" w:hAnsi="Barlow Semi Condensed"/>
          <w:b/>
          <w:bCs/>
          <w:sz w:val="24"/>
          <w:szCs w:val="24"/>
        </w:rPr>
        <w:t xml:space="preserve">2103 · Bersaglio di smentita dell'anello.</w:t>
      </w:r>
      <w:r>
        <w:rPr>
          <w:rFonts w:ascii="Barlow Semi Condensed" w:cs="Barlow Semi Condensed" w:eastAsia="Barlow Semi Condensed" w:hAnsi="Barlow Semi Condensed"/>
          <w:sz w:val="24"/>
          <w:szCs w:val="24"/>
        </w:rPr>
        <w:t xml:space="preserve"> Falsificherebbe i blocchi precedenti un documento primario, datato fra il 1974 e il 1978, che nomini insieme un soggetto statunitense e un nodo già censito della rete, con una relazione e non una semplice compresenza. Non basta una menzione in un cablogramma di cronaca: serve un arco, cioè un atto che documenti un rapporto. La sede è quella del blocco precedente, e la richiesta è formulabile oggi.</w:t>
      </w:r>
    </w:p>
    <w:p>
      <w:pPr>
        <w:spacing w:after="120" w:line="276"/>
        <w:jc w:val="both"/>
      </w:pPr>
      <w:r>
        <w:rPr>
          <w:rFonts w:ascii="Barlow Semi Condensed" w:cs="Barlow Semi Condensed" w:eastAsia="Barlow Semi Condensed" w:hAnsi="Barlow Semi Condensed"/>
          <w:b/>
          <w:bCs/>
          <w:sz w:val="24"/>
          <w:szCs w:val="24"/>
        </w:rPr>
        <w:t xml:space="preserve">2104 · I tre buchi dichiarati, e il quarto.</w:t>
      </w:r>
      <w:r>
        <w:rPr>
          <w:rFonts w:ascii="Barlow Semi Condensed" w:cs="Barlow Semi Condensed" w:eastAsia="Barlow Semi Condensed" w:hAnsi="Barlow Semi Condensed"/>
          <w:sz w:val="24"/>
          <w:szCs w:val="24"/>
        </w:rPr>
        <w:t xml:space="preserve"> Il paragrafo 3 nomina tre buchi strutturali: nessun arco fra il livello Hyperion e il livello del caso, nessuno fra il dominio vaticano e via Fani, nessuno fra il fronte latinoamericano e il sequestro. Manca dall'elenco il buco atlantico, che pure è il più invocato dalla pubblicistica. La lacuna è di verbalizzazione e non di sostanza, e questa serie propone di colmarla iscrivendolo come quarto buco dichiarato.</w:t>
      </w:r>
    </w:p>
    <w:p>
      <w:pPr>
        <w:spacing w:after="120" w:line="276"/>
        <w:jc w:val="both"/>
      </w:pPr>
      <w:r>
        <w:rPr>
          <w:rFonts w:ascii="Barlow Semi Condensed" w:cs="Barlow Semi Condensed" w:eastAsia="Barlow Semi Condensed" w:hAnsi="Barlow Semi Condensed"/>
          <w:b/>
          <w:bCs/>
          <w:sz w:val="24"/>
          <w:szCs w:val="24"/>
        </w:rPr>
        <w:t xml:space="preserve">2105 · Formula del quarto buco.</w:t>
      </w:r>
      <w:r>
        <w:rPr>
          <w:rFonts w:ascii="Barlow Semi Condensed" w:cs="Barlow Semi Condensed" w:eastAsia="Barlow Semi Condensed" w:hAnsi="Barlow Semi Condensed"/>
          <w:sz w:val="24"/>
          <w:szCs w:val="24"/>
        </w:rPr>
        <w:t xml:space="preserve"> Proposta di verbalizzazione, redatta nella lingua del territorio. Non esiste alcun arco fra il dominio della politica estera atlantica e il fatto del 16 marzo 1978; l'ostilità documentata all'ingresso dei comunisti al governo è collegata alla politica italiana, non all'agguato. È la stessa forma della clausola vaticana, dove il padre di Casimirri risulta collegato al figlio e non al fatto, e ne condivide esattamente la funzione limitativa.</w:t>
      </w:r>
    </w:p>
    <w:p>
      <w:pPr>
        <w:spacing w:after="120" w:line="276"/>
        <w:jc w:val="both"/>
      </w:pPr>
      <w:r>
        <w:rPr>
          <w:rFonts w:ascii="Barlow Semi Condensed" w:cs="Barlow Semi Condensed" w:eastAsia="Barlow Semi Condensed" w:hAnsi="Barlow Semi Condensed"/>
          <w:b/>
          <w:bCs/>
          <w:sz w:val="24"/>
          <w:szCs w:val="24"/>
        </w:rPr>
        <w:t xml:space="preserve">2106 · Misurare prima di interrogare.</w:t>
      </w:r>
      <w:r>
        <w:rPr>
          <w:rFonts w:ascii="Barlow Semi Condensed" w:cs="Barlow Semi Condensed" w:eastAsia="Barlow Semi Condensed" w:hAnsi="Barlow Semi Condensed"/>
          <w:sz w:val="24"/>
          <w:szCs w:val="24"/>
        </w:rPr>
        <w:t xml:space="preserve"> Il primo tempo della regola di Burt chiede che il buco sia misurato e non riempito. La misura è eseguibile: quanti documenti del branch trattano insieme il dominio atlantico e quello del sequestro. Al netto del volume dedicato e degli indici sono cinque, cioè la Parte terza, la Fase sesta, la Fase nona, la triangolazione guevariana al nodo M-5 e il passaggio dal Che a Moro, e tutti vi registrano esito negativo o cornice.</w:t>
      </w:r>
    </w:p>
    <w:p>
      <w:pPr>
        <w:spacing w:after="120" w:line="276"/>
        <w:jc w:val="both"/>
      </w:pPr>
      <w:r>
        <w:rPr>
          <w:rFonts w:ascii="Barlow Semi Condensed" w:cs="Barlow Semi Condensed" w:eastAsia="Barlow Semi Condensed" w:hAnsi="Barlow Semi Condensed"/>
          <w:b/>
          <w:bCs/>
          <w:sz w:val="24"/>
          <w:szCs w:val="24"/>
        </w:rPr>
        <w:t xml:space="preserve">2107 · Il secondo tempo, acquisito dopo.</w:t>
      </w:r>
      <w:r>
        <w:rPr>
          <w:rFonts w:ascii="Barlow Semi Condensed" w:cs="Barlow Semi Condensed" w:eastAsia="Barlow Semi Condensed" w:hAnsi="Barlow Semi Condensed"/>
          <w:sz w:val="24"/>
          <w:szCs w:val="24"/>
        </w:rPr>
        <w:t xml:space="preserve"> La seconda campagna della Farnesina ha aggiunto la metà mancante della regola: un basso rapporto di associazione fra due domini non indica assenza di rapporti, indica che nessuno ha scritto un documento che li tratti insieme. Il documento di metodo, anteriore a quell'acquisizione, possiede solo il primo tempo. Aggiornarlo è atto dovuto, e cambia la diagnosi del buco atlantico da vuoto di fatto a vuoto di spoglio.</w:t>
      </w:r>
    </w:p>
    <w:p>
      <w:pPr>
        <w:spacing w:after="120" w:line="276"/>
        <w:jc w:val="both"/>
      </w:pPr>
      <w:r>
        <w:rPr>
          <w:rFonts w:ascii="Barlow Semi Condensed" w:cs="Barlow Semi Condensed" w:eastAsia="Barlow Semi Condensed" w:hAnsi="Barlow Semi Condensed"/>
          <w:b/>
          <w:bCs/>
          <w:sz w:val="24"/>
          <w:szCs w:val="24"/>
        </w:rPr>
        <w:t xml:space="preserve">2108 · Il padre, il figlio, il fatto.</w:t>
      </w:r>
      <w:r>
        <w:rPr>
          <w:rFonts w:ascii="Barlow Semi Condensed" w:cs="Barlow Semi Condensed" w:eastAsia="Barlow Semi Condensed" w:hAnsi="Barlow Semi Condensed"/>
          <w:sz w:val="24"/>
          <w:szCs w:val="24"/>
        </w:rPr>
        <w:t xml:space="preserve"> Il territorio offre un modello di clausola che vale come regola generale, e conviene riusarlo. Il padre di Alessio Casimirri lavorava alla sala stampa vaticana ed è collegato nel grafo al figlio, non all'agguato: la parentela è un arco, la responsabilità no. Trasposta, la clausola dice che una posizione documentata verso Moro ministro degli Esteri è un arco verso quel nodo e verso quella carica, non verso il fatto del 1978.</w:t>
      </w:r>
    </w:p>
    <w:p>
      <w:pPr>
        <w:spacing w:after="120" w:line="276"/>
        <w:jc w:val="both"/>
      </w:pPr>
      <w:r>
        <w:rPr>
          <w:rFonts w:ascii="Barlow Semi Condensed" w:cs="Barlow Semi Condensed" w:eastAsia="Barlow Semi Condensed" w:hAnsi="Barlow Semi Condensed"/>
          <w:b/>
          <w:bCs/>
          <w:sz w:val="24"/>
          <w:szCs w:val="24"/>
        </w:rPr>
        <w:t xml:space="preserve">2109 · Il buco non prova reticenza.</w:t>
      </w:r>
      <w:r>
        <w:rPr>
          <w:rFonts w:ascii="Barlow Semi Condensed" w:cs="Barlow Semi Condensed" w:eastAsia="Barlow Semi Condensed" w:hAnsi="Barlow Semi Condensed"/>
          <w:sz w:val="24"/>
          <w:szCs w:val="24"/>
        </w:rPr>
        <w:t xml:space="preserve"> Bersaglio di smentita rivolto contro questa serie stessa. Se domani il buco atlantico venisse letto come prova di occultamento, la lettura andrebbe respinta con la formula che il corpus usa altrove: il silenzio non prova il segreto, perché un vuoto documentale è compatibile con la prassi di non verbalizzare, con lo scarto regolare, con la perdita e col versamento incompleto, oltre che con l'occultamento deliberato.</w:t>
      </w:r>
    </w:p>
    <w:p>
      <w:pPr>
        <w:spacing w:after="120" w:line="276"/>
        <w:jc w:val="both"/>
      </w:pPr>
      <w:r>
        <w:rPr>
          <w:rFonts w:ascii="Barlow Semi Condensed" w:cs="Barlow Semi Condensed" w:eastAsia="Barlow Semi Condensed" w:hAnsi="Barlow Semi Condensed"/>
          <w:b/>
          <w:bCs/>
          <w:sz w:val="24"/>
          <w:szCs w:val="24"/>
        </w:rPr>
        <w:t xml:space="preserve">2110 · PE-5 come sonda del vuoto.</w:t>
      </w:r>
      <w:r>
        <w:rPr>
          <w:rFonts w:ascii="Barlow Semi Condensed" w:cs="Barlow Semi Condensed" w:eastAsia="Barlow Semi Condensed" w:hAnsi="Barlow Semi Condensed"/>
          <w:sz w:val="24"/>
          <w:szCs w:val="24"/>
        </w:rPr>
        <w:t xml:space="preserve"> Quesito operativo, già intestato nel corpus. La scheda PE-5 del programma investigativo, il traffico di cablogrammi fra Roma e Washington fra marzo e maggio 1978, punteggio 59,5, è lo strumento che può misurare il buco atlantico con atti anziché con opinioni. Il criterio di chiusura sta scritto nella scheda: il rilascio, oppure il diniego motivato, che in regime FOIA è a sua volta un documento acquisibile.</w:t>
      </w:r>
    </w:p>
    <w:p>
      <w:pPr>
        <w:spacing w:after="120" w:line="276"/>
        <w:jc w:val="both"/>
      </w:pPr>
      <w:r>
        <w:rPr>
          <w:rFonts w:ascii="Barlow Semi Condensed" w:cs="Barlow Semi Condensed" w:eastAsia="Barlow Semi Condensed" w:hAnsi="Barlow Semi Condensed"/>
          <w:b/>
          <w:bCs/>
          <w:sz w:val="24"/>
          <w:szCs w:val="24"/>
        </w:rPr>
        <w:t xml:space="preserve">2111 · Il lotto del Dipartimento di Stato tace.</w:t>
      </w:r>
      <w:r>
        <w:rPr>
          <w:rFonts w:ascii="Barlow Semi Condensed" w:cs="Barlow Semi Condensed" w:eastAsia="Barlow Semi Condensed" w:hAnsi="Barlow Semi Condensed"/>
          <w:sz w:val="24"/>
          <w:szCs w:val="24"/>
        </w:rPr>
        <w:t xml:space="preserve"> Verifica eseguita sul file moro-ministro-esteri/documenti-state-dept-1965-1978.md: la stringa cercata vi compare zero volte. Il lotto contiene il programma della visita del 1965, con Rusk e Johnson, e i cablogrammi dei cinquantacinque giorni da Buenos Aires, Trieste e Palermo. Nessuno nomina l'uomo che nel 1965 non era in carica e nel 1978 non lo era più. È lo Stato Zero più preciso di cui la serie disponga.</w:t>
      </w:r>
    </w:p>
    <w:p>
      <w:pPr>
        <w:spacing w:after="120" w:line="276"/>
        <w:jc w:val="both"/>
      </w:pPr>
      <w:r>
        <w:rPr>
          <w:rFonts w:ascii="Barlow Semi Condensed" w:cs="Barlow Semi Condensed" w:eastAsia="Barlow Semi Condensed" w:hAnsi="Barlow Semi Condensed"/>
          <w:b/>
          <w:bCs/>
          <w:sz w:val="24"/>
          <w:szCs w:val="24"/>
        </w:rPr>
        <w:t xml:space="preserve">2112 · Congettura possibile, e non provata.</w:t>
      </w:r>
      <w:r>
        <w:rPr>
          <w:rFonts w:ascii="Barlow Semi Condensed" w:cs="Barlow Semi Condensed" w:eastAsia="Barlow Semi Condensed" w:hAnsi="Barlow Semi Condensed"/>
          <w:sz w:val="24"/>
          <w:szCs w:val="24"/>
        </w:rPr>
        <w:t xml:space="preserve"> Statuto del buco, dichiarato secondo la formula del territorio. Ogni buco strutturale è una congettura possibile e non provata, e resta tale finché un documento non diventi arco. Il buco atlantico non è dunque una tesi da respingere né una da accreditare: è una casella vuota di cui si conosce la sede. Chi la riempie con la narrazione compie l'operazione che la regola nomina per poterla vietare.</w:t>
      </w:r>
    </w:p>
    <w:p>
      <w:pPr>
        <w:spacing w:after="120" w:line="276"/>
        <w:jc w:val="both"/>
      </w:pPr>
      <w:r>
        <w:rPr>
          <w:rFonts w:ascii="Barlow Semi Condensed" w:cs="Barlow Semi Condensed" w:eastAsia="Barlow Semi Condensed" w:hAnsi="Barlow Semi Condensed"/>
          <w:b/>
          <w:bCs/>
          <w:sz w:val="24"/>
          <w:szCs w:val="24"/>
        </w:rPr>
        <w:t xml:space="preserve">2113 · Bersaglio di smentita del quarto buco.</w:t>
      </w:r>
      <w:r>
        <w:rPr>
          <w:rFonts w:ascii="Barlow Semi Condensed" w:cs="Barlow Semi Condensed" w:eastAsia="Barlow Semi Condensed" w:hAnsi="Barlow Semi Condensed"/>
          <w:sz w:val="24"/>
          <w:szCs w:val="24"/>
        </w:rPr>
        <w:t xml:space="preserve"> Falsificherebbe la formula del blocco trentesimo un documento che colleghi il dominio atlantico non alla politica italiana ma al fatto: un'istruzione datata verso un soggetto italiano, con protocollo e destinatario, riferita al sequestro o alla sua preparazione. Non un giudizio politico, non una previsione, non una dichiarazione d'ostilità, ma un atto con verso operativo. Nessuno è emerso in quarantotto anni, e la ricerca resta aperta nelle sedi nominate.</w:t>
      </w:r>
    </w:p>
    <w:p>
      <w:pPr>
        <w:spacing w:after="120" w:line="276"/>
        <w:jc w:val="both"/>
      </w:pPr>
      <w:r>
        <w:rPr>
          <w:rFonts w:ascii="Barlow Semi Condensed" w:cs="Barlow Semi Condensed" w:eastAsia="Barlow Semi Condensed" w:hAnsi="Barlow Semi Condensed"/>
          <w:b/>
          <w:bCs/>
          <w:sz w:val="24"/>
          <w:szCs w:val="24"/>
        </w:rPr>
        <w:t xml:space="preserve">2114 · Il quinto mondo come unico domicilio.</w:t>
      </w:r>
      <w:r>
        <w:rPr>
          <w:rFonts w:ascii="Barlow Semi Condensed" w:cs="Barlow Semi Condensed" w:eastAsia="Barlow Semi Condensed" w:hAnsi="Barlow Semi Condensed"/>
          <w:sz w:val="24"/>
          <w:szCs w:val="24"/>
        </w:rPr>
        <w:t xml:space="preserve"> Dei dieci mondi di Kivelä censiti nel territorio uno solo potrebbe ospitare questo nome, il quinto, la dimensione diplomatica della Farnesina. Non il secondo, che è il mondo brigatista; non l'ottavo, che è il piano giudiziario; non il terzo, che è il ceppo del 1969. L'assegnazione non è un dettaglio tassonomico: determina quali cammini sono ammessi e quali la disciplina multistrato interrompe già in partenza.</w:t>
      </w:r>
    </w:p>
    <w:p>
      <w:pPr>
        <w:spacing w:after="120" w:line="276"/>
        <w:jc w:val="both"/>
      </w:pPr>
      <w:r>
        <w:rPr>
          <w:rFonts w:ascii="Barlow Semi Condensed" w:cs="Barlow Semi Condensed" w:eastAsia="Barlow Semi Condensed" w:hAnsi="Barlow Semi Condensed"/>
          <w:b/>
          <w:bCs/>
          <w:sz w:val="24"/>
          <w:szCs w:val="24"/>
        </w:rPr>
        <w:t xml:space="preserve">2115 · L'undicesimo mondo che manca.</w:t>
      </w:r>
      <w:r>
        <w:rPr>
          <w:rFonts w:ascii="Barlow Semi Condensed" w:cs="Barlow Semi Condensed" w:eastAsia="Barlow Semi Condensed" w:hAnsi="Barlow Semi Condensed"/>
          <w:sz w:val="24"/>
          <w:szCs w:val="24"/>
        </w:rPr>
        <w:t xml:space="preserve"> Quesito di architettura, dichiarato come Stato Zero. Il corpus non censisce un mondo atlantico o statunitense distinto: la materia entra nel quinto, che è italiano di soggetto e diplomatico di materia. Se la seconda campagna producesse un fondo americano proprio, i FRUS spogliati, i NSC Files, le FOIA della scheda PE-5, l'apertura di un undicesimo livello diverrebbe una decisione da prendere, e andrebbe presa esplicitamente e non per prassi.</w:t>
      </w:r>
    </w:p>
    <w:p>
      <w:pPr>
        <w:spacing w:after="120" w:line="276"/>
        <w:jc w:val="both"/>
      </w:pPr>
      <w:r>
        <w:rPr>
          <w:rFonts w:ascii="Barlow Semi Condensed" w:cs="Barlow Semi Condensed" w:eastAsia="Barlow Semi Condensed" w:hAnsi="Barlow Semi Condensed"/>
          <w:b/>
          <w:bCs/>
          <w:sz w:val="24"/>
          <w:szCs w:val="24"/>
        </w:rPr>
        <w:t xml:space="preserve">2116 · Abitare più mondi senza trasmettere.</w:t>
      </w:r>
      <w:r>
        <w:rPr>
          <w:rFonts w:ascii="Barlow Semi Condensed" w:cs="Barlow Semi Condensed" w:eastAsia="Barlow Semi Condensed" w:hAnsi="Barlow Semi Condensed"/>
          <w:sz w:val="24"/>
          <w:szCs w:val="24"/>
        </w:rPr>
        <w:t xml:space="preserve"> La disciplina multistrato ha una sola regola e va applicata qui integralmente: un nodo può abitare più mondi senza che i mondi si trasmettano nulla attraverso di lui. È la forma reticolare del capitolo ottantunesimo della Fase decima, per cui l'appartenenza a uno o più gruppi non è somma di colpe. Un uomo di Stato che abiti il quinto mondo non porta con sé, per ciò solo, alcun accesso al secondo.</w:t>
      </w:r>
    </w:p>
    <w:p>
      <w:pPr>
        <w:spacing w:after="120" w:line="276"/>
        <w:jc w:val="both"/>
      </w:pPr>
      <w:r>
        <w:rPr>
          <w:rFonts w:ascii="Barlow Semi Condensed" w:cs="Barlow Semi Condensed" w:eastAsia="Barlow Semi Condensed" w:hAnsi="Barlow Semi Condensed"/>
          <w:b/>
          <w:bCs/>
          <w:sz w:val="24"/>
          <w:szCs w:val="24"/>
        </w:rPr>
        <w:t xml:space="preserve">2117 · Il piano giudiziario tace il nome.</w:t>
      </w:r>
      <w:r>
        <w:rPr>
          <w:rFonts w:ascii="Barlow Semi Condensed" w:cs="Barlow Semi Condensed" w:eastAsia="Barlow Semi Condensed" w:hAnsi="Barlow Semi Condensed"/>
          <w:sz w:val="24"/>
          <w:szCs w:val="24"/>
        </w:rPr>
        <w:t xml:space="preserve"> Accertamento di grado A, ed è il vincolo che governa ogni riga della serie. Nell'ottavo mondo, il piano giudiziario, il nome non compare in alcuna qualità: non fu mai imputato, mai processato, mai condannato, in alcun Paese, e non fu mai sentito dai magistrati italiani, poiché la richiesta informale del 1983 non ebbe seguito. Il registro del giudicato resta l'unico luogo dei nomi, e lì questo nome non figura.</w:t>
      </w:r>
    </w:p>
    <w:p>
      <w:pPr>
        <w:spacing w:after="120" w:line="276"/>
        <w:jc w:val="both"/>
      </w:pPr>
      <w:r>
        <w:rPr>
          <w:rFonts w:ascii="Barlow Semi Condensed" w:cs="Barlow Semi Condensed" w:eastAsia="Barlow Semi Condensed" w:hAnsi="Barlow Semi Condensed"/>
          <w:b/>
          <w:bCs/>
          <w:sz w:val="24"/>
          <w:szCs w:val="24"/>
        </w:rPr>
        <w:t xml:space="preserve">2118 · Il nono mondo e il primo agosto.</w:t>
      </w:r>
      <w:r>
        <w:rPr>
          <w:rFonts w:ascii="Barlow Semi Condensed" w:cs="Barlow Semi Condensed" w:eastAsia="Barlow Semi Condensed" w:hAnsi="Barlow Semi Condensed"/>
          <w:sz w:val="24"/>
          <w:szCs w:val="24"/>
        </w:rPr>
        <w:t xml:space="preserve"> Nel mondo parlamentare la sede è confermata e il contenuto no. Eleonora Chiavarelli Moro fu ascoltata dalla Commissione d'inchiesta sul caso Moro il 1° agosto 1980, con una fonte che indica l'11 verosimilmente per lettura errata, ma il verbatim della frase in quella sede resta da riscontrare: le sintesi riferiscono soprattutto minacce risalenti al 1975 e crescenti. Sede da chiudere: gli atti Doc. XXIII della ottava legislatura.</w:t>
      </w:r>
    </w:p>
    <w:p>
      <w:pPr>
        <w:spacing w:after="120" w:line="276"/>
        <w:jc w:val="both"/>
      </w:pPr>
      <w:r>
        <w:rPr>
          <w:rFonts w:ascii="Barlow Semi Condensed" w:cs="Barlow Semi Condensed" w:eastAsia="Barlow Semi Condensed" w:hAnsi="Barlow Semi Condensed"/>
          <w:b/>
          <w:bCs/>
          <w:sz w:val="24"/>
          <w:szCs w:val="24"/>
        </w:rPr>
        <w:t xml:space="preserve">2119 · Il decimo mondo e il duemilaventitré.</w:t>
      </w:r>
      <w:r>
        <w:rPr>
          <w:rFonts w:ascii="Barlow Semi Condensed" w:cs="Barlow Semi Condensed" w:eastAsia="Barlow Semi Condensed" w:hAnsi="Barlow Semi Condensed"/>
          <w:sz w:val="24"/>
          <w:szCs w:val="24"/>
        </w:rPr>
        <w:t xml:space="preserve"> È nel mondo della memoria e dei media che il nome vive davvero. La moltiplicazione delle fonti sull'episodio è apparente e risale a un unico lancio d'agenzia del 30 novembre 2023, il giorno dopo la morte a Kent; sul piano internazionale la vicenda era stata rilanciata già nel 1982 da una pubblicazione dichiaratamente cospirazionista. La replicazione non aggiunge valore probatorio: è copia fedele, e una copia non è un riscontro.</w:t>
      </w:r>
    </w:p>
    <w:p>
      <w:pPr>
        <w:spacing w:after="120" w:line="276"/>
        <w:jc w:val="both"/>
      </w:pPr>
      <w:r>
        <w:rPr>
          <w:rFonts w:ascii="Barlow Semi Condensed" w:cs="Barlow Semi Condensed" w:eastAsia="Barlow Semi Condensed" w:hAnsi="Barlow Semi Condensed"/>
          <w:b/>
          <w:bCs/>
          <w:sz w:val="24"/>
          <w:szCs w:val="24"/>
        </w:rPr>
        <w:t xml:space="preserve">2120 · La migrazione indebita fra livelli.</w:t>
      </w:r>
      <w:r>
        <w:rPr>
          <w:rFonts w:ascii="Barlow Semi Condensed" w:cs="Barlow Semi Condensed" w:eastAsia="Barlow Semi Condensed" w:hAnsi="Barlow Semi Condensed"/>
          <w:sz w:val="24"/>
          <w:szCs w:val="24"/>
        </w:rPr>
        <w:t xml:space="preserve"> Errore da nominare perché è il più frequente. Si prende un elemento attestato nel decimo mondo, la circolazione mediatica di una frase, e lo si tratta come se stesse nell'ottavo, dove vige il giudicato, oppure nel secondo, dove sta il fatto. La rete multistrato esiste per rendere visibile questo salto: un nodo che abita un livello non porta i propri archi negli altri senza un documento che li costruisca.</w:t>
      </w:r>
    </w:p>
    <w:p>
      <w:pPr>
        <w:spacing w:after="120" w:line="276"/>
        <w:jc w:val="both"/>
      </w:pPr>
      <w:r>
        <w:rPr>
          <w:rFonts w:ascii="Barlow Semi Condensed" w:cs="Barlow Semi Condensed" w:eastAsia="Barlow Semi Condensed" w:hAnsi="Barlow Semi Condensed"/>
          <w:b/>
          <w:bCs/>
          <w:sz w:val="24"/>
          <w:szCs w:val="24"/>
        </w:rPr>
        <w:t xml:space="preserve">2121 · Bersaglio di smentita multistrato.</w:t>
      </w:r>
      <w:r>
        <w:rPr>
          <w:rFonts w:ascii="Barlow Semi Condensed" w:cs="Barlow Semi Condensed" w:eastAsia="Barlow Semi Condensed" w:hAnsi="Barlow Semi Condensed"/>
          <w:sz w:val="24"/>
          <w:szCs w:val="24"/>
        </w:rPr>
        <w:t xml:space="preserve"> Falsificherebbe l'assegnazione al quinto mondo un documento che collochi il nome in un altro livello con un arco proprio: un atto giudiziario italiano che lo riguardi, un verbale parlamentare che ne registri l'audizione, una carta brigatista che lo nomini come interlocutore. Nessuno dei tre risulta esistere. Le sedi sono la Corte d'assise di Roma, gli archivi della Camera e i fondi delle carte brigatiste versate.</w:t>
      </w:r>
    </w:p>
    <w:p>
      <w:pPr>
        <w:spacing w:after="120" w:line="276"/>
        <w:jc w:val="both"/>
      </w:pPr>
      <w:r>
        <w:rPr>
          <w:rFonts w:ascii="Barlow Semi Condensed" w:cs="Barlow Semi Condensed" w:eastAsia="Barlow Semi Condensed" w:hAnsi="Barlow Semi Condensed"/>
          <w:b/>
          <w:bCs/>
          <w:sz w:val="24"/>
          <w:szCs w:val="24"/>
        </w:rPr>
        <w:t xml:space="preserve">2122 · Le due matrici e la loro lacuna.</w:t>
      </w:r>
      <w:r>
        <w:rPr>
          <w:rFonts w:ascii="Barlow Semi Condensed" w:cs="Barlow Semi Condensed" w:eastAsia="Barlow Semi Condensed" w:hAnsi="Barlow Semi Condensed"/>
          <w:sz w:val="24"/>
          <w:szCs w:val="24"/>
        </w:rPr>
        <w:t xml:space="preserve"> Nel territorio stanno due matrici ACH, entrambe su quesiti domestici: via Gradoli con la seduta spiritica, e le due moto di via Fani. Nessuna delle due tocca il versante internazionale. La lacuna era già stata registrata al blocco 911 della prima campagna a proposito della serie sesta del manuale, dai blocchi 171 al 210; qui si accerta che riguarda anche il documento di metodo, e per la stessa ragione.</w:t>
      </w:r>
    </w:p>
    <w:p>
      <w:pPr>
        <w:spacing w:after="120" w:line="276"/>
        <w:jc w:val="both"/>
      </w:pPr>
      <w:r>
        <w:rPr>
          <w:rFonts w:ascii="Barlow Semi Condensed" w:cs="Barlow Semi Condensed" w:eastAsia="Barlow Semi Condensed" w:hAnsi="Barlow Semi Condensed"/>
          <w:b/>
          <w:bCs/>
          <w:sz w:val="24"/>
          <w:szCs w:val="24"/>
        </w:rPr>
        <w:t xml:space="preserve">2123 · Perché la lacuna non è casuale.</w:t>
      </w:r>
      <w:r>
        <w:rPr>
          <w:rFonts w:ascii="Barlow Semi Condensed" w:cs="Barlow Semi Condensed" w:eastAsia="Barlow Semi Condensed" w:hAnsi="Barlow Semi Condensed"/>
          <w:sz w:val="24"/>
          <w:szCs w:val="24"/>
        </w:rPr>
        <w:t xml:space="preserve"> Diagnosi della lacuna, con grado B. L'ACH nel regime pubblico si applica solo a quesiti impersonali e senza numeri di probabilità, perché i numeri simulerebbero una precisione che le fonti non hanno. Un quesito internazionale tende a nascere personale, chi volle e chi ordinò, e in quella forma resta inammissibile. La lacuna è dunque un effetto della disciplina, e si supera riformulando il quesito, non allentando la regola.</w:t>
      </w:r>
    </w:p>
    <w:p>
      <w:pPr>
        <w:spacing w:after="120" w:line="276"/>
        <w:jc w:val="both"/>
      </w:pPr>
      <w:r>
        <w:rPr>
          <w:rFonts w:ascii="Barlow Semi Condensed" w:cs="Barlow Semi Condensed" w:eastAsia="Barlow Semi Condensed" w:hAnsi="Barlow Semi Condensed"/>
          <w:b/>
          <w:bCs/>
          <w:sz w:val="24"/>
          <w:szCs w:val="24"/>
        </w:rPr>
        <w:t xml:space="preserve">2124 · Riformulare in forma impersonale.</w:t>
      </w:r>
      <w:r>
        <w:rPr>
          <w:rFonts w:ascii="Barlow Semi Condensed" w:cs="Barlow Semi Condensed" w:eastAsia="Barlow Semi Condensed" w:hAnsi="Barlow Semi Condensed"/>
          <w:sz w:val="24"/>
          <w:szCs w:val="24"/>
        </w:rPr>
        <w:t xml:space="preserve"> Una regola applicabile, con la conseguenza operativa che ne discende. Il quesito su chi minacciò chi è personale e resta fuori. Il quesito su quale statuto probatorio abbia l'episodio del settembre 1974 nella documentazione oggi accessibile è impersonale e vi rientra per intero, perché ha per oggetto documenti e non intenzioni. La riformulazione non è un artificio: sposta la domanda dal foro interno di un uomo al perimetro verificabile di un archivio.</w:t>
      </w:r>
    </w:p>
    <w:p>
      <w:pPr>
        <w:spacing w:after="120" w:line="276"/>
        <w:jc w:val="both"/>
      </w:pPr>
      <w:r>
        <w:rPr>
          <w:rFonts w:ascii="Barlow Semi Condensed" w:cs="Barlow Semi Condensed" w:eastAsia="Barlow Semi Condensed" w:hAnsi="Barlow Semi Condensed"/>
          <w:b/>
          <w:bCs/>
          <w:sz w:val="24"/>
          <w:szCs w:val="24"/>
        </w:rPr>
        <w:t xml:space="preserve">2125 · La terza matrice e le sue ipotesi.</w:t>
      </w:r>
      <w:r>
        <w:rPr>
          <w:rFonts w:ascii="Barlow Semi Condensed" w:cs="Barlow Semi Condensed" w:eastAsia="Barlow Semi Condensed" w:hAnsi="Barlow Semi Condensed"/>
          <w:sz w:val="24"/>
          <w:szCs w:val="24"/>
        </w:rPr>
        <w:t xml:space="preserve"> Proposta di matrice, redatta nella forma del territorio. Le ipotesi concorrenti sull'episodio sono quattro: colloquio ufficiale con posizione politica dura e nessuna minaccia; scambio a margine effettivamente avvenuto e non verbalizzato; ricostruzione formatasi nell'entourage e consolidata a posteriori; sovrapposizione di episodi distinti collocati in anni diversi. Nessuna delle quattro contiene un'imputazione, e la matrice è perciò ammissibile nel regime pubblico del corpus.</w:t>
      </w:r>
    </w:p>
    <w:p>
      <w:pPr>
        <w:spacing w:after="120" w:line="276"/>
        <w:jc w:val="both"/>
      </w:pPr>
      <w:r>
        <w:rPr>
          <w:rFonts w:ascii="Barlow Semi Condensed" w:cs="Barlow Semi Condensed" w:eastAsia="Barlow Semi Condensed" w:hAnsi="Barlow Semi Condensed"/>
          <w:b/>
          <w:bCs/>
          <w:sz w:val="24"/>
          <w:szCs w:val="24"/>
        </w:rPr>
        <w:t xml:space="preserve">2126 · Le righe di evidenza, coi gradi.</w:t>
      </w:r>
      <w:r>
        <w:rPr>
          <w:rFonts w:ascii="Barlow Semi Condensed" w:cs="Barlow Semi Condensed" w:eastAsia="Barlow Semi Condensed" w:hAnsi="Barlow Semi Condensed"/>
          <w:sz w:val="24"/>
          <w:szCs w:val="24"/>
        </w:rPr>
        <w:t xml:space="preserve"> Le evidenze da incrociare, ciascuna col proprio grado. Il memorandum of conversation esiste, è integrale e non contiene alcun ultimatum personale: grado A. Il teste depose davanti alla Corte d'assise nel novembre 1982 ma non assistette al colloquio: grado B indebolito dal de relato. La data oscilla fra 1974, 1976 e 1977 e i luoghi divergono. L'interessato ha smentito, per testimonianza giornalistica di un solo interlocutore.</w:t>
      </w:r>
    </w:p>
    <w:p>
      <w:pPr>
        <w:spacing w:after="120" w:line="276"/>
        <w:jc w:val="both"/>
      </w:pPr>
      <w:r>
        <w:rPr>
          <w:rFonts w:ascii="Barlow Semi Condensed" w:cs="Barlow Semi Condensed" w:eastAsia="Barlow Semi Condensed" w:hAnsi="Barlow Semi Condensed"/>
          <w:b/>
          <w:bCs/>
          <w:sz w:val="24"/>
          <w:szCs w:val="24"/>
        </w:rPr>
        <w:t xml:space="preserve">2127 · L'evidenza che discriminerebbe davvero.</w:t>
      </w:r>
      <w:r>
        <w:rPr>
          <w:rFonts w:ascii="Barlow Semi Condensed" w:cs="Barlow Semi Condensed" w:eastAsia="Barlow Semi Condensed" w:hAnsi="Barlow Semi Condensed"/>
          <w:sz w:val="24"/>
          <w:szCs w:val="24"/>
        </w:rPr>
        <w:t xml:space="preserve"> Esito della matrice, dichiarato come nelle due del territorio. Nessuna evidenza disponibile è diagnostica: tutte e quattro le ipotesi restano compatibili con quanto si conosce, perché l'assenza dal verbale non prova né la falsità né la verità di uno scambio a margine. L'evidenza discriminante è però nominabile: un secondo verbale, un appunto di delegazione, una nota dell'interprete o del cerimoniale relativa alla cena o al fuori-programma.</w:t>
      </w:r>
    </w:p>
    <w:p>
      <w:pPr>
        <w:spacing w:after="120" w:line="276"/>
        <w:jc w:val="both"/>
      </w:pPr>
      <w:r>
        <w:rPr>
          <w:rFonts w:ascii="Barlow Semi Condensed" w:cs="Barlow Semi Condensed" w:eastAsia="Barlow Semi Condensed" w:hAnsi="Barlow Semi Condensed"/>
          <w:b/>
          <w:bCs/>
          <w:sz w:val="24"/>
          <w:szCs w:val="24"/>
        </w:rPr>
        <w:t xml:space="preserve">2128 · Il divieto dei numeri di probabilità.</w:t>
      </w:r>
      <w:r>
        <w:rPr>
          <w:rFonts w:ascii="Barlow Semi Condensed" w:cs="Barlow Semi Condensed" w:eastAsia="Barlow Semi Condensed" w:hAnsi="Barlow Semi Condensed"/>
          <w:sz w:val="24"/>
          <w:szCs w:val="24"/>
        </w:rPr>
        <w:t xml:space="preserve"> Vincolo da ribadire perché la tentazione è qui massima. Il regime pubblico applica l'ACH senza assegnare probabilità numeriche, e la ragione sta scritta nel territorio: i numeri simulerebbero una precisione che le fonti non hanno. Scrivere che un'ipotesi vale il sessanta per cento significherebbe estrarre una cifra da una testimonianza de relato contestata. La matrice ordina le ipotesi e nomina l'evidenza mancante, e non le pesa.</w:t>
      </w:r>
    </w:p>
    <w:p>
      <w:pPr>
        <w:spacing w:after="120" w:line="276"/>
        <w:jc w:val="both"/>
      </w:pPr>
      <w:r>
        <w:rPr>
          <w:rFonts w:ascii="Barlow Semi Condensed" w:cs="Barlow Semi Condensed" w:eastAsia="Barlow Semi Condensed" w:hAnsi="Barlow Semi Condensed"/>
          <w:b/>
          <w:bCs/>
          <w:sz w:val="24"/>
          <w:szCs w:val="24"/>
        </w:rPr>
        <w:t xml:space="preserve">2129 · La cella vuota, dichiarata.</w:t>
      </w:r>
      <w:r>
        <w:rPr>
          <w:rFonts w:ascii="Barlow Semi Condensed" w:cs="Barlow Semi Condensed" w:eastAsia="Barlow Semi Condensed" w:hAnsi="Barlow Semi Condensed"/>
          <w:sz w:val="24"/>
          <w:szCs w:val="24"/>
        </w:rPr>
        <w:t xml:space="preserve"> Istituto che il corpus possiede e che qui serve. I nove cantieri, al blocco 166, tengono aperta la cella dell'interlocutore ignoto nel canale di monsignor Curioni e la dichiarano vuota anziché stimarla. Lo stesso trattamento spetta alla cella del colloquio a margine del settembre 1974: si dichiara vuota, si nomina la sede, la Ford Library e l'Archivio storico diplomatico, e si lascia visibile finché un atto non la riempia.</w:t>
      </w:r>
    </w:p>
    <w:p>
      <w:pPr>
        <w:spacing w:after="120" w:line="276"/>
        <w:jc w:val="both"/>
      </w:pPr>
      <w:r>
        <w:rPr>
          <w:rFonts w:ascii="Barlow Semi Condensed" w:cs="Barlow Semi Condensed" w:eastAsia="Barlow Semi Condensed" w:hAnsi="Barlow Semi Condensed"/>
          <w:b/>
          <w:bCs/>
          <w:sz w:val="24"/>
          <w:szCs w:val="24"/>
        </w:rPr>
        <w:t xml:space="preserve">2130 · L'avvocato del diavolo di matrice (serie XXVIII).</w:t>
      </w:r>
      <w:r>
        <w:rPr>
          <w:rFonts w:ascii="Barlow Semi Condensed" w:cs="Barlow Semi Condensed" w:eastAsia="Barlow Semi Condensed" w:hAnsi="Barlow Semi Condensed"/>
          <w:sz w:val="24"/>
          <w:szCs w:val="24"/>
        </w:rPr>
        <w:t xml:space="preserve"> Il blocco 357 del manuale investigativo prescrive che in ogni matrice un membro designato difenda d'ufficio l'ipotesi meno gradita al gruppo, e che la difesa sia verbalizzata prima della chiusura. Applicato qui, l'istituto obbliga a scrivere per esteso l'ipotesi che l'episodio sia avvenuto davvero senza essere verbalizzato: va difesa e non liquidata, ed è ciò che la nomina dell'evidenza discriminante fa in modo verificabile.</w:t>
      </w:r>
    </w:p>
    <w:p>
      <w:pPr>
        <w:spacing w:after="120" w:line="276"/>
        <w:jc w:val="both"/>
      </w:pPr>
      <w:r>
        <w:rPr>
          <w:rFonts w:ascii="Barlow Semi Condensed" w:cs="Barlow Semi Condensed" w:eastAsia="Barlow Semi Condensed" w:hAnsi="Barlow Semi Condensed"/>
          <w:b/>
          <w:bCs/>
          <w:sz w:val="24"/>
          <w:szCs w:val="24"/>
        </w:rPr>
        <w:t xml:space="preserve">2131 · Il precedente della Nota di revisione.</w:t>
      </w:r>
      <w:r>
        <w:rPr>
          <w:rFonts w:ascii="Barlow Semi Condensed" w:cs="Barlow Semi Condensed" w:eastAsia="Barlow Semi Condensed" w:hAnsi="Barlow Semi Condensed"/>
          <w:sz w:val="24"/>
          <w:szCs w:val="24"/>
        </w:rPr>
        <w:t xml:space="preserve"> Il territorio contiene la prova che una riga di matrice si può retrocedere. La Nota di revisione n. 1 di approfondimento-piste-di-testa.md accertò che Marini ammise ai consulenti della Moro 2 la falsità del parabrezza infranto, rotto giorni prima e riattaccato col nastro; la riga E2 scese da diagnostica a controversa e la matrice restò com'era, con la nota accanto. È il modello che questa serie assume per ogni futura correzione.</w:t>
      </w:r>
    </w:p>
    <w:p>
      <w:pPr>
        <w:spacing w:after="120" w:line="276"/>
        <w:jc w:val="both"/>
      </w:pPr>
      <w:r>
        <w:rPr>
          <w:rFonts w:ascii="Barlow Semi Condensed" w:cs="Barlow Semi Condensed" w:eastAsia="Barlow Semi Condensed" w:hAnsi="Barlow Semi Condensed"/>
          <w:b/>
          <w:bCs/>
          <w:sz w:val="24"/>
          <w:szCs w:val="24"/>
        </w:rPr>
        <w:t xml:space="preserve">2132 · La matrice che non può chiudere.</w:t>
      </w:r>
      <w:r>
        <w:rPr>
          <w:rFonts w:ascii="Barlow Semi Condensed" w:cs="Barlow Semi Condensed" w:eastAsia="Barlow Semi Condensed" w:hAnsi="Barlow Semi Condensed"/>
          <w:sz w:val="24"/>
          <w:szCs w:val="24"/>
        </w:rPr>
        <w:t xml:space="preserve"> Rischio da dichiarare in anticipo. Il blocco 8 del manuale investigativo stabilisce che un quesito senza evidenza discriminante possibile non è un quesito ma un'opinione. La matrice del settembre 1974 supera il test per un soffio, perché un'evidenza discriminante è concepibile e ha una sede. Se la ricognizione della Ford Library escludesse l'esistenza di appunti collaterali, il quesito andrebbe dichiarato indecidibile allo stato degli atti.</w:t>
      </w:r>
    </w:p>
    <w:p>
      <w:pPr>
        <w:spacing w:after="120" w:line="276"/>
        <w:jc w:val="both"/>
      </w:pPr>
      <w:r>
        <w:rPr>
          <w:rFonts w:ascii="Barlow Semi Condensed" w:cs="Barlow Semi Condensed" w:eastAsia="Barlow Semi Condensed" w:hAnsi="Barlow Semi Condensed"/>
          <w:b/>
          <w:bCs/>
          <w:sz w:val="24"/>
          <w:szCs w:val="24"/>
        </w:rPr>
        <w:t xml:space="preserve">2133 · Bersaglio di smentita della matrice.</w:t>
      </w:r>
      <w:r>
        <w:rPr>
          <w:rFonts w:ascii="Barlow Semi Condensed" w:cs="Barlow Semi Condensed" w:eastAsia="Barlow Semi Condensed" w:hAnsi="Barlow Semi Condensed"/>
          <w:sz w:val="24"/>
          <w:szCs w:val="24"/>
        </w:rPr>
        <w:t xml:space="preserve"> Falsificherebbe l'esito appena scritto la comparsa di una qualunque evidenza incompatibile con almeno una delle quattro ipotesi: un appunto della delegazione italiana sul fuori-programma, un verbale del 26 settembre più completo di quelli reperiti, una deposizione di un presente al colloquio riservato. Il file 1552806 della Ford Library è la prima carta da leggere per intero, perché di esso il corpus possiede soltanto estratti parziali e discordi.</w:t>
      </w:r>
    </w:p>
    <w:p>
      <w:pPr>
        <w:spacing w:after="120" w:line="276"/>
        <w:jc w:val="both"/>
      </w:pPr>
      <w:r>
        <w:rPr>
          <w:rFonts w:ascii="Barlow Semi Condensed" w:cs="Barlow Semi Condensed" w:eastAsia="Barlow Semi Condensed" w:hAnsi="Barlow Semi Condensed"/>
          <w:b/>
          <w:bCs/>
          <w:sz w:val="24"/>
          <w:szCs w:val="24"/>
        </w:rPr>
        <w:t xml:space="preserve">2134 · Il dettaglio ginzburghiano della data.</w:t>
      </w:r>
      <w:r>
        <w:rPr>
          <w:rFonts w:ascii="Barlow Semi Condensed" w:cs="Barlow Semi Condensed" w:eastAsia="Barlow Semi Condensed" w:hAnsi="Barlow Semi Condensed"/>
          <w:sz w:val="24"/>
          <w:szCs w:val="24"/>
        </w:rPr>
        <w:t xml:space="preserve"> Il paradigma indiziario chiede di guardare lo scarto, e qui lo scarto è la data. La versione italiana prevalente pone l'episodio al 25 settembre 1974; un'agenzia statunitense dell'aprile 1983 lo colloca in un alterco all'ambasciata d'Italia a Washington nel 1977; altre sintesi indicano il 1976. Nel 1977 la carica non c'era più: la divergenza non è di dettaglio, ed è dirimente per chi voglia legare l'episodio a un ruolo.</w:t>
      </w:r>
    </w:p>
    <w:p>
      <w:pPr>
        <w:spacing w:after="120" w:line="276"/>
        <w:jc w:val="both"/>
      </w:pPr>
      <w:r>
        <w:rPr>
          <w:rFonts w:ascii="Barlow Semi Condensed" w:cs="Barlow Semi Condensed" w:eastAsia="Barlow Semi Condensed" w:hAnsi="Barlow Semi Condensed"/>
          <w:b/>
          <w:bCs/>
          <w:sz w:val="24"/>
          <w:szCs w:val="24"/>
        </w:rPr>
        <w:t xml:space="preserve">2135 · La spia della lingua.</w:t>
      </w:r>
      <w:r>
        <w:rPr>
          <w:rFonts w:ascii="Barlow Semi Condensed" w:cs="Barlow Semi Condensed" w:eastAsia="Barlow Semi Condensed" w:hAnsi="Barlow Semi Condensed"/>
          <w:sz w:val="24"/>
          <w:szCs w:val="24"/>
        </w:rPr>
        <w:t xml:space="preserve"> Secondo dettaglio, di quelli che il paradigma indiziario chiama involontari. Un testimone italiano qualificato definisce l'episodio una leggenda senza fondamento, dicendo di averlo verificato allora con l'interprete perché Moro non parlava inglese. Il rilievo tocca la plausibilità materiale di uno scambio verbale diretto e va riportato; lo stesso testimone, altrove, descrive un colloquio politicamente durissimo e distingue il rimprovero aspro dalla minaccia. Si registrano entrambe le dichiarazioni.</w:t>
      </w:r>
    </w:p>
    <w:p>
      <w:pPr>
        <w:spacing w:after="120" w:line="276"/>
        <w:jc w:val="both"/>
      </w:pPr>
      <w:r>
        <w:rPr>
          <w:rFonts w:ascii="Barlow Semi Condensed" w:cs="Barlow Semi Condensed" w:eastAsia="Barlow Semi Condensed" w:hAnsi="Barlow Semi Condensed"/>
          <w:b/>
          <w:bCs/>
          <w:sz w:val="24"/>
          <w:szCs w:val="24"/>
        </w:rPr>
        <w:t xml:space="preserve">2136 · Il nome ottenuto, non offerto.</w:t>
      </w:r>
      <w:r>
        <w:rPr>
          <w:rFonts w:ascii="Barlow Semi Condensed" w:cs="Barlow Semi Condensed" w:eastAsia="Barlow Semi Condensed" w:hAnsi="Barlow Semi Condensed"/>
          <w:sz w:val="24"/>
          <w:szCs w:val="24"/>
        </w:rPr>
        <w:t xml:space="preserve"> Terzo dettaglio, ed è quello che cambia lo statuto dell'attribuzione. In aula la vedova parlò di un'alta personalità senza fare il nome; fu il presidente della corte, richiamando il portavoce, a ottenere l'indicazione. L'attribuzione del nome è dunque essa stessa indiretta, e si somma al fatto che il portavoce riferiva de relato. Due indirettezze in serie non si compensano: si moltiplicano, e la regola dell'anello debole le legge insieme.</w:t>
      </w:r>
    </w:p>
    <w:p>
      <w:pPr>
        <w:spacing w:after="120" w:line="276"/>
        <w:jc w:val="both"/>
      </w:pPr>
      <w:r>
        <w:rPr>
          <w:rFonts w:ascii="Barlow Semi Condensed" w:cs="Barlow Semi Condensed" w:eastAsia="Barlow Semi Condensed" w:hAnsi="Barlow Semi Condensed"/>
          <w:b/>
          <w:bCs/>
          <w:sz w:val="24"/>
          <w:szCs w:val="24"/>
        </w:rPr>
        <w:t xml:space="preserve">2137 · La seconda edizione riveduta come spia.</w:t>
      </w:r>
      <w:r>
        <w:rPr>
          <w:rFonts w:ascii="Barlow Semi Condensed" w:cs="Barlow Semi Condensed" w:eastAsia="Barlow Semi Condensed" w:hAnsi="Barlow Semi Condensed"/>
          <w:sz w:val="24"/>
          <w:szCs w:val="24"/>
        </w:rPr>
        <w:t xml:space="preserve"> Quarto dettaglio, e riguarda la citazione. Il memorandum è il documento 350 del volume FRUS 1969-1976 E-15 parte 2, nella seconda edizione riveduta: la precisazione va conservata, perché chi citi la prima edizione cita una numerazione che può non coincidere. È uno scarto da copisti, ed è esattamente il genere di dettaglio su cui la serie ottava della prima campagna aveva costruito la propria disciplina di trascrizione.</w:t>
      </w:r>
    </w:p>
    <w:p>
      <w:pPr>
        <w:spacing w:after="120" w:line="276"/>
        <w:jc w:val="both"/>
      </w:pPr>
      <w:r>
        <w:rPr>
          <w:rFonts w:ascii="Barlow Semi Condensed" w:cs="Barlow Semi Condensed" w:eastAsia="Barlow Semi Condensed" w:hAnsi="Barlow Semi Condensed"/>
          <w:b/>
          <w:bCs/>
          <w:sz w:val="24"/>
          <w:szCs w:val="24"/>
        </w:rPr>
        <w:t xml:space="preserve">2138 · Il guardrail della consilienza.</w:t>
      </w:r>
      <w:r>
        <w:rPr>
          <w:rFonts w:ascii="Barlow Semi Condensed" w:cs="Barlow Semi Condensed" w:eastAsia="Barlow Semi Condensed" w:hAnsi="Barlow Semi Condensed"/>
          <w:sz w:val="24"/>
          <w:szCs w:val="24"/>
        </w:rPr>
        <w:t xml:space="preserve"> La convergenza rafforza solo fra linee davvero indipendenti, e mai oltre il grado della linea più debole. Applicata all'episodio, la regola dice che la vedova e il portavoce non sono due linee indipendenti, perché il secondo alimentò la prima e il nome passò dall'uno all'altra in aula. Il conteggio due contro uno non regge: si registra un elemento conteso, non una convergenza, e il grado non sale.</w:t>
      </w:r>
    </w:p>
    <w:p>
      <w:pPr>
        <w:spacing w:after="120" w:line="276"/>
        <w:jc w:val="both"/>
      </w:pPr>
      <w:r>
        <w:rPr>
          <w:rFonts w:ascii="Barlow Semi Condensed" w:cs="Barlow Semi Condensed" w:eastAsia="Barlow Semi Condensed" w:hAnsi="Barlow Semi Condensed"/>
          <w:b/>
          <w:bCs/>
          <w:sz w:val="24"/>
          <w:szCs w:val="24"/>
        </w:rPr>
        <w:t xml:space="preserve">2139 · Le anti-triangolazioni e questo nome.</w:t>
      </w:r>
      <w:r>
        <w:rPr>
          <w:rFonts w:ascii="Barlow Semi Condensed" w:cs="Barlow Semi Condensed" w:eastAsia="Barlow Semi Condensed" w:hAnsi="Barlow Semi Condensed"/>
          <w:sz w:val="24"/>
          <w:szCs w:val="24"/>
        </w:rPr>
        <w:t xml:space="preserve"> Verifica eseguita. Il territorio dichiara ventinove anti-triangolazioni censite nel corpus, cioè altrettanti punti in cui una falsa consilienza è stata smontata. Nessuna di esse riguarda questo nome. È uno Stato Zero di disciplina e non di fatto: significa che il corpus non aveva ancora formalizzato la smontatura del nesso atlantico, pur avendola compiuta in sostanza nella Parte terza e nella Fase sesta.</w:t>
      </w:r>
    </w:p>
    <w:p>
      <w:pPr>
        <w:spacing w:after="120" w:line="276"/>
        <w:jc w:val="both"/>
      </w:pPr>
      <w:r>
        <w:rPr>
          <w:rFonts w:ascii="Barlow Semi Condensed" w:cs="Barlow Semi Condensed" w:eastAsia="Barlow Semi Condensed" w:hAnsi="Barlow Semi Condensed"/>
          <w:b/>
          <w:bCs/>
          <w:sz w:val="24"/>
          <w:szCs w:val="24"/>
        </w:rPr>
        <w:t xml:space="preserve">2140 · Proposta di anti-triangolazione trentesima.</w:t>
      </w:r>
      <w:r>
        <w:rPr>
          <w:rFonts w:ascii="Barlow Semi Condensed" w:cs="Barlow Semi Condensed" w:eastAsia="Barlow Semi Condensed" w:hAnsi="Barlow Semi Condensed"/>
          <w:sz w:val="24"/>
          <w:szCs w:val="24"/>
        </w:rPr>
        <w:t xml:space="preserve"> Bersaglio da iscrivere, redatto nella forma delle altre. Dalla simmetria delle ombre statunitensi sulle due morti, l'agente della CIA a La Higuera nel 1967 e il consulente del Dipartimento di Stato nel comitato di crisi del 1978, non discende alcuna regia unica. I fatti singoli sono documentati, il centro no. Due vicende in due decenni e due continenti condividono una cornice, non un centro, e vanno tenute separate.</w:t>
      </w:r>
    </w:p>
    <w:p>
      <w:pPr>
        <w:spacing w:after="120" w:line="276"/>
        <w:jc w:val="both"/>
      </w:pPr>
      <w:r>
        <w:rPr>
          <w:rFonts w:ascii="Barlow Semi Condensed" w:cs="Barlow Semi Condensed" w:eastAsia="Barlow Semi Condensed" w:hAnsi="Barlow Semi Condensed"/>
          <w:b/>
          <w:bCs/>
          <w:sz w:val="24"/>
          <w:szCs w:val="24"/>
        </w:rPr>
        <w:t xml:space="preserve">2141 · La consilienza apparente del millenovecentottantadue.</w:t>
      </w:r>
      <w:r>
        <w:rPr>
          <w:rFonts w:ascii="Barlow Semi Condensed" w:cs="Barlow Semi Condensed" w:eastAsia="Barlow Semi Condensed" w:hAnsi="Barlow Semi Condensed"/>
          <w:sz w:val="24"/>
          <w:szCs w:val="24"/>
        </w:rPr>
        <w:t xml:space="preserve"> Caso di scuola per il guardrail. Le decine di siti che riportano la frase in forma pressoché identica non sono decine di linee: sono una linea sola, replicata a partire da un unico lancio. In statistica si chiama pseudoreplica il conteggio di misure non indipendenti come se lo fossero, e produce fiducia crescente in un dato che non è cresciuto affatto. Il rilancio del 1982 non aggiunge una fonte, né sposta una.</w:t>
      </w:r>
    </w:p>
    <w:p>
      <w:pPr>
        <w:spacing w:after="120" w:line="276"/>
        <w:jc w:val="both"/>
      </w:pPr>
      <w:r>
        <w:rPr>
          <w:rFonts w:ascii="Barlow Semi Condensed" w:cs="Barlow Semi Condensed" w:eastAsia="Barlow Semi Condensed" w:hAnsi="Barlow Semi Condensed"/>
          <w:b/>
          <w:bCs/>
          <w:sz w:val="24"/>
          <w:szCs w:val="24"/>
        </w:rPr>
        <w:t xml:space="preserve">2142 · I numeri del paragrafo sei sono anteriori.</w:t>
      </w:r>
      <w:r>
        <w:rPr>
          <w:rFonts w:ascii="Barlow Semi Condensed" w:cs="Barlow Semi Condensed" w:eastAsia="Barlow Semi Condensed" w:hAnsi="Barlow Semi Condensed"/>
          <w:sz w:val="24"/>
          <w:szCs w:val="24"/>
        </w:rPr>
        <w:t xml:space="preserve"> Ricalcolo eseguito, con grado B dichiarato. L'auto-misurazione del territorio registra trentasei documenti markdown per 104.504 parole. Il conteggio odierno, sul medesimo perimetro e escluse le cartelle di piramide, dà cinquantatré documenti per 309.690 parole. La misura del documento di metodo, datato 25 agosto 2026, precede la stesura dei nove cantieri e dell'opera dedicata a questo nome, ed è dunque la fotografia di uno stato anteriore.</w:t>
      </w:r>
    </w:p>
    <w:p>
      <w:pPr>
        <w:spacing w:after="120" w:line="276"/>
        <w:jc w:val="both"/>
      </w:pPr>
      <w:r>
        <w:rPr>
          <w:rFonts w:ascii="Barlow Semi Condensed" w:cs="Barlow Semi Condensed" w:eastAsia="Barlow Semi Condensed" w:hAnsi="Barlow Semi Condensed"/>
          <w:b/>
          <w:bCs/>
          <w:sz w:val="24"/>
          <w:szCs w:val="24"/>
        </w:rPr>
        <w:t xml:space="preserve">2143 · Il ricalcolo, col procedimento accanto.</w:t>
      </w:r>
      <w:r>
        <w:rPr>
          <w:rFonts w:ascii="Barlow Semi Condensed" w:cs="Barlow Semi Condensed" w:eastAsia="Barlow Semi Condensed" w:hAnsi="Barlow Semi Condensed"/>
          <w:sz w:val="24"/>
          <w:szCs w:val="24"/>
        </w:rPr>
        <w:t xml:space="preserve"> Procedimento dichiarato, come il territorio prescrive. Si sono contati i file con estensione markdown esclusi i percorsi che iniziano per trattino basso, e le parole con il conteggio standard sugli stessi file. Il divario non è un errore del documento: è la conseguenza di una misurazione datata in un corpus cresciuto di tre volte in poche ore. L'auto-misurazione va rieseguita e riportata con la nuova data accanto.</w:t>
      </w:r>
    </w:p>
    <w:p>
      <w:pPr>
        <w:spacing w:after="120" w:line="276"/>
        <w:jc w:val="both"/>
      </w:pPr>
      <w:r>
        <w:rPr>
          <w:rFonts w:ascii="Barlow Semi Condensed" w:cs="Barlow Semi Condensed" w:eastAsia="Barlow Semi Condensed" w:hAnsi="Barlow Semi Condensed"/>
          <w:b/>
          <w:bCs/>
          <w:sz w:val="24"/>
          <w:szCs w:val="24"/>
        </w:rPr>
        <w:t xml:space="preserve">2144 · Centosessantadue occorrenze, quindici file.</w:t>
      </w:r>
      <w:r>
        <w:rPr>
          <w:rFonts w:ascii="Barlow Semi Condensed" w:cs="Barlow Semi Condensed" w:eastAsia="Barlow Semi Condensed" w:hAnsi="Barlow Semi Condensed"/>
          <w:sz w:val="24"/>
          <w:szCs w:val="24"/>
        </w:rPr>
        <w:t xml:space="preserve"> Censimento della stringa, eseguito sull'intero perimetro. Il nome ricorre centosessantadue volte in quindici dei cinquantatré documenti: centoventisette nel solo volume della prima campagna, sette nella triangolazione guevariana, sei nella ricognizione della Farnesina, cinque nell'indice del branch, tre nella Parte terza e tre nel passaggio dal Che a Moro, il resto in tracce singole. Il documento di metodo non figura in questo elenco.</w:t>
      </w:r>
    </w:p>
    <w:p>
      <w:pPr>
        <w:spacing w:after="120" w:line="276"/>
        <w:jc w:val="both"/>
      </w:pPr>
      <w:r>
        <w:rPr>
          <w:rFonts w:ascii="Barlow Semi Condensed" w:cs="Barlow Semi Condensed" w:eastAsia="Barlow Semi Condensed" w:hAnsi="Barlow Semi Condensed"/>
          <w:b/>
          <w:bCs/>
          <w:sz w:val="24"/>
          <w:szCs w:val="24"/>
        </w:rPr>
        <w:t xml:space="preserve">2145 · Sette occorrenze su dieci in un volume.</w:t>
      </w:r>
      <w:r>
        <w:rPr>
          <w:rFonts w:ascii="Barlow Semi Condensed" w:cs="Barlow Semi Condensed" w:eastAsia="Barlow Semi Condensed" w:hAnsi="Barlow Semi Condensed"/>
          <w:sz w:val="24"/>
          <w:szCs w:val="24"/>
        </w:rPr>
        <w:t xml:space="preserve"> Lettura del censimento, ed è il dato che conta. Il settantotto per cento delle occorrenze del nome nel branch sta dentro l'opera che al nome è dedicata. Una misura di questo tipo non dice nulla sul peso storico dell'uomo: dice che una campagna di scrittura ha concentrato in un file ciò che il corpus altrove tocca di sfuggita. È densità autoreferenziale, e va dichiarata prima di qualunque uso.</w:t>
      </w:r>
    </w:p>
    <w:p>
      <w:pPr>
        <w:spacing w:after="120" w:line="276"/>
        <w:jc w:val="both"/>
      </w:pPr>
      <w:r>
        <w:rPr>
          <w:rFonts w:ascii="Barlow Semi Condensed" w:cs="Barlow Semi Condensed" w:eastAsia="Barlow Semi Condensed" w:hAnsi="Barlow Semi Condensed"/>
          <w:b/>
          <w:bCs/>
          <w:sz w:val="24"/>
          <w:szCs w:val="24"/>
        </w:rPr>
        <w:t xml:space="preserve">2146 · Le marcature di grado, ricontate.</w:t>
      </w:r>
      <w:r>
        <w:rPr>
          <w:rFonts w:ascii="Barlow Semi Condensed" w:cs="Barlow Semi Condensed" w:eastAsia="Barlow Semi Condensed" w:hAnsi="Barlow Semi Condensed"/>
          <w:sz w:val="24"/>
          <w:szCs w:val="24"/>
        </w:rPr>
        <w:t xml:space="preserve"> Il territorio censisce nei testi A circa trentasei, B circa trenta, C circa ventuno, F circa quattordici e Stato Zero trentasei, dichiarando la stima per pattern testuale e l'approssimazione per difetto. Il conteggio odierno della sola locuzione Stato Zero dà centocinquantaquattro occorrenze, sessantotto delle quali nel volume della prima campagna. La crescita è quasi tutta imputabile a un'opera che dichiara assenze: il perimetro negativo si è dilatato più del positivo.</w:t>
      </w:r>
    </w:p>
    <w:p>
      <w:pPr>
        <w:spacing w:after="120" w:line="276"/>
        <w:jc w:val="both"/>
      </w:pPr>
      <w:r>
        <w:rPr>
          <w:rFonts w:ascii="Barlow Semi Condensed" w:cs="Barlow Semi Condensed" w:eastAsia="Barlow Semi Condensed" w:hAnsi="Barlow Semi Condensed"/>
          <w:b/>
          <w:bCs/>
          <w:sz w:val="24"/>
          <w:szCs w:val="24"/>
        </w:rPr>
        <w:t xml:space="preserve">2147 · La divergenza sui dispositivi di disciplina.</w:t>
      </w:r>
      <w:r>
        <w:rPr>
          <w:rFonts w:ascii="Barlow Semi Condensed" w:cs="Barlow Semi Condensed" w:eastAsia="Barlow Semi Condensed" w:hAnsi="Barlow Semi Condensed"/>
          <w:sz w:val="24"/>
          <w:szCs w:val="24"/>
        </w:rPr>
        <w:t xml:space="preserve"> Divergenza da riportare e non da sciogliere. Il territorio registra quattordici occorrenze di criterio di smentita, ventinove di anti-triangolazioni e sessantadue di esiti negativi. Il ricalcolo odierno sul perimetro dei cinquantatré documenti dà rispettivamente diciannove, ventuno e quarantasette. Due contatori salgono e uno scende, e il terzo esito è incompatibile con una semplice crescita: la spiegazione va cercata nel pattern usato, non presunta.</w:t>
      </w:r>
    </w:p>
    <w:p>
      <w:pPr>
        <w:spacing w:after="120" w:line="276"/>
        <w:jc w:val="both"/>
      </w:pPr>
      <w:r>
        <w:rPr>
          <w:rFonts w:ascii="Barlow Semi Condensed" w:cs="Barlow Semi Condensed" w:eastAsia="Barlow Semi Condensed" w:hAnsi="Barlow Semi Condensed"/>
          <w:b/>
          <w:bCs/>
          <w:sz w:val="24"/>
          <w:szCs w:val="24"/>
        </w:rPr>
        <w:t xml:space="preserve">2148 · Il pattern spiega il contatore, forse.</w:t>
      </w:r>
      <w:r>
        <w:rPr>
          <w:rFonts w:ascii="Barlow Semi Condensed" w:cs="Barlow Semi Condensed" w:eastAsia="Barlow Semi Condensed" w:hAnsi="Barlow Semi Condensed"/>
          <w:sz w:val="24"/>
          <w:szCs w:val="24"/>
        </w:rPr>
        <w:t xml:space="preserve"> Ipotesi di lavoro sulla divergenza, dichiarata come tale e non come soluzione. La discrepanza sulle anti-triangolazioni può nascere da una forma flessa contata allora e non ora, da un perimetro che includeva le cartelle di piramide o le edizioni rilegate, o da una scansione condotta su sorgenti diversi dai markdown. Nessuna delle tre è verificabile senza lo script originale, e la sede che chiude il punto è quello script.</w:t>
      </w:r>
    </w:p>
    <w:p>
      <w:pPr>
        <w:spacing w:after="120" w:line="276"/>
        <w:jc w:val="both"/>
      </w:pPr>
      <w:r>
        <w:rPr>
          <w:rFonts w:ascii="Barlow Semi Condensed" w:cs="Barlow Semi Condensed" w:eastAsia="Barlow Semi Condensed" w:hAnsi="Barlow Semi Condensed"/>
          <w:b/>
          <w:bCs/>
          <w:sz w:val="24"/>
          <w:szCs w:val="24"/>
        </w:rPr>
        <w:t xml:space="preserve">2149 · Il procedimento salva il conteggio.</w:t>
      </w:r>
      <w:r>
        <w:rPr>
          <w:rFonts w:ascii="Barlow Semi Condensed" w:cs="Barlow Semi Condensed" w:eastAsia="Barlow Semi Condensed" w:hAnsi="Barlow Semi Condensed"/>
          <w:sz w:val="24"/>
          <w:szCs w:val="24"/>
        </w:rPr>
        <w:t xml:space="preserve"> Il territorio applica a sé stesso una regola che qui torna utile. Un numero è utilizzabile solo se accompagnato dal procedimento che lo ha prodotto: il documento di metodo dichiara la scansione dei sorgenti e l'approssimazione per difetto, e per questo la sua divergenza col ricalcolo è discutibile anziché imbarazzante. Un contatore senza metodo non si può correggere, se ne può soltanto dubitare.</w:t>
      </w:r>
    </w:p>
    <w:p>
      <w:pPr>
        <w:spacing w:after="120" w:line="276"/>
        <w:jc w:val="both"/>
      </w:pPr>
      <w:r>
        <w:rPr>
          <w:rFonts w:ascii="Barlow Semi Condensed" w:cs="Barlow Semi Condensed" w:eastAsia="Barlow Semi Condensed" w:hAnsi="Barlow Semi Condensed"/>
          <w:b/>
          <w:bCs/>
          <w:sz w:val="24"/>
          <w:szCs w:val="24"/>
        </w:rPr>
        <w:t xml:space="preserve">2150 · La riga che non si può stimare.</w:t>
      </w:r>
      <w:r>
        <w:rPr>
          <w:rFonts w:ascii="Barlow Semi Condensed" w:cs="Barlow Semi Condensed" w:eastAsia="Barlow Semi Condensed" w:hAnsi="Barlow Semi Condensed"/>
          <w:sz w:val="24"/>
          <w:szCs w:val="24"/>
        </w:rPr>
        <w:t xml:space="preserve"> Chiusura sul 6-bis. Le uniche percentuali oneste che il territorio ammette sono quote di centralità nella documentazione e quote di grado. Una quota per questo nome non è calcolabile per stima né per analogia con i nodi terminali: richiederebbe archi, e gli archi richiedono documenti. Chi volesse assegnargliene una dovrebbe prima depositare la carta che la genera, ed è esattamente ciò che questa serie chiede e non trova.</w:t>
      </w:r>
    </w:p>
    <w:p>
      <w:pPr>
        <w:spacing w:after="120" w:line="276"/>
        <w:jc w:val="both"/>
      </w:pPr>
      <w:r>
        <w:rPr>
          <w:rFonts w:ascii="Barlow Semi Condensed" w:cs="Barlow Semi Condensed" w:eastAsia="Barlow Semi Condensed" w:hAnsi="Barlow Semi Condensed"/>
          <w:b/>
          <w:bCs/>
          <w:sz w:val="24"/>
          <w:szCs w:val="24"/>
        </w:rPr>
        <w:t xml:space="preserve">2151 · Lo zero per cento che dice tutto.</w:t>
      </w:r>
      <w:r>
        <w:rPr>
          <w:rFonts w:ascii="Barlow Semi Condensed" w:cs="Barlow Semi Condensed" w:eastAsia="Barlow Semi Condensed" w:hAnsi="Barlow Semi Condensed"/>
          <w:sz w:val="24"/>
          <w:szCs w:val="24"/>
        </w:rPr>
        <w:t xml:space="preserve"> Il dato più forte del territorio, letto contro il nome. Nel comparto interamente non brigatista, diciassette archi su cinquantanove pari al 28,8 per cento della rete, la ripartizione è F 82,4 per cento, B 17,6 per cento, A zero per cento: fuori dalla componente brigatista non esiste un solo arco di giudicato. Un nome che entrasse in quel comparto entrerebbe dove nessun tribunale ha mai accertato nulla.</w:t>
      </w:r>
    </w:p>
    <w:p>
      <w:pPr>
        <w:spacing w:after="120" w:line="276"/>
        <w:jc w:val="both"/>
      </w:pPr>
      <w:r>
        <w:rPr>
          <w:rFonts w:ascii="Barlow Semi Condensed" w:cs="Barlow Semi Condensed" w:eastAsia="Barlow Semi Condensed" w:hAnsi="Barlow Semi Condensed"/>
          <w:b/>
          <w:bCs/>
          <w:sz w:val="24"/>
          <w:szCs w:val="24"/>
        </w:rPr>
        <w:t xml:space="preserve">2152 · Il quesito per la Ford Library.</w:t>
      </w:r>
      <w:r>
        <w:rPr>
          <w:rFonts w:ascii="Barlow Semi Condensed" w:cs="Barlow Semi Condensed" w:eastAsia="Barlow Semi Condensed" w:hAnsi="Barlow Semi Condensed"/>
          <w:sz w:val="24"/>
          <w:szCs w:val="24"/>
        </w:rPr>
        <w:t xml:space="preserve"> Quesito da portare in archivio, con sede e segnatura. Alla Gerald R. Ford Presidential Library, serie National Security Adviser's Memoranda of Conversation, si chiedono il file 1552802 nella sua interezza, il file 1552806 del 26 settembre 1974 di cui il corpus possiede solo estratti parziali, e l'elenco completo dei memcon della visita, la cui durata diverge fra il 25-29 degli atti presidenziali e il 25-27 del FRUS.</w:t>
      </w:r>
    </w:p>
    <w:p>
      <w:pPr>
        <w:spacing w:after="120" w:line="276"/>
        <w:jc w:val="both"/>
      </w:pPr>
      <w:r>
        <w:rPr>
          <w:rFonts w:ascii="Barlow Semi Condensed" w:cs="Barlow Semi Condensed" w:eastAsia="Barlow Semi Condensed" w:hAnsi="Barlow Semi Condensed"/>
          <w:b/>
          <w:bCs/>
          <w:sz w:val="24"/>
          <w:szCs w:val="24"/>
        </w:rPr>
        <w:t xml:space="preserve">2153 · Il quesito per College Park.</w:t>
      </w:r>
      <w:r>
        <w:rPr>
          <w:rFonts w:ascii="Barlow Semi Condensed" w:cs="Barlow Semi Condensed" w:eastAsia="Barlow Semi Condensed" w:hAnsi="Barlow Semi Condensed"/>
          <w:sz w:val="24"/>
          <w:szCs w:val="24"/>
        </w:rPr>
        <w:t xml:space="preserve"> Secondo quesito, altra sede. Ai National Archives di College Park si chiedono i Nixon Presidential Materials e i NSC Files, Country Files: Italy, per il periodo 1969-1977, con l'indice per nome e con la verifica dei documenti 180 e 188 del volume FRUS XLI, già noti al corpus per la riunione del Comitato dei 303 dell'11 marzo 1969 e per l'istruzione di studio sull'Italia del dicembre 1969.</w:t>
      </w:r>
    </w:p>
    <w:p>
      <w:pPr>
        <w:spacing w:after="120" w:line="276"/>
        <w:jc w:val="both"/>
      </w:pPr>
      <w:r>
        <w:rPr>
          <w:rFonts w:ascii="Barlow Semi Condensed" w:cs="Barlow Semi Condensed" w:eastAsia="Barlow Semi Condensed" w:hAnsi="Barlow Semi Condensed"/>
          <w:b/>
          <w:bCs/>
          <w:sz w:val="24"/>
          <w:szCs w:val="24"/>
        </w:rPr>
        <w:t xml:space="preserve">2154 · Che cosa questa serie non ha stabilito (serie XXVIII).</w:t>
      </w:r>
      <w:r>
        <w:rPr>
          <w:rFonts w:ascii="Barlow Semi Condensed" w:cs="Barlow Semi Condensed" w:eastAsia="Barlow Semi Condensed" w:hAnsi="Barlow Semi Condensed"/>
          <w:sz w:val="24"/>
          <w:szCs w:val="24"/>
        </w:rPr>
        <w:t xml:space="preserve"> Non è stabilito alcun rapporto fra il nome e il documento di metodo, perché il documento non lo nomina. Non è stabilito che il buco atlantico significhi qualcosa: è misurato e dichiarato. Non è stabilito che l'episodio del settembre 1974 sia avvenuto o non sia avvenuto, e resta conteso. E non è stabilito che il grafo debba cambiare: si è indicato che cosa lo cambierebbe, e dove cercarlo.</w:t>
      </w:r>
    </w:p>
    <w:p>
      <w:pPr>
        <w:spacing w:after="120" w:line="276"/>
        <w:jc w:val="both"/>
      </w:pPr>
      <w:r>
        <w:rPr>
          <w:rFonts w:ascii="Barlow Semi Condensed" w:cs="Barlow Semi Condensed" w:eastAsia="Barlow Semi Condensed" w:hAnsi="Barlow Semi Condensed"/>
          <w:b/>
          <w:bCs/>
          <w:sz w:val="24"/>
          <w:szCs w:val="24"/>
        </w:rPr>
        <w:t xml:space="preserve">2155 · La consilienza metodologica, verificata.</w:t>
      </w:r>
      <w:r>
        <w:rPr>
          <w:rFonts w:ascii="Barlow Semi Condensed" w:cs="Barlow Semi Condensed" w:eastAsia="Barlow Semi Condensed" w:hAnsi="Barlow Semi Condensed"/>
          <w:sz w:val="24"/>
          <w:szCs w:val="24"/>
        </w:rPr>
        <w:t xml:space="preserve"> Chiusura, nella lingua del territorio. Quando gli strumenti quantitativi confermano ciò che la disciplina qualitativa aveva stabilito non è ridondanza, è consilienza metodologica. Qui la verifica ha dato lo stesso esito per due strade indipendenti: il nome non è nodo del grafo, e il corpus lo registrava già come Stato Zero nella Fase sesta. Due percorsi diversi hanno tracciato lo stesso confine fra il provato e il congetturale.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ventinovesima — Il registro giudiziario</w:t>
      </w:r>
    </w:p>
    <w:p>
      <w:pPr>
        <w:spacing w:after="120" w:line="276"/>
        <w:jc w:val="both"/>
      </w:pPr>
      <w:r>
        <w:rPr>
          <w:rFonts w:ascii="Barlow Semi Condensed" w:cs="Barlow Semi Condensed" w:eastAsia="Barlow Semi Condensed" w:hAnsi="Barlow Semi Condensed"/>
          <w:i/>
          <w:iCs/>
          <w:sz w:val="24"/>
          <w:szCs w:val="24"/>
        </w:rPr>
        <w:t xml:space="preserve">Blocchi 2156-2235.</w:t>
      </w:r>
    </w:p>
    <w:p>
      <w:pPr>
        <w:spacing w:after="120" w:line="276"/>
        <w:jc w:val="both"/>
      </w:pPr>
      <w:r>
        <w:rPr>
          <w:rFonts w:ascii="Barlow Semi Condensed" w:cs="Barlow Semi Condensed" w:eastAsia="Barlow Semi Condensed" w:hAnsi="Barlow Semi Condensed"/>
          <w:b/>
          <w:bCs/>
          <w:sz w:val="24"/>
          <w:szCs w:val="24"/>
        </w:rPr>
        <w:t xml:space="preserve">2156 · Il territorio e il suo silenzio.</w:t>
      </w:r>
      <w:r>
        <w:rPr>
          <w:rFonts w:ascii="Barlow Semi Condensed" w:cs="Barlow Semi Condensed" w:eastAsia="Barlow Semi Condensed" w:hAnsi="Barlow Semi Condensed"/>
          <w:sz w:val="24"/>
          <w:szCs w:val="24"/>
        </w:rPr>
        <w:t xml:space="preserve"> Zero occorrenze: il file aldo-moro-una-guerra-senza-fine-fase-settima-registro-giudiziario.md, capitoli 56-61, non contiene il nome di Henry Kissinger in nessuna riga, tavola di raccordo del capitolo 61 compresa. È il primo accertamento di questa serie ed è uno Stato Zero di piena dignità, nella forma che la Fase sesta impone: lo strato giudiziario e istruttorio dell'opera, quello che regge per temi e per metodo tutti gli altri, tace su questo nome.</w:t>
      </w:r>
    </w:p>
    <w:p>
      <w:pPr>
        <w:spacing w:after="120" w:line="276"/>
        <w:jc w:val="both"/>
      </w:pPr>
      <w:r>
        <w:rPr>
          <w:rFonts w:ascii="Barlow Semi Condensed" w:cs="Barlow Semi Condensed" w:eastAsia="Barlow Semi Condensed" w:hAnsi="Barlow Semi Condensed"/>
          <w:b/>
          <w:bCs/>
          <w:sz w:val="24"/>
          <w:szCs w:val="24"/>
        </w:rPr>
        <w:t xml:space="preserve">2157 · Che cosa quel silenzio non dice.</w:t>
      </w:r>
      <w:r>
        <w:rPr>
          <w:rFonts w:ascii="Barlow Semi Condensed" w:cs="Barlow Semi Condensed" w:eastAsia="Barlow Semi Condensed" w:hAnsi="Barlow Semi Condensed"/>
          <w:sz w:val="24"/>
          <w:szCs w:val="24"/>
        </w:rPr>
        <w:t xml:space="preserve"> L'assenza dal testo di una Fase non è l'assenza dal fondo che quella Fase riassume. Il capitolo 57 rinvia al fondo della Commissione Moro 2 presso l'Archivio storico della Camera e al portale delle inchieste; finché l'indice dei nomi della relazione Doc. XXIII n. 29 non è spogliato, l'accertamento vale sul documento del corpus e non sull'archivio. Sede che lo chiuderebbe: quell'indice, lettera per lettera.</w:t>
      </w:r>
    </w:p>
    <w:p>
      <w:pPr>
        <w:spacing w:after="120" w:line="276"/>
        <w:jc w:val="both"/>
      </w:pPr>
      <w:r>
        <w:rPr>
          <w:rFonts w:ascii="Barlow Semi Condensed" w:cs="Barlow Semi Condensed" w:eastAsia="Barlow Semi Condensed" w:hAnsi="Barlow Semi Condensed"/>
          <w:b/>
          <w:bCs/>
          <w:sz w:val="24"/>
          <w:szCs w:val="24"/>
        </w:rPr>
        <w:t xml:space="preserve">2158 · La riga IX della tavola.</w:t>
      </w:r>
      <w:r>
        <w:rPr>
          <w:rFonts w:ascii="Barlow Semi Condensed" w:cs="Barlow Semi Condensed" w:eastAsia="Barlow Semi Condensed" w:hAnsi="Barlow Semi Condensed"/>
          <w:sz w:val="24"/>
          <w:szCs w:val="24"/>
        </w:rPr>
        <w:t xml:space="preserve"> Nella tavola di raccordo del capitolo 61 la questione IX, quadro internazionale, ha la colonna del giudicato vuota, segnata con un trattino; la colonna B registra elementi acquisiti e nessun nesso causale stabilito; la colonna C rinvia alla regia estera come congettura e al documento triangolazione-hyperion-corpus.md. È l'unica riga in cui il versante atlantico compare, e vi compare senza nomi di persona.</w:t>
      </w:r>
    </w:p>
    <w:p>
      <w:pPr>
        <w:spacing w:after="120" w:line="276"/>
        <w:jc w:val="both"/>
      </w:pPr>
      <w:r>
        <w:rPr>
          <w:rFonts w:ascii="Barlow Semi Condensed" w:cs="Barlow Semi Condensed" w:eastAsia="Barlow Semi Condensed" w:hAnsi="Barlow Semi Condensed"/>
          <w:b/>
          <w:bCs/>
          <w:sz w:val="24"/>
          <w:szCs w:val="24"/>
        </w:rPr>
        <w:t xml:space="preserve">2159 · La colonna del giudicato, vuota.</w:t>
      </w:r>
      <w:r>
        <w:rPr>
          <w:rFonts w:ascii="Barlow Semi Condensed" w:cs="Barlow Semi Condensed" w:eastAsia="Barlow Semi Condensed" w:hAnsi="Barlow Semi Condensed"/>
          <w:sz w:val="24"/>
          <w:szCs w:val="24"/>
        </w:rPr>
        <w:t xml:space="preserve"> Sulla riga IX la colonna A porta un trattino, e il trattino è un dato. Significa che nessuna delle sentenze censite al capitolo 56 — Moro uno, bis, ter, quater, quinquies — ha accertato alcunché sul versante internazionale, né in favore né contro chicchessia. Un trattino in colonna A è la forma tipografica dello Stato Zero: si legge come acquisizione, non come reticenza di chi ha compilato.</w:t>
      </w:r>
    </w:p>
    <w:p>
      <w:pPr>
        <w:spacing w:after="120" w:line="276"/>
        <w:jc w:val="both"/>
      </w:pPr>
      <w:r>
        <w:rPr>
          <w:rFonts w:ascii="Barlow Semi Condensed" w:cs="Barlow Semi Condensed" w:eastAsia="Barlow Semi Condensed" w:hAnsi="Barlow Semi Condensed"/>
          <w:b/>
          <w:bCs/>
          <w:sz w:val="24"/>
          <w:szCs w:val="24"/>
        </w:rPr>
        <w:t xml:space="preserve">2160 · Il rinvio a Hyperion.</w:t>
      </w:r>
      <w:r>
        <w:rPr>
          <w:rFonts w:ascii="Barlow Semi Condensed" w:cs="Barlow Semi Condensed" w:eastAsia="Barlow Semi Condensed" w:hAnsi="Barlow Semi Condensed"/>
          <w:sz w:val="24"/>
          <w:szCs w:val="24"/>
        </w:rPr>
        <w:t xml:space="preserve"> La colonna C della riga IX manda a triangolazione-hyperion-corpus.md, dove il nodo internazionale si chiuse con proscioglimenti e con due tesi contrapposte entrambe non provate. Il rinvio è istruttivo: quando il corpus deve indicare dove la regia estera sia stata esaminata in sede giudiziaria, non indica un fascicolo americano ma un'istruttoria italiana degli anni Ottanta. Il versante che riguarda il nome qui triangolato non ha nemmeno quello.</w:t>
      </w:r>
    </w:p>
    <w:p>
      <w:pPr>
        <w:spacing w:after="120" w:line="276"/>
        <w:jc w:val="both"/>
      </w:pPr>
      <w:r>
        <w:rPr>
          <w:rFonts w:ascii="Barlow Semi Condensed" w:cs="Barlow Semi Condensed" w:eastAsia="Barlow Semi Condensed" w:hAnsi="Barlow Semi Condensed"/>
          <w:b/>
          <w:bCs/>
          <w:sz w:val="24"/>
          <w:szCs w:val="24"/>
        </w:rPr>
        <w:t xml:space="preserve">2161 · Il pavimento, e chi non vi poggia.</w:t>
      </w:r>
      <w:r>
        <w:rPr>
          <w:rFonts w:ascii="Barlow Semi Condensed" w:cs="Barlow Semi Condensed" w:eastAsia="Barlow Semi Condensed" w:hAnsi="Barlow Semi Condensed"/>
          <w:sz w:val="24"/>
          <w:szCs w:val="24"/>
        </w:rPr>
        <w:t xml:space="preserve"> Il capitolo 56 chiama pavimento del caso ciò che i cinque processi hanno accertato: le Brigate Rosse, via Fani, la prigionia, l'omicidio, Moretti alla direzione, i nomi del commando. Chi voglia sostenere qualcosa di diverso deve portare prove almeno pari. La regola vale in modo speculare per questa serie: chi voglia aggiungere a quel pavimento un nome estraneo porta lo stesso onere, e nessun documento del corpus lo solleva.</w:t>
      </w:r>
    </w:p>
    <w:p>
      <w:pPr>
        <w:spacing w:after="120" w:line="276"/>
        <w:jc w:val="both"/>
      </w:pPr>
      <w:r>
        <w:rPr>
          <w:rFonts w:ascii="Barlow Semi Condensed" w:cs="Barlow Semi Condensed" w:eastAsia="Barlow Semi Condensed" w:hAnsi="Barlow Semi Condensed"/>
          <w:b/>
          <w:bCs/>
          <w:sz w:val="24"/>
          <w:szCs w:val="24"/>
        </w:rPr>
        <w:t xml:space="preserve">2162 · Il soffitto aperto non è licenza.</w:t>
      </w:r>
      <w:r>
        <w:rPr>
          <w:rFonts w:ascii="Barlow Semi Condensed" w:cs="Barlow Semi Condensed" w:eastAsia="Barlow Semi Condensed" w:hAnsi="Barlow Semi Condensed"/>
          <w:sz w:val="24"/>
          <w:szCs w:val="24"/>
        </w:rPr>
        <w:t xml:space="preserve"> Il capitolo 61 conclude che quasi nessuna questione è stata chiusa dal giudicato, molte sono state documentate e non risolte dalla Moro 2, nessuna è stata promossa a verità causale. La terza proposizione governa la nostra triangolazione: un soffitto aperto autorizza a cercare, non a riempire. Chi legge l'apertura come spazio disponibile per un mandante compie esattamente la promozione che la Fase settima dichiara di non avere compiuto.</w:t>
      </w:r>
    </w:p>
    <w:p>
      <w:pPr>
        <w:spacing w:after="120" w:line="276"/>
        <w:jc w:val="both"/>
      </w:pPr>
      <w:r>
        <w:rPr>
          <w:rFonts w:ascii="Barlow Semi Condensed" w:cs="Barlow Semi Condensed" w:eastAsia="Barlow Semi Condensed" w:hAnsi="Barlow Semi Condensed"/>
          <w:b/>
          <w:bCs/>
          <w:sz w:val="24"/>
          <w:szCs w:val="24"/>
        </w:rPr>
        <w:t xml:space="preserve">2163 · Il garante che torna a tacere (serie XXIX).</w:t>
      </w:r>
      <w:r>
        <w:rPr>
          <w:rFonts w:ascii="Barlow Semi Condensed" w:cs="Barlow Semi Condensed" w:eastAsia="Barlow Semi Condensed" w:hAnsi="Barlow Semi Condensed"/>
          <w:sz w:val="24"/>
          <w:szCs w:val="24"/>
        </w:rPr>
        <w:t xml:space="preserve"> Il congedo della Fase settima dichiara che il garante della Fase sesta ha fatto la sola cosa che gli competeva: ancorare il dossier al registro degli atti. Applicata al nome qui triangolato, quella funzione produce un vincolo di forma prima che di merito. In questo territorio se ne può dire soltanto ciò che un atto giudiziario o parlamentare contiene, e lo si deve dire con la sede dell'atto.</w:t>
      </w:r>
    </w:p>
    <w:p>
      <w:pPr>
        <w:spacing w:after="120" w:line="276"/>
        <w:jc w:val="both"/>
      </w:pPr>
      <w:r>
        <w:rPr>
          <w:rFonts w:ascii="Barlow Semi Condensed" w:cs="Barlow Semi Condensed" w:eastAsia="Barlow Semi Condensed" w:hAnsi="Barlow Semi Condensed"/>
          <w:b/>
          <w:bCs/>
          <w:sz w:val="24"/>
          <w:szCs w:val="24"/>
        </w:rPr>
        <w:t xml:space="preserve">2164 · Moro uno, il quesito d'indice.</w:t>
      </w:r>
      <w:r>
        <w:rPr>
          <w:rFonts w:ascii="Barlow Semi Condensed" w:cs="Barlow Semi Condensed" w:eastAsia="Barlow Semi Condensed" w:hAnsi="Barlow Semi Condensed"/>
          <w:sz w:val="24"/>
          <w:szCs w:val="24"/>
        </w:rPr>
        <w:t xml:space="preserve"> Il grande processo alle Brigate Rosse si celebrò fra il 1982 e il 1983 davanti alla Corte d'assise di Roma. Primo bersaglio: la lista testi e l'indice dei verbali di quel dibattimento, presso la cancelleria della corte e negli atti riordinati sotto il coordinamento dell'Archivio di Stato di Roma, come il blocco 341 dei nove cantieri accerta. Quesito enumerativo: quante occorrenze, in quali udienze, in bocca a chi.</w:t>
      </w:r>
    </w:p>
    <w:p>
      <w:pPr>
        <w:spacing w:after="120" w:line="276"/>
        <w:jc w:val="both"/>
      </w:pPr>
      <w:r>
        <w:rPr>
          <w:rFonts w:ascii="Barlow Semi Condensed" w:cs="Barlow Semi Condensed" w:eastAsia="Barlow Semi Condensed" w:hAnsi="Barlow Semi Condensed"/>
          <w:b/>
          <w:bCs/>
          <w:sz w:val="24"/>
          <w:szCs w:val="24"/>
        </w:rPr>
        <w:t xml:space="preserve">2165 · L'unico punto di contatto documentato.</w:t>
      </w:r>
      <w:r>
        <w:rPr>
          <w:rFonts w:ascii="Barlow Semi Condensed" w:cs="Barlow Semi Condensed" w:eastAsia="Barlow Semi Condensed" w:hAnsi="Barlow Semi Condensed"/>
          <w:sz w:val="24"/>
          <w:szCs w:val="24"/>
        </w:rPr>
        <w:t xml:space="preserve"> Fra il nome e l'intero registro giudiziario del caso esiste un solo contatto accertato, ed è una deposizione: Corrado Guerzoni davanti alla Corte d'assise di Roma nel novembre 1982, dentro il perimetro cronologico del processo Moro uno. Non un atto d'accusa, non un'imputazione, non una rogatoria: una testimonianza indiretta su un fatto altrui. L'opera prima la registra ai blocchi 697, 752 e 876, sempre con lo stesso grado.</w:t>
      </w:r>
    </w:p>
    <w:p>
      <w:pPr>
        <w:spacing w:after="120" w:line="276"/>
        <w:jc w:val="both"/>
      </w:pPr>
      <w:r>
        <w:rPr>
          <w:rFonts w:ascii="Barlow Semi Condensed" w:cs="Barlow Semi Condensed" w:eastAsia="Barlow Semi Condensed" w:hAnsi="Barlow Semi Condensed"/>
          <w:b/>
          <w:bCs/>
          <w:sz w:val="24"/>
          <w:szCs w:val="24"/>
        </w:rPr>
        <w:t xml:space="preserve">2166 · L'aula non è il registro.</w:t>
      </w:r>
      <w:r>
        <w:rPr>
          <w:rFonts w:ascii="Barlow Semi Condensed" w:cs="Barlow Semi Condensed" w:eastAsia="Barlow Semi Condensed" w:hAnsi="Barlow Semi Condensed"/>
          <w:sz w:val="24"/>
          <w:szCs w:val="24"/>
        </w:rPr>
        <w:t xml:space="preserve"> Un nome pronunciato in dibattimento entra nel verbale, non nel registro del giudicato. La distinzione è quella che i nove cantieri fissano al blocco 796 definendo il perimetro dei tredici: vi si entra per condanna definitiva e per nient'altro. Henry Kissinger non fu mai imputato in alcuno dei cinque processi Moro, in nessun grado, e nessuna sentenza del caso lo nomina come responsabile di alcunché.</w:t>
      </w:r>
    </w:p>
    <w:p>
      <w:pPr>
        <w:spacing w:after="120" w:line="276"/>
        <w:jc w:val="both"/>
      </w:pPr>
      <w:r>
        <w:rPr>
          <w:rFonts w:ascii="Barlow Semi Condensed" w:cs="Barlow Semi Condensed" w:eastAsia="Barlow Semi Condensed" w:hAnsi="Barlow Semi Condensed"/>
          <w:b/>
          <w:bCs/>
          <w:sz w:val="24"/>
          <w:szCs w:val="24"/>
        </w:rPr>
        <w:t xml:space="preserve">2167 · Il nome estratto in udienza (serie XXIX).</w:t>
      </w:r>
      <w:r>
        <w:rPr>
          <w:rFonts w:ascii="Barlow Semi Condensed" w:cs="Barlow Semi Condensed" w:eastAsia="Barlow Semi Condensed" w:hAnsi="Barlow Semi Condensed"/>
          <w:sz w:val="24"/>
          <w:szCs w:val="24"/>
        </w:rPr>
        <w:t xml:space="preserve"> La Nota di revisione numero due, al punto tre, accerta che la vedova parlò di un'alta personalità senza nominarla e che fu il presidente della corte, richiamando Guerzoni, a ottenere l'indicazione. La genesi processuale dell'attribuzione è dunque essa stessa indiretta. Bersaglio: il verbale stenografico dell'udienza, presso la cancelleria della Corte d'assise di Roma, per stabilire la formula esatta della domanda rivolta dal presidente.</w:t>
      </w:r>
    </w:p>
    <w:p>
      <w:pPr>
        <w:spacing w:after="120" w:line="276"/>
        <w:jc w:val="both"/>
      </w:pPr>
      <w:r>
        <w:rPr>
          <w:rFonts w:ascii="Barlow Semi Condensed" w:cs="Barlow Semi Condensed" w:eastAsia="Barlow Semi Condensed" w:hAnsi="Barlow Semi Condensed"/>
          <w:b/>
          <w:bCs/>
          <w:sz w:val="24"/>
          <w:szCs w:val="24"/>
        </w:rPr>
        <w:t xml:space="preserve">2168 · La data d'udienza ancora divergente.</w:t>
      </w:r>
      <w:r>
        <w:rPr>
          <w:rFonts w:ascii="Barlow Semi Condensed" w:cs="Barlow Semi Condensed" w:eastAsia="Barlow Semi Condensed" w:hAnsi="Barlow Semi Condensed"/>
          <w:sz w:val="24"/>
          <w:szCs w:val="24"/>
        </w:rPr>
        <w:t xml:space="preserve"> Il blocco 697 dell'opera prima riporta la divergenza senza scioglierla: novembre 1982, il giorno 10 secondo la datazione più ricorrente, il 15 secondo una fonte. Cinque giorni di scarto su un verbale d'udienza si dirimono con un atto solo, il ruolo d'udienza della corte. Finché non è letto, ogni citazione della deposizione porta con sé la divergenza, e chi la tace cita male una fonte che conosce.</w:t>
      </w:r>
    </w:p>
    <w:p>
      <w:pPr>
        <w:spacing w:after="120" w:line="276"/>
        <w:jc w:val="both"/>
      </w:pPr>
      <w:r>
        <w:rPr>
          <w:rFonts w:ascii="Barlow Semi Condensed" w:cs="Barlow Semi Condensed" w:eastAsia="Barlow Semi Condensed" w:hAnsi="Barlow Semi Condensed"/>
          <w:b/>
          <w:bCs/>
          <w:sz w:val="24"/>
          <w:szCs w:val="24"/>
        </w:rPr>
        <w:t xml:space="preserve">2169 · Moro bis, uno stato zero.</w:t>
      </w:r>
      <w:r>
        <w:rPr>
          <w:rFonts w:ascii="Barlow Semi Condensed" w:cs="Barlow Semi Condensed" w:eastAsia="Barlow Semi Condensed" w:hAnsi="Barlow Semi Condensed"/>
          <w:sz w:val="24"/>
          <w:szCs w:val="24"/>
        </w:rPr>
        <w:t xml:space="preserve"> Del secondo processo la Fase settima non riferisce alcun accertamento specifico, limitandosi a censirlo nella serie dei cinque. Per questa triangolazione è uno Stato Zero non ancora verbalizzato: nessuna fonte del corpus dice se il nome vi compaia, in qualunque veste. La sede che lo chiuderebbe è quella indicata dall'agenda di ricerca al blocco 37, i fascicoli integrali dei processi romani, da censire foglio per foglio.</w:t>
      </w:r>
    </w:p>
    <w:p>
      <w:pPr>
        <w:spacing w:after="120" w:line="276"/>
        <w:jc w:val="both"/>
      </w:pPr>
      <w:r>
        <w:rPr>
          <w:rFonts w:ascii="Barlow Semi Condensed" w:cs="Barlow Semi Condensed" w:eastAsia="Barlow Semi Condensed" w:hAnsi="Barlow Semi Condensed"/>
          <w:b/>
          <w:bCs/>
          <w:sz w:val="24"/>
          <w:szCs w:val="24"/>
        </w:rPr>
        <w:t xml:space="preserve">2170 · Moro ter, e la pietra di paragone.</w:t>
      </w:r>
      <w:r>
        <w:rPr>
          <w:rFonts w:ascii="Barlow Semi Condensed" w:cs="Barlow Semi Condensed" w:eastAsia="Barlow Semi Condensed" w:hAnsi="Barlow Semi Condensed"/>
          <w:sz w:val="24"/>
          <w:szCs w:val="24"/>
        </w:rPr>
        <w:t xml:space="preserve"> Nel terzo processo maturò, nel 1988, l'assoluzione di Rita Algranati per i fatti di via Fani, che i nove cantieri custodiscono al blocco 795 come regola delle regole: gli assolti restano assolti. La regola opera anche in direzione inversa, e questa serie la usa così — chi non fu mai imputato non può essere trattato peggio di chi fu assolto, cioè non può essere trattato affatto come imputabile.</w:t>
      </w:r>
    </w:p>
    <w:p>
      <w:pPr>
        <w:spacing w:after="120" w:line="276"/>
        <w:jc w:val="both"/>
      </w:pPr>
      <w:r>
        <w:rPr>
          <w:rFonts w:ascii="Barlow Semi Condensed" w:cs="Barlow Semi Condensed" w:eastAsia="Barlow Semi Condensed" w:hAnsi="Barlow Semi Condensed"/>
          <w:b/>
          <w:bCs/>
          <w:sz w:val="24"/>
          <w:szCs w:val="24"/>
        </w:rPr>
        <w:t xml:space="preserve">2171 · Moro quater, un'ancora datata.</w:t>
      </w:r>
      <w:r>
        <w:rPr>
          <w:rFonts w:ascii="Barlow Semi Condensed" w:cs="Barlow Semi Condensed" w:eastAsia="Barlow Semi Condensed" w:hAnsi="Barlow Semi Condensed"/>
          <w:sz w:val="24"/>
          <w:szCs w:val="24"/>
        </w:rPr>
        <w:t xml:space="preserve"> Per il quarto processo il capitolo 56 fissa il primo grado del 1994 e la Cassazione del 14 maggio 1997, con l'accertamento della responsabilità di Alvaro Lojacono per l'intero arco 16 marzo-9 maggio. La data è confermata come ancora anche dal blocco 791 dei cantieri. Serve qui come metro di forma: così si scrive una responsabilità accertata — un nome, una condotta, un arco temporale, una sentenza definitiva.</w:t>
      </w:r>
    </w:p>
    <w:p>
      <w:pPr>
        <w:spacing w:after="120" w:line="276"/>
        <w:jc w:val="both"/>
      </w:pPr>
      <w:r>
        <w:rPr>
          <w:rFonts w:ascii="Barlow Semi Condensed" w:cs="Barlow Semi Condensed" w:eastAsia="Barlow Semi Condensed" w:hAnsi="Barlow Semi Condensed"/>
          <w:b/>
          <w:bCs/>
          <w:sz w:val="24"/>
          <w:szCs w:val="24"/>
        </w:rPr>
        <w:t xml:space="preserve">2172 · Moro quinquies, e il registro che cresce.</w:t>
      </w:r>
      <w:r>
        <w:rPr>
          <w:rFonts w:ascii="Barlow Semi Condensed" w:cs="Barlow Semi Condensed" w:eastAsia="Barlow Semi Condensed" w:hAnsi="Barlow Semi Condensed"/>
          <w:sz w:val="24"/>
          <w:szCs w:val="24"/>
        </w:rPr>
        <w:t xml:space="preserve"> Il quinto processo, primo grado 16 luglio 1996 e definitivo nel 1999, iscrisse Germano Maccari come quarto uomo di via Montalcini e Raimondo Etro per le fasi logistiche. Il blocco 840 dei cantieri ne trae la lezione istituzionale: il registro può crescere a vent'anni dai fatti, ma solo per giudicato, mai per suggestione. Nessuna crescita del registro, in quarant'anni, ha mai riguardato il versante estero del caso.</w:t>
      </w:r>
    </w:p>
    <w:p>
      <w:pPr>
        <w:spacing w:after="120" w:line="276"/>
        <w:jc w:val="both"/>
      </w:pPr>
      <w:r>
        <w:rPr>
          <w:rFonts w:ascii="Barlow Semi Condensed" w:cs="Barlow Semi Condensed" w:eastAsia="Barlow Semi Condensed" w:hAnsi="Barlow Semi Condensed"/>
          <w:b/>
          <w:bCs/>
          <w:sz w:val="24"/>
          <w:szCs w:val="24"/>
        </w:rPr>
        <w:t xml:space="preserve">2173 · Le motivazioni integrali come bersaglio.</w:t>
      </w:r>
      <w:r>
        <w:rPr>
          <w:rFonts w:ascii="Barlow Semi Condensed" w:cs="Barlow Semi Condensed" w:eastAsia="Barlow Semi Condensed" w:hAnsi="Barlow Semi Condensed"/>
          <w:sz w:val="24"/>
          <w:szCs w:val="24"/>
        </w:rPr>
        <w:t xml:space="preserve"> Il blocco 792 dei nove cantieri chiede la biblioteca del giudicato: le motivazioni integrali di ogni grado di ogni processo, raccolte e indicizzate, in raccordo col blocco 38 dell'agenda. Per questa serie il bersaglio si specializza in una domanda sola: nelle motivazioni, il versante internazionale è argomentato, respinto o taciuto? La risposta cambia il grado dello Stato Zero, e nessuno l'ha ancora cercata in modo sistematico.</w:t>
      </w:r>
    </w:p>
    <w:p>
      <w:pPr>
        <w:spacing w:after="120" w:line="276"/>
        <w:jc w:val="both"/>
      </w:pPr>
      <w:r>
        <w:rPr>
          <w:rFonts w:ascii="Barlow Semi Condensed" w:cs="Barlow Semi Condensed" w:eastAsia="Barlow Semi Condensed" w:hAnsi="Barlow Semi Condensed"/>
          <w:b/>
          <w:bCs/>
          <w:sz w:val="24"/>
          <w:szCs w:val="24"/>
        </w:rPr>
        <w:t xml:space="preserve">2174 · Il giacimento digitale, una stringa.</w:t>
      </w:r>
      <w:r>
        <w:rPr>
          <w:rFonts w:ascii="Barlow Semi Condensed" w:cs="Barlow Semi Condensed" w:eastAsia="Barlow Semi Condensed" w:hAnsi="Barlow Semi Condensed"/>
          <w:sz w:val="24"/>
          <w:szCs w:val="24"/>
        </w:rPr>
        <w:t xml:space="preserve"> Gli atti dei cinque processi, custoditi alla Corte d'assise di Roma, sono stati riordinati e digitalizzati sotto il coordinamento dell'Archivio di Stato di Roma: è il fatto verificato ai blocchi 341 e 911 dei cantieri. La digitalizzazione rende eseguibile un accertamento prima impraticabile, cioè la ricerca del nome su milioni di pagine. Finché non è eseguita, l'assenza qui dichiarata è presunta e non accertata.</w:t>
      </w:r>
    </w:p>
    <w:p>
      <w:pPr>
        <w:spacing w:after="120" w:line="276"/>
        <w:jc w:val="both"/>
      </w:pPr>
      <w:r>
        <w:rPr>
          <w:rFonts w:ascii="Barlow Semi Condensed" w:cs="Barlow Semi Condensed" w:eastAsia="Barlow Semi Condensed" w:hAnsi="Barlow Semi Condensed"/>
          <w:b/>
          <w:bCs/>
          <w:sz w:val="24"/>
          <w:szCs w:val="24"/>
        </w:rPr>
        <w:t xml:space="preserve">2175 · Nessuna rogatoria, per quanto consta.</w:t>
      </w:r>
      <w:r>
        <w:rPr>
          <w:rFonts w:ascii="Barlow Semi Condensed" w:cs="Barlow Semi Condensed" w:eastAsia="Barlow Semi Condensed" w:hAnsi="Barlow Semi Condensed"/>
          <w:sz w:val="24"/>
          <w:szCs w:val="24"/>
        </w:rPr>
        <w:t xml:space="preserve"> Il corpus non registra alcuna rogatoria internazionale, in alcuno dei cinque processi, diretta agli Stati Uniti e nominante la persona. È uno Stato Zero da verbalizzare con la sua sede: i fascicoli integrali dei processi romani, blocco 37 dell'agenda, dove le richieste di assistenza giudiziaria e i loro esiti sono conservati per atto dovuto. Un diniego, se esistesse, sarebbe anch'esso un documento acquisibile.</w:t>
      </w:r>
    </w:p>
    <w:p>
      <w:pPr>
        <w:spacing w:after="120" w:line="276"/>
        <w:jc w:val="both"/>
      </w:pPr>
      <w:r>
        <w:rPr>
          <w:rFonts w:ascii="Barlow Semi Condensed" w:cs="Barlow Semi Condensed" w:eastAsia="Barlow Semi Condensed" w:hAnsi="Barlow Semi Condensed"/>
          <w:b/>
          <w:bCs/>
          <w:sz w:val="24"/>
          <w:szCs w:val="24"/>
        </w:rPr>
        <w:t xml:space="preserve">2176 · La richiesta del 1983 senza seguito.</w:t>
      </w:r>
      <w:r>
        <w:rPr>
          <w:rFonts w:ascii="Barlow Semi Condensed" w:cs="Barlow Semi Condensed" w:eastAsia="Barlow Semi Condensed" w:hAnsi="Barlow Semi Condensed"/>
          <w:sz w:val="24"/>
          <w:szCs w:val="24"/>
        </w:rPr>
        <w:t xml:space="preserve"> Non fu mai sentito dai magistrati italiani, e la richiesta informale del 1983 non ebbe seguito: lo accerta la Nota di revisione numero due. Per il registro giudiziario è il dato decisivo — non esiste un verbale d'interrogatorio, dunque non esiste alcuna dichiarazione resa da lui in sede giudiziaria italiana. Bersaglio: la corrispondenza dell'ufficio istruzione romano di quell'anno, per stabilirne forma ed esito.</w:t>
      </w:r>
    </w:p>
    <w:p>
      <w:pPr>
        <w:spacing w:after="120" w:line="276"/>
        <w:jc w:val="both"/>
      </w:pPr>
      <w:r>
        <w:rPr>
          <w:rFonts w:ascii="Barlow Semi Condensed" w:cs="Barlow Semi Condensed" w:eastAsia="Barlow Semi Condensed" w:hAnsi="Barlow Semi Condensed"/>
          <w:b/>
          <w:bCs/>
          <w:sz w:val="24"/>
          <w:szCs w:val="24"/>
        </w:rPr>
        <w:t xml:space="preserve">2177 · Il vuoto personificato, e il suo gemello.</w:t>
      </w:r>
      <w:r>
        <w:rPr>
          <w:rFonts w:ascii="Barlow Semi Condensed" w:cs="Barlow Semi Condensed" w:eastAsia="Barlow Semi Condensed" w:hAnsi="Barlow Semi Condensed"/>
          <w:sz w:val="24"/>
          <w:szCs w:val="24"/>
        </w:rPr>
        <w:t xml:space="preserve"> I nove cantieri chiamano vuoto documentale personificato la posizione di Alessio Casimirri, l'unico del registro senza neppure un verbale d'interrogatorio, al blocco 833. La formula illumina per contrasto: là manca il verbale di un condannato definitivo, qui manca il verbale di chi non fu mai imputato. Nel primo caso il vuoto è una pendenza esecutiva; nel secondo è la condizione ordinaria di un estraneo al procedimento.</w:t>
      </w:r>
    </w:p>
    <w:p>
      <w:pPr>
        <w:spacing w:after="120" w:line="276"/>
        <w:jc w:val="both"/>
      </w:pPr>
      <w:r>
        <w:rPr>
          <w:rFonts w:ascii="Barlow Semi Condensed" w:cs="Barlow Semi Condensed" w:eastAsia="Barlow Semi Condensed" w:hAnsi="Barlow Semi Condensed"/>
          <w:b/>
          <w:bCs/>
          <w:sz w:val="24"/>
          <w:szCs w:val="24"/>
        </w:rPr>
        <w:t xml:space="preserve">2178 · L'articolo 82 e il suo limite.</w:t>
      </w:r>
      <w:r>
        <w:rPr>
          <w:rFonts w:ascii="Barlow Semi Condensed" w:cs="Barlow Semi Condensed" w:eastAsia="Barlow Semi Condensed" w:hAnsi="Barlow Semi Condensed"/>
          <w:sz w:val="24"/>
          <w:szCs w:val="24"/>
        </w:rPr>
        <w:t xml:space="preserve"> Il capitolo 57 enuncia con esattezza il peso di una Commissione: gli strumenti dell'autorità giudiziaria per Costituzione, non la funzione del giudice. Non emette sentenze, non accerta responsabilità penali, non condanna né assolve. Ne discende che nessuna conferma parlamentare della testimonianza del 1982 potrebbe promuoverla a fatto provato: la promuoverebbe, al più, da testimonianza contestata a testimonianza contestata raccolta due volte in due sedi.</w:t>
      </w:r>
    </w:p>
    <w:p>
      <w:pPr>
        <w:spacing w:after="120" w:line="276"/>
        <w:jc w:val="both"/>
      </w:pPr>
      <w:r>
        <w:rPr>
          <w:rFonts w:ascii="Barlow Semi Condensed" w:cs="Barlow Semi Condensed" w:eastAsia="Barlow Semi Condensed" w:hAnsi="Barlow Semi Condensed"/>
          <w:b/>
          <w:bCs/>
          <w:sz w:val="24"/>
          <w:szCs w:val="24"/>
        </w:rPr>
        <w:t xml:space="preserve">2179 · Grado B, nelle due direzioni.</w:t>
      </w:r>
      <w:r>
        <w:rPr>
          <w:rFonts w:ascii="Barlow Semi Condensed" w:cs="Barlow Semi Condensed" w:eastAsia="Barlow Semi Condensed" w:hAnsi="Barlow Semi Condensed"/>
          <w:sz w:val="24"/>
          <w:szCs w:val="24"/>
        </w:rPr>
        <w:t xml:space="preserve"> Il blocco 703 dell'opera prima fissa la regola nei due sensi: non si promuove un accertamento parlamentare a prova, e non lo si degrada a opinione. Applicata qui, la regola impedisce sia di trattare l'audizione del 1° agosto 1980 come una sentenza, sia di liquidarla come chiacchiera. Resta ciò che è: l'atto di un organo dello Stato, con il valore che l'ordinamento gli assegna e non oltre.</w:t>
      </w:r>
    </w:p>
    <w:p>
      <w:pPr>
        <w:spacing w:after="120" w:line="276"/>
        <w:jc w:val="both"/>
      </w:pPr>
      <w:r>
        <w:rPr>
          <w:rFonts w:ascii="Barlow Semi Condensed" w:cs="Barlow Semi Condensed" w:eastAsia="Barlow Semi Condensed" w:hAnsi="Barlow Semi Condensed"/>
          <w:b/>
          <w:bCs/>
          <w:sz w:val="24"/>
          <w:szCs w:val="24"/>
        </w:rPr>
        <w:t xml:space="preserve">2180 · La legge 82 e il perimetro.</w:t>
      </w:r>
      <w:r>
        <w:rPr>
          <w:rFonts w:ascii="Barlow Semi Condensed" w:cs="Barlow Semi Condensed" w:eastAsia="Barlow Semi Condensed" w:hAnsi="Barlow Semi Condensed"/>
          <w:sz w:val="24"/>
          <w:szCs w:val="24"/>
        </w:rPr>
        <w:t xml:space="preserve"> La Commissione Moro 2 nacque con la legge 30 maggio 2014, numero 82, si costituì il 2 ottobre 2014 sotto la presidenza di Giuseppe Fioroni e chiuse con la relazione approvata il 6 dicembre 2017. Il perimetro dell'inchiesta era il rapimento e la morte di Aldo Moro. Bersaglio preliminare: stabilire se quel perimetro, come definito dalla legge istitutiva, comprendesse espressamente il versante estero della vicenda.</w:t>
      </w:r>
    </w:p>
    <w:p>
      <w:pPr>
        <w:spacing w:after="120" w:line="276"/>
        <w:jc w:val="both"/>
      </w:pPr>
      <w:r>
        <w:rPr>
          <w:rFonts w:ascii="Barlow Semi Condensed" w:cs="Barlow Semi Condensed" w:eastAsia="Barlow Semi Condensed" w:hAnsi="Barlow Semi Condensed"/>
          <w:b/>
          <w:bCs/>
          <w:sz w:val="24"/>
          <w:szCs w:val="24"/>
        </w:rPr>
        <w:t xml:space="preserve">2181 · Doc. XXIII n. 29, l'indice.</w:t>
      </w:r>
      <w:r>
        <w:rPr>
          <w:rFonts w:ascii="Barlow Semi Condensed" w:cs="Barlow Semi Condensed" w:eastAsia="Barlow Semi Condensed" w:hAnsi="Barlow Semi Condensed"/>
          <w:sz w:val="24"/>
          <w:szCs w:val="24"/>
        </w:rPr>
        <w:t xml:space="preserve"> La relazione finale porta la segnatura Doc. XXIII, numero 29, della XVII legislatura. L'accertamento che questa serie chiede è enumerativo e chiudibile in una giornata di lavoro: l'indice dei nomi e l'apparato di note della relazione contengono il nome, sì o no? Sede: Archivio storico della Camera dei deputati. Finché la verifica non è compiuta, si scriva Stato Zero e non si scriva nient'altro.</w:t>
      </w:r>
    </w:p>
    <w:p>
      <w:pPr>
        <w:spacing w:after="120" w:line="276"/>
        <w:jc w:val="both"/>
      </w:pPr>
      <w:r>
        <w:rPr>
          <w:rFonts w:ascii="Barlow Semi Condensed" w:cs="Barlow Semi Condensed" w:eastAsia="Barlow Semi Condensed" w:hAnsi="Barlow Semi Condensed"/>
          <w:b/>
          <w:bCs/>
          <w:sz w:val="24"/>
          <w:szCs w:val="24"/>
        </w:rPr>
        <w:t xml:space="preserve">2182 · Le ventimila pagine desecretate.</w:t>
      </w:r>
      <w:r>
        <w:rPr>
          <w:rFonts w:ascii="Barlow Semi Condensed" w:cs="Barlow Semi Condensed" w:eastAsia="Barlow Semi Condensed" w:hAnsi="Barlow Semi Condensed"/>
          <w:sz w:val="24"/>
          <w:szCs w:val="24"/>
        </w:rPr>
        <w:t xml:space="preserve"> Il blocco 52 dell'agenda censisce circa ventimila pagine della Commissione Moro 2 rese consultabili online dall'Archivio storico della Camera, e chiede lo spoglio sistematico con la griglia dei quesiti, non lo scorrimento per curiosità. Per questa serie la griglia ha una voce sola: ogni occorrenza del nome, con la sede dell'atto e la qualità di chi la pronuncia. Il rendimento atteso è basso; va prodotto ugualmente.</w:t>
      </w:r>
    </w:p>
    <w:p>
      <w:pPr>
        <w:spacing w:after="120" w:line="276"/>
        <w:jc w:val="both"/>
      </w:pPr>
      <w:r>
        <w:rPr>
          <w:rFonts w:ascii="Barlow Semi Condensed" w:cs="Barlow Semi Condensed" w:eastAsia="Barlow Semi Condensed" w:hAnsi="Barlow Semi Condensed"/>
          <w:b/>
          <w:bCs/>
          <w:sz w:val="24"/>
          <w:szCs w:val="24"/>
        </w:rPr>
        <w:t xml:space="preserve">2183 · Il fondo alla Camera come sede.</w:t>
      </w:r>
      <w:r>
        <w:rPr>
          <w:rFonts w:ascii="Barlow Semi Condensed" w:cs="Barlow Semi Condensed" w:eastAsia="Barlow Semi Condensed" w:hAnsi="Barlow Semi Condensed"/>
          <w:sz w:val="24"/>
          <w:szCs w:val="24"/>
        </w:rPr>
        <w:t xml:space="preserve"> Il blocco 46 dell'agenda identifica il fondo della Commissione Moro 2 presso l'Archivio storico della Camera come il giacimento istruttorio più recente e più tecnico del caso, con perimetro, serie e strumenti di ricerca. È la sede che chiuderebbe tre degli Stati Zero di questa serie: l'indice della relazione, gli stenografici delle audizioni, e l'eventuale corrispondenza della Commissione con amministrazioni straniere.</w:t>
      </w:r>
    </w:p>
    <w:p>
      <w:pPr>
        <w:spacing w:after="120" w:line="276"/>
        <w:jc w:val="both"/>
      </w:pPr>
      <w:r>
        <w:rPr>
          <w:rFonts w:ascii="Barlow Semi Condensed" w:cs="Barlow Semi Condensed" w:eastAsia="Barlow Semi Condensed" w:hAnsi="Barlow Semi Condensed"/>
          <w:b/>
          <w:bCs/>
          <w:sz w:val="24"/>
          <w:szCs w:val="24"/>
        </w:rPr>
        <w:t xml:space="preserve">2184 · Il portale, e ciò che non contiene.</w:t>
      </w:r>
      <w:r>
        <w:rPr>
          <w:rFonts w:ascii="Barlow Semi Condensed" w:cs="Barlow Semi Condensed" w:eastAsia="Barlow Semi Condensed" w:hAnsi="Barlow Semi Condensed"/>
          <w:sz w:val="24"/>
          <w:szCs w:val="24"/>
        </w:rPr>
        <w:t xml:space="preserve"> Al portale delle inchieste della Camera, per la XVII legislatura, rinvia il capitolo 57. Un portale pubblico consente una verifica negativa a costo nullo e la rende ripetibile da chiunque: è il modo corretto di dichiarare uno Stato Zero, perché il lettore può rifare il cammino. La verifica va però datata, perché i portali crescono: un'assenza accertata oggi non è un'assenza accertata per sempre.</w:t>
      </w:r>
    </w:p>
    <w:p>
      <w:pPr>
        <w:spacing w:after="120" w:line="276"/>
        <w:jc w:val="both"/>
      </w:pPr>
      <w:r>
        <w:rPr>
          <w:rFonts w:ascii="Barlow Semi Condensed" w:cs="Barlow Semi Condensed" w:eastAsia="Barlow Semi Condensed" w:hAnsi="Barlow Semi Condensed"/>
          <w:b/>
          <w:bCs/>
          <w:sz w:val="24"/>
          <w:szCs w:val="24"/>
        </w:rPr>
        <w:t xml:space="preserve">2185 · Le tre relazioni e la loro forma.</w:t>
      </w:r>
      <w:r>
        <w:rPr>
          <w:rFonts w:ascii="Barlow Semi Condensed" w:cs="Barlow Semi Condensed" w:eastAsia="Barlow Semi Condensed" w:hAnsi="Barlow Semi Condensed"/>
          <w:sz w:val="24"/>
          <w:szCs w:val="24"/>
        </w:rPr>
        <w:t xml:space="preserve"> Tre relazioni approvò la Moro 2, e il capitolo 57 registra che la sua eredità non è una verità sostitutiva ma un fascio di accertamenti puntuali. Il dettaglio conta: un fascio di accertamenti puntuali si spoglia voce per voce, e la voce che riguardasse il versante estero, se esiste, sta in una relazione determinata e in un paragrafo determinato. Bersaglio: stabilire quali, con la segnatura.</w:t>
      </w:r>
    </w:p>
    <w:p>
      <w:pPr>
        <w:spacing w:after="120" w:line="276"/>
        <w:jc w:val="both"/>
      </w:pPr>
      <w:r>
        <w:rPr>
          <w:rFonts w:ascii="Barlow Semi Condensed" w:cs="Barlow Semi Condensed" w:eastAsia="Barlow Semi Condensed" w:hAnsi="Barlow Semi Condensed"/>
          <w:b/>
          <w:bCs/>
          <w:sz w:val="24"/>
          <w:szCs w:val="24"/>
        </w:rPr>
        <w:t xml:space="preserve">2186 · L'audizione del primo agosto 1980.</w:t>
      </w:r>
      <w:r>
        <w:rPr>
          <w:rFonts w:ascii="Barlow Semi Condensed" w:cs="Barlow Semi Condensed" w:eastAsia="Barlow Semi Condensed" w:hAnsi="Barlow Semi Condensed"/>
          <w:sz w:val="24"/>
          <w:szCs w:val="24"/>
        </w:rPr>
        <w:t xml:space="preserve"> Sede e data dell'audizione di Eleonora Chiavarelli Moro davanti alla prima Commissione d'inchiesta sono accertate al punto cinque della Nota di revisione numero due. Quel fondo sta all'Archivio storico del Senato, insieme a quello della Commissione Stragi, come la verifica V-2 dell'agenda di ricerca ha confermato. È lì, e non nelle sintesi giornalistiche, che si legge se in quella sede il nome fu pronunciato e da chi.</w:t>
      </w:r>
    </w:p>
    <w:p>
      <w:pPr>
        <w:spacing w:after="120" w:line="276"/>
        <w:jc w:val="both"/>
      </w:pPr>
      <w:r>
        <w:rPr>
          <w:rFonts w:ascii="Barlow Semi Condensed" w:cs="Barlow Semi Condensed" w:eastAsia="Barlow Semi Condensed" w:hAnsi="Barlow Semi Condensed"/>
          <w:b/>
          <w:bCs/>
          <w:sz w:val="24"/>
          <w:szCs w:val="24"/>
        </w:rPr>
        <w:t xml:space="preserve">2187 · Sede e contenuto non coincidono.</w:t>
      </w:r>
      <w:r>
        <w:rPr>
          <w:rFonts w:ascii="Barlow Semi Condensed" w:cs="Barlow Semi Condensed" w:eastAsia="Barlow Semi Condensed" w:hAnsi="Barlow Semi Condensed"/>
          <w:sz w:val="24"/>
          <w:szCs w:val="24"/>
        </w:rPr>
        <w:t xml:space="preserve"> Il medesimo punto cinque avverte che la frase verbatim circolante è attribuita dalle sintesi alla deposizione del 1982, mentre dell'audizione del 1980 si riporta soprattutto un riferimento a minacce risalenti al 1975 e crescenti. Confondere le due sedi produce una citazione falsa costruita su due premesse entrambe vere. Il rimedio è procedurale e banale: ogni citazione porta con sé la sede, la data e il verbale.</w:t>
      </w:r>
    </w:p>
    <w:p>
      <w:pPr>
        <w:spacing w:after="120" w:line="276"/>
        <w:jc w:val="both"/>
      </w:pPr>
      <w:r>
        <w:rPr>
          <w:rFonts w:ascii="Barlow Semi Condensed" w:cs="Barlow Semi Condensed" w:eastAsia="Barlow Semi Condensed" w:hAnsi="Barlow Semi Condensed"/>
          <w:b/>
          <w:bCs/>
          <w:sz w:val="24"/>
          <w:szCs w:val="24"/>
        </w:rPr>
        <w:t xml:space="preserve">2188 · Il terzo fondo, la Commissione Stragi.</w:t>
      </w:r>
      <w:r>
        <w:rPr>
          <w:rFonts w:ascii="Barlow Semi Condensed" w:cs="Barlow Semi Condensed" w:eastAsia="Barlow Semi Condensed" w:hAnsi="Barlow Semi Condensed"/>
          <w:sz w:val="24"/>
          <w:szCs w:val="24"/>
        </w:rPr>
        <w:t xml:space="preserve"> Fra la Moro 1 e la Moro 2 lavorò la Commissione Stragi, dal 1988 al 2001, il cui fondo è anch'esso all'Archivio storico del Senato. La Fase settima la nomina di passaggio al capitolo 57; la scheda PE-1 di approfondimento-piste-entita.md ne cita lo stenografico 63 per i comitati del Viminale. È il fondo meno interrogato dei tre su questo versante, e perciò il bersaglio con la resa attesa maggiore.</w:t>
      </w:r>
    </w:p>
    <w:p>
      <w:pPr>
        <w:spacing w:after="120" w:line="276"/>
        <w:jc w:val="both"/>
      </w:pPr>
      <w:r>
        <w:rPr>
          <w:rFonts w:ascii="Barlow Semi Condensed" w:cs="Barlow Semi Condensed" w:eastAsia="Barlow Semi Condensed" w:hAnsi="Barlow Semi Condensed"/>
          <w:b/>
          <w:bCs/>
          <w:sz w:val="24"/>
          <w:szCs w:val="24"/>
        </w:rPr>
        <w:t xml:space="preserve">2189 · Il nodo del 18 aprile, non sciolto.</w:t>
      </w:r>
      <w:r>
        <w:rPr>
          <w:rFonts w:ascii="Barlow Semi Condensed" w:cs="Barlow Semi Condensed" w:eastAsia="Barlow Semi Condensed" w:hAnsi="Barlow Semi Condensed"/>
          <w:sz w:val="24"/>
          <w:szCs w:val="24"/>
        </w:rPr>
        <w:t xml:space="preserve"> Il capitolo 60 registra la critica più seria alla Moro 2: essersi concentrata quasi solo sull'agguato di via Fani senza affrontare il nodo del 18 aprile, via Gradoli e il falso comunicato del lago della Duchessa. La Fase settima certifica quella lacuna come tuttora mancante. Il rilievo vale in negativo per noi: dove la Commissione non guardò, la sua assenza di risultato non dice nulla su alcun nome.</w:t>
      </w:r>
    </w:p>
    <w:p>
      <w:pPr>
        <w:spacing w:after="120" w:line="276"/>
        <w:jc w:val="both"/>
      </w:pPr>
      <w:r>
        <w:rPr>
          <w:rFonts w:ascii="Barlow Semi Condensed" w:cs="Barlow Semi Condensed" w:eastAsia="Barlow Semi Condensed" w:hAnsi="Barlow Semi Condensed"/>
          <w:b/>
          <w:bCs/>
          <w:sz w:val="24"/>
          <w:szCs w:val="24"/>
        </w:rPr>
        <w:t xml:space="preserve">2190 · Ciò che l'inchiesta non affrontò.</w:t>
      </w:r>
      <w:r>
        <w:rPr>
          <w:rFonts w:ascii="Barlow Semi Condensed" w:cs="Barlow Semi Condensed" w:eastAsia="Barlow Semi Condensed" w:hAnsi="Barlow Semi Condensed"/>
          <w:sz w:val="24"/>
          <w:szCs w:val="24"/>
        </w:rPr>
        <w:t xml:space="preserve"> Un'inchiesta si giudica anche da ciò che lascia insoluto: è la prima frase del capitolo 60, ed è una regola di lettura applicabile. Applicandola, il silenzio della Moro 2 sul versante estero può avere tre cause — non fu cercato, fu cercato e non trovato, fu trovato e non pubblicato. Solo lo spoglio del fondo distingue le tre; finché non le distingue, non se ne sceglie nessuna.</w:t>
      </w:r>
    </w:p>
    <w:p>
      <w:pPr>
        <w:spacing w:after="120" w:line="276"/>
        <w:jc w:val="both"/>
      </w:pPr>
      <w:r>
        <w:rPr>
          <w:rFonts w:ascii="Barlow Semi Condensed" w:cs="Barlow Semi Condensed" w:eastAsia="Barlow Semi Condensed" w:hAnsi="Barlow Semi Condensed"/>
          <w:b/>
          <w:bCs/>
          <w:sz w:val="24"/>
          <w:szCs w:val="24"/>
        </w:rPr>
        <w:t xml:space="preserve">2191 · I quattro centauri e il salto vietato.</w:t>
      </w:r>
      <w:r>
        <w:rPr>
          <w:rFonts w:ascii="Barlow Semi Condensed" w:cs="Barlow Semi Condensed" w:eastAsia="Barlow Semi Condensed" w:hAnsi="Barlow Semi Condensed"/>
          <w:sz w:val="24"/>
          <w:szCs w:val="24"/>
        </w:rPr>
        <w:t xml:space="preserve"> Il capitolo 58 colloca al grado B le due motociclette e i quattro centauri di via Fani, con la formula della Commissione: elementi da approfondire, non fatti provati. È esattamente il materiale che la pubblicistica converte in presenze straniere. La conversione è vietata due volte: dal grado dichiarato dalla Commissione e dalla regola dell'omologia, perché una presenza non identificata non ha nazionalità finché un documento non gliela dà.</w:t>
      </w:r>
    </w:p>
    <w:p>
      <w:pPr>
        <w:spacing w:after="120" w:line="276"/>
        <w:jc w:val="both"/>
      </w:pPr>
      <w:r>
        <w:rPr>
          <w:rFonts w:ascii="Barlow Semi Condensed" w:cs="Barlow Semi Condensed" w:eastAsia="Barlow Semi Condensed" w:hAnsi="Barlow Semi Condensed"/>
          <w:b/>
          <w:bCs/>
          <w:sz w:val="24"/>
          <w:szCs w:val="24"/>
        </w:rPr>
        <w:t xml:space="preserve">2192 · De Chiara, Marini e il loro peso.</w:t>
      </w:r>
      <w:r>
        <w:rPr>
          <w:rFonts w:ascii="Barlow Semi Condensed" w:cs="Barlow Semi Condensed" w:eastAsia="Barlow Semi Condensed" w:hAnsi="Barlow Semi Condensed"/>
          <w:sz w:val="24"/>
          <w:szCs w:val="24"/>
        </w:rPr>
        <w:t xml:space="preserve"> I due testimoni oculari auditi dopo quarant'anni — Giovanni De Chiara, residente in via Fani 106, e l'ingegner Alessandro Marini, con la motocicletta Honda e i colpi esplosi nella sua direzione — sono acquisizioni di grado B su una dinamica, non su un mandato. Nessuna delle due deposizioni, per quanto il corpus riferisce, tocca il versante internazionale. Stato Zero, con sede negli stenografici della Commissione Moro 2.</w:t>
      </w:r>
    </w:p>
    <w:p>
      <w:pPr>
        <w:spacing w:after="120" w:line="276"/>
        <w:jc w:val="both"/>
      </w:pPr>
      <w:r>
        <w:rPr>
          <w:rFonts w:ascii="Barlow Semi Condensed" w:cs="Barlow Semi Condensed" w:eastAsia="Barlow Semi Condensed" w:hAnsi="Barlow Semi Condensed"/>
          <w:b/>
          <w:bCs/>
          <w:sz w:val="24"/>
          <w:szCs w:val="24"/>
        </w:rPr>
        <w:t xml:space="preserve">2193 · La lezione Marini, fatta protocollo.</w:t>
      </w:r>
      <w:r>
        <w:rPr>
          <w:rFonts w:ascii="Barlow Semi Condensed" w:cs="Barlow Semi Condensed" w:eastAsia="Barlow Semi Condensed" w:hAnsi="Barlow Semi Condensed"/>
          <w:sz w:val="24"/>
          <w:szCs w:val="24"/>
        </w:rPr>
        <w:t xml:space="preserve"> Il blocco 143 del manuale investigativo trasforma il caso Marini in regola: ogni testimone depone con fotografie, planimetrie e verbali d'epoca sul tavolo, e il ricordo si vincola ai documenti invece di sostituirli. La regola si sarebbe applicata anche alla deposizione del 1982, dove un teste de relato riferiva una frase udita da altri: sentirlo col verbale dell'incontro cui la frase è riferita avrebbe cambiato tutto.</w:t>
      </w:r>
    </w:p>
    <w:p>
      <w:pPr>
        <w:spacing w:after="120" w:line="276"/>
        <w:jc w:val="both"/>
      </w:pPr>
      <w:r>
        <w:rPr>
          <w:rFonts w:ascii="Barlow Semi Condensed" w:cs="Barlow Semi Condensed" w:eastAsia="Barlow Semi Condensed" w:hAnsi="Barlow Semi Condensed"/>
          <w:b/>
          <w:bCs/>
          <w:sz w:val="24"/>
          <w:szCs w:val="24"/>
        </w:rPr>
        <w:t xml:space="preserve">2194 · Il Memoriale come testo negoziato.</w:t>
      </w:r>
      <w:r>
        <w:rPr>
          <w:rFonts w:ascii="Barlow Semi Condensed" w:cs="Barlow Semi Condensed" w:eastAsia="Barlow Semi Condensed" w:hAnsi="Barlow Semi Condensed"/>
          <w:sz w:val="24"/>
          <w:szCs w:val="24"/>
        </w:rPr>
        <w:t xml:space="preserve"> Il capitolo 59 accerta al grado B che il cosiddetto Memoriale Morucci fu il risultato di una collaborazione sviluppatasi lungo gli anni Ottanta fra i due brigatisti dissociati e apparati dello Stato. Significa che la principale fonte narrativa interna sul sequestro non è un dato grezzo ma un testo costruito. Chi vi cercasse conferme sul versante estero cercherebbe in un testo che aveva ragioni proprie per non contenerne.</w:t>
      </w:r>
    </w:p>
    <w:p>
      <w:pPr>
        <w:spacing w:after="120" w:line="276"/>
        <w:jc w:val="both"/>
      </w:pPr>
      <w:r>
        <w:rPr>
          <w:rFonts w:ascii="Barlow Semi Condensed" w:cs="Barlow Semi Condensed" w:eastAsia="Barlow Semi Condensed" w:hAnsi="Barlow Semi Condensed"/>
          <w:b/>
          <w:bCs/>
          <w:sz w:val="24"/>
          <w:szCs w:val="24"/>
        </w:rPr>
        <w:t xml:space="preserve">2195 · Chi concorse, e chi non compare.</w:t>
      </w:r>
      <w:r>
        <w:rPr>
          <w:rFonts w:ascii="Barlow Semi Condensed" w:cs="Barlow Semi Condensed" w:eastAsia="Barlow Semi Condensed" w:hAnsi="Barlow Semi Condensed"/>
          <w:sz w:val="24"/>
          <w:szCs w:val="24"/>
        </w:rPr>
        <w:t xml:space="preserve"> Per funzione il capitolo 59 elenca i concorrenti alla genesi del Memoriale: magistrati inquirenti, il SISDE, esponenti politici, una religiosa inviata da Cossiga. L'elenco è italiano per intero. È un dato di questa serie e va scritto: nella ricostruzione parlamentare della fonte interna più importante del caso non compare alcun soggetto straniero, né come partecipante alla negoziazione né come suo destinatario dichiarato.</w:t>
      </w:r>
    </w:p>
    <w:p>
      <w:pPr>
        <w:spacing w:after="120" w:line="276"/>
        <w:jc w:val="both"/>
      </w:pPr>
      <w:r>
        <w:rPr>
          <w:rFonts w:ascii="Barlow Semi Condensed" w:cs="Barlow Semi Condensed" w:eastAsia="Barlow Semi Condensed" w:hAnsi="Barlow Semi Condensed"/>
          <w:b/>
          <w:bCs/>
          <w:sz w:val="24"/>
          <w:szCs w:val="24"/>
        </w:rPr>
        <w:t xml:space="preserve">2196 · Una fonte gestita, e il suo uso.</w:t>
      </w:r>
      <w:r>
        <w:rPr>
          <w:rFonts w:ascii="Barlow Semi Condensed" w:cs="Barlow Semi Condensed" w:eastAsia="Barlow Semi Condensed" w:hAnsi="Barlow Semi Condensed"/>
          <w:sz w:val="24"/>
          <w:szCs w:val="24"/>
        </w:rPr>
        <w:t xml:space="preserve"> Una fonte gestita politicamente va usata sapendo che è tale — non si getta via, si legge con la consapevolezza della genesi: così conclude il capitolo 59, e il blocco 150 del manuale ne fa regola operativa. La conseguenza per noi è simmetrica: dal silenzio del Memoriale sul versante estero non si ricava né conferma né smentita, perché il silenzio di un testo negoziato non è un'osservazione indipendente.</w:t>
      </w:r>
    </w:p>
    <w:p>
      <w:pPr>
        <w:spacing w:after="120" w:line="276"/>
        <w:jc w:val="both"/>
      </w:pPr>
      <w:r>
        <w:rPr>
          <w:rFonts w:ascii="Barlow Semi Condensed" w:cs="Barlow Semi Condensed" w:eastAsia="Barlow Semi Condensed" w:hAnsi="Barlow Semi Condensed"/>
          <w:b/>
          <w:bCs/>
          <w:sz w:val="24"/>
          <w:szCs w:val="24"/>
        </w:rPr>
        <w:t xml:space="preserve">2197 · La formula che la Commissione fece propria.</w:t>
      </w:r>
      <w:r>
        <w:rPr>
          <w:rFonts w:ascii="Barlow Semi Condensed" w:cs="Barlow Semi Condensed" w:eastAsia="Barlow Semi Condensed" w:hAnsi="Barlow Semi Condensed"/>
          <w:sz w:val="24"/>
          <w:szCs w:val="24"/>
        </w:rPr>
        <w:t xml:space="preserve"> Verità dicibile non è espressione del corpus ma della Commissione, che qualificò così quanto si era saputo e che servì a chiudere la stagione del terrorismo: il capitolo 59 lo registra come fatto notevole. Che un organo parlamentare adoperi quel lessico è dato di grado B sulla natura della verità disponibile. Non è l'annuncio di una verità diversa già nota e taciuta.</w:t>
      </w:r>
    </w:p>
    <w:p>
      <w:pPr>
        <w:spacing w:after="120" w:line="276"/>
        <w:jc w:val="both"/>
      </w:pPr>
      <w:r>
        <w:rPr>
          <w:rFonts w:ascii="Barlow Semi Condensed" w:cs="Barlow Semi Condensed" w:eastAsia="Barlow Semi Condensed" w:hAnsi="Barlow Semi Condensed"/>
          <w:b/>
          <w:bCs/>
          <w:sz w:val="24"/>
          <w:szCs w:val="24"/>
        </w:rPr>
        <w:t xml:space="preserve">2198 · Il vuoto non autorizza il nome.</w:t>
      </w:r>
      <w:r>
        <w:rPr>
          <w:rFonts w:ascii="Barlow Semi Condensed" w:cs="Barlow Semi Condensed" w:eastAsia="Barlow Semi Condensed" w:hAnsi="Barlow Semi Condensed"/>
          <w:sz w:val="24"/>
          <w:szCs w:val="24"/>
        </w:rPr>
        <w:t xml:space="preserve"> La Parte terza, al capitolo X, fissa la distinzione capitale: non sappiamo tutto è un fatto accertato; sappiamo che dietro c'è il tale è un'inferenza che il primo non autorizza. Chi riempie il vuoto con un mandante compie, sul piano logico, il gesto del pollo di Popper. È la formulazione più economica del divieto che governa l'intera triangolazione, ed è già scritta dentro il corpus.</w:t>
      </w:r>
    </w:p>
    <w:p>
      <w:pPr>
        <w:spacing w:after="120" w:line="276"/>
        <w:jc w:val="both"/>
      </w:pPr>
      <w:r>
        <w:rPr>
          <w:rFonts w:ascii="Barlow Semi Condensed" w:cs="Barlow Semi Condensed" w:eastAsia="Barlow Semi Condensed" w:hAnsi="Barlow Semi Condensed"/>
          <w:b/>
          <w:bCs/>
          <w:sz w:val="24"/>
          <w:szCs w:val="24"/>
        </w:rPr>
        <w:t xml:space="preserve">2199 · L'ampiezza dell'indicibile non si misura.</w:t>
      </w:r>
      <w:r>
        <w:rPr>
          <w:rFonts w:ascii="Barlow Semi Condensed" w:cs="Barlow Semi Condensed" w:eastAsia="Barlow Semi Condensed" w:hAnsi="Barlow Semi Condensed"/>
          <w:sz w:val="24"/>
          <w:szCs w:val="24"/>
        </w:rPr>
        <w:t xml:space="preserve"> La riga X della tavola del capitolo 61 assegna alla formula il grado B e all'ampiezza dell'indicibile il grado C, con la motivazione che per definizione non è misurabile. Ne segue un divieto quantitativo: nessuno può sostenere che ciò che manca sia grande abbastanza da contenere un mandante estero. Una grandezza non misurabile non sostiene inferenze sulla propria composizione, e questa è una regola generale.</w:t>
      </w:r>
    </w:p>
    <w:p>
      <w:pPr>
        <w:spacing w:after="120" w:line="276"/>
        <w:jc w:val="both"/>
      </w:pPr>
      <w:r>
        <w:rPr>
          <w:rFonts w:ascii="Barlow Semi Condensed" w:cs="Barlow Semi Condensed" w:eastAsia="Barlow Semi Condensed" w:hAnsi="Barlow Semi Condensed"/>
          <w:b/>
          <w:bCs/>
          <w:sz w:val="24"/>
          <w:szCs w:val="24"/>
        </w:rPr>
        <w:t xml:space="preserve">2200 · La stesura originale mai trovata.</w:t>
      </w:r>
      <w:r>
        <w:rPr>
          <w:rFonts w:ascii="Barlow Semi Condensed" w:cs="Barlow Semi Condensed" w:eastAsia="Barlow Semi Condensed" w:hAnsi="Barlow Semi Condensed"/>
          <w:sz w:val="24"/>
          <w:szCs w:val="24"/>
        </w:rPr>
        <w:t xml:space="preserve"> La verifica V-8 dei nove cantieri accerta che gli originali del memoriale, la stesura A, non furono mai trovati, e che la loro distruzione resta dichiarazione di parte. È il più grande Stato Zero documentale del caso. Va detto con precisione: un vuoto di quella misura non prova che vi fosse dentro qualcosa di determinato, e chi vi colloca il versante atlantico sta arredando una stanza che nessuno ha visto.</w:t>
      </w:r>
    </w:p>
    <w:p>
      <w:pPr>
        <w:spacing w:after="120" w:line="276"/>
        <w:jc w:val="both"/>
      </w:pPr>
      <w:r>
        <w:rPr>
          <w:rFonts w:ascii="Barlow Semi Condensed" w:cs="Barlow Semi Condensed" w:eastAsia="Barlow Semi Condensed" w:hAnsi="Barlow Semi Condensed"/>
          <w:b/>
          <w:bCs/>
          <w:sz w:val="24"/>
          <w:szCs w:val="24"/>
        </w:rPr>
        <w:t xml:space="preserve">2201 · Il memoriale davanti alle corti.</w:t>
      </w:r>
      <w:r>
        <w:rPr>
          <w:rFonts w:ascii="Barlow Semi Condensed" w:cs="Barlow Semi Condensed" w:eastAsia="Barlow Semi Condensed" w:hAnsi="Barlow Semi Condensed"/>
          <w:sz w:val="24"/>
          <w:szCs w:val="24"/>
        </w:rPr>
        <w:t xml:space="preserve"> Il blocco 544 dei nove cantieri chiede l'uso giudiziario del corpus: come le corti trattarono il testo, con quali acquisizioni, quali valutazioni di attendibilità, quali usi probatori. La tavola serve a non riscoprire ciò che il giudicato ha già stabilito. Per questa serie diventa un bersaglio negativo: verificare se in quelle valutazioni il versante internazionale sia mai stato dedotto da una parte processuale, e con quale esito.</w:t>
      </w:r>
    </w:p>
    <w:p>
      <w:pPr>
        <w:spacing w:after="120" w:line="276"/>
        <w:jc w:val="both"/>
      </w:pPr>
      <w:r>
        <w:rPr>
          <w:rFonts w:ascii="Barlow Semi Condensed" w:cs="Barlow Semi Condensed" w:eastAsia="Barlow Semi Condensed" w:hAnsi="Barlow Semi Condensed"/>
          <w:b/>
          <w:bCs/>
          <w:sz w:val="24"/>
          <w:szCs w:val="24"/>
        </w:rPr>
        <w:t xml:space="preserve">2202 · Il grado del testo negoziato.</w:t>
      </w:r>
      <w:r>
        <w:rPr>
          <w:rFonts w:ascii="Barlow Semi Condensed" w:cs="Barlow Semi Condensed" w:eastAsia="Barlow Semi Condensed" w:hAnsi="Barlow Semi Condensed"/>
          <w:sz w:val="24"/>
          <w:szCs w:val="24"/>
        </w:rPr>
        <w:t xml:space="preserve"> Il blocco 794 dei cantieri disciplina i gradi dentro il registro: il giudicato è A, le ammissioni dei condannati sono dichiarazioni di parte, la memorialistica resta memorialistica. La scala si applica identica al Memoriale e alle interviste dei tredici. Nessuna dichiarazione resa da un condannato, per quanto circostanziata, può iscrivere un nome nuovo: le dichiarazioni indicano piste, e le piste si verificano su documenti di provenienza.</w:t>
      </w:r>
    </w:p>
    <w:p>
      <w:pPr>
        <w:spacing w:after="120" w:line="276"/>
        <w:jc w:val="both"/>
      </w:pPr>
      <w:r>
        <w:rPr>
          <w:rFonts w:ascii="Barlow Semi Condensed" w:cs="Barlow Semi Condensed" w:eastAsia="Barlow Semi Condensed" w:hAnsi="Barlow Semi Condensed"/>
          <w:b/>
          <w:bCs/>
          <w:sz w:val="24"/>
          <w:szCs w:val="24"/>
        </w:rPr>
        <w:t xml:space="preserve">2203 · Che cosa smentirebbe questa lettura.</w:t>
      </w:r>
      <w:r>
        <w:rPr>
          <w:rFonts w:ascii="Barlow Semi Condensed" w:cs="Barlow Semi Condensed" w:eastAsia="Barlow Semi Condensed" w:hAnsi="Barlow Semi Condensed"/>
          <w:sz w:val="24"/>
          <w:szCs w:val="24"/>
        </w:rPr>
        <w:t xml:space="preserve"> Bersaglio di smentita esplicito: la lettura qui proposta cadrebbe se nelle carte della genesi del Memoriale — atti della Moro 2, corrispondenza dei magistrati inquirenti, documentazione dei servizi versata — comparisse un soggetto straniero come interlocutore della negoziazione. Sarebbe un ponte di piano uno, non una convergenza di cornice. La sede dove cercarlo è nominata; la ricerca non è stata fatta; l'esito atteso resta negativo.</w:t>
      </w:r>
    </w:p>
    <w:p>
      <w:pPr>
        <w:spacing w:after="120" w:line="276"/>
        <w:jc w:val="both"/>
      </w:pPr>
      <w:r>
        <w:rPr>
          <w:rFonts w:ascii="Barlow Semi Condensed" w:cs="Barlow Semi Condensed" w:eastAsia="Barlow Semi Condensed" w:hAnsi="Barlow Semi Condensed"/>
          <w:b/>
          <w:bCs/>
          <w:sz w:val="24"/>
          <w:szCs w:val="24"/>
        </w:rPr>
        <w:t xml:space="preserve">2204 · Questione III davanti al nome.</w:t>
      </w:r>
      <w:r>
        <w:rPr>
          <w:rFonts w:ascii="Barlow Semi Condensed" w:cs="Barlow Semi Condensed" w:eastAsia="Barlow Semi Condensed" w:hAnsi="Barlow Semi Condensed"/>
          <w:sz w:val="24"/>
          <w:szCs w:val="24"/>
        </w:rPr>
        <w:t xml:space="preserve"> La riga III della tavola assegna al giudicato l'esecuzione dell'agguato da parte del commando accertato e alla Commissione le due moto con i due testimoni nuovi, lasciando in colonna C identità e ruolo di eventuali centauri estranei. Fra questa riga e il nome triangolato non esiste ponte di alcun piano. La colonna C contiene ignoti, e un ignoto non si battezza per verosimiglianza né per convenienza narrativa.</w:t>
      </w:r>
    </w:p>
    <w:p>
      <w:pPr>
        <w:spacing w:after="120" w:line="276"/>
        <w:jc w:val="both"/>
      </w:pPr>
      <w:r>
        <w:rPr>
          <w:rFonts w:ascii="Barlow Semi Condensed" w:cs="Barlow Semi Condensed" w:eastAsia="Barlow Semi Condensed" w:hAnsi="Barlow Semi Condensed"/>
          <w:b/>
          <w:bCs/>
          <w:sz w:val="24"/>
          <w:szCs w:val="24"/>
        </w:rPr>
        <w:t xml:space="preserve">2205 · Questione IV, la prigione unica.</w:t>
      </w:r>
      <w:r>
        <w:rPr>
          <w:rFonts w:ascii="Barlow Semi Condensed" w:cs="Barlow Semi Condensed" w:eastAsia="Barlow Semi Condensed" w:hAnsi="Barlow Semi Condensed"/>
          <w:sz w:val="24"/>
          <w:szCs w:val="24"/>
        </w:rPr>
        <w:t xml:space="preserve"> Alla riga IV il giudicato porta il covo di via Montalcini e Maccari quarto uomo, il grado B le ricostruzioni logistiche integrate, il grado C l'eventuale seconda prigione, non provata. Il capitolo 71 della Fase nona è più netto ancora: il giudicato conosce una sola prigione. La riga non ha versante estero, e non lo acquista perché una seconda prigione sarebbe più comoda da collocare altrove.</w:t>
      </w:r>
    </w:p>
    <w:p>
      <w:pPr>
        <w:spacing w:after="120" w:line="276"/>
        <w:jc w:val="both"/>
      </w:pPr>
      <w:r>
        <w:rPr>
          <w:rFonts w:ascii="Barlow Semi Condensed" w:cs="Barlow Semi Condensed" w:eastAsia="Barlow Semi Condensed" w:hAnsi="Barlow Semi Condensed"/>
          <w:b/>
          <w:bCs/>
          <w:sz w:val="24"/>
          <w:szCs w:val="24"/>
        </w:rPr>
        <w:t xml:space="preserve">2206 · Questione V, coincidenza senza spiegazione.</w:t>
      </w:r>
      <w:r>
        <w:rPr>
          <w:rFonts w:ascii="Barlow Semi Condensed" w:cs="Barlow Semi Condensed" w:eastAsia="Barlow Semi Condensed" w:hAnsi="Barlow Semi Condensed"/>
          <w:sz w:val="24"/>
          <w:szCs w:val="24"/>
        </w:rPr>
        <w:t xml:space="preserve"> La riga V è l'unica con entrambe le colonne alte vuote: nessun giudicato risolutivo, non sciolta dalla Commissione, e in C la coincidenza fra la seduta spiritica e l'indirizzo reale del covo, che resta senza spiegazione documentale. È il punto in cui la tentazione del mandante estero è massima e la base documentale minima. La Fase settima la certifica come mancante: certificare è tutto ciò che la disciplina consente.</w:t>
      </w:r>
    </w:p>
    <w:p>
      <w:pPr>
        <w:spacing w:after="120" w:line="276"/>
        <w:jc w:val="both"/>
      </w:pPr>
      <w:r>
        <w:rPr>
          <w:rFonts w:ascii="Barlow Semi Condensed" w:cs="Barlow Semi Condensed" w:eastAsia="Barlow Semi Condensed" w:hAnsi="Barlow Semi Condensed"/>
          <w:b/>
          <w:bCs/>
          <w:sz w:val="24"/>
          <w:szCs w:val="24"/>
        </w:rPr>
        <w:t xml:space="preserve">2207 · Questione VI, e il consulente.</w:t>
      </w:r>
      <w:r>
        <w:rPr>
          <w:rFonts w:ascii="Barlow Semi Condensed" w:cs="Barlow Semi Condensed" w:eastAsia="Barlow Semi Condensed" w:hAnsi="Barlow Semi Condensed"/>
          <w:sz w:val="24"/>
          <w:szCs w:val="24"/>
        </w:rPr>
        <w:t xml:space="preserve"> La riga VI accerta i fatti dei canali di mediazione e documenta il ruolo degli apparati nella gestione, lasciando in C il giudizio storico sulla praticabilità della trattativa. È la riga più vicina a un soggetto statunitense: la Fase nona, al capitolo 74, colloca la presenza di Steve Pieczenik nel comitato di crisi al grado B e le sue dichiarazioni successive al grado C. Presenza documentata, portata da riscontrare.</w:t>
      </w:r>
    </w:p>
    <w:p>
      <w:pPr>
        <w:spacing w:after="120" w:line="276"/>
        <w:jc w:val="both"/>
      </w:pPr>
      <w:r>
        <w:rPr>
          <w:rFonts w:ascii="Barlow Semi Condensed" w:cs="Barlow Semi Condensed" w:eastAsia="Barlow Semi Condensed" w:hAnsi="Barlow Semi Condensed"/>
          <w:b/>
          <w:bCs/>
          <w:sz w:val="24"/>
          <w:szCs w:val="24"/>
        </w:rPr>
        <w:t xml:space="preserve">2208 · La qualificazione delle lettere come atto.</w:t>
      </w:r>
      <w:r>
        <w:rPr>
          <w:rFonts w:ascii="Barlow Semi Condensed" w:cs="Barlow Semi Condensed" w:eastAsia="Barlow Semi Condensed" w:hAnsi="Barlow Semi Condensed"/>
          <w:sz w:val="24"/>
          <w:szCs w:val="24"/>
        </w:rPr>
        <w:t xml:space="preserve"> La scheda PE-1 registra che consulenti del comitato di esperti — organo mai riunito collegialmente — sostennero l'inattendibilità delle lettere di Moro, e ne fa un quesito documentale: in quali atti fu formulata, da chi sottoscritta, con quale circolazione e quali effetti. È il modo corretto di trattare un'influenza straniera documentata: non come regia, ma come atto di cui si cercano la carta, la firma e il protocollo.</w:t>
      </w:r>
    </w:p>
    <w:p>
      <w:pPr>
        <w:spacing w:after="120" w:line="276"/>
        <w:jc w:val="both"/>
      </w:pPr>
      <w:r>
        <w:rPr>
          <w:rFonts w:ascii="Barlow Semi Condensed" w:cs="Barlow Semi Condensed" w:eastAsia="Barlow Semi Condensed" w:hAnsi="Barlow Semi Condensed"/>
          <w:b/>
          <w:bCs/>
          <w:sz w:val="24"/>
          <w:szCs w:val="24"/>
        </w:rPr>
        <w:t xml:space="preserve">2209 · Questione VII, dolo o inefficienza.</w:t>
      </w:r>
      <w:r>
        <w:rPr>
          <w:rFonts w:ascii="Barlow Semi Condensed" w:cs="Barlow Semi Condensed" w:eastAsia="Barlow Semi Condensed" w:hAnsi="Barlow Semi Condensed"/>
          <w:sz w:val="24"/>
          <w:szCs w:val="24"/>
        </w:rPr>
        <w:t xml:space="preserve"> Cronologia dei mancati rinvenimenti accertata in giudicato, analisi della Commissione su ritardi e omissioni al grado B, alternativa fra dolo e inefficienza lasciata indecisa: è la riga VII. La Parte terza avverte che sommare le negligenze finché la quantità dimostra il dolo è vietato dalla Regola di Ferro. Il divieto si estende: nemmeno la somma delle inefficienze italiane produce un mandante straniero.</w:t>
      </w:r>
    </w:p>
    <w:p>
      <w:pPr>
        <w:spacing w:after="120" w:line="276"/>
        <w:jc w:val="both"/>
      </w:pPr>
      <w:r>
        <w:rPr>
          <w:rFonts w:ascii="Barlow Semi Condensed" w:cs="Barlow Semi Condensed" w:eastAsia="Barlow Semi Condensed" w:hAnsi="Barlow Semi Condensed"/>
          <w:b/>
          <w:bCs/>
          <w:sz w:val="24"/>
          <w:szCs w:val="24"/>
        </w:rPr>
        <w:t xml:space="preserve">2210 · Questione VIII, e ciò che manca.</w:t>
      </w:r>
      <w:r>
        <w:rPr>
          <w:rFonts w:ascii="Barlow Semi Condensed" w:cs="Barlow Semi Condensed" w:eastAsia="Barlow Semi Condensed" w:hAnsi="Barlow Semi Condensed"/>
          <w:sz w:val="24"/>
          <w:szCs w:val="24"/>
        </w:rPr>
        <w:t xml:space="preserve"> Ritrovamenti del 1978 e del 1990 accertati, Memoriale come testo negoziato al grado B, e in colonna C ciò che manchi ancora, dichiarato indeterminato: è la riga VIII. Indeterminato è parola precisa — non ignoto, ma non delimitabile. Su un indeterminato non si costruiscono ipotesi di contenuto, e questa serie si vieta di sostenere che fra le carte perdute vi fosse alcunché relativo al versante atlantico.</w:t>
      </w:r>
    </w:p>
    <w:p>
      <w:pPr>
        <w:spacing w:after="120" w:line="276"/>
        <w:jc w:val="both"/>
      </w:pPr>
      <w:r>
        <w:rPr>
          <w:rFonts w:ascii="Barlow Semi Condensed" w:cs="Barlow Semi Condensed" w:eastAsia="Barlow Semi Condensed" w:hAnsi="Barlow Semi Condensed"/>
          <w:b/>
          <w:bCs/>
          <w:sz w:val="24"/>
          <w:szCs w:val="24"/>
        </w:rPr>
        <w:t xml:space="preserve">2211 · Questione IX, il cuore della serie.</w:t>
      </w:r>
      <w:r>
        <w:rPr>
          <w:rFonts w:ascii="Barlow Semi Condensed" w:cs="Barlow Semi Condensed" w:eastAsia="Barlow Semi Condensed" w:hAnsi="Barlow Semi Condensed"/>
          <w:sz w:val="24"/>
          <w:szCs w:val="24"/>
        </w:rPr>
        <w:t xml:space="preserve"> Territorio proprio di questa triangolazione, la riga IX dice tre cose: nessun giudicato, elementi acquisiti senza nesso causale stabilito, regia estera come congettura. La formula elementi acquisiti e nessun nesso causale stabilito è la definizione esatta del piano due della regola dei tre piani. Il corpus, senza adoperare quel lessico, aveva già collocato il versante dove va: convergenza di cornice, mai ponte.</w:t>
      </w:r>
    </w:p>
    <w:p>
      <w:pPr>
        <w:spacing w:after="120" w:line="276"/>
        <w:jc w:val="both"/>
      </w:pPr>
      <w:r>
        <w:rPr>
          <w:rFonts w:ascii="Barlow Semi Condensed" w:cs="Barlow Semi Condensed" w:eastAsia="Barlow Semi Condensed" w:hAnsi="Barlow Semi Condensed"/>
          <w:b/>
          <w:bCs/>
          <w:sz w:val="24"/>
          <w:szCs w:val="24"/>
        </w:rPr>
        <w:t xml:space="preserve">2212 · Questione X, la formula e il grado.</w:t>
      </w:r>
      <w:r>
        <w:rPr>
          <w:rFonts w:ascii="Barlow Semi Condensed" w:cs="Barlow Semi Condensed" w:eastAsia="Barlow Semi Condensed" w:hAnsi="Barlow Semi Condensed"/>
          <w:sz w:val="24"/>
          <w:szCs w:val="24"/>
        </w:rPr>
        <w:t xml:space="preserve"> Priva di colonna A, la riga X assegna al grado B la formula verità dicibile fatta propria dalla Commissione. Il blocco 932 dell'opera prima ne trae la conseguenza generale: la conferma parlamentare di una testimonianza non la promuove a fatto. Per il presunto avvertimento la conseguenza è netta — nemmeno una menzione nella relazione del 2017 lo sposterebbe dal grado B debole in cui la Nota di revisione lo tiene.</w:t>
      </w:r>
    </w:p>
    <w:p>
      <w:pPr>
        <w:spacing w:after="120" w:line="276"/>
        <w:jc w:val="both"/>
      </w:pPr>
      <w:r>
        <w:rPr>
          <w:rFonts w:ascii="Barlow Semi Condensed" w:cs="Barlow Semi Condensed" w:eastAsia="Barlow Semi Condensed" w:hAnsi="Barlow Semi Condensed"/>
          <w:b/>
          <w:bCs/>
          <w:sz w:val="24"/>
          <w:szCs w:val="24"/>
        </w:rPr>
        <w:t xml:space="preserve">2213 · Le colonne non si sommano.</w:t>
      </w:r>
      <w:r>
        <w:rPr>
          <w:rFonts w:ascii="Barlow Semi Condensed" w:cs="Barlow Semi Condensed" w:eastAsia="Barlow Semi Condensed" w:hAnsi="Barlow Semi Condensed"/>
          <w:sz w:val="24"/>
          <w:szCs w:val="24"/>
        </w:rPr>
        <w:t xml:space="preserve"> Regola di lettura della tavola, applicabile da chiunque la usi: le tre colonne di ogni riga non si sommano fra loro né si trasferiscono da riga a riga. Un B della riga VI non rafforza un C della riga IX, e otto C allineati non fanno un B. La tavola è un ordinamento di gradi, non una contabilità di indizi; leggerla come somma la converte nel proprio contrario.</w:t>
      </w:r>
    </w:p>
    <w:p>
      <w:pPr>
        <w:spacing w:after="120" w:line="276"/>
        <w:jc w:val="both"/>
      </w:pPr>
      <w:r>
        <w:rPr>
          <w:rFonts w:ascii="Barlow Semi Condensed" w:cs="Barlow Semi Condensed" w:eastAsia="Barlow Semi Condensed" w:hAnsi="Barlow Semi Condensed"/>
          <w:b/>
          <w:bCs/>
          <w:sz w:val="24"/>
          <w:szCs w:val="24"/>
        </w:rPr>
        <w:t xml:space="preserve">2214 · I tredici, e nessun altro.</w:t>
      </w:r>
      <w:r>
        <w:rPr>
          <w:rFonts w:ascii="Barlow Semi Condensed" w:cs="Barlow Semi Condensed" w:eastAsia="Barlow Semi Condensed" w:hAnsi="Barlow Semi Condensed"/>
          <w:sz w:val="24"/>
          <w:szCs w:val="24"/>
        </w:rPr>
        <w:t xml:space="preserve"> La Parte ottava dei nove cantieri, blocchi 791-880, porta a profondità documentale il registro dei tredici condannati definitivi, con la scheda a tre strati del blocco 804: anagrafe giudiziaria, parola pubblica, bersagli di ricerca. Il blocco 850 chiude la sezione con la formula che vale come regola per noi: si entra solo per giudicato. Il nome triangolato non vi è, perché non esiste la sentenza che ve lo iscriverebbe.</w:t>
      </w:r>
    </w:p>
    <w:p>
      <w:pPr>
        <w:spacing w:after="120" w:line="276"/>
        <w:jc w:val="both"/>
      </w:pPr>
      <w:r>
        <w:rPr>
          <w:rFonts w:ascii="Barlow Semi Condensed" w:cs="Barlow Semi Condensed" w:eastAsia="Barlow Semi Condensed" w:hAnsi="Barlow Semi Condensed"/>
          <w:b/>
          <w:bCs/>
          <w:sz w:val="24"/>
          <w:szCs w:val="24"/>
        </w:rPr>
        <w:t xml:space="preserve">2215 · Il registro cresce solo per giudicato.</w:t>
      </w:r>
      <w:r>
        <w:rPr>
          <w:rFonts w:ascii="Barlow Semi Condensed" w:cs="Barlow Semi Condensed" w:eastAsia="Barlow Semi Condensed" w:hAnsi="Barlow Semi Condensed"/>
          <w:sz w:val="24"/>
          <w:szCs w:val="24"/>
        </w:rPr>
        <w:t xml:space="preserve"> L'espressione è dei cantieri e ricorre ai blocchi 840 e 850. Ha una conseguenza che questa serie deve enunciare per intero: non esiste alcuna via per iscrivere nel registro un nome dopo la morte dell'interessato, avvenuta a Kent, nel Connecticut, il 29 novembre 2023. L'azione penale si estingue con la morte. Sul piano giudiziario la questione è chiusa per legge, non per insufficienza di prove.</w:t>
      </w:r>
    </w:p>
    <w:p>
      <w:pPr>
        <w:spacing w:after="120" w:line="276"/>
        <w:jc w:val="both"/>
      </w:pPr>
      <w:r>
        <w:rPr>
          <w:rFonts w:ascii="Barlow Semi Condensed" w:cs="Barlow Semi Condensed" w:eastAsia="Barlow Semi Condensed" w:hAnsi="Barlow Semi Condensed"/>
          <w:b/>
          <w:bCs/>
          <w:sz w:val="24"/>
          <w:szCs w:val="24"/>
        </w:rPr>
        <w:t xml:space="preserve">2216 · Il perimetro negativo del registro.</w:t>
      </w:r>
      <w:r>
        <w:rPr>
          <w:rFonts w:ascii="Barlow Semi Condensed" w:cs="Barlow Semi Condensed" w:eastAsia="Barlow Semi Condensed" w:hAnsi="Barlow Semi Condensed"/>
          <w:sz w:val="24"/>
          <w:szCs w:val="24"/>
        </w:rPr>
        <w:t xml:space="preserve"> Il blocco 846 dei cantieri chiede il censimento disciplinare di chi non è nel registro e del perché — assoluzioni, archiviazioni, mere congetture — senza nomi oltre gli atti pubblici che li contengono. È la sede naturale in cui la posizione qui triangolata andrebbe iscritta, con la motivazione esatta: mai imputato, mai processato, mai interrogato in sede penale, in alcun Paese e in alcun grado.</w:t>
      </w:r>
    </w:p>
    <w:p>
      <w:pPr>
        <w:spacing w:after="120" w:line="276"/>
        <w:jc w:val="both"/>
      </w:pPr>
      <w:r>
        <w:rPr>
          <w:rFonts w:ascii="Barlow Semi Condensed" w:cs="Barlow Semi Condensed" w:eastAsia="Barlow Semi Condensed" w:hAnsi="Barlow Semi Condensed"/>
          <w:b/>
          <w:bCs/>
          <w:sz w:val="24"/>
          <w:szCs w:val="24"/>
        </w:rPr>
        <w:t xml:space="preserve">2217 · Il registro chiuso e il fascicolo aperto.</w:t>
      </w:r>
      <w:r>
        <w:rPr>
          <w:rFonts w:ascii="Barlow Semi Condensed" w:cs="Barlow Semi Condensed" w:eastAsia="Barlow Semi Condensed" w:hAnsi="Barlow Semi Condensed"/>
          <w:sz w:val="24"/>
          <w:szCs w:val="24"/>
        </w:rPr>
        <w:t xml:space="preserve"> Il blocco 849 spiega la geometria giuridica del caso: il registro chiuso convive con un fascicolo aperto sulle presenze non giudicate, e i due non si toccano. Nessuna domanda del fascicolo riapre le posizioni giudicate; nessun giudicato limita le domande sulle presenze ignote. Ne discende che il versante internazionale è materia del fascicolo aperto e della ricerca storica, e non del registro dei nomi.</w:t>
      </w:r>
    </w:p>
    <w:p>
      <w:pPr>
        <w:spacing w:after="120" w:line="276"/>
        <w:jc w:val="both"/>
      </w:pPr>
      <w:r>
        <w:rPr>
          <w:rFonts w:ascii="Barlow Semi Condensed" w:cs="Barlow Semi Condensed" w:eastAsia="Barlow Semi Condensed" w:hAnsi="Barlow Semi Condensed"/>
          <w:b/>
          <w:bCs/>
          <w:sz w:val="24"/>
          <w:szCs w:val="24"/>
        </w:rPr>
        <w:t xml:space="preserve">2218 · Gli incarichi contro il calendario.</w:t>
      </w:r>
      <w:r>
        <w:rPr>
          <w:rFonts w:ascii="Barlow Semi Condensed" w:cs="Barlow Semi Condensed" w:eastAsia="Barlow Semi Condensed" w:hAnsi="Barlow Semi Condensed"/>
          <w:sz w:val="24"/>
          <w:szCs w:val="24"/>
        </w:rPr>
        <w:t xml:space="preserve"> Dato di anagrafe istituzionale, fissato dall'apparato K: assistente per la sicurezza nazionale dal 20 gennaio 1969 al 3 novembre 1975, Segretario di Stato dal 22 settembre 1973 al 20 gennaio 1977. Il sequestro corre dal 16 marzo al 9 maggio 1978. Nel periodo su cui i cinque processi hanno pronunciato, la persona triangolata non ricopriva alcuna carica pubblica. È un fatto: non un'attenuante, non un'aggravante.</w:t>
      </w:r>
    </w:p>
    <w:p>
      <w:pPr>
        <w:spacing w:after="120" w:line="276"/>
        <w:jc w:val="both"/>
      </w:pPr>
      <w:r>
        <w:rPr>
          <w:rFonts w:ascii="Barlow Semi Condensed" w:cs="Barlow Semi Condensed" w:eastAsia="Barlow Semi Condensed" w:hAnsi="Barlow Semi Condensed"/>
          <w:b/>
          <w:bCs/>
          <w:sz w:val="24"/>
          <w:szCs w:val="24"/>
        </w:rPr>
        <w:t xml:space="preserve">2219 · L'anagrafe, con la sua divergenza.</w:t>
      </w:r>
      <w:r>
        <w:rPr>
          <w:rFonts w:ascii="Barlow Semi Condensed" w:cs="Barlow Semi Condensed" w:eastAsia="Barlow Semi Condensed" w:hAnsi="Barlow Semi Condensed"/>
          <w:sz w:val="24"/>
          <w:szCs w:val="24"/>
        </w:rPr>
        <w:t xml:space="preserve"> Heinz Alfred Kissinger, Fürth 27 maggio 1923, morto a Kent, nel Connecticut, il 29 novembre 2023. La data dell'anglicizzazione resta contesa: le opere di consultazione dicono 1938 senza documenti, il fascicolo d'immigrazione la colloca al 1942-1943. La divergenza si riporta anche qui, dove sembra irrilevante, perché il primo strato della scheda del blocco 804 è l'anagrafe, e un'anagrafe con una casella contesa si dichiara tale.</w:t>
      </w:r>
    </w:p>
    <w:p>
      <w:pPr>
        <w:spacing w:after="120" w:line="276"/>
        <w:jc w:val="both"/>
      </w:pPr>
      <w:r>
        <w:rPr>
          <w:rFonts w:ascii="Barlow Semi Condensed" w:cs="Barlow Semi Condensed" w:eastAsia="Barlow Semi Condensed" w:hAnsi="Barlow Semi Condensed"/>
          <w:b/>
          <w:bCs/>
          <w:sz w:val="24"/>
          <w:szCs w:val="24"/>
        </w:rPr>
        <w:t xml:space="preserve">2220 · Tre strati fuori dal registro.</w:t>
      </w:r>
      <w:r>
        <w:rPr>
          <w:rFonts w:ascii="Barlow Semi Condensed" w:cs="Barlow Semi Condensed" w:eastAsia="Barlow Semi Condensed" w:hAnsi="Barlow Semi Condensed"/>
          <w:sz w:val="24"/>
          <w:szCs w:val="24"/>
        </w:rPr>
        <w:t xml:space="preserve"> Il metodo del blocco 804 si può applicare a chi nel registro non è, purché il primo strato cambi nome: non anagrafe giudiziaria ma anagrafe delle posizioni processuali, che in questo caso è vuota. Restano il secondo strato — la parola pubblica censita e datata, comprese le smentite del 1983 e del 2023 — e il terzo, i bersagli. Uno strato vuoto, dichiarato, vale quanto uno pieno.</w:t>
      </w:r>
    </w:p>
    <w:p>
      <w:pPr>
        <w:spacing w:after="120" w:line="276"/>
        <w:jc w:val="both"/>
      </w:pPr>
      <w:r>
        <w:rPr>
          <w:rFonts w:ascii="Barlow Semi Condensed" w:cs="Barlow Semi Condensed" w:eastAsia="Barlow Semi Condensed" w:hAnsi="Barlow Semi Condensed"/>
          <w:b/>
          <w:bCs/>
          <w:sz w:val="24"/>
          <w:szCs w:val="24"/>
        </w:rPr>
        <w:t xml:space="preserve">2221 · La regola Algranati, letta all'incontrario.</w:t>
      </w:r>
      <w:r>
        <w:rPr>
          <w:rFonts w:ascii="Barlow Semi Condensed" w:cs="Barlow Semi Condensed" w:eastAsia="Barlow Semi Condensed" w:hAnsi="Barlow Semi Condensed"/>
          <w:sz w:val="24"/>
          <w:szCs w:val="24"/>
        </w:rPr>
        <w:t xml:space="preserve"> Il blocco 968 dell'opera prima ricorda che Rita Algranati fu assolta in via definitiva per via Fani e che ricostruzioni di grado B o C non scavalcano un'assoluzione passata in giudicato. La regola protegge chi il racconto pubblico vorrebbe dentro il registro. Letta all'incontrario protegge anche chi non fu mai processato: se non si scavalca un'assoluzione, a maggior ragione non si scavalca l'assenza di un procedimento.</w:t>
      </w:r>
    </w:p>
    <w:p>
      <w:pPr>
        <w:spacing w:after="120" w:line="276"/>
        <w:jc w:val="both"/>
      </w:pPr>
      <w:r>
        <w:rPr>
          <w:rFonts w:ascii="Barlow Semi Condensed" w:cs="Barlow Semi Condensed" w:eastAsia="Barlow Semi Condensed" w:hAnsi="Barlow Semi Condensed"/>
          <w:b/>
          <w:bCs/>
          <w:sz w:val="24"/>
          <w:szCs w:val="24"/>
        </w:rPr>
        <w:t xml:space="preserve">2222 · Il principio personalistico, e la dottrina.</w:t>
      </w:r>
      <w:r>
        <w:rPr>
          <w:rFonts w:ascii="Barlow Semi Condensed" w:cs="Barlow Semi Condensed" w:eastAsia="Barlow Semi Condensed" w:hAnsi="Barlow Semi Condensed"/>
          <w:sz w:val="24"/>
          <w:szCs w:val="24"/>
        </w:rPr>
        <w:t xml:space="preserve"> Il documento aldo-moro-una-guerra-senza-fine-fase-decima-responsabilita-personali.md fonda sul principio personalistico il divieto di far rispondere qualcuno per altri, e la triangolazione dei tredici lo applica al caso Casimirri: la parentela non è canale, la famiglia non risponde del figlio. Lo stesso principio, trasferito a una dottrina o a un ufficio, vieta di far rispondere una persona di ciò che il suo apparato produsse altrove e prima.</w:t>
      </w:r>
    </w:p>
    <w:p>
      <w:pPr>
        <w:spacing w:after="120" w:line="276"/>
        <w:jc w:val="both"/>
      </w:pPr>
      <w:r>
        <w:rPr>
          <w:rFonts w:ascii="Barlow Semi Condensed" w:cs="Barlow Semi Condensed" w:eastAsia="Barlow Semi Condensed" w:hAnsi="Barlow Semi Condensed"/>
          <w:b/>
          <w:bCs/>
          <w:sz w:val="24"/>
          <w:szCs w:val="24"/>
        </w:rPr>
        <w:t xml:space="preserve">2223 · Nessun nome oltre il giudicato.</w:t>
      </w:r>
      <w:r>
        <w:rPr>
          <w:rFonts w:ascii="Barlow Semi Condensed" w:cs="Barlow Semi Condensed" w:eastAsia="Barlow Semi Condensed" w:hAnsi="Barlow Semi Condensed"/>
          <w:sz w:val="24"/>
          <w:szCs w:val="24"/>
        </w:rPr>
        <w:t xml:space="preserve"> Il capitolo 76 della Fase nona elenca ciò che il repertorio rifiuta di contenere: graduatorie di responsabili oltre il giudicato, nomi di viventi come colpevoli di ciò per cui non furono condannati, congetture spacciate per gradi superiori. La Fase settima applica lo stesso divieto allo strato giudiziario. Questa serie lo eredita per intero e non aggiunge, in ottanta blocchi, un solo nome a quelli che le sentenze hanno scritto.</w:t>
      </w:r>
    </w:p>
    <w:p>
      <w:pPr>
        <w:spacing w:after="120" w:line="276"/>
        <w:jc w:val="both"/>
      </w:pPr>
      <w:r>
        <w:rPr>
          <w:rFonts w:ascii="Barlow Semi Condensed" w:cs="Barlow Semi Condensed" w:eastAsia="Barlow Semi Condensed" w:hAnsi="Barlow Semi Condensed"/>
          <w:b/>
          <w:bCs/>
          <w:sz w:val="24"/>
          <w:szCs w:val="24"/>
        </w:rPr>
        <w:t xml:space="preserve">2224 · Che cosa produrrebbe un piano uno.</w:t>
      </w:r>
      <w:r>
        <w:rPr>
          <w:rFonts w:ascii="Barlow Semi Condensed" w:cs="Barlow Semi Condensed" w:eastAsia="Barlow Semi Condensed" w:hAnsi="Barlow Semi Condensed"/>
          <w:sz w:val="24"/>
          <w:szCs w:val="24"/>
        </w:rPr>
        <w:t xml:space="preserve"> Enunciarlo è più utile che ripetere il divieto. Un ponte di piano uno, in questo territorio, sarebbe un atto processuale o parlamentare italiano che documenti un rapporto diretto: una rogatoria con esito, un verbale d'interrogatorio, un documento acquisito agli atti dei cinque processi che nomini la controparte. Nessuno dei tre risulta esistere. Il test dell'omologia è questo e soltanto questo: un documento di provenienza.</w:t>
      </w:r>
    </w:p>
    <w:p>
      <w:pPr>
        <w:spacing w:after="120" w:line="276"/>
        <w:jc w:val="both"/>
      </w:pPr>
      <w:r>
        <w:rPr>
          <w:rFonts w:ascii="Barlow Semi Condensed" w:cs="Barlow Semi Condensed" w:eastAsia="Barlow Semi Condensed" w:hAnsi="Barlow Semi Condensed"/>
          <w:b/>
          <w:bCs/>
          <w:sz w:val="24"/>
          <w:szCs w:val="24"/>
        </w:rPr>
        <w:t xml:space="preserve">2225 · La cornice atlantica, e il suo grado.</w:t>
      </w:r>
      <w:r>
        <w:rPr>
          <w:rFonts w:ascii="Barlow Semi Condensed" w:cs="Barlow Semi Condensed" w:eastAsia="Barlow Semi Condensed" w:hAnsi="Barlow Semi Condensed"/>
          <w:sz w:val="24"/>
          <w:szCs w:val="24"/>
        </w:rPr>
        <w:t xml:space="preserve"> La Parte terza accerta come contesto l'ostilità di settori dell'alleanza atlantica all'ingresso dei comunisti nell'area di governo, e vieta il salto dal contesto alla catena di comando. È la definizione operativa del piano due, convergenza entro la stessa cornice. Quella cornice era condivisa da decine di soggetti fra loro estranei, come osserva il blocco 853 dell'opera prima: un tratto troppo diffuso non raggruppa nulla.</w:t>
      </w:r>
    </w:p>
    <w:p>
      <w:pPr>
        <w:spacing w:after="120" w:line="276"/>
        <w:jc w:val="both"/>
      </w:pPr>
      <w:r>
        <w:rPr>
          <w:rFonts w:ascii="Barlow Semi Condensed" w:cs="Barlow Semi Condensed" w:eastAsia="Barlow Semi Condensed" w:hAnsi="Barlow Semi Condensed"/>
          <w:b/>
          <w:bCs/>
          <w:sz w:val="24"/>
          <w:szCs w:val="24"/>
        </w:rPr>
        <w:t xml:space="preserve">2226 · Il lancio del 30 novembre 2023.</w:t>
      </w:r>
      <w:r>
        <w:rPr>
          <w:rFonts w:ascii="Barlow Semi Condensed" w:cs="Barlow Semi Condensed" w:eastAsia="Barlow Semi Condensed" w:hAnsi="Barlow Semi Condensed"/>
          <w:sz w:val="24"/>
          <w:szCs w:val="24"/>
        </w:rPr>
        <w:t xml:space="preserve"> Il piano tre ha, in questo territorio, una data precisa. La Nota di revisione numero due, al punto sette, accerta che le decine di riprese pressoché identiche dell'episodio risalgono a un unico lancio d'agenzia del 30 novembre 2023, e che il rilancio internazionale del 1982 proviene da una pubblicazione di orientamento cospirazionista, citabile come dato di circolazione e mai come riscontro autonomo.</w:t>
      </w:r>
    </w:p>
    <w:p>
      <w:pPr>
        <w:spacing w:after="120" w:line="276"/>
        <w:jc w:val="both"/>
      </w:pPr>
      <w:r>
        <w:rPr>
          <w:rFonts w:ascii="Barlow Semi Condensed" w:cs="Barlow Semi Condensed" w:eastAsia="Barlow Semi Condensed" w:hAnsi="Barlow Semi Condensed"/>
          <w:b/>
          <w:bCs/>
          <w:sz w:val="24"/>
          <w:szCs w:val="24"/>
        </w:rPr>
        <w:t xml:space="preserve">2227 · La pseudoreplica davanti al giudice.</w:t>
      </w:r>
      <w:r>
        <w:rPr>
          <w:rFonts w:ascii="Barlow Semi Condensed" w:cs="Barlow Semi Condensed" w:eastAsia="Barlow Semi Condensed" w:hAnsi="Barlow Semi Condensed"/>
          <w:sz w:val="24"/>
          <w:szCs w:val="24"/>
        </w:rPr>
        <w:t xml:space="preserve"> Il blocco 882 dell'opera prima chiama pseudoreplica il conteggio di misure non indipendenti come se lo fossero. Il registro giudiziario conosce la stessa insidia sotto altro nome: la testimonianza de relato che risale a una fonte unica non si moltiplica per il numero di chi la riferisce. Una copia non è un riscontro, in archivio come in dibattimento, e il verbale d'udienza è dove la catena si verifica.</w:t>
      </w:r>
    </w:p>
    <w:p>
      <w:pPr>
        <w:spacing w:after="120" w:line="276"/>
        <w:jc w:val="both"/>
      </w:pPr>
      <w:r>
        <w:rPr>
          <w:rFonts w:ascii="Barlow Semi Condensed" w:cs="Barlow Semi Condensed" w:eastAsia="Barlow Semi Condensed" w:hAnsi="Barlow Semi Condensed"/>
          <w:b/>
          <w:bCs/>
          <w:sz w:val="24"/>
          <w:szCs w:val="24"/>
        </w:rPr>
        <w:t xml:space="preserve">2228 · Omologia e analogia nel registro.</w:t>
      </w:r>
      <w:r>
        <w:rPr>
          <w:rFonts w:ascii="Barlow Semi Condensed" w:cs="Barlow Semi Condensed" w:eastAsia="Barlow Semi Condensed" w:hAnsi="Barlow Semi Condensed"/>
          <w:sz w:val="24"/>
          <w:szCs w:val="24"/>
        </w:rPr>
        <w:t xml:space="preserve"> Il test resta uno: un documento di provenienza che nomini la controparte. Dalla somiglianza fra ciò che accadde a Moro e ciò che accadde altrove non discende alcun antenato comune, e i cinque processi non hanno accertato nulla di simile. Il blocco 852 dell'opera prima fissa la traduzione: omologia è piano uno, analogia è piano due, e confonderle genera quasi per intero la pubblicistica atlantica sul caso.</w:t>
      </w:r>
    </w:p>
    <w:p>
      <w:pPr>
        <w:spacing w:after="120" w:line="276"/>
        <w:jc w:val="both"/>
      </w:pPr>
      <w:r>
        <w:rPr>
          <w:rFonts w:ascii="Barlow Semi Condensed" w:cs="Barlow Semi Condensed" w:eastAsia="Barlow Semi Condensed" w:hAnsi="Barlow Semi Condensed"/>
          <w:b/>
          <w:bCs/>
          <w:sz w:val="24"/>
          <w:szCs w:val="24"/>
        </w:rPr>
        <w:t xml:space="preserve">2229 · L'anteriorità come anti-nesso (serie XXIX).</w:t>
      </w:r>
      <w:r>
        <w:rPr>
          <w:rFonts w:ascii="Barlow Semi Condensed" w:cs="Barlow Semi Condensed" w:eastAsia="Barlow Semi Condensed" w:hAnsi="Barlow Semi Condensed"/>
          <w:sz w:val="24"/>
          <w:szCs w:val="24"/>
        </w:rPr>
        <w:t xml:space="preserve"> Il blocco 867 dell'opera prima porta l'esempio più netto: la riunione del Comitato dei 303 dell'11 marzo 1969, edita in FRUS volume XLI documento 180, precede l'ingresso di Moro alla Farnesina e si chiuse all'unanimità nel senso di non riprendere il finanziamento coperto. Non c'è coincidenza, c'è precedenza. Una causa non si colloca dopo il proprio effetto, e nemmeno nove anni prima con altri protagonisti.</w:t>
      </w:r>
    </w:p>
    <w:p>
      <w:pPr>
        <w:spacing w:after="120" w:line="276"/>
        <w:jc w:val="both"/>
      </w:pPr>
      <w:r>
        <w:rPr>
          <w:rFonts w:ascii="Barlow Semi Condensed" w:cs="Barlow Semi Condensed" w:eastAsia="Barlow Semi Condensed" w:hAnsi="Barlow Semi Condensed"/>
          <w:b/>
          <w:bCs/>
          <w:sz w:val="24"/>
          <w:szCs w:val="24"/>
        </w:rPr>
        <w:t xml:space="preserve">2230 · Il verbale del 1974 davanti al registro.</w:t>
      </w:r>
      <w:r>
        <w:rPr>
          <w:rFonts w:ascii="Barlow Semi Condensed" w:cs="Barlow Semi Condensed" w:eastAsia="Barlow Semi Condensed" w:hAnsi="Barlow Semi Condensed"/>
          <w:sz w:val="24"/>
          <w:szCs w:val="24"/>
        </w:rPr>
        <w:t xml:space="preserve"> Il memorandum dello Studio Ovale del 25 settembre 1974 — Leone, Moro, Ford, Kissinger, Scowcroft; FRUS 1969-1976 volume E-15 parte seconda documento 350, seconda edizione riveduta; Ford Library file 1552802 — attesta la posizione sul non poter scambiare informazioni militari con un governo comprendente i comunisti e non contiene alcun ultimatum personale. Non risulta acquisito agli atti di alcuno dei cinque processi Moro.</w:t>
      </w:r>
    </w:p>
    <w:p>
      <w:pPr>
        <w:spacing w:after="120" w:line="276"/>
        <w:jc w:val="both"/>
      </w:pPr>
      <w:r>
        <w:rPr>
          <w:rFonts w:ascii="Barlow Semi Condensed" w:cs="Barlow Semi Condensed" w:eastAsia="Barlow Semi Condensed" w:hAnsi="Barlow Semi Condensed"/>
          <w:b/>
          <w:bCs/>
          <w:sz w:val="24"/>
          <w:szCs w:val="24"/>
        </w:rPr>
        <w:t xml:space="preserve">2231 · Il documento del giorno dopo (serie XXIX).</w:t>
      </w:r>
      <w:r>
        <w:rPr>
          <w:rFonts w:ascii="Barlow Semi Condensed" w:cs="Barlow Semi Condensed" w:eastAsia="Barlow Semi Condensed" w:hAnsi="Barlow Semi Condensed"/>
          <w:sz w:val="24"/>
          <w:szCs w:val="24"/>
        </w:rPr>
        <w:t xml:space="preserve"> Il blocco 863 dell'opera prima segnala che il verbale dell'incontro del 26 settembre 1974 è disponibile alla Ford Library come documento 1552806 e appartiene al medesimo lotto, ma non è stato spogliato. È un bersaglio aperto e va indicato come tale, invece di essere citato come se fosse letto. Chi lo spoglierà dichiari l'esito qualunque sia: anche un verbale che non contenga nulla è un'acquisizione.</w:t>
      </w:r>
    </w:p>
    <w:p>
      <w:pPr>
        <w:spacing w:after="120" w:line="276"/>
        <w:jc w:val="both"/>
      </w:pPr>
      <w:r>
        <w:rPr>
          <w:rFonts w:ascii="Barlow Semi Condensed" w:cs="Barlow Semi Condensed" w:eastAsia="Barlow Semi Condensed" w:hAnsi="Barlow Semi Condensed"/>
          <w:b/>
          <w:bCs/>
          <w:sz w:val="24"/>
          <w:szCs w:val="24"/>
        </w:rPr>
        <w:t xml:space="preserve">2232 · Lo Stato Zero, con le sue sedi.</w:t>
      </w:r>
      <w:r>
        <w:rPr>
          <w:rFonts w:ascii="Barlow Semi Condensed" w:cs="Barlow Semi Condensed" w:eastAsia="Barlow Semi Condensed" w:hAnsi="Barlow Semi Condensed"/>
          <w:sz w:val="24"/>
          <w:szCs w:val="24"/>
        </w:rPr>
        <w:t xml:space="preserve"> Il capitolo 54 della Fase sesta iscrive fra gli Stati Zero il documento che leghi Kissinger-persona, o qualunque apparato straniero nominato, alla catena di comando del delitto: cercato e non trovato. La disciplina delle assenze impone di indicare le sedi. Per questo territorio sono tre: la cancelleria della Corte d'assise di Roma, l'Archivio storico della Camera, l'Archivio storico del Senato. Nessuna delle tre è stata esaurita.</w:t>
      </w:r>
    </w:p>
    <w:p>
      <w:pPr>
        <w:spacing w:after="120" w:line="276"/>
        <w:jc w:val="both"/>
      </w:pPr>
      <w:r>
        <w:rPr>
          <w:rFonts w:ascii="Barlow Semi Condensed" w:cs="Barlow Semi Condensed" w:eastAsia="Barlow Semi Condensed" w:hAnsi="Barlow Semi Condensed"/>
          <w:b/>
          <w:bCs/>
          <w:sz w:val="24"/>
          <w:szCs w:val="24"/>
        </w:rPr>
        <w:t xml:space="preserve">2233 · Il limite dichiarato, ancora aperto.</w:t>
      </w:r>
      <w:r>
        <w:rPr>
          <w:rFonts w:ascii="Barlow Semi Condensed" w:cs="Barlow Semi Condensed" w:eastAsia="Barlow Semi Condensed" w:hAnsi="Barlow Semi Condensed"/>
          <w:sz w:val="24"/>
          <w:szCs w:val="24"/>
        </w:rPr>
        <w:t xml:space="preserve"> L'apparato K, alla voce K-5, dichiara che la campagna non ha potuto leggere i documenti primari: non i resoconti stenografici della Commissione, non i verbali d'udienza del processo. Le date confermate lo sono per convergenza di fonti secondarie e restano da riscontrare sui testi ufficiali. Questa serie eredita quel limite e lo ripete, perché un apparato che tace i propri limiti vale meno di quello che li dichiara.</w:t>
      </w:r>
    </w:p>
    <w:p>
      <w:pPr>
        <w:spacing w:after="120" w:line="276"/>
        <w:jc w:val="both"/>
      </w:pPr>
      <w:r>
        <w:rPr>
          <w:rFonts w:ascii="Barlow Semi Condensed" w:cs="Barlow Semi Condensed" w:eastAsia="Barlow Semi Condensed" w:hAnsi="Barlow Semi Condensed"/>
          <w:b/>
          <w:bCs/>
          <w:sz w:val="24"/>
          <w:szCs w:val="24"/>
        </w:rPr>
        <w:t xml:space="preserve">2234 · Che cosa falsificherebbe questa serie.</w:t>
      </w:r>
      <w:r>
        <w:rPr>
          <w:rFonts w:ascii="Barlow Semi Condensed" w:cs="Barlow Semi Condensed" w:eastAsia="Barlow Semi Condensed" w:hAnsi="Barlow Semi Condensed"/>
          <w:sz w:val="24"/>
          <w:szCs w:val="24"/>
        </w:rPr>
        <w:t xml:space="preserve"> Due cose, e vanno scritte prima di chiudere. Primo: la comparsa, negli atti dei cinque processi o nei fondi delle tre Commissioni, di un documento che nomini la persona come parte di un rapporto operativo; allora un piano uno esisterebbe e questa serie avrebbe sbagliato per difetto. Secondo: l'attribuzione, in un qualunque blocco qui scritto, di una condotta oltre il giudicato; allora avrebbe sbagliato per eccesso.</w:t>
      </w:r>
    </w:p>
    <w:p>
      <w:pPr>
        <w:spacing w:after="120" w:line="276"/>
        <w:jc w:val="both"/>
      </w:pPr>
      <w:r>
        <w:rPr>
          <w:rFonts w:ascii="Barlow Semi Condensed" w:cs="Barlow Semi Condensed" w:eastAsia="Barlow Semi Condensed" w:hAnsi="Barlow Semi Condensed"/>
          <w:b/>
          <w:bCs/>
          <w:sz w:val="24"/>
          <w:szCs w:val="24"/>
        </w:rPr>
        <w:t xml:space="preserve">2235 · La mappa dei confini provati.</w:t>
      </w:r>
      <w:r>
        <w:rPr>
          <w:rFonts w:ascii="Barlow Semi Condensed" w:cs="Barlow Semi Condensed" w:eastAsia="Barlow Semi Condensed" w:hAnsi="Barlow Semi Condensed"/>
          <w:sz w:val="24"/>
          <w:szCs w:val="24"/>
        </w:rPr>
        <w:t xml:space="preserve"> Il congedo del capitolo 61 dice che il caso, dopo cinque processi e due Commissioni, ha un pavimento solido di fatti accertati e un soffitto aperto di questioni documentate, e che riconoscere dove passa la linea è tutto ciò che un'opera onesta può fare. Ottanta blocchi dopo, il bilancio è coerente: un solo contatto documentato, una deposizione indiretta del 1982, e per il resto assenze dichiarate con la loro sede.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trentesima — Il repertorio del caso</w:t>
      </w:r>
    </w:p>
    <w:p>
      <w:pPr>
        <w:spacing w:after="120" w:line="276"/>
        <w:jc w:val="both"/>
      </w:pPr>
      <w:r>
        <w:rPr>
          <w:rFonts w:ascii="Barlow Semi Condensed" w:cs="Barlow Semi Condensed" w:eastAsia="Barlow Semi Condensed" w:hAnsi="Barlow Semi Condensed"/>
          <w:i/>
          <w:iCs/>
          <w:sz w:val="24"/>
          <w:szCs w:val="24"/>
        </w:rPr>
        <w:t xml:space="preserve">Blocchi 2236-2310.</w:t>
      </w:r>
    </w:p>
    <w:p>
      <w:pPr>
        <w:spacing w:after="120" w:line="276"/>
        <w:jc w:val="both"/>
      </w:pPr>
      <w:r>
        <w:rPr>
          <w:rFonts w:ascii="Barlow Semi Condensed" w:cs="Barlow Semi Condensed" w:eastAsia="Barlow Semi Condensed" w:hAnsi="Barlow Semi Condensed"/>
          <w:b/>
          <w:bCs/>
          <w:sz w:val="24"/>
          <w:szCs w:val="24"/>
        </w:rPr>
        <w:t xml:space="preserve">2236 · Un nome, un'occorrenza sola.</w:t>
      </w:r>
      <w:r>
        <w:rPr>
          <w:rFonts w:ascii="Barlow Semi Condensed" w:cs="Barlow Semi Condensed" w:eastAsia="Barlow Semi Condensed" w:hAnsi="Barlow Semi Condensed"/>
          <w:sz w:val="24"/>
          <w:szCs w:val="24"/>
        </w:rPr>
        <w:t xml:space="preserve"> Il conteggio è il primo accertamento della serie e si verifica in un minuto: nel testo della Fase nona il nome Kissinger ricorre una volta soltanto, al capitolo settantaquattresimo, dentro la voce dedicata alla famiglia, in un inciso fra parentesi che rinvia al nodo M-5 di triangolazioni-guevara-moro.md. Nessun'altra ricorrenza nei nove capitoli. Grado dell'accertamento: pieno, perché è misura del testo e non del mondo.</w:t>
      </w:r>
    </w:p>
    <w:p>
      <w:pPr>
        <w:spacing w:after="120" w:line="276"/>
        <w:jc w:val="both"/>
      </w:pPr>
      <w:r>
        <w:rPr>
          <w:rFonts w:ascii="Barlow Semi Condensed" w:cs="Barlow Semi Condensed" w:eastAsia="Barlow Semi Condensed" w:hAnsi="Barlow Semi Condensed"/>
          <w:b/>
          <w:bCs/>
          <w:sz w:val="24"/>
          <w:szCs w:val="24"/>
        </w:rPr>
        <w:t xml:space="preserve">2237 · La scala senza lo Stato Zero.</w:t>
      </w:r>
      <w:r>
        <w:rPr>
          <w:rFonts w:ascii="Barlow Semi Condensed" w:cs="Barlow Semi Condensed" w:eastAsia="Barlow Semi Condensed" w:hAnsi="Barlow Semi Condensed"/>
          <w:sz w:val="24"/>
          <w:szCs w:val="24"/>
        </w:rPr>
        <w:t xml:space="preserve"> Lo statuto premesso al repertorio dichiara quattro gradi — A giudicato, B accertamento, C congettura, F fatto pubblico — e non contempla il segno della Fase sesta, dove il capitolo cinquantaquattresimo iscrive fra gli Stati Zero proprio il documento che legherebbe Kissinger-persona alla catena di comando del delitto. La scala del repertorio non ha dunque casella per lo stato in cui questo nome si trova. Lacuna di strumento, non di ricerca.</w:t>
      </w:r>
    </w:p>
    <w:p>
      <w:pPr>
        <w:spacing w:after="120" w:line="276"/>
        <w:jc w:val="both"/>
      </w:pPr>
      <w:r>
        <w:rPr>
          <w:rFonts w:ascii="Barlow Semi Condensed" w:cs="Barlow Semi Condensed" w:eastAsia="Barlow Semi Condensed" w:hAnsi="Barlow Semi Condensed"/>
          <w:b/>
          <w:bCs/>
          <w:sz w:val="24"/>
          <w:szCs w:val="24"/>
        </w:rPr>
        <w:t xml:space="preserve">2238 · Emendare il repertorio per nota.</w:t>
      </w:r>
      <w:r>
        <w:rPr>
          <w:rFonts w:ascii="Barlow Semi Condensed" w:cs="Barlow Semi Condensed" w:eastAsia="Barlow Semi Condensed" w:hAnsi="Barlow Semi Condensed"/>
          <w:sz w:val="24"/>
          <w:szCs w:val="24"/>
        </w:rPr>
        <w:t xml:space="preserve"> Rimedio proposto, nella forma che l'opera usa per correggersi senza riscritture silenziose: si aggiunga allo statuto della Fase nona una quinta voce, definita come ricerca condotta e chiusa in negativo, con obbligo di indicare accanto la sede d'archivio che la chiuderebbe. Il capitolo settantacinquesimo diventerebbe così capace di ospitare il versante internazionale per quello che è, invece di lasciarlo tutto dentro la lettera C.</w:t>
      </w:r>
    </w:p>
    <w:p>
      <w:pPr>
        <w:spacing w:after="120" w:line="276"/>
        <w:jc w:val="both"/>
      </w:pPr>
      <w:r>
        <w:rPr>
          <w:rFonts w:ascii="Barlow Semi Condensed" w:cs="Barlow Semi Condensed" w:eastAsia="Barlow Semi Condensed" w:hAnsi="Barlow Semi Condensed"/>
          <w:b/>
          <w:bCs/>
          <w:sz w:val="24"/>
          <w:szCs w:val="24"/>
        </w:rPr>
        <w:t xml:space="preserve">2239 · Il perimetro che esclude il documento.</w:t>
      </w:r>
      <w:r>
        <w:rPr>
          <w:rFonts w:ascii="Barlow Semi Condensed" w:cs="Barlow Semi Condensed" w:eastAsia="Barlow Semi Condensed" w:hAnsi="Barlow Semi Condensed"/>
          <w:sz w:val="24"/>
          <w:szCs w:val="24"/>
        </w:rPr>
        <w:t xml:space="preserve"> Si apre il repertorio il sedici marzo millenovecentosettantotto e si chiude il tredici maggio. L'unico atto di piano uno che metta Moro e Kissinger nella stessa stanza, il memorandum dello Studio Ovale del venticinque settembre millenovecentosettantaquattro, file 1552802 della Ford Library e documento 350 di FRUS E-15 parte seconda, cade quattro anni prima di quel perimetro. Territorio e documento non si intersecano: è dato di calendario, non giudizio.</w:t>
      </w:r>
    </w:p>
    <w:p>
      <w:pPr>
        <w:spacing w:after="120" w:line="276"/>
        <w:jc w:val="both"/>
      </w:pPr>
      <w:r>
        <w:rPr>
          <w:rFonts w:ascii="Barlow Semi Condensed" w:cs="Barlow Semi Condensed" w:eastAsia="Barlow Semi Condensed" w:hAnsi="Barlow Semi Condensed"/>
          <w:b/>
          <w:bCs/>
          <w:sz w:val="24"/>
          <w:szCs w:val="24"/>
        </w:rPr>
        <w:t xml:space="preserve">2240 · Che cosa cataloga un repertorio.</w:t>
      </w:r>
      <w:r>
        <w:rPr>
          <w:rFonts w:ascii="Barlow Semi Condensed" w:cs="Barlow Semi Condensed" w:eastAsia="Barlow Semi Condensed" w:hAnsi="Barlow Semi Condensed"/>
          <w:sz w:val="24"/>
          <w:szCs w:val="24"/>
        </w:rPr>
        <w:t xml:space="preserve"> Regola di lettura che governa l'intera serie: un repertorio registra voci, non nessi. Quando il capitolo settantaquattresimo scrive «l'avvertimento di Kissinger riferito», il soggetto della voce è la testimonianza resa dalla famiglia, non l'uomo nominato. Chi legge quell'inciso come una scheda su Kissinger commette un errore di catalogo prima ancora che di storia: il nome vi compare come predicato del racconto altrui, e in nessun altro modo.</w:t>
      </w:r>
    </w:p>
    <w:p>
      <w:pPr>
        <w:spacing w:after="120" w:line="276"/>
        <w:jc w:val="both"/>
      </w:pPr>
      <w:r>
        <w:rPr>
          <w:rFonts w:ascii="Barlow Semi Condensed" w:cs="Barlow Semi Condensed" w:eastAsia="Barlow Semi Condensed" w:hAnsi="Barlow Semi Condensed"/>
          <w:b/>
          <w:bCs/>
          <w:sz w:val="24"/>
          <w:szCs w:val="24"/>
        </w:rPr>
        <w:t xml:space="preserve">2241 · L'elenco chiuso degli autori accertati.</w:t>
      </w:r>
      <w:r>
        <w:rPr>
          <w:rFonts w:ascii="Barlow Semi Condensed" w:cs="Barlow Semi Condensed" w:eastAsia="Barlow Semi Condensed" w:hAnsi="Barlow Semi Condensed"/>
          <w:sz w:val="24"/>
          <w:szCs w:val="24"/>
        </w:rPr>
        <w:t xml:space="preserve"> Chiude l'elenco del capitolo settantesimo una clausola perentoria: oltre quei nomi il repertorio non ne aggiunge. È la disposizione che, meglio di ogni cautela, impedisce la promozione del nome triangolato. Bersaglio di smentita, formulato per intero: cadrebbe soltanto davanti a una sentenza definitiva, italiana o straniera, che attribuisse a un'autorità estera una condotta nel sequestro o nell'eccidio. Nessuna esiste, in nessun grado, in nessun Paese.</w:t>
      </w:r>
    </w:p>
    <w:p>
      <w:pPr>
        <w:spacing w:after="120" w:line="276"/>
        <w:jc w:val="both"/>
      </w:pPr>
      <w:r>
        <w:rPr>
          <w:rFonts w:ascii="Barlow Semi Condensed" w:cs="Barlow Semi Condensed" w:eastAsia="Barlow Semi Condensed" w:hAnsi="Barlow Semi Condensed"/>
          <w:b/>
          <w:bCs/>
          <w:sz w:val="24"/>
          <w:szCs w:val="24"/>
        </w:rPr>
        <w:t xml:space="preserve">2242 · Il testimone che il repertorio non cataloga.</w:t>
      </w:r>
      <w:r>
        <w:rPr>
          <w:rFonts w:ascii="Barlow Semi Condensed" w:cs="Barlow Semi Condensed" w:eastAsia="Barlow Semi Condensed" w:hAnsi="Barlow Semi Condensed"/>
          <w:sz w:val="24"/>
          <w:szCs w:val="24"/>
        </w:rPr>
        <w:t xml:space="preserve"> Verifica lessicale con esito negativo: il cognome Guerzoni non compare in alcuna riga della Fase nona, benché il portavoce di Moro sia il teste principale dell'episodio che il capitolo settantaquattresimo richiama. Il repertorio registra l'avvertimento e omette chi lo riferì. Sede che colmerebbe la voce: i verbali d'udienza della Corte d'assise di Roma per il novembre millenovecentottantadue, negli atti del processo Moro uno.</w:t>
      </w:r>
    </w:p>
    <w:p>
      <w:pPr>
        <w:spacing w:after="120" w:line="276"/>
        <w:jc w:val="both"/>
      </w:pPr>
      <w:r>
        <w:rPr>
          <w:rFonts w:ascii="Barlow Semi Condensed" w:cs="Barlow Semi Condensed" w:eastAsia="Barlow Semi Condensed" w:hAnsi="Barlow Semi Condensed"/>
          <w:b/>
          <w:bCs/>
          <w:sz w:val="24"/>
          <w:szCs w:val="24"/>
        </w:rPr>
        <w:t xml:space="preserve">2243 · Il repertorio precede la sua correzione.</w:t>
      </w:r>
      <w:r>
        <w:rPr>
          <w:rFonts w:ascii="Barlow Semi Condensed" w:cs="Barlow Semi Condensed" w:eastAsia="Barlow Semi Condensed" w:hAnsi="Barlow Semi Condensed"/>
          <w:sz w:val="24"/>
          <w:szCs w:val="24"/>
        </w:rPr>
        <w:t xml:space="preserve"> Cronologia interna al branch, verificabile sui registri del deposito: la Fase nona porta la data del venticinque agosto duemilaventisei, e la Nota di revisione numero due, che aggiunge al nodo M-5 le sette precisazioni sull'avvertimento, è dello stesso giorno ma successiva. Il rinvio del capitolo settantaquattresimo punta quindi a un testo poi emendato. Serve una nota di raccordo: il rimando resta valido, il grado che sottintende no.</w:t>
      </w:r>
    </w:p>
    <w:p>
      <w:pPr>
        <w:spacing w:after="120" w:line="276"/>
        <w:jc w:val="both"/>
      </w:pPr>
      <w:r>
        <w:rPr>
          <w:rFonts w:ascii="Barlow Semi Condensed" w:cs="Barlow Semi Condensed" w:eastAsia="Barlow Semi Condensed" w:hAnsi="Barlow Semi Condensed"/>
          <w:b/>
          <w:bCs/>
          <w:sz w:val="24"/>
          <w:szCs w:val="24"/>
        </w:rPr>
        <w:t xml:space="preserve">2244 · Una cronologia senza estero.</w:t>
      </w:r>
      <w:r>
        <w:rPr>
          <w:rFonts w:ascii="Barlow Semi Condensed" w:cs="Barlow Semi Condensed" w:eastAsia="Barlow Semi Condensed" w:hAnsi="Barlow Semi Condensed"/>
          <w:sz w:val="24"/>
          <w:szCs w:val="24"/>
        </w:rPr>
        <w:t xml:space="preserve"> Nove voci allinea la tavola dei cinquantacinque giorni, dall'agguato ai funerali del tredici maggio, e nessuna di esse è internazionale. Non vi figurano l'arrivo del consulente statunitense, i dispacci alleati, le prese di posizione delle capitali. L'omissione è coerente con lo statuto, che cataloga fatti del caso, ma va dichiarata: il lettore ne ricava che il versante estero non esista, mentre esiste altrove nel corpus e con gradi propri.</w:t>
      </w:r>
    </w:p>
    <w:p>
      <w:pPr>
        <w:spacing w:after="120" w:line="276"/>
        <w:jc w:val="both"/>
      </w:pPr>
      <w:r>
        <w:rPr>
          <w:rFonts w:ascii="Barlow Semi Condensed" w:cs="Barlow Semi Condensed" w:eastAsia="Barlow Semi Condensed" w:hAnsi="Barlow Semi Condensed"/>
          <w:b/>
          <w:bCs/>
          <w:sz w:val="24"/>
          <w:szCs w:val="24"/>
        </w:rPr>
        <w:t xml:space="preserve">2245 · Quattordici mesi di distanza istituzionale.</w:t>
      </w:r>
      <w:r>
        <w:rPr>
          <w:rFonts w:ascii="Barlow Semi Condensed" w:cs="Barlow Semi Condensed" w:eastAsia="Barlow Semi Condensed" w:hAnsi="Barlow Semi Condensed"/>
          <w:sz w:val="24"/>
          <w:szCs w:val="24"/>
        </w:rPr>
        <w:t xml:space="preserve"> Accertamento di grado alto, ricavabile dalle sole date già fissate dall'opera: gli incarichi cessano il venti gennaio millenovecentosettantasette, e il primo evento del repertorio è del sedici marzo millenovecentosettantotto. Fra la fine della capacità d'ufficio e l'inizio del territorio corrono quattordici mesi. Ogni voce della Fase nona è dunque posteriore a ogni potere istituzionale del nome triangolato. Non è argomento risolutivo: è il dato che precede ogni argomento.</w:t>
      </w:r>
    </w:p>
    <w:p>
      <w:pPr>
        <w:spacing w:after="120" w:line="276"/>
        <w:jc w:val="both"/>
      </w:pPr>
      <w:r>
        <w:rPr>
          <w:rFonts w:ascii="Barlow Semi Condensed" w:cs="Barlow Semi Condensed" w:eastAsia="Barlow Semi Condensed" w:hAnsi="Barlow Semi Condensed"/>
          <w:b/>
          <w:bCs/>
          <w:sz w:val="24"/>
          <w:szCs w:val="24"/>
        </w:rPr>
        <w:t xml:space="preserve">2246 · Andreotti quarto non ebbe ministri comunisti.</w:t>
      </w:r>
      <w:r>
        <w:rPr>
          <w:rFonts w:ascii="Barlow Semi Condensed" w:cs="Barlow Semi Condensed" w:eastAsia="Barlow Semi Condensed" w:hAnsi="Barlow Semi Condensed"/>
          <w:sz w:val="24"/>
          <w:szCs w:val="24"/>
        </w:rPr>
        <w:t xml:space="preserve"> Precisazione che taglia l'analogia più diffusa. Il memorandum del millenovecentosettantaquattro parla di un governo che includa i comunisti; il governo insediato il sedici marzo millenovecentosettantotto, che Moro andava a votare, fu un monocolore democristiano con appoggio esterno del Partito comunista. La condizione enunciata quattro anni prima non si verificò alla lettera. Chi lega quel verbale a questa data deve prima spiegare la differenza, e di norma non la nomina.</w:t>
      </w:r>
    </w:p>
    <w:p>
      <w:pPr>
        <w:spacing w:after="120" w:line="276"/>
        <w:jc w:val="both"/>
      </w:pPr>
      <w:r>
        <w:rPr>
          <w:rFonts w:ascii="Barlow Semi Condensed" w:cs="Barlow Semi Condensed" w:eastAsia="Barlow Semi Condensed" w:hAnsi="Barlow Semi Condensed"/>
          <w:b/>
          <w:bCs/>
          <w:sz w:val="24"/>
          <w:szCs w:val="24"/>
        </w:rPr>
        <w:t xml:space="preserve">2247 · Il diciotto aprile visto da Washington.</w:t>
      </w:r>
      <w:r>
        <w:rPr>
          <w:rFonts w:ascii="Barlow Semi Condensed" w:cs="Barlow Semi Condensed" w:eastAsia="Barlow Semi Condensed" w:hAnsi="Barlow Semi Condensed"/>
          <w:sz w:val="24"/>
          <w:szCs w:val="24"/>
        </w:rPr>
        <w:t xml:space="preserve"> Quesito d'archivio con sede e finestra dichiarate: nei Central Foreign Policy Files 1973-1979 conservati ai National Archives di College Park e interrogabili in full-text sul sistema AAD, quali telegrammi dell'ambasciata a Roma datati fra il diciotto e il venti aprile millenovecentosettantotto riferiscono del falso comunicato del lago della Duchessa e della scoperta di via Gradoli? L'esito, anche negativo, si verbalizza con la chiave di ricerca usata.</w:t>
      </w:r>
    </w:p>
    <w:p>
      <w:pPr>
        <w:spacing w:after="120" w:line="276"/>
        <w:jc w:val="both"/>
      </w:pPr>
      <w:r>
        <w:rPr>
          <w:rFonts w:ascii="Barlow Semi Condensed" w:cs="Barlow Semi Condensed" w:eastAsia="Barlow Semi Condensed" w:hAnsi="Barlow Semi Condensed"/>
          <w:b/>
          <w:bCs/>
          <w:sz w:val="24"/>
          <w:szCs w:val="24"/>
        </w:rPr>
        <w:t xml:space="preserve">2248 · Il nove maggio nelle carte di Atlanta.</w:t>
      </w:r>
      <w:r>
        <w:rPr>
          <w:rFonts w:ascii="Barlow Semi Condensed" w:cs="Barlow Semi Condensed" w:eastAsia="Barlow Semi Condensed" w:hAnsi="Barlow Semi Condensed"/>
          <w:sz w:val="24"/>
          <w:szCs w:val="24"/>
        </w:rPr>
        <w:t xml:space="preserve"> Bersaglio secondo, presso la Jimmy Carter Presidential Library: nella collezione National Security Affairs, Brzezinski Material, con il suo Country File per l'Italia degli anni 1977-1981, che cosa contiene il fascicolo dei cinquantacinque giorni alla giornata del ritrovamento di via Caetani? Si cerca un documento di provenienza, non una conferma. La collezione è processata e aperta: l'esito negativo, se tale sarà, è acquisizione e non fallimento.</w:t>
      </w:r>
    </w:p>
    <w:p>
      <w:pPr>
        <w:spacing w:after="120" w:line="276"/>
        <w:jc w:val="both"/>
      </w:pPr>
      <w:r>
        <w:rPr>
          <w:rFonts w:ascii="Barlow Semi Condensed" w:cs="Barlow Semi Condensed" w:eastAsia="Barlow Semi Condensed" w:hAnsi="Barlow Semi Condensed"/>
          <w:b/>
          <w:bCs/>
          <w:sz w:val="24"/>
          <w:szCs w:val="24"/>
        </w:rPr>
        <w:t xml:space="preserve">2249 · Chi rappresentò gli Stati Uniti ai funerali.</w:t>
      </w:r>
      <w:r>
        <w:rPr>
          <w:rFonts w:ascii="Barlow Semi Condensed" w:cs="Barlow Semi Condensed" w:eastAsia="Barlow Semi Condensed" w:hAnsi="Barlow Semi Condensed"/>
          <w:sz w:val="24"/>
          <w:szCs w:val="24"/>
        </w:rPr>
        <w:t xml:space="preserve"> La voce del tredici maggio registra i funerali di Stato in San Giovanni, senza la salma. Manca al repertorio, e sarebbe utile, l'elenco delle delegazioni straniere presenti. Sedi: il cerimoniale della Presidenza della Repubblica e le serie dell'ambasciata statunitense a Roma. Il quesito non allude a nulla; serve a fissare un fatto protocollare oggi assente dal catalogo, e a impedire che l'assenza venga riempita per congettura.</w:t>
      </w:r>
    </w:p>
    <w:p>
      <w:pPr>
        <w:spacing w:after="120" w:line="276"/>
        <w:jc w:val="both"/>
      </w:pPr>
      <w:r>
        <w:rPr>
          <w:rFonts w:ascii="Barlow Semi Condensed" w:cs="Barlow Semi Condensed" w:eastAsia="Barlow Semi Condensed" w:hAnsi="Barlow Semi Condensed"/>
          <w:b/>
          <w:bCs/>
          <w:sz w:val="24"/>
          <w:szCs w:val="24"/>
        </w:rPr>
        <w:t xml:space="preserve">2250 · Nessun preavviso estero del cinque maggio.</w:t>
      </w:r>
      <w:r>
        <w:rPr>
          <w:rFonts w:ascii="Barlow Semi Condensed" w:cs="Barlow Semi Condensed" w:eastAsia="Barlow Semi Condensed" w:hAnsi="Barlow Semi Condensed"/>
          <w:sz w:val="24"/>
          <w:szCs w:val="24"/>
        </w:rPr>
        <w:t xml:space="preserve"> Ricerca condotta nel corpus e chiusa in negativo: fra i documenti censiti dalla scheda PE-5 e nel lotto FOIA R-2021-002xx già lavorato dal corpus, nessun atto di provenienza alleata anticipa l'ultimo comunicato o l'esecuzione. Le withdrawal cards del millenovecentosettantotto contano ciò che è trattenuto senza rivelarlo, e contarle è l'atto: è il solo modo onesto di parlare di ciò che manca.</w:t>
      </w:r>
    </w:p>
    <w:p>
      <w:pPr>
        <w:spacing w:after="120" w:line="276"/>
        <w:jc w:val="both"/>
      </w:pPr>
      <w:r>
        <w:rPr>
          <w:rFonts w:ascii="Barlow Semi Condensed" w:cs="Barlow Semi Condensed" w:eastAsia="Barlow Semi Condensed" w:hAnsi="Barlow Semi Condensed"/>
          <w:b/>
          <w:bCs/>
          <w:sz w:val="24"/>
          <w:szCs w:val="24"/>
        </w:rPr>
        <w:t xml:space="preserve">2251 · Gli osservatori non diventano attori.</w:t>
      </w:r>
      <w:r>
        <w:rPr>
          <w:rFonts w:ascii="Barlow Semi Condensed" w:cs="Barlow Semi Condensed" w:eastAsia="Barlow Semi Condensed" w:hAnsi="Barlow Semi Condensed"/>
          <w:sz w:val="24"/>
          <w:szCs w:val="24"/>
        </w:rPr>
        <w:t xml:space="preserve"> Chi voglia integrare la cronologia del capitolo sessantottesimo con le fonti estere tenga fermo un punto. Un dispaccio attesta che una sede riferì, e la data in cui riferì; non attesta che chi riferiva agisse. Aggiungere righe straniere alla tavola dei cinquantacinque giorni arricchisce il quadro degli osservatori e non muta di un grado l'attribuzione dei fatti. La scheda PE-5 lo scrive con parole quasi identiche.</w:t>
      </w:r>
    </w:p>
    <w:p>
      <w:pPr>
        <w:spacing w:after="120" w:line="276"/>
        <w:jc w:val="both"/>
      </w:pPr>
      <w:r>
        <w:rPr>
          <w:rFonts w:ascii="Barlow Semi Condensed" w:cs="Barlow Semi Condensed" w:eastAsia="Barlow Semi Condensed" w:hAnsi="Barlow Semi Condensed"/>
          <w:b/>
          <w:bCs/>
          <w:sz w:val="24"/>
          <w:szCs w:val="24"/>
        </w:rPr>
        <w:t xml:space="preserve">2252 · Le cinque vittime della scorta.</w:t>
      </w:r>
      <w:r>
        <w:rPr>
          <w:rFonts w:ascii="Barlow Semi Condensed" w:cs="Barlow Semi Condensed" w:eastAsia="Barlow Semi Condensed" w:hAnsi="Barlow Semi Condensed"/>
          <w:sz w:val="24"/>
          <w:szCs w:val="24"/>
        </w:rPr>
        <w:t xml:space="preserve"> Leonardi, Ricci, Rivera, Zizzi, Iozzino: il capitolo sessantanovesimo li mette in testa al repertorio, ed è lì che devono restare. Sul loro assassinio non esiste, in alcun archivio nazionale o estero finora spogliato, documento che chiami in causa il nome triangolato. L'assenza si dichiara qui una volta e non si ripete: sarebbe indecente farne un argomento, e disonesto tacerla del tutto.</w:t>
      </w:r>
    </w:p>
    <w:p>
      <w:pPr>
        <w:spacing w:after="120" w:line="276"/>
        <w:jc w:val="both"/>
      </w:pPr>
      <w:r>
        <w:rPr>
          <w:rFonts w:ascii="Barlow Semi Condensed" w:cs="Barlow Semi Condensed" w:eastAsia="Barlow Semi Condensed" w:hAnsi="Barlow Semi Condensed"/>
          <w:b/>
          <w:bCs/>
          <w:sz w:val="24"/>
          <w:szCs w:val="24"/>
        </w:rPr>
        <w:t xml:space="preserve">2253 · Le vittime non sono un argomento.</w:t>
      </w:r>
      <w:r>
        <w:rPr>
          <w:rFonts w:ascii="Barlow Semi Condensed" w:cs="Barlow Semi Condensed" w:eastAsia="Barlow Semi Condensed" w:hAnsi="Barlow Semi Condensed"/>
          <w:sz w:val="24"/>
          <w:szCs w:val="24"/>
        </w:rPr>
        <w:t xml:space="preserve"> Disciplina che la serie si impone e dichiara subito: nessun blocco userà i sei morti del caso come leva per accreditare o per smentire un nesso internazionale. Il capitolo sessantanovesimo scrive che nessuna disquisizione sui livelli del sequestro può farli scivolare a nota a piè di pagina. La triangolazione di un nome è, per definizione, una disquisizione: sta un gradino sotto, e lo riconosce.</w:t>
      </w:r>
    </w:p>
    <w:p>
      <w:pPr>
        <w:spacing w:after="120" w:line="276"/>
        <w:jc w:val="both"/>
      </w:pPr>
      <w:r>
        <w:rPr>
          <w:rFonts w:ascii="Barlow Semi Condensed" w:cs="Barlow Semi Condensed" w:eastAsia="Barlow Semi Condensed" w:hAnsi="Barlow Semi Condensed"/>
          <w:b/>
          <w:bCs/>
          <w:sz w:val="24"/>
          <w:szCs w:val="24"/>
        </w:rPr>
        <w:t xml:space="preserve">2254 · Che cosa smentirebbe questa assenza.</w:t>
      </w:r>
      <w:r>
        <w:rPr>
          <w:rFonts w:ascii="Barlow Semi Condensed" w:cs="Barlow Semi Condensed" w:eastAsia="Barlow Semi Condensed" w:hAnsi="Barlow Semi Condensed"/>
          <w:sz w:val="24"/>
          <w:szCs w:val="24"/>
        </w:rPr>
        <w:t xml:space="preserve"> Formulazione esatta del bersaglio, perché un'assenza dichiarata senza criterio è retorica. Cadrebbe davanti a un atto di provenienza, cablo o verbale o appunto di servizio o ordine, che nominasse insieme una delle cinque vittime e una qualsiasi autorità statunitense dell'epoca in rapporto operativo. Sedi dove cercarlo: il sistema AAD per i telegrammi, la sala di lettura CREST per l'analitica, la Carter Library per la corrispondenza presidenziale.</w:t>
      </w:r>
    </w:p>
    <w:p>
      <w:pPr>
        <w:spacing w:after="120" w:line="276"/>
        <w:jc w:val="both"/>
      </w:pPr>
      <w:r>
        <w:rPr>
          <w:rFonts w:ascii="Barlow Semi Condensed" w:cs="Barlow Semi Condensed" w:eastAsia="Barlow Semi Condensed" w:hAnsi="Barlow Semi Condensed"/>
          <w:b/>
          <w:bCs/>
          <w:sz w:val="24"/>
          <w:szCs w:val="24"/>
        </w:rPr>
        <w:t xml:space="preserve">2255 · Il conteggio delle sei vittime.</w:t>
      </w:r>
      <w:r>
        <w:rPr>
          <w:rFonts w:ascii="Barlow Semi Condensed" w:cs="Barlow Semi Condensed" w:eastAsia="Barlow Semi Condensed" w:hAnsi="Barlow Semi Condensed"/>
          <w:sz w:val="24"/>
          <w:szCs w:val="24"/>
        </w:rPr>
        <w:t xml:space="preserve"> Sei sono le vittime che il repertorio conta: i cinque della scorta e Aldo Moro. È un numero, non una tesi, e non ammette aggiunte simboliche. Va ricordato perché una parte della pubblicistica sul versante atlantico tende ad allargare il computo alle vittime di altri teatri per via di somiglianza. La somiglianza non produce vittime comuni, come non produce antenati comuni: il test resta il documento di provenienza.</w:t>
      </w:r>
    </w:p>
    <w:p>
      <w:pPr>
        <w:spacing w:after="120" w:line="276"/>
        <w:jc w:val="both"/>
      </w:pPr>
      <w:r>
        <w:rPr>
          <w:rFonts w:ascii="Barlow Semi Condensed" w:cs="Barlow Semi Condensed" w:eastAsia="Barlow Semi Condensed" w:hAnsi="Barlow Semi Condensed"/>
          <w:b/>
          <w:bCs/>
          <w:sz w:val="24"/>
          <w:szCs w:val="24"/>
        </w:rPr>
        <w:t xml:space="preserve">2256 · Dieci nomi, nessuno straniero.</w:t>
      </w:r>
      <w:r>
        <w:rPr>
          <w:rFonts w:ascii="Barlow Semi Condensed" w:cs="Barlow Semi Condensed" w:eastAsia="Barlow Semi Condensed" w:hAnsi="Barlow Semi Condensed"/>
          <w:sz w:val="24"/>
          <w:szCs w:val="24"/>
        </w:rPr>
        <w:t xml:space="preserve"> Moretti, Morucci, Faranda, Fiore, Gallinari, Bonisoli, Balzerani, Lojacono, Maccari, Etro: sono le dieci persone la cui responsabilità il capitolo settantesimo dà per passata in giudicato, tutte cittadine italiane, tutte giudicate da corti italiane. Nel registro del giudicato di questo caso non compare alcuna autorità straniera, di nessuno Stato. È l'accertamento negativo di grado più alto disponibile sull'intero territorio assegnato.</w:t>
      </w:r>
    </w:p>
    <w:p>
      <w:pPr>
        <w:spacing w:after="120" w:line="276"/>
        <w:jc w:val="both"/>
      </w:pPr>
      <w:r>
        <w:rPr>
          <w:rFonts w:ascii="Barlow Semi Condensed" w:cs="Barlow Semi Condensed" w:eastAsia="Barlow Semi Condensed" w:hAnsi="Barlow Semi Condensed"/>
          <w:b/>
          <w:bCs/>
          <w:sz w:val="24"/>
          <w:szCs w:val="24"/>
        </w:rPr>
        <w:t xml:space="preserve">2257 · Dieci nel repertorio, tredici nel registro.</w:t>
      </w:r>
      <w:r>
        <w:rPr>
          <w:rFonts w:ascii="Barlow Semi Condensed" w:cs="Barlow Semi Condensed" w:eastAsia="Barlow Semi Condensed" w:hAnsi="Barlow Semi Condensed"/>
          <w:sz w:val="24"/>
          <w:szCs w:val="24"/>
        </w:rPr>
        <w:t xml:space="preserve"> Divergenza interna al corpus, che si riporta e non si scioglie: la Fase nona nomina dieci condannati al capitolo settantesimo, mentre la Fase decima ne registra tredici al capitolo settantanovesimo, aggiungendo Seghetti, Braghetti e Casimirri. Le due liste hanno statuto dichiarato identico ed estensione diversa. Per il nostro scopo l'esito non cambia, perché nessuna delle due contiene un nome straniero; la discrepanza va però segnalata a chi cita.</w:t>
      </w:r>
    </w:p>
    <w:p>
      <w:pPr>
        <w:spacing w:after="120" w:line="276"/>
        <w:jc w:val="both"/>
      </w:pPr>
      <w:r>
        <w:rPr>
          <w:rFonts w:ascii="Barlow Semi Condensed" w:cs="Barlow Semi Condensed" w:eastAsia="Barlow Semi Condensed" w:hAnsi="Barlow Semi Condensed"/>
          <w:b/>
          <w:bCs/>
          <w:sz w:val="24"/>
          <w:szCs w:val="24"/>
        </w:rPr>
        <w:t xml:space="preserve">2258 · Mai imputato in alcun Paese.</w:t>
      </w:r>
      <w:r>
        <w:rPr>
          <w:rFonts w:ascii="Barlow Semi Condensed" w:cs="Barlow Semi Condensed" w:eastAsia="Barlow Semi Condensed" w:hAnsi="Barlow Semi Condensed"/>
          <w:sz w:val="24"/>
          <w:szCs w:val="24"/>
        </w:rPr>
        <w:t xml:space="preserve"> Vincolo del territorio, già fissato dall'apparato K dell'opera e qui richiamato perché regge ogni riga: non risulta a suo carico alcuna sentenza, alcun rinvio a giudizio, alcun procedimento penale in alcuno Stato, e non fu mai imputato né processato. Il repertorio, che si ferma al giudicato, non ha dunque materia per aprirgli una voce al capitolo settantesimo, e correttamente non la apre.</w:t>
      </w:r>
    </w:p>
    <w:p>
      <w:pPr>
        <w:spacing w:after="120" w:line="276"/>
        <w:jc w:val="both"/>
      </w:pPr>
      <w:r>
        <w:rPr>
          <w:rFonts w:ascii="Barlow Semi Condensed" w:cs="Barlow Semi Condensed" w:eastAsia="Barlow Semi Condensed" w:hAnsi="Barlow Semi Condensed"/>
          <w:b/>
          <w:bCs/>
          <w:sz w:val="24"/>
          <w:szCs w:val="24"/>
        </w:rPr>
        <w:t xml:space="preserve">2259 · La richiesta del millenovecentottantatré.</w:t>
      </w:r>
      <w:r>
        <w:rPr>
          <w:rFonts w:ascii="Barlow Semi Condensed" w:cs="Barlow Semi Condensed" w:eastAsia="Barlow Semi Condensed" w:hAnsi="Barlow Semi Condensed"/>
          <w:sz w:val="24"/>
          <w:szCs w:val="24"/>
        </w:rPr>
        <w:t xml:space="preserve"> Nel millenovecentottantatré magistrati italiani manifestarono l'intenzione di sentirlo, e la richiesta, informale, non ebbe seguito. Bersaglio oggi aperto: stabilirne la forma esatta, se atto istruttorio, se commissione rogatoria, se sola dichiarazione riferita dalla stampa. Sedi: il fascicolo processuale presso l'Archivio di Stato di Roma e gli atti dell'ufficio rogatorie del Ministero di grazia e giustizia versati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2260 · Assenza di procedimento, non assoluzione.</w:t>
      </w:r>
      <w:r>
        <w:rPr>
          <w:rFonts w:ascii="Barlow Semi Condensed" w:cs="Barlow Semi Condensed" w:eastAsia="Barlow Semi Condensed" w:hAnsi="Barlow Semi Condensed"/>
          <w:sz w:val="24"/>
          <w:szCs w:val="24"/>
        </w:rPr>
        <w:t xml:space="preserve"> Non essere mai stati imputati non equivale a essere stati assolti, e non equivale nemmeno a un'accusa rimasta sospesa: significa che nessuna autorità ha mai esercitato l'azione penale. Chi legge quel vuoto come discolpa piena e chi lo legge come impunità commettono il medesimo errore in direzioni opposte, perché entrambi trattano il nulla processuale come se fosse un atto. Il repertorio non lo tratta affatto, ed è la scelta giusta.</w:t>
      </w:r>
    </w:p>
    <w:p>
      <w:pPr>
        <w:spacing w:after="120" w:line="276"/>
        <w:jc w:val="both"/>
      </w:pPr>
      <w:r>
        <w:rPr>
          <w:rFonts w:ascii="Barlow Semi Condensed" w:cs="Barlow Semi Condensed" w:eastAsia="Barlow Semi Condensed" w:hAnsi="Barlow Semi Condensed"/>
          <w:b/>
          <w:bCs/>
          <w:sz w:val="24"/>
          <w:szCs w:val="24"/>
        </w:rPr>
        <w:t xml:space="preserve">2261 · Il giudicato come pavimento del territorio.</w:t>
      </w:r>
      <w:r>
        <w:rPr>
          <w:rFonts w:ascii="Barlow Semi Condensed" w:cs="Barlow Semi Condensed" w:eastAsia="Barlow Semi Condensed" w:hAnsi="Barlow Semi Condensed"/>
          <w:sz w:val="24"/>
          <w:szCs w:val="24"/>
        </w:rPr>
        <w:t xml:space="preserve"> Pavimento del caso chiama la Fase settima i cinque processi, e il repertorio lo recepisce. Su questo pavimento il nome triangolato non poggia in alcun punto: non compare fra le parti, fra i testi escussi, fra gli imputati, fra le persone offese. Verifica proposta e mai pubblicata: l'indice generale dei fascicoli dibattimentali dei processi Moro uno, bis, ter, quater e quinquies, interrogato per cognome.</w:t>
      </w:r>
    </w:p>
    <w:p>
      <w:pPr>
        <w:spacing w:after="120" w:line="276"/>
        <w:jc w:val="both"/>
      </w:pPr>
      <w:r>
        <w:rPr>
          <w:rFonts w:ascii="Barlow Semi Condensed" w:cs="Barlow Semi Condensed" w:eastAsia="Barlow Semi Condensed" w:hAnsi="Barlow Semi Condensed"/>
          <w:b/>
          <w:bCs/>
          <w:sz w:val="24"/>
          <w:szCs w:val="24"/>
        </w:rPr>
        <w:t xml:space="preserve">2262 · Sei luoghi, tutti italiani.</w:t>
      </w:r>
      <w:r>
        <w:rPr>
          <w:rFonts w:ascii="Barlow Semi Condensed" w:cs="Barlow Semi Condensed" w:eastAsia="Barlow Semi Condensed" w:hAnsi="Barlow Semi Condensed"/>
          <w:sz w:val="24"/>
          <w:szCs w:val="24"/>
        </w:rPr>
        <w:t xml:space="preserve"> Via Fani, via Montalcini otto, via Gradoli novantasei, via Caetani, via Monte Nevoso, il lago della Duchessa: Roma, Milano, Rieti. Nessuna sede estera compare nella tavola dei luoghi, e nessuna vi apparterrebbe, perché il capitolo settantunesimo cataloga i luoghi dei fatti e non quelli delle circostanze anteriori. Il territorio, geograficamente, è chiuso, e la chiusura è una proprietà del catalogo, non una reticenza.</w:t>
      </w:r>
    </w:p>
    <w:p>
      <w:pPr>
        <w:spacing w:after="120" w:line="276"/>
        <w:jc w:val="both"/>
      </w:pPr>
      <w:r>
        <w:rPr>
          <w:rFonts w:ascii="Barlow Semi Condensed" w:cs="Barlow Semi Condensed" w:eastAsia="Barlow Semi Condensed" w:hAnsi="Barlow Semi Condensed"/>
          <w:b/>
          <w:bCs/>
          <w:sz w:val="24"/>
          <w:szCs w:val="24"/>
        </w:rPr>
        <w:t xml:space="preserve">2263 · Via Montalcini nei telegrammi del Settantotto.</w:t>
      </w:r>
      <w:r>
        <w:rPr>
          <w:rFonts w:ascii="Barlow Semi Condensed" w:cs="Barlow Semi Condensed" w:eastAsia="Barlow Semi Condensed" w:hAnsi="Barlow Semi Condensed"/>
          <w:sz w:val="24"/>
          <w:szCs w:val="24"/>
        </w:rPr>
        <w:t xml:space="preserve"> Nei telegrammi elettronici del Dipartimento di Stato per il millenovecentosettantotto, interrogabili con i TAGS PINT e IT nella finestra fra il sedici marzo e il trentuno dicembre, ricorre mai l'indirizzo di via Camillo Montalcini otto, e a quale data per la prima volta? La risposta misura ciò che una sede alleata sapeva e quando lo seppe: misura informazione, e non misura partecipazione.</w:t>
      </w:r>
    </w:p>
    <w:p>
      <w:pPr>
        <w:spacing w:after="120" w:line="276"/>
        <w:jc w:val="both"/>
      </w:pPr>
      <w:r>
        <w:rPr>
          <w:rFonts w:ascii="Barlow Semi Condensed" w:cs="Barlow Semi Condensed" w:eastAsia="Barlow Semi Condensed" w:hAnsi="Barlow Semi Condensed"/>
          <w:b/>
          <w:bCs/>
          <w:sz w:val="24"/>
          <w:szCs w:val="24"/>
        </w:rPr>
        <w:t xml:space="preserve">2264 · Gradoli è una pista interna.</w:t>
      </w:r>
      <w:r>
        <w:rPr>
          <w:rFonts w:ascii="Barlow Semi Condensed" w:cs="Barlow Semi Condensed" w:eastAsia="Barlow Semi Condensed" w:hAnsi="Barlow Semi Condensed"/>
          <w:sz w:val="24"/>
          <w:szCs w:val="24"/>
        </w:rPr>
        <w:t xml:space="preserve"> Le due piste che il programma investigativo dedica a via Gradoli, la catena di comando del diciotto marzo e gli assetti proprietari dello stabile, lavorano su questura, UCIGOS, Viminale, conservatoria e registri societari. Nessuna delle due ha versante estero e nessuna nomina il nostro nome. Registrarlo impedisce che il nodo più oscuro del repertorio attiri per gravità una spiegazione che le sue carte non contengono.</w:t>
      </w:r>
    </w:p>
    <w:p>
      <w:pPr>
        <w:spacing w:after="120" w:line="276"/>
        <w:jc w:val="both"/>
      </w:pPr>
      <w:r>
        <w:rPr>
          <w:rFonts w:ascii="Barlow Semi Condensed" w:cs="Barlow Semi Condensed" w:eastAsia="Barlow Semi Condensed" w:hAnsi="Barlow Semi Condensed"/>
          <w:b/>
          <w:bCs/>
          <w:sz w:val="24"/>
          <w:szCs w:val="24"/>
        </w:rPr>
        <w:t xml:space="preserve">2265 · Il cablo del ritrovamento.</w:t>
      </w:r>
      <w:r>
        <w:rPr>
          <w:rFonts w:ascii="Barlow Semi Condensed" w:cs="Barlow Semi Condensed" w:eastAsia="Barlow Semi Condensed" w:hAnsi="Barlow Semi Condensed"/>
          <w:sz w:val="24"/>
          <w:szCs w:val="24"/>
        </w:rPr>
        <w:t xml:space="preserve"> Identificare il telegramma con cui l'ambasciata a Roma comunicò a Washington il ritrovamento del corpo in via Caetani, con numero di serie, ora di trasmissione e lista di distribuzione interna. È il tipo di documento che quasi certamente esiste e che nessuna pubblicazione italiana ha mai citato per esteso. Sede: i Central Foreign Policy Files, serie dei telegrammi elettronici del millenovecentosettantotto, ai National Archives.</w:t>
      </w:r>
    </w:p>
    <w:p>
      <w:pPr>
        <w:spacing w:after="120" w:line="276"/>
        <w:jc w:val="both"/>
      </w:pPr>
      <w:r>
        <w:rPr>
          <w:rFonts w:ascii="Barlow Semi Condensed" w:cs="Barlow Semi Condensed" w:eastAsia="Barlow Semi Condensed" w:hAnsi="Barlow Semi Condensed"/>
          <w:b/>
          <w:bCs/>
          <w:sz w:val="24"/>
          <w:szCs w:val="24"/>
        </w:rPr>
        <w:t xml:space="preserve">2266 · Il falso resta senza autore giudicato.</w:t>
      </w:r>
      <w:r>
        <w:rPr>
          <w:rFonts w:ascii="Barlow Semi Condensed" w:cs="Barlow Semi Condensed" w:eastAsia="Barlow Semi Condensed" w:hAnsi="Barlow Semi Condensed"/>
          <w:sz w:val="24"/>
          <w:szCs w:val="24"/>
        </w:rPr>
        <w:t xml:space="preserve"> Accertato è il falso del comunicato numero sette, di grado A; la sua funzione resta congettura. Gli accertamenti istruttori e peritali ricondussero la mano ad Antonio Chichiarelli, mai processato perché ucciso nel settembre millenovecentottantaquattro. Nessun atto collega quella fabbricazione a un'origine estera. Il documento che lo farebbe sarebbe un ordine scritto o un pagamento tracciato: finché non esiste, la casella resta vuota e va dichiarata tale.</w:t>
      </w:r>
    </w:p>
    <w:p>
      <w:pPr>
        <w:spacing w:after="120" w:line="276"/>
        <w:jc w:val="both"/>
      </w:pPr>
      <w:r>
        <w:rPr>
          <w:rFonts w:ascii="Barlow Semi Condensed" w:cs="Barlow Semi Condensed" w:eastAsia="Barlow Semi Condensed" w:hAnsi="Barlow Semi Condensed"/>
          <w:b/>
          <w:bCs/>
          <w:sz w:val="24"/>
          <w:szCs w:val="24"/>
        </w:rPr>
        <w:t xml:space="preserve">2267 · Il memoriale nomina Kissinger?.</w:t>
      </w:r>
      <w:r>
        <w:rPr>
          <w:rFonts w:ascii="Barlow Semi Condensed" w:cs="Barlow Semi Condensed" w:eastAsia="Barlow Semi Condensed" w:hAnsi="Barlow Semi Condensed"/>
          <w:sz w:val="24"/>
          <w:szCs w:val="24"/>
        </w:rPr>
        <w:t xml:space="preserve"> Negli scritti della prigionia rinvenuti a via Monte Nevoso nel millenovecentosettantotto e nel millenovecentonovanta ricorre il nome del segretario di Stato uscente, e in quale contesto? Quesito filologico che il repertorio non pone e che si può chiudere. Sedi: l'edizione critica curata da Gotor nel duemilaotto e il fondo della Commissione Moro 2 presso l'Archivio storico della Camera. Esito da verbalizzare comunque vada.</w:t>
      </w:r>
    </w:p>
    <w:p>
      <w:pPr>
        <w:spacing w:after="120" w:line="276"/>
        <w:jc w:val="both"/>
      </w:pPr>
      <w:r>
        <w:rPr>
          <w:rFonts w:ascii="Barlow Semi Condensed" w:cs="Barlow Semi Condensed" w:eastAsia="Barlow Semi Condensed" w:hAnsi="Barlow Semi Condensed"/>
          <w:b/>
          <w:bCs/>
          <w:sz w:val="24"/>
          <w:szCs w:val="24"/>
        </w:rPr>
        <w:t xml:space="preserve">2268 · La seconda prigione non ha versione estera.</w:t>
      </w:r>
      <w:r>
        <w:rPr>
          <w:rFonts w:ascii="Barlow Semi Condensed" w:cs="Barlow Semi Condensed" w:eastAsia="Barlow Semi Condensed" w:hAnsi="Barlow Semi Condensed"/>
          <w:sz w:val="24"/>
          <w:szCs w:val="24"/>
        </w:rPr>
        <w:t xml:space="preserve"> Netto è il repertorio: la seconda prigione è congettura non provata, e il giudicato conosce solo via Montalcini. Fra le varianti circolanti ve n'è una che colloca la detenzione in luoghi riferibili a presenze straniere. Va trattata come le altre e un grado più severamente, perché somma due congetture, quella del luogo e quella dell'origine. Due ipotesi sommate non producono un indizio: producono una narrazione.</w:t>
      </w:r>
    </w:p>
    <w:p>
      <w:pPr>
        <w:spacing w:after="120" w:line="276"/>
        <w:jc w:val="both"/>
      </w:pPr>
      <w:r>
        <w:rPr>
          <w:rFonts w:ascii="Barlow Semi Condensed" w:cs="Barlow Semi Condensed" w:eastAsia="Barlow Semi Condensed" w:hAnsi="Barlow Semi Condensed"/>
          <w:b/>
          <w:bCs/>
          <w:sz w:val="24"/>
          <w:szCs w:val="24"/>
        </w:rPr>
        <w:t xml:space="preserve">2269 · I luoghi della circolazione, altrove.</w:t>
      </w:r>
      <w:r>
        <w:rPr>
          <w:rFonts w:ascii="Barlow Semi Condensed" w:cs="Barlow Semi Condensed" w:eastAsia="Barlow Semi Condensed" w:hAnsi="Barlow Semi Condensed"/>
          <w:sz w:val="24"/>
          <w:szCs w:val="24"/>
        </w:rPr>
        <w:t xml:space="preserve"> Proposta di ordinamento, per evitare un falso costruito con materiali tutti veri: si tenga un elenco distinto e dichiarato dei luoghi che appartengono alla circolazione dell'episodio e non al caso, cioè lo Studio Ovale del venticinque settembre millenovecentosettantaquattro, la cena di quella visita di Stato e l'ambasciata d'Italia a Washington indicata dalla fonte d'agenzia del millenovecentottantatré. Nella stessa tavola dei covi non stanno.</w:t>
      </w:r>
    </w:p>
    <w:p>
      <w:pPr>
        <w:spacing w:after="120" w:line="276"/>
        <w:jc w:val="both"/>
      </w:pPr>
      <w:r>
        <w:rPr>
          <w:rFonts w:ascii="Barlow Semi Condensed" w:cs="Barlow Semi Condensed" w:eastAsia="Barlow Semi Condensed" w:hAnsi="Barlow Semi Condensed"/>
          <w:b/>
          <w:bCs/>
          <w:sz w:val="24"/>
          <w:szCs w:val="24"/>
        </w:rPr>
        <w:t xml:space="preserve">2270 · Il nome nelle novanta lettere.</w:t>
      </w:r>
      <w:r>
        <w:rPr>
          <w:rFonts w:ascii="Barlow Semi Condensed" w:cs="Barlow Semi Condensed" w:eastAsia="Barlow Semi Condensed" w:hAnsi="Barlow Semi Condensed"/>
          <w:sz w:val="24"/>
          <w:szCs w:val="24"/>
        </w:rPr>
        <w:t xml:space="preserve"> Nelle circa novanta lettere della prigionia, delle quali il capitolo settantaduesimo accerta esistenza e mano, quel nome ricorre? La verifica è alla portata di chiunque e non risulta pubblicata. Sedi: l'edizione critica dell'epistolario, il fondo personale Aldo Moro all'Archivio centrale dello Stato con le sue duecentodiciotto buste, il fondo familiare depositato fra il duemiladodici e il duemilasedici al Centro documentazione Archivio Flamigni.</w:t>
      </w:r>
    </w:p>
    <w:p>
      <w:pPr>
        <w:spacing w:after="120" w:line="276"/>
        <w:jc w:val="both"/>
      </w:pPr>
      <w:r>
        <w:rPr>
          <w:rFonts w:ascii="Barlow Semi Condensed" w:cs="Barlow Semi Condensed" w:eastAsia="Barlow Semi Condensed" w:hAnsi="Barlow Semi Condensed"/>
          <w:b/>
          <w:bCs/>
          <w:sz w:val="24"/>
          <w:szCs w:val="24"/>
        </w:rPr>
        <w:t xml:space="preserve">2271 · Il lessico dei comunicati.</w:t>
      </w:r>
      <w:r>
        <w:rPr>
          <w:rFonts w:ascii="Barlow Semi Condensed" w:cs="Barlow Semi Condensed" w:eastAsia="Barlow Semi Condensed" w:hAnsi="Barlow Semi Condensed"/>
          <w:sz w:val="24"/>
          <w:szCs w:val="24"/>
        </w:rPr>
        <w:t xml:space="preserve"> I nove comunicati e il falso settimo parlano di Stato imperialista delle multinazionali e di centrali imperialiste: un lessico di categorie, non di persone. Verifica proposta sui testi integrali: quanti nomi propri di dirigenti stranieri vi compaiono? Se la risposta fosse nessuno, come il campione lascia prevedere, si avrebbe un dato sul linguaggio dei rapitori e nulla di più. Un silenzio rivendicativo non prova alcunché sui mandanti.</w:t>
      </w:r>
    </w:p>
    <w:p>
      <w:pPr>
        <w:spacing w:after="120" w:line="276"/>
        <w:jc w:val="both"/>
      </w:pPr>
      <w:r>
        <w:rPr>
          <w:rFonts w:ascii="Barlow Semi Condensed" w:cs="Barlow Semi Condensed" w:eastAsia="Barlow Semi Condensed" w:hAnsi="Barlow Semi Condensed"/>
          <w:b/>
          <w:bCs/>
          <w:sz w:val="24"/>
          <w:szCs w:val="24"/>
        </w:rPr>
        <w:t xml:space="preserve">2272 · Il falso come mutazione, non come firma.</w:t>
      </w:r>
      <w:r>
        <w:rPr>
          <w:rFonts w:ascii="Barlow Semi Condensed" w:cs="Barlow Semi Condensed" w:eastAsia="Barlow Semi Condensed" w:hAnsi="Barlow Semi Condensed"/>
          <w:sz w:val="24"/>
          <w:szCs w:val="24"/>
        </w:rPr>
        <w:t xml:space="preserve"> Un falso che imita il modello autentico e vi introduce errori invita a leggere in quegli errori la mano di un apparato esperto. Regola contraria: la somiglianza di un falso al suo modello prova che qualcuno disponeva del modello, non chi fosse. È la stessa disciplina che separa omologia da analogia, applicata qui a un documento invece che a un carattere ereditario.</w:t>
      </w:r>
    </w:p>
    <w:p>
      <w:pPr>
        <w:spacing w:after="120" w:line="276"/>
        <w:jc w:val="both"/>
      </w:pPr>
      <w:r>
        <w:rPr>
          <w:rFonts w:ascii="Barlow Semi Condensed" w:cs="Barlow Semi Condensed" w:eastAsia="Barlow Semi Condensed" w:hAnsi="Barlow Semi Condensed"/>
          <w:b/>
          <w:bCs/>
          <w:sz w:val="24"/>
          <w:szCs w:val="24"/>
        </w:rPr>
        <w:t xml:space="preserve">2273 · Una fonte negoziata non si promuove.</w:t>
      </w:r>
      <w:r>
        <w:rPr>
          <w:rFonts w:ascii="Barlow Semi Condensed" w:cs="Barlow Semi Condensed" w:eastAsia="Barlow Semi Condensed" w:hAnsi="Barlow Semi Condensed"/>
          <w:sz w:val="24"/>
          <w:szCs w:val="24"/>
        </w:rPr>
        <w:t xml:space="preserve"> Ha accertato la Commissione Moro 2 che il memoriale Morucci è il risultato di una collaborazione sviluppatasi lungo gli anni Ottanta, e il repertorio lo recepisce al capitolo settantaduesimo come grado B. Ne discende un divieto operativo per questo territorio: nulla di ciò che quel testo dicesse sul versante internazionale varrebbe come riscontro autonomo, perché la sua genesi è essa stessa parte dell'oggetto da accertare.</w:t>
      </w:r>
    </w:p>
    <w:p>
      <w:pPr>
        <w:spacing w:after="120" w:line="276"/>
        <w:jc w:val="both"/>
      </w:pPr>
      <w:r>
        <w:rPr>
          <w:rFonts w:ascii="Barlow Semi Condensed" w:cs="Barlow Semi Condensed" w:eastAsia="Barlow Semi Condensed" w:hAnsi="Barlow Semi Condensed"/>
          <w:b/>
          <w:bCs/>
          <w:sz w:val="24"/>
          <w:szCs w:val="24"/>
        </w:rPr>
        <w:t xml:space="preserve">2274 · Che cosa aprirebbe il memoriale.</w:t>
      </w:r>
      <w:r>
        <w:rPr>
          <w:rFonts w:ascii="Barlow Semi Condensed" w:cs="Barlow Semi Condensed" w:eastAsia="Barlow Semi Condensed" w:hAnsi="Barlow Semi Condensed"/>
          <w:sz w:val="24"/>
          <w:szCs w:val="24"/>
        </w:rPr>
        <w:t xml:space="preserve"> Una pagina autografa della prigionia, non dattiloscritta e non passata per la trattativa degli anni Ottanta, nella quale Moro riferisse in prima persona un avvertimento ricevuto e ne nominasse l'autore, sposterebbe l'episodio dal piano tre al piano uno. Gli originali non furono mai trovati. È lo Stato Zero più pesante del capitolo settantaduesimo, e il solo che una scoperta materiale, non un'interpretazione, potrebbe chiudere.</w:t>
      </w:r>
    </w:p>
    <w:p>
      <w:pPr>
        <w:spacing w:after="120" w:line="276"/>
        <w:jc w:val="both"/>
      </w:pPr>
      <w:r>
        <w:rPr>
          <w:rFonts w:ascii="Barlow Semi Condensed" w:cs="Barlow Semi Condensed" w:eastAsia="Barlow Semi Condensed" w:hAnsi="Barlow Semi Condensed"/>
          <w:b/>
          <w:bCs/>
          <w:sz w:val="24"/>
          <w:szCs w:val="24"/>
        </w:rPr>
        <w:t xml:space="preserve">2275 · Il pensiero non è il fatto.</w:t>
      </w:r>
      <w:r>
        <w:rPr>
          <w:rFonts w:ascii="Barlow Semi Condensed" w:cs="Barlow Semi Condensed" w:eastAsia="Barlow Semi Condensed" w:hAnsi="Barlow Semi Condensed"/>
          <w:sz w:val="24"/>
          <w:szCs w:val="24"/>
        </w:rPr>
        <w:t xml:space="preserve"> Se nelle lettere o negli scritti comparissero giudizi di Moro sull'ostilità americana, si sarebbe accertato che Moro la percepiva e in quali termini la formulava: grado alto su ciò che pensava, grado nullo su ciò che accadeva. La distinzione è la stessa che il corpus applica ai diari privati. Un prigioniero che interpreta la propria cattura produce una fonte preziosa su di sé, non una prova sugli altri.</w:t>
      </w:r>
    </w:p>
    <w:p>
      <w:pPr>
        <w:spacing w:after="120" w:line="276"/>
        <w:jc w:val="both"/>
      </w:pPr>
      <w:r>
        <w:rPr>
          <w:rFonts w:ascii="Barlow Semi Condensed" w:cs="Barlow Semi Condensed" w:eastAsia="Barlow Semi Condensed" w:hAnsi="Barlow Semi Condensed"/>
          <w:b/>
          <w:bCs/>
          <w:sz w:val="24"/>
          <w:szCs w:val="24"/>
        </w:rPr>
        <w:t xml:space="preserve">2276 · Le condizioni di scrittura restano B.</w:t>
      </w:r>
      <w:r>
        <w:rPr>
          <w:rFonts w:ascii="Barlow Semi Condensed" w:cs="Barlow Semi Condensed" w:eastAsia="Barlow Semi Condensed" w:hAnsi="Barlow Semi Condensed"/>
          <w:sz w:val="24"/>
          <w:szCs w:val="24"/>
        </w:rPr>
        <w:t xml:space="preserve"> Esistenza e mano delle lettere sono gradate A dal capitolo settantaduesimo, le condizioni in cui furono scritte B. Il grado inferiore riguarda la libertà del prigioniero e non l'attendibilità del contenuto, e non si trasferisce da un piano all'altro. Chi volesse squalificare un passaggio scomodo invocando la costrizione, o accreditarne un altro invocando la sincerità, adopererebbe lo stesso grado in due direzioni opposte.</w:t>
      </w:r>
    </w:p>
    <w:p>
      <w:pPr>
        <w:spacing w:after="120" w:line="276"/>
        <w:jc w:val="both"/>
      </w:pPr>
      <w:r>
        <w:rPr>
          <w:rFonts w:ascii="Barlow Semi Condensed" w:cs="Barlow Semi Condensed" w:eastAsia="Barlow Semi Condensed" w:hAnsi="Barlow Semi Condensed"/>
          <w:b/>
          <w:bCs/>
          <w:sz w:val="24"/>
          <w:szCs w:val="24"/>
        </w:rPr>
        <w:t xml:space="preserve">2277 · Il verbale del Settantaquattro non appartiene qui.</w:t>
      </w:r>
      <w:r>
        <w:rPr>
          <w:rFonts w:ascii="Barlow Semi Condensed" w:cs="Barlow Semi Condensed" w:eastAsia="Barlow Semi Condensed" w:hAnsi="Barlow Semi Condensed"/>
          <w:sz w:val="24"/>
          <w:szCs w:val="24"/>
        </w:rPr>
        <w:t xml:space="preserve"> Collocazione corretta, che il repertorio adotta di fatto e conviene rendere esplicita: il memorandum dello Studio Ovale non appartiene al capitolo settantaduesimo, perché non è un documento del sequestro. Appartiene alla cornice, ed è già catalogato altrove nel corpus, nelle ricognizioni della Farnesina e nella serie dodicesima dei mille blocchi. Spostarlo fra i documenti del caso ne muterebbe il grado senza mutarne una riga.</w:t>
      </w:r>
    </w:p>
    <w:p>
      <w:pPr>
        <w:spacing w:after="120" w:line="276"/>
        <w:jc w:val="both"/>
      </w:pPr>
      <w:r>
        <w:rPr>
          <w:rFonts w:ascii="Barlow Semi Condensed" w:cs="Barlow Semi Condensed" w:eastAsia="Barlow Semi Condensed" w:hAnsi="Barlow Semi Condensed"/>
          <w:b/>
          <w:bCs/>
          <w:sz w:val="24"/>
          <w:szCs w:val="24"/>
        </w:rPr>
        <w:t xml:space="preserve">2278 · Cinque processi, nessuno su questo.</w:t>
      </w:r>
      <w:r>
        <w:rPr>
          <w:rFonts w:ascii="Barlow Semi Condensed" w:cs="Barlow Semi Condensed" w:eastAsia="Barlow Semi Condensed" w:hAnsi="Barlow Semi Condensed"/>
          <w:sz w:val="24"/>
          <w:szCs w:val="24"/>
        </w:rPr>
        <w:t xml:space="preserve"> Cinque processi formano la spina del giudicato secondo il capitolo settantatreesimo, e nessuno di essi ebbe per oggetto la posizione di un'autorità straniera, nessuno la esaminò come capo d'imputazione, nessuno la definì. L'episodio dell'avvertimento vi entrò una sola volta e per via testimoniale, nel dibattimento del millenovecentottantadue. Entrare come testimonianza ed essere oggetto di giudizio sono cose che il repertorio tiene distinte, e bene.</w:t>
      </w:r>
    </w:p>
    <w:p>
      <w:pPr>
        <w:spacing w:after="120" w:line="276"/>
        <w:jc w:val="both"/>
      </w:pPr>
      <w:r>
        <w:rPr>
          <w:rFonts w:ascii="Barlow Semi Condensed" w:cs="Barlow Semi Condensed" w:eastAsia="Barlow Semi Condensed" w:hAnsi="Barlow Semi Condensed"/>
          <w:b/>
          <w:bCs/>
          <w:sz w:val="24"/>
          <w:szCs w:val="24"/>
        </w:rPr>
        <w:t xml:space="preserve">2279 · L'audizione del primo agosto millenovecentottanta.</w:t>
      </w:r>
      <w:r>
        <w:rPr>
          <w:rFonts w:ascii="Barlow Semi Condensed" w:cs="Barlow Semi Condensed" w:eastAsia="Barlow Semi Condensed" w:hAnsi="Barlow Semi Condensed"/>
          <w:sz w:val="24"/>
          <w:szCs w:val="24"/>
        </w:rPr>
        <w:t xml:space="preserve"> Sede confermata, contenuto da riscontrare: la vedova fu ascoltata dalla prima Commissione d'inchiesta il primo agosto millenovecentottanta. Il resoconto stenografico di quella seduta, fra gli atti della ottava legislatura, direbbe una volta per tutte che cosa vi fu detto e con quali parole. Sede: Archivio storico della Camera dei deputati, fondo della Commissione Moro. Finché non è letto, la frase che circola resta attribuita per sintesi.</w:t>
      </w:r>
    </w:p>
    <w:p>
      <w:pPr>
        <w:spacing w:after="120" w:line="276"/>
        <w:jc w:val="both"/>
      </w:pPr>
      <w:r>
        <w:rPr>
          <w:rFonts w:ascii="Barlow Semi Condensed" w:cs="Barlow Semi Condensed" w:eastAsia="Barlow Semi Condensed" w:hAnsi="Barlow Semi Condensed"/>
          <w:b/>
          <w:bCs/>
          <w:sz w:val="24"/>
          <w:szCs w:val="24"/>
        </w:rPr>
        <w:t xml:space="preserve">2280 · Novembre millenovecentottantadue, giorno incerto.</w:t>
      </w:r>
      <w:r>
        <w:rPr>
          <w:rFonts w:ascii="Barlow Semi Condensed" w:cs="Barlow Semi Condensed" w:eastAsia="Barlow Semi Condensed" w:hAnsi="Barlow Semi Condensed"/>
          <w:sz w:val="24"/>
          <w:szCs w:val="24"/>
        </w:rPr>
        <w:t xml:space="preserve"> Al dieci novembre millenovecentottantadue colloca la datazione più ricorrente la deposizione del portavoce davanti alla Corte d'assise di Roma; una fonte indica il quindici. La divergenza non è stata risolta e si riporta. Il verbale d'udienza la chiuderebbe in una riga, insieme alla formula esatta e al modo in cui il presidente ottenne il nome. Sede: gli atti del processo Moro uno, a Roma.</w:t>
      </w:r>
    </w:p>
    <w:p>
      <w:pPr>
        <w:spacing w:after="120" w:line="276"/>
        <w:jc w:val="both"/>
      </w:pPr>
      <w:r>
        <w:rPr>
          <w:rFonts w:ascii="Barlow Semi Condensed" w:cs="Barlow Semi Condensed" w:eastAsia="Barlow Semi Condensed" w:hAnsi="Barlow Semi Condensed"/>
          <w:b/>
          <w:bCs/>
          <w:sz w:val="24"/>
          <w:szCs w:val="24"/>
        </w:rPr>
        <w:t xml:space="preserve">2281 · La Commissione Stragi ha mai trattato?.</w:t>
      </w:r>
      <w:r>
        <w:rPr>
          <w:rFonts w:ascii="Barlow Semi Condensed" w:cs="Barlow Semi Condensed" w:eastAsia="Barlow Semi Condensed" w:hAnsi="Barlow Semi Condensed"/>
          <w:sz w:val="24"/>
          <w:szCs w:val="24"/>
        </w:rPr>
        <w:t xml:space="preserve"> Cita il repertorio la Commissione Stragi fra gli accertamenti di grado B senza specificarne l'apporto sul versante che qui interessa. Quesito: negli stenografici di quella Commissione, in parte consultabili anche in rete, l'episodio dell'avvertimento fu mai ripreso, e da chi? La ricerca è enumerativa e ha esito comunque utile, perché se nessuna seduta lo tocca l'assenza da quella sede è essa stessa una collocazione.</w:t>
      </w:r>
    </w:p>
    <w:p>
      <w:pPr>
        <w:spacing w:after="120" w:line="276"/>
        <w:jc w:val="both"/>
      </w:pPr>
      <w:r>
        <w:rPr>
          <w:rFonts w:ascii="Barlow Semi Condensed" w:cs="Barlow Semi Condensed" w:eastAsia="Barlow Semi Condensed" w:hAnsi="Barlow Semi Condensed"/>
          <w:b/>
          <w:bCs/>
          <w:sz w:val="24"/>
          <w:szCs w:val="24"/>
        </w:rPr>
        <w:t xml:space="preserve">2282 · Ventimila pagine e una chiave di ricerca.</w:t>
      </w:r>
      <w:r>
        <w:rPr>
          <w:rFonts w:ascii="Barlow Semi Condensed" w:cs="Barlow Semi Condensed" w:eastAsia="Barlow Semi Condensed" w:hAnsi="Barlow Semi Condensed"/>
          <w:sz w:val="24"/>
          <w:szCs w:val="24"/>
        </w:rPr>
        <w:t xml:space="preserve"> Contiene il fondo della Commissione Moro 2 presso l'Archivio storico della Camera circa ventimila pagine desecretate, con portale dedicato: bersaglio a costo bassissimo e rendimento alto. Si interroghi l'intero fondo con la chiave del cognome e con le varianti di trascrizione, e si verbalizzi il numero delle occorrenze. Zero occorrenze sarebbe un risultato pubblicabile, ed è il risultato che il corpus si attende.</w:t>
      </w:r>
    </w:p>
    <w:p>
      <w:pPr>
        <w:spacing w:after="120" w:line="276"/>
        <w:jc w:val="both"/>
      </w:pPr>
      <w:r>
        <w:rPr>
          <w:rFonts w:ascii="Barlow Semi Condensed" w:cs="Barlow Semi Condensed" w:eastAsia="Barlow Semi Condensed" w:hAnsi="Barlow Semi Condensed"/>
          <w:b/>
          <w:bCs/>
          <w:sz w:val="24"/>
          <w:szCs w:val="24"/>
        </w:rPr>
        <w:t xml:space="preserve">2283 · Sede e contenuto non si mescolano.</w:t>
      </w:r>
      <w:r>
        <w:rPr>
          <w:rFonts w:ascii="Barlow Semi Condensed" w:cs="Barlow Semi Condensed" w:eastAsia="Barlow Semi Condensed" w:hAnsi="Barlow Semi Condensed"/>
          <w:sz w:val="24"/>
          <w:szCs w:val="24"/>
        </w:rPr>
        <w:t xml:space="preserve"> Regola derivata dalla quinta precisazione della Nota di revisione numero due, applicabile a ogni voce del capitolo settantatreesimo. Che un'audizione sia avvenuta in una data certa è fatto d'atto; che vi sia stata pronunciata una frase determinata è fatto di contenuto, e richiede il resoconto. Unire la sede accertata del millenovecentottanta alla frase attribuita al millenovecentottantadue costruisce una citazione falsa con due premesse entrambe vere.</w:t>
      </w:r>
    </w:p>
    <w:p>
      <w:pPr>
        <w:spacing w:after="120" w:line="276"/>
        <w:jc w:val="both"/>
      </w:pPr>
      <w:r>
        <w:rPr>
          <w:rFonts w:ascii="Barlow Semi Condensed" w:cs="Barlow Semi Condensed" w:eastAsia="Barlow Semi Condensed" w:hAnsi="Barlow Semi Condensed"/>
          <w:b/>
          <w:bCs/>
          <w:sz w:val="24"/>
          <w:szCs w:val="24"/>
        </w:rPr>
        <w:t xml:space="preserve">2284 · La ricerca a vuoto è un atto.</w:t>
      </w:r>
      <w:r>
        <w:rPr>
          <w:rFonts w:ascii="Barlow Semi Condensed" w:cs="Barlow Semi Condensed" w:eastAsia="Barlow Semi Condensed" w:hAnsi="Barlow Semi Condensed"/>
          <w:sz w:val="24"/>
          <w:szCs w:val="24"/>
        </w:rPr>
        <w:t xml:space="preserve"> Principio che l'agenda del corpus enuncia e che questa serie applica alla lettera: un'interrogazione condotta su un fondo nominato, con chiave dichiarata e finestra dichiarata, produce un risultato anche quando non trova nulla. Perché sia citabile occorrono tre elementi, il nome del fondo, la stringa usata e la data dell'interrogazione. Senza quei tre, «non risulta» è un'opinione travestita da esito d'archivio.</w:t>
      </w:r>
    </w:p>
    <w:p>
      <w:pPr>
        <w:spacing w:after="120" w:line="276"/>
        <w:jc w:val="both"/>
      </w:pPr>
      <w:r>
        <w:rPr>
          <w:rFonts w:ascii="Barlow Semi Condensed" w:cs="Barlow Semi Condensed" w:eastAsia="Barlow Semi Condensed" w:hAnsi="Barlow Semi Condensed"/>
          <w:b/>
          <w:bCs/>
          <w:sz w:val="24"/>
          <w:szCs w:val="24"/>
        </w:rPr>
        <w:t xml:space="preserve">2285 · Il verbale che chiuderebbe quattro divergenze.</w:t>
      </w:r>
      <w:r>
        <w:rPr>
          <w:rFonts w:ascii="Barlow Semi Condensed" w:cs="Barlow Semi Condensed" w:eastAsia="Barlow Semi Condensed" w:hAnsi="Barlow Semi Condensed"/>
          <w:sz w:val="24"/>
          <w:szCs w:val="24"/>
        </w:rPr>
        <w:t xml:space="preserve"> Un solo documento risolverebbe insieme la data della deposizione, la formula pronunciata, il modo in cui il nome fu ottenuto in aula e il rapporto fra l'audizione parlamentare e il dibattimento: il verbale integrale dell'udienza del novembre millenovecentottantadue. È il bersaglio a più alto rendimento dell'intera serie, e non si trova in America: si trova a Roma, negli atti della Corte d'assise.</w:t>
      </w:r>
    </w:p>
    <w:p>
      <w:pPr>
        <w:spacing w:after="120" w:line="276"/>
        <w:jc w:val="both"/>
      </w:pPr>
      <w:r>
        <w:rPr>
          <w:rFonts w:ascii="Barlow Semi Condensed" w:cs="Barlow Semi Condensed" w:eastAsia="Barlow Semi Condensed" w:hAnsi="Barlow Semi Condensed"/>
          <w:b/>
          <w:bCs/>
          <w:sz w:val="24"/>
          <w:szCs w:val="24"/>
        </w:rPr>
        <w:t xml:space="preserve">2286 · Un nome dentro la voce famiglia.</w:t>
      </w:r>
      <w:r>
        <w:rPr>
          <w:rFonts w:ascii="Barlow Semi Condensed" w:cs="Barlow Semi Condensed" w:eastAsia="Barlow Semi Condensed" w:hAnsi="Barlow Semi Condensed"/>
          <w:sz w:val="24"/>
          <w:szCs w:val="24"/>
        </w:rPr>
        <w:t xml:space="preserve"> Merita d'essere osservata la collocazione, perché è la sola che il repertorio conceda. L'avvertimento compare nell'elenco delle figure del contesto, alla riga dedicata a Eleonora Moro e ai figli, come esempio di ciò che la famiglia testimoniò in Commissione e in tribunale. Il nome è dunque catalogato come contenuto di una deposizione familiare, e non ha voce propria in nessuno dei nove capitoli.</w:t>
      </w:r>
    </w:p>
    <w:p>
      <w:pPr>
        <w:spacing w:after="120" w:line="276"/>
        <w:jc w:val="both"/>
      </w:pPr>
      <w:r>
        <w:rPr>
          <w:rFonts w:ascii="Barlow Semi Condensed" w:cs="Barlow Semi Condensed" w:eastAsia="Barlow Semi Condensed" w:hAnsi="Barlow Semi Condensed"/>
          <w:b/>
          <w:bCs/>
          <w:sz w:val="24"/>
          <w:szCs w:val="24"/>
        </w:rPr>
        <w:t xml:space="preserve">2287 · Il portavoce non è la famiglia.</w:t>
      </w:r>
      <w:r>
        <w:rPr>
          <w:rFonts w:ascii="Barlow Semi Condensed" w:cs="Barlow Semi Condensed" w:eastAsia="Barlow Semi Condensed" w:hAnsi="Barlow Semi Condensed"/>
          <w:sz w:val="24"/>
          <w:szCs w:val="24"/>
        </w:rPr>
        <w:t xml:space="preserve"> Rilievo di esattezza sulla riga precedente. La testimonianza in tribunale sull'episodio fu resa da Corrado Guerzoni, portavoce di Moro e non suo familiare; la vedova parlò in Commissione, e in aula di un'alta personalità senza nominarla. Attribuire alla famiglia l'intero episodio comprime due fonti diverse in una sola. La correzione è di catalogo e non muta il grado, ma un repertorio vive di distinzioni come questa.</w:t>
      </w:r>
    </w:p>
    <w:p>
      <w:pPr>
        <w:spacing w:after="120" w:line="276"/>
        <w:jc w:val="both"/>
      </w:pPr>
      <w:r>
        <w:rPr>
          <w:rFonts w:ascii="Barlow Semi Condensed" w:cs="Barlow Semi Condensed" w:eastAsia="Barlow Semi Condensed" w:hAnsi="Barlow Semi Condensed"/>
          <w:b/>
          <w:bCs/>
          <w:sz w:val="24"/>
          <w:szCs w:val="24"/>
        </w:rPr>
        <w:t xml:space="preserve">2288 · Grado dell'atto, grado del fatto.</w:t>
      </w:r>
      <w:r>
        <w:rPr>
          <w:rFonts w:ascii="Barlow Semi Condensed" w:cs="Barlow Semi Condensed" w:eastAsia="Barlow Semi Condensed" w:hAnsi="Barlow Semi Condensed"/>
          <w:sz w:val="24"/>
          <w:szCs w:val="24"/>
        </w:rPr>
        <w:t xml:space="preserve"> Regola generale per un catalogo che grada voce per voce. Il capitolo settantaquattresimo scrive che la testimonianza della famiglia è di grado B: vero, se si intende che le deposizioni esistono e sono verbalizzate. Il fatto testimoniato, cioè la frase pronunciata, non eredita quel grado. Confondere il grado dell'atto testimoniale col grado del contenuto è il modo più elegante di promuovere un'ipotesi senza dichiararlo.</w:t>
      </w:r>
    </w:p>
    <w:p>
      <w:pPr>
        <w:spacing w:after="120" w:line="276"/>
        <w:jc w:val="both"/>
      </w:pPr>
      <w:r>
        <w:rPr>
          <w:rFonts w:ascii="Barlow Semi Condensed" w:cs="Barlow Semi Condensed" w:eastAsia="Barlow Semi Condensed" w:hAnsi="Barlow Semi Condensed"/>
          <w:b/>
          <w:bCs/>
          <w:sz w:val="24"/>
          <w:szCs w:val="24"/>
        </w:rPr>
        <w:t xml:space="preserve">2289 · Tre formulazioni per un solo nodo.</w:t>
      </w:r>
      <w:r>
        <w:rPr>
          <w:rFonts w:ascii="Barlow Semi Condensed" w:cs="Barlow Semi Condensed" w:eastAsia="Barlow Semi Condensed" w:hAnsi="Barlow Semi Condensed"/>
          <w:sz w:val="24"/>
          <w:szCs w:val="24"/>
        </w:rPr>
        <w:t xml:space="preserve"> Tre formule convivono nel corpus per lo stesso nodo, e pesano diversamente: il capitolo settantaquattresimo qualifica la testimonianza grado B, la Nota di revisione numero due la definisce testimonianza contestata e non accertamento, il blocco ottocentosettantaquattro dei mille blocchi scrive grado B debole. Nessuna smentisce le altre. Restino tutte visibili finché il resoconto stenografico non consenta di sceglierne una con un documento in mano.</w:t>
      </w:r>
    </w:p>
    <w:p>
      <w:pPr>
        <w:spacing w:after="120" w:line="276"/>
        <w:jc w:val="both"/>
      </w:pPr>
      <w:r>
        <w:rPr>
          <w:rFonts w:ascii="Barlow Semi Condensed" w:cs="Barlow Semi Condensed" w:eastAsia="Barlow Semi Condensed" w:hAnsi="Barlow Semi Condensed"/>
          <w:b/>
          <w:bCs/>
          <w:sz w:val="24"/>
          <w:szCs w:val="24"/>
        </w:rPr>
        <w:t xml:space="preserve">2290 · Nel Settantotto il segretario era Vance.</w:t>
      </w:r>
      <w:r>
        <w:rPr>
          <w:rFonts w:ascii="Barlow Semi Condensed" w:cs="Barlow Semi Condensed" w:eastAsia="Barlow Semi Condensed" w:hAnsi="Barlow Semi Condensed"/>
          <w:sz w:val="24"/>
          <w:szCs w:val="24"/>
        </w:rPr>
        <w:t xml:space="preserve"> Durante i cinquantacinque giorni il Dipartimento di Stato era guidato da Cyrus Vance, e il consulente Pieczenik rispondeva a quella catena, non al suo predecessore. Il repertorio, che al capitolo settantaquattresimo scrive «il consulente americano» senza attribuirlo ad alcun superiore nominato, è più preciso di gran parte della pubblicistica corrente. La precisione va conservata citandolo, e va perduta ogni volta che si scrive Dipartimento intendendo una persona.</w:t>
      </w:r>
    </w:p>
    <w:p>
      <w:pPr>
        <w:spacing w:after="120" w:line="276"/>
        <w:jc w:val="both"/>
      </w:pPr>
      <w:r>
        <w:rPr>
          <w:rFonts w:ascii="Barlow Semi Condensed" w:cs="Barlow Semi Condensed" w:eastAsia="Barlow Semi Condensed" w:hAnsi="Barlow Semi Condensed"/>
          <w:b/>
          <w:bCs/>
          <w:sz w:val="24"/>
          <w:szCs w:val="24"/>
        </w:rPr>
        <w:t xml:space="preserve">2291 · L'unica voce statunitense del catalogo.</w:t>
      </w:r>
      <w:r>
        <w:rPr>
          <w:rFonts w:ascii="Barlow Semi Condensed" w:cs="Barlow Semi Condensed" w:eastAsia="Barlow Semi Condensed" w:hAnsi="Barlow Semi Condensed"/>
          <w:sz w:val="24"/>
          <w:szCs w:val="24"/>
        </w:rPr>
        <w:t xml:space="preserve"> Nel repertorio la sola presenza americana catalogata come figura è Steve Pieczenik: presenza di grado B, dichiarazioni successive di grado C in quanto fonte di parte. La scheda PE-5 aggiunge il divieto di mescolare quelle dichiarazioni con le serie archivistiche. Osservazione da registrare: il versante statunitense del caso, nel catalogo, ha un solo nome, ed è quello di un consulente, non di un decisore.</w:t>
      </w:r>
    </w:p>
    <w:p>
      <w:pPr>
        <w:spacing w:after="120" w:line="276"/>
        <w:jc w:val="both"/>
      </w:pPr>
      <w:r>
        <w:rPr>
          <w:rFonts w:ascii="Barlow Semi Condensed" w:cs="Barlow Semi Condensed" w:eastAsia="Barlow Semi Condensed" w:hAnsi="Barlow Semi Condensed"/>
          <w:b/>
          <w:bCs/>
          <w:sz w:val="24"/>
          <w:szCs w:val="24"/>
        </w:rPr>
        <w:t xml:space="preserve">2292 · Il comitato che non si riunì.</w:t>
      </w:r>
      <w:r>
        <w:rPr>
          <w:rFonts w:ascii="Barlow Semi Condensed" w:cs="Barlow Semi Condensed" w:eastAsia="Barlow Semi Condensed" w:hAnsi="Barlow Semi Condensed"/>
          <w:sz w:val="24"/>
          <w:szCs w:val="24"/>
        </w:rPr>
        <w:t xml:space="preserve"> Accerta la ricognizione delle piste sulle entità che il comitato di esperti cui il consulente è ricondotto fu informale e non si riunì mai collegialmente. Il repertorio lo colloca genericamente nel comitato di crisi. Le due formule non si contraddicono ma non coincidono, e la seconda è la più precisa. Sede per fissarla in via definitiva: gli stenografici della Commissione Stragi, dove la composizione dei comitati è discussa.</w:t>
      </w:r>
    </w:p>
    <w:p>
      <w:pPr>
        <w:spacing w:after="120" w:line="276"/>
        <w:jc w:val="both"/>
      </w:pPr>
      <w:r>
        <w:rPr>
          <w:rFonts w:ascii="Barlow Semi Condensed" w:cs="Barlow Semi Condensed" w:eastAsia="Barlow Semi Condensed" w:hAnsi="Barlow Semi Condensed"/>
          <w:b/>
          <w:bCs/>
          <w:sz w:val="24"/>
          <w:szCs w:val="24"/>
        </w:rPr>
        <w:t xml:space="preserve">2293 · Hyperion, esito liberatorio.</w:t>
      </w:r>
      <w:r>
        <w:rPr>
          <w:rFonts w:ascii="Barlow Semi Condensed" w:cs="Barlow Semi Condensed" w:eastAsia="Barlow Semi Condensed" w:hAnsi="Barlow Semi Condensed"/>
          <w:sz w:val="24"/>
          <w:szCs w:val="24"/>
        </w:rPr>
        <w:t xml:space="preserve"> Sul nodo del quadro internazionale il capitolo settantaquattresimo rinvia a triangolazione-hyperion-corpus.md, con proscioglimenti e presunzione piena per i fondatori. Fra quel nodo e il nome di questa serie il corpus non registra alcun documento di collegamento: né un atto che li nomini insieme, né una fonte terziaria che lo sostenga con riscontro. Due congetture separate restano due congetture separate, e sommarle non produce una terza.</w:t>
      </w:r>
    </w:p>
    <w:p>
      <w:pPr>
        <w:spacing w:after="120" w:line="276"/>
        <w:jc w:val="both"/>
      </w:pPr>
      <w:r>
        <w:rPr>
          <w:rFonts w:ascii="Barlow Semi Condensed" w:cs="Barlow Semi Condensed" w:eastAsia="Barlow Semi Condensed" w:hAnsi="Barlow Semi Condensed"/>
          <w:b/>
          <w:bCs/>
          <w:sz w:val="24"/>
          <w:szCs w:val="24"/>
        </w:rPr>
        <w:t xml:space="preserve">2294 · I fondi privati dei protagonisti.</w:t>
      </w:r>
      <w:r>
        <w:rPr>
          <w:rFonts w:ascii="Barlow Semi Condensed" w:cs="Barlow Semi Condensed" w:eastAsia="Barlow Semi Condensed" w:hAnsi="Barlow Semi Condensed"/>
          <w:sz w:val="24"/>
          <w:szCs w:val="24"/>
        </w:rPr>
        <w:t xml:space="preserve"> Quesito distribuito su sei sedi già accertate dal corpus: l'archivio Andreotti e quello della Democrazia cristiana all'Istituto Sturzo, le carte Cossiga all'Archivio storico della Camera, il fondo Craxi alla sua Fondazione, l'archivio del Partito comunista alla Fondazione Gramsci. In quale di essi il nome ricorre, in quali anni e in quale genere di carta? La tavola delle occorrenze non esiste e sarebbe il primo risultato solido.</w:t>
      </w:r>
    </w:p>
    <w:p>
      <w:pPr>
        <w:spacing w:after="120" w:line="276"/>
        <w:jc w:val="both"/>
      </w:pPr>
      <w:r>
        <w:rPr>
          <w:rFonts w:ascii="Barlow Semi Condensed" w:cs="Barlow Semi Condensed" w:eastAsia="Barlow Semi Condensed" w:hAnsi="Barlow Semi Condensed"/>
          <w:b/>
          <w:bCs/>
          <w:sz w:val="24"/>
          <w:szCs w:val="24"/>
        </w:rPr>
        <w:t xml:space="preserve">2295 · Il Vaticano oltre il calendario.</w:t>
      </w:r>
      <w:r>
        <w:rPr>
          <w:rFonts w:ascii="Barlow Semi Condensed" w:cs="Barlow Semi Condensed" w:eastAsia="Barlow Semi Condensed" w:hAnsi="Barlow Semi Condensed"/>
          <w:sz w:val="24"/>
          <w:szCs w:val="24"/>
        </w:rPr>
        <w:t xml:space="preserve"> Assenza con calendario dichiarato, non con sospetto: le carte della Santa Sede sul millenovecentosettantotto non sono consultabili, poiché l'Archivio apostolico è aperto fino alla fine del pontificato di Pio dodicesimo. La sede che colmerebbe la voce esiste ed è nominabile; manca soltanto la data di apertura. Fino ad allora, sulla mediazione vaticana e su ogni suo eventuale versante americano, il corpus non ha titolo per dire nulla.</w:t>
      </w:r>
    </w:p>
    <w:p>
      <w:pPr>
        <w:spacing w:after="120" w:line="276"/>
        <w:jc w:val="both"/>
      </w:pPr>
      <w:r>
        <w:rPr>
          <w:rFonts w:ascii="Barlow Semi Condensed" w:cs="Barlow Semi Condensed" w:eastAsia="Barlow Semi Condensed" w:hAnsi="Barlow Semi Condensed"/>
          <w:b/>
          <w:bCs/>
          <w:sz w:val="24"/>
          <w:szCs w:val="24"/>
        </w:rPr>
        <w:t xml:space="preserve">2296 · La casella esatta del nome.</w:t>
      </w:r>
      <w:r>
        <w:rPr>
          <w:rFonts w:ascii="Barlow Semi Condensed" w:cs="Barlow Semi Condensed" w:eastAsia="Barlow Semi Condensed" w:hAnsi="Barlow Semi Condensed"/>
          <w:sz w:val="24"/>
          <w:szCs w:val="24"/>
        </w:rPr>
        <w:t xml:space="preserve"> Fra gli otto nodi aperti del capitolo settantacinquesimo il settimo è quello che ci riguarda: fatti singoli documentati al grado B, regia estera al grado C, con rinvio a Hyperion e al nodo M-5. È la collocazione corretta e la serie non chiede di cambiarla. Chiede una cosa sola, che accanto alla C compaia, per le ricerche già chiuse in negativo, il segno dello Stato Zero.</w:t>
      </w:r>
    </w:p>
    <w:p>
      <w:pPr>
        <w:spacing w:after="120" w:line="276"/>
        <w:jc w:val="both"/>
      </w:pPr>
      <w:r>
        <w:rPr>
          <w:rFonts w:ascii="Barlow Semi Condensed" w:cs="Barlow Semi Condensed" w:eastAsia="Barlow Semi Condensed" w:hAnsi="Barlow Semi Condensed"/>
          <w:b/>
          <w:bCs/>
          <w:sz w:val="24"/>
          <w:szCs w:val="24"/>
        </w:rPr>
        <w:t xml:space="preserve">2297 · I centauri non hanno versante estero.</w:t>
      </w:r>
      <w:r>
        <w:rPr>
          <w:rFonts w:ascii="Barlow Semi Condensed" w:cs="Barlow Semi Condensed" w:eastAsia="Barlow Semi Condensed" w:hAnsi="Barlow Semi Condensed"/>
          <w:sz w:val="24"/>
          <w:szCs w:val="24"/>
        </w:rPr>
        <w:t xml:space="preserve"> Riguarda il primo nodo aperto le due motociclette e i quattro uomini a bordo, accertamento della Commissione Moro 2 con identità rimasta ignota. Nessuna delle ipotesi identificative circolanti poggia su un documento di provenienza estera, e la perizia balistica del duemilaquindici lavora su reperti italiani. Chi importa qui una presenza straniera lo fa per riempire un'identità mancante: è esattamente la mossa che il repertorio vieta.</w:t>
      </w:r>
    </w:p>
    <w:p>
      <w:pPr>
        <w:spacing w:after="120" w:line="276"/>
        <w:jc w:val="both"/>
      </w:pPr>
      <w:r>
        <w:rPr>
          <w:rFonts w:ascii="Barlow Semi Condensed" w:cs="Barlow Semi Condensed" w:eastAsia="Barlow Semi Condensed" w:hAnsi="Barlow Semi Condensed"/>
          <w:b/>
          <w:bCs/>
          <w:sz w:val="24"/>
          <w:szCs w:val="24"/>
        </w:rPr>
        <w:t xml:space="preserve">2298 · La seduta spiritica resta un vuoto.</w:t>
      </w:r>
      <w:r>
        <w:rPr>
          <w:rFonts w:ascii="Barlow Semi Condensed" w:cs="Barlow Semi Condensed" w:eastAsia="Barlow Semi Condensed" w:hAnsi="Barlow Semi Condensed"/>
          <w:sz w:val="24"/>
          <w:szCs w:val="24"/>
        </w:rPr>
        <w:t xml:space="preserve"> La coincidenza fra il nome uscito dalla seduta e l'indirizzo del covo non è stata sciolta né dai processi né dalle due Commissioni. È un vuoto documentale italiano e va tenuto italiano. Nessuna fonte, nemmeno terziaria, lo collega al nostro nome. Registrare l'assenza anche dove nessuno ha mai affermato una presenza è ciò che distingue un catalogo da una difesa, e questa serie sceglie il catalogo.</w:t>
      </w:r>
    </w:p>
    <w:p>
      <w:pPr>
        <w:spacing w:after="120" w:line="276"/>
        <w:jc w:val="both"/>
      </w:pPr>
      <w:r>
        <w:rPr>
          <w:rFonts w:ascii="Barlow Semi Condensed" w:cs="Barlow Semi Condensed" w:eastAsia="Barlow Semi Condensed" w:hAnsi="Barlow Semi Condensed"/>
          <w:b/>
          <w:bCs/>
          <w:sz w:val="24"/>
          <w:szCs w:val="24"/>
        </w:rPr>
        <w:t xml:space="preserve">2299 · La funzione del falso, ancora ignota.</w:t>
      </w:r>
      <w:r>
        <w:rPr>
          <w:rFonts w:ascii="Barlow Semi Condensed" w:cs="Barlow Semi Condensed" w:eastAsia="Barlow Semi Condensed" w:hAnsi="Barlow Semi Condensed"/>
          <w:sz w:val="24"/>
          <w:szCs w:val="24"/>
        </w:rPr>
        <w:t xml:space="preserve"> Distinguere il falso, accertato, dalla sua funzione, congetturale, è il compito del terzo nodo. Bersaglio di smentita per la variante internazionale di quella congettura: occorrerebbe un documento che colleghi la fabbricazione del comunicato a una committenza, e l'unica committenza documentabile sarebbe quella provata da un ordine scritto o da un pagamento. Nulla di simile risulta nel fascicolo Chichiarelli, per quanto ne è stato spogliato.</w:t>
      </w:r>
    </w:p>
    <w:p>
      <w:pPr>
        <w:spacing w:after="120" w:line="276"/>
        <w:jc w:val="both"/>
      </w:pPr>
      <w:r>
        <w:rPr>
          <w:rFonts w:ascii="Barlow Semi Condensed" w:cs="Barlow Semi Condensed" w:eastAsia="Barlow Semi Condensed" w:hAnsi="Barlow Semi Condensed"/>
          <w:b/>
          <w:bCs/>
          <w:sz w:val="24"/>
          <w:szCs w:val="24"/>
        </w:rPr>
        <w:t xml:space="preserve">2300 · Dolo e inefficienza, senza scorciatoie.</w:t>
      </w:r>
      <w:r>
        <w:rPr>
          <w:rFonts w:ascii="Barlow Semi Condensed" w:cs="Barlow Semi Condensed" w:eastAsia="Barlow Semi Condensed" w:hAnsi="Barlow Semi Condensed"/>
          <w:sz w:val="24"/>
          <w:szCs w:val="24"/>
        </w:rPr>
        <w:t xml:space="preserve"> Se i ritardi delle ricerche furono negligenza o volontà, il quinto nodo lo lascia indeciso. La scorciatoia più tentante consiste nel colmare l'indecisione con una volontà esterna, che spiegherebbe tutto e non prova nulla. La Parte terza lo scrive nella forma più dura: dieci negligenze non provano un piano. Ogni ritardo va provato uno per uno, con una carta, e quella carta ha un protocollo italiano.</w:t>
      </w:r>
    </w:p>
    <w:p>
      <w:pPr>
        <w:spacing w:after="120" w:line="276"/>
        <w:jc w:val="both"/>
      </w:pPr>
      <w:r>
        <w:rPr>
          <w:rFonts w:ascii="Barlow Semi Condensed" w:cs="Barlow Semi Condensed" w:eastAsia="Barlow Semi Condensed" w:hAnsi="Barlow Semi Condensed"/>
          <w:b/>
          <w:bCs/>
          <w:sz w:val="24"/>
          <w:szCs w:val="24"/>
        </w:rPr>
        <w:t xml:space="preserve">2301 · Ciò che manca al memoriale.</w:t>
      </w:r>
      <w:r>
        <w:rPr>
          <w:rFonts w:ascii="Barlow Semi Condensed" w:cs="Barlow Semi Condensed" w:eastAsia="Barlow Semi Condensed" w:hAnsi="Barlow Semi Condensed"/>
          <w:sz w:val="24"/>
          <w:szCs w:val="24"/>
        </w:rPr>
        <w:t xml:space="preserve"> Ritrovamenti gradati A e ciò che manchi lasciato indeterminato: così il sesto nodo tratta la completezza degli scritti. Regola severa che ne discende: da un testo incompleto non si deduce che cosa contenesse la parte assente. Chi sostiene che il memoriale integrale nominerebbe presenze straniere afferma una cosa che, per costruzione, nessuno può verificare, ed è l'argomento non falsificabile che il Pollo di Popper insegna a rifiutare.</w:t>
      </w:r>
    </w:p>
    <w:p>
      <w:pPr>
        <w:spacing w:after="120" w:line="276"/>
        <w:jc w:val="both"/>
      </w:pPr>
      <w:r>
        <w:rPr>
          <w:rFonts w:ascii="Barlow Semi Condensed" w:cs="Barlow Semi Condensed" w:eastAsia="Barlow Semi Condensed" w:hAnsi="Barlow Semi Condensed"/>
          <w:b/>
          <w:bCs/>
          <w:sz w:val="24"/>
          <w:szCs w:val="24"/>
        </w:rPr>
        <w:t xml:space="preserve">2302 · L'indicibile non prende nomi.</w:t>
      </w:r>
      <w:r>
        <w:rPr>
          <w:rFonts w:ascii="Barlow Semi Condensed" w:cs="Barlow Semi Condensed" w:eastAsia="Barlow Semi Condensed" w:hAnsi="Barlow Semi Condensed"/>
          <w:sz w:val="24"/>
          <w:szCs w:val="24"/>
        </w:rPr>
        <w:t xml:space="preserve"> L'ottavo nodo misura l'ampiezza della verità dicibile e dichiara non misurabile l'indicibile. Ne discende il divieto più utile dell'intera serie: uno spazio dichiarato incognito non si riempie con un nome, quale che sia. La formula della Commissione dice che la verità disponibile è incompleta, non che ne esista un'altra già nota e taciuta. Fra le due proposizioni corre tutta la differenza fra ricerca e dietrologia.</w:t>
      </w:r>
    </w:p>
    <w:p>
      <w:pPr>
        <w:spacing w:after="120" w:line="276"/>
        <w:jc w:val="both"/>
      </w:pPr>
      <w:r>
        <w:rPr>
          <w:rFonts w:ascii="Barlow Semi Condensed" w:cs="Barlow Semi Condensed" w:eastAsia="Barlow Semi Condensed" w:hAnsi="Barlow Semi Condensed"/>
          <w:b/>
          <w:bCs/>
          <w:sz w:val="24"/>
          <w:szCs w:val="24"/>
        </w:rPr>
        <w:t xml:space="preserve">2303 · Il rinvio da aggiornare.</w:t>
      </w:r>
      <w:r>
        <w:rPr>
          <w:rFonts w:ascii="Barlow Semi Condensed" w:cs="Barlow Semi Condensed" w:eastAsia="Barlow Semi Condensed" w:hAnsi="Barlow Semi Condensed"/>
          <w:sz w:val="24"/>
          <w:szCs w:val="24"/>
        </w:rPr>
        <w:t xml:space="preserve"> Rimandare al nodo M-5 andava bene il giorno in cui il rinvio fu scritto, e oggi va accompagnato. Nella stesura originaria M-5 non conteneva la smentita dell'interessato, non qualificava la testimonianza come resa de relato e non registrava la divergenza sulle date fra millenovecentosettantaquattro, millenovecentosettantasei e millenovecentosettantasette. La Nota di revisione numero due gli si affianca senza riscriverlo: è quella nota che il repertorio deve citare.</w:t>
      </w:r>
    </w:p>
    <w:p>
      <w:pPr>
        <w:spacing w:after="120" w:line="276"/>
        <w:jc w:val="both"/>
      </w:pPr>
      <w:r>
        <w:rPr>
          <w:rFonts w:ascii="Barlow Semi Condensed" w:cs="Barlow Semi Condensed" w:eastAsia="Barlow Semi Condensed" w:hAnsi="Barlow Semi Condensed"/>
          <w:b/>
          <w:bCs/>
          <w:sz w:val="24"/>
          <w:szCs w:val="24"/>
        </w:rPr>
        <w:t xml:space="preserve">2304 · Quattro esclusioni, nessuna sulle assenze.</w:t>
      </w:r>
      <w:r>
        <w:rPr>
          <w:rFonts w:ascii="Barlow Semi Condensed" w:cs="Barlow Semi Condensed" w:eastAsia="Barlow Semi Condensed" w:hAnsi="Barlow Semi Condensed"/>
          <w:sz w:val="24"/>
          <w:szCs w:val="24"/>
        </w:rPr>
        <w:t xml:space="preserve"> Si giudica un repertorio anche da ciò che rifiuta di elencare, e la Fase nona rifiuta quattro cose: la graduatoria dei responsabili oltre il giudicato, i nomi di viventi come colpevoli, le congetture spacciate per gradi superiori, il materiale su viventi con attribuzioni non riscontrate. Nessuna delle quattro riguarda le ricerche chiuse in negativo, che mancano non per divieto ma per assenza di casella.</w:t>
      </w:r>
    </w:p>
    <w:p>
      <w:pPr>
        <w:spacing w:after="120" w:line="276"/>
        <w:jc w:val="both"/>
      </w:pPr>
      <w:r>
        <w:rPr>
          <w:rFonts w:ascii="Barlow Semi Condensed" w:cs="Barlow Semi Condensed" w:eastAsia="Barlow Semi Condensed" w:hAnsi="Barlow Semi Condensed"/>
          <w:b/>
          <w:bCs/>
          <w:sz w:val="24"/>
          <w:szCs w:val="24"/>
        </w:rPr>
        <w:t xml:space="preserve">2305 · La morte non abbassa lo standard.</w:t>
      </w:r>
      <w:r>
        <w:rPr>
          <w:rFonts w:ascii="Barlow Semi Condensed" w:cs="Barlow Semi Condensed" w:eastAsia="Barlow Semi Condensed" w:hAnsi="Barlow Semi Condensed"/>
          <w:sz w:val="24"/>
          <w:szCs w:val="24"/>
        </w:rPr>
        <w:t xml:space="preserve"> Morto a Kent, nel Connecticut, il ventinove novembre duemilaventitré, Kissinger non è più coperto dalla clausola del capitolo settantaseiesimo che protegge le persone viventi. Non ne segue alcuna licenza. Il divieto che lo riguarda non è quello sui viventi, è quello sul giudicato, e il giudicato non muta con l'anagrafe: un morto non diventa imputabile per il fatto di non poter più smentire.</w:t>
      </w:r>
    </w:p>
    <w:p>
      <w:pPr>
        <w:spacing w:after="120" w:line="276"/>
        <w:jc w:val="both"/>
      </w:pPr>
      <w:r>
        <w:rPr>
          <w:rFonts w:ascii="Barlow Semi Condensed" w:cs="Barlow Semi Condensed" w:eastAsia="Barlow Semi Condensed" w:hAnsi="Barlow Semi Condensed"/>
          <w:b/>
          <w:bCs/>
          <w:sz w:val="24"/>
          <w:szCs w:val="24"/>
        </w:rPr>
        <w:t xml:space="preserve">2306 · Il divieto costitutivo, e la sua ragione.</w:t>
      </w:r>
      <w:r>
        <w:rPr>
          <w:rFonts w:ascii="Barlow Semi Condensed" w:cs="Barlow Semi Condensed" w:eastAsia="Barlow Semi Condensed" w:hAnsi="Barlow Semi Condensed"/>
          <w:sz w:val="24"/>
          <w:szCs w:val="24"/>
        </w:rPr>
        <w:t xml:space="preserve"> Fissato al capitolo undicesimo della Parte terza, il divieto di imputare oltre il giudicato è chiamato dal repertorio divieto costitutivo dell'opera. Vale più che altrove in un catalogo, vi si legge, perché un elenco dà l'illusione della completezza e quindi della sentenza. Applicato a questo nome, significa che nemmeno l'accumulo di settantacinque bersagli produce una riga di addebito: i bersagli restano domande.</w:t>
      </w:r>
    </w:p>
    <w:p>
      <w:pPr>
        <w:spacing w:after="120" w:line="276"/>
        <w:jc w:val="both"/>
      </w:pPr>
      <w:r>
        <w:rPr>
          <w:rFonts w:ascii="Barlow Semi Condensed" w:cs="Barlow Semi Condensed" w:eastAsia="Barlow Semi Condensed" w:hAnsi="Barlow Semi Condensed"/>
          <w:b/>
          <w:bCs/>
          <w:sz w:val="24"/>
          <w:szCs w:val="24"/>
        </w:rPr>
        <w:t xml:space="preserve">2307 · Il giorno dopo la morte.</w:t>
      </w:r>
      <w:r>
        <w:rPr>
          <w:rFonts w:ascii="Barlow Semi Condensed" w:cs="Barlow Semi Condensed" w:eastAsia="Barlow Semi Condensed" w:hAnsi="Barlow Semi Condensed"/>
          <w:sz w:val="24"/>
          <w:szCs w:val="24"/>
        </w:rPr>
        <w:t xml:space="preserve"> Dato di circolazione da tenere nel catalogo delle congetture spacciate per gradi superiori: le decine di riprese pressoché identiche dell'episodio risalgono a un unico lancio d'agenzia del trenta novembre duemilaventitré, cioè al giorno successivo al decesso. La ripetizione di una sola fonte non moltiplica le fonti. È la pseudoreplica descritta dalla serie dodicesima dei mille blocchi, osservata qui nella sua data esatta.</w:t>
      </w:r>
    </w:p>
    <w:p>
      <w:pPr>
        <w:spacing w:after="120" w:line="276"/>
        <w:jc w:val="both"/>
      </w:pPr>
      <w:r>
        <w:rPr>
          <w:rFonts w:ascii="Barlow Semi Condensed" w:cs="Barlow Semi Condensed" w:eastAsia="Barlow Semi Condensed" w:hAnsi="Barlow Semi Condensed"/>
          <w:b/>
          <w:bCs/>
          <w:sz w:val="24"/>
          <w:szCs w:val="24"/>
        </w:rPr>
        <w:t xml:space="preserve">2308 · La voce che il repertorio guadagnerebbe.</w:t>
      </w:r>
      <w:r>
        <w:rPr>
          <w:rFonts w:ascii="Barlow Semi Condensed" w:cs="Barlow Semi Condensed" w:eastAsia="Barlow Semi Condensed" w:hAnsi="Barlow Semi Condensed"/>
          <w:sz w:val="24"/>
          <w:szCs w:val="24"/>
        </w:rPr>
        <w:t xml:space="preserve"> Formulazione già pronta, se lo statuto accogliesse il quinto grado. Alla lettera K si leggerebbe che la ricerca del documento capace di legare quella persona alla catena di comando del sequestro è stata condotta e chiusa in negativo, che le sedi capaci di riaprirla sono nominabili una per una, e che sull'episodio del millenovecentosettantaquattro esiste una testimonianza contestata con la smentita dell'interessato annotata accanto.</w:t>
      </w:r>
    </w:p>
    <w:p>
      <w:pPr>
        <w:spacing w:after="120" w:line="276"/>
        <w:jc w:val="both"/>
      </w:pPr>
      <w:r>
        <w:rPr>
          <w:rFonts w:ascii="Barlow Semi Condensed" w:cs="Barlow Semi Condensed" w:eastAsia="Barlow Semi Condensed" w:hAnsi="Barlow Semi Condensed"/>
          <w:b/>
          <w:bCs/>
          <w:sz w:val="24"/>
          <w:szCs w:val="24"/>
        </w:rPr>
        <w:t xml:space="preserve">2309 · Che cosa smentirebbe l'intera serie (serie XXX).</w:t>
      </w:r>
      <w:r>
        <w:rPr>
          <w:rFonts w:ascii="Barlow Semi Condensed" w:cs="Barlow Semi Condensed" w:eastAsia="Barlow Semi Condensed" w:hAnsi="Barlow Semi Condensed"/>
          <w:sz w:val="24"/>
          <w:szCs w:val="24"/>
        </w:rPr>
        <w:t xml:space="preserve"> Una serie che non dichiara come cadere non è ricerca. Questa cadrebbe davanti a un solo tipo di reperto: un atto di provenienza, non una memoria e non un'intervista e non una relazione altrui, che nominasse insieme il nome triangolato e uno qualsiasi degli oggetti catalogati nella Fase nona, in rapporto operativo e con data. Un reperto simile trasferirebbe l'intera materia dal piano tre al piano uno.</w:t>
      </w:r>
    </w:p>
    <w:p>
      <w:pPr>
        <w:spacing w:after="120" w:line="276"/>
        <w:jc w:val="both"/>
      </w:pPr>
      <w:r>
        <w:rPr>
          <w:rFonts w:ascii="Barlow Semi Condensed" w:cs="Barlow Semi Condensed" w:eastAsia="Barlow Semi Condensed" w:hAnsi="Barlow Semi Condensed"/>
          <w:b/>
          <w:bCs/>
          <w:sz w:val="24"/>
          <w:szCs w:val="24"/>
        </w:rPr>
        <w:t xml:space="preserve">2310 · Bilancio della triangolazione territoriale.</w:t>
      </w:r>
      <w:r>
        <w:rPr>
          <w:rFonts w:ascii="Barlow Semi Condensed" w:cs="Barlow Semi Condensed" w:eastAsia="Barlow Semi Condensed" w:hAnsi="Barlow Semi Condensed"/>
          <w:sz w:val="24"/>
          <w:szCs w:val="24"/>
        </w:rPr>
        <w:t xml:space="preserve"> Su nove capitoli e sei tavole il nome ricorre una volta sola, in posizione subordinata, dentro la testimonianza di altri. Nessun luogo, nessun documento del caso, nessun atto giudiziario del repertorio lo tocca. Il risultato è un'assenza fitta di sedi nominate, ed è il risultato corretto. Un catalogo che dicesse di più direbbe di troppo, e di cataloghi generosi il caso Moro ha già sofferto abbastanza.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trentunesima — Le responsabilità personali</w:t>
      </w:r>
    </w:p>
    <w:p>
      <w:pPr>
        <w:spacing w:after="120" w:line="276"/>
        <w:jc w:val="both"/>
      </w:pPr>
      <w:r>
        <w:rPr>
          <w:rFonts w:ascii="Barlow Semi Condensed" w:cs="Barlow Semi Condensed" w:eastAsia="Barlow Semi Condensed" w:hAnsi="Barlow Semi Condensed"/>
          <w:i/>
          <w:iCs/>
          <w:sz w:val="24"/>
          <w:szCs w:val="24"/>
        </w:rPr>
        <w:t xml:space="preserve">Blocchi 2311-2390.</w:t>
      </w:r>
    </w:p>
    <w:p>
      <w:pPr>
        <w:spacing w:after="120" w:line="276"/>
        <w:jc w:val="both"/>
      </w:pPr>
      <w:r>
        <w:rPr>
          <w:rFonts w:ascii="Barlow Semi Condensed" w:cs="Barlow Semi Condensed" w:eastAsia="Barlow Semi Condensed" w:hAnsi="Barlow Semi Condensed"/>
          <w:b/>
          <w:bCs/>
          <w:sz w:val="24"/>
          <w:szCs w:val="24"/>
        </w:rPr>
        <w:t xml:space="preserve">2311 · Zero occorrenze nel capitolo.</w:t>
      </w:r>
      <w:r>
        <w:rPr>
          <w:rFonts w:ascii="Barlow Semi Condensed" w:cs="Barlow Semi Condensed" w:eastAsia="Barlow Semi Condensed" w:hAnsi="Barlow Semi Condensed"/>
          <w:sz w:val="24"/>
          <w:szCs w:val="24"/>
        </w:rPr>
        <w:t xml:space="preserve"> La ricognizione lessicale del file aldo-moro-una-guerra-senza-fine-fase-decima-responsabilita-personali.md restituisce zero occorrenze del cognome Kissinger, in tutti e sei i capitoli dal settantasettesimo all'ottantaduesimo, congedo e nota finale compresi. È un dato verificato, non un'impressione di lettura. Chi volesse smentirlo dovrebbe produrre una redazione diversa del medesimo file: l'assenza è testuale, misurabile, e da qui parte l'intera serie.</w:t>
      </w:r>
    </w:p>
    <w:p>
      <w:pPr>
        <w:spacing w:after="120" w:line="276"/>
        <w:jc w:val="both"/>
      </w:pPr>
      <w:r>
        <w:rPr>
          <w:rFonts w:ascii="Barlow Semi Condensed" w:cs="Barlow Semi Condensed" w:eastAsia="Barlow Semi Condensed" w:hAnsi="Barlow Semi Condensed"/>
          <w:b/>
          <w:bCs/>
          <w:sz w:val="24"/>
          <w:szCs w:val="24"/>
        </w:rPr>
        <w:t xml:space="preserve">2312 · L'assenza come esito corretto.</w:t>
      </w:r>
      <w:r>
        <w:rPr>
          <w:rFonts w:ascii="Barlow Semi Condensed" w:cs="Barlow Semi Condensed" w:eastAsia="Barlow Semi Condensed" w:hAnsi="Barlow Semi Condensed"/>
          <w:sz w:val="24"/>
          <w:szCs w:val="24"/>
        </w:rPr>
        <w:t xml:space="preserve"> Il territorio tace perché il suo criterio d'ingresso è il giudicato: vi entra solo chi una sentenza definitiva ha condannato per il sequestro, per l'eccidio della scorta, per l'omicidio. La Fase nona, al capitolo settantaquattresimo, disponeva ancora di una casella adatta, le figure del contesto catalogate senza addebito, dove l'avvertimento riferito sta al grado B. La Fase decima quella casella non la ha.</w:t>
      </w:r>
    </w:p>
    <w:p>
      <w:pPr>
        <w:spacing w:after="120" w:line="276"/>
        <w:jc w:val="both"/>
      </w:pPr>
      <w:r>
        <w:rPr>
          <w:rFonts w:ascii="Barlow Semi Condensed" w:cs="Barlow Semi Condensed" w:eastAsia="Barlow Semi Condensed" w:hAnsi="Barlow Semi Condensed"/>
          <w:b/>
          <w:bCs/>
          <w:sz w:val="24"/>
          <w:szCs w:val="24"/>
        </w:rPr>
        <w:t xml:space="preserve">2313 · Lo standard del registro nominativo.</w:t>
      </w:r>
      <w:r>
        <w:rPr>
          <w:rFonts w:ascii="Barlow Semi Condensed" w:cs="Barlow Semi Condensed" w:eastAsia="Barlow Semi Condensed" w:hAnsi="Barlow Semi Condensed"/>
          <w:sz w:val="24"/>
          <w:szCs w:val="24"/>
        </w:rPr>
        <w:t xml:space="preserve"> Il capitolo settantanovesimo ammette una persona soltanto quando può indicare, accanto al nome, una condotta accertata e il processo che l'ha resa definitiva: dirigere, sparare, custodire, concorrere. Sono tre colonne e tutte e tre devono essere piene. Per il nome triangolato qui non ne esiste alcuna: nessuna condotta accertata, nessun processo, nessuna definitività. Il vuoto è integrale e va detto per intero, senza attenuazioni.</w:t>
      </w:r>
    </w:p>
    <w:p>
      <w:pPr>
        <w:spacing w:after="120" w:line="276"/>
        <w:jc w:val="both"/>
      </w:pPr>
      <w:r>
        <w:rPr>
          <w:rFonts w:ascii="Barlow Semi Condensed" w:cs="Barlow Semi Condensed" w:eastAsia="Barlow Semi Condensed" w:hAnsi="Barlow Semi Condensed"/>
          <w:b/>
          <w:bCs/>
          <w:sz w:val="24"/>
          <w:szCs w:val="24"/>
        </w:rPr>
        <w:t xml:space="preserve">2314 · Dove il nome starebbe, se stesse.</w:t>
      </w:r>
      <w:r>
        <w:rPr>
          <w:rFonts w:ascii="Barlow Semi Condensed" w:cs="Barlow Semi Condensed" w:eastAsia="Barlow Semi Condensed" w:hAnsi="Barlow Semi Condensed"/>
          <w:sz w:val="24"/>
          <w:szCs w:val="24"/>
        </w:rPr>
        <w:t xml:space="preserve"> La terza avvertenza del registro colloca fuori dal proprio perimetro chiunque sia stato evocato come mandante, come presenza o come centauro, e lo assegna ai gradi B o C senza scriverne il nome. È l'unica casella in cui la pubblicistica colloca abitualmente questo cognome. Il territorio dunque lo prevede per categoria e lo esclude per disciplina: la casella esiste, è dichiarata, ed è vuota di nomi.</w:t>
      </w:r>
    </w:p>
    <w:p>
      <w:pPr>
        <w:spacing w:after="120" w:line="276"/>
        <w:jc w:val="both"/>
      </w:pPr>
      <w:r>
        <w:rPr>
          <w:rFonts w:ascii="Barlow Semi Condensed" w:cs="Barlow Semi Condensed" w:eastAsia="Barlow Semi Condensed" w:hAnsi="Barlow Semi Condensed"/>
          <w:b/>
          <w:bCs/>
          <w:sz w:val="24"/>
          <w:szCs w:val="24"/>
        </w:rPr>
        <w:t xml:space="preserve">2315 · La riga della tavola conclusiva.</w:t>
      </w:r>
      <w:r>
        <w:rPr>
          <w:rFonts w:ascii="Barlow Semi Condensed" w:cs="Barlow Semi Condensed" w:eastAsia="Barlow Semi Condensed" w:hAnsi="Barlow Semi Condensed"/>
          <w:sz w:val="24"/>
          <w:szCs w:val="24"/>
        </w:rPr>
        <w:t xml:space="preserve"> Fra le cinque eliminazioni del capitolo ottantaduesimo compare, senza attenuanti, ogni nome oltre il giudicato, insieme a ogni percentuale e a ogni graduatoria, con la motivazione che si tratta di un divieto costitutivo dell'opera. Applicata al nome di questa triangolazione, quella riga opera da sé: non serve un'esclusione speciale, perché la regola generale la produce già. Al suo posto restano custoditi i gradi B e C dichiarati.</w:t>
      </w:r>
    </w:p>
    <w:p>
      <w:pPr>
        <w:spacing w:after="120" w:line="276"/>
        <w:jc w:val="both"/>
      </w:pPr>
      <w:r>
        <w:rPr>
          <w:rFonts w:ascii="Barlow Semi Condensed" w:cs="Barlow Semi Condensed" w:eastAsia="Barlow Semi Condensed" w:hAnsi="Barlow Semi Condensed"/>
          <w:b/>
          <w:bCs/>
          <w:sz w:val="24"/>
          <w:szCs w:val="24"/>
        </w:rPr>
        <w:t xml:space="preserve">2316 · Chi il congedo nomina davvero.</w:t>
      </w:r>
      <w:r>
        <w:rPr>
          <w:rFonts w:ascii="Barlow Semi Condensed" w:cs="Barlow Semi Condensed" w:eastAsia="Barlow Semi Condensed" w:hAnsi="Barlow Semi Condensed"/>
          <w:sz w:val="24"/>
          <w:szCs w:val="24"/>
        </w:rPr>
        <w:t xml:space="preserve"> Il congedo della Fase decima compila tre elenchi: tredici condannati con le loro condotte, un'assolta che resta assolta, e sei vittime, Oreste Leonardi, Domenico Ricci, Giulio Rivera, Francesco Zizzi, Raffaele Iozzino, Aldo Moro. Nessun quarto elenco esiste. Chi cerchi in questo territorio una categoria di responsabili morali, di ispiratori o di beneficiari non la trova, perché il capitolo non l'ha costruita e non la presuppone.</w:t>
      </w:r>
    </w:p>
    <w:p>
      <w:pPr>
        <w:spacing w:after="120" w:line="276"/>
        <w:jc w:val="both"/>
      </w:pPr>
      <w:r>
        <w:rPr>
          <w:rFonts w:ascii="Barlow Semi Condensed" w:cs="Barlow Semi Condensed" w:eastAsia="Barlow Semi Condensed" w:hAnsi="Barlow Semi Condensed"/>
          <w:b/>
          <w:bCs/>
          <w:sz w:val="24"/>
          <w:szCs w:val="24"/>
        </w:rPr>
        <w:t xml:space="preserve">2317 · Che cosa smentirebbe questo silenzio.</w:t>
      </w:r>
      <w:r>
        <w:rPr>
          <w:rFonts w:ascii="Barlow Semi Condensed" w:cs="Barlow Semi Condensed" w:eastAsia="Barlow Semi Condensed" w:hAnsi="Barlow Semi Condensed"/>
          <w:sz w:val="24"/>
          <w:szCs w:val="24"/>
        </w:rPr>
        <w:t xml:space="preserve"> Un solo reperto rovescerebbe l'accertamento: un provvedimento di rinvio a giudizio, oppure una sentenza divenuta definitiva, che attribuisca a Henry Kissinger una condotta personale nel sequestro o nell'omicidio, in Italia o altrove. Nessun ordinamento ne ha mai emesso uno, e nessuna imputazione fu mai formulata. Finché il reperto non compare, il territorio resta muto su di lui per struttura del proprio criterio, non per scelta redazionale.</w:t>
      </w:r>
    </w:p>
    <w:p>
      <w:pPr>
        <w:spacing w:after="120" w:line="276"/>
        <w:jc w:val="both"/>
      </w:pPr>
      <w:r>
        <w:rPr>
          <w:rFonts w:ascii="Barlow Semi Condensed" w:cs="Barlow Semi Condensed" w:eastAsia="Barlow Semi Condensed" w:hAnsi="Barlow Semi Condensed"/>
          <w:b/>
          <w:bCs/>
          <w:sz w:val="24"/>
          <w:szCs w:val="24"/>
        </w:rPr>
        <w:t xml:space="preserve">2318 · Uno Stato Zero di pieno valore.</w:t>
      </w:r>
      <w:r>
        <w:rPr>
          <w:rFonts w:ascii="Barlow Semi Condensed" w:cs="Barlow Semi Condensed" w:eastAsia="Barlow Semi Condensed" w:hAnsi="Barlow Semi Condensed"/>
          <w:sz w:val="24"/>
          <w:szCs w:val="24"/>
        </w:rPr>
        <w:t xml:space="preserve"> Dichiarare un'assenza con esattezza è un'acquisizione e non una rinuncia: dice al lettore che qui si è cercato, dove si è cercato, e che il risultato è negativo. La Fase sesta lo aveva già enunciato nel proprio perimetro negativo, elencando fra i documenti cercati e non trovati quello che leghi Kissinger-persona alla catena di comando del delitto. La Fase decima ne offre la conferma dal lato dei nomi.</w:t>
      </w:r>
    </w:p>
    <w:p>
      <w:pPr>
        <w:spacing w:after="120" w:line="276"/>
        <w:jc w:val="both"/>
      </w:pPr>
      <w:r>
        <w:rPr>
          <w:rFonts w:ascii="Barlow Semi Condensed" w:cs="Barlow Semi Condensed" w:eastAsia="Barlow Semi Condensed" w:hAnsi="Barlow Semi Condensed"/>
          <w:b/>
          <w:bCs/>
          <w:sz w:val="24"/>
          <w:szCs w:val="24"/>
        </w:rPr>
        <w:t xml:space="preserve">2319 · La prima deriva, verso il nome.</w:t>
      </w:r>
      <w:r>
        <w:rPr>
          <w:rFonts w:ascii="Barlow Semi Condensed" w:cs="Barlow Semi Condensed" w:eastAsia="Barlow Semi Condensed" w:hAnsi="Barlow Semi Condensed"/>
          <w:sz w:val="24"/>
          <w:szCs w:val="24"/>
        </w:rPr>
        <w:t xml:space="preserve"> La prima deriva vietata dal capitolo settantasettesimo scende dal gruppo al singolo: apparteneva alle Brigate Rosse, dunque è corresponsabile di via Fani. Trasferito sul versante atlantico, il divieto suona così: fu segretario di Stato dell'amministrazione che osteggiava l'ingresso comunista, dunque risponde di ciò che accadde a Roma nel 1978. È la medesima inferenza, con la medesima struttura, e cade per la medesima ragione.</w:t>
      </w:r>
    </w:p>
    <w:p>
      <w:pPr>
        <w:spacing w:after="120" w:line="276"/>
        <w:jc w:val="both"/>
      </w:pPr>
      <w:r>
        <w:rPr>
          <w:rFonts w:ascii="Barlow Semi Condensed" w:cs="Barlow Semi Condensed" w:eastAsia="Barlow Semi Condensed" w:hAnsi="Barlow Semi Condensed"/>
          <w:b/>
          <w:bCs/>
          <w:sz w:val="24"/>
          <w:szCs w:val="24"/>
        </w:rPr>
        <w:t xml:space="preserve">2320 · La seconda deriva e la sua comodità.</w:t>
      </w:r>
      <w:r>
        <w:rPr>
          <w:rFonts w:ascii="Barlow Semi Condensed" w:cs="Barlow Semi Condensed" w:eastAsia="Barlow Semi Condensed" w:hAnsi="Barlow Semi Condensed"/>
          <w:sz w:val="24"/>
          <w:szCs w:val="24"/>
        </w:rPr>
        <w:t xml:space="preserve"> Più sottile è il movimento inverso, che il capitolo chiama deresponsabilizzazione collettiva ascendente: dire fu Washington, fu l'Alleanza, fu la Guerra fredda, e lasciare che la colpa evapori salendo. Il territorio lo vieta per i gruppi armati e la ragione vale identica per gli apparati statali, perché un collettivo non è un soggetto morale capace di assorbire condotte. Se una condotta ci fosse, avrebbe un nome e un atto.</w:t>
      </w:r>
    </w:p>
    <w:p>
      <w:pPr>
        <w:spacing w:after="120" w:line="276"/>
        <w:jc w:val="both"/>
      </w:pPr>
      <w:r>
        <w:rPr>
          <w:rFonts w:ascii="Barlow Semi Condensed" w:cs="Barlow Semi Condensed" w:eastAsia="Barlow Semi Condensed" w:hAnsi="Barlow Semi Condensed"/>
          <w:b/>
          <w:bCs/>
          <w:sz w:val="24"/>
          <w:szCs w:val="24"/>
        </w:rPr>
        <w:t xml:space="preserve">2321 · L'ente e il membro, in due sensi.</w:t>
      </w:r>
      <w:r>
        <w:rPr>
          <w:rFonts w:ascii="Barlow Semi Condensed" w:cs="Barlow Semi Condensed" w:eastAsia="Barlow Semi Condensed" w:hAnsi="Barlow Semi Condensed"/>
          <w:sz w:val="24"/>
          <w:szCs w:val="24"/>
        </w:rPr>
        <w:t xml:space="preserve"> Nessun ente è colpevole delle condotte dei suoi membri, nessun membro è colpevole dell'esistenza del suo ente: così chiude il capitolo ottantunesimo, che applica la formula ai Lupi Grigi del dossier turco e all'Opus Dei dei versanti mediterranei. Estesa al Consiglio di sicurezza nazionale e al Dipartimento di Stato, produce due divieti in un colpo solo, e non ne ammette uno senza l'altro.</w:t>
      </w:r>
    </w:p>
    <w:p>
      <w:pPr>
        <w:spacing w:after="120" w:line="276"/>
        <w:jc w:val="both"/>
      </w:pPr>
      <w:r>
        <w:rPr>
          <w:rFonts w:ascii="Barlow Semi Condensed" w:cs="Barlow Semi Condensed" w:eastAsia="Barlow Semi Condensed" w:hAnsi="Barlow Semi Condensed"/>
          <w:b/>
          <w:bCs/>
          <w:sz w:val="24"/>
          <w:szCs w:val="24"/>
        </w:rPr>
        <w:t xml:space="preserve">2322 · Vera come storia, falsa come colpa.</w:t>
      </w:r>
      <w:r>
        <w:rPr>
          <w:rFonts w:ascii="Barlow Semi Condensed" w:cs="Barlow Semi Condensed" w:eastAsia="Barlow Semi Condensed" w:hAnsi="Barlow Semi Condensed"/>
          <w:sz w:val="24"/>
          <w:szCs w:val="24"/>
        </w:rPr>
        <w:t xml:space="preserve"> Le Brigate Rosse uccisero Moro è, per il capitolo settantasettesimo, descrizione storica vera di un atto rivendicato e attribuzione di colpa falsa. Il calco regge sul versante americano: gli Stati Uniti si opposero all'ingresso dei comunisti nell'area di governo è descrizione documentata, attestata dal verbale del 25 settembre 1974, e diventa falsa nell'istante in cui la si adopera per attribuire una condotta personale a chicchessia.</w:t>
      </w:r>
    </w:p>
    <w:p>
      <w:pPr>
        <w:spacing w:after="120" w:line="276"/>
        <w:jc w:val="both"/>
      </w:pPr>
      <w:r>
        <w:rPr>
          <w:rFonts w:ascii="Barlow Semi Condensed" w:cs="Barlow Semi Condensed" w:eastAsia="Barlow Semi Condensed" w:hAnsi="Barlow Semi Condensed"/>
          <w:b/>
          <w:bCs/>
          <w:sz w:val="24"/>
          <w:szCs w:val="24"/>
        </w:rPr>
        <w:t xml:space="preserve">2323 · La lista dei gruppi e il buco.</w:t>
      </w:r>
      <w:r>
        <w:rPr>
          <w:rFonts w:ascii="Barlow Semi Condensed" w:cs="Barlow Semi Condensed" w:eastAsia="Barlow Semi Condensed" w:hAnsi="Barlow Semi Condensed"/>
          <w:sz w:val="24"/>
          <w:szCs w:val="24"/>
        </w:rPr>
        <w:t xml:space="preserve"> Il quarto punto della nota di lettura estende la disciplina a ogni altro gruppo nominato nel corpus, ed elenca i GAP, il Superclan, Hyperion, i Lupi Grigi, l'Opus Dei. Non elenca alcun apparato statale straniero. La formula ogni altro gruppo li comprende per estensione, ma l'elenco non li nomina: è una lacuna redazionale che si chiude con una riga, e questa serie la verbalizza perché sia chiusa.</w:t>
      </w:r>
    </w:p>
    <w:p>
      <w:pPr>
        <w:spacing w:after="120" w:line="276"/>
        <w:jc w:val="both"/>
      </w:pPr>
      <w:r>
        <w:rPr>
          <w:rFonts w:ascii="Barlow Semi Condensed" w:cs="Barlow Semi Condensed" w:eastAsia="Barlow Semi Condensed" w:hAnsi="Barlow Semi Condensed"/>
          <w:b/>
          <w:bCs/>
          <w:sz w:val="24"/>
          <w:szCs w:val="24"/>
        </w:rPr>
        <w:t xml:space="preserve">2324 · Gli atti d'ufficio e la persona.</w:t>
      </w:r>
      <w:r>
        <w:rPr>
          <w:rFonts w:ascii="Barlow Semi Condensed" w:cs="Barlow Semi Condensed" w:eastAsia="Barlow Semi Condensed" w:hAnsi="Barlow Semi Condensed"/>
          <w:sz w:val="24"/>
          <w:szCs w:val="24"/>
        </w:rPr>
        <w:t xml:space="preserve"> Restano fatti dell'organizzazione, per il secondo punto della nota di lettura, i nove comunicati, il falso numero sette, la rivendicazione e la sigla, di grado alto quanto a esistenza e provenienza, mentre il giudizio penale torna alla persona. Lo stesso taglio serve ai memoranda of conversation, ai national security decision memoranda e ai telegrammi: esistono, sono autentici, sono atti d'ufficio. Nulla di ciò imputa qualcuno.</w:t>
      </w:r>
    </w:p>
    <w:p>
      <w:pPr>
        <w:spacing w:after="120" w:line="276"/>
        <w:jc w:val="both"/>
      </w:pPr>
      <w:r>
        <w:rPr>
          <w:rFonts w:ascii="Barlow Semi Condensed" w:cs="Barlow Semi Condensed" w:eastAsia="Barlow Semi Condensed" w:hAnsi="Barlow Semi Condensed"/>
          <w:b/>
          <w:bCs/>
          <w:sz w:val="24"/>
          <w:szCs w:val="24"/>
        </w:rPr>
        <w:t xml:space="preserve">2325 · Nulla si trasmette per appartenenza.</w:t>
      </w:r>
      <w:r>
        <w:rPr>
          <w:rFonts w:ascii="Barlow Semi Condensed" w:cs="Barlow Semi Condensed" w:eastAsia="Barlow Semi Condensed" w:hAnsi="Barlow Semi Condensed"/>
          <w:sz w:val="24"/>
          <w:szCs w:val="24"/>
        </w:rPr>
        <w:t xml:space="preserve"> Nessuna proprietà del gruppo si trasmette ai membri, e nessuna colpa dei membri si trasmette al gruppo o agli altri membri: è il terzo punto della nota, il più radicale. Chi era brigatista senza condanna per il caso Moro non c'entra col caso Moro. Chi sedette in un consiglio di sicurezza nazionale non risponde di ciò che altri fecero in nome di quel consiglio, e viceversa.</w:t>
      </w:r>
    </w:p>
    <w:p>
      <w:pPr>
        <w:spacing w:after="120" w:line="276"/>
        <w:jc w:val="both"/>
      </w:pPr>
      <w:r>
        <w:rPr>
          <w:rFonts w:ascii="Barlow Semi Condensed" w:cs="Barlow Semi Condensed" w:eastAsia="Barlow Semi Condensed" w:hAnsi="Barlow Semi Condensed"/>
          <w:b/>
          <w:bCs/>
          <w:sz w:val="24"/>
          <w:szCs w:val="24"/>
        </w:rPr>
        <w:t xml:space="preserve">2326 · Metodo, non equidistanza morale.</w:t>
      </w:r>
      <w:r>
        <w:rPr>
          <w:rFonts w:ascii="Barlow Semi Condensed" w:cs="Barlow Semi Condensed" w:eastAsia="Barlow Semi Condensed" w:hAnsi="Barlow Semi Condensed"/>
          <w:sz w:val="24"/>
          <w:szCs w:val="24"/>
        </w:rPr>
        <w:t xml:space="preserve"> L'ultima riga del capitolo ottantunesimo previene l'obiezione più prevedibile: applicare la stessa regola a un'organizzazione armata, a un ente confessionale e a un apparato di governo straniero non significa equipararli moralmente, significa usare un solo metro. Chi chiedesse un metro più largo per il nome triangolato qui otterrebbe, per necessità logica, un metro più largo anche per i tredici del registro, cioè la fine del registro.</w:t>
      </w:r>
    </w:p>
    <w:p>
      <w:pPr>
        <w:spacing w:after="120" w:line="276"/>
        <w:jc w:val="both"/>
      </w:pPr>
      <w:r>
        <w:rPr>
          <w:rFonts w:ascii="Barlow Semi Condensed" w:cs="Barlow Semi Condensed" w:eastAsia="Barlow Semi Condensed" w:hAnsi="Barlow Semi Condensed"/>
          <w:b/>
          <w:bCs/>
          <w:sz w:val="24"/>
          <w:szCs w:val="24"/>
        </w:rPr>
        <w:t xml:space="preserve">2327 · Il verbale che esiste davvero.</w:t>
      </w:r>
      <w:r>
        <w:rPr>
          <w:rFonts w:ascii="Barlow Semi Condensed" w:cs="Barlow Semi Condensed" w:eastAsia="Barlow Semi Condensed" w:hAnsi="Barlow Semi Condensed"/>
          <w:sz w:val="24"/>
          <w:szCs w:val="24"/>
        </w:rPr>
        <w:t xml:space="preserve"> Al piano uno il corpus possiede un documento e uno soltanto che metta nella stessa stanza Aldo Moro e Henry Kissinger: il memorandum of conversation dello Studio Ovale del 25 settembre 1974, con Giovanni Leone, Gerald Ford e Brent Scowcroft, edito come documento 350 del volume FRUS 1969-1976 E-15 parte seconda, seconda edizione riveduta, e conservato alla Ford Library col numero 1552802. Attesta una posizione politica; non contiene alcun ultimatum personale.</w:t>
      </w:r>
    </w:p>
    <w:p>
      <w:pPr>
        <w:spacing w:after="120" w:line="276"/>
        <w:jc w:val="both"/>
      </w:pPr>
      <w:r>
        <w:rPr>
          <w:rFonts w:ascii="Barlow Semi Condensed" w:cs="Barlow Semi Condensed" w:eastAsia="Barlow Semi Condensed" w:hAnsi="Barlow Semi Condensed"/>
          <w:b/>
          <w:bCs/>
          <w:sz w:val="24"/>
          <w:szCs w:val="24"/>
        </w:rPr>
        <w:t xml:space="preserve">2328 · Il secondo verbale, da leggere.</w:t>
      </w:r>
      <w:r>
        <w:rPr>
          <w:rFonts w:ascii="Barlow Semi Condensed" w:cs="Barlow Semi Condensed" w:eastAsia="Barlow Semi Condensed" w:hAnsi="Barlow Semi Condensed"/>
          <w:sz w:val="24"/>
          <w:szCs w:val="24"/>
        </w:rPr>
        <w:t xml:space="preserve"> Esiste anche un verbale dell'incontro del giorno successivo, il 26 settembre 1974, conservato alla Gerald R. Ford Presidential Library col numero 1552806, sui cui contenuti gli estratti finora reperiti sono parziali e non del tutto concordi. Il bersaglio è preciso: acquisirne il testo integrale dalla serie dei National Security Adviser's Memoranda of Conversation e collazionarlo col precedente. Finché non è letto, non se ne trae nulla.</w:t>
      </w:r>
    </w:p>
    <w:p>
      <w:pPr>
        <w:spacing w:after="120" w:line="276"/>
        <w:jc w:val="both"/>
      </w:pPr>
      <w:r>
        <w:rPr>
          <w:rFonts w:ascii="Barlow Semi Condensed" w:cs="Barlow Semi Condensed" w:eastAsia="Barlow Semi Condensed" w:hAnsi="Barlow Semi Condensed"/>
          <w:b/>
          <w:bCs/>
          <w:sz w:val="24"/>
          <w:szCs w:val="24"/>
        </w:rPr>
        <w:t xml:space="preserve">2329 · Le date della visita divergono.</w:t>
      </w:r>
      <w:r>
        <w:rPr>
          <w:rFonts w:ascii="Barlow Semi Condensed" w:cs="Barlow Semi Condensed" w:eastAsia="Barlow Semi Condensed" w:hAnsi="Barlow Semi Condensed"/>
          <w:sz w:val="24"/>
          <w:szCs w:val="24"/>
        </w:rPr>
        <w:t xml:space="preserve"> Gli atti presidenziali pubblicati collocano la visita di Stato fra il 25 e il 29 settembre 1974; la nota editoriale del volume FRUS la colloca fra il 25 e il 27. La divergenza è minuta e va riportata ugualmente, perché ogni ricostruzione che poggi su un colloquio a margine dipende da quanti margini quella visita abbia avuto. Si segnala e non si sceglie: decide il programma ufficiale conservato alla Ford Library.</w:t>
      </w:r>
    </w:p>
    <w:p>
      <w:pPr>
        <w:spacing w:after="120" w:line="276"/>
        <w:jc w:val="both"/>
      </w:pPr>
      <w:r>
        <w:rPr>
          <w:rFonts w:ascii="Barlow Semi Condensed" w:cs="Barlow Semi Condensed" w:eastAsia="Barlow Semi Condensed" w:hAnsi="Barlow Semi Condensed"/>
          <w:b/>
          <w:bCs/>
          <w:sz w:val="24"/>
          <w:szCs w:val="24"/>
        </w:rPr>
        <w:t xml:space="preserve">2330 · Marzo 1969, prima del ministero.</w:t>
      </w:r>
      <w:r>
        <w:rPr>
          <w:rFonts w:ascii="Barlow Semi Condensed" w:cs="Barlow Semi Condensed" w:eastAsia="Barlow Semi Condensed" w:hAnsi="Barlow Semi Condensed"/>
          <w:sz w:val="24"/>
          <w:szCs w:val="24"/>
        </w:rPr>
        <w:t xml:space="preserve"> Il documento 180 del volume XLI dei FRUS verbalizza la riunione dell'11 marzo 1969 presieduta da Kissinger nella quale, illustrate origini e livelli del sostegno coperto ai partiti italiani dal 1948 al 1968, i presenti convennero all'unanimità che non vi fosse reale giustificazione per riprenderlo. Aldo Moro divenne ministro degli Esteri il 5 agosto 1969: la contemporaneità è soltanto apparente, e il corpus l'ha già dichiarata tale.</w:t>
      </w:r>
    </w:p>
    <w:p>
      <w:pPr>
        <w:spacing w:after="120" w:line="276"/>
        <w:jc w:val="both"/>
      </w:pPr>
      <w:r>
        <w:rPr>
          <w:rFonts w:ascii="Barlow Semi Condensed" w:cs="Barlow Semi Condensed" w:eastAsia="Barlow Semi Condensed" w:hAnsi="Barlow Semi Condensed"/>
          <w:b/>
          <w:bCs/>
          <w:sz w:val="24"/>
          <w:szCs w:val="24"/>
        </w:rPr>
        <w:t xml:space="preserve">2331 · Lo studio sull'Italia del 1969.</w:t>
      </w:r>
      <w:r>
        <w:rPr>
          <w:rFonts w:ascii="Barlow Semi Condensed" w:cs="Barlow Semi Condensed" w:eastAsia="Barlow Semi Condensed" w:hAnsi="Barlow Semi Condensed"/>
          <w:sz w:val="24"/>
          <w:szCs w:val="24"/>
        </w:rPr>
        <w:t xml:space="preserve"> Nello stesso volume, il documento 188 registra l'istruzione impartita da Richard Nixon nel dicembre 1969 di avviare uno studio sull'Italia. È un atto di indirizzo datato, protocollato e leggibile, esattamente il tipo di reperto che il registro pretenderebbe se si trattasse di una condotta. Ma uno studio resta uno studio, e fra un ordine di analisi del 1969 e un'operazione armata del 1978 non esiste documento di raccordo.</w:t>
      </w:r>
    </w:p>
    <w:p>
      <w:pPr>
        <w:spacing w:after="120" w:line="276"/>
        <w:jc w:val="both"/>
      </w:pPr>
      <w:r>
        <w:rPr>
          <w:rFonts w:ascii="Barlow Semi Condensed" w:cs="Barlow Semi Condensed" w:eastAsia="Barlow Semi Condensed" w:hAnsi="Barlow Semi Condensed"/>
          <w:b/>
          <w:bCs/>
          <w:sz w:val="24"/>
          <w:szCs w:val="24"/>
        </w:rPr>
        <w:t xml:space="preserve">2332 · Helsinki e l'insofferenza riferita (serie XXXI).</w:t>
      </w:r>
      <w:r>
        <w:rPr>
          <w:rFonts w:ascii="Barlow Semi Condensed" w:cs="Barlow Semi Condensed" w:eastAsia="Barlow Semi Condensed" w:hAnsi="Barlow Semi Condensed"/>
          <w:sz w:val="24"/>
          <w:szCs w:val="24"/>
        </w:rPr>
        <w:t xml:space="preserve"> La firma dell'Atto finale, il primo agosto 1975, vede Moro sottoscrivere nella duplice qualità di presidente del Consiglio e presidente di turno del Consiglio delle Comunità: il fatto è documentato, e il telegramma del 2 agosto 1975, edito come documento 334 del volume XXXIX, ne descrive la cerimonia. Che egli abbia agito sfidando l'insofferenza di Kissinger è invece formula giornalistica, di piano tre, e come tale si cita.</w:t>
      </w:r>
    </w:p>
    <w:p>
      <w:pPr>
        <w:spacing w:after="120" w:line="276"/>
        <w:jc w:val="both"/>
      </w:pPr>
      <w:r>
        <w:rPr>
          <w:rFonts w:ascii="Barlow Semi Condensed" w:cs="Barlow Semi Condensed" w:eastAsia="Barlow Semi Condensed" w:hAnsi="Barlow Semi Condensed"/>
          <w:b/>
          <w:bCs/>
          <w:sz w:val="24"/>
          <w:szCs w:val="24"/>
        </w:rPr>
        <w:t xml:space="preserve">2333 · La frase sul Portogallo, edita.</w:t>
      </w:r>
      <w:r>
        <w:rPr>
          <w:rFonts w:ascii="Barlow Semi Condensed" w:cs="Barlow Semi Condensed" w:eastAsia="Barlow Semi Condensed" w:hAnsi="Barlow Semi Condensed"/>
          <w:sz w:val="24"/>
          <w:szCs w:val="24"/>
        </w:rPr>
        <w:t xml:space="preserve"> Nel volume E-15 parte seconda il documento 153 conserva il timore espresso per Lisbona: non una presa del potere comunista, ma un regime neutralista di sinistra che restasse nella NATO. È fonte primaria sulla dottrina, utile a capire come quell'ufficio pensava l'Europa meridionale. Non tocca l'Italia del 1978 e non tocca nessuno dei tredici nomi: si registra come contesto documentato, e si ferma lì.</w:t>
      </w:r>
    </w:p>
    <w:p>
      <w:pPr>
        <w:spacing w:after="120" w:line="276"/>
        <w:jc w:val="both"/>
      </w:pPr>
      <w:r>
        <w:rPr>
          <w:rFonts w:ascii="Barlow Semi Condensed" w:cs="Barlow Semi Condensed" w:eastAsia="Barlow Semi Condensed" w:hAnsi="Barlow Semi Condensed"/>
          <w:b/>
          <w:bCs/>
          <w:sz w:val="24"/>
          <w:szCs w:val="24"/>
        </w:rPr>
        <w:t xml:space="preserve">2334 · Il programma coperto e il 1976.</w:t>
      </w:r>
      <w:r>
        <w:rPr>
          <w:rFonts w:ascii="Barlow Semi Condensed" w:cs="Barlow Semi Condensed" w:eastAsia="Barlow Semi Condensed" w:hAnsi="Barlow Semi Condensed"/>
          <w:sz w:val="24"/>
          <w:szCs w:val="24"/>
        </w:rPr>
        <w:t xml:space="preserve"> Uno studio con revisione tra pari uscito nel 2024 segnala che il programma di azione coperta in Italia riemerse nel novembre 1975 e nel luglio 1976, quando Moro era presidente del Consiglio. È letteratura scientifica e non atto: indica dove cercare, non che cosa accadde. Il bersaglio che ne discende è la serie dei documenti citati in quel saggio, da acquisire in originale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2335 · Che cosa quei documenti non contengono.</w:t>
      </w:r>
      <w:r>
        <w:rPr>
          <w:rFonts w:ascii="Barlow Semi Condensed" w:cs="Barlow Semi Condensed" w:eastAsia="Barlow Semi Condensed" w:hAnsi="Barlow Semi Condensed"/>
          <w:sz w:val="24"/>
          <w:szCs w:val="24"/>
        </w:rPr>
        <w:t xml:space="preserve"> Nessuno dei reperti americani finora reperiti dal corpus, il verbale dello Studio Ovale, quello del giorno seguente, i documenti del volume XLI, il memorandum sul papavero turco, nomina una sola delle tredici persone del registro, né descrive una condotta riferibile ai cinquantacinque giorni. È un esito negativo omogeneo, ottenuto su fonti diverse e per vie indipendenti, e proprio per questo va scritto come acquisizione e non taciuto.</w:t>
      </w:r>
    </w:p>
    <w:p>
      <w:pPr>
        <w:spacing w:after="120" w:line="276"/>
        <w:jc w:val="both"/>
      </w:pPr>
      <w:r>
        <w:rPr>
          <w:rFonts w:ascii="Barlow Semi Condensed" w:cs="Barlow Semi Condensed" w:eastAsia="Barlow Semi Condensed" w:hAnsi="Barlow Semi Condensed"/>
          <w:b/>
          <w:bCs/>
          <w:sz w:val="24"/>
          <w:szCs w:val="24"/>
        </w:rPr>
        <w:t xml:space="preserve">2336 · Due corpora che non si toccano.</w:t>
      </w:r>
      <w:r>
        <w:rPr>
          <w:rFonts w:ascii="Barlow Semi Condensed" w:cs="Barlow Semi Condensed" w:eastAsia="Barlow Semi Condensed" w:hAnsi="Barlow Semi Condensed"/>
          <w:sz w:val="24"/>
          <w:szCs w:val="24"/>
        </w:rPr>
        <w:t xml:space="preserve"> Da un lato gli atti dei cinque processi Moro, con le loro motivazioni e i loro tredici nomi; dall'altro il corpus diplomatico americano, coi suoi verbali e i suoi indirizzi di politica estera. Nessun documento noto appartiene a entrambi. Il bersaglio è l'incrocio nominale sistematico: cercare i tredici cognomi nei Central Foreign Policy Files e i nomi dei verbali negli atti processuali digitalizzati, verbalizzando anche le ricerche a vuoto.</w:t>
      </w:r>
    </w:p>
    <w:p>
      <w:pPr>
        <w:spacing w:after="120" w:line="276"/>
        <w:jc w:val="both"/>
      </w:pPr>
      <w:r>
        <w:rPr>
          <w:rFonts w:ascii="Barlow Semi Condensed" w:cs="Barlow Semi Condensed" w:eastAsia="Barlow Semi Condensed" w:hAnsi="Barlow Semi Condensed"/>
          <w:b/>
          <w:bCs/>
          <w:sz w:val="24"/>
          <w:szCs w:val="24"/>
        </w:rPr>
        <w:t xml:space="preserve">2337 · La stessa corte, lo stesso processo.</w:t>
      </w:r>
      <w:r>
        <w:rPr>
          <w:rFonts w:ascii="Barlow Semi Condensed" w:cs="Barlow Semi Condensed" w:eastAsia="Barlow Semi Condensed" w:hAnsi="Barlow Semi Condensed"/>
          <w:sz w:val="24"/>
          <w:szCs w:val="24"/>
        </w:rPr>
        <w:t xml:space="preserve"> Il registro dei tredici nasce dalla sentenza del 24 gennaio 1983 della prima Corte d'assise di Roma presieduta da Severino Santiapichi, che unificò i tronconi Moro uno e Moro bis. È la stessa corte davanti alla quale, nel novembre 1982, fu resa la deposizione da cui l'intera vicenda dell'avvertimento discende. Il nome entrò in quel processo come materiale testimoniale, mai come contestazione: la distinzione è tutto.</w:t>
      </w:r>
    </w:p>
    <w:p>
      <w:pPr>
        <w:spacing w:after="120" w:line="276"/>
        <w:jc w:val="both"/>
      </w:pPr>
      <w:r>
        <w:rPr>
          <w:rFonts w:ascii="Barlow Semi Condensed" w:cs="Barlow Semi Condensed" w:eastAsia="Barlow Semi Condensed" w:hAnsi="Barlow Semi Condensed"/>
          <w:b/>
          <w:bCs/>
          <w:sz w:val="24"/>
          <w:szCs w:val="24"/>
        </w:rPr>
        <w:t xml:space="preserve">2338 · Il nome ottenuto, non offerto (serie XXXI).</w:t>
      </w:r>
      <w:r>
        <w:rPr>
          <w:rFonts w:ascii="Barlow Semi Condensed" w:cs="Barlow Semi Condensed" w:eastAsia="Barlow Semi Condensed" w:hAnsi="Barlow Semi Condensed"/>
          <w:sz w:val="24"/>
          <w:szCs w:val="24"/>
        </w:rPr>
        <w:t xml:space="preserve"> In aula la vedova di Aldo Moro parlò di un'alta personalità senza pronunciare alcun cognome; fu il presidente della corte, richiamando la deposizione del portavoce, a ottenere l'indicazione. L'attribuzione del nome è perciò essa stessa indiretta, prodotta dalla domanda e non dalla dichiarazione spontanea. Chi cita quella testimonianza come se il nome fosse stato offerto dal teste riferisce un'altra cosa da quella che accadde.</w:t>
      </w:r>
    </w:p>
    <w:p>
      <w:pPr>
        <w:spacing w:after="120" w:line="276"/>
        <w:jc w:val="both"/>
      </w:pPr>
      <w:r>
        <w:rPr>
          <w:rFonts w:ascii="Barlow Semi Condensed" w:cs="Barlow Semi Condensed" w:eastAsia="Barlow Semi Condensed" w:hAnsi="Barlow Semi Condensed"/>
          <w:b/>
          <w:bCs/>
          <w:sz w:val="24"/>
          <w:szCs w:val="24"/>
        </w:rPr>
        <w:t xml:space="preserve">2339 · Il de relato e il suo peso.</w:t>
      </w:r>
      <w:r>
        <w:rPr>
          <w:rFonts w:ascii="Barlow Semi Condensed" w:cs="Barlow Semi Condensed" w:eastAsia="Barlow Semi Condensed" w:hAnsi="Barlow Semi Condensed"/>
          <w:sz w:val="24"/>
          <w:szCs w:val="24"/>
        </w:rPr>
        <w:t xml:space="preserve"> Corrado Guerzoni non assistette al colloquio: riferì ciò che aveva appreso da Moro e dall'entourage. La testimonianza è dunque de relato, e la sua qualità probatoria si misura su questo e non sull'autorevolezza del teste. È il dato che le riprese giornalistiche omettono con maggiore frequenza, e la sua omissione trasforma un ricordo di secondo grado in un fatto di prima mano, che non è mai stato.</w:t>
      </w:r>
    </w:p>
    <w:p>
      <w:pPr>
        <w:spacing w:after="120" w:line="276"/>
        <w:jc w:val="both"/>
      </w:pPr>
      <w:r>
        <w:rPr>
          <w:rFonts w:ascii="Barlow Semi Condensed" w:cs="Barlow Semi Condensed" w:eastAsia="Barlow Semi Condensed" w:hAnsi="Barlow Semi Condensed"/>
          <w:b/>
          <w:bCs/>
          <w:sz w:val="24"/>
          <w:szCs w:val="24"/>
        </w:rPr>
        <w:t xml:space="preserve">2340 · La data dell'udienza non è pacifica.</w:t>
      </w:r>
      <w:r>
        <w:rPr>
          <w:rFonts w:ascii="Barlow Semi Condensed" w:cs="Barlow Semi Condensed" w:eastAsia="Barlow Semi Condensed" w:hAnsi="Barlow Semi Condensed"/>
          <w:sz w:val="24"/>
          <w:szCs w:val="24"/>
        </w:rPr>
        <w:t xml:space="preserve"> La datazione più ricorrente della deposizione è il 10 novembre 1982; una fonte indica il 15. La divergenza non è risolta e si riporta come tale, secondo la regola per cui le difformità si dichiarano e non si scelgono in silenzio. La sede che la chiude è una sola: il ruolo d'udienza e i verbali stenografici del dibattimento, fra gli atti dei cinque processi digitalizzati con l'Archivio di Stato di Roma.</w:t>
      </w:r>
    </w:p>
    <w:p>
      <w:pPr>
        <w:spacing w:after="120" w:line="276"/>
        <w:jc w:val="both"/>
      </w:pPr>
      <w:r>
        <w:rPr>
          <w:rFonts w:ascii="Barlow Semi Condensed" w:cs="Barlow Semi Condensed" w:eastAsia="Barlow Semi Condensed" w:hAnsi="Barlow Semi Condensed"/>
          <w:b/>
          <w:bCs/>
          <w:sz w:val="24"/>
          <w:szCs w:val="24"/>
        </w:rPr>
        <w:t xml:space="preserve">2341 · La motivazione del gennaio 1983.</w:t>
      </w:r>
      <w:r>
        <w:rPr>
          <w:rFonts w:ascii="Barlow Semi Condensed" w:cs="Barlow Semi Condensed" w:eastAsia="Barlow Semi Condensed" w:hAnsi="Barlow Semi Condensed"/>
          <w:sz w:val="24"/>
          <w:szCs w:val="24"/>
        </w:rPr>
        <w:t xml:space="preserve"> Quesito centrale e ancora aperto: la motivazione della sentenza che fonda il registro dei tredici menziona l'episodio dell'avvertimento, e con quale qualificazione? Se lo dichiara irrilevante ai fini della decisione, l'accertamento sale di rango; se tace, il silenzio è a sua volta un dato. La ricerca si conduce sul testo integrale della motivazione e non sulle cronache, ed è materialmente possibile ora che gli atti sono digitalizzati.</w:t>
      </w:r>
    </w:p>
    <w:p>
      <w:pPr>
        <w:spacing w:after="120" w:line="276"/>
        <w:jc w:val="both"/>
      </w:pPr>
      <w:r>
        <w:rPr>
          <w:rFonts w:ascii="Barlow Semi Condensed" w:cs="Barlow Semi Condensed" w:eastAsia="Barlow Semi Condensed" w:hAnsi="Barlow Semi Condensed"/>
          <w:b/>
          <w:bCs/>
          <w:sz w:val="24"/>
          <w:szCs w:val="24"/>
        </w:rPr>
        <w:t xml:space="preserve">2342 · La richiesta del 1983 senza seguito (serie XXXI).</w:t>
      </w:r>
      <w:r>
        <w:rPr>
          <w:rFonts w:ascii="Barlow Semi Condensed" w:cs="Barlow Semi Condensed" w:eastAsia="Barlow Semi Condensed" w:hAnsi="Barlow Semi Condensed"/>
          <w:sz w:val="24"/>
          <w:szCs w:val="24"/>
        </w:rPr>
        <w:t xml:space="preserve"> Una fonte d'agenzia statunitense dell'aprile 1983 riferisce che magistrati italiani volevano interrogare Kissinger su un acceso alterco; la richiesta fu informale e non ebbe seguito, ed egli non fu mai sentito dall'autorità giudiziaria italiana. Il bersaglio documentale è duplice: negli atti della procura romana la traccia dell'iniziativa e della sua sorte, e nei fascicoli del consigliere giuridico del Dipartimento di Stato l'eventuale riscontro sul versante ricevente.</w:t>
      </w:r>
    </w:p>
    <w:p>
      <w:pPr>
        <w:spacing w:after="120" w:line="276"/>
        <w:jc w:val="both"/>
      </w:pPr>
      <w:r>
        <w:rPr>
          <w:rFonts w:ascii="Barlow Semi Condensed" w:cs="Barlow Semi Condensed" w:eastAsia="Barlow Semi Condensed" w:hAnsi="Barlow Semi Condensed"/>
          <w:b/>
          <w:bCs/>
          <w:sz w:val="24"/>
          <w:szCs w:val="24"/>
        </w:rPr>
        <w:t xml:space="preserve">2343 · La smentita in due tempi.</w:t>
      </w:r>
      <w:r>
        <w:rPr>
          <w:rFonts w:ascii="Barlow Semi Condensed" w:cs="Barlow Semi Condensed" w:eastAsia="Barlow Semi Condensed" w:hAnsi="Barlow Semi Condensed"/>
          <w:sz w:val="24"/>
          <w:szCs w:val="24"/>
        </w:rPr>
        <w:t xml:space="preserve"> L'interessato ha negato l'episodio due volte e in due forme: nel 1983, ammettendo la propria contrarietà all'ingresso dei comunisti al governo ma respingendo di aver rimproverato Moro; e poco prima della morte, rispondendo a un giornalista di non aver mai detto una cosa simile. La seconda è testimonianza di un solo interlocutore, non un comunicato. Nessuna smentita formale di un portavoce personale sul merito risulta reperita.</w:t>
      </w:r>
    </w:p>
    <w:p>
      <w:pPr>
        <w:spacing w:after="120" w:line="276"/>
        <w:jc w:val="both"/>
      </w:pPr>
      <w:r>
        <w:rPr>
          <w:rFonts w:ascii="Barlow Semi Condensed" w:cs="Barlow Semi Condensed" w:eastAsia="Barlow Semi Condensed" w:hAnsi="Barlow Semi Condensed"/>
          <w:b/>
          <w:bCs/>
          <w:sz w:val="24"/>
          <w:szCs w:val="24"/>
        </w:rPr>
        <w:t xml:space="preserve">2344 · Le smentite italiane, tutte riportate.</w:t>
      </w:r>
      <w:r>
        <w:rPr>
          <w:rFonts w:ascii="Barlow Semi Condensed" w:cs="Barlow Semi Condensed" w:eastAsia="Barlow Semi Condensed" w:hAnsi="Barlow Semi Condensed"/>
          <w:sz w:val="24"/>
          <w:szCs w:val="24"/>
        </w:rPr>
        <w:t xml:space="preserve"> Due testimoni italiani qualificati hanno negato la minaccia pur ammettendo la durezza del confronto: l'uno la definì una leggenda senza fondamento, dicendo di averlo verificato allora con l'interprete perché Moro non parlava inglese, e altrove descrisse un colloquio politicamente durissimo distinguendo il rimprovero dalla minaccia; l'altro parlò di un problema di linguaggio. Nessuno dei due era presente al colloquio riservato: valgono quanto valgono, e si riportano tutte.</w:t>
      </w:r>
    </w:p>
    <w:p>
      <w:pPr>
        <w:spacing w:after="120" w:line="276"/>
        <w:jc w:val="both"/>
      </w:pPr>
      <w:r>
        <w:rPr>
          <w:rFonts w:ascii="Barlow Semi Condensed" w:cs="Barlow Semi Condensed" w:eastAsia="Barlow Semi Condensed" w:hAnsi="Barlow Semi Condensed"/>
          <w:b/>
          <w:bCs/>
          <w:sz w:val="24"/>
          <w:szCs w:val="24"/>
        </w:rPr>
        <w:t xml:space="preserve">2345 · Una sola fonte, molte copie.</w:t>
      </w:r>
      <w:r>
        <w:rPr>
          <w:rFonts w:ascii="Barlow Semi Condensed" w:cs="Barlow Semi Condensed" w:eastAsia="Barlow Semi Condensed" w:hAnsi="Barlow Semi Condensed"/>
          <w:sz w:val="24"/>
          <w:szCs w:val="24"/>
        </w:rPr>
        <w:t xml:space="preserve"> Le decine di ripubblicazioni della frase risalgono a un unico lancio d'agenzia del 30 novembre 2023, e la loro somiglianza non è convergenza ma replicazione. Il numero delle ripetizioni non aggiunge valore probatorio: è copia senza informazione nuova. L'apparato della prima campagna lo ha già accertato, e la Fase decima ne offre il rovescio esatto, perché anche il registro dei tredici è stato ricopiato male per decenni.</w:t>
      </w:r>
    </w:p>
    <w:p>
      <w:pPr>
        <w:spacing w:after="120" w:line="276"/>
        <w:jc w:val="both"/>
      </w:pPr>
      <w:r>
        <w:rPr>
          <w:rFonts w:ascii="Barlow Semi Condensed" w:cs="Barlow Semi Condensed" w:eastAsia="Barlow Semi Condensed" w:hAnsi="Barlow Semi Condensed"/>
          <w:b/>
          <w:bCs/>
          <w:sz w:val="24"/>
          <w:szCs w:val="24"/>
        </w:rPr>
        <w:t xml:space="preserve">2346 · Due modi di ricopiare male.</w:t>
      </w:r>
      <w:r>
        <w:rPr>
          <w:rFonts w:ascii="Barlow Semi Condensed" w:cs="Barlow Semi Condensed" w:eastAsia="Barlow Semi Condensed" w:hAnsi="Barlow Semi Condensed"/>
          <w:sz w:val="24"/>
          <w:szCs w:val="24"/>
        </w:rPr>
        <w:t xml:space="preserve"> Chi trascrive l'elenco dei trentadue ergastoli del gennaio 1983 come se fosse l'elenco dei responsabili del caso Moro compie lo stesso gesto di chi ricopia il lancio del novembre 2023 come se fosse un accertamento: prende una lista o una frase dal contesto che le dava senso e la trasporta dove significa altro. Il capitolo settantasettesimo chiama il primo errore colpa di gruppo per trascinamento; il secondo non ha ancora un nome.</w:t>
      </w:r>
    </w:p>
    <w:p>
      <w:pPr>
        <w:spacing w:after="120" w:line="276"/>
        <w:jc w:val="both"/>
      </w:pPr>
      <w:r>
        <w:rPr>
          <w:rFonts w:ascii="Barlow Semi Condensed" w:cs="Barlow Semi Condensed" w:eastAsia="Barlow Semi Condensed" w:hAnsi="Barlow Semi Condensed"/>
          <w:b/>
          <w:bCs/>
          <w:sz w:val="24"/>
          <w:szCs w:val="24"/>
        </w:rPr>
        <w:t xml:space="preserve">2347 · L'articolo ventisette, in due direzioni.</w:t>
      </w:r>
      <w:r>
        <w:rPr>
          <w:rFonts w:ascii="Barlow Semi Condensed" w:cs="Barlow Semi Condensed" w:eastAsia="Barlow Semi Condensed" w:hAnsi="Barlow Semi Condensed"/>
          <w:sz w:val="24"/>
          <w:szCs w:val="24"/>
        </w:rPr>
        <w:t xml:space="preserve"> Il fondamento dichiarato del territorio non è stilistico: è l'articolo 27, primo comma, della Costituzione, per cui la responsabilità penale è personale. La norma protegge chi non ha fatto e vincola chi ha fatto, e opera nelle due direzioni con la stessa forza. Applicata al nome di questa serie produce un risultato secco: nessuna carica, nessuna dottrina e nessuna preferenza politica costituisce, da sola, materia di responsabilità.</w:t>
      </w:r>
    </w:p>
    <w:p>
      <w:pPr>
        <w:spacing w:after="120" w:line="276"/>
        <w:jc w:val="both"/>
      </w:pPr>
      <w:r>
        <w:rPr>
          <w:rFonts w:ascii="Barlow Semi Condensed" w:cs="Barlow Semi Condensed" w:eastAsia="Barlow Semi Condensed" w:hAnsi="Barlow Semi Condensed"/>
          <w:b/>
          <w:bCs/>
          <w:sz w:val="24"/>
          <w:szCs w:val="24"/>
        </w:rPr>
        <w:t xml:space="preserve">2348 · L'articolo centodieci e il concorso.</w:t>
      </w:r>
      <w:r>
        <w:rPr>
          <w:rFonts w:ascii="Barlow Semi Condensed" w:cs="Barlow Semi Condensed" w:eastAsia="Barlow Semi Condensed" w:hAnsi="Barlow Semi Condensed"/>
          <w:sz w:val="24"/>
          <w:szCs w:val="24"/>
        </w:rPr>
        <w:t xml:space="preserve"> L'istituto richiamato dal capitolo settantasettesimo è il concorso di persone nel reato: il modo in cui l'ordinamento pensa un fatto commesso da più individui, come somma di condotte personali giudicate una per una. Chi volesse collocare un mandante straniero dentro quella cornice dovrebbe indicare quale condotta concorsuale, con quale atto e in quale data. Nessuna procura italiana ha mai formulato quella contestazione a Henry Kissinger.</w:t>
      </w:r>
    </w:p>
    <w:p>
      <w:pPr>
        <w:spacing w:after="120" w:line="276"/>
        <w:jc w:val="both"/>
      </w:pPr>
      <w:r>
        <w:rPr>
          <w:rFonts w:ascii="Barlow Semi Condensed" w:cs="Barlow Semi Condensed" w:eastAsia="Barlow Semi Condensed" w:hAnsi="Barlow Semi Condensed"/>
          <w:b/>
          <w:bCs/>
          <w:sz w:val="24"/>
          <w:szCs w:val="24"/>
        </w:rPr>
        <w:t xml:space="preserve">2349 · Il concorso morale mai contestato.</w:t>
      </w:r>
      <w:r>
        <w:rPr>
          <w:rFonts w:ascii="Barlow Semi Condensed" w:cs="Barlow Semi Condensed" w:eastAsia="Barlow Semi Condensed" w:hAnsi="Barlow Semi Condensed"/>
          <w:sz w:val="24"/>
          <w:szCs w:val="24"/>
        </w:rPr>
        <w:t xml:space="preserve"> La forma giuridica che una tesi di mandato dovrebbe assumere è il concorso morale, cioè determinazione o istigazione altrui alla condotta materiale, provata col medesimo rigore della condotta stessa. È figura ordinaria, applicata quotidianamente dai tribunali italiani. Che non sia mai stata contestata a questo nome, in quarantotto anni e in cinque processi, non è una svista procedurale: è l'assenza del materiale che l'avrebbe sostenuta.</w:t>
      </w:r>
    </w:p>
    <w:p>
      <w:pPr>
        <w:spacing w:after="120" w:line="276"/>
        <w:jc w:val="both"/>
      </w:pPr>
      <w:r>
        <w:rPr>
          <w:rFonts w:ascii="Barlow Semi Condensed" w:cs="Barlow Semi Condensed" w:eastAsia="Barlow Semi Condensed" w:hAnsi="Barlow Semi Condensed"/>
          <w:b/>
          <w:bCs/>
          <w:sz w:val="24"/>
          <w:szCs w:val="24"/>
        </w:rPr>
        <w:t xml:space="preserve">2350 · Mai imputato non significa assolto.</w:t>
      </w:r>
      <w:r>
        <w:rPr>
          <w:rFonts w:ascii="Barlow Semi Condensed" w:cs="Barlow Semi Condensed" w:eastAsia="Barlow Semi Condensed" w:hAnsi="Barlow Semi Condensed"/>
          <w:sz w:val="24"/>
          <w:szCs w:val="24"/>
        </w:rPr>
        <w:t xml:space="preserve"> Due condizioni diverse convivono nel capitolo ottantesimo e vanno tenute distinte. L'assolto ha un accertamento giudiziario a proprio favore, che è atto e produce effetti, primo fra tutti il divieto di essere giudicato due volte. Il mai imputato ha soltanto la presunzione, piena ma di segno negativo: nessuno ha mai raccolto materiale bastante per chiedere un giudizio. Henry Kissinger appartiene alla seconda condizione, non alla prima.</w:t>
      </w:r>
    </w:p>
    <w:p>
      <w:pPr>
        <w:spacing w:after="120" w:line="276"/>
        <w:jc w:val="both"/>
      </w:pPr>
      <w:r>
        <w:rPr>
          <w:rFonts w:ascii="Barlow Semi Condensed" w:cs="Barlow Semi Condensed" w:eastAsia="Barlow Semi Condensed" w:hAnsi="Barlow Semi Condensed"/>
          <w:b/>
          <w:bCs/>
          <w:sz w:val="24"/>
          <w:szCs w:val="24"/>
        </w:rPr>
        <w:t xml:space="preserve">2351 · Algranati come pietra di paragone.</w:t>
      </w:r>
      <w:r>
        <w:rPr>
          <w:rFonts w:ascii="Barlow Semi Condensed" w:cs="Barlow Semi Condensed" w:eastAsia="Barlow Semi Condensed" w:hAnsi="Barlow Semi Condensed"/>
          <w:sz w:val="24"/>
          <w:szCs w:val="24"/>
        </w:rPr>
        <w:t xml:space="preserve"> Rita Algranati fu assolta per i fatti di via Fani all'esito del Moro ter, in primo grado nell'ottobre 1988, e l'assoluzione è definitiva; ricostruzioni successive la collocano sul posto con funzione di segnalazione, ma sono di grado B o C e non scavalcano un giudicato. Il territorio la tiene fuori dal registro contro la comodità del racconto. Chi accetta quel rigore per lei non può chiederne uno minore per altri.</w:t>
      </w:r>
    </w:p>
    <w:p>
      <w:pPr>
        <w:spacing w:after="120" w:line="276"/>
        <w:jc w:val="both"/>
      </w:pPr>
      <w:r>
        <w:rPr>
          <w:rFonts w:ascii="Barlow Semi Condensed" w:cs="Barlow Semi Condensed" w:eastAsia="Barlow Semi Condensed" w:hAnsi="Barlow Semi Condensed"/>
          <w:b/>
          <w:bCs/>
          <w:sz w:val="24"/>
          <w:szCs w:val="24"/>
        </w:rPr>
        <w:t xml:space="preserve">2352 · La presunzione piena e nominale.</w:t>
      </w:r>
      <w:r>
        <w:rPr>
          <w:rFonts w:ascii="Barlow Semi Condensed" w:cs="Barlow Semi Condensed" w:eastAsia="Barlow Semi Condensed" w:hAnsi="Barlow Semi Condensed"/>
          <w:sz w:val="24"/>
          <w:szCs w:val="24"/>
        </w:rPr>
        <w:t xml:space="preserve"> A chiusura, il capitolo ottantesimo estende a tutti coloro che furono prosciolti, assolti o mai raggiunti da imputazione, nel caso Moro come nei nodi collegati da Hyperion in giù, la presunzione d'innocenza piena e nominale: non sono sfuggiti a nulla, sono innocenti per l'ordinamento e per l'opera. La formula non conosce eccezioni di nazionalità, di potenza o di antipatia storiografica, e qui si applica per intero.</w:t>
      </w:r>
    </w:p>
    <w:p>
      <w:pPr>
        <w:spacing w:after="120" w:line="276"/>
        <w:jc w:val="both"/>
      </w:pPr>
      <w:r>
        <w:rPr>
          <w:rFonts w:ascii="Barlow Semi Condensed" w:cs="Barlow Semi Condensed" w:eastAsia="Barlow Semi Condensed" w:hAnsi="Barlow Semi Condensed"/>
          <w:b/>
          <w:bCs/>
          <w:sz w:val="24"/>
          <w:szCs w:val="24"/>
        </w:rPr>
        <w:t xml:space="preserve">2353 · La contumacia toglie un alibi.</w:t>
      </w:r>
      <w:r>
        <w:rPr>
          <w:rFonts w:ascii="Barlow Semi Condensed" w:cs="Barlow Semi Condensed" w:eastAsia="Barlow Semi Condensed" w:hAnsi="Barlow Semi Condensed"/>
          <w:sz w:val="24"/>
          <w:szCs w:val="24"/>
        </w:rPr>
        <w:t xml:space="preserve"> Alessio Casimirri porta sei ergastoli definitivi pronunciati in contumacia ed è latitante dal 1982, come il nodo T-5 della triangolazione dei condannati ricostruisce. Il suo caso dimostra che l'ordinamento italiano sa giudicare chi non è nell'aula e chi non è nel Paese. Ne discende che l'assenza di procedimento a carico del nome qui trattato non si spiega con l'estraneità territoriale: quella strada era percorribile e non fu imboccata.</w:t>
      </w:r>
    </w:p>
    <w:p>
      <w:pPr>
        <w:spacing w:after="120" w:line="276"/>
        <w:jc w:val="both"/>
      </w:pPr>
      <w:r>
        <w:rPr>
          <w:rFonts w:ascii="Barlow Semi Condensed" w:cs="Barlow Semi Condensed" w:eastAsia="Barlow Semi Condensed" w:hAnsi="Barlow Semi Condensed"/>
          <w:b/>
          <w:bCs/>
          <w:sz w:val="24"/>
          <w:szCs w:val="24"/>
        </w:rPr>
        <w:t xml:space="preserve">2354 · Giurisdizione ed esecuzione, cose diverse.</w:t>
      </w:r>
      <w:r>
        <w:rPr>
          <w:rFonts w:ascii="Barlow Semi Condensed" w:cs="Barlow Semi Condensed" w:eastAsia="Barlow Semi Condensed" w:hAnsi="Barlow Semi Condensed"/>
          <w:sz w:val="24"/>
          <w:szCs w:val="24"/>
        </w:rPr>
        <w:t xml:space="preserve"> Il caso di Alvaro Lojacono, condannato in via definitiva nel 1997 e non estradabile perché cittadino svizzero, insegna al nodo T-6 che accertare e raggiungere sono operazioni distinte: la prima è irrevocabile, la seconda si ferma alla frontiera. Il quesito che ne discende si porta al fascicolo aperto della procura di Roma sulle terze presenze: risulta mai iscritto un cittadino straniero per i fatti del 1978?</w:t>
      </w:r>
    </w:p>
    <w:p>
      <w:pPr>
        <w:spacing w:after="120" w:line="276"/>
        <w:jc w:val="both"/>
      </w:pPr>
      <w:r>
        <w:rPr>
          <w:rFonts w:ascii="Barlow Semi Condensed" w:cs="Barlow Semi Condensed" w:eastAsia="Barlow Semi Condensed" w:hAnsi="Barlow Semi Condensed"/>
          <w:b/>
          <w:bCs/>
          <w:sz w:val="24"/>
          <w:szCs w:val="24"/>
        </w:rPr>
        <w:t xml:space="preserve">2355 · La morte del reo, articolo centocinquanta.</w:t>
      </w:r>
      <w:r>
        <w:rPr>
          <w:rFonts w:ascii="Barlow Semi Condensed" w:cs="Barlow Semi Condensed" w:eastAsia="Barlow Semi Condensed" w:hAnsi="Barlow Semi Condensed"/>
          <w:sz w:val="24"/>
          <w:szCs w:val="24"/>
        </w:rPr>
        <w:t xml:space="preserve"> Henry Kissinger è morto a Kent, nel Connecticut, il 29 novembre 2023. Nell'ordinamento italiano la morte estingue il reato prima della condanna e la pena dopo di essa: la strada che il territorio lascia teoricamente aperta, poiché il registro cresce per nuovo giudicato, è per questo nome giuridicamente chiusa. Non è una valutazione di merito né una clemenza postuma: è una conseguenza di legge, e va scritta.</w:t>
      </w:r>
    </w:p>
    <w:p>
      <w:pPr>
        <w:spacing w:after="120" w:line="276"/>
        <w:jc w:val="both"/>
      </w:pPr>
      <w:r>
        <w:rPr>
          <w:rFonts w:ascii="Barlow Semi Condensed" w:cs="Barlow Semi Condensed" w:eastAsia="Barlow Semi Condensed" w:hAnsi="Barlow Semi Condensed"/>
          <w:b/>
          <w:bCs/>
          <w:sz w:val="24"/>
          <w:szCs w:val="24"/>
        </w:rPr>
        <w:t xml:space="preserve">2356 · Che cosa resta possibile dopo.</w:t>
      </w:r>
      <w:r>
        <w:rPr>
          <w:rFonts w:ascii="Barlow Semi Condensed" w:cs="Barlow Semi Condensed" w:eastAsia="Barlow Semi Condensed" w:hAnsi="Barlow Semi Condensed"/>
          <w:sz w:val="24"/>
          <w:szCs w:val="24"/>
        </w:rPr>
        <w:t xml:space="preserve"> Estinto ogni percorso penale, resta intatto quello documentale, che ha regole proprie e nessuna scadenza. Gli archivi continuano a rilasciare, le serie continuano a maturare, le richieste di accesso restano formulabili da chiunque. Ciò che non è più possibile è l'imputazione; ciò che resta possibile è l'accertamento storico coi suoi gradi. Confondere le due cose produce, ogni volta, un processo immaginario al posto di una ricerca.</w:t>
      </w:r>
    </w:p>
    <w:p>
      <w:pPr>
        <w:spacing w:after="120" w:line="276"/>
        <w:jc w:val="both"/>
      </w:pPr>
      <w:r>
        <w:rPr>
          <w:rFonts w:ascii="Barlow Semi Condensed" w:cs="Barlow Semi Condensed" w:eastAsia="Barlow Semi Condensed" w:hAnsi="Barlow Semi Condensed"/>
          <w:b/>
          <w:bCs/>
          <w:sz w:val="24"/>
          <w:szCs w:val="24"/>
        </w:rPr>
        <w:t xml:space="preserve">2357 · Il registro cresce solo così.</w:t>
      </w:r>
      <w:r>
        <w:rPr>
          <w:rFonts w:ascii="Barlow Semi Condensed" w:cs="Barlow Semi Condensed" w:eastAsia="Barlow Semi Condensed" w:hAnsi="Barlow Semi Condensed"/>
          <w:sz w:val="24"/>
          <w:szCs w:val="24"/>
        </w:rPr>
        <w:t xml:space="preserve"> L'identificazione tardiva del quarto uomo del covo di via Montalcini e la definitività del 1999 dimostrano che il registro può crescere anche a distanza di decenni. Cresce però per una via sola, il nuovo giudicato, e mai per accumulo di suggestioni o per maturazione di un'opinione. Questa serie non propone né auspica alcuna crescita: verifica se la via sia stata percorsa, e accerta che non lo fu.</w:t>
      </w:r>
    </w:p>
    <w:p>
      <w:pPr>
        <w:spacing w:after="120" w:line="276"/>
        <w:jc w:val="both"/>
      </w:pPr>
      <w:r>
        <w:rPr>
          <w:rFonts w:ascii="Barlow Semi Condensed" w:cs="Barlow Semi Condensed" w:eastAsia="Barlow Semi Condensed" w:hAnsi="Barlow Semi Condensed"/>
          <w:b/>
          <w:bCs/>
          <w:sz w:val="24"/>
          <w:szCs w:val="24"/>
        </w:rPr>
        <w:t xml:space="preserve">2358 · Lo standard materiale, un atto datato.</w:t>
      </w:r>
      <w:r>
        <w:rPr>
          <w:rFonts w:ascii="Barlow Semi Condensed" w:cs="Barlow Semi Condensed" w:eastAsia="Barlow Semi Condensed" w:hAnsi="Barlow Semi Condensed"/>
          <w:sz w:val="24"/>
          <w:szCs w:val="24"/>
        </w:rPr>
        <w:t xml:space="preserve"> Anna Laura Braghetti entra nel registro per l'acquisto dell'appartamento di via Montalcini 8 nel giugno 1977 e per la custodia della prigione nei cinquantacinque giorni: un atto con una data e una condotta con un luogo. Questa è la misura del capitolo settantanovesimo. Per il nome di questa serie non esiste atto equivalente riferito all'Italia del 1978: nessun documento, nessuna data, nessun protocollo, nessuna sede che lo conservi.</w:t>
      </w:r>
    </w:p>
    <w:p>
      <w:pPr>
        <w:spacing w:after="120" w:line="276"/>
        <w:jc w:val="both"/>
      </w:pPr>
      <w:r>
        <w:rPr>
          <w:rFonts w:ascii="Barlow Semi Condensed" w:cs="Barlow Semi Condensed" w:eastAsia="Barlow Semi Condensed" w:hAnsi="Barlow Semi Condensed"/>
          <w:b/>
          <w:bCs/>
          <w:sz w:val="24"/>
          <w:szCs w:val="24"/>
        </w:rPr>
        <w:t xml:space="preserve">2359 · L'anello debole della catena.</w:t>
      </w:r>
      <w:r>
        <w:rPr>
          <w:rFonts w:ascii="Barlow Semi Condensed" w:cs="Barlow Semi Condensed" w:eastAsia="Barlow Semi Condensed" w:hAnsi="Barlow Semi Condensed"/>
          <w:sz w:val="24"/>
          <w:szCs w:val="24"/>
        </w:rPr>
        <w:t xml:space="preserve"> Il sesto blocco del manuale investigativo fissa che il grado di una catena inferenziale è il minimo dei suoi anelli. Una catena che parta dal verbale del 1974, attraversi l'ostilità documentata all'ingresso comunista e arrivi a via Fani contiene almeno un anello privo di documento, quello del passaggio dall'orientamento politico alla disposizione operativa. Il grado dell'intera catena scende a quell'anello, per quanti documenti autentici stiano agli estremi.</w:t>
      </w:r>
    </w:p>
    <w:p>
      <w:pPr>
        <w:spacing w:after="120" w:line="276"/>
        <w:jc w:val="both"/>
      </w:pPr>
      <w:r>
        <w:rPr>
          <w:rFonts w:ascii="Barlow Semi Condensed" w:cs="Barlow Semi Condensed" w:eastAsia="Barlow Semi Condensed" w:hAnsi="Barlow Semi Condensed"/>
          <w:b/>
          <w:bCs/>
          <w:sz w:val="24"/>
          <w:szCs w:val="24"/>
        </w:rPr>
        <w:t xml:space="preserve">2360 · Omologia, analogia e il nodo M-5.</w:t>
      </w:r>
      <w:r>
        <w:rPr>
          <w:rFonts w:ascii="Barlow Semi Condensed" w:cs="Barlow Semi Condensed" w:eastAsia="Barlow Semi Condensed" w:hAnsi="Barlow Semi Condensed"/>
          <w:sz w:val="24"/>
          <w:szCs w:val="24"/>
        </w:rPr>
        <w:t xml:space="preserve"> Il nodo M-5 della matrice guevariana registra la simmetria delle ombre statunitensi sulle due morti: l'agente della CIA a La Higuera nel 1967, l'avvertimento riferito e il consulente del Dipartimento di Stato nel comitato di crisi del 1978. Il corpus l'ha già qualificata come convergenza di cornice e non regia unica. In termini biologici è analogia e non omologia: somiglianza di esito senza antenato comune documentato.</w:t>
      </w:r>
    </w:p>
    <w:p>
      <w:pPr>
        <w:spacing w:after="120" w:line="276"/>
        <w:jc w:val="both"/>
      </w:pPr>
      <w:r>
        <w:rPr>
          <w:rFonts w:ascii="Barlow Semi Condensed" w:cs="Barlow Semi Condensed" w:eastAsia="Barlow Semi Condensed" w:hAnsi="Barlow Semi Condensed"/>
          <w:b/>
          <w:bCs/>
          <w:sz w:val="24"/>
          <w:szCs w:val="24"/>
        </w:rPr>
        <w:t xml:space="preserve">2361 · La contemporaneità non è nesso (serie XXXI).</w:t>
      </w:r>
      <w:r>
        <w:rPr>
          <w:rFonts w:ascii="Barlow Semi Condensed" w:cs="Barlow Semi Condensed" w:eastAsia="Barlow Semi Condensed" w:hAnsi="Barlow Semi Condensed"/>
          <w:sz w:val="24"/>
          <w:szCs w:val="24"/>
        </w:rPr>
        <w:t xml:space="preserve"> Fra il colloquio dello Studio Ovale e l'agguato di via Fani corrono tre anni e mezzo. Il manuale investigativo elenca la contemporaneità fra le non-prove, accanto all'appartenenza e alla parentela; qui non si tratta nemmeno di contemporaneità, ma di successione a distanza. Una successione ordina i fatti e non li lega: per legarli occorre un atto che nomini entrambi, e quell'atto non è stato reperito.</w:t>
      </w:r>
    </w:p>
    <w:p>
      <w:pPr>
        <w:spacing w:after="120" w:line="276"/>
        <w:jc w:val="both"/>
      </w:pPr>
      <w:r>
        <w:rPr>
          <w:rFonts w:ascii="Barlow Semi Condensed" w:cs="Barlow Semi Condensed" w:eastAsia="Barlow Semi Condensed" w:hAnsi="Barlow Semi Condensed"/>
          <w:b/>
          <w:bCs/>
          <w:sz w:val="24"/>
          <w:szCs w:val="24"/>
        </w:rPr>
        <w:t xml:space="preserve">2362 · Due incarichi non fanno due indizi.</w:t>
      </w:r>
      <w:r>
        <w:rPr>
          <w:rFonts w:ascii="Barlow Semi Condensed" w:cs="Barlow Semi Condensed" w:eastAsia="Barlow Semi Condensed" w:hAnsi="Barlow Semi Condensed"/>
          <w:sz w:val="24"/>
          <w:szCs w:val="24"/>
        </w:rPr>
        <w:t xml:space="preserve"> Dal 22 settembre 1973 al 3 novembre 1975 Henry Kissinger tenne simultaneamente l'incarico di assistente per la sicurezza nazionale e quello di segretario di Stato: è un fatto d'anagrafe istituzionale, verificato e datato. Il capitolo ottantunesimo vieta di trattare il cumulo come aggravante, perché chi militò in due gruppi non è due volte prossimo alla responsabilità. La regola non cambia quando i gruppi sono uffici di governo.</w:t>
      </w:r>
    </w:p>
    <w:p>
      <w:pPr>
        <w:spacing w:after="120" w:line="276"/>
        <w:jc w:val="both"/>
      </w:pPr>
      <w:r>
        <w:rPr>
          <w:rFonts w:ascii="Barlow Semi Condensed" w:cs="Barlow Semi Condensed" w:eastAsia="Barlow Semi Condensed" w:hAnsi="Barlow Semi Condensed"/>
          <w:b/>
          <w:bCs/>
          <w:sz w:val="24"/>
          <w:szCs w:val="24"/>
        </w:rPr>
        <w:t xml:space="preserve">2363 · Il lignaggio dottrinale non è condotta (serie XXXI).</w:t>
      </w:r>
      <w:r>
        <w:rPr>
          <w:rFonts w:ascii="Barlow Semi Condensed" w:cs="Barlow Semi Condensed" w:eastAsia="Barlow Semi Condensed" w:hAnsi="Barlow Semi Condensed"/>
          <w:sz w:val="24"/>
          <w:szCs w:val="24"/>
        </w:rPr>
        <w:t xml:space="preserve"> Studiare la matrice realista di un pensiero politico, l'equilibrio, la gerarchia degli interessi, la diffidenza verso le coalizioni coi comunisti, è operazione legittima e documentabile sui verbali editi. Dedurne condotte non lo è. Il territorio lo dice per le militanze brigatiste e la regola non muta cambiando emisfero: una dottrina spiega una preferenza, e una preferenza non è un atto di cui si risponda davanti a un giudice.</w:t>
      </w:r>
    </w:p>
    <w:p>
      <w:pPr>
        <w:spacing w:after="120" w:line="276"/>
        <w:jc w:val="both"/>
      </w:pPr>
      <w:r>
        <w:rPr>
          <w:rFonts w:ascii="Barlow Semi Condensed" w:cs="Barlow Semi Condensed" w:eastAsia="Barlow Semi Condensed" w:hAnsi="Barlow Semi Condensed"/>
          <w:b/>
          <w:bCs/>
          <w:sz w:val="24"/>
          <w:szCs w:val="24"/>
        </w:rPr>
        <w:t xml:space="preserve">2364 · La parentela non è canale (serie XXXI).</w:t>
      </w:r>
      <w:r>
        <w:rPr>
          <w:rFonts w:ascii="Barlow Semi Condensed" w:cs="Barlow Semi Condensed" w:eastAsia="Barlow Semi Condensed" w:hAnsi="Barlow Semi Condensed"/>
          <w:sz w:val="24"/>
          <w:szCs w:val="24"/>
        </w:rPr>
        <w:t xml:space="preserve"> Il corpus ha già respinto la tentazione più forte del genere quando ha rifiutato di trattare come canale il fatto che il padre di un condannato dirigesse la sala stampa vaticana sotto tre pontefici. La regola vale per le famiglie e vale per gli entourage: collaboratori, consiglieri e successori nell'ufficio non trasmettono e non ereditano responsabilità. Un ufficio si eredita, una condotta no, e la differenza è l'intero capitolo.</w:t>
      </w:r>
    </w:p>
    <w:p>
      <w:pPr>
        <w:spacing w:after="120" w:line="276"/>
        <w:jc w:val="both"/>
      </w:pPr>
      <w:r>
        <w:rPr>
          <w:rFonts w:ascii="Barlow Semi Condensed" w:cs="Barlow Semi Condensed" w:eastAsia="Barlow Semi Condensed" w:hAnsi="Barlow Semi Condensed"/>
          <w:b/>
          <w:bCs/>
          <w:sz w:val="24"/>
          <w:szCs w:val="24"/>
        </w:rPr>
        <w:t xml:space="preserve">2365 · Responsabilità di Stato, non di persona.</w:t>
      </w:r>
      <w:r>
        <w:rPr>
          <w:rFonts w:ascii="Barlow Semi Condensed" w:cs="Barlow Semi Condensed" w:eastAsia="Barlow Semi Condensed" w:hAnsi="Barlow Semi Condensed"/>
          <w:sz w:val="24"/>
          <w:szCs w:val="24"/>
        </w:rPr>
        <w:t xml:space="preserve"> Il saggio-cerniera dal-che-a-moro-una-guerra-senza-fine.md registra, su fonti primarie, la responsabilità primaria di apparati statunitensi nella caduta di Salvador Allende dell'11 settembre 1973. Anche lì la Fase decima impone la sua distinzione: la responsabilità storica e politica di un apparato, per quanto documentata, non è la responsabilità penale personale di chi lo dirigeva, che nessuna corte ha mai accertato. Nominare lo Stato e sottintendere l'uomo resta vietato.</w:t>
      </w:r>
    </w:p>
    <w:p>
      <w:pPr>
        <w:spacing w:after="120" w:line="276"/>
        <w:jc w:val="both"/>
      </w:pPr>
      <w:r>
        <w:rPr>
          <w:rFonts w:ascii="Barlow Semi Condensed" w:cs="Barlow Semi Condensed" w:eastAsia="Barlow Semi Condensed" w:hAnsi="Barlow Semi Condensed"/>
          <w:b/>
          <w:bCs/>
          <w:sz w:val="24"/>
          <w:szCs w:val="24"/>
        </w:rPr>
        <w:t xml:space="preserve">2366 · Il piano tre e la circolazione.</w:t>
      </w:r>
      <w:r>
        <w:rPr>
          <w:rFonts w:ascii="Barlow Semi Condensed" w:cs="Barlow Semi Condensed" w:eastAsia="Barlow Semi Condensed" w:hAnsi="Barlow Semi Condensed"/>
          <w:sz w:val="24"/>
          <w:szCs w:val="24"/>
        </w:rPr>
        <w:t xml:space="preserve"> Le affermazioni terziarie che collegano il nome al caso circolano in forma stabile da decenni e si riconoscono da un tratto costante: rinviano ad altre affermazioni, mai a una segnatura. Qualificarle non significa deriderle, significa registrarle come dati di circolazione, misurabili nel numero e nella data, e inutilizzabili come riscontro. La regola dei tre piani serve esattamente a questo: dare posto a ciò che non si può usare.</w:t>
      </w:r>
    </w:p>
    <w:p>
      <w:pPr>
        <w:spacing w:after="120" w:line="276"/>
        <w:jc w:val="both"/>
      </w:pPr>
      <w:r>
        <w:rPr>
          <w:rFonts w:ascii="Barlow Semi Condensed" w:cs="Barlow Semi Condensed" w:eastAsia="Barlow Semi Condensed" w:hAnsi="Barlow Semi Condensed"/>
          <w:b/>
          <w:bCs/>
          <w:sz w:val="24"/>
          <w:szCs w:val="24"/>
        </w:rPr>
        <w:t xml:space="preserve">2367 · Misurare il perimetro dell'assenza.</w:t>
      </w:r>
      <w:r>
        <w:rPr>
          <w:rFonts w:ascii="Barlow Semi Condensed" w:cs="Barlow Semi Condensed" w:eastAsia="Barlow Semi Condensed" w:hAnsi="Barlow Semi Condensed"/>
          <w:sz w:val="24"/>
          <w:szCs w:val="24"/>
        </w:rPr>
        <w:t xml:space="preserve"> La regola dei buchi impone che un'assenza si misuri prima di essere interpretata: quali serie sono state consultate, con quale chiave, in quale finestra cronologica, con quale esito. Applicata qui significa che lo Stato Zero della Fase decima va scritto con l'elenco delle sedi interrogate e non con l'aggettivo introvabile. I blocchi che seguono compilano quell'elenco, una sede per volta, senza saltarne alcuna.</w:t>
      </w:r>
    </w:p>
    <w:p>
      <w:pPr>
        <w:spacing w:after="120" w:line="276"/>
        <w:jc w:val="both"/>
      </w:pPr>
      <w:r>
        <w:rPr>
          <w:rFonts w:ascii="Barlow Semi Condensed" w:cs="Barlow Semi Condensed" w:eastAsia="Barlow Semi Condensed" w:hAnsi="Barlow Semi Condensed"/>
          <w:b/>
          <w:bCs/>
          <w:sz w:val="24"/>
          <w:szCs w:val="24"/>
        </w:rPr>
        <w:t xml:space="preserve">2368 · Nessuna graduatoria, nessuna percentuale.</w:t>
      </w:r>
      <w:r>
        <w:rPr>
          <w:rFonts w:ascii="Barlow Semi Condensed" w:cs="Barlow Semi Condensed" w:eastAsia="Barlow Semi Condensed" w:hAnsi="Barlow Semi Condensed"/>
          <w:sz w:val="24"/>
          <w:szCs w:val="24"/>
        </w:rPr>
        <w:t xml:space="preserve"> La seconda avvertenza del capitolo settantanovesimo rifiuta di ordinare in graduatoria le condotte dei tredici e di apporvi percentuali, perché la misura della responsabilità sta nelle sentenze e non in un'aritmetica. Il divieto vale a maggior ragione fuori dal registro: non esiste una percentuale di responsabilità internazionale, non esiste una quota di mandato, e ogni formula che le evochi è, per questo metodo, già fuori strada.</w:t>
      </w:r>
    </w:p>
    <w:p>
      <w:pPr>
        <w:spacing w:after="120" w:line="276"/>
        <w:jc w:val="both"/>
      </w:pPr>
      <w:r>
        <w:rPr>
          <w:rFonts w:ascii="Barlow Semi Condensed" w:cs="Barlow Semi Condensed" w:eastAsia="Barlow Semi Condensed" w:hAnsi="Barlow Semi Condensed"/>
          <w:b/>
          <w:bCs/>
          <w:sz w:val="24"/>
          <w:szCs w:val="24"/>
        </w:rPr>
        <w:t xml:space="preserve">2369 · L'Archivio centrale e i versamenti.</w:t>
      </w:r>
      <w:r>
        <w:rPr>
          <w:rFonts w:ascii="Barlow Semi Condensed" w:cs="Barlow Semi Condensed" w:eastAsia="Barlow Semi Condensed" w:hAnsi="Barlow Semi Condensed"/>
          <w:sz w:val="24"/>
          <w:szCs w:val="24"/>
        </w:rPr>
        <w:t xml:space="preserve"> La raccolta speciale di documentazione desecretata sul sequestro, conservata all'Archivio centrale dello Stato, nasce dalla sequenza delle direttive Prodi e Renzi e fu completata nel dicembre 2014: circa duemila buste da centocinquantasei uffici, descritte nella Guida ai fondi con la segnatura IT-ACS-AS0001-0005098. Il quesito è enumerativo: quante carte del versamento nominano questo cognome, in quali uffici produttori, e con quale classifica d'origine.</w:t>
      </w:r>
    </w:p>
    <w:p>
      <w:pPr>
        <w:spacing w:after="120" w:line="276"/>
        <w:jc w:val="both"/>
      </w:pPr>
      <w:r>
        <w:rPr>
          <w:rFonts w:ascii="Barlow Semi Condensed" w:cs="Barlow Semi Condensed" w:eastAsia="Barlow Semi Condensed" w:hAnsi="Barlow Semi Condensed"/>
          <w:b/>
          <w:bCs/>
          <w:sz w:val="24"/>
          <w:szCs w:val="24"/>
        </w:rPr>
        <w:t xml:space="preserve">2370 · Ventimila pagine alla Camera.</w:t>
      </w:r>
      <w:r>
        <w:rPr>
          <w:rFonts w:ascii="Barlow Semi Condensed" w:cs="Barlow Semi Condensed" w:eastAsia="Barlow Semi Condensed" w:hAnsi="Barlow Semi Condensed"/>
          <w:sz w:val="24"/>
          <w:szCs w:val="24"/>
        </w:rPr>
        <w:t xml:space="preserve"> Il fondo della Commissione Moro 2, all'Archivio storico della Camera, ha un portale delle inchieste e circa ventimila pagine desecretate consultabili in rete. Lo spoglio si conduce con griglia dichiarata e verbale degli esiti, comprese le ricerche a vuoto. La domanda è se la Commissione che documentò il Memoriale come testo negoziato abbia acquisito carte sull'episodio del 1974, e con quale valutazione le abbia trattate.</w:t>
      </w:r>
    </w:p>
    <w:p>
      <w:pPr>
        <w:spacing w:after="120" w:line="276"/>
        <w:jc w:val="both"/>
      </w:pPr>
      <w:r>
        <w:rPr>
          <w:rFonts w:ascii="Barlow Semi Condensed" w:cs="Barlow Semi Condensed" w:eastAsia="Barlow Semi Condensed" w:hAnsi="Barlow Semi Condensed"/>
          <w:b/>
          <w:bCs/>
          <w:sz w:val="24"/>
          <w:szCs w:val="24"/>
        </w:rPr>
        <w:t xml:space="preserve">2371 · I due fondi del Senato.</w:t>
      </w:r>
      <w:r>
        <w:rPr>
          <w:rFonts w:ascii="Barlow Semi Condensed" w:cs="Barlow Semi Condensed" w:eastAsia="Barlow Semi Condensed" w:hAnsi="Barlow Semi Condensed"/>
          <w:sz w:val="24"/>
          <w:szCs w:val="24"/>
        </w:rPr>
        <w:t xml:space="preserve"> Giacciono all'Archivio storico del Senato il fondo della prima Commissione, istituita con la legge 597 del 1979, e il fondo della Commissione stragi presieduta da Pellegrino, consultabile in sala studio su richiesta motivata. È lì che la deposizione parlamentare della vedova, resa il primo agosto 1980, ha il proprio originale stenografico: il testo che la campagna precedente ha dichiarato di non aver potuto leggere.</w:t>
      </w:r>
    </w:p>
    <w:p>
      <w:pPr>
        <w:spacing w:after="120" w:line="276"/>
        <w:jc w:val="both"/>
      </w:pPr>
      <w:r>
        <w:rPr>
          <w:rFonts w:ascii="Barlow Semi Condensed" w:cs="Barlow Semi Condensed" w:eastAsia="Barlow Semi Condensed" w:hAnsi="Barlow Semi Condensed"/>
          <w:b/>
          <w:bCs/>
          <w:sz w:val="24"/>
          <w:szCs w:val="24"/>
        </w:rPr>
        <w:t xml:space="preserve">2372 · Gli atti dei cinque processi.</w:t>
      </w:r>
      <w:r>
        <w:rPr>
          <w:rFonts w:ascii="Barlow Semi Condensed" w:cs="Barlow Semi Condensed" w:eastAsia="Barlow Semi Condensed" w:hAnsi="Barlow Semi Condensed"/>
          <w:sz w:val="24"/>
          <w:szCs w:val="24"/>
        </w:rPr>
        <w:t xml:space="preserve"> Gli atti dei cinque processi Moro sono stati digitalizzati sotto il coordinamento dell'Archivio di Stato di Roma col Ministero della Giustizia. Vi si trovano i verbali d'udienza del novembre 1982 e la motivazione del 24 gennaio 1983 che fonda il registro dei tredici. Due quesiti in una sola consultazione: che cosa fu detto in aula, e che cosa la corte ne fece nel proprio ragionamento.</w:t>
      </w:r>
    </w:p>
    <w:p>
      <w:pPr>
        <w:spacing w:after="120" w:line="276"/>
        <w:jc w:val="both"/>
      </w:pPr>
      <w:r>
        <w:rPr>
          <w:rFonts w:ascii="Barlow Semi Condensed" w:cs="Barlow Semi Condensed" w:eastAsia="Barlow Semi Condensed" w:hAnsi="Barlow Semi Condensed"/>
          <w:b/>
          <w:bCs/>
          <w:sz w:val="24"/>
          <w:szCs w:val="24"/>
        </w:rPr>
        <w:t xml:space="preserve">2373 · Il giacimento privato di Garbatella.</w:t>
      </w:r>
      <w:r>
        <w:rPr>
          <w:rFonts w:ascii="Barlow Semi Condensed" w:cs="Barlow Semi Condensed" w:eastAsia="Barlow Semi Condensed" w:hAnsi="Barlow Semi Condensed"/>
          <w:sz w:val="24"/>
          <w:szCs w:val="24"/>
        </w:rPr>
        <w:t xml:space="preserve"> Alla Garbatella, nello spazio MEMO, il Centro documentazione Archivio Flamigni conserva dal 2021 la serie Caso Moro inventariata e il fondo familiare delle carte di Moro. È il più vasto giacimento privato sul caso e custodisce rassegne e carteggi che gli archivi pubblici non hanno. Bersaglio: la ricerca per nome negli strumenti d'inventario, condotta secondo il protocollo di consultazione dell'istituto e verbalizzata comunque.</w:t>
      </w:r>
    </w:p>
    <w:p>
      <w:pPr>
        <w:spacing w:after="120" w:line="276"/>
        <w:jc w:val="both"/>
      </w:pPr>
      <w:r>
        <w:rPr>
          <w:rFonts w:ascii="Barlow Semi Condensed" w:cs="Barlow Semi Condensed" w:eastAsia="Barlow Semi Condensed" w:hAnsi="Barlow Semi Condensed"/>
          <w:b/>
          <w:bCs/>
          <w:sz w:val="24"/>
          <w:szCs w:val="24"/>
        </w:rPr>
        <w:t xml:space="preserve">2374 · Le carte del presidente del Consiglio.</w:t>
      </w:r>
      <w:r>
        <w:rPr>
          <w:rFonts w:ascii="Barlow Semi Condensed" w:cs="Barlow Semi Condensed" w:eastAsia="Barlow Semi Condensed" w:hAnsi="Barlow Semi Condensed"/>
          <w:sz w:val="24"/>
          <w:szCs w:val="24"/>
        </w:rPr>
        <w:t xml:space="preserve"> All'Istituto Luigi Sturzo l'archivio di Giulio Andreotti, donato nel 2007, conta circa tremilacinquecento buste e non ha una serie intitolata al caso, il che obbliga a cercare nelle serie tematiche. Chi presiedeva il Consiglio nei cinquantacinque giorni aveva ragione di annotare i rapporti con Washington: il quesito è se lo abbia fatto, e la risposta non è deducibile, va cercata busta per busta.</w:t>
      </w:r>
    </w:p>
    <w:p>
      <w:pPr>
        <w:spacing w:after="120" w:line="276"/>
        <w:jc w:val="both"/>
      </w:pPr>
      <w:r>
        <w:rPr>
          <w:rFonts w:ascii="Barlow Semi Condensed" w:cs="Barlow Semi Condensed" w:eastAsia="Barlow Semi Condensed" w:hAnsi="Barlow Semi Condensed"/>
          <w:b/>
          <w:bCs/>
          <w:sz w:val="24"/>
          <w:szCs w:val="24"/>
        </w:rPr>
        <w:t xml:space="preserve">2375 · Trecentotto buste del ministro dell'Interno.</w:t>
      </w:r>
      <w:r>
        <w:rPr>
          <w:rFonts w:ascii="Barlow Semi Condensed" w:cs="Barlow Semi Condensed" w:eastAsia="Barlow Semi Condensed" w:hAnsi="Barlow Semi Condensed"/>
          <w:sz w:val="24"/>
          <w:szCs w:val="24"/>
        </w:rPr>
        <w:t xml:space="preserve"> Trecentotto buste con inventario informatizzato compongono l'archivio di Francesco Cossiga all'Archivio storico della Camera. Il ministro dell'Interno dei cinquantacinque giorni si dimise il 9 maggio 1978 e lavorò accanto al consulente statunitense inviato nel comitato di crisi. Il bersaglio è delimitato e non allusivo: le carte del 1978 e quelle degli anni successivi in cui la vicenda dell'avvertimento tornò nel dibattito pubblico.</w:t>
      </w:r>
    </w:p>
    <w:p>
      <w:pPr>
        <w:spacing w:after="120" w:line="276"/>
        <w:jc w:val="both"/>
      </w:pPr>
      <w:r>
        <w:rPr>
          <w:rFonts w:ascii="Barlow Semi Condensed" w:cs="Barlow Semi Condensed" w:eastAsia="Barlow Semi Condensed" w:hAnsi="Barlow Semi Condensed"/>
          <w:b/>
          <w:bCs/>
          <w:sz w:val="24"/>
          <w:szCs w:val="24"/>
        </w:rPr>
        <w:t xml:space="preserve">2376 · I diari di Fanfani.</w:t>
      </w:r>
      <w:r>
        <w:rPr>
          <w:rFonts w:ascii="Barlow Semi Condensed" w:cs="Barlow Semi Condensed" w:eastAsia="Barlow Semi Condensed" w:hAnsi="Barlow Semi Condensed"/>
          <w:sz w:val="24"/>
          <w:szCs w:val="24"/>
        </w:rPr>
        <w:t xml:space="preserve"> Duecentonovantatré buste e quarantatré diari formano il fondo Amintore Fanfani all'Archivio storico del Senato, col tomo relativo al 1977-1980 previsto dal piano editoriale. I diari di un protagonista annotano ciò che gli uffici non protocollano. Il quesito è circoscritto per data: che cosa risulta annotato attorno alla visita del settembre 1974 e attorno alla deposizione del novembre 1982, ammesso che qualcosa risulti.</w:t>
      </w:r>
    </w:p>
    <w:p>
      <w:pPr>
        <w:spacing w:after="120" w:line="276"/>
        <w:jc w:val="both"/>
      </w:pPr>
      <w:r>
        <w:rPr>
          <w:rFonts w:ascii="Barlow Semi Condensed" w:cs="Barlow Semi Condensed" w:eastAsia="Barlow Semi Condensed" w:hAnsi="Barlow Semi Condensed"/>
          <w:b/>
          <w:bCs/>
          <w:sz w:val="24"/>
          <w:szCs w:val="24"/>
        </w:rPr>
        <w:t xml:space="preserve">2377 · Le carte dell'uomo, tre nuclei.</w:t>
      </w:r>
      <w:r>
        <w:rPr>
          <w:rFonts w:ascii="Barlow Semi Condensed" w:cs="Barlow Semi Condensed" w:eastAsia="Barlow Semi Condensed" w:hAnsi="Barlow Semi Condensed"/>
          <w:sz w:val="24"/>
          <w:szCs w:val="24"/>
        </w:rPr>
        <w:t xml:space="preserve"> Le carte personali di Aldo Moro stanno in tre nuclei distinti: il fondo personale all'Archivio centrale dello Stato, duecentodiciotto buste per gli anni 1953-1978; il fondo familiare all'Archivio Flamigni; e la raccolta statale nata dalle direttive. Se l'avvertimento fu ricevuto, l'unico riscontro non testimoniale possibile è una traccia scritta di mano del destinatario. Non trovarla sarebbe uno Stato Zero da dichiarare, non un indizio.</w:t>
      </w:r>
    </w:p>
    <w:p>
      <w:pPr>
        <w:spacing w:after="120" w:line="276"/>
        <w:jc w:val="both"/>
      </w:pPr>
      <w:r>
        <w:rPr>
          <w:rFonts w:ascii="Barlow Semi Condensed" w:cs="Barlow Semi Condensed" w:eastAsia="Barlow Semi Condensed" w:hAnsi="Barlow Semi Condensed"/>
          <w:b/>
          <w:bCs/>
          <w:sz w:val="24"/>
          <w:szCs w:val="24"/>
        </w:rPr>
        <w:t xml:space="preserve">2378 · I telegrammi del 1978 in rete.</w:t>
      </w:r>
      <w:r>
        <w:rPr>
          <w:rFonts w:ascii="Barlow Semi Condensed" w:cs="Barlow Semi Condensed" w:eastAsia="Barlow Semi Condensed" w:hAnsi="Barlow Semi Condensed"/>
          <w:sz w:val="24"/>
          <w:szCs w:val="24"/>
        </w:rPr>
        <w:t xml:space="preserve"> I Central Foreign Policy Files sono interrogabili in full-text sui National Archives statunitensi per gli anni dal primo luglio 1973 al 31 dicembre 1979, con le withdrawal cards che censiscono il trattenuto. È il giacimento estero a costo più basso e va spogliato con griglia dichiarata di nomi, luoghi e TAGS. Le carte di prelievo sono esse stesse un dato: dicono quanto manca e da dove.</w:t>
      </w:r>
    </w:p>
    <w:p>
      <w:pPr>
        <w:spacing w:after="120" w:line="276"/>
        <w:jc w:val="both"/>
      </w:pPr>
      <w:r>
        <w:rPr>
          <w:rFonts w:ascii="Barlow Semi Condensed" w:cs="Barlow Semi Condensed" w:eastAsia="Barlow Semi Condensed" w:hAnsi="Barlow Semi Condensed"/>
          <w:b/>
          <w:bCs/>
          <w:sz w:val="24"/>
          <w:szCs w:val="24"/>
        </w:rPr>
        <w:t xml:space="preserve">2379 · La collezione a microfiche del Dipartimento.</w:t>
      </w:r>
      <w:r>
        <w:rPr>
          <w:rFonts w:ascii="Barlow Semi Condensed" w:cs="Barlow Semi Condensed" w:eastAsia="Barlow Semi Condensed" w:hAnsi="Barlow Semi Condensed"/>
          <w:sz w:val="24"/>
          <w:szCs w:val="24"/>
        </w:rPr>
        <w:t xml:space="preserve"> Una collezione a microfiche dedicata ad Aldo Moro come primo ministro d'Italia è conservata nella FOIA Library del Dipartimento di Stato. Il quesito è di perimetro prima che di contenuto: quali documenti la compongono, con quali date estreme, e quali risultino espunti. Una collezione tematica intitolata a una persona è, di per sé, la traccia di un interesse istituzionale, e l'interesse non è una condotta.</w:t>
      </w:r>
    </w:p>
    <w:p>
      <w:pPr>
        <w:spacing w:after="120" w:line="276"/>
        <w:jc w:val="both"/>
      </w:pPr>
      <w:r>
        <w:rPr>
          <w:rFonts w:ascii="Barlow Semi Condensed" w:cs="Barlow Semi Condensed" w:eastAsia="Barlow Semi Condensed" w:hAnsi="Barlow Semi Condensed"/>
          <w:b/>
          <w:bCs/>
          <w:sz w:val="24"/>
          <w:szCs w:val="24"/>
        </w:rPr>
        <w:t xml:space="preserve">2380 · La sala di lettura dell'agenzia.</w:t>
      </w:r>
      <w:r>
        <w:rPr>
          <w:rFonts w:ascii="Barlow Semi Condensed" w:cs="Barlow Semi Condensed" w:eastAsia="Barlow Semi Condensed" w:hAnsi="Barlow Semi Condensed"/>
          <w:sz w:val="24"/>
          <w:szCs w:val="24"/>
        </w:rPr>
        <w:t xml:space="preserve"> Nella Electronic Reading Room dell'agenzia statunitense figurano materiali su Moro, sulle Brigate Rosse e sull'Italia del 1978, con l'avvertenza già acquisita dal corpus che molti reperti sono rassegne di stampa interne e non atti operativi. La distinzione è dirimente: una rassegna documenta ciò che l'agenzia leggeva, non ciò che faceva, e va citata per quello che è, con la sua natura dichiarata.</w:t>
      </w:r>
    </w:p>
    <w:p>
      <w:pPr>
        <w:spacing w:after="120" w:line="276"/>
        <w:jc w:val="both"/>
      </w:pPr>
      <w:r>
        <w:rPr>
          <w:rFonts w:ascii="Barlow Semi Condensed" w:cs="Barlow Semi Condensed" w:eastAsia="Barlow Semi Condensed" w:hAnsi="Barlow Semi Condensed"/>
          <w:b/>
          <w:bCs/>
          <w:sz w:val="24"/>
          <w:szCs w:val="24"/>
        </w:rPr>
        <w:t xml:space="preserve">2381 · Le due biblioteche presidenziali.</w:t>
      </w:r>
      <w:r>
        <w:rPr>
          <w:rFonts w:ascii="Barlow Semi Condensed" w:cs="Barlow Semi Condensed" w:eastAsia="Barlow Semi Condensed" w:hAnsi="Barlow Semi Condensed"/>
          <w:sz w:val="24"/>
          <w:szCs w:val="24"/>
        </w:rPr>
        <w:t xml:space="preserve"> Due biblioteche presidenziali chiudono l'elenco americano: la Gerald R. Ford Presidential Library, con la serie dei National Security Adviser's Memoranda of Conversation da cui provengono i due verbali del settembre 1974, e la Jimmy Carter Library, col Brzezinski Material e il Country File dedicato all'Italia, già usato dai volumi FRUS per il 1977-1980. La seconda copre esattamente la finestra del sequestro.</w:t>
      </w:r>
    </w:p>
    <w:p>
      <w:pPr>
        <w:spacing w:after="120" w:line="276"/>
        <w:jc w:val="both"/>
      </w:pPr>
      <w:r>
        <w:rPr>
          <w:rFonts w:ascii="Barlow Semi Condensed" w:cs="Barlow Semi Condensed" w:eastAsia="Barlow Semi Condensed" w:hAnsi="Barlow Semi Condensed"/>
          <w:b/>
          <w:bCs/>
          <w:sz w:val="24"/>
          <w:szCs w:val="24"/>
        </w:rPr>
        <w:t xml:space="preserve">2382 · Le carte personali del nome.</w:t>
      </w:r>
      <w:r>
        <w:rPr>
          <w:rFonts w:ascii="Barlow Semi Condensed" w:cs="Barlow Semi Condensed" w:eastAsia="Barlow Semi Condensed" w:hAnsi="Barlow Semi Condensed"/>
          <w:sz w:val="24"/>
          <w:szCs w:val="24"/>
        </w:rPr>
        <w:t xml:space="preserve"> Resta da accertare nel suo perimetro l'ultima sede: i fondi che conservano le carte personali di Henry Kissinger, ripartiti fra istituzioni statunitensi con regimi di consultabilità e restrizioni proprie. Il bersaglio preliminare non è il contenuto ma lo strumento: quali serie esistono, con quali date estreme, con quali vincoli e fino a quando. Senza quella mappa, ogni affermazione sul loro silenzio è priva di fondamento.</w:t>
      </w:r>
    </w:p>
    <w:p>
      <w:pPr>
        <w:spacing w:after="120" w:line="276"/>
        <w:jc w:val="both"/>
      </w:pPr>
      <w:r>
        <w:rPr>
          <w:rFonts w:ascii="Barlow Semi Condensed" w:cs="Barlow Semi Condensed" w:eastAsia="Barlow Semi Condensed" w:hAnsi="Barlow Semi Condensed"/>
          <w:b/>
          <w:bCs/>
          <w:sz w:val="24"/>
          <w:szCs w:val="24"/>
        </w:rPr>
        <w:t xml:space="preserve">2383 · Il bersaglio di smentita penale.</w:t>
      </w:r>
      <w:r>
        <w:rPr>
          <w:rFonts w:ascii="Barlow Semi Condensed" w:cs="Barlow Semi Condensed" w:eastAsia="Barlow Semi Condensed" w:hAnsi="Barlow Semi Condensed"/>
          <w:sz w:val="24"/>
          <w:szCs w:val="24"/>
        </w:rPr>
        <w:t xml:space="preserve"> Che cosa falsificherebbe l'accertamento centrale di questa serie: la produzione di un provvedimento giudiziario, richiesta di rinvio a giudizio, ordinanza o sentenza, in cui un'autorità di qualunque Paese contesti a questa persona una condotta relativa al sequestro o all'omicidio di Aldo Moro. Non una relazione parlamentare, non un saggio, non una dichiarazione: un atto del processo. Nessuno ne è stato reperito, e la ricerca resta aperta.</w:t>
      </w:r>
    </w:p>
    <w:p>
      <w:pPr>
        <w:spacing w:after="120" w:line="276"/>
        <w:jc w:val="both"/>
      </w:pPr>
      <w:r>
        <w:rPr>
          <w:rFonts w:ascii="Barlow Semi Condensed" w:cs="Barlow Semi Condensed" w:eastAsia="Barlow Semi Condensed" w:hAnsi="Barlow Semi Condensed"/>
          <w:b/>
          <w:bCs/>
          <w:sz w:val="24"/>
          <w:szCs w:val="24"/>
        </w:rPr>
        <w:t xml:space="preserve">2384 · Il bersaglio di smentita documentale.</w:t>
      </w:r>
      <w:r>
        <w:rPr>
          <w:rFonts w:ascii="Barlow Semi Condensed" w:cs="Barlow Semi Condensed" w:eastAsia="Barlow Semi Condensed" w:hAnsi="Barlow Semi Condensed"/>
          <w:sz w:val="24"/>
          <w:szCs w:val="24"/>
        </w:rPr>
        <w:t xml:space="preserve"> L'assenza di ponte al piano uno cadrebbe davanti a un documento di provenienza, un telegramma, un verbale, un appunto d'ufficio, che nomini insieme questa persona e almeno una delle tredici del registro, oppure che disponga alcunché sull'operazione del 1978. Il test è unico e non ammette surrogati: dalla somiglianza dei risultati non si deduce l'antenato comune, e nessuna convergenza di cornice sostituisce una segnatura.</w:t>
      </w:r>
    </w:p>
    <w:p>
      <w:pPr>
        <w:spacing w:after="120" w:line="276"/>
        <w:jc w:val="both"/>
      </w:pPr>
      <w:r>
        <w:rPr>
          <w:rFonts w:ascii="Barlow Semi Condensed" w:cs="Barlow Semi Condensed" w:eastAsia="Barlow Semi Condensed" w:hAnsi="Barlow Semi Condensed"/>
          <w:b/>
          <w:bCs/>
          <w:sz w:val="24"/>
          <w:szCs w:val="24"/>
        </w:rPr>
        <w:t xml:space="preserve">2385 · Il bersaglio che chiuderebbe in negativo.</w:t>
      </w:r>
      <w:r>
        <w:rPr>
          <w:rFonts w:ascii="Barlow Semi Condensed" w:cs="Barlow Semi Condensed" w:eastAsia="Barlow Semi Condensed" w:hAnsi="Barlow Semi Condensed"/>
          <w:sz w:val="24"/>
          <w:szCs w:val="24"/>
        </w:rPr>
        <w:t xml:space="preserve"> Va cercato con pari energia anche l'esito che chiuderebbe il quesito nell'altro senso: la documentazione che attesti che l'iniziativa italiana del 1983 fu formalmente respinta, oppure non fu mai trasmessa, oppure si arrestò per ragioni d'ufficio. Una sorte ordinaria e documentata di quella richiesta chiuderebbe il nodo per la parte procedurale, e trasformerebbe un silenzio suggestivo in un fatto amministrativo.</w:t>
      </w:r>
    </w:p>
    <w:p>
      <w:pPr>
        <w:spacing w:after="120" w:line="276"/>
        <w:jc w:val="both"/>
      </w:pPr>
      <w:r>
        <w:rPr>
          <w:rFonts w:ascii="Barlow Semi Condensed" w:cs="Barlow Semi Condensed" w:eastAsia="Barlow Semi Condensed" w:hAnsi="Barlow Semi Condensed"/>
          <w:b/>
          <w:bCs/>
          <w:sz w:val="24"/>
          <w:szCs w:val="24"/>
        </w:rPr>
        <w:t xml:space="preserve">2386 · Il criterio di chiusura testimoniale.</w:t>
      </w:r>
      <w:r>
        <w:rPr>
          <w:rFonts w:ascii="Barlow Semi Condensed" w:cs="Barlow Semi Condensed" w:eastAsia="Barlow Semi Condensed" w:hAnsi="Barlow Semi Condensed"/>
          <w:sz w:val="24"/>
          <w:szCs w:val="24"/>
        </w:rPr>
        <w:t xml:space="preserve"> Il nodo dell'avvertimento si chiude, in un senso o nell'altro, quando saranno letti per intero tre testi che il corpus dichiara di non aver potuto consultare: il verbale stenografico dell'audizione parlamentare del primo agosto 1980, i verbali d'udienza del novembre 1982, la motivazione del gennaio 1983. Tre documenti individuati, tre sedi note. Finché restano non letti, ogni riepilogo poggia su fonti secondarie e va dichiarato tale.</w:t>
      </w:r>
    </w:p>
    <w:p>
      <w:pPr>
        <w:spacing w:after="120" w:line="276"/>
        <w:jc w:val="both"/>
      </w:pPr>
      <w:r>
        <w:rPr>
          <w:rFonts w:ascii="Barlow Semi Condensed" w:cs="Barlow Semi Condensed" w:eastAsia="Barlow Semi Condensed" w:hAnsi="Barlow Semi Condensed"/>
          <w:b/>
          <w:bCs/>
          <w:sz w:val="24"/>
          <w:szCs w:val="24"/>
        </w:rPr>
        <w:t xml:space="preserve">2387 · La divergenza sull'anglicizzazione, riportata.</w:t>
      </w:r>
      <w:r>
        <w:rPr>
          <w:rFonts w:ascii="Barlow Semi Condensed" w:cs="Barlow Semi Condensed" w:eastAsia="Barlow Semi Condensed" w:hAnsi="Barlow Semi Condensed"/>
          <w:sz w:val="24"/>
          <w:szCs w:val="24"/>
        </w:rPr>
        <w:t xml:space="preserve"> Anche l'anagrafe porta una divergenza che il corpus ha già registrato: Heinz Alfred Kissinger, nato a Fürth il 27 maggio 1923, avrebbe anglicizzato il proprio nome nel 1938 secondo le opere di consultazione, che non citano documenti, mentre il fascicolo d'immigrazione la colloca fra il 1942 e il 1943. Si riporta perché una serie che pretende segnature deve pretenderle anche per i dettagli comodi.</w:t>
      </w:r>
    </w:p>
    <w:p>
      <w:pPr>
        <w:spacing w:after="120" w:line="276"/>
        <w:jc w:val="both"/>
      </w:pPr>
      <w:r>
        <w:rPr>
          <w:rFonts w:ascii="Barlow Semi Condensed" w:cs="Barlow Semi Condensed" w:eastAsia="Barlow Semi Condensed" w:hAnsi="Barlow Semi Condensed"/>
          <w:b/>
          <w:bCs/>
          <w:sz w:val="24"/>
          <w:szCs w:val="24"/>
        </w:rPr>
        <w:t xml:space="preserve">2388 · Il perimetro negativo del registro (serie XXXI).</w:t>
      </w:r>
      <w:r>
        <w:rPr>
          <w:rFonts w:ascii="Barlow Semi Condensed" w:cs="Barlow Semi Condensed" w:eastAsia="Barlow Semi Condensed" w:hAnsi="Barlow Semi Condensed"/>
          <w:sz w:val="24"/>
          <w:szCs w:val="24"/>
        </w:rPr>
        <w:t xml:space="preserve"> L'ottava parte dei nove cantieri prevede un bersaglio che questa serie esegue in un caso singolo: la tavola di chi non è nel registro e del perché, fra assoluzioni, archiviazioni e mere congetture, scritta una volta e bene, senza nomi oltre gli atti pubblici che li contengono. Henry Kissinger appartiene alla terza colonna, quella delle congetture circolanti, e vi appartiene senza alcun atto italiano che lo riguardi.</w:t>
      </w:r>
    </w:p>
    <w:p>
      <w:pPr>
        <w:spacing w:after="120" w:line="276"/>
        <w:jc w:val="both"/>
      </w:pPr>
      <w:r>
        <w:rPr>
          <w:rFonts w:ascii="Barlow Semi Condensed" w:cs="Barlow Semi Condensed" w:eastAsia="Barlow Semi Condensed" w:hAnsi="Barlow Semi Condensed"/>
          <w:b/>
          <w:bCs/>
          <w:sz w:val="24"/>
          <w:szCs w:val="24"/>
        </w:rPr>
        <w:t xml:space="preserve">2389 · Una persona, una condotta, una sentenza.</w:t>
      </w:r>
      <w:r>
        <w:rPr>
          <w:rFonts w:ascii="Barlow Semi Condensed" w:cs="Barlow Semi Condensed" w:eastAsia="Barlow Semi Condensed" w:hAnsi="Barlow Semi Condensed"/>
          <w:sz w:val="24"/>
          <w:szCs w:val="24"/>
        </w:rPr>
        <w:t xml:space="preserve"> La formula con cui il territorio si congeda chiede tre cose insieme, e le chiede nell'ordine. Per il nome triangolato in questa serie la prima esiste, una persona con un'anagrafe verificata e due incarichi datati; la seconda non è mai stata accertata da alcuna autorità; la terza non è mai stata pronunciata. Due elementi su tre mancano, e mancano nel modo che il capitolo ottantaduesimo dichiara insuperabile.</w:t>
      </w:r>
    </w:p>
    <w:p>
      <w:pPr>
        <w:spacing w:after="120" w:line="276"/>
        <w:jc w:val="both"/>
      </w:pPr>
      <w:r>
        <w:rPr>
          <w:rFonts w:ascii="Barlow Semi Condensed" w:cs="Barlow Semi Condensed" w:eastAsia="Barlow Semi Condensed" w:hAnsi="Barlow Semi Condensed"/>
          <w:b/>
          <w:bCs/>
          <w:sz w:val="24"/>
          <w:szCs w:val="24"/>
        </w:rPr>
        <w:t xml:space="preserve">2390 · Che cosa questa serie consegna.</w:t>
      </w:r>
      <w:r>
        <w:rPr>
          <w:rFonts w:ascii="Barlow Semi Condensed" w:cs="Barlow Semi Condensed" w:eastAsia="Barlow Semi Condensed" w:hAnsi="Barlow Semi Condensed"/>
          <w:sz w:val="24"/>
          <w:szCs w:val="24"/>
        </w:rPr>
        <w:t xml:space="preserve"> Restano, a chiusura, un accertamento e un programma. L'accertamento: la Fase decima non nomina Henry Kissinger, e non lo nomina perché il suo criterio d'ingresso è il giudicato, che per lui non esiste in alcun Paese. Il programma: le sedi d'archivio nominate una per una, tre testi individuati e non ancora letti, due bersagli di smentita formulati. Chi riprenderà il lavoro sa dove andare.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trentaduesima — La triangolazione dei condannati</w:t>
      </w:r>
    </w:p>
    <w:p>
      <w:pPr>
        <w:spacing w:after="120" w:line="276"/>
        <w:jc w:val="both"/>
      </w:pPr>
      <w:r>
        <w:rPr>
          <w:rFonts w:ascii="Barlow Semi Condensed" w:cs="Barlow Semi Condensed" w:eastAsia="Barlow Semi Condensed" w:hAnsi="Barlow Semi Condensed"/>
          <w:i/>
          <w:iCs/>
          <w:sz w:val="24"/>
          <w:szCs w:val="24"/>
        </w:rPr>
        <w:t xml:space="preserve">Blocchi 2391-2470.</w:t>
      </w:r>
    </w:p>
    <w:p>
      <w:pPr>
        <w:spacing w:after="120" w:line="276"/>
        <w:jc w:val="both"/>
      </w:pPr>
      <w:r>
        <w:rPr>
          <w:rFonts w:ascii="Barlow Semi Condensed" w:cs="Barlow Semi Condensed" w:eastAsia="Barlow Semi Condensed" w:hAnsi="Barlow Semi Condensed"/>
          <w:b/>
          <w:bCs/>
          <w:sz w:val="24"/>
          <w:szCs w:val="24"/>
        </w:rPr>
        <w:t xml:space="preserve">2391 · Il territorio e la sua prima misura.</w:t>
      </w:r>
      <w:r>
        <w:rPr>
          <w:rFonts w:ascii="Barlow Semi Condensed" w:cs="Barlow Semi Condensed" w:eastAsia="Barlow Semi Condensed" w:hAnsi="Barlow Semi Condensed"/>
          <w:sz w:val="24"/>
          <w:szCs w:val="24"/>
        </w:rPr>
        <w:t xml:space="preserve"> Questa serie triangola un nome contro triangolazione-condannati-corpus.md: otto nodi da T-1 a T-8, quattro esiti negativi dichiarati, cinque anti-triangolazioni, la matrice sintetica e la chiusura sul filo del 1926. La prima misura è meccanica ed è già un accertamento: la stringa Kissinger nel documento ricorre zero volte, e altrettante nella Fase decima e nello studio sulle pene oltre confine. Il territorio tace su questo nome, e il silenzio si conta prima di interpretarlo.</w:t>
      </w:r>
    </w:p>
    <w:p>
      <w:pPr>
        <w:spacing w:after="120" w:line="276"/>
        <w:jc w:val="both"/>
      </w:pPr>
      <w:r>
        <w:rPr>
          <w:rFonts w:ascii="Barlow Semi Condensed" w:cs="Barlow Semi Condensed" w:eastAsia="Barlow Semi Condensed" w:hAnsi="Barlow Semi Condensed"/>
          <w:b/>
          <w:bCs/>
          <w:sz w:val="24"/>
          <w:szCs w:val="24"/>
        </w:rPr>
        <w:t xml:space="preserve">2392 · Quattordici mesi di scarto.</w:t>
      </w:r>
      <w:r>
        <w:rPr>
          <w:rFonts w:ascii="Barlow Semi Condensed" w:cs="Barlow Semi Condensed" w:eastAsia="Barlow Semi Condensed" w:hAnsi="Barlow Semi Condensed"/>
          <w:sz w:val="24"/>
          <w:szCs w:val="24"/>
        </w:rPr>
        <w:t xml:space="preserve"> Le condotte iscritte nel capitolo settantanovesimo cadono fra il 16 marzo e il 9 maggio 1978. Gli incarichi qui rilevanti si erano chiusi il 20 gennaio 1977: assistente per la sicurezza nazionale dal 20 gennaio 1969 al 3 novembre 1975, Segretario di Stato dal 22 settembre 1973. Fra l'ultimo giorno d'ufficio e via Fani corrono quattordici mesi. Nessun atto d'ufficio può riguardare quelle condotte: è demarcazione cronologica, non assoluzione morale.</w:t>
      </w:r>
    </w:p>
    <w:p>
      <w:pPr>
        <w:spacing w:after="120" w:line="276"/>
        <w:jc w:val="both"/>
      </w:pPr>
      <w:r>
        <w:rPr>
          <w:rFonts w:ascii="Barlow Semi Condensed" w:cs="Barlow Semi Condensed" w:eastAsia="Barlow Semi Condensed" w:hAnsi="Barlow Semi Condensed"/>
          <w:b/>
          <w:bCs/>
          <w:sz w:val="24"/>
          <w:szCs w:val="24"/>
        </w:rPr>
        <w:t xml:space="preserve">2393 · I tredici del registro, e chi manca.</w:t>
      </w:r>
      <w:r>
        <w:rPr>
          <w:rFonts w:ascii="Barlow Semi Condensed" w:cs="Barlow Semi Condensed" w:eastAsia="Barlow Semi Condensed" w:hAnsi="Barlow Semi Condensed"/>
          <w:sz w:val="24"/>
          <w:szCs w:val="24"/>
        </w:rPr>
        <w:t xml:space="preserve"> Moretti, Gallinari, Morucci, Faranda, Fiore, Bonisoli, Balzerani, Seghetti, Braghetti, Casimirri, Lojacono, Maccari, Etro: tredici condotte, cinque processi romani, una sola sede che le ha scritte. Il nome di questa triangolazione non vi compare, e non per dimenticanza: non fu mai imputato né processato in alcun Paese. Il registro cresce solo per nuovo giudicato, come il blocco 840 dei nove cantieri ricorda a proposito dell'identificazione tardiva di Maccari.</w:t>
      </w:r>
    </w:p>
    <w:p>
      <w:pPr>
        <w:spacing w:after="120" w:line="276"/>
        <w:jc w:val="both"/>
      </w:pPr>
      <w:r>
        <w:rPr>
          <w:rFonts w:ascii="Barlow Semi Condensed" w:cs="Barlow Semi Condensed" w:eastAsia="Barlow Semi Condensed" w:hAnsi="Barlow Semi Condensed"/>
          <w:b/>
          <w:bCs/>
          <w:sz w:val="24"/>
          <w:szCs w:val="24"/>
        </w:rPr>
        <w:t xml:space="preserve">2394 · Il test che vale, e l'esito atteso.</w:t>
      </w:r>
      <w:r>
        <w:rPr>
          <w:rFonts w:ascii="Barlow Semi Condensed" w:cs="Barlow Semi Condensed" w:eastAsia="Barlow Semi Condensed" w:hAnsi="Barlow Semi Condensed"/>
          <w:sz w:val="24"/>
          <w:szCs w:val="24"/>
        </w:rPr>
        <w:t xml:space="preserve"> Un ponte è reale solo al piano 1, e il piano 1 ha una sola prova: un documento di provenienza che nomini la controparte. Su questo territorio quel documento non è stato trovato per nessuno dei tredici. La serie lo dichiara in apertura invece che in chiusura, perché l'esito prevalente sarà lo Stato Zero, e uno Stato Zero annunciato non è una resa: è il perimetro entro cui i blocchi seguenti lavorano.</w:t>
      </w:r>
    </w:p>
    <w:p>
      <w:pPr>
        <w:spacing w:after="120" w:line="276"/>
        <w:jc w:val="both"/>
      </w:pPr>
      <w:r>
        <w:rPr>
          <w:rFonts w:ascii="Barlow Semi Condensed" w:cs="Barlow Semi Condensed" w:eastAsia="Barlow Semi Condensed" w:hAnsi="Barlow Semi Condensed"/>
          <w:b/>
          <w:bCs/>
          <w:sz w:val="24"/>
          <w:szCs w:val="24"/>
        </w:rPr>
        <w:t xml:space="preserve">2395 · Il documento del 1974 riletto da qui.</w:t>
      </w:r>
      <w:r>
        <w:rPr>
          <w:rFonts w:ascii="Barlow Semi Condensed" w:cs="Barlow Semi Condensed" w:eastAsia="Barlow Semi Condensed" w:hAnsi="Barlow Semi Condensed"/>
          <w:sz w:val="24"/>
          <w:szCs w:val="24"/>
        </w:rPr>
        <w:t xml:space="preserve"> Il solo primario che il corpus possieda sul rapporto diretto è il memorandum dello Studio Ovale del 25 settembre 1974 - Leone, Moro, Ford, Kissinger, Scowcroft; FRUS 1969-1976 E-15 parte 2, doc. 350, seconda edizione riveduta; Ford Library 1552802 - con il seguito del 26 settembre, file 1552806. Nessuno dei tredici vi è nominato, e nessuno poteva esserlo: nel settembre 1974 il caso che li avrebbe iscritti nel registro non esisteva.</w:t>
      </w:r>
    </w:p>
    <w:p>
      <w:pPr>
        <w:spacing w:after="120" w:line="276"/>
        <w:jc w:val="both"/>
      </w:pPr>
      <w:r>
        <w:rPr>
          <w:rFonts w:ascii="Barlow Semi Condensed" w:cs="Barlow Semi Condensed" w:eastAsia="Barlow Semi Condensed" w:hAnsi="Barlow Semi Condensed"/>
          <w:b/>
          <w:bCs/>
          <w:sz w:val="24"/>
          <w:szCs w:val="24"/>
        </w:rPr>
        <w:t xml:space="preserve">2396 · Le sigle che l'archivio inventa.</w:t>
      </w:r>
      <w:r>
        <w:rPr>
          <w:rFonts w:ascii="Barlow Semi Condensed" w:cs="Barlow Semi Condensed" w:eastAsia="Barlow Semi Condensed" w:hAnsi="Barlow Semi Condensed"/>
          <w:sz w:val="24"/>
          <w:szCs w:val="24"/>
        </w:rPr>
        <w:t xml:space="preserve"> Verifica meccanica, eseguita sul documento assegnato. La sequenza CIA vi ricorre diciotto volte, tutte interne a parole italiane: Speciale, incrocia, contumacia, camicia, dissociazioni, Luciano. La sequenza NATO cinque volte, dentro condannato, nato, Renato. Chi cercasse conferme per sottostringa ne troverebbe ventitré, e sarebbero tutte false. La regola già fissata nella prima serie vale identica qui: si verifica la stringa prima di interrogare il fondo, perché l'archivio risponde a ciò che gli si chiede.</w:t>
      </w:r>
    </w:p>
    <w:p>
      <w:pPr>
        <w:spacing w:after="120" w:line="276"/>
        <w:jc w:val="both"/>
      </w:pPr>
      <w:r>
        <w:rPr>
          <w:rFonts w:ascii="Barlow Semi Condensed" w:cs="Barlow Semi Condensed" w:eastAsia="Barlow Semi Condensed" w:hAnsi="Barlow Semi Condensed"/>
          <w:b/>
          <w:bCs/>
          <w:sz w:val="24"/>
          <w:szCs w:val="24"/>
        </w:rPr>
        <w:t xml:space="preserve">2397 · Il 1969 che si sdoppia.</w:t>
      </w:r>
      <w:r>
        <w:rPr>
          <w:rFonts w:ascii="Barlow Semi Condensed" w:cs="Barlow Semi Condensed" w:eastAsia="Barlow Semi Condensed" w:hAnsi="Barlow Semi Condensed"/>
          <w:sz w:val="24"/>
          <w:szCs w:val="24"/>
        </w:rPr>
        <w:t xml:space="preserve"> Due date convivono in un anno solo. L'11 marzo 1969 il Comitato dei 303, presieduto dal nodo qui studiato, conviene all'unanimità che non vi sia real justification for resumption of covert funding ai partiti italiani (FRUS 1969-1976, vol. XLI, doc. 180). L'8 settembre 1969 nasce a Milano il Collettivo Politico Metropolitano. Le due date distano sei mesi e nessun documento le collega. La contemporaneità non è prova di nesso: qui è solo calendario.</w:t>
      </w:r>
    </w:p>
    <w:p>
      <w:pPr>
        <w:spacing w:after="120" w:line="276"/>
        <w:jc w:val="both"/>
      </w:pPr>
      <w:r>
        <w:rPr>
          <w:rFonts w:ascii="Barlow Semi Condensed" w:cs="Barlow Semi Condensed" w:eastAsia="Barlow Semi Condensed" w:hAnsi="Barlow Semi Condensed"/>
          <w:b/>
          <w:bCs/>
          <w:sz w:val="24"/>
          <w:szCs w:val="24"/>
        </w:rPr>
        <w:t xml:space="preserve">2398 · Che cosa smentirebbe il 1969 doppio.</w:t>
      </w:r>
      <w:r>
        <w:rPr>
          <w:rFonts w:ascii="Barlow Semi Condensed" w:cs="Barlow Semi Condensed" w:eastAsia="Barlow Semi Condensed" w:hAnsi="Barlow Semi Condensed"/>
          <w:sz w:val="24"/>
          <w:szCs w:val="24"/>
        </w:rPr>
        <w:t xml:space="preserve"> Si formula qui un bersaglio di smentita, perché altri lo esegua. Il nesso oggi negato diventerebbe piano 1 se emergesse un documento della catena decisionale statunitense datato 1969-1970 che nomini il Collettivo Politico Metropolitano, la Sit-Siemens o uno dei suoi militanti come oggetto di interesse, sorveglianza o finanziamento. Sede: FRUS vol. XLI e E-15 parte 2, Nixon Presidential Materials, NSC Files, Country Files Italy,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2399 · Sit-Siemens, e nessuna carta americana.</w:t>
      </w:r>
      <w:r>
        <w:rPr>
          <w:rFonts w:ascii="Barlow Semi Condensed" w:cs="Barlow Semi Condensed" w:eastAsia="Barlow Semi Condensed" w:hAnsi="Barlow Semi Condensed"/>
          <w:sz w:val="24"/>
          <w:szCs w:val="24"/>
        </w:rPr>
        <w:t xml:space="preserve"> Moretti giunse a Milano nel 1968, fu assunto alla Sit-Siemens con una lettera della marchesa Anna Casati Stampa di Soncino e in fabbrica incontrò Alunni, Semeria, Besuschio. Il nodo T-1 grada F questa biografia. La ricognizione qui condotta non ha reperito alcun documento statunitense che nomini l'assunzione, la fabbrica o la raccomandazione. Esito negativo di pieno valore, e non sorprendente: una raccomandazione privata non è materia di cablo diplomatico.</w:t>
      </w:r>
    </w:p>
    <w:p>
      <w:pPr>
        <w:spacing w:after="120" w:line="276"/>
        <w:jc w:val="both"/>
      </w:pPr>
      <w:r>
        <w:rPr>
          <w:rFonts w:ascii="Barlow Semi Condensed" w:cs="Barlow Semi Condensed" w:eastAsia="Barlow Semi Condensed" w:hAnsi="Barlow Semi Condensed"/>
          <w:b/>
          <w:bCs/>
          <w:sz w:val="24"/>
          <w:szCs w:val="24"/>
        </w:rPr>
        <w:t xml:space="preserve">2400 · Il programma che riemerge, 1975-1976.</w:t>
      </w:r>
      <w:r>
        <w:rPr>
          <w:rFonts w:ascii="Barlow Semi Condensed" w:cs="Barlow Semi Condensed" w:eastAsia="Barlow Semi Condensed" w:hAnsi="Barlow Semi Condensed"/>
          <w:sz w:val="24"/>
          <w:szCs w:val="24"/>
        </w:rPr>
        <w:t xml:space="preserve"> La letteratura peer-reviewed segnala che il programma di azione coperta in Italia riemerse nel novembre 1975 e nel luglio 1976, quando Moro era presidente del Consiglio. Nelle stesse stagioni Moretti era latitante e le colonne brigatiste si strutturavano. Sono due serie di fatti dentro la stessa cornice: convergenza di piano 2, mai promuovibile. Il metro cileno del blocco 504 misura anche qui e trova assenza: nessun destinatario italiano identificato, nessuna somma, nessuna data.</w:t>
      </w:r>
    </w:p>
    <w:p>
      <w:pPr>
        <w:spacing w:after="120" w:line="276"/>
        <w:jc w:val="both"/>
      </w:pPr>
      <w:r>
        <w:rPr>
          <w:rFonts w:ascii="Barlow Semi Condensed" w:cs="Barlow Semi Condensed" w:eastAsia="Barlow Semi Condensed" w:hAnsi="Barlow Semi Condensed"/>
          <w:b/>
          <w:bCs/>
          <w:sz w:val="24"/>
          <w:szCs w:val="24"/>
        </w:rPr>
        <w:t xml:space="preserve">2401 · Hyperion, tesi B, e un nome assente.</w:t>
      </w:r>
      <w:r>
        <w:rPr>
          <w:rFonts w:ascii="Barlow Semi Condensed" w:cs="Barlow Semi Condensed" w:eastAsia="Barlow Semi Condensed" w:hAnsi="Barlow Semi Condensed"/>
          <w:sz w:val="24"/>
          <w:szCs w:val="24"/>
        </w:rPr>
        <w:t xml:space="preserve"> La tesi della centrale d'intelligence (triangolazione Hyperion, paragrafo 2) evoca servizi occidentali e un interessamento riferito del SISDE alla sede di Rouen. In nessuna delle formulazioni note compare il nome qui studiato. Il rilievo va scritto perché è controintuitivo: la congettura più esposta alla combinatoria americana non lo chiama in causa. E i procedimenti su Hyperion si chiusero con proscioglimenti per tutti, come fissa ATH-1.</w:t>
      </w:r>
    </w:p>
    <w:p>
      <w:pPr>
        <w:spacing w:after="120" w:line="276"/>
        <w:jc w:val="both"/>
      </w:pPr>
      <w:r>
        <w:rPr>
          <w:rFonts w:ascii="Barlow Semi Condensed" w:cs="Barlow Semi Condensed" w:eastAsia="Barlow Semi Condensed" w:hAnsi="Barlow Semi Condensed"/>
          <w:b/>
          <w:bCs/>
          <w:sz w:val="24"/>
          <w:szCs w:val="24"/>
        </w:rPr>
        <w:t xml:space="preserve">2402 · Stato Zero su Moretti nelle serie americane.</w:t>
      </w:r>
      <w:r>
        <w:rPr>
          <w:rFonts w:ascii="Barlow Semi Condensed" w:cs="Barlow Semi Condensed" w:eastAsia="Barlow Semi Condensed" w:hAnsi="Barlow Semi Condensed"/>
          <w:sz w:val="24"/>
          <w:szCs w:val="24"/>
        </w:rPr>
        <w:t xml:space="preserve"> Lacuna verbalizzata. Non risulta alcun telegramma o memorandum statunitense che nomini Mario Moretti prima del suo arresto milanese del 4 aprile 1981. Sede che la chiuderebbe: Access to Archival Databases dei National Archives, Central Foreign Policy Files 1973-1979, interrogazione per TAGS PINT, PINS, PTER con IT, e le Electronic Telegrams Withdrawal Cards 1978 che censiscono il trattenuto. Lo strumento è già descritto nella scheda PE-5 del corpus: qui riceve una chiave nuova.</w:t>
      </w:r>
    </w:p>
    <w:p>
      <w:pPr>
        <w:spacing w:after="120" w:line="276"/>
        <w:jc w:val="both"/>
      </w:pPr>
      <w:r>
        <w:rPr>
          <w:rFonts w:ascii="Barlow Semi Condensed" w:cs="Barlow Semi Condensed" w:eastAsia="Barlow Semi Condensed" w:hAnsi="Barlow Semi Condensed"/>
          <w:b/>
          <w:bCs/>
          <w:sz w:val="24"/>
          <w:szCs w:val="24"/>
        </w:rPr>
        <w:t xml:space="preserve">2403 · La regola del ceppo, applicata a distanza.</w:t>
      </w:r>
      <w:r>
        <w:rPr>
          <w:rFonts w:ascii="Barlow Semi Condensed" w:cs="Barlow Semi Condensed" w:eastAsia="Barlow Semi Condensed" w:hAnsi="Barlow Semi Condensed"/>
          <w:sz w:val="24"/>
          <w:szCs w:val="24"/>
        </w:rPr>
        <w:t xml:space="preserve"> Il nodo T-1 chiude che il ceppo del 1969 non è una catena di comando. La stessa frase, ruotata verso questo nome, dice qualcosa in più: se l'origine comune non istituisce comando fra Moretti e Simioni, che condivisero un collettivo, tanto meno lo istituisce fra Moretti e un uomo di governo straniero che non condivise nulla con lui. La distanza fra i due termini rende superflua l'inferenza prima ancora che illecita.</w:t>
      </w:r>
    </w:p>
    <w:p>
      <w:pPr>
        <w:spacing w:after="120" w:line="276"/>
        <w:jc w:val="both"/>
      </w:pPr>
      <w:r>
        <w:rPr>
          <w:rFonts w:ascii="Barlow Semi Condensed" w:cs="Barlow Semi Condensed" w:eastAsia="Barlow Semi Condensed" w:hAnsi="Barlow Semi Condensed"/>
          <w:b/>
          <w:bCs/>
          <w:sz w:val="24"/>
          <w:szCs w:val="24"/>
        </w:rPr>
        <w:t xml:space="preserve">2404 · Potere Operaio visto da via Veneto.</w:t>
      </w:r>
      <w:r>
        <w:rPr>
          <w:rFonts w:ascii="Barlow Semi Condensed" w:cs="Barlow Semi Condensed" w:eastAsia="Barlow Semi Condensed" w:hAnsi="Barlow Semi Condensed"/>
          <w:sz w:val="24"/>
          <w:szCs w:val="24"/>
        </w:rPr>
        <w:t xml:space="preserve"> Quesito enumerativo, non ipotesi. Quante volte Potere Operaio, sciolto nel 1973, compare nella reportistica politica dell'ambasciata statunitense a Roma fra il 1969 e il 1976, e con quali TAGS? Sede: AAD per il segmento 1973-1979, RG 59 Central Foreign Policy Files per il resto, e il fascicolo FOIA R-2021-002xx già in mano al corpus, con i numeri di controllo B-00001939965-989 come ancoraggio. Il prodotto è una tavola, non una tesi.</w:t>
      </w:r>
    </w:p>
    <w:p>
      <w:pPr>
        <w:spacing w:after="120" w:line="276"/>
        <w:jc w:val="both"/>
      </w:pPr>
      <w:r>
        <w:rPr>
          <w:rFonts w:ascii="Barlow Semi Condensed" w:cs="Barlow Semi Condensed" w:eastAsia="Barlow Semi Condensed" w:hAnsi="Barlow Semi Condensed"/>
          <w:b/>
          <w:bCs/>
          <w:sz w:val="24"/>
          <w:szCs w:val="24"/>
        </w:rPr>
        <w:t xml:space="preserve">2405 · Il canale Pace-Piperno e la sua data.</w:t>
      </w:r>
      <w:r>
        <w:rPr>
          <w:rFonts w:ascii="Barlow Semi Condensed" w:cs="Barlow Semi Condensed" w:eastAsia="Barlow Semi Condensed" w:hAnsi="Barlow Semi Condensed"/>
          <w:sz w:val="24"/>
          <w:szCs w:val="24"/>
        </w:rPr>
        <w:t xml:space="preserve"> Nella primavera 1978 opera il canale che il nodo T-2 documenta: Morucci e Faranda da un lato, due ex dirigenti di Potere Operaio dall'altro, e il PSI di Craxi come approdo. Grado B per la dinamica. In quella primavera il nome qui triangolato era cittadino privato da oltre un anno, e la Commissione Moro 2, che il canale ha ricostruito in audizione, non lo evoca in alcun passaggio.</w:t>
      </w:r>
    </w:p>
    <w:p>
      <w:pPr>
        <w:spacing w:after="120" w:line="276"/>
        <w:jc w:val="both"/>
      </w:pPr>
      <w:r>
        <w:rPr>
          <w:rFonts w:ascii="Barlow Semi Condensed" w:cs="Barlow Semi Condensed" w:eastAsia="Barlow Semi Condensed" w:hAnsi="Barlow Semi Condensed"/>
          <w:b/>
          <w:bCs/>
          <w:sz w:val="24"/>
          <w:szCs w:val="24"/>
        </w:rPr>
        <w:t xml:space="preserve">2406 · Craxi, Washington, e l'archivio giusto.</w:t>
      </w:r>
      <w:r>
        <w:rPr>
          <w:rFonts w:ascii="Barlow Semi Condensed" w:cs="Barlow Semi Condensed" w:eastAsia="Barlow Semi Condensed" w:hAnsi="Barlow Semi Condensed"/>
          <w:sz w:val="24"/>
          <w:szCs w:val="24"/>
        </w:rPr>
        <w:t xml:space="preserve"> Avvertenza sulla scelta del fondo, prima di qualunque richiesta. Chi cerchi la posizione statunitense sulla trattativa nei cinquantacinque giorni deve aprire le carte dell'amministrazione in carica nel 1978, non quelle del 1969-1977: Jimmy Carter Presidential Library di Atlanta, National Security Adviser, Brzezinski Material, Country File Italy, e il traffico RG 59 dello stesso anno. Cercare il 1978 nel fondo sbagliato produce l'unico esito peggiore del vuoto: la sensazione di aver cercato.</w:t>
      </w:r>
    </w:p>
    <w:p>
      <w:pPr>
        <w:spacing w:after="120" w:line="276"/>
        <w:jc w:val="both"/>
      </w:pPr>
      <w:r>
        <w:rPr>
          <w:rFonts w:ascii="Barlow Semi Condensed" w:cs="Barlow Semi Condensed" w:eastAsia="Barlow Semi Condensed" w:hAnsi="Barlow Semi Condensed"/>
          <w:b/>
          <w:bCs/>
          <w:sz w:val="24"/>
          <w:szCs w:val="24"/>
        </w:rPr>
        <w:t xml:space="preserve">2407 · Il memoriale Morucci-Faranda come testo negoziato.</w:t>
      </w:r>
      <w:r>
        <w:rPr>
          <w:rFonts w:ascii="Barlow Semi Condensed" w:cs="Barlow Semi Condensed" w:eastAsia="Barlow Semi Condensed" w:hAnsi="Barlow Semi Condensed"/>
          <w:sz w:val="24"/>
          <w:szCs w:val="24"/>
        </w:rPr>
        <w:t xml:space="preserve"> La Fase settima recepisce dalla Commissione Moro 2 che il memoriale della dissociazione è un testo negoziato degli anni Ottanta: grado B, fonte da leggere sapendo che cosa è. Ne discende un quesito preciso e mai posto: quel testo nomina autorità straniere, e con quale funzione narrativa? Sede: gli atti dei procedimenti in cui fu depositato e il fondo della Commissione all'Archivio storico della Camera, blocco 46 dell'agenda.</w:t>
      </w:r>
    </w:p>
    <w:p>
      <w:pPr>
        <w:spacing w:after="120" w:line="276"/>
        <w:jc w:val="both"/>
      </w:pPr>
      <w:r>
        <w:rPr>
          <w:rFonts w:ascii="Barlow Semi Condensed" w:cs="Barlow Semi Condensed" w:eastAsia="Barlow Semi Condensed" w:hAnsi="Barlow Semi Condensed"/>
          <w:b/>
          <w:bCs/>
          <w:sz w:val="24"/>
          <w:szCs w:val="24"/>
        </w:rPr>
        <w:t xml:space="preserve">2408 · La parola di Morucci, censita alla stringa.</w:t>
      </w:r>
      <w:r>
        <w:rPr>
          <w:rFonts w:ascii="Barlow Semi Condensed" w:cs="Barlow Semi Condensed" w:eastAsia="Barlow Semi Condensed" w:hAnsi="Barlow Semi Condensed"/>
          <w:sz w:val="24"/>
          <w:szCs w:val="24"/>
        </w:rPr>
        <w:t xml:space="preserve"> Valerio Morucci, morto il 1° gennaio 2025, è l'uomo del registro che più ha raccontato il caso dall'interno: libri, interviste, deposizioni. Il blocco 813 dei nove cantieri chiede la collazione delle sue versioni successive. Questa serie vi aggiunge una colonna: in quali sedi, se in alcuna, egli abbia mai pronunciato il nome qui studiato, e in quale registro - riferito, polemico, negato. Il conto è eseguibile e non è mai stato fatto.</w:t>
      </w:r>
    </w:p>
    <w:p>
      <w:pPr>
        <w:spacing w:after="120" w:line="276"/>
        <w:jc w:val="both"/>
      </w:pPr>
      <w:r>
        <w:rPr>
          <w:rFonts w:ascii="Barlow Semi Condensed" w:cs="Barlow Semi Condensed" w:eastAsia="Barlow Semi Condensed" w:hAnsi="Barlow Semi Condensed"/>
          <w:b/>
          <w:bCs/>
          <w:sz w:val="24"/>
          <w:szCs w:val="24"/>
        </w:rPr>
        <w:t xml:space="preserve">2409 · Faranda vivente: la domanda da non fare.</w:t>
      </w:r>
      <w:r>
        <w:rPr>
          <w:rFonts w:ascii="Barlow Semi Condensed" w:cs="Barlow Semi Condensed" w:eastAsia="Barlow Semi Condensed" w:hAnsi="Barlow Semi Condensed"/>
          <w:sz w:val="24"/>
          <w:szCs w:val="24"/>
        </w:rPr>
        <w:t xml:space="preserve"> Adriana Faranda è fra le voci del registro ancora ascoltabili, e il blocco 817 dei nove cantieri propone dichiarazioni spontanee verbalizzate sulla meccanica dei recapiti. Avvertenza di metodo, vincolante: una domanda che suggerisca un nome estraneo al giudicato produce una risposta inservibile e una notizia falsa. Si chiede che cosa ricordi dei canali; non si chiede se dietro i canali vi fosse qualcuno. La forma della domanda è parte della prova.</w:t>
      </w:r>
    </w:p>
    <w:p>
      <w:pPr>
        <w:spacing w:after="120" w:line="276"/>
        <w:jc w:val="both"/>
      </w:pPr>
      <w:r>
        <w:rPr>
          <w:rFonts w:ascii="Barlow Semi Condensed" w:cs="Barlow Semi Condensed" w:eastAsia="Barlow Semi Condensed" w:hAnsi="Barlow Semi Condensed"/>
          <w:b/>
          <w:bCs/>
          <w:sz w:val="24"/>
          <w:szCs w:val="24"/>
        </w:rPr>
        <w:t xml:space="preserve">2410 · Che cosa aprirebbe il nodo T-2.</w:t>
      </w:r>
      <w:r>
        <w:rPr>
          <w:rFonts w:ascii="Barlow Semi Condensed" w:cs="Barlow Semi Condensed" w:eastAsia="Barlow Semi Condensed" w:hAnsi="Barlow Semi Condensed"/>
          <w:sz w:val="24"/>
          <w:szCs w:val="24"/>
        </w:rPr>
        <w:t xml:space="preserve"> Bersaglio di smentita per il canale della trattativa. Sarebbe piano 1 un documento coevo - italiano, statunitense o di terzo Stato - che colleghi una posizione riferibile a questo nome all'attività di intermediazione del 1978. Sede: atti della Commissione Moro 2, carte del PSI presso la Fondazione Craxi, traffico diplomatico 1978 in AAD. Fino ad allora il nodo resta quello che il territorio ha scritto: militanze comuni e un canale, senza terzi.</w:t>
      </w:r>
    </w:p>
    <w:p>
      <w:pPr>
        <w:spacing w:after="120" w:line="276"/>
        <w:jc w:val="both"/>
      </w:pPr>
      <w:r>
        <w:rPr>
          <w:rFonts w:ascii="Barlow Semi Condensed" w:cs="Barlow Semi Condensed" w:eastAsia="Barlow Semi Condensed" w:hAnsi="Barlow Semi Condensed"/>
          <w:b/>
          <w:bCs/>
          <w:sz w:val="24"/>
          <w:szCs w:val="24"/>
        </w:rPr>
        <w:t xml:space="preserve">2411 · Primo ottobre 1978, cittadino privato.</w:t>
      </w:r>
      <w:r>
        <w:rPr>
          <w:rFonts w:ascii="Barlow Semi Condensed" w:cs="Barlow Semi Condensed" w:eastAsia="Barlow Semi Condensed" w:hAnsi="Barlow Semi Condensed"/>
          <w:sz w:val="24"/>
          <w:szCs w:val="24"/>
        </w:rPr>
        <w:t xml:space="preserve"> Bonisoli portò egli stesso il memoriale e le lettere in via Monte Nevoso 8 e vi fu arrestato il 1° ottobre 1978 con Azzolini e Mantovani; furono trovate quarantanove pagine dattiloscritte. Il nodo T-3 lo chiama ponte personale verso il documento più controverso del caso. Alla data dell'arresto il nome qui triangolato non ricopriva alcuna carica pubblica da oltre venti mesi: la coincidenza di anno non genera alcuna competenza.</w:t>
      </w:r>
    </w:p>
    <w:p>
      <w:pPr>
        <w:spacing w:after="120" w:line="276"/>
        <w:jc w:val="both"/>
      </w:pPr>
      <w:r>
        <w:rPr>
          <w:rFonts w:ascii="Barlow Semi Condensed" w:cs="Barlow Semi Condensed" w:eastAsia="Barlow Semi Condensed" w:hAnsi="Barlow Semi Condensed"/>
          <w:b/>
          <w:bCs/>
          <w:sz w:val="24"/>
          <w:szCs w:val="24"/>
        </w:rPr>
        <w:t xml:space="preserve">2412 · Le carte del 1990 e ogni cornice.</w:t>
      </w:r>
      <w:r>
        <w:rPr>
          <w:rFonts w:ascii="Barlow Semi Condensed" w:cs="Barlow Semi Condensed" w:eastAsia="Barlow Semi Condensed" w:hAnsi="Barlow Semi Condensed"/>
          <w:sz w:val="24"/>
          <w:szCs w:val="24"/>
        </w:rPr>
        <w:t xml:space="preserve"> I quattrocento e più fogli dietro il pannello emersero il 9 ottobre 1990, durante lavori di ristrutturazione. Dodici anni dopo il primo ritrovamento, tredici dopo la fine di ogni incarico del nodo studiato. Su questa seconda data nessuna ipotesi di ingerenza straniera è mai stata formulata da fonte qualificata, e questa serie non ne formula: registra che la questione della completezza resta aperta al grado C, come il territorio scrive.</w:t>
      </w:r>
    </w:p>
    <w:p>
      <w:pPr>
        <w:spacing w:after="120" w:line="276"/>
        <w:jc w:val="both"/>
      </w:pPr>
      <w:r>
        <w:rPr>
          <w:rFonts w:ascii="Barlow Semi Condensed" w:cs="Barlow Semi Condensed" w:eastAsia="Barlow Semi Condensed" w:hAnsi="Barlow Semi Condensed"/>
          <w:b/>
          <w:bCs/>
          <w:sz w:val="24"/>
          <w:szCs w:val="24"/>
        </w:rPr>
        <w:t xml:space="preserve">2413 · Il memoriale nomina qualcuno.</w:t>
      </w:r>
      <w:r>
        <w:rPr>
          <w:rFonts w:ascii="Barlow Semi Condensed" w:cs="Barlow Semi Condensed" w:eastAsia="Barlow Semi Condensed" w:hAnsi="Barlow Semi Condensed"/>
          <w:sz w:val="24"/>
          <w:szCs w:val="24"/>
        </w:rPr>
        <w:t xml:space="preserve"> Quesito filologico eseguibile oggi, a costo nullo. Nelle carte di prigionia - le quarantanove pagine del 1978 e i fogli del 1990, nelle edizioni critiche disponibili e nell'edizione presentata all'Archivio di Stato di Roma nel 2020 - ricorre il nome qui studiato? Con quale grafia, in quale contesto, quante volte? L'indice dei nomi risponde in un pomeriggio. Il blocco V-8 dell'agenda e i blocchi 461-485 dei cantieri sono la cornice.</w:t>
      </w:r>
    </w:p>
    <w:p>
      <w:pPr>
        <w:spacing w:after="120" w:line="276"/>
        <w:jc w:val="both"/>
      </w:pPr>
      <w:r>
        <w:rPr>
          <w:rFonts w:ascii="Barlow Semi Condensed" w:cs="Barlow Semi Condensed" w:eastAsia="Barlow Semi Condensed" w:hAnsi="Barlow Semi Condensed"/>
          <w:b/>
          <w:bCs/>
          <w:sz w:val="24"/>
          <w:szCs w:val="24"/>
        </w:rPr>
        <w:t xml:space="preserve">2414 · Lo Stato Zero dell'intercapedine.</w:t>
      </w:r>
      <w:r>
        <w:rPr>
          <w:rFonts w:ascii="Barlow Semi Condensed" w:cs="Barlow Semi Condensed" w:eastAsia="Barlow Semi Condensed" w:hAnsi="Barlow Semi Condensed"/>
          <w:sz w:val="24"/>
          <w:szCs w:val="24"/>
        </w:rPr>
        <w:t xml:space="preserve"> Lacuna dichiarata, con la sede. Non risulta alcun atto d'archivio statunitense relativo al ritrovamento milanese, né del 1978 né del 1990. La chiusura passa per due porte: le withdrawal cards 1978 in AAD per il primo tempo, e le richieste FOIA mirate al Dipartimento di Stato per il secondo, dove la finestra è più recente e dunque meno servita da versamenti. In regime FOIA anche il diniego è un documento motivato.</w:t>
      </w:r>
    </w:p>
    <w:p>
      <w:pPr>
        <w:spacing w:after="120" w:line="276"/>
        <w:jc w:val="both"/>
      </w:pPr>
      <w:r>
        <w:rPr>
          <w:rFonts w:ascii="Barlow Semi Condensed" w:cs="Barlow Semi Condensed" w:eastAsia="Barlow Semi Condensed" w:hAnsi="Barlow Semi Condensed"/>
          <w:b/>
          <w:bCs/>
          <w:sz w:val="24"/>
          <w:szCs w:val="24"/>
        </w:rPr>
        <w:t xml:space="preserve">2415 · I due tempi non provano una regia.</w:t>
      </w:r>
      <w:r>
        <w:rPr>
          <w:rFonts w:ascii="Barlow Semi Condensed" w:cs="Barlow Semi Condensed" w:eastAsia="Barlow Semi Condensed" w:hAnsi="Barlow Semi Condensed"/>
          <w:sz w:val="24"/>
          <w:szCs w:val="24"/>
        </w:rPr>
        <w:t xml:space="preserve"> Contro un errore ricorrente si fissa qui una regola. Che le carte siano emerse in due tempi separati da dodici anni è fatto accertato quanto ai ritrovamenti; che ne discenda un occultamento diretto da qualcuno è inferenza non compiuta da alcun giudicato. Il corpus grada B la manipolazione o incompletezza deliberata e chiede, come criterio di smentita, la catena di custodia integrale. Nessun nome straniero entra in quella catena.</w:t>
      </w:r>
    </w:p>
    <w:p>
      <w:pPr>
        <w:spacing w:after="120" w:line="276"/>
        <w:jc w:val="both"/>
      </w:pPr>
      <w:r>
        <w:rPr>
          <w:rFonts w:ascii="Barlow Semi Condensed" w:cs="Barlow Semi Condensed" w:eastAsia="Barlow Semi Condensed" w:hAnsi="Barlow Semi Condensed"/>
          <w:b/>
          <w:bCs/>
          <w:sz w:val="24"/>
          <w:szCs w:val="24"/>
        </w:rPr>
        <w:t xml:space="preserve">2416 · Il bersaglio di smentita di Monte Nevoso.</w:t>
      </w:r>
      <w:r>
        <w:rPr>
          <w:rFonts w:ascii="Barlow Semi Condensed" w:cs="Barlow Semi Condensed" w:eastAsia="Barlow Semi Condensed" w:hAnsi="Barlow Semi Condensed"/>
          <w:sz w:val="24"/>
          <w:szCs w:val="24"/>
        </w:rPr>
        <w:t xml:space="preserve"> Che cosa sposterebbe il nodo T-3 verso questo nome: un documento della catena di custodia - verbale, nota di trasmissione, appunto di servizio - che attesti l'accesso di soggetti stranieri ai materiali sequestrati il 1° ottobre 1978. Sede: Archivio centrale dello Stato, raccolta speciale Sequestro e uccisione dell'on. Aldo Moro, e gli atti dei procedimenti milanesi. Assente quel documento, il nodo resta interamente italiano e interamente interno.</w:t>
      </w:r>
    </w:p>
    <w:p>
      <w:pPr>
        <w:spacing w:after="120" w:line="276"/>
        <w:jc w:val="both"/>
      </w:pPr>
      <w:r>
        <w:rPr>
          <w:rFonts w:ascii="Barlow Semi Condensed" w:cs="Barlow Semi Condensed" w:eastAsia="Barlow Semi Condensed" w:hAnsi="Barlow Semi Condensed"/>
          <w:b/>
          <w:bCs/>
          <w:sz w:val="24"/>
          <w:szCs w:val="24"/>
        </w:rPr>
        <w:t xml:space="preserve">2417 · L'appartamento di Reggio, e nessun cablo.</w:t>
      </w:r>
      <w:r>
        <w:rPr>
          <w:rFonts w:ascii="Barlow Semi Condensed" w:cs="Barlow Semi Condensed" w:eastAsia="Barlow Semi Condensed" w:hAnsi="Barlow Semi Condensed"/>
          <w:sz w:val="24"/>
          <w:szCs w:val="24"/>
        </w:rPr>
        <w:t xml:space="preserve"> Il gruppo dell'appartamento reggiano - otto giovani usciti dalla FGCI, fra cui Franceschini, Azzolini, Bonisoli, Paroli, Pelli, Ognibene, Casaletti e Gallinari - è sociologia della militanza, non livello occulto: così il nodo T-4. Verifica eseguita: nessun documento statunitense reperibile nomina quel nucleo prima del 1970. Sede di chiusura definitiva: RG 59 e i fondi consolari, con attenzione al consolato di Milano, competente per l'Emilia in quegli anni.</w:t>
      </w:r>
    </w:p>
    <w:p>
      <w:pPr>
        <w:spacing w:after="120" w:line="276"/>
        <w:jc w:val="both"/>
      </w:pPr>
      <w:r>
        <w:rPr>
          <w:rFonts w:ascii="Barlow Semi Condensed" w:cs="Barlow Semi Condensed" w:eastAsia="Barlow Semi Condensed" w:hAnsi="Barlow Semi Condensed"/>
          <w:b/>
          <w:bCs/>
          <w:sz w:val="24"/>
          <w:szCs w:val="24"/>
        </w:rPr>
        <w:t xml:space="preserve">2418 · Il filo Franceschini si ferma al 1972.</w:t>
      </w:r>
      <w:r>
        <w:rPr>
          <w:rFonts w:ascii="Barlow Semi Condensed" w:cs="Barlow Semi Condensed" w:eastAsia="Barlow Semi Condensed" w:hAnsi="Barlow Semi Condensed"/>
          <w:sz w:val="24"/>
          <w:szCs w:val="24"/>
        </w:rPr>
        <w:t xml:space="preserve"> Il territorio ferma il filo verso Feltrinelli ai contatti del 1971 fra ceppo fondativo ed editore-gappista, morto a Segrate nel marzo 1972, sei anni prima di via Fani. In quel biennio il nodo qui studiato era assistente per la sicurezza nazionale. Contemporaneità piena, nesso nullo: nessuna fonte collega Feltrinelli, i GAP o la loro eredità all'operazione Moro, e a maggior ragione nessuna li collega a Washington attraverso il ceppo reggiano.</w:t>
      </w:r>
    </w:p>
    <w:p>
      <w:pPr>
        <w:spacing w:after="120" w:line="276"/>
        <w:jc w:val="both"/>
      </w:pPr>
      <w:r>
        <w:rPr>
          <w:rFonts w:ascii="Barlow Semi Condensed" w:cs="Barlow Semi Condensed" w:eastAsia="Barlow Semi Condensed" w:hAnsi="Barlow Semi Condensed"/>
          <w:b/>
          <w:bCs/>
          <w:sz w:val="24"/>
          <w:szCs w:val="24"/>
        </w:rPr>
        <w:t xml:space="preserve">2419 · Gallinari, archivio chiuso dal 2013.</w:t>
      </w:r>
      <w:r>
        <w:rPr>
          <w:rFonts w:ascii="Barlow Semi Condensed" w:cs="Barlow Semi Condensed" w:eastAsia="Barlow Semi Condensed" w:hAnsi="Barlow Semi Condensed"/>
          <w:sz w:val="24"/>
          <w:szCs w:val="24"/>
        </w:rPr>
        <w:t xml:space="preserve"> Prospero Gallinari morì a Reggio Emilia il 14 gennaio 2013: la sua voce è chiusa, e il blocco 811 dei nove cantieri sposta la ricerca sulle carte private eventuali e sui grezzi delle interviste, comprese quelle di Zavoli. Questa serie vi innesta una domanda circoscritta: se in quei grezzi non montati ricorra il nome qui triangolato. La risposta non cambierebbe il giudicato; cambierebbe la mappa di ciò che i condannati dissero.</w:t>
      </w:r>
    </w:p>
    <w:p>
      <w:pPr>
        <w:spacing w:after="120" w:line="276"/>
        <w:jc w:val="both"/>
      </w:pPr>
      <w:r>
        <w:rPr>
          <w:rFonts w:ascii="Barlow Semi Condensed" w:cs="Barlow Semi Condensed" w:eastAsia="Barlow Semi Condensed" w:hAnsi="Barlow Semi Condensed"/>
          <w:b/>
          <w:bCs/>
          <w:sz w:val="24"/>
          <w:szCs w:val="24"/>
        </w:rPr>
        <w:t xml:space="preserve">2420 · Che cosa cercare nelle carte reggiane.</w:t>
      </w:r>
      <w:r>
        <w:rPr>
          <w:rFonts w:ascii="Barlow Semi Condensed" w:cs="Barlow Semi Condensed" w:eastAsia="Barlow Semi Condensed" w:hAnsi="Barlow Semi Condensed"/>
          <w:sz w:val="24"/>
          <w:szCs w:val="24"/>
        </w:rPr>
        <w:t xml:space="preserve"> Domanda da portare in una sede nominata. Gli archivi del movimento operaio reggiano e i fondi locali della FGCI conservano carte del 1966-1970 sul nucleo poi confluito nelle BR. Vi compare traccia di interesse, contatto o segnalazione riferibile ad apparati stranieri? Attesa motivata: nulla. Un esito negativo scritto con perimetro esatto vale come acquisizione, secondo la regola del blocco 285 dell'agenda, che vieta di ricercare due volte lo stesso vuoto.</w:t>
      </w:r>
    </w:p>
    <w:p>
      <w:pPr>
        <w:spacing w:after="120" w:line="276"/>
        <w:jc w:val="both"/>
      </w:pPr>
      <w:r>
        <w:rPr>
          <w:rFonts w:ascii="Barlow Semi Condensed" w:cs="Barlow Semi Condensed" w:eastAsia="Barlow Semi Condensed" w:hAnsi="Barlow Semi Condensed"/>
          <w:b/>
          <w:bCs/>
          <w:sz w:val="24"/>
          <w:szCs w:val="24"/>
        </w:rPr>
        <w:t xml:space="preserve">2421 · Omologia e analogia sul nucleo storico.</w:t>
      </w:r>
      <w:r>
        <w:rPr>
          <w:rFonts w:ascii="Barlow Semi Condensed" w:cs="Barlow Semi Condensed" w:eastAsia="Barlow Semi Condensed" w:hAnsi="Barlow Semi Condensed"/>
          <w:sz w:val="24"/>
          <w:szCs w:val="24"/>
        </w:rPr>
        <w:t xml:space="preserve"> Applicazione della distinzione al caso reggiano. Che due persone del registro provengano dallo stesso nucleo pre-brigatista è omologia: c'è discendenza documentata, ed è il piano 1 di una genealogia biografica. Che militanze diverse producano esiti simili in Paesi diversi è analogia, e non autorizza a risalire a un antenato comune. Cento somiglianze di esito non fanno una discendenza: la promozione avviene solo per documento, e il documento qui manca.</w:t>
      </w:r>
    </w:p>
    <w:p>
      <w:pPr>
        <w:spacing w:after="120" w:line="276"/>
        <w:jc w:val="both"/>
      </w:pPr>
      <w:r>
        <w:rPr>
          <w:rFonts w:ascii="Barlow Semi Condensed" w:cs="Barlow Semi Condensed" w:eastAsia="Barlow Semi Condensed" w:hAnsi="Barlow Semi Condensed"/>
          <w:b/>
          <w:bCs/>
          <w:sz w:val="24"/>
          <w:szCs w:val="24"/>
        </w:rPr>
        <w:t xml:space="preserve">2422 · Ciò che riaprirebbe la genealogia reggiana.</w:t>
      </w:r>
      <w:r>
        <w:rPr>
          <w:rFonts w:ascii="Barlow Semi Condensed" w:cs="Barlow Semi Condensed" w:eastAsia="Barlow Semi Condensed" w:hAnsi="Barlow Semi Condensed"/>
          <w:sz w:val="24"/>
          <w:szCs w:val="24"/>
        </w:rPr>
        <w:t xml:space="preserve"> Riaprirebbe la genealogia reggiana un solo tipo di carta: un atto di provenienza, italiano o straniero, anteriore al 1970, che nomini insieme il nucleo emiliano e un apparato estero in qualunque funzione, anche di mera osservazione. Sede: Archivio centrale dello Stato, Ministero dell'Interno, Gabinetto, e le serie prefettizie di Reggio Emilia; sul versante opposto, RG 59 e i fondi dell'agenzia informativa per la parte declassificata. Assente questo, resta la sociologia.</w:t>
      </w:r>
    </w:p>
    <w:p>
      <w:pPr>
        <w:spacing w:after="120" w:line="276"/>
        <w:jc w:val="both"/>
      </w:pPr>
      <w:r>
        <w:rPr>
          <w:rFonts w:ascii="Barlow Semi Condensed" w:cs="Barlow Semi Condensed" w:eastAsia="Barlow Semi Condensed" w:hAnsi="Barlow Semi Condensed"/>
          <w:b/>
          <w:bCs/>
          <w:sz w:val="24"/>
          <w:szCs w:val="24"/>
        </w:rPr>
        <w:t xml:space="preserve">2423 · La sala stampa di tre pontefici.</w:t>
      </w:r>
      <w:r>
        <w:rPr>
          <w:rFonts w:ascii="Barlow Semi Condensed" w:cs="Barlow Semi Condensed" w:eastAsia="Barlow Semi Condensed" w:hAnsi="Barlow Semi Condensed"/>
          <w:sz w:val="24"/>
          <w:szCs w:val="24"/>
        </w:rPr>
        <w:t xml:space="preserve"> Luciano Casimirri diresse l'ufficio stampa dell'Osservatore Romano e la sala stampa vaticana sotto Pio XII, Giovanni XXIII e Paolo VI; la madre aveva cittadinanza vaticana. Il figlio Alessio ha sei ergastoli definitivi in contumacia. Il territorio grada F la biografia e nulla il nesso. Questa serie aggiunge il proprio accertamento: nessuna fonte reperita collega la funzione del padre a interlocuzioni statunitensi, e nessuna la collega alla militanza del figlio.</w:t>
      </w:r>
    </w:p>
    <w:p>
      <w:pPr>
        <w:spacing w:after="120" w:line="276"/>
        <w:jc w:val="both"/>
      </w:pPr>
      <w:r>
        <w:rPr>
          <w:rFonts w:ascii="Barlow Semi Condensed" w:cs="Barlow Semi Condensed" w:eastAsia="Barlow Semi Condensed" w:hAnsi="Barlow Semi Condensed"/>
          <w:b/>
          <w:bCs/>
          <w:sz w:val="24"/>
          <w:szCs w:val="24"/>
        </w:rPr>
        <w:t xml:space="preserve">2424 · La parentela non è canale, ancora.</w:t>
      </w:r>
      <w:r>
        <w:rPr>
          <w:rFonts w:ascii="Barlow Semi Condensed" w:cs="Barlow Semi Condensed" w:eastAsia="Barlow Semi Condensed" w:hAnsi="Barlow Semi Condensed"/>
          <w:sz w:val="24"/>
          <w:szCs w:val="24"/>
        </w:rPr>
        <w:t xml:space="preserve"> La prima anti-triangolazione del territorio va ripetuta esattamente dove la tentazione è massima. Se la famiglia non risponde del figlio, a maggior ragione non ne risponde l'istituzione in cui il padre lavorava, né lo Stato che con quell'istituzione trattava. Ogni catena costruita da sala stampa a Santa Sede a diplomazia atlantica e a via Fani si spezza al primo anello, e si spezza per diritto: l'articolo 27 non ammette trasmissione.</w:t>
      </w:r>
    </w:p>
    <w:p>
      <w:pPr>
        <w:spacing w:after="120" w:line="276"/>
        <w:jc w:val="both"/>
      </w:pPr>
      <w:r>
        <w:rPr>
          <w:rFonts w:ascii="Barlow Semi Condensed" w:cs="Barlow Semi Condensed" w:eastAsia="Barlow Semi Condensed" w:hAnsi="Barlow Semi Condensed"/>
          <w:b/>
          <w:bCs/>
          <w:sz w:val="24"/>
          <w:szCs w:val="24"/>
        </w:rPr>
        <w:t xml:space="preserve">2425 · Nessuna ambasciata presso la Santa Sede.</w:t>
      </w:r>
      <w:r>
        <w:rPr>
          <w:rFonts w:ascii="Barlow Semi Condensed" w:cs="Barlow Semi Condensed" w:eastAsia="Barlow Semi Condensed" w:hAnsi="Barlow Semi Condensed"/>
          <w:sz w:val="24"/>
          <w:szCs w:val="24"/>
        </w:rPr>
        <w:t xml:space="preserve"> Dato strutturale che spiega la magrezza documentale, da riscontrare sull'atto di designazione. Nel periodo degli incarichi qui rilevanti gli Stati Uniti non avevano relazioni diplomatiche piene con la Santa Sede: il canale era un rappresentante personale del presidente, non un'ambasciata con archivio seriale. Chi cerchi carte vaticano-americane di quegli anni deve perciò andare ai fondi personali e ai NSC Files, non a una serie consolare che non esiste.</w:t>
      </w:r>
    </w:p>
    <w:p>
      <w:pPr>
        <w:spacing w:after="120" w:line="276"/>
        <w:jc w:val="both"/>
      </w:pPr>
      <w:r>
        <w:rPr>
          <w:rFonts w:ascii="Barlow Semi Condensed" w:cs="Barlow Semi Condensed" w:eastAsia="Barlow Semi Condensed" w:hAnsi="Barlow Semi Condensed"/>
          <w:b/>
          <w:bCs/>
          <w:sz w:val="24"/>
          <w:szCs w:val="24"/>
        </w:rPr>
        <w:t xml:space="preserve">2426 · L'Archivio Apostolico e il suo calendario.</w:t>
      </w:r>
      <w:r>
        <w:rPr>
          <w:rFonts w:ascii="Barlow Semi Condensed" w:cs="Barlow Semi Condensed" w:eastAsia="Barlow Semi Condensed" w:hAnsi="Barlow Semi Condensed"/>
          <w:sz w:val="24"/>
          <w:szCs w:val="24"/>
        </w:rPr>
        <w:t xml:space="preserve"> Stato Zero con data di apertura, non con scusa. Il limite di consultazione dell'Archivio Apostolico Vaticano resta la fine del pontificato di Pio XII, aperto il 2 marzo 2020; lo stesso criterio per pontificati vale per l'archivio della Sezione per i Rapporti con gli Stati. Le carte del pontificato di Paolo VI non sono consultabili. La parte seconda dei nove cantieri, blocchi 121-135, tiene il calendario: qui si registra il vincolo.</w:t>
      </w:r>
    </w:p>
    <w:p>
      <w:pPr>
        <w:spacing w:after="120" w:line="276"/>
        <w:jc w:val="both"/>
      </w:pPr>
      <w:r>
        <w:rPr>
          <w:rFonts w:ascii="Barlow Semi Condensed" w:cs="Barlow Semi Condensed" w:eastAsia="Barlow Semi Condensed" w:hAnsi="Barlow Semi Condensed"/>
          <w:b/>
          <w:bCs/>
          <w:sz w:val="24"/>
          <w:szCs w:val="24"/>
        </w:rPr>
        <w:t xml:space="preserve">2427 · La rotta comincia dopo il 1977.</w:t>
      </w:r>
      <w:r>
        <w:rPr>
          <w:rFonts w:ascii="Barlow Semi Condensed" w:cs="Barlow Semi Condensed" w:eastAsia="Barlow Semi Condensed" w:hAnsi="Barlow Semi Condensed"/>
          <w:sz w:val="24"/>
          <w:szCs w:val="24"/>
        </w:rPr>
        <w:t xml:space="preserve"> Casimirri lasciò le BR nel 1980 e riparò via Libia e Cuba nel Nicaragua sandinista, dove è dal 1982. La rivoluzione che gli diede rifugio è del luglio 1979. Ogni segmento della rotta è posteriore al 20 gennaio 1977, cioè alla fine di ogni incarico del nodo qui studiato. La cronologia non è un argomento accessorio: è ciò che rende la domanda sul rapporto diretto priva di oggetto, prima ancora che priva di prova.</w:t>
      </w:r>
    </w:p>
    <w:p>
      <w:pPr>
        <w:spacing w:after="120" w:line="276"/>
        <w:jc w:val="both"/>
      </w:pPr>
      <w:r>
        <w:rPr>
          <w:rFonts w:ascii="Barlow Semi Condensed" w:cs="Barlow Semi Condensed" w:eastAsia="Barlow Semi Condensed" w:hAnsi="Barlow Semi Condensed"/>
          <w:b/>
          <w:bCs/>
          <w:sz w:val="24"/>
          <w:szCs w:val="24"/>
        </w:rPr>
        <w:t xml:space="preserve">2428 · La commissione bipartisan del 1983-1984.</w:t>
      </w:r>
      <w:r>
        <w:rPr>
          <w:rFonts w:ascii="Barlow Semi Condensed" w:cs="Barlow Semi Condensed" w:eastAsia="Barlow Semi Condensed" w:hAnsi="Barlow Semi Condensed"/>
          <w:sz w:val="24"/>
          <w:szCs w:val="24"/>
        </w:rPr>
        <w:t xml:space="preserve"> Rapporto diretto documentato esiste, ma con un altro oggetto. Il nome qui studiato presiedette da privato cittadino una commissione presidenziale bipartisan sull'America centrale, il cui rapporto fu consegnato nel gennaio 1984. È dunque presente, al piano 1, nel dossier Nicaragua degli stessi anni in cui Managua rifiutava le prime richieste italiane. Sono due fascicoli distinti che condividono un Paese. Condividere un Paese non è condividere una pratica.</w:t>
      </w:r>
    </w:p>
    <w:p>
      <w:pPr>
        <w:spacing w:after="120" w:line="276"/>
        <w:jc w:val="both"/>
      </w:pPr>
      <w:r>
        <w:rPr>
          <w:rFonts w:ascii="Barlow Semi Condensed" w:cs="Barlow Semi Condensed" w:eastAsia="Barlow Semi Condensed" w:hAnsi="Barlow Semi Condensed"/>
          <w:b/>
          <w:bCs/>
          <w:sz w:val="24"/>
          <w:szCs w:val="24"/>
        </w:rPr>
        <w:t xml:space="preserve">2429 · I due fascicoli di Managua.</w:t>
      </w:r>
      <w:r>
        <w:rPr>
          <w:rFonts w:ascii="Barlow Semi Condensed" w:cs="Barlow Semi Condensed" w:eastAsia="Barlow Semi Condensed" w:hAnsi="Barlow Semi Condensed"/>
          <w:sz w:val="24"/>
          <w:szCs w:val="24"/>
        </w:rPr>
        <w:t xml:space="preserve"> Esiste un atto - nicaraguense, statunitense o italiano - che tratti insieme la politica statunitense verso il governo sandinista e la posizione del latitante italiano? La domanda si porta in tre sedi: Ronald Reagan Presidential Library per il versante americano; Instituto de Historia de Nicaragua y Centroamerica a Managua; Archivio storico diplomatico della Farnesina, serie ambasciata d'Italia a Managua. Attesa motivata: nulla, e l'attesa va verbalizzata comunque.</w:t>
      </w:r>
    </w:p>
    <w:p>
      <w:pPr>
        <w:spacing w:after="120" w:line="276"/>
        <w:jc w:val="both"/>
      </w:pPr>
      <w:r>
        <w:rPr>
          <w:rFonts w:ascii="Barlow Semi Condensed" w:cs="Barlow Semi Condensed" w:eastAsia="Barlow Semi Condensed" w:hAnsi="Barlow Semi Condensed"/>
          <w:b/>
          <w:bCs/>
          <w:sz w:val="24"/>
          <w:szCs w:val="24"/>
        </w:rPr>
        <w:t xml:space="preserve">2430 · Le estradizioni respinte, e dove stanno.</w:t>
      </w:r>
      <w:r>
        <w:rPr>
          <w:rFonts w:ascii="Barlow Semi Condensed" w:cs="Barlow Semi Condensed" w:eastAsia="Barlow Semi Condensed" w:hAnsi="Barlow Semi Condensed"/>
          <w:sz w:val="24"/>
          <w:szCs w:val="24"/>
        </w:rPr>
        <w:t xml:space="preserve"> Almeno due richieste formali italiane sono state respinte. Le carte esistono e hanno una collocazione precisa: Ministero della Giustizia, direzione generale della giustizia penale, ufficio competente per le estradizioni, e Ministero degli Affari Esteri per la parte diplomatica. Domanda della serie: in quei fascicoli compare, in qualunque forma, un'interlocuzione statunitense sul caso? Il territorio dice che l'estradizione è politica estera applicata al giudicato: allora si legga la pratica.</w:t>
      </w:r>
    </w:p>
    <w:p>
      <w:pPr>
        <w:spacing w:after="120" w:line="276"/>
        <w:jc w:val="both"/>
      </w:pPr>
      <w:r>
        <w:rPr>
          <w:rFonts w:ascii="Barlow Semi Condensed" w:cs="Barlow Semi Condensed" w:eastAsia="Barlow Semi Condensed" w:hAnsi="Barlow Semi Condensed"/>
          <w:b/>
          <w:bCs/>
          <w:sz w:val="24"/>
          <w:szCs w:val="24"/>
        </w:rPr>
        <w:t xml:space="preserve">2431 · Divergenza interna sulla rogatoria.</w:t>
      </w:r>
      <w:r>
        <w:rPr>
          <w:rFonts w:ascii="Barlow Semi Condensed" w:cs="Barlow Semi Condensed" w:eastAsia="Barlow Semi Condensed" w:hAnsi="Barlow Semi Condensed"/>
          <w:sz w:val="24"/>
          <w:szCs w:val="24"/>
        </w:rPr>
        <w:t xml:space="preserve"> Il blocco 835 dei nove cantieri chiama la rogatoria conoscitiva a Casimirri il bersaglio singolo a più alto rendimento potenziale dell'intero registro. Il programma investigativo, per direttiva dell'autore, la esclude e le assegna 0,1, riapribile solo per documento primario nuovo. Le due indicazioni divergono e qui si riportano senza scioglierle. Se mai la via si riaprisse, nessuna domanda potrebbe suggerire nomi: si chiede ciò che si sa, non ciò che si spera.</w:t>
      </w:r>
    </w:p>
    <w:p>
      <w:pPr>
        <w:spacing w:after="120" w:line="276"/>
        <w:jc w:val="both"/>
      </w:pPr>
      <w:r>
        <w:rPr>
          <w:rFonts w:ascii="Barlow Semi Condensed" w:cs="Barlow Semi Condensed" w:eastAsia="Barlow Semi Condensed" w:hAnsi="Barlow Semi Condensed"/>
          <w:b/>
          <w:bCs/>
          <w:sz w:val="24"/>
          <w:szCs w:val="24"/>
        </w:rPr>
        <w:t xml:space="preserve">2432 · L'Avana, giacimento non accessibile.</w:t>
      </w:r>
      <w:r>
        <w:rPr>
          <w:rFonts w:ascii="Barlow Semi Condensed" w:cs="Barlow Semi Condensed" w:eastAsia="Barlow Semi Condensed" w:hAnsi="Barlow Semi Condensed"/>
          <w:sz w:val="24"/>
          <w:szCs w:val="24"/>
        </w:rPr>
        <w:t xml:space="preserve"> Il segmento cubano della rotta - fra l'uscita dalle BR e l'approdo nicaraguense - non ha, allo stato, archivio consultabile: gli atti del ministero dell'interno cubano non sono aperti alla ricerca storica esterna. Si dichiara come limite, non come indizio. Vie laterali percorribili: la corrispondenza dell'ambasciata d'Italia all'Avana presso la Farnesina, e il traffico statunitense su Cuba nelle serie declassificate, per la sola parte che nomini cittadini italiani.</w:t>
      </w:r>
    </w:p>
    <w:p>
      <w:pPr>
        <w:spacing w:after="120" w:line="276"/>
        <w:jc w:val="both"/>
      </w:pPr>
      <w:r>
        <w:rPr>
          <w:rFonts w:ascii="Barlow Semi Condensed" w:cs="Barlow Semi Condensed" w:eastAsia="Barlow Semi Condensed" w:hAnsi="Barlow Semi Condensed"/>
          <w:b/>
          <w:bCs/>
          <w:sz w:val="24"/>
          <w:szCs w:val="24"/>
        </w:rPr>
        <w:t xml:space="preserve">2433 · Tripoli, esito negativo dichiarato.</w:t>
      </w:r>
      <w:r>
        <w:rPr>
          <w:rFonts w:ascii="Barlow Semi Condensed" w:cs="Barlow Semi Condensed" w:eastAsia="Barlow Semi Condensed" w:hAnsi="Barlow Semi Condensed"/>
          <w:sz w:val="24"/>
          <w:szCs w:val="24"/>
        </w:rPr>
        <w:t xml:space="preserve"> Più opaco dei tre è il tratto libico: nessuna documentazione reperibile lo attesta oltre la riferitezza delle ricostruzioni. La sede che lo chiuderebbe non è libica ma italiana - le carte della Farnesina sui rapporti bilaterali con Tripoli, serie che il corpus ha già toccato per l'ottobre 1970 e per la fine del traghettamento del 15 ottobre. Finché quella serie non è spogliata, il segmento resta riferito e va scritto tale.</w:t>
      </w:r>
    </w:p>
    <w:p>
      <w:pPr>
        <w:spacing w:after="120" w:line="276"/>
        <w:jc w:val="both"/>
      </w:pPr>
      <w:r>
        <w:rPr>
          <w:rFonts w:ascii="Barlow Semi Condensed" w:cs="Barlow Semi Condensed" w:eastAsia="Barlow Semi Condensed" w:hAnsi="Barlow Semi Condensed"/>
          <w:b/>
          <w:bCs/>
          <w:sz w:val="24"/>
          <w:szCs w:val="24"/>
        </w:rPr>
        <w:t xml:space="preserve">2434 · Casimirri, lo Stato Zero complessivo.</w:t>
      </w:r>
      <w:r>
        <w:rPr>
          <w:rFonts w:ascii="Barlow Semi Condensed" w:cs="Barlow Semi Condensed" w:eastAsia="Barlow Semi Condensed" w:hAnsi="Barlow Semi Condensed"/>
          <w:sz w:val="24"/>
          <w:szCs w:val="24"/>
        </w:rPr>
        <w:t xml:space="preserve"> Sintesi del nodo più denso del territorio. Nessun documento reperibile collega, al piano 1, il nome qui triangolato a Alessio Casimirri, a suo padre, alla sala stampa vaticana, alla rotta o alla protezione nicaraguense. Restano convergenze di ambiente e di Paese, che il territorio stesso qualifica e nega. Il blocco 833 dei nove cantieri lo chiama il vuoto documentale personificato: verso questo nome il vuoto è doppio, ed è la misura corretta.</w:t>
      </w:r>
    </w:p>
    <w:p>
      <w:pPr>
        <w:spacing w:after="120" w:line="276"/>
        <w:jc w:val="both"/>
      </w:pPr>
      <w:r>
        <w:rPr>
          <w:rFonts w:ascii="Barlow Semi Condensed" w:cs="Barlow Semi Condensed" w:eastAsia="Barlow Semi Condensed" w:hAnsi="Barlow Semi Condensed"/>
          <w:b/>
          <w:bCs/>
          <w:sz w:val="24"/>
          <w:szCs w:val="24"/>
        </w:rPr>
        <w:t xml:space="preserve">2435 · Ciò che falsificherebbe il nodo T-5.</w:t>
      </w:r>
      <w:r>
        <w:rPr>
          <w:rFonts w:ascii="Barlow Semi Condensed" w:cs="Barlow Semi Condensed" w:eastAsia="Barlow Semi Condensed" w:hAnsi="Barlow Semi Condensed"/>
          <w:sz w:val="24"/>
          <w:szCs w:val="24"/>
        </w:rPr>
        <w:t xml:space="preserve"> In forma stretta, il bersaglio di smentita del nodo T-5. Sarebbe piano 1 un documento che nomini insieme, in un solo atto di provenienza, il nodo qui studiato e uno qualunque degli elementi del nodo: il padre, la sua funzione, il figlio, l'itinerario, la pratica di estradizione. Non due menzioni parallele in carte diverse: un atto solo, con protocollo. La soglia è alta perché l'oggetto è delicato, e si dichiara prima di cercare.</w:t>
      </w:r>
    </w:p>
    <w:p>
      <w:pPr>
        <w:spacing w:after="120" w:line="276"/>
        <w:jc w:val="both"/>
      </w:pPr>
      <w:r>
        <w:rPr>
          <w:rFonts w:ascii="Barlow Semi Condensed" w:cs="Barlow Semi Condensed" w:eastAsia="Barlow Semi Condensed" w:hAnsi="Barlow Semi Condensed"/>
          <w:b/>
          <w:bCs/>
          <w:sz w:val="24"/>
          <w:szCs w:val="24"/>
        </w:rPr>
        <w:t xml:space="preserve">2436 · Il passaporto elvetico del 1986.</w:t>
      </w:r>
      <w:r>
        <w:rPr>
          <w:rFonts w:ascii="Barlow Semi Condensed" w:cs="Barlow Semi Condensed" w:eastAsia="Barlow Semi Condensed" w:hAnsi="Barlow Semi Condensed"/>
          <w:sz w:val="24"/>
          <w:szCs w:val="24"/>
        </w:rPr>
        <w:t xml:space="preserve"> Alvaro Lojacono, condannato in via definitiva nel Moro quater con Cassazione del 14 maggio 1997 per l'intero arco 16 marzo-9 maggio, riparò in Svizzera nel 1986 e ne acquisì la cittadinanza per parte di madre. Berna non estrada i propri cittadini senza il loro consenso. Il meccanismo è una regola di ordinamento, non una scelta politica su questo caso, e non ammette terzi: non c'è spazio strutturale per un intervento straniero.</w:t>
      </w:r>
    </w:p>
    <w:p>
      <w:pPr>
        <w:spacing w:after="120" w:line="276"/>
        <w:jc w:val="both"/>
      </w:pPr>
      <w:r>
        <w:rPr>
          <w:rFonts w:ascii="Barlow Semi Condensed" w:cs="Barlow Semi Condensed" w:eastAsia="Barlow Semi Condensed" w:hAnsi="Barlow Semi Condensed"/>
          <w:b/>
          <w:bCs/>
          <w:sz w:val="24"/>
          <w:szCs w:val="24"/>
        </w:rPr>
        <w:t xml:space="preserve">2437 · Berna, e nessun documento pertinente.</w:t>
      </w:r>
      <w:r>
        <w:rPr>
          <w:rFonts w:ascii="Barlow Semi Condensed" w:cs="Barlow Semi Condensed" w:eastAsia="Barlow Semi Condensed" w:hAnsi="Barlow Semi Condensed"/>
          <w:sz w:val="24"/>
          <w:szCs w:val="24"/>
        </w:rPr>
        <w:t xml:space="preserve"> Lacuna verbalizzata con la sede che la chiuderebbe. Non risulta alcun atto che colleghi il nome qui triangolato alla posizione elvetica del condannato. Sedi: Archivio federale svizzero a Berna, serie del Dipartimento politico federale e poi degli affari esteri; Ufficio federale di giustizia per le pratiche estradizionali. Regola d'accesso e termini di protezione vanno accertati prima della richiesta: un rifiuto motivato è comunque una carta, e va acquisito.</w:t>
      </w:r>
    </w:p>
    <w:p>
      <w:pPr>
        <w:spacing w:after="120" w:line="276"/>
        <w:jc w:val="both"/>
      </w:pPr>
      <w:r>
        <w:rPr>
          <w:rFonts w:ascii="Barlow Semi Condensed" w:cs="Barlow Semi Condensed" w:eastAsia="Barlow Semi Condensed" w:hAnsi="Barlow Semi Condensed"/>
          <w:b/>
          <w:bCs/>
          <w:sz w:val="24"/>
          <w:szCs w:val="24"/>
        </w:rPr>
        <w:t xml:space="preserve">2438 · L'esecuzione oltre confine come funzione.</w:t>
      </w:r>
      <w:r>
        <w:rPr>
          <w:rFonts w:ascii="Barlow Semi Condensed" w:cs="Barlow Semi Condensed" w:eastAsia="Barlow Semi Condensed" w:hAnsi="Barlow Semi Condensed"/>
          <w:sz w:val="24"/>
          <w:szCs w:val="24"/>
        </w:rPr>
        <w:t xml:space="preserve"> Dal parallelo Casimirri-Lojacono il territorio ricava una legge del caso: l'esecuzione del giudicato oltre confine è funzione dei rapporti fra Stati, non della forza delle sentenze. Verso questo nome la legge si applica al contrario ed è istruttiva: non essendovi mai stata imputazione, non vi è nulla da eseguire, nulla da chiedere e nessuna frontiera in mezzo. La simmetria mostra dove finisce il diritto penale e comincia la storia.</w:t>
      </w:r>
    </w:p>
    <w:p>
      <w:pPr>
        <w:spacing w:after="120" w:line="276"/>
        <w:jc w:val="both"/>
      </w:pPr>
      <w:r>
        <w:rPr>
          <w:rFonts w:ascii="Barlow Semi Condensed" w:cs="Barlow Semi Condensed" w:eastAsia="Barlow Semi Condensed" w:hAnsi="Barlow Semi Condensed"/>
          <w:b/>
          <w:bCs/>
          <w:sz w:val="24"/>
          <w:szCs w:val="24"/>
        </w:rPr>
        <w:t xml:space="preserve">2439 · Il fascicolo svizzero, spoglio alla stringa.</w:t>
      </w:r>
      <w:r>
        <w:rPr>
          <w:rFonts w:ascii="Barlow Semi Condensed" w:cs="Barlow Semi Condensed" w:eastAsia="Barlow Semi Condensed" w:hAnsi="Barlow Semi Condensed"/>
          <w:sz w:val="24"/>
          <w:szCs w:val="24"/>
        </w:rPr>
        <w:t xml:space="preserve"> Come giacimento, il blocco 838 dei nove cantieri indica il fascicolo elvetico: gli atti dei procedimenti svizzeri che riguardarono il condannato, nelle regole d'accesso di quel Paese. Questa serie vi aggiunge un'operazione minima e verificabile: lo spoglio dell'indice dei nomi alla ricerca della stringa qui studiata. Un indice si legge in un'ora e produce, in entrambi i casi, un dato definitivo: presenza da qualificare, o assenza da verbalizzare.</w:t>
      </w:r>
    </w:p>
    <w:p>
      <w:pPr>
        <w:spacing w:after="120" w:line="276"/>
        <w:jc w:val="both"/>
      </w:pPr>
      <w:r>
        <w:rPr>
          <w:rFonts w:ascii="Barlow Semi Condensed" w:cs="Barlow Semi Condensed" w:eastAsia="Barlow Semi Condensed" w:hAnsi="Barlow Semi Condensed"/>
          <w:b/>
          <w:bCs/>
          <w:sz w:val="24"/>
          <w:szCs w:val="24"/>
        </w:rPr>
        <w:t xml:space="preserve">2440 · Lo Stato Zero ticinese.</w:t>
      </w:r>
      <w:r>
        <w:rPr>
          <w:rFonts w:ascii="Barlow Semi Condensed" w:cs="Barlow Semi Condensed" w:eastAsia="Barlow Semi Condensed" w:hAnsi="Barlow Semi Condensed"/>
          <w:sz w:val="24"/>
          <w:szCs w:val="24"/>
        </w:rPr>
        <w:t xml:space="preserve"> Si dichiara, con il perimetro. Cercato: qualunque atto svizzero, giudiziario o amministrativo, che nomini insieme il condannato e il nodo di questa triangolazione. Trovato: nulla. Cercato dove: nelle fonti pubbliche accessibili al corpus, non negli archivi in sede. Il vuoto è perciò provvisorio e va scritto tale: è assenza di riscontro nelle fonti battute, non assenza accertata in archivio. La distinzione fra le due è la differenza fra rigore e presunzione.</w:t>
      </w:r>
    </w:p>
    <w:p>
      <w:pPr>
        <w:spacing w:after="120" w:line="276"/>
        <w:jc w:val="both"/>
      </w:pPr>
      <w:r>
        <w:rPr>
          <w:rFonts w:ascii="Barlow Semi Condensed" w:cs="Barlow Semi Condensed" w:eastAsia="Barlow Semi Condensed" w:hAnsi="Barlow Semi Condensed"/>
          <w:b/>
          <w:bCs/>
          <w:sz w:val="24"/>
          <w:szCs w:val="24"/>
        </w:rPr>
        <w:t xml:space="preserve">2441 · Il bersaglio di smentita di T-6.</w:t>
      </w:r>
      <w:r>
        <w:rPr>
          <w:rFonts w:ascii="Barlow Semi Condensed" w:cs="Barlow Semi Condensed" w:eastAsia="Barlow Semi Condensed" w:hAnsi="Barlow Semi Condensed"/>
          <w:sz w:val="24"/>
          <w:szCs w:val="24"/>
        </w:rPr>
        <w:t xml:space="preserve"> Aprirebbe il nodo svizzero un documento diplomatico - italiano, elvetico o statunitense - che colleghi la vicenda estradizionale a un'interlocuzione riferibile a questo nome. Nulla lo lascia attendere: la cittadinanza per parte di madre fu acquisita nel 1986, nove anni dopo la fine di ogni incarico. Il bersaglio si scrive comunque, perché una serie che formuli soltanto bersagli plausibili non è falsificabile: è autobiografia del ricercatore.</w:t>
      </w:r>
    </w:p>
    <w:p>
      <w:pPr>
        <w:spacing w:after="120" w:line="276"/>
        <w:jc w:val="both"/>
      </w:pPr>
      <w:r>
        <w:rPr>
          <w:rFonts w:ascii="Barlow Semi Condensed" w:cs="Barlow Semi Condensed" w:eastAsia="Barlow Semi Condensed" w:hAnsi="Barlow Semi Condensed"/>
          <w:b/>
          <w:bCs/>
          <w:sz w:val="24"/>
          <w:szCs w:val="24"/>
        </w:rPr>
        <w:t xml:space="preserve">2442 · Il prigioniero, 1998, e il marchio.</w:t>
      </w:r>
      <w:r>
        <w:rPr>
          <w:rFonts w:ascii="Barlow Semi Condensed" w:cs="Barlow Semi Condensed" w:eastAsia="Barlow Semi Condensed" w:hAnsi="Barlow Semi Condensed"/>
          <w:sz w:val="24"/>
          <w:szCs w:val="24"/>
        </w:rPr>
        <w:t xml:space="preserve"> Anna Laura Braghetti scrisse con Paola Tavella il racconto della prigione, pubblicato nel 1998 dalla casa editrice fondata da Giangiacomo Feltrinelli. Il territorio lo registra come convergenza editoriale, di catalogo, non come nesso fra persone: lo stesso marchio che veicolò il mito del Che pubblicò vent'anni dopo la memoria della carceriera. È il tema del vettore, ed è qui che questa serie ha la sua sola domanda editoriale da porre.</w:t>
      </w:r>
    </w:p>
    <w:p>
      <w:pPr>
        <w:spacing w:after="120" w:line="276"/>
        <w:jc w:val="both"/>
      </w:pPr>
      <w:r>
        <w:rPr>
          <w:rFonts w:ascii="Barlow Semi Condensed" w:cs="Barlow Semi Condensed" w:eastAsia="Barlow Semi Condensed" w:hAnsi="Barlow Semi Condensed"/>
          <w:b/>
          <w:bCs/>
          <w:sz w:val="24"/>
          <w:szCs w:val="24"/>
        </w:rPr>
        <w:t xml:space="preserve">2443 · Chi pubblicò in Italia quelle memorie.</w:t>
      </w:r>
      <w:r>
        <w:rPr>
          <w:rFonts w:ascii="Barlow Semi Condensed" w:cs="Barlow Semi Condensed" w:eastAsia="Barlow Semi Condensed" w:hAnsi="Barlow Semi Condensed"/>
          <w:sz w:val="24"/>
          <w:szCs w:val="24"/>
        </w:rPr>
        <w:t xml:space="preserve"> Quesito bibliografico, eseguibile in una sessione di catalogo. Quali editori italiani hanno pubblicato le opere del nodo qui studiato, dal 1957 in avanti, e in quali anni? Il marchio Feltrinelli compare fra loro? Sede: Opac SBN e Bibliografia nazionale italiana presso la Biblioteca nazionale centrale di Firenze. La domanda non cerca un nesso: cerca il dato che permetterebbe, o vieterebbe, di scrivere una frase sulla coincidenza di catalogo.</w:t>
      </w:r>
    </w:p>
    <w:p>
      <w:pPr>
        <w:spacing w:after="120" w:line="276"/>
        <w:jc w:val="both"/>
      </w:pPr>
      <w:r>
        <w:rPr>
          <w:rFonts w:ascii="Barlow Semi Condensed" w:cs="Barlow Semi Condensed" w:eastAsia="Barlow Semi Condensed" w:hAnsi="Barlow Semi Condensed"/>
          <w:b/>
          <w:bCs/>
          <w:sz w:val="24"/>
          <w:szCs w:val="24"/>
        </w:rPr>
        <w:t xml:space="preserve">2444 · Il catalogo non è un nesso.</w:t>
      </w:r>
      <w:r>
        <w:rPr>
          <w:rFonts w:ascii="Barlow Semi Condensed" w:cs="Barlow Semi Condensed" w:eastAsia="Barlow Semi Condensed" w:hAnsi="Barlow Semi Condensed"/>
          <w:sz w:val="24"/>
          <w:szCs w:val="24"/>
        </w:rPr>
        <w:t xml:space="preserve"> Si fissa una regola prima di conoscere la risposta del blocco precedente. Anche nel caso in cui i due nomi condividessero un editore, il fatto resterebbe una coincidenza di catalogo: gli editori pubblicano per linea, mercato e occasione, non per affinità fra gli autori. Il corpus ha già trattato così la convergenza Feltrinelli-Braghetti. Nessuna inferenza discende da un colophon, e chi la trae ha confuso l'indice con la trama.</w:t>
      </w:r>
    </w:p>
    <w:p>
      <w:pPr>
        <w:spacing w:after="120" w:line="276"/>
        <w:jc w:val="both"/>
      </w:pPr>
      <w:r>
        <w:rPr>
          <w:rFonts w:ascii="Barlow Semi Condensed" w:cs="Barlow Semi Condensed" w:eastAsia="Barlow Semi Condensed" w:hAnsi="Barlow Semi Condensed"/>
          <w:b/>
          <w:bCs/>
          <w:sz w:val="24"/>
          <w:szCs w:val="24"/>
        </w:rPr>
        <w:t xml:space="preserve">2445 · Buongiorno, notte, e l'ombra aggiunta.</w:t>
      </w:r>
      <w:r>
        <w:rPr>
          <w:rFonts w:ascii="Barlow Semi Condensed" w:cs="Barlow Semi Condensed" w:eastAsia="Barlow Semi Condensed" w:hAnsi="Barlow Semi Condensed"/>
          <w:sz w:val="24"/>
          <w:szCs w:val="24"/>
        </w:rPr>
        <w:t xml:space="preserve"> Dal libro Bellocchio trasse liberamente il film del 2003, il cui personaggio principale è ispirato a Braghetti e a Faranda. Il cinema del caso è un vettore secondario potente, e tende ad aggiungere ombre che gli atti non contengono. La regola: un'immagine cinematografica non è una fonte sul fatto rappresentato, e vale come fonte solo su se stessa e sul momento in cui fu prodotta. Il corpus lo scrive per ogni film.</w:t>
      </w:r>
    </w:p>
    <w:p>
      <w:pPr>
        <w:spacing w:after="120" w:line="276"/>
        <w:jc w:val="both"/>
      </w:pPr>
      <w:r>
        <w:rPr>
          <w:rFonts w:ascii="Barlow Semi Condensed" w:cs="Barlow Semi Condensed" w:eastAsia="Barlow Semi Condensed" w:hAnsi="Barlow Semi Condensed"/>
          <w:b/>
          <w:bCs/>
          <w:sz w:val="24"/>
          <w:szCs w:val="24"/>
        </w:rPr>
        <w:t xml:space="preserve">2446 · Il lancio del 30 novembre 2023 (serie XXXII).</w:t>
      </w:r>
      <w:r>
        <w:rPr>
          <w:rFonts w:ascii="Barlow Semi Condensed" w:cs="Barlow Semi Condensed" w:eastAsia="Barlow Semi Condensed" w:hAnsi="Barlow Semi Condensed"/>
          <w:sz w:val="24"/>
          <w:szCs w:val="24"/>
        </w:rPr>
        <w:t xml:space="preserve"> Accertamento già fissato dall'opera, che qui protegge un altro territorio. La moltiplicazione delle fonti sul presunto avvertimento è apparente: risale a un unico lancio d'agenzia del 30 novembre 2023, il giorno dopo la morte. La replicazione non aggiunge valore probatorio. Chi triangoli i condannati con questo nome incontrerà quel materiale ovunque: è una sola fonte riflessa molte volte, e va contata una volta sola, come vuole la disciplina della catena di copia.</w:t>
      </w:r>
    </w:p>
    <w:p>
      <w:pPr>
        <w:spacing w:after="120" w:line="276"/>
        <w:jc w:val="both"/>
      </w:pPr>
      <w:r>
        <w:rPr>
          <w:rFonts w:ascii="Barlow Semi Condensed" w:cs="Barlow Semi Condensed" w:eastAsia="Barlow Semi Condensed" w:hAnsi="Barlow Semi Condensed"/>
          <w:b/>
          <w:bCs/>
          <w:sz w:val="24"/>
          <w:szCs w:val="24"/>
        </w:rPr>
        <w:t xml:space="preserve">2447 · Braghetti, la parola e la stringa.</w:t>
      </w:r>
      <w:r>
        <w:rPr>
          <w:rFonts w:ascii="Barlow Semi Condensed" w:cs="Barlow Semi Condensed" w:eastAsia="Barlow Semi Condensed" w:hAnsi="Barlow Semi Condensed"/>
          <w:sz w:val="24"/>
          <w:szCs w:val="24"/>
        </w:rPr>
        <w:t xml:space="preserve"> La custode della prigione è morta nel 2025 e il suo corpus è chiuso: il libro del 1998, le interviste, gli interventi sulla giustizia riparativa. Il blocco 831 dei nove cantieri chiede la collazione libro-atti. Questa serie aggiunge la colonna della stringa: se in quel corpus il nome qui triangolato compaia mai, e in quale funzione. Esito atteso: nessuna occorrenza. Il conto va comunque eseguito, perché un'attesa non è un accertamento.</w:t>
      </w:r>
    </w:p>
    <w:p>
      <w:pPr>
        <w:spacing w:after="120" w:line="276"/>
        <w:jc w:val="both"/>
      </w:pPr>
      <w:r>
        <w:rPr>
          <w:rFonts w:ascii="Barlow Semi Condensed" w:cs="Barlow Semi Condensed" w:eastAsia="Barlow Semi Condensed" w:hAnsi="Barlow Semi Condensed"/>
          <w:b/>
          <w:bCs/>
          <w:sz w:val="24"/>
          <w:szCs w:val="24"/>
        </w:rPr>
        <w:t xml:space="preserve">2448 · Ciò che smentirebbe il nodo editoriale.</w:t>
      </w:r>
      <w:r>
        <w:rPr>
          <w:rFonts w:ascii="Barlow Semi Condensed" w:cs="Barlow Semi Condensed" w:eastAsia="Barlow Semi Condensed" w:hAnsi="Barlow Semi Condensed"/>
          <w:sz w:val="24"/>
          <w:szCs w:val="24"/>
        </w:rPr>
        <w:t xml:space="preserve"> Smentirebbe il nodo editoriale un documento d'impresa - contratto, verbale di redazione, corrispondenza - che leghi la decisione di pubblicare la memoria della prigione a una sollecitazione esterna al mondo editoriale. Sede: archivio storico della Fondazione Giangiacomo Feltrinelli a Milano, per la parte versata e consultabile. Assente questo, il nodo resta ciò che il territorio ha scritto: un fatto di catalogo, e la storia di un vettore.</w:t>
      </w:r>
    </w:p>
    <w:p>
      <w:pPr>
        <w:spacing w:after="120" w:line="276"/>
        <w:jc w:val="both"/>
      </w:pPr>
      <w:r>
        <w:rPr>
          <w:rFonts w:ascii="Barlow Semi Condensed" w:cs="Barlow Semi Condensed" w:eastAsia="Barlow Semi Condensed" w:hAnsi="Barlow Semi Condensed"/>
          <w:b/>
          <w:bCs/>
          <w:sz w:val="24"/>
          <w:szCs w:val="24"/>
        </w:rPr>
        <w:t xml:space="preserve">2449 · Bachelet, febbraio 1980, fascicolo proprio.</w:t>
      </w:r>
      <w:r>
        <w:rPr>
          <w:rFonts w:ascii="Barlow Semi Condensed" w:cs="Barlow Semi Condensed" w:eastAsia="Barlow Semi Condensed" w:hAnsi="Barlow Semi Condensed"/>
          <w:sz w:val="24"/>
          <w:szCs w:val="24"/>
        </w:rPr>
        <w:t xml:space="preserve"> Seghetti presentò Braghetti a Moretti nella fase preparatoria dell'acquisto di via Montalcini, nel giugno 1977; i due parteciparono nel febbraio 1980 all'omicidio di Vittorio Bachelet, vicepresidente del CSM. Il nodo T-8 esiste per una sola ragione di metodo: le condotte successive hanno le loro sentenze e i loro fascicoli, e non rifluiscono nel caso Moro. Verso questo nome la regola opera identica: nessun fatto del 1980 può essere retrodatato in cornice.</w:t>
      </w:r>
    </w:p>
    <w:p>
      <w:pPr>
        <w:spacing w:after="120" w:line="276"/>
        <w:jc w:val="both"/>
      </w:pPr>
      <w:r>
        <w:rPr>
          <w:rFonts w:ascii="Barlow Semi Condensed" w:cs="Barlow Semi Condensed" w:eastAsia="Barlow Semi Condensed" w:hAnsi="Barlow Semi Condensed"/>
          <w:b/>
          <w:bCs/>
          <w:sz w:val="24"/>
          <w:szCs w:val="24"/>
        </w:rPr>
        <w:t xml:space="preserve">2450 · Una persona, una condotta, una sentenza (serie XXXII).</w:t>
      </w:r>
      <w:r>
        <w:rPr>
          <w:rFonts w:ascii="Barlow Semi Condensed" w:cs="Barlow Semi Condensed" w:eastAsia="Barlow Semi Condensed" w:hAnsi="Barlow Semi Condensed"/>
          <w:sz w:val="24"/>
          <w:szCs w:val="24"/>
        </w:rPr>
        <w:t xml:space="preserve"> La formula di chiusura della Fase decima si rovescia e conserva il suo senso. Tredici persone hanno ciascuna una condotta e una sentenza; il nodo di questa triangolazione non ha né l'una né l'altra, in nessun ordinamento. Le due proposizioni sono simmetriche e discendono dallo stesso principio: la responsabilità è personale e nasce dalla condotta accertata. Chi volesse trattarle diversamente dovrebbe rinunciare al principio in entrambi i casi.</w:t>
      </w:r>
    </w:p>
    <w:p>
      <w:pPr>
        <w:spacing w:after="120" w:line="276"/>
        <w:jc w:val="both"/>
      </w:pPr>
      <w:r>
        <w:rPr>
          <w:rFonts w:ascii="Barlow Semi Condensed" w:cs="Barlow Semi Condensed" w:eastAsia="Barlow Semi Condensed" w:hAnsi="Barlow Semi Condensed"/>
          <w:b/>
          <w:bCs/>
          <w:sz w:val="24"/>
          <w:szCs w:val="24"/>
        </w:rPr>
        <w:t xml:space="preserve">2451 · La simmetria che protegge tutti (serie XXXII).</w:t>
      </w:r>
      <w:r>
        <w:rPr>
          <w:rFonts w:ascii="Barlow Semi Condensed" w:cs="Barlow Semi Condensed" w:eastAsia="Barlow Semi Condensed" w:hAnsi="Barlow Semi Condensed"/>
          <w:sz w:val="24"/>
          <w:szCs w:val="24"/>
        </w:rPr>
        <w:t xml:space="preserve"> Il capitolo ottantunesimo vieta di sommare le appartenenze in colpa, e nomina insieme i GAP, il Superclan, Hyperion, i Lupi Grigi e l'Opus Dei. La stessa clausola copre incarichi di governo, scuole dottrinali e consiglierati: nessun ente è colpevole delle condotte dei suoi membri, nessun membro dell'esistenza del suo ente. La simmetria non è equidistanza morale, è metodo - e vale per un ministero straniero come per un collettivo milanese.</w:t>
      </w:r>
    </w:p>
    <w:p>
      <w:pPr>
        <w:spacing w:after="120" w:line="276"/>
        <w:jc w:val="both"/>
      </w:pPr>
      <w:r>
        <w:rPr>
          <w:rFonts w:ascii="Barlow Semi Condensed" w:cs="Barlow Semi Condensed" w:eastAsia="Barlow Semi Condensed" w:hAnsi="Barlow Semi Condensed"/>
          <w:b/>
          <w:bCs/>
          <w:sz w:val="24"/>
          <w:szCs w:val="24"/>
        </w:rPr>
        <w:t xml:space="preserve">2452 · Stato Zero sulle condotte successive.</w:t>
      </w:r>
      <w:r>
        <w:rPr>
          <w:rFonts w:ascii="Barlow Semi Condensed" w:cs="Barlow Semi Condensed" w:eastAsia="Barlow Semi Condensed" w:hAnsi="Barlow Semi Condensed"/>
          <w:sz w:val="24"/>
          <w:szCs w:val="24"/>
        </w:rPr>
        <w:t xml:space="preserve"> Verbale di vuoto per il nodo T-8. Cercato: qualunque atto dei procedimenti sulle condotte successive dei condannati - Bachelet, Palma, Tartaglione e gli altri fascicoli - che nomini il nodo qui studiato. Trovato: nulla nelle fonti battute. Sede che chiuderebbe: gli indici dei nomi delle sentenze di quei procedimenti, presso l'archivio della Corte d'assise di Roma e l'Archivio di Stato competente. Un indice consultato vale più di una congettura elegante.</w:t>
      </w:r>
    </w:p>
    <w:p>
      <w:pPr>
        <w:spacing w:after="120" w:line="276"/>
        <w:jc w:val="both"/>
      </w:pPr>
      <w:r>
        <w:rPr>
          <w:rFonts w:ascii="Barlow Semi Condensed" w:cs="Barlow Semi Condensed" w:eastAsia="Barlow Semi Condensed" w:hAnsi="Barlow Semi Condensed"/>
          <w:b/>
          <w:bCs/>
          <w:sz w:val="24"/>
          <w:szCs w:val="24"/>
        </w:rPr>
        <w:t xml:space="preserve">2453 · Il consulente del 1978 (serie XXXII).</w:t>
      </w:r>
      <w:r>
        <w:rPr>
          <w:rFonts w:ascii="Barlow Semi Condensed" w:cs="Barlow Semi Condensed" w:eastAsia="Barlow Semi Condensed" w:hAnsi="Barlow Semi Condensed"/>
          <w:sz w:val="24"/>
          <w:szCs w:val="24"/>
        </w:rPr>
        <w:t xml:space="preserve"> Precisazione necessaria, perché la sostituzione è l'errore più frequente. La presenza statunitense documentata nei cinquantacinque giorni è quella di un consulente del Dipartimento di Stato affiancato al ministro dell'Interno nel comitato di crisi, e le sue dichiarazioni postume hanno grado C, fonte di parte, come la scheda PE-5 avverte. Non è la stessa persona, non è la stessa amministrazione, non è lo stesso decennio. Scambiarle è un falso positivo perfetto.</w:t>
      </w:r>
    </w:p>
    <w:p>
      <w:pPr>
        <w:spacing w:after="120" w:line="276"/>
        <w:jc w:val="both"/>
      </w:pPr>
      <w:r>
        <w:rPr>
          <w:rFonts w:ascii="Barlow Semi Condensed" w:cs="Barlow Semi Condensed" w:eastAsia="Barlow Semi Condensed" w:hAnsi="Barlow Semi Condensed"/>
          <w:b/>
          <w:bCs/>
          <w:sz w:val="24"/>
          <w:szCs w:val="24"/>
        </w:rPr>
        <w:t xml:space="preserve">2454 · I quattro a triangolazione vuota.</w:t>
      </w:r>
      <w:r>
        <w:rPr>
          <w:rFonts w:ascii="Barlow Semi Condensed" w:cs="Barlow Semi Condensed" w:eastAsia="Barlow Semi Condensed" w:hAnsi="Barlow Semi Condensed"/>
          <w:sz w:val="24"/>
          <w:szCs w:val="24"/>
        </w:rPr>
        <w:t xml:space="preserve"> Fiore, Balzerani, Maccari, Etro: per nessuno dei quattro il territorio ha trovato ponti documentati oltre la militanza già giudicata. Sono, nel lessico del corpus, posizioni a triangolazione vuota. Verso questo nome il vuoto è doppio, e la duplicazione va scritta: non solo non escono dal dominio brigatista, ma non incontrano neppure la cornice internazionale nella quale il nome vive. Quattro assenze su tredici, dichiarate due volte.</w:t>
      </w:r>
    </w:p>
    <w:p>
      <w:pPr>
        <w:spacing w:after="120" w:line="276"/>
        <w:jc w:val="both"/>
      </w:pPr>
      <w:r>
        <w:rPr>
          <w:rFonts w:ascii="Barlow Semi Condensed" w:cs="Barlow Semi Condensed" w:eastAsia="Barlow Semi Condensed" w:hAnsi="Barlow Semi Condensed"/>
          <w:b/>
          <w:bCs/>
          <w:sz w:val="24"/>
          <w:szCs w:val="24"/>
        </w:rPr>
        <w:t xml:space="preserve">2455 · Algranati, pietra di paragone doppia.</w:t>
      </w:r>
      <w:r>
        <w:rPr>
          <w:rFonts w:ascii="Barlow Semi Condensed" w:cs="Barlow Semi Condensed" w:eastAsia="Barlow Semi Condensed" w:hAnsi="Barlow Semi Condensed"/>
          <w:sz w:val="24"/>
          <w:szCs w:val="24"/>
        </w:rPr>
        <w:t xml:space="preserve"> Rita Algranati fu assolta per via Fani nel Moro ter, primo grado ottobre 1988, e l'assoluzione è definitiva; fu poi condannata per altri fatti e catturata al Cairo il 14 gennaio 2004. Il blocco 845 dei nove cantieri la custodisce come regola. La sua funzione qui è una seconda: se un'assoluzione tiene contro la comodità del racconto, tiene anche l'assenza di imputazione. La pietra di paragone misura in entrambe le direzioni.</w:t>
      </w:r>
    </w:p>
    <w:p>
      <w:pPr>
        <w:spacing w:after="120" w:line="276"/>
        <w:jc w:val="both"/>
      </w:pPr>
      <w:r>
        <w:rPr>
          <w:rFonts w:ascii="Barlow Semi Condensed" w:cs="Barlow Semi Condensed" w:eastAsia="Barlow Semi Condensed" w:hAnsi="Barlow Semi Condensed"/>
          <w:b/>
          <w:bCs/>
          <w:sz w:val="24"/>
          <w:szCs w:val="24"/>
        </w:rPr>
        <w:t xml:space="preserve">2456 · Il fronte latinoamericano, fuori rotta.</w:t>
      </w:r>
      <w:r>
        <w:rPr>
          <w:rFonts w:ascii="Barlow Semi Condensed" w:cs="Barlow Semi Condensed" w:eastAsia="Barlow Semi Condensed" w:hAnsi="Barlow Semi Condensed"/>
          <w:sz w:val="24"/>
          <w:szCs w:val="24"/>
        </w:rPr>
        <w:t xml:space="preserve"> Fuori dalla rotta di Casimirri non esiste, dichiara il territorio, alcun ponte biografico fra i tredici e il fronte guevariano, e il legame fra i due fronti resta ideologico e di immagine. Il blocco 708 dell'opera aveva già previsto la bassa co-occorrenza documentale fra il fronte del 1967 e questo nodo, spiegandola con la specializzazione dei fondi. Le due acquisizioni convergono e si confermano a vicenda.</w:t>
      </w:r>
    </w:p>
    <w:p>
      <w:pPr>
        <w:spacing w:after="120" w:line="276"/>
        <w:jc w:val="both"/>
      </w:pPr>
      <w:r>
        <w:rPr>
          <w:rFonts w:ascii="Barlow Semi Condensed" w:cs="Barlow Semi Condensed" w:eastAsia="Barlow Semi Condensed" w:hAnsi="Barlow Semi Condensed"/>
          <w:b/>
          <w:bCs/>
          <w:sz w:val="24"/>
          <w:szCs w:val="24"/>
        </w:rPr>
        <w:t xml:space="preserve">2457 · L'attentato del 1981, perimetro chiuso.</w:t>
      </w:r>
      <w:r>
        <w:rPr>
          <w:rFonts w:ascii="Barlow Semi Condensed" w:cs="Barlow Semi Condensed" w:eastAsia="Barlow Semi Condensed" w:hAnsi="Barlow Semi Condensed"/>
          <w:sz w:val="24"/>
          <w:szCs w:val="24"/>
        </w:rPr>
        <w:t xml:space="preserve"> Ogni collegamento fra i tredici e la vicenda del maggio 1981 in piazza San Pietro è escluso per completezza, a chiusura di ogni suggestione. Questa serie estende la dichiarazione: alla data dell'attentato il nodo qui studiato era fuori da ogni carica da oltre quattro anni. Due perimetri negativi che si sovrappongono non si sommano in indizio: restano due assenze, e vanno lette separatamente da chi le cita.</w:t>
      </w:r>
    </w:p>
    <w:p>
      <w:pPr>
        <w:spacing w:after="120" w:line="276"/>
        <w:jc w:val="both"/>
      </w:pPr>
      <w:r>
        <w:rPr>
          <w:rFonts w:ascii="Barlow Semi Condensed" w:cs="Barlow Semi Condensed" w:eastAsia="Barlow Semi Condensed" w:hAnsi="Barlow Semi Condensed"/>
          <w:b/>
          <w:bCs/>
          <w:sz w:val="24"/>
          <w:szCs w:val="24"/>
        </w:rPr>
        <w:t xml:space="preserve">2458 · Prima anti-triangolazione, verificata.</w:t>
      </w:r>
      <w:r>
        <w:rPr>
          <w:rFonts w:ascii="Barlow Semi Condensed" w:cs="Barlow Semi Condensed" w:eastAsia="Barlow Semi Condensed" w:hAnsi="Barlow Semi Condensed"/>
          <w:sz w:val="24"/>
          <w:szCs w:val="24"/>
        </w:rPr>
        <w:t xml:space="preserve"> La parentela non è canale. Applicata: il padre alla sala stampa vaticana non collega il figlio alla Santa Sede, e la Santa Sede non è collegata da nessuna carta reperibile alla diplomazia atlantica di questo nome in materia di terrorismo italiano. La catena a tre anelli si spezza al primo e non arriva al secondo. Verificato sul territorio e sulle fonti battute; esito negativo di pieno valore, senza scoperta e senza sorpresa.</w:t>
      </w:r>
    </w:p>
    <w:p>
      <w:pPr>
        <w:spacing w:after="120" w:line="276"/>
        <w:jc w:val="both"/>
      </w:pPr>
      <w:r>
        <w:rPr>
          <w:rFonts w:ascii="Barlow Semi Condensed" w:cs="Barlow Semi Condensed" w:eastAsia="Barlow Semi Condensed" w:hAnsi="Barlow Semi Condensed"/>
          <w:b/>
          <w:bCs/>
          <w:sz w:val="24"/>
          <w:szCs w:val="24"/>
        </w:rPr>
        <w:t xml:space="preserve">2459 · Seconda anti-triangolazione, verificata.</w:t>
      </w:r>
      <w:r>
        <w:rPr>
          <w:rFonts w:ascii="Barlow Semi Condensed" w:cs="Barlow Semi Condensed" w:eastAsia="Barlow Semi Condensed" w:hAnsi="Barlow Semi Condensed"/>
          <w:sz w:val="24"/>
          <w:szCs w:val="24"/>
        </w:rPr>
        <w:t xml:space="preserve"> L'origine comune non è regia. Applicata: il Collettivo Politico Metropolitano e l'appartamento reggiano spiegano formazioni e reti, non comandi, e i proscioglimenti di Hyperion restano proscioglimenti. Ne segue una conseguenza specifica per questa serie: se un ceppo condiviso non istituisce comando fra chi lo condivise, nessuna cornice geopolitica - più larga e più tenue di un ceppo - può istituirlo fra un governo straniero e chi in quel ceppo si formò.</w:t>
      </w:r>
    </w:p>
    <w:p>
      <w:pPr>
        <w:spacing w:after="120" w:line="276"/>
        <w:jc w:val="both"/>
      </w:pPr>
      <w:r>
        <w:rPr>
          <w:rFonts w:ascii="Barlow Semi Condensed" w:cs="Barlow Semi Condensed" w:eastAsia="Barlow Semi Condensed" w:hAnsi="Barlow Semi Condensed"/>
          <w:b/>
          <w:bCs/>
          <w:sz w:val="24"/>
          <w:szCs w:val="24"/>
        </w:rPr>
        <w:t xml:space="preserve">2460 · Terza anti-triangolazione, verificata.</w:t>
      </w:r>
      <w:r>
        <w:rPr>
          <w:rFonts w:ascii="Barlow Semi Condensed" w:cs="Barlow Semi Condensed" w:eastAsia="Barlow Semi Condensed" w:hAnsi="Barlow Semi Condensed"/>
          <w:sz w:val="24"/>
          <w:szCs w:val="24"/>
        </w:rPr>
        <w:t xml:space="preserve"> La rotta non è filiazione. Applicata: Cuba e Managua sono geografia della latitanza, e la geografia non trasporta genealogie. Vale anche a parti invertite: che un nome sia documentato nel dossier centroamericano degli anni Ottanta non lo colloca sulla rotta di un latitante italiano, così come la rotta del latitante non lo colloca in quel dossier. Due presenze in un Paese sono due presenze, non un incontro.</w:t>
      </w:r>
    </w:p>
    <w:p>
      <w:pPr>
        <w:spacing w:after="120" w:line="276"/>
        <w:jc w:val="both"/>
      </w:pPr>
      <w:r>
        <w:rPr>
          <w:rFonts w:ascii="Barlow Semi Condensed" w:cs="Barlow Semi Condensed" w:eastAsia="Barlow Semi Condensed" w:hAnsi="Barlow Semi Condensed"/>
          <w:b/>
          <w:bCs/>
          <w:sz w:val="24"/>
          <w:szCs w:val="24"/>
        </w:rPr>
        <w:t xml:space="preserve">2461 · Quarta anti-triangolazione, verificata.</w:t>
      </w:r>
      <w:r>
        <w:rPr>
          <w:rFonts w:ascii="Barlow Semi Condensed" w:cs="Barlow Semi Condensed" w:eastAsia="Barlow Semi Condensed" w:hAnsi="Barlow Semi Condensed"/>
          <w:sz w:val="24"/>
          <w:szCs w:val="24"/>
        </w:rPr>
        <w:t xml:space="preserve"> Il canale non è complicità. Applicata: l'intermediazione del 1978 è censita come tale e nulla si attribuisce a chi non è nel registro; per chiunque non vi figuri vale la presunzione d'innocenza piena e nominale. La clausola copre gli intermediari italiani e copre, con la stessa forza e senza sconti di segno opposto, il nome straniero di questa triangolazione. Una regola che valesse a senso unico non sarebbe una regola.</w:t>
      </w:r>
    </w:p>
    <w:p>
      <w:pPr>
        <w:spacing w:after="120" w:line="276"/>
        <w:jc w:val="both"/>
      </w:pPr>
      <w:r>
        <w:rPr>
          <w:rFonts w:ascii="Barlow Semi Condensed" w:cs="Barlow Semi Condensed" w:eastAsia="Barlow Semi Condensed" w:hAnsi="Barlow Semi Condensed"/>
          <w:b/>
          <w:bCs/>
          <w:sz w:val="24"/>
          <w:szCs w:val="24"/>
        </w:rPr>
        <w:t xml:space="preserve">2462 · Quinta anti-triangolazione, verificata.</w:t>
      </w:r>
      <w:r>
        <w:rPr>
          <w:rFonts w:ascii="Barlow Semi Condensed" w:cs="Barlow Semi Condensed" w:eastAsia="Barlow Semi Condensed" w:hAnsi="Barlow Semi Condensed"/>
          <w:sz w:val="24"/>
          <w:szCs w:val="24"/>
        </w:rPr>
        <w:t xml:space="preserve"> Il registro resta chiuso. Applicata: nessun ponte di questa serie aggiunge nomi, sposta gradi o insinua responsabilità. I tredici restano tredici, gli assolti assolti, i prosciolti prosciolti, e chi non fu mai imputato resta chi non fu mai imputato. È la clausola che rende inutile discutere se la serie abbia trovato poco: non doveva trovare, doveva misurare, e la misura è il suo prodotto.</w:t>
      </w:r>
    </w:p>
    <w:p>
      <w:pPr>
        <w:spacing w:after="120" w:line="276"/>
        <w:jc w:val="both"/>
      </w:pPr>
      <w:r>
        <w:rPr>
          <w:rFonts w:ascii="Barlow Semi Condensed" w:cs="Barlow Semi Condensed" w:eastAsia="Barlow Semi Condensed" w:hAnsi="Barlow Semi Condensed"/>
          <w:b/>
          <w:bCs/>
          <w:sz w:val="24"/>
          <w:szCs w:val="24"/>
        </w:rPr>
        <w:t xml:space="preserve">2463 · La colonna vuota della matrice.</w:t>
      </w:r>
      <w:r>
        <w:rPr>
          <w:rFonts w:ascii="Barlow Semi Condensed" w:cs="Barlow Semi Condensed" w:eastAsia="Barlow Semi Condensed" w:hAnsi="Barlow Semi Condensed"/>
          <w:sz w:val="24"/>
          <w:szCs w:val="24"/>
        </w:rPr>
        <w:t xml:space="preserve"> Operazione conclusiva sul territorio. Alla matrice sintetica - dieci righe fra persone e gruppi, con ponte, dominio e grado - si aggiunge una colonna intestata a questo nome. Dopo la ricognizione qui condotta, la colonna risulta vuota in tutte le righe: nessun piano 1, in nessun dominio, per nessuna delle tredici posizioni. Una colonna vuota disegnata accanto a una piena è il modo più economico di mostrare una differenza di regime probatorio.</w:t>
      </w:r>
    </w:p>
    <w:p>
      <w:pPr>
        <w:spacing w:after="120" w:line="276"/>
        <w:jc w:val="both"/>
      </w:pPr>
      <w:r>
        <w:rPr>
          <w:rFonts w:ascii="Barlow Semi Condensed" w:cs="Barlow Semi Condensed" w:eastAsia="Barlow Semi Condensed" w:hAnsi="Barlow Semi Condensed"/>
          <w:b/>
          <w:bCs/>
          <w:sz w:val="24"/>
          <w:szCs w:val="24"/>
        </w:rPr>
        <w:t xml:space="preserve">2464 · Il censimento della parola pubblica.</w:t>
      </w:r>
      <w:r>
        <w:rPr>
          <w:rFonts w:ascii="Barlow Semi Condensed" w:cs="Barlow Semi Condensed" w:eastAsia="Barlow Semi Condensed" w:hAnsi="Barlow Semi Condensed"/>
          <w:sz w:val="24"/>
          <w:szCs w:val="24"/>
        </w:rPr>
        <w:t xml:space="preserve"> Strumento proposto, con i suoi indirizzi. I blocchi 807, 810, 813, 816, 819, 822, 825, 828, 831, 834, 837, 840 e 843 dei nove cantieri censiscono la parola pubblica di ciascuno dei tredici; il blocco 851 la mette in tavola comparata. Si chiede di aggiungervi una colonna alla stringa qui studiata: chi la pronunciò, quando, dove, in quale registro. Il risultato, quale che sia, è un dato sulla memoria dei condannati.</w:t>
      </w:r>
    </w:p>
    <w:p>
      <w:pPr>
        <w:spacing w:after="120" w:line="276"/>
        <w:jc w:val="both"/>
      </w:pPr>
      <w:r>
        <w:rPr>
          <w:rFonts w:ascii="Barlow Semi Condensed" w:cs="Barlow Semi Condensed" w:eastAsia="Barlow Semi Condensed" w:hAnsi="Barlow Semi Condensed"/>
          <w:b/>
          <w:bCs/>
          <w:sz w:val="24"/>
          <w:szCs w:val="24"/>
        </w:rPr>
        <w:t xml:space="preserve">2465 · Le sedi che chiuderebbero l'insieme.</w:t>
      </w:r>
      <w:r>
        <w:rPr>
          <w:rFonts w:ascii="Barlow Semi Condensed" w:cs="Barlow Semi Condensed" w:eastAsia="Barlow Semi Condensed" w:hAnsi="Barlow Semi Condensed"/>
          <w:sz w:val="24"/>
          <w:szCs w:val="24"/>
        </w:rPr>
        <w:t xml:space="preserve"> Elenco delle porte, perché uno Stato Zero senza indirizzo è una lamentela. Per il versante americano: Ford Library per i memorandum di conversazione, Carter Library per il 1978, National Archives di College Park per RG 59 e per l'AAD con le schede di ritiro. Per il versante italiano: Archivio centrale dello Stato, Archivio storico della Camera per il fondo della Commissione Moro 2, Archivio storico del Senato per la Commissione stragi.</w:t>
      </w:r>
    </w:p>
    <w:p>
      <w:pPr>
        <w:spacing w:after="120" w:line="276"/>
        <w:jc w:val="both"/>
      </w:pPr>
      <w:r>
        <w:rPr>
          <w:rFonts w:ascii="Barlow Semi Condensed" w:cs="Barlow Semi Condensed" w:eastAsia="Barlow Semi Condensed" w:hAnsi="Barlow Semi Condensed"/>
          <w:b/>
          <w:bCs/>
          <w:sz w:val="24"/>
          <w:szCs w:val="24"/>
        </w:rPr>
        <w:t xml:space="preserve">2466 · Il fondo personale e la sua clausola.</w:t>
      </w:r>
      <w:r>
        <w:rPr>
          <w:rFonts w:ascii="Barlow Semi Condensed" w:cs="Barlow Semi Condensed" w:eastAsia="Barlow Semi Condensed" w:hAnsi="Barlow Semi Condensed"/>
          <w:sz w:val="24"/>
          <w:szCs w:val="24"/>
        </w:rPr>
        <w:t xml:space="preserve"> Le carte personali del nodo qui studiato sono depositate in due sedi statunitensi, con clausole di consultabilità legate alla morte del depositante, avvenuta il 29 novembre 2023. La verifica del regime esatto - quali serie, quali termini, quale procedura di richiesta - è essa stessa un bersaglio d'archivio di questa serie, e va eseguita prima di dichiarare definitivo qualunque esito negativo. Una clausola che scade cambia lo stato di una lacuna.</w:t>
      </w:r>
    </w:p>
    <w:p>
      <w:pPr>
        <w:spacing w:after="120" w:line="276"/>
        <w:jc w:val="both"/>
      </w:pPr>
      <w:r>
        <w:rPr>
          <w:rFonts w:ascii="Barlow Semi Condensed" w:cs="Barlow Semi Condensed" w:eastAsia="Barlow Semi Condensed" w:hAnsi="Barlow Semi Condensed"/>
          <w:b/>
          <w:bCs/>
          <w:sz w:val="24"/>
          <w:szCs w:val="24"/>
        </w:rPr>
        <w:t xml:space="preserve">2467 · L'ubiquità documentale come trappola.</w:t>
      </w:r>
      <w:r>
        <w:rPr>
          <w:rFonts w:ascii="Barlow Semi Condensed" w:cs="Barlow Semi Condensed" w:eastAsia="Barlow Semi Condensed" w:hAnsi="Barlow Semi Condensed"/>
          <w:sz w:val="24"/>
          <w:szCs w:val="24"/>
        </w:rPr>
        <w:t xml:space="preserve"> Avvertenza già scritta al blocco 36 dell'opera e qui necessaria più che altrove. Un nome presente per ufficio in ogni dossier di otto anni produce sempre un riscontro per qualunque ipotesi lo interroghi. Su un territorio fatto di tredici biografie italiane, la ricchezza dell'archivio americano è un rischio e non una risorsa: aumenta la probabilità di trovare qualcosa che somigli a ciò che si cerca. Il quesito si formula prima di aprire il fondo.</w:t>
      </w:r>
    </w:p>
    <w:p>
      <w:pPr>
        <w:spacing w:after="120" w:line="276"/>
        <w:jc w:val="both"/>
      </w:pPr>
      <w:r>
        <w:rPr>
          <w:rFonts w:ascii="Barlow Semi Condensed" w:cs="Barlow Semi Condensed" w:eastAsia="Barlow Semi Condensed" w:hAnsi="Barlow Semi Condensed"/>
          <w:b/>
          <w:bCs/>
          <w:sz w:val="24"/>
          <w:szCs w:val="24"/>
        </w:rPr>
        <w:t xml:space="preserve">2468 · Il filo del 1926.</w:t>
      </w:r>
      <w:r>
        <w:rPr>
          <w:rFonts w:ascii="Barlow Semi Condensed" w:cs="Barlow Semi Condensed" w:eastAsia="Barlow Semi Condensed" w:hAnsi="Barlow Semi Condensed"/>
          <w:sz w:val="24"/>
          <w:szCs w:val="24"/>
        </w:rPr>
        <w:t xml:space="preserve"> Sul confronto fra due modi di giudicare i nemici il territorio chiude: il Tribunale speciale del 1926, un grado solo e sentenze inappellabili, contro le corti ordinarie che giudicarono i tredici. Verso questo nome la prosopografia è impossibile, le epoche non si toccano. Resta un'assonanza dottrinale - l'opera del 1957 sulla restaurazione dell'ordine europeo e sul trattamento della rivoluzione - che è analogia di lettura al piano 3, e non attraversa nulla.</w:t>
      </w:r>
    </w:p>
    <w:p>
      <w:pPr>
        <w:spacing w:after="120" w:line="276"/>
        <w:jc w:val="both"/>
      </w:pPr>
      <w:r>
        <w:rPr>
          <w:rFonts w:ascii="Barlow Semi Condensed" w:cs="Barlow Semi Condensed" w:eastAsia="Barlow Semi Condensed" w:hAnsi="Barlow Semi Condensed"/>
          <w:b/>
          <w:bCs/>
          <w:sz w:val="24"/>
          <w:szCs w:val="24"/>
        </w:rPr>
        <w:t xml:space="preserve">2469 · Registro di esecuzione della serie.</w:t>
      </w:r>
      <w:r>
        <w:rPr>
          <w:rFonts w:ascii="Barlow Semi Condensed" w:cs="Barlow Semi Condensed" w:eastAsia="Barlow Semi Condensed" w:hAnsi="Barlow Semi Condensed"/>
          <w:sz w:val="24"/>
          <w:szCs w:val="24"/>
        </w:rPr>
        <w:t xml:space="preserve"> Contabilità dichiarata. Documenti del corpus aperti: il territorio assegnato, la Fase decima, l'apparato dei gradi, la triangolazione Hyperion, lo studio sulle pene oltre confine, la parte ottava dei nove cantieri, la scheda PE-5, il programma investigativo. Ponti di piano 1 trovati verso i tredici: zero. Convergenze di piano 2 registrate e non promosse: quattro. Bersagli di smentita formulati: sette. Sedi d'archivio nominate: oltre venti. Divergenze interne al corpus riportate: una.</w:t>
      </w:r>
    </w:p>
    <w:p>
      <w:pPr>
        <w:spacing w:after="120" w:line="276"/>
        <w:jc w:val="both"/>
      </w:pPr>
      <w:r>
        <w:rPr>
          <w:rFonts w:ascii="Barlow Semi Condensed" w:cs="Barlow Semi Condensed" w:eastAsia="Barlow Semi Condensed" w:hAnsi="Barlow Semi Condensed"/>
          <w:b/>
          <w:bCs/>
          <w:sz w:val="24"/>
          <w:szCs w:val="24"/>
        </w:rPr>
        <w:t xml:space="preserve">2470 · Che cosa vale un'assenza scritta bene.</w:t>
      </w:r>
      <w:r>
        <w:rPr>
          <w:rFonts w:ascii="Barlow Semi Condensed" w:cs="Barlow Semi Condensed" w:eastAsia="Barlow Semi Condensed" w:hAnsi="Barlow Semi Condensed"/>
          <w:sz w:val="24"/>
          <w:szCs w:val="24"/>
        </w:rPr>
        <w:t xml:space="preserve"> Congedo della serie, senza attenuazioni. Su questo territorio il corpus non contiene quasi nulla di questo nome, e la ricognizione lo conferma per ciascuno dei tredici. Non è un risultato povero: è il risultato, e la sua forma - vuoti con indirizzo, convergenze con etichetta, bersagli con criterio - è ciò che distingue una ricerca da una suggestione. Un blocco che dichiara bene un'assenza vale più di un blocco che insinua una presenza.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trentatreesima — L’apparato dei gradi</w:t>
      </w:r>
    </w:p>
    <w:p>
      <w:pPr>
        <w:spacing w:after="120" w:line="276"/>
        <w:jc w:val="both"/>
      </w:pPr>
      <w:r>
        <w:rPr>
          <w:rFonts w:ascii="Barlow Semi Condensed" w:cs="Barlow Semi Condensed" w:eastAsia="Barlow Semi Condensed" w:hAnsi="Barlow Semi Condensed"/>
          <w:i/>
          <w:iCs/>
          <w:sz w:val="24"/>
          <w:szCs w:val="24"/>
        </w:rPr>
        <w:t xml:space="preserve">Blocchi 2471-2540.</w:t>
      </w:r>
    </w:p>
    <w:p>
      <w:pPr>
        <w:spacing w:after="120" w:line="276"/>
        <w:jc w:val="both"/>
      </w:pPr>
      <w:r>
        <w:rPr>
          <w:rFonts w:ascii="Barlow Semi Condensed" w:cs="Barlow Semi Condensed" w:eastAsia="Barlow Semi Condensed" w:hAnsi="Barlow Semi Condensed"/>
          <w:b/>
          <w:bCs/>
          <w:sz w:val="24"/>
          <w:szCs w:val="24"/>
        </w:rPr>
        <w:t xml:space="preserve">2471 · La stringa assente nei due documenti.</w:t>
      </w:r>
      <w:r>
        <w:rPr>
          <w:rFonts w:ascii="Barlow Semi Condensed" w:cs="Barlow Semi Condensed" w:eastAsia="Barlow Semi Condensed" w:hAnsi="Barlow Semi Condensed"/>
          <w:sz w:val="24"/>
          <w:szCs w:val="24"/>
        </w:rPr>
        <w:t xml:space="preserve"> Verifica meccanica eseguita sui due file del territorio: «Kissinger» non compare né in aldo-moro-una-guerra-senza-fine-apparato-dei-gradi.md né in relazione-stato-lavori-stile-moro.md. Zero occorrenze in entrambi, e l'accertamento è di grado A perché ripetibile da chiunque con un solo comando. È lo Stato Zero costitutivo della serie: il territorio assegnato tace su questo nome, e il tacere va registrato prima di ogni interpretazione che se ne voglia trarre.</w:t>
      </w:r>
    </w:p>
    <w:p>
      <w:pPr>
        <w:spacing w:after="120" w:line="276"/>
        <w:jc w:val="both"/>
      </w:pPr>
      <w:r>
        <w:rPr>
          <w:rFonts w:ascii="Barlow Semi Condensed" w:cs="Barlow Semi Condensed" w:eastAsia="Barlow Semi Condensed" w:hAnsi="Barlow Semi Condensed"/>
          <w:b/>
          <w:bCs/>
          <w:sz w:val="24"/>
          <w:szCs w:val="24"/>
        </w:rPr>
        <w:t xml:space="preserve">2472 · L'inventario onomastico dell'apparato.</w:t>
      </w:r>
      <w:r>
        <w:rPr>
          <w:rFonts w:ascii="Barlow Semi Condensed" w:cs="Barlow Semi Condensed" w:eastAsia="Barlow Semi Condensed" w:hAnsi="Barlow Semi Condensed"/>
          <w:sz w:val="24"/>
          <w:szCs w:val="24"/>
        </w:rPr>
        <w:t xml:space="preserve"> L'estrazione dei nomi propri di persona dall'apparato dei gradi restituisce un elenco brevissimo: Aldo Moro, i cinque della scorta — Leonardi, Ricci, Rivera, Zizzi, Iozzino — e Popper come eponimo di metodo. Nessun altro. Non un politico italiano vivente, non un capo di apparato, non un uomo di governo straniero. L'apparato registra gradi e criteri di smentita, non protagonisti: il vuoto onomastico è scelta redazionale dichiarata, non lacuna.</w:t>
      </w:r>
    </w:p>
    <w:p>
      <w:pPr>
        <w:spacing w:after="120" w:line="276"/>
        <w:jc w:val="both"/>
      </w:pPr>
      <w:r>
        <w:rPr>
          <w:rFonts w:ascii="Barlow Semi Condensed" w:cs="Barlow Semi Condensed" w:eastAsia="Barlow Semi Condensed" w:hAnsi="Barlow Semi Condensed"/>
          <w:b/>
          <w:bCs/>
          <w:sz w:val="24"/>
          <w:szCs w:val="24"/>
        </w:rPr>
        <w:t xml:space="preserve">2473 · I nomi propri della relazione.</w:t>
      </w:r>
      <w:r>
        <w:rPr>
          <w:rFonts w:ascii="Barlow Semi Condensed" w:cs="Barlow Semi Condensed" w:eastAsia="Barlow Semi Condensed" w:hAnsi="Barlow Semi Condensed"/>
          <w:sz w:val="24"/>
          <w:szCs w:val="24"/>
        </w:rPr>
        <w:t xml:space="preserve"> Nella relazione in stile Moro i soli nomi di persona sono Aldo Moro nell'avvertenza, Ernesto Guevara, Fidel Castro, Malcolm X e i due Orfila della confusione emendata. Nessun nome statunitense di governo, nessun riferimento al Dipartimento di Stato, nessuna sede d'archivio americana. Il documento riferisce di lavori sul Tribunale Speciale e sul corpus guevariano: il versante atlantico non vi entra affatto, e questo è dato di perimetro.</w:t>
      </w:r>
    </w:p>
    <w:p>
      <w:pPr>
        <w:spacing w:after="120" w:line="276"/>
        <w:jc w:val="both"/>
      </w:pPr>
      <w:r>
        <w:rPr>
          <w:rFonts w:ascii="Barlow Semi Condensed" w:cs="Barlow Semi Condensed" w:eastAsia="Barlow Semi Condensed" w:hAnsi="Barlow Semi Condensed"/>
          <w:b/>
          <w:bCs/>
          <w:sz w:val="24"/>
          <w:szCs w:val="24"/>
        </w:rPr>
        <w:t xml:space="preserve">2474 · L'asimmetria con la Fase sesta.</w:t>
      </w:r>
      <w:r>
        <w:rPr>
          <w:rFonts w:ascii="Barlow Semi Condensed" w:cs="Barlow Semi Condensed" w:eastAsia="Barlow Semi Condensed" w:hAnsi="Barlow Semi Condensed"/>
          <w:sz w:val="24"/>
          <w:szCs w:val="24"/>
        </w:rPr>
        <w:t xml:space="preserve"> L'apparato si dichiara in testata complemento al capitolo cinquantaquattresimo della Fase sesta. Quel capitolo, nella voce Stato Zero, nomina espressamente «il documento che leghi Kissinger-persona, o qualunque apparato straniero nominato, alla catena di comando del delitto». L'apparato che lo indicizza non riporta quel nome in alcuna riga. Accertamento di grado A, verificabile confrontando i due file: il nome sta nella narrazione del garante e non nel suo indice.</w:t>
      </w:r>
    </w:p>
    <w:p>
      <w:pPr>
        <w:spacing w:after="120" w:line="276"/>
        <w:jc w:val="both"/>
      </w:pPr>
      <w:r>
        <w:rPr>
          <w:rFonts w:ascii="Barlow Semi Condensed" w:cs="Barlow Semi Condensed" w:eastAsia="Barlow Semi Condensed" w:hAnsi="Barlow Semi Condensed"/>
          <w:b/>
          <w:bCs/>
          <w:sz w:val="24"/>
          <w:szCs w:val="24"/>
        </w:rPr>
        <w:t xml:space="preserve">2475 · Perché l'asimmetria è rilevante.</w:t>
      </w:r>
      <w:r>
        <w:rPr>
          <w:rFonts w:ascii="Barlow Semi Condensed" w:cs="Barlow Semi Condensed" w:eastAsia="Barlow Semi Condensed" w:hAnsi="Barlow Semi Condensed"/>
          <w:sz w:val="24"/>
          <w:szCs w:val="24"/>
        </w:rPr>
        <w:t xml:space="preserve"> Un indice analitico serve a far ritrovare ciò che il testo dice. Se la mappa dei gradi nomina un soggetto fra i propri esiti negativi e la tavola che la traduce lo omette, chi consulti soltanto la tavola non troverà mai quello Stato Zero. La conseguenza è pratica prima che teorica: un'assenza dichiarata ma non indicizzata torna, per il lettore, a comportarsi come un silenzio.</w:t>
      </w:r>
    </w:p>
    <w:p>
      <w:pPr>
        <w:spacing w:after="120" w:line="276"/>
        <w:jc w:val="both"/>
      </w:pPr>
      <w:r>
        <w:rPr>
          <w:rFonts w:ascii="Barlow Semi Condensed" w:cs="Barlow Semi Condensed" w:eastAsia="Barlow Semi Condensed" w:hAnsi="Barlow Semi Condensed"/>
          <w:b/>
          <w:bCs/>
          <w:sz w:val="24"/>
          <w:szCs w:val="24"/>
        </w:rPr>
        <w:t xml:space="preserve">2476 · Che cosa smentirebbe questo accertamento.</w:t>
      </w:r>
      <w:r>
        <w:rPr>
          <w:rFonts w:ascii="Barlow Semi Condensed" w:cs="Barlow Semi Condensed" w:eastAsia="Barlow Semi Condensed" w:hAnsi="Barlow Semi Condensed"/>
          <w:sz w:val="24"/>
          <w:szCs w:val="24"/>
        </w:rPr>
        <w:t xml:space="preserve"> Bersaglio di smentita, dichiarato subito perché la serie non si immunizzi: la comparsa di una redazione dell'apparato dei gradi — anteriore al 24 agosto 2026 o successiva — che rechi il nome in una riga, oppure di una nota di revisione che ne spieghi l'espunzione. Sede: la cronologia del branch e i suoi commit. Finché non emerge, l'omissione resta accertata e non spiegata.</w:t>
      </w:r>
    </w:p>
    <w:p>
      <w:pPr>
        <w:spacing w:after="120" w:line="276"/>
        <w:jc w:val="both"/>
      </w:pPr>
      <w:r>
        <w:rPr>
          <w:rFonts w:ascii="Barlow Semi Condensed" w:cs="Barlow Semi Condensed" w:eastAsia="Barlow Semi Condensed" w:hAnsi="Barlow Semi Condensed"/>
          <w:b/>
          <w:bCs/>
          <w:sz w:val="24"/>
          <w:szCs w:val="24"/>
        </w:rPr>
        <w:t xml:space="preserve">2477 · La riga quindicesima e il suo silenzio.</w:t>
      </w:r>
      <w:r>
        <w:rPr>
          <w:rFonts w:ascii="Barlow Semi Condensed" w:cs="Barlow Semi Condensed" w:eastAsia="Barlow Semi Condensed" w:hAnsi="Barlow Semi Condensed"/>
          <w:sz w:val="24"/>
          <w:szCs w:val="24"/>
        </w:rPr>
        <w:t xml:space="preserve"> Il capitolo quindicesimo dell'apparato porta per asserzione «Gli avvertimenti attorno al tessitore», con grado A per l'esistenza di contrarietà e C per ogni mandato che ne discenda. È la riga in cui l'episodio del presunto avvertimento a Moro dovrebbe abitare. Vi abita senza nome: né il teste, né la sede giudiziaria, né la persona indicata. Il grado è dato all'insieme degli avvertimenti, non a questo.</w:t>
      </w:r>
    </w:p>
    <w:p>
      <w:pPr>
        <w:spacing w:after="120" w:line="276"/>
        <w:jc w:val="both"/>
      </w:pPr>
      <w:r>
        <w:rPr>
          <w:rFonts w:ascii="Barlow Semi Condensed" w:cs="Barlow Semi Condensed" w:eastAsia="Barlow Semi Condensed" w:hAnsi="Barlow Semi Condensed"/>
          <w:b/>
          <w:bCs/>
          <w:sz w:val="24"/>
          <w:szCs w:val="24"/>
        </w:rPr>
        <w:t xml:space="preserve">2478 · Il criterio di smentita della riga quindicesima.</w:t>
      </w:r>
      <w:r>
        <w:rPr>
          <w:rFonts w:ascii="Barlow Semi Condensed" w:cs="Barlow Semi Condensed" w:eastAsia="Barlow Semi Condensed" w:hAnsi="Barlow Semi Condensed"/>
          <w:sz w:val="24"/>
          <w:szCs w:val="24"/>
        </w:rPr>
        <w:t xml:space="preserve"> La colonna finale di quella riga chiede «un documento che leghi un avvertimento a una direttiva esecutiva». Applicata al nodo M-5 della triangolazione Guevara-Moro, la formula è esattamente il bersaglio che il fascicolo persegue: non la prova che una frase fu detta, ma la prova che da essa discese un ordine. Sono due accertamenti distinti, e il secondo non si ottiene rafforzando il primo.</w:t>
      </w:r>
    </w:p>
    <w:p>
      <w:pPr>
        <w:spacing w:after="120" w:line="276"/>
        <w:jc w:val="both"/>
      </w:pPr>
      <w:r>
        <w:rPr>
          <w:rFonts w:ascii="Barlow Semi Condensed" w:cs="Barlow Semi Condensed" w:eastAsia="Barlow Semi Condensed" w:hAnsi="Barlow Semi Condensed"/>
          <w:b/>
          <w:bCs/>
          <w:sz w:val="24"/>
          <w:szCs w:val="24"/>
        </w:rPr>
        <w:t xml:space="preserve">2479 · Contesto ostile e catena di comando.</w:t>
      </w:r>
      <w:r>
        <w:rPr>
          <w:rFonts w:ascii="Barlow Semi Condensed" w:cs="Barlow Semi Condensed" w:eastAsia="Barlow Semi Condensed" w:hAnsi="Barlow Semi Condensed"/>
          <w:sz w:val="24"/>
          <w:szCs w:val="24"/>
        </w:rPr>
        <w:t xml:space="preserve"> A grado di contesto la riga undicesima colloca l'esposizione internazionale di Moro nell'Italia col partito comunista più forte d'Occidente, indicando per smentita documenti che escludano l'ostilità, non trovati. Ne discende la regola già scritta nella Parte terza del corpus: la prossimità di un nemico non è il suo mandato. Un contesto accertato al secondo piano non promuove al primo alcun nome che vi si collochi dentro.</w:t>
      </w:r>
    </w:p>
    <w:p>
      <w:pPr>
        <w:spacing w:after="120" w:line="276"/>
        <w:jc w:val="both"/>
      </w:pPr>
      <w:r>
        <w:rPr>
          <w:rFonts w:ascii="Barlow Semi Condensed" w:cs="Barlow Semi Condensed" w:eastAsia="Barlow Semi Condensed" w:hAnsi="Barlow Semi Condensed"/>
          <w:b/>
          <w:bCs/>
          <w:sz w:val="24"/>
          <w:szCs w:val="24"/>
        </w:rPr>
        <w:t xml:space="preserve">2480 · L'eurocomunismo come cornice, non come arco.</w:t>
      </w:r>
      <w:r>
        <w:rPr>
          <w:rFonts w:ascii="Barlow Semi Condensed" w:cs="Barlow Semi Condensed" w:eastAsia="Barlow Semi Condensed" w:hAnsi="Barlow Semi Condensed"/>
          <w:sz w:val="24"/>
          <w:szCs w:val="24"/>
        </w:rPr>
        <w:t xml:space="preserve"> L'anomalia italiana e l'eurocomunismo occupano la dodicesima riga come contesto di grado A, con la colonna della smentita lasciata vuota. Una cornice priva di criterio falsificante non regge alcun ponte: dentro vi stanno l'ostilità americana documentata negli anni Settanta e la mediazione morotea, ma la convergenza fra le due è strutturale, cioè di secondo piano, e nessuna riga dell'apparato la eleva a nesso.</w:t>
      </w:r>
    </w:p>
    <w:p>
      <w:pPr>
        <w:spacing w:after="120" w:line="276"/>
        <w:jc w:val="both"/>
      </w:pPr>
      <w:r>
        <w:rPr>
          <w:rFonts w:ascii="Barlow Semi Condensed" w:cs="Barlow Semi Condensed" w:eastAsia="Barlow Semi Condensed" w:hAnsi="Barlow Semi Condensed"/>
          <w:b/>
          <w:bCs/>
          <w:sz w:val="24"/>
          <w:szCs w:val="24"/>
        </w:rPr>
        <w:t xml:space="preserve">2481 · I nemici del primo tempo.</w:t>
      </w:r>
      <w:r>
        <w:rPr>
          <w:rFonts w:ascii="Barlow Semi Condensed" w:cs="Barlow Semi Condensed" w:eastAsia="Barlow Semi Condensed" w:hAnsi="Barlow Semi Condensed"/>
          <w:sz w:val="24"/>
          <w:szCs w:val="24"/>
        </w:rPr>
        <w:t xml:space="preserve"> I nemici dell'apertura ai socialisti stanno alla tredicesima riga, senza criterio di smentita e senza nomi. Vale come precedente cronologico: l'ostilità all'inclusione precede di un decennio la stagione della solidarietà nazionale e non nasce a Washington. Chi legge il nodo internazionale come origine esclusiva ignora questa riga, che colloca il conflitto anzitutto dentro il sistema politico italiano e ne data l'inizio molto prima.</w:t>
      </w:r>
    </w:p>
    <w:p>
      <w:pPr>
        <w:spacing w:after="120" w:line="276"/>
        <w:jc w:val="both"/>
      </w:pPr>
      <w:r>
        <w:rPr>
          <w:rFonts w:ascii="Barlow Semi Condensed" w:cs="Barlow Semi Condensed" w:eastAsia="Barlow Semi Condensed" w:hAnsi="Barlow Semi Condensed"/>
          <w:b/>
          <w:bCs/>
          <w:sz w:val="24"/>
          <w:szCs w:val="24"/>
        </w:rPr>
        <w:t xml:space="preserve">2482 · La riga sedicesima e i canali riservati.</w:t>
      </w:r>
      <w:r>
        <w:rPr>
          <w:rFonts w:ascii="Barlow Semi Condensed" w:cs="Barlow Semi Condensed" w:eastAsia="Barlow Semi Condensed" w:hAnsi="Barlow Semi Condensed"/>
          <w:sz w:val="24"/>
          <w:szCs w:val="24"/>
        </w:rPr>
        <w:t xml:space="preserve"> Alla sedicesima riga la politica mediterranea di Moro è gradata A e le ipotesi che vi si radicano B o C, con rinvio per smentita agli atti riservati sui canali mediorientali. È l'unico punto dell'apparato che indichi una sede documentale estranea al perimetro giudiziario senza nominarla. Bersaglio: l'Archivio storico-diplomatico della Farnesina per gli anni del ministero, dove la riga troverebbe o perderebbe il proprio fondamento.</w:t>
      </w:r>
    </w:p>
    <w:p>
      <w:pPr>
        <w:spacing w:after="120" w:line="276"/>
        <w:jc w:val="both"/>
      </w:pPr>
      <w:r>
        <w:rPr>
          <w:rFonts w:ascii="Barlow Semi Condensed" w:cs="Barlow Semi Condensed" w:eastAsia="Barlow Semi Condensed" w:hAnsi="Barlow Semi Condensed"/>
          <w:b/>
          <w:bCs/>
          <w:sz w:val="24"/>
          <w:szCs w:val="24"/>
        </w:rPr>
        <w:t xml:space="preserve">2483 · L'autonomia brigatista e il suo prezzo.</w:t>
      </w:r>
      <w:r>
        <w:rPr>
          <w:rFonts w:ascii="Barlow Semi Condensed" w:cs="Barlow Semi Condensed" w:eastAsia="Barlow Semi Condensed" w:hAnsi="Barlow Semi Condensed"/>
          <w:sz w:val="24"/>
          <w:szCs w:val="24"/>
        </w:rPr>
        <w:t xml:space="preserve"> L'autonomia delle Brigate Rosse come organizzazione armata occupa la diciottesima riga al grado A, e chiede per smentita un documento coevo, esterno, autenticato, che provi l'eterodirezione: cercato, non trovato. È la riga che rende impossibile qualunque riga successiva su un mandante straniero. Chi volesse aprirne una dovrebbe prima abbattere questa, e per abbatterla servirebbe il documento che nessuno ha mai prodotto.</w:t>
      </w:r>
    </w:p>
    <w:p>
      <w:pPr>
        <w:spacing w:after="120" w:line="276"/>
        <w:jc w:val="both"/>
      </w:pPr>
      <w:r>
        <w:rPr>
          <w:rFonts w:ascii="Barlow Semi Condensed" w:cs="Barlow Semi Condensed" w:eastAsia="Barlow Semi Condensed" w:hAnsi="Barlow Semi Condensed"/>
          <w:b/>
          <w:bCs/>
          <w:sz w:val="24"/>
          <w:szCs w:val="24"/>
        </w:rPr>
        <w:t xml:space="preserve">2484 · Perché Moro, e per volontà di chi.</w:t>
      </w:r>
      <w:r>
        <w:rPr>
          <w:rFonts w:ascii="Barlow Semi Condensed" w:cs="Barlow Semi Condensed" w:eastAsia="Barlow Semi Condensed" w:hAnsi="Barlow Semi Condensed"/>
          <w:sz w:val="24"/>
          <w:szCs w:val="24"/>
        </w:rPr>
        <w:t xml:space="preserve"> Ventesima riga: la scelta del bersaglio nella logica rivendicata dalle Brigate Rosse è gradata A, e per smentita si chiede un documento che attribuisca quella scelta ad altra volontà. La formulazione è la più stringente dell'intero apparato applicata al nostro quesito, perché non chiede un'ipotesi alternativa ma un atto. Nessun atto simile è stato prodotto in quarantotto anni: Stato Zero di pieno valore.</w:t>
      </w:r>
    </w:p>
    <w:p>
      <w:pPr>
        <w:spacing w:after="120" w:line="276"/>
        <w:jc w:val="both"/>
      </w:pPr>
      <w:r>
        <w:rPr>
          <w:rFonts w:ascii="Barlow Semi Condensed" w:cs="Barlow Semi Condensed" w:eastAsia="Barlow Semi Condensed" w:hAnsi="Barlow Semi Condensed"/>
          <w:b/>
          <w:bCs/>
          <w:sz w:val="24"/>
          <w:szCs w:val="24"/>
        </w:rPr>
        <w:t xml:space="preserve">2485 · L'appartenenza scritta nella colonna.</w:t>
      </w:r>
      <w:r>
        <w:rPr>
          <w:rFonts w:ascii="Barlow Semi Condensed" w:cs="Barlow Semi Condensed" w:eastAsia="Barlow Semi Condensed" w:hAnsi="Barlow Semi Condensed"/>
          <w:sz w:val="24"/>
          <w:szCs w:val="24"/>
        </w:rPr>
        <w:t xml:space="preserve"> Le appartenenze occulte documentate fra i partecipanti ai comitati di crisi stanno alla trentaquattresima riga al grado A, con richiesta di prova che una decisione sia stata piegata da un'appartenenza. La regola che il fascicolo applica ai lignaggi dottrinali è dunque già scolpita nell'apparato per le logge: l'iscrizione è un fatto, la condotta è un altro, e il secondo non si deduce mai dal primo.</w:t>
      </w:r>
    </w:p>
    <w:p>
      <w:pPr>
        <w:spacing w:after="120" w:line="276"/>
        <w:jc w:val="both"/>
      </w:pPr>
      <w:r>
        <w:rPr>
          <w:rFonts w:ascii="Barlow Semi Condensed" w:cs="Barlow Semi Condensed" w:eastAsia="Barlow Semi Condensed" w:hAnsi="Barlow Semi Condensed"/>
          <w:b/>
          <w:bCs/>
          <w:sz w:val="24"/>
          <w:szCs w:val="24"/>
        </w:rPr>
        <w:t xml:space="preserve">2486 · Una sola riga per tutto il negativo.</w:t>
      </w:r>
      <w:r>
        <w:rPr>
          <w:rFonts w:ascii="Barlow Semi Condensed" w:cs="Barlow Semi Condensed" w:eastAsia="Barlow Semi Condensed" w:hAnsi="Barlow Semi Condensed"/>
          <w:sz w:val="24"/>
          <w:szCs w:val="24"/>
        </w:rPr>
        <w:t xml:space="preserve"> Su cinquanta righe l'apparato assegna il segno dello Stato Zero a una sola, la trentanovesima, mentre la Fase sesta ne elenca tre distinti: l'eterodirezione, il legame con un apparato straniero nominato, l'isomorfismo fra reti anticomuniste e struttura operativa. La compressione da tre a uno è misurabile e va detta: il perimetro negativo risulta, nella tavola, tre volte meno articolato che nel testo.</w:t>
      </w:r>
    </w:p>
    <w:p>
      <w:pPr>
        <w:spacing w:after="120" w:line="276"/>
        <w:jc w:val="both"/>
      </w:pPr>
      <w:r>
        <w:rPr>
          <w:rFonts w:ascii="Barlow Semi Condensed" w:cs="Barlow Semi Condensed" w:eastAsia="Barlow Semi Condensed" w:hAnsi="Barlow Semi Condensed"/>
          <w:b/>
          <w:bCs/>
          <w:sz w:val="24"/>
          <w:szCs w:val="24"/>
        </w:rPr>
        <w:t xml:space="preserve">2487 · L'architetto esterno resta possibile.</w:t>
      </w:r>
      <w:r>
        <w:rPr>
          <w:rFonts w:ascii="Barlow Semi Condensed" w:cs="Barlow Semi Condensed" w:eastAsia="Barlow Semi Condensed" w:hAnsi="Barlow Semi Condensed"/>
          <w:sz w:val="24"/>
          <w:szCs w:val="24"/>
        </w:rPr>
        <w:t xml:space="preserve"> Alla quarantaseiesima riga la capacità progettuale autonoma delle Brigate Rosse è gradata A e ogni architetto esterno C, col rinvio per smentita al documento di eterodirezione della trentanovesima. La struttura è circolare per costruzione e va letta come tale: il livello C di ogni regia straniera dipende interamente da uno Stato Zero. Se quello si chiudesse in positivo, tutte le righe della Fase quinta si riaprirebbero insieme.</w:t>
      </w:r>
    </w:p>
    <w:p>
      <w:pPr>
        <w:spacing w:after="120" w:line="276"/>
        <w:jc w:val="both"/>
      </w:pPr>
      <w:r>
        <w:rPr>
          <w:rFonts w:ascii="Barlow Semi Condensed" w:cs="Barlow Semi Condensed" w:eastAsia="Barlow Semi Condensed" w:hAnsi="Barlow Semi Condensed"/>
          <w:b/>
          <w:bCs/>
          <w:sz w:val="24"/>
          <w:szCs w:val="24"/>
        </w:rPr>
        <w:t xml:space="preserve">2488 · La classifica che non si falsifica.</w:t>
      </w:r>
      <w:r>
        <w:rPr>
          <w:rFonts w:ascii="Barlow Semi Condensed" w:cs="Barlow Semi Condensed" w:eastAsia="Barlow Semi Condensed" w:hAnsi="Barlow Semi Condensed"/>
          <w:sz w:val="24"/>
          <w:szCs w:val="24"/>
        </w:rPr>
        <w:t xml:space="preserve"> Dichiarata di grado C per intero, la graduatoria della Fase quinta è detta non falsificabile come classifica, avendo grado proprio soltanto i singoli fatti sottostanti. Ne discende il divieto più utile alla nostra materia: nessuna serie può collocare un nome straniero in una posizione ordinale di responsabilità, perché l'ordinale non è verificabile con alcun documento. Si può graduare un atto, mai un sospetto.</w:t>
      </w:r>
    </w:p>
    <w:p>
      <w:pPr>
        <w:spacing w:after="120" w:line="276"/>
        <w:jc w:val="both"/>
      </w:pPr>
      <w:r>
        <w:rPr>
          <w:rFonts w:ascii="Barlow Semi Condensed" w:cs="Barlow Semi Condensed" w:eastAsia="Barlow Semi Condensed" w:hAnsi="Barlow Semi Condensed"/>
          <w:b/>
          <w:bCs/>
          <w:sz w:val="24"/>
          <w:szCs w:val="24"/>
        </w:rPr>
        <w:t xml:space="preserve">2489 · Le falle interne non hanno riga estera.</w:t>
      </w:r>
      <w:r>
        <w:rPr>
          <w:rFonts w:ascii="Barlow Semi Condensed" w:cs="Barlow Semi Condensed" w:eastAsia="Barlow Semi Condensed" w:hAnsi="Barlow Semi Condensed"/>
          <w:sz w:val="24"/>
          <w:szCs w:val="24"/>
        </w:rPr>
        <w:t xml:space="preserve"> Macchina delle ricerche, via Gradoli con la seduta spiritica, falso comunicato del lago della Duchessa: le righe trentunesima, trentaduesima e trentatreesima chiedono per smentita documenti tutti italiani — una direttiva, una fonte informata dietro un nome, gli autori del falso. In nessuno dei tre punti l'apparato prevede un'ipotesi di intervento straniero. È perimetro dichiarato, e va rispettato anche da chi lo trovi angusto.</w:t>
      </w:r>
    </w:p>
    <w:p>
      <w:pPr>
        <w:spacing w:after="120" w:line="276"/>
        <w:jc w:val="both"/>
      </w:pPr>
      <w:r>
        <w:rPr>
          <w:rFonts w:ascii="Barlow Semi Condensed" w:cs="Barlow Semi Condensed" w:eastAsia="Barlow Semi Condensed" w:hAnsi="Barlow Semi Condensed"/>
          <w:b/>
          <w:bCs/>
          <w:sz w:val="24"/>
          <w:szCs w:val="24"/>
        </w:rPr>
        <w:t xml:space="preserve">2490 · Il controfattuale escluso dall'apparato.</w:t>
      </w:r>
      <w:r>
        <w:rPr>
          <w:rFonts w:ascii="Barlow Semi Condensed" w:cs="Barlow Semi Condensed" w:eastAsia="Barlow Semi Condensed" w:hAnsi="Barlow Semi Condensed"/>
          <w:sz w:val="24"/>
          <w:szCs w:val="24"/>
        </w:rPr>
        <w:t xml:space="preserve"> Sulla fermezza contro la trattativa la ventinovesima riga grada C l'esito controfattuale e annota che i controfattuali non sono falsificabili. La regola colpisce direttamente la formula più diffusa attorno a questo nome, quella per cui la morte di Moro avrebbe impedito un esito politico atteso. Come proposizione sul mondo non è verificabile; come dichiarazione altrui è fatto pubblico, e va tenuta in quella colonna.</w:t>
      </w:r>
    </w:p>
    <w:p>
      <w:pPr>
        <w:spacing w:after="120" w:line="276"/>
        <w:jc w:val="both"/>
      </w:pPr>
      <w:r>
        <w:rPr>
          <w:rFonts w:ascii="Barlow Semi Condensed" w:cs="Barlow Semi Condensed" w:eastAsia="Barlow Semi Condensed" w:hAnsi="Barlow Semi Condensed"/>
          <w:b/>
          <w:bCs/>
          <w:sz w:val="24"/>
          <w:szCs w:val="24"/>
        </w:rPr>
        <w:t xml:space="preserve">2491 · Riga proposta per il memorandum del 1974.</w:t>
      </w:r>
      <w:r>
        <w:rPr>
          <w:rFonts w:ascii="Barlow Semi Condensed" w:cs="Barlow Semi Condensed" w:eastAsia="Barlow Semi Condensed" w:hAnsi="Barlow Semi Condensed"/>
          <w:sz w:val="24"/>
          <w:szCs w:val="24"/>
        </w:rPr>
        <w:t xml:space="preserve"> Prima riga da aggiungere all'apparato, con le tre colonne piene. Asserzione: il verbale dello Studio Ovale del 25 settembre 1974, con Leone, Moro, Ford, Kissinger e Scowcroft, non contiene alcun ultimatum personale ad Aldo Moro. Grado A. Che cosa la smentirebbe: una redazione difforme del medesimo memorandum nella Ford Library, file 1552802, o nel FRUS 1969-1976 E-15 parte seconda, documento 350.</w:t>
      </w:r>
    </w:p>
    <w:p>
      <w:pPr>
        <w:spacing w:after="120" w:line="276"/>
        <w:jc w:val="both"/>
      </w:pPr>
      <w:r>
        <w:rPr>
          <w:rFonts w:ascii="Barlow Semi Condensed" w:cs="Barlow Semi Condensed" w:eastAsia="Barlow Semi Condensed" w:hAnsi="Barlow Semi Condensed"/>
          <w:b/>
          <w:bCs/>
          <w:sz w:val="24"/>
          <w:szCs w:val="24"/>
        </w:rPr>
        <w:t xml:space="preserve">2492 · Riga proposta per la testimonianza contestata.</w:t>
      </w:r>
      <w:r>
        <w:rPr>
          <w:rFonts w:ascii="Barlow Semi Condensed" w:cs="Barlow Semi Condensed" w:eastAsia="Barlow Semi Condensed" w:hAnsi="Barlow Semi Condensed"/>
          <w:sz w:val="24"/>
          <w:szCs w:val="24"/>
        </w:rPr>
        <w:t xml:space="preserve"> Seconda riga. Asserzione: l'avvertimento circolante è testimonianza contestata, riferita de relato da Corrado Guerzoni alla Corte d'assise di Roma nel novembre 1982, col nome ottenuto in aula dal presidente e non offerto dalla vedova, sempre smentito dall'interessato. Grado B nella sua accezione debole. Smentita: il verbale d'udienza integrale e il resoconto stenografico dell'audizione parlamentare del primo agosto 1980, letti sui testi ufficiali.</w:t>
      </w:r>
    </w:p>
    <w:p>
      <w:pPr>
        <w:spacing w:after="120" w:line="276"/>
        <w:jc w:val="both"/>
      </w:pPr>
      <w:r>
        <w:rPr>
          <w:rFonts w:ascii="Barlow Semi Condensed" w:cs="Barlow Semi Condensed" w:eastAsia="Barlow Semi Condensed" w:hAnsi="Barlow Semi Condensed"/>
          <w:b/>
          <w:bCs/>
          <w:sz w:val="24"/>
          <w:szCs w:val="24"/>
        </w:rPr>
        <w:t xml:space="preserve">2493 · Riga proposta per l'anagrafe.</w:t>
      </w:r>
      <w:r>
        <w:rPr>
          <w:rFonts w:ascii="Barlow Semi Condensed" w:cs="Barlow Semi Condensed" w:eastAsia="Barlow Semi Condensed" w:hAnsi="Barlow Semi Condensed"/>
          <w:sz w:val="24"/>
          <w:szCs w:val="24"/>
        </w:rPr>
        <w:t xml:space="preserve"> Terza riga, di grado F secondo la scala del repertorio della Fase nona. Heinz Alfred Kissinger, Fürth 27 maggio 1923, morto a Kent nel Connecticut il 29 novembre 2023; assistente per la sicurezza nazionale dal 20 gennaio 1969 al 3 novembre 1975, segretario di Stato dal 22 settembre 1973 al 20 gennaio 1977. Fatti pubblici. La data dell'anglicizzazione resta contesa e si riporta divergente.</w:t>
      </w:r>
    </w:p>
    <w:p>
      <w:pPr>
        <w:spacing w:after="120" w:line="276"/>
        <w:jc w:val="both"/>
      </w:pPr>
      <w:r>
        <w:rPr>
          <w:rFonts w:ascii="Barlow Semi Condensed" w:cs="Barlow Semi Condensed" w:eastAsia="Barlow Semi Condensed" w:hAnsi="Barlow Semi Condensed"/>
          <w:b/>
          <w:bCs/>
          <w:sz w:val="24"/>
          <w:szCs w:val="24"/>
        </w:rPr>
        <w:t xml:space="preserve">2494 · Riga proposta per l'assenza italiana.</w:t>
      </w:r>
      <w:r>
        <w:rPr>
          <w:rFonts w:ascii="Barlow Semi Condensed" w:cs="Barlow Semi Condensed" w:eastAsia="Barlow Semi Condensed" w:hAnsi="Barlow Semi Condensed"/>
          <w:sz w:val="24"/>
          <w:szCs w:val="24"/>
        </w:rPr>
        <w:t xml:space="preserve"> Quarta riga, e porta il segno dello Stato Zero. Asserzione: non risulta, negli atti italiani finora censiti, alcun documento che colleghi quel nome a una direttiva operativa sul sequestro. Sede che la chiuderebbe: la collezione «Stragi (Direttiva Renzi)» all'Archivio centrale dello Stato, scheda IT-ACS-AS0001-0005098, circa duemila buste versate da centocinquantasei uffici produttori, mai spogliate con questa chiave onomastica.</w:t>
      </w:r>
    </w:p>
    <w:p>
      <w:pPr>
        <w:spacing w:after="120" w:line="276"/>
        <w:jc w:val="both"/>
      </w:pPr>
      <w:r>
        <w:rPr>
          <w:rFonts w:ascii="Barlow Semi Condensed" w:cs="Barlow Semi Condensed" w:eastAsia="Barlow Semi Condensed" w:hAnsi="Barlow Semi Condensed"/>
          <w:b/>
          <w:bCs/>
          <w:sz w:val="24"/>
          <w:szCs w:val="24"/>
        </w:rPr>
        <w:t xml:space="preserve">2495 · Riga proposta di metodo.</w:t>
      </w:r>
      <w:r>
        <w:rPr>
          <w:rFonts w:ascii="Barlow Semi Condensed" w:cs="Barlow Semi Condensed" w:eastAsia="Barlow Semi Condensed" w:hAnsi="Barlow Semi Condensed"/>
          <w:sz w:val="24"/>
          <w:szCs w:val="24"/>
        </w:rPr>
        <w:t xml:space="preserve"> Quinta riga, di grado M secondo la convenzione con cui l'apparato tratta i capitoli primo, secondo, terzo e quarto. Asserzione: la lente dichiarata dal committente — la genetica come figura del codice e della sua trasmissione — è patto di lettura e non proposizione sul mondo. Colonna della smentita: un trattino, come per ogni voce di metodo. Una lente non si confuta, si giudica dalla resa.</w:t>
      </w:r>
    </w:p>
    <w:p>
      <w:pPr>
        <w:spacing w:after="120" w:line="276"/>
        <w:jc w:val="both"/>
      </w:pPr>
      <w:r>
        <w:rPr>
          <w:rFonts w:ascii="Barlow Semi Condensed" w:cs="Barlow Semi Condensed" w:eastAsia="Barlow Semi Condensed" w:hAnsi="Barlow Semi Condensed"/>
          <w:b/>
          <w:bCs/>
          <w:sz w:val="24"/>
          <w:szCs w:val="24"/>
        </w:rPr>
        <w:t xml:space="preserve">2496 · La cronologia degli incarichi come sbarramento.</w:t>
      </w:r>
      <w:r>
        <w:rPr>
          <w:rFonts w:ascii="Barlow Semi Condensed" w:cs="Barlow Semi Condensed" w:eastAsia="Barlow Semi Condensed" w:hAnsi="Barlow Semi Condensed"/>
          <w:sz w:val="24"/>
          <w:szCs w:val="24"/>
        </w:rPr>
        <w:t xml:space="preserve"> Accertamento di grado A con conseguenza diretta sulle righe ventunesima-trentottesima, quelle dei cinquantacinque giorni: il 16 marzo 1978 il soggetto di questa serie non ricopriva alcuna carica pubblica, avendo lasciato il Dipartimento di Stato il 20 gennaio 1977. Nessuna riga sui comitati di crisi, sulle ricerche o sui depistaggi può ospitarlo per posizione istituzionale. Resterebbe la via privata, tutta da documentare.</w:t>
      </w:r>
    </w:p>
    <w:p>
      <w:pPr>
        <w:spacing w:after="120" w:line="276"/>
        <w:jc w:val="both"/>
      </w:pPr>
      <w:r>
        <w:rPr>
          <w:rFonts w:ascii="Barlow Semi Condensed" w:cs="Barlow Semi Condensed" w:eastAsia="Barlow Semi Condensed" w:hAnsi="Barlow Semi Condensed"/>
          <w:b/>
          <w:bCs/>
          <w:sz w:val="24"/>
          <w:szCs w:val="24"/>
        </w:rPr>
        <w:t xml:space="preserve">2497 · Riga proposta sulla circolazione.</w:t>
      </w:r>
      <w:r>
        <w:rPr>
          <w:rFonts w:ascii="Barlow Semi Condensed" w:cs="Barlow Semi Condensed" w:eastAsia="Barlow Semi Condensed" w:hAnsi="Barlow Semi Condensed"/>
          <w:sz w:val="24"/>
          <w:szCs w:val="24"/>
        </w:rPr>
        <w:t xml:space="preserve"> Sesta riga, e riguarda la ricezione anziché il fatto. Asserzione: la moltiplicazione delle fonti sull'episodio è apparente, risalendo le riprese pressoché identiche a un unico lancio d'agenzia del 30 novembre 2023, il giorno dopo la morte. Grado A quanto alla circolazione, nullo quanto al merito. Smentita: l'individuazione di un testimone indipendente anteriore a quella data, che allo stato non risulta.</w:t>
      </w:r>
    </w:p>
    <w:p>
      <w:pPr>
        <w:spacing w:after="120" w:line="276"/>
        <w:jc w:val="both"/>
      </w:pPr>
      <w:r>
        <w:rPr>
          <w:rFonts w:ascii="Barlow Semi Condensed" w:cs="Barlow Semi Condensed" w:eastAsia="Barlow Semi Condensed" w:hAnsi="Barlow Semi Condensed"/>
          <w:b/>
          <w:bCs/>
          <w:sz w:val="24"/>
          <w:szCs w:val="24"/>
        </w:rPr>
        <w:t xml:space="preserve">2498 · Il consulente e la sua colonna.</w:t>
      </w:r>
      <w:r>
        <w:rPr>
          <w:rFonts w:ascii="Barlow Semi Condensed" w:cs="Barlow Semi Condensed" w:eastAsia="Barlow Semi Condensed" w:hAnsi="Barlow Semi Condensed"/>
          <w:sz w:val="24"/>
          <w:szCs w:val="24"/>
        </w:rPr>
        <w:t xml:space="preserve"> Settima riga proposta. La presenza di Steve Pieczenik nel comitato di crisi al fianco del ministro dell'Interno è fatto pubblico documentato, grado B secondo il repertorio della Fase nona; le sue dichiarazioni successive sono fatto quanto all'essere state rese e materia da riscontrare quanto al contenuto. La riga appartiene al 1978 e a un'altra amministrazione: accostarla a questo nome è salto cronologico, non nesso.</w:t>
      </w:r>
    </w:p>
    <w:p>
      <w:pPr>
        <w:spacing w:after="120" w:line="276"/>
        <w:jc w:val="both"/>
      </w:pPr>
      <w:r>
        <w:rPr>
          <w:rFonts w:ascii="Barlow Semi Condensed" w:cs="Barlow Semi Condensed" w:eastAsia="Barlow Semi Condensed" w:hAnsi="Barlow Semi Condensed"/>
          <w:b/>
          <w:bCs/>
          <w:sz w:val="24"/>
          <w:szCs w:val="24"/>
        </w:rPr>
        <w:t xml:space="preserve">2499 · La colonna vuota come vincolo.</w:t>
      </w:r>
      <w:r>
        <w:rPr>
          <w:rFonts w:ascii="Barlow Semi Condensed" w:cs="Barlow Semi Condensed" w:eastAsia="Barlow Semi Condensed" w:hAnsi="Barlow Semi Condensed"/>
          <w:sz w:val="24"/>
          <w:szCs w:val="24"/>
        </w:rPr>
        <w:t xml:space="preserve"> Regola redazionale ricavata dall'apparato e da adottare per ogni riga proposta: dove la terza colonna reca un trattino, la riga non afferma nulla sul mondo. Ne segue che nessuna riga su questa materia può essere scritta senza indicare l'atto che la ucciderebbe. Una riga con la colonna vuota e il grado alto è, nella grammatica dell'apparato, errore di compilazione prima che di merito.</w:t>
      </w:r>
    </w:p>
    <w:p>
      <w:pPr>
        <w:spacing w:after="120" w:line="276"/>
        <w:jc w:val="both"/>
      </w:pPr>
      <w:r>
        <w:rPr>
          <w:rFonts w:ascii="Barlow Semi Condensed" w:cs="Barlow Semi Condensed" w:eastAsia="Barlow Semi Condensed" w:hAnsi="Barlow Semi Condensed"/>
          <w:b/>
          <w:bCs/>
          <w:sz w:val="24"/>
          <w:szCs w:val="24"/>
        </w:rPr>
        <w:t xml:space="preserve">2500 · Il divieto di riga senza sede.</w:t>
      </w:r>
      <w:r>
        <w:rPr>
          <w:rFonts w:ascii="Barlow Semi Condensed" w:cs="Barlow Semi Condensed" w:eastAsia="Barlow Semi Condensed" w:hAnsi="Barlow Semi Condensed"/>
          <w:sz w:val="24"/>
          <w:szCs w:val="24"/>
        </w:rPr>
        <w:t xml:space="preserve"> Seconda regola redazionale: ogni Stato Zero proposto deve nominare la sede che lo chiuderebbe, altrimenti è reticenza travestita da rigore. L'apparato lo pratica alla ventottesima e alla trentaduesima riga, dove indica la catena di custodia delle carte di via Monte Nevoso e la fonte informata dietro il nome Gradoli. Le nostre righe negative seguono quella forma, e ciascuna porta il proprio indirizzo d'archivio.</w:t>
      </w:r>
    </w:p>
    <w:p>
      <w:pPr>
        <w:spacing w:after="120" w:line="276"/>
        <w:jc w:val="both"/>
      </w:pPr>
      <w:r>
        <w:rPr>
          <w:rFonts w:ascii="Barlow Semi Condensed" w:cs="Barlow Semi Condensed" w:eastAsia="Barlow Semi Condensed" w:hAnsi="Barlow Semi Condensed"/>
          <w:b/>
          <w:bCs/>
          <w:sz w:val="24"/>
          <w:szCs w:val="24"/>
        </w:rPr>
        <w:t xml:space="preserve">2501 · La clausola finale e il defunto.</w:t>
      </w:r>
      <w:r>
        <w:rPr>
          <w:rFonts w:ascii="Barlow Semi Condensed" w:cs="Barlow Semi Condensed" w:eastAsia="Barlow Semi Condensed" w:hAnsi="Barlow Semi Condensed"/>
          <w:sz w:val="24"/>
          <w:szCs w:val="24"/>
        </w:rPr>
        <w:t xml:space="preserve"> In chiusura l'apparato rinvia, per gli aspetti che toccano persone viventi, alla disciplina di riservatezza dell'apparato Italia Nera. Il soggetto di questa serie è morto il 29 novembre 2023: quella clausola, alla lettera, non lo copre più. L'accertamento va scritto perché produce il quesito successivo, non perché apra un varco. La cessazione di una tutela non autorizza a scrivere ciò che prima era vietato.</w:t>
      </w:r>
    </w:p>
    <w:p>
      <w:pPr>
        <w:spacing w:after="120" w:line="276"/>
        <w:jc w:val="both"/>
      </w:pPr>
      <w:r>
        <w:rPr>
          <w:rFonts w:ascii="Barlow Semi Condensed" w:cs="Barlow Semi Condensed" w:eastAsia="Barlow Semi Condensed" w:hAnsi="Barlow Semi Condensed"/>
          <w:b/>
          <w:bCs/>
          <w:sz w:val="24"/>
          <w:szCs w:val="24"/>
        </w:rPr>
        <w:t xml:space="preserve">2502 · La morte non promuove alcun grado.</w:t>
      </w:r>
      <w:r>
        <w:rPr>
          <w:rFonts w:ascii="Barlow Semi Condensed" w:cs="Barlow Semi Condensed" w:eastAsia="Barlow Semi Condensed" w:hAnsi="Barlow Semi Condensed"/>
          <w:sz w:val="24"/>
          <w:szCs w:val="24"/>
        </w:rPr>
        <w:t xml:space="preserve"> Nessun elemento del fascicolo muta di grado per il decesso dell'interessato: la testimonianza contestata resta contestata, il memorandum resta ciò che scrive, lo Stato Zero resta aperto. L'unica cosa che il 29 novembre 2023 ha effettivamente cambiato è che la smentita non può più essere ripetuta dalla stessa voce, e va perciò citata dalle sue occorrenze anteriori, ciascuna con la propria data.</w:t>
      </w:r>
    </w:p>
    <w:p>
      <w:pPr>
        <w:spacing w:after="120" w:line="276"/>
        <w:jc w:val="both"/>
      </w:pPr>
      <w:r>
        <w:rPr>
          <w:rFonts w:ascii="Barlow Semi Condensed" w:cs="Barlow Semi Condensed" w:eastAsia="Barlow Semi Condensed" w:hAnsi="Barlow Semi Condensed"/>
          <w:b/>
          <w:bCs/>
          <w:sz w:val="24"/>
          <w:szCs w:val="24"/>
        </w:rPr>
        <w:t xml:space="preserve">2503 · Ciò che resta dopo la tutela.</w:t>
      </w:r>
      <w:r>
        <w:rPr>
          <w:rFonts w:ascii="Barlow Semi Condensed" w:cs="Barlow Semi Condensed" w:eastAsia="Barlow Semi Condensed" w:hAnsi="Barlow Semi Condensed"/>
          <w:sz w:val="24"/>
          <w:szCs w:val="24"/>
        </w:rPr>
        <w:t xml:space="preserve"> Cessata la disciplina delle persone viventi, resta il divieto che l'apparato pone in modo assoluto e senza clausole temporali: non nominare alcuno come responsabile di reato oltre il giudicato definitivo. Quel divieto non è protezione di un vivente, è regola sul regime di prova, e vale identico per i morti. In questo caso non vi fu mai imputazione, in alcun Paese: non esiste giudicato da richiamare.</w:t>
      </w:r>
    </w:p>
    <w:p>
      <w:pPr>
        <w:spacing w:after="120" w:line="276"/>
        <w:jc w:val="both"/>
      </w:pPr>
      <w:r>
        <w:rPr>
          <w:rFonts w:ascii="Barlow Semi Condensed" w:cs="Barlow Semi Condensed" w:eastAsia="Barlow Semi Condensed" w:hAnsi="Barlow Semi Condensed"/>
          <w:b/>
          <w:bCs/>
          <w:sz w:val="24"/>
          <w:szCs w:val="24"/>
        </w:rPr>
        <w:t xml:space="preserve">2504 · Il lotto riservato come precedente.</w:t>
      </w:r>
      <w:r>
        <w:rPr>
          <w:rFonts w:ascii="Barlow Semi Condensed" w:cs="Barlow Semi Condensed" w:eastAsia="Barlow Semi Condensed" w:hAnsi="Barlow Semi Condensed"/>
          <w:sz w:val="24"/>
          <w:szCs w:val="24"/>
        </w:rPr>
        <w:t xml:space="preserve"> La terza sezione della relazione riferisce di un lotto documentario collazionato ma non pubblicato, perché recava attribuzioni non riscontrate anche su persone viventi e la sede dei lavori era aperta a chiunque. È il precedente operativo esatto per questa materia: esiste già, nel corpus, la procedura per trattenere ciò che non regge alla verifica primaria. Non serve inventarla, serve applicarla al nodo dell'avvertimento.</w:t>
      </w:r>
    </w:p>
    <w:p>
      <w:pPr>
        <w:spacing w:after="120" w:line="276"/>
        <w:jc w:val="both"/>
      </w:pPr>
      <w:r>
        <w:rPr>
          <w:rFonts w:ascii="Barlow Semi Condensed" w:cs="Barlow Semi Condensed" w:eastAsia="Barlow Semi Condensed" w:hAnsi="Barlow Semi Condensed"/>
          <w:b/>
          <w:bCs/>
          <w:sz w:val="24"/>
          <w:szCs w:val="24"/>
        </w:rPr>
        <w:t xml:space="preserve">2505 · Sede aperta e sede riservata.</w:t>
      </w:r>
      <w:r>
        <w:rPr>
          <w:rFonts w:ascii="Barlow Semi Condensed" w:cs="Barlow Semi Condensed" w:eastAsia="Barlow Semi Condensed" w:hAnsi="Barlow Semi Condensed"/>
          <w:sz w:val="24"/>
          <w:szCs w:val="24"/>
        </w:rPr>
        <w:t xml:space="preserve"> Dalla stessa sezione si ricava una distinzione operativa che il fascicolo deve fare propria: un'attribuzione non riscontrata può essere collazionata, inventariata e conservata, purché in sede non pubblica. La pubblicazione è l'atto che, una volta compiuto, non si lascia disfare. Applicata al nostro nodo, la regola dice che la ricerca continua e la resa pubblica si ferma finché il documento primario non sia stato letto.</w:t>
      </w:r>
    </w:p>
    <w:p>
      <w:pPr>
        <w:spacing w:after="120" w:line="276"/>
        <w:jc w:val="both"/>
      </w:pPr>
      <w:r>
        <w:rPr>
          <w:rFonts w:ascii="Barlow Semi Condensed" w:cs="Barlow Semi Condensed" w:eastAsia="Barlow Semi Condensed" w:hAnsi="Barlow Semi Condensed"/>
          <w:b/>
          <w:bCs/>
          <w:sz w:val="24"/>
          <w:szCs w:val="24"/>
        </w:rPr>
        <w:t xml:space="preserve">2506 · Il registro delle esclusioni.</w:t>
      </w:r>
      <w:r>
        <w:rPr>
          <w:rFonts w:ascii="Barlow Semi Condensed" w:cs="Barlow Semi Condensed" w:eastAsia="Barlow Semi Condensed" w:hAnsi="Barlow Semi Condensed"/>
          <w:sz w:val="24"/>
          <w:szCs w:val="24"/>
        </w:rPr>
        <w:t xml:space="preserve"> Bersaglio derivato: il corpus dichiara nella relazione di avere escluso dal corpo, per riguardo alle persone viventi, materiali pure in suo possesso. Manca però il registro di quelle esclusioni — quante, di che genere, con quale criterio. Senza registro non è misurabile quanto il perimetro pubblico differisca da quello raccolto, e ogni Stato Zero pubblicato resta esposto all'obiezione di essere un vuoto scelto.</w:t>
      </w:r>
    </w:p>
    <w:p>
      <w:pPr>
        <w:spacing w:after="120" w:line="276"/>
        <w:jc w:val="both"/>
      </w:pPr>
      <w:r>
        <w:rPr>
          <w:rFonts w:ascii="Barlow Semi Condensed" w:cs="Barlow Semi Condensed" w:eastAsia="Barlow Semi Condensed" w:hAnsi="Barlow Semi Condensed"/>
          <w:b/>
          <w:bCs/>
          <w:sz w:val="24"/>
          <w:szCs w:val="24"/>
        </w:rPr>
        <w:t xml:space="preserve">2507 · L'avvertenza sulla voce prestata.</w:t>
      </w:r>
      <w:r>
        <w:rPr>
          <w:rFonts w:ascii="Barlow Semi Condensed" w:cs="Barlow Semi Condensed" w:eastAsia="Barlow Semi Condensed" w:hAnsi="Barlow Semi Condensed"/>
          <w:sz w:val="24"/>
          <w:szCs w:val="24"/>
        </w:rPr>
        <w:t xml:space="preserve"> La relazione si apre dichiarando di essere esercizio di stile a imitazione della prosa di Aldo Moro, e che nulla vi è a lui attribuibile né come parola né come pensiero. L'avvertenza è il modello di una cautela che il fascicolo deve osservare in senso opposto: mai far pronunciare al soggetto di questa serie parole non attestate, neppure per sintesi, neppure fra virgolette di comodo.</w:t>
      </w:r>
    </w:p>
    <w:p>
      <w:pPr>
        <w:spacing w:after="120" w:line="276"/>
        <w:jc w:val="both"/>
      </w:pPr>
      <w:r>
        <w:rPr>
          <w:rFonts w:ascii="Barlow Semi Condensed" w:cs="Barlow Semi Condensed" w:eastAsia="Barlow Semi Condensed" w:hAnsi="Barlow Semi Condensed"/>
          <w:b/>
          <w:bCs/>
          <w:sz w:val="24"/>
          <w:szCs w:val="24"/>
        </w:rPr>
        <w:t xml:space="preserve">2508 · La prosopopea come rischio documentale.</w:t>
      </w:r>
      <w:r>
        <w:rPr>
          <w:rFonts w:ascii="Barlow Semi Condensed" w:cs="Barlow Semi Condensed" w:eastAsia="Barlow Semi Condensed" w:hAnsi="Barlow Semi Condensed"/>
          <w:sz w:val="24"/>
          <w:szCs w:val="24"/>
        </w:rPr>
        <w:t xml:space="preserve"> Il pericolo non è teorico. La frase che circola sull'avvertimento è citata fra virgolette da innumerevoli riprese senza che il testo primario sia mai stato collazionato: è prosopopea con l'apparenza della citazione. La regola della relazione — imitazione dichiarata e mai spacciata per originale — impone qui la contromisura minima: nessuna virgoletta senza fonte, e la fonte deve essere il verbale, non la sintesi.</w:t>
      </w:r>
    </w:p>
    <w:p>
      <w:pPr>
        <w:spacing w:after="120" w:line="276"/>
        <w:jc w:val="both"/>
      </w:pPr>
      <w:r>
        <w:rPr>
          <w:rFonts w:ascii="Barlow Semi Condensed" w:cs="Barlow Semi Condensed" w:eastAsia="Barlow Semi Condensed" w:hAnsi="Barlow Semi Condensed"/>
          <w:b/>
          <w:bCs/>
          <w:sz w:val="24"/>
          <w:szCs w:val="24"/>
        </w:rPr>
        <w:t xml:space="preserve">2509 · Campione e censimento.</w:t>
      </w:r>
      <w:r>
        <w:rPr>
          <w:rFonts w:ascii="Barlow Semi Condensed" w:cs="Barlow Semi Condensed" w:eastAsia="Barlow Semi Condensed" w:hAnsi="Barlow Semi Condensed"/>
          <w:sz w:val="24"/>
          <w:szCs w:val="24"/>
        </w:rPr>
        <w:t xml:space="preserve"> La prima sezione della relazione distingue con nettezza fra campione e censimento: una cinquantina di nomi raccolti a fronte dei seicentotrentanove liberati sui millecinquantasei condannati dal Tribunale Speciale. La regola vale integra per noi. La ricognizione della stringa dentro il branch è un censimento del corpus e un campione minuscolo del mondo: dichiarare la prima cosa e sottintendere la seconda sarebbe abuso quantitativo.</w:t>
      </w:r>
    </w:p>
    <w:p>
      <w:pPr>
        <w:spacing w:after="120" w:line="276"/>
        <w:jc w:val="both"/>
      </w:pPr>
      <w:r>
        <w:rPr>
          <w:rFonts w:ascii="Barlow Semi Condensed" w:cs="Barlow Semi Condensed" w:eastAsia="Barlow Semi Condensed" w:hAnsi="Barlow Semi Condensed"/>
          <w:b/>
          <w:bCs/>
          <w:sz w:val="24"/>
          <w:szCs w:val="24"/>
        </w:rPr>
        <w:t xml:space="preserve">2510 · Gli esiti negativi ottenuti per via obliqua.</w:t>
      </w:r>
      <w:r>
        <w:rPr>
          <w:rFonts w:ascii="Barlow Semi Condensed" w:cs="Barlow Semi Condensed" w:eastAsia="Barlow Semi Condensed" w:hAnsi="Barlow Semi Condensed"/>
          <w:sz w:val="24"/>
          <w:szCs w:val="24"/>
        </w:rPr>
        <w:t xml:space="preserve"> La stessa sezione confessa che la fonte non fu raggiungibile per via diretta e che si procedette interrogando i motori di ricerca sulle singole schede. È l'avvertenza più preziosa del territorio: un esito negativo ottenuto per via indiretta ha grado inferiore a un esito negativo ottenuto in sala di studio. Ogni nostro Stato Zero deve dichiarare per quale via fu accertato, altrimenti finge una solidità che non ha.</w:t>
      </w:r>
    </w:p>
    <w:p>
      <w:pPr>
        <w:spacing w:after="120" w:line="276"/>
        <w:jc w:val="both"/>
      </w:pPr>
      <w:r>
        <w:rPr>
          <w:rFonts w:ascii="Barlow Semi Condensed" w:cs="Barlow Semi Condensed" w:eastAsia="Barlow Semi Condensed" w:hAnsi="Barlow Semi Condensed"/>
          <w:b/>
          <w:bCs/>
          <w:sz w:val="24"/>
          <w:szCs w:val="24"/>
        </w:rPr>
        <w:t xml:space="preserve">2511 · Il rinvio alla scheda d'origine.</w:t>
      </w:r>
      <w:r>
        <w:rPr>
          <w:rFonts w:ascii="Barlow Semi Condensed" w:cs="Barlow Semi Condensed" w:eastAsia="Barlow Semi Condensed" w:hAnsi="Barlow Semi Condensed"/>
          <w:sz w:val="24"/>
          <w:szCs w:val="24"/>
        </w:rPr>
        <w:t xml:space="preserve"> Ciascun nome dell'elenco degli amnistiati reca il rinvio alla scheda da cui proviene. Regola trasferibile senza modifiche: ogni proposizione del fascicolo deve portare la propria segnatura, e dove la segnatura manca la proposizione non entra in tavola. Le due sedi che il nostro nodo richiede sono note e nominabili — gli atti della Corte d'assise di Roma e quelli della Commissione parlamentare d'inchiesta — e nessuna è stata aperta.</w:t>
      </w:r>
    </w:p>
    <w:p>
      <w:pPr>
        <w:spacing w:after="120" w:line="276"/>
        <w:jc w:val="both"/>
      </w:pPr>
      <w:r>
        <w:rPr>
          <w:rFonts w:ascii="Barlow Semi Condensed" w:cs="Barlow Semi Condensed" w:eastAsia="Barlow Semi Condensed" w:hAnsi="Barlow Semi Condensed"/>
          <w:b/>
          <w:bCs/>
          <w:sz w:val="24"/>
          <w:szCs w:val="24"/>
        </w:rPr>
        <w:t xml:space="preserve">2512 · Il denominatore dichiarato.</w:t>
      </w:r>
      <w:r>
        <w:rPr>
          <w:rFonts w:ascii="Barlow Semi Condensed" w:cs="Barlow Semi Condensed" w:eastAsia="Barlow Semi Condensed" w:hAnsi="Barlow Semi Condensed"/>
          <w:sz w:val="24"/>
          <w:szCs w:val="24"/>
        </w:rPr>
        <w:t xml:space="preserve"> La relazione dichiara il proprio denominatore: millecinquantasei condannati, seicentotrentanove liberati, una cinquantina raccolti. Il fascicolo su questo nome non ha mai dichiarato il proprio. Bersaglio: quantificare il fondo interrogabile — quante buste della collezione dell'Archivio centrale, quanti telegrammi del 1978 nei Central Foreign Policy Files, quante carte ritirate. Senza denominatore «non trovato» è un'impressione; con denominatore diventa una misura.</w:t>
      </w:r>
    </w:p>
    <w:p>
      <w:pPr>
        <w:spacing w:after="120" w:line="276"/>
        <w:jc w:val="both"/>
      </w:pPr>
      <w:r>
        <w:rPr>
          <w:rFonts w:ascii="Barlow Semi Condensed" w:cs="Barlow Semi Condensed" w:eastAsia="Barlow Semi Condensed" w:hAnsi="Barlow Semi Condensed"/>
          <w:b/>
          <w:bCs/>
          <w:sz w:val="24"/>
          <w:szCs w:val="24"/>
        </w:rPr>
        <w:t xml:space="preserve">2513 · Le quattro emende come modello.</w:t>
      </w:r>
      <w:r>
        <w:rPr>
          <w:rFonts w:ascii="Barlow Semi Condensed" w:cs="Barlow Semi Condensed" w:eastAsia="Barlow Semi Condensed" w:hAnsi="Barlow Semi Condensed"/>
          <w:sz w:val="24"/>
          <w:szCs w:val="24"/>
        </w:rPr>
        <w:t xml:space="preserve"> La seconda sezione elenca quattro proposizioni del corpus guevariano rivelatesi non sorrette dalle fonti, e le corregge dichiarandole una per una. Il fascicolo su questo nome ha prodotto un numero paragonabile di precisazioni sul solo nodo dell'avvertimento. Il modello da imitare non è la severità, è la forma: lezione originaria, lezione corretta, ragione dell'intervento, tutte scritte, perché la correzione lasci traccia invece di cancellarla.</w:t>
      </w:r>
    </w:p>
    <w:p>
      <w:pPr>
        <w:spacing w:after="120" w:line="276"/>
        <w:jc w:val="both"/>
      </w:pPr>
      <w:r>
        <w:rPr>
          <w:rFonts w:ascii="Barlow Semi Condensed" w:cs="Barlow Semi Condensed" w:eastAsia="Barlow Semi Condensed" w:hAnsi="Barlow Semi Condensed"/>
          <w:b/>
          <w:bCs/>
          <w:sz w:val="24"/>
          <w:szCs w:val="24"/>
        </w:rPr>
        <w:t xml:space="preserve">2514 · L'incontro che non ebbe luogo.</w:t>
      </w:r>
      <w:r>
        <w:rPr>
          <w:rFonts w:ascii="Barlow Semi Condensed" w:cs="Barlow Semi Condensed" w:eastAsia="Barlow Semi Condensed" w:hAnsi="Barlow Semi Condensed"/>
          <w:sz w:val="24"/>
          <w:szCs w:val="24"/>
        </w:rPr>
        <w:t xml:space="preserve"> La prima emenda riguarda un incontro riservato con Malcolm X che non si tenne: vi fu invito, rinuncia per ragioni di sicurezza, un messaggio letto in sala. È l'omologia più esatta che il territorio offra. Nel nostro caso il colloquio si tenne davvero, ma non contiene ciò che gli si attribuisce. Due errori speculari con la stessa causa: la vulgata riempie di contenuto plausibile lo spazio che il documento lascia.</w:t>
      </w:r>
    </w:p>
    <w:p>
      <w:pPr>
        <w:spacing w:after="120" w:line="276"/>
        <w:jc w:val="both"/>
      </w:pPr>
      <w:r>
        <w:rPr>
          <w:rFonts w:ascii="Barlow Semi Condensed" w:cs="Barlow Semi Condensed" w:eastAsia="Barlow Semi Condensed" w:hAnsi="Barlow Semi Condensed"/>
          <w:b/>
          <w:bCs/>
          <w:sz w:val="24"/>
          <w:szCs w:val="24"/>
        </w:rPr>
        <w:t xml:space="preserve">2515 · I due Orfila, confusione di persona.</w:t>
      </w:r>
      <w:r>
        <w:rPr>
          <w:rFonts w:ascii="Barlow Semi Condensed" w:cs="Barlow Semi Condensed" w:eastAsia="Barlow Semi Condensed" w:hAnsi="Barlow Semi Condensed"/>
          <w:sz w:val="24"/>
          <w:szCs w:val="24"/>
        </w:rPr>
        <w:t xml:space="preserve"> La seconda emenda scioglie una confusione fra due persone che condividevano il solo cognome, e ne fa discendere la caduta di un'affermazione intera. Il territorio consegna così, per esperienza propria, il rischio che apre il fascicolo maggiore: la variante onomastica fra Heinz, Henry e la forma erronea Harry. Un nome sbagliato non produce un dettaglio sbagliato, produce un fatto inesistente e verosimile.</w:t>
      </w:r>
    </w:p>
    <w:p>
      <w:pPr>
        <w:spacing w:after="120" w:line="276"/>
        <w:jc w:val="both"/>
      </w:pPr>
      <w:r>
        <w:rPr>
          <w:rFonts w:ascii="Barlow Semi Condensed" w:cs="Barlow Semi Condensed" w:eastAsia="Barlow Semi Condensed" w:hAnsi="Barlow Semi Condensed"/>
          <w:b/>
          <w:bCs/>
          <w:sz w:val="24"/>
          <w:szCs w:val="24"/>
        </w:rPr>
        <w:t xml:space="preserve">2516 · L'età attribuita alla persona sbagliata.</w:t>
      </w:r>
      <w:r>
        <w:rPr>
          <w:rFonts w:ascii="Barlow Semi Condensed" w:cs="Barlow Semi Condensed" w:eastAsia="Barlow Semi Condensed" w:hAnsi="Barlow Semi Condensed"/>
          <w:sz w:val="24"/>
          <w:szCs w:val="24"/>
        </w:rPr>
        <w:t xml:space="preserve"> La terza emenda accerta che l'età indicata per Fidel Castro nell'incontro del luglio 1955 era in realtà quella di Guevara. È il travaso di un dato da un soggetto all'altro, l'errore che nel nostro fascicolo assume la forma della frase assegnata a una sede diversa da quella in cui fu resa: l'audizione parlamentare del 1980 e la deposizione giudiziaria del 1982 sono continuamente scambiate.</w:t>
      </w:r>
    </w:p>
    <w:p>
      <w:pPr>
        <w:spacing w:after="120" w:line="276"/>
        <w:jc w:val="both"/>
      </w:pPr>
      <w:r>
        <w:rPr>
          <w:rFonts w:ascii="Barlow Semi Condensed" w:cs="Barlow Semi Condensed" w:eastAsia="Barlow Semi Condensed" w:hAnsi="Barlow Semi Condensed"/>
          <w:b/>
          <w:bCs/>
          <w:sz w:val="24"/>
          <w:szCs w:val="24"/>
        </w:rPr>
        <w:t xml:space="preserve">2517 · La verifica di calendario.</w:t>
      </w:r>
      <w:r>
        <w:rPr>
          <w:rFonts w:ascii="Barlow Semi Condensed" w:cs="Barlow Semi Condensed" w:eastAsia="Barlow Semi Condensed" w:hAnsi="Barlow Semi Condensed"/>
          <w:sz w:val="24"/>
          <w:szCs w:val="24"/>
        </w:rPr>
        <w:t xml:space="preserve"> La quarta emenda cade su una contemporaneità impossibile fra due cariche, l'una cessata tre anni prima dell'altra. La verifica di calendario è la più economica che esista e la meno praticata. Applicata qui, chiude in una riga ogni ipotesi di intervento istituzionale nei cinquantacinque giorni: le due date di cessazione, 3 novembre 1975 e 20 gennaio 1977, precedono entrambe il 16 marzo 1978.</w:t>
      </w:r>
    </w:p>
    <w:p>
      <w:pPr>
        <w:spacing w:after="120" w:line="276"/>
        <w:jc w:val="both"/>
      </w:pPr>
      <w:r>
        <w:rPr>
          <w:rFonts w:ascii="Barlow Semi Condensed" w:cs="Barlow Semi Condensed" w:eastAsia="Barlow Semi Condensed" w:hAnsi="Barlow Semi Condensed"/>
          <w:b/>
          <w:bCs/>
          <w:sz w:val="24"/>
          <w:szCs w:val="24"/>
        </w:rPr>
        <w:t xml:space="preserve">2518 · Nove imprecisioni non espunte.</w:t>
      </w:r>
      <w:r>
        <w:rPr>
          <w:rFonts w:ascii="Barlow Semi Condensed" w:cs="Barlow Semi Condensed" w:eastAsia="Barlow Semi Condensed" w:hAnsi="Barlow Semi Condensed"/>
          <w:sz w:val="24"/>
          <w:szCs w:val="24"/>
        </w:rPr>
        <w:t xml:space="preserve"> Alle quattro emende maggiori la relazione ne affianca nove minori, e per queste sceglie non l'espunzione ma l'attribuzione esplicita alla fonte che le reca. La distinzione è capitale per il nostro nodo: la testimonianza contestata non si cancella dal corpus, si attribuisce a chi la rese, con la data, la sede e la smentita accanto. Tacere una notizia incerta e dichiararne l'incertezza sono operazioni opposte.</w:t>
      </w:r>
    </w:p>
    <w:p>
      <w:pPr>
        <w:spacing w:after="120" w:line="276"/>
        <w:jc w:val="both"/>
      </w:pPr>
      <w:r>
        <w:rPr>
          <w:rFonts w:ascii="Barlow Semi Condensed" w:cs="Barlow Semi Condensed" w:eastAsia="Barlow Semi Condensed" w:hAnsi="Barlow Semi Condensed"/>
          <w:b/>
          <w:bCs/>
          <w:sz w:val="24"/>
          <w:szCs w:val="24"/>
        </w:rPr>
        <w:t xml:space="preserve">2519 · Il modulo della nota di emenda.</w:t>
      </w:r>
      <w:r>
        <w:rPr>
          <w:rFonts w:ascii="Barlow Semi Condensed" w:cs="Barlow Semi Condensed" w:eastAsia="Barlow Semi Condensed" w:hAnsi="Barlow Semi Condensed"/>
          <w:sz w:val="24"/>
          <w:szCs w:val="24"/>
        </w:rPr>
        <w:t xml:space="preserve"> Il modulo prescritto dalla relazione ha tre campi e nessuno è facoltativo: che cosa si leggeva, che cosa si legge, perché si è intervenuti. Bersaglio operativo: riscrivere in questo formato le precisazioni già acquisite sul nodo M-5, che oggi vivono come note aggiunte a un testo non riscritto. Il formato non aggiunge conoscenza; rende però verificabile il tasso di errore dell'opera.</w:t>
      </w:r>
    </w:p>
    <w:p>
      <w:pPr>
        <w:spacing w:after="120" w:line="276"/>
        <w:jc w:val="both"/>
      </w:pPr>
      <w:r>
        <w:rPr>
          <w:rFonts w:ascii="Barlow Semi Condensed" w:cs="Barlow Semi Condensed" w:eastAsia="Barlow Semi Condensed" w:hAnsi="Barlow Semi Condensed"/>
          <w:b/>
          <w:bCs/>
          <w:sz w:val="24"/>
          <w:szCs w:val="24"/>
        </w:rPr>
        <w:t xml:space="preserve">2520 · Undici documenti ricondotti a cinque.</w:t>
      </w:r>
      <w:r>
        <w:rPr>
          <w:rFonts w:ascii="Barlow Semi Condensed" w:cs="Barlow Semi Condensed" w:eastAsia="Barlow Semi Condensed" w:hAnsi="Barlow Semi Condensed"/>
          <w:sz w:val="24"/>
          <w:szCs w:val="24"/>
        </w:rPr>
        <w:t xml:space="preserve"> Undici documenti del lotto riservato si sono rivelati cinque, essendo il resto duplicazione: così riferisce la terza sezione. È la stessa operazione condotta sulla circolazione dell'episodio, dove decine di riprese si riducono a un lancio solo. La deduplicazione è una tecnica, non una tesi: si esegue prima di contare, e chi conta prima di eseguirla misura copie credendo di misurare testimoni.</w:t>
      </w:r>
    </w:p>
    <w:p>
      <w:pPr>
        <w:spacing w:after="120" w:line="276"/>
        <w:jc w:val="both"/>
      </w:pPr>
      <w:r>
        <w:rPr>
          <w:rFonts w:ascii="Barlow Semi Condensed" w:cs="Barlow Semi Condensed" w:eastAsia="Barlow Semi Condensed" w:hAnsi="Barlow Semi Condensed"/>
          <w:b/>
          <w:bCs/>
          <w:sz w:val="24"/>
          <w:szCs w:val="24"/>
        </w:rPr>
        <w:t xml:space="preserve">2521 · La catena verificata nel solo punto possibile.</w:t>
      </w:r>
      <w:r>
        <w:rPr>
          <w:rFonts w:ascii="Barlow Semi Condensed" w:cs="Barlow Semi Condensed" w:eastAsia="Barlow Semi Condensed" w:hAnsi="Barlow Semi Condensed"/>
          <w:sz w:val="24"/>
          <w:szCs w:val="24"/>
        </w:rPr>
        <w:t xml:space="preserve"> Verificata la catena di custodia nell'unico punto in cui la verifica era possibile, e trovata esatta: così riferisce la terza sezione. La formula è impeccabile e va imitata, perché dice il risultato e insieme il perimetro del risultato. Sul nostro versante la catena verificabile è una sola: dal file 1552802 della Ford Library al documento 350 del volume FRUS, due esemplari collazionabili.</w:t>
      </w:r>
    </w:p>
    <w:p>
      <w:pPr>
        <w:spacing w:after="120" w:line="276"/>
        <w:jc w:val="both"/>
      </w:pPr>
      <w:r>
        <w:rPr>
          <w:rFonts w:ascii="Barlow Semi Condensed" w:cs="Barlow Semi Condensed" w:eastAsia="Barlow Semi Condensed" w:hAnsi="Barlow Semi Condensed"/>
          <w:b/>
          <w:bCs/>
          <w:sz w:val="24"/>
          <w:szCs w:val="24"/>
        </w:rPr>
        <w:t xml:space="preserve">2522 · Titoli restituiti senza toccare il testo.</w:t>
      </w:r>
      <w:r>
        <w:rPr>
          <w:rFonts w:ascii="Barlow Semi Condensed" w:cs="Barlow Semi Condensed" w:eastAsia="Barlow Semi Condensed" w:hAnsi="Barlow Semi Condensed"/>
          <w:sz w:val="24"/>
          <w:szCs w:val="24"/>
        </w:rPr>
        <w:t xml:space="preserve"> L'ultima operazione tecnica riferita — una struttura di titoli data a centosessantatremila parole che ne erano prive, senza che una sola parola fosse mutata — fissa il confine fra intervento formale e intervento sostanziale. Il fascicolo lo attraverserebbe nel momento in cui, ordinando i blocchi per serie, mutasse il grado di uno di essi. L'ordinamento è forma, il grado è sostanza, e una campagna territoriale non promuove nulla.</w:t>
      </w:r>
    </w:p>
    <w:p>
      <w:pPr>
        <w:spacing w:after="120" w:line="276"/>
        <w:jc w:val="both"/>
      </w:pPr>
      <w:r>
        <w:rPr>
          <w:rFonts w:ascii="Barlow Semi Condensed" w:cs="Barlow Semi Condensed" w:eastAsia="Barlow Semi Condensed" w:hAnsi="Barlow Semi Condensed"/>
          <w:b/>
          <w:bCs/>
          <w:sz w:val="24"/>
          <w:szCs w:val="24"/>
        </w:rPr>
        <w:t xml:space="preserve">2523 · I rinvii che non reggerebbero.</w:t>
      </w:r>
      <w:r>
        <w:rPr>
          <w:rFonts w:ascii="Barlow Semi Condensed" w:cs="Barlow Semi Condensed" w:eastAsia="Barlow Semi Condensed" w:hAnsi="Barlow Semi Condensed"/>
          <w:sz w:val="24"/>
          <w:szCs w:val="24"/>
        </w:rPr>
        <w:t xml:space="preserve"> La quarta sezione lascia aperta, fra le tre questioni residue, la sostituzione di taluni rinvii che per la loro provenienza non reggerebbero a un uso accademico. Accertamento verificabile: nell'apparato bibliografico dell'opera integrale il nodo dell'avvertimento poggia sulle note cinquanta e cinquantuno, entrambe di provenienza giornalistica o divulgativa. La questione aperta, dichiarata in astratto dalla relazione, ha dunque in concreto questo indirizzo.</w:t>
      </w:r>
    </w:p>
    <w:p>
      <w:pPr>
        <w:spacing w:after="120" w:line="276"/>
        <w:jc w:val="both"/>
      </w:pPr>
      <w:r>
        <w:rPr>
          <w:rFonts w:ascii="Barlow Semi Condensed" w:cs="Barlow Semi Condensed" w:eastAsia="Barlow Semi Condensed" w:hAnsi="Barlow Semi Condensed"/>
          <w:b/>
          <w:bCs/>
          <w:sz w:val="24"/>
          <w:szCs w:val="24"/>
        </w:rPr>
        <w:t xml:space="preserve">2524 · Che cosa sostituirebbe la prima nota.</w:t>
      </w:r>
      <w:r>
        <w:rPr>
          <w:rFonts w:ascii="Barlow Semi Condensed" w:cs="Barlow Semi Condensed" w:eastAsia="Barlow Semi Condensed" w:hAnsi="Barlow Semi Condensed"/>
          <w:sz w:val="24"/>
          <w:szCs w:val="24"/>
        </w:rPr>
        <w:t xml:space="preserve"> La nota cinquanta rinvia a una pagina divulgativa sulle testimonianze della vedova e del portavoce. La sostituzione è disponibile e nominabile: il resoconto stenografico integrale dell'audizione del primo agosto 1980 davanti alla Commissione parlamentare d'inchiesta sul caso Moro, conservato negli atti della Camera. Finché la sostituzione non avviene il nodo poggia su una sintesi e non su un verbale, e il grado resta debole.</w:t>
      </w:r>
    </w:p>
    <w:p>
      <w:pPr>
        <w:spacing w:after="120" w:line="276"/>
        <w:jc w:val="both"/>
      </w:pPr>
      <w:r>
        <w:rPr>
          <w:rFonts w:ascii="Barlow Semi Condensed" w:cs="Barlow Semi Condensed" w:eastAsia="Barlow Semi Condensed" w:hAnsi="Barlow Semi Condensed"/>
          <w:b/>
          <w:bCs/>
          <w:sz w:val="24"/>
          <w:szCs w:val="24"/>
        </w:rPr>
        <w:t xml:space="preserve">2525 · Che cosa sostituirebbe la seconda nota.</w:t>
      </w:r>
      <w:r>
        <w:rPr>
          <w:rFonts w:ascii="Barlow Semi Condensed" w:cs="Barlow Semi Condensed" w:eastAsia="Barlow Semi Condensed" w:hAnsi="Barlow Semi Condensed"/>
          <w:sz w:val="24"/>
          <w:szCs w:val="24"/>
        </w:rPr>
        <w:t xml:space="preserve"> Alla ripresa giornalistica di un programma televisivo rinvia invece la nota cinquantuno. La sostituzione è parimenti nominabile: il verbale d'udienza della deposizione resa alla Corte d'assise di Roma nel novembre 1982, di cui resta contesa perfino la data, indicata al giorno dieci dalla maggioranza delle fonti e al quindici da una. Una divergenza sul giorno di una deposizione misura, da sola, la distanza dagli atti.</w:t>
      </w:r>
    </w:p>
    <w:p>
      <w:pPr>
        <w:spacing w:after="120" w:line="276"/>
        <w:jc w:val="both"/>
      </w:pPr>
      <w:r>
        <w:rPr>
          <w:rFonts w:ascii="Barlow Semi Condensed" w:cs="Barlow Semi Condensed" w:eastAsia="Barlow Semi Condensed" w:hAnsi="Barlow Semi Condensed"/>
          <w:b/>
          <w:bCs/>
          <w:sz w:val="24"/>
          <w:szCs w:val="24"/>
        </w:rPr>
        <w:t xml:space="preserve">2526 · Le due fonti che il committente esclude (serie XXXIII).</w:t>
      </w:r>
      <w:r>
        <w:rPr>
          <w:rFonts w:ascii="Barlow Semi Condensed" w:cs="Barlow Semi Condensed" w:eastAsia="Barlow Semi Condensed" w:hAnsi="Barlow Semi Condensed"/>
          <w:sz w:val="24"/>
          <w:szCs w:val="24"/>
        </w:rPr>
        <w:t xml:space="preserve"> Il mandato di questa campagna esclude espressamente due testate dal novero delle fonti citabili. La regola si somma a quella della quarta sezione della relazione e produce un criterio unico: non si cita ciò che il committente esclude, e non si fonda ciò che la provenienza non regge. Il residuo citabile per il nostro nodo è quindi piccolissimo, e coincide quasi per intero con gli atti non ancora letti.</w:t>
      </w:r>
    </w:p>
    <w:p>
      <w:pPr>
        <w:spacing w:after="120" w:line="276"/>
        <w:jc w:val="both"/>
      </w:pPr>
      <w:r>
        <w:rPr>
          <w:rFonts w:ascii="Barlow Semi Condensed" w:cs="Barlow Semi Condensed" w:eastAsia="Barlow Semi Condensed" w:hAnsi="Barlow Semi Condensed"/>
          <w:b/>
          <w:bCs/>
          <w:sz w:val="24"/>
          <w:szCs w:val="24"/>
        </w:rPr>
        <w:t xml:space="preserve">2527 · Il repertorio contro l'elenco.</w:t>
      </w:r>
      <w:r>
        <w:rPr>
          <w:rFonts w:ascii="Barlow Semi Condensed" w:cs="Barlow Semi Condensed" w:eastAsia="Barlow Semi Condensed" w:hAnsi="Barlow Semi Condensed"/>
          <w:sz w:val="24"/>
          <w:szCs w:val="24"/>
        </w:rPr>
        <w:t xml:space="preserve"> Distingue un repertorio da un elenco, secondo la chiusa della relazione, soltanto la pazienza del riscontro. Applicato a questa serie il criterio è severo: settanta blocchi che non nominassero sedi, segnature e criteri di smentita sarebbero un elenco. Ciò che li rende repertorio non è il numero, è che ciascuno dica dove si verifica e che cosa si troverebbe se l'ipotesi fosse falsa.</w:t>
      </w:r>
    </w:p>
    <w:p>
      <w:pPr>
        <w:spacing w:after="120" w:line="276"/>
        <w:jc w:val="both"/>
      </w:pPr>
      <w:r>
        <w:rPr>
          <w:rFonts w:ascii="Barlow Semi Condensed" w:cs="Barlow Semi Condensed" w:eastAsia="Barlow Semi Condensed" w:hAnsi="Barlow Semi Condensed"/>
          <w:b/>
          <w:bCs/>
          <w:sz w:val="24"/>
          <w:szCs w:val="24"/>
        </w:rPr>
        <w:t xml:space="preserve">2528 · Il bersaglio di smentita del nodo.</w:t>
      </w:r>
      <w:r>
        <w:rPr>
          <w:rFonts w:ascii="Barlow Semi Condensed" w:cs="Barlow Semi Condensed" w:eastAsia="Barlow Semi Condensed" w:hAnsi="Barlow Semi Condensed"/>
          <w:sz w:val="24"/>
          <w:szCs w:val="24"/>
        </w:rPr>
        <w:t xml:space="preserve"> Che cosa falsificherebbe la posizione qui tenuta, cioè che il nesso non è provato. Un solo genere di documento: un atto di provenienza — italiano, statunitense o alleato — che nomini la controparte e leghi una parola a una direttiva. Se il verbale del 1982 e il resoconto del 1980 confermassero la formulazione e le circostanze, il grado salirebbe verso un B pieno; se li smentissero, scenderebbe.</w:t>
      </w:r>
    </w:p>
    <w:p>
      <w:pPr>
        <w:spacing w:after="120" w:line="276"/>
        <w:jc w:val="both"/>
      </w:pPr>
      <w:r>
        <w:rPr>
          <w:rFonts w:ascii="Barlow Semi Condensed" w:cs="Barlow Semi Condensed" w:eastAsia="Barlow Semi Condensed" w:hAnsi="Barlow Semi Condensed"/>
          <w:b/>
          <w:bCs/>
          <w:sz w:val="24"/>
          <w:szCs w:val="24"/>
        </w:rPr>
        <w:t xml:space="preserve">2529 · Lo Stato Zero del piano internazionale.</w:t>
      </w:r>
      <w:r>
        <w:rPr>
          <w:rFonts w:ascii="Barlow Semi Condensed" w:cs="Barlow Semi Condensed" w:eastAsia="Barlow Semi Condensed" w:hAnsi="Barlow Semi Condensed"/>
          <w:sz w:val="24"/>
          <w:szCs w:val="24"/>
        </w:rPr>
        <w:t xml:space="preserve"> Accertamento negativo formalizzato: l'apparato non contiene alcuna riga il cui oggetto sia il versante internazionale come catena di comando, mentre ne contiene tre sul versante internazionale come contesto. Ciò che chiuderebbe la lacuna non è un archivio ma una redazione: una riga aggiunta, con grado Ø e la colonna di smentita compilata. È lacuna editoriale, non documentale, e si chiude con un atto di scrittura.</w:t>
      </w:r>
    </w:p>
    <w:p>
      <w:pPr>
        <w:spacing w:after="120" w:line="276"/>
        <w:jc w:val="both"/>
      </w:pPr>
      <w:r>
        <w:rPr>
          <w:rFonts w:ascii="Barlow Semi Condensed" w:cs="Barlow Semi Condensed" w:eastAsia="Barlow Semi Condensed" w:hAnsi="Barlow Semi Condensed"/>
          <w:b/>
          <w:bCs/>
          <w:sz w:val="24"/>
          <w:szCs w:val="24"/>
        </w:rPr>
        <w:t xml:space="preserve">2530 · La relazione non verificò fonti americane.</w:t>
      </w:r>
      <w:r>
        <w:rPr>
          <w:rFonts w:ascii="Barlow Semi Condensed" w:cs="Barlow Semi Condensed" w:eastAsia="Barlow Semi Condensed" w:hAnsi="Barlow Semi Condensed"/>
          <w:sz w:val="24"/>
          <w:szCs w:val="24"/>
        </w:rPr>
        <w:t xml:space="preserve"> Secondo Stato Zero del territorio: la relazione elenca le verifiche condotte — sul registro degli amnistiati, sul corpus guevariano, sul lotto riservato — e nessuna di esse tocca fondi statunitensi. Non è omissione, è perimetro: quei lavori riguardavano il Tribunale Speciale e la biografia guevariana. Va detto perché impedisce di leggere il silenzio del documento come esito di una ricerca che non fu mai avviata.</w:t>
      </w:r>
    </w:p>
    <w:p>
      <w:pPr>
        <w:spacing w:after="120" w:line="276"/>
        <w:jc w:val="both"/>
      </w:pPr>
      <w:r>
        <w:rPr>
          <w:rFonts w:ascii="Barlow Semi Condensed" w:cs="Barlow Semi Condensed" w:eastAsia="Barlow Semi Condensed" w:hAnsi="Barlow Semi Condensed"/>
          <w:b/>
          <w:bCs/>
          <w:sz w:val="24"/>
          <w:szCs w:val="24"/>
        </w:rPr>
        <w:t xml:space="preserve">2531 · La sede della riga mancante.</w:t>
      </w:r>
      <w:r>
        <w:rPr>
          <w:rFonts w:ascii="Barlow Semi Condensed" w:cs="Barlow Semi Condensed" w:eastAsia="Barlow Semi Condensed" w:hAnsi="Barlow Semi Condensed"/>
          <w:sz w:val="24"/>
          <w:szCs w:val="24"/>
        </w:rPr>
        <w:t xml:space="preserve"> Quesito d'archivio primo, e il più oneroso: spoglio della collezione «Stragi (Direttiva Renzi)» presso la Sala delle raccolte speciali dell'Archivio centrale dello Stato, con chiave onomastica dedicata e verbale degli esiti a vuoto. Il fondo raccoglie i versamenti disposti dalla direttiva del 22 aprile 2014 ed estesi al caso Moro il 2 dicembre 2014. Nessuna campagna lo ha interrogato con questa chiave.</w:t>
      </w:r>
    </w:p>
    <w:p>
      <w:pPr>
        <w:spacing w:after="120" w:line="276"/>
        <w:jc w:val="both"/>
      </w:pPr>
      <w:r>
        <w:rPr>
          <w:rFonts w:ascii="Barlow Semi Condensed" w:cs="Barlow Semi Condensed" w:eastAsia="Barlow Semi Condensed" w:hAnsi="Barlow Semi Condensed"/>
          <w:b/>
          <w:bCs/>
          <w:sz w:val="24"/>
          <w:szCs w:val="24"/>
        </w:rPr>
        <w:t xml:space="preserve">2532 · Il fondo personale di Aldo Moro.</w:t>
      </w:r>
      <w:r>
        <w:rPr>
          <w:rFonts w:ascii="Barlow Semi Condensed" w:cs="Barlow Semi Condensed" w:eastAsia="Barlow Semi Condensed" w:hAnsi="Barlow Semi Condensed"/>
          <w:sz w:val="24"/>
          <w:szCs w:val="24"/>
        </w:rPr>
        <w:t xml:space="preserve"> Duecentodiciotto buste per gli anni 1953-1978: il fondo personale Aldo Moro all'Archivio centrale dello Stato va interrogato sulla trasferta americana del settembre 1974, cercando appunti preparatori, resoconti di gabinetto, corrispondenza successiva. Se un appunto italiano di quel viaggio esiste, è lì o alla Farnesina. Se non esiste, l'assenza va verbalizzata con la segnatura delle buste esaminate, non con una frase generale.</w:t>
      </w:r>
    </w:p>
    <w:p>
      <w:pPr>
        <w:spacing w:after="120" w:line="276"/>
        <w:jc w:val="both"/>
      </w:pPr>
      <w:r>
        <w:rPr>
          <w:rFonts w:ascii="Barlow Semi Condensed" w:cs="Barlow Semi Condensed" w:eastAsia="Barlow Semi Condensed" w:hAnsi="Barlow Semi Condensed"/>
          <w:b/>
          <w:bCs/>
          <w:sz w:val="24"/>
          <w:szCs w:val="24"/>
        </w:rPr>
        <w:t xml:space="preserve">2533 · Le carte della famiglia.</w:t>
      </w:r>
      <w:r>
        <w:rPr>
          <w:rFonts w:ascii="Barlow Semi Condensed" w:cs="Barlow Semi Condensed" w:eastAsia="Barlow Semi Condensed" w:hAnsi="Barlow Semi Condensed"/>
          <w:sz w:val="24"/>
          <w:szCs w:val="24"/>
        </w:rPr>
        <w:t xml:space="preserve"> Terzo bersaglio: il fondo familiare Moro presso il Centro documentazione Archivio Flamigni, a Roma alla Garbatella, con la serie «Caso Moro» inventariata. Oggetto della ricerca non è la frase, è la sua trasmissione domestica: quando la vedova ne parlò per la prima volta, a chi, con quali parole. Una testimonianza indiretta indica sempre una fonte anteriore, e quella fonte lascia quasi sempre traccia scritta.</w:t>
      </w:r>
    </w:p>
    <w:p>
      <w:pPr>
        <w:spacing w:after="120" w:line="276"/>
        <w:jc w:val="both"/>
      </w:pPr>
      <w:r>
        <w:rPr>
          <w:rFonts w:ascii="Barlow Semi Condensed" w:cs="Barlow Semi Condensed" w:eastAsia="Barlow Semi Condensed" w:hAnsi="Barlow Semi Condensed"/>
          <w:b/>
          <w:bCs/>
          <w:sz w:val="24"/>
          <w:szCs w:val="24"/>
        </w:rPr>
        <w:t xml:space="preserve">2534 · Gli atti della Commissione.</w:t>
      </w:r>
      <w:r>
        <w:rPr>
          <w:rFonts w:ascii="Barlow Semi Condensed" w:cs="Barlow Semi Condensed" w:eastAsia="Barlow Semi Condensed" w:hAnsi="Barlow Semi Condensed"/>
          <w:sz w:val="24"/>
          <w:szCs w:val="24"/>
        </w:rPr>
        <w:t xml:space="preserve"> Il meno costoso di tutti i quesiti sta all'Archivio storico della Camera dei deputati: gli atti della Commissione parlamentare d'inchiesta sul rapimento e la morte di Aldo Moro, per il resoconto stenografico del primo agosto 1980. Una fonte indica l'undici, verosimilmente per lettura errata del primo. La divergenza si chiude aprendo il volume, ed è la verifica a più alto rendimento dell'intera serie.</w:t>
      </w:r>
    </w:p>
    <w:p>
      <w:pPr>
        <w:spacing w:after="120" w:line="276"/>
        <w:jc w:val="both"/>
      </w:pPr>
      <w:r>
        <w:rPr>
          <w:rFonts w:ascii="Barlow Semi Condensed" w:cs="Barlow Semi Condensed" w:eastAsia="Barlow Semi Condensed" w:hAnsi="Barlow Semi Condensed"/>
          <w:b/>
          <w:bCs/>
          <w:sz w:val="24"/>
          <w:szCs w:val="24"/>
        </w:rPr>
        <w:t xml:space="preserve">2535 · Due esemplari, un solo testo.</w:t>
      </w:r>
      <w:r>
        <w:rPr>
          <w:rFonts w:ascii="Barlow Semi Condensed" w:cs="Barlow Semi Condensed" w:eastAsia="Barlow Semi Condensed" w:hAnsi="Barlow Semi Condensed"/>
          <w:sz w:val="24"/>
          <w:szCs w:val="24"/>
        </w:rPr>
        <w:t xml:space="preserve"> Il memorandum del 25 settembre 1974 esiste in due esemplari collazionabili, il file 1552802 della Gerald R. Ford Presidential Library e il documento 350 del FRUS 1969-1976, volume E-15, parte seconda, seconda edizione riveduta. La collazione è il solo modo di accertare che l'edizione non abbia normalizzato l'originale, ed è operazione di poche ore. Nessuna serie del corpus risulta averla eseguita.</w:t>
      </w:r>
    </w:p>
    <w:p>
      <w:pPr>
        <w:spacing w:after="120" w:line="276"/>
        <w:jc w:val="both"/>
      </w:pPr>
      <w:r>
        <w:rPr>
          <w:rFonts w:ascii="Barlow Semi Condensed" w:cs="Barlow Semi Condensed" w:eastAsia="Barlow Semi Condensed" w:hAnsi="Barlow Semi Condensed"/>
          <w:b/>
          <w:bCs/>
          <w:sz w:val="24"/>
          <w:szCs w:val="24"/>
        </w:rPr>
        <w:t xml:space="preserve">2536 · Il denominatore estero.</w:t>
      </w:r>
      <w:r>
        <w:rPr>
          <w:rFonts w:ascii="Barlow Semi Condensed" w:cs="Barlow Semi Condensed" w:eastAsia="Barlow Semi Condensed" w:hAnsi="Barlow Semi Condensed"/>
          <w:sz w:val="24"/>
          <w:szCs w:val="24"/>
        </w:rPr>
        <w:t xml:space="preserve"> Ai National Archives di College Park i Central Foreign Policy Files vanno interrogati con l'Access to Archival Databases per i telegrammi del 1978, e le withdrawal cards censite: il corpus le stima in circa quattrocentosettantaquattro atti di origine alleata trattenuti. È il numero che trasforma un «non trovato» in una frazione dichiarata, e senza il quale l'esito negativo resta impressionistico.</w:t>
      </w:r>
    </w:p>
    <w:p>
      <w:pPr>
        <w:spacing w:after="120" w:line="276"/>
        <w:jc w:val="both"/>
      </w:pPr>
      <w:r>
        <w:rPr>
          <w:rFonts w:ascii="Barlow Semi Condensed" w:cs="Barlow Semi Condensed" w:eastAsia="Barlow Semi Condensed" w:hAnsi="Barlow Semi Condensed"/>
          <w:b/>
          <w:bCs/>
          <w:sz w:val="24"/>
          <w:szCs w:val="24"/>
        </w:rPr>
        <w:t xml:space="preserve">2537 · Il 1978 non è il 1974.</w:t>
      </w:r>
      <w:r>
        <w:rPr>
          <w:rFonts w:ascii="Barlow Semi Condensed" w:cs="Barlow Semi Condensed" w:eastAsia="Barlow Semi Condensed" w:hAnsi="Barlow Semi Condensed"/>
          <w:sz w:val="24"/>
          <w:szCs w:val="24"/>
        </w:rPr>
        <w:t xml:space="preserve"> Alla Jimmy Carter Presidential Library il Country File italiano della serie Brzezinski copre gli anni 1977-1981 ed è la sede propria dei cinquantacinque giorni. Chi vi cerchi il nome di questa serie cerca un privato cittadino dentro carte di governo. L'eventuale ricorrenza avrebbe perciò valore particolare, e andrebbe letta per ciò che è: una menzione, non una posizione, e tanto meno una funzione.</w:t>
      </w:r>
    </w:p>
    <w:p>
      <w:pPr>
        <w:spacing w:after="120" w:line="276"/>
        <w:jc w:val="both"/>
      </w:pPr>
      <w:r>
        <w:rPr>
          <w:rFonts w:ascii="Barlow Semi Condensed" w:cs="Barlow Semi Condensed" w:eastAsia="Barlow Semi Condensed" w:hAnsi="Barlow Semi Condensed"/>
          <w:b/>
          <w:bCs/>
          <w:sz w:val="24"/>
          <w:szCs w:val="24"/>
        </w:rPr>
        <w:t xml:space="preserve">2538 · La lente non entra nella colonna.</w:t>
      </w:r>
      <w:r>
        <w:rPr>
          <w:rFonts w:ascii="Barlow Semi Condensed" w:cs="Barlow Semi Condensed" w:eastAsia="Barlow Semi Condensed" w:hAnsi="Barlow Semi Condensed"/>
          <w:sz w:val="24"/>
          <w:szCs w:val="24"/>
        </w:rPr>
        <w:t xml:space="preserve"> Regola di chiusura sull'apparato: la figura genetica che governa l'intera opera va collocata fra le voci di metodo e non fra quelle di grado. L'apparato riserva a tale scopo il segno M e lascia il trattino nella colonna della smentita. Il giorno in cui una metafora comparisse in una riga di grado A o B, l'indice dei gradi sarebbe diventato un indice delle idee.</w:t>
      </w:r>
    </w:p>
    <w:p>
      <w:pPr>
        <w:spacing w:after="120" w:line="276"/>
        <w:jc w:val="both"/>
      </w:pPr>
      <w:r>
        <w:rPr>
          <w:rFonts w:ascii="Barlow Semi Condensed" w:cs="Barlow Semi Condensed" w:eastAsia="Barlow Semi Condensed" w:hAnsi="Barlow Semi Condensed"/>
          <w:b/>
          <w:bCs/>
          <w:sz w:val="24"/>
          <w:szCs w:val="24"/>
        </w:rPr>
        <w:t xml:space="preserve">2539 · Il conto della serie.</w:t>
      </w:r>
      <w:r>
        <w:rPr>
          <w:rFonts w:ascii="Barlow Semi Condensed" w:cs="Barlow Semi Condensed" w:eastAsia="Barlow Semi Condensed" w:hAnsi="Barlow Semi Condensed"/>
          <w:sz w:val="24"/>
          <w:szCs w:val="24"/>
        </w:rPr>
        <w:t xml:space="preserve"> Bilancio dichiarato, come l'opera esige. Su settanta blocchi i ponti di primo piano fra questo nome e il territorio assegnato sono zero: nessuno dei due documenti lo nomina. Le convergenze di secondo piano sono di forma — la deduplicazione, la correzione per nota, il campione contro il censimento — e riguardano il metodo, non i fatti. Il resto è Stato Zero, con le sedi nominate che lo chiuderebbero.</w:t>
      </w:r>
    </w:p>
    <w:p>
      <w:pPr>
        <w:spacing w:after="120" w:line="276"/>
        <w:jc w:val="both"/>
      </w:pPr>
      <w:r>
        <w:rPr>
          <w:rFonts w:ascii="Barlow Semi Condensed" w:cs="Barlow Semi Condensed" w:eastAsia="Barlow Semi Condensed" w:hAnsi="Barlow Semi Condensed"/>
          <w:b/>
          <w:bCs/>
          <w:sz w:val="24"/>
          <w:szCs w:val="24"/>
        </w:rPr>
        <w:t xml:space="preserve">2540 · Congedo con la clausola dell'apparato.</w:t>
      </w:r>
      <w:r>
        <w:rPr>
          <w:rFonts w:ascii="Barlow Semi Condensed" w:cs="Barlow Semi Condensed" w:eastAsia="Barlow Semi Condensed" w:hAnsi="Barlow Semi Condensed"/>
          <w:sz w:val="24"/>
          <w:szCs w:val="24"/>
        </w:rPr>
        <w:t xml:space="preserve"> Si chiude come l'apparato chiude, ripetendo la clausola che ne governa ogni riga: nessuna persona è qui indicata come responsabile di reato oltre il giudicato definitivo, e per il soggetto di questa serie non esiste giudicato alcuno, non essendo mai stato imputato né processato in alcun Paese. Ciò che la serie ha stabilito è dove guardare; ciò che non ha stabilito resta scritto accanto.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trentaquattresima — La Farnesina: la ricognizione-madre 1969-1974</w:t>
      </w:r>
    </w:p>
    <w:p>
      <w:pPr>
        <w:spacing w:after="120" w:line="276"/>
        <w:jc w:val="both"/>
      </w:pPr>
      <w:r>
        <w:rPr>
          <w:rFonts w:ascii="Barlow Semi Condensed" w:cs="Barlow Semi Condensed" w:eastAsia="Barlow Semi Condensed" w:hAnsi="Barlow Semi Condensed"/>
          <w:i/>
          <w:iCs/>
          <w:sz w:val="24"/>
          <w:szCs w:val="24"/>
        </w:rPr>
        <w:t xml:space="preserve">Blocchi 2541-2620.</w:t>
      </w:r>
    </w:p>
    <w:p>
      <w:pPr>
        <w:spacing w:after="120" w:line="276"/>
        <w:jc w:val="both"/>
      </w:pPr>
      <w:r>
        <w:rPr>
          <w:rFonts w:ascii="Barlow Semi Condensed" w:cs="Barlow Semi Condensed" w:eastAsia="Barlow Semi Condensed" w:hAnsi="Barlow Semi Condensed"/>
          <w:b/>
          <w:bCs/>
          <w:sz w:val="24"/>
          <w:szCs w:val="24"/>
        </w:rPr>
        <w:t xml:space="preserve">2541 · Statuto della trentaquattresima serie.</w:t>
      </w:r>
      <w:r>
        <w:rPr>
          <w:rFonts w:ascii="Barlow Semi Condensed" w:cs="Barlow Semi Condensed" w:eastAsia="Barlow Semi Condensed" w:hAnsi="Barlow Semi Condensed"/>
          <w:sz w:val="24"/>
          <w:szCs w:val="24"/>
        </w:rPr>
        <w:t xml:space="preserve"> La serie triangola il nome di Henry Kissinger contro un territorio solo: la cartella moro-ministro-esteri, il suo README e la ricognizione-madre in dodici capitoli sul ministero degli Esteri fra il 5 agosto 1969 e il 23 novembre 1974. Ogni blocco è un bersaglio, un accertamento graduato, una regola di lettura o uno Stato Zero con la sede che lo chiuderebbe. Nessuno è un'affermazione libera.</w:t>
      </w:r>
    </w:p>
    <w:p>
      <w:pPr>
        <w:spacing w:after="120" w:line="276"/>
        <w:jc w:val="both"/>
      </w:pPr>
      <w:r>
        <w:rPr>
          <w:rFonts w:ascii="Barlow Semi Condensed" w:cs="Barlow Semi Condensed" w:eastAsia="Barlow Semi Condensed" w:hAnsi="Barlow Semi Condensed"/>
          <w:b/>
          <w:bCs/>
          <w:sz w:val="24"/>
          <w:szCs w:val="24"/>
        </w:rPr>
        <w:t xml:space="preserve">2542 · La catena di custodia del territorio.</w:t>
      </w:r>
      <w:r>
        <w:rPr>
          <w:rFonts w:ascii="Barlow Semi Condensed" w:cs="Barlow Semi Condensed" w:eastAsia="Barlow Semi Condensed" w:hAnsi="Barlow Semi Condensed"/>
          <w:sz w:val="24"/>
          <w:szCs w:val="24"/>
        </w:rPr>
        <w:t xml:space="preserve"> Il manifest SHA-256 della cartella registra la ricognizione-madre con impronta 85d55144e94e4162dc4680ccd62671acf4edfe9eae560613d3e64d6b72b09ebe e col nome del caricamento originario, 04eebf84-Aldo_Moro_Ministro_degli_Esteri_19691974_Ricognizione_Archiv.md. Prima di interrogare un territorio se ne accerta l'identità materiale: il documento su cui questa serie lavora è quello, non una sua parafrasi. La verifica è ripetibile da chiunque e va rifatta a ogni ripresa del lavoro.</w:t>
      </w:r>
    </w:p>
    <w:p>
      <w:pPr>
        <w:spacing w:after="120" w:line="276"/>
        <w:jc w:val="both"/>
      </w:pPr>
      <w:r>
        <w:rPr>
          <w:rFonts w:ascii="Barlow Semi Condensed" w:cs="Barlow Semi Condensed" w:eastAsia="Barlow Semi Condensed" w:hAnsi="Barlow Semi Condensed"/>
          <w:b/>
          <w:bCs/>
          <w:sz w:val="24"/>
          <w:szCs w:val="24"/>
        </w:rPr>
        <w:t xml:space="preserve">2543 · La regola sul nome, qui.</w:t>
      </w:r>
      <w:r>
        <w:rPr>
          <w:rFonts w:ascii="Barlow Semi Condensed" w:cs="Barlow Semi Condensed" w:eastAsia="Barlow Semi Condensed" w:hAnsi="Barlow Semi Condensed"/>
          <w:sz w:val="24"/>
          <w:szCs w:val="24"/>
        </w:rPr>
        <w:t xml:space="preserve"> Henry Kissinger non fu condannato in alcun processo, non fu imputato né processato in alcun Paese. In questo territorio compare come partecipante a un colloquio verbalizzato e come autore di posizioni espresse: nulla di più, e nulla che equivalga a un'imputazione. La regola vale per ogni nome che attraversi la cartella, italiano, spagnolo o americano. Il corpus si ferma al giudicato, e qui non c'è giudicato di alcun genere.</w:t>
      </w:r>
    </w:p>
    <w:p>
      <w:pPr>
        <w:spacing w:after="120" w:line="276"/>
        <w:jc w:val="both"/>
      </w:pPr>
      <w:r>
        <w:rPr>
          <w:rFonts w:ascii="Barlow Semi Condensed" w:cs="Barlow Semi Condensed" w:eastAsia="Barlow Semi Condensed" w:hAnsi="Barlow Semi Condensed"/>
          <w:b/>
          <w:bCs/>
          <w:sz w:val="24"/>
          <w:szCs w:val="24"/>
        </w:rPr>
        <w:t xml:space="preserve">2544 · I tre piani su questa cartella.</w:t>
      </w:r>
      <w:r>
        <w:rPr>
          <w:rFonts w:ascii="Barlow Semi Condensed" w:cs="Barlow Semi Condensed" w:eastAsia="Barlow Semi Condensed" w:hAnsi="Barlow Semi Condensed"/>
          <w:sz w:val="24"/>
          <w:szCs w:val="24"/>
        </w:rPr>
        <w:t xml:space="preserve"> Piano primo: due nomi nello stesso documento datato, con la stessa provenienza. Piano secondo: due carte che descrivono la stessa cornice senza toccarsi. Piano terzo: affermazione riferita, priva di riscontro primario. Applicata alla ricognizione-madre, la scala dà un solo ponte al primo piano, una fascia larga al secondo e due voci al terzo. Nessuna promozione fra i piani è ammessa, in questa serie come in tutte.</w:t>
      </w:r>
    </w:p>
    <w:p>
      <w:pPr>
        <w:spacing w:after="120" w:line="276"/>
        <w:jc w:val="both"/>
      </w:pPr>
      <w:r>
        <w:rPr>
          <w:rFonts w:ascii="Barlow Semi Condensed" w:cs="Barlow Semi Condensed" w:eastAsia="Barlow Semi Condensed" w:hAnsi="Barlow Semi Condensed"/>
          <w:b/>
          <w:bCs/>
          <w:sz w:val="24"/>
          <w:szCs w:val="24"/>
        </w:rPr>
        <w:t xml:space="preserve">2545 · Omologia e analogia fra queste carte.</w:t>
      </w:r>
      <w:r>
        <w:rPr>
          <w:rFonts w:ascii="Barlow Semi Condensed" w:cs="Barlow Semi Condensed" w:eastAsia="Barlow Semi Condensed" w:hAnsi="Barlow Semi Condensed"/>
          <w:sz w:val="24"/>
          <w:szCs w:val="24"/>
        </w:rPr>
        <w:t xml:space="preserve"> Due documenti sono parenti quando condividono fondo, ufficio e catena di redazione; si somigliano soltanto quando condividono la funzione. Il lessico atlantico che percorre i capitoli quarto, ottavo e nono è quasi sempre somiglianza di funzione: descrive lo stesso mondo, non discende dalla stessa carta. Il test resta uno: una provenienza che nomini la controparte. Dove manca, si registra analogia e si scrive analogia.</w:t>
      </w:r>
    </w:p>
    <w:p>
      <w:pPr>
        <w:spacing w:after="120" w:line="276"/>
        <w:jc w:val="both"/>
      </w:pPr>
      <w:r>
        <w:rPr>
          <w:rFonts w:ascii="Barlow Semi Condensed" w:cs="Barlow Semi Condensed" w:eastAsia="Barlow Semi Condensed" w:hAnsi="Barlow Semi Condensed"/>
          <w:b/>
          <w:bCs/>
          <w:sz w:val="24"/>
          <w:szCs w:val="24"/>
        </w:rPr>
        <w:t xml:space="preserve">2546 · La misura preliminare, contata.</w:t>
      </w:r>
      <w:r>
        <w:rPr>
          <w:rFonts w:ascii="Barlow Semi Condensed" w:cs="Barlow Semi Condensed" w:eastAsia="Barlow Semi Condensed" w:hAnsi="Barlow Semi Condensed"/>
          <w:sz w:val="24"/>
          <w:szCs w:val="24"/>
        </w:rPr>
        <w:t xml:space="preserve"> Il conteggio meccanico sul file della ricognizione dà sei occorrenze del cognome, tutte dentro il capitolo quarto, «Il versante statunitense: FRUS, National Archives, Comitato dei 303». Undici capitoli su dodici non lo nominano mai. Il dato non è un giudizio: è la misura del territorio prima di interpretarlo, e va rifatto ogni volta che il file cambia. Da qui discende la forma di questa serie, largamente fatta di assenze perimetrate.</w:t>
      </w:r>
    </w:p>
    <w:p>
      <w:pPr>
        <w:spacing w:after="120" w:line="276"/>
        <w:jc w:val="both"/>
      </w:pPr>
      <w:r>
        <w:rPr>
          <w:rFonts w:ascii="Barlow Semi Condensed" w:cs="Barlow Semi Condensed" w:eastAsia="Barlow Semi Condensed" w:hAnsi="Barlow Semi Condensed"/>
          <w:b/>
          <w:bCs/>
          <w:sz w:val="24"/>
          <w:szCs w:val="24"/>
        </w:rPr>
        <w:t xml:space="preserve">2547 · L'unico ponte di primo piano.</w:t>
      </w:r>
      <w:r>
        <w:rPr>
          <w:rFonts w:ascii="Barlow Semi Condensed" w:cs="Barlow Semi Condensed" w:eastAsia="Barlow Semi Condensed" w:hAnsi="Barlow Semi Condensed"/>
          <w:sz w:val="24"/>
          <w:szCs w:val="24"/>
        </w:rPr>
        <w:t xml:space="preserve"> Il memorandum of conversation del 25 settembre 1974 nello Studio Ovale mette nello stesso documento Giovanni Leone, Aldo Moro, Gerald Ford e Henry Kissinger, con Brent Scowcroft presente. Sede: Gerald R. Ford Presidential Library, National Security Adviser's Memoranda of Conversation, file 1552802; edizione parallela in FRUS 1969-1976, volume E-15 parte seconda, documento 350, seconda edizione riveduta. È l'unico piano primo dell'intero territorio.</w:t>
      </w:r>
    </w:p>
    <w:p>
      <w:pPr>
        <w:spacing w:after="120" w:line="276"/>
        <w:jc w:val="both"/>
      </w:pPr>
      <w:r>
        <w:rPr>
          <w:rFonts w:ascii="Barlow Semi Condensed" w:cs="Barlow Semi Condensed" w:eastAsia="Barlow Semi Condensed" w:hAnsi="Barlow Semi Condensed"/>
          <w:b/>
          <w:bCs/>
          <w:sz w:val="24"/>
          <w:szCs w:val="24"/>
        </w:rPr>
        <w:t xml:space="preserve">2548 · Che cosa il capitolo quarto accerta.</w:t>
      </w:r>
      <w:r>
        <w:rPr>
          <w:rFonts w:ascii="Barlow Semi Condensed" w:cs="Barlow Semi Condensed" w:eastAsia="Barlow Semi Condensed" w:hAnsi="Barlow Semi Condensed"/>
          <w:sz w:val="24"/>
          <w:szCs w:val="24"/>
        </w:rPr>
        <w:t xml:space="preserve"> Il capitolo lo dichiara accertato e integralmente disponibile: l'incontro si tenne, in quella data, in quella sede, fra quelle persone, e il redattore vi mise per iscritto un contenuto. Grado A quanto al fatto di calendario e alla versione scritta. Nulla di più: un verbale è un resoconto redatto dopo, non una registrazione, e la sua fedeltà è all'esito della riunione, non alla materialità del parlato.</w:t>
      </w:r>
    </w:p>
    <w:p>
      <w:pPr>
        <w:spacing w:after="120" w:line="276"/>
        <w:jc w:val="both"/>
      </w:pPr>
      <w:r>
        <w:rPr>
          <w:rFonts w:ascii="Barlow Semi Condensed" w:cs="Barlow Semi Condensed" w:eastAsia="Barlow Semi Condensed" w:hAnsi="Barlow Semi Condensed"/>
          <w:b/>
          <w:bCs/>
          <w:sz w:val="24"/>
          <w:szCs w:val="24"/>
        </w:rPr>
        <w:t xml:space="preserve">2549 · Il divieto d'inferenza già scritto.</w:t>
      </w:r>
      <w:r>
        <w:rPr>
          <w:rFonts w:ascii="Barlow Semi Condensed" w:cs="Barlow Semi Condensed" w:eastAsia="Barlow Semi Condensed" w:hAnsi="Barlow Semi Condensed"/>
          <w:sz w:val="24"/>
          <w:szCs w:val="24"/>
        </w:rPr>
        <w:t xml:space="preserve"> La ricognizione formula da sé il limite, e va citata alla lettera: «Il documento attesta la posizione di Kissinger sul PCI; non attesta una posizione di Moro sul medesimo punto in quella sede, che non va inferita». Il silenzio del verbale su Moro non è una presa di posizione di Moro. Chi lo riempie lavora al terzo piano e deve dichiararlo. Il blocco 216 dell'opera dice lo stesso.</w:t>
      </w:r>
    </w:p>
    <w:p>
      <w:pPr>
        <w:spacing w:after="120" w:line="276"/>
        <w:jc w:val="both"/>
      </w:pPr>
      <w:r>
        <w:rPr>
          <w:rFonts w:ascii="Barlow Semi Condensed" w:cs="Barlow Semi Condensed" w:eastAsia="Barlow Semi Condensed" w:hAnsi="Barlow Semi Condensed"/>
          <w:b/>
          <w:bCs/>
          <w:sz w:val="24"/>
          <w:szCs w:val="24"/>
        </w:rPr>
        <w:t xml:space="preserve">2550 · Una divergenza interna al capitolo.</w:t>
      </w:r>
      <w:r>
        <w:rPr>
          <w:rFonts w:ascii="Barlow Semi Condensed" w:cs="Barlow Semi Condensed" w:eastAsia="Barlow Semi Condensed" w:hAnsi="Barlow Semi Condensed"/>
          <w:sz w:val="24"/>
          <w:szCs w:val="24"/>
        </w:rPr>
        <w:t xml:space="preserve"> Lo stesso capitolo colloca la frase sul dover parlare «tough» agli italiani in un colloquio con Ford avvenuto «alla vigilia, il 25 settembre», pur avendo datato al 25 settembre il verbale trilaterale. O la vigilia è quella dell'incontro del 26, o la frase sta dentro il memcon del 25. La divergenza si riporta e non si scioglie in silenzio: va chiusa collazionando i testimoni.</w:t>
      </w:r>
    </w:p>
    <w:p>
      <w:pPr>
        <w:spacing w:after="120" w:line="276"/>
        <w:jc w:val="both"/>
      </w:pPr>
      <w:r>
        <w:rPr>
          <w:rFonts w:ascii="Barlow Semi Condensed" w:cs="Barlow Semi Condensed" w:eastAsia="Barlow Semi Condensed" w:hAnsi="Barlow Semi Condensed"/>
          <w:b/>
          <w:bCs/>
          <w:sz w:val="24"/>
          <w:szCs w:val="24"/>
        </w:rPr>
        <w:t xml:space="preserve">2551 · Due edizioni dello stesso volume.</w:t>
      </w:r>
      <w:r>
        <w:rPr>
          <w:rFonts w:ascii="Barlow Semi Condensed" w:cs="Barlow Semi Condensed" w:eastAsia="Barlow Semi Condensed" w:hAnsi="Barlow Semi Condensed"/>
          <w:sz w:val="24"/>
          <w:szCs w:val="24"/>
        </w:rPr>
        <w:t xml:space="preserve"> Il capitolo quarto rinvia al documento 350 nella seconda edizione riveduta del volume E-15 parte seconda; la ricognizione portoghese della stessa cartella cita il documento 153 del medesimo volume nella prima edizione. Il corpus adopera dunque due lezioni della stessa raccolta. Bersaglio filologico: accertare che cosa la revisione abbia mutato, se la numerazione coincida e con quali note redazionali. Una variante fra testimoni è un dato, non un fastidio.</w:t>
      </w:r>
    </w:p>
    <w:p>
      <w:pPr>
        <w:spacing w:after="120" w:line="276"/>
        <w:jc w:val="both"/>
      </w:pPr>
      <w:r>
        <w:rPr>
          <w:rFonts w:ascii="Barlow Semi Condensed" w:cs="Barlow Semi Condensed" w:eastAsia="Barlow Semi Condensed" w:hAnsi="Barlow Semi Condensed"/>
          <w:b/>
          <w:bCs/>
          <w:sz w:val="24"/>
          <w:szCs w:val="24"/>
        </w:rPr>
        <w:t xml:space="preserve">2552 · Il verbale del giorno successivo.</w:t>
      </w:r>
      <w:r>
        <w:rPr>
          <w:rFonts w:ascii="Barlow Semi Condensed" w:cs="Barlow Semi Condensed" w:eastAsia="Barlow Semi Condensed" w:hAnsi="Barlow Semi Condensed"/>
          <w:sz w:val="24"/>
          <w:szCs w:val="24"/>
        </w:rPr>
        <w:t xml:space="preserve"> Come parimenti disponibile è registrato il verbale del 26 settembre 1974, file 1552806 della Ford Library, senza che i partecipanti siano indicati. Quesito preciso, non asserzione: verificare chi vi figuri, e se Moro vi compaia. Se sì, il territorio guadagna un secondo documento di primo piano; se no, la coppia va sciolta e quel file esce dal perimetro italiano. Lo stesso quesito sta al blocco 221 dell'opera.</w:t>
      </w:r>
    </w:p>
    <w:p>
      <w:pPr>
        <w:spacing w:after="120" w:line="276"/>
        <w:jc w:val="both"/>
      </w:pPr>
      <w:r>
        <w:rPr>
          <w:rFonts w:ascii="Barlow Semi Condensed" w:cs="Barlow Semi Condensed" w:eastAsia="Barlow Semi Condensed" w:hAnsi="Barlow Semi Condensed"/>
          <w:b/>
          <w:bCs/>
          <w:sz w:val="24"/>
          <w:szCs w:val="24"/>
        </w:rPr>
        <w:t xml:space="preserve">2553 · Il lato italiano che manca.</w:t>
      </w:r>
      <w:r>
        <w:rPr>
          <w:rFonts w:ascii="Barlow Semi Condensed" w:cs="Barlow Semi Condensed" w:eastAsia="Barlow Semi Condensed" w:hAnsi="Barlow Semi Condensed"/>
          <w:sz w:val="24"/>
          <w:szCs w:val="24"/>
        </w:rPr>
        <w:t xml:space="preserve"> Di quel colloquio esiste, allo stato, un solo versante: quello redatto dallo staff americano. L'appunto italiano — il telespresso o la nota di gabinetto che ogni ministro fa stendere dopo un bilaterale — non risulta reperito. Stato Zero con perimetro esatto. Sede che lo chiuderebbe: Archivio storico diplomatico della Farnesina, carteggi del gabinetto del ministro, annata 1974, previa verifica dei faldoni tramite il portale asd.esteri.it.</w:t>
      </w:r>
    </w:p>
    <w:p>
      <w:pPr>
        <w:spacing w:after="120" w:line="276"/>
        <w:jc w:val="both"/>
      </w:pPr>
      <w:r>
        <w:rPr>
          <w:rFonts w:ascii="Barlow Semi Condensed" w:cs="Barlow Semi Condensed" w:eastAsia="Barlow Semi Condensed" w:hAnsi="Barlow Semi Condensed"/>
          <w:b/>
          <w:bCs/>
          <w:sz w:val="24"/>
          <w:szCs w:val="24"/>
        </w:rPr>
        <w:t xml:space="preserve">2554 · Chi redasse quella carta.</w:t>
      </w:r>
      <w:r>
        <w:rPr>
          <w:rFonts w:ascii="Barlow Semi Condensed" w:cs="Barlow Semi Condensed" w:eastAsia="Barlow Semi Condensed" w:hAnsi="Barlow Semi Condensed"/>
          <w:sz w:val="24"/>
          <w:szCs w:val="24"/>
        </w:rPr>
        <w:t xml:space="preserve"> Scowcroft è indicato come presente, non come estensore. Un memorandum of conversation lo scrive un funzionario che assistette, dopo la riunione, sui propri appunti, in terza persona e con virgolettati scelti. Bersaglio minuto ma dirimente: reperire in intestazione o in calce del file 1552802 l'indicazione del redattore. Senza quel nome il documento resta anonimo nella sua fonte, e il suo grado di fedeltà non è misurabile.</w:t>
      </w:r>
    </w:p>
    <w:p>
      <w:pPr>
        <w:spacing w:after="120" w:line="276"/>
        <w:jc w:val="both"/>
      </w:pPr>
      <w:r>
        <w:rPr>
          <w:rFonts w:ascii="Barlow Semi Condensed" w:cs="Barlow Semi Condensed" w:eastAsia="Barlow Semi Condensed" w:hAnsi="Barlow Semi Condensed"/>
          <w:b/>
          <w:bCs/>
          <w:sz w:val="24"/>
          <w:szCs w:val="24"/>
        </w:rPr>
        <w:t xml:space="preserve">2555 · Dove cade il ponte.</w:t>
      </w:r>
      <w:r>
        <w:rPr>
          <w:rFonts w:ascii="Barlow Semi Condensed" w:cs="Barlow Semi Condensed" w:eastAsia="Barlow Semi Condensed" w:hAnsi="Barlow Semi Condensed"/>
          <w:sz w:val="24"/>
          <w:szCs w:val="24"/>
        </w:rPr>
        <w:t xml:space="preserve"> L'unico documento di primo piano sta a due mesi dalla fine del secondo mandato, cessato il 23 novembre 1974, e riguarda un presidente subentrato nell'agosto precedente. Non è il centro del ministero: ne è la coda. Ogni lettura che faccia di quel verbale la chiave dell'intero quinquennio scambia un punto terminale per una linea, e va corretta con la cronologia del capitolo primo.</w:t>
      </w:r>
    </w:p>
    <w:p>
      <w:pPr>
        <w:spacing w:after="120" w:line="276"/>
        <w:jc w:val="both"/>
      </w:pPr>
      <w:r>
        <w:rPr>
          <w:rFonts w:ascii="Barlow Semi Condensed" w:cs="Barlow Semi Condensed" w:eastAsia="Barlow Semi Condensed" w:hAnsi="Barlow Semi Condensed"/>
          <w:b/>
          <w:bCs/>
          <w:sz w:val="24"/>
          <w:szCs w:val="24"/>
        </w:rPr>
        <w:t xml:space="preserve">2556 · Il bersaglio di smentita anteriore.</w:t>
      </w:r>
      <w:r>
        <w:rPr>
          <w:rFonts w:ascii="Barlow Semi Condensed" w:cs="Barlow Semi Condensed" w:eastAsia="Barlow Semi Condensed" w:hAnsi="Barlow Semi Condensed"/>
          <w:sz w:val="24"/>
          <w:szCs w:val="24"/>
        </w:rPr>
        <w:t xml:space="preserve"> L'ipotesi da abbattere è questa: che prima del 22 settembre 1973 non esista rapporto diretto documentato fra i due. La smentirebbe una sola cosa, un verbale, un telegramma o un appunto datato fra il 5 agosto 1969 e quel giorno che nomini entrambi come interlocutori. Sedi dove cercarlo: i Nixon Presidential Materials, NSC Files, Country Files: Italy, a College Park, e il carteggio di gabinetto alla Farnesina.</w:t>
      </w:r>
    </w:p>
    <w:p>
      <w:pPr>
        <w:spacing w:after="120" w:line="276"/>
        <w:jc w:val="both"/>
      </w:pPr>
      <w:r>
        <w:rPr>
          <w:rFonts w:ascii="Barlow Semi Condensed" w:cs="Barlow Semi Condensed" w:eastAsia="Barlow Semi Condensed" w:hAnsi="Barlow Semi Condensed"/>
          <w:b/>
          <w:bCs/>
          <w:sz w:val="24"/>
          <w:szCs w:val="24"/>
        </w:rPr>
        <w:t xml:space="preserve">2557 · La cronologia dei due mandati.</w:t>
      </w:r>
      <w:r>
        <w:rPr>
          <w:rFonts w:ascii="Barlow Semi Condensed" w:cs="Barlow Semi Condensed" w:eastAsia="Barlow Semi Condensed" w:hAnsi="Barlow Semi Condensed"/>
          <w:sz w:val="24"/>
          <w:szCs w:val="24"/>
        </w:rPr>
        <w:t xml:space="preserve"> Il capitolo primo dirime sul Portale storico della Camera: il giuramento del secondo governo Rumor è del 5 agosto 1969, e da lì Moro è alla Farnesina, fino al 23 novembre 1974. In mezzo, l'esclusione dal secondo governo Andreotti fra il giugno 1972 e il luglio 1973. Su questa griglia, e non su altre, va misurata ogni sovrapposizione con gli incarichi americani del periodo.</w:t>
      </w:r>
    </w:p>
    <w:p>
      <w:pPr>
        <w:spacing w:after="120" w:line="276"/>
        <w:jc w:val="both"/>
      </w:pPr>
      <w:r>
        <w:rPr>
          <w:rFonts w:ascii="Barlow Semi Condensed" w:cs="Barlow Semi Condensed" w:eastAsia="Barlow Semi Condensed" w:hAnsi="Barlow Semi Condensed"/>
          <w:b/>
          <w:bCs/>
          <w:sz w:val="24"/>
          <w:szCs w:val="24"/>
        </w:rPr>
        <w:t xml:space="preserve">2558 · La data smentita, e perché conta.</w:t>
      </w:r>
      <w:r>
        <w:rPr>
          <w:rFonts w:ascii="Barlow Semi Condensed" w:cs="Barlow Semi Condensed" w:eastAsia="Barlow Semi Condensed" w:hAnsi="Barlow Semi Condensed"/>
          <w:sz w:val="24"/>
          <w:szCs w:val="24"/>
        </w:rPr>
        <w:t xml:space="preserve"> La formula «from May 1969» che il capitolo primo corregge non è un dettaglio erudito: sposta di tre mesi l'inizio del mandato e altera ogni calcolo di contemporaneità. Con la data giusta, l'insediamento cade cinque mesi dopo la riunione dell'11 marzo 1969 del Comitato dei 303; con quella sbagliata, due. In entrambi i casi la riunione precede, ma la precisione va tenuta perché altrove non sarebbe indifferente.</w:t>
      </w:r>
    </w:p>
    <w:p>
      <w:pPr>
        <w:spacing w:after="120" w:line="276"/>
        <w:jc w:val="both"/>
      </w:pPr>
      <w:r>
        <w:rPr>
          <w:rFonts w:ascii="Barlow Semi Condensed" w:cs="Barlow Semi Condensed" w:eastAsia="Barlow Semi Condensed" w:hAnsi="Barlow Semi Condensed"/>
          <w:b/>
          <w:bCs/>
          <w:sz w:val="24"/>
          <w:szCs w:val="24"/>
        </w:rPr>
        <w:t xml:space="preserve">2559 · L'interruzione e la Commissione esteri.</w:t>
      </w:r>
      <w:r>
        <w:rPr>
          <w:rFonts w:ascii="Barlow Semi Condensed" w:cs="Barlow Semi Condensed" w:eastAsia="Barlow Semi Condensed" w:hAnsi="Barlow Semi Condensed"/>
          <w:sz w:val="24"/>
          <w:szCs w:val="24"/>
        </w:rPr>
        <w:t xml:space="preserve"> Fra il 26 giugno 1972 e il 7 luglio 1973 Moro non è ministro: presiede la terza Commissione Affari esteri della Camera dall'11 luglio 1972 al 7 luglio 1973, come attesta la scheda «Componenti organi» del Portale storico. In quei mesi non ha canale ministeriale con Washington. Il vuoto è istituzionale, non documentale, e va sottratto da ogni computo di sovrapposizione fra i due uomini.</w:t>
      </w:r>
    </w:p>
    <w:p>
      <w:pPr>
        <w:spacing w:after="120" w:line="276"/>
        <w:jc w:val="both"/>
      </w:pPr>
      <w:r>
        <w:rPr>
          <w:rFonts w:ascii="Barlow Semi Condensed" w:cs="Barlow Semi Condensed" w:eastAsia="Barlow Semi Condensed" w:hAnsi="Barlow Semi Condensed"/>
          <w:b/>
          <w:bCs/>
          <w:sz w:val="24"/>
          <w:szCs w:val="24"/>
        </w:rPr>
        <w:t xml:space="preserve">2560 · Rogers, non Kissinger, fu la controparte.</w:t>
      </w:r>
      <w:r>
        <w:rPr>
          <w:rFonts w:ascii="Barlow Semi Condensed" w:cs="Barlow Semi Condensed" w:eastAsia="Barlow Semi Condensed" w:hAnsi="Barlow Semi Condensed"/>
          <w:sz w:val="24"/>
          <w:szCs w:val="24"/>
        </w:rPr>
        <w:t xml:space="preserve"> L'esito negativo del capitolo quarto è formulato con esattezza istituzionale: mancano verbali di colloqui diretti Moro-Nixon o Moro-Rogers per il 1969-1972. William Rogers, non Kissinger, era allora il titolare del Dipartimento di Stato, cioè l'omologo del ministro italiano. La ricerca del bilaterale va condotta su quel nome per la parte maggiore del mandato: cercare l'altro in quegli anni significa cercare fuori ruolo.</w:t>
      </w:r>
    </w:p>
    <w:p>
      <w:pPr>
        <w:spacing w:after="120" w:line="276"/>
        <w:jc w:val="both"/>
      </w:pPr>
      <w:r>
        <w:rPr>
          <w:rFonts w:ascii="Barlow Semi Condensed" w:cs="Barlow Semi Condensed" w:eastAsia="Barlow Semi Condensed" w:hAnsi="Barlow Semi Condensed"/>
          <w:b/>
          <w:bCs/>
          <w:sz w:val="24"/>
          <w:szCs w:val="24"/>
        </w:rPr>
        <w:t xml:space="preserve">2561 · Il computo della sovrapposizione.</w:t>
      </w:r>
      <w:r>
        <w:rPr>
          <w:rFonts w:ascii="Barlow Semi Condensed" w:cs="Barlow Semi Condensed" w:eastAsia="Barlow Semi Condensed" w:hAnsi="Barlow Semi Condensed"/>
          <w:sz w:val="24"/>
          <w:szCs w:val="24"/>
        </w:rPr>
        <w:t xml:space="preserve"> Kissinger è segretario di Stato dal 22 settembre 1973; Moro lascia la Farnesina il 23 novembre 1974. Sono poco più di quattordici mesi su circa cinquantuno di servizio effettivo, dedotta l'interruzione del 1972-1973: poco più di un quarto. Il resto del mandato ha un altro interlocutore. La cifra non prova nulla di per sé; impedisce di parlare di quel quinquennio come se fosse tutto sovrapposto.</w:t>
      </w:r>
    </w:p>
    <w:p>
      <w:pPr>
        <w:spacing w:after="120" w:line="276"/>
        <w:jc w:val="both"/>
      </w:pPr>
      <w:r>
        <w:rPr>
          <w:rFonts w:ascii="Barlow Semi Condensed" w:cs="Barlow Semi Condensed" w:eastAsia="Barlow Semi Condensed" w:hAnsi="Barlow Semi Condensed"/>
          <w:b/>
          <w:bCs/>
          <w:sz w:val="24"/>
          <w:szCs w:val="24"/>
        </w:rPr>
        <w:t xml:space="preserve">2562 · Consigliere alla Casa Bianca, non ministro.</w:t>
      </w:r>
      <w:r>
        <w:rPr>
          <w:rFonts w:ascii="Barlow Semi Condensed" w:cs="Barlow Semi Condensed" w:eastAsia="Barlow Semi Condensed" w:hAnsi="Barlow Semi Condensed"/>
          <w:sz w:val="24"/>
          <w:szCs w:val="24"/>
        </w:rPr>
        <w:t xml:space="preserve"> Dal 20 gennaio 1969 Kissinger è assistente per la sicurezza nazionale: incarico della Casa Bianca, privo di omologo nel governo italiano. Per l'intero primo mandato di Moro esiste dunque contemporaneità di servizio e nessuna simmetria di ruolo. È asimmetria strutturale, non lacuna d'archivio: nessun protocollo prevedeva quel bilaterale, e la sua assenza dai fondi non è, di per sé, un vuoto da riempire.</w:t>
      </w:r>
    </w:p>
    <w:p>
      <w:pPr>
        <w:spacing w:after="120" w:line="276"/>
        <w:jc w:val="both"/>
      </w:pPr>
      <w:r>
        <w:rPr>
          <w:rFonts w:ascii="Barlow Semi Condensed" w:cs="Barlow Semi Condensed" w:eastAsia="Barlow Semi Condensed" w:hAnsi="Barlow Semi Condensed"/>
          <w:b/>
          <w:bCs/>
          <w:sz w:val="24"/>
          <w:szCs w:val="24"/>
        </w:rPr>
        <w:t xml:space="preserve">2563 · La contemporaneità applicata al territorio.</w:t>
      </w:r>
      <w:r>
        <w:rPr>
          <w:rFonts w:ascii="Barlow Semi Condensed" w:cs="Barlow Semi Condensed" w:eastAsia="Barlow Semi Condensed" w:hAnsi="Barlow Semi Condensed"/>
          <w:sz w:val="24"/>
          <w:szCs w:val="24"/>
        </w:rPr>
        <w:t xml:space="preserve"> Che due uomini siano in carica negli stessi anni non crea rapporto, e questa cartella è il luogo dove la regola si tocca con mano: i capitoli quinto, sesto, settimo, ottavo, nono, decimo e undicesimo raccontano cinque anni di politica estera italiana senza che il nome vi entri mai. Il tempo condiviso non ha lasciato carta condivisa. Chi supplisce con la cronologia costruisce un nesso che il territorio non porta.</w:t>
      </w:r>
    </w:p>
    <w:p>
      <w:pPr>
        <w:spacing w:after="120" w:line="276"/>
        <w:jc w:val="both"/>
      </w:pPr>
      <w:r>
        <w:rPr>
          <w:rFonts w:ascii="Barlow Semi Condensed" w:cs="Barlow Semi Condensed" w:eastAsia="Barlow Semi Condensed" w:hAnsi="Barlow Semi Condensed"/>
          <w:b/>
          <w:bCs/>
          <w:sz w:val="24"/>
          <w:szCs w:val="24"/>
        </w:rPr>
        <w:t xml:space="preserve">2564 · L'anteriorità del Comitato dei 303 (serie XXXIV).</w:t>
      </w:r>
      <w:r>
        <w:rPr>
          <w:rFonts w:ascii="Barlow Semi Condensed" w:cs="Barlow Semi Condensed" w:eastAsia="Barlow Semi Condensed" w:hAnsi="Barlow Semi Condensed"/>
          <w:sz w:val="24"/>
          <w:szCs w:val="24"/>
        </w:rPr>
        <w:t xml:space="preserve"> La riunione dell'11 marzo 1969 presieduta da Kissinger, in FRUS volume XLI documento 180, con Johnson, Packard e Helms presenti e Karamessines relatore su origini e livelli del sostegno coperto ai partiti italiani fra il 1948 e il 1968, si chiuse sull'assenza di reale giustificazione a riprenderlo. È anteriore all'insediamento di Moro: la ricognizione lo dice, i blocchi 189 e 304 lo ripetono, e qui non c'è neppure contemporaneità.</w:t>
      </w:r>
    </w:p>
    <w:p>
      <w:pPr>
        <w:spacing w:after="120" w:line="276"/>
        <w:jc w:val="both"/>
      </w:pPr>
      <w:r>
        <w:rPr>
          <w:rFonts w:ascii="Barlow Semi Condensed" w:cs="Barlow Semi Condensed" w:eastAsia="Barlow Semi Condensed" w:hAnsi="Barlow Semi Condensed"/>
          <w:b/>
          <w:bCs/>
          <w:sz w:val="24"/>
          <w:szCs w:val="24"/>
        </w:rPr>
        <w:t xml:space="preserve">2565 · Il Comitato dei 40 e l'Italia.</w:t>
      </w:r>
      <w:r>
        <w:rPr>
          <w:rFonts w:ascii="Barlow Semi Condensed" w:cs="Barlow Semi Condensed" w:eastAsia="Barlow Semi Condensed" w:hAnsi="Barlow Semi Condensed"/>
          <w:sz w:val="24"/>
          <w:szCs w:val="24"/>
        </w:rPr>
        <w:t xml:space="preserve"> Lo stesso organo fu ridenominato Comitato dei 40 nel febbraio 1970, dentro il primo mandato: lo registra il blocco 500 dell'opera, non la ricognizione. Quesito da portare in archivio: se e quando quell'organo abbia trattato l'Italia fra il 1970 e il 1974, e con quali verbali. Sedi: il volume XLI della serie ufficiale per gli anni 1969-1972 e i Nixon Presidential Materials a College Park.</w:t>
      </w:r>
    </w:p>
    <w:p>
      <w:pPr>
        <w:spacing w:after="120" w:line="276"/>
        <w:jc w:val="both"/>
      </w:pPr>
      <w:r>
        <w:rPr>
          <w:rFonts w:ascii="Barlow Semi Condensed" w:cs="Barlow Semi Condensed" w:eastAsia="Barlow Semi Condensed" w:hAnsi="Barlow Semi Condensed"/>
          <w:b/>
          <w:bCs/>
          <w:sz w:val="24"/>
          <w:szCs w:val="24"/>
        </w:rPr>
        <w:t xml:space="preserve">2566 · Lo studio sull'Italia del dicembre 1969 (serie XXXIV).</w:t>
      </w:r>
      <w:r>
        <w:rPr>
          <w:rFonts w:ascii="Barlow Semi Condensed" w:cs="Barlow Semi Condensed" w:eastAsia="Barlow Semi Condensed" w:hAnsi="Barlow Semi Condensed"/>
          <w:sz w:val="24"/>
          <w:szCs w:val="24"/>
        </w:rPr>
        <w:t xml:space="preserve"> Su FRUS volume XLI documento 188 il capitolo quarto registra l'istruzione di Nixon del dicembre 1969 di avviare uno «study on Italy». Cade quattro mesi dopo l'arrivo di Moro alla Farnesina. Quesito: se quell'istruzione abbia prodotto un memorandum di studio numerato, chi lo coordinò, se fu completato. Sede: i fascicoli istituzionali del Consiglio di sicurezza nazionale a College Park. La coincidenza di mesi non è, da sola, un nesso.</w:t>
      </w:r>
    </w:p>
    <w:p>
      <w:pPr>
        <w:spacing w:after="120" w:line="276"/>
        <w:jc w:val="both"/>
      </w:pPr>
      <w:r>
        <w:rPr>
          <w:rFonts w:ascii="Barlow Semi Condensed" w:cs="Barlow Semi Condensed" w:eastAsia="Barlow Semi Condensed" w:hAnsi="Barlow Semi Condensed"/>
          <w:b/>
          <w:bCs/>
          <w:sz w:val="24"/>
          <w:szCs w:val="24"/>
        </w:rPr>
        <w:t xml:space="preserve">2567 · La barriera dei cinquant'anni (serie XXXIV).</w:t>
      </w:r>
      <w:r>
        <w:rPr>
          <w:rFonts w:ascii="Barlow Semi Condensed" w:cs="Barlow Semi Condensed" w:eastAsia="Barlow Semi Condensed" w:hAnsi="Barlow Semi Condensed"/>
          <w:sz w:val="24"/>
          <w:szCs w:val="24"/>
        </w:rPr>
        <w:t xml:space="preserve"> Il capitolo secondo accerta il criterio dell'Archivio storico diplomatico: consultabili, su autorizzazione, i documenti oltre i cinquant'anni, con facoltà ministeriale di ridurre a trenta e settanta anni per le situazioni private. Al 2026 l'arco 1969-1974 è dunque teoricamente aperto. Il rilievo è duplice, come la ricognizione avverte: la norma attesta la consultabilità di principio, la procedura attesta l'incertezza di fatto.</w:t>
      </w:r>
    </w:p>
    <w:p>
      <w:pPr>
        <w:spacing w:after="120" w:line="276"/>
        <w:jc w:val="both"/>
      </w:pPr>
      <w:r>
        <w:rPr>
          <w:rFonts w:ascii="Barlow Semi Condensed" w:cs="Barlow Semi Condensed" w:eastAsia="Barlow Semi Condensed" w:hAnsi="Barlow Semi Condensed"/>
          <w:b/>
          <w:bCs/>
          <w:sz w:val="24"/>
          <w:szCs w:val="24"/>
        </w:rPr>
        <w:t xml:space="preserve">2568 · La condizione operativa che resta.</w:t>
      </w:r>
      <w:r>
        <w:rPr>
          <w:rFonts w:ascii="Barlow Semi Condensed" w:cs="Barlow Semi Condensed" w:eastAsia="Barlow Semi Condensed" w:hAnsi="Barlow Semi Condensed"/>
          <w:sz w:val="24"/>
          <w:szCs w:val="24"/>
        </w:rPr>
        <w:t xml:space="preserve"> Per la documentazione dal 1949 in poi l'utente deve contattare preventivamente l'Archivio per sapere se i faldoni siano disponibili: segno che l'inventariazione non è conclusa. La sede è la Sala studio alla Farnesina, con registrazione al portale asd.esteri.it, posta ad archiviostorico@esteri.it e la responsabile indicata dalla ricognizione, la dottoressa Paola Busonero. Senza questo passaggio nessun bersaglio italiano di questa serie è pianificabile.</w:t>
      </w:r>
    </w:p>
    <w:p>
      <w:pPr>
        <w:spacing w:after="120" w:line="276"/>
        <w:jc w:val="both"/>
      </w:pPr>
      <w:r>
        <w:rPr>
          <w:rFonts w:ascii="Barlow Semi Condensed" w:cs="Barlow Semi Condensed" w:eastAsia="Barlow Semi Condensed" w:hAnsi="Barlow Semi Condensed"/>
          <w:b/>
          <w:bCs/>
          <w:sz w:val="24"/>
          <w:szCs w:val="24"/>
        </w:rPr>
        <w:t xml:space="preserve">2569 · Il primo giacimento per rendimento.</w:t>
      </w:r>
      <w:r>
        <w:rPr>
          <w:rFonts w:ascii="Barlow Semi Condensed" w:cs="Barlow Semi Condensed" w:eastAsia="Barlow Semi Condensed" w:hAnsi="Barlow Semi Condensed"/>
          <w:sz w:val="24"/>
          <w:szCs w:val="24"/>
        </w:rPr>
        <w:t xml:space="preserve"> La tavola del capitolo dodicesimo mette al primo posto i carteggi del gabinetto del ministro e la serie della Direzione generale affari politici per il 1969-1974. È lì che starebbe, se esiste, il lato italiano di ogni colloquio bilaterale del periodo, compreso quello del 25 settembre 1974. Il blocco 685 dell'opera lo aveva già fissato. Condizione di chiusura dichiarata: la conferma inventariale richiesta per portale.</w:t>
      </w:r>
    </w:p>
    <w:p>
      <w:pPr>
        <w:spacing w:after="120" w:line="276"/>
        <w:jc w:val="both"/>
      </w:pPr>
      <w:r>
        <w:rPr>
          <w:rFonts w:ascii="Barlow Semi Condensed" w:cs="Barlow Semi Condensed" w:eastAsia="Barlow Semi Condensed" w:hAnsi="Barlow Semi Condensed"/>
          <w:b/>
          <w:bCs/>
          <w:sz w:val="24"/>
          <w:szCs w:val="24"/>
        </w:rPr>
        <w:t xml:space="preserve">2570 · La serie che nessun inventario nomina.</w:t>
      </w:r>
      <w:r>
        <w:rPr>
          <w:rFonts w:ascii="Barlow Semi Condensed" w:cs="Barlow Semi Condensed" w:eastAsia="Barlow Semi Condensed" w:hAnsi="Barlow Semi Condensed"/>
          <w:sz w:val="24"/>
          <w:szCs w:val="24"/>
        </w:rPr>
        <w:t xml:space="preserve"> La ricognizione registra un esito negativo netto: non è stato reperito online un inventario analitico e nominativo che attesti l'apertura effettiva del carteggio di gabinetto né della serie dell'ambasciata a Madrid per quegli anni. L'assenza dell'inventario non prova l'assenza delle carte. Prova soltanto che la loro esistenza non è verificabile a distanza, e sposta il bersaglio dalla rete alla sala studio.</w:t>
      </w:r>
    </w:p>
    <w:p>
      <w:pPr>
        <w:spacing w:after="120" w:line="276"/>
        <w:jc w:val="both"/>
      </w:pPr>
      <w:r>
        <w:rPr>
          <w:rFonts w:ascii="Barlow Semi Condensed" w:cs="Barlow Semi Condensed" w:eastAsia="Barlow Semi Condensed" w:hAnsi="Barlow Semi Condensed"/>
          <w:b/>
          <w:bCs/>
          <w:sz w:val="24"/>
          <w:szCs w:val="24"/>
        </w:rPr>
        <w:t xml:space="preserve">2571 · L'omologo italiano della serie americana.</w:t>
      </w:r>
      <w:r>
        <w:rPr>
          <w:rFonts w:ascii="Barlow Semi Condensed" w:cs="Barlow Semi Condensed" w:eastAsia="Barlow Semi Condensed" w:hAnsi="Barlow Semi Condensed"/>
          <w:sz w:val="24"/>
          <w:szCs w:val="24"/>
        </w:rPr>
        <w:t xml:space="preserve"> L'Archivio pubblica i Documenti Diplomatici Italiani, e la ricognizione dichiara di non aver potuto stabilire se le annate 1969-1974 siano uscite a stampa. Se lo fossero, sarebbero la sede naturale dell'eventuale versione italiana dei contatti con Washington. Il blocco 235 dell'opera teneva già aperto il quesito. Sedi: l'Archivio storico diplomatico e i cataloghi dell'editore ufficiale. Come ogni selezione curata, andrebbe usata come porta e non come fondo.</w:t>
      </w:r>
    </w:p>
    <w:p>
      <w:pPr>
        <w:spacing w:after="120" w:line="276"/>
        <w:jc w:val="both"/>
      </w:pPr>
      <w:r>
        <w:rPr>
          <w:rFonts w:ascii="Barlow Semi Condensed" w:cs="Barlow Semi Condensed" w:eastAsia="Barlow Semi Condensed" w:hAnsi="Barlow Semi Condensed"/>
          <w:b/>
          <w:bCs/>
          <w:sz w:val="24"/>
          <w:szCs w:val="24"/>
        </w:rPr>
        <w:t xml:space="preserve">2572 · Il precedente d'inaccessibilità di Levi.</w:t>
      </w:r>
      <w:r>
        <w:rPr>
          <w:rFonts w:ascii="Barlow Semi Condensed" w:cs="Barlow Semi Condensed" w:eastAsia="Barlow Semi Condensed" w:hAnsi="Barlow Semi Condensed"/>
          <w:sz w:val="24"/>
          <w:szCs w:val="24"/>
        </w:rPr>
        <w:t xml:space="preserve"> Guido Levi, in «Spagna contemporanea» numero 49 del 2016, dichiarava non consultabili per quegli anni i fondi del ministero. È il precedente scientifico che la seconda campagna ha usato per correggere i blocchi 55 e 78 dei cantieri e il blocco 244 dell'agenda, che trattavano la Farnesina come sede aperta. La barriera cronologica non coincide con l'accessibilità reale, e il costo del bersaglio va rivisto prima di pianificarlo.</w:t>
      </w:r>
    </w:p>
    <w:p>
      <w:pPr>
        <w:spacing w:after="120" w:line="276"/>
        <w:jc w:val="both"/>
      </w:pPr>
      <w:r>
        <w:rPr>
          <w:rFonts w:ascii="Barlow Semi Condensed" w:cs="Barlow Semi Condensed" w:eastAsia="Barlow Semi Condensed" w:hAnsi="Barlow Semi Condensed"/>
          <w:b/>
          <w:bCs/>
          <w:sz w:val="24"/>
          <w:szCs w:val="24"/>
        </w:rPr>
        <w:t xml:space="preserve">2573 · Le sedi di ripiego già battute.</w:t>
      </w:r>
      <w:r>
        <w:rPr>
          <w:rFonts w:ascii="Barlow Semi Condensed" w:cs="Barlow Semi Condensed" w:eastAsia="Barlow Semi Condensed" w:hAnsi="Barlow Semi Condensed"/>
          <w:sz w:val="24"/>
          <w:szCs w:val="24"/>
        </w:rPr>
        <w:t xml:space="preserve"> Chiuso il ministero, Levi ripiegò sugli Archivi storici dell'Unione europea di Firenze e sull'Archivio dell'Istituto Sturzo, fondi Martino, Natali, Spinelli e Andreotti. Sono depositi personali e comunitari, non ministeriali: vi si cerca il riflesso di una politica, non il suo atto. Quesito derivato: se in quei fondi compaia corrispondenza italiana che nomini il segretario di Stato americano fra il 1973 e il 1974. Allo stato non risulta cercato.</w:t>
      </w:r>
    </w:p>
    <w:p>
      <w:pPr>
        <w:spacing w:after="120" w:line="276"/>
        <w:jc w:val="both"/>
      </w:pPr>
      <w:r>
        <w:rPr>
          <w:rFonts w:ascii="Barlow Semi Condensed" w:cs="Barlow Semi Condensed" w:eastAsia="Barlow Semi Condensed" w:hAnsi="Barlow Semi Condensed"/>
          <w:b/>
          <w:bCs/>
          <w:sz w:val="24"/>
          <w:szCs w:val="24"/>
        </w:rPr>
        <w:t xml:space="preserve">2574 · L'esclusione temporanea dei telegrammi.</w:t>
      </w:r>
      <w:r>
        <w:rPr>
          <w:rFonts w:ascii="Barlow Semi Condensed" w:cs="Barlow Semi Condensed" w:eastAsia="Barlow Semi Condensed" w:hAnsi="Barlow Semi Condensed"/>
          <w:sz w:val="24"/>
          <w:szCs w:val="24"/>
        </w:rPr>
        <w:t xml:space="preserve"> La triangolazione della seconda campagna aggiunge un dato che la ricognizione non porta: resta l'esclusione temporanea della serie dei Telegrammi 1942-1970. Ne discende un limite preciso, perché il primo mandato cade in gran parte dentro quella forbice. Il traffico telegrafico fra Roma e Washington per il 1969-1970 non è interrogabile, e ogni Stato Zero che lo riguardi va dichiarato con questa causa e non con altre.</w:t>
      </w:r>
    </w:p>
    <w:p>
      <w:pPr>
        <w:spacing w:after="120" w:line="276"/>
        <w:jc w:val="both"/>
      </w:pPr>
      <w:r>
        <w:rPr>
          <w:rFonts w:ascii="Barlow Semi Condensed" w:cs="Barlow Semi Condensed" w:eastAsia="Barlow Semi Condensed" w:hAnsi="Barlow Semi Condensed"/>
          <w:b/>
          <w:bCs/>
          <w:sz w:val="24"/>
          <w:szCs w:val="24"/>
        </w:rPr>
        <w:t xml:space="preserve">2575 · La correzione imposta alla quadriga.</w:t>
      </w:r>
      <w:r>
        <w:rPr>
          <w:rFonts w:ascii="Barlow Semi Condensed" w:cs="Barlow Semi Condensed" w:eastAsia="Barlow Semi Condensed" w:hAnsi="Barlow Semi Condensed"/>
          <w:sz w:val="24"/>
          <w:szCs w:val="24"/>
        </w:rPr>
        <w:t xml:space="preserve"> I blocchi 55 e 78 dei cantieri, il blocco 244 dell'agenda e i blocchi 315 e 683 dell'opera registrano la stessa correzione: la Farnesina non è interrogabile senza riserve. Non è una precisazione di merito ma di fattibilità, e cambia il costo di ogni bersaglio italiano qui elencato. Va portata a nota prima di ogni pianificazione, altrimenti la serie promette accertamenti che nessuno può materialmente compiere.</w:t>
      </w:r>
    </w:p>
    <w:p>
      <w:pPr>
        <w:spacing w:after="120" w:line="276"/>
        <w:jc w:val="both"/>
      </w:pPr>
      <w:r>
        <w:rPr>
          <w:rFonts w:ascii="Barlow Semi Condensed" w:cs="Barlow Semi Condensed" w:eastAsia="Barlow Semi Condensed" w:hAnsi="Barlow Semi Condensed"/>
          <w:b/>
          <w:bCs/>
          <w:sz w:val="24"/>
          <w:szCs w:val="24"/>
        </w:rPr>
        <w:t xml:space="preserve">2576 · Come cadrebbe l'inaccessibilità dichiarata.</w:t>
      </w:r>
      <w:r>
        <w:rPr>
          <w:rFonts w:ascii="Barlow Semi Condensed" w:cs="Barlow Semi Condensed" w:eastAsia="Barlow Semi Condensed" w:hAnsi="Barlow Semi Condensed"/>
          <w:sz w:val="24"/>
          <w:szCs w:val="24"/>
        </w:rPr>
        <w:t xml:space="preserve"> La proposizione da mettere alla prova è che il carteggio di gabinetto 1969-1974 non sia praticamente consultabile. La smentirebbe una sola risposta: una comunicazione dell'Unità che elenchi i faldoni disponibili con segnatura, o un inventario a stampa depositato in sala studio. È verifica economica e a esito rapido, e finché non è fatta ogni affermazione sull'apertura di quel fondo resta congettura amministrativa.</w:t>
      </w:r>
    </w:p>
    <w:p>
      <w:pPr>
        <w:spacing w:after="120" w:line="276"/>
        <w:jc w:val="both"/>
      </w:pPr>
      <w:r>
        <w:rPr>
          <w:rFonts w:ascii="Barlow Semi Condensed" w:cs="Barlow Semi Condensed" w:eastAsia="Barlow Semi Condensed" w:hAnsi="Barlow Semi Condensed"/>
          <w:b/>
          <w:bCs/>
          <w:sz w:val="24"/>
          <w:szCs w:val="24"/>
        </w:rPr>
        <w:t xml:space="preserve">2577 · Le repliche di bilancio, secondo posto.</w:t>
      </w:r>
      <w:r>
        <w:rPr>
          <w:rFonts w:ascii="Barlow Semi Condensed" w:cs="Barlow Semi Condensed" w:eastAsia="Barlow Semi Condensed" w:hAnsi="Barlow Semi Condensed"/>
          <w:sz w:val="24"/>
          <w:szCs w:val="24"/>
        </w:rPr>
        <w:t xml:space="preserve"> Al secondo posto della tavola stanno le repliche di Moro sui bilanci degli Esteri per il 1970, il 1971, il 1972 e il 1974, con numero di seduta e data, non isolabili per i limiti d'accesso ai portali. Sono i testi dove il ministro espone da sé la propria dottrina. Il blocco 689 dell'opera notava che il vuoto è istruttivo proprio perché la condizione di chiusura è materiale e modesta.</w:t>
      </w:r>
    </w:p>
    <w:p>
      <w:pPr>
        <w:spacing w:after="120" w:line="276"/>
        <w:jc w:val="both"/>
      </w:pPr>
      <w:r>
        <w:rPr>
          <w:rFonts w:ascii="Barlow Semi Condensed" w:cs="Barlow Semi Condensed" w:eastAsia="Barlow Semi Condensed" w:hAnsi="Barlow Semi Condensed"/>
          <w:b/>
          <w:bCs/>
          <w:sz w:val="24"/>
          <w:szCs w:val="24"/>
        </w:rPr>
        <w:t xml:space="preserve">2578 · Il limite delle banche dati parlamentari.</w:t>
      </w:r>
      <w:r>
        <w:rPr>
          <w:rFonts w:ascii="Barlow Semi Condensed" w:cs="Barlow Semi Condensed" w:eastAsia="Barlow Semi Condensed" w:hAnsi="Barlow Semi Condensed"/>
          <w:sz w:val="24"/>
          <w:szCs w:val="24"/>
        </w:rPr>
        <w:t xml:space="preserve"> La seconda campagna accerta che la banca dati del sindacato ispettivo copre solo dalla settima legislatura, cioè dal 5 luglio 1976. L'intero arco 1969-1975 sopravvive come resoconti stenografici non ricercabili a testo pieno. Non è possibile, con i soli strumenti in rete, né confermare né escludere che il nome americano ricorra negli atti di quegli anni. Si chiude soltanto con lo spoglio manuale dei volumi a stampa.</w:t>
      </w:r>
    </w:p>
    <w:p>
      <w:pPr>
        <w:spacing w:after="120" w:line="276"/>
        <w:jc w:val="both"/>
      </w:pPr>
      <w:r>
        <w:rPr>
          <w:rFonts w:ascii="Barlow Semi Condensed" w:cs="Barlow Semi Condensed" w:eastAsia="Barlow Semi Condensed" w:hAnsi="Barlow Semi Condensed"/>
          <w:b/>
          <w:bCs/>
          <w:sz w:val="24"/>
          <w:szCs w:val="24"/>
        </w:rPr>
        <w:t xml:space="preserve">2579 · La raccolta a stampa dei discorsi.</w:t>
      </w:r>
      <w:r>
        <w:rPr>
          <w:rFonts w:ascii="Barlow Semi Condensed" w:cs="Barlow Semi Condensed" w:eastAsia="Barlow Semi Condensed" w:hAnsi="Barlow Semi Condensed"/>
          <w:sz w:val="24"/>
          <w:szCs w:val="24"/>
        </w:rPr>
        <w:t xml:space="preserve"> La via più economica è indicata dalla ricognizione stessa: Aldo Moro, «Discorsi parlamentari», Camera dei deputati, Roma 1996, due volumi, che indicizzano le repliche con la data. Quesito da porre a quell'indice e a nessun altro: se il nome del segretario di Stato americano vi compaia mai, e in quale contesto. È un accertamento a costo bassissimo che il territorio non ha ancora compiuto.</w:t>
      </w:r>
    </w:p>
    <w:p>
      <w:pPr>
        <w:spacing w:after="120" w:line="276"/>
        <w:jc w:val="both"/>
      </w:pPr>
      <w:r>
        <w:rPr>
          <w:rFonts w:ascii="Barlow Semi Condensed" w:cs="Barlow Semi Condensed" w:eastAsia="Barlow Semi Condensed" w:hAnsi="Barlow Semi Condensed"/>
          <w:b/>
          <w:bCs/>
          <w:sz w:val="24"/>
          <w:szCs w:val="24"/>
        </w:rPr>
        <w:t xml:space="preserve">2580 · Il quarto deposito delle carte (serie XXXIV).</w:t>
      </w:r>
      <w:r>
        <w:rPr>
          <w:rFonts w:ascii="Barlow Semi Condensed" w:cs="Barlow Semi Condensed" w:eastAsia="Barlow Semi Condensed" w:hAnsi="Barlow Semi Condensed"/>
          <w:sz w:val="24"/>
          <w:szCs w:val="24"/>
        </w:rPr>
        <w:t xml:space="preserve"> La cartella cita ripetutamente un fondo con segnatura propria, IT-AFS-048, presso l'Archivio storico del Senato, con unità digitalizzate che riguardano proprio il Moro ministro. La seconda campagna lo qualifica come quarto nucleo, da aggiungere ai tre che i blocchi 221-223 e 235 dei cantieri distinguevano. È deposito nuovo per l'opera e va interrogato per primo, perché è digitale e immediatamente accessibile.</w:t>
      </w:r>
    </w:p>
    <w:p>
      <w:pPr>
        <w:spacing w:after="120" w:line="276"/>
        <w:jc w:val="both"/>
      </w:pPr>
      <w:r>
        <w:rPr>
          <w:rFonts w:ascii="Barlow Semi Condensed" w:cs="Barlow Semi Condensed" w:eastAsia="Barlow Semi Condensed" w:hAnsi="Barlow Semi Condensed"/>
          <w:b/>
          <w:bCs/>
          <w:sz w:val="24"/>
          <w:szCs w:val="24"/>
        </w:rPr>
        <w:t xml:space="preserve">2581 · Le due unità già identificate.</w:t>
      </w:r>
      <w:r>
        <w:rPr>
          <w:rFonts w:ascii="Barlow Semi Condensed" w:cs="Barlow Semi Condensed" w:eastAsia="Barlow Semi Condensed" w:hAnsi="Barlow Semi Condensed"/>
          <w:sz w:val="24"/>
          <w:szCs w:val="24"/>
        </w:rPr>
        <w:t xml:space="preserve"> Sono nominate due unità: l'«Intervento alla Commissione affari esteri del Senato sulla situazione in Libia», scheda IT-AFS-048-000517, e l'«Intervento alla Commissione esteri della Camera dei deputati», scheda IT-AFS-048-000644, quest'ultimo in tre stesure di cui una manoscritta, con materiale preparatorio. Le schede non recano l'anno d'esercizio. Bersaglio: leggerle e verificare se il versante atlantico vi sia nominato, e con quale lessico.</w:t>
      </w:r>
    </w:p>
    <w:p>
      <w:pPr>
        <w:spacing w:after="120" w:line="276"/>
        <w:jc w:val="both"/>
      </w:pPr>
      <w:r>
        <w:rPr>
          <w:rFonts w:ascii="Barlow Semi Condensed" w:cs="Barlow Semi Condensed" w:eastAsia="Barlow Semi Condensed" w:hAnsi="Barlow Semi Condensed"/>
          <w:b/>
          <w:bCs/>
          <w:sz w:val="24"/>
          <w:szCs w:val="24"/>
        </w:rPr>
        <w:t xml:space="preserve">2582 · Il nome pronunciato in aula.</w:t>
      </w:r>
      <w:r>
        <w:rPr>
          <w:rFonts w:ascii="Barlow Semi Condensed" w:cs="Barlow Semi Condensed" w:eastAsia="Barlow Semi Condensed" w:hAnsi="Barlow Semi Condensed"/>
          <w:sz w:val="24"/>
          <w:szCs w:val="24"/>
        </w:rPr>
        <w:t xml:space="preserve"> Quesito semplice e mai posto in questo territorio: Moro nominò mai pubblicamente, in Parlamento, il segretario di Stato americano fra il 1973 e il 1974. Una risposta positiva darebbe un documento italiano, datato e ufficiale, in cui i due nomi coesistono per volontà del primo. Non sarebbe un rapporto diretto, ma sarebbe più di una comunanza d'ambiente: sarebbe un riconoscimento pubblico di interlocuzione.</w:t>
      </w:r>
    </w:p>
    <w:p>
      <w:pPr>
        <w:spacing w:after="120" w:line="276"/>
        <w:jc w:val="both"/>
      </w:pPr>
      <w:r>
        <w:rPr>
          <w:rFonts w:ascii="Barlow Semi Condensed" w:cs="Barlow Semi Condensed" w:eastAsia="Barlow Semi Condensed" w:hAnsi="Barlow Semi Condensed"/>
          <w:b/>
          <w:bCs/>
          <w:sz w:val="24"/>
          <w:szCs w:val="24"/>
        </w:rPr>
        <w:t xml:space="preserve">2583 · Il silenzio parlamentare, come cadrebbe.</w:t>
      </w:r>
      <w:r>
        <w:rPr>
          <w:rFonts w:ascii="Barlow Semi Condensed" w:cs="Barlow Semi Condensed" w:eastAsia="Barlow Semi Condensed" w:hAnsi="Barlow Semi Condensed"/>
          <w:sz w:val="24"/>
          <w:szCs w:val="24"/>
        </w:rPr>
        <w:t xml:space="preserve"> L'assenza va formulata in modo confutabile: negli atti parlamentari italiani del 1969-1974 non risulta finora alcuna menzione documentata. Una sola riga di resoconto stenografico la smentirebbe, e la sede è nota, i volumi a stampa della quinta e della sesta legislatura più la raccolta dei discorsi del 1996. Finché lo spoglio manuale non è fatto, l'assenza è dichiarata come non verificata, non come accertata.</w:t>
      </w:r>
    </w:p>
    <w:p>
      <w:pPr>
        <w:spacing w:after="120" w:line="276"/>
        <w:jc w:val="both"/>
      </w:pPr>
      <w:r>
        <w:rPr>
          <w:rFonts w:ascii="Barlow Semi Condensed" w:cs="Barlow Semi Condensed" w:eastAsia="Barlow Semi Condensed" w:hAnsi="Barlow Semi Condensed"/>
          <w:b/>
          <w:bCs/>
          <w:sz w:val="24"/>
          <w:szCs w:val="24"/>
        </w:rPr>
        <w:t xml:space="preserve">2584 · Il capitolo quinto non lo nomina.</w:t>
      </w:r>
      <w:r>
        <w:rPr>
          <w:rFonts w:ascii="Barlow Semi Condensed" w:cs="Barlow Semi Condensed" w:eastAsia="Barlow Semi Condensed" w:hAnsi="Barlow Semi Condensed"/>
          <w:sz w:val="24"/>
          <w:szCs w:val="24"/>
        </w:rPr>
        <w:t xml:space="preserve"> Il capitolo sulla documentazione parlamentare italiana non contiene il nome. È coerente: tratta di sedute, commissioni e stesure, non di rapporti bilaterali. Ma il silenzio va verbalizzato con perimetro, perché quel capitolo è l'unico luogo del territorio dove la voce di Moro parla in proprio. La sede che lo chiuderebbe sono i resoconti stenografici della quinta e della sesta legislatura, e l'esito potrebbe restare negativo.</w:t>
      </w:r>
    </w:p>
    <w:p>
      <w:pPr>
        <w:spacing w:after="120" w:line="276"/>
        <w:jc w:val="both"/>
      </w:pPr>
      <w:r>
        <w:rPr>
          <w:rFonts w:ascii="Barlow Semi Condensed" w:cs="Barlow Semi Condensed" w:eastAsia="Barlow Semi Condensed" w:hAnsi="Barlow Semi Condensed"/>
          <w:b/>
          <w:bCs/>
          <w:sz w:val="24"/>
          <w:szCs w:val="24"/>
        </w:rPr>
        <w:t xml:space="preserve">2585 · La Cina, e chi ebbe l'iniziativa.</w:t>
      </w:r>
      <w:r>
        <w:rPr>
          <w:rFonts w:ascii="Barlow Semi Condensed" w:cs="Barlow Semi Condensed" w:eastAsia="Barlow Semi Condensed" w:hAnsi="Barlow Semi Condensed"/>
          <w:sz w:val="24"/>
          <w:szCs w:val="24"/>
        </w:rPr>
        <w:t xml:space="preserve"> Il capitolo sesto corregge una lettura corrente: la proposta di riconoscere la Repubblica popolare cinese fu di Nenni nel gennaio 1969, e la normalizzazione si perfezionò il 6 novembre 1970, con Moro ministro. La titolarità non è paternità. Ogni costruzione che faccia di quella data un'anticipazione italiana rispetto alla svolta americana lavora su due errori: attribuisce a Moro un'iniziativa altrui e scambia la precedenza cronologica per influenza.</w:t>
      </w:r>
    </w:p>
    <w:p>
      <w:pPr>
        <w:spacing w:after="120" w:line="276"/>
        <w:jc w:val="both"/>
      </w:pPr>
      <w:r>
        <w:rPr>
          <w:rFonts w:ascii="Barlow Semi Condensed" w:cs="Barlow Semi Condensed" w:eastAsia="Barlow Semi Condensed" w:hAnsi="Barlow Semi Condensed"/>
          <w:b/>
          <w:bCs/>
          <w:sz w:val="24"/>
          <w:szCs w:val="24"/>
        </w:rPr>
        <w:t xml:space="preserve">2586 · Il telegramma sulla visita in Cina.</w:t>
      </w:r>
      <w:r>
        <w:rPr>
          <w:rFonts w:ascii="Barlow Semi Condensed" w:cs="Barlow Semi Condensed" w:eastAsia="Barlow Semi Condensed" w:hAnsi="Barlow Semi Condensed"/>
          <w:sz w:val="24"/>
          <w:szCs w:val="24"/>
        </w:rPr>
        <w:t xml:space="preserve"> Registrato come non reperito, il telegramma 5472/0 del 29 dicembre 1972, «Visita On. Ministro in Cina», ha sede dichiarata nell'Archivio storico diplomatico. Se il testo esistesse, direbbe come Roma preparava quella missione e se ne informava gli alleati. Stato Zero con sede dichiarata. Nota di cautela: alla data del telegramma Moro non era ministro, e la formula del titolo va verificata prima di costruirvi sopra.</w:t>
      </w:r>
    </w:p>
    <w:p>
      <w:pPr>
        <w:spacing w:after="120" w:line="276"/>
        <w:jc w:val="both"/>
      </w:pPr>
      <w:r>
        <w:rPr>
          <w:rFonts w:ascii="Barlow Semi Condensed" w:cs="Barlow Semi Condensed" w:eastAsia="Barlow Semi Condensed" w:hAnsi="Barlow Semi Condensed"/>
          <w:b/>
          <w:bCs/>
          <w:sz w:val="24"/>
          <w:szCs w:val="24"/>
        </w:rPr>
        <w:t xml:space="preserve">2587 · L'accordo con Madrid e il silenzio americano.</w:t>
      </w:r>
      <w:r>
        <w:rPr>
          <w:rFonts w:ascii="Barlow Semi Condensed" w:cs="Barlow Semi Condensed" w:eastAsia="Barlow Semi Condensed" w:hAnsi="Barlow Semi Condensed"/>
          <w:sz w:val="24"/>
          <w:szCs w:val="24"/>
        </w:rPr>
        <w:t xml:space="preserve"> L'accordo preferenziale firmato a Lussemburgo il 29 giugno 1970 da López Bravo, Harmel e Rey è documentato dal capitolo sesto in Gazzetta ufficiale L 182 del 16 agosto 1970, CELEX 21970A0629(01), in vigore dal 1° ottobre 1970 e cessato il 31 dicembre 1985. Nessuna fonte del territorio registra una posizione americana su quell'atto. Stato Zero: sede, i fascicoli europei del Consiglio di sicurezza nazionale a College Park.</w:t>
      </w:r>
    </w:p>
    <w:p>
      <w:pPr>
        <w:spacing w:after="120" w:line="276"/>
        <w:jc w:val="both"/>
      </w:pPr>
      <w:r>
        <w:rPr>
          <w:rFonts w:ascii="Barlow Semi Condensed" w:cs="Barlow Semi Condensed" w:eastAsia="Barlow Semi Condensed" w:hAnsi="Barlow Semi Condensed"/>
          <w:b/>
          <w:bCs/>
          <w:sz w:val="24"/>
          <w:szCs w:val="24"/>
        </w:rPr>
        <w:t xml:space="preserve">2588 · Il canale mediterraneo senza Washington.</w:t>
      </w:r>
      <w:r>
        <w:rPr>
          <w:rFonts w:ascii="Barlow Semi Condensed" w:cs="Barlow Semi Condensed" w:eastAsia="Barlow Semi Condensed" w:hAnsi="Barlow Semi Condensed"/>
          <w:sz w:val="24"/>
          <w:szCs w:val="24"/>
        </w:rPr>
        <w:t xml:space="preserve"> Il capitolo settimo ricostruisce il cosiddetto lodo Moro — il documento del 17 dicembre 1972 indicato da Pacini, l'intesa del 19 ottobre 1973, il ruolo del colonnello Stefano Giovannone a Beirut — senza che vi compaia mai una reazione, una conoscenza o una posizione americana. È il vuoto più pesante del territorio. Sede per chiuderlo: gli atti della commissione Moro-2 presso l'Archivio centrale dello Stato.</w:t>
      </w:r>
    </w:p>
    <w:p>
      <w:pPr>
        <w:spacing w:after="120" w:line="276"/>
        <w:jc w:val="both"/>
      </w:pPr>
      <w:r>
        <w:rPr>
          <w:rFonts w:ascii="Barlow Semi Condensed" w:cs="Barlow Semi Condensed" w:eastAsia="Barlow Semi Condensed" w:hAnsi="Barlow Semi Condensed"/>
          <w:b/>
          <w:bCs/>
          <w:sz w:val="24"/>
          <w:szCs w:val="24"/>
        </w:rPr>
        <w:t xml:space="preserve">2589 · Fiumicino, e la reazione che manca.</w:t>
      </w:r>
      <w:r>
        <w:rPr>
          <w:rFonts w:ascii="Barlow Semi Condensed" w:cs="Barlow Semi Condensed" w:eastAsia="Barlow Semi Condensed" w:hAnsi="Barlow Semi Condensed"/>
          <w:sz w:val="24"/>
          <w:szCs w:val="24"/>
        </w:rPr>
        <w:t xml:space="preserve"> Il 17 dicembre 1973 un Boeing 707 della Pan Am diretto a Teheran via Beirut fu colpito a Fiumicino: trentadue vittime, sei italiane, quindici feriti, ventinove morti a bordo, secondo la scheda del Ministero della Cultura. Il vettore era americano e il segretario di Stato in carica da tre mesi. Nessun documento del territorio registra la reazione di Washington. Sede: i Central Foreign Policy Files, RG 59, ai National Archives.</w:t>
      </w:r>
    </w:p>
    <w:p>
      <w:pPr>
        <w:spacing w:after="120" w:line="276"/>
        <w:jc w:val="both"/>
      </w:pPr>
      <w:r>
        <w:rPr>
          <w:rFonts w:ascii="Barlow Semi Condensed" w:cs="Barlow Semi Condensed" w:eastAsia="Barlow Semi Condensed" w:hAnsi="Barlow Semi Condensed"/>
          <w:b/>
          <w:bCs/>
          <w:sz w:val="24"/>
          <w:szCs w:val="24"/>
        </w:rPr>
        <w:t xml:space="preserve">2590 · La firma in calce ai telegrammi.</w:t>
      </w:r>
      <w:r>
        <w:rPr>
          <w:rFonts w:ascii="Barlow Semi Condensed" w:cs="Barlow Semi Condensed" w:eastAsia="Barlow Semi Condensed" w:hAnsi="Barlow Semi Condensed"/>
          <w:sz w:val="24"/>
          <w:szCs w:val="24"/>
        </w:rPr>
        <w:t xml:space="preserve"> Regola di lettura da fissare prima di quello spoglio: dal 22 settembre 1973 ogni telegramma in partenza dal Dipartimento di Stato porta in calce il cognome del titolare. Quella firma è una sigla d'ufficio, non la prova di una stesura personale né di una decisione individuale. Trovare il nome sotto un cablogramma sull'Italia è, al più, un dato di piano secondo. Confonderlo col primo è l'errore più facile di quel fondo.</w:t>
      </w:r>
    </w:p>
    <w:p>
      <w:pPr>
        <w:spacing w:after="120" w:line="276"/>
        <w:jc w:val="both"/>
      </w:pPr>
      <w:r>
        <w:rPr>
          <w:rFonts w:ascii="Barlow Semi Condensed" w:cs="Barlow Semi Condensed" w:eastAsia="Barlow Semi Condensed" w:hAnsi="Barlow Semi Condensed"/>
          <w:b/>
          <w:bCs/>
          <w:sz w:val="24"/>
          <w:szCs w:val="24"/>
        </w:rPr>
        <w:t xml:space="preserve">2591 · La Libia e le carte assenti.</w:t>
      </w:r>
      <w:r>
        <w:rPr>
          <w:rFonts w:ascii="Barlow Semi Condensed" w:cs="Barlow Semi Condensed" w:eastAsia="Barlow Semi Condensed" w:hAnsi="Barlow Semi Condensed"/>
          <w:sz w:val="24"/>
          <w:szCs w:val="24"/>
        </w:rPr>
        <w:t xml:space="preserve"> Il capitolo ottavo apre col golpe del 1° settembre 1969 e arriva alla confisca del 21 luglio 1970, promulgata in tre leggi dal Consiglio del comando della rivoluzione, con circa ventimila italiani espulsi. Non vi compare alcuna carta americana. Eppure la crisi cadde in pieno mandato di Moro e di un consigliere per la sicurezza nazionale in carica da diciannove mesi. Stato Zero: sede, i Country Files a College Park.</w:t>
      </w:r>
    </w:p>
    <w:p>
      <w:pPr>
        <w:spacing w:after="120" w:line="276"/>
        <w:jc w:val="both"/>
      </w:pPr>
      <w:r>
        <w:rPr>
          <w:rFonts w:ascii="Barlow Semi Condensed" w:cs="Barlow Semi Condensed" w:eastAsia="Barlow Semi Condensed" w:hAnsi="Barlow Semi Condensed"/>
          <w:b/>
          <w:bCs/>
          <w:sz w:val="24"/>
          <w:szCs w:val="24"/>
        </w:rPr>
        <w:t xml:space="preserve">2592 · La divergenza sulle cifre libiche.</w:t>
      </w:r>
      <w:r>
        <w:rPr>
          <w:rFonts w:ascii="Barlow Semi Condensed" w:cs="Barlow Semi Condensed" w:eastAsia="Barlow Semi Condensed" w:hAnsi="Barlow Semi Condensed"/>
          <w:sz w:val="24"/>
          <w:szCs w:val="24"/>
        </w:rPr>
        <w:t xml:space="preserve"> Sui beni confiscati le versioni non coincidono: duecento miliardi di lire del 1970 secondo una fonte, circa quattrocento secondo il corpus, quasi sei miliardi di euro rivalutati secondo l'associazione dei rimpatriati, e la terza non è omogenea alle prime due. La divergenza si riporta ogni volta che la materia è ripresa. Nessuna delle tre tocca il nome americano: la scelta fra loro non muta nulla in questa serie.</w:t>
      </w:r>
    </w:p>
    <w:p>
      <w:pPr>
        <w:spacing w:after="120" w:line="276"/>
        <w:jc w:val="both"/>
      </w:pPr>
      <w:r>
        <w:rPr>
          <w:rFonts w:ascii="Barlow Semi Condensed" w:cs="Barlow Semi Condensed" w:eastAsia="Barlow Semi Condensed" w:hAnsi="Barlow Semi Condensed"/>
          <w:b/>
          <w:bCs/>
          <w:sz w:val="24"/>
          <w:szCs w:val="24"/>
        </w:rPr>
        <w:t xml:space="preserve">2593 · Il Kippur e il limite dell'inferenza.</w:t>
      </w:r>
      <w:r>
        <w:rPr>
          <w:rFonts w:ascii="Barlow Semi Condensed" w:cs="Barlow Semi Condensed" w:eastAsia="Barlow Semi Condensed" w:hAnsi="Barlow Semi Condensed"/>
          <w:sz w:val="24"/>
          <w:szCs w:val="24"/>
        </w:rPr>
        <w:t xml:space="preserve"> Sul quarto conflitto arabo-israeliano la ricognizione cita il volume XXV della serie ufficiale e la formula sullo sforzo americano di guadagnare il sostegno degli alleati europei, «largely unsuccessful», e ne trae che la linea mediterranea italiana divergesse. Ma lo dichiara essa stessa: è inferenza corroborata, non affermazione esplicita del documento. Resta al secondo piano. Bersaglio: individuare in quel volume i documenti dove l'Italia sia nominata, e se Moro vi compaia.</w:t>
      </w:r>
    </w:p>
    <w:p>
      <w:pPr>
        <w:spacing w:after="120" w:line="276"/>
        <w:jc w:val="both"/>
      </w:pPr>
      <w:r>
        <w:rPr>
          <w:rFonts w:ascii="Barlow Semi Condensed" w:cs="Barlow Semi Condensed" w:eastAsia="Barlow Semi Condensed" w:hAnsi="Barlow Semi Condensed"/>
          <w:b/>
          <w:bCs/>
          <w:sz w:val="24"/>
          <w:szCs w:val="24"/>
        </w:rPr>
        <w:t xml:space="preserve">2594 · Le basi negate, e il loro statuto.</w:t>
      </w:r>
      <w:r>
        <w:rPr>
          <w:rFonts w:ascii="Barlow Semi Condensed" w:cs="Barlow Semi Condensed" w:eastAsia="Barlow Semi Condensed" w:hAnsi="Barlow Semi Condensed"/>
          <w:sz w:val="24"/>
          <w:szCs w:val="24"/>
        </w:rPr>
        <w:t xml:space="preserve"> Il rifiuto delle basi durante la guerra dell'ottobre 1973 è registrato dalla seconda campagna con lo statuto dichiarato di testimonianza resa in sede parlamentare, non di accertamento, e consegnato al quesito atlantico che i cantieri avevano solo per il 1978, ai blocchi 24 e 98. È l'antecedente datato di quel quesito. Antecedente non significa causa: la sequenza si tiene, il nesso no.</w:t>
      </w:r>
    </w:p>
    <w:p>
      <w:pPr>
        <w:spacing w:after="120" w:line="276"/>
        <w:jc w:val="both"/>
      </w:pPr>
      <w:r>
        <w:rPr>
          <w:rFonts w:ascii="Barlow Semi Condensed" w:cs="Barlow Semi Condensed" w:eastAsia="Barlow Semi Condensed" w:hAnsi="Barlow Semi Condensed"/>
          <w:b/>
          <w:bCs/>
          <w:sz w:val="24"/>
          <w:szCs w:val="24"/>
        </w:rPr>
        <w:t xml:space="preserve">2595 · Le pressioni senza nome.</w:t>
      </w:r>
      <w:r>
        <w:rPr>
          <w:rFonts w:ascii="Barlow Semi Condensed" w:cs="Barlow Semi Condensed" w:eastAsia="Barlow Semi Condensed" w:hAnsi="Barlow Semi Condensed"/>
          <w:sz w:val="24"/>
          <w:szCs w:val="24"/>
        </w:rPr>
        <w:t xml:space="preserve"> Il capitolo nono, sulla scorta dello studio di Leopoldo Nuti, registra che fra la firma del 28 gennaio 1969 e la ratifica con legge 24 aprile 1975 numero 131 il governo italiano cercò di dilazionare, cedendo infine «alle pressioni degli alleati» nel maggio 1975. Gli alleati non sono nominati. Bersaglio: dare un nome e una segnatura a quelle pressioni. Nota di perimetro: la ratifica cade quando Moro non è più ministro.</w:t>
      </w:r>
    </w:p>
    <w:p>
      <w:pPr>
        <w:spacing w:after="120" w:line="276"/>
        <w:jc w:val="both"/>
      </w:pPr>
      <w:r>
        <w:rPr>
          <w:rFonts w:ascii="Barlow Semi Condensed" w:cs="Barlow Semi Condensed" w:eastAsia="Barlow Semi Condensed" w:hAnsi="Barlow Semi Condensed"/>
          <w:b/>
          <w:bCs/>
          <w:sz w:val="24"/>
          <w:szCs w:val="24"/>
        </w:rPr>
        <w:t xml:space="preserve">2596 · Le sedi multilaterali come ambiente.</w:t>
      </w:r>
      <w:r>
        <w:rPr>
          <w:rFonts w:ascii="Barlow Semi Condensed" w:cs="Barlow Semi Condensed" w:eastAsia="Barlow Semi Condensed" w:hAnsi="Barlow Semi Condensed"/>
          <w:sz w:val="24"/>
          <w:szCs w:val="24"/>
        </w:rPr>
        <w:t xml:space="preserve"> Nelle sedi multilaterali il capitolo nono accerta la compresenza dell'Italia e della delegazione vaticana di Silvestrini alla conferenza sull'energia atomica del 1971, al trattato del 1975 e alla Conferenza sulla sicurezza, e la qualifica per quello che è: comunanza d'ambiente, non concertazione. La qualificazione si estende per identità di ragione a ogni compresenza americana. Un tavolo condiviso non è un canale, e il territorio non ne documenta alcuno.</w:t>
      </w:r>
    </w:p>
    <w:p>
      <w:pPr>
        <w:spacing w:after="120" w:line="276"/>
        <w:jc w:val="both"/>
      </w:pPr>
      <w:r>
        <w:rPr>
          <w:rFonts w:ascii="Barlow Semi Condensed" w:cs="Barlow Semi Condensed" w:eastAsia="Barlow Semi Condensed" w:hAnsi="Barlow Semi Condensed"/>
          <w:b/>
          <w:bCs/>
          <w:sz w:val="24"/>
          <w:szCs w:val="24"/>
        </w:rPr>
        <w:t xml:space="preserve">2597 · Spagna e Santa Sede senza americani.</w:t>
      </w:r>
      <w:r>
        <w:rPr>
          <w:rFonts w:ascii="Barlow Semi Condensed" w:cs="Barlow Semi Condensed" w:eastAsia="Barlow Semi Condensed" w:hAnsi="Barlow Semi Condensed"/>
          <w:sz w:val="24"/>
          <w:szCs w:val="24"/>
        </w:rPr>
        <w:t xml:space="preserve"> Il capitolo decimo — l'udienza di Paolo VI a López Bravo del 12 gennaio 1973, la nota scritta in aereo, il caso Añoveros del 24 febbraio 1974 con le quarantotto ore date dal ministro Cortina Mauri al nunzio Dadaglio — non contiene alcun elemento americano, e la ricognizione precisa che non attesta neppure coinvolgimento italiano. Doppia assenza dichiarata. Sede per un'eventuale traccia: l'archivio dell'Università di Navarra e la biografia di Pérez Gómez.</w:t>
      </w:r>
    </w:p>
    <w:p>
      <w:pPr>
        <w:spacing w:after="120" w:line="276"/>
        <w:jc w:val="both"/>
      </w:pPr>
      <w:r>
        <w:rPr>
          <w:rFonts w:ascii="Barlow Semi Condensed" w:cs="Barlow Semi Condensed" w:eastAsia="Barlow Semi Condensed" w:hAnsi="Barlow Semi Condensed"/>
          <w:b/>
          <w:bCs/>
          <w:sz w:val="24"/>
          <w:szCs w:val="24"/>
        </w:rPr>
        <w:t xml:space="preserve">2598 · Pignedoli, Sossi e la finestra 1974.</w:t>
      </w:r>
      <w:r>
        <w:rPr>
          <w:rFonts w:ascii="Barlow Semi Condensed" w:cs="Barlow Semi Condensed" w:eastAsia="Barlow Semi Condensed" w:hAnsi="Barlow Semi Condensed"/>
          <w:sz w:val="24"/>
          <w:szCs w:val="24"/>
        </w:rPr>
        <w:t xml:space="preserve"> Il capitolo undicesimo colloca il canale del cardinale Sergio Pignedoli nel sequestro Sossi, fra il 18 aprile e il 23 maggio 1974, con Moro ancora ministro. Nessuna fonte del territorio registra attenzione americana a quella vicenda. Quesito: se i cablogrammi dell'ambasciata a Roma della primavera 1974 ne parlino. Sede: i Central Foreign Policy Files ai National Archives, la stessa già indicata per Fiumicino.</w:t>
      </w:r>
    </w:p>
    <w:p>
      <w:pPr>
        <w:spacing w:after="120" w:line="276"/>
        <w:jc w:val="both"/>
      </w:pPr>
      <w:r>
        <w:rPr>
          <w:rFonts w:ascii="Barlow Semi Condensed" w:cs="Barlow Semi Condensed" w:eastAsia="Barlow Semi Condensed" w:hAnsi="Barlow Semi Condensed"/>
          <w:b/>
          <w:bCs/>
          <w:sz w:val="24"/>
          <w:szCs w:val="24"/>
        </w:rPr>
        <w:t xml:space="preserve">2599 · L'archivio spagnolo e la sua norma.</w:t>
      </w:r>
      <w:r>
        <w:rPr>
          <w:rFonts w:ascii="Barlow Semi Condensed" w:cs="Barlow Semi Condensed" w:eastAsia="Barlow Semi Condensed" w:hAnsi="Barlow Semi Condensed"/>
          <w:sz w:val="24"/>
          <w:szCs w:val="24"/>
        </w:rPr>
        <w:t xml:space="preserve"> Il capitolo terzo accerta che l'Archivo General de la Administración di Alcalá de Henares, creato col decreto 914 del 1969 e operativo dal 1972, riceve per trasferimento quindicennale la documentazione del ministero degli Esteri spagnolo, già versata «a grosso modo» fino al 1985. Ne discende, per inferenza dalla norma e non da inventario consultato, dove la corrispondenza con l'ambasciata a Roma dovrebbe materialmente trovarsi.</w:t>
      </w:r>
    </w:p>
    <w:p>
      <w:pPr>
        <w:spacing w:after="120" w:line="276"/>
        <w:jc w:val="both"/>
      </w:pPr>
      <w:r>
        <w:rPr>
          <w:rFonts w:ascii="Barlow Semi Condensed" w:cs="Barlow Semi Condensed" w:eastAsia="Barlow Semi Condensed" w:hAnsi="Barlow Semi Condensed"/>
          <w:b/>
          <w:bCs/>
          <w:sz w:val="24"/>
          <w:szCs w:val="24"/>
        </w:rPr>
        <w:t xml:space="preserve">2600 · Il versante spagnolo, tre esiti negativi.</w:t>
      </w:r>
      <w:r>
        <w:rPr>
          <w:rFonts w:ascii="Barlow Semi Condensed" w:cs="Barlow Semi Condensed" w:eastAsia="Barlow Semi Condensed" w:hAnsi="Barlow Semi Condensed"/>
          <w:sz w:val="24"/>
          <w:szCs w:val="24"/>
        </w:rPr>
        <w:t xml:space="preserve"> La ricognizione dichiara tre assenze insieme: nessun inventario analitico del carteggio dell'ambasciata spagnola a Roma per quegli anni, nessuna documentazione edita su incontri o corrispondenza fra i ministri spagnoli e Moro, nessuna fonte spagnola sulla posizione di Madrid verso la politica italiana. Il nome americano non compare in nessuna delle tre. Il versante iberico è, per questa serie, uno Stato Zero di secondo grado: manca perfino la cornice.</w:t>
      </w:r>
    </w:p>
    <w:p>
      <w:pPr>
        <w:spacing w:after="120" w:line="276"/>
        <w:jc w:val="both"/>
      </w:pPr>
      <w:r>
        <w:rPr>
          <w:rFonts w:ascii="Barlow Semi Condensed" w:cs="Barlow Semi Condensed" w:eastAsia="Barlow Semi Condensed" w:hAnsi="Barlow Semi Condensed"/>
          <w:b/>
          <w:bCs/>
          <w:sz w:val="24"/>
          <w:szCs w:val="24"/>
        </w:rPr>
        <w:t xml:space="preserve">2601 · I tre ministri spagnoli e il vuoto.</w:t>
      </w:r>
      <w:r>
        <w:rPr>
          <w:rFonts w:ascii="Barlow Semi Condensed" w:cs="Barlow Semi Condensed" w:eastAsia="Barlow Semi Condensed" w:hAnsi="Barlow Semi Condensed"/>
          <w:sz w:val="24"/>
          <w:szCs w:val="24"/>
        </w:rPr>
        <w:t xml:space="preserve"> López Bravo, López Rodó e Cortina Mauri sono nominati come interlocutori possibili e mai documentati. La seconda campagna conferma lo Stato Zero sul contatto diretto con Moro e ne indica le due sedi, la Farnesina e Alcalá de Henares. Costruire da lì un triangolo che includa Washington significa sommare due assenze: l'operazione è vietata, perché l'incrocio di due vuoti non produce un pieno.</w:t>
      </w:r>
    </w:p>
    <w:p>
      <w:pPr>
        <w:spacing w:after="120" w:line="276"/>
        <w:jc w:val="both"/>
      </w:pPr>
      <w:r>
        <w:rPr>
          <w:rFonts w:ascii="Barlow Semi Condensed" w:cs="Barlow Semi Condensed" w:eastAsia="Barlow Semi Condensed" w:hAnsi="Barlow Semi Condensed"/>
          <w:b/>
          <w:bCs/>
          <w:sz w:val="24"/>
          <w:szCs w:val="24"/>
        </w:rPr>
        <w:t xml:space="preserve">2602 · Il rapporto della CIA del 1970.</w:t>
      </w:r>
      <w:r>
        <w:rPr>
          <w:rFonts w:ascii="Barlow Semi Condensed" w:cs="Barlow Semi Condensed" w:eastAsia="Barlow Semi Condensed" w:hAnsi="Barlow Semi Condensed"/>
          <w:sz w:val="24"/>
          <w:szCs w:val="24"/>
        </w:rPr>
        <w:t xml:space="preserve"> La cartella possiede un documento primario americano che non riguarda l'Italia: il rapporto settimanale sul nuovo gabinetto spagnolo del 22 maggio 1970, protocollo CIA-RDP85T00875R001500020027-1, verificato nella sala di lettura dell'agenzia. Vi compare una frase deliberatamente anonima su un «Italian official» che la disciplina del corpus vieta di attribuire a Moro. Il divieto vale a maggior ragione per chiunque altro: un anonimo non si riempie con un nome.</w:t>
      </w:r>
    </w:p>
    <w:p>
      <w:pPr>
        <w:spacing w:after="120" w:line="276"/>
        <w:jc w:val="both"/>
      </w:pPr>
      <w:r>
        <w:rPr>
          <w:rFonts w:ascii="Barlow Semi Condensed" w:cs="Barlow Semi Condensed" w:eastAsia="Barlow Semi Condensed" w:hAnsi="Barlow Semi Condensed"/>
          <w:b/>
          <w:bCs/>
          <w:sz w:val="24"/>
          <w:szCs w:val="24"/>
        </w:rPr>
        <w:t xml:space="preserve">2603 · Il vuoto iberico e la sua prova.</w:t>
      </w:r>
      <w:r>
        <w:rPr>
          <w:rFonts w:ascii="Barlow Semi Condensed" w:cs="Barlow Semi Condensed" w:eastAsia="Barlow Semi Condensed" w:hAnsi="Barlow Semi Condensed"/>
          <w:sz w:val="24"/>
          <w:szCs w:val="24"/>
        </w:rPr>
        <w:t xml:space="preserve"> Da abbattere, sul versante spagnolo, è questa proposizione: che nessuna carta del 1969-1975 leghi la politica italiana alla diplomazia americana per il tramite di Moro. La smentirebbe un telegramma dell'ambasciata di Spagna a Roma che riferisca un colloquio in cui il ministro italiano riporti posizioni di Washington. Sede: il fondo del servizio esterno ad Alcalá de Henares. Finché gli inventari non sono consultati, l'ipotesi resta non verificata.</w:t>
      </w:r>
    </w:p>
    <w:p>
      <w:pPr>
        <w:spacing w:after="120" w:line="276"/>
        <w:jc w:val="both"/>
      </w:pPr>
      <w:r>
        <w:rPr>
          <w:rFonts w:ascii="Barlow Semi Condensed" w:cs="Barlow Semi Condensed" w:eastAsia="Barlow Semi Condensed" w:hAnsi="Barlow Semi Condensed"/>
          <w:b/>
          <w:bCs/>
          <w:sz w:val="24"/>
          <w:szCs w:val="24"/>
        </w:rPr>
        <w:t xml:space="preserve">2604 · La tavola dei sette esiti negativi.</w:t>
      </w:r>
      <w:r>
        <w:rPr>
          <w:rFonts w:ascii="Barlow Semi Condensed" w:cs="Barlow Semi Condensed" w:eastAsia="Barlow Semi Condensed" w:hAnsi="Barlow Semi Condensed"/>
          <w:sz w:val="24"/>
          <w:szCs w:val="24"/>
        </w:rPr>
        <w:t xml:space="preserve"> Il capitolo dodicesimo ordina per rendimento decrescente sette acquisizioni non conseguite, ciascuna con sede e condizione di chiusura: i carteggi di gabinetto, le repliche di bilancio, la corrispondenza spagnola, la nota di López Bravo, i verbali americani, i quattro documenti dispersi, le carte vaticane. È il modello formale che questa serie imita, e la sua virtù è di rendere ogni buco un compito assegnabile a qualcuno.</w:t>
      </w:r>
    </w:p>
    <w:p>
      <w:pPr>
        <w:spacing w:after="120" w:line="276"/>
        <w:jc w:val="both"/>
      </w:pPr>
      <w:r>
        <w:rPr>
          <w:rFonts w:ascii="Barlow Semi Condensed" w:cs="Barlow Semi Condensed" w:eastAsia="Barlow Semi Condensed" w:hAnsi="Barlow Semi Condensed"/>
          <w:b/>
          <w:bCs/>
          <w:sz w:val="24"/>
          <w:szCs w:val="24"/>
        </w:rPr>
        <w:t xml:space="preserve">2605 · L'ottava posizione da aggiungere.</w:t>
      </w:r>
      <w:r>
        <w:rPr>
          <w:rFonts w:ascii="Barlow Semi Condensed" w:cs="Barlow Semi Condensed" w:eastAsia="Barlow Semi Condensed" w:hAnsi="Barlow Semi Condensed"/>
          <w:sz w:val="24"/>
          <w:szCs w:val="24"/>
        </w:rPr>
        <w:t xml:space="preserve"> In quella tavola il nome di Kissinger non compare in alcuna delle sette posizioni. Proposta motivata: aggiungerne un'ottava, dedicata al bilaterale italo-americano del periodo in cui egli fu segretario di Stato, dal 22 settembre 1973 al 23 novembre 1974, con doppia sede, i fondi presidenziali americani per il versante d'oltreoceano e il carteggio di gabinetto per quello italiano. Senza quella voce, la tavola ha una finestra scoperta.</w:t>
      </w:r>
    </w:p>
    <w:p>
      <w:pPr>
        <w:spacing w:after="120" w:line="276"/>
        <w:jc w:val="both"/>
      </w:pPr>
      <w:r>
        <w:rPr>
          <w:rFonts w:ascii="Barlow Semi Condensed" w:cs="Barlow Semi Condensed" w:eastAsia="Barlow Semi Condensed" w:hAnsi="Barlow Semi Condensed"/>
          <w:b/>
          <w:bCs/>
          <w:sz w:val="24"/>
          <w:szCs w:val="24"/>
        </w:rPr>
        <w:t xml:space="preserve">2606 · Perché il quinto posto nomina altri.</w:t>
      </w:r>
      <w:r>
        <w:rPr>
          <w:rFonts w:ascii="Barlow Semi Condensed" w:cs="Barlow Semi Condensed" w:eastAsia="Barlow Semi Condensed" w:hAnsi="Barlow Semi Condensed"/>
          <w:sz w:val="24"/>
          <w:szCs w:val="24"/>
        </w:rPr>
        <w:t xml:space="preserve"> Il quinto posto della tavola chiede i verbali di colloqui diretti Moro-Nixon e Moro-Rogers per il 1969-1972 e indica la serie ufficiale e i materiali Nixon a College Park. La scelta dei nomi è corretta per quegli anni e insufficiente per i successivi: il bersaglio si ferma dove comincia il periodo in cui l'interlocuzione, se ci fu, ebbe l'altro titolare. È lacuna di disegno, non di fatto.</w:t>
      </w:r>
    </w:p>
    <w:p>
      <w:pPr>
        <w:spacing w:after="120" w:line="276"/>
        <w:jc w:val="both"/>
      </w:pPr>
      <w:r>
        <w:rPr>
          <w:rFonts w:ascii="Barlow Semi Condensed" w:cs="Barlow Semi Condensed" w:eastAsia="Barlow Semi Condensed" w:hAnsi="Barlow Semi Condensed"/>
          <w:b/>
          <w:bCs/>
          <w:sz w:val="24"/>
          <w:szCs w:val="24"/>
        </w:rPr>
        <w:t xml:space="preserve">2607 · Il costo dei bersagli, riveduto.</w:t>
      </w:r>
      <w:r>
        <w:rPr>
          <w:rFonts w:ascii="Barlow Semi Condensed" w:cs="Barlow Semi Condensed" w:eastAsia="Barlow Semi Condensed" w:hAnsi="Barlow Semi Condensed"/>
          <w:sz w:val="24"/>
          <w:szCs w:val="24"/>
        </w:rPr>
        <w:t xml:space="preserve"> Tre dei sette posti della tavola dipendono da sedi che la seconda campagna ha dichiarato meno accessibili di quanto i cantieri supponessero: la Farnesina per l'inventariazione incompleta, le banche dati parlamentari per la copertura dalla settima legislatura, gli inventari spagnoli per l'assenza di descrizione nominativa. La revisione non cambia il merito dei bersagli: ne cambia il prezzo, e va scritta accanto a ciascuno prima di assegnarli.</w:t>
      </w:r>
    </w:p>
    <w:p>
      <w:pPr>
        <w:spacing w:after="120" w:line="276"/>
        <w:jc w:val="both"/>
      </w:pPr>
      <w:r>
        <w:rPr>
          <w:rFonts w:ascii="Barlow Semi Condensed" w:cs="Barlow Semi Condensed" w:eastAsia="Barlow Semi Condensed" w:hAnsi="Barlow Semi Condensed"/>
          <w:b/>
          <w:bCs/>
          <w:sz w:val="24"/>
          <w:szCs w:val="24"/>
        </w:rPr>
        <w:t xml:space="preserve">2608 · Il verbale di vuoto come atto.</w:t>
      </w:r>
      <w:r>
        <w:rPr>
          <w:rFonts w:ascii="Barlow Semi Condensed" w:cs="Barlow Semi Condensed" w:eastAsia="Barlow Semi Condensed" w:hAnsi="Barlow Semi Condensed"/>
          <w:sz w:val="24"/>
          <w:szCs w:val="24"/>
        </w:rPr>
        <w:t xml:space="preserve"> Il blocco 233 dell'agenda prescrive di verbalizzare lo Stato Zero con perimetro esatto — che cosa è stato cercato, dove, quando, con quale esito — e il blocco 285 fa della ricerca a vuoto un atto che impedisce di ricercare due volte. Questa serie applica entrambi: ogni assenza qui dichiarata porta la propria sede e la propria condizione di chiusura, e nessuna è narrata al posto di essere misurata.</w:t>
      </w:r>
    </w:p>
    <w:p>
      <w:pPr>
        <w:spacing w:after="120" w:line="276"/>
        <w:jc w:val="both"/>
      </w:pPr>
      <w:r>
        <w:rPr>
          <w:rFonts w:ascii="Barlow Semi Condensed" w:cs="Barlow Semi Condensed" w:eastAsia="Barlow Semi Condensed" w:hAnsi="Barlow Semi Condensed"/>
          <w:b/>
          <w:bCs/>
          <w:sz w:val="24"/>
          <w:szCs w:val="24"/>
        </w:rPr>
        <w:t xml:space="preserve">2609 · Helsinki cade fuori dal perimetro.</w:t>
      </w:r>
      <w:r>
        <w:rPr>
          <w:rFonts w:ascii="Barlow Semi Condensed" w:cs="Barlow Semi Condensed" w:eastAsia="Barlow Semi Condensed" w:hAnsi="Barlow Semi Condensed"/>
          <w:sz w:val="24"/>
          <w:szCs w:val="24"/>
        </w:rPr>
        <w:t xml:space="preserve"> L'Atto finale del 1° agosto 1975 è la triangolazione certa del corpus, come ripete il blocco 536 dell'opera, ma è posteriore di otto mesi alla fine del secondo mandato: Moro lo firmò da presidente del Consiglio e presidente di turno del Consiglio delle Comunità. In una serie sul ministero degli Esteri va richiamato per confine, non per contenuto. Confondere le due qualità produce anacronismo istituzionale.</w:t>
      </w:r>
    </w:p>
    <w:p>
      <w:pPr>
        <w:spacing w:after="120" w:line="276"/>
        <w:jc w:val="both"/>
      </w:pPr>
      <w:r>
        <w:rPr>
          <w:rFonts w:ascii="Barlow Semi Condensed" w:cs="Barlow Semi Condensed" w:eastAsia="Barlow Semi Condensed" w:hAnsi="Barlow Semi Condensed"/>
          <w:b/>
          <w:bCs/>
          <w:sz w:val="24"/>
          <w:szCs w:val="24"/>
        </w:rPr>
        <w:t xml:space="preserve">2610 · L'insofferenza riferita e il suo piano.</w:t>
      </w:r>
      <w:r>
        <w:rPr>
          <w:rFonts w:ascii="Barlow Semi Condensed" w:cs="Barlow Semi Condensed" w:eastAsia="Barlow Semi Condensed" w:hAnsi="Barlow Semi Condensed"/>
          <w:sz w:val="24"/>
          <w:szCs w:val="24"/>
        </w:rPr>
        <w:t xml:space="preserve"> La formula secondo cui Moro ottenne il coinvolgimento comunitario nella firma «sfidando l'insofferenza di Kissinger» proviene da fonte pubblicistica e storiografica secondaria, non da un verbale: i blocchi 43, 256, 384 e 738 dell'opera la registrano come affermazione da fissare su segnatura. Terzo piano finché un primario non la porti al primo. Va citata con la sua provenienza, mai come dato di fatto.</w:t>
      </w:r>
    </w:p>
    <w:p>
      <w:pPr>
        <w:spacing w:after="120" w:line="276"/>
        <w:jc w:val="both"/>
      </w:pPr>
      <w:r>
        <w:rPr>
          <w:rFonts w:ascii="Barlow Semi Condensed" w:cs="Barlow Semi Condensed" w:eastAsia="Barlow Semi Condensed" w:hAnsi="Barlow Semi Condensed"/>
          <w:b/>
          <w:bCs/>
          <w:sz w:val="24"/>
          <w:szCs w:val="24"/>
        </w:rPr>
        <w:t xml:space="preserve">2611 · Il telegramma del 2 agosto 1975 (serie XXXIV).</w:t>
      </w:r>
      <w:r>
        <w:rPr>
          <w:rFonts w:ascii="Barlow Semi Condensed" w:cs="Barlow Semi Condensed" w:eastAsia="Barlow Semi Condensed" w:hAnsi="Barlow Semi Condensed"/>
          <w:sz w:val="24"/>
          <w:szCs w:val="24"/>
        </w:rPr>
        <w:t xml:space="preserve"> La ricognizione greca della stessa cartella cita il documento 334 del volume XXXIX, telegramma di Kissinger del 2 agosto 1975, che conferma la firma da parte di trentacinque capi di Stato o di governo e descrive la cerimonia conclusiva. Di attriti sul coinvolgimento comunitario non vi è traccia. È accertamento negativo puntuale: l'unico primario del territorio a quella firma non contiene ciò che la pubblicistica riferisce.</w:t>
      </w:r>
    </w:p>
    <w:p>
      <w:pPr>
        <w:spacing w:after="120" w:line="276"/>
        <w:jc w:val="both"/>
      </w:pPr>
      <w:r>
        <w:rPr>
          <w:rFonts w:ascii="Barlow Semi Condensed" w:cs="Barlow Semi Condensed" w:eastAsia="Barlow Semi Condensed" w:hAnsi="Barlow Semi Condensed"/>
          <w:b/>
          <w:bCs/>
          <w:sz w:val="24"/>
          <w:szCs w:val="24"/>
        </w:rPr>
        <w:t xml:space="preserve">2612 · Portare l'insofferenza al primo piano.</w:t>
      </w:r>
      <w:r>
        <w:rPr>
          <w:rFonts w:ascii="Barlow Semi Condensed" w:cs="Barlow Semi Condensed" w:eastAsia="Barlow Semi Condensed" w:hAnsi="Barlow Semi Condensed"/>
          <w:sz w:val="24"/>
          <w:szCs w:val="24"/>
        </w:rPr>
        <w:t xml:space="preserve"> Per farlo serve una carta sola: un memorandum, un telegramma o un appunto del luglio-agosto 1975 che ne parli in termini espliciti. Sedi: i memoranda di conversazione della Ford Library per quei due mesi e il volume della serie ufficiale sulla sicurezza europea. Un esito negativo dopo quello spoglio non abolirebbe l'episodio: lo lascerebbe dov'è, cioè fuori dalla prova e dentro la sola tradizione riferita.</w:t>
      </w:r>
    </w:p>
    <w:p>
      <w:pPr>
        <w:spacing w:after="120" w:line="276"/>
        <w:jc w:val="both"/>
      </w:pPr>
      <w:r>
        <w:rPr>
          <w:rFonts w:ascii="Barlow Semi Condensed" w:cs="Barlow Semi Condensed" w:eastAsia="Barlow Semi Condensed" w:hAnsi="Barlow Semi Condensed"/>
          <w:b/>
          <w:bCs/>
          <w:sz w:val="24"/>
          <w:szCs w:val="24"/>
        </w:rPr>
        <w:t xml:space="preserve">2613 · La firma comunitaria del 1971.</w:t>
      </w:r>
      <w:r>
        <w:rPr>
          <w:rFonts w:ascii="Barlow Semi Condensed" w:cs="Barlow Semi Condensed" w:eastAsia="Barlow Semi Condensed" w:hAnsi="Barlow Semi Condensed"/>
          <w:sz w:val="24"/>
          <w:szCs w:val="24"/>
        </w:rPr>
        <w:t xml:space="preserve"> Il README della cartella fissa un altro dato certo, precedente e interno al mandato: la firma dell'accordo provvisorio con la Turchia a Bruxelles il 27 luglio 1971, attestata dal preambolo del regolamento comunitario 1842 del 1971 e apposta da Moro a nome del Consiglio delle Comunità. Nessuna fonte americana del territorio la registra. È il modello opposto a Helsinki: atto certo, documentato, privo di contorni riferiti.</w:t>
      </w:r>
    </w:p>
    <w:p>
      <w:pPr>
        <w:spacing w:after="120" w:line="276"/>
        <w:jc w:val="both"/>
      </w:pPr>
      <w:r>
        <w:rPr>
          <w:rFonts w:ascii="Barlow Semi Condensed" w:cs="Barlow Semi Condensed" w:eastAsia="Barlow Semi Condensed" w:hAnsi="Barlow Semi Condensed"/>
          <w:b/>
          <w:bCs/>
          <w:sz w:val="24"/>
          <w:szCs w:val="24"/>
        </w:rPr>
        <w:t xml:space="preserve">2614 · Il lotto del Dipartimento di Stato.</w:t>
      </w:r>
      <w:r>
        <w:rPr>
          <w:rFonts w:ascii="Barlow Semi Condensed" w:cs="Barlow Semi Condensed" w:eastAsia="Barlow Semi Condensed" w:hAnsi="Barlow Semi Condensed"/>
          <w:sz w:val="24"/>
          <w:szCs w:val="24"/>
        </w:rPr>
        <w:t xml:space="preserve"> Un lotto desecretato in due strati è conservato nella cartella: la visita ufficiale dell'aprile 1965 e i cablogrammi dell'aprile-maggio 1978, con l'OCR grezzo di partenza custodito per catena di custodia. Il conteggio meccanico vi dà zero occorrenze del cognome. Le due estremità cadono l'una prima dell'ingresso al governo di quell'uomo, l'altra dopo la sua uscita: l'assenza è cronologicamente spiegata, e va detta spiegata.</w:t>
      </w:r>
    </w:p>
    <w:p>
      <w:pPr>
        <w:spacing w:after="120" w:line="276"/>
        <w:jc w:val="both"/>
      </w:pPr>
      <w:r>
        <w:rPr>
          <w:rFonts w:ascii="Barlow Semi Condensed" w:cs="Barlow Semi Condensed" w:eastAsia="Barlow Semi Condensed" w:hAnsi="Barlow Semi Condensed"/>
          <w:b/>
          <w:bCs/>
          <w:sz w:val="24"/>
          <w:szCs w:val="24"/>
        </w:rPr>
        <w:t xml:space="preserve">2615 · Nel 1965 il titolare era Rusk.</w:t>
      </w:r>
      <w:r>
        <w:rPr>
          <w:rFonts w:ascii="Barlow Semi Condensed" w:cs="Barlow Semi Condensed" w:eastAsia="Barlow Semi Condensed" w:hAnsi="Barlow Semi Condensed"/>
          <w:sz w:val="24"/>
          <w:szCs w:val="24"/>
        </w:rPr>
        <w:t xml:space="preserve"> Il programma ufficiale del 19-23 aprile 1965 mette Moro, allora presidente del Consiglio, davanti a Johnson, a Dean Rusk al Dipartimento di Stato, a McNamara alla Difesa, a Humphrey al Campidoglio, a U Thant alle Nazioni Unite. La Farnesina era di Fanfani. Il documento serve per contrasto: mostra come si documenta un rapporto bilaterale quando esiste, e quanto poco somigli a ciò che il 1969-1974 offre.</w:t>
      </w:r>
    </w:p>
    <w:p>
      <w:pPr>
        <w:spacing w:after="120" w:line="276"/>
        <w:jc w:val="both"/>
      </w:pPr>
      <w:r>
        <w:rPr>
          <w:rFonts w:ascii="Barlow Semi Condensed" w:cs="Barlow Semi Condensed" w:eastAsia="Barlow Semi Condensed" w:hAnsi="Barlow Semi Condensed"/>
          <w:b/>
          <w:bCs/>
          <w:sz w:val="24"/>
          <w:szCs w:val="24"/>
        </w:rPr>
        <w:t xml:space="preserve">2616 · Un testimone nella delegazione del 1965.</w:t>
      </w:r>
      <w:r>
        <w:rPr>
          <w:rFonts w:ascii="Barlow Semi Condensed" w:cs="Barlow Semi Condensed" w:eastAsia="Barlow Semi Condensed" w:hAnsi="Barlow Semi Condensed"/>
          <w:sz w:val="24"/>
          <w:szCs w:val="24"/>
        </w:rPr>
        <w:t xml:space="preserve"> Nell'elenco ufficiale dei «Members of the Party» figura Corrado Guerzoni, capo dell'Ufficio stampa della presidenza del Consiglio. È fatto pubblico documentato, e riguarda la persona che nel novembre 1982 renderà de relato, davanti alla Corte d'assise di Roma, la testimonianza contestata. Attesta prossimità istituzionale al dossier americano nel 1965: non attesta nulla sul contenuto di quella deposizione, che resta dove il corpus l'ha collocata.</w:t>
      </w:r>
    </w:p>
    <w:p>
      <w:pPr>
        <w:spacing w:after="120" w:line="276"/>
        <w:jc w:val="both"/>
      </w:pPr>
      <w:r>
        <w:rPr>
          <w:rFonts w:ascii="Barlow Semi Condensed" w:cs="Barlow Semi Condensed" w:eastAsia="Barlow Semi Condensed" w:hAnsi="Barlow Semi Condensed"/>
          <w:b/>
          <w:bCs/>
          <w:sz w:val="24"/>
          <w:szCs w:val="24"/>
        </w:rPr>
        <w:t xml:space="preserve">2617 · La testimonianza contestata e questo territorio.</w:t>
      </w:r>
      <w:r>
        <w:rPr>
          <w:rFonts w:ascii="Barlow Semi Condensed" w:cs="Barlow Semi Condensed" w:eastAsia="Barlow Semi Condensed" w:hAnsi="Barlow Semi Condensed"/>
          <w:sz w:val="24"/>
          <w:szCs w:val="24"/>
        </w:rPr>
        <w:t xml:space="preserve"> La ricognizione-madre non contiene l'episodio dell'avvertimento: non lo nomina, non lo discute, non lo colloca. È coerente col suo statuto documentale, perché quella vicenda è testimonianza de relato con data oscillante fra 1974, 1976 e 1977, nome ottenuto in aula e non offerto, sempre smentito dall'interessato, e la cui apparente moltiplicazione di fonti risale a un unico lancio d'agenzia del 30 novembre 2023.</w:t>
      </w:r>
    </w:p>
    <w:p>
      <w:pPr>
        <w:spacing w:after="120" w:line="276"/>
        <w:jc w:val="both"/>
      </w:pPr>
      <w:r>
        <w:rPr>
          <w:rFonts w:ascii="Barlow Semi Condensed" w:cs="Barlow Semi Condensed" w:eastAsia="Barlow Semi Condensed" w:hAnsi="Barlow Semi Condensed"/>
          <w:b/>
          <w:bCs/>
          <w:sz w:val="24"/>
          <w:szCs w:val="24"/>
        </w:rPr>
        <w:t xml:space="preserve">2618 · Due identità da accertare.</w:t>
      </w:r>
      <w:r>
        <w:rPr>
          <w:rFonts w:ascii="Barlow Semi Condensed" w:cs="Barlow Semi Condensed" w:eastAsia="Barlow Semi Condensed" w:hAnsi="Barlow Semi Condensed"/>
          <w:sz w:val="24"/>
          <w:szCs w:val="24"/>
        </w:rPr>
        <w:t xml:space="preserve"> Nella delegazione del 1965 compaiono Egidio Ortona, direttore generale degli affari economici, e Gianfranco Pompei, consigliere diplomatico: due nomi che ritornano altrove nella cartella, il primo nel capitolo settimo, il secondo nel capitolo decimo come autore di un diario d'ambasciata. Accertare che si tratti delle stesse persone è compito preliminare, non risultato. La cartella si è già data una cautela d'omonimia, e va applicata anche qui.</w:t>
      </w:r>
    </w:p>
    <w:p>
      <w:pPr>
        <w:spacing w:after="120" w:line="276"/>
        <w:jc w:val="both"/>
      </w:pPr>
      <w:r>
        <w:rPr>
          <w:rFonts w:ascii="Barlow Semi Condensed" w:cs="Barlow Semi Condensed" w:eastAsia="Barlow Semi Condensed" w:hAnsi="Barlow Semi Condensed"/>
          <w:b/>
          <w:bCs/>
          <w:sz w:val="24"/>
          <w:szCs w:val="24"/>
        </w:rPr>
        <w:t xml:space="preserve">2619 · Che cosa questa serie non ha stabilito (serie XXXIV).</w:t>
      </w:r>
      <w:r>
        <w:rPr>
          <w:rFonts w:ascii="Barlow Semi Condensed" w:cs="Barlow Semi Condensed" w:eastAsia="Barlow Semi Condensed" w:hAnsi="Barlow Semi Condensed"/>
          <w:sz w:val="24"/>
          <w:szCs w:val="24"/>
        </w:rPr>
        <w:t xml:space="preserve"> Non ha stabilito alcuna condotta, alcun disegno, alcuna responsabilità. Non ha stabilito che i due uomini avessero rapporti oltre il verbale del 25 settembre 1974. Non ha stabilito che le assenze qui misurate significhino occultamento: significano, finora, soltanto carte non cercate o non accessibili. E non ha stabilito che la firma in calce a un telegramma equivalga alla mano di chi la porta.</w:t>
      </w:r>
    </w:p>
    <w:p>
      <w:pPr>
        <w:spacing w:after="120" w:line="276"/>
        <w:jc w:val="both"/>
      </w:pPr>
      <w:r>
        <w:rPr>
          <w:rFonts w:ascii="Barlow Semi Condensed" w:cs="Barlow Semi Condensed" w:eastAsia="Barlow Semi Condensed" w:hAnsi="Barlow Semi Condensed"/>
          <w:b/>
          <w:bCs/>
          <w:sz w:val="24"/>
          <w:szCs w:val="24"/>
        </w:rPr>
        <w:t xml:space="preserve">2620 · Il bilancio della ricognizione-madre.</w:t>
      </w:r>
      <w:r>
        <w:rPr>
          <w:rFonts w:ascii="Barlow Semi Condensed" w:cs="Barlow Semi Condensed" w:eastAsia="Barlow Semi Condensed" w:hAnsi="Barlow Semi Condensed"/>
          <w:sz w:val="24"/>
          <w:szCs w:val="24"/>
        </w:rPr>
        <w:t xml:space="preserve"> Un ponte di primo piano, datato e con segnatura doppia; una fascia di secondo piano fatta di cornici atlantiche che non si toccano; due voci di terzo piano da fissare o da lasciare cadere; e undici capitoli su dodici che tacciono, ciascuno con la propria sede di chiusura. È l'esito corretto per un corpus che su questo nome possiede quasi nulla, e dichiararlo vale più che colmarlo.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trentacinquesima — La Farnesina: Germania e la sequenza Oder-Neisse</w:t>
      </w:r>
    </w:p>
    <w:p>
      <w:pPr>
        <w:spacing w:after="120" w:line="276"/>
        <w:jc w:val="both"/>
      </w:pPr>
      <w:r>
        <w:rPr>
          <w:rFonts w:ascii="Barlow Semi Condensed" w:cs="Barlow Semi Condensed" w:eastAsia="Barlow Semi Condensed" w:hAnsi="Barlow Semi Condensed"/>
          <w:i/>
          <w:iCs/>
          <w:sz w:val="24"/>
          <w:szCs w:val="24"/>
        </w:rPr>
        <w:t xml:space="preserve">Blocchi 2621-2700.</w:t>
      </w:r>
    </w:p>
    <w:p>
      <w:pPr>
        <w:spacing w:after="120" w:line="276"/>
        <w:jc w:val="both"/>
      </w:pPr>
      <w:r>
        <w:rPr>
          <w:rFonts w:ascii="Barlow Semi Condensed" w:cs="Barlow Semi Condensed" w:eastAsia="Barlow Semi Condensed" w:hAnsi="Barlow Semi Condensed"/>
          <w:b/>
          <w:bCs/>
          <w:sz w:val="24"/>
          <w:szCs w:val="24"/>
        </w:rPr>
        <w:t xml:space="preserve">2621 · La misura che apre la serie.</w:t>
      </w:r>
      <w:r>
        <w:rPr>
          <w:rFonts w:ascii="Barlow Semi Condensed" w:cs="Barlow Semi Condensed" w:eastAsia="Barlow Semi Condensed" w:hAnsi="Barlow Semi Condensed"/>
          <w:sz w:val="24"/>
          <w:szCs w:val="24"/>
        </w:rPr>
        <w:t xml:space="preserve"> Prima di scrivere si è contato. La stringa «Kissinger» ricorre zero volte in germania-opus-dei-1952-1985.md e zero volte in santa-sede-due-germanie-oder-neisse.md; zero anche «Washington», «Nixon», «Ford», «Dipartimento di Stato», «FRUS». Il nome non abita questo territorio. È un accertamento con perimetro dichiarato, non una premessa retorica, e si verbalizza secondo la regola del blocco 233 dell'agenda di ricerca: il buco misurato è conoscenza.</w:t>
      </w:r>
    </w:p>
    <w:p>
      <w:pPr>
        <w:spacing w:after="120" w:line="276"/>
        <w:jc w:val="both"/>
      </w:pPr>
      <w:r>
        <w:rPr>
          <w:rFonts w:ascii="Barlow Semi Condensed" w:cs="Barlow Semi Condensed" w:eastAsia="Barlow Semi Condensed" w:hAnsi="Barlow Semi Condensed"/>
          <w:b/>
          <w:bCs/>
          <w:sz w:val="24"/>
          <w:szCs w:val="24"/>
        </w:rPr>
        <w:t xml:space="preserve">2622 · L'unica occorrenza americana.</w:t>
      </w:r>
      <w:r>
        <w:rPr>
          <w:rFonts w:ascii="Barlow Semi Condensed" w:cs="Barlow Semi Condensed" w:eastAsia="Barlow Semi Condensed" w:hAnsi="Barlow Semi Condensed"/>
          <w:sz w:val="24"/>
          <w:szCs w:val="24"/>
        </w:rPr>
        <w:t xml:space="preserve"> Il conteggio restituisce un solo affioramento degli Stati Uniti nei due documenti: al capitolo IX del dossier tedesco, l'Accordo quadripartito su Berlino del 3 settembre 1971 «siglato da Francia, Regno Unito, Stati Uniti e Unione Sovietica». È un nome di potenza dentro un elenco di firmatari, senza persone, senza contenuto negoziale, senza verbale. Da quel punto solo può partire un bersaglio di primo piano.</w:t>
      </w:r>
    </w:p>
    <w:p>
      <w:pPr>
        <w:spacing w:after="120" w:line="276"/>
        <w:jc w:val="both"/>
      </w:pPr>
      <w:r>
        <w:rPr>
          <w:rFonts w:ascii="Barlow Semi Condensed" w:cs="Barlow Semi Condensed" w:eastAsia="Barlow Semi Condensed" w:hAnsi="Barlow Semi Condensed"/>
          <w:b/>
          <w:bCs/>
          <w:sz w:val="24"/>
          <w:szCs w:val="24"/>
        </w:rPr>
        <w:t xml:space="preserve">2623 · Il dollaro come secondo affioramento.</w:t>
      </w:r>
      <w:r>
        <w:rPr>
          <w:rFonts w:ascii="Barlow Semi Condensed" w:cs="Barlow Semi Condensed" w:eastAsia="Barlow Semi Condensed" w:hAnsi="Barlow Semi Condensed"/>
          <w:sz w:val="24"/>
          <w:szCs w:val="24"/>
        </w:rPr>
        <w:t xml:space="preserve"> Nel dossier Oder-Neisse la sola presenza americana è monetaria: l'uscita della lira dal serpente il 13 febbraio 1973 vi è datata «in coincidenza con la seconda svalutazione del dollaro». Un atto di politica valutaria, non una condotta individuale. Chi cercasse in quella riga una traccia del Segretario di Stato la trasformerebbe in ciò che non è: la distinzione fra atto di Stato e persona resta ferma.</w:t>
      </w:r>
    </w:p>
    <w:p>
      <w:pPr>
        <w:spacing w:after="120" w:line="276"/>
        <w:jc w:val="both"/>
      </w:pPr>
      <w:r>
        <w:rPr>
          <w:rFonts w:ascii="Barlow Semi Condensed" w:cs="Barlow Semi Condensed" w:eastAsia="Barlow Semi Condensed" w:hAnsi="Barlow Semi Condensed"/>
          <w:b/>
          <w:bCs/>
          <w:sz w:val="24"/>
          <w:szCs w:val="24"/>
        </w:rPr>
        <w:t xml:space="preserve">2624 · Tre volte NATO, mai una fonte.</w:t>
      </w:r>
      <w:r>
        <w:rPr>
          <w:rFonts w:ascii="Barlow Semi Condensed" w:cs="Barlow Semi Condensed" w:eastAsia="Barlow Semi Condensed" w:hAnsi="Barlow Semi Condensed"/>
          <w:sz w:val="24"/>
          <w:szCs w:val="24"/>
        </w:rPr>
        <w:t xml:space="preserve"> La sigla NATO compare tre volte nel dossier tedesco e sempre come cornice: l'Italia «alleato interessato» ma non parte contraente sul negoziato di Berlino, le ministeriali come sede di compresenza fra Moro e Scheel, quelle stesse ministeriali fra le carte da spogliare. Nel dossier sulle due Germanie non compare mai. Il canale atlantico è nominato come ambiente e non è mai citato come documento.</w:t>
      </w:r>
    </w:p>
    <w:p>
      <w:pPr>
        <w:spacing w:after="120" w:line="276"/>
        <w:jc w:val="both"/>
      </w:pPr>
      <w:r>
        <w:rPr>
          <w:rFonts w:ascii="Barlow Semi Condensed" w:cs="Barlow Semi Condensed" w:eastAsia="Barlow Semi Condensed" w:hAnsi="Barlow Semi Condensed"/>
          <w:b/>
          <w:bCs/>
          <w:sz w:val="24"/>
          <w:szCs w:val="24"/>
        </w:rPr>
        <w:t xml:space="preserve">2625 · Gli incarichi contro la catena.</w:t>
      </w:r>
      <w:r>
        <w:rPr>
          <w:rFonts w:ascii="Barlow Semi Condensed" w:cs="Barlow Semi Condensed" w:eastAsia="Barlow Semi Condensed" w:hAnsi="Barlow Semi Condensed"/>
          <w:sz w:val="24"/>
          <w:szCs w:val="24"/>
        </w:rPr>
        <w:t xml:space="preserve"> Assistente per la sicurezza nazionale dal 20 gennaio 1969 al 3 novembre 1975, Segretario di Stato dal 22 settembre 1973 al 20 gennaio 1977: l'intera catena Oder-Neisse — firma il 7 dicembre 1970, leggi di autorizzazione il 17 e il 19 maggio 1972, vigore il 3 giugno, costituzioni apostoliche il 28 giugno — cade dentro il primo incarico. È coincidenza di calendario: punto di partenza del quesito, non risposta.</w:t>
      </w:r>
    </w:p>
    <w:p>
      <w:pPr>
        <w:spacing w:after="120" w:line="276"/>
        <w:jc w:val="both"/>
      </w:pPr>
      <w:r>
        <w:rPr>
          <w:rFonts w:ascii="Barlow Semi Condensed" w:cs="Barlow Semi Condensed" w:eastAsia="Barlow Semi Condensed" w:hAnsi="Barlow Semi Condensed"/>
          <w:b/>
          <w:bCs/>
          <w:sz w:val="24"/>
          <w:szCs w:val="24"/>
        </w:rPr>
        <w:t xml:space="preserve">2626 · Berlino, l'unico appiglio giuridico.</w:t>
      </w:r>
      <w:r>
        <w:rPr>
          <w:rFonts w:ascii="Barlow Semi Condensed" w:cs="Barlow Semi Condensed" w:eastAsia="Barlow Semi Condensed" w:hAnsi="Barlow Semi Condensed"/>
          <w:sz w:val="24"/>
          <w:szCs w:val="24"/>
        </w:rPr>
        <w:t xml:space="preserve"> L'Accordo quadripartito è l'unico dei cinque atti della Ostpolitik in cui gli Stati Uniti siano parte contraente e non alleato spettatore. Qui, e soltanto qui, un documento di provenienza americana potrebbe costituire un ponte di primo piano con questo territorio. Il dossier tedesco lo nomina in una riga e dichiara Stato Zero la posizione italiana: due lacune adiacenti, di natura diversa, da non confondere.</w:t>
      </w:r>
    </w:p>
    <w:p>
      <w:pPr>
        <w:spacing w:after="120" w:line="276"/>
        <w:jc w:val="both"/>
      </w:pPr>
      <w:r>
        <w:rPr>
          <w:rFonts w:ascii="Barlow Semi Condensed" w:cs="Barlow Semi Condensed" w:eastAsia="Barlow Semi Condensed" w:hAnsi="Barlow Semi Condensed"/>
          <w:b/>
          <w:bCs/>
          <w:sz w:val="24"/>
          <w:szCs w:val="24"/>
        </w:rPr>
        <w:t xml:space="preserve">2627 · La sede che chiuderebbe lo zero.</w:t>
      </w:r>
      <w:r>
        <w:rPr>
          <w:rFonts w:ascii="Barlow Semi Condensed" w:cs="Barlow Semi Condensed" w:eastAsia="Barlow Semi Condensed" w:hAnsi="Barlow Semi Condensed"/>
          <w:sz w:val="24"/>
          <w:szCs w:val="24"/>
        </w:rPr>
        <w:t xml:space="preserve"> Il quesito si porta in archivio così: nella serie Foreign Relations of the United States 1969-1976, nel volume dedicato alla Germania e a Berlino, esiste un documento che nomini insieme il negoziato quadripartito e la riorganizzazione diocesana del 28 giugno 1972? Sede parallela, i Nixon Presidential Materials, NSC Files, Country Files per la Germania ai National Archives di College Park. Esito atteso negativo.</w:t>
      </w:r>
    </w:p>
    <w:p>
      <w:pPr>
        <w:spacing w:after="120" w:line="276"/>
        <w:jc w:val="both"/>
      </w:pPr>
      <w:r>
        <w:rPr>
          <w:rFonts w:ascii="Barlow Semi Condensed" w:cs="Barlow Semi Condensed" w:eastAsia="Barlow Semi Condensed" w:hAnsi="Barlow Semi Condensed"/>
          <w:b/>
          <w:bCs/>
          <w:sz w:val="24"/>
          <w:szCs w:val="24"/>
        </w:rPr>
        <w:t xml:space="preserve">2628 · La parola Germania nel 1974.</w:t>
      </w:r>
      <w:r>
        <w:rPr>
          <w:rFonts w:ascii="Barlow Semi Condensed" w:cs="Barlow Semi Condensed" w:eastAsia="Barlow Semi Condensed" w:hAnsi="Barlow Semi Condensed"/>
          <w:sz w:val="24"/>
          <w:szCs w:val="24"/>
        </w:rPr>
        <w:t xml:space="preserve"> Il solo documento di primo piano che il corpus possiede su questo nome — il memorandum dello Studio Ovale del 25 settembre 1974, FRUS 1969-1976 E-15 parte 2 documento 350, Ford Library 1552802 — nomina la Germania: alla vigilia fu detto a Ford che agli italiani andava parlato duramente, con un rischio di contagio indicato per Francia, Germania e Grecia. È l'unico incrocio testuale fra il nome e la parola.</w:t>
      </w:r>
    </w:p>
    <w:p>
      <w:pPr>
        <w:spacing w:after="120" w:line="276"/>
        <w:jc w:val="both"/>
      </w:pPr>
      <w:r>
        <w:rPr>
          <w:rFonts w:ascii="Barlow Semi Condensed" w:cs="Barlow Semi Condensed" w:eastAsia="Barlow Semi Condensed" w:hAnsi="Barlow Semi Condensed"/>
          <w:b/>
          <w:bCs/>
          <w:sz w:val="24"/>
          <w:szCs w:val="24"/>
        </w:rPr>
        <w:t xml:space="preserve">2629 · Che cosa quell'incrocio non consente.</w:t>
      </w:r>
      <w:r>
        <w:rPr>
          <w:rFonts w:ascii="Barlow Semi Condensed" w:cs="Barlow Semi Condensed" w:eastAsia="Barlow Semi Condensed" w:hAnsi="Barlow Semi Condensed"/>
          <w:sz w:val="24"/>
          <w:szCs w:val="24"/>
        </w:rPr>
        <w:t xml:space="preserve"> Quella menzione riguarda il timore di una presenza comunista al governo, non i confini orientali, non le diocesi, non la Ostpolitik. Trasferirla a questo territorio significherebbe promuovere una parola a nesso. Il verbale non contiene alcun ultimatum personale ad Aldo Moro, come l'opera accerta in copertina, e non attesta alcuna posizione di Moro in quella sede: entrambe le cautele valgono qui per intero.</w:t>
      </w:r>
    </w:p>
    <w:p>
      <w:pPr>
        <w:spacing w:after="120" w:line="276"/>
        <w:jc w:val="both"/>
      </w:pPr>
      <w:r>
        <w:rPr>
          <w:rFonts w:ascii="Barlow Semi Condensed" w:cs="Barlow Semi Condensed" w:eastAsia="Barlow Semi Condensed" w:hAnsi="Barlow Semi Condensed"/>
          <w:b/>
          <w:bCs/>
          <w:sz w:val="24"/>
          <w:szCs w:val="24"/>
        </w:rPr>
        <w:t xml:space="preserve">2630 · Helsinki, dove il territorio tace.</w:t>
      </w:r>
      <w:r>
        <w:rPr>
          <w:rFonts w:ascii="Barlow Semi Condensed" w:cs="Barlow Semi Condensed" w:eastAsia="Barlow Semi Condensed" w:hAnsi="Barlow Semi Condensed"/>
          <w:sz w:val="24"/>
          <w:szCs w:val="24"/>
        </w:rPr>
        <w:t xml:space="preserve"> Il capitolo XI del dossier sulle due Germanie ricostruisce l'Atto finale del 1° agosto 1975 — trentacinque Stati, Schmidt per Bonn, Honecker per Berlino Est, Moro nella duplice qualità, l'ambasciatore Ferraris tessitore per l'Italia, la Santa Sede firmataria — e non nomina mai il Segretario di Stato americano. Il corpus invece registra la sua insofferenza per il coinvolgimento comunitario nella firma. Le due cose si riportano accanto.</w:t>
      </w:r>
    </w:p>
    <w:p>
      <w:pPr>
        <w:spacing w:after="120" w:line="276"/>
        <w:jc w:val="both"/>
      </w:pPr>
      <w:r>
        <w:rPr>
          <w:rFonts w:ascii="Barlow Semi Condensed" w:cs="Barlow Semi Condensed" w:eastAsia="Barlow Semi Condensed" w:hAnsi="Barlow Semi Condensed"/>
          <w:b/>
          <w:bCs/>
          <w:sz w:val="24"/>
          <w:szCs w:val="24"/>
        </w:rPr>
        <w:t xml:space="preserve">2631 · L'insofferenza resta al terzo piano.</w:t>
      </w:r>
      <w:r>
        <w:rPr>
          <w:rFonts w:ascii="Barlow Semi Condensed" w:cs="Barlow Semi Condensed" w:eastAsia="Barlow Semi Condensed" w:hAnsi="Barlow Semi Condensed"/>
          <w:sz w:val="24"/>
          <w:szCs w:val="24"/>
        </w:rPr>
        <w:t xml:space="preserve"> Quel dato proviene da fonte pubblicistica e storiografica secondaria, non da un verbale, come i blocchi 43, 193 e 256 dell'opera già stabiliscono. Finché la carta non è citata con la sua segnatura, resta affermazione terziaria. Le sedi restano quelle indicate: il volume della serie FRUS 1969-1976 sulla sicurezza europea e i memoranda di conversazione della Ford Library per i mesi di luglio e agosto 1975.</w:t>
      </w:r>
    </w:p>
    <w:p>
      <w:pPr>
        <w:spacing w:after="120" w:line="276"/>
        <w:jc w:val="both"/>
      </w:pPr>
      <w:r>
        <w:rPr>
          <w:rFonts w:ascii="Barlow Semi Condensed" w:cs="Barlow Semi Condensed" w:eastAsia="Barlow Semi Condensed" w:hAnsi="Barlow Semi Condensed"/>
          <w:b/>
          <w:bCs/>
          <w:sz w:val="24"/>
          <w:szCs w:val="24"/>
        </w:rPr>
        <w:t xml:space="preserve">2632 · Il principio III e la clausola.</w:t>
      </w:r>
      <w:r>
        <w:rPr>
          <w:rFonts w:ascii="Barlow Semi Condensed" w:cs="Barlow Semi Condensed" w:eastAsia="Barlow Semi Condensed" w:hAnsi="Barlow Semi Condensed"/>
          <w:sz w:val="24"/>
          <w:szCs w:val="24"/>
        </w:rPr>
        <w:t xml:space="preserve"> Il territorio accerta che il principio III sancisce l'inviolabilità delle frontiere e che la clausola sulla loro modificabilità per via pacifica fu essenziale a Bonn per non precludere la riunificazione. Quesito da portare al fascicolo negoziale americano: quale posizione tenne su quella clausola la delegazione statunitense. La domanda è legittima perché riguarda un testo, e diventa illegittima se serve ad attribuire a un uomo il risultato.</w:t>
      </w:r>
    </w:p>
    <w:p>
      <w:pPr>
        <w:spacing w:after="120" w:line="276"/>
        <w:jc w:val="both"/>
      </w:pPr>
      <w:r>
        <w:rPr>
          <w:rFonts w:ascii="Barlow Semi Condensed" w:cs="Barlow Semi Condensed" w:eastAsia="Barlow Semi Condensed" w:hAnsi="Barlow Semi Condensed"/>
          <w:b/>
          <w:bCs/>
          <w:sz w:val="24"/>
          <w:szCs w:val="24"/>
        </w:rPr>
        <w:t xml:space="preserve">2633 · La lettera che non esiste.</w:t>
      </w:r>
      <w:r>
        <w:rPr>
          <w:rFonts w:ascii="Barlow Semi Condensed" w:cs="Barlow Semi Condensed" w:eastAsia="Barlow Semi Condensed" w:hAnsi="Barlow Semi Condensed"/>
          <w:sz w:val="24"/>
          <w:szCs w:val="24"/>
        </w:rPr>
        <w:t xml:space="preserve"> Esito negativo del medesimo capitolo, da conservare: nessuna lettera tedesca sull'unità nazionale risulta allegata all'Atto finale di Helsinki. Il «Brief zur deutschen Einheit» fu allegato al Trattato di Mosca del 1970 e al Trattato fondamentale del 1972, non a Helsinki, dove la funzione fu assolta dalla clausola. Chi costruisse un ruolo negoziale americano attorno a un documento inesistente edificherebbe su un vuoto già misurato.</w:t>
      </w:r>
    </w:p>
    <w:p>
      <w:pPr>
        <w:spacing w:after="120" w:line="276"/>
        <w:jc w:val="both"/>
      </w:pPr>
      <w:r>
        <w:rPr>
          <w:rFonts w:ascii="Barlow Semi Condensed" w:cs="Barlow Semi Condensed" w:eastAsia="Barlow Semi Condensed" w:hAnsi="Barlow Semi Condensed"/>
          <w:b/>
          <w:bCs/>
          <w:sz w:val="24"/>
          <w:szCs w:val="24"/>
        </w:rPr>
        <w:t xml:space="preserve">2634 · Le due firme tedesche dell'Atto finale.</w:t>
      </w:r>
      <w:r>
        <w:rPr>
          <w:rFonts w:ascii="Barlow Semi Condensed" w:cs="Barlow Semi Condensed" w:eastAsia="Barlow Semi Condensed" w:hAnsi="Barlow Semi Condensed"/>
          <w:sz w:val="24"/>
          <w:szCs w:val="24"/>
        </w:rPr>
        <w:t xml:space="preserve"> Il corpus qualifica la firma del 1° agosto 1975 come l'unica triangolazione certa del proprio perimetro, e questo territorio vi aggiunge le due Germanie firmatarie alla pari. L'aggiunta non moltiplica i ponti: allarga la comunanza di sede. Trentacinque Stati che sottoscrivono lo stesso testo nello stesso giorno costituiscono un ambiente documentato e mai una concertazione, come i blocchi 536 e 737 prescrivono di ricordare.</w:t>
      </w:r>
    </w:p>
    <w:p>
      <w:pPr>
        <w:spacing w:after="120" w:line="276"/>
        <w:jc w:val="both"/>
      </w:pPr>
      <w:r>
        <w:rPr>
          <w:rFonts w:ascii="Barlow Semi Condensed" w:cs="Barlow Semi Condensed" w:eastAsia="Barlow Semi Condensed" w:hAnsi="Barlow Semi Condensed"/>
          <w:b/>
          <w:bCs/>
          <w:sz w:val="24"/>
          <w:szCs w:val="24"/>
        </w:rPr>
        <w:t xml:space="preserve">2635 · La duplice qualità e il conteggio.</w:t>
      </w:r>
      <w:r>
        <w:rPr>
          <w:rFonts w:ascii="Barlow Semi Condensed" w:cs="Barlow Semi Condensed" w:eastAsia="Barlow Semi Condensed" w:hAnsi="Barlow Semi Condensed"/>
          <w:sz w:val="24"/>
          <w:szCs w:val="24"/>
        </w:rPr>
        <w:t xml:space="preserve"> Un solo atto che esprime due mandati distinti non va contato due volte: la cautela del blocco 737 vale anche qui, dove le firme convergenti sono molte. Moro sottoscrisse come presidente del Consiglio e presidente di turno della Comunità; la Santa Sede sottoscrisse per sé. Sommare qualità e soggetti gonfierebbe qualunque misura di convergenza fra questo nome e questo territorio, che allo stato è pari a zero.</w:t>
      </w:r>
    </w:p>
    <w:p>
      <w:pPr>
        <w:spacing w:after="120" w:line="276"/>
        <w:jc w:val="both"/>
      </w:pPr>
      <w:r>
        <w:rPr>
          <w:rFonts w:ascii="Barlow Semi Condensed" w:cs="Barlow Semi Condensed" w:eastAsia="Barlow Semi Condensed" w:hAnsi="Barlow Semi Condensed"/>
          <w:b/>
          <w:bCs/>
          <w:sz w:val="24"/>
          <w:szCs w:val="24"/>
        </w:rPr>
        <w:t xml:space="preserve">2636 · Il Trattato di Mosca e la lettera.</w:t>
      </w:r>
      <w:r>
        <w:rPr>
          <w:rFonts w:ascii="Barlow Semi Condensed" w:cs="Barlow Semi Condensed" w:eastAsia="Barlow Semi Condensed" w:hAnsi="Barlow Semi Condensed"/>
          <w:sz w:val="24"/>
          <w:szCs w:val="24"/>
        </w:rPr>
        <w:t xml:space="preserve"> Il 12 agosto 1970 la Repubblica Federale riconobbe l'inviolabilità dei confini esistenti e, su insistenza di Scheel, Mosca accettò di ricevere la lettera sull'unità tedesca. Il territorio documenta l'atto per fonti tedesche — Bundestag, Konrad-Adenauer-Stiftung, Bundeszentrale für politische Bildung — e per nessuna fonte americana. Quesito: se e quando Washington fu informata di quella lettera. Sede, gli Akten zur Auswärtigen Politik per l'annata 1970.</w:t>
      </w:r>
    </w:p>
    <w:p>
      <w:pPr>
        <w:spacing w:after="120" w:line="276"/>
        <w:jc w:val="both"/>
      </w:pPr>
      <w:r>
        <w:rPr>
          <w:rFonts w:ascii="Barlow Semi Condensed" w:cs="Barlow Semi Condensed" w:eastAsia="Barlow Semi Condensed" w:hAnsi="Barlow Semi Condensed"/>
          <w:b/>
          <w:bCs/>
          <w:sz w:val="24"/>
          <w:szCs w:val="24"/>
        </w:rPr>
        <w:t xml:space="preserve">2637 · Varsavia, e ciò che vi mancò.</w:t>
      </w:r>
      <w:r>
        <w:rPr>
          <w:rFonts w:ascii="Barlow Semi Condensed" w:cs="Barlow Semi Condensed" w:eastAsia="Barlow Semi Condensed" w:hAnsi="Barlow Semi Condensed"/>
          <w:sz w:val="24"/>
          <w:szCs w:val="24"/>
        </w:rPr>
        <w:t xml:space="preserve"> Verso Varsavia il governo federale rinunciò alla lettera di accompagnamento, e la Polonia lesse perciò il trattato del 7 dicembre 1970 come riconoscimento definitivo della frontiera: lo documenta la Konrad-Adenauer-Stiftung. L'asimmetria fra i due trattati è tedesco-polacca e si spiega dentro quella cornice. Nessun documento reperito dal territorio la collega a una scelta, a un consiglio o a una pressione di parte americana.</w:t>
      </w:r>
    </w:p>
    <w:p>
      <w:pPr>
        <w:spacing w:after="120" w:line="276"/>
        <w:jc w:val="both"/>
      </w:pPr>
      <w:r>
        <w:rPr>
          <w:rFonts w:ascii="Barlow Semi Condensed" w:cs="Barlow Semi Condensed" w:eastAsia="Barlow Semi Condensed" w:hAnsi="Barlow Semi Condensed"/>
          <w:b/>
          <w:bCs/>
          <w:sz w:val="24"/>
          <w:szCs w:val="24"/>
        </w:rPr>
        <w:t xml:space="preserve">2638 · Il Kniefall e la firma, due atti.</w:t>
      </w:r>
      <w:r>
        <w:rPr>
          <w:rFonts w:ascii="Barlow Semi Condensed" w:cs="Barlow Semi Condensed" w:eastAsia="Barlow Semi Condensed" w:hAnsi="Barlow Semi Condensed"/>
          <w:sz w:val="24"/>
          <w:szCs w:val="24"/>
        </w:rPr>
        <w:t xml:space="preserve"> L'apparato F-1 della seconda campagna precisa che l'inginocchiamento davanti al monumento agli eroi del ghetto precede la firma di poche ore nella medesima giornata del 7 dicembre 1970: due eventi distinti, non il medesimo atto. La precisione serve qui a una funzione sola: chi confonde due atti dello stesso giorno confonderà con la stessa facilità due attori della stessa stagione.</w:t>
      </w:r>
    </w:p>
    <w:p>
      <w:pPr>
        <w:spacing w:after="120" w:line="276"/>
        <w:jc w:val="both"/>
      </w:pPr>
      <w:r>
        <w:rPr>
          <w:rFonts w:ascii="Barlow Semi Condensed" w:cs="Barlow Semi Condensed" w:eastAsia="Barlow Semi Condensed" w:hAnsi="Barlow Semi Condensed"/>
          <w:b/>
          <w:bCs/>
          <w:sz w:val="24"/>
          <w:szCs w:val="24"/>
        </w:rPr>
        <w:t xml:space="preserve">2639 · La formula corrente è imprecisa.</w:t>
      </w:r>
      <w:r>
        <w:rPr>
          <w:rFonts w:ascii="Barlow Semi Condensed" w:cs="Barlow Semi Condensed" w:eastAsia="Barlow Semi Condensed" w:hAnsi="Barlow Semi Condensed"/>
          <w:sz w:val="24"/>
          <w:szCs w:val="24"/>
        </w:rPr>
        <w:t xml:space="preserve"> «Il Bundestag ratificò il trattato il 17 maggio 1972» è formula costituzionalmente scorretta: quel giorno furono approvate le leggi di autorizzazione alla ratifica, il Bundesrat si pronunciò il 19, e la ratifica in senso proprio è atto successivo del capo dello Stato. La correzione è del corpus, ai blocchi 367 e 596. Chi cita il territorio lo citi emendato, altrimenti trasmette un errore già corretto.</w:t>
      </w:r>
    </w:p>
    <w:p>
      <w:pPr>
        <w:spacing w:after="120" w:line="276"/>
        <w:jc w:val="both"/>
      </w:pPr>
      <w:r>
        <w:rPr>
          <w:rFonts w:ascii="Barlow Semi Condensed" w:cs="Barlow Semi Condensed" w:eastAsia="Barlow Semi Condensed" w:hAnsi="Barlow Semi Condensed"/>
          <w:b/>
          <w:bCs/>
          <w:sz w:val="24"/>
          <w:szCs w:val="24"/>
        </w:rPr>
        <w:t xml:space="preserve">2640 · Il voto di sfiducia dell'aprile 1972.</w:t>
      </w:r>
      <w:r>
        <w:rPr>
          <w:rFonts w:ascii="Barlow Semi Condensed" w:cs="Barlow Semi Condensed" w:eastAsia="Barlow Semi Condensed" w:hAnsi="Barlow Semi Condensed"/>
          <w:sz w:val="24"/>
          <w:szCs w:val="24"/>
        </w:rPr>
        <w:t xml:space="preserve"> La ratifica fu preceduta dal fallito voto di sfiducia costruttiva di Rainer Barzel del 24 aprile 1972 e accompagnata da una risoluzione comune di governo e opposizione. È crisi interna alla Repubblica Federale. Quesito legittimo e non risolto dal territorio: quali valutazioni ne diede l'alleato atlantico. Sedi, il Politisches Archiv di Berlino e i fascicoli dell'ambasciata statunitense a Bonn nel Record Group 59.</w:t>
      </w:r>
    </w:p>
    <w:p>
      <w:pPr>
        <w:spacing w:after="120" w:line="276"/>
        <w:jc w:val="both"/>
      </w:pPr>
      <w:r>
        <w:rPr>
          <w:rFonts w:ascii="Barlow Semi Condensed" w:cs="Barlow Semi Condensed" w:eastAsia="Barlow Semi Condensed" w:hAnsi="Barlow Semi Condensed"/>
          <w:b/>
          <w:bCs/>
          <w:sz w:val="24"/>
          <w:szCs w:val="24"/>
        </w:rPr>
        <w:t xml:space="preserve">2641 · Lo scambio degli strumenti a Bonn.</w:t>
      </w:r>
      <w:r>
        <w:rPr>
          <w:rFonts w:ascii="Barlow Semi Condensed" w:cs="Barlow Semi Condensed" w:eastAsia="Barlow Semi Condensed" w:hAnsi="Barlow Semi Condensed"/>
          <w:sz w:val="24"/>
          <w:szCs w:val="24"/>
        </w:rPr>
        <w:t xml:space="preserve"> Il 3 giugno 1972 lo scambio degli strumenti di ratifica a Bonn fece entrare in vigore i trattati di Mosca e di Varsavia insieme all'Accordo quadripartito. Quel contestuale entrare in vigore è il punto in cui la sola parte contraente americana dei cinque atti tocca materialmente la catena Oder-Neisse. È l'aggancio più promettente del territorio, e lo è perché documentale, non perché suggestivo.</w:t>
      </w:r>
    </w:p>
    <w:p>
      <w:pPr>
        <w:spacing w:after="120" w:line="276"/>
        <w:jc w:val="both"/>
      </w:pPr>
      <w:r>
        <w:rPr>
          <w:rFonts w:ascii="Barlow Semi Condensed" w:cs="Barlow Semi Condensed" w:eastAsia="Barlow Semi Condensed" w:hAnsi="Barlow Semi Condensed"/>
          <w:b/>
          <w:bCs/>
          <w:sz w:val="24"/>
          <w:szCs w:val="24"/>
        </w:rPr>
        <w:t xml:space="preserve">2642 · Venticinque giorni, e come si contano.</w:t>
      </w:r>
      <w:r>
        <w:rPr>
          <w:rFonts w:ascii="Barlow Semi Condensed" w:cs="Barlow Semi Condensed" w:eastAsia="Barlow Semi Condensed" w:hAnsi="Barlow Semi Condensed"/>
          <w:sz w:val="24"/>
          <w:szCs w:val="24"/>
        </w:rPr>
        <w:t xml:space="preserve"> Il divario si conta dall'entrata in vigore del 3 giugno all'atto pontificio del 28 giugno: venticinque giorni. Contarlo dal 17 maggio ne darebbe quarantadue e poggerebbe su un atto di ratifica parlamentare che in quella forma non esiste. La regola vale come antidoto generale: una distanza fra due date è argomento soltanto se entrambe le date sono qualificate con esattezza.</w:t>
      </w:r>
    </w:p>
    <w:p>
      <w:pPr>
        <w:spacing w:after="120" w:line="276"/>
        <w:jc w:val="both"/>
      </w:pPr>
      <w:r>
        <w:rPr>
          <w:rFonts w:ascii="Barlow Semi Condensed" w:cs="Barlow Semi Condensed" w:eastAsia="Barlow Semi Condensed" w:hAnsi="Barlow Semi Condensed"/>
          <w:b/>
          <w:bCs/>
          <w:sz w:val="24"/>
          <w:szCs w:val="24"/>
        </w:rPr>
        <w:t xml:space="preserve">2643 · La comunicazione che rende esplicito il legame.</w:t>
      </w:r>
      <w:r>
        <w:rPr>
          <w:rFonts w:ascii="Barlow Semi Condensed" w:cs="Barlow Semi Condensed" w:eastAsia="Barlow Semi Condensed" w:hAnsi="Barlow Semi Condensed"/>
          <w:sz w:val="24"/>
          <w:szCs w:val="24"/>
        </w:rPr>
        <w:t xml:space="preserve"> Secondo Hummel non è la bolla a dichiarare l'attesa del trattato, ma la comunicazione vaticana di accompagnamento del 28 giugno 1972, che «si riferì espressamente al trattato tedesco-polacco», con reazione romana «entro tre settimane». Il nesso è dunque attestato, e lo è fra Roma, Bonn e Varsavia. Nessun quarto attore entra in quella catena, e non ve lo si può aggiungere per via di contemporaneità.</w:t>
      </w:r>
    </w:p>
    <w:p>
      <w:pPr>
        <w:spacing w:after="120" w:line="276"/>
        <w:jc w:val="both"/>
      </w:pPr>
      <w:r>
        <w:rPr>
          <w:rFonts w:ascii="Barlow Semi Condensed" w:cs="Barlow Semi Condensed" w:eastAsia="Barlow Semi Condensed" w:hAnsi="Barlow Semi Condensed"/>
          <w:b/>
          <w:bCs/>
          <w:sz w:val="24"/>
          <w:szCs w:val="24"/>
        </w:rPr>
        <w:t xml:space="preserve">2644 · Il latino che tace la ragione politica.</w:t>
      </w:r>
      <w:r>
        <w:rPr>
          <w:rFonts w:ascii="Barlow Semi Condensed" w:cs="Barlow Semi Condensed" w:eastAsia="Barlow Semi Condensed" w:hAnsi="Barlow Semi Condensed"/>
          <w:sz w:val="24"/>
          <w:szCs w:val="24"/>
        </w:rPr>
        <w:t xml:space="preserve"> Le due costituzioni apostoliche adducono una ragione pastorale — «ad aptius propiusque christianum populum regendum» — e l'accoglimento della richiesta dell'episcopato polacco. Il testo canonico tace la politica per scelta deliberata, come la storiografia anglofona legge. Se tace Bonn e Varsavia, a maggior ragione tace ogni altra capitale: l'assenza di un nome in un atto che tace tutti i nomi non è indizio, è forma del documento.</w:t>
      </w:r>
    </w:p>
    <w:p>
      <w:pPr>
        <w:spacing w:after="120" w:line="276"/>
        <w:jc w:val="both"/>
      </w:pPr>
      <w:r>
        <w:rPr>
          <w:rFonts w:ascii="Barlow Semi Condensed" w:cs="Barlow Semi Condensed" w:eastAsia="Barlow Semi Condensed" w:hAnsi="Barlow Semi Condensed"/>
          <w:b/>
          <w:bCs/>
          <w:sz w:val="24"/>
          <w:szCs w:val="24"/>
        </w:rPr>
        <w:t xml:space="preserve">2645 · Hummel e le sue due sedi.</w:t>
      </w:r>
      <w:r>
        <w:rPr>
          <w:rFonts w:ascii="Barlow Semi Condensed" w:cs="Barlow Semi Condensed" w:eastAsia="Barlow Semi Condensed" w:hAnsi="Barlow Semi Condensed"/>
          <w:sz w:val="24"/>
          <w:szCs w:val="24"/>
        </w:rPr>
        <w:t xml:space="preserve"> La verifica del corpus identifica due sedi editoriali distinte per il saggio di Karl-Joseph Hummel: OST-WEST Europäische Perspektiven, fascicolo 4 del 2005, e Archiv für Sozialgeschichte 45 del 2005, alle pagine 165-214. Bersaglio eseguibile: leggerle entrambe e verbalizzare se vi compaia un attore statunitense. L'esito atteso è negativo, e un esito negativo su fonte nominata vale più di un silenzio non cercato.</w:t>
      </w:r>
    </w:p>
    <w:p>
      <w:pPr>
        <w:spacing w:after="120" w:line="276"/>
        <w:jc w:val="both"/>
      </w:pPr>
      <w:r>
        <w:rPr>
          <w:rFonts w:ascii="Barlow Semi Condensed" w:cs="Barlow Semi Condensed" w:eastAsia="Barlow Semi Condensed" w:hAnsi="Barlow Semi Condensed"/>
          <w:b/>
          <w:bCs/>
          <w:sz w:val="24"/>
          <w:szCs w:val="24"/>
        </w:rPr>
        <w:t xml:space="preserve">2646 · La consuetudine riferita da Döpfner.</w:t>
      </w:r>
      <w:r>
        <w:rPr>
          <w:rFonts w:ascii="Barlow Semi Condensed" w:cs="Barlow Semi Condensed" w:eastAsia="Barlow Semi Condensed" w:hAnsi="Barlow Semi Condensed"/>
          <w:sz w:val="24"/>
          <w:szCs w:val="24"/>
        </w:rPr>
        <w:t xml:space="preserve"> Il cardinale Döpfner riferì a Bonn, dopo consultazione a Roma, che si teneva fermo il principio di non mutare lo status delle diocesi prima di un trattato di pace: «man halte in Rom entschieden an der bekannten Gepflogenheit fest». È un canale Roma-Bonn passante per un vescovo, documentato in citazione. Il corpus non conosce alcun canale analogo verso Washington, e non deve immaginarlo.</w:t>
      </w:r>
    </w:p>
    <w:p>
      <w:pPr>
        <w:spacing w:after="120" w:line="276"/>
        <w:jc w:val="both"/>
      </w:pPr>
      <w:r>
        <w:rPr>
          <w:rFonts w:ascii="Barlow Semi Condensed" w:cs="Barlow Semi Condensed" w:eastAsia="Barlow Semi Condensed" w:hAnsi="Barlow Semi Condensed"/>
          <w:b/>
          <w:bCs/>
          <w:sz w:val="24"/>
          <w:szCs w:val="24"/>
        </w:rPr>
        <w:t xml:space="preserve">2647 · Le carte del cardinale, dove stanno.</w:t>
      </w:r>
      <w:r>
        <w:rPr>
          <w:rFonts w:ascii="Barlow Semi Condensed" w:cs="Barlow Semi Condensed" w:eastAsia="Barlow Semi Condensed" w:hAnsi="Barlow Semi Condensed"/>
          <w:sz w:val="24"/>
          <w:szCs w:val="24"/>
        </w:rPr>
        <w:t xml:space="preserve"> Presso l'archivio della Conferenza episcopale tedesca e presso l'archivio dell'arcidiocesi di Monaco sono conservate le carte di Döpfner: è lì che si accerterebbe se fra i suoi corrispondenti sulla questione dei confini figurassero diplomatici americani. Finché non vi si entra, la risposta corretta è Stato Zero dichiarato con la sua sede, che è la forma disciplinata dell'ignoranza e non un modo elegante di tacere.</w:t>
      </w:r>
    </w:p>
    <w:p>
      <w:pPr>
        <w:spacing w:after="120" w:line="276"/>
        <w:jc w:val="both"/>
      </w:pPr>
      <w:r>
        <w:rPr>
          <w:rFonts w:ascii="Barlow Semi Condensed" w:cs="Barlow Semi Condensed" w:eastAsia="Barlow Semi Condensed" w:hAnsi="Barlow Semi Condensed"/>
          <w:b/>
          <w:bCs/>
          <w:sz w:val="24"/>
          <w:szCs w:val="24"/>
        </w:rPr>
        <w:t xml:space="preserve">2648 · Casaroli e i colloqui del 1971.</w:t>
      </w:r>
      <w:r>
        <w:rPr>
          <w:rFonts w:ascii="Barlow Semi Condensed" w:cs="Barlow Semi Condensed" w:eastAsia="Barlow Semi Condensed" w:hAnsi="Barlow Semi Condensed"/>
          <w:sz w:val="24"/>
          <w:szCs w:val="24"/>
        </w:rPr>
        <w:t xml:space="preserve"> I colloqui condotti da Agostino Casaroli con le autorità della Repubblica Popolare di Polonia nell'aprile e nel novembre 1971 prepararono l'atto del 1972 e portarono alla normalizzazione dei rapporti di lavoro senza relazioni diplomatiche piene. Il territorio li documenta per fonte enciclopedica e per la recensione del volume curato da Melloni. Nessuna verbalizzazione di quei colloqui è oggi accessibile, e la ragione è strutturale.</w:t>
      </w:r>
    </w:p>
    <w:p>
      <w:pPr>
        <w:spacing w:after="120" w:line="276"/>
        <w:jc w:val="both"/>
      </w:pPr>
      <w:r>
        <w:rPr>
          <w:rFonts w:ascii="Barlow Semi Condensed" w:cs="Barlow Semi Condensed" w:eastAsia="Barlow Semi Condensed" w:hAnsi="Barlow Semi Condensed"/>
          <w:b/>
          <w:bCs/>
          <w:sz w:val="24"/>
          <w:szCs w:val="24"/>
        </w:rPr>
        <w:t xml:space="preserve">2649 · L'archivio che non si apre.</w:t>
      </w:r>
      <w:r>
        <w:rPr>
          <w:rFonts w:ascii="Barlow Semi Condensed" w:cs="Barlow Semi Condensed" w:eastAsia="Barlow Semi Condensed" w:hAnsi="Barlow Semi Condensed"/>
          <w:sz w:val="24"/>
          <w:szCs w:val="24"/>
        </w:rPr>
        <w:t xml:space="preserve"> L'Archivio Apostolico Vaticano è consultabile fino all'ottobre 1958: i pontificati di Giovanni XXIII, Paolo VI e Giovanni Paolo II restano chiusi, sicché ogni verifica primaria sull'atto del 1972 e sui negoziati di Casaroli è preclusa allo stato. Non è vuoto di fatto ma limite di accesso, e la seconda campagna lo ha già opposto alle indicazioni che davano quegli archivi per interrogabili.</w:t>
      </w:r>
    </w:p>
    <w:p>
      <w:pPr>
        <w:spacing w:after="120" w:line="276"/>
        <w:jc w:val="both"/>
      </w:pPr>
      <w:r>
        <w:rPr>
          <w:rFonts w:ascii="Barlow Semi Condensed" w:cs="Barlow Semi Condensed" w:eastAsia="Barlow Semi Condensed" w:hAnsi="Barlow Semi Condensed"/>
          <w:b/>
          <w:bCs/>
          <w:sz w:val="24"/>
          <w:szCs w:val="24"/>
        </w:rPr>
        <w:t xml:space="preserve">2650 · Tre interessi elencati, e chi manca.</w:t>
      </w:r>
      <w:r>
        <w:rPr>
          <w:rFonts w:ascii="Barlow Semi Condensed" w:cs="Barlow Semi Condensed" w:eastAsia="Barlow Semi Condensed" w:hAnsi="Barlow Semi Condensed"/>
          <w:sz w:val="24"/>
          <w:szCs w:val="24"/>
        </w:rPr>
        <w:t xml:space="preserve"> La recensione su Project MUSE, citata dal territorio, elenca gli interessi convergenti dei primi anni Settanta: Bonn che voleva discutere i confini con l'Est, il Vaticano che voleva sistemare frontiere statali e diocesane, Berlino Est che cercava riconoscimento come Stato separato. Washington non è nell'elenco. È assenza in una fonte storiografica nominata, dunque misurabile: si registra e non si colma per inferenza.</w:t>
      </w:r>
    </w:p>
    <w:p>
      <w:pPr>
        <w:spacing w:after="120" w:line="276"/>
        <w:jc w:val="both"/>
      </w:pPr>
      <w:r>
        <w:rPr>
          <w:rFonts w:ascii="Barlow Semi Condensed" w:cs="Barlow Semi Condensed" w:eastAsia="Barlow Semi Condensed" w:hAnsi="Barlow Semi Condensed"/>
          <w:b/>
          <w:bCs/>
          <w:sz w:val="24"/>
          <w:szCs w:val="24"/>
        </w:rPr>
        <w:t xml:space="preserve">2651 · La divergenza su Casaroli si riporta.</w:t>
      </w:r>
      <w:r>
        <w:rPr>
          <w:rFonts w:ascii="Barlow Semi Condensed" w:cs="Barlow Semi Condensed" w:eastAsia="Barlow Semi Condensed" w:hAnsi="Barlow Semi Condensed"/>
          <w:sz w:val="24"/>
          <w:szCs w:val="24"/>
        </w:rPr>
        <w:t xml:space="preserve"> Sul valore complessivo della Ostpolitik vaticana la storiografia diverge apertamente: George Weigel la giudica eccessivamente cauta, ambienti vaticani e italiani la celebrano come chiave del crollo del comunismo europeo. È controversia interpretativa e non dato di fatto, e come tale va riportata ogni volta. Nessuna delle due letture chiama in causa il nome oggetto di questa serie, e non la si costringa a farlo.</w:t>
      </w:r>
    </w:p>
    <w:p>
      <w:pPr>
        <w:spacing w:after="120" w:line="276"/>
        <w:jc w:val="both"/>
      </w:pPr>
      <w:r>
        <w:rPr>
          <w:rFonts w:ascii="Barlow Semi Condensed" w:cs="Barlow Semi Condensed" w:eastAsia="Barlow Semi Condensed" w:hAnsi="Barlow Semi Condensed"/>
          <w:b/>
          <w:bCs/>
          <w:sz w:val="24"/>
          <w:szCs w:val="24"/>
        </w:rPr>
        <w:t xml:space="preserve">2652 · Il riconoscimento ritirato a Papée.</w:t>
      </w:r>
      <w:r>
        <w:rPr>
          <w:rFonts w:ascii="Barlow Semi Condensed" w:cs="Barlow Semi Condensed" w:eastAsia="Barlow Semi Condensed" w:hAnsi="Barlow Semi Condensed"/>
          <w:sz w:val="24"/>
          <w:szCs w:val="24"/>
        </w:rPr>
        <w:t xml:space="preserve"> Fra gli esiti dei colloqui figura il ritiro del riconoscimento vaticano a Kazimierz Papée quale ambasciatore del governo polacco in esilio a Londra. È atto di rilievo diplomatico, datato dalla stessa fonte che documenta l'erezione delle diocesi. Il territorio non registra reazioni di Stati terzi: chi volesse cercarne una cominci dai fondi dell'ambasciata britannica presso la Santa Sede, non da un archivio americano.</w:t>
      </w:r>
    </w:p>
    <w:p>
      <w:pPr>
        <w:spacing w:after="120" w:line="276"/>
        <w:jc w:val="both"/>
      </w:pPr>
      <w:r>
        <w:rPr>
          <w:rFonts w:ascii="Barlow Semi Condensed" w:cs="Barlow Semi Condensed" w:eastAsia="Barlow Semi Condensed" w:hAnsi="Barlow Semi Condensed"/>
          <w:b/>
          <w:bCs/>
          <w:sz w:val="24"/>
          <w:szCs w:val="24"/>
        </w:rPr>
        <w:t xml:space="preserve">2653 · Il sospetto stampato il 24 giugno 1972.</w:t>
      </w:r>
      <w:r>
        <w:rPr>
          <w:rFonts w:ascii="Barlow Semi Condensed" w:cs="Barlow Semi Condensed" w:eastAsia="Barlow Semi Condensed" w:hAnsi="Barlow Semi Condensed"/>
          <w:sz w:val="24"/>
          <w:szCs w:val="24"/>
        </w:rPr>
        <w:t xml:space="preserve"> Quattro giorni prima dell'atto, l'organo della Landsmannschaft Ostpreußen titolò «Hat Bonn dem Vatikan 'grünes Licht' gegeben?». Il sospetto contemporaneo indicò Bonn e non un'altra capitale: chi temeva un'intesa occulta la temeva fra i due soggetti che vedeva. È dato di percezione coeva, da usare solo come tale, ma delimita utilmente il campo delle ipotesi che allora parvero pensabili.</w:t>
      </w:r>
    </w:p>
    <w:p>
      <w:pPr>
        <w:spacing w:after="120" w:line="276"/>
        <w:jc w:val="both"/>
      </w:pPr>
      <w:r>
        <w:rPr>
          <w:rFonts w:ascii="Barlow Semi Condensed" w:cs="Barlow Semi Condensed" w:eastAsia="Barlow Semi Condensed" w:hAnsi="Barlow Semi Condensed"/>
          <w:b/>
          <w:bCs/>
          <w:sz w:val="24"/>
          <w:szCs w:val="24"/>
        </w:rPr>
        <w:t xml:space="preserve">2654 · I visitatori per gli espulsi.</w:t>
      </w:r>
      <w:r>
        <w:rPr>
          <w:rFonts w:ascii="Barlow Semi Condensed" w:cs="Barlow Semi Condensed" w:eastAsia="Barlow Semi Condensed" w:hAnsi="Barlow Semi Condensed"/>
          <w:sz w:val="24"/>
          <w:szCs w:val="24"/>
        </w:rPr>
        <w:t xml:space="preserve"> Contestualmente all'atto la Santa Sede nominò tre Visitatori apostolici per i cattolici tedeschi espulsi dall'arcidiocesi di Breslavia, dalla diocesi di Warmia e dalla prelatura di Schneidemühl: misura pastorale di compensazione verso il versante tedesco, attestata dal portale della Chiesa cattolica tedesca. Il gesto risponde a un'opinione pubblica interna. Nessun documento lo collega a pressioni esterne, e l'ipotesi si formula solo con una carta in mano.</w:t>
      </w:r>
    </w:p>
    <w:p>
      <w:pPr>
        <w:spacing w:after="120" w:line="276"/>
        <w:jc w:val="both"/>
      </w:pPr>
      <w:r>
        <w:rPr>
          <w:rFonts w:ascii="Barlow Semi Condensed" w:cs="Barlow Semi Condensed" w:eastAsia="Barlow Semi Condensed" w:hAnsi="Barlow Semi Condensed"/>
          <w:b/>
          <w:bCs/>
          <w:sz w:val="24"/>
          <w:szCs w:val="24"/>
        </w:rPr>
        <w:t xml:space="preserve">2655 · La soluzione differenziata del 1973.</w:t>
      </w:r>
      <w:r>
        <w:rPr>
          <w:rFonts w:ascii="Barlow Semi Condensed" w:cs="Barlow Semi Condensed" w:eastAsia="Barlow Semi Condensed" w:hAnsi="Barlow Semi Condensed"/>
          <w:sz w:val="24"/>
          <w:szCs w:val="24"/>
        </w:rPr>
        <w:t xml:space="preserve"> Il 23 luglio 1973 Paolo VI nominò amministratori apostolici permanenter constituti per Erfurt-Meiningen, Magdeburgo e Schwerin, costituiti come uffici vescovili con sospensione — non soppressione — della giurisdizione occidentale: nella Repubblica Democratica non furono erette diocesi permanenti. L'atto precede di due mesi il passaggio del nome qui studiato al Dipartimento di Stato. Due mesi di distanza non sono un rapporto, e non lo diventano avvicinandoli.</w:t>
      </w:r>
    </w:p>
    <w:p>
      <w:pPr>
        <w:spacing w:after="120" w:line="276"/>
        <w:jc w:val="both"/>
      </w:pPr>
      <w:r>
        <w:rPr>
          <w:rFonts w:ascii="Barlow Semi Condensed" w:cs="Barlow Semi Condensed" w:eastAsia="Barlow Semi Condensed" w:hAnsi="Barlow Semi Condensed"/>
          <w:b/>
          <w:bCs/>
          <w:sz w:val="24"/>
          <w:szCs w:val="24"/>
        </w:rPr>
        <w:t xml:space="preserve">2656 · Casaroli nella Repubblica Democratica.</w:t>
      </w:r>
      <w:r>
        <w:rPr>
          <w:rFonts w:ascii="Barlow Semi Condensed" w:cs="Barlow Semi Condensed" w:eastAsia="Barlow Semi Condensed" w:hAnsi="Barlow Semi Condensed"/>
          <w:sz w:val="24"/>
          <w:szCs w:val="24"/>
        </w:rPr>
        <w:t xml:space="preserve"> Il 9 giugno 1975 Casaroli si recò nella Repubblica Democratica Tedesca e fu ricevuto da Sindermann, dal ministro degli Esteri Fischer e dal segretario di Stato per le questioni ecclesiastiche Seigewasser; nel 1973 a Roma aveva incontrato Werner Lamberz del Politbüro. Sono contatti fra Santa Sede e SED, documentati. Bersaglio: se le sedi americane li osservarono, la traccia sta nei rapporti d'ambasciata da Berlino Est.</w:t>
      </w:r>
    </w:p>
    <w:p>
      <w:pPr>
        <w:spacing w:after="120" w:line="276"/>
        <w:jc w:val="both"/>
      </w:pPr>
      <w:r>
        <w:rPr>
          <w:rFonts w:ascii="Barlow Semi Condensed" w:cs="Barlow Semi Condensed" w:eastAsia="Barlow Semi Condensed" w:hAnsi="Barlow Semi Condensed"/>
          <w:b/>
          <w:bCs/>
          <w:sz w:val="24"/>
          <w:szCs w:val="24"/>
        </w:rPr>
        <w:t xml:space="preserve">2657 · Le carte della Stasi, doppia cautela.</w:t>
      </w:r>
      <w:r>
        <w:rPr>
          <w:rFonts w:ascii="Barlow Semi Condensed" w:cs="Barlow Semi Condensed" w:eastAsia="Barlow Semi Condensed" w:hAnsi="Barlow Semi Condensed"/>
          <w:sz w:val="24"/>
          <w:szCs w:val="24"/>
        </w:rPr>
        <w:t xml:space="preserve"> Fra le fonti del capitolo sulla Repubblica Democratica figurano i materiali dell'archivio degli atti della Stasi. I blocchi 91 e 92 dei nove cantieri fissano la disciplina: quell'archivio è dal 2021 parte del Bundesarchiv e ogni carta di quella provenienza entra con doppia cautela, mai da sola a fondamento di alcunché. Una nota di servizio ostile che nominasse un Segretario di Stato non sarebbe, per ciò stesso, un ponte.</w:t>
      </w:r>
    </w:p>
    <w:p>
      <w:pPr>
        <w:spacing w:after="120" w:line="276"/>
        <w:jc w:val="both"/>
      </w:pPr>
      <w:r>
        <w:rPr>
          <w:rFonts w:ascii="Barlow Semi Condensed" w:cs="Barlow Semi Condensed" w:eastAsia="Barlow Semi Condensed" w:hAnsi="Barlow Semi Condensed"/>
          <w:b/>
          <w:bCs/>
          <w:sz w:val="24"/>
          <w:szCs w:val="24"/>
        </w:rPr>
        <w:t xml:space="preserve">2658 · Il progetto interrotto, e il 1994.</w:t>
      </w:r>
      <w:r>
        <w:rPr>
          <w:rFonts w:ascii="Barlow Semi Condensed" w:cs="Barlow Semi Condensed" w:eastAsia="Barlow Semi Condensed" w:hAnsi="Barlow Semi Condensed"/>
          <w:sz w:val="24"/>
          <w:szCs w:val="24"/>
        </w:rPr>
        <w:t xml:space="preserve"> Il progetto di elevare gli uffici vescovili ad amministrazioni apostoliche autonome non fu attuato per la morte di Paolo VI, il 6 agosto 1978, e per il nuovo corso di Giovanni Paolo II; la circoscrizione definitiva arrivò con le bolle Quo aptius e Cum gaudio et spe del 27 giugno 1994. Entrambe le date cadono fuori da ogni incarico del nome studiato: preclusione cronologica netta, da scrivere come tale.</w:t>
      </w:r>
    </w:p>
    <w:p>
      <w:pPr>
        <w:spacing w:after="120" w:line="276"/>
        <w:jc w:val="both"/>
      </w:pPr>
      <w:r>
        <w:rPr>
          <w:rFonts w:ascii="Barlow Semi Condensed" w:cs="Barlow Semi Condensed" w:eastAsia="Barlow Semi Condensed" w:hAnsi="Barlow Semi Condensed"/>
          <w:b/>
          <w:bCs/>
          <w:sz w:val="24"/>
          <w:szCs w:val="24"/>
        </w:rPr>
        <w:t xml:space="preserve">2659 · Lo scambio epistolare del novembre 1965.</w:t>
      </w:r>
      <w:r>
        <w:rPr>
          <w:rFonts w:ascii="Barlow Semi Condensed" w:cs="Barlow Semi Condensed" w:eastAsia="Barlow Semi Condensed" w:hAnsi="Barlow Semi Condensed"/>
          <w:sz w:val="24"/>
          <w:szCs w:val="24"/>
        </w:rPr>
        <w:t xml:space="preserve"> Il 18 novembre 1965 i vescovi polacchi scrissero «Vi tendiamo le nostre mani accordando perdono e chiedendo perdono»; la paternità è attribuita a Bolesław Kominek con il concorso di Wincenty Urban, e il testo fu approvato da Wyszyński e da Wojtyła. Il gesto precede di oltre tre anni l'assunzione del primo incarico qui rilevante: precedenza cronologica accertata, che esclude in radice ogni lettura causale.</w:t>
      </w:r>
    </w:p>
    <w:p>
      <w:pPr>
        <w:spacing w:after="120" w:line="276"/>
        <w:jc w:val="both"/>
      </w:pPr>
      <w:r>
        <w:rPr>
          <w:rFonts w:ascii="Barlow Semi Condensed" w:cs="Barlow Semi Condensed" w:eastAsia="Barlow Semi Condensed" w:hAnsi="Barlow Semi Condensed"/>
          <w:b/>
          <w:bCs/>
          <w:sz w:val="24"/>
          <w:szCs w:val="24"/>
        </w:rPr>
        <w:t xml:space="preserve">2660 · La riserva tedesca sui confini.</w:t>
      </w:r>
      <w:r>
        <w:rPr>
          <w:rFonts w:ascii="Barlow Semi Condensed" w:cs="Barlow Semi Condensed" w:eastAsia="Barlow Semi Condensed" w:hAnsi="Barlow Semi Condensed"/>
          <w:sz w:val="24"/>
          <w:szCs w:val="24"/>
        </w:rPr>
        <w:t xml:space="preserve"> La risposta tedesca del 5 dicembre 1965 esprimeva gratitudine e chiedeva a sua volta perdono, ma non accettava le perdite territoriali: sul perdono vi fu reciprocità, sui confini restò una riserva. Wyszyński scrisse a Döpfner nel 1970 che «la nostra mano, tesa con tanta cordialità, è stata accolta non senza riserve». Il territorio consegna dunque una divergenza fra episcopati, interna alla Chiesa e documentata.</w:t>
      </w:r>
    </w:p>
    <w:p>
      <w:pPr>
        <w:spacing w:after="120" w:line="276"/>
        <w:jc w:val="both"/>
      </w:pPr>
      <w:r>
        <w:rPr>
          <w:rFonts w:ascii="Barlow Semi Condensed" w:cs="Barlow Semi Condensed" w:eastAsia="Barlow Semi Condensed" w:hAnsi="Barlow Semi Condensed"/>
          <w:b/>
          <w:bCs/>
          <w:sz w:val="24"/>
          <w:szCs w:val="24"/>
        </w:rPr>
        <w:t xml:space="preserve">2661 · Il memorandum del 3 marzo 1968.</w:t>
      </w:r>
      <w:r>
        <w:rPr>
          <w:rFonts w:ascii="Barlow Semi Condensed" w:cs="Barlow Semi Condensed" w:eastAsia="Barlow Semi Condensed" w:hAnsi="Barlow Semi Condensed"/>
          <w:sz w:val="24"/>
          <w:szCs w:val="24"/>
        </w:rPr>
        <w:t xml:space="preserve"> Il Bensberger Kreis pubblicò il 3 marzo 1968 un memorandum di cattolici tedeschi sulle questioni polacco-tedesche chiedendo il riconoscimento dei confini postbellici; i sottoscrittori furono circa centosessanta o centottanta, e la fonte è il servizio di Anselm Verbeek del 3 marzo 2018. La forbice numerica si riporta. Nessuna delle firme note appartiene alla sfera diplomatica statunitense, e nessuna fonte lo suggerisce.</w:t>
      </w:r>
    </w:p>
    <w:p>
      <w:pPr>
        <w:spacing w:after="120" w:line="276"/>
        <w:jc w:val="both"/>
      </w:pPr>
      <w:r>
        <w:rPr>
          <w:rFonts w:ascii="Barlow Semi Condensed" w:cs="Barlow Semi Condensed" w:eastAsia="Barlow Semi Condensed" w:hAnsi="Barlow Semi Condensed"/>
          <w:b/>
          <w:bCs/>
          <w:sz w:val="24"/>
          <w:szCs w:val="24"/>
        </w:rPr>
        <w:t xml:space="preserve">2662 · La precedenza del terreno ecclesiale.</w:t>
      </w:r>
      <w:r>
        <w:rPr>
          <w:rFonts w:ascii="Barlow Semi Condensed" w:cs="Barlow Semi Condensed" w:eastAsia="Barlow Semi Condensed" w:hAnsi="Barlow Semi Condensed"/>
          <w:sz w:val="24"/>
          <w:szCs w:val="24"/>
        </w:rPr>
        <w:t xml:space="preserve"> Ostdenkschrift evangelica del 1965, lettera dei vescovi polacchi del medesimo novembre, memorandum del 1968: sul versante ecclesiale il terreno del riconoscimento fu preparato ben prima dell'atto politico del 1970 e di quello canonico del 1972. Ne discende una regola di lettura: quando un esito ha una preparazione interna lunga, attribuirlo a un attore esterno e tardivo richiede un documento, non una data.</w:t>
      </w:r>
    </w:p>
    <w:p>
      <w:pPr>
        <w:spacing w:after="120" w:line="276"/>
        <w:jc w:val="both"/>
      </w:pPr>
      <w:r>
        <w:rPr>
          <w:rFonts w:ascii="Barlow Semi Condensed" w:cs="Barlow Semi Condensed" w:eastAsia="Barlow Semi Condensed" w:hAnsi="Barlow Semi Condensed"/>
          <w:b/>
          <w:bCs/>
          <w:sz w:val="24"/>
          <w:szCs w:val="24"/>
        </w:rPr>
        <w:t xml:space="preserve">2663 · Hlond e la provvisorietà del 1945.</w:t>
      </w:r>
      <w:r>
        <w:rPr>
          <w:rFonts w:ascii="Barlow Semi Condensed" w:cs="Barlow Semi Condensed" w:eastAsia="Barlow Semi Condensed" w:hAnsi="Barlow Semi Condensed"/>
          <w:sz w:val="24"/>
          <w:szCs w:val="24"/>
        </w:rPr>
        <w:t xml:space="preserve"> Il 15 agosto 1945 il cardinale August Hlond, con facoltà straordinarie di Pio XII, istituì cinque amministrazioni apostoliche: Danzica-Chełmno con Wronka, Warmia-Olsztyn con Bensch, Opole con Kominek, Breslavia con Milik, Gorzów con Nowicki. Michał Białkowski documenta il termine tecnico tymczasowość e il comunicato governativo del 27 gennaio 1951 sulla «liquidazione dello stato di provvisorietà». La radice della sequenza è del 1945.</w:t>
      </w:r>
    </w:p>
    <w:p>
      <w:pPr>
        <w:spacing w:after="120" w:line="276"/>
        <w:jc w:val="both"/>
      </w:pPr>
      <w:r>
        <w:rPr>
          <w:rFonts w:ascii="Barlow Semi Condensed" w:cs="Barlow Semi Condensed" w:eastAsia="Barlow Semi Condensed" w:hAnsi="Barlow Semi Condensed"/>
          <w:b/>
          <w:bCs/>
          <w:sz w:val="24"/>
          <w:szCs w:val="24"/>
        </w:rPr>
        <w:t xml:space="preserve">2664 · Che cosa il corpus sa del 1945.</w:t>
      </w:r>
      <w:r>
        <w:rPr>
          <w:rFonts w:ascii="Barlow Semi Condensed" w:cs="Barlow Semi Condensed" w:eastAsia="Barlow Semi Condensed" w:hAnsi="Barlow Semi Condensed"/>
          <w:sz w:val="24"/>
          <w:szCs w:val="24"/>
        </w:rPr>
        <w:t xml:space="preserve"> Del nome qui studiato, per gli anni della guerra, il corpus documenta due sole cose: l'abbandono della forma «Heinz» che il fascicolo d'immigrazione colloca durante il servizio militare, intorno al 1942-1943, e la naturalizzazione del 19 giugno 1943 a Camp Croft. Nient'altro. Chi volesse portarlo nella Germania occupata del 1945 deve produrre il documento, non l'aneddoto biografico.</w:t>
      </w:r>
    </w:p>
    <w:p>
      <w:pPr>
        <w:spacing w:after="120" w:line="276"/>
        <w:jc w:val="both"/>
      </w:pPr>
      <w:r>
        <w:rPr>
          <w:rFonts w:ascii="Barlow Semi Condensed" w:cs="Barlow Semi Condensed" w:eastAsia="Barlow Semi Condensed" w:hAnsi="Barlow Semi Condensed"/>
          <w:b/>
          <w:bCs/>
          <w:sz w:val="24"/>
          <w:szCs w:val="24"/>
        </w:rPr>
        <w:t xml:space="preserve">2665 · Il servizio militare come Stato Zero.</w:t>
      </w:r>
      <w:r>
        <w:rPr>
          <w:rFonts w:ascii="Barlow Semi Condensed" w:cs="Barlow Semi Condensed" w:eastAsia="Barlow Semi Condensed" w:hAnsi="Barlow Semi Condensed"/>
          <w:sz w:val="24"/>
          <w:szCs w:val="24"/>
        </w:rPr>
        <w:t xml:space="preserve"> Bersaglio nominato e circoscritto: il fascicolo personale militare presso il National Personnel Records Center di Saint Louis, e il fascicolo d'immigrazione e naturalizzazione già impiegato dall'apparato K-1 dell'opera. Domanda: quali sedi tedesche vi risultino, e se una cada nelle regioni renane o slesiane che questo territorio percorre. L'esito è verosimilmente irrilevante al merito, ma la domanda va chiusa per non lasciarla circolare.</w:t>
      </w:r>
    </w:p>
    <w:p>
      <w:pPr>
        <w:spacing w:after="120" w:line="276"/>
        <w:jc w:val="both"/>
      </w:pPr>
      <w:r>
        <w:rPr>
          <w:rFonts w:ascii="Barlow Semi Condensed" w:cs="Barlow Semi Condensed" w:eastAsia="Barlow Semi Condensed" w:hAnsi="Barlow Semi Condensed"/>
          <w:b/>
          <w:bCs/>
          <w:sz w:val="24"/>
          <w:szCs w:val="24"/>
        </w:rPr>
        <w:t xml:space="preserve">2666 · Fürth e la Baviera dell'ente.</w:t>
      </w:r>
      <w:r>
        <w:rPr>
          <w:rFonts w:ascii="Barlow Semi Condensed" w:cs="Barlow Semi Condensed" w:eastAsia="Barlow Semi Condensed" w:hAnsi="Barlow Semi Condensed"/>
          <w:sz w:val="24"/>
          <w:szCs w:val="24"/>
        </w:rPr>
        <w:t xml:space="preserve"> L'anagrafe colloca la nascita a Fürth, in Baviera, il 27 maggio 1923; il dossier tedesco documenta che l'ente confessionale raggiunse la Baviera tardi — Monaco nel 1977 per gli uomini e nel 1980 per le donne, con la casa di formazione Zieglerhof a Ettal. Coincidenza di regione a mezzo secolo di distanza: è analogia pura, e dall'analogia non discende alcun antenato comune.</w:t>
      </w:r>
    </w:p>
    <w:p>
      <w:pPr>
        <w:spacing w:after="120" w:line="276"/>
        <w:jc w:val="both"/>
      </w:pPr>
      <w:r>
        <w:rPr>
          <w:rFonts w:ascii="Barlow Semi Condensed" w:cs="Barlow Semi Condensed" w:eastAsia="Barlow Semi Condensed" w:hAnsi="Barlow Semi Condensed"/>
          <w:b/>
          <w:bCs/>
          <w:sz w:val="24"/>
          <w:szCs w:val="24"/>
        </w:rPr>
        <w:t xml:space="preserve">2667 · Due spostamenti, nessuna parentela.</w:t>
      </w:r>
      <w:r>
        <w:rPr>
          <w:rFonts w:ascii="Barlow Semi Condensed" w:cs="Barlow Semi Condensed" w:eastAsia="Barlow Semi Condensed" w:hAnsi="Barlow Semi Condensed"/>
          <w:sz w:val="24"/>
          <w:szCs w:val="24"/>
        </w:rPr>
        <w:t xml:space="preserve"> L'emigrazione del 20 agosto 1938 da persecuzione razziale e l'espulsione dei tedeschi dai territori orientali dopo il 1945 sono spostamenti di popolazione diversi per natura giuridica e per causa. Hirschfeld studia l'erosione del milieu cattolico prodotta nell'Oldenburger Land dall'afflusso dei Vertriebene: materia estranea alla prima. Accostarle perché entrambe sono partenze dalla Germania sarebbe omologia inventata sulla somiglianza del risultato.</w:t>
      </w:r>
    </w:p>
    <w:p>
      <w:pPr>
        <w:spacing w:after="120" w:line="276"/>
        <w:jc w:val="both"/>
      </w:pPr>
      <w:r>
        <w:rPr>
          <w:rFonts w:ascii="Barlow Semi Condensed" w:cs="Barlow Semi Condensed" w:eastAsia="Barlow Semi Condensed" w:hAnsi="Barlow Semi Condensed"/>
          <w:b/>
          <w:bCs/>
          <w:sz w:val="24"/>
          <w:szCs w:val="24"/>
        </w:rPr>
        <w:t xml:space="preserve">2668 · La data contesa come strumento.</w:t>
      </w:r>
      <w:r>
        <w:rPr>
          <w:rFonts w:ascii="Barlow Semi Condensed" w:cs="Barlow Semi Condensed" w:eastAsia="Barlow Semi Condensed" w:hAnsi="Barlow Semi Condensed"/>
          <w:sz w:val="24"/>
          <w:szCs w:val="24"/>
        </w:rPr>
        <w:t xml:space="preserve"> L'opera ha una data contesa in apertura: l'anglicizzazione del nome, che le opere di consultazione danno al 1938 senza documenti e che il fascicolo d'archivio colloca al 1942-1943. Il metodo che ne è derivato — riportare, non sciogliere — si applica a tre divergenze di questo territorio, trattate qui una per una. Un metodo si giudica quando lo si applica a materiali che non lo hanno generato.</w:t>
      </w:r>
    </w:p>
    <w:p>
      <w:pPr>
        <w:spacing w:after="120" w:line="276"/>
        <w:jc w:val="both"/>
      </w:pPr>
      <w:r>
        <w:rPr>
          <w:rFonts w:ascii="Barlow Semi Condensed" w:cs="Barlow Semi Condensed" w:eastAsia="Barlow Semi Condensed" w:hAnsi="Barlow Semi Condensed"/>
          <w:b/>
          <w:bCs/>
          <w:sz w:val="24"/>
          <w:szCs w:val="24"/>
        </w:rPr>
        <w:t xml:space="preserve">2669 · Il 1952 contro il 1953.</w:t>
      </w:r>
      <w:r>
        <w:rPr>
          <w:rFonts w:ascii="Barlow Semi Condensed" w:cs="Barlow Semi Condensed" w:eastAsia="Barlow Semi Condensed" w:hAnsi="Barlow Semi Condensed"/>
          <w:sz w:val="24"/>
          <w:szCs w:val="24"/>
        </w:rPr>
        <w:t xml:space="preserve"> La fonte ufficiale tedesca colloca al 1953 l'apertura della residenza dell'Adenauerallee di Bonn, poi Studentenheim Althaus; altre fonti dell'ente e la pubblicistica critica indicano il 1952. La spiegazione verosimile distingue l'arrivo dei primi tre membri dall'apertura formale della casa, ma resta spiegazione: la divergenza va riportata. Chi la risolvesse in silenzio farebbe al territorio ciò che la vulgata fa all'anagrafe.</w:t>
      </w:r>
    </w:p>
    <w:p>
      <w:pPr>
        <w:spacing w:after="120" w:line="276"/>
        <w:jc w:val="both"/>
      </w:pPr>
      <w:r>
        <w:rPr>
          <w:rFonts w:ascii="Barlow Semi Condensed" w:cs="Barlow Semi Condensed" w:eastAsia="Barlow Semi Condensed" w:hAnsi="Barlow Semi Condensed"/>
          <w:b/>
          <w:bCs/>
          <w:sz w:val="24"/>
          <w:szCs w:val="24"/>
        </w:rPr>
        <w:t xml:space="preserve">2670 · Il 26, il 27, il 28 giugno.</w:t>
      </w:r>
      <w:r>
        <w:rPr>
          <w:rFonts w:ascii="Barlow Semi Condensed" w:cs="Barlow Semi Condensed" w:eastAsia="Barlow Semi Condensed" w:hAnsi="Barlow Semi Condensed"/>
          <w:sz w:val="24"/>
          <w:szCs w:val="24"/>
        </w:rPr>
        <w:t xml:space="preserve"> Sulla data delle costituzioni apostoliche le fonti divergono: il testo primario e le fonti ecclesiastiche polacche danno il 28 giugno 1972, alcune voci enciclopediche tedesche e inglesi il 27, un sito diocesano polacco per errore il 26. Prevale la clausola di datazione dell'atto, «die duodetricesimo mensis Iunii». Riportare la divergenza e indicare la fonte prevalente sono due operazioni distinte, ed entrambe necessarie.</w:t>
      </w:r>
    </w:p>
    <w:p>
      <w:pPr>
        <w:spacing w:after="120" w:line="276"/>
        <w:jc w:val="both"/>
      </w:pPr>
      <w:r>
        <w:rPr>
          <w:rFonts w:ascii="Barlow Semi Condensed" w:cs="Barlow Semi Condensed" w:eastAsia="Barlow Semi Condensed" w:hAnsi="Barlow Semi Condensed"/>
          <w:b/>
          <w:bCs/>
          <w:sz w:val="24"/>
          <w:szCs w:val="24"/>
        </w:rPr>
        <w:t xml:space="preserve">2671 · Il Konkordatsurteil e le sue due date.</w:t>
      </w:r>
      <w:r>
        <w:rPr>
          <w:rFonts w:ascii="Barlow Semi Condensed" w:cs="Barlow Semi Condensed" w:eastAsia="Barlow Semi Condensed" w:hAnsi="Barlow Semi Condensed"/>
          <w:sz w:val="24"/>
          <w:szCs w:val="24"/>
        </w:rPr>
        <w:t xml:space="preserve"> Le fonti divergono fra il 26 e il 23 marzo 1957 sulla sentenza costituzionale in materia di scuole confessionali; la citazione formale è comunque BVerfGE 6, 309, procedimento 2 BvG 1/55. La Corte affermò la vigenza del Reichskonkordat e insieme la competenza scolastica dei Länder. Quando la segnatura è certa e la data no, si cita la segnatura: è la regola che il territorio applica bene.</w:t>
      </w:r>
    </w:p>
    <w:p>
      <w:pPr>
        <w:spacing w:after="120" w:line="276"/>
        <w:jc w:val="both"/>
      </w:pPr>
      <w:r>
        <w:rPr>
          <w:rFonts w:ascii="Barlow Semi Condensed" w:cs="Barlow Semi Condensed" w:eastAsia="Barlow Semi Condensed" w:hAnsi="Barlow Semi Condensed"/>
          <w:b/>
          <w:bCs/>
          <w:sz w:val="24"/>
          <w:szCs w:val="24"/>
        </w:rPr>
        <w:t xml:space="preserve">2672 · Il Reichskonkordat e la sua polemica.</w:t>
      </w:r>
      <w:r>
        <w:rPr>
          <w:rFonts w:ascii="Barlow Semi Condensed" w:cs="Barlow Semi Condensed" w:eastAsia="Barlow Semi Condensed" w:hAnsi="Barlow Semi Condensed"/>
          <w:sz w:val="24"/>
          <w:szCs w:val="24"/>
        </w:rPr>
        <w:t xml:space="preserve"> Firmato il 20 luglio 1933 da Pacelli e da von Papen, pubblicato nel Reichsgesetzblatt 1933 II a pagina 679, in vigore dal 10 settembre 1933: la controversia Repgen-Scholder sul suo significato — trattato difensivo oppure strumento di consolidamento del regime — è dibattito scientifico aperto. Il territorio lo riporta senza sceglierlo, e questa serie fa lo stesso, aggiungendo che nessuna delle due letture riguarda il nome studiato.</w:t>
      </w:r>
    </w:p>
    <w:p>
      <w:pPr>
        <w:spacing w:after="120" w:line="276"/>
        <w:jc w:val="both"/>
      </w:pPr>
      <w:r>
        <w:rPr>
          <w:rFonts w:ascii="Barlow Semi Condensed" w:cs="Barlow Semi Condensed" w:eastAsia="Barlow Semi Condensed" w:hAnsi="Barlow Semi Condensed"/>
          <w:b/>
          <w:bCs/>
          <w:sz w:val="24"/>
          <w:szCs w:val="24"/>
        </w:rPr>
        <w:t xml:space="preserve">2673 · Il 1933 come anno biografico.</w:t>
      </w:r>
      <w:r>
        <w:rPr>
          <w:rFonts w:ascii="Barlow Semi Condensed" w:cs="Barlow Semi Condensed" w:eastAsia="Barlow Semi Condensed" w:hAnsi="Barlow Semi Condensed"/>
          <w:sz w:val="24"/>
          <w:szCs w:val="24"/>
        </w:rPr>
        <w:t xml:space="preserve"> Nel 1933 il bambino nato a Fürth aveva dieci anni, e la famiglia sarebbe partita cinque anni dopo. La contemporaneità fra una biografia e un trattato non è una relazione, e la tentazione di farne una è precisamente ciò contro cui il corpus si è attrezzato. Il territorio tratta quell'anno come premessa istituzionale della vigenza concordataria: null'altro se ne ricava.</w:t>
      </w:r>
    </w:p>
    <w:p>
      <w:pPr>
        <w:spacing w:after="120" w:line="276"/>
        <w:jc w:val="both"/>
      </w:pPr>
      <w:r>
        <w:rPr>
          <w:rFonts w:ascii="Barlow Semi Condensed" w:cs="Barlow Semi Condensed" w:eastAsia="Barlow Semi Condensed" w:hAnsi="Barlow Semi Condensed"/>
          <w:b/>
          <w:bCs/>
          <w:sz w:val="24"/>
          <w:szCs w:val="24"/>
        </w:rPr>
        <w:t xml:space="preserve">2674 · Villa Madama e le due traiettorie.</w:t>
      </w:r>
      <w:r>
        <w:rPr>
          <w:rFonts w:ascii="Barlow Semi Condensed" w:cs="Barlow Semi Condensed" w:eastAsia="Barlow Semi Condensed" w:hAnsi="Barlow Semi Condensed"/>
          <w:sz w:val="24"/>
          <w:szCs w:val="24"/>
        </w:rPr>
        <w:t xml:space="preserve"> Il confronto istituito dal dossier è fra due traiettorie concordatarie: in Italia una revisione bilaterale integrale con l'Accordo di Villa Madama del 18 febbraio 1984, in Germania una cornice rimasta immutata con adattamenti affidati alla giurisprudenza costituzionale e ai concordati dei Länder — Baviera 1924, Prussia 1929, Baden 1932. È diritto ecclesiastico comparato, privo di qualunque versante atlantico documentato.</w:t>
      </w:r>
    </w:p>
    <w:p>
      <w:pPr>
        <w:spacing w:after="120" w:line="276"/>
        <w:jc w:val="both"/>
      </w:pPr>
      <w:r>
        <w:rPr>
          <w:rFonts w:ascii="Barlow Semi Condensed" w:cs="Barlow Semi Condensed" w:eastAsia="Barlow Semi Condensed" w:hAnsi="Barlow Semi Condensed"/>
          <w:b/>
          <w:bCs/>
          <w:sz w:val="24"/>
          <w:szCs w:val="24"/>
        </w:rPr>
        <w:t xml:space="preserve">2675 · Frings e la petizione del 1952.</w:t>
      </w:r>
      <w:r>
        <w:rPr>
          <w:rFonts w:ascii="Barlow Semi Condensed" w:cs="Barlow Semi Condensed" w:eastAsia="Barlow Semi Condensed" w:hAnsi="Barlow Semi Condensed"/>
          <w:sz w:val="24"/>
          <w:szCs w:val="24"/>
        </w:rPr>
        <w:t xml:space="preserve"> Una lettera del nunzio Giovanni Lajolo al vicario regionale Christoph Bockamp attesta che fu «per la petizione del cardinale Frings» che i primi membri giunsero a Colonia nel 1952. È rapporto diretto documentato, cioè primo piano, fra un ordinario diocesano e un insediamento. Il territorio possiede dunque un ponte al primo piano: è intra-ecclesiale, e non tocca in alcun punto il nome di questa serie.</w:t>
      </w:r>
    </w:p>
    <w:p>
      <w:pPr>
        <w:spacing w:after="120" w:line="276"/>
        <w:jc w:val="both"/>
      </w:pPr>
      <w:r>
        <w:rPr>
          <w:rFonts w:ascii="Barlow Semi Condensed" w:cs="Barlow Semi Condensed" w:eastAsia="Barlow Semi Condensed" w:hAnsi="Barlow Semi Condensed"/>
          <w:b/>
          <w:bCs/>
          <w:sz w:val="24"/>
          <w:szCs w:val="24"/>
        </w:rPr>
        <w:t xml:space="preserve">2676 · Tre cardinali, una tesi non provata.</w:t>
      </w:r>
      <w:r>
        <w:rPr>
          <w:rFonts w:ascii="Barlow Semi Condensed" w:cs="Barlow Semi Condensed" w:eastAsia="Barlow Semi Condensed" w:hAnsi="Barlow Semi Condensed"/>
          <w:sz w:val="24"/>
          <w:szCs w:val="24"/>
        </w:rPr>
        <w:t xml:space="preserve"> Un portale tedesco ha incluso Frings, Höffner e Meisner fra i membri dell'ente: il territorio qualifica l'affermazione come non sostenuta da fonti primarie. È il modello esatto di un enunciato di terzo piano, e va applicato senza sconti a qualunque proposizione che colleghi il nome studiato a una rete confessionale tedesca. Il sostegno di un vescovo non prova l'appartenenza, e l'appartenenza non proverebbe una condotta.</w:t>
      </w:r>
    </w:p>
    <w:p>
      <w:pPr>
        <w:spacing w:after="120" w:line="276"/>
        <w:jc w:val="both"/>
      </w:pPr>
      <w:r>
        <w:rPr>
          <w:rFonts w:ascii="Barlow Semi Condensed" w:cs="Barlow Semi Condensed" w:eastAsia="Barlow Semi Condensed" w:hAnsi="Barlow Semi Condensed"/>
          <w:b/>
          <w:bCs/>
          <w:sz w:val="24"/>
          <w:szCs w:val="24"/>
        </w:rPr>
        <w:t xml:space="preserve">2677 · Meisner e Schwaderlapp, voci tarde.</w:t>
      </w:r>
      <w:r>
        <w:rPr>
          <w:rFonts w:ascii="Barlow Semi Condensed" w:cs="Barlow Semi Condensed" w:eastAsia="Barlow Semi Condensed" w:hAnsi="Barlow Semi Condensed"/>
          <w:sz w:val="24"/>
          <w:szCs w:val="24"/>
        </w:rPr>
        <w:t xml:space="preserve"> La predica del cardinale Meisner del 19 gennaio 2002 che ringrazia Frings e Höffner, e le parole del generalvicario Schwaderlapp sulla presenza dell'ente nell'arcidiocesi di Colonia, sono testimonianze rese decenni dopo i fatti. Attestano una memoria istituzionale, non lo stato delle cose nel 1952. La stessa cautela varrebbe per ogni ricordo tardivo che affiorasse sul versante americano di questa materia.</w:t>
      </w:r>
    </w:p>
    <w:p>
      <w:pPr>
        <w:spacing w:after="120" w:line="276"/>
        <w:jc w:val="both"/>
      </w:pPr>
      <w:r>
        <w:rPr>
          <w:rFonts w:ascii="Barlow Semi Condensed" w:cs="Barlow Semi Condensed" w:eastAsia="Barlow Semi Condensed" w:hAnsi="Barlow Semi Condensed"/>
          <w:b/>
          <w:bCs/>
          <w:sz w:val="24"/>
          <w:szCs w:val="24"/>
        </w:rPr>
        <w:t xml:space="preserve">2678 · Due serie statistiche che divergono.</w:t>
      </w:r>
      <w:r>
        <w:rPr>
          <w:rFonts w:ascii="Barlow Semi Condensed" w:cs="Barlow Semi Condensed" w:eastAsia="Barlow Semi Condensed" w:hAnsi="Barlow Semi Condensed"/>
          <w:sz w:val="24"/>
          <w:szCs w:val="24"/>
        </w:rPr>
        <w:t xml:space="preserve"> Per il 1950 fowid dà i protestanti al 50,6 e i cattolici al 45,8 per cento; clio-online dà 51,2 e 45,2, precisando che i cattolici uscirono dalla minoranza soltanto nel 1976. La divergenza si riporta e non incide sulla sostanza: la Repubblica Federale non era a maggioranza cattolica. Due serie che dissentono sui decimali e concordano sul verso sono un caso limpido di divergenza innocua.</w:t>
      </w:r>
    </w:p>
    <w:p>
      <w:pPr>
        <w:spacing w:after="120" w:line="276"/>
        <w:jc w:val="both"/>
      </w:pPr>
      <w:r>
        <w:rPr>
          <w:rFonts w:ascii="Barlow Semi Condensed" w:cs="Barlow Semi Condensed" w:eastAsia="Barlow Semi Condensed" w:hAnsi="Barlow Semi Condensed"/>
          <w:b/>
          <w:bCs/>
          <w:sz w:val="24"/>
          <w:szCs w:val="24"/>
        </w:rPr>
        <w:t xml:space="preserve">2679 · Il Saarland e l'inganno dell'aggregato.</w:t>
      </w:r>
      <w:r>
        <w:rPr>
          <w:rFonts w:ascii="Barlow Semi Condensed" w:cs="Barlow Semi Condensed" w:eastAsia="Barlow Semi Condensed" w:hAnsi="Barlow Semi Condensed"/>
          <w:sz w:val="24"/>
          <w:szCs w:val="24"/>
        </w:rPr>
        <w:t xml:space="preserve"> Nel 1950 il Saarland registrava il 98,2 per cento di appartenenti alle due Chiese, con schiacciante prevalenza cattolica, mentre il dato nazionale diceva minoranza. Ne esce una regola di lettura trasferibile: un aggregato nazionale nasconde le concentrazioni regionali. Chi legge «Germania» in un documento — compreso il memorandum del settembre 1974 — deve chiedersi sempre quale Germania quel documento intendesse nominare.</w:t>
      </w:r>
    </w:p>
    <w:p>
      <w:pPr>
        <w:spacing w:after="120" w:line="276"/>
        <w:jc w:val="both"/>
      </w:pPr>
      <w:r>
        <w:rPr>
          <w:rFonts w:ascii="Barlow Semi Condensed" w:cs="Barlow Semi Condensed" w:eastAsia="Barlow Semi Condensed" w:hAnsi="Barlow Semi Condensed"/>
          <w:b/>
          <w:bCs/>
          <w:sz w:val="24"/>
          <w:szCs w:val="24"/>
        </w:rPr>
        <w:t xml:space="preserve">2680 · Il milieu come struttura, non come prova.</w:t>
      </w:r>
      <w:r>
        <w:rPr>
          <w:rFonts w:ascii="Barlow Semi Condensed" w:cs="Barlow Semi Condensed" w:eastAsia="Barlow Semi Condensed" w:hAnsi="Barlow Semi Condensed"/>
          <w:sz w:val="24"/>
          <w:szCs w:val="24"/>
        </w:rPr>
        <w:t xml:space="preserve"> Zentrum e Bayerische Volkspartei confluiti nella CDU/CSU, Kolpingwerk, Katholikentag, Misereor e Adveniat promosse da Frings, Cartellverband, Katholischer Akademikerverband, Görres-Gesellschaft: il territorio descrive un milieu cattolico socialmente organizzato, ed è struttura sociale documentata. Appartenervi non prova alcuna condotta, e la prescrizione vale identica per qualunque rete che si volesse accostare al nome di questa serie, quale che ne sia la densità apparente.</w:t>
      </w:r>
    </w:p>
    <w:p>
      <w:pPr>
        <w:spacing w:after="120" w:line="276"/>
        <w:jc w:val="both"/>
      </w:pPr>
      <w:r>
        <w:rPr>
          <w:rFonts w:ascii="Barlow Semi Condensed" w:cs="Barlow Semi Condensed" w:eastAsia="Barlow Semi Condensed" w:hAnsi="Barlow Semi Condensed"/>
          <w:b/>
          <w:bCs/>
          <w:sz w:val="24"/>
          <w:szCs w:val="24"/>
        </w:rPr>
        <w:t xml:space="preserve">2681 · Retz e Kücking, 12 ottobre 1956.</w:t>
      </w:r>
      <w:r>
        <w:rPr>
          <w:rFonts w:ascii="Barlow Semi Condensed" w:cs="Barlow Semi Condensed" w:eastAsia="Barlow Semi Condensed" w:hAnsi="Barlow Semi Condensed"/>
          <w:sz w:val="24"/>
          <w:szCs w:val="24"/>
        </w:rPr>
        <w:t xml:space="preserve"> Alla stazione centrale di Colonia, il 12 ottobre 1956, le tre prime spagnole furono accolte da Käthe Retz, assistente all'Università di Bonn, e da Marlies Kücking, allora matricola. Sono fatti pubblici documentati dalla fonte dell'ente, con nomi e data. Si registrano come tali: nominare una persona in un corpus significa attribuirle un fatto, mai una responsabilità, e qui il fatto è un'accoglienza in stazione.</w:t>
      </w:r>
    </w:p>
    <w:p>
      <w:pPr>
        <w:spacing w:after="120" w:line="276"/>
        <w:jc w:val="both"/>
      </w:pPr>
      <w:r>
        <w:rPr>
          <w:rFonts w:ascii="Barlow Semi Condensed" w:cs="Barlow Semi Condensed" w:eastAsia="Barlow Semi Condensed" w:hAnsi="Barlow Semi Condensed"/>
          <w:b/>
          <w:bCs/>
          <w:sz w:val="24"/>
          <w:szCs w:val="24"/>
        </w:rPr>
        <w:t xml:space="preserve">2682 · Inciarte e il radicamento apparente.</w:t>
      </w:r>
      <w:r>
        <w:rPr>
          <w:rFonts w:ascii="Barlow Semi Condensed" w:cs="Barlow Semi Condensed" w:eastAsia="Barlow Semi Condensed" w:hAnsi="Barlow Semi Condensed"/>
          <w:sz w:val="24"/>
          <w:szCs w:val="24"/>
        </w:rPr>
        <w:t xml:space="preserve"> Fernando Inciarte, divenuto ordinario a Münster, è il membro di maggior rilievo accademico documentato dalla fonte ufficiale; ma era di origine spagnola e fra i primissimi arrivati del 1952, non un tedesco reclutato in loco. Il territorio segnala la circostanza per non falsare il quadro. È la stessa avvertenza che vale per ogni figura eminente assunta come indice di radicamento locale.</w:t>
      </w:r>
    </w:p>
    <w:p>
      <w:pPr>
        <w:spacing w:after="120" w:line="276"/>
        <w:jc w:val="both"/>
      </w:pPr>
      <w:r>
        <w:rPr>
          <w:rFonts w:ascii="Barlow Semi Condensed" w:cs="Barlow Semi Condensed" w:eastAsia="Barlow Semi Condensed" w:hAnsi="Barlow Semi Condensed"/>
          <w:b/>
          <w:bCs/>
          <w:sz w:val="24"/>
          <w:szCs w:val="24"/>
        </w:rPr>
        <w:t xml:space="preserve">2683 · La querela del 27 novembre 1984.</w:t>
      </w:r>
      <w:r>
        <w:rPr>
          <w:rFonts w:ascii="Barlow Semi Condensed" w:cs="Barlow Semi Condensed" w:eastAsia="Barlow Semi Condensed" w:hAnsi="Barlow Semi Condensed"/>
          <w:sz w:val="24"/>
          <w:szCs w:val="24"/>
        </w:rPr>
        <w:t xml:space="preserve"> Uno studio legale monacense presentò il 27 novembre 1984, per conto dell'associazione tedesca dell'ente e del vicario regionale César Ortiz, una querela alla sezione civile del Landgericht München I. Un atto introduttivo non è un giudicato, e il corpus si ferma al giudicato: si registrano il deposito e la sede, mentre l'esito resta da accertare presso il registro di quel tribunale.</w:t>
      </w:r>
    </w:p>
    <w:p>
      <w:pPr>
        <w:spacing w:after="120" w:line="276"/>
        <w:jc w:val="both"/>
      </w:pPr>
      <w:r>
        <w:rPr>
          <w:rFonts w:ascii="Barlow Semi Condensed" w:cs="Barlow Semi Condensed" w:eastAsia="Barlow Semi Condensed" w:hAnsi="Barlow Semi Condensed"/>
          <w:b/>
          <w:bCs/>
          <w:sz w:val="24"/>
          <w:szCs w:val="24"/>
        </w:rPr>
        <w:t xml:space="preserve">2684 · Il parroco rifiutato nel dicembre 1984.</w:t>
      </w:r>
      <w:r>
        <w:rPr>
          <w:rFonts w:ascii="Barlow Semi Condensed" w:cs="Barlow Semi Condensed" w:eastAsia="Barlow Semi Condensed" w:hAnsi="Barlow Semi Condensed"/>
          <w:sz w:val="24"/>
          <w:szCs w:val="24"/>
        </w:rPr>
        <w:t xml:space="preserve"> Nel dicembre 1984 una parrocchia di Colonia rifiutò il primo parroco dell'ente nella Germania occidentale, padre Peter Irrgang, poi accolto dalla piccola comunità di Kreuzweingarten; la fonte è il Christian Science Monitor del 31 dicembre 1984. L'episodio documenta insieme una reticenza di base e la persistente accoglienza diocesana. Due fatti opposti dello stesso mese: si riportano entrambi, come il territorio fa.</w:t>
      </w:r>
    </w:p>
    <w:p>
      <w:pPr>
        <w:spacing w:after="120" w:line="276"/>
        <w:jc w:val="both"/>
      </w:pPr>
      <w:r>
        <w:rPr>
          <w:rFonts w:ascii="Barlow Semi Condensed" w:cs="Barlow Semi Condensed" w:eastAsia="Barlow Semi Condensed" w:hAnsi="Barlow Semi Condensed"/>
          <w:b/>
          <w:bCs/>
          <w:sz w:val="24"/>
          <w:szCs w:val="24"/>
        </w:rPr>
        <w:t xml:space="preserve">2685 · Ut sit e il suo calendario.</w:t>
      </w:r>
      <w:r>
        <w:rPr>
          <w:rFonts w:ascii="Barlow Semi Condensed" w:cs="Barlow Semi Condensed" w:eastAsia="Barlow Semi Condensed" w:hAnsi="Barlow Semi Condensed"/>
          <w:sz w:val="24"/>
          <w:szCs w:val="24"/>
        </w:rPr>
        <w:t xml:space="preserve"> La costituzione apostolica Ut sit è datata 28 novembre 1982, con atto esecutivo del 19 marzo 1983, e fu preceduta secondo la fonte ufficiale dalla consultazione dei vescovi delle diocesi interessate; la dichiarazione di Álvaro del Portillo alla Conferenza episcopale tedesca è documentata dal Presseamt di Colonia, Dokumente 185 del 3 settembre 1983. Tutte queste date cadono dopo il 20 gennaio 1977: nessuna sovrapposizione d'incarico è possibile.</w:t>
      </w:r>
    </w:p>
    <w:p>
      <w:pPr>
        <w:spacing w:after="120" w:line="276"/>
        <w:jc w:val="both"/>
      </w:pPr>
      <w:r>
        <w:rPr>
          <w:rFonts w:ascii="Barlow Semi Condensed" w:cs="Barlow Semi Condensed" w:eastAsia="Barlow Semi Condensed" w:hAnsi="Barlow Semi Condensed"/>
          <w:b/>
          <w:bCs/>
          <w:sz w:val="24"/>
          <w:szCs w:val="24"/>
        </w:rPr>
        <w:t xml:space="preserve">2686 · Lo Stato Zero dei partiti dell'Unione.</w:t>
      </w:r>
      <w:r>
        <w:rPr>
          <w:rFonts w:ascii="Barlow Semi Condensed" w:cs="Barlow Semi Condensed" w:eastAsia="Barlow Semi Condensed" w:hAnsi="Barlow Semi Condensed"/>
          <w:sz w:val="24"/>
          <w:szCs w:val="24"/>
        </w:rPr>
        <w:t xml:space="preserve"> Non risulta dal dossier tedesco una posizione ufficiale della CDU/CSU verso l'ente, e la sede indicata per colmarlo è l'Archiv für Christlich-Demokratische Politik della Konrad-Adenauer-Stiftung. La medesima sede risponderebbe a un secondo quesito, che il blocco 103 dei nove cantieri già pone: che cosa gli archivi delle fondazioni politiche di partito conservino sui rapporti con l'alleato americano nel medesimo arco.</w:t>
      </w:r>
    </w:p>
    <w:p>
      <w:pPr>
        <w:spacing w:after="120" w:line="276"/>
        <w:jc w:val="both"/>
      </w:pPr>
      <w:r>
        <w:rPr>
          <w:rFonts w:ascii="Barlow Semi Condensed" w:cs="Barlow Semi Condensed" w:eastAsia="Barlow Semi Condensed" w:hAnsi="Barlow Semi Condensed"/>
          <w:b/>
          <w:bCs/>
          <w:sz w:val="24"/>
          <w:szCs w:val="24"/>
        </w:rPr>
        <w:t xml:space="preserve">2687 · Il readingroom e la sua interrogazione.</w:t>
      </w:r>
      <w:r>
        <w:rPr>
          <w:rFonts w:ascii="Barlow Semi Condensed" w:cs="Barlow Semi Condensed" w:eastAsia="Barlow Semi Condensed" w:hAnsi="Barlow Semi Condensed"/>
          <w:sz w:val="24"/>
          <w:szCs w:val="24"/>
        </w:rPr>
        <w:t xml:space="preserve"> Nel readingroom FOIA dell'agenzia americana e nella collezione CREST il territorio non ha reperito documenti desecretati sull'ente in Germania, ma dichiara l'esito provvisorio finché l'interrogazione non sia sistematica e per stringhe combinate. Il bersaglio si estende qui: le medesime stringhe con il nome di questa serie, con «Warsaw Treaty» e con «Ostpolitik». Esito atteso negativo, e da verbalizzare comunque.</w:t>
      </w:r>
    </w:p>
    <w:p>
      <w:pPr>
        <w:spacing w:after="120" w:line="276"/>
        <w:jc w:val="both"/>
      </w:pPr>
      <w:r>
        <w:rPr>
          <w:rFonts w:ascii="Barlow Semi Condensed" w:cs="Barlow Semi Condensed" w:eastAsia="Barlow Semi Condensed" w:hAnsi="Barlow Semi Condensed"/>
          <w:b/>
          <w:bCs/>
          <w:sz w:val="24"/>
          <w:szCs w:val="24"/>
        </w:rPr>
        <w:t xml:space="preserve">2688 · Il Comitato dei 303 non si estende.</w:t>
      </w:r>
      <w:r>
        <w:rPr>
          <w:rFonts w:ascii="Barlow Semi Condensed" w:cs="Barlow Semi Condensed" w:eastAsia="Barlow Semi Condensed" w:hAnsi="Barlow Semi Condensed"/>
          <w:sz w:val="24"/>
          <w:szCs w:val="24"/>
        </w:rPr>
        <w:t xml:space="preserve"> La riunione dell'11 marzo 1969, presieduta dal nome qui studiato, è documentata dal corpus: vi si convenne che non vi fosse reale giustificazione per riprendere il finanziamento coperto ai partiti italiani, e la fonte è il volume XLI della serie FRUS, documento 180. Riguarda l'Italia. Trasporne l'esistenza sul versante tedesco senza un documento omologo sarebbe l'errore che l'opera chiama analogia, e il territorio non offre appigli per compierlo.</w:t>
      </w:r>
    </w:p>
    <w:p>
      <w:pPr>
        <w:spacing w:after="120" w:line="276"/>
        <w:jc w:val="both"/>
      </w:pPr>
      <w:r>
        <w:rPr>
          <w:rFonts w:ascii="Barlow Semi Condensed" w:cs="Barlow Semi Condensed" w:eastAsia="Barlow Semi Condensed" w:hAnsi="Barlow Semi Condensed"/>
          <w:b/>
          <w:bCs/>
          <w:sz w:val="24"/>
          <w:szCs w:val="24"/>
        </w:rPr>
        <w:t xml:space="preserve">2689 · L'Anno dell'Europa, assente dai dossier.</w:t>
      </w:r>
      <w:r>
        <w:rPr>
          <w:rFonts w:ascii="Barlow Semi Condensed" w:cs="Barlow Semi Condensed" w:eastAsia="Barlow Semi Condensed" w:hAnsi="Barlow Semi Condensed"/>
          <w:sz w:val="24"/>
          <w:szCs w:val="24"/>
        </w:rPr>
        <w:t xml:space="preserve"> Il discorso del 23 aprile 1973 a New York è, nell'opera, il maggiore strato testuale della serie dei discorsi, al blocco 79; nei due documenti di questo territorio non è nominato, benché il 1973 vi sia trattato per il Trattato fondamentale e per l'ingresso delle due Germanie alle Nazioni Unite il 18 settembre. Assenza misurata: si chiude confrontando il testo ufficiale a stampa con la bozza d'ufficio.</w:t>
      </w:r>
    </w:p>
    <w:p>
      <w:pPr>
        <w:spacing w:after="120" w:line="276"/>
        <w:jc w:val="both"/>
      </w:pPr>
      <w:r>
        <w:rPr>
          <w:rFonts w:ascii="Barlow Semi Condensed" w:cs="Barlow Semi Condensed" w:eastAsia="Barlow Semi Condensed" w:hAnsi="Barlow Semi Condensed"/>
          <w:b/>
          <w:bCs/>
          <w:sz w:val="24"/>
          <w:szCs w:val="24"/>
        </w:rPr>
        <w:t xml:space="preserve">2690 · Gli AAPD, procedura già scritta.</w:t>
      </w:r>
      <w:r>
        <w:rPr>
          <w:rFonts w:ascii="Barlow Semi Condensed" w:cs="Barlow Semi Condensed" w:eastAsia="Barlow Semi Condensed" w:hAnsi="Barlow Semi Condensed"/>
          <w:sz w:val="24"/>
          <w:szCs w:val="24"/>
        </w:rPr>
        <w:t xml:space="preserve"> I blocchi 81, 82, 83 e 117 dei nove cantieri fissano la procedura per gli Akten zur Auswärtigen Politik: spoglio della selezione edita, poi richiesta del fascicolo integrale al Politisches Archiv da cui quella selezione proviene. Il rendimento che questo territorio aggiunge è cronologico e non metodologico, perché estende alle annate 1969-1974 una procedura scritta per il 1977-1978. È l'estensione più economica disponibile.</w:t>
      </w:r>
    </w:p>
    <w:p>
      <w:pPr>
        <w:spacing w:after="120" w:line="276"/>
        <w:jc w:val="both"/>
      </w:pPr>
      <w:r>
        <w:rPr>
          <w:rFonts w:ascii="Barlow Semi Condensed" w:cs="Barlow Semi Condensed" w:eastAsia="Barlow Semi Condensed" w:hAnsi="Barlow Semi Condensed"/>
          <w:b/>
          <w:bCs/>
          <w:sz w:val="24"/>
          <w:szCs w:val="24"/>
        </w:rPr>
        <w:t xml:space="preserve">2691 · Il referato che serve qui.</w:t>
      </w:r>
      <w:r>
        <w:rPr>
          <w:rFonts w:ascii="Barlow Semi Condensed" w:cs="Barlow Semi Condensed" w:eastAsia="Barlow Semi Condensed" w:hAnsi="Barlow Semi Condensed"/>
          <w:sz w:val="24"/>
          <w:szCs w:val="24"/>
        </w:rPr>
        <w:t xml:space="preserve"> Al Politisches Archiv dell'Auswärtiges Amt il cantiere tedesco individua i fascicoli del Länderreferat per l'Italia. Questa serie richiede un referato diverso: quello competente per la Santa Sede e per i rapporti con la Polonia negli anni 1970-1973. È precisazione operativa e non di merito, ma cambia la richiesta che si deposita in sala studio, e va scritta prima di partire.</w:t>
      </w:r>
    </w:p>
    <w:p>
      <w:pPr>
        <w:spacing w:after="120" w:line="276"/>
        <w:jc w:val="both"/>
      </w:pPr>
      <w:r>
        <w:rPr>
          <w:rFonts w:ascii="Barlow Semi Condensed" w:cs="Barlow Semi Condensed" w:eastAsia="Barlow Semi Condensed" w:hAnsi="Barlow Semi Condensed"/>
          <w:b/>
          <w:bCs/>
          <w:sz w:val="24"/>
          <w:szCs w:val="24"/>
        </w:rPr>
        <w:t xml:space="preserve">2692 · I Telegrammi che restano esclusi.</w:t>
      </w:r>
      <w:r>
        <w:rPr>
          <w:rFonts w:ascii="Barlow Semi Condensed" w:cs="Barlow Semi Condensed" w:eastAsia="Barlow Semi Condensed" w:hAnsi="Barlow Semi Condensed"/>
          <w:sz w:val="24"/>
          <w:szCs w:val="24"/>
        </w:rPr>
        <w:t xml:space="preserve"> La serie Germania 1969-1975 dell'Archivio storico-diplomatico è la sede naturale della posizione italiana sui cinque atti, ma la seconda campagna ha corretto i blocchi 55 e 78 dei cantieri e il blocco 244 dell'agenda: i fondi non sono aperti senza riserve, resta l'esclusione temporanea dei Telegrammi 1942-1970 e la disponibilità dei faldoni va verificata caso per caso. Il costo del bersaglio va rivisto prima di pianificare.</w:t>
      </w:r>
    </w:p>
    <w:p>
      <w:pPr>
        <w:spacing w:after="120" w:line="276"/>
        <w:jc w:val="both"/>
      </w:pPr>
      <w:r>
        <w:rPr>
          <w:rFonts w:ascii="Barlow Semi Condensed" w:cs="Barlow Semi Condensed" w:eastAsia="Barlow Semi Condensed" w:hAnsi="Barlow Semi Condensed"/>
          <w:b/>
          <w:bCs/>
          <w:sz w:val="24"/>
          <w:szCs w:val="24"/>
        </w:rPr>
        <w:t xml:space="preserve">2693 · Il quarto deposito delle carte Moro.</w:t>
      </w:r>
      <w:r>
        <w:rPr>
          <w:rFonts w:ascii="Barlow Semi Condensed" w:cs="Barlow Semi Condensed" w:eastAsia="Barlow Semi Condensed" w:hAnsi="Barlow Semi Condensed"/>
          <w:sz w:val="24"/>
          <w:szCs w:val="24"/>
        </w:rPr>
        <w:t xml:space="preserve"> La seconda campagna ha accertato un quarto nucleo delle carte morotee, con segnatura propria IT-AFS-048 presso l'Archivio storico del Senato e unità digitalizzate che riguardano proprio il ministro degli Esteri. Bersaglio circoscritto: cercarvi il fascicolo tedesco degli anni 1969-1972 e verificare se contenga carte di provenienza americana. Il registro dei tre nuclei, ai blocchi 221-223 dei cantieri, va emendato per nota.</w:t>
      </w:r>
    </w:p>
    <w:p>
      <w:pPr>
        <w:spacing w:after="120" w:line="276"/>
        <w:jc w:val="both"/>
      </w:pPr>
      <w:r>
        <w:rPr>
          <w:rFonts w:ascii="Barlow Semi Condensed" w:cs="Barlow Semi Condensed" w:eastAsia="Barlow Semi Condensed" w:hAnsi="Barlow Semi Condensed"/>
          <w:b/>
          <w:bCs/>
          <w:sz w:val="24"/>
          <w:szCs w:val="24"/>
        </w:rPr>
        <w:t xml:space="preserve">2694 · Il sindacato ispettivo comincia tardi.</w:t>
      </w:r>
      <w:r>
        <w:rPr>
          <w:rFonts w:ascii="Barlow Semi Condensed" w:cs="Barlow Semi Condensed" w:eastAsia="Barlow Semi Condensed" w:hAnsi="Barlow Semi Condensed"/>
          <w:sz w:val="24"/>
          <w:szCs w:val="24"/>
        </w:rPr>
        <w:t xml:space="preserve"> La banca dati parlamentare del sindacato ispettivo copre dalla settima legislatura, cioè dal 5 luglio 1976: per l'intero arco dei mandati di Moro restano resoconti stenografici non ricercabili a testo pieno. Ne segue una conseguenza precisa: con i soli strumenti in rete non è possibile né confermare né escludere interrogazioni che nominassero il Segretario di Stato americano sulla Ostpolitik. Si chiude con lo spoglio manuale.</w:t>
      </w:r>
    </w:p>
    <w:p>
      <w:pPr>
        <w:spacing w:after="120" w:line="276"/>
        <w:jc w:val="both"/>
      </w:pPr>
      <w:r>
        <w:rPr>
          <w:rFonts w:ascii="Barlow Semi Condensed" w:cs="Barlow Semi Condensed" w:eastAsia="Barlow Semi Condensed" w:hAnsi="Barlow Semi Condensed"/>
          <w:b/>
          <w:bCs/>
          <w:sz w:val="24"/>
          <w:szCs w:val="24"/>
        </w:rPr>
        <w:t xml:space="preserve">2695 · Il riconoscimento della Repubblica Democratica.</w:t>
      </w:r>
      <w:r>
        <w:rPr>
          <w:rFonts w:ascii="Barlow Semi Condensed" w:cs="Barlow Semi Condensed" w:eastAsia="Barlow Semi Condensed" w:hAnsi="Barlow Semi Condensed"/>
          <w:sz w:val="24"/>
          <w:szCs w:val="24"/>
        </w:rPr>
        <w:t xml:space="preserve"> Il riconoscimento italiano è collocato dalle fonti italiane al 17 gennaio 1973 e da fonte istituzionale tedesca al 18: divergenza prodotta dalla verifica della seconda campagna e da riportare. Cadde fra i due mandati di Moro, con Giuseppe Medici alla Farnesina. In quel gennaio il nome di questa serie ricopriva il solo incarico di assistente per la sicurezza nazionale: la precisazione evita attribuzioni di carica errate.</w:t>
      </w:r>
    </w:p>
    <w:p>
      <w:pPr>
        <w:spacing w:after="120" w:line="276"/>
        <w:jc w:val="both"/>
      </w:pPr>
      <w:r>
        <w:rPr>
          <w:rFonts w:ascii="Barlow Semi Condensed" w:cs="Barlow Semi Condensed" w:eastAsia="Barlow Semi Condensed" w:hAnsi="Barlow Semi Condensed"/>
          <w:b/>
          <w:bCs/>
          <w:sz w:val="24"/>
          <w:szCs w:val="24"/>
        </w:rPr>
        <w:t xml:space="preserve">2696 · Moro e Honecker, incontro senza data.</w:t>
      </w:r>
      <w:r>
        <w:rPr>
          <w:rFonts w:ascii="Barlow Semi Condensed" w:cs="Barlow Semi Condensed" w:eastAsia="Barlow Semi Condensed" w:hAnsi="Barlow Semi Condensed"/>
          <w:sz w:val="24"/>
          <w:szCs w:val="24"/>
        </w:rPr>
        <w:t xml:space="preserve"> Fasanaro intitola un paragrafo «Dopo il riconoscimento, Moro incontra Honecker», e questo è quanto: il territorio non fornisce né data né sede né verbale. Stato Zero con tre sedi di chiusura — il volume di Fasanaro con le sue note, le carte morotee fra Senato e Archivio centrale dello Stato, i fondi della SED presso il Bundesarchiv. Un titolo di paragrafo non è un accertamento.</w:t>
      </w:r>
    </w:p>
    <w:p>
      <w:pPr>
        <w:spacing w:after="120" w:line="276"/>
        <w:jc w:val="both"/>
      </w:pPr>
      <w:r>
        <w:rPr>
          <w:rFonts w:ascii="Barlow Semi Condensed" w:cs="Barlow Semi Condensed" w:eastAsia="Barlow Semi Condensed" w:hAnsi="Barlow Semi Condensed"/>
          <w:b/>
          <w:bCs/>
          <w:sz w:val="24"/>
          <w:szCs w:val="24"/>
        </w:rPr>
        <w:t xml:space="preserve">2697 · Il bilaterale che il corpus possedeva.</w:t>
      </w:r>
      <w:r>
        <w:rPr>
          <w:rFonts w:ascii="Barlow Semi Condensed" w:cs="Barlow Semi Condensed" w:eastAsia="Barlow Semi Condensed" w:hAnsi="Barlow Semi Condensed"/>
          <w:sz w:val="24"/>
          <w:szCs w:val="24"/>
        </w:rPr>
        <w:t xml:space="preserve"> Il dossier tedesco registra fra i propri esiti negativi che gli incontri con Brandt non emergono dalle fonti edite; il corpus lo corregge, e la correzione sta ai blocchi 364 e 625 dell'opera: la cronologia ufficiale della fondazione intitolata al cancelliere documenta un bilaterale a Roma il 31 agosto e il primo settembre 1969. Restano inferite le presenze alle visite romane del luglio e del novembre 1970.</w:t>
      </w:r>
    </w:p>
    <w:p>
      <w:pPr>
        <w:spacing w:after="120" w:line="276"/>
        <w:jc w:val="both"/>
      </w:pPr>
      <w:r>
        <w:rPr>
          <w:rFonts w:ascii="Barlow Semi Condensed" w:cs="Barlow Semi Condensed" w:eastAsia="Barlow Semi Condensed" w:hAnsi="Barlow Semi Condensed"/>
          <w:b/>
          <w:bCs/>
          <w:sz w:val="24"/>
          <w:szCs w:val="24"/>
        </w:rPr>
        <w:t xml:space="preserve">2698 · I filmati dell'ambasciatore a Bonn.</w:t>
      </w:r>
      <w:r>
        <w:rPr>
          <w:rFonts w:ascii="Barlow Semi Condensed" w:cs="Barlow Semi Condensed" w:eastAsia="Barlow Semi Condensed" w:hAnsi="Barlow Semi Condensed"/>
          <w:sz w:val="24"/>
          <w:szCs w:val="24"/>
        </w:rPr>
        <w:t xml:space="preserve"> Il documentario dei filmati amatoriali dell'ambasciatore Mario Luciolli, in carica a Bonn dal 1964 al 1976, mostra nel 1971 a Bad Godesberg Colombo e Moro all'Ambasciata d'Italia in un ricevimento cui presero parte Genscher e Scheel, e Moro di nuovo nell'area di Bonn nel 1972. Le datazioni sono etichette d'archivista. Bersaglio visivo: verificare fotogramma per fotogramma se vi compaia una presenza americana.</w:t>
      </w:r>
    </w:p>
    <w:p>
      <w:pPr>
        <w:spacing w:after="120" w:line="276"/>
        <w:jc w:val="both"/>
      </w:pPr>
      <w:r>
        <w:rPr>
          <w:rFonts w:ascii="Barlow Semi Condensed" w:cs="Barlow Semi Condensed" w:eastAsia="Barlow Semi Condensed" w:hAnsi="Barlow Semi Condensed"/>
          <w:b/>
          <w:bCs/>
          <w:sz w:val="24"/>
          <w:szCs w:val="24"/>
        </w:rPr>
        <w:t xml:space="preserve">2699 · Stoll, la data e lo statuto.</w:t>
      </w:r>
      <w:r>
        <w:rPr>
          <w:rFonts w:ascii="Barlow Semi Condensed" w:cs="Barlow Semi Condensed" w:eastAsia="Barlow Semi Condensed" w:hAnsi="Barlow Semi Condensed"/>
          <w:sz w:val="24"/>
          <w:szCs w:val="24"/>
        </w:rPr>
        <w:t xml:space="preserve"> La morte a Düsseldorf del militante della Rote Armee Fraktion Willy Peter Stoll è corretta dal territorio al 6 settembre 1978, e la verifica aggiunge che la dinamica riferita è la versione ufficiale delle forze dell'ordine, non un accertamento. Le dichiarazioni di Patrizio Peci su contatti con Mario Moretti restano dichiarazioni. Il filone si tratta ai blocchi 88, 104 e 105 dei cantieri, e non incrocia questo nome.</w:t>
      </w:r>
    </w:p>
    <w:p>
      <w:pPr>
        <w:spacing w:after="120" w:line="276"/>
        <w:jc w:val="both"/>
      </w:pPr>
      <w:r>
        <w:rPr>
          <w:rFonts w:ascii="Barlow Semi Condensed" w:cs="Barlow Semi Condensed" w:eastAsia="Barlow Semi Condensed" w:hAnsi="Barlow Semi Condensed"/>
          <w:b/>
          <w:bCs/>
          <w:sz w:val="24"/>
          <w:szCs w:val="24"/>
        </w:rPr>
        <w:t xml:space="preserve">2700 · Bilancio: zero ponti, molte sedi.</w:t>
      </w:r>
      <w:r>
        <w:rPr>
          <w:rFonts w:ascii="Barlow Semi Condensed" w:cs="Barlow Semi Condensed" w:eastAsia="Barlow Semi Condensed" w:hAnsi="Barlow Semi Condensed"/>
          <w:sz w:val="24"/>
          <w:szCs w:val="24"/>
        </w:rPr>
        <w:t xml:space="preserve"> Questa serie si chiude senza alcun ponte di primo piano fra il nome e il territorio. Ha misurato due zeri e due affioramenti — la potenza firmataria del 3 settembre 1971 e la svalutazione del dollaro del febbraio 1973 —, ha tenuto al terzo piano l'insofferenza di Helsinki e ha nominato le sedi che chiuderebbero il resto. Un'assenza dichiarata bene vale più di un ponte suggerito.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trentaseiesima — La Farnesina: Portogallo e Santa Sede</w:t>
      </w:r>
    </w:p>
    <w:p>
      <w:pPr>
        <w:spacing w:after="120" w:line="276"/>
        <w:jc w:val="both"/>
      </w:pPr>
      <w:r>
        <w:rPr>
          <w:rFonts w:ascii="Barlow Semi Condensed" w:cs="Barlow Semi Condensed" w:eastAsia="Barlow Semi Condensed" w:hAnsi="Barlow Semi Condensed"/>
          <w:i/>
          <w:iCs/>
          <w:sz w:val="24"/>
          <w:szCs w:val="24"/>
        </w:rPr>
        <w:t xml:space="preserve">Blocchi 2701-2780.</w:t>
      </w:r>
    </w:p>
    <w:p>
      <w:pPr>
        <w:spacing w:after="120" w:line="276"/>
        <w:jc w:val="both"/>
      </w:pPr>
      <w:r>
        <w:rPr>
          <w:rFonts w:ascii="Barlow Semi Condensed" w:cs="Barlow Semi Condensed" w:eastAsia="Barlow Semi Condensed" w:hAnsi="Barlow Semi Condensed"/>
          <w:b/>
          <w:bCs/>
          <w:sz w:val="24"/>
          <w:szCs w:val="24"/>
        </w:rPr>
        <w:t xml:space="preserve">2701 · Il perimetro di questa serie.</w:t>
      </w:r>
      <w:r>
        <w:rPr>
          <w:rFonts w:ascii="Barlow Semi Condensed" w:cs="Barlow Semi Condensed" w:eastAsia="Barlow Semi Condensed" w:hAnsi="Barlow Semi Condensed"/>
          <w:sz w:val="24"/>
          <w:szCs w:val="24"/>
        </w:rPr>
        <w:t xml:space="preserve"> La serie non triangola un'idea ma due file, portogallo-opus-dei.md e portogallo-santa-sede-1969-1974.md, entrambi nella cartella originali della Farnesina, dodici capitoli ciascuno, con TL;DR, Key Findings, Recommendations e Caveats. Tutto ciò che segue nasce dalla loro lettura integrale. Fuori da quel perimetro nulla viene affermato; dentro, ogni assenza è misurata prima di essere interpretata, e la misura precede sempre la lettura.</w:t>
      </w:r>
    </w:p>
    <w:p>
      <w:pPr>
        <w:spacing w:after="120" w:line="276"/>
        <w:jc w:val="both"/>
      </w:pPr>
      <w:r>
        <w:rPr>
          <w:rFonts w:ascii="Barlow Semi Condensed" w:cs="Barlow Semi Condensed" w:eastAsia="Barlow Semi Condensed" w:hAnsi="Barlow Semi Condensed"/>
          <w:b/>
          <w:bCs/>
          <w:sz w:val="24"/>
          <w:szCs w:val="24"/>
        </w:rPr>
        <w:t xml:space="preserve">2702 · Due occorrenze, contate a mano.</w:t>
      </w:r>
      <w:r>
        <w:rPr>
          <w:rFonts w:ascii="Barlow Semi Condensed" w:cs="Barlow Semi Condensed" w:eastAsia="Barlow Semi Condensed" w:hAnsi="Barlow Semi Condensed"/>
          <w:sz w:val="24"/>
          <w:szCs w:val="24"/>
        </w:rPr>
        <w:t xml:space="preserve"> La verifica meccanica sul territorio dà un esito esatto, e va scritto per primo: la stringa Kissinger compare una sola volta in portogallo-opus-dei.md e una sola volta in portogallo-santa-sede-1969-1974.md. Due occorrenze in ventiquattro capitoli, poco meno di centomila caratteri. È la misura del nome dentro il territorio assegnato, ed è il pavimento su cui poggiano gli ottanta bersagli che seguono.</w:t>
      </w:r>
    </w:p>
    <w:p>
      <w:pPr>
        <w:spacing w:after="120" w:line="276"/>
        <w:jc w:val="both"/>
      </w:pPr>
      <w:r>
        <w:rPr>
          <w:rFonts w:ascii="Barlow Semi Condensed" w:cs="Barlow Semi Condensed" w:eastAsia="Barlow Semi Condensed" w:hAnsi="Barlow Semi Condensed"/>
          <w:b/>
          <w:bCs/>
          <w:sz w:val="24"/>
          <w:szCs w:val="24"/>
        </w:rPr>
        <w:t xml:space="preserve">2703 · Le due occorrenze non pesano uguale.</w:t>
      </w:r>
      <w:r>
        <w:rPr>
          <w:rFonts w:ascii="Barlow Semi Condensed" w:cs="Barlow Semi Condensed" w:eastAsia="Barlow Semi Condensed" w:hAnsi="Barlow Semi Condensed"/>
          <w:sz w:val="24"/>
          <w:szCs w:val="24"/>
        </w:rPr>
        <w:t xml:space="preserve"> Delle due, una cita un documento diplomatico edito nei Foreign Relations of the United States; l'altra riporta una qualificazione di stato d'animo tratta da un articolo di quotidiano. Sommarle sarebbe l'errore che il corpus vieta: la prima vale per il documento che nomina, la seconda per la fonte che la riferisce. Si separano qui, e restano separate in tutta la serie.</w:t>
      </w:r>
    </w:p>
    <w:p>
      <w:pPr>
        <w:spacing w:after="120" w:line="276"/>
        <w:jc w:val="both"/>
      </w:pPr>
      <w:r>
        <w:rPr>
          <w:rFonts w:ascii="Barlow Semi Condensed" w:cs="Barlow Semi Condensed" w:eastAsia="Barlow Semi Condensed" w:hAnsi="Barlow Semi Condensed"/>
          <w:b/>
          <w:bCs/>
          <w:sz w:val="24"/>
          <w:szCs w:val="24"/>
        </w:rPr>
        <w:t xml:space="preserve">2704 · La frase del settimo capitolo.</w:t>
      </w:r>
      <w:r>
        <w:rPr>
          <w:rFonts w:ascii="Barlow Semi Condensed" w:cs="Barlow Semi Condensed" w:eastAsia="Barlow Semi Condensed" w:hAnsi="Barlow Semi Condensed"/>
          <w:sz w:val="24"/>
          <w:szCs w:val="24"/>
        </w:rPr>
        <w:t xml:space="preserve"> Nel settimo capitolo di portogallo-opus-dei.md, dedicato a Moro ministro e al Portogallo, si legge che nei FRUS Kissinger paventava per Lisbona «not a Communist take-over, but a leftist neutralist regime remaining within NATO», con rinvio al documento 153 del volume E-15 parte 2. È accertamento di piano 1 sul rapporto fra Washington e Lisbona: attesta una valutazione, non un'azione, e nulla dice dell'Italia.</w:t>
      </w:r>
    </w:p>
    <w:p>
      <w:pPr>
        <w:spacing w:after="120" w:line="276"/>
        <w:jc w:val="both"/>
      </w:pPr>
      <w:r>
        <w:rPr>
          <w:rFonts w:ascii="Barlow Semi Condensed" w:cs="Barlow Semi Condensed" w:eastAsia="Barlow Semi Condensed" w:hAnsi="Barlow Semi Condensed"/>
          <w:b/>
          <w:bCs/>
          <w:sz w:val="24"/>
          <w:szCs w:val="24"/>
        </w:rPr>
        <w:t xml:space="preserve">2705 · L'insofferenza attribuita dal decimo capitolo.</w:t>
      </w:r>
      <w:r>
        <w:rPr>
          <w:rFonts w:ascii="Barlow Semi Condensed" w:cs="Barlow Semi Condensed" w:eastAsia="Barlow Semi Condensed" w:hAnsi="Barlow Semi Condensed"/>
          <w:sz w:val="24"/>
          <w:szCs w:val="24"/>
        </w:rPr>
        <w:t xml:space="preserve"> Nel decimo capitolo di portogallo-santa-sede-1969-1974.md si scrive che Moro, «sfidando l'insofferenza di Kissinger», ottenne il coinvolgimento formale della Comunità europea nella firma dell'Atto finale. La fonte è un articolo di «Avvenire», non un verbale negoziale. Il fatto istituzionale — la duplice qualità del firmatario italiano — regge; l'attributo psicologico no, e si registra al terzo piano finché un atto della trattativa non lo sostenga.</w:t>
      </w:r>
    </w:p>
    <w:p>
      <w:pPr>
        <w:spacing w:after="120" w:line="276"/>
        <w:jc w:val="both"/>
      </w:pPr>
      <w:r>
        <w:rPr>
          <w:rFonts w:ascii="Barlow Semi Condensed" w:cs="Barlow Semi Condensed" w:eastAsia="Barlow Semi Condensed" w:hAnsi="Barlow Semi Condensed"/>
          <w:b/>
          <w:bCs/>
          <w:sz w:val="24"/>
          <w:szCs w:val="24"/>
        </w:rPr>
        <w:t xml:space="preserve">2706 · I nomi che il territorio tace.</w:t>
      </w:r>
      <w:r>
        <w:rPr>
          <w:rFonts w:ascii="Barlow Semi Condensed" w:cs="Barlow Semi Condensed" w:eastAsia="Barlow Semi Condensed" w:hAnsi="Barlow Semi Condensed"/>
          <w:sz w:val="24"/>
          <w:szCs w:val="24"/>
        </w:rPr>
        <w:t xml:space="preserve"> Verifica per stringhe, eseguita sui due file: Ford zero, Scowcroft zero, Leone zero, Segretario di Stato zero, 25 settembre 1974 zero, Guerzoni zero. Il territorio portoghese non tocca nessuno dei nomi e delle date su cui poggia la controversia italiana. Non è reticenza: è specializzazione delle fonti, e come tale va diagnosticata prima di essere interrogata sulla struttura del mondo.</w:t>
      </w:r>
    </w:p>
    <w:p>
      <w:pPr>
        <w:spacing w:after="120" w:line="276"/>
        <w:jc w:val="both"/>
      </w:pPr>
      <w:r>
        <w:rPr>
          <w:rFonts w:ascii="Barlow Semi Condensed" w:cs="Barlow Semi Condensed" w:eastAsia="Barlow Semi Condensed" w:hAnsi="Barlow Semi Condensed"/>
          <w:b/>
          <w:bCs/>
          <w:sz w:val="24"/>
          <w:szCs w:val="24"/>
        </w:rPr>
        <w:t xml:space="preserve">2707 · La carica mai nominata.</w:t>
      </w:r>
      <w:r>
        <w:rPr>
          <w:rFonts w:ascii="Barlow Semi Condensed" w:cs="Barlow Semi Condensed" w:eastAsia="Barlow Semi Condensed" w:hAnsi="Barlow Semi Condensed"/>
          <w:sz w:val="24"/>
          <w:szCs w:val="24"/>
        </w:rPr>
        <w:t xml:space="preserve"> Nei due documenti non compare in alcun punto la qualifica dell'uomo: né Assistente del Presidente per gli affari di sicurezza nazionale, dal 20 gennaio 1969 al 3 novembre 1975, né Segretario di Stato dal 22 settembre 1973 al 20 gennaio 1977. Le due occorrenze del cognome stanno nude, senza titolo e senza data. Chi le riprenda restituisca la carica esatta, perché da essa dipende ogni valutazione di competenza.</w:t>
      </w:r>
    </w:p>
    <w:p>
      <w:pPr>
        <w:spacing w:after="120" w:line="276"/>
        <w:jc w:val="both"/>
      </w:pPr>
      <w:r>
        <w:rPr>
          <w:rFonts w:ascii="Barlow Semi Condensed" w:cs="Barlow Semi Condensed" w:eastAsia="Barlow Semi Condensed" w:hAnsi="Barlow Semi Condensed"/>
          <w:b/>
          <w:bCs/>
          <w:sz w:val="24"/>
          <w:szCs w:val="24"/>
        </w:rPr>
        <w:t xml:space="preserve">2708 · Il ponte sta in un altro file.</w:t>
      </w:r>
      <w:r>
        <w:rPr>
          <w:rFonts w:ascii="Barlow Semi Condensed" w:cs="Barlow Semi Condensed" w:eastAsia="Barlow Semi Condensed" w:hAnsi="Barlow Semi Condensed"/>
          <w:sz w:val="24"/>
          <w:szCs w:val="24"/>
        </w:rPr>
        <w:t xml:space="preserve"> Il solo rapporto di piano 1 fra questo nome e il Portogallo che il corpus possieda non sta nel territorio portoghese: sta nell'apparato K-3 dell'opera in mille blocchi, dove si accerta che il verbale dello Studio Ovale del 25 settembre 1974 argomenta il rifiuto di scambiare informazioni militari «col precedente portoghese richiamato». Il Portogallo vi compare come argomento, dentro un colloquio italiano.</w:t>
      </w:r>
    </w:p>
    <w:p>
      <w:pPr>
        <w:spacing w:after="120" w:line="276"/>
        <w:jc w:val="both"/>
      </w:pPr>
      <w:r>
        <w:rPr>
          <w:rFonts w:ascii="Barlow Semi Condensed" w:cs="Barlow Semi Condensed" w:eastAsia="Barlow Semi Condensed" w:hAnsi="Barlow Semi Condensed"/>
          <w:b/>
          <w:bCs/>
          <w:sz w:val="24"/>
          <w:szCs w:val="24"/>
        </w:rPr>
        <w:t xml:space="preserve">2709 · Un ponte che nessun blocco usò.</w:t>
      </w:r>
      <w:r>
        <w:rPr>
          <w:rFonts w:ascii="Barlow Semi Condensed" w:cs="Barlow Semi Condensed" w:eastAsia="Barlow Semi Condensed" w:hAnsi="Barlow Semi Condensed"/>
          <w:sz w:val="24"/>
          <w:szCs w:val="24"/>
        </w:rPr>
        <w:t xml:space="preserve"> Verifica interna, eseguita: la formula «precedente portoghese» ricorre una sola volta nell'intero file dei mille blocchi, e nell'apparato, non in un blocco. Nessuna delle tredici serie concettuali la impiega, comprese quelle portoghesi dei blocchi 323-335. Un accertamento già acquisito è rimasto inutilizzato per mille blocchi: è il tipo di vuoto che solo una campagna territoriale scopre, e va verbalizzato come tale.</w:t>
      </w:r>
    </w:p>
    <w:p>
      <w:pPr>
        <w:spacing w:after="120" w:line="276"/>
        <w:jc w:val="both"/>
      </w:pPr>
      <w:r>
        <w:rPr>
          <w:rFonts w:ascii="Barlow Semi Condensed" w:cs="Barlow Semi Condensed" w:eastAsia="Barlow Semi Condensed" w:hAnsi="Barlow Semi Condensed"/>
          <w:b/>
          <w:bCs/>
          <w:sz w:val="24"/>
          <w:szCs w:val="24"/>
        </w:rPr>
        <w:t xml:space="preserve">2710 · Che cosa smentirebbe questa serie (serie XXXVI).</w:t>
      </w:r>
      <w:r>
        <w:rPr>
          <w:rFonts w:ascii="Barlow Semi Condensed" w:cs="Barlow Semi Condensed" w:eastAsia="Barlow Semi Condensed" w:hAnsi="Barlow Semi Condensed"/>
          <w:sz w:val="24"/>
          <w:szCs w:val="24"/>
        </w:rPr>
        <w:t xml:space="preserve"> Bersaglio di smentita generale, dichiarato in apertura perché valga su tutti gli ottanta. Basterebbe un solo documento di provenienza — un telegramma, un memorandum, un appunto d'ambasciata — che nominasse insieme questo nome e il dossier portoghese trattato da Moro ministro, per trasformare l'intero impianto da Stato Zero in accertamento. Finché non compare, le convergenze restano al secondo piano e vi restano scritte.</w:t>
      </w:r>
    </w:p>
    <w:p>
      <w:pPr>
        <w:spacing w:after="120" w:line="276"/>
        <w:jc w:val="both"/>
      </w:pPr>
      <w:r>
        <w:rPr>
          <w:rFonts w:ascii="Barlow Semi Condensed" w:cs="Barlow Semi Condensed" w:eastAsia="Barlow Semi Condensed" w:hAnsi="Barlow Semi Condensed"/>
          <w:b/>
          <w:bCs/>
          <w:sz w:val="24"/>
          <w:szCs w:val="24"/>
        </w:rPr>
        <w:t xml:space="preserve">2711 · La bibliografia della premessa metodologica.</w:t>
      </w:r>
      <w:r>
        <w:rPr>
          <w:rFonts w:ascii="Barlow Semi Condensed" w:cs="Barlow Semi Condensed" w:eastAsia="Barlow Semi Condensed" w:hAnsi="Barlow Semi Condensed"/>
          <w:sz w:val="24"/>
          <w:szCs w:val="24"/>
        </w:rPr>
        <w:t xml:space="preserve"> La premessa del primo capitolo elenca le fonti impiegate: opusdei.org, Lusitania Sacra col doi 10.34632/lusitaniasacra.2022.11811 di Miguel de Salis Amaral, l'inchiesta Vilela–Brandão, aldomoro.eu, aldomorodigitale.unibo.it, la Nuova Rivista Storica, il CIA FOIA Reading Room e i FRUS. In quell'elenco non figura alcuna fonte personale statunitense: né carte private, né memorie, né raccolte di conversazioni. La lacuna è d'impianto, non d'esito.</w:t>
      </w:r>
    </w:p>
    <w:p>
      <w:pPr>
        <w:spacing w:after="120" w:line="276"/>
        <w:jc w:val="both"/>
      </w:pPr>
      <w:r>
        <w:rPr>
          <w:rFonts w:ascii="Barlow Semi Condensed" w:cs="Barlow Semi Condensed" w:eastAsia="Barlow Semi Condensed" w:hAnsi="Barlow Semi Condensed"/>
          <w:b/>
          <w:bCs/>
          <w:sz w:val="24"/>
          <w:szCs w:val="24"/>
        </w:rPr>
        <w:t xml:space="preserve">2712 · Il 1945 e l'aritmetica anagrafica.</w:t>
      </w:r>
      <w:r>
        <w:rPr>
          <w:rFonts w:ascii="Barlow Semi Condensed" w:cs="Barlow Semi Condensed" w:eastAsia="Barlow Semi Condensed" w:hAnsi="Barlow Semi Condensed"/>
          <w:sz w:val="24"/>
          <w:szCs w:val="24"/>
        </w:rPr>
        <w:t xml:space="preserve"> L'insediamento portoghese dell'ente è datato al 5 febbraio 1945, con la divergenza dichiarata dell'inchiesta Vilela–Brandão che lo colloca al 1946. In quel febbraio l'uomo di questa serie, nato a Fürth il 27 maggio 1923, era un soldato ventunenne. La contemporaneità non esiste nemmeno come cornice: qui non c'è Stato Zero da dichiarare, c'è un accostamento da escludere in partenza.</w:t>
      </w:r>
    </w:p>
    <w:p>
      <w:pPr>
        <w:spacing w:after="120" w:line="276"/>
        <w:jc w:val="both"/>
      </w:pPr>
      <w:r>
        <w:rPr>
          <w:rFonts w:ascii="Barlow Semi Condensed" w:cs="Barlow Semi Condensed" w:eastAsia="Barlow Semi Condensed" w:hAnsi="Barlow Semi Condensed"/>
          <w:b/>
          <w:bCs/>
          <w:sz w:val="24"/>
          <w:szCs w:val="24"/>
        </w:rPr>
        <w:t xml:space="preserve">2713 · I tre fascicoli della polizia politica.</w:t>
      </w:r>
      <w:r>
        <w:rPr>
          <w:rFonts w:ascii="Barlow Semi Condensed" w:cs="Barlow Semi Condensed" w:eastAsia="Barlow Semi Condensed" w:hAnsi="Barlow Semi Condensed"/>
          <w:sz w:val="24"/>
          <w:szCs w:val="24"/>
        </w:rPr>
        <w:t xml:space="preserve"> Tre pezzi da leggere in originale alla Torre do Tombo sono nominati nel terzo capitolo: la nota non firmata del 1961 «As Actividades do Opus Dei em Portugal», il rapporto del settembre 1963 e il relatório del gennaio 1964 sulle «tentativas de penetração». Quesito per la sala di studio: quei fascicoli annotano funzionari statunitensi accanto a Caetano, Adriano Moreira e Daniel Barbosa? La risposta è ignota.</w:t>
      </w:r>
    </w:p>
    <w:p>
      <w:pPr>
        <w:spacing w:after="120" w:line="276"/>
        <w:jc w:val="both"/>
      </w:pPr>
      <w:r>
        <w:rPr>
          <w:rFonts w:ascii="Barlow Semi Condensed" w:cs="Barlow Semi Condensed" w:eastAsia="Barlow Semi Condensed" w:hAnsi="Barlow Semi Condensed"/>
          <w:b/>
          <w:bCs/>
          <w:sz w:val="24"/>
          <w:szCs w:val="24"/>
        </w:rPr>
        <w:t xml:space="preserve">2714 · Sospetto annotato, non condotta provata.</w:t>
      </w:r>
      <w:r>
        <w:rPr>
          <w:rFonts w:ascii="Barlow Semi Condensed" w:cs="Barlow Semi Condensed" w:eastAsia="Barlow Semi Condensed" w:hAnsi="Barlow Semi Condensed"/>
          <w:sz w:val="24"/>
          <w:szCs w:val="24"/>
        </w:rPr>
        <w:t xml:space="preserve"> La regola che il terzo capitolo applica alla PIDE si trasferisce integralmente a questo nome: ciò che una polizia annota è prova di ciò che essa temeva, non di ciò che accadde. Se in quei fascicoli comparisse un riferimento a Washington, attesterebbe un sospetto portoghese del 1961-1964 e nient'altro. Il salto dall'annotazione al fatto è il passaggio che questa serie non compie.</w:t>
      </w:r>
    </w:p>
    <w:p>
      <w:pPr>
        <w:spacing w:after="120" w:line="276"/>
        <w:jc w:val="both"/>
      </w:pPr>
      <w:r>
        <w:rPr>
          <w:rFonts w:ascii="Barlow Semi Condensed" w:cs="Barlow Semi Condensed" w:eastAsia="Barlow Semi Condensed" w:hAnsi="Barlow Semi Condensed"/>
          <w:b/>
          <w:bCs/>
          <w:sz w:val="24"/>
          <w:szCs w:val="24"/>
        </w:rPr>
        <w:t xml:space="preserve">2715 · Madrid 1969, e la data d'incarico.</w:t>
      </w:r>
      <w:r>
        <w:rPr>
          <w:rFonts w:ascii="Barlow Semi Condensed" w:cs="Barlow Semi Condensed" w:eastAsia="Barlow Semi Condensed" w:hAnsi="Barlow Semi Condensed"/>
          <w:sz w:val="24"/>
          <w:szCs w:val="24"/>
        </w:rPr>
        <w:t xml:space="preserve"> L'ingresso di Gregorio López Bravo agli Esteri spagnoli è datato dal quarto capitolo all'ottobre 1969, con rinvio al documento 303 del volume FRUS XLI. In quel mese l'uomo di questa serie era Assistente per la sicurezza nazionale da nove mesi. La coincidenza di calendario è reale e non stabilisce nulla: quel documento è una nota redazionale sullo scandalo MATESA, e non lo nomina.</w:t>
      </w:r>
    </w:p>
    <w:p>
      <w:pPr>
        <w:spacing w:after="120" w:line="276"/>
        <w:jc w:val="both"/>
      </w:pPr>
      <w:r>
        <w:rPr>
          <w:rFonts w:ascii="Barlow Semi Condensed" w:cs="Barlow Semi Condensed" w:eastAsia="Barlow Semi Condensed" w:hAnsi="Barlow Semi Condensed"/>
          <w:b/>
          <w:bCs/>
          <w:sz w:val="24"/>
          <w:szCs w:val="24"/>
        </w:rPr>
        <w:t xml:space="preserve">2716 · L'avvertenza di Paul Preston.</w:t>
      </w:r>
      <w:r>
        <w:rPr>
          <w:rFonts w:ascii="Barlow Semi Condensed" w:cs="Barlow Semi Condensed" w:eastAsia="Barlow Semi Condensed" w:hAnsi="Barlow Semi Condensed"/>
          <w:sz w:val="24"/>
          <w:szCs w:val="24"/>
        </w:rPr>
        <w:t xml:space="preserve"> Paul Preston è citato nello stesso capitolo: l'arrivo dei tecnocrati «no fue ni siniestra ni astuta, sino más bien una respuesta pragmática y sin esquema fijo». È una regola di lettura prima che un giudizio storiografico, e vale contro ogni disegno unico, compreso quello che si vorrebbe costruire attorno a un solo nome americano. Si adotta qui come criterio e si applica agli ottanta blocchi.</w:t>
      </w:r>
    </w:p>
    <w:p>
      <w:pPr>
        <w:spacing w:after="120" w:line="276"/>
        <w:jc w:val="both"/>
      </w:pPr>
      <w:r>
        <w:rPr>
          <w:rFonts w:ascii="Barlow Semi Condensed" w:cs="Barlow Semi Condensed" w:eastAsia="Barlow Semi Condensed" w:hAnsi="Barlow Semi Condensed"/>
          <w:b/>
          <w:bCs/>
          <w:sz w:val="24"/>
          <w:szCs w:val="24"/>
        </w:rPr>
        <w:t xml:space="preserve">2717 · Le guerre coloniali, doppio silenzio.</w:t>
      </w:r>
      <w:r>
        <w:rPr>
          <w:rFonts w:ascii="Barlow Semi Condensed" w:cs="Barlow Semi Condensed" w:eastAsia="Barlow Semi Condensed" w:hAnsi="Barlow Semi Condensed"/>
          <w:sz w:val="24"/>
          <w:szCs w:val="24"/>
        </w:rPr>
        <w:t xml:space="preserve"> Sulla posizione dell'ente riguardo alle guerre coloniali il quinto capitolo dichiara Stato Zero, indicando l'Archivio Generale della Prelatura a Roma e i fondi diocesani di Nampula, Beira, Tete e del Patriarcato di Lisbona. Su questo nome non pone nemmeno la domanda. Il secondo Stato Zero è dunque non dichiarato, e si dichiara qui: stessa sede ecclesiastica, più i FRUS sull'Africa australe.</w:t>
      </w:r>
    </w:p>
    <w:p>
      <w:pPr>
        <w:spacing w:after="120" w:line="276"/>
        <w:jc w:val="both"/>
      </w:pPr>
      <w:r>
        <w:rPr>
          <w:rFonts w:ascii="Barlow Semi Condensed" w:cs="Barlow Semi Condensed" w:eastAsia="Barlow Semi Condensed" w:hAnsi="Barlow Semi Condensed"/>
          <w:b/>
          <w:bCs/>
          <w:sz w:val="24"/>
          <w:szCs w:val="24"/>
        </w:rPr>
        <w:t xml:space="preserve">2718 · Amaro da Costa, appartenenza e condotta.</w:t>
      </w:r>
      <w:r>
        <w:rPr>
          <w:rFonts w:ascii="Barlow Semi Condensed" w:cs="Barlow Semi Condensed" w:eastAsia="Barlow Semi Condensed" w:hAnsi="Barlow Semi Condensed"/>
          <w:sz w:val="24"/>
          <w:szCs w:val="24"/>
        </w:rPr>
        <w:t xml:space="preserve"> L'appartenenza di Adelino Amaro da Costa all'ente e la sua fondazione del CDS il 19 luglio 1974 sono documentate nel sesto capitolo, che ricorda come l'appartenenza non provi la condotta dell'istituzione. La clausola vale anche in direzione opposta: nessun documento del territorio lega quell'uomo a interlocutori statunitensi, e la sua traiettoria non può essere usata come tramite verso il nome di questa serie.</w:t>
      </w:r>
    </w:p>
    <w:p>
      <w:pPr>
        <w:spacing w:after="120" w:line="276"/>
        <w:jc w:val="both"/>
      </w:pPr>
      <w:r>
        <w:rPr>
          <w:rFonts w:ascii="Barlow Semi Condensed" w:cs="Barlow Semi Condensed" w:eastAsia="Barlow Semi Condensed" w:hAnsi="Barlow Semi Condensed"/>
          <w:b/>
          <w:bCs/>
          <w:sz w:val="24"/>
          <w:szCs w:val="24"/>
        </w:rPr>
        <w:t xml:space="preserve">2719 · Camarate cade fuori perimetro.</w:t>
      </w:r>
      <w:r>
        <w:rPr>
          <w:rFonts w:ascii="Barlow Semi Condensed" w:cs="Barlow Semi Condensed" w:eastAsia="Barlow Semi Condensed" w:hAnsi="Barlow Semi Condensed"/>
          <w:sz w:val="24"/>
          <w:szCs w:val="24"/>
        </w:rPr>
        <w:t xml:space="preserve"> Il disastro aereo di Camarate del 4 dicembre 1980, che uccise Amaro da Costa e il primo ministro Francisco Sá Carneiro, è registrato come fatto. Cade tre anni e dieci mesi dopo la cessazione dell'ultimo incarico pubblico dell'uomo di questa serie, il 20 gennaio 1977. La regola cronologica basta a chiudere il punto prima che si apra, e va scritta perché la pubblicistica lo apre.</w:t>
      </w:r>
    </w:p>
    <w:p>
      <w:pPr>
        <w:spacing w:after="120" w:line="276"/>
        <w:jc w:val="both"/>
      </w:pPr>
      <w:r>
        <w:rPr>
          <w:rFonts w:ascii="Barlow Semi Condensed" w:cs="Barlow Semi Condensed" w:eastAsia="Barlow Semi Condensed" w:hAnsi="Barlow Semi Condensed"/>
          <w:b/>
          <w:bCs/>
          <w:sz w:val="24"/>
          <w:szCs w:val="24"/>
        </w:rPr>
        <w:t xml:space="preserve">2720 · Che cosa attesta il documento 153.</w:t>
      </w:r>
      <w:r>
        <w:rPr>
          <w:rFonts w:ascii="Barlow Semi Condensed" w:cs="Barlow Semi Condensed" w:eastAsia="Barlow Semi Condensed" w:hAnsi="Barlow Semi Condensed"/>
          <w:sz w:val="24"/>
          <w:szCs w:val="24"/>
        </w:rPr>
        <w:t xml:space="preserve"> La formula del documento 153 nomina con precisione l'oggetto del timore: non la presa del potere comunista, ma un regime neutralista di sinistra che restasse dentro l'Alleanza. Attesta una valutazione datata e attribuita. Non attesta un'istruzione, non attesta un'esecuzione, non attesta alcuna proiezione italiana. Chi la trasferisce a Roma senza una carta italiana scambia l'analogia per omologia, e il corpus lo vieta.</w:t>
      </w:r>
    </w:p>
    <w:p>
      <w:pPr>
        <w:spacing w:after="120" w:line="276"/>
        <w:jc w:val="both"/>
      </w:pPr>
      <w:r>
        <w:rPr>
          <w:rFonts w:ascii="Barlow Semi Condensed" w:cs="Barlow Semi Condensed" w:eastAsia="Barlow Semi Condensed" w:hAnsi="Barlow Semi Condensed"/>
          <w:b/>
          <w:bCs/>
          <w:sz w:val="24"/>
          <w:szCs w:val="24"/>
        </w:rPr>
        <w:t xml:space="preserve">2721 · Moro e il Portogallo, sede unica.</w:t>
      </w:r>
      <w:r>
        <w:rPr>
          <w:rFonts w:ascii="Barlow Semi Condensed" w:cs="Barlow Semi Condensed" w:eastAsia="Barlow Semi Condensed" w:hAnsi="Barlow Semi Condensed"/>
          <w:sz w:val="24"/>
          <w:szCs w:val="24"/>
        </w:rPr>
        <w:t xml:space="preserve"> La chiusura del settimo capitolo vale come consegna operativa: il rapporto Moro-Portogallo non è documentato da fonti dirette reperibili e va ricostruito all'Archivio Storico Diplomatico della Farnesina, serie Portogallo 1969-1974, sede presso cui la ricerca resta interamente da condurre. Il quesito da portarvi si allarga qui di una riga soltanto: cercare, negli stessi faldoni, ogni menzione del Dipartimento di Stato.</w:t>
      </w:r>
    </w:p>
    <w:p>
      <w:pPr>
        <w:spacing w:after="120" w:line="276"/>
        <w:jc w:val="both"/>
      </w:pPr>
      <w:r>
        <w:rPr>
          <w:rFonts w:ascii="Barlow Semi Condensed" w:cs="Barlow Semi Condensed" w:eastAsia="Barlow Semi Condensed" w:hAnsi="Barlow Semi Condensed"/>
          <w:b/>
          <w:bCs/>
          <w:sz w:val="24"/>
          <w:szCs w:val="24"/>
        </w:rPr>
        <w:t xml:space="preserve">2722 · Il terzo termine che non c'è.</w:t>
      </w:r>
      <w:r>
        <w:rPr>
          <w:rFonts w:ascii="Barlow Semi Condensed" w:cs="Barlow Semi Condensed" w:eastAsia="Barlow Semi Condensed" w:hAnsi="Barlow Semi Condensed"/>
          <w:sz w:val="24"/>
          <w:szCs w:val="24"/>
        </w:rPr>
        <w:t xml:space="preserve"> Lo Stato Zero Moro–Opus Dei è fissato nell'ottavo capitolo e qualificato come acquisizione, con l'Archivio Aldo Moro fra Archivio centrale dello Stato e Archivio storico del Senato e la Fondazione Aldo Moro come sedi di chiusura. In quella coppia il nome di questa serie non entra neppure come terzo termine: non è escluso, non è cercato. Un'assenza mai interrogata è una domanda non posta.</w:t>
      </w:r>
    </w:p>
    <w:p>
      <w:pPr>
        <w:spacing w:after="120" w:line="276"/>
        <w:jc w:val="both"/>
      </w:pPr>
      <w:r>
        <w:rPr>
          <w:rFonts w:ascii="Barlow Semi Condensed" w:cs="Barlow Semi Condensed" w:eastAsia="Barlow Semi Condensed" w:hAnsi="Barlow Semi Condensed"/>
          <w:b/>
          <w:bCs/>
          <w:sz w:val="24"/>
          <w:szCs w:val="24"/>
        </w:rPr>
        <w:t xml:space="preserve">2723 · Il rapporto del 22 maggio 1970.</w:t>
      </w:r>
      <w:r>
        <w:rPr>
          <w:rFonts w:ascii="Barlow Semi Condensed" w:cs="Barlow Semi Condensed" w:eastAsia="Barlow Semi Condensed" w:hAnsi="Barlow Semi Condensed"/>
          <w:sz w:val="24"/>
          <w:szCs w:val="24"/>
        </w:rPr>
        <w:t xml:space="preserve"> Il Weekly Summary Special Report sul gabinetto franchista, protocollo CIA-RDP85T00875R001500020027-1, è riportato nel nono capitolo. È un prodotto d'agenzia, non un documento del Consiglio di sicurezza nazionale. Quesito preciso: risulta che sia stato trasmesso, riassunto o annotato al livello che l'uomo di questa serie allora occupava? Sede, gli Institutional Files del Consiglio e la collezione CREST del Reading Room.</w:t>
      </w:r>
    </w:p>
    <w:p>
      <w:pPr>
        <w:spacing w:after="120" w:line="276"/>
        <w:jc w:val="both"/>
      </w:pPr>
      <w:r>
        <w:rPr>
          <w:rFonts w:ascii="Barlow Semi Condensed" w:cs="Barlow Semi Condensed" w:eastAsia="Barlow Semi Condensed" w:hAnsi="Barlow Semi Condensed"/>
          <w:b/>
          <w:bCs/>
          <w:sz w:val="24"/>
          <w:szCs w:val="24"/>
        </w:rPr>
        <w:t xml:space="preserve">2724 · Nessun analogo portoghese, e la sede.</w:t>
      </w:r>
      <w:r>
        <w:rPr>
          <w:rFonts w:ascii="Barlow Semi Condensed" w:cs="Barlow Semi Condensed" w:eastAsia="Barlow Semi Condensed" w:hAnsi="Barlow Semi Condensed"/>
          <w:sz w:val="24"/>
          <w:szCs w:val="24"/>
        </w:rPr>
        <w:t xml:space="preserve"> Nello stesso capitolo si accerta l'esito negativo più netto del file: per il Portogallo non esiste alcun documento analogo a quello spagnolo del 22 maggio 1970. Lo Stato Zero è dichiarato, e la sede che lo chiuderebbe è l'interrogazione diretta dell'indice interno del Reading Room, più un'istanza FOIA mirata. Va conservata la clausola che il capitolo stesso scrive: l'interfaccia di ricerca non fu interrogabile.</w:t>
      </w:r>
    </w:p>
    <w:p>
      <w:pPr>
        <w:spacing w:after="120" w:line="276"/>
        <w:jc w:val="both"/>
      </w:pPr>
      <w:r>
        <w:rPr>
          <w:rFonts w:ascii="Barlow Semi Condensed" w:cs="Barlow Semi Condensed" w:eastAsia="Barlow Semi Condensed" w:hAnsi="Barlow Semi Condensed"/>
          <w:b/>
          <w:bCs/>
          <w:sz w:val="24"/>
          <w:szCs w:val="24"/>
        </w:rPr>
        <w:t xml:space="preserve">2725 · I due profili di Marcello Caetano.</w:t>
      </w:r>
      <w:r>
        <w:rPr>
          <w:rFonts w:ascii="Barlow Semi Condensed" w:cs="Barlow Semi Condensed" w:eastAsia="Barlow Semi Condensed" w:hAnsi="Barlow Semi Condensed"/>
          <w:sz w:val="24"/>
          <w:szCs w:val="24"/>
        </w:rPr>
        <w:t xml:space="preserve"> Due profili biografici su Marcello Caetano, documenti C06790244 e C06790246 rilasciati il 12 luglio 2019, e uno su Salazar, documento 06782148 del 1° settembre 1968, sono citati senza che alcuno dei tre menzioni l'ente confessionale. Quesito ulteriore, che il file non pone: recano quei documenti annotazioni di trasmissione o destinatari riferibili al Consiglio di sicurezza nazionale? Va verificato sulle prime pagine originali.</w:t>
      </w:r>
    </w:p>
    <w:p>
      <w:pPr>
        <w:spacing w:after="120" w:line="276"/>
        <w:jc w:val="both"/>
      </w:pPr>
      <w:r>
        <w:rPr>
          <w:rFonts w:ascii="Barlow Semi Condensed" w:cs="Barlow Semi Condensed" w:eastAsia="Barlow Semi Condensed" w:hAnsi="Barlow Semi Condensed"/>
          <w:b/>
          <w:bCs/>
          <w:sz w:val="24"/>
          <w:szCs w:val="24"/>
        </w:rPr>
        <w:t xml:space="preserve">2726 · L'istanza FOIA di Harry Cason.</w:t>
      </w:r>
      <w:r>
        <w:rPr>
          <w:rFonts w:ascii="Barlow Semi Condensed" w:cs="Barlow Semi Condensed" w:eastAsia="Barlow Semi Condensed" w:hAnsi="Barlow Semi Condensed"/>
          <w:sz w:val="24"/>
          <w:szCs w:val="24"/>
        </w:rPr>
        <w:t xml:space="preserve"> Il contenzioso promosso nel 2009-2011 dal ricercatore Harry Cason con Public Citizen è registrato come vertente sulla Spagna franchista. Quesito bibliografico a costo basso e rendimento alto: il testo dell'istanza e gli atti di causa delimitavano davvero la richiesta alla Spagna, oppure il Portogallo vi era compreso e restituì nulla? Nel secondo caso l'esito negativo portoghese acquisterebbe peso probatorio proprio.</w:t>
      </w:r>
    </w:p>
    <w:p>
      <w:pPr>
        <w:spacing w:after="120" w:line="276"/>
        <w:jc w:val="both"/>
      </w:pPr>
      <w:r>
        <w:rPr>
          <w:rFonts w:ascii="Barlow Semi Condensed" w:cs="Barlow Semi Condensed" w:eastAsia="Barlow Semi Condensed" w:hAnsi="Barlow Semi Condensed"/>
          <w:b/>
          <w:bCs/>
          <w:sz w:val="24"/>
          <w:szCs w:val="24"/>
        </w:rPr>
        <w:t xml:space="preserve">2727 · La sezione portoghese, documenti 123-178.</w:t>
      </w:r>
      <w:r>
        <w:rPr>
          <w:rFonts w:ascii="Barlow Semi Condensed" w:cs="Barlow Semi Condensed" w:eastAsia="Barlow Semi Condensed" w:hAnsi="Barlow Semi Condensed"/>
          <w:sz w:val="24"/>
          <w:szCs w:val="24"/>
        </w:rPr>
        <w:t xml:space="preserve"> La sezione Portogallo del volume E-15 parte 2, curato da Kathleen B. Rasmussen per il Government Printing Office nel 2014, occupa i documenti da 123 a 178 e non contiene riferimenti all'ente né a tecnocrati cattolici. Quesito da portare sull'indice per nome del volume, mai formulato dal corpus: quanti di quei cinquantasei documenti recano la firma o la presenza del Segretario di Stato?</w:t>
      </w:r>
    </w:p>
    <w:p>
      <w:pPr>
        <w:spacing w:after="120" w:line="276"/>
        <w:jc w:val="both"/>
      </w:pPr>
      <w:r>
        <w:rPr>
          <w:rFonts w:ascii="Barlow Semi Condensed" w:cs="Barlow Semi Condensed" w:eastAsia="Barlow Semi Condensed" w:hAnsi="Barlow Semi Condensed"/>
          <w:b/>
          <w:bCs/>
          <w:sz w:val="24"/>
          <w:szCs w:val="24"/>
        </w:rPr>
        <w:t xml:space="preserve">2728 · Metà del deposito mai letta.</w:t>
      </w:r>
      <w:r>
        <w:rPr>
          <w:rFonts w:ascii="Barlow Semi Condensed" w:cs="Barlow Semi Condensed" w:eastAsia="Barlow Semi Condensed" w:hAnsi="Barlow Semi Condensed"/>
          <w:sz w:val="24"/>
          <w:szCs w:val="24"/>
        </w:rPr>
        <w:t xml:space="preserve"> Paulo Tremoceiro, capo divisione dell'archivio, dichiarò alla TSF nel reportage di Nuno Guedes del 23 aprile 2019 che «metade da documentação existente nos nossos depósitos ainda está por consultar». È il dato che impedisce di leggere qualunque esito negativo della Torre do Tombo come definitivo. Ogni Stato Zero portoghese di questa serie va scritto con quella riserva accanto, e non senza.</w:t>
      </w:r>
    </w:p>
    <w:p>
      <w:pPr>
        <w:spacing w:after="120" w:line="276"/>
        <w:jc w:val="both"/>
      </w:pPr>
      <w:r>
        <w:rPr>
          <w:rFonts w:ascii="Barlow Semi Condensed" w:cs="Barlow Semi Condensed" w:eastAsia="Barlow Semi Condensed" w:hAnsi="Barlow Semi Condensed"/>
          <w:b/>
          <w:bCs/>
          <w:sz w:val="24"/>
          <w:szCs w:val="24"/>
        </w:rPr>
        <w:t xml:space="preserve">2729 · I quattro assi senza il nome.</w:t>
      </w:r>
      <w:r>
        <w:rPr>
          <w:rFonts w:ascii="Barlow Semi Condensed" w:cs="Barlow Semi Condensed" w:eastAsia="Barlow Semi Condensed" w:hAnsi="Barlow Semi Condensed"/>
          <w:sz w:val="24"/>
          <w:szCs w:val="24"/>
        </w:rPr>
        <w:t xml:space="preserve"> Quattro assi sono disposti nell'undicesimo capitolo — Moro–Opus Dei, Moro–Portogallo, Opus Dei–Portogallo, confronto spagnolo — e la conclusione è che il solo nodo comune reale sia la mediazione della Santa Sede. In nessuno dei quattro compare questo nome, e nel nodo vaticano nemmeno. La tavola delle triangolazioni è completa senza di lui: dato da registrare prima di costruirvi sopra una quinta colonna.</w:t>
      </w:r>
    </w:p>
    <w:p>
      <w:pPr>
        <w:spacing w:after="120" w:line="276"/>
        <w:jc w:val="both"/>
      </w:pPr>
      <w:r>
        <w:rPr>
          <w:rFonts w:ascii="Barlow Semi Condensed" w:cs="Barlow Semi Condensed" w:eastAsia="Barlow Semi Condensed" w:hAnsi="Barlow Semi Condensed"/>
          <w:b/>
          <w:bCs/>
          <w:sz w:val="24"/>
          <w:szCs w:val="24"/>
        </w:rPr>
        <w:t xml:space="preserve">2730 · Una sesta voce per la tavola.</w:t>
      </w:r>
      <w:r>
        <w:rPr>
          <w:rFonts w:ascii="Barlow Semi Condensed" w:cs="Barlow Semi Condensed" w:eastAsia="Barlow Semi Condensed" w:hAnsi="Barlow Semi Condensed"/>
          <w:sz w:val="24"/>
          <w:szCs w:val="24"/>
        </w:rPr>
        <w:t xml:space="preserve"> Cinque esiti negativi sono ordinati per rendimento atteso decrescente nel dodicesimo capitolo, dalla posizione dell'ente sulle guerre coloniali alle carte diplomatiche italiane, fino all'eventuale documento non indicizzato. Questa serie propone una sesta voce da inserire in coda: l'assenza di qualunque carta statunitense che colleghi il nome al dossier portoghese trattato dalla Farnesina di Moro, con sede la Ford Library e i National Archives.</w:t>
      </w:r>
    </w:p>
    <w:p>
      <w:pPr>
        <w:spacing w:after="120" w:line="276"/>
        <w:jc w:val="both"/>
      </w:pPr>
      <w:r>
        <w:rPr>
          <w:rFonts w:ascii="Barlow Semi Condensed" w:cs="Barlow Semi Condensed" w:eastAsia="Barlow Semi Condensed" w:hAnsi="Barlow Semi Condensed"/>
          <w:b/>
          <w:bCs/>
          <w:sz w:val="24"/>
          <w:szCs w:val="24"/>
        </w:rPr>
        <w:t xml:space="preserve">2731 · I due calendari sovrapposti.</w:t>
      </w:r>
      <w:r>
        <w:rPr>
          <w:rFonts w:ascii="Barlow Semi Condensed" w:cs="Barlow Semi Condensed" w:eastAsia="Barlow Semi Condensed" w:hAnsi="Barlow Semi Condensed"/>
          <w:sz w:val="24"/>
          <w:szCs w:val="24"/>
        </w:rPr>
        <w:t xml:space="preserve"> La cronologia dei mandati è ridata nel primo capitolo del secondo file: 5 agosto 1969 – 26 giugno 1972 e 7 luglio 1973 – 23 novembre 1974. Sovrapposta alle cariche americane, la coincidenza risulta quasi integrale. È aritmetica di calendario e nulla più: due funzioni contemporanee non producono un rapporto, e il corpus lo ha già stabilito trattando la riunione del marzo 1969.</w:t>
      </w:r>
    </w:p>
    <w:p>
      <w:pPr>
        <w:spacing w:after="120" w:line="276"/>
        <w:jc w:val="both"/>
      </w:pPr>
      <w:r>
        <w:rPr>
          <w:rFonts w:ascii="Barlow Semi Condensed" w:cs="Barlow Semi Condensed" w:eastAsia="Barlow Semi Condensed" w:hAnsi="Barlow Semi Condensed"/>
          <w:b/>
          <w:bCs/>
          <w:sz w:val="24"/>
          <w:szCs w:val="24"/>
        </w:rPr>
        <w:t xml:space="preserve">2732 · La politica araba e il silenzio.</w:t>
      </w:r>
      <w:r>
        <w:rPr>
          <w:rFonts w:ascii="Barlow Semi Condensed" w:cs="Barlow Semi Condensed" w:eastAsia="Barlow Semi Condensed" w:hAnsi="Barlow Semi Condensed"/>
          <w:sz w:val="24"/>
          <w:szCs w:val="24"/>
        </w:rPr>
        <w:t xml:space="preserve"> «Implemented a pro-Arab policy» è la formula con cui lo stesso capitolo riassume il ministero, osservando che la letteratura su Moro ruota attorno a Helsinki, Osimo, l'Alto Adige e il Mediterraneo e tace sul dossier coloniale portoghese. Quel silenzio riguarda il ministro; sull'interlocutore americano il capitolo non apre neppure il paragrafo. Due silenzi di natura diversa, da tenere distinti nella verbalizzazione.</w:t>
      </w:r>
    </w:p>
    <w:p>
      <w:pPr>
        <w:spacing w:after="120" w:line="276"/>
        <w:jc w:val="both"/>
      </w:pPr>
      <w:r>
        <w:rPr>
          <w:rFonts w:ascii="Barlow Semi Condensed" w:cs="Barlow Semi Condensed" w:eastAsia="Barlow Semi Condensed" w:hAnsi="Barlow Semi Condensed"/>
          <w:b/>
          <w:bCs/>
          <w:sz w:val="24"/>
          <w:szCs w:val="24"/>
        </w:rPr>
        <w:t xml:space="preserve">2733 · La conferenza romana e l'ambasciata.</w:t>
      </w:r>
      <w:r>
        <w:rPr>
          <w:rFonts w:ascii="Barlow Semi Condensed" w:cs="Barlow Semi Condensed" w:eastAsia="Barlow Semi Condensed" w:hAnsi="Barlow Semi Condensed"/>
          <w:sz w:val="24"/>
          <w:szCs w:val="24"/>
        </w:rPr>
        <w:t xml:space="preserve"> La Conferenza internazionale di solidarietà del 27-29 giugno 1970 è accertata nel secondo capitolo, che verifica l'assenza tanto di patrocinio quanto di obiezione da parte del governo italiano. Quesito mai posto e formulabile a costo contenuto: la rappresentanza diplomatica statunitense a Roma ne riferì a Washington? Sede, i Nixon Presidential Materials, National Security Council Files, Country Files – Europe, presso College Park.</w:t>
      </w:r>
    </w:p>
    <w:p>
      <w:pPr>
        <w:spacing w:after="120" w:line="276"/>
        <w:jc w:val="both"/>
      </w:pPr>
      <w:r>
        <w:rPr>
          <w:rFonts w:ascii="Barlow Semi Condensed" w:cs="Barlow Semi Condensed" w:eastAsia="Barlow Semi Condensed" w:hAnsi="Barlow Semi Condensed"/>
          <w:b/>
          <w:bCs/>
          <w:sz w:val="24"/>
          <w:szCs w:val="24"/>
        </w:rPr>
        <w:t xml:space="preserve">2734 · La fedeltà atlantica come cornice.</w:t>
      </w:r>
      <w:r>
        <w:rPr>
          <w:rFonts w:ascii="Barlow Semi Condensed" w:cs="Barlow Semi Condensed" w:eastAsia="Barlow Semi Condensed" w:hAnsi="Barlow Semi Condensed"/>
          <w:sz w:val="24"/>
          <w:szCs w:val="24"/>
        </w:rPr>
        <w:t xml:space="preserve"> Vincenzo Russo e Tornimbeni sono citati per la «dialettica tra una visione internazionalista implicita in certe municipalità di sinistra come Reggio Emilia e Bologna e la fedeltà atlantica dei governi a maggioranza DC». È formula di cornice, e la cornice contiene senza collegare. Ricavarne che l'astensione italiana rispondesse a una richiesta americana significa promuovere il secondo piano a nesso causale.</w:t>
      </w:r>
    </w:p>
    <w:p>
      <w:pPr>
        <w:spacing w:after="120" w:line="276"/>
        <w:jc w:val="both"/>
      </w:pPr>
      <w:r>
        <w:rPr>
          <w:rFonts w:ascii="Barlow Semi Condensed" w:cs="Barlow Semi Condensed" w:eastAsia="Barlow Semi Condensed" w:hAnsi="Barlow Semi Condensed"/>
          <w:b/>
          <w:bCs/>
          <w:sz w:val="24"/>
          <w:szCs w:val="24"/>
        </w:rPr>
        <w:t xml:space="preserve">2735 · Le riprese conservate dall'AAMOD.</w:t>
      </w:r>
      <w:r>
        <w:rPr>
          <w:rFonts w:ascii="Barlow Semi Condensed" w:cs="Barlow Semi Condensed" w:eastAsia="Barlow Semi Condensed" w:hAnsi="Barlow Semi Condensed"/>
          <w:sz w:val="24"/>
          <w:szCs w:val="24"/>
        </w:rPr>
        <w:t xml:space="preserve"> Le riprese della Conferenza e la conferenza stampa di Agostino Neto sono conservate dall'Archivio audiovisivo del movimento operaio e democratico, come segnala il medesimo capitolo. Quesito derivato: quel materiale è mai stato confrontato con la documentazione statunitense sui movimenti di liberazione delle colonie portoghesi? Sede, il patrimonio digitale dell'archivio per l'audiovisivo e il Reading Room per il versante d'agenzia. Nessuno dei due file lo domanda.</w:t>
      </w:r>
    </w:p>
    <w:p>
      <w:pPr>
        <w:spacing w:after="120" w:line="276"/>
        <w:jc w:val="both"/>
      </w:pPr>
      <w:r>
        <w:rPr>
          <w:rFonts w:ascii="Barlow Semi Condensed" w:cs="Barlow Semi Condensed" w:eastAsia="Barlow Semi Condensed" w:hAnsi="Barlow Semi Condensed"/>
          <w:b/>
          <w:bCs/>
          <w:sz w:val="24"/>
          <w:szCs w:val="24"/>
        </w:rPr>
        <w:t xml:space="preserve">2736 · Il fondo Soncini a Reggio Emilia.</w:t>
      </w:r>
      <w:r>
        <w:rPr>
          <w:rFonts w:ascii="Barlow Semi Condensed" w:cs="Barlow Semi Condensed" w:eastAsia="Barlow Semi Condensed" w:hAnsi="Barlow Semi Condensed"/>
          <w:sz w:val="24"/>
          <w:szCs w:val="24"/>
        </w:rPr>
        <w:t xml:space="preserve"> L'inventario dell'Archivio Giuseppe Soncini – Bruna Ganapini, segnatura IBCAS00590 presso l'Istituto per i beni culturali dell'Emilia-Romagna, col fascicolo «Frelimo-Mozambico» degli anni 1965-1993, è la fonte primaria più ricca del secondo capitolo. È materiale di una municipalità, non di un ministero. Quesito: vi si conserva corrispondenza che nomini interlocutori statunitensi? La risposta è ignota e la consultazione va fatta in loco.</w:t>
      </w:r>
    </w:p>
    <w:p>
      <w:pPr>
        <w:spacing w:after="120" w:line="276"/>
        <w:jc w:val="both"/>
      </w:pPr>
      <w:r>
        <w:rPr>
          <w:rFonts w:ascii="Barlow Semi Condensed" w:cs="Barlow Semi Condensed" w:eastAsia="Barlow Semi Condensed" w:hAnsi="Barlow Semi Condensed"/>
          <w:b/>
          <w:bCs/>
          <w:sz w:val="24"/>
          <w:szCs w:val="24"/>
        </w:rPr>
        <w:t xml:space="preserve">2737 · Wiriyamu e la reazione mai cercata.</w:t>
      </w:r>
      <w:r>
        <w:rPr>
          <w:rFonts w:ascii="Barlow Semi Condensed" w:cs="Barlow Semi Condensed" w:eastAsia="Barlow Semi Condensed" w:hAnsi="Barlow Semi Condensed"/>
          <w:sz w:val="24"/>
          <w:szCs w:val="24"/>
        </w:rPr>
        <w:t xml:space="preserve"> Il massacro del 16 dicembre 1972, operazione Marosca, è accertato nel terzo capitolo, che riporta la forbice reale delle vittime: centocinquanta secondo la Croce Rossa, trecento secondo l'Expresso, trecentottantacinque nominativi, quattrocento nella ricostruzione di Mustafah Dhada. Sulla reazione ufficiale statunitense il capitolo dichiara solo che nessuna fonte la collega all'Italia. La domanda americana non è posta: sede i FRUS e il Centro de Documentação 25 de Abril.</w:t>
      </w:r>
    </w:p>
    <w:p>
      <w:pPr>
        <w:spacing w:after="120" w:line="276"/>
        <w:jc w:val="both"/>
      </w:pPr>
      <w:r>
        <w:rPr>
          <w:rFonts w:ascii="Barlow Semi Condensed" w:cs="Barlow Semi Condensed" w:eastAsia="Barlow Semi Condensed" w:hAnsi="Barlow Semi Condensed"/>
          <w:b/>
          <w:bCs/>
          <w:sz w:val="24"/>
          <w:szCs w:val="24"/>
        </w:rPr>
        <w:t xml:space="preserve">2738 · Il Times del 10 luglio 1973.</w:t>
      </w:r>
      <w:r>
        <w:rPr>
          <w:rFonts w:ascii="Barlow Semi Condensed" w:cs="Barlow Semi Condensed" w:eastAsia="Barlow Semi Condensed" w:hAnsi="Barlow Semi Condensed"/>
          <w:sz w:val="24"/>
          <w:szCs w:val="24"/>
        </w:rPr>
        <w:t xml:space="preserve"> L'articolo di Adrian Hastings in prima pagina, uscito pochi giorni prima della visita londinese di Caetano, è documentato con l'apparato di Bruno C. Reis e Pedro Aires Oliveira in Civil Wars 14/1 del 2012 e con «Grocer Meets Butcher» in Cold War History 10/1 del 2010. Il versante britannico risulta ricostruito; quello statunitense, per lo stesso mese, resta interamente da spogliare.</w:t>
      </w:r>
    </w:p>
    <w:p>
      <w:pPr>
        <w:spacing w:after="120" w:line="276"/>
        <w:jc w:val="both"/>
      </w:pPr>
      <w:r>
        <w:rPr>
          <w:rFonts w:ascii="Barlow Semi Condensed" w:cs="Barlow Semi Condensed" w:eastAsia="Barlow Semi Condensed" w:hAnsi="Barlow Semi Condensed"/>
          <w:b/>
          <w:bCs/>
          <w:sz w:val="24"/>
          <w:szCs w:val="24"/>
        </w:rPr>
        <w:t xml:space="preserve">2739 · La contro-tesi da non promuovere.</w:t>
      </w:r>
      <w:r>
        <w:rPr>
          <w:rFonts w:ascii="Barlow Semi Condensed" w:cs="Barlow Semi Condensed" w:eastAsia="Barlow Semi Condensed" w:hAnsi="Barlow Semi Condensed"/>
          <w:sz w:val="24"/>
          <w:szCs w:val="24"/>
        </w:rPr>
        <w:t xml:space="preserve"> La contro-tesi che attribuiva le uccisioni al FRELIMO, riportata da un rapporto dell'arcivescovo Laurean Rugambwa, è registrata e qualificata come non sostenuta dalla storiografia con revisione paritaria, parte della macchina di negazione. La qualificazione è un modello di procedura: si riporta la tesi, se ne dichiara lo statuto, non la si tace e non la si accredita. Ogni affermazione terziaria su questo nome riceve lo stesso trattamento.</w:t>
      </w:r>
    </w:p>
    <w:p>
      <w:pPr>
        <w:spacing w:after="120" w:line="276"/>
        <w:jc w:val="both"/>
      </w:pPr>
      <w:r>
        <w:rPr>
          <w:rFonts w:ascii="Barlow Semi Condensed" w:cs="Barlow Semi Condensed" w:eastAsia="Barlow Semi Condensed" w:hAnsi="Barlow Semi Condensed"/>
          <w:b/>
          <w:bCs/>
          <w:sz w:val="24"/>
          <w:szCs w:val="24"/>
        </w:rPr>
        <w:t xml:space="preserve">2740 · L'espulsione e la domanda mancante.</w:t>
      </w:r>
      <w:r>
        <w:rPr>
          <w:rFonts w:ascii="Barlow Semi Condensed" w:cs="Barlow Semi Condensed" w:eastAsia="Barlow Semi Condensed" w:hAnsi="Barlow Semi Condensed"/>
          <w:sz w:val="24"/>
          <w:szCs w:val="24"/>
        </w:rPr>
        <w:t xml:space="preserve"> La lacuna prioritaria è dichiarata nel quarto capitolo: nessun atto italiano, parlamentare, ministeriale o consolare, sull'espulsione del vescovo di Nampula e dei comboniani, con sedi la Farnesina, i registri del consolato di Lourenço Marques e dell'ambasciata di Lisbona. Lo Stato Zero statunitense sul medesimo fatto non è neppure formulato: si formula qui, con sede i telegrammi del Dipartimento di Stato dell'aprile 1974.</w:t>
      </w:r>
    </w:p>
    <w:p>
      <w:pPr>
        <w:spacing w:after="120" w:line="276"/>
        <w:jc w:val="both"/>
      </w:pPr>
      <w:r>
        <w:rPr>
          <w:rFonts w:ascii="Barlow Semi Condensed" w:cs="Barlow Semi Condensed" w:eastAsia="Barlow Semi Condensed" w:hAnsi="Barlow Semi Condensed"/>
          <w:b/>
          <w:bCs/>
          <w:sz w:val="24"/>
          <w:szCs w:val="24"/>
        </w:rPr>
        <w:t xml:space="preserve">2741 · L'articolo di Enea in Lusitania Sacra.</w:t>
      </w:r>
      <w:r>
        <w:rPr>
          <w:rFonts w:ascii="Barlow Semi Condensed" w:cs="Barlow Semi Condensed" w:eastAsia="Barlow Semi Condensed" w:hAnsi="Barlow Semi Condensed"/>
          <w:sz w:val="24"/>
          <w:szCs w:val="24"/>
        </w:rPr>
        <w:t xml:space="preserve"> Da acquisire integralmente, secondo lo stesso capitolo, è il saggio di Eugenio Enea in Lusitania Sacra numero 51 del 2025, doi 10.34632/lusitaniasacra.2025.16897, prolungamento di una tesi sui rapporti fra Santa Sede e Portogallo dal 1926 al 1974. È anche la sede in cui verificare se le annate di «Nigrizia» del 1974-1976 nominino mai la politica statunitense a proposito del Mozambico.</w:t>
      </w:r>
    </w:p>
    <w:p>
      <w:pPr>
        <w:spacing w:after="120" w:line="276"/>
        <w:jc w:val="both"/>
      </w:pPr>
      <w:r>
        <w:rPr>
          <w:rFonts w:ascii="Barlow Semi Condensed" w:cs="Barlow Semi Condensed" w:eastAsia="Barlow Semi Condensed" w:hAnsi="Barlow Semi Condensed"/>
          <w:b/>
          <w:bCs/>
          <w:sz w:val="24"/>
          <w:szCs w:val="24"/>
        </w:rPr>
        <w:t xml:space="preserve">2742 · Il limite della sesta legislatura.</w:t>
      </w:r>
      <w:r>
        <w:rPr>
          <w:rFonts w:ascii="Barlow Semi Condensed" w:cs="Barlow Semi Condensed" w:eastAsia="Barlow Semi Condensed" w:hAnsi="Barlow Semi Condensed"/>
          <w:sz w:val="24"/>
          <w:szCs w:val="24"/>
        </w:rPr>
        <w:t xml:space="preserve"> Un limite strutturale governa l'intera serie, ed è dichiarato nel quinto capitolo: la banca dati del sindacato ispettivo copre solo dalla settima legislatura, dal 5 luglio 1976, e l'arco 1969-1975 sopravvive come resoconti stenografici non ricercabili a testo pieno. Ne segue che nessuna interrogazione italiana su Lisbona, né alcuna che nominasse Washington, può essere confermata o esclusa senza spoglio manuale.</w:t>
      </w:r>
    </w:p>
    <w:p>
      <w:pPr>
        <w:spacing w:after="120" w:line="276"/>
        <w:jc w:val="both"/>
      </w:pPr>
      <w:r>
        <w:rPr>
          <w:rFonts w:ascii="Barlow Semi Condensed" w:cs="Barlow Semi Condensed" w:eastAsia="Barlow Semi Condensed" w:hAnsi="Barlow Semi Condensed"/>
          <w:b/>
          <w:bCs/>
          <w:sz w:val="24"/>
          <w:szCs w:val="24"/>
        </w:rPr>
        <w:t xml:space="preserve">2743 · Le Azzorre, e chi vi era.</w:t>
      </w:r>
      <w:r>
        <w:rPr>
          <w:rFonts w:ascii="Barlow Semi Condensed" w:cs="Barlow Semi Condensed" w:eastAsia="Barlow Semi Condensed" w:hAnsi="Barlow Semi Condensed"/>
          <w:sz w:val="24"/>
          <w:szCs w:val="24"/>
        </w:rPr>
        <w:t xml:space="preserve"> Il memorandum del 19 giugno 1974 sull'incontro alle Azzorre fra Nixon e Spínola, documento 133 del volume E-15 parte 2, è citato nel sesto capitolo per la richiesta portoghese di assistenza contro «another Cuba in the Iberian Peninsula». Il file nomina due partecipanti. Quesito elementare e mai posto: l'elenco dei presenti a verbale comprende il Segretario di Stato in carica dal settembre precedente?</w:t>
      </w:r>
    </w:p>
    <w:p>
      <w:pPr>
        <w:spacing w:after="120" w:line="276"/>
        <w:jc w:val="both"/>
      </w:pPr>
      <w:r>
        <w:rPr>
          <w:rFonts w:ascii="Barlow Semi Condensed" w:cs="Barlow Semi Condensed" w:eastAsia="Barlow Semi Condensed" w:hAnsi="Barlow Semi Condensed"/>
          <w:b/>
          <w:bCs/>
          <w:sz w:val="24"/>
          <w:szCs w:val="24"/>
        </w:rPr>
        <w:t xml:space="preserve">2744 · Il portale bloccato di Lisbona.</w:t>
      </w:r>
      <w:r>
        <w:rPr>
          <w:rFonts w:ascii="Barlow Semi Condensed" w:cs="Barlow Semi Condensed" w:eastAsia="Barlow Semi Condensed" w:hAnsi="Barlow Semi Condensed"/>
          <w:sz w:val="24"/>
          <w:szCs w:val="24"/>
        </w:rPr>
        <w:t xml:space="preserve"> Il portale ufficiale «Diplomacia e Revolução» del ministero portoghese contiene una sezione italiana con documenti diplomatici, fra cui l'ipotesi di una visita di Stato di Spínola in Italia, ma l'accesso automatizzato è bloccato e la consultazione va fatta manualmente o all'Arquivo Histórico-Diplomático. La stessa sezione va interrogata per le reazioni statunitensi al 25 aprile, che il file non spoglia.</w:t>
      </w:r>
    </w:p>
    <w:p>
      <w:pPr>
        <w:spacing w:after="120" w:line="276"/>
        <w:jc w:val="both"/>
      </w:pPr>
      <w:r>
        <w:rPr>
          <w:rFonts w:ascii="Barlow Semi Condensed" w:cs="Barlow Semi Condensed" w:eastAsia="Barlow Semi Condensed" w:hAnsi="Barlow Semi Condensed"/>
          <w:b/>
          <w:bCs/>
          <w:sz w:val="24"/>
          <w:szCs w:val="24"/>
        </w:rPr>
        <w:t xml:space="preserve">2745 · Il protocollo del 15 febbraio 1975.</w:t>
      </w:r>
      <w:r>
        <w:rPr>
          <w:rFonts w:ascii="Barlow Semi Condensed" w:cs="Barlow Semi Condensed" w:eastAsia="Barlow Semi Condensed" w:hAnsi="Barlow Semi Condensed"/>
          <w:sz w:val="24"/>
          <w:szCs w:val="24"/>
        </w:rPr>
        <w:t xml:space="preserve"> Il Protocollo addizionale firmato dal cardinale Jean Villot e da Francisco Salgado Zenha è documentato nel settimo capitolo: modificò l'articolo 24 della Concordata del 7 maggio 1940 sulla rinuncia legale al divorzio. È materia bilaterale fra due soggetti, e nessuna fonte vi introduce un terzo. Registrarlo serve a delimitare: la transizione portoghese ebbe dossier in cui la potenza atlantica non figura affatto.</w:t>
      </w:r>
    </w:p>
    <w:p>
      <w:pPr>
        <w:spacing w:after="120" w:line="276"/>
        <w:jc w:val="both"/>
      </w:pPr>
      <w:r>
        <w:rPr>
          <w:rFonts w:ascii="Barlow Semi Condensed" w:cs="Barlow Semi Condensed" w:eastAsia="Barlow Semi Condensed" w:hAnsi="Barlow Semi Condensed"/>
          <w:b/>
          <w:bCs/>
          <w:sz w:val="24"/>
          <w:szCs w:val="24"/>
        </w:rPr>
        <w:t xml:space="preserve">2746 · Magistero generale, non atto mirato.</w:t>
      </w:r>
      <w:r>
        <w:rPr>
          <w:rFonts w:ascii="Barlow Semi Condensed" w:cs="Barlow Semi Condensed" w:eastAsia="Barlow Semi Condensed" w:hAnsi="Barlow Semi Condensed"/>
          <w:sz w:val="24"/>
          <w:szCs w:val="24"/>
        </w:rPr>
        <w:t xml:space="preserve"> Una distinzione netta è tracciata nell'ottavo capitolo fra il magistero generale di Paolo VI — Populorum progressio del 26 marzo 1967, Africae terrarum del 29 ottobre 1967, il discorso al Parlamento dell'Uganda del 1° agosto 1969 — e l'unico atto pontificio a impatto diplomatico diretto, l'udienza del 1° luglio 1970. La stessa distinzione vale per le dichiarazioni pubbliche americane: dottrina enunciata non è atto compiuto.</w:t>
      </w:r>
    </w:p>
    <w:p>
      <w:pPr>
        <w:spacing w:after="120" w:line="276"/>
        <w:jc w:val="both"/>
      </w:pPr>
      <w:r>
        <w:rPr>
          <w:rFonts w:ascii="Barlow Semi Condensed" w:cs="Barlow Semi Condensed" w:eastAsia="Barlow Semi Condensed" w:hAnsi="Barlow Semi Condensed"/>
          <w:b/>
          <w:bCs/>
          <w:sz w:val="24"/>
          <w:szCs w:val="24"/>
        </w:rPr>
        <w:t xml:space="preserve">2747 · Ostpolitik e colonie, nessun nesso.</w:t>
      </w:r>
      <w:r>
        <w:rPr>
          <w:rFonts w:ascii="Barlow Semi Condensed" w:cs="Barlow Semi Condensed" w:eastAsia="Barlow Semi Condensed" w:hAnsi="Barlow Semi Condensed"/>
          <w:sz w:val="24"/>
          <w:szCs w:val="24"/>
        </w:rPr>
        <w:t xml:space="preserve"> Nessuna fonte lega la Ostpolitik di Agostino Casaroli al dossier coloniale portoghese, e trattare i due ambiti come connessi sarebbe mera contemporaneità: così lo stesso capitolo, che dichiara l'assenza di nesso documentato. È la disciplina che questa serie applica al proprio oggetto: la simultaneità fra la distensione americana e la crisi portoghese resta fatto di calendario finché una carta non la trasformi in rapporto.</w:t>
      </w:r>
    </w:p>
    <w:p>
      <w:pPr>
        <w:spacing w:after="120" w:line="276"/>
        <w:jc w:val="both"/>
      </w:pPr>
      <w:r>
        <w:rPr>
          <w:rFonts w:ascii="Barlow Semi Condensed" w:cs="Barlow Semi Condensed" w:eastAsia="Barlow Semi Condensed" w:hAnsi="Barlow Semi Condensed"/>
          <w:b/>
          <w:bCs/>
          <w:sz w:val="24"/>
          <w:szCs w:val="24"/>
        </w:rPr>
        <w:t xml:space="preserve">2748 · Algeri, Lusaka, Alvor senza Roma.</w:t>
      </w:r>
      <w:r>
        <w:rPr>
          <w:rFonts w:ascii="Barlow Semi Condensed" w:cs="Barlow Semi Condensed" w:eastAsia="Barlow Semi Condensed" w:hAnsi="Barlow Semi Condensed"/>
          <w:sz w:val="24"/>
          <w:szCs w:val="24"/>
        </w:rPr>
        <w:t xml:space="preserve"> Gli accordi sono datati nel nono capitolo: Algeri il 26 agosto 1974, Lusaka il 7 settembre 1974, Alvor il 15 gennaio 1975, firmato alle dodici e quarantacinque e ratificato il 28. La posizione italiana su ciascuno non è documentabile nelle fonti raccolte. Sulla posizione americana il capitolo tace perché non la cerca: due esiti negativi di natura diversa, uno dichiarato e uno da dichiarare.</w:t>
      </w:r>
    </w:p>
    <w:p>
      <w:pPr>
        <w:spacing w:after="120" w:line="276"/>
        <w:jc w:val="both"/>
      </w:pPr>
      <w:r>
        <w:rPr>
          <w:rFonts w:ascii="Barlow Semi Condensed" w:cs="Barlow Semi Condensed" w:eastAsia="Barlow Semi Condensed" w:hAnsi="Barlow Semi Condensed"/>
          <w:b/>
          <w:bCs/>
          <w:sz w:val="24"/>
          <w:szCs w:val="24"/>
        </w:rPr>
        <w:t xml:space="preserve">2749 · Timor, e il budget esaurito.</w:t>
      </w:r>
      <w:r>
        <w:rPr>
          <w:rFonts w:ascii="Barlow Semi Condensed" w:cs="Barlow Semi Condensed" w:eastAsia="Barlow Semi Condensed" w:hAnsi="Barlow Semi Condensed"/>
          <w:sz w:val="24"/>
          <w:szCs w:val="24"/>
        </w:rPr>
        <w:t xml:space="preserve"> Sull'invasione indonesiana di Timor Est del dicembre 1975 il file ammette di non aver completato la ricerca «per esaurimento del budget di interrogazione», rinviando agli atti dell'Assemblea generale e alla Farnesina. È l'unico punto in cui dichiari un limite di risorse anziché di fonti. La distinzione va conservata: una lacuna di budget si chiude con lavoro, una lacuna di fonti no.</w:t>
      </w:r>
    </w:p>
    <w:p>
      <w:pPr>
        <w:spacing w:after="120" w:line="276"/>
        <w:jc w:val="both"/>
      </w:pPr>
      <w:r>
        <w:rPr>
          <w:rFonts w:ascii="Barlow Semi Condensed" w:cs="Barlow Semi Condensed" w:eastAsia="Barlow Semi Condensed" w:hAnsi="Barlow Semi Condensed"/>
          <w:b/>
          <w:bCs/>
          <w:sz w:val="24"/>
          <w:szCs w:val="24"/>
        </w:rPr>
        <w:t xml:space="preserve">2750 · L'unica occorrenza e il suo contesto.</w:t>
      </w:r>
      <w:r>
        <w:rPr>
          <w:rFonts w:ascii="Barlow Semi Condensed" w:cs="Barlow Semi Condensed" w:eastAsia="Barlow Semi Condensed" w:hAnsi="Barlow Semi Condensed"/>
          <w:sz w:val="24"/>
          <w:szCs w:val="24"/>
        </w:rPr>
        <w:t xml:space="preserve"> L'occorrenza del nome nel secondo file cade in un capitolo sulla CSCE, a proposito di un atto del 1° agosto 1975 compiuto da Moro presidente del Consiglio e presidente di turno delle Comunità, dunque fuori dai mandati agli Esteri. Il nome entra nel territorio portoghese per una via che col Portogallo non ha rapporto: vi compare di rimbalzo, dentro una frase sull'Italia.</w:t>
      </w:r>
    </w:p>
    <w:p>
      <w:pPr>
        <w:spacing w:after="120" w:line="276"/>
        <w:jc w:val="both"/>
      </w:pPr>
      <w:r>
        <w:rPr>
          <w:rFonts w:ascii="Barlow Semi Condensed" w:cs="Barlow Semi Condensed" w:eastAsia="Barlow Semi Condensed" w:hAnsi="Barlow Semi Condensed"/>
          <w:b/>
          <w:bCs/>
          <w:sz w:val="24"/>
          <w:szCs w:val="24"/>
        </w:rPr>
        <w:t xml:space="preserve">2751 · Uno stato d'animo non è una fonte.</w:t>
      </w:r>
      <w:r>
        <w:rPr>
          <w:rFonts w:ascii="Barlow Semi Condensed" w:cs="Barlow Semi Condensed" w:eastAsia="Barlow Semi Condensed" w:hAnsi="Barlow Semi Condensed"/>
          <w:sz w:val="24"/>
          <w:szCs w:val="24"/>
        </w:rPr>
        <w:t xml:space="preserve"> «Insofferenza» è un attributo psicologico, e il bersaglio di smentita si formula perché sia eseguibile. Se i verbali della fase ginevrina, settembre 1973 – luglio 1975, e gli atti della delegazione statunitense registrassero un'opposizione formalizzata alla firma comunitaria, l'attributo diventerebbe fatto documentato; se registrassero il contrario, cadrebbe. Sede, i FRUS sulla CSCE e gli archivi del Consiglio delle Comunità.</w:t>
      </w:r>
    </w:p>
    <w:p>
      <w:pPr>
        <w:spacing w:after="120" w:line="276"/>
        <w:jc w:val="both"/>
      </w:pPr>
      <w:r>
        <w:rPr>
          <w:rFonts w:ascii="Barlow Semi Condensed" w:cs="Barlow Semi Condensed" w:eastAsia="Barlow Semi Condensed" w:hAnsi="Barlow Semi Condensed"/>
          <w:b/>
          <w:bCs/>
          <w:sz w:val="24"/>
          <w:szCs w:val="24"/>
        </w:rPr>
        <w:t xml:space="preserve">2752 · La crisi atlantica del 1975.</w:t>
      </w:r>
      <w:r>
        <w:rPr>
          <w:rFonts w:ascii="Barlow Semi Condensed" w:cs="Barlow Semi Condensed" w:eastAsia="Barlow Semi Condensed" w:hAnsi="Barlow Semi Condensed"/>
          <w:sz w:val="24"/>
          <w:szCs w:val="24"/>
        </w:rPr>
        <w:t xml:space="preserve"> Nessuna posizione italiana puntualmente documentata sulla questione portoghese in sede atlantica e comunitaria nel 1975 è restituita dalle fonti raccolte, constata il decimo capitolo, che neppure reperisce gli atti dei Consigli europei in materia. Le sedi indicate sono gli archivi della NATO, del Consiglio europeo e la Farnesina. Il quesito che questa serie aggiunge: in quegli atti, quali interventi statunitensi risultano verbalizzati?</w:t>
      </w:r>
    </w:p>
    <w:p>
      <w:pPr>
        <w:spacing w:after="120" w:line="276"/>
        <w:jc w:val="both"/>
      </w:pPr>
      <w:r>
        <w:rPr>
          <w:rFonts w:ascii="Barlow Semi Condensed" w:cs="Barlow Semi Condensed" w:eastAsia="Barlow Semi Condensed" w:hAnsi="Barlow Semi Condensed"/>
          <w:b/>
          <w:bCs/>
          <w:sz w:val="24"/>
          <w:szCs w:val="24"/>
        </w:rPr>
        <w:t xml:space="preserve">2753 · Il nodo vaticano e il quarto assente.</w:t>
      </w:r>
      <w:r>
        <w:rPr>
          <w:rFonts w:ascii="Barlow Semi Condensed" w:cs="Barlow Semi Condensed" w:eastAsia="Barlow Semi Condensed" w:hAnsi="Barlow Semi Condensed"/>
          <w:sz w:val="24"/>
          <w:szCs w:val="24"/>
        </w:rPr>
        <w:t xml:space="preserve"> Entrambi i file convergono su un unico nodo documentato: la Santa Sede come interlocutrice comune di Lisbona e di Roma. Il nodo è di comunanza d'interlocutore e non di convergenza d'obiettivo, come l'undicesimo capitolo del primo file scrive espressamente. In quel triangolo il nome di questa serie è il quarto assente, e la sua assenza risulta documentata, non presunta.</w:t>
      </w:r>
    </w:p>
    <w:p>
      <w:pPr>
        <w:spacing w:after="120" w:line="276"/>
        <w:jc w:val="both"/>
      </w:pPr>
      <w:r>
        <w:rPr>
          <w:rFonts w:ascii="Barlow Semi Condensed" w:cs="Barlow Semi Condensed" w:eastAsia="Barlow Semi Condensed" w:hAnsi="Barlow Semi Condensed"/>
          <w:b/>
          <w:bCs/>
          <w:sz w:val="24"/>
          <w:szCs w:val="24"/>
        </w:rPr>
        <w:t xml:space="preserve">2754 · Un volume solo, tre dossier.</w:t>
      </w:r>
      <w:r>
        <w:rPr>
          <w:rFonts w:ascii="Barlow Semi Condensed" w:cs="Barlow Semi Condensed" w:eastAsia="Barlow Semi Condensed" w:hAnsi="Barlow Semi Condensed"/>
          <w:sz w:val="24"/>
          <w:szCs w:val="24"/>
        </w:rPr>
        <w:t xml:space="preserve"> I documenti 133 e 153 sul Portogallo e il documento 350 sul colloquio dello Studio Ovale stanno nel medesimo volume, E-15 parte 2 del ciclo 1969-1976, nella seconda edizione riveduta. La comunanza è editoriale: un curatore, un criterio di raccolta, un indice. Non è comunanza di dossier. Trattare la contiguità di numerazione come contiguità di materia sarebbe l'errore filologico più banale.</w:t>
      </w:r>
    </w:p>
    <w:p>
      <w:pPr>
        <w:spacing w:after="120" w:line="276"/>
        <w:jc w:val="both"/>
      </w:pPr>
      <w:r>
        <w:rPr>
          <w:rFonts w:ascii="Barlow Semi Condensed" w:cs="Barlow Semi Condensed" w:eastAsia="Barlow Semi Condensed" w:hAnsi="Barlow Semi Condensed"/>
          <w:b/>
          <w:bCs/>
          <w:sz w:val="24"/>
          <w:szCs w:val="24"/>
        </w:rPr>
        <w:t xml:space="preserve">2755 · Il precedente portoghese messo a verbale.</w:t>
      </w:r>
      <w:r>
        <w:rPr>
          <w:rFonts w:ascii="Barlow Semi Condensed" w:cs="Barlow Semi Condensed" w:eastAsia="Barlow Semi Condensed" w:hAnsi="Barlow Semi Condensed"/>
          <w:sz w:val="24"/>
          <w:szCs w:val="24"/>
        </w:rPr>
        <w:t xml:space="preserve"> Ecco l'accertamento che la campagna territoriale restituisce al corpus. Nel colloquio del 25 settembre 1974, con Leone, Moro, Ford e Scowcroft presenti, la posizione sul non poter condividere informazioni militari con un governo comprendente i comunisti fu argomentata richiamando il precedente portoghese. È rapporto di piano 1 fra il nome e il Portogallo, e cade dentro un documento italiano, non portoghese.</w:t>
      </w:r>
    </w:p>
    <w:p>
      <w:pPr>
        <w:spacing w:after="120" w:line="276"/>
        <w:jc w:val="both"/>
      </w:pPr>
      <w:r>
        <w:rPr>
          <w:rFonts w:ascii="Barlow Semi Condensed" w:cs="Barlow Semi Condensed" w:eastAsia="Barlow Semi Condensed" w:hAnsi="Barlow Semi Condensed"/>
          <w:b/>
          <w:bCs/>
          <w:sz w:val="24"/>
          <w:szCs w:val="24"/>
        </w:rPr>
        <w:t xml:space="preserve">2756 · Che cosa quel richiamo non stabilisce.</w:t>
      </w:r>
      <w:r>
        <w:rPr>
          <w:rFonts w:ascii="Barlow Semi Condensed" w:cs="Barlow Semi Condensed" w:eastAsia="Barlow Semi Condensed" w:hAnsi="Barlow Semi Condensed"/>
          <w:sz w:val="24"/>
          <w:szCs w:val="24"/>
        </w:rPr>
        <w:t xml:space="preserve"> Il precedente richiamato attesta che nel settembre 1974 la vicenda portoghese serviva come argomento verso interlocutori italiani. Non attesta che una linea portoghese fosse stata decisa, né che l'Italia venisse trattata come il Portogallo, né che alcuna misura sia seguita. È un uso argomentativo documentato di un caso, ed è già molto: promuoverlo a politica eseguita sarebbe la promozione che il corpus vieta.</w:t>
      </w:r>
    </w:p>
    <w:p>
      <w:pPr>
        <w:spacing w:after="120" w:line="276"/>
        <w:jc w:val="both"/>
      </w:pPr>
      <w:r>
        <w:rPr>
          <w:rFonts w:ascii="Barlow Semi Condensed" w:cs="Barlow Semi Condensed" w:eastAsia="Barlow Semi Condensed" w:hAnsi="Barlow Semi Condensed"/>
          <w:b/>
          <w:bCs/>
          <w:sz w:val="24"/>
          <w:szCs w:val="24"/>
        </w:rPr>
        <w:t xml:space="preserve">2757 · Il collazionamento da eseguire.</w:t>
      </w:r>
      <w:r>
        <w:rPr>
          <w:rFonts w:ascii="Barlow Semi Condensed" w:cs="Barlow Semi Condensed" w:eastAsia="Barlow Semi Condensed" w:hAnsi="Barlow Semi Condensed"/>
          <w:sz w:val="24"/>
          <w:szCs w:val="24"/>
        </w:rPr>
        <w:t xml:space="preserve"> Quesito operativo, il più economico dell'intera serie. Si collazionino, sul testo integrale del volume E-15 parte 2, il documento 153 e il documento 350, verificando se il precedente portoghese richiamato il 25 settembre 1974 corrisponda alla valutazione registrata nel primo e con quale formula. Sede, l'edizione dell'Office of the Historian e il file 1552802 della Ford Library. Esito atteso ignoto.</w:t>
      </w:r>
    </w:p>
    <w:p>
      <w:pPr>
        <w:spacing w:after="120" w:line="276"/>
        <w:jc w:val="both"/>
      </w:pPr>
      <w:r>
        <w:rPr>
          <w:rFonts w:ascii="Barlow Semi Condensed" w:cs="Barlow Semi Condensed" w:eastAsia="Barlow Semi Condensed" w:hAnsi="Barlow Semi Condensed"/>
          <w:b/>
          <w:bCs/>
          <w:sz w:val="24"/>
          <w:szCs w:val="24"/>
        </w:rPr>
        <w:t xml:space="preserve">2758 · Le date che si sovrappongono.</w:t>
      </w:r>
      <w:r>
        <w:rPr>
          <w:rFonts w:ascii="Barlow Semi Condensed" w:cs="Barlow Semi Condensed" w:eastAsia="Barlow Semi Condensed" w:hAnsi="Barlow Semi Condensed"/>
          <w:sz w:val="24"/>
          <w:szCs w:val="24"/>
        </w:rPr>
        <w:t xml:space="preserve"> Il 25 aprile 1974 cade dentro il secondo mandato di Moro e dentro il periodo in cui l'uomo di questa serie teneva insieme i due incarichi americani, dal 22 settembre 1973 al 3 novembre 1975. La sovrapposizione è integrale sul calendario e vuota sui documenti del territorio. Registrare l'una senza l'altra produce esattamente l'illusione che questi ottanta bersagli servono a disfare.</w:t>
      </w:r>
    </w:p>
    <w:p>
      <w:pPr>
        <w:spacing w:after="120" w:line="276"/>
        <w:jc w:val="both"/>
      </w:pPr>
      <w:r>
        <w:rPr>
          <w:rFonts w:ascii="Barlow Semi Condensed" w:cs="Barlow Semi Condensed" w:eastAsia="Barlow Semi Condensed" w:hAnsi="Barlow Semi Condensed"/>
          <w:b/>
          <w:bCs/>
          <w:sz w:val="24"/>
          <w:szCs w:val="24"/>
        </w:rPr>
        <w:t xml:space="preserve">2759 · Che cosa la campagna concettuale aveva preso.</w:t>
      </w:r>
      <w:r>
        <w:rPr>
          <w:rFonts w:ascii="Barlow Semi Condensed" w:cs="Barlow Semi Condensed" w:eastAsia="Barlow Semi Condensed" w:hAnsi="Barlow Semi Condensed"/>
          <w:sz w:val="24"/>
          <w:szCs w:val="24"/>
        </w:rPr>
        <w:t xml:space="preserve"> I blocchi dal 323 al 335 della quinta serie avevano già registrato il teatro portoghese: le Azzorre, il regime neutralista, lo Stato Zero moroteo, il riconoscimento italiano, i quattro giacimenti d'archivio, l'espulsione, la conferenza romana, l'udienza pontificia, Wiriyamu, l'ente sorvegliato. Tutto per via concettuale. Nessuno di quei blocchi aveva contato le occorrenze del nome dentro i file, che è ciò che questa serie fa.</w:t>
      </w:r>
    </w:p>
    <w:p>
      <w:pPr>
        <w:spacing w:after="120" w:line="276"/>
        <w:jc w:val="both"/>
      </w:pPr>
      <w:r>
        <w:rPr>
          <w:rFonts w:ascii="Barlow Semi Condensed" w:cs="Barlow Semi Condensed" w:eastAsia="Barlow Semi Condensed" w:hAnsi="Barlow Semi Condensed"/>
          <w:b/>
          <w:bCs/>
          <w:sz w:val="24"/>
          <w:szCs w:val="24"/>
        </w:rPr>
        <w:t xml:space="preserve">2760 · La doppia registrazione del riconoscimento.</w:t>
      </w:r>
      <w:r>
        <w:rPr>
          <w:rFonts w:ascii="Barlow Semi Condensed" w:cs="Barlow Semi Condensed" w:eastAsia="Barlow Semi Condensed" w:hAnsi="Barlow Semi Condensed"/>
          <w:sz w:val="24"/>
          <w:szCs w:val="24"/>
        </w:rPr>
        <w:t xml:space="preserve"> Il riconoscimento italiano del governo uscito dal 25 aprile compare due volte nell'opera in mille blocchi, al 255 e al 327, con contenuto quasi identico. Non è divergenza, è ridondanza, e va segnalata per ciò che insegna: una campagna concettuale ripete perché non ha un territorio che la vincoli. Una campagna territoriale ripete soltanto se ha letto male il file assegnato.</w:t>
      </w:r>
    </w:p>
    <w:p>
      <w:pPr>
        <w:spacing w:after="120" w:line="276"/>
        <w:jc w:val="both"/>
      </w:pPr>
      <w:r>
        <w:rPr>
          <w:rFonts w:ascii="Barlow Semi Condensed" w:cs="Barlow Semi Condensed" w:eastAsia="Barlow Semi Condensed" w:hAnsi="Barlow Semi Condensed"/>
          <w:b/>
          <w:bCs/>
          <w:sz w:val="24"/>
          <w:szCs w:val="24"/>
        </w:rPr>
        <w:t xml:space="preserve">2761 · Aginter, due statuti compatibili.</w:t>
      </w:r>
      <w:r>
        <w:rPr>
          <w:rFonts w:ascii="Barlow Semi Condensed" w:cs="Barlow Semi Condensed" w:eastAsia="Barlow Semi Condensed" w:hAnsi="Barlow Semi Condensed"/>
          <w:sz w:val="24"/>
          <w:szCs w:val="24"/>
        </w:rPr>
        <w:t xml:space="preserve"> Su Aginter Press l'undicesimo capitolo del secondo file dichiara Stato Zero, non avendo reperito fonti primarie né studi con revisione paritaria, e qualifica come non sostenuta la tesi circolante. I blocchi 420 e 707 aggiungono che il termine non compare altrove nel branch. Silenzio del corpus da un lato, esito negativo dichiarato dall'altro: nessuno dei due statuti è collegabile a questo nome.</w:t>
      </w:r>
    </w:p>
    <w:p>
      <w:pPr>
        <w:spacing w:after="120" w:line="276"/>
        <w:jc w:val="both"/>
      </w:pPr>
      <w:r>
        <w:rPr>
          <w:rFonts w:ascii="Barlow Semi Condensed" w:cs="Barlow Semi Condensed" w:eastAsia="Barlow Semi Condensed" w:hAnsi="Barlow Semi Condensed"/>
          <w:b/>
          <w:bCs/>
          <w:sz w:val="24"/>
          <w:szCs w:val="24"/>
        </w:rPr>
        <w:t xml:space="preserve">2762 · Le due precisazioni dell'apparato F-3.</w:t>
      </w:r>
      <w:r>
        <w:rPr>
          <w:rFonts w:ascii="Barlow Semi Condensed" w:cs="Barlow Semi Condensed" w:eastAsia="Barlow Semi Condensed" w:hAnsi="Barlow Semi Condensed"/>
          <w:sz w:val="24"/>
          <w:szCs w:val="24"/>
        </w:rPr>
        <w:t xml:space="preserve"> L'apparato F-3 della triangolazione della seconda campagna corregge i file che questa serie legge: la data dell'espulsione va portata da «12, 13 o 14 aprile» a «10-14 aprile 1974», e la cifra dei quarantotto Padri Bianchi poggia su una sola voce enciclopedica e diverge da quella della congregazione. Chi riprenda il territorio parta dalle versioni corrette, non da quelle stampate nei capitoli.</w:t>
      </w:r>
    </w:p>
    <w:p>
      <w:pPr>
        <w:spacing w:after="120" w:line="276"/>
        <w:jc w:val="both"/>
      </w:pPr>
      <w:r>
        <w:rPr>
          <w:rFonts w:ascii="Barlow Semi Condensed" w:cs="Barlow Semi Condensed" w:eastAsia="Barlow Semi Condensed" w:hAnsi="Barlow Semi Condensed"/>
          <w:b/>
          <w:bCs/>
          <w:sz w:val="24"/>
          <w:szCs w:val="24"/>
        </w:rPr>
        <w:t xml:space="preserve">2763 · Lisbona e Roma, prova dell'omologia.</w:t>
      </w:r>
      <w:r>
        <w:rPr>
          <w:rFonts w:ascii="Barlow Semi Condensed" w:cs="Barlow Semi Condensed" w:eastAsia="Barlow Semi Condensed" w:hAnsi="Barlow Semi Condensed"/>
          <w:sz w:val="24"/>
          <w:szCs w:val="24"/>
        </w:rPr>
        <w:t xml:space="preserve"> Regola applicata al caso concreto: due crisi mediterranee del medesimo biennio si somigliano perché rispondono allo stesso problema, non perché discendano da un antenato comune. Il test è uno solo e non ammette surrogati, cioè un documento di provenienza che nomini insieme i due teatri. Il richiamo del precedente portoghese nel verbale del settembre 1974 è precisamente quel documento, e per questo va usato con misura.</w:t>
      </w:r>
    </w:p>
    <w:p>
      <w:pPr>
        <w:spacing w:after="120" w:line="276"/>
        <w:jc w:val="both"/>
      </w:pPr>
      <w:r>
        <w:rPr>
          <w:rFonts w:ascii="Barlow Semi Condensed" w:cs="Barlow Semi Condensed" w:eastAsia="Barlow Semi Condensed" w:hAnsi="Barlow Semi Condensed"/>
          <w:b/>
          <w:bCs/>
          <w:sz w:val="24"/>
          <w:szCs w:val="24"/>
        </w:rPr>
        <w:t xml:space="preserve">2764 · L'effetto convergente da causa comune (serie XXXVI).</w:t>
      </w:r>
      <w:r>
        <w:rPr>
          <w:rFonts w:ascii="Barlow Semi Condensed" w:cs="Barlow Semi Condensed" w:eastAsia="Barlow Semi Condensed" w:hAnsi="Barlow Semi Condensed"/>
          <w:sz w:val="24"/>
          <w:szCs w:val="24"/>
        </w:rPr>
        <w:t xml:space="preserve"> Alla griglia dei gradi la seconda campagna ha proposto una quinta voce: due esiti simultanei che discendono provatamente dallo stesso evento e non l'uno dall'altro. Il 1974 mediterraneo ne è il banco di prova, con Lisbona in aprile, Atene in luglio, Roma in autunno. La voce va dichiarata prima di ogni altra ipotesi, perché impedisce che una simultaneità con causa nota diventi nesso.</w:t>
      </w:r>
    </w:p>
    <w:p>
      <w:pPr>
        <w:spacing w:after="120" w:line="276"/>
        <w:jc w:val="both"/>
      </w:pPr>
      <w:r>
        <w:rPr>
          <w:rFonts w:ascii="Barlow Semi Condensed" w:cs="Barlow Semi Condensed" w:eastAsia="Barlow Semi Condensed" w:hAnsi="Barlow Semi Condensed"/>
          <w:b/>
          <w:bCs/>
          <w:sz w:val="24"/>
          <w:szCs w:val="24"/>
        </w:rPr>
        <w:t xml:space="preserve">2765 · Ford Library, serie da aprire.</w:t>
      </w:r>
      <w:r>
        <w:rPr>
          <w:rFonts w:ascii="Barlow Semi Condensed" w:cs="Barlow Semi Condensed" w:eastAsia="Barlow Semi Condensed" w:hAnsi="Barlow Semi Condensed"/>
          <w:sz w:val="24"/>
          <w:szCs w:val="24"/>
        </w:rPr>
        <w:t xml:space="preserve"> Bersaglio d'archivio nominato. Alla Gerald R. Ford Presidential Library, oltre ai file 1552802 e 1552806 già editi, la serie da spogliare è quella dei Presidential Country Files for Europe and Canada del National Security Adviser, alla voce Portogallo, per l'arco novembre 1974 – gennaio 1977. Quesito: vi compaiono documenti che nominino insieme il dossier portoghese e la situazione politica italiana?</w:t>
      </w:r>
    </w:p>
    <w:p>
      <w:pPr>
        <w:spacing w:after="120" w:line="276"/>
        <w:jc w:val="both"/>
      </w:pPr>
      <w:r>
        <w:rPr>
          <w:rFonts w:ascii="Barlow Semi Condensed" w:cs="Barlow Semi Condensed" w:eastAsia="Barlow Semi Condensed" w:hAnsi="Barlow Semi Condensed"/>
          <w:b/>
          <w:bCs/>
          <w:sz w:val="24"/>
          <w:szCs w:val="24"/>
        </w:rPr>
        <w:t xml:space="preserve">2766 · College Park, i materiali Nixon.</w:t>
      </w:r>
      <w:r>
        <w:rPr>
          <w:rFonts w:ascii="Barlow Semi Condensed" w:cs="Barlow Semi Condensed" w:eastAsia="Barlow Semi Condensed" w:hAnsi="Barlow Semi Condensed"/>
          <w:sz w:val="24"/>
          <w:szCs w:val="24"/>
        </w:rPr>
        <w:t xml:space="preserve"> Per l'arco 1969 – agosto 1974 la sede corrispondente sono i Nixon Presidential Materials presso i National Archives di College Park, coi National Security Council Files e i Country Files alla voce Portogallo. Il corpus li ha già indicati al blocco 100 per il versante dottrinale; qui si indicano per il fattuale, con lo stesso quesito e faldoni in parte diversi.</w:t>
      </w:r>
    </w:p>
    <w:p>
      <w:pPr>
        <w:spacing w:after="120" w:line="276"/>
        <w:jc w:val="both"/>
      </w:pPr>
      <w:r>
        <w:rPr>
          <w:rFonts w:ascii="Barlow Semi Condensed" w:cs="Barlow Semi Condensed" w:eastAsia="Barlow Semi Condensed" w:hAnsi="Barlow Semi Condensed"/>
          <w:b/>
          <w:bCs/>
          <w:sz w:val="24"/>
          <w:szCs w:val="24"/>
        </w:rPr>
        <w:t xml:space="preserve">2767 · I fascicoli istituzionali del Consiglio.</w:t>
      </w:r>
      <w:r>
        <w:rPr>
          <w:rFonts w:ascii="Barlow Semi Condensed" w:cs="Barlow Semi Condensed" w:eastAsia="Barlow Semi Condensed" w:hAnsi="Barlow Semi Condensed"/>
          <w:sz w:val="24"/>
          <w:szCs w:val="24"/>
        </w:rPr>
        <w:t xml:space="preserve"> Terzo bersaglio americano: gli Institutional Files del Consiglio di sicurezza nazionale, dove sono conservati i National Security Study Memoranda, i Decision Memoranda e i verbali degli organismi che governavano l'azione coperta. Quesito, formulato senza presupporre la risposta: esiste per il Portogallo del 1974-1975 un documento di quella famiglia, e con quale esito? Il territorio non lo domanda e i mille blocchi neppure.</w:t>
      </w:r>
    </w:p>
    <w:p>
      <w:pPr>
        <w:spacing w:after="120" w:line="276"/>
        <w:jc w:val="both"/>
      </w:pPr>
      <w:r>
        <w:rPr>
          <w:rFonts w:ascii="Barlow Semi Condensed" w:cs="Barlow Semi Condensed" w:eastAsia="Barlow Semi Condensed" w:hAnsi="Barlow Semi Condensed"/>
          <w:b/>
          <w:bCs/>
          <w:sz w:val="24"/>
          <w:szCs w:val="24"/>
        </w:rPr>
        <w:t xml:space="preserve">2768 · Salazar e Caetano, i due fondi.</w:t>
      </w:r>
      <w:r>
        <w:rPr>
          <w:rFonts w:ascii="Barlow Semi Condensed" w:cs="Barlow Semi Condensed" w:eastAsia="Barlow Semi Condensed" w:hAnsi="Barlow Semi Condensed"/>
          <w:sz w:val="24"/>
          <w:szCs w:val="24"/>
        </w:rPr>
        <w:t xml:space="preserve"> Alla Torre do Tombo il decimo capitolo del primo file censisce tre fondi: PIDE-DGS, Arquivo Oliveira Salazar e Arquivo Marcello Caetano. Bersaglio proprio di questa serie, nei due fondi personali: la corrispondenza e i telegrammi con l'ambasciata portoghese a Washington per gli anni 1969-1974. Accesso dai sedici anni, iscrizione alla piattaforma CRAV, descrizione su Digitarq, regolamento speciale per il fondo di polizia.</w:t>
      </w:r>
    </w:p>
    <w:p>
      <w:pPr>
        <w:spacing w:after="120" w:line="276"/>
        <w:jc w:val="both"/>
      </w:pPr>
      <w:r>
        <w:rPr>
          <w:rFonts w:ascii="Barlow Semi Condensed" w:cs="Barlow Semi Condensed" w:eastAsia="Barlow Semi Condensed" w:hAnsi="Barlow Semi Condensed"/>
          <w:b/>
          <w:bCs/>
          <w:sz w:val="24"/>
          <w:szCs w:val="24"/>
        </w:rPr>
        <w:t xml:space="preserve">2769 · L'ambasciata portoghese a Washington.</w:t>
      </w:r>
      <w:r>
        <w:rPr>
          <w:rFonts w:ascii="Barlow Semi Condensed" w:cs="Barlow Semi Condensed" w:eastAsia="Barlow Semi Condensed" w:hAnsi="Barlow Semi Condensed"/>
          <w:sz w:val="24"/>
          <w:szCs w:val="24"/>
        </w:rPr>
        <w:t xml:space="preserve"> L'Arquivo Histórico-Diplomático del ministero portoghese, descritto attraverso l'Instituto Diplomático, conserva le serie sulle relazioni diplomatiche dal 1640. Il secondo file lamenta di non aver reperito un inventario che isoli la corrispondenza dell'ambasciata a Roma e presso la Santa Sede. La stessa lacuna vale, e nessuno la dichiara, per l'ambasciata a Washington negli anni 1969-1975: si dichiara qui, con la sede che la chiuderebbe.</w:t>
      </w:r>
    </w:p>
    <w:p>
      <w:pPr>
        <w:spacing w:after="120" w:line="276"/>
        <w:jc w:val="both"/>
      </w:pPr>
      <w:r>
        <w:rPr>
          <w:rFonts w:ascii="Barlow Semi Condensed" w:cs="Barlow Semi Condensed" w:eastAsia="Barlow Semi Condensed" w:hAnsi="Barlow Semi Condensed"/>
          <w:b/>
          <w:bCs/>
          <w:sz w:val="24"/>
          <w:szCs w:val="24"/>
        </w:rPr>
        <w:t xml:space="preserve">2770 · Il quesito da portare alla Farnesina.</w:t>
      </w:r>
      <w:r>
        <w:rPr>
          <w:rFonts w:ascii="Barlow Semi Condensed" w:cs="Barlow Semi Condensed" w:eastAsia="Barlow Semi Condensed" w:hAnsi="Barlow Semi Condensed"/>
          <w:sz w:val="24"/>
          <w:szCs w:val="24"/>
        </w:rPr>
        <w:t xml:space="preserve"> I due file indicano concordemente l'Archivio Storico Diplomatico come sede a rendimento massimo. Il quesito di questa serie va aggiunto ai telespressi dell'ambasciata di Lisbona e agli appunti della Direzione Generale Affari Politici: risulta, nella serie Portogallo 1969-1974, un appunto che riferisca posizioni americane sulla transizione? Resta il limite già accertato dal corpus sull'esclusione temporanea dei Telegrammi 1942-1970.</w:t>
      </w:r>
    </w:p>
    <w:p>
      <w:pPr>
        <w:spacing w:after="120" w:line="276"/>
        <w:jc w:val="both"/>
      </w:pPr>
      <w:r>
        <w:rPr>
          <w:rFonts w:ascii="Barlow Semi Condensed" w:cs="Barlow Semi Condensed" w:eastAsia="Barlow Semi Condensed" w:hAnsi="Barlow Semi Condensed"/>
          <w:b/>
          <w:bCs/>
          <w:sz w:val="24"/>
          <w:szCs w:val="24"/>
        </w:rPr>
        <w:t xml:space="preserve">2771 · Il quarto deposito delle carte Moro (serie XXXVI).</w:t>
      </w:r>
      <w:r>
        <w:rPr>
          <w:rFonts w:ascii="Barlow Semi Condensed" w:cs="Barlow Semi Condensed" w:eastAsia="Barlow Semi Condensed" w:hAnsi="Barlow Semi Condensed"/>
          <w:sz w:val="24"/>
          <w:szCs w:val="24"/>
        </w:rPr>
        <w:t xml:space="preserve"> Il fondo Moro dell'Archivio storico del Senato, segnatura IT-AFS-048, è il deposito che la seconda campagna ha aggiunto ai tre censiti dai cantieri ai blocchi 221-223 e 235, con unità digitalizzate proprio sul ministro degli Esteri. È la prima sede da interrogare per ogni carta italiana del periodo, e il secondo file lo indica come sede di chiusura per gli interventi mai reperiti.</w:t>
      </w:r>
    </w:p>
    <w:p>
      <w:pPr>
        <w:spacing w:after="120" w:line="276"/>
        <w:jc w:val="both"/>
      </w:pPr>
      <w:r>
        <w:rPr>
          <w:rFonts w:ascii="Barlow Semi Condensed" w:cs="Barlow Semi Condensed" w:eastAsia="Barlow Semi Condensed" w:hAnsi="Barlow Semi Condensed"/>
          <w:b/>
          <w:bCs/>
          <w:sz w:val="24"/>
          <w:szCs w:val="24"/>
        </w:rPr>
        <w:t xml:space="preserve">2772 · Nigrizia, annate da spogliare.</w:t>
      </w:r>
      <w:r>
        <w:rPr>
          <w:rFonts w:ascii="Barlow Semi Condensed" w:cs="Barlow Semi Condensed" w:eastAsia="Barlow Semi Condensed" w:hAnsi="Barlow Semi Condensed"/>
          <w:sz w:val="24"/>
          <w:szCs w:val="24"/>
        </w:rPr>
        <w:t xml:space="preserve"> L'Archivio Comboniano di Roma e la redazione storica di «Nigrizia» sono indicati dall'undicesimo capitolo del secondo file come sede per le annate 1974-1976. Bersaglio ulteriore: verificare se in quelle annate la critica all'Accordo missionario del 7 maggio 1940 sia mai accompagnata da riferimenti alla politica statunitense verso Lisbona. Esito ignoto, costo basso, rendimento incerto e dichiarato tale in partenza.</w:t>
      </w:r>
    </w:p>
    <w:p>
      <w:pPr>
        <w:spacing w:after="120" w:line="276"/>
        <w:jc w:val="both"/>
      </w:pPr>
      <w:r>
        <w:rPr>
          <w:rFonts w:ascii="Barlow Semi Condensed" w:cs="Barlow Semi Condensed" w:eastAsia="Barlow Semi Condensed" w:hAnsi="Barlow Semi Condensed"/>
          <w:b/>
          <w:bCs/>
          <w:sz w:val="24"/>
          <w:szCs w:val="24"/>
        </w:rPr>
        <w:t xml:space="preserve">2773 · Gli archivi dell'Alleanza atlantica.</w:t>
      </w:r>
      <w:r>
        <w:rPr>
          <w:rFonts w:ascii="Barlow Semi Condensed" w:cs="Barlow Semi Condensed" w:eastAsia="Barlow Semi Condensed" w:hAnsi="Barlow Semi Condensed"/>
          <w:sz w:val="24"/>
          <w:szCs w:val="24"/>
        </w:rPr>
        <w:t xml:space="preserve"> Agli archivi della NATO il decimo capitolo rinvia per la crisi atlantica del 1975 senza formulare un quesito. Se ne formula uno: nei verbali del Consiglio atlantico fra l'aprile 1974 e il dicembre 1975 risultano interventi statunitensi sul Portogallo verbalizzati con attribuzione nominativa, e vi ricorre la formula del regime neutralista? Sede, NATO Archives Online e la Rappresentanza permanente italiana presso l'Alleanza.</w:t>
      </w:r>
    </w:p>
    <w:p>
      <w:pPr>
        <w:spacing w:after="120" w:line="276"/>
        <w:jc w:val="both"/>
      </w:pPr>
      <w:r>
        <w:rPr>
          <w:rFonts w:ascii="Barlow Semi Condensed" w:cs="Barlow Semi Condensed" w:eastAsia="Barlow Semi Condensed" w:hAnsi="Barlow Semi Condensed"/>
          <w:b/>
          <w:bCs/>
          <w:sz w:val="24"/>
          <w:szCs w:val="24"/>
        </w:rPr>
        <w:t xml:space="preserve">2774 · Digitarq, CRAV e il regolamento.</w:t>
      </w:r>
      <w:r>
        <w:rPr>
          <w:rFonts w:ascii="Barlow Semi Condensed" w:cs="Barlow Semi Condensed" w:eastAsia="Barlow Semi Condensed" w:hAnsi="Barlow Semi Condensed"/>
          <w:sz w:val="24"/>
          <w:szCs w:val="24"/>
        </w:rPr>
        <w:t xml:space="preserve"> Nota di accessibilità che vale come vincolo di pianificazione. La Torre do Tombo è aperta ai maggiori di sedici anni, con diciotto per talune richieste in rete; il fondo di polizia politica è retto da regolamento proprio e va richiesto al servizio di riferimento; la piattaforma digitale è Digitarq, rinnovata nel 2025. Chi programmi la trasferta sappia che la richiesta precede la sala.</w:t>
      </w:r>
    </w:p>
    <w:p>
      <w:pPr>
        <w:spacing w:after="120" w:line="276"/>
        <w:jc w:val="both"/>
      </w:pPr>
      <w:r>
        <w:rPr>
          <w:rFonts w:ascii="Barlow Semi Condensed" w:cs="Barlow Semi Condensed" w:eastAsia="Barlow Semi Condensed" w:hAnsi="Barlow Semi Condensed"/>
          <w:b/>
          <w:bCs/>
          <w:sz w:val="24"/>
          <w:szCs w:val="24"/>
        </w:rPr>
        <w:t xml:space="preserve">2775 · Che cosa falsificherebbe lo Stato Zero.</w:t>
      </w:r>
      <w:r>
        <w:rPr>
          <w:rFonts w:ascii="Barlow Semi Condensed" w:cs="Barlow Semi Condensed" w:eastAsia="Barlow Semi Condensed" w:hAnsi="Barlow Semi Condensed"/>
          <w:sz w:val="24"/>
          <w:szCs w:val="24"/>
        </w:rPr>
        <w:t xml:space="preserve"> Primo bersaglio di smentita, specifico. Lo Stato Zero di questa serie cadrebbe col rinvenimento, in una qualunque delle sedi nominate, di un documento che nomini insieme il nome e un atto della Farnesina di Moro sul Portogallo: un telespresso che riferisca un colloquio, un appunto che citi una richiesta, un verbale che registri una posizione. Un documento solo basterebbe, e cambierebbe l'intera serie.</w:t>
      </w:r>
    </w:p>
    <w:p>
      <w:pPr>
        <w:spacing w:after="120" w:line="276"/>
        <w:jc w:val="both"/>
      </w:pPr>
      <w:r>
        <w:rPr>
          <w:rFonts w:ascii="Barlow Semi Condensed" w:cs="Barlow Semi Condensed" w:eastAsia="Barlow Semi Condensed" w:hAnsi="Barlow Semi Condensed"/>
          <w:b/>
          <w:bCs/>
          <w:sz w:val="24"/>
          <w:szCs w:val="24"/>
        </w:rPr>
        <w:t xml:space="preserve">2776 · Che cosa falsificherebbe il ponte.</w:t>
      </w:r>
      <w:r>
        <w:rPr>
          <w:rFonts w:ascii="Barlow Semi Condensed" w:cs="Barlow Semi Condensed" w:eastAsia="Barlow Semi Condensed" w:hAnsi="Barlow Semi Condensed"/>
          <w:sz w:val="24"/>
          <w:szCs w:val="24"/>
        </w:rPr>
        <w:t xml:space="preserve"> Secondo bersaglio di smentita, rivolto contro l'unico accertamento di piano 1 qui impiegato. Se il testo integrale del documento 350 non contenesse alcun richiamo al precedente portoghese, o lo contenesse in bocca a un altro dei presenti, il ponte cadrebbe oppure si sposterebbe di soggetto. La verifica è possibile e va eseguita prima di ogni ripresa: l'accertamento viene dall'apparato, non dal territorio.</w:t>
      </w:r>
    </w:p>
    <w:p>
      <w:pPr>
        <w:spacing w:after="120" w:line="276"/>
        <w:jc w:val="both"/>
      </w:pPr>
      <w:r>
        <w:rPr>
          <w:rFonts w:ascii="Barlow Semi Condensed" w:cs="Barlow Semi Condensed" w:eastAsia="Barlow Semi Condensed" w:hAnsi="Barlow Semi Condensed"/>
          <w:b/>
          <w:bCs/>
          <w:sz w:val="24"/>
          <w:szCs w:val="24"/>
        </w:rPr>
        <w:t xml:space="preserve">2777 · La cornice non è una catena.</w:t>
      </w:r>
      <w:r>
        <w:rPr>
          <w:rFonts w:ascii="Barlow Semi Condensed" w:cs="Barlow Semi Condensed" w:eastAsia="Barlow Semi Condensed" w:hAnsi="Barlow Semi Condensed"/>
          <w:sz w:val="24"/>
          <w:szCs w:val="24"/>
        </w:rPr>
        <w:t xml:space="preserve"> Regola di lettura applicabile a ogni blocco di questa serie. La preoccupazione atlantica per il Mediterraneo del 1974-1975 è cornice storica seria e documentata, e una cornice contiene i suoi oggetti senza collegarli fra loro. Il Portogallo di Spínola, la Grecia uscita dai colonnelli e l'Italia di Moro vi stanno dentro tutti e tre: starvi dentro non è essere legati, come il blocco 894 già scrive.</w:t>
      </w:r>
    </w:p>
    <w:p>
      <w:pPr>
        <w:spacing w:after="120" w:line="276"/>
        <w:jc w:val="both"/>
      </w:pPr>
      <w:r>
        <w:rPr>
          <w:rFonts w:ascii="Barlow Semi Condensed" w:cs="Barlow Semi Condensed" w:eastAsia="Barlow Semi Condensed" w:hAnsi="Barlow Semi Condensed"/>
          <w:b/>
          <w:bCs/>
          <w:sz w:val="24"/>
          <w:szCs w:val="24"/>
        </w:rPr>
        <w:t xml:space="preserve">2778 · La replicazione non produce prova.</w:t>
      </w:r>
      <w:r>
        <w:rPr>
          <w:rFonts w:ascii="Barlow Semi Condensed" w:cs="Barlow Semi Condensed" w:eastAsia="Barlow Semi Condensed" w:hAnsi="Barlow Semi Condensed"/>
          <w:sz w:val="24"/>
          <w:szCs w:val="24"/>
        </w:rPr>
        <w:t xml:space="preserve"> La qualificazione dell'insofferenza circola in forma pressoché identica in numerose riprese, tutte discendenti da poche fonti giornalistiche italiane. Il numero delle ripetizioni non aggiunge valore probatorio: è copia senza informazione nuova. Il criterio è quello già applicato dall'opera all'episodio del settembre 1974, la cui moltiplicazione è apparente e risale a un unico lancio d'agenzia del 30 novembre 2023.</w:t>
      </w:r>
    </w:p>
    <w:p>
      <w:pPr>
        <w:spacing w:after="120" w:line="276"/>
        <w:jc w:val="both"/>
      </w:pPr>
      <w:r>
        <w:rPr>
          <w:rFonts w:ascii="Barlow Semi Condensed" w:cs="Barlow Semi Condensed" w:eastAsia="Barlow Semi Condensed" w:hAnsi="Barlow Semi Condensed"/>
          <w:b/>
          <w:bCs/>
          <w:sz w:val="24"/>
          <w:szCs w:val="24"/>
        </w:rPr>
        <w:t xml:space="preserve">2779 · Il limite penale, ribadito qui.</w:t>
      </w:r>
      <w:r>
        <w:rPr>
          <w:rFonts w:ascii="Barlow Semi Condensed" w:cs="Barlow Semi Condensed" w:eastAsia="Barlow Semi Condensed" w:hAnsi="Barlow Semi Condensed"/>
          <w:sz w:val="24"/>
          <w:szCs w:val="24"/>
        </w:rPr>
        <w:t xml:space="preserve"> Vincolo che vale su questo territorio come su tutti gli altri. Henry Kissinger non fu condannato in alcun processo, non fu mai imputato né processato in alcun Paese, e non fu mai sentito da magistrati italiani. Nessun blocco di questa serie lo indica come responsabile di alcunché in relazione al Portogallo, al Mozambico o all'Italia. Le valutazioni politiche appartengono al dibattito pubblico, non al registro del giudicato.</w:t>
      </w:r>
    </w:p>
    <w:p>
      <w:pPr>
        <w:spacing w:after="120" w:line="276"/>
        <w:jc w:val="both"/>
      </w:pPr>
      <w:r>
        <w:rPr>
          <w:rFonts w:ascii="Barlow Semi Condensed" w:cs="Barlow Semi Condensed" w:eastAsia="Barlow Semi Condensed" w:hAnsi="Barlow Semi Condensed"/>
          <w:b/>
          <w:bCs/>
          <w:sz w:val="24"/>
          <w:szCs w:val="24"/>
        </w:rPr>
        <w:t xml:space="preserve">2780 · Riga di chiusura della serie.</w:t>
      </w:r>
      <w:r>
        <w:rPr>
          <w:rFonts w:ascii="Barlow Semi Condensed" w:cs="Barlow Semi Condensed" w:eastAsia="Barlow Semi Condensed" w:hAnsi="Barlow Semi Condensed"/>
          <w:sz w:val="24"/>
          <w:szCs w:val="24"/>
        </w:rPr>
        <w:t xml:space="preserve"> Bilancio: due file letti per intero, ventiquattro capitoli, due occorrenze del nome contate, sei stringhe verificate a zero, un accertamento di piano 1 recuperato da un apparato e mai usato in mille blocchi, otto Stati Zero nuovi dichiarati con la loro sede, due bersagli di smentita eseguibili, undici sedi d'archivio nominate. Nessun ponte inventato. Il territorio quasi tace su questo nome, e il quasi è stato misurato.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trentasettesima — La Farnesina: Grecia</w:t>
      </w:r>
    </w:p>
    <w:p>
      <w:pPr>
        <w:spacing w:after="120" w:line="276"/>
        <w:jc w:val="both"/>
      </w:pPr>
      <w:r>
        <w:rPr>
          <w:rFonts w:ascii="Barlow Semi Condensed" w:cs="Barlow Semi Condensed" w:eastAsia="Barlow Semi Condensed" w:hAnsi="Barlow Semi Condensed"/>
          <w:i/>
          <w:iCs/>
          <w:sz w:val="24"/>
          <w:szCs w:val="24"/>
        </w:rPr>
        <w:t xml:space="preserve">Blocchi 2781-2855.</w:t>
      </w:r>
    </w:p>
    <w:p>
      <w:pPr>
        <w:spacing w:after="120" w:line="276"/>
        <w:jc w:val="both"/>
      </w:pPr>
      <w:r>
        <w:rPr>
          <w:rFonts w:ascii="Barlow Semi Condensed" w:cs="Barlow Semi Condensed" w:eastAsia="Barlow Semi Condensed" w:hAnsi="Barlow Semi Condensed"/>
          <w:b/>
          <w:bCs/>
          <w:sz w:val="24"/>
          <w:szCs w:val="24"/>
        </w:rPr>
        <w:t xml:space="preserve">2781 · Il territorio, con segnatura e impronta.</w:t>
      </w:r>
      <w:r>
        <w:rPr>
          <w:rFonts w:ascii="Barlow Semi Condensed" w:cs="Barlow Semi Condensed" w:eastAsia="Barlow Semi Condensed" w:hAnsi="Barlow Semi Condensed"/>
          <w:sz w:val="24"/>
          <w:szCs w:val="24"/>
        </w:rPr>
        <w:t xml:space="preserve"> Il territorio assegnato è il file grecia-opus-dei-1969-1985.md della cartella moro-ministro-esteri: novantasei righe, dodici capitoli, seimiladuecentottanta parole, archiviato con impronta SHA-256 e43654b0 registrata nel manifest-sha256.txt e riferita al caricamento originale 5bee0bd6. L'impronta è stata ricalcolata e coincide: la catena di custodia regge, e ogni accertamento che segue vale per questo esemplare e non per altra redazione del medesimo testo.</w:t>
      </w:r>
    </w:p>
    <w:p>
      <w:pPr>
        <w:spacing w:after="120" w:line="276"/>
        <w:jc w:val="both"/>
      </w:pPr>
      <w:r>
        <w:rPr>
          <w:rFonts w:ascii="Barlow Semi Condensed" w:cs="Barlow Semi Condensed" w:eastAsia="Barlow Semi Condensed" w:hAnsi="Barlow Semi Condensed"/>
          <w:b/>
          <w:bCs/>
          <w:sz w:val="24"/>
          <w:szCs w:val="24"/>
        </w:rPr>
        <w:t xml:space="preserve">2782 · L'unica occorrenza del nome.</w:t>
      </w:r>
      <w:r>
        <w:rPr>
          <w:rFonts w:ascii="Barlow Semi Condensed" w:cs="Barlow Semi Condensed" w:eastAsia="Barlow Semi Condensed" w:hAnsi="Barlow Semi Condensed"/>
          <w:sz w:val="24"/>
          <w:szCs w:val="24"/>
        </w:rPr>
        <w:t xml:space="preserve"> Nell'intero documento il nome Henry Kissinger compare una volta sola, alla riga quarantacinque, dentro il Capitolo VI sulla CSCE. Per confronto, nello stesso testo la sigla della centrale americana ricorre sei volte, l'Alleanza atlantica diciassette, la serie Foreign Relations nove, Washington una. La sproporzione non è un'impressione ma un conteggio ripetibile, ed è il primo accertamento territoriale di questa serie, di grado A perché meccanicamente verificabile da chiunque.</w:t>
      </w:r>
    </w:p>
    <w:p>
      <w:pPr>
        <w:spacing w:after="120" w:line="276"/>
        <w:jc w:val="both"/>
      </w:pPr>
      <w:r>
        <w:rPr>
          <w:rFonts w:ascii="Barlow Semi Condensed" w:cs="Barlow Semi Condensed" w:eastAsia="Barlow Semi Condensed" w:hAnsi="Barlow Semi Condensed"/>
          <w:b/>
          <w:bCs/>
          <w:sz w:val="24"/>
          <w:szCs w:val="24"/>
        </w:rPr>
        <w:t xml:space="preserve">2783 · Che cosa attesta quella riga.</w:t>
      </w:r>
      <w:r>
        <w:rPr>
          <w:rFonts w:ascii="Barlow Semi Condensed" w:cs="Barlow Semi Condensed" w:eastAsia="Barlow Semi Condensed" w:hAnsi="Barlow Semi Condensed"/>
          <w:sz w:val="24"/>
          <w:szCs w:val="24"/>
        </w:rPr>
        <w:t xml:space="preserve"> La riga quarantacinque cita il volume XXXIX dei Foreign Relations 1969-1976, documento 334, telegramma di Kissinger del 2 agosto 1975, per confermare che l'Atto finale fu sottoscritto da trentacinque capi di Stato o di governo e per descrivere la cerimonia conclusiva. Dal medesimo telegramma il capitolo ricava la dichiarazione interpretativa cipriota contro la riserva turca sulla rappresentanza. Questo, e soltanto questo, è il piano 1 del territorio.</w:t>
      </w:r>
    </w:p>
    <w:p>
      <w:pPr>
        <w:spacing w:after="120" w:line="276"/>
        <w:jc w:val="both"/>
      </w:pPr>
      <w:r>
        <w:rPr>
          <w:rFonts w:ascii="Barlow Semi Condensed" w:cs="Barlow Semi Condensed" w:eastAsia="Barlow Semi Condensed" w:hAnsi="Barlow Semi Condensed"/>
          <w:b/>
          <w:bCs/>
          <w:sz w:val="24"/>
          <w:szCs w:val="24"/>
        </w:rPr>
        <w:t xml:space="preserve">2784 · Ciò che quella riga non attesta.</w:t>
      </w:r>
      <w:r>
        <w:rPr>
          <w:rFonts w:ascii="Barlow Semi Condensed" w:cs="Barlow Semi Condensed" w:eastAsia="Barlow Semi Condensed" w:hAnsi="Barlow Semi Condensed"/>
          <w:sz w:val="24"/>
          <w:szCs w:val="24"/>
        </w:rPr>
        <w:t xml:space="preserve"> Il telegramma del 2 agosto 1975 è resoconto di cerimonia, non atto sulla Grecia: non verbalizza un colloquio con Moro, non prende posizione sulla questione greca, non nomina alcun ministro italiano. Usarlo come prova di un rapporto fra il nome studiato e il dossier greco significherebbe compiere la promozione indebita che il corpus vieta. Un documento attesta ciò che dice, e questo dice una cerimonia e una dichiarazione cipriota.</w:t>
      </w:r>
    </w:p>
    <w:p>
      <w:pPr>
        <w:spacing w:after="120" w:line="276"/>
        <w:jc w:val="both"/>
      </w:pPr>
      <w:r>
        <w:rPr>
          <w:rFonts w:ascii="Barlow Semi Condensed" w:cs="Barlow Semi Condensed" w:eastAsia="Barlow Semi Condensed" w:hAnsi="Barlow Semi Condensed"/>
          <w:b/>
          <w:bCs/>
          <w:sz w:val="24"/>
          <w:szCs w:val="24"/>
        </w:rPr>
        <w:t xml:space="preserve">2785 · L'incipit corrotto dell'esemplare archiviato.</w:t>
      </w:r>
      <w:r>
        <w:rPr>
          <w:rFonts w:ascii="Barlow Semi Condensed" w:cs="Barlow Semi Condensed" w:eastAsia="Barlow Semi Condensed" w:hAnsi="Barlow Semi Condensed"/>
          <w:sz w:val="24"/>
          <w:szCs w:val="24"/>
        </w:rPr>
        <w:t xml:space="preserve"> Il file si apre con tre lettere estranee saldate al titolo, «and# ALDO MORO, LA GRECIA E L'OPUS DEI», e l'impronta SHA-256 dimostra che il difetto appartiene all'esemplare originale e non è stato introdotto dopo l'archiviazione. Ne discende un bersaglio archivistico minuto ma reale: verificare se il caricamento contenesse un segmento anteriore oggi perduto, e se quel segmento nominasse persone che il testo superstite non nomina.</w:t>
      </w:r>
    </w:p>
    <w:p>
      <w:pPr>
        <w:spacing w:after="120" w:line="276"/>
        <w:jc w:val="both"/>
      </w:pPr>
      <w:r>
        <w:rPr>
          <w:rFonts w:ascii="Barlow Semi Condensed" w:cs="Barlow Semi Condensed" w:eastAsia="Barlow Semi Condensed" w:hAnsi="Barlow Semi Condensed"/>
          <w:b/>
          <w:bCs/>
          <w:sz w:val="24"/>
          <w:szCs w:val="24"/>
        </w:rPr>
        <w:t xml:space="preserve">2786 · La previsione dichiarata, e la sua imitazione.</w:t>
      </w:r>
      <w:r>
        <w:rPr>
          <w:rFonts w:ascii="Barlow Semi Condensed" w:cs="Barlow Semi Condensed" w:eastAsia="Barlow Semi Condensed" w:hAnsi="Barlow Semi Condensed"/>
          <w:sz w:val="24"/>
          <w:szCs w:val="24"/>
        </w:rPr>
        <w:t xml:space="preserve"> Il Capitolo I dichiara in anticipo la propria previsione, perché l'esito di una previsione è esso stesso un risultato. Questa serie assume lo stesso obbligo e lo scrive: si prevede che il nome studiato risulti quasi interamente assente dal territorio, e che tale assenza sia lacuna del corpus e non estraneità accertata del mondo. Il Capitolo IX insegna precisamente la differenza fra le due specie di vuoto.</w:t>
      </w:r>
    </w:p>
    <w:p>
      <w:pPr>
        <w:spacing w:after="120" w:line="276"/>
        <w:jc w:val="both"/>
      </w:pPr>
      <w:r>
        <w:rPr>
          <w:rFonts w:ascii="Barlow Semi Condensed" w:cs="Barlow Semi Condensed" w:eastAsia="Barlow Semi Condensed" w:hAnsi="Barlow Semi Condensed"/>
          <w:b/>
          <w:bCs/>
          <w:sz w:val="24"/>
          <w:szCs w:val="24"/>
        </w:rPr>
        <w:t xml:space="preserve">2787 · Le fonti che il committente esclude.</w:t>
      </w:r>
      <w:r>
        <w:rPr>
          <w:rFonts w:ascii="Barlow Semi Condensed" w:cs="Barlow Semi Condensed" w:eastAsia="Barlow Semi Condensed" w:hAnsi="Barlow Semi Condensed"/>
          <w:sz w:val="24"/>
          <w:szCs w:val="24"/>
        </w:rPr>
        <w:t xml:space="preserve"> Sono dichiarate escluse, per disposizione del committente enunciata al Capitolo I, un'enciclopedia collaborativa e un quotidiano. La conseguenza per questa serie è operativa e va scritta una volta per tutte: qualunque affermazione sul nome studiato che raggiunga il lettore per quelle due vie resta inutilizzabile qui, e va cercato un percorso indipendente. Non è un giudizio sul valore delle fonti ma una regola di ammissibilità dichiarata a monte.</w:t>
      </w:r>
    </w:p>
    <w:p>
      <w:pPr>
        <w:spacing w:after="120" w:line="276"/>
        <w:jc w:val="both"/>
      </w:pPr>
      <w:r>
        <w:rPr>
          <w:rFonts w:ascii="Barlow Semi Condensed" w:cs="Barlow Semi Condensed" w:eastAsia="Barlow Semi Condensed" w:hAnsi="Barlow Semi Condensed"/>
          <w:b/>
          <w:bCs/>
          <w:sz w:val="24"/>
          <w:szCs w:val="24"/>
        </w:rPr>
        <w:t xml:space="preserve">2788 · Due calendari che si intersecano interamente.</w:t>
      </w:r>
      <w:r>
        <w:rPr>
          <w:rFonts w:ascii="Barlow Semi Condensed" w:cs="Barlow Semi Condensed" w:eastAsia="Barlow Semi Condensed" w:hAnsi="Barlow Semi Condensed"/>
          <w:sz w:val="24"/>
          <w:szCs w:val="24"/>
        </w:rPr>
        <w:t xml:space="preserve"> Il committente fissa i mandati moroteani al 5 agosto 1969 - 26 giugno 1972 e al 7 luglio 1973 - 23 novembre 1974, segnalando la difformità delle schede ministeriali. Sovrapposti agli incarichi del nome studiato, Assistente per la sicurezza nazionale dal 20 gennaio 1969 e Segretario di Stato dal 22 settembre 1973, i due calendari si intersecano per intero. L'intersezione è cronologia accertata, e non è nesso.</w:t>
      </w:r>
    </w:p>
    <w:p>
      <w:pPr>
        <w:spacing w:after="120" w:line="276"/>
        <w:jc w:val="both"/>
      </w:pPr>
      <w:r>
        <w:rPr>
          <w:rFonts w:ascii="Barlow Semi Condensed" w:cs="Barlow Semi Condensed" w:eastAsia="Barlow Semi Condensed" w:hAnsi="Barlow Semi Condensed"/>
          <w:b/>
          <w:bCs/>
          <w:sz w:val="24"/>
          <w:szCs w:val="24"/>
        </w:rPr>
        <w:t xml:space="preserve">2789 · Dicembre 1969: quale carica, esattamente.</w:t>
      </w:r>
      <w:r>
        <w:rPr>
          <w:rFonts w:ascii="Barlow Semi Condensed" w:cs="Barlow Semi Condensed" w:eastAsia="Barlow Semi Condensed" w:hAnsi="Barlow Semi Condensed"/>
          <w:sz w:val="24"/>
          <w:szCs w:val="24"/>
        </w:rPr>
        <w:t xml:space="preserve"> Alla data della seduta di Strasburgo il nome studiato non era Segretario di Stato: lo divenne quasi quattro anni dopo, il 22 settembre 1973. Nel dicembre 1969 ricopriva l'ufficio di Assistente del presidente per gli affari di sicurezza nazionale, incarico della Casa Bianca privo di rappresentanza negli organismi europei. Trasportare all'indietro la carica del 1973 sul fatto del 1969 è anacronismo verificabile, e va evitato in ogni ripresa.</w:t>
      </w:r>
    </w:p>
    <w:p>
      <w:pPr>
        <w:spacing w:after="120" w:line="276"/>
        <w:jc w:val="both"/>
      </w:pPr>
      <w:r>
        <w:rPr>
          <w:rFonts w:ascii="Barlow Semi Condensed" w:cs="Barlow Semi Condensed" w:eastAsia="Barlow Semi Condensed" w:hAnsi="Barlow Semi Condensed"/>
          <w:b/>
          <w:bCs/>
          <w:sz w:val="24"/>
          <w:szCs w:val="24"/>
        </w:rPr>
        <w:t xml:space="preserve">2790 · Gli Stati Uniti non siedono a Strasburgo.</w:t>
      </w:r>
      <w:r>
        <w:rPr>
          <w:rFonts w:ascii="Barlow Semi Condensed" w:cs="Barlow Semi Condensed" w:eastAsia="Barlow Semi Condensed" w:hAnsi="Barlow Semi Condensed"/>
          <w:sz w:val="24"/>
          <w:szCs w:val="24"/>
        </w:rPr>
        <w:t xml:space="preserve"> Il Consiglio d'Europa, che il Capitolo II pone al centro del versante greco, non annovera gli Stati Uniti fra i propri membri: nel dicembre 1969 non esisteva alcun seggio americano nell'organo che Moro presiedeva. Ne discende un vincolo strutturale da fissare prima di cercare: un'eventuale influenza americana su quella vicenda non poteva passare per quella sede, ma solo per canali bilaterali con le singole capitali europee.</w:t>
      </w:r>
    </w:p>
    <w:p>
      <w:pPr>
        <w:spacing w:after="120" w:line="276"/>
        <w:jc w:val="both"/>
      </w:pPr>
      <w:r>
        <w:rPr>
          <w:rFonts w:ascii="Barlow Semi Condensed" w:cs="Barlow Semi Condensed" w:eastAsia="Barlow Semi Condensed" w:hAnsi="Barlow Semi Condensed"/>
          <w:b/>
          <w:bCs/>
          <w:sz w:val="24"/>
          <w:szCs w:val="24"/>
        </w:rPr>
        <w:t xml:space="preserve">2791 · Il documento 264 e la sua provenienza.</w:t>
      </w:r>
      <w:r>
        <w:rPr>
          <w:rFonts w:ascii="Barlow Semi Condensed" w:cs="Barlow Semi Condensed" w:eastAsia="Barlow Semi Condensed" w:hAnsi="Barlow Semi Condensed"/>
          <w:sz w:val="24"/>
          <w:szCs w:val="24"/>
        </w:rPr>
        <w:t xml:space="preserve"> Il Capitolo II cita il volume XXIX dei Foreign Relations, documento 264, che attesta il ritiro greco dopo lo schieramento di una maggioranza a sostegno di una risoluzione tedesca; ne cita il contenuto senza indicarne natura, ufficio redattore e firma. Quesito da portare all'Office of the Historian: che tipo di documento sia, chi lo produsse, quale riga di firma rechi. Finché resta così, è citato e non letto.</w:t>
      </w:r>
    </w:p>
    <w:p>
      <w:pPr>
        <w:spacing w:after="120" w:line="276"/>
        <w:jc w:val="both"/>
      </w:pPr>
      <w:r>
        <w:rPr>
          <w:rFonts w:ascii="Barlow Semi Condensed" w:cs="Barlow Semi Condensed" w:eastAsia="Barlow Semi Condensed" w:hAnsi="Barlow Semi Condensed"/>
          <w:b/>
          <w:bCs/>
          <w:sz w:val="24"/>
          <w:szCs w:val="24"/>
        </w:rPr>
        <w:t xml:space="preserve">2792 · Stato Zero sulla seduta di Strasburgo.</w:t>
      </w:r>
      <w:r>
        <w:rPr>
          <w:rFonts w:ascii="Barlow Semi Condensed" w:cs="Barlow Semi Condensed" w:eastAsia="Barlow Semi Condensed" w:hAnsi="Barlow Semi Condensed"/>
          <w:sz w:val="24"/>
          <w:szCs w:val="24"/>
        </w:rPr>
        <w:t xml:space="preserve"> Nel Capitolo II non compare alcun documento americano sulla seduta del 12 dicembre 1969 né sulle consultazioni che la precedettero: è Stato Zero pieno, e come tale vale quanto un'acquisizione positiva. La sede che lo chiuderebbe sono i Nixon Presidential Materials presso i National Archives di College Park, serie NSC Files, Country Files, fascicoli Grecia e Italia per l'ultimo trimestre del 1969, già indicati dal corpus altrove.</w:t>
      </w:r>
    </w:p>
    <w:p>
      <w:pPr>
        <w:spacing w:after="120" w:line="276"/>
        <w:jc w:val="both"/>
      </w:pPr>
      <w:r>
        <w:rPr>
          <w:rFonts w:ascii="Barlow Semi Condensed" w:cs="Barlow Semi Condensed" w:eastAsia="Barlow Semi Condensed" w:hAnsi="Barlow Semi Condensed"/>
          <w:b/>
          <w:bCs/>
          <w:sz w:val="24"/>
          <w:szCs w:val="24"/>
        </w:rPr>
        <w:t xml:space="preserve">2793 · Il bersaglio che smentirebbe l'ipotesi atlantica.</w:t>
      </w:r>
      <w:r>
        <w:rPr>
          <w:rFonts w:ascii="Barlow Semi Condensed" w:cs="Barlow Semi Condensed" w:eastAsia="Barlow Semi Condensed" w:hAnsi="Barlow Semi Condensed"/>
          <w:sz w:val="24"/>
          <w:szCs w:val="24"/>
        </w:rPr>
        <w:t xml:space="preserve"> Che cosa falsificherebbe l'ipotesi di un'iniziativa americana dietro la posizione italiana a Strasburgo: l'esaurimento certificato dei telegrammi dell'ambasciata di Roma per novembre e dicembre 1969 senza alcuna istruzione, richiesta o sollecitazione in materia greca. L'esito negativo, se certificato per esaurimento del fondo, è acquisizione di pieno valore secondo il blocco 13 del manuale investigativo, e chiuderebbe la pista in senso liberatorio.</w:t>
      </w:r>
    </w:p>
    <w:p>
      <w:pPr>
        <w:spacing w:after="120" w:line="276"/>
        <w:jc w:val="both"/>
      </w:pPr>
      <w:r>
        <w:rPr>
          <w:rFonts w:ascii="Barlow Semi Condensed" w:cs="Barlow Semi Condensed" w:eastAsia="Barlow Semi Condensed" w:hAnsi="Barlow Semi Condensed"/>
          <w:b/>
          <w:bCs/>
          <w:sz w:val="24"/>
          <w:szCs w:val="24"/>
        </w:rPr>
        <w:t xml:space="preserve">2794 · La compressione pubblicistica come specie.</w:t>
      </w:r>
      <w:r>
        <w:rPr>
          <w:rFonts w:ascii="Barlow Semi Condensed" w:cs="Barlow Semi Condensed" w:eastAsia="Barlow Semi Condensed" w:hAnsi="Barlow Semi Condensed"/>
          <w:sz w:val="24"/>
          <w:szCs w:val="24"/>
        </w:rPr>
        <w:t xml:space="preserve"> È qualificata come pubblicistica, dal Capitolo II, la formula dell'espulsione decretata da Moro, perché attribuisce a una persona l'esito di un organo collegiale davanti al quale la Grecia si ritirò da sé. La regola di lettura che se ne ricava governa l'intera serie: ogni formula che concentri in un nome proprio l'esito di una macchina istituzionale va qualificata prima di essere usata, quale che sia il nome concentrato.</w:t>
      </w:r>
    </w:p>
    <w:p>
      <w:pPr>
        <w:spacing w:after="120" w:line="276"/>
        <w:jc w:val="both"/>
      </w:pPr>
      <w:r>
        <w:rPr>
          <w:rFonts w:ascii="Barlow Semi Condensed" w:cs="Barlow Semi Condensed" w:eastAsia="Barlow Semi Condensed" w:hAnsi="Barlow Semi Condensed"/>
          <w:b/>
          <w:bCs/>
          <w:sz w:val="24"/>
          <w:szCs w:val="24"/>
        </w:rPr>
        <w:t xml:space="preserve">2795 · La tesi della ritorsione non lo nomina.</w:t>
      </w:r>
      <w:r>
        <w:rPr>
          <w:rFonts w:ascii="Barlow Semi Condensed" w:cs="Barlow Semi Condensed" w:eastAsia="Barlow Semi Condensed" w:hAnsi="Barlow Semi Condensed"/>
          <w:sz w:val="24"/>
          <w:szCs w:val="24"/>
        </w:rPr>
        <w:t xml:space="preserve"> La tesi d'autore che collega la data del 12 dicembre 1969 alla strage di piazza Fontana e ad attentati contro basi britanniche a Cipro è registrata dal Capitolo II come ipotesi circolante, non come fatto accertato. Va aggiunto un rilievo che il capitolo non fa e che questa serie deve fare: quella tesi non nomina il nome qui studiato. La ricostruzione più ardita del territorio non lo raggiunge.</w:t>
      </w:r>
    </w:p>
    <w:p>
      <w:pPr>
        <w:spacing w:after="120" w:line="276"/>
        <w:jc w:val="both"/>
      </w:pPr>
      <w:r>
        <w:rPr>
          <w:rFonts w:ascii="Barlow Semi Condensed" w:cs="Barlow Semi Condensed" w:eastAsia="Barlow Semi Condensed" w:hAnsi="Barlow Semi Condensed"/>
          <w:b/>
          <w:bCs/>
          <w:sz w:val="24"/>
          <w:szCs w:val="24"/>
        </w:rPr>
        <w:t xml:space="preserve">2796 · La divergenza sul giorno della seduta.</w:t>
      </w:r>
      <w:r>
        <w:rPr>
          <w:rFonts w:ascii="Barlow Semi Condensed" w:cs="Barlow Semi Condensed" w:eastAsia="Barlow Semi Condensed" w:hAnsi="Barlow Semi Condensed"/>
          <w:sz w:val="24"/>
          <w:szCs w:val="24"/>
        </w:rPr>
        <w:t xml:space="preserve"> Le fonti secondarie oscillano fra il 12 e il 13 dicembre 1969 per la seduta presieduta da Moro, mentre le fonti primarie del Comitato dei Ministri datano al 12 tanto la risoluzione quanto la notifica greca. La divergenza si riporta e non si scioglie in silenzio. Chi volesse ancorare a quel giorno una convergenza atlantica deve prima stabilire il giorno, e per stabilirlo servono gli atti del Consiglio d'Europa.</w:t>
      </w:r>
    </w:p>
    <w:p>
      <w:pPr>
        <w:spacing w:after="120" w:line="276"/>
        <w:jc w:val="both"/>
      </w:pPr>
      <w:r>
        <w:rPr>
          <w:rFonts w:ascii="Barlow Semi Condensed" w:cs="Barlow Semi Condensed" w:eastAsia="Barlow Semi Condensed" w:hAnsi="Barlow Semi Condensed"/>
          <w:b/>
          <w:bCs/>
          <w:sz w:val="24"/>
          <w:szCs w:val="24"/>
        </w:rPr>
        <w:t xml:space="preserve">2797 · Il Capitolo III senza elementi americani.</w:t>
      </w:r>
      <w:r>
        <w:rPr>
          <w:rFonts w:ascii="Barlow Semi Condensed" w:cs="Barlow Semi Condensed" w:eastAsia="Barlow Semi Condensed" w:hAnsi="Barlow Semi Condensed"/>
          <w:sz w:val="24"/>
          <w:szCs w:val="24"/>
        </w:rPr>
        <w:t xml:space="preserve"> Il capitolo sui rapporti bilaterali italo-greci — asilo ai profughi politici, simpatie della destra italiana per il regime, associazione comunitaria congelata dal 1967 e riattivata dopo il luglio 1974 — non contiene un solo elemento statunitense. È Stato Zero per ricerca non condotta, non per ricerca infruttuosa: il capitolo dichiara di non aver spogliato la serie Grecia della Farnesina, dove gli scambi con Washington si troverebbero.</w:t>
      </w:r>
    </w:p>
    <w:p>
      <w:pPr>
        <w:spacing w:after="120" w:line="276"/>
        <w:jc w:val="both"/>
      </w:pPr>
      <w:r>
        <w:rPr>
          <w:rFonts w:ascii="Barlow Semi Condensed" w:cs="Barlow Semi Condensed" w:eastAsia="Barlow Semi Condensed" w:hAnsi="Barlow Semi Condensed"/>
          <w:b/>
          <w:bCs/>
          <w:sz w:val="24"/>
          <w:szCs w:val="24"/>
        </w:rPr>
        <w:t xml:space="preserve">2798 · Il congelamento è atto comunitario.</w:t>
      </w:r>
      <w:r>
        <w:rPr>
          <w:rFonts w:ascii="Barlow Semi Condensed" w:cs="Barlow Semi Condensed" w:eastAsia="Barlow Semi Condensed" w:hAnsi="Barlow Semi Condensed"/>
          <w:sz w:val="24"/>
          <w:szCs w:val="24"/>
        </w:rPr>
        <w:t xml:space="preserve"> Il congelamento dell'associazione fra Grecia e Comunità dopo il colpo del 1967 e la sua riattivazione dopo il luglio 1974, attestati dal portale CVCE e dal Dizionario dell'Integrazione Europea con il telegramma di Ortoli a Karamanlis e le aperture di Cheysson, appartengono per intero alla macchina comunitaria. Non offrono alcun punto d'innesto al nome studiato, e cercarvelo scambierebbe la contiguità dei calendari per continuità delle catene decisionali.</w:t>
      </w:r>
    </w:p>
    <w:p>
      <w:pPr>
        <w:spacing w:after="120" w:line="276"/>
        <w:jc w:val="both"/>
      </w:pPr>
      <w:r>
        <w:rPr>
          <w:rFonts w:ascii="Barlow Semi Condensed" w:cs="Barlow Semi Condensed" w:eastAsia="Barlow Semi Condensed" w:hAnsi="Barlow Semi Condensed"/>
          <w:b/>
          <w:bCs/>
          <w:sz w:val="24"/>
          <w:szCs w:val="24"/>
        </w:rPr>
        <w:t xml:space="preserve">2799 · La serie Grecia come prima sede.</w:t>
      </w:r>
      <w:r>
        <w:rPr>
          <w:rFonts w:ascii="Barlow Semi Condensed" w:cs="Barlow Semi Condensed" w:eastAsia="Barlow Semi Condensed" w:hAnsi="Barlow Semi Condensed"/>
          <w:sz w:val="24"/>
          <w:szCs w:val="24"/>
        </w:rPr>
        <w:t xml:space="preserve"> Quesito da depositare all'Archivio Storico Diplomatico della Farnesina, serie Grecia 1969-1974: esistono nel fondo appunti, telespressi o promemoria che riferiscano colloqui con l'ambasciata degli Stati Uniti a Roma sulla questione greca, e in quali termini. Rendimento atteso medio, costo di sala e di autorizzazione, doppio esito garantito, poiché l'assenza certificata per esaurimento vale quanto il ritrovamento e va verbalizzata con la stessa cura.</w:t>
      </w:r>
    </w:p>
    <w:p>
      <w:pPr>
        <w:spacing w:after="120" w:line="276"/>
        <w:jc w:val="both"/>
      </w:pPr>
      <w:r>
        <w:rPr>
          <w:rFonts w:ascii="Barlow Semi Condensed" w:cs="Barlow Semi Condensed" w:eastAsia="Barlow Semi Condensed" w:hAnsi="Barlow Semi Condensed"/>
          <w:b/>
          <w:bCs/>
          <w:sz w:val="24"/>
          <w:szCs w:val="24"/>
        </w:rPr>
        <w:t xml:space="preserve">2800 · La sovrapposizione dei mandati su Cipro.</w:t>
      </w:r>
      <w:r>
        <w:rPr>
          <w:rFonts w:ascii="Barlow Semi Condensed" w:cs="Barlow Semi Condensed" w:eastAsia="Barlow Semi Condensed" w:hAnsi="Barlow Semi Condensed"/>
          <w:sz w:val="24"/>
          <w:szCs w:val="24"/>
        </w:rPr>
        <w:t xml:space="preserve"> L'intera sequenza cipriota del 1974 — colpo del 15 luglio a Nicosia, intervento turco del 20 luglio, caduta della giunta il 23, seconda offensiva il 14 agosto, cessate il fuoco del 16 divenuto Linea Verde — cade dentro il periodo in cui il nome studiato cumulava i due incarichi, essendo Segretario di Stato dal 22 settembre 1973 e Assistente fino al 3 novembre 1975. Accertamento di grado A, e resta cronologia.</w:t>
      </w:r>
    </w:p>
    <w:p>
      <w:pPr>
        <w:spacing w:after="120" w:line="276"/>
        <w:jc w:val="both"/>
      </w:pPr>
      <w:r>
        <w:rPr>
          <w:rFonts w:ascii="Barlow Semi Condensed" w:cs="Barlow Semi Condensed" w:eastAsia="Barlow Semi Condensed" w:hAnsi="Barlow Semi Condensed"/>
          <w:b/>
          <w:bCs/>
          <w:sz w:val="24"/>
          <w:szCs w:val="24"/>
        </w:rPr>
        <w:t xml:space="preserve">2801 · Il Capitolo IV tace il nome.</w:t>
      </w:r>
      <w:r>
        <w:rPr>
          <w:rFonts w:ascii="Barlow Semi Condensed" w:cs="Barlow Semi Condensed" w:eastAsia="Barlow Semi Condensed" w:hAnsi="Barlow Semi Condensed"/>
          <w:sz w:val="24"/>
          <w:szCs w:val="24"/>
        </w:rPr>
        <w:t xml:space="preserve"> Il capitolo sulla crisi cipriota ricostruisce le due tornate di Ginevra — la Dichiarazione del 30 luglio 1974 fra i ministri delle tre potenze garanti dopo trattative dal 25 al 30 luglio, e la ripresa dall'8 agosto con i rappresentanti delle due comunità — senza nominare alcun responsabile americano. Non è reticenza: il capitolo lavora su fonti cipriote, su UNFICYP e sul volume XXX, e lì si ferma.</w:t>
      </w:r>
    </w:p>
    <w:p>
      <w:pPr>
        <w:spacing w:after="120" w:line="276"/>
        <w:jc w:val="both"/>
      </w:pPr>
      <w:r>
        <w:rPr>
          <w:rFonts w:ascii="Barlow Semi Condensed" w:cs="Barlow Semi Condensed" w:eastAsia="Barlow Semi Condensed" w:hAnsi="Barlow Semi Condensed"/>
          <w:b/>
          <w:bCs/>
          <w:sz w:val="24"/>
          <w:szCs w:val="24"/>
        </w:rPr>
        <w:t xml:space="preserve">2802 · Ginevra è un tavolo a tre.</w:t>
      </w:r>
      <w:r>
        <w:rPr>
          <w:rFonts w:ascii="Barlow Semi Condensed" w:cs="Barlow Semi Condensed" w:eastAsia="Barlow Semi Condensed" w:hAnsi="Barlow Semi Condensed"/>
          <w:sz w:val="24"/>
          <w:szCs w:val="24"/>
        </w:rPr>
        <w:t xml:space="preserve"> Il formato negoziale di Ginevra fu tripartito e fondato sulla risoluzione 353 del Consiglio di Sicurezza: vi sedettero Grecia, Turchia e Regno Unito come potenze garanti. Gli Stati Uniti non erano garanti, come non lo era l'Italia. Ne segue che un'azione americana, se vi fu, non è registrata negli atti di quel tavolo ma nella corrispondenza bilaterale: cambia radicalmente la sede in cui va cercata e il costo di cercarla.</w:t>
      </w:r>
    </w:p>
    <w:p>
      <w:pPr>
        <w:spacing w:after="120" w:line="276"/>
        <w:jc w:val="both"/>
      </w:pPr>
      <w:r>
        <w:rPr>
          <w:rFonts w:ascii="Barlow Semi Condensed" w:cs="Barlow Semi Condensed" w:eastAsia="Barlow Semi Condensed" w:hAnsi="Barlow Semi Condensed"/>
          <w:b/>
          <w:bCs/>
          <w:sz w:val="24"/>
          <w:szCs w:val="24"/>
        </w:rPr>
        <w:t xml:space="preserve">2803 · Quali documenti del volume XXX.</w:t>
      </w:r>
      <w:r>
        <w:rPr>
          <w:rFonts w:ascii="Barlow Semi Condensed" w:cs="Barlow Semi Condensed" w:eastAsia="Barlow Semi Condensed" w:hAnsi="Barlow Semi Condensed"/>
          <w:sz w:val="24"/>
          <w:szCs w:val="24"/>
        </w:rPr>
        <w:t xml:space="preserve"> Quesito preciso all'Office of the Historian: nel volume XXX dei Foreign Relations 1969-1976, «Greece; Cyprus; Turkey, 1973-1976», curato da Laurie Van Hook sotto la direzione di Edward C. Keefer e pubblicato nel 2007, quali documenti dei mesi di luglio e agosto 1974 rechino il Segretario di Stato come autore, firmatario o interlocutore verbalizzato. Il corpus cita quel volume in quattro punti e non ne ha compiuto lo spoglio nominativo.</w:t>
      </w:r>
    </w:p>
    <w:p>
      <w:pPr>
        <w:spacing w:after="120" w:line="276"/>
        <w:jc w:val="both"/>
      </w:pPr>
      <w:r>
        <w:rPr>
          <w:rFonts w:ascii="Barlow Semi Condensed" w:cs="Barlow Semi Condensed" w:eastAsia="Barlow Semi Condensed" w:hAnsi="Barlow Semi Condensed"/>
          <w:b/>
          <w:bCs/>
          <w:sz w:val="24"/>
          <w:szCs w:val="24"/>
        </w:rPr>
        <w:t xml:space="preserve">2804 · I memoranda della Ford Library.</w:t>
      </w:r>
      <w:r>
        <w:rPr>
          <w:rFonts w:ascii="Barlow Semi Condensed" w:cs="Barlow Semi Condensed" w:eastAsia="Barlow Semi Condensed" w:hAnsi="Barlow Semi Condensed"/>
          <w:sz w:val="24"/>
          <w:szCs w:val="24"/>
        </w:rPr>
        <w:t xml:space="preserve"> Bersaglio ad alto rendimento e costo contenuto: la serie dei memoranda of conversation del consigliere per la sicurezza nazionale presso la Gerald R. Ford Presidential Library, la stessa che conserva i documenti 1552802 e 1552806 già acquisiti dal corpus, per i mesi di agosto e settembre 1974. Il quesito è se vi figurino sedute sulla crisi cipriota, con quale ordine del giorno e con quali presenti.</w:t>
      </w:r>
    </w:p>
    <w:p>
      <w:pPr>
        <w:spacing w:after="120" w:line="276"/>
        <w:jc w:val="both"/>
      </w:pPr>
      <w:r>
        <w:rPr>
          <w:rFonts w:ascii="Barlow Semi Condensed" w:cs="Barlow Semi Condensed" w:eastAsia="Barlow Semi Condensed" w:hAnsi="Barlow Semi Condensed"/>
          <w:b/>
          <w:bCs/>
          <w:sz w:val="24"/>
          <w:szCs w:val="24"/>
        </w:rPr>
        <w:t xml:space="preserve">2805 · La tesi terziaria sull'assenso americano.</w:t>
      </w:r>
      <w:r>
        <w:rPr>
          <w:rFonts w:ascii="Barlow Semi Condensed" w:cs="Barlow Semi Condensed" w:eastAsia="Barlow Semi Condensed" w:hAnsi="Barlow Semi Condensed"/>
          <w:sz w:val="24"/>
          <w:szCs w:val="24"/>
        </w:rPr>
        <w:t xml:space="preserve"> Circola in pubblicistica la tesi di un assenso o di un'acquiescenza statunitense al colpo di Stato del 15 luglio 1974 a Nicosia. Il territorio non la contiene in alcuna forma, e questa serie la colloca al terzo piano: affermazione terziaria priva di riscontro nel corpus. Non si promuove, non si smentisce e non si utilizza: si dichiara circolante e si indica per iscritto ciò che la deciderebbe.</w:t>
      </w:r>
    </w:p>
    <w:p>
      <w:pPr>
        <w:spacing w:after="120" w:line="276"/>
        <w:jc w:val="both"/>
      </w:pPr>
      <w:r>
        <w:rPr>
          <w:rFonts w:ascii="Barlow Semi Condensed" w:cs="Barlow Semi Condensed" w:eastAsia="Barlow Semi Condensed" w:hAnsi="Barlow Semi Condensed"/>
          <w:b/>
          <w:bCs/>
          <w:sz w:val="24"/>
          <w:szCs w:val="24"/>
        </w:rPr>
        <w:t xml:space="preserve">2806 · Che cosa deciderebbe quella tesi.</w:t>
      </w:r>
      <w:r>
        <w:rPr>
          <w:rFonts w:ascii="Barlow Semi Condensed" w:cs="Barlow Semi Condensed" w:eastAsia="Barlow Semi Condensed" w:hAnsi="Barlow Semi Condensed"/>
          <w:sz w:val="24"/>
          <w:szCs w:val="24"/>
        </w:rPr>
        <w:t xml:space="preserve"> La deciderebbe un documento di provenienza — istruzione, verbale, telegramma con protocollo — che nomini insieme un responsabile americano e l'iniziativa cipriota del 15 luglio 1974, conservato in fondo desecretato e non nella parafrasi che ne circola. È il test che il corpus impone distinguendo omologia da analogia: dalla somiglianza degli esiti non si risale mai all'antenato comune, e l'unica prova ammessa nomina la controparte.</w:t>
      </w:r>
    </w:p>
    <w:p>
      <w:pPr>
        <w:spacing w:after="120" w:line="276"/>
        <w:jc w:val="both"/>
      </w:pPr>
      <w:r>
        <w:rPr>
          <w:rFonts w:ascii="Barlow Semi Condensed" w:cs="Barlow Semi Condensed" w:eastAsia="Barlow Semi Condensed" w:hAnsi="Barlow Semi Condensed"/>
          <w:b/>
          <w:bCs/>
          <w:sz w:val="24"/>
          <w:szCs w:val="24"/>
        </w:rPr>
        <w:t xml:space="preserve">2807 · Le divergenze numeriche non toccano il nome.</w:t>
      </w:r>
      <w:r>
        <w:rPr>
          <w:rFonts w:ascii="Barlow Semi Condensed" w:cs="Barlow Semi Condensed" w:eastAsia="Barlow Semi Condensed" w:hAnsi="Barlow Semi Condensed"/>
          <w:sz w:val="24"/>
          <w:szCs w:val="24"/>
        </w:rPr>
        <w:t xml:space="preserve"> Il Capitolo IV riporta con scrupolo le forbici: territorio occupato al trentasei per cento secondo le fonti cipriote, attorno al quaranta secondo il documento 194 del volume XXX, trentotto secondo altre; centocinquantamila profughi, fino a centosessantaduemila secondo il governo di Cipro e l'Internal Displacement Monitoring Centre, sessantamila turco-ciprioti in senso inverso. Nessuna di queste divergenze coinvolge il nome studiato, e nessuna va usata per evocarlo obliquamente.</w:t>
      </w:r>
    </w:p>
    <w:p>
      <w:pPr>
        <w:spacing w:after="120" w:line="276"/>
        <w:jc w:val="both"/>
      </w:pPr>
      <w:r>
        <w:rPr>
          <w:rFonts w:ascii="Barlow Semi Condensed" w:cs="Barlow Semi Condensed" w:eastAsia="Barlow Semi Condensed" w:hAnsi="Barlow Semi Condensed"/>
          <w:b/>
          <w:bCs/>
          <w:sz w:val="24"/>
          <w:szCs w:val="24"/>
        </w:rPr>
        <w:t xml:space="preserve">2808 · Manca anche il termine italiano.</w:t>
      </w:r>
      <w:r>
        <w:rPr>
          <w:rFonts w:ascii="Barlow Semi Condensed" w:cs="Barlow Semi Condensed" w:eastAsia="Barlow Semi Condensed" w:hAnsi="Barlow Semi Condensed"/>
          <w:sz w:val="24"/>
          <w:szCs w:val="24"/>
        </w:rPr>
        <w:t xml:space="preserve"> Il capitolo dichiara di non aver reperito dichiarazioni testuali di Moro su Cipro fra luglio e novembre 1974. Ne discende una conseguenza che questa serie deve scrivere per intero: mancano entrambi i termini del confronto, non uno solo. Senza le parole italiane e senza un documento americano che le riguardi, il nesso non è debole: è inesistente allo stato degli atti, e va dichiarato con questa formula.</w:t>
      </w:r>
    </w:p>
    <w:p>
      <w:pPr>
        <w:spacing w:after="120" w:line="276"/>
        <w:jc w:val="both"/>
      </w:pPr>
      <w:r>
        <w:rPr>
          <w:rFonts w:ascii="Barlow Semi Condensed" w:cs="Barlow Semi Condensed" w:eastAsia="Barlow Semi Condensed" w:hAnsi="Barlow Semi Condensed"/>
          <w:b/>
          <w:bCs/>
          <w:sz w:val="24"/>
          <w:szCs w:val="24"/>
        </w:rPr>
        <w:t xml:space="preserve">2809 · Il collo di bottiglia parlamentare.</w:t>
      </w:r>
      <w:r>
        <w:rPr>
          <w:rFonts w:ascii="Barlow Semi Condensed" w:cs="Barlow Semi Condensed" w:eastAsia="Barlow Semi Condensed" w:hAnsi="Barlow Semi Condensed"/>
          <w:sz w:val="24"/>
          <w:szCs w:val="24"/>
        </w:rPr>
        <w:t xml:space="preserve"> La banca dati del sindacato ispettivo copre soltanto dalla settima legislatura, cioè dal 5 luglio 1976: per il 1974 occorre lo spoglio diretto dei resoconti stenografici a stampa di Camera e Senato. È il collo di bottiglia che il Capitolo XI dichiara per l'obiettivo prioritario sulle dichiarazioni cipriote, e vale identico per ogni ricerca nominativa sul nome studiato negli atti parlamentari italiani di quell'anno.</w:t>
      </w:r>
    </w:p>
    <w:p>
      <w:pPr>
        <w:spacing w:after="120" w:line="276"/>
        <w:jc w:val="both"/>
      </w:pPr>
      <w:r>
        <w:rPr>
          <w:rFonts w:ascii="Barlow Semi Condensed" w:cs="Barlow Semi Condensed" w:eastAsia="Barlow Semi Condensed" w:hAnsi="Barlow Semi Condensed"/>
          <w:b/>
          <w:bCs/>
          <w:sz w:val="24"/>
          <w:szCs w:val="24"/>
        </w:rPr>
        <w:t xml:space="preserve">2810 · La seduta del 28 febbraio 1974.</w:t>
      </w:r>
      <w:r>
        <w:rPr>
          <w:rFonts w:ascii="Barlow Semi Condensed" w:cs="Barlow Semi Condensed" w:eastAsia="Barlow Semi Condensed" w:hAnsi="Barlow Semi Condensed"/>
          <w:sz w:val="24"/>
          <w:szCs w:val="24"/>
        </w:rPr>
        <w:t xml:space="preserve"> Il Capitolo XI segnala un riferimento a una seduta della Commissione esteri della Camera del 28 febbraio 1974, citata nella letteratura su Moro e il Mediterraneo, e la indica come via da percorrere. Il bersaglio va esteso: reperito il resoconto, verificare se vi compaiano la Grecia, Cipro o interlocutori americani, e con quali parole. È il documento dovuto di cui parla il blocco 10 del manuale investigativo.</w:t>
      </w:r>
    </w:p>
    <w:p>
      <w:pPr>
        <w:spacing w:after="120" w:line="276"/>
        <w:jc w:val="both"/>
      </w:pPr>
      <w:r>
        <w:rPr>
          <w:rFonts w:ascii="Barlow Semi Condensed" w:cs="Barlow Semi Condensed" w:eastAsia="Barlow Semi Condensed" w:hAnsi="Barlow Semi Condensed"/>
          <w:b/>
          <w:bCs/>
          <w:sz w:val="24"/>
          <w:szCs w:val="24"/>
        </w:rPr>
        <w:t xml:space="preserve">2811 · L'Italicus e la regola della contemporaneità.</w:t>
      </w:r>
      <w:r>
        <w:rPr>
          <w:rFonts w:ascii="Barlow Semi Condensed" w:cs="Barlow Semi Condensed" w:eastAsia="Barlow Semi Condensed" w:hAnsi="Barlow Semi Condensed"/>
          <w:sz w:val="24"/>
          <w:szCs w:val="24"/>
        </w:rPr>
        <w:t xml:space="preserve"> La contemporaneità fra la crisi cipriota e l'attentato all'Italicus del 4 agosto 1974 è registrata dal Capitolo IV e qualificata come mera contemporaneità. La regola va estesa esplicitamente: che nell'estate 1974 il nome studiato fosse in carica mentre in Italia accadevano quei fatti è calendario, e il calendario non genera catene causali. Il blocco 14 del manuale prescrive la tavola cronologica prima di ogni interpretazione.</w:t>
      </w:r>
    </w:p>
    <w:p>
      <w:pPr>
        <w:spacing w:after="120" w:line="276"/>
        <w:jc w:val="both"/>
      </w:pPr>
      <w:r>
        <w:rPr>
          <w:rFonts w:ascii="Barlow Semi Condensed" w:cs="Barlow Semi Condensed" w:eastAsia="Barlow Semi Condensed" w:hAnsi="Barlow Semi Condensed"/>
          <w:b/>
          <w:bCs/>
          <w:sz w:val="24"/>
          <w:szCs w:val="24"/>
        </w:rPr>
        <w:t xml:space="preserve">2812 · Le tre date dell'agosto e del settembre.</w:t>
      </w:r>
      <w:r>
        <w:rPr>
          <w:rFonts w:ascii="Barlow Semi Condensed" w:cs="Barlow Semi Condensed" w:eastAsia="Barlow Semi Condensed" w:hAnsi="Barlow Semi Condensed"/>
          <w:sz w:val="24"/>
          <w:szCs w:val="24"/>
        </w:rPr>
        <w:t xml:space="preserve"> Tre date del corpus si allineano in quarantadue giorni: 14 agosto 1974, ritiro greco dalla struttura militare integrata; 30 agosto 1974, telegramma che include l'Italia fra gli alleati da consultare; 25 settembre 1974, colloquio dello Studio Ovale in cui la Grecia è nominata fra i rischi di contagio. È convergenza entro la stessa cornice, dunque secondo piano, e non diventa primo piano per effetto dell'allineamento.</w:t>
      </w:r>
    </w:p>
    <w:p>
      <w:pPr>
        <w:spacing w:after="120" w:line="276"/>
        <w:jc w:val="both"/>
      </w:pPr>
      <w:r>
        <w:rPr>
          <w:rFonts w:ascii="Barlow Semi Condensed" w:cs="Barlow Semi Condensed" w:eastAsia="Barlow Semi Condensed" w:hAnsi="Barlow Semi Condensed"/>
          <w:b/>
          <w:bCs/>
          <w:sz w:val="24"/>
          <w:szCs w:val="24"/>
        </w:rPr>
        <w:t xml:space="preserve">2813 · Il documento 23 e la firma.</w:t>
      </w:r>
      <w:r>
        <w:rPr>
          <w:rFonts w:ascii="Barlow Semi Condensed" w:cs="Barlow Semi Condensed" w:eastAsia="Barlow Semi Condensed" w:hAnsi="Barlow Semi Condensed"/>
          <w:sz w:val="24"/>
          <w:szCs w:val="24"/>
        </w:rPr>
        <w:t xml:space="preserve"> Il documento 23 del volume XXX è un telegramma del Dipartimento di Stato del 30 agosto 1974 alla missione presso la NATO: per prassi i telegrammi dipartimentali recano nella riga finale il nome del Segretario di Stato. Il Capitolo V non lo dice e il corpus non l'ha verificato. Quesito puntuale e a costo nullo: leggere la riga di firma nell'edizione dell'Office of the Historian e verbalizzarne l'esito.</w:t>
      </w:r>
    </w:p>
    <w:p>
      <w:pPr>
        <w:spacing w:after="120" w:line="276"/>
        <w:jc w:val="both"/>
      </w:pPr>
      <w:r>
        <w:rPr>
          <w:rFonts w:ascii="Barlow Semi Condensed" w:cs="Barlow Semi Condensed" w:eastAsia="Barlow Semi Condensed" w:hAnsi="Barlow Semi Condensed"/>
          <w:b/>
          <w:bCs/>
          <w:sz w:val="24"/>
          <w:szCs w:val="24"/>
        </w:rPr>
        <w:t xml:space="preserve">2814 · La firma non è la redazione.</w:t>
      </w:r>
      <w:r>
        <w:rPr>
          <w:rFonts w:ascii="Barlow Semi Condensed" w:cs="Barlow Semi Condensed" w:eastAsia="Barlow Semi Condensed" w:hAnsi="Barlow Semi Condensed"/>
          <w:sz w:val="24"/>
          <w:szCs w:val="24"/>
        </w:rPr>
        <w:t xml:space="preserve"> Regola di lettura da fissare prima di eseguire quel quesito: nella prassi del Dipartimento di Stato la riga di firma di un telegramma indica l'autorità che lo emana, non la mano che lo scrisse né la presenza del titolare alla stesura. Un telegramma firmato dal Segretario prova che l'ufficio agì in suo nome; non prova un atto personale. Confondere le due cose fabbrica un piano 1 falso.</w:t>
      </w:r>
    </w:p>
    <w:p>
      <w:pPr>
        <w:spacing w:after="120" w:line="276"/>
        <w:jc w:val="both"/>
      </w:pPr>
      <w:r>
        <w:rPr>
          <w:rFonts w:ascii="Barlow Semi Condensed" w:cs="Barlow Semi Condensed" w:eastAsia="Barlow Semi Condensed" w:hAnsi="Barlow Semi Condensed"/>
          <w:b/>
          <w:bCs/>
          <w:sz w:val="24"/>
          <w:szCs w:val="24"/>
        </w:rPr>
        <w:t xml:space="preserve">2815 · Il documento 25 e il rilievo belga.</w:t>
      </w:r>
      <w:r>
        <w:rPr>
          <w:rFonts w:ascii="Barlow Semi Condensed" w:cs="Barlow Semi Condensed" w:eastAsia="Barlow Semi Condensed" w:hAnsi="Barlow Semi Condensed"/>
          <w:sz w:val="24"/>
          <w:szCs w:val="24"/>
        </w:rPr>
        <w:t xml:space="preserve"> Il documento 25 del volume XXX è un telegramma della missione statunitense presso la NATO del 16 settembre 1974: attesta il ritiro di tutte le unità greche dall'assegnazione all'Alleanza con effetto dal 14 agosto e registra l'osservazione del rappresentante belga de Staercke sul fatto curioso che i greci non avessero ritirato i propri rappresentanti dal Comitato Militare. Nel resoconto del corpus non vi compare alcun nome americano di vertice.</w:t>
      </w:r>
    </w:p>
    <w:p>
      <w:pPr>
        <w:spacing w:after="120" w:line="276"/>
        <w:jc w:val="both"/>
      </w:pPr>
      <w:r>
        <w:rPr>
          <w:rFonts w:ascii="Barlow Semi Condensed" w:cs="Barlow Semi Condensed" w:eastAsia="Barlow Semi Condensed" w:hAnsi="Barlow Semi Condensed"/>
          <w:b/>
          <w:bCs/>
          <w:sz w:val="24"/>
          <w:szCs w:val="24"/>
        </w:rPr>
        <w:t xml:space="preserve">2816 · L'inclusione dell'Italia, e il suo limite.</w:t>
      </w:r>
      <w:r>
        <w:rPr>
          <w:rFonts w:ascii="Barlow Semi Condensed" w:cs="Barlow Semi Condensed" w:eastAsia="Barlow Semi Condensed" w:hAnsi="Barlow Semi Condensed"/>
          <w:sz w:val="24"/>
          <w:szCs w:val="24"/>
        </w:rPr>
        <w:t xml:space="preserve"> L'istruzione contenuta nel documento 23 è di avviare discussioni bilaterali informali con il Segretario generale Luns e con alleati selezionati — Regno Unito, Repubblica Federale, Italia, Belgio o Paesi Bassi — escludendo la Francia perché fuori dal Defence Planning Committee. Attesta l'inclusione dell'Italia nel novero degli interlocutori privilegiati; non attesta che le discussioni si siano tenute, né chi le condusse, né che cosa vi disse la parte italiana.</w:t>
      </w:r>
    </w:p>
    <w:p>
      <w:pPr>
        <w:spacing w:after="120" w:line="276"/>
        <w:jc w:val="both"/>
      </w:pPr>
      <w:r>
        <w:rPr>
          <w:rFonts w:ascii="Barlow Semi Condensed" w:cs="Barlow Semi Condensed" w:eastAsia="Barlow Semi Condensed" w:hAnsi="Barlow Semi Condensed"/>
          <w:b/>
          <w:bCs/>
          <w:sz w:val="24"/>
          <w:szCs w:val="24"/>
        </w:rPr>
        <w:t xml:space="preserve">2817 · Stato Zero sul contenuto italiano.</w:t>
      </w:r>
      <w:r>
        <w:rPr>
          <w:rFonts w:ascii="Barlow Semi Condensed" w:cs="Barlow Semi Condensed" w:eastAsia="Barlow Semi Condensed" w:hAnsi="Barlow Semi Condensed"/>
          <w:sz w:val="24"/>
          <w:szCs w:val="24"/>
        </w:rPr>
        <w:t xml:space="preserve"> Il contenuto della posizione italiana sul ritiro greco dalla NATO è Stato Zero dichiarato dal Capitolo V. Le sedi che lo chiuderebbero sono la documentazione della Rappresentanza permanente d'Italia presso l'Alleanza per agosto e settembre 1974, la serie corrispondente della Farnesina e il NATO Archives Online. Resta il bersaglio a più alto rendimento del teatro greco, come già registrato al blocco 345 della prima campagna.</w:t>
      </w:r>
    </w:p>
    <w:p>
      <w:pPr>
        <w:spacing w:after="120" w:line="276"/>
        <w:jc w:val="both"/>
      </w:pPr>
      <w:r>
        <w:rPr>
          <w:rFonts w:ascii="Barlow Semi Condensed" w:cs="Barlow Semi Condensed" w:eastAsia="Barlow Semi Condensed" w:hAnsi="Barlow Semi Condensed"/>
          <w:b/>
          <w:bCs/>
          <w:sz w:val="24"/>
          <w:szCs w:val="24"/>
        </w:rPr>
        <w:t xml:space="preserve">2818 · Che cosa smentirebbe il ponte atlantico.</w:t>
      </w:r>
      <w:r>
        <w:rPr>
          <w:rFonts w:ascii="Barlow Semi Condensed" w:cs="Barlow Semi Condensed" w:eastAsia="Barlow Semi Condensed" w:hAnsi="Barlow Semi Condensed"/>
          <w:sz w:val="24"/>
          <w:szCs w:val="24"/>
        </w:rPr>
        <w:t xml:space="preserve"> Il nesso ipotizzabile, cioè che la posizione italiana sul ritiro greco fosse concordata con Washington, cadrebbe se lo spoglio della corrispondenza della Rappresentanza presso l'Alleanza per quei due mesi risultasse privo di ogni traccia di consultazione bilaterale. Il doppio esito è garantito secondo il blocco 12 del manuale: o accertamento nuovo, o caduta documentale di un'aspettativa che nessun documento del corpus oggi sostiene.</w:t>
      </w:r>
    </w:p>
    <w:p>
      <w:pPr>
        <w:spacing w:after="120" w:line="276"/>
        <w:jc w:val="both"/>
      </w:pPr>
      <w:r>
        <w:rPr>
          <w:rFonts w:ascii="Barlow Semi Condensed" w:cs="Barlow Semi Condensed" w:eastAsia="Barlow Semi Condensed" w:hAnsi="Barlow Semi Condensed"/>
          <w:b/>
          <w:bCs/>
          <w:sz w:val="24"/>
          <w:szCs w:val="24"/>
        </w:rPr>
        <w:t xml:space="preserve">2819 · Il rientro del 1980 è fuori perimetro.</w:t>
      </w:r>
      <w:r>
        <w:rPr>
          <w:rFonts w:ascii="Barlow Semi Condensed" w:cs="Barlow Semi Condensed" w:eastAsia="Barlow Semi Condensed" w:hAnsi="Barlow Semi Condensed"/>
          <w:sz w:val="24"/>
          <w:szCs w:val="24"/>
        </w:rPr>
        <w:t xml:space="preserve"> La Grecia rientrò nella struttura militare integrata soltanto nell'ottobre 1980, sotto la premiership Rallis e con la mediazione del generale Bernard Rogers, comandante supremo alleato in Europa. La data cade tre anni e nove mesi dopo la fine del mandato di Segretario di Stato, il 20 gennaio 1977, e due anni e mezzo dopo la morte di Moro. Segnarla serve a chiudere il perimetro, non ad allargarlo.</w:t>
      </w:r>
    </w:p>
    <w:p>
      <w:pPr>
        <w:spacing w:after="120" w:line="276"/>
        <w:jc w:val="both"/>
      </w:pPr>
      <w:r>
        <w:rPr>
          <w:rFonts w:ascii="Barlow Semi Condensed" w:cs="Barlow Semi Condensed" w:eastAsia="Barlow Semi Condensed" w:hAnsi="Barlow Semi Condensed"/>
          <w:b/>
          <w:bCs/>
          <w:sz w:val="24"/>
          <w:szCs w:val="24"/>
        </w:rPr>
        <w:t xml:space="preserve">2820 · Il telegramma del 2 agosto 1975 (serie XXXVII).</w:t>
      </w:r>
      <w:r>
        <w:rPr>
          <w:rFonts w:ascii="Barlow Semi Condensed" w:cs="Barlow Semi Condensed" w:eastAsia="Barlow Semi Condensed" w:hAnsi="Barlow Semi Condensed"/>
          <w:sz w:val="24"/>
          <w:szCs w:val="24"/>
        </w:rPr>
        <w:t xml:space="preserve"> Torna al centro l'unico piano 1 del territorio: volume XXXIX dei Foreign Relations, documento 334, telegramma del 2 agosto 1975. Grado A come testo edito, poiché è documento pubblicato con segnatura verificabile presso l'Office of the Historian. Attesta la sottoscrizione dell'Atto finale da parte di trentacinque capi di Stato o di governo e descrive la cerimonia conclusiva della terza fase della Conferenza di Helsinki.</w:t>
      </w:r>
    </w:p>
    <w:p>
      <w:pPr>
        <w:spacing w:after="120" w:line="276"/>
        <w:jc w:val="both"/>
      </w:pPr>
      <w:r>
        <w:rPr>
          <w:rFonts w:ascii="Barlow Semi Condensed" w:cs="Barlow Semi Condensed" w:eastAsia="Barlow Semi Condensed" w:hAnsi="Barlow Semi Condensed"/>
          <w:b/>
          <w:bCs/>
          <w:sz w:val="24"/>
          <w:szCs w:val="24"/>
        </w:rPr>
        <w:t xml:space="preserve">2821 · La duplice qualità di Moro (serie XXXVII).</w:t>
      </w:r>
      <w:r>
        <w:rPr>
          <w:rFonts w:ascii="Barlow Semi Condensed" w:cs="Barlow Semi Condensed" w:eastAsia="Barlow Semi Condensed" w:hAnsi="Barlow Semi Condensed"/>
          <w:sz w:val="24"/>
          <w:szCs w:val="24"/>
        </w:rPr>
        <w:t xml:space="preserve"> Il 1° agosto 1975 Moro sottoscrisse l'Atto finale come presidente del Consiglio e come presidente di turno del Consiglio delle Comunità europee, detenendo l'Italia la presidenza nel secondo semestre. Non era più ministro degli Esteri dal 23 novembre 1974. Chi legge la firma di Helsinki come atto del ministro sbaglia la carica, e l'attribuzione corretta è condizione preliminare di qualunque confronto con la controparte americana.</w:t>
      </w:r>
    </w:p>
    <w:p>
      <w:pPr>
        <w:spacing w:after="120" w:line="276"/>
        <w:jc w:val="both"/>
      </w:pPr>
      <w:r>
        <w:rPr>
          <w:rFonts w:ascii="Barlow Semi Condensed" w:cs="Barlow Semi Condensed" w:eastAsia="Barlow Semi Condensed" w:hAnsi="Barlow Semi Condensed"/>
          <w:b/>
          <w:bCs/>
          <w:sz w:val="24"/>
          <w:szCs w:val="24"/>
        </w:rPr>
        <w:t xml:space="preserve">2822 · Una divergenza interna al corpus.</w:t>
      </w:r>
      <w:r>
        <w:rPr>
          <w:rFonts w:ascii="Barlow Semi Condensed" w:cs="Barlow Semi Condensed" w:eastAsia="Barlow Semi Condensed" w:hAnsi="Barlow Semi Condensed"/>
          <w:sz w:val="24"/>
          <w:szCs w:val="24"/>
        </w:rPr>
        <w:t xml:space="preserve"> Sul medesimo evento il corpus reca due statuti diversi. Il dossier greco cita il telegramma del 2 agosto 1975 come fonte primaria; il dossier portoghese-vaticano riferisce, su fonte giornalistica italiana, che Moro ottenne il coinvolgimento formale della Comunità nella firma sfidando l'insofferenza del Segretario di Stato. Formula d'autore contro documento edito: la divergenza si riporta e non si scioglie a favore dell'una o dell'altra.</w:t>
      </w:r>
    </w:p>
    <w:p>
      <w:pPr>
        <w:spacing w:after="120" w:line="276"/>
        <w:jc w:val="both"/>
      </w:pPr>
      <w:r>
        <w:rPr>
          <w:rFonts w:ascii="Barlow Semi Condensed" w:cs="Barlow Semi Condensed" w:eastAsia="Barlow Semi Condensed" w:hAnsi="Barlow Semi Condensed"/>
          <w:b/>
          <w:bCs/>
          <w:sz w:val="24"/>
          <w:szCs w:val="24"/>
        </w:rPr>
        <w:t xml:space="preserve">2823 · Come si scioglierebbe quella divergenza.</w:t>
      </w:r>
      <w:r>
        <w:rPr>
          <w:rFonts w:ascii="Barlow Semi Condensed" w:cs="Barlow Semi Condensed" w:eastAsia="Barlow Semi Condensed" w:hAnsi="Barlow Semi Condensed"/>
          <w:sz w:val="24"/>
          <w:szCs w:val="24"/>
        </w:rPr>
        <w:t xml:space="preserve"> Si scioglierebbe in un modo soltanto: reperendo un documento coevo — verbale di delegazione, telegramma, appunto preparatorio — che registri una posizione americana contraria al coinvolgimento comunitario nella firma di Helsinki. Finché quel documento non compare, l'insofferenza resta caratterizzazione retrospettiva di un giornale e non fatto accertato, e il corpus la conserva come tale, senza adottarla e senza cancellarla dal registro delle divergenze.</w:t>
      </w:r>
    </w:p>
    <w:p>
      <w:pPr>
        <w:spacing w:after="120" w:line="276"/>
        <w:jc w:val="both"/>
      </w:pPr>
      <w:r>
        <w:rPr>
          <w:rFonts w:ascii="Barlow Semi Condensed" w:cs="Barlow Semi Condensed" w:eastAsia="Barlow Semi Condensed" w:hAnsi="Barlow Semi Condensed"/>
          <w:b/>
          <w:bCs/>
          <w:sz w:val="24"/>
          <w:szCs w:val="24"/>
        </w:rPr>
        <w:t xml:space="preserve">2824 · Helsinki, i giorni e le sedi.</w:t>
      </w:r>
      <w:r>
        <w:rPr>
          <w:rFonts w:ascii="Barlow Semi Condensed" w:cs="Barlow Semi Condensed" w:eastAsia="Barlow Semi Condensed" w:hAnsi="Barlow Semi Condensed"/>
          <w:sz w:val="24"/>
          <w:szCs w:val="24"/>
        </w:rPr>
        <w:t xml:space="preserve"> Bersaglio operativo e circoscritto: i memoranda of conversation della Ford Library per la trasferta di Helsinki, dal 29 luglio al 2 agosto 1975. Il quesito è se in quei giorni sia verbalizzato un incontro fra la delegazione americana e Moro, e con quale ordine del giorno. Il corpus non lo attesta né lo esclude: Stato Zero puntuale, chiudibile con una richiesta d'inventario alla biblioteca presidenziale.</w:t>
      </w:r>
    </w:p>
    <w:p>
      <w:pPr>
        <w:spacing w:after="120" w:line="276"/>
        <w:jc w:val="both"/>
      </w:pPr>
      <w:r>
        <w:rPr>
          <w:rFonts w:ascii="Barlow Semi Condensed" w:cs="Barlow Semi Condensed" w:eastAsia="Barlow Semi Condensed" w:hAnsi="Barlow Semi Condensed"/>
          <w:b/>
          <w:bCs/>
          <w:sz w:val="24"/>
          <w:szCs w:val="24"/>
        </w:rPr>
        <w:t xml:space="preserve">2825 · Cipro dentro il testo di Helsinki.</w:t>
      </w:r>
      <w:r>
        <w:rPr>
          <w:rFonts w:ascii="Barlow Semi Condensed" w:cs="Barlow Semi Condensed" w:eastAsia="Barlow Semi Condensed" w:hAnsi="Barlow Semi Condensed"/>
          <w:sz w:val="24"/>
          <w:szCs w:val="24"/>
        </w:rPr>
        <w:t xml:space="preserve"> Dal telegramma del 2 agosto 1975 il Capitolo VI ricava che Cipro fece circolare una dichiarazione interpretativa formale contro la riserva turca sulla rappresentanza, affermando che la partecipazione alla Conferenza si fondava sulla piena eguaglianza degli Stati e che la riserva era priva di effetto. La questione greco-turca fu dunque presente, sia pure ai margini, al tavolo che l'Italia presiedeva per la Comunità.</w:t>
      </w:r>
    </w:p>
    <w:p>
      <w:pPr>
        <w:spacing w:after="120" w:line="276"/>
        <w:jc w:val="both"/>
      </w:pPr>
      <w:r>
        <w:rPr>
          <w:rFonts w:ascii="Barlow Semi Condensed" w:cs="Barlow Semi Condensed" w:eastAsia="Barlow Semi Condensed" w:hAnsi="Barlow Semi Condensed"/>
          <w:b/>
          <w:bCs/>
          <w:sz w:val="24"/>
          <w:szCs w:val="24"/>
        </w:rPr>
        <w:t xml:space="preserve">2826 · Il negoziato che precede la cerimonia.</w:t>
      </w:r>
      <w:r>
        <w:rPr>
          <w:rFonts w:ascii="Barlow Semi Condensed" w:cs="Barlow Semi Condensed" w:eastAsia="Barlow Semi Condensed" w:hAnsi="Barlow Semi Condensed"/>
          <w:sz w:val="24"/>
          <w:szCs w:val="24"/>
        </w:rPr>
        <w:t xml:space="preserve"> La fase negoziale di Ginevra durò dal 18 settembre 1973 al 21 luglio 1975, cioè per intero sotto il mandato di Segretario di Stato iniziato il 22 settembre 1973. Il territorio non reca un solo documento di quella fase. Quesito: negli atti della Conferenza conservati dal Centro di documentazione dell'OSCE a Praga esistono interventi americani sulla questione cipriota o greca, e con quale firma delegatizia.</w:t>
      </w:r>
    </w:p>
    <w:p>
      <w:pPr>
        <w:spacing w:after="120" w:line="276"/>
        <w:jc w:val="both"/>
      </w:pPr>
      <w:r>
        <w:rPr>
          <w:rFonts w:ascii="Barlow Semi Condensed" w:cs="Barlow Semi Condensed" w:eastAsia="Barlow Semi Condensed" w:hAnsi="Barlow Semi Condensed"/>
          <w:b/>
          <w:bCs/>
          <w:sz w:val="24"/>
          <w:szCs w:val="24"/>
        </w:rPr>
        <w:t xml:space="preserve">2827 · Il registro dei seicento delegati.</w:t>
      </w:r>
      <w:r>
        <w:rPr>
          <w:rFonts w:ascii="Barlow Semi Condensed" w:cs="Barlow Semi Condensed" w:eastAsia="Barlow Semi Condensed" w:hAnsi="Barlow Semi Condensed"/>
          <w:sz w:val="24"/>
          <w:szCs w:val="24"/>
        </w:rPr>
        <w:t xml:space="preserve"> Il Capitolo VI dichiara di non aver reperito la composizione della delegazione greca e indica come sede il registro dei circa seicento delegati conservato al Centro di documentazione dell'OSCE a Praga, richiamato dallo studio dell'ICDS. La stessa sede serve a questa serie per un fine diverso e complementare: verificare la composizione nominativa della delegazione statunitense nelle tre fasi, oggi del tutto ignota al corpus.</w:t>
      </w:r>
    </w:p>
    <w:p>
      <w:pPr>
        <w:spacing w:after="120" w:line="276"/>
        <w:jc w:val="both"/>
      </w:pPr>
      <w:r>
        <w:rPr>
          <w:rFonts w:ascii="Barlow Semi Condensed" w:cs="Barlow Semi Condensed" w:eastAsia="Barlow Semi Condensed" w:hAnsi="Barlow Semi Condensed"/>
          <w:b/>
          <w:bCs/>
          <w:sz w:val="24"/>
          <w:szCs w:val="24"/>
        </w:rPr>
        <w:t xml:space="preserve">2828 · I tre cesti e il silenzio greco.</w:t>
      </w:r>
      <w:r>
        <w:rPr>
          <w:rFonts w:ascii="Barlow Semi Condensed" w:cs="Barlow Semi Condensed" w:eastAsia="Barlow Semi Condensed" w:hAnsi="Barlow Semi Condensed"/>
          <w:sz w:val="24"/>
          <w:szCs w:val="24"/>
        </w:rPr>
        <w:t xml:space="preserve"> La posizione greca sui tre cesti — sicurezza; cooperazione economica, scientifica e ambientale; dimensione umana — è esito negativo dichiarato dal Capitolo VI, con sede negli atti della Conferenza e nelle memorie dei protagonisti, fra cui quelle di Luigi Vittorio Ferraris per il versante italiano. Nessun elemento di quel dossier tocca il nome studiato, e la lacuna greca non va colmata con materiale americano.</w:t>
      </w:r>
    </w:p>
    <w:p>
      <w:pPr>
        <w:spacing w:after="120" w:line="276"/>
        <w:jc w:val="both"/>
      </w:pPr>
      <w:r>
        <w:rPr>
          <w:rFonts w:ascii="Barlow Semi Condensed" w:cs="Barlow Semi Condensed" w:eastAsia="Barlow Semi Condensed" w:hAnsi="Barlow Semi Condensed"/>
          <w:b/>
          <w:bCs/>
          <w:sz w:val="24"/>
          <w:szCs w:val="24"/>
        </w:rPr>
        <w:t xml:space="preserve">2829 · La Santa Sede a Helsinki.</w:t>
      </w:r>
      <w:r>
        <w:rPr>
          <w:rFonts w:ascii="Barlow Semi Condensed" w:cs="Barlow Semi Condensed" w:eastAsia="Barlow Semi Condensed" w:hAnsi="Barlow Semi Condensed"/>
          <w:sz w:val="24"/>
          <w:szCs w:val="24"/>
        </w:rPr>
        <w:t xml:space="preserve"> La delegazione della Santa Sede fu guidata da Casaroli e Silvestrini, con divergenza fra le fonti sull'attribuzione dei ruoli e con la lettera di Paolo VI a Casaroli del 25 luglio 1975 a confermare il mandato conclusivo; il contributo caratterizzante fu la proposta sulla libertà religiosa fra i principi dell'Atto finale. Il Capitolo VI dichiara di non aver reperito alcun documento che colleghi quella partecipazione alla questione greca.</w:t>
      </w:r>
    </w:p>
    <w:p>
      <w:pPr>
        <w:spacing w:after="120" w:line="276"/>
        <w:jc w:val="both"/>
      </w:pPr>
      <w:r>
        <w:rPr>
          <w:rFonts w:ascii="Barlow Semi Condensed" w:cs="Barlow Semi Condensed" w:eastAsia="Barlow Semi Condensed" w:hAnsi="Barlow Semi Condensed"/>
          <w:b/>
          <w:bCs/>
          <w:sz w:val="24"/>
          <w:szCs w:val="24"/>
        </w:rPr>
        <w:t xml:space="preserve">2830 · Trentacinque firme non sono un'alleanza.</w:t>
      </w:r>
      <w:r>
        <w:rPr>
          <w:rFonts w:ascii="Barlow Semi Condensed" w:cs="Barlow Semi Condensed" w:eastAsia="Barlow Semi Condensed" w:hAnsi="Barlow Semi Condensed"/>
          <w:sz w:val="24"/>
          <w:szCs w:val="24"/>
        </w:rPr>
        <w:t xml:space="preserve"> Il corpus qualifica come triangolazione certa la convergenza delle firme di Moro, della Santa Sede e della Turchia sull'Atto finale, e il dossier greco aggiunge la Grecia al medesimo elenco di firmatari. La comunanza di ambiente istituzionale resta secondo piano: trentacinque Stati sottoscrissero lo stesso testo, e firmare insieme non è agire insieme. La regola vale per la controparte americana quanto per ogni altra.</w:t>
      </w:r>
    </w:p>
    <w:p>
      <w:pPr>
        <w:spacing w:after="120" w:line="276"/>
        <w:jc w:val="both"/>
      </w:pPr>
      <w:r>
        <w:rPr>
          <w:rFonts w:ascii="Barlow Semi Condensed" w:cs="Barlow Semi Condensed" w:eastAsia="Barlow Semi Condensed" w:hAnsi="Barlow Semi Condensed"/>
          <w:b/>
          <w:bCs/>
          <w:sz w:val="24"/>
          <w:szCs w:val="24"/>
        </w:rPr>
        <w:t xml:space="preserve">2831 · Il 1981 è oltre il perimetro.</w:t>
      </w:r>
      <w:r>
        <w:rPr>
          <w:rFonts w:ascii="Barlow Semi Condensed" w:cs="Barlow Semi Condensed" w:eastAsia="Barlow Semi Condensed" w:hAnsi="Barlow Semi Condensed"/>
          <w:sz w:val="24"/>
          <w:szCs w:val="24"/>
        </w:rPr>
        <w:t xml:space="preserve"> La domanda greca di adesione alle Comunità, datata al 12 giugno 1975 da alcune fonti e al 12 luglio dallo stesso Ministero ellenico secondo la divergenza che il Capitolo VII riporta, apre una sequenza chiusa dal Trattato firmato allo Zappeion il 28 maggio 1979 e dall'ingresso il 1° gennaio 1981. L'intera coda cade dopo il 20 gennaio 1977, quando il nome studiato lasciò il Dipartimento di Stato.</w:t>
      </w:r>
    </w:p>
    <w:p>
      <w:pPr>
        <w:spacing w:after="120" w:line="276"/>
        <w:jc w:val="both"/>
      </w:pPr>
      <w:r>
        <w:rPr>
          <w:rFonts w:ascii="Barlow Semi Condensed" w:cs="Barlow Semi Condensed" w:eastAsia="Barlow Semi Condensed" w:hAnsi="Barlow Semi Condensed"/>
          <w:b/>
          <w:bCs/>
          <w:sz w:val="24"/>
          <w:szCs w:val="24"/>
        </w:rPr>
        <w:t xml:space="preserve">2832 · Karamanlis contro la Commissione.</w:t>
      </w:r>
      <w:r>
        <w:rPr>
          <w:rFonts w:ascii="Barlow Semi Condensed" w:cs="Barlow Semi Condensed" w:eastAsia="Barlow Semi Condensed" w:hAnsi="Barlow Semi Condensed"/>
          <w:sz w:val="24"/>
          <w:szCs w:val="24"/>
        </w:rPr>
        <w:t xml:space="preserve"> Il Capitolo VII documenta che la Commissione propose una fase transitoria di pre-adesione e che Karamanlis si appellò direttamente ai governi dei Nove, Francia e Germania in particolare, ottenendo il rigetto della proposta. È partita interna alla macchina comunitaria, giocata fra un governo candidato e nove capitali europee. Introdurvi un attore atlantico significherebbe aggiungere un vertice che nessuna fonte del capitolo colloca su quel tavolo.</w:t>
      </w:r>
    </w:p>
    <w:p>
      <w:pPr>
        <w:spacing w:after="120" w:line="276"/>
        <w:jc w:val="both"/>
      </w:pPr>
      <w:r>
        <w:rPr>
          <w:rFonts w:ascii="Barlow Semi Condensed" w:cs="Barlow Semi Condensed" w:eastAsia="Barlow Semi Condensed" w:hAnsi="Barlow Semi Condensed"/>
          <w:b/>
          <w:bCs/>
          <w:sz w:val="24"/>
          <w:szCs w:val="24"/>
        </w:rPr>
        <w:t xml:space="preserve">2833 · La posizione italiana sull'adesione greca.</w:t>
      </w:r>
      <w:r>
        <w:rPr>
          <w:rFonts w:ascii="Barlow Semi Condensed" w:cs="Barlow Semi Condensed" w:eastAsia="Barlow Semi Condensed" w:hAnsi="Barlow Semi Condensed"/>
          <w:sz w:val="24"/>
          <w:szCs w:val="24"/>
        </w:rPr>
        <w:t xml:space="preserve"> La posizione italiana specifica sulla domanda greca non è stata isolata nelle fonti reperite: esito negativo dichiarato, con sede duplice nella Farnesina e negli atti comunitari. Poiché manca il termine italiano, manca anche il presupposto per interrogare un eventuale allineamento con Washington. Prima di cercare una convergenza occorre possedere ciò che dovrebbe convergere, e in questo capitolo non lo si possiede in alcuna forma.</w:t>
      </w:r>
    </w:p>
    <w:p>
      <w:pPr>
        <w:spacing w:after="120" w:line="276"/>
        <w:jc w:val="both"/>
      </w:pPr>
      <w:r>
        <w:rPr>
          <w:rFonts w:ascii="Barlow Semi Condensed" w:cs="Barlow Semi Condensed" w:eastAsia="Barlow Semi Condensed" w:hAnsi="Barlow Semi Condensed"/>
          <w:b/>
          <w:bCs/>
          <w:sz w:val="24"/>
          <w:szCs w:val="24"/>
        </w:rPr>
        <w:t xml:space="preserve">2834 · Nessun canale vaticano-greco fino al 1979.</w:t>
      </w:r>
      <w:r>
        <w:rPr>
          <w:rFonts w:ascii="Barlow Semi Condensed" w:cs="Barlow Semi Condensed" w:eastAsia="Barlow Semi Condensed" w:hAnsi="Barlow Semi Condensed"/>
          <w:sz w:val="24"/>
          <w:szCs w:val="24"/>
        </w:rPr>
        <w:t xml:space="preserve"> Le relazioni diplomatiche fra la Grecia e la Santa Sede furono stabilite nel 1979 secondo il Ministero ellenico, nel 1980 secondo la voce enciclopedica dedicata; l'ambasciatore greco risiedette dapprima a Parigi e solo nel 1988 fu aperta un'ambasciata presso la Santa Sede. Per l'intero periodo studiato non esisteva canale bilaterale vaticano-greco, il che esclude alla radice ogni mediazione romana su questo asse.</w:t>
      </w:r>
    </w:p>
    <w:p>
      <w:pPr>
        <w:spacing w:after="120" w:line="276"/>
        <w:jc w:val="both"/>
      </w:pPr>
      <w:r>
        <w:rPr>
          <w:rFonts w:ascii="Barlow Semi Condensed" w:cs="Barlow Semi Condensed" w:eastAsia="Barlow Semi Condensed" w:hAnsi="Barlow Semi Condensed"/>
          <w:b/>
          <w:bCs/>
          <w:sz w:val="24"/>
          <w:szCs w:val="24"/>
        </w:rPr>
        <w:t xml:space="preserve">2835 · Il Patriarcato appartiene ad altro territorio.</w:t>
      </w:r>
      <w:r>
        <w:rPr>
          <w:rFonts w:ascii="Barlow Semi Condensed" w:cs="Barlow Semi Condensed" w:eastAsia="Barlow Semi Condensed" w:hAnsi="Barlow Semi Condensed"/>
          <w:sz w:val="24"/>
          <w:szCs w:val="24"/>
        </w:rPr>
        <w:t xml:space="preserve"> Il Capitolo VIII ricostruisce il disgelo ecumenico — l'abbraccio di Gerusalemme del 5 gennaio 1964, la dichiarazione comune del 7 dicembre 1965 che cancellò le scomuniche del 1054, la morte di Atenagora nel luglio 1972 e la successione di Dimitrios I — ma il Patriarcato ecumenico ha sede a Istanbul. Il suo dossier appartiene perciò al territorio turco della cartella, e lì va triangolato, non qui.</w:t>
      </w:r>
    </w:p>
    <w:p>
      <w:pPr>
        <w:spacing w:after="120" w:line="276"/>
        <w:jc w:val="both"/>
      </w:pPr>
      <w:r>
        <w:rPr>
          <w:rFonts w:ascii="Barlow Semi Condensed" w:cs="Barlow Semi Condensed" w:eastAsia="Barlow Semi Condensed" w:hAnsi="Barlow Semi Condensed"/>
          <w:b/>
          <w:bCs/>
          <w:sz w:val="24"/>
          <w:szCs w:val="24"/>
        </w:rPr>
        <w:t xml:space="preserve">2836 · Stato Zero sulla Chiesa di Grecia.</w:t>
      </w:r>
      <w:r>
        <w:rPr>
          <w:rFonts w:ascii="Barlow Semi Condensed" w:cs="Barlow Semi Condensed" w:eastAsia="Barlow Semi Condensed" w:hAnsi="Barlow Semi Condensed"/>
          <w:sz w:val="24"/>
          <w:szCs w:val="24"/>
        </w:rPr>
        <w:t xml:space="preserve"> Sulla posizione della Chiesa ortodossa di Grecia rispetto al regime militare è dichiarato, al Capitolo VIII, uno Stato Zero parziale, con sede negli studi specialistici sulla deposizione dell'arcivescovo Ieronymos Kotsonis, insediato nel 1967 con l'appoggio del regime, e sulla nomina di Serafeim nel 1974. In quella lacuna dichiarata non compare alcun nome americano, e non va introdotto alcun nome per il solo gusto di riempirla.</w:t>
      </w:r>
    </w:p>
    <w:p>
      <w:pPr>
        <w:spacing w:after="120" w:line="276"/>
        <w:jc w:val="both"/>
      </w:pPr>
      <w:r>
        <w:rPr>
          <w:rFonts w:ascii="Barlow Semi Condensed" w:cs="Barlow Semi Condensed" w:eastAsia="Barlow Semi Condensed" w:hAnsi="Barlow Semi Condensed"/>
          <w:b/>
          <w:bCs/>
          <w:sz w:val="24"/>
          <w:szCs w:val="24"/>
        </w:rPr>
        <w:t xml:space="preserve">2837 · L'appartenenza non è condotta, anche qui.</w:t>
      </w:r>
      <w:r>
        <w:rPr>
          <w:rFonts w:ascii="Barlow Semi Condensed" w:cs="Barlow Semi Condensed" w:eastAsia="Barlow Semi Condensed" w:hAnsi="Barlow Semi Condensed"/>
          <w:sz w:val="24"/>
          <w:szCs w:val="24"/>
        </w:rPr>
        <w:t xml:space="preserve"> La regola di ferro del territorio, secondo cui l'appartenenza di una persona a un'organizzazione non prova una condotta dell'organizzazione, è formulata al Capitolo I per l'ente confessionale e va applicata simmetricamente. Che il nome studiato appartenesse a un'amministrazione, a una scuola dottrinale e a una generazione di governo non fonda alcuna sua condotta verso Atene: la fonda soltanto un atto documentato che lo nomini.</w:t>
      </w:r>
    </w:p>
    <w:p>
      <w:pPr>
        <w:spacing w:after="120" w:line="276"/>
        <w:jc w:val="both"/>
      </w:pPr>
      <w:r>
        <w:rPr>
          <w:rFonts w:ascii="Barlow Semi Condensed" w:cs="Barlow Semi Condensed" w:eastAsia="Barlow Semi Condensed" w:hAnsi="Barlow Semi Condensed"/>
          <w:b/>
          <w:bCs/>
          <w:sz w:val="24"/>
          <w:szCs w:val="24"/>
        </w:rPr>
        <w:t xml:space="preserve">2838 · L'asse confessionale è vuoto per attestazione.</w:t>
      </w:r>
      <w:r>
        <w:rPr>
          <w:rFonts w:ascii="Barlow Semi Condensed" w:cs="Barlow Semi Condensed" w:eastAsia="Barlow Semi Condensed" w:hAnsi="Barlow Semi Condensed"/>
          <w:sz w:val="24"/>
          <w:szCs w:val="24"/>
        </w:rPr>
        <w:t xml:space="preserve"> L'elenco ufficiale dell'ente con le date di inizio del lavoro stabile nei vari Paesi, verificato integralmente dal Capitolo IX, non reca la Grecia ad alcun anno; l'articolo sulle ventitré circoscrizioni regionali, aggiornato al 4 giugno 2024, non la include in alcuna. L'assenza è dunque attestata dalla fonte dell'ente stesso: è assenza reale, e possiede una base documentale positiva che la sostiene.</w:t>
      </w:r>
    </w:p>
    <w:p>
      <w:pPr>
        <w:spacing w:after="120" w:line="276"/>
        <w:jc w:val="both"/>
      </w:pPr>
      <w:r>
        <w:rPr>
          <w:rFonts w:ascii="Barlow Semi Condensed" w:cs="Barlow Semi Condensed" w:eastAsia="Barlow Semi Condensed" w:hAnsi="Barlow Semi Condensed"/>
          <w:b/>
          <w:bCs/>
          <w:sz w:val="24"/>
          <w:szCs w:val="24"/>
        </w:rPr>
        <w:t xml:space="preserve">2839 · Due vuoti di natura diversa.</w:t>
      </w:r>
      <w:r>
        <w:rPr>
          <w:rFonts w:ascii="Barlow Semi Condensed" w:cs="Barlow Semi Condensed" w:eastAsia="Barlow Semi Condensed" w:hAnsi="Barlow Semi Condensed"/>
          <w:sz w:val="24"/>
          <w:szCs w:val="24"/>
        </w:rPr>
        <w:t xml:space="preserve"> Qui sta il perno dell'intera serie. Il vuoto dell'asse confessionale è assenza del mondo, provata dalla fonte dell'ente. Il vuoto sul nome studiato è assenza del corpus: nessuno ha cercato. Confonderli sarebbe l'errore peggiore, perché trasformerebbe una lacuna documentale in prova di estraneità. Il Capitolo X lo dice per la propria materia, e la formula va trasferita qui con il segno rovesciato.</w:t>
      </w:r>
    </w:p>
    <w:p>
      <w:pPr>
        <w:spacing w:after="120" w:line="276"/>
        <w:jc w:val="both"/>
      </w:pPr>
      <w:r>
        <w:rPr>
          <w:rFonts w:ascii="Barlow Semi Condensed" w:cs="Barlow Semi Condensed" w:eastAsia="Barlow Semi Condensed" w:hAnsi="Barlow Semi Condensed"/>
          <w:b/>
          <w:bCs/>
          <w:sz w:val="24"/>
          <w:szCs w:val="24"/>
        </w:rPr>
        <w:t xml:space="preserve">2840 · Il selettore di lingua e l'inganno.</w:t>
      </w:r>
      <w:r>
        <w:rPr>
          <w:rFonts w:ascii="Barlow Semi Condensed" w:cs="Barlow Semi Condensed" w:eastAsia="Barlow Semi Condensed" w:hAnsi="Barlow Semi Condensed"/>
          <w:sz w:val="24"/>
          <w:szCs w:val="24"/>
        </w:rPr>
        <w:t xml:space="preserve"> Il Capitolo IX segnala che le pagine dell'ente recano nel selettore la voce in lingua greca e avverte che si tratta di localizzazione linguistica, non di dichiarazione di presenza apostolica stabile. La regola di lettura è generale e serve a questa serie: la disponibilità di un contenuto in una lingua o in un Paese non attesta un insediamento, come la citazione di un nome non attesta un rapporto.</w:t>
      </w:r>
    </w:p>
    <w:p>
      <w:pPr>
        <w:spacing w:after="120" w:line="276"/>
        <w:jc w:val="both"/>
      </w:pPr>
      <w:r>
        <w:rPr>
          <w:rFonts w:ascii="Barlow Semi Condensed" w:cs="Barlow Semi Condensed" w:eastAsia="Barlow Semi Condensed" w:hAnsi="Barlow Semi Condensed"/>
          <w:b/>
          <w:bCs/>
          <w:sz w:val="24"/>
          <w:szCs w:val="24"/>
        </w:rPr>
        <w:t xml:space="preserve">2841 · Felzmann e il libello greco.</w:t>
      </w:r>
      <w:r>
        <w:rPr>
          <w:rFonts w:ascii="Barlow Semi Condensed" w:cs="Barlow Semi Condensed" w:eastAsia="Barlow Semi Condensed" w:hAnsi="Barlow Semi Condensed"/>
          <w:sz w:val="24"/>
          <w:szCs w:val="24"/>
        </w:rPr>
        <w:t xml:space="preserve"> Il territorio isola due soli frammenti che leghino l'ente alla Grecia: la testimonianza di un ex membro su un viaggio esplorativo del 1967 poi abbandonato, riferita in un'intervista e ripresa da voci enciclopediche, e un libello polemico in lingua greca che confonde l'ente con movimenti laicali ortodossi. Nessuno dei due tocca il nome studiato, e il capitolo ne dichiara nullo il valore probatorio.</w:t>
      </w:r>
    </w:p>
    <w:p>
      <w:pPr>
        <w:spacing w:after="120" w:line="276"/>
        <w:jc w:val="both"/>
      </w:pPr>
      <w:r>
        <w:rPr>
          <w:rFonts w:ascii="Barlow Semi Condensed" w:cs="Barlow Semi Condensed" w:eastAsia="Barlow Semi Condensed" w:hAnsi="Barlow Semi Condensed"/>
          <w:b/>
          <w:bCs/>
          <w:sz w:val="24"/>
          <w:szCs w:val="24"/>
        </w:rPr>
        <w:t xml:space="preserve">2842 · La ricerca CREST che non fu fatta.</w:t>
      </w:r>
      <w:r>
        <w:rPr>
          <w:rFonts w:ascii="Barlow Semi Condensed" w:cs="Barlow Semi Condensed" w:eastAsia="Barlow Semi Condensed" w:hAnsi="Barlow Semi Condensed"/>
          <w:sz w:val="24"/>
          <w:szCs w:val="24"/>
        </w:rPr>
        <w:t xml:space="preserve"> Il Capitolo X dichiara esito negativo per la combinazione fra ente confessionale e Grecia nella collezione CREST della sala di lettura elettronica della centrale americana, precisando che la ricognizione diretta e integrale non è stata condotta. Va aggiunto ciò che il capitolo non dice: in tutto il corpus nessuna ricerca è mai stata condotta sulla combinazione fra il nome qui studiato e la Grecia.</w:t>
      </w:r>
    </w:p>
    <w:p>
      <w:pPr>
        <w:spacing w:after="120" w:line="276"/>
        <w:jc w:val="both"/>
      </w:pPr>
      <w:r>
        <w:rPr>
          <w:rFonts w:ascii="Barlow Semi Condensed" w:cs="Barlow Semi Condensed" w:eastAsia="Barlow Semi Condensed" w:hAnsi="Barlow Semi Condensed"/>
          <w:b/>
          <w:bCs/>
          <w:sz w:val="24"/>
          <w:szCs w:val="24"/>
        </w:rPr>
        <w:t xml:space="preserve">2843 · La sede formale dell'esito negativo.</w:t>
      </w:r>
      <w:r>
        <w:rPr>
          <w:rFonts w:ascii="Barlow Semi Condensed" w:cs="Barlow Semi Condensed" w:eastAsia="Barlow Semi Condensed" w:hAnsi="Barlow Semi Condensed"/>
          <w:sz w:val="24"/>
          <w:szCs w:val="24"/>
        </w:rPr>
        <w:t xml:space="preserve"> La sede che chiuderebbe quell'esito negativo è tripla e va scritta per intero: la sala di lettura elettronica della centrale americana con la collezione CREST; l'edizione dell'Office of the Historian per i volumi XXIX, XXX e XXXIX dei Foreign Relations, con ricerca sull'indice per nome; i National Archives di College Park per gli originali del Dipartimento di Stato. Senza tutte e tre, l'esito resta non certificato.</w:t>
      </w:r>
    </w:p>
    <w:p>
      <w:pPr>
        <w:spacing w:after="120" w:line="276"/>
        <w:jc w:val="both"/>
      </w:pPr>
      <w:r>
        <w:rPr>
          <w:rFonts w:ascii="Barlow Semi Condensed" w:cs="Barlow Semi Condensed" w:eastAsia="Barlow Semi Condensed" w:hAnsi="Barlow Semi Condensed"/>
          <w:b/>
          <w:bCs/>
          <w:sz w:val="24"/>
          <w:szCs w:val="24"/>
        </w:rPr>
        <w:t xml:space="preserve">2844 · Il metro spagnolo, e la sua mancanza.</w:t>
      </w:r>
      <w:r>
        <w:rPr>
          <w:rFonts w:ascii="Barlow Semi Condensed" w:cs="Barlow Semi Condensed" w:eastAsia="Barlow Semi Condensed" w:hAnsi="Barlow Semi Condensed"/>
          <w:sz w:val="24"/>
          <w:szCs w:val="24"/>
        </w:rPr>
        <w:t xml:space="preserve"> Per la Spagna il corpus possiede un rapporto della centrale americana del 22 maggio 1970, protocollo CIA-RDP85T00875R001500020027-1, originariamente segreto, sul gabinetto franchista. Per la Grecia non esiste nel corpus alcun documento omologo, di alcuna provenienza, che descriva il personale di governo o le sue relazioni con Washington. La differenza misura il volume documentale realmente raccolto, non la prudenza di chi interpreta.</w:t>
      </w:r>
    </w:p>
    <w:p>
      <w:pPr>
        <w:spacing w:after="120" w:line="276"/>
        <w:jc w:val="both"/>
      </w:pPr>
      <w:r>
        <w:rPr>
          <w:rFonts w:ascii="Barlow Semi Condensed" w:cs="Barlow Semi Condensed" w:eastAsia="Barlow Semi Condensed" w:hAnsi="Barlow Semi Condensed"/>
          <w:b/>
          <w:bCs/>
          <w:sz w:val="24"/>
          <w:szCs w:val="24"/>
        </w:rPr>
        <w:t xml:space="preserve">2845 · Il volume XXX nomina il nome altrove.</w:t>
      </w:r>
      <w:r>
        <w:rPr>
          <w:rFonts w:ascii="Barlow Semi Condensed" w:cs="Barlow Semi Condensed" w:eastAsia="Barlow Semi Condensed" w:hAnsi="Barlow Semi Condensed"/>
          <w:sz w:val="24"/>
          <w:szCs w:val="24"/>
        </w:rPr>
        <w:t xml:space="preserve"> Il volume XXX dei Foreign Relations, che copre Grecia, Cipro e Turchia dal 1973 al 1976, nomina il Segretario di Stato nel dossier degli oppiacei turchi: il memorandum al presidente Ford al documento 208, accanto al paper del gruppo interdipartimentale al 206 e al memorandum di decisione 267 del 23 agosto 1974 al documento 209. Il corpus estrae quel materiale per la Turchia e non per la Grecia.</w:t>
      </w:r>
    </w:p>
    <w:p>
      <w:pPr>
        <w:spacing w:after="120" w:line="276"/>
        <w:jc w:val="both"/>
      </w:pPr>
      <w:r>
        <w:rPr>
          <w:rFonts w:ascii="Barlow Semi Condensed" w:cs="Barlow Semi Condensed" w:eastAsia="Barlow Semi Condensed" w:hAnsi="Barlow Semi Condensed"/>
          <w:b/>
          <w:bCs/>
          <w:sz w:val="24"/>
          <w:szCs w:val="24"/>
        </w:rPr>
        <w:t xml:space="preserve">2846 · Perché quell'estrazione è asimmetrica.</w:t>
      </w:r>
      <w:r>
        <w:rPr>
          <w:rFonts w:ascii="Barlow Semi Condensed" w:cs="Barlow Semi Condensed" w:eastAsia="Barlow Semi Condensed" w:hAnsi="Barlow Semi Condensed"/>
          <w:sz w:val="24"/>
          <w:szCs w:val="24"/>
        </w:rPr>
        <w:t xml:space="preserve"> L'asimmetria non è casuale e va spiegata prima di essere usata: il dossier turco degli oppiacei fu ricostruito perché toccava un interesse italiano indiretto, mentre il dossier greco fu ricostruito sul versante europeo, dove il nome studiato non aveva sede. La lacuna riflette dunque il criterio di raccolta della cartella e non una proprietà del volume XXX, che per la parte greca resta interamente da spogliare.</w:t>
      </w:r>
    </w:p>
    <w:p>
      <w:pPr>
        <w:spacing w:after="120" w:line="276"/>
        <w:jc w:val="both"/>
      </w:pPr>
      <w:r>
        <w:rPr>
          <w:rFonts w:ascii="Barlow Semi Condensed" w:cs="Barlow Semi Condensed" w:eastAsia="Barlow Semi Condensed" w:hAnsi="Barlow Semi Condensed"/>
          <w:b/>
          <w:bCs/>
          <w:sz w:val="24"/>
          <w:szCs w:val="24"/>
        </w:rPr>
        <w:t xml:space="preserve">2847 · Il colloquio del 2 settembre 1971.</w:t>
      </w:r>
      <w:r>
        <w:rPr>
          <w:rFonts w:ascii="Barlow Semi Condensed" w:cs="Barlow Semi Condensed" w:eastAsia="Barlow Semi Condensed" w:hAnsi="Barlow Semi Condensed"/>
          <w:sz w:val="24"/>
          <w:szCs w:val="24"/>
        </w:rPr>
        <w:t xml:space="preserve"> Il corpus attesta un colloquio del chargé statunitense con Moro il 2 settembre 1971, al documento 182 del volume XLI, sulla questione della rappresentanza cinese alle Nazioni Unite. Il Capitolo X lo cita proprio per dire che la prassi dei colloqui bilaterali esisteva, ma su materie diverse dalla Grecia. È l'esito negativo meglio circostanziato del territorio: la prassi c'era, e la Grecia non vi entrò mai.</w:t>
      </w:r>
    </w:p>
    <w:p>
      <w:pPr>
        <w:spacing w:after="120" w:line="276"/>
        <w:jc w:val="both"/>
      </w:pPr>
      <w:r>
        <w:rPr>
          <w:rFonts w:ascii="Barlow Semi Condensed" w:cs="Barlow Semi Condensed" w:eastAsia="Barlow Semi Condensed" w:hAnsi="Barlow Semi Condensed"/>
          <w:b/>
          <w:bCs/>
          <w:sz w:val="24"/>
          <w:szCs w:val="24"/>
        </w:rPr>
        <w:t xml:space="preserve">2848 · La Grecia nominata nel verbale italiano.</w:t>
      </w:r>
      <w:r>
        <w:rPr>
          <w:rFonts w:ascii="Barlow Semi Condensed" w:cs="Barlow Semi Condensed" w:eastAsia="Barlow Semi Condensed" w:hAnsi="Barlow Semi Condensed"/>
          <w:sz w:val="24"/>
          <w:szCs w:val="24"/>
        </w:rPr>
        <w:t xml:space="preserve"> L'unico luogo del corpus in cui il nome studiato e la Grecia stiano nella stessa frase non è il dossier greco: è il documento della vigilia del 25 settembre 1974, dove la Grecia figura fra i tre rischi di contagio indicati a Ford insieme a Francia e Germania. I blocchi 38, 112, 222 e 864 della prima campagna lo registrano. È posizione espressa, e nient'altro che questo.</w:t>
      </w:r>
    </w:p>
    <w:p>
      <w:pPr>
        <w:spacing w:after="120" w:line="276"/>
        <w:jc w:val="both"/>
      </w:pPr>
      <w:r>
        <w:rPr>
          <w:rFonts w:ascii="Barlow Semi Condensed" w:cs="Barlow Semi Condensed" w:eastAsia="Barlow Semi Condensed" w:hAnsi="Barlow Semi Condensed"/>
          <w:b/>
          <w:bCs/>
          <w:sz w:val="24"/>
          <w:szCs w:val="24"/>
        </w:rPr>
        <w:t xml:space="preserve">2849 · Ciò che quel verbale non consente.</w:t>
      </w:r>
      <w:r>
        <w:rPr>
          <w:rFonts w:ascii="Barlow Semi Condensed" w:cs="Barlow Semi Condensed" w:eastAsia="Barlow Semi Condensed" w:hAnsi="Barlow Semi Condensed"/>
          <w:sz w:val="24"/>
          <w:szCs w:val="24"/>
        </w:rPr>
        <w:t xml:space="preserve"> Il verbale dello Studio Ovale del 25 settembre 1974 — Leone, Moro, Ford, Kissinger, Scowcroft; FRUS 1969-1976 volume E-15 parte 2 documento 350, seconda edizione riveduta; Ford Library 1552802 — non contiene alcun ultimatum personale a Moro e attesta la posizione sul non poter scambiare informazioni militari con un governo che includesse i comunisti. Nulla vi autorizza a inferire una condotta verso Atene.</w:t>
      </w:r>
    </w:p>
    <w:p>
      <w:pPr>
        <w:spacing w:after="120" w:line="276"/>
        <w:jc w:val="both"/>
      </w:pPr>
      <w:r>
        <w:rPr>
          <w:rFonts w:ascii="Barlow Semi Condensed" w:cs="Barlow Semi Condensed" w:eastAsia="Barlow Semi Condensed" w:hAnsi="Barlow Semi Condensed"/>
          <w:b/>
          <w:bCs/>
          <w:sz w:val="24"/>
          <w:szCs w:val="24"/>
        </w:rPr>
        <w:t xml:space="preserve">2850 · Un quesito sul referente greco.</w:t>
      </w:r>
      <w:r>
        <w:rPr>
          <w:rFonts w:ascii="Barlow Semi Condensed" w:cs="Barlow Semi Condensed" w:eastAsia="Barlow Semi Condensed" w:hAnsi="Barlow Semi Condensed"/>
          <w:sz w:val="24"/>
          <w:szCs w:val="24"/>
        </w:rPr>
        <w:t xml:space="preserve"> Quesito da portare al testo integrale del verbale e ai documenti del volume XXX di quel mese: a che cosa allude il riferimento greco del 25 settembre 1974, se alla situazione politica interna aperta dalla caduta della giunta il 23 luglio oppure alla frattura atlantica del 14 agosto. Il corpus non lo dice, il verbale citato non lo esplicita, e la risposta muta il significato della frase.</w:t>
      </w:r>
    </w:p>
    <w:p>
      <w:pPr>
        <w:spacing w:after="120" w:line="276"/>
        <w:jc w:val="both"/>
      </w:pPr>
      <w:r>
        <w:rPr>
          <w:rFonts w:ascii="Barlow Semi Condensed" w:cs="Barlow Semi Condensed" w:eastAsia="Barlow Semi Condensed" w:hAnsi="Barlow Semi Condensed"/>
          <w:b/>
          <w:bCs/>
          <w:sz w:val="24"/>
          <w:szCs w:val="24"/>
        </w:rPr>
        <w:t xml:space="preserve">2851 · Il secondo verbale, mai spogliato (serie XXXVII).</w:t>
      </w:r>
      <w:r>
        <w:rPr>
          <w:rFonts w:ascii="Barlow Semi Condensed" w:cs="Barlow Semi Condensed" w:eastAsia="Barlow Semi Condensed" w:hAnsi="Barlow Semi Condensed"/>
          <w:sz w:val="24"/>
          <w:szCs w:val="24"/>
        </w:rPr>
        <w:t xml:space="preserve"> Il colloquio del giorno successivo, 26 settembre 1974, è conservato alla Ford Library con il documento 1552806 ed è citato dal corpus senza spoglio integrale, come registra il blocco 113 della prima campagna. Per questa serie il quesito è nominativo e circoscritto: se in quelle pagine compaiano la Grecia, Cipro o il ritiro dalla struttura militare integrata, e in quali termini esattamente.</w:t>
      </w:r>
    </w:p>
    <w:p>
      <w:pPr>
        <w:spacing w:after="120" w:line="276"/>
        <w:jc w:val="both"/>
      </w:pPr>
      <w:r>
        <w:rPr>
          <w:rFonts w:ascii="Barlow Semi Condensed" w:cs="Barlow Semi Condensed" w:eastAsia="Barlow Semi Condensed" w:hAnsi="Barlow Semi Condensed"/>
          <w:b/>
          <w:bCs/>
          <w:sz w:val="24"/>
          <w:szCs w:val="24"/>
        </w:rPr>
        <w:t xml:space="preserve">2852 · Il regime di consultabilità della Farnesina.</w:t>
      </w:r>
      <w:r>
        <w:rPr>
          <w:rFonts w:ascii="Barlow Semi Condensed" w:cs="Barlow Semi Condensed" w:eastAsia="Barlow Semi Condensed" w:hAnsi="Barlow Semi Condensed"/>
          <w:sz w:val="24"/>
          <w:szCs w:val="24"/>
        </w:rPr>
        <w:t xml:space="preserve"> L'Archivio Storico Diplomatico conserva circa trenta chilometri lineari e non versa all'Archivio Centrale dello Stato; sono consultabili di norma i documenti oltre i cinquant'anni, quelli fra trenta e cinquanta previo parere dell'ufficio produttore secondo il decreto ministeriale 1012/BIS/712 del 22 dicembre 2015, quelli con dati sensibili dopo settanta. Per il 1969-1975 il cinquantennio è compiuto: resta soltanto la procedura di autorizzazione e prenotazione.</w:t>
      </w:r>
    </w:p>
    <w:p>
      <w:pPr>
        <w:spacing w:after="120" w:line="276"/>
        <w:jc w:val="both"/>
      </w:pPr>
      <w:r>
        <w:rPr>
          <w:rFonts w:ascii="Barlow Semi Condensed" w:cs="Barlow Semi Condensed" w:eastAsia="Barlow Semi Condensed" w:hAnsi="Barlow Semi Condensed"/>
          <w:b/>
          <w:bCs/>
          <w:sz w:val="24"/>
          <w:szCs w:val="24"/>
        </w:rPr>
        <w:t xml:space="preserve">2853 · L'esclusione che colpisce il 1969.</w:t>
      </w:r>
      <w:r>
        <w:rPr>
          <w:rFonts w:ascii="Barlow Semi Condensed" w:cs="Barlow Semi Condensed" w:eastAsia="Barlow Semi Condensed" w:hAnsi="Barlow Semi Condensed"/>
          <w:sz w:val="24"/>
          <w:szCs w:val="24"/>
        </w:rPr>
        <w:t xml:space="preserve"> Fra i fondi temporaneamente esclusi per digitalizzazione il Capitolo XI segnala i Telegrammi 1942-1970. L'esclusione morde esattamente sul dicembre 1969, cioè sulla seduta di Strasburgo, e non morde sul 1974. Ne discende un ordine di esecuzione che questa serie raccomanda: si aggredisca prima il fascicolo cipriota e atlantico del 1974, raggiungibile subito, e si rinvii il 1969 alla riapertura della serie telegrafica.</w:t>
      </w:r>
    </w:p>
    <w:p>
      <w:pPr>
        <w:spacing w:after="120" w:line="276"/>
        <w:jc w:val="both"/>
      </w:pPr>
      <w:r>
        <w:rPr>
          <w:rFonts w:ascii="Barlow Semi Condensed" w:cs="Barlow Semi Condensed" w:eastAsia="Barlow Semi Condensed" w:hAnsi="Barlow Semi Condensed"/>
          <w:b/>
          <w:bCs/>
          <w:sz w:val="24"/>
          <w:szCs w:val="24"/>
        </w:rPr>
        <w:t xml:space="preserve">2854 · Gli archivi greci, mai interrogati.</w:t>
      </w:r>
      <w:r>
        <w:rPr>
          <w:rFonts w:ascii="Barlow Semi Condensed" w:cs="Barlow Semi Condensed" w:eastAsia="Barlow Semi Condensed" w:hAnsi="Barlow Semi Condensed"/>
          <w:sz w:val="24"/>
          <w:szCs w:val="24"/>
        </w:rPr>
        <w:t xml:space="preserve"> Come sedi omologhe sul versante ellenico sono indicate, al Capitolo XI, il Servizio dell'archivio diplomatico e storico del Ministero degli Esteri greco, gli Archivi generali dello Stato e la Fondazione Konstantinos Karamanlis, con la dichiarazione di non averli consultati e di non averne verificato l'accessibilità. Su di essi grava dunque un doppio Stato Zero: sul versante italiano e su quello americano, entrambi da aprire con richiesta formale.</w:t>
      </w:r>
    </w:p>
    <w:p>
      <w:pPr>
        <w:spacing w:after="120" w:line="276"/>
        <w:jc w:val="both"/>
      </w:pPr>
      <w:r>
        <w:rPr>
          <w:rFonts w:ascii="Barlow Semi Condensed" w:cs="Barlow Semi Condensed" w:eastAsia="Barlow Semi Condensed" w:hAnsi="Barlow Semi Condensed"/>
          <w:b/>
          <w:bCs/>
          <w:sz w:val="24"/>
          <w:szCs w:val="24"/>
        </w:rPr>
        <w:t xml:space="preserve">2855 · Il bilancio della serie, e il limite.</w:t>
      </w:r>
      <w:r>
        <w:rPr>
          <w:rFonts w:ascii="Barlow Semi Condensed" w:cs="Barlow Semi Condensed" w:eastAsia="Barlow Semi Condensed" w:hAnsi="Barlow Semi Condensed"/>
          <w:sz w:val="24"/>
          <w:szCs w:val="24"/>
        </w:rPr>
        <w:t xml:space="preserve"> Bilancio dichiarato: un solo piano 1, il telegramma del 2 agosto 1975, che non ha la Grecia per oggetto; una convergenza di secondo piano, le tre date fra il 14 agosto e il 25 settembre 1974; una tesi terziaria circolante e priva di riscontro; tutto il resto Stato Zero. Nessun blocco indica alcuna responsabilità penale: il corpus si ferma al giudicato, e qui non ve n'è alcuno.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trentottesima — La Farnesina: Turchia e l’attentato del 1981</w:t>
      </w:r>
    </w:p>
    <w:p>
      <w:pPr>
        <w:spacing w:after="120" w:line="276"/>
        <w:jc w:val="both"/>
      </w:pPr>
      <w:r>
        <w:rPr>
          <w:rFonts w:ascii="Barlow Semi Condensed" w:cs="Barlow Semi Condensed" w:eastAsia="Barlow Semi Condensed" w:hAnsi="Barlow Semi Condensed"/>
          <w:i/>
          <w:iCs/>
          <w:sz w:val="24"/>
          <w:szCs w:val="24"/>
        </w:rPr>
        <w:t xml:space="preserve">Blocchi 2856-2935.</w:t>
      </w:r>
    </w:p>
    <w:p>
      <w:pPr>
        <w:spacing w:after="120" w:line="276"/>
        <w:jc w:val="both"/>
      </w:pPr>
      <w:r>
        <w:rPr>
          <w:rFonts w:ascii="Barlow Semi Condensed" w:cs="Barlow Semi Condensed" w:eastAsia="Barlow Semi Condensed" w:hAnsi="Barlow Semi Condensed"/>
          <w:b/>
          <w:bCs/>
          <w:sz w:val="24"/>
          <w:szCs w:val="24"/>
        </w:rPr>
        <w:t xml:space="preserve">2856 · L'unica occorrenza del nome (serie XXXVIII).</w:t>
      </w:r>
      <w:r>
        <w:rPr>
          <w:rFonts w:ascii="Barlow Semi Condensed" w:cs="Barlow Semi Condensed" w:eastAsia="Barlow Semi Condensed" w:hAnsi="Barlow Semi Condensed"/>
          <w:sz w:val="24"/>
          <w:szCs w:val="24"/>
        </w:rPr>
        <w:t xml:space="preserve"> Nella cartella turchia-opus-dei-1969-1975.md il nome di Henry Kissinger compare due volte, ed entrambe nello stesso rinvio: il documento 208 del volume XXX dei Foreign Relations, memorandum al presidente Ford sulla revoca turca del divieto del papavero, richiamato al Capitolo VII e ripreso nell'inventario del Capitolo XI. Tutto il resto del territorio tace su di lui. Questa serie parte da qui e non finge un secondo ancoraggio.</w:t>
      </w:r>
    </w:p>
    <w:p>
      <w:pPr>
        <w:spacing w:after="120" w:line="276"/>
        <w:jc w:val="both"/>
      </w:pPr>
      <w:r>
        <w:rPr>
          <w:rFonts w:ascii="Barlow Semi Condensed" w:cs="Barlow Semi Condensed" w:eastAsia="Barlow Semi Condensed" w:hAnsi="Barlow Semi Condensed"/>
          <w:b/>
          <w:bCs/>
          <w:sz w:val="24"/>
          <w:szCs w:val="24"/>
        </w:rPr>
        <w:t xml:space="preserve">2857 · Che cosa attesta il documento 208.</w:t>
      </w:r>
      <w:r>
        <w:rPr>
          <w:rFonts w:ascii="Barlow Semi Condensed" w:cs="Barlow Semi Condensed" w:eastAsia="Barlow Semi Condensed" w:hAnsi="Barlow Semi Condensed"/>
          <w:sz w:val="24"/>
          <w:szCs w:val="24"/>
        </w:rPr>
        <w:t xml:space="preserve"> Il rinvio della cartella riferisce due contenuti: che l'oppio turco era stato la principale fonte dell'eroina contrabbandata negli Stati Uniti e che dal divieto del 1971 vi era stato un drammatico declino della tossicodipendenza. Attesta dunque una rappresentazione del problema portata al presidente, non una condotta italiana né un contatto con la Farnesina. Piano 1 rispetto a sé stesso, piano zero rispetto a Moro.</w:t>
      </w:r>
    </w:p>
    <w:p>
      <w:pPr>
        <w:spacing w:after="120" w:line="276"/>
        <w:jc w:val="both"/>
      </w:pPr>
      <w:r>
        <w:rPr>
          <w:rFonts w:ascii="Barlow Semi Condensed" w:cs="Barlow Semi Condensed" w:eastAsia="Barlow Semi Condensed" w:hAnsi="Barlow Semi Condensed"/>
          <w:b/>
          <w:bCs/>
          <w:sz w:val="24"/>
          <w:szCs w:val="24"/>
        </w:rPr>
        <w:t xml:space="preserve">2858 · Quesito: la data del 208.</w:t>
      </w:r>
      <w:r>
        <w:rPr>
          <w:rFonts w:ascii="Barlow Semi Condensed" w:cs="Barlow Semi Condensed" w:eastAsia="Barlow Semi Condensed" w:hAnsi="Barlow Semi Condensed"/>
          <w:sz w:val="24"/>
          <w:szCs w:val="24"/>
        </w:rPr>
        <w:t xml:space="preserve"> Prima domanda da portare in archivio: la cartella cita il documento 208 senza data né titolo esatto. Occorre stabilire, sull'edizione dell'Office of the Historian e sul fascicolo originario alla Gerald R. Ford Presidential Library, National Security Council Institutional Files, se sia memorandum del Segretario di Stato o dell'Assistente per la sicurezza nazionale, se rechi firma autografa o soltanto attribuzione d'ufficio, e in quale giorno del 1974.</w:t>
      </w:r>
    </w:p>
    <w:p>
      <w:pPr>
        <w:spacing w:after="120" w:line="276"/>
        <w:jc w:val="both"/>
      </w:pPr>
      <w:r>
        <w:rPr>
          <w:rFonts w:ascii="Barlow Semi Condensed" w:cs="Barlow Semi Condensed" w:eastAsia="Barlow Semi Condensed" w:hAnsi="Barlow Semi Condensed"/>
          <w:b/>
          <w:bCs/>
          <w:sz w:val="24"/>
          <w:szCs w:val="24"/>
        </w:rPr>
        <w:t xml:space="preserve">2859 · Il doppio incarico come cautela.</w:t>
      </w:r>
      <w:r>
        <w:rPr>
          <w:rFonts w:ascii="Barlow Semi Condensed" w:cs="Barlow Semi Condensed" w:eastAsia="Barlow Semi Condensed" w:hAnsi="Barlow Semi Condensed"/>
          <w:sz w:val="24"/>
          <w:szCs w:val="24"/>
        </w:rPr>
        <w:t xml:space="preserve"> Fra il 22 settembre 1973 e il 3 novembre 1975 la stessa persona tenne l'Assistenza per la sicurezza nazionale e il Dipartimento di Stato. Ne segue una cautela che il territorio turco impone a ogni pagina: un documento del Consiglio di sicurezza nazionale e uno del Dipartimento, dentro quella finestra, non sono due conferme indipendenti. È la regola dell'omologia dei blocchi 22 e 213 applicata alle catene di redazione.</w:t>
      </w:r>
    </w:p>
    <w:p>
      <w:pPr>
        <w:spacing w:after="120" w:line="276"/>
        <w:jc w:val="both"/>
      </w:pPr>
      <w:r>
        <w:rPr>
          <w:rFonts w:ascii="Barlow Semi Condensed" w:cs="Barlow Semi Condensed" w:eastAsia="Barlow Semi Condensed" w:hAnsi="Barlow Semi Condensed"/>
          <w:b/>
          <w:bCs/>
          <w:sz w:val="24"/>
          <w:szCs w:val="24"/>
        </w:rPr>
        <w:t xml:space="preserve">2860 · La riga di firma dei telegrammi.</w:t>
      </w:r>
      <w:r>
        <w:rPr>
          <w:rFonts w:ascii="Barlow Semi Condensed" w:cs="Barlow Semi Condensed" w:eastAsia="Barlow Semi Condensed" w:hAnsi="Barlow Semi Condensed"/>
          <w:sz w:val="24"/>
          <w:szCs w:val="24"/>
        </w:rPr>
        <w:t xml:space="preserve"> Regola operativa per chiunque interroghi i Central Foreign Policy Files: i telegrammi in partenza dal Dipartimento fra il 1973 e il gennaio 1977 recano in chiusura il cognome del Segretario. Quella riga è attribuzione d'ufficio, non prova di redazione personale. Chi cerchi il cognome in full-text raccoglierà migliaia di occorrenze prive di valore individuante: vanno contate come intestazioni, e verbalizzate come tali.</w:t>
      </w:r>
    </w:p>
    <w:p>
      <w:pPr>
        <w:spacing w:after="120" w:line="276"/>
        <w:jc w:val="both"/>
      </w:pPr>
      <w:r>
        <w:rPr>
          <w:rFonts w:ascii="Barlow Semi Condensed" w:cs="Barlow Semi Condensed" w:eastAsia="Barlow Semi Condensed" w:hAnsi="Barlow Semi Condensed"/>
          <w:b/>
          <w:bCs/>
          <w:sz w:val="24"/>
          <w:szCs w:val="24"/>
        </w:rPr>
        <w:t xml:space="preserve">2861 · La finestra utile dell'AAD.</w:t>
      </w:r>
      <w:r>
        <w:rPr>
          <w:rFonts w:ascii="Barlow Semi Condensed" w:cs="Barlow Semi Condensed" w:eastAsia="Barlow Semi Condensed" w:hAnsi="Barlow Semi Condensed"/>
          <w:sz w:val="24"/>
          <w:szCs w:val="24"/>
        </w:rPr>
        <w:t xml:space="preserve"> La copertura dell'Access to Archival Databases è fissata dal blocco 128 dell'agenda di ricerca: Central Foreign Policy Files dal 1° luglio 1973 al 31 dicembre 1979. La finestra contiene per intero il Segretariato qui in esame e, in coda, il viaggio papale del novembre 1979. È lo strumento più economico per i dossier turchi della cartella. Le ricerche a vuoto si verbalizzano.</w:t>
      </w:r>
    </w:p>
    <w:p>
      <w:pPr>
        <w:spacing w:after="120" w:line="276"/>
        <w:jc w:val="both"/>
      </w:pPr>
      <w:r>
        <w:rPr>
          <w:rFonts w:ascii="Barlow Semi Condensed" w:cs="Barlow Semi Condensed" w:eastAsia="Barlow Semi Condensed" w:hAnsi="Barlow Semi Condensed"/>
          <w:b/>
          <w:bCs/>
          <w:sz w:val="24"/>
          <w:szCs w:val="24"/>
        </w:rPr>
        <w:t xml:space="preserve">2862 · Griglia di interrogazione, per TAGS.</w:t>
      </w:r>
      <w:r>
        <w:rPr>
          <w:rFonts w:ascii="Barlow Semi Condensed" w:cs="Barlow Semi Condensed" w:eastAsia="Barlow Semi Condensed" w:hAnsi="Barlow Semi Condensed"/>
          <w:sz w:val="24"/>
          <w:szCs w:val="24"/>
        </w:rPr>
        <w:t xml:space="preserve"> L'interrogazione va dichiarata prima di essere condotta, come prescrive il blocco 115 del manuale investigativo: sigle di paese per Turchia, Cipro, Grecia, Italia e Santa Sede, indicatori tematici per stupefacenti, forniture militari e piattaforma continentale, finestre datate sui mesi di luglio e agosto 1974, di febbraio e luglio 1975, di novembre 1979. L'esito è un elenco datato di telegrammi liberi, non una tesi.</w:t>
      </w:r>
    </w:p>
    <w:p>
      <w:pPr>
        <w:spacing w:after="120" w:line="276"/>
        <w:jc w:val="both"/>
      </w:pPr>
      <w:r>
        <w:rPr>
          <w:rFonts w:ascii="Barlow Semi Condensed" w:cs="Barlow Semi Condensed" w:eastAsia="Barlow Semi Condensed" w:hAnsi="Barlow Semi Condensed"/>
          <w:b/>
          <w:bCs/>
          <w:sz w:val="24"/>
          <w:szCs w:val="24"/>
        </w:rPr>
        <w:t xml:space="preserve">2863 · Il memorandum di decisione dell'agosto 1974.</w:t>
      </w:r>
      <w:r>
        <w:rPr>
          <w:rFonts w:ascii="Barlow Semi Condensed" w:cs="Barlow Semi Condensed" w:eastAsia="Barlow Semi Condensed" w:hAnsi="Barlow Semi Condensed"/>
          <w:sz w:val="24"/>
          <w:szCs w:val="24"/>
        </w:rPr>
        <w:t xml:space="preserve"> Il National Security Decision Memorandum 267 del 23 agosto 1974, che la cartella cita come documento 209 del volume XXX e 164 del volume E-3, impartiva le istruzioni operative sul dossier del papavero. La prassi voleva che simili memorandum uscissero a firma dell'Assistente per la sicurezza nazionale. Il territorio non lo dice: va accertato sull'originale, serie NSDM alla Ford Library, prima di attribuirlo a chicchessia.</w:t>
      </w:r>
    </w:p>
    <w:p>
      <w:pPr>
        <w:spacing w:after="120" w:line="276"/>
        <w:jc w:val="both"/>
      </w:pPr>
      <w:r>
        <w:rPr>
          <w:rFonts w:ascii="Barlow Semi Condensed" w:cs="Barlow Semi Condensed" w:eastAsia="Barlow Semi Condensed" w:hAnsi="Barlow Semi Condensed"/>
          <w:b/>
          <w:bCs/>
          <w:sz w:val="24"/>
          <w:szCs w:val="24"/>
        </w:rPr>
        <w:t xml:space="preserve">2864 · Il paper del Gruppo interdipartimentale.</w:t>
      </w:r>
      <w:r>
        <w:rPr>
          <w:rFonts w:ascii="Barlow Semi Condensed" w:cs="Barlow Semi Condensed" w:eastAsia="Barlow Semi Condensed" w:hAnsi="Barlow Semi Condensed"/>
          <w:sz w:val="24"/>
          <w:szCs w:val="24"/>
        </w:rPr>
        <w:t xml:space="preserve"> Indicato come elaborato del Gruppo interdipartimentale per l'Europa del Consiglio di sicurezza nazionale, il documento 206 del volume XXX analizzava le opzioni di risposta alla revoca turca. Chi presiedeva quel gruppo, chi ne redasse il testo e a quale riunione fu discusso non risulta dalla cartella. Sede: Ford Library, NSC Institutional Files, verbali dei gruppi interdipartimentali. È accertamento puntuale e conseguibile.</w:t>
      </w:r>
    </w:p>
    <w:p>
      <w:pPr>
        <w:spacing w:after="120" w:line="276"/>
        <w:jc w:val="both"/>
      </w:pPr>
      <w:r>
        <w:rPr>
          <w:rFonts w:ascii="Barlow Semi Condensed" w:cs="Barlow Semi Condensed" w:eastAsia="Barlow Semi Condensed" w:hAnsi="Barlow Semi Condensed"/>
          <w:b/>
          <w:bCs/>
          <w:sz w:val="24"/>
          <w:szCs w:val="24"/>
        </w:rPr>
        <w:t xml:space="preserve">2865 · Il divieto del 1971 e Nixon.</w:t>
      </w:r>
      <w:r>
        <w:rPr>
          <w:rFonts w:ascii="Barlow Semi Condensed" w:cs="Barlow Semi Condensed" w:eastAsia="Barlow Semi Condensed" w:hAnsi="Barlow Semi Condensed"/>
          <w:sz w:val="24"/>
          <w:szCs w:val="24"/>
        </w:rPr>
        <w:t xml:space="preserve"> La cartella attribuisce il divieto turco del giugno 1971, sotto il governo di Nihat Erim, a una pressione statunitense esercitata personalmente dal presidente Nixon. L'attribuzione è al presidente, non al suo Assistente per la sicurezza nazionale in carica dal 20 gennaio 1969. Chi volesse spostarla dovrà produrre carte proprie: Richard Nixon Presidential Library, materiali del Consiglio di sicurezza nazionale, serie per paese e serie stupefacenti.</w:t>
      </w:r>
    </w:p>
    <w:p>
      <w:pPr>
        <w:spacing w:after="120" w:line="276"/>
        <w:jc w:val="both"/>
      </w:pPr>
      <w:r>
        <w:rPr>
          <w:rFonts w:ascii="Barlow Semi Condensed" w:cs="Barlow Semi Condensed" w:eastAsia="Barlow Semi Condensed" w:hAnsi="Barlow Semi Condensed"/>
          <w:b/>
          <w:bCs/>
          <w:sz w:val="24"/>
          <w:szCs w:val="24"/>
        </w:rPr>
        <w:t xml:space="preserve">2866 · Bersaglio di smentita sul papavero.</w:t>
      </w:r>
      <w:r>
        <w:rPr>
          <w:rFonts w:ascii="Barlow Semi Condensed" w:cs="Barlow Semi Condensed" w:eastAsia="Barlow Semi Condensed" w:hAnsi="Barlow Semi Condensed"/>
          <w:sz w:val="24"/>
          <w:szCs w:val="24"/>
        </w:rPr>
        <w:t xml:space="preserve"> Che cosa falsificherebbe l'ipotesi di un ruolo personale nel dossier degli oppiacei? Un solo reperto basterebbe invece a confermarla: un verbale di riunione o un telegramma di istruzione in cui il nome compaia come proponente, e non come destinatario o firmatario d'ufficio. In assenza, la posizione corretta resta quella della cartella: un memorandum al presidente e nient'altro. L'accumulo di carte d'ufficio non produce quel reperto.</w:t>
      </w:r>
    </w:p>
    <w:p>
      <w:pPr>
        <w:spacing w:after="120" w:line="276"/>
        <w:jc w:val="both"/>
      </w:pPr>
      <w:r>
        <w:rPr>
          <w:rFonts w:ascii="Barlow Semi Condensed" w:cs="Barlow Semi Condensed" w:eastAsia="Barlow Semi Condensed" w:hAnsi="Barlow Semi Condensed"/>
          <w:b/>
          <w:bCs/>
          <w:sz w:val="24"/>
          <w:szCs w:val="24"/>
        </w:rPr>
        <w:t xml:space="preserve">2867 · L'Italia assente dal dossier.</w:t>
      </w:r>
      <w:r>
        <w:rPr>
          <w:rFonts w:ascii="Barlow Semi Condensed" w:cs="Barlow Semi Condensed" w:eastAsia="Barlow Semi Condensed" w:hAnsi="Barlow Semi Condensed"/>
          <w:sz w:val="24"/>
          <w:szCs w:val="24"/>
        </w:rPr>
        <w:t xml:space="preserve"> Il Capitolo VII registra un esito negativo circostanziato: nessuna fonte primaria documenta un coinvolgimento della Farnesina di Moro nella revoca del 1974, né una posizione italiana in sede di Nazioni Unite. Il negoziato documentato è bilaterale turco-americano. Ne segue che su questo dossier, fra il nome qui triangolato e Moro, non esiste neppure un tavolo comune. Sede di chiusura: serie affari sociali dell'Archivio storico-diplomatico.</w:t>
      </w:r>
    </w:p>
    <w:p>
      <w:pPr>
        <w:spacing w:after="120" w:line="276"/>
        <w:jc w:val="both"/>
      </w:pPr>
      <w:r>
        <w:rPr>
          <w:rFonts w:ascii="Barlow Semi Condensed" w:cs="Barlow Semi Condensed" w:eastAsia="Barlow Semi Condensed" w:hAnsi="Barlow Semi Condensed"/>
          <w:b/>
          <w:bCs/>
          <w:sz w:val="24"/>
          <w:szCs w:val="24"/>
        </w:rPr>
        <w:t xml:space="preserve">2868 · La Commissione stupefacenti di Vienna.</w:t>
      </w:r>
      <w:r>
        <w:rPr>
          <w:rFonts w:ascii="Barlow Semi Condensed" w:cs="Barlow Semi Condensed" w:eastAsia="Barlow Semi Condensed" w:hAnsi="Barlow Semi Condensed"/>
          <w:sz w:val="24"/>
          <w:szCs w:val="24"/>
        </w:rPr>
        <w:t xml:space="preserve"> La seconda sede indicata dal territorio per lo stesso vuoto è l'archivio della Commissione stupefacenti delle Nazioni Unite a Vienna. Vi si cercherebbero due cose distinte: se l'Italia depositò una posizione sul caso turco del 1974, e se la delegazione statunitense vi portò la linea del memorandum al presidente. La seconda ricerca è quella che riguarda questa serie, e non è stata condotta.</w:t>
      </w:r>
    </w:p>
    <w:p>
      <w:pPr>
        <w:spacing w:after="120" w:line="276"/>
        <w:jc w:val="both"/>
      </w:pPr>
      <w:r>
        <w:rPr>
          <w:rFonts w:ascii="Barlow Semi Condensed" w:cs="Barlow Semi Condensed" w:eastAsia="Barlow Semi Condensed" w:hAnsi="Barlow Semi Condensed"/>
          <w:b/>
          <w:bCs/>
          <w:sz w:val="24"/>
          <w:szCs w:val="24"/>
        </w:rPr>
        <w:t xml:space="preserve">2869 · La rotta e i suoi due piani.</w:t>
      </w:r>
      <w:r>
        <w:rPr>
          <w:rFonts w:ascii="Barlow Semi Condensed" w:cs="Barlow Semi Condensed" w:eastAsia="Barlow Semi Condensed" w:hAnsi="Barlow Semi Condensed"/>
          <w:sz w:val="24"/>
          <w:szCs w:val="24"/>
        </w:rPr>
        <w:t xml:space="preserve"> Due piani vanno tenuti separati, e il blocco 357 dell'opera lo prescrive: l'oppio anatolico, i laboratori di Marsiglia, la ristrutturazione lungo il corridoio balcanico e l'Italia fra i punti di arrivo sono accertati come fenomeno criminale, e non per ciò stesso come nesso fra governi. Chi usasse la rotta per collegare un nome americano alla Farnesina compirebbe esattamente l'errore che quel blocco vieta.</w:t>
      </w:r>
    </w:p>
    <w:p>
      <w:pPr>
        <w:spacing w:after="120" w:line="276"/>
        <w:jc w:val="both"/>
      </w:pPr>
      <w:r>
        <w:rPr>
          <w:rFonts w:ascii="Barlow Semi Condensed" w:cs="Barlow Semi Condensed" w:eastAsia="Barlow Semi Condensed" w:hAnsi="Barlow Semi Condensed"/>
          <w:b/>
          <w:bCs/>
          <w:sz w:val="24"/>
          <w:szCs w:val="24"/>
        </w:rPr>
        <w:t xml:space="preserve">2870 · Stato Zero: la French Connection.</w:t>
      </w:r>
      <w:r>
        <w:rPr>
          <w:rFonts w:ascii="Barlow Semi Condensed" w:cs="Barlow Semi Condensed" w:eastAsia="Barlow Semi Condensed" w:hAnsi="Barlow Semi Condensed"/>
          <w:sz w:val="24"/>
          <w:szCs w:val="24"/>
        </w:rPr>
        <w:t xml:space="preserve"> La French Connection compare nel Capitolo VII come cornice storiografica, con l'Unione Corse e i laboratori marsigliesi, e nessun documento di provenienza vi collega il nome triangolato. Si verbalizza come Stato Zero. Le sedi che lo chiuderebbero sono gli archivi della Drug Enforcement Administration e i fondi del Bureau of Narcotics presso i National Archives, non la pubblicistica che ripete l'accostamento.</w:t>
      </w:r>
    </w:p>
    <w:p>
      <w:pPr>
        <w:spacing w:after="120" w:line="276"/>
        <w:jc w:val="both"/>
      </w:pPr>
      <w:r>
        <w:rPr>
          <w:rFonts w:ascii="Barlow Semi Condensed" w:cs="Barlow Semi Condensed" w:eastAsia="Barlow Semi Condensed" w:hAnsi="Barlow Semi Condensed"/>
          <w:b/>
          <w:bCs/>
          <w:sz w:val="24"/>
          <w:szCs w:val="24"/>
        </w:rPr>
        <w:t xml:space="preserve">2871 · Una citazione da sostituire.</w:t>
      </w:r>
      <w:r>
        <w:rPr>
          <w:rFonts w:ascii="Barlow Semi Condensed" w:cs="Barlow Semi Condensed" w:eastAsia="Barlow Semi Condensed" w:hAnsi="Barlow Semi Condensed"/>
          <w:sz w:val="24"/>
          <w:szCs w:val="24"/>
        </w:rPr>
        <w:t xml:space="preserve"> Rilievo redazionale sul territorio stesso: nel medesimo capitolo la cartella turca appoggia il passaggio sulla rete corsa a un'enciclopedia collaborativa che il committente ha espressamente escluso dalle fonti ammesse. Il fatto riferito è comunque sostenuto altrove nella storiografia; la citazione va sostituita, non il fatto rimosso. Chi ripubblichi il capitolo senza quella sostituzione trasmette un difetto di apparato, non un errore di merito.</w:t>
      </w:r>
    </w:p>
    <w:p>
      <w:pPr>
        <w:spacing w:after="120" w:line="276"/>
        <w:jc w:val="both"/>
      </w:pPr>
      <w:r>
        <w:rPr>
          <w:rFonts w:ascii="Barlow Semi Condensed" w:cs="Barlow Semi Condensed" w:eastAsia="Barlow Semi Condensed" w:hAnsi="Barlow Semi Condensed"/>
          <w:b/>
          <w:bCs/>
          <w:sz w:val="24"/>
          <w:szCs w:val="24"/>
        </w:rPr>
        <w:t xml:space="preserve">2872 · Il piano cantonale e il suggeritore.</w:t>
      </w:r>
      <w:r>
        <w:rPr>
          <w:rFonts w:ascii="Barlow Semi Condensed" w:cs="Barlow Semi Condensed" w:eastAsia="Barlow Semi Condensed" w:hAnsi="Barlow Semi Condensed"/>
          <w:sz w:val="24"/>
          <w:szCs w:val="24"/>
        </w:rPr>
        <w:t xml:space="preserve"> Al Capitolo III si legge che alla seconda tornata di Ginevra la Turchia presentò un piano cantonale elaborato su suggerimento statunitense, senza che alcun nome venga fatto. È la formulazione che più di ogni altra invita all'inferenza, ed è per questo il bersaglio più netto della serie: il nome va cercato nel volume XXX dei Foreign Relations, non dedotto dalla carica di chi allora la ricopriva.</w:t>
      </w:r>
    </w:p>
    <w:p>
      <w:pPr>
        <w:spacing w:after="120" w:line="276"/>
        <w:jc w:val="both"/>
      </w:pPr>
      <w:r>
        <w:rPr>
          <w:rFonts w:ascii="Barlow Semi Condensed" w:cs="Barlow Semi Condensed" w:eastAsia="Barlow Semi Condensed" w:hAnsi="Barlow Semi Condensed"/>
          <w:b/>
          <w:bCs/>
          <w:sz w:val="24"/>
          <w:szCs w:val="24"/>
        </w:rPr>
        <w:t xml:space="preserve">2873 · Le trascrizioni telefoniche, sede propria.</w:t>
      </w:r>
      <w:r>
        <w:rPr>
          <w:rFonts w:ascii="Barlow Semi Condensed" w:cs="Barlow Semi Condensed" w:eastAsia="Barlow Semi Condensed" w:hAnsi="Barlow Semi Condensed"/>
          <w:sz w:val="24"/>
          <w:szCs w:val="24"/>
        </w:rPr>
        <w:t xml:space="preserve"> I National Archives conservano nel Record Group 59 i Records of Henry Kissinger 1973-1977, che comprendono le trascrizioni delle conversazioni telefoniche. Per i giorni fra l'8 e il 16 agosto 1974 quella serie è la sede naturale in cui verificare la formula del Capitolo III. Esito atteso incerto; ma è ricerca circoscritta a nove giorni, e il suo fallimento sarebbe un'acquisizione dichiarabile.</w:t>
      </w:r>
    </w:p>
    <w:p>
      <w:pPr>
        <w:spacing w:after="120" w:line="276"/>
        <w:jc w:val="both"/>
      </w:pPr>
      <w:r>
        <w:rPr>
          <w:rFonts w:ascii="Barlow Semi Condensed" w:cs="Barlow Semi Condensed" w:eastAsia="Barlow Semi Condensed" w:hAnsi="Barlow Semi Condensed"/>
          <w:b/>
          <w:bCs/>
          <w:sz w:val="24"/>
          <w:szCs w:val="24"/>
        </w:rPr>
        <w:t xml:space="preserve">2874 · Ginevra, la sequenza da riportare.</w:t>
      </w:r>
      <w:r>
        <w:rPr>
          <w:rFonts w:ascii="Barlow Semi Condensed" w:cs="Barlow Semi Condensed" w:eastAsia="Barlow Semi Condensed" w:hAnsi="Barlow Semi Condensed"/>
          <w:sz w:val="24"/>
          <w:szCs w:val="24"/>
        </w:rPr>
        <w:t xml:space="preserve"> La cronologia della seconda tornata è fissata dal territorio: apertura l'8-9 agosto 1974, richiesta turca del 14 agosto di uno Stato federale con il trentaquattro per cento del territorio, rifiuto della dilazione di trentasei-quarantotto ore chiesta da Clerides il 13, offensiva all'alba del 14. Ogni ipotesi di ruolo esterno deve inserirsi in questa griglia oraria, e cadere se non vi trova posto.</w:t>
      </w:r>
    </w:p>
    <w:p>
      <w:pPr>
        <w:spacing w:after="120" w:line="276"/>
        <w:jc w:val="both"/>
      </w:pPr>
      <w:r>
        <w:rPr>
          <w:rFonts w:ascii="Barlow Semi Condensed" w:cs="Barlow Semi Condensed" w:eastAsia="Barlow Semi Condensed" w:hAnsi="Barlow Semi Condensed"/>
          <w:b/>
          <w:bCs/>
          <w:sz w:val="24"/>
          <w:szCs w:val="24"/>
        </w:rPr>
        <w:t xml:space="preserve">2875 · Ayşe e il limite della frase.</w:t>
      </w:r>
      <w:r>
        <w:rPr>
          <w:rFonts w:ascii="Barlow Semi Condensed" w:cs="Barlow Semi Condensed" w:eastAsia="Barlow Semi Condensed" w:hAnsi="Barlow Semi Condensed"/>
          <w:sz w:val="24"/>
          <w:szCs w:val="24"/>
        </w:rPr>
        <w:t xml:space="preserve"> È documentata la frase in codice con cui alle tre del mattino del 14 agosto Turan Güneş avvertì Ecevit: Ayşe può andare in vacanza. Essa attesta la catena decisionale turca, interna e propria. Usarla come indizio di un'autorizzazione esterna significherebbe leggere in un documento ciò che il documento non dice: è la forma più comune di promozione indebita dal piano 2 al piano 1.</w:t>
      </w:r>
    </w:p>
    <w:p>
      <w:pPr>
        <w:spacing w:after="120" w:line="276"/>
        <w:jc w:val="both"/>
      </w:pPr>
      <w:r>
        <w:rPr>
          <w:rFonts w:ascii="Barlow Semi Condensed" w:cs="Barlow Semi Condensed" w:eastAsia="Barlow Semi Condensed" w:hAnsi="Barlow Semi Condensed"/>
          <w:b/>
          <w:bCs/>
          <w:sz w:val="24"/>
          <w:szCs w:val="24"/>
        </w:rPr>
        <w:t xml:space="preserve">2876 · Le due denominazioni, e perché restano.</w:t>
      </w:r>
      <w:r>
        <w:rPr>
          <w:rFonts w:ascii="Barlow Semi Condensed" w:cs="Barlow Semi Condensed" w:eastAsia="Barlow Semi Condensed" w:hAnsi="Barlow Semi Condensed"/>
          <w:sz w:val="24"/>
          <w:szCs w:val="24"/>
        </w:rPr>
        <w:t xml:space="preserve"> Operazione di pace per Ankara, invasione per Atene, per Nicosia e per la comunità internazionale: il blocco 341 dell'opera prescrive di mantenere la duplicità. La regola vale anche qui, perché la scelta della parola precede sempre l'attribuzione della responsabilità. Una serie che adottasse una sola denominazione avrebbe già deciso, prima di aprire un archivio, che cosa i documenti dovranno dimostrare.</w:t>
      </w:r>
    </w:p>
    <w:p>
      <w:pPr>
        <w:spacing w:after="120" w:line="276"/>
        <w:jc w:val="both"/>
      </w:pPr>
      <w:r>
        <w:rPr>
          <w:rFonts w:ascii="Barlow Semi Condensed" w:cs="Barlow Semi Condensed" w:eastAsia="Barlow Semi Condensed" w:hAnsi="Barlow Semi Condensed"/>
          <w:b/>
          <w:bCs/>
          <w:sz w:val="24"/>
          <w:szCs w:val="24"/>
        </w:rPr>
        <w:t xml:space="preserve">2877 · L'Italia consultata, non mediatrice.</w:t>
      </w:r>
      <w:r>
        <w:rPr>
          <w:rFonts w:ascii="Barlow Semi Condensed" w:cs="Barlow Semi Condensed" w:eastAsia="Barlow Semi Condensed" w:hAnsi="Barlow Semi Condensed"/>
          <w:sz w:val="24"/>
          <w:szCs w:val="24"/>
        </w:rPr>
        <w:t xml:space="preserve"> Un telegramma da Bruxelles del 4 luglio 1974, documento 16 del volume XXX, attesta la convocazione da parte del Segretario generale Joseph Luns degli ambasciatori di sei alleati, Italia compresa; il documento 23, del 30 agosto, include l'Italia fra i consultati sul ritiro greco dalla struttura integrata. Nessuno dei due nomina il Segretario di Stato americano. La consultazione atlantica non è un canale bilaterale.</w:t>
      </w:r>
    </w:p>
    <w:p>
      <w:pPr>
        <w:spacing w:after="120" w:line="276"/>
        <w:jc w:val="both"/>
      </w:pPr>
      <w:r>
        <w:rPr>
          <w:rFonts w:ascii="Barlow Semi Condensed" w:cs="Barlow Semi Condensed" w:eastAsia="Barlow Semi Condensed" w:hAnsi="Barlow Semi Condensed"/>
          <w:b/>
          <w:bCs/>
          <w:sz w:val="24"/>
          <w:szCs w:val="24"/>
        </w:rPr>
        <w:t xml:space="preserve">2878 · Stato Zero: Moro sulla Turchia.</w:t>
      </w:r>
      <w:r>
        <w:rPr>
          <w:rFonts w:ascii="Barlow Semi Condensed" w:cs="Barlow Semi Condensed" w:eastAsia="Barlow Semi Condensed" w:hAnsi="Barlow Semi Condensed"/>
          <w:sz w:val="24"/>
          <w:szCs w:val="24"/>
        </w:rPr>
        <w:t xml:space="preserve"> Il Capitolo III chiude con un esito prevalentemente negativo: non si sono reperite dichiarazioni o atti specifici di Moro sulla Turchia nei mesi della crisi cipriota, come il blocco 351 dell'opera aveva già registrato. Ne segue che per l'estate 1974 i due nomi triangolati non condividono un solo documento del territorio. Sedi: serie Turchia e Cipro 1974 della Farnesina, edizione digitale delle carte Moro.</w:t>
      </w:r>
    </w:p>
    <w:p>
      <w:pPr>
        <w:spacing w:after="120" w:line="276"/>
        <w:jc w:val="both"/>
      </w:pPr>
      <w:r>
        <w:rPr>
          <w:rFonts w:ascii="Barlow Semi Condensed" w:cs="Barlow Semi Condensed" w:eastAsia="Barlow Semi Condensed" w:hAnsi="Barlow Semi Condensed"/>
          <w:b/>
          <w:bCs/>
          <w:sz w:val="24"/>
          <w:szCs w:val="24"/>
        </w:rPr>
        <w:t xml:space="preserve">2879 · Il verbale del 25 settembre 1974 (serie XXXVIII).</w:t>
      </w:r>
      <w:r>
        <w:rPr>
          <w:rFonts w:ascii="Barlow Semi Condensed" w:cs="Barlow Semi Condensed" w:eastAsia="Barlow Semi Condensed" w:hAnsi="Barlow Semi Condensed"/>
          <w:sz w:val="24"/>
          <w:szCs w:val="24"/>
        </w:rPr>
        <w:t xml:space="preserve"> Esiste un rapporto diretto documentato fra Moro e il nome qui triangolato, ed è il memorandum of conversation dello Studio Ovale del 25 settembre 1974, con Leone, Ford e Scowcroft, edito come documento 350 del volume E-15 parte 2 in seconda edizione riveduta e conservato alla Ford Library con il numero di file 1552802. Il quesito di questa serie è uno: vi si parlò di Cipro?</w:t>
      </w:r>
    </w:p>
    <w:p>
      <w:pPr>
        <w:spacing w:after="120" w:line="276"/>
        <w:jc w:val="both"/>
      </w:pPr>
      <w:r>
        <w:rPr>
          <w:rFonts w:ascii="Barlow Semi Condensed" w:cs="Barlow Semi Condensed" w:eastAsia="Barlow Semi Condensed" w:hAnsi="Barlow Semi Condensed"/>
          <w:b/>
          <w:bCs/>
          <w:sz w:val="24"/>
          <w:szCs w:val="24"/>
        </w:rPr>
        <w:t xml:space="preserve">2880 · Il criterio che decide.</w:t>
      </w:r>
      <w:r>
        <w:rPr>
          <w:rFonts w:ascii="Barlow Semi Condensed" w:cs="Barlow Semi Condensed" w:eastAsia="Barlow Semi Condensed" w:hAnsi="Barlow Semi Condensed"/>
          <w:sz w:val="24"/>
          <w:szCs w:val="24"/>
        </w:rPr>
        <w:t xml:space="preserve"> Se quel verbale contiene un passaggio sulla crisi cipriota o sulla Turchia, la serie acquista il suo secondo ancoraggio di piano 1 e il territorio smette di essere muto. Se non lo contiene, lo Stato Zero si irrigidisce e va scritto come definitivo per quella sede. La lettura sia integrale e non per indice: il testo è breve e interamente disponibile.</w:t>
      </w:r>
    </w:p>
    <w:p>
      <w:pPr>
        <w:spacing w:after="120" w:line="276"/>
        <w:jc w:val="both"/>
      </w:pPr>
      <w:r>
        <w:rPr>
          <w:rFonts w:ascii="Barlow Semi Condensed" w:cs="Barlow Semi Condensed" w:eastAsia="Barlow Semi Condensed" w:hAnsi="Barlow Semi Condensed"/>
          <w:b/>
          <w:bCs/>
          <w:sz w:val="24"/>
          <w:szCs w:val="24"/>
        </w:rPr>
        <w:t xml:space="preserve">2881 · Il verbale del giorno dopo.</w:t>
      </w:r>
      <w:r>
        <w:rPr>
          <w:rFonts w:ascii="Barlow Semi Condensed" w:cs="Barlow Semi Condensed" w:eastAsia="Barlow Semi Condensed" w:hAnsi="Barlow Semi Condensed"/>
          <w:sz w:val="24"/>
          <w:szCs w:val="24"/>
        </w:rPr>
        <w:t xml:space="preserve"> Alla stessa Ford Library è disponibile il memorandum del 26 settembre 1974, file 1552806, richiamato dalla ricognizione-madre della cartella. Va letto con il medesimo quesito e con la medesima disciplina: che cosa vi si dice della Turchia, di Cipro e dell'embargo allora in discussione al Congresso. Due verbali contigui, un solo criterio, e l'esito negativo dichiarato se tale risulta.</w:t>
      </w:r>
    </w:p>
    <w:p>
      <w:pPr>
        <w:spacing w:after="120" w:line="276"/>
        <w:jc w:val="both"/>
      </w:pPr>
      <w:r>
        <w:rPr>
          <w:rFonts w:ascii="Barlow Semi Condensed" w:cs="Barlow Semi Condensed" w:eastAsia="Barlow Semi Condensed" w:hAnsi="Barlow Semi Condensed"/>
          <w:b/>
          <w:bCs/>
          <w:sz w:val="24"/>
          <w:szCs w:val="24"/>
        </w:rPr>
        <w:t xml:space="preserve">2882 · Che cosa il verbale attesta.</w:t>
      </w:r>
      <w:r>
        <w:rPr>
          <w:rFonts w:ascii="Barlow Semi Condensed" w:cs="Barlow Semi Condensed" w:eastAsia="Barlow Semi Condensed" w:hAnsi="Barlow Semi Condensed"/>
          <w:sz w:val="24"/>
          <w:szCs w:val="24"/>
        </w:rPr>
        <w:t xml:space="preserve"> È accertamento fissato dall'opera che quel verbale non contiene alcun ultimatum personale ad Aldo Moro, e che attesta invece la posizione sul non poter scambiare informazioni militari con un governo che includesse i comunisti. Chi vi cercasse una traccia turca deve tenere fermo questo dato, per non trasformare la lettura in una caccia confermativa di ciò che si desidera trovare.</w:t>
      </w:r>
    </w:p>
    <w:p>
      <w:pPr>
        <w:spacing w:after="120" w:line="276"/>
        <w:jc w:val="both"/>
      </w:pPr>
      <w:r>
        <w:rPr>
          <w:rFonts w:ascii="Barlow Semi Condensed" w:cs="Barlow Semi Condensed" w:eastAsia="Barlow Semi Condensed" w:hAnsi="Barlow Semi Condensed"/>
          <w:b/>
          <w:bCs/>
          <w:sz w:val="24"/>
          <w:szCs w:val="24"/>
        </w:rPr>
        <w:t xml:space="preserve">2883 · L'embargo come dossier americano interno.</w:t>
      </w:r>
      <w:r>
        <w:rPr>
          <w:rFonts w:ascii="Barlow Semi Condensed" w:cs="Barlow Semi Condensed" w:eastAsia="Barlow Semi Condensed" w:hAnsi="Barlow Semi Condensed"/>
          <w:sz w:val="24"/>
          <w:szCs w:val="24"/>
        </w:rPr>
        <w:t xml:space="preserve"> Deliberato dal Congresso nel dicembre 1974 ed entrato in vigore il 5 febbraio 1975, l'embargo sulle forniture militari alla Turchia fu anzitutto un conflitto fra legislativo ed esecutivo statunitensi. La cartella registra il voto della Camera del 24 luglio 1975, che respinse il piano di Gerald Ford per duecentoventitré voti contro duecentosei, e l'accusa mossa all'amministrazione di cedere a un ricatto. L'esecutivo vi è nominato dal presidente.</w:t>
      </w:r>
    </w:p>
    <w:p>
      <w:pPr>
        <w:spacing w:after="120" w:line="276"/>
        <w:jc w:val="both"/>
      </w:pPr>
      <w:r>
        <w:rPr>
          <w:rFonts w:ascii="Barlow Semi Condensed" w:cs="Barlow Semi Condensed" w:eastAsia="Barlow Semi Condensed" w:hAnsi="Barlow Semi Condensed"/>
          <w:b/>
          <w:bCs/>
          <w:sz w:val="24"/>
          <w:szCs w:val="24"/>
        </w:rPr>
        <w:t xml:space="preserve">2884 · Quesito: le audizioni del 1975.</w:t>
      </w:r>
      <w:r>
        <w:rPr>
          <w:rFonts w:ascii="Barlow Semi Condensed" w:cs="Barlow Semi Condensed" w:eastAsia="Barlow Semi Condensed" w:hAnsi="Barlow Semi Condensed"/>
          <w:sz w:val="24"/>
          <w:szCs w:val="24"/>
        </w:rPr>
        <w:t xml:space="preserve"> Se l'amministrazione difese in sede parlamentare la revoca dell'embargo, la difesa fu portata da qualcuno. La sede di accertamento sono le audizioni delle commissioni per gli affari esteri di Camera e Senato nel 1975, stampate negli Hearings del Congresso e reperibili in serie continua. È l'unico luogo in cui la posizione del Dipartimento di Stato su Ankara diventa testo pubblico e datato.</w:t>
      </w:r>
    </w:p>
    <w:p>
      <w:pPr>
        <w:spacing w:after="120" w:line="276"/>
        <w:jc w:val="both"/>
      </w:pPr>
      <w:r>
        <w:rPr>
          <w:rFonts w:ascii="Barlow Semi Condensed" w:cs="Barlow Semi Condensed" w:eastAsia="Barlow Semi Condensed" w:hAnsi="Barlow Semi Condensed"/>
          <w:b/>
          <w:bCs/>
          <w:sz w:val="24"/>
          <w:szCs w:val="24"/>
        </w:rPr>
        <w:t xml:space="preserve">2885 · La nota turca del giugno 1975.</w:t>
      </w:r>
      <w:r>
        <w:rPr>
          <w:rFonts w:ascii="Barlow Semi Condensed" w:cs="Barlow Semi Condensed" w:eastAsia="Barlow Semi Condensed" w:hAnsi="Barlow Semi Condensed"/>
          <w:sz w:val="24"/>
          <w:szCs w:val="24"/>
        </w:rPr>
        <w:t xml:space="preserve"> Il territorio riferisce la nota consegnata all'ambasciata statunitense da İhsan Sabri Çağlayangil il 18 giugno 1975, che dichiarava l'embargo tanto ingiusto quanto errato sotto ogni aspetto e chiedeva negoziati sulle basi entro trenta giorni, ma la cita attraverso una cronaca di giornale universitario. Il testo diplomatico ricevuto dal Dipartimento è cercabile nei Central Foreign Policy Files. Stampa e provenienza non si equivalgono.</w:t>
      </w:r>
    </w:p>
    <w:p>
      <w:pPr>
        <w:spacing w:after="120" w:line="276"/>
        <w:jc w:val="both"/>
      </w:pPr>
      <w:r>
        <w:rPr>
          <w:rFonts w:ascii="Barlow Semi Condensed" w:cs="Barlow Semi Condensed" w:eastAsia="Barlow Semi Condensed" w:hAnsi="Barlow Semi Condensed"/>
          <w:b/>
          <w:bCs/>
          <w:sz w:val="24"/>
          <w:szCs w:val="24"/>
        </w:rPr>
        <w:t xml:space="preserve">2886 · Venti basi e tre stazioni.</w:t>
      </w:r>
      <w:r>
        <w:rPr>
          <w:rFonts w:ascii="Barlow Semi Condensed" w:cs="Barlow Semi Condensed" w:eastAsia="Barlow Semi Condensed" w:hAnsi="Barlow Semi Condensed"/>
          <w:sz w:val="24"/>
          <w:szCs w:val="24"/>
        </w:rPr>
        <w:t xml:space="preserve"> Nel luglio 1975 la Turchia sospese le attività di una ventina di installazioni statunitensi, fra cui la base aerea di İncirlik e tre stazioni per il monitoraggio dei movimenti navali sovietici da e verso il Mar Nero, mantenendo operative quelle funzionali alla NATO. Il dato misura la posta del dossier; non contiene, di per sé, alcuna attribuzione personale, e non va convertito in una.</w:t>
      </w:r>
    </w:p>
    <w:p>
      <w:pPr>
        <w:spacing w:after="120" w:line="276"/>
        <w:jc w:val="both"/>
      </w:pPr>
      <w:r>
        <w:rPr>
          <w:rFonts w:ascii="Barlow Semi Condensed" w:cs="Barlow Semi Condensed" w:eastAsia="Barlow Semi Condensed" w:hAnsi="Barlow Semi Condensed"/>
          <w:b/>
          <w:bCs/>
          <w:sz w:val="24"/>
          <w:szCs w:val="24"/>
        </w:rPr>
        <w:t xml:space="preserve">2887 · La revoca è del 1978.</w:t>
      </w:r>
      <w:r>
        <w:rPr>
          <w:rFonts w:ascii="Barlow Semi Condensed" w:cs="Barlow Semi Condensed" w:eastAsia="Barlow Semi Condensed" w:hAnsi="Barlow Semi Condensed"/>
          <w:sz w:val="24"/>
          <w:szCs w:val="24"/>
        </w:rPr>
        <w:t xml:space="preserve"> Perfezionata il 26 settembre 1978 con la firma del presidente Carter e la Presidential Determination numero 78-18, la revoca dell'embargo è attestata dal documento 121 del volume XXI dei Foreign Relations 1977-1980. La data cade oltre il 20 gennaio 1977 e dunque fuori da ogni incarico del nome qui triangolato. È chiusura cronologica, e va scritta perché impedisce attribuzioni retroattive.</w:t>
      </w:r>
    </w:p>
    <w:p>
      <w:pPr>
        <w:spacing w:after="120" w:line="276"/>
        <w:jc w:val="both"/>
      </w:pPr>
      <w:r>
        <w:rPr>
          <w:rFonts w:ascii="Barlow Semi Condensed" w:cs="Barlow Semi Condensed" w:eastAsia="Barlow Semi Condensed" w:hAnsi="Barlow Semi Condensed"/>
          <w:b/>
          <w:bCs/>
          <w:sz w:val="24"/>
          <w:szCs w:val="24"/>
        </w:rPr>
        <w:t xml:space="preserve">2888 · Stato Zero: l'Italia e l'embargo.</w:t>
      </w:r>
      <w:r>
        <w:rPr>
          <w:rFonts w:ascii="Barlow Semi Condensed" w:cs="Barlow Semi Condensed" w:eastAsia="Barlow Semi Condensed" w:hAnsi="Barlow Semi Condensed"/>
          <w:sz w:val="24"/>
          <w:szCs w:val="24"/>
        </w:rPr>
        <w:t xml:space="preserve"> Il Capitolo IV dichiara di non aver trovato dichiarazioni del governo Moro né atti della Farnesina sull'embargo statunitense, e il blocco 352 dell'opera lo aveva già registrato. La cartella aggiunge un avvertimento che questa serie fa proprio: la comune appartenenza atlantica è comunanza di ambiente, non convergenza attiva. Sedi: corrispondenza con la rappresentanza presso la NATO, 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2889 · Il fianco sud come inferenza.</w:t>
      </w:r>
      <w:r>
        <w:rPr>
          <w:rFonts w:ascii="Barlow Semi Condensed" w:cs="Barlow Semi Condensed" w:eastAsia="Barlow Semi Condensed" w:hAnsi="Barlow Semi Condensed"/>
          <w:sz w:val="24"/>
          <w:szCs w:val="24"/>
        </w:rPr>
        <w:t xml:space="preserve"> È possibile inferire senza forzature che l'Italia avesse interesse oggettivo alla ricomposizione della frattura fra Washington e Ankara; la cartella stessa lo scrive e subito lo distingue da un accertamento. Questa serie registra l'inferenza al piano 2 e la lascia lì. Nessun numero di interessi convergenti produce un documento, e nessun documento mancante viene sostituito da un interesse plausibile.</w:t>
      </w:r>
    </w:p>
    <w:p>
      <w:pPr>
        <w:spacing w:after="120" w:line="276"/>
        <w:jc w:val="both"/>
      </w:pPr>
      <w:r>
        <w:rPr>
          <w:rFonts w:ascii="Barlow Semi Condensed" w:cs="Barlow Semi Condensed" w:eastAsia="Barlow Semi Condensed" w:hAnsi="Barlow Semi Condensed"/>
          <w:b/>
          <w:bCs/>
          <w:sz w:val="24"/>
          <w:szCs w:val="24"/>
        </w:rPr>
        <w:t xml:space="preserve">2890 · Le tre note verbali del 1974.</w:t>
      </w:r>
      <w:r>
        <w:rPr>
          <w:rFonts w:ascii="Barlow Semi Condensed" w:cs="Barlow Semi Condensed" w:eastAsia="Barlow Semi Condensed" w:hAnsi="Barlow Semi Condensed"/>
          <w:sz w:val="24"/>
          <w:szCs w:val="24"/>
        </w:rPr>
        <w:t xml:space="preserve"> Nota greca del 7 febbraio 1974, replica turca del 27 febbraio secondo cui le isole prospicienti la costa anatolica non possiedono piattaforma propria, ulteriore nota greca del 24 maggio: la sequenza è ricostruita dalla sentenza della Corte internazionale di giustizia del 19 dicembre 1978. Nessuna delle tre coinvolge Washington. La disputa egea, nel territorio, nasce e resta bilaterale.</w:t>
      </w:r>
    </w:p>
    <w:p>
      <w:pPr>
        <w:spacing w:after="120" w:line="276"/>
        <w:jc w:val="both"/>
      </w:pPr>
      <w:r>
        <w:rPr>
          <w:rFonts w:ascii="Barlow Semi Condensed" w:cs="Barlow Semi Condensed" w:eastAsia="Barlow Semi Condensed" w:hAnsi="Barlow Semi Condensed"/>
          <w:b/>
          <w:bCs/>
          <w:sz w:val="24"/>
          <w:szCs w:val="24"/>
        </w:rPr>
        <w:t xml:space="preserve">2891 · Il documento 200 e Ankara.</w:t>
      </w:r>
      <w:r>
        <w:rPr>
          <w:rFonts w:ascii="Barlow Semi Condensed" w:cs="Barlow Semi Condensed" w:eastAsia="Barlow Semi Condensed" w:hAnsi="Barlow Semi Condensed"/>
          <w:sz w:val="24"/>
          <w:szCs w:val="24"/>
        </w:rPr>
        <w:t xml:space="preserve"> Le posizioni turche sulla disputa egea sono documentate dal telegramma da Ankara che il volume XXX numera 200, con attenzione ai vertici militari e civili, incluso il presidente Fahri Korutürk, già comandante di flotta. È un rapporto di ambasciata, cioè una fonte americana su una posizione turca: piano 1 rispetto a ciò che l'ambasciata riferì, e nulla rispetto a chi lo lesse a Washington.</w:t>
      </w:r>
    </w:p>
    <w:p>
      <w:pPr>
        <w:spacing w:after="120" w:line="276"/>
        <w:jc w:val="both"/>
      </w:pPr>
      <w:r>
        <w:rPr>
          <w:rFonts w:ascii="Barlow Semi Condensed" w:cs="Barlow Semi Condensed" w:eastAsia="Barlow Semi Condensed" w:hAnsi="Barlow Semi Condensed"/>
          <w:b/>
          <w:bCs/>
          <w:sz w:val="24"/>
          <w:szCs w:val="24"/>
        </w:rPr>
        <w:t xml:space="preserve">2892 · Montreux, sfondo e non nesso.</w:t>
      </w:r>
      <w:r>
        <w:rPr>
          <w:rFonts w:ascii="Barlow Semi Condensed" w:cs="Barlow Semi Condensed" w:eastAsia="Barlow Semi Condensed" w:hAnsi="Barlow Semi Condensed"/>
          <w:sz w:val="24"/>
          <w:szCs w:val="24"/>
        </w:rPr>
        <w:t xml:space="preserve"> La Convenzione del 20 luglio 1936 sugli Stretti, cui l'Italia aderì il 2 maggio 1938, colloca Ankara come custode di un passaggio strategico e spiega la sua posizione nell'assetto della guerra fredda. La cartella avverte che non si sono reperiti atti che colleghino Montreux all'azione ministeriale di Moro. Vale identico per il nome triangolato: sfondo strutturale, non ponte documentale.</w:t>
      </w:r>
    </w:p>
    <w:p>
      <w:pPr>
        <w:spacing w:after="120" w:line="276"/>
        <w:jc w:val="both"/>
      </w:pPr>
      <w:r>
        <w:rPr>
          <w:rFonts w:ascii="Barlow Semi Condensed" w:cs="Barlow Semi Condensed" w:eastAsia="Barlow Semi Condensed" w:hAnsi="Barlow Semi Condensed"/>
          <w:b/>
          <w:bCs/>
          <w:sz w:val="24"/>
          <w:szCs w:val="24"/>
        </w:rPr>
        <w:t xml:space="preserve">2893 · Piattaforma continentale, termine di confronto.</w:t>
      </w:r>
      <w:r>
        <w:rPr>
          <w:rFonts w:ascii="Barlow Semi Condensed" w:cs="Barlow Semi Condensed" w:eastAsia="Barlow Semi Condensed" w:hAnsi="Barlow Semi Condensed"/>
          <w:sz w:val="24"/>
          <w:szCs w:val="24"/>
        </w:rPr>
        <w:t xml:space="preserve"> L'Accordo fra Grecia e Italia sulla piattaforma continentale, firmato il 24 maggio 1977, mostra un metodo bilaterale che l'Italia praticava nella regione, ma su un fronte diverso da quello conteso. Serve come termine di confronto e non come indizio: la somiglianza del metodo è analogia, non discendenza, secondo la distinzione fissata dai blocchi 22 e 139 dell'opera.</w:t>
      </w:r>
    </w:p>
    <w:p>
      <w:pPr>
        <w:spacing w:after="120" w:line="276"/>
        <w:jc w:val="both"/>
      </w:pPr>
      <w:r>
        <w:rPr>
          <w:rFonts w:ascii="Barlow Semi Condensed" w:cs="Barlow Semi Condensed" w:eastAsia="Barlow Semi Condensed" w:hAnsi="Barlow Semi Condensed"/>
          <w:b/>
          <w:bCs/>
          <w:sz w:val="24"/>
          <w:szCs w:val="24"/>
        </w:rPr>
        <w:t xml:space="preserve">2894 · Stato Zero sull'Egeo.</w:t>
      </w:r>
      <w:r>
        <w:rPr>
          <w:rFonts w:ascii="Barlow Semi Condensed" w:cs="Barlow Semi Condensed" w:eastAsia="Barlow Semi Condensed" w:hAnsi="Barlow Semi Condensed"/>
          <w:sz w:val="24"/>
          <w:szCs w:val="24"/>
        </w:rPr>
        <w:t xml:space="preserve"> Per il 1973-1974 la posizione italiana sulla disputa egea non risulta documentata da fonti primarie reperite, e la sede di chiusura è l'Archivio storico-diplomatico della Farnesina. Poiché anche il versante americano del dossier si riduce, nel territorio, a un solo telegramma di ambasciata, la triangolazione qui non ha due lati su tre: ha un lato e due vuoti dichiarati.</w:t>
      </w:r>
    </w:p>
    <w:p>
      <w:pPr>
        <w:spacing w:after="120" w:line="276"/>
        <w:jc w:val="both"/>
      </w:pPr>
      <w:r>
        <w:rPr>
          <w:rFonts w:ascii="Barlow Semi Condensed" w:cs="Barlow Semi Condensed" w:eastAsia="Barlow Semi Condensed" w:hAnsi="Barlow Semi Condensed"/>
          <w:b/>
          <w:bCs/>
          <w:sz w:val="24"/>
          <w:szCs w:val="24"/>
        </w:rPr>
        <w:t xml:space="preserve">2895 · Le licenze TPAO del 1973.</w:t>
      </w:r>
      <w:r>
        <w:rPr>
          <w:rFonts w:ascii="Barlow Semi Condensed" w:cs="Barlow Semi Condensed" w:eastAsia="Barlow Semi Condensed" w:hAnsi="Barlow Semi Condensed"/>
          <w:sz w:val="24"/>
          <w:szCs w:val="24"/>
        </w:rPr>
        <w:t xml:space="preserve"> Verso la fine del 1973 il governo turco concesse alla compagnia petrolifera di Stato licenze di esplorazione in ventisette zone della piattaforma egea, a est di una linea che partiva dalla foce dell'Evros. La data cade nei primi mesi del Segretariato in esame e nel secondo mandato ministeriale di Moro: contemporaneità pura, che il corpus vieta di trattare come nesso.</w:t>
      </w:r>
    </w:p>
    <w:p>
      <w:pPr>
        <w:spacing w:after="120" w:line="276"/>
        <w:jc w:val="both"/>
      </w:pPr>
      <w:r>
        <w:rPr>
          <w:rFonts w:ascii="Barlow Semi Condensed" w:cs="Barlow Semi Condensed" w:eastAsia="Barlow Semi Condensed" w:hAnsi="Barlow Semi Condensed"/>
          <w:b/>
          <w:bCs/>
          <w:sz w:val="24"/>
          <w:szCs w:val="24"/>
        </w:rPr>
        <w:t xml:space="preserve">2896 · L'atto che porta la firma.</w:t>
      </w:r>
      <w:r>
        <w:rPr>
          <w:rFonts w:ascii="Barlow Semi Condensed" w:cs="Barlow Semi Condensed" w:eastAsia="Barlow Semi Condensed" w:hAnsi="Barlow Semi Condensed"/>
          <w:sz w:val="24"/>
          <w:szCs w:val="24"/>
        </w:rPr>
        <w:t xml:space="preserve"> Il preambolo del Regolamento CEE numero 1842/71 attesta che l'Accordo provvisorio con la Turchia fu firmato a Bruxelles il 27 luglio 1971 dal ministro Aldo Moro a nome del Consiglio delle Comunità, con Franco Maria Malfatti per la Commissione e Osman Olcay per Ankara. È il nesso Moro-Turchia meglio documentato della cartella, come registra il blocco 349, e non vi compare alcun nome americano.</w:t>
      </w:r>
    </w:p>
    <w:p>
      <w:pPr>
        <w:spacing w:after="120" w:line="276"/>
        <w:jc w:val="both"/>
      </w:pPr>
      <w:r>
        <w:rPr>
          <w:rFonts w:ascii="Barlow Semi Condensed" w:cs="Barlow Semi Condensed" w:eastAsia="Barlow Semi Condensed" w:hAnsi="Barlow Semi Condensed"/>
          <w:b/>
          <w:bCs/>
          <w:sz w:val="24"/>
          <w:szCs w:val="24"/>
        </w:rPr>
        <w:t xml:space="preserve">2897 · Il firmatario ancora ignoto.</w:t>
      </w:r>
      <w:r>
        <w:rPr>
          <w:rFonts w:ascii="Barlow Semi Condensed" w:cs="Barlow Semi Condensed" w:eastAsia="Barlow Semi Condensed" w:hAnsi="Barlow Semi Condensed"/>
          <w:sz w:val="24"/>
          <w:szCs w:val="24"/>
        </w:rPr>
        <w:t xml:space="preserve"> Chi abbia firmato per la Repubblica italiana il Protocollo addizionale del 23 novembre 1970 resta da accertare, perché l'elenco dei plenipotenziari nell'Atto finale non è stato estratto. Sede: EUR-Lex, CELEX 21970A1123(01), sezione Per la Repubblica italiana, e Gazzetta ufficiale delle Comunità europee L 293 del 29 dicembre 1972, pagine 4-56. È l'acquisizione a più alto rendimento del territorio, e non riguarda Washington.</w:t>
      </w:r>
    </w:p>
    <w:p>
      <w:pPr>
        <w:spacing w:after="120" w:line="276"/>
        <w:jc w:val="both"/>
      </w:pPr>
      <w:r>
        <w:rPr>
          <w:rFonts w:ascii="Barlow Semi Condensed" w:cs="Barlow Semi Condensed" w:eastAsia="Barlow Semi Condensed" w:hAnsi="Barlow Semi Condensed"/>
          <w:b/>
          <w:bCs/>
          <w:sz w:val="24"/>
          <w:szCs w:val="24"/>
        </w:rPr>
        <w:t xml:space="preserve">2898 · Perché l'atto comunitario esclude.</w:t>
      </w:r>
      <w:r>
        <w:rPr>
          <w:rFonts w:ascii="Barlow Semi Condensed" w:cs="Barlow Semi Condensed" w:eastAsia="Barlow Semi Condensed" w:hAnsi="Barlow Semi Condensed"/>
          <w:sz w:val="24"/>
          <w:szCs w:val="24"/>
        </w:rPr>
        <w:t xml:space="preserve"> L'associazione fra Comunità e Turchia si svolgeva in una cornice cui gli Stati Uniti non erano parte. Ne segue una conseguenza utile: il dossier più documentato del rapporto Moro-Turchia è per costruzione quello in cui il nome triangolato non può comparire. L'assenza, qui, non è lacuna d'archivio ma proprietà della materia, e va distinta dagli Stati Zero veri.</w:t>
      </w:r>
    </w:p>
    <w:p>
      <w:pPr>
        <w:spacing w:after="120" w:line="276"/>
        <w:jc w:val="both"/>
      </w:pPr>
      <w:r>
        <w:rPr>
          <w:rFonts w:ascii="Barlow Semi Condensed" w:cs="Barlow Semi Condensed" w:eastAsia="Barlow Semi Condensed" w:hAnsi="Barlow Semi Condensed"/>
          <w:b/>
          <w:bCs/>
          <w:sz w:val="24"/>
          <w:szCs w:val="24"/>
        </w:rPr>
        <w:t xml:space="preserve">2899 · La ratifica italiana da chiudere.</w:t>
      </w:r>
      <w:r>
        <w:rPr>
          <w:rFonts w:ascii="Barlow Semi Condensed" w:cs="Barlow Semi Condensed" w:eastAsia="Barlow Semi Condensed" w:hAnsi="Barlow Semi Condensed"/>
          <w:sz w:val="24"/>
          <w:szCs w:val="24"/>
        </w:rPr>
        <w:t xml:space="preserve"> Il pacchetto sottoposto al Parlamento italiano comprendeva Protocollo addizionale, nuovo Protocollo finanziario, Accordo sui prodotti CECA, Atto finale e Accordo interno; numero e data della legge restano non confermati, e l'attribuzione al numero 757 è stata respinta come ambigua. Sedi: Normattiva, portale storico della Camera per il 1972-1973, Gazzetta Ufficiale storica, fascicolo del disegno di legge all'Archivio storico del Senato.</w:t>
      </w:r>
    </w:p>
    <w:p>
      <w:pPr>
        <w:spacing w:after="120" w:line="276"/>
        <w:jc w:val="both"/>
      </w:pPr>
      <w:r>
        <w:rPr>
          <w:rFonts w:ascii="Barlow Semi Condensed" w:cs="Barlow Semi Condensed" w:eastAsia="Barlow Semi Condensed" w:hAnsi="Barlow Semi Condensed"/>
          <w:b/>
          <w:bCs/>
          <w:sz w:val="24"/>
          <w:szCs w:val="24"/>
        </w:rPr>
        <w:t xml:space="preserve">2900 · Il limite della sesta legislatura (serie XXXVIII).</w:t>
      </w:r>
      <w:r>
        <w:rPr>
          <w:rFonts w:ascii="Barlow Semi Condensed" w:cs="Barlow Semi Condensed" w:eastAsia="Barlow Semi Condensed" w:hAnsi="Barlow Semi Condensed"/>
          <w:sz w:val="24"/>
          <w:szCs w:val="24"/>
        </w:rPr>
        <w:t xml:space="preserve"> La banca dati del sindacato ispettivo parlamentare copre soltanto dalla settima legislatura, cioè dal 5 luglio 1976: per gli anni turchi di Moro l'interrogazione telematica non è disponibile e occorrono i resoconti stenografici cartacei. Il limite vale per qualunque ricerca su questo territorio, compresa quella che cercasse tracce parlamentari italiane dei dossier americani su Ankara.</w:t>
      </w:r>
    </w:p>
    <w:p>
      <w:pPr>
        <w:spacing w:after="120" w:line="276"/>
        <w:jc w:val="both"/>
      </w:pPr>
      <w:r>
        <w:rPr>
          <w:rFonts w:ascii="Barlow Semi Condensed" w:cs="Barlow Semi Condensed" w:eastAsia="Barlow Semi Condensed" w:hAnsi="Barlow Semi Condensed"/>
          <w:b/>
          <w:bCs/>
          <w:sz w:val="24"/>
          <w:szCs w:val="24"/>
        </w:rPr>
        <w:t xml:space="preserve">2901 · Standstill, una lunga coda giudiziaria.</w:t>
      </w:r>
      <w:r>
        <w:rPr>
          <w:rFonts w:ascii="Barlow Semi Condensed" w:cs="Barlow Semi Condensed" w:eastAsia="Barlow Semi Condensed" w:hAnsi="Barlow Semi Condensed"/>
          <w:sz w:val="24"/>
          <w:szCs w:val="24"/>
        </w:rPr>
        <w:t xml:space="preserve"> Dall'articolo 41, paragrafo 1, del Protocollo del 1970 è scaturita decenni dopo la giurisprudenza della Corte di giustizia, dalla causa C-228/06 Soysal decisa il 19 febbraio 2009 alla C-138/13 Dogan. La coda giudiziaria misura la portata dell'atto e null'altro: nessuna di quelle sentenze introduce un attore extracomunitario, e nessuna serve a questa triangolazione se non come prova della sua irrilevanza.</w:t>
      </w:r>
    </w:p>
    <w:p>
      <w:pPr>
        <w:spacing w:after="120" w:line="276"/>
        <w:jc w:val="both"/>
      </w:pPr>
      <w:r>
        <w:rPr>
          <w:rFonts w:ascii="Barlow Semi Condensed" w:cs="Barlow Semi Condensed" w:eastAsia="Barlow Semi Condensed" w:hAnsi="Barlow Semi Condensed"/>
          <w:b/>
          <w:bCs/>
          <w:sz w:val="24"/>
          <w:szCs w:val="24"/>
        </w:rPr>
        <w:t xml:space="preserve">2902 · Halki, la chiusura del 1971.</w:t>
      </w:r>
      <w:r>
        <w:rPr>
          <w:rFonts w:ascii="Barlow Semi Condensed" w:cs="Barlow Semi Condensed" w:eastAsia="Barlow Semi Condensed" w:hAnsi="Barlow Semi Condensed"/>
          <w:sz w:val="24"/>
          <w:szCs w:val="24"/>
        </w:rPr>
        <w:t xml:space="preserve"> La Scuola teologica di Heybeliada, attiva dal 1844 sui terreni del monastero della Santissima Trinità, cessò l'attività nel 1971 in applicazione della norma che imponeva agli istituti superiori privati l'affiliazione alle università di Stato. Le fonti divergono se si trattò di sentenza della Corte costituzionale, di decreto parlamentare o di atto militare: la divergenza si riporta. Nessuna versione coinvolge attori esterni alla Turchia.</w:t>
      </w:r>
    </w:p>
    <w:p>
      <w:pPr>
        <w:spacing w:after="120" w:line="276"/>
        <w:jc w:val="both"/>
      </w:pPr>
      <w:r>
        <w:rPr>
          <w:rFonts w:ascii="Barlow Semi Condensed" w:cs="Barlow Semi Condensed" w:eastAsia="Barlow Semi Condensed" w:hAnsi="Barlow Semi Condensed"/>
          <w:b/>
          <w:bCs/>
          <w:sz w:val="24"/>
          <w:szCs w:val="24"/>
        </w:rPr>
        <w:t xml:space="preserve">2903 · Due Stati Zero sovrapposti.</w:t>
      </w:r>
      <w:r>
        <w:rPr>
          <w:rFonts w:ascii="Barlow Semi Condensed" w:cs="Barlow Semi Condensed" w:eastAsia="Barlow Semi Condensed" w:hAnsi="Barlow Semi Condensed"/>
          <w:sz w:val="24"/>
          <w:szCs w:val="24"/>
        </w:rPr>
        <w:t xml:space="preserve"> Nelle fonti edite non emerge una presa di posizione della Farnesina di Moro su Halki o sulle minoranze cristiane di Turchia: lo ha registrato il blocco 358 dell'opera. Questa serie aggiunge il secondo vuoto, perché nessuna carta del territorio collega la chiusura del 1971 al nome triangolato. Due assenze sovrapposte, con la stessa sede di chiusura e statuti diversi.</w:t>
      </w:r>
    </w:p>
    <w:p>
      <w:pPr>
        <w:spacing w:after="120" w:line="276"/>
        <w:jc w:val="both"/>
      </w:pPr>
      <w:r>
        <w:rPr>
          <w:rFonts w:ascii="Barlow Semi Condensed" w:cs="Barlow Semi Condensed" w:eastAsia="Barlow Semi Condensed" w:hAnsi="Barlow Semi Condensed"/>
          <w:b/>
          <w:bCs/>
          <w:sz w:val="24"/>
          <w:szCs w:val="24"/>
        </w:rPr>
        <w:t xml:space="preserve">2904 · Atenagora, sei o sette luglio.</w:t>
      </w:r>
      <w:r>
        <w:rPr>
          <w:rFonts w:ascii="Barlow Semi Condensed" w:cs="Barlow Semi Condensed" w:eastAsia="Barlow Semi Condensed" w:hAnsi="Barlow Semi Condensed"/>
          <w:sz w:val="24"/>
          <w:szCs w:val="24"/>
        </w:rPr>
        <w:t xml:space="preserve"> Il patriarca ecumenico morì a Istanbul nel luglio 1972; le fonti oscillano fra il 6 e il 7, e la cartella mantiene la divergenza anziché scioglierla. Il metodo interessa questa serie più del fatto: chi triangola un nome su un territorio deve conservare le incertezze del territorio, perché ogni arrotondamento silenzioso è già un'ipotesi non dichiarata.</w:t>
      </w:r>
    </w:p>
    <w:p>
      <w:pPr>
        <w:spacing w:after="120" w:line="276"/>
        <w:jc w:val="both"/>
      </w:pPr>
      <w:r>
        <w:rPr>
          <w:rFonts w:ascii="Barlow Semi Condensed" w:cs="Barlow Semi Condensed" w:eastAsia="Barlow Semi Condensed" w:hAnsi="Barlow Semi Condensed"/>
          <w:b/>
          <w:bCs/>
          <w:sz w:val="24"/>
          <w:szCs w:val="24"/>
        </w:rPr>
        <w:t xml:space="preserve">2905 · Losanna e i cattolici esclusi.</w:t>
      </w:r>
      <w:r>
        <w:rPr>
          <w:rFonts w:ascii="Barlow Semi Condensed" w:cs="Barlow Semi Condensed" w:eastAsia="Barlow Semi Condensed" w:hAnsi="Barlow Semi Condensed"/>
          <w:sz w:val="24"/>
          <w:szCs w:val="24"/>
        </w:rPr>
        <w:t xml:space="preserve"> Gli articoli 37-45 del Trattato del 24 luglio 1923 sono interpretati dalle autorità turche come riferiti alle sole minoranze riconosciute in età ottomana, greco-ortodossi, armeni ed ebrei; i cattolici latini, i caldei e i siro-cattolici ne restano fuori, con effetti concreti sul regime delle fondazioni. È vicenda di diritto interno turco e di trattato del 1923: nessun aggancio al nome triangolato.</w:t>
      </w:r>
    </w:p>
    <w:p>
      <w:pPr>
        <w:spacing w:after="120" w:line="276"/>
        <w:jc w:val="both"/>
      </w:pPr>
      <w:r>
        <w:rPr>
          <w:rFonts w:ascii="Barlow Semi Condensed" w:cs="Barlow Semi Condensed" w:eastAsia="Barlow Semi Condensed" w:hAnsi="Barlow Semi Condensed"/>
          <w:b/>
          <w:bCs/>
          <w:sz w:val="24"/>
          <w:szCs w:val="24"/>
        </w:rPr>
        <w:t xml:space="preserve">2906 · Il decennio di Roncalli.</w:t>
      </w:r>
      <w:r>
        <w:rPr>
          <w:rFonts w:ascii="Barlow Semi Condensed" w:cs="Barlow Semi Condensed" w:eastAsia="Barlow Semi Condensed" w:hAnsi="Barlow Semi Condensed"/>
          <w:sz w:val="24"/>
          <w:szCs w:val="24"/>
        </w:rPr>
        <w:t xml:space="preserve"> Angelo Giuseppe Roncalli fu delegato apostolico in Turchia dall'inizio del 1935 alla fine del 1944, con arrivo a Istanbul il 5 gennaio 1935 e divergenza fra le fonti sulla data di nomina. È la radice riconosciuta delle relazioni diplomatiche del 1960. Il periodo precede di un quarto di secolo ogni incarico del nome qui triangolato, e va tenuto fuori dalla serie salvo che per contrasto cronologico.</w:t>
      </w:r>
    </w:p>
    <w:p>
      <w:pPr>
        <w:spacing w:after="120" w:line="276"/>
        <w:jc w:val="both"/>
      </w:pPr>
      <w:r>
        <w:rPr>
          <w:rFonts w:ascii="Barlow Semi Condensed" w:cs="Barlow Semi Condensed" w:eastAsia="Barlow Semi Condensed" w:hAnsi="Barlow Semi Condensed"/>
          <w:b/>
          <w:bCs/>
          <w:sz w:val="24"/>
          <w:szCs w:val="24"/>
        </w:rPr>
        <w:t xml:space="preserve">2907 · Internunziatura, Nunziatura, due date.</w:t>
      </w:r>
      <w:r>
        <w:rPr>
          <w:rFonts w:ascii="Barlow Semi Condensed" w:cs="Barlow Semi Condensed" w:eastAsia="Barlow Semi Condensed" w:hAnsi="Barlow Semi Condensed"/>
          <w:sz w:val="24"/>
          <w:szCs w:val="24"/>
        </w:rPr>
        <w:t xml:space="preserve"> L'Internunziatura apostolica di Turchia fu eretta il 25 gennaio 1960 ed elevata a Nunziatura il 30 agosto 1966 con il breve Optimo sane. Le due date fissano il canale Santa Sede-Ankara come bilaterale e proprio. Chi cercasse un canale triangolare che passi per Washington dovrebbe produrre un documento di Segreteria di Stato che lo nomini: allo stato non ne risulta reperito alcuno.</w:t>
      </w:r>
    </w:p>
    <w:p>
      <w:pPr>
        <w:spacing w:after="120" w:line="276"/>
        <w:jc w:val="both"/>
      </w:pPr>
      <w:r>
        <w:rPr>
          <w:rFonts w:ascii="Barlow Semi Condensed" w:cs="Barlow Semi Condensed" w:eastAsia="Barlow Semi Condensed" w:hAnsi="Barlow Semi Condensed"/>
          <w:b/>
          <w:bCs/>
          <w:sz w:val="24"/>
          <w:szCs w:val="24"/>
        </w:rPr>
        <w:t xml:space="preserve">2908 · Le tre firme del 1975.</w:t>
      </w:r>
      <w:r>
        <w:rPr>
          <w:rFonts w:ascii="Barlow Semi Condensed" w:cs="Barlow Semi Condensed" w:eastAsia="Barlow Semi Condensed" w:hAnsi="Barlow Semi Condensed"/>
          <w:sz w:val="24"/>
          <w:szCs w:val="24"/>
        </w:rPr>
        <w:t xml:space="preserve"> L'Atto finale reca la firma della Santa Sede, primo consesso di Stati cui partecipava a pieno titolo dal Congresso di Vienna, quella della Turchia e quella di Aldo Moro nella duplice qualità di presidente del Consiglio e presidente di turno della Comunità. Il blocco 536 dell'opera la registra come l'unica triangolazione certa fra gli oggetti della cartella. Firmarono capi di Stato o di governo.</w:t>
      </w:r>
    </w:p>
    <w:p>
      <w:pPr>
        <w:spacing w:after="120" w:line="276"/>
        <w:jc w:val="both"/>
      </w:pPr>
      <w:r>
        <w:rPr>
          <w:rFonts w:ascii="Barlow Semi Condensed" w:cs="Barlow Semi Condensed" w:eastAsia="Barlow Semi Condensed" w:hAnsi="Barlow Semi Condensed"/>
          <w:b/>
          <w:bCs/>
          <w:sz w:val="24"/>
          <w:szCs w:val="24"/>
        </w:rPr>
        <w:t xml:space="preserve">2909 · Chi riferì la cerimonia.</w:t>
      </w:r>
      <w:r>
        <w:rPr>
          <w:rFonts w:ascii="Barlow Semi Condensed" w:cs="Barlow Semi Condensed" w:eastAsia="Barlow Semi Condensed" w:hAnsi="Barlow Semi Condensed"/>
          <w:sz w:val="24"/>
          <w:szCs w:val="24"/>
        </w:rPr>
        <w:t xml:space="preserve"> Il documento 334 del volume XXXIX, telegramma del 2 agosto 1975, conferma la firma da parte di trentacinque capi di Stato o di governo e registra la dichiarazione interpretativa cipriota contro la riserva turca sulla rappresentanza. Quel telegramma porta il nome del Segretario di Stato. Essere l'estensore d'ufficio del resoconto non è essere parte dell'atto: la distinzione va tenuta ferma.</w:t>
      </w:r>
    </w:p>
    <w:p>
      <w:pPr>
        <w:spacing w:after="120" w:line="276"/>
        <w:jc w:val="both"/>
      </w:pPr>
      <w:r>
        <w:rPr>
          <w:rFonts w:ascii="Barlow Semi Condensed" w:cs="Barlow Semi Condensed" w:eastAsia="Barlow Semi Condensed" w:hAnsi="Barlow Semi Condensed"/>
          <w:b/>
          <w:bCs/>
          <w:sz w:val="24"/>
          <w:szCs w:val="24"/>
        </w:rPr>
        <w:t xml:space="preserve">2910 · La questione turca a Helsinki.</w:t>
      </w:r>
      <w:r>
        <w:rPr>
          <w:rFonts w:ascii="Barlow Semi Condensed" w:cs="Barlow Semi Condensed" w:eastAsia="Barlow Semi Condensed" w:hAnsi="Barlow Semi Condensed"/>
          <w:sz w:val="24"/>
          <w:szCs w:val="24"/>
        </w:rPr>
        <w:t xml:space="preserve"> La riserva turca sulla rappresentanza cipriota e la replica di Nicosia, secondo cui quella riserva era priva di effetto, portarono al tavolo di Helsinki la controversia dell'anno precedente, sia pure marginalmente; il blocco 347 dell'opera lo ha già fissato. È il punto in cui i due territori della cartella si toccano, e l'unico documento americano che vi compare è un resoconto.</w:t>
      </w:r>
    </w:p>
    <w:p>
      <w:pPr>
        <w:spacing w:after="120" w:line="276"/>
        <w:jc w:val="both"/>
      </w:pPr>
      <w:r>
        <w:rPr>
          <w:rFonts w:ascii="Barlow Semi Condensed" w:cs="Barlow Semi Condensed" w:eastAsia="Barlow Semi Condensed" w:hAnsi="Barlow Semi Condensed"/>
          <w:b/>
          <w:bCs/>
          <w:sz w:val="24"/>
          <w:szCs w:val="24"/>
        </w:rPr>
        <w:t xml:space="preserve">2911 · La proposta del 7 marzo 1973.</w:t>
      </w:r>
      <w:r>
        <w:rPr>
          <w:rFonts w:ascii="Barlow Semi Condensed" w:cs="Barlow Semi Condensed" w:eastAsia="Barlow Semi Condensed" w:hAnsi="Barlow Semi Condensed"/>
          <w:sz w:val="24"/>
          <w:szCs w:val="24"/>
        </w:rPr>
        <w:t xml:space="preserve"> La delegazione pontificia guidata da Agostino Casaroli, con Achille Silvestrini, presentò il 7 marzo 1973 la proposta sulla libertà religiosa che confluì nel settimo principio dell'Atto finale. La data precede di oltre sei mesi l'insediamento al Dipartimento di Stato del nome qui triangolato. La precisazione non è pedanteria: serve a impedire che una convergenza di esito si legga come concertazione.</w:t>
      </w:r>
    </w:p>
    <w:p>
      <w:pPr>
        <w:spacing w:after="120" w:line="276"/>
        <w:jc w:val="both"/>
      </w:pPr>
      <w:r>
        <w:rPr>
          <w:rFonts w:ascii="Barlow Semi Condensed" w:cs="Barlow Semi Condensed" w:eastAsia="Barlow Semi Condensed" w:hAnsi="Barlow Semi Condensed"/>
          <w:b/>
          <w:bCs/>
          <w:sz w:val="24"/>
          <w:szCs w:val="24"/>
        </w:rPr>
        <w:t xml:space="preserve">2912 · Stato Zero: Halki a Helsinki.</w:t>
      </w:r>
      <w:r>
        <w:rPr>
          <w:rFonts w:ascii="Barlow Semi Condensed" w:cs="Barlow Semi Condensed" w:eastAsia="Barlow Semi Condensed" w:hAnsi="Barlow Semi Condensed"/>
          <w:sz w:val="24"/>
          <w:szCs w:val="24"/>
        </w:rPr>
        <w:t xml:space="preserve"> Il Capitolo X del territorio ecclesiale dichiara che non risulta sollevata formalmente, nella Conferenza del 1975 e nelle riunioni di seguito di Belgrado e Madrid, la questione delle minoranze cristiane di Turchia e della chiusura di Halki: la libertà religiosa vi fu posta in termini generali e in funzione del blocco orientale. Sedi: atti della CSCE, Segreteria di Stato, archivi diplomatici turchi.</w:t>
      </w:r>
    </w:p>
    <w:p>
      <w:pPr>
        <w:spacing w:after="120" w:line="276"/>
        <w:jc w:val="both"/>
      </w:pPr>
      <w:r>
        <w:rPr>
          <w:rFonts w:ascii="Barlow Semi Condensed" w:cs="Barlow Semi Condensed" w:eastAsia="Barlow Semi Condensed" w:hAnsi="Barlow Semi Condensed"/>
          <w:b/>
          <w:bCs/>
          <w:sz w:val="24"/>
          <w:szCs w:val="24"/>
        </w:rPr>
        <w:t xml:space="preserve">2913 · La posizione turca non documentata.</w:t>
      </w:r>
      <w:r>
        <w:rPr>
          <w:rFonts w:ascii="Barlow Semi Condensed" w:cs="Barlow Semi Condensed" w:eastAsia="Barlow Semi Condensed" w:hAnsi="Barlow Semi Condensed"/>
          <w:sz w:val="24"/>
          <w:szCs w:val="24"/>
        </w:rPr>
        <w:t xml:space="preserve"> La seconda lacuna dichiarata dal medesimo capitolo è la posizione di Ankara sui principi relativi ai diritti umani e alle minoranze nella sede di Helsinki. Finché resta aperta, nessuna ricostruzione che colleghi la delegazione turca a una regia esterna può essere valutata. Lo spoglio sistematico dei verbali della Conferenza è la condizione di chiusura, e non è stato compiuto.</w:t>
      </w:r>
    </w:p>
    <w:p>
      <w:pPr>
        <w:spacing w:after="120" w:line="276"/>
        <w:jc w:val="both"/>
      </w:pPr>
      <w:r>
        <w:rPr>
          <w:rFonts w:ascii="Barlow Semi Condensed" w:cs="Barlow Semi Condensed" w:eastAsia="Barlow Semi Condensed" w:hAnsi="Barlow Semi Condensed"/>
          <w:b/>
          <w:bCs/>
          <w:sz w:val="24"/>
          <w:szCs w:val="24"/>
        </w:rPr>
        <w:t xml:space="preserve">2914 · Il 1981 è fuori incarico.</w:t>
      </w:r>
      <w:r>
        <w:rPr>
          <w:rFonts w:ascii="Barlow Semi Condensed" w:cs="Barlow Semi Condensed" w:eastAsia="Barlow Semi Condensed" w:hAnsi="Barlow Semi Condensed"/>
          <w:sz w:val="24"/>
          <w:szCs w:val="24"/>
        </w:rPr>
        <w:t xml:space="preserve"> L'attentato del 13 maggio 1981 cade oltre il 20 gennaio 1977, quando si chiuse il Segretariato di Stato del nome qui triangolato, e oltre il 3 novembre 1975, fine dell'incarico alla sicurezza nazionale. Nel territorio dedicato a quell'attentato il nome non compare mai. È lo Stato Zero più esteso della serie, ed è anzitutto un fatto di calendario.</w:t>
      </w:r>
    </w:p>
    <w:p>
      <w:pPr>
        <w:spacing w:after="120" w:line="276"/>
        <w:jc w:val="both"/>
      </w:pPr>
      <w:r>
        <w:rPr>
          <w:rFonts w:ascii="Barlow Semi Condensed" w:cs="Barlow Semi Condensed" w:eastAsia="Barlow Semi Condensed" w:hAnsi="Barlow Semi Condensed"/>
          <w:b/>
          <w:bCs/>
          <w:sz w:val="24"/>
          <w:szCs w:val="24"/>
        </w:rPr>
        <w:t xml:space="preserve">2915 · I nomi americani del 1981.</w:t>
      </w:r>
      <w:r>
        <w:rPr>
          <w:rFonts w:ascii="Barlow Semi Condensed" w:cs="Barlow Semi Condensed" w:eastAsia="Barlow Semi Condensed" w:hAnsi="Barlow Semi Condensed"/>
          <w:sz w:val="24"/>
          <w:szCs w:val="24"/>
        </w:rPr>
        <w:t xml:space="preserve"> Nella documentazione desecretata richiamata dal territorio compaiono il direttore della Central Intelligence Agency William J. Casey, l'Office of European Analysis e, per le audizioni del 1° ottobre 1991, l'ex analista Melvin A. Goodman. Sono i documenti 370, 376 e 377 del volume X dei Foreign Relations 1981-1988. Nessuno di essi nomina il Segretario di Stato in carica fino al gennaio 1977.</w:t>
      </w:r>
    </w:p>
    <w:p>
      <w:pPr>
        <w:spacing w:after="120" w:line="276"/>
        <w:jc w:val="both"/>
      </w:pPr>
      <w:r>
        <w:rPr>
          <w:rFonts w:ascii="Barlow Semi Condensed" w:cs="Barlow Semi Condensed" w:eastAsia="Barlow Semi Condensed" w:hAnsi="Barlow Semi Condensed"/>
          <w:b/>
          <w:bCs/>
          <w:sz w:val="24"/>
          <w:szCs w:val="24"/>
        </w:rPr>
        <w:t xml:space="preserve">2916 · Che cosa dicono le analisi.</w:t>
      </w:r>
      <w:r>
        <w:rPr>
          <w:rFonts w:ascii="Barlow Semi Condensed" w:cs="Barlow Semi Condensed" w:eastAsia="Barlow Semi Condensed" w:hAnsi="Barlow Semi Condensed"/>
          <w:sz w:val="24"/>
          <w:szCs w:val="24"/>
        </w:rPr>
        <w:t xml:space="preserve"> L'analisi allegata al memorandum di Casey dichiara di non essere in grado di sviluppare un quadro chiaro e conclusivo del coinvolgimento bulgaro; il documento 376 osserva che gran parte della tesi dell'accusa italiana dipende unicamente dalla testimonianza dell'attentatore; il 377 dichiara di non affrontare la questione ultima della colpevolezza. Prudenza convergente con le sentenze, e nessuna attribuzione a chicchessia.</w:t>
      </w:r>
    </w:p>
    <w:p>
      <w:pPr>
        <w:spacing w:after="120" w:line="276"/>
        <w:jc w:val="both"/>
      </w:pPr>
      <w:r>
        <w:rPr>
          <w:rFonts w:ascii="Barlow Semi Condensed" w:cs="Barlow Semi Condensed" w:eastAsia="Barlow Semi Condensed" w:hAnsi="Barlow Semi Condensed"/>
          <w:b/>
          <w:bCs/>
          <w:sz w:val="24"/>
          <w:szCs w:val="24"/>
        </w:rPr>
        <w:t xml:space="preserve">2917 · La pista bulgara non provata.</w:t>
      </w:r>
      <w:r>
        <w:rPr>
          <w:rFonts w:ascii="Barlow Semi Condensed" w:cs="Barlow Semi Condensed" w:eastAsia="Barlow Semi Condensed" w:hAnsi="Barlow Semi Condensed"/>
          <w:sz w:val="24"/>
          <w:szCs w:val="24"/>
        </w:rPr>
        <w:t xml:space="preserve"> La Corte d'assise di Roma assolse per insufficienza di prove il 29 marzo 1986, e l'appello confermò il 19 dicembre 1987. L'assoluzione per insufficienza di prove non equivale all'accertamento dell'innocenza, ma neppure trasforma un'ipotesi non provata in un fatto. Chi volesse innestare su quel dossier un nome americano dovrebbe superare una soglia probatoria che l'accusa italiana non superò.</w:t>
      </w:r>
    </w:p>
    <w:p>
      <w:pPr>
        <w:spacing w:after="120" w:line="276"/>
        <w:jc w:val="both"/>
      </w:pPr>
      <w:r>
        <w:rPr>
          <w:rFonts w:ascii="Barlow Semi Condensed" w:cs="Barlow Semi Condensed" w:eastAsia="Barlow Semi Condensed" w:hAnsi="Barlow Semi Condensed"/>
          <w:b/>
          <w:bCs/>
          <w:sz w:val="24"/>
          <w:szCs w:val="24"/>
        </w:rPr>
        <w:t xml:space="preserve">2918 · Il lancio dell'agosto 1982.</w:t>
      </w:r>
      <w:r>
        <w:rPr>
          <w:rFonts w:ascii="Barlow Semi Condensed" w:cs="Barlow Semi Condensed" w:eastAsia="Barlow Semi Condensed" w:hAnsi="Barlow Semi Condensed"/>
          <w:sz w:val="24"/>
          <w:szCs w:val="24"/>
        </w:rPr>
        <w:t xml:space="preserve"> La tesi del mandato bulgaro-sovietico comparve nell'agosto 1982 in sede pubblicistica, sul Reader's Digest e per la firma di Claire Sterling, e di lì entrò nell'istruttoria affidata al giudice Ilario Martella. È un caso da manuale di piano 3 che precede il piano 1 anziché seguirlo. Il corpus conosce la meccanica: la replicazione di una fonte sola non produce riscontro.</w:t>
      </w:r>
    </w:p>
    <w:p>
      <w:pPr>
        <w:spacing w:after="120" w:line="276"/>
        <w:jc w:val="both"/>
      </w:pPr>
      <w:r>
        <w:rPr>
          <w:rFonts w:ascii="Barlow Semi Condensed" w:cs="Barlow Semi Condensed" w:eastAsia="Barlow Semi Condensed" w:hAnsi="Barlow Semi Condensed"/>
          <w:b/>
          <w:bCs/>
          <w:sz w:val="24"/>
          <w:szCs w:val="24"/>
        </w:rPr>
        <w:t xml:space="preserve">2919 · Due novembre 1982, nessun nesso.</w:t>
      </w:r>
      <w:r>
        <w:rPr>
          <w:rFonts w:ascii="Barlow Semi Condensed" w:cs="Barlow Semi Condensed" w:eastAsia="Barlow Semi Condensed" w:hAnsi="Barlow Semi Condensed"/>
          <w:sz w:val="24"/>
          <w:szCs w:val="24"/>
        </w:rPr>
        <w:t xml:space="preserve"> Il 25 novembre 1982 fu arrestato a Roma Sergej Antonov; nel medesimo mese Corrado Guerzoni rese alla Corte d'assise di Roma la testimonianza de relato sul presunto avvertimento, con il nome ottenuto in aula e non offerto e la data oscillante fra 1974, 1976 e 1977. Due vicende romane nello stesso novembre, in aule diverse e con oggetti diversi: accostarle sarebbe contemporaneità spacciata per nesso.</w:t>
      </w:r>
    </w:p>
    <w:p>
      <w:pPr>
        <w:spacing w:after="120" w:line="276"/>
        <w:jc w:val="both"/>
      </w:pPr>
      <w:r>
        <w:rPr>
          <w:rFonts w:ascii="Barlow Semi Condensed" w:cs="Barlow Semi Condensed" w:eastAsia="Barlow Semi Condensed" w:hAnsi="Barlow Semi Condensed"/>
          <w:b/>
          <w:bCs/>
          <w:sz w:val="24"/>
          <w:szCs w:val="24"/>
        </w:rPr>
        <w:t xml:space="preserve">2920 · Le dichiarazioni dell'attentatore.</w:t>
      </w:r>
      <w:r>
        <w:rPr>
          <w:rFonts w:ascii="Barlow Semi Condensed" w:cs="Barlow Semi Condensed" w:eastAsia="Barlow Semi Condensed" w:hAnsi="Barlow Semi Condensed"/>
          <w:sz w:val="24"/>
          <w:szCs w:val="24"/>
        </w:rPr>
        <w:t xml:space="preserve"> Ogni pista fondata sulle dichiarazioni non riscontrate dell'attentatore è archiviata dal blocco P-10 del programma investigativo, e il territorio ecclesiale le tratta come fatti pubblici e non come fonti di merito. Ne segue un vincolo per questa serie: se circolasse una sua dichiarazione che nomina il soggetto triangolato, varrebbe zero, e andrebbe registrata come dichiarazione, non come indizio.</w:t>
      </w:r>
    </w:p>
    <w:p>
      <w:pPr>
        <w:spacing w:after="120" w:line="276"/>
        <w:jc w:val="both"/>
      </w:pPr>
      <w:r>
        <w:rPr>
          <w:rFonts w:ascii="Barlow Semi Condensed" w:cs="Barlow Semi Condensed" w:eastAsia="Barlow Semi Condensed" w:hAnsi="Barlow Semi Condensed"/>
          <w:b/>
          <w:bCs/>
          <w:sz w:val="24"/>
          <w:szCs w:val="24"/>
        </w:rPr>
        <w:t xml:space="preserve">2921 · I Lupi Grigi e la regola.</w:t>
      </w:r>
      <w:r>
        <w:rPr>
          <w:rFonts w:ascii="Barlow Semi Condensed" w:cs="Barlow Semi Condensed" w:eastAsia="Barlow Semi Condensed" w:hAnsi="Barlow Semi Condensed"/>
          <w:sz w:val="24"/>
          <w:szCs w:val="24"/>
        </w:rPr>
        <w:t xml:space="preserve"> L'appartenenza o la contiguità all'ambiente ülkücü non prova una condotta del Milliyetçi Hareket Partisi né dei focolari, e le fonti giudiziarie non hanno accertato un mandato organizzativo per l'attacco al pontefice. La stessa regola vale a maggior ragione per qualunque apparato straniero: la militanza individuale non si converte in responsabilità collettiva, né questa in patrocinio esterno.</w:t>
      </w:r>
    </w:p>
    <w:p>
      <w:pPr>
        <w:spacing w:after="120" w:line="276"/>
        <w:jc w:val="both"/>
      </w:pPr>
      <w:r>
        <w:rPr>
          <w:rFonts w:ascii="Barlow Semi Condensed" w:cs="Barlow Semi Condensed" w:eastAsia="Barlow Semi Condensed" w:hAnsi="Barlow Semi Condensed"/>
          <w:b/>
          <w:bCs/>
          <w:sz w:val="24"/>
          <w:szCs w:val="24"/>
        </w:rPr>
        <w:t xml:space="preserve">2922 · L'anticomunismo come ambiente.</w:t>
      </w:r>
      <w:r>
        <w:rPr>
          <w:rFonts w:ascii="Barlow Semi Condensed" w:cs="Barlow Semi Condensed" w:eastAsia="Barlow Semi Condensed" w:hAnsi="Barlow Semi Condensed"/>
          <w:sz w:val="24"/>
          <w:szCs w:val="24"/>
        </w:rPr>
        <w:t xml:space="preserve"> Con statuto di ipotesi documentate in modo disuguale, il territorio riferisce rapporti dell'ambiente ülkücü con settori dell'anticomunismo occidentale in funzione antisovietica, citando fra gli altri lo storico Nikolaus Brauns per l'insediamento in Germania dopo la messa al bando del 1980. Ipotesi disuguali non si sommano in prova. Le sedi che le verificherebbero sono gli archivi giudiziari e di polizia tedeschi.</w:t>
      </w:r>
    </w:p>
    <w:p>
      <w:pPr>
        <w:spacing w:after="120" w:line="276"/>
        <w:jc w:val="both"/>
      </w:pPr>
      <w:r>
        <w:rPr>
          <w:rFonts w:ascii="Barlow Semi Condensed" w:cs="Barlow Semi Condensed" w:eastAsia="Barlow Semi Condensed" w:hAnsi="Barlow Semi Condensed"/>
          <w:b/>
          <w:bCs/>
          <w:sz w:val="24"/>
          <w:szCs w:val="24"/>
        </w:rPr>
        <w:t xml:space="preserve">2923 · La Commissione Mitrokhin, atti pubblici.</w:t>
      </w:r>
      <w:r>
        <w:rPr>
          <w:rFonts w:ascii="Barlow Semi Condensed" w:cs="Barlow Semi Condensed" w:eastAsia="Barlow Semi Condensed" w:hAnsi="Barlow Semi Condensed"/>
          <w:sz w:val="24"/>
          <w:szCs w:val="24"/>
        </w:rPr>
        <w:t xml:space="preserve"> Non fu approvato per mancanza del numero legale, il 15 marzo 2006, il documento conclusivo del presidente Paolo Guzzanti; la relazione dei commissari di minoranza, depositata il 23 marzo 2006 e pubblicata come mitrokhindoc.377.pdf, giudica che la maggioranza avesse insistito pedissequamente sulla pista bulgara senza risultato stabile. Sono atti parlamentari citabili come tali, e non accertamenti giudiziari sul merito.</w:t>
      </w:r>
    </w:p>
    <w:p>
      <w:pPr>
        <w:spacing w:after="120" w:line="276"/>
        <w:jc w:val="both"/>
      </w:pPr>
      <w:r>
        <w:rPr>
          <w:rFonts w:ascii="Barlow Semi Condensed" w:cs="Barlow Semi Condensed" w:eastAsia="Barlow Semi Condensed" w:hAnsi="Barlow Semi Condensed"/>
          <w:b/>
          <w:bCs/>
          <w:sz w:val="24"/>
          <w:szCs w:val="24"/>
        </w:rPr>
        <w:t xml:space="preserve">2924 · Gli archivi vaticani ancora chiusi.</w:t>
      </w:r>
      <w:r>
        <w:rPr>
          <w:rFonts w:ascii="Barlow Semi Condensed" w:cs="Barlow Semi Condensed" w:eastAsia="Barlow Semi Condensed" w:hAnsi="Barlow Semi Condensed"/>
          <w:sz w:val="24"/>
          <w:szCs w:val="24"/>
        </w:rPr>
        <w:t xml:space="preserve"> L'Archivio Apostolico Vaticano, ridenominato con il motu proprio del 22 ottobre 2019, è consultabile fino all'ottobre 1958. Ne segue che l'intera documentazione dei pontificati di Giovanni XXIII, Paolo VI e Giovanni Paolo II resta preclusa, e con essa ogni verifica sul versante vaticano dei fatti qui esaminati. È la lacuna a rendimento più alto del territorio, e la sua chiusura non dipende dai ricercatori.</w:t>
      </w:r>
    </w:p>
    <w:p>
      <w:pPr>
        <w:spacing w:after="120" w:line="276"/>
        <w:jc w:val="both"/>
      </w:pPr>
      <w:r>
        <w:rPr>
          <w:rFonts w:ascii="Barlow Semi Condensed" w:cs="Barlow Semi Condensed" w:eastAsia="Barlow Semi Condensed" w:hAnsi="Barlow Semi Condensed"/>
          <w:b/>
          <w:bCs/>
          <w:sz w:val="24"/>
          <w:szCs w:val="24"/>
        </w:rPr>
        <w:t xml:space="preserve">2925 · I fascicoli processuali dell'attentato.</w:t>
      </w:r>
      <w:r>
        <w:rPr>
          <w:rFonts w:ascii="Barlow Semi Condensed" w:cs="Barlow Semi Condensed" w:eastAsia="Barlow Semi Condensed" w:hAnsi="Barlow Semi Condensed"/>
          <w:sz w:val="24"/>
          <w:szCs w:val="24"/>
        </w:rPr>
        <w:t xml:space="preserve"> I fascicoli del processo per l'attentato del 1981 sono conservabili presso l'Archivio centrale dello Stato o la Corte d'assise di Roma, e il territorio ne indica il reperimento come acquisizione non conseguita. Chi vi cercasse il nome triangolato dovrebbe dichiarare la ricerca prima di condurla e verbalizzarne l'esito nullo, che è quello atteso. La forma dell'esito nullo è essa stessa un risultato.</w:t>
      </w:r>
    </w:p>
    <w:p>
      <w:pPr>
        <w:spacing w:after="120" w:line="276"/>
        <w:jc w:val="both"/>
      </w:pPr>
      <w:r>
        <w:rPr>
          <w:rFonts w:ascii="Barlow Semi Condensed" w:cs="Barlow Semi Condensed" w:eastAsia="Barlow Semi Condensed" w:hAnsi="Barlow Semi Condensed"/>
          <w:b/>
          <w:bCs/>
          <w:sz w:val="24"/>
          <w:szCs w:val="24"/>
        </w:rPr>
        <w:t xml:space="preserve">2926 · Due assenze di natura diversa.</w:t>
      </w:r>
      <w:r>
        <w:rPr>
          <w:rFonts w:ascii="Barlow Semi Condensed" w:cs="Barlow Semi Condensed" w:eastAsia="Barlow Semi Condensed" w:hAnsi="Barlow Semi Condensed"/>
          <w:sz w:val="24"/>
          <w:szCs w:val="24"/>
        </w:rPr>
        <w:t xml:space="preserve"> Nel medesimo territorio l'ente confessionale studiato dalla cartella è assente dalla Turchia, come registra il blocco 359, e l'assenza vale come verifica di una previsione dichiarata in anticipo. L'assenza del nome triangolato, invece, non era stata prevista da nessuno. La prima è un test superato, la seconda un residuo non contato: distinguerle impedisce di attribuire alle due lo stesso peso.</w:t>
      </w:r>
    </w:p>
    <w:p>
      <w:pPr>
        <w:spacing w:after="120" w:line="276"/>
        <w:jc w:val="both"/>
      </w:pPr>
      <w:r>
        <w:rPr>
          <w:rFonts w:ascii="Barlow Semi Condensed" w:cs="Barlow Semi Condensed" w:eastAsia="Barlow Semi Condensed" w:hAnsi="Barlow Semi Condensed"/>
          <w:b/>
          <w:bCs/>
          <w:sz w:val="24"/>
          <w:szCs w:val="24"/>
        </w:rPr>
        <w:t xml:space="preserve">2927 · La previsione dichiarata come metodo.</w:t>
      </w:r>
      <w:r>
        <w:rPr>
          <w:rFonts w:ascii="Barlow Semi Condensed" w:cs="Barlow Semi Condensed" w:eastAsia="Barlow Semi Condensed" w:hAnsi="Barlow Semi Condensed"/>
          <w:sz w:val="24"/>
          <w:szCs w:val="24"/>
        </w:rPr>
        <w:t xml:space="preserve"> Dichiarare la previsione prima di verificarla è la forma adottata dal Capitolo X del territorio turco, che fa dell'esito un risultato quale esso sia. Questa serie la adotta: si prevede che lo spoglio dei Central Foreign Policy Files per i mesi turchi restituisca telegrammi d'ufficio e nessuna traccia individuante. Se la previsione fallisce, il fallimento va scritto per primo.</w:t>
      </w:r>
    </w:p>
    <w:p>
      <w:pPr>
        <w:spacing w:after="120" w:line="276"/>
        <w:jc w:val="both"/>
      </w:pPr>
      <w:r>
        <w:rPr>
          <w:rFonts w:ascii="Barlow Semi Condensed" w:cs="Barlow Semi Condensed" w:eastAsia="Barlow Semi Condensed" w:hAnsi="Barlow Semi Condensed"/>
          <w:b/>
          <w:bCs/>
          <w:sz w:val="24"/>
          <w:szCs w:val="24"/>
        </w:rPr>
        <w:t xml:space="preserve">2928 · Il caso turco come metro.</w:t>
      </w:r>
      <w:r>
        <w:rPr>
          <w:rFonts w:ascii="Barlow Semi Condensed" w:cs="Barlow Semi Condensed" w:eastAsia="Barlow Semi Condensed" w:hAnsi="Barlow Semi Condensed"/>
          <w:sz w:val="24"/>
          <w:szCs w:val="24"/>
        </w:rPr>
        <w:t xml:space="preserve"> Fra gli ambienti a piano 1 denso il blocco 385 dell'opera colloca la Turchia, ma il denso riguarda il rapporto Moro-Comunità, non il rapporto Moro-Washington. La tavola comparativa misura la documentazione disponibile e non le intenzioni. Applicata a questa serie, essa dice una cosa sola: il territorio è ricco di atti e povero di questo nome.</w:t>
      </w:r>
    </w:p>
    <w:p>
      <w:pPr>
        <w:spacing w:after="120" w:line="276"/>
        <w:jc w:val="both"/>
      </w:pPr>
      <w:r>
        <w:rPr>
          <w:rFonts w:ascii="Barlow Semi Condensed" w:cs="Barlow Semi Condensed" w:eastAsia="Barlow Semi Condensed" w:hAnsi="Barlow Semi Condensed"/>
          <w:b/>
          <w:bCs/>
          <w:sz w:val="24"/>
          <w:szCs w:val="24"/>
        </w:rPr>
        <w:t xml:space="preserve">2929 · La moltiplicazione apparente, di nuovo (serie XXXVIII).</w:t>
      </w:r>
      <w:r>
        <w:rPr>
          <w:rFonts w:ascii="Barlow Semi Condensed" w:cs="Barlow Semi Condensed" w:eastAsia="Barlow Semi Condensed" w:hAnsi="Barlow Semi Condensed"/>
          <w:sz w:val="24"/>
          <w:szCs w:val="24"/>
        </w:rPr>
        <w:t xml:space="preserve"> Se una tesi sul territorio turco compare in dieci sedi, va contata una volta e datata alla prima. È lo strumento che l'opera ha già usato sull'episodio del presunto avvertimento, dove la moltiplicazione delle fonti si è rivelata apparente e riconducibile a un unico lancio d'agenzia del 30 novembre 2023: la replicazione non aggiunge valore probatorio, e il conteggio va fatto sulle origini.</w:t>
      </w:r>
    </w:p>
    <w:p>
      <w:pPr>
        <w:spacing w:after="120" w:line="276"/>
        <w:jc w:val="both"/>
      </w:pPr>
      <w:r>
        <w:rPr>
          <w:rFonts w:ascii="Barlow Semi Condensed" w:cs="Barlow Semi Condensed" w:eastAsia="Barlow Semi Condensed" w:hAnsi="Barlow Semi Condensed"/>
          <w:b/>
          <w:bCs/>
          <w:sz w:val="24"/>
          <w:szCs w:val="24"/>
        </w:rPr>
        <w:t xml:space="preserve">2930 · Anagrafe e cronologia, ancora.</w:t>
      </w:r>
      <w:r>
        <w:rPr>
          <w:rFonts w:ascii="Barlow Semi Condensed" w:cs="Barlow Semi Condensed" w:eastAsia="Barlow Semi Condensed" w:hAnsi="Barlow Semi Condensed"/>
          <w:sz w:val="24"/>
          <w:szCs w:val="24"/>
        </w:rPr>
        <w:t xml:space="preserve"> Heinz Alfred Kissinger nacque a Fürth il 27 maggio 1923 e morì a Kent, nel Connecticut, il 29 novembre 2023; la data dell'anglicizzazione del nome resta contesa fra il 1938 delle opere di consultazione e il 1942-1943 del fascicolo d'immigrazione. La divergenza si riporta anche qui, perché una serie territoriale non è dispensata dal tenere in ordine l'anagrafe del nome che triangola.</w:t>
      </w:r>
    </w:p>
    <w:p>
      <w:pPr>
        <w:spacing w:after="120" w:line="276"/>
        <w:jc w:val="both"/>
      </w:pPr>
      <w:r>
        <w:rPr>
          <w:rFonts w:ascii="Barlow Semi Condensed" w:cs="Barlow Semi Condensed" w:eastAsia="Barlow Semi Condensed" w:hAnsi="Barlow Semi Condensed"/>
          <w:b/>
          <w:bCs/>
          <w:sz w:val="24"/>
          <w:szCs w:val="24"/>
        </w:rPr>
        <w:t xml:space="preserve">2931 · Nessun giudicato, in nessun Paese.</w:t>
      </w:r>
      <w:r>
        <w:rPr>
          <w:rFonts w:ascii="Barlow Semi Condensed" w:cs="Barlow Semi Condensed" w:eastAsia="Barlow Semi Condensed" w:hAnsi="Barlow Semi Condensed"/>
          <w:sz w:val="24"/>
          <w:szCs w:val="24"/>
        </w:rPr>
        <w:t xml:space="preserve"> Va ripetuto in questa serie come in ogni altra: il soggetto triangolato non fu condannato in alcun processo, non fu imputato né processato in alcun Paese, e il corpus si ferma al giudicato. Il territorio qui esaminato, che contiene sentenze italiane e assoluzioni per insufficienza di prove, rende la precisazione tanto più necessaria: la vicinanza di un dossier giudiziario non è imputazione.</w:t>
      </w:r>
    </w:p>
    <w:p>
      <w:pPr>
        <w:spacing w:after="120" w:line="276"/>
        <w:jc w:val="both"/>
      </w:pPr>
      <w:r>
        <w:rPr>
          <w:rFonts w:ascii="Barlow Semi Condensed" w:cs="Barlow Semi Condensed" w:eastAsia="Barlow Semi Condensed" w:hAnsi="Barlow Semi Condensed"/>
          <w:b/>
          <w:bCs/>
          <w:sz w:val="24"/>
          <w:szCs w:val="24"/>
        </w:rPr>
        <w:t xml:space="preserve">2932 · Che cosa smentirebbe la serie.</w:t>
      </w:r>
      <w:r>
        <w:rPr>
          <w:rFonts w:ascii="Barlow Semi Condensed" w:cs="Barlow Semi Condensed" w:eastAsia="Barlow Semi Condensed" w:hAnsi="Barlow Semi Condensed"/>
          <w:sz w:val="24"/>
          <w:szCs w:val="24"/>
        </w:rPr>
        <w:t xml:space="preserve"> Un solo reperto rovescerebbe l'esito prevalentemente negativo qui verbalizzato: un documento di provenienza, telegramma o verbale o appunto, in cui il nome triangolato e un atto della Farnesina di Moro sui dossier turchi compaiano insieme e datati. Non basterebbe una menzione in una memoria, né una coincidenza di posizioni. Il test è quello di sempre, e finora nessuna sede lo ha superato.</w:t>
      </w:r>
    </w:p>
    <w:p>
      <w:pPr>
        <w:spacing w:after="120" w:line="276"/>
        <w:jc w:val="both"/>
      </w:pPr>
      <w:r>
        <w:rPr>
          <w:rFonts w:ascii="Barlow Semi Condensed" w:cs="Barlow Semi Condensed" w:eastAsia="Barlow Semi Condensed" w:hAnsi="Barlow Semi Condensed"/>
          <w:b/>
          <w:bCs/>
          <w:sz w:val="24"/>
          <w:szCs w:val="24"/>
        </w:rPr>
        <w:t xml:space="preserve">2933 · L'ordine delle sedi da aprire.</w:t>
      </w:r>
      <w:r>
        <w:rPr>
          <w:rFonts w:ascii="Barlow Semi Condensed" w:cs="Barlow Semi Condensed" w:eastAsia="Barlow Semi Condensed" w:hAnsi="Barlow Semi Condensed"/>
          <w:sz w:val="24"/>
          <w:szCs w:val="24"/>
        </w:rPr>
        <w:t xml:space="preserve"> Per rendimento decrescente: i due verbali della Ford Library del 25 e 26 settembre 1974; i Central Foreign Policy Files per l'agosto 1974, il giugno e luglio 1975, il novembre 1979; le trascrizioni telefoniche nel Record Group 59; la serie Turchia dell'Archivio storico-diplomatico, tenuto conto dell'esclusione dei Telegrammi 1942-1970; infine la sala di lettura elettronica dell'agenzia americana, mai interrogata su questo territorio.</w:t>
      </w:r>
    </w:p>
    <w:p>
      <w:pPr>
        <w:spacing w:after="120" w:line="276"/>
        <w:jc w:val="both"/>
      </w:pPr>
      <w:r>
        <w:rPr>
          <w:rFonts w:ascii="Barlow Semi Condensed" w:cs="Barlow Semi Condensed" w:eastAsia="Barlow Semi Condensed" w:hAnsi="Barlow Semi Condensed"/>
          <w:b/>
          <w:bCs/>
          <w:sz w:val="24"/>
          <w:szCs w:val="24"/>
        </w:rPr>
        <w:t xml:space="preserve">2934 · CREST, la ricerca mai condotta.</w:t>
      </w:r>
      <w:r>
        <w:rPr>
          <w:rFonts w:ascii="Barlow Semi Condensed" w:cs="Barlow Semi Condensed" w:eastAsia="Barlow Semi Condensed" w:hAnsi="Barlow Semi Condensed"/>
          <w:sz w:val="24"/>
          <w:szCs w:val="24"/>
        </w:rPr>
        <w:t xml:space="preserve"> Il Capitolo XI del territorio turco dichiara che la collezione CREST non fu interrogata per esaurimento del budget di ricerca, pur essendo la sede appropriata per Ecevit, Süleyman Demirel, il memorandum dei generali del 12 marzo 1971 e l'ambiente di Alparslan Türkeş. È lacuna dichiarata e a basso costo di chiusura: il blocco 132 dell'agenda ne fissa già la disciplina di spoglio.</w:t>
      </w:r>
    </w:p>
    <w:p>
      <w:pPr>
        <w:spacing w:after="120" w:line="276"/>
        <w:jc w:val="both"/>
      </w:pPr>
      <w:r>
        <w:rPr>
          <w:rFonts w:ascii="Barlow Semi Condensed" w:cs="Barlow Semi Condensed" w:eastAsia="Barlow Semi Condensed" w:hAnsi="Barlow Semi Condensed"/>
          <w:b/>
          <w:bCs/>
          <w:sz w:val="24"/>
          <w:szCs w:val="24"/>
        </w:rPr>
        <w:t xml:space="preserve">2935 · Bilancio: un ancoraggio, molti vuoti.</w:t>
      </w:r>
      <w:r>
        <w:rPr>
          <w:rFonts w:ascii="Barlow Semi Condensed" w:cs="Barlow Semi Condensed" w:eastAsia="Barlow Semi Condensed" w:hAnsi="Barlow Semi Condensed"/>
          <w:sz w:val="24"/>
          <w:szCs w:val="24"/>
        </w:rPr>
        <w:t xml:space="preserve"> Il bilancio della serie è un memorandum al presidente sul papavero turco, due verbali dello Studio Ovale da rileggere con un quesito preciso, un telegramma di resoconto sulla cerimonia di Helsinki, e per il resto silenzio dichiarato con le sedi che lo chiuderebbero. È il risultato corretto e atteso: il territorio parla molto di Turchia e quasi nulla di questo nome.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trentanovesima — I documenti del Dipartimento di Stato 1965-1978</w:t>
      </w:r>
    </w:p>
    <w:p>
      <w:pPr>
        <w:spacing w:after="120" w:line="276"/>
        <w:jc w:val="both"/>
      </w:pPr>
      <w:r>
        <w:rPr>
          <w:rFonts w:ascii="Barlow Semi Condensed" w:cs="Barlow Semi Condensed" w:eastAsia="Barlow Semi Condensed" w:hAnsi="Barlow Semi Condensed"/>
          <w:i/>
          <w:iCs/>
          <w:sz w:val="24"/>
          <w:szCs w:val="24"/>
        </w:rPr>
        <w:t xml:space="preserve">Blocchi 2936-3000.</w:t>
      </w:r>
    </w:p>
    <w:p>
      <w:pPr>
        <w:spacing w:after="120" w:line="276"/>
        <w:jc w:val="both"/>
      </w:pPr>
      <w:r>
        <w:rPr>
          <w:rFonts w:ascii="Barlow Semi Condensed" w:cs="Barlow Semi Condensed" w:eastAsia="Barlow Semi Condensed" w:hAnsi="Barlow Semi Condensed"/>
          <w:b/>
          <w:bCs/>
          <w:sz w:val="24"/>
          <w:szCs w:val="24"/>
        </w:rPr>
        <w:t xml:space="preserve">2936 · Il verbale della ricerca a vuoto.</w:t>
      </w:r>
      <w:r>
        <w:rPr>
          <w:rFonts w:ascii="Barlow Semi Condensed" w:cs="Barlow Semi Condensed" w:eastAsia="Barlow Semi Condensed" w:hAnsi="Barlow Semi Condensed"/>
          <w:sz w:val="24"/>
          <w:szCs w:val="24"/>
        </w:rPr>
        <w:t xml:space="preserve"> Ricerca meccanica del cognome Kissinger nei due documenti assegnati alla serie: zero occorrenze in documenti-state-dept-1965-1978.md, zero in triangolazione-seconda-campagna.md, zero nell'OCR grezzo state-dept-djvu-ocr-grezzo.txt. Il perimetro è dichiarato per intero secondo il blocco 285 dell'agenda, che vuole detto che cosa si è cercato, dove e con quale esito. Il territorio tace su questo nome: è l'acquisizione da cui la serie parte, non una premessa retorica.</w:t>
      </w:r>
    </w:p>
    <w:p>
      <w:pPr>
        <w:spacing w:after="120" w:line="276"/>
        <w:jc w:val="both"/>
      </w:pPr>
      <w:r>
        <w:rPr>
          <w:rFonts w:ascii="Barlow Semi Condensed" w:cs="Barlow Semi Condensed" w:eastAsia="Barlow Semi Condensed" w:hAnsi="Barlow Semi Condensed"/>
          <w:b/>
          <w:bCs/>
          <w:sz w:val="24"/>
          <w:szCs w:val="24"/>
        </w:rPr>
        <w:t xml:space="preserve">2937 · Zero misurato contro zero narrato.</w:t>
      </w:r>
      <w:r>
        <w:rPr>
          <w:rFonts w:ascii="Barlow Semi Condensed" w:cs="Barlow Semi Condensed" w:eastAsia="Barlow Semi Condensed" w:hAnsi="Barlow Semi Condensed"/>
          <w:sz w:val="24"/>
          <w:szCs w:val="24"/>
        </w:rPr>
        <w:t xml:space="preserve"> Il blocco 233 dell'agenda distingue il buco misurato dal buco raccontato. Qui il buco è misurato: due file, un originale sottoposto a riconoscimento ottico, tre esiti nulli, con le stringhe e i nomi di file registrati. Nessun blocco della serie potrà dunque dire che il corpus «non dice nulla» in senso generico. Dirà che questi due documenti, interrogati su questo cognome, restituiscono zero — e che altre schede della cartella restituiscono altro.</w:t>
      </w:r>
    </w:p>
    <w:p>
      <w:pPr>
        <w:spacing w:after="120" w:line="276"/>
        <w:jc w:val="both"/>
      </w:pPr>
      <w:r>
        <w:rPr>
          <w:rFonts w:ascii="Barlow Semi Condensed" w:cs="Barlow Semi Condensed" w:eastAsia="Barlow Semi Condensed" w:hAnsi="Barlow Semi Condensed"/>
          <w:b/>
          <w:bCs/>
          <w:sz w:val="24"/>
          <w:szCs w:val="24"/>
        </w:rPr>
        <w:t xml:space="preserve">2938 · La diagnosi del vuoto, secondo tempo.</w:t>
      </w:r>
      <w:r>
        <w:rPr>
          <w:rFonts w:ascii="Barlow Semi Condensed" w:cs="Barlow Semi Condensed" w:eastAsia="Barlow Semi Condensed" w:hAnsi="Barlow Semi Condensed"/>
          <w:sz w:val="24"/>
          <w:szCs w:val="24"/>
        </w:rPr>
        <w:t xml:space="preserve"> La sezione VII del verbale della seconda campagna consegna la seconda metà della regola dei buchi: un basso rapporto d'associazione fra due domini non indica assenza di rapporti, indica che nessuno ha scritto un documento che li tratti insieme. Applicata qui: il lotto desecretato è una pratica di sicurezza, il verbale è una triangolazione ecclesiale e iberica. Nessuno dei due generi porterebbe quel nome. Prima la misura, poi la diagnosi, solo dopo l'interrogazione.</w:t>
      </w:r>
    </w:p>
    <w:p>
      <w:pPr>
        <w:spacing w:after="120" w:line="276"/>
        <w:jc w:val="both"/>
      </w:pPr>
      <w:r>
        <w:rPr>
          <w:rFonts w:ascii="Barlow Semi Condensed" w:cs="Barlow Semi Condensed" w:eastAsia="Barlow Semi Condensed" w:hAnsi="Barlow Semi Condensed"/>
          <w:b/>
          <w:bCs/>
          <w:sz w:val="24"/>
          <w:szCs w:val="24"/>
        </w:rPr>
        <w:t xml:space="preserve">2939 · Il foro cronologico del lotto.</w:t>
      </w:r>
      <w:r>
        <w:rPr>
          <w:rFonts w:ascii="Barlow Semi Condensed" w:cs="Barlow Semi Condensed" w:eastAsia="Barlow Semi Condensed" w:hAnsi="Barlow Semi Condensed"/>
          <w:sz w:val="24"/>
          <w:szCs w:val="24"/>
        </w:rPr>
        <w:t xml:space="preserve"> I due strati del lotto — aprile 1965 e aprile-maggio 1978 — lasciano scoperto per intero l'arco 1969-1977. È esattamente l'arco dei due incarichi: assistente per la sicurezza nazionale dal 20 gennaio 1969 al 3 novembre 1975, segretario di Stato dal 22 settembre 1973 al 20 gennaio 1977. Il silenzio del lotto non è selezione di contenuto: è la forma della pratica. Accertamento di grado alto, e va detto prima di ogni lettura.</w:t>
      </w:r>
    </w:p>
    <w:p>
      <w:pPr>
        <w:spacing w:after="120" w:line="276"/>
        <w:jc w:val="both"/>
      </w:pPr>
      <w:r>
        <w:rPr>
          <w:rFonts w:ascii="Barlow Semi Condensed" w:cs="Barlow Semi Condensed" w:eastAsia="Barlow Semi Condensed" w:hAnsi="Barlow Semi Condensed"/>
          <w:b/>
          <w:bCs/>
          <w:sz w:val="24"/>
          <w:szCs w:val="24"/>
        </w:rPr>
        <w:t xml:space="preserve">2940 · Che cosa smentirebbe questo zero.</w:t>
      </w:r>
      <w:r>
        <w:rPr>
          <w:rFonts w:ascii="Barlow Semi Condensed" w:cs="Barlow Semi Condensed" w:eastAsia="Barlow Semi Condensed" w:hAnsi="Barlow Semi Condensed"/>
          <w:sz w:val="24"/>
          <w:szCs w:val="24"/>
        </w:rPr>
        <w:t xml:space="preserve"> Bersaglio di smentita per l'intera serie: un solo documento della pratica FOIA R-2021-00202 che rechi quel cognome — in intestazione, in firma, in linea di distribuzione o nel corpo — sposterebbe il territorio dallo zero al piano uno o al piano due. Finché non è esibito, ogni ponte fra il lotto e quel nome è costruito fuori dal lotto. La sede dove cercarlo è la pratica stessa, nella versione integrale e non nel derivato.</w:t>
      </w:r>
    </w:p>
    <w:p>
      <w:pPr>
        <w:spacing w:after="120" w:line="276"/>
        <w:jc w:val="both"/>
      </w:pPr>
      <w:r>
        <w:rPr>
          <w:rFonts w:ascii="Barlow Semi Condensed" w:cs="Barlow Semi Condensed" w:eastAsia="Barlow Semi Condensed" w:hAnsi="Barlow Semi Condensed"/>
          <w:b/>
          <w:bCs/>
          <w:sz w:val="24"/>
          <w:szCs w:val="24"/>
        </w:rPr>
        <w:t xml:space="preserve">2941 · Due assenze non si sommano.</w:t>
      </w:r>
      <w:r>
        <w:rPr>
          <w:rFonts w:ascii="Barlow Semi Condensed" w:cs="Barlow Semi Condensed" w:eastAsia="Barlow Semi Condensed" w:hAnsi="Barlow Semi Condensed"/>
          <w:sz w:val="24"/>
          <w:szCs w:val="24"/>
        </w:rPr>
        <w:t xml:space="preserve"> A sezione quarta è dichiarato lo Stato Zero su Aginter Press: la stringa non compare in alcun documento del branch, né nei mille blocchi dei cantieri né nei quattrocento del manuale. Il cognome qui studiato ha, in questi due file, lo stesso statuto. Regola da fissare: due assenze non si corroborano. Che il corpus taccia su un dossier e taccia su un nome non li mette in relazione.</w:t>
      </w:r>
    </w:p>
    <w:p>
      <w:pPr>
        <w:spacing w:after="120" w:line="276"/>
        <w:jc w:val="both"/>
      </w:pPr>
      <w:r>
        <w:rPr>
          <w:rFonts w:ascii="Barlow Semi Condensed" w:cs="Barlow Semi Condensed" w:eastAsia="Barlow Semi Condensed" w:hAnsi="Barlow Semi Condensed"/>
          <w:b/>
          <w:bCs/>
          <w:sz w:val="24"/>
          <w:szCs w:val="24"/>
        </w:rPr>
        <w:t xml:space="preserve">2942 · Il segretario di Stato del 1965.</w:t>
      </w:r>
      <w:r>
        <w:rPr>
          <w:rFonts w:ascii="Barlow Semi Condensed" w:cs="Barlow Semi Condensed" w:eastAsia="Barlow Semi Condensed" w:hAnsi="Barlow Semi Condensed"/>
          <w:sz w:val="24"/>
          <w:szCs w:val="24"/>
        </w:rPr>
        <w:t xml:space="preserve"> Il comunicato per la stampa n. 76 del 16 aprile 1965 nomina il segretario di Stato fra chi accoglie Moro alla Casa Bianca il 20 aprile, e lo identifica altrove per nome: Dean Rusk, che riceve al Dipartimento di Stato quel pomeriggio e offre colazione il giorno dopo nella Benjamin Franklin Room. Regola di lettura: una carica nominata senza nome si riempie col titolare della data, mai col titolare più famoso di anni successivi.</w:t>
      </w:r>
    </w:p>
    <w:p>
      <w:pPr>
        <w:spacing w:after="120" w:line="276"/>
        <w:jc w:val="both"/>
      </w:pPr>
      <w:r>
        <w:rPr>
          <w:rFonts w:ascii="Barlow Semi Condensed" w:cs="Barlow Semi Condensed" w:eastAsia="Barlow Semi Condensed" w:hAnsi="Barlow Semi Condensed"/>
          <w:b/>
          <w:bCs/>
          <w:sz w:val="24"/>
          <w:szCs w:val="24"/>
        </w:rPr>
        <w:t xml:space="preserve">2943 · L'aprile 1965 e nessun incarico.</w:t>
      </w:r>
      <w:r>
        <w:rPr>
          <w:rFonts w:ascii="Barlow Semi Condensed" w:cs="Barlow Semi Condensed" w:eastAsia="Barlow Semi Condensed" w:hAnsi="Barlow Semi Condensed"/>
          <w:sz w:val="24"/>
          <w:szCs w:val="24"/>
        </w:rPr>
        <w:t xml:space="preserve"> Al 19-23 aprile 1965 l'uomo di cui questa serie porta il nome non ricopriva alcuna carica di governo statunitense. Il programma della visita elenca per parte americana Lloyd N. Hand, G. Frederick Reinhardt, Samuel L. King, Bert M. Bennington e Ivan E. Sinclair, e sul versante politico Johnson, Rusk, Fowler, McNamara, Humphrey e il generale Harold K. Johnson. L'assenza non è omissione del documento: è la cronologia degli uffici.</w:t>
      </w:r>
    </w:p>
    <w:p>
      <w:pPr>
        <w:spacing w:after="120" w:line="276"/>
        <w:jc w:val="both"/>
      </w:pPr>
      <w:r>
        <w:rPr>
          <w:rFonts w:ascii="Barlow Semi Condensed" w:cs="Barlow Semi Condensed" w:eastAsia="Barlow Semi Condensed" w:hAnsi="Barlow Semi Condensed"/>
          <w:b/>
          <w:bCs/>
          <w:sz w:val="24"/>
          <w:szCs w:val="24"/>
        </w:rPr>
        <w:t xml:space="preserve">2944 · Guerzoni nel programma ufficiale.</w:t>
      </w:r>
      <w:r>
        <w:rPr>
          <w:rFonts w:ascii="Barlow Semi Condensed" w:cs="Barlow Semi Condensed" w:eastAsia="Barlow Semi Condensed" w:hAnsi="Barlow Semi Condensed"/>
          <w:sz w:val="24"/>
          <w:szCs w:val="24"/>
        </w:rPr>
        <w:t xml:space="preserve"> Fra i Members of the Party del comunicato n. 76 figura Corrado Guerzoni, Chief of the Prime Minister's Press Office, accanto a Sereno Freato e Nicola Rana. È il primo documento primario della cartella che ne attesti funzione e prossimità a Moro, e vale per i blocchi 697, 752 e 876 dell'opera. Vale però soltanto per il 1965: prossimità documentata a una data non è presenza a un colloquio di nove anni dopo.</w:t>
      </w:r>
    </w:p>
    <w:p>
      <w:pPr>
        <w:spacing w:after="120" w:line="276"/>
        <w:jc w:val="both"/>
      </w:pPr>
      <w:r>
        <w:rPr>
          <w:rFonts w:ascii="Barlow Semi Condensed" w:cs="Barlow Semi Condensed" w:eastAsia="Barlow Semi Condensed" w:hAnsi="Barlow Semi Condensed"/>
          <w:b/>
          <w:bCs/>
          <w:sz w:val="24"/>
          <w:szCs w:val="24"/>
        </w:rPr>
        <w:t xml:space="preserve">2945 · Che cosa il 1965 non corrobora.</w:t>
      </w:r>
      <w:r>
        <w:rPr>
          <w:rFonts w:ascii="Barlow Semi Condensed" w:cs="Barlow Semi Condensed" w:eastAsia="Barlow Semi Condensed" w:hAnsi="Barlow Semi Condensed"/>
          <w:sz w:val="24"/>
          <w:szCs w:val="24"/>
        </w:rPr>
        <w:t xml:space="preserve"> Nessuna riga del programma del 1965 tocca il presunto avvertimento riferito de relato alla Corte d'assise di Roma nel novembre 1982, la cui data oscilla fra 1974, 1976 e 1977 e che l'interessato ha sempre smentito. Il documento aggiunge un dato biografico sul teste, non un grammo di riscontro sull'episodio. Chi usasse l'uno per rinforzare l'altro compirebbe la promozione che la disciplina dei tre piani vieta.</w:t>
      </w:r>
    </w:p>
    <w:p>
      <w:pPr>
        <w:spacing w:after="120" w:line="276"/>
        <w:jc w:val="both"/>
      </w:pPr>
      <w:r>
        <w:rPr>
          <w:rFonts w:ascii="Barlow Semi Condensed" w:cs="Barlow Semi Condensed" w:eastAsia="Barlow Semi Condensed" w:hAnsi="Barlow Semi Condensed"/>
          <w:b/>
          <w:bCs/>
          <w:sz w:val="24"/>
          <w:szCs w:val="24"/>
        </w:rPr>
        <w:t xml:space="preserve">2946 · Il comunicato congiunto del 21 aprile.</w:t>
      </w:r>
      <w:r>
        <w:rPr>
          <w:rFonts w:ascii="Barlow Semi Condensed" w:cs="Barlow Semi Condensed" w:eastAsia="Barlow Semi Condensed" w:hAnsi="Barlow Semi Condensed"/>
          <w:sz w:val="24"/>
          <w:szCs w:val="24"/>
        </w:rPr>
        <w:t xml:space="preserve"> Il programma prevede per le diciassette del 21 aprile 1965 un secondo colloquio Moro-Johnson con emissione di comunicato congiunto. Bersaglio: il testo integrale di quel comunicato nella sua edizione ufficiale, cioè il Department of State Bulletin, che il blocco 80 dell'opera fissa come sede autorevole per gli atti del Dipartimento. Il programma attesta che il comunicato fu emesso; non ne attesta una sillaba. Numero e pagine dell'annata restano da stabilire.</w:t>
      </w:r>
    </w:p>
    <w:p>
      <w:pPr>
        <w:spacing w:after="120" w:line="276"/>
        <w:jc w:val="both"/>
      </w:pPr>
      <w:r>
        <w:rPr>
          <w:rFonts w:ascii="Barlow Semi Condensed" w:cs="Barlow Semi Condensed" w:eastAsia="Barlow Semi Condensed" w:hAnsi="Barlow Semi Condensed"/>
          <w:b/>
          <w:bCs/>
          <w:sz w:val="24"/>
          <w:szCs w:val="24"/>
        </w:rPr>
        <w:t xml:space="preserve">2947 · I verbali dei due colloqui Johnson.</w:t>
      </w:r>
      <w:r>
        <w:rPr>
          <w:rFonts w:ascii="Barlow Semi Condensed" w:cs="Barlow Semi Condensed" w:eastAsia="Barlow Semi Condensed" w:hAnsi="Barlow Semi Condensed"/>
          <w:sz w:val="24"/>
          <w:szCs w:val="24"/>
        </w:rPr>
        <w:t xml:space="preserve"> Due incontri Moro-Johnson sono collocati dal comunicato al 20 e al 21 aprile 1965, e i loro memorandum of conversation non stanno nel lotto. Sede che li chiuderebbe: la Lyndon B. Johnson Presidential Library ad Austin, National Security File, Country File Italy, con la serie FRUS 1964-1968 per l'Europa occidentale. Stato Zero dichiarato con sede. Chi vi cercasse il nome di questa serie troverebbe un secondo zero atteso.</w:t>
      </w:r>
    </w:p>
    <w:p>
      <w:pPr>
        <w:spacing w:after="120" w:line="276"/>
        <w:jc w:val="both"/>
      </w:pPr>
      <w:r>
        <w:rPr>
          <w:rFonts w:ascii="Barlow Semi Condensed" w:cs="Barlow Semi Condensed" w:eastAsia="Barlow Semi Condensed" w:hAnsi="Barlow Semi Condensed"/>
          <w:b/>
          <w:bCs/>
          <w:sz w:val="24"/>
          <w:szCs w:val="24"/>
        </w:rPr>
        <w:t xml:space="preserve">2948 · Rusk, McNamara e le loro carte.</w:t>
      </w:r>
      <w:r>
        <w:rPr>
          <w:rFonts w:ascii="Barlow Semi Condensed" w:cs="Barlow Semi Condensed" w:eastAsia="Barlow Semi Condensed" w:hAnsi="Barlow Semi Condensed"/>
          <w:sz w:val="24"/>
          <w:szCs w:val="24"/>
        </w:rPr>
        <w:t xml:space="preserve"> Tre incontri americani oltre ai due presidenziali sono fissati dal programma: con Rusk al Dipartimento di Stato il 20 aprile, con Robert S. McNamara a Blair House il 21, con Hubert Humphrey al Campidoglio il 22. Nessun verbale è nel lotto. Sedi: National Archives, Record Group 59, Central Foreign Policy Files, serie POL 7 IT per il 1965, e le carte del segretario alla Difesa.</w:t>
      </w:r>
    </w:p>
    <w:p>
      <w:pPr>
        <w:spacing w:after="120" w:line="276"/>
        <w:jc w:val="both"/>
      </w:pPr>
      <w:r>
        <w:rPr>
          <w:rFonts w:ascii="Barlow Semi Condensed" w:cs="Barlow Semi Condensed" w:eastAsia="Barlow Semi Condensed" w:hAnsi="Barlow Semi Condensed"/>
          <w:b/>
          <w:bCs/>
          <w:sz w:val="24"/>
          <w:szCs w:val="24"/>
        </w:rPr>
        <w:t xml:space="preserve">2949 · Fanfani agli Esteri, non Moro.</w:t>
      </w:r>
      <w:r>
        <w:rPr>
          <w:rFonts w:ascii="Barlow Semi Condensed" w:cs="Barlow Semi Condensed" w:eastAsia="Barlow Semi Condensed" w:hAnsi="Barlow Semi Condensed"/>
          <w:sz w:val="24"/>
          <w:szCs w:val="24"/>
        </w:rPr>
        <w:t xml:space="preserve"> Il documento fissa un dato che la cartella stessa richiama in premessa: nell'aprile 1965 Moro era Presidente del Consiglio e la Farnesina era di Amintore Fanfani. Lo strato del 1965 sta dunque prima dei due mandati agli Esteri del 1969-1974 e non è atto della politica estera morotea. Ogni triangolazione che lo trattasse come tale sbaglierebbe il soggetto prima ancora di sbagliare il nesso.</w:t>
      </w:r>
    </w:p>
    <w:p>
      <w:pPr>
        <w:spacing w:after="120" w:line="276"/>
        <w:jc w:val="both"/>
      </w:pPr>
      <w:r>
        <w:rPr>
          <w:rFonts w:ascii="Barlow Semi Condensed" w:cs="Barlow Semi Condensed" w:eastAsia="Barlow Semi Condensed" w:hAnsi="Barlow Semi Condensed"/>
          <w:b/>
          <w:bCs/>
          <w:sz w:val="24"/>
          <w:szCs w:val="24"/>
        </w:rPr>
        <w:t xml:space="preserve">2950 · La topografia della visita come bersaglio.</w:t>
      </w:r>
      <w:r>
        <w:rPr>
          <w:rFonts w:ascii="Barlow Semi Condensed" w:cs="Barlow Semi Condensed" w:eastAsia="Barlow Semi Condensed" w:hAnsi="Barlow Semi Condensed"/>
          <w:sz w:val="24"/>
          <w:szCs w:val="24"/>
        </w:rPr>
        <w:t xml:space="preserve"> Blair House, Decatur House al 748 di Jackson Place, la Benjamin Franklin Room, l'ambasciata d'Italia al 2700 di Sixteenth Street, l'Ellipse, il Campidoglio, il Waldorf-Astoria: il comunicato n. 76 dà indirizzi e orari al minuto. È materiale di riscontro, non di interpretazione. Consente di verificare qualunque memoria che collochi un colloquio in luogo e ora, e di falsificarla dove non combacia: serve a smentire prima che a confermare.</w:t>
      </w:r>
    </w:p>
    <w:p>
      <w:pPr>
        <w:spacing w:after="120" w:line="276"/>
        <w:jc w:val="both"/>
      </w:pPr>
      <w:r>
        <w:rPr>
          <w:rFonts w:ascii="Barlow Semi Condensed" w:cs="Barlow Semi Condensed" w:eastAsia="Barlow Semi Condensed" w:hAnsi="Barlow Semi Condensed"/>
          <w:b/>
          <w:bCs/>
          <w:sz w:val="24"/>
          <w:szCs w:val="24"/>
        </w:rPr>
        <w:t xml:space="preserve">2951 · Arlington, Mount Vernon, la cerimonia.</w:t>
      </w:r>
      <w:r>
        <w:rPr>
          <w:rFonts w:ascii="Barlow Semi Condensed" w:cs="Barlow Semi Condensed" w:eastAsia="Barlow Semi Condensed" w:hAnsi="Barlow Semi Condensed"/>
          <w:sz w:val="24"/>
          <w:szCs w:val="24"/>
        </w:rPr>
        <w:t xml:space="preserve"> Il 21 aprile 1965 Moro depose corone alla Tomba del Milite Ignoto, sulla tomba di John Fitzgerald Kennedy e su quella di George Washington a Mount Vernon; il 22 ricevette all'Ellipse gli onori di congedo delle Forze Armate, con Humphrey a capo del comitato di commiato. Sono atti cerimoniali documentati e nulla più. La serie li registra per completezza del territorio, non per rendimento.</w:t>
      </w:r>
    </w:p>
    <w:p>
      <w:pPr>
        <w:spacing w:after="120" w:line="276"/>
        <w:jc w:val="both"/>
      </w:pPr>
      <w:r>
        <w:rPr>
          <w:rFonts w:ascii="Barlow Semi Condensed" w:cs="Barlow Semi Condensed" w:eastAsia="Barlow Semi Condensed" w:hAnsi="Barlow Semi Condensed"/>
          <w:b/>
          <w:bCs/>
          <w:sz w:val="24"/>
          <w:szCs w:val="24"/>
        </w:rPr>
        <w:t xml:space="preserve">2952 · Le Nazioni Unite del 23 aprile.</w:t>
      </w:r>
      <w:r>
        <w:rPr>
          <w:rFonts w:ascii="Barlow Semi Condensed" w:cs="Barlow Semi Condensed" w:eastAsia="Barlow Semi Condensed" w:hAnsi="Barlow Semi Condensed"/>
          <w:sz w:val="24"/>
          <w:szCs w:val="24"/>
        </w:rPr>
        <w:t xml:space="preserve"> L'ultima giornata porta Moro al City Hall di New York da Robert F. Wagner e alle Nazioni Unite, dove incontra il presidente dell'Assemblea generale Alex Quaison-Sackey e il segretario generale U Thant, che offre una colazione. Bersaglio: gli archivi delle Nazioni Unite a New York, per accertare se di quella colazione esista verbalizzazione. Esito atteso negativo o cerimoniale, e va comunque verbalizzato: un bersaglio non tentato non è uno Stato Zero.</w:t>
      </w:r>
    </w:p>
    <w:p>
      <w:pPr>
        <w:spacing w:after="120" w:line="276"/>
        <w:jc w:val="both"/>
      </w:pPr>
      <w:r>
        <w:rPr>
          <w:rFonts w:ascii="Barlow Semi Condensed" w:cs="Barlow Semi Condensed" w:eastAsia="Barlow Semi Condensed" w:hAnsi="Barlow Semi Condensed"/>
          <w:b/>
          <w:bCs/>
          <w:sz w:val="24"/>
          <w:szCs w:val="24"/>
        </w:rPr>
        <w:t xml:space="preserve">2953 · Il promemoria a Hoover, lettura esatta.</w:t>
      </w:r>
      <w:r>
        <w:rPr>
          <w:rFonts w:ascii="Barlow Semi Condensed" w:cs="Barlow Semi Condensed" w:eastAsia="Barlow Semi Condensed" w:hAnsi="Barlow Semi Condensed"/>
          <w:sz w:val="24"/>
          <w:szCs w:val="24"/>
        </w:rPr>
        <w:t xml:space="preserve"> Il promemoria di G. Marvin Gentile, Deputy Assistant Secretary for Security, al direttore dell'FBI J. Edgar Hoover chiede informazioni su ogni sforzo diretto a causare danno fisico o imbarazzo al Principal durante la visita. È misura ordinaria di protezione per un capo di governo ospite. Non contiene minaccia, non nomina alcuno, non prefigura nulla. Chi ne facesse un indizio leggerebbe una prassi come se fosse un allarme.</w:t>
      </w:r>
    </w:p>
    <w:p>
      <w:pPr>
        <w:spacing w:after="120" w:line="276"/>
        <w:jc w:val="both"/>
      </w:pPr>
      <w:r>
        <w:rPr>
          <w:rFonts w:ascii="Barlow Semi Condensed" w:cs="Barlow Semi Condensed" w:eastAsia="Barlow Semi Condensed" w:hAnsi="Barlow Semi Condensed"/>
          <w:b/>
          <w:bCs/>
          <w:sz w:val="24"/>
          <w:szCs w:val="24"/>
        </w:rPr>
        <w:t xml:space="preserve">2954 · Vance, non lui, nel 1978.</w:t>
      </w:r>
      <w:r>
        <w:rPr>
          <w:rFonts w:ascii="Barlow Semi Condensed" w:cs="Barlow Semi Condensed" w:eastAsia="Barlow Semi Condensed" w:hAnsi="Barlow Semi Condensed"/>
          <w:sz w:val="24"/>
          <w:szCs w:val="24"/>
        </w:rPr>
        <w:t xml:space="preserve"> Ogni cablogramma dello strato secondo è indirizzato o distribuito a SECSTATE WASHDC fra il 17 aprile e l'11 maggio 1978. In quelle settimane il segretario di Stato era Cyrus Vance, in carica dal gennaio 1977, e l'assistente per la sicurezza nazionale era Zbigniew Brzezinski. Il nome di questa serie era fuori da entrambe le cariche da oltre un anno. Accertamento cronologico, non valutazione.</w:t>
      </w:r>
    </w:p>
    <w:p>
      <w:pPr>
        <w:spacing w:after="120" w:line="276"/>
        <w:jc w:val="both"/>
      </w:pPr>
      <w:r>
        <w:rPr>
          <w:rFonts w:ascii="Barlow Semi Condensed" w:cs="Barlow Semi Condensed" w:eastAsia="Barlow Semi Condensed" w:hAnsi="Barlow Semi Condensed"/>
          <w:b/>
          <w:bCs/>
          <w:sz w:val="24"/>
          <w:szCs w:val="24"/>
        </w:rPr>
        <w:t xml:space="preserve">2955 · La linea SS-15 e chi la riceve.</w:t>
      </w:r>
      <w:r>
        <w:rPr>
          <w:rFonts w:ascii="Barlow Semi Condensed" w:cs="Barlow Semi Condensed" w:eastAsia="Barlow Semi Condensed" w:hAnsi="Barlow Semi Condensed"/>
          <w:sz w:val="24"/>
          <w:szCs w:val="24"/>
        </w:rPr>
        <w:t xml:space="preserve"> La linea di distribuzione di Buenos Aires 2881 comprende il Segretariato esecutivo con quindici copie, e poi NSC, INR, CIAE, FBIE e USSS, con parte dei conteggi resa illeggibile dal riconoscimento ottico. Dato utile e limitato: dice quali uffici ricevettero, non chi lesse. E quegli uffici, nell'aprile 1978, erano retti da altri. La distribuzione prova la circolazione, mai l'attenzione personale.</w:t>
      </w:r>
    </w:p>
    <w:p>
      <w:pPr>
        <w:spacing w:after="120" w:line="276"/>
        <w:jc w:val="both"/>
      </w:pPr>
      <w:r>
        <w:rPr>
          <w:rFonts w:ascii="Barlow Semi Condensed" w:cs="Barlow Semi Condensed" w:eastAsia="Barlow Semi Condensed" w:hAnsi="Barlow Semi Condensed"/>
          <w:b/>
          <w:bCs/>
          <w:sz w:val="24"/>
          <w:szCs w:val="24"/>
        </w:rPr>
        <w:t xml:space="preserve">2956 · Buenos Aires 2881, che cosa attesta.</w:t>
      </w:r>
      <w:r>
        <w:rPr>
          <w:rFonts w:ascii="Barlow Semi Condensed" w:cs="Barlow Semi Condensed" w:eastAsia="Barlow Semi Condensed" w:hAnsi="Barlow Semi Condensed"/>
          <w:sz w:val="24"/>
          <w:szCs w:val="24"/>
        </w:rPr>
        <w:t xml:space="preserve"> Il cablogramma dell'ambasciata a Buenos Aires del 17 aprile 1978, in due sezioni, riferisce un documento del Partito Montonero che nega ogni connessione col sequestro di Moro e ogni accordo con gruppi delle Brigate rosse. È smentita di terzi su terzi. Non è fonte sui responsabili, che restano quelli accertati in giudicato nei processi Moro, e non nomina alcun attore statunitense.</w:t>
      </w:r>
    </w:p>
    <w:p>
      <w:pPr>
        <w:spacing w:after="120" w:line="276"/>
        <w:jc w:val="both"/>
      </w:pPr>
      <w:r>
        <w:rPr>
          <w:rFonts w:ascii="Barlow Semi Condensed" w:cs="Barlow Semi Condensed" w:eastAsia="Barlow Semi Condensed" w:hAnsi="Barlow Semi Condensed"/>
          <w:b/>
          <w:bCs/>
          <w:sz w:val="24"/>
          <w:szCs w:val="24"/>
        </w:rPr>
        <w:t xml:space="preserve">2957 · Il timbro postale impossibile.</w:t>
      </w:r>
      <w:r>
        <w:rPr>
          <w:rFonts w:ascii="Barlow Semi Condensed" w:cs="Barlow Semi Condensed" w:eastAsia="Barlow Semi Condensed" w:hAnsi="Barlow Semi Condensed"/>
          <w:sz w:val="24"/>
          <w:szCs w:val="24"/>
        </w:rPr>
        <w:t xml:space="preserve"> L'OCR grezzo legge che la busta fu «clearly postmarked March 32, 1978». Il 32 marzo non esiste. La trascrizione ordinata rende prudentemente «3[?] marzo», ma quella lezione anticiperebbe il sequestro del 16 marzo e sarebbe incompatibile col contenuto del documento. Bersaglio filologico prioritario: la lezione vera sull'originale della pratica R-2021-00202. Una data impossibile è un errore di copia, non un mistero.</w:t>
      </w:r>
    </w:p>
    <w:p>
      <w:pPr>
        <w:spacing w:after="120" w:line="276"/>
        <w:jc w:val="both"/>
      </w:pPr>
      <w:r>
        <w:rPr>
          <w:rFonts w:ascii="Barlow Semi Condensed" w:cs="Barlow Semi Condensed" w:eastAsia="Barlow Semi Condensed" w:hAnsi="Barlow Semi Condensed"/>
          <w:b/>
          <w:bCs/>
          <w:sz w:val="24"/>
          <w:szCs w:val="24"/>
        </w:rPr>
        <w:t xml:space="preserve">2958 · Gelman, firma e qualifica.</w:t>
      </w:r>
      <w:r>
        <w:rPr>
          <w:rFonts w:ascii="Barlow Semi Condensed" w:cs="Barlow Semi Condensed" w:eastAsia="Barlow Semi Condensed" w:hAnsi="Barlow Semi Condensed"/>
          <w:sz w:val="24"/>
          <w:szCs w:val="24"/>
        </w:rPr>
        <w:t xml:space="preserve"> Il redattore annota che la firma finale, apparentemente autografa, è di Juan Gelman, che sottoscrive come «Press Secretary General» del «Secretariat of Press» del Partito Montonero, e ricorda che la sua ultima presa di posizione nota all'ambasciata era del 5 aprile a Madrid. Sono dati di provenienza sul documento allegato, non sulla sua veridicità: la qualifica dichiarata da chi firma non è accertamento di ruolo.</w:t>
      </w:r>
    </w:p>
    <w:p>
      <w:pPr>
        <w:spacing w:after="120" w:line="276"/>
        <w:jc w:val="both"/>
      </w:pPr>
      <w:r>
        <w:rPr>
          <w:rFonts w:ascii="Barlow Semi Condensed" w:cs="Barlow Semi Condensed" w:eastAsia="Barlow Semi Condensed" w:hAnsi="Barlow Semi Condensed"/>
          <w:b/>
          <w:bCs/>
          <w:sz w:val="24"/>
          <w:szCs w:val="24"/>
        </w:rPr>
        <w:t xml:space="preserve">2959 · Bonn, Parigi, Roma per conoscenza.</w:t>
      </w:r>
      <w:r>
        <w:rPr>
          <w:rFonts w:ascii="Barlow Semi Condensed" w:cs="Barlow Semi Condensed" w:eastAsia="Barlow Semi Condensed" w:hAnsi="Barlow Semi Condensed"/>
          <w:sz w:val="24"/>
          <w:szCs w:val="24"/>
        </w:rPr>
        <w:t xml:space="preserve"> Buenos Aires 2881 va per conoscenza alle ambasciate di Bonn, Parigi e Roma: due di quelle capitali sono colonne estere dei cantieri, la terza è la sede del caso. È convergenza di cornice, non di condotta. Il cablogramma mostra dove Washington ritenne utile far circolare una smentita sudamericana; non mostra iniziativa alcuna verso quelle capitali, e la contemporaneità coi cinquantacinque giorni non vi aggiunge nulla.</w:t>
      </w:r>
    </w:p>
    <w:p>
      <w:pPr>
        <w:spacing w:after="120" w:line="276"/>
        <w:jc w:val="both"/>
      </w:pPr>
      <w:r>
        <w:rPr>
          <w:rFonts w:ascii="Barlow Semi Condensed" w:cs="Barlow Semi Condensed" w:eastAsia="Barlow Semi Condensed" w:hAnsi="Barlow Semi Condensed"/>
          <w:b/>
          <w:bCs/>
          <w:sz w:val="24"/>
          <w:szCs w:val="24"/>
        </w:rPr>
        <w:t xml:space="preserve">2960 · Il riferimento assente: Rome 8511.</w:t>
      </w:r>
      <w:r>
        <w:rPr>
          <w:rFonts w:ascii="Barlow Semi Condensed" w:cs="Barlow Semi Condensed" w:eastAsia="Barlow Semi Condensed" w:hAnsi="Barlow Semi Condensed"/>
          <w:sz w:val="24"/>
          <w:szCs w:val="24"/>
        </w:rPr>
        <w:t xml:space="preserve"> Tanto Trieste 9223 quanto Palermo 9487 recano «REF: ROME 8511», cioè un telegramma dell'ambasciata a Roma che il lotto non contiene. È la lacuna più netta dello strato secondo, perché il documento mancante è quello di livello politico. Sede di chiusura: la banca dati dei telegrammi elettronici del 1978 nel Record Group 59 presso i National Archives. Finché non è letto, la posizione di Washington nel maggio 1978 resta fuori dal territorio.</w:t>
      </w:r>
    </w:p>
    <w:p>
      <w:pPr>
        <w:spacing w:after="120" w:line="276"/>
        <w:jc w:val="both"/>
      </w:pPr>
      <w:r>
        <w:rPr>
          <w:rFonts w:ascii="Barlow Semi Condensed" w:cs="Barlow Semi Condensed" w:eastAsia="Barlow Semi Condensed" w:hAnsi="Barlow Semi Condensed"/>
          <w:b/>
          <w:bCs/>
          <w:sz w:val="24"/>
          <w:szCs w:val="24"/>
        </w:rPr>
        <w:t xml:space="preserve">2961 · Trieste 9223, materia e limite.</w:t>
      </w:r>
      <w:r>
        <w:rPr>
          <w:rFonts w:ascii="Barlow Semi Condensed" w:cs="Barlow Semi Condensed" w:eastAsia="Barlow Semi Condensed" w:hAnsi="Barlow Semi Condensed"/>
          <w:sz w:val="24"/>
          <w:szCs w:val="24"/>
        </w:rPr>
        <w:t xml:space="preserve"> Il consolato di Trieste riferisce che il Nord-Est accolse la morte con sdegno e appelli all'unità, definisce il Friuli-Venezia Giulia «for the most part Moro country» e cita Comelli, Pittoni, Dario Rinaldi, Foletto e Tomelleri, registrando la chiusura anticipata di Marghera il 9 maggio. Sono reazioni riferite da fonte terza e coeva. Materia del lutto pubblico: nessun nome americano vi compare e nessuno vi è cercato dal redattore.</w:t>
      </w:r>
    </w:p>
    <w:p>
      <w:pPr>
        <w:spacing w:after="120" w:line="276"/>
        <w:jc w:val="both"/>
      </w:pPr>
      <w:r>
        <w:rPr>
          <w:rFonts w:ascii="Barlow Semi Condensed" w:cs="Barlow Semi Condensed" w:eastAsia="Barlow Semi Condensed" w:hAnsi="Barlow Semi Condensed"/>
          <w:b/>
          <w:bCs/>
          <w:sz w:val="24"/>
          <w:szCs w:val="24"/>
        </w:rPr>
        <w:t xml:space="preserve">2962 · Palermo 9487, e i nomi che porta.</w:t>
      </w:r>
      <w:r>
        <w:rPr>
          <w:rFonts w:ascii="Barlow Semi Condensed" w:cs="Barlow Semi Condensed" w:eastAsia="Barlow Semi Condensed" w:hAnsi="Barlow Semi Condensed"/>
          <w:sz w:val="24"/>
          <w:szCs w:val="24"/>
        </w:rPr>
        <w:t xml:space="preserve"> De Pasquale, presidente dell'Assemblea regionale siciliana, accostò il leader ucciso a Giacomo Matteotti e Antonio Gramsci; Santi Mattarella ne scrisse sul «Giornale di Sicilia» dell'11 maggio; il cardinale Salvatore Pappalardo celebrò la messa del 10 a mezzogiorno; nel corteo il coro sulle bandiere rosse fu sovrastato dagli appelli all'unità. Il cablogramma documenta cornice civile: nessun elemento istruttorio, nessun attore estero.</w:t>
      </w:r>
    </w:p>
    <w:p>
      <w:pPr>
        <w:spacing w:after="120" w:line="276"/>
        <w:jc w:val="both"/>
      </w:pPr>
      <w:r>
        <w:rPr>
          <w:rFonts w:ascii="Barlow Semi Condensed" w:cs="Barlow Semi Condensed" w:eastAsia="Barlow Semi Condensed" w:hAnsi="Barlow Semi Condensed"/>
          <w:b/>
          <w:bCs/>
          <w:sz w:val="24"/>
          <w:szCs w:val="24"/>
        </w:rPr>
        <w:t xml:space="preserve">2963 · TAGS PINT e ciò che implica.</w:t>
      </w:r>
      <w:r>
        <w:rPr>
          <w:rFonts w:ascii="Barlow Semi Condensed" w:cs="Barlow Semi Condensed" w:eastAsia="Barlow Semi Condensed" w:hAnsi="Barlow Semi Condensed"/>
          <w:sz w:val="24"/>
          <w:szCs w:val="24"/>
        </w:rPr>
        <w:t xml:space="preserve"> Le TAGS dei due cablogrammi consolari sono «PINT, IT» — affari politici interni — e non recano sigle di politica estera bilaterale. È indicazione di genere, e il genere spiega il contenuto: il redattore raccoglieva reazioni locali, non posizioni di Washington. Regola operativa: prima di chiedere a un documento ciò che non dice, si legge come fu classificato. La classificazione è la prima dichiarazione di competenza.</w:t>
      </w:r>
    </w:p>
    <w:p>
      <w:pPr>
        <w:spacing w:after="120" w:line="276"/>
        <w:jc w:val="both"/>
      </w:pPr>
      <w:r>
        <w:rPr>
          <w:rFonts w:ascii="Barlow Semi Condensed" w:cs="Barlow Semi Condensed" w:eastAsia="Barlow Semi Condensed" w:hAnsi="Barlow Semi Condensed"/>
          <w:b/>
          <w:bCs/>
          <w:sz w:val="24"/>
          <w:szCs w:val="24"/>
        </w:rPr>
        <w:t xml:space="preserve">2964 · Le domande finali del consolato.</w:t>
      </w:r>
      <w:r>
        <w:rPr>
          <w:rFonts w:ascii="Barlow Semi Condensed" w:cs="Barlow Semi Condensed" w:eastAsia="Barlow Semi Condensed" w:hAnsi="Barlow Semi Condensed"/>
          <w:sz w:val="24"/>
          <w:szCs w:val="24"/>
        </w:rPr>
        <w:t xml:space="preserve"> Palermo chiude elencando le domande che i siciliani cominciavano a porsi: chi guiderà la Democrazia cristiana, chi sarà il prossimo presidente della Repubblica, chi il prossimo bersaglio. Sono domande di cronaca politica raccolte da un console, non ipotesi investigative. Vanno riportate come tali, perché il corpus registra ciò che le fonti dicono e non ciò che il lettore vorrebbe che avessero inteso.</w:t>
      </w:r>
    </w:p>
    <w:p>
      <w:pPr>
        <w:spacing w:after="120" w:line="276"/>
        <w:jc w:val="both"/>
      </w:pPr>
      <w:r>
        <w:rPr>
          <w:rFonts w:ascii="Barlow Semi Condensed" w:cs="Barlow Semi Condensed" w:eastAsia="Barlow Semi Condensed" w:hAnsi="Barlow Semi Condensed"/>
          <w:b/>
          <w:bCs/>
          <w:sz w:val="24"/>
          <w:szCs w:val="24"/>
        </w:rPr>
        <w:t xml:space="preserve">2965 · Due reazioni, una causa comune.</w:t>
      </w:r>
      <w:r>
        <w:rPr>
          <w:rFonts w:ascii="Barlow Semi Condensed" w:cs="Barlow Semi Condensed" w:eastAsia="Barlow Semi Condensed" w:hAnsi="Barlow Semi Condensed"/>
          <w:sz w:val="24"/>
          <w:szCs w:val="24"/>
        </w:rPr>
        <w:t xml:space="preserve"> Trieste e Palermo riferiscono reazioni simultanee nelle stesse ore. Il verbale della seconda campagna propone alla griglia una quinta voce, l'effetto convergente da causa comune: due esiti simultanei discendono provatamente dallo stesso evento e non l'uno dall'altro. È il caso. La simultaneità dei due cablogrammi non li lega fra loro e non lega nessuno dei due a un attore terzo: li lega al 9 maggio.</w:t>
      </w:r>
    </w:p>
    <w:p>
      <w:pPr>
        <w:spacing w:after="120" w:line="276"/>
        <w:jc w:val="both"/>
      </w:pPr>
      <w:r>
        <w:rPr>
          <w:rFonts w:ascii="Barlow Semi Condensed" w:cs="Barlow Semi Condensed" w:eastAsia="Barlow Semi Condensed" w:hAnsi="Barlow Semi Condensed"/>
          <w:b/>
          <w:bCs/>
          <w:sz w:val="24"/>
          <w:szCs w:val="24"/>
        </w:rPr>
        <w:t xml:space="preserve">2966 · Il giudicato come confine dello strato.</w:t>
      </w:r>
      <w:r>
        <w:rPr>
          <w:rFonts w:ascii="Barlow Semi Condensed" w:cs="Barlow Semi Condensed" w:eastAsia="Barlow Semi Condensed" w:hAnsi="Barlow Semi Condensed"/>
          <w:sz w:val="24"/>
          <w:szCs w:val="24"/>
        </w:rPr>
        <w:t xml:space="preserve"> Lo strato del 1978 documenta lutto e reazioni, non responsabilità. Gli autori del sequestro e dell'omicidio sono accertati in giudicato nei processi Moro. Nessun documento del lotto attribuisce condotta ad alcuno, e nessun blocco di questa serie può farlo: il nome che essa triangola non fu mai imputato né processato in alcun Paese, e il corpus si ferma dove si ferma la sentenza.</w:t>
      </w:r>
    </w:p>
    <w:p>
      <w:pPr>
        <w:spacing w:after="120" w:line="276"/>
        <w:jc w:val="both"/>
      </w:pPr>
      <w:r>
        <w:rPr>
          <w:rFonts w:ascii="Barlow Semi Condensed" w:cs="Barlow Semi Condensed" w:eastAsia="Barlow Semi Condensed" w:hAnsi="Barlow Semi Condensed"/>
          <w:b/>
          <w:bCs/>
          <w:sz w:val="24"/>
          <w:szCs w:val="24"/>
        </w:rPr>
        <w:t xml:space="preserve">2967 · Ciò che il lotto non è.</w:t>
      </w:r>
      <w:r>
        <w:rPr>
          <w:rFonts w:ascii="Barlow Semi Condensed" w:cs="Barlow Semi Condensed" w:eastAsia="Barlow Semi Condensed" w:hAnsi="Barlow Semi Condensed"/>
          <w:sz w:val="24"/>
          <w:szCs w:val="24"/>
        </w:rPr>
        <w:t xml:space="preserve"> La cartella qualifica il lotto come cornice e non come accertamento istruttorio, e la qualifica va portata con i documenti ovunque siano citati. Vale in particolare contro l'uso divulgativo: un cablogramma desecretato è suggestivo per la sua provenienza, non per il suo contenuto, e questo lotto contiene un programma cerimoniale, una smentita di terzi e due rassegne di cordoglio.</w:t>
      </w:r>
    </w:p>
    <w:p>
      <w:pPr>
        <w:spacing w:after="120" w:line="276"/>
        <w:jc w:val="both"/>
      </w:pPr>
      <w:r>
        <w:rPr>
          <w:rFonts w:ascii="Barlow Semi Condensed" w:cs="Barlow Semi Condensed" w:eastAsia="Barlow Semi Condensed" w:hAnsi="Barlow Semi Condensed"/>
          <w:b/>
          <w:bCs/>
          <w:sz w:val="24"/>
          <w:szCs w:val="24"/>
        </w:rPr>
        <w:t xml:space="preserve">2968 · La pratica FOIA che regge tutto.</w:t>
      </w:r>
      <w:r>
        <w:rPr>
          <w:rFonts w:ascii="Barlow Semi Condensed" w:cs="Barlow Semi Condensed" w:eastAsia="Barlow Semi Condensed" w:hAnsi="Barlow Semi Condensed"/>
          <w:sz w:val="24"/>
          <w:szCs w:val="24"/>
        </w:rPr>
        <w:t xml:space="preserve"> La sigla di pratica R-2021-00202 e gli identificativi di rilascio B-00001939965, ...966, ...968, ...969, ...972, ...974 e ...989 attraversano il file originale, con esenzioni b3, b6, b7C e b7E e date di lavorazione del settembre 2021. Bersaglio: l'elenco integrale dei documenti rilasciati sotto quella pratica, che dirà quanti pezzi il lotto contenga e quanti la trascrizione ordinata ne abbia ripresi.</w:t>
      </w:r>
    </w:p>
    <w:p>
      <w:pPr>
        <w:spacing w:after="120" w:line="276"/>
        <w:jc w:val="both"/>
      </w:pPr>
      <w:r>
        <w:rPr>
          <w:rFonts w:ascii="Barlow Semi Condensed" w:cs="Barlow Semi Condensed" w:eastAsia="Barlow Semi Condensed" w:hAnsi="Barlow Semi Condensed"/>
          <w:b/>
          <w:bCs/>
          <w:sz w:val="24"/>
          <w:szCs w:val="24"/>
        </w:rPr>
        <w:t xml:space="preserve">2969 · Un fascicolo dell'FBI, non del Dipartimento.</w:t>
      </w:r>
      <w:r>
        <w:rPr>
          <w:rFonts w:ascii="Barlow Semi Condensed" w:cs="Barlow Semi Condensed" w:eastAsia="Barlow Semi Condensed" w:hAnsi="Barlow Semi Condensed"/>
          <w:sz w:val="24"/>
          <w:szCs w:val="24"/>
        </w:rPr>
        <w:t xml:space="preserve"> Timbri e caselle di smistamento dell'FBI attraversano il lotto: «NOT RECORDED», le date del 23 aprile 1965, del 18 giugno 1997 e del 16 giugno 2018, e accanto a Buenos Aires 2881 l'elenco dell'Associate Director e degli Assistant Directors. I pezzi sono di redazione statale ma di conservazione federale investigativa. La provenienza spiega il contenuto: una pratica di sicurezza non porta memorandum di colloquio politico.</w:t>
      </w:r>
    </w:p>
    <w:p>
      <w:pPr>
        <w:spacing w:after="120" w:line="276"/>
        <w:jc w:val="both"/>
      </w:pPr>
      <w:r>
        <w:rPr>
          <w:rFonts w:ascii="Barlow Semi Condensed" w:cs="Barlow Semi Condensed" w:eastAsia="Barlow Semi Condensed" w:hAnsi="Barlow Semi Condensed"/>
          <w:b/>
          <w:bCs/>
          <w:sz w:val="24"/>
          <w:szCs w:val="24"/>
        </w:rPr>
        <w:t xml:space="preserve">2970 · Il cablogramma di Berna del 1981.</w:t>
      </w:r>
      <w:r>
        <w:rPr>
          <w:rFonts w:ascii="Barlow Semi Condensed" w:cs="Barlow Semi Condensed" w:eastAsia="Barlow Semi Condensed" w:hAnsi="Barlow Semi Condensed"/>
          <w:sz w:val="24"/>
          <w:szCs w:val="24"/>
        </w:rPr>
        <w:t xml:space="preserve"> In testa al file originale sta un documento che la trascrizione ordinata non riprende: BERN 02583 del 17 giugno 1981, NOFORN, da AMEMBASSY BERN ad AMEMBASSY ASUNCION, per conoscenza a Ginevra e a SECSTATE, con TAGS ASEC, PINS, SZ, IT e PA e rinvii a BERN 02461 e ASUNCION 2294. Cade fuori dall'arco 1965-1978 dichiarato nel titolo del derivato. Divergenza da riportare, non da comporre.</w:t>
      </w:r>
    </w:p>
    <w:p>
      <w:pPr>
        <w:spacing w:after="120" w:line="276"/>
        <w:jc w:val="both"/>
      </w:pPr>
      <w:r>
        <w:rPr>
          <w:rFonts w:ascii="Barlow Semi Condensed" w:cs="Barlow Semi Condensed" w:eastAsia="Barlow Semi Condensed" w:hAnsi="Barlow Semi Condensed"/>
          <w:b/>
          <w:bCs/>
          <w:sz w:val="24"/>
          <w:szCs w:val="24"/>
        </w:rPr>
        <w:t xml:space="preserve">2971 · L'oggetto illeggibile di Berna.</w:t>
      </w:r>
      <w:r>
        <w:rPr>
          <w:rFonts w:ascii="Barlow Semi Condensed" w:cs="Barlow Semi Condensed" w:eastAsia="Barlow Semi Condensed" w:hAnsi="Barlow Semi Condensed"/>
          <w:sz w:val="24"/>
          <w:szCs w:val="24"/>
        </w:rPr>
        <w:t xml:space="preserve"> La riga d'oggetto di quel cablogramma è corrotta: «ARREST, OF HOR.Q;yKT0 waP PING SUSPECT IN LU». La sequenza è compatibile con una lettura che vi riconosca l'arresto di un sospetto per il sequestro Moro in località svizzera, ma la lettura non è accertata e non può essere usata. Bersaglio: la riga d'oggetto sull'originale. Un'ipotesi di lettura dichiarata come tale è lecita; usata come fatto, no.</w:t>
      </w:r>
    </w:p>
    <w:p>
      <w:pPr>
        <w:spacing w:after="120" w:line="276"/>
        <w:jc w:val="both"/>
      </w:pPr>
      <w:r>
        <w:rPr>
          <w:rFonts w:ascii="Barlow Semi Condensed" w:cs="Barlow Semi Condensed" w:eastAsia="Barlow Semi Condensed" w:hAnsi="Barlow Semi Condensed"/>
          <w:b/>
          <w:bCs/>
          <w:sz w:val="24"/>
          <w:szCs w:val="24"/>
        </w:rPr>
        <w:t xml:space="preserve">2972 · Il rapporto d'intelligence oscurato.</w:t>
      </w:r>
      <w:r>
        <w:rPr>
          <w:rFonts w:ascii="Barlow Semi Condensed" w:cs="Barlow Semi Condensed" w:eastAsia="Barlow Semi Condensed" w:hAnsi="Barlow Semi Condensed"/>
          <w:sz w:val="24"/>
          <w:szCs w:val="24"/>
        </w:rPr>
        <w:t xml:space="preserve"> Il testo di BERN 02583 rinvia a un rapporto del 12 giugno 1981 con numero TDFIRDB315 seguito da caratteri illeggibili, trasmesso a tutti i destinatari, e il documento porta esenzioni b3 e b7E. Bersaglio: identificare la serie di quel numero e verificarne il regime di consultazione. Il rinvio prova che il rapporto esistette; il suo contenuto resta fuori dalla portata di questo corpus.</w:t>
      </w:r>
    </w:p>
    <w:p>
      <w:pPr>
        <w:spacing w:after="120" w:line="276"/>
        <w:jc w:val="both"/>
      </w:pPr>
      <w:r>
        <w:rPr>
          <w:rFonts w:ascii="Barlow Semi Condensed" w:cs="Barlow Semi Condensed" w:eastAsia="Barlow Semi Condensed" w:hAnsi="Barlow Semi Condensed"/>
          <w:b/>
          <w:bCs/>
          <w:sz w:val="24"/>
          <w:szCs w:val="24"/>
        </w:rPr>
        <w:t xml:space="preserve">2973 · Il derivato va ricollazionato.</w:t>
      </w:r>
      <w:r>
        <w:rPr>
          <w:rFonts w:ascii="Barlow Semi Condensed" w:cs="Barlow Semi Condensed" w:eastAsia="Barlow Semi Condensed" w:hAnsi="Barlow Semi Condensed"/>
          <w:sz w:val="24"/>
          <w:szCs w:val="24"/>
        </w:rPr>
        <w:t xml:space="preserve"> Il manifest-sha256.txt registra l'OCR grezzo con impronta 4b2b9694… e il derivato documenti-state-dept-1965-1978.md con impronta 8ea018f4…. Poiché il derivato omette il cablogramma del 1981, la collazione originale-derivato va rifatta per intero e il manifest rigenerato dopo ogni emendamento. È manutenzione di catena di custodia, ed è il lavoro che il blocco 266 dell'opera prescrive conservando il grezzo accanto all'ordinato.</w:t>
      </w:r>
    </w:p>
    <w:p>
      <w:pPr>
        <w:spacing w:after="120" w:line="276"/>
        <w:jc w:val="both"/>
      </w:pPr>
      <w:r>
        <w:rPr>
          <w:rFonts w:ascii="Barlow Semi Condensed" w:cs="Barlow Semi Condensed" w:eastAsia="Barlow Semi Condensed" w:hAnsi="Barlow Semi Condensed"/>
          <w:b/>
          <w:bCs/>
          <w:sz w:val="24"/>
          <w:szCs w:val="24"/>
        </w:rPr>
        <w:t xml:space="preserve">2974 · L'OCR come agente di errore.</w:t>
      </w:r>
      <w:r>
        <w:rPr>
          <w:rFonts w:ascii="Barlow Semi Condensed" w:cs="Barlow Semi Condensed" w:eastAsia="Barlow Semi Condensed" w:hAnsi="Barlow Semi Condensed"/>
          <w:sz w:val="24"/>
          <w:szCs w:val="24"/>
        </w:rPr>
        <w:t xml:space="preserve"> Nel lotto si legge MATTROTTI per Matteotti, MOGRO e HOR.Q per Moro, MARACH 32 per una data. Regola: nessun argomento onomastico o numerico può poggiare su questa trascrizione senza confronto con l'immagine. Vale a maggior ragione per un cognome assente, perché l'assenza va verificata anche contro le mutazioni possibili — e qui la verifica è stata condotta su forme alternative, senza esito.</w:t>
      </w:r>
    </w:p>
    <w:p>
      <w:pPr>
        <w:spacing w:after="120" w:line="276"/>
        <w:jc w:val="both"/>
      </w:pPr>
      <w:r>
        <w:rPr>
          <w:rFonts w:ascii="Barlow Semi Condensed" w:cs="Barlow Semi Condensed" w:eastAsia="Barlow Semi Condensed" w:hAnsi="Barlow Semi Condensed"/>
          <w:b/>
          <w:bCs/>
          <w:sz w:val="24"/>
          <w:szCs w:val="24"/>
        </w:rPr>
        <w:t xml:space="preserve">2975 · Le due sezioni e la serialità.</w:t>
      </w:r>
      <w:r>
        <w:rPr>
          <w:rFonts w:ascii="Barlow Semi Condensed" w:cs="Barlow Semi Condensed" w:eastAsia="Barlow Semi Condensed" w:hAnsi="Barlow Semi Condensed"/>
          <w:sz w:val="24"/>
          <w:szCs w:val="24"/>
        </w:rPr>
        <w:t xml:space="preserve"> Le due sezioni del cablogramma argentino portano numeri progressivi 5363 e 5364 verso SECSTATE, con orari di partenza 171556Z e 171711Z del 17 aprile 1978. Sono dati di serialità: consentono di accertare se fra quei numeri l'ambasciata trasmise altro, e che cosa. Bersaglio: la sequenza completa dei telegrammi di Buenos Aires di quel giorno nella banca dati dei telegrammi elettronici.</w:t>
      </w:r>
    </w:p>
    <w:p>
      <w:pPr>
        <w:spacing w:after="120" w:line="276"/>
        <w:jc w:val="both"/>
      </w:pPr>
      <w:r>
        <w:rPr>
          <w:rFonts w:ascii="Barlow Semi Condensed" w:cs="Barlow Semi Condensed" w:eastAsia="Barlow Semi Condensed" w:hAnsi="Barlow Semi Condensed"/>
          <w:b/>
          <w:bCs/>
          <w:sz w:val="24"/>
          <w:szCs w:val="24"/>
        </w:rPr>
        <w:t xml:space="preserve">2976 · Il verbale della seconda campagna, statuto.</w:t>
      </w:r>
      <w:r>
        <w:rPr>
          <w:rFonts w:ascii="Barlow Semi Condensed" w:cs="Barlow Semi Condensed" w:eastAsia="Barlow Semi Condensed" w:hAnsi="Barlow Semi Condensed"/>
          <w:sz w:val="24"/>
          <w:szCs w:val="24"/>
        </w:rPr>
        <w:t xml:space="preserve"> Il secondo documento assegnato non è una ricognizione: è il verbale di sei letture incrociate sulle tre ricognizioni pervenute il 25 agosto 2026, con diciotto acquisizioni, sei correzioni, otto divergenze aperte, sei Stati Zero condivisi e settantanove voci di triangolazione. In tutto quell'apparato il nome triangolato non compare. È il secondo zero misurato della serie, e ha una causa diversa dal primo.</w:t>
      </w:r>
    </w:p>
    <w:p>
      <w:pPr>
        <w:spacing w:after="120" w:line="276"/>
        <w:jc w:val="both"/>
      </w:pPr>
      <w:r>
        <w:rPr>
          <w:rFonts w:ascii="Barlow Semi Condensed" w:cs="Barlow Semi Condensed" w:eastAsia="Barlow Semi Condensed" w:hAnsi="Barlow Semi Condensed"/>
          <w:b/>
          <w:bCs/>
          <w:sz w:val="24"/>
          <w:szCs w:val="24"/>
        </w:rPr>
        <w:t xml:space="preserve">2977 · Perché il verbale tace quel nome.</w:t>
      </w:r>
      <w:r>
        <w:rPr>
          <w:rFonts w:ascii="Barlow Semi Condensed" w:cs="Barlow Semi Condensed" w:eastAsia="Barlow Semi Condensed" w:hAnsi="Barlow Semi Condensed"/>
          <w:sz w:val="24"/>
          <w:szCs w:val="24"/>
        </w:rPr>
        <w:t xml:space="preserve"> Le tre ricognizioni triangolate riguardano l'Opus Dei come soggetto storico nei documenti italiani e spagnoli, la Santa Sede e le due Germanie con la sequenza Oder-Neisse, il Portogallo e la Santa Sede. Sono materie ecclesiali e iberiche, con giacimenti vaticani, spagnoli e portoghesi. Il vertice statunitense non vi è oggetto. L'assenza è coerente col perimetro dichiarato dei documenti, non con una reticenza.</w:t>
      </w:r>
    </w:p>
    <w:p>
      <w:pPr>
        <w:spacing w:after="120" w:line="276"/>
        <w:jc w:val="both"/>
      </w:pPr>
      <w:r>
        <w:rPr>
          <w:rFonts w:ascii="Barlow Semi Condensed" w:cs="Barlow Semi Condensed" w:eastAsia="Barlow Semi Condensed" w:hAnsi="Barlow Semi Condensed"/>
          <w:b/>
          <w:bCs/>
          <w:sz w:val="24"/>
          <w:szCs w:val="24"/>
        </w:rPr>
        <w:t xml:space="preserve">2978 · L'«Italian official» resta anonimo.</w:t>
      </w:r>
      <w:r>
        <w:rPr>
          <w:rFonts w:ascii="Barlow Semi Condensed" w:cs="Barlow Semi Condensed" w:eastAsia="Barlow Semi Condensed" w:hAnsi="Barlow Semi Condensed"/>
          <w:sz w:val="24"/>
          <w:szCs w:val="24"/>
        </w:rPr>
        <w:t xml:space="preserve"> Il rapporto CIA del 22 maggio 1970, protocollo CIA-RDP85T00875R001500020027-1, contiene la frase secondo cui un funzionario italiano avrebbe già detto che il suo Paese non sarebbe interessato al progetto di patto mediterraneo. Il documento non fa nomi. La regola vale identica per l'attribuzione a Moro e per qualunque attribuzione a un interlocutore americano: nessun nome si estrae da un documento che non lo scrive.</w:t>
      </w:r>
    </w:p>
    <w:p>
      <w:pPr>
        <w:spacing w:after="120" w:line="276"/>
        <w:jc w:val="both"/>
      </w:pPr>
      <w:r>
        <w:rPr>
          <w:rFonts w:ascii="Barlow Semi Condensed" w:cs="Barlow Semi Condensed" w:eastAsia="Barlow Semi Condensed" w:hAnsi="Barlow Semi Condensed"/>
          <w:b/>
          <w:bCs/>
          <w:sz w:val="24"/>
          <w:szCs w:val="24"/>
        </w:rPr>
        <w:t xml:space="preserve">2979 · Il 22 maggio 1970 e le cariche.</w:t>
      </w:r>
      <w:r>
        <w:rPr>
          <w:rFonts w:ascii="Barlow Semi Condensed" w:cs="Barlow Semi Condensed" w:eastAsia="Barlow Semi Condensed" w:hAnsi="Barlow Semi Condensed"/>
          <w:sz w:val="24"/>
          <w:szCs w:val="24"/>
        </w:rPr>
        <w:t xml:space="preserve"> Alla data di quel rapporto l'assistente statunitense per la sicurezza nazionale era in carica da sedici mesi, e i Weekly Summary Special Report circolavano nel sistema del Consiglio di sicurezza nazionale. È comunanza di ambiente istituzionale, terza voce della griglia a quattro gradi, e niente di più. Bersaglio, se lo si vuole chiudere: le carte istituzionali di quel Consiglio presso la biblioteca presidenziale competente.</w:t>
      </w:r>
    </w:p>
    <w:p>
      <w:pPr>
        <w:spacing w:after="120" w:line="276"/>
        <w:jc w:val="both"/>
      </w:pPr>
      <w:r>
        <w:rPr>
          <w:rFonts w:ascii="Barlow Semi Condensed" w:cs="Barlow Semi Condensed" w:eastAsia="Barlow Semi Condensed" w:hAnsi="Barlow Semi Condensed"/>
          <w:b/>
          <w:bCs/>
          <w:sz w:val="24"/>
          <w:szCs w:val="24"/>
        </w:rPr>
        <w:t xml:space="preserve">2980 · Osimo, il canale fuori dalla Farnesina.</w:t>
      </w:r>
      <w:r>
        <w:rPr>
          <w:rFonts w:ascii="Barlow Semi Condensed" w:cs="Barlow Semi Condensed" w:eastAsia="Barlow Semi Condensed" w:hAnsi="Barlow Semi Condensed"/>
          <w:sz w:val="24"/>
          <w:szCs w:val="24"/>
        </w:rPr>
        <w:t xml:space="preserve"> I negoziati riservati di Osimo si svolsero fra luglio e novembre 1974 attraverso un canale esterno al ministero degli Esteri, primo caso italiano del genere: così il verbale acquisisce. Cadono nelle stesse settimane del colloquio dello Studio Ovale del 25 settembre 1974. La coincidenza è contemporaneità entro cornici diverse: non risulta che la controparte americana fosse informata di quel canale, ed è Stato Zero.</w:t>
      </w:r>
    </w:p>
    <w:p>
      <w:pPr>
        <w:spacing w:after="120" w:line="276"/>
        <w:jc w:val="both"/>
      </w:pPr>
      <w:r>
        <w:rPr>
          <w:rFonts w:ascii="Barlow Semi Condensed" w:cs="Barlow Semi Condensed" w:eastAsia="Barlow Semi Condensed" w:hAnsi="Barlow Semi Condensed"/>
          <w:b/>
          <w:bCs/>
          <w:sz w:val="24"/>
          <w:szCs w:val="24"/>
        </w:rPr>
        <w:t xml:space="preserve">2981 · La sede che chiuderebbe Osimo.</w:t>
      </w:r>
      <w:r>
        <w:rPr>
          <w:rFonts w:ascii="Barlow Semi Condensed" w:cs="Barlow Semi Condensed" w:eastAsia="Barlow Semi Condensed" w:hAnsi="Barlow Semi Condensed"/>
          <w:sz w:val="24"/>
          <w:szCs w:val="24"/>
        </w:rPr>
        <w:t xml:space="preserve"> Sede: i telegrammi elettronici del 1974 da Roma e da Belgrado nel Record Group 59, e i fascicoli per Paese del consigliere per la sicurezza nazionale presso la Gerald R. Ford Presidential Library. Bersaglio di smentita del nesso: un documento americano coevo che mostri conoscenza del canale riservato. Se non esiste, l'esito negativo si verbalizza e vale quanto un esito positivo.</w:t>
      </w:r>
    </w:p>
    <w:p>
      <w:pPr>
        <w:spacing w:after="120" w:line="276"/>
        <w:jc w:val="both"/>
      </w:pPr>
      <w:r>
        <w:rPr>
          <w:rFonts w:ascii="Barlow Semi Condensed" w:cs="Barlow Semi Condensed" w:eastAsia="Barlow Semi Condensed" w:hAnsi="Barlow Semi Condensed"/>
          <w:b/>
          <w:bCs/>
          <w:sz w:val="24"/>
          <w:szCs w:val="24"/>
        </w:rPr>
        <w:t xml:space="preserve">2982 · Il 25 settembre 1974 non è qui.</w:t>
      </w:r>
      <w:r>
        <w:rPr>
          <w:rFonts w:ascii="Barlow Semi Condensed" w:cs="Barlow Semi Condensed" w:eastAsia="Barlow Semi Condensed" w:hAnsi="Barlow Semi Condensed"/>
          <w:sz w:val="24"/>
          <w:szCs w:val="24"/>
        </w:rPr>
        <w:t xml:space="preserve"> Il colloquio dello Studio Ovale fra Leone, Moro, Ford, Kissinger e Scowcroft — FRUS 1969-1976 E-15 parte 2, documento 350, seconda edizione riveduta, e file 1552802 della Ford Library — è il solo ponte di piano uno fra quel nome e Moro ministro, e non appartiene né a questo lotto né a questo verbale. Provenienze diverse, catene diverse: la cucitura si dichiara, non si sottintende.</w:t>
      </w:r>
    </w:p>
    <w:p>
      <w:pPr>
        <w:spacing w:after="120" w:line="276"/>
        <w:jc w:val="both"/>
      </w:pPr>
      <w:r>
        <w:rPr>
          <w:rFonts w:ascii="Barlow Semi Condensed" w:cs="Barlow Semi Condensed" w:eastAsia="Barlow Semi Condensed" w:hAnsi="Barlow Semi Condensed"/>
          <w:b/>
          <w:bCs/>
          <w:sz w:val="24"/>
          <w:szCs w:val="24"/>
        </w:rPr>
        <w:t xml:space="preserve">2983 · Che cosa quel verbale non contiene (serie XXXIX).</w:t>
      </w:r>
      <w:r>
        <w:rPr>
          <w:rFonts w:ascii="Barlow Semi Condensed" w:cs="Barlow Semi Condensed" w:eastAsia="Barlow Semi Condensed" w:hAnsi="Barlow Semi Condensed"/>
          <w:sz w:val="24"/>
          <w:szCs w:val="24"/>
        </w:rPr>
        <w:t xml:space="preserve"> L'accertamento fissato dall'opera resta il confine: il memorandum del 25 settembre 1974 non contiene alcun ultimatum personale ad Aldo Moro, e attesta la posizione sul non poter scambiare informazioni militari con un governo che includesse i comunisti. Nessun documento del territorio qui assegnato lo integra, lo contraddice o lo commenta. Su quel punto il territorio non ha voce, e va detto.</w:t>
      </w:r>
    </w:p>
    <w:p>
      <w:pPr>
        <w:spacing w:after="120" w:line="276"/>
        <w:jc w:val="both"/>
      </w:pPr>
      <w:r>
        <w:rPr>
          <w:rFonts w:ascii="Barlow Semi Condensed" w:cs="Barlow Semi Condensed" w:eastAsia="Barlow Semi Condensed" w:hAnsi="Barlow Semi Condensed"/>
          <w:b/>
          <w:bCs/>
          <w:sz w:val="24"/>
          <w:szCs w:val="24"/>
        </w:rPr>
        <w:t xml:space="preserve">2984 · Helsinki, l'unica triangolazione certa.</w:t>
      </w:r>
      <w:r>
        <w:rPr>
          <w:rFonts w:ascii="Barlow Semi Condensed" w:cs="Barlow Semi Condensed" w:eastAsia="Barlow Semi Condensed" w:hAnsi="Barlow Semi Condensed"/>
          <w:sz w:val="24"/>
          <w:szCs w:val="24"/>
        </w:rPr>
        <w:t xml:space="preserve"> Alla sezione sesta si fissa che la firma dell'Atto finale del 1° agosto 1975 è l'unica triangolazione certa fra i vertici studiati, e che cade fuori dai mandati agli Esteri. Il volume della cartella cita per la stessa cerimonia un telegramma del segretario di Stato del 2 agosto 1975, FRUS volume XXXIX documento 334. Due schede toccano lo stesso giorno senza incrociarsi: la cucitura è un bersaglio editoriale.</w:t>
      </w:r>
    </w:p>
    <w:p>
      <w:pPr>
        <w:spacing w:after="120" w:line="276"/>
        <w:jc w:val="both"/>
      </w:pPr>
      <w:r>
        <w:rPr>
          <w:rFonts w:ascii="Barlow Semi Condensed" w:cs="Barlow Semi Condensed" w:eastAsia="Barlow Semi Condensed" w:hAnsi="Barlow Semi Condensed"/>
          <w:b/>
          <w:bCs/>
          <w:sz w:val="24"/>
          <w:szCs w:val="24"/>
        </w:rPr>
        <w:t xml:space="preserve">2985 · L'insofferenza attribuita, piano tre.</w:t>
      </w:r>
      <w:r>
        <w:rPr>
          <w:rFonts w:ascii="Barlow Semi Condensed" w:cs="Barlow Semi Condensed" w:eastAsia="Barlow Semi Condensed" w:hAnsi="Barlow Semi Condensed"/>
          <w:sz w:val="24"/>
          <w:szCs w:val="24"/>
        </w:rPr>
        <w:t xml:space="preserve"> Circola nella pubblicistica italiana, e il volume della cartella la riporta con la sua fonte, la formula secondo cui a Helsinki Moro avrebbe ottenuto il coinvolgimento formale della Comunità europea «sfidando l'insofferenza» del segretario di Stato. È affermazione terziaria: nessun documento primario la sostiene e il verbale della seconda campagna non la registra. Piano tre. La chiuderebbe un memorandum di conversazione coevo.</w:t>
      </w:r>
    </w:p>
    <w:p>
      <w:pPr>
        <w:spacing w:after="120" w:line="276"/>
        <w:jc w:val="both"/>
      </w:pPr>
      <w:r>
        <w:rPr>
          <w:rFonts w:ascii="Barlow Semi Condensed" w:cs="Barlow Semi Condensed" w:eastAsia="Barlow Semi Condensed" w:hAnsi="Barlow Semi Condensed"/>
          <w:b/>
          <w:bCs/>
          <w:sz w:val="24"/>
          <w:szCs w:val="24"/>
        </w:rPr>
        <w:t xml:space="preserve">2986 · Portogallo, due schede che non si parlano.</w:t>
      </w:r>
      <w:r>
        <w:rPr>
          <w:rFonts w:ascii="Barlow Semi Condensed" w:cs="Barlow Semi Condensed" w:eastAsia="Barlow Semi Condensed" w:hAnsi="Barlow Semi Condensed"/>
          <w:sz w:val="24"/>
          <w:szCs w:val="24"/>
        </w:rPr>
        <w:t xml:space="preserve"> La ricognizione portoghese della seconda campagna copre il 1969-1974 senza citare fonti americane. Il volume della cartella cita invece, per la stessa materia, un documento FRUS in cui il segretario di Stato temeva per Lisbona non una presa comunista ma un regime neutralista di sinistra che restasse nella NATO. Bersaglio: collazionare le due schede, dichiarando che la prima non ha vagliato la seconda.</w:t>
      </w:r>
    </w:p>
    <w:p>
      <w:pPr>
        <w:spacing w:after="120" w:line="276"/>
        <w:jc w:val="both"/>
      </w:pPr>
      <w:r>
        <w:rPr>
          <w:rFonts w:ascii="Barlow Semi Condensed" w:cs="Barlow Semi Condensed" w:eastAsia="Barlow Semi Condensed" w:hAnsi="Barlow Semi Condensed"/>
          <w:b/>
          <w:bCs/>
          <w:sz w:val="24"/>
          <w:szCs w:val="24"/>
        </w:rPr>
        <w:t xml:space="preserve">2987 · L'espulsione del 1974 e il suo zero.</w:t>
      </w:r>
      <w:r>
        <w:rPr>
          <w:rFonts w:ascii="Barlow Semi Condensed" w:cs="Barlow Semi Condensed" w:eastAsia="Barlow Semi Condensed" w:hAnsi="Barlow Semi Condensed"/>
          <w:sz w:val="24"/>
          <w:szCs w:val="24"/>
        </w:rPr>
        <w:t xml:space="preserve"> Sull'espulsione del vescovo di Nampula e dei comboniani il verbale dichiara Stato Zero sugli atti italiani, con forbice di data portata dalla verifica a 10-14 aprile 1974 e divergenza sul numero fra undici e tredici, riconciliata in undici da Nampula più due da Tete. Nessuna fonte americana è interrogata. Sede aggiuntiva possibile: i telegrammi del 1974 da Lisbona e da Lourenço Marques.</w:t>
      </w:r>
    </w:p>
    <w:p>
      <w:pPr>
        <w:spacing w:after="120" w:line="276"/>
        <w:jc w:val="both"/>
      </w:pPr>
      <w:r>
        <w:rPr>
          <w:rFonts w:ascii="Barlow Semi Condensed" w:cs="Barlow Semi Condensed" w:eastAsia="Barlow Semi Condensed" w:hAnsi="Barlow Semi Condensed"/>
          <w:b/>
          <w:bCs/>
          <w:sz w:val="24"/>
          <w:szCs w:val="24"/>
        </w:rPr>
        <w:t xml:space="preserve">2988 · Il canale Pignedoli e il blocco 193.</w:t>
      </w:r>
      <w:r>
        <w:rPr>
          <w:rFonts w:ascii="Barlow Semi Condensed" w:cs="Barlow Semi Condensed" w:eastAsia="Barlow Semi Condensed" w:hAnsi="Barlow Semi Condensed"/>
          <w:sz w:val="24"/>
          <w:szCs w:val="24"/>
        </w:rPr>
        <w:t xml:space="preserve"> Fra le acquisizioni sta il canale del cardinale Sergio Pignedoli nel sequestro Sossi dell'aprile-maggio 1974, consegnato al blocco 193 dei cantieri, che chiede i precedenti documentati di disponibilità ecclesiastiche in sequestri italiani. La fonte disponibile è enciclopedica e va portata su primario. Nessun attore statunitense vi compare e nessuno va cercato: il canale è qualificato come rapporto fra Stato e Vaticano.</w:t>
      </w:r>
    </w:p>
    <w:p>
      <w:pPr>
        <w:spacing w:after="120" w:line="276"/>
        <w:jc w:val="both"/>
      </w:pPr>
      <w:r>
        <w:rPr>
          <w:rFonts w:ascii="Barlow Semi Condensed" w:cs="Barlow Semi Condensed" w:eastAsia="Barlow Semi Condensed" w:hAnsi="Barlow Semi Condensed"/>
          <w:b/>
          <w:bCs/>
          <w:sz w:val="24"/>
          <w:szCs w:val="24"/>
        </w:rPr>
        <w:t xml:space="preserve">2989 · Il vuoto su Fiumicino, esteso.</w:t>
      </w:r>
      <w:r>
        <w:rPr>
          <w:rFonts w:ascii="Barlow Semi Condensed" w:cs="Barlow Semi Condensed" w:eastAsia="Barlow Semi Condensed" w:hAnsi="Barlow Semi Condensed"/>
          <w:sz w:val="24"/>
          <w:szCs w:val="24"/>
        </w:rPr>
        <w:t xml:space="preserve"> Uno Stato Zero condiviso emerge dall'incrocio: zero occorrenze del nome del capocentro di Beirut e della strage di Fiumicino del 17 dicembre 1973, tanto nei tre documenti maggiori del corpus quanto nei tre nuovi. Quella data cade dentro il mandato di segretario di Stato. Il vuoto si estende dunque anche a questo nome, e si chiude sui telegrammi elettronici del 1973 nel Record Group 59.</w:t>
      </w:r>
    </w:p>
    <w:p>
      <w:pPr>
        <w:spacing w:after="120" w:line="276"/>
        <w:jc w:val="both"/>
      </w:pPr>
      <w:r>
        <w:rPr>
          <w:rFonts w:ascii="Barlow Semi Condensed" w:cs="Barlow Semi Condensed" w:eastAsia="Barlow Semi Condensed" w:hAnsi="Barlow Semi Condensed"/>
          <w:b/>
          <w:bCs/>
          <w:sz w:val="24"/>
          <w:szCs w:val="24"/>
        </w:rPr>
        <w:t xml:space="preserve">2990 · Il lodo Moro senza colonna araba.</w:t>
      </w:r>
      <w:r>
        <w:rPr>
          <w:rFonts w:ascii="Barlow Semi Condensed" w:cs="Barlow Semi Condensed" w:eastAsia="Barlow Semi Condensed" w:hAnsi="Barlow Semi Condensed"/>
          <w:sz w:val="24"/>
          <w:szCs w:val="24"/>
        </w:rPr>
        <w:t xml:space="preserve"> Nel verbale la stringa «lodo Moro» risulta assente dai tre documenti maggiori del corpus, e i nove cantieri hanno colonne britannica, francese e tedesca, con Berna e Vienna in appendice, e nessuna colonna mediterranea o araba. Ne segue che nessuna posizione americana su quel dossier è mai stata cercata. Prima si apre la colonna, poi si misura il silenzio: l'ordine non è invertibile.</w:t>
      </w:r>
    </w:p>
    <w:p>
      <w:pPr>
        <w:spacing w:after="120" w:line="276"/>
        <w:jc w:val="both"/>
      </w:pPr>
      <w:r>
        <w:rPr>
          <w:rFonts w:ascii="Barlow Semi Condensed" w:cs="Barlow Semi Condensed" w:eastAsia="Barlow Semi Condensed" w:hAnsi="Barlow Semi Condensed"/>
          <w:b/>
          <w:bCs/>
          <w:sz w:val="24"/>
          <w:szCs w:val="24"/>
        </w:rPr>
        <w:t xml:space="preserve">2991 · Kippur 1973, statuto della fonte.</w:t>
      </w:r>
      <w:r>
        <w:rPr>
          <w:rFonts w:ascii="Barlow Semi Condensed" w:cs="Barlow Semi Condensed" w:eastAsia="Barlow Semi Condensed" w:hAnsi="Barlow Semi Condensed"/>
          <w:sz w:val="24"/>
          <w:szCs w:val="24"/>
        </w:rPr>
        <w:t xml:space="preserve"> Entra fra i bersagli nuovi la guerra dell'ottobre 1973 col rifiuto delle basi NATO, e vi entra con statuto dichiarato di testimonianza resa in sede parlamentare, non di accertamento. La data cade nelle prime settimane del mandato di segretario di Stato. È simultaneità entro la stessa cornice atlantica: seconda o terza voce della griglia, mai la prima, finché un documento di provenienza non nomini la controparte.</w:t>
      </w:r>
    </w:p>
    <w:p>
      <w:pPr>
        <w:spacing w:after="120" w:line="276"/>
        <w:jc w:val="both"/>
      </w:pPr>
      <w:r>
        <w:rPr>
          <w:rFonts w:ascii="Barlow Semi Condensed" w:cs="Barlow Semi Condensed" w:eastAsia="Barlow Semi Condensed" w:hAnsi="Barlow Semi Condensed"/>
          <w:b/>
          <w:bCs/>
          <w:sz w:val="24"/>
          <w:szCs w:val="24"/>
        </w:rPr>
        <w:t xml:space="preserve">2992 · Il costo reale del bersaglio italiano.</w:t>
      </w:r>
      <w:r>
        <w:rPr>
          <w:rFonts w:ascii="Barlow Semi Condensed" w:cs="Barlow Semi Condensed" w:eastAsia="Barlow Semi Condensed" w:hAnsi="Barlow Semi Condensed"/>
          <w:sz w:val="24"/>
          <w:szCs w:val="24"/>
        </w:rPr>
        <w:t xml:space="preserve"> Una delle tre correzioni imposte alla quadriga riguarda l'Archivio storico-diplomatico: non è sede aperta, i fondi ministeriali degli anni in esame non risultavano consultabili, la disponibilità dei faldoni dal 1949 va verificata caso per caso, e resta l'esclusione temporanea dei Telegrammi 1942-1970. Ogni bersaglio che chieda una carta italiana su un contatto americano va ripianificato con quel costo, non con quello stimato ai blocchi 55 e 78.</w:t>
      </w:r>
    </w:p>
    <w:p>
      <w:pPr>
        <w:spacing w:after="120" w:line="276"/>
        <w:jc w:val="both"/>
      </w:pPr>
      <w:r>
        <w:rPr>
          <w:rFonts w:ascii="Barlow Semi Condensed" w:cs="Barlow Semi Condensed" w:eastAsia="Barlow Semi Condensed" w:hAnsi="Barlow Semi Condensed"/>
          <w:b/>
          <w:bCs/>
          <w:sz w:val="24"/>
          <w:szCs w:val="24"/>
        </w:rPr>
        <w:t xml:space="preserve">2993 · IT-AFS-048 come prima porta.</w:t>
      </w:r>
      <w:r>
        <w:rPr>
          <w:rFonts w:ascii="Barlow Semi Condensed" w:cs="Barlow Semi Condensed" w:eastAsia="Barlow Semi Condensed" w:hAnsi="Barlow Semi Condensed"/>
          <w:sz w:val="24"/>
          <w:szCs w:val="24"/>
        </w:rPr>
        <w:t xml:space="preserve"> Il quarto deposito delle carte di Moro, con segnatura IT-AFS-048 all'Archivio storico del Senato, contiene unità digitalizzate che riguardano proprio il ministro degli Esteri, e va interrogato prima dei tre nuclei registrati ai blocchi 221-223 e 235 dei cantieri. È la sede più prossima alla materia e la meno costosa. Se anche là il cognome dà zero, lo zero acquista peso: sarà misurato dove doveva stare.</w:t>
      </w:r>
    </w:p>
    <w:p>
      <w:pPr>
        <w:spacing w:after="120" w:line="276"/>
        <w:jc w:val="both"/>
      </w:pPr>
      <w:r>
        <w:rPr>
          <w:rFonts w:ascii="Barlow Semi Condensed" w:cs="Barlow Semi Condensed" w:eastAsia="Barlow Semi Condensed" w:hAnsi="Barlow Semi Condensed"/>
          <w:b/>
          <w:bCs/>
          <w:sz w:val="24"/>
          <w:szCs w:val="24"/>
        </w:rPr>
        <w:t xml:space="preserve">2994 · La griglia a quattro voci.</w:t>
      </w:r>
      <w:r>
        <w:rPr>
          <w:rFonts w:ascii="Barlow Semi Condensed" w:cs="Barlow Semi Condensed" w:eastAsia="Barlow Semi Condensed" w:hAnsi="Barlow Semi Condensed"/>
          <w:sz w:val="24"/>
          <w:szCs w:val="24"/>
        </w:rPr>
        <w:t xml:space="preserve"> Convergenza di obiettivo documentata, simultaneità di reazione, comunanza di ambiente istituzionale, mera contemporaneità cronologica: la griglia del verbale si mappa sui tre piani senza residui. Solo la prima voce può ambire al piano uno, e solo con un documento a sostegno; le altre tre restano ai piani due e tre. Nessuna materia di questo territorio raggiunge la prima voce rispetto al nome triangolato.</w:t>
      </w:r>
    </w:p>
    <w:p>
      <w:pPr>
        <w:spacing w:after="120" w:line="276"/>
        <w:jc w:val="both"/>
      </w:pPr>
      <w:r>
        <w:rPr>
          <w:rFonts w:ascii="Barlow Semi Condensed" w:cs="Barlow Semi Condensed" w:eastAsia="Barlow Semi Condensed" w:hAnsi="Barlow Semi Condensed"/>
          <w:b/>
          <w:bCs/>
          <w:sz w:val="24"/>
          <w:szCs w:val="24"/>
        </w:rPr>
        <w:t xml:space="preserve">2995 · Contro l'omologia dal risultato.</w:t>
      </w:r>
      <w:r>
        <w:rPr>
          <w:rFonts w:ascii="Barlow Semi Condensed" w:cs="Barlow Semi Condensed" w:eastAsia="Barlow Semi Condensed" w:hAnsi="Barlow Semi Condensed"/>
          <w:sz w:val="24"/>
          <w:szCs w:val="24"/>
        </w:rPr>
        <w:t xml:space="preserve"> Che il lotto americano e il verbale ecclesiale convergano nel non nominare quel nome non fa dei due silenzi un silenzio solo. Sono esiti simili da cause distinte: il primo dalla natura del fascicolo, il secondo dal perimetro delle ricognizioni. La somiglianza dell'esito non prova l'antenato comune, e il test resta uno solo: un documento di provenienza che nomini la controparte.</w:t>
      </w:r>
    </w:p>
    <w:p>
      <w:pPr>
        <w:spacing w:after="120" w:line="276"/>
        <w:jc w:val="both"/>
      </w:pPr>
      <w:r>
        <w:rPr>
          <w:rFonts w:ascii="Barlow Semi Condensed" w:cs="Barlow Semi Condensed" w:eastAsia="Barlow Semi Condensed" w:hAnsi="Barlow Semi Condensed"/>
          <w:b/>
          <w:bCs/>
          <w:sz w:val="24"/>
          <w:szCs w:val="24"/>
        </w:rPr>
        <w:t xml:space="preserve">2996 · Il limite parlamentare e i suoi anni.</w:t>
      </w:r>
      <w:r>
        <w:rPr>
          <w:rFonts w:ascii="Barlow Semi Condensed" w:cs="Barlow Semi Condensed" w:eastAsia="Barlow Semi Condensed" w:hAnsi="Barlow Semi Condensed"/>
          <w:sz w:val="24"/>
          <w:szCs w:val="24"/>
        </w:rPr>
        <w:t xml:space="preserve"> La banca dati del sindacato ispettivo copre solo dalla settima legislatura, dal 5 luglio 1976. L'intero arco 1969-1975 esiste come resoconti stenografici non ricercabili a testo pieno. Ne segue che nessuna ricerca automatica può oggi né confermare né escludere che il Parlamento italiano abbia interrogato il Governo su posizioni statunitensi in quegli anni. Chiude soltanto lo spoglio manuale dei volumi a stampa.</w:t>
      </w:r>
    </w:p>
    <w:p>
      <w:pPr>
        <w:spacing w:after="120" w:line="276"/>
        <w:jc w:val="both"/>
      </w:pPr>
      <w:r>
        <w:rPr>
          <w:rFonts w:ascii="Barlow Semi Condensed" w:cs="Barlow Semi Condensed" w:eastAsia="Barlow Semi Condensed" w:hAnsi="Barlow Semi Condensed"/>
          <w:b/>
          <w:bCs/>
          <w:sz w:val="24"/>
          <w:szCs w:val="24"/>
        </w:rPr>
        <w:t xml:space="preserve">2997 · La centralità non misura la colpa.</w:t>
      </w:r>
      <w:r>
        <w:rPr>
          <w:rFonts w:ascii="Barlow Semi Condensed" w:cs="Barlow Semi Condensed" w:eastAsia="Barlow Semi Condensed" w:hAnsi="Barlow Semi Condensed"/>
          <w:sz w:val="24"/>
          <w:szCs w:val="24"/>
        </w:rPr>
        <w:t xml:space="preserve"> Dall'opera privata il verbale trasferisce una regola d'interpretazione e una divergenza: si gradua ciò che è documento, non chi è persona, e la centralità di un nodo misura la densità della documentazione, non la responsabilità. Applicata qui, impedisce l'errore più probabile, cioè dedurre dalla notorietà del nome triangolato una posizione centrale nella rete del caso. La notorietà è un fatto editoriale.</w:t>
      </w:r>
    </w:p>
    <w:p>
      <w:pPr>
        <w:spacing w:after="120" w:line="276"/>
        <w:jc w:val="both"/>
      </w:pPr>
      <w:r>
        <w:rPr>
          <w:rFonts w:ascii="Barlow Semi Condensed" w:cs="Barlow Semi Condensed" w:eastAsia="Barlow Semi Condensed" w:hAnsi="Barlow Semi Condensed"/>
          <w:b/>
          <w:bCs/>
          <w:sz w:val="24"/>
          <w:szCs w:val="24"/>
        </w:rPr>
        <w:t xml:space="preserve">2998 · L'anello debole e le sinapsi.</w:t>
      </w:r>
      <w:r>
        <w:rPr>
          <w:rFonts w:ascii="Barlow Semi Condensed" w:cs="Barlow Semi Condensed" w:eastAsia="Barlow Semi Condensed" w:hAnsi="Barlow Semi Condensed"/>
          <w:sz w:val="24"/>
          <w:szCs w:val="24"/>
        </w:rPr>
        <w:t xml:space="preserve"> Il grado di un cammino è il grado minimo fra i suoi archi, e nessun cammino è valutabile finché le sinapsi non sono gradate: così il verbale, che conta trentanove nodi e cinquantanove archi nel ramo pubblico. Ogni catena che da questo territorio volesse raggiungere il nome triangolato passa per archi di contemporaneità e di ambiente. Esiste sulla carta, non esiste come prova.</w:t>
      </w:r>
    </w:p>
    <w:p>
      <w:pPr>
        <w:spacing w:after="120" w:line="276"/>
        <w:jc w:val="both"/>
      </w:pPr>
      <w:r>
        <w:rPr>
          <w:rFonts w:ascii="Barlow Semi Condensed" w:cs="Barlow Semi Condensed" w:eastAsia="Barlow Semi Condensed" w:hAnsi="Barlow Semi Condensed"/>
          <w:b/>
          <w:bCs/>
          <w:sz w:val="24"/>
          <w:szCs w:val="24"/>
        </w:rPr>
        <w:t xml:space="preserve">2999 · Il registro dei tre zeri.</w:t>
      </w:r>
      <w:r>
        <w:rPr>
          <w:rFonts w:ascii="Barlow Semi Condensed" w:cs="Barlow Semi Condensed" w:eastAsia="Barlow Semi Condensed" w:hAnsi="Barlow Semi Condensed"/>
          <w:sz w:val="24"/>
          <w:szCs w:val="24"/>
        </w:rPr>
        <w:t xml:space="preserve"> Alla chiusura la serie consegna tre esiti negativi distinti, ciascuno con la propria sede: il lotto desecretato, che tace per genere di fascicolo e si chiude sulla pratica R-2021-00202 integrale; il verbale della seconda campagna, che tace per perimetro e si chiude sui giacimenti iberici e vaticani; il telegramma Rome 8511, che manca e si chiude ai National Archives.</w:t>
      </w:r>
    </w:p>
    <w:p>
      <w:pPr>
        <w:spacing w:after="120" w:line="276"/>
        <w:jc w:val="both"/>
      </w:pPr>
      <w:r>
        <w:rPr>
          <w:rFonts w:ascii="Barlow Semi Condensed" w:cs="Barlow Semi Condensed" w:eastAsia="Barlow Semi Condensed" w:hAnsi="Barlow Semi Condensed"/>
          <w:b/>
          <w:bCs/>
          <w:sz w:val="24"/>
          <w:szCs w:val="24"/>
        </w:rPr>
        <w:t xml:space="preserve">3000 · Che cosa la serie non ha stabilito.</w:t>
      </w:r>
      <w:r>
        <w:rPr>
          <w:rFonts w:ascii="Barlow Semi Condensed" w:cs="Barlow Semi Condensed" w:eastAsia="Barlow Semi Condensed" w:hAnsi="Barlow Semi Condensed"/>
          <w:sz w:val="24"/>
          <w:szCs w:val="24"/>
        </w:rPr>
        <w:t xml:space="preserve"> Non è stabilito alcun rapporto documentato fra il nome triangolato e i documenti di questo territorio; non è stabilito che il foro 1969-1977 del lotto sia stato prodotto da una selezione; non è stabilita alcuna posizione americana sulle materie del verbale. E non è stabilito nulla che ecceda il giudicato: quell'uomo non fu mai imputato né processato in alcun Paese.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quarantesima — Il programma investigativo e le graduatorie</w:t>
      </w:r>
    </w:p>
    <w:p>
      <w:pPr>
        <w:spacing w:after="120" w:line="276"/>
        <w:jc w:val="both"/>
      </w:pPr>
      <w:r>
        <w:rPr>
          <w:rFonts w:ascii="Barlow Semi Condensed" w:cs="Barlow Semi Condensed" w:eastAsia="Barlow Semi Condensed" w:hAnsi="Barlow Semi Condensed"/>
          <w:i/>
          <w:iCs/>
          <w:sz w:val="24"/>
          <w:szCs w:val="24"/>
        </w:rPr>
        <w:t xml:space="preserve">Blocchi 3001-3080.</w:t>
      </w:r>
    </w:p>
    <w:p>
      <w:pPr>
        <w:spacing w:after="120" w:line="276"/>
        <w:jc w:val="both"/>
      </w:pPr>
      <w:r>
        <w:rPr>
          <w:rFonts w:ascii="Barlow Semi Condensed" w:cs="Barlow Semi Condensed" w:eastAsia="Barlow Semi Condensed" w:hAnsi="Barlow Semi Condensed"/>
          <w:b/>
          <w:bCs/>
          <w:sz w:val="24"/>
          <w:szCs w:val="24"/>
        </w:rPr>
        <w:t xml:space="preserve">3001 · Il conteggio zero del territorio.</w:t>
      </w:r>
      <w:r>
        <w:rPr>
          <w:rFonts w:ascii="Barlow Semi Condensed" w:cs="Barlow Semi Condensed" w:eastAsia="Barlow Semi Condensed" w:hAnsi="Barlow Semi Condensed"/>
          <w:sz w:val="24"/>
          <w:szCs w:val="24"/>
        </w:rPr>
        <w:t xml:space="preserve"> Interrogato con la stringa «Kissinger», il file programma-investigativo-caso-moro.md restituisce zero occorrenze: nessun capitolo, nessuna pista dalla P-1 alla PE-6, nessuna riga delle tre tabelle lo nomina. È un accertamento negativo di grado alto, e apre la serie: il documento più operativo del corpus non gli assegna alcun bersaglio. Lo Stato Zero, qui, non è una lacuna da colmare: è il risultato della lettura.</w:t>
      </w:r>
    </w:p>
    <w:p>
      <w:pPr>
        <w:spacing w:after="120" w:line="276"/>
        <w:jc w:val="both"/>
      </w:pPr>
      <w:r>
        <w:rPr>
          <w:rFonts w:ascii="Barlow Semi Condensed" w:cs="Barlow Semi Condensed" w:eastAsia="Barlow Semi Condensed" w:hAnsi="Barlow Semi Condensed"/>
          <w:b/>
          <w:bCs/>
          <w:sz w:val="24"/>
          <w:szCs w:val="24"/>
        </w:rPr>
        <w:t xml:space="preserve">3002 · Le cariche e i 55 giorni.</w:t>
      </w:r>
      <w:r>
        <w:rPr>
          <w:rFonts w:ascii="Barlow Semi Condensed" w:cs="Barlow Semi Condensed" w:eastAsia="Barlow Semi Condensed" w:hAnsi="Barlow Semi Condensed"/>
          <w:sz w:val="24"/>
          <w:szCs w:val="24"/>
        </w:rPr>
        <w:t xml:space="preserve"> Gli incarichi sono fissati dall'opera: Assistente per la sicurezza nazionale dal 20 gennaio 1969 al 3 novembre 1975, Segretario di Stato dal 22 settembre 1973 al 20 gennaio 1977. Il territorio lavora invece sul 16 marzo – 9 maggio 1978 e sui suoi versamenti. I cinquantacinque giorni cadono per intero fuori da entrambe le cariche. Non è un'attenuante né un addebito: è la coordinata che decide la pertinenza di ogni pista.</w:t>
      </w:r>
    </w:p>
    <w:p>
      <w:pPr>
        <w:spacing w:after="120" w:line="276"/>
        <w:jc w:val="both"/>
      </w:pPr>
      <w:r>
        <w:rPr>
          <w:rFonts w:ascii="Barlow Semi Condensed" w:cs="Barlow Semi Condensed" w:eastAsia="Barlow Semi Condensed" w:hAnsi="Barlow Semi Condensed"/>
          <w:b/>
          <w:bCs/>
          <w:sz w:val="24"/>
          <w:szCs w:val="24"/>
        </w:rPr>
        <w:t xml:space="preserve">3003 · L'unica riga che tocca l'alleato.</w:t>
      </w:r>
      <w:r>
        <w:rPr>
          <w:rFonts w:ascii="Barlow Semi Condensed" w:cs="Barlow Semi Condensed" w:eastAsia="Barlow Semi Condensed" w:hAnsi="Barlow Semi Condensed"/>
          <w:sz w:val="24"/>
          <w:szCs w:val="24"/>
        </w:rPr>
        <w:t xml:space="preserve"> In tutto il documento la sponda americana compare tre volte: il titolo di PE-5, «Gli alleati: il traffico di cablo marzo-maggio 1978»; la riga della tabella entità che le assegna 59,5; e la formula del presidio finale, «un alleato». Nessuna persona vi è nominata, nessun ufficio, nessuna carica. Il territorio tratta Washington come origine di serie documentali e mai come soggetto: la disciplina è già scritta nel territorio stesso.</w:t>
      </w:r>
    </w:p>
    <w:p>
      <w:pPr>
        <w:spacing w:after="120" w:line="276"/>
        <w:jc w:val="both"/>
      </w:pPr>
      <w:r>
        <w:rPr>
          <w:rFonts w:ascii="Barlow Semi Condensed" w:cs="Barlow Semi Condensed" w:eastAsia="Barlow Semi Condensed" w:hAnsi="Barlow Semi Condensed"/>
          <w:b/>
          <w:bCs/>
          <w:sz w:val="24"/>
          <w:szCs w:val="24"/>
        </w:rPr>
        <w:t xml:space="preserve">3004 · P-1 e i reperti che non parlano.</w:t>
      </w:r>
      <w:r>
        <w:rPr>
          <w:rFonts w:ascii="Barlow Semi Condensed" w:cs="Barlow Semi Condensed" w:eastAsia="Barlow Semi Condensed" w:hAnsi="Barlow Semi Condensed"/>
          <w:sz w:val="24"/>
          <w:szCs w:val="24"/>
        </w:rPr>
        <w:t xml:space="preserve"> La prima pista chiede la perizia balistica con tecniche attuali su tutti i reperti di via Fani e le comparazioni sistematiche col DNA estratto nel 2016 dai mozziconi. Un bossolo non restituisce mandanti, restituisce un'arma; un profilo genetico restituisce un individuo comparabile, non una catena politica. Chi si attendesse da PN-1 un esito internazionale ha frainteso l'atto: il rendimento massimo che le è attribuito riguarda l'ACH delle due moto, nient'altro.</w:t>
      </w:r>
    </w:p>
    <w:p>
      <w:pPr>
        <w:spacing w:after="120" w:line="276"/>
        <w:jc w:val="both"/>
      </w:pPr>
      <w:r>
        <w:rPr>
          <w:rFonts w:ascii="Barlow Semi Condensed" w:cs="Barlow Semi Condensed" w:eastAsia="Barlow Semi Condensed" w:hAnsi="Barlow Semi Condensed"/>
          <w:b/>
          <w:bCs/>
          <w:sz w:val="24"/>
          <w:szCs w:val="24"/>
        </w:rPr>
        <w:t xml:space="preserve">3005 · Il caricatore non ha nazionalità.</w:t>
      </w:r>
      <w:r>
        <w:rPr>
          <w:rFonts w:ascii="Barlow Semi Condensed" w:cs="Barlow Semi Condensed" w:eastAsia="Barlow Semi Condensed" w:hAnsi="Barlow Semi Condensed"/>
          <w:sz w:val="24"/>
          <w:szCs w:val="24"/>
        </w:rPr>
        <w:t xml:space="preserve"> PN-2 vale 71,0 per una ragione che il corpus dichiara: è un reperto e non un ricordo — non ritratta, non riceve telefonate minatorie, non confonde le date. Il suo quesito è binario, impronte e genetica contro la rosa autorizzata e contro Morucci. Nessuno dei due rami passa per una cancelleria estera. Segnalarlo serve a impedire la domanda sbagliata: il caricatore di via Stresa non è un bersaglio di questa serie.</w:t>
      </w:r>
    </w:p>
    <w:p>
      <w:pPr>
        <w:spacing w:after="120" w:line="276"/>
        <w:jc w:val="both"/>
      </w:pPr>
      <w:r>
        <w:rPr>
          <w:rFonts w:ascii="Barlow Semi Condensed" w:cs="Barlow Semi Condensed" w:eastAsia="Barlow Semi Condensed" w:hAnsi="Barlow Semi Condensed"/>
          <w:b/>
          <w:bCs/>
          <w:sz w:val="24"/>
          <w:szCs w:val="24"/>
        </w:rPr>
        <w:t xml:space="preserve">3006 · La rosa comparativa del DNA.</w:t>
      </w:r>
      <w:r>
        <w:rPr>
          <w:rFonts w:ascii="Barlow Semi Condensed" w:cs="Barlow Semi Condensed" w:eastAsia="Barlow Semi Condensed" w:hAnsi="Barlow Semi Condensed"/>
          <w:sz w:val="24"/>
          <w:szCs w:val="24"/>
        </w:rPr>
        <w:t xml:space="preserve"> P-3 riguarda i profili estratti nel 2016 dai mozziconi di via Gradoli e il loro allargamento ragionato; PN-3 ne isola il residuo non identificato dopo le esclusioni, a 67,5. La rosa è composta di persone censite negli atti italiani. Nessun protocollo di comparazione contempla profili stranieri e nessuna fonte del corpus ne indica. Il quesito genetico è chiuso a questo nome per costruzione, non per scelta di chi scrive.</w:t>
      </w:r>
    </w:p>
    <w:p>
      <w:pPr>
        <w:spacing w:after="120" w:line="276"/>
        <w:jc w:val="both"/>
      </w:pPr>
      <w:r>
        <w:rPr>
          <w:rFonts w:ascii="Barlow Semi Condensed" w:cs="Barlow Semi Condensed" w:eastAsia="Barlow Semi Condensed" w:hAnsi="Barlow Semi Condensed"/>
          <w:b/>
          <w:bCs/>
          <w:sz w:val="24"/>
          <w:szCs w:val="24"/>
        </w:rPr>
        <w:t xml:space="preserve">3007 · La fonte di «Gradoli» e l'assenza.</w:t>
      </w:r>
      <w:r>
        <w:rPr>
          <w:rFonts w:ascii="Barlow Semi Condensed" w:cs="Barlow Semi Condensed" w:eastAsia="Barlow Semi Condensed" w:hAnsi="Barlow Semi Condensed"/>
          <w:sz w:val="24"/>
          <w:szCs w:val="24"/>
        </w:rPr>
        <w:t xml:space="preserve"> PN-4 vale 74,5 e prende dieci su indipendenza perché il suo esito è per costruzione istituzionale e italiano: la nota, il protocollo d'ingresso, l'ordine di perquisire il paese in provincia di Viterbo, il carteggio Viminale-questure del 4-18 aprile 1978. La domanda giusta, dice la scheda, non è «chi parlò» ma dove sia la catena. In quella catena non compare alcun anello estero, e nessuna fonte ne postula uno.</w:t>
      </w:r>
    </w:p>
    <w:p>
      <w:pPr>
        <w:spacing w:after="120" w:line="276"/>
        <w:jc w:val="both"/>
      </w:pPr>
      <w:r>
        <w:rPr>
          <w:rFonts w:ascii="Barlow Semi Condensed" w:cs="Barlow Semi Condensed" w:eastAsia="Barlow Semi Condensed" w:hAnsi="Barlow Semi Condensed"/>
          <w:b/>
          <w:bCs/>
          <w:sz w:val="24"/>
          <w:szCs w:val="24"/>
        </w:rPr>
        <w:t xml:space="preserve">3008 · Duemila buste e una chiave mai usata.</w:t>
      </w:r>
      <w:r>
        <w:rPr>
          <w:rFonts w:ascii="Barlow Semi Condensed" w:cs="Barlow Semi Condensed" w:eastAsia="Barlow Semi Condensed" w:hAnsi="Barlow Semi Condensed"/>
          <w:sz w:val="24"/>
          <w:szCs w:val="24"/>
        </w:rPr>
        <w:t xml:space="preserve"> P-5 censisce circa duemila buste, 77 versamenti da 156 uffici produttori, raccolte all'Archivio Centrale dello Stato nella collezione «Stragi (Direttiva Renzi)» e mai spogliate sistematicamente con le chiavi del caso. Fra le chiavi elencate — via Fani, Gradoli, Duchessa, comitati di crisi, i 55 giorni giorno per giorno — non figura alcun nome straniero. Lo spoglio con questa chiave non è stato tentato: Stato Zero, e la sede che lo chiuderebbe è l'ACS.</w:t>
      </w:r>
    </w:p>
    <w:p>
      <w:pPr>
        <w:spacing w:after="120" w:line="276"/>
        <w:jc w:val="both"/>
      </w:pPr>
      <w:r>
        <w:rPr>
          <w:rFonts w:ascii="Barlow Semi Condensed" w:cs="Barlow Semi Condensed" w:eastAsia="Barlow Semi Condensed" w:hAnsi="Barlow Semi Condensed"/>
          <w:b/>
          <w:bCs/>
          <w:sz w:val="24"/>
          <w:szCs w:val="24"/>
        </w:rPr>
        <w:t xml:space="preserve">3009 · Il memoriale: un quesito onomastico.</w:t>
      </w:r>
      <w:r>
        <w:rPr>
          <w:rFonts w:ascii="Barlow Semi Condensed" w:cs="Barlow Semi Condensed" w:eastAsia="Barlow Semi Condensed" w:hAnsi="Barlow Semi Condensed"/>
          <w:sz w:val="24"/>
          <w:szCs w:val="24"/>
        </w:rPr>
        <w:t xml:space="preserve"> P-6 chiede che cosa manchi fra il dattiloscritto del 1978 e i fogli del 1990, con perizia filologico-comparativa fra i tre corpora. Se ne ricava un quesito lecito e finora non posto in questa forma: se il nome dell'ex Segretario di Stato compaia nelle carte della prigionia, e in quale dei tre strati. La verifica è materiale, si fa sui testi editi e sui fondi versati, e l'esito negativo varrebbe quanto quello positivo.</w:t>
      </w:r>
    </w:p>
    <w:p>
      <w:pPr>
        <w:spacing w:after="120" w:line="276"/>
        <w:jc w:val="both"/>
      </w:pPr>
      <w:r>
        <w:rPr>
          <w:rFonts w:ascii="Barlow Semi Condensed" w:cs="Barlow Semi Condensed" w:eastAsia="Barlow Semi Condensed" w:hAnsi="Barlow Semi Condensed"/>
          <w:b/>
          <w:bCs/>
          <w:sz w:val="24"/>
          <w:szCs w:val="24"/>
        </w:rPr>
        <w:t xml:space="preserve">3010 · PN-7 e la scadenza già scaduta.</w:t>
      </w:r>
      <w:r>
        <w:rPr>
          <w:rFonts w:ascii="Barlow Semi Condensed" w:cs="Barlow Semi Condensed" w:eastAsia="Barlow Semi Condensed" w:hAnsi="Barlow Semi Condensed"/>
          <w:sz w:val="24"/>
          <w:szCs w:val="24"/>
        </w:rPr>
        <w:t xml:space="preserve"> Ai testimoni viventi il modello assegna dieci su urgenza, unico caso della tavola, perché il tempo li chiude da solo. Applicata a questo nome, la scadenza è già trascorsa: l'uomo è morto a Kent, nel Connecticut, il 29 novembre 2023, e con lui ogni possibilità di ri-escussione. Resta la raccolta conservativa su chi sia ancora in vita fra i testimoni indiretti dell'episodio del 1974: è il solo segmento che il tempo non abbia chiuso.</w:t>
      </w:r>
    </w:p>
    <w:p>
      <w:pPr>
        <w:spacing w:after="120" w:line="276"/>
        <w:jc w:val="both"/>
      </w:pPr>
      <w:r>
        <w:rPr>
          <w:rFonts w:ascii="Barlow Semi Condensed" w:cs="Barlow Semi Condensed" w:eastAsia="Barlow Semi Condensed" w:hAnsi="Barlow Semi Condensed"/>
          <w:b/>
          <w:bCs/>
          <w:sz w:val="24"/>
          <w:szCs w:val="24"/>
        </w:rPr>
        <w:t xml:space="preserve">3011 · La deposizione mai chiesta.</w:t>
      </w:r>
      <w:r>
        <w:rPr>
          <w:rFonts w:ascii="Barlow Semi Condensed" w:cs="Barlow Semi Condensed" w:eastAsia="Barlow Semi Condensed" w:hAnsi="Barlow Semi Condensed"/>
          <w:sz w:val="24"/>
          <w:szCs w:val="24"/>
        </w:rPr>
        <w:t xml:space="preserve"> P-8 propone per Casimirri non l'estradizione ma la rogatoria conoscitiva: una deposizione all'estero, anche senza consegna. Il tipo di atto è trasferibile, il presupposto no — quello riguarda un condannato in via definitiva, questo un uomo mai imputato né processato in alcun Paese. Va però registrato il fatto processuale: non fu mai sentito dai magistrati italiani, e la richiesta informale del 1983 non ebbe seguito. Oggi l'atto è impossibile per morte.</w:t>
      </w:r>
    </w:p>
    <w:p>
      <w:pPr>
        <w:spacing w:after="120" w:line="276"/>
        <w:jc w:val="both"/>
      </w:pPr>
      <w:r>
        <w:rPr>
          <w:rFonts w:ascii="Barlow Semi Condensed" w:cs="Barlow Semi Condensed" w:eastAsia="Barlow Semi Condensed" w:hAnsi="Barlow Semi Condensed"/>
          <w:b/>
          <w:bCs/>
          <w:sz w:val="24"/>
          <w:szCs w:val="24"/>
        </w:rPr>
        <w:t xml:space="preserve">3012 · L'Archivio Apostolico e il canale americano.</w:t>
      </w:r>
      <w:r>
        <w:rPr>
          <w:rFonts w:ascii="Barlow Semi Condensed" w:cs="Barlow Semi Condensed" w:eastAsia="Barlow Semi Condensed" w:hAnsi="Barlow Semi Condensed"/>
          <w:sz w:val="24"/>
          <w:szCs w:val="24"/>
        </w:rPr>
        <w:t xml:space="preserve"> P-9 tiene pronte le istanze per l'Archivio Apostolico Vaticano sul pontificato di Paolo VI: la lettera alle Brigate rosse, i canali della Santa Sede nei 55 giorni, l'operato di monsignor Macchi. Vi si può aggiungere un quesito che il corpus non ha ancora scritto: se le carte vaticane registrino contatti con la diplomazia statunitense in quelle settimane, e con quali interlocutori nominati. Stato Zero a scadenza ignota, con la sede indicata.</w:t>
      </w:r>
    </w:p>
    <w:p>
      <w:pPr>
        <w:spacing w:after="120" w:line="276"/>
        <w:jc w:val="both"/>
      </w:pPr>
      <w:r>
        <w:rPr>
          <w:rFonts w:ascii="Barlow Semi Condensed" w:cs="Barlow Semi Condensed" w:eastAsia="Barlow Semi Condensed" w:hAnsi="Barlow Semi Condensed"/>
          <w:b/>
          <w:bCs/>
          <w:sz w:val="24"/>
          <w:szCs w:val="24"/>
        </w:rPr>
        <w:t xml:space="preserve">3013 · Il vaglio negativo non lo contiene.</w:t>
      </w:r>
      <w:r>
        <w:rPr>
          <w:rFonts w:ascii="Barlow Semi Condensed" w:cs="Barlow Semi Condensed" w:eastAsia="Barlow Semi Condensed" w:hAnsi="Barlow Semi Condensed"/>
          <w:sz w:val="24"/>
          <w:szCs w:val="24"/>
        </w:rPr>
        <w:t xml:space="preserve"> P-10 archivia motivatamente tre filoni: la seconda prigione, i nessi operativi fra il ceppo Hyperion e il caso, le piste fondate su dichiarazioni non riscontrate o su memorialistica di parte. Il nome di questa serie non è fra le archiviazioni, e la ragione va detta con esattezza: si archivia ciò che era stato in tavola. Un filone senza atto istruttorio proponibile non viene archiviato — semplicemente non è mai stato una pista.</w:t>
      </w:r>
    </w:p>
    <w:p>
      <w:pPr>
        <w:spacing w:after="120" w:line="276"/>
        <w:jc w:val="both"/>
      </w:pPr>
      <w:r>
        <w:rPr>
          <w:rFonts w:ascii="Barlow Semi Condensed" w:cs="Barlow Semi Condensed" w:eastAsia="Barlow Semi Condensed" w:hAnsi="Barlow Semi Condensed"/>
          <w:b/>
          <w:bCs/>
          <w:sz w:val="24"/>
          <w:szCs w:val="24"/>
        </w:rPr>
        <w:t xml:space="preserve">3014 · Una pista non è un sospetto.</w:t>
      </w:r>
      <w:r>
        <w:rPr>
          <w:rFonts w:ascii="Barlow Semi Condensed" w:cs="Barlow Semi Condensed" w:eastAsia="Barlow Semi Condensed" w:hAnsi="Barlow Semi Condensed"/>
          <w:sz w:val="24"/>
          <w:szCs w:val="24"/>
        </w:rPr>
        <w:t xml:space="preserve"> Regola di lettura, valida su tutto il territorio. Ogni voce del programma è definita da sei campi — oggetto, stato degli atti, atto istruttorio, sede, rendimento atteso, criterio di chiusura — e chi non sappia riempirne almeno quattro non ha una pista, ha un'impressione. Il test è meccanico e va applicato prima di ogni proposta: quale atto, presso quale autorità, con quale criterio di chiusura. Senza quei tre campi la voce non entra.</w:t>
      </w:r>
    </w:p>
    <w:p>
      <w:pPr>
        <w:spacing w:after="120" w:line="276"/>
        <w:jc w:val="both"/>
      </w:pPr>
      <w:r>
        <w:rPr>
          <w:rFonts w:ascii="Barlow Semi Condensed" w:cs="Barlow Semi Condensed" w:eastAsia="Barlow Semi Condensed" w:hAnsi="Barlow Semi Condensed"/>
          <w:b/>
          <w:bCs/>
          <w:sz w:val="24"/>
          <w:szCs w:val="24"/>
        </w:rPr>
        <w:t xml:space="preserve">3015 · La graduatoria ordina atti, non persone.</w:t>
      </w:r>
      <w:r>
        <w:rPr>
          <w:rFonts w:ascii="Barlow Semi Condensed" w:cs="Barlow Semi Condensed" w:eastAsia="Barlow Semi Condensed" w:hAnsi="Barlow Semi Condensed"/>
          <w:sz w:val="24"/>
          <w:szCs w:val="24"/>
        </w:rPr>
        <w:t xml:space="preserve"> Il blocco 934 dell'opera vieta l'ordinale del sospetto: una classifica di probabili responsabili trasforma il sospetto in numero d'ordine senza il processo che solo può assegnarlo. La graduatoria del capitolo III-bis non incorre nel divieto, perché ciò che ordina sono perizie, escussioni, fascicoli d'archivio e visure. Confondere le due cose è l'errore che questa serie deve rendere impossibile: qui si mettono in fila atti, e gli atti non hanno imputati.</w:t>
      </w:r>
    </w:p>
    <w:p>
      <w:pPr>
        <w:spacing w:after="120" w:line="276"/>
        <w:jc w:val="both"/>
      </w:pPr>
      <w:r>
        <w:rPr>
          <w:rFonts w:ascii="Barlow Semi Condensed" w:cs="Barlow Semi Condensed" w:eastAsia="Barlow Semi Condensed" w:hAnsi="Barlow Semi Condensed"/>
          <w:b/>
          <w:bCs/>
          <w:sz w:val="24"/>
          <w:szCs w:val="24"/>
        </w:rPr>
        <w:t xml:space="preserve">3016 · Il criterio R applicato al versante.</w:t>
      </w:r>
      <w:r>
        <w:rPr>
          <w:rFonts w:ascii="Barlow Semi Condensed" w:cs="Barlow Semi Condensed" w:eastAsia="Barlow Semi Condensed" w:hAnsi="Barlow Semi Condensed"/>
          <w:sz w:val="24"/>
          <w:szCs w:val="24"/>
        </w:rPr>
        <w:t xml:space="preserve"> Rendimento atteso: il modello lo pesa al trenta per cento e chiede quanto la risposta sposterebbe la linea del sapere. Un censimento del traffico Roma-Washington del marzo-maggio 1978 sposterebbe la storia della percezione alleata, materia seria e documentabile; non sposterebbe l'attribuzione, decisa in giudicato. Valutato onestamente, R sta intorno a sei: alto per la storia diplomatica, medio-basso per il caso, e i due piani non si sommano.</w:t>
      </w:r>
    </w:p>
    <w:p>
      <w:pPr>
        <w:spacing w:after="120" w:line="276"/>
        <w:jc w:val="both"/>
      </w:pPr>
      <w:r>
        <w:rPr>
          <w:rFonts w:ascii="Barlow Semi Condensed" w:cs="Barlow Semi Condensed" w:eastAsia="Barlow Semi Condensed" w:hAnsi="Barlow Semi Condensed"/>
          <w:b/>
          <w:bCs/>
          <w:sz w:val="24"/>
          <w:szCs w:val="24"/>
        </w:rPr>
        <w:t xml:space="preserve">3017 · Diagnosticità e le due matrici.</w:t>
      </w:r>
      <w:r>
        <w:rPr>
          <w:rFonts w:ascii="Barlow Semi Condensed" w:cs="Barlow Semi Condensed" w:eastAsia="Barlow Semi Condensed" w:hAnsi="Barlow Semi Condensed"/>
          <w:sz w:val="24"/>
          <w:szCs w:val="24"/>
        </w:rPr>
        <w:t xml:space="preserve"> La diagnosticità pesa venticinque e chiede se l'atto discrimini le ipotesi di una matrice ACH. Sul versante internazionale le matrici sono due sole: Q-Intl/1 sul flusso informativo dei 55 giorni e Q-Intl/2 sull'episodio del 1974. Nessuna delle due riguarda via Fani, via Gradoli o via Montalcini. D resta perciò basso rispetto alle piste di testa: un documento estero non decide alcuna delle domande su cui la graduatoria è costruita.</w:t>
      </w:r>
    </w:p>
    <w:p>
      <w:pPr>
        <w:spacing w:after="120" w:line="276"/>
        <w:jc w:val="both"/>
      </w:pPr>
      <w:r>
        <w:rPr>
          <w:rFonts w:ascii="Barlow Semi Condensed" w:cs="Barlow Semi Condensed" w:eastAsia="Barlow Semi Condensed" w:hAnsi="Barlow Semi Condensed"/>
          <w:b/>
          <w:bCs/>
          <w:sz w:val="24"/>
          <w:szCs w:val="24"/>
        </w:rPr>
        <w:t xml:space="preserve">3018 · Il criterio F: l'autorità esiste.</w:t>
      </w:r>
      <w:r>
        <w:rPr>
          <w:rFonts w:ascii="Barlow Semi Condensed" w:cs="Barlow Semi Condensed" w:eastAsia="Barlow Semi Condensed" w:hAnsi="Barlow Semi Condensed"/>
          <w:sz w:val="24"/>
          <w:szCs w:val="24"/>
        </w:rPr>
        <w:t xml:space="preserve"> Fattibilità attuale: venti per cento del punteggio, ed è qui la voce più favorevole. L'autorità esiste, le procedure sono pubbliche, i giacimenti sono nominati nella scheda PE-5 — i telegrammi elettronici del 1973-1979 nei Central Foreign Policy Files, le schede dei ritirati del 1978, la biblioteca FOIA del Dipartimento. Si può agire domattina, senza attendere aperture altrui. F intorno a otto, ed è il motivo per cui l'assenza di esiti pesa.</w:t>
      </w:r>
    </w:p>
    <w:p>
      <w:pPr>
        <w:spacing w:after="120" w:line="276"/>
        <w:jc w:val="both"/>
      </w:pPr>
      <w:r>
        <w:rPr>
          <w:rFonts w:ascii="Barlow Semi Condensed" w:cs="Barlow Semi Condensed" w:eastAsia="Barlow Semi Condensed" w:hAnsi="Barlow Semi Condensed"/>
          <w:b/>
          <w:bCs/>
          <w:sz w:val="24"/>
          <w:szCs w:val="24"/>
        </w:rPr>
        <w:t xml:space="preserve">3019 · Il criterio U: gli archivi non muoiono.</w:t>
      </w:r>
      <w:r>
        <w:rPr>
          <w:rFonts w:ascii="Barlow Semi Condensed" w:cs="Barlow Semi Condensed" w:eastAsia="Barlow Semi Condensed" w:hAnsi="Barlow Semi Condensed"/>
          <w:sz w:val="24"/>
          <w:szCs w:val="24"/>
        </w:rPr>
        <w:t xml:space="preserve"> L'urgenza pesa quindici e misura la deperibilità. Le serie archivistiche non deperiscono: i telegrammi del 1978 saranno interrogabili anche fra vent'anni. Deperiscono le persone, e su questo versante sono già deperite quasi tutte. PE-5 riceve due su urgenza nella tavola del corpus ed è coerente. Ne segue una conseguenza operativa netta: ogni risorsa sottratta a PN-7 per dedicarla a questo versante è una risorsa spesa contro il tempo.</w:t>
      </w:r>
    </w:p>
    <w:p>
      <w:pPr>
        <w:spacing w:after="120" w:line="276"/>
        <w:jc w:val="both"/>
      </w:pPr>
      <w:r>
        <w:rPr>
          <w:rFonts w:ascii="Barlow Semi Condensed" w:cs="Barlow Semi Condensed" w:eastAsia="Barlow Semi Condensed" w:hAnsi="Barlow Semi Condensed"/>
          <w:b/>
          <w:bCs/>
          <w:sz w:val="24"/>
          <w:szCs w:val="24"/>
        </w:rPr>
        <w:t xml:space="preserve">3020 · Il criterio I e l'indipendenza per costruzione.</w:t>
      </w:r>
      <w:r>
        <w:rPr>
          <w:rFonts w:ascii="Barlow Semi Condensed" w:cs="Barlow Semi Condensed" w:eastAsia="Barlow Semi Condensed" w:hAnsi="Barlow Semi Condensed"/>
          <w:sz w:val="24"/>
          <w:szCs w:val="24"/>
        </w:rPr>
        <w:t xml:space="preserve"> L'indipendenza dal comparto escluso pesa dieci e chiede quanto l'esito resti fuori da BR e Superclan. Un censimento di serie estere prende nove, come PE-5 nella tavola, perché nessun suo esito ricade nel giudicato brigatista. È il criterio su cui il versante atlantico ottiene il punteggio migliore, e va detto senza compiacimento: essere indipendenti dal comparto escluso non significa essere rilevanti per la domanda che la graduatoria vuole decidere.</w:t>
      </w:r>
    </w:p>
    <w:p>
      <w:pPr>
        <w:spacing w:after="120" w:line="276"/>
        <w:jc w:val="both"/>
      </w:pPr>
      <w:r>
        <w:rPr>
          <w:rFonts w:ascii="Barlow Semi Condensed" w:cs="Barlow Semi Condensed" w:eastAsia="Barlow Semi Condensed" w:hAnsi="Barlow Semi Condensed"/>
          <w:b/>
          <w:bCs/>
          <w:sz w:val="24"/>
          <w:szCs w:val="24"/>
        </w:rPr>
        <w:t xml:space="preserve">3021 · Il punteggio che ne risulterebbe.</w:t>
      </w:r>
      <w:r>
        <w:rPr>
          <w:rFonts w:ascii="Barlow Semi Condensed" w:cs="Barlow Semi Condensed" w:eastAsia="Barlow Semi Condensed" w:hAnsi="Barlow Semi Condensed"/>
          <w:sz w:val="24"/>
          <w:szCs w:val="24"/>
        </w:rPr>
        <w:t xml:space="preserve"> Componendo i cinque sotto-giudizi con i pesi dichiarati — R6, D3, F8, U2, I9 — la sotto-pista del censimento nominale entro PE-5 vale circa 54,5: sotto le prime quattro, appaiata alla mediazione vaticana, sopra il memoriale. Il modello è costruito per essere attaccato pezzo per pezzo, e chi contesti alzi un sotto-giudizio dicendo su quale evidenza. Chi lo alzi su D deve però esibire la matrice che l'atto discriminerebbe.</w:t>
      </w:r>
    </w:p>
    <w:p>
      <w:pPr>
        <w:spacing w:after="120" w:line="276"/>
        <w:jc w:val="both"/>
      </w:pPr>
      <w:r>
        <w:rPr>
          <w:rFonts w:ascii="Barlow Semi Condensed" w:cs="Barlow Semi Condensed" w:eastAsia="Barlow Semi Condensed" w:hAnsi="Barlow Semi Condensed"/>
          <w:b/>
          <w:bCs/>
          <w:sz w:val="24"/>
          <w:szCs w:val="24"/>
        </w:rPr>
        <w:t xml:space="preserve">3022 · La soglia 0,1 e le escluse.</w:t>
      </w:r>
      <w:r>
        <w:rPr>
          <w:rFonts w:ascii="Barlow Semi Condensed" w:cs="Barlow Semi Condensed" w:eastAsia="Barlow Semi Condensed" w:hAnsi="Barlow Semi Condensed"/>
          <w:sz w:val="24"/>
          <w:szCs w:val="24"/>
        </w:rPr>
        <w:t xml:space="preserve"> Le piste escluse per direttiva — rogatoria a Casimirri, comparazioni sulla rosa di ex brigatisti, riapertura del filone Superclan-Hyperion — stanno a 0,1, e la cifra non è uno sberleffo: è il criterio di riapertura, che chiede un documento primario nuovo. Il versante che questa serie percorre non sta a 0,1 e non sta in tavola: sta fuori, perché nessuno ne ha mai proposto un atto in formato operativo.</w:t>
      </w:r>
    </w:p>
    <w:p>
      <w:pPr>
        <w:spacing w:after="120" w:line="276"/>
        <w:jc w:val="both"/>
      </w:pPr>
      <w:r>
        <w:rPr>
          <w:rFonts w:ascii="Barlow Semi Condensed" w:cs="Barlow Semi Condensed" w:eastAsia="Barlow Semi Condensed" w:hAnsi="Barlow Semi Condensed"/>
          <w:b/>
          <w:bCs/>
          <w:sz w:val="24"/>
          <w:szCs w:val="24"/>
        </w:rPr>
        <w:t xml:space="preserve">3023 · Il lotto Farnesina interrogato.</w:t>
      </w:r>
      <w:r>
        <w:rPr>
          <w:rFonts w:ascii="Barlow Semi Condensed" w:cs="Barlow Semi Condensed" w:eastAsia="Barlow Semi Condensed" w:hAnsi="Barlow Semi Condensed"/>
          <w:sz w:val="24"/>
          <w:szCs w:val="24"/>
        </w:rPr>
        <w:t xml:space="preserve"> La scheda PE-5 muove da un reperto interno: il lotto desecretato del Dipartimento di Stato archiviato nella cartella Farnesina, il cui OCR grezzo sta in state-dept-djvu-ocr-grezzo.txt. Interrogato per questa serie, quel file restituisce zero occorrenze del nome. Il lotto contiene il programma della visita del 1965 e i cablo dell'aprile-maggio 1978 da Buenos Aires, Trieste e Palermo. Accertamento negativo verificabile in un comando: la sede è nel corpus stesso.</w:t>
      </w:r>
    </w:p>
    <w:p>
      <w:pPr>
        <w:spacing w:after="120" w:line="276"/>
        <w:jc w:val="both"/>
      </w:pPr>
      <w:r>
        <w:rPr>
          <w:rFonts w:ascii="Barlow Semi Condensed" w:cs="Barlow Semi Condensed" w:eastAsia="Barlow Semi Condensed" w:hAnsi="Barlow Semi Condensed"/>
          <w:b/>
          <w:bCs/>
          <w:sz w:val="24"/>
          <w:szCs w:val="24"/>
        </w:rPr>
        <w:t xml:space="preserve">3024 · Il caso R-2021-002xx per intero.</w:t>
      </w:r>
      <w:r>
        <w:rPr>
          <w:rFonts w:ascii="Barlow Semi Condensed" w:cs="Barlow Semi Condensed" w:eastAsia="Barlow Semi Condensed" w:hAnsi="Barlow Semi Condensed"/>
          <w:sz w:val="24"/>
          <w:szCs w:val="24"/>
        </w:rPr>
        <w:t xml:space="preserve"> I fogli del lotto recano il numero di caso R-2021-002xx — la lettura OCR oscilla fra 00202 e 00208, e la divergenza si dichiara — con i numeri di controllo B-00001939965…989 e i TAGS PINT, IT. Il blocco 130 dell'agenda chiede il fascicolo integrale. Il quesito di questa serie è più stretto: dei documenti lavorati sotto quel caso e non circolati, quanti nominino l'ex Segretario di Stato, e in quale contesto.</w:t>
      </w:r>
    </w:p>
    <w:p>
      <w:pPr>
        <w:spacing w:after="120" w:line="276"/>
        <w:jc w:val="both"/>
      </w:pPr>
      <w:r>
        <w:rPr>
          <w:rFonts w:ascii="Barlow Semi Condensed" w:cs="Barlow Semi Condensed" w:eastAsia="Barlow Semi Condensed" w:hAnsi="Barlow Semi Condensed"/>
          <w:b/>
          <w:bCs/>
          <w:sz w:val="24"/>
          <w:szCs w:val="24"/>
        </w:rPr>
        <w:t xml:space="preserve">3025 · Le withdrawal cards come censimento.</w:t>
      </w:r>
      <w:r>
        <w:rPr>
          <w:rFonts w:ascii="Barlow Semi Condensed" w:cs="Barlow Semi Condensed" w:eastAsia="Barlow Semi Condensed" w:hAnsi="Barlow Semi Condensed"/>
          <w:sz w:val="24"/>
          <w:szCs w:val="24"/>
        </w:rPr>
        <w:t xml:space="preserve"> Prima di chiedere ciò che manca occorre sapere che cosa è dichiaratamente trattenuto: sono i blocchi 922 dell'opera, 127 dell'agenda, 116 del manuale. Le schede dei telegrammi ritirati del 1978 attestano per ciascun cablo esistenza, data e provenienza senza rivelarne il contenuto. Applicata qui, la tavola del trattenuto è l'unico strumento capace di dire se il silenzio riscontrato sia assenza o riserbo. Va costruita prima di ogni istanza.</w:t>
      </w:r>
    </w:p>
    <w:p>
      <w:pPr>
        <w:spacing w:after="120" w:line="276"/>
        <w:jc w:val="both"/>
      </w:pPr>
      <w:r>
        <w:rPr>
          <w:rFonts w:ascii="Barlow Semi Condensed" w:cs="Barlow Semi Condensed" w:eastAsia="Barlow Semi Condensed" w:hAnsi="Barlow Semi Condensed"/>
          <w:b/>
          <w:bCs/>
          <w:sz w:val="24"/>
          <w:szCs w:val="24"/>
        </w:rPr>
        <w:t xml:space="preserve">3026 · Il trattenuto non è eloquente.</w:t>
      </w:r>
      <w:r>
        <w:rPr>
          <w:rFonts w:ascii="Barlow Semi Condensed" w:cs="Barlow Semi Condensed" w:eastAsia="Barlow Semi Condensed" w:hAnsi="Barlow Semi Condensed"/>
          <w:sz w:val="24"/>
          <w:szCs w:val="24"/>
        </w:rPr>
        <w:t xml:space="preserve"> Che centinaia di atti alleati siano trattenuti dice che sono trattenuti, non che contengano il caso: il blocco 916 fissa l'errore e la scheda PE-5 lo ripete. Il segreto ha molte cause e la più frequente è la protezione di metodi e fonti estranei all'oggetto. Chi trasformasse una scheda di ritiro in indizio di contenuto avrebbe promosso al primo piano un'assenza, l'operazione più povera che questo corpus vieti.</w:t>
      </w:r>
    </w:p>
    <w:p>
      <w:pPr>
        <w:spacing w:after="120" w:line="276"/>
        <w:jc w:val="both"/>
      </w:pPr>
      <w:r>
        <w:rPr>
          <w:rFonts w:ascii="Barlow Semi Condensed" w:cs="Barlow Semi Condensed" w:eastAsia="Barlow Semi Condensed" w:hAnsi="Barlow Semi Condensed"/>
          <w:b/>
          <w:bCs/>
          <w:sz w:val="24"/>
          <w:szCs w:val="24"/>
        </w:rPr>
        <w:t xml:space="preserve">3027 · I TAGS non sono un nome.</w:t>
      </w:r>
      <w:r>
        <w:rPr>
          <w:rFonts w:ascii="Barlow Semi Condensed" w:cs="Barlow Semi Condensed" w:eastAsia="Barlow Semi Condensed" w:hAnsi="Barlow Semi Condensed"/>
          <w:sz w:val="24"/>
          <w:szCs w:val="24"/>
        </w:rPr>
        <w:t xml:space="preserve"> Norma archivistica applicabile. Il sistema che custodisce i telegrammi del 1973-1979 si interroga per serie, data, originatore e TAGS — nel lotto del corpus PINT e IT — non per biografie. Cercare un cognome dentro una serie di Stato produce quasi sempre falsi negativi: il nome vi compare come firma di autorizzazione, non come oggetto. L'interrogazione corretta muove dalla finestra temporale e dalla sede, e solo dopo filtra sui nomi.</w:t>
      </w:r>
    </w:p>
    <w:p>
      <w:pPr>
        <w:spacing w:after="120" w:line="276"/>
        <w:jc w:val="both"/>
      </w:pPr>
      <w:r>
        <w:rPr>
          <w:rFonts w:ascii="Barlow Semi Condensed" w:cs="Barlow Semi Condensed" w:eastAsia="Barlow Semi Condensed" w:hAnsi="Barlow Semi Condensed"/>
          <w:b/>
          <w:bCs/>
          <w:sz w:val="24"/>
          <w:szCs w:val="24"/>
        </w:rPr>
        <w:t xml:space="preserve">3028 · La regola dell'originatore e i 474.</w:t>
      </w:r>
      <w:r>
        <w:rPr>
          <w:rFonts w:ascii="Barlow Semi Condensed" w:cs="Barlow Semi Condensed" w:eastAsia="Barlow Semi Condensed" w:hAnsi="Barlow Semi Condensed"/>
          <w:sz w:val="24"/>
          <w:szCs w:val="24"/>
        </w:rPr>
        <w:t xml:space="preserve"> Un documento classificato da uno Stato terzo non si desecreta unilateralmente: le direttive italiane aprono le carte italiane, non quelle alleate. La pubblicistica che segue i lavori di declassificazione riferisce circa 474 atti di origine alleata ancora chiusi in Italia — cifra riferita, non verificata su atto, e come tale si registra. Il canale è bilaterale e diplomatico; il terzo quesito enumerativo della scheda chiede quante richieste di consenso siano mai state formulate.</w:t>
      </w:r>
    </w:p>
    <w:p>
      <w:pPr>
        <w:spacing w:after="120" w:line="276"/>
        <w:jc w:val="both"/>
      </w:pPr>
      <w:r>
        <w:rPr>
          <w:rFonts w:ascii="Barlow Semi Condensed" w:cs="Barlow Semi Condensed" w:eastAsia="Barlow Semi Condensed" w:hAnsi="Barlow Semi Condensed"/>
          <w:b/>
          <w:bCs/>
          <w:sz w:val="24"/>
          <w:szCs w:val="24"/>
        </w:rPr>
        <w:t xml:space="preserve">3029 · Il consulente che il corpus nomina.</w:t>
      </w:r>
      <w:r>
        <w:rPr>
          <w:rFonts w:ascii="Barlow Semi Condensed" w:cs="Barlow Semi Condensed" w:eastAsia="Barlow Semi Condensed" w:hAnsi="Barlow Semi Condensed"/>
          <w:sz w:val="24"/>
          <w:szCs w:val="24"/>
        </w:rPr>
        <w:t xml:space="preserve"> L'unico statunitense che il corpus colloca dentro la macchina dei 55 giorni non è l'uomo di questa serie: è Steve Pieczenik, inviato del Dipartimento di Stato, ricondotto al comitato di esperti — organo che, dato accertato, non si riunì mai collegialmente. Le sue dichiarazioni successive sono graduate dalla scheda PE-5 come fonte di parte, grado C. L'asimmetria fra i due nomi è essa stessa un accertamento del territorio.</w:t>
      </w:r>
    </w:p>
    <w:p>
      <w:pPr>
        <w:spacing w:after="120" w:line="276"/>
        <w:jc w:val="both"/>
      </w:pPr>
      <w:r>
        <w:rPr>
          <w:rFonts w:ascii="Barlow Semi Condensed" w:cs="Barlow Semi Condensed" w:eastAsia="Barlow Semi Condensed" w:hAnsi="Barlow Semi Condensed"/>
          <w:b/>
          <w:bCs/>
          <w:sz w:val="24"/>
          <w:szCs w:val="24"/>
        </w:rPr>
        <w:t xml:space="preserve">3030 · Chi firmava i cablo del 1978.</w:t>
      </w:r>
      <w:r>
        <w:rPr>
          <w:rFonts w:ascii="Barlow Semi Condensed" w:cs="Barlow Semi Condensed" w:eastAsia="Barlow Semi Condensed" w:hAnsi="Barlow Semi Condensed"/>
          <w:sz w:val="24"/>
          <w:szCs w:val="24"/>
        </w:rPr>
        <w:t xml:space="preserve"> Diretti a SECSTATE Washington nell'aprile e nel maggio 1978, i cablogrammi del lotto appartengono a un anno in cui la carica di Segretario di Stato era di altri da oltre dodici mesi. È un rilievo elementare e continuamente dimenticato dalla circolazione pubblica, che tratta il nome come se fosse rimasto in carica per tutta la vicenda. Chi ne cercasse la firma in quella corrispondenza cercherebbe ciò che le date rendono impossibile.</w:t>
      </w:r>
    </w:p>
    <w:p>
      <w:pPr>
        <w:spacing w:after="120" w:line="276"/>
        <w:jc w:val="both"/>
      </w:pPr>
      <w:r>
        <w:rPr>
          <w:rFonts w:ascii="Barlow Semi Condensed" w:cs="Barlow Semi Condensed" w:eastAsia="Barlow Semi Condensed" w:hAnsi="Barlow Semi Condensed"/>
          <w:b/>
          <w:bCs/>
          <w:sz w:val="24"/>
          <w:szCs w:val="24"/>
        </w:rPr>
        <w:t xml:space="preserve">3031 · Gli elenchi di Castiglion Fibocchi.</w:t>
      </w:r>
      <w:r>
        <w:rPr>
          <w:rFonts w:ascii="Barlow Semi Condensed" w:cs="Barlow Semi Condensed" w:eastAsia="Barlow Semi Condensed" w:hAnsi="Barlow Semi Condensed"/>
          <w:sz w:val="24"/>
          <w:szCs w:val="24"/>
        </w:rPr>
        <w:t xml:space="preserve"> PE-1 chiede l'incrocio fra gli elenchi sequestrati e la composizione di tutti i comitati e sottocomitati dei 55 giorni, con numeri di tessera e date di iscrizione. La regola che governa quell'atto governa anche questa serie: l'iscrizione accertata di un membro è un fatto, non la prova di una condotta nel caso. Trasposta al versante atlantico, dice che l'appartenenza a una scuola dottrinale o a un'amministrazione non fonda alcun addebito.</w:t>
      </w:r>
    </w:p>
    <w:p>
      <w:pPr>
        <w:spacing w:after="120" w:line="276"/>
        <w:jc w:val="both"/>
      </w:pPr>
      <w:r>
        <w:rPr>
          <w:rFonts w:ascii="Barlow Semi Condensed" w:cs="Barlow Semi Condensed" w:eastAsia="Barlow Semi Condensed" w:hAnsi="Barlow Semi Condensed"/>
          <w:b/>
          <w:bCs/>
          <w:sz w:val="24"/>
          <w:szCs w:val="24"/>
        </w:rPr>
        <w:t xml:space="preserve">3032 · La qualificazione delle lettere.</w:t>
      </w:r>
      <w:r>
        <w:rPr>
          <w:rFonts w:ascii="Barlow Semi Condensed" w:cs="Barlow Semi Condensed" w:eastAsia="Barlow Semi Condensed" w:hAnsi="Barlow Semi Condensed"/>
          <w:sz w:val="24"/>
          <w:szCs w:val="24"/>
        </w:rPr>
        <w:t xml:space="preserve"> L'approfondimento di PE-1 consegna un quesito documentale sulla tesi dell'inattendibilità delle lettere del prigioniero, sostenuta da consulenti del comitato di esperti con effetti sulla linea della fermezza: in quali documenti fu formulata, da chi sottoscritta, con quale circolazione. Se ne deriva un bersaglio contiguo e non ancora posto: se in quelle carte compaia una provenienza estera, e quale. Ricerca da fare, esito ignoto, sede nei versamenti e negli atti delle Commissioni.</w:t>
      </w:r>
    </w:p>
    <w:p>
      <w:pPr>
        <w:spacing w:after="120" w:line="276"/>
        <w:jc w:val="both"/>
      </w:pPr>
      <w:r>
        <w:rPr>
          <w:rFonts w:ascii="Barlow Semi Condensed" w:cs="Barlow Semi Condensed" w:eastAsia="Barlow Semi Condensed" w:hAnsi="Barlow Semi Condensed"/>
          <w:b/>
          <w:bCs/>
          <w:sz w:val="24"/>
          <w:szCs w:val="24"/>
        </w:rPr>
        <w:t xml:space="preserve">3033 · Via Gradoli 96 e i suoi proprietari.</w:t>
      </w:r>
      <w:r>
        <w:rPr>
          <w:rFonts w:ascii="Barlow Semi Condensed" w:cs="Barlow Semi Condensed" w:eastAsia="Barlow Semi Condensed" w:hAnsi="Barlow Semi Condensed"/>
          <w:sz w:val="24"/>
          <w:szCs w:val="24"/>
        </w:rPr>
        <w:t xml:space="preserve"> Catasto, conservatoria e registri societari 1970-1978 per i 66 appartamenti dello stabile: questo chiede PE-2, con le tre immobiliari e la fiduciaria emerse nel dibattimento bolognese del 2021. Sono soggetti italiani, iscritti a registri italiani, verificabili con visure. Nessuna società estera compare negli atti censiti dal corpus e nessuna fonte ne ipotizza. La pista immobiliare è chiusa a questo nome, e la chiusura si dichiara qui una volta per tutte.</w:t>
      </w:r>
    </w:p>
    <w:p>
      <w:pPr>
        <w:spacing w:after="120" w:line="276"/>
        <w:jc w:val="both"/>
      </w:pPr>
      <w:r>
        <w:rPr>
          <w:rFonts w:ascii="Barlow Semi Condensed" w:cs="Barlow Semi Condensed" w:eastAsia="Barlow Semi Condensed" w:hAnsi="Barlow Semi Condensed"/>
          <w:b/>
          <w:bCs/>
          <w:sz w:val="24"/>
          <w:szCs w:val="24"/>
        </w:rPr>
        <w:t xml:space="preserve">3034 · Le date prima di tutto.</w:t>
      </w:r>
      <w:r>
        <w:rPr>
          <w:rFonts w:ascii="Barlow Semi Condensed" w:cs="Barlow Semi Condensed" w:eastAsia="Barlow Semi Condensed" w:hAnsi="Barlow Semi Condensed"/>
          <w:sz w:val="24"/>
          <w:szCs w:val="24"/>
        </w:rPr>
        <w:t xml:space="preserve"> La disciplina più severa dell'approfondimento entità è cronologica: i legami documentati in aula datano in larga parte 1979-1986, mentre la finestra del caso è 1975-1978, e sovrapporre gli strati senza date è l'errore che la regola dell'anello debole vieta. La stessa disciplina, rivolta a questa serie, produce il rilievo più utile che essa possa dare: un uomo fuori carica dal 20 gennaio 1977 non si retrodata dentro il 1978.</w:t>
      </w:r>
    </w:p>
    <w:p>
      <w:pPr>
        <w:spacing w:after="120" w:line="276"/>
        <w:jc w:val="both"/>
      </w:pPr>
      <w:r>
        <w:rPr>
          <w:rFonts w:ascii="Barlow Semi Condensed" w:cs="Barlow Semi Condensed" w:eastAsia="Barlow Semi Condensed" w:hAnsi="Barlow Semi Condensed"/>
          <w:b/>
          <w:bCs/>
          <w:sz w:val="24"/>
          <w:szCs w:val="24"/>
        </w:rPr>
        <w:t xml:space="preserve">3035 · La catena del 18 marzo.</w:t>
      </w:r>
      <w:r>
        <w:rPr>
          <w:rFonts w:ascii="Barlow Semi Condensed" w:cs="Barlow Semi Condensed" w:eastAsia="Barlow Semi Condensed" w:hAnsi="Barlow Semi Condensed"/>
          <w:sz w:val="24"/>
          <w:szCs w:val="24"/>
        </w:rPr>
        <w:t xml:space="preserve"> Il percorso della nota Mokbel, l'ordine di servizio della squadra del commissariato Flaminio Nuovo guidata dal brigadiere Merola, il campanello dell'interno 11 senza risposta, il mancato ritorno: la catena che PE-3 vuole ricostruire è tutta interna a questura, UCIGOS e Viminale. Il quesito non è chi fosse dentro — lo dicono le sentenze — ma come lo Stato lo mancò. Nessun anello di quella catena è estero, e nessuno lo diventa per suggestione.</w:t>
      </w:r>
    </w:p>
    <w:p>
      <w:pPr>
        <w:spacing w:after="120" w:line="276"/>
        <w:jc w:val="both"/>
      </w:pPr>
      <w:r>
        <w:rPr>
          <w:rFonts w:ascii="Barlow Semi Condensed" w:cs="Barlow Semi Condensed" w:eastAsia="Barlow Semi Condensed" w:hAnsi="Barlow Semi Condensed"/>
          <w:b/>
          <w:bCs/>
          <w:sz w:val="24"/>
          <w:szCs w:val="24"/>
        </w:rPr>
        <w:t xml:space="preserve">3036 · Il riscatto e il suo finanziatore.</w:t>
      </w:r>
      <w:r>
        <w:rPr>
          <w:rFonts w:ascii="Barlow Semi Condensed" w:cs="Barlow Semi Condensed" w:eastAsia="Barlow Semi Condensed" w:hAnsi="Barlow Semi Condensed"/>
          <w:sz w:val="24"/>
          <w:szCs w:val="24"/>
        </w:rPr>
        <w:t xml:space="preserve"> PE-4 accerta il canale di monsignor Curioni, la somma di circa dieci miliardi di lire in dollari mostrata da Paolo VI sotto un panno, il finanziatore individuato dalla Commissione Moro 2 nell'uomo d'affari israeliano Flatto-Sharon, e la sorte del denaro rimasta ignota. Il quesito della tracciabilità corre fra Roma, la Santa Sede e il versante israeliano. Washington non vi compare in alcun atto: registrarlo è più utile che immaginare un quarto vertice.</w:t>
      </w:r>
    </w:p>
    <w:p>
      <w:pPr>
        <w:spacing w:after="120" w:line="276"/>
        <w:jc w:val="both"/>
      </w:pPr>
      <w:r>
        <w:rPr>
          <w:rFonts w:ascii="Barlow Semi Condensed" w:cs="Barlow Semi Condensed" w:eastAsia="Barlow Semi Condensed" w:hAnsi="Barlow Semi Condensed"/>
          <w:b/>
          <w:bCs/>
          <w:sz w:val="24"/>
          <w:szCs w:val="24"/>
        </w:rPr>
        <w:t xml:space="preserve">3037 · La colonna d'ingresso che manca.</w:t>
      </w:r>
      <w:r>
        <w:rPr>
          <w:rFonts w:ascii="Barlow Semi Condensed" w:cs="Barlow Semi Condensed" w:eastAsia="Barlow Semi Condensed" w:hAnsi="Barlow Semi Condensed"/>
          <w:sz w:val="24"/>
          <w:szCs w:val="24"/>
        </w:rPr>
        <w:t xml:space="preserve"> Misurata a metà, la macchina dei 55 giorni consegna a PE-6 le sue quattro cifre d'uscita: 72.460 posti di blocco, 37.702 perquisizioni domiciliari, 6.413.713 persone controllate, 3.383.123 veicoli ispezionati. La colonna d'ingresso delle segnalazioni non ha invece cifra canonica in alcuna relazione. Il versante atlantico soffre della stessa asimmetria rovesciata: si contano i documenti rilasciati, non le domande mai formulate.</w:t>
      </w:r>
    </w:p>
    <w:p>
      <w:pPr>
        <w:spacing w:after="120" w:line="276"/>
        <w:jc w:val="both"/>
      </w:pPr>
      <w:r>
        <w:rPr>
          <w:rFonts w:ascii="Barlow Semi Condensed" w:cs="Barlow Semi Condensed" w:eastAsia="Barlow Semi Condensed" w:hAnsi="Barlow Semi Condensed"/>
          <w:b/>
          <w:bCs/>
          <w:sz w:val="24"/>
          <w:szCs w:val="24"/>
        </w:rPr>
        <w:t xml:space="preserve">3038 · Il registro delle istanze estere.</w:t>
      </w:r>
      <w:r>
        <w:rPr>
          <w:rFonts w:ascii="Barlow Semi Condensed" w:cs="Barlow Semi Condensed" w:eastAsia="Barlow Semi Condensed" w:hAnsi="Barlow Semi Condensed"/>
          <w:sz w:val="24"/>
          <w:szCs w:val="24"/>
        </w:rPr>
        <w:t xml:space="preserve"> Da PE-6 si ricava per trasposizione un atto che il programma non contiene: il registro delle richieste rivolte agli archivi esteri sul caso — chi le presentò, quando, su quali serie, con quale esito, con quali dinieghi motivati. I blocchi 150 e 259 dell'agenda ne prescrivono la colonna dei tempi. Finché quel registro non esiste, nessuno può dire se il silenzio delle serie estere sia stato mai davvero interrogato.</w:t>
      </w:r>
    </w:p>
    <w:p>
      <w:pPr>
        <w:spacing w:after="120" w:line="276"/>
        <w:jc w:val="both"/>
      </w:pPr>
      <w:r>
        <w:rPr>
          <w:rFonts w:ascii="Barlow Semi Condensed" w:cs="Barlow Semi Condensed" w:eastAsia="Barlow Semi Condensed" w:hAnsi="Barlow Semi Condensed"/>
          <w:b/>
          <w:bCs/>
          <w:sz w:val="24"/>
          <w:szCs w:val="24"/>
        </w:rPr>
        <w:t xml:space="preserve">3039 · L'accertamento Anselmi non ha versante estero.</w:t>
      </w:r>
      <w:r>
        <w:rPr>
          <w:rFonts w:ascii="Barlow Semi Condensed" w:cs="Barlow Semi Condensed" w:eastAsia="Barlow Semi Condensed" w:hAnsi="Barlow Semi Condensed"/>
          <w:sz w:val="24"/>
          <w:szCs w:val="24"/>
        </w:rPr>
        <w:t xml:space="preserve"> Concentrazione di fatto delle indagini al Viminale e menomazione dell'autonomia dell'autorità giudiziaria: così la Commissione Anselmi, al grado B, ripreso da PE-1 e assunto da PE-6 come ipotesi da verificare statisticamente. L'accertamento riguarda un rapporto interno fra apparati italiani e magistratura italiana. Estenderlo a una regia esterna significherebbe fargli dire ciò che non dice: un accertamento si cita nei suoi confini, oppure non si cita.</w:t>
      </w:r>
    </w:p>
    <w:p>
      <w:pPr>
        <w:spacing w:after="120" w:line="276"/>
        <w:jc w:val="both"/>
      </w:pPr>
      <w:r>
        <w:rPr>
          <w:rFonts w:ascii="Barlow Semi Condensed" w:cs="Barlow Semi Condensed" w:eastAsia="Barlow Semi Condensed" w:hAnsi="Barlow Semi Condensed"/>
          <w:b/>
          <w:bCs/>
          <w:sz w:val="24"/>
          <w:szCs w:val="24"/>
        </w:rPr>
        <w:t xml:space="preserve">3040 · Il fascicolo romano e il suo oggetto.</w:t>
      </w:r>
      <w:r>
        <w:rPr>
          <w:rFonts w:ascii="Barlow Semi Condensed" w:cs="Barlow Semi Condensed" w:eastAsia="Barlow Semi Condensed" w:hAnsi="Barlow Semi Condensed"/>
          <w:sz w:val="24"/>
          <w:szCs w:val="24"/>
        </w:rPr>
        <w:t xml:space="preserve"> A Roma il giudice per le indagini preliminari ha disposto la prosecuzione sulle terze presenze di via Fani: l'uomo non identificato, la Honda di grossa cilindrata, le nuove perizie balistiche, il DNA della rosa autorizzata, il caricatore fra via Fani e via Stresa. L'oggetto è l'identificazione di partecipanti materiali. Nessuna di quelle attività potrebbe, per struttura, produrre un accertamento su un decisore straniero: sarebbe esito estraneo al thema probandum.</w:t>
      </w:r>
    </w:p>
    <w:p>
      <w:pPr>
        <w:spacing w:after="120" w:line="276"/>
        <w:jc w:val="both"/>
      </w:pPr>
      <w:r>
        <w:rPr>
          <w:rFonts w:ascii="Barlow Semi Condensed" w:cs="Barlow Semi Condensed" w:eastAsia="Barlow Semi Condensed" w:hAnsi="Barlow Semi Condensed"/>
          <w:b/>
          <w:bCs/>
          <w:sz w:val="24"/>
          <w:szCs w:val="24"/>
        </w:rPr>
        <w:t xml:space="preserve">3041 · Il verbale del 25 settembre 1974 (serie XL).</w:t>
      </w:r>
      <w:r>
        <w:rPr>
          <w:rFonts w:ascii="Barlow Semi Condensed" w:cs="Barlow Semi Condensed" w:eastAsia="Barlow Semi Condensed" w:hAnsi="Barlow Semi Condensed"/>
          <w:sz w:val="24"/>
          <w:szCs w:val="24"/>
        </w:rPr>
        <w:t xml:space="preserve"> Il memorandum dello Studio Ovale con Leone, Moro, Ford, Kissinger e Scowcroft — FRUS 1969-1976, volume E-15 parte seconda, documento 350, seconda edizione riveduta, e file 1552802 della Ford Library — è documento di primo piano, datato e con segnatura. Non appartiene però al territorio qui assegnato, che lavora sul 1978 e sui suoi versamenti. Un ponte reale, ma su un'altra sponda: il programma fa bene a non arruolarlo.</w:t>
      </w:r>
    </w:p>
    <w:p>
      <w:pPr>
        <w:spacing w:after="120" w:line="276"/>
        <w:jc w:val="both"/>
      </w:pPr>
      <w:r>
        <w:rPr>
          <w:rFonts w:ascii="Barlow Semi Condensed" w:cs="Barlow Semi Condensed" w:eastAsia="Barlow Semi Condensed" w:hAnsi="Barlow Semi Condensed"/>
          <w:b/>
          <w:bCs/>
          <w:sz w:val="24"/>
          <w:szCs w:val="24"/>
        </w:rPr>
        <w:t xml:space="preserve">3042 · Il colloquio del 26 settembre (serie XL).</w:t>
      </w:r>
      <w:r>
        <w:rPr>
          <w:rFonts w:ascii="Barlow Semi Condensed" w:cs="Barlow Semi Condensed" w:eastAsia="Barlow Semi Condensed" w:hAnsi="Barlow Semi Condensed"/>
          <w:sz w:val="24"/>
          <w:szCs w:val="24"/>
        </w:rPr>
        <w:t xml:space="preserve"> Parimenti disponibile alla Ford Library come documento 1552806, il verbale dell'incontro del giorno successivo appartiene al medesimo lotto. Il blocco 863 dell'opera lo registra come reperibile e non come già letto: la ricognizione della Farnesina ne dichiara l'esistenza, non ne esaurisce lo spoglio. È un bersaglio aperto, con sede precisa, e va indicato in formato operativo invece di essere citato come se fosse stato spogliato.</w:t>
      </w:r>
    </w:p>
    <w:p>
      <w:pPr>
        <w:spacing w:after="120" w:line="276"/>
        <w:jc w:val="both"/>
      </w:pPr>
      <w:r>
        <w:rPr>
          <w:rFonts w:ascii="Barlow Semi Condensed" w:cs="Barlow Semi Condensed" w:eastAsia="Barlow Semi Condensed" w:hAnsi="Barlow Semi Condensed"/>
          <w:b/>
          <w:bCs/>
          <w:sz w:val="24"/>
          <w:szCs w:val="24"/>
        </w:rPr>
        <w:t xml:space="preserve">3043 · L'edizione riveduta conta.</w:t>
      </w:r>
      <w:r>
        <w:rPr>
          <w:rFonts w:ascii="Barlow Semi Condensed" w:cs="Barlow Semi Condensed" w:eastAsia="Barlow Semi Condensed" w:hAnsi="Barlow Semi Condensed"/>
          <w:sz w:val="24"/>
          <w:szCs w:val="24"/>
        </w:rPr>
        <w:t xml:space="preserve"> Va citato nella sua seconda edizione riveduta, il documento 350, e l'avvertenza non è pedanteria bibliografica: una serie ufficiale che riemette un volume segnala che qualcosa nella prima resa era da correggere. Chi cita l'edizione precedente cita un testo superato senza saperlo. È la stessa cura che il territorio applica quando dichiara la divergenza OCR sul numero di caso FOIA: l'identificativo esatto è metà dell'accertamento.</w:t>
      </w:r>
    </w:p>
    <w:p>
      <w:pPr>
        <w:spacing w:after="120" w:line="276"/>
        <w:jc w:val="both"/>
      </w:pPr>
      <w:r>
        <w:rPr>
          <w:rFonts w:ascii="Barlow Semi Condensed" w:cs="Barlow Semi Condensed" w:eastAsia="Barlow Semi Condensed" w:hAnsi="Barlow Semi Condensed"/>
          <w:b/>
          <w:bCs/>
          <w:sz w:val="24"/>
          <w:szCs w:val="24"/>
        </w:rPr>
        <w:t xml:space="preserve">3044 · La testimonianza e la sua contestazione.</w:t>
      </w:r>
      <w:r>
        <w:rPr>
          <w:rFonts w:ascii="Barlow Semi Condensed" w:cs="Barlow Semi Condensed" w:eastAsia="Barlow Semi Condensed" w:hAnsi="Barlow Semi Condensed"/>
          <w:sz w:val="24"/>
          <w:szCs w:val="24"/>
        </w:rPr>
        <w:t xml:space="preserve"> L'avvertimento attribuito è testimonianza contestata: riferita de relato da Corrado Guerzoni alla Corte d'assise di Roma nel novembre 1982, sempre smentita dall'interessato, in forma generica nel 1983 e in forma diretta poco prima della morte. Riportarla senza la smentita non è una semplificazione: è la costruzione di un falso con materiali veri. La regola vale anche nel verso opposto — la smentita non cancella la deposizione, le si affianca.</w:t>
      </w:r>
    </w:p>
    <w:p>
      <w:pPr>
        <w:spacing w:after="120" w:line="276"/>
        <w:jc w:val="both"/>
      </w:pPr>
      <w:r>
        <w:rPr>
          <w:rFonts w:ascii="Barlow Semi Condensed" w:cs="Barlow Semi Condensed" w:eastAsia="Barlow Semi Condensed" w:hAnsi="Barlow Semi Condensed"/>
          <w:b/>
          <w:bCs/>
          <w:sz w:val="24"/>
          <w:szCs w:val="24"/>
        </w:rPr>
        <w:t xml:space="preserve">3045 · Il nome estratto in udienza (serie XL).</w:t>
      </w:r>
      <w:r>
        <w:rPr>
          <w:rFonts w:ascii="Barlow Semi Condensed" w:cs="Barlow Semi Condensed" w:eastAsia="Barlow Semi Condensed" w:hAnsi="Barlow Semi Condensed"/>
          <w:sz w:val="24"/>
          <w:szCs w:val="24"/>
        </w:rPr>
        <w:t xml:space="preserve"> Un'alta personalità, disse la vedova, senza nominarla; fu il presidente della corte, richiamando l'altro teste, a ottenere l'indicazione. L'attribuzione del nome è dunque essa stessa indiretta, e va riferita con la propria genesi processuale. Un nome ottenuto in aula attraverso il richiamo a una diversa deposizione non pesa quanto un nome pronunciato spontaneamente da chi lo avesse udito. La differenza non è formale: è probatoria.</w:t>
      </w:r>
    </w:p>
    <w:p>
      <w:pPr>
        <w:spacing w:after="120" w:line="276"/>
        <w:jc w:val="both"/>
      </w:pPr>
      <w:r>
        <w:rPr>
          <w:rFonts w:ascii="Barlow Semi Condensed" w:cs="Barlow Semi Condensed" w:eastAsia="Barlow Semi Condensed" w:hAnsi="Barlow Semi Condensed"/>
          <w:b/>
          <w:bCs/>
          <w:sz w:val="24"/>
          <w:szCs w:val="24"/>
        </w:rPr>
        <w:t xml:space="preserve">3046 · Tre date per un solo episodio.</w:t>
      </w:r>
      <w:r>
        <w:rPr>
          <w:rFonts w:ascii="Barlow Semi Condensed" w:cs="Barlow Semi Condensed" w:eastAsia="Barlow Semi Condensed" w:hAnsi="Barlow Semi Condensed"/>
          <w:sz w:val="24"/>
          <w:szCs w:val="24"/>
        </w:rPr>
        <w:t xml:space="preserve"> Il nodo M-5 colloca l'episodio nel settembre 1974; una fonte d'agenzia statunitense dell'aprile 1983 lo colloca in un alterco all'ambasciata d'Italia a Washington nel 1977; altre sintesi indicano il 1976, e divergono anche i luoghi. Nel 1977 l'uomo non era più in carica: la divergenza è dirimente e si riporta. Il territorio insegna che le date vengono prima, e qui, come per lo stabile di via Gradoli, la cronologia decide.</w:t>
      </w:r>
    </w:p>
    <w:p>
      <w:pPr>
        <w:spacing w:after="120" w:line="276"/>
        <w:jc w:val="both"/>
      </w:pPr>
      <w:r>
        <w:rPr>
          <w:rFonts w:ascii="Barlow Semi Condensed" w:cs="Barlow Semi Condensed" w:eastAsia="Barlow Semi Condensed" w:hAnsi="Barlow Semi Condensed"/>
          <w:b/>
          <w:bCs/>
          <w:sz w:val="24"/>
          <w:szCs w:val="24"/>
        </w:rPr>
        <w:t xml:space="preserve">3047 · Il lancio d'agenzia del 30 novembre 2023.</w:t>
      </w:r>
      <w:r>
        <w:rPr>
          <w:rFonts w:ascii="Barlow Semi Condensed" w:cs="Barlow Semi Condensed" w:eastAsia="Barlow Semi Condensed" w:hAnsi="Barlow Semi Condensed"/>
          <w:sz w:val="24"/>
          <w:szCs w:val="24"/>
        </w:rPr>
        <w:t xml:space="preserve"> Le decine di riprese pressoché identiche dell'episodio risalgono a un unico lancio d'agenzia del 30 novembre 2023: la moltiplicazione è apparente, e contare molte volte la stessa fonte non la rende molte fonti. È la pseudoreplica, che la consilienza vieta perché linee non indipendenti non si rafforzano, si ripetono. Nel formato del programma una fonte così non genera pista: non ha atto, non ha sede, non ha criterio di chiusura.</w:t>
      </w:r>
    </w:p>
    <w:p>
      <w:pPr>
        <w:spacing w:after="120" w:line="276"/>
        <w:jc w:val="both"/>
      </w:pPr>
      <w:r>
        <w:rPr>
          <w:rFonts w:ascii="Barlow Semi Condensed" w:cs="Barlow Semi Condensed" w:eastAsia="Barlow Semi Condensed" w:hAnsi="Barlow Semi Condensed"/>
          <w:b/>
          <w:bCs/>
          <w:sz w:val="24"/>
          <w:szCs w:val="24"/>
        </w:rPr>
        <w:t xml:space="preserve">3048 · La sede del verbale d'udienza.</w:t>
      </w:r>
      <w:r>
        <w:rPr>
          <w:rFonts w:ascii="Barlow Semi Condensed" w:cs="Barlow Semi Condensed" w:eastAsia="Barlow Semi Condensed" w:hAnsi="Barlow Semi Condensed"/>
          <w:sz w:val="24"/>
          <w:szCs w:val="24"/>
        </w:rPr>
        <w:t xml:space="preserve"> Lo Stato Zero si scrive con la sede che lo chiuderebbe, e qui la sede è nominabile: il verbale d'udienza della deposizione del novembre 1982 davanti alla Corte d'assise di Roma, negli atti del primo processo. Il blocco 885 dichiara che l'accesso diretto è risultato bloccato e che le precisazioni poggiano su fonti secondarie convergenti. L'istanza di accesso a quegli atti è l'atto proponibile, e non è mai stata formalizzata.</w:t>
      </w:r>
    </w:p>
    <w:p>
      <w:pPr>
        <w:spacing w:after="120" w:line="276"/>
        <w:jc w:val="both"/>
      </w:pPr>
      <w:r>
        <w:rPr>
          <w:rFonts w:ascii="Barlow Semi Condensed" w:cs="Barlow Semi Condensed" w:eastAsia="Barlow Semi Condensed" w:hAnsi="Barlow Semi Condensed"/>
          <w:b/>
          <w:bCs/>
          <w:sz w:val="24"/>
          <w:szCs w:val="24"/>
        </w:rPr>
        <w:t xml:space="preserve">3049 · Il resoconto stenografico del 1980.</w:t>
      </w:r>
      <w:r>
        <w:rPr>
          <w:rFonts w:ascii="Barlow Semi Condensed" w:cs="Barlow Semi Condensed" w:eastAsia="Barlow Semi Condensed" w:hAnsi="Barlow Semi Condensed"/>
          <w:sz w:val="24"/>
          <w:szCs w:val="24"/>
        </w:rPr>
        <w:t xml:space="preserve"> Seconda sede: il resoconto stenografico integrale dell'audizione del 1° agosto 1980 davanti alla Commissione parlamentare d'inchiesta, di cui la circolazione riporta soprattutto un riferimento a minacce risalenti al 1975 e crescenti. Confondere quella sede con il dibattimento del 1982 produce una citazione falsa costruita su due premesse entrambe vere. Chiusura del quesito: l'acquisizione dei due testi primari negli archivi parlamentari, che è atto ordinario.</w:t>
      </w:r>
    </w:p>
    <w:p>
      <w:pPr>
        <w:spacing w:after="120" w:line="276"/>
        <w:jc w:val="both"/>
      </w:pPr>
      <w:r>
        <w:rPr>
          <w:rFonts w:ascii="Barlow Semi Condensed" w:cs="Barlow Semi Condensed" w:eastAsia="Barlow Semi Condensed" w:hAnsi="Barlow Semi Condensed"/>
          <w:b/>
          <w:bCs/>
          <w:sz w:val="24"/>
          <w:szCs w:val="24"/>
        </w:rPr>
        <w:t xml:space="preserve">3050 · La richiesta informale del 1983.</w:t>
      </w:r>
      <w:r>
        <w:rPr>
          <w:rFonts w:ascii="Barlow Semi Condensed" w:cs="Barlow Semi Condensed" w:eastAsia="Barlow Semi Condensed" w:hAnsi="Barlow Semi Condensed"/>
          <w:sz w:val="24"/>
          <w:szCs w:val="24"/>
        </w:rPr>
        <w:t xml:space="preserve"> Fatto processuale da registrare perché chiude una domanda ricorrente: non fu mai sentito dai magistrati italiani, e la richiesta informale del 1983 non ebbe seguito. Il territorio conosce la forma dell'atto mancante — P-8 la chiama rogatoria conoscitiva — ma la conosce per un condannato latitante. Qui non vi fu né imputazione né processo: l'atto sarebbe stato l'audizione di una persona informata, e nessuna autorità italiana l'ha mai formalizzata.</w:t>
      </w:r>
    </w:p>
    <w:p>
      <w:pPr>
        <w:spacing w:after="120" w:line="276"/>
        <w:jc w:val="both"/>
      </w:pPr>
      <w:r>
        <w:rPr>
          <w:rFonts w:ascii="Barlow Semi Condensed" w:cs="Barlow Semi Condensed" w:eastAsia="Barlow Semi Condensed" w:hAnsi="Barlow Semi Condensed"/>
          <w:b/>
          <w:bCs/>
          <w:sz w:val="24"/>
          <w:szCs w:val="24"/>
        </w:rPr>
        <w:t xml:space="preserve">3051 · Bersaglio di smentita: il documento datato.</w:t>
      </w:r>
      <w:r>
        <w:rPr>
          <w:rFonts w:ascii="Barlow Semi Condensed" w:cs="Barlow Semi Condensed" w:eastAsia="Barlow Semi Condensed" w:hAnsi="Barlow Semi Condensed"/>
          <w:sz w:val="24"/>
          <w:szCs w:val="24"/>
        </w:rPr>
        <w:t xml:space="preserve"> Che cosa falsificherebbe lo Stato Zero di questa serie. Un solo genere di reperto: un atto datato entro il 16 marzo – 9 maggio 1978, di provenienza accertata, che nomini l'uomo in relazione al sequestro e non alla rassegna stampa. Non un memoriale postumo, non un'intervista, non una relazione di parte. Fino a quel reperto, l'assenza registrata nel territorio resta un accertamento e non un'ipotesi da coltivare.</w:t>
      </w:r>
    </w:p>
    <w:p>
      <w:pPr>
        <w:spacing w:after="120" w:line="276"/>
        <w:jc w:val="both"/>
      </w:pPr>
      <w:r>
        <w:rPr>
          <w:rFonts w:ascii="Barlow Semi Condensed" w:cs="Barlow Semi Condensed" w:eastAsia="Barlow Semi Condensed" w:hAnsi="Barlow Semi Condensed"/>
          <w:b/>
          <w:bCs/>
          <w:sz w:val="24"/>
          <w:szCs w:val="24"/>
        </w:rPr>
        <w:t xml:space="preserve">3052 · Bersaglio di smentita: la nota coeva.</w:t>
      </w:r>
      <w:r>
        <w:rPr>
          <w:rFonts w:ascii="Barlow Semi Condensed" w:cs="Barlow Semi Condensed" w:eastAsia="Barlow Semi Condensed" w:hAnsi="Barlow Semi Condensed"/>
          <w:sz w:val="24"/>
          <w:szCs w:val="24"/>
        </w:rPr>
        <w:t xml:space="preserve"> Per l'episodio del 1974 il bersaglio è diverso e più stretto: una nota d'ambasciata, un appunto di collaboratore, una lettera privata scritta prima del 1982 che riferisca la frase. Una carta coeva sposterebbe l'episodio da testimonianza contestata ad accertamento di grado B pieno. Le sedi sono due: le carte della trasferta del settembre 1974 oltre i due memorandum noti, e i fondi personali dell'entourage italiano.</w:t>
      </w:r>
    </w:p>
    <w:p>
      <w:pPr>
        <w:spacing w:after="120" w:line="276"/>
        <w:jc w:val="both"/>
      </w:pPr>
      <w:r>
        <w:rPr>
          <w:rFonts w:ascii="Barlow Semi Condensed" w:cs="Barlow Semi Condensed" w:eastAsia="Barlow Semi Condensed" w:hAnsi="Barlow Semi Condensed"/>
          <w:b/>
          <w:bCs/>
          <w:sz w:val="24"/>
          <w:szCs w:val="24"/>
        </w:rPr>
        <w:t xml:space="preserve">3053 · Che cosa non deciderebbe comunque.</w:t>
      </w:r>
      <w:r>
        <w:rPr>
          <w:rFonts w:ascii="Barlow Semi Condensed" w:cs="Barlow Semi Condensed" w:eastAsia="Barlow Semi Condensed" w:hAnsi="Barlow Semi Condensed"/>
          <w:sz w:val="24"/>
          <w:szCs w:val="24"/>
        </w:rPr>
        <w:t xml:space="preserve"> Anche accertato in ogni sua parola, l'episodio del 1974 non deciderebbe nulla sul 1978: fra una frase e l'agguato non esiste alcun ponte documentato, e la conferma sposterebbe un fatto biografico e diplomatico, non una catena di comando. È il rilievo che il blocco 887 fissa e che il territorio conferma dal proprio lato: nessuna pista del programma ha per esito atteso un mandante, e nessuna potrebbe averlo.</w:t>
      </w:r>
    </w:p>
    <w:p>
      <w:pPr>
        <w:spacing w:after="120" w:line="276"/>
        <w:jc w:val="both"/>
      </w:pPr>
      <w:r>
        <w:rPr>
          <w:rFonts w:ascii="Barlow Semi Condensed" w:cs="Barlow Semi Condensed" w:eastAsia="Barlow Semi Condensed" w:hAnsi="Barlow Semi Condensed"/>
          <w:b/>
          <w:bCs/>
          <w:sz w:val="24"/>
          <w:szCs w:val="24"/>
        </w:rPr>
        <w:t xml:space="preserve">3054 · Omologia e analogia nella graduatoria.</w:t>
      </w:r>
      <w:r>
        <w:rPr>
          <w:rFonts w:ascii="Barlow Semi Condensed" w:cs="Barlow Semi Condensed" w:eastAsia="Barlow Semi Condensed" w:hAnsi="Barlow Semi Condensed"/>
          <w:sz w:val="24"/>
          <w:szCs w:val="24"/>
        </w:rPr>
        <w:t xml:space="preserve"> L'omologia è somiglianza per discendenza comune, l'analogia somiglianza per pressione ambientale simile. Applicata qui: che il metodo del corpus e il fascicolo romano puntino allo stesso reperto è consilienza dichiarata nel capitolo primo, e vale perché le due linee sono davvero indipendenti. Che l'ostilità atlantica e quella brigatista alla solidarietà nazionale coincidano non vale nulla, perché è un carattere troppo diffuso per raggruppare alcunché.</w:t>
      </w:r>
    </w:p>
    <w:p>
      <w:pPr>
        <w:spacing w:after="120" w:line="276"/>
        <w:jc w:val="both"/>
      </w:pPr>
      <w:r>
        <w:rPr>
          <w:rFonts w:ascii="Barlow Semi Condensed" w:cs="Barlow Semi Condensed" w:eastAsia="Barlow Semi Condensed" w:hAnsi="Barlow Semi Condensed"/>
          <w:b/>
          <w:bCs/>
          <w:sz w:val="24"/>
          <w:szCs w:val="24"/>
        </w:rPr>
        <w:t xml:space="preserve">3055 · L'anello debole del cammino.</w:t>
      </w:r>
      <w:r>
        <w:rPr>
          <w:rFonts w:ascii="Barlow Semi Condensed" w:cs="Barlow Semi Condensed" w:eastAsia="Barlow Semi Condensed" w:hAnsi="Barlow Semi Condensed"/>
          <w:sz w:val="24"/>
          <w:szCs w:val="24"/>
        </w:rPr>
        <w:t xml:space="preserve"> Il grado di un cammino è il grado minimo fra i suoi archi. Il cammino che dalla cornice diplomatica arriva a un atto istruttorio del programma attraversa archi di sola cornice, cioè archi che non documentano una relazione: il suo grado è quello dell'anello più debole, e nessuna quantità di archi solidi altrove lo solleva. È il calcolo che il documento delle metodologie esegue sul ceppo Hyperion, e qui dà lo stesso esito.</w:t>
      </w:r>
    </w:p>
    <w:p>
      <w:pPr>
        <w:spacing w:after="120" w:line="276"/>
        <w:jc w:val="both"/>
      </w:pPr>
      <w:r>
        <w:rPr>
          <w:rFonts w:ascii="Barlow Semi Condensed" w:cs="Barlow Semi Condensed" w:eastAsia="Barlow Semi Condensed" w:hAnsi="Barlow Semi Condensed"/>
          <w:b/>
          <w:bCs/>
          <w:sz w:val="24"/>
          <w:szCs w:val="24"/>
        </w:rPr>
        <w:t xml:space="preserve">3056 · Il buco strutturale fra due mondi.</w:t>
      </w:r>
      <w:r>
        <w:rPr>
          <w:rFonts w:ascii="Barlow Semi Condensed" w:cs="Barlow Semi Condensed" w:eastAsia="Barlow Semi Condensed" w:hAnsi="Barlow Semi Condensed"/>
          <w:sz w:val="24"/>
          <w:szCs w:val="24"/>
        </w:rPr>
        <w:t xml:space="preserve"> Nel grafo del corpus la dimensione diplomatica della Farnesina è il quinto dei dieci mondi, il mondo brigatista il secondo. Fra i due, i soli legami documentati non registrano alcun arco diretto. La regola dei buchi dice che quel vuoto è il risultato dell'analisi e non il suo punto di partenza: la dietrologia lo riempie di narrazione, il corpus lo misura. Questa serie lo misura una volta di più, sul territorio investigativo.</w:t>
      </w:r>
    </w:p>
    <w:p>
      <w:pPr>
        <w:spacing w:after="120" w:line="276"/>
        <w:jc w:val="both"/>
      </w:pPr>
      <w:r>
        <w:rPr>
          <w:rFonts w:ascii="Barlow Semi Condensed" w:cs="Barlow Semi Condensed" w:eastAsia="Barlow Semi Condensed" w:hAnsi="Barlow Semi Condensed"/>
          <w:b/>
          <w:bCs/>
          <w:sz w:val="24"/>
          <w:szCs w:val="24"/>
        </w:rPr>
        <w:t xml:space="preserve">3057 · Un nodo in più mondi non trasmette.</w:t>
      </w:r>
      <w:r>
        <w:rPr>
          <w:rFonts w:ascii="Barlow Semi Condensed" w:cs="Barlow Semi Condensed" w:eastAsia="Barlow Semi Condensed" w:hAnsi="Barlow Semi Condensed"/>
          <w:sz w:val="24"/>
          <w:szCs w:val="24"/>
        </w:rPr>
        <w:t xml:space="preserve"> Multistrato, la rete del corpus impone una disciplina sola: un nodo può abitare più mondi senza che i mondi si trasmettano nulla attraverso di lui. Un uomo di governo presente per anni in quasi tutti i teatri che il corpus attraversa è il caso limite di quella regola, non la sua eccezione. La presenza simultanea non è un canale: perché lo diventi serve un arco documentato, e su questo territorio non ce n'è.</w:t>
      </w:r>
    </w:p>
    <w:p>
      <w:pPr>
        <w:spacing w:after="120" w:line="276"/>
        <w:jc w:val="both"/>
      </w:pPr>
      <w:r>
        <w:rPr>
          <w:rFonts w:ascii="Barlow Semi Condensed" w:cs="Barlow Semi Condensed" w:eastAsia="Barlow Semi Condensed" w:hAnsi="Barlow Semi Condensed"/>
          <w:b/>
          <w:bCs/>
          <w:sz w:val="24"/>
          <w:szCs w:val="24"/>
        </w:rPr>
        <w:t xml:space="preserve">3058 · La regola dei tre piani sul territorio.</w:t>
      </w:r>
      <w:r>
        <w:rPr>
          <w:rFonts w:ascii="Barlow Semi Condensed" w:cs="Barlow Semi Condensed" w:eastAsia="Barlow Semi Condensed" w:hAnsi="Barlow Semi Condensed"/>
          <w:sz w:val="24"/>
          <w:szCs w:val="24"/>
        </w:rPr>
        <w:t xml:space="preserve"> Applicata qui, la scala dà un esito nitido. Primo piano, rapporto diretto documentato: nulla, in nessuna pista del programma. Secondo piano, convergenza entro la stessa cornice: la sola PE-5, e per la via delle serie archivistiche, non delle persone. Terzo piano, affermazione terziaria: la circolazione dell'episodio del 1974, che nel formato operativo non genera alcun atto. Il territorio, letto con questa scala, è di secondo e terzo piano.</w:t>
      </w:r>
    </w:p>
    <w:p>
      <w:pPr>
        <w:spacing w:after="120" w:line="276"/>
        <w:jc w:val="both"/>
      </w:pPr>
      <w:r>
        <w:rPr>
          <w:rFonts w:ascii="Barlow Semi Condensed" w:cs="Barlow Semi Condensed" w:eastAsia="Barlow Semi Condensed" w:hAnsi="Barlow Semi Condensed"/>
          <w:b/>
          <w:bCs/>
          <w:sz w:val="24"/>
          <w:szCs w:val="24"/>
        </w:rPr>
        <w:t xml:space="preserve">3059 · Nessun piano sale per accumulo (serie XL).</w:t>
      </w:r>
      <w:r>
        <w:rPr>
          <w:rFonts w:ascii="Barlow Semi Condensed" w:cs="Barlow Semi Condensed" w:eastAsia="Barlow Semi Condensed" w:hAnsi="Barlow Semi Condensed"/>
          <w:sz w:val="24"/>
          <w:szCs w:val="24"/>
        </w:rPr>
        <w:t xml:space="preserve"> Dieci convergenze di cornice non fanno un rapporto diretto, come dieci indizi possibili non fanno un probabile: il salto lo produce un documento. Chi sommasse l'ostilità documentata, la presenza del consulente, la classificazione dei 474 atti alleati e la testimonianza contestata crederebbe di avere una pista; avrebbe quattro voci di piano diverso, e la somma di piani diversi non produce un piano superiore. Produce soltanto la sensazione di averlo.</w:t>
      </w:r>
    </w:p>
    <w:p>
      <w:pPr>
        <w:spacing w:after="120" w:line="276"/>
        <w:jc w:val="both"/>
      </w:pPr>
      <w:r>
        <w:rPr>
          <w:rFonts w:ascii="Barlow Semi Condensed" w:cs="Barlow Semi Condensed" w:eastAsia="Barlow Semi Condensed" w:hAnsi="Barlow Semi Condensed"/>
          <w:b/>
          <w:bCs/>
          <w:sz w:val="24"/>
          <w:szCs w:val="24"/>
        </w:rPr>
        <w:t xml:space="preserve">3060 · La domanda che chiede un verdetto (serie XL).</w:t>
      </w:r>
      <w:r>
        <w:rPr>
          <w:rFonts w:ascii="Barlow Semi Condensed" w:cs="Barlow Semi Condensed" w:eastAsia="Barlow Semi Condensed" w:hAnsi="Barlow Semi Condensed"/>
          <w:sz w:val="24"/>
          <w:szCs w:val="24"/>
        </w:rPr>
        <w:t xml:space="preserve"> «Ci fu una regia straniera?» chiede un verdetto invece di un'evidenza, e una matrice aperta da mezzo secolo lo è precisamente perché le si è chiesta la cosa sbagliata. Nel formato del territorio la riformulazione è obbligata: quale atto, presso quale autorità, con quale criterio di chiusura. Riformulare non è ammorbidire — è trasformare una domanda che nessun documento può soddisfare in una domanda che un fascicolo può.</w:t>
      </w:r>
    </w:p>
    <w:p>
      <w:pPr>
        <w:spacing w:after="120" w:line="276"/>
        <w:jc w:val="both"/>
      </w:pPr>
      <w:r>
        <w:rPr>
          <w:rFonts w:ascii="Barlow Semi Condensed" w:cs="Barlow Semi Condensed" w:eastAsia="Barlow Semi Condensed" w:hAnsi="Barlow Semi Condensed"/>
          <w:b/>
          <w:bCs/>
          <w:sz w:val="24"/>
          <w:szCs w:val="24"/>
        </w:rPr>
        <w:t xml:space="preserve">3061 · Q-Intl/1 in formato pista.</w:t>
      </w:r>
      <w:r>
        <w:rPr>
          <w:rFonts w:ascii="Barlow Semi Condensed" w:cs="Barlow Semi Condensed" w:eastAsia="Barlow Semi Condensed" w:hAnsi="Barlow Semi Condensed"/>
          <w:sz w:val="24"/>
          <w:szCs w:val="24"/>
        </w:rPr>
        <w:t xml:space="preserve"> Scritta nei sei campi del programma, la questione del flusso informativo diventa lavorabile. Oggetto: che cosa gli alleati appresero e riferirono nei 55 giorni. Stato: serie in parte libere, in parte trattenute, mai censite. Atto: interrogazione sistematica dei telegrammi elettronici e delle schede di ritiro, finestra 16 marzo – 31 dicembre 1978. Sede: National Archives e biblioteca FOIA. Chiusura: la tavola rilasciato-trattenuto, che oggi non esiste.</w:t>
      </w:r>
    </w:p>
    <w:p>
      <w:pPr>
        <w:spacing w:after="120" w:line="276"/>
        <w:jc w:val="both"/>
      </w:pPr>
      <w:r>
        <w:rPr>
          <w:rFonts w:ascii="Barlow Semi Condensed" w:cs="Barlow Semi Condensed" w:eastAsia="Barlow Semi Condensed" w:hAnsi="Barlow Semi Condensed"/>
          <w:b/>
          <w:bCs/>
          <w:sz w:val="24"/>
          <w:szCs w:val="24"/>
        </w:rPr>
        <w:t xml:space="preserve">3062 · L'evidenza discriminante del flusso.</w:t>
      </w:r>
      <w:r>
        <w:rPr>
          <w:rFonts w:ascii="Barlow Semi Condensed" w:cs="Barlow Semi Condensed" w:eastAsia="Barlow Semi Condensed" w:hAnsi="Barlow Semi Condensed"/>
          <w:sz w:val="24"/>
          <w:szCs w:val="24"/>
        </w:rPr>
        <w:t xml:space="preserve"> Discrimina un solo genere di documento: un atto estero datato entro i 55 giorni che contenga un'informazione operativa sul sequestro non desumibile dalle fonti pubbliche italiane dell'epoca. Il metro è la cronologia pubblica minuto per minuto, che il corpus possiede. Tutto il resto — valutazioni, rassegne, previsioni — è percezione alleata, materia di storia diplomatica. La distinzione fra informazione operativa e valutazione è l'intera diagnosticità di questa pista.</w:t>
      </w:r>
    </w:p>
    <w:p>
      <w:pPr>
        <w:spacing w:after="120" w:line="276"/>
        <w:jc w:val="both"/>
      </w:pPr>
      <w:r>
        <w:rPr>
          <w:rFonts w:ascii="Barlow Semi Condensed" w:cs="Barlow Semi Condensed" w:eastAsia="Barlow Semi Condensed" w:hAnsi="Barlow Semi Condensed"/>
          <w:b/>
          <w:bCs/>
          <w:sz w:val="24"/>
          <w:szCs w:val="24"/>
        </w:rPr>
        <w:t xml:space="preserve">3063 · Chiusura nei due sensi.</w:t>
      </w:r>
      <w:r>
        <w:rPr>
          <w:rFonts w:ascii="Barlow Semi Condensed" w:cs="Barlow Semi Condensed" w:eastAsia="Barlow Semi Condensed" w:hAnsi="Barlow Semi Condensed"/>
          <w:sz w:val="24"/>
          <w:szCs w:val="24"/>
        </w:rPr>
        <w:t xml:space="preserve"> Chiude nei due sensi, ed è la qualità migliore che una pista possa avere. Se lo spoglio integrale dei fondi accessibili non produce alcun atto di quel genere, l'ipotesi più banale resta la meno incoerente e il quesito retrocede a storia della percezione. Se un atto simile emerge, si apre un accertamento con sede e segnatura. Nessuno dei due esiti nomina un responsabile, ed è per questo che la pista è proponibile.</w:t>
      </w:r>
    </w:p>
    <w:p>
      <w:pPr>
        <w:spacing w:after="120" w:line="276"/>
        <w:jc w:val="both"/>
      </w:pPr>
      <w:r>
        <w:rPr>
          <w:rFonts w:ascii="Barlow Semi Condensed" w:cs="Barlow Semi Condensed" w:eastAsia="Barlow Semi Condensed" w:hAnsi="Barlow Semi Condensed"/>
          <w:b/>
          <w:bCs/>
          <w:sz w:val="24"/>
          <w:szCs w:val="24"/>
        </w:rPr>
        <w:t xml:space="preserve">3064 · L'avvocato del diavolo di questa serie.</w:t>
      </w:r>
      <w:r>
        <w:rPr>
          <w:rFonts w:ascii="Barlow Semi Condensed" w:cs="Barlow Semi Condensed" w:eastAsia="Barlow Semi Condensed" w:hAnsi="Barlow Semi Condensed"/>
          <w:sz w:val="24"/>
          <w:szCs w:val="24"/>
        </w:rPr>
        <w:t xml:space="preserve"> Il manuale prescrive che in ogni matrice un membro difenda d'ufficio l'ipotesi meno gradita e che la difesa sia verbalizzata prima della chiusura. Qui l'ipotesi meno gradita è che il nome conti e che il silenzio del territorio misuri soltanto una ricerca mai fatta. La difesa si verbalizza così: nessuno ha mai spogliato le duemila buste con questa chiave. Obiezione seria, che si chiude con lo spoglio e non con una replica.</w:t>
      </w:r>
    </w:p>
    <w:p>
      <w:pPr>
        <w:spacing w:after="120" w:line="276"/>
        <w:jc w:val="both"/>
      </w:pPr>
      <w:r>
        <w:rPr>
          <w:rFonts w:ascii="Barlow Semi Condensed" w:cs="Barlow Semi Condensed" w:eastAsia="Barlow Semi Condensed" w:hAnsi="Barlow Semi Condensed"/>
          <w:b/>
          <w:bCs/>
          <w:sz w:val="24"/>
          <w:szCs w:val="24"/>
        </w:rPr>
        <w:t xml:space="preserve">3065 · La Nota di revisione come modello (serie XL).</w:t>
      </w:r>
      <w:r>
        <w:rPr>
          <w:rFonts w:ascii="Barlow Semi Condensed" w:cs="Barlow Semi Condensed" w:eastAsia="Barlow Semi Condensed" w:hAnsi="Barlow Semi Condensed"/>
          <w:sz w:val="24"/>
          <w:szCs w:val="24"/>
        </w:rPr>
        <w:t xml:space="preserve"> Retrocedere un'evidenza propria: è ciò che la Nota di revisione numero uno fa alla matrice sulle due moto, dopo che il teste ammise ai consulenti della Moro 2 che il parabrezza non era stato infranto dai colpi, com'è visibile nelle fotografie del mattino stesso. La riga scende da diagnostica a controversa. Questa serie adotta quel modello: una retrocessione dichiarata vale più di una conferma comoda.</w:t>
      </w:r>
    </w:p>
    <w:p>
      <w:pPr>
        <w:spacing w:after="120" w:line="276"/>
        <w:jc w:val="both"/>
      </w:pPr>
      <w:r>
        <w:rPr>
          <w:rFonts w:ascii="Barlow Semi Condensed" w:cs="Barlow Semi Condensed" w:eastAsia="Barlow Semi Condensed" w:hAnsi="Barlow Semi Condensed"/>
          <w:b/>
          <w:bCs/>
          <w:sz w:val="24"/>
          <w:szCs w:val="24"/>
        </w:rPr>
        <w:t xml:space="preserve">3066 · Correggere contro se stessi.</w:t>
      </w:r>
      <w:r>
        <w:rPr>
          <w:rFonts w:ascii="Barlow Semi Condensed" w:cs="Barlow Semi Condensed" w:eastAsia="Barlow Semi Condensed" w:hAnsi="Barlow Semi Condensed"/>
          <w:sz w:val="24"/>
          <w:szCs w:val="24"/>
        </w:rPr>
        <w:t xml:space="preserve"> Dal caso del parabrezza si ricava una conseguenza che il territorio enuncia e che questa serie estende: nessuna testimonianza decide più nulla, da sola, su via Fani — decidono i reperti. Trasposta al versante internazionale, la regola dice che una deposizione de relato del 1982, per quanto autorevole la sede, non può reggere da sola alcun nesso. Servono carte coeve, e la loro ricerca è l'atto che manca.</w:t>
      </w:r>
    </w:p>
    <w:p>
      <w:pPr>
        <w:spacing w:after="120" w:line="276"/>
        <w:jc w:val="both"/>
      </w:pPr>
      <w:r>
        <w:rPr>
          <w:rFonts w:ascii="Barlow Semi Condensed" w:cs="Barlow Semi Condensed" w:eastAsia="Barlow Semi Condensed" w:hAnsi="Barlow Semi Condensed"/>
          <w:b/>
          <w:bCs/>
          <w:sz w:val="24"/>
          <w:szCs w:val="24"/>
        </w:rPr>
        <w:t xml:space="preserve">3067 · Il presidio primo applicato.</w:t>
      </w:r>
      <w:r>
        <w:rPr>
          <w:rFonts w:ascii="Barlow Semi Condensed" w:cs="Barlow Semi Condensed" w:eastAsia="Barlow Semi Condensed" w:hAnsi="Barlow Semi Condensed"/>
          <w:sz w:val="24"/>
          <w:szCs w:val="24"/>
        </w:rPr>
        <w:t xml:space="preserve"> Il primo presidio del capitolo quarto stabilisce che nessuna pista contiene un nome come esito atteso: contiene un reperto, un documento, una deposizione, e se un atto identificherà qualcuno lo dirà un giudice. Questa serie ne è l'applicazione più esposta, perché lavora su un nome. L'esito atteso resta però documentale: una tavola del trattenuto, un fascicolo FOIA integrale, due testi primari negli archivi parlamentari. Nessun altro esito è ammissibile.</w:t>
      </w:r>
    </w:p>
    <w:p>
      <w:pPr>
        <w:spacing w:after="120" w:line="276"/>
        <w:jc w:val="both"/>
      </w:pPr>
      <w:r>
        <w:rPr>
          <w:rFonts w:ascii="Barlow Semi Condensed" w:cs="Barlow Semi Condensed" w:eastAsia="Barlow Semi Condensed" w:hAnsi="Barlow Semi Condensed"/>
          <w:b/>
          <w:bCs/>
          <w:sz w:val="24"/>
          <w:szCs w:val="24"/>
        </w:rPr>
        <w:t xml:space="preserve">3068 · Il registro resta chiuso.</w:t>
      </w:r>
      <w:r>
        <w:rPr>
          <w:rFonts w:ascii="Barlow Semi Condensed" w:cs="Barlow Semi Condensed" w:eastAsia="Barlow Semi Condensed" w:hAnsi="Barlow Semi Condensed"/>
          <w:sz w:val="24"/>
          <w:szCs w:val="24"/>
        </w:rPr>
        <w:t xml:space="preserve"> Con il terzo presidio il territorio stabilisce che i tredici del giudicato non crescono per suggestione, che gli assolti restano assolti e che le percentuali di colpa non esistono. La disciplina dell'opera aggiunge il caso limite: qui si tratta di un uomo mai condannato, mai imputato, mai processato in alcun Paese. Il registro resta chiuso nelle due direzioni — non si aggiungono nomi, e non si aggiungono gradi a chi ne resta fuori.</w:t>
      </w:r>
    </w:p>
    <w:p>
      <w:pPr>
        <w:spacing w:after="120" w:line="276"/>
        <w:jc w:val="both"/>
      </w:pPr>
      <w:r>
        <w:rPr>
          <w:rFonts w:ascii="Barlow Semi Condensed" w:cs="Barlow Semi Condensed" w:eastAsia="Barlow Semi Condensed" w:hAnsi="Barlow Semi Condensed"/>
          <w:b/>
          <w:bCs/>
          <w:sz w:val="24"/>
          <w:szCs w:val="24"/>
        </w:rPr>
        <w:t xml:space="preserve">3069 · La priorità è falsificabile.</w:t>
      </w:r>
      <w:r>
        <w:rPr>
          <w:rFonts w:ascii="Barlow Semi Condensed" w:cs="Barlow Semi Condensed" w:eastAsia="Barlow Semi Condensed" w:hAnsi="Barlow Semi Condensed"/>
          <w:sz w:val="24"/>
          <w:szCs w:val="24"/>
        </w:rPr>
        <w:t xml:space="preserve"> Quarto presidio: la matrice del capitolo terzo è essa stessa un'asserzione soggetta a critica, e chi ritenga più fruttuosa un'altra gerarchia deve dire quale evidenza la giustifichi. Chi volesse portare il versante atlantico sopra i settanta punti deve perciò indicare la matrice che un documento estero discriminerebbe, e nominarla. Finché nessuna è nominata, la posizione bassa non è un pregiudizio del modello: è il modello applicato onestamente.</w:t>
      </w:r>
    </w:p>
    <w:p>
      <w:pPr>
        <w:spacing w:after="120" w:line="276"/>
        <w:jc w:val="both"/>
      </w:pPr>
      <w:r>
        <w:rPr>
          <w:rFonts w:ascii="Barlow Semi Condensed" w:cs="Barlow Semi Condensed" w:eastAsia="Barlow Semi Condensed" w:hAnsi="Barlow Semi Condensed"/>
          <w:b/>
          <w:bCs/>
          <w:sz w:val="24"/>
          <w:szCs w:val="24"/>
        </w:rPr>
        <w:t xml:space="preserve">3070 · Il corpus non è tribunale parallelo.</w:t>
      </w:r>
      <w:r>
        <w:rPr>
          <w:rFonts w:ascii="Barlow Semi Condensed" w:cs="Barlow Semi Condensed" w:eastAsia="Barlow Semi Condensed" w:hAnsi="Barlow Semi Condensed"/>
          <w:sz w:val="24"/>
          <w:szCs w:val="24"/>
        </w:rPr>
        <w:t xml:space="preserve"> Contribuente di metodo e non tribunale parallelo: così il quinto presidio definisce il corpus, che offre quesiti scritti, piste ordinate e criteri di chiusura a chi ha i poteri che esso non ha e non vuole. È la ragione per cui questa serie può nominare un uomo senza addebitargli nulla: ne fa una stringa di ricerca, non un soggetto processuale. Confondere le due cose trasformerebbe un programma d'archivio in un atto d'accusa.</w:t>
      </w:r>
    </w:p>
    <w:p>
      <w:pPr>
        <w:spacing w:after="120" w:line="276"/>
        <w:jc w:val="both"/>
      </w:pPr>
      <w:r>
        <w:rPr>
          <w:rFonts w:ascii="Barlow Semi Condensed" w:cs="Barlow Semi Condensed" w:eastAsia="Barlow Semi Condensed" w:hAnsi="Barlow Semi Condensed"/>
          <w:b/>
          <w:bCs/>
          <w:sz w:val="24"/>
          <w:szCs w:val="24"/>
        </w:rPr>
        <w:t xml:space="preserve">3071 · Il metodo dei cold case, quattro voci.</w:t>
      </w:r>
      <w:r>
        <w:rPr>
          <w:rFonts w:ascii="Barlow Semi Condensed" w:cs="Barlow Semi Condensed" w:eastAsia="Barlow Semi Condensed" w:hAnsi="Barlow Semi Condensed"/>
          <w:sz w:val="24"/>
          <w:szCs w:val="24"/>
        </w:rPr>
        <w:t xml:space="preserve"> Lo statuto del documento elenca le leve del metodo: re-inventario dei reperti, scienze forensi sopravvenute, ri-escussione dei testimoni viventi, archivi sbloccati. Delle quattro, tre non toccano questa serie — non ci sono reperti da re-inventariare, nessuna scienza forense si applica a un colloquio, i testimoni sono morti. Resta la quarta, e vale per intero: è l'unica leva su cui il versante internazionale possa ancora essere lavorato.</w:t>
      </w:r>
    </w:p>
    <w:p>
      <w:pPr>
        <w:spacing w:after="120" w:line="276"/>
        <w:jc w:val="both"/>
      </w:pPr>
      <w:r>
        <w:rPr>
          <w:rFonts w:ascii="Barlow Semi Condensed" w:cs="Barlow Semi Condensed" w:eastAsia="Barlow Semi Condensed" w:hAnsi="Barlow Semi Condensed"/>
          <w:b/>
          <w:bCs/>
          <w:sz w:val="24"/>
          <w:szCs w:val="24"/>
        </w:rPr>
        <w:t xml:space="preserve">3072 · La direttiva del 22 aprile 2014.</w:t>
      </w:r>
      <w:r>
        <w:rPr>
          <w:rFonts w:ascii="Barlow Semi Condensed" w:cs="Barlow Semi Condensed" w:eastAsia="Barlow Semi Condensed" w:hAnsi="Barlow Semi Condensed"/>
          <w:sz w:val="24"/>
          <w:szCs w:val="24"/>
        </w:rPr>
        <w:t xml:space="preserve"> La direttiva del Presidente del Consiglio del 22 aprile 2014, pubblicata nella Gazzetta Ufficiale n. 100 del 2 maggio 2014, dispose la declassificazione e il versamento all'Archivio Centrale dello Stato della documentazione sulle stragi. È l'atto che rende possibile P-5, definita strutturale perché alimenta tutte le altre. Nulla in essa riguarda documenti di origine estera: la regola dell'originatore resta fuori dal suo perimetro, e va detto.</w:t>
      </w:r>
    </w:p>
    <w:p>
      <w:pPr>
        <w:spacing w:after="120" w:line="276"/>
        <w:jc w:val="both"/>
      </w:pPr>
      <w:r>
        <w:rPr>
          <w:rFonts w:ascii="Barlow Semi Condensed" w:cs="Barlow Semi Condensed" w:eastAsia="Barlow Semi Condensed" w:hAnsi="Barlow Semi Condensed"/>
          <w:b/>
          <w:bCs/>
          <w:sz w:val="24"/>
          <w:szCs w:val="24"/>
        </w:rPr>
        <w:t xml:space="preserve">3073 · L'estensione del 2 dicembre 2014.</w:t>
      </w:r>
      <w:r>
        <w:rPr>
          <w:rFonts w:ascii="Barlow Semi Condensed" w:cs="Barlow Semi Condensed" w:eastAsia="Barlow Semi Condensed" w:hAnsi="Barlow Semi Condensed"/>
          <w:sz w:val="24"/>
          <w:szCs w:val="24"/>
        </w:rPr>
        <w:t xml:space="preserve"> L'estensione arrivò il 2 dicembre 2014, quando l'obbligo fu riferito espressamente al sequestro e all'omicidio di Aldo Moro; i versamenti erano avviati dal 1° agosto 2014. La sequenza va tenuta ferma perché fissa la data da cui il giacimento è interrogabile con le chiavi del caso. Da allora nessuna pubblicazione risulta aver spogliato il fondo con la chiave di questa serie: è la lacuna che il blocco precedente misura.</w:t>
      </w:r>
    </w:p>
    <w:p>
      <w:pPr>
        <w:spacing w:after="120" w:line="276"/>
        <w:jc w:val="both"/>
      </w:pPr>
      <w:r>
        <w:rPr>
          <w:rFonts w:ascii="Barlow Semi Condensed" w:cs="Barlow Semi Condensed" w:eastAsia="Barlow Semi Condensed" w:hAnsi="Barlow Semi Condensed"/>
          <w:b/>
          <w:bCs/>
          <w:sz w:val="24"/>
          <w:szCs w:val="24"/>
        </w:rPr>
        <w:t xml:space="preserve">3074 · La sala delle raccolte speciali.</w:t>
      </w:r>
      <w:r>
        <w:rPr>
          <w:rFonts w:ascii="Barlow Semi Condensed" w:cs="Barlow Semi Condensed" w:eastAsia="Barlow Semi Condensed" w:hAnsi="Barlow Semi Condensed"/>
          <w:sz w:val="24"/>
          <w:szCs w:val="24"/>
        </w:rPr>
        <w:t xml:space="preserve"> P-4 indica come sede la Sala delle raccolte speciali dell'Archivio Centrale dello Stato e gli archivi del Ministero dell'Interno; P-5 indica l'ACS senza ulteriori specificazioni. Per questa serie la sede è la stessa e la richiesta è formulabile in una riga: se nei versamenti del Viminale esistano atti dei 55 giorni che riferiscano contatti con l'ambasciata statunitense, e con quali interlocutori. Fattibilità alta, rendimento ignoto, nessuna istanza mai depositata.</w:t>
      </w:r>
    </w:p>
    <w:p>
      <w:pPr>
        <w:spacing w:after="120" w:line="276"/>
        <w:jc w:val="both"/>
      </w:pPr>
      <w:r>
        <w:rPr>
          <w:rFonts w:ascii="Barlow Semi Condensed" w:cs="Barlow Semi Condensed" w:eastAsia="Barlow Semi Condensed" w:hAnsi="Barlow Semi Condensed"/>
          <w:b/>
          <w:bCs/>
          <w:sz w:val="24"/>
          <w:szCs w:val="24"/>
        </w:rPr>
        <w:t xml:space="preserve">3075 · L'Archivio storico diplomatico, serie 1978.</w:t>
      </w:r>
      <w:r>
        <w:rPr>
          <w:rFonts w:ascii="Barlow Semi Condensed" w:cs="Barlow Semi Condensed" w:eastAsia="Barlow Semi Condensed" w:hAnsi="Barlow Semi Condensed"/>
          <w:sz w:val="24"/>
          <w:szCs w:val="24"/>
        </w:rPr>
        <w:t xml:space="preserve"> Fra gli archivi che si apriranno, P-9 nomina le serie 1978 dell'Archivio Storico Diplomatico della Farnesina, con le istanze pronte al giorno dell'apertura. È la sede italiana del versante atlantico, speculare a quella americana: i telespressi e i rapporti della sede di Washington nei 55 giorni. Il quesito da scrivere fin d'ora è enumerativo e non interpretativo — quanti atti, di quale genere, con quali destinatari — e non richiede alcun nome.</w:t>
      </w:r>
    </w:p>
    <w:p>
      <w:pPr>
        <w:spacing w:after="120" w:line="276"/>
        <w:jc w:val="both"/>
      </w:pPr>
      <w:r>
        <w:rPr>
          <w:rFonts w:ascii="Barlow Semi Condensed" w:cs="Barlow Semi Condensed" w:eastAsia="Barlow Semi Condensed" w:hAnsi="Barlow Semi Condensed"/>
          <w:b/>
          <w:bCs/>
          <w:sz w:val="24"/>
          <w:szCs w:val="24"/>
        </w:rPr>
        <w:t xml:space="preserve">3076 · La sede italiana a Washington.</w:t>
      </w:r>
      <w:r>
        <w:rPr>
          <w:rFonts w:ascii="Barlow Semi Condensed" w:cs="Barlow Semi Condensed" w:eastAsia="Barlow Semi Condensed" w:hAnsi="Barlow Semi Condensed"/>
          <w:sz w:val="24"/>
          <w:szCs w:val="24"/>
        </w:rPr>
        <w:t xml:space="preserve"> Il traffico che PE-5 chiama Roma-Washington ha due capi, e il territorio ne nomina uno solo. Il capo italiano — ciò che l'ambasciata riferì alla Farnesina fra marzo e maggio 1978 — non è oggetto di alcuna pista, di alcun punteggio, di alcuna riga di tabella. È una lacuna simmetrica e finora non verbalizzata: si chiude all'Archivio Storico Diplomatico, e la sua chiusura non dipende da alcun consenso estero.</w:t>
      </w:r>
    </w:p>
    <w:p>
      <w:pPr>
        <w:spacing w:after="120" w:line="276"/>
        <w:jc w:val="both"/>
      </w:pPr>
      <w:r>
        <w:rPr>
          <w:rFonts w:ascii="Barlow Semi Condensed" w:cs="Barlow Semi Condensed" w:eastAsia="Barlow Semi Condensed" w:hAnsi="Barlow Semi Condensed"/>
          <w:b/>
          <w:bCs/>
          <w:sz w:val="24"/>
          <w:szCs w:val="24"/>
        </w:rPr>
        <w:t xml:space="preserve">3077 · Il verbale del vuoto di questa serie.</w:t>
      </w:r>
      <w:r>
        <w:rPr>
          <w:rFonts w:ascii="Barlow Semi Condensed" w:cs="Barlow Semi Condensed" w:eastAsia="Barlow Semi Condensed" w:hAnsi="Barlow Semi Condensed"/>
          <w:sz w:val="24"/>
          <w:szCs w:val="24"/>
        </w:rPr>
        <w:t xml:space="preserve"> Ogni ricerca a vuoto si verbalizza con perimetro esatto — che cosa è stato cercato, dove, quando — perché il verbale impedisce di cercare due volte e fonda lo Stato Zero. Perimetro di questa serie: il programma investigativo e i suoi due approfondimenti, il lotto del Dipartimento di Stato nella cartella Farnesina, il documento delle metodologie. Esito: nessuna occorrenza nel territorio, nessuna nel lotto. Ricognizione del 26 agosto 2026.</w:t>
      </w:r>
    </w:p>
    <w:p>
      <w:pPr>
        <w:spacing w:after="120" w:line="276"/>
        <w:jc w:val="both"/>
      </w:pPr>
      <w:r>
        <w:rPr>
          <w:rFonts w:ascii="Barlow Semi Condensed" w:cs="Barlow Semi Condensed" w:eastAsia="Barlow Semi Condensed" w:hAnsi="Barlow Semi Condensed"/>
          <w:b/>
          <w:bCs/>
          <w:sz w:val="24"/>
          <w:szCs w:val="24"/>
        </w:rPr>
        <w:t xml:space="preserve">3078 · La disciplina delle fonti in questo territorio.</w:t>
      </w:r>
      <w:r>
        <w:rPr>
          <w:rFonts w:ascii="Barlow Semi Condensed" w:cs="Barlow Semi Condensed" w:eastAsia="Barlow Semi Condensed" w:hAnsi="Barlow Semi Condensed"/>
          <w:sz w:val="24"/>
          <w:szCs w:val="24"/>
        </w:rPr>
        <w:t xml:space="preserve"> Due testate sono state escluse dal committente dal novero delle fonti utilizzabili, e nessun blocco di questa serie vi attinge. La disciplina non è formale: su un terreno dove la pubblicistica ha costruito più che altrove, il perimetro delle fonti ammesse è parte del metodo. Le fonti impiegate qui sono i file del corpus, gli atti che essi citano e le segnature che essi riportano, tutte nominate e tutte verificabili.</w:t>
      </w:r>
    </w:p>
    <w:p>
      <w:pPr>
        <w:spacing w:after="120" w:line="276"/>
        <w:jc w:val="both"/>
      </w:pPr>
      <w:r>
        <w:rPr>
          <w:rFonts w:ascii="Barlow Semi Condensed" w:cs="Barlow Semi Condensed" w:eastAsia="Barlow Semi Condensed" w:hAnsi="Barlow Semi Condensed"/>
          <w:b/>
          <w:bCs/>
          <w:sz w:val="24"/>
          <w:szCs w:val="24"/>
        </w:rPr>
        <w:t xml:space="preserve">3079 · L'auto-misurazione del rendimento.</w:t>
      </w:r>
      <w:r>
        <w:rPr>
          <w:rFonts w:ascii="Barlow Semi Condensed" w:cs="Barlow Semi Condensed" w:eastAsia="Barlow Semi Condensed" w:hAnsi="Barlow Semi Condensed"/>
          <w:sz w:val="24"/>
          <w:szCs w:val="24"/>
        </w:rPr>
        <w:t xml:space="preserve"> Questa serie dichiara in anticipo il proprio rendimento, come il corpus prescrive quando si auto-misura: prevalenza di Stati Zero, nessun ponte di primo piano, un solo punto di saldatura documentale in PE-5. Chi cercasse qui un guadagno di conoscenza sul mandante non ne troverà. Il guadagno è di altra natura: il territorio investigativo risulta, per la prima volta, interrogato su questo nome e verbalizzato nel proprio silenzio.</w:t>
      </w:r>
    </w:p>
    <w:p>
      <w:pPr>
        <w:spacing w:after="120" w:line="276"/>
        <w:jc w:val="both"/>
      </w:pPr>
      <w:r>
        <w:rPr>
          <w:rFonts w:ascii="Barlow Semi Condensed" w:cs="Barlow Semi Condensed" w:eastAsia="Barlow Semi Condensed" w:hAnsi="Barlow Semi Condensed"/>
          <w:b/>
          <w:bCs/>
          <w:sz w:val="24"/>
          <w:szCs w:val="24"/>
        </w:rPr>
        <w:t xml:space="preserve">3080 · Congedo: un silenzio ben dichiarato.</w:t>
      </w:r>
      <w:r>
        <w:rPr>
          <w:rFonts w:ascii="Barlow Semi Condensed" w:cs="Barlow Semi Condensed" w:eastAsia="Barlow Semi Condensed" w:hAnsi="Barlow Semi Condensed"/>
          <w:sz w:val="24"/>
          <w:szCs w:val="24"/>
        </w:rPr>
        <w:t xml:space="preserve"> Ventiquattro piste, tre tabelle, due graduatorie a punteggio, un fascicolo aperto a Roma e circa duemila buste versate: il programma investigativo è il documento più operativo del corpus, e non nomina quest'uomo neppure una volta. La serie si chiude su quel dato, senza aggiungervi nulla. Un blocco che dichiara bene un'assenza vale più di uno che suggerisce una presenza, e ottanta bersagli servivano a dichiararla bene.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quarantunesima — Le piste di testa</w:t>
      </w:r>
    </w:p>
    <w:p>
      <w:pPr>
        <w:spacing w:after="120" w:line="276"/>
        <w:jc w:val="both"/>
      </w:pPr>
      <w:r>
        <w:rPr>
          <w:rFonts w:ascii="Barlow Semi Condensed" w:cs="Barlow Semi Condensed" w:eastAsia="Barlow Semi Condensed" w:hAnsi="Barlow Semi Condensed"/>
          <w:i/>
          <w:iCs/>
          <w:sz w:val="24"/>
          <w:szCs w:val="24"/>
        </w:rPr>
        <w:t xml:space="preserve">Blocchi 3081-3155.</w:t>
      </w:r>
    </w:p>
    <w:p>
      <w:pPr>
        <w:spacing w:after="120" w:line="276"/>
        <w:jc w:val="both"/>
      </w:pPr>
      <w:r>
        <w:rPr>
          <w:rFonts w:ascii="Barlow Semi Condensed" w:cs="Barlow Semi Condensed" w:eastAsia="Barlow Semi Condensed" w:hAnsi="Barlow Semi Condensed"/>
          <w:b/>
          <w:bCs/>
          <w:sz w:val="24"/>
          <w:szCs w:val="24"/>
        </w:rPr>
        <w:t xml:space="preserve">3081 · Il territorio e il quesito.</w:t>
      </w:r>
      <w:r>
        <w:rPr>
          <w:rFonts w:ascii="Barlow Semi Condensed" w:cs="Barlow Semi Condensed" w:eastAsia="Barlow Semi Condensed" w:hAnsi="Barlow Semi Condensed"/>
          <w:sz w:val="24"/>
          <w:szCs w:val="24"/>
        </w:rPr>
        <w:t xml:space="preserve"> La serie triangola un solo nome contro un solo documento: l'approfondimento delle piste di testa, cioè le quattro schede sopra i settanta punti — PN-1 a 89,0, PN-7 a 77,5, PN-4 a 74,5, PN-2 a 71,0 — e la Nota di revisione n. 1 che le precede. Non si cerca una presenza: si cerca dove il testo nomini Henry Kissinger, dove convergano soltanto cornici, e dove taccia del tutto.</w:t>
      </w:r>
    </w:p>
    <w:p>
      <w:pPr>
        <w:spacing w:after="120" w:line="276"/>
        <w:jc w:val="both"/>
      </w:pPr>
      <w:r>
        <w:rPr>
          <w:rFonts w:ascii="Barlow Semi Condensed" w:cs="Barlow Semi Condensed" w:eastAsia="Barlow Semi Condensed" w:hAnsi="Barlow Semi Condensed"/>
          <w:b/>
          <w:bCs/>
          <w:sz w:val="24"/>
          <w:szCs w:val="24"/>
        </w:rPr>
        <w:t xml:space="preserve">3082 · Lo spoglio lessicale, eseguito.</w:t>
      </w:r>
      <w:r>
        <w:rPr>
          <w:rFonts w:ascii="Barlow Semi Condensed" w:cs="Barlow Semi Condensed" w:eastAsia="Barlow Semi Condensed" w:hAnsi="Barlow Semi Condensed"/>
          <w:sz w:val="24"/>
          <w:szCs w:val="24"/>
        </w:rPr>
        <w:t xml:space="preserve"> Il file è stato interrogato per intero, con verifica a confini di parola: «Kissinger», «Stati Uniti», «statunitense», «americano», «Washington», «atlantico», «internazionale», «FOIA» e «NARA» non vi compaiono, in nessuna forma flessa. L'accertamento è meccanico e chiunque riapra il documento lo ripete in un minuto. Non è un'impressione di lettura: è un censimento negativo su testo chiuso, e come tale ha grado pieno.</w:t>
      </w:r>
    </w:p>
    <w:p>
      <w:pPr>
        <w:spacing w:after="120" w:line="276"/>
        <w:jc w:val="both"/>
      </w:pPr>
      <w:r>
        <w:rPr>
          <w:rFonts w:ascii="Barlow Semi Condensed" w:cs="Barlow Semi Condensed" w:eastAsia="Barlow Semi Condensed" w:hAnsi="Barlow Semi Condensed"/>
          <w:b/>
          <w:bCs/>
          <w:sz w:val="24"/>
          <w:szCs w:val="24"/>
        </w:rPr>
        <w:t xml:space="preserve">3083 · Stato Zero primo, con la sede.</w:t>
      </w:r>
      <w:r>
        <w:rPr>
          <w:rFonts w:ascii="Barlow Semi Condensed" w:cs="Barlow Semi Condensed" w:eastAsia="Barlow Semi Condensed" w:hAnsi="Barlow Semi Condensed"/>
          <w:sz w:val="24"/>
          <w:szCs w:val="24"/>
        </w:rPr>
        <w:t xml:space="preserve"> Si verbalizza dunque il primo esito negativo: dal territorio assegnato non risulta alcun rapporto di piano 1 fra Henry Kissinger e le quattro piste di testa. La sede che lo chiuderebbe non è il documento, già letto per intero: sono il fascicolo della Procura di Roma sulle terze presenze e l'inventario dei corpi di reato depositati presso il Tribunale e la Corte d'assise di Roma.</w:t>
      </w:r>
    </w:p>
    <w:p>
      <w:pPr>
        <w:spacing w:after="120" w:line="276"/>
        <w:jc w:val="both"/>
      </w:pPr>
      <w:r>
        <w:rPr>
          <w:rFonts w:ascii="Barlow Semi Condensed" w:cs="Barlow Semi Condensed" w:eastAsia="Barlow Semi Condensed" w:hAnsi="Barlow Semi Condensed"/>
          <w:b/>
          <w:bCs/>
          <w:sz w:val="24"/>
          <w:szCs w:val="24"/>
        </w:rPr>
        <w:t xml:space="preserve">3084 · Che cosa qui sarebbe un ponte.</w:t>
      </w:r>
      <w:r>
        <w:rPr>
          <w:rFonts w:ascii="Barlow Semi Condensed" w:cs="Barlow Semi Condensed" w:eastAsia="Barlow Semi Condensed" w:hAnsi="Barlow Semi Condensed"/>
          <w:sz w:val="24"/>
          <w:szCs w:val="24"/>
        </w:rPr>
        <w:t xml:space="preserve"> Perché un ponte esista su questo terreno serve un oggetto preciso: un documento di provenienza che nomini insieme la controparte e il reperto — un verbale di movimentazione, una nota di trasmissione, una richiesta di comparazione, una relazione peritale con firma estera. Nessuna delle quattro schede ne contiene uno. La somiglianza fra cornici storiche non produce quel documento, e senza quel documento non si scrive nulla.</w:t>
      </w:r>
    </w:p>
    <w:p>
      <w:pPr>
        <w:spacing w:after="120" w:line="276"/>
        <w:jc w:val="both"/>
      </w:pPr>
      <w:r>
        <w:rPr>
          <w:rFonts w:ascii="Barlow Semi Condensed" w:cs="Barlow Semi Condensed" w:eastAsia="Barlow Semi Condensed" w:hAnsi="Barlow Semi Condensed"/>
          <w:b/>
          <w:bCs/>
          <w:sz w:val="24"/>
          <w:szCs w:val="24"/>
        </w:rPr>
        <w:t xml:space="preserve">3085 · Perché questo territorio è severo.</w:t>
      </w:r>
      <w:r>
        <w:rPr>
          <w:rFonts w:ascii="Barlow Semi Condensed" w:cs="Barlow Semi Condensed" w:eastAsia="Barlow Semi Condensed" w:hAnsi="Barlow Semi Condensed"/>
          <w:sz w:val="24"/>
          <w:szCs w:val="24"/>
        </w:rPr>
        <w:t xml:space="preserve"> Le quattro piste di testa hanno una proprietà che le rende ostili a ogni triangolazione dottrinale: poggiano su ciò che non ritratta — novantuno bossoli, un caricatore, deposizioni da raccogliere, carte d'ufficio protocollate. Nessuna di esse è una pista di idee. Un nome che non compaia su un reperto, in un verbale o in un protocollo non ha qui alcun luogo dove appoggiarsi, e va detto senza attenuazioni.</w:t>
      </w:r>
    </w:p>
    <w:p>
      <w:pPr>
        <w:spacing w:after="120" w:line="276"/>
        <w:jc w:val="both"/>
      </w:pPr>
      <w:r>
        <w:rPr>
          <w:rFonts w:ascii="Barlow Semi Condensed" w:cs="Barlow Semi Condensed" w:eastAsia="Barlow Semi Condensed" w:hAnsi="Barlow Semi Condensed"/>
          <w:b/>
          <w:bCs/>
          <w:sz w:val="24"/>
          <w:szCs w:val="24"/>
        </w:rPr>
        <w:t xml:space="preserve">3086 · I tre piani calati sulle schede.</w:t>
      </w:r>
      <w:r>
        <w:rPr>
          <w:rFonts w:ascii="Barlow Semi Condensed" w:cs="Barlow Semi Condensed" w:eastAsia="Barlow Semi Condensed" w:hAnsi="Barlow Semi Condensed"/>
          <w:sz w:val="24"/>
          <w:szCs w:val="24"/>
        </w:rPr>
        <w:t xml:space="preserve"> Applicata qui, la regola dei tre piani dà un esito ordinato. Piano 1: nessuna occorrenza. Piano 2: la cornice atlantica del 1974 e il caso italiano del 1978 stanno dentro lo stesso quadro internazionale, e questo è tutto ciò che se ne può dire. Piano 3: le letture che negli ignoti di via Fani leggono una mano estera, circolanti e prive di riscontro. Nessun piano promuove l'altro.</w:t>
      </w:r>
    </w:p>
    <w:p>
      <w:pPr>
        <w:spacing w:after="120" w:line="276"/>
        <w:jc w:val="both"/>
      </w:pPr>
      <w:r>
        <w:rPr>
          <w:rFonts w:ascii="Barlow Semi Condensed" w:cs="Barlow Semi Condensed" w:eastAsia="Barlow Semi Condensed" w:hAnsi="Barlow Semi Condensed"/>
          <w:b/>
          <w:bCs/>
          <w:sz w:val="24"/>
          <w:szCs w:val="24"/>
        </w:rPr>
        <w:t xml:space="preserve">3087 · La ripartizione dei novantuno bossoli.</w:t>
      </w:r>
      <w:r>
        <w:rPr>
          <w:rFonts w:ascii="Barlow Semi Condensed" w:cs="Barlow Semi Condensed" w:eastAsia="Barlow Semi Condensed" w:hAnsi="Barlow Semi Condensed"/>
          <w:sz w:val="24"/>
          <w:szCs w:val="24"/>
        </w:rPr>
        <w:t xml:space="preserve"> La scheda PN-1 riporta la ripartizione storica: quarantanove bossoli a un'unica arma automatica, ventidue a un secondo FNAB-43, cinque a un TZ-45, tre a una Beretta M12, otto a una Smith &amp; Wesson nove millimetri. È l'inventario materiale più minuto che il corpus possieda su via Fani, e in nessuna delle sue cinque righe compare un elemento che rimandi a un'autorità straniera. L'assenza si registra qui.</w:t>
      </w:r>
    </w:p>
    <w:p>
      <w:pPr>
        <w:spacing w:after="120" w:line="276"/>
        <w:jc w:val="both"/>
      </w:pPr>
      <w:r>
        <w:rPr>
          <w:rFonts w:ascii="Barlow Semi Condensed" w:cs="Barlow Semi Condensed" w:eastAsia="Barlow Semi Condensed" w:hAnsi="Barlow Semi Condensed"/>
          <w:b/>
          <w:bCs/>
          <w:sz w:val="24"/>
          <w:szCs w:val="24"/>
        </w:rPr>
        <w:t xml:space="preserve">3088 · Una divergenza di laboratorio.</w:t>
      </w:r>
      <w:r>
        <w:rPr>
          <w:rFonts w:ascii="Barlow Semi Condensed" w:cs="Barlow Semi Condensed" w:eastAsia="Barlow Semi Condensed" w:hAnsi="Barlow Semi Condensed"/>
          <w:sz w:val="24"/>
          <w:szCs w:val="24"/>
        </w:rPr>
        <w:t xml:space="preserve"> Le tre stagioni peritali divergono: l'attribuzione originaria, la Salza-Benedetti degli anni Novanta che non riuscì a confermare i quarantanove a un'arma sola, l'esame del 2015 della Polizia di Stato per la Commissione Moro 2 che sostanzialmente riconfermò. La divergenza si riporta e non si scioglie. Va però qualificata per quello che è: un problema di comparatori e di metodo, non un varco per ipotesi di regia esterna.</w:t>
      </w:r>
    </w:p>
    <w:p>
      <w:pPr>
        <w:spacing w:after="120" w:line="276"/>
        <w:jc w:val="both"/>
      </w:pPr>
      <w:r>
        <w:rPr>
          <w:rFonts w:ascii="Barlow Semi Condensed" w:cs="Barlow Semi Condensed" w:eastAsia="Barlow Semi Condensed" w:hAnsi="Barlow Semi Condensed"/>
          <w:b/>
          <w:bCs/>
          <w:sz w:val="24"/>
          <w:szCs w:val="24"/>
        </w:rPr>
        <w:t xml:space="preserve">3089 · Il residuo, e ciò che non autorizza.</w:t>
      </w:r>
      <w:r>
        <w:rPr>
          <w:rFonts w:ascii="Barlow Semi Condensed" w:cs="Barlow Semi Condensed" w:eastAsia="Barlow Semi Condensed" w:hAnsi="Barlow Semi Condensed"/>
          <w:sz w:val="24"/>
          <w:szCs w:val="24"/>
        </w:rPr>
        <w:t xml:space="preserve"> Il quesito (c) della scheda chiede se esistano tracce fisiche non riconducibili alle armi del commando giudicato. Se un residuo emergesse, aprirebbe un'identificazione giudiziaria e nient'altro: un profilo ignoto è un ignoto, non una nazionalità. Il passaggio dal residuo alla mano straniera non è un'inferenza, è una sostituzione — e la scheda lo previene già, vietando di confondere la divergenza peritale con la prova del terzo uomo.</w:t>
      </w:r>
    </w:p>
    <w:p>
      <w:pPr>
        <w:spacing w:after="120" w:line="276"/>
        <w:jc w:val="both"/>
      </w:pPr>
      <w:r>
        <w:rPr>
          <w:rFonts w:ascii="Barlow Semi Condensed" w:cs="Barlow Semi Condensed" w:eastAsia="Barlow Semi Condensed" w:hAnsi="Barlow Semi Condensed"/>
          <w:b/>
          <w:bCs/>
          <w:sz w:val="24"/>
          <w:szCs w:val="24"/>
        </w:rPr>
        <w:t xml:space="preserve">3090 · Il tiratore d'eccezione, e la tentazione.</w:t>
      </w:r>
      <w:r>
        <w:rPr>
          <w:rFonts w:ascii="Barlow Semi Condensed" w:cs="Barlow Semi Condensed" w:eastAsia="Barlow Semi Condensed" w:hAnsi="Barlow Semi Condensed"/>
          <w:sz w:val="24"/>
          <w:szCs w:val="24"/>
        </w:rPr>
        <w:t xml:space="preserve"> Il tiratore d'eccezione estraneo al commando è qualificato dalla scheda come congettura interpretativa di grado C, costruita su un dato peritale controverso. È esattamente il punto in cui la pubblicistica introduce l'addestramento estero come spiegazione. Il corpus non lo fa, e la ragione è tecnica prima che prudenziale: nessun elemento della congettura contiene un attributo di provenienza. Un'ipotesi indeterminata non diventa determinata perché le si aggiunge un aggettivo.</w:t>
      </w:r>
    </w:p>
    <w:p>
      <w:pPr>
        <w:spacing w:after="120" w:line="276"/>
        <w:jc w:val="both"/>
      </w:pPr>
      <w:r>
        <w:rPr>
          <w:rFonts w:ascii="Barlow Semi Condensed" w:cs="Barlow Semi Condensed" w:eastAsia="Barlow Semi Condensed" w:hAnsi="Barlow Semi Condensed"/>
          <w:b/>
          <w:bCs/>
          <w:sz w:val="24"/>
          <w:szCs w:val="24"/>
        </w:rPr>
        <w:t xml:space="preserve">3091 · Omologia e analogia sui quarantanove colpi.</w:t>
      </w:r>
      <w:r>
        <w:rPr>
          <w:rFonts w:ascii="Barlow Semi Condensed" w:cs="Barlow Semi Condensed" w:eastAsia="Barlow Semi Condensed" w:hAnsi="Barlow Semi Condensed"/>
          <w:sz w:val="24"/>
          <w:szCs w:val="24"/>
        </w:rPr>
        <w:t xml:space="preserve"> Dalla perizia di tiro non si risale all'origine dell'addestramento: la somiglianza del risultato non prova l'antenato comune. Un'attribuzione mono-arma, se regge, descrive una mano ferma e nulla dice su dove quella mano imparò. Il test resta uno, e la scheda PN-1 non lo supera: un documento di provenienza che nomini la controparte. Finché manca, si è davanti a un'analogia, e le analogie non fondano genealogie.</w:t>
      </w:r>
    </w:p>
    <w:p>
      <w:pPr>
        <w:spacing w:after="120" w:line="276"/>
        <w:jc w:val="both"/>
      </w:pPr>
      <w:r>
        <w:rPr>
          <w:rFonts w:ascii="Barlow Semi Condensed" w:cs="Barlow Semi Condensed" w:eastAsia="Barlow Semi Condensed" w:hAnsi="Barlow Semi Condensed"/>
          <w:b/>
          <w:bCs/>
          <w:sz w:val="24"/>
          <w:szCs w:val="24"/>
        </w:rPr>
        <w:t xml:space="preserve">3092 · Catena di custodia, quesito nuovo.</w:t>
      </w:r>
      <w:r>
        <w:rPr>
          <w:rFonts w:ascii="Barlow Semi Condensed" w:cs="Barlow Semi Condensed" w:eastAsia="Barlow Semi Condensed" w:hAnsi="Barlow Semi Condensed"/>
          <w:sz w:val="24"/>
          <w:szCs w:val="24"/>
        </w:rPr>
        <w:t xml:space="preserve"> L'atto raffinato della scheda mette la ricostruzione della catena di custodia prima della scienza. Di qui nasce un quesito che il corpus non ha mai posto: nei quarantotto anni di movimentazioni, qualche reperto di via Fani fu mai trasmesso, in copia o in originale, a un laboratorio o a un organismo estero? Stato Zero. Lo chiuderebbero i registri di movimentazione dell'ufficio corpi di reato del Tribunale di Roma.</w:t>
      </w:r>
    </w:p>
    <w:p>
      <w:pPr>
        <w:spacing w:after="120" w:line="276"/>
        <w:jc w:val="both"/>
      </w:pPr>
      <w:r>
        <w:rPr>
          <w:rFonts w:ascii="Barlow Semi Condensed" w:cs="Barlow Semi Condensed" w:eastAsia="Barlow Semi Condensed" w:hAnsi="Barlow Semi Condensed"/>
          <w:b/>
          <w:bCs/>
          <w:sz w:val="24"/>
          <w:szCs w:val="24"/>
        </w:rPr>
        <w:t xml:space="preserve">3093 · Smith &amp; Wesson non è indizio.</w:t>
      </w:r>
      <w:r>
        <w:rPr>
          <w:rFonts w:ascii="Barlow Semi Condensed" w:cs="Barlow Semi Condensed" w:eastAsia="Barlow Semi Condensed" w:hAnsi="Barlow Semi Condensed"/>
          <w:sz w:val="24"/>
          <w:szCs w:val="24"/>
        </w:rPr>
        <w:t xml:space="preserve"> L'unico elemento statunitense presente nella scheda PN-1 è la casa costruttrice di una delle armi: otto bossoli di pistola Smith &amp; Wesson nove millimetri. La nazionalità di un fabbricante non è un attributo dell'atto, e trattarla come tale è il piano 3 nella sua forma più povera. Il rilievo si scrive proprio perché la tentazione è immediata: le armi circolano, i costruttori non sparano.</w:t>
      </w:r>
    </w:p>
    <w:p>
      <w:pPr>
        <w:spacing w:after="120" w:line="276"/>
        <w:jc w:val="both"/>
      </w:pPr>
      <w:r>
        <w:rPr>
          <w:rFonts w:ascii="Barlow Semi Condensed" w:cs="Barlow Semi Condensed" w:eastAsia="Barlow Semi Condensed" w:hAnsi="Barlow Semi Condensed"/>
          <w:b/>
          <w:bCs/>
          <w:sz w:val="24"/>
          <w:szCs w:val="24"/>
        </w:rPr>
        <w:t xml:space="preserve">3094 · Bersaglio di smentita per PN-1.</w:t>
      </w:r>
      <w:r>
        <w:rPr>
          <w:rFonts w:ascii="Barlow Semi Condensed" w:cs="Barlow Semi Condensed" w:eastAsia="Barlow Semi Condensed" w:hAnsi="Barlow Semi Condensed"/>
          <w:sz w:val="24"/>
          <w:szCs w:val="24"/>
        </w:rPr>
        <w:t xml:space="preserve"> Che cosa falsificherebbe l'ipotesi di un nesso fra questo nome e le presenze non attribuite di via Fani. Basterebbe l'esito (i) della scheda: tutte le tracce tornano alle armi del commando giudicato, e l'ipotesi delle presenze operative estranee perde il suo unico possibile fondamento fisico. Il nesso cadrebbe senza bisogno di discutere il 1974. Un bersaglio di smentita si scrive prima, e questo è già scritto nel territorio.</w:t>
      </w:r>
    </w:p>
    <w:p>
      <w:pPr>
        <w:spacing w:after="120" w:line="276"/>
        <w:jc w:val="both"/>
      </w:pPr>
      <w:r>
        <w:rPr>
          <w:rFonts w:ascii="Barlow Semi Condensed" w:cs="Barlow Semi Condensed" w:eastAsia="Barlow Semi Condensed" w:hAnsi="Barlow Semi Condensed"/>
          <w:b/>
          <w:bCs/>
          <w:sz w:val="24"/>
          <w:szCs w:val="24"/>
        </w:rPr>
        <w:t xml:space="preserve">3095 · Il quesito (a) non dipende da nessuno.</w:t>
      </w:r>
      <w:r>
        <w:rPr>
          <w:rFonts w:ascii="Barlow Semi Condensed" w:cs="Barlow Semi Condensed" w:eastAsia="Barlow Semi Condensed" w:hAnsi="Barlow Semi Condensed"/>
          <w:sz w:val="24"/>
          <w:szCs w:val="24"/>
        </w:rPr>
        <w:t xml:space="preserve"> Se i quarantanove bossoli siano davvero di un'arma sola si risolve con un comparatore e una scansione tridimensionale delle superfici di percussione ed estrazione, come il manuale investigativo prescrive ai blocchi 51-53. Non c'è variabile diplomatica nell'esito. Vale la pena dirlo perché l'ampiezza politica di un caso non rende politica ogni sua domanda: alcune restano di laboratorio, e questa lo è.</w:t>
      </w:r>
    </w:p>
    <w:p>
      <w:pPr>
        <w:spacing w:after="120" w:line="276"/>
        <w:jc w:val="both"/>
      </w:pPr>
      <w:r>
        <w:rPr>
          <w:rFonts w:ascii="Barlow Semi Condensed" w:cs="Barlow Semi Condensed" w:eastAsia="Barlow Semi Condensed" w:hAnsi="Barlow Semi Condensed"/>
          <w:b/>
          <w:bCs/>
          <w:sz w:val="24"/>
          <w:szCs w:val="24"/>
        </w:rPr>
        <w:t xml:space="preserve">3096 · Il quesito (b) e l'aritmetica dei reperti.</w:t>
      </w:r>
      <w:r>
        <w:rPr>
          <w:rFonts w:ascii="Barlow Semi Condensed" w:cs="Barlow Semi Condensed" w:eastAsia="Barlow Semi Condensed" w:hAnsi="Barlow Semi Condensed"/>
          <w:sz w:val="24"/>
          <w:szCs w:val="24"/>
        </w:rPr>
        <w:t xml:space="preserve"> Verificare se le armi repertate o attribuite coprano tutti i novantuno bossoli senza residuo è operazione aritmetica prima che balistica, e il manuale la ordina al blocco 51 come quesito unico in tre rami. Il suo esito è un numero, non un attore. Chi attende da questa colonna la comparsa di un mandante ha già sbagliato la domanda, e il blocco 174 del manuale lo dice per esteso.</w:t>
      </w:r>
    </w:p>
    <w:p>
      <w:pPr>
        <w:spacing w:after="120" w:line="276"/>
        <w:jc w:val="both"/>
      </w:pPr>
      <w:r>
        <w:rPr>
          <w:rFonts w:ascii="Barlow Semi Condensed" w:cs="Barlow Semi Condensed" w:eastAsia="Barlow Semi Condensed" w:hAnsi="Barlow Semi Condensed"/>
          <w:b/>
          <w:bCs/>
          <w:sz w:val="24"/>
          <w:szCs w:val="24"/>
        </w:rPr>
        <w:t xml:space="preserve">3097 · Il silenzio disciplinato sull'esito (ii).</w:t>
      </w:r>
      <w:r>
        <w:rPr>
          <w:rFonts w:ascii="Barlow Semi Condensed" w:cs="Barlow Semi Condensed" w:eastAsia="Barlow Semi Condensed" w:hAnsi="Barlow Semi Condensed"/>
          <w:sz w:val="24"/>
          <w:szCs w:val="24"/>
        </w:rPr>
        <w:t xml:space="preserve"> Nell'ipotesi che emerga un residuo non attribuibile, la scheda prescrive che si apra un'identificazione giudiziaria e che sia il fascicolo a condurla. Il corpus tace e attende. La disciplina vale anche nella direzione opposta a quella temuta: nemmeno un residuo ignoto autorizzerebbe a scrivere il nome di questa serie accanto a un reperto. Il protocollo di silenzio dei nove cantieri, blocchi 392 e 886, è scritto per questo.</w:t>
      </w:r>
    </w:p>
    <w:p>
      <w:pPr>
        <w:spacing w:after="120" w:line="276"/>
        <w:jc w:val="both"/>
      </w:pPr>
      <w:r>
        <w:rPr>
          <w:rFonts w:ascii="Barlow Semi Condensed" w:cs="Barlow Semi Condensed" w:eastAsia="Barlow Semi Condensed" w:hAnsi="Barlow Semi Condensed"/>
          <w:b/>
          <w:bCs/>
          <w:sz w:val="24"/>
          <w:szCs w:val="24"/>
        </w:rPr>
        <w:t xml:space="preserve">3098 · Le tesi di parte, stessa mano.</w:t>
      </w:r>
      <w:r>
        <w:rPr>
          <w:rFonts w:ascii="Barlow Semi Condensed" w:cs="Barlow Semi Condensed" w:eastAsia="Barlow Semi Condensed" w:hAnsi="Barlow Semi Condensed"/>
          <w:sz w:val="24"/>
          <w:szCs w:val="24"/>
        </w:rPr>
        <w:t xml:space="preserve"> Le contestazioni di un perito di parte su bossoli di calibro diverso rinvenuti sul marciapiede destro sono registrate dalla scheda come tesi non riscontrate, con segnalazione persino del titolo di parte della fonte. La stessa mano va usata sulle affermazioni terziarie che circondano il presunto avvertimento del 1974: registrate come circolazione, non come riscontro. Una disciplina che si applica a senso unico non è una disciplina.</w:t>
      </w:r>
    </w:p>
    <w:p>
      <w:pPr>
        <w:spacing w:after="120" w:line="276"/>
        <w:jc w:val="both"/>
      </w:pPr>
      <w:r>
        <w:rPr>
          <w:rFonts w:ascii="Barlow Semi Condensed" w:cs="Barlow Semi Condensed" w:eastAsia="Barlow Semi Condensed" w:hAnsi="Barlow Semi Condensed"/>
          <w:b/>
          <w:bCs/>
          <w:sz w:val="24"/>
          <w:szCs w:val="24"/>
        </w:rPr>
        <w:t xml:space="preserve">3099 · La replicabilità non ha nazione.</w:t>
      </w:r>
      <w:r>
        <w:rPr>
          <w:rFonts w:ascii="Barlow Semi Condensed" w:cs="Barlow Semi Condensed" w:eastAsia="Barlow Semi Condensed" w:hAnsi="Barlow Semi Condensed"/>
          <w:sz w:val="24"/>
          <w:szCs w:val="24"/>
        </w:rPr>
        <w:t xml:space="preserve"> Microscopia tridimensionale e archiviazione digitale delle impronte servono a un fine solo: rendere l'esame ripetibile da terzi senza toccare il reperto. È l'unico modo per cui un accertamento su via Fani possa essere verificato ovunque, anche fuori d'Italia, senza che questo introduca alcun attore nel fatto. Verificare all'estero e essere all'estero nel 1978 sono due enunciati che appartengono a mondi diversi.</w:t>
      </w:r>
    </w:p>
    <w:p>
      <w:pPr>
        <w:spacing w:after="120" w:line="276"/>
        <w:jc w:val="both"/>
      </w:pPr>
      <w:r>
        <w:rPr>
          <w:rFonts w:ascii="Barlow Semi Condensed" w:cs="Barlow Semi Condensed" w:eastAsia="Barlow Semi Condensed" w:hAnsi="Barlow Semi Condensed"/>
          <w:b/>
          <w:bCs/>
          <w:sz w:val="24"/>
          <w:szCs w:val="24"/>
        </w:rPr>
        <w:t xml:space="preserve">3100 · La perizia di sintesi come atto singolo.</w:t>
      </w:r>
      <w:r>
        <w:rPr>
          <w:rFonts w:ascii="Barlow Semi Condensed" w:cs="Barlow Semi Condensed" w:eastAsia="Barlow Semi Condensed" w:hAnsi="Barlow Semi Condensed"/>
          <w:sz w:val="24"/>
          <w:szCs w:val="24"/>
        </w:rPr>
        <w:t xml:space="preserve"> Non una nuova perizia generica, dice la scheda, ma una perizia di sintesi e dirimente, con quesito esplicito sulla divergenza fra il 1978, gli anni Novanta e il 2015. È un atto singolo, datato, eseguibile. Nessuna delle triangolazioni internazionali che il corpus ha censito possiede un atto altrettanto definito: è la ragione per cui questa pista sta a 89,0 e le suggestioni non stanno in graduatoria.</w:t>
      </w:r>
    </w:p>
    <w:p>
      <w:pPr>
        <w:spacing w:after="120" w:line="276"/>
        <w:jc w:val="both"/>
      </w:pPr>
      <w:r>
        <w:rPr>
          <w:rFonts w:ascii="Barlow Semi Condensed" w:cs="Barlow Semi Condensed" w:eastAsia="Barlow Semi Condensed" w:hAnsi="Barlow Semi Condensed"/>
          <w:b/>
          <w:bCs/>
          <w:sz w:val="24"/>
          <w:szCs w:val="24"/>
        </w:rPr>
        <w:t xml:space="preserve">3101 · Il documento che manca, nominato.</w:t>
      </w:r>
      <w:r>
        <w:rPr>
          <w:rFonts w:ascii="Barlow Semi Condensed" w:cs="Barlow Semi Condensed" w:eastAsia="Barlow Semi Condensed" w:hAnsi="Barlow Semi Condensed"/>
          <w:sz w:val="24"/>
          <w:szCs w:val="24"/>
        </w:rPr>
        <w:t xml:space="preserve"> Il piano 1 si aprirebbe su PN-1 solo davanti a una carta di questo tipo: una richiesta di collaborazione tecnica, un carteggio di trasmissione reperti, un verbale che registri la presenza di un osservatore straniero a un esame. Nessuna delle quattro schede la menziona. Le sedi dove cercarla vanno dette: l'Archivio Centrale dello Stato, collezione «Stragi (Direttiva Renzi)», e gli atti dei cinque processi digitalizzati.</w:t>
      </w:r>
    </w:p>
    <w:p>
      <w:pPr>
        <w:spacing w:after="120" w:line="276"/>
        <w:jc w:val="both"/>
      </w:pPr>
      <w:r>
        <w:rPr>
          <w:rFonts w:ascii="Barlow Semi Condensed" w:cs="Barlow Semi Condensed" w:eastAsia="Barlow Semi Condensed" w:hAnsi="Barlow Semi Condensed"/>
          <w:b/>
          <w:bCs/>
          <w:sz w:val="24"/>
          <w:szCs w:val="24"/>
        </w:rPr>
        <w:t xml:space="preserve">3102 · Tre anni e mezzo, nessun arco.</w:t>
      </w:r>
      <w:r>
        <w:rPr>
          <w:rFonts w:ascii="Barlow Semi Condensed" w:cs="Barlow Semi Condensed" w:eastAsia="Barlow Semi Condensed" w:hAnsi="Barlow Semi Condensed"/>
          <w:sz w:val="24"/>
          <w:szCs w:val="24"/>
        </w:rPr>
        <w:t xml:space="preserve"> Fra il colloquio dello Studio Ovale del 25 settembre 1974 e la mattina del 16 marzo 1978 corrono tre anni e mezzo. La contemporaneità non è prova di nesso, e la quasi-contemporaneità lo è ancora meno. Il blocco 887 dell'opera lo ha già fissato: anche se l'avvertimento risultasse accertato in ogni parola, fra una frase del 1974 e l'agguato non esisterebbe alcun ponte documentato.</w:t>
      </w:r>
    </w:p>
    <w:p>
      <w:pPr>
        <w:spacing w:after="120" w:line="276"/>
        <w:jc w:val="both"/>
      </w:pPr>
      <w:r>
        <w:rPr>
          <w:rFonts w:ascii="Barlow Semi Condensed" w:cs="Barlow Semi Condensed" w:eastAsia="Barlow Semi Condensed" w:hAnsi="Barlow Semi Condensed"/>
          <w:b/>
          <w:bCs/>
          <w:sz w:val="24"/>
          <w:szCs w:val="24"/>
        </w:rPr>
        <w:t xml:space="preserve">3103 · Gli errori della scheda, tradotti.</w:t>
      </w:r>
      <w:r>
        <w:rPr>
          <w:rFonts w:ascii="Barlow Semi Condensed" w:cs="Barlow Semi Condensed" w:eastAsia="Barlow Semi Condensed" w:hAnsi="Barlow Semi Condensed"/>
          <w:sz w:val="24"/>
          <w:szCs w:val="24"/>
        </w:rPr>
        <w:t xml:space="preserve"> PN-1 elenca due errori da non ripetere: fondare la pista su testimoni, e confondere la divergenza peritale con la prova del terzo uomo. Tradotti su questo nome danno due divieti speculari: non fondare alcunché sulla testimonianza de relato resa alla Corte d'assise di Roma nel novembre 1982, e non leggere una discordanza di laboratorio come lo spazio dove collocare un'ipotesi che nessun reperto sostiene.</w:t>
      </w:r>
    </w:p>
    <w:p>
      <w:pPr>
        <w:spacing w:after="120" w:line="276"/>
        <w:jc w:val="both"/>
      </w:pPr>
      <w:r>
        <w:rPr>
          <w:rFonts w:ascii="Barlow Semi Condensed" w:cs="Barlow Semi Condensed" w:eastAsia="Barlow Semi Condensed" w:hAnsi="Barlow Semi Condensed"/>
          <w:b/>
          <w:bCs/>
          <w:sz w:val="24"/>
          <w:szCs w:val="24"/>
        </w:rPr>
        <w:t xml:space="preserve">3104 · Il criterio di chiusura, e il nome.</w:t>
      </w:r>
      <w:r>
        <w:rPr>
          <w:rFonts w:ascii="Barlow Semi Condensed" w:cs="Barlow Semi Condensed" w:eastAsia="Barlow Semi Condensed" w:hAnsi="Barlow Semi Condensed"/>
          <w:sz w:val="24"/>
          <w:szCs w:val="24"/>
        </w:rPr>
        <w:t xml:space="preserve"> Il criterio di chiusura aggiornato della scheda ha due rami, e nessuno dei due contiene un nome estero. Nel primo l'ipotesi delle presenze operative estranee perde il fondamento fisico; nel secondo si apre un'identificazione giudiziaria che appartiene al fascicolo. Un criterio di chiusura che non preveda mai la comparsa di un dato attore è, di per sé, un accertamento su quell'attore: qui vale come tale.</w:t>
      </w:r>
    </w:p>
    <w:p>
      <w:pPr>
        <w:spacing w:after="120" w:line="276"/>
        <w:jc w:val="both"/>
      </w:pPr>
      <w:r>
        <w:rPr>
          <w:rFonts w:ascii="Barlow Semi Condensed" w:cs="Barlow Semi Condensed" w:eastAsia="Barlow Semi Condensed" w:hAnsi="Barlow Semi Condensed"/>
          <w:b/>
          <w:bCs/>
          <w:sz w:val="24"/>
          <w:szCs w:val="24"/>
        </w:rPr>
        <w:t xml:space="preserve">3105 · PN-7 e la lezione della ri-escussione.</w:t>
      </w:r>
      <w:r>
        <w:rPr>
          <w:rFonts w:ascii="Barlow Semi Condensed" w:cs="Barlow Semi Condensed" w:eastAsia="Barlow Semi Condensed" w:hAnsi="Barlow Semi Condensed"/>
          <w:sz w:val="24"/>
          <w:szCs w:val="24"/>
        </w:rPr>
        <w:t xml:space="preserve"> I testimoni viventi sono la pista che si regge su un rovesciamento: il suo caso peggiore ne è la prova migliore. Fu proprio il ri-ascolto tardivo dell'ingegner Marini, incrociato con le fotografie del mattino, a correggere il quadro. La ri-escussione non serve a confermare i ricordi, serve a correggerli contro i documenti. La regola vale per ogni testimonianza del corpus, comprese quelle che riguardano il settembre 1974.</w:t>
      </w:r>
    </w:p>
    <w:p>
      <w:pPr>
        <w:spacing w:after="120" w:line="276"/>
        <w:jc w:val="both"/>
      </w:pPr>
      <w:r>
        <w:rPr>
          <w:rFonts w:ascii="Barlow Semi Condensed" w:cs="Barlow Semi Condensed" w:eastAsia="Barlow Semi Condensed" w:hAnsi="Barlow Semi Condensed"/>
          <w:b/>
          <w:bCs/>
          <w:sz w:val="24"/>
          <w:szCs w:val="24"/>
        </w:rPr>
        <w:t xml:space="preserve">3106 · Due testimonianze, due statuti.</w:t>
      </w:r>
      <w:r>
        <w:rPr>
          <w:rFonts w:ascii="Barlow Semi Condensed" w:cs="Barlow Semi Condensed" w:eastAsia="Barlow Semi Condensed" w:hAnsi="Barlow Semi Condensed"/>
          <w:sz w:val="24"/>
          <w:szCs w:val="24"/>
        </w:rPr>
        <w:t xml:space="preserve"> Vanno tenute distinte. Marini è teste diretto di un fatto materiale, e ha ritrattato la circostanza fisica su cui la sua deposizione poggiava. Il portavoce che nel novembre 1982 riferì l'avvertimento alla Corte d'assise di Roma non assistette al colloquio: depose de relato, avendo appreso da Moro e dall'entourage. Il primo caso si corregge con una fotografia; al secondo non c'è alcuna fotografia da opporre.</w:t>
      </w:r>
    </w:p>
    <w:p>
      <w:pPr>
        <w:spacing w:after="120" w:line="276"/>
        <w:jc w:val="both"/>
      </w:pPr>
      <w:r>
        <w:rPr>
          <w:rFonts w:ascii="Barlow Semi Condensed" w:cs="Barlow Semi Condensed" w:eastAsia="Barlow Semi Condensed" w:hAnsi="Barlow Semi Condensed"/>
          <w:b/>
          <w:bCs/>
          <w:sz w:val="24"/>
          <w:szCs w:val="24"/>
        </w:rPr>
        <w:t xml:space="preserve">3107 · Che cosa sarebbe qui il parabrezza.</w:t>
      </w:r>
      <w:r>
        <w:rPr>
          <w:rFonts w:ascii="Barlow Semi Condensed" w:cs="Barlow Semi Condensed" w:eastAsia="Barlow Semi Condensed" w:hAnsi="Barlow Semi Condensed"/>
          <w:sz w:val="24"/>
          <w:szCs w:val="24"/>
        </w:rPr>
        <w:t xml:space="preserve"> Nel caso Marini la corroborazione fisica esisteva ed è caduta: il parabrezza era rotto da giorni e riattaccato con nastro da imballaggio, visibile nelle fotografie scattate in via Fani la mattina stessa dell'agguato. L'equivalente per l'episodio del 1974 sarebbe il verbale dello Studio Ovale, che però non contiene alcun ultimatum personale ad Aldo Moro. La differenza è netta: là la corroborazione è caduta, qui non è mai esistita.</w:t>
      </w:r>
    </w:p>
    <w:p>
      <w:pPr>
        <w:spacing w:after="120" w:line="276"/>
        <w:jc w:val="both"/>
      </w:pPr>
      <w:r>
        <w:rPr>
          <w:rFonts w:ascii="Barlow Semi Condensed" w:cs="Barlow Semi Condensed" w:eastAsia="Barlow Semi Condensed" w:hAnsi="Barlow Semi Condensed"/>
          <w:b/>
          <w:bCs/>
          <w:sz w:val="24"/>
          <w:szCs w:val="24"/>
        </w:rPr>
        <w:t xml:space="preserve">3108 · Un episodio senza reperti.</w:t>
      </w:r>
      <w:r>
        <w:rPr>
          <w:rFonts w:ascii="Barlow Semi Condensed" w:cs="Barlow Semi Condensed" w:eastAsia="Barlow Semi Condensed" w:hAnsi="Barlow Semi Condensed"/>
          <w:sz w:val="24"/>
          <w:szCs w:val="24"/>
        </w:rPr>
        <w:t xml:space="preserve"> La regola operativa che l'approfondimento consegna — a decidere sono i reperti — ha una conseguenza scomoda applicata al presunto avvertimento: quell'episodio non ha reperti di alcun genere. Non c'è un oggetto, una traccia, una registrazione. Resta materia esclusivamente testimoniale, e per giunta indiretta. Non è un giudizio sul teste: è la constatazione che la regola non ha, in quel punto, nulla su cui operare.</w:t>
      </w:r>
    </w:p>
    <w:p>
      <w:pPr>
        <w:spacing w:after="120" w:line="276"/>
        <w:jc w:val="both"/>
      </w:pPr>
      <w:r>
        <w:rPr>
          <w:rFonts w:ascii="Barlow Semi Condensed" w:cs="Barlow Semi Condensed" w:eastAsia="Barlow Semi Condensed" w:hAnsi="Barlow Semi Condensed"/>
          <w:b/>
          <w:bCs/>
          <w:sz w:val="24"/>
          <w:szCs w:val="24"/>
        </w:rPr>
        <w:t xml:space="preserve">3109 · Il nome ottenuto in aula (serie XLI).</w:t>
      </w:r>
      <w:r>
        <w:rPr>
          <w:rFonts w:ascii="Barlow Semi Condensed" w:cs="Barlow Semi Condensed" w:eastAsia="Barlow Semi Condensed" w:hAnsi="Barlow Semi Condensed"/>
          <w:sz w:val="24"/>
          <w:szCs w:val="24"/>
        </w:rPr>
        <w:t xml:space="preserve"> L'accertamento già fissato dall'opera va ripetuto accanto alla scheda PN-7, perché è un problema di tecnica dell'escussione: in aula la vedova parlò di un'alta personalità senza fare il nome, e fu il presidente della corte, richiamando il portavoce, a ottenere l'indicazione. Un nome sollecitato dall'organo procedente ha statuto diverso da un nome offerto spontaneamente. I protocolli di memoria assistita esistono per registrare questa differenza.</w:t>
      </w:r>
    </w:p>
    <w:p>
      <w:pPr>
        <w:spacing w:after="120" w:line="276"/>
        <w:jc w:val="both"/>
      </w:pPr>
      <w:r>
        <w:rPr>
          <w:rFonts w:ascii="Barlow Semi Condensed" w:cs="Barlow Semi Condensed" w:eastAsia="Barlow Semi Condensed" w:hAnsi="Barlow Semi Condensed"/>
          <w:b/>
          <w:bCs/>
          <w:sz w:val="24"/>
          <w:szCs w:val="24"/>
        </w:rPr>
        <w:t xml:space="preserve">3110 · La data che oscilla.</w:t>
      </w:r>
      <w:r>
        <w:rPr>
          <w:rFonts w:ascii="Barlow Semi Condensed" w:cs="Barlow Semi Condensed" w:eastAsia="Barlow Semi Condensed" w:hAnsi="Barlow Semi Condensed"/>
          <w:sz w:val="24"/>
          <w:szCs w:val="24"/>
        </w:rPr>
        <w:t xml:space="preserve"> La collocazione dell'episodio diverge fra il 25 settembre 1974, il 1976 e un alterco del 1977 all'ambasciata d'Italia a Washington, e divergono anche i luoghi. Il manuale investigativo, al blocco 145, chiede di distinguere ciò che il testimone ricorda dei fatti da ciò che ricorda delle proprie deposizioni. Un'oscillazione triennale su un evento datato è precisamente il sintomo che quel protocollo serve a intercettare.</w:t>
      </w:r>
    </w:p>
    <w:p>
      <w:pPr>
        <w:spacing w:after="120" w:line="276"/>
        <w:jc w:val="both"/>
      </w:pPr>
      <w:r>
        <w:rPr>
          <w:rFonts w:ascii="Barlow Semi Condensed" w:cs="Barlow Semi Condensed" w:eastAsia="Barlow Semi Condensed" w:hAnsi="Barlow Semi Condensed"/>
          <w:b/>
          <w:bCs/>
          <w:sz w:val="24"/>
          <w:szCs w:val="24"/>
        </w:rPr>
        <w:t xml:space="preserve">3111 · Il censimento dei viventi, e un vuoto.</w:t>
      </w:r>
      <w:r>
        <w:rPr>
          <w:rFonts w:ascii="Barlow Semi Condensed" w:cs="Barlow Semi Condensed" w:eastAsia="Barlow Semi Condensed" w:hAnsi="Barlow Semi Condensed"/>
          <w:sz w:val="24"/>
          <w:szCs w:val="24"/>
        </w:rPr>
        <w:t xml:space="preserve"> Il censimento dei testimoni oculari e di contesto viventi, che il manuale ordina al blocco 141 e la tavola delle urgenze al blocco 169, riguarda i luoghi del caso: residenti, passanti, esercenti, personale intervenuto. Non contiene alcun nome della cornice del settembre 1974. Stato Zero dichiarato: se qualcuno volesse estenderlo a quella cornice, il primo atto è anagrafico, e il corpus non l'ha compiuto.</w:t>
      </w:r>
    </w:p>
    <w:p>
      <w:pPr>
        <w:spacing w:after="120" w:line="276"/>
        <w:jc w:val="both"/>
      </w:pPr>
      <w:r>
        <w:rPr>
          <w:rFonts w:ascii="Barlow Semi Condensed" w:cs="Barlow Semi Condensed" w:eastAsia="Barlow Semi Condensed" w:hAnsi="Barlow Semi Condensed"/>
          <w:b/>
          <w:bCs/>
          <w:sz w:val="24"/>
          <w:szCs w:val="24"/>
        </w:rPr>
        <w:t xml:space="preserve">3112 · L'interprete come testimone di procedura.</w:t>
      </w:r>
      <w:r>
        <w:rPr>
          <w:rFonts w:ascii="Barlow Semi Condensed" w:cs="Barlow Semi Condensed" w:eastAsia="Barlow Semi Condensed" w:hAnsi="Barlow Semi Condensed"/>
          <w:sz w:val="24"/>
          <w:szCs w:val="24"/>
        </w:rPr>
        <w:t xml:space="preserve"> Il manuale, al blocco 152, tratta come testimoni di procedura gli operatori delle catene documentali. La categoria si applica a chi assicurò l'interpretariato nei colloqui italo-statunitensi del settembre 1974: non testimone del contenuto politico, ma della meccanica dello scambio. Nessun documento del corpus identifica quella persona per nome, né la colloca. È lacuna nominabile, e la chiuderebbe la Gerald R. Ford Presidential Library coi suoi verbali.</w:t>
      </w:r>
    </w:p>
    <w:p>
      <w:pPr>
        <w:spacing w:after="120" w:line="276"/>
        <w:jc w:val="both"/>
      </w:pPr>
      <w:r>
        <w:rPr>
          <w:rFonts w:ascii="Barlow Semi Condensed" w:cs="Barlow Semi Condensed" w:eastAsia="Barlow Semi Condensed" w:hAnsi="Barlow Semi Condensed"/>
          <w:b/>
          <w:bCs/>
          <w:sz w:val="24"/>
          <w:szCs w:val="24"/>
        </w:rPr>
        <w:t xml:space="preserve">3113 · Il dato di plausibilità e il limite.</w:t>
      </w:r>
      <w:r>
        <w:rPr>
          <w:rFonts w:ascii="Barlow Semi Condensed" w:cs="Barlow Semi Condensed" w:eastAsia="Barlow Semi Condensed" w:hAnsi="Barlow Semi Condensed"/>
          <w:sz w:val="24"/>
          <w:szCs w:val="24"/>
        </w:rPr>
        <w:t xml:space="preserve"> Uno dei testimoni italiani qualificati che negarono la minaccia motivò la smentita con un rilievo materiale: Moro non parlava inglese, e il fatto fu verificato allora con l'interprete. È un dato che tocca la plausibilità di uno scambio verbale diretto, non la verità dell'episodio, che potrebbe essere avvenuto per tramite. La distinzione fra impossibilità e improbabilità va tenuta ferma anche quando conviene alla parte che si preferisce.</w:t>
      </w:r>
    </w:p>
    <w:p>
      <w:pPr>
        <w:spacing w:after="120" w:line="276"/>
        <w:jc w:val="both"/>
      </w:pPr>
      <w:r>
        <w:rPr>
          <w:rFonts w:ascii="Barlow Semi Condensed" w:cs="Barlow Semi Condensed" w:eastAsia="Barlow Semi Condensed" w:hAnsi="Barlow Semi Condensed"/>
          <w:b/>
          <w:bCs/>
          <w:sz w:val="24"/>
          <w:szCs w:val="24"/>
        </w:rPr>
        <w:t xml:space="preserve">3114 · Le smentite italiane, riportate tutte.</w:t>
      </w:r>
      <w:r>
        <w:rPr>
          <w:rFonts w:ascii="Barlow Semi Condensed" w:cs="Barlow Semi Condensed" w:eastAsia="Barlow Semi Condensed" w:hAnsi="Barlow Semi Condensed"/>
          <w:sz w:val="24"/>
          <w:szCs w:val="24"/>
        </w:rPr>
        <w:t xml:space="preserve"> Le negazioni italiane vanno riportate per intero, col loro limite: uno dei due testimoni qualificati definì la minaccia una leggenda senza fondamento, distinguendo altrove il rimprovero aspro dalla minaccia; l'altro parlò di un solo problema di linguaggio. Nessuno dei due era presente al colloquio riservato. Si registrano così come sono, perché la scheda PN-7 vieta tanto il testimone-oracolo quanto la liquidazione sommaria.</w:t>
      </w:r>
    </w:p>
    <w:p>
      <w:pPr>
        <w:spacing w:after="120" w:line="276"/>
        <w:jc w:val="both"/>
      </w:pPr>
      <w:r>
        <w:rPr>
          <w:rFonts w:ascii="Barlow Semi Condensed" w:cs="Barlow Semi Condensed" w:eastAsia="Barlow Semi Condensed" w:hAnsi="Barlow Semi Condensed"/>
          <w:b/>
          <w:bCs/>
          <w:sz w:val="24"/>
          <w:szCs w:val="24"/>
        </w:rPr>
        <w:t xml:space="preserve">3115 · La smentita dell'interessato, pesata.</w:t>
      </w:r>
      <w:r>
        <w:rPr>
          <w:rFonts w:ascii="Barlow Semi Condensed" w:cs="Barlow Semi Condensed" w:eastAsia="Barlow Semi Condensed" w:hAnsi="Barlow Semi Condensed"/>
          <w:sz w:val="24"/>
          <w:szCs w:val="24"/>
        </w:rPr>
        <w:t xml:space="preserve"> Interrogato da un giornalista poco prima della morte, Kissinger rispose di non aver mai detto una cosa simile. È testimonianza giornalistica di un solo interlocutore, non un comunicato formale; e nel 1983 un'agenzia statunitense scriveva che egli ammetteva la contrarietà all'ingresso dei comunisti al governo ma aveva smentito più volte di aver rimproverato Moro. Le due smentite hanno grado diverso e vanno tenute distinte.</w:t>
      </w:r>
    </w:p>
    <w:p>
      <w:pPr>
        <w:spacing w:after="120" w:line="276"/>
        <w:jc w:val="both"/>
      </w:pPr>
      <w:r>
        <w:rPr>
          <w:rFonts w:ascii="Barlow Semi Condensed" w:cs="Barlow Semi Condensed" w:eastAsia="Barlow Semi Condensed" w:hAnsi="Barlow Semi Condensed"/>
          <w:b/>
          <w:bCs/>
          <w:sz w:val="24"/>
          <w:szCs w:val="24"/>
        </w:rPr>
        <w:t xml:space="preserve">3116 · L'orologio biologico, già scaduto.</w:t>
      </w:r>
      <w:r>
        <w:rPr>
          <w:rFonts w:ascii="Barlow Semi Condensed" w:cs="Barlow Semi Condensed" w:eastAsia="Barlow Semi Condensed" w:hAnsi="Barlow Semi Condensed"/>
          <w:sz w:val="24"/>
          <w:szCs w:val="24"/>
        </w:rPr>
        <w:t xml:space="preserve"> PN-7 prende dieci su dieci in urgenza perché è l'unica pista che il tempo chiude da solo. Sull'episodio del 1974 quell'orologio è scaduto: i cinque presenti al colloquio dello Studio Ovale sono tutti deceduti, l'ultimo il 29 novembre 2023. La raccolta conservativa che la scheda invoca per i residenti di via Fani, su quel colloquio, non è più eseguibile in alcuna forma.</w:t>
      </w:r>
    </w:p>
    <w:p>
      <w:pPr>
        <w:spacing w:after="120" w:line="276"/>
        <w:jc w:val="both"/>
      </w:pPr>
      <w:r>
        <w:rPr>
          <w:rFonts w:ascii="Barlow Semi Condensed" w:cs="Barlow Semi Condensed" w:eastAsia="Barlow Semi Condensed" w:hAnsi="Barlow Semi Condensed"/>
          <w:b/>
          <w:bCs/>
          <w:sz w:val="24"/>
          <w:szCs w:val="24"/>
        </w:rPr>
        <w:t xml:space="preserve">3117 · La raccolta conservativa mai fatta.</w:t>
      </w:r>
      <w:r>
        <w:rPr>
          <w:rFonts w:ascii="Barlow Semi Condensed" w:cs="Barlow Semi Condensed" w:eastAsia="Barlow Semi Condensed" w:hAnsi="Barlow Semi Condensed"/>
          <w:sz w:val="24"/>
          <w:szCs w:val="24"/>
        </w:rPr>
        <w:t xml:space="preserve"> Nessuna autorità italiana raccolse in forma conservativa, quando era possibile, le deposizioni di chi accompagnò la visita di Stato del settembre 1974 — delegazione, apparato diplomatico, personale di servizio. Non è una congettura: è un'assenza di atti. Lo Stato Zero si chiude, se si chiude, nell'Archivio storico diplomatico del Ministero degli Affari Esteri, dove le carte della visita esistono anche quando i testimoni non esistono più.</w:t>
      </w:r>
    </w:p>
    <w:p>
      <w:pPr>
        <w:spacing w:after="120" w:line="276"/>
        <w:jc w:val="both"/>
      </w:pPr>
      <w:r>
        <w:rPr>
          <w:rFonts w:ascii="Barlow Semi Condensed" w:cs="Barlow Semi Condensed" w:eastAsia="Barlow Semi Condensed" w:hAnsi="Barlow Semi Condensed"/>
          <w:b/>
          <w:bCs/>
          <w:sz w:val="24"/>
          <w:szCs w:val="24"/>
        </w:rPr>
        <w:t xml:space="preserve">3118 · Le telefonate minatorie, da pesare.</w:t>
      </w:r>
      <w:r>
        <w:rPr>
          <w:rFonts w:ascii="Barlow Semi Condensed" w:cs="Barlow Semi Condensed" w:eastAsia="Barlow Semi Condensed" w:hAnsi="Barlow Semi Condensed"/>
          <w:sz w:val="24"/>
          <w:szCs w:val="24"/>
        </w:rPr>
        <w:t xml:space="preserve"> La Nota di revisione n. 1 conserva un elemento anche dopo la ritrattazione: le telefonate minatorie che Marini riferì di aver ricevuto la sera stessa, «devi tacere». La scheda dice che è elemento da pesare e non da assumere. La stessa formula vale per il riferimento della vedova, davanti alla Commissione il 1° agosto 1980, a minacce risalenti al 1975 e crescenti: si registra, non vi si costruisce sopra.</w:t>
      </w:r>
    </w:p>
    <w:p>
      <w:pPr>
        <w:spacing w:after="120" w:line="276"/>
        <w:jc w:val="both"/>
      </w:pPr>
      <w:r>
        <w:rPr>
          <w:rFonts w:ascii="Barlow Semi Condensed" w:cs="Barlow Semi Condensed" w:eastAsia="Barlow Semi Condensed" w:hAnsi="Barlow Semi Condensed"/>
          <w:b/>
          <w:bCs/>
          <w:sz w:val="24"/>
          <w:szCs w:val="24"/>
        </w:rPr>
        <w:t xml:space="preserve">3119 · Il ricordo del ricordo, dal 1982.</w:t>
      </w:r>
      <w:r>
        <w:rPr>
          <w:rFonts w:ascii="Barlow Semi Condensed" w:cs="Barlow Semi Condensed" w:eastAsia="Barlow Semi Condensed" w:hAnsi="Barlow Semi Condensed"/>
          <w:sz w:val="24"/>
          <w:szCs w:val="24"/>
        </w:rPr>
        <w:t xml:space="preserve"> Un episodio raccontato pubblicamente da oltre quarant'anni accumula strati: ciò che accadde, ciò che fu deposto, ciò che si è poi letto sul proprio deposto. Il blocco 145 del manuale chiama questo strato il ricordo del ricordo e prescrive di scavarlo, non di confonderlo col fatto. Per il presunto avvertimento lo strato è più spesso del fatto, e nessuna escussione futura potrà più separarli.</w:t>
      </w:r>
    </w:p>
    <w:p>
      <w:pPr>
        <w:spacing w:after="120" w:line="276"/>
        <w:jc w:val="both"/>
      </w:pPr>
      <w:r>
        <w:rPr>
          <w:rFonts w:ascii="Barlow Semi Condensed" w:cs="Barlow Semi Condensed" w:eastAsia="Barlow Semi Condensed" w:hAnsi="Barlow Semi Condensed"/>
          <w:b/>
          <w:bCs/>
          <w:sz w:val="24"/>
          <w:szCs w:val="24"/>
        </w:rPr>
        <w:t xml:space="preserve">3120 · De Chiara, e il giacimento inesplorato.</w:t>
      </w:r>
      <w:r>
        <w:rPr>
          <w:rFonts w:ascii="Barlow Semi Condensed" w:cs="Barlow Semi Condensed" w:eastAsia="Barlow Semi Condensed" w:hAnsi="Barlow Semi Condensed"/>
          <w:sz w:val="24"/>
          <w:szCs w:val="24"/>
        </w:rPr>
        <w:t xml:space="preserve"> Giovanni De Chiara, residente in via Fani, fu udito per la prima volta dopo quasi quarant'anni dalla Commissione Moro 2: il giacimento testimoniale non era esaurito, era inesplorato. La domanda simmetrica su questa serie è legittima e la risposta è negativa: sul settembre 1974 non risulta al corpus alcun testimone mai escusso e ancora escutibile. Chi ne indicasse uno produrrebbe l'unica novità possibile su quel punto.</w:t>
      </w:r>
    </w:p>
    <w:p>
      <w:pPr>
        <w:spacing w:after="120" w:line="276"/>
        <w:jc w:val="both"/>
      </w:pPr>
      <w:r>
        <w:rPr>
          <w:rFonts w:ascii="Barlow Semi Condensed" w:cs="Barlow Semi Condensed" w:eastAsia="Barlow Semi Condensed" w:hAnsi="Barlow Semi Condensed"/>
          <w:b/>
          <w:bCs/>
          <w:sz w:val="24"/>
          <w:szCs w:val="24"/>
        </w:rPr>
        <w:t xml:space="preserve">3121 · Bersaglio di smentita per PN-7.</w:t>
      </w:r>
      <w:r>
        <w:rPr>
          <w:rFonts w:ascii="Barlow Semi Condensed" w:cs="Barlow Semi Condensed" w:eastAsia="Barlow Semi Condensed" w:hAnsi="Barlow Semi Condensed"/>
          <w:sz w:val="24"/>
          <w:szCs w:val="24"/>
        </w:rPr>
        <w:t xml:space="preserve"> Smentirebbe la qualificazione dell'avvertimento come testimonianza contestata un solo genere di oggetto: un documento coevo — appunto di delegazione, telegramma di servizio, nota diaristica datata 1974 — che registri la frase prima e indipendentemente dalla deposizione del 1982. Non un secondo testimone de relato, che replicherebbe la stessa fonte. Le sedi sono l'Archivio storico diplomatico della Farnesina e la Ford Library.</w:t>
      </w:r>
    </w:p>
    <w:p>
      <w:pPr>
        <w:spacing w:after="120" w:line="276"/>
        <w:jc w:val="both"/>
      </w:pPr>
      <w:r>
        <w:rPr>
          <w:rFonts w:ascii="Barlow Semi Condensed" w:cs="Barlow Semi Condensed" w:eastAsia="Barlow Semi Condensed" w:hAnsi="Barlow Semi Condensed"/>
          <w:b/>
          <w:bCs/>
          <w:sz w:val="24"/>
          <w:szCs w:val="24"/>
        </w:rPr>
        <w:t xml:space="preserve">3122 · Ciò che l'escussione non produce più.</w:t>
      </w:r>
      <w:r>
        <w:rPr>
          <w:rFonts w:ascii="Barlow Semi Condensed" w:cs="Barlow Semi Condensed" w:eastAsia="Barlow Semi Condensed" w:hAnsi="Barlow Semi Condensed"/>
          <w:sz w:val="24"/>
          <w:szCs w:val="24"/>
        </w:rPr>
        <w:t xml:space="preserve"> La pista dei testimoni non chiude: si esaurisce col censimento completato e le escussioni depositate. Applicata a questa serie, la formula dà un esito duro da scrivere ma preciso: il ramo che riguarda il 1974 è esaurito senza essere stato percorso. Non c'è più nessuno da escutere e non ci fu mai un reperto da opporre. Resta la via documentale, che però non appartiene a PN-7.</w:t>
      </w:r>
    </w:p>
    <w:p>
      <w:pPr>
        <w:spacing w:after="120" w:line="276"/>
        <w:jc w:val="both"/>
      </w:pPr>
      <w:r>
        <w:rPr>
          <w:rFonts w:ascii="Barlow Semi Condensed" w:cs="Barlow Semi Condensed" w:eastAsia="Barlow Semi Condensed" w:hAnsi="Barlow Semi Condensed"/>
          <w:b/>
          <w:bCs/>
          <w:sz w:val="24"/>
          <w:szCs w:val="24"/>
        </w:rPr>
        <w:t xml:space="preserve">3123 · La strategia di PN-4, riassunta.</w:t>
      </w:r>
      <w:r>
        <w:rPr>
          <w:rFonts w:ascii="Barlow Semi Condensed" w:cs="Barlow Semi Condensed" w:eastAsia="Barlow Semi Condensed" w:hAnsi="Barlow Semi Condensed"/>
          <w:sz w:val="24"/>
          <w:szCs w:val="24"/>
        </w:rPr>
        <w:t xml:space="preserve"> L'errore di quarant'anni, dice la scheda, è aver cercato chi parlò — domanda forse irrisolvibile — invece della catena documentale, che esiste per definizione perché ogni suo anello è un documento d'ufficio. È il contributo di metodo più esportabile dell'intero approfondimento, e il blocco 180 del manuale lo ripete con altre parole: chiusura con la catena ricostruita, oppure con la sua assenza certificata.</w:t>
      </w:r>
    </w:p>
    <w:p>
      <w:pPr>
        <w:spacing w:after="120" w:line="276"/>
        <w:jc w:val="both"/>
      </w:pPr>
      <w:r>
        <w:rPr>
          <w:rFonts w:ascii="Barlow Semi Condensed" w:cs="Barlow Semi Condensed" w:eastAsia="Barlow Semi Condensed" w:hAnsi="Barlow Semi Condensed"/>
          <w:b/>
          <w:bCs/>
          <w:sz w:val="24"/>
          <w:szCs w:val="24"/>
        </w:rPr>
        <w:t xml:space="preserve">3124 · La stessa strategia, sull'altro episodio.</w:t>
      </w:r>
      <w:r>
        <w:rPr>
          <w:rFonts w:ascii="Barlow Semi Condensed" w:cs="Barlow Semi Condensed" w:eastAsia="Barlow Semi Condensed" w:hAnsi="Barlow Semi Condensed"/>
          <w:sz w:val="24"/>
          <w:szCs w:val="24"/>
        </w:rPr>
        <w:t xml:space="preserve"> Trasferita al presunto avvertimento, la strategia cambia la domanda: non chi disse la frase, ma per quali carte l'episodio passò, anello per anello. La catena è in parte nota: la deposizione del novembre 1982, l'audizione parlamentare del 1° agosto 1980, la richiesta d'interrogatorio riferita nel 1983, il lancio d'agenzia del 30 novembre 2023. Quattro anelli, tre dei quali mai letti sugli originali.</w:t>
      </w:r>
    </w:p>
    <w:p>
      <w:pPr>
        <w:spacing w:after="120" w:line="276"/>
        <w:jc w:val="both"/>
      </w:pPr>
      <w:r>
        <w:rPr>
          <w:rFonts w:ascii="Barlow Semi Condensed" w:cs="Barlow Semi Condensed" w:eastAsia="Barlow Semi Condensed" w:hAnsi="Barlow Semi Condensed"/>
          <w:b/>
          <w:bCs/>
          <w:sz w:val="24"/>
          <w:szCs w:val="24"/>
        </w:rPr>
        <w:t xml:space="preserve">3125 · Il primo anello e il suo equivalente.</w:t>
      </w:r>
      <w:r>
        <w:rPr>
          <w:rFonts w:ascii="Barlow Semi Condensed" w:cs="Barlow Semi Condensed" w:eastAsia="Barlow Semi Condensed" w:hAnsi="Barlow Semi Condensed"/>
          <w:sz w:val="24"/>
          <w:szCs w:val="24"/>
        </w:rPr>
        <w:t xml:space="preserve"> Il primo anello che PN-4 cerca è la segnalazione come fu verbalizzata in origine: chi la ricevette, con quali parole, con quale protocollo. L'equivalente per questa serie è il verbale d'udienza della Corte d'assise di Roma del novembre 1982, mai letto in originale — l'apparato K-5 dichiara che la campagna di verifica non vi ha potuto accedere. Sede: l'archivio della Corte d'assise di Roma.</w:t>
      </w:r>
    </w:p>
    <w:p>
      <w:pPr>
        <w:spacing w:after="120" w:line="276"/>
        <w:jc w:val="both"/>
      </w:pPr>
      <w:r>
        <w:rPr>
          <w:rFonts w:ascii="Barlow Semi Condensed" w:cs="Barlow Semi Condensed" w:eastAsia="Barlow Semi Condensed" w:hAnsi="Barlow Semi Condensed"/>
          <w:b/>
          <w:bCs/>
          <w:sz w:val="24"/>
          <w:szCs w:val="24"/>
        </w:rPr>
        <w:t xml:space="preserve">3126 · L'ordine emesso e quello mancante.</w:t>
      </w:r>
      <w:r>
        <w:rPr>
          <w:rFonts w:ascii="Barlow Semi Condensed" w:cs="Barlow Semi Condensed" w:eastAsia="Barlow Semi Condensed" w:hAnsi="Barlow Semi Condensed"/>
          <w:sz w:val="24"/>
          <w:szCs w:val="24"/>
        </w:rPr>
        <w:t xml:space="preserve"> Segue l'ordine di perquisizione del paese di Gradoli con la sua motivazione scritta. Il suo omologo qui è un atto che non risulta emesso: la richiesta con cui nel 1983 i magistrati avrebbero voluto interrogare Kissinger non ebbe seguito, ed egli non fu mai sentito da magistrati italiani. Se una richiesta formale esiste in atti, sta nel fascicolo processuale; se non esiste, l'assenza è essa stessa il dato.</w:t>
      </w:r>
    </w:p>
    <w:p>
      <w:pPr>
        <w:spacing w:after="120" w:line="276"/>
        <w:jc w:val="both"/>
      </w:pPr>
      <w:r>
        <w:rPr>
          <w:rFonts w:ascii="Barlow Semi Condensed" w:cs="Barlow Semi Condensed" w:eastAsia="Barlow Semi Condensed" w:hAnsi="Barlow Semi Condensed"/>
          <w:b/>
          <w:bCs/>
          <w:sz w:val="24"/>
          <w:szCs w:val="24"/>
        </w:rPr>
        <w:t xml:space="preserve">3127 · Il carteggio d'aprile e il suo silenzio.</w:t>
      </w:r>
      <w:r>
        <w:rPr>
          <w:rFonts w:ascii="Barlow Semi Condensed" w:cs="Barlow Semi Condensed" w:eastAsia="Barlow Semi Condensed" w:hAnsi="Barlow Semi Condensed"/>
          <w:sz w:val="24"/>
          <w:szCs w:val="24"/>
        </w:rPr>
        <w:t xml:space="preserve"> Al centro della scheda sta il carteggio Viminale-questure del 4-18 aprile 1978 sul nome «Gradoli». È integralmente italiano: nessun corrispondente estero vi è indicato, né la scheda ne ipotizza uno. Stato Zero registrato. Lo chiuderebbe lo spoglio dei versamenti del Ministero dell'Interno nella collezione «Stragi (Direttiva Renzi)» presso l'Archivio Centrale dello Stato, sala delle raccolte speciali, dove quelle buste sono consultabili.</w:t>
      </w:r>
    </w:p>
    <w:p>
      <w:pPr>
        <w:spacing w:after="120" w:line="276"/>
        <w:jc w:val="both"/>
      </w:pPr>
      <w:r>
        <w:rPr>
          <w:rFonts w:ascii="Barlow Semi Condensed" w:cs="Barlow Semi Condensed" w:eastAsia="Barlow Semi Condensed" w:hAnsi="Barlow Semi Condensed"/>
          <w:b/>
          <w:bCs/>
          <w:sz w:val="24"/>
          <w:szCs w:val="24"/>
        </w:rPr>
        <w:t xml:space="preserve">3128 · L'omonimia stradale e la regola dell'originatore.</w:t>
      </w:r>
      <w:r>
        <w:rPr>
          <w:rFonts w:ascii="Barlow Semi Condensed" w:cs="Barlow Semi Condensed" w:eastAsia="Barlow Semi Condensed" w:hAnsi="Barlow Semi Condensed"/>
          <w:sz w:val="24"/>
          <w:szCs w:val="24"/>
        </w:rPr>
        <w:t xml:space="preserve"> Chiude la catena la ricerca, negli atti versati col fondo Direttiva Renzi, di verifiche sull'omonimia stradale romana anteriori al 18 aprile. Qui va aggiunto un limite che la scheda non doveva scrivere e questa serie sì: per la regola dell'originatore un documento classificato da uno Stato terzo non è desecretabile unilateralmente. Ciò che il fondo italiano non contiene sul versante alleato non prova nulla sul suo contenuto.</w:t>
      </w:r>
    </w:p>
    <w:p>
      <w:pPr>
        <w:spacing w:after="120" w:line="276"/>
        <w:jc w:val="both"/>
      </w:pPr>
      <w:r>
        <w:rPr>
          <w:rFonts w:ascii="Barlow Semi Condensed" w:cs="Barlow Semi Condensed" w:eastAsia="Barlow Semi Condensed" w:hAnsi="Barlow Semi Condensed"/>
          <w:b/>
          <w:bCs/>
          <w:sz w:val="24"/>
          <w:szCs w:val="24"/>
        </w:rPr>
        <w:t xml:space="preserve">3129 · Zappolino, e il perimetro delle persone.</w:t>
      </w:r>
      <w:r>
        <w:rPr>
          <w:rFonts w:ascii="Barlow Semi Condensed" w:cs="Barlow Semi Condensed" w:eastAsia="Barlow Semi Condensed" w:hAnsi="Barlow Semi Condensed"/>
          <w:sz w:val="24"/>
          <w:szCs w:val="24"/>
        </w:rPr>
        <w:t xml:space="preserve"> Il 2 aprile 1978 a Zappolino, nella casa di campagna del professor Alberto Clò, dodici persone fra cui Romano Prodi parteciparono alla seduta da cui uscì il nome. Tutti e dodici, interrogati ripetutamente, confermarono la versione. La scheda fissa la regola: la pista non cerca loro smentite e non insinua nulla a loro carico, cerca documenti. Vale, senza sconti, per ogni persona nominata in questa serie.</w:t>
      </w:r>
    </w:p>
    <w:p>
      <w:pPr>
        <w:spacing w:after="120" w:line="276"/>
        <w:jc w:val="both"/>
      </w:pPr>
      <w:r>
        <w:rPr>
          <w:rFonts w:ascii="Barlow Semi Condensed" w:cs="Barlow Semi Condensed" w:eastAsia="Barlow Semi Condensed" w:hAnsi="Barlow Semi Condensed"/>
          <w:b/>
          <w:bCs/>
          <w:sz w:val="24"/>
          <w:szCs w:val="24"/>
        </w:rPr>
        <w:t xml:space="preserve">3130 · L'omonimia, e i limiti del parallelo.</w:t>
      </w:r>
      <w:r>
        <w:rPr>
          <w:rFonts w:ascii="Barlow Semi Condensed" w:cs="Barlow Semi Condensed" w:eastAsia="Barlow Semi Condensed" w:hAnsi="Barlow Semi Condensed"/>
          <w:sz w:val="24"/>
          <w:szCs w:val="24"/>
        </w:rPr>
        <w:t xml:space="preserve"> Una parola giusta produsse la perquisizione sbagliata: il paese di Gradoli in provincia di Viterbo invece di via Gradoli 96, sulla Cassia, che è la strada per Viterbo. È un errore di riferimento, non di trascrizione. Il parallelo con le varianti onomastiche trattate nella serie prima dell'opera, ai blocchi 5 e 6, va dunque fermato: là si copiava male un nome, qui si sceglieva il referente sbagliato di un nome esatto.</w:t>
      </w:r>
    </w:p>
    <w:p>
      <w:pPr>
        <w:spacing w:after="120" w:line="276"/>
        <w:jc w:val="both"/>
      </w:pPr>
      <w:r>
        <w:rPr>
          <w:rFonts w:ascii="Barlow Semi Condensed" w:cs="Barlow Semi Condensed" w:eastAsia="Barlow Semi Condensed" w:hAnsi="Barlow Semi Condensed"/>
          <w:b/>
          <w:bCs/>
          <w:sz w:val="24"/>
          <w:szCs w:val="24"/>
        </w:rPr>
        <w:t xml:space="preserve">3131 · Date stabili e date mobili.</w:t>
      </w:r>
      <w:r>
        <w:rPr>
          <w:rFonts w:ascii="Barlow Semi Condensed" w:cs="Barlow Semi Condensed" w:eastAsia="Barlow Semi Condensed" w:hAnsi="Barlow Semi Condensed"/>
          <w:sz w:val="24"/>
          <w:szCs w:val="24"/>
        </w:rPr>
        <w:t xml:space="preserve"> La catena di PN-4 ha date che tengono: il 2 aprile la seduta, il 4 aprile la segnalazione riferita negli ambienti democristiani, il 18 aprile la scoperta del covo. La catena dell'avvertimento ha date che oscillano di tre anni e luoghi che si moltiplicano. È un criterio di discriminazione grossolano e utilissimo: la catena documentale produce date stabili, quella testimoniale date che si spostano a ogni ripetizione.</w:t>
      </w:r>
    </w:p>
    <w:p>
      <w:pPr>
        <w:spacing w:after="120" w:line="276"/>
        <w:jc w:val="both"/>
      </w:pPr>
      <w:r>
        <w:rPr>
          <w:rFonts w:ascii="Barlow Semi Condensed" w:cs="Barlow Semi Condensed" w:eastAsia="Barlow Semi Condensed" w:hAnsi="Barlow Semi Condensed"/>
          <w:b/>
          <w:bCs/>
          <w:sz w:val="24"/>
          <w:szCs w:val="24"/>
        </w:rPr>
        <w:t xml:space="preserve">3132 · Ricostruire la catena della replicazione.</w:t>
      </w:r>
      <w:r>
        <w:rPr>
          <w:rFonts w:ascii="Barlow Semi Condensed" w:cs="Barlow Semi Condensed" w:eastAsia="Barlow Semi Condensed" w:hAnsi="Barlow Semi Condensed"/>
          <w:sz w:val="24"/>
          <w:szCs w:val="24"/>
        </w:rPr>
        <w:t xml:space="preserve"> Il metodo di PN-4 si applica anche a valle. La moltiplicazione delle fonti sull'avvertimento è apparente: risale a un unico lancio d'agenzia del 30 novembre 2023, con un rilancio internazionale anteriore, del 1982, da parte di una pubblicazione dichiaratamente cospirazionista, citabile come dato di circolazione. Ricostruire quella catena — chi copiò da chi, con quali varianti — è atto eseguibile oggi, senza archivi chiusi.</w:t>
      </w:r>
    </w:p>
    <w:p>
      <w:pPr>
        <w:spacing w:after="120" w:line="276"/>
        <w:jc w:val="both"/>
      </w:pPr>
      <w:r>
        <w:rPr>
          <w:rFonts w:ascii="Barlow Semi Condensed" w:cs="Barlow Semi Condensed" w:eastAsia="Barlow Semi Condensed" w:hAnsi="Barlow Semi Condensed"/>
          <w:b/>
          <w:bCs/>
          <w:sz w:val="24"/>
          <w:szCs w:val="24"/>
        </w:rPr>
        <w:t xml:space="preserve">3133 · Contare le ripetizioni non è riscontrare.</w:t>
      </w:r>
      <w:r>
        <w:rPr>
          <w:rFonts w:ascii="Barlow Semi Condensed" w:cs="Barlow Semi Condensed" w:eastAsia="Barlow Semi Condensed" w:hAnsi="Barlow Semi Condensed"/>
          <w:sz w:val="24"/>
          <w:szCs w:val="24"/>
        </w:rPr>
        <w:t xml:space="preserve"> Il numero delle occorrenze in rete non è una misura probatoria: è una misura di diffusione. Cinquanta pagine che riportano la stessa frase nella stessa forma valgono una fonte, non cinquanta. La scheda PN-4 insegna lo stesso in altro modo, distinguendo la conferma concorde dei dodici partecipanti — dodici escussioni indipendenti davanti ad autorità — da una replicazione seriale di testo, che indipendente non è.</w:t>
      </w:r>
    </w:p>
    <w:p>
      <w:pPr>
        <w:spacing w:after="120" w:line="276"/>
        <w:jc w:val="both"/>
      </w:pPr>
      <w:r>
        <w:rPr>
          <w:rFonts w:ascii="Barlow Semi Condensed" w:cs="Barlow Semi Condensed" w:eastAsia="Barlow Semi Condensed" w:hAnsi="Barlow Semi Condensed"/>
          <w:b/>
          <w:bCs/>
          <w:sz w:val="24"/>
          <w:szCs w:val="24"/>
        </w:rPr>
        <w:t xml:space="preserve">3134 · Le sedi, nominate una per una.</w:t>
      </w:r>
      <w:r>
        <w:rPr>
          <w:rFonts w:ascii="Barlow Semi Condensed" w:cs="Barlow Semi Condensed" w:eastAsia="Barlow Semi Condensed" w:hAnsi="Barlow Semi Condensed"/>
          <w:sz w:val="24"/>
          <w:szCs w:val="24"/>
        </w:rPr>
        <w:t xml:space="preserve"> Per il ramo italiano della catena: Archivio Centrale dello Stato, collezione «Stragi (Direttiva Renzi)», settantasette versamenti da centocinquantasei uffici; archivi del Ministero dell'Interno e della Questura di Roma; atti della Commissione Moro 2 presso l'archivio storico della Camera. Per il ramo estero: i National Archives, Central Foreign Policy File 1973-1979, e le withdrawal cards del 1978, che contano ciò che è stato trattenuto.</w:t>
      </w:r>
    </w:p>
    <w:p>
      <w:pPr>
        <w:spacing w:after="120" w:line="276"/>
        <w:jc w:val="both"/>
      </w:pPr>
      <w:r>
        <w:rPr>
          <w:rFonts w:ascii="Barlow Semi Condensed" w:cs="Barlow Semi Condensed" w:eastAsia="Barlow Semi Condensed" w:hAnsi="Barlow Semi Condensed"/>
          <w:b/>
          <w:bCs/>
          <w:sz w:val="24"/>
          <w:szCs w:val="24"/>
        </w:rPr>
        <w:t xml:space="preserve">3135 · Il criterio di chiusura di PN-4.</w:t>
      </w:r>
      <w:r>
        <w:rPr>
          <w:rFonts w:ascii="Barlow Semi Condensed" w:cs="Barlow Semi Condensed" w:eastAsia="Barlow Semi Condensed" w:hAnsi="Barlow Semi Condensed"/>
          <w:sz w:val="24"/>
          <w:szCs w:val="24"/>
        </w:rPr>
        <w:t xml:space="preserve"> La scheda si chiude in due modi: la catena ricostruita per intero, qualunque cosa mostri, oppure l'esaurimento certificato dei fondi con l'elenco di ciò che manca e di dove avrebbe dovuto essere. È la forma più matura di Stato Zero che il corpus possieda, perché non si limita a dichiarare l'assenza: la localizza. Questa serie adotta quel formato per ogni propria lacuna, e lo dichiara qui.</w:t>
      </w:r>
    </w:p>
    <w:p>
      <w:pPr>
        <w:spacing w:after="120" w:line="276"/>
        <w:jc w:val="both"/>
      </w:pPr>
      <w:r>
        <w:rPr>
          <w:rFonts w:ascii="Barlow Semi Condensed" w:cs="Barlow Semi Condensed" w:eastAsia="Barlow Semi Condensed" w:hAnsi="Barlow Semi Condensed"/>
          <w:b/>
          <w:bCs/>
          <w:sz w:val="24"/>
          <w:szCs w:val="24"/>
        </w:rPr>
        <w:t xml:space="preserve">3136 · Bersaglio di smentita per PN-4.</w:t>
      </w:r>
      <w:r>
        <w:rPr>
          <w:rFonts w:ascii="Barlow Semi Condensed" w:cs="Barlow Semi Condensed" w:eastAsia="Barlow Semi Condensed" w:hAnsi="Barlow Semi Condensed"/>
          <w:sz w:val="24"/>
          <w:szCs w:val="24"/>
        </w:rPr>
        <w:t xml:space="preserve"> Falsificherebbe l'ipotesi di una fonte estera dietro la segnalazione un verbale d'epoca che ne documenti la genesi ludica — chi propose le lettere, come uscì la parola — secondo quanto l'agenda di ricerca prescrive al blocco 213. Nessun documento noto lo fa. Ma nessun documento noto indica neppure un canale estero: le due assenze sono simmetriche, e vanno dichiarate insieme o non dichiarate affatto.</w:t>
      </w:r>
    </w:p>
    <w:p>
      <w:pPr>
        <w:spacing w:after="120" w:line="276"/>
        <w:jc w:val="both"/>
      </w:pPr>
      <w:r>
        <w:rPr>
          <w:rFonts w:ascii="Barlow Semi Condensed" w:cs="Barlow Semi Condensed" w:eastAsia="Barlow Semi Condensed" w:hAnsi="Barlow Semi Condensed"/>
          <w:b/>
          <w:bCs/>
          <w:sz w:val="24"/>
          <w:szCs w:val="24"/>
        </w:rPr>
        <w:t xml:space="preserve">3137 · La sede speculare oltreoceano.</w:t>
      </w:r>
      <w:r>
        <w:rPr>
          <w:rFonts w:ascii="Barlow Semi Condensed" w:cs="Barlow Semi Condensed" w:eastAsia="Barlow Semi Condensed" w:hAnsi="Barlow Semi Condensed"/>
          <w:sz w:val="24"/>
          <w:szCs w:val="24"/>
        </w:rPr>
        <w:t xml:space="preserve"> Il colloquio del 25 settembre 1974 esiste come documento 350 del volume FRUS 1969-1976 E-15 parte 2, seconda edizione riveduta, ed è il file 1552802 della Gerald R. Ford Presidential Library; un secondo verbale, del 26 settembre, è il file 1552806, con estratti parziali e non del tutto concordi. Chi voglia superare il limite dell'apparato K-5 deve leggere quei due file, non le loro sintesi.</w:t>
      </w:r>
    </w:p>
    <w:p>
      <w:pPr>
        <w:spacing w:after="120" w:line="276"/>
        <w:jc w:val="both"/>
      </w:pPr>
      <w:r>
        <w:rPr>
          <w:rFonts w:ascii="Barlow Semi Condensed" w:cs="Barlow Semi Condensed" w:eastAsia="Barlow Semi Condensed" w:hAnsi="Barlow Semi Condensed"/>
          <w:b/>
          <w:bCs/>
          <w:sz w:val="24"/>
          <w:szCs w:val="24"/>
        </w:rPr>
        <w:t xml:space="preserve">3138 · Le carte personali, quesito da portare.</w:t>
      </w:r>
      <w:r>
        <w:rPr>
          <w:rFonts w:ascii="Barlow Semi Condensed" w:cs="Barlow Semi Condensed" w:eastAsia="Barlow Semi Condensed" w:hAnsi="Barlow Semi Condensed"/>
          <w:sz w:val="24"/>
          <w:szCs w:val="24"/>
        </w:rPr>
        <w:t xml:space="preserve"> Un quesito che il corpus non ha mai formulato e che questa serie consegna: nelle carte personali di Henry Kissinger — il fondo depositato alla Library of Congress e le serie conservate nella Manuscripts and Archives della Yale University Library — esiste materiale sulla visita italiana del settembre 1974 o sull'Italia dei cinquantacinque giorni? Nessuno lo ha verificato per il corpus. Stato Zero con sede doppia e nominata.</w:t>
      </w:r>
    </w:p>
    <w:p>
      <w:pPr>
        <w:spacing w:after="120" w:line="276"/>
        <w:jc w:val="both"/>
      </w:pPr>
      <w:r>
        <w:rPr>
          <w:rFonts w:ascii="Barlow Semi Condensed" w:cs="Barlow Semi Condensed" w:eastAsia="Barlow Semi Condensed" w:hAnsi="Barlow Semi Condensed"/>
          <w:b/>
          <w:bCs/>
          <w:sz w:val="24"/>
          <w:szCs w:val="24"/>
        </w:rPr>
        <w:t xml:space="preserve">3139 · Il reperto che non ritratta.</w:t>
      </w:r>
      <w:r>
        <w:rPr>
          <w:rFonts w:ascii="Barlow Semi Condensed" w:cs="Barlow Semi Condensed" w:eastAsia="Barlow Semi Condensed" w:hAnsi="Barlow Semi Condensed"/>
          <w:sz w:val="24"/>
          <w:szCs w:val="24"/>
        </w:rPr>
        <w:t xml:space="preserve"> La forza del caricatore abbandonato fra via Fani e via Stresa la scheda la dice in una riga: è un reperto, non un ricordo — non ritratta, non viene minacciato, non confonde le date. Messa accanto alla materia di questa serie, quella riga funziona da metro. Sul presunto avvertimento il corpus dispone dell'esatto contrario: soltanto ricordi, che hanno ritrattato, che sono stati minacciati, che confondono le date.</w:t>
      </w:r>
    </w:p>
    <w:p>
      <w:pPr>
        <w:spacing w:after="120" w:line="276"/>
        <w:jc w:val="both"/>
      </w:pPr>
      <w:r>
        <w:rPr>
          <w:rFonts w:ascii="Barlow Semi Condensed" w:cs="Barlow Semi Condensed" w:eastAsia="Barlow Semi Condensed" w:hAnsi="Barlow Semi Condensed"/>
          <w:b/>
          <w:bCs/>
          <w:sz w:val="24"/>
          <w:szCs w:val="24"/>
        </w:rPr>
        <w:t xml:space="preserve">3140 · Due rami, e nessun terzo.</w:t>
      </w:r>
      <w:r>
        <w:rPr>
          <w:rFonts w:ascii="Barlow Semi Condensed" w:cs="Barlow Semi Condensed" w:eastAsia="Barlow Semi Condensed" w:hAnsi="Barlow Semi Condensed"/>
          <w:sz w:val="24"/>
          <w:szCs w:val="24"/>
        </w:rPr>
        <w:t xml:space="preserve"> Il quesito del caricatore è binario: se attribuito a un componente del commando giudicato chiude un dettaglio e rafforza il quadro; se attribuito a un profilo ignoto diventa, con l'eventuale residuo balistico, l'unico fondamento fisico possibile della terza presenza. Non esiste un terzo ramo in cui compaia un attore straniero, e la sua inesistenza non è una dimenticanza della scheda: è la struttura del quesito.</w:t>
      </w:r>
    </w:p>
    <w:p>
      <w:pPr>
        <w:spacing w:after="120" w:line="276"/>
        <w:jc w:val="both"/>
      </w:pPr>
      <w:r>
        <w:rPr>
          <w:rFonts w:ascii="Barlow Semi Condensed" w:cs="Barlow Semi Condensed" w:eastAsia="Barlow Semi Condensed" w:hAnsi="Barlow Semi Condensed"/>
          <w:b/>
          <w:bCs/>
          <w:sz w:val="24"/>
          <w:szCs w:val="24"/>
        </w:rPr>
        <w:t xml:space="preserve">3141 · La compatibilità che salda le piste.</w:t>
      </w:r>
      <w:r>
        <w:rPr>
          <w:rFonts w:ascii="Barlow Semi Condensed" w:cs="Barlow Semi Condensed" w:eastAsia="Barlow Semi Condensed" w:hAnsi="Barlow Semi Condensed"/>
          <w:sz w:val="24"/>
          <w:szCs w:val="24"/>
        </w:rPr>
        <w:t xml:space="preserve"> Saldare PN-2 a PN-1 richiede una sola domanda in più: il caricatore appartiene a un'arma del commando, o a un'arma mai repertata? L'agenda di ricerca la pone al blocco 79, il manuale ai blocchi 57 e 58. Nessuna delle tre formulazioni prevede la comparsa di un'arma di dotazione estera, e nessun documento del corpus la suggerisce: chi la sostenga indichi il verbale che la contiene.</w:t>
      </w:r>
    </w:p>
    <w:p>
      <w:pPr>
        <w:spacing w:after="120" w:line="276"/>
        <w:jc w:val="both"/>
      </w:pPr>
      <w:r>
        <w:rPr>
          <w:rFonts w:ascii="Barlow Semi Condensed" w:cs="Barlow Semi Condensed" w:eastAsia="Barlow Semi Condensed" w:hAnsi="Barlow Semi Condensed"/>
          <w:b/>
          <w:bCs/>
          <w:sz w:val="24"/>
          <w:szCs w:val="24"/>
        </w:rPr>
        <w:t xml:space="preserve">3142 · Quarantotto anni di catena.</w:t>
      </w:r>
      <w:r>
        <w:rPr>
          <w:rFonts w:ascii="Barlow Semi Condensed" w:cs="Barlow Semi Condensed" w:eastAsia="Barlow Semi Condensed" w:hAnsi="Barlow Semi Condensed"/>
          <w:sz w:val="24"/>
          <w:szCs w:val="24"/>
        </w:rPr>
        <w:t xml:space="preserve"> Il caricatore fu repertato la mattina del 16 marzo 1978 e non fu sottoposto a comparazione balistica né a esami biologici fino agli accertamenti disposti dal giudice: quarantotto anni di custodia senza una domanda. La catena di custodia è perciò l'atto preliminare che la scheda impone. Chi cerchi manomissioni in quel silenzio produca un registro, non un'ipotesi: l'inerzia amministrativa è una spiegazione già disponibile.</w:t>
      </w:r>
    </w:p>
    <w:p>
      <w:pPr>
        <w:spacing w:after="120" w:line="276"/>
        <w:jc w:val="both"/>
      </w:pPr>
      <w:r>
        <w:rPr>
          <w:rFonts w:ascii="Barlow Semi Condensed" w:cs="Barlow Semi Condensed" w:eastAsia="Barlow Semi Condensed" w:hAnsi="Barlow Semi Condensed"/>
          <w:b/>
          <w:bCs/>
          <w:sz w:val="24"/>
          <w:szCs w:val="24"/>
        </w:rPr>
        <w:t xml:space="preserve">3143 · La comparazione verso Morucci.</w:t>
      </w:r>
      <w:r>
        <w:rPr>
          <w:rFonts w:ascii="Barlow Semi Condensed" w:cs="Barlow Semi Condensed" w:eastAsia="Barlow Semi Condensed" w:hAnsi="Barlow Semi Condensed"/>
          <w:sz w:val="24"/>
          <w:szCs w:val="24"/>
        </w:rPr>
        <w:t xml:space="preserve"> Fra le comparazioni disposte ve n'è una verso Morucci, nome del registro del giudicato. È il ramo che, se confermato, chiuderebbe la pista verso il comparto escluso per direttiva — ed è anche la ragione per cui PN-2 prende soltanto cinque su dieci nel criterio d'indipendenza. Nessun ramo del quesito, nemmeno il meno favorevole alla scheda, apre verso l'esterno del caso italiano.</w:t>
      </w:r>
    </w:p>
    <w:p>
      <w:pPr>
        <w:spacing w:after="120" w:line="276"/>
        <w:jc w:val="both"/>
      </w:pPr>
      <w:r>
        <w:rPr>
          <w:rFonts w:ascii="Barlow Semi Condensed" w:cs="Barlow Semi Condensed" w:eastAsia="Barlow Semi Condensed" w:hAnsi="Barlow Semi Condensed"/>
          <w:b/>
          <w:bCs/>
          <w:sz w:val="24"/>
          <w:szCs w:val="24"/>
        </w:rPr>
        <w:t xml:space="preserve">3144 · Che cosa un ignoto autorizza.</w:t>
      </w:r>
      <w:r>
        <w:rPr>
          <w:rFonts w:ascii="Barlow Semi Condensed" w:cs="Barlow Semi Condensed" w:eastAsia="Barlow Semi Condensed" w:hAnsi="Barlow Semi Condensed"/>
          <w:sz w:val="24"/>
          <w:szCs w:val="24"/>
        </w:rPr>
        <w:t xml:space="preserve"> Un profilo genetico non identificato è un fatto, non un fantasma, e resta in banca per le comparazioni che la legge consentirà: così il manuale al blocco 60. Un ignoto autorizza una comparazione ulteriore e nient'altro. In particolare non autorizza a chiedersi di quale Paese sia: la domanda di nazionalità su un profilo ignoto non è forense, è una preferenza narrativa travestita da quesito.</w:t>
      </w:r>
    </w:p>
    <w:p>
      <w:pPr>
        <w:spacing w:after="120" w:line="276"/>
        <w:jc w:val="both"/>
      </w:pPr>
      <w:r>
        <w:rPr>
          <w:rFonts w:ascii="Barlow Semi Condensed" w:cs="Barlow Semi Condensed" w:eastAsia="Barlow Semi Condensed" w:hAnsi="Barlow Semi Condensed"/>
          <w:b/>
          <w:bCs/>
          <w:sz w:val="24"/>
          <w:szCs w:val="24"/>
        </w:rPr>
        <w:t xml:space="preserve">3145 · Il protocollo di silenzio, richiamato.</w:t>
      </w:r>
      <w:r>
        <w:rPr>
          <w:rFonts w:ascii="Barlow Semi Condensed" w:cs="Barlow Semi Condensed" w:eastAsia="Barlow Semi Condensed" w:hAnsi="Barlow Semi Condensed"/>
          <w:sz w:val="24"/>
          <w:szCs w:val="24"/>
        </w:rPr>
        <w:t xml:space="preserve"> Se dal caricatore o dai profili emergesse un ignoto, i cantieri storici congelano le pubblicazioni collegate fino alla qualificazione dell'autorità: così i blocchi 392 e 886 dei nove cantieri, e la soglia giudiziaria del blocco 291 del manuale. Questa serie vi si sottopone per intero. Una triangolazione onomastica è, fra tutte le pubblicazioni collegate, quella che in quel momento deve tacere per prima.</w:t>
      </w:r>
    </w:p>
    <w:p>
      <w:pPr>
        <w:spacing w:after="120" w:line="276"/>
        <w:jc w:val="both"/>
      </w:pPr>
      <w:r>
        <w:rPr>
          <w:rFonts w:ascii="Barlow Semi Condensed" w:cs="Barlow Semi Condensed" w:eastAsia="Barlow Semi Condensed" w:hAnsi="Barlow Semi Condensed"/>
          <w:b/>
          <w:bCs/>
          <w:sz w:val="24"/>
          <w:szCs w:val="24"/>
        </w:rPr>
        <w:t xml:space="preserve">3146 · Bersaglio di smentita per PN-2.</w:t>
      </w:r>
      <w:r>
        <w:rPr>
          <w:rFonts w:ascii="Barlow Semi Condensed" w:cs="Barlow Semi Condensed" w:eastAsia="Barlow Semi Condensed" w:hAnsi="Barlow Semi Condensed"/>
          <w:sz w:val="24"/>
          <w:szCs w:val="24"/>
        </w:rPr>
        <w:t xml:space="preserve"> L'attribuzione ordinaria del caricatore a un'arma dei condannati chiuderebbe il reperto e, con esso, ogni lettura che vi cerchi una mano esterna al giudicato. È un bersaglio di smentita reale, con esito atteso in mesi e non in decenni: l'agenda lo formula al blocco 226. Vale la pena notarlo — la pista più economica del programma è anche quella che smentirebbe più in fretta questa serie.</w:t>
      </w:r>
    </w:p>
    <w:p>
      <w:pPr>
        <w:spacing w:after="120" w:line="276"/>
        <w:jc w:val="both"/>
      </w:pPr>
      <w:r>
        <w:rPr>
          <w:rFonts w:ascii="Barlow Semi Condensed" w:cs="Barlow Semi Condensed" w:eastAsia="Barlow Semi Condensed" w:hAnsi="Barlow Semi Condensed"/>
          <w:b/>
          <w:bCs/>
          <w:sz w:val="24"/>
          <w:szCs w:val="24"/>
        </w:rPr>
        <w:t xml:space="preserve">3147 · Costo dell'atto e nettezza della risposta.</w:t>
      </w:r>
      <w:r>
        <w:rPr>
          <w:rFonts w:ascii="Barlow Semi Condensed" w:cs="Barlow Semi Condensed" w:eastAsia="Barlow Semi Condensed" w:hAnsi="Barlow Semi Condensed"/>
          <w:sz w:val="24"/>
          <w:szCs w:val="24"/>
        </w:rPr>
        <w:t xml:space="preserve"> PN-2 ha il rapporto più favorevole fra costo dell'atto e nettezza della risposta. La verifica sul presunto avvertimento ha il rapporto opposto: costo altissimo — archivi in due Paesi, verbali d'udienza, carte personali — e risposta che, comunque vada, sposterebbe un fatto biografico e diplomatico, non una catena di comando. Chi debba scegliere dove spendere un'ora d'archivio ha, in questa frase, il suo criterio.</w:t>
      </w:r>
    </w:p>
    <w:p>
      <w:pPr>
        <w:spacing w:after="120" w:line="276"/>
        <w:jc w:val="both"/>
      </w:pPr>
      <w:r>
        <w:rPr>
          <w:rFonts w:ascii="Barlow Semi Condensed" w:cs="Barlow Semi Condensed" w:eastAsia="Barlow Semi Condensed" w:hAnsi="Barlow Semi Condensed"/>
          <w:b/>
          <w:bCs/>
          <w:sz w:val="24"/>
          <w:szCs w:val="24"/>
        </w:rPr>
        <w:t xml:space="preserve">3148 · Stato Zero sui reperti, dichiarato.</w:t>
      </w:r>
      <w:r>
        <w:rPr>
          <w:rFonts w:ascii="Barlow Semi Condensed" w:cs="Barlow Semi Condensed" w:eastAsia="Barlow Semi Condensed" w:hAnsi="Barlow Semi Condensed"/>
          <w:sz w:val="24"/>
          <w:szCs w:val="24"/>
        </w:rPr>
        <w:t xml:space="preserve"> Il più ampio esito negativo della serie va scritto per intero: nessun reperto del caso Moro — bossoli, caricatore, mozziconi, veicoli — risulta collegato per documento ad alcuna autorità o struttura straniera, e le quattro schede non ne ipotizzano il collegamento. Lo chiuderebbero, in un senso o nell'altro, l'inventario generale dei reperti prescritto al blocco 46 del manuale e i registri dei corpi di reato di Roma.</w:t>
      </w:r>
    </w:p>
    <w:p>
      <w:pPr>
        <w:spacing w:after="120" w:line="276"/>
        <w:jc w:val="both"/>
      </w:pPr>
      <w:r>
        <w:rPr>
          <w:rFonts w:ascii="Barlow Semi Condensed" w:cs="Barlow Semi Condensed" w:eastAsia="Barlow Semi Condensed" w:hAnsi="Barlow Semi Condensed"/>
          <w:b/>
          <w:bCs/>
          <w:sz w:val="24"/>
          <w:szCs w:val="24"/>
        </w:rPr>
        <w:t xml:space="preserve">3149 · La Regola di Ferro contro di noi.</w:t>
      </w:r>
      <w:r>
        <w:rPr>
          <w:rFonts w:ascii="Barlow Semi Condensed" w:cs="Barlow Semi Condensed" w:eastAsia="Barlow Semi Condensed" w:hAnsi="Barlow Semi Condensed"/>
          <w:sz w:val="24"/>
          <w:szCs w:val="24"/>
        </w:rPr>
        <w:t xml:space="preserve"> L'approfondimento si apre dichiarando che la Regola di Ferro vale prima di tutto contro chi la enuncia, e lo dimostra retrocedendo una propria evidenza. Questa serie eredita l'obbligo: il suo esito principale è negativo, e il negativo non è un fallimento della ricerca ma il suo risultato. Un blocco che dichiara bene un'assenza vale più di uno che suggerisce una presenza; qui la proporzione è quasi totale.</w:t>
      </w:r>
    </w:p>
    <w:p>
      <w:pPr>
        <w:spacing w:after="120" w:line="276"/>
        <w:jc w:val="both"/>
      </w:pPr>
      <w:r>
        <w:rPr>
          <w:rFonts w:ascii="Barlow Semi Condensed" w:cs="Barlow Semi Condensed" w:eastAsia="Barlow Semi Condensed" w:hAnsi="Barlow Semi Condensed"/>
          <w:b/>
          <w:bCs/>
          <w:sz w:val="24"/>
          <w:szCs w:val="24"/>
        </w:rPr>
        <w:t xml:space="preserve">3150 · Le due note di revisione, simmetriche.</w:t>
      </w:r>
      <w:r>
        <w:rPr>
          <w:rFonts w:ascii="Barlow Semi Condensed" w:cs="Barlow Semi Condensed" w:eastAsia="Barlow Semi Condensed" w:hAnsi="Barlow Semi Condensed"/>
          <w:sz w:val="24"/>
          <w:szCs w:val="24"/>
        </w:rPr>
        <w:t xml:space="preserve"> Il corpus ha due note di revisione e valgono come precedenti vincolanti. La prima retrocede la riga E2 della matrice ACH sulle due moto dopo la ritrattazione del parabrezza. La seconda porta sette precisazioni al nodo dell'avvertimento senza riscriverne una riga. Il blocco 623 dell'opera le accosta già: nessuna delle due ha cancellato ciò che correggeva, e questa serie non cancella nulla di ciò che trova.</w:t>
      </w:r>
    </w:p>
    <w:p>
      <w:pPr>
        <w:spacing w:after="120" w:line="276"/>
        <w:jc w:val="both"/>
      </w:pPr>
      <w:r>
        <w:rPr>
          <w:rFonts w:ascii="Barlow Semi Condensed" w:cs="Barlow Semi Condensed" w:eastAsia="Barlow Semi Condensed" w:hAnsi="Barlow Semi Condensed"/>
          <w:b/>
          <w:bCs/>
          <w:sz w:val="24"/>
          <w:szCs w:val="24"/>
        </w:rPr>
        <w:t xml:space="preserve">3151 · Due retrocessioni, un solo movimento.</w:t>
      </w:r>
      <w:r>
        <w:rPr>
          <w:rFonts w:ascii="Barlow Semi Condensed" w:cs="Barlow Semi Condensed" w:eastAsia="Barlow Semi Condensed" w:hAnsi="Barlow Semi Condensed"/>
          <w:sz w:val="24"/>
          <w:szCs w:val="24"/>
        </w:rPr>
        <w:t xml:space="preserve"> Vale la pena guardarle insieme, perché il movimento è identico. La circostanza del parabrezza scende da diagnostica a controversa; l'avvertimento del 1974 scende da fatto ripetuto a testimonianza contestata, de relato, col nome sollecitato in aula e la data oscillante. In entrambi i casi non si è aggiunto nulla: si è tolto peso a ciò che ne aveva troppo. È l'unica forma di progresso che un corpus probatorio conosca.</w:t>
      </w:r>
    </w:p>
    <w:p>
      <w:pPr>
        <w:spacing w:after="120" w:line="276"/>
        <w:jc w:val="both"/>
      </w:pPr>
      <w:r>
        <w:rPr>
          <w:rFonts w:ascii="Barlow Semi Condensed" w:cs="Barlow Semi Condensed" w:eastAsia="Barlow Semi Condensed" w:hAnsi="Barlow Semi Condensed"/>
          <w:b/>
          <w:bCs/>
          <w:sz w:val="24"/>
          <w:szCs w:val="24"/>
        </w:rPr>
        <w:t xml:space="preserve">3152 · La contabilità dei piani, chiusa.</w:t>
      </w:r>
      <w:r>
        <w:rPr>
          <w:rFonts w:ascii="Barlow Semi Condensed" w:cs="Barlow Semi Condensed" w:eastAsia="Barlow Semi Condensed" w:hAnsi="Barlow Semi Condensed"/>
          <w:sz w:val="24"/>
          <w:szCs w:val="24"/>
        </w:rPr>
        <w:t xml:space="preserve"> Bilancio della serie sul territorio assegnato: piano 1, zero occorrenze; piano 2, una sola cornice condivisa — il quadro internazionale entro cui stanno sia il colloquio del 1974 sia il caso italiano del 1978 — che non produce alcun arco; piano 3, le letture terziarie sulla mano estera dietro le presenze non attribuite, registrate come circolazione. Stati Zero verbalizzati con sede: otto. È la forma esatta del risultato.</w:t>
      </w:r>
    </w:p>
    <w:p>
      <w:pPr>
        <w:spacing w:after="120" w:line="276"/>
        <w:jc w:val="both"/>
      </w:pPr>
      <w:r>
        <w:rPr>
          <w:rFonts w:ascii="Barlow Semi Condensed" w:cs="Barlow Semi Condensed" w:eastAsia="Barlow Semi Condensed" w:hAnsi="Barlow Semi Condensed"/>
          <w:b/>
          <w:bCs/>
          <w:sz w:val="24"/>
          <w:szCs w:val="24"/>
        </w:rPr>
        <w:t xml:space="preserve">3153 · La regola di lettura consegnata.</w:t>
      </w:r>
      <w:r>
        <w:rPr>
          <w:rFonts w:ascii="Barlow Semi Condensed" w:cs="Barlow Semi Condensed" w:eastAsia="Barlow Semi Condensed" w:hAnsi="Barlow Semi Condensed"/>
          <w:sz w:val="24"/>
          <w:szCs w:val="24"/>
        </w:rPr>
        <w:t xml:space="preserve"> Se ne ricava una regola trasferibile ad altre serie territoriali: dove un territorio del corpus è fatto di reperti, di testimoni e di protocolli, una triangolazione onomastica può produrre soltanto due esiti onesti — un documento di provenienza, oppure un'assenza localizzata. Il terzo esito, la convergenza suggestiva, non è un esito: è la rinuncia a distinguere ciò che si è trovato da ciò che si sperava.</w:t>
      </w:r>
    </w:p>
    <w:p>
      <w:pPr>
        <w:spacing w:after="120" w:line="276"/>
        <w:jc w:val="both"/>
      </w:pPr>
      <w:r>
        <w:rPr>
          <w:rFonts w:ascii="Barlow Semi Condensed" w:cs="Barlow Semi Condensed" w:eastAsia="Barlow Semi Condensed" w:hAnsi="Barlow Semi Condensed"/>
          <w:b/>
          <w:bCs/>
          <w:sz w:val="24"/>
          <w:szCs w:val="24"/>
        </w:rPr>
        <w:t xml:space="preserve">3154 · L'errore che la serie impedisce.</w:t>
      </w:r>
      <w:r>
        <w:rPr>
          <w:rFonts w:ascii="Barlow Semi Condensed" w:cs="Barlow Semi Condensed" w:eastAsia="Barlow Semi Condensed" w:hAnsi="Barlow Semi Condensed"/>
          <w:sz w:val="24"/>
          <w:szCs w:val="24"/>
        </w:rPr>
        <w:t xml:space="preserve"> L'errore da rendere impossibile è la saldatura fra i due vuoti: il residuo balistico non attribuito di via Fani e la frase non documentata del settembre 1974. Sono due lacune indipendenti, e due lacune non si sommano in una prova — si sommano in una lacuna più grande. Chi le unisce non ha trovato un nesso: ha messo un'ipotesi al posto di due punti interrogativi.</w:t>
      </w:r>
    </w:p>
    <w:p>
      <w:pPr>
        <w:spacing w:after="120" w:line="276"/>
        <w:jc w:val="both"/>
      </w:pPr>
      <w:r>
        <w:rPr>
          <w:rFonts w:ascii="Barlow Semi Condensed" w:cs="Barlow Semi Condensed" w:eastAsia="Barlow Semi Condensed" w:hAnsi="Barlow Semi Condensed"/>
          <w:b/>
          <w:bCs/>
          <w:sz w:val="24"/>
          <w:szCs w:val="24"/>
        </w:rPr>
        <w:t xml:space="preserve">3155 · Il bersaglio unico della serie.</w:t>
      </w:r>
      <w:r>
        <w:rPr>
          <w:rFonts w:ascii="Barlow Semi Condensed" w:cs="Barlow Semi Condensed" w:eastAsia="Barlow Semi Condensed" w:hAnsi="Barlow Semi Condensed"/>
          <w:sz w:val="24"/>
          <w:szCs w:val="24"/>
        </w:rPr>
        <w:t xml:space="preserve"> Un solo oggetto smentirebbe l'intero esito negativo qui verbalizzato: un documento di provenienza, con protocollo e data, che nomini insieme una delle quattro piste di testa e un'autorità statunitense del periodo. Non una testimonianza, non una memoria, non una convergenza di cornice. Chi lo produca faccia cadere questa serie: è stata scritta perché sia falsificabile in un colpo solo, e nessun'altra via la falsifica.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quarantaduesima — Le sei schede delle entità</w:t>
      </w:r>
    </w:p>
    <w:p>
      <w:pPr>
        <w:spacing w:after="120" w:line="276"/>
        <w:jc w:val="both"/>
      </w:pPr>
      <w:r>
        <w:rPr>
          <w:rFonts w:ascii="Barlow Semi Condensed" w:cs="Barlow Semi Condensed" w:eastAsia="Barlow Semi Condensed" w:hAnsi="Barlow Semi Condensed"/>
          <w:i/>
          <w:iCs/>
          <w:sz w:val="24"/>
          <w:szCs w:val="24"/>
        </w:rPr>
        <w:t xml:space="preserve">Blocchi 3156-3235.</w:t>
      </w:r>
    </w:p>
    <w:p>
      <w:pPr>
        <w:spacing w:after="120" w:line="276"/>
        <w:jc w:val="both"/>
      </w:pPr>
      <w:r>
        <w:rPr>
          <w:rFonts w:ascii="Barlow Semi Condensed" w:cs="Barlow Semi Condensed" w:eastAsia="Barlow Semi Condensed" w:hAnsi="Barlow Semi Condensed"/>
          <w:b/>
          <w:bCs/>
          <w:sz w:val="24"/>
          <w:szCs w:val="24"/>
        </w:rPr>
        <w:t xml:space="preserve">3156 · Statuto della quarantaduesima serie.</w:t>
      </w:r>
      <w:r>
        <w:rPr>
          <w:rFonts w:ascii="Barlow Semi Condensed" w:cs="Barlow Semi Condensed" w:eastAsia="Barlow Semi Condensed" w:hAnsi="Barlow Semi Condensed"/>
          <w:sz w:val="24"/>
          <w:szCs w:val="24"/>
        </w:rPr>
        <w:t xml:space="preserve"> Il territorio assegnato è un solo documento del corpus, approfondimento-piste-entita.md, con le sue sei schede: PE-1 sui comitati del Viminale, PE-3 su via Gradoli, PE-2 sul condominio, PE-4 sulla mediazione vaticana, PE-5 sugli alleati, PE-6 sul registro delle segnalazioni. La serie vi porta il nome di Henry Kissinger scheda per scheda e ne registra l'esito qualunque sia. Nessun blocco afferma un fatto nuovo sul caso.</w:t>
      </w:r>
    </w:p>
    <w:p>
      <w:pPr>
        <w:spacing w:after="120" w:line="276"/>
        <w:jc w:val="both"/>
      </w:pPr>
      <w:r>
        <w:rPr>
          <w:rFonts w:ascii="Barlow Semi Condensed" w:cs="Barlow Semi Condensed" w:eastAsia="Barlow Semi Condensed" w:hAnsi="Barlow Semi Condensed"/>
          <w:b/>
          <w:bCs/>
          <w:sz w:val="24"/>
          <w:szCs w:val="24"/>
        </w:rPr>
        <w:t xml:space="preserve">3157 · La verifica meccanica, prima di tutto.</w:t>
      </w:r>
      <w:r>
        <w:rPr>
          <w:rFonts w:ascii="Barlow Semi Condensed" w:cs="Barlow Semi Condensed" w:eastAsia="Barlow Semi Condensed" w:hAnsi="Barlow Semi Condensed"/>
          <w:sz w:val="24"/>
          <w:szCs w:val="24"/>
        </w:rPr>
        <w:t xml:space="preserve"> Interrogazione eseguita sul file assegnato: la stringa cercata compare zero volte in tutte e sei le schede, nei quesiti in forma ACH, negli atti raffinati in quattro passi, negli errori da non ripetere, nei criteri di chiusura e nel rilievo finale. Perimetro dichiarato: ricerca insensibile alle maiuscole sull'intero testo, varianti «Kissinger», «Henry», «Heinz». Esito negativo integrale, ed è il dato di partenza della serie, non la sua sconfitta.</w:t>
      </w:r>
    </w:p>
    <w:p>
      <w:pPr>
        <w:spacing w:after="120" w:line="276"/>
        <w:jc w:val="both"/>
      </w:pPr>
      <w:r>
        <w:rPr>
          <w:rFonts w:ascii="Barlow Semi Condensed" w:cs="Barlow Semi Condensed" w:eastAsia="Barlow Semi Condensed" w:hAnsi="Barlow Semi Condensed"/>
          <w:b/>
          <w:bCs/>
          <w:sz w:val="24"/>
          <w:szCs w:val="24"/>
        </w:rPr>
        <w:t xml:space="preserve">3158 · La data che governa il territorio.</w:t>
      </w:r>
      <w:r>
        <w:rPr>
          <w:rFonts w:ascii="Barlow Semi Condensed" w:cs="Barlow Semi Condensed" w:eastAsia="Barlow Semi Condensed" w:hAnsi="Barlow Semi Condensed"/>
          <w:sz w:val="24"/>
          <w:szCs w:val="24"/>
        </w:rPr>
        <w:t xml:space="preserve"> Le sei schede lavorano su finestre precise: 16 marzo – 9 maggio 1978 per PE-1, PE-3, PE-5 e PE-6; 1975-1978 per il covo e 1979-1986 per il secondo strato di PE-2; 21-22 aprile 1978 per la lettera di PE-4. In quella finestra Henry Kissinger non ricopriva alcuna carica: il mandato di Segretario di Stato si era chiuso il 20 gennaio 1977.</w:t>
      </w:r>
    </w:p>
    <w:p>
      <w:pPr>
        <w:spacing w:after="120" w:line="276"/>
        <w:jc w:val="both"/>
      </w:pPr>
      <w:r>
        <w:rPr>
          <w:rFonts w:ascii="Barlow Semi Condensed" w:cs="Barlow Semi Condensed" w:eastAsia="Barlow Semi Condensed" w:hAnsi="Barlow Semi Condensed"/>
          <w:b/>
          <w:bCs/>
          <w:sz w:val="24"/>
          <w:szCs w:val="24"/>
        </w:rPr>
        <w:t xml:space="preserve">3159 · Che cosa quella data non chiude.</w:t>
      </w:r>
      <w:r>
        <w:rPr>
          <w:rFonts w:ascii="Barlow Semi Condensed" w:cs="Barlow Semi Condensed" w:eastAsia="Barlow Semi Condensed" w:hAnsi="Barlow Semi Condensed"/>
          <w:sz w:val="24"/>
          <w:szCs w:val="24"/>
        </w:rPr>
        <w:t xml:space="preserve"> Dalla cessazione della carica non discende l'irrilevanza: un privato cittadino scrive, parla, consiglia, e le sue carte private esistono. Ne discende però che nessun documento d'ufficio statunitense del 1978 può recarne la firma come originatore, e che una sua eventuale comparsa nel traffico dei cinquantacinque giorni sarebbe menzione di terzi, non atto proprio. La distinzione fra firma e menzione governa ogni interrogazione che questa serie propone.</w:t>
      </w:r>
    </w:p>
    <w:p>
      <w:pPr>
        <w:spacing w:after="120" w:line="276"/>
        <w:jc w:val="both"/>
      </w:pPr>
      <w:r>
        <w:rPr>
          <w:rFonts w:ascii="Barlow Semi Condensed" w:cs="Barlow Semi Condensed" w:eastAsia="Barlow Semi Condensed" w:hAnsi="Barlow Semi Condensed"/>
          <w:b/>
          <w:bCs/>
          <w:sz w:val="24"/>
          <w:szCs w:val="24"/>
        </w:rPr>
        <w:t xml:space="preserve">3160 · I tre piani applicati alle schede.</w:t>
      </w:r>
      <w:r>
        <w:rPr>
          <w:rFonts w:ascii="Barlow Semi Condensed" w:cs="Barlow Semi Condensed" w:eastAsia="Barlow Semi Condensed" w:hAnsi="Barlow Semi Condensed"/>
          <w:sz w:val="24"/>
          <w:szCs w:val="24"/>
        </w:rPr>
        <w:t xml:space="preserve"> Piano uno, rapporto diretto documentato: sull'intero territorio non ne risulta alcuno. Piano due, convergenza strutturale entro la stessa cornice: vi rientrano l'ostilità documentata di settori dell'alleanza all'ingresso comunista nell'area di governo e la presenza del consulente statunitense accanto al ministro dell'Interno. Piano tre, affermazione terziaria senza riscontro: vi rientra tutto ciò che collega quel nome ai comitati del Viminale. La promozione fra i piani resta vietata.</w:t>
      </w:r>
    </w:p>
    <w:p>
      <w:pPr>
        <w:spacing w:after="120" w:line="276"/>
        <w:jc w:val="both"/>
      </w:pPr>
      <w:r>
        <w:rPr>
          <w:rFonts w:ascii="Barlow Semi Condensed" w:cs="Barlow Semi Condensed" w:eastAsia="Barlow Semi Condensed" w:hAnsi="Barlow Semi Condensed"/>
          <w:b/>
          <w:bCs/>
          <w:sz w:val="24"/>
          <w:szCs w:val="24"/>
        </w:rPr>
        <w:t xml:space="preserve">3161 · Il piano uno, fuori territorio.</w:t>
      </w:r>
      <w:r>
        <w:rPr>
          <w:rFonts w:ascii="Barlow Semi Condensed" w:cs="Barlow Semi Condensed" w:eastAsia="Barlow Semi Condensed" w:hAnsi="Barlow Semi Condensed"/>
          <w:sz w:val="24"/>
          <w:szCs w:val="24"/>
        </w:rPr>
        <w:t xml:space="preserve"> Il rapporto diretto documentato fra Moro e Kissinger resta uno solo: il memorandum of conversation dello Studio Ovale del 25 settembre 1974, Ford Library file 1552802, edito in FRUS 1969-1976 volume E-15 parte 2 documento 350, seconda edizione riveduta, col verbale del giorno successivo 1552806. Nessuna delle sei schede lo cita, e nessuna sua riga tocca comitati, condominio, cappellani, cablo del 1978 o segnalazioni.</w:t>
      </w:r>
    </w:p>
    <w:p>
      <w:pPr>
        <w:spacing w:after="120" w:line="276"/>
        <w:jc w:val="both"/>
      </w:pPr>
      <w:r>
        <w:rPr>
          <w:rFonts w:ascii="Barlow Semi Condensed" w:cs="Barlow Semi Condensed" w:eastAsia="Barlow Semi Condensed" w:hAnsi="Barlow Semi Condensed"/>
          <w:b/>
          <w:bCs/>
          <w:sz w:val="24"/>
          <w:szCs w:val="24"/>
        </w:rPr>
        <w:t xml:space="preserve">3162 · I tre livelli del Viminale.</w:t>
      </w:r>
      <w:r>
        <w:rPr>
          <w:rFonts w:ascii="Barlow Semi Condensed" w:cs="Barlow Semi Condensed" w:eastAsia="Barlow Semi Condensed" w:hAnsi="Barlow Semi Condensed"/>
          <w:sz w:val="24"/>
          <w:szCs w:val="24"/>
        </w:rPr>
        <w:t xml:space="preserve"> La scheda PE-1 distingue il comitato politico-tecnico-operativo istituito da Cossiga il 16 marzo 1978, il tecnico-operativo di composizione nominale documentata — Lettieri, Parlato, Grassini, Santovito, Napoletano poi Pelosi, Corsini, Ferrara, De Sena, De Francesco — e il comitato di esperti mai riunito collegialmente. In nessuno dei tre elenchi compare il nome triangolato, né poteva comparirvi: erano organi italiani di nomina ministeriale italiana. Stato Zero strutturale, e va detto perché lo è.</w:t>
      </w:r>
    </w:p>
    <w:p>
      <w:pPr>
        <w:spacing w:after="120" w:line="276"/>
        <w:jc w:val="both"/>
      </w:pPr>
      <w:r>
        <w:rPr>
          <w:rFonts w:ascii="Barlow Semi Condensed" w:cs="Barlow Semi Condensed" w:eastAsia="Barlow Semi Condensed" w:hAnsi="Barlow Semi Condensed"/>
          <w:b/>
          <w:bCs/>
          <w:sz w:val="24"/>
          <w:szCs w:val="24"/>
        </w:rPr>
        <w:t xml:space="preserve">3163 · Il censimento nominale come sede.</w:t>
      </w:r>
      <w:r>
        <w:rPr>
          <w:rFonts w:ascii="Barlow Semi Condensed" w:cs="Barlow Semi Condensed" w:eastAsia="Barlow Semi Condensed" w:hAnsi="Barlow Semi Condensed"/>
          <w:sz w:val="24"/>
          <w:szCs w:val="24"/>
        </w:rPr>
        <w:t xml:space="preserve"> L'atto che PE-1 chiede — la tavola nominale integrale dei tre livelli da decreti istitutivi, verbali, ordini del giorno ed elenchi di presenza, prescritto dal blocco 105 del manuale investigativo — è anche la sede che chiuderebbe questo Stato Zero. Se il nome comparisse in un elenco di presenza, sarebbe piano uno. Finché la tavola non esiste, l'assenza è dichiarata sull'inventario e non sul fondo.</w:t>
      </w:r>
    </w:p>
    <w:p>
      <w:pPr>
        <w:spacing w:after="120" w:line="276"/>
        <w:jc w:val="both"/>
      </w:pPr>
      <w:r>
        <w:rPr>
          <w:rFonts w:ascii="Barlow Semi Condensed" w:cs="Barlow Semi Condensed" w:eastAsia="Barlow Semi Condensed" w:hAnsi="Barlow Semi Condensed"/>
          <w:b/>
          <w:bCs/>
          <w:sz w:val="24"/>
          <w:szCs w:val="24"/>
        </w:rPr>
        <w:t xml:space="preserve">3164 · Il consulente statunitense e il suo grado.</w:t>
      </w:r>
      <w:r>
        <w:rPr>
          <w:rFonts w:ascii="Barlow Semi Condensed" w:cs="Barlow Semi Condensed" w:eastAsia="Barlow Semi Condensed" w:hAnsi="Barlow Semi Condensed"/>
          <w:sz w:val="24"/>
          <w:szCs w:val="24"/>
        </w:rPr>
        <w:t xml:space="preserve"> Steve Pieczenik, psichiatra inviato del Dipartimento di Stato, figura fra i ricondotti al comitato di esperti insieme a Ferracuti, Silvestri e Cappelletti. La sua presenza accanto a Cossiga è documentata e il corpus la registra al grado B, con le dichiarazioni successive al grado C, fonte di parte, come scrivono la Fase nona e il blocco 906. Da quella presenza non discende alcun ponte: l'appartenenza a un dicastero non è nesso.</w:t>
      </w:r>
    </w:p>
    <w:p>
      <w:pPr>
        <w:spacing w:after="120" w:line="276"/>
        <w:jc w:val="both"/>
      </w:pPr>
      <w:r>
        <w:rPr>
          <w:rFonts w:ascii="Barlow Semi Condensed" w:cs="Barlow Semi Condensed" w:eastAsia="Barlow Semi Condensed" w:hAnsi="Barlow Semi Condensed"/>
          <w:b/>
          <w:bCs/>
          <w:sz w:val="24"/>
          <w:szCs w:val="24"/>
        </w:rPr>
        <w:t xml:space="preserve">3165 · La catena gerarchica e il suo anno.</w:t>
      </w:r>
      <w:r>
        <w:rPr>
          <w:rFonts w:ascii="Barlow Semi Condensed" w:cs="Barlow Semi Condensed" w:eastAsia="Barlow Semi Condensed" w:hAnsi="Barlow Semi Condensed"/>
          <w:sz w:val="24"/>
          <w:szCs w:val="24"/>
        </w:rPr>
        <w:t xml:space="preserve"> Il quesito legittimo è uno e va formulato per esteso: esiste un documento di provenienza — nota, memorandum, cablo di nomina — che colleghi l'invio di Pieczenik a Roma nel 1978 a un atto firmato dal nome triangolato? Nel 1978 il Dipartimento di Stato era retto da Cyrus Vance. La domanda è dunque retrospettiva e riguarda l'organigramma, non l'atto. Sede: RG 59 ai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3166 · Sovrapposizione d'ufficio non è mandato.</w:t>
      </w:r>
      <w:r>
        <w:rPr>
          <w:rFonts w:ascii="Barlow Semi Condensed" w:cs="Barlow Semi Condensed" w:eastAsia="Barlow Semi Condensed" w:hAnsi="Barlow Semi Condensed"/>
          <w:sz w:val="24"/>
          <w:szCs w:val="24"/>
        </w:rPr>
        <w:t xml:space="preserve"> Che un funzionario abbia servito nel Dipartimento di Stato negli anni in cui quel nome ne fu titolare, dal 22 settembre 1973 al 20 gennaio 1977, è fatto di organigramma. Il corpus lo classifica per ciò che è: contemporaneità istituzionale, piano due nella lettura più generosa. Trasformarla in catena di comando su un atto del 1978 richiederebbe una carta che nomini insieme le due parti e l'atto. Non risulta.</w:t>
      </w:r>
    </w:p>
    <w:p>
      <w:pPr>
        <w:spacing w:after="120" w:line="276"/>
        <w:jc w:val="both"/>
      </w:pPr>
      <w:r>
        <w:rPr>
          <w:rFonts w:ascii="Barlow Semi Condensed" w:cs="Barlow Semi Condensed" w:eastAsia="Barlow Semi Condensed" w:hAnsi="Barlow Semi Condensed"/>
          <w:b/>
          <w:bCs/>
          <w:sz w:val="24"/>
          <w:szCs w:val="24"/>
        </w:rPr>
        <w:t xml:space="preserve">3167 · La qualificazione delle lettere, e la firma.</w:t>
      </w:r>
      <w:r>
        <w:rPr>
          <w:rFonts w:ascii="Barlow Semi Condensed" w:cs="Barlow Semi Condensed" w:eastAsia="Barlow Semi Condensed" w:hAnsi="Barlow Semi Condensed"/>
          <w:sz w:val="24"/>
          <w:szCs w:val="24"/>
        </w:rPr>
        <w:t xml:space="preserve"> PE-1 consegna il suo dato più pesante: consulenti del comitato — Ferracuti e Pieczenik in particolare — furono fautori della tesi dell'inattendibilità delle lettere di Moro, il prigioniero «fuori di sé». Il quesito documentale è preciso: in quali carte fu formulata, da chi sottoscritta, con quale circolazione, con quali effetti. Su nessuna delle risposte possibili il nome triangolato ha oggi titolo per comparire; se comparisse in una relazione firmata, il grado cambierebbe.</w:t>
      </w:r>
    </w:p>
    <w:p>
      <w:pPr>
        <w:spacing w:after="120" w:line="276"/>
        <w:jc w:val="both"/>
      </w:pPr>
      <w:r>
        <w:rPr>
          <w:rFonts w:ascii="Barlow Semi Condensed" w:cs="Barlow Semi Condensed" w:eastAsia="Barlow Semi Condensed" w:hAnsi="Barlow Semi Condensed"/>
          <w:b/>
          <w:bCs/>
          <w:sz w:val="24"/>
          <w:szCs w:val="24"/>
        </w:rPr>
        <w:t xml:space="preserve">3168 · Gli elenchi di Castiglion Fibocchi (serie XLII).</w:t>
      </w:r>
      <w:r>
        <w:rPr>
          <w:rFonts w:ascii="Barlow Semi Condensed" w:cs="Barlow Semi Condensed" w:eastAsia="Barlow Semi Condensed" w:hAnsi="Barlow Semi Condensed"/>
          <w:sz w:val="24"/>
          <w:szCs w:val="24"/>
        </w:rPr>
        <w:t xml:space="preserve"> Negli elenchi della loggia sequestrati risultano il generale Giuseppe Santovito con tessera 1630 e il generale Giulio Grassini; vi risulta anche Franco Ferracuti, con divergenza dichiarata sulla data d'affiliazione — chi la colloca nei giorni del sequestro, chi nel 1980 — e la divergenza si riporta senza scioglierla. Il nome triangolato non figura in quegli elenchi e nessuna fonte primaria del corpus ve lo colloca: Stato Zero su documento italiano sequestrato.</w:t>
      </w:r>
    </w:p>
    <w:p>
      <w:pPr>
        <w:spacing w:after="120" w:line="276"/>
        <w:jc w:val="both"/>
      </w:pPr>
      <w:r>
        <w:rPr>
          <w:rFonts w:ascii="Barlow Semi Condensed" w:cs="Barlow Semi Condensed" w:eastAsia="Barlow Semi Condensed" w:hAnsi="Barlow Semi Condensed"/>
          <w:b/>
          <w:bCs/>
          <w:sz w:val="24"/>
          <w:szCs w:val="24"/>
        </w:rPr>
        <w:t xml:space="preserve">3169 · L'iscrizione non è condotta.</w:t>
      </w:r>
      <w:r>
        <w:rPr>
          <w:rFonts w:ascii="Barlow Semi Condensed" w:cs="Barlow Semi Condensed" w:eastAsia="Barlow Semi Condensed" w:hAnsi="Barlow Semi Condensed"/>
          <w:sz w:val="24"/>
          <w:szCs w:val="24"/>
        </w:rPr>
        <w:t xml:space="preserve"> La regola scolpita da PE-1 — l'iscrizione accertata di un funzionario è un fatto, mai la prova di una condotta nei cinquantacinque giorni — vale anche in direzione inversa alla triangolazione. Se una futura tavola nominale mostrasse percentuali alte di appartenenza, nulla di ciò toccherebbe un nome che in quegli elenchi non compare. Sommare appartenenze altrui a un terzo assente è l'operazione che questa serie esiste per rendere impossibile.</w:t>
      </w:r>
    </w:p>
    <w:p>
      <w:pPr>
        <w:spacing w:after="120" w:line="276"/>
        <w:jc w:val="both"/>
      </w:pPr>
      <w:r>
        <w:rPr>
          <w:rFonts w:ascii="Barlow Semi Condensed" w:cs="Barlow Semi Condensed" w:eastAsia="Barlow Semi Condensed" w:hAnsi="Barlow Semi Condensed"/>
          <w:b/>
          <w:bCs/>
          <w:sz w:val="24"/>
          <w:szCs w:val="24"/>
        </w:rPr>
        <w:t xml:space="preserve">3170 · La tesi massima, sospesa.</w:t>
      </w:r>
      <w:r>
        <w:rPr>
          <w:rFonts w:ascii="Barlow Semi Condensed" w:cs="Barlow Semi Condensed" w:eastAsia="Barlow Semi Condensed" w:hAnsi="Barlow Semi Condensed"/>
          <w:sz w:val="24"/>
          <w:szCs w:val="24"/>
        </w:rPr>
        <w:t xml:space="preserve"> Circola da decenni la tesi del comitato «interamente composto» da iscritti, che il blocco 201 del manuale investigativo sospende esplicitamente fino alla tavola nominale con le date. Alla tesi massima la pubblicistica accoda spesso un raccordo internazionale generico. Il corpus lo qualifica per quel che è: affermazione terziaria, piano tre, priva di documento di provenienza. Sospensione anche per essa, con lo stesso criterio: la tavola, oppure niente.</w:t>
      </w:r>
    </w:p>
    <w:p>
      <w:pPr>
        <w:spacing w:after="120" w:line="276"/>
        <w:jc w:val="both"/>
      </w:pPr>
      <w:r>
        <w:rPr>
          <w:rFonts w:ascii="Barlow Semi Condensed" w:cs="Barlow Semi Condensed" w:eastAsia="Barlow Semi Condensed" w:hAnsi="Barlow Semi Condensed"/>
          <w:b/>
          <w:bCs/>
          <w:sz w:val="24"/>
          <w:szCs w:val="24"/>
        </w:rPr>
        <w:t xml:space="preserve">3171 · L'accertamento Anselmi e i suoi confini.</w:t>
      </w:r>
      <w:r>
        <w:rPr>
          <w:rFonts w:ascii="Barlow Semi Condensed" w:cs="Barlow Semi Condensed" w:eastAsia="Barlow Semi Condensed" w:hAnsi="Barlow Semi Condensed"/>
          <w:sz w:val="24"/>
          <w:szCs w:val="24"/>
        </w:rPr>
        <w:t xml:space="preserve"> L'accertamento sulla concentrazione di fatto delle indagini al Viminale e sulla menomazione dell'autonomia dell'autorità giudiziaria è portato dal corpus al grado B. Riguarda apparati italiani e una dinamica interna, e nessuna sua riga nomina attori stranieri. Bersaglio di smentita, formulato per essere verificabile: un atto della Commissione che indichi un canale estero come concorrente di quella concentrazione. Allo stato delle carte spogliate non risulta, e l'esito si verbalizza.</w:t>
      </w:r>
    </w:p>
    <w:p>
      <w:pPr>
        <w:spacing w:after="120" w:line="276"/>
        <w:jc w:val="both"/>
      </w:pPr>
      <w:r>
        <w:rPr>
          <w:rFonts w:ascii="Barlow Semi Condensed" w:cs="Barlow Semi Condensed" w:eastAsia="Barlow Semi Condensed" w:hAnsi="Barlow Semi Condensed"/>
          <w:b/>
          <w:bCs/>
          <w:sz w:val="24"/>
          <w:szCs w:val="24"/>
        </w:rPr>
        <w:t xml:space="preserve">3172 · Come deliberava un organo mai riunito.</w:t>
      </w:r>
      <w:r>
        <w:rPr>
          <w:rFonts w:ascii="Barlow Semi Condensed" w:cs="Barlow Semi Condensed" w:eastAsia="Barlow Semi Condensed" w:hAnsi="Barlow Semi Condensed"/>
          <w:sz w:val="24"/>
          <w:szCs w:val="24"/>
        </w:rPr>
        <w:t xml:space="preserve"> La domanda più fine della scheda riguarda il modo in cui circolassero i pareri di un comitato che non si riunì mai collegialmente. Se la risposta fosse per carta, con nota di trasmissione e destinatari elencati, allora esiste una serie di note di trasmissione, e una serie è interrogabile per nomi. È l'unico punto di PE-1 in cui una triangolazione onesta potrebbe produrre un riscontro. Sede: versamenti del Viminale nel fondo Direttiva Renzi.</w:t>
      </w:r>
    </w:p>
    <w:p>
      <w:pPr>
        <w:spacing w:after="120" w:line="276"/>
        <w:jc w:val="both"/>
      </w:pPr>
      <w:r>
        <w:rPr>
          <w:rFonts w:ascii="Barlow Semi Condensed" w:cs="Barlow Semi Condensed" w:eastAsia="Barlow Semi Condensed" w:hAnsi="Barlow Semi Condensed"/>
          <w:b/>
          <w:bCs/>
          <w:sz w:val="24"/>
          <w:szCs w:val="24"/>
        </w:rPr>
        <w:t xml:space="preserve">3173 · Il grado assegnato in anticipo.</w:t>
      </w:r>
      <w:r>
        <w:rPr>
          <w:rFonts w:ascii="Barlow Semi Condensed" w:cs="Barlow Semi Condensed" w:eastAsia="Barlow Semi Condensed" w:hAnsi="Barlow Semi Condensed"/>
          <w:sz w:val="24"/>
          <w:szCs w:val="24"/>
        </w:rPr>
        <w:t xml:space="preserve"> Si fissa ora, prima di aprire i fondi, il grado che spetterà a ciascun esito possibile su PE-1. Un elenco di presenza col nome: piano uno, grado A. Una menzione dentro il parere di un terzo: fatto sulla circolazione di un'idea, non sull'atto. Un rinvio bibliografico a un'opera dottrinale: nulla di rilevante. Dichiarare la scala prima della ricerca azzera il margine di adattamento all'esito ottenuto.</w:t>
      </w:r>
    </w:p>
    <w:p>
      <w:pPr>
        <w:spacing w:after="120" w:line="276"/>
        <w:jc w:val="both"/>
      </w:pPr>
      <w:r>
        <w:rPr>
          <w:rFonts w:ascii="Barlow Semi Condensed" w:cs="Barlow Semi Condensed" w:eastAsia="Barlow Semi Condensed" w:hAnsi="Barlow Semi Condensed"/>
          <w:b/>
          <w:bCs/>
          <w:sz w:val="24"/>
          <w:szCs w:val="24"/>
        </w:rPr>
        <w:t xml:space="preserve">3174 · Trenta giorni senza nomi stranieri.</w:t>
      </w:r>
      <w:r>
        <w:rPr>
          <w:rFonts w:ascii="Barlow Semi Condensed" w:cs="Barlow Semi Condensed" w:eastAsia="Barlow Semi Condensed" w:hAnsi="Barlow Semi Condensed"/>
          <w:sz w:val="24"/>
          <w:szCs w:val="24"/>
        </w:rPr>
        <w:t xml:space="preserve"> La sequenza di via Gradoli è integralmente italiana negli attori documentati: la nota dell'informatrice Lucia Mokbel sui rumori dall'interno 11, il campanello senza risposta del 18 marzo con la squadra del commissariato Flaminio Nuovo guidata dal brigadiere Domenico Merola, il rubinetto della doccia nel verbale dei vigili del fuoco del 18 aprile. Nessuna delle carte censite dalla scheda contempla un interlocutore estero. Esito negativo su sequenza completa.</w:t>
      </w:r>
    </w:p>
    <w:p>
      <w:pPr>
        <w:spacing w:after="120" w:line="276"/>
        <w:jc w:val="both"/>
      </w:pPr>
      <w:r>
        <w:rPr>
          <w:rFonts w:ascii="Barlow Semi Condensed" w:cs="Barlow Semi Condensed" w:eastAsia="Barlow Semi Condensed" w:hAnsi="Barlow Semi Condensed"/>
          <w:b/>
          <w:bCs/>
          <w:sz w:val="24"/>
          <w:szCs w:val="24"/>
        </w:rPr>
        <w:t xml:space="preserve">3175 · La catena protocollare come luogo del riscontro.</w:t>
      </w:r>
      <w:r>
        <w:rPr>
          <w:rFonts w:ascii="Barlow Semi Condensed" w:cs="Barlow Semi Condensed" w:eastAsia="Barlow Semi Condensed" w:hAnsi="Barlow Semi Condensed"/>
          <w:sz w:val="24"/>
          <w:szCs w:val="24"/>
        </w:rPr>
        <w:t xml:space="preserve"> Il quesito Q1 di PE-3 chiede la catena documentale della nota: protocollo d'ingresso, assegnazione, disposizioni scritte alla squadra, rapporto di Merola, eventuale nota di mancato seguito, cioè i blocchi 101 e 102 del manuale. È in quella catena, e in nessun altro luogo, che una menzione estera lascerebbe traccia d'ufficio. Attesa dichiarata prima della ricerca: nessuna menzione, e la ragione è di competenza territoriale.</w:t>
      </w:r>
    </w:p>
    <w:p>
      <w:pPr>
        <w:spacing w:after="120" w:line="276"/>
        <w:jc w:val="both"/>
      </w:pPr>
      <w:r>
        <w:rPr>
          <w:rFonts w:ascii="Barlow Semi Condensed" w:cs="Barlow Semi Condensed" w:eastAsia="Barlow Semi Condensed" w:hAnsi="Barlow Semi Condensed"/>
          <w:b/>
          <w:bCs/>
          <w:sz w:val="24"/>
          <w:szCs w:val="24"/>
        </w:rPr>
        <w:t xml:space="preserve">3176 · Il rubinetto e le due ipotesi.</w:t>
      </w:r>
      <w:r>
        <w:rPr>
          <w:rFonts w:ascii="Barlow Semi Condensed" w:cs="Barlow Semi Condensed" w:eastAsia="Barlow Semi Condensed" w:hAnsi="Barlow Semi Condensed"/>
          <w:sz w:val="24"/>
          <w:szCs w:val="24"/>
        </w:rPr>
        <w:t xml:space="preserve"> Q2 oppone la distrazione documentata dal verbale alla perdita deliberata per far scoprire il covo, con i rilievi fotografici originali del bagno come unica evidenza discriminante. Entrambe le ipotesi restano C. Nessuna delle due, per come la scheda le formula, chiama in causa attori esterni all'ambiente italiano del sequestro: chi sostiene la seconda ipotizza una mano interna, non una regia atlantica. La triangolazione non ha qui alcun aggancio.</w:t>
      </w:r>
    </w:p>
    <w:p>
      <w:pPr>
        <w:spacing w:after="120" w:line="276"/>
        <w:jc w:val="both"/>
      </w:pPr>
      <w:r>
        <w:rPr>
          <w:rFonts w:ascii="Barlow Semi Condensed" w:cs="Barlow Semi Condensed" w:eastAsia="Barlow Semi Condensed" w:hAnsi="Barlow Semi Condensed"/>
          <w:b/>
          <w:bCs/>
          <w:sz w:val="24"/>
          <w:szCs w:val="24"/>
        </w:rPr>
        <w:t xml:space="preserve">3177 · Il triplo 18 aprile, e il divieto.</w:t>
      </w:r>
      <w:r>
        <w:rPr>
          <w:rFonts w:ascii="Barlow Semi Condensed" w:cs="Barlow Semi Condensed" w:eastAsia="Barlow Semi Condensed" w:hAnsi="Barlow Semi Condensed"/>
          <w:sz w:val="24"/>
          <w:szCs w:val="24"/>
        </w:rPr>
        <w:t xml:space="preserve"> Falso comunicato numero sette, scoperta del covo, messinscena del lago della Duchessa: il grappolo temporale è un fatto, il suo significato non lo è. La regola della scheda vieta di assumere il grappolo come regia finché gli atti non parlino, e la stessa regola vieta di popolare quella regia ipotetica con nomi presi altrove. Un nome senza documento aggiunto a una coincidenza senza spiegazione produce due errori.</w:t>
      </w:r>
    </w:p>
    <w:p>
      <w:pPr>
        <w:spacing w:after="120" w:line="276"/>
        <w:jc w:val="both"/>
      </w:pPr>
      <w:r>
        <w:rPr>
          <w:rFonts w:ascii="Barlow Semi Condensed" w:cs="Barlow Semi Condensed" w:eastAsia="Barlow Semi Condensed" w:hAnsi="Barlow Semi Condensed"/>
          <w:b/>
          <w:bCs/>
          <w:sz w:val="24"/>
          <w:szCs w:val="24"/>
        </w:rPr>
        <w:t xml:space="preserve">3178 · Chi abitava l'interno 11.</w:t>
      </w:r>
      <w:r>
        <w:rPr>
          <w:rFonts w:ascii="Barlow Semi Condensed" w:cs="Barlow Semi Condensed" w:eastAsia="Barlow Semi Condensed" w:hAnsi="Barlow Semi Condensed"/>
          <w:sz w:val="24"/>
          <w:szCs w:val="24"/>
        </w:rPr>
        <w:t xml:space="preserve"> L'appartamento risultava affittato dal 1975 all'«ing. Borghi», cioè Mario Moretti, ed era in uso in quei giorni a Moretti e Balzerani; vi avevano abitato per primi Bonisoli e Brioschi. Sono fatti di giudicato, scritti nelle sentenze dei processi Moro, e il perimetro penale del nodo è chiuso lì. La serie non aggiunge né sottrae responsabili, e nessun nome triangolato entra in quel perimetro.</w:t>
      </w:r>
    </w:p>
    <w:p>
      <w:pPr>
        <w:spacing w:after="120" w:line="276"/>
        <w:jc w:val="both"/>
      </w:pPr>
      <w:r>
        <w:rPr>
          <w:rFonts w:ascii="Barlow Semi Condensed" w:cs="Barlow Semi Condensed" w:eastAsia="Barlow Semi Condensed" w:hAnsi="Barlow Semi Condensed"/>
          <w:b/>
          <w:bCs/>
          <w:sz w:val="24"/>
          <w:szCs w:val="24"/>
        </w:rPr>
        <w:t xml:space="preserve">3179 · La sede americana che non esiste.</w:t>
      </w:r>
      <w:r>
        <w:rPr>
          <w:rFonts w:ascii="Barlow Semi Condensed" w:cs="Barlow Semi Condensed" w:eastAsia="Barlow Semi Condensed" w:hAnsi="Barlow Semi Condensed"/>
          <w:sz w:val="24"/>
          <w:szCs w:val="24"/>
        </w:rPr>
        <w:t xml:space="preserve"> Per PE-3 non esiste alcuna sede d'archivio statunitense capace di chiudere lo Stato Zero, perché nessun atto americano era dovuto su un controllo di polizia urbana romana. Questo distingue PE-3 da PE-5: là l'assenza si misura su una serie che esiste, qui su una serie che non dovrebbe esistere. Il blocco 649 dell'opera-madre lo enuncia: un vuoto è informativo solo se l'attesa era motivata da una prassi documentata.</w:t>
      </w:r>
    </w:p>
    <w:p>
      <w:pPr>
        <w:spacing w:after="120" w:line="276"/>
        <w:jc w:val="both"/>
      </w:pPr>
      <w:r>
        <w:rPr>
          <w:rFonts w:ascii="Barlow Semi Condensed" w:cs="Barlow Semi Condensed" w:eastAsia="Barlow Semi Condensed" w:hAnsi="Barlow Semi Condensed"/>
          <w:b/>
          <w:bCs/>
          <w:sz w:val="24"/>
          <w:szCs w:val="24"/>
        </w:rPr>
        <w:t xml:space="preserve">3180 · Che cosa falsificherebbe il campanello.</w:t>
      </w:r>
      <w:r>
        <w:rPr>
          <w:rFonts w:ascii="Barlow Semi Condensed" w:cs="Barlow Semi Condensed" w:eastAsia="Barlow Semi Condensed" w:hAnsi="Barlow Semi Condensed"/>
          <w:sz w:val="24"/>
          <w:szCs w:val="24"/>
        </w:rPr>
        <w:t xml:space="preserve"> Bersaglio di smentita, formulato per intero: comparirebbe un nesso se il fascicolo del commissariato Flaminio Nuovo, il registro dei controlli di zona o il carteggio questura-UCIGOS-Viminale del 18 marzo recassero una disposizione riferita a una fonte alleata, con data e firma. Sarebbe piano uno e cambierebbe la scheda. Finché quelle carte non sono riacquisite, l'affermazione contraria e quella favorevole valgono documentalmente lo stesso, cioè nulla.</w:t>
      </w:r>
    </w:p>
    <w:p>
      <w:pPr>
        <w:spacing w:after="120" w:line="276"/>
        <w:jc w:val="both"/>
      </w:pPr>
      <w:r>
        <w:rPr>
          <w:rFonts w:ascii="Barlow Semi Condensed" w:cs="Barlow Semi Condensed" w:eastAsia="Barlow Semi Condensed" w:hAnsi="Barlow Semi Condensed"/>
          <w:b/>
          <w:bCs/>
          <w:sz w:val="24"/>
          <w:szCs w:val="24"/>
        </w:rPr>
        <w:t xml:space="preserve">3181 · L'informatrice e il brigadiere.</w:t>
      </w:r>
      <w:r>
        <w:rPr>
          <w:rFonts w:ascii="Barlow Semi Condensed" w:cs="Barlow Semi Condensed" w:eastAsia="Barlow Semi Condensed" w:hAnsi="Barlow Semi Condensed"/>
          <w:sz w:val="24"/>
          <w:szCs w:val="24"/>
        </w:rPr>
        <w:t xml:space="preserve"> Sono fatti d'ufficio documentati, l'una fonte e l'altro operante, e a nessuno dei due gli atti attribuiscono altro: la scheda lo scrive e la serie lo ripete, perché una triangolazione internazionale ha la tentazione di trasformare ogni anello locale in complice. Il divieto vale identico quando il nome che si vorrebbe agganciare è illustre. Nessuna persona è qui indicata come responsabile penale oltre il giudicato definitivo.</w:t>
      </w:r>
    </w:p>
    <w:p>
      <w:pPr>
        <w:spacing w:after="120" w:line="276"/>
        <w:jc w:val="both"/>
      </w:pPr>
      <w:r>
        <w:rPr>
          <w:rFonts w:ascii="Barlow Semi Condensed" w:cs="Barlow Semi Condensed" w:eastAsia="Barlow Semi Condensed" w:hAnsi="Barlow Semi Condensed"/>
          <w:b/>
          <w:bCs/>
          <w:sz w:val="24"/>
          <w:szCs w:val="24"/>
        </w:rPr>
        <w:t xml:space="preserve">3182 · Il ritardo di trenta giorni.</w:t>
      </w:r>
      <w:r>
        <w:rPr>
          <w:rFonts w:ascii="Barlow Semi Condensed" w:cs="Barlow Semi Condensed" w:eastAsia="Barlow Semi Condensed" w:hAnsi="Barlow Semi Condensed"/>
          <w:sz w:val="24"/>
          <w:szCs w:val="24"/>
        </w:rPr>
        <w:t xml:space="preserve"> Fra il campanello del 18 marzo e la doccia del 18 aprile corrono trenta giorni, compatibili con la negligenza da sovraccarico e con l'ipotesi del filtro: solo le carte discriminano. Aggiungere alla seconda ipotesi un mandante estero non la rafforza, la rende meno verificabile, perché sposta la prova in un archivio che su questo fatto non produce documenti. È la ragione per cui il corpus preferisce il protocollo.</w:t>
      </w:r>
    </w:p>
    <w:p>
      <w:pPr>
        <w:spacing w:after="120" w:line="276"/>
        <w:jc w:val="both"/>
      </w:pPr>
      <w:r>
        <w:rPr>
          <w:rFonts w:ascii="Barlow Semi Condensed" w:cs="Barlow Semi Condensed" w:eastAsia="Barlow Semi Condensed" w:hAnsi="Barlow Semi Condensed"/>
          <w:b/>
          <w:bCs/>
          <w:sz w:val="24"/>
          <w:szCs w:val="24"/>
        </w:rPr>
        <w:t xml:space="preserve">3183 · La conservatoria e i suoi nomi.</w:t>
      </w:r>
      <w:r>
        <w:rPr>
          <w:rFonts w:ascii="Barlow Semi Condensed" w:cs="Barlow Semi Condensed" w:eastAsia="Barlow Semi Condensed" w:hAnsi="Barlow Semi Condensed"/>
          <w:sz w:val="24"/>
          <w:szCs w:val="24"/>
        </w:rPr>
        <w:t xml:space="preserve"> PE-2 chiede visure storiche integrali di catasto e conservatoria per i sessantasei appartamenti di via Gradoli 96 nella finestra 1970-1990, e i fascicoli societari di Monte Valle Verde, Caseroma, Gradoli spa e della fiduciaria Fidrev al registro delle imprese. Sono registri pubblici e nominativi, dunque l'accertamento è meccanico e a costo quasi nullo. Nessuna fonte propone il nome triangolato fra quei nominativi: verifica dovuta e non ancora eseguita.</w:t>
      </w:r>
    </w:p>
    <w:p>
      <w:pPr>
        <w:spacing w:after="120" w:line="276"/>
        <w:jc w:val="both"/>
      </w:pPr>
      <w:r>
        <w:rPr>
          <w:rFonts w:ascii="Barlow Semi Condensed" w:cs="Barlow Semi Condensed" w:eastAsia="Barlow Semi Condensed" w:hAnsi="Barlow Semi Condensed"/>
          <w:b/>
          <w:bCs/>
          <w:sz w:val="24"/>
          <w:szCs w:val="24"/>
        </w:rPr>
        <w:t xml:space="preserve">3184 · Le date del secondo strato.</w:t>
      </w:r>
      <w:r>
        <w:rPr>
          <w:rFonts w:ascii="Barlow Semi Condensed" w:cs="Barlow Semi Condensed" w:eastAsia="Barlow Semi Condensed" w:hAnsi="Barlow Semi Condensed"/>
          <w:sz w:val="24"/>
          <w:szCs w:val="24"/>
        </w:rPr>
        <w:t xml:space="preserve"> Il dibattimento di Bologna del giugno 2021 riferisce Domenico Catracchia amministratore unico di Caseroma e dell'Immobiliare Gradoli, quest'ultima collegata a Fidrev, fiduciaria di consulenza del SISDE, e quattro immobili riferiti al prefetto Vincenzo Parisi fra il 1979 e il 1986, uno al civico 96. Sono ruoli societari e date, non addebiti, e il corpus non ne formula. Nessuna di quelle date cade dentro un mandato del nome triangolato.</w:t>
      </w:r>
    </w:p>
    <w:p>
      <w:pPr>
        <w:spacing w:after="120" w:line="276"/>
        <w:jc w:val="both"/>
      </w:pPr>
      <w:r>
        <w:rPr>
          <w:rFonts w:ascii="Barlow Semi Condensed" w:cs="Barlow Semi Condensed" w:eastAsia="Barlow Semi Condensed" w:hAnsi="Barlow Semi Condensed"/>
          <w:b/>
          <w:bCs/>
          <w:sz w:val="24"/>
          <w:szCs w:val="24"/>
        </w:rPr>
        <w:t xml:space="preserve">3185 · Il divieto di retrodatare, esteso.</w:t>
      </w:r>
      <w:r>
        <w:rPr>
          <w:rFonts w:ascii="Barlow Semi Condensed" w:cs="Barlow Semi Condensed" w:eastAsia="Barlow Semi Condensed" w:hAnsi="Barlow Semi Condensed"/>
          <w:sz w:val="24"/>
          <w:szCs w:val="24"/>
        </w:rPr>
        <w:t xml:space="preserve"> Un acquisto del 1979 non prova nulla sul 1978: la scheda lo scolpisce contro l'epiteto «condominio di Stato». La serie estende il divieto alla dimensione internazionale. Un colloquio documentato del settembre 1974 non prova nulla su una proprietà del 1981, e la presenza di esponenti dei NAR nello stabile nel 1981 non retroagisce su alcunché. La cronologia è la prima disciplina della triangolazione, e la più violata.</w:t>
      </w:r>
    </w:p>
    <w:p>
      <w:pPr>
        <w:spacing w:after="120" w:line="276"/>
        <w:jc w:val="both"/>
      </w:pPr>
      <w:r>
        <w:rPr>
          <w:rFonts w:ascii="Barlow Semi Condensed" w:cs="Barlow Semi Condensed" w:eastAsia="Barlow Semi Condensed" w:hAnsi="Barlow Semi Condensed"/>
          <w:b/>
          <w:bCs/>
          <w:sz w:val="24"/>
          <w:szCs w:val="24"/>
        </w:rPr>
        <w:t xml:space="preserve">3186 · Fidrev, e il quesito che le compete.</w:t>
      </w:r>
      <w:r>
        <w:rPr>
          <w:rFonts w:ascii="Barlow Semi Condensed" w:cs="Barlow Semi Condensed" w:eastAsia="Barlow Semi Condensed" w:hAnsi="Barlow Semi Condensed"/>
          <w:sz w:val="24"/>
          <w:szCs w:val="24"/>
        </w:rPr>
        <w:t xml:space="preserve"> La fiduciaria collegata al servizio interno è oggetto di un quesito documentale preciso: data d'ingresso nel quadro societario, compagini, amministratori nel tempo, bilanci, secondo il blocco 109 del manuale investigativo. È materia di registro delle imprese italiano. Nessun canale documentale collega quel fascicolo a un archivio statunitense, e non ne esiste uno che dovrebbe conservarne copia: qui l'assenza non è misurabile, perché la serie corrispondente non esiste.</w:t>
      </w:r>
    </w:p>
    <w:p>
      <w:pPr>
        <w:spacing w:after="120" w:line="276"/>
        <w:jc w:val="both"/>
      </w:pPr>
      <w:r>
        <w:rPr>
          <w:rFonts w:ascii="Barlow Semi Condensed" w:cs="Barlow Semi Condensed" w:eastAsia="Barlow Semi Condensed" w:hAnsi="Barlow Semi Condensed"/>
          <w:b/>
          <w:bCs/>
          <w:sz w:val="24"/>
          <w:szCs w:val="24"/>
        </w:rPr>
        <w:t xml:space="preserve">3187 · La dichiarazione di parte, e la simmetria.</w:t>
      </w:r>
      <w:r>
        <w:rPr>
          <w:rFonts w:ascii="Barlow Semi Condensed" w:cs="Barlow Semi Condensed" w:eastAsia="Barlow Semi Condensed" w:hAnsi="Barlow Semi Condensed"/>
          <w:sz w:val="24"/>
          <w:szCs w:val="24"/>
        </w:rPr>
        <w:t xml:space="preserve"> «Dei covi del SISDE non sapevamo»: la posizione resa pubblicamente da Adriana Faranda nel 2021 è registrata dal corpus come dichiarazione di parte, grado F. La serie non la usa per confermare né per smentire, e segnala la simmetria di metodo: anche la smentita costantemente opposta dall'interessato all'episodio dell'avvertimento è dichiarazione di parte. Le due si trattano con la stessa scala, altrimenti la scala non è una scala.</w:t>
      </w:r>
    </w:p>
    <w:p>
      <w:pPr>
        <w:spacing w:after="120" w:line="276"/>
        <w:jc w:val="both"/>
      </w:pPr>
      <w:r>
        <w:rPr>
          <w:rFonts w:ascii="Barlow Semi Condensed" w:cs="Barlow Semi Condensed" w:eastAsia="Barlow Semi Condensed" w:hAnsi="Barlow Semi Condensed"/>
          <w:b/>
          <w:bCs/>
          <w:sz w:val="24"/>
          <w:szCs w:val="24"/>
        </w:rPr>
        <w:t xml:space="preserve">3188 · Tre ipotesi, e nessuna quarta.</w:t>
      </w:r>
      <w:r>
        <w:rPr>
          <w:rFonts w:ascii="Barlow Semi Condensed" w:cs="Barlow Semi Condensed" w:eastAsia="Barlow Semi Condensed" w:hAnsi="Barlow Semi Condensed"/>
          <w:sz w:val="24"/>
          <w:szCs w:val="24"/>
        </w:rPr>
        <w:t xml:space="preserve"> Insediamento successivo, coabitazione coeva, coincidenza immobiliare: tre ipotesi, tutte di grado C finché le date non arrivano dalla conservatoria. Nessuna quarta ipotesi a matrice estera è formulata dalla scheda, e la serie non la introduce, perché introdurre un'ipotesi priva di evidenza che la sostenga abbassa il livello di tutte. Il numero delle ipotesi in una griglia ACH è esso stesso un dato di metodo, e si giustifica per iscritto.</w:t>
      </w:r>
    </w:p>
    <w:p>
      <w:pPr>
        <w:spacing w:after="120" w:line="276"/>
        <w:jc w:val="both"/>
      </w:pPr>
      <w:r>
        <w:rPr>
          <w:rFonts w:ascii="Barlow Semi Condensed" w:cs="Barlow Semi Condensed" w:eastAsia="Barlow Semi Condensed" w:hAnsi="Barlow Semi Condensed"/>
          <w:b/>
          <w:bCs/>
          <w:sz w:val="24"/>
          <w:szCs w:val="24"/>
        </w:rPr>
        <w:t xml:space="preserve">3189 · Che cosa restituirebbe una visura.</w:t>
      </w:r>
      <w:r>
        <w:rPr>
          <w:rFonts w:ascii="Barlow Semi Condensed" w:cs="Barlow Semi Condensed" w:eastAsia="Barlow Semi Condensed" w:hAnsi="Barlow Semi Condensed"/>
          <w:sz w:val="24"/>
          <w:szCs w:val="24"/>
        </w:rPr>
        <w:t xml:space="preserve"> Si scrive in anticipo il bersaglio di smentita per PE-2: la comparsa, in una visura storica o in un libro soci, di una società con sede statunitense o di un nominativo riconducibile alla cornice atlantica documentata. Sarebbe un fatto da verbalizzare e da qualificare, non un nesso, perché la proprietà di un immobile non è condotta. Anche allora servirebbe una carta che nomini insieme immobile, persona e cinquantacinque giorni.</w:t>
      </w:r>
    </w:p>
    <w:p>
      <w:pPr>
        <w:spacing w:after="120" w:line="276"/>
        <w:jc w:val="both"/>
      </w:pPr>
      <w:r>
        <w:rPr>
          <w:rFonts w:ascii="Barlow Semi Condensed" w:cs="Barlow Semi Condensed" w:eastAsia="Barlow Semi Condensed" w:hAnsi="Barlow Semi Condensed"/>
          <w:b/>
          <w:bCs/>
          <w:sz w:val="24"/>
          <w:szCs w:val="24"/>
        </w:rPr>
        <w:t xml:space="preserve">3190 · La tavola proprietà per tempo.</w:t>
      </w:r>
      <w:r>
        <w:rPr>
          <w:rFonts w:ascii="Barlow Semi Condensed" w:cs="Barlow Semi Condensed" w:eastAsia="Barlow Semi Condensed" w:hAnsi="Barlow Semi Condensed"/>
          <w:sz w:val="24"/>
          <w:szCs w:val="24"/>
        </w:rPr>
        <w:t xml:space="preserve"> La tavola cronologica proprietà per tempo, con le tre finestre marcate — 1975-78 per il covo, 1979-86 per gli acquisti riferiti in dibattimento, 1981 per la presenza NAR — è lo strumento che in quarant'anni nessuno ha pubblicato con le date. La serie vi propone una colonna di controllo: la nazionalità dei soggetti censiti. Una colonna vuota dichiarata vale come esito; una colonna non prevista non produce alcun esito.</w:t>
      </w:r>
    </w:p>
    <w:p>
      <w:pPr>
        <w:spacing w:after="120" w:line="276"/>
        <w:jc w:val="both"/>
      </w:pPr>
      <w:r>
        <w:rPr>
          <w:rFonts w:ascii="Barlow Semi Condensed" w:cs="Barlow Semi Condensed" w:eastAsia="Barlow Semi Condensed" w:hAnsi="Barlow Semi Condensed"/>
          <w:b/>
          <w:bCs/>
          <w:sz w:val="24"/>
          <w:szCs w:val="24"/>
        </w:rPr>
        <w:t xml:space="preserve">3191 · La fine documentale di un equivoco.</w:t>
      </w:r>
      <w:r>
        <w:rPr>
          <w:rFonts w:ascii="Barlow Semi Condensed" w:cs="Barlow Semi Condensed" w:eastAsia="Barlow Semi Condensed" w:hAnsi="Barlow Semi Condensed"/>
          <w:sz w:val="24"/>
          <w:szCs w:val="24"/>
        </w:rPr>
        <w:t xml:space="preserve"> Se le date collocassero tutte le presenze fiduciarie dopo il 1978, il «condominio di Stato» andrebbe riscritto come fenomeno del dopo-Moro, e la scheda considera anche questo un guadagno netto. La serie registra il caso simmetrico: se la triangolazione atlantica su questo nodo non produce nulla, la sua caduta documentale è parimenti un guadagno, perché sottrae materiale a una circolazione che si alimenta di nodi lasciati aperti.</w:t>
      </w:r>
    </w:p>
    <w:p>
      <w:pPr>
        <w:spacing w:after="120" w:line="276"/>
        <w:jc w:val="both"/>
      </w:pPr>
      <w:r>
        <w:rPr>
          <w:rFonts w:ascii="Barlow Semi Condensed" w:cs="Barlow Semi Condensed" w:eastAsia="Barlow Semi Condensed" w:hAnsi="Barlow Semi Condensed"/>
          <w:b/>
          <w:bCs/>
          <w:sz w:val="24"/>
          <w:szCs w:val="24"/>
        </w:rPr>
        <w:t xml:space="preserve">3192 · Il canale del papa, e la data.</w:t>
      </w:r>
      <w:r>
        <w:rPr>
          <w:rFonts w:ascii="Barlow Semi Condensed" w:cs="Barlow Semi Condensed" w:eastAsia="Barlow Semi Condensed" w:hAnsi="Barlow Semi Condensed"/>
          <w:sz w:val="24"/>
          <w:szCs w:val="24"/>
        </w:rPr>
        <w:t xml:space="preserve"> Mons. Cesare Curioni, ispettore generale dei cappellani delle carceri, fu incaricato da Paolo VI di cercare contatti e avviare una trattativa attraverso il pagamento di un riscatto, e attivò contatti sia con brigatisti detenuti sia con un intermediario rimasto ignoto. L'attività si colloca nella primavera del 1978. Il nome triangolato non compare in alcuna fonte della scheda, e non aveva allora ufficio capace di intersecare quel canale.</w:t>
      </w:r>
    </w:p>
    <w:p>
      <w:pPr>
        <w:spacing w:after="120" w:line="276"/>
        <w:jc w:val="both"/>
      </w:pPr>
      <w:r>
        <w:rPr>
          <w:rFonts w:ascii="Barlow Semi Condensed" w:cs="Barlow Semi Condensed" w:eastAsia="Barlow Semi Condensed" w:hAnsi="Barlow Semi Condensed"/>
          <w:b/>
          <w:bCs/>
          <w:sz w:val="24"/>
          <w:szCs w:val="24"/>
        </w:rPr>
        <w:t xml:space="preserve">3193 · L'audizione Fabbri, da spogliare.</w:t>
      </w:r>
      <w:r>
        <w:rPr>
          <w:rFonts w:ascii="Barlow Semi Condensed" w:cs="Barlow Semi Condensed" w:eastAsia="Barlow Semi Condensed" w:hAnsi="Barlow Semi Condensed"/>
          <w:sz w:val="24"/>
          <w:szCs w:val="24"/>
        </w:rPr>
        <w:t xml:space="preserve"> Il riserbo fu rotto nel 2004 con lo storico Vladimiro Satta da mons. Fabio Fabbri, vice di Curioni, poi udito dalla Commissione Moro 2 il 4 febbraio 2016: da lì vengono le mazzette di dollari con fascette di banca ebraica mostrate sotto un panno, il controvalore di circa dieci miliardi di lire, i nomi dei cappellani repertati nei covi. Bersaglio a costo basso: lo spoglio integrale di quel resoconto stenografico.</w:t>
      </w:r>
    </w:p>
    <w:p>
      <w:pPr>
        <w:spacing w:after="120" w:line="276"/>
        <w:jc w:val="both"/>
      </w:pPr>
      <w:r>
        <w:rPr>
          <w:rFonts w:ascii="Barlow Semi Condensed" w:cs="Barlow Semi Condensed" w:eastAsia="Barlow Semi Condensed" w:hAnsi="Barlow Semi Condensed"/>
          <w:b/>
          <w:bCs/>
          <w:sz w:val="24"/>
          <w:szCs w:val="24"/>
        </w:rPr>
        <w:t xml:space="preserve">3194 · Il finanziatore e il suo versante.</w:t>
      </w:r>
      <w:r>
        <w:rPr>
          <w:rFonts w:ascii="Barlow Semi Condensed" w:cs="Barlow Semi Condensed" w:eastAsia="Barlow Semi Condensed" w:hAnsi="Barlow Semi Condensed"/>
          <w:sz w:val="24"/>
          <w:szCs w:val="24"/>
        </w:rPr>
        <w:t xml:space="preserve"> Secondo gli accertamenti della Commissione Moro 2 il finanziatore della somma fu l'uomo d'affari israeliano Shmuel «Sammy» Flatto-Sharon, allora membro della Knesset. Il corpus registra il fatto come accertamento parlamentare e nulla oltre. Che il nome triangolato sia stato protagonista della diplomazia mediorientale fino al gennaio 1977 è cornice, non ponte: la contemporaneità di una biografia con un ambiente non è prova di alcun nesso, e non se ne deduce.</w:t>
      </w:r>
    </w:p>
    <w:p>
      <w:pPr>
        <w:spacing w:after="120" w:line="276"/>
        <w:jc w:val="both"/>
      </w:pPr>
      <w:r>
        <w:rPr>
          <w:rFonts w:ascii="Barlow Semi Condensed" w:cs="Barlow Semi Condensed" w:eastAsia="Barlow Semi Condensed" w:hAnsi="Barlow Semi Condensed"/>
          <w:b/>
          <w:bCs/>
          <w:sz w:val="24"/>
          <w:szCs w:val="24"/>
        </w:rPr>
        <w:t xml:space="preserve">3195 · Omologia e analogia sul canale riservato.</w:t>
      </w:r>
      <w:r>
        <w:rPr>
          <w:rFonts w:ascii="Barlow Semi Condensed" w:cs="Barlow Semi Condensed" w:eastAsia="Barlow Semi Condensed" w:hAnsi="Barlow Semi Condensed"/>
          <w:sz w:val="24"/>
          <w:szCs w:val="24"/>
        </w:rPr>
        <w:t xml:space="preserve"> Due canali riservati che funzionano allo stesso modo — un intermediario ignoto, denaro non tracciato, nessuna carta superstite — non dimostrano un antenato comune. È il caso da manuale dell'analogia scambiata per omologia: risultati simili prodotti da vincoli simili, cioè clandestinità e urgenza. Il test resta unico e non ammette surrogati, ed è un documento di provenienza che nomini la controparte. Su PE-4 non ne risulta alcuno.</w:t>
      </w:r>
    </w:p>
    <w:p>
      <w:pPr>
        <w:spacing w:after="120" w:line="276"/>
        <w:jc w:val="both"/>
      </w:pPr>
      <w:r>
        <w:rPr>
          <w:rFonts w:ascii="Barlow Semi Condensed" w:cs="Barlow Semi Condensed" w:eastAsia="Barlow Semi Condensed" w:hAnsi="Barlow Semi Condensed"/>
          <w:b/>
          <w:bCs/>
          <w:sz w:val="24"/>
          <w:szCs w:val="24"/>
        </w:rPr>
        <w:t xml:space="preserve">3196 · Le due stesure della lettera.</w:t>
      </w:r>
      <w:r>
        <w:rPr>
          <w:rFonts w:ascii="Barlow Semi Condensed" w:cs="Barlow Semi Condensed" w:eastAsia="Barlow Semi Condensed" w:hAnsi="Barlow Semi Condensed"/>
          <w:sz w:val="24"/>
          <w:szCs w:val="24"/>
        </w:rPr>
        <w:t xml:space="preserve"> La lettera di Paolo VI agli uomini delle Brigate Rosse, scritta di suo pugno il 21-22 aprile 1978, recava in prima stesura «senza alcuna imbarazzante condizione»; l'aggettivo cadde nella versione definitiva, corretta sotto dettatura di don Pasquale Macchi. Il dato filologico è B, l'intenzione resta C. Il quesito Q3 chiede l'edizione critica delle minute autografe. Nessuna variante nota rinvia a interlocutori esterni alla Segreteria di Stato.</w:t>
      </w:r>
    </w:p>
    <w:p>
      <w:pPr>
        <w:spacing w:after="120" w:line="276"/>
        <w:jc w:val="both"/>
      </w:pPr>
      <w:r>
        <w:rPr>
          <w:rFonts w:ascii="Barlow Semi Condensed" w:cs="Barlow Semi Condensed" w:eastAsia="Barlow Semi Condensed" w:hAnsi="Barlow Semi Condensed"/>
          <w:b/>
          <w:bCs/>
          <w:sz w:val="24"/>
          <w:szCs w:val="24"/>
        </w:rPr>
        <w:t xml:space="preserve">3197 · Il doppio binario, e il terzo livello.</w:t>
      </w:r>
      <w:r>
        <w:rPr>
          <w:rFonts w:ascii="Barlow Semi Condensed" w:cs="Barlow Semi Condensed" w:eastAsia="Barlow Semi Condensed" w:hAnsi="Barlow Semi Condensed"/>
          <w:sz w:val="24"/>
          <w:szCs w:val="24"/>
        </w:rPr>
        <w:t xml:space="preserve"> Appello pubblico che dice «senza condizioni» e canale riservato che le condizioni economiche le stava preparando: la scheda vieta di leggervi doppiezza, perché è la prassi di ogni mediazione umanitaria sotto sequestro. La serie eredita il divieto e ne trae la propria conseguenza: l'esistenza di un doppio livello non autorizza a postulare un terzo livello, estero e occulto. Ogni livello ulteriore va provato con carte proprie e nominative.</w:t>
      </w:r>
    </w:p>
    <w:p>
      <w:pPr>
        <w:spacing w:after="120" w:line="276"/>
        <w:jc w:val="both"/>
      </w:pPr>
      <w:r>
        <w:rPr>
          <w:rFonts w:ascii="Barlow Semi Condensed" w:cs="Barlow Semi Condensed" w:eastAsia="Barlow Semi Condensed" w:hAnsi="Barlow Semi Condensed"/>
          <w:b/>
          <w:bCs/>
          <w:sz w:val="24"/>
          <w:szCs w:val="24"/>
        </w:rPr>
        <w:t xml:space="preserve">3198 · L'Archivio Apostolico e il suo giorno.</w:t>
      </w:r>
      <w:r>
        <w:rPr>
          <w:rFonts w:ascii="Barlow Semi Condensed" w:cs="Barlow Semi Condensed" w:eastAsia="Barlow Semi Condensed" w:hAnsi="Barlow Semi Condensed"/>
          <w:sz w:val="24"/>
          <w:szCs w:val="24"/>
        </w:rPr>
        <w:t xml:space="preserve"> L'atto in quattro passi di PE-4 prevede, all'apertura dell'Archivio Apostolico Vaticano per Paolo VI, l'interrogazione della Segreteria di Stato, delle carte di don Macchi, delle minute e dell'eventuale documentazione del fondo per il riscatto; il blocco 112 del manuale tiene l'istanza già pronta. La serie vi aggiunge un quesito circoscritto e proprio: quali udienze e carteggi risultino con esponenti dell'amministrazione statunitense fra il 1969 e il 1977.</w:t>
      </w:r>
    </w:p>
    <w:p>
      <w:pPr>
        <w:spacing w:after="120" w:line="276"/>
        <w:jc w:val="both"/>
      </w:pPr>
      <w:r>
        <w:rPr>
          <w:rFonts w:ascii="Barlow Semi Condensed" w:cs="Barlow Semi Condensed" w:eastAsia="Barlow Semi Condensed" w:hAnsi="Barlow Semi Condensed"/>
          <w:b/>
          <w:bCs/>
          <w:sz w:val="24"/>
          <w:szCs w:val="24"/>
        </w:rPr>
        <w:t xml:space="preserve">3199 · Il quesito vaticano, con perimetro.</w:t>
      </w:r>
      <w:r>
        <w:rPr>
          <w:rFonts w:ascii="Barlow Semi Condensed" w:cs="Barlow Semi Condensed" w:eastAsia="Barlow Semi Condensed" w:hAnsi="Barlow Semi Condensed"/>
          <w:sz w:val="24"/>
          <w:szCs w:val="24"/>
        </w:rPr>
        <w:t xml:space="preserve"> Non «Kissinger e il Vaticano», formula che produrrebbe riscontri per qualunque ipotesi la si interroghi, ma un quesito delimitato: nei fondi della Segreteria di Stato per quel pontificato esistono verbali di udienza o promemoria che nominino il Segretario di Stato statunitense in carica dal 22 settembre 1973 al 20 gennaio 1977? Esito atteso: carte protocollari. Rilevanza per i cinquantacinque giorni: da dimostrare a parte, e presumibilmente nulla.</w:t>
      </w:r>
    </w:p>
    <w:p>
      <w:pPr>
        <w:spacing w:after="120" w:line="276"/>
        <w:jc w:val="both"/>
      </w:pPr>
      <w:r>
        <w:rPr>
          <w:rFonts w:ascii="Barlow Semi Condensed" w:cs="Barlow Semi Condensed" w:eastAsia="Barlow Semi Condensed" w:hAnsi="Barlow Semi Condensed"/>
          <w:b/>
          <w:bCs/>
          <w:sz w:val="24"/>
          <w:szCs w:val="24"/>
        </w:rPr>
        <w:t xml:space="preserve">3200 · Le carte Curioni, mai censite.</w:t>
      </w:r>
      <w:r>
        <w:rPr>
          <w:rFonts w:ascii="Barlow Semi Condensed" w:cs="Barlow Semi Condensed" w:eastAsia="Barlow Semi Condensed" w:hAnsi="Barlow Semi Condensed"/>
          <w:sz w:val="24"/>
          <w:szCs w:val="24"/>
        </w:rPr>
        <w:t xml:space="preserve"> L'archivio dell'ispettorato dei cappellani carcerari e l'eventuale lascito personale sono, per la scheda, la sede più promettente e mai censita sistematicamente, e il blocco 111 del manuale ne fa un atto con quesiti scritti alle autorità ecclesiastiche competenti. Curioni morì nel 1996 senza rivelare il resto. La serie vi deposita una domanda sola: se in quelle carte compaiano nomi stranieri, con quale funzione e in quale data.</w:t>
      </w:r>
    </w:p>
    <w:p>
      <w:pPr>
        <w:spacing w:after="120" w:line="276"/>
        <w:jc w:val="both"/>
      </w:pPr>
      <w:r>
        <w:rPr>
          <w:rFonts w:ascii="Barlow Semi Condensed" w:cs="Barlow Semi Condensed" w:eastAsia="Barlow Semi Condensed" w:hAnsi="Barlow Semi Condensed"/>
          <w:b/>
          <w:bCs/>
          <w:sz w:val="24"/>
          <w:szCs w:val="24"/>
        </w:rPr>
        <w:t xml:space="preserve">3201 · La sorte del denaro.</w:t>
      </w:r>
      <w:r>
        <w:rPr>
          <w:rFonts w:ascii="Barlow Semi Condensed" w:cs="Barlow Semi Condensed" w:eastAsia="Barlow Semi Condensed" w:hAnsi="Barlow Semi Condensed"/>
          <w:sz w:val="24"/>
          <w:szCs w:val="24"/>
        </w:rPr>
        <w:t xml:space="preserve"> Le fascette di banca ebraica descritte dai testimoni sono un identificativo, e il quesito Q2 chiede la tracciabilità: restituzione al finanziatore, permanenza in deposito, impiego parziale. È materia di archivi bancari e di regole di tracciabilità d'epoca, come prescrive il blocco 123 del manuale. Nessuna delle tre ipotesi coinvolge il nome triangolato e nessuna fonte lo propone: Stato Zero su un quesito ancora integralmente aperto.</w:t>
      </w:r>
    </w:p>
    <w:p>
      <w:pPr>
        <w:spacing w:after="120" w:line="276"/>
        <w:jc w:val="both"/>
      </w:pPr>
      <w:r>
        <w:rPr>
          <w:rFonts w:ascii="Barlow Semi Condensed" w:cs="Barlow Semi Condensed" w:eastAsia="Barlow Semi Condensed" w:hAnsi="Barlow Semi Condensed"/>
          <w:b/>
          <w:bCs/>
          <w:sz w:val="24"/>
          <w:szCs w:val="24"/>
        </w:rPr>
        <w:t xml:space="preserve">3202 · Deceduto prima dell'ascolto.</w:t>
      </w:r>
      <w:r>
        <w:rPr>
          <w:rFonts w:ascii="Barlow Semi Condensed" w:cs="Barlow Semi Condensed" w:eastAsia="Barlow Semi Condensed" w:hAnsi="Barlow Semi Condensed"/>
          <w:sz w:val="24"/>
          <w:szCs w:val="24"/>
        </w:rPr>
        <w:t xml:space="preserve"> Il blocco 125 dell'agenda di ricerca chiede la tavola delle persone con lo stato di ciascun bersaglio umano, e conta come misura del costo del ritardo ogni «deceduto prima dell'ascolto». Heinz Alfred Kissinger, nato a Fürth il 27 maggio 1923, è morto a Kent, nel Connecticut, il 29 novembre 2023. Su questo territorio entra in quella colonna: nessuna autorità italiana lo ascoltò mai su alcuno di questi quesiti.</w:t>
      </w:r>
    </w:p>
    <w:p>
      <w:pPr>
        <w:spacing w:after="120" w:line="276"/>
        <w:jc w:val="both"/>
      </w:pPr>
      <w:r>
        <w:rPr>
          <w:rFonts w:ascii="Barlow Semi Condensed" w:cs="Barlow Semi Condensed" w:eastAsia="Barlow Semi Condensed" w:hAnsi="Barlow Semi Condensed"/>
          <w:b/>
          <w:bCs/>
          <w:sz w:val="24"/>
          <w:szCs w:val="24"/>
        </w:rPr>
        <w:t xml:space="preserve">3203 · L'assenza in una struttura che archivia.</w:t>
      </w:r>
      <w:r>
        <w:rPr>
          <w:rFonts w:ascii="Barlow Semi Condensed" w:cs="Barlow Semi Condensed" w:eastAsia="Barlow Semi Condensed" w:hAnsi="Barlow Semi Condensed"/>
          <w:sz w:val="24"/>
          <w:szCs w:val="24"/>
        </w:rPr>
        <w:t xml:space="preserve"> La scheda chiude con la regola che le è propria: se un canale di quella portata non ha lasciato carte, l'assenza stessa, in una struttura che archivia da secoli, sarà il dato. La serie la assume e la gira sul proprio oggetto: in archivi che verbalizzano per prassi, l'assenza reiterata di un nome è una misura, non un vuoto da colmare con la congettura più suggestiva disponibile.</w:t>
      </w:r>
    </w:p>
    <w:p>
      <w:pPr>
        <w:spacing w:after="120" w:line="276"/>
        <w:jc w:val="both"/>
      </w:pPr>
      <w:r>
        <w:rPr>
          <w:rFonts w:ascii="Barlow Semi Condensed" w:cs="Barlow Semi Condensed" w:eastAsia="Barlow Semi Condensed" w:hAnsi="Barlow Semi Condensed"/>
          <w:b/>
          <w:bCs/>
          <w:sz w:val="24"/>
          <w:szCs w:val="24"/>
        </w:rPr>
        <w:t xml:space="preserve">3204 · Il reperto interno al corpus.</w:t>
      </w:r>
      <w:r>
        <w:rPr>
          <w:rFonts w:ascii="Barlow Semi Condensed" w:cs="Barlow Semi Condensed" w:eastAsia="Barlow Semi Condensed" w:hAnsi="Barlow Semi Condensed"/>
          <w:sz w:val="24"/>
          <w:szCs w:val="24"/>
        </w:rPr>
        <w:t xml:space="preserve"> Il lotto del Dipartimento di Stato archiviato nella cartella Farnesina — il programma della visita del 1965, i cablo dell'aprile-maggio 1978 da Buenos Aires, Trieste e Palermo — è un prodotto FOIA già lavorato: caso R-2021-002xx con lettura OCR oscillante fra 00202 e 00208, numeri di controllo B-00001939965…989, TAGS PINT e IT, e timbri di revisione anche dell'FBI, con declassificazione del 16 giugno 2018 su alcune pagine.</w:t>
      </w:r>
    </w:p>
    <w:p>
      <w:pPr>
        <w:spacing w:after="120" w:line="276"/>
        <w:jc w:val="both"/>
      </w:pPr>
      <w:r>
        <w:rPr>
          <w:rFonts w:ascii="Barlow Semi Condensed" w:cs="Barlow Semi Condensed" w:eastAsia="Barlow Semi Condensed" w:hAnsi="Barlow Semi Condensed"/>
          <w:b/>
          <w:bCs/>
          <w:sz w:val="24"/>
          <w:szCs w:val="24"/>
        </w:rPr>
        <w:t xml:space="preserve">3205 · Zero occorrenze nel lotto Farnesina.</w:t>
      </w:r>
      <w:r>
        <w:rPr>
          <w:rFonts w:ascii="Barlow Semi Condensed" w:cs="Barlow Semi Condensed" w:eastAsia="Barlow Semi Condensed" w:hAnsi="Barlow Semi Condensed"/>
          <w:sz w:val="24"/>
          <w:szCs w:val="24"/>
        </w:rPr>
        <w:t xml:space="preserve"> Verifica eseguita sul file documenti-state-dept-1965-1978.md, trascrizione ordinata dell'OCR del lotto: la stringa cercata non compare. Il programma del 1965 nomina per parte statunitense Lloyd Hand, l'ambasciatore Reinhardt, Samuel King, Bert Bennington, Ivan Sinclair, e ai colloqui Johnson, Rusk, McNamara, Fowler, Humphrey. Il nome triangolato non è fra loro e nell'aprile 1965 non ricopriva incarichi di governo. Esito negativo con perimetro dichiarato.</w:t>
      </w:r>
    </w:p>
    <w:p>
      <w:pPr>
        <w:spacing w:after="120" w:line="276"/>
        <w:jc w:val="both"/>
      </w:pPr>
      <w:r>
        <w:rPr>
          <w:rFonts w:ascii="Barlow Semi Condensed" w:cs="Barlow Semi Condensed" w:eastAsia="Barlow Semi Condensed" w:hAnsi="Barlow Semi Condensed"/>
          <w:b/>
          <w:bCs/>
          <w:sz w:val="24"/>
          <w:szCs w:val="24"/>
        </w:rPr>
        <w:t xml:space="preserve">3206 · La visita del 1965.</w:t>
      </w:r>
      <w:r>
        <w:rPr>
          <w:rFonts w:ascii="Barlow Semi Condensed" w:cs="Barlow Semi Condensed" w:eastAsia="Barlow Semi Condensed" w:hAnsi="Barlow Semi Condensed"/>
          <w:sz w:val="24"/>
          <w:szCs w:val="24"/>
        </w:rPr>
        <w:t xml:space="preserve"> Aldo Moro fu ricevuto a Washington dal 19 al 23 aprile 1965 come Presidente del Consiglio, con Fanfani agli Esteri e Corrado Guerzoni capo dell'ufficio stampa nella delegazione. È il primo strato del lotto e serve alla scheda come antefatto di statura internazionale. La serie ne trae un rilievo solo: nel 1965 la triangolazione non ha oggetto, e dichiararlo impedisce che la visita venga arruolata retrospettivamente a sostegno di tesi successive.</w:t>
      </w:r>
    </w:p>
    <w:p>
      <w:pPr>
        <w:spacing w:after="120" w:line="276"/>
        <w:jc w:val="both"/>
      </w:pPr>
      <w:r>
        <w:rPr>
          <w:rFonts w:ascii="Barlow Semi Condensed" w:cs="Barlow Semi Condensed" w:eastAsia="Barlow Semi Condensed" w:hAnsi="Barlow Semi Condensed"/>
          <w:b/>
          <w:bCs/>
          <w:sz w:val="24"/>
          <w:szCs w:val="24"/>
        </w:rPr>
        <w:t xml:space="preserve">3207 · Il promemoria al direttore dell'FBI.</w:t>
      </w:r>
      <w:r>
        <w:rPr>
          <w:rFonts w:ascii="Barlow Semi Condensed" w:cs="Barlow Semi Condensed" w:eastAsia="Barlow Semi Condensed" w:hAnsi="Barlow Semi Condensed"/>
          <w:sz w:val="24"/>
          <w:szCs w:val="24"/>
        </w:rPr>
        <w:t xml:space="preserve"> Al programma del 1965 è allegato un promemoria del Dipartimento di Stato al direttore del Bureau, a firma di G. Marvin Gentile, che chiede assistenza per informazioni su eventuali tentativi di nuocere all'ospite: ordinaria misura di protezione per un capo di governo in visita ufficiale. Il corpus lo qualifica così, e la serie ripete la qualificazione perché è esattamente il tipo di carta che la lettura dietrologica converte in indizio.</w:t>
      </w:r>
    </w:p>
    <w:p>
      <w:pPr>
        <w:spacing w:after="120" w:line="276"/>
        <w:jc w:val="both"/>
      </w:pPr>
      <w:r>
        <w:rPr>
          <w:rFonts w:ascii="Barlow Semi Condensed" w:cs="Barlow Semi Condensed" w:eastAsia="Barlow Semi Condensed" w:hAnsi="Barlow Semi Condensed"/>
          <w:b/>
          <w:bCs/>
          <w:sz w:val="24"/>
          <w:szCs w:val="24"/>
        </w:rPr>
        <w:t xml:space="preserve">3208 · I tre cablo del 1978.</w:t>
      </w:r>
      <w:r>
        <w:rPr>
          <w:rFonts w:ascii="Barlow Semi Condensed" w:cs="Barlow Semi Condensed" w:eastAsia="Barlow Semi Condensed" w:hAnsi="Barlow Semi Condensed"/>
          <w:sz w:val="24"/>
          <w:szCs w:val="24"/>
        </w:rPr>
        <w:t xml:space="preserve"> Buenos Aires 2881 del 17 aprile 1978 trasmette la smentita montonera di ogni connessione col sequestro; Trieste 9223 e Palermo 9487, del 10 e 11 maggio, riferiscono le reazioni regionali all'assassinio. Sono cablo di classificazione modesta, Limited Official Use o Unclassified, e materiali del lutto pubblico. Nessuno dei tre nomina il soggetto della triangolazione, e nessuno dei tre potrebbe: sono rapporti consolari su reazioni locali.</w:t>
      </w:r>
    </w:p>
    <w:p>
      <w:pPr>
        <w:spacing w:after="120" w:line="276"/>
        <w:jc w:val="both"/>
      </w:pPr>
      <w:r>
        <w:rPr>
          <w:rFonts w:ascii="Barlow Semi Condensed" w:cs="Barlow Semi Condensed" w:eastAsia="Barlow Semi Condensed" w:hAnsi="Barlow Semi Condensed"/>
          <w:b/>
          <w:bCs/>
          <w:sz w:val="24"/>
          <w:szCs w:val="24"/>
        </w:rPr>
        <w:t xml:space="preserve">3209 · La serie che invece lo contiene.</w:t>
      </w:r>
      <w:r>
        <w:rPr>
          <w:rFonts w:ascii="Barlow Semi Condensed" w:cs="Barlow Semi Condensed" w:eastAsia="Barlow Semi Condensed" w:hAnsi="Barlow Semi Condensed"/>
          <w:sz w:val="24"/>
          <w:szCs w:val="24"/>
        </w:rPr>
        <w:t xml:space="preserve"> I Central Foreign Policy Files del Dipartimento di Stato coprono in full-text il periodo dal primo luglio 1973 al 31 dicembre 1979 e sono interrogabili sull'Access to Archival Databases dei National Archives. Quella copertura include per intero il mandato di Segretario di Stato del nome triangolato. È l'unico giacimento del territorio in cui documenti da lui firmati esistono per costruzione, e cade fuori dalla finestra dei cinquantacinque giorni.</w:t>
      </w:r>
    </w:p>
    <w:p>
      <w:pPr>
        <w:spacing w:after="120" w:line="276"/>
        <w:jc w:val="both"/>
      </w:pPr>
      <w:r>
        <w:rPr>
          <w:rFonts w:ascii="Barlow Semi Condensed" w:cs="Barlow Semi Condensed" w:eastAsia="Barlow Semi Condensed" w:hAnsi="Barlow Semi Condensed"/>
          <w:b/>
          <w:bCs/>
          <w:sz w:val="24"/>
          <w:szCs w:val="24"/>
        </w:rPr>
        <w:t xml:space="preserve">3210 · La finestra 1978 e la sua asimmetria.</w:t>
      </w:r>
      <w:r>
        <w:rPr>
          <w:rFonts w:ascii="Barlow Semi Condensed" w:cs="Barlow Semi Condensed" w:eastAsia="Barlow Semi Condensed" w:hAnsi="Barlow Semi Condensed"/>
          <w:sz w:val="24"/>
          <w:szCs w:val="24"/>
        </w:rPr>
        <w:t xml:space="preserve"> L'interrogazione sistematica dell'AAD per TAGS e chiave MORO sulla finestra 16 marzo – 31 dicembre 1978, che PE-5 prescrive, restituirà telegrammi redatti sotto un'altra amministrazione. L'attesa si dichiara prima: nessun documento originato dal nome triangolato, perché fuori carica dal 20 gennaio 1977; eventuali menzioni di terzi, possibili e da schedare come tali. Un esito diverso sarebbe un'anomalia da verificare, non una conferma da annunciare.</w:t>
      </w:r>
    </w:p>
    <w:p>
      <w:pPr>
        <w:spacing w:after="120" w:line="276"/>
        <w:jc w:val="both"/>
      </w:pPr>
      <w:r>
        <w:rPr>
          <w:rFonts w:ascii="Barlow Semi Condensed" w:cs="Barlow Semi Condensed" w:eastAsia="Barlow Semi Condensed" w:hAnsi="Barlow Semi Condensed"/>
          <w:b/>
          <w:bCs/>
          <w:sz w:val="24"/>
          <w:szCs w:val="24"/>
        </w:rPr>
        <w:t xml:space="preserve">3211 · Le withdrawal cards come oggetto.</w:t>
      </w:r>
      <w:r>
        <w:rPr>
          <w:rFonts w:ascii="Barlow Semi Condensed" w:cs="Barlow Semi Condensed" w:eastAsia="Barlow Semi Condensed" w:hAnsi="Barlow Semi Condensed"/>
          <w:sz w:val="24"/>
          <w:szCs w:val="24"/>
        </w:rPr>
        <w:t xml:space="preserve"> Le Electronic Telegrams Withdrawal Cards del 1978 attestano, per ogni telegramma ritirato, esistenza, data e provenienza senza rivelarne il contenuto: sono il censimento pubblico di ciò che manca, e il blocco 116 del manuale ne prescrive lo scarico e la schedatura una per una. La serie vi aggiunge un item proprio: contare quante schede rechino, fra i dati esposti, un riferimento riconducibile al nome. Oggi quel numero non esiste.</w:t>
      </w:r>
    </w:p>
    <w:p>
      <w:pPr>
        <w:spacing w:after="120" w:line="276"/>
        <w:jc w:val="both"/>
      </w:pPr>
      <w:r>
        <w:rPr>
          <w:rFonts w:ascii="Barlow Semi Condensed" w:cs="Barlow Semi Condensed" w:eastAsia="Barlow Semi Condensed" w:hAnsi="Barlow Semi Condensed"/>
          <w:b/>
          <w:bCs/>
          <w:sz w:val="24"/>
          <w:szCs w:val="24"/>
        </w:rPr>
        <w:t xml:space="preserve">3212 · Che cosa attesta una scheda di ritiro.</w:t>
      </w:r>
      <w:r>
        <w:rPr>
          <w:rFonts w:ascii="Barlow Semi Condensed" w:cs="Barlow Semi Condensed" w:eastAsia="Barlow Semi Condensed" w:hAnsi="Barlow Semi Condensed"/>
          <w:sz w:val="24"/>
          <w:szCs w:val="24"/>
        </w:rPr>
        <w:t xml:space="preserve"> Una scheda di ritiro non prova il contenuto del documento ritirato: prova che esiste, quando fu redatto e da dove proviene. Se una scheda del 1978 nominasse il soggetto come destinatario o come oggetto, sarebbe un fatto archivistico di primo livello e una richiesta mirata avrebbe finalmente un ancoraggio. Resterebbe però un fatto sull'esistenza di una carta, non sul suo contenuto, e la distinzione non si perde mai.</w:t>
      </w:r>
    </w:p>
    <w:p>
      <w:pPr>
        <w:spacing w:after="120" w:line="276"/>
        <w:jc w:val="both"/>
      </w:pPr>
      <w:r>
        <w:rPr>
          <w:rFonts w:ascii="Barlow Semi Condensed" w:cs="Barlow Semi Condensed" w:eastAsia="Barlow Semi Condensed" w:hAnsi="Barlow Semi Condensed"/>
          <w:b/>
          <w:bCs/>
          <w:sz w:val="24"/>
          <w:szCs w:val="24"/>
        </w:rPr>
        <w:t xml:space="preserve">3213 · Il fascicolo FOIA da chiedere intero.</w:t>
      </w:r>
      <w:r>
        <w:rPr>
          <w:rFonts w:ascii="Barlow Semi Condensed" w:cs="Barlow Semi Condensed" w:eastAsia="Barlow Semi Condensed" w:hAnsi="Barlow Semi Condensed"/>
          <w:sz w:val="24"/>
          <w:szCs w:val="24"/>
        </w:rPr>
        <w:t xml:space="preserve"> La richiesta più economica dell'intera pista è il rilascio integrale del caso R-2021-002xx, con la divergenza di lettura fra 00202 e 00208 dichiarata nell'istanza e i numeri di controllo B-00001939965…989 come ancoraggio, secondo il blocco 117 del manuale. Il corpus possiede alcuni fogli di quel caso, non il caso. Quesito derivato: quanti documenti furono lavorati sotto quel numero, e quanti non circolarono mai.</w:t>
      </w:r>
    </w:p>
    <w:p>
      <w:pPr>
        <w:spacing w:after="120" w:line="276"/>
        <w:jc w:val="both"/>
      </w:pPr>
      <w:r>
        <w:rPr>
          <w:rFonts w:ascii="Barlow Semi Condensed" w:cs="Barlow Semi Condensed" w:eastAsia="Barlow Semi Condensed" w:hAnsi="Barlow Semi Condensed"/>
          <w:b/>
          <w:bCs/>
          <w:sz w:val="24"/>
          <w:szCs w:val="24"/>
        </w:rPr>
        <w:t xml:space="preserve">3214 · Le lacune della serie numerata.</w:t>
      </w:r>
      <w:r>
        <w:rPr>
          <w:rFonts w:ascii="Barlow Semi Condensed" w:cs="Barlow Semi Condensed" w:eastAsia="Barlow Semi Condensed" w:hAnsi="Barlow Semi Condensed"/>
          <w:sz w:val="24"/>
          <w:szCs w:val="24"/>
        </w:rPr>
        <w:t xml:space="preserve"> I numeri di controllo mancanti dall'intervallo B-000019399xx sono essi stessi una lista di richieste, come la scheda osserva. È l'unico punto del territorio in cui un'assenza risulta già enumerabile senza aprire alcun fondo: si sottrae il posseduto dal continuo e si ottiene il da chiedere. Bersaglio a costo nullo, eseguibile su un tavolo, e non risulta che alcuna pubblicazione lo abbia mai eseguito.</w:t>
      </w:r>
    </w:p>
    <w:p>
      <w:pPr>
        <w:spacing w:after="120" w:line="276"/>
        <w:jc w:val="both"/>
      </w:pPr>
      <w:r>
        <w:rPr>
          <w:rFonts w:ascii="Barlow Semi Condensed" w:cs="Barlow Semi Condensed" w:eastAsia="Barlow Semi Condensed" w:hAnsi="Barlow Semi Condensed"/>
          <w:b/>
          <w:bCs/>
          <w:sz w:val="24"/>
          <w:szCs w:val="24"/>
        </w:rPr>
        <w:t xml:space="preserve">3215 · La regola dell'originatore e i 474 (serie XLII).</w:t>
      </w:r>
      <w:r>
        <w:rPr>
          <w:rFonts w:ascii="Barlow Semi Condensed" w:cs="Barlow Semi Condensed" w:eastAsia="Barlow Semi Condensed" w:hAnsi="Barlow Semi Condensed"/>
          <w:sz w:val="24"/>
          <w:szCs w:val="24"/>
        </w:rPr>
        <w:t xml:space="preserve"> Alla regola dell'originatore il territorio aggiunge una cifra: circa quattrocentosettantaquattro atti di origine alleata sarebbero custoditi in Italia. Si tratta col suo grado — riferita e non verificata su atto. Un documento classificato da uno Stato terzo non si desecreta unilateralmente, e le direttive italiane aprono le carte italiane. Il blocco 119 del manuale ne chiede il censimento e la riattivazione formale delle richieste di consenso.</w:t>
      </w:r>
    </w:p>
    <w:p>
      <w:pPr>
        <w:spacing w:after="120" w:line="276"/>
        <w:jc w:val="both"/>
      </w:pPr>
      <w:r>
        <w:rPr>
          <w:rFonts w:ascii="Barlow Semi Condensed" w:cs="Barlow Semi Condensed" w:eastAsia="Barlow Semi Condensed" w:hAnsi="Barlow Semi Condensed"/>
          <w:b/>
          <w:bCs/>
          <w:sz w:val="24"/>
          <w:szCs w:val="24"/>
        </w:rPr>
        <w:t xml:space="preserve">3216 · Classificato non significa occultato.</w:t>
      </w:r>
      <w:r>
        <w:rPr>
          <w:rFonts w:ascii="Barlow Semi Condensed" w:cs="Barlow Semi Condensed" w:eastAsia="Barlow Semi Condensed" w:hAnsi="Barlow Semi Condensed"/>
          <w:sz w:val="24"/>
          <w:szCs w:val="24"/>
        </w:rPr>
        <w:t xml:space="preserve"> La scheda scolpisce l'avvertenza e la serie la eredita come regola di lettura vincolante: la regola dell'originatore è una norma generale degli scambi fra Stati, non un indizio di contenuto, e l'assenza di un documento dal rilascio non prova nulla su ciò che contiene. Applicata alla triangolazione, vieta l'inferenza più diffusa di tutte: che ciò che resta chiuso riguardi necessariamente il nome più famoso disponibile.</w:t>
      </w:r>
    </w:p>
    <w:p>
      <w:pPr>
        <w:spacing w:after="120" w:line="276"/>
        <w:jc w:val="both"/>
      </w:pPr>
      <w:r>
        <w:rPr>
          <w:rFonts w:ascii="Barlow Semi Condensed" w:cs="Barlow Semi Condensed" w:eastAsia="Barlow Semi Condensed" w:hAnsi="Barlow Semi Condensed"/>
          <w:b/>
          <w:bCs/>
          <w:sz w:val="24"/>
          <w:szCs w:val="24"/>
        </w:rPr>
        <w:t xml:space="preserve">3217 · Il divieto sulle memorie postume.</w:t>
      </w:r>
      <w:r>
        <w:rPr>
          <w:rFonts w:ascii="Barlow Semi Condensed" w:cs="Barlow Semi Condensed" w:eastAsia="Barlow Semi Condensed" w:hAnsi="Barlow Semi Condensed"/>
          <w:sz w:val="24"/>
          <w:szCs w:val="24"/>
        </w:rPr>
        <w:t xml:space="preserve"> PE-5 vieta espressamente di mescolare alla pista le dichiarazioni postume dei protagonisti americani dell'epoca, e per il consulente Pieczenik fissa già il grado, fonte di parte, C. La serie estende il divieto senza eccezioni: la testimonianza sull'avvertimento, riferita de relato da Corrado Guerzoni alla Corte d'assise di Roma nel novembre 1982, appartiene alla stessa categoria e non entra in una pista che lavora su serie archivistiche.</w:t>
      </w:r>
    </w:p>
    <w:p>
      <w:pPr>
        <w:spacing w:after="120" w:line="276"/>
        <w:jc w:val="both"/>
      </w:pPr>
      <w:r>
        <w:rPr>
          <w:rFonts w:ascii="Barlow Semi Condensed" w:cs="Barlow Semi Condensed" w:eastAsia="Barlow Semi Condensed" w:hAnsi="Barlow Semi Condensed"/>
          <w:b/>
          <w:bCs/>
          <w:sz w:val="24"/>
          <w:szCs w:val="24"/>
        </w:rPr>
        <w:t xml:space="preserve">3218 · La moltiplicazione apparente e la sua data.</w:t>
      </w:r>
      <w:r>
        <w:rPr>
          <w:rFonts w:ascii="Barlow Semi Condensed" w:cs="Barlow Semi Condensed" w:eastAsia="Barlow Semi Condensed" w:hAnsi="Barlow Semi Condensed"/>
          <w:sz w:val="24"/>
          <w:szCs w:val="24"/>
        </w:rPr>
        <w:t xml:space="preserve"> La circolazione dell'episodio dell'avvertimento presenta molte fonti e una sola origine: un lancio d'agenzia del 30 novembre 2023, il giorno dopo la morte. La replicazione non aggiunge valore probatorio, e il corpus lo ha accertato. In una pista che conta insiemi archivistici, una notizia replicata vale un item solo, e va registrata una volta sola nel denominatore, altrimenti la conta risulta falsa in partenza.</w:t>
      </w:r>
    </w:p>
    <w:p>
      <w:pPr>
        <w:spacing w:after="120" w:line="276"/>
        <w:jc w:val="both"/>
      </w:pPr>
      <w:r>
        <w:rPr>
          <w:rFonts w:ascii="Barlow Semi Condensed" w:cs="Barlow Semi Condensed" w:eastAsia="Barlow Semi Condensed" w:hAnsi="Barlow Semi Condensed"/>
          <w:b/>
          <w:bCs/>
          <w:sz w:val="24"/>
          <w:szCs w:val="24"/>
        </w:rPr>
        <w:t xml:space="preserve">3219 · La data oscillante come test tecnico.</w:t>
      </w:r>
      <w:r>
        <w:rPr>
          <w:rFonts w:ascii="Barlow Semi Condensed" w:cs="Barlow Semi Condensed" w:eastAsia="Barlow Semi Condensed" w:hAnsi="Barlow Semi Condensed"/>
          <w:sz w:val="24"/>
          <w:szCs w:val="24"/>
        </w:rPr>
        <w:t xml:space="preserve"> L'episodio riferito colloca l'avvertimento ora nel 1974, ora nel 1976, ora nel 1977, e il nome fu ottenuto in aula, non offerto dal teste. Un'oscillazione triennale è incompatibile con l'interrogazione di una serie archivistica, che pretende una finestra. È la ragione tecnica, prima che di grado, per cui l'episodio non è utilizzabile in PE-5: non produce chiavi di ricerca, e ciò che non produce chiavi non produce carte.</w:t>
      </w:r>
    </w:p>
    <w:p>
      <w:pPr>
        <w:spacing w:after="120" w:line="276"/>
        <w:jc w:val="both"/>
      </w:pPr>
      <w:r>
        <w:rPr>
          <w:rFonts w:ascii="Barlow Semi Condensed" w:cs="Barlow Semi Condensed" w:eastAsia="Barlow Semi Condensed" w:hAnsi="Barlow Semi Condensed"/>
          <w:b/>
          <w:bCs/>
          <w:sz w:val="24"/>
          <w:szCs w:val="24"/>
        </w:rPr>
        <w:t xml:space="preserve">3220 · La tavola in tre colonne.</w:t>
      </w:r>
      <w:r>
        <w:rPr>
          <w:rFonts w:ascii="Barlow Semi Condensed" w:cs="Barlow Semi Condensed" w:eastAsia="Barlow Semi Condensed" w:hAnsi="Barlow Semi Condensed"/>
          <w:sz w:val="24"/>
          <w:szCs w:val="24"/>
        </w:rPr>
        <w:t xml:space="preserve"> La chiusura prescritta è una tavola-censimento a tre colonne — libero, trattenuto, origine alleata in Italia — con l'identificativo della scheda di ritiro per ogni trattenuto. La serie propone una quarta colonna, facoltativa e dichiarata: le occorrenze del nome triangolato, per anno. Se resterà vuota per il 1978, quel vuoto sarà pubblicabile e falsificabile da chiunque, che è la sola forma utile di Stato Zero.</w:t>
      </w:r>
    </w:p>
    <w:p>
      <w:pPr>
        <w:spacing w:after="120" w:line="276"/>
        <w:jc w:val="both"/>
      </w:pPr>
      <w:r>
        <w:rPr>
          <w:rFonts w:ascii="Barlow Semi Condensed" w:cs="Barlow Semi Condensed" w:eastAsia="Barlow Semi Condensed" w:hAnsi="Barlow Semi Condensed"/>
          <w:b/>
          <w:bCs/>
          <w:sz w:val="24"/>
          <w:szCs w:val="24"/>
        </w:rPr>
        <w:t xml:space="preserve">3221 · Anche il diniego è un documento.</w:t>
      </w:r>
      <w:r>
        <w:rPr>
          <w:rFonts w:ascii="Barlow Semi Condensed" w:cs="Barlow Semi Condensed" w:eastAsia="Barlow Semi Condensed" w:hAnsi="Barlow Semi Condensed"/>
          <w:sz w:val="24"/>
          <w:szCs w:val="24"/>
        </w:rPr>
        <w:t xml:space="preserve"> In regime FOIA il rifiuto è motivato e numerato, dunque è carta: la pista produce documenti qualunque sia l'esito. La serie ne ricava la propria assicurazione contro il fallimento apparente: una richiesta mirata sul nome, respinta con l'esenzione indicata, dice quale esenzione l'amministrazione ritenga applicabile, e quel dato è informativo. Una richiesta mai formulata, invece, non dice nulla e non lascia alcuna traccia.</w:t>
      </w:r>
    </w:p>
    <w:p>
      <w:pPr>
        <w:spacing w:after="120" w:line="276"/>
        <w:jc w:val="both"/>
      </w:pPr>
      <w:r>
        <w:rPr>
          <w:rFonts w:ascii="Barlow Semi Condensed" w:cs="Barlow Semi Condensed" w:eastAsia="Barlow Semi Condensed" w:hAnsi="Barlow Semi Condensed"/>
          <w:b/>
          <w:bCs/>
          <w:sz w:val="24"/>
          <w:szCs w:val="24"/>
        </w:rPr>
        <w:t xml:space="preserve">3222 · Le quattro colonne d'uscita.</w:t>
      </w:r>
      <w:r>
        <w:rPr>
          <w:rFonts w:ascii="Barlow Semi Condensed" w:cs="Barlow Semi Condensed" w:eastAsia="Barlow Semi Condensed" w:hAnsi="Barlow Semi Condensed"/>
          <w:sz w:val="24"/>
          <w:szCs w:val="24"/>
        </w:rPr>
        <w:t xml:space="preserve"> 72.460 posti di blocco, 37.702 perquisizioni domiciliari, 6.413.713 persone controllate, 3.383.123 autoveicoli ispezionati, con lo scorporo romano e con la divergenza di lettura dichiarata, perché parte della pubblicistica circola le sole cifre romane come totali. Sono misure di ciò che lo Stato fece. Nessuna di esse è riferibile a un input estero, nessuna fonte lo sostiene, e la serie non lo suggerisce.</w:t>
      </w:r>
    </w:p>
    <w:p>
      <w:pPr>
        <w:spacing w:after="120" w:line="276"/>
        <w:jc w:val="both"/>
      </w:pPr>
      <w:r>
        <w:rPr>
          <w:rFonts w:ascii="Barlow Semi Condensed" w:cs="Barlow Semi Condensed" w:eastAsia="Barlow Semi Condensed" w:hAnsi="Barlow Semi Condensed"/>
          <w:b/>
          <w:bCs/>
          <w:sz w:val="24"/>
          <w:szCs w:val="24"/>
        </w:rPr>
        <w:t xml:space="preserve">3223 · La colonna d'ingresso mai prodotta.</w:t>
      </w:r>
      <w:r>
        <w:rPr>
          <w:rFonts w:ascii="Barlow Semi Condensed" w:cs="Barlow Semi Condensed" w:eastAsia="Barlow Semi Condensed" w:hAnsi="Barlow Semi Condensed"/>
          <w:sz w:val="24"/>
          <w:szCs w:val="24"/>
        </w:rPr>
        <w:t xml:space="preserve"> Quante segnalazioni arrivarono, come furono protocollate, con quali criteri smistate, quante ebbero seguito: la colonna d'ingresso non ha cifra canonica in nessuna relazione di nessuna commissione, in quarantott'anni. La macchina più misurata della storia repubblicana è misurata a metà. È il luogo del territorio in cui una menzione estera, se protocollata, esisterebbe come item numerato, e dunque il luogo in cui l'assenza diventerà finalmente misurabile.</w:t>
      </w:r>
    </w:p>
    <w:p>
      <w:pPr>
        <w:spacing w:after="120" w:line="276"/>
        <w:jc w:val="both"/>
      </w:pPr>
      <w:r>
        <w:rPr>
          <w:rFonts w:ascii="Barlow Semi Condensed" w:cs="Barlow Semi Condensed" w:eastAsia="Barlow Semi Condensed" w:hAnsi="Barlow Semi Condensed"/>
          <w:b/>
          <w:bCs/>
          <w:sz w:val="24"/>
          <w:szCs w:val="24"/>
        </w:rPr>
        <w:t xml:space="preserve">3224 · L'unità di conto e la domanda.</w:t>
      </w:r>
      <w:r>
        <w:rPr>
          <w:rFonts w:ascii="Barlow Semi Condensed" w:cs="Barlow Semi Condensed" w:eastAsia="Barlow Semi Condensed" w:hAnsi="Barlow Semi Condensed"/>
          <w:sz w:val="24"/>
          <w:szCs w:val="24"/>
        </w:rPr>
        <w:t xml:space="preserve"> L'unità è fissata dal blocco 212 del manuale investigativo: la singola segnalazione protocollata, con le non protocollate schedate come «fuori registro», il cui volume è a sua volta un dato. Applicata alla triangolazione, l'unità produce una domanda esatta e finita: quante segnalazioni dei cinquantacinque giorni recano un riferimento a fonti o autorità straniere? Il numero è oggi ignoto, e il fondo che lo contiene è identificato.</w:t>
      </w:r>
    </w:p>
    <w:p>
      <w:pPr>
        <w:spacing w:after="120" w:line="276"/>
        <w:jc w:val="both"/>
      </w:pPr>
      <w:r>
        <w:rPr>
          <w:rFonts w:ascii="Barlow Semi Condensed" w:cs="Barlow Semi Condensed" w:eastAsia="Barlow Semi Condensed" w:hAnsi="Barlow Semi Condensed"/>
          <w:b/>
          <w:bCs/>
          <w:sz w:val="24"/>
          <w:szCs w:val="24"/>
        </w:rPr>
        <w:t xml:space="preserve">3225 · I quattro segmenti del flusso.</w:t>
      </w:r>
      <w:r>
        <w:rPr>
          <w:rFonts w:ascii="Barlow Semi Condensed" w:cs="Barlow Semi Condensed" w:eastAsia="Barlow Semi Condensed" w:hAnsi="Barlow Semi Condensed"/>
          <w:sz w:val="24"/>
          <w:szCs w:val="24"/>
        </w:rPr>
        <w:t xml:space="preserve"> Ingresso, lavorazione, uscita operativa, trasmissione all'autorità giudiziaria: il blocco 214 del manuale mappa ogni segnalazione su tutti e quattro. La serie osserva che una segnalazione d'origine alleata, se esistette, avrebbe attraversato gli stessi segmenti e lasciato le stesse tracce. Non esiste canale che, per essere internazionale, sfugga al protocollo di un ufficio italiano: o è protocollato, o è fuori registro e come tale va dichiarato.</w:t>
      </w:r>
    </w:p>
    <w:p>
      <w:pPr>
        <w:spacing w:after="120" w:line="276"/>
        <w:jc w:val="both"/>
      </w:pPr>
      <w:r>
        <w:rPr>
          <w:rFonts w:ascii="Barlow Semi Condensed" w:cs="Barlow Semi Condensed" w:eastAsia="Barlow Semi Condensed" w:hAnsi="Barlow Semi Condensed"/>
          <w:b/>
          <w:bCs/>
          <w:sz w:val="24"/>
          <w:szCs w:val="24"/>
        </w:rPr>
        <w:t xml:space="preserve">3226 · I tre calibri del registro.</w:t>
      </w:r>
      <w:r>
        <w:rPr>
          <w:rFonts w:ascii="Barlow Semi Condensed" w:cs="Barlow Semi Condensed" w:eastAsia="Barlow Semi Condensed" w:hAnsi="Barlow Semi Condensed"/>
          <w:sz w:val="24"/>
          <w:szCs w:val="24"/>
        </w:rPr>
        <w:t xml:space="preserve"> Mokbel, Zappolino, Montalcini: i tre casi già ricostruiti fungono da calibri per testare lo schema-dati prima dello spoglio di massa, secondo il blocco 217 del manuale. Il primo mostra ingresso riuscito e uscita fallita; il secondo uno smistamento letterale che andò al paese di Gradoli invece che alla via romana; il terzo una trasmissione tardata di due anni. Tutti e tre sono interamente interni agli apparati italiani.</w:t>
      </w:r>
    </w:p>
    <w:p>
      <w:pPr>
        <w:spacing w:after="120" w:line="276"/>
        <w:jc w:val="both"/>
      </w:pPr>
      <w:r>
        <w:rPr>
          <w:rFonts w:ascii="Barlow Semi Condensed" w:cs="Barlow Semi Condensed" w:eastAsia="Barlow Semi Condensed" w:hAnsi="Barlow Semi Condensed"/>
          <w:b/>
          <w:bCs/>
          <w:sz w:val="24"/>
          <w:szCs w:val="24"/>
        </w:rPr>
        <w:t xml:space="preserve">3227 · Il terzo segmento, il più grave.</w:t>
      </w:r>
      <w:r>
        <w:rPr>
          <w:rFonts w:ascii="Barlow Semi Condensed" w:cs="Barlow Semi Condensed" w:eastAsia="Barlow Semi Condensed" w:hAnsi="Barlow Semi Condensed"/>
          <w:sz w:val="24"/>
          <w:szCs w:val="24"/>
        </w:rPr>
        <w:t xml:space="preserve"> Fra l'estate e l'ottobre del 1978 l'ufficio politico della questura di Roma condusse accertamenti continuativi su via Montalcini 8 e sulla proprietaria, che se ne avvide e nel giro di pochi mesi vendette e si trasferì; il fatto non fu riferito alla magistratura per due anni. È il segmento che tocca la separazione dei poteri. Nessuna fonte lo collega a sollecitazioni esterne, e la serie non ve le introduce.</w:t>
      </w:r>
    </w:p>
    <w:p>
      <w:pPr>
        <w:spacing w:after="120" w:line="276"/>
        <w:jc w:val="both"/>
      </w:pPr>
      <w:r>
        <w:rPr>
          <w:rFonts w:ascii="Barlow Semi Condensed" w:cs="Barlow Semi Condensed" w:eastAsia="Barlow Semi Condensed" w:hAnsi="Barlow Semi Condensed"/>
          <w:b/>
          <w:bCs/>
          <w:sz w:val="24"/>
          <w:szCs w:val="24"/>
        </w:rPr>
        <w:t xml:space="preserve">3228 · Il test empirico dell'accertamento Anselmi.</w:t>
      </w:r>
      <w:r>
        <w:rPr>
          <w:rFonts w:ascii="Barlow Semi Condensed" w:cs="Barlow Semi Condensed" w:eastAsia="Barlow Semi Condensed" w:hAnsi="Barlow Semi Condensed"/>
          <w:sz w:val="24"/>
          <w:szCs w:val="24"/>
        </w:rPr>
        <w:t xml:space="preserve"> H1, collo di bottiglia da diluvio, con interruzioni casuali distribuite su tutti i segmenti; H2, filtro sistematico, con interruzioni concentrate verso l'autorità giudiziaria. L'evidenza discriminante è la distribuzione, che solo il registro può dare. La serie annota il proprio interesse per l'esito: se prevalesse H2, il quesito su chi disponesse il filtro resterebbe interno agli apparati italiani finché un documento di provenienza non dicesse altro.</w:t>
      </w:r>
    </w:p>
    <w:p>
      <w:pPr>
        <w:spacing w:after="120" w:line="276"/>
        <w:jc w:val="both"/>
      </w:pPr>
      <w:r>
        <w:rPr>
          <w:rFonts w:ascii="Barlow Semi Condensed" w:cs="Barlow Semi Condensed" w:eastAsia="Barlow Semi Condensed" w:hAnsi="Barlow Semi Condensed"/>
          <w:b/>
          <w:bCs/>
          <w:sz w:val="24"/>
          <w:szCs w:val="24"/>
        </w:rPr>
        <w:t xml:space="preserve">3229 · Pesare, non soltanto contare.</w:t>
      </w:r>
      <w:r>
        <w:rPr>
          <w:rFonts w:ascii="Barlow Semi Condensed" w:cs="Barlow Semi Condensed" w:eastAsia="Barlow Semi Condensed" w:hAnsi="Barlow Semi Condensed"/>
          <w:sz w:val="24"/>
          <w:szCs w:val="24"/>
        </w:rPr>
        <w:t xml:space="preserve"> Una nota con un indirizzo esatto pesa più di mille segnalazioni generiche, e il registro deve pesare: il blocco 219 del manuale chiede il tasso di seguito ponderato. La serie ne ricava una regola per sé, perché anche un'occorrenza va pesata: una menzione in un ritaglio conservato dentro un archivio riservato non equivale a una firma su un dispaccio. Confonderle produce falsi positivi eleganti e difficilmente smontabili.</w:t>
      </w:r>
    </w:p>
    <w:p>
      <w:pPr>
        <w:spacing w:after="120" w:line="276"/>
        <w:jc w:val="both"/>
      </w:pPr>
      <w:r>
        <w:rPr>
          <w:rFonts w:ascii="Barlow Semi Condensed" w:cs="Barlow Semi Condensed" w:eastAsia="Barlow Semi Condensed" w:hAnsi="Barlow Semi Condensed"/>
          <w:b/>
          <w:bCs/>
          <w:sz w:val="24"/>
          <w:szCs w:val="24"/>
        </w:rPr>
        <w:t xml:space="preserve">3230 · Il registro è duale.</w:t>
      </w:r>
      <w:r>
        <w:rPr>
          <w:rFonts w:ascii="Barlow Semi Condensed" w:cs="Barlow Semi Condensed" w:eastAsia="Barlow Semi Condensed" w:hAnsi="Barlow Semi Condensed"/>
          <w:sz w:val="24"/>
          <w:szCs w:val="24"/>
        </w:rPr>
        <w:t xml:space="preserve"> Ogni segnalazione correttamente lavorata è un pezzo di apparato che fece il proprio dovere dentro il diluvio: la scheda insiste, e la serie lo ripete perché la triangolazione ha la tentazione opposta. Un esito che riabilita è un esito. Se il registro mostrasse che nessuna sollecitazione estera entrò nei cinquantacinque giorni, quella sarebbe la notizia, da pubblicare col rilievo che si riserva a qualunque scoperta.</w:t>
      </w:r>
    </w:p>
    <w:p>
      <w:pPr>
        <w:spacing w:after="120" w:line="276"/>
        <w:jc w:val="both"/>
      </w:pPr>
      <w:r>
        <w:rPr>
          <w:rFonts w:ascii="Barlow Semi Condensed" w:cs="Barlow Semi Condensed" w:eastAsia="Barlow Semi Condensed" w:hAnsi="Barlow Semi Condensed"/>
          <w:b/>
          <w:bCs/>
          <w:sz w:val="24"/>
          <w:szCs w:val="24"/>
        </w:rPr>
        <w:t xml:space="preserve">3231 · Il documento dovuto, non desiderato.</w:t>
      </w:r>
      <w:r>
        <w:rPr>
          <w:rFonts w:ascii="Barlow Semi Condensed" w:cs="Barlow Semi Condensed" w:eastAsia="Barlow Semi Condensed" w:hAnsi="Barlow Semi Condensed"/>
          <w:sz w:val="24"/>
          <w:szCs w:val="24"/>
        </w:rPr>
        <w:t xml:space="preserve"> La formula che chiude PE-6 vale per l'intero territorio: le carte cercate esistono per definizione, perché un comitato produce verbali, una nota ha un protocollo, una squadra ha un ordine di servizio, i vigili hanno un fascicolo, gli elenchi hanno date. La triangolazione si misura su documenti dovuti e non su documenti desiderati, ed è in questo che un bersaglio differisce da una suggestione.</w:t>
      </w:r>
    </w:p>
    <w:p>
      <w:pPr>
        <w:spacing w:after="120" w:line="276"/>
        <w:jc w:val="both"/>
      </w:pPr>
      <w:r>
        <w:rPr>
          <w:rFonts w:ascii="Barlow Semi Condensed" w:cs="Barlow Semi Condensed" w:eastAsia="Barlow Semi Condensed" w:hAnsi="Barlow Semi Condensed"/>
          <w:b/>
          <w:bCs/>
          <w:sz w:val="24"/>
          <w:szCs w:val="24"/>
        </w:rPr>
        <w:t xml:space="preserve">3232 · Il bilancio della serie (serie XLII).</w:t>
      </w:r>
      <w:r>
        <w:rPr>
          <w:rFonts w:ascii="Barlow Semi Condensed" w:cs="Barlow Semi Condensed" w:eastAsia="Barlow Semi Condensed" w:hAnsi="Barlow Semi Condensed"/>
          <w:sz w:val="24"/>
          <w:szCs w:val="24"/>
        </w:rPr>
        <w:t xml:space="preserve"> Sei schede interrogate, un piano uno che cade fuori territorio, due convergenze di piano due già registrate dall'opera-madre ai blocchi 310 e 906, nessun ponte nuovo. Gli Stati Zero verbalizzati sono sei, uno per scheda, ciascuno con la sede che lo chiuderebbe: il censimento nominale, il fascicolo del Flaminio Nuovo, la conservatoria, le carte Curioni, l'AAD con le withdrawal cards, i protocolli d'ingresso del Viminale.</w:t>
      </w:r>
    </w:p>
    <w:p>
      <w:pPr>
        <w:spacing w:after="120" w:line="276"/>
        <w:jc w:val="both"/>
      </w:pPr>
      <w:r>
        <w:rPr>
          <w:rFonts w:ascii="Barlow Semi Condensed" w:cs="Barlow Semi Condensed" w:eastAsia="Barlow Semi Condensed" w:hAnsi="Barlow Semi Condensed"/>
          <w:b/>
          <w:bCs/>
          <w:sz w:val="24"/>
          <w:szCs w:val="24"/>
        </w:rPr>
        <w:t xml:space="preserve">3233 · La sede che chiuderebbe più vuoti.</w:t>
      </w:r>
      <w:r>
        <w:rPr>
          <w:rFonts w:ascii="Barlow Semi Condensed" w:cs="Barlow Semi Condensed" w:eastAsia="Barlow Semi Condensed" w:hAnsi="Barlow Semi Condensed"/>
          <w:sz w:val="24"/>
          <w:szCs w:val="24"/>
        </w:rPr>
        <w:t xml:space="preserve"> Una sola sede potrebbe chiudere in blocco più Stati Zero di questa serie: i versamenti del Viminale nel fondo Direttiva Renzi, circa duemila buste da centocinquantasei uffici, interrogabili con le chiavi minime del blocco 93 del manuale. Se un canale estero avesse toccato i cinquantacinque giorni per via d'ufficio, la traccia sarebbe lì. Lo spoglio non è stato eseguito, e l'assenza è dichiarata sull'inventario, non sul contenuto.</w:t>
      </w:r>
    </w:p>
    <w:p>
      <w:pPr>
        <w:spacing w:after="120" w:line="276"/>
        <w:jc w:val="both"/>
      </w:pPr>
      <w:r>
        <w:rPr>
          <w:rFonts w:ascii="Barlow Semi Condensed" w:cs="Barlow Semi Condensed" w:eastAsia="Barlow Semi Condensed" w:hAnsi="Barlow Semi Condensed"/>
          <w:b/>
          <w:bCs/>
          <w:sz w:val="24"/>
          <w:szCs w:val="24"/>
        </w:rPr>
        <w:t xml:space="preserve">3234 · La data di riesame.</w:t>
      </w:r>
      <w:r>
        <w:rPr>
          <w:rFonts w:ascii="Barlow Semi Condensed" w:cs="Barlow Semi Condensed" w:eastAsia="Barlow Semi Condensed" w:hAnsi="Barlow Semi Condensed"/>
          <w:sz w:val="24"/>
          <w:szCs w:val="24"/>
        </w:rPr>
        <w:t xml:space="preserve"> Uno Stato Zero è datato per costruzione e porta la propria scadenza: si riapre davanti a un fatto archivistico nuovo — un versamento, una declassifica, un inventario pubblicato, una serie prima non consultabile — e non davanti a un anniversario o a una pressione pubblica. La condizione si scrive al momento della chiusura. Per questa serie sono l'apertura dell'Archivio Apostolico per Paolo VI e lo spoglio del fondo Renzi.</w:t>
      </w:r>
    </w:p>
    <w:p>
      <w:pPr>
        <w:spacing w:after="120" w:line="276"/>
        <w:jc w:val="both"/>
      </w:pPr>
      <w:r>
        <w:rPr>
          <w:rFonts w:ascii="Barlow Semi Condensed" w:cs="Barlow Semi Condensed" w:eastAsia="Barlow Semi Condensed" w:hAnsi="Barlow Semi Condensed"/>
          <w:b/>
          <w:bCs/>
          <w:sz w:val="24"/>
          <w:szCs w:val="24"/>
        </w:rPr>
        <w:t xml:space="preserve">3235 · Che cosa la serie non ha stabilito (serie XLII).</w:t>
      </w:r>
      <w:r>
        <w:rPr>
          <w:rFonts w:ascii="Barlow Semi Condensed" w:cs="Barlow Semi Condensed" w:eastAsia="Barlow Semi Condensed" w:hAnsi="Barlow Semi Condensed"/>
          <w:sz w:val="24"/>
          <w:szCs w:val="24"/>
        </w:rPr>
        <w:t xml:space="preserve"> Non ha stabilito alcun rapporto fra il nome triangolato e i comitati del Viminale, lo stabile di via Gradoli, il canale vaticano, il traffico dei cablo del 1978 o il registro delle segnalazioni. Non ha indicato alcuna persona come responsabile di reato e si è fermata al giudicato. Ha stabilito dove cercare, che cosa attendersi e che cosa smentirebbe: è quanto un territorio muto consente.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quarantatreesima — Il manuale in quattrocento blocchi, prima parte</w:t>
      </w:r>
    </w:p>
    <w:p>
      <w:pPr>
        <w:spacing w:after="120" w:line="276"/>
        <w:jc w:val="both"/>
      </w:pPr>
      <w:r>
        <w:rPr>
          <w:rFonts w:ascii="Barlow Semi Condensed" w:cs="Barlow Semi Condensed" w:eastAsia="Barlow Semi Condensed" w:hAnsi="Barlow Semi Condensed"/>
          <w:i/>
          <w:iCs/>
          <w:sz w:val="24"/>
          <w:szCs w:val="24"/>
        </w:rPr>
        <w:t xml:space="preserve">Blocchi 3236-3315.</w:t>
      </w:r>
    </w:p>
    <w:p>
      <w:pPr>
        <w:spacing w:after="120" w:line="276"/>
        <w:jc w:val="both"/>
      </w:pPr>
      <w:r>
        <w:rPr>
          <w:rFonts w:ascii="Barlow Semi Condensed" w:cs="Barlow Semi Condensed" w:eastAsia="Barlow Semi Condensed" w:hAnsi="Barlow Semi Condensed"/>
          <w:b/>
          <w:bCs/>
          <w:sz w:val="24"/>
          <w:szCs w:val="24"/>
        </w:rPr>
        <w:t xml:space="preserve">3236 · Il blocco 1 e il nome atteso.</w:t>
      </w:r>
      <w:r>
        <w:rPr>
          <w:rFonts w:ascii="Barlow Semi Condensed" w:cs="Barlow Semi Condensed" w:eastAsia="Barlow Semi Condensed" w:hAnsi="Barlow Semi Condensed"/>
          <w:sz w:val="24"/>
          <w:szCs w:val="24"/>
        </w:rPr>
        <w:t xml:space="preserve"> Il manuale apre stabilendo che l'indagine produce atti e non colpevoli, e che il suo esito naturale è un documento, mai un nome atteso. Applicata a questo territorio la regola è vincolante: Henry Kissinger vi entra soltanto come oggetto di quesiti documentali. Non fu mai imputato né processato in alcun Paese, e nessun blocco del manuale, né alcuno di questa serie, lo indica come responsabile di reato.</w:t>
      </w:r>
    </w:p>
    <w:p>
      <w:pPr>
        <w:spacing w:after="120" w:line="276"/>
        <w:jc w:val="both"/>
      </w:pPr>
      <w:r>
        <w:rPr>
          <w:rFonts w:ascii="Barlow Semi Condensed" w:cs="Barlow Semi Condensed" w:eastAsia="Barlow Semi Condensed" w:hAnsi="Barlow Semi Condensed"/>
          <w:b/>
          <w:bCs/>
          <w:sz w:val="24"/>
          <w:szCs w:val="24"/>
        </w:rPr>
        <w:t xml:space="preserve">3237 · Il pavimento e i tredici nomi.</w:t>
      </w:r>
      <w:r>
        <w:rPr>
          <w:rFonts w:ascii="Barlow Semi Condensed" w:cs="Barlow Semi Condensed" w:eastAsia="Barlow Semi Condensed" w:hAnsi="Barlow Semi Condensed"/>
          <w:sz w:val="24"/>
          <w:szCs w:val="24"/>
        </w:rPr>
        <w:t xml:space="preserve"> Tredici responsabilità personali accertate nei cinque processi e sei vittime in testa a ogni pagina: è il pavimento fissato dal blocco 2, e chi voglia sostenere altro deve portare prove di rango almeno pari. Il nome triangolato in quest'opera non figura in quel registro e non vi può figurare per accumulo di letture. L'accertamento è negativo, di piano uno, e si scrive senza attenuanti.</w:t>
      </w:r>
    </w:p>
    <w:p>
      <w:pPr>
        <w:spacing w:after="120" w:line="276"/>
        <w:jc w:val="both"/>
      </w:pPr>
      <w:r>
        <w:rPr>
          <w:rFonts w:ascii="Barlow Semi Condensed" w:cs="Barlow Semi Condensed" w:eastAsia="Barlow Semi Condensed" w:hAnsi="Barlow Semi Condensed"/>
          <w:b/>
          <w:bCs/>
          <w:sz w:val="24"/>
          <w:szCs w:val="24"/>
        </w:rPr>
        <w:t xml:space="preserve">3238 · Che cosa riaprirebbe il registro.</w:t>
      </w:r>
      <w:r>
        <w:rPr>
          <w:rFonts w:ascii="Barlow Semi Condensed" w:cs="Barlow Semi Condensed" w:eastAsia="Barlow Semi Condensed" w:hAnsi="Barlow Semi Condensed"/>
          <w:sz w:val="24"/>
          <w:szCs w:val="24"/>
        </w:rPr>
        <w:t xml:space="preserve"> Il registro chiuso del blocco 3 cresce solo per nuovo giudicato. Il bersaglio di smentita che ne discende è preciso e va scritto: la produzione, in qualunque giurisdizione, di un capo d'imputazione, di una richiesta di rinvio a giudizio o di un provvedimento restrittivo a carico di quel nome. Le sedi sono le cancellerie penali e le raccolte giudiziarie dei Paesi in cui furono depositati esposti. Fin qui nulla risulta.</w:t>
      </w:r>
    </w:p>
    <w:p>
      <w:pPr>
        <w:spacing w:after="120" w:line="276"/>
        <w:jc w:val="both"/>
      </w:pPr>
      <w:r>
        <w:rPr>
          <w:rFonts w:ascii="Barlow Semi Condensed" w:cs="Barlow Semi Condensed" w:eastAsia="Barlow Semi Condensed" w:hAnsi="Barlow Semi Condensed"/>
          <w:b/>
          <w:bCs/>
          <w:sz w:val="24"/>
          <w:szCs w:val="24"/>
        </w:rPr>
        <w:t xml:space="preserve">3239 · Tre voci, tre gradi.</w:t>
      </w:r>
      <w:r>
        <w:rPr>
          <w:rFonts w:ascii="Barlow Semi Condensed" w:cs="Barlow Semi Condensed" w:eastAsia="Barlow Semi Condensed" w:hAnsi="Barlow Semi Condensed"/>
          <w:sz w:val="24"/>
          <w:szCs w:val="24"/>
        </w:rPr>
        <w:t xml:space="preserve"> Ogni acquisizione entra col grado dichiarato, prescrive il blocco 4. Le tre voci disponibili si gradano così: gli incarichi datati, assistente per la sicurezza nazionale dal 20 gennaio 1969 al 3 novembre 1975 e segretario di Stato dal 22 settembre 1973 al 20 gennaio 1977, sono fatto pubblico; il verbale del 25 settembre 1974 è accertamento; l'avvertimento riferito resta congettura. Nessuna sale di grado per accumulo.</w:t>
      </w:r>
    </w:p>
    <w:p>
      <w:pPr>
        <w:spacing w:after="120" w:line="276"/>
        <w:jc w:val="both"/>
      </w:pPr>
      <w:r>
        <w:rPr>
          <w:rFonts w:ascii="Barlow Semi Condensed" w:cs="Barlow Semi Condensed" w:eastAsia="Barlow Semi Condensed" w:hAnsi="Barlow Semi Condensed"/>
          <w:b/>
          <w:bCs/>
          <w:sz w:val="24"/>
          <w:szCs w:val="24"/>
        </w:rPr>
        <w:t xml:space="preserve">3240 · L'ufficio non è condotta.</w:t>
      </w:r>
      <w:r>
        <w:rPr>
          <w:rFonts w:ascii="Barlow Semi Condensed" w:cs="Barlow Semi Condensed" w:eastAsia="Barlow Semi Condensed" w:hAnsi="Barlow Semi Condensed"/>
          <w:sz w:val="24"/>
          <w:szCs w:val="24"/>
        </w:rPr>
        <w:t xml:space="preserve"> La regola personalistica del blocco 5 dice che l'appartenenza a un'organizzazione, a una loggia, a un ufficio non è condotta. Vale identica per la titolarità di un dicastero straniero: aver diretto il Dipartimento di Stato non è un atto compiuto nel caso italiano. Chi voglia trasformare la carica in condotta deve produrre l'atto, con data, protocollo e destinatario, e non la carica.</w:t>
      </w:r>
    </w:p>
    <w:p>
      <w:pPr>
        <w:spacing w:after="120" w:line="276"/>
        <w:jc w:val="both"/>
      </w:pPr>
      <w:r>
        <w:rPr>
          <w:rFonts w:ascii="Barlow Semi Condensed" w:cs="Barlow Semi Condensed" w:eastAsia="Barlow Semi Condensed" w:hAnsi="Barlow Semi Condensed"/>
          <w:b/>
          <w:bCs/>
          <w:sz w:val="24"/>
          <w:szCs w:val="24"/>
        </w:rPr>
        <w:t xml:space="preserve">3241 · L'anello debole del cammino atlantico (serie XLIII).</w:t>
      </w:r>
      <w:r>
        <w:rPr>
          <w:rFonts w:ascii="Barlow Semi Condensed" w:cs="Barlow Semi Condensed" w:eastAsia="Barlow Semi Condensed" w:hAnsi="Barlow Semi Condensed"/>
          <w:sz w:val="24"/>
          <w:szCs w:val="24"/>
        </w:rPr>
        <w:t xml:space="preserve"> Il grado di una catena è il minimo dei suoi anelli, stabilisce il blocco 6. Il cammino che da un colloquio del settembre 1974 arriva a via Fani attraversa almeno un passaggio interamente testimoniale, riferito de relato e smentito dall'interessato. Quel passaggio fissa il grado dell'intero cammino, per quanti documenti stiano a monte e a valle. Non lo si compensa allungando la catena.</w:t>
      </w:r>
    </w:p>
    <w:p>
      <w:pPr>
        <w:spacing w:after="120" w:line="276"/>
        <w:jc w:val="both"/>
      </w:pPr>
      <w:r>
        <w:rPr>
          <w:rFonts w:ascii="Barlow Semi Condensed" w:cs="Barlow Semi Condensed" w:eastAsia="Barlow Semi Condensed" w:hAnsi="Barlow Semi Condensed"/>
          <w:b/>
          <w:bCs/>
          <w:sz w:val="24"/>
          <w:szCs w:val="24"/>
        </w:rPr>
        <w:t xml:space="preserve">3242 · Zero su duecentocinquanta, misurato.</w:t>
      </w:r>
      <w:r>
        <w:rPr>
          <w:rFonts w:ascii="Barlow Semi Condensed" w:cs="Barlow Semi Condensed" w:eastAsia="Barlow Semi Condensed" w:hAnsi="Barlow Semi Condensed"/>
          <w:sz w:val="24"/>
          <w:szCs w:val="24"/>
        </w:rPr>
        <w:t xml:space="preserve"> Verifica meccanica eseguita sulle otto serie assegnate, blocchi 1-250 del manuale: la stringa Kissinger compare zero volte; zero anche Washington, Stati Uniti, Dipartimento di Stato, statunitense; americano compare due volte, ai blocchi 91 e 241; alleato tre volte, ai blocchi 119, 127 e 242. Lo Stato Zero di questo territorio non è dedotto: è contato, e il conteggio è ripetibile da chiunque.</w:t>
      </w:r>
    </w:p>
    <w:p>
      <w:pPr>
        <w:spacing w:after="120" w:line="276"/>
        <w:jc w:val="both"/>
      </w:pPr>
      <w:r>
        <w:rPr>
          <w:rFonts w:ascii="Barlow Semi Condensed" w:cs="Barlow Semi Condensed" w:eastAsia="Barlow Semi Condensed" w:hAnsi="Barlow Semi Condensed"/>
          <w:b/>
          <w:bCs/>
          <w:sz w:val="24"/>
          <w:szCs w:val="24"/>
        </w:rPr>
        <w:t xml:space="preserve">3243 · Il buco misurato non si riempie.</w:t>
      </w:r>
      <w:r>
        <w:rPr>
          <w:rFonts w:ascii="Barlow Semi Condensed" w:cs="Barlow Semi Condensed" w:eastAsia="Barlow Semi Condensed" w:hAnsi="Barlow Semi Condensed"/>
          <w:sz w:val="24"/>
          <w:szCs w:val="24"/>
        </w:rPr>
        <w:t xml:space="preserve"> La regola dei buchi al blocco 7 vieta di colmare con la narrazione ciò che la documentazione non collega. Il vuoto appena contato resta dunque congettura possibile e non provata finché un documento non diventi arco. La sede che lo chiuderebbe in un senso o nell'altro è nominabile: i Central Foreign Policy Files del Record Group 59 a College Park, per la finestra del 1978.</w:t>
      </w:r>
    </w:p>
    <w:p>
      <w:pPr>
        <w:spacing w:after="120" w:line="276"/>
        <w:jc w:val="both"/>
      </w:pPr>
      <w:r>
        <w:rPr>
          <w:rFonts w:ascii="Barlow Semi Condensed" w:cs="Barlow Semi Condensed" w:eastAsia="Barlow Semi Condensed" w:hAnsi="Barlow Semi Condensed"/>
          <w:b/>
          <w:bCs/>
          <w:sz w:val="24"/>
          <w:szCs w:val="24"/>
        </w:rPr>
        <w:t xml:space="preserve">3244 · L'evidenza che discrimina, una sola.</w:t>
      </w:r>
      <w:r>
        <w:rPr>
          <w:rFonts w:ascii="Barlow Semi Condensed" w:cs="Barlow Semi Condensed" w:eastAsia="Barlow Semi Condensed" w:hAnsi="Barlow Semi Condensed"/>
          <w:sz w:val="24"/>
          <w:szCs w:val="24"/>
        </w:rPr>
        <w:t xml:space="preserve"> Ogni quesito si scrive come matrice di ipotesi contro evidenze e cerca ciò che è incompatibile con almeno un'ipotesi: così il blocco 8. Per l'ipotesi di un mandato straniero l'evidenza discriminante è una sola e va nominata, cioè un documento di provenienza che indichi insieme l'emittente, la controparte italiana e l'atto richiesto. In sua assenza il quesito non è un quesito, è un'opinione.</w:t>
      </w:r>
    </w:p>
    <w:p>
      <w:pPr>
        <w:spacing w:after="120" w:line="276"/>
        <w:jc w:val="both"/>
      </w:pPr>
      <w:r>
        <w:rPr>
          <w:rFonts w:ascii="Barlow Semi Condensed" w:cs="Barlow Semi Condensed" w:eastAsia="Barlow Semi Condensed" w:hAnsi="Barlow Semi Condensed"/>
          <w:b/>
          <w:bCs/>
          <w:sz w:val="24"/>
          <w:szCs w:val="24"/>
        </w:rPr>
        <w:t xml:space="preserve">3245 · De relato e primato del reperto.</w:t>
      </w:r>
      <w:r>
        <w:rPr>
          <w:rFonts w:ascii="Barlow Semi Condensed" w:cs="Barlow Semi Condensed" w:eastAsia="Barlow Semi Condensed" w:hAnsi="Barlow Semi Condensed"/>
          <w:sz w:val="24"/>
          <w:szCs w:val="24"/>
        </w:rPr>
        <w:t xml:space="preserve"> La corroborazione fisica si verifica prima di fondare qualunque cosa sulla parola, impone il blocco 9, ed è la lezione Marini scolpita nella Nota di revisione numero uno. La testimonianza sull'avvertimento è de relato, resa alla Corte d'assise di Roma nel novembre 1982, col nome ottenuto in aula e non offerto spontaneamente. Il manuale non la squalifica: le nega il potere di fondare da sola.</w:t>
      </w:r>
    </w:p>
    <w:p>
      <w:pPr>
        <w:spacing w:after="120" w:line="276"/>
        <w:jc w:val="both"/>
      </w:pPr>
      <w:r>
        <w:rPr>
          <w:rFonts w:ascii="Barlow Semi Condensed" w:cs="Barlow Semi Condensed" w:eastAsia="Barlow Semi Condensed" w:hAnsi="Barlow Semi Condensed"/>
          <w:b/>
          <w:bCs/>
          <w:sz w:val="24"/>
          <w:szCs w:val="24"/>
        </w:rPr>
        <w:t xml:space="preserve">3246 · Il documento dovuto è stato letto.</w:t>
      </w:r>
      <w:r>
        <w:rPr>
          <w:rFonts w:ascii="Barlow Semi Condensed" w:cs="Barlow Semi Condensed" w:eastAsia="Barlow Semi Condensed" w:hAnsi="Barlow Semi Condensed"/>
          <w:sz w:val="24"/>
          <w:szCs w:val="24"/>
        </w:rPr>
        <w:t xml:space="preserve"> Dove sono le carte di un procedimento che esiste per definizione: è la domanda che il blocco 10 sostituisce a quella sul colpevole. Un colloquio allo Studio Ovale genera un memorandum of conversation, e quello del 25 settembre 1974 esiste, in FRUS 1969-1976 E-15 parte 2, documento 350, seconda edizione riveduta, col file 1552802 della Ford Library. Non contiene alcun ultimatum personale a Moro.</w:t>
      </w:r>
    </w:p>
    <w:p>
      <w:pPr>
        <w:spacing w:after="120" w:line="276"/>
        <w:jc w:val="both"/>
      </w:pPr>
      <w:r>
        <w:rPr>
          <w:rFonts w:ascii="Barlow Semi Condensed" w:cs="Barlow Semi Condensed" w:eastAsia="Barlow Semi Condensed" w:hAnsi="Barlow Semi Condensed"/>
          <w:b/>
          <w:bCs/>
          <w:sz w:val="24"/>
          <w:szCs w:val="24"/>
        </w:rPr>
        <w:t xml:space="preserve">3247 · Quattordici mesi prima di via Fani.</w:t>
      </w:r>
      <w:r>
        <w:rPr>
          <w:rFonts w:ascii="Barlow Semi Condensed" w:cs="Barlow Semi Condensed" w:eastAsia="Barlow Semi Condensed" w:hAnsi="Barlow Semi Condensed"/>
          <w:sz w:val="24"/>
          <w:szCs w:val="24"/>
        </w:rPr>
        <w:t xml:space="preserve"> La cronologia precede l'interpretazione, dice il blocco 14. Gli incarichi si chiusero il 20 gennaio 1977; il sequestro comincia il 16 marzo 1978. Nei cinquantacinque giorni quel nome non reggeva alcuna carica pubblica statunitense. Il dato non assolve e non accusa nessuno: colloca, e obbliga chiunque sostenga un ruolo attivo a spiegare per quale via un privato cittadino lo avrebbe esercitato.</w:t>
      </w:r>
    </w:p>
    <w:p>
      <w:pPr>
        <w:spacing w:after="120" w:line="276"/>
        <w:jc w:val="both"/>
      </w:pPr>
      <w:r>
        <w:rPr>
          <w:rFonts w:ascii="Barlow Semi Condensed" w:cs="Barlow Semi Condensed" w:eastAsia="Barlow Semi Condensed" w:hAnsi="Barlow Semi Condensed"/>
          <w:b/>
          <w:bCs/>
          <w:sz w:val="24"/>
          <w:szCs w:val="24"/>
        </w:rPr>
        <w:t xml:space="preserve">3248 · Due divergenze da riportare intatte.</w:t>
      </w:r>
      <w:r>
        <w:rPr>
          <w:rFonts w:ascii="Barlow Semi Condensed" w:cs="Barlow Semi Condensed" w:eastAsia="Barlow Semi Condensed" w:hAnsi="Barlow Semi Condensed"/>
          <w:sz w:val="24"/>
          <w:szCs w:val="24"/>
        </w:rPr>
        <w:t xml:space="preserve"> Le divergenze si riportano, prescrive il blocco 15, e qui ne stanno due. La data dell'avvertimento riferito oscilla fra 1974, 1976 e 1977 secondo le versioni, e nessuna deposizione la fissa. La data dell'anglicizzazione del nome è contesa fra le opere di consultazione, che dicono 1938 senza documenti, e il fascicolo d'immigrazione, che la colloca al 1942-1943. Entrambe restano aperte e dichiarate.</w:t>
      </w:r>
    </w:p>
    <w:p>
      <w:pPr>
        <w:spacing w:after="120" w:line="276"/>
        <w:jc w:val="both"/>
      </w:pPr>
      <w:r>
        <w:rPr>
          <w:rFonts w:ascii="Barlow Semi Condensed" w:cs="Barlow Semi Condensed" w:eastAsia="Barlow Semi Condensed" w:hAnsi="Barlow Semi Condensed"/>
          <w:b/>
          <w:bCs/>
          <w:sz w:val="24"/>
          <w:szCs w:val="24"/>
        </w:rPr>
        <w:t xml:space="preserve">3249 · Popperiano fino in fondo.</w:t>
      </w:r>
      <w:r>
        <w:rPr>
          <w:rFonts w:ascii="Barlow Semi Condensed" w:cs="Barlow Semi Condensed" w:eastAsia="Barlow Semi Condensed" w:hAnsi="Barlow Semi Condensed"/>
          <w:sz w:val="24"/>
          <w:szCs w:val="24"/>
        </w:rPr>
        <w:t xml:space="preserve"> Nessun congedo del sospetto è concesso dal blocco 20: il nuovo caso resta popperiano dall'inizio alla fine, perché un'indagine che presume ha già fallito. Applicato a questo nome significa che nessuna sua permanenza nel fascicolo è giustificata dalla notorietà. Resta finché vi è agganciato un quesito documentale vivo, con sede e criterio di chiusura, e cade il giorno in cui il quesito è esaurito.</w:t>
      </w:r>
    </w:p>
    <w:p>
      <w:pPr>
        <w:spacing w:after="120" w:line="276"/>
        <w:jc w:val="both"/>
      </w:pPr>
      <w:r>
        <w:rPr>
          <w:rFonts w:ascii="Barlow Semi Condensed" w:cs="Barlow Semi Condensed" w:eastAsia="Barlow Semi Condensed" w:hAnsi="Barlow Semi Condensed"/>
          <w:b/>
          <w:bCs/>
          <w:sz w:val="24"/>
          <w:szCs w:val="24"/>
        </w:rPr>
        <w:t xml:space="preserve">3250 · Quale dei tre cantieri se ne occupa.</w:t>
      </w:r>
      <w:r>
        <w:rPr>
          <w:rFonts w:ascii="Barlow Semi Condensed" w:cs="Barlow Semi Condensed" w:eastAsia="Barlow Semi Condensed" w:hAnsi="Barlow Semi Condensed"/>
          <w:sz w:val="24"/>
          <w:szCs w:val="24"/>
        </w:rPr>
        <w:t xml:space="preserve"> Tre cantieri si dividono il lavoro al blocco 21: giudiziario, archivistico, conservativo. Per questo nome il primo non ha titolo, perché non esiste procedimento; il terzo non ha oggetto, perché la persona è morta a Kent, nel Connecticut, il 29 novembre 2023. Resta il cantiere archivistico, e con esso l'unica competenza legittima: cercare carte in fondi nominati, non raccogliere ricordi né formulare addebiti.</w:t>
      </w:r>
    </w:p>
    <w:p>
      <w:pPr>
        <w:spacing w:after="120" w:line="276"/>
        <w:jc w:val="both"/>
      </w:pPr>
      <w:r>
        <w:rPr>
          <w:rFonts w:ascii="Barlow Semi Condensed" w:cs="Barlow Semi Condensed" w:eastAsia="Barlow Semi Condensed" w:hAnsi="Barlow Semi Condensed"/>
          <w:b/>
          <w:bCs/>
          <w:sz w:val="24"/>
          <w:szCs w:val="24"/>
        </w:rPr>
        <w:t xml:space="preserve">3251 · Il canale dei quesiti, non la stampa.</w:t>
      </w:r>
      <w:r>
        <w:rPr>
          <w:rFonts w:ascii="Barlow Semi Condensed" w:cs="Barlow Semi Condensed" w:eastAsia="Barlow Semi Condensed" w:hAnsi="Barlow Semi Condensed"/>
          <w:sz w:val="24"/>
          <w:szCs w:val="24"/>
        </w:rPr>
        <w:t xml:space="preserve"> Una sola forma è lecita al contributo esterno secondo il blocco 23: quesiti documentali con criterio di smentita, depositati alle sedi competenti. Questa serie si dichiara tale. Nessuno dei suoi bersagli va portato a una redazione prima che a un archivio, e nessuno di essi chiede a un ufficio di confermare un'ipotesi: chiedono l'esistenza, la segnatura e lo stato d'accesso di carte determinate.</w:t>
      </w:r>
    </w:p>
    <w:p>
      <w:pPr>
        <w:spacing w:after="120" w:line="276"/>
        <w:jc w:val="both"/>
      </w:pPr>
      <w:r>
        <w:rPr>
          <w:rFonts w:ascii="Barlow Semi Condensed" w:cs="Barlow Semi Condensed" w:eastAsia="Barlow Semi Condensed" w:hAnsi="Barlow Semi Condensed"/>
          <w:b/>
          <w:bCs/>
          <w:sz w:val="24"/>
          <w:szCs w:val="24"/>
        </w:rPr>
        <w:t xml:space="preserve">3252 · Il pregiudizio come risorsa di controllo.</w:t>
      </w:r>
      <w:r>
        <w:rPr>
          <w:rFonts w:ascii="Barlow Semi Condensed" w:cs="Barlow Semi Condensed" w:eastAsia="Barlow Semi Condensed" w:hAnsi="Barlow Semi Condensed"/>
          <w:sz w:val="24"/>
          <w:szCs w:val="24"/>
        </w:rPr>
        <w:t xml:space="preserve"> Chi ha sostenuto pubblicamente una tesi sul caso può servire i cantieri solo su atti capaci di smentirla, stabilisce il blocco 27. La norma è tagliata su misura per questa materia. Chi ha scritto dell'eterodirezione atlantica lavori sulle schede dei telegrammi trattenuti e sui registri di protocollo, che possono contraddirlo; chi ha scritto dell'irrilevanza del versante estero lavori sulle serie che potrebbero smentire lui.</w:t>
      </w:r>
    </w:p>
    <w:p>
      <w:pPr>
        <w:spacing w:after="120" w:line="276"/>
        <w:jc w:val="both"/>
      </w:pPr>
      <w:r>
        <w:rPr>
          <w:rFonts w:ascii="Barlow Semi Condensed" w:cs="Barlow Semi Condensed" w:eastAsia="Barlow Semi Condensed" w:hAnsi="Barlow Semi Condensed"/>
          <w:b/>
          <w:bCs/>
          <w:sz w:val="24"/>
          <w:szCs w:val="24"/>
        </w:rPr>
        <w:t xml:space="preserve">3253 · Nessuna pista intestata a un nome.</w:t>
      </w:r>
      <w:r>
        <w:rPr>
          <w:rFonts w:ascii="Barlow Semi Condensed" w:cs="Barlow Semi Condensed" w:eastAsia="Barlow Semi Condensed" w:hAnsi="Barlow Semi Condensed"/>
          <w:sz w:val="24"/>
          <w:szCs w:val="24"/>
        </w:rPr>
        <w:t xml:space="preserve"> Il registro delle piste del blocco 29 censisce stato, punteggio, atti compiuti e criterio di chiusura. Nel programma investigativo del corpus le sei schede di entità vanno da PE-1 a PE-6, e nessuna è intestata a una persona straniera: PE-5 riguarda il traffico di cablo dei cinquantacinque giorni ed è impersonale per costruzione. È un accertamento sul territorio, non una lacuna da colmare.</w:t>
      </w:r>
    </w:p>
    <w:p>
      <w:pPr>
        <w:spacing w:after="120" w:line="276"/>
        <w:jc w:val="both"/>
      </w:pPr>
      <w:r>
        <w:rPr>
          <w:rFonts w:ascii="Barlow Semi Condensed" w:cs="Barlow Semi Condensed" w:eastAsia="Barlow Semi Condensed" w:hAnsi="Barlow Semi Condensed"/>
          <w:b/>
          <w:bCs/>
          <w:sz w:val="24"/>
          <w:szCs w:val="24"/>
        </w:rPr>
        <w:t xml:space="preserve">3254 · Verbalizzare anche il nulla risulta.</w:t>
      </w:r>
      <w:r>
        <w:rPr>
          <w:rFonts w:ascii="Barlow Semi Condensed" w:cs="Barlow Semi Condensed" w:eastAsia="Barlow Semi Condensed" w:hAnsi="Barlow Semi Condensed"/>
          <w:sz w:val="24"/>
          <w:szCs w:val="24"/>
        </w:rPr>
        <w:t xml:space="preserve"> La verbalizzazione totale del blocco 33 comprende la telefonata all'archivio che risponde di non avere nulla. Applicata qui, obbliga a mettere a registro ogni risposta negativa: quella dell'archivio presidenziale di Ann Arbor sulle carte italiane del 1974, quella dei fondi personali sul 1978, quella della Farnesina sulle serie novecentesche. Un fascicolo di dinieghi scritti è il prodotto minimo garantito di questa triangolazione.</w:t>
      </w:r>
    </w:p>
    <w:p>
      <w:pPr>
        <w:spacing w:after="120" w:line="276"/>
        <w:jc w:val="both"/>
      </w:pPr>
      <w:r>
        <w:rPr>
          <w:rFonts w:ascii="Barlow Semi Condensed" w:cs="Barlow Semi Condensed" w:eastAsia="Barlow Semi Condensed" w:hAnsi="Barlow Semi Condensed"/>
          <w:b/>
          <w:bCs/>
          <w:sz w:val="24"/>
          <w:szCs w:val="24"/>
        </w:rPr>
        <w:t xml:space="preserve">3255 · FRUS non è una segnatura.</w:t>
      </w:r>
      <w:r>
        <w:rPr>
          <w:rFonts w:ascii="Barlow Semi Condensed" w:cs="Barlow Semi Condensed" w:eastAsia="Barlow Semi Condensed" w:hAnsi="Barlow Semi Condensed"/>
          <w:sz w:val="24"/>
          <w:szCs w:val="24"/>
        </w:rPr>
        <w:t xml:space="preserve"> Un protocollo unico di citazione, fondo e busta e fascicolo e carta, è imposto dal blocco 34. Ne discende una correzione utile a tutta la pubblicistica sull'episodio del 1974: la sigla di una raccolta a stampa non è una segnatura. La segnatura del verbale è il file 1552802 della Ford Library; l'edizione FRUS ne è la pubblicazione, con la sua storia editoriale e la sua seconda edizione riveduta.</w:t>
      </w:r>
    </w:p>
    <w:p>
      <w:pPr>
        <w:spacing w:after="120" w:line="276"/>
        <w:jc w:val="both"/>
      </w:pPr>
      <w:r>
        <w:rPr>
          <w:rFonts w:ascii="Barlow Semi Condensed" w:cs="Barlow Semi Condensed" w:eastAsia="Barlow Semi Condensed" w:hAnsi="Barlow Semi Condensed"/>
          <w:b/>
          <w:bCs/>
          <w:sz w:val="24"/>
          <w:szCs w:val="24"/>
        </w:rPr>
        <w:t xml:space="preserve">3256 · Un lancio, non una moltiplicazione.</w:t>
      </w:r>
      <w:r>
        <w:rPr>
          <w:rFonts w:ascii="Barlow Semi Condensed" w:cs="Barlow Semi Condensed" w:eastAsia="Barlow Semi Condensed" w:hAnsi="Barlow Semi Condensed"/>
          <w:sz w:val="24"/>
          <w:szCs w:val="24"/>
        </w:rPr>
        <w:t xml:space="preserve"> Ogni comunicazione pubblica dichiara in una riga il grado di ciò che annuncia, pretende il blocco 38, e i titoli non sono atti. La regola vale a ritroso sull'episodio: la fioritura di articoli del dicembre 2023 risale a un unico lancio d'agenzia del 30 novembre 2023. La replicazione moltiplica le occorrenze, non il valore probatorio, e va contata come una sola fonte.</w:t>
      </w:r>
    </w:p>
    <w:p>
      <w:pPr>
        <w:spacing w:after="120" w:line="276"/>
        <w:jc w:val="both"/>
      </w:pPr>
      <w:r>
        <w:rPr>
          <w:rFonts w:ascii="Barlow Semi Condensed" w:cs="Barlow Semi Condensed" w:eastAsia="Barlow Semi Condensed" w:hAnsi="Barlow Semi Condensed"/>
          <w:b/>
          <w:bCs/>
          <w:sz w:val="24"/>
          <w:szCs w:val="24"/>
        </w:rPr>
        <w:t xml:space="preserve">3257 · La lente non entra nei cantieri.</w:t>
      </w:r>
      <w:r>
        <w:rPr>
          <w:rFonts w:ascii="Barlow Semi Condensed" w:cs="Barlow Semi Condensed" w:eastAsia="Barlow Semi Condensed" w:hAnsi="Barlow Semi Condensed"/>
          <w:sz w:val="24"/>
          <w:szCs w:val="24"/>
        </w:rPr>
        <w:t xml:space="preserve"> Fuori dai cantieri restano l'edizione probabilistica dell'autore e le sue graduatorie, per il blocco 42. La stessa quarantena vale per l'opera in cui questa serie sta: la chiave dichiarata dal committente, un nome letto come metafora della genetica, è una lente di lettura e non un titolo d'ingresso agli atti. Nei cantieri entrano segnature, non metafore, e questa serie produce soltanto bersagli.</w:t>
      </w:r>
    </w:p>
    <w:p>
      <w:pPr>
        <w:spacing w:after="120" w:line="276"/>
        <w:jc w:val="both"/>
      </w:pPr>
      <w:r>
        <w:rPr>
          <w:rFonts w:ascii="Barlow Semi Condensed" w:cs="Barlow Semi Condensed" w:eastAsia="Barlow Semi Condensed" w:hAnsi="Barlow Semi Condensed"/>
          <w:b/>
          <w:bCs/>
          <w:sz w:val="24"/>
          <w:szCs w:val="24"/>
        </w:rPr>
        <w:t xml:space="preserve">3258 · Nessun nome evocato senza necessità.</w:t>
      </w:r>
      <w:r>
        <w:rPr>
          <w:rFonts w:ascii="Barlow Semi Condensed" w:cs="Barlow Semi Condensed" w:eastAsia="Barlow Semi Condensed" w:hAnsi="Barlow Semi Condensed"/>
          <w:sz w:val="24"/>
          <w:szCs w:val="24"/>
        </w:rPr>
        <w:t xml:space="preserve"> Prosa piana, termini spiegati alla prima occorrenza, nessun nome evocato senza necessità: il blocco 43 vuole atti leggibili fra cinquant'anni senza glossario dietrologico. È la regola che governa l'uso stesso di questo nome, il quale compare in un atto del nuovo caso soltanto se una carta lo contiene, e nella misura in cui la carta lo contiene. L'evocazione atmosferica è vietata quanto l'accusa.</w:t>
      </w:r>
    </w:p>
    <w:p>
      <w:pPr>
        <w:spacing w:after="120" w:line="276"/>
        <w:jc w:val="both"/>
      </w:pPr>
      <w:r>
        <w:rPr>
          <w:rFonts w:ascii="Barlow Semi Condensed" w:cs="Barlow Semi Condensed" w:eastAsia="Barlow Semi Condensed" w:hAnsi="Barlow Semi Condensed"/>
          <w:b/>
          <w:bCs/>
          <w:sz w:val="24"/>
          <w:szCs w:val="24"/>
        </w:rPr>
        <w:t xml:space="preserve">3259 · Il garante e l'atto da sospendere.</w:t>
      </w:r>
      <w:r>
        <w:rPr>
          <w:rFonts w:ascii="Barlow Semi Condensed" w:cs="Barlow Semi Condensed" w:eastAsia="Barlow Semi Condensed" w:hAnsi="Barlow Semi Condensed"/>
          <w:sz w:val="24"/>
          <w:szCs w:val="24"/>
        </w:rPr>
        <w:t xml:space="preserve"> A ogni cantiere il blocco 45 assegna un garante interno col potere di sospendere l'atto che violi la serie prima, con rimostranze scritte e pubbliche. Questa materia è il campo d'esercizio naturale di quel potere: l'istanza che chieda a un archivio di confermare un ruolo, invece di chiedere l'esistenza di una carta determinata, va sospesa e riscritta prima della spedizione.</w:t>
      </w:r>
    </w:p>
    <w:p>
      <w:pPr>
        <w:spacing w:after="120" w:line="276"/>
        <w:jc w:val="both"/>
      </w:pPr>
      <w:r>
        <w:rPr>
          <w:rFonts w:ascii="Barlow Semi Condensed" w:cs="Barlow Semi Condensed" w:eastAsia="Barlow Semi Condensed" w:hAnsi="Barlow Semi Condensed"/>
          <w:b/>
          <w:bCs/>
          <w:sz w:val="24"/>
          <w:szCs w:val="24"/>
        </w:rPr>
        <w:t xml:space="preserve">3260 · L'inventario dei reperti e il nulla.</w:t>
      </w:r>
      <w:r>
        <w:rPr>
          <w:rFonts w:ascii="Barlow Semi Condensed" w:cs="Barlow Semi Condensed" w:eastAsia="Barlow Semi Condensed" w:hAnsi="Barlow Semi Condensed"/>
          <w:sz w:val="24"/>
          <w:szCs w:val="24"/>
        </w:rPr>
        <w:t xml:space="preserve"> Prima di ogni perizia viene l'inventario unificato di tutti i reperti ancora esistenti, comanda il blocco 46. Su questo nome l'inventario restituirebbe una casella vuota, perché nessun reperto del caso ha provenienza dichiarata da un ufficio straniero. Lo Stato Zero si chiude, se mai, negli elenchi dei reperti allegati ai cinque fascicoli processuali e nei registri dei depositi giudiziari romani, che vanno interrogati e non presunti.</w:t>
      </w:r>
    </w:p>
    <w:p>
      <w:pPr>
        <w:spacing w:after="120" w:line="276"/>
        <w:jc w:val="both"/>
      </w:pPr>
      <w:r>
        <w:rPr>
          <w:rFonts w:ascii="Barlow Semi Condensed" w:cs="Barlow Semi Condensed" w:eastAsia="Barlow Semi Condensed" w:hAnsi="Barlow Semi Condensed"/>
          <w:b/>
          <w:bCs/>
          <w:sz w:val="24"/>
          <w:szCs w:val="24"/>
        </w:rPr>
        <w:t xml:space="preserve">3261 · Il limite del quesito tecnico.</w:t>
      </w:r>
      <w:r>
        <w:rPr>
          <w:rFonts w:ascii="Barlow Semi Condensed" w:cs="Barlow Semi Condensed" w:eastAsia="Barlow Semi Condensed" w:hAnsi="Barlow Semi Condensed"/>
          <w:sz w:val="24"/>
          <w:szCs w:val="24"/>
        </w:rPr>
        <w:t xml:space="preserve"> Nessun reperto si analizza per vedere cosa esce, vieta il blocco 49, perché ogni esame discende da una matrice. Ne segue un limite strutturale da dichiarare: nessuna analisi dei novantuno bossoli, del caricatore di via Stresa o dei profili genetici del 2016 può falsificare o corroborare un'ipotesi su un decisore straniero. La scienza forense risponde a domande sulle cose, non sulle intenzioni.</w:t>
      </w:r>
    </w:p>
    <w:p>
      <w:pPr>
        <w:spacing w:after="120" w:line="276"/>
        <w:jc w:val="both"/>
      </w:pPr>
      <w:r>
        <w:rPr>
          <w:rFonts w:ascii="Barlow Semi Condensed" w:cs="Barlow Semi Condensed" w:eastAsia="Barlow Semi Condensed" w:hAnsi="Barlow Semi Condensed"/>
          <w:b/>
          <w:bCs/>
          <w:sz w:val="24"/>
          <w:szCs w:val="24"/>
        </w:rPr>
        <w:t xml:space="preserve">3262 · La sola porta merceologica.</w:t>
      </w:r>
      <w:r>
        <w:rPr>
          <w:rFonts w:ascii="Barlow Semi Condensed" w:cs="Barlow Semi Condensed" w:eastAsia="Barlow Semi Condensed" w:hAnsi="Barlow Semi Condensed"/>
          <w:sz w:val="24"/>
          <w:szCs w:val="24"/>
        </w:rPr>
        <w:t xml:space="preserve"> Munizioni, vernici, fibre e carte: il perimetro merceologico del blocco 81 apre l'unico varco per cui una traccia estera potrebbe entrare nel cantiere dei reperti, grazie a banche dati capaci di attribuzioni di lotto o d'epoca impossibili nel 1978. Quel varco produce attribuzioni di provenienza materiale, mai di volontà: un lotto di munizioni fabbricato altrove non nomina nessuno e non va fatto parlare.</w:t>
      </w:r>
    </w:p>
    <w:p>
      <w:pPr>
        <w:spacing w:after="120" w:line="276"/>
        <w:jc w:val="both"/>
      </w:pPr>
      <w:r>
        <w:rPr>
          <w:rFonts w:ascii="Barlow Semi Condensed" w:cs="Barlow Semi Condensed" w:eastAsia="Barlow Semi Condensed" w:hAnsi="Barlow Semi Condensed"/>
          <w:b/>
          <w:bCs/>
          <w:sz w:val="24"/>
          <w:szCs w:val="24"/>
        </w:rPr>
        <w:t xml:space="preserve">3263 · Il profilo ignoto resta ignoto.</w:t>
      </w:r>
      <w:r>
        <w:rPr>
          <w:rFonts w:ascii="Barlow Semi Condensed" w:cs="Barlow Semi Condensed" w:eastAsia="Barlow Semi Condensed" w:hAnsi="Barlow Semi Condensed"/>
          <w:sz w:val="24"/>
          <w:szCs w:val="24"/>
        </w:rPr>
        <w:t xml:space="preserve"> I profili genetici estratti nel 2016 sono custoditi dai blocchi 59 e 60, che prescrivono di dichiarare come fatto, e non come fantasma, ogni residuo non identificato. La disciplina impedisce l'operazione qui più tentante, cioè attribuire un profilo ignoto a un apparato estero per via di plausibilità. Solo una comparazione autorizzata dal giudice sposta quel dato; fino ad allora resta un numero in banca.</w:t>
      </w:r>
    </w:p>
    <w:p>
      <w:pPr>
        <w:spacing w:after="120" w:line="276"/>
        <w:jc w:val="both"/>
      </w:pPr>
      <w:r>
        <w:rPr>
          <w:rFonts w:ascii="Barlow Semi Condensed" w:cs="Barlow Semi Condensed" w:eastAsia="Barlow Semi Condensed" w:hAnsi="Barlow Semi Condensed"/>
          <w:b/>
          <w:bCs/>
          <w:sz w:val="24"/>
          <w:szCs w:val="24"/>
        </w:rPr>
        <w:t xml:space="preserve">3264 · L'officina del falso non ha nazionalità.</w:t>
      </w:r>
      <w:r>
        <w:rPr>
          <w:rFonts w:ascii="Barlow Semi Condensed" w:cs="Barlow Semi Condensed" w:eastAsia="Barlow Semi Condensed" w:hAnsi="Barlow Semi Condensed"/>
          <w:sz w:val="24"/>
          <w:szCs w:val="24"/>
        </w:rPr>
        <w:t xml:space="preserve"> Carta, macchina di scrittura, lessico: con questi tre esami il blocco 65 interroga di nuovo il falso comunicato del lago della Duchessa. La perizia può attribuire un'officina di produzione; non può nominare un committente lontano. Vale l'avvertenza del blocco 194, che lo dice il reperto più maneggiato e meno periziato del caso: usarlo come jolly di una tesi internazionale lo consuma senza accertare nulla.</w:t>
      </w:r>
    </w:p>
    <w:p>
      <w:pPr>
        <w:spacing w:after="120" w:line="276"/>
        <w:jc w:val="both"/>
      </w:pPr>
      <w:r>
        <w:rPr>
          <w:rFonts w:ascii="Barlow Semi Condensed" w:cs="Barlow Semi Condensed" w:eastAsia="Barlow Semi Condensed" w:hAnsi="Barlow Semi Condensed"/>
          <w:b/>
          <w:bCs/>
          <w:sz w:val="24"/>
          <w:szCs w:val="24"/>
        </w:rPr>
        <w:t xml:space="preserve">3265 · Rassegna stampa contro intelligence.</w:t>
      </w:r>
      <w:r>
        <w:rPr>
          <w:rFonts w:ascii="Barlow Semi Condensed" w:cs="Barlow Semi Condensed" w:eastAsia="Barlow Semi Condensed" w:hAnsi="Barlow Semi Condensed"/>
          <w:sz w:val="24"/>
          <w:szCs w:val="24"/>
        </w:rPr>
        <w:t xml:space="preserve"> Registrazioni radio, filmati d'epoca e fotografie d'agenzia sono reperti a pieno titolo per il blocco 78. Incrociandolo con la disciplina che l'agenda di ricerca fissa al blocco 132 per la sala di lettura di Langley, si ottiene la regola necessaria qui: un documento estero che riporti dichiarazioni pubbliche è rassegna, non informativa. Marcare ciascun reperto per quello che è previene metà degli equivoci.</w:t>
      </w:r>
    </w:p>
    <w:p>
      <w:pPr>
        <w:spacing w:after="120" w:line="276"/>
        <w:jc w:val="both"/>
      </w:pPr>
      <w:r>
        <w:rPr>
          <w:rFonts w:ascii="Barlow Semi Condensed" w:cs="Barlow Semi Condensed" w:eastAsia="Barlow Semi Condensed" w:hAnsi="Barlow Semi Condensed"/>
          <w:b/>
          <w:bCs/>
          <w:sz w:val="24"/>
          <w:szCs w:val="24"/>
        </w:rPr>
        <w:t xml:space="preserve">3266 · Indecidibile non è lo stesso di inesistente.</w:t>
      </w:r>
      <w:r>
        <w:rPr>
          <w:rFonts w:ascii="Barlow Semi Condensed" w:cs="Barlow Semi Condensed" w:eastAsia="Barlow Semi Condensed" w:hAnsi="Barlow Semi Condensed"/>
          <w:sz w:val="24"/>
          <w:szCs w:val="24"/>
        </w:rPr>
        <w:t xml:space="preserve"> L'indecidibilità è esito nobile per il blocco 75, da verbalizzare con le sue ragioni tecniche e un criterio di riapertura scritto. Serve però una distinzione che questa serie tiene ferma: sul versante dei reperti la questione internazionale non è indecisa, è non posta. Una domanda che nessun reperto potrebbe mai discriminare non produce indecidibilità: esce dal cantiere della scienza e passa a quello delle carte.</w:t>
      </w:r>
    </w:p>
    <w:p>
      <w:pPr>
        <w:spacing w:after="120" w:line="276"/>
        <w:jc w:val="both"/>
      </w:pPr>
      <w:r>
        <w:rPr>
          <w:rFonts w:ascii="Barlow Semi Condensed" w:cs="Barlow Semi Condensed" w:eastAsia="Barlow Semi Condensed" w:hAnsi="Barlow Semi Condensed"/>
          <w:b/>
          <w:bCs/>
          <w:sz w:val="24"/>
          <w:szCs w:val="24"/>
        </w:rPr>
        <w:t xml:space="preserve">3267 · Gli esami chiesti e mai eseguiti.</w:t>
      </w:r>
      <w:r>
        <w:rPr>
          <w:rFonts w:ascii="Barlow Semi Condensed" w:cs="Barlow Semi Condensed" w:eastAsia="Barlow Semi Condensed" w:hAnsi="Barlow Semi Condensed"/>
          <w:sz w:val="24"/>
          <w:szCs w:val="24"/>
        </w:rPr>
        <w:t xml:space="preserve"> Dai fascicoli processuali si estrae l'elenco degli esami richiesti e mai eseguiti, o eseguiti e mai depositati: lo prescrive il blocco 82. Bersaglio derivato, con sede: verificare se in quell'elenco figuri un solo accertamento riguardante materiali, tracce o documenti di provenienza estera. L'esito atteso è negativo, e andrebbe verbalizzato come tale nelle cancellerie dei cinque processi, dove l'elenco si compila.</w:t>
      </w:r>
    </w:p>
    <w:p>
      <w:pPr>
        <w:spacing w:after="120" w:line="276"/>
        <w:jc w:val="both"/>
      </w:pPr>
      <w:r>
        <w:rPr>
          <w:rFonts w:ascii="Barlow Semi Condensed" w:cs="Barlow Semi Condensed" w:eastAsia="Barlow Semi Condensed" w:hAnsi="Barlow Semi Condensed"/>
          <w:b/>
          <w:bCs/>
          <w:sz w:val="24"/>
          <w:szCs w:val="24"/>
        </w:rPr>
        <w:t xml:space="preserve">3268 · Due porte nella mappa dei fondi.</w:t>
      </w:r>
      <w:r>
        <w:rPr>
          <w:rFonts w:ascii="Barlow Semi Condensed" w:cs="Barlow Semi Condensed" w:eastAsia="Barlow Semi Condensed" w:hAnsi="Barlow Semi Condensed"/>
          <w:sz w:val="24"/>
          <w:szCs w:val="24"/>
        </w:rPr>
        <w:t xml:space="preserve"> La mappa unificata dei giacimenti, al blocco 91, include NARA e le FOIA americane accanto ai fondi italiani. Sono le due sole porte per cui questo nome potrebbe entrare nel territorio, e nessuna delle due è intestata a una persona: si aprono per serie, per data e per ufficio produttore. Chi bussa con un cognome ottiene, nel migliore dei casi, una risposta interlocutoria.</w:t>
      </w:r>
    </w:p>
    <w:p>
      <w:pPr>
        <w:spacing w:after="120" w:line="276"/>
        <w:jc w:val="both"/>
      </w:pPr>
      <w:r>
        <w:rPr>
          <w:rFonts w:ascii="Barlow Semi Condensed" w:cs="Barlow Semi Condensed" w:eastAsia="Barlow Semi Condensed" w:hAnsi="Barlow Semi Condensed"/>
          <w:b/>
          <w:bCs/>
          <w:sz w:val="24"/>
          <w:szCs w:val="24"/>
        </w:rPr>
        <w:t xml:space="preserve">3269 · Una chiave estera per il fondo Renzi.</w:t>
      </w:r>
      <w:r>
        <w:rPr>
          <w:rFonts w:ascii="Barlow Semi Condensed" w:cs="Barlow Semi Condensed" w:eastAsia="Barlow Semi Condensed" w:hAnsi="Barlow Semi Condensed"/>
          <w:sz w:val="24"/>
          <w:szCs w:val="24"/>
        </w:rPr>
        <w:t xml:space="preserve"> Via Fani, Gradoli, Montalcini, la Duchessa, i comitati, le segnalazioni, il memoriale, i nomi del giudicato, le date cardine: le chiavi minime del blocco 93 non contengono alcuna chiave estera. Proposta operativa per il responsabile scientifico dello spoglio: aggiungerne una dichiarata per le carte di rapporto con gli alleati, con criterio di scarto scritto, così che anche l'assenza diventi misurabile e pubblicabile.</w:t>
      </w:r>
    </w:p>
    <w:p>
      <w:pPr>
        <w:spacing w:after="120" w:line="276"/>
        <w:jc w:val="both"/>
      </w:pPr>
      <w:r>
        <w:rPr>
          <w:rFonts w:ascii="Barlow Semi Condensed" w:cs="Barlow Semi Condensed" w:eastAsia="Barlow Semi Condensed" w:hAnsi="Barlow Semi Condensed"/>
          <w:b/>
          <w:bCs/>
          <w:sz w:val="24"/>
          <w:szCs w:val="24"/>
        </w:rPr>
        <w:t xml:space="preserve">3270 · Come si compila la scheda.</w:t>
      </w:r>
      <w:r>
        <w:rPr>
          <w:rFonts w:ascii="Barlow Semi Condensed" w:cs="Barlow Semi Condensed" w:eastAsia="Barlow Semi Condensed" w:hAnsi="Barlow Semi Condensed"/>
          <w:sz w:val="24"/>
          <w:szCs w:val="24"/>
        </w:rPr>
        <w:t xml:space="preserve"> Segnatura, data, ufficio produttore, contenuto in tre righe, grado, piste alimentate: sono i campi della scheda di rinvenimento del blocco 95. Per un eventuale documento che nomini il nostro nome la compilazione richiede una cautela in più, perché il campo del grado registra il piano del rapporto. Un documento che citi una posizione politica generale alimenta il piano due, non il piano uno.</w:t>
      </w:r>
    </w:p>
    <w:p>
      <w:pPr>
        <w:spacing w:after="120" w:line="276"/>
        <w:jc w:val="both"/>
      </w:pPr>
      <w:r>
        <w:rPr>
          <w:rFonts w:ascii="Barlow Semi Condensed" w:cs="Barlow Semi Condensed" w:eastAsia="Barlow Semi Condensed" w:hAnsi="Barlow Semi Condensed"/>
          <w:b/>
          <w:bCs/>
          <w:sz w:val="24"/>
          <w:szCs w:val="24"/>
        </w:rPr>
        <w:t xml:space="preserve">3271 · Il verbale italiano del 25 settembre.</w:t>
      </w:r>
      <w:r>
        <w:rPr>
          <w:rFonts w:ascii="Barlow Semi Condensed" w:cs="Barlow Semi Condensed" w:eastAsia="Barlow Semi Condensed" w:hAnsi="Barlow Semi Condensed"/>
          <w:sz w:val="24"/>
          <w:szCs w:val="24"/>
        </w:rPr>
        <w:t xml:space="preserve"> Una scheda di assenza si apre per ogni documento dovuto e non rinvenuto, secondo il blocco 96. Se ne apre qui una, precisa: la controparte italiana del colloquio dello Studio Ovale del 25 settembre 1974, cioè l'appunto o il telespresso redatto da chi vi partecipò. Sedi che la chiuderebbero: l'Archivio storico diplomatico della Farnesina, serie dell'ambasciata a Washington, e le carte presidenziali di Leone.</w:t>
      </w:r>
    </w:p>
    <w:p>
      <w:pPr>
        <w:spacing w:after="120" w:line="276"/>
        <w:jc w:val="both"/>
      </w:pPr>
      <w:r>
        <w:rPr>
          <w:rFonts w:ascii="Barlow Semi Condensed" w:cs="Barlow Semi Condensed" w:eastAsia="Barlow Semi Condensed" w:hAnsi="Barlow Semi Condensed"/>
          <w:b/>
          <w:bCs/>
          <w:sz w:val="24"/>
          <w:szCs w:val="24"/>
        </w:rPr>
        <w:t xml:space="preserve">3272 · Il verbale d'udienza del novembre 1982 (serie XLIII).</w:t>
      </w:r>
      <w:r>
        <w:rPr>
          <w:rFonts w:ascii="Barlow Semi Condensed" w:cs="Barlow Semi Condensed" w:eastAsia="Barlow Semi Condensed" w:hAnsi="Barlow Semi Condensed"/>
          <w:sz w:val="24"/>
          <w:szCs w:val="24"/>
        </w:rPr>
        <w:t xml:space="preserve"> I cinque processi sono fondo primario per il blocco 97, e l'autorizzazione si chiede una volta sola per un piano organico. Il bersaglio di piano uno più economico di tutta questa serie sta lì: la trascrizione integrale dell'udienza della Corte d'assise di Roma in cui la testimonianza sull'avvertimento fu resa, con segnatura, data esatta e domande dell'aula. Nessuna pubblicazione l'ha finora citata per segnatura.</w:t>
      </w:r>
    </w:p>
    <w:p>
      <w:pPr>
        <w:spacing w:after="120" w:line="276"/>
        <w:jc w:val="both"/>
      </w:pPr>
      <w:r>
        <w:rPr>
          <w:rFonts w:ascii="Barlow Semi Condensed" w:cs="Barlow Semi Condensed" w:eastAsia="Barlow Semi Condensed" w:hAnsi="Barlow Semi Condensed"/>
          <w:b/>
          <w:bCs/>
          <w:sz w:val="24"/>
          <w:szCs w:val="24"/>
        </w:rPr>
        <w:t xml:space="preserve">3273 · Contare le occorrenze negli atti parlamentari.</w:t>
      </w:r>
      <w:r>
        <w:rPr>
          <w:rFonts w:ascii="Barlow Semi Condensed" w:cs="Barlow Semi Condensed" w:eastAsia="Barlow Semi Condensed" w:hAnsi="Barlow Semi Condensed"/>
          <w:sz w:val="24"/>
          <w:szCs w:val="24"/>
        </w:rPr>
        <w:t xml:space="preserve"> Moro 1, Stragi, Mitrokhin, Moro 2, Anselmi: il blocco 98 ne indicizza gli atti con le chiavi del blocco 93, comprese le audizioni via via declassificate. Bersaglio enumerativo da eseguire e pubblicare: quante volte il cognome ricorre in quel patrimonio, in quali sedute, in bocca a chi e con quale formulazione. Il risultato è una tavola, non una tesi, qualunque cifra restituisca.</w:t>
      </w:r>
    </w:p>
    <w:p>
      <w:pPr>
        <w:spacing w:after="120" w:line="276"/>
        <w:jc w:val="both"/>
      </w:pPr>
      <w:r>
        <w:rPr>
          <w:rFonts w:ascii="Barlow Semi Condensed" w:cs="Barlow Semi Condensed" w:eastAsia="Barlow Semi Condensed" w:hAnsi="Barlow Semi Condensed"/>
          <w:b/>
          <w:bCs/>
          <w:sz w:val="24"/>
          <w:szCs w:val="24"/>
        </w:rPr>
        <w:t xml:space="preserve">3274 · Il fondo autonomo del Senato.</w:t>
      </w:r>
      <w:r>
        <w:rPr>
          <w:rFonts w:ascii="Barlow Semi Condensed" w:cs="Barlow Semi Condensed" w:eastAsia="Barlow Semi Condensed" w:hAnsi="Barlow Semi Condensed"/>
          <w:sz w:val="24"/>
          <w:szCs w:val="24"/>
        </w:rPr>
        <w:t xml:space="preserve"> Il desecretato dell'Archivio storico del Senato è fondo autonomo con proprio spoglio per il blocco 99, ponte fra il piano parlamentare e quello giudiziario. Vi si porta lo stesso quesito enumerativo del blocco precedente, con una differenza che conta: qui possono trovarsi audizioni secretate e poi declassificate, dove una domanda sull'episodio del 1974 sarebbe stata posta senza la cautela pubblica. Sede da interrogare per prima.</w:t>
      </w:r>
    </w:p>
    <w:p>
      <w:pPr>
        <w:spacing w:after="120" w:line="276"/>
        <w:jc w:val="both"/>
      </w:pPr>
      <w:r>
        <w:rPr>
          <w:rFonts w:ascii="Barlow Semi Condensed" w:cs="Barlow Semi Condensed" w:eastAsia="Barlow Semi Condensed" w:hAnsi="Barlow Semi Condensed"/>
          <w:b/>
          <w:bCs/>
          <w:sz w:val="24"/>
          <w:szCs w:val="24"/>
        </w:rPr>
        <w:t xml:space="preserve">3275 · La finestra 1978 interrogata.</w:t>
      </w:r>
      <w:r>
        <w:rPr>
          <w:rFonts w:ascii="Barlow Semi Condensed" w:cs="Barlow Semi Condensed" w:eastAsia="Barlow Semi Condensed" w:hAnsi="Barlow Semi Condensed"/>
          <w:sz w:val="24"/>
          <w:szCs w:val="24"/>
        </w:rPr>
        <w:t xml:space="preserve"> Per TAGS e per la chiave MORO, sulla finestra 16 marzo - 31 dicembre 1978, il blocco 115 prescrive di interrogare l'Access to Archival Databases. L'aspettativa dichiarata, essendo il nostro nome fuori da ogni carica dal gennaio 1977, è che le occorrenze siano assenti o di sola rassegna. Ciò che sorprenderebbe, e andrebbe subito schedato, è un telegramma operativo che lo indichi come destinatario.</w:t>
      </w:r>
    </w:p>
    <w:p>
      <w:pPr>
        <w:spacing w:after="120" w:line="276"/>
        <w:jc w:val="both"/>
      </w:pPr>
      <w:r>
        <w:rPr>
          <w:rFonts w:ascii="Barlow Semi Condensed" w:cs="Barlow Semi Condensed" w:eastAsia="Barlow Semi Condensed" w:hAnsi="Barlow Semi Condensed"/>
          <w:b/>
          <w:bCs/>
          <w:sz w:val="24"/>
          <w:szCs w:val="24"/>
        </w:rPr>
        <w:t xml:space="preserve">3276 · Che cosa attesta una scheda di ritiro (serie XLIII).</w:t>
      </w:r>
      <w:r>
        <w:rPr>
          <w:rFonts w:ascii="Barlow Semi Condensed" w:cs="Barlow Semi Condensed" w:eastAsia="Barlow Semi Condensed" w:hAnsi="Barlow Semi Condensed"/>
          <w:sz w:val="24"/>
          <w:szCs w:val="24"/>
        </w:rPr>
        <w:t xml:space="preserve"> Le schede dei telegrammi trattenuti del 1978 si scaricano e si schedano una per una, chiede il blocco 116, ricavandone la tavola del chiuso. La regola di lettura che ne discende va scritta perché è continuamente violata: la scheda attesta l'esistenza di un atto, la sua data e la sua provenienza, e non dice nulla del contenuto. Un ritiro non è una prova, e nemmeno un indizio.</w:t>
      </w:r>
    </w:p>
    <w:p>
      <w:pPr>
        <w:spacing w:after="120" w:line="276"/>
        <w:jc w:val="both"/>
      </w:pPr>
      <w:r>
        <w:rPr>
          <w:rFonts w:ascii="Barlow Semi Condensed" w:cs="Barlow Semi Condensed" w:eastAsia="Barlow Semi Condensed" w:hAnsi="Barlow Semi Condensed"/>
          <w:b/>
          <w:bCs/>
          <w:sz w:val="24"/>
          <w:szCs w:val="24"/>
        </w:rPr>
        <w:t xml:space="preserve">3277 · Il lotto che il corpus già possiede.</w:t>
      </w:r>
      <w:r>
        <w:rPr>
          <w:rFonts w:ascii="Barlow Semi Condensed" w:cs="Barlow Semi Condensed" w:eastAsia="Barlow Semi Condensed" w:hAnsi="Barlow Semi Condensed"/>
          <w:sz w:val="24"/>
          <w:szCs w:val="24"/>
        </w:rPr>
        <w:t xml:space="preserve"> L'atto più economico dell'intera serie quarta è, per il blocco 117, la richiesta del fascicolo integrale R-2021-002xx, con la divergenza di lettura fra 00202 e 00208 dichiarata nell'istanza e i numeri di controllo B-00001939965 e seguenti. Prima ancora di chiedere si può verificare, perché quel lotto è già nel corpus: contare al suo interno le occorrenze del nostro nome è lavoro di un'ora.</w:t>
      </w:r>
    </w:p>
    <w:p>
      <w:pPr>
        <w:spacing w:after="120" w:line="276"/>
        <w:jc w:val="both"/>
      </w:pPr>
      <w:r>
        <w:rPr>
          <w:rFonts w:ascii="Barlow Semi Condensed" w:cs="Barlow Semi Condensed" w:eastAsia="Barlow Semi Condensed" w:hAnsi="Barlow Semi Condensed"/>
          <w:b/>
          <w:bCs/>
          <w:sz w:val="24"/>
          <w:szCs w:val="24"/>
        </w:rPr>
        <w:t xml:space="preserve">3278 · Una FOIA intestata a un cognome.</w:t>
      </w:r>
      <w:r>
        <w:rPr>
          <w:rFonts w:ascii="Barlow Semi Condensed" w:cs="Barlow Semi Condensed" w:eastAsia="Barlow Semi Condensed" w:hAnsi="Barlow Semi Condensed"/>
          <w:sz w:val="24"/>
          <w:szCs w:val="24"/>
        </w:rPr>
        <w:t xml:space="preserve"> Richieste puntuali, motivate e numerate sono le sole che in regime FOIA convergano, avverte il blocco 118. Ne discende una regola di redazione: l'istanza che chieda tutti i documenti relativi a una persona è la peggio formata di tutte, perché non individua una serie e legittima il diniego per genericità. Le richieste utili nominano serie, date, uffici e i numeri delle schede di ritiro.</w:t>
      </w:r>
    </w:p>
    <w:p>
      <w:pPr>
        <w:spacing w:after="120" w:line="276"/>
        <w:jc w:val="both"/>
      </w:pPr>
      <w:r>
        <w:rPr>
          <w:rFonts w:ascii="Barlow Semi Condensed" w:cs="Barlow Semi Condensed" w:eastAsia="Barlow Semi Condensed" w:hAnsi="Barlow Semi Condensed"/>
          <w:b/>
          <w:bCs/>
          <w:sz w:val="24"/>
          <w:szCs w:val="24"/>
        </w:rPr>
        <w:t xml:space="preserve">3279 · I quattrocentosettantaquattro da verificare.</w:t>
      </w:r>
      <w:r>
        <w:rPr>
          <w:rFonts w:ascii="Barlow Semi Condensed" w:cs="Barlow Semi Condensed" w:eastAsia="Barlow Semi Condensed" w:hAnsi="Barlow Semi Condensed"/>
          <w:sz w:val="24"/>
          <w:szCs w:val="24"/>
        </w:rPr>
        <w:t xml:space="preserve"> Il censimento delle richieste di consenso all'originatore mai formulate spetta al blocco 119, che impone di verificare su atto la cifra circolante di circa quattrocentosettantaquattro atti di origine alleata custoditi in Italia. Bersaglio derivato: accertare se in quel perimetro figurino carte relative alla visita del settembre 1974. Sede: gli uffici che tengono il censimento presso la Presidenza del Consiglio e presso gli organismi informativi.</w:t>
      </w:r>
    </w:p>
    <w:p>
      <w:pPr>
        <w:spacing w:after="120" w:line="276"/>
        <w:jc w:val="both"/>
      </w:pPr>
      <w:r>
        <w:rPr>
          <w:rFonts w:ascii="Barlow Semi Condensed" w:cs="Barlow Semi Condensed" w:eastAsia="Barlow Semi Condensed" w:hAnsi="Barlow Semi Condensed"/>
          <w:b/>
          <w:bCs/>
          <w:sz w:val="24"/>
          <w:szCs w:val="24"/>
        </w:rPr>
        <w:t xml:space="preserve">3280 · Il lancio del 30 novembre come fonte.</w:t>
      </w:r>
      <w:r>
        <w:rPr>
          <w:rFonts w:ascii="Barlow Semi Condensed" w:cs="Barlow Semi Condensed" w:eastAsia="Barlow Semi Condensed" w:hAnsi="Barlow Semi Condensed"/>
          <w:sz w:val="24"/>
          <w:szCs w:val="24"/>
        </w:rPr>
        <w:t xml:space="preserve"> Notiziari, lanci d'agenzia e girati dei cinquantacinque giorni sono un fondo per il blocco 120, sfondo cronologico su cui misurare le cronologie interne. Applicato all'episodio produce un atto d'archivio preciso: recuperare il lancio del 30 novembre 2023 nella sua forma originaria, con sigla, ora e testo, e datare rispetto a esso ogni ripresa successiva. La morte era avvenuta il giorno prima.</w:t>
      </w:r>
    </w:p>
    <w:p>
      <w:pPr>
        <w:spacing w:after="120" w:line="276"/>
        <w:jc w:val="both"/>
      </w:pPr>
      <w:r>
        <w:rPr>
          <w:rFonts w:ascii="Barlow Semi Condensed" w:cs="Barlow Semi Condensed" w:eastAsia="Barlow Semi Condensed" w:hAnsi="Barlow Semi Condensed"/>
          <w:b/>
          <w:bCs/>
          <w:sz w:val="24"/>
          <w:szCs w:val="24"/>
        </w:rPr>
        <w:t xml:space="preserve">3281 · Le serie della Farnesina sul 1974.</w:t>
      </w:r>
      <w:r>
        <w:rPr>
          <w:rFonts w:ascii="Barlow Semi Condensed" w:cs="Barlow Semi Condensed" w:eastAsia="Barlow Semi Condensed" w:hAnsi="Barlow Semi Condensed"/>
          <w:sz w:val="24"/>
          <w:szCs w:val="24"/>
        </w:rPr>
        <w:t xml:space="preserve"> All'Archivio storico diplomatico il blocco 127 indirizza le serie sui rapporti con gli alleati nel 1978, con l'avvertenza già censita sull'accessibilità delle serie novecentesche. Il bersaglio si allarga di quattro anni all'indietro: i telespressi dell'ambasciata a Washington sul viaggio del settembre 1974 e i rapporti successivi. Se la posizione riferita nel verbale americano ebbe eco italiana, ha lasciato carta in quella sede.</w:t>
      </w:r>
    </w:p>
    <w:p>
      <w:pPr>
        <w:spacing w:after="120" w:line="276"/>
        <w:jc w:val="both"/>
      </w:pPr>
      <w:r>
        <w:rPr>
          <w:rFonts w:ascii="Barlow Semi Condensed" w:cs="Barlow Semi Condensed" w:eastAsia="Barlow Semi Condensed" w:hAnsi="Barlow Semi Condensed"/>
          <w:b/>
          <w:bCs/>
          <w:sz w:val="24"/>
          <w:szCs w:val="24"/>
        </w:rPr>
        <w:t xml:space="preserve">3282 · Citato e non reperito.</w:t>
      </w:r>
      <w:r>
        <w:rPr>
          <w:rFonts w:ascii="Barlow Semi Condensed" w:cs="Barlow Semi Condensed" w:eastAsia="Barlow Semi Condensed" w:hAnsi="Barlow Semi Condensed"/>
          <w:sz w:val="24"/>
          <w:szCs w:val="24"/>
        </w:rPr>
        <w:t xml:space="preserve"> Ogni documento citato nei libri si riconduce alla propria segnatura d'archivio o si scheda come citato e non reperito: è l'igiene delle fonti secondarie del blocco 131. Applicata alla letteratura sull'avvertimento, l'operazione dà finora un solo esito possibile, perché nessuna segnatura archivistica risulta prodotta per il presunto documento. La scheda da compilare è quella del citato e non reperito, ed è un'acquisizione piena.</w:t>
      </w:r>
    </w:p>
    <w:p>
      <w:pPr>
        <w:spacing w:after="120" w:line="276"/>
        <w:jc w:val="both"/>
      </w:pPr>
      <w:r>
        <w:rPr>
          <w:rFonts w:ascii="Barlow Semi Condensed" w:cs="Barlow Semi Condensed" w:eastAsia="Barlow Semi Condensed" w:hAnsi="Barlow Semi Condensed"/>
          <w:b/>
          <w:bCs/>
          <w:sz w:val="24"/>
          <w:szCs w:val="24"/>
        </w:rPr>
        <w:t xml:space="preserve">3283 · La colonna dei deceduti.</w:t>
      </w:r>
      <w:r>
        <w:rPr>
          <w:rFonts w:ascii="Barlow Semi Condensed" w:cs="Barlow Semi Condensed" w:eastAsia="Barlow Semi Condensed" w:hAnsi="Barlow Semi Condensed"/>
          <w:sz w:val="24"/>
          <w:szCs w:val="24"/>
        </w:rPr>
        <w:t xml:space="preserve"> Il censimento dei viventi si ordina per età e salute al blocco 141, e la tavola dell'agenda al blocco 125 misura il costo del ritardo con la voce deceduto prima dell'ascolto. Questo nome vi sta per sempre: Fürth, 27 maggio 1923; Kent, Connecticut, 29 novembre 2023. Nessuna escussione è più possibile, e ogni quesito che gli si sarebbe potuto porre va riscritto come quesito d'archivio.</w:t>
      </w:r>
    </w:p>
    <w:p>
      <w:pPr>
        <w:spacing w:after="120" w:line="276"/>
        <w:jc w:val="both"/>
      </w:pPr>
      <w:r>
        <w:rPr>
          <w:rFonts w:ascii="Barlow Semi Condensed" w:cs="Barlow Semi Condensed" w:eastAsia="Barlow Semi Condensed" w:hAnsi="Barlow Semi Condensed"/>
          <w:b/>
          <w:bCs/>
          <w:sz w:val="24"/>
          <w:szCs w:val="24"/>
        </w:rPr>
        <w:t xml:space="preserve">3284 · Il ricordo del ricordo, applicato.</w:t>
      </w:r>
      <w:r>
        <w:rPr>
          <w:rFonts w:ascii="Barlow Semi Condensed" w:cs="Barlow Semi Condensed" w:eastAsia="Barlow Semi Condensed" w:hAnsi="Barlow Semi Condensed"/>
          <w:sz w:val="24"/>
          <w:szCs w:val="24"/>
        </w:rPr>
        <w:t xml:space="preserve"> Ciò che un testimone ricorda dei fatti e ciò che ricorda delle proprie deposizioni sono strati diversi, avverte il blocco 145. La distinzione è decisiva per un racconto reso in aula nel 1982 e poi ripetuto pubblicamente per decenni, con la data che oscilla fra tre anni. Ogni nuova raccolta deve verbalizzare quale strato interroga, o registra un ricordo di racconto scambiandolo per memoria.</w:t>
      </w:r>
    </w:p>
    <w:p>
      <w:pPr>
        <w:spacing w:after="120" w:line="276"/>
        <w:jc w:val="both"/>
      </w:pPr>
      <w:r>
        <w:rPr>
          <w:rFonts w:ascii="Barlow Semi Condensed" w:cs="Barlow Semi Condensed" w:eastAsia="Barlow Semi Condensed" w:hAnsi="Barlow Semi Condensed"/>
          <w:b/>
          <w:bCs/>
          <w:sz w:val="24"/>
          <w:szCs w:val="24"/>
        </w:rPr>
        <w:t xml:space="preserve">3285 · Il tavolo con i documenti sopra.</w:t>
      </w:r>
      <w:r>
        <w:rPr>
          <w:rFonts w:ascii="Barlow Semi Condensed" w:cs="Barlow Semi Condensed" w:eastAsia="Barlow Semi Condensed" w:hAnsi="Barlow Semi Condensed"/>
          <w:sz w:val="24"/>
          <w:szCs w:val="24"/>
        </w:rPr>
        <w:t xml:space="preserve"> Fotografie, planimetrie e verbali d'epoca sul tavolo: così il blocco 143 mette in protocollo la lezione Marini, vincolando il ricordo ai documenti invece di lasciarglieli sostituire. Trasferita a questa materia, la regola dice che nessuna escussione futura sull'episodio del 1974 si conduce senza il verbale dello Studio Ovale e la trascrizione dell'udienza davanti a chi parla. Dove il ricordo diverge, la divergenza si scrive.</w:t>
      </w:r>
    </w:p>
    <w:p>
      <w:pPr>
        <w:spacing w:after="120" w:line="276"/>
        <w:jc w:val="both"/>
      </w:pPr>
      <w:r>
        <w:rPr>
          <w:rFonts w:ascii="Barlow Semi Condensed" w:cs="Barlow Semi Condensed" w:eastAsia="Barlow Semi Condensed" w:hAnsi="Barlow Semi Condensed"/>
          <w:b/>
          <w:bCs/>
          <w:sz w:val="24"/>
          <w:szCs w:val="24"/>
        </w:rPr>
        <w:t xml:space="preserve">3286 · Chi fu indicato e mai escusso.</w:t>
      </w:r>
      <w:r>
        <w:rPr>
          <w:rFonts w:ascii="Barlow Semi Condensed" w:cs="Barlow Semi Condensed" w:eastAsia="Barlow Semi Condensed" w:hAnsi="Barlow Semi Condensed"/>
          <w:sz w:val="24"/>
          <w:szCs w:val="24"/>
        </w:rPr>
        <w:t xml:space="preserve"> Le liste testi dei cinque processi si rileggono per intero, impone il blocco 148, cercando chi fu indicato e mai chiamato. Bersaglio circoscritto: verificare se sull'episodio riferito nel 1982 furono indicati altri testimoni oltre a quello escusso, e se qualcuno di essi non fu mai sentito. Un secondo testimone diretto sposterebbe il grado; la sua assenza dalle liste è essa stessa un'acquisizione.</w:t>
      </w:r>
    </w:p>
    <w:p>
      <w:pPr>
        <w:spacing w:after="120" w:line="276"/>
        <w:jc w:val="both"/>
      </w:pPr>
      <w:r>
        <w:rPr>
          <w:rFonts w:ascii="Barlow Semi Condensed" w:cs="Barlow Semi Condensed" w:eastAsia="Barlow Semi Condensed" w:hAnsi="Barlow Semi Condensed"/>
          <w:b/>
          <w:bCs/>
          <w:sz w:val="24"/>
          <w:szCs w:val="24"/>
        </w:rPr>
        <w:t xml:space="preserve">3287 · Nessuno risponde dei propri congiunti.</w:t>
      </w:r>
      <w:r>
        <w:rPr>
          <w:rFonts w:ascii="Barlow Semi Condensed" w:cs="Barlow Semi Condensed" w:eastAsia="Barlow Semi Condensed" w:hAnsi="Barlow Semi Condensed"/>
          <w:sz w:val="24"/>
          <w:szCs w:val="24"/>
        </w:rPr>
        <w:t xml:space="preserve"> Canale dedicato, consenso scritto, rapporto non estrattivo: i blocchi 156 e 157 governano il tratto con le famiglie e stampano in testa a ogni richiesta agli eredi la regola personalistica. Vale nelle due direzioni. Alla famiglia Moro non si chiedono conferme ulteriori di una testimonianza già resa nelle sedi proprie; agli eredi del defunto americano non si chiede conto di condotte altrui.</w:t>
      </w:r>
    </w:p>
    <w:p>
      <w:pPr>
        <w:spacing w:after="120" w:line="276"/>
        <w:jc w:val="both"/>
      </w:pPr>
      <w:r>
        <w:rPr>
          <w:rFonts w:ascii="Barlow Semi Condensed" w:cs="Barlow Semi Condensed" w:eastAsia="Barlow Semi Condensed" w:hAnsi="Barlow Semi Condensed"/>
          <w:b/>
          <w:bCs/>
          <w:sz w:val="24"/>
          <w:szCs w:val="24"/>
        </w:rPr>
        <w:t xml:space="preserve">3288 · La deposizione sigillata come strumento.</w:t>
      </w:r>
      <w:r>
        <w:rPr>
          <w:rFonts w:ascii="Barlow Semi Condensed" w:cs="Barlow Semi Condensed" w:eastAsia="Barlow Semi Condensed" w:hAnsi="Barlow Semi Condensed"/>
          <w:sz w:val="24"/>
          <w:szCs w:val="24"/>
        </w:rPr>
        <w:t xml:space="preserve"> A chi non voglia parlare oggi il blocco 161 offre la deposizione sigillata, con apertura postuma o a termine, presso la sede terza qualificata indicata al blocco 25. Se qualcuno detiene cognizione diretta del colloquio del settembre 1974 o della circolazione italiana di quella posizione, questo è lo strumento e quella la sede. L'offerta va formulata per iscritto, e anche il rifiuto si verbalizza.</w:t>
      </w:r>
    </w:p>
    <w:p>
      <w:pPr>
        <w:spacing w:after="120" w:line="276"/>
        <w:jc w:val="both"/>
      </w:pPr>
      <w:r>
        <w:rPr>
          <w:rFonts w:ascii="Barlow Semi Condensed" w:cs="Barlow Semi Condensed" w:eastAsia="Barlow Semi Condensed" w:hAnsi="Barlow Semi Condensed"/>
          <w:b/>
          <w:bCs/>
          <w:sz w:val="24"/>
          <w:szCs w:val="24"/>
        </w:rPr>
        <w:t xml:space="preserve">3289 · Le domande mai poste.</w:t>
      </w:r>
      <w:r>
        <w:rPr>
          <w:rFonts w:ascii="Barlow Semi Condensed" w:cs="Barlow Semi Condensed" w:eastAsia="Barlow Semi Condensed" w:hAnsi="Barlow Semi Condensed"/>
          <w:sz w:val="24"/>
          <w:szCs w:val="24"/>
        </w:rPr>
        <w:t xml:space="preserve"> Per i protagonisti scomparsi si compila la scheda delle domande mai poste, dice il blocco 163, e quella scheda orienta la ricerca dei lasciti. Le domande sono quattro e si scrivono ora: in quale data avvenne il colloquio riferito, chi vi era presente, in quale lingua fu pronunciata la frase attribuita, quale carta ne fu redatta. Nessuna ha più un destinatario vivo; tutte hanno ancora un archivio.</w:t>
      </w:r>
    </w:p>
    <w:p>
      <w:pPr>
        <w:spacing w:after="120" w:line="276"/>
        <w:jc w:val="both"/>
      </w:pPr>
      <w:r>
        <w:rPr>
          <w:rFonts w:ascii="Barlow Semi Condensed" w:cs="Barlow Semi Condensed" w:eastAsia="Barlow Semi Condensed" w:hAnsi="Barlow Semi Condensed"/>
          <w:b/>
          <w:bCs/>
          <w:sz w:val="24"/>
          <w:szCs w:val="24"/>
        </w:rPr>
        <w:t xml:space="preserve">3290 · La tavola sinottica delle memorie.</w:t>
      </w:r>
      <w:r>
        <w:rPr>
          <w:rFonts w:ascii="Barlow Semi Condensed" w:cs="Barlow Semi Condensed" w:eastAsia="Barlow Semi Condensed" w:hAnsi="Barlow Semi Condensed"/>
          <w:sz w:val="24"/>
          <w:szCs w:val="24"/>
        </w:rPr>
        <w:t xml:space="preserve"> Le memorie pubblicate si schedano con data e versione, e la tavola delle varianti diventa essa stessa un documento che mostra dove il ricordo è stabile e dove lavora: è il blocco 164. Bersaglio: costruire quella tavola per i volumi memorialistici del nostro nome, verificando se e come vi compaiano l'Italia del 1974 e il colloquio riferito. Un silenzio vale quanto una menzione.</w:t>
      </w:r>
    </w:p>
    <w:p>
      <w:pPr>
        <w:spacing w:after="120" w:line="276"/>
        <w:jc w:val="both"/>
      </w:pPr>
      <w:r>
        <w:rPr>
          <w:rFonts w:ascii="Barlow Semi Condensed" w:cs="Barlow Semi Condensed" w:eastAsia="Barlow Semi Condensed" w:hAnsi="Barlow Semi Condensed"/>
          <w:b/>
          <w:bCs/>
          <w:sz w:val="24"/>
          <w:szCs w:val="24"/>
        </w:rPr>
        <w:t xml:space="preserve">3291 · Anche la smentita è una dichiarazione.</w:t>
      </w:r>
      <w:r>
        <w:rPr>
          <w:rFonts w:ascii="Barlow Semi Condensed" w:cs="Barlow Semi Condensed" w:eastAsia="Barlow Semi Condensed" w:hAnsi="Barlow Semi Condensed"/>
          <w:sz w:val="24"/>
          <w:szCs w:val="24"/>
        </w:rPr>
        <w:t xml:space="preserve"> Nessuna memoria sale oltre il grado C senza riscontro documentale, per quanto suggestiva: il blocco 165 non ammette eccezioni. La regola si applica simmetricamente, e va detto: la smentita ripetuta dell'interessato è essa stessa dichiarazione di parte, registrata come tale. La simmetria non equipara le posizioni, perché l'onere resta a chi afferma, ma impone di non trattare il diniego come prova.</w:t>
      </w:r>
    </w:p>
    <w:p>
      <w:pPr>
        <w:spacing w:after="120" w:line="276"/>
        <w:jc w:val="both"/>
      </w:pPr>
      <w:r>
        <w:rPr>
          <w:rFonts w:ascii="Barlow Semi Condensed" w:cs="Barlow Semi Condensed" w:eastAsia="Barlow Semi Condensed" w:hAnsi="Barlow Semi Condensed"/>
          <w:b/>
          <w:bCs/>
          <w:sz w:val="24"/>
          <w:szCs w:val="24"/>
        </w:rPr>
        <w:t xml:space="preserve">3292 · Nessun quesito estero fra i quaranta.</w:t>
      </w:r>
      <w:r>
        <w:rPr>
          <w:rFonts w:ascii="Barlow Semi Condensed" w:cs="Barlow Semi Condensed" w:eastAsia="Barlow Semi Condensed" w:hAnsi="Barlow Semi Condensed"/>
          <w:sz w:val="24"/>
          <w:szCs w:val="24"/>
        </w:rPr>
        <w:t xml:space="preserve"> Dal blocco 171 al 210 la serie sesta riscrive in forma di matrice tutti i quesiti aperti: via Fani, via Gradoli, via Montalcini, la Duchessa, il memoriale, i comitati, gli esperti, il condominio, il riscatto, il registro. Nessuno di essi è internazionale. La lacuna, già rilevata al blocco 911 dell'opera, si misura qui sul territorio: dieci famiglie di quesiti, zero matrici estere.</w:t>
      </w:r>
    </w:p>
    <w:p>
      <w:pPr>
        <w:spacing w:after="120" w:line="276"/>
        <w:jc w:val="both"/>
      </w:pPr>
      <w:r>
        <w:rPr>
          <w:rFonts w:ascii="Barlow Semi Condensed" w:cs="Barlow Semi Condensed" w:eastAsia="Barlow Semi Condensed" w:hAnsi="Barlow Semi Condensed"/>
          <w:b/>
          <w:bCs/>
          <w:sz w:val="24"/>
          <w:szCs w:val="24"/>
        </w:rPr>
        <w:t xml:space="preserve">3293 · Come si scriverebbe la matrice mancante.</w:t>
      </w:r>
      <w:r>
        <w:rPr>
          <w:rFonts w:ascii="Barlow Semi Condensed" w:cs="Barlow Semi Condensed" w:eastAsia="Barlow Semi Condensed" w:hAnsi="Barlow Semi Condensed"/>
          <w:sz w:val="24"/>
          <w:szCs w:val="24"/>
        </w:rPr>
        <w:t xml:space="preserve"> Se una matrice estera dovesse esistere, il blocco 8 ne detta la forma, e questa serie la propone come bersaglio e non come tesi: H1 nessun rapporto documentato con la vicenda italiana, H2 convergenza entro la cornice atlantica, H3 rapporto diretto. Evidenza discriminante unica: un documento di provenienza che nomini insieme emittente, controparte e atto. Chiusura: l'esaurimento certificato delle serie del blocco 115.</w:t>
      </w:r>
    </w:p>
    <w:p>
      <w:pPr>
        <w:spacing w:after="120" w:line="276"/>
        <w:jc w:val="both"/>
      </w:pPr>
      <w:r>
        <w:rPr>
          <w:rFonts w:ascii="Barlow Semi Condensed" w:cs="Barlow Semi Condensed" w:eastAsia="Barlow Semi Condensed" w:hAnsi="Barlow Semi Condensed"/>
          <w:b/>
          <w:bCs/>
          <w:sz w:val="24"/>
          <w:szCs w:val="24"/>
        </w:rPr>
        <w:t xml:space="preserve">3294 · Il residuo ignoto non è una regia.</w:t>
      </w:r>
      <w:r>
        <w:rPr>
          <w:rFonts w:ascii="Barlow Semi Condensed" w:cs="Barlow Semi Condensed" w:eastAsia="Barlow Semi Condensed" w:hAnsi="Barlow Semi Condensed"/>
          <w:sz w:val="24"/>
          <w:szCs w:val="24"/>
        </w:rPr>
        <w:t xml:space="preserve"> Aperta da mezzo secolo, la matrice sulle presenze non attribuite affida ai blocchi 171-173 la decisione al residuo balistico o genetico non riconducibile alle persone e alle armi del giudicato. Il presidio da aggiungere è questo: un residuo ignoto aprirebbe un'identificazione giudiziaria, non una lettura geopolitica. Il passaggio dall'ignoto al nome è un atto del fascicolo e appartiene soltanto al giudice.</w:t>
      </w:r>
    </w:p>
    <w:p>
      <w:pPr>
        <w:spacing w:after="120" w:line="276"/>
        <w:jc w:val="both"/>
      </w:pPr>
      <w:r>
        <w:rPr>
          <w:rFonts w:ascii="Barlow Semi Condensed" w:cs="Barlow Semi Condensed" w:eastAsia="Barlow Semi Condensed" w:hAnsi="Barlow Semi Condensed"/>
          <w:b/>
          <w:bCs/>
          <w:sz w:val="24"/>
          <w:szCs w:val="24"/>
        </w:rPr>
        <w:t xml:space="preserve">3295 · L'unica ipotesi che ospiterebbe un canale.</w:t>
      </w:r>
      <w:r>
        <w:rPr>
          <w:rFonts w:ascii="Barlow Semi Condensed" w:cs="Barlow Semi Condensed" w:eastAsia="Barlow Semi Condensed" w:hAnsi="Barlow Semi Condensed"/>
          <w:sz w:val="24"/>
          <w:szCs w:val="24"/>
        </w:rPr>
        <w:t xml:space="preserve"> Coincidenza autentica, fuga di notizie per canale anomalo, costruzione di copertura: sono le tre ipotesi che il blocco 178 apre sulla segnalazione della seduta di Zappolino. La seconda è l'unica dell'intera serie sesta che potrebbe formalmente ospitare un canale estero, e non ne nomina alcuno. L'evidenza che la muove, dice il blocco 179, è la catena documentale del blocco 100, mai prodotta integralmente.</w:t>
      </w:r>
    </w:p>
    <w:p>
      <w:pPr>
        <w:spacing w:after="120" w:line="276"/>
        <w:jc w:val="both"/>
      </w:pPr>
      <w:r>
        <w:rPr>
          <w:rFonts w:ascii="Barlow Semi Condensed" w:cs="Barlow Semi Condensed" w:eastAsia="Barlow Semi Condensed" w:hAnsi="Barlow Semi Condensed"/>
          <w:b/>
          <w:bCs/>
          <w:sz w:val="24"/>
          <w:szCs w:val="24"/>
        </w:rPr>
        <w:t xml:space="preserve">3296 · Un apparato senza nome.</w:t>
      </w:r>
      <w:r>
        <w:rPr>
          <w:rFonts w:ascii="Barlow Semi Condensed" w:cs="Barlow Semi Condensed" w:eastAsia="Barlow Semi Condensed" w:hAnsi="Barlow Semi Condensed"/>
          <w:sz w:val="24"/>
          <w:szCs w:val="24"/>
        </w:rPr>
        <w:t xml:space="preserve"> Ambiente criminale prezzolato, apparato con finalità di manovra, dissidenza brigatista: sono le tre officine possibili del falso della Duchessa secondo il blocco 192. L'apparato della seconda ipotesi resta innominato, ed è corretto che lo resti finché la perizia documentale non parli. Chi vi scrivesse sopra un nome straniero compirebbe esattamente il salto che il blocco 194 chiama uso del falso come jolly narrativo.</w:t>
      </w:r>
    </w:p>
    <w:p>
      <w:pPr>
        <w:spacing w:after="120" w:line="276"/>
        <w:jc w:val="both"/>
      </w:pPr>
      <w:r>
        <w:rPr>
          <w:rFonts w:ascii="Barlow Semi Condensed" w:cs="Barlow Semi Condensed" w:eastAsia="Barlow Semi Condensed" w:hAnsi="Barlow Semi Condensed"/>
          <w:b/>
          <w:bCs/>
          <w:sz w:val="24"/>
          <w:szCs w:val="24"/>
        </w:rPr>
        <w:t xml:space="preserve">3297 · Il consulente e la tesi sospesa.</w:t>
      </w:r>
      <w:r>
        <w:rPr>
          <w:rFonts w:ascii="Barlow Semi Condensed" w:cs="Barlow Semi Condensed" w:eastAsia="Barlow Semi Condensed" w:hAnsi="Barlow Semi Condensed"/>
          <w:sz w:val="24"/>
          <w:szCs w:val="24"/>
        </w:rPr>
        <w:t xml:space="preserve"> La tesi massima sui comitati resta sospesa fino alla tavola nominale, per i blocchi 200 e 201. Nella stessa area sta l'unica presenza americana documentata del territorio: il consulente del Dipartimento di Stato nel comitato di esperti mai riunito collegialmente, presenza di grado B, dichiarazioni successive di grado C. Nessun documento la collega alla persona di questa serie, allora fuori da ogni carica.</w:t>
      </w:r>
    </w:p>
    <w:p>
      <w:pPr>
        <w:spacing w:after="120" w:line="276"/>
        <w:jc w:val="both"/>
      </w:pPr>
      <w:r>
        <w:rPr>
          <w:rFonts w:ascii="Barlow Semi Condensed" w:cs="Barlow Semi Condensed" w:eastAsia="Barlow Semi Condensed" w:hAnsi="Barlow Semi Condensed"/>
          <w:b/>
          <w:bCs/>
          <w:sz w:val="24"/>
          <w:szCs w:val="24"/>
        </w:rPr>
        <w:t xml:space="preserve">3298 · L'intenzione non si importa da fuori.</w:t>
      </w:r>
      <w:r>
        <w:rPr>
          <w:rFonts w:ascii="Barlow Semi Condensed" w:cs="Barlow Semi Condensed" w:eastAsia="Barlow Semi Condensed" w:hAnsi="Barlow Semi Condensed"/>
          <w:sz w:val="24"/>
          <w:szCs w:val="24"/>
        </w:rPr>
        <w:t xml:space="preserve"> Fatto e intenzione restano separati nella qualificazione d'inattendibilità delle lettere: i blocchi 202 e 203 registrano come documentata la squalificazione istituzionale e come non documentato il movente, e indicano l'evidenza nelle carte del blocco 107. Ne segue un divieto specifico: non si colma il vuoto sull'intenzione importando una volontà straniera. Se non è scritta, l'intenzione resta fuori dagli atti.</w:t>
      </w:r>
    </w:p>
    <w:p>
      <w:pPr>
        <w:spacing w:after="120" w:line="276"/>
        <w:jc w:val="both"/>
      </w:pPr>
      <w:r>
        <w:rPr>
          <w:rFonts w:ascii="Barlow Semi Condensed" w:cs="Barlow Semi Condensed" w:eastAsia="Barlow Semi Condensed" w:hAnsi="Barlow Semi Condensed"/>
          <w:b/>
          <w:bCs/>
          <w:sz w:val="24"/>
          <w:szCs w:val="24"/>
        </w:rPr>
        <w:t xml:space="preserve">3299 · Che cosa mostrerebbe il registro.</w:t>
      </w:r>
      <w:r>
        <w:rPr>
          <w:rFonts w:ascii="Barlow Semi Condensed" w:cs="Barlow Semi Condensed" w:eastAsia="Barlow Semi Condensed" w:hAnsi="Barlow Semi Condensed"/>
          <w:sz w:val="24"/>
          <w:szCs w:val="24"/>
        </w:rPr>
        <w:t xml:space="preserve"> Due ipotesi si fronteggiano al blocco 209: collo di bottiglia da diluvio, con interruzioni distribuite, oppure filtro sistematico, con interruzioni concentrate verso l'autorità giudiziaria. Anche l'esito più clamoroso resterebbe impersonale, perché una concentrazione anomala qualifica un flusso e apre un quesito, non nomina un mandante. È il massimo che il registro può produrre, e va detto prima di costruirlo.</w:t>
      </w:r>
    </w:p>
    <w:p>
      <w:pPr>
        <w:spacing w:after="120" w:line="276"/>
        <w:jc w:val="both"/>
      </w:pPr>
      <w:r>
        <w:rPr>
          <w:rFonts w:ascii="Barlow Semi Condensed" w:cs="Barlow Semi Condensed" w:eastAsia="Barlow Semi Condensed" w:hAnsi="Barlow Semi Condensed"/>
          <w:b/>
          <w:bCs/>
          <w:sz w:val="24"/>
          <w:szCs w:val="24"/>
        </w:rPr>
        <w:t xml:space="preserve">3300 · Del mancante si mappa il perimetro.</w:t>
      </w:r>
      <w:r>
        <w:rPr>
          <w:rFonts w:ascii="Barlow Semi Condensed" w:cs="Barlow Semi Condensed" w:eastAsia="Barlow Semi Condensed" w:hAnsi="Barlow Semi Condensed"/>
          <w:sz w:val="24"/>
          <w:szCs w:val="24"/>
        </w:rPr>
        <w:t xml:space="preserve"> Dedurre il contenuto di ciò che manca è vietato dal blocco 197: del mancante si mappa il perimetro, non il testo. La regola ferma sul nascere ogni uso delle presunte pagine perdute del memoriale come sede di rivelazioni internazionali. Ciò che la filologia materiale dei blocchi 67 e 68 può produrre è una carta delle lacune; ciò che non può produrre è il loro contenuto.</w:t>
      </w:r>
    </w:p>
    <w:p>
      <w:pPr>
        <w:spacing w:after="120" w:line="276"/>
        <w:jc w:val="both"/>
      </w:pPr>
      <w:r>
        <w:rPr>
          <w:rFonts w:ascii="Barlow Semi Condensed" w:cs="Barlow Semi Condensed" w:eastAsia="Barlow Semi Condensed" w:hAnsi="Barlow Semi Condensed"/>
          <w:b/>
          <w:bCs/>
          <w:sz w:val="24"/>
          <w:szCs w:val="24"/>
        </w:rPr>
        <w:t xml:space="preserve">3301 · L'unità di conto del registro.</w:t>
      </w:r>
      <w:r>
        <w:rPr>
          <w:rFonts w:ascii="Barlow Semi Condensed" w:cs="Barlow Semi Condensed" w:eastAsia="Barlow Semi Condensed" w:hAnsi="Barlow Semi Condensed"/>
          <w:sz w:val="24"/>
          <w:szCs w:val="24"/>
        </w:rPr>
        <w:t xml:space="preserve"> Ogni segnalazione pervenuta agli apparati fra il 16 marzo e il 9 maggio 1978 è oggetto del registro, e l'unità di conto è la singola segnalazione protocollata: così i blocchi 211 e 212. Un elemento riferibile al versante estero potrebbe entrarvi solo in quella forma, e sarebbe trattato come qualunque altra: stesso schema-dati, stessi quattro segmenti, stesso obbligo di seguirne il destino.</w:t>
      </w:r>
    </w:p>
    <w:p>
      <w:pPr>
        <w:spacing w:after="120" w:line="276"/>
        <w:jc w:val="both"/>
      </w:pPr>
      <w:r>
        <w:rPr>
          <w:rFonts w:ascii="Barlow Semi Condensed" w:cs="Barlow Semi Condensed" w:eastAsia="Barlow Semi Condensed" w:hAnsi="Barlow Semi Condensed"/>
          <w:b/>
          <w:bCs/>
          <w:sz w:val="24"/>
          <w:szCs w:val="24"/>
        </w:rPr>
        <w:t xml:space="preserve">3302 · Contare i riferimenti stranieri.</w:t>
      </w:r>
      <w:r>
        <w:rPr>
          <w:rFonts w:ascii="Barlow Semi Condensed" w:cs="Barlow Semi Condensed" w:eastAsia="Barlow Semi Condensed" w:hAnsi="Barlow Semi Condensed"/>
          <w:sz w:val="24"/>
          <w:szCs w:val="24"/>
        </w:rPr>
        <w:t xml:space="preserve"> Le fonti del registro stanno nei protocolli di UCIGOS, questure e prefetture versati dal Viminale, individua il blocco 215. Bersaglio enumerativo praticabile fin dal primo lotto di spoglio: quante segnalazioni dei cinquantacinque giorni contengano un riferimento a soggetti o apparati stranieri, di qualunque segno. L'esito atteso è prossimo a zero, e come metrica va pubblicato, non taciuto come nulla di fatto.</w:t>
      </w:r>
    </w:p>
    <w:p>
      <w:pPr>
        <w:spacing w:after="120" w:line="276"/>
        <w:jc w:val="both"/>
      </w:pPr>
      <w:r>
        <w:rPr>
          <w:rFonts w:ascii="Barlow Semi Condensed" w:cs="Barlow Semi Condensed" w:eastAsia="Barlow Semi Condensed" w:hAnsi="Barlow Semi Condensed"/>
          <w:b/>
          <w:bCs/>
          <w:sz w:val="24"/>
          <w:szCs w:val="24"/>
        </w:rPr>
        <w:t xml:space="preserve">3303 · I primi due item della lista.</w:t>
      </w:r>
      <w:r>
        <w:rPr>
          <w:rFonts w:ascii="Barlow Semi Condensed" w:cs="Barlow Semi Condensed" w:eastAsia="Barlow Semi Condensed" w:hAnsi="Barlow Semi Condensed"/>
          <w:sz w:val="24"/>
          <w:szCs w:val="24"/>
        </w:rPr>
        <w:t xml:space="preserve"> Come primi item del registro delle mancate trasmissioni all'autorità giudiziaria, il blocco 223 colloca l'osservazione di via Montalcini e il controllo del 18 marzo. Vale registrare che nessuno dei due ha componente estera: sono catene interne, italiane, di ufficio in ufficio. La constatazione appartiene al territorio e va scritta, perché è precisamente ciò che la pubblicistica di sistema tende a non dire.</w:t>
      </w:r>
    </w:p>
    <w:p>
      <w:pPr>
        <w:spacing w:after="120" w:line="276"/>
        <w:jc w:val="both"/>
      </w:pPr>
      <w:r>
        <w:rPr>
          <w:rFonts w:ascii="Barlow Semi Condensed" w:cs="Barlow Semi Condensed" w:eastAsia="Barlow Semi Condensed" w:hAnsi="Barlow Semi Condensed"/>
          <w:b/>
          <w:bCs/>
          <w:sz w:val="24"/>
          <w:szCs w:val="24"/>
        </w:rPr>
        <w:t xml:space="preserve">3304 · La nota d'origine alleata nel flusso.</w:t>
      </w:r>
      <w:r>
        <w:rPr>
          <w:rFonts w:ascii="Barlow Semi Condensed" w:cs="Barlow Semi Condensed" w:eastAsia="Barlow Semi Condensed" w:hAnsi="Barlow Semi Condensed"/>
          <w:sz w:val="24"/>
          <w:szCs w:val="24"/>
        </w:rPr>
        <w:t xml:space="preserve"> Delle fonti fiduciarie conta il percorso della nota, non l'identità di chi la produsse, stabilisce il blocco 226. Applicato al caso limite dà la regola giusta: un'informativa di provenienza alleata entra nel registro come segnalazione con protocollo, si riscontra e si grada come le altre. Non testimonia, e la sua origine non le conferisce alcun grado supplementare rispetto a una telefonata anonima.</w:t>
      </w:r>
    </w:p>
    <w:p>
      <w:pPr>
        <w:spacing w:after="120" w:line="276"/>
        <w:jc w:val="both"/>
      </w:pPr>
      <w:r>
        <w:rPr>
          <w:rFonts w:ascii="Barlow Semi Condensed" w:cs="Barlow Semi Condensed" w:eastAsia="Barlow Semi Condensed" w:hAnsi="Barlow Semi Condensed"/>
          <w:b/>
          <w:bCs/>
          <w:sz w:val="24"/>
          <w:szCs w:val="24"/>
        </w:rPr>
        <w:t xml:space="preserve">3305 · Nessuna anomalia senza il normale.</w:t>
      </w:r>
      <w:r>
        <w:rPr>
          <w:rFonts w:ascii="Barlow Semi Condensed" w:cs="Barlow Semi Condensed" w:eastAsia="Barlow Semi Condensed" w:hAnsi="Barlow Semi Condensed"/>
          <w:sz w:val="24"/>
          <w:szCs w:val="24"/>
        </w:rPr>
        <w:t xml:space="preserve"> Il campione di controllo dei blocchi 227 e 136 è obbligatorio: il tasso di seguito delle segnalazioni ordinarie coeve è il metro senza cui nessun tasso del caso è leggibile. La conseguenza per questa materia è netta. Chi sostiene che il flusso fu piegato da una pressione esterna deve prima esibire il normale misurato; senza gruppo di confronto non c'è anomalia, c'è impressione.</w:t>
      </w:r>
    </w:p>
    <w:p>
      <w:pPr>
        <w:spacing w:after="120" w:line="276"/>
        <w:jc w:val="both"/>
      </w:pPr>
      <w:r>
        <w:rPr>
          <w:rFonts w:ascii="Barlow Semi Condensed" w:cs="Barlow Semi Condensed" w:eastAsia="Barlow Semi Condensed" w:hAnsi="Barlow Semi Condensed"/>
          <w:b/>
          <w:bCs/>
          <w:sz w:val="24"/>
          <w:szCs w:val="24"/>
        </w:rPr>
        <w:t xml:space="preserve">3306 · Si giudicano flussi, non persone.</w:t>
      </w:r>
      <w:r>
        <w:rPr>
          <w:rFonts w:ascii="Barlow Semi Condensed" w:cs="Barlow Semi Condensed" w:eastAsia="Barlow Semi Condensed" w:hAnsi="Barlow Semi Condensed"/>
          <w:sz w:val="24"/>
          <w:szCs w:val="24"/>
        </w:rPr>
        <w:t xml:space="preserve"> Leggere il registro col senno di poi è vietato dal blocco 233, che proibisce anche il giudizio sul singolo operatore. La proibizione va estesa esplicitamente al versante che qui interessa: una traccia estera documentata nel flusso qualificherebbe un percorso burocratico e chiederebbe un secondo atto, cioè l'individuazione di chi scrisse che cosa, prima di toccare chiunque. Il registro misura la macchina, non le volontà.</w:t>
      </w:r>
    </w:p>
    <w:p>
      <w:pPr>
        <w:spacing w:after="120" w:line="276"/>
        <w:jc w:val="both"/>
      </w:pPr>
      <w:r>
        <w:rPr>
          <w:rFonts w:ascii="Barlow Semi Condensed" w:cs="Barlow Semi Condensed" w:eastAsia="Barlow Semi Condensed" w:hAnsi="Barlow Semi Condensed"/>
          <w:b/>
          <w:bCs/>
          <w:sz w:val="24"/>
          <w:szCs w:val="24"/>
        </w:rPr>
        <w:t xml:space="preserve">3307 · La tavola delle pendenze, casella vuota.</w:t>
      </w:r>
      <w:r>
        <w:rPr>
          <w:rFonts w:ascii="Barlow Semi Condensed" w:cs="Barlow Semi Condensed" w:eastAsia="Barlow Semi Condensed" w:hAnsi="Barlow Semi Condensed"/>
          <w:sz w:val="24"/>
          <w:szCs w:val="24"/>
        </w:rPr>
        <w:t xml:space="preserve"> Estradizioni, rogatorie, richieste di consenso all'originatore, istanze d'archivio: il blocco 236 le censisce tutte con stato e data dell'ultimo atto. Nessuna di esse riguarda il nome di questa serie. Lo Stato Zero è verificabile presso l'ufficio della cooperazione giudiziaria internazionale del Ministero della Giustizia, che tiene il registro delle rogatorie, e la conferma va acquisita per iscritto.</w:t>
      </w:r>
    </w:p>
    <w:p>
      <w:pPr>
        <w:spacing w:after="120" w:line="276"/>
        <w:jc w:val="both"/>
      </w:pPr>
      <w:r>
        <w:rPr>
          <w:rFonts w:ascii="Barlow Semi Condensed" w:cs="Barlow Semi Condensed" w:eastAsia="Barlow Semi Condensed" w:hAnsi="Barlow Semi Condensed"/>
          <w:b/>
          <w:bCs/>
          <w:sz w:val="24"/>
          <w:szCs w:val="24"/>
        </w:rPr>
        <w:t xml:space="preserve">3308 · Un dossier con calendario proprio.</w:t>
      </w:r>
      <w:r>
        <w:rPr>
          <w:rFonts w:ascii="Barlow Semi Condensed" w:cs="Barlow Semi Condensed" w:eastAsia="Barlow Semi Condensed" w:hAnsi="Barlow Semi Condensed"/>
          <w:sz w:val="24"/>
          <w:szCs w:val="24"/>
        </w:rPr>
        <w:t xml:space="preserve"> Il pacchetto americano dei blocchi 115-118 si gestisce come dossier unitario con calendario proprio, vuole il blocco 241, con richieste scaglionate, appelli sui dinieghi e registro pubblico degli esiti. I bersagli di questa serie che toccano archivi statunitensi vi si numerano dentro, senza corsia riservata: entrano in coda con la loro motivazione storica, e il registro pubblico ne segue la sorte.</w:t>
      </w:r>
    </w:p>
    <w:p>
      <w:pPr>
        <w:spacing w:after="120" w:line="276"/>
        <w:jc w:val="both"/>
      </w:pPr>
      <w:r>
        <w:rPr>
          <w:rFonts w:ascii="Barlow Semi Condensed" w:cs="Barlow Semi Condensed" w:eastAsia="Barlow Semi Condensed" w:hAnsi="Barlow Semi Condensed"/>
          <w:b/>
          <w:bCs/>
          <w:sz w:val="24"/>
          <w:szCs w:val="24"/>
        </w:rPr>
        <w:t xml:space="preserve">3309 · L'elenco esatto, non l'appello generico.</w:t>
      </w:r>
      <w:r>
        <w:rPr>
          <w:rFonts w:ascii="Barlow Semi Condensed" w:cs="Barlow Semi Condensed" w:eastAsia="Barlow Semi Condensed" w:hAnsi="Barlow Semi Condensed"/>
          <w:sz w:val="24"/>
          <w:szCs w:val="24"/>
        </w:rPr>
        <w:t xml:space="preserve"> Una proposta formale con l'elenco esatto degli atti, e non l'ennesimo appello generico alla desecretazione: così il blocco 242 imposta la riattivazione delle richieste di consenso all'originatore. L'elenco che riguarderebbe questa materia si compila in due voci, le carte del settembre 1974 relative alla visita e le carte del marzo-maggio 1978 di origine alleata custodite in Italia. Due voci scritte valgono mille appelli.</w:t>
      </w:r>
    </w:p>
    <w:p>
      <w:pPr>
        <w:spacing w:after="120" w:line="276"/>
        <w:jc w:val="both"/>
      </w:pPr>
      <w:r>
        <w:rPr>
          <w:rFonts w:ascii="Barlow Semi Condensed" w:cs="Barlow Semi Condensed" w:eastAsia="Barlow Semi Condensed" w:hAnsi="Barlow Semi Condensed"/>
          <w:b/>
          <w:bCs/>
          <w:sz w:val="24"/>
          <w:szCs w:val="24"/>
        </w:rPr>
        <w:t xml:space="preserve">3310 · Le valutazioni avversarie e il loro grado.</w:t>
      </w:r>
      <w:r>
        <w:rPr>
          <w:rFonts w:ascii="Barlow Semi Condensed" w:cs="Barlow Semi Condensed" w:eastAsia="Barlow Semi Condensed" w:hAnsi="Barlow Semi Condensed"/>
          <w:sz w:val="24"/>
          <w:szCs w:val="24"/>
        </w:rPr>
        <w:t xml:space="preserve"> Ai fondi degli ex servizi del blocco orientale il blocco 243 apre con la lezione Mitrokhin sul maneggio delle fonti d'intelligence. Ne discende un avvertimento specifico: un'analisi sovietica o tedesco-orientale che descriva le intenzioni americane sull'Italia è una valutazione avversaria, cioè piano tre, finché non rechi allegato un documento di provenienza. Il fondo si interroga; il suo prodotto si grada senza sconti.</w:t>
      </w:r>
    </w:p>
    <w:p>
      <w:pPr>
        <w:spacing w:after="120" w:line="276"/>
        <w:jc w:val="both"/>
      </w:pPr>
      <w:r>
        <w:rPr>
          <w:rFonts w:ascii="Barlow Semi Condensed" w:cs="Barlow Semi Condensed" w:eastAsia="Barlow Semi Condensed" w:hAnsi="Barlow Semi Condensed"/>
          <w:b/>
          <w:bCs/>
          <w:sz w:val="24"/>
          <w:szCs w:val="24"/>
        </w:rPr>
        <w:t xml:space="preserve">3311 · Anche il nulla risulta multilaterale.</w:t>
      </w:r>
      <w:r>
        <w:rPr>
          <w:rFonts w:ascii="Barlow Semi Condensed" w:cs="Barlow Semi Condensed" w:eastAsia="Barlow Semi Condensed" w:hAnsi="Barlow Semi Condensed"/>
          <w:sz w:val="24"/>
          <w:szCs w:val="24"/>
        </w:rPr>
        <w:t xml:space="preserve"> Presso gli organismi internazionali dell'epoca anche una risposta negativa è una scheda, stabilisce il blocco 244. Sede nominata per questa materia: l'archivio dell'Alleanza atlantica a Bruxelles, che ha un programma di apertura pubblica, da interrogare per la finestra 1974-1978 con istanza motivata. L'esito probabile è un nulla risulta, e quel nulla risulta, messo per iscritto, chiude un vuoto oggi soltanto supposto.</w:t>
      </w:r>
    </w:p>
    <w:p>
      <w:pPr>
        <w:spacing w:after="120" w:line="276"/>
        <w:jc w:val="both"/>
      </w:pPr>
      <w:r>
        <w:rPr>
          <w:rFonts w:ascii="Barlow Semi Condensed" w:cs="Barlow Semi Condensed" w:eastAsia="Barlow Semi Condensed" w:hAnsi="Barlow Semi Condensed"/>
          <w:b/>
          <w:bCs/>
          <w:sz w:val="24"/>
          <w:szCs w:val="24"/>
        </w:rPr>
        <w:t xml:space="preserve">3312 · Il precedente è leva, non prova.</w:t>
      </w:r>
      <w:r>
        <w:rPr>
          <w:rFonts w:ascii="Barlow Semi Condensed" w:cs="Barlow Semi Condensed" w:eastAsia="Barlow Semi Condensed" w:hAnsi="Barlow Semi Condensed"/>
          <w:sz w:val="24"/>
          <w:szCs w:val="24"/>
        </w:rPr>
        <w:t xml:space="preserve"> Ogni rilascio ottenuto altrove per casi analoghi si scheda come precedente, dice il blocco 246, perché la prassi internazionale è un giacimento argomentativo per le istanze. I grandi progetti di declassificazione sul Cile e sull'Argentina servono a motivare un'istanza italiana e a nient'altro: non trasferiscono a un teatro ciò che è documentato in un altro. Omologia contro analogia vale anche qui.</w:t>
      </w:r>
    </w:p>
    <w:p>
      <w:pPr>
        <w:spacing w:after="120" w:line="276"/>
        <w:jc w:val="both"/>
      </w:pPr>
      <w:r>
        <w:rPr>
          <w:rFonts w:ascii="Barlow Semi Condensed" w:cs="Barlow Semi Condensed" w:eastAsia="Barlow Semi Condensed" w:hAnsi="Barlow Semi Condensed"/>
          <w:b/>
          <w:bCs/>
          <w:sz w:val="24"/>
          <w:szCs w:val="24"/>
        </w:rPr>
        <w:t xml:space="preserve">3313 · La lealtà documentale che si chiede.</w:t>
      </w:r>
      <w:r>
        <w:rPr>
          <w:rFonts w:ascii="Barlow Semi Condensed" w:cs="Barlow Semi Condensed" w:eastAsia="Barlow Semi Condensed" w:hAnsi="Barlow Semi Condensed"/>
          <w:sz w:val="24"/>
          <w:szCs w:val="24"/>
        </w:rPr>
        <w:t xml:space="preserve"> L'Italia risponde alle richieste altrui sul proprio quarantennio con la stessa lealtà documentale che pretende, impone il blocco 247, perché la credibilità del nuovo caso all'estero è un bene istruttorio. Applicazione concreta: le carte italiane sulla visita del settembre 1974 devono essere accessibili a uno studioso straniero alle condizioni con cui il corpus chiede quelle americane. La reciprocità si dimostra aprendo.</w:t>
      </w:r>
    </w:p>
    <w:p>
      <w:pPr>
        <w:spacing w:after="120" w:line="276"/>
        <w:jc w:val="both"/>
      </w:pPr>
      <w:r>
        <w:rPr>
          <w:rFonts w:ascii="Barlow Semi Condensed" w:cs="Barlow Semi Condensed" w:eastAsia="Barlow Semi Condensed" w:hAnsi="Barlow Semi Condensed"/>
          <w:b/>
          <w:bCs/>
          <w:sz w:val="24"/>
          <w:szCs w:val="24"/>
        </w:rPr>
        <w:t xml:space="preserve">3314 · Il divieto che governa tutta la serie.</w:t>
      </w:r>
      <w:r>
        <w:rPr>
          <w:rFonts w:ascii="Barlow Semi Condensed" w:cs="Barlow Semi Condensed" w:eastAsia="Barlow Semi Condensed" w:hAnsi="Barlow Semi Condensed"/>
          <w:sz w:val="24"/>
          <w:szCs w:val="24"/>
        </w:rPr>
        <w:t xml:space="preserve"> La norma centrale di questo territorio è il blocco 249: non trasformare il versante internazionale in geopolitica narrativa, perché qui si chiedono carte e deposizioni a Stati sovrani, atto per atto, e le letture di sistema restano al grado C, fuori dalle istanze. Ogni blocco di questa serie è stato scritto sotto quel divieto; usarla per altro sarebbe usarla contro il manuale.</w:t>
      </w:r>
    </w:p>
    <w:p>
      <w:pPr>
        <w:spacing w:after="120" w:line="276"/>
        <w:jc w:val="both"/>
      </w:pPr>
      <w:r>
        <w:rPr>
          <w:rFonts w:ascii="Barlow Semi Condensed" w:cs="Barlow Semi Condensed" w:eastAsia="Barlow Semi Condensed" w:hAnsi="Barlow Semi Condensed"/>
          <w:b/>
          <w:bCs/>
          <w:sz w:val="24"/>
          <w:szCs w:val="24"/>
        </w:rPr>
        <w:t xml:space="preserve">3315 · Che cosa deve ancora il mondo.</w:t>
      </w:r>
      <w:r>
        <w:rPr>
          <w:rFonts w:ascii="Barlow Semi Condensed" w:cs="Barlow Semi Condensed" w:eastAsia="Barlow Semi Condensed" w:hAnsi="Barlow Semi Condensed"/>
          <w:sz w:val="24"/>
          <w:szCs w:val="24"/>
        </w:rPr>
        <w:t xml:space="preserve"> Ogni pendenza chiude con un documento, dice il blocco 250: la consegna, la deposizione, il rilascio o il diniego motivato, con la tavola aggiornata e pubblica. Questa serie consegna al territorio tre bersagli di piano uno, l'udienza del 1982, il verbale italiano del 1974 e il lotto FOIA già posseduto, più un conteggio: zero occorrenze su duecentocinquanta blocchi. Il resto è ancora dovuto.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quarantaquattresima — Il manuale in quattrocento blocchi, seconda parte</w:t>
      </w:r>
    </w:p>
    <w:p>
      <w:pPr>
        <w:spacing w:after="120" w:line="276"/>
        <w:jc w:val="both"/>
      </w:pPr>
      <w:r>
        <w:rPr>
          <w:rFonts w:ascii="Barlow Semi Condensed" w:cs="Barlow Semi Condensed" w:eastAsia="Barlow Semi Condensed" w:hAnsi="Barlow Semi Condensed"/>
          <w:i/>
          <w:iCs/>
          <w:sz w:val="24"/>
          <w:szCs w:val="24"/>
        </w:rPr>
        <w:t xml:space="preserve">Blocchi 3316-3390.</w:t>
      </w:r>
    </w:p>
    <w:p>
      <w:pPr>
        <w:spacing w:after="120" w:line="276"/>
        <w:jc w:val="both"/>
      </w:pPr>
      <w:r>
        <w:rPr>
          <w:rFonts w:ascii="Barlow Semi Condensed" w:cs="Barlow Semi Condensed" w:eastAsia="Barlow Semi Condensed" w:hAnsi="Barlow Semi Condensed"/>
          <w:b/>
          <w:bCs/>
          <w:sz w:val="24"/>
          <w:szCs w:val="24"/>
        </w:rPr>
        <w:t xml:space="preserve">3316 · Quattrocento blocchi senza quel nome.</w:t>
      </w:r>
      <w:r>
        <w:rPr>
          <w:rFonts w:ascii="Barlow Semi Condensed" w:cs="Barlow Semi Condensed" w:eastAsia="Barlow Semi Condensed" w:hAnsi="Barlow Semi Condensed"/>
          <w:sz w:val="24"/>
          <w:szCs w:val="24"/>
        </w:rPr>
        <w:t xml:space="preserve"> Ricerca testuale integrale sul file manuale-investigativo-nuovo-caso-moro.md, seconda edizione accresciuta: il nome non compare in alcuno dei quattrocento blocchi, in alcuna delle quindici intestazioni di serie, nella nota conclusiva. Accertamento di grado alto, verificabile da chiunque in un passaggio. Il manuale operativo del nuovo Caso Moro non gli assegna un atto, una pista, un quesito. La triangolazione parte da questa assenza e non la aggira.</w:t>
      </w:r>
    </w:p>
    <w:p>
      <w:pPr>
        <w:spacing w:after="120" w:line="276"/>
        <w:jc w:val="both"/>
      </w:pPr>
      <w:r>
        <w:rPr>
          <w:rFonts w:ascii="Barlow Semi Condensed" w:cs="Barlow Semi Condensed" w:eastAsia="Barlow Semi Condensed" w:hAnsi="Barlow Semi Condensed"/>
          <w:b/>
          <w:bCs/>
          <w:sz w:val="24"/>
          <w:szCs w:val="24"/>
        </w:rPr>
        <w:t xml:space="preserve">3317 · Il teste-oracolo e la lezione Marini.</w:t>
      </w:r>
      <w:r>
        <w:rPr>
          <w:rFonts w:ascii="Barlow Semi Condensed" w:cs="Barlow Semi Condensed" w:eastAsia="Barlow Semi Condensed" w:hAnsi="Barlow Semi Condensed"/>
          <w:sz w:val="24"/>
          <w:szCs w:val="24"/>
        </w:rPr>
        <w:t xml:space="preserve"> Fondare qualunque cosa su una corroborazione assunta sulla parola è ciò che il blocco 253 vieta, ed è la lezione Marini. Applicata alla deposizione di Corrado Guerzoni davanti alla Corte d'assise di Roma nel novembre 1982, la regola impone di scrivere accanto al nome che egli non assistette al colloquio e riferì de relato, avendo appreso il fatto da Moro e dall'entourage. La scheda dei riscontri materiali resta bianca.</w:t>
      </w:r>
    </w:p>
    <w:p>
      <w:pPr>
        <w:spacing w:after="120" w:line="276"/>
        <w:jc w:val="both"/>
      </w:pPr>
      <w:r>
        <w:rPr>
          <w:rFonts w:ascii="Barlow Semi Condensed" w:cs="Barlow Semi Condensed" w:eastAsia="Barlow Semi Condensed" w:hAnsi="Barlow Semi Condensed"/>
          <w:b/>
          <w:bCs/>
          <w:sz w:val="24"/>
          <w:szCs w:val="24"/>
        </w:rPr>
        <w:t xml:space="preserve">3318 · La segnatura contro la circolazione.</w:t>
      </w:r>
      <w:r>
        <w:rPr>
          <w:rFonts w:ascii="Barlow Semi Condensed" w:cs="Barlow Semi Condensed" w:eastAsia="Barlow Semi Condensed" w:hAnsi="Barlow Semi Condensed"/>
          <w:sz w:val="24"/>
          <w:szCs w:val="24"/>
        </w:rPr>
        <w:t xml:space="preserve"> Mezzo secolo di «risulterebbe da un appunto» senza segnatura è ciò che il blocco 267 proibisce. Qui la segnatura esiste ed è precisa: documento 350 del volume FRUS 1969-1976 E-15 parte 2, seconda edizione riveduta, corrispondente al file 1552802 della Gerald R. Ford Presidential Library. Chi cita quel verbale come prova della frase attribuita deve misurarsi col suo testo, che quella frase non contiene.</w:t>
      </w:r>
    </w:p>
    <w:p>
      <w:pPr>
        <w:spacing w:after="120" w:line="276"/>
        <w:jc w:val="both"/>
      </w:pPr>
      <w:r>
        <w:rPr>
          <w:rFonts w:ascii="Barlow Semi Condensed" w:cs="Barlow Semi Condensed" w:eastAsia="Barlow Semi Condensed" w:hAnsi="Barlow Semi Condensed"/>
          <w:b/>
          <w:bCs/>
          <w:sz w:val="24"/>
          <w:szCs w:val="24"/>
        </w:rPr>
        <w:t xml:space="preserve">3319 · La data che non sta ferma.</w:t>
      </w:r>
      <w:r>
        <w:rPr>
          <w:rFonts w:ascii="Barlow Semi Condensed" w:cs="Barlow Semi Condensed" w:eastAsia="Barlow Semi Condensed" w:hAnsi="Barlow Semi Condensed"/>
          <w:sz w:val="24"/>
          <w:szCs w:val="24"/>
        </w:rPr>
        <w:t xml:space="preserve"> Cronologia prima dell'interpretazione, prescrive il blocco 261. L'episodio dell'avvertimento non ne possiede una: la versione italiana prevalente lo pone al 25 settembre 1974, una fonte d'agenzia statunitense dell'aprile 1983 lo colloca in un alterco all'ambasciata d'Italia a Washington nel 1977, altre sintesi indicano il 1976. Il 20 gennaio 1977 l'incarico di Segretario di Stato era cessato. La divergenza si riporta e attende l'atto che la dirima.</w:t>
      </w:r>
    </w:p>
    <w:p>
      <w:pPr>
        <w:spacing w:after="120" w:line="276"/>
        <w:jc w:val="both"/>
      </w:pPr>
      <w:r>
        <w:rPr>
          <w:rFonts w:ascii="Barlow Semi Condensed" w:cs="Barlow Semi Condensed" w:eastAsia="Barlow Semi Condensed" w:hAnsi="Barlow Semi Condensed"/>
          <w:b/>
          <w:bCs/>
          <w:sz w:val="24"/>
          <w:szCs w:val="24"/>
        </w:rPr>
        <w:t xml:space="preserve">3320 · Un solo lancio, molte testate.</w:t>
      </w:r>
      <w:r>
        <w:rPr>
          <w:rFonts w:ascii="Barlow Semi Condensed" w:cs="Barlow Semi Condensed" w:eastAsia="Barlow Semi Condensed" w:hAnsi="Barlow Semi Condensed"/>
          <w:sz w:val="24"/>
          <w:szCs w:val="24"/>
        </w:rPr>
        <w:t xml:space="preserve"> Prima il deposito, poi la parola: così il blocco 268 contro le svolte annunciate. La circolazione dell'episodio ha fatto l'inverso. Decine di riprese pressoché identiche risalgono a un unico lancio d'agenzia del 30 novembre 2023, il giorno dopo la morte a Kent. Il numero delle ripetizioni non è un grado, e ogni scheda che le registri deve contarle come fonte sola, mai come convergenza.</w:t>
      </w:r>
    </w:p>
    <w:p>
      <w:pPr>
        <w:spacing w:after="120" w:line="276"/>
        <w:jc w:val="both"/>
      </w:pPr>
      <w:r>
        <w:rPr>
          <w:rFonts w:ascii="Barlow Semi Condensed" w:cs="Barlow Semi Condensed" w:eastAsia="Barlow Semi Condensed" w:hAnsi="Barlow Semi Condensed"/>
          <w:b/>
          <w:bCs/>
          <w:sz w:val="24"/>
          <w:szCs w:val="24"/>
        </w:rPr>
        <w:t xml:space="preserve">3321 · «Furono gli americani» non è condotta.</w:t>
      </w:r>
      <w:r>
        <w:rPr>
          <w:rFonts w:ascii="Barlow Semi Condensed" w:cs="Barlow Semi Condensed" w:eastAsia="Barlow Semi Condensed" w:hAnsi="Barlow Semi Condensed"/>
          <w:sz w:val="24"/>
          <w:szCs w:val="24"/>
        </w:rPr>
        <w:t xml:space="preserve"> Sciogliere la colpa collettiva in atti e omissioni di persone e uffici, uno per uno, è il compito del blocco 258. «Furono gli americani» ricade esattamente lì, con la stessa struttura di «furono i servizi». La regola impone, per ogni asserzione sull'ostilità atlantica, il nome dell'ufficio, la data dell'atto e la segnatura. Senza quei tre elementi la frase resta cornice storiografica documentata e non entra nel registro delle condotte.</w:t>
      </w:r>
    </w:p>
    <w:p>
      <w:pPr>
        <w:spacing w:after="120" w:line="276"/>
        <w:jc w:val="both"/>
      </w:pPr>
      <w:r>
        <w:rPr>
          <w:rFonts w:ascii="Barlow Semi Condensed" w:cs="Barlow Semi Condensed" w:eastAsia="Barlow Semi Condensed" w:hAnsi="Barlow Semi Condensed"/>
          <w:b/>
          <w:bCs/>
          <w:sz w:val="24"/>
          <w:szCs w:val="24"/>
        </w:rPr>
        <w:t xml:space="preserve">3322 · Contemporaneità e cornice atlantica.</w:t>
      </w:r>
      <w:r>
        <w:rPr>
          <w:rFonts w:ascii="Barlow Semi Condensed" w:cs="Barlow Semi Condensed" w:eastAsia="Barlow Semi Condensed" w:hAnsi="Barlow Semi Condensed"/>
          <w:sz w:val="24"/>
          <w:szCs w:val="24"/>
        </w:rPr>
        <w:t xml:space="preserve"> Il triplo 18 aprile insegna, secondo il blocco 260, che le coincidenze entrano in matrice come fatti da spiegare, con le loro ipotesi alternative. La posizione atlantica ostile all'ingresso comunista, documentata nel verbale del 25 settembre 1974, è contemporanea alla maturazione del compromesso storico e nulla più: fra una linea di politica estera e un delitto avvenuto tre anni e mezzo dopo non si costruisce alcun arco.</w:t>
      </w:r>
    </w:p>
    <w:p>
      <w:pPr>
        <w:spacing w:after="120" w:line="276"/>
        <w:jc w:val="both"/>
      </w:pPr>
      <w:r>
        <w:rPr>
          <w:rFonts w:ascii="Barlow Semi Condensed" w:cs="Barlow Semi Condensed" w:eastAsia="Barlow Semi Condensed" w:hAnsi="Barlow Semi Condensed"/>
          <w:b/>
          <w:bCs/>
          <w:sz w:val="24"/>
          <w:szCs w:val="24"/>
        </w:rPr>
        <w:t xml:space="preserve">3323 · Il colloquio a margine.</w:t>
      </w:r>
      <w:r>
        <w:rPr>
          <w:rFonts w:ascii="Barlow Semi Condensed" w:cs="Barlow Semi Condensed" w:eastAsia="Barlow Semi Condensed" w:hAnsi="Barlow Semi Condensed"/>
          <w:sz w:val="24"/>
          <w:szCs w:val="24"/>
        </w:rPr>
        <w:t xml:space="preserve"> Secondo la testimonianza la frase sarebbe stata pronunciata a margine, in colloquio riservato o a cena. Il blocco 259 impone qui di misurare il buco e non di riempirlo: l'assenza dal memorandum ufficiale non prova né la falsità né la verità dell'episodio, indebolisce soltanto, e in modo netto, la versione che lo colloca nell'incontro dello Studio Ovale. Chi scrive «dunque accadde altrove» sta narrando.</w:t>
      </w:r>
    </w:p>
    <w:p>
      <w:pPr>
        <w:spacing w:after="120" w:line="276"/>
        <w:jc w:val="both"/>
      </w:pPr>
      <w:r>
        <w:rPr>
          <w:rFonts w:ascii="Barlow Semi Condensed" w:cs="Barlow Semi Condensed" w:eastAsia="Barlow Semi Condensed" w:hAnsi="Barlow Semi Condensed"/>
          <w:b/>
          <w:bCs/>
          <w:sz w:val="24"/>
          <w:szCs w:val="24"/>
        </w:rPr>
        <w:t xml:space="preserve">3324 · Il consulente non è un canale.</w:t>
      </w:r>
      <w:r>
        <w:rPr>
          <w:rFonts w:ascii="Barlow Semi Condensed" w:cs="Barlow Semi Condensed" w:eastAsia="Barlow Semi Condensed" w:hAnsi="Barlow Semi Condensed"/>
          <w:sz w:val="24"/>
          <w:szCs w:val="24"/>
        </w:rPr>
        <w:t xml:space="preserve"> La scheda PE-1 documenta la presenza di Steve Pieczenik nel comitato di esperti mai riunito collegialmente e la qualificazione di inattendibilità delle lettere. Regola di lettura contro l'errore dell'esperto squalificante, blocco 254: quel consulente operò nella primavera 1978, quando l'incarico di Segretario di Stato era cessato da oltre un anno. Trattarne la presenza come prolungamento personale di un altro nome è affermazione di piano 3.</w:t>
      </w:r>
    </w:p>
    <w:p>
      <w:pPr>
        <w:spacing w:after="120" w:line="276"/>
        <w:jc w:val="both"/>
      </w:pPr>
      <w:r>
        <w:rPr>
          <w:rFonts w:ascii="Barlow Semi Condensed" w:cs="Barlow Semi Condensed" w:eastAsia="Barlow Semi Condensed" w:hAnsi="Barlow Semi Condensed"/>
          <w:b/>
          <w:bCs/>
          <w:sz w:val="24"/>
          <w:szCs w:val="24"/>
        </w:rPr>
        <w:t xml:space="preserve">3325 · Le note dei servizi esteri.</w:t>
      </w:r>
      <w:r>
        <w:rPr>
          <w:rFonts w:ascii="Barlow Semi Condensed" w:cs="Barlow Semi Condensed" w:eastAsia="Barlow Semi Condensed" w:hAnsi="Barlow Semi Condensed"/>
          <w:sz w:val="24"/>
          <w:szCs w:val="24"/>
        </w:rPr>
        <w:t xml:space="preserve"> Nessuna nota d'intelligence testimonia: entra nel flusso come segnalazione, si riscontra, si grada. È il blocco 266, e vale integralmente per ogni appunto americano del quadriennio 1974-1978 che dovesse emergere dai versamenti del Viminale nel fondo Direttiva Renzi. Un appunto che riferisca una frase non prova la frase: prova che qualcuno la riferì, in una data, con un protocollo e un destinatario.</w:t>
      </w:r>
    </w:p>
    <w:p>
      <w:pPr>
        <w:spacing w:after="120" w:line="276"/>
        <w:jc w:val="both"/>
      </w:pPr>
      <w:r>
        <w:rPr>
          <w:rFonts w:ascii="Barlow Semi Condensed" w:cs="Barlow Semi Condensed" w:eastAsia="Barlow Semi Condensed" w:hAnsi="Barlow Semi Condensed"/>
          <w:b/>
          <w:bCs/>
          <w:sz w:val="24"/>
          <w:szCs w:val="24"/>
        </w:rPr>
        <w:t xml:space="preserve">3326 · Il «mai imputato, ma».</w:t>
      </w:r>
      <w:r>
        <w:rPr>
          <w:rFonts w:ascii="Barlow Semi Condensed" w:cs="Barlow Semi Condensed" w:eastAsia="Barlow Semi Condensed" w:hAnsi="Barlow Semi Condensed"/>
          <w:sz w:val="24"/>
          <w:szCs w:val="24"/>
        </w:rPr>
        <w:t xml:space="preserve"> Nessun procedimento penale, nessun rinvio a giudizio, nessuna imputazione in alcun Paese, e nessun magistrato italiano che lo abbia mai sentito in sede penale. Il blocco 262 colpisce il «fu assolto, ma»; qui occorre la sua forma estrema, perché chi tratta questa assenza come reticenza dell'ordinamento edifica un sospetto sul nulla processuale, anziché su un esito che almeno esiste.</w:t>
      </w:r>
    </w:p>
    <w:p>
      <w:pPr>
        <w:spacing w:after="120" w:line="276"/>
        <w:jc w:val="both"/>
      </w:pPr>
      <w:r>
        <w:rPr>
          <w:rFonts w:ascii="Barlow Semi Condensed" w:cs="Barlow Semi Condensed" w:eastAsia="Barlow Semi Condensed" w:hAnsi="Barlow Semi Condensed"/>
          <w:b/>
          <w:bCs/>
          <w:sz w:val="24"/>
          <w:szCs w:val="24"/>
        </w:rPr>
        <w:t xml:space="preserve">3327 · Il necrologio e il picco.</w:t>
      </w:r>
      <w:r>
        <w:rPr>
          <w:rFonts w:ascii="Barlow Semi Condensed" w:cs="Barlow Semi Condensed" w:eastAsia="Barlow Semi Condensed" w:hAnsi="Barlow Semi Condensed"/>
          <w:sz w:val="24"/>
          <w:szCs w:val="24"/>
        </w:rPr>
        <w:t xml:space="preserve"> Le scadenze commemorative non dettano il calendario istruttorio: blocco 271. La morte del 29 novembre 2023 ha prodotto in ventiquattr'ore un picco di riprese sull'episodio italiano, materiale di necrologio e non di archivio. Il cronoprogramma della serie decima resta indifferente a quel picco; semmai il registro delle segnalazioni della serie settima trattiene l'onda come oggetto di studio, secondo lo scenario del blocco 395.</w:t>
      </w:r>
    </w:p>
    <w:p>
      <w:pPr>
        <w:spacing w:after="120" w:line="276"/>
        <w:jc w:val="both"/>
      </w:pPr>
      <w:r>
        <w:rPr>
          <w:rFonts w:ascii="Barlow Semi Condensed" w:cs="Barlow Semi Condensed" w:eastAsia="Barlow Semi Condensed" w:hAnsi="Barlow Semi Condensed"/>
          <w:b/>
          <w:bCs/>
          <w:sz w:val="24"/>
          <w:szCs w:val="24"/>
        </w:rPr>
        <w:t xml:space="preserve">3328 · Cercare quando il custode è morto.</w:t>
      </w:r>
      <w:r>
        <w:rPr>
          <w:rFonts w:ascii="Barlow Semi Condensed" w:cs="Barlow Semi Condensed" w:eastAsia="Barlow Semi Condensed" w:hAnsi="Barlow Semi Condensed"/>
          <w:sz w:val="24"/>
          <w:szCs w:val="24"/>
        </w:rPr>
        <w:t xml:space="preserve"> L'errore dell'archivio postumo, blocco 274, è documentato in casa: la richiesta informale dei magistrati italiani del 1983 non ebbe seguito e nella documentazione del corpus non figura alcuna rogatoria formale successiva. Il 29 novembre 2023 la via testimoniale si è chiusa definitivamente. Va scritto come costo verificato e non come mistero: la voce mancante aveva una data di scadenza, ed è stata superata.</w:t>
      </w:r>
    </w:p>
    <w:p>
      <w:pPr>
        <w:spacing w:after="120" w:line="276"/>
        <w:jc w:val="both"/>
      </w:pPr>
      <w:r>
        <w:rPr>
          <w:rFonts w:ascii="Barlow Semi Condensed" w:cs="Barlow Semi Condensed" w:eastAsia="Barlow Semi Condensed" w:hAnsi="Barlow Semi Condensed"/>
          <w:b/>
          <w:bCs/>
          <w:sz w:val="24"/>
          <w:szCs w:val="24"/>
        </w:rPr>
        <w:t xml:space="preserve">3329 · Nessuna tecnica risolve una frase.</w:t>
      </w:r>
      <w:r>
        <w:rPr>
          <w:rFonts w:ascii="Barlow Semi Condensed" w:cs="Barlow Semi Condensed" w:eastAsia="Barlow Semi Condensed" w:hAnsi="Barlow Semi Condensed"/>
          <w:sz w:val="24"/>
          <w:szCs w:val="24"/>
        </w:rPr>
        <w:t xml:space="preserve"> Il quesito prima della tecnica, ammonisce il blocco 275. Per l'episodio contestato non esiste tecnica risolutiva: né analisi forense né stilometria restituiscono un colloquio orale mai verbalizzato. L'unico atto capace di spostarlo è archivistico — un appunto coevo, una nota d'ambasciata, un diario di servizio con data e protocollo. Chi promette una soluzione tecnologica a un problema di provenienza offre un risultato senza domanda.</w:t>
      </w:r>
    </w:p>
    <w:p>
      <w:pPr>
        <w:spacing w:after="120" w:line="276"/>
        <w:jc w:val="both"/>
      </w:pPr>
      <w:r>
        <w:rPr>
          <w:rFonts w:ascii="Barlow Semi Condensed" w:cs="Barlow Semi Condensed" w:eastAsia="Barlow Semi Condensed" w:hAnsi="Barlow Semi Condensed"/>
          <w:b/>
          <w:bCs/>
          <w:sz w:val="24"/>
          <w:szCs w:val="24"/>
        </w:rPr>
        <w:t xml:space="preserve">3330 · Pubblicare i fondi muti.</w:t>
      </w:r>
      <w:r>
        <w:rPr>
          <w:rFonts w:ascii="Barlow Semi Condensed" w:cs="Barlow Semi Condensed" w:eastAsia="Barlow Semi Condensed" w:hAnsi="Barlow Semi Condensed"/>
          <w:sz w:val="24"/>
          <w:szCs w:val="24"/>
        </w:rPr>
        <w:t xml:space="preserve"> Le comparazioni senza riscontro si pubblicano con la stessa evidenza dei ritrovamenti, blocco 276. La Fase sesta del corpus lo ha già eseguito su questo nome: fra gli Stati Zero del perimetro negativo dichiara il documento che leghi Kissinger-persona alla catena di comando del delitto, cercato e non trovato. Quella riga vale quanto un accertamento e va ripetuta in ogni relazione annuale finché resterà vera.</w:t>
      </w:r>
    </w:p>
    <w:p>
      <w:pPr>
        <w:spacing w:after="120" w:line="276"/>
        <w:jc w:val="both"/>
      </w:pPr>
      <w:r>
        <w:rPr>
          <w:rFonts w:ascii="Barlow Semi Condensed" w:cs="Barlow Semi Condensed" w:eastAsia="Barlow Semi Condensed" w:hAnsi="Barlow Semi Condensed"/>
          <w:b/>
          <w:bCs/>
          <w:sz w:val="24"/>
          <w:szCs w:val="24"/>
        </w:rPr>
        <w:t xml:space="preserve">3331 · L'intervista e il verbale.</w:t>
      </w:r>
      <w:r>
        <w:rPr>
          <w:rFonts w:ascii="Barlow Semi Condensed" w:cs="Barlow Semi Condensed" w:eastAsia="Barlow Semi Condensed" w:hAnsi="Barlow Semi Condensed"/>
          <w:sz w:val="24"/>
          <w:szCs w:val="24"/>
        </w:rPr>
        <w:t xml:space="preserve"> Una verità per gli atti e una per le interviste è ciò che il blocco 277 esclude. Il dossier ne offre il caso puro sul versante opposto a quello consueto: la smentita dell'interessato è nota per via giornalistica — diretta e circostanziata poco prima della morte, generica già nel 1983 — e non risulta reperita alcuna dichiarazione formale di un portavoce sul merito. Si registra come dichiarazione, con la sede.</w:t>
      </w:r>
    </w:p>
    <w:p>
      <w:pPr>
        <w:spacing w:after="120" w:line="276"/>
        <w:jc w:val="both"/>
      </w:pPr>
      <w:r>
        <w:rPr>
          <w:rFonts w:ascii="Barlow Semi Condensed" w:cs="Barlow Semi Condensed" w:eastAsia="Barlow Semi Condensed" w:hAnsi="Barlow Semi Condensed"/>
          <w:b/>
          <w:bCs/>
          <w:sz w:val="24"/>
          <w:szCs w:val="24"/>
        </w:rPr>
        <w:t xml:space="preserve">3332 · Il perimetro e la guerra fredda.</w:t>
      </w:r>
      <w:r>
        <w:rPr>
          <w:rFonts w:ascii="Barlow Semi Condensed" w:cs="Barlow Semi Condensed" w:eastAsia="Barlow Semi Condensed" w:hAnsi="Barlow Semi Condensed"/>
          <w:sz w:val="24"/>
          <w:szCs w:val="24"/>
        </w:rPr>
        <w:t xml:space="preserve"> Allargare il caso fino a contenervi ogni mistero d'Italia lo rende insolubile: blocco 273. La cornice della guerra fredda è il massimo allargamento tentabile, e nessuno dei quesiti ACH della serie sesta la include. Chi voglia introdurla deve portare ciò che la regola pretende: una matrice nuova con evidenza discriminante possibile, cioè il documento che, in un fondo nominato, direbbe di no.</w:t>
      </w:r>
    </w:p>
    <w:p>
      <w:pPr>
        <w:spacing w:after="120" w:line="276"/>
        <w:jc w:val="both"/>
      </w:pPr>
      <w:r>
        <w:rPr>
          <w:rFonts w:ascii="Barlow Semi Condensed" w:cs="Barlow Semi Condensed" w:eastAsia="Barlow Semi Condensed" w:hAnsi="Barlow Semi Condensed"/>
          <w:b/>
          <w:bCs/>
          <w:sz w:val="24"/>
          <w:szCs w:val="24"/>
        </w:rPr>
        <w:t xml:space="preserve">3333 · Il corpus corregge se stesso.</w:t>
      </w:r>
      <w:r>
        <w:rPr>
          <w:rFonts w:ascii="Barlow Semi Condensed" w:cs="Barlow Semi Condensed" w:eastAsia="Barlow Semi Condensed" w:hAnsi="Barlow Semi Condensed"/>
          <w:sz w:val="24"/>
          <w:szCs w:val="24"/>
        </w:rPr>
        <w:t xml:space="preserve"> Anche questo lavoro sbaglia, ammette il blocco 279. La prova sta nel file triangolazioni-guevara-moro.md: il nodo M-5 registrava l'avvertimento senza annotare la smentita, e sette precisazioni gli sono state affiancate per nota, senza riscrivere il testo originario. Fra esse il carattere de relato della deposizione del 1982 e l'attribuzione del nome ottenuta in aula dal presidente della corte, non offerta dalla teste.</w:t>
      </w:r>
    </w:p>
    <w:p>
      <w:pPr>
        <w:spacing w:after="120" w:line="276"/>
        <w:jc w:val="both"/>
      </w:pPr>
      <w:r>
        <w:rPr>
          <w:rFonts w:ascii="Barlow Semi Condensed" w:cs="Barlow Semi Condensed" w:eastAsia="Barlow Semi Condensed" w:hAnsi="Barlow Semi Condensed"/>
          <w:b/>
          <w:bCs/>
          <w:sz w:val="24"/>
          <w:szCs w:val="24"/>
        </w:rPr>
        <w:t xml:space="preserve">3334 · Un errore nuovo per il catalogo.</w:t>
      </w:r>
      <w:r>
        <w:rPr>
          <w:rFonts w:ascii="Barlow Semi Condensed" w:cs="Barlow Semi Condensed" w:eastAsia="Barlow Semi Condensed" w:hAnsi="Barlow Semi Condensed"/>
          <w:sz w:val="24"/>
          <w:szCs w:val="24"/>
        </w:rPr>
        <w:t xml:space="preserve"> Il catalogo del blocco 280 non si chiude e accoglie ogni errore nuovo con numero e antidoto. La campagna su questo nome ne consegna uno che vi manca: l'errore della moltiplicazione apparente, per cui la ripetizione identica di una notizia in decine di sedi viene scambiata per convergenza di fonti indipendenti. Antidoto: ogni scheda registra sede originaria e data del primo lancio, e conta i derivati separatamente.</w:t>
      </w:r>
    </w:p>
    <w:p>
      <w:pPr>
        <w:spacing w:after="120" w:line="276"/>
        <w:jc w:val="both"/>
      </w:pPr>
      <w:r>
        <w:rPr>
          <w:rFonts w:ascii="Barlow Semi Condensed" w:cs="Barlow Semi Condensed" w:eastAsia="Barlow Semi Condensed" w:hAnsi="Barlow Semi Condensed"/>
          <w:b/>
          <w:bCs/>
          <w:sz w:val="24"/>
          <w:szCs w:val="24"/>
        </w:rPr>
        <w:t xml:space="preserve">3335 · Novanta giorni senza questo nome.</w:t>
      </w:r>
      <w:r>
        <w:rPr>
          <w:rFonts w:ascii="Barlow Semi Condensed" w:cs="Barlow Semi Condensed" w:eastAsia="Barlow Semi Condensed" w:hAnsi="Barlow Semi Condensed"/>
          <w:sz w:val="24"/>
          <w:szCs w:val="24"/>
        </w:rPr>
        <w:t xml:space="preserve"> I quattro atti simultanei del blocco 281 — inventario generale dei reperti, tavola delle urgenze testimoniali, caricatore, istanza sul fascicolo FOIA identificato — non contengono il nome in nessuna delle loro descrizioni. Solo il quarto potrebbe farlo affiorare per via indiretta, se il fascicolo R-2021-002xx restituisse traffico che lo citi come terzo. È previsione dichiarata, con esito nullo ammesso in partenza.</w:t>
      </w:r>
    </w:p>
    <w:p>
      <w:pPr>
        <w:spacing w:after="120" w:line="276"/>
        <w:jc w:val="both"/>
      </w:pPr>
      <w:r>
        <w:rPr>
          <w:rFonts w:ascii="Barlow Semi Condensed" w:cs="Barlow Semi Condensed" w:eastAsia="Barlow Semi Condensed" w:hAnsi="Barlow Semi Condensed"/>
          <w:b/>
          <w:bCs/>
          <w:sz w:val="24"/>
          <w:szCs w:val="24"/>
        </w:rPr>
        <w:t xml:space="preserve">3336 · Il primo anno e i suoi fondi.</w:t>
      </w:r>
      <w:r>
        <w:rPr>
          <w:rFonts w:ascii="Barlow Semi Condensed" w:cs="Barlow Semi Condensed" w:eastAsia="Barlow Semi Condensed" w:hAnsi="Barlow Semi Condensed"/>
          <w:sz w:val="24"/>
          <w:szCs w:val="24"/>
        </w:rPr>
        <w:t xml:space="preserve"> Nessuno dei sei atti del blocco 282 tocca un archivio statunitense: perizia balistica di sintesi, catena documentale di Gradoli, dossier Montalcini, visure del condominio, avvio dello spoglio del fondo Renzi, registro delle segnalazioni sui tre calibri. Nel suo anno più operoso il territorio guarda soltanto carte italiane. Si verbalizza come struttura del piano di lavoro, non come reticenza: dove il caso lavora, questo nome non ha materia.</w:t>
      </w:r>
    </w:p>
    <w:p>
      <w:pPr>
        <w:spacing w:after="120" w:line="276"/>
        <w:jc w:val="both"/>
      </w:pPr>
      <w:r>
        <w:rPr>
          <w:rFonts w:ascii="Barlow Semi Condensed" w:cs="Barlow Semi Condensed" w:eastAsia="Barlow Semi Condensed" w:hAnsi="Barlow Semi Condensed"/>
          <w:b/>
          <w:bCs/>
          <w:sz w:val="24"/>
          <w:szCs w:val="24"/>
        </w:rPr>
        <w:t xml:space="preserve">3337 · Il triennio e la tavola americana.</w:t>
      </w:r>
      <w:r>
        <w:rPr>
          <w:rFonts w:ascii="Barlow Semi Condensed" w:cs="Barlow Semi Condensed" w:eastAsia="Barlow Semi Condensed" w:hAnsi="Barlow Semi Condensed"/>
          <w:sz w:val="24"/>
          <w:szCs w:val="24"/>
        </w:rPr>
        <w:t xml:space="preserve"> Fra gli atti del triennio il blocco 283 elenca la tavola rilasciato/trattenuto del traffico alleato, blocchi 115-118: unico punto del cronoprogramma in cui un archivio statunitense entra come giacimento. Quesito da portarvi: interrogare l'Access to Archival Databases del NARA per TAGS PINT e IT sulla finestra 16 marzo-31 dicembre 1978, e verificare se il nome vi compaia e con quale funzione.</w:t>
      </w:r>
    </w:p>
    <w:p>
      <w:pPr>
        <w:spacing w:after="120" w:line="276"/>
        <w:jc w:val="both"/>
      </w:pPr>
      <w:r>
        <w:rPr>
          <w:rFonts w:ascii="Barlow Semi Condensed" w:cs="Barlow Semi Condensed" w:eastAsia="Barlow Semi Condensed" w:hAnsi="Barlow Semi Condensed"/>
          <w:b/>
          <w:bCs/>
          <w:sz w:val="24"/>
          <w:szCs w:val="24"/>
        </w:rPr>
        <w:t xml:space="preserve">3338 · Gli atti a scadenza altrui.</w:t>
      </w:r>
      <w:r>
        <w:rPr>
          <w:rFonts w:ascii="Barlow Semi Condensed" w:cs="Barlow Semi Condensed" w:eastAsia="Barlow Semi Condensed" w:hAnsi="Barlow Semi Condensed"/>
          <w:sz w:val="24"/>
          <w:szCs w:val="24"/>
        </w:rPr>
        <w:t xml:space="preserve"> Tenere pronti gli atti che dipendono da calendari non nostri è la funzione del blocco 284, che nomina l'apertura dell'Archivio Apostolico Vaticano per Paolo VI. Ve ne va aggiunto uno: il regime di consultabilità delle carte private del personaggio, presso la Manuscript Division della Library of Congress e presso Manuscripts and Archives della Yale University Library. Quesito preliminare: quali termini, quale strumento di corredo, quale procedura d'istanza.</w:t>
      </w:r>
    </w:p>
    <w:p>
      <w:pPr>
        <w:spacing w:after="120" w:line="276"/>
        <w:jc w:val="both"/>
      </w:pPr>
      <w:r>
        <w:rPr>
          <w:rFonts w:ascii="Barlow Semi Condensed" w:cs="Barlow Semi Condensed" w:eastAsia="Barlow Semi Condensed" w:hAnsi="Barlow Semi Condensed"/>
          <w:b/>
          <w:bCs/>
          <w:sz w:val="24"/>
          <w:szCs w:val="24"/>
        </w:rPr>
        <w:t xml:space="preserve">3339 · Nessun giudizio prima della tavola.</w:t>
      </w:r>
      <w:r>
        <w:rPr>
          <w:rFonts w:ascii="Barlow Semi Condensed" w:cs="Barlow Semi Condensed" w:eastAsia="Barlow Semi Condensed" w:hAnsi="Barlow Semi Condensed"/>
          <w:sz w:val="24"/>
          <w:szCs w:val="24"/>
        </w:rPr>
        <w:t xml:space="preserve"> «Nessuna lettura del condominio prima delle date» è la formula del blocco 285. Tradotta su questo territorio: nessun giudizio sul peso di una posizione statunitense prima della tavola dei documenti che la esprimono, e nessuna tavola prima dell'interrogazione sistematica dei database di rilascio. Il diagramma delle dipendenze, che il blocco vuole agli atti, collochi la questione dopo il censimento e mai prima di esso.</w:t>
      </w:r>
    </w:p>
    <w:p>
      <w:pPr>
        <w:spacing w:after="120" w:line="276"/>
        <w:jc w:val="both"/>
      </w:pPr>
      <w:r>
        <w:rPr>
          <w:rFonts w:ascii="Barlow Semi Condensed" w:cs="Barlow Semi Condensed" w:eastAsia="Barlow Semi Condensed" w:hAnsi="Barlow Semi Condensed"/>
          <w:b/>
          <w:bCs/>
          <w:sz w:val="24"/>
          <w:szCs w:val="24"/>
        </w:rPr>
        <w:t xml:space="preserve">3340 · Quando fermarsi su questo nome.</w:t>
      </w:r>
      <w:r>
        <w:rPr>
          <w:rFonts w:ascii="Barlow Semi Condensed" w:cs="Barlow Semi Condensed" w:eastAsia="Barlow Semi Condensed" w:hAnsi="Barlow Semi Condensed"/>
          <w:sz w:val="24"/>
          <w:szCs w:val="24"/>
        </w:rPr>
        <w:t xml:space="preserve"> Tre condizioni chiudono una pista secondo il blocco 286: evidenza discriminante acquisita, fondo esaurito con certificazione, catena di custodia dichiarata insufficiente. Per il nesso ipotizzato fra questo nome e la catena di comando del sequestro la seconda è maturata solo in parte, perché la Fase sesta lo dichiara cercato e non trovato ma non fondo per fondo. La certificazione analitica è l'atto che resta.</w:t>
      </w:r>
    </w:p>
    <w:p>
      <w:pPr>
        <w:spacing w:after="120" w:line="276"/>
        <w:jc w:val="both"/>
      </w:pPr>
      <w:r>
        <w:rPr>
          <w:rFonts w:ascii="Barlow Semi Condensed" w:cs="Barlow Semi Condensed" w:eastAsia="Barlow Semi Condensed" w:hAnsi="Barlow Semi Condensed"/>
          <w:b/>
          <w:bCs/>
          <w:sz w:val="24"/>
          <w:szCs w:val="24"/>
        </w:rPr>
        <w:t xml:space="preserve">3341 · Un punteggio che non esiste.</w:t>
      </w:r>
      <w:r>
        <w:rPr>
          <w:rFonts w:ascii="Barlow Semi Condensed" w:cs="Barlow Semi Condensed" w:eastAsia="Barlow Semi Condensed" w:hAnsi="Barlow Semi Condensed"/>
          <w:sz w:val="24"/>
          <w:szCs w:val="24"/>
        </w:rPr>
        <w:t xml:space="preserve"> La graduatoria si ricalcola ogni trimestre col modello dichiarato di criteri e pesi, blocco 287. Nessuna delle sedici piste della serie quattordicesima annovera questo nome fra i propri criteri, e nessuna riceverebbe punti dal suo ingresso, perché il modello pesa rendimento, fattibilità, urgenza e impatto documentale, non notorietà del nodo. È la traduzione aritmetica del divieto che il blocco 361 oppone al bias di disponibilità.</w:t>
      </w:r>
    </w:p>
    <w:p>
      <w:pPr>
        <w:spacing w:after="120" w:line="276"/>
        <w:jc w:val="both"/>
      </w:pPr>
      <w:r>
        <w:rPr>
          <w:rFonts w:ascii="Barlow Semi Condensed" w:cs="Barlow Semi Condensed" w:eastAsia="Barlow Semi Condensed" w:hAnsi="Barlow Semi Condensed"/>
          <w:b/>
          <w:bCs/>
          <w:sz w:val="24"/>
          <w:szCs w:val="24"/>
        </w:rPr>
        <w:t xml:space="preserve">3342 · La soglia e la persona morta.</w:t>
      </w:r>
      <w:r>
        <w:rPr>
          <w:rFonts w:ascii="Barlow Semi Condensed" w:cs="Barlow Semi Condensed" w:eastAsia="Barlow Semi Condensed" w:hAnsi="Barlow Semi Condensed"/>
          <w:sz w:val="24"/>
          <w:szCs w:val="24"/>
        </w:rPr>
        <w:t xml:space="preserve"> Tutto si ferma, secondo il blocco 291, quando un atto produce evidenza che tocchi persone, e il materiale passa al fascicolo. Regola di lettura per questo territorio: la morte del 29 novembre 2023 estingue ogni eventuale azione penale ma non sposta di un grado il valore documentale di un ritrovamento. Un documento andrebbe consegnato ugualmente, e la qualificazione resterebbe dell'autorità giudiziaria, non degli storici che lo hanno rinvenuto.</w:t>
      </w:r>
    </w:p>
    <w:p>
      <w:pPr>
        <w:spacing w:after="120" w:line="276"/>
        <w:jc w:val="both"/>
      </w:pPr>
      <w:r>
        <w:rPr>
          <w:rFonts w:ascii="Barlow Semi Condensed" w:cs="Barlow Semi Condensed" w:eastAsia="Barlow Semi Condensed" w:hAnsi="Barlow Semi Condensed"/>
          <w:b/>
          <w:bCs/>
          <w:sz w:val="24"/>
          <w:szCs w:val="24"/>
        </w:rPr>
        <w:t xml:space="preserve">3343 · L'esito senza rilievo penale.</w:t>
      </w:r>
      <w:r>
        <w:rPr>
          <w:rFonts w:ascii="Barlow Semi Condensed" w:cs="Barlow Semi Condensed" w:eastAsia="Barlow Semi Condensed" w:hAnsi="Barlow Semi Condensed"/>
          <w:sz w:val="24"/>
          <w:szCs w:val="24"/>
        </w:rPr>
        <w:t xml:space="preserve"> Chiudere una questione sul piano documentale senza rilievo penale è la soglia storica del blocco 292: l'esito entra nel corpus con grado e fonti, e la pista si archivia con criterio di riapertura. Per l'episodio dell'avvertimento la soglia è stata varcata due volte, con l'accertamento sul contenuto del verbale del 25 settembre 1974 e con l'annotazione della smentita. Criterio di riapertura: un documento coevo, con provenienza.</w:t>
      </w:r>
    </w:p>
    <w:p>
      <w:pPr>
        <w:spacing w:after="120" w:line="276"/>
        <w:jc w:val="both"/>
      </w:pPr>
      <w:r>
        <w:rPr>
          <w:rFonts w:ascii="Barlow Semi Condensed" w:cs="Barlow Semi Condensed" w:eastAsia="Barlow Semi Condensed" w:hAnsi="Barlow Semi Condensed"/>
          <w:b/>
          <w:bCs/>
          <w:sz w:val="24"/>
          <w:szCs w:val="24"/>
        </w:rPr>
        <w:t xml:space="preserve">3344 · Contare carte, non centri.</w:t>
      </w:r>
      <w:r>
        <w:rPr>
          <w:rFonts w:ascii="Barlow Semi Condensed" w:cs="Barlow Semi Condensed" w:eastAsia="Barlow Semi Condensed" w:hAnsi="Barlow Semi Condensed"/>
          <w:sz w:val="24"/>
          <w:szCs w:val="24"/>
        </w:rPr>
        <w:t xml:space="preserve"> Il successo si misura in carte e non in colpevoli, blocco 294. Applicato qui, l'esito eccellente della triangolazione è una tavola di fondi interrogati con esito nullo, non un ponte. La densità documentale attorno a un nome misura quanto se n'è scritto, non quanto ha pesato: l'avvertenza che il blocco 302 vuole stampata nell'interfaccia del grafo vale in questo territorio più che altrove.</w:t>
      </w:r>
    </w:p>
    <w:p>
      <w:pPr>
        <w:spacing w:after="120" w:line="276"/>
        <w:jc w:val="both"/>
      </w:pPr>
      <w:r>
        <w:rPr>
          <w:rFonts w:ascii="Barlow Semi Condensed" w:cs="Barlow Semi Condensed" w:eastAsia="Barlow Semi Condensed" w:hAnsi="Barlow Semi Condensed"/>
          <w:b/>
          <w:bCs/>
          <w:sz w:val="24"/>
          <w:szCs w:val="24"/>
        </w:rPr>
        <w:t xml:space="preserve">3345 · L'anniversario e lo stato documentale.</w:t>
      </w:r>
      <w:r>
        <w:rPr>
          <w:rFonts w:ascii="Barlow Semi Condensed" w:cs="Barlow Semi Condensed" w:eastAsia="Barlow Semi Condensed" w:hAnsi="Barlow Semi Condensed"/>
          <w:sz w:val="24"/>
          <w:szCs w:val="24"/>
        </w:rPr>
        <w:t xml:space="preserve"> Ogni anniversario riceve dai cantieri una sola cosa, stabilisce il blocco 297: lo stato documentale del caso, che cosa si è chiuso e che cosa resta aperto, con che grado. Per questo nodo lo stato è scrivibile oggi in quattro righe — testimonianza contestata, de relato, data divergente, smentita annotata, nessun documento — e non muterà finché un fondo non parlerà. Consegnare quelle righe è meglio del silenzio.</w:t>
      </w:r>
    </w:p>
    <w:p>
      <w:pPr>
        <w:spacing w:after="120" w:line="276"/>
        <w:jc w:val="both"/>
      </w:pPr>
      <w:r>
        <w:rPr>
          <w:rFonts w:ascii="Barlow Semi Condensed" w:cs="Barlow Semi Condensed" w:eastAsia="Barlow Semi Condensed" w:hAnsi="Barlow Semi Condensed"/>
          <w:b/>
          <w:bCs/>
          <w:sz w:val="24"/>
          <w:szCs w:val="24"/>
        </w:rPr>
        <w:t xml:space="preserve">3346 · Un identificativo per un assente.</w:t>
      </w:r>
      <w:r>
        <w:rPr>
          <w:rFonts w:ascii="Barlow Semi Condensed" w:cs="Barlow Semi Condensed" w:eastAsia="Barlow Semi Condensed" w:hAnsi="Barlow Semi Condensed"/>
          <w:sz w:val="24"/>
          <w:szCs w:val="24"/>
        </w:rPr>
        <w:t xml:space="preserve"> La banca dati del blocco 301 assegna a ogni entità un identificativo stabile e a ogni asserzione il suo grado con la sua fonte. Questo nome vi entra come persona con due sole asserzioni di grado alto, l'anagrafe e gli incarichi, e con una asserzione contesa, l'episodio riferito. Il resto sono archi verso cornici e non verso atti: la scheda deve mostrarlo a colpo d'occhio.</w:t>
      </w:r>
    </w:p>
    <w:p>
      <w:pPr>
        <w:spacing w:after="120" w:line="276"/>
        <w:jc w:val="both"/>
      </w:pPr>
      <w:r>
        <w:rPr>
          <w:rFonts w:ascii="Barlow Semi Condensed" w:cs="Barlow Semi Condensed" w:eastAsia="Barlow Semi Condensed" w:hAnsi="Barlow Semi Condensed"/>
          <w:b/>
          <w:bCs/>
          <w:sz w:val="24"/>
          <w:szCs w:val="24"/>
        </w:rPr>
        <w:t xml:space="preserve">3347 · La centralità non è il peso.</w:t>
      </w:r>
      <w:r>
        <w:rPr>
          <w:rFonts w:ascii="Barlow Semi Condensed" w:cs="Barlow Semi Condensed" w:eastAsia="Barlow Semi Condensed" w:hAnsi="Barlow Semi Condensed"/>
          <w:sz w:val="24"/>
          <w:szCs w:val="24"/>
        </w:rPr>
        <w:t xml:space="preserve"> Il grafo operativo del blocco 302 ricalcola centralità, cammini e buchi a ogni versamento, con l'avvertenza stampata nell'interfaccia: le metriche misurano documenti, non colpe. Un nodo tanto citato gonfierebbe ogni misura. Va perciò affiancato il conteggio degli archi di piano 1: verso la persona di Aldo Moro ne esiste uno, il memorandum del 25 settembre 1974; verso il sequestro e la sua catena, nessuno.</w:t>
      </w:r>
    </w:p>
    <w:p>
      <w:pPr>
        <w:spacing w:after="120" w:line="276"/>
        <w:jc w:val="both"/>
      </w:pPr>
      <w:r>
        <w:rPr>
          <w:rFonts w:ascii="Barlow Semi Condensed" w:cs="Barlow Semi Condensed" w:eastAsia="Barlow Semi Condensed" w:hAnsi="Barlow Semi Condensed"/>
          <w:b/>
          <w:bCs/>
          <w:sz w:val="24"/>
          <w:szCs w:val="24"/>
        </w:rPr>
        <w:t xml:space="preserve">3348 · Numeri che non devono cambiare.</w:t>
      </w:r>
      <w:r>
        <w:rPr>
          <w:rFonts w:ascii="Barlow Semi Condensed" w:cs="Barlow Semi Condensed" w:eastAsia="Barlow Semi Condensed" w:hAnsi="Barlow Semi Condensed"/>
          <w:sz w:val="24"/>
          <w:szCs w:val="24"/>
        </w:rPr>
        <w:t xml:space="preserve"> Identificativi che non cambieranno mai, chiede il blocco 303, perché le citazioni fra atti li adoperino. Per questo territorio i candidati esistono già e vanno congelati: documento 350 del volume FRUS 1969-1976 E-15 parte 2 in seconda edizione riveduta, file 1552802 e file 1552806 della Ford Library. La precisazione sull'edizione è parte dell'identificativo: senza di essa la citazione punta a un testo diverso.</w:t>
      </w:r>
    </w:p>
    <w:p>
      <w:pPr>
        <w:spacing w:after="120" w:line="276"/>
        <w:jc w:val="both"/>
      </w:pPr>
      <w:r>
        <w:rPr>
          <w:rFonts w:ascii="Barlow Semi Condensed" w:cs="Barlow Semi Condensed" w:eastAsia="Barlow Semi Condensed" w:hAnsi="Barlow Semi Condensed"/>
          <w:b/>
          <w:bCs/>
          <w:sz w:val="24"/>
          <w:szCs w:val="24"/>
        </w:rPr>
        <w:t xml:space="preserve">3349 · Una data con barra d'incertezza.</w:t>
      </w:r>
      <w:r>
        <w:rPr>
          <w:rFonts w:ascii="Barlow Semi Condensed" w:cs="Barlow Semi Condensed" w:eastAsia="Barlow Semi Condensed" w:hAnsi="Barlow Semi Condensed"/>
          <w:sz w:val="24"/>
          <w:szCs w:val="24"/>
        </w:rPr>
        <w:t xml:space="preserve"> La cronologia strutturata del blocco 304 vuole data, ora dove nota, evento, fonte, grado. L'episodio contestato vi entra come record con intervallo aperto fra 1974 e 1977 e tre luoghi alternativi — Studio Ovale, cena ufficiale, ambasciata d'Italia a Washington — non come riga ferma al 25 settembre. Vi si registri anche la divergenza sulla durata della visita di Stato: 25-29 negli atti presidenziali, 25-27 nella nota FRUS.</w:t>
      </w:r>
    </w:p>
    <w:p>
      <w:pPr>
        <w:spacing w:after="120" w:line="276"/>
        <w:jc w:val="both"/>
      </w:pPr>
      <w:r>
        <w:rPr>
          <w:rFonts w:ascii="Barlow Semi Condensed" w:cs="Barlow Semi Condensed" w:eastAsia="Barlow Semi Condensed" w:hAnsi="Barlow Semi Condensed"/>
          <w:b/>
          <w:bCs/>
          <w:sz w:val="24"/>
          <w:szCs w:val="24"/>
        </w:rPr>
        <w:t xml:space="preserve">3350 · La lezione del numero incerto.</w:t>
      </w:r>
      <w:r>
        <w:rPr>
          <w:rFonts w:ascii="Barlow Semi Condensed" w:cs="Barlow Semi Condensed" w:eastAsia="Barlow Semi Condensed" w:hAnsi="Barlow Semi Condensed"/>
          <w:sz w:val="24"/>
          <w:szCs w:val="24"/>
        </w:rPr>
        <w:t xml:space="preserve"> Il caso R-2021-002xx insegna, al blocco 306, che le letture automatiche divergono e che la divergenza si dichiara nel dato: 00202 o 00208, e l'istanza porta entrambe le letture. Lo stesso trattamento spetta alle divergenze di questo dossier — 10 o 15 novembre 1982 per l'udienza romana, 1° o 11 agosto 1980 per l'audizione parlamentare — che restano nel campo e non si risolvono d'ufficio.</w:t>
      </w:r>
    </w:p>
    <w:p>
      <w:pPr>
        <w:spacing w:after="120" w:line="276"/>
        <w:jc w:val="both"/>
      </w:pPr>
      <w:r>
        <w:rPr>
          <w:rFonts w:ascii="Barlow Semi Condensed" w:cs="Barlow Semi Condensed" w:eastAsia="Barlow Semi Condensed" w:hAnsi="Barlow Semi Condensed"/>
          <w:b/>
          <w:bCs/>
          <w:sz w:val="24"/>
          <w:szCs w:val="24"/>
        </w:rPr>
        <w:t xml:space="preserve">3351 · Omonimie e collegamenti automatici.</w:t>
      </w:r>
      <w:r>
        <w:rPr>
          <w:rFonts w:ascii="Barlow Semi Condensed" w:cs="Barlow Semi Condensed" w:eastAsia="Barlow Semi Condensed" w:hAnsi="Barlow Semi Condensed"/>
          <w:sz w:val="24"/>
          <w:szCs w:val="24"/>
        </w:rPr>
        <w:t xml:space="preserve"> Il collegamento automatico dei nomi è proposto dalla macchina e confermato da un operatore, blocco 307, perché un omonimo collegato male è una diffamazione in potenza. Su questo cognome il rischio è inverso e più insidioso: l'aggregazione, cioè l'attrazione verso un unico nodo celebre di ogni occorrenza generica di «Segretario di Stato», «Washington», «amministrazione americana». Ogni arco esige il documento che nomini la persona.</w:t>
      </w:r>
    </w:p>
    <w:p>
      <w:pPr>
        <w:spacing w:after="120" w:line="276"/>
        <w:jc w:val="both"/>
      </w:pPr>
      <w:r>
        <w:rPr>
          <w:rFonts w:ascii="Barlow Semi Condensed" w:cs="Barlow Semi Condensed" w:eastAsia="Barlow Semi Condensed" w:hAnsi="Barlow Semi Condensed"/>
          <w:b/>
          <w:bCs/>
          <w:sz w:val="24"/>
          <w:szCs w:val="24"/>
        </w:rPr>
        <w:t xml:space="preserve">3352 · Una chiave in più per lo spoglio.</w:t>
      </w:r>
      <w:r>
        <w:rPr>
          <w:rFonts w:ascii="Barlow Semi Condensed" w:cs="Barlow Semi Condensed" w:eastAsia="Barlow Semi Condensed" w:hAnsi="Barlow Semi Condensed"/>
          <w:sz w:val="24"/>
          <w:szCs w:val="24"/>
        </w:rPr>
        <w:t xml:space="preserve"> Le chiavi minime dello spoglio del fondo Renzi, blocco 93, sono via Fani, Gradoli, Montalcini, Duchessa, i comitati, le segnalazioni, il memoriale, i nomi del registro e le date-cardine. Questo nome non vi figura. Proposta al blocco 308: aggiungerlo come chiave secondaria del text mining, con l'avvertenza che gli esiti restano candidati di ricerca e generano schede da verificare sulla carta.</w:t>
      </w:r>
    </w:p>
    <w:p>
      <w:pPr>
        <w:spacing w:after="120" w:line="276"/>
        <w:jc w:val="both"/>
      </w:pPr>
      <w:r>
        <w:rPr>
          <w:rFonts w:ascii="Barlow Semi Condensed" w:cs="Barlow Semi Condensed" w:eastAsia="Barlow Semi Condensed" w:hAnsi="Barlow Semi Condensed"/>
          <w:b/>
          <w:bCs/>
          <w:sz w:val="24"/>
          <w:szCs w:val="24"/>
        </w:rPr>
        <w:t xml:space="preserve">3353 · La voce che non fu registrata.</w:t>
      </w:r>
      <w:r>
        <w:rPr>
          <w:rFonts w:ascii="Barlow Semi Condensed" w:cs="Barlow Semi Condensed" w:eastAsia="Barlow Semi Condensed" w:hAnsi="Barlow Semi Condensed"/>
          <w:sz w:val="24"/>
          <w:szCs w:val="24"/>
        </w:rPr>
        <w:t xml:space="preserve"> Nessun contenuto generato entra negli atti come rappresentazione del reale: blocco 310. Il divieto ha qui un bersaglio prossimo e concreto, perché la ricostruzione sintetica di un colloquio del 1974 mai registrato, in voce o in immagine, è tecnicamente banale e documentalmente nulla. Se la divulgazione ne producesse una, il registro delle segnalazioni la scheda come oggetto di circolazione e mai come reperto.</w:t>
      </w:r>
    </w:p>
    <w:p>
      <w:pPr>
        <w:spacing w:after="120" w:line="276"/>
        <w:jc w:val="both"/>
      </w:pPr>
      <w:r>
        <w:rPr>
          <w:rFonts w:ascii="Barlow Semi Condensed" w:cs="Barlow Semi Condensed" w:eastAsia="Barlow Semi Condensed" w:hAnsi="Barlow Semi Condensed"/>
          <w:b/>
          <w:bCs/>
          <w:sz w:val="24"/>
          <w:szCs w:val="24"/>
        </w:rPr>
        <w:t xml:space="preserve">3354 · Pubblicare anche il nulla trovato.</w:t>
      </w:r>
      <w:r>
        <w:rPr>
          <w:rFonts w:ascii="Barlow Semi Condensed" w:cs="Barlow Semi Condensed" w:eastAsia="Barlow Semi Condensed" w:hAnsi="Barlow Semi Condensed"/>
          <w:sz w:val="24"/>
          <w:szCs w:val="24"/>
        </w:rPr>
        <w:t xml:space="preserve"> Le tavole prodotte si pubblicano come dati aperti riutilizzabili, blocco 314, perché la verifica altrui è un diritto e non una concessione. La tavola che questa serie raccomanda è quella dei fondi interrogati su questo nome con l'esito di ciascuno, inclusi i nulla: NARA AAD, FOIA Library, fondo Direttiva Renzi, atti delle commissioni, Archivio storico del Senato. Un elenco di esiti nulli è un dato.</w:t>
      </w:r>
    </w:p>
    <w:p>
      <w:pPr>
        <w:spacing w:after="120" w:line="276"/>
        <w:jc w:val="both"/>
      </w:pPr>
      <w:r>
        <w:rPr>
          <w:rFonts w:ascii="Barlow Semi Condensed" w:cs="Barlow Semi Condensed" w:eastAsia="Barlow Semi Condensed" w:hAnsi="Barlow Semi Condensed"/>
          <w:b/>
          <w:bCs/>
          <w:sz w:val="24"/>
          <w:szCs w:val="24"/>
        </w:rPr>
        <w:t xml:space="preserve">3355 · Lo script che conta le riprese.</w:t>
      </w:r>
      <w:r>
        <w:rPr>
          <w:rFonts w:ascii="Barlow Semi Condensed" w:cs="Barlow Semi Condensed" w:eastAsia="Barlow Semi Condensed" w:hAnsi="Barlow Semi Condensed"/>
          <w:sz w:val="24"/>
          <w:szCs w:val="24"/>
        </w:rPr>
        <w:t xml:space="preserve"> Accanto a ogni numero pubblicato deve stare lo script che lo genera, vuole il blocco 319, e il 320 esclude dagli atti ciò che terzi non riproducono col codice depositato. L'affermazione sulla moltiplicazione apparente è verificabile proprio così: ricostruzione datata dell'albero di diffusione a partire dal lancio del 30 novembre 2023. Bersaglio di smentita: una ripresa anteriore e non derivata, con fonte propria dichiarata.</w:t>
      </w:r>
    </w:p>
    <w:p>
      <w:pPr>
        <w:spacing w:after="120" w:line="276"/>
        <w:jc w:val="both"/>
      </w:pPr>
      <w:r>
        <w:rPr>
          <w:rFonts w:ascii="Barlow Semi Condensed" w:cs="Barlow Semi Condensed" w:eastAsia="Barlow Semi Condensed" w:hAnsi="Barlow Semi Condensed"/>
          <w:b/>
          <w:bCs/>
          <w:sz w:val="24"/>
          <w:szCs w:val="24"/>
        </w:rPr>
        <w:t xml:space="preserve">3356 · Gli stenografici da riacquisire.</w:t>
      </w:r>
      <w:r>
        <w:rPr>
          <w:rFonts w:ascii="Barlow Semi Condensed" w:cs="Barlow Semi Condensed" w:eastAsia="Barlow Semi Condensed" w:hAnsi="Barlow Semi Condensed"/>
          <w:sz w:val="24"/>
          <w:szCs w:val="24"/>
        </w:rPr>
        <w:t xml:space="preserve"> Il limite dichiarato nell'apparato K-5 è che la campagna non ha letto i testi primari: né i resoconti stenografici della Commissione d'inchiesta, VIII legislatura, Doc. XXIII, né i verbali d'udienza della Corte d'assise di Roma. Il blocco 305 indica la via — digitalizzazione, riconoscimento ottico, collegamento all'immagine della carta. Sedi che chiuderebbero la lacuna: Archivio storico del Senato, blocco 99, e la cancelleria della corte.</w:t>
      </w:r>
    </w:p>
    <w:p>
      <w:pPr>
        <w:spacing w:after="120" w:line="276"/>
        <w:jc w:val="both"/>
      </w:pPr>
      <w:r>
        <w:rPr>
          <w:rFonts w:ascii="Barlow Semi Condensed" w:cs="Barlow Semi Condensed" w:eastAsia="Barlow Semi Condensed" w:hAnsi="Barlow Semi Condensed"/>
          <w:b/>
          <w:bCs/>
          <w:sz w:val="24"/>
          <w:szCs w:val="24"/>
        </w:rPr>
        <w:t xml:space="preserve">3357 · Quale norma governa uno straniero.</w:t>
      </w:r>
      <w:r>
        <w:rPr>
          <w:rFonts w:ascii="Barlow Semi Condensed" w:cs="Barlow Semi Condensed" w:eastAsia="Barlow Semi Condensed" w:hAnsi="Barlow Semi Condensed"/>
          <w:sz w:val="24"/>
          <w:szCs w:val="24"/>
        </w:rPr>
        <w:t xml:space="preserve"> La tavola delle norme del blocco 331 assegna a ciascuna disciplina la sede che la applica. Per questo territorio la casella rilevante è una sola, la cooperazione giudiziaria internazionale, e la sede è il Ministero della Giustizia su impulso dell'autorità richiedente. Va compilata anche quando l'esito è nullo: una casella vuota nella mappa normativa è un'informazione, una casella assente è un'omissione di metodo.</w:t>
      </w:r>
    </w:p>
    <w:p>
      <w:pPr>
        <w:spacing w:after="120" w:line="276"/>
        <w:jc w:val="both"/>
      </w:pPr>
      <w:r>
        <w:rPr>
          <w:rFonts w:ascii="Barlow Semi Condensed" w:cs="Barlow Semi Condensed" w:eastAsia="Barlow Semi Condensed" w:hAnsi="Barlow Semi Condensed"/>
          <w:b/>
          <w:bCs/>
          <w:sz w:val="24"/>
          <w:szCs w:val="24"/>
        </w:rPr>
        <w:t xml:space="preserve">3358 · L'imprescrittibilità non crea soggetti.</w:t>
      </w:r>
      <w:r>
        <w:rPr>
          <w:rFonts w:ascii="Barlow Semi Condensed" w:cs="Barlow Semi Condensed" w:eastAsia="Barlow Semi Condensed" w:hAnsi="Barlow Semi Condensed"/>
          <w:sz w:val="24"/>
          <w:szCs w:val="24"/>
        </w:rPr>
        <w:t xml:space="preserve"> Sull'imprescrittibilità dei delitti puniti con la pena perpetua il blocco 332 fonda l'intero manuale: il fascicolo del caso non ha orologio. Regola di lettura da fissare qui: l'imprescrittibilità riguarda il fatto, non genera indagati e non trasforma un'ipotesi storiografica in posizione processuale. Nessuna persona entra nel fascicolo perché il fascicolo è aperto; vi entra se un atto documentale la nomina.</w:t>
      </w:r>
    </w:p>
    <w:p>
      <w:pPr>
        <w:spacing w:after="120" w:line="276"/>
        <w:jc w:val="both"/>
      </w:pPr>
      <w:r>
        <w:rPr>
          <w:rFonts w:ascii="Barlow Semi Condensed" w:cs="Barlow Semi Condensed" w:eastAsia="Barlow Semi Condensed" w:hAnsi="Barlow Semi Condensed"/>
          <w:b/>
          <w:bCs/>
          <w:sz w:val="24"/>
          <w:szCs w:val="24"/>
        </w:rPr>
        <w:t xml:space="preserve">3359 · Che cosa sarebbe prova nuova.</w:t>
      </w:r>
      <w:r>
        <w:rPr>
          <w:rFonts w:ascii="Barlow Semi Condensed" w:cs="Barlow Semi Condensed" w:eastAsia="Barlow Semi Condensed" w:hAnsi="Barlow Semi Condensed"/>
          <w:sz w:val="24"/>
          <w:szCs w:val="24"/>
        </w:rPr>
        <w:t xml:space="preserve"> Le posizioni archiviate si riaprono per elementi nuovi nelle forme del codice, blocco 333. Per il versante internazionale l'elemento nuovo ha una forma dichiarabile in anticipo, ed è bene dichiararla: un documento coevo, di provenienza accertata, che nomini insieme una persona statunitense e un atto della catena del sequestro. Nessuna dichiarazione postuma, per quanto autorevole o clamorosa, soddisfa quella descrizione.</w:t>
      </w:r>
    </w:p>
    <w:p>
      <w:pPr>
        <w:spacing w:after="120" w:line="276"/>
        <w:jc w:val="both"/>
      </w:pPr>
      <w:r>
        <w:rPr>
          <w:rFonts w:ascii="Barlow Semi Condensed" w:cs="Barlow Semi Condensed" w:eastAsia="Barlow Semi Condensed" w:hAnsi="Barlow Semi Condensed"/>
          <w:b/>
          <w:bCs/>
          <w:sz w:val="24"/>
          <w:szCs w:val="24"/>
        </w:rPr>
        <w:t xml:space="preserve">3360 · Il segreto ha un titolare italiano.</w:t>
      </w:r>
      <w:r>
        <w:rPr>
          <w:rFonts w:ascii="Barlow Semi Condensed" w:cs="Barlow Semi Condensed" w:eastAsia="Barlow Semi Condensed" w:hAnsi="Barlow Semi Condensed"/>
          <w:sz w:val="24"/>
          <w:szCs w:val="24"/>
        </w:rPr>
        <w:t xml:space="preserve"> Il segreto è un istituto e non una nebbia, insegna il blocco 335: chi lo appose, quando scade, quale procedura di verifica è esperibile. Il 336 aggiunge il limite costituzionale sui fatti eversivi dell'ordine democratico. Entrambi valgono per atti italiani soltanto: la classificazione statunitense non è segreto di Stato italiano e si tratta col regime del blocco 119, cioè la regola dell'originatore.</w:t>
      </w:r>
    </w:p>
    <w:p>
      <w:pPr>
        <w:spacing w:after="120" w:line="276"/>
        <w:jc w:val="both"/>
      </w:pPr>
      <w:r>
        <w:rPr>
          <w:rFonts w:ascii="Barlow Semi Condensed" w:cs="Barlow Semi Condensed" w:eastAsia="Barlow Semi Condensed" w:hAnsi="Barlow Semi Condensed"/>
          <w:b/>
          <w:bCs/>
          <w:sz w:val="24"/>
          <w:szCs w:val="24"/>
        </w:rPr>
        <w:t xml:space="preserve">3361 · L'elenco esatto contro l'appello generico.</w:t>
      </w:r>
      <w:r>
        <w:rPr>
          <w:rFonts w:ascii="Barlow Semi Condensed" w:cs="Barlow Semi Condensed" w:eastAsia="Barlow Semi Condensed" w:hAnsi="Barlow Semi Condensed"/>
          <w:sz w:val="24"/>
          <w:szCs w:val="24"/>
        </w:rPr>
        <w:t xml:space="preserve"> Proposta formale con l'elenco esatto degli atti, non l'ennesimo appello alla desecretazione: così il blocco 242, mentre il 339 prevede istanze puntuali di declassifica. Applicazione: se una richiesta di consenso all'originatore riguardasse atti che nominano questo personaggio, l'istanza li elenchi per identificativo di serie. La cifra circolante dei circa 474 atti di origine alleata va verificata su atto prima di ogni uso.</w:t>
      </w:r>
    </w:p>
    <w:p>
      <w:pPr>
        <w:spacing w:after="120" w:line="276"/>
        <w:jc w:val="both"/>
      </w:pPr>
      <w:r>
        <w:rPr>
          <w:rFonts w:ascii="Barlow Semi Condensed" w:cs="Barlow Semi Condensed" w:eastAsia="Barlow Semi Condensed" w:hAnsi="Barlow Semi Condensed"/>
          <w:b/>
          <w:bCs/>
          <w:sz w:val="24"/>
          <w:szCs w:val="24"/>
        </w:rPr>
        <w:t xml:space="preserve">3362 · La rogatoria che non risulta.</w:t>
      </w:r>
      <w:r>
        <w:rPr>
          <w:rFonts w:ascii="Barlow Semi Condensed" w:cs="Barlow Semi Condensed" w:eastAsia="Barlow Semi Condensed" w:hAnsi="Barlow Semi Condensed"/>
          <w:sz w:val="24"/>
          <w:szCs w:val="24"/>
        </w:rPr>
        <w:t xml:space="preserve"> Gli strumenti di assistenza giudiziaria si attivano dalle autorità competenti su impulso motivato, blocco 342. Stato Zero verbalizzato: nella documentazione del corpus non figura alcuna rogatoria formale diretta a raccogliere questa deposizione, e la richiesta informale del 1983 non ebbe seguito. Sedi che chiuderebbero la lacuna: fascicoli della Procura e della Corte d'assise di Roma, ufficio rogatorie del Ministero della Giustizia.</w:t>
      </w:r>
    </w:p>
    <w:p>
      <w:pPr>
        <w:spacing w:after="120" w:line="276"/>
        <w:jc w:val="both"/>
      </w:pPr>
      <w:r>
        <w:rPr>
          <w:rFonts w:ascii="Barlow Semi Condensed" w:cs="Barlow Semi Condensed" w:eastAsia="Barlow Semi Condensed" w:hAnsi="Barlow Semi Condensed"/>
          <w:b/>
          <w:bCs/>
          <w:sz w:val="24"/>
          <w:szCs w:val="24"/>
        </w:rPr>
        <w:t xml:space="preserve">3363 · Due regimi da non confondere.</w:t>
      </w:r>
      <w:r>
        <w:rPr>
          <w:rFonts w:ascii="Barlow Semi Condensed" w:cs="Barlow Semi Condensed" w:eastAsia="Barlow Semi Condensed" w:hAnsi="Barlow Semi Condensed"/>
          <w:sz w:val="24"/>
          <w:szCs w:val="24"/>
        </w:rPr>
        <w:t xml:space="preserve"> Chi è chiamato dalle autorità ha doveri e garanzie di legge; chi parla ai cantieri storici lo fa volontariamente, con consenso informato scritto. Il blocco 347 vieta di mescolare i due regimi, e l'interlocutore di questo dossier non fu mai nel primo. Le sue risposte a giornalisti stanno nel secondo nella forma più debole — senza verbale, senza contraddittorio — e si citano come dichiarazioni datate.</w:t>
      </w:r>
    </w:p>
    <w:p>
      <w:pPr>
        <w:spacing w:after="120" w:line="276"/>
        <w:jc w:val="both"/>
      </w:pPr>
      <w:r>
        <w:rPr>
          <w:rFonts w:ascii="Barlow Semi Condensed" w:cs="Barlow Semi Condensed" w:eastAsia="Barlow Semi Condensed" w:hAnsi="Barlow Semi Condensed"/>
          <w:b/>
          <w:bCs/>
          <w:sz w:val="24"/>
          <w:szCs w:val="24"/>
        </w:rPr>
        <w:t xml:space="preserve">3364 · La dignità dopo la morte.</w:t>
      </w:r>
      <w:r>
        <w:rPr>
          <w:rFonts w:ascii="Barlow Semi Condensed" w:cs="Barlow Semi Condensed" w:eastAsia="Barlow Semi Condensed" w:hAnsi="Barlow Semi Condensed"/>
          <w:sz w:val="24"/>
          <w:szCs w:val="24"/>
        </w:rPr>
        <w:t xml:space="preserve"> Diritti dei terzi viventi come obbligo, memoria dei defunti come dovere di dignità: così il blocco 340. Il 349 fissa i confini della critica storica in verità putativa, continenza e interesse pubblico, aggiungendo che il grado dichiarato è più esigente della continenza. Su un nome tanto esposto, scrivere «testimonianza contestata» accanto all'episodio non è prudenza giuridica: è esattezza documentale, e non costa nulla.</w:t>
      </w:r>
    </w:p>
    <w:p>
      <w:pPr>
        <w:spacing w:after="120" w:line="276"/>
        <w:jc w:val="both"/>
      </w:pPr>
      <w:r>
        <w:rPr>
          <w:rFonts w:ascii="Barlow Semi Condensed" w:cs="Barlow Semi Condensed" w:eastAsia="Barlow Semi Condensed" w:hAnsi="Barlow Semi Condensed"/>
          <w:b/>
          <w:bCs/>
          <w:sz w:val="24"/>
          <w:szCs w:val="24"/>
        </w:rPr>
        <w:t xml:space="preserve">3365 · Il mercato dei falsi e l'esca.</w:t>
      </w:r>
      <w:r>
        <w:rPr>
          <w:rFonts w:ascii="Barlow Semi Condensed" w:cs="Barlow Semi Condensed" w:eastAsia="Barlow Semi Condensed" w:hAnsi="Barlow Semi Condensed"/>
          <w:sz w:val="24"/>
          <w:szCs w:val="24"/>
        </w:rPr>
        <w:t xml:space="preserve"> Documenti contraffatti offerti ai cantieri si trattano con perizia immediata e, ove rilevante, con denuncia: blocco 351, e il caso ne ha già visti. Questo nodo è un'esca ideale — un appunto d'ambasciata, un memorandum riservato, una nota manoscritta del 1974 — perché il mercato conosce ciò che il pubblico desidera trovare. Ogni offerta si sottopone a perizia prima di essere letta, e la provenienza precede il contenuto.</w:t>
      </w:r>
    </w:p>
    <w:p>
      <w:pPr>
        <w:spacing w:after="120" w:line="276"/>
        <w:jc w:val="both"/>
      </w:pPr>
      <w:r>
        <w:rPr>
          <w:rFonts w:ascii="Barlow Semi Condensed" w:cs="Barlow Semi Condensed" w:eastAsia="Barlow Semi Condensed" w:hAnsi="Barlow Semi Condensed"/>
          <w:b/>
          <w:bCs/>
          <w:sz w:val="24"/>
          <w:szCs w:val="24"/>
        </w:rPr>
        <w:t xml:space="preserve">3366 · I doveri d'ufficio del 1978.</w:t>
      </w:r>
      <w:r>
        <w:rPr>
          <w:rFonts w:ascii="Barlow Semi Condensed" w:cs="Barlow Semi Condensed" w:eastAsia="Barlow Semi Condensed" w:hAnsi="Barlow Semi Condensed"/>
          <w:sz w:val="24"/>
          <w:szCs w:val="24"/>
        </w:rPr>
        <w:t xml:space="preserve"> Le condotte storiche si valutano contro i doveri giuridici dell'epoca, blocco 352 con i blocchi 137 e 138. Ne discende un limite netto per il versante internazionale: un ministro straniero non ha doveri d'ufficio nell'ordinamento italiano, dunque la tavola delle competenze non può contenerlo. Il metro applicabile a un capo di gabinetto del Viminale non è disponibile per lui, e resta solo il documento.</w:t>
      </w:r>
    </w:p>
    <w:p>
      <w:pPr>
        <w:spacing w:after="120" w:line="276"/>
        <w:jc w:val="both"/>
      </w:pPr>
      <w:r>
        <w:rPr>
          <w:rFonts w:ascii="Barlow Semi Condensed" w:cs="Barlow Semi Condensed" w:eastAsia="Barlow Semi Condensed" w:hAnsi="Barlow Semi Condensed"/>
          <w:b/>
          <w:bCs/>
          <w:sz w:val="24"/>
          <w:szCs w:val="24"/>
        </w:rPr>
        <w:t xml:space="preserve">3367 · La miglior confutazione possibile.</w:t>
      </w:r>
      <w:r>
        <w:rPr>
          <w:rFonts w:ascii="Barlow Semi Condensed" w:cs="Barlow Semi Condensed" w:eastAsia="Barlow Semi Condensed" w:hAnsi="Barlow Semi Condensed"/>
          <w:sz w:val="24"/>
          <w:szCs w:val="24"/>
        </w:rPr>
        <w:t xml:space="preserve"> Il red team del blocco 356 scrive, prima della pubblicazione, la miglior confutazione dell'esito, e la risposta è parte dell'atto. Confutazione della tesi qui sostenuta: due testimoni qualificati riferirono la stessa sostanza, uno di essi familiare della vittima, e l'assenza dal verbale ufficiale non copre i colloqui privati. Risposta: nessuno dei due assistette al colloquio riservato, e il de relato resta de relato.</w:t>
      </w:r>
    </w:p>
    <w:p>
      <w:pPr>
        <w:spacing w:after="120" w:line="276"/>
        <w:jc w:val="both"/>
      </w:pPr>
      <w:r>
        <w:rPr>
          <w:rFonts w:ascii="Barlow Semi Condensed" w:cs="Barlow Semi Condensed" w:eastAsia="Barlow Semi Condensed" w:hAnsi="Barlow Semi Condensed"/>
          <w:b/>
          <w:bCs/>
          <w:sz w:val="24"/>
          <w:szCs w:val="24"/>
        </w:rPr>
        <w:t xml:space="preserve">3368 · Difendere l'ipotesi meno gradita.</w:t>
      </w:r>
      <w:r>
        <w:rPr>
          <w:rFonts w:ascii="Barlow Semi Condensed" w:cs="Barlow Semi Condensed" w:eastAsia="Barlow Semi Condensed" w:hAnsi="Barlow Semi Condensed"/>
          <w:sz w:val="24"/>
          <w:szCs w:val="24"/>
        </w:rPr>
        <w:t xml:space="preserve"> In ogni matrice ACH un membro designato difende d'ufficio l'ipotesi meno gradita al gruppo, e la difesa si verbalizza: blocco 357. Qui l'ipotesi meno gradita a chi scrive è che l'episodio sia realmente avvenuto e sia rimasto senza carta perché fu orale e privato. Va difesa senza sconti: è compatibile con tutte le evidenze note, e da essa comunque non discende alcun nesso col sequestro.</w:t>
      </w:r>
    </w:p>
    <w:p>
      <w:pPr>
        <w:spacing w:after="120" w:line="276"/>
        <w:jc w:val="both"/>
      </w:pPr>
      <w:r>
        <w:rPr>
          <w:rFonts w:ascii="Barlow Semi Condensed" w:cs="Barlow Semi Condensed" w:eastAsia="Barlow Semi Condensed" w:hAnsi="Barlow Semi Condensed"/>
          <w:b/>
          <w:bCs/>
          <w:sz w:val="24"/>
          <w:szCs w:val="24"/>
        </w:rPr>
        <w:t xml:space="preserve">3369 · Cercare prima ciò che smentisce.</w:t>
      </w:r>
      <w:r>
        <w:rPr>
          <w:rFonts w:ascii="Barlow Semi Condensed" w:cs="Barlow Semi Condensed" w:eastAsia="Barlow Semi Condensed" w:hAnsi="Barlow Semi Condensed"/>
          <w:sz w:val="24"/>
          <w:szCs w:val="24"/>
        </w:rPr>
        <w:t xml:space="preserve"> Il falsificazionismo fatto agenda è il blocco 358: ogni piano di ricerca elenca le evidenze che smentirebbero e le cerca per prime. Elenco per questo territorio: un appunto italiano coevo che riferisca la frase; una nota d'ambasciata fra 1974 e 1977; un diario di servizio; un promemoria della segreteria particolare di Moro. Si cercano per primi, e il loro esito nullo si pubblica.</w:t>
      </w:r>
    </w:p>
    <w:p>
      <w:pPr>
        <w:spacing w:after="120" w:line="276"/>
        <w:jc w:val="both"/>
      </w:pPr>
      <w:r>
        <w:rPr>
          <w:rFonts w:ascii="Barlow Semi Condensed" w:cs="Barlow Semi Condensed" w:eastAsia="Barlow Semi Condensed" w:hAnsi="Barlow Semi Condensed"/>
          <w:b/>
          <w:bCs/>
          <w:sz w:val="24"/>
          <w:szCs w:val="24"/>
        </w:rPr>
        <w:t xml:space="preserve">3370 · Giudicare il 1974 senza il 1978.</w:t>
      </w:r>
      <w:r>
        <w:rPr>
          <w:rFonts w:ascii="Barlow Semi Condensed" w:cs="Barlow Semi Condensed" w:eastAsia="Barlow Semi Condensed" w:hAnsi="Barlow Semi Condensed"/>
          <w:sz w:val="24"/>
          <w:szCs w:val="24"/>
        </w:rPr>
        <w:t xml:space="preserve"> Valutare le condotte con le sole informazioni disponibili all'epoca dell'atto è la disciplina del blocco 359. Chi legge il memorandum del 25 settembre 1974 sapendo che nel marzo 1978 Moro sarebbe stato rapito attribuisce a quelle frasi un peso che allora non avevano: erano posizione dichiarata di politica estera, col precedente portoghese richiamato in aula. Il senno di poi, qui, non aggrava un giudizio: lo fabbrica.</w:t>
      </w:r>
    </w:p>
    <w:p>
      <w:pPr>
        <w:spacing w:after="120" w:line="276"/>
        <w:jc w:val="both"/>
      </w:pPr>
      <w:r>
        <w:rPr>
          <w:rFonts w:ascii="Barlow Semi Condensed" w:cs="Barlow Semi Condensed" w:eastAsia="Barlow Semi Condensed" w:hAnsi="Barlow Semi Condensed"/>
          <w:b/>
          <w:bCs/>
          <w:sz w:val="24"/>
          <w:szCs w:val="24"/>
        </w:rPr>
        <w:t xml:space="preserve">3371 · L'àncora della prima data.</w:t>
      </w:r>
      <w:r>
        <w:rPr>
          <w:rFonts w:ascii="Barlow Semi Condensed" w:cs="Barlow Semi Condensed" w:eastAsia="Barlow Semi Condensed" w:hAnsi="Barlow Semi Condensed"/>
          <w:sz w:val="24"/>
          <w:szCs w:val="24"/>
        </w:rPr>
        <w:t xml:space="preserve"> La prima versione orienta tutto il seguito, avverte il blocco 360, e le revisioni ripartono dai dati grezzi anziché dalle sintesi. «Settembre 1974» è l'àncora di questo dossier: è entrata nel nodo M-5, ha guidato la lettura del verbale dello Studio Ovale, ha reso quasi invisibile la versione del 1977. Ripartire dai dati grezzi significa trattare le tre collocazioni come aperte finché una carta non decida.</w:t>
      </w:r>
    </w:p>
    <w:p>
      <w:pPr>
        <w:spacing w:after="120" w:line="276"/>
        <w:jc w:val="both"/>
      </w:pPr>
      <w:r>
        <w:rPr>
          <w:rFonts w:ascii="Barlow Semi Condensed" w:cs="Barlow Semi Condensed" w:eastAsia="Barlow Semi Condensed" w:hAnsi="Barlow Semi Condensed"/>
          <w:b/>
          <w:bCs/>
          <w:sz w:val="24"/>
          <w:szCs w:val="24"/>
        </w:rPr>
        <w:t xml:space="preserve">3372 · La celebrità come peso improprio.</w:t>
      </w:r>
      <w:r>
        <w:rPr>
          <w:rFonts w:ascii="Barlow Semi Condensed" w:cs="Barlow Semi Condensed" w:eastAsia="Barlow Semi Condensed" w:hAnsi="Barlow Semi Condensed"/>
          <w:sz w:val="24"/>
          <w:szCs w:val="24"/>
        </w:rPr>
        <w:t xml:space="preserve"> Ciò che è celebre pesa più di ciò che è documentato: il blocco 361 chiama bias di disponibilità questo difetto e vi oppone il modello dichiarato dei punteggi. Nessun nome del secondo Novecento è più disponibile di questo. La disciplina va perciò applicata al rovescio del solito: non dargli l'attenzione che sembra meritare, ma sottrargli quella che la sua notorietà si prende da sola.</w:t>
      </w:r>
    </w:p>
    <w:p>
      <w:pPr>
        <w:spacing w:after="120" w:line="276"/>
        <w:jc w:val="both"/>
      </w:pPr>
      <w:r>
        <w:rPr>
          <w:rFonts w:ascii="Barlow Semi Condensed" w:cs="Barlow Semi Condensed" w:eastAsia="Barlow Semi Condensed" w:hAnsi="Barlow Semi Condensed"/>
          <w:b/>
          <w:bCs/>
          <w:sz w:val="24"/>
          <w:szCs w:val="24"/>
        </w:rPr>
        <w:t xml:space="preserve">3373 · L'autorità che smentisce.</w:t>
      </w:r>
      <w:r>
        <w:rPr>
          <w:rFonts w:ascii="Barlow Semi Condensed" w:cs="Barlow Semi Condensed" w:eastAsia="Barlow Semi Condensed" w:hAnsi="Barlow Semi Condensed"/>
          <w:sz w:val="24"/>
          <w:szCs w:val="24"/>
        </w:rPr>
        <w:t xml:space="preserve"> Negli atti dei cantieri le asserzioni valgono per le fonti e non per i firmatari, blocco 364. La regola taglia in entrambe le direzioni: come la fama non accredita l'accusa, così la statura dell'interessato non accredita da sola la sua negazione. Una smentita resa a un giornalista poco prima della morte è dichiarazione di parte, si registra con la sua sede e non chiude la questione.</w:t>
      </w:r>
    </w:p>
    <w:p>
      <w:pPr>
        <w:spacing w:after="120" w:line="276"/>
        <w:jc w:val="both"/>
      </w:pPr>
      <w:r>
        <w:rPr>
          <w:rFonts w:ascii="Barlow Semi Condensed" w:cs="Barlow Semi Condensed" w:eastAsia="Barlow Semi Condensed" w:hAnsi="Barlow Semi Condensed"/>
          <w:b/>
          <w:bCs/>
          <w:sz w:val="24"/>
          <w:szCs w:val="24"/>
        </w:rPr>
        <w:t xml:space="preserve">3374 · Ciò che questa lettura lascia fuori.</w:t>
      </w:r>
      <w:r>
        <w:rPr>
          <w:rFonts w:ascii="Barlow Semi Condensed" w:cs="Barlow Semi Condensed" w:eastAsia="Barlow Semi Condensed" w:hAnsi="Barlow Semi Condensed"/>
          <w:sz w:val="24"/>
          <w:szCs w:val="24"/>
        </w:rPr>
        <w:t xml:space="preserve"> Ogni ricostruzione pubblica dichiara quali dati non spiega: è il paragrafo obbligatorio del blocco 365. Per la lettura adottata qui — cornice ostile documentata, nesso operativo assente — i dati non spiegati sono due, e restano scritti: perché due testimoni qualificati e non contigui abbiano riferito la stessa sostanza, e perché la richiesta dei magistrati del 1983 non abbia mai preso la forma di un atto.</w:t>
      </w:r>
    </w:p>
    <w:p>
      <w:pPr>
        <w:spacing w:after="120" w:line="276"/>
        <w:jc w:val="both"/>
      </w:pPr>
      <w:r>
        <w:rPr>
          <w:rFonts w:ascii="Barlow Semi Condensed" w:cs="Barlow Semi Condensed" w:eastAsia="Barlow Semi Condensed" w:hAnsi="Barlow Semi Condensed"/>
          <w:b/>
          <w:bCs/>
          <w:sz w:val="24"/>
          <w:szCs w:val="24"/>
        </w:rPr>
        <w:t xml:space="preserve">3375 · Misurare la normalità delle pressioni.</w:t>
      </w:r>
      <w:r>
        <w:rPr>
          <w:rFonts w:ascii="Barlow Semi Condensed" w:cs="Barlow Semi Condensed" w:eastAsia="Barlow Semi Condensed" w:hAnsi="Barlow Semi Condensed"/>
          <w:sz w:val="24"/>
          <w:szCs w:val="24"/>
        </w:rPr>
        <w:t xml:space="preserve"> Nessuna anomalia è dichiarabile senza il suo normale misurato, blocco 367: il campione di controllo è obbligatorio. Per sostenere che un ammonimento a un leader europeo fosse eccezionale occorre la base — quante volte, nei volumi FRUS del triennio 1974-1976, posizioni analoghe furono espresse ad altri governi sull'ingresso dei comunisti al potere. Senza quel conteggio «senza precedenti» è un aggettivo, non una misura.</w:t>
      </w:r>
    </w:p>
    <w:p>
      <w:pPr>
        <w:spacing w:after="120" w:line="276"/>
        <w:jc w:val="both"/>
      </w:pPr>
      <w:r>
        <w:rPr>
          <w:rFonts w:ascii="Barlow Semi Condensed" w:cs="Barlow Semi Condensed" w:eastAsia="Barlow Semi Condensed" w:hAnsi="Barlow Semi Condensed"/>
          <w:b/>
          <w:bCs/>
          <w:sz w:val="24"/>
          <w:szCs w:val="24"/>
        </w:rPr>
        <w:t xml:space="preserve">3376 · Elencare anche i fondi muti.</w:t>
      </w:r>
      <w:r>
        <w:rPr>
          <w:rFonts w:ascii="Barlow Semi Condensed" w:cs="Barlow Semi Condensed" w:eastAsia="Barlow Semi Condensed" w:hAnsi="Barlow Semi Condensed"/>
          <w:sz w:val="24"/>
          <w:szCs w:val="24"/>
        </w:rPr>
        <w:t xml:space="preserve"> Ogni pubblicazione elenca tutti i fondi consultati, inclusi quelli senza esito: blocco 368. La serie lo esegue subito sul proprio perimetro documentale, con ricerca testuale verificabile: il manuale in quattrocento blocchi, il programma investigativo con le sue sedici piste, le schede di approfondimento sulle piste di testa e sulle entità, l'agenda di ricerca e i nove cantieri non contengono questo nome. Millesettecento blocchi, zero occorrenze.</w:t>
      </w:r>
    </w:p>
    <w:p>
      <w:pPr>
        <w:spacing w:after="120" w:line="276"/>
        <w:jc w:val="both"/>
      </w:pPr>
      <w:r>
        <w:rPr>
          <w:rFonts w:ascii="Barlow Semi Condensed" w:cs="Barlow Semi Condensed" w:eastAsia="Barlow Semi Condensed" w:hAnsi="Barlow Semi Condensed"/>
          <w:b/>
          <w:bCs/>
          <w:sz w:val="24"/>
          <w:szCs w:val="24"/>
        </w:rPr>
        <w:t xml:space="preserve">3377 · Il costo affondato di un nodo.</w:t>
      </w:r>
      <w:r>
        <w:rPr>
          <w:rFonts w:ascii="Barlow Semi Condensed" w:cs="Barlow Semi Condensed" w:eastAsia="Barlow Semi Condensed" w:hAnsi="Barlow Semi Condensed"/>
          <w:sz w:val="24"/>
          <w:szCs w:val="24"/>
        </w:rPr>
        <w:t xml:space="preserve"> Anni investiti su una pista che meriterebbe archiviazione: il blocco 366 impone le condizioni d'arresto senza riguardo all'investimento compiuto. Mille blocchi già scritti attorno a questo nome sono, in quella contabilità, costo affondato, e non autorizzano a trovare qualcosa per giustificarli. L'archiviazione motivata del nesso, col criterio di riapertura scritto, sarebbe un successo contabile dell'opera e non la sua sconfitta.</w:t>
      </w:r>
    </w:p>
    <w:p>
      <w:pPr>
        <w:spacing w:after="120" w:line="276"/>
        <w:jc w:val="both"/>
      </w:pPr>
      <w:r>
        <w:rPr>
          <w:rFonts w:ascii="Barlow Semi Condensed" w:cs="Barlow Semi Condensed" w:eastAsia="Barlow Semi Condensed" w:hAnsi="Barlow Semi Condensed"/>
          <w:b/>
          <w:bCs/>
          <w:sz w:val="24"/>
          <w:szCs w:val="24"/>
        </w:rPr>
        <w:t xml:space="preserve">3378 · Un quasi-errore da schedare.</w:t>
      </w:r>
      <w:r>
        <w:rPr>
          <w:rFonts w:ascii="Barlow Semi Condensed" w:cs="Barlow Semi Condensed" w:eastAsia="Barlow Semi Condensed" w:hAnsi="Barlow Semi Condensed"/>
          <w:sz w:val="24"/>
          <w:szCs w:val="24"/>
        </w:rPr>
        <w:t xml:space="preserve"> Gli sbagli intercettati prima della pubblicazione si schedano come i quasi-incidenti dell'aviazione, blocco 374, perché sono il materiale didattico più prezioso del metodo. Se ne consegna uno, già intercettato: il nodo M-5 stava consolidandosi nel corpus come accertamento pieno, con la data del settembre 1974 e senza la smentita. Fu corretto per nota. La scheda registri chi lo intercettò, quando e con quale verifica.</w:t>
      </w:r>
    </w:p>
    <w:p>
      <w:pPr>
        <w:spacing w:after="120" w:line="276"/>
        <w:jc w:val="both"/>
      </w:pPr>
      <w:r>
        <w:rPr>
          <w:rFonts w:ascii="Barlow Semi Condensed" w:cs="Barlow Semi Condensed" w:eastAsia="Barlow Semi Condensed" w:hAnsi="Barlow Semi Condensed"/>
          <w:b/>
          <w:bCs/>
          <w:sz w:val="24"/>
          <w:szCs w:val="24"/>
        </w:rPr>
        <w:t xml:space="preserve">3379 · Le otto piste PN e il silenzio.</w:t>
      </w:r>
      <w:r>
        <w:rPr>
          <w:rFonts w:ascii="Barlow Semi Condensed" w:cs="Barlow Semi Condensed" w:eastAsia="Barlow Semi Condensed" w:hAnsi="Barlow Semi Condensed"/>
          <w:sz w:val="24"/>
          <w:szCs w:val="24"/>
        </w:rPr>
        <w:t xml:space="preserve"> Le otto piste elencate ai blocchi 376-383 — terze presenze, testimoni viventi, fonte di «Gradoli», caricatore, omissioni nel fondo Renzi, profili DNA non identificati, archivi futuri, sorte del memoriale — non recano questo nome in alcun primo atto e in alcuna evidenza attesa. Non è impressione ma accertamento sul territorio: le voci si leggono una per una, e nessuna lo richiama neppure come contesto.</w:t>
      </w:r>
    </w:p>
    <w:p>
      <w:pPr>
        <w:spacing w:after="120" w:line="276"/>
        <w:jc w:val="both"/>
      </w:pPr>
      <w:r>
        <w:rPr>
          <w:rFonts w:ascii="Barlow Semi Condensed" w:cs="Barlow Semi Condensed" w:eastAsia="Barlow Semi Condensed" w:hAnsi="Barlow Semi Condensed"/>
          <w:b/>
          <w:bCs/>
          <w:sz w:val="24"/>
          <w:szCs w:val="24"/>
        </w:rPr>
        <w:t xml:space="preserve">3380 · PE-5, l'unica porta possibile.</w:t>
      </w:r>
      <w:r>
        <w:rPr>
          <w:rFonts w:ascii="Barlow Semi Condensed" w:cs="Barlow Semi Condensed" w:eastAsia="Barlow Semi Condensed" w:hAnsi="Barlow Semi Condensed"/>
          <w:sz w:val="24"/>
          <w:szCs w:val="24"/>
        </w:rPr>
        <w:t xml:space="preserve"> Al cantiere archivistico con sportello internazionale il blocco 388 assegna la pista PE-5, alleati e originatore, primo atto l'interrogazione sistematica dell'AAD e l'istanza sul caso FOIA identificato. È l'unico punto dei sedici in cui il nome potrebbe materialmente affiorare. Vi affiorerebbe però nel traffico dei 55 giorni, oltre un anno dopo la cessazione dell'incarico: come oggetto di menzione, non come originatore.</w:t>
      </w:r>
    </w:p>
    <w:p>
      <w:pPr>
        <w:spacing w:after="120" w:line="276"/>
        <w:jc w:val="both"/>
      </w:pPr>
      <w:r>
        <w:rPr>
          <w:rFonts w:ascii="Barlow Semi Condensed" w:cs="Barlow Semi Condensed" w:eastAsia="Barlow Semi Condensed" w:hAnsi="Barlow Semi Condensed"/>
          <w:b/>
          <w:bCs/>
          <w:sz w:val="24"/>
          <w:szCs w:val="24"/>
        </w:rPr>
        <w:t xml:space="preserve">3381 · PE-1 e la catena sbagliata.</w:t>
      </w:r>
      <w:r>
        <w:rPr>
          <w:rFonts w:ascii="Barlow Semi Condensed" w:cs="Barlow Semi Condensed" w:eastAsia="Barlow Semi Condensed" w:hAnsi="Barlow Semi Condensed"/>
          <w:sz w:val="24"/>
          <w:szCs w:val="24"/>
        </w:rPr>
        <w:t xml:space="preserve"> Sui decreti, sui verbali e sugli elenchi di presenza la pista PE-1 costruisce la tavola nominale dei tre livelli dei comitati del Viminale, blocchi 105-107. La scheda documenta il consulente statunitense nel comitato di esperti mai riunito collegialmente. Bersaglio di smentita per chi ne faccia una continuità personale: un documento del 1978 che colleghi quell'invio a un'indicazione di chi era allora privato cittadino.</w:t>
      </w:r>
    </w:p>
    <w:p>
      <w:pPr>
        <w:spacing w:after="120" w:line="276"/>
        <w:jc w:val="both"/>
      </w:pPr>
      <w:r>
        <w:rPr>
          <w:rFonts w:ascii="Barlow Semi Condensed" w:cs="Barlow Semi Condensed" w:eastAsia="Barlow Semi Condensed" w:hAnsi="Barlow Semi Condensed"/>
          <w:b/>
          <w:bCs/>
          <w:sz w:val="24"/>
          <w:szCs w:val="24"/>
        </w:rPr>
        <w:t xml:space="preserve">3382 · Un ingresso nel vaglio negativo.</w:t>
      </w:r>
      <w:r>
        <w:rPr>
          <w:rFonts w:ascii="Barlow Semi Condensed" w:cs="Barlow Semi Condensed" w:eastAsia="Barlow Semi Condensed" w:hAnsi="Barlow Semi Condensed"/>
          <w:sz w:val="24"/>
          <w:szCs w:val="24"/>
        </w:rPr>
        <w:t xml:space="preserve"> Permanente è il vaglio negativo del blocco 390, con le archiviazioni motivate della seconda prigione e dei nessi Hyperion-caso e i criteri di riapertura vigilati a ogni novità documentale. Si propone di iscrivervi una terza voce: il nesso fra questo nome e la catena di comando del sequestro, già dichiarato cercato e non trovato dalla Fase sesta. Evidenza attesa: nessuna, per costruzione.</w:t>
      </w:r>
    </w:p>
    <w:p>
      <w:pPr>
        <w:spacing w:after="120" w:line="276"/>
        <w:jc w:val="both"/>
      </w:pPr>
      <w:r>
        <w:rPr>
          <w:rFonts w:ascii="Barlow Semi Condensed" w:cs="Barlow Semi Condensed" w:eastAsia="Barlow Semi Condensed" w:hAnsi="Barlow Semi Condensed"/>
          <w:b/>
          <w:bCs/>
          <w:sz w:val="24"/>
          <w:szCs w:val="24"/>
        </w:rPr>
        <w:t xml:space="preserve">3383 · Una riga nella meta-tavola.</w:t>
      </w:r>
      <w:r>
        <w:rPr>
          <w:rFonts w:ascii="Barlow Semi Condensed" w:cs="Barlow Semi Condensed" w:eastAsia="Barlow Semi Condensed" w:hAnsi="Barlow Semi Condensed"/>
          <w:sz w:val="24"/>
          <w:szCs w:val="24"/>
        </w:rPr>
        <w:t xml:space="preserve"> La meta-tavola del blocco 391 mostra in una pagina pista, cantiere, primo atto, stato e prossima revisione. La voce di vaglio negativo qui proposta vi occuperebbe una riga sola, con stato «archiviata con criterio di riapertura» e revisione trimestrale. Chi apre il fascicolo del nuovo caso vedrebbe, accanto alle sedici piste vive, ciò che il caso ha già chiuso: è informazione, non ingombro.</w:t>
      </w:r>
    </w:p>
    <w:p>
      <w:pPr>
        <w:spacing w:after="120" w:line="276"/>
        <w:jc w:val="both"/>
      </w:pPr>
      <w:r>
        <w:rPr>
          <w:rFonts w:ascii="Barlow Semi Condensed" w:cs="Barlow Semi Condensed" w:eastAsia="Barlow Semi Condensed" w:hAnsi="Barlow Semi Condensed"/>
          <w:b/>
          <w:bCs/>
          <w:sz w:val="24"/>
          <w:szCs w:val="24"/>
        </w:rPr>
        <w:t xml:space="preserve">3384 · PN-7 e una voce già persa.</w:t>
      </w:r>
      <w:r>
        <w:rPr>
          <w:rFonts w:ascii="Barlow Semi Condensed" w:cs="Barlow Semi Condensed" w:eastAsia="Barlow Semi Condensed" w:hAnsi="Barlow Semi Condensed"/>
          <w:sz w:val="24"/>
          <w:szCs w:val="24"/>
        </w:rPr>
        <w:t xml:space="preserve"> La pista PN-7 vale 77,5 e chiede la tavola delle urgenze con le prime escussioni, blocchi 141-148, 160, 169 e 334. Il dossier su questo nome ne dimostra lo statuto meglio di qualunque argomento: un testimone potenziale, mai sentito da alcun magistrato italiano, è morto il 29 novembre 2023 dopo quarant'anni di attesa. Il registro delle urgenze perse, blocco 170, ha qui una riga da scrivere.</w:t>
      </w:r>
    </w:p>
    <w:p>
      <w:pPr>
        <w:spacing w:after="120" w:line="276"/>
        <w:jc w:val="both"/>
      </w:pPr>
      <w:r>
        <w:rPr>
          <w:rFonts w:ascii="Barlow Semi Condensed" w:cs="Barlow Semi Condensed" w:eastAsia="Barlow Semi Condensed" w:hAnsi="Barlow Semi Condensed"/>
          <w:b/>
          <w:bCs/>
          <w:sz w:val="24"/>
          <w:szCs w:val="24"/>
        </w:rPr>
        <w:t xml:space="preserve">3385 · La rivelazione tardiva e il suo peso.</w:t>
      </w:r>
      <w:r>
        <w:rPr>
          <w:rFonts w:ascii="Barlow Semi Condensed" w:cs="Barlow Semi Condensed" w:eastAsia="Barlow Semi Condensed" w:hAnsi="Barlow Semi Condensed"/>
          <w:sz w:val="24"/>
          <w:szCs w:val="24"/>
        </w:rPr>
        <w:t xml:space="preserve"> Dichiarazioni tardive di peso: il blocco 393 le disciplina con raccolta immediata nelle forme più garantite, riscontro documentale prima di ogni pubblicità, e la lezione permanente del blocco 253. L'ultima parola nota dell'interessato appartiene al genere opposto, una negazione resa a un giornalista poco prima della morte. Vale come dichiarazione e non come chiusura, e si pesa sui documenti come si peserebbe una confessione.</w:t>
      </w:r>
    </w:p>
    <w:p>
      <w:pPr>
        <w:spacing w:after="120" w:line="276"/>
        <w:jc w:val="both"/>
      </w:pPr>
      <w:r>
        <w:rPr>
          <w:rFonts w:ascii="Barlow Semi Condensed" w:cs="Barlow Semi Condensed" w:eastAsia="Barlow Semi Condensed" w:hAnsi="Barlow Semi Condensed"/>
          <w:b/>
          <w:bCs/>
          <w:sz w:val="24"/>
          <w:szCs w:val="24"/>
        </w:rPr>
        <w:t xml:space="preserve">3386 · L'onda del 30 novembre.</w:t>
      </w:r>
      <w:r>
        <w:rPr>
          <w:rFonts w:ascii="Barlow Semi Condensed" w:cs="Barlow Semi Condensed" w:eastAsia="Barlow Semi Condensed" w:hAnsi="Barlow Semi Condensed"/>
          <w:sz w:val="24"/>
          <w:szCs w:val="24"/>
        </w:rPr>
        <w:t xml:space="preserve"> Lo scenario del blocco 395 è la narrazione mediatica che raggiunge testimoni non ancora escussi: si accelera la raccolta conservativa sui toccati, si verbalizza l'esposizione di ciascuno alla tesi, e la risposta pubblica è una sola pagina di gradi e fonti. È già accaduto il 30 novembre 2023 e nessuno lo ha verbalizzato: una prova generale mancata, da registrare come tale.</w:t>
      </w:r>
    </w:p>
    <w:p>
      <w:pPr>
        <w:spacing w:after="120" w:line="276"/>
        <w:jc w:val="both"/>
      </w:pPr>
      <w:r>
        <w:rPr>
          <w:rFonts w:ascii="Barlow Semi Condensed" w:cs="Barlow Semi Condensed" w:eastAsia="Barlow Semi Condensed" w:hAnsi="Barlow Semi Condensed"/>
          <w:b/>
          <w:bCs/>
          <w:sz w:val="24"/>
          <w:szCs w:val="24"/>
        </w:rPr>
        <w:t xml:space="preserve">3387 · Quando un nodo perde ogni voce.</w:t>
      </w:r>
      <w:r>
        <w:rPr>
          <w:rFonts w:ascii="Barlow Semi Condensed" w:cs="Barlow Semi Condensed" w:eastAsia="Barlow Semi Condensed" w:hAnsi="Barlow Semi Condensed"/>
          <w:sz w:val="24"/>
          <w:szCs w:val="24"/>
        </w:rPr>
        <w:t xml:space="preserve"> Verbalizzare il passaggio di un nodo alla sola via documentale, e aggiornare la scheda delle domande mai poste del blocco 163: lo impone il blocco 398. Per questo nodo il passaggio ha una data e un luogo, 29 novembre 2023, Kent, Connecticut. Le domande mai poste sono compilabili oggi e orienteranno la ricerca dei lasciti presso gli eredi, secondo il blocco 157.</w:t>
      </w:r>
    </w:p>
    <w:p>
      <w:pPr>
        <w:spacing w:after="120" w:line="276"/>
        <w:jc w:val="both"/>
      </w:pPr>
      <w:r>
        <w:rPr>
          <w:rFonts w:ascii="Barlow Semi Condensed" w:cs="Barlow Semi Condensed" w:eastAsia="Barlow Semi Condensed" w:hAnsi="Barlow Semi Condensed"/>
          <w:b/>
          <w:bCs/>
          <w:sz w:val="24"/>
          <w:szCs w:val="24"/>
        </w:rPr>
        <w:t xml:space="preserve">3388 · L'archiviazione non chiude la ricerca.</w:t>
      </w:r>
      <w:r>
        <w:rPr>
          <w:rFonts w:ascii="Barlow Semi Condensed" w:cs="Barlow Semi Condensed" w:eastAsia="Barlow Semi Condensed" w:hAnsi="Barlow Semi Condensed"/>
          <w:sz w:val="24"/>
          <w:szCs w:val="24"/>
        </w:rPr>
        <w:t xml:space="preserve"> L'archiviazione giudiziaria chiude un procedimento e non la ricerca documentale, stabilisce il blocco 396. Qui non esiste nemmeno un procedimento da chiudere: non risulta imputazione alcuna, in alcun Paese, in alcun tempo. Ne segue che il lavoro su questo nome è integralmente storiografico, e che ogni lessico processuale adoperato per descriverlo — indagato, accusato, imputato — è un errore di fatto prima che di metodo.</w:t>
      </w:r>
    </w:p>
    <w:p>
      <w:pPr>
        <w:spacing w:after="120" w:line="276"/>
        <w:jc w:val="both"/>
      </w:pPr>
      <w:r>
        <w:rPr>
          <w:rFonts w:ascii="Barlow Semi Condensed" w:cs="Barlow Semi Condensed" w:eastAsia="Barlow Semi Condensed" w:hAnsi="Barlow Semi Condensed"/>
          <w:b/>
          <w:bCs/>
          <w:sz w:val="24"/>
          <w:szCs w:val="24"/>
        </w:rPr>
        <w:t xml:space="preserve">3389 · Apparati stranieri e regola personalistica.</w:t>
      </w:r>
      <w:r>
        <w:rPr>
          <w:rFonts w:ascii="Barlow Semi Condensed" w:cs="Barlow Semi Condensed" w:eastAsia="Barlow Semi Condensed" w:hAnsi="Barlow Semi Condensed"/>
          <w:sz w:val="24"/>
          <w:szCs w:val="24"/>
        </w:rPr>
        <w:t xml:space="preserve"> Evidenze documentali di condotte istituzionali gravi: è il rischio più delicato, e il blocco 399 lo affronta ripetendo fino all'ultimo la regola del blocco 18, atti e omissioni di persone e uffici, mai colpe collettive. Estensione necessaria per il versante estero: un apparato straniero si indaga con lo stesso metro, e nessuna condotta di un ufficio si trasferisce a chi lo dirigeva senza un atto che lo nomini.</w:t>
      </w:r>
    </w:p>
    <w:p>
      <w:pPr>
        <w:spacing w:after="120" w:line="276"/>
        <w:jc w:val="both"/>
      </w:pPr>
      <w:r>
        <w:rPr>
          <w:rFonts w:ascii="Barlow Semi Condensed" w:cs="Barlow Semi Condensed" w:eastAsia="Barlow Semi Condensed" w:hAnsi="Barlow Semi Condensed"/>
          <w:b/>
          <w:bCs/>
          <w:sz w:val="24"/>
          <w:szCs w:val="24"/>
        </w:rPr>
        <w:t xml:space="preserve">3390 · Il quattrocentesimo e questo nome.</w:t>
      </w:r>
      <w:r>
        <w:rPr>
          <w:rFonts w:ascii="Barlow Semi Condensed" w:cs="Barlow Semi Condensed" w:eastAsia="Barlow Semi Condensed" w:hAnsi="Barlow Semi Condensed"/>
          <w:sz w:val="24"/>
          <w:szCs w:val="24"/>
        </w:rPr>
        <w:t xml:space="preserve"> Il blocco 400 consegna il manuale alla forma compiuta e dichiara che una terza edizione verrà solo se il caso produrrà atti nuovi. Questa serie non ne produce: consegna un'assenza misurata su millesettecento blocchi. Se un giorno un documento imporrà di aggiungere al manuale una voce per questo nome, sarà la migliore notizia possibile; fino ad allora il silenzio del territorio è esso stesso un dato.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quarantacinquesima — L’agenda di ricerca in trecento blocchi</w:t>
      </w:r>
    </w:p>
    <w:p>
      <w:pPr>
        <w:spacing w:after="120" w:line="276"/>
        <w:jc w:val="both"/>
      </w:pPr>
      <w:r>
        <w:rPr>
          <w:rFonts w:ascii="Barlow Semi Condensed" w:cs="Barlow Semi Condensed" w:eastAsia="Barlow Semi Condensed" w:hAnsi="Barlow Semi Condensed"/>
          <w:i/>
          <w:iCs/>
          <w:sz w:val="24"/>
          <w:szCs w:val="24"/>
        </w:rPr>
        <w:t xml:space="preserve">Blocchi 3391-3470.</w:t>
      </w:r>
    </w:p>
    <w:p>
      <w:pPr>
        <w:spacing w:after="120" w:line="276"/>
        <w:jc w:val="both"/>
      </w:pPr>
      <w:r>
        <w:rPr>
          <w:rFonts w:ascii="Barlow Semi Condensed" w:cs="Barlow Semi Condensed" w:eastAsia="Barlow Semi Condensed" w:hAnsi="Barlow Semi Condensed"/>
          <w:b/>
          <w:bCs/>
          <w:sz w:val="24"/>
          <w:szCs w:val="24"/>
        </w:rPr>
        <w:t xml:space="preserve">3391 · Lo zero dell'agenda, rimisurato.</w:t>
      </w:r>
      <w:r>
        <w:rPr>
          <w:rFonts w:ascii="Barlow Semi Condensed" w:cs="Barlow Semi Condensed" w:eastAsia="Barlow Semi Condensed" w:hAnsi="Barlow Semi Condensed"/>
          <w:sz w:val="24"/>
          <w:szCs w:val="24"/>
        </w:rPr>
        <w:t xml:space="preserve"> La stringa Kissinger non compare in nessuno dei trecento blocchi del territorio. La prima campagna lo aveva già verbalizzato ai blocchi 47, 204 e 646 dell'opera-madre; qui il perimetro si affina e si conta meglio. Mancano anche Pieczenik, Ferracuti, Guerzoni e la locuzione Stati Uniti; Washington ricorre due volte soltanto, ai blocchi 135 e 153; Carter tre, tutte dentro la serie sesta e la verifica V-3. Fatto misurato, grado F.</w:t>
      </w:r>
    </w:p>
    <w:p>
      <w:pPr>
        <w:spacing w:after="120" w:line="276"/>
        <w:jc w:val="both"/>
      </w:pPr>
      <w:r>
        <w:rPr>
          <w:rFonts w:ascii="Barlow Semi Condensed" w:cs="Barlow Semi Condensed" w:eastAsia="Barlow Semi Condensed" w:hAnsi="Barlow Semi Condensed"/>
          <w:b/>
          <w:bCs/>
          <w:sz w:val="24"/>
          <w:szCs w:val="24"/>
        </w:rPr>
        <w:t xml:space="preserve">3392 · Come non si legge quello zero.</w:t>
      </w:r>
      <w:r>
        <w:rPr>
          <w:rFonts w:ascii="Barlow Semi Condensed" w:cs="Barlow Semi Condensed" w:eastAsia="Barlow Semi Condensed" w:hAnsi="Barlow Semi Condensed"/>
          <w:sz w:val="24"/>
          <w:szCs w:val="24"/>
        </w:rPr>
        <w:t xml:space="preserve"> Un basso rapporto di associazione fra due domini non indica assenza di rapporti: indica che nessuno ha scritto un documento che li tratti insieme. La regola dei buchi ha due tempi, e il secondo qui è decisivo. L'agenda fu costruita su Kew, La Courneuve, il Politisches Archiv e i giacimenti italiani, e su quelle colonne quel nome non ricorre per ufficio. Trasformare una scelta di costruzione in enunciato sul mondo resta l'errore vietato.</w:t>
      </w:r>
    </w:p>
    <w:p>
      <w:pPr>
        <w:spacing w:after="120" w:line="276"/>
        <w:jc w:val="both"/>
      </w:pPr>
      <w:r>
        <w:rPr>
          <w:rFonts w:ascii="Barlow Semi Condensed" w:cs="Barlow Semi Condensed" w:eastAsia="Barlow Semi Condensed" w:hAnsi="Barlow Semi Condensed"/>
          <w:b/>
          <w:bCs/>
          <w:sz w:val="24"/>
          <w:szCs w:val="24"/>
        </w:rPr>
        <w:t xml:space="preserve">3393 · Il divieto già scritto nell'agenda.</w:t>
      </w:r>
      <w:r>
        <w:rPr>
          <w:rFonts w:ascii="Barlow Semi Condensed" w:cs="Barlow Semi Condensed" w:eastAsia="Barlow Semi Condensed" w:hAnsi="Barlow Semi Condensed"/>
          <w:sz w:val="24"/>
          <w:szCs w:val="24"/>
        </w:rPr>
        <w:t xml:space="preserve"> Il blocco 289 mette fuori statuto i nomi come esiti attesi e richiama le fonti escluse per direttiva del committente. L'assenza di questo nome dai trecento bersagli è dunque in parte normativa, non soltanto casuale: il territorio si vieta di cercare persone e cerca carte. Chi legga quello zero come reticenza legge male un perimetro dichiarato in apertura e ripetuto alla riga di chiusura, dove sta scritto che la ricerca produce documenti.</w:t>
      </w:r>
    </w:p>
    <w:p>
      <w:pPr>
        <w:spacing w:after="120" w:line="276"/>
        <w:jc w:val="both"/>
      </w:pPr>
      <w:r>
        <w:rPr>
          <w:rFonts w:ascii="Barlow Semi Condensed" w:cs="Barlow Semi Condensed" w:eastAsia="Barlow Semi Condensed" w:hAnsi="Barlow Semi Condensed"/>
          <w:b/>
          <w:bCs/>
          <w:sz w:val="24"/>
          <w:szCs w:val="24"/>
        </w:rPr>
        <w:t xml:space="preserve">3394 · I tre piani sul territorio.</w:t>
      </w:r>
      <w:r>
        <w:rPr>
          <w:rFonts w:ascii="Barlow Semi Condensed" w:cs="Barlow Semi Condensed" w:eastAsia="Barlow Semi Condensed" w:hAnsi="Barlow Semi Condensed"/>
          <w:sz w:val="24"/>
          <w:szCs w:val="24"/>
        </w:rPr>
        <w:t xml:space="preserve"> Applicata al territorio, la regola dei tre piani produce una tripartizione netta e utilizzabile. Piano uno soltanto dove un giacimento può conservare un documento di provenienza che nomini insieme le controparti: i blocchi 37, 129, 134, 157 e 162. Piano due nei blocchi che documentano l'ostilità atlantica come cornice, cioè 132, 133 e 166. Piano tre in ciò che il blocco 43 tratta per quello che è, cioè circolazione.</w:t>
      </w:r>
    </w:p>
    <w:p>
      <w:pPr>
        <w:spacing w:after="120" w:line="276"/>
        <w:jc w:val="both"/>
      </w:pPr>
      <w:r>
        <w:rPr>
          <w:rFonts w:ascii="Barlow Semi Condensed" w:cs="Barlow Semi Condensed" w:eastAsia="Barlow Semi Condensed" w:hAnsi="Barlow Semi Condensed"/>
          <w:b/>
          <w:bCs/>
          <w:sz w:val="24"/>
          <w:szCs w:val="24"/>
        </w:rPr>
        <w:t xml:space="preserve">3395 · Il muro del blocco 277.</w:t>
      </w:r>
      <w:r>
        <w:rPr>
          <w:rFonts w:ascii="Barlow Semi Condensed" w:cs="Barlow Semi Condensed" w:eastAsia="Barlow Semi Condensed" w:hAnsi="Barlow Semi Condensed"/>
          <w:sz w:val="24"/>
          <w:szCs w:val="24"/>
        </w:rPr>
        <w:t xml:space="preserve"> Nessun esito di ricerca tocca la Fase decima se non per nuovo giudicato: il raccordo col registro è un muro, ed è voluto. Poiché non risulta alcuna sentenza, alcun rinvio a giudizio né alcun procedimento penale a carico di questo nome in alcun Paese, nessun bersaglio della presente serie può avere per esito una posizione personale. Quel muro protegge anche chi non fu mai imputato, ed è la ragione per cui regge.</w:t>
      </w:r>
    </w:p>
    <w:p>
      <w:pPr>
        <w:spacing w:after="120" w:line="276"/>
        <w:jc w:val="both"/>
      </w:pPr>
      <w:r>
        <w:rPr>
          <w:rFonts w:ascii="Barlow Semi Condensed" w:cs="Barlow Semi Condensed" w:eastAsia="Barlow Semi Condensed" w:hAnsi="Barlow Semi Condensed"/>
          <w:b/>
          <w:bCs/>
          <w:sz w:val="24"/>
          <w:szCs w:val="24"/>
        </w:rPr>
        <w:t xml:space="preserve">3396 · La data che chiude quasi tutto.</w:t>
      </w:r>
      <w:r>
        <w:rPr>
          <w:rFonts w:ascii="Barlow Semi Condensed" w:cs="Barlow Semi Condensed" w:eastAsia="Barlow Semi Condensed" w:hAnsi="Barlow Semi Condensed"/>
          <w:sz w:val="24"/>
          <w:szCs w:val="24"/>
        </w:rPr>
        <w:t xml:space="preserve"> L'incarico di Assistente per la sicurezza nazionale cessa il 3 novembre 1975, quello di Segretario di Stato il 20 gennaio 1977. La finestra del territorio sono i cinquantacinque giorni del 1978 e gli archivi che li documentano. Ne discende un vincolo strutturale prima che documentale: quasi ogni serie non può incontrare quel nome per ragioni di calendario, non di reticenza. Cercarvelo significa cercare un uomo di governo dove c'era un privato cittadino.</w:t>
      </w:r>
    </w:p>
    <w:p>
      <w:pPr>
        <w:spacing w:after="120" w:line="276"/>
        <w:jc w:val="both"/>
      </w:pPr>
      <w:r>
        <w:rPr>
          <w:rFonts w:ascii="Barlow Semi Condensed" w:cs="Barlow Semi Condensed" w:eastAsia="Barlow Semi Condensed" w:hAnsi="Barlow Semi Condensed"/>
          <w:b/>
          <w:bCs/>
          <w:sz w:val="24"/>
          <w:szCs w:val="24"/>
        </w:rPr>
        <w:t xml:space="preserve">3397 · Il quesito 12 e il confine.</w:t>
      </w:r>
      <w:r>
        <w:rPr>
          <w:rFonts w:ascii="Barlow Semi Condensed" w:cs="Barlow Semi Condensed" w:eastAsia="Barlow Semi Condensed" w:hAnsi="Barlow Semi Condensed"/>
          <w:sz w:val="24"/>
          <w:szCs w:val="24"/>
        </w:rPr>
        <w:t xml:space="preserve"> Gli occhi degli alleati chiedono che cosa le diplomazie e i servizi videro e riferirono in tempo reale, e la formula lega il bersaglio al 1978. Il presunto avvertimento, comunque lo si dati, è anteriore di almeno un anno a quella finestra. Il quesito costitutivo non può dunque raggiungerlo: la sede che lo raggiungerebbe sta altrove, nel memorandum dello Studio Ovale del 25 settembre 1974 conservato alla Ford Library come file 1552802.</w:t>
      </w:r>
    </w:p>
    <w:p>
      <w:pPr>
        <w:spacing w:after="120" w:line="276"/>
        <w:jc w:val="both"/>
      </w:pPr>
      <w:r>
        <w:rPr>
          <w:rFonts w:ascii="Barlow Semi Condensed" w:cs="Barlow Semi Condensed" w:eastAsia="Barlow Semi Condensed" w:hAnsi="Barlow Semi Condensed"/>
          <w:b/>
          <w:bCs/>
          <w:sz w:val="24"/>
          <w:szCs w:val="24"/>
        </w:rPr>
        <w:t xml:space="preserve">3398 · Due nomi americani, non uno.</w:t>
      </w:r>
      <w:r>
        <w:rPr>
          <w:rFonts w:ascii="Barlow Semi Condensed" w:cs="Barlow Semi Condensed" w:eastAsia="Barlow Semi Condensed" w:hAnsi="Barlow Semi Condensed"/>
          <w:sz w:val="24"/>
          <w:szCs w:val="24"/>
        </w:rPr>
        <w:t xml:space="preserve"> La scheda PE-1 documenta nel comitato di esperti la presenza dello psichiatra inviato dal Dipartimento di Stato e ne registra il ruolo nella tesi dell'inattendibilità delle lettere. Quel nome entra nel caso per atto; l'altro non vi entra per alcun atto. Il quesito 8 li tiene distinti e la distinzione va mantenuta in ogni blocco, perché un americano documentato nei comitati non prova affatto la presenza di un secondo.</w:t>
      </w:r>
    </w:p>
    <w:p>
      <w:pPr>
        <w:spacing w:after="120" w:line="276"/>
        <w:jc w:val="both"/>
      </w:pPr>
      <w:r>
        <w:rPr>
          <w:rFonts w:ascii="Barlow Semi Condensed" w:cs="Barlow Semi Condensed" w:eastAsia="Barlow Semi Condensed" w:hAnsi="Barlow Semi Condensed"/>
          <w:b/>
          <w:bCs/>
          <w:sz w:val="24"/>
          <w:szCs w:val="24"/>
        </w:rPr>
        <w:t xml:space="preserve">3399 · Il quesito 15, evidenza discriminante.</w:t>
      </w:r>
      <w:r>
        <w:rPr>
          <w:rFonts w:ascii="Barlow Semi Condensed" w:cs="Barlow Semi Condensed" w:eastAsia="Barlow Semi Condensed" w:hAnsi="Barlow Semi Condensed"/>
          <w:sz w:val="24"/>
          <w:szCs w:val="24"/>
        </w:rPr>
        <w:t xml:space="preserve"> Per la matrice internazionale l'evidenza che discrimina si nomina in una riga sola: un documento di provenienza, cablo o verbale o appunto d'ufficio, che nomini insieme la controparte italiana e quella straniera in relazione al sequestro. Nessuno dei giacimenti censiti dal territorio ne ha finora restituito uno. Finché non lo restituisce, la matrice resta con la sua cella vuota, e quella cella vuota è a sua volta un'acquisizione.</w:t>
      </w:r>
    </w:p>
    <w:p>
      <w:pPr>
        <w:spacing w:after="120" w:line="276"/>
        <w:jc w:val="both"/>
      </w:pPr>
      <w:r>
        <w:rPr>
          <w:rFonts w:ascii="Barlow Semi Condensed" w:cs="Barlow Semi Condensed" w:eastAsia="Barlow Semi Condensed" w:hAnsi="Barlow Semi Condensed"/>
          <w:b/>
          <w:bCs/>
          <w:sz w:val="24"/>
          <w:szCs w:val="24"/>
        </w:rPr>
        <w:t xml:space="preserve">3400 · Il quesito 9 e la squalificazione.</w:t>
      </w:r>
      <w:r>
        <w:rPr>
          <w:rFonts w:ascii="Barlow Semi Condensed" w:cs="Barlow Semi Condensed" w:eastAsia="Barlow Semi Condensed" w:hAnsi="Barlow Semi Condensed"/>
          <w:sz w:val="24"/>
          <w:szCs w:val="24"/>
        </w:rPr>
        <w:t xml:space="preserve"> La dichiarata inattendibilità delle lettere fu un prodotto istituzionale dei cinquantacinque giorni, e la scheda PE-1 ne indica gli autori documentati negli atti. Per questo nome non risulta alcun parere, atto o carteggio dentro quella catena. Stato Zero, con la sede che lo chiuderebbe: le relazioni degli esperti nel versato dell'Archivio centrale dello Stato e nel fondo della Moro 2, cercate secondo i blocchi 26 e 51.</w:t>
      </w:r>
    </w:p>
    <w:p>
      <w:pPr>
        <w:spacing w:after="120" w:line="276"/>
        <w:jc w:val="both"/>
      </w:pPr>
      <w:r>
        <w:rPr>
          <w:rFonts w:ascii="Barlow Semi Condensed" w:cs="Barlow Semi Condensed" w:eastAsia="Barlow Semi Condensed" w:hAnsi="Barlow Semi Condensed"/>
          <w:b/>
          <w:bCs/>
          <w:sz w:val="24"/>
          <w:szCs w:val="24"/>
        </w:rPr>
        <w:t xml:space="preserve">3401 · La chiave d'interrogazione dell'ACS.</w:t>
      </w:r>
      <w:r>
        <w:rPr>
          <w:rFonts w:ascii="Barlow Semi Condensed" w:cs="Barlow Semi Condensed" w:eastAsia="Barlow Semi Condensed" w:hAnsi="Barlow Semi Condensed"/>
          <w:sz w:val="24"/>
          <w:szCs w:val="24"/>
        </w:rPr>
        <w:t xml:space="preserve"> Prima di aprire una busta, il blocco 18 impone gli strumenti di corredo. Bersaglio operativo, a costo minimo: interrogare la Guida ai fondi alla segnatura IT-ACS-AS0001-0005098 e la banca dati della raccolta speciale usando il cognome come chiave, e verbalizzare l'esito quale che sia. Se le occorrenze risulteranno zero, quello zero avrà finalmente un perimetro esatto: strumento interrogato, chiave usata, data, operatore che ha cercato.</w:t>
      </w:r>
    </w:p>
    <w:p>
      <w:pPr>
        <w:spacing w:after="120" w:line="276"/>
        <w:jc w:val="both"/>
      </w:pPr>
      <w:r>
        <w:rPr>
          <w:rFonts w:ascii="Barlow Semi Condensed" w:cs="Barlow Semi Condensed" w:eastAsia="Barlow Semi Condensed" w:hAnsi="Barlow Semi Condensed"/>
          <w:b/>
          <w:bCs/>
          <w:sz w:val="24"/>
          <w:szCs w:val="24"/>
        </w:rPr>
        <w:t xml:space="preserve">3402 · I centocinquantasei uffici versanti.</w:t>
      </w:r>
      <w:r>
        <w:rPr>
          <w:rFonts w:ascii="Barlow Semi Condensed" w:cs="Barlow Semi Condensed" w:eastAsia="Barlow Semi Condensed" w:hAnsi="Barlow Semi Condensed"/>
          <w:sz w:val="24"/>
          <w:szCs w:val="24"/>
        </w:rPr>
        <w:t xml:space="preserve"> Il blocco 29 esige, ufficio per ufficio, il confronto fra ciò che i protocolli dicono prodotto e ciò che risulta versato. Qui il bersaglio è preliminare e semplice: accertare se il Ministero degli Affari esteri figuri fra i centocinquantasei uffici versanti della raccolta speciale. Se non vi figura, la miniera della Direttiva non contiene per costruzione la carta diplomatica, e ogni ricerca su questo versante va indirizzata altrove dal primo giorno.</w:t>
      </w:r>
    </w:p>
    <w:p>
      <w:pPr>
        <w:spacing w:after="120" w:line="276"/>
        <w:jc w:val="both"/>
      </w:pPr>
      <w:r>
        <w:rPr>
          <w:rFonts w:ascii="Barlow Semi Condensed" w:cs="Barlow Semi Condensed" w:eastAsia="Barlow Semi Condensed" w:hAnsi="Barlow Semi Condensed"/>
          <w:b/>
          <w:bCs/>
          <w:sz w:val="24"/>
          <w:szCs w:val="24"/>
        </w:rPr>
        <w:t xml:space="preserve">3403 · Il perimetro della Direttiva.</w:t>
      </w:r>
      <w:r>
        <w:rPr>
          <w:rFonts w:ascii="Barlow Semi Condensed" w:cs="Barlow Semi Condensed" w:eastAsia="Barlow Semi Condensed" w:hAnsi="Barlow Semi Condensed"/>
          <w:sz w:val="24"/>
          <w:szCs w:val="24"/>
        </w:rPr>
        <w:t xml:space="preserve"> Le direttive Prodi e Renzi coprono il sequestro e l'uccisione: la materia è il 1978. Le carte della visita di Stato del settembre 1974 non rientrano nel loro oggetto, e nessuna richiesta di versamento integrativo ai sensi del blocco 30 potrebbe farvele entrare. Questa è la ragione strutturale per cui il giacimento più grande dell'agenda non decide il quesito che la serie insegue: non è chiuso, è semplicemente di altra materia.</w:t>
      </w:r>
    </w:p>
    <w:p>
      <w:pPr>
        <w:spacing w:after="120" w:line="276"/>
        <w:jc w:val="both"/>
      </w:pPr>
      <w:r>
        <w:rPr>
          <w:rFonts w:ascii="Barlow Semi Condensed" w:cs="Barlow Semi Condensed" w:eastAsia="Barlow Semi Condensed" w:hAnsi="Barlow Semi Condensed"/>
          <w:b/>
          <w:bCs/>
          <w:sz w:val="24"/>
          <w:szCs w:val="24"/>
        </w:rPr>
        <w:t xml:space="preserve">3404 · Una velina resta una velina.</w:t>
      </w:r>
      <w:r>
        <w:rPr>
          <w:rFonts w:ascii="Barlow Semi Condensed" w:cs="Barlow Semi Condensed" w:eastAsia="Barlow Semi Condensed" w:hAnsi="Barlow Semi Condensed"/>
          <w:sz w:val="24"/>
          <w:szCs w:val="24"/>
        </w:rPr>
        <w:t xml:space="preserve"> Il blocco 22 detta la disciplina con parole scolpite: nel versato dei servizi una velina nasce di grado C e sale soltanto per riscontro esterno. Se una carta di provenienza SISMI o SISDE nominasse un uomo di governo straniero in relazione al caso, la sua nascita non cambierebbe e resterebbe un'informativa. La tentazione opposta, promuovere l'esotico a rivelazione, è censita come bias dal blocco 151, ed è esattamente qui che colpirebbe.</w:t>
      </w:r>
    </w:p>
    <w:p>
      <w:pPr>
        <w:spacing w:after="120" w:line="276"/>
        <w:jc w:val="both"/>
      </w:pPr>
      <w:r>
        <w:rPr>
          <w:rFonts w:ascii="Barlow Semi Condensed" w:cs="Barlow Semi Condensed" w:eastAsia="Barlow Semi Condensed" w:hAnsi="Barlow Semi Condensed"/>
          <w:b/>
          <w:bCs/>
          <w:sz w:val="24"/>
          <w:szCs w:val="24"/>
        </w:rPr>
        <w:t xml:space="preserve">3405 · Il verbale d'udienza del 1982 (serie XLV).</w:t>
      </w:r>
      <w:r>
        <w:rPr>
          <w:rFonts w:ascii="Barlow Semi Condensed" w:cs="Barlow Semi Condensed" w:eastAsia="Barlow Semi Condensed" w:hAnsi="Barlow Semi Condensed"/>
          <w:sz w:val="24"/>
          <w:szCs w:val="24"/>
        </w:rPr>
        <w:t xml:space="preserve"> Il blocco 37 chiede i fascicoli integrali dei processi romani, censiti foglio per foglio. Bersaglio nominato: il verbale d'udienza della Corte d'assise di Roma del novembre 1982 con la deposizione del portavoce, che riferì de relato non avendo assistito al colloquio. La datazione oscilla fra il dieci e il quindici, e la divergenza non è risolta. Quel foglio, non una sintesi giornalistica, chiude la prima precisazione dell'apparato K.</w:t>
      </w:r>
    </w:p>
    <w:p>
      <w:pPr>
        <w:spacing w:after="120" w:line="276"/>
        <w:jc w:val="both"/>
      </w:pPr>
      <w:r>
        <w:rPr>
          <w:rFonts w:ascii="Barlow Semi Condensed" w:cs="Barlow Semi Condensed" w:eastAsia="Barlow Semi Condensed" w:hAnsi="Barlow Semi Condensed"/>
          <w:b/>
          <w:bCs/>
          <w:sz w:val="24"/>
          <w:szCs w:val="24"/>
        </w:rPr>
        <w:t xml:space="preserve">3406 · Le sentenze, cercate per nome.</w:t>
      </w:r>
      <w:r>
        <w:rPr>
          <w:rFonts w:ascii="Barlow Semi Condensed" w:cs="Barlow Semi Condensed" w:eastAsia="Barlow Semi Condensed" w:hAnsi="Barlow Semi Condensed"/>
          <w:sz w:val="24"/>
          <w:szCs w:val="24"/>
        </w:rPr>
        <w:t xml:space="preserve"> I blocchi 31 e 38 impongono la collazione integrale delle sentenze del caso, in parte già digitalizzate sul portale della Rete degli archivi per non dimenticare. Bersaglio: cercarvi il cognome come stringa, e verbalizzare. L'esito atteso è l'assenza; se una motivazione lo nominasse, andrebbe letta per la qualità con cui il nome vi compare, ricostruzione di contesto politico oppure fatto accertato, perché le due cose portano gradi diversi.</w:t>
      </w:r>
    </w:p>
    <w:p>
      <w:pPr>
        <w:spacing w:after="120" w:line="276"/>
        <w:jc w:val="both"/>
      </w:pPr>
      <w:r>
        <w:rPr>
          <w:rFonts w:ascii="Barlow Semi Condensed" w:cs="Barlow Semi Condensed" w:eastAsia="Barlow Semi Condensed" w:hAnsi="Barlow Semi Condensed"/>
          <w:b/>
          <w:bCs/>
          <w:sz w:val="24"/>
          <w:szCs w:val="24"/>
        </w:rPr>
        <w:t xml:space="preserve">3407 · La tavola 45 senza la Farnesina.</w:t>
      </w:r>
      <w:r>
        <w:rPr>
          <w:rFonts w:ascii="Barlow Semi Condensed" w:cs="Barlow Semi Condensed" w:eastAsia="Barlow Semi Condensed" w:hAnsi="Barlow Semi Condensed"/>
          <w:sz w:val="24"/>
          <w:szCs w:val="24"/>
        </w:rPr>
        <w:t xml:space="preserve"> La serie seconda censisce l'Archivio centrale, gli istituti territoriali, le forze di polizia, gli archivi militari, i capitolini, le società e le teche, ma non l'Archivio storico diplomatico. È l'unica sede italiana che conserverebbe il rovescio del verbale americano del settembre 1974. Proposta per il blocco 45, con la correzione già recepita altrove: i fondi ministeriali di quegli anni non risultavano consultabili, e la disponibilità dei faldoni va verificata caso per caso.</w:t>
      </w:r>
    </w:p>
    <w:p>
      <w:pPr>
        <w:spacing w:after="120" w:line="276"/>
        <w:jc w:val="both"/>
      </w:pPr>
      <w:r>
        <w:rPr>
          <w:rFonts w:ascii="Barlow Semi Condensed" w:cs="Barlow Semi Condensed" w:eastAsia="Barlow Semi Condensed" w:hAnsi="Barlow Semi Condensed"/>
          <w:b/>
          <w:bCs/>
          <w:sz w:val="24"/>
          <w:szCs w:val="24"/>
        </w:rPr>
        <w:t xml:space="preserve">3408 · L'audizione del 1° agosto 1980.</w:t>
      </w:r>
      <w:r>
        <w:rPr>
          <w:rFonts w:ascii="Barlow Semi Condensed" w:cs="Barlow Semi Condensed" w:eastAsia="Barlow Semi Condensed" w:hAnsi="Barlow Semi Condensed"/>
          <w:sz w:val="24"/>
          <w:szCs w:val="24"/>
        </w:rPr>
        <w:t xml:space="preserve"> La sede è confermata, il contenuto verbatim no: è la quarta precisazione dell'apparato K. La vedova fu sentita dalla prima Commissione il primo agosto 1980, mentre le sintesi attribuiscono la frase alla deposizione giudiziaria del 1982. Bersaglio: lo stenografico integrale nel fondo Moro 1 all'Archivio storico del Senato e nel Doc. XXIII dell'ottava legislatura. Due piani distinti, e un solo documento capace di dirimerli.</w:t>
      </w:r>
    </w:p>
    <w:p>
      <w:pPr>
        <w:spacing w:after="120" w:line="276"/>
        <w:jc w:val="both"/>
      </w:pPr>
      <w:r>
        <w:rPr>
          <w:rFonts w:ascii="Barlow Semi Condensed" w:cs="Barlow Semi Condensed" w:eastAsia="Barlow Semi Condensed" w:hAnsi="Barlow Semi Condensed"/>
          <w:b/>
          <w:bCs/>
          <w:sz w:val="24"/>
          <w:szCs w:val="24"/>
        </w:rPr>
        <w:t xml:space="preserve">3409 · I centotrenta volumi, verificati.</w:t>
      </w:r>
      <w:r>
        <w:rPr>
          <w:rFonts w:ascii="Barlow Semi Condensed" w:cs="Barlow Semi Condensed" w:eastAsia="Barlow Semi Condensed" w:hAnsi="Barlow Semi Condensed"/>
          <w:sz w:val="24"/>
          <w:szCs w:val="24"/>
        </w:rPr>
        <w:t xml:space="preserve"> Il blocco 55 chiede se l'edizione a stampa della prima Commissione, circa centotrenta volumi, sia integralmente digitalizzata. Il bersaglio qui si stringe: accertare se l'audizione dell'agosto 1980 stia fra i volumi editi o resti soltanto negli atti del fondo. Un corpus consultabile solo in biblioteca non si interroga; e finché non si interroga, quella precisazione dell'apparato K resta aperta per ragioni tipografiche invece che storiche.</w:t>
      </w:r>
    </w:p>
    <w:p>
      <w:pPr>
        <w:spacing w:after="120" w:line="276"/>
        <w:jc w:val="both"/>
      </w:pPr>
      <w:r>
        <w:rPr>
          <w:rFonts w:ascii="Barlow Semi Condensed" w:cs="Barlow Semi Condensed" w:eastAsia="Barlow Semi Condensed" w:hAnsi="Barlow Semi Condensed"/>
          <w:b/>
          <w:bCs/>
          <w:sz w:val="24"/>
          <w:szCs w:val="24"/>
        </w:rPr>
        <w:t xml:space="preserve">3410 · La Commissione Stragi, interrogata.</w:t>
      </w:r>
      <w:r>
        <w:rPr>
          <w:rFonts w:ascii="Barlow Semi Condensed" w:cs="Barlow Semi Condensed" w:eastAsia="Barlow Semi Condensed" w:hAnsi="Barlow Semi Condensed"/>
          <w:sz w:val="24"/>
          <w:szCs w:val="24"/>
        </w:rPr>
        <w:t xml:space="preserve"> I blocchi 57 e 58 aprono il fondo della Commissione sul terrorismo e le stragi all'Archivio storico del Senato, con consultazione in sala studio su richiesta motivata. Quesito: quella Commissione trattò mai l'episodio dell'avvertimento, e in quale seduta? L'esito atteso è negativo. Se lo trattò, la collazione con le conclusioni delle due Commissioni Moro entra nella tavola del blocco 65 come divergenza da riportare, non da sciogliere.</w:t>
      </w:r>
    </w:p>
    <w:p>
      <w:pPr>
        <w:spacing w:after="120" w:line="276"/>
        <w:jc w:val="both"/>
      </w:pPr>
      <w:r>
        <w:rPr>
          <w:rFonts w:ascii="Barlow Semi Condensed" w:cs="Barlow Semi Condensed" w:eastAsia="Barlow Semi Condensed" w:hAnsi="Barlow Semi Condensed"/>
          <w:b/>
          <w:bCs/>
          <w:sz w:val="24"/>
          <w:szCs w:val="24"/>
        </w:rPr>
        <w:t xml:space="preserve">3411 · Le ventimila pagine, per stringa.</w:t>
      </w:r>
      <w:r>
        <w:rPr>
          <w:rFonts w:ascii="Barlow Semi Condensed" w:cs="Barlow Semi Condensed" w:eastAsia="Barlow Semi Condensed" w:hAnsi="Barlow Semi Condensed"/>
          <w:sz w:val="24"/>
          <w:szCs w:val="24"/>
        </w:rPr>
        <w:t xml:space="preserve"> Il blocco 52 chiede lo spoglio sistematico della documentazione desecretata della Moro 2, circa ventimila pagine già consultabili in rete. Bersaglio a costo quasi nullo: la ricerca full-text del cognome sul portale delle inchieste della Camera, con verbale dell'esito. È il tipo di ricerca che il blocco 285 vuole registrata anche quando fallisce, perché impedisce che qualcuno la rifaccia fra dieci anni credendo di essere il primo.</w:t>
      </w:r>
    </w:p>
    <w:p>
      <w:pPr>
        <w:spacing w:after="120" w:line="276"/>
        <w:jc w:val="both"/>
      </w:pPr>
      <w:r>
        <w:rPr>
          <w:rFonts w:ascii="Barlow Semi Condensed" w:cs="Barlow Semi Condensed" w:eastAsia="Barlow Semi Condensed" w:hAnsi="Barlow Semi Condensed"/>
          <w:b/>
          <w:bCs/>
          <w:sz w:val="24"/>
          <w:szCs w:val="24"/>
        </w:rPr>
        <w:t xml:space="preserve">3412 · La relazione conclusiva del 2017.</w:t>
      </w:r>
      <w:r>
        <w:rPr>
          <w:rFonts w:ascii="Barlow Semi Condensed" w:cs="Barlow Semi Condensed" w:eastAsia="Barlow Semi Condensed" w:hAnsi="Barlow Semi Condensed"/>
          <w:sz w:val="24"/>
          <w:szCs w:val="24"/>
        </w:rPr>
        <w:t xml:space="preserve"> Il blocco 48 impone la rilettura delle relazioni della Moro 2 con la griglia dei quesiti costitutivi. Bersaglio: il Doc. XXIII n. 29 del 6 dicembre 2017, per accertare che cosa vi si stabilisca sul versante internazionale, con quali fonti, e quali quesiti la Commissione dichiari aperti. Quella relazione è la mappa delle piste di quella Commissione: il confronto con la presente serie dice chi ha ignorato che cosa.</w:t>
      </w:r>
    </w:p>
    <w:p>
      <w:pPr>
        <w:spacing w:after="120" w:line="276"/>
        <w:jc w:val="both"/>
      </w:pPr>
      <w:r>
        <w:rPr>
          <w:rFonts w:ascii="Barlow Semi Condensed" w:cs="Barlow Semi Condensed" w:eastAsia="Barlow Semi Condensed" w:hAnsi="Barlow Semi Condensed"/>
          <w:b/>
          <w:bCs/>
          <w:sz w:val="24"/>
          <w:szCs w:val="24"/>
        </w:rPr>
        <w:t xml:space="preserve">3413 · L'indice unico e l'assenza certificata.</w:t>
      </w:r>
      <w:r>
        <w:rPr>
          <w:rFonts w:ascii="Barlow Semi Condensed" w:cs="Barlow Semi Condensed" w:eastAsia="Barlow Semi Condensed" w:hAnsi="Barlow Semi Condensed"/>
          <w:sz w:val="24"/>
          <w:szCs w:val="24"/>
        </w:rPr>
        <w:t xml:space="preserve"> Il blocco 67 costruisce l'anagrafe della parola istituzionale sul caso, cioè tutte le persone sentite dalle tre Commissioni. Bersaglio: certificare da quegli indici, che sono pubblici, che questo nome non vi compare mai. Non fu sentito dalla Moro 1, né dalla Commissione Stragi, né dalla Moro 2, né da magistrati italiani. Stato Zero di pieno valore, e come tale va scritto con la sua sede accanto.</w:t>
      </w:r>
    </w:p>
    <w:p>
      <w:pPr>
        <w:spacing w:after="120" w:line="276"/>
        <w:jc w:val="both"/>
      </w:pPr>
      <w:r>
        <w:rPr>
          <w:rFonts w:ascii="Barlow Semi Condensed" w:cs="Barlow Semi Condensed" w:eastAsia="Barlow Semi Condensed" w:hAnsi="Barlow Semi Condensed"/>
          <w:b/>
          <w:bCs/>
          <w:sz w:val="24"/>
          <w:szCs w:val="24"/>
        </w:rPr>
        <w:t xml:space="preserve">3414 · L'indice del segreto, letto.</w:t>
      </w:r>
      <w:r>
        <w:rPr>
          <w:rFonts w:ascii="Barlow Semi Condensed" w:cs="Barlow Semi Condensed" w:eastAsia="Barlow Semi Condensed" w:hAnsi="Barlow Semi Condensed"/>
          <w:sz w:val="24"/>
          <w:szCs w:val="24"/>
        </w:rPr>
        <w:t xml:space="preserve"> Il blocco 64 osserva che gli indici delle audizioni segretate restano pubblici anche dove i testi non lo sono, e che l'indice del segreto è già conoscenza. Bersaglio: verificare se fra le audizioni mai pubblicate degli anni 1980-1983 ve ne siano di pertinenti all'episodio, e chiederne l'apertura caso per caso. Anche qui l'esito negativo si verbalizza col perimetro, come impone il blocco 233.</w:t>
      </w:r>
    </w:p>
    <w:p>
      <w:pPr>
        <w:spacing w:after="120" w:line="276"/>
        <w:jc w:val="both"/>
      </w:pPr>
      <w:r>
        <w:rPr>
          <w:rFonts w:ascii="Barlow Semi Condensed" w:cs="Barlow Semi Condensed" w:eastAsia="Barlow Semi Condensed" w:hAnsi="Barlow Semi Condensed"/>
          <w:b/>
          <w:bCs/>
          <w:sz w:val="24"/>
          <w:szCs w:val="24"/>
        </w:rPr>
        <w:t xml:space="preserve">3415 · Il raccordo giudiziario del 1983.</w:t>
      </w:r>
      <w:r>
        <w:rPr>
          <w:rFonts w:ascii="Barlow Semi Condensed" w:cs="Barlow Semi Condensed" w:eastAsia="Barlow Semi Condensed" w:hAnsi="Barlow Semi Condensed"/>
          <w:sz w:val="24"/>
          <w:szCs w:val="24"/>
        </w:rPr>
        <w:t xml:space="preserve"> Nell'aprile 1983 una fonte d'agenzia statunitense riferì che magistrati italiani volevano interrogarlo su un acceso alterco all'ambasciata d'Italia a Washington nel 1977, e la richiesta informale non ebbe seguito. Bersaglio del blocco 69: la tavola degli atti transitati fra Commissioni e procure in quei mesi. O l'atto esiste in un registro di protocollo, o non fu mai formalizzato, e le due risposte contano allo stesso modo.</w:t>
      </w:r>
    </w:p>
    <w:p>
      <w:pPr>
        <w:spacing w:after="120" w:line="276"/>
        <w:jc w:val="both"/>
      </w:pPr>
      <w:r>
        <w:rPr>
          <w:rFonts w:ascii="Barlow Semi Condensed" w:cs="Barlow Semi Condensed" w:eastAsia="Barlow Semi Condensed" w:hAnsi="Barlow Semi Condensed"/>
          <w:b/>
          <w:bCs/>
          <w:sz w:val="24"/>
          <w:szCs w:val="24"/>
        </w:rPr>
        <w:t xml:space="preserve">3416 · Gli atti parlamentari ordinari.</w:t>
      </w:r>
      <w:r>
        <w:rPr>
          <w:rFonts w:ascii="Barlow Semi Condensed" w:cs="Barlow Semi Condensed" w:eastAsia="Barlow Semi Condensed" w:hAnsi="Barlow Semi Condensed"/>
          <w:sz w:val="24"/>
          <w:szCs w:val="24"/>
        </w:rPr>
        <w:t xml:space="preserve"> Il blocco 62 costruisce la tavola di ciò che il Parlamento chiese al Governo e di ciò che il Governo rispose, con le non-risposte censite come tali. Bersaglio: interrogazioni e interpellanze del 1982 e del 1983 sull'episodio, nelle banche dati storiche di Camera e Senato. Una domanda parlamentare rimasta senza risposta è comunque un documento, e il suo silenzio porta una data verificabile.</w:t>
      </w:r>
    </w:p>
    <w:p>
      <w:pPr>
        <w:spacing w:after="120" w:line="276"/>
        <w:jc w:val="both"/>
      </w:pPr>
      <w:r>
        <w:rPr>
          <w:rFonts w:ascii="Barlow Semi Condensed" w:cs="Barlow Semi Condensed" w:eastAsia="Barlow Semi Condensed" w:hAnsi="Barlow Semi Condensed"/>
          <w:b/>
          <w:bCs/>
          <w:sz w:val="24"/>
          <w:szCs w:val="24"/>
        </w:rPr>
        <w:t xml:space="preserve">3417 · I reperti non portano nomi.</w:t>
      </w:r>
      <w:r>
        <w:rPr>
          <w:rFonts w:ascii="Barlow Semi Condensed" w:cs="Barlow Semi Condensed" w:eastAsia="Barlow Semi Condensed" w:hAnsi="Barlow Semi Condensed"/>
          <w:sz w:val="24"/>
          <w:szCs w:val="24"/>
        </w:rPr>
        <w:t xml:space="preserve"> Un bossolo non ha nazionalità, una traccia biologica non ha politica estera, un polline non riferisce colloqui. L'intera serie quarta è muta su qualunque nome straniero, e insieme a essa lo sono conservatoria, catasto, archivio capitolino e registri delle utenze. Non è una lacuna: è la natura di quelle classi. Dichiararlo una volta impedisce di aprirvi campagne inutili e di leggerne poi il silenzio come reticenza.</w:t>
      </w:r>
    </w:p>
    <w:p>
      <w:pPr>
        <w:spacing w:after="120" w:line="276"/>
        <w:jc w:val="both"/>
      </w:pPr>
      <w:r>
        <w:rPr>
          <w:rFonts w:ascii="Barlow Semi Condensed" w:cs="Barlow Semi Condensed" w:eastAsia="Barlow Semi Condensed" w:hAnsi="Barlow Semi Condensed"/>
          <w:b/>
          <w:bCs/>
          <w:sz w:val="24"/>
          <w:szCs w:val="24"/>
        </w:rPr>
        <w:t xml:space="preserve">3418 · Il memoriale, cercato per stringa.</w:t>
      </w:r>
      <w:r>
        <w:rPr>
          <w:rFonts w:ascii="Barlow Semi Condensed" w:cs="Barlow Semi Condensed" w:eastAsia="Barlow Semi Condensed" w:hAnsi="Barlow Semi Condensed"/>
          <w:sz w:val="24"/>
          <w:szCs w:val="24"/>
        </w:rPr>
        <w:t xml:space="preserve"> I blocchi 96 e 220 trattano le carte di via Monte Nevoso come oggetti materiali e ne misurano le lacune. Bersaglio filologico distinto e verificabile: accertare se il memoriale e le lettere nominino l'interlocutore statunitense, in quali pagine, e con quale statuto, cioè giudizio politico del prigioniero e non attestazione di fatto. L'edizione critica e le fotocopie del 1990 sono la sede naturale della verifica.</w:t>
      </w:r>
    </w:p>
    <w:p>
      <w:pPr>
        <w:spacing w:after="120" w:line="276"/>
        <w:jc w:val="both"/>
      </w:pPr>
      <w:r>
        <w:rPr>
          <w:rFonts w:ascii="Barlow Semi Condensed" w:cs="Barlow Semi Condensed" w:eastAsia="Barlow Semi Condensed" w:hAnsi="Barlow Semi Condensed"/>
          <w:b/>
          <w:bCs/>
          <w:sz w:val="24"/>
          <w:szCs w:val="24"/>
        </w:rPr>
        <w:t xml:space="preserve">3419 · Il modello del blocco 95.</w:t>
      </w:r>
      <w:r>
        <w:rPr>
          <w:rFonts w:ascii="Barlow Semi Condensed" w:cs="Barlow Semi Condensed" w:eastAsia="Barlow Semi Condensed" w:hAnsi="Barlow Semi Condensed"/>
          <w:sz w:val="24"/>
          <w:szCs w:val="24"/>
        </w:rPr>
        <w:t xml:space="preserve"> Le borse mai trovate sono il modello formale di tutta questa serie: l'assenza più celebre del caso merita il suo perimetro esatto, non un'altra narrazione. Ogni Stato Zero qui dichiarato adotta la stessa forma, cioè ogni verbale che ne parla, ogni ricerca compiuta, ogni ipotesi documentale sul percorso, e si chiude con una sede invece che con un sospetto. È la differenza fra censimento negativo e reticenza.</w:t>
      </w:r>
    </w:p>
    <w:p>
      <w:pPr>
        <w:spacing w:after="120" w:line="276"/>
        <w:jc w:val="both"/>
      </w:pPr>
      <w:r>
        <w:rPr>
          <w:rFonts w:ascii="Barlow Semi Condensed" w:cs="Barlow Semi Condensed" w:eastAsia="Barlow Semi Condensed" w:hAnsi="Barlow Semi Condensed"/>
          <w:b/>
          <w:bCs/>
          <w:sz w:val="24"/>
          <w:szCs w:val="24"/>
        </w:rPr>
        <w:t xml:space="preserve">3420 · Il censimento dei viventi, chiuso.</w:t>
      </w:r>
      <w:r>
        <w:rPr>
          <w:rFonts w:ascii="Barlow Semi Condensed" w:cs="Barlow Semi Condensed" w:eastAsia="Barlow Semi Condensed" w:hAnsi="Barlow Semi Condensed"/>
          <w:sz w:val="24"/>
          <w:szCs w:val="24"/>
        </w:rPr>
        <w:t xml:space="preserve"> Heinz Alfred Kissinger, nato a Fürth il 27 maggio 1923, morì a Kent, nel Connecticut, il 29 novembre 2023. Non fu mai sentito da magistrati italiani né da alcuna Commissione parlamentare. Nella tavola del blocco 125 la sua riga porterebbe lo stato terminale che l'agenda chiama la misura esatta del costo del ritardo, deceduto prima dell'ascolto, con l'avvertenza che non fu mai teste in senso proprio.</w:t>
      </w:r>
    </w:p>
    <w:p>
      <w:pPr>
        <w:spacing w:after="120" w:line="276"/>
        <w:jc w:val="both"/>
      </w:pPr>
      <w:r>
        <w:rPr>
          <w:rFonts w:ascii="Barlow Semi Condensed" w:cs="Barlow Semi Condensed" w:eastAsia="Barlow Semi Condensed" w:hAnsi="Barlow Semi Condensed"/>
          <w:b/>
          <w:bCs/>
          <w:sz w:val="24"/>
          <w:szCs w:val="24"/>
        </w:rPr>
        <w:t xml:space="preserve">3421 · Non confondere col blocco 104.</w:t>
      </w:r>
      <w:r>
        <w:rPr>
          <w:rFonts w:ascii="Barlow Semi Condensed" w:cs="Barlow Semi Condensed" w:eastAsia="Barlow Semi Condensed" w:hAnsi="Barlow Semi Condensed"/>
          <w:sz w:val="24"/>
          <w:szCs w:val="24"/>
        </w:rPr>
        <w:t xml:space="preserve"> Il partecipante identificato mai sentito da una corte italiana è un condannato definitivo raggiungibile per rogatoria conoscitiva. Questo nome apparteneva a un'altra categoria per intero: mai imputato, mai teste, mai destinatario di un atto formale. Le due situazioni si somigliano solo nella formula mai sentito e vanno tenute separate, perché confonderle trasformerebbe un'ordinaria assenza procedurale in una sottrazione, che i documenti non attestano in alcun modo.</w:t>
      </w:r>
    </w:p>
    <w:p>
      <w:pPr>
        <w:spacing w:after="120" w:line="276"/>
        <w:jc w:val="both"/>
      </w:pPr>
      <w:r>
        <w:rPr>
          <w:rFonts w:ascii="Barlow Semi Condensed" w:cs="Barlow Semi Condensed" w:eastAsia="Barlow Semi Condensed" w:hAnsi="Barlow Semi Condensed"/>
          <w:b/>
          <w:bCs/>
          <w:sz w:val="24"/>
          <w:szCs w:val="24"/>
        </w:rPr>
        <w:t xml:space="preserve">3422 · I magistrati dell'epoca, ascoltabili.</w:t>
      </w:r>
      <w:r>
        <w:rPr>
          <w:rFonts w:ascii="Barlow Semi Condensed" w:cs="Barlow Semi Condensed" w:eastAsia="Barlow Semi Condensed" w:hAnsi="Barlow Semi Condensed"/>
          <w:sz w:val="24"/>
          <w:szCs w:val="24"/>
        </w:rPr>
        <w:t xml:space="preserve"> Il blocco 114 consente di chiedere ai magistrati viventi il come delle decisioni documentate, mai la revisione del giudicato. Bersaglio conservativo a priorità alta: che cosa fu della richiesta informale del 1983, quale ufficio la formulò, su quale atto, per quale via, con quale esito. La memoria del giudice illumina le carte e non le sostituisce; se le carte mancano, dice almeno dove converrebbe cercarle.</w:t>
      </w:r>
    </w:p>
    <w:p>
      <w:pPr>
        <w:spacing w:after="120" w:line="276"/>
        <w:jc w:val="both"/>
      </w:pPr>
      <w:r>
        <w:rPr>
          <w:rFonts w:ascii="Barlow Semi Condensed" w:cs="Barlow Semi Condensed" w:eastAsia="Barlow Semi Condensed" w:hAnsi="Barlow Semi Condensed"/>
          <w:b/>
          <w:bCs/>
          <w:sz w:val="24"/>
          <w:szCs w:val="24"/>
        </w:rPr>
        <w:t xml:space="preserve">3423 · Il taccuino della smentita.</w:t>
      </w:r>
      <w:r>
        <w:rPr>
          <w:rFonts w:ascii="Barlow Semi Condensed" w:cs="Barlow Semi Condensed" w:eastAsia="Barlow Semi Condensed" w:hAnsi="Barlow Semi Condensed"/>
          <w:sz w:val="24"/>
          <w:szCs w:val="24"/>
        </w:rPr>
        <w:t xml:space="preserve"> L'interessato negò l'episodio in forma diretta a un giornalista poco prima della morte, e in forma anteriore e generica già nel 1983. I blocchi 115 e 173 rendono quel materiale un bersaglio: taccuini, registrazioni, corrispondenza del cronista che raccolse la risposta. La smentita è testimonianza giornalistica di un solo interlocutore, non un comunicato; conservarne il supporto la rende verificabile invece che soltanto citabile.</w:t>
      </w:r>
    </w:p>
    <w:p>
      <w:pPr>
        <w:spacing w:after="120" w:line="276"/>
        <w:jc w:val="both"/>
      </w:pPr>
      <w:r>
        <w:rPr>
          <w:rFonts w:ascii="Barlow Semi Condensed" w:cs="Barlow Semi Condensed" w:eastAsia="Barlow Semi Condensed" w:hAnsi="Barlow Semi Condensed"/>
          <w:b/>
          <w:bCs/>
          <w:sz w:val="24"/>
          <w:szCs w:val="24"/>
        </w:rPr>
        <w:t xml:space="preserve">3424 · Il contraddittorio, non il confronto.</w:t>
      </w:r>
      <w:r>
        <w:rPr>
          <w:rFonts w:ascii="Barlow Semi Condensed" w:cs="Barlow Semi Condensed" w:eastAsia="Barlow Semi Condensed" w:hAnsi="Barlow Semi Condensed"/>
          <w:sz w:val="24"/>
          <w:szCs w:val="24"/>
        </w:rPr>
        <w:t xml:space="preserve"> Il blocco 123 vieta di portare due memorie divergenti al confronto suggestivo fra testimoni e impone di portarle ai documenti. Qui divergono un portavoce che riferì de relato e due testimoni italiani qualificati che negarono la minaccia pur ammettendo la durezza del colloquio, distinguendo il rimprovero aspro dalla minaccia. Nessuno dei tre assistette al colloquio riservato: si riportano tutte le versioni e si conservano entrambe le direzioni.</w:t>
      </w:r>
    </w:p>
    <w:p>
      <w:pPr>
        <w:spacing w:after="120" w:line="276"/>
        <w:jc w:val="both"/>
      </w:pPr>
      <w:r>
        <w:rPr>
          <w:rFonts w:ascii="Barlow Semi Condensed" w:cs="Barlow Semi Condensed" w:eastAsia="Barlow Semi Condensed" w:hAnsi="Barlow Semi Condensed"/>
          <w:b/>
          <w:bCs/>
          <w:sz w:val="24"/>
          <w:szCs w:val="24"/>
        </w:rPr>
        <w:t xml:space="preserve">3425 · Gli occhi stranieri, fuori perimetro.</w:t>
      </w:r>
      <w:r>
        <w:rPr>
          <w:rFonts w:ascii="Barlow Semi Condensed" w:cs="Barlow Semi Condensed" w:eastAsia="Barlow Semi Condensed" w:hAnsi="Barlow Semi Condensed"/>
          <w:sz w:val="24"/>
          <w:szCs w:val="24"/>
        </w:rPr>
        <w:t xml:space="preserve"> Il blocco 122 elenca i diplomatici e gli addetti alleati viventi in servizio a Roma nel 1978, per l'ascolto conservativo. Nel 1978 questo nome non aveva carica alcuna e non prestava servizio in nessuna sede: sta fuori da quel censimento per definizione. Chi vi cerchi la sua voce confonde un privato cittadino con un ufficio, ed è l'errore che il vincolo di calendario di questa serie previene.</w:t>
      </w:r>
    </w:p>
    <w:p>
      <w:pPr>
        <w:spacing w:after="120" w:line="276"/>
        <w:jc w:val="both"/>
      </w:pPr>
      <w:r>
        <w:rPr>
          <w:rFonts w:ascii="Barlow Semi Condensed" w:cs="Barlow Semi Condensed" w:eastAsia="Barlow Semi Condensed" w:hAnsi="Barlow Semi Condensed"/>
          <w:b/>
          <w:bCs/>
          <w:sz w:val="24"/>
          <w:szCs w:val="24"/>
        </w:rPr>
        <w:t xml:space="preserve">3426 · La mappa del vincolo.</w:t>
      </w:r>
      <w:r>
        <w:rPr>
          <w:rFonts w:ascii="Barlow Semi Condensed" w:cs="Barlow Semi Condensed" w:eastAsia="Barlow Semi Condensed" w:hAnsi="Barlow Semi Condensed"/>
          <w:sz w:val="24"/>
          <w:szCs w:val="24"/>
        </w:rPr>
        <w:t xml:space="preserve"> Il blocco 126 trasforma la scheda PE-5 in tavola operativa: per ogni archivio alleato, chi può aprire che cosa, con quale procedura, in quali tempi. Applicata a questo nome la tavola ha una sola riga davvero utile, quella statunitense, e proprio quella riga non è mai stata compilata: il territorio nomina i giacimenti americani ma non i soggetti titolari del consenso all'apertura, che sono altra cosa.</w:t>
      </w:r>
    </w:p>
    <w:p>
      <w:pPr>
        <w:spacing w:after="120" w:line="276"/>
        <w:jc w:val="both"/>
      </w:pPr>
      <w:r>
        <w:rPr>
          <w:rFonts w:ascii="Barlow Semi Condensed" w:cs="Barlow Semi Condensed" w:eastAsia="Barlow Semi Condensed" w:hAnsi="Barlow Semi Condensed"/>
          <w:b/>
          <w:bCs/>
          <w:sz w:val="24"/>
          <w:szCs w:val="24"/>
        </w:rPr>
        <w:t xml:space="preserve">3427 · Le withdrawal cards, previsione dichiarata.</w:t>
      </w:r>
      <w:r>
        <w:rPr>
          <w:rFonts w:ascii="Barlow Semi Condensed" w:cs="Barlow Semi Condensed" w:eastAsia="Barlow Semi Condensed" w:hAnsi="Barlow Semi Condensed"/>
          <w:sz w:val="24"/>
          <w:szCs w:val="24"/>
        </w:rPr>
        <w:t xml:space="preserve"> Il blocco 127 porta a tavola completa le schede delle carte dichiaratamente trattenute del 1978. Previsione falsificabile, scritta prima della ricerca: nessuna di quelle schede recherà questo nome come originatore, perché nel 1978 non firmava più cablo. Se una scheda del 1978 lo nominasse, la previsione cade e il bersaglio si riapre con priorità alta. Una previsione che nessun esito potrebbe smentire non varrebbe la riga.</w:t>
      </w:r>
    </w:p>
    <w:p>
      <w:pPr>
        <w:spacing w:after="120" w:line="276"/>
        <w:jc w:val="both"/>
      </w:pPr>
      <w:r>
        <w:rPr>
          <w:rFonts w:ascii="Barlow Semi Condensed" w:cs="Barlow Semi Condensed" w:eastAsia="Barlow Semi Condensed" w:hAnsi="Barlow Semi Condensed"/>
          <w:b/>
          <w:bCs/>
          <w:sz w:val="24"/>
          <w:szCs w:val="24"/>
        </w:rPr>
        <w:t xml:space="preserve">3428 · La griglia dell'AAD, dichiarata.</w:t>
      </w:r>
      <w:r>
        <w:rPr>
          <w:rFonts w:ascii="Barlow Semi Condensed" w:cs="Barlow Semi Condensed" w:eastAsia="Barlow Semi Condensed" w:hAnsi="Barlow Semi Condensed"/>
          <w:sz w:val="24"/>
          <w:szCs w:val="24"/>
        </w:rPr>
        <w:t xml:space="preserve"> Il blocco 128 impone griglia di ricerca dichiarata e verbale degli esiti, comprese le ricerche a vuoto. Griglia proposta: cognome come chiave libera sui telegrammi elettronici del 1978, TAGS PINT e IT, finestra dal 16 marzo al 31 dicembre. Esito atteso, prevalenza di rassegne e citazioni di stampa. Il rumore va marcato come rumore, altrimenti il conteggio delle occorrenze diventa una misura di rilevanza che non è.</w:t>
      </w:r>
    </w:p>
    <w:p>
      <w:pPr>
        <w:spacing w:after="120" w:line="276"/>
        <w:jc w:val="both"/>
      </w:pPr>
      <w:r>
        <w:rPr>
          <w:rFonts w:ascii="Barlow Semi Condensed" w:cs="Barlow Semi Condensed" w:eastAsia="Barlow Semi Condensed" w:hAnsi="Barlow Semi Condensed"/>
          <w:b/>
          <w:bCs/>
          <w:sz w:val="24"/>
          <w:szCs w:val="24"/>
        </w:rPr>
        <w:t xml:space="preserve">3429 · La microfiche intitolata a Moro.</w:t>
      </w:r>
      <w:r>
        <w:rPr>
          <w:rFonts w:ascii="Barlow Semi Condensed" w:cs="Barlow Semi Condensed" w:eastAsia="Barlow Semi Condensed" w:hAnsi="Barlow Semi Condensed"/>
          <w:sz w:val="24"/>
          <w:szCs w:val="24"/>
        </w:rPr>
        <w:t xml:space="preserve"> Il blocco 129 censisce nella FOIA Library del Dipartimento di Stato una collezione dedicata a Moro, rilascio storico su microfiche non interamente digitalizzato. Poiché è intestata all'uomo e non ai cinquantacinque giorni, copre anche gli anni del suo ministero degli Esteri: è il giacimento con la più alta probabilità di restituire un documento di piano uno su questo quesito. Priorità massima dell'intera serie sesta.</w:t>
      </w:r>
    </w:p>
    <w:p>
      <w:pPr>
        <w:spacing w:after="120" w:line="276"/>
        <w:jc w:val="both"/>
      </w:pPr>
      <w:r>
        <w:rPr>
          <w:rFonts w:ascii="Barlow Semi Condensed" w:cs="Barlow Semi Condensed" w:eastAsia="Barlow Semi Condensed" w:hAnsi="Barlow Semi Condensed"/>
          <w:b/>
          <w:bCs/>
          <w:sz w:val="24"/>
          <w:szCs w:val="24"/>
        </w:rPr>
        <w:t xml:space="preserve">3430 · Il lotto del corpus, riletto.</w:t>
      </w:r>
      <w:r>
        <w:rPr>
          <w:rFonts w:ascii="Barlow Semi Condensed" w:cs="Barlow Semi Condensed" w:eastAsia="Barlow Semi Condensed" w:hAnsi="Barlow Semi Condensed"/>
          <w:sz w:val="24"/>
          <w:szCs w:val="24"/>
        </w:rPr>
        <w:t xml:space="preserve"> Il blocco 130 lavora sul fascicolo FOIA già acquisito dal corpus, caso R-2021-002xx, numeri di controllo B-00001939965-989, TAGS PINT e IT. Bersaglio doppio: verificare se i fogli di quel lotto nominino l'interlocutore statunitense, e chiedere il rilascio integrale del caso invece dei soli fogli circolati. I numeri mancanti dell'intervallo sono già, di per sé, una lista di richieste pronte da presentare.</w:t>
      </w:r>
    </w:p>
    <w:p>
      <w:pPr>
        <w:spacing w:after="120" w:line="276"/>
        <w:jc w:val="both"/>
      </w:pPr>
      <w:r>
        <w:rPr>
          <w:rFonts w:ascii="Barlow Semi Condensed" w:cs="Barlow Semi Condensed" w:eastAsia="Barlow Semi Condensed" w:hAnsi="Barlow Semi Condensed"/>
          <w:b/>
          <w:bCs/>
          <w:sz w:val="24"/>
          <w:szCs w:val="24"/>
        </w:rPr>
        <w:t xml:space="preserve">3431 · L'erosione, una carta per volta.</w:t>
      </w:r>
      <w:r>
        <w:rPr>
          <w:rFonts w:ascii="Barlow Semi Condensed" w:cs="Barlow Semi Condensed" w:eastAsia="Barlow Semi Condensed" w:hAnsi="Barlow Semi Condensed"/>
          <w:sz w:val="24"/>
          <w:szCs w:val="24"/>
        </w:rPr>
        <w:t xml:space="preserve"> Il blocco 131 descrive la strategia con precisione: richieste mirate, una per carta o per piccolo lotto, con motivazione storica argomentata. Applicata qui significa non chiedere tutto su un nome, domanda che in regime FOIA non converge mai, ma chiedere gli item identificati dalle schede di ritiro e dalla collezione a microfiche. Ogni diniego motivato entra nel registro del blocco 259 come dato sul perimetro.</w:t>
      </w:r>
    </w:p>
    <w:p>
      <w:pPr>
        <w:spacing w:after="120" w:line="276"/>
        <w:jc w:val="both"/>
      </w:pPr>
      <w:r>
        <w:rPr>
          <w:rFonts w:ascii="Barlow Semi Condensed" w:cs="Barlow Semi Condensed" w:eastAsia="Barlow Semi Condensed" w:hAnsi="Barlow Semi Condensed"/>
          <w:b/>
          <w:bCs/>
          <w:sz w:val="24"/>
          <w:szCs w:val="24"/>
        </w:rPr>
        <w:t xml:space="preserve">3432 · CREST e la rassegna stampa.</w:t>
      </w:r>
      <w:r>
        <w:rPr>
          <w:rFonts w:ascii="Barlow Semi Condensed" w:cs="Barlow Semi Condensed" w:eastAsia="Barlow Semi Condensed" w:hAnsi="Barlow Semi Condensed"/>
          <w:sz w:val="24"/>
          <w:szCs w:val="24"/>
        </w:rPr>
        <w:t xml:space="preserve"> Il blocco 132 impone di distinguere i documenti analitici dai ritagli raccolti internamente, che sono rassegna e non intelligence. È l'avvertenza decisiva per questo nome: una sala di lettura elettronica restituisce inevitabilmente articoli che lo citano, e chi li contasse come reperti costruirebbe una densità documentale fittizia. Ogni reperto va marcato per quello che è prima ancora di essere letto, non dopo.</w:t>
      </w:r>
    </w:p>
    <w:p>
      <w:pPr>
        <w:spacing w:after="120" w:line="276"/>
        <w:jc w:val="both"/>
      </w:pPr>
      <w:r>
        <w:rPr>
          <w:rFonts w:ascii="Barlow Semi Condensed" w:cs="Barlow Semi Condensed" w:eastAsia="Barlow Semi Condensed" w:hAnsi="Barlow Semi Condensed"/>
          <w:b/>
          <w:bCs/>
          <w:sz w:val="24"/>
          <w:szCs w:val="24"/>
        </w:rPr>
        <w:t xml:space="preserve">3433 · Atlanta e il cittadino privato.</w:t>
      </w:r>
      <w:r>
        <w:rPr>
          <w:rFonts w:ascii="Barlow Semi Condensed" w:cs="Barlow Semi Condensed" w:eastAsia="Barlow Semi Condensed" w:hAnsi="Barlow Semi Condensed"/>
          <w:sz w:val="24"/>
          <w:szCs w:val="24"/>
        </w:rPr>
        <w:t xml:space="preserve"> Il blocco 133 dichiara processata e aperta la collezione del consigliere per la sicurezza nazionale, col suo Country File italiano per gli anni 1977-1981. Bersaglio falsificabile: se in quel fascicolo un appunto registrasse un parere richiesto o offerto dal predecessore ormai privato cittadino nei cinquantacinque giorni, sarebbe piano uno su un ruolo del 1978. Nessuna pubblicazione lo attesta, e l'assenza va cercata prima di essere dichiarata.</w:t>
      </w:r>
    </w:p>
    <w:p>
      <w:pPr>
        <w:spacing w:after="120" w:line="276"/>
        <w:jc w:val="both"/>
      </w:pPr>
      <w:r>
        <w:rPr>
          <w:rFonts w:ascii="Barlow Semi Condensed" w:cs="Barlow Semi Condensed" w:eastAsia="Barlow Semi Condensed" w:hAnsi="Barlow Semi Condensed"/>
          <w:b/>
          <w:bCs/>
          <w:sz w:val="24"/>
          <w:szCs w:val="24"/>
        </w:rPr>
        <w:t xml:space="preserve">3434 · La finestra sbagliata del 134.</w:t>
      </w:r>
      <w:r>
        <w:rPr>
          <w:rFonts w:ascii="Barlow Semi Condensed" w:cs="Barlow Semi Condensed" w:eastAsia="Barlow Semi Condensed" w:hAnsi="Barlow Semi Condensed"/>
          <w:sz w:val="24"/>
          <w:szCs w:val="24"/>
        </w:rPr>
        <w:t xml:space="preserve"> Il blocco 134 limita lo spoglio della serie FRUS ai volumi degli anni 1977-1980. Ma l'unico documento noto che nomini insieme le due controparti sta in FRUS 1969-1976, volume E-15 parte seconda, documento 350, seconda edizione riveduta. Correzione proposta al territorio: estendere la finestra all'indietro fino al 1969, altrimenti la serie sesta esclude per costruzione la sola carta di piano uno che il corpus possieda.</w:t>
      </w:r>
    </w:p>
    <w:p>
      <w:pPr>
        <w:spacing w:after="120" w:line="276"/>
        <w:jc w:val="both"/>
      </w:pPr>
      <w:r>
        <w:rPr>
          <w:rFonts w:ascii="Barlow Semi Condensed" w:cs="Barlow Semi Condensed" w:eastAsia="Barlow Semi Condensed" w:hAnsi="Barlow Semi Condensed"/>
          <w:b/>
          <w:bCs/>
          <w:sz w:val="24"/>
          <w:szCs w:val="24"/>
        </w:rPr>
        <w:t xml:space="preserve">3435 · FRUS non è il fondo.</w:t>
      </w:r>
      <w:r>
        <w:rPr>
          <w:rFonts w:ascii="Barlow Semi Condensed" w:cs="Barlow Semi Condensed" w:eastAsia="Barlow Semi Condensed" w:hAnsi="Barlow Semi Condensed"/>
          <w:sz w:val="24"/>
          <w:szCs w:val="24"/>
        </w:rPr>
        <w:t xml:space="preserve"> La serie ufficiale è una selezione curata da un editore che sceglie, ordina e annota, e ogni nota a piè di pagina è una segnatura da seguire. Applicata al documento 350 la regola conduce alla Gerald R. Ford Presidential Library, National Security Adviser's Memoranda of Conversation, file 1552802. Nessuna assenza in FRUS equivale ad assenza in archivio, e nessuna presenza vi dispensa dal leggere l'originale.</w:t>
      </w:r>
    </w:p>
    <w:p>
      <w:pPr>
        <w:spacing w:after="120" w:line="276"/>
        <w:jc w:val="both"/>
      </w:pPr>
      <w:r>
        <w:rPr>
          <w:rFonts w:ascii="Barlow Semi Condensed" w:cs="Barlow Semi Condensed" w:eastAsia="Barlow Semi Condensed" w:hAnsi="Barlow Semi Condensed"/>
          <w:b/>
          <w:bCs/>
          <w:sz w:val="24"/>
          <w:szCs w:val="24"/>
        </w:rPr>
        <w:t xml:space="preserve">3436 · Il verbale del 26 settembre.</w:t>
      </w:r>
      <w:r>
        <w:rPr>
          <w:rFonts w:ascii="Barlow Semi Condensed" w:cs="Barlow Semi Condensed" w:eastAsia="Barlow Semi Condensed" w:hAnsi="Barlow Semi Condensed"/>
          <w:sz w:val="24"/>
          <w:szCs w:val="24"/>
        </w:rPr>
        <w:t xml:space="preserve"> Il medesimo lotto comprende un secondo memorandum, del 26 settembre 1974, conservato alla Ford Library come file 1552806. Il corpus lo registra come reperibile e non lo tratta come già letto: gli estratti finora raccolti sono parziali e non del tutto concordi fra loro. Resta un bersaglio aperto della serie sesta e va indicato come tale, invece di essere citato come se ne fosse compiuto lo spoglio.</w:t>
      </w:r>
    </w:p>
    <w:p>
      <w:pPr>
        <w:spacing w:after="120" w:line="276"/>
        <w:jc w:val="both"/>
      </w:pPr>
      <w:r>
        <w:rPr>
          <w:rFonts w:ascii="Barlow Semi Condensed" w:cs="Barlow Semi Condensed" w:eastAsia="Barlow Semi Condensed" w:hAnsi="Barlow Semi Condensed"/>
          <w:b/>
          <w:bCs/>
          <w:sz w:val="24"/>
          <w:szCs w:val="24"/>
        </w:rPr>
        <w:t xml:space="preserve">3437 · Kew, la domanda giusta.</w:t>
      </w:r>
      <w:r>
        <w:rPr>
          <w:rFonts w:ascii="Barlow Semi Condensed" w:cs="Barlow Semi Condensed" w:eastAsia="Barlow Semi Condensed" w:hAnsi="Barlow Semi Condensed"/>
          <w:sz w:val="24"/>
          <w:szCs w:val="24"/>
        </w:rPr>
        <w:t xml:space="preserve"> Il blocco 136 indica il catalogo Discovery e le serie FCO, e la verifica V-4 nomina il fascicolo sul terrorismo in Italia, con aperture fra il 2008 e il 2009. La domanda giusta non riguarda l'uomo ma la sede britannica: che cosa Londra riferì delle posizioni americane sull'ingresso comunista fra il 1974 e il 1976. Sarebbe piano due, e come piano due andrebbe scritto e lasciato.</w:t>
      </w:r>
    </w:p>
    <w:p>
      <w:pPr>
        <w:spacing w:after="120" w:line="276"/>
        <w:jc w:val="both"/>
      </w:pPr>
      <w:r>
        <w:rPr>
          <w:rFonts w:ascii="Barlow Semi Condensed" w:cs="Barlow Semi Condensed" w:eastAsia="Barlow Semi Condensed" w:hAnsi="Barlow Semi Condensed"/>
          <w:b/>
          <w:bCs/>
          <w:sz w:val="24"/>
          <w:szCs w:val="24"/>
        </w:rPr>
        <w:t xml:space="preserve">3438 · La Courneuve e il luglio 1976.</w:t>
      </w:r>
      <w:r>
        <w:rPr>
          <w:rFonts w:ascii="Barlow Semi Condensed" w:cs="Barlow Semi Condensed" w:eastAsia="Barlow Semi Condensed" w:hAnsi="Barlow Semi Condensed"/>
          <w:sz w:val="24"/>
          <w:szCs w:val="24"/>
        </w:rPr>
        <w:t xml:space="preserve"> La sottoserie Europa degli archivi diplomatici francesi verificata per il territorio copre l'Italia dal luglio 1976 al 1980, versamento 1929INVA, novecentosettantaquattro scatole con inventario in linea. La collocazione più antica dell'episodio contestato è il settembre 1974, e cade prima dell'apertura di quella sottoserie. Il bersaglio corretto è dunque la sottoserie immediatamente precedente, e il blocco 138 va integrato con la sua segnatura prima di ogni missione.</w:t>
      </w:r>
    </w:p>
    <w:p>
      <w:pPr>
        <w:spacing w:after="120" w:line="276"/>
        <w:jc w:val="both"/>
      </w:pPr>
      <w:r>
        <w:rPr>
          <w:rFonts w:ascii="Barlow Semi Condensed" w:cs="Barlow Semi Condensed" w:eastAsia="Barlow Semi Condensed" w:hAnsi="Barlow Semi Condensed"/>
          <w:b/>
          <w:bCs/>
          <w:sz w:val="24"/>
          <w:szCs w:val="24"/>
        </w:rPr>
        <w:t xml:space="preserve">3439 · Gli scaffali dell'Alleanza, il punto.</w:t>
      </w:r>
      <w:r>
        <w:rPr>
          <w:rFonts w:ascii="Barlow Semi Condensed" w:cs="Barlow Semi Condensed" w:eastAsia="Barlow Semi Condensed" w:hAnsi="Barlow Semi Condensed"/>
          <w:sz w:val="24"/>
          <w:szCs w:val="24"/>
        </w:rPr>
        <w:t xml:space="preserve"> Il memorandum del 25 settembre 1974 attesta la posizione sull'impossibilità di scambiare informazioni militari con un governo comprendente i comunisti, col precedente portoghese richiamato. Il blocco 143 offre la sede dove verificarne il seguito documentale, cioè gli archivi dell'Alleanza e la loro sala di lettura, per le serie degli anni 1974-1976. Si cercano documenti d'archivio e non conferme di narrazioni; ciò che non c'è si verbalizza.</w:t>
      </w:r>
    </w:p>
    <w:p>
      <w:pPr>
        <w:spacing w:after="120" w:line="276"/>
        <w:jc w:val="both"/>
      </w:pPr>
      <w:r>
        <w:rPr>
          <w:rFonts w:ascii="Barlow Semi Condensed" w:cs="Barlow Semi Condensed" w:eastAsia="Barlow Semi Condensed" w:hAnsi="Barlow Semi Condensed"/>
          <w:b/>
          <w:bCs/>
          <w:sz w:val="24"/>
          <w:szCs w:val="24"/>
        </w:rPr>
        <w:t xml:space="preserve">3440 · Il precedente portoghese, verificato.</w:t>
      </w:r>
      <w:r>
        <w:rPr>
          <w:rFonts w:ascii="Barlow Semi Condensed" w:cs="Barlow Semi Condensed" w:eastAsia="Barlow Semi Condensed" w:hAnsi="Barlow Semi Condensed"/>
          <w:sz w:val="24"/>
          <w:szCs w:val="24"/>
        </w:rPr>
        <w:t xml:space="preserve"> Nel medesimo verbale il precedente portoghese è richiamato come argomento politico. Il blocco 148 consente di trattarlo come bersaglio invece che come citazione: le serie diplomatiche di Lisbona per gli anni 1974-1975, con la griglia essenziale di stato d'apertura e via d'accesso. Verificare un argomento presso la fonte che esso invoca resta il modo più economico di misurarne la consistenza, e nessuna gerarchia presunta lo impedisce.</w:t>
      </w:r>
    </w:p>
    <w:p>
      <w:pPr>
        <w:spacing w:after="120" w:line="276"/>
        <w:jc w:val="both"/>
      </w:pPr>
      <w:r>
        <w:rPr>
          <w:rFonts w:ascii="Barlow Semi Condensed" w:cs="Barlow Semi Condensed" w:eastAsia="Barlow Semi Condensed" w:hAnsi="Barlow Semi Condensed"/>
          <w:b/>
          <w:bCs/>
          <w:sz w:val="24"/>
          <w:szCs w:val="24"/>
        </w:rPr>
        <w:t xml:space="preserve">3441 · Le rogatorie mancate del 1983.</w:t>
      </w:r>
      <w:r>
        <w:rPr>
          <w:rFonts w:ascii="Barlow Semi Condensed" w:cs="Barlow Semi Condensed" w:eastAsia="Barlow Semi Condensed" w:hAnsi="Barlow Semi Condensed"/>
          <w:sz w:val="24"/>
          <w:szCs w:val="24"/>
        </w:rPr>
        <w:t xml:space="preserve"> Il blocco 149 descrive la via delle rogatorie per gli atti che una richiesta archivistica non raggiunge, con la titolarità che resta dove la legge la pone. Applicato all'episodio, dice quale forma avrebbe dovuto avere la richiesta informale del 1983 perché producesse un verbale utilizzabile. Non l'ebbe; e dal 29 novembre 2023 quella via resta chiusa in modo definitivo, senza possibilità di riapertura.</w:t>
      </w:r>
    </w:p>
    <w:p>
      <w:pPr>
        <w:spacing w:after="120" w:line="276"/>
        <w:jc w:val="both"/>
      </w:pPr>
      <w:r>
        <w:rPr>
          <w:rFonts w:ascii="Barlow Semi Condensed" w:cs="Barlow Semi Condensed" w:eastAsia="Barlow Semi Condensed" w:hAnsi="Barlow Semi Condensed"/>
          <w:b/>
          <w:bCs/>
          <w:sz w:val="24"/>
          <w:szCs w:val="24"/>
        </w:rPr>
        <w:t xml:space="preserve">3442 · Un dispaccio riferisce, non accerta (serie XLV).</w:t>
      </w:r>
      <w:r>
        <w:rPr>
          <w:rFonts w:ascii="Barlow Semi Condensed" w:cs="Barlow Semi Condensed" w:eastAsia="Barlow Semi Condensed" w:hAnsi="Barlow Semi Condensed"/>
          <w:sz w:val="24"/>
          <w:szCs w:val="24"/>
        </w:rPr>
        <w:t xml:space="preserve"> Il blocco 151 assegna a ogni documento estero lo statuto della propria natura: un dispaccio è ciò che una sede riferì, una valutazione d'intelligence è un'ipotesi di servizio. Per questo nome la disciplina si fa severa, perché nemmeno un cablo che riportasse la frase proverebbe che fu pronunciata: proverebbe che una sede la riferì. La distinzione è l'intera differenza fra circolazione e fatto.</w:t>
      </w:r>
    </w:p>
    <w:p>
      <w:pPr>
        <w:spacing w:after="120" w:line="276"/>
        <w:jc w:val="both"/>
      </w:pPr>
      <w:r>
        <w:rPr>
          <w:rFonts w:ascii="Barlow Semi Condensed" w:cs="Barlow Semi Condensed" w:eastAsia="Barlow Semi Condensed" w:hAnsi="Barlow Semi Condensed"/>
          <w:b/>
          <w:bCs/>
          <w:sz w:val="24"/>
          <w:szCs w:val="24"/>
        </w:rPr>
        <w:t xml:space="preserve">3443 · La tavola estera senza Yale.</w:t>
      </w:r>
      <w:r>
        <w:rPr>
          <w:rFonts w:ascii="Barlow Semi Condensed" w:cs="Barlow Semi Condensed" w:eastAsia="Barlow Semi Condensed" w:hAnsi="Barlow Semi Condensed"/>
          <w:sz w:val="24"/>
          <w:szCs w:val="24"/>
        </w:rPr>
        <w:t xml:space="preserve"> Il blocco 155 tiene la tavola dei giacimenti internazionali per paese, istituto e serie, ma non prevede righe per i fondi personali dei protagonisti stranieri. Le carte private di questo nome sono depositate presso Manuscripts and Archives della Yale University Library. Proposta: aggiungere la riga, chiedendo prima lo strumento di ricerca e le restrizioni temporali vigenti, secondo la regola d'ingaggio fissata al blocco 287.</w:t>
      </w:r>
    </w:p>
    <w:p>
      <w:pPr>
        <w:spacing w:after="120" w:line="276"/>
        <w:jc w:val="both"/>
      </w:pPr>
      <w:r>
        <w:rPr>
          <w:rFonts w:ascii="Barlow Semi Condensed" w:cs="Barlow Semi Condensed" w:eastAsia="Barlow Semi Condensed" w:hAnsi="Barlow Semi Condensed"/>
          <w:b/>
          <w:bCs/>
          <w:sz w:val="24"/>
          <w:szCs w:val="24"/>
        </w:rPr>
        <w:t xml:space="preserve">3444 · Le carte dell'uomo, duecentodiciotto buste.</w:t>
      </w:r>
      <w:r>
        <w:rPr>
          <w:rFonts w:ascii="Barlow Semi Condensed" w:cs="Barlow Semi Condensed" w:eastAsia="Barlow Semi Condensed" w:hAnsi="Barlow Semi Condensed"/>
          <w:sz w:val="24"/>
          <w:szCs w:val="24"/>
        </w:rPr>
        <w:t xml:space="preserve"> Il blocco 157 cerca dove giacciano, pezzo per pezzo, le carte personali di Moro, e la verifica V-6 ne fissa tre nuclei distinti, fra cui il fondo personale all'Archivio centrale dello Stato, duecentodiciotto buste per gli anni 1953-1978. Quel fondo copre i mandati alla Farnesina e dunque il settembre 1974: è la sede italiana con la maggiore probabilità di conservare il rovescio del verbale americano.</w:t>
      </w:r>
    </w:p>
    <w:p>
      <w:pPr>
        <w:spacing w:after="120" w:line="276"/>
        <w:jc w:val="both"/>
      </w:pPr>
      <w:r>
        <w:rPr>
          <w:rFonts w:ascii="Barlow Semi Condensed" w:cs="Barlow Semi Condensed" w:eastAsia="Barlow Semi Condensed" w:hAnsi="Barlow Semi Condensed"/>
          <w:b/>
          <w:bCs/>
          <w:sz w:val="24"/>
          <w:szCs w:val="24"/>
        </w:rPr>
        <w:t xml:space="preserve">3445 · L'edizione digitale, interrogata.</w:t>
      </w:r>
      <w:r>
        <w:rPr>
          <w:rFonts w:ascii="Barlow Semi Condensed" w:cs="Barlow Semi Condensed" w:eastAsia="Barlow Semi Condensed" w:hAnsi="Barlow Semi Condensed"/>
          <w:sz w:val="24"/>
          <w:szCs w:val="24"/>
        </w:rPr>
        <w:t xml:space="preserve"> Il blocco 158 misura lo stato delle edizioni degli scritti morotei e ne segnala i vuoti; la verifica V-12 registra l'esistenza dell'edizione nazionale digitale. Bersaglio a costo minimo e a esito immediato: interrogarla col cognome e con le date della visita di Stato, verbalizzando anche il nulla. Un'edizione critica interrogabile risponde in un'ora a una domanda che in sala studio costerebbe una missione intera.</w:t>
      </w:r>
    </w:p>
    <w:p>
      <w:pPr>
        <w:spacing w:after="120" w:line="276"/>
        <w:jc w:val="both"/>
      </w:pPr>
      <w:r>
        <w:rPr>
          <w:rFonts w:ascii="Barlow Semi Condensed" w:cs="Barlow Semi Condensed" w:eastAsia="Barlow Semi Condensed" w:hAnsi="Barlow Semi Condensed"/>
          <w:b/>
          <w:bCs/>
          <w:sz w:val="24"/>
          <w:szCs w:val="24"/>
        </w:rPr>
        <w:t xml:space="preserve">3446 · I diari del settembre 1974.</w:t>
      </w:r>
      <w:r>
        <w:rPr>
          <w:rFonts w:ascii="Barlow Semi Condensed" w:cs="Barlow Semi Condensed" w:eastAsia="Barlow Semi Condensed" w:hAnsi="Barlow Semi Condensed"/>
          <w:sz w:val="24"/>
          <w:szCs w:val="24"/>
        </w:rPr>
        <w:t xml:space="preserve"> Il blocco 162 indica il fondo Fanfani all'Archivio storico del Senato, duecentonovantatré buste e quarantatré diari, col tomo degli anni 1977-1980 già in piano editoriale. Bersaglio distinto e datato: la pagina di diario del 25 e del 26 settembre 1974, se esiste. Vale il blocco 179 senza sconti: un diario prova ciò che il suo autore scrisse e quando, grado F sulla scrittura e C sul contenuto.</w:t>
      </w:r>
    </w:p>
    <w:p>
      <w:pPr>
        <w:spacing w:after="120" w:line="276"/>
        <w:jc w:val="both"/>
      </w:pPr>
      <w:r>
        <w:rPr>
          <w:rFonts w:ascii="Barlow Semi Condensed" w:cs="Barlow Semi Condensed" w:eastAsia="Barlow Semi Condensed" w:hAnsi="Barlow Semi Condensed"/>
          <w:b/>
          <w:bCs/>
          <w:sz w:val="24"/>
          <w:szCs w:val="24"/>
        </w:rPr>
        <w:t xml:space="preserve">3447 · L'interprete come bersaglio.</w:t>
      </w:r>
      <w:r>
        <w:rPr>
          <w:rFonts w:ascii="Barlow Semi Condensed" w:cs="Barlow Semi Condensed" w:eastAsia="Barlow Semi Condensed" w:hAnsi="Barlow Semi Condensed"/>
          <w:sz w:val="24"/>
          <w:szCs w:val="24"/>
        </w:rPr>
        <w:t xml:space="preserve"> Una delle smentite italiane poggia su un dato materiale e verificabile: Moro non parlava inglese, e il testimone dichiarò di aver verificato allora la vicenda con l'interprete. Ne discende un bersaglio nominabile per il blocco 168: atti di servizio degli interpreti della delegazione del settembre 1974, liste della delegazione, note di missione. Chi tradusse sarebbe il solo testimone possibile di uno scambio verbale diretto.</w:t>
      </w:r>
    </w:p>
    <w:p>
      <w:pPr>
        <w:spacing w:after="120" w:line="276"/>
        <w:jc w:val="both"/>
      </w:pPr>
      <w:r>
        <w:rPr>
          <w:rFonts w:ascii="Barlow Semi Condensed" w:cs="Barlow Semi Condensed" w:eastAsia="Barlow Semi Condensed" w:hAnsi="Barlow Semi Condensed"/>
          <w:b/>
          <w:bCs/>
          <w:sz w:val="24"/>
          <w:szCs w:val="24"/>
        </w:rPr>
        <w:t xml:space="preserve">3448 · Il titolare della Difesa, accertato.</w:t>
      </w:r>
      <w:r>
        <w:rPr>
          <w:rFonts w:ascii="Barlow Semi Condensed" w:cs="Barlow Semi Condensed" w:eastAsia="Barlow Semi Condensed" w:hAnsi="Barlow Semi Condensed"/>
          <w:sz w:val="24"/>
          <w:szCs w:val="24"/>
        </w:rPr>
        <w:t xml:space="preserve"> La materia del verbale del 25 settembre 1974 è lo scambio di informazioni militari fra alleati. Ne discende un bersaglio ordinato in due tempi: accertare dall'annuario ufficiale chi reggesse il dicastero della Difesa a quella data, e cercarne poi le carte personali secondo il blocco 168 e le carte d'ufficio secondo il blocco 25. Prima il nome dell'ufficio dagli atti, poi il fondo, mai l'ordine inverso.</w:t>
      </w:r>
    </w:p>
    <w:p>
      <w:pPr>
        <w:spacing w:after="120" w:line="276"/>
        <w:jc w:val="both"/>
      </w:pPr>
      <w:r>
        <w:rPr>
          <w:rFonts w:ascii="Barlow Semi Condensed" w:cs="Barlow Semi Condensed" w:eastAsia="Barlow Semi Condensed" w:hAnsi="Barlow Semi Condensed"/>
          <w:b/>
          <w:bCs/>
          <w:sz w:val="24"/>
          <w:szCs w:val="24"/>
        </w:rPr>
        <w:t xml:space="preserve">3449 · Cossiga contro sé stesso.</w:t>
      </w:r>
      <w:r>
        <w:rPr>
          <w:rFonts w:ascii="Barlow Semi Condensed" w:cs="Barlow Semi Condensed" w:eastAsia="Barlow Semi Condensed" w:hAnsi="Barlow Semi Condensed"/>
          <w:sz w:val="24"/>
          <w:szCs w:val="24"/>
        </w:rPr>
        <w:t xml:space="preserve"> Il blocco 161 colloca l'archivio privato di Francesco Cossiga all'Archivio storico della Camera, trecentootto buste con inventario informatizzato, e il blocco 170 impone la collazione fra memorie edite e carte coeve. Bersaglio filologico: che cosa le sue dichiarazioni pubbliche dissero della pressione americana, e che cosa le sue carte del periodo confermano. La tavola delle divergenze fra pubblicato e coevo è il prodotto atteso.</w:t>
      </w:r>
    </w:p>
    <w:p>
      <w:pPr>
        <w:spacing w:after="120" w:line="276"/>
        <w:jc w:val="both"/>
      </w:pPr>
      <w:r>
        <w:rPr>
          <w:rFonts w:ascii="Barlow Semi Condensed" w:cs="Barlow Semi Condensed" w:eastAsia="Barlow Semi Condensed" w:hAnsi="Barlow Semi Condensed"/>
          <w:b/>
          <w:bCs/>
          <w:sz w:val="24"/>
          <w:szCs w:val="24"/>
        </w:rPr>
        <w:t xml:space="preserve">3450 · Botteghe Oscure e l'ostilità.</w:t>
      </w:r>
      <w:r>
        <w:rPr>
          <w:rFonts w:ascii="Barlow Semi Condensed" w:cs="Barlow Semi Condensed" w:eastAsia="Barlow Semi Condensed" w:hAnsi="Barlow Semi Condensed"/>
          <w:sz w:val="24"/>
          <w:szCs w:val="24"/>
        </w:rPr>
        <w:t xml:space="preserve"> Il blocco 166 apre l'archivio del Partito comunista presso la fondazione che lo conserva, quattromilacentottantaquattro buste, aperto alla consultazione. Bersaglio di piano due, dichiarato tale in partenza: che cosa il partito registrò, nelle serie di direzione e segreteria, dell'ostilità atlantica al proprio ingresso nell'area di governo fra il 1974 e il 1978. È cornice documentata, non catena di comando, e come cornice si scrive.</w:t>
      </w:r>
    </w:p>
    <w:p>
      <w:pPr>
        <w:spacing w:after="120" w:line="276"/>
        <w:jc w:val="both"/>
      </w:pPr>
      <w:r>
        <w:rPr>
          <w:rFonts w:ascii="Barlow Semi Condensed" w:cs="Barlow Semi Condensed" w:eastAsia="Barlow Semi Condensed" w:hAnsi="Barlow Semi Condensed"/>
          <w:b/>
          <w:bCs/>
          <w:sz w:val="24"/>
          <w:szCs w:val="24"/>
        </w:rPr>
        <w:t xml:space="preserve">3451 · Il testo come dato.</w:t>
      </w:r>
      <w:r>
        <w:rPr>
          <w:rFonts w:ascii="Barlow Semi Condensed" w:cs="Barlow Semi Condensed" w:eastAsia="Barlow Semi Condensed" w:hAnsi="Barlow Semi Condensed"/>
          <w:sz w:val="24"/>
          <w:szCs w:val="24"/>
        </w:rPr>
        <w:t xml:space="preserve"> Il blocco 201 vuole ogni pagina interrogabile e ogni estrazione automatica marcata come non certificata finché un occhio umano non la verbalizzi. Applicazione propria a questa serie: misurare l'identità testuale fra le riprese in rete dell'episodio, per accertare se risalgano davvero tutte a un unico lancio d'agenzia del 30 novembre 2023. La macchina propone la sovrapposizione, l'uomo la verbalizza, e il conteggio smette di ingannare.</w:t>
      </w:r>
    </w:p>
    <w:p>
      <w:pPr>
        <w:spacing w:after="120" w:line="276"/>
        <w:jc w:val="both"/>
      </w:pPr>
      <w:r>
        <w:rPr>
          <w:rFonts w:ascii="Barlow Semi Condensed" w:cs="Barlow Semi Condensed" w:eastAsia="Barlow Semi Condensed" w:hAnsi="Barlow Semi Condensed"/>
          <w:b/>
          <w:bCs/>
          <w:sz w:val="24"/>
          <w:szCs w:val="24"/>
        </w:rPr>
        <w:t xml:space="preserve">3452 · Il limite scritto della stilometria.</w:t>
      </w:r>
      <w:r>
        <w:rPr>
          <w:rFonts w:ascii="Barlow Semi Condensed" w:cs="Barlow Semi Condensed" w:eastAsia="Barlow Semi Condensed" w:hAnsi="Barlow Semi Condensed"/>
          <w:sz w:val="24"/>
          <w:szCs w:val="24"/>
        </w:rPr>
        <w:t xml:space="preserve"> Il blocco 202 impone alla stilometria un limite dichiarato in testa: orienta quesiti d'archivio, non attribuisce paternità in sede storica né giudiziaria. Applicato qui, quel limite diventa divieto puro, perché l'oggetto contestato è una frase orale mai registrata e priva di qualunque supporto. Nessuna tecnica testuale può attribuirla o escluderla: dichiararlo evita che una serie di scienze nuove prometta ciò che nessun dato consente.</w:t>
      </w:r>
    </w:p>
    <w:p>
      <w:pPr>
        <w:spacing w:after="120" w:line="276"/>
        <w:jc w:val="both"/>
      </w:pPr>
      <w:r>
        <w:rPr>
          <w:rFonts w:ascii="Barlow Semi Condensed" w:cs="Barlow Semi Condensed" w:eastAsia="Barlow Semi Condensed" w:hAnsi="Barlow Semi Condensed"/>
          <w:b/>
          <w:bCs/>
          <w:sz w:val="24"/>
          <w:szCs w:val="24"/>
        </w:rPr>
        <w:t xml:space="preserve">3453 · La macchina propone, l'uomo verbalizza.</w:t>
      </w:r>
      <w:r>
        <w:rPr>
          <w:rFonts w:ascii="Barlow Semi Condensed" w:cs="Barlow Semi Condensed" w:eastAsia="Barlow Semi Condensed" w:hAnsi="Barlow Semi Condensed"/>
          <w:sz w:val="24"/>
          <w:szCs w:val="24"/>
        </w:rPr>
        <w:t xml:space="preserve"> Il blocco 207 fissa per la serie ottava l'uso dichiarato dei sistemi automatici: proporre accostamenti, trascrivere, indicizzare, segnalare anomalie, mai verbalizzare o graduare o concludere. Su un nome tanto rappresentato in rete la regola vale doppio, perché qualunque motore restituisce accostamenti in abbondanza e nessuno di essi è un documento. Ogni output automatico resta marcato come tale finché una firma umana non lo trasforma in atto.</w:t>
      </w:r>
    </w:p>
    <w:p>
      <w:pPr>
        <w:spacing w:after="120" w:line="276"/>
        <w:jc w:val="both"/>
      </w:pPr>
      <w:r>
        <w:rPr>
          <w:rFonts w:ascii="Barlow Semi Condensed" w:cs="Barlow Semi Condensed" w:eastAsia="Barlow Semi Condensed" w:hAnsi="Barlow Semi Condensed"/>
          <w:b/>
          <w:bCs/>
          <w:sz w:val="24"/>
          <w:szCs w:val="24"/>
        </w:rPr>
        <w:t xml:space="preserve">3454 · Senza primario, niente pista.</w:t>
      </w:r>
      <w:r>
        <w:rPr>
          <w:rFonts w:ascii="Barlow Semi Condensed" w:cs="Barlow Semi Condensed" w:eastAsia="Barlow Semi Condensed" w:hAnsi="Barlow Semi Condensed"/>
          <w:sz w:val="24"/>
          <w:szCs w:val="24"/>
        </w:rPr>
        <w:t xml:space="preserve"> Il blocco 221 è la legge di questa serie: a ogni versione che ponga una regia estera si oppone la ricerca del documento primario che la sosterrebbe, e si dichiara Stato Zero dove non c'è. Il blocco 234 aggiunge il rovescio cortese: chi sostiene la tesi formuli i propri bersagli nella stessa grammatica, cioè quesito, giacimento, evidenza attesa, criterio di chiusura. L'agenda è aperta agli avversari.</w:t>
      </w:r>
    </w:p>
    <w:p>
      <w:pPr>
        <w:spacing w:after="120" w:line="276"/>
        <w:jc w:val="both"/>
      </w:pPr>
      <w:r>
        <w:rPr>
          <w:rFonts w:ascii="Barlow Semi Condensed" w:cs="Barlow Semi Condensed" w:eastAsia="Barlow Semi Condensed" w:hAnsi="Barlow Semi Condensed"/>
          <w:b/>
          <w:bCs/>
          <w:sz w:val="24"/>
          <w:szCs w:val="24"/>
        </w:rPr>
        <w:t xml:space="preserve">3455 · La corroborazione prima dell'uso.</w:t>
      </w:r>
      <w:r>
        <w:rPr>
          <w:rFonts w:ascii="Barlow Semi Condensed" w:cs="Barlow Semi Condensed" w:eastAsia="Barlow Semi Condensed" w:hAnsi="Barlow Semi Condensed"/>
          <w:sz w:val="24"/>
          <w:szCs w:val="24"/>
        </w:rPr>
        <w:t xml:space="preserve"> Il blocco 224 fissa il controlimite con un precedente scolpito, la ritrattazione resa davanti alla Moro 2 da un teste storico del caso. Tradotto qui, dice che una testimonianza de relato resa quattro anni dopo i fatti non fonda nulla senza corroborazione fisica, e che chi corregge sé stesso con un documento serve il caso quanto chi conferma. Il controlimite vale a favore e contro l'ipotesi.</w:t>
      </w:r>
    </w:p>
    <w:p>
      <w:pPr>
        <w:spacing w:after="120" w:line="276"/>
        <w:jc w:val="both"/>
      </w:pPr>
      <w:r>
        <w:rPr>
          <w:rFonts w:ascii="Barlow Semi Condensed" w:cs="Barlow Semi Condensed" w:eastAsia="Barlow Semi Condensed" w:hAnsi="Barlow Semi Condensed"/>
          <w:b/>
          <w:bCs/>
          <w:sz w:val="24"/>
          <w:szCs w:val="24"/>
        </w:rPr>
        <w:t xml:space="preserve">3456 · Contro l'omissione degli alleati.</w:t>
      </w:r>
      <w:r>
        <w:rPr>
          <w:rFonts w:ascii="Barlow Semi Condensed" w:cs="Barlow Semi Condensed" w:eastAsia="Barlow Semi Condensed" w:hAnsi="Barlow Semi Condensed"/>
          <w:sz w:val="24"/>
          <w:szCs w:val="24"/>
        </w:rPr>
        <w:t xml:space="preserve"> Il blocco 228 cerca nei giacimenti esteri la prova che gli alleati riferirono tempestivamente alle autorità italiane ciò che sapevano, perché la cooperazione documentata smentirebbe la reticenza congetturata. Applicato al 1978 il bersaglio non tocca questo nome, che allora non aveva sede da cui riferire. Vale invece per le sedi diplomatiche in servizio, ed è lì che l'erosione per atto formale conviene concentrarsi.</w:t>
      </w:r>
    </w:p>
    <w:p>
      <w:pPr>
        <w:spacing w:after="120" w:line="276"/>
        <w:jc w:val="both"/>
      </w:pPr>
      <w:r>
        <w:rPr>
          <w:rFonts w:ascii="Barlow Semi Condensed" w:cs="Barlow Semi Condensed" w:eastAsia="Barlow Semi Condensed" w:hAnsi="Barlow Semi Condensed"/>
          <w:b/>
          <w:bCs/>
          <w:sz w:val="24"/>
          <w:szCs w:val="24"/>
        </w:rPr>
        <w:t xml:space="preserve">3457 · Chiusa per smentita o stanchezza.</w:t>
      </w:r>
      <w:r>
        <w:rPr>
          <w:rFonts w:ascii="Barlow Semi Condensed" w:cs="Barlow Semi Condensed" w:eastAsia="Barlow Semi Condensed" w:hAnsi="Barlow Semi Condensed"/>
          <w:sz w:val="24"/>
          <w:szCs w:val="24"/>
        </w:rPr>
        <w:t xml:space="preserve"> Il blocco 230 chiede, per ogni pista archiviata, se la chiusura avvenne per smentita documentata o per stanchezza, perché solo la prima regge. Per il versante internazionale la risposta è verificabile: la Fase sesta dichiara lo Stato Zero come ricerca condotta e chiusa in negativo, e la Parte terza lo motiva col divieto di dedurre dalla prossimità di un nemico il suo mandato. Chiusura per smentita, dunque.</w:t>
      </w:r>
    </w:p>
    <w:p>
      <w:pPr>
        <w:spacing w:after="120" w:line="276"/>
        <w:jc w:val="both"/>
      </w:pPr>
      <w:r>
        <w:rPr>
          <w:rFonts w:ascii="Barlow Semi Condensed" w:cs="Barlow Semi Condensed" w:eastAsia="Barlow Semi Condensed" w:hAnsi="Barlow Semi Condensed"/>
          <w:b/>
          <w:bCs/>
          <w:sz w:val="24"/>
          <w:szCs w:val="24"/>
        </w:rPr>
        <w:t xml:space="preserve">3458 · Contro il corpus stesso.</w:t>
      </w:r>
      <w:r>
        <w:rPr>
          <w:rFonts w:ascii="Barlow Semi Condensed" w:cs="Barlow Semi Condensed" w:eastAsia="Barlow Semi Condensed" w:hAnsi="Barlow Semi Condensed"/>
          <w:sz w:val="24"/>
          <w:szCs w:val="24"/>
        </w:rPr>
        <w:t xml:space="preserve"> Il blocco 231 impone l'atto più scomodo, cercare l'errore nelle proprie schede e correggere per nota anziché per riscrittura. Il corpus lo ha già fatto: le sette precisazioni dell'apparato K sono state registrate accanto al nodo M-5 della triangolazione Guevara-Moro senza toccarne il testo originario. Le prossime note di revisione su questo nome si contano fra i risultati, mai fra le sconfitte.</w:t>
      </w:r>
    </w:p>
    <w:p>
      <w:pPr>
        <w:spacing w:after="120" w:line="276"/>
        <w:jc w:val="both"/>
      </w:pPr>
      <w:r>
        <w:rPr>
          <w:rFonts w:ascii="Barlow Semi Condensed" w:cs="Barlow Semi Condensed" w:eastAsia="Barlow Semi Condensed" w:hAnsi="Barlow Semi Condensed"/>
          <w:b/>
          <w:bCs/>
          <w:sz w:val="24"/>
          <w:szCs w:val="24"/>
        </w:rPr>
        <w:t xml:space="preserve">3459 · Il buco misurato, non narrato.</w:t>
      </w:r>
      <w:r>
        <w:rPr>
          <w:rFonts w:ascii="Barlow Semi Condensed" w:cs="Barlow Semi Condensed" w:eastAsia="Barlow Semi Condensed" w:hAnsi="Barlow Semi Condensed"/>
          <w:sz w:val="24"/>
          <w:szCs w:val="24"/>
        </w:rPr>
        <w:t xml:space="preserve"> Il blocco 233 fissa la forma dell'esito negativo: che cosa è stato cercato, dove, quando, con quale perimetro. Ogni Stato Zero di questa serie ne assume il modulo, e ne discende un obbligo pratico: nessun blocco può dichiarare un'assenza senza nominare la sede che la chiuderebbe. Il buco misurato è conoscenza; il buco narrato è romanzo, e la distinzione non ammette gradazioni intermedie.</w:t>
      </w:r>
    </w:p>
    <w:p>
      <w:pPr>
        <w:spacing w:after="120" w:line="276"/>
        <w:jc w:val="both"/>
      </w:pPr>
      <w:r>
        <w:rPr>
          <w:rFonts w:ascii="Barlow Semi Condensed" w:cs="Barlow Semi Condensed" w:eastAsia="Barlow Semi Condensed" w:hAnsi="Barlow Semi Condensed"/>
          <w:b/>
          <w:bCs/>
          <w:sz w:val="24"/>
          <w:szCs w:val="24"/>
        </w:rPr>
        <w:t xml:space="preserve">3460 · Il primo rigo del registro.</w:t>
      </w:r>
      <w:r>
        <w:rPr>
          <w:rFonts w:ascii="Barlow Semi Condensed" w:cs="Barlow Semi Condensed" w:eastAsia="Barlow Semi Condensed" w:hAnsi="Barlow Semi Condensed"/>
          <w:sz w:val="24"/>
          <w:szCs w:val="24"/>
        </w:rPr>
        <w:t xml:space="preserve"> Il blocco 235 tiene il registro pubblico delle smentite riuscite, con la data e il documento accanto a ciascuna. La prima riga che questa serie vi deposita è netta: il verbale dello Studio Ovale del 25 settembre 1974 non contiene alcun ultimatum personale, ed è leggibile in FRUS 1969-1976 E-15 parte seconda documento 350 e alla Ford Library. Ciò che chiude bene non riapre per suggestione.</w:t>
      </w:r>
    </w:p>
    <w:p>
      <w:pPr>
        <w:spacing w:after="120" w:line="276"/>
        <w:jc w:val="both"/>
      </w:pPr>
      <w:r>
        <w:rPr>
          <w:rFonts w:ascii="Barlow Semi Condensed" w:cs="Barlow Semi Condensed" w:eastAsia="Barlow Semi Condensed" w:hAnsi="Barlow Semi Condensed"/>
          <w:b/>
          <w:bCs/>
          <w:sz w:val="24"/>
          <w:szCs w:val="24"/>
        </w:rPr>
        <w:t xml:space="preserve">3461 · I protocolli riservati, estesi.</w:t>
      </w:r>
      <w:r>
        <w:rPr>
          <w:rFonts w:ascii="Barlow Semi Condensed" w:cs="Barlow Semi Condensed" w:eastAsia="Barlow Semi Condensed" w:hAnsi="Barlow Semi Condensed"/>
          <w:sz w:val="24"/>
          <w:szCs w:val="24"/>
        </w:rPr>
        <w:t xml:space="preserve"> Il blocco 244 chiede i registri di protocollo riservato di Interno ed Esteri per i mesi da marzo a maggio 1978, perché il protocollo che registra una nota scomparsa prova che la nota esistette. Proposta di estensione: aggiungere la finestra del settembre 1974 per il solo dicastero degli Esteri. La carta seriale consentirebbe di dire quali documenti esistettero anche dove i documenti stessi mancano.</w:t>
      </w:r>
    </w:p>
    <w:p>
      <w:pPr>
        <w:spacing w:after="120" w:line="276"/>
        <w:jc w:val="both"/>
      </w:pPr>
      <w:r>
        <w:rPr>
          <w:rFonts w:ascii="Barlow Semi Condensed" w:cs="Barlow Semi Condensed" w:eastAsia="Barlow Semi Condensed" w:hAnsi="Barlow Semi Condensed"/>
          <w:b/>
          <w:bCs/>
          <w:sz w:val="24"/>
          <w:szCs w:val="24"/>
        </w:rPr>
        <w:t xml:space="preserve">3462 · Le agende di gabinetto.</w:t>
      </w:r>
      <w:r>
        <w:rPr>
          <w:rFonts w:ascii="Barlow Semi Condensed" w:cs="Barlow Semi Condensed" w:eastAsia="Barlow Semi Condensed" w:hAnsi="Barlow Semi Condensed"/>
          <w:sz w:val="24"/>
          <w:szCs w:val="24"/>
        </w:rPr>
        <w:t xml:space="preserve"> Il blocco 245 distingue con nettezza le agende private dai registri d'ufficio, che sono atti e si chiedono come atti. Bersaglio: i registri di presenza e le agende ufficiali del gabinetto degli Esteri per il 25 e il 26 settembre 1974, cioè chi incontrò chi e quando, negli uffici che decidevano. Nessuna interpretazione, solo righe con orari e nomi di funzione.</w:t>
      </w:r>
    </w:p>
    <w:p>
      <w:pPr>
        <w:spacing w:after="120" w:line="276"/>
        <w:jc w:val="both"/>
      </w:pPr>
      <w:r>
        <w:rPr>
          <w:rFonts w:ascii="Barlow Semi Condensed" w:cs="Barlow Semi Condensed" w:eastAsia="Barlow Semi Condensed" w:hAnsi="Barlow Semi Condensed"/>
          <w:b/>
          <w:bCs/>
          <w:sz w:val="24"/>
          <w:szCs w:val="24"/>
        </w:rPr>
        <w:t xml:space="preserve">3463 · La riga di conflitto.</w:t>
      </w:r>
      <w:r>
        <w:rPr>
          <w:rFonts w:ascii="Barlow Semi Condensed" w:cs="Barlow Semi Condensed" w:eastAsia="Barlow Semi Condensed" w:hAnsi="Barlow Semi Condensed"/>
          <w:sz w:val="24"/>
          <w:szCs w:val="24"/>
        </w:rPr>
        <w:t xml:space="preserve"> Il blocco 253 fonde tutte le cronologie del caso in una tavola strutturata con data, ora, evento, fonte, grado, e i conflitti fra fonti dichiarati riga per riga. Questa serie vi deposita un conflitto esemplare: la collocazione dell'episodio oscilla fra il 1974, il 1976 e il 1977, e divergono anche i luoghi. Si scrive come riga in conflitto, e non si sceglie in silenzio.</w:t>
      </w:r>
    </w:p>
    <w:p>
      <w:pPr>
        <w:spacing w:after="120" w:line="276"/>
        <w:jc w:val="both"/>
      </w:pPr>
      <w:r>
        <w:rPr>
          <w:rFonts w:ascii="Barlow Semi Condensed" w:cs="Barlow Semi Condensed" w:eastAsia="Barlow Semi Condensed" w:hAnsi="Barlow Semi Condensed"/>
          <w:b/>
          <w:bCs/>
          <w:sz w:val="24"/>
          <w:szCs w:val="24"/>
        </w:rPr>
        <w:t xml:space="preserve">3464 · La cronologia del dopo.</w:t>
      </w:r>
      <w:r>
        <w:rPr>
          <w:rFonts w:ascii="Barlow Semi Condensed" w:cs="Barlow Semi Condensed" w:eastAsia="Barlow Semi Condensed" w:hAnsi="Barlow Semi Condensed"/>
          <w:sz w:val="24"/>
          <w:szCs w:val="24"/>
        </w:rPr>
        <w:t xml:space="preserve"> Il blocco 254 estende la tavola oltre il 9 maggio 1978, perché il caso ha quarantott'anni di storia documentale da rendere interrogabile. Voci che le competono su questo versante: la deposizione del novembre 1982, l'iniziativa mancata dell'aprile 1983, la morte del 29 novembre 2023 e il lancio d'agenzia del giorno successivo. Sono eventi della circolazione della voce, e come tali vanno etichettati.</w:t>
      </w:r>
    </w:p>
    <w:p>
      <w:pPr>
        <w:spacing w:after="120" w:line="276"/>
        <w:jc w:val="both"/>
      </w:pPr>
      <w:r>
        <w:rPr>
          <w:rFonts w:ascii="Barlow Semi Condensed" w:cs="Barlow Semi Condensed" w:eastAsia="Barlow Semi Condensed" w:hAnsi="Barlow Semi Condensed"/>
          <w:b/>
          <w:bCs/>
          <w:sz w:val="24"/>
          <w:szCs w:val="24"/>
        </w:rPr>
        <w:t xml:space="preserve">3465 · Il raccordo di PE-5.</w:t>
      </w:r>
      <w:r>
        <w:rPr>
          <w:rFonts w:ascii="Barlow Semi Condensed" w:cs="Barlow Semi Condensed" w:eastAsia="Barlow Semi Condensed" w:hAnsi="Barlow Semi Condensed"/>
          <w:sz w:val="24"/>
          <w:szCs w:val="24"/>
        </w:rPr>
        <w:t xml:space="preserve"> Il blocco 272 fa dipendere l'entità degli alleati dalla serie sesta, col censimento del ritenuto e la sua erosione per atto, e affida al registro delle richieste la contabilità. Precisazione che questa serie aggiunge: la scheda PE-5 è enumerativa, non ipotetica, e non ha ipotesi da discriminare. Chi vi cercasse una regia cercherebbe qualcosa che la scheda dichiara di non trattare.</w:t>
      </w:r>
    </w:p>
    <w:p>
      <w:pPr>
        <w:spacing w:after="120" w:line="276"/>
        <w:jc w:val="both"/>
      </w:pPr>
      <w:r>
        <w:rPr>
          <w:rFonts w:ascii="Barlow Semi Condensed" w:cs="Barlow Semi Condensed" w:eastAsia="Barlow Semi Condensed" w:hAnsi="Barlow Semi Condensed"/>
          <w:b/>
          <w:bCs/>
          <w:sz w:val="24"/>
          <w:szCs w:val="24"/>
        </w:rPr>
        <w:t xml:space="preserve">3466 · Quale cella, quale matrice.</w:t>
      </w:r>
      <w:r>
        <w:rPr>
          <w:rFonts w:ascii="Barlow Semi Condensed" w:cs="Barlow Semi Condensed" w:eastAsia="Barlow Semi Condensed" w:hAnsi="Barlow Semi Condensed"/>
          <w:sz w:val="24"/>
          <w:szCs w:val="24"/>
        </w:rPr>
        <w:t xml:space="preserve"> Il blocco 274 impone a ogni bersaglio di dichiarare quale cella di quale matrice ACH potrebbe riempire. Dichiarazione per la presente serie: allo stato, nessuna cella si riempie al piano uno, e la colonna delle evidenze mancanti resta quella che il quesito 15 nomina. Un bersaglio che non sa quale cella riempirebbe non appartiene all'agenda, e questa serie accetta il vaglio.</w:t>
      </w:r>
    </w:p>
    <w:p>
      <w:pPr>
        <w:spacing w:after="120" w:line="276"/>
        <w:jc w:val="both"/>
      </w:pPr>
      <w:r>
        <w:rPr>
          <w:rFonts w:ascii="Barlow Semi Condensed" w:cs="Barlow Semi Condensed" w:eastAsia="Barlow Semi Condensed" w:hAnsi="Barlow Semi Condensed"/>
          <w:b/>
          <w:bCs/>
          <w:sz w:val="24"/>
          <w:szCs w:val="24"/>
        </w:rPr>
        <w:t xml:space="preserve">3467 · Dove si versa l'esito.</w:t>
      </w:r>
      <w:r>
        <w:rPr>
          <w:rFonts w:ascii="Barlow Semi Condensed" w:cs="Barlow Semi Condensed" w:eastAsia="Barlow Semi Condensed" w:hAnsi="Barlow Semi Condensed"/>
          <w:sz w:val="24"/>
          <w:szCs w:val="24"/>
        </w:rPr>
        <w:t xml:space="preserve"> Il blocco 276 stabilisce che gli esiti si versino nelle Fasi dell'edizione strutturata secondo la loro natura, sempre per nota e mai per riscrittura. Per questa serie la destinazione è già scritta: il perimetro negativo della Fase sesta, dove il corpus registra come ricerca condotta e chiusa in negativo il documento che legherebbe un apparato straniero nominato alla catena di comando del delitto.</w:t>
      </w:r>
    </w:p>
    <w:p>
      <w:pPr>
        <w:spacing w:after="120" w:line="276"/>
        <w:jc w:val="both"/>
      </w:pPr>
      <w:r>
        <w:rPr>
          <w:rFonts w:ascii="Barlow Semi Condensed" w:cs="Barlow Semi Condensed" w:eastAsia="Barlow Semi Condensed" w:hAnsi="Barlow Semi Condensed"/>
          <w:b/>
          <w:bCs/>
          <w:sz w:val="24"/>
          <w:szCs w:val="24"/>
        </w:rPr>
        <w:t xml:space="preserve">3468 · La finestra biologica, esaurita.</w:t>
      </w:r>
      <w:r>
        <w:rPr>
          <w:rFonts w:ascii="Barlow Semi Condensed" w:cs="Barlow Semi Condensed" w:eastAsia="Barlow Semi Condensed" w:hAnsi="Barlow Semi Condensed"/>
          <w:sz w:val="24"/>
          <w:szCs w:val="24"/>
        </w:rPr>
        <w:t xml:space="preserve"> Il blocco 281 fissa la prima variabile di priorità con una formula asciutta: la carta aspetta, le persone no. Per questo nome la finestra si è chiusa il 29 novembre 2023, e con essa la sola via che avrebbe potuto produrre una parola diretta e verbalizzata sull'episodio. Resta il record delle smentite, che è cosa diversa: una risposta a un giornalista non è un atto reso a un'autorità.</w:t>
      </w:r>
    </w:p>
    <w:p>
      <w:pPr>
        <w:spacing w:after="120" w:line="276"/>
        <w:jc w:val="both"/>
      </w:pPr>
      <w:r>
        <w:rPr>
          <w:rFonts w:ascii="Barlow Semi Condensed" w:cs="Barlow Semi Condensed" w:eastAsia="Barlow Semi Condensed" w:hAnsi="Barlow Semi Condensed"/>
          <w:b/>
          <w:bCs/>
          <w:sz w:val="24"/>
          <w:szCs w:val="24"/>
        </w:rPr>
        <w:t xml:space="preserve">3469 · Lo stato terminale del bersaglio.</w:t>
      </w:r>
      <w:r>
        <w:rPr>
          <w:rFonts w:ascii="Barlow Semi Condensed" w:cs="Barlow Semi Condensed" w:eastAsia="Barlow Semi Condensed" w:hAnsi="Barlow Semi Condensed"/>
          <w:sz w:val="24"/>
          <w:szCs w:val="24"/>
        </w:rPr>
        <w:t xml:space="preserve"> I blocchi 284 e 285 vogliono per ogni bersaglio uno stato pubblico e datato, e per ogni ricerca a vuoto un verbale col perimetro. Applicati agli ottanta bersagli di questa serie danno una contabilità prevedibile: pochissimi colpiti, molti a vuoto, alcuni differiti per costo. È il risultato corretto e atteso, e dichiararlo in anticipo impedisce di scambiare la propria pazienza per un fallimento.</w:t>
      </w:r>
    </w:p>
    <w:p>
      <w:pPr>
        <w:spacing w:after="120" w:line="276"/>
        <w:jc w:val="both"/>
      </w:pPr>
      <w:r>
        <w:rPr>
          <w:rFonts w:ascii="Barlow Semi Condensed" w:cs="Barlow Semi Condensed" w:eastAsia="Barlow Semi Condensed" w:hAnsi="Barlow Semi Condensed"/>
          <w:b/>
          <w:bCs/>
          <w:sz w:val="24"/>
          <w:szCs w:val="24"/>
        </w:rPr>
        <w:t xml:space="preserve">3470 · Domande pulite, non sospetti.</w:t>
      </w:r>
      <w:r>
        <w:rPr>
          <w:rFonts w:ascii="Barlow Semi Condensed" w:cs="Barlow Semi Condensed" w:eastAsia="Barlow Semi Condensed" w:hAnsi="Barlow Semi Condensed"/>
          <w:sz w:val="24"/>
          <w:szCs w:val="24"/>
        </w:rPr>
        <w:t xml:space="preserve"> Il blocco 297 vuole che i quesiti ancora aperti a bersagli esauriti si consegnino dichiarati, matrice per matrice, con l'evidenza discriminante mai trovata e il giacimento dove potrebbe giacere. Questa serie consegna esattamente questo su un solo nome, e nulla di più: nessuna responsabilità penale, nessun mandato, nessuna regia. Restano le sei vittime del blocco 298, per cui ogni bersaglio esiste.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quarantaseiesima — I nove cantieri: i fronti europei</w:t>
      </w:r>
    </w:p>
    <w:p>
      <w:pPr>
        <w:spacing w:after="120" w:line="276"/>
        <w:jc w:val="both"/>
      </w:pPr>
      <w:r>
        <w:rPr>
          <w:rFonts w:ascii="Barlow Semi Condensed" w:cs="Barlow Semi Condensed" w:eastAsia="Barlow Semi Condensed" w:hAnsi="Barlow Semi Condensed"/>
          <w:i/>
          <w:iCs/>
          <w:sz w:val="24"/>
          <w:szCs w:val="24"/>
        </w:rPr>
        <w:t xml:space="preserve">Blocchi 3471-3550.</w:t>
      </w:r>
    </w:p>
    <w:p>
      <w:pPr>
        <w:spacing w:after="120" w:line="276"/>
        <w:jc w:val="both"/>
      </w:pPr>
      <w:r>
        <w:rPr>
          <w:rFonts w:ascii="Barlow Semi Condensed" w:cs="Barlow Semi Condensed" w:eastAsia="Barlow Semi Condensed" w:hAnsi="Barlow Semi Condensed"/>
          <w:b/>
          <w:bCs/>
          <w:sz w:val="24"/>
          <w:szCs w:val="24"/>
        </w:rPr>
        <w:t xml:space="preserve">3471 · Zero occorrenze, e si verbalizza.</w:t>
      </w:r>
      <w:r>
        <w:rPr>
          <w:rFonts w:ascii="Barlow Semi Condensed" w:cs="Barlow Semi Condensed" w:eastAsia="Barlow Semi Condensed" w:hAnsi="Barlow Semi Condensed"/>
          <w:sz w:val="24"/>
          <w:szCs w:val="24"/>
        </w:rPr>
        <w:t xml:space="preserve"> L'interrogazione con Grep dell'intero nove-cantieri-mille-blocchi.md restituisce zero occorrenze del nome Kissinger: non nei centoventi blocchi della Parte prima, non nelle duemilacentotrentasette righe del file, e nemmeno nell'agenda di ricerca che lo genera. È lo Stato Zero costitutivo di questa serie, dichiarato in apertura e non aggirato. La sede che lo chiuderebbe è una sola: una carta di Kew, di La Courneuve o del Politisches Archiv che lo nomini a proposito d'Italia.</w:t>
      </w:r>
    </w:p>
    <w:p>
      <w:pPr>
        <w:spacing w:after="120" w:line="276"/>
        <w:jc w:val="both"/>
      </w:pPr>
      <w:r>
        <w:rPr>
          <w:rFonts w:ascii="Barlow Semi Condensed" w:cs="Barlow Semi Condensed" w:eastAsia="Barlow Semi Condensed" w:hAnsi="Barlow Semi Condensed"/>
          <w:b/>
          <w:bCs/>
          <w:sz w:val="24"/>
          <w:szCs w:val="24"/>
        </w:rPr>
        <w:t xml:space="preserve">3472 · La data che governa la parte.</w:t>
      </w:r>
      <w:r>
        <w:rPr>
          <w:rFonts w:ascii="Barlow Semi Condensed" w:cs="Barlow Semi Condensed" w:eastAsia="Barlow Semi Condensed" w:hAnsi="Barlow Semi Condensed"/>
          <w:sz w:val="24"/>
          <w:szCs w:val="24"/>
        </w:rPr>
        <w:t xml:space="preserve"> Accertamento di grado A, e vincola ogni bersaglio dei tre cantieri europei: il mandato di Segretario di Stato si chiuse il 20 gennaio 1977, quello di Assistente per la sicurezza nazionale il 3 novembre 1975; i cinquantacinque giorni cominciarono il 16 marzo 1978. Ogni fascicolo del 1978 che la Parte prima censisce, da FCO 33 al versamento 1929INVA al Politisches Archiv, è per definizione posteriore alla carica.</w:t>
      </w:r>
    </w:p>
    <w:p>
      <w:pPr>
        <w:spacing w:after="120" w:line="276"/>
        <w:jc w:val="both"/>
      </w:pPr>
      <w:r>
        <w:rPr>
          <w:rFonts w:ascii="Barlow Semi Condensed" w:cs="Barlow Semi Condensed" w:eastAsia="Barlow Semi Condensed" w:hAnsi="Barlow Semi Condensed"/>
          <w:b/>
          <w:bCs/>
          <w:sz w:val="24"/>
          <w:szCs w:val="24"/>
        </w:rPr>
        <w:t xml:space="preserve">3473 · Le tre porte anteriori al 1978.</w:t>
      </w:r>
      <w:r>
        <w:rPr>
          <w:rFonts w:ascii="Barlow Semi Condensed" w:cs="Barlow Semi Condensed" w:eastAsia="Barlow Semi Condensed" w:hAnsi="Barlow Semi Condensed"/>
          <w:sz w:val="24"/>
          <w:szCs w:val="24"/>
        </w:rPr>
        <w:t xml:space="preserve"> Tre soli blocchi del territorio aprono all'indietro sull'arco 1969-1977: il 25, «Moro prima di Moro», coi giudizi britannici sullo statista negli anni precedenti; il 67, «Moro visto da Parigi»; il 97, «Moro visto da Bonn». Sono le uniche finestre in cui la cronologia consenta un rapporto documentato di piano 1. Tutto il resto della Parte prima guarda un anno in cui l'uomo era cittadino privato.</w:t>
      </w:r>
    </w:p>
    <w:p>
      <w:pPr>
        <w:spacing w:after="120" w:line="276"/>
        <w:jc w:val="both"/>
      </w:pPr>
      <w:r>
        <w:rPr>
          <w:rFonts w:ascii="Barlow Semi Condensed" w:cs="Barlow Semi Condensed" w:eastAsia="Barlow Semi Condensed" w:hAnsi="Barlow Semi Condensed"/>
          <w:b/>
          <w:bCs/>
          <w:sz w:val="24"/>
          <w:szCs w:val="24"/>
        </w:rPr>
        <w:t xml:space="preserve">3474 · Un dispaccio riferisce, non accerta (serie XLVI).</w:t>
      </w:r>
      <w:r>
        <w:rPr>
          <w:rFonts w:ascii="Barlow Semi Condensed" w:cs="Barlow Semi Condensed" w:eastAsia="Barlow Semi Condensed" w:hAnsi="Barlow Semi Condensed"/>
          <w:sz w:val="24"/>
          <w:szCs w:val="24"/>
        </w:rPr>
        <w:t xml:space="preserve"> Regola di lettura, presa dallo statuto stesso della Parte prima e applicata a questo nome: un telegramma di Londra, di Parigi o di Bonn che riporti una posizione americana documenta ciò che quella sede scrisse, non ciò che l'americano fece. Il blocco 8 distingue telegram, despatch, letter, minute e brief; il blocco 151 dell'agenda aggiunge lo statuto epistemico. Nessuna promozione da eco a condotta.</w:t>
      </w:r>
    </w:p>
    <w:p>
      <w:pPr>
        <w:spacing w:after="120" w:line="276"/>
        <w:jc w:val="both"/>
      </w:pPr>
      <w:r>
        <w:rPr>
          <w:rFonts w:ascii="Barlow Semi Condensed" w:cs="Barlow Semi Condensed" w:eastAsia="Barlow Semi Condensed" w:hAnsi="Barlow Semi Condensed"/>
          <w:b/>
          <w:bCs/>
          <w:sz w:val="24"/>
          <w:szCs w:val="24"/>
        </w:rPr>
        <w:t xml:space="preserve">3475 · I tre piani sui tre archivi.</w:t>
      </w:r>
      <w:r>
        <w:rPr>
          <w:rFonts w:ascii="Barlow Semi Condensed" w:cs="Barlow Semi Condensed" w:eastAsia="Barlow Semi Condensed" w:hAnsi="Barlow Semi Condensed"/>
          <w:sz w:val="24"/>
          <w:szCs w:val="24"/>
        </w:rPr>
        <w:t xml:space="preserve"> Piano 1: un documento europeo di provenienza che lo nomini come interlocutore diretto su cosa italiana. Piano 2: la convergenza di preoccupazione anticomunista fra quattro cancellerie dentro la stessa cornice atlantica. Piano 3: la frase riferita in aula nel novembre 1982 e replicata dal lancio d'agenzia del 30 novembre 2023. La Parte prima può produrre il piano 2 in abbondanza; il piano 1 è raro e si cerca per segnatura.</w:t>
      </w:r>
    </w:p>
    <w:p>
      <w:pPr>
        <w:spacing w:after="120" w:line="276"/>
        <w:jc w:val="both"/>
      </w:pPr>
      <w:r>
        <w:rPr>
          <w:rFonts w:ascii="Barlow Semi Condensed" w:cs="Barlow Semi Condensed" w:eastAsia="Barlow Semi Condensed" w:hAnsi="Barlow Semi Condensed"/>
          <w:b/>
          <w:bCs/>
          <w:sz w:val="24"/>
          <w:szCs w:val="24"/>
        </w:rPr>
        <w:t xml:space="preserve">3476 · Che cosa smentirebbe l'intera serie (serie XLVI).</w:t>
      </w:r>
      <w:r>
        <w:rPr>
          <w:rFonts w:ascii="Barlow Semi Condensed" w:cs="Barlow Semi Condensed" w:eastAsia="Barlow Semi Condensed" w:hAnsi="Barlow Semi Condensed"/>
          <w:sz w:val="24"/>
          <w:szCs w:val="24"/>
        </w:rPr>
        <w:t xml:space="preserve"> Bersaglio di smentita generale, scritto per primo perché non sia scritto per ultimo: se lo spoglio integrale di FCO 33 per il 1974-1978, del versamento europeo di La Courneuve e dei fascicoli del Länderreferat Italia restituisse una sola carta che lo nomini in relazione al caso, questa serie andrebbe riscritta dal primo blocco. Finché quella carta non compare, l'assenza è il risultato, e va contata.</w:t>
      </w:r>
    </w:p>
    <w:p>
      <w:pPr>
        <w:spacing w:after="120" w:line="276"/>
        <w:jc w:val="both"/>
      </w:pPr>
      <w:r>
        <w:rPr>
          <w:rFonts w:ascii="Barlow Semi Condensed" w:cs="Barlow Semi Condensed" w:eastAsia="Barlow Semi Condensed" w:hAnsi="Barlow Semi Condensed"/>
          <w:b/>
          <w:bCs/>
          <w:sz w:val="24"/>
          <w:szCs w:val="24"/>
        </w:rPr>
        <w:t xml:space="preserve">3477 · Omologia contro analogia, in quattro capitali.</w:t>
      </w:r>
      <w:r>
        <w:rPr>
          <w:rFonts w:ascii="Barlow Semi Condensed" w:cs="Barlow Semi Condensed" w:eastAsia="Barlow Semi Condensed" w:hAnsi="Barlow Semi Condensed"/>
          <w:sz w:val="24"/>
          <w:szCs w:val="24"/>
        </w:rPr>
        <w:t xml:space="preserve"> Londra, Parigi, Bonn e Washington temettero tutte, negli stessi anni, l'ingresso comunista in un governo dell'Alleanza. La somiglianza dei timori non dimostra un antenato comune né una regia: è omologia da provare, non analogia da esibire. Il test resta unico, quello del corpus, un documento di provenienza che nomini la controparte. Il blocco 119 chiede la tavola delle convergenze: la convergenza non è discendenza.</w:t>
      </w:r>
    </w:p>
    <w:p>
      <w:pPr>
        <w:spacing w:after="120" w:line="276"/>
        <w:jc w:val="both"/>
      </w:pPr>
      <w:r>
        <w:rPr>
          <w:rFonts w:ascii="Barlow Semi Condensed" w:cs="Barlow Semi Condensed" w:eastAsia="Barlow Semi Condensed" w:hAnsi="Barlow Semi Condensed"/>
          <w:b/>
          <w:bCs/>
          <w:sz w:val="24"/>
          <w:szCs w:val="24"/>
        </w:rPr>
        <w:t xml:space="preserve">3478 · Il quesito 12 e il suo perimetro.</w:t>
      </w:r>
      <w:r>
        <w:rPr>
          <w:rFonts w:ascii="Barlow Semi Condensed" w:cs="Barlow Semi Condensed" w:eastAsia="Barlow Semi Condensed" w:hAnsi="Barlow Semi Condensed"/>
          <w:sz w:val="24"/>
          <w:szCs w:val="24"/>
        </w:rPr>
        <w:t xml:space="preserve"> «Gli occhi degli alleati», quesito 12 dell'agenda, domanda che cosa le diplomazie videro e riferirono in tempo reale nei cinquantacinque giorni e che cosa giace sotto la regola dell'originatore. La domanda è datata 1978. Chi voglia portarvi dentro un Segretario di Stato uscito di carica nel gennaio 1977 deve prima dichiarare per quale via: retrospettiva, privata o inesistente. Le tre vie si verificano separatamente.</w:t>
      </w:r>
    </w:p>
    <w:p>
      <w:pPr>
        <w:spacing w:after="120" w:line="276"/>
        <w:jc w:val="both"/>
      </w:pPr>
      <w:r>
        <w:rPr>
          <w:rFonts w:ascii="Barlow Semi Condensed" w:cs="Barlow Semi Condensed" w:eastAsia="Barlow Semi Condensed" w:hAnsi="Barlow Semi Condensed"/>
          <w:b/>
          <w:bCs/>
          <w:sz w:val="24"/>
          <w:szCs w:val="24"/>
        </w:rPr>
        <w:t xml:space="preserve">3479 · Il fascicolo C11492660, per nome.</w:t>
      </w:r>
      <w:r>
        <w:rPr>
          <w:rFonts w:ascii="Barlow Semi Condensed" w:cs="Barlow Semi Condensed" w:eastAsia="Barlow Semi Condensed" w:hAnsi="Barlow Semi Condensed"/>
          <w:sz w:val="24"/>
          <w:szCs w:val="24"/>
        </w:rPr>
        <w:t xml:space="preserve"> Quesito da portare in sala a Kew, sul bersaglio primo del cantiere britannico: il fascicolo «Terrorism in Italy, including kidnapping and death of Aldo Moro, former Prime Minister», record Discovery C11492660, non digitalizzato. Domanda unica e verificabile: fra i suoi fogli compare mai il nome dell'ex Segretario di Stato? L'esito, positivo o nullo, si verbalizza secondo il blocco 37, con data, perimetro e sigla del lettore.</w:t>
      </w:r>
    </w:p>
    <w:p>
      <w:pPr>
        <w:spacing w:after="120" w:line="276"/>
        <w:jc w:val="both"/>
      </w:pPr>
      <w:r>
        <w:rPr>
          <w:rFonts w:ascii="Barlow Semi Condensed" w:cs="Barlow Semi Condensed" w:eastAsia="Barlow Semi Condensed" w:hAnsi="Barlow Semi Condensed"/>
          <w:b/>
          <w:bCs/>
          <w:sz w:val="24"/>
          <w:szCs w:val="24"/>
        </w:rPr>
        <w:t xml:space="preserve">3480 · FCO 33 e l'indice per nome.</w:t>
      </w:r>
      <w:r>
        <w:rPr>
          <w:rFonts w:ascii="Barlow Semi Condensed" w:cs="Barlow Semi Condensed" w:eastAsia="Barlow Semi Condensed" w:hAnsi="Barlow Semi Condensed"/>
          <w:sz w:val="24"/>
          <w:szCs w:val="24"/>
        </w:rPr>
        <w:t xml:space="preserve"> La serie madre del Western European Department per il 1978, che il blocco 2 chiede di spogliare per intero e non solo nel fascicolo intitolato a Moro, va letta con una griglia onomastica dichiarata in anticipo. Il nome entra nella griglia accanto agli altri, senza rango speciale, e con l'avvertenza che nel 1978 designa un privato cittadino. Gli esiti nulli si contano come gli altri: è il metodo del blocco 3.</w:t>
      </w:r>
    </w:p>
    <w:p>
      <w:pPr>
        <w:spacing w:after="120" w:line="276"/>
        <w:jc w:val="both"/>
      </w:pPr>
      <w:r>
        <w:rPr>
          <w:rFonts w:ascii="Barlow Semi Condensed" w:cs="Barlow Semi Condensed" w:eastAsia="Barlow Semi Condensed" w:hAnsi="Barlow Semi Condensed"/>
          <w:b/>
          <w:bCs/>
          <w:sz w:val="24"/>
          <w:szCs w:val="24"/>
        </w:rPr>
        <w:t xml:space="preserve">3481 · La colonna nordamericana che manca.</w:t>
      </w:r>
      <w:r>
        <w:rPr>
          <w:rFonts w:ascii="Barlow Semi Condensed" w:cs="Barlow Semi Condensed" w:eastAsia="Barlow Semi Condensed" w:hAnsi="Barlow Semi Condensed"/>
          <w:sz w:val="24"/>
          <w:szCs w:val="24"/>
        </w:rPr>
        <w:t xml:space="preserve"> Lacuna del territorio, verbalizzata. La tavola delle serie britanniche del blocco 34 elenca FCO 33, PREM 16, CAB, DEFE e FCO 9 per l'Europa meridionale: non prevede alcuna colonna per il dipartimento Nord America del Foreign Office, che è esattamente lo scaffale dove uno scambio anglo-americano sull'Italia sarebbe stato archiviato. Individuare quella serie in Discovery, e aggiungerla alla tavola, è il primo emendamento che questa triangolazione propone.</w:t>
      </w:r>
    </w:p>
    <w:p>
      <w:pPr>
        <w:spacing w:after="120" w:line="276"/>
        <w:jc w:val="both"/>
      </w:pPr>
      <w:r>
        <w:rPr>
          <w:rFonts w:ascii="Barlow Semi Condensed" w:cs="Barlow Semi Condensed" w:eastAsia="Barlow Semi Condensed" w:hAnsi="Barlow Semi Condensed"/>
          <w:b/>
          <w:bCs/>
          <w:sz w:val="24"/>
          <w:szCs w:val="24"/>
        </w:rPr>
        <w:t xml:space="preserve">3482 · Settembre 1974, visto da Londra.</w:t>
      </w:r>
      <w:r>
        <w:rPr>
          <w:rFonts w:ascii="Barlow Semi Condensed" w:cs="Barlow Semi Condensed" w:eastAsia="Barlow Semi Condensed" w:hAnsi="Barlow Semi Condensed"/>
          <w:sz w:val="24"/>
          <w:szCs w:val="24"/>
        </w:rPr>
        <w:t xml:space="preserve"> Dentro il blocco 25, che chiede il ritratto britannico di Moro statista negli anni precedenti, sta un bersaglio preciso: che cosa l'ambasciata a Washington e il dipartimento competente riferirono della visita di Stato del 25-29 settembre 1974, date del comunicato congiunto contro il 25-27 della nota editoriale FRUS, divergenza che il corpus riporta e non scioglie. Un resoconto terzo daterebbe la percezione alleata dell'incontro.</w:t>
      </w:r>
    </w:p>
    <w:p>
      <w:pPr>
        <w:spacing w:after="120" w:line="276"/>
        <w:jc w:val="both"/>
      </w:pPr>
      <w:r>
        <w:rPr>
          <w:rFonts w:ascii="Barlow Semi Condensed" w:cs="Barlow Semi Condensed" w:eastAsia="Barlow Semi Condensed" w:hAnsi="Barlow Semi Condensed"/>
          <w:b/>
          <w:bCs/>
          <w:sz w:val="24"/>
          <w:szCs w:val="24"/>
        </w:rPr>
        <w:t xml:space="preserve">3483 · PREM 16 e i due vertici.</w:t>
      </w:r>
      <w:r>
        <w:rPr>
          <w:rFonts w:ascii="Barlow Semi Condensed" w:cs="Barlow Semi Condensed" w:eastAsia="Barlow Semi Condensed" w:hAnsi="Barlow Semi Condensed"/>
          <w:sz w:val="24"/>
          <w:szCs w:val="24"/>
        </w:rPr>
        <w:t xml:space="preserve"> Quesito per la sala di Kew, dentro la serie che il blocco 4 indica come pertinente, Prime Minister's Office 1974-1979, governi Wilson e Callaghan: esistono verbali britannici dei colloqui ristretti di Rambouillet, novembre 1975, e di Porto Rico, giugno 1976, dove sedevano insieme il capo del governo italiano e il Segretario di Stato americano? La lista dei presenti si prende dal verbale, mai dalla memoria.</w:t>
      </w:r>
    </w:p>
    <w:p>
      <w:pPr>
        <w:spacing w:after="120" w:line="276"/>
        <w:jc w:val="both"/>
      </w:pPr>
      <w:r>
        <w:rPr>
          <w:rFonts w:ascii="Barlow Semi Condensed" w:cs="Barlow Semi Condensed" w:eastAsia="Barlow Semi Condensed" w:hAnsi="Barlow Semi Condensed"/>
          <w:b/>
          <w:bCs/>
          <w:sz w:val="24"/>
          <w:szCs w:val="24"/>
        </w:rPr>
        <w:t xml:space="preserve">3484 · Quando l'Italia saliva all'ordine del giorno.</w:t>
      </w:r>
      <w:r>
        <w:rPr>
          <w:rFonts w:ascii="Barlow Semi Condensed" w:cs="Barlow Semi Condensed" w:eastAsia="Barlow Semi Condensed" w:hAnsi="Barlow Semi Condensed"/>
          <w:sz w:val="24"/>
          <w:szCs w:val="24"/>
        </w:rPr>
        <w:t xml:space="preserve"> Il blocco 5 domanda con quale rango e su quale input l'Italia entrasse nell'ordine del giorno di Londra. La domanda si estende all'indietro: nei comitati ministeriali del 1975 e del 1976 l'eventualità comunista italiana comparve come punto autonomo, e con quale documentazione di origine americana allegata? È il luogo dove un piano 2 potrebbe diventare piano 1 senza che nessuno l'abbia cercato.</w:t>
      </w:r>
    </w:p>
    <w:p>
      <w:pPr>
        <w:spacing w:after="120" w:line="276"/>
        <w:jc w:val="both"/>
      </w:pPr>
      <w:r>
        <w:rPr>
          <w:rFonts w:ascii="Barlow Semi Condensed" w:cs="Barlow Semi Condensed" w:eastAsia="Barlow Semi Condensed" w:hAnsi="Barlow Semi Condensed"/>
          <w:b/>
          <w:bCs/>
          <w:sz w:val="24"/>
          <w:szCs w:val="24"/>
        </w:rPr>
        <w:t xml:space="preserve">3485 · Esistenza e contenuto, gradi distinti.</w:t>
      </w:r>
      <w:r>
        <w:rPr>
          <w:rFonts w:ascii="Barlow Semi Condensed" w:cs="Barlow Semi Condensed" w:eastAsia="Barlow Semi Condensed" w:hAnsi="Barlow Semi Condensed"/>
          <w:sz w:val="24"/>
          <w:szCs w:val="24"/>
        </w:rPr>
        <w:t xml:space="preserve"> F sull'esistenza, C sul contenuto: così il blocco 6 tratta i rapporti del Joint Intelligence Committee, perché una valutazione d'intelligence è un'ipotesi di servizio con la sua data. Applicata qui la regola dice che, se un rapporto attribuisse a Washington una linea sull'Italia, attesterebbe che i britannici credevano quella linea, non che quella linea fosse stata impartita. La distinzione si scrive nella scheda, non si sottintende.</w:t>
      </w:r>
    </w:p>
    <w:p>
      <w:pPr>
        <w:spacing w:after="120" w:line="276"/>
        <w:jc w:val="both"/>
      </w:pPr>
      <w:r>
        <w:rPr>
          <w:rFonts w:ascii="Barlow Semi Condensed" w:cs="Barlow Semi Condensed" w:eastAsia="Barlow Semi Condensed" w:hAnsi="Barlow Semi Condensed"/>
          <w:b/>
          <w:bCs/>
          <w:sz w:val="24"/>
          <w:szCs w:val="24"/>
        </w:rPr>
        <w:t xml:space="preserve">3486 · L'ambasciata sul Tevere, 1974-1976.</w:t>
      </w:r>
      <w:r>
        <w:rPr>
          <w:rFonts w:ascii="Barlow Semi Condensed" w:cs="Barlow Semi Condensed" w:eastAsia="Barlow Semi Condensed" w:hAnsi="Barlow Semi Condensed"/>
          <w:sz w:val="24"/>
          <w:szCs w:val="24"/>
        </w:rPr>
        <w:t xml:space="preserve"> I carteggi dell'ambasciata britannica a Roma che il blocco 7 richiede per il 1978 vanno chiesti anche per il triennio anteriore, gli anni della presidenza Moro e dell'ultimo tratto della segreteria di Stato americana. Che cosa l'ambasciatore registrò delle pressioni alleate sul quadro politico italiano, e da chi disse di averlo appreso. La fonte interna del dispaccio è il dato che rende il documento pesabile.</w:t>
      </w:r>
    </w:p>
    <w:p>
      <w:pPr>
        <w:spacing w:after="120" w:line="276"/>
        <w:jc w:val="both"/>
      </w:pPr>
      <w:r>
        <w:rPr>
          <w:rFonts w:ascii="Barlow Semi Condensed" w:cs="Barlow Semi Condensed" w:eastAsia="Barlow Semi Condensed" w:hAnsi="Barlow Semi Condensed"/>
          <w:b/>
          <w:bCs/>
          <w:sz w:val="24"/>
          <w:szCs w:val="24"/>
        </w:rPr>
        <w:t xml:space="preserve">3487 · Il genere dell'atto decide il peso.</w:t>
      </w:r>
      <w:r>
        <w:rPr>
          <w:rFonts w:ascii="Barlow Semi Condensed" w:cs="Barlow Semi Condensed" w:eastAsia="Barlow Semi Condensed" w:hAnsi="Barlow Semi Condensed"/>
          <w:sz w:val="24"/>
          <w:szCs w:val="24"/>
        </w:rPr>
        <w:t xml:space="preserve"> Una minuta interna di funzionario che riassuma «la posizione americana» vale meno di un telegramma che riporti un colloquio con data, ora e nome dell'interlocutore: è l'applicazione del blocco 8 a un caso concreto. Se un solo documento britannico dovesse mai nominarlo, la prima domanda non sarà che cosa dice, ma di quale genere è. Il genere è metà del grado, e il territorio lo dice prima di aprire.</w:t>
      </w:r>
    </w:p>
    <w:p>
      <w:pPr>
        <w:spacing w:after="120" w:line="276"/>
        <w:jc w:val="both"/>
      </w:pPr>
      <w:r>
        <w:rPr>
          <w:rFonts w:ascii="Barlow Semi Condensed" w:cs="Barlow Semi Condensed" w:eastAsia="Barlow Semi Condensed" w:hAnsi="Barlow Semi Condensed"/>
          <w:b/>
          <w:bCs/>
          <w:sz w:val="24"/>
          <w:szCs w:val="24"/>
        </w:rPr>
        <w:t xml:space="preserve">3488 · Le aperture del 2008 e i frammenti.</w:t>
      </w:r>
      <w:r>
        <w:rPr>
          <w:rFonts w:ascii="Barlow Semi Condensed" w:cs="Barlow Semi Condensed" w:eastAsia="Barlow Semi Condensed" w:hAnsi="Barlow Semi Condensed"/>
          <w:sz w:val="24"/>
          <w:szCs w:val="24"/>
        </w:rPr>
        <w:t xml:space="preserve"> Fra il 2008 e il 2009 i fascicoli italiani del 1978 aprirono per la regola dei trent'anni, e la stampa italiana ne pubblicò i primi frammenti: così il blocco 9. Accertamento da compiere a basso costo: quei frammenti nominarono mai l'ex Segretario di Stato, e con quale segnatura? Una citazione giornalistica priva di segnatura resta piano 3 anche quando proviene da un archivio vero.</w:t>
      </w:r>
    </w:p>
    <w:p>
      <w:pPr>
        <w:spacing w:after="120" w:line="276"/>
        <w:jc w:val="both"/>
      </w:pPr>
      <w:r>
        <w:rPr>
          <w:rFonts w:ascii="Barlow Semi Condensed" w:cs="Barlow Semi Condensed" w:eastAsia="Barlow Semi Condensed" w:hAnsi="Barlow Semi Condensed"/>
          <w:b/>
          <w:bCs/>
          <w:sz w:val="24"/>
          <w:szCs w:val="24"/>
        </w:rPr>
        <w:t xml:space="preserve">3489 · La regola dei venti, al contrario.</w:t>
      </w:r>
      <w:r>
        <w:rPr>
          <w:rFonts w:ascii="Barlow Semi Condensed" w:cs="Barlow Semi Condensed" w:eastAsia="Barlow Semi Condensed" w:hAnsi="Barlow Semi Condensed"/>
          <w:sz w:val="24"/>
          <w:szCs w:val="24"/>
        </w:rPr>
        <w:t xml:space="preserve"> Corollario del blocco 10, che mappa la transizione britannica alla ventennale e le maturazioni fino al cinquantenario del 2028: i fascicoli del 1974-1976, cioè gli anni della carica, sono aperti da più tempo di quelli del 1978, e nessuno li ha spogliati con questa domanda. Il calendario, qui, non è un ostacolo da attendere ma un vantaggio già maturato e mai riscosso.</w:t>
      </w:r>
    </w:p>
    <w:p>
      <w:pPr>
        <w:spacing w:after="120" w:line="276"/>
        <w:jc w:val="both"/>
      </w:pPr>
      <w:r>
        <w:rPr>
          <w:rFonts w:ascii="Barlow Semi Condensed" w:cs="Barlow Semi Condensed" w:eastAsia="Barlow Semi Condensed" w:hAnsi="Barlow Semi Condensed"/>
          <w:b/>
          <w:bCs/>
          <w:sz w:val="24"/>
          <w:szCs w:val="24"/>
        </w:rPr>
        <w:t xml:space="preserve">3490 · Il trattenuto e chi può aprirlo.</w:t>
      </w:r>
      <w:r>
        <w:rPr>
          <w:rFonts w:ascii="Barlow Semi Condensed" w:cs="Barlow Semi Condensed" w:eastAsia="Barlow Semi Condensed" w:hAnsi="Barlow Semi Condensed"/>
          <w:sz w:val="24"/>
          <w:szCs w:val="24"/>
        </w:rPr>
        <w:t xml:space="preserve"> Retained by department: il blocco 11 censisce i fascicoli trattenuti e le chiusure prolungate con la motivazione dichiarata in catalogo. Incrocio obbligato con il blocco 126 dell'agenda, la regola dell'originatore: dove la carta trattenuta sia di origine americana, Londra non può aprirla da sola. Il censimento deve dunque registrare, per ogni chiusura, l'originatore, perché è quel dato a dire a chi indirizzare la richiesta.</w:t>
      </w:r>
    </w:p>
    <w:p>
      <w:pPr>
        <w:spacing w:after="120" w:line="276"/>
        <w:jc w:val="both"/>
      </w:pPr>
      <w:r>
        <w:rPr>
          <w:rFonts w:ascii="Barlow Semi Condensed" w:cs="Barlow Semi Condensed" w:eastAsia="Barlow Semi Condensed" w:hAnsi="Barlow Semi Condensed"/>
          <w:b/>
          <w:bCs/>
          <w:sz w:val="24"/>
          <w:szCs w:val="24"/>
        </w:rPr>
        <w:t xml:space="preserve">3491 · Una richiesta per fascicolo, motivata.</w:t>
      </w:r>
      <w:r>
        <w:rPr>
          <w:rFonts w:ascii="Barlow Semi Condensed" w:cs="Barlow Semi Condensed" w:eastAsia="Barlow Semi Condensed" w:hAnsi="Barlow Semi Condensed"/>
          <w:sz w:val="24"/>
          <w:szCs w:val="24"/>
        </w:rPr>
        <w:t xml:space="preserve"> Sotto il Freedom of Information Act 2000, il blocco 12 prescrive una richiesta per fascicolo con motivazione storica argomentata. Per questa serie la motivazione sta in tre righe: verificare se le carte del Foreign Office documentino comunicazioni americane sull'Italia negli anni 1974-1976. L'istanza non nomina un sospetto e non allega una tesi; chiede una serie e attende. Il registro degli esiti conta anche i dinieghi.</w:t>
      </w:r>
    </w:p>
    <w:p>
      <w:pPr>
        <w:spacing w:after="120" w:line="276"/>
        <w:jc w:val="both"/>
      </w:pPr>
      <w:r>
        <w:rPr>
          <w:rFonts w:ascii="Barlow Semi Condensed" w:cs="Barlow Semi Condensed" w:eastAsia="Barlow Semi Condensed" w:hAnsi="Barlow Semi Condensed"/>
          <w:b/>
          <w:bCs/>
          <w:sz w:val="24"/>
          <w:szCs w:val="24"/>
        </w:rPr>
        <w:t xml:space="preserve">3492 · Dinieghi, e la via dell'ICO.</w:t>
      </w:r>
      <w:r>
        <w:rPr>
          <w:rFonts w:ascii="Barlow Semi Condensed" w:cs="Barlow Semi Condensed" w:eastAsia="Barlow Semi Condensed" w:hAnsi="Barlow Semi Condensed"/>
          <w:sz w:val="24"/>
          <w:szCs w:val="24"/>
        </w:rPr>
        <w:t xml:space="preserve"> Impugnare o archiviare con decisione scritta, mai lasciar cadere in silenzio: il blocco 13 tiene aperta la via del ricorso all'Information Commissioner e al First-tier Tribunal, coi precedenti favorevoli alla ricerca storica. Il ricorso perso documenta un limite e vale come acquisizione; il ricorso vinto apre uno scaffale che nessuna narrazione avrebbe potuto aprire. In entrambi i casi la data entra nel registro delle richieste.</w:t>
      </w:r>
    </w:p>
    <w:p>
      <w:pPr>
        <w:spacing w:after="120" w:line="276"/>
        <w:jc w:val="both"/>
      </w:pPr>
      <w:r>
        <w:rPr>
          <w:rFonts w:ascii="Barlow Semi Condensed" w:cs="Barlow Semi Condensed" w:eastAsia="Barlow Semi Condensed" w:hAnsi="Barlow Semi Condensed"/>
          <w:b/>
          <w:bCs/>
          <w:sz w:val="24"/>
          <w:szCs w:val="24"/>
        </w:rPr>
        <w:t xml:space="preserve">3493 · Battaglia, Lomellini e le segnature.</w:t>
      </w:r>
      <w:r>
        <w:rPr>
          <w:rFonts w:ascii="Barlow Semi Condensed" w:cs="Barlow Semi Condensed" w:eastAsia="Barlow Semi Condensed" w:hAnsi="Barlow Semi Condensed"/>
          <w:sz w:val="24"/>
          <w:szCs w:val="24"/>
        </w:rPr>
        <w:t xml:space="preserve"> Antonello Battaglia, con la ricognizione del 2021 sull'eco del caso Moro in Gran Bretagna fondata su carte FCO 33, e Valentine Lomellini, col quadro Springer del 2023, sono i due lavori che il blocco 14 indica come mappa di scavo. Verifica a costo quasi nullo, da fare prima di ogni trasferta: le loro tavole di segnature contengono documenti che nominino l'ex Segretario di Stato?</w:t>
      </w:r>
    </w:p>
    <w:p>
      <w:pPr>
        <w:spacing w:after="120" w:line="276"/>
        <w:jc w:val="both"/>
      </w:pPr>
      <w:r>
        <w:rPr>
          <w:rFonts w:ascii="Barlow Semi Condensed" w:cs="Barlow Semi Condensed" w:eastAsia="Barlow Semi Condensed" w:hAnsi="Barlow Semi Condensed"/>
          <w:b/>
          <w:bCs/>
          <w:sz w:val="24"/>
          <w:szCs w:val="24"/>
        </w:rPr>
        <w:t xml:space="preserve">3494 · Dalle tesi altrui, solo le coordinate.</w:t>
      </w:r>
      <w:r>
        <w:rPr>
          <w:rFonts w:ascii="Barlow Semi Condensed" w:cs="Barlow Semi Condensed" w:eastAsia="Barlow Semi Condensed" w:hAnsi="Barlow Semi Condensed"/>
          <w:sz w:val="24"/>
          <w:szCs w:val="24"/>
        </w:rPr>
        <w:t xml:space="preserve"> Dalle ricostruzioni giornalistiche fondate su Kew i blocchi 15 e 16 prendono le segnature e lasciano le tesi al loro autore, tarando il resto sulla fedeltà misurata di un campione verificato in originale. La regola vale integralmente per le narrazioni che attribuiscono a Washington una regia italiana: si prende la segnatura, si va a Kew, si legge il foglio. Ciò che non ha segnatura non entra.</w:t>
      </w:r>
    </w:p>
    <w:p>
      <w:pPr>
        <w:spacing w:after="120" w:line="276"/>
        <w:jc w:val="both"/>
      </w:pPr>
      <w:r>
        <w:rPr>
          <w:rFonts w:ascii="Barlow Semi Condensed" w:cs="Barlow Semi Condensed" w:eastAsia="Barlow Semi Condensed" w:hAnsi="Barlow Semi Condensed"/>
          <w:b/>
          <w:bCs/>
          <w:sz w:val="24"/>
          <w:szCs w:val="24"/>
        </w:rPr>
        <w:t xml:space="preserve">3495 · Caversham, e le voci del 1978.</w:t>
      </w:r>
      <w:r>
        <w:rPr>
          <w:rFonts w:ascii="Barlow Semi Condensed" w:cs="Barlow Semi Condensed" w:eastAsia="Barlow Semi Condensed" w:hAnsi="Barlow Semi Condensed"/>
          <w:sz w:val="24"/>
          <w:szCs w:val="24"/>
        </w:rPr>
        <w:t xml:space="preserve"> Ai BBC Written Archives di Caversham il blocco 17 assegna i monitoring reports del 1978, la cronaca dei cinquantacinque giorni con timbro orario straniero. Domanda circoscritta e databile: il servizio d'ascolto britannico registrò trasmissioni che facessero quel nome a proposito del sequestro? Un ascolto datato dimostrerebbe la circolazione dell'ipotesi in tempo reale, non la sua fondatezza, ma sposterebbe indietro di decenni la prima traccia certa.</w:t>
      </w:r>
    </w:p>
    <w:p>
      <w:pPr>
        <w:spacing w:after="120" w:line="276"/>
        <w:jc w:val="both"/>
      </w:pPr>
      <w:r>
        <w:rPr>
          <w:rFonts w:ascii="Barlow Semi Condensed" w:cs="Barlow Semi Condensed" w:eastAsia="Barlow Semi Condensed" w:hAnsi="Barlow Semi Condensed"/>
          <w:b/>
          <w:bCs/>
          <w:sz w:val="24"/>
          <w:szCs w:val="24"/>
        </w:rPr>
        <w:t xml:space="preserve">3496 · Reuters, Fleet Street e il novembre 1982.</w:t>
      </w:r>
      <w:r>
        <w:rPr>
          <w:rFonts w:ascii="Barlow Semi Condensed" w:cs="Barlow Semi Condensed" w:eastAsia="Barlow Semi Condensed" w:hAnsi="Barlow Semi Condensed"/>
          <w:sz w:val="24"/>
          <w:szCs w:val="24"/>
        </w:rPr>
        <w:t xml:space="preserve"> Reuters e i quotidiani britannici, coi taccuini dei corrispondenti da Roma, sono il giacimento del blocco 18. Bersaglio specifico: la copertura britannica dell'udienza della Corte d'assise di Roma del novembre 1982, quando la testimonianza de relato collocò il nome. Una corrispondenza coeva darebbe una datazione indipendente della circolazione dell'episodio, utile a misurare quanta parte della moltiplicazione successiva sia replicazione del lancio del 2023.</w:t>
      </w:r>
    </w:p>
    <w:p>
      <w:pPr>
        <w:spacing w:after="120" w:line="276"/>
        <w:jc w:val="both"/>
      </w:pPr>
      <w:r>
        <w:rPr>
          <w:rFonts w:ascii="Barlow Semi Condensed" w:cs="Barlow Semi Condensed" w:eastAsia="Barlow Semi Condensed" w:hAnsi="Barlow Semi Condensed"/>
          <w:b/>
          <w:bCs/>
          <w:sz w:val="24"/>
          <w:szCs w:val="24"/>
        </w:rPr>
        <w:t xml:space="preserve">3497 · La fermezza, e ciò che fu scritto.</w:t>
      </w:r>
      <w:r>
        <w:rPr>
          <w:rFonts w:ascii="Barlow Semi Condensed" w:cs="Barlow Semi Condensed" w:eastAsia="Barlow Semi Condensed" w:hAnsi="Barlow Semi Condensed"/>
          <w:sz w:val="24"/>
          <w:szCs w:val="24"/>
        </w:rPr>
        <w:t xml:space="preserve"> Che cosa il Foreign Office scrisse, non che cosa avrebbe pensato: l'avvertenza del blocco 20 sulla linea della fermezza governa anche ogni ipotesi di consiglio o pressione esterna sulla scelta italiana. Un documento che registrasse un suggerimento americano nel 1978 riguarderebbe l'amministrazione allora in carica, non chi l'aveva lasciata quattordici mesi prima. La carica si verifica sul calendario, prima di attribuire la voce.</w:t>
      </w:r>
    </w:p>
    <w:p>
      <w:pPr>
        <w:spacing w:after="120" w:line="276"/>
        <w:jc w:val="both"/>
      </w:pPr>
      <w:r>
        <w:rPr>
          <w:rFonts w:ascii="Barlow Semi Condensed" w:cs="Barlow Semi Condensed" w:eastAsia="Barlow Semi Condensed" w:hAnsi="Barlow Semi Condensed"/>
          <w:b/>
          <w:bCs/>
          <w:sz w:val="24"/>
          <w:szCs w:val="24"/>
        </w:rPr>
        <w:t xml:space="preserve">3498 · Il capitolo atlantico e Bruxelles.</w:t>
      </w:r>
      <w:r>
        <w:rPr>
          <w:rFonts w:ascii="Barlow Semi Condensed" w:cs="Barlow Semi Condensed" w:eastAsia="Barlow Semi Condensed" w:hAnsi="Barlow Semi Condensed"/>
          <w:sz w:val="24"/>
          <w:szCs w:val="24"/>
        </w:rPr>
        <w:t xml:space="preserve"> Nei verbali dei Consigli atlantici ministeriali del 1974-1976, consultabili in NATO Archives Online, sedeva per diritto il Segretario di Stato americano: è l'estensione naturale del blocco 24, che chiede a Londra le carte sugli aspetti atlantici e sulla sicurezza delle informazioni alleate. È l'unica sede multilaterale in cui una sua dichiarazione sull'Italia sarebbe verbalizzata da terzi e citabile per segnatura.</w:t>
      </w:r>
    </w:p>
    <w:p>
      <w:pPr>
        <w:spacing w:after="120" w:line="276"/>
        <w:jc w:val="both"/>
      </w:pPr>
      <w:r>
        <w:rPr>
          <w:rFonts w:ascii="Barlow Semi Condensed" w:cs="Barlow Semi Condensed" w:eastAsia="Barlow Semi Condensed" w:hAnsi="Barlow Semi Condensed"/>
          <w:b/>
          <w:bCs/>
          <w:sz w:val="24"/>
          <w:szCs w:val="24"/>
        </w:rPr>
        <w:t xml:space="preserve">3499 · Chi lesse che cosa, a Londra.</w:t>
      </w:r>
      <w:r>
        <w:rPr>
          <w:rFonts w:ascii="Barlow Semi Condensed" w:cs="Barlow Semi Condensed" w:eastAsia="Barlow Semi Condensed" w:hAnsi="Barlow Semi Condensed"/>
          <w:sz w:val="24"/>
          <w:szCs w:val="24"/>
        </w:rPr>
        <w:t xml:space="preserve"> Chi lesse che cosa: il blocco 27 raccoglie le annotazioni di circolazione, sigle, rinvii, passaggi al piano politico. Applicazione mirata: se una carta italiana del periodo reca annotazioni che rimandano a comunicazioni americane, la sigla del funzionario che le vergò è il primo anello verificabile. La sociologia della carta produce nomi di lettori, non di responsabili, e la distinzione va scritta in ogni scheda.</w:t>
      </w:r>
    </w:p>
    <w:p>
      <w:pPr>
        <w:spacing w:after="120" w:line="276"/>
        <w:jc w:val="both"/>
      </w:pPr>
      <w:r>
        <w:rPr>
          <w:rFonts w:ascii="Barlow Semi Condensed" w:cs="Barlow Semi Condensed" w:eastAsia="Barlow Semi Condensed" w:hAnsi="Barlow Semi Condensed"/>
          <w:b/>
          <w:bCs/>
          <w:sz w:val="24"/>
          <w:szCs w:val="24"/>
        </w:rPr>
        <w:t xml:space="preserve">3500 · Il vuoto britannico, contato.</w:t>
      </w:r>
      <w:r>
        <w:rPr>
          <w:rFonts w:ascii="Barlow Semi Condensed" w:cs="Barlow Semi Condensed" w:eastAsia="Barlow Semi Condensed" w:hAnsi="Barlow Semi Condensed"/>
          <w:sz w:val="24"/>
          <w:szCs w:val="24"/>
        </w:rPr>
        <w:t xml:space="preserve"> Contando si chiude, secondo i blocchi 37 e 40: ogni ricerca a vuoto si verbalizza con perimetro esatto, come vuole il blocco 285 dell'agenda, e ogni bersaglio riceve il suo stato. Per questa triangolazione l'esito atteso è una colonna quasi interamente a vuoto, e va scritta così. Un vuoto ben perimetrato è una coordinata sottratta per sempre alla ricerca futura: vale quanto un ritrovamento.</w:t>
      </w:r>
    </w:p>
    <w:p>
      <w:pPr>
        <w:spacing w:after="120" w:line="276"/>
        <w:jc w:val="both"/>
      </w:pPr>
      <w:r>
        <w:rPr>
          <w:rFonts w:ascii="Barlow Semi Condensed" w:cs="Barlow Semi Condensed" w:eastAsia="Barlow Semi Condensed" w:hAnsi="Barlow Semi Condensed"/>
          <w:b/>
          <w:bCs/>
          <w:sz w:val="24"/>
          <w:szCs w:val="24"/>
        </w:rPr>
        <w:t xml:space="preserve">3501 · Luglio 1976, il taglio del versamento.</w:t>
      </w:r>
      <w:r>
        <w:rPr>
          <w:rFonts w:ascii="Barlow Semi Condensed" w:cs="Barlow Semi Condensed" w:eastAsia="Barlow Semi Condensed" w:hAnsi="Barlow Semi Condensed"/>
          <w:sz w:val="24"/>
          <w:szCs w:val="24"/>
        </w:rPr>
        <w:t xml:space="preserve"> Rilievo strutturale sul blocco 41: la sottoserie indicata come madre, «Italie, juillet 1976-1980» dentro il versamento 1929INVA di 974 scatole, comincia nel luglio 1976. La visita di Stato del settembre 1974 e la firma dell'Atto finale di Helsinki del 1° agosto 1975 restano fuori. Il versamento europeo precedente, che copre gli anni fino al giugno 1976, è la sede che questa serie deve individuare e chiedere.</w:t>
      </w:r>
    </w:p>
    <w:p>
      <w:pPr>
        <w:spacing w:after="120" w:line="276"/>
        <w:jc w:val="both"/>
      </w:pPr>
      <w:r>
        <w:rPr>
          <w:rFonts w:ascii="Barlow Semi Condensed" w:cs="Barlow Semi Condensed" w:eastAsia="Barlow Semi Condensed" w:hAnsi="Barlow Semi Condensed"/>
          <w:b/>
          <w:bCs/>
          <w:sz w:val="24"/>
          <w:szCs w:val="24"/>
        </w:rPr>
        <w:t xml:space="preserve">3502 · L'inventario prima della trasferta.</w:t>
      </w:r>
      <w:r>
        <w:rPr>
          <w:rFonts w:ascii="Barlow Semi Condensed" w:cs="Barlow Semi Condensed" w:eastAsia="Barlow Semi Condensed" w:hAnsi="Barlow Semi Condensed"/>
          <w:sz w:val="24"/>
          <w:szCs w:val="24"/>
        </w:rPr>
        <w:t xml:space="preserve"> Prima di prendere il treno si spoglia l'inventario in linea: lo impone il blocco 42, e per questa triangolazione l'operazione costa nulla e va fatta subito. Si interroga il PDF con una griglia di nomi e di date e si registrano gli esiti nulli con la stessa cura di quelli utili. Se l'inventario non porta il nome, la trasferta parigina non si giustifica su questo capitolo.</w:t>
      </w:r>
    </w:p>
    <w:p>
      <w:pPr>
        <w:spacing w:after="120" w:line="276"/>
        <w:jc w:val="both"/>
      </w:pPr>
      <w:r>
        <w:rPr>
          <w:rFonts w:ascii="Barlow Semi Condensed" w:cs="Barlow Semi Condensed" w:eastAsia="Barlow Semi Condensed" w:hAnsi="Barlow Semi Condensed"/>
          <w:b/>
          <w:bCs/>
          <w:sz w:val="24"/>
          <w:szCs w:val="24"/>
        </w:rPr>
        <w:t xml:space="preserve">3503 · Nantes, il fondo Rome-Quirinal.</w:t>
      </w:r>
      <w:r>
        <w:rPr>
          <w:rFonts w:ascii="Barlow Semi Condensed" w:cs="Barlow Semi Condensed" w:eastAsia="Barlow Semi Condensed" w:hAnsi="Barlow Semi Condensed"/>
          <w:sz w:val="24"/>
          <w:szCs w:val="24"/>
        </w:rPr>
        <w:t xml:space="preserve"> A Nantes giacciono i fondi rimpatriati dell'ambasciata di Francia a Roma, il fondo Rome-Quirinal che il blocco 44 assegna al cantiere. Bersaglio proprio di questa serie sono le serie di sede degli anni 1974-1976, dove un ambasciatore registra ciò che la centrale non chiede. Le due voci vanno lette insieme: una sede periferica annota spesso ciò che la centrale ritiene ovvio e perciò non scrive.</w:t>
      </w:r>
    </w:p>
    <w:p>
      <w:pPr>
        <w:spacing w:after="120" w:line="276"/>
        <w:jc w:val="both"/>
      </w:pPr>
      <w:r>
        <w:rPr>
          <w:rFonts w:ascii="Barlow Semi Condensed" w:cs="Barlow Semi Condensed" w:eastAsia="Barlow Semi Condensed" w:hAnsi="Barlow Semi Condensed"/>
          <w:b/>
          <w:bCs/>
          <w:sz w:val="24"/>
          <w:szCs w:val="24"/>
        </w:rPr>
        <w:t xml:space="preserve">3504 · Il contagio nominato, e chi lo ricevette.</w:t>
      </w:r>
      <w:r>
        <w:rPr>
          <w:rFonts w:ascii="Barlow Semi Condensed" w:cs="Barlow Semi Condensed" w:eastAsia="Barlow Semi Condensed" w:hAnsi="Barlow Semi Condensed"/>
          <w:sz w:val="24"/>
          <w:szCs w:val="24"/>
        </w:rPr>
        <w:t xml:space="preserve"> Il verbale del 25 settembre 1974 attesta la posizione sul non poter scambiare informazioni militari con un governo che includesse i comunisti, e una valutazione sul rischio di propagazione che nomina Francia, Germania e Grecia. Quesito per il blocco 46, alla direzione Europa del Quai: le carte francesi attestano che quell'argomento fu portato a Parigi? Un verbale francese che lo registri sarebbe piano 1.</w:t>
      </w:r>
    </w:p>
    <w:p>
      <w:pPr>
        <w:spacing w:after="120" w:line="276"/>
        <w:jc w:val="both"/>
      </w:pPr>
      <w:r>
        <w:rPr>
          <w:rFonts w:ascii="Barlow Semi Condensed" w:cs="Barlow Semi Condensed" w:eastAsia="Barlow Semi Condensed" w:hAnsi="Barlow Semi Condensed"/>
          <w:b/>
          <w:bCs/>
          <w:sz w:val="24"/>
          <w:szCs w:val="24"/>
        </w:rPr>
        <w:t xml:space="preserve">3505 · L'Eliseo, e i colloqui ristretti.</w:t>
      </w:r>
      <w:r>
        <w:rPr>
          <w:rFonts w:ascii="Barlow Semi Condensed" w:cs="Barlow Semi Condensed" w:eastAsia="Barlow Semi Condensed" w:hAnsi="Barlow Semi Condensed"/>
          <w:sz w:val="24"/>
          <w:szCs w:val="24"/>
        </w:rPr>
        <w:t xml:space="preserve"> All'Eliseo il blocco 47 assegna le serie presidenziali di Valéry Giscard d'Estaing agli Archives nationales, versamento AG, coi verbali dei consigli ristretti. Domanda che vi si porta: esistono note francesi dei conciliaboli a margine dei vertici del 1975 e del 1976 dove l'ipotesi comunista italiana fu discussa fra alleati? La deroga si chiede sul dossier, con motivazione storica, e l'esito entra nel registro.</w:t>
      </w:r>
    </w:p>
    <w:p>
      <w:pPr>
        <w:spacing w:after="120" w:line="276"/>
        <w:jc w:val="both"/>
      </w:pPr>
      <w:r>
        <w:rPr>
          <w:rFonts w:ascii="Barlow Semi Condensed" w:cs="Barlow Semi Condensed" w:eastAsia="Barlow Semi Condensed" w:hAnsi="Barlow Semi Condensed"/>
          <w:b/>
          <w:bCs/>
          <w:sz w:val="24"/>
          <w:szCs w:val="24"/>
        </w:rPr>
        <w:t xml:space="preserve">3506 · Codice del patrimonio, e la deroga.</w:t>
      </w:r>
      <w:r>
        <w:rPr>
          <w:rFonts w:ascii="Barlow Semi Condensed" w:cs="Barlow Semi Condensed" w:eastAsia="Barlow Semi Condensed" w:hAnsi="Barlow Semi Condensed"/>
          <w:sz w:val="24"/>
          <w:szCs w:val="24"/>
        </w:rPr>
        <w:t xml:space="preserve"> La procedura di dérogation descritta dal blocco 43 muove dal censimento dei dossier a comunicabilità lunga per sicurezza dello Stato o vita privata, secondo l'articolo L213-2 del Code du patrimoine. La motivazione utile qui non contiene accuse: dichiara di voler verificare presenza o assenza di comunicazioni alleate su una crisi politica italiana. Una deroga negata è essa stessa un dato, e si data.</w:t>
      </w:r>
    </w:p>
    <w:p>
      <w:pPr>
        <w:spacing w:after="120" w:line="276"/>
        <w:jc w:val="both"/>
      </w:pPr>
      <w:r>
        <w:rPr>
          <w:rFonts w:ascii="Barlow Semi Condensed" w:cs="Barlow Semi Condensed" w:eastAsia="Barlow Semi Condensed" w:hAnsi="Barlow Semi Condensed"/>
          <w:b/>
          <w:bCs/>
          <w:sz w:val="24"/>
          <w:szCs w:val="24"/>
        </w:rPr>
        <w:t xml:space="preserve">3507 · Settantacinque anni, e nulla da attendere.</w:t>
      </w:r>
      <w:r>
        <w:rPr>
          <w:rFonts w:ascii="Barlow Semi Condensed" w:cs="Barlow Semi Condensed" w:eastAsia="Barlow Semi Condensed" w:hAnsi="Barlow Semi Condensed"/>
          <w:sz w:val="24"/>
          <w:szCs w:val="24"/>
        </w:rPr>
        <w:t xml:space="preserve"> Settantacinque anni: è il termine che il blocco 48 accerta per gli atti giudiziari francesi, e con esso il perimetro onesto del cantiere. Per questa serie la conseguenza va scritta senza attenuazioni: nessuna verifica giudiziaria francese è disponibile, né lo sarà entro l'orizzonte di questa ricerca. La data di apertura si calcola e si mette a calendario, ma non genera alcuna attesa operativa.</w:t>
      </w:r>
    </w:p>
    <w:p>
      <w:pPr>
        <w:spacing w:after="120" w:line="276"/>
        <w:jc w:val="both"/>
      </w:pPr>
      <w:r>
        <w:rPr>
          <w:rFonts w:ascii="Barlow Semi Condensed" w:cs="Barlow Semi Condensed" w:eastAsia="Barlow Semi Condensed" w:hAnsi="Barlow Semi Condensed"/>
          <w:b/>
          <w:bCs/>
          <w:sz w:val="24"/>
          <w:szCs w:val="24"/>
        </w:rPr>
        <w:t xml:space="preserve">3508 · Grimaud, e la nota del 1983.</w:t>
      </w:r>
      <w:r>
        <w:rPr>
          <w:rFonts w:ascii="Barlow Semi Condensed" w:cs="Barlow Semi Condensed" w:eastAsia="Barlow Semi Condensed" w:hAnsi="Barlow Semi Condensed"/>
          <w:sz w:val="24"/>
          <w:szCs w:val="24"/>
        </w:rPr>
        <w:t xml:space="preserve"> Maurice Grimaud lasciò un fondo diviso fra il Centre d'histoire de Sciences Po, per le carte private, e gli Archives nationales a Pierrefitte, per quelle d'ufficio; il blocco 49 vi documenta la nota del 24 maggio 1983 con cui chiese ai Renseignements généraux informazioni su Hyperion. Stato Zero da registrare: nulla in quel censimento rimanda a questo nome. La verifica in sala resta da compiere.</w:t>
      </w:r>
    </w:p>
    <w:p>
      <w:pPr>
        <w:spacing w:after="120" w:line="276"/>
        <w:jc w:val="both"/>
      </w:pPr>
      <w:r>
        <w:rPr>
          <w:rFonts w:ascii="Barlow Semi Condensed" w:cs="Barlow Semi Condensed" w:eastAsia="Barlow Semi Condensed" w:hAnsi="Barlow Semi Condensed"/>
          <w:b/>
          <w:bCs/>
          <w:sz w:val="24"/>
          <w:szCs w:val="24"/>
        </w:rPr>
        <w:t xml:space="preserve">3509 · Hyperion, e il criterio di riapertura.</w:t>
      </w:r>
      <w:r>
        <w:rPr>
          <w:rFonts w:ascii="Barlow Semi Condensed" w:cs="Barlow Semi Condensed" w:eastAsia="Barlow Semi Condensed" w:hAnsi="Barlow Semi Condensed"/>
          <w:sz w:val="24"/>
          <w:szCs w:val="24"/>
        </w:rPr>
        <w:t xml:space="preserve"> Hyperion resta chiusa per anello debole, e i blocchi 50 e 72 la tengono entro il criterio del blocco 222 dell'agenda: riapre solo un documento primario che trasformi un arco biografico in arco di condotta. Nessun documento noto collega questo nome alla scuola di lingue parigina. Si dichiara in anticipo che cosa non conterebbe: biografie, contiguità, memorie, e ogni somiglianza di risultato.</w:t>
      </w:r>
    </w:p>
    <w:p>
      <w:pPr>
        <w:spacing w:after="120" w:line="276"/>
        <w:jc w:val="both"/>
      </w:pPr>
      <w:r>
        <w:rPr>
          <w:rFonts w:ascii="Barlow Semi Condensed" w:cs="Barlow Semi Condensed" w:eastAsia="Barlow Semi Condensed" w:hAnsi="Barlow Semi Condensed"/>
          <w:b/>
          <w:bCs/>
          <w:sz w:val="24"/>
          <w:szCs w:val="24"/>
        </w:rPr>
        <w:t xml:space="preserve">3510 · La dottrina Mitterrand, fuori arco.</w:t>
      </w:r>
      <w:r>
        <w:rPr>
          <w:rFonts w:ascii="Barlow Semi Condensed" w:cs="Barlow Semi Condensed" w:eastAsia="Barlow Semi Condensed" w:hAnsi="Barlow Semi Condensed"/>
          <w:sz w:val="24"/>
          <w:szCs w:val="24"/>
        </w:rPr>
        <w:t xml:space="preserve"> Sette anni oltre l'ultima carica dell'uomo qui triangolato cade l'intero fascicolo che il blocco 51 costruisce: il discorso del 21 aprile 1985, gli atti amministrativi sui rifugiati italiani, i pareri del Conseil d'État, la parola della Cassazione francese del marzo 2023. Si registra come irrilevanza dichiarata e non come silenzio: dire perché un capitolo non pertiene è parte del lavoro.</w:t>
      </w:r>
    </w:p>
    <w:p>
      <w:pPr>
        <w:spacing w:after="120" w:line="276"/>
        <w:jc w:val="both"/>
      </w:pPr>
      <w:r>
        <w:rPr>
          <w:rFonts w:ascii="Barlow Semi Condensed" w:cs="Barlow Semi Condensed" w:eastAsia="Barlow Semi Condensed" w:hAnsi="Barlow Semi Condensed"/>
          <w:b/>
          <w:bCs/>
          <w:sz w:val="24"/>
          <w:szCs w:val="24"/>
        </w:rPr>
        <w:t xml:space="preserve">3511 · Si chiede la serie, mai la persona.</w:t>
      </w:r>
      <w:r>
        <w:rPr>
          <w:rFonts w:ascii="Barlow Semi Condensed" w:cs="Barlow Semi Condensed" w:eastAsia="Barlow Semi Condensed" w:hAnsi="Barlow Semi Condensed"/>
          <w:sz w:val="24"/>
          <w:szCs w:val="24"/>
        </w:rPr>
        <w:t xml:space="preserve"> Si chiede la serie, mai la persona: la regola personalistica che il blocco 53 impone all'ufficio francese per i rifugiati vale a maggior ragione per un nome che nessun atto collega a quella materia. Nessuna istanza di questa serie chiederà mai un fascicolo nominativo all'OFPRA. Il perimetro della domanda si definisce prima della domanda, ed è questa la garanzia che rende la ricerca proponibile.</w:t>
      </w:r>
    </w:p>
    <w:p>
      <w:pPr>
        <w:spacing w:after="120" w:line="276"/>
        <w:jc w:val="both"/>
      </w:pPr>
      <w:r>
        <w:rPr>
          <w:rFonts w:ascii="Barlow Semi Condensed" w:cs="Barlow Semi Condensed" w:eastAsia="Barlow Semi Condensed" w:hAnsi="Barlow Semi Condensed"/>
          <w:b/>
          <w:bCs/>
          <w:sz w:val="24"/>
          <w:szCs w:val="24"/>
        </w:rPr>
        <w:t xml:space="preserve">3512 · CADA, gemella francese dell'ICO.</w:t>
      </w:r>
      <w:r>
        <w:rPr>
          <w:rFonts w:ascii="Barlow Semi Condensed" w:cs="Barlow Semi Condensed" w:eastAsia="Barlow Semi Condensed" w:hAnsi="Barlow Semi Condensed"/>
          <w:sz w:val="24"/>
          <w:szCs w:val="24"/>
        </w:rPr>
        <w:t xml:space="preserve"> Ogni diniego amministrativo francese apre la via alla Commission d'accès aux documents administratifs, come stabilisce il blocco 54, gemello del 13 britannico. Il parallelismo va sfruttato in modo comparativo: le stesse domande poste ai due sistemi producono due risposte, e la differenza fra i due dinieghi dice quale amministrazione consideri ancora sensibile la materia. È un dato sulla materia, non sulla persona.</w:t>
      </w:r>
    </w:p>
    <w:p>
      <w:pPr>
        <w:spacing w:after="120" w:line="276"/>
        <w:jc w:val="both"/>
      </w:pPr>
      <w:r>
        <w:rPr>
          <w:rFonts w:ascii="Barlow Semi Condensed" w:cs="Barlow Semi Condensed" w:eastAsia="Barlow Semi Condensed" w:hAnsi="Barlow Semi Condensed"/>
          <w:b/>
          <w:bCs/>
          <w:sz w:val="24"/>
          <w:szCs w:val="24"/>
        </w:rPr>
        <w:t xml:space="preserve">3513 · Il rovescio italiano del cantiere.</w:t>
      </w:r>
      <w:r>
        <w:rPr>
          <w:rFonts w:ascii="Barlow Semi Condensed" w:cs="Barlow Semi Condensed" w:eastAsia="Barlow Semi Condensed" w:hAnsi="Barlow Semi Condensed"/>
          <w:sz w:val="24"/>
          <w:szCs w:val="24"/>
        </w:rPr>
        <w:t xml:space="preserve"> Il rovescio del cantiere sta a Roma: il blocco 55 chiede all'Archivio storico diplomatico della Farnesina le carte dell'ambasciata d'Italia a Parigi e dei consolati. Applicazione: che cosa Roma riferiva a Parigi delle proprie relazioni atlantiche negli anni 1974-1976, e con quali parole. Una carta italiana che riferisca una comunicazione americana vale come indizio di provenienza, da controllare poi a Washington.</w:t>
      </w:r>
    </w:p>
    <w:p>
      <w:pPr>
        <w:spacing w:after="120" w:line="276"/>
        <w:jc w:val="both"/>
      </w:pPr>
      <w:r>
        <w:rPr>
          <w:rFonts w:ascii="Barlow Semi Condensed" w:cs="Barlow Semi Condensed" w:eastAsia="Barlow Semi Condensed" w:hAnsi="Barlow Semi Condensed"/>
          <w:b/>
          <w:bCs/>
          <w:sz w:val="24"/>
          <w:szCs w:val="24"/>
        </w:rPr>
        <w:t xml:space="preserve">3514 · Le Monde, e il processo del 1982.</w:t>
      </w:r>
      <w:r>
        <w:rPr>
          <w:rFonts w:ascii="Barlow Semi Condensed" w:cs="Barlow Semi Condensed" w:eastAsia="Barlow Semi Condensed" w:hAnsi="Barlow Semi Condensed"/>
          <w:sz w:val="24"/>
          <w:szCs w:val="24"/>
        </w:rPr>
        <w:t xml:space="preserve"> Nel novembre 1982 la Corte d'assise di Roma raccolse la testimonianza de relato che collocò il nome. Bersaglio aggiunto al blocco 56, che apre gli archivi di Le Monde, Libération e Le Figaro: la stampa francese ne riferì allora? In caso affermativo la circolazione dell'episodio precede di quarantun anni il lancio d'agenzia del 30 novembre 2023, e la moltiplicazione apparente va rimisurata su quella data.</w:t>
      </w:r>
    </w:p>
    <w:p>
      <w:pPr>
        <w:spacing w:after="120" w:line="276"/>
        <w:jc w:val="both"/>
      </w:pPr>
      <w:r>
        <w:rPr>
          <w:rFonts w:ascii="Barlow Semi Condensed" w:cs="Barlow Semi Condensed" w:eastAsia="Barlow Semi Condensed" w:hAnsi="Barlow Semi Condensed"/>
          <w:b/>
          <w:bCs/>
          <w:sz w:val="24"/>
          <w:szCs w:val="24"/>
        </w:rPr>
        <w:t xml:space="preserve">3515 · Rambouillet e Porto Rico, fuori perimetro.</w:t>
      </w:r>
      <w:r>
        <w:rPr>
          <w:rFonts w:ascii="Barlow Semi Condensed" w:cs="Barlow Semi Condensed" w:eastAsia="Barlow Semi Condensed" w:hAnsi="Barlow Semi Condensed"/>
          <w:sz w:val="24"/>
          <w:szCs w:val="24"/>
        </w:rPr>
        <w:t xml:space="preserve"> Emendamento al blocco 60, che chiede le carte dei vertici bilaterali e comunitari del 1978, coi consigli europei e il G7 di Bonn del luglio 1978: il bersaglio va esteso ai due vertici del 1975 e del 1976, gli unici in cui il presidente del Consiglio italiano e il Segretario di Stato americano furono contemporaneamente in carica. Fuori da quel biennio il quesito non ha oggetto.</w:t>
      </w:r>
    </w:p>
    <w:p>
      <w:pPr>
        <w:spacing w:after="120" w:line="276"/>
        <w:jc w:val="both"/>
      </w:pPr>
      <w:r>
        <w:rPr>
          <w:rFonts w:ascii="Barlow Semi Condensed" w:cs="Barlow Semi Condensed" w:eastAsia="Barlow Semi Condensed" w:hAnsi="Barlow Semi Condensed"/>
          <w:b/>
          <w:bCs/>
          <w:sz w:val="24"/>
          <w:szCs w:val="24"/>
        </w:rPr>
        <w:t xml:space="preserve">3516 · TREVI, e la questione della presenza.</w:t>
      </w:r>
      <w:r>
        <w:rPr>
          <w:rFonts w:ascii="Barlow Semi Condensed" w:cs="Barlow Semi Condensed" w:eastAsia="Barlow Semi Condensed" w:hAnsi="Barlow Semi Condensed"/>
          <w:sz w:val="24"/>
          <w:szCs w:val="24"/>
        </w:rPr>
        <w:t xml:space="preserve"> TREVI opera dal 1976, e i blocchi 61 e 99 ne chiedono le carte a Parigi e a Bonn. Quesito tecnico da porre a entrambi gli archivi: la cooperazione europea antiterrorismo del periodo prevedeva una presenza americana, e in quale forma? La risposta documentata delimita un'intera famiglia di congetture. Se dalle carte non risulta, si scrive che non risulta e si elencano i fascicoli letti.</w:t>
      </w:r>
    </w:p>
    <w:p>
      <w:pPr>
        <w:spacing w:after="120" w:line="276"/>
        <w:jc w:val="both"/>
      </w:pPr>
      <w:r>
        <w:rPr>
          <w:rFonts w:ascii="Barlow Semi Condensed" w:cs="Barlow Semi Condensed" w:eastAsia="Barlow Semi Condensed" w:hAnsi="Barlow Semi Condensed"/>
          <w:b/>
          <w:bCs/>
          <w:sz w:val="24"/>
          <w:szCs w:val="24"/>
        </w:rPr>
        <w:t xml:space="preserve">3517 · Il nome come metonimia, nei glossari.</w:t>
      </w:r>
      <w:r>
        <w:rPr>
          <w:rFonts w:ascii="Barlow Semi Condensed" w:cs="Barlow Semi Condensed" w:eastAsia="Barlow Semi Condensed" w:hAnsi="Barlow Semi Condensed"/>
          <w:sz w:val="24"/>
          <w:szCs w:val="24"/>
        </w:rPr>
        <w:t xml:space="preserve"> Nei tre glossari che i blocchi 29, 64 e 112 prescrivono per Londra, Parigi e Bonn si porta un bersaglio filologico proprio di questa serie: il cognome vi compare mai come metonimia della politica americana piuttosto che come persona? L'uso metonimico è un fatto linguistico e non un fatto politico, ma la data della sua comparsa misura quando la percezione alleata si fissò.</w:t>
      </w:r>
    </w:p>
    <w:p>
      <w:pPr>
        <w:spacing w:after="120" w:line="276"/>
        <w:jc w:val="both"/>
      </w:pPr>
      <w:r>
        <w:rPr>
          <w:rFonts w:ascii="Barlow Semi Condensed" w:cs="Barlow Semi Condensed" w:eastAsia="Barlow Semi Condensed" w:hAnsi="Barlow Semi Condensed"/>
          <w:b/>
          <w:bCs/>
          <w:sz w:val="24"/>
          <w:szCs w:val="24"/>
        </w:rPr>
        <w:t xml:space="preserve">3518 · INA, e le teche di Francia.</w:t>
      </w:r>
      <w:r>
        <w:rPr>
          <w:rFonts w:ascii="Barlow Semi Condensed" w:cs="Barlow Semi Condensed" w:eastAsia="Barlow Semi Condensed" w:hAnsi="Barlow Semi Condensed"/>
          <w:sz w:val="24"/>
          <w:szCs w:val="24"/>
        </w:rPr>
        <w:t xml:space="preserve"> Le teche dell'audiovisivo pubblico francese, che il blocco 68 apre per i cinquantacinque giorni, si interrogano per catalogo: interviste, dichiarazioni o servizi in cui il nome sia pronunciato a proposito dell'Italia, con data di messa in onda. Una dichiarazione televisiva rilasciata da privato cittadino resta piano 1 su ciò che egli disse, e nulla di più: la fonte è sé stesso, il fatto è il dire.</w:t>
      </w:r>
    </w:p>
    <w:p>
      <w:pPr>
        <w:spacing w:after="120" w:line="276"/>
        <w:jc w:val="both"/>
      </w:pPr>
      <w:r>
        <w:rPr>
          <w:rFonts w:ascii="Barlow Semi Condensed" w:cs="Barlow Semi Condensed" w:eastAsia="Barlow Semi Condensed" w:hAnsi="Barlow Semi Condensed"/>
          <w:b/>
          <w:bCs/>
          <w:sz w:val="24"/>
          <w:szCs w:val="24"/>
        </w:rPr>
        <w:t xml:space="preserve">3519 · Le celle che solo Parigi chiuderebbe.</w:t>
      </w:r>
      <w:r>
        <w:rPr>
          <w:rFonts w:ascii="Barlow Semi Condensed" w:cs="Barlow Semi Condensed" w:eastAsia="Barlow Semi Condensed" w:hAnsi="Barlow Semi Condensed"/>
          <w:sz w:val="24"/>
          <w:szCs w:val="24"/>
        </w:rPr>
        <w:t xml:space="preserve"> Quali celle delle matrici ACH del corpus può riempire soltanto un documento francese? Il blocco 75 chiede la formulazione esplicita, e la risposta di questa serie è negativa e va scritta: su questo nome, nessuna. L'episodio contestato è bilaterale, romano-washingtoniano, e gli archivi francesi ne darebbero al massimo un'eco terza, che resta piano 2. La trasferta parigina si giustifica su altri capitoli.</w:t>
      </w:r>
    </w:p>
    <w:p>
      <w:pPr>
        <w:spacing w:after="120" w:line="276"/>
        <w:jc w:val="both"/>
      </w:pPr>
      <w:r>
        <w:rPr>
          <w:rFonts w:ascii="Barlow Semi Condensed" w:cs="Barlow Semi Condensed" w:eastAsia="Barlow Semi Condensed" w:hAnsi="Barlow Semi Condensed"/>
          <w:b/>
          <w:bCs/>
          <w:sz w:val="24"/>
          <w:szCs w:val="24"/>
        </w:rPr>
        <w:t xml:space="preserve">3520 · Firenze, sede terza del cantiere.</w:t>
      </w:r>
      <w:r>
        <w:rPr>
          <w:rFonts w:ascii="Barlow Semi Condensed" w:cs="Barlow Semi Condensed" w:eastAsia="Barlow Semi Condensed" w:hAnsi="Barlow Semi Condensed"/>
          <w:sz w:val="24"/>
          <w:szCs w:val="24"/>
        </w:rPr>
        <w:t xml:space="preserve"> Agli Archivi storici dell'Unione europea, a Firenze, il blocco 76 manda a cercare le carte della cooperazione europea del 1978. Bersaglio proprio: i fondi personali di uomini politici europei ivi depositati, dove un carteggio privato conserva talvolta ciò che nessuna cancelleria protocollò. La geografia degli archivi non segue quella politica, avverte il territorio: un documento francese decisivo può giacere in Toscana.</w:t>
      </w:r>
    </w:p>
    <w:p>
      <w:pPr>
        <w:spacing w:after="120" w:line="276"/>
        <w:jc w:val="both"/>
      </w:pPr>
      <w:r>
        <w:rPr>
          <w:rFonts w:ascii="Barlow Semi Condensed" w:cs="Barlow Semi Condensed" w:eastAsia="Barlow Semi Condensed" w:hAnsi="Barlow Semi Condensed"/>
          <w:b/>
          <w:bCs/>
          <w:sz w:val="24"/>
          <w:szCs w:val="24"/>
        </w:rPr>
        <w:t xml:space="preserve">3521 · Vuoti francesi, con le loro date.</w:t>
      </w:r>
      <w:r>
        <w:rPr>
          <w:rFonts w:ascii="Barlow Semi Condensed" w:cs="Barlow Semi Condensed" w:eastAsia="Barlow Semi Condensed" w:hAnsi="Barlow Semi Condensed"/>
          <w:sz w:val="24"/>
          <w:szCs w:val="24"/>
        </w:rPr>
        <w:t xml:space="preserve"> Una tabella di assenze datate è il prodotto francese atteso da questa serie, secondo i blocchi 71 e 77: serie senza il nome, deroghe negate, termini di comunicabilità che maturano. La colonna delle date distingue uno Stato Zero da una rinuncia, e va compilata anche quando la ricerca si è fermata al primo inventario. Senza date, l'assenza non è verbalizzabile e va rifatta.</w:t>
      </w:r>
    </w:p>
    <w:p>
      <w:pPr>
        <w:spacing w:after="120" w:line="276"/>
        <w:jc w:val="both"/>
      </w:pPr>
      <w:r>
        <w:rPr>
          <w:rFonts w:ascii="Barlow Semi Condensed" w:cs="Barlow Semi Condensed" w:eastAsia="Barlow Semi Condensed" w:hAnsi="Barlow Semi Condensed"/>
          <w:b/>
          <w:bCs/>
          <w:sz w:val="24"/>
          <w:szCs w:val="24"/>
        </w:rPr>
        <w:t xml:space="preserve">3522 · Berlino, e la trentennale già scaduta.</w:t>
      </w:r>
      <w:r>
        <w:rPr>
          <w:rFonts w:ascii="Barlow Semi Condensed" w:cs="Barlow Semi Condensed" w:eastAsia="Barlow Semi Condensed" w:hAnsi="Barlow Semi Condensed"/>
          <w:sz w:val="24"/>
          <w:szCs w:val="24"/>
        </w:rPr>
        <w:t xml:space="preserve"> Berlino apre per trentennale: il blocco 81 accerta che il Politisches Archiv dell'Auswärtiges Amt rende consultabili le carte diplomatiche del 1977-1978. Corollario aritmetico a favore di questa serie: quelle del 1974, 1975 e 1976, gli anni della carica, sono aperte da più tempo ancora. I fascicoli del Länderreferat Italia per quel triennio sono il primo scaffale tedesco da chiedere, e nessuno li ha spogliati così.</w:t>
      </w:r>
    </w:p>
    <w:p>
      <w:pPr>
        <w:spacing w:after="120" w:line="276"/>
        <w:jc w:val="both"/>
      </w:pPr>
      <w:r>
        <w:rPr>
          <w:rFonts w:ascii="Barlow Semi Condensed" w:cs="Barlow Semi Condensed" w:eastAsia="Barlow Semi Condensed" w:hAnsi="Barlow Semi Condensed"/>
          <w:b/>
          <w:bCs/>
          <w:sz w:val="24"/>
          <w:szCs w:val="24"/>
        </w:rPr>
        <w:t xml:space="preserve">3523 · AAPD, i volumi che nessuno chiede.</w:t>
      </w:r>
      <w:r>
        <w:rPr>
          <w:rFonts w:ascii="Barlow Semi Condensed" w:cs="Barlow Semi Condensed" w:eastAsia="Barlow Semi Condensed" w:hAnsi="Barlow Semi Condensed"/>
          <w:sz w:val="24"/>
          <w:szCs w:val="24"/>
        </w:rPr>
        <w:t xml:space="preserve"> L'edizione «Akten zur Auswärtigen Politik der Bundesrepublik Deutschland» per il 1978, verificata dal blocco 82 in due tomi per oltre duemilacento pagine, esiste anche per gli anni precedenti, e sono quelli utili: 1974, 1975, 1976. Lo spoglio dei loro indici onomastici è la verifica tedesca a costo più basso di tutte, e va compiuta prima di ogni richiesta al Politisches Archiv.</w:t>
      </w:r>
    </w:p>
    <w:p>
      <w:pPr>
        <w:spacing w:after="120" w:line="276"/>
        <w:jc w:val="both"/>
      </w:pPr>
      <w:r>
        <w:rPr>
          <w:rFonts w:ascii="Barlow Semi Condensed" w:cs="Barlow Semi Condensed" w:eastAsia="Barlow Semi Condensed" w:hAnsi="Barlow Semi Condensed"/>
          <w:b/>
          <w:bCs/>
          <w:sz w:val="24"/>
          <w:szCs w:val="24"/>
        </w:rPr>
        <w:t xml:space="preserve">3524 · Oltre l'edito, il fascicolo intero.</w:t>
      </w:r>
      <w:r>
        <w:rPr>
          <w:rFonts w:ascii="Barlow Semi Condensed" w:cs="Barlow Semi Condensed" w:eastAsia="Barlow Semi Condensed" w:hAnsi="Barlow Semi Condensed"/>
          <w:sz w:val="24"/>
          <w:szCs w:val="24"/>
        </w:rPr>
        <w:t xml:space="preserve"> Un'assenza dagli indici a stampa non è un'assenza dall'archivio: lo impone il blocco 83, per cui l'edizione pubblica una selezione mentre il fascicolo integrale resta in sede, e per ogni documento edito rilevante si chiede la busta d'origine. Lo Stato Zero tedesco su questo nome potrà dunque essere dichiarato solo dopo la richiesta del fascicolo, mai dopo la sola lettura dei volumi.</w:t>
      </w:r>
    </w:p>
    <w:p>
      <w:pPr>
        <w:spacing w:after="120" w:line="276"/>
        <w:jc w:val="both"/>
      </w:pPr>
      <w:r>
        <w:rPr>
          <w:rFonts w:ascii="Barlow Semi Condensed" w:cs="Barlow Semi Condensed" w:eastAsia="Barlow Semi Condensed" w:hAnsi="Barlow Semi Condensed"/>
          <w:b/>
          <w:bCs/>
          <w:sz w:val="24"/>
          <w:szCs w:val="24"/>
        </w:rPr>
        <w:t xml:space="preserve">3525 · L'ambasciata federale, negli anni della carica.</w:t>
      </w:r>
      <w:r>
        <w:rPr>
          <w:rFonts w:ascii="Barlow Semi Condensed" w:cs="Barlow Semi Condensed" w:eastAsia="Barlow Semi Condensed" w:hAnsi="Barlow Semi Condensed"/>
          <w:sz w:val="24"/>
          <w:szCs w:val="24"/>
        </w:rPr>
        <w:t xml:space="preserve"> Anche per Bonn l'estensione utile è il triennio 1974-1976, mentre il blocco 84 chiede i carteggi dell'ambasciata della Repubblica federale a Roma per i cinquantacinque giorni. Che cosa registrò la sede della relazione fra governo italiano e amministrazione americana, e da quali fonti. Quattro sequenze faranno una tavola, dice il territorio, ma la tavola del 1978 non può contenere un uomo uscito di carica nel gennaio 1977.</w:t>
      </w:r>
    </w:p>
    <w:p>
      <w:pPr>
        <w:spacing w:after="120" w:line="276"/>
        <w:jc w:val="both"/>
      </w:pPr>
      <w:r>
        <w:rPr>
          <w:rFonts w:ascii="Barlow Semi Condensed" w:cs="Barlow Semi Condensed" w:eastAsia="Barlow Semi Condensed" w:hAnsi="Barlow Semi Condensed"/>
          <w:b/>
          <w:bCs/>
          <w:sz w:val="24"/>
          <w:szCs w:val="24"/>
        </w:rPr>
        <w:t xml:space="preserve">3526 · Schleyer, e il calendario che esclude.</w:t>
      </w:r>
      <w:r>
        <w:rPr>
          <w:rFonts w:ascii="Barlow Semi Condensed" w:cs="Barlow Semi Condensed" w:eastAsia="Barlow Semi Condensed" w:hAnsi="Barlow Semi Condensed"/>
          <w:sz w:val="24"/>
          <w:szCs w:val="24"/>
        </w:rPr>
        <w:t xml:space="preserve"> Il caso Schleyer, 5 settembre-18 ottobre 1977, entra col blocco 85 come giacimento comparativo, coi Kabinettsprotokolle del 1977 editi online dal Bundesarchiv. Accertamento cronologico che chiude il capitolo per questa serie: la crisi tedesca comincia otto mesi dopo la fine dell'ultima carica. Ogni contatto americano ivi documentato riguarda l'amministrazione allora in servizio. Si registra come esclusione datata, non come mancanza di ricerca.</w:t>
      </w:r>
    </w:p>
    <w:p>
      <w:pPr>
        <w:spacing w:after="120" w:line="276"/>
        <w:jc w:val="both"/>
      </w:pPr>
      <w:r>
        <w:rPr>
          <w:rFonts w:ascii="Barlow Semi Condensed" w:cs="Barlow Semi Condensed" w:eastAsia="Barlow Semi Condensed" w:hAnsi="Barlow Semi Condensed"/>
          <w:b/>
          <w:bCs/>
          <w:sz w:val="24"/>
          <w:szCs w:val="24"/>
        </w:rPr>
        <w:t xml:space="preserve">3527 · Il Krisenstab, e il pendente a calendario.</w:t>
      </w:r>
      <w:r>
        <w:rPr>
          <w:rFonts w:ascii="Barlow Semi Condensed" w:cs="Barlow Semi Condensed" w:eastAsia="Barlow Semi Condensed" w:hAnsi="Barlow Semi Condensed"/>
          <w:sz w:val="24"/>
          <w:szCs w:val="24"/>
        </w:rPr>
        <w:t xml:space="preserve"> I protocolli integrali del Großer Krisenstab della cancelleria restano in parte inaccessibili dopo un contenzioso salito fino al Bundesverwaltungsgericht, e risultano richieste documentate via legge sulla trasparenza: così il blocco 86. Per questa triangolazione il pendente non promette nulla, perché il perimetro temporale lo esclude. Si censisce comunque, perché il territorio impone di mettere a calendario il pendente anche quando non serve la propria domanda.</w:t>
      </w:r>
    </w:p>
    <w:p>
      <w:pPr>
        <w:spacing w:after="120" w:line="276"/>
        <w:jc w:val="both"/>
      </w:pPr>
      <w:r>
        <w:rPr>
          <w:rFonts w:ascii="Barlow Semi Condensed" w:cs="Barlow Semi Condensed" w:eastAsia="Barlow Semi Condensed" w:hAnsi="Barlow Semi Condensed"/>
          <w:b/>
          <w:bCs/>
          <w:sz w:val="24"/>
          <w:szCs w:val="24"/>
        </w:rPr>
        <w:t xml:space="preserve">3528 · B 106, e la cooperazione di polizia.</w:t>
      </w:r>
      <w:r>
        <w:rPr>
          <w:rFonts w:ascii="Barlow Semi Condensed" w:cs="Barlow Semi Condensed" w:eastAsia="Barlow Semi Condensed" w:hAnsi="Barlow Semi Condensed"/>
          <w:sz w:val="24"/>
          <w:szCs w:val="24"/>
        </w:rPr>
        <w:t xml:space="preserve"> Il fondo B 106 del ministero dell'Interno federale al Bundesarchiv, che il blocco 87 apre per l'antiterrorismo e la cooperazione internazionale del 1977-1978, va interrogato su una domanda preliminare: quelle serie cominciano prima? Se coprono anche il triennio 1974-1976, vi si cerca traccia di canali informativi transatlantici sull'Italia. La richiesta si formula sulla serie e sugli anni, mai su un nome: così rispondono gli archivi.</w:t>
      </w:r>
    </w:p>
    <w:p>
      <w:pPr>
        <w:spacing w:after="120" w:line="276"/>
        <w:jc w:val="both"/>
      </w:pPr>
      <w:r>
        <w:rPr>
          <w:rFonts w:ascii="Barlow Semi Condensed" w:cs="Barlow Semi Condensed" w:eastAsia="Barlow Semi Condensed" w:hAnsi="Barlow Semi Condensed"/>
          <w:b/>
          <w:bCs/>
          <w:sz w:val="24"/>
          <w:szCs w:val="24"/>
        </w:rPr>
        <w:t xml:space="preserve">3529 · La circolazione non è l'origine.</w:t>
      </w:r>
      <w:r>
        <w:rPr>
          <w:rFonts w:ascii="Barlow Semi Condensed" w:cs="Barlow Semi Condensed" w:eastAsia="Barlow Semi Condensed" w:hAnsi="Barlow Semi Condensed"/>
          <w:sz w:val="24"/>
          <w:szCs w:val="24"/>
        </w:rPr>
        <w:t xml:space="preserve"> Un fascicolo di polizia che riporti una valutazione politica straniera documenta la circolazione di quella valutazione dentro un apparato, non la sua origine: è la regola di lettura da applicare alle carte della Bundeskriminalamt che il blocco 88 richiede. Il grado si assegna alla circolazione. L'origine si accerta solo risalendo al documento emittente, e quel documento sta in un altro paese e in un'altra serie.</w:t>
      </w:r>
    </w:p>
    <w:p>
      <w:pPr>
        <w:spacing w:after="120" w:line="276"/>
        <w:jc w:val="both"/>
      </w:pPr>
      <w:r>
        <w:rPr>
          <w:rFonts w:ascii="Barlow Semi Condensed" w:cs="Barlow Semi Condensed" w:eastAsia="Barlow Semi Condensed" w:hAnsi="Barlow Semi Condensed"/>
          <w:b/>
          <w:bCs/>
          <w:sz w:val="24"/>
          <w:szCs w:val="24"/>
        </w:rPr>
        <w:t xml:space="preserve">3530 · I verbali del governo federale.</w:t>
      </w:r>
      <w:r>
        <w:rPr>
          <w:rFonts w:ascii="Barlow Semi Condensed" w:cs="Barlow Semi Condensed" w:eastAsia="Barlow Semi Condensed" w:hAnsi="Barlow Semi Condensed"/>
          <w:sz w:val="24"/>
          <w:szCs w:val="24"/>
        </w:rPr>
        <w:t xml:space="preserve"> I verbali del consiglio dei ministri federale sono in linea nell'edizione scientifica curata dal Bundesarchiv e coprono il 1978, come il blocco 89 accerta. Bersaglio adiacente: le annate 1974-1976 della stessa edizione, interrogabili con la medesima facilità. Se il governo di Bonn discusse l'ipotesi comunista italiana in quegli anni, il verbale lo dice a stampa, con data e parole. È la verifica tedesca più rapida disponibile.</w:t>
      </w:r>
    </w:p>
    <w:p>
      <w:pPr>
        <w:spacing w:after="120" w:line="276"/>
        <w:jc w:val="both"/>
      </w:pPr>
      <w:r>
        <w:rPr>
          <w:rFonts w:ascii="Barlow Semi Condensed" w:cs="Barlow Semi Condensed" w:eastAsia="Barlow Semi Condensed" w:hAnsi="Barlow Semi Condensed"/>
          <w:b/>
          <w:bCs/>
          <w:sz w:val="24"/>
          <w:szCs w:val="24"/>
        </w:rPr>
        <w:t xml:space="preserve">3531 · Schmidt, e il canale di vertice.</w:t>
      </w:r>
      <w:r>
        <w:rPr>
          <w:rFonts w:ascii="Barlow Semi Condensed" w:cs="Barlow Semi Condensed" w:eastAsia="Barlow Semi Condensed" w:hAnsi="Barlow Semi Condensed"/>
          <w:sz w:val="24"/>
          <w:szCs w:val="24"/>
        </w:rPr>
        <w:t xml:space="preserve"> Il canale di vertice fra Bonn e Washington esisteva prima del 1978, e prima è il periodo utile, mentre il blocco 90 chiede le carte della cancelleria sui colloqui Schmidt-Andreotti dei cinquantacinque giorni. Accertamento preliminare delle serie aperte e dei loro vincoli, con il deposito personale del cancelliere presso l'archivio della socialdemocrazia come sede parallela da censire. Nessuna ipotesi prima dell'inventario.</w:t>
      </w:r>
    </w:p>
    <w:p>
      <w:pPr>
        <w:spacing w:after="120" w:line="276"/>
        <w:jc w:val="both"/>
      </w:pPr>
      <w:r>
        <w:rPr>
          <w:rFonts w:ascii="Barlow Semi Condensed" w:cs="Barlow Semi Condensed" w:eastAsia="Barlow Semi Condensed" w:hAnsi="Barlow Semi Condensed"/>
          <w:b/>
          <w:bCs/>
          <w:sz w:val="24"/>
          <w:szCs w:val="24"/>
        </w:rPr>
        <w:t xml:space="preserve">3532 · Le carte dell'altra Germania.</w:t>
      </w:r>
      <w:r>
        <w:rPr>
          <w:rFonts w:ascii="Barlow Semi Condensed" w:cs="Barlow Semi Condensed" w:eastAsia="Barlow Semi Condensed" w:hAnsi="Barlow Semi Condensed"/>
          <w:sz w:val="24"/>
          <w:szCs w:val="24"/>
        </w:rPr>
        <w:t xml:space="preserve"> Dal 17 giugno 2021 lo Stasi-Unterlagen-Archiv è parte del Bundesarchiv, con oltre centoundici chilometri di atti e materiale su terrorismo italiano e caso Moro già esplorato dagli studi di Gianluca Falanga: così il blocco 91. Quesito: quelle carte contengono materiale su questo nome? La risposta è verosimilmente affermativa in astratto e priva di valore probatorio in concreto, per la ragione che segue.</w:t>
      </w:r>
    </w:p>
    <w:p>
      <w:pPr>
        <w:spacing w:after="120" w:line="276"/>
        <w:jc w:val="both"/>
      </w:pPr>
      <w:r>
        <w:rPr>
          <w:rFonts w:ascii="Barlow Semi Condensed" w:cs="Barlow Semi Condensed" w:eastAsia="Barlow Semi Condensed" w:hAnsi="Barlow Semi Condensed"/>
          <w:b/>
          <w:bCs/>
          <w:sz w:val="24"/>
          <w:szCs w:val="24"/>
        </w:rPr>
        <w:t xml:space="preserve">3533 · Un servizio ostile riferisce coi propri fini.</w:t>
      </w:r>
      <w:r>
        <w:rPr>
          <w:rFonts w:ascii="Barlow Semi Condensed" w:cs="Barlow Semi Condensed" w:eastAsia="Barlow Semi Condensed" w:hAnsi="Barlow Semi Condensed"/>
          <w:sz w:val="24"/>
          <w:szCs w:val="24"/>
        </w:rPr>
        <w:t xml:space="preserve"> Doppia cautela per ogni carta di provenienza orientale, prescrive il blocco 92: F sull'esistenza del documento, C sul contenuto, e mai da sola a fondamento di alcunché. Applicata a questo nome la regola è dirimente, perché un dossier della HVA che gli attribuisse iniziative italiane documenterebbe la costruzione di un avversario, non un'iniziativa. Il valore del giacimento orientale è comparativo e di riscontro.</w:t>
      </w:r>
    </w:p>
    <w:p>
      <w:pPr>
        <w:spacing w:after="120" w:line="276"/>
        <w:jc w:val="both"/>
      </w:pPr>
      <w:r>
        <w:rPr>
          <w:rFonts w:ascii="Barlow Semi Condensed" w:cs="Barlow Semi Condensed" w:eastAsia="Barlow Semi Condensed" w:hAnsi="Barlow Semi Condensed"/>
          <w:b/>
          <w:bCs/>
          <w:sz w:val="24"/>
          <w:szCs w:val="24"/>
        </w:rPr>
        <w:t xml:space="preserve">3534 · Monaco, e la mappa di scavo.</w:t>
      </w:r>
      <w:r>
        <w:rPr>
          <w:rFonts w:ascii="Barlow Semi Condensed" w:cs="Barlow Semi Condensed" w:eastAsia="Barlow Semi Condensed" w:hAnsi="Barlow Semi Condensed"/>
          <w:sz w:val="24"/>
          <w:szCs w:val="24"/>
        </w:rPr>
        <w:t xml:space="preserve"> L'Institut für Zeitgeschichte ha già studiato Stato e terrorismo in Italia fra il 1969 e il 1982, e il blocco 93 ne eredita le coordinate come mappa di scavo. Verifica preliminare da compiere in biblioteca: le tavole delle fonti primarie di quel progetto e della storiografia tedesca sul caso contengono documenti che nominino l'ex Segretario di Stato a proposito italiano? L'esito orienta la campagna.</w:t>
      </w:r>
    </w:p>
    <w:p>
      <w:pPr>
        <w:spacing w:after="120" w:line="276"/>
        <w:jc w:val="both"/>
      </w:pPr>
      <w:r>
        <w:rPr>
          <w:rFonts w:ascii="Barlow Semi Condensed" w:cs="Barlow Semi Condensed" w:eastAsia="Barlow Semi Condensed" w:hAnsi="Barlow Semi Condensed"/>
          <w:b/>
          <w:bCs/>
          <w:sz w:val="24"/>
          <w:szCs w:val="24"/>
        </w:rPr>
        <w:t xml:space="preserve">3535 · Due sequestri, due governi, nessun ponte.</w:t>
      </w:r>
      <w:r>
        <w:rPr>
          <w:rFonts w:ascii="Barlow Semi Condensed" w:cs="Barlow Semi Condensed" w:eastAsia="Barlow Semi Condensed" w:hAnsi="Barlow Semi Condensed"/>
          <w:sz w:val="24"/>
          <w:szCs w:val="24"/>
        </w:rPr>
        <w:t xml:space="preserve"> Due sequestri gestiti in modo opposto danno il dossier comparativo Schleyer-Moro che il blocco 94 costruisce dalle carte dei due paesi, senza tesi precostituita. Avvertenza propria di questa serie: la somiglianza delle due fermezze è omologia da dimostrare, non prova di un modello trasmesso. Nessun documento noto lega le due decisioni a una fonte comune. Il comparatismo produce tavole di scelte, non genealogie di volontà.</w:t>
      </w:r>
    </w:p>
    <w:p>
      <w:pPr>
        <w:spacing w:after="120" w:line="276"/>
        <w:jc w:val="both"/>
      </w:pPr>
      <w:r>
        <w:rPr>
          <w:rFonts w:ascii="Barlow Semi Condensed" w:cs="Barlow Semi Condensed" w:eastAsia="Barlow Semi Condensed" w:hAnsi="Barlow Semi Condensed"/>
          <w:b/>
          <w:bCs/>
          <w:sz w:val="24"/>
          <w:szCs w:val="24"/>
        </w:rPr>
        <w:t xml:space="preserve">3536 · Il quarto specchio dello statista.</w:t>
      </w:r>
      <w:r>
        <w:rPr>
          <w:rFonts w:ascii="Barlow Semi Condensed" w:cs="Barlow Semi Condensed" w:eastAsia="Barlow Semi Condensed" w:hAnsi="Barlow Semi Condensed"/>
          <w:sz w:val="24"/>
          <w:szCs w:val="24"/>
        </w:rPr>
        <w:t xml:space="preserve"> Il ritratto diplomatico tedesco di Moro, coi giudizi dell'Auswärtiges Amt e i colloqui bilaterali, è la terza delle tre porte anteriori al 1978, e il blocco 97 la apre. Vi si porta una domanda sola: nei giudizi tedeschi sullo statista italiano compare mai il riferimento a pressioni americane su di lui, e con quale fonte dichiarata dal redattore del documento?</w:t>
      </w:r>
    </w:p>
    <w:p>
      <w:pPr>
        <w:spacing w:after="120" w:line="276"/>
        <w:jc w:val="both"/>
      </w:pPr>
      <w:r>
        <w:rPr>
          <w:rFonts w:ascii="Barlow Semi Condensed" w:cs="Barlow Semi Condensed" w:eastAsia="Barlow Semi Condensed" w:hAnsi="Barlow Semi Condensed"/>
          <w:b/>
          <w:bCs/>
          <w:sz w:val="24"/>
          <w:szCs w:val="24"/>
        </w:rPr>
        <w:t xml:space="preserve">3537 · Bonn, perno dell'equilibrio europeo.</w:t>
      </w:r>
      <w:r>
        <w:rPr>
          <w:rFonts w:ascii="Barlow Semi Condensed" w:cs="Barlow Semi Condensed" w:eastAsia="Barlow Semi Condensed" w:hAnsi="Barlow Semi Condensed"/>
          <w:sz w:val="24"/>
          <w:szCs w:val="24"/>
        </w:rPr>
        <w:t xml:space="preserve"> Perno economico dell'equilibrio europeo, dice il blocco 98 chiedendo le carte tedesche sugli aspetti atlantici del 1978 italiano. Estensione: negli anni 1974-1976 la Repubblica federale fu interlocutore finanziario dell'Italia in difficoltà. Quesito documentale: le condizioni politiche eventualmente discusse in quella sede risultano da verbali tedeschi? Il quesito riguarda una politica e non una persona, e va tenuto rigorosamente in quella forma.</w:t>
      </w:r>
    </w:p>
    <w:p>
      <w:pPr>
        <w:spacing w:after="120" w:line="276"/>
        <w:jc w:val="both"/>
      </w:pPr>
      <w:r>
        <w:rPr>
          <w:rFonts w:ascii="Barlow Semi Condensed" w:cs="Barlow Semi Condensed" w:eastAsia="Barlow Semi Condensed" w:hAnsi="Barlow Semi Condensed"/>
          <w:b/>
          <w:bCs/>
          <w:sz w:val="24"/>
          <w:szCs w:val="24"/>
        </w:rPr>
        <w:t xml:space="preserve">3538 · Lo Spiegel-Archiv, interrogabile per nome.</w:t>
      </w:r>
      <w:r>
        <w:rPr>
          <w:rFonts w:ascii="Barlow Semi Condensed" w:cs="Barlow Semi Condensed" w:eastAsia="Barlow Semi Condensed" w:hAnsi="Barlow Semi Condensed"/>
          <w:sz w:val="24"/>
          <w:szCs w:val="24"/>
        </w:rPr>
        <w:t xml:space="preserve"> Lo Spiegel-Archiv è un giacimento giornalistico strutturato, interrogabile e datato, che il blocco 100 affianca a Frankfurter Allgemeine e Zeit per i cinquantacinque giorni. Ricerca a costo minimo: le occorrenze del nome nelle annate 1978 e 1982-1983, per stabilire se e quando la stampa tedesca collegò quel nome al caso italiano. Le occorrenze si contano e si datano: la conta è il risultato.</w:t>
      </w:r>
    </w:p>
    <w:p>
      <w:pPr>
        <w:spacing w:after="120" w:line="276"/>
        <w:jc w:val="both"/>
      </w:pPr>
      <w:r>
        <w:rPr>
          <w:rFonts w:ascii="Barlow Semi Condensed" w:cs="Barlow Semi Condensed" w:eastAsia="Barlow Semi Condensed" w:hAnsi="Barlow Semi Condensed"/>
          <w:b/>
          <w:bCs/>
          <w:sz w:val="24"/>
          <w:szCs w:val="24"/>
        </w:rPr>
        <w:t xml:space="preserve">3539 · Memorie contro carte, in tedesco.</w:t>
      </w:r>
      <w:r>
        <w:rPr>
          <w:rFonts w:ascii="Barlow Semi Condensed" w:cs="Barlow Semi Condensed" w:eastAsia="Barlow Semi Condensed" w:hAnsi="Barlow Semi Condensed"/>
          <w:sz w:val="24"/>
          <w:szCs w:val="24"/>
        </w:rPr>
        <w:t xml:space="preserve"> Le pagine italiane e americane dei ricordi del cancelliere federale, confrontate coi verbali coevi della cancelleria, sono il bersaglio concreto che il blocco 102 offre alla collazione carte-memorie del blocco 170 dell'agenda. Ciò che il libro dice e il fascicolo non conferma si tabula, senza correggere né l'uno né l'altro. La tavola degli scarti è il prodotto, e vale anche quando risulta breve.</w:t>
      </w:r>
    </w:p>
    <w:p>
      <w:pPr>
        <w:spacing w:after="120" w:line="276"/>
        <w:jc w:val="both"/>
      </w:pPr>
      <w:r>
        <w:rPr>
          <w:rFonts w:ascii="Barlow Semi Condensed" w:cs="Barlow Semi Condensed" w:eastAsia="Barlow Semi Condensed" w:hAnsi="Barlow Semi Condensed"/>
          <w:b/>
          <w:bCs/>
          <w:sz w:val="24"/>
          <w:szCs w:val="24"/>
        </w:rPr>
        <w:t xml:space="preserve">3540 · I due archivi di partito.</w:t>
      </w:r>
      <w:r>
        <w:rPr>
          <w:rFonts w:ascii="Barlow Semi Condensed" w:cs="Barlow Semi Condensed" w:eastAsia="Barlow Semi Condensed" w:hAnsi="Barlow Semi Condensed"/>
          <w:sz w:val="24"/>
          <w:szCs w:val="24"/>
        </w:rPr>
        <w:t xml:space="preserve"> Gli archivi delle fondazioni politiche tedesche, coi carteggi verso i partiti italiani fratelli, sono il canale parallelo a quello diplomatico che il blocco 103 apre. Domanda propria: quei carteggi registrano valutazioni americane sull'ingresso comunista, e con quale attribuzione nominativa? Un carteggio di partito che citi una fonte per nome è un indizio di provenienza da inseguire fino al documento emittente, e non oltre.</w:t>
      </w:r>
    </w:p>
    <w:p>
      <w:pPr>
        <w:spacing w:after="120" w:line="276"/>
        <w:jc w:val="both"/>
      </w:pPr>
      <w:r>
        <w:rPr>
          <w:rFonts w:ascii="Barlow Semi Condensed" w:cs="Barlow Semi Condensed" w:eastAsia="Barlow Semi Condensed" w:hAnsi="Barlow Semi Condensed"/>
          <w:b/>
          <w:bCs/>
          <w:sz w:val="24"/>
          <w:szCs w:val="24"/>
        </w:rPr>
        <w:t xml:space="preserve">3541 · Dodis, e la via svizzera.</w:t>
      </w:r>
      <w:r>
        <w:rPr>
          <w:rFonts w:ascii="Barlow Semi Condensed" w:cs="Barlow Semi Condensed" w:eastAsia="Barlow Semi Condensed" w:hAnsi="Barlow Semi Condensed"/>
          <w:sz w:val="24"/>
          <w:szCs w:val="24"/>
        </w:rPr>
        <w:t xml:space="preserve"> Dodis pubblica online i documenti diplomatici svizzeri, in larga parte accessibili per la regola trentennale e ordinati in dossier tematici: è l'ancoraggio verificato del blocco 106. Verifica immediata e a distanza, senza trasferta: interrogazione della banca dati per il nome, incrociata con l'Italia e con gli anni 1974-1977. Berna è ordinata per vocazione, e una risposta esatta arriva in giornata, positiva o negativa.</w:t>
      </w:r>
    </w:p>
    <w:p>
      <w:pPr>
        <w:spacing w:after="120" w:line="276"/>
        <w:jc w:val="both"/>
      </w:pPr>
      <w:r>
        <w:rPr>
          <w:rFonts w:ascii="Barlow Semi Condensed" w:cs="Barlow Semi Condensed" w:eastAsia="Barlow Semi Condensed" w:hAnsi="Barlow Semi Condensed"/>
          <w:b/>
          <w:bCs/>
          <w:sz w:val="24"/>
          <w:szCs w:val="24"/>
        </w:rPr>
        <w:t xml:space="preserve">3542 · Vienna, e gli sportelli non bussati.</w:t>
      </w:r>
      <w:r>
        <w:rPr>
          <w:rFonts w:ascii="Barlow Semi Condensed" w:cs="Barlow Semi Condensed" w:eastAsia="Barlow Semi Condensed" w:hAnsi="Barlow Semi Condensed"/>
          <w:sz w:val="24"/>
          <w:szCs w:val="24"/>
        </w:rPr>
        <w:t xml:space="preserve"> Vienna e le capitali minori chiudono il blocco 106 con bersagli pochi e precisi, e vi si applica la regola che il blocco 30 enuncia per la Scozia e l'Irlanda del Nord: probabilità bassa, costo minimo, verbale comunque. Il cantiere non lascia sportelli non bussati, e per questa serie il verbale negativo di una capitale minore costa un'ora e chiude una coordinata.</w:t>
      </w:r>
    </w:p>
    <w:p>
      <w:pPr>
        <w:spacing w:after="120" w:line="276"/>
        <w:jc w:val="both"/>
      </w:pPr>
      <w:r>
        <w:rPr>
          <w:rFonts w:ascii="Barlow Semi Condensed" w:cs="Barlow Semi Condensed" w:eastAsia="Barlow Semi Condensed" w:hAnsi="Barlow Semi Condensed"/>
          <w:b/>
          <w:bCs/>
          <w:sz w:val="24"/>
          <w:szCs w:val="24"/>
        </w:rPr>
        <w:t xml:space="preserve">3543 · RAF e Brigate rosse, in forma ACH.</w:t>
      </w:r>
      <w:r>
        <w:rPr>
          <w:rFonts w:ascii="Barlow Semi Condensed" w:cs="Barlow Semi Condensed" w:eastAsia="Barlow Semi Condensed" w:hAnsi="Barlow Semi Condensed"/>
          <w:sz w:val="24"/>
          <w:szCs w:val="24"/>
        </w:rPr>
        <w:t xml:space="preserve"> In forma di analisi delle ipotesi concorrenti, con l'anello debole in funzione, il blocco 104 vuole scritto il quesito dei collegamenti fra terrorismo tedesco e italiano. Nessuna delle ipotesi censite passa per questo nome, e una sua eventuale introduzione andrebbe formulata come ipotesi autonoma con evidenza attesa dichiarata. Chi non dichiara che cosa cerca non può dire, dopo, di averlo trovato.</w:t>
      </w:r>
    </w:p>
    <w:p>
      <w:pPr>
        <w:spacing w:after="120" w:line="276"/>
        <w:jc w:val="both"/>
      </w:pPr>
      <w:r>
        <w:rPr>
          <w:rFonts w:ascii="Barlow Semi Condensed" w:cs="Barlow Semi Condensed" w:eastAsia="Barlow Semi Condensed" w:hAnsi="Barlow Semi Condensed"/>
          <w:b/>
          <w:bCs/>
          <w:sz w:val="24"/>
          <w:szCs w:val="24"/>
        </w:rPr>
        <w:t xml:space="preserve">3544 · Il giudiziario tedesco, più aperto.</w:t>
      </w:r>
      <w:r>
        <w:rPr>
          <w:rFonts w:ascii="Barlow Semi Condensed" w:cs="Barlow Semi Condensed" w:eastAsia="Barlow Semi Condensed" w:hAnsi="Barlow Semi Condensed"/>
          <w:sz w:val="24"/>
          <w:szCs w:val="24"/>
        </w:rPr>
        <w:t xml:space="preserve"> Gli atti dei processi RAF sono leggibili dove passati in giudicato, a differenza del chiuso francese: così il blocco 105. Per questa serie il rendimento atteso è nullo, e va detto con la ragione esatta: nessuna imputazione tedesca ha mai riguardato l'uomo qui triangolato, che non fu imputato né processato in alcun Paese. Il registro del giudicato resta il solo luogo dei nomi.</w:t>
      </w:r>
    </w:p>
    <w:p>
      <w:pPr>
        <w:spacing w:after="120" w:line="276"/>
        <w:jc w:val="both"/>
      </w:pPr>
      <w:r>
        <w:rPr>
          <w:rFonts w:ascii="Barlow Semi Condensed" w:cs="Barlow Semi Condensed" w:eastAsia="Barlow Semi Condensed" w:hAnsi="Barlow Semi Condensed"/>
          <w:b/>
          <w:bCs/>
          <w:sz w:val="24"/>
          <w:szCs w:val="24"/>
        </w:rPr>
        <w:t xml:space="preserve">3545 · Solo il documentato, poi lo Stato Zero.</w:t>
      </w:r>
      <w:r>
        <w:rPr>
          <w:rFonts w:ascii="Barlow Semi Condensed" w:cs="Barlow Semi Condensed" w:eastAsia="Barlow Semi Condensed" w:hAnsi="Barlow Semi Condensed"/>
          <w:sz w:val="24"/>
          <w:szCs w:val="24"/>
        </w:rPr>
        <w:t xml:space="preserve"> Solo il documentato entra, e il resto è Stato Zero dichiarato e non narrazione: la formula del blocco 114 sugli scambi informativi fra servizi tedeschi e italiani nel 1978 si estende ai tre cantieri e a questo nome. Ciò che non risulta si scrive che non risulta, con l'elenco dei fascicoli letti e la data della lettura. Un'assenza senza elenco non è un'acquisizione.</w:t>
      </w:r>
    </w:p>
    <w:p>
      <w:pPr>
        <w:spacing w:after="120" w:line="276"/>
        <w:jc w:val="both"/>
      </w:pPr>
      <w:r>
        <w:rPr>
          <w:rFonts w:ascii="Barlow Semi Condensed" w:cs="Barlow Semi Condensed" w:eastAsia="Barlow Semi Condensed" w:hAnsi="Barlow Semi Condensed"/>
          <w:b/>
          <w:bCs/>
          <w:sz w:val="24"/>
          <w:szCs w:val="24"/>
        </w:rPr>
        <w:t xml:space="preserve">3546 · Nessuna cella riservata a Bonn.</w:t>
      </w:r>
      <w:r>
        <w:rPr>
          <w:rFonts w:ascii="Barlow Semi Condensed" w:cs="Barlow Semi Condensed" w:eastAsia="Barlow Semi Condensed" w:hAnsi="Barlow Semi Condensed"/>
          <w:sz w:val="24"/>
          <w:szCs w:val="24"/>
        </w:rPr>
        <w:t xml:space="preserve"> Come per Parigi, la risposta al blocco 115 è negativa e va verbalizzata: nessuna cella delle matrici può essere riempita soltanto da un documento tedesco, quanto a questo nome, perché il quesito contestato è bilaterale e nessun archivio tedesco ne è depositario naturale. La giustificazione del cantiere sta altrove, nel parallelo Schleyer e nelle carte di partito, e non va appoggiata qui.</w:t>
      </w:r>
    </w:p>
    <w:p>
      <w:pPr>
        <w:spacing w:after="120" w:line="276"/>
        <w:jc w:val="both"/>
      </w:pPr>
      <w:r>
        <w:rPr>
          <w:rFonts w:ascii="Barlow Semi Condensed" w:cs="Barlow Semi Condensed" w:eastAsia="Barlow Semi Condensed" w:hAnsi="Barlow Semi Condensed"/>
          <w:b/>
          <w:bCs/>
          <w:sz w:val="24"/>
          <w:szCs w:val="24"/>
        </w:rPr>
        <w:t xml:space="preserve">3547 · La quarta colonna: i silenzi.</w:t>
      </w:r>
      <w:r>
        <w:rPr>
          <w:rFonts w:ascii="Barlow Semi Condensed" w:cs="Barlow Semi Condensed" w:eastAsia="Barlow Semi Condensed" w:hAnsi="Barlow Semi Condensed"/>
          <w:sz w:val="24"/>
          <w:szCs w:val="24"/>
        </w:rPr>
        <w:t xml:space="preserve"> La sintesi trilaterale del blocco 119 mette in colonna convergenze, divergenze e silenzi di ciascuna capitale, e questa serie contribuisce alla terza colonna. Il silenzio simultaneo di Londra, Parigi e Bonn su un nome, mentre le tre sedi scrivevano abbondantemente della crisi italiana, è un dato positivo sulla percezione alleata: nessuna riteneva rilevante citarlo. Il dato si misura sui fascicoli effettivamente letti.</w:t>
      </w:r>
    </w:p>
    <w:p>
      <w:pPr>
        <w:spacing w:after="120" w:line="276"/>
        <w:jc w:val="both"/>
      </w:pPr>
      <w:r>
        <w:rPr>
          <w:rFonts w:ascii="Barlow Semi Condensed" w:cs="Barlow Semi Condensed" w:eastAsia="Barlow Semi Condensed" w:hAnsi="Barlow Semi Condensed"/>
          <w:b/>
          <w:bCs/>
          <w:sz w:val="24"/>
          <w:szCs w:val="24"/>
        </w:rPr>
        <w:t xml:space="preserve">3548 · Che cosa promuoverebbe al piano 1.</w:t>
      </w:r>
      <w:r>
        <w:rPr>
          <w:rFonts w:ascii="Barlow Semi Condensed" w:cs="Barlow Semi Condensed" w:eastAsia="Barlow Semi Condensed" w:hAnsi="Barlow Semi Condensed"/>
          <w:sz w:val="24"/>
          <w:szCs w:val="24"/>
        </w:rPr>
        <w:t xml:space="preserve"> Promuoverebbe la relazione al piano 1 un solo genere di carta: un documento di provenienza, telegramma, verbale o appunto di colloquio, conservato a Kew, a La Courneuve, a Nantes, a Pierrefitte o al Politisches Archiv, che registri con data e interlocutore una comunicazione diretta sull'Italia riferibile a questo nome. Non basterebbe una minuta che citi «gli americani»; non basterebbe una memoria pubblicata dopo.</w:t>
      </w:r>
    </w:p>
    <w:p>
      <w:pPr>
        <w:spacing w:after="120" w:line="276"/>
        <w:jc w:val="both"/>
      </w:pPr>
      <w:r>
        <w:rPr>
          <w:rFonts w:ascii="Barlow Semi Condensed" w:cs="Barlow Semi Condensed" w:eastAsia="Barlow Semi Condensed" w:hAnsi="Barlow Semi Condensed"/>
          <w:b/>
          <w:bCs/>
          <w:sz w:val="24"/>
          <w:szCs w:val="24"/>
        </w:rPr>
        <w:t xml:space="preserve">3549 · Che cosa non conterebbe mai.</w:t>
      </w:r>
      <w:r>
        <w:rPr>
          <w:rFonts w:ascii="Barlow Semi Condensed" w:cs="Barlow Semi Condensed" w:eastAsia="Barlow Semi Condensed" w:hAnsi="Barlow Semi Condensed"/>
          <w:sz w:val="24"/>
          <w:szCs w:val="24"/>
        </w:rPr>
        <w:t xml:space="preserve"> Non conterebbero, ed è il rovescio del blocco precedente dichiarato con la stessa precisione: la contemporaneità di una carica con un evento italiano; l'appartenenza a un'amministrazione ostile all'ingresso comunista; la somiglianza fra il timore americano e quello europeo; la ripetizione della frase riferita nel novembre 1982, per quante testate la replichino. Replicare una sequenza non crea alcun carattere nuovo.</w:t>
      </w:r>
    </w:p>
    <w:p>
      <w:pPr>
        <w:spacing w:after="120" w:line="276"/>
        <w:jc w:val="both"/>
      </w:pPr>
      <w:r>
        <w:rPr>
          <w:rFonts w:ascii="Barlow Semi Condensed" w:cs="Barlow Semi Condensed" w:eastAsia="Barlow Semi Condensed" w:hAnsi="Barlow Semi Condensed"/>
          <w:b/>
          <w:bCs/>
          <w:sz w:val="24"/>
          <w:szCs w:val="24"/>
        </w:rPr>
        <w:t xml:space="preserve">3550 · La contabilità della serie.</w:t>
      </w:r>
      <w:r>
        <w:rPr>
          <w:rFonts w:ascii="Barlow Semi Condensed" w:cs="Barlow Semi Condensed" w:eastAsia="Barlow Semi Condensed" w:hAnsi="Barlow Semi Condensed"/>
          <w:sz w:val="24"/>
          <w:szCs w:val="24"/>
        </w:rPr>
        <w:t xml:space="preserve"> Ottanta bersagli, tre porte cronologiche aperte, quattro sedi indicate come primo scaffale: la serie del Western European Department, il versamento europeo anteriore al luglio 1976, i volumi tedeschi del 1974-1976 e la banca dati svizzera. I blocchi 40, 80 e 120 chiudono i tre cantieri contando gli stati di ogni bersaglio; questa serie si chiude allo stesso modo, su un territorio che interrogato non porta il nome.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quarantasettesima — I nove cantieri: il Vaticano e i fondi</w:t>
      </w:r>
    </w:p>
    <w:p>
      <w:pPr>
        <w:spacing w:after="120" w:line="276"/>
        <w:jc w:val="both"/>
      </w:pPr>
      <w:r>
        <w:rPr>
          <w:rFonts w:ascii="Barlow Semi Condensed" w:cs="Barlow Semi Condensed" w:eastAsia="Barlow Semi Condensed" w:hAnsi="Barlow Semi Condensed"/>
          <w:i/>
          <w:iCs/>
          <w:sz w:val="24"/>
          <w:szCs w:val="24"/>
        </w:rPr>
        <w:t xml:space="preserve">Blocchi 3551-3630.</w:t>
      </w:r>
    </w:p>
    <w:p>
      <w:pPr>
        <w:spacing w:after="120" w:line="276"/>
        <w:jc w:val="both"/>
      </w:pPr>
      <w:r>
        <w:rPr>
          <w:rFonts w:ascii="Barlow Semi Condensed" w:cs="Barlow Semi Condensed" w:eastAsia="Barlow Semi Condensed" w:hAnsi="Barlow Semi Condensed"/>
          <w:b/>
          <w:bCs/>
          <w:sz w:val="24"/>
          <w:szCs w:val="24"/>
        </w:rPr>
        <w:t xml:space="preserve">3551 · Lo zero contato sui duecentodieci.</w:t>
      </w:r>
      <w:r>
        <w:rPr>
          <w:rFonts w:ascii="Barlow Semi Condensed" w:cs="Barlow Semi Condensed" w:eastAsia="Barlow Semi Condensed" w:hAnsi="Barlow Semi Condensed"/>
          <w:sz w:val="24"/>
          <w:szCs w:val="24"/>
        </w:rPr>
        <w:t xml:space="preserve"> La verifica meccanica sul testo dei nove cantieri dà un esito netto: nei duecentodieci blocchi delle Parti seconda e terza, dal 121 al 330, il nome di Henry Kissinger ricorre zero volte, e con esso mancano le stringhe «Stati Uniti», «Washington», «NATO». Il blocco 646 dell'opera-madre aveva misurato lo zero sull'intera quadriga; qui lo si restringe a un territorio determinato e lo si conferma integrale.</w:t>
      </w:r>
    </w:p>
    <w:p>
      <w:pPr>
        <w:spacing w:after="120" w:line="276"/>
        <w:jc w:val="both"/>
      </w:pPr>
      <w:r>
        <w:rPr>
          <w:rFonts w:ascii="Barlow Semi Condensed" w:cs="Barlow Semi Condensed" w:eastAsia="Barlow Semi Condensed" w:hAnsi="Barlow Semi Condensed"/>
          <w:b/>
          <w:bCs/>
          <w:sz w:val="24"/>
          <w:szCs w:val="24"/>
        </w:rPr>
        <w:t xml:space="preserve">3552 · Le cinque aperture del perimetro.</w:t>
      </w:r>
      <w:r>
        <w:rPr>
          <w:rFonts w:ascii="Barlow Semi Condensed" w:cs="Barlow Semi Condensed" w:eastAsia="Barlow Semi Condensed" w:hAnsi="Barlow Semi Condensed"/>
          <w:sz w:val="24"/>
          <w:szCs w:val="24"/>
        </w:rPr>
        <w:t xml:space="preserve"> Ermetico però il territorio non è. Cinque occorrenze guardano fuori dai confini italiani: due israeliane nel fondo del riscatto (blocchi 182 e 187), una ministeriale che rinvia esplicitamente al cantiere estero (251), una giornalistica che nomina i corrispondenti americani a Roma (277), una editoriale sulle opere straniere (294). Sono le sole porte per cui una colonna statunitense potrebbe legittimamente entrare in queste due parti.</w:t>
      </w:r>
    </w:p>
    <w:p>
      <w:pPr>
        <w:spacing w:after="120" w:line="276"/>
        <w:jc w:val="both"/>
      </w:pPr>
      <w:r>
        <w:rPr>
          <w:rFonts w:ascii="Barlow Semi Condensed" w:cs="Barlow Semi Condensed" w:eastAsia="Barlow Semi Condensed" w:hAnsi="Barlow Semi Condensed"/>
          <w:b/>
          <w:bCs/>
          <w:sz w:val="24"/>
          <w:szCs w:val="24"/>
        </w:rPr>
        <w:t xml:space="preserve">3553 · La ricetta della misura.</w:t>
      </w:r>
      <w:r>
        <w:rPr>
          <w:rFonts w:ascii="Barlow Semi Condensed" w:cs="Barlow Semi Condensed" w:eastAsia="Barlow Semi Condensed" w:hAnsi="Barlow Semi Condensed"/>
          <w:sz w:val="24"/>
          <w:szCs w:val="24"/>
        </w:rPr>
        <w:t xml:space="preserve"> Perché il conteggio sia falsificabile va pubblicato con la sua ricetta, come impone il blocco 644 dell'opera-madre: corpus interrogato, il file nove-cantieri-mille-blocchi.md nella sola sezione 121-330; stringhe cercate, il cognome pieno e le varianti con iniziale; finestra, l'intero testo senza restrizione cronologica; criterio, occorrenza letterale. Chi rifà l'operazione deve ottenere lo stesso numero, altrimenti l'esito negativo non vale nulla.</w:t>
      </w:r>
    </w:p>
    <w:p>
      <w:pPr>
        <w:spacing w:after="120" w:line="276"/>
        <w:jc w:val="both"/>
      </w:pPr>
      <w:r>
        <w:rPr>
          <w:rFonts w:ascii="Barlow Semi Condensed" w:cs="Barlow Semi Condensed" w:eastAsia="Barlow Semi Condensed" w:hAnsi="Barlow Semi Condensed"/>
          <w:b/>
          <w:bCs/>
          <w:sz w:val="24"/>
          <w:szCs w:val="24"/>
        </w:rPr>
        <w:t xml:space="preserve">3554 · Perché questo territorio tace.</w:t>
      </w:r>
      <w:r>
        <w:rPr>
          <w:rFonts w:ascii="Barlow Semi Condensed" w:cs="Barlow Semi Condensed" w:eastAsia="Barlow Semi Condensed" w:hAnsi="Barlow Semi Condensed"/>
          <w:sz w:val="24"/>
          <w:szCs w:val="24"/>
        </w:rPr>
        <w:t xml:space="preserve"> Diagnosticare la causa viene prima dell'interpretazione. Le due parti furono progettate su due giacimenti che per costruzione non producono carta americana: gli archivi ecclesiastici italiani e vaticani, e i fondi privati dei protagonisti italiani. Un nome della politica estera statunitense non vi ricorre per ufficio. Lo zero misura dunque una scelta di architettura del cantiere, non una proprietà del 1978.</w:t>
      </w:r>
    </w:p>
    <w:p>
      <w:pPr>
        <w:spacing w:after="120" w:line="276"/>
        <w:jc w:val="both"/>
      </w:pPr>
      <w:r>
        <w:rPr>
          <w:rFonts w:ascii="Barlow Semi Condensed" w:cs="Barlow Semi Condensed" w:eastAsia="Barlow Semi Condensed" w:hAnsi="Barlow Semi Condensed"/>
          <w:b/>
          <w:bCs/>
          <w:sz w:val="24"/>
          <w:szCs w:val="24"/>
        </w:rPr>
        <w:t xml:space="preserve">3555 · La condizione che rende informativo un vuoto.</w:t>
      </w:r>
      <w:r>
        <w:rPr>
          <w:rFonts w:ascii="Barlow Semi Condensed" w:cs="Barlow Semi Condensed" w:eastAsia="Barlow Semi Condensed" w:hAnsi="Barlow Semi Condensed"/>
          <w:sz w:val="24"/>
          <w:szCs w:val="24"/>
        </w:rPr>
        <w:t xml:space="preserve"> Fissa l'unica condizione il blocco 637 dell'opera-madre: l'assenza pesa solo se l'archivio interrogato è quello dove il documento, esistendo, dovrebbe stare per prassi. Applicata qui, la condizione taglia netto. Un carteggio con Washington non dovrebbe stare in una cronaca parrocchiale (blocco 141) né in un registro di colloqui carcerari (167). In quelle sedi l'assenza non è indizio: è rumore, e va detto prima di cercare.</w:t>
      </w:r>
    </w:p>
    <w:p>
      <w:pPr>
        <w:spacing w:after="120" w:line="276"/>
        <w:jc w:val="both"/>
      </w:pPr>
      <w:r>
        <w:rPr>
          <w:rFonts w:ascii="Barlow Semi Condensed" w:cs="Barlow Semi Condensed" w:eastAsia="Barlow Semi Condensed" w:hAnsi="Barlow Semi Condensed"/>
          <w:b/>
          <w:bCs/>
          <w:sz w:val="24"/>
          <w:szCs w:val="24"/>
        </w:rPr>
        <w:t xml:space="preserve">3556 · Che cosa lo zero non autorizza.</w:t>
      </w:r>
      <w:r>
        <w:rPr>
          <w:rFonts w:ascii="Barlow Semi Condensed" w:cs="Barlow Semi Condensed" w:eastAsia="Barlow Semi Condensed" w:hAnsi="Barlow Semi Condensed"/>
          <w:sz w:val="24"/>
          <w:szCs w:val="24"/>
        </w:rPr>
        <w:t xml:space="preserve"> Nessuna proposizione sul mondo discende dal conteggio. Non discende che il nodo sia estraneo al caso, né che vi sia implicato e taciuto. Discende soltanto che le Parti seconda e terza, come sono scritte, non lo trattano. Promuovere questo silenzio a enunciato — in un senso o nell'altro — è l'errore che il blocco 647 dell'opera-madre esiste per rendere impossibile, e qui vale al massimo grado.</w:t>
      </w:r>
    </w:p>
    <w:p>
      <w:pPr>
        <w:spacing w:after="120" w:line="276"/>
        <w:jc w:val="both"/>
      </w:pPr>
      <w:r>
        <w:rPr>
          <w:rFonts w:ascii="Barlow Semi Condensed" w:cs="Barlow Semi Condensed" w:eastAsia="Barlow Semi Condensed" w:hAnsi="Barlow Semi Condensed"/>
          <w:b/>
          <w:bCs/>
          <w:sz w:val="24"/>
          <w:szCs w:val="24"/>
        </w:rPr>
        <w:t xml:space="preserve">3557 · L'archivio chiuso vale in entrambe le direzioni.</w:t>
      </w:r>
      <w:r>
        <w:rPr>
          <w:rFonts w:ascii="Barlow Semi Condensed" w:cs="Barlow Semi Condensed" w:eastAsia="Barlow Semi Condensed" w:hAnsi="Barlow Semi Condensed"/>
          <w:sz w:val="24"/>
          <w:szCs w:val="24"/>
        </w:rPr>
        <w:t xml:space="preserve"> Governa tutta la Parte seconda il fatto accertato al blocco 121: l'Archivio Apostolico Vaticano è consultabile fino alla fine del pontificato di Pio XII, e lo stesso limite vale per l'Archivio storico della Sezione per i Rapporti con gli Stati. Ne segue una simmetria che va scritta: nessuna carta vaticana del 1978 può oggi provare un rapporto con questo nome, e nessuna può escluderlo.</w:t>
      </w:r>
    </w:p>
    <w:p>
      <w:pPr>
        <w:spacing w:after="120" w:line="276"/>
        <w:jc w:val="both"/>
      </w:pPr>
      <w:r>
        <w:rPr>
          <w:rFonts w:ascii="Barlow Semi Condensed" w:cs="Barlow Semi Condensed" w:eastAsia="Barlow Semi Condensed" w:hAnsi="Barlow Semi Condensed"/>
          <w:b/>
          <w:bCs/>
          <w:sz w:val="24"/>
          <w:szCs w:val="24"/>
        </w:rPr>
        <w:t xml:space="preserve">3558 · La domanda di provenienza, applicata.</w:t>
      </w:r>
      <w:r>
        <w:rPr>
          <w:rFonts w:ascii="Barlow Semi Condensed" w:cs="Barlow Semi Condensed" w:eastAsia="Barlow Semi Condensed" w:hAnsi="Barlow Semi Condensed"/>
          <w:sz w:val="24"/>
          <w:szCs w:val="24"/>
        </w:rPr>
        <w:t xml:space="preserve"> Chiedere a ogni versione che citi «carte vaticane» da dove venga la carta è l'obbligo posto dal blocco 121. La regola si applica identica qui: qualunque testo attribuisca a fonte vaticana una posizione statunitense sul sequestro va interrogato sulla sede reale — fondo, serie, segnatura — e in mancanza resta piano 3. Da un archivio chiuso non esce carta: esce citazione.</w:t>
      </w:r>
    </w:p>
    <w:p>
      <w:pPr>
        <w:spacing w:after="120" w:line="276"/>
        <w:jc w:val="both"/>
      </w:pPr>
      <w:r>
        <w:rPr>
          <w:rFonts w:ascii="Barlow Semi Condensed" w:cs="Barlow Semi Condensed" w:eastAsia="Barlow Semi Condensed" w:hAnsi="Barlow Semi Condensed"/>
          <w:b/>
          <w:bCs/>
          <w:sz w:val="24"/>
          <w:szCs w:val="24"/>
        </w:rPr>
        <w:t xml:space="preserve">3559 · Le serie attese, e una in più.</w:t>
      </w:r>
      <w:r>
        <w:rPr>
          <w:rFonts w:ascii="Barlow Semi Condensed" w:cs="Barlow Semi Condensed" w:eastAsia="Barlow Semi Condensed" w:hAnsi="Barlow Semi Condensed"/>
          <w:sz w:val="24"/>
          <w:szCs w:val="24"/>
        </w:rPr>
        <w:t xml:space="preserve"> L'esercizio preparatorio del blocco 124 costruisce oggi la tavola delle serie che si chiederanno il giorno dell'apertura. Vi si aggiunga la riga specifica: se un rapporto con l'amministrazione statunitense fosse esistito, la sua traccia starebbe nella Sezione per i Rapporti con gli Stati e nei carteggi della Segreteria di Stato, non nelle udienze private. Sapere dove guarderemo è già metà dell'accertamento futuro.</w:t>
      </w:r>
    </w:p>
    <w:p>
      <w:pPr>
        <w:spacing w:after="120" w:line="276"/>
        <w:jc w:val="both"/>
      </w:pPr>
      <w:r>
        <w:rPr>
          <w:rFonts w:ascii="Barlow Semi Condensed" w:cs="Barlow Semi Condensed" w:eastAsia="Barlow Semi Condensed" w:hAnsi="Barlow Semi Condensed"/>
          <w:b/>
          <w:bCs/>
          <w:sz w:val="24"/>
          <w:szCs w:val="24"/>
        </w:rPr>
        <w:t xml:space="preserve">3560 · Il quesito da depositare.</w:t>
      </w:r>
      <w:r>
        <w:rPr>
          <w:rFonts w:ascii="Barlow Semi Condensed" w:cs="Barlow Semi Condensed" w:eastAsia="Barlow Semi Condensed" w:hAnsi="Barlow Semi Condensed"/>
          <w:sz w:val="24"/>
          <w:szCs w:val="24"/>
        </w:rPr>
        <w:t xml:space="preserve"> Nel fascicolo dei quesiti previsto dai blocchi 126 e 206 entri una domanda formulata alla lettera: risultano, nelle carte della Santa Sede del marzo-maggio 1978, contatti, note verbali o appunti che registrino posizioni dell'amministrazione statunitense sul sequestro? La domanda si scrive oggi, si data e si pubblica; il giorno dell'apertura si consegna. Una domanda scritta prima non si adatta al risultato che troverà.</w:t>
      </w:r>
    </w:p>
    <w:p>
      <w:pPr>
        <w:spacing w:after="120" w:line="276"/>
        <w:jc w:val="both"/>
      </w:pPr>
      <w:r>
        <w:rPr>
          <w:rFonts w:ascii="Barlow Semi Condensed" w:cs="Barlow Semi Condensed" w:eastAsia="Barlow Semi Condensed" w:hAnsi="Barlow Semi Condensed"/>
          <w:b/>
          <w:bCs/>
          <w:sz w:val="24"/>
          <w:szCs w:val="24"/>
        </w:rPr>
        <w:t xml:space="preserve">3561 · Le deroghe, prima di evocarle.</w:t>
      </w:r>
      <w:r>
        <w:rPr>
          <w:rFonts w:ascii="Barlow Semi Condensed" w:cs="Barlow Semi Condensed" w:eastAsia="Barlow Semi Condensed" w:hAnsi="Barlow Semi Condensed"/>
          <w:sz w:val="24"/>
          <w:szCs w:val="24"/>
        </w:rPr>
        <w:t xml:space="preserve"> Esistono precedenti di accesso anticipato a carte vaticane posteriori al 1958? Il blocco 127 ne chiede l'accertamento formale, e l'esito perimetra anche questa triangolazione: se una via di deroga esiste, si chiede per iscritto e si registra la risposta; se non esiste, si smette di alludere a documenti vaticani sul nodo americano, perché nessuno può averli letti — inclusi quelli che lo scrivono.</w:t>
      </w:r>
    </w:p>
    <w:p>
      <w:pPr>
        <w:spacing w:after="120" w:line="276"/>
        <w:jc w:val="both"/>
      </w:pPr>
      <w:r>
        <w:rPr>
          <w:rFonts w:ascii="Barlow Semi Condensed" w:cs="Barlow Semi Condensed" w:eastAsia="Barlow Semi Condensed" w:hAnsi="Barlow Semi Condensed"/>
          <w:b/>
          <w:bCs/>
          <w:sz w:val="24"/>
          <w:szCs w:val="24"/>
        </w:rPr>
        <w:t xml:space="preserve">3562 · Le positio come giacimento laterale.</w:t>
      </w:r>
      <w:r>
        <w:rPr>
          <w:rFonts w:ascii="Barlow Semi Condensed" w:cs="Barlow Semi Condensed" w:eastAsia="Barlow Semi Condensed" w:hAnsi="Barlow Semi Condensed"/>
          <w:sz w:val="24"/>
          <w:szCs w:val="24"/>
        </w:rPr>
        <w:t xml:space="preserve"> Le cause dei santi producono raccolte documentali proprie, e i blocchi 128-130 le censiscono come varco. Bersaglio determinato: verificare se la positio di Paolo VI e la documentazione della causa di Moro contengano testimonianze che nominino interlocutori stranieri dei cinquantacinque giorni. È accertamento di perimetro, non di merito, e ha esito utile in entrambe le direzioni — un elenco di nomi, o un elenco che quel nome non contiene.</w:t>
      </w:r>
    </w:p>
    <w:p>
      <w:pPr>
        <w:spacing w:after="120" w:line="276"/>
        <w:jc w:val="both"/>
      </w:pPr>
      <w:r>
        <w:rPr>
          <w:rFonts w:ascii="Barlow Semi Condensed" w:cs="Barlow Semi Condensed" w:eastAsia="Barlow Semi Condensed" w:hAnsi="Barlow Semi Condensed"/>
          <w:b/>
          <w:bCs/>
          <w:sz w:val="24"/>
          <w:szCs w:val="24"/>
        </w:rPr>
        <w:t xml:space="preserve">3563 · Lo spoglio dell'Osservatore, test economico.</w:t>
      </w:r>
      <w:r>
        <w:rPr>
          <w:rFonts w:ascii="Barlow Semi Condensed" w:cs="Barlow Semi Condensed" w:eastAsia="Barlow Semi Condensed" w:hAnsi="Barlow Semi Condensed"/>
          <w:sz w:val="24"/>
          <w:szCs w:val="24"/>
        </w:rPr>
        <w:t xml:space="preserve"> Prescritto al blocco 131 lo spoglio integrale dell'Osservatore Romano dei cinquantacinque giorni, vi si innesti una verifica minima e falsificabile: il nome compare, in quelle annate, in qualunque contesto? L'emeroteca è aperta, il costo è di giornate, l'esito è netto. Vale la regola del blocco 524 dell'opera-madre: la datazione batte l'interpretazione, e un'emeroteca chiude ciò che nessuna esegesi apre.</w:t>
      </w:r>
    </w:p>
    <w:p>
      <w:pPr>
        <w:spacing w:after="120" w:line="276"/>
        <w:jc w:val="both"/>
      </w:pPr>
      <w:r>
        <w:rPr>
          <w:rFonts w:ascii="Barlow Semi Condensed" w:cs="Barlow Semi Condensed" w:eastAsia="Barlow Semi Condensed" w:hAnsi="Barlow Semi Condensed"/>
          <w:b/>
          <w:bCs/>
          <w:sz w:val="24"/>
          <w:szCs w:val="24"/>
        </w:rPr>
        <w:t xml:space="preserve">3564 · Le udienze come fatto pubblico.</w:t>
      </w:r>
      <w:r>
        <w:rPr>
          <w:rFonts w:ascii="Barlow Semi Condensed" w:cs="Barlow Semi Condensed" w:eastAsia="Barlow Semi Condensed" w:hAnsi="Barlow Semi Condensed"/>
          <w:sz w:val="24"/>
          <w:szCs w:val="24"/>
        </w:rPr>
        <w:t xml:space="preserve"> Ricostruire la giornata del Papa dalle sole fonti aperte è il compito assegnato al blocco 134. La colonna delle udienze pontificie negli Acta Apostolicae Sedis e nella cronaca dell'Osservatore consente un accertamento più largo: se e quando Paolo VI ricevette il Segretario di Stato americano negli anni del suo mandato. Il fatto, se sussiste, è di piano 1 e sta in fonte aperta; il contenuto resta chiuso in Vaticano.</w:t>
      </w:r>
    </w:p>
    <w:p>
      <w:pPr>
        <w:spacing w:after="120" w:line="276"/>
        <w:jc w:val="both"/>
      </w:pPr>
      <w:r>
        <w:rPr>
          <w:rFonts w:ascii="Barlow Semi Condensed" w:cs="Barlow Semi Condensed" w:eastAsia="Barlow Semi Condensed" w:hAnsi="Barlow Semi Condensed"/>
          <w:b/>
          <w:bCs/>
          <w:sz w:val="24"/>
          <w:szCs w:val="24"/>
        </w:rPr>
        <w:t xml:space="preserve">3565 · L'audio del pontefice.</w:t>
      </w:r>
      <w:r>
        <w:rPr>
          <w:rFonts w:ascii="Barlow Semi Condensed" w:cs="Barlow Semi Condensed" w:eastAsia="Barlow Semi Condensed" w:hAnsi="Barlow Semi Condensed"/>
          <w:sz w:val="24"/>
          <w:szCs w:val="24"/>
        </w:rPr>
        <w:t xml:space="preserve"> Gli archivi della Radio Vaticana, censiti al blocco 132, conservano notiziari e appelli dei cinquantacinque giorni. Bersaglio derivato: la ricerca sui notiziari radiofonici della Santa Sede di menzioni di posizioni americane nella crisi, con la trascrizione datata di ciascuna. È materiale che il cantiere audiovisivo della Parte sesta tratta con le sue regole; qui se ne richiede soltanto l'indice nominativo, che oggi non esiste.</w:t>
      </w:r>
    </w:p>
    <w:p>
      <w:pPr>
        <w:spacing w:after="120" w:line="276"/>
        <w:jc w:val="both"/>
      </w:pPr>
      <w:r>
        <w:rPr>
          <w:rFonts w:ascii="Barlow Semi Condensed" w:cs="Barlow Semi Condensed" w:eastAsia="Barlow Semi Condensed" w:hAnsi="Barlow Semi Condensed"/>
          <w:b/>
          <w:bCs/>
          <w:sz w:val="24"/>
          <w:szCs w:val="24"/>
        </w:rPr>
        <w:t xml:space="preserve">3566 · Il canale che nel 1978 non c'era.</w:t>
      </w:r>
      <w:r>
        <w:rPr>
          <w:rFonts w:ascii="Barlow Semi Condensed" w:cs="Barlow Semi Condensed" w:eastAsia="Barlow Semi Condensed" w:hAnsi="Barlow Semi Condensed"/>
          <w:sz w:val="24"/>
          <w:szCs w:val="24"/>
        </w:rPr>
        <w:t xml:space="preserve"> Accertamento con grado, da fissare prima di ogni ricerca: fra Stati Uniti e Santa Sede non esistevano nel 1978 relazioni diplomatiche piene, e il rapporto passava per la Delegazione apostolica a Washington e per un rappresentante personale del Presidente. Grado B, da portare ad A sulle fonti istituzionali. La conseguenza è operativa: la carta di quel rapporto non sta in una nunziatura, e il blocco 143 va letto con questo correttivo.</w:t>
      </w:r>
    </w:p>
    <w:p>
      <w:pPr>
        <w:spacing w:after="120" w:line="276"/>
        <w:jc w:val="both"/>
      </w:pPr>
      <w:r>
        <w:rPr>
          <w:rFonts w:ascii="Barlow Semi Condensed" w:cs="Barlow Semi Condensed" w:eastAsia="Barlow Semi Condensed" w:hAnsi="Barlow Semi Condensed"/>
          <w:b/>
          <w:bCs/>
          <w:sz w:val="24"/>
          <w:szCs w:val="24"/>
        </w:rPr>
        <w:t xml:space="preserve">3567 · Una riga in più.</w:t>
      </w:r>
      <w:r>
        <w:rPr>
          <w:rFonts w:ascii="Barlow Semi Condensed" w:cs="Barlow Semi Condensed" w:eastAsia="Barlow Semi Condensed" w:hAnsi="Barlow Semi Condensed"/>
          <w:sz w:val="24"/>
          <w:szCs w:val="24"/>
        </w:rPr>
        <w:t xml:space="preserve"> Alla tavola conclusiva del blocco 135 — ciò che è chiuso, ciò che è aperto, i quesiti in attesa — si aggiunga la riga di questa triangolazione, con lo stato scritto per esteso: versante vaticano chiuso fino a data ignota; versante statunitense aperto e mai interrogato su questo quesito; nessun documento noto che li congiunga. Tre celle, e tutte e tre oneste.</w:t>
      </w:r>
    </w:p>
    <w:p>
      <w:pPr>
        <w:spacing w:after="120" w:line="276"/>
        <w:jc w:val="both"/>
      </w:pPr>
      <w:r>
        <w:rPr>
          <w:rFonts w:ascii="Barlow Semi Condensed" w:cs="Barlow Semi Condensed" w:eastAsia="Barlow Semi Condensed" w:hAnsi="Barlow Semi Condensed"/>
          <w:b/>
          <w:bCs/>
          <w:sz w:val="24"/>
          <w:szCs w:val="24"/>
        </w:rPr>
        <w:t xml:space="preserve">3568 · Concesio, l'uomo e i suoi corrispondenti.</w:t>
      </w:r>
      <w:r>
        <w:rPr>
          <w:rFonts w:ascii="Barlow Semi Condensed" w:cs="Barlow Semi Condensed" w:eastAsia="Barlow Semi Condensed" w:hAnsi="Barlow Semi Condensed"/>
          <w:sz w:val="24"/>
          <w:szCs w:val="24"/>
        </w:rPr>
        <w:t xml:space="preserve"> L'Istituto Paolo VI di Concesio conserva manoscritti, carteggi e materiali fotografici del pontefice, e il blocco 136 precisa il limite: là si cerca l'uomo, non il fascicolo dei cinquantacinque giorni. Bersaglio proprio: lo spoglio dell'indice dei corrispondenti, per accertare se fra essi figurino uomini di governo statunitensi. È un indice, non una tesi — e un indice si legge in giorni.</w:t>
      </w:r>
    </w:p>
    <w:p>
      <w:pPr>
        <w:spacing w:after="120" w:line="276"/>
        <w:jc w:val="both"/>
      </w:pPr>
      <w:r>
        <w:rPr>
          <w:rFonts w:ascii="Barlow Semi Condensed" w:cs="Barlow Semi Condensed" w:eastAsia="Barlow Semi Condensed" w:hAnsi="Barlow Semi Condensed"/>
          <w:b/>
          <w:bCs/>
          <w:sz w:val="24"/>
          <w:szCs w:val="24"/>
        </w:rPr>
        <w:t xml:space="preserve">3569 · Gli inediti e la loro dogana.</w:t>
      </w:r>
      <w:r>
        <w:rPr>
          <w:rFonts w:ascii="Barlow Semi Condensed" w:cs="Barlow Semi Condensed" w:eastAsia="Barlow Semi Condensed" w:hAnsi="Barlow Semi Condensed"/>
          <w:sz w:val="24"/>
          <w:szCs w:val="24"/>
        </w:rPr>
        <w:t xml:space="preserve"> Ogni pubblicazione che rivendichi inediti montiniani deve dichiarare, per il blocco 138, la provenienza archivistica. La regola diventa qui una dogana specifica: un inedito che facesse comparire un nome americano nella vicenda vaticana del sequestro sarebbe, senza fondo e segnatura, materiale di piano 3, per quanto autorevole la firma. Con provenienza verificabile, invece, la provenienza stessa diventa un varco censito e si segue.</w:t>
      </w:r>
    </w:p>
    <w:p>
      <w:pPr>
        <w:spacing w:after="120" w:line="276"/>
        <w:jc w:val="both"/>
      </w:pPr>
      <w:r>
        <w:rPr>
          <w:rFonts w:ascii="Barlow Semi Condensed" w:cs="Barlow Semi Condensed" w:eastAsia="Barlow Semi Condensed" w:hAnsi="Barlow Semi Condensed"/>
          <w:b/>
          <w:bCs/>
          <w:sz w:val="24"/>
          <w:szCs w:val="24"/>
        </w:rPr>
        <w:t xml:space="preserve">3570 · La voce collettiva dei vescovi.</w:t>
      </w:r>
      <w:r>
        <w:rPr>
          <w:rFonts w:ascii="Barlow Semi Condensed" w:cs="Barlow Semi Condensed" w:eastAsia="Barlow Semi Condensed" w:hAnsi="Barlow Semi Condensed"/>
          <w:sz w:val="24"/>
          <w:szCs w:val="24"/>
        </w:rPr>
        <w:t xml:space="preserve"> L'archivio storico della Conferenza episcopale italiana, bersaglio del blocco 142, conserva presidenza, segreteria e comunicati del 1978. Vi si interroghi una cosa sola: se i documenti collegiali dei cinquantacinque giorni contengano riferimenti a pressioni o posizioni internazionali sulla linea da tenere. L'esito atteso, dichiarato prima secondo il blocco 650 dell'opera-madre, è nessuna occorrenza: i comunicati episcopali parlano al Paese, non alle cancellerie.</w:t>
      </w:r>
    </w:p>
    <w:p>
      <w:pPr>
        <w:spacing w:after="120" w:line="276"/>
        <w:jc w:val="both"/>
      </w:pPr>
      <w:r>
        <w:rPr>
          <w:rFonts w:ascii="Barlow Semi Condensed" w:cs="Barlow Semi Condensed" w:eastAsia="Barlow Semi Condensed" w:hAnsi="Barlow Semi Condensed"/>
          <w:b/>
          <w:bCs/>
          <w:sz w:val="24"/>
          <w:szCs w:val="24"/>
        </w:rPr>
        <w:t xml:space="preserve">3571 · L'indice annuale della Civiltà.</w:t>
      </w:r>
      <w:r>
        <w:rPr>
          <w:rFonts w:ascii="Barlow Semi Condensed" w:cs="Barlow Semi Condensed" w:eastAsia="Barlow Semi Condensed" w:hAnsi="Barlow Semi Condensed"/>
          <w:sz w:val="24"/>
          <w:szCs w:val="24"/>
        </w:rPr>
        <w:t xml:space="preserve"> La Civiltà Cattolica del 1978, insieme all'archivio della rivista e della Provincia italiana dei gesuiti indicati al blocco 145, offre uno strumento raro e preciso: l'indice analitico annuale. Vi si verifichi la presenza del nome negli scritti di politica internazionale dell'annata e la sua eventuale prossimità ai testi sul sequestro. Prossimità di pagina non è nesso: è un dato bibliografico, e come tale si registra.</w:t>
      </w:r>
    </w:p>
    <w:p>
      <w:pPr>
        <w:spacing w:after="120" w:line="276"/>
        <w:jc w:val="both"/>
      </w:pPr>
      <w:r>
        <w:rPr>
          <w:rFonts w:ascii="Barlow Semi Condensed" w:cs="Barlow Semi Condensed" w:eastAsia="Barlow Semi Condensed" w:hAnsi="Barlow Semi Condensed"/>
          <w:b/>
          <w:bCs/>
          <w:sz w:val="24"/>
          <w:szCs w:val="24"/>
        </w:rPr>
        <w:t xml:space="preserve">3572 · Dove giacciono le carte del porporato.</w:t>
      </w:r>
      <w:r>
        <w:rPr>
          <w:rFonts w:ascii="Barlow Semi Condensed" w:cs="Barlow Semi Condensed" w:eastAsia="Barlow Semi Condensed" w:hAnsi="Barlow Semi Condensed"/>
          <w:sz w:val="24"/>
          <w:szCs w:val="24"/>
        </w:rPr>
        <w:t xml:space="preserve"> Dove giacciano i fondi personali dei cardinali del 1978 — il segretario di Stato Villot, il vicario Poletti — è l'accertamento chiesto dal blocco 148. Serve anche qui: il carteggio di un segretario di Stato è la sede naturale di ogni rapporto con una potenza. Finché non si sa in quale istituto quelle carte stiano, o se siano confluite nell'archivio chiuso, nessuna ricerca sul punto può dirsi condotta.</w:t>
      </w:r>
    </w:p>
    <w:p>
      <w:pPr>
        <w:spacing w:after="120" w:line="276"/>
        <w:jc w:val="both"/>
      </w:pPr>
      <w:r>
        <w:rPr>
          <w:rFonts w:ascii="Barlow Semi Condensed" w:cs="Barlow Semi Condensed" w:eastAsia="Barlow Semi Condensed" w:hAnsi="Barlow Semi Condensed"/>
          <w:b/>
          <w:bCs/>
          <w:sz w:val="24"/>
          <w:szCs w:val="24"/>
        </w:rPr>
        <w:t xml:space="preserve">3573 · Il segretario particolare come cerniera.</w:t>
      </w:r>
      <w:r>
        <w:rPr>
          <w:rFonts w:ascii="Barlow Semi Condensed" w:cs="Barlow Semi Condensed" w:eastAsia="Barlow Semi Condensed" w:hAnsi="Barlow Semi Condensed"/>
          <w:sz w:val="24"/>
          <w:szCs w:val="24"/>
        </w:rPr>
        <w:t xml:space="preserve"> Mons. Pasquale Macchi, bersaglio primario del blocco 157, è la cerniera fra l'uomo e l'istituzione: sotto sua dettatura fu corretta la variante della lettera, secondo la scheda PE-4. Chi tiene la penna di un pontefice registra anche ciò che arriva da fuori. La domanda esatta al suo lascito è dunque questa: risultano appunti che documentino approcci stranieri nei cinquantacinque giorni? Stato Zero finché la sede non risponda.</w:t>
      </w:r>
    </w:p>
    <w:p>
      <w:pPr>
        <w:spacing w:after="120" w:line="276"/>
        <w:jc w:val="both"/>
      </w:pPr>
      <w:r>
        <w:rPr>
          <w:rFonts w:ascii="Barlow Semi Condensed" w:cs="Barlow Semi Condensed" w:eastAsia="Barlow Semi Condensed" w:hAnsi="Barlow Semi Condensed"/>
          <w:b/>
          <w:bCs/>
          <w:sz w:val="24"/>
          <w:szCs w:val="24"/>
        </w:rPr>
        <w:t xml:space="preserve">3574 · Il pavimento parlamentare del canale.</w:t>
      </w:r>
      <w:r>
        <w:rPr>
          <w:rFonts w:ascii="Barlow Semi Condensed" w:cs="Barlow Semi Condensed" w:eastAsia="Barlow Semi Condensed" w:hAnsi="Barlow Semi Condensed"/>
          <w:sz w:val="24"/>
          <w:szCs w:val="24"/>
        </w:rPr>
        <w:t xml:space="preserve"> Tutto il cantiere del cappellano poggia, per il blocco 161, sulla relazione conclusiva della Commissione Moro 2, approvata il 6 dicembre 2017, Doc. XXIII n. 29: Paolo VI incaricò mons. Cesare Curioni di attivare canali verso le Brigate rosse e fu predisposta una disponibilità economica ingente. Nell'accertamento non figura alcuna autorità straniera. È il pavimento, e il pavimento non si allarga per comodità.</w:t>
      </w:r>
    </w:p>
    <w:p>
      <w:pPr>
        <w:spacing w:after="120" w:line="276"/>
        <w:jc w:val="both"/>
      </w:pPr>
      <w:r>
        <w:rPr>
          <w:rFonts w:ascii="Barlow Semi Condensed" w:cs="Barlow Semi Condensed" w:eastAsia="Barlow Semi Condensed" w:hAnsi="Barlow Semi Condensed"/>
          <w:b/>
          <w:bCs/>
          <w:sz w:val="24"/>
          <w:szCs w:val="24"/>
        </w:rPr>
        <w:t xml:space="preserve">3575 · Lo stenografico del 4 febbraio 2016.</w:t>
      </w:r>
      <w:r>
        <w:rPr>
          <w:rFonts w:ascii="Barlow Semi Condensed" w:cs="Barlow Semi Condensed" w:eastAsia="Barlow Semi Condensed" w:hAnsi="Barlow Semi Condensed"/>
          <w:sz w:val="24"/>
          <w:szCs w:val="24"/>
        </w:rPr>
        <w:t xml:space="preserve"> L'audizione di mons. Fabio Fabbri alla Commissione Moro 2, indicata al blocco 165, ha resoconto stenografico pubblicato in rete. Bersaglio a costo nullo e a esito netto: la ricerca testuale del nome e delle sue varianti nell'intero stenografico, con verbale dell'esito anche nullo. È la forma più economica di accertamento che questo territorio consenta, e nessuno l'ha mai verbalizzata.</w:t>
      </w:r>
    </w:p>
    <w:p>
      <w:pPr>
        <w:spacing w:after="120" w:line="276"/>
        <w:jc w:val="both"/>
      </w:pPr>
      <w:r>
        <w:rPr>
          <w:rFonts w:ascii="Barlow Semi Condensed" w:cs="Barlow Semi Condensed" w:eastAsia="Barlow Semi Condensed" w:hAnsi="Barlow Semi Condensed"/>
          <w:b/>
          <w:bCs/>
          <w:sz w:val="24"/>
          <w:szCs w:val="24"/>
        </w:rPr>
        <w:t xml:space="preserve">3576 · La cella vuota non si riempie.</w:t>
      </w:r>
      <w:r>
        <w:rPr>
          <w:rFonts w:ascii="Barlow Semi Condensed" w:cs="Barlow Semi Condensed" w:eastAsia="Barlow Semi Condensed" w:hAnsi="Barlow Semi Condensed"/>
          <w:sz w:val="24"/>
          <w:szCs w:val="24"/>
        </w:rPr>
        <w:t xml:space="preserve"> Chiama l'interlocutore non identificato «la cella vuota più importante del cantiere» il blocco 169, e vi appone la disciplina: nessun nome per suggestione. Questa serie la ribadisce nel punto in cui la tentazione è massima. Un vuoto celebre attira il nome più celebre disponibile, che è il meccanismo descritto al blocco 640 dell'opera-madre. La cella resta vuota finché un registro o un riscontro di movimento non la riempia.</w:t>
      </w:r>
    </w:p>
    <w:p>
      <w:pPr>
        <w:spacing w:after="120" w:line="276"/>
        <w:jc w:val="both"/>
      </w:pPr>
      <w:r>
        <w:rPr>
          <w:rFonts w:ascii="Barlow Semi Condensed" w:cs="Barlow Semi Condensed" w:eastAsia="Barlow Semi Condensed" w:hAnsi="Barlow Semi Condensed"/>
          <w:b/>
          <w:bCs/>
          <w:sz w:val="24"/>
          <w:szCs w:val="24"/>
        </w:rPr>
        <w:t xml:space="preserve">3577 · Le divergenze si tabulano.</w:t>
      </w:r>
      <w:r>
        <w:rPr>
          <w:rFonts w:ascii="Barlow Semi Condensed" w:cs="Barlow Semi Condensed" w:eastAsia="Barlow Semi Condensed" w:hAnsi="Barlow Semi Condensed"/>
          <w:sz w:val="24"/>
          <w:szCs w:val="24"/>
        </w:rPr>
        <w:t xml:space="preserve"> Si costruisce con le regole della matrice ACH la tavola comparata delle versioni sui movimenti di Curioni, prescritta al blocco 166: ipotesi contro evidenze, celle vuote dichiarate. Se una sola delle versioni introducesse un attore internazionale, la divergenza andrebbe riportata come divergenza — né adottata perché più interessante, né scartata perché più scomoda. Riportare è l'obbligo; risolvere, un risultato eventuale.</w:t>
      </w:r>
    </w:p>
    <w:p>
      <w:pPr>
        <w:spacing w:after="120" w:line="276"/>
        <w:jc w:val="both"/>
      </w:pPr>
      <w:r>
        <w:rPr>
          <w:rFonts w:ascii="Barlow Semi Condensed" w:cs="Barlow Semi Condensed" w:eastAsia="Barlow Semi Condensed" w:hAnsi="Barlow Semi Condensed"/>
          <w:b/>
          <w:bCs/>
          <w:sz w:val="24"/>
          <w:szCs w:val="24"/>
        </w:rPr>
        <w:t xml:space="preserve">3578 · I nomi trovati nei covi.</w:t>
      </w:r>
      <w:r>
        <w:rPr>
          <w:rFonts w:ascii="Barlow Semi Condensed" w:cs="Barlow Semi Condensed" w:eastAsia="Barlow Semi Condensed" w:hAnsi="Barlow Semi Condensed"/>
          <w:sz w:val="24"/>
          <w:szCs w:val="24"/>
        </w:rPr>
        <w:t xml:space="preserve"> Un fatto istruttorio preciso è fissato al blocco 170, che ne chiede il perimetro nudo: quali nomi di cappellani, in quale covo, in quale verbale di perquisizione. La pubblicistica lo ha gonfiato. Vale come esercizio esemplare per questa serie: un ritrovamento si cita per ciò che l'atto dice, e ciò che l'atto dice sono nomi di ecclesiastici italiani, non una geografia internazionale del sequestro.</w:t>
      </w:r>
    </w:p>
    <w:p>
      <w:pPr>
        <w:spacing w:after="120" w:line="276"/>
        <w:jc w:val="both"/>
      </w:pPr>
      <w:r>
        <w:rPr>
          <w:rFonts w:ascii="Barlow Semi Condensed" w:cs="Barlow Semi Condensed" w:eastAsia="Barlow Semi Condensed" w:hAnsi="Barlow Semi Condensed"/>
          <w:b/>
          <w:bCs/>
          <w:sz w:val="24"/>
          <w:szCs w:val="24"/>
        </w:rPr>
        <w:t xml:space="preserve">3579 · Non travasare da PE-1 a PE-4.</w:t>
      </w:r>
      <w:r>
        <w:rPr>
          <w:rFonts w:ascii="Barlow Semi Condensed" w:cs="Barlow Semi Condensed" w:eastAsia="Barlow Semi Condensed" w:hAnsi="Barlow Semi Condensed"/>
          <w:sz w:val="24"/>
          <w:szCs w:val="24"/>
        </w:rPr>
        <w:t xml:space="preserve"> Regola di lettura, vincolante. La presenza di consulenti stranieri accertata negli atti sul comitato del Viminale appartiene alla pista PE-1 e alle carte di governo; il canale del cappellano appartiene a PE-4. Il blocco 173 chiede di incrociare le carte dei due canali, non di fonderle. Trasferire un attore da una scheda all'altra perché entrambe stanno nel 1978 è contemporaneità scambiata per nesso: il divieto è esplicito.</w:t>
      </w:r>
    </w:p>
    <w:p>
      <w:pPr>
        <w:spacing w:after="120" w:line="276"/>
        <w:jc w:val="both"/>
      </w:pPr>
      <w:r>
        <w:rPr>
          <w:rFonts w:ascii="Barlow Semi Condensed" w:cs="Barlow Semi Condensed" w:eastAsia="Barlow Semi Condensed" w:hAnsi="Barlow Semi Condensed"/>
          <w:b/>
          <w:bCs/>
          <w:sz w:val="24"/>
          <w:szCs w:val="24"/>
        </w:rPr>
        <w:t xml:space="preserve">3580 · Che cosa smentirebbe il ponte vaticano.</w:t>
      </w:r>
      <w:r>
        <w:rPr>
          <w:rFonts w:ascii="Barlow Semi Condensed" w:cs="Barlow Semi Condensed" w:eastAsia="Barlow Semi Condensed" w:hAnsi="Barlow Semi Condensed"/>
          <w:sz w:val="24"/>
          <w:szCs w:val="24"/>
        </w:rPr>
        <w:t xml:space="preserve"> Bersaglio di smentita, formulato in positivo perché sia cercabile. Il nesso fra amministrazione statunitense e mediazione vaticana cadrebbe definitivamente se le carte della Segreteria di Stato, all'apertura, mostrassero un canale interamente interno — incarico, contatti, provvista, resa dei conti — senza alcuna interlocuzione esterna. Il blocco 175 chiede proprio questo: cercare attivamente le carte che rompono le ricostruzioni, comprese quelle che il corpus preferirebbe.</w:t>
      </w:r>
    </w:p>
    <w:p>
      <w:pPr>
        <w:spacing w:after="120" w:line="276"/>
        <w:jc w:val="both"/>
      </w:pPr>
      <w:r>
        <w:rPr>
          <w:rFonts w:ascii="Barlow Semi Condensed" w:cs="Barlow Semi Condensed" w:eastAsia="Barlow Semi Condensed" w:hAnsi="Barlow Semi Condensed"/>
          <w:b/>
          <w:bCs/>
          <w:sz w:val="24"/>
          <w:szCs w:val="24"/>
        </w:rPr>
        <w:t xml:space="preserve">3581 · Il perimetro delle parole della Commissione.</w:t>
      </w:r>
      <w:r>
        <w:rPr>
          <w:rFonts w:ascii="Barlow Semi Condensed" w:cs="Barlow Semi Condensed" w:eastAsia="Barlow Semi Condensed" w:hAnsi="Barlow Semi Condensed"/>
          <w:sz w:val="24"/>
          <w:szCs w:val="24"/>
        </w:rPr>
        <w:t xml:space="preserve"> Impone la lettura filologica delle pagine conclusive il blocco 177: che cosa la Commissione dà per accertato, che cosa per riferito, che cosa per aperto. Applicata a questa triangolazione, l'operazione ha esito prevedibile e utile: l'accertamento parlamentare non contiene la questione statunitense. Riferire che «la Commissione non si pronunciò» è corretto; scrivere che «la Commissione escluse» sarebbe un'estensione indebita del testo.</w:t>
      </w:r>
    </w:p>
    <w:p>
      <w:pPr>
        <w:spacing w:after="120" w:line="276"/>
        <w:jc w:val="both"/>
      </w:pPr>
      <w:r>
        <w:rPr>
          <w:rFonts w:ascii="Barlow Semi Condensed" w:cs="Barlow Semi Condensed" w:eastAsia="Barlow Semi Condensed" w:hAnsi="Barlow Semi Condensed"/>
          <w:b/>
          <w:bCs/>
          <w:sz w:val="24"/>
          <w:szCs w:val="24"/>
        </w:rPr>
        <w:t xml:space="preserve">3582 · La storiografia del canale, tarata.</w:t>
      </w:r>
      <w:r>
        <w:rPr>
          <w:rFonts w:ascii="Barlow Semi Condensed" w:cs="Barlow Semi Condensed" w:eastAsia="Barlow Semi Condensed" w:hAnsi="Barlow Semi Condensed"/>
          <w:sz w:val="24"/>
          <w:szCs w:val="24"/>
        </w:rPr>
        <w:t xml:space="preserve"> Gli studi accademici sul canale vaticano, censiti al blocco 179, si ereditano con la taratura di fedeltà del blocco 16: da ogni opera si estrae la tavola delle segnature citate, se ne verifica un campione, e la fedeltà misurata decide quanto pesare il resto. Chi introduce un attore internazionale senza segnatura si colloca da sé nel piano 3, e la collocazione è un dato sull'opera.</w:t>
      </w:r>
    </w:p>
    <w:p>
      <w:pPr>
        <w:spacing w:after="120" w:line="276"/>
        <w:jc w:val="both"/>
      </w:pPr>
      <w:r>
        <w:rPr>
          <w:rFonts w:ascii="Barlow Semi Condensed" w:cs="Barlow Semi Condensed" w:eastAsia="Barlow Semi Condensed" w:hAnsi="Barlow Semi Condensed"/>
          <w:b/>
          <w:bCs/>
          <w:sz w:val="24"/>
          <w:szCs w:val="24"/>
        </w:rPr>
        <w:t xml:space="preserve">3583 · L'accertamento del fondo, alla lettera.</w:t>
      </w:r>
      <w:r>
        <w:rPr>
          <w:rFonts w:ascii="Barlow Semi Condensed" w:cs="Barlow Semi Condensed" w:eastAsia="Barlow Semi Condensed" w:hAnsi="Barlow Semi Condensed"/>
          <w:sz w:val="24"/>
          <w:szCs w:val="24"/>
        </w:rPr>
        <w:t xml:space="preserve"> La disponibilità economica ingente predisposta dalla Santa Sede è accertata dagli atti (blocco 181), con l'ordine di grandezza riferito intorno ai dieci miliardi di lire. L'accertamento nomina il pontefice, il cappellano e — quanto alla provvista — un finanziatore. Non nomina governi. Ogni ricostruzione che inserisca uno Stato nella catena del denaro deve produrre la propria carta: non può appoggiarsi a questo accertamento, che di quella catena tace.</w:t>
      </w:r>
    </w:p>
    <w:p>
      <w:pPr>
        <w:spacing w:after="120" w:line="276"/>
        <w:jc w:val="both"/>
      </w:pPr>
      <w:r>
        <w:rPr>
          <w:rFonts w:ascii="Barlow Semi Condensed" w:cs="Barlow Semi Condensed" w:eastAsia="Barlow Semi Condensed" w:hAnsi="Barlow Semi Condensed"/>
          <w:b/>
          <w:bCs/>
          <w:sz w:val="24"/>
          <w:szCs w:val="24"/>
        </w:rPr>
        <w:t xml:space="preserve">3584 · Rivendicazione non è flusso.</w:t>
      </w:r>
      <w:r>
        <w:rPr>
          <w:rFonts w:ascii="Barlow Semi Condensed" w:cs="Barlow Semi Condensed" w:eastAsia="Barlow Semi Condensed" w:hAnsi="Barlow Semi Condensed"/>
          <w:sz w:val="24"/>
          <w:szCs w:val="24"/>
        </w:rPr>
        <w:t xml:space="preserve"> Distingue con precisione il blocco 182: l'attribuzione della provvista a Shmuel Flatto-Sharon, che la rivendicò pubblicamente, è riferita dalle agenzie sulla scorta dei lavori parlamentari; è accertamento sulla rivendicazione, non sul flusso del denaro. La distinzione regge anche la nostra: da una rivendicazione israeliana non discende alcuna implicazione americana. Sono due proposizioni diverse, e la seconda non ha oggi alcun sostegno documentale.</w:t>
      </w:r>
    </w:p>
    <w:p>
      <w:pPr>
        <w:spacing w:after="120" w:line="276"/>
        <w:jc w:val="both"/>
      </w:pPr>
      <w:r>
        <w:rPr>
          <w:rFonts w:ascii="Barlow Semi Condensed" w:cs="Barlow Semi Condensed" w:eastAsia="Barlow Semi Condensed" w:hAnsi="Barlow Semi Condensed"/>
          <w:b/>
          <w:bCs/>
          <w:sz w:val="24"/>
          <w:szCs w:val="24"/>
        </w:rPr>
        <w:t xml:space="preserve">3585 · La porta israeliana, misurata.</w:t>
      </w:r>
      <w:r>
        <w:rPr>
          <w:rFonts w:ascii="Barlow Semi Condensed" w:cs="Barlow Semi Condensed" w:eastAsia="Barlow Semi Condensed" w:hAnsi="Barlow Semi Condensed"/>
          <w:sz w:val="24"/>
          <w:szCs w:val="24"/>
        </w:rPr>
        <w:t xml:space="preserve"> Apre il solo varco internazionale della Parte seconda il blocco 187: le dichiarazioni pubbliche del finanziatore, i riscontri parlamentari, le eventuali carte israeliane. Va misurato per quel che è. Apre un versante israeliano privato; non apre un versante statunitense governativo. Confondere i due significa dedurre da una cittadinanza una politica estera — inferenza che il corpus vieta quando l'appartenenza viene scambiata per condotta.</w:t>
      </w:r>
    </w:p>
    <w:p>
      <w:pPr>
        <w:spacing w:after="120" w:line="276"/>
        <w:jc w:val="both"/>
      </w:pPr>
      <w:r>
        <w:rPr>
          <w:rFonts w:ascii="Barlow Semi Condensed" w:cs="Barlow Semi Condensed" w:eastAsia="Barlow Semi Condensed" w:hAnsi="Barlow Semi Condensed"/>
          <w:b/>
          <w:bCs/>
          <w:sz w:val="24"/>
          <w:szCs w:val="24"/>
        </w:rPr>
        <w:t xml:space="preserve">3586 · Le fascette non sono una firma politica.</w:t>
      </w:r>
      <w:r>
        <w:rPr>
          <w:rFonts w:ascii="Barlow Semi Condensed" w:cs="Barlow Semi Condensed" w:eastAsia="Barlow Semi Condensed" w:hAnsi="Barlow Semi Condensed"/>
          <w:sz w:val="24"/>
          <w:szCs w:val="24"/>
        </w:rPr>
        <w:t xml:space="preserve"> Il dettaglio materiale riferito alle fascette di banconote di provenienza bancaria estera è, per il blocco 184, il più falsificabile e per questo il più prezioso. È un identificativo bancario: consente di risalire a un istituto e a una data, non a una cancelleria. Trattarlo come indizio di regia internazionale è la promozione di un dato tecnico a segno geopolitico, ed è precisamente ciò che quel blocco proibisce.</w:t>
      </w:r>
    </w:p>
    <w:p>
      <w:pPr>
        <w:spacing w:after="120" w:line="276"/>
        <w:jc w:val="both"/>
      </w:pPr>
      <w:r>
        <w:rPr>
          <w:rFonts w:ascii="Barlow Semi Condensed" w:cs="Barlow Semi Condensed" w:eastAsia="Barlow Semi Condensed" w:hAnsi="Barlow Semi Condensed"/>
          <w:b/>
          <w:bCs/>
          <w:sz w:val="24"/>
          <w:szCs w:val="24"/>
        </w:rPr>
        <w:t xml:space="preserve">3587 · I passaggi e le celle vuote.</w:t>
      </w:r>
      <w:r>
        <w:rPr>
          <w:rFonts w:ascii="Barlow Semi Condensed" w:cs="Barlow Semi Condensed" w:eastAsia="Barlow Semi Condensed" w:hAnsi="Barlow Semi Condensed"/>
          <w:sz w:val="24"/>
          <w:szCs w:val="24"/>
        </w:rPr>
        <w:t xml:space="preserve"> Registra ogni tratto come documentato, riferito o cella vuota la tavola dei passaggi patrimoniali chiesta ai blocchi 183 e 186. In questa triangolazione tutte le celle che coinvolgerebbero un istituto o un attore statunitense sono vuote, e vuote vanno lasciate. La sorte del denaro dopo il 9 maggio resta ignota agli atti: un fondo vero lascia una coda contabile, e la coda si cerca dove il denaro fu raccolto.</w:t>
      </w:r>
    </w:p>
    <w:p>
      <w:pPr>
        <w:spacing w:after="120" w:line="276"/>
        <w:jc w:val="both"/>
      </w:pPr>
      <w:r>
        <w:rPr>
          <w:rFonts w:ascii="Barlow Semi Condensed" w:cs="Barlow Semi Condensed" w:eastAsia="Barlow Semi Condensed" w:hAnsi="Barlow Semi Condensed"/>
          <w:b/>
          <w:bCs/>
          <w:sz w:val="24"/>
          <w:szCs w:val="24"/>
        </w:rPr>
        <w:t xml:space="preserve">3588 · Dove un dollaro lascia traccia.</w:t>
      </w:r>
      <w:r>
        <w:rPr>
          <w:rFonts w:ascii="Barlow Semi Condensed" w:cs="Barlow Semi Condensed" w:eastAsia="Barlow Semi Condensed" w:hAnsi="Barlow Semi Condensed"/>
          <w:sz w:val="24"/>
          <w:szCs w:val="24"/>
        </w:rPr>
        <w:t xml:space="preserve"> Prescrive le richieste agli istituti bancari storici il blocco 188, nei limiti delle norme sugli archivi bancari. Precisazione tecnica utile: una provvista in valuta del 1978 lascia traccia presso la banca emittente delle fascette, presso l'eventuale corrispondente e nei registri di cambio, non in un archivio di governo. La sede giusta decide l'esito; chiedere a un archivio politico un movimento bancario produce soltanto un diniego prevedibile.</w:t>
      </w:r>
    </w:p>
    <w:p>
      <w:pPr>
        <w:spacing w:after="120" w:line="276"/>
        <w:jc w:val="both"/>
      </w:pPr>
      <w:r>
        <w:rPr>
          <w:rFonts w:ascii="Barlow Semi Condensed" w:cs="Barlow Semi Condensed" w:eastAsia="Barlow Semi Condensed" w:hAnsi="Barlow Semi Condensed"/>
          <w:b/>
          <w:bCs/>
          <w:sz w:val="24"/>
          <w:szCs w:val="24"/>
        </w:rPr>
        <w:t xml:space="preserve">3589 · L'aritmetica prima dell'archivio.</w:t>
      </w:r>
      <w:r>
        <w:rPr>
          <w:rFonts w:ascii="Barlow Semi Condensed" w:cs="Barlow Semi Condensed" w:eastAsia="Barlow Semi Condensed" w:hAnsi="Barlow Semi Condensed"/>
          <w:sz w:val="24"/>
          <w:szCs w:val="24"/>
        </w:rPr>
        <w:t xml:space="preserve"> Un esercizio che non richiede alcuna sala di studio è chiesto al blocco 189: tagli, volumi fisici e pesi di dieci miliardi di lire del 1978, per misurare la fattibilità materiale delle versioni di consegna. Lo stesso calcolo, applicato al controvalore in dollari, misura anche la plausibilità delle varianti che immaginano canali internazionali. L'aritmetica del contante smonta o sostiene le narrazioni da sola, e non chiede permessi.</w:t>
      </w:r>
    </w:p>
    <w:p>
      <w:pPr>
        <w:spacing w:after="120" w:line="276"/>
        <w:jc w:val="both"/>
      </w:pPr>
      <w:r>
        <w:rPr>
          <w:rFonts w:ascii="Barlow Semi Condensed" w:cs="Barlow Semi Condensed" w:eastAsia="Barlow Semi Condensed" w:hAnsi="Barlow Semi Condensed"/>
          <w:b/>
          <w:bCs/>
          <w:sz w:val="24"/>
          <w:szCs w:val="24"/>
        </w:rPr>
        <w:t xml:space="preserve">3590 · La tavola di chi sapeva.</w:t>
      </w:r>
      <w:r>
        <w:rPr>
          <w:rFonts w:ascii="Barlow Semi Condensed" w:cs="Barlow Semi Condensed" w:eastAsia="Barlow Semi Condensed" w:hAnsi="Barlow Semi Condensed"/>
          <w:sz w:val="24"/>
          <w:szCs w:val="24"/>
        </w:rPr>
        <w:t xml:space="preserve"> Il perimetro della conoscenza del fondo, chiesto al blocco 190, è un quesito di rete: pochi nodi, datati, con la fonte accanto a ciascuno. Vi si aggiunga la colonna della nazionalità dei nodi documentati, che oggi restituisce soltanto italiani e un israeliano. Ogni nodo in più cambia la matrice del canale; nessun nodo si aggiunge per verosimiglianza, e la colonna vuota si pubblica vuota.</w:t>
      </w:r>
    </w:p>
    <w:p>
      <w:pPr>
        <w:spacing w:after="120" w:line="276"/>
        <w:jc w:val="both"/>
      </w:pPr>
      <w:r>
        <w:rPr>
          <w:rFonts w:ascii="Barlow Semi Condensed" w:cs="Barlow Semi Condensed" w:eastAsia="Barlow Semi Condensed" w:hAnsi="Barlow Semi Condensed"/>
          <w:b/>
          <w:bCs/>
          <w:sz w:val="24"/>
          <w:szCs w:val="24"/>
        </w:rPr>
        <w:t xml:space="preserve">3591 · La spiegazione più piccola.</w:t>
      </w:r>
      <w:r>
        <w:rPr>
          <w:rFonts w:ascii="Barlow Semi Condensed" w:cs="Barlow Semi Condensed" w:eastAsia="Barlow Semi Condensed" w:hAnsi="Barlow Semi Condensed"/>
          <w:sz w:val="24"/>
          <w:szCs w:val="24"/>
        </w:rPr>
        <w:t xml:space="preserve"> Cercare attivamente la carta che ridimensiona — una contabilità ordinaria, una restituzione documentata, una rivendicazione smentita — è il compito assegnato al blocco 192, e qui vale come antidoto specifico. Se la provvista ebbe una spiegazione interamente privata e minore della leggenda, trovarla è un successo del cantiere. La delusione narrativa non è un criterio di prova, e il corpus non ha interesse a una storia più grande.</w:t>
      </w:r>
    </w:p>
    <w:p>
      <w:pPr>
        <w:spacing w:after="120" w:line="276"/>
        <w:jc w:val="both"/>
      </w:pPr>
      <w:r>
        <w:rPr>
          <w:rFonts w:ascii="Barlow Semi Condensed" w:cs="Barlow Semi Condensed" w:eastAsia="Barlow Semi Condensed" w:hAnsi="Barlow Semi Condensed"/>
          <w:b/>
          <w:bCs/>
          <w:sz w:val="24"/>
          <w:szCs w:val="24"/>
        </w:rPr>
        <w:t xml:space="preserve">3592 · Nel 1978 non aveva cariche.</w:t>
      </w:r>
      <w:r>
        <w:rPr>
          <w:rFonts w:ascii="Barlow Semi Condensed" w:cs="Barlow Semi Condensed" w:eastAsia="Barlow Semi Condensed" w:hAnsi="Barlow Semi Condensed"/>
          <w:sz w:val="24"/>
          <w:szCs w:val="24"/>
        </w:rPr>
        <w:t xml:space="preserve"> Accertamento di grado A, già fissato dall'apparato K-2 e decisivo per l'intera Parte seconda: il mandato di Segretario di Stato cessò il 20 gennaio 1977, quello di Assistente per la sicurezza nazionale il 3 novembre 1975. Nei cinquantacinque giorni il soggetto era privato cittadino. Conseguenza archivistica: un eventuale rapporto non genererebbe carta di governo, e andrebbe cercato nelle carte private, non nei fondi federali.</w:t>
      </w:r>
    </w:p>
    <w:p>
      <w:pPr>
        <w:spacing w:after="120" w:line="276"/>
        <w:jc w:val="both"/>
      </w:pPr>
      <w:r>
        <w:rPr>
          <w:rFonts w:ascii="Barlow Semi Condensed" w:cs="Barlow Semi Condensed" w:eastAsia="Barlow Semi Condensed" w:hAnsi="Barlow Semi Condensed"/>
          <w:b/>
          <w:bCs/>
          <w:sz w:val="24"/>
          <w:szCs w:val="24"/>
        </w:rPr>
        <w:t xml:space="preserve">3593 · Le due sedi delle carte private.</w:t>
      </w:r>
      <w:r>
        <w:rPr>
          <w:rFonts w:ascii="Barlow Semi Condensed" w:cs="Barlow Semi Condensed" w:eastAsia="Barlow Semi Condensed" w:hAnsi="Barlow Semi Condensed"/>
          <w:sz w:val="24"/>
          <w:szCs w:val="24"/>
        </w:rPr>
        <w:t xml:space="preserve"> Dalla conseguenza precedente discende un bersaglio con sede: le carte personali depositate presso Manuscripts and Archives della Yale University Library e il deposito della Manuscript Division della Library of Congress, con le rispettive clausole d'accesso. Sono le sole sedi in cui una traccia del 1978 potrebbe esistere. Il passo preliminare resta la lettura degli strumenti di ricerca: prima di chiedere una carta, si accerta se la serie esista.</w:t>
      </w:r>
    </w:p>
    <w:p>
      <w:pPr>
        <w:spacing w:after="120" w:line="276"/>
        <w:jc w:val="both"/>
      </w:pPr>
      <w:r>
        <w:rPr>
          <w:rFonts w:ascii="Barlow Semi Condensed" w:cs="Barlow Semi Condensed" w:eastAsia="Barlow Semi Condensed" w:hAnsi="Barlow Semi Condensed"/>
          <w:b/>
          <w:bCs/>
          <w:sz w:val="24"/>
          <w:szCs w:val="24"/>
        </w:rPr>
        <w:t xml:space="preserve">3594 · La genesi della lettera, interna.</w:t>
      </w:r>
      <w:r>
        <w:rPr>
          <w:rFonts w:ascii="Barlow Semi Condensed" w:cs="Barlow Semi Condensed" w:eastAsia="Barlow Semi Condensed" w:hAnsi="Barlow Semi Condensed"/>
          <w:sz w:val="24"/>
          <w:szCs w:val="24"/>
        </w:rPr>
        <w:t xml:space="preserve"> La filologia della lettera del 21-22 aprile, ai blocchi 196 e 197, documenta una genesi tutta interna: la stesura notturna di pugno del pontefice, la caduta dell'inciso più discusso, la correzione sotto dettatura al segretario. Nella catena documentata non compare alcun suggeritore esterno. Lo si registra come dato positivo sulla genesi, non come esclusione: la scheda PE-4 dice ciò che le carte note dicono, e tace il resto.</w:t>
      </w:r>
    </w:p>
    <w:p>
      <w:pPr>
        <w:spacing w:after="120" w:line="276"/>
        <w:jc w:val="both"/>
      </w:pPr>
      <w:r>
        <w:rPr>
          <w:rFonts w:ascii="Barlow Semi Condensed" w:cs="Barlow Semi Condensed" w:eastAsia="Barlow Semi Condensed" w:hAnsi="Barlow Semi Condensed"/>
          <w:b/>
          <w:bCs/>
          <w:sz w:val="24"/>
          <w:szCs w:val="24"/>
        </w:rPr>
        <w:t xml:space="preserve">3595 · La ricezione appartiene ad altra parte.</w:t>
      </w:r>
      <w:r>
        <w:rPr>
          <w:rFonts w:ascii="Barlow Semi Condensed" w:cs="Barlow Semi Condensed" w:eastAsia="Barlow Semi Condensed" w:hAnsi="Barlow Semi Condensed"/>
          <w:sz w:val="24"/>
          <w:szCs w:val="24"/>
        </w:rPr>
        <w:t xml:space="preserve"> Comprende governo, partiti, brigatisti e stampa la tavola delle reazioni datate alla lettera, chiesta al blocco 198. Le reazioni delle cancellerie alleate non stanno qui: stanno nel cantiere britannico, francese e tedesco della Parte prima, e in una colonna statunitense che la quadriga non ha. Tenerle fuori da questa tavola non è una svista da correggere: è la divisione del lavoro fra le parti.</w:t>
      </w:r>
    </w:p>
    <w:p>
      <w:pPr>
        <w:spacing w:after="120" w:line="276"/>
        <w:jc w:val="both"/>
      </w:pPr>
      <w:r>
        <w:rPr>
          <w:rFonts w:ascii="Barlow Semi Condensed" w:cs="Barlow Semi Condensed" w:eastAsia="Barlow Semi Condensed" w:hAnsi="Barlow Semi Condensed"/>
          <w:b/>
          <w:bCs/>
          <w:sz w:val="24"/>
          <w:szCs w:val="24"/>
        </w:rPr>
        <w:t xml:space="preserve">3596 · Omologia contro analogia nel magistero.</w:t>
      </w:r>
      <w:r>
        <w:rPr>
          <w:rFonts w:ascii="Barlow Semi Condensed" w:cs="Barlow Semi Condensed" w:eastAsia="Barlow Semi Condensed" w:hAnsi="Barlow Semi Condensed"/>
          <w:sz w:val="24"/>
          <w:szCs w:val="24"/>
        </w:rPr>
        <w:t xml:space="preserve"> Colloca la lettera dentro i testi montiniani sul terrorismo degli anni Settanta il blocco 205. Ne discende un avvertimento metodico: se un documento statunitense del periodo esprimesse sul terrorismo giudizi simili a quelli pontifici, la somiglianza non proverebbe alcuna derivazione. Due dottrine possono convergere in ambienti simili senza antenato comune. Il test resta uno solo, e non è retorico: un documento di provenienza che nomini la controparte.</w:t>
      </w:r>
    </w:p>
    <w:p>
      <w:pPr>
        <w:spacing w:after="120" w:line="276"/>
        <w:jc w:val="both"/>
      </w:pPr>
      <w:r>
        <w:rPr>
          <w:rFonts w:ascii="Barlow Semi Condensed" w:cs="Barlow Semi Condensed" w:eastAsia="Barlow Semi Condensed" w:hAnsi="Barlow Semi Condensed"/>
          <w:b/>
          <w:bCs/>
          <w:sz w:val="24"/>
          <w:szCs w:val="24"/>
        </w:rPr>
        <w:t xml:space="preserve">3597 · Il verbale dei vuoti vaticani.</w:t>
      </w:r>
      <w:r>
        <w:rPr>
          <w:rFonts w:ascii="Barlow Semi Condensed" w:cs="Barlow Semi Condensed" w:eastAsia="Barlow Semi Condensed" w:hAnsi="Barlow Semi Condensed"/>
          <w:sz w:val="24"/>
          <w:szCs w:val="24"/>
        </w:rPr>
        <w:t xml:space="preserve"> Istituisce il verbale delle vie battute a vuoto, dei fondi non censiti e delle richieste negate con motivazione il blocco 217. Vi entri questa serie con una voce propria: interrogazione integrale delle Parti seconda e terza sul nome, esito zero, data della verifica, perimetro dichiarato. Lo Stato Zero ecclesiastico si scrive con la stessa penna degli altri — perimetro, data, firma — e questo ne è un esemplare.</w:t>
      </w:r>
    </w:p>
    <w:p>
      <w:pPr>
        <w:spacing w:after="120" w:line="276"/>
        <w:jc w:val="both"/>
      </w:pPr>
      <w:r>
        <w:rPr>
          <w:rFonts w:ascii="Barlow Semi Condensed" w:cs="Barlow Semi Condensed" w:eastAsia="Barlow Semi Condensed" w:hAnsi="Barlow Semi Condensed"/>
          <w:b/>
          <w:bCs/>
          <w:sz w:val="24"/>
          <w:szCs w:val="24"/>
        </w:rPr>
        <w:t xml:space="preserve">3598 · Duecentodiciotto buste e un anno.</w:t>
      </w:r>
      <w:r>
        <w:rPr>
          <w:rFonts w:ascii="Barlow Semi Condensed" w:cs="Barlow Semi Condensed" w:eastAsia="Barlow Semi Condensed" w:hAnsi="Barlow Semi Condensed"/>
          <w:sz w:val="24"/>
          <w:szCs w:val="24"/>
        </w:rPr>
        <w:t xml:space="preserve"> Il fondo personale Aldo Moro all'Archivio centrale dello Stato copre gli anni 1953-1978 in duecentodiciotto buste, con inventario analitico informatizzato (blocco 221). La finestra comprende dunque per intero i mandati agli Esteri e la visita di Stato negli Stati Uniti del settembre 1974. È la sede italiana dove le carte del titolare del dicastero su quel viaggio dovrebbero stare per prassi: la condizione del blocco 637 è qui soddisfatta.</w:t>
      </w:r>
    </w:p>
    <w:p>
      <w:pPr>
        <w:spacing w:after="120" w:line="276"/>
        <w:jc w:val="both"/>
      </w:pPr>
      <w:r>
        <w:rPr>
          <w:rFonts w:ascii="Barlow Semi Condensed" w:cs="Barlow Semi Condensed" w:eastAsia="Barlow Semi Condensed" w:hAnsi="Barlow Semi Condensed"/>
          <w:b/>
          <w:bCs/>
          <w:sz w:val="24"/>
          <w:szCs w:val="24"/>
        </w:rPr>
        <w:t xml:space="preserve">3599 · La domanda esatta all'inventario.</w:t>
      </w:r>
      <w:r>
        <w:rPr>
          <w:rFonts w:ascii="Barlow Semi Condensed" w:cs="Barlow Semi Condensed" w:eastAsia="Barlow Semi Condensed" w:hAnsi="Barlow Semi Condensed"/>
          <w:sz w:val="24"/>
          <w:szCs w:val="24"/>
        </w:rPr>
        <w:t xml:space="preserve"> Lo spoglio dell'inventario analitico, chiesto al blocco 224, produce la mappa delle serie e dei vuoti cronologici. La domanda che questa serie vi deposita è determinata: esiste nel fondo una serie o un fascicolo relativo alla visita di Stato del 25-29 settembre 1974, e che cosa contiene? Un esito negativo su una serie che dovrebbe esistere per prassi ministeriale è acquisizione; un esito positivo è documento di piano 1.</w:t>
      </w:r>
    </w:p>
    <w:p>
      <w:pPr>
        <w:spacing w:after="120" w:line="276"/>
        <w:jc w:val="both"/>
      </w:pPr>
      <w:r>
        <w:rPr>
          <w:rFonts w:ascii="Barlow Semi Condensed" w:cs="Barlow Semi Condensed" w:eastAsia="Barlow Semi Condensed" w:hAnsi="Barlow Semi Condensed"/>
          <w:b/>
          <w:bCs/>
          <w:sz w:val="24"/>
          <w:szCs w:val="24"/>
        </w:rPr>
        <w:t xml:space="preserve">3600 · Il controcanto italiano del memcon.</w:t>
      </w:r>
      <w:r>
        <w:rPr>
          <w:rFonts w:ascii="Barlow Semi Condensed" w:cs="Barlow Semi Condensed" w:eastAsia="Barlow Semi Condensed" w:hAnsi="Barlow Semi Condensed"/>
          <w:sz w:val="24"/>
          <w:szCs w:val="24"/>
        </w:rPr>
        <w:t xml:space="preserve"> Il verbale statunitense dello Studio Ovale del 25 settembre 1974 è noto e citabile — documento 350 del volume FRUS 1969-1976 E-15 parte 2, seconda edizione riveduta, file 1552802 della Ford Library — e non contiene alcun ultimatum personale. Manca però il suo controcanto: l'appunto italiano dello stesso colloquio. Sedi da interrogare, nell'ordine: il fondo Moro all'ACS e l'Archivio storico diplomatico della Farnesina, serie Stati Uniti 1974.</w:t>
      </w:r>
    </w:p>
    <w:p>
      <w:pPr>
        <w:spacing w:after="120" w:line="276"/>
        <w:jc w:val="both"/>
      </w:pPr>
      <w:r>
        <w:rPr>
          <w:rFonts w:ascii="Barlow Semi Condensed" w:cs="Barlow Semi Condensed" w:eastAsia="Barlow Semi Condensed" w:hAnsi="Barlow Semi Condensed"/>
          <w:b/>
          <w:bCs/>
          <w:sz w:val="24"/>
          <w:szCs w:val="24"/>
        </w:rPr>
        <w:t xml:space="preserve">3601 · Le agende e ciò che sparì.</w:t>
      </w:r>
      <w:r>
        <w:rPr>
          <w:rFonts w:ascii="Barlow Semi Condensed" w:cs="Barlow Semi Condensed" w:eastAsia="Barlow Semi Condensed" w:hAnsi="Barlow Semi Condensed"/>
          <w:sz w:val="24"/>
          <w:szCs w:val="24"/>
        </w:rPr>
        <w:t xml:space="preserve"> Cuce i fondi ai reperti il blocco 232: esistono agende, taccuini o diari di Moro, e dove — nel fondo ACS, presso la famiglia, o fra le carte delle borse mai ritrovate del 16 marzo? La domanda tocca direttamente questa serie, perché l'episodio riferito de relato dal portavoce nel 1982 non ha, allo stato, riscontro scritto di mano del protagonista. Stato Zero, con due sedi che potrebbero chiuderlo.</w:t>
      </w:r>
    </w:p>
    <w:p>
      <w:pPr>
        <w:spacing w:after="120" w:line="276"/>
        <w:jc w:val="both"/>
      </w:pPr>
      <w:r>
        <w:rPr>
          <w:rFonts w:ascii="Barlow Semi Condensed" w:cs="Barlow Semi Condensed" w:eastAsia="Barlow Semi Condensed" w:hAnsi="Barlow Semi Condensed"/>
          <w:b/>
          <w:bCs/>
          <w:sz w:val="24"/>
          <w:szCs w:val="24"/>
        </w:rPr>
        <w:t xml:space="preserve">3602 · Chi scriveva, e da dove.</w:t>
      </w:r>
      <w:r>
        <w:rPr>
          <w:rFonts w:ascii="Barlow Semi Condensed" w:cs="Barlow Semi Condensed" w:eastAsia="Barlow Semi Condensed" w:hAnsi="Barlow Semi Condensed"/>
          <w:sz w:val="24"/>
          <w:szCs w:val="24"/>
        </w:rPr>
        <w:t xml:space="preserve"> Le serie di corrispondenza in entrata del fondo personale, bersaglio del blocco 226, tabulano per corrispondenti e date la rete epistolare dell'uomo. Vi si estragga la sottoserie estera degli anni 1974-1978 e se ne pubblichi l'elenco dei mittenti. È lavoro di indicizzazione, non di interpretazione, e produce un elenco verificabile: la presenza o l'assenza di un mittente vale esattamente quanto l'elenco che la registra.</w:t>
      </w:r>
    </w:p>
    <w:p>
      <w:pPr>
        <w:spacing w:after="120" w:line="276"/>
        <w:jc w:val="both"/>
      </w:pPr>
      <w:r>
        <w:rPr>
          <w:rFonts w:ascii="Barlow Semi Condensed" w:cs="Barlow Semi Condensed" w:eastAsia="Barlow Semi Condensed" w:hAnsi="Barlow Semi Condensed"/>
          <w:b/>
          <w:bCs/>
          <w:sz w:val="24"/>
          <w:szCs w:val="24"/>
        </w:rPr>
        <w:t xml:space="preserve">3603 · Il fondo affidato dalla famiglia (serie XLVII).</w:t>
      </w:r>
      <w:r>
        <w:rPr>
          <w:rFonts w:ascii="Barlow Semi Condensed" w:cs="Barlow Semi Condensed" w:eastAsia="Barlow Semi Condensed" w:hAnsi="Barlow Semi Condensed"/>
          <w:sz w:val="24"/>
          <w:szCs w:val="24"/>
        </w:rPr>
        <w:t xml:space="preserve"> Il secondo nucleo — le carte personali e familiari depositate presso il Centro documentazione Archivio Flamigni fra il 2012 e il 2016, per il blocco 222 — risponde a una storia archivistica diversa dal fondo statale, e va interrogato separatamente. È la sede dove potrebbero giacere tracce private dei racconti familiari sull'episodio del 1974, quelli da cui la testimonianza de relato prese origine. Interrogarla è dovuto; presumerne l'esito, no.</w:t>
      </w:r>
    </w:p>
    <w:p>
      <w:pPr>
        <w:spacing w:after="120" w:line="276"/>
        <w:jc w:val="both"/>
      </w:pPr>
      <w:r>
        <w:rPr>
          <w:rFonts w:ascii="Barlow Semi Condensed" w:cs="Barlow Semi Condensed" w:eastAsia="Barlow Semi Condensed" w:hAnsi="Barlow Semi Condensed"/>
          <w:b/>
          <w:bCs/>
          <w:sz w:val="24"/>
          <w:szCs w:val="24"/>
        </w:rPr>
        <w:t xml:space="preserve">3604 · La ricerca testuale sull'edizione digitale.</w:t>
      </w:r>
      <w:r>
        <w:rPr>
          <w:rFonts w:ascii="Barlow Semi Condensed" w:cs="Barlow Semi Condensed" w:eastAsia="Barlow Semi Condensed" w:hAnsi="Barlow Semi Condensed"/>
          <w:sz w:val="24"/>
          <w:szCs w:val="24"/>
        </w:rPr>
        <w:t xml:space="preserve"> L'Edizione nazionale delle opere di Aldo Moro, istituita nel 2016 e curata a Bologna in accesso aperto (blocco 228), consente ciò che nessun archivio consente: la ricerca testuale sull'intero corpus edito degli scritti. Bersaglio immediato e ripetibile da chiunque: interrogarla sul nome e sulle varianti, e verbalizzare l'esito con la data dell'interrogazione, perché l'edizione cresce e un esito negativo di oggi vale per il corpus di oggi.</w:t>
      </w:r>
    </w:p>
    <w:p>
      <w:pPr>
        <w:spacing w:after="120" w:line="276"/>
        <w:jc w:val="both"/>
      </w:pPr>
      <w:r>
        <w:rPr>
          <w:rFonts w:ascii="Barlow Semi Condensed" w:cs="Barlow Semi Condensed" w:eastAsia="Barlow Semi Condensed" w:hAnsi="Barlow Semi Condensed"/>
          <w:b/>
          <w:bCs/>
          <w:sz w:val="24"/>
          <w:szCs w:val="24"/>
        </w:rPr>
        <w:t xml:space="preserve">3605 · Le carte passate per i sequestri.</w:t>
      </w:r>
      <w:r>
        <w:rPr>
          <w:rFonts w:ascii="Barlow Semi Condensed" w:cs="Barlow Semi Condensed" w:eastAsia="Barlow Semi Condensed" w:hAnsi="Barlow Semi Condensed"/>
          <w:sz w:val="24"/>
          <w:szCs w:val="24"/>
        </w:rPr>
        <w:t xml:space="preserve"> Ricostruisce il percorso giudiziario delle carte private il blocco 233: che cosa fu acquisito dalle istruttorie, che cosa restituito, con quali verbali. Il percorso conta qui perché una carta sottratta al fondo e mai restituita produce un vuoto che somiglia a un'assenza e non lo è. Prima di dichiarare Stato Zero su una serie del fondo Moro va accertato se quella serie sia mai uscita per sequestro.</w:t>
      </w:r>
    </w:p>
    <w:p>
      <w:pPr>
        <w:spacing w:after="120" w:line="276"/>
        <w:jc w:val="both"/>
      </w:pPr>
      <w:r>
        <w:rPr>
          <w:rFonts w:ascii="Barlow Semi Condensed" w:cs="Barlow Semi Condensed" w:eastAsia="Barlow Semi Condensed" w:hAnsi="Barlow Semi Condensed"/>
          <w:b/>
          <w:bCs/>
          <w:sz w:val="24"/>
          <w:szCs w:val="24"/>
        </w:rPr>
        <w:t xml:space="preserve">3606 · Tremilacinquecento buste allo Sturzo.</w:t>
      </w:r>
      <w:r>
        <w:rPr>
          <w:rFonts w:ascii="Barlow Semi Condensed" w:cs="Barlow Semi Condensed" w:eastAsia="Barlow Semi Condensed" w:hAnsi="Barlow Semi Condensed"/>
          <w:sz w:val="24"/>
          <w:szCs w:val="24"/>
        </w:rPr>
        <w:t xml:space="preserve"> L'Archivio Giulio Andreotti, donato all'Istituto Luigi Sturzo nel luglio 2007 — circa tremilacinquecento buste per seicento metri lineari (blocco 236) — è, di tutto questo territorio, la sede con la più alta probabilità a priori di contenere carta di piano 1: il titolare fu presidente del Consiglio nei cinquantacinque giorni e interlocutore documentato della diplomazia americana per un ventennio. Alta probabilità non è accertamento: è priorità di spoglio.</w:t>
      </w:r>
    </w:p>
    <w:p>
      <w:pPr>
        <w:spacing w:after="120" w:line="276"/>
        <w:jc w:val="both"/>
      </w:pPr>
      <w:r>
        <w:rPr>
          <w:rFonts w:ascii="Barlow Semi Condensed" w:cs="Barlow Semi Condensed" w:eastAsia="Barlow Semi Condensed" w:hAnsi="Barlow Semi Condensed"/>
          <w:b/>
          <w:bCs/>
          <w:sz w:val="24"/>
          <w:szCs w:val="24"/>
        </w:rPr>
        <w:t xml:space="preserve">3607 · Non esiste una serie che aiuti.</w:t>
      </w:r>
      <w:r>
        <w:rPr>
          <w:rFonts w:ascii="Barlow Semi Condensed" w:cs="Barlow Semi Condensed" w:eastAsia="Barlow Semi Condensed" w:hAnsi="Barlow Semi Condensed"/>
          <w:sz w:val="24"/>
          <w:szCs w:val="24"/>
        </w:rPr>
        <w:t xml:space="preserve"> Vale come avvertimento operativo la precisazione d'inventario del blocco 237: nel fondo Andreotti non esiste una serie «Moro» né una serie «1978»; la materia sta dispersa nelle «pratiche» e nelle serie tematiche, fra cui quella dei Governi per l'esecutivo in carica durante il sequestro. Chi cercasse una cartella intestata a un nome straniero non troverebbe nulla e ne trarrebbe una conclusione falsa.</w:t>
      </w:r>
    </w:p>
    <w:p>
      <w:pPr>
        <w:spacing w:after="120" w:line="276"/>
        <w:jc w:val="both"/>
      </w:pPr>
      <w:r>
        <w:rPr>
          <w:rFonts w:ascii="Barlow Semi Condensed" w:cs="Barlow Semi Condensed" w:eastAsia="Barlow Semi Condensed" w:hAnsi="Barlow Semi Condensed"/>
          <w:b/>
          <w:bCs/>
          <w:sz w:val="24"/>
          <w:szCs w:val="24"/>
        </w:rPr>
        <w:t xml:space="preserve">3608 · Gli appunti coevi contro le memorie.</w:t>
      </w:r>
      <w:r>
        <w:rPr>
          <w:rFonts w:ascii="Barlow Semi Condensed" w:cs="Barlow Semi Condensed" w:eastAsia="Barlow Semi Condensed" w:hAnsi="Barlow Semi Condensed"/>
          <w:sz w:val="24"/>
          <w:szCs w:val="24"/>
        </w:rPr>
        <w:t xml:space="preserve"> Punta agli appunti personali dei cinquantacinque giorni il blocco 238, e il 239 impone la collazione con i diari e le memorie pubblicate: concordanze, scarti, silenzi. È la disciplina esatta che questa serie richiede sul punto più esposto. Ciò che un testimone prolifico scrisse dopo si misura su ciò che archiviò allora, e la differenza fra le due scritture è essa stessa un documento sulla formazione del racconto.</w:t>
      </w:r>
    </w:p>
    <w:p>
      <w:pPr>
        <w:spacing w:after="120" w:line="276"/>
        <w:jc w:val="both"/>
      </w:pPr>
      <w:r>
        <w:rPr>
          <w:rFonts w:ascii="Barlow Semi Condensed" w:cs="Barlow Semi Condensed" w:eastAsia="Barlow Semi Condensed" w:hAnsi="Barlow Semi Condensed"/>
          <w:b/>
          <w:bCs/>
          <w:sz w:val="24"/>
          <w:szCs w:val="24"/>
        </w:rPr>
        <w:t xml:space="preserve">3609 · Trecentotto buste alla Camera.</w:t>
      </w:r>
      <w:r>
        <w:rPr>
          <w:rFonts w:ascii="Barlow Semi Condensed" w:cs="Barlow Semi Condensed" w:eastAsia="Barlow Semi Condensed" w:hAnsi="Barlow Semi Condensed"/>
          <w:sz w:val="24"/>
          <w:szCs w:val="24"/>
        </w:rPr>
        <w:t xml:space="preserve"> L'archivio privato di Francesco Cossiga è all'Archivio storico della Camera dei deputati: trecentotto buste per tremilaquattrocentosettantaquattro unità, con inventario informatizzato (blocco 240). Il titolare del Viminale parlò per decenni, e il blocco 241 chiede la tavola parole-carte. Applicata qui, la tavola ha un compito preciso: datare ogni sua affermazione pubblica sui condizionamenti internazionali e verificare se una carta coeva la sostenga, oppure no.</w:t>
      </w:r>
    </w:p>
    <w:p>
      <w:pPr>
        <w:spacing w:after="120" w:line="276"/>
        <w:jc w:val="both"/>
      </w:pPr>
      <w:r>
        <w:rPr>
          <w:rFonts w:ascii="Barlow Semi Condensed" w:cs="Barlow Semi Condensed" w:eastAsia="Barlow Semi Condensed" w:hAnsi="Barlow Semi Condensed"/>
          <w:b/>
          <w:bCs/>
          <w:sz w:val="24"/>
          <w:szCs w:val="24"/>
        </w:rPr>
        <w:t xml:space="preserve">3610 · Quarantatré volumi manoscritti.</w:t>
      </w:r>
      <w:r>
        <w:rPr>
          <w:rFonts w:ascii="Barlow Semi Condensed" w:cs="Barlow Semi Condensed" w:eastAsia="Barlow Semi Condensed" w:hAnsi="Barlow Semi Condensed"/>
          <w:sz w:val="24"/>
          <w:szCs w:val="24"/>
        </w:rPr>
        <w:t xml:space="preserve"> I diari di Amintore Fanfani — quarantatré volumi all'Archivio storico del Senato, con edizione a stampa in corso e il tomo 1977-1980 nel piano dell'opera, ai blocchi 243 e 244 — sono la fonte coeva più promettente dell'intera Parte terza: un vertice istituzionale che annotava giorno per giorno. Se una traccia datata di questo nodo esiste in mano italiana, ha qui una probabilità non trascurabile di trovarsi.</w:t>
      </w:r>
    </w:p>
    <w:p>
      <w:pPr>
        <w:spacing w:after="120" w:line="276"/>
        <w:jc w:val="both"/>
      </w:pPr>
      <w:r>
        <w:rPr>
          <w:rFonts w:ascii="Barlow Semi Condensed" w:cs="Barlow Semi Condensed" w:eastAsia="Barlow Semi Condensed" w:hAnsi="Barlow Semi Condensed"/>
          <w:b/>
          <w:bCs/>
          <w:sz w:val="24"/>
          <w:szCs w:val="24"/>
        </w:rPr>
        <w:t xml:space="preserve">3611 · Il fascicolo del partito che trattava.</w:t>
      </w:r>
      <w:r>
        <w:rPr>
          <w:rFonts w:ascii="Barlow Semi Condensed" w:cs="Barlow Semi Condensed" w:eastAsia="Barlow Semi Condensed" w:hAnsi="Barlow Semi Condensed"/>
          <w:sz w:val="24"/>
          <w:szCs w:val="24"/>
        </w:rPr>
        <w:t xml:space="preserve"> La Fondazione Craxi conserva nell'inventario un fascicolo dedicato al caso Moro che documenta la posizione del PSI (blocco 247), e il blocco 248 chiede la cronologia dell'iniziativa socialista atto per atto. Domanda propria di questa serie: nei contatti esplorati dal terzo canale compaiono interlocutori stranieri, e con quale carta? La risposta, quale che sia, va scritta con la segnatura del fascicolo accanto.</w:t>
      </w:r>
    </w:p>
    <w:p>
      <w:pPr>
        <w:spacing w:after="120" w:line="276"/>
        <w:jc w:val="both"/>
      </w:pPr>
      <w:r>
        <w:rPr>
          <w:rFonts w:ascii="Barlow Semi Condensed" w:cs="Barlow Semi Condensed" w:eastAsia="Barlow Semi Condensed" w:hAnsi="Barlow Semi Condensed"/>
          <w:b/>
          <w:bCs/>
          <w:sz w:val="24"/>
          <w:szCs w:val="24"/>
        </w:rPr>
        <w:t xml:space="preserve">3612 · Il Quirinale e la visita del 1974.</w:t>
      </w:r>
      <w:r>
        <w:rPr>
          <w:rFonts w:ascii="Barlow Semi Condensed" w:cs="Barlow Semi Condensed" w:eastAsia="Barlow Semi Condensed" w:hAnsi="Barlow Semi Condensed"/>
          <w:sz w:val="24"/>
          <w:szCs w:val="24"/>
        </w:rPr>
        <w:t xml:space="preserve"> Bersaglio del blocco 249 è l'Archivio storico della Presidenza della Repubblica per il settennato Leone, con le serie dei cinquantacinque giorni. Vi si aggiunga una campagna distinta e più antica: il fascicolo di preparazione e di seguito della visita di Stato negli Stati Uniti del settembre 1974, cui il Presidente partecipò con il ministro degli Esteri. È l'altra metà italiana del verbale americano, e nessuno l'ha mai chiesta.</w:t>
      </w:r>
    </w:p>
    <w:p>
      <w:pPr>
        <w:spacing w:after="120" w:line="276"/>
        <w:jc w:val="both"/>
      </w:pPr>
      <w:r>
        <w:rPr>
          <w:rFonts w:ascii="Barlow Semi Condensed" w:cs="Barlow Semi Condensed" w:eastAsia="Barlow Semi Condensed" w:hAnsi="Barlow Semi Condensed"/>
          <w:b/>
          <w:bCs/>
          <w:sz w:val="24"/>
          <w:szCs w:val="24"/>
        </w:rPr>
        <w:t xml:space="preserve">3613 · L'attesa dichiarata sulla grazia.</w:t>
      </w:r>
      <w:r>
        <w:rPr>
          <w:rFonts w:ascii="Barlow Semi Condensed" w:cs="Barlow Semi Condensed" w:eastAsia="Barlow Semi Condensed" w:hAnsi="Barlow Semi Condensed"/>
          <w:sz w:val="24"/>
          <w:szCs w:val="24"/>
        </w:rPr>
        <w:t xml:space="preserve"> Il fascicolo sulla possibile grazia a un detenuto, bersaglio del blocco 250, riunisce atti del Quirinale e della Giustizia degli ultimi giorni. Prima di aprirlo si dichiari l'attesa, come impone il blocco 650 dell'opera-madre: da un procedimento interno di clemenza non ci si attende alcuna traccia estera. Se non se ne attendeva nessuna, un esito negativo non sposta nulla — e va detto, non taciuto.</w:t>
      </w:r>
    </w:p>
    <w:p>
      <w:pPr>
        <w:spacing w:after="120" w:line="276"/>
        <w:jc w:val="both"/>
      </w:pPr>
      <w:r>
        <w:rPr>
          <w:rFonts w:ascii="Barlow Semi Condensed" w:cs="Barlow Semi Condensed" w:eastAsia="Barlow Semi Condensed" w:hAnsi="Barlow Semi Condensed"/>
          <w:b/>
          <w:bCs/>
          <w:sz w:val="24"/>
          <w:szCs w:val="24"/>
        </w:rPr>
        <w:t xml:space="preserve">3614 · La porta ministeriale, dichiarata.</w:t>
      </w:r>
      <w:r>
        <w:rPr>
          <w:rFonts w:ascii="Barlow Semi Condensed" w:cs="Barlow Semi Condensed" w:eastAsia="Barlow Semi Condensed" w:hAnsi="Barlow Semi Condensed"/>
          <w:sz w:val="24"/>
          <w:szCs w:val="24"/>
        </w:rPr>
        <w:t xml:space="preserve"> Censisce i fondi personali dei titolari di Esteri e Difesa del 1978 il blocco 251, che dichiara il raccordo naturale col cantiere estero: le carte italiane che rispondono ai cablo alleati. È la sola porta istituzionale della Parte terza verso la dimensione transatlantica. Va percorsa nel verso giusto: dal cablo alleato all'appunto italiano, e non dall'ipotesi all'archivio, perché nel secondo verso si trova sempre qualcosa.</w:t>
      </w:r>
    </w:p>
    <w:p>
      <w:pPr>
        <w:spacing w:after="120" w:line="276"/>
        <w:jc w:val="both"/>
      </w:pPr>
      <w:r>
        <w:rPr>
          <w:rFonts w:ascii="Barlow Semi Condensed" w:cs="Barlow Semi Condensed" w:eastAsia="Barlow Semi Condensed" w:hAnsi="Barlow Semi Condensed"/>
          <w:b/>
          <w:bCs/>
          <w:sz w:val="24"/>
          <w:szCs w:val="24"/>
        </w:rPr>
        <w:t xml:space="preserve">3615 · La percezione resta percezione.</w:t>
      </w:r>
      <w:r>
        <w:rPr>
          <w:rFonts w:ascii="Barlow Semi Condensed" w:cs="Barlow Semi Condensed" w:eastAsia="Barlow Semi Condensed" w:hAnsi="Barlow Semi Condensed"/>
          <w:sz w:val="24"/>
          <w:szCs w:val="24"/>
        </w:rPr>
        <w:t xml:space="preserve"> I fondi dei dirigenti comunisti alla Fondazione Gramsci e negli istituti collegati (blocco 254) documentano la crisi vista dal partito della fermezza. Vi si troveranno con ogni probabilità valutazioni sull'ostilità americana all'ingresso dei comunisti al governo. Regola di lettura: un documento di partito che valuta una politica estera prova che quel partito così la valutava. È fonte di piano 1 sulla percezione e di piano 3 sul fatto percepito.</w:t>
      </w:r>
    </w:p>
    <w:p>
      <w:pPr>
        <w:spacing w:after="120" w:line="276"/>
        <w:jc w:val="both"/>
      </w:pPr>
      <w:r>
        <w:rPr>
          <w:rFonts w:ascii="Barlow Semi Condensed" w:cs="Barlow Semi Condensed" w:eastAsia="Barlow Semi Condensed" w:hAnsi="Barlow Semi Condensed"/>
          <w:b/>
          <w:bCs/>
          <w:sz w:val="24"/>
          <w:szCs w:val="24"/>
        </w:rPr>
        <w:t xml:space="preserve">3616 · Chi teneva la penna, e chi traduceva.</w:t>
      </w:r>
      <w:r>
        <w:rPr>
          <w:rFonts w:ascii="Barlow Semi Condensed" w:cs="Barlow Semi Condensed" w:eastAsia="Barlow Semi Condensed" w:hAnsi="Barlow Semi Condensed"/>
          <w:sz w:val="24"/>
          <w:szCs w:val="24"/>
        </w:rPr>
        <w:t xml:space="preserve"> Una regola d'oro sta al blocco 257: chi teneva la penna per i principali ha spesso conservato più carta dei principali. Se ne trae un bersaglio inedito e piccolo. L'apparato K registra che Moro non parlava inglese e che un testimone verificò l'episodio con l'interprete: il censimento degli interpreti ufficiali dei colloqui italo-americani del 1974, e delle loro eventuali carte, è un accertamento mai tentato.</w:t>
      </w:r>
    </w:p>
    <w:p>
      <w:pPr>
        <w:spacing w:after="120" w:line="276"/>
        <w:jc w:val="both"/>
      </w:pPr>
      <w:r>
        <w:rPr>
          <w:rFonts w:ascii="Barlow Semi Condensed" w:cs="Barlow Semi Condensed" w:eastAsia="Barlow Semi Condensed" w:hAnsi="Barlow Semi Condensed"/>
          <w:b/>
          <w:bCs/>
          <w:sz w:val="24"/>
          <w:szCs w:val="24"/>
        </w:rPr>
        <w:t xml:space="preserve">3617 · L'urgenza biologica dei testimoni del 1974.</w:t>
      </w:r>
      <w:r>
        <w:rPr>
          <w:rFonts w:ascii="Barlow Semi Condensed" w:cs="Barlow Semi Condensed" w:eastAsia="Barlow Semi Condensed" w:hAnsi="Barlow Semi Condensed"/>
          <w:sz w:val="24"/>
          <w:szCs w:val="24"/>
        </w:rPr>
        <w:t xml:space="preserve"> Elenca i protagonisti le cui carte non risultano in alcun istituto il blocco 259, e propone il deposito, perché ogni successione senza deposito è un rischio secco di dispersione. Vi si aggiunga la lista dei componenti superstiti della delegazione italiana del settembre 1974 — funzionari, collaboratori, interpreti — con la raccolta conservativa delle loro voci. Le carte muoiono coi custodi, e le testimonianze prima delle carte.</w:t>
      </w:r>
    </w:p>
    <w:p>
      <w:pPr>
        <w:spacing w:after="120" w:line="276"/>
        <w:jc w:val="both"/>
      </w:pPr>
      <w:r>
        <w:rPr>
          <w:rFonts w:ascii="Barlow Semi Condensed" w:cs="Barlow Semi Condensed" w:eastAsia="Barlow Semi Condensed" w:hAnsi="Barlow Semi Condensed"/>
          <w:b/>
          <w:bCs/>
          <w:sz w:val="24"/>
          <w:szCs w:val="24"/>
        </w:rPr>
        <w:t xml:space="preserve">3618 · I verbali della direzione democristiana.</w:t>
      </w:r>
      <w:r>
        <w:rPr>
          <w:rFonts w:ascii="Barlow Semi Condensed" w:cs="Barlow Semi Condensed" w:eastAsia="Barlow Semi Condensed" w:hAnsi="Barlow Semi Condensed"/>
          <w:sz w:val="24"/>
          <w:szCs w:val="24"/>
        </w:rPr>
        <w:t xml:space="preserve"> L'archivio degli organi centrali della Democrazia cristiana è dal 1994 all'Istituto Sturzo, e il blocco 262 chiede lo spoglio dei verbali della direzione nei cinquantacinque giorni. Quesito determinato: nelle riunioni verbalizzate del partito del prigioniero risultano riferimenti a posizioni o pressioni internazionali sulla linea della fermezza? Un verbale di partito è fonte diretta su ciò che vi fu detto, non su ciò che fuori accadeva.</w:t>
      </w:r>
    </w:p>
    <w:p>
      <w:pPr>
        <w:spacing w:after="120" w:line="276"/>
        <w:jc w:val="both"/>
      </w:pPr>
      <w:r>
        <w:rPr>
          <w:rFonts w:ascii="Barlow Semi Condensed" w:cs="Barlow Semi Condensed" w:eastAsia="Barlow Semi Condensed" w:hAnsi="Barlow Semi Condensed"/>
          <w:b/>
          <w:bCs/>
          <w:sz w:val="24"/>
          <w:szCs w:val="24"/>
        </w:rPr>
        <w:t xml:space="preserve">3619 · Quattromilacentottantaquattro buste alla Gramsci.</w:t>
      </w:r>
      <w:r>
        <w:rPr>
          <w:rFonts w:ascii="Barlow Semi Condensed" w:cs="Barlow Semi Condensed" w:eastAsia="Barlow Semi Condensed" w:hAnsi="Barlow Semi Condensed"/>
          <w:sz w:val="24"/>
          <w:szCs w:val="24"/>
        </w:rPr>
        <w:t xml:space="preserve"> L'intero archivio del Partito comunista italiano — quattromilacentottantaquattro buste per gli anni 1921-1991, aperto e inventariato, col limite trentennale superato per il 1978 (blocco 264) — consente lo spoglio della direzione e delle sezioni di lavoro. Bersaglio proprio: le carte della sezione esteri sui rapporti con l'amministrazione americana nel biennio 1977-1978, tenute rigorosamente distinte, nella lettura, dalla propaganda coeva del partito.</w:t>
      </w:r>
    </w:p>
    <w:p>
      <w:pPr>
        <w:spacing w:after="120" w:line="276"/>
        <w:jc w:val="both"/>
      </w:pPr>
      <w:r>
        <w:rPr>
          <w:rFonts w:ascii="Barlow Semi Condensed" w:cs="Barlow Semi Condensed" w:eastAsia="Barlow Semi Condensed" w:hAnsi="Barlow Semi Condensed"/>
          <w:b/>
          <w:bCs/>
          <w:sz w:val="24"/>
          <w:szCs w:val="24"/>
        </w:rPr>
        <w:t xml:space="preserve">3620 · L'emeroteca data la prima comparsa.</w:t>
      </w:r>
      <w:r>
        <w:rPr>
          <w:rFonts w:ascii="Barlow Semi Condensed" w:cs="Barlow Semi Condensed" w:eastAsia="Barlow Semi Condensed" w:hAnsi="Barlow Semi Condensed"/>
          <w:sz w:val="24"/>
          <w:szCs w:val="24"/>
        </w:rPr>
        <w:t xml:space="preserve"> Permette un accertamento di circolazione lo spoglio comparato degli organi di partito dei cinquantacinque giorni — l'Unità, Avanti!, il Popolo, la Voce repubblicana, al blocco 268: in quale data il nome compare per la prima volta nella stampa politica italiana in connessione col caso. L'accertamento fissato dall'opera colloca l'origine in una deposizione del novembre 1982; l'emeroteca del 1978 può confermarlo o smentirlo.</w:t>
      </w:r>
    </w:p>
    <w:p>
      <w:pPr>
        <w:spacing w:after="120" w:line="276"/>
        <w:jc w:val="both"/>
      </w:pPr>
      <w:r>
        <w:rPr>
          <w:rFonts w:ascii="Barlow Semi Condensed" w:cs="Barlow Semi Condensed" w:eastAsia="Barlow Semi Condensed" w:hAnsi="Barlow Semi Condensed"/>
          <w:b/>
          <w:bCs/>
          <w:sz w:val="24"/>
          <w:szCs w:val="24"/>
        </w:rPr>
        <w:t xml:space="preserve">3621 · Le annate di OP, numero per numero.</w:t>
      </w:r>
      <w:r>
        <w:rPr>
          <w:rFonts w:ascii="Barlow Semi Condensed" w:cs="Barlow Semi Condensed" w:eastAsia="Barlow Semi Condensed" w:hAnsi="Barlow Semi Condensed"/>
          <w:sz w:val="24"/>
          <w:szCs w:val="24"/>
        </w:rPr>
        <w:t xml:space="preserve"> Le annate 1978-1979 di OP sono consultabili nell'emeroteca della Fondazione Spirito, e il blocco 272 ne chiede lo spoglio datato con la tavola delle anticipazioni misurate contro la cronologia dei fatti. È la sede dove un'allusione internazionale, se circolò allora, dovrebbe comparire. Il metodo è dichiarato: una fonte celebre per allusioni si tratta contando le allusioni verificate, non ripetendo quelle memorabili.</w:t>
      </w:r>
    </w:p>
    <w:p>
      <w:pPr>
        <w:spacing w:after="120" w:line="276"/>
        <w:jc w:val="both"/>
      </w:pPr>
      <w:r>
        <w:rPr>
          <w:rFonts w:ascii="Barlow Semi Condensed" w:cs="Barlow Semi Condensed" w:eastAsia="Barlow Semi Condensed" w:hAnsi="Barlow Semi Condensed"/>
          <w:b/>
          <w:bCs/>
          <w:sz w:val="24"/>
          <w:szCs w:val="24"/>
        </w:rPr>
        <w:t xml:space="preserve">3622 · Racalmuto e i quindicimila.</w:t>
      </w:r>
      <w:r>
        <w:rPr>
          <w:rFonts w:ascii="Barlow Semi Condensed" w:cs="Barlow Semi Condensed" w:eastAsia="Barlow Semi Condensed" w:hAnsi="Barlow Semi Condensed"/>
          <w:sz w:val="24"/>
          <w:szCs w:val="24"/>
        </w:rPr>
        <w:t xml:space="preserve"> Le carte di Leonardo Sciascia alla Fondazione di Racalmuto, con un epistolario di circa quindicimila documenti (blocco 274), custodiscono la genesi dell'Affaire Moro e il lavoro nella Commissione Moro 1, di cui il blocco 275 chiede anche la relazione di minoranza con le carte preparatorie. Quesito: il primo lettore filologico delle lettere considerò l'ipotesi internazionale, e con quali fonti? La risposta sta in un carteggio, non in un'esegesi.</w:t>
      </w:r>
    </w:p>
    <w:p>
      <w:pPr>
        <w:spacing w:after="120" w:line="276"/>
        <w:jc w:val="both"/>
      </w:pPr>
      <w:r>
        <w:rPr>
          <w:rFonts w:ascii="Barlow Semi Condensed" w:cs="Barlow Semi Condensed" w:eastAsia="Barlow Semi Condensed" w:hAnsi="Barlow Semi Condensed"/>
          <w:b/>
          <w:bCs/>
          <w:sz w:val="24"/>
          <w:szCs w:val="24"/>
        </w:rPr>
        <w:t xml:space="preserve">3623 · I corrispondenti americani a Roma.</w:t>
      </w:r>
      <w:r>
        <w:rPr>
          <w:rFonts w:ascii="Barlow Semi Condensed" w:cs="Barlow Semi Condensed" w:eastAsia="Barlow Semi Condensed" w:hAnsi="Barlow Semi Condensed"/>
          <w:sz w:val="24"/>
          <w:szCs w:val="24"/>
        </w:rPr>
        <w:t xml:space="preserve"> Nomina esplicitamente i corrispondenti americani fra gli osservatori stranieri del 1978 il blocco 277, di cui censire i fondi presso università e fondazioni di giornalismo. È l'unica occorrenza della parola in duecentodieci blocchi, e va sfruttata: i taccuini di chi copriva Roma per la stampa statunitense sono la fonte privata più prossima al versante che manca, e la loro sede di deposito è oggi ignota al corpus.</w:t>
      </w:r>
    </w:p>
    <w:p>
      <w:pPr>
        <w:spacing w:after="120" w:line="276"/>
        <w:jc w:val="both"/>
      </w:pPr>
      <w:r>
        <w:rPr>
          <w:rFonts w:ascii="Barlow Semi Condensed" w:cs="Barlow Semi Condensed" w:eastAsia="Barlow Semi Condensed" w:hAnsi="Barlow Semi Condensed"/>
          <w:b/>
          <w:bCs/>
          <w:sz w:val="24"/>
          <w:szCs w:val="24"/>
        </w:rPr>
        <w:t xml:space="preserve">3624 · L'archivio dell'agenzia e il lancio del 2023.</w:t>
      </w:r>
      <w:r>
        <w:rPr>
          <w:rFonts w:ascii="Barlow Semi Condensed" w:cs="Barlow Semi Condensed" w:eastAsia="Barlow Semi Condensed" w:hAnsi="Barlow Semi Condensed"/>
          <w:sz w:val="24"/>
          <w:szCs w:val="24"/>
        </w:rPr>
        <w:t xml:space="preserve"> Indica gli archivi delle agenzie italiane, coi lanci originali e i loro orari, il blocco 278, come spina dorsale oraria della cronaca. La stessa sede chiude un accertamento capitale di quest'opera: la moltiplicazione delle fonti sull'episodio è apparente e risale a un unico lancio del 30 novembre 2023. Quell'archivio conserva il testo con la sua ora: acquisirlo verbatim è l'atto che rende la replicazione misurabile.</w:t>
      </w:r>
    </w:p>
    <w:p>
      <w:pPr>
        <w:spacing w:after="120" w:line="276"/>
        <w:jc w:val="both"/>
      </w:pPr>
      <w:r>
        <w:rPr>
          <w:rFonts w:ascii="Barlow Semi Condensed" w:cs="Barlow Semi Condensed" w:eastAsia="Barlow Semi Condensed" w:hAnsi="Barlow Semi Condensed"/>
          <w:b/>
          <w:bCs/>
          <w:sz w:val="24"/>
          <w:szCs w:val="24"/>
        </w:rPr>
        <w:t xml:space="preserve">3625 · Conservare il web prima che sparisca.</w:t>
      </w:r>
      <w:r>
        <w:rPr>
          <w:rFonts w:ascii="Barlow Semi Condensed" w:cs="Barlow Semi Condensed" w:eastAsia="Barlow Semi Condensed" w:hAnsi="Barlow Semi Condensed"/>
          <w:sz w:val="24"/>
          <w:szCs w:val="24"/>
        </w:rPr>
        <w:t xml:space="preserve"> Prescrive l'archiviazione dei siti e dei progetti online dedicati al caso il blocco 292, perché la pubblicistica digitale è fragile quanto un solaio. Applicazione immediata: la cattura datata delle pagine che nel dicembre 2023 replicarono il lancio d'agenzia, con l'ora di pubblicazione di ciascuna. Solo un corpus catturato consente di dimostrare che decine di occorrenze sono una sola fonte ripetuta, e non una convergenza di testimoni.</w:t>
      </w:r>
    </w:p>
    <w:p>
      <w:pPr>
        <w:spacing w:after="120" w:line="276"/>
        <w:jc w:val="both"/>
      </w:pPr>
      <w:r>
        <w:rPr>
          <w:rFonts w:ascii="Barlow Semi Condensed" w:cs="Barlow Semi Condensed" w:eastAsia="Barlow Semi Condensed" w:hAnsi="Barlow Semi Condensed"/>
          <w:b/>
          <w:bCs/>
          <w:sz w:val="24"/>
          <w:szCs w:val="24"/>
        </w:rPr>
        <w:t xml:space="preserve">3626 · Dove nasce il terziario.</w:t>
      </w:r>
      <w:r>
        <w:rPr>
          <w:rFonts w:ascii="Barlow Semi Condensed" w:cs="Barlow Semi Condensed" w:eastAsia="Barlow Semi Condensed" w:hAnsi="Barlow Semi Condensed"/>
          <w:sz w:val="24"/>
          <w:szCs w:val="24"/>
        </w:rPr>
        <w:t xml:space="preserve"> L'editoria estera sul caso e le sue fonti, bersaglio del blocco 294, è il luogo naturale di produzione delle affermazioni di piano 3: opere che circolano in italiano per traduzione e vi arrivano prive dell'apparato che avevano — o non avevano — nell'originale. La regola operativa va scritta nel censimento: si schedano l'edizione originale, l'anno, l'apparato di note e la loro sopravvivenza in traduzione.</w:t>
      </w:r>
    </w:p>
    <w:p>
      <w:pPr>
        <w:spacing w:after="120" w:line="276"/>
        <w:jc w:val="both"/>
      </w:pPr>
      <w:r>
        <w:rPr>
          <w:rFonts w:ascii="Barlow Semi Condensed" w:cs="Barlow Semi Condensed" w:eastAsia="Barlow Semi Condensed" w:hAnsi="Barlow Semi Condensed"/>
          <w:b/>
          <w:bCs/>
          <w:sz w:val="24"/>
          <w:szCs w:val="24"/>
        </w:rPr>
        <w:t xml:space="preserve">3627 · Griglia unica, verbale di fondo.</w:t>
      </w:r>
      <w:r>
        <w:rPr>
          <w:rFonts w:ascii="Barlow Semi Condensed" w:cs="Barlow Semi Condensed" w:eastAsia="Barlow Semi Condensed" w:hAnsi="Barlow Semi Condensed"/>
          <w:sz w:val="24"/>
          <w:szCs w:val="24"/>
        </w:rPr>
        <w:t xml:space="preserve"> Ogni fondo si spoglia con la stessa griglia dei quindici quesiti costitutivi (blocco 302) e produce il verbale del blocco 303: serie viste, carte rilevanti con segnatura, vuoti, giornate impiegate. Questa serie vi aggiunge un obbligo minimo: il verbale registri le stringhe onomastiche interrogate e le varianti escluse, comprese quelle prodotte dal riconoscimento ottico. Un esito negativo senza le stringhe non è ripetibile, e ciò che non è ripetibile non è un esito.</w:t>
      </w:r>
    </w:p>
    <w:p>
      <w:pPr>
        <w:spacing w:after="120" w:line="276"/>
        <w:jc w:val="both"/>
      </w:pPr>
      <w:r>
        <w:rPr>
          <w:rFonts w:ascii="Barlow Semi Condensed" w:cs="Barlow Semi Condensed" w:eastAsia="Barlow Semi Condensed" w:hAnsi="Barlow Semi Condensed"/>
          <w:b/>
          <w:bCs/>
          <w:sz w:val="24"/>
          <w:szCs w:val="24"/>
        </w:rPr>
        <w:t xml:space="preserve">3628 · La dogana dei falsi.</w:t>
      </w:r>
      <w:r>
        <w:rPr>
          <w:rFonts w:ascii="Barlow Semi Condensed" w:cs="Barlow Semi Condensed" w:eastAsia="Barlow Semi Condensed" w:hAnsi="Barlow Semi Condensed"/>
          <w:sz w:val="24"/>
          <w:szCs w:val="24"/>
        </w:rPr>
        <w:t xml:space="preserve"> Vigila sui documenti apocrifi circolati nei decenni il blocco 308, che ne istituisce il registro e impone la perizia prima della cittadinanza documentale. La vigilanza serve qui più che altrove: un nodo di massima notorietà è il bersaglio preferito della falsificazione, e una carta che lo nominasse avrebbe circolazione immediata e verifica tardiva. Nessun documento entra nel corpus perché è clamoroso; entra se regge l'autenticazione.</w:t>
      </w:r>
    </w:p>
    <w:p>
      <w:pPr>
        <w:spacing w:after="120" w:line="276"/>
        <w:jc w:val="both"/>
      </w:pPr>
      <w:r>
        <w:rPr>
          <w:rFonts w:ascii="Barlow Semi Condensed" w:cs="Barlow Semi Condensed" w:eastAsia="Barlow Semi Condensed" w:hAnsi="Barlow Semi Condensed"/>
          <w:b/>
          <w:bCs/>
          <w:sz w:val="24"/>
          <w:szCs w:val="24"/>
        </w:rPr>
        <w:t xml:space="preserve">3629 · Segnatura o niente.</w:t>
      </w:r>
      <w:r>
        <w:rPr>
          <w:rFonts w:ascii="Barlow Semi Condensed" w:cs="Barlow Semi Condensed" w:eastAsia="Barlow Semi Condensed" w:hAnsi="Barlow Semi Condensed"/>
          <w:sz w:val="24"/>
          <w:szCs w:val="24"/>
        </w:rPr>
        <w:t xml:space="preserve"> Distingue il corpus dalla pubblicistica la regola aurea del blocco 309: ogni carta citata dichiara fondo, serie e busta, anche nella divulgazione. Su questo nodo la regola va applicata senza sconti di celebrità, perché la fonte senza segnatura è un sentito dire elegante, e resta tale anche quando il nome che contiene è il più noto del secolo. Il registro delle scoperte del blocco 324 accoglie soltanto ciò che ha segnatura.</w:t>
      </w:r>
    </w:p>
    <w:p>
      <w:pPr>
        <w:spacing w:after="120" w:line="276"/>
        <w:jc w:val="both"/>
      </w:pPr>
      <w:r>
        <w:rPr>
          <w:rFonts w:ascii="Barlow Semi Condensed" w:cs="Barlow Semi Condensed" w:eastAsia="Barlow Semi Condensed" w:hAnsi="Barlow Semi Condensed"/>
          <w:b/>
          <w:bCs/>
          <w:sz w:val="24"/>
          <w:szCs w:val="24"/>
        </w:rPr>
        <w:t xml:space="preserve">3630 · La riga finale della tavola terza.</w:t>
      </w:r>
      <w:r>
        <w:rPr>
          <w:rFonts w:ascii="Barlow Semi Condensed" w:cs="Barlow Semi Condensed" w:eastAsia="Barlow Semi Condensed" w:hAnsi="Barlow Semi Condensed"/>
          <w:sz w:val="24"/>
          <w:szCs w:val="24"/>
        </w:rPr>
        <w:t xml:space="preserve"> Verbalizza i vuoti dei privati il blocco 328, e il 330 chiude la parte con gli stati di tutti i bersagli. Vi si iscriva l'esito di questa serie: su duecentodieci blocchi, zero occorrenze; cinque aperture verso l'estero, nessuna statunitense; nessun ponte di piano 1 trovato, nessuno escluso; sedi che potrebbero chiudere lo Stato Zero, nominate una per una. Un'assenza dichiarata bene vale più di una presenza suggerita.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quarantottesima — I nove cantieri: reperti e scienze forensi</w:t>
      </w:r>
    </w:p>
    <w:p>
      <w:pPr>
        <w:spacing w:after="120" w:line="276"/>
        <w:jc w:val="both"/>
      </w:pPr>
      <w:r>
        <w:rPr>
          <w:rFonts w:ascii="Barlow Semi Condensed" w:cs="Barlow Semi Condensed" w:eastAsia="Barlow Semi Condensed" w:hAnsi="Barlow Semi Condensed"/>
          <w:i/>
          <w:iCs/>
          <w:sz w:val="24"/>
          <w:szCs w:val="24"/>
        </w:rPr>
        <w:t xml:space="preserve">Blocchi 3631-3710.</w:t>
      </w:r>
    </w:p>
    <w:p>
      <w:pPr>
        <w:spacing w:after="120" w:line="276"/>
        <w:jc w:val="both"/>
      </w:pPr>
      <w:r>
        <w:rPr>
          <w:rFonts w:ascii="Barlow Semi Condensed" w:cs="Barlow Semi Condensed" w:eastAsia="Barlow Semi Condensed" w:hAnsi="Barlow Semi Condensed"/>
          <w:b/>
          <w:bCs/>
          <w:sz w:val="24"/>
          <w:szCs w:val="24"/>
        </w:rPr>
        <w:t xml:space="preserve">3631 · La stringa assente dai duecentosessanta blocchi.</w:t>
      </w:r>
      <w:r>
        <w:rPr>
          <w:rFonts w:ascii="Barlow Semi Condensed" w:cs="Barlow Semi Condensed" w:eastAsia="Barlow Semi Condensed" w:hAnsi="Barlow Semi Condensed"/>
          <w:sz w:val="24"/>
          <w:szCs w:val="24"/>
        </w:rPr>
        <w:t xml:space="preserve"> Accertamento eseguito, grado F: l'interrogazione meccanica del file nove-cantieri-mille-blocchi.md non restituisce alcuna occorrenza della stringa «Kissinger», né nel documento intero né nelle Parti quarta e settima qui assegnate. Identico esito danno l'agenda di ricerca del nuovo caso Moro e il programma investigativo. Il territorio dei reperti e delle scienze forensi tace su questo nome per intero: è il pavimento della serie, e va scritto prima di ogni bersaglio.</w:t>
      </w:r>
    </w:p>
    <w:p>
      <w:pPr>
        <w:spacing w:after="120" w:line="276"/>
        <w:jc w:val="both"/>
      </w:pPr>
      <w:r>
        <w:rPr>
          <w:rFonts w:ascii="Barlow Semi Condensed" w:cs="Barlow Semi Condensed" w:eastAsia="Barlow Semi Condensed" w:hAnsi="Barlow Semi Condensed"/>
          <w:b/>
          <w:bCs/>
          <w:sz w:val="24"/>
          <w:szCs w:val="24"/>
        </w:rPr>
        <w:t xml:space="preserve">3632 · Il perimetro esatto dello Stato Zero.</w:t>
      </w:r>
      <w:r>
        <w:rPr>
          <w:rFonts w:ascii="Barlow Semi Condensed" w:cs="Barlow Semi Condensed" w:eastAsia="Barlow Semi Condensed" w:hAnsi="Barlow Semi Condensed"/>
          <w:sz w:val="24"/>
          <w:szCs w:val="24"/>
        </w:rPr>
        <w:t xml:space="preserve"> Lo Stato Zero si scrive col suo perimetro: duecentosessanta blocchi, dal 331 al 460 e dal 661 al 790, cinque sezioni sui reperti e cinque sulle scienze forensi, nessuna riga che nomini un'autorità statunitense. La sede che lo chiuderebbe non è in questo file: sarebbero gli atti dei cinque processi digitalizzati sotto il coordinamento dell'Archivio di Stato di Roma, dove il nome compare — ma come testimonianza, non come reperto.</w:t>
      </w:r>
    </w:p>
    <w:p>
      <w:pPr>
        <w:spacing w:after="120" w:line="276"/>
        <w:jc w:val="both"/>
      </w:pPr>
      <w:r>
        <w:rPr>
          <w:rFonts w:ascii="Barlow Semi Condensed" w:cs="Barlow Semi Condensed" w:eastAsia="Barlow Semi Condensed" w:hAnsi="Barlow Semi Condensed"/>
          <w:b/>
          <w:bCs/>
          <w:sz w:val="24"/>
          <w:szCs w:val="24"/>
        </w:rPr>
        <w:t xml:space="preserve">3633 · La cronologia che chiude il varco.</w:t>
      </w:r>
      <w:r>
        <w:rPr>
          <w:rFonts w:ascii="Barlow Semi Condensed" w:cs="Barlow Semi Condensed" w:eastAsia="Barlow Semi Condensed" w:hAnsi="Barlow Semi Condensed"/>
          <w:sz w:val="24"/>
          <w:szCs w:val="24"/>
        </w:rPr>
        <w:t xml:space="preserve"> Gli incarichi cessarono il 20 gennaio 1977; i reperti censiti nella Parte quarta nascono fra il 16 marzo e il 9 maggio 1978. Nessun bossolo di via Fani, nessun mozzicone, nessun comunicato ciclostilato cade dentro il periodo in cui quel nome esercitò una funzione pubblica statunitense. L'accertamento è di grado F e vale come vincolo preliminare: precede ogni discussione del territorio e ne rende superflue molte.</w:t>
      </w:r>
    </w:p>
    <w:p>
      <w:pPr>
        <w:spacing w:after="120" w:line="276"/>
        <w:jc w:val="both"/>
      </w:pPr>
      <w:r>
        <w:rPr>
          <w:rFonts w:ascii="Barlow Semi Condensed" w:cs="Barlow Semi Condensed" w:eastAsia="Barlow Semi Condensed" w:hAnsi="Barlow Semi Condensed"/>
          <w:b/>
          <w:bCs/>
          <w:sz w:val="24"/>
          <w:szCs w:val="24"/>
        </w:rPr>
        <w:t xml:space="preserve">3634 · L'unico segmento che si sovrappone.</w:t>
      </w:r>
      <w:r>
        <w:rPr>
          <w:rFonts w:ascii="Barlow Semi Condensed" w:cs="Barlow Semi Condensed" w:eastAsia="Barlow Semi Condensed" w:hAnsi="Barlow Semi Condensed"/>
          <w:sz w:val="24"/>
          <w:szCs w:val="24"/>
        </w:rPr>
        <w:t xml:space="preserve"> Un solo tratto del territorio tocca cronologicamente gli anni della carica: la stratigrafia di via Gradoli, che il blocco 428 data all'uso 1975-1978, e le anagrafi dei veicoli e delle armi anteriori al 1977. La sovrapposizione è reale e va detta. Non è un nesso: la contemporaneità non prova nulla, e il blocco 428 chiede perizie edilizie, impianti e consumi, non nomi.</w:t>
      </w:r>
    </w:p>
    <w:p>
      <w:pPr>
        <w:spacing w:after="120" w:line="276"/>
        <w:jc w:val="both"/>
      </w:pPr>
      <w:r>
        <w:rPr>
          <w:rFonts w:ascii="Barlow Semi Condensed" w:cs="Barlow Semi Condensed" w:eastAsia="Barlow Semi Condensed" w:hAnsi="Barlow Semi Condensed"/>
          <w:b/>
          <w:bCs/>
          <w:sz w:val="24"/>
          <w:szCs w:val="24"/>
        </w:rPr>
        <w:t xml:space="preserve">3635 · Il piano 1 esiste, ma altrove.</w:t>
      </w:r>
      <w:r>
        <w:rPr>
          <w:rFonts w:ascii="Barlow Semi Condensed" w:cs="Barlow Semi Condensed" w:eastAsia="Barlow Semi Condensed" w:hAnsi="Barlow Semi Condensed"/>
          <w:sz w:val="24"/>
          <w:szCs w:val="24"/>
        </w:rPr>
        <w:t xml:space="preserve"> Esiste un documento che nomina la controparte, ed è il memorandum dello Studio Ovale del 25 settembre 1974 — FRUS 1969-1976 E-15 parte 2, documento 350, seconda edizione riveduta; Ford Library, file 1552802. È rapporto diretto documentato, dunque piano 1, ma su un incontro istituzionale del 1974: non è un reperto del caso e non entra nel cantiere della Parte quarta.</w:t>
      </w:r>
    </w:p>
    <w:p>
      <w:pPr>
        <w:spacing w:after="120" w:line="276"/>
        <w:jc w:val="both"/>
      </w:pPr>
      <w:r>
        <w:rPr>
          <w:rFonts w:ascii="Barlow Semi Condensed" w:cs="Barlow Semi Condensed" w:eastAsia="Barlow Semi Condensed" w:hAnsi="Barlow Semi Condensed"/>
          <w:b/>
          <w:bCs/>
          <w:sz w:val="24"/>
          <w:szCs w:val="24"/>
        </w:rPr>
        <w:t xml:space="preserve">3636 · Perché gli oggetti non nominano mandanti.</w:t>
      </w:r>
      <w:r>
        <w:rPr>
          <w:rFonts w:ascii="Barlow Semi Condensed" w:cs="Barlow Semi Condensed" w:eastAsia="Barlow Semi Condensed" w:hAnsi="Barlow Semi Condensed"/>
          <w:sz w:val="24"/>
          <w:szCs w:val="24"/>
        </w:rPr>
        <w:t xml:space="preserve"> Gli oggetti che non ritrattano, come li chiama lo statuto della Parte quarta, sono anche gli oggetti che non parlano di mandanti. Un bossolo identifica un'arma, un profilo identifica una fonte biologica, una sabbia delimita un litorale. Nessuno dei tre produce una catena di comando. È il limite strutturale del territorio, e spiega da solo perché questa serie darà prevalentemente Stati Zero.</w:t>
      </w:r>
    </w:p>
    <w:p>
      <w:pPr>
        <w:spacing w:after="120" w:line="276"/>
        <w:jc w:val="both"/>
      </w:pPr>
      <w:r>
        <w:rPr>
          <w:rFonts w:ascii="Barlow Semi Condensed" w:cs="Barlow Semi Condensed" w:eastAsia="Barlow Semi Condensed" w:hAnsi="Barlow Semi Condensed"/>
          <w:b/>
          <w:bCs/>
          <w:sz w:val="24"/>
          <w:szCs w:val="24"/>
        </w:rPr>
        <w:t xml:space="preserve">3637 · Il blocco 431 applicato a un memorandum.</w:t>
      </w:r>
      <w:r>
        <w:rPr>
          <w:rFonts w:ascii="Barlow Semi Condensed" w:cs="Barlow Semi Condensed" w:eastAsia="Barlow Semi Condensed" w:hAnsi="Barlow Semi Condensed"/>
          <w:sz w:val="24"/>
          <w:szCs w:val="24"/>
        </w:rPr>
        <w:t xml:space="preserve"> Il blocco 431 stabilisce che i documenti sequestrati sono reperti materiali prima che testi: supporti, inchiostri, piegature, impronte. La regola si presta, come regola di lettura e non come ponte, al verbale del 1974: dattiloscritto d'ufficio, redatto da un estensore, conservato in una serie archivistica. Chiedere a quel foglio ciò che la Parte quarta chiede ai comunicati è metodo, non analogia illecita.</w:t>
      </w:r>
    </w:p>
    <w:p>
      <w:pPr>
        <w:spacing w:after="120" w:line="276"/>
        <w:jc w:val="both"/>
      </w:pPr>
      <w:r>
        <w:rPr>
          <w:rFonts w:ascii="Barlow Semi Condensed" w:cs="Barlow Semi Condensed" w:eastAsia="Barlow Semi Condensed" w:hAnsi="Barlow Semi Condensed"/>
          <w:b/>
          <w:bCs/>
          <w:sz w:val="24"/>
          <w:szCs w:val="24"/>
        </w:rPr>
        <w:t xml:space="preserve">3638 · L'edizione non è l'originale.</w:t>
      </w:r>
      <w:r>
        <w:rPr>
          <w:rFonts w:ascii="Barlow Semi Condensed" w:cs="Barlow Semi Condensed" w:eastAsia="Barlow Semi Condensed" w:hAnsi="Barlow Semi Condensed"/>
          <w:sz w:val="24"/>
          <w:szCs w:val="24"/>
        </w:rPr>
        <w:t xml:space="preserve"> Nove comunicati autentici circolarono in copie ciclostilate multiple, senza un originale unico per ciascuna emissione: lo accerta il blocco 432. La stessa distinzione governa il verbale del 1974: la pagina stampata in FRUS è edizione, non originale. L'originale è il dattiloscritto conservato ad Ann Arbor come file 1552802. Il bersaglio è la collazione fra i due, mai eseguita in Italia da nessuno.</w:t>
      </w:r>
    </w:p>
    <w:p>
      <w:pPr>
        <w:spacing w:after="120" w:line="276"/>
        <w:jc w:val="both"/>
      </w:pPr>
      <w:r>
        <w:rPr>
          <w:rFonts w:ascii="Barlow Semi Condensed" w:cs="Barlow Semi Condensed" w:eastAsia="Barlow Semi Condensed" w:hAnsi="Barlow Semi Condensed"/>
          <w:b/>
          <w:bCs/>
          <w:sz w:val="24"/>
          <w:szCs w:val="24"/>
        </w:rPr>
        <w:t xml:space="preserve">3639 · La seconda edizione riveduta, da collazionare.</w:t>
      </w:r>
      <w:r>
        <w:rPr>
          <w:rFonts w:ascii="Barlow Semi Condensed" w:cs="Barlow Semi Condensed" w:eastAsia="Barlow Semi Condensed" w:hAnsi="Barlow Semi Condensed"/>
          <w:sz w:val="24"/>
          <w:szCs w:val="24"/>
        </w:rPr>
        <w:t xml:space="preserve"> La citazione corretta del documento 350 include la seconda edizione riveduta del volume: significa che una prima edizione esiste e differisce. Quesito da portare all'Office of the Historian del Dipartimento di Stato: che cosa fu emendato, su quale base, con quale nota editoriale. Una revisione editoriale è un atto di trasmissione documentabile, e la Parte quarta insegna a trattarla come si tratta una copia difforme.</w:t>
      </w:r>
    </w:p>
    <w:p>
      <w:pPr>
        <w:spacing w:after="120" w:line="276"/>
        <w:jc w:val="both"/>
      </w:pPr>
      <w:r>
        <w:rPr>
          <w:rFonts w:ascii="Barlow Semi Condensed" w:cs="Barlow Semi Condensed" w:eastAsia="Barlow Semi Condensed" w:hAnsi="Barlow Semi Condensed"/>
          <w:b/>
          <w:bCs/>
          <w:sz w:val="24"/>
          <w:szCs w:val="24"/>
        </w:rPr>
        <w:t xml:space="preserve">3640 · Il verbale del giorno dopo (serie XLVIII).</w:t>
      </w:r>
      <w:r>
        <w:rPr>
          <w:rFonts w:ascii="Barlow Semi Condensed" w:cs="Barlow Semi Condensed" w:eastAsia="Barlow Semi Condensed" w:hAnsi="Barlow Semi Condensed"/>
          <w:sz w:val="24"/>
          <w:szCs w:val="24"/>
        </w:rPr>
        <w:t xml:space="preserve"> Del colloquio del 26 settembre 1974 esiste un secondo verbale, file 1552806 della Ford Library, e gli estratti finora reperiti sono parziali e non del tutto concordi. Divergenza registrata, non sciolta. Il bersaglio è la lettura integrale in sala ad Ann Arbor, con trascrizione a fronte degli estratti circolanti: due testimoni dello stesso colloquio si collazionano come due copie dello stesso ciclostile.</w:t>
      </w:r>
    </w:p>
    <w:p>
      <w:pPr>
        <w:spacing w:after="120" w:line="276"/>
        <w:jc w:val="both"/>
      </w:pPr>
      <w:r>
        <w:rPr>
          <w:rFonts w:ascii="Barlow Semi Condensed" w:cs="Barlow Semi Condensed" w:eastAsia="Barlow Semi Condensed" w:hAnsi="Barlow Semi Condensed"/>
          <w:b/>
          <w:bCs/>
          <w:sz w:val="24"/>
          <w:szCs w:val="24"/>
        </w:rPr>
        <w:t xml:space="preserve">3641 · I timbri di declassifica come segni.</w:t>
      </w:r>
      <w:r>
        <w:rPr>
          <w:rFonts w:ascii="Barlow Semi Condensed" w:cs="Barlow Semi Condensed" w:eastAsia="Barlow Semi Condensed" w:hAnsi="Barlow Semi Condensed"/>
          <w:sz w:val="24"/>
          <w:szCs w:val="24"/>
        </w:rPr>
        <w:t xml:space="preserve"> I timbri e le sigle di declassifica apposti sui documenti americani appartengono al genere che il blocco 445 chiama segni di autenticazione: elementi materiali che datano un passaggio amministrativo e consentono di riconoscere i falsi futuri. Censirli sui documenti del 1974 costa poco e produce l'atlante che il blocco 445 chiede per la carta italiana. Nessuna conclusione di merito discende da un timbro.</w:t>
      </w:r>
    </w:p>
    <w:p>
      <w:pPr>
        <w:spacing w:after="120" w:line="276"/>
        <w:jc w:val="both"/>
      </w:pPr>
      <w:r>
        <w:rPr>
          <w:rFonts w:ascii="Barlow Semi Condensed" w:cs="Barlow Semi Condensed" w:eastAsia="Barlow Semi Condensed" w:hAnsi="Barlow Semi Condensed"/>
          <w:b/>
          <w:bCs/>
          <w:sz w:val="24"/>
          <w:szCs w:val="24"/>
        </w:rPr>
        <w:t xml:space="preserve">3642 · Il multispettrale che non si può fare.</w:t>
      </w:r>
      <w:r>
        <w:rPr>
          <w:rFonts w:ascii="Barlow Semi Condensed" w:cs="Barlow Semi Condensed" w:eastAsia="Barlow Semi Condensed" w:hAnsi="Barlow Semi Condensed"/>
          <w:sz w:val="24"/>
          <w:szCs w:val="24"/>
        </w:rPr>
        <w:t xml:space="preserve"> Nessuna lampada multispettrale toccherà quel foglio: il blocco 444 progetta una campagna sui documenti chiave del caso, che sono corpi di reato italiani, mentre il verbale del 1974 è documento d'ufficio straniero, consultabile in sala e non riesaminabile. Stato Zero tecnico, dichiarato. Lo chiuderebbe soltanto un'istanza alla Gerald R. Ford Presidential Library per la riproduzione ad alta definizione dell'originale dattiloscritto.</w:t>
      </w:r>
    </w:p>
    <w:p>
      <w:pPr>
        <w:spacing w:after="120" w:line="276"/>
        <w:jc w:val="both"/>
      </w:pPr>
      <w:r>
        <w:rPr>
          <w:rFonts w:ascii="Barlow Semi Condensed" w:cs="Barlow Semi Condensed" w:eastAsia="Barlow Semi Condensed" w:hAnsi="Barlow Semi Condensed"/>
          <w:b/>
          <w:bCs/>
          <w:sz w:val="24"/>
          <w:szCs w:val="24"/>
        </w:rPr>
        <w:t xml:space="preserve">3643 · Perché le impronte latenti non si applicano.</w:t>
      </w:r>
      <w:r>
        <w:rPr>
          <w:rFonts w:ascii="Barlow Semi Condensed" w:cs="Barlow Semi Condensed" w:eastAsia="Barlow Semi Condensed" w:hAnsi="Barlow Semi Condensed"/>
          <w:sz w:val="24"/>
          <w:szCs w:val="24"/>
        </w:rPr>
        <w:t xml:space="preserve"> Le impronte latenti su carta d'epoca, che il blocco 439 propone per i comunicati e per il borsello Chichiarelli, presuppongono un oggetto sequestrato e una catena di custodia giudiziaria. Un memorandum d'archivio presidenziale non ha né l'una né l'altra: è stato maneggiato per cinquant'anni da funzionari e ricercatori. La tecnica esiste, il presupposto no — e dichiararlo è già un accertamento.</w:t>
      </w:r>
    </w:p>
    <w:p>
      <w:pPr>
        <w:spacing w:after="120" w:line="276"/>
        <w:jc w:val="both"/>
      </w:pPr>
      <w:r>
        <w:rPr>
          <w:rFonts w:ascii="Barlow Semi Condensed" w:cs="Barlow Semi Condensed" w:eastAsia="Barlow Semi Condensed" w:hAnsi="Barlow Semi Condensed"/>
          <w:b/>
          <w:bCs/>
          <w:sz w:val="24"/>
          <w:szCs w:val="24"/>
        </w:rPr>
        <w:t xml:space="preserve">3644 · Il falso che verrà, col nome celebre.</w:t>
      </w:r>
      <w:r>
        <w:rPr>
          <w:rFonts w:ascii="Barlow Semi Condensed" w:cs="Barlow Semi Condensed" w:eastAsia="Barlow Semi Condensed" w:hAnsi="Barlow Semi Condensed"/>
          <w:sz w:val="24"/>
          <w:szCs w:val="24"/>
        </w:rPr>
        <w:t xml:space="preserve"> Il caso attirerà falsari finché vivrà, avverte il blocco 445; il blocco 441 tiene il registro dei falsi materiali, dal comunicato n. 7 del 18 aprile al n. 10 segnalato dalle fonti. Un falso futuro che rechi un nome americano celebre è previsione ragionevole, non profezia: l'atlante dei segni veri va compilato prima, perché dopo si discute e non si perizia.</w:t>
      </w:r>
    </w:p>
    <w:p>
      <w:pPr>
        <w:spacing w:after="120" w:line="276"/>
        <w:jc w:val="both"/>
      </w:pPr>
      <w:r>
        <w:rPr>
          <w:rFonts w:ascii="Barlow Semi Condensed" w:cs="Barlow Semi Condensed" w:eastAsia="Barlow Semi Condensed" w:hAnsi="Barlow Semi Condensed"/>
          <w:b/>
          <w:bCs/>
          <w:sz w:val="24"/>
          <w:szCs w:val="24"/>
        </w:rPr>
        <w:t xml:space="preserve">3645 · Dove il nome entra davvero negli atti.</w:t>
      </w:r>
      <w:r>
        <w:rPr>
          <w:rFonts w:ascii="Barlow Semi Condensed" w:cs="Barlow Semi Condensed" w:eastAsia="Barlow Semi Condensed" w:hAnsi="Barlow Semi Condensed"/>
          <w:sz w:val="24"/>
          <w:szCs w:val="24"/>
        </w:rPr>
        <w:t xml:space="preserve"> Gli atti dei cinque processi, riordinati e digitalizzati sotto il coordinamento dell'Archivio di Stato di Roma, sono lo strumento quotidiano che il blocco 341 assegna al cantiere. È lì, e non fra i reperti, che il nome compare: nel verbale d'udienza della Corte d'assise di Roma del novembre 1982, dove il portavoce di Moro depose de relato. Bersaglio prioritario di questa serie.</w:t>
      </w:r>
    </w:p>
    <w:p>
      <w:pPr>
        <w:spacing w:after="120" w:line="276"/>
        <w:jc w:val="both"/>
      </w:pPr>
      <w:r>
        <w:rPr>
          <w:rFonts w:ascii="Barlow Semi Condensed" w:cs="Barlow Semi Condensed" w:eastAsia="Barlow Semi Condensed" w:hAnsi="Barlow Semi Condensed"/>
          <w:b/>
          <w:bCs/>
          <w:sz w:val="24"/>
          <w:szCs w:val="24"/>
        </w:rPr>
        <w:t xml:space="preserve">3646 · La data d'udienza ancora doppia.</w:t>
      </w:r>
      <w:r>
        <w:rPr>
          <w:rFonts w:ascii="Barlow Semi Condensed" w:cs="Barlow Semi Condensed" w:eastAsia="Barlow Semi Condensed" w:hAnsi="Barlow Semi Condensed"/>
          <w:sz w:val="24"/>
          <w:szCs w:val="24"/>
        </w:rPr>
        <w:t xml:space="preserve"> Il verbale d'udienza va cercato anche per chiudere una divergenza mai sciolta: la datazione più ricorrente indica il 10 novembre 1982, una fonte indica il 15. Un solo documento decide, ed è nel fondo ora digitalizzato. Finché la carta non è letta, la data resta doppia e si riporta doppia: è la regola delle divergenze, applicata al punto più citato dell'intera vicenda.</w:t>
      </w:r>
    </w:p>
    <w:p>
      <w:pPr>
        <w:spacing w:after="120" w:line="276"/>
        <w:jc w:val="both"/>
      </w:pPr>
      <w:r>
        <w:rPr>
          <w:rFonts w:ascii="Barlow Semi Condensed" w:cs="Barlow Semi Condensed" w:eastAsia="Barlow Semi Condensed" w:hAnsi="Barlow Semi Condensed"/>
          <w:b/>
          <w:bCs/>
          <w:sz w:val="24"/>
          <w:szCs w:val="24"/>
        </w:rPr>
        <w:t xml:space="preserve">3647 · Il limite dichiarato che questa sede chiude.</w:t>
      </w:r>
      <w:r>
        <w:rPr>
          <w:rFonts w:ascii="Barlow Semi Condensed" w:cs="Barlow Semi Condensed" w:eastAsia="Barlow Semi Condensed" w:hAnsi="Barlow Semi Condensed"/>
          <w:sz w:val="24"/>
          <w:szCs w:val="24"/>
        </w:rPr>
        <w:t xml:space="preserve"> L'apparato K-5 dell'opera dichiara il proprio limite: la campagna non poté leggere né i resoconti stenografici della Commissione né i verbali d'udienza, e poggiò su fonti secondarie. La digitalizzazione coordinata dall'Archivio di Stato di Roma è esattamente la sede che scioglie quel limite. Il blocco 341 non fu scritto per questo scopo, ma lo serve: è la sola convergenza utile fra territorio e nome.</w:t>
      </w:r>
    </w:p>
    <w:p>
      <w:pPr>
        <w:spacing w:after="120" w:line="276"/>
        <w:jc w:val="both"/>
      </w:pPr>
      <w:r>
        <w:rPr>
          <w:rFonts w:ascii="Barlow Semi Condensed" w:cs="Barlow Semi Condensed" w:eastAsia="Barlow Semi Condensed" w:hAnsi="Barlow Semi Condensed"/>
          <w:b/>
          <w:bCs/>
          <w:sz w:val="24"/>
          <w:szCs w:val="24"/>
        </w:rPr>
        <w:t xml:space="preserve">3648 · Il nome ottenuto, non offerto (serie XLVIII).</w:t>
      </w:r>
      <w:r>
        <w:rPr>
          <w:rFonts w:ascii="Barlow Semi Condensed" w:cs="Barlow Semi Condensed" w:eastAsia="Barlow Semi Condensed" w:hAnsi="Barlow Semi Condensed"/>
          <w:sz w:val="24"/>
          <w:szCs w:val="24"/>
        </w:rPr>
        <w:t xml:space="preserve"> In aula la vedova parlò di un'alta personalità senza nominarla; fu il presidente della corte, richiamando il portavoce, a ottenere l'indicazione. L'attribuzione è dunque indiretta due volte: de relato quanto al fatto, sollecitata quanto al nome. Il verbale stenografico è l'unico luogo dove questa doppia mediazione si misura riga per riga, e finora nessuna ripresa pubblica l'ha fatto.</w:t>
      </w:r>
    </w:p>
    <w:p>
      <w:pPr>
        <w:spacing w:after="120" w:line="276"/>
        <w:jc w:val="both"/>
      </w:pPr>
      <w:r>
        <w:rPr>
          <w:rFonts w:ascii="Barlow Semi Condensed" w:cs="Barlow Semi Condensed" w:eastAsia="Barlow Semi Condensed" w:hAnsi="Barlow Semi Condensed"/>
          <w:b/>
          <w:bCs/>
          <w:sz w:val="24"/>
          <w:szCs w:val="24"/>
        </w:rPr>
        <w:t xml:space="preserve">3649 · Sede confermata, contenuto da riscontrare.</w:t>
      </w:r>
      <w:r>
        <w:rPr>
          <w:rFonts w:ascii="Barlow Semi Condensed" w:cs="Barlow Semi Condensed" w:eastAsia="Barlow Semi Condensed" w:hAnsi="Barlow Semi Condensed"/>
          <w:sz w:val="24"/>
          <w:szCs w:val="24"/>
        </w:rPr>
        <w:t xml:space="preserve"> L'audizione della vedova davanti alla Commissione d'inchiesta è confermata al 1° agosto 1980, atti Doc. XXIII, VIII legislatura; il contenuto verbatim della frase in quella sede resta invece da riscontrare, perché le sintesi la attribuiscono alla deposizione giudiziaria del 1982. Sede confermata, contenuto no: due piani distinti, e l'archivio storico della Camera dei deputati è la sede che li separa.</w:t>
      </w:r>
    </w:p>
    <w:p>
      <w:pPr>
        <w:spacing w:after="120" w:line="276"/>
        <w:jc w:val="both"/>
      </w:pPr>
      <w:r>
        <w:rPr>
          <w:rFonts w:ascii="Barlow Semi Condensed" w:cs="Barlow Semi Condensed" w:eastAsia="Barlow Semi Condensed" w:hAnsi="Barlow Semi Condensed"/>
          <w:b/>
          <w:bCs/>
          <w:sz w:val="24"/>
          <w:szCs w:val="24"/>
        </w:rPr>
        <w:t xml:space="preserve">3650 · Una deposizione non è un reperto.</w:t>
      </w:r>
      <w:r>
        <w:rPr>
          <w:rFonts w:ascii="Barlow Semi Condensed" w:cs="Barlow Semi Condensed" w:eastAsia="Barlow Semi Condensed" w:hAnsi="Barlow Semi Condensed"/>
          <w:sz w:val="24"/>
          <w:szCs w:val="24"/>
        </w:rPr>
        <w:t xml:space="preserve"> Va fissato per evitare la confusione che il territorio renderebbe facile: una testimonianza contenuta negli atti processuali digitalizzati è documento, non corpo di reato. Non ha catena di custodia materiale, non si sottopone a perizia balistica o genetica, non entra nell'inventario del blocco 342. Si valuta con la disciplina delle fonti orali, e resta ciò che è: testimonianza contestata.</w:t>
      </w:r>
    </w:p>
    <w:p>
      <w:pPr>
        <w:spacing w:after="120" w:line="276"/>
        <w:jc w:val="both"/>
      </w:pPr>
      <w:r>
        <w:rPr>
          <w:rFonts w:ascii="Barlow Semi Condensed" w:cs="Barlow Semi Condensed" w:eastAsia="Barlow Semi Condensed" w:hAnsi="Barlow Semi Condensed"/>
          <w:b/>
          <w:bCs/>
          <w:sz w:val="24"/>
          <w:szCs w:val="24"/>
        </w:rPr>
        <w:t xml:space="preserve">3651 · La biografia d'archivio della 128.</w:t>
      </w:r>
      <w:r>
        <w:rPr>
          <w:rFonts w:ascii="Barlow Semi Condensed" w:cs="Barlow Semi Condensed" w:eastAsia="Barlow Semi Condensed" w:hAnsi="Barlow Semi Condensed"/>
          <w:sz w:val="24"/>
          <w:szCs w:val="24"/>
        </w:rPr>
        <w:t xml:space="preserve"> La 128 con targa diplomatica usata come auto di sbarramento è, per il blocco 415, il veicolo più raccontato dell'agguato e quello con la biografia documentale meno scritta: provenienza, targhe, movimenti, tutto da ricostruire sugli atti. È anche l'unico oggetto della Parte quarta la cui descrizione sfiora la sfera diplomatica. Ragione in più per trattarlo con anagrafe e verbali, non con inferenze.</w:t>
      </w:r>
    </w:p>
    <w:p>
      <w:pPr>
        <w:spacing w:after="120" w:line="276"/>
        <w:jc w:val="both"/>
      </w:pPr>
      <w:r>
        <w:rPr>
          <w:rFonts w:ascii="Barlow Semi Condensed" w:cs="Barlow Semi Condensed" w:eastAsia="Barlow Semi Condensed" w:hAnsi="Barlow Semi Condensed"/>
          <w:b/>
          <w:bCs/>
          <w:sz w:val="24"/>
          <w:szCs w:val="24"/>
        </w:rPr>
        <w:t xml:space="preserve">3652 · Dove si accerta una targa CD.</w:t>
      </w:r>
      <w:r>
        <w:rPr>
          <w:rFonts w:ascii="Barlow Semi Condensed" w:cs="Barlow Semi Condensed" w:eastAsia="Barlow Semi Condensed" w:hAnsi="Barlow Semi Condensed"/>
          <w:sz w:val="24"/>
          <w:szCs w:val="24"/>
        </w:rPr>
        <w:t xml:space="preserve"> Una targa diplomatica è un fatto amministrativo con sedi certe: il registro tenuto dal Cerimoniale diplomatico della Repubblica alla Farnesina, gli archivi della motorizzazione e i verbali di sequestro del 16 marzo 1978 ora digitalizzati. Il quesito è enumerativo: quale targa, assegnata a quale missione, quando, e se risulti denunciata rubata. Tre sedi, una risposta oppure uno Stato Zero verbalizzato.</w:t>
      </w:r>
    </w:p>
    <w:p>
      <w:pPr>
        <w:spacing w:after="120" w:line="276"/>
        <w:jc w:val="both"/>
      </w:pPr>
      <w:r>
        <w:rPr>
          <w:rFonts w:ascii="Barlow Semi Condensed" w:cs="Barlow Semi Condensed" w:eastAsia="Barlow Semi Condensed" w:hAnsi="Barlow Semi Condensed"/>
          <w:b/>
          <w:bCs/>
          <w:sz w:val="24"/>
          <w:szCs w:val="24"/>
        </w:rPr>
        <w:t xml:space="preserve">3653 · Dall'aggettivo non discende un nome.</w:t>
      </w:r>
      <w:r>
        <w:rPr>
          <w:rFonts w:ascii="Barlow Semi Condensed" w:cs="Barlow Semi Condensed" w:eastAsia="Barlow Semi Condensed" w:hAnsi="Barlow Semi Condensed"/>
          <w:sz w:val="24"/>
          <w:szCs w:val="24"/>
        </w:rPr>
        <w:t xml:space="preserve"> Dall'aggettivo diplomatico non discende alcuna nazionalità e nessun nome: una targa può essere autentica, contraffatta o rubata, e ciascuna delle tre ipotesi porta altrove. Promuovere l'aggettivo a indizio di un'autorità straniera nominata è il passaggio dal piano 3 al nesso causale, che quest'opera si vieta. Il blocco 415 chiede una biografia d'archivio proprio per impedire quel salto.</w:t>
      </w:r>
    </w:p>
    <w:p>
      <w:pPr>
        <w:spacing w:after="120" w:line="276"/>
        <w:jc w:val="both"/>
      </w:pPr>
      <w:r>
        <w:rPr>
          <w:rFonts w:ascii="Barlow Semi Condensed" w:cs="Barlow Semi Condensed" w:eastAsia="Barlow Semi Condensed" w:hAnsi="Barlow Semi Condensed"/>
          <w:b/>
          <w:bCs/>
          <w:sz w:val="24"/>
          <w:szCs w:val="24"/>
        </w:rPr>
        <w:t xml:space="preserve">3654 · Sette profili senza nazionalità.</w:t>
      </w:r>
      <w:r>
        <w:rPr>
          <w:rFonts w:ascii="Barlow Semi Condensed" w:cs="Barlow Semi Condensed" w:eastAsia="Barlow Semi Condensed" w:hAnsi="Barlow Semi Condensed"/>
          <w:sz w:val="24"/>
          <w:szCs w:val="24"/>
        </w:rPr>
        <w:t xml:space="preserve"> Sette profili ignoti dai mozziconi, secondo la stampa qualificata; la cifra, avverte il blocco 382, va fissata in atto e non in cronaca. Un profilo genetico non ha nazionalità, appartenenza politica né grado gerarchico: dice che un corpo fu lì, non chi lo mandò. Chi legge nei profili orfani una presenza straniera compie un'operazione che il laboratorio non autorizza.</w:t>
      </w:r>
    </w:p>
    <w:p>
      <w:pPr>
        <w:spacing w:after="120" w:line="276"/>
        <w:jc w:val="both"/>
      </w:pPr>
      <w:r>
        <w:rPr>
          <w:rFonts w:ascii="Barlow Semi Condensed" w:cs="Barlow Semi Condensed" w:eastAsia="Barlow Semi Condensed" w:hAnsi="Barlow Semi Condensed"/>
          <w:b/>
          <w:bCs/>
          <w:sz w:val="24"/>
          <w:szCs w:val="24"/>
        </w:rPr>
        <w:t xml:space="preserve">3655 · Nessuna comparazione contro un nome.</w:t>
      </w:r>
      <w:r>
        <w:rPr>
          <w:rFonts w:ascii="Barlow Semi Condensed" w:cs="Barlow Semi Condensed" w:eastAsia="Barlow Semi Condensed" w:hAnsi="Barlow Semi Condensed"/>
          <w:sz w:val="24"/>
          <w:szCs w:val="24"/>
        </w:rPr>
        <w:t xml:space="preserve"> Nessuna comparazione genetica può essere proposta contro una persona nominata senza una base documentale che la giustifichi: lo impone il blocco 289 dell'agenda, che espunge i nomi come esiti attesi, e lo ribadisce il blocco 396 sulle terze presenze in termini genetici. La suggestione onomastica non è base. Questa serie non formula quella richiesta e dichiara di non formularla: è un atto, non una reticenza.</w:t>
      </w:r>
    </w:p>
    <w:p>
      <w:pPr>
        <w:spacing w:after="120" w:line="276"/>
        <w:jc w:val="both"/>
      </w:pPr>
      <w:r>
        <w:rPr>
          <w:rFonts w:ascii="Barlow Semi Condensed" w:cs="Barlow Semi Condensed" w:eastAsia="Barlow Semi Condensed" w:hAnsi="Barlow Semi Condensed"/>
          <w:b/>
          <w:bCs/>
          <w:sz w:val="24"/>
          <w:szCs w:val="24"/>
        </w:rPr>
        <w:t xml:space="preserve">3656 · La regola sui defunti, scritta prima.</w:t>
      </w:r>
      <w:r>
        <w:rPr>
          <w:rFonts w:ascii="Barlow Semi Condensed" w:cs="Barlow Semi Condensed" w:eastAsia="Barlow Semi Condensed" w:hAnsi="Barlow Semi Condensed"/>
          <w:sz w:val="24"/>
          <w:szCs w:val="24"/>
        </w:rPr>
        <w:t xml:space="preserve"> Morto a Kent, nel Connecticut, il 29 novembre 2023: il dato anagrafico renderebbe la domanda sui riferimenti post mortem tecnicamente formulabile, e il blocco 682 la governerebbe con presupposti, autorità e rispetto. Ma il presupposto giuridico manca a monte, perché manca l'indagine che lo giustifichi. La regola scritta prima serve a questo: chiudere una domanda prima che diventi un esperimento.</w:t>
      </w:r>
    </w:p>
    <w:p>
      <w:pPr>
        <w:spacing w:after="120" w:line="276"/>
        <w:jc w:val="both"/>
      </w:pPr>
      <w:r>
        <w:rPr>
          <w:rFonts w:ascii="Barlow Semi Condensed" w:cs="Barlow Semi Condensed" w:eastAsia="Barlow Semi Condensed" w:hAnsi="Barlow Semi Condensed"/>
          <w:b/>
          <w:bCs/>
          <w:sz w:val="24"/>
          <w:szCs w:val="24"/>
        </w:rPr>
        <w:t xml:space="preserve">3657 · Il valore della colonna degli esclusi.</w:t>
      </w:r>
      <w:r>
        <w:rPr>
          <w:rFonts w:ascii="Barlow Semi Condensed" w:cs="Barlow Semi Condensed" w:eastAsia="Barlow Semi Condensed" w:hAnsi="Barlow Semi Condensed"/>
          <w:sz w:val="24"/>
          <w:szCs w:val="24"/>
        </w:rPr>
        <w:t xml:space="preserve"> La colonna degli esclusi che il blocco 383 chiede di ricostruire — chi risulta escluso dalle comparazioni eseguite dal 2016 — è conoscenza piena. Applicata a questo nome non produce nulla, perché nessuna comparazione lo ha mai riguardato né poteva riguardarlo. L'assenza dalla colonna non è un'esclusione: è l'assenza del quesito, e le due cose non vanno confuse nel verbale.</w:t>
      </w:r>
    </w:p>
    <w:p>
      <w:pPr>
        <w:spacing w:after="120" w:line="276"/>
        <w:jc w:val="both"/>
      </w:pPr>
      <w:r>
        <w:rPr>
          <w:rFonts w:ascii="Barlow Semi Condensed" w:cs="Barlow Semi Condensed" w:eastAsia="Barlow Semi Condensed" w:hAnsi="Barlow Semi Condensed"/>
          <w:b/>
          <w:bCs/>
          <w:sz w:val="24"/>
          <w:szCs w:val="24"/>
        </w:rPr>
        <w:t xml:space="preserve">3658 · Che cosa falsificherebbe il nesso genetico.</w:t>
      </w:r>
      <w:r>
        <w:rPr>
          <w:rFonts w:ascii="Barlow Semi Condensed" w:cs="Barlow Semi Condensed" w:eastAsia="Barlow Semi Condensed" w:hAnsi="Barlow Semi Condensed"/>
          <w:sz w:val="24"/>
          <w:szCs w:val="24"/>
        </w:rPr>
        <w:t xml:space="preserve"> Il bersaglio di smentita, scritto per esteso: falsificherebbe l'ipotesi di una presenza estranea documentabile per via genetica un atto — perizia depositata, provvedimento, relazione ufficiale — che attribuisse uno dei profili orfani a persona identificata con cittadinanza estera. Non esiste, e finché non esiste il quesito resta aperto in forma nulla. Le indiscrezioni non contano: lo vieta il blocco 395.</w:t>
      </w:r>
    </w:p>
    <w:p>
      <w:pPr>
        <w:spacing w:after="120" w:line="276"/>
        <w:jc w:val="both"/>
      </w:pPr>
      <w:r>
        <w:rPr>
          <w:rFonts w:ascii="Barlow Semi Condensed" w:cs="Barlow Semi Condensed" w:eastAsia="Barlow Semi Condensed" w:hAnsi="Barlow Semi Condensed"/>
          <w:b/>
          <w:bCs/>
          <w:sz w:val="24"/>
          <w:szCs w:val="24"/>
        </w:rPr>
        <w:t xml:space="preserve">3659 · Il FNAB-43 è arma domestica.</w:t>
      </w:r>
      <w:r>
        <w:rPr>
          <w:rFonts w:ascii="Barlow Semi Condensed" w:cs="Barlow Semi Condensed" w:eastAsia="Barlow Semi Condensed" w:hAnsi="Barlow Semi Condensed"/>
          <w:sz w:val="24"/>
          <w:szCs w:val="24"/>
        </w:rPr>
        <w:t xml:space="preserve"> L'arma prevalente di via Fani è un FNAB-43, mitra italiano di produzione bresciana del tempo di guerra, e il blocco 353 chiede il censimento degli esemplari sequestrati in Italia in cinquant'anni di procedimenti. La provenienza dell'oggetto è interna e storica. Nessun documento del corpus registra una catena di fornitura estera, e la caccia all'esemplare fisico resta il bersaglio discriminante.</w:t>
      </w:r>
    </w:p>
    <w:p>
      <w:pPr>
        <w:spacing w:after="120" w:line="276"/>
        <w:jc w:val="both"/>
      </w:pPr>
      <w:r>
        <w:rPr>
          <w:rFonts w:ascii="Barlow Semi Condensed" w:cs="Barlow Semi Condensed" w:eastAsia="Barlow Semi Condensed" w:hAnsi="Barlow Semi Condensed"/>
          <w:b/>
          <w:bCs/>
          <w:sz w:val="24"/>
          <w:szCs w:val="24"/>
        </w:rPr>
        <w:t xml:space="preserve">3660 · Il censimento delle armi mancanti.</w:t>
      </w:r>
      <w:r>
        <w:rPr>
          <w:rFonts w:ascii="Barlow Semi Condensed" w:cs="Barlow Semi Condensed" w:eastAsia="Barlow Semi Condensed" w:hAnsi="Barlow Semi Condensed"/>
          <w:sz w:val="24"/>
          <w:szCs w:val="24"/>
        </w:rPr>
        <w:t xml:space="preserve"> Il censimento negativo del blocco 366 — le armi dell'azione mai recuperate — è la tavola che ogni sequestro futuro dovrà interrogare. Vale qui come Stato Zero di provenienza: non risulta agli atti alcun documento di fornitura, importazione o cessione che leghi una di quelle armi a un apparato straniero. Lo chiuderebbe un verbale di sequestro con provenienza documentata, non una ricostruzione.</w:t>
      </w:r>
    </w:p>
    <w:p>
      <w:pPr>
        <w:spacing w:after="120" w:line="276"/>
        <w:jc w:val="both"/>
      </w:pPr>
      <w:r>
        <w:rPr>
          <w:rFonts w:ascii="Barlow Semi Condensed" w:cs="Barlow Semi Condensed" w:eastAsia="Barlow Semi Condensed" w:hAnsi="Barlow Semi Condensed"/>
          <w:b/>
          <w:bCs/>
          <w:sz w:val="24"/>
          <w:szCs w:val="24"/>
        </w:rPr>
        <w:t xml:space="preserve">3661 · L'interrogazione transfrontaliera da chiedere.</w:t>
      </w:r>
      <w:r>
        <w:rPr>
          <w:rFonts w:ascii="Barlow Semi Condensed" w:cs="Barlow Semi Condensed" w:eastAsia="Barlow Semi Condensed" w:hAnsi="Barlow Semi Condensed"/>
          <w:sz w:val="24"/>
          <w:szCs w:val="24"/>
        </w:rPr>
        <w:t xml:space="preserve"> L'interrogazione delle banche estere che il blocco 372 propone a costo basso non risulta mai formalizzata per i reperti balistici del caso. Il quesito ha destinatari precisi: il Servizio per la cooperazione internazionale di polizia e l'ufficio centrale nazionale Interpol di Roma. Domanda scritta, risposta scritta, e in entrambi i casi una carta: è il criterio con cui l'agenda misura ogni pista.</w:t>
      </w:r>
    </w:p>
    <w:p>
      <w:pPr>
        <w:spacing w:after="120" w:line="276"/>
        <w:jc w:val="both"/>
      </w:pPr>
      <w:r>
        <w:rPr>
          <w:rFonts w:ascii="Barlow Semi Condensed" w:cs="Barlow Semi Condensed" w:eastAsia="Barlow Semi Condensed" w:hAnsi="Barlow Semi Condensed"/>
          <w:b/>
          <w:bCs/>
          <w:sz w:val="24"/>
          <w:szCs w:val="24"/>
        </w:rPr>
        <w:t xml:space="preserve">3662 · Il caricatore, e il suo modello ignoto.</w:t>
      </w:r>
      <w:r>
        <w:rPr>
          <w:rFonts w:ascii="Barlow Semi Condensed" w:cs="Barlow Semi Condensed" w:eastAsia="Barlow Semi Condensed" w:hAnsi="Barlow Semi Condensed"/>
          <w:sz w:val="24"/>
          <w:szCs w:val="24"/>
        </w:rPr>
        <w:t xml:space="preserve"> Il caricatore repertato all'angolo fra via Fani e via Stresa non fu mai comparato in quarantott'anni, e il blocco 357 registra che il suo modello esatto non è univocamente specificato nelle fonti aperte. Nuovi esami sono stati disposti dal giudice, con esiti non ancora pubblici. Fino all'atto, ogni discorso su quel reperto — compreso qualunque discorso di provenienza — è privo di oggetto.</w:t>
      </w:r>
    </w:p>
    <w:p>
      <w:pPr>
        <w:spacing w:after="120" w:line="276"/>
        <w:jc w:val="both"/>
      </w:pPr>
      <w:r>
        <w:rPr>
          <w:rFonts w:ascii="Barlow Semi Condensed" w:cs="Barlow Semi Condensed" w:eastAsia="Barlow Semi Condensed" w:hAnsi="Barlow Semi Condensed"/>
          <w:b/>
          <w:bCs/>
          <w:sz w:val="24"/>
          <w:szCs w:val="24"/>
        </w:rPr>
        <w:t xml:space="preserve">3663 · La nazionalità del fornitore non basta.</w:t>
      </w:r>
      <w:r>
        <w:rPr>
          <w:rFonts w:ascii="Barlow Semi Condensed" w:cs="Barlow Semi Condensed" w:eastAsia="Barlow Semi Condensed" w:hAnsi="Barlow Semi Condensed"/>
          <w:sz w:val="24"/>
          <w:szCs w:val="24"/>
        </w:rPr>
        <w:t xml:space="preserve"> I sistemi automatizzati di comparazione balistica in uso presso le forze italiane appartengono a famiglie tecnologiche di produzione estera, e il blocco 686 avverte che l'assetto istituzionale non è confermabile da fonti aperte. La provenienza industriale di uno strumento è dato merceologico. Convertirla in dato politico è il tipo esatto di scivolamento che la regola dei tre piani esiste per fermare.</w:t>
      </w:r>
    </w:p>
    <w:p>
      <w:pPr>
        <w:spacing w:after="120" w:line="276"/>
        <w:jc w:val="both"/>
      </w:pPr>
      <w:r>
        <w:rPr>
          <w:rFonts w:ascii="Barlow Semi Condensed" w:cs="Barlow Semi Condensed" w:eastAsia="Barlow Semi Condensed" w:hAnsi="Barlow Semi Condensed"/>
          <w:b/>
          <w:bCs/>
          <w:sz w:val="24"/>
          <w:szCs w:val="24"/>
        </w:rPr>
        <w:t xml:space="preserve">3664 · La perizia divergente del 1993.</w:t>
      </w:r>
      <w:r>
        <w:rPr>
          <w:rFonts w:ascii="Barlow Semi Condensed" w:cs="Barlow Semi Condensed" w:eastAsia="Barlow Semi Condensed" w:hAnsi="Barlow Semi Condensed"/>
          <w:sz w:val="24"/>
          <w:szCs w:val="24"/>
        </w:rPr>
        <w:t xml:space="preserve"> La perizia balistica del 1993 non confermò integralmente l'attribuzione del 1978, ritenendo possibile la provenienza dei colpi da entrambi i FNAB; l'esame del Servizio Polizia scientifica illustrato alla Moro 2 il 10 giugno 2015 confermò i quarantanove e declassò a esito non conclusivo l'attribuzione dei ventidue. Tre stagioni peritali divergenti: si riportano tutte, e nessuna delle tre nomina alcuno.</w:t>
      </w:r>
    </w:p>
    <w:p>
      <w:pPr>
        <w:spacing w:after="120" w:line="276"/>
        <w:jc w:val="both"/>
      </w:pPr>
      <w:r>
        <w:rPr>
          <w:rFonts w:ascii="Barlow Semi Condensed" w:cs="Barlow Semi Condensed" w:eastAsia="Barlow Semi Condensed" w:hAnsi="Barlow Semi Condensed"/>
          <w:b/>
          <w:bCs/>
          <w:sz w:val="24"/>
          <w:szCs w:val="24"/>
        </w:rPr>
        <w:t xml:space="preserve">3665 · Un fatto tecnico non è una mano.</w:t>
      </w:r>
      <w:r>
        <w:rPr>
          <w:rFonts w:ascii="Barlow Semi Condensed" w:cs="Barlow Semi Condensed" w:eastAsia="Barlow Semi Condensed" w:hAnsi="Barlow Semi Condensed"/>
          <w:sz w:val="24"/>
          <w:szCs w:val="24"/>
        </w:rPr>
        <w:t xml:space="preserve"> Quarantanove colpi da un'unica arma è un accertamento tecnico; chi impugnò quell'arma resta materia del giudicato esistente e delle indagini aperte, avverte il blocco 371. La distinzione vale a maggior ragione verso l'esterno: se la mono-arma non autorizza a nominare un esecutore, tanto meno autorizza a nominare un mandante. Il perimetro è scritto nel territorio, non aggiunto da questa serie.</w:t>
      </w:r>
    </w:p>
    <w:p>
      <w:pPr>
        <w:spacing w:after="120" w:line="276"/>
        <w:jc w:val="both"/>
      </w:pPr>
      <w:r>
        <w:rPr>
          <w:rFonts w:ascii="Barlow Semi Condensed" w:cs="Barlow Semi Condensed" w:eastAsia="Barlow Semi Condensed" w:hAnsi="Barlow Semi Condensed"/>
          <w:b/>
          <w:bCs/>
          <w:sz w:val="24"/>
          <w:szCs w:val="24"/>
        </w:rPr>
        <w:t xml:space="preserve">3666 · Che cosa falsificherebbe il nesso balistico.</w:t>
      </w:r>
      <w:r>
        <w:rPr>
          <w:rFonts w:ascii="Barlow Semi Condensed" w:cs="Barlow Semi Condensed" w:eastAsia="Barlow Semi Condensed" w:hAnsi="Barlow Semi Condensed"/>
          <w:sz w:val="24"/>
          <w:szCs w:val="24"/>
        </w:rPr>
        <w:t xml:space="preserve"> Falsificherebbe l'ipotesi di una provenienza estera delle armi un documento primario di fornitura o di transito che nominasse un'amministrazione straniera e fosse collegabile per numero di matricola a un'arma del giudicato. Il corpus non lo possiede. Lo cercherebbe nei fascicoli dei sequestri collegati e negli atti dei procedimenti sulle armi degli anni Settanta, non nella pubblicistica che l'ipotesi la presuppone.</w:t>
      </w:r>
    </w:p>
    <w:p>
      <w:pPr>
        <w:spacing w:after="120" w:line="276"/>
        <w:jc w:val="both"/>
      </w:pPr>
      <w:r>
        <w:rPr>
          <w:rFonts w:ascii="Barlow Semi Condensed" w:cs="Barlow Semi Condensed" w:eastAsia="Barlow Semi Condensed" w:hAnsi="Barlow Semi Condensed"/>
          <w:b/>
          <w:bCs/>
          <w:sz w:val="24"/>
          <w:szCs w:val="24"/>
        </w:rPr>
        <w:t xml:space="preserve">3667 · La sabbia del litorale tirrenico.</w:t>
      </w:r>
      <w:r>
        <w:rPr>
          <w:rFonts w:ascii="Barlow Semi Condensed" w:cs="Barlow Semi Condensed" w:eastAsia="Barlow Semi Condensed" w:hAnsi="Barlow Semi Condensed"/>
          <w:sz w:val="24"/>
          <w:szCs w:val="24"/>
        </w:rPr>
        <w:t xml:space="preserve"> Nel 1978 la perizia geologico-botanica condotta dal geologo Gianni Lombardi con Valerio Giacomini giudicò la sabbia del risvolto sinistro dei pantaloni e delle scarpe esclusiva del litorale tirrenico laziale, con localizzazione nell'area di Focene-Marina di Palidoro; la Moro 2 rilanciò gli accertamenti fra 2016 e 2017. È il reperto più suggestivo del cantiere e il più esposto agli usi impropri.</w:t>
      </w:r>
    </w:p>
    <w:p>
      <w:pPr>
        <w:spacing w:after="120" w:line="276"/>
        <w:jc w:val="both"/>
      </w:pPr>
      <w:r>
        <w:rPr>
          <w:rFonts w:ascii="Barlow Semi Condensed" w:cs="Barlow Semi Condensed" w:eastAsia="Barlow Semi Condensed" w:hAnsi="Barlow Semi Condensed"/>
          <w:b/>
          <w:bCs/>
          <w:sz w:val="24"/>
          <w:szCs w:val="24"/>
        </w:rPr>
        <w:t xml:space="preserve">3668 · Un poligono non nomina proprietari.</w:t>
      </w:r>
      <w:r>
        <w:rPr>
          <w:rFonts w:ascii="Barlow Semi Condensed" w:cs="Barlow Semi Condensed" w:eastAsia="Barlow Semi Condensed" w:hAnsi="Barlow Semi Condensed"/>
          <w:sz w:val="24"/>
          <w:szCs w:val="24"/>
        </w:rPr>
        <w:t xml:space="preserve"> Senza margini lo scrive il blocco 412: il poligono di compatibilità geografica è un perimetro misurato, e nessun luogo viene nominato. Ne discende il divieto che questa serie applica al proprio oggetto: da un perimetro costiero non si ricava l'indirizzo di una struttura, e da un indirizzo non si ricava un nome. La geologia delimita aree; le istituzioni le abitano senza esserne dedotte.</w:t>
      </w:r>
    </w:p>
    <w:p>
      <w:pPr>
        <w:spacing w:after="120" w:line="276"/>
        <w:jc w:val="both"/>
      </w:pPr>
      <w:r>
        <w:rPr>
          <w:rFonts w:ascii="Barlow Semi Condensed" w:cs="Barlow Semi Condensed" w:eastAsia="Barlow Semi Condensed" w:hAnsi="Barlow Semi Condensed"/>
          <w:b/>
          <w:bCs/>
          <w:sz w:val="24"/>
          <w:szCs w:val="24"/>
        </w:rPr>
        <w:t xml:space="preserve">3669 · Pollini e coperta come traccianti industriali.</w:t>
      </w:r>
      <w:r>
        <w:rPr>
          <w:rFonts w:ascii="Barlow Semi Condensed" w:cs="Barlow Semi Condensed" w:eastAsia="Barlow Semi Condensed" w:hAnsi="Barlow Semi Condensed"/>
          <w:sz w:val="24"/>
          <w:szCs w:val="24"/>
        </w:rPr>
        <w:t xml:space="preserve"> La palinologia moderna sugli abiti e la merceologia della coperta del ritrovamento, che i blocchi 409 e 410 chiedono di ripetere a risoluzione attuale, lavorano su taxa e su catene di produzione. L'oggetto più umile del caso è un tracciante industriale: dove fu prodotto, dove venduto, quanto comune. Nessuna di queste risposte è, per costruzione, una risposta su persone.</w:t>
      </w:r>
    </w:p>
    <w:p>
      <w:pPr>
        <w:spacing w:after="120" w:line="276"/>
        <w:jc w:val="both"/>
      </w:pPr>
      <w:r>
        <w:rPr>
          <w:rFonts w:ascii="Barlow Semi Condensed" w:cs="Barlow Semi Condensed" w:eastAsia="Barlow Semi Condensed" w:hAnsi="Barlow Semi Condensed"/>
          <w:b/>
          <w:bCs/>
          <w:sz w:val="24"/>
          <w:szCs w:val="24"/>
        </w:rPr>
        <w:t xml:space="preserve">3670 · Le firme isotopiche e il loro limite.</w:t>
      </w:r>
      <w:r>
        <w:rPr>
          <w:rFonts w:ascii="Barlow Semi Condensed" w:cs="Barlow Semi Condensed" w:eastAsia="Barlow Semi Condensed" w:hAnsi="Barlow Semi Condensed"/>
          <w:sz w:val="24"/>
          <w:szCs w:val="24"/>
        </w:rPr>
        <w:t xml:space="preserve"> Le firme isotopiche per le provenienze, che il blocco 745 iscrive fra le frontiere con parere mirato, potrebbero un giorno collocare all'estero l'origine di un materiale del caso: carte, metalli, tessuti. Va scritto adesso, prima dell'esito: una provenienza industriale estera non è una provenienza politica, e il blocco 688 sulle banche merceologiche fissa il contesto statistico che impedisce la sovrainterpretazione.</w:t>
      </w:r>
    </w:p>
    <w:p>
      <w:pPr>
        <w:spacing w:after="120" w:line="276"/>
        <w:jc w:val="both"/>
      </w:pPr>
      <w:r>
        <w:rPr>
          <w:rFonts w:ascii="Barlow Semi Condensed" w:cs="Barlow Semi Condensed" w:eastAsia="Barlow Semi Condensed" w:hAnsi="Barlow Semi Condensed"/>
          <w:b/>
          <w:bCs/>
          <w:sz w:val="24"/>
          <w:szCs w:val="24"/>
        </w:rPr>
        <w:t xml:space="preserve">3671 · I veicoli e la loro sorte fisica.</w:t>
      </w:r>
      <w:r>
        <w:rPr>
          <w:rFonts w:ascii="Barlow Semi Condensed" w:cs="Barlow Semi Condensed" w:eastAsia="Barlow Semi Condensed" w:hAnsi="Barlow Semi Condensed"/>
          <w:sz w:val="24"/>
          <w:szCs w:val="24"/>
        </w:rPr>
        <w:t xml:space="preserve"> Dove il metallo esista ancora e dove resti soltanto il fascicolo peritale digitalizzato lo verifica la tavola dei veicoli chiesta dai blocchi 414 e 416: la 132, le 128, i mezzi della fuga e dei trasbordi. È lavoro di anagrafe e di deposito. Nessuna delle righe di quella tavola, allo stato delle fonti, porta scritta una provenienza che esca dai confini nazionali.</w:t>
      </w:r>
    </w:p>
    <w:p>
      <w:pPr>
        <w:spacing w:after="120" w:line="276"/>
        <w:jc w:val="both"/>
      </w:pPr>
      <w:r>
        <w:rPr>
          <w:rFonts w:ascii="Barlow Semi Condensed" w:cs="Barlow Semi Condensed" w:eastAsia="Barlow Semi Condensed" w:hAnsi="Barlow Semi Condensed"/>
          <w:b/>
          <w:bCs/>
          <w:sz w:val="24"/>
          <w:szCs w:val="24"/>
        </w:rPr>
        <w:t xml:space="preserve">3672 · L'anagrafe motociclistica contro la suggestione.</w:t>
      </w:r>
      <w:r>
        <w:rPr>
          <w:rFonts w:ascii="Barlow Semi Condensed" w:cs="Barlow Semi Condensed" w:eastAsia="Barlow Semi Condensed" w:hAnsi="Barlow Semi Condensed"/>
          <w:sz w:val="24"/>
          <w:szCs w:val="24"/>
        </w:rPr>
        <w:t xml:space="preserve"> L'anagrafe delle Honda del blocco 417, gemella del blocco 80 dell'agenda, si costruisce con immatricolazioni, furti denunciati e verbali di rinvenimento del 1978. È il modello di come il territorio tratta una presenza discussa: si lavora ad anagrafe, non a suggestione. La stessa disciplina, applicata a una presenza straniera ipotizzata, produce lo stesso esito — una tavola, oppure un vuoto verbalizzato.</w:t>
      </w:r>
    </w:p>
    <w:p>
      <w:pPr>
        <w:spacing w:after="120" w:line="276"/>
        <w:jc w:val="both"/>
      </w:pPr>
      <w:r>
        <w:rPr>
          <w:rFonts w:ascii="Barlow Semi Condensed" w:cs="Barlow Semi Condensed" w:eastAsia="Barlow Semi Condensed" w:hAnsi="Barlow Semi Condensed"/>
          <w:b/>
          <w:bCs/>
          <w:sz w:val="24"/>
          <w:szCs w:val="24"/>
        </w:rPr>
        <w:t xml:space="preserve">3673 · Cinque borse, e il vuoto più raccontato.</w:t>
      </w:r>
      <w:r>
        <w:rPr>
          <w:rFonts w:ascii="Barlow Semi Condensed" w:cs="Barlow Semi Condensed" w:eastAsia="Barlow Semi Condensed" w:hAnsi="Barlow Semi Condensed"/>
          <w:sz w:val="24"/>
          <w:szCs w:val="24"/>
        </w:rPr>
        <w:t xml:space="preserve"> Cinque borse quella mattina secondo la testimonianza della vedova, parte rinvenute sulla 130, due asportate secondo la ricostruzione prevalente e mai ritrovate, con varianti fra le fonti dichiarate: il blocco 457 chiude il punto con uno Stato Zero formale. Ogni attribuzione delle borse mancanti a una mano straniera è affermazione terziaria. Lo chiuderebbero i verbali del 16 marzo 1978, ora digitalizzati.</w:t>
      </w:r>
    </w:p>
    <w:p>
      <w:pPr>
        <w:spacing w:after="120" w:line="276"/>
        <w:jc w:val="both"/>
      </w:pPr>
      <w:r>
        <w:rPr>
          <w:rFonts w:ascii="Barlow Semi Condensed" w:cs="Barlow Semi Condensed" w:eastAsia="Barlow Semi Condensed" w:hAnsi="Barlow Semi Condensed"/>
          <w:b/>
          <w:bCs/>
          <w:sz w:val="24"/>
          <w:szCs w:val="24"/>
        </w:rPr>
        <w:t xml:space="preserve">3674 · La foto della prigione, misurata.</w:t>
      </w:r>
      <w:r>
        <w:rPr>
          <w:rFonts w:ascii="Barlow Semi Condensed" w:cs="Barlow Semi Condensed" w:eastAsia="Barlow Semi Condensed" w:hAnsi="Barlow Semi Condensed"/>
          <w:sz w:val="24"/>
          <w:szCs w:val="24"/>
        </w:rPr>
        <w:t xml:space="preserve"> La fotografia più celebre d'Italia ha una scena materiale, ricordano i blocchi 424 e 425: pellicola, sviluppo, formati, fotogrammetria del fondale, compatibilità coi luoghi. Trattarla come icona da interpretare è precisamente ciò che il cantiere vieta. Misure, non suggestioni: e nessuna misura del fondale ha mai prodotto, né potrebbe produrre, l'indicazione di una committenza esterna alle presenze giudicate.</w:t>
      </w:r>
    </w:p>
    <w:p>
      <w:pPr>
        <w:spacing w:after="120" w:line="276"/>
        <w:jc w:val="both"/>
      </w:pPr>
      <w:r>
        <w:rPr>
          <w:rFonts w:ascii="Barlow Semi Condensed" w:cs="Barlow Semi Condensed" w:eastAsia="Barlow Semi Condensed" w:hAnsi="Barlow Semi Condensed"/>
          <w:b/>
          <w:bCs/>
          <w:sz w:val="24"/>
          <w:szCs w:val="24"/>
        </w:rPr>
        <w:t xml:space="preserve">3675 · Senza inventario nessuna assenza è misurabile.</w:t>
      </w:r>
      <w:r>
        <w:rPr>
          <w:rFonts w:ascii="Barlow Semi Condensed" w:cs="Barlow Semi Condensed" w:eastAsia="Barlow Semi Condensed" w:hAnsi="Barlow Semi Condensed"/>
          <w:sz w:val="24"/>
          <w:szCs w:val="24"/>
        </w:rPr>
        <w:t xml:space="preserve"> Manca l'inventario pubblico unitario dei reperti minori: lo accerta il blocco 331 e ne fa il bersaglio fondativo della parte, che il blocco 342 chiede di pubblicare e mantenere. La conseguenza per questa serie è tecnica e severa: finché la tavola non esiste, nessuno può dichiarare con precisione che cosa manchi. Anche gli Stati Zero materiali hanno bisogno di un inventario per essere veri.</w:t>
      </w:r>
    </w:p>
    <w:p>
      <w:pPr>
        <w:spacing w:after="120" w:line="276"/>
        <w:jc w:val="both"/>
      </w:pPr>
      <w:r>
        <w:rPr>
          <w:rFonts w:ascii="Barlow Semi Condensed" w:cs="Barlow Semi Condensed" w:eastAsia="Barlow Semi Condensed" w:hAnsi="Barlow Semi Condensed"/>
          <w:b/>
          <w:bCs/>
          <w:sz w:val="24"/>
          <w:szCs w:val="24"/>
        </w:rPr>
        <w:t xml:space="preserve">3676 · Le mani note del mezzo secolo.</w:t>
      </w:r>
      <w:r>
        <w:rPr>
          <w:rFonts w:ascii="Barlow Semi Condensed" w:cs="Barlow Semi Condensed" w:eastAsia="Barlow Semi Condensed" w:hAnsi="Barlow Semi Condensed"/>
          <w:sz w:val="24"/>
          <w:szCs w:val="24"/>
        </w:rPr>
        <w:t xml:space="preserve"> La catena di custodia ricostruita reperto per reperto e il registro delle manipolazioni, blocchi 333 e 334, producono il database di eliminazione che il blocco 188 dell'agenda esige. Contiene una domanda mai posta pubblicamente: se nei verbali del 1978 e nei passaggi successivi risultino tecnici o operatori stranieri. La risposta, quale che sia, è un accertamento — e oggi non esiste.</w:t>
      </w:r>
    </w:p>
    <w:p>
      <w:pPr>
        <w:spacing w:after="120" w:line="276"/>
        <w:jc w:val="both"/>
      </w:pPr>
      <w:r>
        <w:rPr>
          <w:rFonts w:ascii="Barlow Semi Condensed" w:cs="Barlow Semi Condensed" w:eastAsia="Barlow Semi Condensed" w:hAnsi="Barlow Semi Condensed"/>
          <w:b/>
          <w:bCs/>
          <w:sz w:val="24"/>
          <w:szCs w:val="24"/>
        </w:rPr>
        <w:t xml:space="preserve">3677 · Un reperto è mai uscito dall'Italia.</w:t>
      </w:r>
      <w:r>
        <w:rPr>
          <w:rFonts w:ascii="Barlow Semi Condensed" w:cs="Barlow Semi Condensed" w:eastAsia="Barlow Semi Condensed" w:hAnsi="Barlow Semi Condensed"/>
          <w:sz w:val="24"/>
          <w:szCs w:val="24"/>
        </w:rPr>
        <w:t xml:space="preserve"> Il ricorso a laboratori esteri, che il blocco 704 contempla con le sue condizioni di catena, diritto e costi, pone un quesito retrospettivo che nessuno ha mai formulato: se un reperto del caso abbia mai lasciato il territorio nazionale per un esame, quando e verso quale Paese. Sede della risposta: i verbali di trasmissione negli atti dei cinque processi.</w:t>
      </w:r>
    </w:p>
    <w:p>
      <w:pPr>
        <w:spacing w:after="120" w:line="276"/>
        <w:jc w:val="both"/>
      </w:pPr>
      <w:r>
        <w:rPr>
          <w:rFonts w:ascii="Barlow Semi Condensed" w:cs="Barlow Semi Condensed" w:eastAsia="Barlow Semi Condensed" w:hAnsi="Barlow Semi Condensed"/>
          <w:b/>
          <w:bCs/>
          <w:sz w:val="24"/>
          <w:szCs w:val="24"/>
        </w:rPr>
        <w:t xml:space="preserve">3678 · La mappa dell'irrecuperabile.</w:t>
      </w:r>
      <w:r>
        <w:rPr>
          <w:rFonts w:ascii="Barlow Semi Condensed" w:cs="Barlow Semi Condensed" w:eastAsia="Barlow Semi Condensed" w:hAnsi="Barlow Semi Condensed"/>
          <w:sz w:val="24"/>
          <w:szCs w:val="24"/>
        </w:rPr>
        <w:t xml:space="preserve"> I distrutti per provvedimento del blocco 338 e i vuoti dei reperti del blocco 456 disegnano insieme la mappa di ciò che la scienza non potrà mai più chiedere. È Stato Zero materiale, scritto senza recriminazione. Vale anche in questa direzione: un reperto distrutto non potrà mai confermare né smentire alcuna ipotesi di provenienza, e questo va detto adesso, non dopo.</w:t>
      </w:r>
    </w:p>
    <w:p>
      <w:pPr>
        <w:spacing w:after="120" w:line="276"/>
        <w:jc w:val="both"/>
      </w:pPr>
      <w:r>
        <w:rPr>
          <w:rFonts w:ascii="Barlow Semi Condensed" w:cs="Barlow Semi Condensed" w:eastAsia="Barlow Semi Condensed" w:hAnsi="Barlow Semi Condensed"/>
          <w:b/>
          <w:bCs/>
          <w:sz w:val="24"/>
          <w:szCs w:val="24"/>
        </w:rPr>
        <w:t xml:space="preserve">3679 · Ciò che il restauro ha tolto.</w:t>
      </w:r>
      <w:r>
        <w:rPr>
          <w:rFonts w:ascii="Barlow Semi Condensed" w:cs="Barlow Semi Condensed" w:eastAsia="Barlow Semi Condensed" w:hAnsi="Barlow Semi Condensed"/>
          <w:sz w:val="24"/>
          <w:szCs w:val="24"/>
        </w:rPr>
        <w:t xml:space="preserve"> La Renault 4 del ritrovamento, targata Roma N57686 e appartenuta a Filippo Bartoli, fu donata dopo il dissequestro alla Polizia di Stato, restaurata in conservativo ed esposta nel museo delle auto storiche del Corpo. Il blocco 335 chiede la documentazione integrale del restauro: che cosa fu preservato e che cosa perduto per sempre alla scienza. Una perdita documentata è preferibile a una perdita ignota.</w:t>
      </w:r>
    </w:p>
    <w:p>
      <w:pPr>
        <w:spacing w:after="120" w:line="276"/>
        <w:jc w:val="both"/>
      </w:pPr>
      <w:r>
        <w:rPr>
          <w:rFonts w:ascii="Barlow Semi Condensed" w:cs="Barlow Semi Condensed" w:eastAsia="Barlow Semi Condensed" w:hAnsi="Barlow Semi Condensed"/>
          <w:b/>
          <w:bCs/>
          <w:sz w:val="24"/>
          <w:szCs w:val="24"/>
        </w:rPr>
        <w:t xml:space="preserve">3680 · Registro contro sopralluogo.</w:t>
      </w:r>
      <w:r>
        <w:rPr>
          <w:rFonts w:ascii="Barlow Semi Condensed" w:cs="Barlow Semi Condensed" w:eastAsia="Barlow Semi Condensed" w:hAnsi="Barlow Semi Condensed"/>
          <w:sz w:val="24"/>
          <w:szCs w:val="24"/>
        </w:rPr>
        <w:t xml:space="preserve"> Il sopralluogo formale nei depositi previsto dal blocco 345 e la campagna fotografica del blocco 349 fissano lo stato del 2026 qualunque cosa accada dopo. La differenza fra ciò che la carta dice e ciò che l'occhio verifica è essa stessa un dato. Nessuna ipotesi di rimozione o di sottrazione è formulabile prima di quel confronto: prima si guarda, poi si scrive.</w:t>
      </w:r>
    </w:p>
    <w:p>
      <w:pPr>
        <w:spacing w:after="120" w:line="276"/>
        <w:jc w:val="both"/>
      </w:pPr>
      <w:r>
        <w:rPr>
          <w:rFonts w:ascii="Barlow Semi Condensed" w:cs="Barlow Semi Condensed" w:eastAsia="Barlow Semi Condensed" w:hAnsi="Barlow Semi Condensed"/>
          <w:b/>
          <w:bCs/>
          <w:sz w:val="24"/>
          <w:szCs w:val="24"/>
        </w:rPr>
        <w:t xml:space="preserve">3681 · La casa giuridica dei profili orfani.</w:t>
      </w:r>
      <w:r>
        <w:rPr>
          <w:rFonts w:ascii="Barlow Semi Condensed" w:cs="Barlow Semi Condensed" w:eastAsia="Barlow Semi Condensed" w:hAnsi="Barlow Semi Condensed"/>
          <w:sz w:val="24"/>
          <w:szCs w:val="24"/>
        </w:rPr>
        <w:t xml:space="preserve"> Gli articoli 7 e 10 della legge 30 giugno 2009, n. 85 danno ai profili ottenuti da reperti di procedimenti penali una casa giuridica; il d.P.R. 7 aprile 2016, n. 87 ne fissa le regole tecniche, con la banca dati al Dipartimento della pubblica sicurezza e il laboratorio centrale presso l'amministrazione penitenziaria. Chi vuole un confronto deve sapere a chi chiederlo: la mappa istituzionale precede la domanda.</w:t>
      </w:r>
    </w:p>
    <w:p>
      <w:pPr>
        <w:spacing w:after="120" w:line="276"/>
        <w:jc w:val="both"/>
      </w:pPr>
      <w:r>
        <w:rPr>
          <w:rFonts w:ascii="Barlow Semi Condensed" w:cs="Barlow Semi Condensed" w:eastAsia="Barlow Semi Condensed" w:hAnsi="Barlow Semi Condensed"/>
          <w:b/>
          <w:bCs/>
          <w:sz w:val="24"/>
          <w:szCs w:val="24"/>
        </w:rPr>
        <w:t xml:space="preserve">3682 · Prüm si ferma ai confini d'Europa.</w:t>
      </w:r>
      <w:r>
        <w:rPr>
          <w:rFonts w:ascii="Barlow Semi Condensed" w:cs="Barlow Semi Condensed" w:eastAsia="Barlow Semi Condensed" w:hAnsi="Barlow Semi Condensed"/>
          <w:sz w:val="24"/>
          <w:szCs w:val="24"/>
        </w:rPr>
        <w:t xml:space="preserve"> Prüm è un sistema europeo di scambio automatizzato dei profili, e il blocco 666 lo iscrive fra le moltiplicazioni gratuite di probabilità. Ne discende un limite che nessuno ha mai scritto per questo caso: gli Stati Uniti non ne fanno parte. Se esistano canali bilaterali di confronto genetico con quel Paese è accertamento da chiedere per iscritto al Dipartimento della pubblica sicurezza.</w:t>
      </w:r>
    </w:p>
    <w:p>
      <w:pPr>
        <w:spacing w:after="120" w:line="276"/>
        <w:jc w:val="both"/>
      </w:pPr>
      <w:r>
        <w:rPr>
          <w:rFonts w:ascii="Barlow Semi Condensed" w:cs="Barlow Semi Condensed" w:eastAsia="Barlow Semi Condensed" w:hAnsi="Barlow Semi Condensed"/>
          <w:b/>
          <w:bCs/>
          <w:sz w:val="24"/>
          <w:szCs w:val="24"/>
        </w:rPr>
        <w:t xml:space="preserve">3683 · Due vuoti normativi che non si aggirano.</w:t>
      </w:r>
      <w:r>
        <w:rPr>
          <w:rFonts w:ascii="Barlow Semi Condensed" w:cs="Barlow Semi Condensed" w:eastAsia="Barlow Semi Condensed" w:hAnsi="Barlow Semi Condensed"/>
          <w:sz w:val="24"/>
          <w:szCs w:val="24"/>
        </w:rPr>
        <w:t xml:space="preserve"> La ricerca di parentela non ha disciplina espressa, né divieto né procedura, accerta il blocco 668; e il blocco 669 aggiunge che la genealogia genetica forense non è mai stata usata in Italia. Sono i due vuoti in cui ogni fantasia identificativa si arena. Il cantiere può soltanto istruire il dossier che un legislatore o un giudice userà: non può sostituirlo con l'urgenza di un nome.</w:t>
      </w:r>
    </w:p>
    <w:p>
      <w:pPr>
        <w:spacing w:after="120" w:line="276"/>
        <w:jc w:val="both"/>
      </w:pPr>
      <w:r>
        <w:rPr>
          <w:rFonts w:ascii="Barlow Semi Condensed" w:cs="Barlow Semi Condensed" w:eastAsia="Barlow Semi Condensed" w:hAnsi="Barlow Semi Condensed"/>
          <w:b/>
          <w:bCs/>
          <w:sz w:val="24"/>
          <w:szCs w:val="24"/>
        </w:rPr>
        <w:t xml:space="preserve">3684 · Il fenotipo e la conferma desiderata.</w:t>
      </w:r>
      <w:r>
        <w:rPr>
          <w:rFonts w:ascii="Barlow Semi Condensed" w:cs="Barlow Semi Condensed" w:eastAsia="Barlow Semi Condensed" w:hAnsi="Barlow Semi Condensed"/>
          <w:sz w:val="24"/>
          <w:szCs w:val="24"/>
        </w:rPr>
        <w:t xml:space="preserve"> La predizione dei tratti somatici non è vietata né disciplinata, col solo limite indiretto dell'articolo 11 sulle patologie: così il blocco 670, che impone prudenza massima. Il rischio specifico va nominato: un fenotipo predetto su un profilo orfano diventerebbe subito materia di conferme desiderate. Un'ipotesi di lavoro con l'errore stampato accanto non è un identikit, e non va mai comunicata come tale.</w:t>
      </w:r>
    </w:p>
    <w:p>
      <w:pPr>
        <w:spacing w:after="120" w:line="276"/>
        <w:jc w:val="both"/>
      </w:pPr>
      <w:r>
        <w:rPr>
          <w:rFonts w:ascii="Barlow Semi Condensed" w:cs="Barlow Semi Condensed" w:eastAsia="Barlow Semi Condensed" w:hAnsi="Barlow Semi Condensed"/>
          <w:b/>
          <w:bCs/>
          <w:sz w:val="24"/>
          <w:szCs w:val="24"/>
        </w:rPr>
        <w:t xml:space="preserve">3685 · Quando l'esame consuma il reperto.</w:t>
      </w:r>
      <w:r>
        <w:rPr>
          <w:rFonts w:ascii="Barlow Semi Condensed" w:cs="Barlow Semi Condensed" w:eastAsia="Barlow Semi Condensed" w:hAnsi="Barlow Semi Condensed"/>
          <w:sz w:val="24"/>
          <w:szCs w:val="24"/>
        </w:rPr>
        <w:t xml:space="preserve"> L'articolo 360 del codice di procedura penale e l'incidente probatorio dell'articolo 392, che il blocco 672 mappa per ogni esame distruttivo, sono la forma che protegge l'esito. Vale come promemoria per chiunque proponga campionamenti sui reperti mai esaminati: la fretta di ottenere una risposta su una presenza discussa è esattamente la circostanza in cui la forma viene saltata e l'esito si perde.</w:t>
      </w:r>
    </w:p>
    <w:p>
      <w:pPr>
        <w:spacing w:after="120" w:line="276"/>
        <w:jc w:val="both"/>
      </w:pPr>
      <w:r>
        <w:rPr>
          <w:rFonts w:ascii="Barlow Semi Condensed" w:cs="Barlow Semi Condensed" w:eastAsia="Barlow Semi Condensed" w:hAnsi="Barlow Semi Condensed"/>
          <w:b/>
          <w:bCs/>
          <w:sz w:val="24"/>
          <w:szCs w:val="24"/>
        </w:rPr>
        <w:t xml:space="preserve">3686 · I criteri d'ingresso in aula.</w:t>
      </w:r>
      <w:r>
        <w:rPr>
          <w:rFonts w:ascii="Barlow Semi Condensed" w:cs="Barlow Semi Condensed" w:eastAsia="Barlow Semi Condensed" w:hAnsi="Barlow Semi Condensed"/>
          <w:sz w:val="24"/>
          <w:szCs w:val="24"/>
        </w:rPr>
        <w:t xml:space="preserve"> I criteri di affidabilità elaborati dalla Cassazione — verificabilità del metodo, errore noto, controllo della comunità scientifica, accreditamento — sono la porta che il blocco 673 chiede di conoscere a memoria. Applicati a un ipotetico esito che toccasse un nome straniero, sarebbero più severi e non meno: la notorietà dell'oggetto alza l'asticella probatoria, non la abbassa, e il cantiere lo scrive prima.</w:t>
      </w:r>
    </w:p>
    <w:p>
      <w:pPr>
        <w:spacing w:after="120" w:line="276"/>
        <w:jc w:val="both"/>
      </w:pPr>
      <w:r>
        <w:rPr>
          <w:rFonts w:ascii="Barlow Semi Condensed" w:cs="Barlow Semi Condensed" w:eastAsia="Barlow Semi Condensed" w:hAnsi="Barlow Semi Condensed"/>
          <w:b/>
          <w:bCs/>
          <w:sz w:val="24"/>
          <w:szCs w:val="24"/>
        </w:rPr>
        <w:t xml:space="preserve">3687 · La revisione si mappa, non si invoca.</w:t>
      </w:r>
      <w:r>
        <w:rPr>
          <w:rFonts w:ascii="Barlow Semi Condensed" w:cs="Barlow Semi Condensed" w:eastAsia="Barlow Semi Condensed" w:hAnsi="Barlow Semi Condensed"/>
          <w:sz w:val="24"/>
          <w:szCs w:val="24"/>
        </w:rPr>
        <w:t xml:space="preserve"> La revisione del giudicato per prove nuove è mappata dal blocco 677 senza essere invocata, perché auspicare resta fuori dal metodo. Verso questo nome lo strumento è comunque inapplicabile per una ragione anteriore e definitiva: non vi fu mai imputazione, né processo, né sentenza, in alcun Paese. Non si rivede ciò che non fu mai giudicato: il registro chiuso resta chiuso da entrambi i lati.</w:t>
      </w:r>
    </w:p>
    <w:p>
      <w:pPr>
        <w:spacing w:after="120" w:line="276"/>
        <w:jc w:val="both"/>
      </w:pPr>
      <w:r>
        <w:rPr>
          <w:rFonts w:ascii="Barlow Semi Condensed" w:cs="Barlow Semi Condensed" w:eastAsia="Barlow Semi Condensed" w:hAnsi="Barlow Semi Condensed"/>
          <w:b/>
          <w:bCs/>
          <w:sz w:val="24"/>
          <w:szCs w:val="24"/>
        </w:rPr>
        <w:t xml:space="preserve">3688 · La regola dell'originatore e i quattrocentosettantaquattro.</w:t>
      </w:r>
      <w:r>
        <w:rPr>
          <w:rFonts w:ascii="Barlow Semi Condensed" w:cs="Barlow Semi Condensed" w:eastAsia="Barlow Semi Condensed" w:hAnsi="Barlow Semi Condensed"/>
          <w:sz w:val="24"/>
          <w:szCs w:val="24"/>
        </w:rPr>
        <w:t xml:space="preserve"> L'intersezione fra segreto e scienza del blocco 679 ha un versante documentale già mappato altrove nel corpus: la regola dell'originatore impedisce la desecretazione unilaterale degli atti di origine alleata, e la pubblicistica riferisce circa quattrocentosettantaquattro atti stranieri ancora classificati in Italia, cifra da trattare col suo grado. Il canale è bilaterale e diplomatico. Nessuno di quegli atti risulta riguardare un reperto.</w:t>
      </w:r>
    </w:p>
    <w:p>
      <w:pPr>
        <w:spacing w:after="120" w:line="276"/>
        <w:jc w:val="both"/>
      </w:pPr>
      <w:r>
        <w:rPr>
          <w:rFonts w:ascii="Barlow Semi Condensed" w:cs="Barlow Semi Condensed" w:eastAsia="Barlow Semi Condensed" w:hAnsi="Barlow Semi Condensed"/>
          <w:b/>
          <w:bCs/>
          <w:sz w:val="24"/>
          <w:szCs w:val="24"/>
        </w:rPr>
        <w:t xml:space="preserve">3689 · L'accreditamento come soglia non negoziabile.</w:t>
      </w:r>
      <w:r>
        <w:rPr>
          <w:rFonts w:ascii="Barlow Semi Condensed" w:cs="Barlow Semi Condensed" w:eastAsia="Barlow Semi Condensed" w:hAnsi="Barlow Semi Condensed"/>
          <w:sz w:val="24"/>
          <w:szCs w:val="24"/>
        </w:rPr>
        <w:t xml:space="preserve"> L'accreditamento ISO/IEC 17025, che il blocco 692 pone come soglia sotto la quale il cantiere non affida, e la partecipazione ai circuiti interlaboratorio del blocco 693 sono le condizioni minime di ogni esame futuro sui reperti del caso. Un esito ottenuto fuori soglia non varrebbe nulla, per quanto clamoroso fosse il nome che vi comparisse: la qualità si dimostra nei circuiti, non nell'eco.</w:t>
      </w:r>
    </w:p>
    <w:p>
      <w:pPr>
        <w:spacing w:after="120" w:line="276"/>
        <w:jc w:val="both"/>
      </w:pPr>
      <w:r>
        <w:rPr>
          <w:rFonts w:ascii="Barlow Semi Condensed" w:cs="Barlow Semi Condensed" w:eastAsia="Barlow Semi Condensed" w:hAnsi="Barlow Semi Condensed"/>
          <w:b/>
          <w:bCs/>
          <w:sz w:val="24"/>
          <w:szCs w:val="24"/>
        </w:rPr>
        <w:t xml:space="preserve">3690 · Chi ha preso posizione dichiara.</w:t>
      </w:r>
      <w:r>
        <w:rPr>
          <w:rFonts w:ascii="Barlow Semi Condensed" w:cs="Barlow Semi Condensed" w:eastAsia="Barlow Semi Condensed" w:hAnsi="Barlow Semi Condensed"/>
          <w:sz w:val="24"/>
          <w:szCs w:val="24"/>
        </w:rPr>
        <w:t xml:space="preserve"> Agli esperti il blocco 707 impone la dichiarazione dei conflitti, comprese le posizioni pubbliche assunte, e manda i quesiti più esposti a mani nuove. Su questo nome le posizioni pubbliche sono numerose e antiche, in entrambe le direzioni. La regola è dunque operativa e non teorica: chi ha scritto sulla responsabilità o sull'estraneità di un'autorità straniera non riceve il quesito tecnico che la tocca.</w:t>
      </w:r>
    </w:p>
    <w:p>
      <w:pPr>
        <w:spacing w:after="120" w:line="276"/>
        <w:jc w:val="both"/>
      </w:pPr>
      <w:r>
        <w:rPr>
          <w:rFonts w:ascii="Barlow Semi Condensed" w:cs="Barlow Semi Condensed" w:eastAsia="Barlow Semi Condensed" w:hAnsi="Barlow Semi Condensed"/>
          <w:b/>
          <w:bCs/>
          <w:sz w:val="24"/>
          <w:szCs w:val="24"/>
        </w:rPr>
        <w:t xml:space="preserve">3691 · Il disegno in cieco contro l'attesa.</w:t>
      </w:r>
      <w:r>
        <w:rPr>
          <w:rFonts w:ascii="Barlow Semi Condensed" w:cs="Barlow Semi Condensed" w:eastAsia="Barlow Semi Condensed" w:hAnsi="Barlow Semi Condensed"/>
          <w:sz w:val="24"/>
          <w:szCs w:val="24"/>
        </w:rPr>
        <w:t xml:space="preserve"> Controlli in cieco e randomizzazione dove la metodica lo consenta: così prescrive il blocco 696, perché la psicologia dell'esaminatore è una variabile misurata dalla letteratura. Nessuna variabile è più potente dell'attesa di trovare un nome celebre. Il disegno sperimentale è la sola difesa efficace, e va imposto prima che il quesito venga formulato: dopo, ogni garanzia diventa una giustificazione.</w:t>
      </w:r>
    </w:p>
    <w:p>
      <w:pPr>
        <w:spacing w:after="120" w:line="276"/>
        <w:jc w:val="both"/>
      </w:pPr>
      <w:r>
        <w:rPr>
          <w:rFonts w:ascii="Barlow Semi Condensed" w:cs="Barlow Semi Condensed" w:eastAsia="Barlow Semi Condensed" w:hAnsi="Barlow Semi Condensed"/>
          <w:b/>
          <w:bCs/>
          <w:sz w:val="24"/>
          <w:szCs w:val="24"/>
        </w:rPr>
        <w:t xml:space="preserve">3692 · Il numero accanto al risultato.</w:t>
      </w:r>
      <w:r>
        <w:rPr>
          <w:rFonts w:ascii="Barlow Semi Condensed" w:cs="Barlow Semi Condensed" w:eastAsia="Barlow Semi Condensed" w:hAnsi="Barlow Semi Condensed"/>
          <w:sz w:val="24"/>
          <w:szCs w:val="24"/>
        </w:rPr>
        <w:t xml:space="preserve"> Ogni metodica va usata col suo tasso d'errore noto citato nel verbale, chiede il blocco 697; il prontuario statistico del blocco 732 previene le letture fallaci dei rapporti di verosimiglianza. Sono i due presidi che impediscono a un risultato debole di diventare, nella ripresa pubblica, una conferma forte. La differenza fra scienza e autorevolezza è un numero scritto accanto al risultato.</w:t>
      </w:r>
    </w:p>
    <w:p>
      <w:pPr>
        <w:spacing w:after="120" w:line="276"/>
        <w:jc w:val="both"/>
      </w:pPr>
      <w:r>
        <w:rPr>
          <w:rFonts w:ascii="Barlow Semi Condensed" w:cs="Barlow Semi Condensed" w:eastAsia="Barlow Semi Condensed" w:hAnsi="Barlow Semi Condensed"/>
          <w:b/>
          <w:bCs/>
          <w:sz w:val="24"/>
          <w:szCs w:val="24"/>
        </w:rPr>
        <w:t xml:space="preserve">3693 · La memoria dei periti del 1978.</w:t>
      </w:r>
      <w:r>
        <w:rPr>
          <w:rFonts w:ascii="Barlow Semi Condensed" w:cs="Barlow Semi Condensed" w:eastAsia="Barlow Semi Condensed" w:hAnsi="Barlow Semi Condensed"/>
          <w:sz w:val="24"/>
          <w:szCs w:val="24"/>
        </w:rPr>
        <w:t xml:space="preserve"> I periti del 1978 e dei processi ascoltati dai periti di oggi, come chiedono il blocco 710 e il blocco 119 dell'agenda, spiegano che cosa gli strumenti d'epoca non potevano vedere. Il valore per questa serie è preciso: soltanto chi condusse gli esami originari può dire se qualcuno, allora, pose domande di provenienza estera, e con quale esito. Urgenza anagrafica.</w:t>
      </w:r>
    </w:p>
    <w:p>
      <w:pPr>
        <w:spacing w:after="120" w:line="276"/>
        <w:jc w:val="both"/>
      </w:pPr>
      <w:r>
        <w:rPr>
          <w:rFonts w:ascii="Barlow Semi Condensed" w:cs="Barlow Semi Condensed" w:eastAsia="Barlow Semi Condensed" w:hAnsi="Barlow Semi Condensed"/>
          <w:b/>
          <w:bCs/>
          <w:sz w:val="24"/>
          <w:szCs w:val="24"/>
        </w:rPr>
        <w:t xml:space="preserve">3694 · Il primato che non riguarda questo nome.</w:t>
      </w:r>
      <w:r>
        <w:rPr>
          <w:rFonts w:ascii="Barlow Semi Condensed" w:cs="Barlow Semi Condensed" w:eastAsia="Barlow Semi Condensed" w:hAnsi="Barlow Semi Condensed"/>
          <w:sz w:val="24"/>
          <w:szCs w:val="24"/>
        </w:rPr>
        <w:t xml:space="preserve"> Nessun delitto italiano degli anni Settanta e Ottanta risulta chiuso in giudicato grazie a tecniche nuove su reperti d'epoca: il blocco 716 fa di questa constatazione il punto di partenza della sezione. Se il primato arrivasse, riguarderebbe il registro del giudicato della Parte ottava, che ammette nomi solo dove cinque processi definitivi li hanno iscritti. Nessuna via di laboratorio porta altrove.</w:t>
      </w:r>
    </w:p>
    <w:p>
      <w:pPr>
        <w:spacing w:after="120" w:line="276"/>
        <w:jc w:val="both"/>
      </w:pPr>
      <w:r>
        <w:rPr>
          <w:rFonts w:ascii="Barlow Semi Condensed" w:cs="Barlow Semi Condensed" w:eastAsia="Barlow Semi Condensed" w:hAnsi="Barlow Semi Condensed"/>
          <w:b/>
          <w:bCs/>
          <w:sz w:val="24"/>
          <w:szCs w:val="24"/>
        </w:rPr>
        <w:t xml:space="preserve">3695 · Il monito che vale più degli altri.</w:t>
      </w:r>
      <w:r>
        <w:rPr>
          <w:rFonts w:ascii="Barlow Semi Condensed" w:cs="Barlow Semi Condensed" w:eastAsia="Barlow Semi Condensed" w:hAnsi="Barlow Semi Condensed"/>
          <w:sz w:val="24"/>
          <w:szCs w:val="24"/>
        </w:rPr>
        <w:t xml:space="preserve"> Riaperto decenni dopo con strumenti nuovi e concluso con l'assoluzione definitiva dell'imputato, il caso di Lidia Macchi è per il blocco 720 la lezione più importante della sezione: la tecnica nuova non garantisce la condanna. Vale in ogni direzione, anche verso chi non fu mai imputato. Una scienza messa al servizio di un esito atteso ha già smesso di essere scienza.</w:t>
      </w:r>
    </w:p>
    <w:p>
      <w:pPr>
        <w:spacing w:after="120" w:line="276"/>
        <w:jc w:val="both"/>
      </w:pPr>
      <w:r>
        <w:rPr>
          <w:rFonts w:ascii="Barlow Semi Condensed" w:cs="Barlow Semi Condensed" w:eastAsia="Barlow Semi Condensed" w:hAnsi="Barlow Semi Condensed"/>
          <w:b/>
          <w:bCs/>
          <w:sz w:val="24"/>
          <w:szCs w:val="24"/>
        </w:rPr>
        <w:t xml:space="preserve">3696 · L'unica presenza americana del cantiere.</w:t>
      </w:r>
      <w:r>
        <w:rPr>
          <w:rFonts w:ascii="Barlow Semi Condensed" w:cs="Barlow Semi Condensed" w:eastAsia="Barlow Semi Condensed" w:hAnsi="Barlow Semi Condensed"/>
          <w:sz w:val="24"/>
          <w:szCs w:val="24"/>
        </w:rPr>
        <w:t xml:space="preserve"> Il Golden State Killer del blocco 722, studiato come storia della tecnica e non come ricetta importabile, è l'unica presenza statunitense dell'intera Parte settima. Non è un attore politico: è un precedente di metodo, con le sue questioni di privacy dei parenti e di banche commerciali. Il territorio conosce l'America come laboratorio, mai come parte in causa: l'accertamento è integralmente negativo.</w:t>
      </w:r>
    </w:p>
    <w:p>
      <w:pPr>
        <w:spacing w:after="120" w:line="276"/>
        <w:jc w:val="both"/>
      </w:pPr>
      <w:r>
        <w:rPr>
          <w:rFonts w:ascii="Barlow Semi Condensed" w:cs="Barlow Semi Condensed" w:eastAsia="Barlow Semi Condensed" w:hAnsi="Barlow Semi Condensed"/>
          <w:b/>
          <w:bCs/>
          <w:sz w:val="24"/>
          <w:szCs w:val="24"/>
        </w:rPr>
        <w:t xml:space="preserve">3697 · Il quadro di garanzie svedese.</w:t>
      </w:r>
      <w:r>
        <w:rPr>
          <w:rFonts w:ascii="Barlow Semi Condensed" w:cs="Barlow Semi Condensed" w:eastAsia="Barlow Semi Condensed" w:hAnsi="Barlow Semi Condensed"/>
          <w:sz w:val="24"/>
          <w:szCs w:val="24"/>
        </w:rPr>
        <w:t xml:space="preserve"> La Svezia del blocco 721 offre il primo uso europeo documentato della genealogia genetica forense, arrivato dentro un quadro di garanzie e di dibattito pubblico. È il manuale di ciò che l'Italia non ha scritto. Se un giorno un profilo orfano del 1978 dovesse essere trattato con quella tecnica, il precedente da citare sarà scandinavo e procedurale, non americano e mediatico.</w:t>
      </w:r>
    </w:p>
    <w:p>
      <w:pPr>
        <w:spacing w:after="120" w:line="276"/>
        <w:jc w:val="both"/>
      </w:pPr>
      <w:r>
        <w:rPr>
          <w:rFonts w:ascii="Barlow Semi Condensed" w:cs="Barlow Semi Condensed" w:eastAsia="Barlow Semi Condensed" w:hAnsi="Barlow Semi Condensed"/>
          <w:b/>
          <w:bCs/>
          <w:sz w:val="24"/>
          <w:szCs w:val="24"/>
        </w:rPr>
        <w:t xml:space="preserve">3698 · Perché lo screening qui è impensabile.</w:t>
      </w:r>
      <w:r>
        <w:rPr>
          <w:rFonts w:ascii="Barlow Semi Condensed" w:cs="Barlow Semi Condensed" w:eastAsia="Barlow Semi Condensed" w:hAnsi="Barlow Semi Condensed"/>
          <w:sz w:val="24"/>
          <w:szCs w:val="24"/>
        </w:rPr>
        <w:t xml:space="preserve"> Diciottomila profili raccolti nel caso Gambirasio e condanna definitiva nel 2018: il blocco 717 ne estrae la potenza, il 718 il prezzo e le garanzie. Applicato a un delitto del 1978 il modello non regge, perché mancano la popolazione di riferimento e i viventi da cui raccogliere. Il modello non si copia: si pesa — e pesato, qui non entra.</w:t>
      </w:r>
    </w:p>
    <w:p>
      <w:pPr>
        <w:spacing w:after="120" w:line="276"/>
        <w:jc w:val="both"/>
      </w:pPr>
      <w:r>
        <w:rPr>
          <w:rFonts w:ascii="Barlow Semi Condensed" w:cs="Barlow Semi Condensed" w:eastAsia="Barlow Semi Condensed" w:hAnsi="Barlow Semi Condensed"/>
          <w:b/>
          <w:bCs/>
          <w:sz w:val="24"/>
          <w:szCs w:val="24"/>
        </w:rPr>
        <w:t xml:space="preserve">3699 · La lezione dell'Olgiata.</w:t>
      </w:r>
      <w:r>
        <w:rPr>
          <w:rFonts w:ascii="Barlow Semi Condensed" w:cs="Barlow Semi Condensed" w:eastAsia="Barlow Semi Condensed" w:hAnsi="Barlow Semi Condensed"/>
          <w:sz w:val="24"/>
          <w:szCs w:val="24"/>
        </w:rPr>
        <w:t xml:space="preserve"> L'Olgiata del 1991, chiuso vent'anni dopo grazie al DNA su reperti conservati, insegna al blocco 719 che la conservazione è la precondizione del futuro. È la sola lezione dei precedenti che questa serie possa girare in positivo: proteggere oggi i reperti significa lasciare aperte domande che nessuno sa ancora formulare, comprese quelle che smentiranno le ipotesi oggi più diffuse.</w:t>
      </w:r>
    </w:p>
    <w:p>
      <w:pPr>
        <w:spacing w:after="120" w:line="276"/>
        <w:jc w:val="both"/>
      </w:pPr>
      <w:r>
        <w:rPr>
          <w:rFonts w:ascii="Barlow Semi Condensed" w:cs="Barlow Semi Condensed" w:eastAsia="Barlow Semi Condensed" w:hAnsi="Barlow Semi Condensed"/>
          <w:b/>
          <w:bCs/>
          <w:sz w:val="24"/>
          <w:szCs w:val="24"/>
        </w:rPr>
        <w:t xml:space="preserve">3700 · Il rischio di far dire troppo.</w:t>
      </w:r>
      <w:r>
        <w:rPr>
          <w:rFonts w:ascii="Barlow Semi Condensed" w:cs="Barlow Semi Condensed" w:eastAsia="Barlow Semi Condensed" w:hAnsi="Barlow Semi Condensed"/>
          <w:sz w:val="24"/>
          <w:szCs w:val="24"/>
        </w:rPr>
        <w:t xml:space="preserve"> Il trasferimento secondario e le contaminazioni da deposito, che il blocco 731 documenta come trappole del DNA da contatto, armano il cantiere contro il suo rischio maggiore: trovare un profilo e fargli dire troppo. Il rischio cresce in proporzione alla notorietà dell'ipotesi che si vorrebbe confermare. Il blocco 730 tiene la tavola degli errori forensi clamorosi: si legge prima dell'esame, non dopo.</w:t>
      </w:r>
    </w:p>
    <w:p>
      <w:pPr>
        <w:spacing w:after="120" w:line="276"/>
        <w:jc w:val="both"/>
      </w:pPr>
      <w:r>
        <w:rPr>
          <w:rFonts w:ascii="Barlow Semi Condensed" w:cs="Barlow Semi Condensed" w:eastAsia="Barlow Semi Condensed" w:hAnsi="Barlow Semi Condensed"/>
          <w:b/>
          <w:bCs/>
          <w:sz w:val="24"/>
          <w:szCs w:val="24"/>
        </w:rPr>
        <w:t xml:space="preserve">3701 · Le frontiere genetiche e il loro parere.</w:t>
      </w:r>
      <w:r>
        <w:rPr>
          <w:rFonts w:ascii="Barlow Semi Condensed" w:cs="Barlow Semi Condensed" w:eastAsia="Barlow Semi Condensed" w:hAnsi="Barlow Semi Condensed"/>
          <w:sz w:val="24"/>
          <w:szCs w:val="24"/>
        </w:rPr>
        <w:t xml:space="preserve"> Il sequenziamento massivo del blocco 742 e la scuola del DNA antico del blocco 743 sono le due frontiere che potrebbero un giorno chiedere qualcosa di nuovo ai profili del 1978, marcatori ancestrali compresi. Il parere di praticabilità va scritto prima dell'applicazione, secondo il tornello del blocco 181 dell'agenda. Un marcatore ancestrale indica popolazioni, non cittadinanze e tanto meno persone.</w:t>
      </w:r>
    </w:p>
    <w:p>
      <w:pPr>
        <w:spacing w:after="120" w:line="276"/>
        <w:jc w:val="both"/>
      </w:pPr>
      <w:r>
        <w:rPr>
          <w:rFonts w:ascii="Barlow Semi Condensed" w:cs="Barlow Semi Condensed" w:eastAsia="Barlow Semi Condensed" w:hAnsi="Barlow Semi Condensed"/>
          <w:b/>
          <w:bCs/>
          <w:sz w:val="24"/>
          <w:szCs w:val="24"/>
        </w:rPr>
        <w:t xml:space="preserve">3702 · Il perimetro negativo applicato al nome.</w:t>
      </w:r>
      <w:r>
        <w:rPr>
          <w:rFonts w:ascii="Barlow Semi Condensed" w:cs="Barlow Semi Condensed" w:eastAsia="Barlow Semi Condensed" w:hAnsi="Barlow Semi Condensed"/>
          <w:sz w:val="24"/>
          <w:szCs w:val="24"/>
        </w:rPr>
        <w:t xml:space="preserve"> Il riconoscimento facciale sulle persone è escluso per statuto dal blocco 755 e ribadito dal blocco 758 fra le tecniche che non si useranno. La conseguenza per questa serie è diretta: nessuna fototeca del caso sarà interrogata per collocare un volto straniero in un fotogramma. La macchina indicizza cose; le persone restano fuori dal suo sguardo, e il divieto vale anche per i celebri.</w:t>
      </w:r>
    </w:p>
    <w:p>
      <w:pPr>
        <w:spacing w:after="120" w:line="276"/>
        <w:jc w:val="both"/>
      </w:pPr>
      <w:r>
        <w:rPr>
          <w:rFonts w:ascii="Barlow Semi Condensed" w:cs="Barlow Semi Condensed" w:eastAsia="Barlow Semi Condensed" w:hAnsi="Barlow Semi Condensed"/>
          <w:b/>
          <w:bCs/>
          <w:sz w:val="24"/>
          <w:szCs w:val="24"/>
        </w:rPr>
        <w:t xml:space="preserve">3703 · La copia fedele non crea informazione.</w:t>
      </w:r>
      <w:r>
        <w:rPr>
          <w:rFonts w:ascii="Barlow Semi Condensed" w:cs="Barlow Semi Condensed" w:eastAsia="Barlow Semi Condensed" w:hAnsi="Barlow Semi Condensed"/>
          <w:sz w:val="24"/>
          <w:szCs w:val="24"/>
        </w:rPr>
        <w:t xml:space="preserve"> Un modello linguistico legge molto e non firma nulla, stabilisce il blocco 756: riassunti, indici, segnalazioni, mai contenuto probatorio né citazioni non verificate. Il territorio incontra qui la lezione già fissata dall'opera: la moltiplicazione delle fonti sull'episodio del 1974 è apparente e risale a un unico lancio d'agenzia del 30 novembre 2023. Replicare una sequenza non produce alcun carattere nuovo.</w:t>
      </w:r>
    </w:p>
    <w:p>
      <w:pPr>
        <w:spacing w:after="120" w:line="276"/>
        <w:jc w:val="both"/>
      </w:pPr>
      <w:r>
        <w:rPr>
          <w:rFonts w:ascii="Barlow Semi Condensed" w:cs="Barlow Semi Condensed" w:eastAsia="Barlow Semi Condensed" w:hAnsi="Barlow Semi Condensed"/>
          <w:b/>
          <w:bCs/>
          <w:sz w:val="24"/>
          <w:szCs w:val="24"/>
        </w:rPr>
        <w:t xml:space="preserve">3704 · La diplomatica digitale sui documenti del caso.</w:t>
      </w:r>
      <w:r>
        <w:rPr>
          <w:rFonts w:ascii="Barlow Semi Condensed" w:cs="Barlow Semi Condensed" w:eastAsia="Barlow Semi Condensed" w:hAnsi="Barlow Semi Condensed"/>
          <w:sz w:val="24"/>
          <w:szCs w:val="24"/>
        </w:rPr>
        <w:t xml:space="preserve"> L'analisi computazionale del blocco 751 riconosce mani, macchine e layout su corpora documentali, e si raccorda al fascicolo dattilotecnico del blocco 434, dove le ricostruzioni pubbliche indicano una IBM a testina rotante con carattere corsivo per i comunicati autentici, col modello da fissare in perizia. La macchina classifica, l'esperto decide, il registro conserva: nessuno dei tre passaggi produce attribuzioni di committenza.</w:t>
      </w:r>
    </w:p>
    <w:p>
      <w:pPr>
        <w:spacing w:after="120" w:line="276"/>
        <w:jc w:val="both"/>
      </w:pPr>
      <w:r>
        <w:rPr>
          <w:rFonts w:ascii="Barlow Semi Condensed" w:cs="Barlow Semi Condensed" w:eastAsia="Barlow Semi Condensed" w:hAnsi="Barlow Semi Condensed"/>
          <w:b/>
          <w:bCs/>
          <w:sz w:val="24"/>
          <w:szCs w:val="24"/>
        </w:rPr>
        <w:t xml:space="preserve">3705 · Vedere dentro senza aprire.</w:t>
      </w:r>
      <w:r>
        <w:rPr>
          <w:rFonts w:ascii="Barlow Semi Condensed" w:cs="Barlow Semi Condensed" w:eastAsia="Barlow Semi Condensed" w:hAnsi="Barlow Semi Condensed"/>
          <w:sz w:val="24"/>
          <w:szCs w:val="24"/>
        </w:rPr>
        <w:t xml:space="preserve"> La radiologia dei reperti del blocco 748 e le spettroscopie di superficie del blocco 749 offrono il censimento preliminare più economico che esista, perché non consumano nulla. È la strada da percorrere per prima su ogni oggetto sigillato o fragile, compreso il caricatore mai esaminato. La curiosità non distruttiva precede sempre l'ipotesi distruttiva: vale per tutti i quesiti, anche per quelli non ancora scritti.</w:t>
      </w:r>
    </w:p>
    <w:p>
      <w:pPr>
        <w:spacing w:after="120" w:line="276"/>
        <w:jc w:val="both"/>
      </w:pPr>
      <w:r>
        <w:rPr>
          <w:rFonts w:ascii="Barlow Semi Condensed" w:cs="Barlow Semi Condensed" w:eastAsia="Barlow Semi Condensed" w:hAnsi="Barlow Semi Condensed"/>
          <w:b/>
          <w:bCs/>
          <w:sz w:val="24"/>
          <w:szCs w:val="24"/>
        </w:rPr>
        <w:t xml:space="preserve">3706 · A quale tavolo siederebbe un esito.</w:t>
      </w:r>
      <w:r>
        <w:rPr>
          <w:rFonts w:ascii="Barlow Semi Condensed" w:cs="Barlow Semi Condensed" w:eastAsia="Barlow Semi Condensed" w:hAnsi="Barlow Semi Condensed"/>
          <w:sz w:val="24"/>
          <w:szCs w:val="24"/>
        </w:rPr>
        <w:t xml:space="preserve"> Tre tavoli, ricorda il blocco 766: il giudiziario dove decide il giudice, lo storico dove decide il documento, il pubblico dove decide la qualità della comunicazione. Un esito che sfiorasse questo nome andrebbe al primo prima di ogni uso, per il primato del fascicolo del blocco 767, ed entrerebbe nel corpus storico col suo grado, non con la sua eco. L'ordine è scritto.</w:t>
      </w:r>
    </w:p>
    <w:p>
      <w:pPr>
        <w:spacing w:after="120" w:line="276"/>
        <w:jc w:val="both"/>
      </w:pPr>
      <w:r>
        <w:rPr>
          <w:rFonts w:ascii="Barlow Semi Condensed" w:cs="Barlow Semi Condensed" w:eastAsia="Barlow Semi Condensed" w:hAnsi="Barlow Semi Condensed"/>
          <w:b/>
          <w:bCs/>
          <w:sz w:val="24"/>
          <w:szCs w:val="24"/>
        </w:rPr>
        <w:t xml:space="preserve">3707 · L'invito ai sostenitori della tesi.</w:t>
      </w:r>
      <w:r>
        <w:rPr>
          <w:rFonts w:ascii="Barlow Semi Condensed" w:cs="Barlow Semi Condensed" w:eastAsia="Barlow Semi Condensed" w:hAnsi="Barlow Semi Condensed"/>
          <w:sz w:val="24"/>
          <w:szCs w:val="24"/>
        </w:rPr>
        <w:t xml:space="preserve"> La contro-agenda del blocco 781 invita chi sostiene tesi alternative a formulare bersagli tecnici falsificabili: quale reperto, quale esame, quale esito atteso. L'invito si rivolge qui a chi sostiene una regia straniera del sequestro. Formulare tre righe in quella grammatica è possibile e gratuito. Chi non le formula dichiara da sé la natura della propria tesi, e il cantiere lo registra senza polemica.</w:t>
      </w:r>
    </w:p>
    <w:p>
      <w:pPr>
        <w:spacing w:after="120" w:line="276"/>
        <w:jc w:val="both"/>
      </w:pPr>
      <w:r>
        <w:rPr>
          <w:rFonts w:ascii="Barlow Semi Condensed" w:cs="Barlow Semi Condensed" w:eastAsia="Barlow Semi Condensed" w:hAnsi="Barlow Semi Condensed"/>
          <w:b/>
          <w:bCs/>
          <w:sz w:val="24"/>
          <w:szCs w:val="24"/>
        </w:rPr>
        <w:t xml:space="preserve">3708 · Nessuna tecnica produce un mandante.</w:t>
      </w:r>
      <w:r>
        <w:rPr>
          <w:rFonts w:ascii="Barlow Semi Condensed" w:cs="Barlow Semi Condensed" w:eastAsia="Barlow Semi Condensed" w:hAnsi="Barlow Semi Condensed"/>
          <w:sz w:val="24"/>
          <w:szCs w:val="24"/>
        </w:rPr>
        <w:t xml:space="preserve"> Fra i vuoti della scienza, il blocco 787 accoglie l'accertamento centrale di questa serie: nessuna tecnica forense esistente o prevedibile può risalire da un reperto materiale a una volontà politica. Le scienze identificano fonti, luoghi, tempi e materiali. La domanda sul mandante è storica e giudiziaria, non di laboratorio. Dirlo è la frase più professionale che il cantiere possa pronunciare, e va messa a verbale.</w:t>
      </w:r>
    </w:p>
    <w:p>
      <w:pPr>
        <w:spacing w:after="120" w:line="276"/>
        <w:jc w:val="both"/>
      </w:pPr>
      <w:r>
        <w:rPr>
          <w:rFonts w:ascii="Barlow Semi Condensed" w:cs="Barlow Semi Condensed" w:eastAsia="Barlow Semi Condensed" w:hAnsi="Barlow Semi Condensed"/>
          <w:b/>
          <w:bCs/>
          <w:sz w:val="24"/>
          <w:szCs w:val="24"/>
        </w:rPr>
        <w:t xml:space="preserve">3709 · Il consuntivo delle previsioni.</w:t>
      </w:r>
      <w:r>
        <w:rPr>
          <w:rFonts w:ascii="Barlow Semi Condensed" w:cs="Barlow Semi Condensed" w:eastAsia="Barlow Semi Condensed" w:hAnsi="Barlow Semi Condensed"/>
          <w:sz w:val="24"/>
          <w:szCs w:val="24"/>
        </w:rPr>
        <w:t xml:space="preserve"> Ogni previsione pubblica del cantiere tecnico va registrata e verificata a consuntivo, chiede il blocco 782. Questa serie ne consegna una, misurabile: le campagne d'archivio qui elencate produrranno prevalentemente vuoti verbalizzati e nessun documento di provenienza che nomini un'autorità statunitense in relazione a un reperto. Se la previsione sarà smentita, la smentita sarà un'acquisizione, e andrà scritta con la stessa evidenza.</w:t>
      </w:r>
    </w:p>
    <w:p>
      <w:pPr>
        <w:spacing w:after="120" w:line="276"/>
        <w:jc w:val="both"/>
      </w:pPr>
      <w:r>
        <w:rPr>
          <w:rFonts w:ascii="Barlow Semi Condensed" w:cs="Barlow Semi Condensed" w:eastAsia="Barlow Semi Condensed" w:hAnsi="Barlow Semi Condensed"/>
          <w:b/>
          <w:bCs/>
          <w:sz w:val="24"/>
          <w:szCs w:val="24"/>
        </w:rPr>
        <w:t xml:space="preserve">3710 · La contabilità di questa serie.</w:t>
      </w:r>
      <w:r>
        <w:rPr>
          <w:rFonts w:ascii="Barlow Semi Condensed" w:cs="Barlow Semi Condensed" w:eastAsia="Barlow Semi Condensed" w:hAnsi="Barlow Semi Condensed"/>
          <w:sz w:val="24"/>
          <w:szCs w:val="24"/>
        </w:rPr>
        <w:t xml:space="preserve"> La tavola settima chiude con gli stati dei bersagli; questa serie chiude con i propri. Un solo documento di piano 1, estraneo al cantiere; una convergenza cronologica dichiarata e non promossa; un bersaglio prioritario reale, il verbale d'udienza del novembre 1982 negli atti digitalizzati dall'Archivio di Stato di Roma; per tutto il resto, Stati Zero con le loro sedi. Il territorio ha risposto contando.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quarantanovesima — I nove cantieri: memoriale, audio e immagine</w:t>
      </w:r>
    </w:p>
    <w:p>
      <w:pPr>
        <w:spacing w:after="120" w:line="276"/>
        <w:jc w:val="both"/>
      </w:pPr>
      <w:r>
        <w:rPr>
          <w:rFonts w:ascii="Barlow Semi Condensed" w:cs="Barlow Semi Condensed" w:eastAsia="Barlow Semi Condensed" w:hAnsi="Barlow Semi Condensed"/>
          <w:i/>
          <w:iCs/>
          <w:sz w:val="24"/>
          <w:szCs w:val="24"/>
        </w:rPr>
        <w:t xml:space="preserve">Blocchi 3711-3785.</w:t>
      </w:r>
    </w:p>
    <w:p>
      <w:pPr>
        <w:spacing w:after="120" w:line="276"/>
        <w:jc w:val="both"/>
      </w:pPr>
      <w:r>
        <w:rPr>
          <w:rFonts w:ascii="Barlow Semi Condensed" w:cs="Barlow Semi Condensed" w:eastAsia="Barlow Semi Condensed" w:hAnsi="Barlow Semi Condensed"/>
          <w:b/>
          <w:bCs/>
          <w:sz w:val="24"/>
          <w:szCs w:val="24"/>
        </w:rPr>
        <w:t xml:space="preserve">3711 · Zero occorrenze nel cantiere.</w:t>
      </w:r>
      <w:r>
        <w:rPr>
          <w:rFonts w:ascii="Barlow Semi Condensed" w:cs="Barlow Semi Condensed" w:eastAsia="Barlow Semi Condensed" w:hAnsi="Barlow Semi Condensed"/>
          <w:sz w:val="24"/>
          <w:szCs w:val="24"/>
        </w:rPr>
        <w:t xml:space="preserve"> Accertamento eseguito con ricerca testuale sull'intero file nove-cantieri-mille-blocchi.md: il nome triangolato non vi compare mai. Nei blocchi 461-660 mancano anche «Washington», «Stati Uniti», «statunitense», «NATO», «atlantico»: le sole occorrenze americane del volume stanno nella Parte prima, ai blocchi 25, 38, 82, 97 e 119. Grado: verificabile da chiunque riesegua la ricerca. È lo Stato Zero che governa l'intera serie.</w:t>
      </w:r>
    </w:p>
    <w:p>
      <w:pPr>
        <w:spacing w:after="120" w:line="276"/>
        <w:jc w:val="both"/>
      </w:pPr>
      <w:r>
        <w:rPr>
          <w:rFonts w:ascii="Barlow Semi Condensed" w:cs="Barlow Semi Condensed" w:eastAsia="Barlow Semi Condensed" w:hAnsi="Barlow Semi Condensed"/>
          <w:b/>
          <w:bCs/>
          <w:sz w:val="24"/>
          <w:szCs w:val="24"/>
        </w:rPr>
        <w:t xml:space="preserve">3712 · Il perimetro negativo già scritto.</w:t>
      </w:r>
      <w:r>
        <w:rPr>
          <w:rFonts w:ascii="Barlow Semi Condensed" w:cs="Barlow Semi Condensed" w:eastAsia="Barlow Semi Condensed" w:hAnsi="Barlow Semi Condensed"/>
          <w:sz w:val="24"/>
          <w:szCs w:val="24"/>
        </w:rPr>
        <w:t xml:space="preserve"> La Fase sesta del corpus dichiara come ricerca condotta e chiusa in negativo il documento che leghi Kissinger-persona alla catena di comando del delitto. Le Parti quinta e sesta dei cantieri non ripetono quel perimetro perché non lo incontrano mai: il loro oggetto è la carta della prigionia e il supporto sensibile. Richiamarlo qui impedisce che il silenzio del cantiere venga letto come reticenza.</w:t>
      </w:r>
    </w:p>
    <w:p>
      <w:pPr>
        <w:spacing w:after="120" w:line="276"/>
        <w:jc w:val="both"/>
      </w:pPr>
      <w:r>
        <w:rPr>
          <w:rFonts w:ascii="Barlow Semi Condensed" w:cs="Barlow Semi Condensed" w:eastAsia="Barlow Semi Condensed" w:hAnsi="Barlow Semi Condensed"/>
          <w:b/>
          <w:bCs/>
          <w:sz w:val="24"/>
          <w:szCs w:val="24"/>
        </w:rPr>
        <w:t xml:space="preserve">3713 · Lo stemma non ha rami esteri.</w:t>
      </w:r>
      <w:r>
        <w:rPr>
          <w:rFonts w:ascii="Barlow Semi Condensed" w:cs="Barlow Semi Condensed" w:eastAsia="Barlow Semi Condensed" w:hAnsi="Barlow Semi Condensed"/>
          <w:sz w:val="24"/>
          <w:szCs w:val="24"/>
        </w:rPr>
        <w:t xml:space="preserve"> Lo stemma codicum posto dal blocco 461 come primo strumento distingue la stesura A, gli autografi mai trovati, la B, le fotocopie del 1990, e la C, i dattiloscritti del 1978. Nessuna delle tre ha nella propria tradizione un passaggio estero documentato. Chi volesse aggiungervi un ramo americano dovrebbe produrre un inventario o un verbale di consegna che nomini una sede statunitense.</w:t>
      </w:r>
    </w:p>
    <w:p>
      <w:pPr>
        <w:spacing w:after="120" w:line="276"/>
        <w:jc w:val="both"/>
      </w:pPr>
      <w:r>
        <w:rPr>
          <w:rFonts w:ascii="Barlow Semi Condensed" w:cs="Barlow Semi Condensed" w:eastAsia="Barlow Semi Condensed" w:hAnsi="Barlow Semi Condensed"/>
          <w:b/>
          <w:bCs/>
          <w:sz w:val="24"/>
          <w:szCs w:val="24"/>
        </w:rPr>
        <w:t xml:space="preserve">3714 · Il verbale del 1978, interrogato.</w:t>
      </w:r>
      <w:r>
        <w:rPr>
          <w:rFonts w:ascii="Barlow Semi Condensed" w:cs="Barlow Semi Condensed" w:eastAsia="Barlow Semi Condensed" w:hAnsi="Barlow Semi Condensed"/>
          <w:sz w:val="24"/>
          <w:szCs w:val="24"/>
        </w:rPr>
        <w:t xml:space="preserve"> Ricostruire atto per atto il 1° ottobre 1978 in via Monte Nevoso 8 è il compito del blocco 462. Quesito da portare agli atti dei cinque processi digitalizzati, presso l'Archivio di Stato di Roma e il Ministero della Giustizia: il verbale di perquisizione e l'inventario del sequestrato contengono riferimenti ad autorità straniere? Si verbalizza comunque, perché un negativo cercato pesa più di un negativo presunto.</w:t>
      </w:r>
    </w:p>
    <w:p>
      <w:pPr>
        <w:spacing w:after="120" w:line="276"/>
        <w:jc w:val="both"/>
      </w:pPr>
      <w:r>
        <w:rPr>
          <w:rFonts w:ascii="Barlow Semi Condensed" w:cs="Barlow Semi Condensed" w:eastAsia="Barlow Semi Condensed" w:hAnsi="Barlow Semi Condensed"/>
          <w:b/>
          <w:bCs/>
          <w:sz w:val="24"/>
          <w:szCs w:val="24"/>
        </w:rPr>
        <w:t xml:space="preserve">3715 · La catena degli uffici del 1990.</w:t>
      </w:r>
      <w:r>
        <w:rPr>
          <w:rFonts w:ascii="Barlow Semi Condensed" w:cs="Barlow Semi Condensed" w:eastAsia="Barlow Semi Condensed" w:hAnsi="Barlow Semi Condensed"/>
          <w:sz w:val="24"/>
          <w:szCs w:val="24"/>
        </w:rPr>
        <w:t xml:space="preserve"> Al blocco 463 la trattazione dei quattrocentoventuno fogli risulta affidata, secondo la verifica, alla DIGOS di Milano e al SISDE. Quesito: quella catena comprende comunicazioni a servizi alleati? Sedi che lo chiuderebbero: gli atti della Commissione stragi e i versamenti del Viminale nel fondo della Direttiva Renzi all'Archivio centrale dello Stato. Ogni ipotesi di circolazione internazionale della stesura B resta oggi affermazione di terzo piano.</w:t>
      </w:r>
    </w:p>
    <w:p>
      <w:pPr>
        <w:spacing w:after="120" w:line="276"/>
        <w:jc w:val="both"/>
      </w:pPr>
      <w:r>
        <w:rPr>
          <w:rFonts w:ascii="Barlow Semi Condensed" w:cs="Barlow Semi Condensed" w:eastAsia="Barlow Semi Condensed" w:hAnsi="Barlow Semi Condensed"/>
          <w:b/>
          <w:bCs/>
          <w:sz w:val="24"/>
          <w:szCs w:val="24"/>
        </w:rPr>
        <w:t xml:space="preserve">3716 · I dodici anni del muro.</w:t>
      </w:r>
      <w:r>
        <w:rPr>
          <w:rFonts w:ascii="Barlow Semi Condensed" w:cs="Barlow Semi Condensed" w:eastAsia="Barlow Semi Condensed" w:hAnsi="Barlow Semi Condensed"/>
          <w:sz w:val="24"/>
          <w:szCs w:val="24"/>
        </w:rPr>
        <w:t xml:space="preserve"> Chiedere la storia dell'appartamento fra il 1978 e il 1990 — accessi, lavori, passaggi di proprietà — è il quesito strutturale del blocco 464. La cronologia si chiude in conservatoria e nei registri societari, non oltreoceano. Bersaglio di smentita per chi ipotizzi mani straniere sull'intercapedine: un atto di conservatoria che nomini un soggetto estero. Finché non esiste, l'ipotesi non è debole: è inesistente come tesi documentale.</w:t>
      </w:r>
    </w:p>
    <w:p>
      <w:pPr>
        <w:spacing w:after="120" w:line="276"/>
        <w:jc w:val="both"/>
      </w:pPr>
      <w:r>
        <w:rPr>
          <w:rFonts w:ascii="Barlow Semi Condensed" w:cs="Barlow Semi Condensed" w:eastAsia="Barlow Semi Condensed" w:hAnsi="Barlow Semi Condensed"/>
          <w:b/>
          <w:bCs/>
          <w:sz w:val="24"/>
          <w:szCs w:val="24"/>
        </w:rPr>
        <w:t xml:space="preserve">3717 · La stesura A e la tentazione.</w:t>
      </w:r>
      <w:r>
        <w:rPr>
          <w:rFonts w:ascii="Barlow Semi Condensed" w:cs="Barlow Semi Condensed" w:eastAsia="Barlow Semi Condensed" w:hAnsi="Barlow Semi Condensed"/>
          <w:sz w:val="24"/>
          <w:szCs w:val="24"/>
        </w:rPr>
        <w:t xml:space="preserve"> Attorno al vuoto perimetrato dal blocco 467 — gli autografi e le bobine degli interrogatori mai trovati — è cresciuta la pubblicistica che vi colloca custodi stranieri. La regola è che l'assenza di un documento non è indizio della sua custodia altrove. Stato Zero: nessuna carta attesta il transito degli autografi. Sedi che lo chiuderebbero: NARA AAD e le schede di ritiro del 1978, censite nell'apparato V-3 dell'agenda.</w:t>
      </w:r>
    </w:p>
    <w:p>
      <w:pPr>
        <w:spacing w:after="120" w:line="276"/>
        <w:jc w:val="both"/>
      </w:pPr>
      <w:r>
        <w:rPr>
          <w:rFonts w:ascii="Barlow Semi Condensed" w:cs="Barlow Semi Condensed" w:eastAsia="Barlow Semi Condensed" w:hAnsi="Barlow Semi Condensed"/>
          <w:b/>
          <w:bCs/>
          <w:sz w:val="24"/>
          <w:szCs w:val="24"/>
        </w:rPr>
        <w:t xml:space="preserve">3718 · Contare i fogli, non le ombre.</w:t>
      </w:r>
      <w:r>
        <w:rPr>
          <w:rFonts w:ascii="Barlow Semi Condensed" w:cs="Barlow Semi Condensed" w:eastAsia="Barlow Semi Condensed" w:hAnsi="Barlow Semi Condensed"/>
          <w:sz w:val="24"/>
          <w:szCs w:val="24"/>
        </w:rPr>
        <w:t xml:space="preserve"> La riconciliazione dei conteggi imposta dal blocco 466 — quarantanove cartelle dattiloscritte nel 1978, quattrocentoventuno fogli inventariati nel 1990, con le divergenze dichiarate — è aritmetica d'archivio e non ha versante internazionale. Chi cita il memoriale a sostegno di tesi atlantiche cita quasi sempre senza indicare stesura né edizione: la deontologia del blocco 558 è il primo argine, e vale contro ogni uso strumentale.</w:t>
      </w:r>
    </w:p>
    <w:p>
      <w:pPr>
        <w:spacing w:after="120" w:line="276"/>
        <w:jc w:val="both"/>
      </w:pPr>
      <w:r>
        <w:rPr>
          <w:rFonts w:ascii="Barlow Semi Condensed" w:cs="Barlow Semi Condensed" w:eastAsia="Barlow Semi Condensed" w:hAnsi="Barlow Semi Condensed"/>
          <w:b/>
          <w:bCs/>
          <w:sz w:val="24"/>
          <w:szCs w:val="24"/>
        </w:rPr>
        <w:t xml:space="preserve">3719 · L'indice dei nomi come test.</w:t>
      </w:r>
      <w:r>
        <w:rPr>
          <w:rFonts w:ascii="Barlow Semi Condensed" w:cs="Barlow Semi Condensed" w:eastAsia="Barlow Semi Condensed" w:hAnsi="Barlow Semi Condensed"/>
          <w:sz w:val="24"/>
          <w:szCs w:val="24"/>
        </w:rPr>
        <w:t xml:space="preserve"> Assunta dal blocco 470 come riferimento dei conteggi, l'edizione critica curata da Michele Di Sivo per la Direzione generale Archivi e De Luca nel 2019 fu presentata all'Archivio di Stato di Roma il 25 febbraio 2020. Bersaglio primo, minimo e chiudibile: verificare se il suo indice dei nomi registri il lemma qui triangolato. È l'accertamento che decide se il territorio abbia un aggancio di primo piano.</w:t>
      </w:r>
    </w:p>
    <w:p>
      <w:pPr>
        <w:spacing w:after="120" w:line="276"/>
        <w:jc w:val="both"/>
      </w:pPr>
      <w:r>
        <w:rPr>
          <w:rFonts w:ascii="Barlow Semi Condensed" w:cs="Barlow Semi Condensed" w:eastAsia="Barlow Semi Condensed" w:hAnsi="Barlow Semi Condensed"/>
          <w:b/>
          <w:bCs/>
          <w:sz w:val="24"/>
          <w:szCs w:val="24"/>
        </w:rPr>
        <w:t xml:space="preserve">3720 · Le tre edizioni a confronto.</w:t>
      </w:r>
      <w:r>
        <w:rPr>
          <w:rFonts w:ascii="Barlow Semi Condensed" w:cs="Barlow Semi Condensed" w:eastAsia="Barlow Semi Condensed" w:hAnsi="Barlow Semi Condensed"/>
          <w:sz w:val="24"/>
          <w:szCs w:val="24"/>
        </w:rPr>
        <w:t xml:space="preserve"> La collazione preliminare prescritta fra il riordino comparato della Commissione stragi del 2001, la curatela Gotor del 2011 e l'edizione critica del 2020 va eseguita anche su quel lemma. Se il nome comparisse in una sola delle tre, la divergenza sarebbe filologica prima che storica: lezione, taglio, scelta editoriale. L'esito si verbalizza in ogni direzione, come il blocco 469 impone al proprio metodo.</w:t>
      </w:r>
    </w:p>
    <w:p>
      <w:pPr>
        <w:spacing w:after="120" w:line="276"/>
        <w:jc w:val="both"/>
      </w:pPr>
      <w:r>
        <w:rPr>
          <w:rFonts w:ascii="Barlow Semi Condensed" w:cs="Barlow Semi Condensed" w:eastAsia="Barlow Semi Condensed" w:hAnsi="Barlow Semi Condensed"/>
          <w:b/>
          <w:bCs/>
          <w:sz w:val="24"/>
          <w:szCs w:val="24"/>
        </w:rPr>
        <w:t xml:space="preserve">3721 · Le varianti B e C, lette bene.</w:t>
      </w:r>
      <w:r>
        <w:rPr>
          <w:rFonts w:ascii="Barlow Semi Condensed" w:cs="Barlow Semi Condensed" w:eastAsia="Barlow Semi Condensed" w:hAnsi="Barlow Semi Condensed"/>
          <w:sz w:val="24"/>
          <w:szCs w:val="24"/>
        </w:rPr>
        <w:t xml:space="preserve"> Trattare le varianti come comportamento dei copisti è la regola del blocco 473. Se un riferimento ad autorità americane esistesse nelle fotocopie del 1990 e mancasse nei dattiloscritti del 1978, la differenza andrebbe portata in matrice a ipotesi concorrenti — selezione brigatista, fretta, censura interna — e non letta come occultamento. Le condotte di chi trascrive si documentano, non si deducono dal movente più comodo.</w:t>
      </w:r>
    </w:p>
    <w:p>
      <w:pPr>
        <w:spacing w:after="120" w:line="276"/>
        <w:jc w:val="both"/>
      </w:pPr>
      <w:r>
        <w:rPr>
          <w:rFonts w:ascii="Barlow Semi Condensed" w:cs="Barlow Semi Condensed" w:eastAsia="Barlow Semi Condensed" w:hAnsi="Barlow Semi Condensed"/>
          <w:b/>
          <w:bCs/>
          <w:sz w:val="24"/>
          <w:szCs w:val="24"/>
        </w:rPr>
        <w:t xml:space="preserve">3722 · La fotocopia non è l'originale.</w:t>
      </w:r>
      <w:r>
        <w:rPr>
          <w:rFonts w:ascii="Barlow Semi Condensed" w:cs="Barlow Semi Condensed" w:eastAsia="Barlow Semi Condensed" w:hAnsi="Barlow Semi Condensed"/>
          <w:sz w:val="24"/>
          <w:szCs w:val="24"/>
        </w:rPr>
        <w:t xml:space="preserve"> Stampato in testa a ogni uso della stesura B, il limite del blocco 482 è intrinseco alla perizia grafica su fotocopia. Ne discende che nessuna lettura la quale pretenda da quelle pagine una parola esatta riferita a una persona può reggere il grado richiesto. L'autenticità della scrittura attestata dopo il 1990 convive con l'impossibilità di escludere manipolazioni di dettaglio: si dicono insieme.</w:t>
      </w:r>
    </w:p>
    <w:p>
      <w:pPr>
        <w:spacing w:after="120" w:line="276"/>
        <w:jc w:val="both"/>
      </w:pPr>
      <w:r>
        <w:rPr>
          <w:rFonts w:ascii="Barlow Semi Condensed" w:cs="Barlow Semi Condensed" w:eastAsia="Barlow Semi Condensed" w:hAnsi="Barlow Semi Condensed"/>
          <w:b/>
          <w:bCs/>
          <w:sz w:val="24"/>
          <w:szCs w:val="24"/>
        </w:rPr>
        <w:t xml:space="preserve">3723 · Il multispettrale e le attese.</w:t>
      </w:r>
      <w:r>
        <w:rPr>
          <w:rFonts w:ascii="Barlow Semi Condensed" w:cs="Barlow Semi Condensed" w:eastAsia="Barlow Semi Condensed" w:hAnsi="Barlow Semi Condensed"/>
          <w:sz w:val="24"/>
          <w:szCs w:val="24"/>
        </w:rPr>
        <w:t xml:space="preserve"> L'imaging moderno sulle fotocopie, previsto dal blocco 483 in raccordo col 444, va disposto per ragioni filologiche e non per cercarvi nomi. Bersaglio di smentita dichiarato prima dell'esame: se emergessero segni di montaggio su pagine di argomento internazionale, sarebbe un dato peritale da trattare in perizia, e mai da solo un ponte verso alcuna persona nominata. L'ordine dei passaggi protegge il risultato.</w:t>
      </w:r>
    </w:p>
    <w:p>
      <w:pPr>
        <w:spacing w:after="120" w:line="276"/>
        <w:jc w:val="both"/>
      </w:pPr>
      <w:r>
        <w:rPr>
          <w:rFonts w:ascii="Barlow Semi Condensed" w:cs="Barlow Semi Condensed" w:eastAsia="Barlow Semi Condensed" w:hAnsi="Barlow Semi Condensed"/>
          <w:b/>
          <w:bCs/>
          <w:sz w:val="24"/>
          <w:szCs w:val="24"/>
        </w:rPr>
        <w:t xml:space="preserve">3724 · Le mani che batterono la C.</w:t>
      </w:r>
      <w:r>
        <w:rPr>
          <w:rFonts w:ascii="Barlow Semi Condensed" w:cs="Barlow Semi Condensed" w:eastAsia="Barlow Semi Condensed" w:hAnsi="Barlow Semi Condensed"/>
          <w:sz w:val="24"/>
          <w:szCs w:val="24"/>
        </w:rPr>
        <w:t xml:space="preserve"> Leggere la stesura C come prodotto di lavoro — quante mani, quali macchine, quali abitudini — è il compito del blocco 475. Il soggetto collettivo che trascrisse è brigatista e documentabile. Nessuna ipotesi di mano terza straniera regge senza un confronto meccanico con una macchina identificata fra i reperti dattilografici agli atti. Il primo piano richiede una macchina e un verbale, non una verosimiglianza.</w:t>
      </w:r>
    </w:p>
    <w:p>
      <w:pPr>
        <w:spacing w:after="120" w:line="276"/>
        <w:jc w:val="both"/>
      </w:pPr>
      <w:r>
        <w:rPr>
          <w:rFonts w:ascii="Barlow Semi Condensed" w:cs="Barlow Semi Condensed" w:eastAsia="Barlow Semi Condensed" w:hAnsi="Barlow Semi Condensed"/>
          <w:b/>
          <w:bCs/>
          <w:sz w:val="24"/>
          <w:szCs w:val="24"/>
        </w:rPr>
        <w:t xml:space="preserve">3725 · Il calendario interno del testo.</w:t>
      </w:r>
      <w:r>
        <w:rPr>
          <w:rFonts w:ascii="Barlow Semi Condensed" w:cs="Barlow Semi Condensed" w:eastAsia="Barlow Semi Condensed" w:hAnsi="Barlow Semi Condensed"/>
          <w:sz w:val="24"/>
          <w:szCs w:val="24"/>
        </w:rPr>
        <w:t xml:space="preserve"> Dagli eventi citati come termini post quem il blocco 477 ricostruisce la cronologia interna della scrittura. Quesito mirato per questo territorio: quali fatti internazionali databili il testo richiami, e con quale fonte di conoscenza. È l'unico modo disciplinato di misurare quanto il prigioniero parlasse davvero di politica atlantica, invece di dedurlo dalla sua biografia di ministro degli Esteri fra il 1969 e il 1974.</w:t>
      </w:r>
    </w:p>
    <w:p>
      <w:pPr>
        <w:spacing w:after="120" w:line="276"/>
        <w:jc w:val="both"/>
      </w:pPr>
      <w:r>
        <w:rPr>
          <w:rFonts w:ascii="Barlow Semi Condensed" w:cs="Barlow Semi Condensed" w:eastAsia="Barlow Semi Condensed" w:hAnsi="Barlow Semi Condensed"/>
          <w:b/>
          <w:bCs/>
          <w:sz w:val="24"/>
          <w:szCs w:val="24"/>
        </w:rPr>
        <w:t xml:space="preserve">3726 · Moro testimone, con la griglia.</w:t>
      </w:r>
      <w:r>
        <w:rPr>
          <w:rFonts w:ascii="Barlow Semi Condensed" w:cs="Barlow Semi Condensed" w:eastAsia="Barlow Semi Condensed" w:hAnsi="Barlow Semi Condensed"/>
          <w:sz w:val="24"/>
          <w:szCs w:val="24"/>
        </w:rPr>
        <w:t xml:space="preserve"> Moro si tratta come ogni testimone: il blocco 537 impone che la fonte della conoscenza qualifichi ciascun enunciato. Se scrisse di posizioni americane, lo fece da protagonista dei colloqui bilaterali, dunque per conoscenza diretta di ruolo e non per conoscenza dell'episodio contestato. La distinzione va stampata prima di ogni citazione, perché è esattamente quella che le riprese divulgative cancellano.</w:t>
      </w:r>
    </w:p>
    <w:p>
      <w:pPr>
        <w:spacing w:after="120" w:line="276"/>
        <w:jc w:val="both"/>
      </w:pPr>
      <w:r>
        <w:rPr>
          <w:rFonts w:ascii="Barlow Semi Condensed" w:cs="Barlow Semi Condensed" w:eastAsia="Barlow Semi Condensed" w:hAnsi="Barlow Semi Condensed"/>
          <w:b/>
          <w:bCs/>
          <w:sz w:val="24"/>
          <w:szCs w:val="24"/>
        </w:rPr>
        <w:t xml:space="preserve">3727 · Il riscontro ha una sede.</w:t>
      </w:r>
      <w:r>
        <w:rPr>
          <w:rFonts w:ascii="Barlow Semi Condensed" w:cs="Barlow Semi Condensed" w:eastAsia="Barlow Semi Condensed" w:hAnsi="Barlow Semi Condensed"/>
          <w:sz w:val="24"/>
          <w:szCs w:val="24"/>
        </w:rPr>
        <w:t xml:space="preserve"> Ogni affermazione fattuale del memoriale diventa bersaglio d'archivio al blocco 538, con esito confermato, smentito o non riscontrabile. Sul versante americano la sede è nominata dall'apparato V-3 dell'agenda: i Central Foreign Policy Files 1973-1979 interrogabili in full-text su NARA AAD e la FOIA Library del Dipartimento di Stato. Anche l'esito negativo è un risultato, e si scrive con la griglia di ricerca dichiarata.</w:t>
      </w:r>
    </w:p>
    <w:p>
      <w:pPr>
        <w:spacing w:after="120" w:line="276"/>
        <w:jc w:val="both"/>
      </w:pPr>
      <w:r>
        <w:rPr>
          <w:rFonts w:ascii="Barlow Semi Condensed" w:cs="Barlow Semi Condensed" w:eastAsia="Barlow Semi Condensed" w:hAnsi="Barlow Semi Condensed"/>
          <w:b/>
          <w:bCs/>
          <w:sz w:val="24"/>
          <w:szCs w:val="24"/>
        </w:rPr>
        <w:t xml:space="preserve">3728 · Il silenzio del testo.</w:t>
      </w:r>
      <w:r>
        <w:rPr>
          <w:rFonts w:ascii="Barlow Semi Condensed" w:cs="Barlow Semi Condensed" w:eastAsia="Barlow Semi Condensed" w:hAnsi="Barlow Semi Condensed"/>
          <w:sz w:val="24"/>
          <w:szCs w:val="24"/>
        </w:rPr>
        <w:t xml:space="preserve"> Congetturale per costruzione: così il blocco 539 qualifica l'analisi delle omissioni strategiche del prigioniero. Corollario per questa serie: dal silenzio del memoriale su un nome non si deduce né ignoranza né protezione. Il silenzio testuale è un dato misurabile; la sua spiegazione è ipotesi, e va in matrice con le evidenze che la discriminerebbero. Confondere i due livelli è l'errore più frequente della pubblicistica.</w:t>
      </w:r>
    </w:p>
    <w:p>
      <w:pPr>
        <w:spacing w:after="120" w:line="276"/>
        <w:jc w:val="both"/>
      </w:pPr>
      <w:r>
        <w:rPr>
          <w:rFonts w:ascii="Barlow Semi Condensed" w:cs="Barlow Semi Condensed" w:eastAsia="Barlow Semi Condensed" w:hAnsi="Barlow Semi Condensed"/>
          <w:b/>
          <w:bCs/>
          <w:sz w:val="24"/>
          <w:szCs w:val="24"/>
        </w:rPr>
        <w:t xml:space="preserve">3729 · La stilometria e il suo perimetro.</w:t>
      </w:r>
      <w:r>
        <w:rPr>
          <w:rFonts w:ascii="Barlow Semi Condensed" w:cs="Barlow Semi Condensed" w:eastAsia="Barlow Semi Condensed" w:hAnsi="Barlow Semi Condensed"/>
          <w:sz w:val="24"/>
          <w:szCs w:val="24"/>
        </w:rPr>
        <w:t xml:space="preserve"> Verificato e registrato al blocco 498, il vuoto è netto: non risulta alcuno studio attributivo quantitativo sul memoriale e sui comunicati. Il blocco 202 dell'agenda ne fissa il perimetro: la stilometria orienta quesiti d'archivio, non attribuisce paternità in sede storica né giudiziaria, ed è di grado dichiaratamente terzo. Chi se ne attendesse un verdetto su influenze straniere fraintende lo strumento prima dei dati.</w:t>
      </w:r>
    </w:p>
    <w:p>
      <w:pPr>
        <w:spacing w:after="120" w:line="276"/>
        <w:jc w:val="both"/>
      </w:pPr>
      <w:r>
        <w:rPr>
          <w:rFonts w:ascii="Barlow Semi Condensed" w:cs="Barlow Semi Condensed" w:eastAsia="Barlow Semi Condensed" w:hAnsi="Barlow Semi Condensed"/>
          <w:b/>
          <w:bCs/>
          <w:sz w:val="24"/>
          <w:szCs w:val="24"/>
        </w:rPr>
        <w:t xml:space="preserve">3730 · Contare prima di attribuire.</w:t>
      </w:r>
      <w:r>
        <w:rPr>
          <w:rFonts w:ascii="Barlow Semi Condensed" w:cs="Barlow Semi Condensed" w:eastAsia="Barlow Semi Condensed" w:hAnsi="Barlow Semi Condensed"/>
          <w:sz w:val="24"/>
          <w:szCs w:val="24"/>
        </w:rPr>
        <w:t xml:space="preserve"> Prima di attribuire, contare: il blocco 551 progetta il lessico di frequenza integrale del corpus della prigionia, separato per memoriale, lettere e comunicati. Bersaglio che questa serie aggiunge: quante occorrenze abbiano i nomi di autorità straniere, e in quali stesure. È un dato numerico, pubblicabile e falsificabile, che oggi non esiste in nessuna sede. L'infrastruttura viene prima dell'interpretazione.</w:t>
      </w:r>
    </w:p>
    <w:p>
      <w:pPr>
        <w:spacing w:after="120" w:line="276"/>
        <w:jc w:val="both"/>
      </w:pPr>
      <w:r>
        <w:rPr>
          <w:rFonts w:ascii="Barlow Semi Condensed" w:cs="Barlow Semi Condensed" w:eastAsia="Barlow Semi Condensed" w:hAnsi="Barlow Semi Condensed"/>
          <w:b/>
          <w:bCs/>
          <w:sz w:val="24"/>
          <w:szCs w:val="24"/>
        </w:rPr>
        <w:t xml:space="preserve">3731 · Il canone delle novantasette.</w:t>
      </w:r>
      <w:r>
        <w:rPr>
          <w:rFonts w:ascii="Barlow Semi Condensed" w:cs="Barlow Semi Condensed" w:eastAsia="Barlow Semi Condensed" w:hAnsi="Barlow Semi Condensed"/>
          <w:sz w:val="24"/>
          <w:szCs w:val="24"/>
        </w:rPr>
        <w:t xml:space="preserve"> Censito sull'edizione Gotor del 2008, il canone epistolare conta novantasette lettere con le varianti di computo dichiarate dal blocco 486. Quesito: esiste nel canone una lettera che nomini un'autorità statunitense? La tavola dei testimoni per ciascuna lettera è lo strumento. Un esito negativo sarebbe acquisizione piena: chiuderebbe una vulgata senza doverla confutare, che è il modo più economico di chiuderla.</w:t>
      </w:r>
    </w:p>
    <w:p>
      <w:pPr>
        <w:spacing w:after="120" w:line="276"/>
        <w:jc w:val="both"/>
      </w:pPr>
      <w:r>
        <w:rPr>
          <w:rFonts w:ascii="Barlow Semi Condensed" w:cs="Barlow Semi Condensed" w:eastAsia="Barlow Semi Condensed" w:hAnsi="Barlow Semi Condensed"/>
          <w:b/>
          <w:bCs/>
          <w:sz w:val="24"/>
          <w:szCs w:val="24"/>
        </w:rPr>
        <w:t xml:space="preserve">3732 · I destinatari, e chi manca.</w:t>
      </w:r>
      <w:r>
        <w:rPr>
          <w:rFonts w:ascii="Barlow Semi Condensed" w:cs="Barlow Semi Condensed" w:eastAsia="Barlow Semi Condensed" w:hAnsi="Barlow Semi Condensed"/>
          <w:sz w:val="24"/>
          <w:szCs w:val="24"/>
        </w:rPr>
        <w:t xml:space="preserve"> Cossiga, Zaccagnini, Andreotti, Fanfani, Leone: sono i destinatari politici maggiori elencati dal blocco 493, e nessun destinatario estero risulta nel canone. Bersaglio di smentita: una lettera indirizzata fuori d'Italia, con tradizione documentata. Sedi che lo chiuderebbero: i fondi dei destinatari censiti dal blocco 505 e l'Edizione nazionale bolognese richiamata dal blocco 919, aldomorodigitale.unibo.it, che pubblica progressivamente i testi editi.</w:t>
      </w:r>
    </w:p>
    <w:p>
      <w:pPr>
        <w:spacing w:after="120" w:line="276"/>
        <w:jc w:val="both"/>
      </w:pPr>
      <w:r>
        <w:rPr>
          <w:rFonts w:ascii="Barlow Semi Condensed" w:cs="Barlow Semi Condensed" w:eastAsia="Barlow Semi Condensed" w:hAnsi="Barlow Semi Condensed"/>
          <w:b/>
          <w:bCs/>
          <w:sz w:val="24"/>
          <w:szCs w:val="24"/>
        </w:rPr>
        <w:t xml:space="preserve">3733 · Leone, due strati d'archivio.</w:t>
      </w:r>
      <w:r>
        <w:rPr>
          <w:rFonts w:ascii="Barlow Semi Condensed" w:cs="Barlow Semi Condensed" w:eastAsia="Barlow Semi Condensed" w:hAnsi="Barlow Semi Condensed"/>
          <w:sz w:val="24"/>
          <w:szCs w:val="24"/>
        </w:rPr>
        <w:t xml:space="preserve"> Giovanni Leone è destinatario di una lettera della prigionia ed era presente allo Studio Ovale il 25 settembre 1974, secondo il memorandum pubblicato come documento 350 del volume FRUS 1969-1976 E-15 parte 2, seconda edizione riveduta, file 1552802 della Ford Library. Bersaglio incrociato mai tentato: interrogare il suo fondo su entrambi gli strati, il 1974 e il 1978, con una griglia sola.</w:t>
      </w:r>
    </w:p>
    <w:p>
      <w:pPr>
        <w:spacing w:after="120" w:line="276"/>
        <w:jc w:val="both"/>
      </w:pPr>
      <w:r>
        <w:rPr>
          <w:rFonts w:ascii="Barlow Semi Condensed" w:cs="Barlow Semi Condensed" w:eastAsia="Barlow Semi Condensed" w:hAnsi="Barlow Semi Condensed"/>
          <w:b/>
          <w:bCs/>
          <w:sz w:val="24"/>
          <w:szCs w:val="24"/>
        </w:rPr>
        <w:t xml:space="preserve">3734 · La lettera al Papa, e la cornice.</w:t>
      </w:r>
      <w:r>
        <w:rPr>
          <w:rFonts w:ascii="Barlow Semi Condensed" w:cs="Barlow Semi Condensed" w:eastAsia="Barlow Semi Condensed" w:hAnsi="Barlow Semi Condensed"/>
          <w:sz w:val="24"/>
          <w:szCs w:val="24"/>
        </w:rPr>
        <w:t xml:space="preserve"> Il carteggio col Vaticano e il suo rapporto con la lettera pubblica di Paolo VI occupano il blocco 494. Il canale più alto della prigionia è ecclesiastico, non atlantico. Registrarlo impedisce la sovrapposizione più frequente: la mediazione della Santa Sede e l'ostilità alleata all'ingresso comunista sono due fatti distinti, documentati separatamente, e nessuna carta nota li salda in una catena.</w:t>
      </w:r>
    </w:p>
    <w:p>
      <w:pPr>
        <w:spacing w:after="120" w:line="276"/>
        <w:jc w:val="both"/>
      </w:pPr>
      <w:r>
        <w:rPr>
          <w:rFonts w:ascii="Barlow Semi Condensed" w:cs="Barlow Semi Condensed" w:eastAsia="Barlow Semi Condensed" w:hAnsi="Barlow Semi Condensed"/>
          <w:b/>
          <w:bCs/>
          <w:sz w:val="24"/>
          <w:szCs w:val="24"/>
        </w:rPr>
        <w:t xml:space="preserve">3735 · L'inattendibilità e il suo fascicolo.</w:t>
      </w:r>
      <w:r>
        <w:rPr>
          <w:rFonts w:ascii="Barlow Semi Condensed" w:cs="Barlow Semi Condensed" w:eastAsia="Barlow Semi Condensed" w:hAnsi="Barlow Semi Condensed"/>
          <w:sz w:val="24"/>
          <w:szCs w:val="24"/>
        </w:rPr>
        <w:t xml:space="preserve"> Scrivere per intero la storia documentale dell'atto che dichiarò le lettere non moralmente ascrivibili a Moro è il blocco 490; il blocco 219 dell'agenda la formula come verifica di smentita. Qui il territorio incontra davvero un americano, e non è il nome di questa serie: è il consulente del Dipartimento di Stato presente nel comitato di crisi. Il blocco seguente ne fissa i gradi.</w:t>
      </w:r>
    </w:p>
    <w:p>
      <w:pPr>
        <w:spacing w:after="120" w:line="276"/>
        <w:jc w:val="both"/>
      </w:pPr>
      <w:r>
        <w:rPr>
          <w:rFonts w:ascii="Barlow Semi Condensed" w:cs="Barlow Semi Condensed" w:eastAsia="Barlow Semi Condensed" w:hAnsi="Barlow Semi Condensed"/>
          <w:b/>
          <w:bCs/>
          <w:sz w:val="24"/>
          <w:szCs w:val="24"/>
        </w:rPr>
        <w:t xml:space="preserve">3736 · Il consulente, e la data che decide.</w:t>
      </w:r>
      <w:r>
        <w:rPr>
          <w:rFonts w:ascii="Barlow Semi Condensed" w:cs="Barlow Semi Condensed" w:eastAsia="Barlow Semi Condensed" w:hAnsi="Barlow Semi Condensed"/>
          <w:sz w:val="24"/>
          <w:szCs w:val="24"/>
        </w:rPr>
        <w:t xml:space="preserve"> La scheda PE-1 documenta Steve Pieczenik nel comitato di esperti mai riunito collegialmente: presenza di grado B, dichiarazioni successive fonte di parte, grado C. Ma nel marzo 1978 l'incarico di Segretario di Stato era cessato da oltre un anno, il 20 gennaio 1977. Manca dunque perfino la contemporaneità, che non sarebbe comunque prova di nesso: nessun ponte, nemmeno di secondo piano.</w:t>
      </w:r>
    </w:p>
    <w:p>
      <w:pPr>
        <w:spacing w:after="120" w:line="276"/>
        <w:jc w:val="both"/>
      </w:pPr>
      <w:r>
        <w:rPr>
          <w:rFonts w:ascii="Barlow Semi Condensed" w:cs="Barlow Semi Condensed" w:eastAsia="Barlow Semi Condensed" w:hAnsi="Barlow Semi Condensed"/>
          <w:b/>
          <w:bCs/>
          <w:sz w:val="24"/>
          <w:szCs w:val="24"/>
        </w:rPr>
        <w:t xml:space="preserve">3737 · La tesi sulle lettere, i gradi.</w:t>
      </w:r>
      <w:r>
        <w:rPr>
          <w:rFonts w:ascii="Barlow Semi Condensed" w:cs="Barlow Semi Condensed" w:eastAsia="Barlow Semi Condensed" w:hAnsi="Barlow Semi Condensed"/>
          <w:sz w:val="24"/>
          <w:szCs w:val="24"/>
        </w:rPr>
        <w:t xml:space="preserve"> L'approfondimento sulle piste-entità documenta che consulenti del comitato furono fautori della tesi dell'inattendibilità delle lettere. Il manuale, al blocco 202, ne apre due ipotesi concorrenti: convincimento professionale genuino o costruzione funzionale alla linea della fermezza. Il fatto è documentato, l'intenzione no. Nessuna delle due ipotesi nomina il soggetto di questa serie, e aggiungervelo sarebbe terzo piano travestito da contesto.</w:t>
      </w:r>
    </w:p>
    <w:p>
      <w:pPr>
        <w:spacing w:after="120" w:line="276"/>
        <w:jc w:val="both"/>
      </w:pPr>
      <w:r>
        <w:rPr>
          <w:rFonts w:ascii="Barlow Semi Condensed" w:cs="Barlow Semi Condensed" w:eastAsia="Barlow Semi Condensed" w:hAnsi="Barlow Semi Condensed"/>
          <w:b/>
          <w:bCs/>
          <w:sz w:val="24"/>
          <w:szCs w:val="24"/>
        </w:rPr>
        <w:t xml:space="preserve">3738 · La catena che non c'è.</w:t>
      </w:r>
      <w:r>
        <w:rPr>
          <w:rFonts w:ascii="Barlow Semi Condensed" w:cs="Barlow Semi Condensed" w:eastAsia="Barlow Semi Condensed" w:hAnsi="Barlow Semi Condensed"/>
          <w:sz w:val="24"/>
          <w:szCs w:val="24"/>
        </w:rPr>
        <w:t xml:space="preserve"> Quesito d'archivio formulato per esteso: esiste un documento che leghi la qualificazione di inattendibilità a un'istruzione proveniente dall'esterno? Sedi che lo chiuderebbero: i versamenti del Viminale nel fondo della Direttiva Renzi, gli atti delle tre commissioni, e il blocco 107 del manuale, che cerca chi firmò quelle carte e come circolarono. Stato Zero finché quel documento non venga prodotto.</w:t>
      </w:r>
    </w:p>
    <w:p>
      <w:pPr>
        <w:spacing w:after="120" w:line="276"/>
        <w:jc w:val="both"/>
      </w:pPr>
      <w:r>
        <w:rPr>
          <w:rFonts w:ascii="Barlow Semi Condensed" w:cs="Barlow Semi Condensed" w:eastAsia="Barlow Semi Condensed" w:hAnsi="Barlow Semi Condensed"/>
          <w:b/>
          <w:bCs/>
          <w:sz w:val="24"/>
          <w:szCs w:val="24"/>
        </w:rPr>
        <w:t xml:space="preserve">3739 · Dove fu prodotta la squalifica.</w:t>
      </w:r>
      <w:r>
        <w:rPr>
          <w:rFonts w:ascii="Barlow Semi Condensed" w:cs="Barlow Semi Condensed" w:eastAsia="Barlow Semi Condensed" w:hAnsi="Barlow Semi Condensed"/>
          <w:sz w:val="24"/>
          <w:szCs w:val="24"/>
        </w:rPr>
        <w:t xml:space="preserve"> Documentata con l'analisi interna al blocco 491, la lucidità che il giudizio d'epoca negava non serve a processare i giudici del 1978. Per questa serie il rilievo utile è un altro: la squalificazione della voce del prigioniero fu prodotta in Italia, da un organo italiano, con consulenti dichiarati e verbalizzabili. Nessun passaggio estero è documentato nella sua formulazione, e nessuno è stato cercato invano.</w:t>
      </w:r>
    </w:p>
    <w:p>
      <w:pPr>
        <w:spacing w:after="120" w:line="276"/>
        <w:jc w:val="both"/>
      </w:pPr>
      <w:r>
        <w:rPr>
          <w:rFonts w:ascii="Barlow Semi Condensed" w:cs="Barlow Semi Condensed" w:eastAsia="Barlow Semi Condensed" w:hAnsi="Barlow Semi Condensed"/>
          <w:b/>
          <w:bCs/>
          <w:sz w:val="24"/>
          <w:szCs w:val="24"/>
        </w:rPr>
        <w:t xml:space="preserve">3740 · I postini, e le mani accertate.</w:t>
      </w:r>
      <w:r>
        <w:rPr>
          <w:rFonts w:ascii="Barlow Semi Condensed" w:cs="Barlow Semi Condensed" w:eastAsia="Barlow Semi Condensed" w:hAnsi="Barlow Semi Condensed"/>
          <w:sz w:val="24"/>
          <w:szCs w:val="24"/>
        </w:rPr>
        <w:t xml:space="preserve"> Distinguere le mani accertate dei recapiti — il tratto ecclesiastico documentato, i canali laici — da quelle congetturate è il quesito 9, eseguito al blocco 488. Bersaglio di smentita per ogni ipotesi di canale straniero: un verbale, una deposizione o un'annotazione di fondo che nomini un vettore estero. La tavola resta il solo luogo dove ipotesi simili possano stare, e vi stanno vuote.</w:t>
      </w:r>
    </w:p>
    <w:p>
      <w:pPr>
        <w:spacing w:after="120" w:line="276"/>
        <w:jc w:val="both"/>
      </w:pPr>
      <w:r>
        <w:rPr>
          <w:rFonts w:ascii="Barlow Semi Condensed" w:cs="Barlow Semi Condensed" w:eastAsia="Barlow Semi Condensed" w:hAnsi="Barlow Semi Condensed"/>
          <w:b/>
          <w:bCs/>
          <w:sz w:val="24"/>
          <w:szCs w:val="24"/>
        </w:rPr>
        <w:t xml:space="preserve">3741 · Le lettere trattenute, e il criterio.</w:t>
      </w:r>
      <w:r>
        <w:rPr>
          <w:rFonts w:ascii="Barlow Semi Condensed" w:cs="Barlow Semi Condensed" w:eastAsia="Barlow Semi Condensed" w:hAnsi="Barlow Semi Condensed"/>
          <w:sz w:val="24"/>
          <w:szCs w:val="24"/>
        </w:rPr>
        <w:t xml:space="preserve"> Come comportamento ricostruibile dal campione trattenuto: così il blocco 489 legge la censura del carceriere. Domanda applicabile qui: fra il non recapitato esistono testi di contenuto internazionale? Se sì, la selezione brigatista avrebbe un criterio politico misurabile; se no, il criterio è altro e va cercato altrove. In entrambi i casi il risultato appartiene al cantiere, non alla congettura.</w:t>
      </w:r>
    </w:p>
    <w:p>
      <w:pPr>
        <w:spacing w:after="120" w:line="276"/>
        <w:jc w:val="both"/>
      </w:pPr>
      <w:r>
        <w:rPr>
          <w:rFonts w:ascii="Barlow Semi Condensed" w:cs="Barlow Semi Condensed" w:eastAsia="Barlow Semi Condensed" w:hAnsi="Barlow Semi Condensed"/>
          <w:b/>
          <w:bCs/>
          <w:sz w:val="24"/>
          <w:szCs w:val="24"/>
        </w:rPr>
        <w:t xml:space="preserve">3742 · Un fantasma resta anonimo.</w:t>
      </w:r>
      <w:r>
        <w:rPr>
          <w:rFonts w:ascii="Barlow Semi Condensed" w:cs="Barlow Semi Condensed" w:eastAsia="Barlow Semi Condensed" w:hAnsi="Barlow Semi Condensed"/>
          <w:sz w:val="24"/>
          <w:szCs w:val="24"/>
        </w:rPr>
        <w:t xml:space="preserve"> Perimetrati al blocco 509, i vuoti epistolari sono lettere menzionate e mai trovate, destinatari incerti, tradizioni interrotte. Regola da applicare senza eccezioni: nessun vuoto può essere riempito con un destinatario straniero per verosimiglianza narrativa. Un fantasma resta anonimo finché un documento non lo nomini, e la tavola dei vuoti serve esattamente a proteggerlo dall'attribuzione comoda e dalla ricostruzione compiacente.</w:t>
      </w:r>
    </w:p>
    <w:p>
      <w:pPr>
        <w:spacing w:after="120" w:line="276"/>
        <w:jc w:val="both"/>
      </w:pPr>
      <w:r>
        <w:rPr>
          <w:rFonts w:ascii="Barlow Semi Condensed" w:cs="Barlow Semi Condensed" w:eastAsia="Barlow Semi Condensed" w:hAnsi="Barlow Semi Condensed"/>
          <w:b/>
          <w:bCs/>
          <w:sz w:val="24"/>
          <w:szCs w:val="24"/>
        </w:rPr>
        <w:t xml:space="preserve">3743 · La dogana per ogni inedito.</w:t>
      </w:r>
      <w:r>
        <w:rPr>
          <w:rFonts w:ascii="Barlow Semi Condensed" w:cs="Barlow Semi Condensed" w:eastAsia="Barlow Semi Condensed" w:hAnsi="Barlow Semi Condensed"/>
          <w:sz w:val="24"/>
          <w:szCs w:val="24"/>
        </w:rPr>
        <w:t xml:space="preserve"> Catalogati al blocco 507, i falsi epistolari circolati nei decenni si raccordano al registro materiale del blocco 441. Bersaglio preventivo: qualunque lettera inedita dovesse emergere con contenuti sul versante americano passa prima il protocollo di autenticazione del blocco 534, la lezione di Chichiarelli istituzionalizzata, e solo dopo entra nel canone. L'ordine dei due passaggi non è negoziabile per nessuna urgenza editoriale.</w:t>
      </w:r>
    </w:p>
    <w:p>
      <w:pPr>
        <w:spacing w:after="120" w:line="276"/>
        <w:jc w:val="both"/>
      </w:pPr>
      <w:r>
        <w:rPr>
          <w:rFonts w:ascii="Barlow Semi Condensed" w:cs="Barlow Semi Condensed" w:eastAsia="Barlow Semi Condensed" w:hAnsi="Barlow Semi Condensed"/>
          <w:b/>
          <w:bCs/>
          <w:sz w:val="24"/>
          <w:szCs w:val="24"/>
        </w:rPr>
        <w:t xml:space="preserve">3744 · Chi pubblicò per primo.</w:t>
      </w:r>
      <w:r>
        <w:rPr>
          <w:rFonts w:ascii="Barlow Semi Condensed" w:cs="Barlow Semi Condensed" w:eastAsia="Barlow Semi Condensed" w:hAnsi="Barlow Semi Condensed"/>
          <w:sz w:val="24"/>
          <w:szCs w:val="24"/>
        </w:rPr>
        <w:t xml:space="preserve"> Con la cronologia delle pubblicazioni epistolari nei cinquantacinque giorni il blocco 496 tabula le vie di fuga documentate. Quesito laterale utile a questa serie: qualche testata straniera pubblicò lettere prima di quelle italiane? La risposta sta negli spogli dei corrispondenti esteri del blocco 277 e nei fondi delle agenzie internazionali. È logistica editoriale, e non diventa politica per il fatto di attraversare una frontiera.</w:t>
      </w:r>
    </w:p>
    <w:p>
      <w:pPr>
        <w:spacing w:after="120" w:line="276"/>
        <w:jc w:val="both"/>
      </w:pPr>
      <w:r>
        <w:rPr>
          <w:rFonts w:ascii="Barlow Semi Condensed" w:cs="Barlow Semi Condensed" w:eastAsia="Barlow Semi Condensed" w:hAnsi="Barlow Semi Condensed"/>
          <w:b/>
          <w:bCs/>
          <w:sz w:val="24"/>
          <w:szCs w:val="24"/>
        </w:rPr>
        <w:t xml:space="preserve">3745 · Il canone dei nove, interrogato.</w:t>
      </w:r>
      <w:r>
        <w:rPr>
          <w:rFonts w:ascii="Barlow Semi Condensed" w:cs="Barlow Semi Condensed" w:eastAsia="Barlow Semi Condensed" w:hAnsi="Barlow Semi Condensed"/>
          <w:sz w:val="24"/>
          <w:szCs w:val="24"/>
        </w:rPr>
        <w:t xml:space="preserve"> Nove date autentiche, dal comunicato del 16 marzo a quello del 5 maggio 1978, compongono il canone fissato dal blocco 511. Bersaglio lessicale da eseguire sui testi editi dalla Direzione generale Archivi: censire le occorrenze di soggetti statunitensi, distinguendo il nome proprio dalla formula dottrinale. È lavoro del blocco 514, che censisce l'analisi linguistica di Matteo Re, e produce una tavola, non una tesi.</w:t>
      </w:r>
    </w:p>
    <w:p>
      <w:pPr>
        <w:spacing w:after="120" w:line="276"/>
        <w:jc w:val="both"/>
      </w:pPr>
      <w:r>
        <w:rPr>
          <w:rFonts w:ascii="Barlow Semi Condensed" w:cs="Barlow Semi Condensed" w:eastAsia="Barlow Semi Condensed" w:hAnsi="Barlow Semi Condensed"/>
          <w:b/>
          <w:bCs/>
          <w:sz w:val="24"/>
          <w:szCs w:val="24"/>
        </w:rPr>
        <w:t xml:space="preserve">3746 · La formula non è un nome.</w:t>
      </w:r>
      <w:r>
        <w:rPr>
          <w:rFonts w:ascii="Barlow Semi Condensed" w:cs="Barlow Semi Condensed" w:eastAsia="Barlow Semi Condensed" w:hAnsi="Barlow Semi Condensed"/>
          <w:sz w:val="24"/>
          <w:szCs w:val="24"/>
        </w:rPr>
        <w:t xml:space="preserve"> Regola di lettura applicabile a tutta la sezione: nel lessico brigatista la designazione del nemico è categoriale prima che personale. Trattare una formula dottrinale come menzione di un individuo è l'errore che questa serie deve prevenire. La sede dove la differenza si misura è il blocco 515, che confronta i comunicati con la Risoluzione della direzione strategica: coerenza dottrinale, non riferimenti a persone.</w:t>
      </w:r>
    </w:p>
    <w:p>
      <w:pPr>
        <w:spacing w:after="120" w:line="276"/>
        <w:jc w:val="both"/>
      </w:pPr>
      <w:r>
        <w:rPr>
          <w:rFonts w:ascii="Barlow Semi Condensed" w:cs="Barlow Semi Condensed" w:eastAsia="Barlow Semi Condensed" w:hAnsi="Barlow Semi Condensed"/>
          <w:b/>
          <w:bCs/>
          <w:sz w:val="24"/>
          <w:szCs w:val="24"/>
        </w:rPr>
        <w:t xml:space="preserve">3747 · Il falso del 18 aprile.</w:t>
      </w:r>
      <w:r>
        <w:rPr>
          <w:rFonts w:ascii="Barlow Semi Condensed" w:cs="Barlow Semi Condensed" w:eastAsia="Barlow Semi Condensed" w:hAnsi="Barlow Semi Condensed"/>
          <w:sz w:val="24"/>
          <w:szCs w:val="24"/>
        </w:rPr>
        <w:t xml:space="preserve"> Fissato nella sua interezza dal blocco 517, il falso ha una sequenza precisa: la telefonata delle 9:25 al Messaggero, il ritrovamento in piazza Gioacchino Belli, i fondali del Lago della Duchessa. L'attribuzione ad Antonio Chichiarelli è istruttoria e peritale, mai giudicata: fu ucciso il 28 settembre 1984 prima di ogni contestazione. Nessun atto collega quel falso a un'autorità straniera.</w:t>
      </w:r>
    </w:p>
    <w:p>
      <w:pPr>
        <w:spacing w:after="120" w:line="276"/>
        <w:jc w:val="both"/>
      </w:pPr>
      <w:r>
        <w:rPr>
          <w:rFonts w:ascii="Barlow Semi Condensed" w:cs="Barlow Semi Condensed" w:eastAsia="Barlow Semi Condensed" w:hAnsi="Barlow Semi Condensed"/>
          <w:b/>
          <w:bCs/>
          <w:sz w:val="24"/>
          <w:szCs w:val="24"/>
        </w:rPr>
        <w:t xml:space="preserve">3748 · Chi seppe prima del falso.</w:t>
      </w:r>
      <w:r>
        <w:rPr>
          <w:rFonts w:ascii="Barlow Semi Condensed" w:cs="Barlow Semi Condensed" w:eastAsia="Barlow Semi Condensed" w:hAnsi="Barlow Semi Condensed"/>
          <w:sz w:val="24"/>
          <w:szCs w:val="24"/>
        </w:rPr>
        <w:t xml:space="preserve"> Chi conobbe in anticipo l'esistenza del falso comunicato? Lo domanda il quesito 13 dell'agenda, e il bersaglio d'archivio è nominato e a basso costo: i telegrammi dell'ambasciata statunitense a Roma del 18-20 aprile 1978, interrogabili in full-text su NARA AAD. Se una sede estera riferì il falso prima o meglio delle italiane, il dato è misurabile; altrimenti il negativo si verbalizza.</w:t>
      </w:r>
    </w:p>
    <w:p>
      <w:pPr>
        <w:spacing w:after="120" w:line="276"/>
        <w:jc w:val="both"/>
      </w:pPr>
      <w:r>
        <w:rPr>
          <w:rFonts w:ascii="Barlow Semi Condensed" w:cs="Barlow Semi Condensed" w:eastAsia="Barlow Semi Condensed" w:hAnsi="Barlow Semi Condensed"/>
          <w:b/>
          <w:bCs/>
          <w:sz w:val="24"/>
          <w:szCs w:val="24"/>
        </w:rPr>
        <w:t xml:space="preserve">3749 · Il borsello e le sue schede.</w:t>
      </w:r>
      <w:r>
        <w:rPr>
          <w:rFonts w:ascii="Barlow Semi Condensed" w:cs="Barlow Semi Condensed" w:eastAsia="Barlow Semi Condensed" w:hAnsi="Barlow Semi Condensed"/>
          <w:sz w:val="24"/>
          <w:szCs w:val="24"/>
        </w:rPr>
        <w:t xml:space="preserve"> Da dove venissero le informazioni delle schede false sui personaggi pubblici è il quesito vero del 14 aprile 1979, portato in matrice dal blocco 523. Bersaglio di smentita per ogni lettura internazionale: una scheda che riproduca notizie disponibili soltanto a una sede estera. Finché la provenienza non è dimostrata documento alla mano, l'ipotesi resta una cella vuota, e come tale si pubblica.</w:t>
      </w:r>
    </w:p>
    <w:p>
      <w:pPr>
        <w:spacing w:after="120" w:line="276"/>
        <w:jc w:val="both"/>
      </w:pPr>
      <w:r>
        <w:rPr>
          <w:rFonts w:ascii="Barlow Semi Condensed" w:cs="Barlow Semi Condensed" w:eastAsia="Barlow Semi Condensed" w:hAnsi="Barlow Semi Condensed"/>
          <w:b/>
          <w:bCs/>
          <w:sz w:val="24"/>
          <w:szCs w:val="24"/>
        </w:rPr>
        <w:t xml:space="preserve">3750 · La testina, divergenza aperta.</w:t>
      </w:r>
      <w:r>
        <w:rPr>
          <w:rFonts w:ascii="Barlow Semi Condensed" w:cs="Barlow Semi Condensed" w:eastAsia="Barlow Semi Condensed" w:hAnsi="Barlow Semi Condensed"/>
          <w:sz w:val="24"/>
          <w:szCs w:val="24"/>
        </w:rPr>
        <w:t xml:space="preserve"> Sulla compatibilità della testina IBM del borsello coi falsi le fonti divergono, e il blocco 521 registra la divergenza rimandandola alla perizia moderna prevista dal blocco 435. È il bersaglio più maturo della sezione ed è puramente tecnico. Nessun esito, quale che sia, potrà da solo indicare una committenza: la meccanica identifica una macchina, non chi ne abbia voluto il prodotto.</w:t>
      </w:r>
    </w:p>
    <w:p>
      <w:pPr>
        <w:spacing w:after="120" w:line="276"/>
        <w:jc w:val="both"/>
      </w:pPr>
      <w:r>
        <w:rPr>
          <w:rFonts w:ascii="Barlow Semi Condensed" w:cs="Barlow Semi Condensed" w:eastAsia="Barlow Semi Condensed" w:hAnsi="Barlow Semi Condensed"/>
          <w:b/>
          <w:bCs/>
          <w:sz w:val="24"/>
          <w:szCs w:val="24"/>
        </w:rPr>
        <w:t xml:space="preserve">3751 · Depistaggio, definizione stretta.</w:t>
      </w:r>
      <w:r>
        <w:rPr>
          <w:rFonts w:ascii="Barlow Semi Condensed" w:cs="Barlow Semi Condensed" w:eastAsia="Barlow Semi Condensed" w:hAnsi="Barlow Semi Condensed"/>
          <w:sz w:val="24"/>
          <w:szCs w:val="24"/>
        </w:rPr>
        <w:t xml:space="preserve"> Depistaggio è ciò che un atto qualifica come tale, non ogni stranezza: così il blocco 525, e la definizione elimina d'ufficio l'uso disinvolto del termine per l'ostilità politica documentata di un alleato. Una posizione dichiarata in un memorandum non è un depistaggio: è politica estera scritta, si cita per quello che è, e si tiene fuori dal catalogo dei veleni.</w:t>
      </w:r>
    </w:p>
    <w:p>
      <w:pPr>
        <w:spacing w:after="120" w:line="276"/>
        <w:jc w:val="both"/>
      </w:pPr>
      <w:r>
        <w:rPr>
          <w:rFonts w:ascii="Barlow Semi Condensed" w:cs="Barlow Semi Condensed" w:eastAsia="Barlow Semi Condensed" w:hAnsi="Barlow Semi Condensed"/>
          <w:b/>
          <w:bCs/>
          <w:sz w:val="24"/>
          <w:szCs w:val="24"/>
        </w:rPr>
        <w:t xml:space="preserve">3752 · Il verbale del 1974 sta altrove.</w:t>
      </w:r>
      <w:r>
        <w:rPr>
          <w:rFonts w:ascii="Barlow Semi Condensed" w:cs="Barlow Semi Condensed" w:eastAsia="Barlow Semi Condensed" w:hAnsi="Barlow Semi Condensed"/>
          <w:sz w:val="24"/>
          <w:szCs w:val="24"/>
        </w:rPr>
        <w:t xml:space="preserve"> Richiamo d'ordine necessario alla sezione: il memorandum dello Studio Ovale del 25 settembre 1974 attesta la posizione sul non poter scambiare informazioni militari con un governo che includesse i comunisti, e non contiene alcun ultimatum personale ad Aldo Moro. Non appartiene al corpus della prigionia, non è un comunicato, e non entra nella Parte quinta: sta a quattro anni e a un'altra materia di distanza.</w:t>
      </w:r>
    </w:p>
    <w:p>
      <w:pPr>
        <w:spacing w:after="120" w:line="276"/>
        <w:jc w:val="both"/>
      </w:pPr>
      <w:r>
        <w:rPr>
          <w:rFonts w:ascii="Barlow Semi Condensed" w:cs="Barlow Semi Condensed" w:eastAsia="Barlow Semi Condensed" w:hAnsi="Barlow Semi Condensed"/>
          <w:b/>
          <w:bCs/>
          <w:sz w:val="24"/>
          <w:szCs w:val="24"/>
        </w:rPr>
        <w:t xml:space="preserve">3753 · La rete dei ritrovamenti.</w:t>
      </w:r>
      <w:r>
        <w:rPr>
          <w:rFonts w:ascii="Barlow Semi Condensed" w:cs="Barlow Semi Condensed" w:eastAsia="Barlow Semi Condensed" w:hAnsi="Barlow Semi Condensed"/>
          <w:sz w:val="24"/>
          <w:szCs w:val="24"/>
        </w:rPr>
        <w:t xml:space="preserve"> Chi telefonava, a quali redazioni, con quali formule: la logistica dei nove annunci sta al blocco 513, e fu operazione italiana ripetuta nove volte. Bersaglio di smentita: un ritrovamento fuori d'Italia o una telefonata a una redazione estera. Sedi: gli atti sui ritrovamenti e i brogliacci delle redazioni, incrociati coi fondi dei corrispondenti stranieri censiti dal blocco 277.</w:t>
      </w:r>
    </w:p>
    <w:p>
      <w:pPr>
        <w:spacing w:after="120" w:line="276"/>
        <w:jc w:val="both"/>
      </w:pPr>
      <w:r>
        <w:rPr>
          <w:rFonts w:ascii="Barlow Semi Condensed" w:cs="Barlow Semi Condensed" w:eastAsia="Barlow Semi Condensed" w:hAnsi="Barlow Semi Condensed"/>
          <w:b/>
          <w:bCs/>
          <w:sz w:val="24"/>
          <w:szCs w:val="24"/>
        </w:rPr>
        <w:t xml:space="preserve">3754 · Le veline, e la loro origine.</w:t>
      </w:r>
      <w:r>
        <w:rPr>
          <w:rFonts w:ascii="Barlow Semi Condensed" w:cs="Barlow Semi Condensed" w:eastAsia="Barlow Semi Condensed" w:hAnsi="Barlow Semi Condensed"/>
          <w:sz w:val="24"/>
          <w:szCs w:val="24"/>
        </w:rPr>
        <w:t xml:space="preserve"> Direttive, appelli all'autoregolamentazione, casi documentati: il capitolo del condizionamento della stampa nei cinquantacinque giorni è il blocco 529. Quesito applicabile: fra quegli atti ne esistono di origine o di ispirazione alleata? Sedi: archivi delle redazioni, atti delle commissioni e, per il versante estero, la FOIA Library del Dipartimento di Stato. Esito atteso negativo, da verbalizzare comunque con la griglia dichiarata.</w:t>
      </w:r>
    </w:p>
    <w:p>
      <w:pPr>
        <w:spacing w:after="120" w:line="276"/>
        <w:jc w:val="both"/>
      </w:pPr>
      <w:r>
        <w:rPr>
          <w:rFonts w:ascii="Barlow Semi Condensed" w:cs="Barlow Semi Condensed" w:eastAsia="Barlow Semi Condensed" w:hAnsi="Barlow Semi Condensed"/>
          <w:b/>
          <w:bCs/>
          <w:sz w:val="24"/>
          <w:szCs w:val="24"/>
        </w:rPr>
        <w:t xml:space="preserve">3755 · Il blackout fu discusso in casa.</w:t>
      </w:r>
      <w:r>
        <w:rPr>
          <w:rFonts w:ascii="Barlow Semi Condensed" w:cs="Barlow Semi Condensed" w:eastAsia="Barlow Semi Condensed" w:hAnsi="Barlow Semi Condensed"/>
          <w:sz w:val="24"/>
          <w:szCs w:val="24"/>
        </w:rPr>
        <w:t xml:space="preserve"> Come interrogazione pubblica e datata delle testate italiane su se stesse il blocco 530 documenta il dibattito d'epoca sul silenzio stampa. Registrarlo così impedisce di rileggerlo come effetto di una pressione esterna mai documentata. La convergenza fra fermezza politica e autodisciplina giornalistica appartiene al secondo piano e vi resta: stessa cornice, nessun documento di raccordo fra le due.</w:t>
      </w:r>
    </w:p>
    <w:p>
      <w:pPr>
        <w:spacing w:after="120" w:line="276"/>
        <w:jc w:val="both"/>
      </w:pPr>
      <w:r>
        <w:rPr>
          <w:rFonts w:ascii="Barlow Semi Condensed" w:cs="Barlow Semi Condensed" w:eastAsia="Barlow Semi Condensed" w:hAnsi="Barlow Semi Condensed"/>
          <w:b/>
          <w:bCs/>
          <w:sz w:val="24"/>
          <w:szCs w:val="24"/>
        </w:rPr>
        <w:t xml:space="preserve">3756 · La stampa americana come filone.</w:t>
      </w:r>
      <w:r>
        <w:rPr>
          <w:rFonts w:ascii="Barlow Semi Condensed" w:cs="Barlow Semi Condensed" w:eastAsia="Barlow Semi Condensed" w:hAnsi="Barlow Semi Condensed"/>
          <w:sz w:val="24"/>
          <w:szCs w:val="24"/>
        </w:rPr>
        <w:t xml:space="preserve"> Tabulato al blocco 528 il trattamento giornalistico italiano di ciascun comunicato, l'estensione naturale non è mai stata eseguita: come le testate statunitensi trattarono gli stessi nove testi, giorno per giorno. Sedi: gli archivi delle testate e i fondi dei corrispondenti del blocco 277. È materia di ricezione, non di causa, e serve a misurare che cosa Washington poteva leggere in chiaro.</w:t>
      </w:r>
    </w:p>
    <w:p>
      <w:pPr>
        <w:spacing w:after="120" w:line="276"/>
        <w:jc w:val="both"/>
      </w:pPr>
      <w:r>
        <w:rPr>
          <w:rFonts w:ascii="Barlow Semi Condensed" w:cs="Barlow Semi Condensed" w:eastAsia="Barlow Semi Condensed" w:hAnsi="Barlow Semi Condensed"/>
          <w:b/>
          <w:bCs/>
          <w:sz w:val="24"/>
          <w:szCs w:val="24"/>
        </w:rPr>
        <w:t xml:space="preserve">3757 · La mappa che manca al testo.</w:t>
      </w:r>
      <w:r>
        <w:rPr>
          <w:rFonts w:ascii="Barlow Semi Condensed" w:cs="Barlow Semi Condensed" w:eastAsia="Barlow Semi Condensed" w:hAnsi="Barlow Semi Condensed"/>
          <w:sz w:val="24"/>
          <w:szCs w:val="24"/>
        </w:rPr>
        <w:t xml:space="preserve"> Argomento per argomento, coi fogli relativi e senza parafrasi: è la mappa tematica integrale che il blocco 536 chiede al corpus superstite. Finché quella mappa non esiste, ogni affermazione pubblica su ciò che Moro avrebbe rivelato sul versante internazionale è priva di base verificabile. La mappa è il prerequisito di ogni discussione, e il cantiere la colloca per prima proprio per questo.</w:t>
      </w:r>
    </w:p>
    <w:p>
      <w:pPr>
        <w:spacing w:after="120" w:line="276"/>
        <w:jc w:val="both"/>
      </w:pPr>
      <w:r>
        <w:rPr>
          <w:rFonts w:ascii="Barlow Semi Condensed" w:cs="Barlow Semi Condensed" w:eastAsia="Barlow Semi Condensed" w:hAnsi="Barlow Semi Condensed"/>
          <w:b/>
          <w:bCs/>
          <w:sz w:val="24"/>
          <w:szCs w:val="24"/>
        </w:rPr>
        <w:t xml:space="preserve">3758 · Che cosa il giudicato ha detto.</w:t>
      </w:r>
      <w:r>
        <w:rPr>
          <w:rFonts w:ascii="Barlow Semi Condensed" w:cs="Barlow Semi Condensed" w:eastAsia="Barlow Semi Condensed" w:hAnsi="Barlow Semi Condensed"/>
          <w:sz w:val="24"/>
          <w:szCs w:val="24"/>
        </w:rPr>
        <w:t xml:space="preserve"> Acquisizioni, valutazioni di attendibilità, usi probatori: il blocco 544 chiede come le corti trattarono il corpus, dagli atti digitalizzati. Bersaglio: nella tavola dell'uso processuale figurano passaggi di argomento internazionale valutati da una corte? Ciò che il giudicato ha stabilito sul testo non si riscopre; ciò che non ha stabilito non si supplisce con la pubblicistica, e la distinzione è tutta la disciplina.</w:t>
      </w:r>
    </w:p>
    <w:p>
      <w:pPr>
        <w:spacing w:after="120" w:line="276"/>
        <w:jc w:val="both"/>
      </w:pPr>
      <w:r>
        <w:rPr>
          <w:rFonts w:ascii="Barlow Semi Condensed" w:cs="Barlow Semi Condensed" w:eastAsia="Barlow Semi Condensed" w:hAnsi="Barlow Semi Condensed"/>
          <w:b/>
          <w:bCs/>
          <w:sz w:val="24"/>
          <w:szCs w:val="24"/>
        </w:rPr>
        <w:t xml:space="preserve">3759 · Questa serie è essa stessa un uso.</w:t>
      </w:r>
      <w:r>
        <w:rPr>
          <w:rFonts w:ascii="Barlow Semi Condensed" w:cs="Barlow Semi Condensed" w:eastAsia="Barlow Semi Condensed" w:hAnsi="Barlow Semi Condensed"/>
          <w:sz w:val="24"/>
          <w:szCs w:val="24"/>
        </w:rPr>
        <w:t xml:space="preserve"> Chi usò che cosa, quando, per quali tesi, nel 1978, nel 1990 e nelle commissioni: è la storia politica del testo, che il blocco 543 chiede. Questa serie è a sua volta un uso, e lo dichiara: legge duecento bersagli per misurare la presenza di un nome, non per accreditarla. La storia della ricezione comprende anche le letture che il testo non autorizza.</w:t>
      </w:r>
    </w:p>
    <w:p>
      <w:pPr>
        <w:spacing w:after="120" w:line="276"/>
        <w:jc w:val="both"/>
      </w:pPr>
      <w:r>
        <w:rPr>
          <w:rFonts w:ascii="Barlow Semi Condensed" w:cs="Barlow Semi Condensed" w:eastAsia="Barlow Semi Condensed" w:hAnsi="Barlow Semi Condensed"/>
          <w:b/>
          <w:bCs/>
          <w:sz w:val="24"/>
          <w:szCs w:val="24"/>
        </w:rPr>
        <w:t xml:space="preserve">3760 · La versione dei custodi.</w:t>
      </w:r>
      <w:r>
        <w:rPr>
          <w:rFonts w:ascii="Barlow Semi Condensed" w:cs="Barlow Semi Condensed" w:eastAsia="Barlow Semi Condensed" w:hAnsi="Barlow Semi Condensed"/>
          <w:sz w:val="24"/>
          <w:szCs w:val="24"/>
        </w:rPr>
        <w:t xml:space="preserve"> Fonte di parte: così il blocco 546 tratta le dichiarazioni pubbliche dei condannati sul memoriale. Se un condannato ha attribuito a interlocutori stranieri un ruolo nella vicenda delle carte, la dichiarazione si registra, si data e si confronta con le risultanze filologiche, e resta dichiarazione. Il registro della Parte ottava è il luogo dove si conserva, non la prova di ciò che afferma.</w:t>
      </w:r>
    </w:p>
    <w:p>
      <w:pPr>
        <w:spacing w:after="120" w:line="276"/>
        <w:jc w:val="both"/>
      </w:pPr>
      <w:r>
        <w:rPr>
          <w:rFonts w:ascii="Barlow Semi Condensed" w:cs="Barlow Semi Condensed" w:eastAsia="Barlow Semi Condensed" w:hAnsi="Barlow Semi Condensed"/>
          <w:b/>
          <w:bCs/>
          <w:sz w:val="24"/>
          <w:szCs w:val="24"/>
        </w:rPr>
        <w:t xml:space="preserve">3761 · La finestra è aperta ora.</w:t>
      </w:r>
      <w:r>
        <w:rPr>
          <w:rFonts w:ascii="Barlow Semi Condensed" w:cs="Barlow Semi Condensed" w:eastAsia="Barlow Semi Condensed" w:hAnsi="Barlow Semi Condensed"/>
          <w:sz w:val="24"/>
          <w:szCs w:val="24"/>
        </w:rPr>
        <w:t xml:space="preserve"> Poche domande, tecniche e documentabili, ai viventi — trascrizioni, copie, trasporti delle carte — sono la prescrizione del blocco 547. Il blocco 821 registra Franco Bonisoli vivente, e il blocco 823 ricorda che fu lui a portare le carte in via Monte Nevoso. Le domande ammissibili riguardano lo stemma, non le opinioni sui moventi internazionali. La finestra biologica è aperta adesso.</w:t>
      </w:r>
    </w:p>
    <w:p>
      <w:pPr>
        <w:spacing w:after="120" w:line="276"/>
        <w:jc w:val="both"/>
      </w:pPr>
      <w:r>
        <w:rPr>
          <w:rFonts w:ascii="Barlow Semi Condensed" w:cs="Barlow Semi Condensed" w:eastAsia="Barlow Semi Condensed" w:hAnsi="Barlow Semi Condensed"/>
          <w:b/>
          <w:bCs/>
          <w:sz w:val="24"/>
          <w:szCs w:val="24"/>
        </w:rPr>
        <w:t xml:space="preserve">3762 · Un vuoto in più, dichiarato.</w:t>
      </w:r>
      <w:r>
        <w:rPr>
          <w:rFonts w:ascii="Barlow Semi Condensed" w:cs="Barlow Semi Condensed" w:eastAsia="Barlow Semi Condensed" w:hAnsi="Barlow Semi Condensed"/>
          <w:sz w:val="24"/>
          <w:szCs w:val="24"/>
        </w:rPr>
        <w:t xml:space="preserve"> Elencati al blocco 556, i vuoti testuali della parte sono la stesura A, le lacune misurate, le lettere fantasma, le perizie mancanti. Questa serie ve ne aggiunge uno e lo verbalizza: nel corpus non risulta alcun documento di provenienza che nomini insieme le carte della prigionia e la persona qui triangolata. È un'acquisizione a pieno titolo, e va contata come tale.</w:t>
      </w:r>
    </w:p>
    <w:p>
      <w:pPr>
        <w:spacing w:after="120" w:line="276"/>
        <w:jc w:val="both"/>
      </w:pPr>
      <w:r>
        <w:rPr>
          <w:rFonts w:ascii="Barlow Semi Condensed" w:cs="Barlow Semi Condensed" w:eastAsia="Barlow Semi Condensed" w:hAnsi="Barlow Semi Condensed"/>
          <w:b/>
          <w:bCs/>
          <w:sz w:val="24"/>
          <w:szCs w:val="24"/>
        </w:rPr>
        <w:t xml:space="preserve">3763 · Citare per stesura ed edizione.</w:t>
      </w:r>
      <w:r>
        <w:rPr>
          <w:rFonts w:ascii="Barlow Semi Condensed" w:cs="Barlow Semi Condensed" w:eastAsia="Barlow Semi Condensed" w:hAnsi="Barlow Semi Condensed"/>
          <w:sz w:val="24"/>
          <w:szCs w:val="24"/>
        </w:rPr>
        <w:t xml:space="preserve"> Sempre per stesura ed edizione, mai genericamente: così il blocco 558 impone di citare il corpus della prigionia. Regola operativa per chiunque riprenda questa serie: mai «il memoriale dice», sempre la stesura, l'edizione e il foglio. La disciplina di citazione è la prima difesa contro l'uso politico di un testo scritto sotto costrizione, ed è anche la più facile da rispettare.</w:t>
      </w:r>
    </w:p>
    <w:p>
      <w:pPr>
        <w:spacing w:after="120" w:line="276"/>
        <w:jc w:val="both"/>
      </w:pPr>
      <w:r>
        <w:rPr>
          <w:rFonts w:ascii="Barlow Semi Condensed" w:cs="Barlow Semi Condensed" w:eastAsia="Barlow Semi Condensed" w:hAnsi="Barlow Semi Condensed"/>
          <w:b/>
          <w:bCs/>
          <w:sz w:val="24"/>
          <w:szCs w:val="24"/>
        </w:rPr>
        <w:t xml:space="preserve">3764 · Due nastri, nessuna voce estera.</w:t>
      </w:r>
      <w:r>
        <w:rPr>
          <w:rFonts w:ascii="Barlow Semi Condensed" w:cs="Barlow Semi Condensed" w:eastAsia="Barlow Semi Condensed" w:hAnsi="Barlow Semi Condensed"/>
          <w:sz w:val="24"/>
          <w:szCs w:val="24"/>
        </w:rPr>
        <w:t xml:space="preserve"> Lo statuto della Parte sesta fissa i due soli audio superstiti: la telefonata di Mario Moretti a Eleonora Moro del 30 aprile e quella di Valerio Morucci al professor Tritto del 9 maggio 1978. Entrambe italiane, entrambe interne alla crisi. Il territorio sonoro del caso non contiene alcuna voce straniera: è lo Stato Zero acustico, e va detto prima di formulare qualunque ipotesi.</w:t>
      </w:r>
    </w:p>
    <w:p>
      <w:pPr>
        <w:spacing w:after="120" w:line="276"/>
        <w:jc w:val="both"/>
      </w:pPr>
      <w:r>
        <w:rPr>
          <w:rFonts w:ascii="Barlow Semi Condensed" w:cs="Barlow Semi Condensed" w:eastAsia="Barlow Semi Condensed" w:hAnsi="Barlow Semi Condensed"/>
          <w:b/>
          <w:bCs/>
          <w:sz w:val="24"/>
          <w:szCs w:val="24"/>
        </w:rPr>
        <w:t xml:space="preserve">3765 · La scheda del 30 aprile.</w:t>
      </w:r>
      <w:r>
        <w:rPr>
          <w:rFonts w:ascii="Barlow Semi Condensed" w:cs="Barlow Semi Condensed" w:eastAsia="Barlow Semi Condensed" w:hAnsi="Barlow Semi Condensed"/>
          <w:sz w:val="24"/>
          <w:szCs w:val="24"/>
        </w:rPr>
        <w:t xml:space="preserve"> Nastro intercettato e registrato, circolazione attestata almeno da una scheda d'archivio del gennaio 1980, data della prima diffusione ancora da fissare: è la scheda del blocco 562. Bersaglio archivistico puro, senza versante internazionale: la sede è italiana e giudiziaria, e la lacuna è di datazione. Chi lo cercasse altrove sposterebbe il problema invece di chiuderlo, e perderebbe l'unica domanda a cui si può rispondere.</w:t>
      </w:r>
    </w:p>
    <w:p>
      <w:pPr>
        <w:spacing w:after="120" w:line="276"/>
        <w:jc w:val="both"/>
      </w:pPr>
      <w:r>
        <w:rPr>
          <w:rFonts w:ascii="Barlow Semi Condensed" w:cs="Barlow Semi Condensed" w:eastAsia="Barlow Semi Condensed" w:hAnsi="Barlow Semi Condensed"/>
          <w:b/>
          <w:bCs/>
          <w:sz w:val="24"/>
          <w:szCs w:val="24"/>
        </w:rPr>
        <w:t xml:space="preserve">3766 · Le 12:13 del 9 maggio.</w:t>
      </w:r>
      <w:r>
        <w:rPr>
          <w:rFonts w:ascii="Barlow Semi Condensed" w:cs="Barlow Semi Condensed" w:eastAsia="Barlow Semi Condensed" w:hAnsi="Barlow Semi Condensed"/>
          <w:sz w:val="24"/>
          <w:szCs w:val="24"/>
        </w:rPr>
        <w:t xml:space="preserve"> La formula «il dottor Niccolai» apre la scheda del blocco 563 sulla chiamata al professor Tritto, con l'originale agli atti giudiziari e le copie negli archivi Rai. Documento autentico e pubblico. Nessuna analisi di questa serie tocca quel nastro: lo si cita per completezza del territorio e per fissare che la voce che annunciò la fine fu italiana, col rispetto dovuto a chi rispose.</w:t>
      </w:r>
    </w:p>
    <w:p>
      <w:pPr>
        <w:spacing w:after="120" w:line="276"/>
        <w:jc w:val="both"/>
      </w:pPr>
      <w:r>
        <w:rPr>
          <w:rFonts w:ascii="Barlow Semi Condensed" w:cs="Barlow Semi Condensed" w:eastAsia="Barlow Semi Condensed" w:hAnsi="Barlow Semi Condensed"/>
          <w:b/>
          <w:bCs/>
          <w:sz w:val="24"/>
          <w:szCs w:val="24"/>
        </w:rPr>
        <w:t xml:space="preserve">3767 · Perché in Italia non si registrava.</w:t>
      </w:r>
      <w:r>
        <w:rPr>
          <w:rFonts w:ascii="Barlow Semi Condensed" w:cs="Barlow Semi Condensed" w:eastAsia="Barlow Semi Condensed" w:hAnsi="Barlow Semi Condensed"/>
          <w:sz w:val="24"/>
          <w:szCs w:val="24"/>
        </w:rPr>
        <w:t xml:space="preserve"> Censite al blocco 568 le telefonate documentate e prive di audio, il blocco 569 ne cerca la ragione di sistema nelle prassi di intercettazione e conservazione del 1978. Corollario per la triangolazione: la differenza rispetto alle trascrizioni d'ufficio in uso presso un segretario di Stato americano è di sistema documentale, non di segreto. Lo si dichiara, e non se ne trae altro.</w:t>
      </w:r>
    </w:p>
    <w:p>
      <w:pPr>
        <w:spacing w:after="120" w:line="276"/>
        <w:jc w:val="both"/>
      </w:pPr>
      <w:r>
        <w:rPr>
          <w:rFonts w:ascii="Barlow Semi Condensed" w:cs="Barlow Semi Condensed" w:eastAsia="Barlow Semi Condensed" w:hAnsi="Barlow Semi Condensed"/>
          <w:b/>
          <w:bCs/>
          <w:sz w:val="24"/>
          <w:szCs w:val="24"/>
        </w:rPr>
        <w:t xml:space="preserve">3768 · Le trascrizioni telefoniche, genere.</w:t>
      </w:r>
      <w:r>
        <w:rPr>
          <w:rFonts w:ascii="Barlow Semi Condensed" w:cs="Barlow Semi Condensed" w:eastAsia="Barlow Semi Condensed" w:hAnsi="Barlow Semi Condensed"/>
          <w:sz w:val="24"/>
          <w:szCs w:val="24"/>
        </w:rPr>
        <w:t xml:space="preserve"> I blocchi 97, 282 e 664 dell'opera Kissinger inseguono la serie delle trascrizioni d'ufficio delle conversazioni telefoniche, con sede da verificare presso i fondi del Dipartimento di Stato ai National Archives. Per genere è il gemello dei verbali italiani senza audio del blocco 568. La somiglianza è analogia di prassi burocratica, non omologia di vicenda: nessun antenato comune si deduce da due burocrazie che verbalizzano.</w:t>
      </w:r>
    </w:p>
    <w:p>
      <w:pPr>
        <w:spacing w:after="120" w:line="276"/>
        <w:jc w:val="both"/>
      </w:pPr>
      <w:r>
        <w:rPr>
          <w:rFonts w:ascii="Barlow Semi Condensed" w:cs="Barlow Semi Condensed" w:eastAsia="Barlow Semi Condensed" w:hAnsi="Barlow Semi Condensed"/>
          <w:b/>
          <w:bCs/>
          <w:sz w:val="24"/>
          <w:szCs w:val="24"/>
        </w:rPr>
        <w:t xml:space="preserve">3769 · Nessun campione, nessun confronto.</w:t>
      </w:r>
      <w:r>
        <w:rPr>
          <w:rFonts w:ascii="Barlow Semi Condensed" w:cs="Barlow Semi Condensed" w:eastAsia="Barlow Semi Condensed" w:hAnsi="Barlow Semi Condensed"/>
          <w:sz w:val="24"/>
          <w:szCs w:val="24"/>
        </w:rPr>
        <w:t xml:space="preserve"> Ammessa soltanto sopra la soglia di qualità fissata in anticipo dal blocco 203 dell'agenda, la fonetica forense del blocco 566 non ha qui alcun oggetto: nel territorio non esiste campione sonoro straniero relativo al caso. Nessuna comparazione vocale è dunque concepibile in questa direzione. Dove la scienza non ha materiale tace, e qui tace per assenza di oggetto prima ancora che per soglia.</w:t>
      </w:r>
    </w:p>
    <w:p>
      <w:pPr>
        <w:spacing w:after="120" w:line="276"/>
        <w:jc w:val="both"/>
      </w:pPr>
      <w:r>
        <w:rPr>
          <w:rFonts w:ascii="Barlow Semi Condensed" w:cs="Barlow Semi Condensed" w:eastAsia="Barlow Semi Condensed" w:hAnsi="Barlow Semi Condensed"/>
          <w:b/>
          <w:bCs/>
          <w:sz w:val="24"/>
          <w:szCs w:val="24"/>
        </w:rPr>
        <w:t xml:space="preserve">3770 · Il secondo piano dei nastri.</w:t>
      </w:r>
      <w:r>
        <w:rPr>
          <w:rFonts w:ascii="Barlow Semi Condensed" w:cs="Barlow Semi Condensed" w:eastAsia="Barlow Semi Condensed" w:hAnsi="Barlow Semi Condensed"/>
          <w:sz w:val="24"/>
          <w:szCs w:val="24"/>
        </w:rPr>
        <w:t xml:space="preserve"> Aspettative dichiaratamente basse governano al blocco 567 l'esplorazione degli ambienti sonori delle due registrazioni. Bersaglio di smentita formulato prima dell'esame: nemmeno una separazione riuscita dei fondi potrebbe restituire una voce non presente alla chiamata. Il margine residuo di quei nastri riguarda i luoghi, non le committenze, e dichiararlo in anticipo evita che un esito nullo venga presentato come reticenza.</w:t>
      </w:r>
    </w:p>
    <w:p>
      <w:pPr>
        <w:spacing w:after="120" w:line="276"/>
        <w:jc w:val="both"/>
      </w:pPr>
      <w:r>
        <w:rPr>
          <w:rFonts w:ascii="Barlow Semi Condensed" w:cs="Barlow Semi Condensed" w:eastAsia="Barlow Semi Condensed" w:hAnsi="Barlow Semi Condensed"/>
          <w:b/>
          <w:bCs/>
          <w:sz w:val="24"/>
          <w:szCs w:val="24"/>
        </w:rPr>
        <w:t xml:space="preserve">3771 · Nessuna voce ricostruita.</w:t>
      </w:r>
      <w:r>
        <w:rPr>
          <w:rFonts w:ascii="Barlow Semi Condensed" w:cs="Barlow Semi Condensed" w:eastAsia="Barlow Semi Condensed" w:hAnsi="Barlow Semi Condensed"/>
          <w:sz w:val="24"/>
          <w:szCs w:val="24"/>
        </w:rPr>
        <w:t xml:space="preserve"> Vietato al cantiere generare ricostruzioni sintetiche delle voci delle vittime e dei protagonisti: è il divieto del blocco 646, e va esteso a questa serie. Nessuna voce sintetica del nome triangolato, per nessuna finalità divulgativa. Il blocco 645 istituisce il registro pubblico dei falsi sintetici circolanti, e una frase mai documentata è esattamente il materiale che l'era sintetica tenderà a fabbricare per prima.</w:t>
      </w:r>
    </w:p>
    <w:p>
      <w:pPr>
        <w:spacing w:after="120" w:line="276"/>
        <w:jc w:val="both"/>
      </w:pPr>
      <w:r>
        <w:rPr>
          <w:rFonts w:ascii="Barlow Semi Condensed" w:cs="Barlow Semi Condensed" w:eastAsia="Barlow Semi Condensed" w:hAnsi="Barlow Semi Condensed"/>
          <w:b/>
          <w:bCs/>
          <w:sz w:val="24"/>
          <w:szCs w:val="24"/>
        </w:rPr>
        <w:t xml:space="preserve">3772 · Gli archivi sonori esteri, incompleti.</w:t>
      </w:r>
      <w:r>
        <w:rPr>
          <w:rFonts w:ascii="Barlow Semi Condensed" w:cs="Barlow Semi Condensed" w:eastAsia="Barlow Semi Condensed" w:hAnsi="Barlow Semi Condensed"/>
          <w:sz w:val="24"/>
          <w:szCs w:val="24"/>
        </w:rPr>
        <w:t xml:space="preserve"> BBC, ORTF-INA e ARD sono i nomi del blocco 581, e nessun radiodiffusore statunitense vi compare. Bersaglio di completamento territoriale, con le regole d'accesso della Parte prima: le corrispondenze da Roma del 1978 conservate dalle teche radiofoniche americane. L'assenza riguarda l'elenco del cantiere, non necessariamente i materiali: il primo atto è interrogare i cataloghi e verbalizzare che cosa esista.</w:t>
      </w:r>
    </w:p>
    <w:p>
      <w:pPr>
        <w:spacing w:after="120" w:line="276"/>
        <w:jc w:val="both"/>
      </w:pPr>
      <w:r>
        <w:rPr>
          <w:rFonts w:ascii="Barlow Semi Condensed" w:cs="Barlow Semi Condensed" w:eastAsia="Barlow Semi Condensed" w:hAnsi="Barlow Semi Condensed"/>
          <w:b/>
          <w:bCs/>
          <w:sz w:val="24"/>
          <w:szCs w:val="24"/>
        </w:rPr>
        <w:t xml:space="preserve">3773 · Il Vanderbilt, giacimento assente.</w:t>
      </w:r>
      <w:r>
        <w:rPr>
          <w:rFonts w:ascii="Barlow Semi Condensed" w:cs="Barlow Semi Condensed" w:eastAsia="Barlow Semi Condensed" w:hAnsi="Barlow Semi Condensed"/>
          <w:sz w:val="24"/>
          <w:szCs w:val="24"/>
        </w:rPr>
        <w:t xml:space="preserve"> Omessa dal blocco 628, che censisce BBC Archive, INA e ARD per i servizi esteri sul caso, è la televisione statunitense. Bersaglio nominato: il Vanderbilt Television News Archive per i notiziari serali delle reti americane sui cinquantacinque giorni. È il giacimento che dice che cosa il pubblico americano vide della crisi italiana, e il corpus non lo ha mai censito né citato.</w:t>
      </w:r>
    </w:p>
    <w:p>
      <w:pPr>
        <w:spacing w:after="120" w:line="276"/>
        <w:jc w:val="both"/>
      </w:pPr>
      <w:r>
        <w:rPr>
          <w:rFonts w:ascii="Barlow Semi Condensed" w:cs="Barlow Semi Condensed" w:eastAsia="Barlow Semi Condensed" w:hAnsi="Barlow Semi Condensed"/>
          <w:b/>
          <w:bCs/>
          <w:sz w:val="24"/>
          <w:szCs w:val="24"/>
        </w:rPr>
        <w:t xml:space="preserve">3774 · L'esclusiva GBR resta italiana.</w:t>
      </w:r>
      <w:r>
        <w:rPr>
          <w:rFonts w:ascii="Barlow Semi Condensed" w:cs="Barlow Semi Condensed" w:eastAsia="Barlow Semi Condensed" w:hAnsi="Barlow Semi Condensed"/>
          <w:sz w:val="24"/>
          <w:szCs w:val="24"/>
        </w:rPr>
        <w:t xml:space="preserve"> Girate da GBR, con Franco Alfano e l'operatore Valerio Leccese, le prime e uniche immagini dell'apertura del bagagliaio entrarono poi nel repertorio Rai, mentre la collocazione dei grezzi originali non è documentata: così il blocco 579. È un bersaglio conservativo italiano e urgente. Si segnala qui perché una serie di triangolazione non lo faccia scomparire dietro questioni più rumorose.</w:t>
      </w:r>
    </w:p>
    <w:p>
      <w:pPr>
        <w:spacing w:after="120" w:line="276"/>
        <w:jc w:val="both"/>
      </w:pPr>
      <w:r>
        <w:rPr>
          <w:rFonts w:ascii="Barlow Semi Condensed" w:cs="Barlow Semi Condensed" w:eastAsia="Barlow Semi Condensed" w:hAnsi="Barlow Semi Condensed"/>
          <w:b/>
          <w:bCs/>
          <w:sz w:val="24"/>
          <w:szCs w:val="24"/>
        </w:rPr>
        <w:t xml:space="preserve">3775 · Il fondo non qualifica lo scatto.</w:t>
      </w:r>
      <w:r>
        <w:rPr>
          <w:rFonts w:ascii="Barlow Semi Condensed" w:cs="Barlow Semi Condensed" w:eastAsia="Barlow Semi Condensed" w:hAnsi="Barlow Semi Condensed"/>
          <w:sz w:val="24"/>
          <w:szCs w:val="24"/>
        </w:rPr>
        <w:t xml:space="preserve"> ANSA, AP e il fondo Publifoto — circa sette milioni di immagini passate nel 2015 all'Archivio storico di Intesa Sanpaolo, con la presenza morotea da verificare a catalogo — compongono il filone privato del blocco 590. L'AP è agenzia statunitense: il suo fondo si interroga come fondo, con la griglia del blocco 603, e non come emanazione di una politica. La proprietà non qualifica lo scatto.</w:t>
      </w:r>
    </w:p>
    <w:p>
      <w:pPr>
        <w:spacing w:after="120" w:line="276"/>
        <w:jc w:val="both"/>
      </w:pPr>
      <w:r>
        <w:rPr>
          <w:rFonts w:ascii="Barlow Semi Condensed" w:cs="Barlow Semi Condensed" w:eastAsia="Barlow Semi Condensed" w:hAnsi="Barlow Semi Condensed"/>
          <w:b/>
          <w:bCs/>
          <w:sz w:val="24"/>
          <w:szCs w:val="24"/>
        </w:rPr>
        <w:t xml:space="preserve">3776 · Le didascalie da bonificare.</w:t>
      </w:r>
      <w:r>
        <w:rPr>
          <w:rFonts w:ascii="Barlow Semi Condensed" w:cs="Barlow Semi Condensed" w:eastAsia="Barlow Semi Condensed" w:hAnsi="Barlow Semi Condensed"/>
          <w:sz w:val="24"/>
          <w:szCs w:val="24"/>
        </w:rPr>
        <w:t xml:space="preserve"> Progettata dal blocco 606, la bonifica riguarda le immagini circolanti con date, luoghi o soggetti errati. Bersaglio specifico per questa serie: le fotografie di incontri diplomatici italo-americani degli anni Settanta, ricorrentemente ridatate nella pubblicistica sul caso. La correzione è documentale — comunicati ufficiali, programmi di visita, fondi d'agenzia — e disinnesca una quota del rumore senza dover discutere alcuna tesi.</w:t>
      </w:r>
    </w:p>
    <w:p>
      <w:pPr>
        <w:spacing w:after="120" w:line="276"/>
        <w:jc w:val="both"/>
      </w:pPr>
      <w:r>
        <w:rPr>
          <w:rFonts w:ascii="Barlow Semi Condensed" w:cs="Barlow Semi Condensed" w:eastAsia="Barlow Semi Condensed" w:hAnsi="Barlow Semi Condensed"/>
          <w:b/>
          <w:bCs/>
          <w:sz w:val="24"/>
          <w:szCs w:val="24"/>
        </w:rPr>
        <w:t xml:space="preserve">3777 · La dogana vale anche per i celebri.</w:t>
      </w:r>
      <w:r>
        <w:rPr>
          <w:rFonts w:ascii="Barlow Semi Condensed" w:cs="Barlow Semi Condensed" w:eastAsia="Barlow Semi Condensed" w:hAnsi="Barlow Semi Condensed"/>
          <w:sz w:val="24"/>
          <w:szCs w:val="24"/>
        </w:rPr>
        <w:t xml:space="preserve"> Catalogo dei falsi visivi al blocco 605, autenticazione tecnica dell'audiovisivo emergente al blocco 644: ogni immagine nuova che accosti il nome al caso passa la dogana prima della cittadinanza nel corpus, a maggior ragione nell'era descritta dal blocco 645. Questa serie non chiede un protocollo nuovo: chiede che quello esistente si applichi anche quando il soggetto è famoso.</w:t>
      </w:r>
    </w:p>
    <w:p>
      <w:pPr>
        <w:spacing w:after="120" w:line="276"/>
        <w:jc w:val="both"/>
      </w:pPr>
      <w:r>
        <w:rPr>
          <w:rFonts w:ascii="Barlow Semi Condensed" w:cs="Barlow Semi Condensed" w:eastAsia="Barlow Semi Condensed" w:hAnsi="Barlow Semi Condensed"/>
          <w:b/>
          <w:bCs/>
          <w:sz w:val="24"/>
          <w:szCs w:val="24"/>
        </w:rPr>
        <w:t xml:space="preserve">3778 · La metrica non produce nomi.</w:t>
      </w:r>
      <w:r>
        <w:rPr>
          <w:rFonts w:ascii="Barlow Semi Condensed" w:cs="Barlow Semi Condensed" w:eastAsia="Barlow Semi Condensed" w:hAnsi="Barlow Semi Condensed"/>
          <w:sz w:val="24"/>
          <w:szCs w:val="24"/>
        </w:rPr>
        <w:t xml:space="preserve"> Misurare la fotogrammetria delle foto della prigionia contro le caratteristiche di via Montalcini 8 accertate dal blocco 419 è il compito del blocco 595. Misura geometrie, non responsabilità. Bersaglio di smentita valido per chiunque: nessun esito metrico su un fondale può produrre un nome. La compatibilità si misura fra un'immagine e un luogo, mai fra un'immagine e una persona assente.</w:t>
      </w:r>
    </w:p>
    <w:p>
      <w:pPr>
        <w:spacing w:after="120" w:line="276"/>
        <w:jc w:val="both"/>
      </w:pPr>
      <w:r>
        <w:rPr>
          <w:rFonts w:ascii="Barlow Semi Condensed" w:cs="Barlow Semi Condensed" w:eastAsia="Barlow Semi Condensed" w:hAnsi="Barlow Semi Condensed"/>
          <w:b/>
          <w:bCs/>
          <w:sz w:val="24"/>
          <w:szCs w:val="24"/>
        </w:rPr>
        <w:t xml:space="preserve">3779 · Dall'alto, e il quesito satellitare.</w:t>
      </w:r>
      <w:r>
        <w:rPr>
          <w:rFonts w:ascii="Barlow Semi Condensed" w:cs="Barlow Semi Condensed" w:eastAsia="Barlow Semi Condensed" w:hAnsi="Barlow Semi Condensed"/>
          <w:sz w:val="24"/>
          <w:szCs w:val="24"/>
        </w:rPr>
        <w:t xml:space="preserve"> Le coperture aeree dell'Aerofototeca Nazionale dell'ICCD e dell'Istituto Geografico Militare sui quadranti romani del 1977-1978 sono assunte dal blocco 630. Quesito nuovo da portare a sede nominata: quali coperture satellitari statunitensi di quel periodo siano oggi desecretate, ordinabili e con quale risoluzione utile. È accertamento tecnico e archivistico, da chiudere prima di ogni uso e di ogni ipotesi.</w:t>
      </w:r>
    </w:p>
    <w:p>
      <w:pPr>
        <w:spacing w:after="120" w:line="276"/>
        <w:jc w:val="both"/>
      </w:pPr>
      <w:r>
        <w:rPr>
          <w:rFonts w:ascii="Barlow Semi Condensed" w:cs="Barlow Semi Condensed" w:eastAsia="Barlow Semi Condensed" w:hAnsi="Barlow Semi Condensed"/>
          <w:b/>
          <w:bCs/>
          <w:sz w:val="24"/>
          <w:szCs w:val="24"/>
        </w:rPr>
        <w:t xml:space="preserve">3780 · Il modello aperto come difesa.</w:t>
      </w:r>
      <w:r>
        <w:rPr>
          <w:rFonts w:ascii="Barlow Semi Condensed" w:cs="Barlow Semi Condensed" w:eastAsia="Barlow Semi Condensed" w:hAnsi="Barlow Semi Condensed"/>
          <w:sz w:val="24"/>
          <w:szCs w:val="24"/>
        </w:rPr>
        <w:t xml:space="preserve"> Registrata dal blocco 632, la ricostruzione virtuale tridimensionale realizzata dalla Polizia scientifica per la Moro 2 fu diffusa nel 2017 come elaborato tecnico, e un modello pubblico ed esplorabile non esiste. Il cantiere lo costruisce con ogni assunzione dichiarata. Un modello aperto è anche una difesa: rende falsificabili le ricostruzioni narrative che nessun dato sostiene, comprese quelle che amano i nomi grandi.</w:t>
      </w:r>
    </w:p>
    <w:p>
      <w:pPr>
        <w:spacing w:after="120" w:line="276"/>
        <w:jc w:val="both"/>
      </w:pPr>
      <w:r>
        <w:rPr>
          <w:rFonts w:ascii="Barlow Semi Condensed" w:cs="Barlow Semi Condensed" w:eastAsia="Barlow Semi Condensed" w:hAnsi="Barlow Semi Condensed"/>
          <w:b/>
          <w:bCs/>
          <w:sz w:val="24"/>
          <w:szCs w:val="24"/>
        </w:rPr>
        <w:t xml:space="preserve">3781 · Le celle che il sensibile non riempie.</w:t>
      </w:r>
      <w:r>
        <w:rPr>
          <w:rFonts w:ascii="Barlow Semi Condensed" w:cs="Barlow Semi Condensed" w:eastAsia="Barlow Semi Condensed" w:hAnsi="Barlow Semi Condensed"/>
          <w:sz w:val="24"/>
          <w:szCs w:val="24"/>
        </w:rPr>
        <w:t xml:space="preserve"> Le presenze fotografate, i fondi delle telefonate, le geometrie della prigione: sono le celle che il blocco 659 riserva all'immagine e al suono. Nessuna di esse è riempibile da un nome straniero, perché riguardano la scena, lo spazio e il rumore. È un limite strutturale del territorio, e dichiararlo evita che si chieda alle immagini ciò che non possono dare.</w:t>
      </w:r>
    </w:p>
    <w:p>
      <w:pPr>
        <w:spacing w:after="120" w:line="276"/>
        <w:jc w:val="both"/>
      </w:pPr>
      <w:r>
        <w:rPr>
          <w:rFonts w:ascii="Barlow Semi Condensed" w:cs="Barlow Semi Condensed" w:eastAsia="Barlow Semi Condensed" w:hAnsi="Barlow Semi Condensed"/>
          <w:b/>
          <w:bCs/>
          <w:sz w:val="24"/>
          <w:szCs w:val="24"/>
        </w:rPr>
        <w:t xml:space="preserve">3782 · La precedenza resta giudiziaria.</w:t>
      </w:r>
      <w:r>
        <w:rPr>
          <w:rFonts w:ascii="Barlow Semi Condensed" w:cs="Barlow Semi Condensed" w:eastAsia="Barlow Semi Condensed" w:hAnsi="Barlow Semi Condensed"/>
          <w:sz w:val="24"/>
          <w:szCs w:val="24"/>
        </w:rPr>
        <w:t xml:space="preserve"> Segnalare all'autorità ogni materiale sensibile con possibile rilievo per l'indagine aperta, prima di qualunque uso pubblico, è l'obbligo del blocco 651, in raccordo col blocco 291 dell'agenda. La regola vale anche qui: se un documento di primo piano emergesse, la precedenza è del fascicolo romano. Il corpus si ferma al giudicato e consegna; non pubblica per rivendicare un primato.</w:t>
      </w:r>
    </w:p>
    <w:p>
      <w:pPr>
        <w:spacing w:after="120" w:line="276"/>
        <w:jc w:val="both"/>
      </w:pPr>
      <w:r>
        <w:rPr>
          <w:rFonts w:ascii="Barlow Semi Condensed" w:cs="Barlow Semi Condensed" w:eastAsia="Barlow Semi Condensed" w:hAnsi="Barlow Semi Condensed"/>
          <w:b/>
          <w:bCs/>
          <w:sz w:val="24"/>
          <w:szCs w:val="24"/>
        </w:rPr>
        <w:t xml:space="preserve">3783 · Il bilancio, in tre piani.</w:t>
      </w:r>
      <w:r>
        <w:rPr>
          <w:rFonts w:ascii="Barlow Semi Condensed" w:cs="Barlow Semi Condensed" w:eastAsia="Barlow Semi Condensed" w:hAnsi="Barlow Semi Condensed"/>
          <w:sz w:val="24"/>
          <w:szCs w:val="24"/>
        </w:rPr>
        <w:t xml:space="preserve"> Sui duecento bersagli del territorio assegnato gli agganci di primo piano col nome triangolato sono zero; le convergenze di secondo piano sono di cornice e già registrate altrove nel corpus; le affermazioni di terzo piano si riducono all'avvertimento riferito, testimonianza contestata di grado B debole, mai da dare per accertata. Il risultato corretto di questa serie è un inventario di assenze accertate.</w:t>
      </w:r>
    </w:p>
    <w:p>
      <w:pPr>
        <w:spacing w:after="120" w:line="276"/>
        <w:jc w:val="both"/>
      </w:pPr>
      <w:r>
        <w:rPr>
          <w:rFonts w:ascii="Barlow Semi Condensed" w:cs="Barlow Semi Condensed" w:eastAsia="Barlow Semi Condensed" w:hAnsi="Barlow Semi Condensed"/>
          <w:b/>
          <w:bCs/>
          <w:sz w:val="24"/>
          <w:szCs w:val="24"/>
        </w:rPr>
        <w:t xml:space="preserve">3784 · Che cosa smentirebbe tutto.</w:t>
      </w:r>
      <w:r>
        <w:rPr>
          <w:rFonts w:ascii="Barlow Semi Condensed" w:cs="Barlow Semi Condensed" w:eastAsia="Barlow Semi Condensed" w:hAnsi="Barlow Semi Condensed"/>
          <w:sz w:val="24"/>
          <w:szCs w:val="24"/>
        </w:rPr>
        <w:t xml:space="preserve"> Bersaglio di smentita complessivo, formulato una volta per tutte: un documento di provenienza — verbale, inventario, cablogramma, atto di consegna — che nomini insieme le carte della prigionia o i supporti sensibili del caso e la persona qui triangolata. Sedi dove cercarlo: NARA AAD, la FOIA Library del Dipartimento di Stato, la Ford Library, Yale Manuscripts and Archives, la Manuscript Division della Library of Congress.</w:t>
      </w:r>
    </w:p>
    <w:p>
      <w:pPr>
        <w:spacing w:after="120" w:line="276"/>
        <w:jc w:val="both"/>
      </w:pPr>
      <w:r>
        <w:rPr>
          <w:rFonts w:ascii="Barlow Semi Condensed" w:cs="Barlow Semi Condensed" w:eastAsia="Barlow Semi Condensed" w:hAnsi="Barlow Semi Condensed"/>
          <w:b/>
          <w:bCs/>
          <w:sz w:val="24"/>
          <w:szCs w:val="24"/>
        </w:rPr>
        <w:t xml:space="preserve">3785 · L'apparato tace, e si dichiara.</w:t>
      </w:r>
      <w:r>
        <w:rPr>
          <w:rFonts w:ascii="Barlow Semi Condensed" w:cs="Barlow Semi Condensed" w:eastAsia="Barlow Semi Condensed" w:hAnsi="Barlow Semi Condensed"/>
          <w:sz w:val="24"/>
          <w:szCs w:val="24"/>
        </w:rPr>
        <w:t xml:space="preserve"> Gli apparati C-5 e C-6 della seconda campagna dei cantieri, dedicati proprio a questo territorio, non registrano alcuna voce americana né alcun «non trovato» su quel versante: la ricerca non fu condotta in quella direzione perché il territorio non la sollecita. Questa serie ha letto duecento bersagli e vi ha misurato un silenzio, indicando per ciascun punto la sede che lo chiuderebbe.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cinquantesima — I nove cantieri: registro e fascicolo di Roma</w:t>
      </w:r>
    </w:p>
    <w:p>
      <w:pPr>
        <w:spacing w:after="120" w:line="276"/>
        <w:jc w:val="both"/>
      </w:pPr>
      <w:r>
        <w:rPr>
          <w:rFonts w:ascii="Barlow Semi Condensed" w:cs="Barlow Semi Condensed" w:eastAsia="Barlow Semi Condensed" w:hAnsi="Barlow Semi Condensed"/>
          <w:i/>
          <w:iCs/>
          <w:sz w:val="24"/>
          <w:szCs w:val="24"/>
        </w:rPr>
        <w:t xml:space="preserve">Blocchi 3786-3860.</w:t>
      </w:r>
    </w:p>
    <w:p>
      <w:pPr>
        <w:spacing w:after="120" w:line="276"/>
        <w:jc w:val="both"/>
      </w:pPr>
      <w:r>
        <w:rPr>
          <w:rFonts w:ascii="Barlow Semi Condensed" w:cs="Barlow Semi Condensed" w:eastAsia="Barlow Semi Condensed" w:hAnsi="Barlow Semi Condensed"/>
          <w:b/>
          <w:bCs/>
          <w:sz w:val="24"/>
          <w:szCs w:val="24"/>
        </w:rPr>
        <w:t xml:space="preserve">3786 · Zero occorrenze in mille blocchi.</w:t>
      </w:r>
      <w:r>
        <w:rPr>
          <w:rFonts w:ascii="Barlow Semi Condensed" w:cs="Barlow Semi Condensed" w:eastAsia="Barlow Semi Condensed" w:hAnsi="Barlow Semi Condensed"/>
          <w:sz w:val="24"/>
          <w:szCs w:val="24"/>
        </w:rPr>
        <w:t xml:space="preserve"> Il primo accertamento è meccanico e va scritto per primo: una ricerca sull'intero file nove-cantieri-mille-blocchi.md, duemilacentotrentasette righe, restituisce zero occorrenze del nome Kissinger, Parti ottava e nona comprese. Il territorio assegnato a questa serie tace integralmente sul nome triangolato. Non è una lacuna dell'opera: è la conseguenza dei suoi due statuti di parte, e i blocchi che seguono la verbalizzano invece di aggirarla. Grado: pieno, verificabile da chiunque rifaccia la ricerca.</w:t>
      </w:r>
    </w:p>
    <w:p>
      <w:pPr>
        <w:spacing w:after="120" w:line="276"/>
        <w:jc w:val="both"/>
      </w:pPr>
      <w:r>
        <w:rPr>
          <w:rFonts w:ascii="Barlow Semi Condensed" w:cs="Barlow Semi Condensed" w:eastAsia="Barlow Semi Condensed" w:hAnsi="Barlow Semi Condensed"/>
          <w:b/>
          <w:bCs/>
          <w:sz w:val="24"/>
          <w:szCs w:val="24"/>
        </w:rPr>
        <w:t xml:space="preserve">3787 · Perché la Parte ottava lo esclude.</w:t>
      </w:r>
      <w:r>
        <w:rPr>
          <w:rFonts w:ascii="Barlow Semi Condensed" w:cs="Barlow Semi Condensed" w:eastAsia="Barlow Semi Condensed" w:hAnsi="Barlow Semi Condensed"/>
          <w:sz w:val="24"/>
          <w:szCs w:val="24"/>
        </w:rPr>
        <w:t xml:space="preserve"> Lo statuto della Parte ottava è scolpito nella premessa: i nomi, solo dove la legge li ha scritti. Il registro accoglie chi vi fu iscritto da cinque processi definitivi, e il blocco 796 ne fissa il perimetro esatto — non ogni condannato della colonna romana, non ogni brigatista del 1978. Una persona mai imputata in alcun Paese non può comparirvi per definizione, non per riguardo. L'assenza è effetto di regola, non silenzio da interpretare.</w:t>
      </w:r>
    </w:p>
    <w:p>
      <w:pPr>
        <w:spacing w:after="120" w:line="276"/>
        <w:jc w:val="both"/>
      </w:pPr>
      <w:r>
        <w:rPr>
          <w:rFonts w:ascii="Barlow Semi Condensed" w:cs="Barlow Semi Condensed" w:eastAsia="Barlow Semi Condensed" w:hAnsi="Barlow Semi Condensed"/>
          <w:b/>
          <w:bCs/>
          <w:sz w:val="24"/>
          <w:szCs w:val="24"/>
        </w:rPr>
        <w:t xml:space="preserve">3788 · Il muro portante del perimetro negativo.</w:t>
      </w:r>
      <w:r>
        <w:rPr>
          <w:rFonts w:ascii="Barlow Semi Condensed" w:cs="Barlow Semi Condensed" w:eastAsia="Barlow Semi Condensed" w:hAnsi="Barlow Semi Condensed"/>
          <w:sz w:val="24"/>
          <w:szCs w:val="24"/>
        </w:rPr>
        <w:t xml:space="preserve"> Nel blocco 876 il perimetro negativo è dichiarato un'ultima volta: nessun bersaglio della parte cerca colpevoli nuovi, rilegge posizioni giudicate o costruisce sospetti su non iscritti. È il muro che questa serie incontra per primo e non tenta di scavalcare. Ne discende che la prosopografia del registro non è, e non diventerà, la sede in cui una responsabilità straniera possa essere discussa. La sede sarebbe un'imputazione, e non esiste.</w:t>
      </w:r>
    </w:p>
    <w:p>
      <w:pPr>
        <w:spacing w:after="120" w:line="276"/>
        <w:jc w:val="both"/>
      </w:pPr>
      <w:r>
        <w:rPr>
          <w:rFonts w:ascii="Barlow Semi Condensed" w:cs="Barlow Semi Condensed" w:eastAsia="Barlow Semi Condensed" w:hAnsi="Barlow Semi Condensed"/>
          <w:b/>
          <w:bCs/>
          <w:sz w:val="24"/>
          <w:szCs w:val="24"/>
        </w:rPr>
        <w:t xml:space="preserve">3789 · I non iscritti e la loro tavola.</w:t>
      </w:r>
      <w:r>
        <w:rPr>
          <w:rFonts w:ascii="Barlow Semi Condensed" w:cs="Barlow Semi Condensed" w:eastAsia="Barlow Semi Condensed" w:hAnsi="Barlow Semi Condensed"/>
          <w:sz w:val="24"/>
          <w:szCs w:val="24"/>
        </w:rPr>
        <w:t xml:space="preserve"> Al blocco 846 è progettato il censimento disciplinare di chi la pubblicistica associa al caso senza giudicato, con le ragioni dell'esclusione e senza nomi oltre gli atti pubblici che li contengono. Quesito da porre prima della compilazione: quella tavola contemplerà anche i nomi stranieri di larga circolazione, o resterà interna alla militanza italiana? Lo stato oggi è zero, perché la tavola non è stata costruita. Chi la costruirà decida la regola prima dei nomi.</w:t>
      </w:r>
    </w:p>
    <w:p>
      <w:pPr>
        <w:spacing w:after="120" w:line="276"/>
        <w:jc w:val="both"/>
      </w:pPr>
      <w:r>
        <w:rPr>
          <w:rFonts w:ascii="Barlow Semi Condensed" w:cs="Barlow Semi Condensed" w:eastAsia="Barlow Semi Condensed" w:hAnsi="Barlow Semi Condensed"/>
          <w:b/>
          <w:bCs/>
          <w:sz w:val="24"/>
          <w:szCs w:val="24"/>
        </w:rPr>
        <w:t xml:space="preserve">3790 · Assolto non è mai imputato.</w:t>
      </w:r>
      <w:r>
        <w:rPr>
          <w:rFonts w:ascii="Barlow Semi Condensed" w:cs="Barlow Semi Condensed" w:eastAsia="Barlow Semi Condensed" w:hAnsi="Barlow Semi Condensed"/>
          <w:sz w:val="24"/>
          <w:szCs w:val="24"/>
        </w:rPr>
        <w:t xml:space="preserve"> La regola Algranati dei blocchi 795 e 845 tiene insieme tre verità distinte su una stessa persona: assoluzione per via Fani nel Moro-ter del 1988, ergastolo per altri fatti, cattura al Cairo il 14 gennaio 2004. Serve qui per differenza, non per somiglianza. Un assolto ha attraversato un processo; il nome di questa serie non ne ha attraversato alcuno, in nessun Paese. Confondere le due condizioni è l'errore che il glossario del blocco 874 deve impedire.</w:t>
      </w:r>
    </w:p>
    <w:p>
      <w:pPr>
        <w:spacing w:after="120" w:line="276"/>
        <w:jc w:val="both"/>
      </w:pPr>
      <w:r>
        <w:rPr>
          <w:rFonts w:ascii="Barlow Semi Condensed" w:cs="Barlow Semi Condensed" w:eastAsia="Barlow Semi Condensed" w:hAnsi="Barlow Semi Condensed"/>
          <w:b/>
          <w:bCs/>
          <w:sz w:val="24"/>
          <w:szCs w:val="24"/>
        </w:rPr>
        <w:t xml:space="preserve">3791 · Quattro stati, un solo lessico.</w:t>
      </w:r>
      <w:r>
        <w:rPr>
          <w:rFonts w:ascii="Barlow Semi Condensed" w:cs="Barlow Semi Condensed" w:eastAsia="Barlow Semi Condensed" w:hAnsi="Barlow Semi Condensed"/>
          <w:sz w:val="24"/>
          <w:szCs w:val="24"/>
        </w:rPr>
        <w:t xml:space="preserve"> Quattro stati giuridici diversi vengono appiattiti dalla pubblicistica su un unico sospetto diffuso: assolto, prosciolto, mai indagato, mai sentito da un'autorità giudiziaria. La bonifica lessicale del blocco 874, che già colpisce l'uso improprio di «pentito» e «ergastolano», dovrebbe estendersi a questa quaterna. L'apparato K-2 registra il quarto stato per il nome in esame, e il glossario del registro è il luogo dove quella distinzione diventa insegnabile a chiunque.</w:t>
      </w:r>
    </w:p>
    <w:p>
      <w:pPr>
        <w:spacing w:after="120" w:line="276"/>
        <w:jc w:val="both"/>
      </w:pPr>
      <w:r>
        <w:rPr>
          <w:rFonts w:ascii="Barlow Semi Condensed" w:cs="Barlow Semi Condensed" w:eastAsia="Barlow Semi Condensed" w:hAnsi="Barlow Semi Condensed"/>
          <w:b/>
          <w:bCs/>
          <w:sz w:val="24"/>
          <w:szCs w:val="24"/>
        </w:rPr>
        <w:t xml:space="preserve">3792 · Il novembre 1982 entra negli atti.</w:t>
      </w:r>
      <w:r>
        <w:rPr>
          <w:rFonts w:ascii="Barlow Semi Condensed" w:cs="Barlow Semi Condensed" w:eastAsia="Barlow Semi Condensed" w:hAnsi="Barlow Semi Condensed"/>
          <w:sz w:val="24"/>
          <w:szCs w:val="24"/>
        </w:rPr>
        <w:t xml:space="preserve"> Esiste un punto in cui il nome tocca il territorio, e va detto con esattezza. La deposizione di Corrado Guerzoni davanti alla Corte d'assise di Roma nel novembre 1982 appartiene al dibattimento del primo processo romano, cioè alla scheda che il blocco 922 progetta. L'atto è di piano uno — un verbale d'udienza esiste ed è individuabile — mentre il fatto riferito resta testimonianza contestata, de relato e smentita. Il verbale è il bersaglio; la frase non lo è.</w:t>
      </w:r>
    </w:p>
    <w:p>
      <w:pPr>
        <w:spacing w:after="120" w:line="276"/>
        <w:jc w:val="both"/>
      </w:pPr>
      <w:r>
        <w:rPr>
          <w:rFonts w:ascii="Barlow Semi Condensed" w:cs="Barlow Semi Condensed" w:eastAsia="Barlow Semi Condensed" w:hAnsi="Barlow Semi Condensed"/>
          <w:b/>
          <w:bCs/>
          <w:sz w:val="24"/>
          <w:szCs w:val="24"/>
        </w:rPr>
        <w:t xml:space="preserve">3793 · La divergenza sulla data d'udienza.</w:t>
      </w:r>
      <w:r>
        <w:rPr>
          <w:rFonts w:ascii="Barlow Semi Condensed" w:cs="Barlow Semi Condensed" w:eastAsia="Barlow Semi Condensed" w:hAnsi="Barlow Semi Condensed"/>
          <w:sz w:val="24"/>
          <w:szCs w:val="24"/>
        </w:rPr>
        <w:t xml:space="preserve"> Sulla data di quella deposizione l'apparato K-4 riporta una divergenza non risolta: il 10 novembre 1982 secondo la datazione più ricorrente, il 15 secondo un'altra fonte. È esattamente il genere di casella che il blocco 867 impegna a chiudere su fonte primaria, come le nascite divergenti e i quantum di pena. Qui la fonte primaria ha un indirizzo preciso: il ruolo d'udienza e il verbale del dibattimento, fra gli atti digitalizzati descritti al blocco 911.</w:t>
      </w:r>
    </w:p>
    <w:p>
      <w:pPr>
        <w:spacing w:after="120" w:line="276"/>
        <w:jc w:val="both"/>
      </w:pPr>
      <w:r>
        <w:rPr>
          <w:rFonts w:ascii="Barlow Semi Condensed" w:cs="Barlow Semi Condensed" w:eastAsia="Barlow Semi Condensed" w:hAnsi="Barlow Semi Condensed"/>
          <w:b/>
          <w:bCs/>
          <w:sz w:val="24"/>
          <w:szCs w:val="24"/>
        </w:rPr>
        <w:t xml:space="preserve">3794 · Il limite K-5 ha una sede.</w:t>
      </w:r>
      <w:r>
        <w:rPr>
          <w:rFonts w:ascii="Barlow Semi Condensed" w:cs="Barlow Semi Condensed" w:eastAsia="Barlow Semi Condensed" w:hAnsi="Barlow Semi Condensed"/>
          <w:sz w:val="24"/>
          <w:szCs w:val="24"/>
        </w:rPr>
        <w:t xml:space="preserve"> L'apparato K-5 dichiara il limite della campagna sul nome: non ha potuto leggere i verbali d'udienza né gli stenografici della Commissione d'inchiesta. La Parte nona indica dove quel limite cade. Gli atti dei cinque processi custoditi alla Corte d'assise di Roma sono stati riordinati e digitalizzati dall'Archivio di Stato di Roma d'intesa con Ministero della Giustizia e Consiglio superiore della magistratura, con messa online progressiva. Il limite non è teorico: è una fila d'attesa.</w:t>
      </w:r>
    </w:p>
    <w:p>
      <w:pPr>
        <w:spacing w:after="120" w:line="276"/>
        <w:jc w:val="both"/>
      </w:pPr>
      <w:r>
        <w:rPr>
          <w:rFonts w:ascii="Barlow Semi Condensed" w:cs="Barlow Semi Condensed" w:eastAsia="Barlow Semi Condensed" w:hAnsi="Barlow Semi Condensed"/>
          <w:b/>
          <w:bCs/>
          <w:sz w:val="24"/>
          <w:szCs w:val="24"/>
        </w:rPr>
        <w:t xml:space="preserve">3795 · Il portale della Camera e il 1980.</w:t>
      </w:r>
      <w:r>
        <w:rPr>
          <w:rFonts w:ascii="Barlow Semi Condensed" w:cs="Barlow Semi Condensed" w:eastAsia="Barlow Semi Condensed" w:hAnsi="Barlow Semi Condensed"/>
          <w:sz w:val="24"/>
          <w:szCs w:val="24"/>
        </w:rPr>
        <w:t xml:space="preserve"> La quarta precisazione dell'apparato K-4 lascia aperto un punto singolo: la sede dell'audizione di Eleonora Chiavarelli Moro davanti alla Commissione d'inchiesta è confermata al 1° agosto 1980, il contenuto verbatim no. Il blocco 916 nomina lo sportello che lo chiuderebbe — inchieste.camera.it, sezione Moro, stenografici e circa ventimila pagine desecretate. Il quesito è unico e sta in una riga: che cosa dice, alla lettera, quel resoconto stenografico.</w:t>
      </w:r>
    </w:p>
    <w:p>
      <w:pPr>
        <w:spacing w:after="120" w:line="276"/>
        <w:jc w:val="both"/>
      </w:pPr>
      <w:r>
        <w:rPr>
          <w:rFonts w:ascii="Barlow Semi Condensed" w:cs="Barlow Semi Condensed" w:eastAsia="Barlow Semi Condensed" w:hAnsi="Barlow Semi Condensed"/>
          <w:b/>
          <w:bCs/>
          <w:sz w:val="24"/>
          <w:szCs w:val="24"/>
        </w:rPr>
        <w:t xml:space="preserve">3796 · Ciò che il portale della Rete direbbe.</w:t>
      </w:r>
      <w:r>
        <w:rPr>
          <w:rFonts w:ascii="Barlow Semi Condensed" w:cs="Barlow Semi Condensed" w:eastAsia="Barlow Semi Condensed" w:hAnsi="Barlow Semi Condensed"/>
          <w:sz w:val="24"/>
          <w:szCs w:val="24"/>
        </w:rPr>
        <w:t xml:space="preserve"> Su memoria.cultura.gov.it, rinnovato nel 2022 e censito al blocco 915, le sentenze dei processi romani sono già pubblicate. Ne discende un accertamento eseguibile subito e a costo nullo: la ricerca del nome nei testi pubblicati. L'esito atteso è negativo nei dispositivi; nelle motivazioni potrebbe comparire come richiamo a una deposizione. Qualunque sia, si verbalizza — un negativo su corpus interrogabile vale più di cento affermazioni sulla sua presunta reticenza.</w:t>
      </w:r>
    </w:p>
    <w:p>
      <w:pPr>
        <w:spacing w:after="120" w:line="276"/>
        <w:jc w:val="both"/>
      </w:pPr>
      <w:r>
        <w:rPr>
          <w:rFonts w:ascii="Barlow Semi Condensed" w:cs="Barlow Semi Condensed" w:eastAsia="Barlow Semi Condensed" w:hAnsi="Barlow Semi Condensed"/>
          <w:b/>
          <w:bCs/>
          <w:sz w:val="24"/>
          <w:szCs w:val="24"/>
        </w:rPr>
        <w:t xml:space="preserve">3797 · Il fondo del Senato, che cosa chiederebbe.</w:t>
      </w:r>
      <w:r>
        <w:rPr>
          <w:rFonts w:ascii="Barlow Semi Condensed" w:cs="Barlow Semi Condensed" w:eastAsia="Barlow Semi Condensed" w:hAnsi="Barlow Semi Condensed"/>
          <w:sz w:val="24"/>
          <w:szCs w:val="24"/>
        </w:rPr>
        <w:t xml:space="preserve"> Fra i portali censiti, patrimonio.archivio.senato.it porta i fondi Moro 1 e Stragi e le acquisizioni Fanfani e Craxi, e il blocco 917 ne fa uno sportello permanente. Il quesito da portarvi non riguarda la verità del presunto avvertimento ma la sua ricezione istituzionale: quando il nome comparve negli atti delle commissioni, chi lo introdusse, con quale seguito. Storia della circolazione di un'affermazione, non del fatto: due oggetti diversi, e solo il primo è qui documentabile.</w:t>
      </w:r>
    </w:p>
    <w:p>
      <w:pPr>
        <w:spacing w:after="120" w:line="276"/>
        <w:jc w:val="both"/>
      </w:pPr>
      <w:r>
        <w:rPr>
          <w:rFonts w:ascii="Barlow Semi Condensed" w:cs="Barlow Semi Condensed" w:eastAsia="Barlow Semi Condensed" w:hAnsi="Barlow Semi Condensed"/>
          <w:b/>
          <w:bCs/>
          <w:sz w:val="24"/>
          <w:szCs w:val="24"/>
        </w:rPr>
        <w:t xml:space="preserve">3798 · L'Archivio centrale e le duecentodiciotto buste.</w:t>
      </w:r>
      <w:r>
        <w:rPr>
          <w:rFonts w:ascii="Barlow Semi Condensed" w:cs="Barlow Semi Condensed" w:eastAsia="Barlow Semi Condensed" w:hAnsi="Barlow Semi Condensed"/>
          <w:sz w:val="24"/>
          <w:szCs w:val="24"/>
        </w:rPr>
        <w:t xml:space="preserve"> La Guida ai fondi dell'ACS diventa, al blocco 918, lo strumento quotidiano del cantiere archivistico, con il fondo personale Moro — duecentodiciotto buste secondo la verifica C-3 — e la raccolta delle direttive. Quesito conservativo e verificabile: risulta nel fondo carta relativa alla visita di Stato del settembre 1974, appunti preparatori, resoconti, corrispondenza successiva? Stato oggi: non accertato. È domanda d'inventario, non di tesi, e si pone alla Sala delle raccolte speciali.</w:t>
      </w:r>
    </w:p>
    <w:p>
      <w:pPr>
        <w:spacing w:after="120" w:line="276"/>
        <w:jc w:val="both"/>
      </w:pPr>
      <w:r>
        <w:rPr>
          <w:rFonts w:ascii="Barlow Semi Condensed" w:cs="Barlow Semi Condensed" w:eastAsia="Barlow Semi Condensed" w:hAnsi="Barlow Semi Condensed"/>
          <w:b/>
          <w:bCs/>
          <w:sz w:val="24"/>
          <w:szCs w:val="24"/>
        </w:rPr>
        <w:t xml:space="preserve">3799 · L'edizione nazionale e la parola di Moro.</w:t>
      </w:r>
      <w:r>
        <w:rPr>
          <w:rFonts w:ascii="Barlow Semi Condensed" w:cs="Barlow Semi Condensed" w:eastAsia="Barlow Semi Condensed" w:hAnsi="Barlow Semi Condensed"/>
          <w:sz w:val="24"/>
          <w:szCs w:val="24"/>
        </w:rPr>
        <w:t xml:space="preserve"> L'Edizione nazionale ad accesso aperto nata per il centenario del 2016, aldomorodigitale.unibo.it, è raccordata in permanenza dal blocco 919 con monitoraggio dei rilasci. Il bersaglio che ne discende è filologico e sobrio: verificare se negli scritti editi di Aldo Moro compaia riferimento al colloquio di Washington del settembre 1974, in quali termini e con quale datazione. La parola del protagonista, dove esista, precede ogni testimonianza altrui: è la gerarchia elementare delle fonti.</w:t>
      </w:r>
    </w:p>
    <w:p>
      <w:pPr>
        <w:spacing w:after="120" w:line="276"/>
        <w:jc w:val="both"/>
      </w:pPr>
      <w:r>
        <w:rPr>
          <w:rFonts w:ascii="Barlow Semi Condensed" w:cs="Barlow Semi Condensed" w:eastAsia="Barlow Semi Condensed" w:hAnsi="Barlow Semi Condensed"/>
          <w:b/>
          <w:bCs/>
          <w:sz w:val="24"/>
          <w:szCs w:val="24"/>
        </w:rPr>
        <w:t xml:space="preserve">3800 · Il portale che non c'è.</w:t>
      </w:r>
      <w:r>
        <w:rPr>
          <w:rFonts w:ascii="Barlow Semi Condensed" w:cs="Barlow Semi Condensed" w:eastAsia="Barlow Semi Condensed" w:hAnsi="Barlow Semi Condensed"/>
          <w:sz w:val="24"/>
          <w:szCs w:val="24"/>
        </w:rPr>
        <w:t xml:space="preserve"> Manca un portale unico degli atti del caso: al suo posto una costellazione fra Camera, Senato, Archivio centrale, Rete e Bologna, che il blocco 920 accerta ricavandone la proposta del portale federato. Per una verifica onomastica quella dispersione è il costo principale, perché la stessa parola va cercata cinque volte con cinque motori e cinque coperture disuguali. Proporre il portale federato significa anche rendere finalmente falsificabile una ricerca per nome.</w:t>
      </w:r>
    </w:p>
    <w:p>
      <w:pPr>
        <w:spacing w:after="120" w:line="276"/>
        <w:jc w:val="both"/>
      </w:pPr>
      <w:r>
        <w:rPr>
          <w:rFonts w:ascii="Barlow Semi Condensed" w:cs="Barlow Semi Condensed" w:eastAsia="Barlow Semi Condensed" w:hAnsi="Barlow Semi Condensed"/>
          <w:b/>
          <w:bCs/>
          <w:sz w:val="24"/>
          <w:szCs w:val="24"/>
        </w:rPr>
        <w:t xml:space="preserve">3801 · Gli stenografici come corpus interrogabile.</w:t>
      </w:r>
      <w:r>
        <w:rPr>
          <w:rFonts w:ascii="Barlow Semi Condensed" w:cs="Barlow Semi Condensed" w:eastAsia="Barlow Semi Condensed" w:hAnsi="Barlow Semi Condensed"/>
          <w:sz w:val="24"/>
          <w:szCs w:val="24"/>
        </w:rPr>
        <w:t xml:space="preserve"> Progettata al blocco 929, l'edizione indicizzata degli stenografici delle tre commissioni sarebbe interrogabile insieme al corpus giudiziario. È lo strumento che deciderebbe una questione oggi risolta per approssimazione: quante volte, in quali sedi e con quale grado quel nome sia stato pronunciato in quarant'anni di parola istituzionale sul caso. La frequenza non prova nulla sul fatto; misura però la storia di un'affermazione, che è un oggetto storico legittimo.</w:t>
      </w:r>
    </w:p>
    <w:p>
      <w:pPr>
        <w:spacing w:after="120" w:line="276"/>
        <w:jc w:val="both"/>
      </w:pPr>
      <w:r>
        <w:rPr>
          <w:rFonts w:ascii="Barlow Semi Condensed" w:cs="Barlow Semi Condensed" w:eastAsia="Barlow Semi Condensed" w:hAnsi="Barlow Semi Condensed"/>
          <w:b/>
          <w:bCs/>
          <w:sz w:val="24"/>
          <w:szCs w:val="24"/>
        </w:rPr>
        <w:t xml:space="preserve">3802 · L'identificativo che non lava il grado.</w:t>
      </w:r>
      <w:r>
        <w:rPr>
          <w:rFonts w:ascii="Barlow Semi Condensed" w:cs="Barlow Semi Condensed" w:eastAsia="Barlow Semi Condensed" w:hAnsi="Barlow Semi Condensed"/>
          <w:sz w:val="24"/>
          <w:szCs w:val="24"/>
        </w:rPr>
        <w:t xml:space="preserve"> Ogni persona, luogo e reperto riceverà un identificativo stabile attraverso i corpora: così il blocco 930, che esegue il blocco 303 del manuale. Va posta una condizione tecnica, o l'infrastruttura produrrà un danno. L'identificativo di chi è nominato soltanto dentro una testimonianza de relato deve portare con sé lo statuto di quella menzione. Un identificatore che pareggia il presente e il riferito trasforma la citazione in presenza: si scriva nella specifica, prima del codice.</w:t>
      </w:r>
    </w:p>
    <w:p>
      <w:pPr>
        <w:spacing w:after="120" w:line="276"/>
        <w:jc w:val="both"/>
      </w:pPr>
      <w:r>
        <w:rPr>
          <w:rFonts w:ascii="Barlow Semi Condensed" w:cs="Barlow Semi Condensed" w:eastAsia="Barlow Semi Condensed" w:hAnsi="Barlow Semi Condensed"/>
          <w:b/>
          <w:bCs/>
          <w:sz w:val="24"/>
          <w:szCs w:val="24"/>
        </w:rPr>
        <w:t xml:space="preserve">3803 · La sentinella e la ricerca per nome.</w:t>
      </w:r>
      <w:r>
        <w:rPr>
          <w:rFonts w:ascii="Barlow Semi Condensed" w:cs="Barlow Semi Condensed" w:eastAsia="Barlow Semi Condensed" w:hAnsi="Barlow Semi Condensed"/>
          <w:sz w:val="24"/>
          <w:szCs w:val="24"/>
        </w:rPr>
        <w:t xml:space="preserve"> Una sentinella documentale è istituita dal blocco 931: monitoraggio organizzato di ogni nuovo rilascio sui portali, con verbale mensile. Se ne ricava la procedura minima di questa serie. A ogni tranche di atti processuali che va online si rieffettua la ricerca del nome e si registra l'esito, positivo o negativo, con la data. È l'unica forma onesta di attesa su una presenza documentale incerta: cercare a intervalli e verbalizzare ogni volta.</w:t>
      </w:r>
    </w:p>
    <w:p>
      <w:pPr>
        <w:spacing w:after="120" w:line="276"/>
        <w:jc w:val="both"/>
      </w:pPr>
      <w:r>
        <w:rPr>
          <w:rFonts w:ascii="Barlow Semi Condensed" w:cs="Barlow Semi Condensed" w:eastAsia="Barlow Semi Condensed" w:hAnsi="Barlow Semi Condensed"/>
          <w:b/>
          <w:bCs/>
          <w:sz w:val="24"/>
          <w:szCs w:val="24"/>
        </w:rPr>
        <w:t xml:space="preserve">3804 · La regola sui negativi verificati.</w:t>
      </w:r>
      <w:r>
        <w:rPr>
          <w:rFonts w:ascii="Barlow Semi Condensed" w:cs="Barlow Semi Condensed" w:eastAsia="Barlow Semi Condensed" w:hAnsi="Barlow Semi Condensed"/>
          <w:sz w:val="24"/>
          <w:szCs w:val="24"/>
        </w:rPr>
        <w:t xml:space="preserve"> Nessuna targa, neppure parziale, fu mai acquisita sulla Honda di via Fani: il blocco 888 lo accerta e qualifica la «targa parziale» come leggenda con esito negativo verificato. La regola trasferibile è che un dettaglio circolante muore quando l'esito negativo viene accertato e pubblicato, non quando viene contestato a voce. Applicata al versante internazionale, chiede che gli esiti negativi vengano scritti con la loro sede — come l'apparato K li scrive.</w:t>
      </w:r>
    </w:p>
    <w:p>
      <w:pPr>
        <w:spacing w:after="120" w:line="276"/>
        <w:jc w:val="both"/>
      </w:pPr>
      <w:r>
        <w:rPr>
          <w:rFonts w:ascii="Barlow Semi Condensed" w:cs="Barlow Semi Condensed" w:eastAsia="Barlow Semi Condensed" w:hAnsi="Barlow Semi Condensed"/>
          <w:b/>
          <w:bCs/>
          <w:sz w:val="24"/>
          <w:szCs w:val="24"/>
        </w:rPr>
        <w:t xml:space="preserve">3805 · L'affermazione nominativa senza atti.</w:t>
      </w:r>
      <w:r>
        <w:rPr>
          <w:rFonts w:ascii="Barlow Semi Condensed" w:cs="Barlow Semi Condensed" w:eastAsia="Barlow Semi Condensed" w:hAnsi="Barlow Semi Condensed"/>
          <w:sz w:val="24"/>
          <w:szCs w:val="24"/>
        </w:rPr>
        <w:t xml:space="preserve"> Sette profili genetici ignoti sono stati riferiti dalla stampa qualificata, e il blocco 889 ne fissa lo stato esatto: profili estratti è un fatto, attribuzioni pubbliche non ne esistono, ogni affermazione nominativa in circolazione è priva di base in atti. Il principio non distingue fra nomi italiani e stranieri. Applicato al versante internazionale colpisce per intero la pubblicistica che deduce presenze estere da comparazioni di cui nessuno ha mai pubblicato gli esiti.</w:t>
      </w:r>
    </w:p>
    <w:p>
      <w:pPr>
        <w:spacing w:after="120" w:line="276"/>
        <w:jc w:val="both"/>
      </w:pPr>
      <w:r>
        <w:rPr>
          <w:rFonts w:ascii="Barlow Semi Condensed" w:cs="Barlow Semi Condensed" w:eastAsia="Barlow Semi Condensed" w:hAnsi="Barlow Semi Condensed"/>
          <w:b/>
          <w:bCs/>
          <w:sz w:val="24"/>
          <w:szCs w:val="24"/>
        </w:rPr>
        <w:t xml:space="preserve">3806 · Presenze, non mandanti.</w:t>
      </w:r>
      <w:r>
        <w:rPr>
          <w:rFonts w:ascii="Barlow Semi Condensed" w:cs="Barlow Semi Condensed" w:eastAsia="Barlow Semi Condensed" w:hAnsi="Barlow Semi Condensed"/>
          <w:sz w:val="24"/>
          <w:szCs w:val="24"/>
        </w:rPr>
        <w:t xml:space="preserve"> Presenze sulla scena mai identificate né giudicate: così il blocco 887 definisce l'oggetto del fascicolo, aggiungendo che non si tratta di mandanti né di regie. È il perimetro semantico che esclude strutturalmente il versante internazionale dal procedimento vivo. Il fascicolo di Roma cerca persone fisiche su una strada la mattina del 16 marzo 1978. Chi vi proietta una responsabilità politica straniera non lo interpreta male: parla d'altro, e dovrebbe dirlo.</w:t>
      </w:r>
    </w:p>
    <w:p>
      <w:pPr>
        <w:spacing w:after="120" w:line="276"/>
        <w:jc w:val="both"/>
      </w:pPr>
      <w:r>
        <w:rPr>
          <w:rFonts w:ascii="Barlow Semi Condensed" w:cs="Barlow Semi Condensed" w:eastAsia="Barlow Semi Condensed" w:hAnsi="Barlow Semi Condensed"/>
          <w:b/>
          <w:bCs/>
          <w:sz w:val="24"/>
          <w:szCs w:val="24"/>
        </w:rPr>
        <w:t xml:space="preserve">3807 · Ciò che il giudice ha ordinato.</w:t>
      </w:r>
      <w:r>
        <w:rPr>
          <w:rFonts w:ascii="Barlow Semi Condensed" w:cs="Barlow Semi Condensed" w:eastAsia="Barlow Semi Condensed" w:hAnsi="Barlow Semi Condensed"/>
          <w:sz w:val="24"/>
          <w:szCs w:val="24"/>
        </w:rPr>
        <w:t xml:space="preserve"> Le direzioni d'indagine disposte dal giudice per le indagini preliminari sono lette al blocco 883 per ciò che è pubblico: le terze presenze, l'uomo della moto, gli esami sul caricatore. Nessuna delle tre tocca il versante estero. L'accertamento va dichiarato con grado pieno e senza commento, perché smentisce l'attesa più diffusa: la riapertura dell'estate 2026 non riapre il capitolo internazionale, e nessuno dei sei mesi disposti vi è destinato.</w:t>
      </w:r>
    </w:p>
    <w:p>
      <w:pPr>
        <w:spacing w:after="120" w:line="276"/>
        <w:jc w:val="both"/>
      </w:pPr>
      <w:r>
        <w:rPr>
          <w:rFonts w:ascii="Barlow Semi Condensed" w:cs="Barlow Semi Condensed" w:eastAsia="Barlow Semi Condensed" w:hAnsi="Barlow Semi Condensed"/>
          <w:b/>
          <w:bCs/>
          <w:sz w:val="24"/>
          <w:szCs w:val="24"/>
        </w:rPr>
        <w:t xml:space="preserve">3808 · La consilienza e il suo perimetro.</w:t>
      </w:r>
      <w:r>
        <w:rPr>
          <w:rFonts w:ascii="Barlow Semi Condensed" w:cs="Barlow Semi Condensed" w:eastAsia="Barlow Semi Condensed" w:hAnsi="Barlow Semi Condensed"/>
          <w:sz w:val="24"/>
          <w:szCs w:val="24"/>
        </w:rPr>
        <w:t xml:space="preserve"> Due percorsi indipendenti convergono sugli stessi atti, e il blocco 884 lo registra come la migliore validazione di entrambi: la balistica delle presenze e il caricatore mai esaminato, indicati dalle matrici e poi ordinati dal giudice. Va notato ciò che quella convergenza non include. Nessuna delle due linee ha indicato il versante internazionale come luogo dell'evidenza discriminante. Due percorsi che tacciono sullo stesso punto sono un dato, non una distrazione.</w:t>
      </w:r>
    </w:p>
    <w:p>
      <w:pPr>
        <w:spacing w:after="120" w:line="276"/>
        <w:jc w:val="both"/>
      </w:pPr>
      <w:r>
        <w:rPr>
          <w:rFonts w:ascii="Barlow Semi Condensed" w:cs="Barlow Semi Condensed" w:eastAsia="Barlow Semi Condensed" w:hAnsi="Barlow Semi Condensed"/>
          <w:b/>
          <w:bCs/>
          <w:sz w:val="24"/>
          <w:szCs w:val="24"/>
        </w:rPr>
        <w:t xml:space="preserve">3809 · Non anticipare vale anche qui.</w:t>
      </w:r>
      <w:r>
        <w:rPr>
          <w:rFonts w:ascii="Barlow Semi Condensed" w:cs="Barlow Semi Condensed" w:eastAsia="Barlow Semi Condensed" w:hAnsi="Barlow Semi Condensed"/>
          <w:sz w:val="24"/>
          <w:szCs w:val="24"/>
        </w:rPr>
        <w:t xml:space="preserve"> Gli esiti degli esami disposti non sono pubblici e l'opera non riporta indiscrezioni, né sul caricatore né sui profili: il blocco 886 lo stampa come disciplina di parte. La regola ha una conseguenza diretta su questa serie. Qualunque voce collegasse un esito genetico a una provenienza estera andrebbe trattata come rumore fino all'atto, e la sua circolazione censita come fenomeno mediatico, mai ripresa come informazione. La fame di notizie è il nemico dichiarato.</w:t>
      </w:r>
    </w:p>
    <w:p>
      <w:pPr>
        <w:spacing w:after="120" w:line="276"/>
        <w:jc w:val="both"/>
      </w:pPr>
      <w:r>
        <w:rPr>
          <w:rFonts w:ascii="Barlow Semi Condensed" w:cs="Barlow Semi Condensed" w:eastAsia="Barlow Semi Condensed" w:hAnsi="Barlow Semi Condensed"/>
          <w:b/>
          <w:bCs/>
          <w:sz w:val="24"/>
          <w:szCs w:val="24"/>
        </w:rPr>
        <w:t xml:space="preserve">3810 · Il patto e il rumore.</w:t>
      </w:r>
      <w:r>
        <w:rPr>
          <w:rFonts w:ascii="Barlow Semi Condensed" w:cs="Barlow Semi Condensed" w:eastAsia="Barlow Semi Condensed" w:hAnsi="Barlow Semi Condensed"/>
          <w:sz w:val="24"/>
          <w:szCs w:val="24"/>
        </w:rPr>
        <w:t xml:space="preserve"> Ogni tavola dell'opera utile al fascicolo è promessa alle autorità gratuitamente e senza condizioni dal blocco 891. La promessa impone una selezione, non una consegna indiscriminata. L'accertamento che il verbale dello Studio Ovale del 25 settembre 1974 non contiene alcun ultimatum personale ad Aldo Moro è acquisizione storiografica di valore, ma non è materia utile a un procedimento sulle presenze di via Fani. Segnalarlo sarebbe rumore, e il rumore verso un fascicolo vivo è un danno.</w:t>
      </w:r>
    </w:p>
    <w:p>
      <w:pPr>
        <w:spacing w:after="120" w:line="276"/>
        <w:jc w:val="both"/>
      </w:pPr>
      <w:r>
        <w:rPr>
          <w:rFonts w:ascii="Barlow Semi Condensed" w:cs="Barlow Semi Condensed" w:eastAsia="Barlow Semi Condensed" w:hAnsi="Barlow Semi Condensed"/>
          <w:b/>
          <w:bCs/>
          <w:sz w:val="24"/>
          <w:szCs w:val="24"/>
        </w:rPr>
        <w:t xml:space="preserve">3811 · La richiesta del 1983 senza seguito (serie L).</w:t>
      </w:r>
      <w:r>
        <w:rPr>
          <w:rFonts w:ascii="Barlow Semi Condensed" w:cs="Barlow Semi Condensed" w:eastAsia="Barlow Semi Condensed" w:hAnsi="Barlow Semi Condensed"/>
          <w:sz w:val="24"/>
          <w:szCs w:val="24"/>
        </w:rPr>
        <w:t xml:space="preserve"> Nel 1983 i magistrati che indagavano volevano interrogare Kissinger, e la richiesta informale non ebbe seguito: così l'apparato K-4. L'episodio appartiene di diritto alla storia processuale completa del filone delle presenze che il blocco 893 progetta, provvedimento per provvedimento. Il bersaglio è documentale e circoscritto: se una richiesta formale fu redatta, il suo posto è negli atti dell'ufficio istruzione di Roma, oggi compresi nel giacimento digitalizzato. Stato: da accertare.</w:t>
      </w:r>
    </w:p>
    <w:p>
      <w:pPr>
        <w:spacing w:after="120" w:line="276"/>
        <w:jc w:val="both"/>
      </w:pPr>
      <w:r>
        <w:rPr>
          <w:rFonts w:ascii="Barlow Semi Condensed" w:cs="Barlow Semi Condensed" w:eastAsia="Barlow Semi Condensed" w:hAnsi="Barlow Semi Condensed"/>
          <w:b/>
          <w:bCs/>
          <w:sz w:val="24"/>
          <w:szCs w:val="24"/>
        </w:rPr>
        <w:t xml:space="preserve">3812 · Che cosa cercare, e come chiamarlo.</w:t>
      </w:r>
      <w:r>
        <w:rPr>
          <w:rFonts w:ascii="Barlow Semi Condensed" w:cs="Barlow Semi Condensed" w:eastAsia="Barlow Semi Condensed" w:hAnsi="Barlow Semi Condensed"/>
          <w:sz w:val="24"/>
          <w:szCs w:val="24"/>
        </w:rPr>
        <w:t xml:space="preserve"> Se quella richiesta esistesse in forma di atto, cambierebbe poco il fatto e molto la sua storia: proverebbe che l'autorità italiana ritenne l'episodio degno di verifica giudiziaria, non che l'episodio fosse vero. La distinzione va scritta prima della ricerca, perché è la tentazione che il ritrovamento produce. Un atto istruttorio documenta un'iniziativa dell'ufficio e non trasferisce alcuna qualità al contenuto che intendeva verificare. Chi lo troverà lo citi con questa cautela stampata accanto.</w:t>
      </w:r>
    </w:p>
    <w:p>
      <w:pPr>
        <w:spacing w:after="120" w:line="276"/>
        <w:jc w:val="both"/>
      </w:pPr>
      <w:r>
        <w:rPr>
          <w:rFonts w:ascii="Barlow Semi Condensed" w:cs="Barlow Semi Condensed" w:eastAsia="Barlow Semi Condensed" w:hAnsi="Barlow Semi Condensed"/>
          <w:b/>
          <w:bCs/>
          <w:sz w:val="24"/>
          <w:szCs w:val="24"/>
        </w:rPr>
        <w:t xml:space="preserve">3813 · Mai sentito, e ora impossibile.</w:t>
      </w:r>
      <w:r>
        <w:rPr>
          <w:rFonts w:ascii="Barlow Semi Condensed" w:cs="Barlow Semi Condensed" w:eastAsia="Barlow Semi Condensed" w:hAnsi="Barlow Semi Condensed"/>
          <w:sz w:val="24"/>
          <w:szCs w:val="24"/>
        </w:rPr>
        <w:t xml:space="preserve"> Censire i contraddittori mai avvenuti e proporre, dove i protagonisti vivono, il confronto documentale: è il programma del blocco 862. Sul versante che questa serie percorre il censimento si chiude in una riga. Nessun confronto fu mai celebrato, nessuna audizione fu mai resa davanti a un'autorità italiana, e la morte del 29 novembre 2023 ha chiuso la possibilità. Lo Stato Zero è qui irreversibile: nessuna sede può più aprirlo, e va scritto così.</w:t>
      </w:r>
    </w:p>
    <w:p>
      <w:pPr>
        <w:spacing w:after="120" w:line="276"/>
        <w:jc w:val="both"/>
      </w:pPr>
      <w:r>
        <w:rPr>
          <w:rFonts w:ascii="Barlow Semi Condensed" w:cs="Barlow Semi Condensed" w:eastAsia="Barlow Semi Condensed" w:hAnsi="Barlow Semi Condensed"/>
          <w:b/>
          <w:bCs/>
          <w:sz w:val="24"/>
          <w:szCs w:val="24"/>
        </w:rPr>
        <w:t xml:space="preserve">3814 · La finestra biologica, chiusa da tre anni.</w:t>
      </w:r>
      <w:r>
        <w:rPr>
          <w:rFonts w:ascii="Barlow Semi Condensed" w:cs="Barlow Semi Condensed" w:eastAsia="Barlow Semi Condensed" w:hAnsi="Barlow Semi Condensed"/>
          <w:sz w:val="24"/>
          <w:szCs w:val="24"/>
        </w:rPr>
        <w:t xml:space="preserve"> La priorità biologica del blocco 281 dell'agenda è applicata al registro dal blocco 800: ciò che i viventi possono ancora dire in forma utilizzabile si chiede ora o non si avrà mai. La stessa contabilità, portata sul versante internazionale, restituisce un saldo netto e amaro. La voce che avrebbe potuto precisare o smentire in forma verbalizzata si è spenta a Kent, nel Connecticut, dopo quattro decenni in cui nessuna richiesta formale fu avanzata.</w:t>
      </w:r>
    </w:p>
    <w:p>
      <w:pPr>
        <w:spacing w:after="120" w:line="276"/>
        <w:jc w:val="both"/>
      </w:pPr>
      <w:r>
        <w:rPr>
          <w:rFonts w:ascii="Barlow Semi Condensed" w:cs="Barlow Semi Condensed" w:eastAsia="Barlow Semi Condensed" w:hAnsi="Barlow Semi Condensed"/>
          <w:b/>
          <w:bCs/>
          <w:sz w:val="24"/>
          <w:szCs w:val="24"/>
        </w:rPr>
        <w:t xml:space="preserve">3815 · Il giorno dopo la morte (serie L).</w:t>
      </w:r>
      <w:r>
        <w:rPr>
          <w:rFonts w:ascii="Barlow Semi Condensed" w:cs="Barlow Semi Condensed" w:eastAsia="Barlow Semi Condensed" w:hAnsi="Barlow Semi Condensed"/>
          <w:sz w:val="24"/>
          <w:szCs w:val="24"/>
        </w:rPr>
        <w:t xml:space="preserve"> Vi è una coincidenza di calendario che l'apparato K-4 documenta e che merita blocco proprio: la moltiplicazione apparente delle fonti sull'episodio risale a un unico lancio d'agenzia del 30 novembre 2023, cioè al giorno successivo alla morte avvenuta il 29. La vulgata contemporanea non nasce da un documento emerso ma da un necrologio rilanciato. Il dato non decide il fatto; spiega però perché oggi il fatto sembri più attestato di ieri.</w:t>
      </w:r>
    </w:p>
    <w:p>
      <w:pPr>
        <w:spacing w:after="120" w:line="276"/>
        <w:jc w:val="both"/>
      </w:pPr>
      <w:r>
        <w:rPr>
          <w:rFonts w:ascii="Barlow Semi Condensed" w:cs="Barlow Semi Condensed" w:eastAsia="Barlow Semi Condensed" w:hAnsi="Barlow Semi Condensed"/>
          <w:b/>
          <w:bCs/>
          <w:sz w:val="24"/>
          <w:szCs w:val="24"/>
        </w:rPr>
        <w:t xml:space="preserve">3816 · F sul riportato, mai di più.</w:t>
      </w:r>
      <w:r>
        <w:rPr>
          <w:rFonts w:ascii="Barlow Semi Condensed" w:cs="Barlow Semi Condensed" w:eastAsia="Barlow Semi Condensed" w:hAnsi="Barlow Semi Condensed"/>
          <w:sz w:val="24"/>
          <w:szCs w:val="24"/>
        </w:rPr>
        <w:t xml:space="preserve"> F sul riportato e mai di più: è la disciplina della fonte giornalistica che il blocco 899 impone sul fascicolo, censendo le testate che lo seguono con qualità senza sposarne alcuna. Il lancio del 30 novembre 2023 è l'esemplare perfetto della regola. F sul fatto che l'agenzia lo scrisse in quella data, nulla sul contenuto della frase riferita. Le decine di riprese successive non aggiungono gradi, perché non aggiungono fonti.</w:t>
      </w:r>
    </w:p>
    <w:p>
      <w:pPr>
        <w:spacing w:after="120" w:line="276"/>
        <w:jc w:val="both"/>
      </w:pPr>
      <w:r>
        <w:rPr>
          <w:rFonts w:ascii="Barlow Semi Condensed" w:cs="Barlow Semi Condensed" w:eastAsia="Barlow Semi Condensed" w:hAnsi="Barlow Semi Condensed"/>
          <w:b/>
          <w:bCs/>
          <w:sz w:val="24"/>
          <w:szCs w:val="24"/>
        </w:rPr>
        <w:t xml:space="preserve">3817 · La pseudoreplica applicata al fascicolo.</w:t>
      </w:r>
      <w:r>
        <w:rPr>
          <w:rFonts w:ascii="Barlow Semi Condensed" w:cs="Barlow Semi Condensed" w:eastAsia="Barlow Semi Condensed" w:hAnsi="Barlow Semi Condensed"/>
          <w:sz w:val="24"/>
          <w:szCs w:val="24"/>
        </w:rPr>
        <w:t xml:space="preserve"> Contare come indipendenti misure che non lo sono produce fiducia crescente in un dato che non è cresciuto: la categoria è già del corpus, e il blocco 899 la incontra dal lato del fascicolo, dove ogni indiscrezione viene ripresa in cascata da testate diverse. La regola vale simmetricamente sui due versanti di questa serie. Il numero delle riprese misura l'interesse pubblico, mai il valore probatorio; la consilienza vuole linee davvero indipendenti.</w:t>
      </w:r>
    </w:p>
    <w:p>
      <w:pPr>
        <w:spacing w:after="120" w:line="276"/>
        <w:jc w:val="both"/>
      </w:pPr>
      <w:r>
        <w:rPr>
          <w:rFonts w:ascii="Barlow Semi Condensed" w:cs="Barlow Semi Condensed" w:eastAsia="Barlow Semi Condensed" w:hAnsi="Barlow Semi Condensed"/>
          <w:b/>
          <w:bCs/>
          <w:sz w:val="24"/>
          <w:szCs w:val="24"/>
        </w:rPr>
        <w:t xml:space="preserve">3818 · Il caricatore e il verbale.</w:t>
      </w:r>
      <w:r>
        <w:rPr>
          <w:rFonts w:ascii="Barlow Semi Condensed" w:cs="Barlow Semi Condensed" w:eastAsia="Barlow Semi Condensed" w:hAnsi="Barlow Semi Condensed"/>
          <w:sz w:val="24"/>
          <w:szCs w:val="24"/>
        </w:rPr>
        <w:t xml:space="preserve"> Quarantott'anni dopo, un giudice ha ordinato di esaminare un caricatore raccolto la mattina del 16 marzo 1978 e mai guardato: il blocco 900 lo chiama pazienza del diritto. Il versante internazionale offre l'immagine gemella e opposta, cioè un documento disponibile da decenni — il memorandum dello Studio Ovale, doc. 350 del volume FRUS E-15 parte seconda, file 1552802 della Ford Library — citato per anni senza essere letto.</w:t>
      </w:r>
    </w:p>
    <w:p>
      <w:pPr>
        <w:spacing w:after="120" w:line="276"/>
        <w:jc w:val="both"/>
      </w:pPr>
      <w:r>
        <w:rPr>
          <w:rFonts w:ascii="Barlow Semi Condensed" w:cs="Barlow Semi Condensed" w:eastAsia="Barlow Semi Condensed" w:hAnsi="Barlow Semi Condensed"/>
          <w:b/>
          <w:bCs/>
          <w:sz w:val="24"/>
          <w:szCs w:val="24"/>
        </w:rPr>
        <w:t xml:space="preserve">3819 · Due omissioni di natura diversa.</w:t>
      </w:r>
      <w:r>
        <w:rPr>
          <w:rFonts w:ascii="Barlow Semi Condensed" w:cs="Barlow Semi Condensed" w:eastAsia="Barlow Semi Condensed" w:hAnsi="Barlow Semi Condensed"/>
          <w:sz w:val="24"/>
          <w:szCs w:val="24"/>
        </w:rPr>
        <w:t xml:space="preserve"> Le due immagini del blocco precedente non vanno equiparate, e conviene dirlo subito. Non esaminare un reperto in custodia è un'omissione dell'apparato, sanabile per ordine del giudice; non leggere un documento pubblicato è un'abitudine della pubblicistica, sanabile soltanto dalla lettura. La prima ha una sede che la corregge, la seconda no. È la ragione per cui la Parte nona costruisce portali e questa serie costruisce indirizzi: contro la seconda non esiste ordinanza.</w:t>
      </w:r>
    </w:p>
    <w:p>
      <w:pPr>
        <w:spacing w:after="120" w:line="276"/>
        <w:jc w:val="both"/>
      </w:pPr>
      <w:r>
        <w:rPr>
          <w:rFonts w:ascii="Barlow Semi Condensed" w:cs="Barlow Semi Condensed" w:eastAsia="Barlow Semi Condensed" w:hAnsi="Barlow Semi Condensed"/>
          <w:b/>
          <w:bCs/>
          <w:sz w:val="24"/>
          <w:szCs w:val="24"/>
        </w:rPr>
        <w:t xml:space="preserve">3820 · Il secondo verbale, mai spogliato (serie L).</w:t>
      </w:r>
      <w:r>
        <w:rPr>
          <w:rFonts w:ascii="Barlow Semi Condensed" w:cs="Barlow Semi Condensed" w:eastAsia="Barlow Semi Condensed" w:hAnsi="Barlow Semi Condensed"/>
          <w:sz w:val="24"/>
          <w:szCs w:val="24"/>
        </w:rPr>
        <w:t xml:space="preserve"> Accanto al memorandum del 25 settembre 1974 esiste quello del giorno successivo, file 1552806 della Gerald R. Ford Presidential Library, appartenente al medesimo lotto e con estratti reperiti parziali e non del tutto concordi. Il corpus lo registra come reperibile e dichiara di non averlo spogliato. Bersaglio archivistico pulito, con sede, segnatura e stato: da chiedere, da leggere per intero, da verbalizzare anche se non contenesse nulla di pertinente.</w:t>
      </w:r>
    </w:p>
    <w:p>
      <w:pPr>
        <w:spacing w:after="120" w:line="276"/>
        <w:jc w:val="both"/>
      </w:pPr>
      <w:r>
        <w:rPr>
          <w:rFonts w:ascii="Barlow Semi Condensed" w:cs="Barlow Semi Condensed" w:eastAsia="Barlow Semi Condensed" w:hAnsi="Barlow Semi Condensed"/>
          <w:b/>
          <w:bCs/>
          <w:sz w:val="24"/>
          <w:szCs w:val="24"/>
        </w:rPr>
        <w:t xml:space="preserve">3821 · La divergenza sulle date della visita (serie L).</w:t>
      </w:r>
      <w:r>
        <w:rPr>
          <w:rFonts w:ascii="Barlow Semi Condensed" w:cs="Barlow Semi Condensed" w:eastAsia="Barlow Semi Condensed" w:hAnsi="Barlow Semi Condensed"/>
          <w:sz w:val="24"/>
          <w:szCs w:val="24"/>
        </w:rPr>
        <w:t xml:space="preserve"> Sulla durata della visita di Stato del settembre 1974 le fonti divergono, e la divergenza si riporta senza scioglierla: il comunicato congiunto pubblicato negli atti presidenziali indica dal 25 al 29 settembre, la nota editoriale del volume FRUS dal 25 al 27. La sede che la chiuderebbe è il programma ufficiale della visita fra i fascicoli della Casa Bianca alla Ford Library, insieme agli atti italiani della presidenza del Consiglio.</w:t>
      </w:r>
    </w:p>
    <w:p>
      <w:pPr>
        <w:spacing w:after="120" w:line="276"/>
        <w:jc w:val="both"/>
      </w:pPr>
      <w:r>
        <w:rPr>
          <w:rFonts w:ascii="Barlow Semi Condensed" w:cs="Barlow Semi Condensed" w:eastAsia="Barlow Semi Condensed" w:hAnsi="Barlow Semi Condensed"/>
          <w:b/>
          <w:bCs/>
          <w:sz w:val="24"/>
          <w:szCs w:val="24"/>
        </w:rPr>
        <w:t xml:space="preserve">3822 · L'audit delle direttive e il confine.</w:t>
      </w:r>
      <w:r>
        <w:rPr>
          <w:rFonts w:ascii="Barlow Semi Condensed" w:cs="Barlow Semi Condensed" w:eastAsia="Barlow Semi Condensed" w:hAnsi="Barlow Semi Condensed"/>
          <w:sz w:val="24"/>
          <w:szCs w:val="24"/>
        </w:rPr>
        <w:t xml:space="preserve"> L'audit sistematico dei versamenti progettato al blocco 942 confronta ciò che ogni amministrazione dichiarò di produrre nel 1978 con ciò che risulta versato, ufficio per ufficio. È il bersaglio capitale della sezione e non tocca il nome di questa serie per una ragione di diritto: le direttive Prodi, Renzi e Draghi vincolano amministrazioni italiane e non raggiungono alcun archivio straniero. L'audit può accertare che cosa la Farnesina versò, non che cosa Washington conservi.</w:t>
      </w:r>
    </w:p>
    <w:p>
      <w:pPr>
        <w:spacing w:after="120" w:line="276"/>
        <w:jc w:val="both"/>
      </w:pPr>
      <w:r>
        <w:rPr>
          <w:rFonts w:ascii="Barlow Semi Condensed" w:cs="Barlow Semi Condensed" w:eastAsia="Barlow Semi Condensed" w:hAnsi="Barlow Semi Condensed"/>
          <w:b/>
          <w:bCs/>
          <w:sz w:val="24"/>
          <w:szCs w:val="24"/>
        </w:rPr>
        <w:t xml:space="preserve">3823 · Dove si chiuderebbe, oltreoceano.</w:t>
      </w:r>
      <w:r>
        <w:rPr>
          <w:rFonts w:ascii="Barlow Semi Condensed" w:cs="Barlow Semi Condensed" w:eastAsia="Barlow Semi Condensed" w:hAnsi="Barlow Semi Condensed"/>
          <w:sz w:val="24"/>
          <w:szCs w:val="24"/>
        </w:rPr>
        <w:t xml:space="preserve"> Tre indirizzi chiudono ciò che l'audit italiano non raggiunge, e vanno nominati per esteso invece che evocati: i National Archives di College Park per le serie declassificate dei fascicoli del Consiglio di sicurezza nazionale relativi all'Italia, la Gerald R. Ford Presidential Library per i memoranda del consigliere, e la sala di lettura elettronica per le istanze d'accesso. Chi dichiara segreto ciò che non ha chiesto a questi tre indirizzi dichiara la propria pigrizia.</w:t>
      </w:r>
    </w:p>
    <w:p>
      <w:pPr>
        <w:spacing w:after="120" w:line="276"/>
        <w:jc w:val="both"/>
      </w:pPr>
      <w:r>
        <w:rPr>
          <w:rFonts w:ascii="Barlow Semi Condensed" w:cs="Barlow Semi Condensed" w:eastAsia="Barlow Semi Condensed" w:hAnsi="Barlow Semi Condensed"/>
          <w:b/>
          <w:bCs/>
          <w:sz w:val="24"/>
          <w:szCs w:val="24"/>
        </w:rPr>
        <w:t xml:space="preserve">3824 · Gladio, P2 e la regola delle pinze.</w:t>
      </w:r>
      <w:r>
        <w:rPr>
          <w:rFonts w:ascii="Barlow Semi Condensed" w:cs="Barlow Semi Condensed" w:eastAsia="Barlow Semi Condensed" w:hAnsi="Barlow Semi Condensed"/>
          <w:sz w:val="24"/>
          <w:szCs w:val="24"/>
        </w:rPr>
        <w:t xml:space="preserve"> Materia adiacente e non il caso in sé: così il blocco 944 qualifica i versamenti su Gladio e P2 disposti dalla direttiva Draghi del 2 agosto 2021, prescrivendo uno spoglio mirato con la regola che l'appartenenza documentata è un fatto e mai una condotta. È il medesimo presidio che questa serie applica al lignaggio dottrinale: da una scuola, da un ufficio o da un elenco non discende alcun comportamento individuale.</w:t>
      </w:r>
    </w:p>
    <w:p>
      <w:pPr>
        <w:spacing w:after="120" w:line="276"/>
        <w:jc w:val="both"/>
      </w:pPr>
      <w:r>
        <w:rPr>
          <w:rFonts w:ascii="Barlow Semi Condensed" w:cs="Barlow Semi Condensed" w:eastAsia="Barlow Semi Condensed" w:hAnsi="Barlow Semi Condensed"/>
          <w:b/>
          <w:bCs/>
          <w:sz w:val="24"/>
          <w:szCs w:val="24"/>
        </w:rPr>
        <w:t xml:space="preserve">3825 · L'accesso civico e il suo gemello.</w:t>
      </w:r>
      <w:r>
        <w:rPr>
          <w:rFonts w:ascii="Barlow Semi Condensed" w:cs="Barlow Semi Condensed" w:eastAsia="Barlow Semi Condensed" w:hAnsi="Barlow Semi Condensed"/>
          <w:sz w:val="24"/>
          <w:szCs w:val="24"/>
        </w:rPr>
        <w:t xml:space="preserve"> Banco di prova nobile dell'accesso civico generalizzato: così il blocco 948 propone il caso Moro, notando che il FOIA italiano è giovane e poco usato dagli storici. La triangolazione consegna qui un dato istruttivo. La divergenza sulla data dell'anglicizzazione del nome — 1938 secondo le opere di consultazione, 1942-1943 secondo il fascicolo d'immigrazione — fu portata a un documento da un'istanza d'accesso statunitense. Lo strumento funziona nella giurisdizione che detiene la carta.</w:t>
      </w:r>
    </w:p>
    <w:p>
      <w:pPr>
        <w:spacing w:after="120" w:line="276"/>
        <w:jc w:val="both"/>
      </w:pPr>
      <w:r>
        <w:rPr>
          <w:rFonts w:ascii="Barlow Semi Condensed" w:cs="Barlow Semi Condensed" w:eastAsia="Barlow Semi Condensed" w:hAnsi="Barlow Semi Condensed"/>
          <w:b/>
          <w:bCs/>
          <w:sz w:val="24"/>
          <w:szCs w:val="24"/>
        </w:rPr>
        <w:t xml:space="preserve">3826 · Il segreto di Stato non arriva là.</w:t>
      </w:r>
      <w:r>
        <w:rPr>
          <w:rFonts w:ascii="Barlow Semi Condensed" w:cs="Barlow Semi Condensed" w:eastAsia="Barlow Semi Condensed" w:hAnsi="Barlow Semi Condensed"/>
          <w:sz w:val="24"/>
          <w:szCs w:val="24"/>
        </w:rPr>
        <w:t xml:space="preserve"> Della legge 124 del 2007 il blocco 946 estrae il prontuario: termini massimi, esclusione del segreto per i fatti eversivi, procedure di conferma. Va aggiunta la delimitazione che il prontuario rende evidente. Quella legge governa ciò che lo Stato italiano detiene, e nessuna sua disposizione può aprire un fascicolo conservato in un archivio presidenziale statunitense. Il «segreto» invocato sul versante internazionale non è un segreto italiano, ed è spesso un documento non richiesto.</w:t>
      </w:r>
    </w:p>
    <w:p>
      <w:pPr>
        <w:spacing w:after="120" w:line="276"/>
        <w:jc w:val="both"/>
      </w:pPr>
      <w:r>
        <w:rPr>
          <w:rFonts w:ascii="Barlow Semi Condensed" w:cs="Barlow Semi Condensed" w:eastAsia="Barlow Semi Condensed" w:hAnsi="Barlow Semi Condensed"/>
          <w:b/>
          <w:bCs/>
          <w:sz w:val="24"/>
          <w:szCs w:val="24"/>
        </w:rPr>
        <w:t xml:space="preserve">3827 · L'anagrafe del desecretato, prova per prova.</w:t>
      </w:r>
      <w:r>
        <w:rPr>
          <w:rFonts w:ascii="Barlow Semi Condensed" w:cs="Barlow Semi Condensed" w:eastAsia="Barlow Semi Condensed" w:hAnsi="Barlow Semi Condensed"/>
          <w:sz w:val="24"/>
          <w:szCs w:val="24"/>
        </w:rPr>
        <w:t xml:space="preserve"> Contro la retorica del «tutto segreto» il blocco 963 propone la tavola di ciò che è già stato desecretato sul caso, con date e sedi. Il versante internazionale le offre il proprio esempio migliore: il verbale dello Studio Ovale è edito in una collana ufficiale ed è consultabile per file numerato da anni. Metà del dibattito pubblico ignora quanto è già leggibile, e su questo nome l'ignoranza riguarda proprio il documento più citato.</w:t>
      </w:r>
    </w:p>
    <w:p>
      <w:pPr>
        <w:spacing w:after="120" w:line="276"/>
        <w:jc w:val="both"/>
      </w:pPr>
      <w:r>
        <w:rPr>
          <w:rFonts w:ascii="Barlow Semi Condensed" w:cs="Barlow Semi Condensed" w:eastAsia="Barlow Semi Condensed" w:hAnsi="Barlow Semi Condensed"/>
          <w:b/>
          <w:bCs/>
          <w:sz w:val="24"/>
          <w:szCs w:val="24"/>
        </w:rPr>
        <w:t xml:space="preserve">3828 · I dinieghi come mappa, e i silenzi.</w:t>
      </w:r>
      <w:r>
        <w:rPr>
          <w:rFonts w:ascii="Barlow Semi Condensed" w:cs="Barlow Semi Condensed" w:eastAsia="Barlow Semi Condensed" w:hAnsi="Barlow Semi Condensed"/>
          <w:sz w:val="24"/>
          <w:szCs w:val="24"/>
        </w:rPr>
        <w:t xml:space="preserve"> Per questa serie la tavola dei dinieghi del blocco 955 è vuota, e non perché tutto sia stato concesso. È vuota perché nessuna istanza risulta mai presentata a un'amministrazione italiana sul versante che la riguarda. Un vuoto da mancata richiesta e un vuoto da diniego sono oggetti storici diversi e vanno annotati come tali nel registro del blocco 954: il primo misura l'inerzia di chi cerca, il secondo la riservatezza di chi detiene.</w:t>
      </w:r>
    </w:p>
    <w:p>
      <w:pPr>
        <w:spacing w:after="120" w:line="276"/>
        <w:jc w:val="both"/>
      </w:pPr>
      <w:r>
        <w:rPr>
          <w:rFonts w:ascii="Barlow Semi Condensed" w:cs="Barlow Semi Condensed" w:eastAsia="Barlow Semi Condensed" w:hAnsi="Barlow Semi Condensed"/>
          <w:b/>
          <w:bCs/>
          <w:sz w:val="24"/>
          <w:szCs w:val="24"/>
        </w:rPr>
        <w:t xml:space="preserve">3829 · Tre istanze, e i loro esiti.</w:t>
      </w:r>
      <w:r>
        <w:rPr>
          <w:rFonts w:ascii="Barlow Semi Condensed" w:cs="Barlow Semi Condensed" w:eastAsia="Barlow Semi Condensed" w:hAnsi="Barlow Semi Condensed"/>
          <w:sz w:val="24"/>
          <w:szCs w:val="24"/>
        </w:rPr>
        <w:t xml:space="preserve"> Ogni richiesta d'accesso dell'opera entra nel registro pubblico con esito e tempi per il blocco 954, e le segnalazioni all'autorità prendono forma scritta al blocco 892. Ne discende la contabilità che questa serie propone e lascia eseguibile: lo stenografico del 1° agosto 1980 alla Camera, il verbale d'udienza del novembre 1982 alla Corte d'assise di Roma, il secondo memorandum del 26 settembre 1974 alla Ford Library. Tre istanze, tre esiti da verbalizzare.</w:t>
      </w:r>
    </w:p>
    <w:p>
      <w:pPr>
        <w:spacing w:after="120" w:line="276"/>
        <w:jc w:val="both"/>
      </w:pPr>
      <w:r>
        <w:rPr>
          <w:rFonts w:ascii="Barlow Semi Condensed" w:cs="Barlow Semi Condensed" w:eastAsia="Barlow Semi Condensed" w:hAnsi="Barlow Semi Condensed"/>
          <w:b/>
          <w:bCs/>
          <w:sz w:val="24"/>
          <w:szCs w:val="24"/>
        </w:rPr>
        <w:t xml:space="preserve">3830 · Il fascicolo integrale dei tredici.</w:t>
      </w:r>
      <w:r>
        <w:rPr>
          <w:rFonts w:ascii="Barlow Semi Condensed" w:cs="Barlow Semi Condensed" w:eastAsia="Barlow Semi Condensed" w:hAnsi="Barlow Semi Condensed"/>
          <w:sz w:val="24"/>
          <w:szCs w:val="24"/>
        </w:rPr>
        <w:t xml:space="preserve"> Tredici dossier d'archivio completi, citabili al foglio: è il bersaglio documentale che il blocco 866 fissa per la Parte ottava, ricavandoli dagli atti digitalizzati. In quei tredici fascicoli una ricerca onomastica sul versante internazionale andrebbe eseguita per la prima volta in modo sistematico. L'esito atteso è negativo. Va comunque eseguita e verbalizzata, perché un negativo cercato è conoscenza e un negativo presunto è pigrizia travestita da prudenza.</w:t>
      </w:r>
    </w:p>
    <w:p>
      <w:pPr>
        <w:spacing w:after="120" w:line="276"/>
        <w:jc w:val="both"/>
      </w:pPr>
      <w:r>
        <w:rPr>
          <w:rFonts w:ascii="Barlow Semi Condensed" w:cs="Barlow Semi Condensed" w:eastAsia="Barlow Semi Condensed" w:hAnsi="Barlow Semi Condensed"/>
          <w:b/>
          <w:bCs/>
          <w:sz w:val="24"/>
          <w:szCs w:val="24"/>
        </w:rPr>
        <w:t xml:space="preserve">3831 · La tavola comparata delle parole.</w:t>
      </w:r>
      <w:r>
        <w:rPr>
          <w:rFonts w:ascii="Barlow Semi Condensed" w:cs="Barlow Semi Condensed" w:eastAsia="Barlow Semi Condensed" w:hAnsi="Barlow Semi Condensed"/>
          <w:sz w:val="24"/>
          <w:szCs w:val="24"/>
        </w:rPr>
        <w:t xml:space="preserve"> Chi ha detto quanto, dove e quando, persona per persona e anno per anno: la tavola del blocco 851 censisce tutta la parola pubblica del registro, compresi i silenzi. Vi si annidi un quesito preciso di questa serie: se e quando membri del registro abbiano attribuito pubblicamente una direzione straniera al sequestro, con quali parole e in quali sedi. Oggi la risposta non è censita. È quesito di storia della parola, non di accertamento del fatto.</w:t>
      </w:r>
    </w:p>
    <w:p>
      <w:pPr>
        <w:spacing w:after="120" w:line="276"/>
        <w:jc w:val="both"/>
      </w:pPr>
      <w:r>
        <w:rPr>
          <w:rFonts w:ascii="Barlow Semi Condensed" w:cs="Barlow Semi Condensed" w:eastAsia="Barlow Semi Condensed" w:hAnsi="Barlow Semi Condensed"/>
          <w:b/>
          <w:bCs/>
          <w:sz w:val="24"/>
          <w:szCs w:val="24"/>
        </w:rPr>
        <w:t xml:space="preserve">3832 · La biblioteca dei condannati, spogliata.</w:t>
      </w:r>
      <w:r>
        <w:rPr>
          <w:rFonts w:ascii="Barlow Semi Condensed" w:cs="Barlow Semi Condensed" w:eastAsia="Barlow Semi Condensed" w:hAnsi="Barlow Semi Condensed"/>
          <w:sz w:val="24"/>
          <w:szCs w:val="24"/>
        </w:rPr>
        <w:t xml:space="preserve"> Dal libro-intervista di Moretti del 1994 a «Il prigioniero» di Braghetti del 1998, dall'autobiografia di Gallinari ai volumi di Balzerani: il blocco 852 progetta il censimento bibliografico integrale con edizioni, ristampe e traduzioni. Lo spoglio onomastico di quel corpus è eseguibile su carta reperibile in qualunque biblioteca nazionale e produce un dato falsificabile in poche settimane. Stato oggi: non eseguito. Nessun blocco del corpus afferma che il nome vi compaia.</w:t>
      </w:r>
    </w:p>
    <w:p>
      <w:pPr>
        <w:spacing w:after="120" w:line="276"/>
        <w:jc w:val="both"/>
      </w:pPr>
      <w:r>
        <w:rPr>
          <w:rFonts w:ascii="Barlow Semi Condensed" w:cs="Barlow Semi Condensed" w:eastAsia="Barlow Semi Condensed" w:hAnsi="Barlow Semi Condensed"/>
          <w:b/>
          <w:bCs/>
          <w:sz w:val="24"/>
          <w:szCs w:val="24"/>
        </w:rPr>
        <w:t xml:space="preserve">3833 · Il memoriale della dissociazione.</w:t>
      </w:r>
      <w:r>
        <w:rPr>
          <w:rFonts w:ascii="Barlow Semi Condensed" w:cs="Barlow Semi Condensed" w:eastAsia="Barlow Semi Condensed" w:hAnsi="Barlow Semi Condensed"/>
          <w:sz w:val="24"/>
          <w:szCs w:val="24"/>
        </w:rPr>
        <w:t xml:space="preserve"> Testo di parte più influente del caso, il memoriale Morucci-Faranda merita per il blocco 855 la scheda più rigorosa: stesure, consegne, usi processuali, perimetro dichiarato di ciò che copre e di ciò che non copre. Il quesito di questa serie vi si inserisce senza forzatura, cioè che cosa quel testo dica, se dice qualcosa, sulla direzione politica del sequestro. La risposta appartiene agli atti in cui il memoriale fu usato, non alle sintesi che ne circolano.</w:t>
      </w:r>
    </w:p>
    <w:p>
      <w:pPr>
        <w:spacing w:after="120" w:line="276"/>
        <w:jc w:val="both"/>
      </w:pPr>
      <w:r>
        <w:rPr>
          <w:rFonts w:ascii="Barlow Semi Condensed" w:cs="Barlow Semi Condensed" w:eastAsia="Barlow Semi Condensed" w:hAnsi="Barlow Semi Condensed"/>
          <w:b/>
          <w:bCs/>
          <w:sz w:val="24"/>
          <w:szCs w:val="24"/>
        </w:rPr>
        <w:t xml:space="preserve">3834 · Le versioni che cambiano nel tempo.</w:t>
      </w:r>
      <w:r>
        <w:rPr>
          <w:rFonts w:ascii="Barlow Semi Condensed" w:cs="Barlow Semi Condensed" w:eastAsia="Barlow Semi Condensed" w:hAnsi="Barlow Semi Condensed"/>
          <w:sz w:val="24"/>
          <w:szCs w:val="24"/>
        </w:rPr>
        <w:t xml:space="preserve"> La deriva diacronica dei racconti è tabulata dal blocco 854: come le versioni di ciascuno siano mutate dalle dichiarazioni processuali ai libri alle ultime interviste, con le date e senza processi alle intenzioni. È lo strumento che misurerebbe un fenomeno noto e mai misurato, cioè se la tesi dell'eterodirezione compaia nelle parole del registro precocemente o tardivamente, e in che rapporto con la sua diffusione pubblica. Qui le date valgono più dei contenuti.</w:t>
      </w:r>
    </w:p>
    <w:p>
      <w:pPr>
        <w:spacing w:after="120" w:line="276"/>
        <w:jc w:val="both"/>
      </w:pPr>
      <w:r>
        <w:rPr>
          <w:rFonts w:ascii="Barlow Semi Condensed" w:cs="Barlow Semi Condensed" w:eastAsia="Barlow Semi Condensed" w:hAnsi="Barlow Semi Condensed"/>
          <w:b/>
          <w:bCs/>
          <w:sz w:val="24"/>
          <w:szCs w:val="24"/>
        </w:rPr>
        <w:t xml:space="preserve">3835 · Ciò che il registro non dice.</w:t>
      </w:r>
      <w:r>
        <w:rPr>
          <w:rFonts w:ascii="Barlow Semi Condensed" w:cs="Barlow Semi Condensed" w:eastAsia="Barlow Semi Condensed" w:hAnsi="Barlow Semi Condensed"/>
          <w:sz w:val="24"/>
          <w:szCs w:val="24"/>
        </w:rPr>
        <w:t xml:space="preserve"> Va dichiarato come esito e non come sospetto: nella Parte ottava, che per novanta blocchi organizza il censimento della parola dei condannati, non compare alcuna affermazione secondo cui membri del registro abbiano indicato un'autorità straniera. Il corpus non lo afferma né lo nega, perché non lo ha censito. Questo è uno Stato Zero di censimento, distinto dallo Stato Zero di fatto, e la distinzione va conservata in ogni resa pubblica.</w:t>
      </w:r>
    </w:p>
    <w:p>
      <w:pPr>
        <w:spacing w:after="120" w:line="276"/>
        <w:jc w:val="both"/>
      </w:pPr>
      <w:r>
        <w:rPr>
          <w:rFonts w:ascii="Barlow Semi Condensed" w:cs="Barlow Semi Condensed" w:eastAsia="Barlow Semi Condensed" w:hAnsi="Barlow Semi Condensed"/>
          <w:b/>
          <w:bCs/>
          <w:sz w:val="24"/>
          <w:szCs w:val="24"/>
        </w:rPr>
        <w:t xml:space="preserve">3836 · Due schiere che non si confondono.</w:t>
      </w:r>
      <w:r>
        <w:rPr>
          <w:rFonts w:ascii="Barlow Semi Condensed" w:cs="Barlow Semi Condensed" w:eastAsia="Barlow Semi Condensed" w:hAnsi="Barlow Semi Condensed"/>
          <w:sz w:val="24"/>
          <w:szCs w:val="24"/>
        </w:rPr>
        <w:t xml:space="preserve"> Due schiere non vanno confuse in un unico indice, e il blocco 856 le tiene separate quando censisce quali membri del registro furono ascoltati dalle commissioni e chi non lo fu mai. Il versante internazionale non abita quella schiera: l'unica audizione parlamentare che tocchi il presunto avvertimento è quella di una familiare della vittima, il 1° agosto 1980. Le due schiere rispondono a domande diverse e portano gradi diversi.</w:t>
      </w:r>
    </w:p>
    <w:p>
      <w:pPr>
        <w:spacing w:after="120" w:line="276"/>
        <w:jc w:val="both"/>
      </w:pPr>
      <w:r>
        <w:rPr>
          <w:rFonts w:ascii="Barlow Semi Condensed" w:cs="Barlow Semi Condensed" w:eastAsia="Barlow Semi Condensed" w:hAnsi="Barlow Semi Condensed"/>
          <w:b/>
          <w:bCs/>
          <w:sz w:val="24"/>
          <w:szCs w:val="24"/>
        </w:rPr>
        <w:t xml:space="preserve">3837 · I rifiuti si contano, le smentite anche.</w:t>
      </w:r>
      <w:r>
        <w:rPr>
          <w:rFonts w:ascii="Barlow Semi Condensed" w:cs="Barlow Semi Condensed" w:eastAsia="Barlow Semi Condensed" w:hAnsi="Barlow Semi Condensed"/>
          <w:sz w:val="24"/>
          <w:szCs w:val="24"/>
        </w:rPr>
        <w:t xml:space="preserve"> Ogni rifiuto di parlare si registra datato e senza commento, perché il silenzio di un condannato è un suo diritto e un fatto storico: così il blocco 860. Estesa fuori dal registro, la regola chiede la stessa cura per le smentite. Quella diretta resa a un giornalista poco prima della morte e quella generica riferita dall'agenzia nel 1983 sono fatti datati, e vanno riportati insieme alla testimonianza che contraddicono.</w:t>
      </w:r>
    </w:p>
    <w:p>
      <w:pPr>
        <w:spacing w:after="120" w:line="276"/>
        <w:jc w:val="both"/>
      </w:pPr>
      <w:r>
        <w:rPr>
          <w:rFonts w:ascii="Barlow Semi Condensed" w:cs="Barlow Semi Condensed" w:eastAsia="Barlow Semi Condensed" w:hAnsi="Barlow Semi Condensed"/>
          <w:b/>
          <w:bCs/>
          <w:sz w:val="24"/>
          <w:szCs w:val="24"/>
        </w:rPr>
        <w:t xml:space="preserve">3838 · La catena si interrompe al primo anello.</w:t>
      </w:r>
      <w:r>
        <w:rPr>
          <w:rFonts w:ascii="Barlow Semi Condensed" w:cs="Barlow Semi Condensed" w:eastAsia="Barlow Semi Condensed" w:hAnsi="Barlow Semi Condensed"/>
          <w:sz w:val="24"/>
          <w:szCs w:val="24"/>
        </w:rPr>
        <w:t xml:space="preserve"> Non esiste esecuzione senza condanna, non esiste condanna senza processo, non esiste processo senza imputazione. I blocchi 797 e 870 progettano la storia dell'esecuzione penale del caso — arresti, benefici, dibattiti pubblici che accompagnarono ogni scarcerazione — come capitolo documentato di storia repubblicana. Il nome di questa serie non vi ha alcuna riga, e la ragione è sempre la stessa: la catena si interrompe al primo anello.</w:t>
      </w:r>
    </w:p>
    <w:p>
      <w:pPr>
        <w:spacing w:after="120" w:line="276"/>
        <w:jc w:val="both"/>
      </w:pPr>
      <w:r>
        <w:rPr>
          <w:rFonts w:ascii="Barlow Semi Condensed" w:cs="Barlow Semi Condensed" w:eastAsia="Barlow Semi Condensed" w:hAnsi="Barlow Semi Condensed"/>
          <w:b/>
          <w:bCs/>
          <w:sz w:val="24"/>
          <w:szCs w:val="24"/>
        </w:rPr>
        <w:t xml:space="preserve">3839 · Chi non fu chiamato non è contumace.</w:t>
      </w:r>
      <w:r>
        <w:rPr>
          <w:rFonts w:ascii="Barlow Semi Condensed" w:cs="Barlow Semi Condensed" w:eastAsia="Barlow Semi Condensed" w:hAnsi="Barlow Semi Condensed"/>
          <w:sz w:val="24"/>
          <w:szCs w:val="24"/>
        </w:rPr>
        <w:t xml:space="preserve"> Chi non fu mai chiamato non è contumace, e la distinzione va tenuta ferma. Il blocco 798 dedica un capitolo ai mai presenti — i sei ergastoli in contumacia di Casimirri, le latitanze, gli istituti che le governarono, il significato giuridico di non essere mai stati davanti ai propri giudici. Il contumace è assente da un processo che esiste. L'assenza di questa serie è di natura diversa: manca il processo, non l'imputato.</w:t>
      </w:r>
    </w:p>
    <w:p>
      <w:pPr>
        <w:spacing w:after="120" w:line="276"/>
        <w:jc w:val="both"/>
      </w:pPr>
      <w:r>
        <w:rPr>
          <w:rFonts w:ascii="Barlow Semi Condensed" w:cs="Barlow Semi Condensed" w:eastAsia="Barlow Semi Condensed" w:hAnsi="Barlow Semi Condensed"/>
          <w:b/>
          <w:bCs/>
          <w:sz w:val="24"/>
          <w:szCs w:val="24"/>
        </w:rPr>
        <w:t xml:space="preserve">3840 · Managua non è un ponte.</w:t>
      </w:r>
      <w:r>
        <w:rPr>
          <w:rFonts w:ascii="Barlow Semi Condensed" w:cs="Barlow Semi Condensed" w:eastAsia="Barlow Semi Condensed" w:hAnsi="Barlow Semi Condensed"/>
          <w:sz w:val="24"/>
          <w:szCs w:val="24"/>
        </w:rPr>
        <w:t xml:space="preserve"> Sei ergastoli in contumacia, rotta Libia-Cuba-Nicaragua, cittadinanza nicaraguense, mai arrestato né interrogato, almeno due estradizioni respinte: è la scheda Casimirri del blocco 833. La coincidenza fra quel paese e la commissione bipartisan sull'America centrale presieduta da Kissinger fra 1983 e 1984 va enunciata per essere disinnescata. È contemporaneità di teatro, non contatto: il corpus registra già la regola secondo cui la rotta è geografia e non genealogia.</w:t>
      </w:r>
    </w:p>
    <w:p>
      <w:pPr>
        <w:spacing w:after="120" w:line="276"/>
        <w:jc w:val="both"/>
      </w:pPr>
      <w:r>
        <w:rPr>
          <w:rFonts w:ascii="Barlow Semi Condensed" w:cs="Barlow Semi Condensed" w:eastAsia="Barlow Semi Condensed" w:hAnsi="Barlow Semi Condensed"/>
          <w:b/>
          <w:bCs/>
          <w:sz w:val="24"/>
          <w:szCs w:val="24"/>
        </w:rPr>
        <w:t xml:space="preserve">3841 · Che documento lo renderebbe piano uno.</w:t>
      </w:r>
      <w:r>
        <w:rPr>
          <w:rFonts w:ascii="Barlow Semi Condensed" w:cs="Barlow Semi Condensed" w:eastAsia="Barlow Semi Condensed" w:hAnsi="Barlow Semi Condensed"/>
          <w:sz w:val="24"/>
          <w:szCs w:val="24"/>
        </w:rPr>
        <w:t xml:space="preserve"> Un bersaglio di smentita si scrive con precisione o non serve a nulla. Renderebbe quel nesso di piano uno soltanto un documento di provenienza che nominasse un latitante italiano nelle carte di quella commissione. Le sedi esistono e si nominano: i fascicoli della commissione fra i documenti dei comitati e delle commissioni temporanee ai National Archives, e le serie corrispondenti presso la biblioteca presidenziale competente. Fino a quel documento, nessun ponte e nessuna convergenza promossa.</w:t>
      </w:r>
    </w:p>
    <w:p>
      <w:pPr>
        <w:spacing w:after="120" w:line="276"/>
        <w:jc w:val="both"/>
      </w:pPr>
      <w:r>
        <w:rPr>
          <w:rFonts w:ascii="Barlow Semi Condensed" w:cs="Barlow Semi Condensed" w:eastAsia="Barlow Semi Condensed" w:hAnsi="Barlow Semi Condensed"/>
          <w:b/>
          <w:bCs/>
          <w:sz w:val="24"/>
          <w:szCs w:val="24"/>
        </w:rPr>
        <w:t xml:space="preserve">3842 · Materia diplomatica, non ambientale.</w:t>
      </w:r>
      <w:r>
        <w:rPr>
          <w:rFonts w:ascii="Barlow Semi Condensed" w:cs="Barlow Semi Condensed" w:eastAsia="Barlow Semi Condensed" w:hAnsi="Barlow Semi Condensed"/>
          <w:sz w:val="24"/>
          <w:szCs w:val="24"/>
        </w:rPr>
        <w:t xml:space="preserve"> Materia diplomatica bilaterale e non convergenza d'ambiente: la triangolazione dei condannati registra che il ponte reale del caso Casimirri sono le estradizioni respinte nei rapporti Italia-Nicaragua, con gli atti corrispondenti alla Farnesina. Il versante statunitense non compare in quella corrispondenza. È accertamento di perimetro, dichiarato con grado medio perché fondato su un censimento del corpus e non su uno spoglio integrale delle carte diplomatiche italiane. Chi lo smentirà porti la carta.</w:t>
      </w:r>
    </w:p>
    <w:p>
      <w:pPr>
        <w:spacing w:after="120" w:line="276"/>
        <w:jc w:val="both"/>
      </w:pPr>
      <w:r>
        <w:rPr>
          <w:rFonts w:ascii="Barlow Semi Condensed" w:cs="Barlow Semi Condensed" w:eastAsia="Barlow Semi Condensed" w:hAnsi="Barlow Semi Condensed"/>
          <w:b/>
          <w:bCs/>
          <w:sz w:val="24"/>
          <w:szCs w:val="24"/>
        </w:rPr>
        <w:t xml:space="preserve">3843 · Berna non conosce questo nome.</w:t>
      </w:r>
      <w:r>
        <w:rPr>
          <w:rFonts w:ascii="Barlow Semi Condensed" w:cs="Barlow Semi Condensed" w:eastAsia="Barlow Semi Condensed" w:hAnsi="Barlow Semi Condensed"/>
          <w:sz w:val="24"/>
          <w:szCs w:val="24"/>
        </w:rPr>
        <w:t xml:space="preserve"> Nel dossier elvetico dei blocchi 836 e 869 si costruisce l'ascolto di Alvaro Lojacono nelle forme svizzere e l'accesso agli atti dei procedimenti che lo riguardarono, sapendo che la Confederazione non estrada i propri cittadini. Nulla in quel dossier tocca il versante internazionale di questa serie, e nessuna delle due direzioni contamina l'altra. Lo si scrive perché la contiguità dentro una stessa parte d'opera non è contiguità di materia.</w:t>
      </w:r>
    </w:p>
    <w:p>
      <w:pPr>
        <w:spacing w:after="120" w:line="276"/>
        <w:jc w:val="both"/>
      </w:pPr>
      <w:r>
        <w:rPr>
          <w:rFonts w:ascii="Barlow Semi Condensed" w:cs="Barlow Semi Condensed" w:eastAsia="Barlow Semi Condensed" w:hAnsi="Barlow Semi Condensed"/>
          <w:b/>
          <w:bCs/>
          <w:sz w:val="24"/>
          <w:szCs w:val="24"/>
        </w:rPr>
        <w:t xml:space="preserve">3844 · Il quesito che non si deve porre.</w:t>
      </w:r>
      <w:r>
        <w:rPr>
          <w:rFonts w:ascii="Barlow Semi Condensed" w:cs="Barlow Semi Condensed" w:eastAsia="Barlow Semi Condensed" w:hAnsi="Barlow Semi Condensed"/>
          <w:sz w:val="24"/>
          <w:szCs w:val="24"/>
        </w:rPr>
        <w:t xml:space="preserve"> Dieci domande documentali ordinate per rendimento sono chieste al registro vivente dal blocco 864, come testamento operativo della parte. Questa serie propone che nessuna delle dieci riguardi il versante internazionale e che la ragione sia scritta accanto all'elenco: una memoria diretta della logistica romana non ha accesso privilegiato alla politica di Washington. Chiedere a un testimone ciò che non può sapere produce risposte, non conoscenza — ed è il modo più elegante di inquinare un archivio.</w:t>
      </w:r>
    </w:p>
    <w:p>
      <w:pPr>
        <w:spacing w:after="120" w:line="276"/>
        <w:jc w:val="both"/>
      </w:pPr>
      <w:r>
        <w:rPr>
          <w:rFonts w:ascii="Barlow Semi Condensed" w:cs="Barlow Semi Condensed" w:eastAsia="Barlow Semi Condensed" w:hAnsi="Barlow Semi Condensed"/>
          <w:b/>
          <w:bCs/>
          <w:sz w:val="24"/>
          <w:szCs w:val="24"/>
        </w:rPr>
        <w:t xml:space="preserve">3845 · I vuoti si verbalizzano.</w:t>
      </w:r>
      <w:r>
        <w:rPr>
          <w:rFonts w:ascii="Barlow Semi Condensed" w:cs="Barlow Semi Condensed" w:eastAsia="Barlow Semi Condensed" w:hAnsi="Barlow Semi Condensed"/>
          <w:sz w:val="24"/>
          <w:szCs w:val="24"/>
        </w:rPr>
        <w:t xml:space="preserve"> Iscrivere l'assenza dove va iscritta: il blocco 878 istituisce il verbale dei vuoti della Parte ottava — caselle non chiudibili, lasciti non trovati, silenzi definitivi dei morti — e lo chiama Stato Zero prosopografico. È il luogo esatto in cui l'assenza documentata da questa serie va registrata, non come nota di colore ma come voce con la propria sede. La sede è duplice: italiana per gli atti, statunitense per le carte di governo.</w:t>
      </w:r>
    </w:p>
    <w:p>
      <w:pPr>
        <w:spacing w:after="120" w:line="276"/>
        <w:jc w:val="both"/>
      </w:pPr>
      <w:r>
        <w:rPr>
          <w:rFonts w:ascii="Barlow Semi Condensed" w:cs="Barlow Semi Condensed" w:eastAsia="Barlow Semi Condensed" w:hAnsi="Barlow Semi Condensed"/>
          <w:b/>
          <w:bCs/>
          <w:sz w:val="24"/>
          <w:szCs w:val="24"/>
        </w:rPr>
        <w:t xml:space="preserve">3846 · Il registro cresce solo per giudicato (serie L).</w:t>
      </w:r>
      <w:r>
        <w:rPr>
          <w:rFonts w:ascii="Barlow Semi Condensed" w:cs="Barlow Semi Condensed" w:eastAsia="Barlow Semi Condensed" w:hAnsi="Barlow Semi Condensed"/>
          <w:sz w:val="24"/>
          <w:szCs w:val="24"/>
        </w:rPr>
        <w:t xml:space="preserve"> Vent'anni dopo i fatti Germano Maccari fu iscritto al registro, e il blocco 840 ne trae la lezione istituzionale: il registro può crescere a distanza di decenni, mai per suggestione. Riportata sul versante internazionale la lezione è netta e non ammette attenuazioni. Se un giorno un nome straniero vi entrasse, vi entrerebbe per una sentenza definitiva italiana passata in giudicato. Non esiste altra porta, e nessuna ne è mai stata aperta.</w:t>
      </w:r>
    </w:p>
    <w:p>
      <w:pPr>
        <w:spacing w:after="120" w:line="276"/>
        <w:jc w:val="both"/>
      </w:pPr>
      <w:r>
        <w:rPr>
          <w:rFonts w:ascii="Barlow Semi Condensed" w:cs="Barlow Semi Condensed" w:eastAsia="Barlow Semi Condensed" w:hAnsi="Barlow Semi Condensed"/>
          <w:b/>
          <w:bCs/>
          <w:sz w:val="24"/>
          <w:szCs w:val="24"/>
        </w:rPr>
        <w:t xml:space="preserve">3847 · La morte chiude l'azione.</w:t>
      </w:r>
      <w:r>
        <w:rPr>
          <w:rFonts w:ascii="Barlow Semi Condensed" w:cs="Barlow Semi Condensed" w:eastAsia="Barlow Semi Condensed" w:hAnsi="Barlow Semi Condensed"/>
          <w:sz w:val="24"/>
          <w:szCs w:val="24"/>
        </w:rPr>
        <w:t xml:space="preserve"> Non si esercita azione penale verso una persona deceduta: è il fatto di diritto processuale che preclude, per il nome di questa serie, lo scenario del sesto processo che il blocco 897 prepara. L'osservazione non implica che un'azione fosse prima concepibile, e non va letta in quel senso. Constata soltanto che dal 29 novembre 2023 la questione è definitivamente fuori dal penale, e che resta interamente dentro la storia documentale.</w:t>
      </w:r>
    </w:p>
    <w:p>
      <w:pPr>
        <w:spacing w:after="120" w:line="276"/>
        <w:jc w:val="both"/>
      </w:pPr>
      <w:r>
        <w:rPr>
          <w:rFonts w:ascii="Barlow Semi Condensed" w:cs="Barlow Semi Condensed" w:eastAsia="Barlow Semi Condensed" w:hAnsi="Barlow Semi Condensed"/>
          <w:b/>
          <w:bCs/>
          <w:sz w:val="24"/>
          <w:szCs w:val="24"/>
        </w:rPr>
        <w:t xml:space="preserve">3848 · Se il fascicolo chiudesse.</w:t>
      </w:r>
      <w:r>
        <w:rPr>
          <w:rFonts w:ascii="Barlow Semi Condensed" w:cs="Barlow Semi Condensed" w:eastAsia="Barlow Semi Condensed" w:hAnsi="Barlow Semi Condensed"/>
          <w:sz w:val="24"/>
          <w:szCs w:val="24"/>
        </w:rPr>
        <w:t xml:space="preserve"> Se il fascicolo si archiviasse resterebbero gli atti versati, le perizie acquisite e il diritto della storia a proseguire coi propri strumenti: è il protocollo dello scenario peggiore scritto al blocco 895. Per questa serie il protocollo cambierebbe poco, perché il versante internazionale non è mai stato dentro quel fascicolo. Ciò che ne dipende è la pressione mediatica: un'archiviazione produrrebbe, prevedibilmente, il ritorno in scena delle spiegazioni terziarie.</w:t>
      </w:r>
    </w:p>
    <w:p>
      <w:pPr>
        <w:spacing w:after="120" w:line="276"/>
        <w:jc w:val="both"/>
      </w:pPr>
      <w:r>
        <w:rPr>
          <w:rFonts w:ascii="Barlow Semi Condensed" w:cs="Barlow Semi Condensed" w:eastAsia="Barlow Semi Condensed" w:hAnsi="Barlow Semi Condensed"/>
          <w:b/>
          <w:bCs/>
          <w:sz w:val="24"/>
          <w:szCs w:val="24"/>
        </w:rPr>
        <w:t xml:space="preserve">3849 · Se emergessero sviluppi.</w:t>
      </w:r>
      <w:r>
        <w:rPr>
          <w:rFonts w:ascii="Barlow Semi Condensed" w:cs="Barlow Semi Condensed" w:eastAsia="Barlow Semi Condensed" w:hAnsi="Barlow Semi Condensed"/>
          <w:sz w:val="24"/>
          <w:szCs w:val="24"/>
        </w:rPr>
        <w:t xml:space="preserve"> Silenzio operoso, precedenza assoluta al giudiziario, aggiornamento del corpus solo da atti: il blocco 896 prescrive la disciplina per lo scenario opposto. È la più difficile da tenere proprio dove questa serie lavora, perché ogni novità sulle presenze verrebbe letta come conferma di una regia. Il presidio resta il blocco 887: le presenze sono persone su una strada, e nessun esito su di esse potrà da solo dire alcunché su un governo straniero.</w:t>
      </w:r>
    </w:p>
    <w:p>
      <w:pPr>
        <w:spacing w:after="120" w:line="276"/>
        <w:jc w:val="both"/>
      </w:pPr>
      <w:r>
        <w:rPr>
          <w:rFonts w:ascii="Barlow Semi Condensed" w:cs="Barlow Semi Condensed" w:eastAsia="Barlow Semi Condensed" w:hAnsi="Barlow Semi Condensed"/>
          <w:b/>
          <w:bCs/>
          <w:sz w:val="24"/>
          <w:szCs w:val="24"/>
        </w:rPr>
        <w:t xml:space="preserve">3850 · Il cinquantennale porterà la frase.</w:t>
      </w:r>
      <w:r>
        <w:rPr>
          <w:rFonts w:ascii="Barlow Semi Condensed" w:cs="Barlow Semi Condensed" w:eastAsia="Barlow Semi Condensed" w:hAnsi="Barlow Semi Condensed"/>
          <w:sz w:val="24"/>
          <w:szCs w:val="24"/>
        </w:rPr>
        <w:t xml:space="preserve"> Nessun comitato nazionale per il 2028 risulta istituito, accerta il blocco 967, mentre il blocco 976 prepara il protocollo mediatico per il diluvio prevedibile. Questa serie consegna al protocollo il proprio contributo minimo: una scheda verificata sul presunto avvertimento, con la deposizione de relato, il nome ottenuto in aula e non offerto, le date divergenti fra 1974, 1976 e 1977, la smentita costante e l'assenza dal verbale. Pronta prima della domanda.</w:t>
      </w:r>
    </w:p>
    <w:p>
      <w:pPr>
        <w:spacing w:after="120" w:line="276"/>
        <w:jc w:val="both"/>
      </w:pPr>
      <w:r>
        <w:rPr>
          <w:rFonts w:ascii="Barlow Semi Condensed" w:cs="Barlow Semi Condensed" w:eastAsia="Barlow Semi Condensed" w:hAnsi="Barlow Semi Condensed"/>
          <w:b/>
          <w:bCs/>
          <w:sz w:val="24"/>
          <w:szCs w:val="24"/>
        </w:rPr>
        <w:t xml:space="preserve">3851 · Le produzioni e la consulenza offerta.</w:t>
      </w:r>
      <w:r>
        <w:rPr>
          <w:rFonts w:ascii="Barlow Semi Condensed" w:cs="Barlow Semi Condensed" w:eastAsia="Barlow Semi Condensed" w:hAnsi="Barlow Semi Condensed"/>
          <w:sz w:val="24"/>
          <w:szCs w:val="24"/>
        </w:rPr>
        <w:t xml:space="preserve"> Film, serie e podcast arriveranno, e il blocco 977 prevede che l'opera censisca le produzioni annunciate offrendo a ciascuna la consulenza documentale, registrando l'offerta accettata o rifiutata. L'episodio di Washington è, per costruzione narrativa, il più appetibile del versante internazionale e il più fragile in documenti. L'offerta va fatta per iscritto e su quel punto per primo: la finzione resta libera, ma nessun autore potrà più dire di non aver saputo.</w:t>
      </w:r>
    </w:p>
    <w:p>
      <w:pPr>
        <w:spacing w:after="120" w:line="276"/>
        <w:jc w:val="both"/>
      </w:pPr>
      <w:r>
        <w:rPr>
          <w:rFonts w:ascii="Barlow Semi Condensed" w:cs="Barlow Semi Condensed" w:eastAsia="Barlow Semi Condensed" w:hAnsi="Barlow Semi Condensed"/>
          <w:b/>
          <w:bCs/>
          <w:sz w:val="24"/>
          <w:szCs w:val="24"/>
        </w:rPr>
        <w:t xml:space="preserve">3852 · Il rischio della saturazione.</w:t>
      </w:r>
      <w:r>
        <w:rPr>
          <w:rFonts w:ascii="Barlow Semi Condensed" w:cs="Barlow Semi Condensed" w:eastAsia="Barlow Semi Condensed" w:hAnsi="Barlow Semi Condensed"/>
          <w:sz w:val="24"/>
          <w:szCs w:val="24"/>
        </w:rPr>
        <w:t xml:space="preserve"> I cinquantennali saturano, la sovraesposizione genera stanchezza e revisionismi di ritorno, e il blocco 987 prescrive contributi pochi, documentati, distanziati, senza presenza per presenzialismo. Applicata a un nome celebre la prescrizione diventa più stringente, perché la celebrità è essa stessa un moltiplicatore di riprese. La sobrietà non è timidezza: è la sola strategia che impedisca a una testimonianza contestata di consolidarsi per stanchezza degli obiettori.</w:t>
      </w:r>
    </w:p>
    <w:p>
      <w:pPr>
        <w:spacing w:after="120" w:line="276"/>
        <w:jc w:val="both"/>
      </w:pPr>
      <w:r>
        <w:rPr>
          <w:rFonts w:ascii="Barlow Semi Condensed" w:cs="Barlow Semi Condensed" w:eastAsia="Barlow Semi Condensed" w:hAnsi="Barlow Semi Condensed"/>
          <w:b/>
          <w:bCs/>
          <w:sz w:val="24"/>
          <w:szCs w:val="24"/>
        </w:rPr>
        <w:t xml:space="preserve">3853 · Le sei vittime restano la misura.</w:t>
      </w:r>
      <w:r>
        <w:rPr>
          <w:rFonts w:ascii="Barlow Semi Condensed" w:cs="Barlow Semi Condensed" w:eastAsia="Barlow Semi Condensed" w:hAnsi="Barlow Semi Condensed"/>
          <w:sz w:val="24"/>
          <w:szCs w:val="24"/>
        </w:rPr>
        <w:t xml:space="preserve"> Oreste Leonardi, Domenico Ricci, Giulio Rivera, Francesco Zizzi, Raffaele Iozzino e Aldo Moro stanno in testa e in chiusura del territorio, ai blocchi 803, 984 e 998. È la misura che questa serie accetta senza sconti. Una discussione sul versante internazionale che sottragga spazio alle sei biografie ha già sbagliato proporzione. Nel territorio assegnato il nome triangolato occupa esattamente zero righe: la proporzione è già scritta nel corpus, e va rispettata.</w:t>
      </w:r>
    </w:p>
    <w:p>
      <w:pPr>
        <w:spacing w:after="120" w:line="276"/>
        <w:jc w:val="both"/>
      </w:pPr>
      <w:r>
        <w:rPr>
          <w:rFonts w:ascii="Barlow Semi Condensed" w:cs="Barlow Semi Condensed" w:eastAsia="Barlow Semi Condensed" w:hAnsi="Barlow Semi Condensed"/>
          <w:b/>
          <w:bCs/>
          <w:sz w:val="24"/>
          <w:szCs w:val="24"/>
        </w:rPr>
        <w:t xml:space="preserve">3854 · L'opposizione che ha riaperto.</w:t>
      </w:r>
      <w:r>
        <w:rPr>
          <w:rFonts w:ascii="Barlow Semi Condensed" w:cs="Barlow Semi Condensed" w:eastAsia="Barlow Semi Condensed" w:hAnsi="Barlow Semi Condensed"/>
          <w:sz w:val="24"/>
          <w:szCs w:val="24"/>
        </w:rPr>
        <w:t xml:space="preserve"> Furono i figli dell'appuntato Domenico Ricci, con i loro difensori, a impedire l'archiviazione del 28 maggio 2025: non un ministero, non una commissione. Il blocco 882 lo custodisce come fatto istituzionale. Vi si contrappone, senza enfasi, una constatazione. In quarantott'anni nessuno ha mai formalizzato una richiesta analoga sul versante internazionale, e non per timidezza: le vittime hanno usato uno strumento esistente dentro un procedimento, e quel versante un procedimento non lo ha mai avuto.</w:t>
      </w:r>
    </w:p>
    <w:p>
      <w:pPr>
        <w:spacing w:after="120" w:line="276"/>
        <w:jc w:val="both"/>
      </w:pPr>
      <w:r>
        <w:rPr>
          <w:rFonts w:ascii="Barlow Semi Condensed" w:cs="Barlow Semi Condensed" w:eastAsia="Barlow Semi Condensed" w:hAnsi="Barlow Semi Condensed"/>
          <w:b/>
          <w:bCs/>
          <w:sz w:val="24"/>
          <w:szCs w:val="24"/>
        </w:rPr>
        <w:t xml:space="preserve">3855 · Il giacimento come garanzia.</w:t>
      </w:r>
      <w:r>
        <w:rPr>
          <w:rFonts w:ascii="Barlow Semi Condensed" w:cs="Barlow Semi Condensed" w:eastAsia="Barlow Semi Condensed" w:hAnsi="Barlow Semi Condensed"/>
          <w:sz w:val="24"/>
          <w:szCs w:val="24"/>
        </w:rPr>
        <w:t xml:space="preserve"> Chiunque può verificare chiunque, alla carta: il blocco 938 fa della digitalizzazione dei cinque processi la migliore garanzia contro le riscritture e ne ricava una regola di stile, per cui ogni affermazione sul giudicato porta il rinvio all'atto. Questa serie la adotta integralmente e la estende al versante internazionale. Nessuna riga su quel versante senza segnatura, e dove la segnatura manca, la dichiarazione esplicita che manca.</w:t>
      </w:r>
    </w:p>
    <w:p>
      <w:pPr>
        <w:spacing w:after="120" w:line="276"/>
        <w:jc w:val="both"/>
      </w:pPr>
      <w:r>
        <w:rPr>
          <w:rFonts w:ascii="Barlow Semi Condensed" w:cs="Barlow Semi Condensed" w:eastAsia="Barlow Semi Condensed" w:hAnsi="Barlow Semi Condensed"/>
          <w:b/>
          <w:bCs/>
          <w:sz w:val="24"/>
          <w:szCs w:val="24"/>
        </w:rPr>
        <w:t xml:space="preserve">3856 · La privacy e i terzi.</w:t>
      </w:r>
      <w:r>
        <w:rPr>
          <w:rFonts w:ascii="Barlow Semi Condensed" w:cs="Barlow Semi Condensed" w:eastAsia="Barlow Semi Condensed" w:hAnsi="Barlow Semi Condensed"/>
          <w:sz w:val="24"/>
          <w:szCs w:val="24"/>
        </w:rPr>
        <w:t xml:space="preserve"> Un nome che compaia negli atti soltanto come oggetto di una deposizione altrui è, tecnicamente, un terzo. Il blocco 914 subordina la pubblicazione integrale online alla revisione per i dati sensibili, e il blocco 950 richiama le regole deontologiche sui terzi estranei nelle carte del caso. Il trattamento di quel nome negli indici del blocco 928 va deciso a monte, con una regola scritta e uniforme, prima che la prima tranche vada in rete.</w:t>
      </w:r>
    </w:p>
    <w:p>
      <w:pPr>
        <w:spacing w:after="120" w:line="276"/>
        <w:jc w:val="both"/>
      </w:pPr>
      <w:r>
        <w:rPr>
          <w:rFonts w:ascii="Barlow Semi Condensed" w:cs="Barlow Semi Condensed" w:eastAsia="Barlow Semi Condensed" w:hAnsi="Barlow Semi Condensed"/>
          <w:b/>
          <w:bCs/>
          <w:sz w:val="24"/>
          <w:szCs w:val="24"/>
        </w:rPr>
        <w:t xml:space="preserve">3857 · La smentita, come la chiede l'opera.</w:t>
      </w:r>
      <w:r>
        <w:rPr>
          <w:rFonts w:ascii="Barlow Semi Condensed" w:cs="Barlow Semi Condensed" w:eastAsia="Barlow Semi Condensed" w:hAnsi="Barlow Semi Condensed"/>
          <w:sz w:val="24"/>
          <w:szCs w:val="24"/>
        </w:rPr>
        <w:t xml:space="preserve"> Con un documento, e con ringraziamento scritto: così il blocco 999 detta la forma della smentita che l'opera dichiara benvenuta. Questa serie deposita il proprio bersaglio in forma esplicita. La smentirebbe un atto dei cinque processi romani, o uno stenografico delle tre commissioni, in cui il nome comparisse con funzione diversa da quella di oggetto di una testimonianza riferita. Chi lo trovi lo produca, con segnatura e foglio: sarà incorporato per nota datata.</w:t>
      </w:r>
    </w:p>
    <w:p>
      <w:pPr>
        <w:spacing w:after="120" w:line="276"/>
        <w:jc w:val="both"/>
      </w:pPr>
      <w:r>
        <w:rPr>
          <w:rFonts w:ascii="Barlow Semi Condensed" w:cs="Barlow Semi Condensed" w:eastAsia="Barlow Semi Condensed" w:hAnsi="Barlow Semi Condensed"/>
          <w:b/>
          <w:bCs/>
          <w:sz w:val="24"/>
          <w:szCs w:val="24"/>
        </w:rPr>
        <w:t xml:space="preserve">3858 · Il secondo bersaglio di smentita.</w:t>
      </w:r>
      <w:r>
        <w:rPr>
          <w:rFonts w:ascii="Barlow Semi Condensed" w:cs="Barlow Semi Condensed" w:eastAsia="Barlow Semi Condensed" w:hAnsi="Barlow Semi Condensed"/>
          <w:sz w:val="24"/>
          <w:szCs w:val="24"/>
        </w:rPr>
        <w:t xml:space="preserve"> Un secondo bersaglio riguarda il fascicolo vivo e va scritto con la stessa nettezza del primo. Smentirebbe questa serie un provvedimento del procedimento sulle terze presenze — richiesta, ordinanza, delega — che disponesse un accertamento verso una persona o un'autorità straniera. Nulla di ciò risulta dalle direzioni pubbliche censite al blocco 883. Se un atto simile esistesse e fosse pubblico, l'intera lettura di perimetro qui proposta andrebbe rifatta da capo.</w:t>
      </w:r>
    </w:p>
    <w:p>
      <w:pPr>
        <w:spacing w:after="120" w:line="276"/>
        <w:jc w:val="both"/>
      </w:pPr>
      <w:r>
        <w:rPr>
          <w:rFonts w:ascii="Barlow Semi Condensed" w:cs="Barlow Semi Condensed" w:eastAsia="Barlow Semi Condensed" w:hAnsi="Barlow Semi Condensed"/>
          <w:b/>
          <w:bCs/>
          <w:sz w:val="24"/>
          <w:szCs w:val="24"/>
        </w:rPr>
        <w:t xml:space="preserve">3859 · Che cosa questa serie non ha stabilito (serie L).</w:t>
      </w:r>
      <w:r>
        <w:rPr>
          <w:rFonts w:ascii="Barlow Semi Condensed" w:cs="Barlow Semi Condensed" w:eastAsia="Barlow Semi Condensed" w:hAnsi="Barlow Semi Condensed"/>
          <w:sz w:val="24"/>
          <w:szCs w:val="24"/>
        </w:rPr>
        <w:t xml:space="preserve"> Nulla è stabilito sul contenuto del presunto avvertimento, che resta testimonianza contestata e tale rimane. Nulla è stabilito, in positivo o in negativo, sulle intenzioni di chicchessia. Non è stabilito che l'assenza del nome dal territorio provi qualcosa sul 1978: prova soltanto che due cantieri costruiti su cinque giudicati e su un fascicolo sulle presenze non ne avevano bisogno. E nessuna responsabilità penale è affermata, perché nessuna ne risulta accertata.</w:t>
      </w:r>
    </w:p>
    <w:p>
      <w:pPr>
        <w:spacing w:after="120" w:line="276"/>
        <w:jc w:val="both"/>
      </w:pPr>
      <w:r>
        <w:rPr>
          <w:rFonts w:ascii="Barlow Semi Condensed" w:cs="Barlow Semi Condensed" w:eastAsia="Barlow Semi Condensed" w:hAnsi="Barlow Semi Condensed"/>
          <w:b/>
          <w:bCs/>
          <w:sz w:val="24"/>
          <w:szCs w:val="24"/>
        </w:rPr>
        <w:t xml:space="preserve">3860 · Il congedo della serie.</w:t>
      </w:r>
      <w:r>
        <w:rPr>
          <w:rFonts w:ascii="Barlow Semi Condensed" w:cs="Barlow Semi Condensed" w:eastAsia="Barlow Semi Condensed" w:hAnsi="Barlow Semi Condensed"/>
          <w:sz w:val="24"/>
          <w:szCs w:val="24"/>
        </w:rPr>
        <w:t xml:space="preserve"> Il territorio ha risposto in modo compatto: novanta blocchi di registro e centoventi di fascicolo non contengono il nome, e questo è il risultato corretto e atteso. In cambio ha consegnato ciò che poche altre parti dell'opera possiedono, cioè gli indirizzi che chiuderebbero i quesiti aperti — gli atti digitalizzati della Corte d'assise di Roma, gli stenografici della Camera, i due file della Ford Library. Il vuoto è misurato; le sedi sono nominate.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cinquantunesima — Il meridiano e la valle: il Libro quattordicesimo</w:t>
      </w:r>
    </w:p>
    <w:p>
      <w:pPr>
        <w:spacing w:after="120" w:line="276"/>
        <w:jc w:val="both"/>
      </w:pPr>
      <w:r>
        <w:rPr>
          <w:rFonts w:ascii="Barlow Semi Condensed" w:cs="Barlow Semi Condensed" w:eastAsia="Barlow Semi Condensed" w:hAnsi="Barlow Semi Condensed"/>
          <w:i/>
          <w:iCs/>
          <w:sz w:val="24"/>
          <w:szCs w:val="24"/>
        </w:rPr>
        <w:t xml:space="preserve">Blocchi 3861-3930.</w:t>
      </w:r>
    </w:p>
    <w:p>
      <w:pPr>
        <w:spacing w:after="120" w:line="276"/>
        <w:jc w:val="both"/>
      </w:pPr>
      <w:r>
        <w:rPr>
          <w:rFonts w:ascii="Barlow Semi Condensed" w:cs="Barlow Semi Condensed" w:eastAsia="Barlow Semi Condensed" w:hAnsi="Barlow Semi Condensed"/>
          <w:b/>
          <w:bCs/>
          <w:sz w:val="24"/>
          <w:szCs w:val="24"/>
        </w:rPr>
        <w:t xml:space="preserve">3861 · Diciotto occorrenze, contate.</w:t>
      </w:r>
      <w:r>
        <w:rPr>
          <w:rFonts w:ascii="Barlow Semi Condensed" w:cs="Barlow Semi Condensed" w:eastAsia="Barlow Semi Condensed" w:hAnsi="Barlow Semi Condensed"/>
          <w:sz w:val="24"/>
          <w:szCs w:val="24"/>
        </w:rPr>
        <w:t xml:space="preserve"> Il Libro quattordicesimo del corpus, «Il meridiano e la valle», nomina Henry Kissinger diciotto volte in mille blocchi: diciassette dentro i blocchi 2, 35, 44, 242, 247, 285, 295, 402, 405, 466, 692, 696, 701, 779, 839, 934 e 974, la diciottesima nel colophon di chiusura. La verifica è meccanica e ripetibile su il-meridiano-e-la-valle-mille-blocchi.md. È il punto di partenza di questa serie, e va contato prima di essere interpretato.</w:t>
      </w:r>
    </w:p>
    <w:p>
      <w:pPr>
        <w:spacing w:after="120" w:line="276"/>
        <w:jc w:val="both"/>
      </w:pPr>
      <w:r>
        <w:rPr>
          <w:rFonts w:ascii="Barlow Semi Condensed" w:cs="Barlow Semi Condensed" w:eastAsia="Barlow Semi Condensed" w:hAnsi="Barlow Semi Condensed"/>
          <w:b/>
          <w:bCs/>
          <w:sz w:val="24"/>
          <w:szCs w:val="24"/>
        </w:rPr>
        <w:t xml:space="preserve">3862 · Che cosa quelle diciassette dicono.</w:t>
      </w:r>
      <w:r>
        <w:rPr>
          <w:rFonts w:ascii="Barlow Semi Condensed" w:cs="Barlow Semi Condensed" w:eastAsia="Barlow Semi Condensed" w:hAnsi="Barlow Semi Condensed"/>
          <w:sz w:val="24"/>
          <w:szCs w:val="24"/>
        </w:rPr>
        <w:t xml:space="preserve"> Passate in rassegna una per una, sedici delle diciassette occorrenze richiamano l'opera Kissinger come metodo — l'anello debole, il carattere condiviso, l'albero letto all'indietro, la barriera della Farnesina — e una sola, il blocco 402, la richiama per contenuto, elencando Angola e Cile fra gli archi statali documentati. Nel Libro quattordicesimo il nome funziona da metro di misura e quasi mai da oggetto d'indagine.</w:t>
      </w:r>
    </w:p>
    <w:p>
      <w:pPr>
        <w:spacing w:after="120" w:line="276"/>
        <w:jc w:val="both"/>
      </w:pPr>
      <w:r>
        <w:rPr>
          <w:rFonts w:ascii="Barlow Semi Condensed" w:cs="Barlow Semi Condensed" w:eastAsia="Barlow Semi Condensed" w:hAnsi="Barlow Semi Condensed"/>
          <w:b/>
          <w:bCs/>
          <w:sz w:val="24"/>
          <w:szCs w:val="24"/>
        </w:rPr>
        <w:t xml:space="preserve">3863 · Africa: zero occorrenze.</w:t>
      </w:r>
      <w:r>
        <w:rPr>
          <w:rFonts w:ascii="Barlow Semi Condensed" w:cs="Barlow Semi Condensed" w:eastAsia="Barlow Semi Condensed" w:hAnsi="Barlow Semi Condensed"/>
          <w:sz w:val="24"/>
          <w:szCs w:val="24"/>
        </w:rPr>
        <w:t xml:space="preserve"> Rovesciata la direzione, l'esito è più netto. Nel file kissinger-mille-blocchi-il-codice-e-la-sua-trasmissione.md la stringa «Africa» non compare mai: zero riscontri in mille blocchi, e con essa zero per Sudafrica, apartheid, Namibia, Rössing, Pretoria, Swakopmund, Botha, uranio. Il blocco 466 del Libro quattordicesimo lo dichiarava; questa serie lo ha rieseguito e lo conferma. Stato Zero misurato, non supposto.</w:t>
      </w:r>
    </w:p>
    <w:p>
      <w:pPr>
        <w:spacing w:after="120" w:line="276"/>
        <w:jc w:val="both"/>
      </w:pPr>
      <w:r>
        <w:rPr>
          <w:rFonts w:ascii="Barlow Semi Condensed" w:cs="Barlow Semi Condensed" w:eastAsia="Barlow Semi Condensed" w:hAnsi="Barlow Semi Condensed"/>
          <w:b/>
          <w:bCs/>
          <w:sz w:val="24"/>
          <w:szCs w:val="24"/>
        </w:rPr>
        <w:t xml:space="preserve">3864 · Cercare Angola senza confini.</w:t>
      </w:r>
      <w:r>
        <w:rPr>
          <w:rFonts w:ascii="Barlow Semi Condensed" w:cs="Barlow Semi Condensed" w:eastAsia="Barlow Semi Condensed" w:hAnsi="Barlow Semi Condensed"/>
          <w:sz w:val="24"/>
          <w:szCs w:val="24"/>
        </w:rPr>
        <w:t xml:space="preserve"> Cercare «Angola» senza i confini di parola restituisce, nell'opera Kissinger, trentasei riscontri: nessuno reale, perché tutti stanno dentro «triangolazione». Il blocco 401 del Libro quattordicesimo insegna il meccanismo sul proprio file; questa serie l'ha replicato sull'altro con esito identico. Chi verificasse la presenza dell'Africa australe in quell'opera senza l'opzione attiva otterrebbe una conferma inesistente, e la scriverebbe.</w:t>
      </w:r>
    </w:p>
    <w:p>
      <w:pPr>
        <w:spacing w:after="120" w:line="276"/>
        <w:jc w:val="both"/>
      </w:pPr>
      <w:r>
        <w:rPr>
          <w:rFonts w:ascii="Barlow Semi Condensed" w:cs="Barlow Semi Condensed" w:eastAsia="Barlow Semi Condensed" w:hAnsi="Barlow Semi Condensed"/>
          <w:b/>
          <w:bCs/>
          <w:sz w:val="24"/>
          <w:szCs w:val="24"/>
        </w:rPr>
        <w:t xml:space="preserve">3865 · La diagnosi prima dell'interpretazione.</w:t>
      </w:r>
      <w:r>
        <w:rPr>
          <w:rFonts w:ascii="Barlow Semi Condensed" w:cs="Barlow Semi Condensed" w:eastAsia="Barlow Semi Condensed" w:hAnsi="Barlow Semi Condensed"/>
          <w:sz w:val="24"/>
          <w:szCs w:val="24"/>
        </w:rPr>
        <w:t xml:space="preserve"> Prima di interrogare quel silenzio va applicata la procedura a due tempi fissata al blocco 642 dell'opera Kissinger e ripresa al blocco 467 del Libro quattordicesimo: si misura il vuoto, poi lo si diagnostica come specializzazione delle fonti. L'opera Kissinger fu costruita su carte italiane e atlantiche relative a un solo caso giudiziario. L'assenza dell'Africa australe è bibliografica prima di essere strutturale.</w:t>
      </w:r>
    </w:p>
    <w:p>
      <w:pPr>
        <w:spacing w:after="120" w:line="276"/>
        <w:jc w:val="both"/>
      </w:pPr>
      <w:r>
        <w:rPr>
          <w:rFonts w:ascii="Barlow Semi Condensed" w:cs="Barlow Semi Condensed" w:eastAsia="Barlow Semi Condensed" w:hAnsi="Barlow Semi Condensed"/>
          <w:b/>
          <w:bCs/>
          <w:sz w:val="24"/>
          <w:szCs w:val="24"/>
        </w:rPr>
        <w:t xml:space="preserve">3866 · Il verbale del 1974 prestato come regola.</w:t>
      </w:r>
      <w:r>
        <w:rPr>
          <w:rFonts w:ascii="Barlow Semi Condensed" w:cs="Barlow Semi Condensed" w:eastAsia="Barlow Semi Condensed" w:hAnsi="Barlow Semi Condensed"/>
          <w:sz w:val="24"/>
          <w:szCs w:val="24"/>
        </w:rPr>
        <w:t xml:space="preserve"> Al blocco 44 il Libro quattordicesimo adotta come esempio di metodo l'accertamento del corpus sul verbale dello Studio Ovale del 25 settembre 1974 — FRUS 1969-1976 E-15 parte 2, documento 350, seconda edizione riveduta, file 1552802 della Ford Library — dove la frase più citata non compare. La lezione trasferita è che testimonianza e documento non coincidono, e vale sulle dichiarazioni dei viventi del territorio.</w:t>
      </w:r>
    </w:p>
    <w:p>
      <w:pPr>
        <w:spacing w:after="120" w:line="276"/>
        <w:jc w:val="both"/>
      </w:pPr>
      <w:r>
        <w:rPr>
          <w:rFonts w:ascii="Barlow Semi Condensed" w:cs="Barlow Semi Condensed" w:eastAsia="Barlow Semi Condensed" w:hAnsi="Barlow Semi Condensed"/>
          <w:b/>
          <w:bCs/>
          <w:sz w:val="24"/>
          <w:szCs w:val="24"/>
        </w:rPr>
        <w:t xml:space="preserve">3867 · L'anello debole prestato ai lignaggi.</w:t>
      </w:r>
      <w:r>
        <w:rPr>
          <w:rFonts w:ascii="Barlow Semi Condensed" w:cs="Barlow Semi Condensed" w:eastAsia="Barlow Semi Condensed" w:hAnsi="Barlow Semi Condensed"/>
          <w:sz w:val="24"/>
          <w:szCs w:val="24"/>
        </w:rPr>
        <w:t xml:space="preserve"> Dal blocco 169 dell'opera Kissinger il Libro quattordicesimo preleva, al proprio blocco 295, la regola dell'anello debole e la applica al sangue: una discendenza vale il suo passaggio più debole. Il prestito è dichiarato e corretto. Chi voglia contestarlo deve mostrare una catena genealogica in cui un anello congetturale non abbassi il grado dell'insieme; nessuna delle linee sudafricane della quarta serie offre quel controesempio.</w:t>
      </w:r>
    </w:p>
    <w:p>
      <w:pPr>
        <w:spacing w:after="120" w:line="276"/>
        <w:jc w:val="both"/>
      </w:pPr>
      <w:r>
        <w:rPr>
          <w:rFonts w:ascii="Barlow Semi Condensed" w:cs="Barlow Semi Condensed" w:eastAsia="Barlow Semi Condensed" w:hAnsi="Barlow Semi Condensed"/>
          <w:b/>
          <w:bCs/>
          <w:sz w:val="24"/>
          <w:szCs w:val="24"/>
        </w:rPr>
        <w:t xml:space="preserve">3868 · Il carattere condiviso non individua (serie LI).</w:t>
      </w:r>
      <w:r>
        <w:rPr>
          <w:rFonts w:ascii="Barlow Semi Condensed" w:cs="Barlow Semi Condensed" w:eastAsia="Barlow Semi Condensed" w:hAnsi="Barlow Semi Condensed"/>
          <w:sz w:val="24"/>
          <w:szCs w:val="24"/>
        </w:rPr>
        <w:t xml:space="preserve"> Un passaporto sudafricano è dichiarato, al blocco 247, carattere che non seleziona alcun gruppo, e la fonte esplicita è il blocco 396 dell'opera Kissinger sulla cladistica. Il prestito regge perché la struttura è identica: un tratto posseduto da milioni non individua. Bersaglio di smentita rovesciato: esibire un carattere raro e arbitrario, condiviso dai soli nomi del Libro quattordicesimo, e la classificazione cambierebbe.</w:t>
      </w:r>
    </w:p>
    <w:p>
      <w:pPr>
        <w:spacing w:after="120" w:line="276"/>
        <w:jc w:val="both"/>
      </w:pPr>
      <w:r>
        <w:rPr>
          <w:rFonts w:ascii="Barlow Semi Condensed" w:cs="Barlow Semi Condensed" w:eastAsia="Barlow Semi Condensed" w:hAnsi="Barlow Semi Condensed"/>
          <w:b/>
          <w:bCs/>
          <w:sz w:val="24"/>
          <w:szCs w:val="24"/>
        </w:rPr>
        <w:t xml:space="preserve">3869 · Il memorandum del 1969 ha un numero.</w:t>
      </w:r>
      <w:r>
        <w:rPr>
          <w:rFonts w:ascii="Barlow Semi Condensed" w:cs="Barlow Semi Condensed" w:eastAsia="Barlow Semi Condensed" w:hAnsi="Barlow Semi Condensed"/>
          <w:sz w:val="24"/>
          <w:szCs w:val="24"/>
        </w:rPr>
        <w:t xml:space="preserve"> I blocchi 466 e 779 evocano «lo studio americano sulla politica verso l'Africa australe del 1969» senza mai numerarlo. Il quesito da portare in sede è elementare: acquisire il memorandum di studio per la sicurezza nazionale che lo dispose, datato aprile 1969, con numero, data esatta e firma, e verbalizzare se rechi la sottoscrizione dell'Assistente per la sicurezza nazionale in carica dal 20 gennaio 1969.</w:t>
      </w:r>
    </w:p>
    <w:p>
      <w:pPr>
        <w:spacing w:after="120" w:line="276"/>
        <w:jc w:val="both"/>
      </w:pPr>
      <w:r>
        <w:rPr>
          <w:rFonts w:ascii="Barlow Semi Condensed" w:cs="Barlow Semi Condensed" w:eastAsia="Barlow Semi Condensed" w:hAnsi="Barlow Semi Condensed"/>
          <w:b/>
          <w:bCs/>
          <w:sz w:val="24"/>
          <w:szCs w:val="24"/>
        </w:rPr>
        <w:t xml:space="preserve">3870 · Il memorandum decisionale del 1970.</w:t>
      </w:r>
      <w:r>
        <w:rPr>
          <w:rFonts w:ascii="Barlow Semi Condensed" w:cs="Barlow Semi Condensed" w:eastAsia="Barlow Semi Condensed" w:hAnsi="Barlow Semi Condensed"/>
          <w:sz w:val="24"/>
          <w:szCs w:val="24"/>
        </w:rPr>
        <w:t xml:space="preserve"> Allo studio seguì una decisione, e il Libro quattordicesimo la nomina soltanto per perifrasi. La ricerca deve procurarsi il memorandum decisionale del gennaio 1970 che scelse fra le opzioni predisposte, leggerne il dispositivo e non il soprannome giornalistico che lo accompagna da decenni. Un'opzione di politica estera si cita dal testo deliberato; l'etichetta appiccicata dopo è materia di lessico, non di archivio.</w:t>
      </w:r>
    </w:p>
    <w:p>
      <w:pPr>
        <w:spacing w:after="120" w:line="276"/>
        <w:jc w:val="both"/>
      </w:pPr>
      <w:r>
        <w:rPr>
          <w:rFonts w:ascii="Barlow Semi Condensed" w:cs="Barlow Semi Condensed" w:eastAsia="Barlow Semi Condensed" w:hAnsi="Barlow Semi Condensed"/>
          <w:b/>
          <w:bCs/>
          <w:sz w:val="24"/>
          <w:szCs w:val="24"/>
        </w:rPr>
        <w:t xml:space="preserve">3871 · Yorba Linda, gli institutional files.</w:t>
      </w:r>
      <w:r>
        <w:rPr>
          <w:rFonts w:ascii="Barlow Semi Condensed" w:cs="Barlow Semi Condensed" w:eastAsia="Barlow Semi Condensed" w:hAnsi="Barlow Semi Condensed"/>
          <w:sz w:val="24"/>
          <w:szCs w:val="24"/>
        </w:rPr>
        <w:t xml:space="preserve"> La sede che chiude i due quesiti precedenti ha un indirizzo: la Richard Nixon Presidential Library di Yorba Linda, in California, dove sono conservati gli institutional files del Consiglio per la sicurezza nazionale, serie che raccoglie memorandum di studio, verbali dei gruppi di revisione e memorandum decisionali. È sede pubblica, con inventari in rete. Nessun blocco del Libro quattordicesimo la nomina, e il territorio ne aveva bisogno.</w:t>
      </w:r>
    </w:p>
    <w:p>
      <w:pPr>
        <w:spacing w:after="120" w:line="276"/>
        <w:jc w:val="both"/>
      </w:pPr>
      <w:r>
        <w:rPr>
          <w:rFonts w:ascii="Barlow Semi Condensed" w:cs="Barlow Semi Condensed" w:eastAsia="Barlow Semi Condensed" w:hAnsi="Barlow Semi Condensed"/>
          <w:b/>
          <w:bCs/>
          <w:sz w:val="24"/>
          <w:szCs w:val="24"/>
        </w:rPr>
        <w:t xml:space="preserve">3872 · Il volume FRUS che il corpus non cita.</w:t>
      </w:r>
      <w:r>
        <w:rPr>
          <w:rFonts w:ascii="Barlow Semi Condensed" w:cs="Barlow Semi Condensed" w:eastAsia="Barlow Semi Condensed" w:hAnsi="Barlow Semi Condensed"/>
          <w:sz w:val="24"/>
          <w:szCs w:val="24"/>
        </w:rPr>
        <w:t xml:space="preserve"> Citato con precisione per il verbale italiano del 1974, il volume FRUS 1969-1976 E-15 parte 2 ha un gemello che il corpus non nomina mai: quello della stessa serie dedicato all'Africa australe. Bersaglio a costo nullo: acquisirne segnatura, anno e indice dei documenti, verificare quali rechino la firma o la presenza del Segretario di Stato, allegare l'elenco al Libro quattordicesimo come apparato mancante.</w:t>
      </w:r>
    </w:p>
    <w:p>
      <w:pPr>
        <w:spacing w:after="120" w:line="276"/>
        <w:jc w:val="both"/>
      </w:pPr>
      <w:r>
        <w:rPr>
          <w:rFonts w:ascii="Barlow Semi Condensed" w:cs="Barlow Semi Condensed" w:eastAsia="Barlow Semi Condensed" w:hAnsi="Barlow Semi Condensed"/>
          <w:b/>
          <w:bCs/>
          <w:sz w:val="24"/>
          <w:szCs w:val="24"/>
        </w:rPr>
        <w:t xml:space="preserve">3873 · Un piano uno che non tocca nessuno.</w:t>
      </w:r>
      <w:r>
        <w:rPr>
          <w:rFonts w:ascii="Barlow Semi Condensed" w:cs="Barlow Semi Condensed" w:eastAsia="Barlow Semi Condensed" w:hAnsi="Barlow Semi Condensed"/>
          <w:sz w:val="24"/>
          <w:szCs w:val="24"/>
        </w:rPr>
        <w:t xml:space="preserve"> Se quei due memorandum recano la firma attesa, fra il nome di questa campagna e il territorio del Libro quattordicesimo esiste un rapporto diretto documentato: piano uno. Va però detto subito che cosa quel piano uno raggiunga. Raggiunge una politica statale verso una regione, negli anni 1969-1970. Non raggiunge Rössing, non raggiunge Swakopmund, non raggiunge alcuna delle persone viventi che quell'opera nomina.</w:t>
      </w:r>
    </w:p>
    <w:p>
      <w:pPr>
        <w:spacing w:after="120" w:line="276"/>
        <w:jc w:val="both"/>
      </w:pPr>
      <w:r>
        <w:rPr>
          <w:rFonts w:ascii="Barlow Semi Condensed" w:cs="Barlow Semi Condensed" w:eastAsia="Barlow Semi Condensed" w:hAnsi="Barlow Semi Condensed"/>
          <w:b/>
          <w:bCs/>
          <w:sz w:val="24"/>
          <w:szCs w:val="24"/>
        </w:rPr>
        <w:t xml:space="preserve">3874 · Che cosa smentirebbe la firma.</w:t>
      </w:r>
      <w:r>
        <w:rPr>
          <w:rFonts w:ascii="Barlow Semi Condensed" w:cs="Barlow Semi Condensed" w:eastAsia="Barlow Semi Condensed" w:hAnsi="Barlow Semi Condensed"/>
          <w:sz w:val="24"/>
          <w:szCs w:val="24"/>
        </w:rPr>
        <w:t xml:space="preserve"> Dichiarato in anticipo, come vuole il blocco 191, il bersaglio di smentita del quesito precedente suona così: se il memorandum di studio risultasse emesso dal segretariato esecutivo senza sottoscrizione dell'Assistente, o se il memorandum decisionale portasse altra firma, il nesso scenderebbe da rapporto diretto a cornice istituzionale. La verifica è tipografica e si compie sulla riproduzione facsimile, non sulla trascrizione editoriale.</w:t>
      </w:r>
    </w:p>
    <w:p>
      <w:pPr>
        <w:spacing w:after="120" w:line="276"/>
        <w:jc w:val="both"/>
      </w:pPr>
      <w:r>
        <w:rPr>
          <w:rFonts w:ascii="Barlow Semi Condensed" w:cs="Barlow Semi Condensed" w:eastAsia="Barlow Semi Condensed" w:hAnsi="Barlow Semi Condensed"/>
          <w:b/>
          <w:bCs/>
          <w:sz w:val="24"/>
          <w:szCs w:val="24"/>
        </w:rPr>
        <w:t xml:space="preserve">3875 · Il 27 settembre 1974, coordinata.</w:t>
      </w:r>
      <w:r>
        <w:rPr>
          <w:rFonts w:ascii="Barlow Semi Condensed" w:cs="Barlow Semi Condensed" w:eastAsia="Barlow Semi Condensed" w:hAnsi="Barlow Semi Condensed"/>
          <w:sz w:val="24"/>
          <w:szCs w:val="24"/>
        </w:rPr>
        <w:t xml:space="preserve"> Il giorno in cui il Consiglio delle Nazioni Unite per la Namibia adottò il Decreto n. 1 — blocchi 163, 349 e 407 — la carica di Segretario di Stato era occupata dal 22 settembre 1973. La coincidenza è una coordinata cronologica e nient'altro, secondo la regola del blocco 960: una data non argomenta. Si registra perché serve a datare i quesiti che seguono, non a suggerirne l'esito.</w:t>
      </w:r>
    </w:p>
    <w:p>
      <w:pPr>
        <w:spacing w:after="120" w:line="276"/>
        <w:jc w:val="both"/>
      </w:pPr>
      <w:r>
        <w:rPr>
          <w:rFonts w:ascii="Barlow Semi Condensed" w:cs="Barlow Semi Condensed" w:eastAsia="Barlow Semi Condensed" w:hAnsi="Barlow Semi Condensed"/>
          <w:b/>
          <w:bCs/>
          <w:sz w:val="24"/>
          <w:szCs w:val="24"/>
        </w:rPr>
        <w:t xml:space="preserve">3876 · Il voto americano sul Decreto.</w:t>
      </w:r>
      <w:r>
        <w:rPr>
          <w:rFonts w:ascii="Barlow Semi Condensed" w:cs="Barlow Semi Condensed" w:eastAsia="Barlow Semi Condensed" w:hAnsi="Barlow Semi Condensed"/>
          <w:sz w:val="24"/>
          <w:szCs w:val="24"/>
        </w:rPr>
        <w:t xml:space="preserve"> Quesito completato. Il blocco 350 chiede il dettaglio del voto con cui l'Assemblea Generale fece proprio il Decreto n. 1 nel dicembre 1974; questa serie vi aggiunge l'estrazione, dal resoconto stenografico, della posizione della delegazione statunitense e della sua dichiarazione di voto, e, a College Park, del telegramma d'istruzione che la precedette. L'esito, quale che sia, va pubblicato.</w:t>
      </w:r>
    </w:p>
    <w:p>
      <w:pPr>
        <w:spacing w:after="120" w:line="276"/>
        <w:jc w:val="both"/>
      </w:pPr>
      <w:r>
        <w:rPr>
          <w:rFonts w:ascii="Barlow Semi Condensed" w:cs="Barlow Semi Condensed" w:eastAsia="Barlow Semi Condensed" w:hAnsi="Barlow Semi Condensed"/>
          <w:b/>
          <w:bCs/>
          <w:sz w:val="24"/>
          <w:szCs w:val="24"/>
        </w:rPr>
        <w:t xml:space="preserve">3877 · La quota iraniana e chi la vide.</w:t>
      </w:r>
      <w:r>
        <w:rPr>
          <w:rFonts w:ascii="Barlow Semi Condensed" w:cs="Barlow Semi Condensed" w:eastAsia="Barlow Semi Condensed" w:hAnsi="Barlow Semi Condensed"/>
          <w:sz w:val="24"/>
          <w:szCs w:val="24"/>
        </w:rPr>
        <w:t xml:space="preserve"> Fra i soci di minoranza di Rössing il blocco 342 registra un veicolo statale iraniano entrato sotto la monarchia e rimasto nella compagine dopo il 1979. Quesito nuovo, che il Libro quattordicesimo non poteva formulare: le carte diplomatiche statunitensi degli anni 1974-1977 trattano quella partecipazione? La sede è la banca dati dei telegrammi del Dipartimento di Stato a College Park, interrogabile per parola e per data.</w:t>
      </w:r>
    </w:p>
    <w:p>
      <w:pPr>
        <w:spacing w:after="120" w:line="276"/>
        <w:jc w:val="both"/>
      </w:pPr>
      <w:r>
        <w:rPr>
          <w:rFonts w:ascii="Barlow Semi Condensed" w:cs="Barlow Semi Condensed" w:eastAsia="Barlow Semi Condensed" w:hAnsi="Barlow Semi Condensed"/>
          <w:b/>
          <w:bCs/>
          <w:sz w:val="24"/>
          <w:szCs w:val="24"/>
        </w:rPr>
        <w:t xml:space="preserve">3878 · La società statale nella compagine.</w:t>
      </w:r>
      <w:r>
        <w:rPr>
          <w:rFonts w:ascii="Barlow Semi Condensed" w:cs="Barlow Semi Condensed" w:eastAsia="Barlow Semi Condensed" w:hAnsi="Barlow Semi Condensed"/>
          <w:sz w:val="24"/>
          <w:szCs w:val="24"/>
        </w:rPr>
        <w:t xml:space="preserve"> Definita al blocco 343 il legame formale più diretto fra l'impianto namibiano e Pretoria, la presenza della società sudafricana per lo sviluppo industriale fra gli azionisti genera un quesito rivolto a Washington: quel legame compare nella documentazione consolare o commerciale americana del periodo? Se non compare, lo Stato Zero si scrive; se compare, resta un fatto societario fra enti e non diventa una committenza.</w:t>
      </w:r>
    </w:p>
    <w:p>
      <w:pPr>
        <w:spacing w:after="120" w:line="276"/>
        <w:jc w:val="both"/>
      </w:pPr>
      <w:r>
        <w:rPr>
          <w:rFonts w:ascii="Barlow Semi Condensed" w:cs="Barlow Semi Condensed" w:eastAsia="Barlow Semi Condensed" w:hAnsi="Barlow Semi Condensed"/>
          <w:b/>
          <w:bCs/>
          <w:sz w:val="24"/>
          <w:szCs w:val="24"/>
        </w:rPr>
        <w:t xml:space="preserve">3879 · L'Aia 1971 e l'esposizione scritta.</w:t>
      </w:r>
      <w:r>
        <w:rPr>
          <w:rFonts w:ascii="Barlow Semi Condensed" w:cs="Barlow Semi Condensed" w:eastAsia="Barlow Semi Condensed" w:hAnsi="Barlow Semi Condensed"/>
          <w:sz w:val="24"/>
          <w:szCs w:val="24"/>
        </w:rPr>
        <w:t xml:space="preserve"> Preceduto da una fase scritta e orale, il parere consultivo del 21 giugno 1971 — cardine dei blocchi 162, 351, 408 e 950 — ammetteva il concorso degli Stati partecipanti. Bersaglio preciso: verificare nei Pleadings, Oral Arguments, Documents della Corte se il governo statunitense depositò un'esposizione e chi la firmò. Il volume è a stampa, sta nelle biblioteche di diritto internazionale, e nessuno lo ha aperto per questa domanda.</w:t>
      </w:r>
    </w:p>
    <w:p>
      <w:pPr>
        <w:spacing w:after="120" w:line="276"/>
        <w:jc w:val="both"/>
      </w:pPr>
      <w:r>
        <w:rPr>
          <w:rFonts w:ascii="Barlow Semi Condensed" w:cs="Barlow Semi Condensed" w:eastAsia="Barlow Semi Condensed" w:hAnsi="Barlow Semi Condensed"/>
          <w:b/>
          <w:bCs/>
          <w:sz w:val="24"/>
          <w:szCs w:val="24"/>
        </w:rPr>
        <w:t xml:space="preserve">3880 · Nessun documento su Rössing.</w:t>
      </w:r>
      <w:r>
        <w:rPr>
          <w:rFonts w:ascii="Barlow Semi Condensed" w:cs="Barlow Semi Condensed" w:eastAsia="Barlow Semi Condensed" w:hAnsi="Barlow Semi Condensed"/>
          <w:sz w:val="24"/>
          <w:szCs w:val="24"/>
        </w:rPr>
        <w:t xml:space="preserve"> Va verbalizzato per intero uno Stato Zero: né nel corpus né in alcuna fonte raggiunta da questa campagna esiste un documento che nomini insieme Henry Kissinger e la Rössing Uranium Limited. Le sedi che lo chiuderebbero sono già elencate dal Libro quattordicesimo ai blocchi 347, 366 e 417 — Kew per i fascicoli energetici britannici, Windhoek per i registri minerari, Pretoria per l'ente atomico — cui va aggiunto College Park.</w:t>
      </w:r>
    </w:p>
    <w:p>
      <w:pPr>
        <w:spacing w:after="120" w:line="276"/>
        <w:jc w:val="both"/>
      </w:pPr>
      <w:r>
        <w:rPr>
          <w:rFonts w:ascii="Barlow Semi Condensed" w:cs="Barlow Semi Condensed" w:eastAsia="Barlow Semi Condensed" w:hAnsi="Barlow Semi Condensed"/>
          <w:b/>
          <w:bCs/>
          <w:sz w:val="24"/>
          <w:szCs w:val="24"/>
        </w:rPr>
        <w:t xml:space="preserve">3881 · Un contratto di lavoro non incontra un ministro.</w:t>
      </w:r>
      <w:r>
        <w:rPr>
          <w:rFonts w:ascii="Barlow Semi Condensed" w:cs="Barlow Semi Condensed" w:eastAsia="Barlow Semi Condensed" w:hAnsi="Barlow Semi Condensed"/>
          <w:sz w:val="24"/>
          <w:szCs w:val="24"/>
        </w:rPr>
        <w:t xml:space="preserve"> Stabilisce il blocco 954 che il rapporto di lavoro di Klaus Thiel presso un'impresa del cantiere è un fatto del dipendente e non del regime. Ne discende per questa serie un divieto ulteriore: nessun blocco può accostare quel contratto alla politica americana verso l'Africa australe, perché fra i due livelli manca il termine medio che il blocco 963 pretende e che nessun archivio ha finora fornito.</w:t>
      </w:r>
    </w:p>
    <w:p>
      <w:pPr>
        <w:spacing w:after="120" w:line="276"/>
        <w:jc w:val="both"/>
      </w:pPr>
      <w:r>
        <w:rPr>
          <w:rFonts w:ascii="Barlow Semi Condensed" w:cs="Barlow Semi Condensed" w:eastAsia="Barlow Semi Condensed" w:hAnsi="Barlow Semi Condensed"/>
          <w:b/>
          <w:bCs/>
          <w:sz w:val="24"/>
          <w:szCs w:val="24"/>
        </w:rPr>
        <w:t xml:space="preserve">3882 · Savannah e le carte americane.</w:t>
      </w:r>
      <w:r>
        <w:rPr>
          <w:rFonts w:ascii="Barlow Semi Condensed" w:cs="Barlow Semi Condensed" w:eastAsia="Barlow Semi Condensed" w:hAnsi="Barlow Semi Condensed"/>
          <w:sz w:val="24"/>
          <w:szCs w:val="24"/>
        </w:rPr>
        <w:t xml:space="preserve"> Collocata dal blocco 205 fra l'ottobre 1975 e il marzo 1976, l'operazione sudafricana in Angola rinvia ai fondi statunitensi declassificati. Il quesito che questa serie aggiunge è di perimetro: quali documenti americani di quei mesi trattano l'intervento sudafricano, con quale segnatura, e in quali di essi il nome della campagna compaia fra i presenti a una riunione. Domanda aperta, sede nominata, esito ignoto.</w:t>
      </w:r>
    </w:p>
    <w:p>
      <w:pPr>
        <w:spacing w:after="120" w:line="276"/>
        <w:jc w:val="both"/>
      </w:pPr>
      <w:r>
        <w:rPr>
          <w:rFonts w:ascii="Barlow Semi Condensed" w:cs="Barlow Semi Condensed" w:eastAsia="Barlow Semi Condensed" w:hAnsi="Barlow Semi Condensed"/>
          <w:b/>
          <w:bCs/>
          <w:sz w:val="24"/>
          <w:szCs w:val="24"/>
        </w:rPr>
        <w:t xml:space="preserve">3883 · Alvor, 15 gennaio 1975.</w:t>
      </w:r>
      <w:r>
        <w:rPr>
          <w:rFonts w:ascii="Barlow Semi Condensed" w:cs="Barlow Semi Condensed" w:eastAsia="Barlow Semi Condensed" w:hAnsi="Barlow Semi Condensed"/>
          <w:sz w:val="24"/>
          <w:szCs w:val="24"/>
        </w:rPr>
        <w:t xml:space="preserve"> L'unico punto del corpus in cui Angola e il nome di questa campagna stanno nella stessa cornice documentale è la scheda moro-ministro-esteri/originali/portogallo-santa-sede-1969-1974.md, che data l'accordo di Alvor al 15 gennaio 1975 e ne fissa la ratifica al 28. Quella scheda non nomina Kissinger a proposito dell'accordo: lo nomina a proposito di Helsinki. La distinzione va tenuta e non compressa.</w:t>
      </w:r>
    </w:p>
    <w:p>
      <w:pPr>
        <w:spacing w:after="120" w:line="276"/>
        <w:jc w:val="both"/>
      </w:pPr>
      <w:r>
        <w:rPr>
          <w:rFonts w:ascii="Barlow Semi Condensed" w:cs="Barlow Semi Condensed" w:eastAsia="Barlow Semi Condensed" w:hAnsi="Barlow Semi Condensed"/>
          <w:b/>
          <w:bCs/>
          <w:sz w:val="24"/>
          <w:szCs w:val="24"/>
        </w:rPr>
        <w:t xml:space="preserve">3884 · Il fondo Zagari, quesito allargato.</w:t>
      </w:r>
      <w:r>
        <w:rPr>
          <w:rFonts w:ascii="Barlow Semi Condensed" w:cs="Barlow Semi Condensed" w:eastAsia="Barlow Semi Condensed" w:hAnsi="Barlow Semi Condensed"/>
          <w:sz w:val="24"/>
          <w:szCs w:val="24"/>
        </w:rPr>
        <w:t xml:space="preserve"> Al fondo Mario Zagari, conservato all'Archivio storico del Senato a Roma, il blocco 403 pone una domanda che questa serie fa propria e allarga: oltre al fascicolo sulle colonie portoghesi, quel fondo conserva carte sull'embargo del 1977 o sulla politica americana verso Pretoria? L'inventario è consultabile in rete, la risposta si ottiene in sala, e l'esito negativo vale quanto quello positivo.</w:t>
      </w:r>
    </w:p>
    <w:p>
      <w:pPr>
        <w:spacing w:after="120" w:line="276"/>
        <w:jc w:val="both"/>
      </w:pPr>
      <w:r>
        <w:rPr>
          <w:rFonts w:ascii="Barlow Semi Condensed" w:cs="Barlow Semi Condensed" w:eastAsia="Barlow Semi Condensed" w:hAnsi="Barlow Semi Condensed"/>
          <w:b/>
          <w:bCs/>
          <w:sz w:val="24"/>
          <w:szCs w:val="24"/>
        </w:rPr>
        <w:t xml:space="preserve">3885 · Archi statali e verticali.</w:t>
      </w:r>
      <w:r>
        <w:rPr>
          <w:rFonts w:ascii="Barlow Semi Condensed" w:cs="Barlow Semi Condensed" w:eastAsia="Barlow Semi Condensed" w:hAnsi="Barlow Semi Condensed"/>
          <w:sz w:val="24"/>
          <w:szCs w:val="24"/>
        </w:rPr>
        <w:t xml:space="preserve"> In aldo-moro-una-guerra-senza-fine-parte-terza.md, al paragrafo sul salto vietato, il corpus scrive che gli archi documentati di Kissinger sono statali e verticali — Cile, Angola, i fondi ai servizi italiani — mentre verso l'eversione privata restano convergenze di cornice. È la formula che questa serie applica al proprio territorio: se un arco esiste, sarà statale, e non toccherà imprese californiane fondate vent'anni dopo.</w:t>
      </w:r>
    </w:p>
    <w:p>
      <w:pPr>
        <w:spacing w:after="120" w:line="276"/>
        <w:jc w:val="both"/>
      </w:pPr>
      <w:r>
        <w:rPr>
          <w:rFonts w:ascii="Barlow Semi Condensed" w:cs="Barlow Semi Condensed" w:eastAsia="Barlow Semi Condensed" w:hAnsi="Barlow Semi Condensed"/>
          <w:b/>
          <w:bCs/>
          <w:sz w:val="24"/>
          <w:szCs w:val="24"/>
        </w:rPr>
        <w:t xml:space="preserve">3886 · Che cosa falsificherebbe l'arco angolano.</w:t>
      </w:r>
      <w:r>
        <w:rPr>
          <w:rFonts w:ascii="Barlow Semi Condensed" w:cs="Barlow Semi Condensed" w:eastAsia="Barlow Semi Condensed" w:hAnsi="Barlow Semi Condensed"/>
          <w:sz w:val="24"/>
          <w:szCs w:val="24"/>
        </w:rPr>
        <w:t xml:space="preserve"> Rovescerebbe la lettura, e va dichiarato: se i documenti del 1975-1976 mostrassero che l'azione americana in Angola fu decisa, condotta e conclusa senza contatto con Pretoria, l'arco angolano resterebbe verticale e privo di ramificazione australe. Se mostrassero il contrario, si avrebbe un rapporto fra due Stati e nulla di più. In nessuno dei due casi il Libro quattordicesimo guadagna un ponte verso le persone che nomina.</w:t>
      </w:r>
    </w:p>
    <w:p>
      <w:pPr>
        <w:spacing w:after="120" w:line="276"/>
        <w:jc w:val="both"/>
      </w:pPr>
      <w:r>
        <w:rPr>
          <w:rFonts w:ascii="Barlow Semi Condensed" w:cs="Barlow Semi Condensed" w:eastAsia="Barlow Semi Condensed" w:hAnsi="Barlow Semi Condensed"/>
          <w:b/>
          <w:bCs/>
          <w:sz w:val="24"/>
          <w:szCs w:val="24"/>
        </w:rPr>
        <w:t xml:space="preserve">3887 · Pik Botha a New York e a Washington.</w:t>
      </w:r>
      <w:r>
        <w:rPr>
          <w:rFonts w:ascii="Barlow Semi Condensed" w:cs="Barlow Semi Condensed" w:eastAsia="Barlow Semi Condensed" w:hAnsi="Barlow Semi Condensed"/>
          <w:sz w:val="24"/>
          <w:szCs w:val="24"/>
        </w:rPr>
        <w:t xml:space="preserve"> Registra il blocco 99 che nel triennio precedente il ministero Pik Botha rappresentò il proprio Paese alle Nazioni Unite e a Washington. Quel triennio, 1974-1977, cade per intero dentro l'incarico di Segretario di Stato. È la sovrapposizione più stretta che il territorio offra fra il nome di questa campagna e un nome del Libro quattordicesimo, e per questo va trattata con la massima freddezza.</w:t>
      </w:r>
    </w:p>
    <w:p>
      <w:pPr>
        <w:spacing w:after="120" w:line="276"/>
        <w:jc w:val="both"/>
      </w:pPr>
      <w:r>
        <w:rPr>
          <w:rFonts w:ascii="Barlow Semi Condensed" w:cs="Barlow Semi Condensed" w:eastAsia="Barlow Semi Condensed" w:hAnsi="Barlow Semi Condensed"/>
          <w:b/>
          <w:bCs/>
          <w:sz w:val="24"/>
          <w:szCs w:val="24"/>
        </w:rPr>
        <w:t xml:space="preserve">3888 · College Park, gruppo di record 59.</w:t>
      </w:r>
      <w:r>
        <w:rPr>
          <w:rFonts w:ascii="Barlow Semi Condensed" w:cs="Barlow Semi Condensed" w:eastAsia="Barlow Semi Condensed" w:hAnsi="Barlow Semi Condensed"/>
          <w:sz w:val="24"/>
          <w:szCs w:val="24"/>
        </w:rPr>
        <w:t xml:space="preserve"> Nominabile con esattezza è la sede che verificherebbe quella sovrapposizione: i Central Foreign Policy Files del Dipartimento di Stato, gruppo di record 59, presso i National Archives di College Park, con i telegrammi dell'arco 1973-1977 interrogabili nella banca dati pubblica d'archivio. Il quesito è se esista un memorandum di conversazione che rechi entrambi i nomi, con data, luogo e presenti.</w:t>
      </w:r>
    </w:p>
    <w:p>
      <w:pPr>
        <w:spacing w:after="120" w:line="276"/>
        <w:jc w:val="both"/>
      </w:pPr>
      <w:r>
        <w:rPr>
          <w:rFonts w:ascii="Barlow Semi Condensed" w:cs="Barlow Semi Condensed" w:eastAsia="Barlow Semi Condensed" w:hAnsi="Barlow Semi Condensed"/>
          <w:b/>
          <w:bCs/>
          <w:sz w:val="24"/>
          <w:szCs w:val="24"/>
        </w:rPr>
        <w:t xml:space="preserve">3889 · Le trascrizioni telefoniche e la loro sede.</w:t>
      </w:r>
      <w:r>
        <w:rPr>
          <w:rFonts w:ascii="Barlow Semi Condensed" w:cs="Barlow Semi Condensed" w:eastAsia="Barlow Semi Condensed" w:hAnsi="Barlow Semi Condensed"/>
          <w:sz w:val="24"/>
          <w:szCs w:val="24"/>
        </w:rPr>
        <w:t xml:space="preserve"> Esiste una seconda serie, poco frequentata dalla pubblicistica italiana: le trascrizioni delle conversazioni telefoniche del Segretario di Stato, versate agli archivi federali dopo un contenzioso promosso dal National Security Archive, e le carte personali depositate alla Manuscript Division della Library of Congress con termini di consultabilità propri. Prima di chiedere occorre stabilire quale delle due serie copra l'anno cercato.</w:t>
      </w:r>
    </w:p>
    <w:p>
      <w:pPr>
        <w:spacing w:after="120" w:line="276"/>
        <w:jc w:val="both"/>
      </w:pPr>
      <w:r>
        <w:rPr>
          <w:rFonts w:ascii="Barlow Semi Condensed" w:cs="Barlow Semi Condensed" w:eastAsia="Barlow Semi Condensed" w:hAnsi="Barlow Semi Condensed"/>
          <w:b/>
          <w:bCs/>
          <w:sz w:val="24"/>
          <w:szCs w:val="24"/>
        </w:rPr>
        <w:t xml:space="preserve">3890 · Che cosa proverebbe un verbale.</w:t>
      </w:r>
      <w:r>
        <w:rPr>
          <w:rFonts w:ascii="Barlow Semi Condensed" w:cs="Barlow Semi Condensed" w:eastAsia="Barlow Semi Condensed" w:hAnsi="Barlow Semi Condensed"/>
          <w:sz w:val="24"/>
          <w:szCs w:val="24"/>
        </w:rPr>
        <w:t xml:space="preserve"> Immaginiamo l'esito favorevole: un verbale che nomini il Segretario di Stato e l'ambasciatore sudafricano, con data e ordine del giorno. Sarebbe piano uno, e sarebbe un rapporto fra due funzionari di due Stati nell'esercizio delle rispettive cariche. Il blocco 96 del Libro quattordicesimo lo dice già per la parentela: un ponte di piano uno resta un ponte fra due persone, non fra due sistemi.</w:t>
      </w:r>
    </w:p>
    <w:p>
      <w:pPr>
        <w:spacing w:after="120" w:line="276"/>
        <w:jc w:val="both"/>
      </w:pPr>
      <w:r>
        <w:rPr>
          <w:rFonts w:ascii="Barlow Semi Condensed" w:cs="Barlow Semi Condensed" w:eastAsia="Barlow Semi Condensed" w:hAnsi="Barlow Semi Condensed"/>
          <w:b/>
          <w:bCs/>
          <w:sz w:val="24"/>
          <w:szCs w:val="24"/>
        </w:rPr>
        <w:t xml:space="preserve">3891 · E che cosa non proverebbe.</w:t>
      </w:r>
      <w:r>
        <w:rPr>
          <w:rFonts w:ascii="Barlow Semi Condensed" w:cs="Barlow Semi Condensed" w:eastAsia="Barlow Semi Condensed" w:hAnsi="Barlow Semi Condensed"/>
          <w:sz w:val="24"/>
          <w:szCs w:val="24"/>
        </w:rPr>
        <w:t xml:space="preserve"> Soprattutto, non proverebbe nulla su Roelof Botha. I blocchi 685, 917 e 938 stabiliscono che la parentela col nonno è documentata e prova un rapporto di sangue: non un canale, non una raccomandazione, non una condivisione di vedute politiche. Un incontro diplomatico del 1975 fra il nonno e un Segretario di Stato americano è un fatto del nonno, e si ferma dove finisce lui.</w:t>
      </w:r>
    </w:p>
    <w:p>
      <w:pPr>
        <w:spacing w:after="120" w:line="276"/>
        <w:jc w:val="both"/>
      </w:pPr>
      <w:r>
        <w:rPr>
          <w:rFonts w:ascii="Barlow Semi Condensed" w:cs="Barlow Semi Condensed" w:eastAsia="Barlow Semi Condensed" w:hAnsi="Barlow Semi Condensed"/>
          <w:b/>
          <w:bCs/>
          <w:sz w:val="24"/>
          <w:szCs w:val="24"/>
        </w:rPr>
        <w:t xml:space="preserve">3892 · Il triplo veto del 30 ottobre 1974.</w:t>
      </w:r>
      <w:r>
        <w:rPr>
          <w:rFonts w:ascii="Barlow Semi Condensed" w:cs="Barlow Semi Condensed" w:eastAsia="Barlow Semi Condensed" w:hAnsi="Barlow Semi Condensed"/>
          <w:sz w:val="24"/>
          <w:szCs w:val="24"/>
        </w:rPr>
        <w:t xml:space="preserve"> Il veto del 30 ottobre 1974, con cui Francia, Regno Unito e Stati Uniti bloccarono il progetto di espulsione del Sud Africa dalle Nazioni Unite, è registrato al blocco 429. Il quesito derivato è documentale e non interpretativo: reperire l'istruzione trasmessa al rappresentante permanente e stabilire da quale ufficio partì. La sede è la medesima di College Park; l'appello nominale sta nel resoconto stenografico.</w:t>
      </w:r>
    </w:p>
    <w:p>
      <w:pPr>
        <w:spacing w:after="120" w:line="276"/>
        <w:jc w:val="both"/>
      </w:pPr>
      <w:r>
        <w:rPr>
          <w:rFonts w:ascii="Barlow Semi Condensed" w:cs="Barlow Semi Condensed" w:eastAsia="Barlow Semi Condensed" w:hAnsi="Barlow Semi Condensed"/>
          <w:b/>
          <w:bCs/>
          <w:sz w:val="24"/>
          <w:szCs w:val="24"/>
        </w:rPr>
        <w:t xml:space="preserve">3893 · Smentita sulla linea Botha.</w:t>
      </w:r>
      <w:r>
        <w:rPr>
          <w:rFonts w:ascii="Barlow Semi Condensed" w:cs="Barlow Semi Condensed" w:eastAsia="Barlow Semi Condensed" w:hAnsi="Barlow Semi Condensed"/>
          <w:sz w:val="24"/>
          <w:szCs w:val="24"/>
        </w:rPr>
        <w:t xml:space="preserve"> Chiuderebbe in negativo l'intera linea Botha uno spoglio integrale dei verbali di colloquio del Segretario di Stato per gli anni 1974-1977 che non restituisse alcun incontro con l'ambasciatore sudafricano. Sarebbe uno Stato Zero pesante e pubblicabile, e sottrarrebbe un argomento tanto a chi accusa quanto a chi difende, secondo la simmetria enunciata al blocco 992 del Libro quattordicesimo.</w:t>
      </w:r>
    </w:p>
    <w:p>
      <w:pPr>
        <w:spacing w:after="120" w:line="276"/>
        <w:jc w:val="both"/>
      </w:pPr>
      <w:r>
        <w:rPr>
          <w:rFonts w:ascii="Barlow Semi Condensed" w:cs="Barlow Semi Condensed" w:eastAsia="Barlow Semi Condensed" w:hAnsi="Barlow Semi Condensed"/>
          <w:b/>
          <w:bCs/>
          <w:sz w:val="24"/>
          <w:szCs w:val="24"/>
        </w:rPr>
        <w:t xml:space="preserve">3894 · Il 4 novembre 1977 cade fuori.</w:t>
      </w:r>
      <w:r>
        <w:rPr>
          <w:rFonts w:ascii="Barlow Semi Condensed" w:cs="Barlow Semi Condensed" w:eastAsia="Barlow Semi Condensed" w:hAnsi="Barlow Semi Condensed"/>
          <w:sz w:val="24"/>
          <w:szCs w:val="24"/>
        </w:rPr>
        <w:t xml:space="preserve"> Accertamento con grado dichiarato, e di grado alto. L'embargo obbligatorio della risoluzione 418, che i blocchi 225, 391 e 392 pongono al centro del territorio, fu adottato il 4 novembre 1977. L'incarico di Segretario di Stato era cessato il 20 gennaio 1977. Il provvedimento più importante del Libro quattordicesimo cade fuori dalla finestra istituzionale del nome, e nessuna interpretazione può riportarvelo dentro.</w:t>
      </w:r>
    </w:p>
    <w:p>
      <w:pPr>
        <w:spacing w:after="120" w:line="276"/>
        <w:jc w:val="both"/>
      </w:pPr>
      <w:r>
        <w:rPr>
          <w:rFonts w:ascii="Barlow Semi Condensed" w:cs="Barlow Semi Condensed" w:eastAsia="Barlow Semi Condensed" w:hAnsi="Barlow Semi Condensed"/>
          <w:b/>
          <w:bCs/>
          <w:sz w:val="24"/>
          <w:szCs w:val="24"/>
        </w:rPr>
        <w:t xml:space="preserve">3895 · Anche il Kalahari è fuori.</w:t>
      </w:r>
      <w:r>
        <w:rPr>
          <w:rFonts w:ascii="Barlow Semi Condensed" w:cs="Barlow Semi Condensed" w:eastAsia="Barlow Semi Condensed" w:hAnsi="Barlow Semi Condensed"/>
          <w:sz w:val="24"/>
          <w:szCs w:val="24"/>
        </w:rPr>
        <w:t xml:space="preserve"> Stessa operazione sui blocchi 188 e 413: il sito individuato nel deserto nell'agosto 1977 e i passi diplomatici che ne seguirono appartengono a un'amministrazione successiva. Chi cercasse in quelle carte la firma della campagna cercherebbe un documento che non può esistere. La verifica costa un minuto e previene l'anacronismo istituzionale denunciato al blocco 45, che su questa materia è l'errore più diffuso.</w:t>
      </w:r>
    </w:p>
    <w:p>
      <w:pPr>
        <w:spacing w:after="120" w:line="276"/>
        <w:jc w:val="both"/>
      </w:pPr>
      <w:r>
        <w:rPr>
          <w:rFonts w:ascii="Barlow Semi Condensed" w:cs="Barlow Semi Condensed" w:eastAsia="Barlow Semi Condensed" w:hAnsi="Barlow Semi Condensed"/>
          <w:b/>
          <w:bCs/>
          <w:sz w:val="24"/>
          <w:szCs w:val="24"/>
        </w:rPr>
        <w:t xml:space="preserve">3896 · Il lampo del 1979 e Atlanta.</w:t>
      </w:r>
      <w:r>
        <w:rPr>
          <w:rFonts w:ascii="Barlow Semi Condensed" w:cs="Barlow Semi Condensed" w:eastAsia="Barlow Semi Condensed" w:hAnsi="Barlow Semi Condensed"/>
          <w:sz w:val="24"/>
          <w:szCs w:val="24"/>
        </w:rPr>
        <w:t xml:space="preserve"> Al 22 settembre 1979 i blocchi 189 e 414 collocano l'evento Vela, indicandone i fascicoli alla biblioteca presidenziale Carter di Atlanta. Anche qui la finestra è chiusa da due anni e otto mesi. La divergenza scientifica sull'interpretazione del doppio lampo va riportata e non sciolta, come il corpus prescrive, ma non riguarda in alcun punto il nome di questa campagna.</w:t>
      </w:r>
    </w:p>
    <w:p>
      <w:pPr>
        <w:spacing w:after="120" w:line="276"/>
        <w:jc w:val="both"/>
      </w:pPr>
      <w:r>
        <w:rPr>
          <w:rFonts w:ascii="Barlow Semi Condensed" w:cs="Barlow Semi Condensed" w:eastAsia="Barlow Semi Condensed" w:hAnsi="Barlow Semi Condensed"/>
          <w:b/>
          <w:bCs/>
          <w:sz w:val="24"/>
          <w:szCs w:val="24"/>
        </w:rPr>
        <w:t xml:space="preserve">3897 · Un frontespizio mai aperto.</w:t>
      </w:r>
      <w:r>
        <w:rPr>
          <w:rFonts w:ascii="Barlow Semi Condensed" w:cs="Barlow Semi Condensed" w:eastAsia="Barlow Semi Condensed" w:hAnsi="Barlow Semi Condensed"/>
          <w:sz w:val="24"/>
          <w:szCs w:val="24"/>
        </w:rPr>
        <w:t xml:space="preserve"> Uno Stato Zero si chiuderebbe leggendo un frontespizio. Il Segretario di Stato insediò a metà degli anni Ottanta un comitato consultivo sull'Africa australe, il cui rapporto risulta pubblicato nel gennaio 1987. Questa campagna non ha accertato se il nome figuri fra i membri. L'elenco è stampato nelle prime pagine, reperibile nelle biblioteche depositarie federali: verifica di dieci minuti, mai eseguita da nessuno.</w:t>
      </w:r>
    </w:p>
    <w:p>
      <w:pPr>
        <w:spacing w:after="120" w:line="276"/>
        <w:jc w:val="both"/>
      </w:pPr>
      <w:r>
        <w:rPr>
          <w:rFonts w:ascii="Barlow Semi Condensed" w:cs="Barlow Semi Condensed" w:eastAsia="Barlow Semi Condensed" w:hAnsi="Barlow Semi Condensed"/>
          <w:b/>
          <w:bCs/>
          <w:sz w:val="24"/>
          <w:szCs w:val="24"/>
        </w:rPr>
        <w:t xml:space="preserve">3898 · Odendaal precede ogni incarico.</w:t>
      </w:r>
      <w:r>
        <w:rPr>
          <w:rFonts w:ascii="Barlow Semi Condensed" w:cs="Barlow Semi Condensed" w:eastAsia="Barlow Semi Condensed" w:hAnsi="Barlow Semi Condensed"/>
          <w:sz w:val="24"/>
          <w:szCs w:val="24"/>
        </w:rPr>
        <w:t xml:space="preserve"> La rettifica M-2 del Libro quattordicesimo riguarda la commissione presieduta da Fox Odendaal, indagine chiusa a fine 1963 e consegnata agli inizi del 1964. È l'atto che disegna la geografia dentro cui il blocco 940 colloca un bambino di otto anni. Precede di cinque anni ogni incarico del nome di questa campagna, e va tenuto fuori dal suo perimetro senza discussione.</w:t>
      </w:r>
    </w:p>
    <w:p>
      <w:pPr>
        <w:spacing w:after="120" w:line="276"/>
        <w:jc w:val="both"/>
      </w:pPr>
      <w:r>
        <w:rPr>
          <w:rFonts w:ascii="Barlow Semi Condensed" w:cs="Barlow Semi Condensed" w:eastAsia="Barlow Semi Condensed" w:hAnsi="Barlow Semi Condensed"/>
          <w:b/>
          <w:bCs/>
          <w:sz w:val="24"/>
          <w:szCs w:val="24"/>
        </w:rPr>
        <w:t xml:space="preserve">3899 · La finestra istituzionale, per intero.</w:t>
      </w:r>
      <w:r>
        <w:rPr>
          <w:rFonts w:ascii="Barlow Semi Condensed" w:cs="Barlow Semi Condensed" w:eastAsia="Barlow Semi Condensed" w:hAnsi="Barlow Semi Condensed"/>
          <w:sz w:val="24"/>
          <w:szCs w:val="24"/>
        </w:rPr>
        <w:t xml:space="preserve"> Conviene fissarla una volta e poi usarla: 20 gennaio 1969 - 3 novembre 1975 per l'Assistenza alla sicurezza nazionale, 22 settembre 1973 - 20 gennaio 1977 per il Dipartimento di Stato. Ogni fatto del territorio va collocato dentro o fuori quella forbice prima di essere discusso. Fuori, il quesito riguarda un privato cittadino; dentro, riguarda un ufficio, e nemmeno allora una condotta.</w:t>
      </w:r>
    </w:p>
    <w:p>
      <w:pPr>
        <w:spacing w:after="120" w:line="276"/>
        <w:jc w:val="both"/>
      </w:pPr>
      <w:r>
        <w:rPr>
          <w:rFonts w:ascii="Barlow Semi Condensed" w:cs="Barlow Semi Condensed" w:eastAsia="Barlow Semi Condensed" w:hAnsi="Barlow Semi Condensed"/>
          <w:b/>
          <w:bCs/>
          <w:sz w:val="24"/>
          <w:szCs w:val="24"/>
        </w:rPr>
        <w:t xml:space="preserve">3900 · Lusaka, aprile 1976.</w:t>
      </w:r>
      <w:r>
        <w:rPr>
          <w:rFonts w:ascii="Barlow Semi Condensed" w:cs="Barlow Semi Condensed" w:eastAsia="Barlow Semi Condensed" w:hAnsi="Barlow Semi Condensed"/>
          <w:sz w:val="24"/>
          <w:szCs w:val="24"/>
        </w:rPr>
        <w:t xml:space="preserve"> Fatto pubblico e citabile: nell'aprile 1976, a Lusaka, il Segretario di Stato pronunciò un discorso sulla politica americana verso l'Africa australe. Il testo integrale fu stampato nel bollettino ufficiale del Dipartimento di Stato e si cita da lì, per numero e pagina, secondo la scheda dei sei campi del blocco 883. È il documento più accessibile che colleghi il nome al territorio, e il corpus non lo possiede.</w:t>
      </w:r>
    </w:p>
    <w:p>
      <w:pPr>
        <w:spacing w:after="120" w:line="276"/>
        <w:jc w:val="both"/>
      </w:pPr>
      <w:r>
        <w:rPr>
          <w:rFonts w:ascii="Barlow Semi Condensed" w:cs="Barlow Semi Condensed" w:eastAsia="Barlow Semi Condensed" w:hAnsi="Barlow Semi Condensed"/>
          <w:b/>
          <w:bCs/>
          <w:sz w:val="24"/>
          <w:szCs w:val="24"/>
        </w:rPr>
        <w:t xml:space="preserve">3901 · Gli incontri del 1976 con Pretoria.</w:t>
      </w:r>
      <w:r>
        <w:rPr>
          <w:rFonts w:ascii="Barlow Semi Condensed" w:cs="Barlow Semi Condensed" w:eastAsia="Barlow Semi Condensed" w:hAnsi="Barlow Semi Condensed"/>
          <w:sz w:val="24"/>
          <w:szCs w:val="24"/>
        </w:rPr>
        <w:t xml:space="preserve"> Nello stesso anno si tennero colloqui fra il Segretario di Stato e il primo ministro sudafricano, in Europa e poi nel Paese. Date e sedi esatte circolano in versioni non coincidenti e vanno prese dal volume FRUS competente, non dalle cronologie in rete: è la disciplina che il blocco 871 impone alla datazione. Finché non sono riscontrate, questa serie le tratta come riferite.</w:t>
      </w:r>
    </w:p>
    <w:p>
      <w:pPr>
        <w:spacing w:after="120" w:line="276"/>
        <w:jc w:val="both"/>
      </w:pPr>
      <w:r>
        <w:rPr>
          <w:rFonts w:ascii="Barlow Semi Condensed" w:cs="Barlow Semi Condensed" w:eastAsia="Barlow Semi Condensed" w:hAnsi="Barlow Semi Condensed"/>
          <w:b/>
          <w:bCs/>
          <w:sz w:val="24"/>
          <w:szCs w:val="24"/>
        </w:rPr>
        <w:t xml:space="preserve">3902 · La Rhodesia non è questo territorio.</w:t>
      </w:r>
      <w:r>
        <w:rPr>
          <w:rFonts w:ascii="Barlow Semi Condensed" w:cs="Barlow Semi Condensed" w:eastAsia="Barlow Semi Condensed" w:hAnsi="Barlow Semi Condensed"/>
          <w:sz w:val="24"/>
          <w:szCs w:val="24"/>
        </w:rPr>
        <w:t xml:space="preserve"> Regola di perimetro, necessaria perché la tentazione è forte. Il negoziato del 1976 riguardava in massima parte la Rhodesia meridionale, che il Libro quattordicesimo non tratta: il suo territorio è il Sud Africa, l'Africa del Sud-Ovest e la valle californiana. Importare il dossier rhodesiano allargherebbe il perimetro senza autorizzazione, e il blocco 53 pretende che ogni allargamento sia motivato registro alla mano.</w:t>
      </w:r>
    </w:p>
    <w:p>
      <w:pPr>
        <w:spacing w:after="120" w:line="276"/>
        <w:jc w:val="both"/>
      </w:pPr>
      <w:r>
        <w:rPr>
          <w:rFonts w:ascii="Barlow Semi Condensed" w:cs="Barlow Semi Condensed" w:eastAsia="Barlow Semi Condensed" w:hAnsi="Barlow Semi Condensed"/>
          <w:b/>
          <w:bCs/>
          <w:sz w:val="24"/>
          <w:szCs w:val="24"/>
        </w:rPr>
        <w:t xml:space="preserve">3903 · Che cosa falsificherebbe Lusaka.</w:t>
      </w:r>
      <w:r>
        <w:rPr>
          <w:rFonts w:ascii="Barlow Semi Condensed" w:cs="Barlow Semi Condensed" w:eastAsia="Barlow Semi Condensed" w:hAnsi="Barlow Semi Condensed"/>
          <w:sz w:val="24"/>
          <w:szCs w:val="24"/>
        </w:rPr>
        <w:t xml:space="preserve"> Sul versante retorico il bersaglio di smentita suona così: se il testo del discorso di Lusaka, letto per intero e non per estratti, non contenesse alcun riferimento all'Africa del Sud-Ovest né alle risorse namibiane, cadrebbe l'ipotesi che quella dichiarazione tocchi il territorio del Libro quattordicesimo. La verifica si compie sul bollettino stampato in un pomeriggio, e l'esito negativo sarebbe acquisizione piena.</w:t>
      </w:r>
    </w:p>
    <w:p>
      <w:pPr>
        <w:spacing w:after="120" w:line="276"/>
        <w:jc w:val="both"/>
      </w:pPr>
      <w:r>
        <w:rPr>
          <w:rFonts w:ascii="Barlow Semi Condensed" w:cs="Barlow Semi Condensed" w:eastAsia="Barlow Semi Condensed" w:hAnsi="Barlow Semi Condensed"/>
          <w:b/>
          <w:bCs/>
          <w:sz w:val="24"/>
          <w:szCs w:val="24"/>
        </w:rPr>
        <w:t xml:space="preserve">3904 · Il test della citazione, applicato.</w:t>
      </w:r>
      <w:r>
        <w:rPr>
          <w:rFonts w:ascii="Barlow Semi Condensed" w:cs="Barlow Semi Condensed" w:eastAsia="Barlow Semi Condensed" w:hAnsi="Barlow Semi Condensed"/>
          <w:sz w:val="24"/>
          <w:szCs w:val="24"/>
        </w:rPr>
        <w:t xml:space="preserve"> Aprire l'indice dei nomi e la bibliografia dell'opera firmata dal soggetto, e cercarvi l'antenato che gli si attribuisce: così prescrive il blocco 698. Applicato qui, il test suona: il nome di questa campagna compare negli scritti firmati che il Libro quattordicesimo tratta nella decima serie, cioè il volume del 2014 sul monopolio, la prefazione del 2020 e il libro autopubblicato del 2022?</w:t>
      </w:r>
    </w:p>
    <w:p>
      <w:pPr>
        <w:spacing w:after="120" w:line="276"/>
        <w:jc w:val="both"/>
      </w:pPr>
      <w:r>
        <w:rPr>
          <w:rFonts w:ascii="Barlow Semi Condensed" w:cs="Barlow Semi Condensed" w:eastAsia="Barlow Semi Condensed" w:hAnsi="Barlow Semi Condensed"/>
          <w:b/>
          <w:bCs/>
          <w:sz w:val="24"/>
          <w:szCs w:val="24"/>
        </w:rPr>
        <w:t xml:space="preserve">3905 · L'esito atteso e come si scrive.</w:t>
      </w:r>
      <w:r>
        <w:rPr>
          <w:rFonts w:ascii="Barlow Semi Condensed" w:cs="Barlow Semi Condensed" w:eastAsia="Barlow Semi Condensed" w:hAnsi="Barlow Semi Condensed"/>
          <w:sz w:val="24"/>
          <w:szCs w:val="24"/>
        </w:rPr>
        <w:t xml:space="preserve"> Negativo è l'esito atteso, e va verbalizzato con le quattro voci del blocco 18: che cosa si è cercato, presso quale sede, con quale chiave, che cosa non si è trovato. Un indice dei nomi che non contenga la stringa è un documento, non un'impressione. Chi trovasse invece la citazione avrebbe in mano un piano uno dottrinale, e dovrebbe leggerne la funzione prima di esultare.</w:t>
      </w:r>
    </w:p>
    <w:p>
      <w:pPr>
        <w:spacing w:after="120" w:line="276"/>
        <w:jc w:val="both"/>
      </w:pPr>
      <w:r>
        <w:rPr>
          <w:rFonts w:ascii="Barlow Semi Condensed" w:cs="Barlow Semi Condensed" w:eastAsia="Barlow Semi Condensed" w:hAnsi="Barlow Semi Condensed"/>
          <w:b/>
          <w:bCs/>
          <w:sz w:val="24"/>
          <w:szCs w:val="24"/>
        </w:rPr>
        <w:t xml:space="preserve">3906 · Omologia, per la seconda volta.</w:t>
      </w:r>
      <w:r>
        <w:rPr>
          <w:rFonts w:ascii="Barlow Semi Condensed" w:cs="Barlow Semi Condensed" w:eastAsia="Barlow Semi Condensed" w:hAnsi="Barlow Semi Condensed"/>
          <w:sz w:val="24"/>
          <w:szCs w:val="24"/>
        </w:rPr>
        <w:t xml:space="preserve"> Il criterio della Serie sesta dell'opera Kissinger è adottato dichiaratamente al blocco 701: solo un documento di provenienza distingue l'omologia dall'analogia. Qui la regola torna capovolta. Che una dottrina dell'equilibrio fra potenze e una dottrina dell'uscita dallo Stato condividano il disprezzo per la deliberazione lenta è somiglianza d'esito, e dalla somiglianza d'esito non si deduce l'antenato. Serve un documento, e non c'è.</w:t>
      </w:r>
    </w:p>
    <w:p>
      <w:pPr>
        <w:spacing w:after="120" w:line="276"/>
        <w:jc w:val="both"/>
      </w:pPr>
      <w:r>
        <w:rPr>
          <w:rFonts w:ascii="Barlow Semi Condensed" w:cs="Barlow Semi Condensed" w:eastAsia="Barlow Semi Condensed" w:hAnsi="Barlow Semi Condensed"/>
          <w:b/>
          <w:bCs/>
          <w:sz w:val="24"/>
          <w:szCs w:val="24"/>
        </w:rPr>
        <w:t xml:space="preserve">3907 · Le tre forme ammesse.</w:t>
      </w:r>
      <w:r>
        <w:rPr>
          <w:rFonts w:ascii="Barlow Semi Condensed" w:cs="Barlow Semi Condensed" w:eastAsia="Barlow Semi Condensed" w:hAnsi="Barlow Semi Condensed"/>
          <w:sz w:val="24"/>
          <w:szCs w:val="24"/>
        </w:rPr>
        <w:t xml:space="preserve"> Tre sole prove di filiazione dottrinale riconosce il blocco 696: la citazione nominata dentro un testo firmato, l'appartenenza registrata in un elenco tenuto da terzi, la corrispondenza conservata con mittente e destinatario. Nessuna delle tre risulta acquisita fra il nome di questa campagna e alcun autore del territorio. Il metro è dichiarato dal Libro quattordicesimo stesso, e questa serie non ne concede altri.</w:t>
      </w:r>
    </w:p>
    <w:p>
      <w:pPr>
        <w:spacing w:after="120" w:line="276"/>
        <w:jc w:val="both"/>
      </w:pPr>
      <w:r>
        <w:rPr>
          <w:rFonts w:ascii="Barlow Semi Condensed" w:cs="Barlow Semi Condensed" w:eastAsia="Barlow Semi Condensed" w:hAnsi="Barlow Semi Condensed"/>
          <w:b/>
          <w:bCs/>
          <w:sz w:val="24"/>
          <w:szCs w:val="24"/>
        </w:rPr>
        <w:t xml:space="preserve">3908 · Castlereagh, Metternich e il limite.</w:t>
      </w:r>
      <w:r>
        <w:rPr>
          <w:rFonts w:ascii="Barlow Semi Condensed" w:cs="Barlow Semi Condensed" w:eastAsia="Barlow Semi Condensed" w:hAnsi="Barlow Semi Condensed"/>
          <w:sz w:val="24"/>
          <w:szCs w:val="24"/>
        </w:rPr>
        <w:t xml:space="preserve"> Nota e documentata in un testo suo è l'ascendenza dottrinale del nome: la dissertazione di dottorato discussa a Harvard nel 1954 sull'ordine europeo dopo il 1815. È il modello di ciò che il blocco 700 chiama accertamento forte, perché il soggetto nomina per iscritto i propri antenati. Serve qui per contrasto: nessun testo suo elegge l'Africa australe a oggetto di dottrina.</w:t>
      </w:r>
    </w:p>
    <w:p>
      <w:pPr>
        <w:spacing w:after="120" w:line="276"/>
        <w:jc w:val="both"/>
      </w:pPr>
      <w:r>
        <w:rPr>
          <w:rFonts w:ascii="Barlow Semi Condensed" w:cs="Barlow Semi Condensed" w:eastAsia="Barlow Semi Condensed" w:hAnsi="Barlow Semi Condensed"/>
          <w:b/>
          <w:bCs/>
          <w:sz w:val="24"/>
          <w:szCs w:val="24"/>
        </w:rPr>
        <w:t xml:space="preserve">3909 · Il caso Girard, per confronto.</w:t>
      </w:r>
      <w:r>
        <w:rPr>
          <w:rFonts w:ascii="Barlow Semi Condensed" w:cs="Barlow Semi Condensed" w:eastAsia="Barlow Semi Condensed" w:hAnsi="Barlow Semi Condensed"/>
          <w:sz w:val="24"/>
          <w:szCs w:val="24"/>
        </w:rPr>
        <w:t xml:space="preserve"> Unica filiazione di piano uno posseduta dal Libro quattordicesimo, il debito verso René Girard è registrato al blocco 766, riconosciuto per iscritto dall'interessato e corroborato al 767 da un'erogazione rendicontata. È il metro. Fra il nome di questa campagna e chiunque nel territorio non esiste nulla di lontanamente paragonabile: né dichiarazione, né erogazione, né lettera conservata in archivio.</w:t>
      </w:r>
    </w:p>
    <w:p>
      <w:pPr>
        <w:spacing w:after="120" w:line="276"/>
        <w:jc w:val="both"/>
      </w:pPr>
      <w:r>
        <w:rPr>
          <w:rFonts w:ascii="Barlow Semi Condensed" w:cs="Barlow Semi Condensed" w:eastAsia="Barlow Semi Condensed" w:hAnsi="Barlow Semi Condensed"/>
          <w:b/>
          <w:bCs/>
          <w:sz w:val="24"/>
          <w:szCs w:val="24"/>
        </w:rPr>
        <w:t xml:space="preserve">3910 · Il Technate e l'equilibrio.</w:t>
      </w:r>
      <w:r>
        <w:rPr>
          <w:rFonts w:ascii="Barlow Semi Condensed" w:cs="Barlow Semi Condensed" w:eastAsia="Barlow Semi Condensed" w:hAnsi="Barlow Semi Condensed"/>
          <w:sz w:val="24"/>
          <w:szCs w:val="24"/>
        </w:rPr>
        <w:t xml:space="preserve"> Prezzo, moneta, interesse e capitale sono aboliti dalla dottrina di Technocracy Incorporated, come mostrano i blocchi 712, 722 e 723. Chi volesse costruire un albero unico che tenga insieme quel piano, la dottrina dell'equilibrio fra potenze e l'industria del capitale di rischio dovrebbe esibire un autore che li tenga insieme dichiarandolo. La contraddizione di contenuto vale come smentita, e quell'autore non è mai stato prodotto.</w:t>
      </w:r>
    </w:p>
    <w:p>
      <w:pPr>
        <w:spacing w:after="120" w:line="276"/>
        <w:jc w:val="both"/>
      </w:pPr>
      <w:r>
        <w:rPr>
          <w:rFonts w:ascii="Barlow Semi Condensed" w:cs="Barlow Semi Condensed" w:eastAsia="Barlow Semi Condensed" w:hAnsi="Barlow Semi Condensed"/>
          <w:b/>
          <w:bCs/>
          <w:sz w:val="24"/>
          <w:szCs w:val="24"/>
        </w:rPr>
        <w:t xml:space="preserve">3911 · Gli elenchi dei partecipanti.</w:t>
      </w:r>
      <w:r>
        <w:rPr>
          <w:rFonts w:ascii="Barlow Semi Condensed" w:cs="Barlow Semi Condensed" w:eastAsia="Barlow Semi Condensed" w:hAnsi="Barlow Semi Condensed"/>
          <w:sz w:val="24"/>
          <w:szCs w:val="24"/>
        </w:rPr>
        <w:t xml:space="preserve"> Una classe di documenti nomina insieme persone senza attestare fra loro alcun rapporto: gli elenchi dei partecipanti alle conferenze private, pubblicati dagli organizzatori e datati. Quesito eseguibile da scrivania: verificare se una stessa annata rechi il nome di questa campagna e uno dei nomi del Libro quattordicesimo. La risposta è un fatto pubblico e si ottiene in mezz'ora di lavoro.</w:t>
      </w:r>
    </w:p>
    <w:p>
      <w:pPr>
        <w:spacing w:after="120" w:line="276"/>
        <w:jc w:val="both"/>
      </w:pPr>
      <w:r>
        <w:rPr>
          <w:rFonts w:ascii="Barlow Semi Condensed" w:cs="Barlow Semi Condensed" w:eastAsia="Barlow Semi Condensed" w:hAnsi="Barlow Semi Condensed"/>
          <w:b/>
          <w:bCs/>
          <w:sz w:val="24"/>
          <w:szCs w:val="24"/>
        </w:rPr>
        <w:t xml:space="preserve">3912 · Il caso limite del piano uno.</w:t>
      </w:r>
      <w:r>
        <w:rPr>
          <w:rFonts w:ascii="Barlow Semi Condensed" w:cs="Barlow Semi Condensed" w:eastAsia="Barlow Semi Condensed" w:hAnsi="Barlow Semi Condensed"/>
          <w:sz w:val="24"/>
          <w:szCs w:val="24"/>
        </w:rPr>
        <w:t xml:space="preserve"> E qui va detta la cosa che nessun blocco anteriore aveva bisogno di dire. Un elenco di partecipanti nomina entrambe le parti e tuttavia non è un ponte: attesta co-presenza in una sala, non un rapporto. Il piano uno esige che il documento attesti il rapporto, non la contiguità fisica. Chi promuovesse un elenco a nesso ripeterebbe, con carta migliore, l'errore del blocco 6.</w:t>
      </w:r>
    </w:p>
    <w:p>
      <w:pPr>
        <w:spacing w:after="120" w:line="276"/>
        <w:jc w:val="both"/>
      </w:pPr>
      <w:r>
        <w:rPr>
          <w:rFonts w:ascii="Barlow Semi Condensed" w:cs="Barlow Semi Condensed" w:eastAsia="Barlow Semi Condensed" w:hAnsi="Barlow Semi Condensed"/>
          <w:b/>
          <w:bCs/>
          <w:sz w:val="24"/>
          <w:szCs w:val="24"/>
        </w:rPr>
        <w:t xml:space="preserve">3913 · Hoover, e che cosa chiedere.</w:t>
      </w:r>
      <w:r>
        <w:rPr>
          <w:rFonts w:ascii="Barlow Semi Condensed" w:cs="Barlow Semi Condensed" w:eastAsia="Barlow Semi Condensed" w:hAnsi="Barlow Semi Condensed"/>
          <w:sz w:val="24"/>
          <w:szCs w:val="24"/>
        </w:rPr>
        <w:t xml:space="preserve"> Alla Hoover Institution di Stanford il blocco 738 indirizza per gli elenchi dei soci e i verbali della Mont Pelerin Society, e il 739 per le carte di Hayek. La stessa istituzione conserva fondi di uomini di governo americani del Novecento. Quesito circoscritto: verificare a catalogo se qualcuno di quei fondi contenga corrispondenza riguardante l'Africa australe negli anni della finestra istituzionale.</w:t>
      </w:r>
    </w:p>
    <w:p>
      <w:pPr>
        <w:spacing w:after="120" w:line="276"/>
        <w:jc w:val="both"/>
      </w:pPr>
      <w:r>
        <w:rPr>
          <w:rFonts w:ascii="Barlow Semi Condensed" w:cs="Barlow Semi Condensed" w:eastAsia="Barlow Semi Condensed" w:hAnsi="Barlow Semi Condensed"/>
          <w:b/>
          <w:bCs/>
          <w:sz w:val="24"/>
          <w:szCs w:val="24"/>
        </w:rPr>
        <w:t xml:space="preserve">3914 · Uno studio senza registro di clienti.</w:t>
      </w:r>
      <w:r>
        <w:rPr>
          <w:rFonts w:ascii="Barlow Semi Condensed" w:cs="Barlow Semi Condensed" w:eastAsia="Barlow Semi Condensed" w:hAnsi="Barlow Semi Condensed"/>
          <w:sz w:val="24"/>
          <w:szCs w:val="24"/>
        </w:rPr>
        <w:t xml:space="preserve"> Nel 1982 il nome di questa campagna costituì a New York una società di consulenza. Non esiste alcun registro pubblico dei suoi clienti: non lo prevede la legge societaria di quello Stato, non lo produce alcuna autorità di vigilanza. È uno Stato Zero strutturale nel senso esatto del blocco 758, cioè un vuoto normativo e non una reticenza, e va scritto con quella qualificazione.</w:t>
      </w:r>
    </w:p>
    <w:p>
      <w:pPr>
        <w:spacing w:after="120" w:line="276"/>
        <w:jc w:val="both"/>
      </w:pPr>
      <w:r>
        <w:rPr>
          <w:rFonts w:ascii="Barlow Semi Condensed" w:cs="Barlow Semi Condensed" w:eastAsia="Barlow Semi Condensed" w:hAnsi="Barlow Semi Condensed"/>
          <w:b/>
          <w:bCs/>
          <w:sz w:val="24"/>
          <w:szCs w:val="24"/>
        </w:rPr>
        <w:t xml:space="preserve">3915 · Il 13 dicembre 2002.</w:t>
      </w:r>
      <w:r>
        <w:rPr>
          <w:rFonts w:ascii="Barlow Semi Condensed" w:cs="Barlow Semi Condensed" w:eastAsia="Barlow Semi Condensed" w:hAnsi="Barlow Semi Condensed"/>
          <w:sz w:val="24"/>
          <w:szCs w:val="24"/>
        </w:rPr>
        <w:t xml:space="preserve"> Ha una misura pubblica e datata il perimetro di quel segreto: il 13 dicembre 2002 l'interessato rinunciò alla presidenza della commissione d'inchiesta statunitense sugli attentati del 2001 anziché depositare l'elenco dei propri clienti. È fatto notorio, riportato dalla stampa dell'epoca e citabile con le sei voci del blocco 883. Dice quanto pesi quel registro assente, e non dice altro.</w:t>
      </w:r>
    </w:p>
    <w:p>
      <w:pPr>
        <w:spacing w:after="120" w:line="276"/>
        <w:jc w:val="both"/>
      </w:pPr>
      <w:r>
        <w:rPr>
          <w:rFonts w:ascii="Barlow Semi Condensed" w:cs="Barlow Semi Condensed" w:eastAsia="Barlow Semi Condensed" w:hAnsi="Barlow Semi Condensed"/>
          <w:b/>
          <w:bCs/>
          <w:sz w:val="24"/>
          <w:szCs w:val="24"/>
        </w:rPr>
        <w:t xml:space="preserve">3916 · Il quesito sui clienti australi.</w:t>
      </w:r>
      <w:r>
        <w:rPr>
          <w:rFonts w:ascii="Barlow Semi Condensed" w:cs="Barlow Semi Condensed" w:eastAsia="Barlow Semi Condensed" w:hAnsi="Barlow Semi Condensed"/>
          <w:sz w:val="24"/>
          <w:szCs w:val="24"/>
        </w:rPr>
        <w:t xml:space="preserve"> Onesto sul proprio costo, il bersaglio derivato è questo: se una società sudafricana o namibiana avesse retribuito quello studio, la traccia potrebbe emergere solo per accidente, secondo la casistica del blocco 829 — un contenzioso, una successione, una dichiarazione patrimoniale resa per un incarico pubblico. Fuori da questi accidenti la ricerca non ha strada, e questa serie lo dichiara invece di promettere.</w:t>
      </w:r>
    </w:p>
    <w:p>
      <w:pPr>
        <w:spacing w:after="120" w:line="276"/>
        <w:jc w:val="both"/>
      </w:pPr>
      <w:r>
        <w:rPr>
          <w:rFonts w:ascii="Barlow Semi Condensed" w:cs="Barlow Semi Condensed" w:eastAsia="Barlow Semi Condensed" w:hAnsi="Barlow Semi Condensed"/>
          <w:b/>
          <w:bCs/>
          <w:sz w:val="24"/>
          <w:szCs w:val="24"/>
        </w:rPr>
        <w:t xml:space="preserve">3917 · Rio Tinto, negativo atteso.</w:t>
      </w:r>
      <w:r>
        <w:rPr>
          <w:rFonts w:ascii="Barlow Semi Condensed" w:cs="Barlow Semi Condensed" w:eastAsia="Barlow Semi Condensed" w:hAnsi="Barlow Semi Condensed"/>
          <w:sz w:val="24"/>
          <w:szCs w:val="24"/>
        </w:rPr>
        <w:t xml:space="preserve"> L'assetto proprietario di Rössing è documentato al blocco 813 attraverso i bilanci del gruppo britannico che la controllò per decenni e i depositi presso l'autorità statunitense dei mercati. Quesito con esito atteso negativo: verificare negli elenchi di amministratori e consulenti depositati a Companies House se il nome di questa campagna vi compaia mai. Attendersi il negativo non dispensa dall'eseguire la verifica.</w:t>
      </w:r>
    </w:p>
    <w:p>
      <w:pPr>
        <w:spacing w:after="120" w:line="276"/>
        <w:jc w:val="both"/>
      </w:pPr>
      <w:r>
        <w:rPr>
          <w:rFonts w:ascii="Barlow Semi Condensed" w:cs="Barlow Semi Condensed" w:eastAsia="Barlow Semi Condensed" w:hAnsi="Barlow Semi Condensed"/>
          <w:b/>
          <w:bCs/>
          <w:sz w:val="24"/>
          <w:szCs w:val="24"/>
        </w:rPr>
        <w:t xml:space="preserve">3918 · Il falso positivo come procedura.</w:t>
      </w:r>
      <w:r>
        <w:rPr>
          <w:rFonts w:ascii="Barlow Semi Condensed" w:cs="Barlow Semi Condensed" w:eastAsia="Barlow Semi Condensed" w:hAnsi="Barlow Semi Condensed"/>
          <w:sz w:val="24"/>
          <w:szCs w:val="24"/>
        </w:rPr>
        <w:t xml:space="preserve"> Per fissare che prima di interrogare un archivio si stabilisce che cosa si cerca, il blocco 839 del Libro quattordicesimo richiama il blocco 9 dell'opera Kissinger. Questa serie ne ha dato la prova sul proprio materiale: trentasei riscontri apparenti per Angola, nessuno reale. La regola non è un'esortazione ma una procedura, e produce numeri diversi da quelli che si otterrebbero senza.</w:t>
      </w:r>
    </w:p>
    <w:p>
      <w:pPr>
        <w:spacing w:after="120" w:line="276"/>
        <w:jc w:val="both"/>
      </w:pPr>
      <w:r>
        <w:rPr>
          <w:rFonts w:ascii="Barlow Semi Condensed" w:cs="Barlow Semi Condensed" w:eastAsia="Barlow Semi Condensed" w:hAnsi="Barlow Semi Condensed"/>
          <w:b/>
          <w:bCs/>
          <w:sz w:val="24"/>
          <w:szCs w:val="24"/>
        </w:rPr>
        <w:t xml:space="preserve">3919 · Il lancio unico del 2023.</w:t>
      </w:r>
      <w:r>
        <w:rPr>
          <w:rFonts w:ascii="Barlow Semi Condensed" w:cs="Barlow Semi Condensed" w:eastAsia="Barlow Semi Condensed" w:hAnsi="Barlow Semi Condensed"/>
          <w:sz w:val="24"/>
          <w:szCs w:val="24"/>
        </w:rPr>
        <w:t xml:space="preserve"> Risale a un solo lancio d'agenzia del 30 novembre 2023, secondo la settima precisazione dell'apparato K, la moltiplicazione apparente delle fonti sull'avvertimento a Moro. La regola si trasferisce senza attriti al territorio: il blocco 878 misura la stessa patologia sui dispacci ripubblicati da quaranta testate. Due materie diverse, un identico meccanismo di replicazione senza informazione nuova.</w:t>
      </w:r>
    </w:p>
    <w:p>
      <w:pPr>
        <w:spacing w:after="120" w:line="276"/>
        <w:jc w:val="both"/>
      </w:pPr>
      <w:r>
        <w:rPr>
          <w:rFonts w:ascii="Barlow Semi Condensed" w:cs="Barlow Semi Condensed" w:eastAsia="Barlow Semi Condensed" w:hAnsi="Barlow Semi Condensed"/>
          <w:b/>
          <w:bCs/>
          <w:sz w:val="24"/>
          <w:szCs w:val="24"/>
        </w:rPr>
        <w:t xml:space="preserve">3920 · Le due fonti escluse, e M-3.</w:t>
      </w:r>
      <w:r>
        <w:rPr>
          <w:rFonts w:ascii="Barlow Semi Condensed" w:cs="Barlow Semi Condensed" w:eastAsia="Barlow Semi Condensed" w:hAnsi="Barlow Semi Condensed"/>
          <w:sz w:val="24"/>
          <w:szCs w:val="24"/>
        </w:rPr>
        <w:t xml:space="preserve"> Registrato tre volte nel Libro quattordicesimo, ai blocchi 16, 694 e 904, il divieto del committente sulle due fonti escluse è accompagnato dall'apparato M-3 con un dato di igiene: una delle due comparve ripetutamente fra i risultati di ricerca, anche su voci centrali. Questa serie ha osservato il divieto e conferma soltanto che la ricorrenza fra i risultati è essa stessa un dato.</w:t>
      </w:r>
    </w:p>
    <w:p>
      <w:pPr>
        <w:spacing w:after="120" w:line="276"/>
        <w:jc w:val="both"/>
      </w:pPr>
      <w:r>
        <w:rPr>
          <w:rFonts w:ascii="Barlow Semi Condensed" w:cs="Barlow Semi Condensed" w:eastAsia="Barlow Semi Condensed" w:hAnsi="Barlow Semi Condensed"/>
          <w:b/>
          <w:bCs/>
          <w:sz w:val="24"/>
          <w:szCs w:val="24"/>
        </w:rPr>
        <w:t xml:space="preserve">3921 · La citogenesi applicata al nome.</w:t>
      </w:r>
      <w:r>
        <w:rPr>
          <w:rFonts w:ascii="Barlow Semi Condensed" w:cs="Barlow Semi Condensed" w:eastAsia="Barlow Semi Condensed" w:hAnsi="Barlow Semi Condensed"/>
          <w:sz w:val="24"/>
          <w:szCs w:val="24"/>
        </w:rPr>
        <w:t xml:space="preserve"> Un circuito riconoscibile è descritto al blocco 893: un'affermazione priva di fonte entra in una voce enciclopedica, un sito la riprende, la voce viene poi corredata della nota che rinvia a quel sito. Il riconoscimento passa dal confronto delle date. È la procedura da applicare a ogni testo che accosti il nome di questa campagna all'apartheid, prima di riprenderlo.</w:t>
      </w:r>
    </w:p>
    <w:p>
      <w:pPr>
        <w:spacing w:after="120" w:line="276"/>
        <w:jc w:val="both"/>
      </w:pPr>
      <w:r>
        <w:rPr>
          <w:rFonts w:ascii="Barlow Semi Condensed" w:cs="Barlow Semi Condensed" w:eastAsia="Barlow Semi Condensed" w:hAnsi="Barlow Semi Condensed"/>
          <w:b/>
          <w:bCs/>
          <w:sz w:val="24"/>
          <w:szCs w:val="24"/>
        </w:rPr>
        <w:t xml:space="preserve">3922 · I sei campi, per una raccolta FRUS.</w:t>
      </w:r>
      <w:r>
        <w:rPr>
          <w:rFonts w:ascii="Barlow Semi Condensed" w:cs="Barlow Semi Condensed" w:eastAsia="Barlow Semi Condensed" w:hAnsi="Barlow Semi Condensed"/>
          <w:sz w:val="24"/>
          <w:szCs w:val="24"/>
        </w:rPr>
        <w:t xml:space="preserve"> Applicata a una raccolta diplomatica, la scheda del blocco 883 si compila così: emittente e serie, volume e parte, numero del documento, edizione se riveduta, data dell'atto, data della consultazione. Il corpus lo fa già per il documento 350 del volume E-15. Chi citerà i memorandum del 1969 e del 1970 dovrà farlo con la medesima esattezza, o la citazione non sarà controllabile.</w:t>
      </w:r>
    </w:p>
    <w:p>
      <w:pPr>
        <w:spacing w:after="120" w:line="276"/>
        <w:jc w:val="both"/>
      </w:pPr>
      <w:r>
        <w:rPr>
          <w:rFonts w:ascii="Barlow Semi Condensed" w:cs="Barlow Semi Condensed" w:eastAsia="Barlow Semi Condensed" w:hAnsi="Barlow Semi Condensed"/>
          <w:b/>
          <w:bCs/>
          <w:sz w:val="24"/>
          <w:szCs w:val="24"/>
        </w:rPr>
        <w:t xml:space="preserve">3923 · Nessuna imputazione, in nessun Paese.</w:t>
      </w:r>
      <w:r>
        <w:rPr>
          <w:rFonts w:ascii="Barlow Semi Condensed" w:cs="Barlow Semi Condensed" w:eastAsia="Barlow Semi Condensed" w:hAnsi="Barlow Semi Condensed"/>
          <w:sz w:val="24"/>
          <w:szCs w:val="24"/>
        </w:rPr>
        <w:t xml:space="preserve"> Va ripetuto qui perché il territorio è nuovo e i lettori non sono gli stessi. Henry Kissinger non fu condannato in alcun processo, non fu mai imputato né processato in alcun Paese. Il blocco 936 del Libro quattordicesimo compie lo stesso accertamento negativo per i propri viventi. Le due dichiarazioni convivono senza contraddirsi: il corpus si ferma al giudicato in entrambe le direzioni.</w:t>
      </w:r>
    </w:p>
    <w:p>
      <w:pPr>
        <w:spacing w:after="120" w:line="276"/>
        <w:jc w:val="both"/>
      </w:pPr>
      <w:r>
        <w:rPr>
          <w:rFonts w:ascii="Barlow Semi Condensed" w:cs="Barlow Semi Condensed" w:eastAsia="Barlow Semi Condensed" w:hAnsi="Barlow Semi Condensed"/>
          <w:b/>
          <w:bCs/>
          <w:sz w:val="24"/>
          <w:szCs w:val="24"/>
        </w:rPr>
        <w:t xml:space="preserve">3924 · Il nodo M-5 e la stratificazione.</w:t>
      </w:r>
      <w:r>
        <w:rPr>
          <w:rFonts w:ascii="Barlow Semi Condensed" w:cs="Barlow Semi Condensed" w:eastAsia="Barlow Semi Condensed" w:hAnsi="Barlow Semi Condensed"/>
          <w:sz w:val="24"/>
          <w:szCs w:val="24"/>
        </w:rPr>
        <w:t xml:space="preserve"> Come modello di correzione il blocco 974 indica la Nota di revisione n. 1 del corpus e la rettifica del nodo M-5 nella triangolazione Kissinger. Questa serie si sottopone alla medesima disciplina: se una delle segnature qui indicate risultasse errata, la correzione entrerà come nota datata e il testo originario resterà leggibile accanto. Si corregge per stratificazione, non per riscrittura silenziosa.</w:t>
      </w:r>
    </w:p>
    <w:p>
      <w:pPr>
        <w:spacing w:after="120" w:line="276"/>
        <w:jc w:val="both"/>
      </w:pPr>
      <w:r>
        <w:rPr>
          <w:rFonts w:ascii="Barlow Semi Condensed" w:cs="Barlow Semi Condensed" w:eastAsia="Barlow Semi Condensed" w:hAnsi="Barlow Semi Condensed"/>
          <w:b/>
          <w:bCs/>
          <w:sz w:val="24"/>
          <w:szCs w:val="24"/>
        </w:rPr>
        <w:t xml:space="preserve">3925 · Due lenti sovrapposte.</w:t>
      </w:r>
      <w:r>
        <w:rPr>
          <w:rFonts w:ascii="Barlow Semi Condensed" w:cs="Barlow Semi Condensed" w:eastAsia="Barlow Semi Condensed" w:hAnsi="Barlow Semi Condensed"/>
          <w:sz w:val="24"/>
          <w:szCs w:val="24"/>
        </w:rPr>
        <w:t xml:space="preserve"> Due lenti si sovrappongono in questa serie, e il blocco 934 le accosta già: la metafora genetica della triangolazione Kissinger e la geografia doppia del meridiano e della valle, entrambe dichiarate strumenti e non prove. Lavorare sotto tutte e due raddoppia il rischio di circolarità denunciato al blocco 998, e obbliga a dichiararlo in apertura anziché in coda.</w:t>
      </w:r>
    </w:p>
    <w:p>
      <w:pPr>
        <w:spacing w:after="120" w:line="276"/>
        <w:jc w:val="both"/>
      </w:pPr>
      <w:r>
        <w:rPr>
          <w:rFonts w:ascii="Barlow Semi Condensed" w:cs="Barlow Semi Condensed" w:eastAsia="Barlow Semi Condensed" w:hAnsi="Barlow Semi Condensed"/>
          <w:b/>
          <w:bCs/>
          <w:sz w:val="24"/>
          <w:szCs w:val="24"/>
        </w:rPr>
        <w:t xml:space="preserve">3926 · La forma ereditata.</w:t>
      </w:r>
      <w:r>
        <w:rPr>
          <w:rFonts w:ascii="Barlow Semi Condensed" w:cs="Barlow Semi Condensed" w:eastAsia="Barlow Semi Condensed" w:hAnsi="Barlow Semi Condensed"/>
          <w:sz w:val="24"/>
          <w:szCs w:val="24"/>
        </w:rPr>
        <w:t xml:space="preserve"> Le opere gemelle del branch sono elencate al blocco 2: il manuale investigativo in quattrocento blocchi, l'agenda di ricerca in trecento, i nove cantieri e la triangolazione Kissinger in mille ciascuno. La quinta opera cita dunque la quarta come parente formale. Questa serie chiude il cerchio riportando la quarta dentro la quinta, e lo fa per quesiti e non per affermazioni.</w:t>
      </w:r>
    </w:p>
    <w:p>
      <w:pPr>
        <w:spacing w:after="120" w:line="276"/>
        <w:jc w:val="both"/>
      </w:pPr>
      <w:r>
        <w:rPr>
          <w:rFonts w:ascii="Barlow Semi Condensed" w:cs="Barlow Semi Condensed" w:eastAsia="Barlow Semi Condensed" w:hAnsi="Barlow Semi Condensed"/>
          <w:b/>
          <w:bCs/>
          <w:sz w:val="24"/>
          <w:szCs w:val="24"/>
        </w:rPr>
        <w:t xml:space="preserve">3927 · L'esperimento di rimozione, rifatto.</w:t>
      </w:r>
      <w:r>
        <w:rPr>
          <w:rFonts w:ascii="Barlow Semi Condensed" w:cs="Barlow Semi Condensed" w:eastAsia="Barlow Semi Condensed" w:hAnsi="Barlow Semi Condensed"/>
          <w:sz w:val="24"/>
          <w:szCs w:val="24"/>
        </w:rPr>
        <w:t xml:space="preserve"> Togliere la tesi di continuità e rileggere l'opera è l'esperimento proposto al blocco 995. Ripetiamolo qui: si tolga il nome di questa campagna e si rilegga questa serie. Restano gli archivi nominati — Yorba Linda, College Park, Kew, Windhoek, Pretoria, l'Aia — le finestre cronologiche verificate e le assenze verbalizzate. Se ciò che resta regge, la serie ha funzionato.</w:t>
      </w:r>
    </w:p>
    <w:p>
      <w:pPr>
        <w:spacing w:after="120" w:line="276"/>
        <w:jc w:val="both"/>
      </w:pPr>
      <w:r>
        <w:rPr>
          <w:rFonts w:ascii="Barlow Semi Condensed" w:cs="Barlow Semi Condensed" w:eastAsia="Barlow Semi Condensed" w:hAnsi="Barlow Semi Condensed"/>
          <w:b/>
          <w:bCs/>
          <w:sz w:val="24"/>
          <w:szCs w:val="24"/>
        </w:rPr>
        <w:t xml:space="preserve">3928 · Il catasto delle assenze, sei voci.</w:t>
      </w:r>
      <w:r>
        <w:rPr>
          <w:rFonts w:ascii="Barlow Semi Condensed" w:cs="Barlow Semi Condensed" w:eastAsia="Barlow Semi Condensed" w:hAnsi="Barlow Semi Condensed"/>
          <w:sz w:val="24"/>
          <w:szCs w:val="24"/>
        </w:rPr>
        <w:t xml:space="preserve"> Catasto di assenze è il nome che il blocco 996 dà al lascito più durevole del Libro quattordicesimo. Questa serie vi aggiunge sei voci: il volume FRUS sull'Africa australe mai citato dal corpus, i due memorandum senza numero, l'esposizione all'Aia non verificata, i verbali di colloquio con l'ambasciatore mai cercati, il frontespizio del rapporto del 1987 mai aperto, il registro di clienti che non esiste.</w:t>
      </w:r>
    </w:p>
    <w:p>
      <w:pPr>
        <w:spacing w:after="120" w:line="276"/>
        <w:jc w:val="both"/>
      </w:pPr>
      <w:r>
        <w:rPr>
          <w:rFonts w:ascii="Barlow Semi Condensed" w:cs="Barlow Semi Condensed" w:eastAsia="Barlow Semi Condensed" w:hAnsi="Barlow Semi Condensed"/>
          <w:b/>
          <w:bCs/>
          <w:sz w:val="24"/>
          <w:szCs w:val="24"/>
        </w:rPr>
        <w:t xml:space="preserve">3929 · Che cosa smentirebbe questa serie (serie LI).</w:t>
      </w:r>
      <w:r>
        <w:rPr>
          <w:rFonts w:ascii="Barlow Semi Condensed" w:cs="Barlow Semi Condensed" w:eastAsia="Barlow Semi Condensed" w:hAnsi="Barlow Semi Condensed"/>
          <w:sz w:val="24"/>
          <w:szCs w:val="24"/>
        </w:rPr>
        <w:t xml:space="preserve"> Unico e preciso è il bersaglio di smentita, sul modello del blocco 999: se emergesse un documento di provenienza che nomini insieme Henry Kissinger e una qualunque delle persone viventi trattate dal Libro quattordicesimo, o una delle imprese californiane che vi compaiono, l'intera cautela qui scritta andrebbe rivista al piano uno. Nessun blocco lo ha trovato, e trovarlo sarebbe un progresso.</w:t>
      </w:r>
    </w:p>
    <w:p>
      <w:pPr>
        <w:spacing w:after="120" w:line="276"/>
        <w:jc w:val="both"/>
      </w:pPr>
      <w:r>
        <w:rPr>
          <w:rFonts w:ascii="Barlow Semi Condensed" w:cs="Barlow Semi Condensed" w:eastAsia="Barlow Semi Condensed" w:hAnsi="Barlow Semi Condensed"/>
          <w:b/>
          <w:bCs/>
          <w:sz w:val="24"/>
          <w:szCs w:val="24"/>
        </w:rPr>
        <w:t xml:space="preserve">3930 · Che cosa non è stabilito.</w:t>
      </w:r>
      <w:r>
        <w:rPr>
          <w:rFonts w:ascii="Barlow Semi Condensed" w:cs="Barlow Semi Condensed" w:eastAsia="Barlow Semi Condensed" w:hAnsi="Barlow Semi Condensed"/>
          <w:sz w:val="24"/>
          <w:szCs w:val="24"/>
        </w:rPr>
        <w:t xml:space="preserve"> Non è stabilito alcun rapporto fra il nome di questa campagna e le persone del Libro quattordicesimo; non è stabilito che la politica americana del 1969-1977 verso l'Africa australe abbia toccato una miniera, una scuola o una famiglia nominate in quell'opera; non è stabilito che il silenzio sull'Africa significhi qualcosa. Restano i quesiti, le sedi e gli Stati Zero. Il fascicolo resta aperto.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cinquantaduesima — Le prime tredici serie rilette dall’esterno</w:t>
      </w:r>
    </w:p>
    <w:p>
      <w:pPr>
        <w:spacing w:after="120" w:line="276"/>
        <w:jc w:val="both"/>
      </w:pPr>
      <w:r>
        <w:rPr>
          <w:rFonts w:ascii="Barlow Semi Condensed" w:cs="Barlow Semi Condensed" w:eastAsia="Barlow Semi Condensed" w:hAnsi="Barlow Semi Condensed"/>
          <w:i/>
          <w:iCs/>
          <w:sz w:val="24"/>
          <w:szCs w:val="24"/>
        </w:rPr>
        <w:t xml:space="preserve">Blocchi 3931-4000.</w:t>
      </w:r>
    </w:p>
    <w:p>
      <w:pPr>
        <w:spacing w:after="120" w:line="276"/>
        <w:jc w:val="both"/>
      </w:pPr>
      <w:r>
        <w:rPr>
          <w:rFonts w:ascii="Barlow Semi Condensed" w:cs="Barlow Semi Condensed" w:eastAsia="Barlow Semi Condensed" w:hAnsi="Barlow Semi Condensed"/>
          <w:b/>
          <w:bCs/>
          <w:sz w:val="24"/>
          <w:szCs w:val="24"/>
        </w:rPr>
        <w:t xml:space="preserve">3931 · Il territorio è l'opera stessa.</w:t>
      </w:r>
      <w:r>
        <w:rPr>
          <w:rFonts w:ascii="Barlow Semi Condensed" w:cs="Barlow Semi Condensed" w:eastAsia="Barlow Semi Condensed" w:hAnsi="Barlow Semi Condensed"/>
          <w:sz w:val="24"/>
          <w:szCs w:val="24"/>
        </w:rPr>
        <w:t xml:space="preserve"> Questa serie non interroga un archivio esterno: apre il file kissinger-mille-blocchi-il-codice-e-la-sua-trasmissione.md come si apre un documento, e le sue tredici serie come si collazionano tredici testimoni. L'operazione è autorizzata dall'opera medesima, che al blocco 989 propone la prova di sterilità della propria metafora e invita a scorrerla in cerca di un fatto senza fonte. Qui l'invito viene eseguito, e riferito con i numeri di riga.</w:t>
      </w:r>
    </w:p>
    <w:p>
      <w:pPr>
        <w:spacing w:after="120" w:line="276"/>
        <w:jc w:val="both"/>
      </w:pPr>
      <w:r>
        <w:rPr>
          <w:rFonts w:ascii="Barlow Semi Condensed" w:cs="Barlow Semi Condensed" w:eastAsia="Barlow Semi Condensed" w:hAnsi="Barlow Semi Condensed"/>
          <w:b/>
          <w:bCs/>
          <w:sz w:val="24"/>
          <w:szCs w:val="24"/>
        </w:rPr>
        <w:t xml:space="preserve">3932 · Mille blocchi, nessun salto.</w:t>
      </w:r>
      <w:r>
        <w:rPr>
          <w:rFonts w:ascii="Barlow Semi Condensed" w:cs="Barlow Semi Condensed" w:eastAsia="Barlow Semi Condensed" w:hAnsi="Barlow Semi Condensed"/>
          <w:sz w:val="24"/>
          <w:szCs w:val="24"/>
        </w:rPr>
        <w:t xml:space="preserve"> Verifica meccanica eseguita e verbalizzata: l'estrazione delle intestazioni numerate restituisce mille unità esatte, senza duplicati e senza lacune fra uno e mille. Le ampiezze dichiarate in testa alle tredici serie sommano anch'esse mille, e il conteggio annunciato al blocco 485 per la serie sesta coincide con quello effettivo. Accertamento di grado alto sul portatore: riguarda la numerazione, non ciò che i blocchi numerati affermano.</w:t>
      </w:r>
    </w:p>
    <w:p>
      <w:pPr>
        <w:spacing w:after="120" w:line="276"/>
        <w:jc w:val="both"/>
      </w:pPr>
      <w:r>
        <w:rPr>
          <w:rFonts w:ascii="Barlow Semi Condensed" w:cs="Barlow Semi Condensed" w:eastAsia="Barlow Semi Condensed" w:hAnsi="Barlow Semi Condensed"/>
          <w:b/>
          <w:bCs/>
          <w:sz w:val="24"/>
          <w:szCs w:val="24"/>
        </w:rPr>
        <w:t xml:space="preserve">3933 · Il frontespizio replicato due volte.</w:t>
      </w:r>
      <w:r>
        <w:rPr>
          <w:rFonts w:ascii="Barlow Semi Condensed" w:cs="Barlow Semi Condensed" w:eastAsia="Barlow Semi Condensed" w:hAnsi="Barlow Semi Condensed"/>
          <w:sz w:val="24"/>
          <w:szCs w:val="24"/>
        </w:rPr>
        <w:t xml:space="preserve"> Difetto materiale del portatore, accertato per lettura diretta: le righe da uno a ventuno del file e le righe da ventitré a quarantatré sono identiche parola per parola. Titolo, chiave dichiarata, correzione onomastica, statuto probatorio e accertamento di copertina compaiono due volte. È un errore di replicazione nell'opera che dedica la serie ottava all'errore di replicazione. Si emenda per nota, secondo la regola del blocco 622, e non riscrivendo in silenzio.</w:t>
      </w:r>
    </w:p>
    <w:p>
      <w:pPr>
        <w:spacing w:after="120" w:line="276"/>
        <w:jc w:val="both"/>
      </w:pPr>
      <w:r>
        <w:rPr>
          <w:rFonts w:ascii="Barlow Semi Condensed" w:cs="Barlow Semi Condensed" w:eastAsia="Barlow Semi Condensed" w:hAnsi="Barlow Semi Condensed"/>
          <w:b/>
          <w:bCs/>
          <w:sz w:val="24"/>
          <w:szCs w:val="24"/>
        </w:rPr>
        <w:t xml:space="preserve">3934 · Fuerth contro Fürth.</w:t>
      </w:r>
      <w:r>
        <w:rPr>
          <w:rFonts w:ascii="Barlow Semi Condensed" w:cs="Barlow Semi Condensed" w:eastAsia="Barlow Semi Condensed" w:hAnsi="Barlow Semi Condensed"/>
          <w:sz w:val="24"/>
          <w:szCs w:val="24"/>
        </w:rPr>
        <w:t xml:space="preserve"> Alla riga 346 e alla riga 674 il file scrive «Fuerth»: sono i blocchi 141 e 297. Altre dieci occorrenze del medesimo file scrivono «Fürth». La cronologia del deposito registra un intervento del 26 agosto 2026 intitolato al restauro dei diacritici nella serie terza, che non raggiunse il blocco 141, il quale a quella serie appartiene. È la variante silente descritta dal blocco 563, osservata dentro il testo che la definisce.</w:t>
      </w:r>
    </w:p>
    <w:p>
      <w:pPr>
        <w:spacing w:after="120" w:line="276"/>
        <w:jc w:val="both"/>
      </w:pPr>
      <w:r>
        <w:rPr>
          <w:rFonts w:ascii="Barlow Semi Condensed" w:cs="Barlow Semi Condensed" w:eastAsia="Barlow Semi Condensed" w:hAnsi="Barlow Semi Condensed"/>
          <w:b/>
          <w:bCs/>
          <w:sz w:val="24"/>
          <w:szCs w:val="24"/>
        </w:rPr>
        <w:t xml:space="preserve">3935 · Spinola senza il suo accento.</w:t>
      </w:r>
      <w:r>
        <w:rPr>
          <w:rFonts w:ascii="Barlow Semi Condensed" w:cs="Barlow Semi Condensed" w:eastAsia="Barlow Semi Condensed" w:hAnsi="Barlow Semi Condensed"/>
          <w:sz w:val="24"/>
          <w:szCs w:val="24"/>
        </w:rPr>
        <w:t xml:space="preserve"> Stessa classe di variante, seconda occorrenza: il nome del generale portoghese compare cinque volte accentato e tre volte no, e le due forme si distribuiscono fra serie diverse senza criterio dichiarato. Il blocco 148 fa dell'errore condiviso il marcatore più forte di parentela fra copie; applicato qui, l'oscillazione consente di raggruppare i blocchi per mano redazionale. Bersaglio minuto: tabulare le due forme e datarle sulla cronologia del deposito.</w:t>
      </w:r>
    </w:p>
    <w:p>
      <w:pPr>
        <w:spacing w:after="120" w:line="276"/>
        <w:jc w:val="both"/>
      </w:pPr>
      <w:r>
        <w:rPr>
          <w:rFonts w:ascii="Barlow Semi Condensed" w:cs="Barlow Semi Condensed" w:eastAsia="Barlow Semi Condensed" w:hAnsi="Barlow Semi Condensed"/>
          <w:b/>
          <w:bCs/>
          <w:sz w:val="24"/>
          <w:szCs w:val="24"/>
        </w:rPr>
        <w:t xml:space="preserve">3936 · La stringa Harry si è mossa.</w:t>
      </w:r>
      <w:r>
        <w:rPr>
          <w:rFonts w:ascii="Barlow Semi Condensed" w:cs="Barlow Semi Condensed" w:eastAsia="Barlow Semi Condensed" w:hAnsi="Barlow Semi Condensed"/>
          <w:sz w:val="24"/>
          <w:szCs w:val="24"/>
        </w:rPr>
        <w:t xml:space="preserve"> Verbalizzato al blocco 8: la stringa «Harry» compare una sola volta nel branch, riferita al ricercatore citato nella ricognizione portoghese. La verifica ripetuta oggi restituisce dieci righe: quella originaria, la scheda dell'indice dei documenti e otto righe del file stesso, cioè il frontespizio duplicato e i blocchi 1, 5, 6, 8, 9 e 11. La misura è stata alterata dall'atto che la registrava.</w:t>
      </w:r>
    </w:p>
    <w:p>
      <w:pPr>
        <w:spacing w:after="120" w:line="276"/>
        <w:jc w:val="both"/>
      </w:pPr>
      <w:r>
        <w:rPr>
          <w:rFonts w:ascii="Barlow Semi Condensed" w:cs="Barlow Semi Condensed" w:eastAsia="Barlow Semi Condensed" w:hAnsi="Barlow Semi Condensed"/>
          <w:b/>
          <w:bCs/>
          <w:sz w:val="24"/>
          <w:szCs w:val="24"/>
        </w:rPr>
        <w:t xml:space="preserve">3937 · La sigla entra dal blocco 606.</w:t>
      </w:r>
      <w:r>
        <w:rPr>
          <w:rFonts w:ascii="Barlow Semi Condensed" w:cs="Barlow Semi Condensed" w:eastAsia="Barlow Semi Condensed" w:hAnsi="Barlow Semi Condensed"/>
          <w:sz w:val="24"/>
          <w:szCs w:val="24"/>
        </w:rPr>
        <w:t xml:space="preserve"> Effetto identico sul supplemento apocrifo: il blocco 610 dichiara silenzio totale del corpus sulla sigla FM 30-31B, e la ricerca odierna la trova in una sola riga dell'intero deposito, la 1316, che è il blocco 606 dell'opera. Chi verificherà domani troverà dunque un'occorrenza e la crederà esterna. L'esito negativo va perciò datato e circoscritto ai file interrogati, non al branch, che il verificatore stesso modifica.</w:t>
      </w:r>
    </w:p>
    <w:p>
      <w:pPr>
        <w:spacing w:after="120" w:line="276"/>
        <w:jc w:val="both"/>
      </w:pPr>
      <w:r>
        <w:rPr>
          <w:rFonts w:ascii="Barlow Semi Condensed" w:cs="Barlow Semi Condensed" w:eastAsia="Barlow Semi Condensed" w:hAnsi="Barlow Semi Condensed"/>
          <w:b/>
          <w:bCs/>
          <w:sz w:val="24"/>
          <w:szCs w:val="24"/>
        </w:rPr>
        <w:t xml:space="preserve">3938 · Lo zero della quadriga tiene.</w:t>
      </w:r>
      <w:r>
        <w:rPr>
          <w:rFonts w:ascii="Barlow Semi Condensed" w:cs="Barlow Semi Condensed" w:eastAsia="Barlow Semi Condensed" w:hAnsi="Barlow Semi Condensed"/>
          <w:sz w:val="24"/>
          <w:szCs w:val="24"/>
        </w:rPr>
        <w:t xml:space="preserve"> Controverifica indipendente, con esito favorevole all'opera: la stringa del cognome restituisce zero occorrenze in nove-cantieri-mille-blocchi.md, zero in manuale-investigativo-nuovo-caso-moro.md, zero in agenda-di-ricerca-del-nuovo-caso-moro.md. I blocchi 47, 204 e 646 sono confermati. Il motivo della tenuta è strutturale: quei tre file non sono stati toccati dall'opera, sicché la misura riguarda un oggetto che il misuratore non poteva alterare.</w:t>
      </w:r>
    </w:p>
    <w:p>
      <w:pPr>
        <w:spacing w:after="120" w:line="276"/>
        <w:jc w:val="both"/>
      </w:pPr>
      <w:r>
        <w:rPr>
          <w:rFonts w:ascii="Barlow Semi Condensed" w:cs="Barlow Semi Condensed" w:eastAsia="Barlow Semi Condensed" w:hAnsi="Barlow Semi Condensed"/>
          <w:b/>
          <w:bCs/>
          <w:sz w:val="24"/>
          <w:szCs w:val="24"/>
        </w:rPr>
        <w:t xml:space="preserve">3939 · Perimetrare per file, non per branch.</w:t>
      </w:r>
      <w:r>
        <w:rPr>
          <w:rFonts w:ascii="Barlow Semi Condensed" w:cs="Barlow Semi Condensed" w:eastAsia="Barlow Semi Condensed" w:hAnsi="Barlow Semi Condensed"/>
          <w:sz w:val="24"/>
          <w:szCs w:val="24"/>
        </w:rPr>
        <w:t xml:space="preserve"> Regola di lettura ricavata dai tre casi precedenti, applicabile a ogni verifica meccanica futura del corpus: il perimetro di una ricerca a vuoto si dichiara elencando i file interrogati con la loro data, mai nominando l'insieme che conterrà anche il documento in scrittura. Il blocco 285 dell'agenda chiede dove, quando e con quale perimetro; questa serie aggiunge la clausola che rende la risposta stabile nel tempo.</w:t>
      </w:r>
    </w:p>
    <w:p>
      <w:pPr>
        <w:spacing w:after="120" w:line="276"/>
        <w:jc w:val="both"/>
      </w:pPr>
      <w:r>
        <w:rPr>
          <w:rFonts w:ascii="Barlow Semi Condensed" w:cs="Barlow Semi Condensed" w:eastAsia="Barlow Semi Condensed" w:hAnsi="Barlow Semi Condensed"/>
          <w:b/>
          <w:bCs/>
          <w:sz w:val="24"/>
          <w:szCs w:val="24"/>
        </w:rPr>
        <w:t xml:space="preserve">3940 · Il manifesto e i manifesti.</w:t>
      </w:r>
      <w:r>
        <w:rPr>
          <w:rFonts w:ascii="Barlow Semi Condensed" w:cs="Barlow Semi Condensed" w:eastAsia="Barlow Semi Condensed" w:hAnsi="Barlow Semi Condensed"/>
          <w:sz w:val="24"/>
          <w:szCs w:val="24"/>
        </w:rPr>
        <w:t xml:space="preserve"> Escluso dal blocco 24 come fonte, il quotidiano «il manifesto» produce nella ricerca della stringa sei righe del file: una sola è l'esclusione, alla riga 96, e cinque riguardano il manifesto tratto dalla fotografia di Korda, ai blocchi 435, 520, 573, 732 e 952. È il falso positivo che il blocco 9 descrive in astratto, verificatosi dentro l'opera che lo descriveva. La stringa va cercata con il suo contesto.</w:t>
      </w:r>
    </w:p>
    <w:p>
      <w:pPr>
        <w:spacing w:after="120" w:line="276"/>
        <w:jc w:val="both"/>
      </w:pPr>
      <w:r>
        <w:rPr>
          <w:rFonts w:ascii="Barlow Semi Condensed" w:cs="Barlow Semi Condensed" w:eastAsia="Barlow Semi Condensed" w:hAnsi="Barlow Semi Condensed"/>
          <w:b/>
          <w:bCs/>
          <w:sz w:val="24"/>
          <w:szCs w:val="24"/>
        </w:rPr>
        <w:t xml:space="preserve">3941 · Le due esclusioni sono rispettate.</w:t>
      </w:r>
      <w:r>
        <w:rPr>
          <w:rFonts w:ascii="Barlow Semi Condensed" w:cs="Barlow Semi Condensed" w:eastAsia="Barlow Semi Condensed" w:hAnsi="Barlow Semi Condensed"/>
          <w:sz w:val="24"/>
          <w:szCs w:val="24"/>
        </w:rPr>
        <w:t xml:space="preserve"> Accertamento di segno favorevole, da registrare con la stessa cura dei difetti: l'enciclopedia vietata compare una volta soltanto, nel blocco 24 che la vieta, e il quotidiano vietato non è mai adoperato come fonte in alcuno dei mille blocchi. Il divieto del committente non è stato aggirato per interposta citazione. La verifica è ripetibile in un minuto da chiunque disponga del file, ed è questo che la rende un accertamento.</w:t>
      </w:r>
    </w:p>
    <w:p>
      <w:pPr>
        <w:spacing w:after="120" w:line="276"/>
        <w:jc w:val="both"/>
      </w:pPr>
      <w:r>
        <w:rPr>
          <w:rFonts w:ascii="Barlow Semi Condensed" w:cs="Barlow Semi Condensed" w:eastAsia="Barlow Semi Condensed" w:hAnsi="Barlow Semi Condensed"/>
          <w:b/>
          <w:bCs/>
          <w:sz w:val="24"/>
          <w:szCs w:val="24"/>
        </w:rPr>
        <w:t xml:space="preserve">3942 · Angola non entra mai.</w:t>
      </w:r>
      <w:r>
        <w:rPr>
          <w:rFonts w:ascii="Barlow Semi Condensed" w:cs="Barlow Semi Condensed" w:eastAsia="Barlow Semi Condensed" w:hAnsi="Barlow Semi Condensed"/>
          <w:sz w:val="24"/>
          <w:szCs w:val="24"/>
        </w:rPr>
        <w:t xml:space="preserve"> Zero occorrenze restituisce la parola intera nell'intero file. Eppure aldo-moro-una-guerra-senza-fine-parte-terza.md, alla riga 84, elenca l'Angola fra gli archi documentati che il corpus attribuisce a questo nome, accanto al Cile. Mille blocchi costruiti su quel nome non toccano uno dei tre archi che il corpus gli assegnava. Stato Zero di trasmissione, con la sede che lo chiuderebbe: i volumi FRUS sull'Africa australe e i fondi del Consiglio di sicurezza nazionale a College Park.</w:t>
      </w:r>
    </w:p>
    <w:p>
      <w:pPr>
        <w:spacing w:after="120" w:line="276"/>
        <w:jc w:val="both"/>
      </w:pPr>
      <w:r>
        <w:rPr>
          <w:rFonts w:ascii="Barlow Semi Condensed" w:cs="Barlow Semi Condensed" w:eastAsia="Barlow Semi Condensed" w:hAnsi="Barlow Semi Condensed"/>
          <w:b/>
          <w:bCs/>
          <w:sz w:val="24"/>
          <w:szCs w:val="24"/>
        </w:rPr>
        <w:t xml:space="preserve">3943 · I fondi ai servizi italiani.</w:t>
      </w:r>
      <w:r>
        <w:rPr>
          <w:rFonts w:ascii="Barlow Semi Condensed" w:cs="Barlow Semi Condensed" w:eastAsia="Barlow Semi Condensed" w:hAnsi="Barlow Semi Condensed"/>
          <w:sz w:val="24"/>
          <w:szCs w:val="24"/>
        </w:rPr>
        <w:t xml:space="preserve"> Elenca la stessa riga 84 della Parte terza, fra quegli archi, «i fondi ai servizi italiani». I blocchi 114, 242 e 866 documentano invece che l'11 marzo 1969 il Comitato dei 303 convenne all'unanimità sull'assenza di reale giustificazione per riprendere il finanziamento coperto. Le due proposizioni non si compongono e nessuna delle due cita l'altra. La divergenza si riporta; la chiuderebbe la segnatura primaria che la Parte terza non produce.</w:t>
      </w:r>
    </w:p>
    <w:p>
      <w:pPr>
        <w:spacing w:after="120" w:line="276"/>
        <w:jc w:val="both"/>
      </w:pPr>
      <w:r>
        <w:rPr>
          <w:rFonts w:ascii="Barlow Semi Condensed" w:cs="Barlow Semi Condensed" w:eastAsia="Barlow Semi Condensed" w:hAnsi="Barlow Semi Condensed"/>
          <w:b/>
          <w:bCs/>
          <w:sz w:val="24"/>
          <w:szCs w:val="24"/>
        </w:rPr>
        <w:t xml:space="preserve">3944 · Un fascicolo citato e mai visto.</w:t>
      </w:r>
      <w:r>
        <w:rPr>
          <w:rFonts w:ascii="Barlow Semi Condensed" w:cs="Barlow Semi Condensed" w:eastAsia="Barlow Semi Condensed" w:hAnsi="Barlow Semi Condensed"/>
          <w:sz w:val="24"/>
          <w:szCs w:val="24"/>
        </w:rPr>
        <w:t xml:space="preserve"> Rinvia la medesima riga a «il fascicolo su Kissinger», descritto come triangolazione già condotta nel corpus. Nessun file del deposito porta quel nome e i mille blocchi non lo nominano. Il blocco 463 prevede esattamente questo caso e impone l'alternativa: o la segnatura, o la scheda del citato e non reperito. Bersaglio: aprire quella scheda, con la data della ricerca, e collocarla accanto alla riga che vi rinvia.</w:t>
      </w:r>
    </w:p>
    <w:p>
      <w:pPr>
        <w:spacing w:after="120" w:line="276"/>
        <w:jc w:val="both"/>
      </w:pPr>
      <w:r>
        <w:rPr>
          <w:rFonts w:ascii="Barlow Semi Condensed" w:cs="Barlow Semi Condensed" w:eastAsia="Barlow Semi Condensed" w:hAnsi="Barlow Semi Condensed"/>
          <w:b/>
          <w:bCs/>
          <w:sz w:val="24"/>
          <w:szCs w:val="24"/>
        </w:rPr>
        <w:t xml:space="preserve">3945 · La smentita era già altrove.</w:t>
      </w:r>
      <w:r>
        <w:rPr>
          <w:rFonts w:ascii="Barlow Semi Condensed" w:cs="Barlow Semi Condensed" w:eastAsia="Barlow Semi Condensed" w:hAnsi="Barlow Semi Condensed"/>
          <w:sz w:val="24"/>
          <w:szCs w:val="24"/>
        </w:rPr>
        <w:t xml:space="preserve"> Rimprovera il blocco 768 alla prima redazione del nodo del corpus di aver omesso la smentita dell'interessato. La cronologia del deposito mostra però che la Parte terza, depositata il 24 agosto 2026, alla riga 82 già scriveva «sempre smentito da Kissinger», un giorno prima dell'opera. L'omissione riguarda dunque il solo nodo M-5 della triangolazione Guevara-Moro, non il corpus. La correzione va ricalibrata sul suo bersaglio effettivo.</w:t>
      </w:r>
    </w:p>
    <w:p>
      <w:pPr>
        <w:spacing w:after="120" w:line="276"/>
        <w:jc w:val="both"/>
      </w:pPr>
      <w:r>
        <w:rPr>
          <w:rFonts w:ascii="Barlow Semi Condensed" w:cs="Barlow Semi Condensed" w:eastAsia="Barlow Semi Condensed" w:hAnsi="Barlow Semi Condensed"/>
          <w:b/>
          <w:bCs/>
          <w:sz w:val="24"/>
          <w:szCs w:val="24"/>
        </w:rPr>
        <w:t xml:space="preserve">3946 · Il verbatim che nessuno riproduce.</w:t>
      </w:r>
      <w:r>
        <w:rPr>
          <w:rFonts w:ascii="Barlow Semi Condensed" w:cs="Barlow Semi Condensed" w:eastAsia="Barlow Semi Condensed" w:hAnsi="Barlow Semi Condensed"/>
          <w:sz w:val="24"/>
          <w:szCs w:val="24"/>
        </w:rPr>
        <w:t xml:space="preserve"> Reca il nodo M-5, alla riga 96 di triangolazioni-guevara-moro.md, la frase attribuita fra virgolette. Nessuno dei mille blocchi la riproduce, né dichiara da quale testimone la virgolettatura provenga. Il blocco 569 impone di registrare del testimone più antico la data, la sede, la lingua e la forma esatta. Bersaglio con sede: il verbale d'udienza della Corte d'assise di Roma del novembre 1982, presso la cancelleria che lo conserva.</w:t>
      </w:r>
    </w:p>
    <w:p>
      <w:pPr>
        <w:spacing w:after="120" w:line="276"/>
        <w:jc w:val="both"/>
      </w:pPr>
      <w:r>
        <w:rPr>
          <w:rFonts w:ascii="Barlow Semi Condensed" w:cs="Barlow Semi Condensed" w:eastAsia="Barlow Semi Condensed" w:hAnsi="Barlow Semi Condensed"/>
          <w:b/>
          <w:bCs/>
          <w:sz w:val="24"/>
          <w:szCs w:val="24"/>
        </w:rPr>
        <w:t xml:space="preserve">3947 · Due redazioni della stessa correzione.</w:t>
      </w:r>
      <w:r>
        <w:rPr>
          <w:rFonts w:ascii="Barlow Semi Condensed" w:cs="Barlow Semi Condensed" w:eastAsia="Barlow Semi Condensed" w:hAnsi="Barlow Semi Condensed"/>
          <w:sz w:val="24"/>
          <w:szCs w:val="24"/>
        </w:rPr>
        <w:t xml:space="preserve"> Esistono in due luoghi le sette precisazioni sull'avvertimento: l'Apparato K-4 dell'opera e la nota di revisione aggiunta a triangolazioni-guevara-moro.md il 25 agosto 2026. I due testi non coincidono parola per parola. Il blocco 240 prescrive la collazione fra testimoni con l'apparato delle varianti; qui i due testimoni appartengono allo stesso autore e allo stesso giorno. Bersaglio interno: allineare le due lezioni o dichiarare quale sia autorevole.</w:t>
      </w:r>
    </w:p>
    <w:p>
      <w:pPr>
        <w:spacing w:after="120" w:line="276"/>
        <w:jc w:val="both"/>
      </w:pPr>
      <w:r>
        <w:rPr>
          <w:rFonts w:ascii="Barlow Semi Condensed" w:cs="Barlow Semi Condensed" w:eastAsia="Barlow Semi Condensed" w:hAnsi="Barlow Semi Condensed"/>
          <w:b/>
          <w:bCs/>
          <w:sz w:val="24"/>
          <w:szCs w:val="24"/>
        </w:rPr>
        <w:t xml:space="preserve">3948 · Confermato in sede parlamentare.</w:t>
      </w:r>
      <w:r>
        <w:rPr>
          <w:rFonts w:ascii="Barlow Semi Condensed" w:cs="Barlow Semi Condensed" w:eastAsia="Barlow Semi Condensed" w:hAnsi="Barlow Semi Condensed"/>
          <w:sz w:val="24"/>
          <w:szCs w:val="24"/>
        </w:rPr>
        <w:t xml:space="preserve"> Ricorre la formula ai blocchi 44, 90, 185, 225, 312, 429, 751, 849 e 874. I blocchi 695, 753, 754, 877 e 879 accertano invece che la vedova parlò di un'alta personalità senza nominarla e che il nome fu ottenuto in aula dal presidente della corte nel 1982. La precisazione non ha raggiunto le nove occorrenze anteriori. Il blocco 475 vuole la qualificazione nella stessa frase del dato: qui non vi è.</w:t>
      </w:r>
    </w:p>
    <w:p>
      <w:pPr>
        <w:spacing w:after="120" w:line="276"/>
        <w:jc w:val="both"/>
      </w:pPr>
      <w:r>
        <w:rPr>
          <w:rFonts w:ascii="Barlow Semi Condensed" w:cs="Barlow Semi Condensed" w:eastAsia="Barlow Semi Condensed" w:hAnsi="Barlow Semi Condensed"/>
          <w:b/>
          <w:bCs/>
          <w:sz w:val="24"/>
          <w:szCs w:val="24"/>
        </w:rPr>
        <w:t xml:space="preserve">3949 · L'insofferenza di Helsinki sale di grado.</w:t>
      </w:r>
      <w:r>
        <w:rPr>
          <w:rFonts w:ascii="Barlow Semi Condensed" w:cs="Barlow Semi Condensed" w:eastAsia="Barlow Semi Condensed" w:hAnsi="Barlow Semi Condensed"/>
          <w:sz w:val="24"/>
          <w:szCs w:val="24"/>
        </w:rPr>
        <w:t xml:space="preserve"> Dichiarato di provenienza pubblicistica e secondaria al blocco 43, il rilievo sull'insofferenza per il coinvolgimento comunitario diventa «fatto pubblico» registrato dal corpus al blocco 738 e «dato acquisito» al blocco 872. Il blocco 256 ne chiedeva il primario e non lo ha ottenuto. È promozione per ripetizione interna, cioè il vizio che il blocco 882 chiama pseudoreplica. Deciderebbe il volume FRUS XXXIX, con i memoranda della Ford Library per luglio e agosto 1975.</w:t>
      </w:r>
    </w:p>
    <w:p>
      <w:pPr>
        <w:spacing w:after="120" w:line="276"/>
        <w:jc w:val="both"/>
      </w:pPr>
      <w:r>
        <w:rPr>
          <w:rFonts w:ascii="Barlow Semi Condensed" w:cs="Barlow Semi Condensed" w:eastAsia="Barlow Semi Condensed" w:hAnsi="Barlow Semi Condensed"/>
          <w:b/>
          <w:bCs/>
          <w:sz w:val="24"/>
          <w:szCs w:val="24"/>
        </w:rPr>
        <w:t xml:space="preserve">3950 · Il Comitato dei 40, due statuti.</w:t>
      </w:r>
      <w:r>
        <w:rPr>
          <w:rFonts w:ascii="Barlow Semi Condensed" w:cs="Barlow Semi Condensed" w:eastAsia="Barlow Semi Condensed" w:hAnsi="Barlow Semi Condensed"/>
          <w:sz w:val="24"/>
          <w:szCs w:val="24"/>
        </w:rPr>
        <w:t xml:space="preserve"> Un direttivo presidenziale sostituì agli inizi del 1970 il Comitato dei 303: il blocco 245 ne fa un quesito aperto e ne chiede data e segnatura esatte, il blocco 500 ne afferma la ridenominazione nel febbraio 1970 senza produrle. Quesito e asserzione sullo stesso oggetto convivono a duecentocinquantacinque blocchi di distanza. Si chiude sulla serie dei direttivi del Consiglio di sicurezza nazionale presso i National Archives di College Park.</w:t>
      </w:r>
    </w:p>
    <w:p>
      <w:pPr>
        <w:spacing w:after="120" w:line="276"/>
        <w:jc w:val="both"/>
      </w:pPr>
      <w:r>
        <w:rPr>
          <w:rFonts w:ascii="Barlow Semi Condensed" w:cs="Barlow Semi Condensed" w:eastAsia="Barlow Semi Condensed" w:hAnsi="Barlow Semi Condensed"/>
          <w:b/>
          <w:bCs/>
          <w:sz w:val="24"/>
          <w:szCs w:val="24"/>
        </w:rPr>
        <w:t xml:space="preserve">3951 · Un rapporto diretto, oppure tre.</w:t>
      </w:r>
      <w:r>
        <w:rPr>
          <w:rFonts w:ascii="Barlow Semi Condensed" w:cs="Barlow Semi Condensed" w:eastAsia="Barlow Semi Condensed" w:hAnsi="Barlow Semi Condensed"/>
          <w:sz w:val="24"/>
          <w:szCs w:val="24"/>
        </w:rPr>
        <w:t xml:space="preserve"> Scrive il blocco 37 che il rapporto diretto documentato fra Moro e Kissinger «è uno», e nella stessa frase gliene affianca un secondo, il verbale del 26 settembre. Il blocco 893 ne conta tre, includendo la firma di Helsinki e la riunione del marzo 1969, che però non è un rapporto fra i due. Il conteggio del piano uno non è stabile dentro l'opera, e va fissato una volta con l'elenco delle segnature.</w:t>
      </w:r>
    </w:p>
    <w:p>
      <w:pPr>
        <w:spacing w:after="120" w:line="276"/>
        <w:jc w:val="both"/>
      </w:pPr>
      <w:r>
        <w:rPr>
          <w:rFonts w:ascii="Barlow Semi Condensed" w:cs="Barlow Semi Condensed" w:eastAsia="Barlow Semi Condensed" w:hAnsi="Barlow Semi Condensed"/>
          <w:b/>
          <w:bCs/>
          <w:sz w:val="24"/>
          <w:szCs w:val="24"/>
        </w:rPr>
        <w:t xml:space="preserve">3952 · La seconda edizione riveduta, disattesa.</w:t>
      </w:r>
      <w:r>
        <w:rPr>
          <w:rFonts w:ascii="Barlow Semi Condensed" w:cs="Barlow Semi Condensed" w:eastAsia="Barlow Semi Condensed" w:hAnsi="Barlow Semi Condensed"/>
          <w:sz w:val="24"/>
          <w:szCs w:val="24"/>
        </w:rPr>
        <w:t xml:space="preserve"> Stabilisce il blocco 676 che il documento 350 del volume E-15 parte seconda vada citato nella seconda edizione riveduta, perché due edizioni possono divergere e una verifica irripetibile non è una verifica. I blocchi 37, 187, 214, 301, 426, 509, 861 e 978 citano quel documento senza indicare l'edizione. La regola più minuta che l'opera si è data è quella che l'opera osserva meno. Emenda a costo nullo, eseguibile sul file.</w:t>
      </w:r>
    </w:p>
    <w:p>
      <w:pPr>
        <w:spacing w:after="120" w:line="276"/>
        <w:jc w:val="both"/>
      </w:pPr>
      <w:r>
        <w:rPr>
          <w:rFonts w:ascii="Barlow Semi Condensed" w:cs="Barlow Semi Condensed" w:eastAsia="Barlow Semi Condensed" w:hAnsi="Barlow Semi Condensed"/>
          <w:b/>
          <w:bCs/>
          <w:sz w:val="24"/>
          <w:szCs w:val="24"/>
        </w:rPr>
        <w:t xml:space="preserve">3953 · Wiriyamu, i nominativi migrati.</w:t>
      </w:r>
      <w:r>
        <w:rPr>
          <w:rFonts w:ascii="Barlow Semi Condensed" w:cs="Barlow Semi Condensed" w:eastAsia="Barlow Semi Condensed" w:hAnsi="Barlow Semi Condensed"/>
          <w:sz w:val="24"/>
          <w:szCs w:val="24"/>
        </w:rPr>
        <w:t xml:space="preserve"> Riporta il blocco 333 la forbice delle vittime di Wiriyamu e scrive «trecentottantacinque nominativi accertati». La fonte interna che l'opera dichiara, la tavola delle divergenze della seconda campagna, registra «almeno 385» senza qualificazione nominativa, e attribuisce invece a una stima di quattrocento la presenza di centosettantasette identificati per nome. Il numero centosettantasette scompare e l'aggettivo migra. È mutazione di trascrizione accertata sul testimone, del genere che il blocco 564 chiama mutazione di senso.</w:t>
      </w:r>
    </w:p>
    <w:p>
      <w:pPr>
        <w:spacing w:after="120" w:line="276"/>
        <w:jc w:val="both"/>
      </w:pPr>
      <w:r>
        <w:rPr>
          <w:rFonts w:ascii="Barlow Semi Condensed" w:cs="Barlow Semi Condensed" w:eastAsia="Barlow Semi Condensed" w:hAnsi="Barlow Semi Condensed"/>
          <w:b/>
          <w:bCs/>
          <w:sz w:val="24"/>
          <w:szCs w:val="24"/>
        </w:rPr>
        <w:t xml:space="preserve">3954 · Undici giorni fissano una data contesa.</w:t>
      </w:r>
      <w:r>
        <w:rPr>
          <w:rFonts w:ascii="Barlow Semi Condensed" w:cs="Barlow Semi Condensed" w:eastAsia="Barlow Semi Condensed" w:hAnsi="Barlow Semi Condensed"/>
          <w:sz w:val="24"/>
          <w:szCs w:val="24"/>
        </w:rPr>
        <w:t xml:space="preserve"> Apre il blocco 329 dicendo che l'espulsione avvenne «undici giorni prima della rivoluzione» e prosegue dichiarando la data oscillante fra il 10 e il 14 aprile 1974. L'aritmetica presuppone il 14; la fonte interna del corpus indica il 13, sabato santo, come variante più ricorrente, e propone la forbice fra il 12 e il 14. Una divergenza dichiarata nella seconda frase è già stata risolta in silenzio dalla prima.</w:t>
      </w:r>
    </w:p>
    <w:p>
      <w:pPr>
        <w:spacing w:after="120" w:line="276"/>
        <w:jc w:val="both"/>
      </w:pPr>
      <w:r>
        <w:rPr>
          <w:rFonts w:ascii="Barlow Semi Condensed" w:cs="Barlow Semi Condensed" w:eastAsia="Barlow Semi Condensed" w:hAnsi="Barlow Semi Condensed"/>
          <w:b/>
          <w:bCs/>
          <w:sz w:val="24"/>
          <w:szCs w:val="24"/>
        </w:rPr>
        <w:t xml:space="preserve">3955 · Tre divergenze non trasmesse.</w:t>
      </w:r>
      <w:r>
        <w:rPr>
          <w:rFonts w:ascii="Barlow Semi Condensed" w:cs="Barlow Semi Condensed" w:eastAsia="Barlow Semi Condensed" w:hAnsi="Barlow Semi Condensed"/>
          <w:sz w:val="24"/>
          <w:szCs w:val="24"/>
        </w:rPr>
        <w:t xml:space="preserve"> Otto divergenze aperte elenca la tavola della seconda campagna. I mille blocchi ne trasmettono cinque. Restano fuori il comunicato sul riconoscimento della Cina, datato al 5 o al 6 novembre 1970, le date del serpente monetario e la duplice datazione della conferenza di solidarietà di Reggio Emilia del 1973. Verifica eseguita: le stringhe «Cina» e «serpente» non compaiono nel file. Il blocco 592, che dichiara di tenere l'elenco aperto, ne tiene metà.</w:t>
      </w:r>
    </w:p>
    <w:p>
      <w:pPr>
        <w:spacing w:after="120" w:line="276"/>
        <w:jc w:val="both"/>
      </w:pPr>
      <w:r>
        <w:rPr>
          <w:rFonts w:ascii="Barlow Semi Condensed" w:cs="Barlow Semi Condensed" w:eastAsia="Barlow Semi Condensed" w:hAnsi="Barlow Semi Condensed"/>
          <w:b/>
          <w:bCs/>
          <w:sz w:val="24"/>
          <w:szCs w:val="24"/>
        </w:rPr>
        <w:t xml:space="preserve">3956 · Pignedoli e Sossi restano fuori.</w:t>
      </w:r>
      <w:r>
        <w:rPr>
          <w:rFonts w:ascii="Barlow Semi Condensed" w:cs="Barlow Semi Condensed" w:eastAsia="Barlow Semi Condensed" w:hAnsi="Barlow Semi Condensed"/>
          <w:sz w:val="24"/>
          <w:szCs w:val="24"/>
        </w:rPr>
        <w:t xml:space="preserve"> Consegnava la seconda campagna al blocco 193 dei nove cantieri un precedente con nome e data, il canale del cardinale Pignedoli nel sequestro Sossi dell'aprile-maggio 1974, quattro anni prima dei cinquantacinque giorni. Nessuno dei due nomi compare nel file. La serie settima, che tratta per intero il canale ecclesiastico ai blocchi 530-539, non lo raccoglie. Stato Zero di trasmissione, chiudibile sul fascicolo Sossi e sulle carte della Segreteria di Stato.</w:t>
      </w:r>
    </w:p>
    <w:p>
      <w:pPr>
        <w:spacing w:after="120" w:line="276"/>
        <w:jc w:val="both"/>
      </w:pPr>
      <w:r>
        <w:rPr>
          <w:rFonts w:ascii="Barlow Semi Condensed" w:cs="Barlow Semi Condensed" w:eastAsia="Barlow Semi Condensed" w:hAnsi="Barlow Semi Condensed"/>
          <w:b/>
          <w:bCs/>
          <w:sz w:val="24"/>
          <w:szCs w:val="24"/>
        </w:rPr>
        <w:t xml:space="preserve">3957 · Il fondo Zagari non arriva.</w:t>
      </w:r>
      <w:r>
        <w:rPr>
          <w:rFonts w:ascii="Barlow Semi Condensed" w:cs="Barlow Semi Condensed" w:eastAsia="Barlow Semi Condensed" w:hAnsi="Barlow Semi Condensed"/>
          <w:sz w:val="24"/>
          <w:szCs w:val="24"/>
        </w:rPr>
        <w:t xml:space="preserve"> Fra i giacimenti nuovi che la seconda campagna aveva consegnato al corpus figura il Fondo Mario Zagari dell'Archivio storico del Senato, con un fascicolo sulle colonie portoghesi. La stringa non compare nel file. L'opera gemella sull'Africa australe lo ha invece raccolto e ne ha fatto un bersaglio. Due opere costruite sullo stesso deposito hanno prelevato in modo diverso dalla stessa consegna: la differenza è di spoglio, e va misurata prima di essere spiegata.</w:t>
      </w:r>
    </w:p>
    <w:p>
      <w:pPr>
        <w:spacing w:after="120" w:line="276"/>
        <w:jc w:val="both"/>
      </w:pPr>
      <w:r>
        <w:rPr>
          <w:rFonts w:ascii="Barlow Semi Condensed" w:cs="Barlow Semi Condensed" w:eastAsia="Barlow Semi Condensed" w:hAnsi="Barlow Semi Condensed"/>
          <w:b/>
          <w:bCs/>
          <w:sz w:val="24"/>
          <w:szCs w:val="24"/>
        </w:rPr>
        <w:t xml:space="preserve">3958 · La scala senza il grado M.</w:t>
      </w:r>
      <w:r>
        <w:rPr>
          <w:rFonts w:ascii="Barlow Semi Condensed" w:cs="Barlow Semi Condensed" w:eastAsia="Barlow Semi Condensed" w:hAnsi="Barlow Semi Condensed"/>
          <w:sz w:val="24"/>
          <w:szCs w:val="24"/>
        </w:rPr>
        <w:t xml:space="preserve"> Cinque voci elenca il blocco 210 come «la scala di sempre»: A, B, C, F e Stato Zero. L'apparato dei gradi del corpus, depositato il 24 agosto 2026, ne adopera una sesta, M, per le asserzioni che sono patti di lettura e non proposizioni sul mondo. Le centinaia di blocchi che nell'opera enunciano regole di lettura restano perciò privi di grado. Bersaglio: recepire la sesta voce o dichiarare perché la si esclude.</w:t>
      </w:r>
    </w:p>
    <w:p>
      <w:pPr>
        <w:spacing w:after="120" w:line="276"/>
        <w:jc w:val="both"/>
      </w:pPr>
      <w:r>
        <w:rPr>
          <w:rFonts w:ascii="Barlow Semi Condensed" w:cs="Barlow Semi Condensed" w:eastAsia="Barlow Semi Condensed" w:hAnsi="Barlow Semi Condensed"/>
          <w:b/>
          <w:bCs/>
          <w:sz w:val="24"/>
          <w:szCs w:val="24"/>
        </w:rPr>
        <w:t xml:space="preserve">3959 · L'autometrica invecchiata dal proprio peso.</w:t>
      </w:r>
      <w:r>
        <w:rPr>
          <w:rFonts w:ascii="Barlow Semi Condensed" w:cs="Barlow Semi Condensed" w:eastAsia="Barlow Semi Condensed" w:hAnsi="Barlow Semi Condensed"/>
          <w:sz w:val="24"/>
          <w:szCs w:val="24"/>
        </w:rPr>
        <w:t xml:space="preserve"> Esibisce il blocco 476 l'automisurazione del branch come fenotipo osservabile da chiunque rifaccia il conto. Il conto rifatto oggi dà cinquantuno file markdown e oltre trecentoquindicimila parole, contro i trentasei documenti e le centoquattromilacinquecentoquattro parole registrate in metodologie-del-dossier-sinaptogenesi-e-strumenti.md. L'opera da sola ne pesa settantaquattromilacinquecentoventisette. La misura invocata è stata resa obsoleta dall'atto che la invocava, e va rifatta e ripubblicata con la sua data.</w:t>
      </w:r>
    </w:p>
    <w:p>
      <w:pPr>
        <w:spacing w:after="120" w:line="276"/>
        <w:jc w:val="both"/>
      </w:pPr>
      <w:r>
        <w:rPr>
          <w:rFonts w:ascii="Barlow Semi Condensed" w:cs="Barlow Semi Condensed" w:eastAsia="Barlow Semi Condensed" w:hAnsi="Barlow Semi Condensed"/>
          <w:b/>
          <w:bCs/>
          <w:sz w:val="24"/>
          <w:szCs w:val="24"/>
        </w:rPr>
        <w:t xml:space="preserve">3960 · Il tasso d'errore mai misurato.</w:t>
      </w:r>
      <w:r>
        <w:rPr>
          <w:rFonts w:ascii="Barlow Semi Condensed" w:cs="Barlow Semi Condensed" w:eastAsia="Barlow Semi Condensed" w:hAnsi="Barlow Semi Condensed"/>
          <w:sz w:val="24"/>
          <w:szCs w:val="24"/>
        </w:rPr>
        <w:t xml:space="preserve"> Esteso dal blocco 626 alla trascrizione delle citazioni, l'obbligo del doppio spoglio indipendente su campione fisso e della pubblicazione dello scarto misurato non risulta eseguito sui mille blocchi: l'Apparato K dichiara due errori trovati in casa, che sono un aneddoto e non un tasso. Stato Zero di metodo, chiudibile senza archivio: bastano un campione dichiarato, due lettori e una riga di risultato pubblicata accanto al testo.</w:t>
      </w:r>
    </w:p>
    <w:p>
      <w:pPr>
        <w:spacing w:after="120" w:line="276"/>
        <w:jc w:val="both"/>
      </w:pPr>
      <w:r>
        <w:rPr>
          <w:rFonts w:ascii="Barlow Semi Condensed" w:cs="Barlow Semi Condensed" w:eastAsia="Barlow Semi Condensed" w:hAnsi="Barlow Semi Condensed"/>
          <w:b/>
          <w:bCs/>
          <w:sz w:val="24"/>
          <w:szCs w:val="24"/>
        </w:rPr>
        <w:t xml:space="preserve">3961 · Il registro delle correzioni non esiste.</w:t>
      </w:r>
      <w:r>
        <w:rPr>
          <w:rFonts w:ascii="Barlow Semi Condensed" w:cs="Barlow Semi Condensed" w:eastAsia="Barlow Semi Condensed" w:hAnsi="Barlow Semi Condensed"/>
          <w:sz w:val="24"/>
          <w:szCs w:val="24"/>
        </w:rPr>
        <w:t xml:space="preserve"> Promette il blocco 11 che ciascuna serie apra e mantenga un proprio registro delle correzioni, con l'indicazione di che cosa sia stato scritto, che cosa emendato, su quale documento e in quale data. Nel file non compare alcun registro di questo genere, né in testa né in coda alle tredici serie. La promessa è di grado M; il suo mancato adempimento è un fatto verificabile sul testo, e si dichiara qui.</w:t>
      </w:r>
    </w:p>
    <w:p>
      <w:pPr>
        <w:spacing w:after="120" w:line="276"/>
        <w:jc w:val="both"/>
      </w:pPr>
      <w:r>
        <w:rPr>
          <w:rFonts w:ascii="Barlow Semi Condensed" w:cs="Barlow Semi Condensed" w:eastAsia="Barlow Semi Condensed" w:hAnsi="Barlow Semi Condensed"/>
          <w:b/>
          <w:bCs/>
          <w:sz w:val="24"/>
          <w:szCs w:val="24"/>
        </w:rPr>
        <w:t xml:space="preserve">3962 · Il conto promesso in chiusura.</w:t>
      </w:r>
      <w:r>
        <w:rPr>
          <w:rFonts w:ascii="Barlow Semi Condensed" w:cs="Barlow Semi Condensed" w:eastAsia="Barlow Semi Condensed" w:hAnsi="Barlow Semi Condensed"/>
          <w:sz w:val="24"/>
          <w:szCs w:val="24"/>
        </w:rPr>
        <w:t xml:space="preserve"> Impegnano i blocchi 13 e 60 ciascuna serie a rispondere di quanti bersagli documentali nuovi la metafora le abbia fatto scrivere, e annunciano che «il conto sarà fatto in chiusura». La sezione conclusiva su ciò che l'opera non ha stabilito non contiene alcun conto. Il criterio dichiarato per giudicare la lente resta inapplicato dall'opera che lo ha dichiarato. Bersaglio interno, eseguibile per conteggio sui blocchi che nominano una sede.</w:t>
      </w:r>
    </w:p>
    <w:p>
      <w:pPr>
        <w:spacing w:after="120" w:line="276"/>
        <w:jc w:val="both"/>
      </w:pPr>
      <w:r>
        <w:rPr>
          <w:rFonts w:ascii="Barlow Semi Condensed" w:cs="Barlow Semi Condensed" w:eastAsia="Barlow Semi Condensed" w:hAnsi="Barlow Semi Condensed"/>
          <w:b/>
          <w:bCs/>
          <w:sz w:val="24"/>
          <w:szCs w:val="24"/>
        </w:rPr>
        <w:t xml:space="preserve">3963 · Quattro strumenti proposti e non costruiti.</w:t>
      </w:r>
      <w:r>
        <w:rPr>
          <w:rFonts w:ascii="Barlow Semi Condensed" w:cs="Barlow Semi Condensed" w:eastAsia="Barlow Semi Condensed" w:hAnsi="Barlow Semi Condensed"/>
          <w:sz w:val="24"/>
          <w:szCs w:val="24"/>
        </w:rPr>
        <w:t xml:space="preserve"> Propone l'opera la scheda della citazione al blocco 579, il registro delle formule apocrife al blocco 603, il registro tabellare dei vuoti al blocco 660 e la cronologia delle rotture di silenzio al blocco 819, quest'ultima definita «prodotto mancante e realizzabile». Nessuno dei quattro esiste nel file. Nessuno dei quattro richiede una sala d'archivio: si costruiscono sul materiale già citato, e la loro assenza si misura, non si giustifica.</w:t>
      </w:r>
    </w:p>
    <w:p>
      <w:pPr>
        <w:spacing w:after="120" w:line="276"/>
        <w:jc w:val="both"/>
      </w:pPr>
      <w:r>
        <w:rPr>
          <w:rFonts w:ascii="Barlow Semi Condensed" w:cs="Barlow Semi Condensed" w:eastAsia="Barlow Semi Condensed" w:hAnsi="Barlow Semi Condensed"/>
          <w:b/>
          <w:bCs/>
          <w:sz w:val="24"/>
          <w:szCs w:val="24"/>
        </w:rPr>
        <w:t xml:space="preserve">3964 · Bersagli per altri, bersagli per sé.</w:t>
      </w:r>
      <w:r>
        <w:rPr>
          <w:rFonts w:ascii="Barlow Semi Condensed" w:cs="Barlow Semi Condensed" w:eastAsia="Barlow Semi Condensed" w:hAnsi="Barlow Semi Condensed"/>
          <w:sz w:val="24"/>
          <w:szCs w:val="24"/>
        </w:rPr>
        <w:t xml:space="preserve"> Ne discende una distinzione che l'opera non fa e che ogni lavoro a blocchi dovrebbe fare: separare i bersagli assegnati a un terzo, che richiedono una tessera d'archivio, dai bersagli assegnati a sé stessi, eseguibili con il materiale già in mano. I primi restano legittimamente aperti; i secondi, restando aperti, misurano il lavoro non fatto. La proporzione fra le due classi è il dato più onesto che un'opera di bersagli possa pubblicare.</w:t>
      </w:r>
    </w:p>
    <w:p>
      <w:pPr>
        <w:spacing w:after="120" w:line="276"/>
        <w:jc w:val="both"/>
      </w:pPr>
      <w:r>
        <w:rPr>
          <w:rFonts w:ascii="Barlow Semi Condensed" w:cs="Barlow Semi Condensed" w:eastAsia="Barlow Semi Condensed" w:hAnsi="Barlow Semi Condensed"/>
          <w:b/>
          <w:bCs/>
          <w:sz w:val="24"/>
          <w:szCs w:val="24"/>
        </w:rPr>
        <w:t xml:space="preserve">3965 · Il raccolto del piano uno.</w:t>
      </w:r>
      <w:r>
        <w:rPr>
          <w:rFonts w:ascii="Barlow Semi Condensed" w:cs="Barlow Semi Condensed" w:eastAsia="Barlow Semi Condensed" w:hAnsi="Barlow Semi Condensed"/>
          <w:sz w:val="24"/>
          <w:szCs w:val="24"/>
        </w:rPr>
        <w:t xml:space="preserve"> Spogliate tutte e tredici le serie, le segnature che l'opera colloca al piano uno sono contate: i due memoranda della Ford Library 1552802 e 1552806, i documenti 180 e 188 del volume FRUS XLI, i documenti 133 e 153 del volume E-15 parte seconda, il documento 264 del volume XXIX, i documenti 16, 23, 25 e 194 del volume XXX, il documento 334 del volume XXXIX, il regolamento comunitario 1842/71 e il rapporto del 22 maggio 1970.</w:t>
      </w:r>
    </w:p>
    <w:p>
      <w:pPr>
        <w:spacing w:after="120" w:line="276"/>
        <w:jc w:val="both"/>
      </w:pPr>
      <w:r>
        <w:rPr>
          <w:rFonts w:ascii="Barlow Semi Condensed" w:cs="Barlow Semi Condensed" w:eastAsia="Barlow Semi Condensed" w:hAnsi="Barlow Semi Condensed"/>
          <w:b/>
          <w:bCs/>
          <w:sz w:val="24"/>
          <w:szCs w:val="24"/>
        </w:rPr>
        <w:t xml:space="preserve">3966 · Due sole carte nominano entrambi.</w:t>
      </w:r>
      <w:r>
        <w:rPr>
          <w:rFonts w:ascii="Barlow Semi Condensed" w:cs="Barlow Semi Condensed" w:eastAsia="Barlow Semi Condensed" w:hAnsi="Barlow Semi Condensed"/>
          <w:sz w:val="24"/>
          <w:szCs w:val="24"/>
        </w:rPr>
        <w:t xml:space="preserve"> Di quell'elenco, le carte che nominano insieme Aldo Moro e Henry Kissinger sono due, e sono i memoranda del 25 e del 26 settembre 1974. Tutte le altre nominano l'uno o l'altro, oppure nessuno dei due. È il risultato più compatto che la rilettura esterna possa consegnare, ed è un accertamento sul corpus e non sul mondo: dice quante carte l'opera ha portato, non quante ne esistano.</w:t>
      </w:r>
    </w:p>
    <w:p>
      <w:pPr>
        <w:spacing w:after="120" w:line="276"/>
        <w:jc w:val="both"/>
      </w:pPr>
      <w:r>
        <w:rPr>
          <w:rFonts w:ascii="Barlow Semi Condensed" w:cs="Barlow Semi Condensed" w:eastAsia="Barlow Semi Condensed" w:hAnsi="Barlow Semi Condensed"/>
          <w:b/>
          <w:bCs/>
          <w:sz w:val="24"/>
          <w:szCs w:val="24"/>
        </w:rPr>
        <w:t xml:space="preserve">3967 · Nessun arco nuovo alla rete.</w:t>
      </w:r>
      <w:r>
        <w:rPr>
          <w:rFonts w:ascii="Barlow Semi Condensed" w:cs="Barlow Semi Condensed" w:eastAsia="Barlow Semi Condensed" w:hAnsi="Barlow Semi Condensed"/>
          <w:sz w:val="24"/>
          <w:szCs w:val="24"/>
        </w:rPr>
        <w:t xml:space="preserve"> Accerta il blocco 52 che nella rete documentata del corpus — trentanove nodi, cinquantanove archi, ventotto di grado A, ventisei F, cinque B — il nome non figura fra i nodi censiti, e rinvia alle serie successive la costruzione degli archi. La verifica su metodologie-del-dossier-sinaptogenesi-e-strumenti.md conferma i numeri e la loro redazione immutata. Dopo mille blocchi la rete non è stata ricalcolata e nessun arco vi è stato aggiunto.</w:t>
      </w:r>
    </w:p>
    <w:p>
      <w:pPr>
        <w:spacing w:after="120" w:line="276"/>
        <w:jc w:val="both"/>
      </w:pPr>
      <w:r>
        <w:rPr>
          <w:rFonts w:ascii="Barlow Semi Condensed" w:cs="Barlow Semi Condensed" w:eastAsia="Barlow Semi Condensed" w:hAnsi="Barlow Semi Condensed"/>
          <w:b/>
          <w:bCs/>
          <w:sz w:val="24"/>
          <w:szCs w:val="24"/>
        </w:rPr>
        <w:t xml:space="preserve">3968 · La colonna americana resta chiusa.</w:t>
      </w:r>
      <w:r>
        <w:rPr>
          <w:rFonts w:ascii="Barlow Semi Condensed" w:cs="Barlow Semi Condensed" w:eastAsia="Barlow Semi Condensed" w:hAnsi="Barlow Semi Condensed"/>
          <w:sz w:val="24"/>
          <w:szCs w:val="24"/>
        </w:rPr>
        <w:t xml:space="preserve"> Rivendica il blocco 49 come primo prodotto operativo dell'opera l'apertura nella quadriga di una colonna statunitense, con la serie FRUS, i Nixon Presidential Materials, la Ford Library e la Carter Library. I tre file della quadriga restano privi di quella colonna e privi del nome, come la verifica odierna conferma. Il bersaglio è dichiarato, non eseguito, e la distinzione fra le due condizioni è quella che il blocco 659 chiama esito trinario.</w:t>
      </w:r>
    </w:p>
    <w:p>
      <w:pPr>
        <w:spacing w:after="120" w:line="276"/>
        <w:jc w:val="both"/>
      </w:pPr>
      <w:r>
        <w:rPr>
          <w:rFonts w:ascii="Barlow Semi Condensed" w:cs="Barlow Semi Condensed" w:eastAsia="Barlow Semi Condensed" w:hAnsi="Barlow Semi Condensed"/>
          <w:b/>
          <w:bCs/>
          <w:sz w:val="24"/>
          <w:szCs w:val="24"/>
        </w:rPr>
        <w:t xml:space="preserve">3969 · Che cosa smentirebbe questa rilettura.</w:t>
      </w:r>
      <w:r>
        <w:rPr>
          <w:rFonts w:ascii="Barlow Semi Condensed" w:cs="Barlow Semi Condensed" w:eastAsia="Barlow Semi Condensed" w:hAnsi="Barlow Semi Condensed"/>
          <w:sz w:val="24"/>
          <w:szCs w:val="24"/>
        </w:rPr>
        <w:t xml:space="preserve"> Va dichiarato prima delle conclusioni il criterio di caduta. Questa serie cadrebbe davanti alla produzione di una terza carta, coeva e con segnatura, che nomini insieme i due uomini e che le tredici serie avessero già citato senza che la rilettura la registri; oppure davanti alla dimostrazione che uno dei difetti materiali qui elencati non è nel file. Entrambe le smentite si eseguono sul testo, in una sola seduta di lettura.</w:t>
      </w:r>
    </w:p>
    <w:p>
      <w:pPr>
        <w:spacing w:after="120" w:line="276"/>
        <w:jc w:val="both"/>
      </w:pPr>
      <w:r>
        <w:rPr>
          <w:rFonts w:ascii="Barlow Semi Condensed" w:cs="Barlow Semi Condensed" w:eastAsia="Barlow Semi Condensed" w:hAnsi="Barlow Semi Condensed"/>
          <w:b/>
          <w:bCs/>
          <w:sz w:val="24"/>
          <w:szCs w:val="24"/>
        </w:rPr>
        <w:t xml:space="preserve">3970 · L'agenzia del 30 novembre 2023.</w:t>
      </w:r>
      <w:r>
        <w:rPr>
          <w:rFonts w:ascii="Barlow Semi Condensed" w:cs="Barlow Semi Condensed" w:eastAsia="Barlow Semi Condensed" w:hAnsi="Barlow Semi Condensed"/>
          <w:sz w:val="24"/>
          <w:szCs w:val="24"/>
        </w:rPr>
        <w:t xml:space="preserve"> Ripetuto ai blocchi 523, 572, 730, 758, 881 e 979 e nell'Apparato K-4, l'accertamento sulla moltiplicazione apparente delle fonti prende sempre la forma «un unico lancio d'agenzia del 30 novembre 2023». L'agenzia non è mai nominata, il lancio non ha numero e nessun blocco indica dove leggerlo. Il blocco 569 esige del testimone più antico data, sede, lingua e forma esatta. Bersaglio: identificare il dispaccio negli archivi delle agenzie.</w:t>
      </w:r>
    </w:p>
    <w:p>
      <w:pPr>
        <w:spacing w:after="120" w:line="276"/>
        <w:jc w:val="both"/>
      </w:pPr>
      <w:r>
        <w:rPr>
          <w:rFonts w:ascii="Barlow Semi Condensed" w:cs="Barlow Semi Condensed" w:eastAsia="Barlow Semi Condensed" w:hAnsi="Barlow Semi Condensed"/>
          <w:b/>
          <w:bCs/>
          <w:sz w:val="24"/>
          <w:szCs w:val="24"/>
        </w:rPr>
        <w:t xml:space="preserve">3971 · Il dispaccio dell'aprile 1983.</w:t>
      </w:r>
      <w:r>
        <w:rPr>
          <w:rFonts w:ascii="Barlow Semi Condensed" w:cs="Barlow Semi Condensed" w:eastAsia="Barlow Semi Condensed" w:hAnsi="Barlow Semi Condensed"/>
          <w:sz w:val="24"/>
          <w:szCs w:val="24"/>
        </w:rPr>
        <w:t xml:space="preserve"> Identica lacuna sull'altro capo della catena: la fonte che colloca l'alterco all'ambasciata d'Italia a Washington nel 1977 è citata più volte come «fonte d'agenzia statunitense dell'aprile 1983» e non è mai identificata. Su di essa poggia la divergenza di data che i blocchi 591 e 756 dichiarano dirimente. Una divergenza dirimente fondata su una fonte innominata non è ancora una divergenza accertata: è una divergenza riferita.</w:t>
      </w:r>
    </w:p>
    <w:p>
      <w:pPr>
        <w:spacing w:after="120" w:line="276"/>
        <w:jc w:val="both"/>
      </w:pPr>
      <w:r>
        <w:rPr>
          <w:rFonts w:ascii="Barlow Semi Condensed" w:cs="Barlow Semi Condensed" w:eastAsia="Barlow Semi Condensed" w:hAnsi="Barlow Semi Condensed"/>
          <w:b/>
          <w:bCs/>
          <w:sz w:val="24"/>
          <w:szCs w:val="24"/>
        </w:rPr>
        <w:t xml:space="preserve">3972 · La pubblicazione del 1982.</w:t>
      </w:r>
      <w:r>
        <w:rPr>
          <w:rFonts w:ascii="Barlow Semi Condensed" w:cs="Barlow Semi Condensed" w:eastAsia="Barlow Semi Condensed" w:hAnsi="Barlow Semi Condensed"/>
          <w:sz w:val="24"/>
          <w:szCs w:val="24"/>
        </w:rPr>
        <w:t xml:space="preserve"> Qualificato ai blocchi 731, 758 e 881 come proveniente da «una pubblicazione di orientamento cospirazionista», il rilancio internazionale del 1982 è citabile come dato di circolazione. Il blocco 611 impone però la forma corretta della citazione di un contestato, che consiste nel nominarlo e nel reggerlo con il verbo giusto. Senza il nome, il dato di circolazione non è verificabile e la qualificazione resta un giudizio. Sede: le emeroteche per l'annata 1982.</w:t>
      </w:r>
    </w:p>
    <w:p>
      <w:pPr>
        <w:spacing w:after="120" w:line="276"/>
        <w:jc w:val="both"/>
      </w:pPr>
      <w:r>
        <w:rPr>
          <w:rFonts w:ascii="Barlow Semi Condensed" w:cs="Barlow Semi Condensed" w:eastAsia="Barlow Semi Condensed" w:hAnsi="Barlow Semi Condensed"/>
          <w:b/>
          <w:bCs/>
          <w:sz w:val="24"/>
          <w:szCs w:val="24"/>
        </w:rPr>
        <w:t xml:space="preserve">3973 · Il saggio con revisione paritaria.</w:t>
      </w:r>
      <w:r>
        <w:rPr>
          <w:rFonts w:ascii="Barlow Semi Condensed" w:cs="Barlow Semi Condensed" w:eastAsia="Barlow Semi Condensed" w:hAnsi="Barlow Semi Condensed"/>
          <w:sz w:val="24"/>
          <w:szCs w:val="24"/>
        </w:rPr>
        <w:t xml:space="preserve"> Notizia secondaria più ripetuta dell'opera, il riemergere del programma coperto nel novembre 1975 e nel luglio 1976 ricorre ai blocchi 116, 248, 306, 425, 747 e 869. La fonte è sempre «un saggio peer-reviewed», una volta datato al 2024, mai con autore, titolo o rivista. Il blocco 249 prescrive di risalire alla sua nota per raggiungere il primario: senza gli estremi, quella procedura non è eseguibile da nessuno.</w:t>
      </w:r>
    </w:p>
    <w:p>
      <w:pPr>
        <w:spacing w:after="120" w:line="276"/>
        <w:jc w:val="both"/>
      </w:pPr>
      <w:r>
        <w:rPr>
          <w:rFonts w:ascii="Barlow Semi Condensed" w:cs="Barlow Semi Condensed" w:eastAsia="Barlow Semi Condensed" w:hAnsi="Barlow Semi Condensed"/>
          <w:b/>
          <w:bCs/>
          <w:sz w:val="24"/>
          <w:szCs w:val="24"/>
        </w:rPr>
        <w:t xml:space="preserve">3974 · Una promessa non è un bersaglio.</w:t>
      </w:r>
      <w:r>
        <w:rPr>
          <w:rFonts w:ascii="Barlow Semi Condensed" w:cs="Barlow Semi Condensed" w:eastAsia="Barlow Semi Condensed" w:hAnsi="Barlow Semi Condensed"/>
          <w:sz w:val="24"/>
          <w:szCs w:val="24"/>
        </w:rPr>
        <w:t xml:space="preserve"> Vale come regola generale ciò che i quattro casi precedenti impongono: un bersaglio la cui fonte è descritta e non nominata non è eseguibile da un terzo, e perciò non è un bersaglio ma una promessa. Il criterio di riuscita che l'opera si dà — che il lavoro sia eseguibile da altri e falsificabile — richiede in ogni rinvio a fonte secondaria almeno autore, sede e anno. Dove mancano, il blocco si riscrive.</w:t>
      </w:r>
    </w:p>
    <w:p>
      <w:pPr>
        <w:spacing w:after="120" w:line="276"/>
        <w:jc w:val="both"/>
      </w:pPr>
      <w:r>
        <w:rPr>
          <w:rFonts w:ascii="Barlow Semi Condensed" w:cs="Barlow Semi Condensed" w:eastAsia="Barlow Semi Condensed" w:hAnsi="Barlow Semi Condensed"/>
          <w:b/>
          <w:bCs/>
          <w:sz w:val="24"/>
          <w:szCs w:val="24"/>
        </w:rPr>
        <w:t xml:space="preserve">3975 · Il committente oppure l'autore.</w:t>
      </w:r>
      <w:r>
        <w:rPr>
          <w:rFonts w:ascii="Barlow Semi Condensed" w:cs="Barlow Semi Condensed" w:eastAsia="Barlow Semi Condensed" w:hAnsi="Barlow Semi Condensed"/>
          <w:sz w:val="24"/>
          <w:szCs w:val="24"/>
        </w:rPr>
        <w:t xml:space="preserve"> Al committente attribuiscono la chiave interpretativa il frontespizio e i blocchi 1, 12 e 991. All'autore la attribuiscono la scheda dell'indice dei documenti del branch e la guida alla lettura. Il blocco 991 fonda proprio su questo il diritto del lettore di sapere che cosa gli sia stato messo davanti «e da chi». Le tre redazioni non concordano sul chi, e la divergenza si riporta senza scioglierla.</w:t>
      </w:r>
    </w:p>
    <w:p>
      <w:pPr>
        <w:spacing w:after="120" w:line="276"/>
        <w:jc w:val="both"/>
      </w:pPr>
      <w:r>
        <w:rPr>
          <w:rFonts w:ascii="Barlow Semi Condensed" w:cs="Barlow Semi Condensed" w:eastAsia="Barlow Semi Condensed" w:hAnsi="Barlow Semi Condensed"/>
          <w:b/>
          <w:bCs/>
          <w:sz w:val="24"/>
          <w:szCs w:val="24"/>
        </w:rPr>
        <w:t xml:space="preserve">3976 · Il 2026 detto una volta sola.</w:t>
      </w:r>
      <w:r>
        <w:rPr>
          <w:rFonts w:ascii="Barlow Semi Condensed" w:cs="Barlow Semi Condensed" w:eastAsia="Barlow Semi Condensed" w:hAnsi="Barlow Semi Condensed"/>
          <w:sz w:val="24"/>
          <w:szCs w:val="24"/>
        </w:rPr>
        <w:t xml:space="preserve"> Datato «nel 2026» al blocco 6, l'errore del copista è l'unico punto in cui l'opera si colloca nel tempo. Il frontespizio non porta data di redazione, e nessuna delle tredici serie ne porta una. La cronologia del deposito colloca la prima stesura al 25 agosto 2026 e un intervento sulla serie terza al 26. Un'opera che esige la data su ogni esito negativo dovrebbe portarla anzitutto in testa a sé stessa.</w:t>
      </w:r>
    </w:p>
    <w:p>
      <w:pPr>
        <w:spacing w:after="120" w:line="276"/>
        <w:jc w:val="both"/>
      </w:pPr>
      <w:r>
        <w:rPr>
          <w:rFonts w:ascii="Barlow Semi Condensed" w:cs="Barlow Semi Condensed" w:eastAsia="Barlow Semi Condensed" w:hAnsi="Barlow Semi Condensed"/>
          <w:b/>
          <w:bCs/>
          <w:sz w:val="24"/>
          <w:szCs w:val="24"/>
        </w:rPr>
        <w:t xml:space="preserve">3977 · Gli Stati Zero senza riesame.</w:t>
      </w:r>
      <w:r>
        <w:rPr>
          <w:rFonts w:ascii="Barlow Semi Condensed" w:cs="Barlow Semi Condensed" w:eastAsia="Barlow Semi Condensed" w:hAnsi="Barlow Semi Condensed"/>
          <w:sz w:val="24"/>
          <w:szCs w:val="24"/>
        </w:rPr>
        <w:t xml:space="preserve"> Prescritta al blocco 655, la data di riesame di ogni verbale di vuoto è agganciata al calendario delle aperture, e l'opera avverte che un esito negativo non riesaminato per vent'anni è un ricordo e non un dato; il blocco 660 la iscrive fra le nove voci del registro. Nel file la parola compare due volte, e sono le due prescrizioni: nessuno degli Stati Zero dichiarati nelle tredici serie ne è dotato.</w:t>
      </w:r>
    </w:p>
    <w:p>
      <w:pPr>
        <w:spacing w:after="120" w:line="276"/>
        <w:jc w:val="both"/>
      </w:pPr>
      <w:r>
        <w:rPr>
          <w:rFonts w:ascii="Barlow Semi Condensed" w:cs="Barlow Semi Condensed" w:eastAsia="Barlow Semi Condensed" w:hAnsi="Barlow Semi Condensed"/>
          <w:b/>
          <w:bCs/>
          <w:sz w:val="24"/>
          <w:szCs w:val="24"/>
        </w:rPr>
        <w:t xml:space="preserve">3978 · Chi ha cercato non firma.</w:t>
      </w:r>
      <w:r>
        <w:rPr>
          <w:rFonts w:ascii="Barlow Semi Condensed" w:cs="Barlow Semi Condensed" w:eastAsia="Barlow Semi Condensed" w:hAnsi="Barlow Semi Condensed"/>
          <w:sz w:val="24"/>
          <w:szCs w:val="24"/>
        </w:rPr>
        <w:t xml:space="preserve"> Impone il blocco 658 che il verbale di ricerca porti il nome di chi l'ha condotta, perché la competenza dell'operatore è parte del dato e un esito negativo anonimo non è valutabile. L'Apparato K descrive tre campagne di verifica senza indicare alcun operatore, e le verifiche meccaniche dei blocchi 8, 47, 204, 335, 610 e 646 sono parimenti anonime. La regola vale anche per chi la scrive, e qui non ha valso.</w:t>
      </w:r>
    </w:p>
    <w:p>
      <w:pPr>
        <w:spacing w:after="120" w:line="276"/>
        <w:jc w:val="both"/>
      </w:pPr>
      <w:r>
        <w:rPr>
          <w:rFonts w:ascii="Barlow Semi Condensed" w:cs="Barlow Semi Condensed" w:eastAsia="Barlow Semi Condensed" w:hAnsi="Barlow Semi Condensed"/>
          <w:b/>
          <w:bCs/>
          <w:sz w:val="24"/>
          <w:szCs w:val="24"/>
        </w:rPr>
        <w:t xml:space="preserve">3979 · Il limite del proxy e dove viaggia.</w:t>
      </w:r>
      <w:r>
        <w:rPr>
          <w:rFonts w:ascii="Barlow Semi Condensed" w:cs="Barlow Semi Condensed" w:eastAsia="Barlow Semi Condensed" w:hAnsi="Barlow Semi Condensed"/>
          <w:sz w:val="24"/>
          <w:szCs w:val="24"/>
        </w:rPr>
        <w:t xml:space="preserve"> Ammette l'Apparato K-5 che la campagna non ha potuto leggere i documenti primari, che l'accesso diretto è risultato bloccato e che ogni conferma poggia su fonti secondarie convergenti. I blocchi 704, 766 e 885 portano quel limite dentro il corpo del testo. Il frontespizio, che annuncia l'accertamento sul verbale dello Studio Ovale come nuovo per il corpus, non lo porta. Il blocco 475 vuole la cautela nella stessa frase del dato.</w:t>
      </w:r>
    </w:p>
    <w:p>
      <w:pPr>
        <w:spacing w:after="120" w:line="276"/>
        <w:jc w:val="both"/>
      </w:pPr>
      <w:r>
        <w:rPr>
          <w:rFonts w:ascii="Barlow Semi Condensed" w:cs="Barlow Semi Condensed" w:eastAsia="Barlow Semi Condensed" w:hAnsi="Barlow Semi Condensed"/>
          <w:b/>
          <w:bCs/>
          <w:sz w:val="24"/>
          <w:szCs w:val="24"/>
        </w:rPr>
        <w:t xml:space="preserve">3980 · Il pavimento del giudicato regge.</w:t>
      </w:r>
      <w:r>
        <w:rPr>
          <w:rFonts w:ascii="Barlow Semi Condensed" w:cs="Barlow Semi Condensed" w:eastAsia="Barlow Semi Condensed" w:hAnsi="Barlow Semi Condensed"/>
          <w:sz w:val="24"/>
          <w:szCs w:val="24"/>
        </w:rPr>
        <w:t xml:space="preserve"> Controllo eseguito su tutte e tredici le serie con esito interamente favorevole: nessun blocco indica Henry Kissinger, né alcun altro, come responsabile di reato; la clausola è ripetuta ai blocchi 33, 63, 141, 209, 297, 430, 558, 714, 764, 933, 973 e 981. Nessun nome è aggiunto al registro delle condanne definitive. È il vincolo più esposto dell'opera, ed è quello che l'opera ha osservato senza una sola eccezione.</w:t>
      </w:r>
    </w:p>
    <w:p>
      <w:pPr>
        <w:spacing w:after="120" w:line="276"/>
        <w:jc w:val="both"/>
      </w:pPr>
      <w:r>
        <w:rPr>
          <w:rFonts w:ascii="Barlow Semi Condensed" w:cs="Barlow Semi Condensed" w:eastAsia="Barlow Semi Condensed" w:hAnsi="Barlow Semi Condensed"/>
          <w:b/>
          <w:bCs/>
          <w:sz w:val="24"/>
          <w:szCs w:val="24"/>
        </w:rPr>
        <w:t xml:space="preserve">3981 · Nessuna imputazione, verificata dall'esterno.</w:t>
      </w:r>
      <w:r>
        <w:rPr>
          <w:rFonts w:ascii="Barlow Semi Condensed" w:cs="Barlow Semi Condensed" w:eastAsia="Barlow Semi Condensed" w:hAnsi="Barlow Semi Condensed"/>
          <w:sz w:val="24"/>
          <w:szCs w:val="24"/>
        </w:rPr>
        <w:t xml:space="preserve"> Invariato ai blocchi 620, 760, 884 e 975, l'accertamento dell'Apparato K-2 — nessuna condanna, nessun rinvio a giudizio, nessun procedimento penale in alcun Paese, nessuna escussione da parte dei magistrati italiani — non registra mutazioni fra un'occorrenza e l'altra. Le due date dell'anagrafe, Fürth 27 maggio 1923 e Kent 29 novembre 2023, sono costanti salvo la grafia già rilevata. Su questo il portatore non ha introdotto varianti.</w:t>
      </w:r>
    </w:p>
    <w:p>
      <w:pPr>
        <w:spacing w:after="120" w:line="276"/>
        <w:jc w:val="both"/>
      </w:pPr>
      <w:r>
        <w:rPr>
          <w:rFonts w:ascii="Barlow Semi Condensed" w:cs="Barlow Semi Condensed" w:eastAsia="Barlow Semi Condensed" w:hAnsi="Barlow Semi Condensed"/>
          <w:b/>
          <w:bCs/>
          <w:sz w:val="24"/>
          <w:szCs w:val="24"/>
        </w:rPr>
        <w:t xml:space="preserve">3982 · Trentanove nodi, due interrogati.</w:t>
      </w:r>
      <w:r>
        <w:rPr>
          <w:rFonts w:ascii="Barlow Semi Condensed" w:cs="Barlow Semi Condensed" w:eastAsia="Barlow Semi Condensed" w:hAnsi="Barlow Semi Condensed"/>
          <w:sz w:val="24"/>
          <w:szCs w:val="24"/>
        </w:rPr>
        <w:t xml:space="preserve"> Trentanove nodi censisce la triangolazione Guevara-Moro. Le tredici serie ne interrogano due: il nodo E-3 sull'omonimia Orfila, richiamato al blocco 7, e il nodo M-5 sull'ombra statunitense, che ricorre in tutte e tredici le serie. I restanti trentasette non risultano mai interrogati per questo nome. Il rapporto di co-occorrenza che il blocco 643 definisce è qui calcolabile e basso, e misura lo spoglio prima di misurare il mondo.</w:t>
      </w:r>
    </w:p>
    <w:p>
      <w:pPr>
        <w:spacing w:after="120" w:line="276"/>
        <w:jc w:val="both"/>
      </w:pPr>
      <w:r>
        <w:rPr>
          <w:rFonts w:ascii="Barlow Semi Condensed" w:cs="Barlow Semi Condensed" w:eastAsia="Barlow Semi Condensed" w:hAnsi="Barlow Semi Condensed"/>
          <w:b/>
          <w:bCs/>
          <w:sz w:val="24"/>
          <w:szCs w:val="24"/>
        </w:rPr>
        <w:t xml:space="preserve">3983 · Il nodo E-16 non compare.</w:t>
      </w:r>
      <w:r>
        <w:rPr>
          <w:rFonts w:ascii="Barlow Semi Condensed" w:cs="Barlow Semi Condensed" w:eastAsia="Barlow Semi Condensed" w:hAnsi="Barlow Semi Condensed"/>
          <w:sz w:val="24"/>
          <w:szCs w:val="24"/>
        </w:rPr>
        <w:t xml:space="preserve"> Indica l'opera gemella sull'Africa australe, nel nodo E-16 della triangolazione Guevara-Moro, il discorso alle Nazioni Unite dell'11 dicembre 1964 come l'unico ponte documentato che il corpus possiede col proprio tema. La sigla non compare in alcuno dei mille blocchi. Due opere gemelle valutano diversamente lo stesso nodo del medesimo documento: la divergenza si riporta, e si chiuderebbe rileggendo il nodo e dichiarando per ciascuna opera se sia pertinente.</w:t>
      </w:r>
    </w:p>
    <w:p>
      <w:pPr>
        <w:spacing w:after="120" w:line="276"/>
        <w:jc w:val="both"/>
      </w:pPr>
      <w:r>
        <w:rPr>
          <w:rFonts w:ascii="Barlow Semi Condensed" w:cs="Barlow Semi Condensed" w:eastAsia="Barlow Semi Condensed" w:hAnsi="Barlow Semi Condensed"/>
          <w:b/>
          <w:bCs/>
          <w:sz w:val="24"/>
          <w:szCs w:val="24"/>
        </w:rPr>
        <w:t xml:space="preserve">3984 · Il Tribunale speciale non è toccato.</w:t>
      </w:r>
      <w:r>
        <w:rPr>
          <w:rFonts w:ascii="Barlow Semi Condensed" w:cs="Barlow Semi Condensed" w:eastAsia="Barlow Semi Condensed" w:hAnsi="Barlow Semi Condensed"/>
          <w:sz w:val="24"/>
          <w:szCs w:val="24"/>
        </w:rPr>
        <w:t xml:space="preserve"> Tre file sul Tribunale speciale fascista e uno sugli amnistiati stanno nel deposito, oltre alle triangolazioni sui condannati, su Hyperion e su Feltrinelli. La locuzione non compare nel file. La serie nona misura il silenzio degli archivi esterni e non misura il proprio: quali documenti del branch le tredici serie non abbiano mai aperto è un dato interno, calcolabile, e mai calcolato. Bersaglio: la tavola dei file citati contro quelli esistenti.</w:t>
      </w:r>
    </w:p>
    <w:p>
      <w:pPr>
        <w:spacing w:after="120" w:line="276"/>
        <w:jc w:val="both"/>
      </w:pPr>
      <w:r>
        <w:rPr>
          <w:rFonts w:ascii="Barlow Semi Condensed" w:cs="Barlow Semi Condensed" w:eastAsia="Barlow Semi Condensed" w:hAnsi="Barlow Semi Condensed"/>
          <w:b/>
          <w:bCs/>
          <w:sz w:val="24"/>
          <w:szCs w:val="24"/>
        </w:rPr>
        <w:t xml:space="preserve">3985 · Diciotto rinvii da un'opera successiva.</w:t>
      </w:r>
      <w:r>
        <w:rPr>
          <w:rFonts w:ascii="Barlow Semi Condensed" w:cs="Barlow Semi Condensed" w:eastAsia="Barlow Semi Condensed" w:hAnsi="Barlow Semi Condensed"/>
          <w:sz w:val="24"/>
          <w:szCs w:val="24"/>
        </w:rPr>
        <w:t xml:space="preserve"> Diciotto volte l'opera sull'Africa australe, depositata il 26 agosto 2026, rinvia alla triangolazione Kissinger, e non per il contenuto ma per le regole: il divieto della colpa ereditaria, il carattere condiviso del blocco 396, l'albero letto all'indietro del blocco 29, l'anello debole del blocco 169, il costo della Farnesina del blocco 683. Le tredici serie sono divenute fonte normativa per un'opera terza, e questo ne cambia lo statuto.</w:t>
      </w:r>
    </w:p>
    <w:p>
      <w:pPr>
        <w:spacing w:after="120" w:line="276"/>
        <w:jc w:val="both"/>
      </w:pPr>
      <w:r>
        <w:rPr>
          <w:rFonts w:ascii="Barlow Semi Condensed" w:cs="Barlow Semi Condensed" w:eastAsia="Barlow Semi Condensed" w:hAnsi="Barlow Semi Condensed"/>
          <w:b/>
          <w:bCs/>
          <w:sz w:val="24"/>
          <w:szCs w:val="24"/>
        </w:rPr>
        <w:t xml:space="preserve">3986 · L'errore congiuntivo fra due opere.</w:t>
      </w:r>
      <w:r>
        <w:rPr>
          <w:rFonts w:ascii="Barlow Semi Condensed" w:cs="Barlow Semi Condensed" w:eastAsia="Barlow Semi Condensed" w:hAnsi="Barlow Semi Condensed"/>
          <w:sz w:val="24"/>
          <w:szCs w:val="24"/>
        </w:rPr>
        <w:t xml:space="preserve"> Da qui un bersaglio filologico che il blocco 148 rende obbligatorio: se un difetto qui accertato ricompare identico nell'opera successiva, la ricorrenza è errore congiuntivo e documenta la derivazione fra i due testi. Il controllo è meccanico e si esegue sui due file, cercando le stesse varianti grafiche, le stesse fonti innominate e le stesse formule non aggiornate. L'esito, positivo o negativo, si verbalizza con la data della ricerca.</w:t>
      </w:r>
    </w:p>
    <w:p>
      <w:pPr>
        <w:spacing w:after="120" w:line="276"/>
        <w:jc w:val="both"/>
      </w:pPr>
      <w:r>
        <w:rPr>
          <w:rFonts w:ascii="Barlow Semi Condensed" w:cs="Barlow Semi Condensed" w:eastAsia="Barlow Semi Condensed" w:hAnsi="Barlow Semi Condensed"/>
          <w:b/>
          <w:bCs/>
          <w:sz w:val="24"/>
          <w:szCs w:val="24"/>
        </w:rPr>
        <w:t xml:space="preserve">3987 · La prima verifica dall'esterno.</w:t>
      </w:r>
      <w:r>
        <w:rPr>
          <w:rFonts w:ascii="Barlow Semi Condensed" w:cs="Barlow Semi Condensed" w:eastAsia="Barlow Semi Condensed" w:hAnsi="Barlow Semi Condensed"/>
          <w:sz w:val="24"/>
          <w:szCs w:val="24"/>
        </w:rPr>
        <w:t xml:space="preserve"> Esiste già un precedente, e va riconosciuto: l'opera sull'Africa australe ha eseguito sul territorio qui riletto una verifica meccanica autonoma, accertando zero occorrenze della materia africana australe nei mille blocchi. È la prima volta che un testo del corpus misura un altro testo del corpus dall'esterno. Questa serie prosegue quella pratica e ne propone la forma stabile: ogni opera del branch misurata da almeno una successiva, con il perimetro dichiarato.</w:t>
      </w:r>
    </w:p>
    <w:p>
      <w:pPr>
        <w:spacing w:after="120" w:line="276"/>
        <w:jc w:val="both"/>
      </w:pPr>
      <w:r>
        <w:rPr>
          <w:rFonts w:ascii="Barlow Semi Condensed" w:cs="Barlow Semi Condensed" w:eastAsia="Barlow Semi Condensed" w:hAnsi="Barlow Semi Condensed"/>
          <w:b/>
          <w:bCs/>
          <w:sz w:val="24"/>
          <w:szCs w:val="24"/>
        </w:rPr>
        <w:t xml:space="preserve">3988 · Il deposito come fondo di provenienza.</w:t>
      </w:r>
      <w:r>
        <w:rPr>
          <w:rFonts w:ascii="Barlow Semi Condensed" w:cs="Barlow Semi Condensed" w:eastAsia="Barlow Semi Condensed" w:hAnsi="Barlow Semi Condensed"/>
          <w:sz w:val="24"/>
          <w:szCs w:val="24"/>
        </w:rPr>
        <w:t xml:space="preserve"> Pretende l'opera da ogni carta la catena di custodia, ai blocchi 266 e 269, e non dichiara la propria. Eppure la possiede: la cronologia del deposito registra la prima stesura, il restauro dei diacritici della serie terza, la nota di revisione al nodo M-5 e l'ampliamento della Parte terza, ciascuno con identificativo e data. È l'unico fondo di provenienza che il testo abbia. Bersaglio a costo nullo: pubblicarne la tavola in appendice.</w:t>
      </w:r>
    </w:p>
    <w:p>
      <w:pPr>
        <w:spacing w:after="120" w:line="276"/>
        <w:jc w:val="both"/>
      </w:pPr>
      <w:r>
        <w:rPr>
          <w:rFonts w:ascii="Barlow Semi Condensed" w:cs="Barlow Semi Condensed" w:eastAsia="Barlow Semi Condensed" w:hAnsi="Barlow Semi Condensed"/>
          <w:b/>
          <w:bCs/>
          <w:sz w:val="24"/>
          <w:szCs w:val="24"/>
        </w:rPr>
        <w:t xml:space="preserve">3989 · Il restauro che non raggiunse il 141.</w:t>
      </w:r>
      <w:r>
        <w:rPr>
          <w:rFonts w:ascii="Barlow Semi Condensed" w:cs="Barlow Semi Condensed" w:eastAsia="Barlow Semi Condensed" w:hAnsi="Barlow Semi Condensed"/>
          <w:sz w:val="24"/>
          <w:szCs w:val="24"/>
        </w:rPr>
        <w:t xml:space="preserve"> L'intervento del 26 agosto 2026 è intitolato al restauro dei diacritici nella serie terza. Il blocco 141 appartiene alla serie terza e continua a leggere «Fuerth». O il restauro non fu esaustivo, o quella forma fu ritenuta corretta. La cronologia non lo dice, perché nessun messaggio di deposito dichiara il perimetro dell'intervento. Regola che ne discende: chi corregge dichiara che cosa ha corretto e che cosa ha deliberatamente lasciato.</w:t>
      </w:r>
    </w:p>
    <w:p>
      <w:pPr>
        <w:spacing w:after="120" w:line="276"/>
        <w:jc w:val="both"/>
      </w:pPr>
      <w:r>
        <w:rPr>
          <w:rFonts w:ascii="Barlow Semi Condensed" w:cs="Barlow Semi Condensed" w:eastAsia="Barlow Semi Condensed" w:hAnsi="Barlow Semi Condensed"/>
          <w:b/>
          <w:bCs/>
          <w:sz w:val="24"/>
          <w:szCs w:val="24"/>
        </w:rPr>
        <w:t xml:space="preserve">3990 · Il documento dovuto dell'opera.</w:t>
      </w:r>
      <w:r>
        <w:rPr>
          <w:rFonts w:ascii="Barlow Semi Condensed" w:cs="Barlow Semi Condensed" w:eastAsia="Barlow Semi Condensed" w:hAnsi="Barlow Semi Condensed"/>
          <w:sz w:val="24"/>
          <w:szCs w:val="24"/>
        </w:rPr>
        <w:t xml:space="preserve"> Richiamato ai blocchi 489 e 801, il blocco 10 del manuale stabilisce che un procedimento che esiste produce carta. Applicato all'opera: tre campagne di verifica producono necessariamente un materiale di lavoro, cioè le stringhe interrogate, gli esiti, le pagine consultate. Quel materiale non è depositato in alcun file del branch. La verifica esiste come racconto e non come carta, ed è la condizione che il blocco 463 rifiuta di accettare da altri.</w:t>
      </w:r>
    </w:p>
    <w:p>
      <w:pPr>
        <w:spacing w:after="120" w:line="276"/>
        <w:jc w:val="both"/>
      </w:pPr>
      <w:r>
        <w:rPr>
          <w:rFonts w:ascii="Barlow Semi Condensed" w:cs="Barlow Semi Condensed" w:eastAsia="Barlow Semi Condensed" w:hAnsi="Barlow Semi Condensed"/>
          <w:b/>
          <w:bCs/>
          <w:sz w:val="24"/>
          <w:szCs w:val="24"/>
        </w:rPr>
        <w:t xml:space="preserve">3991 · Il rinvio interno vale come arco.</w:t>
      </w:r>
      <w:r>
        <w:rPr>
          <w:rFonts w:ascii="Barlow Semi Condensed" w:cs="Barlow Semi Condensed" w:eastAsia="Barlow Semi Condensed" w:hAnsi="Barlow Semi Condensed"/>
          <w:sz w:val="24"/>
          <w:szCs w:val="24"/>
        </w:rPr>
        <w:t xml:space="preserve"> Si citano fra loro con frequenza alta i mille blocchi, e ogni rinvio è un arco di un grafo che nessuno ha costruito. Il blocco 168 impone di graduare la sinapsi e non il neurone: applicata al testo, la regola chiede che ogni rinvio interno porti il grado del blocco citato. Bersaglio calcolabile senza archivio: il grafo delle citazioni interne, con la misura di quali blocchi reggano il maggior numero di cammini.</w:t>
      </w:r>
    </w:p>
    <w:p>
      <w:pPr>
        <w:spacing w:after="120" w:line="276"/>
        <w:jc w:val="both"/>
      </w:pPr>
      <w:r>
        <w:rPr>
          <w:rFonts w:ascii="Barlow Semi Condensed" w:cs="Barlow Semi Condensed" w:eastAsia="Barlow Semi Condensed" w:hAnsi="Barlow Semi Condensed"/>
          <w:b/>
          <w:bCs/>
          <w:sz w:val="24"/>
          <w:szCs w:val="24"/>
        </w:rPr>
        <w:t xml:space="preserve">3992 · L'anello debole del rinvio.</w:t>
      </w:r>
      <w:r>
        <w:rPr>
          <w:rFonts w:ascii="Barlow Semi Condensed" w:cs="Barlow Semi Condensed" w:eastAsia="Barlow Semi Condensed" w:hAnsi="Barlow Semi Condensed"/>
          <w:sz w:val="24"/>
          <w:szCs w:val="24"/>
        </w:rPr>
        <w:t xml:space="preserve"> Corollario più severo della rilettura: il blocco 287 stabilisce che il grado di un cammino è il grado minimo fra i suoi archi. Un blocco che poggia su un altro blocco che poggia su una fonte secondaria innominata ha il grado di quella fonte, non il proprio. Applicata all'opera, la regola declassa ogni catena che passi per il riemergere del 1975 e del 1976, e sono sei blocchi in cinque serie.</w:t>
      </w:r>
    </w:p>
    <w:p>
      <w:pPr>
        <w:spacing w:after="120" w:line="276"/>
        <w:jc w:val="both"/>
      </w:pPr>
      <w:r>
        <w:rPr>
          <w:rFonts w:ascii="Barlow Semi Condensed" w:cs="Barlow Semi Condensed" w:eastAsia="Barlow Semi Condensed" w:hAnsi="Barlow Semi Condensed"/>
          <w:b/>
          <w:bCs/>
          <w:sz w:val="24"/>
          <w:szCs w:val="24"/>
        </w:rPr>
        <w:t xml:space="preserve">3993 · Il verbale ripetuto in nove serie.</w:t>
      </w:r>
      <w:r>
        <w:rPr>
          <w:rFonts w:ascii="Barlow Semi Condensed" w:cs="Barlow Semi Condensed" w:eastAsia="Barlow Semi Condensed" w:hAnsi="Barlow Semi Condensed"/>
          <w:sz w:val="24"/>
          <w:szCs w:val="24"/>
        </w:rPr>
        <w:t xml:space="preserve"> Compare il memorandum del 25 settembre 1974 ai blocchi 37, 101, 112, 187, 214, 215, 216, 301, 426, 509, 580, 739, 740, 741, 848, 861, 978 e 984: diciotto trattazioni di un solo documento distribuite su nove serie. Il blocco 882 avverte che contare misure non indipendenti come indipendenti produce fiducia crescente in un dato che non è cresciuto. Il documento è uno, e resta uno, quante che siano le riprese.</w:t>
      </w:r>
    </w:p>
    <w:p>
      <w:pPr>
        <w:spacing w:after="120" w:line="276"/>
        <w:jc w:val="both"/>
      </w:pPr>
      <w:r>
        <w:rPr>
          <w:rFonts w:ascii="Barlow Semi Condensed" w:cs="Barlow Semi Condensed" w:eastAsia="Barlow Semi Condensed" w:hAnsi="Barlow Semi Condensed"/>
          <w:b/>
          <w:bCs/>
          <w:sz w:val="24"/>
          <w:szCs w:val="24"/>
        </w:rPr>
        <w:t xml:space="preserve">3994 · La densità non è profondità.</w:t>
      </w:r>
      <w:r>
        <w:rPr>
          <w:rFonts w:ascii="Barlow Semi Condensed" w:cs="Barlow Semi Condensed" w:eastAsia="Barlow Semi Condensed" w:hAnsi="Barlow Semi Condensed"/>
          <w:sz w:val="24"/>
          <w:szCs w:val="24"/>
        </w:rPr>
        <w:t xml:space="preserve"> Chiunque usi opere a blocchi tenga fermo che la frequenza con cui un documento vi ricorre misura l'architettura dell'opera, non il peso del documento. Il corpus lo enuncia già per le reti, dove la centralità misura la densità della documentazione e non la responsabilità. Trasferita al testo, la regola dice che un verbale citato diciotto volte e uno citato una volta possono valere lo stesso, e che a deciderlo è la segnatura.</w:t>
      </w:r>
    </w:p>
    <w:p>
      <w:pPr>
        <w:spacing w:after="120" w:line="276"/>
        <w:jc w:val="both"/>
      </w:pPr>
      <w:r>
        <w:rPr>
          <w:rFonts w:ascii="Barlow Semi Condensed" w:cs="Barlow Semi Condensed" w:eastAsia="Barlow Semi Condensed" w:hAnsi="Barlow Semi Condensed"/>
          <w:b/>
          <w:bCs/>
          <w:sz w:val="24"/>
          <w:szCs w:val="24"/>
        </w:rPr>
        <w:t xml:space="preserve">3995 · Il verbale del 26 settembre resta chiuso.</w:t>
      </w:r>
      <w:r>
        <w:rPr>
          <w:rFonts w:ascii="Barlow Semi Condensed" w:cs="Barlow Semi Condensed" w:eastAsia="Barlow Semi Condensed" w:hAnsi="Barlow Semi Condensed"/>
          <w:sz w:val="24"/>
          <w:szCs w:val="24"/>
        </w:rPr>
        <w:t xml:space="preserve"> Aperto al blocco 113 e ripetuto ai blocchi 221, 510, 742 e 863, il bersaglio dello spoglio integrale del documento 1552806 non è stato eseguito, e il blocco 863 avverte espressamente che il corpus lo cita senza averlo esaurito. È l'unico bersaglio dell'opera che riguardi una carta già disponibile e già identificata: il costo è una seduta di lettura alla Gerald R. Ford Presidential Library, e nulla di più.</w:t>
      </w:r>
    </w:p>
    <w:p>
      <w:pPr>
        <w:spacing w:after="120" w:line="276"/>
        <w:jc w:val="both"/>
      </w:pPr>
      <w:r>
        <w:rPr>
          <w:rFonts w:ascii="Barlow Semi Condensed" w:cs="Barlow Semi Condensed" w:eastAsia="Barlow Semi Condensed" w:hAnsi="Barlow Semi Condensed"/>
          <w:b/>
          <w:bCs/>
          <w:sz w:val="24"/>
          <w:szCs w:val="24"/>
        </w:rPr>
        <w:t xml:space="preserve">3996 · Ciò che le tredici serie hanno aggiunto.</w:t>
      </w:r>
      <w:r>
        <w:rPr>
          <w:rFonts w:ascii="Barlow Semi Condensed" w:cs="Barlow Semi Condensed" w:eastAsia="Barlow Semi Condensed" w:hAnsi="Barlow Semi Condensed"/>
          <w:sz w:val="24"/>
          <w:szCs w:val="24"/>
        </w:rPr>
        <w:t xml:space="preserve"> Bilancio positivo, da scrivere con la stessa precisione dei difetti. L'opera ha aggiunto al corpus tre cose verificabili: l'accertamento che il verbale dello Studio Ovale non contiene alcun ultimatum personale, la divergenza documentata sulla data dell'anglicizzazione onomastica, e la misura dello zero della quadriga con il bersaglio che ne discende. Sono tre acquisizioni, e nessuna delle tre è un nesso. Il blocco 987 lo dichiara, e la rilettura lo conferma.</w:t>
      </w:r>
    </w:p>
    <w:p>
      <w:pPr>
        <w:spacing w:after="120" w:line="276"/>
        <w:jc w:val="both"/>
      </w:pPr>
      <w:r>
        <w:rPr>
          <w:rFonts w:ascii="Barlow Semi Condensed" w:cs="Barlow Semi Condensed" w:eastAsia="Barlow Semi Condensed" w:hAnsi="Barlow Semi Condensed"/>
          <w:b/>
          <w:bCs/>
          <w:sz w:val="24"/>
          <w:szCs w:val="24"/>
        </w:rPr>
        <w:t xml:space="preserve">3997 · Ciò che questa serie non stabilisce.</w:t>
      </w:r>
      <w:r>
        <w:rPr>
          <w:rFonts w:ascii="Barlow Semi Condensed" w:cs="Barlow Semi Condensed" w:eastAsia="Barlow Semi Condensed" w:hAnsi="Barlow Semi Condensed"/>
          <w:sz w:val="24"/>
          <w:szCs w:val="24"/>
        </w:rPr>
        <w:t xml:space="preserve"> Nulla di quanto precede riguarda Henry Alfred Kissinger. I difetti accertati sono difetti di un file, e un file non ha condotte. Non è stabilito che le omissioni qui elencate abbiano una causa comune, né che siano deliberate, né che un'opera con questi difetti sia meno affidabile di una senza: il blocco 597 distingue l'errore, che accade, dal falso, che si fa, e questa serie si ferma sul primo.</w:t>
      </w:r>
    </w:p>
    <w:p>
      <w:pPr>
        <w:spacing w:after="120" w:line="276"/>
        <w:jc w:val="both"/>
      </w:pPr>
      <w:r>
        <w:rPr>
          <w:rFonts w:ascii="Barlow Semi Condensed" w:cs="Barlow Semi Condensed" w:eastAsia="Barlow Semi Condensed" w:hAnsi="Barlow Semi Condensed"/>
          <w:b/>
          <w:bCs/>
          <w:sz w:val="24"/>
          <w:szCs w:val="24"/>
        </w:rPr>
        <w:t xml:space="preserve">3998 · La sede che chiuderebbe la serie.</w:t>
      </w:r>
      <w:r>
        <w:rPr>
          <w:rFonts w:ascii="Barlow Semi Condensed" w:cs="Barlow Semi Condensed" w:eastAsia="Barlow Semi Condensed" w:hAnsi="Barlow Semi Condensed"/>
          <w:sz w:val="24"/>
          <w:szCs w:val="24"/>
        </w:rPr>
        <w:t xml:space="preserve"> Chiuderebbero i bersagli qui aperti, ciascuno per la propria parte: la cronologia del deposito per la genesi del testo e per il perimetro delle correzioni; gli archivi delle agenzie per il dispaccio del 30 novembre 2023 e per quello dell'aprile 1983; la cancelleria della Corte d'assise di Roma per il verbale del novembre 1982; l'Archivio storico della Camera per l'audizione del 1° agosto 1980; la Ford Library per il documento 1552806.</w:t>
      </w:r>
    </w:p>
    <w:p>
      <w:pPr>
        <w:spacing w:after="120" w:line="276"/>
        <w:jc w:val="both"/>
      </w:pPr>
      <w:r>
        <w:rPr>
          <w:rFonts w:ascii="Barlow Semi Condensed" w:cs="Barlow Semi Condensed" w:eastAsia="Barlow Semi Condensed" w:hAnsi="Barlow Semi Condensed"/>
          <w:b/>
          <w:bCs/>
          <w:sz w:val="24"/>
          <w:szCs w:val="24"/>
        </w:rPr>
        <w:t xml:space="preserve">3999 · Come si rilegge un'opera dall'esterno.</w:t>
      </w:r>
      <w:r>
        <w:rPr>
          <w:rFonts w:ascii="Barlow Semi Condensed" w:cs="Barlow Semi Condensed" w:eastAsia="Barlow Semi Condensed" w:hAnsi="Barlow Semi Condensed"/>
          <w:sz w:val="24"/>
          <w:szCs w:val="24"/>
        </w:rPr>
        <w:t xml:space="preserve"> Replicabile è la procedura, e si consegna qui in forma stabile: si conta il portatore, si collazionano le occorrenze di ogni formula ricorrente, si verificano le verifiche meccaniche che l'opera dichiara, si confronta ogni rinvio interno con la fonte che nomina, si misura che cosa il territorio consegnato all'opera non abbia attraversato, e si dichiara ogni esito con la riga del file. Nessun passaggio richiede un archivio, e nessuno richiede fiducia.</w:t>
      </w:r>
    </w:p>
    <w:p>
      <w:pPr>
        <w:spacing w:after="120" w:line="276"/>
        <w:jc w:val="both"/>
      </w:pPr>
      <w:r>
        <w:rPr>
          <w:rFonts w:ascii="Barlow Semi Condensed" w:cs="Barlow Semi Condensed" w:eastAsia="Barlow Semi Condensed" w:hAnsi="Barlow Semi Condensed"/>
          <w:b/>
          <w:bCs/>
          <w:sz w:val="24"/>
          <w:szCs w:val="24"/>
        </w:rPr>
        <w:t xml:space="preserve">4000 · Riga di chiusura della serie (serie LII).</w:t>
      </w:r>
      <w:r>
        <w:rPr>
          <w:rFonts w:ascii="Barlow Semi Condensed" w:cs="Barlow Semi Condensed" w:eastAsia="Barlow Semi Condensed" w:hAnsi="Barlow Semi Condensed"/>
          <w:sz w:val="24"/>
          <w:szCs w:val="24"/>
        </w:rPr>
        <w:t xml:space="preserve"> Blocchi della serie: settanta. Difetti materiali accertati sul portatore: quattro, cioè il frontespizio duplicato, due oscillazioni grafiche e una mutazione di trascrizione. Verifiche meccaniche dell'opera confermate: una, lo zero della quadriga; falsificate dal tempo: due. Fonti secondarie innominate su cui poggiano bersagli dichiarati: quattro. Bersagli interni eseguibili senza archivio: quattordici. Nessi causali nuovi: nessuno. Persone indicate come responsabili di reato: nessuna, qui come nelle tredici serie rilette.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cinquantatreesima — La cronologia comparata 1923-2023</w:t>
      </w:r>
    </w:p>
    <w:p>
      <w:pPr>
        <w:spacing w:after="120" w:line="276"/>
        <w:jc w:val="both"/>
      </w:pPr>
      <w:r>
        <w:rPr>
          <w:rFonts w:ascii="Barlow Semi Condensed" w:cs="Barlow Semi Condensed" w:eastAsia="Barlow Semi Condensed" w:hAnsi="Barlow Semi Condensed"/>
          <w:i/>
          <w:iCs/>
          <w:sz w:val="24"/>
          <w:szCs w:val="24"/>
        </w:rPr>
        <w:t xml:space="preserve">Blocchi 4001-4080.</w:t>
      </w:r>
    </w:p>
    <w:p>
      <w:pPr>
        <w:spacing w:after="120" w:line="276"/>
        <w:jc w:val="both"/>
      </w:pPr>
      <w:r>
        <w:rPr>
          <w:rFonts w:ascii="Barlow Semi Condensed" w:cs="Barlow Semi Condensed" w:eastAsia="Barlow Semi Condensed" w:hAnsi="Barlow Semi Condensed"/>
          <w:b/>
          <w:bCs/>
          <w:sz w:val="24"/>
          <w:szCs w:val="24"/>
        </w:rPr>
        <w:t xml:space="preserve">4001 · L'asse che non lo contiene.</w:t>
      </w:r>
      <w:r>
        <w:rPr>
          <w:rFonts w:ascii="Barlow Semi Condensed" w:cs="Barlow Semi Condensed" w:eastAsia="Barlow Semi Condensed" w:hAnsi="Barlow Semi Condensed"/>
          <w:sz w:val="24"/>
          <w:szCs w:val="24"/>
        </w:rPr>
        <w:t xml:space="preserve"> La sola cronologia sinottica del corpus, cronologia-guevara-moro.html, corre dal 1916 al 1997 su tre fili dichiarati — Guevara, l'immagine, Moro — e non ne apre un quarto. Henry Kissinger non vi compare in alcuna scheda, in alcun anno, in alcuna nota di fonte. L'accertamento si dichiara al grado F: è una scelta editoriale documentata, non una lacuna d'archivio. Prima regola della serie: un asse che non contiene un nome non può essere interrogato su di lui.</w:t>
      </w:r>
    </w:p>
    <w:p>
      <w:pPr>
        <w:spacing w:after="120" w:line="276"/>
        <w:jc w:val="both"/>
      </w:pPr>
      <w:r>
        <w:rPr>
          <w:rFonts w:ascii="Barlow Semi Condensed" w:cs="Barlow Semi Condensed" w:eastAsia="Barlow Semi Condensed" w:hAnsi="Barlow Semi Condensed"/>
          <w:b/>
          <w:bCs/>
          <w:sz w:val="24"/>
          <w:szCs w:val="24"/>
        </w:rPr>
        <w:t xml:space="preserve">4002 · Le due estremità dell'arco.</w:t>
      </w:r>
      <w:r>
        <w:rPr>
          <w:rFonts w:ascii="Barlow Semi Condensed" w:cs="Barlow Semi Condensed" w:eastAsia="Barlow Semi Condensed" w:hAnsi="Barlow Semi Condensed"/>
          <w:sz w:val="24"/>
          <w:szCs w:val="24"/>
        </w:rPr>
        <w:t xml:space="preserve"> Nascita a Fürth il 27 maggio 1923, morte a Kent il 29 novembre 2023. La prima data cade dentro l'arco 1916-1997 della cronologia sinottica e non vi è registrata; la seconda ne resta fuori di ventisei anni. Il territorio assegnato è dunque più lungo dello strumento che dovrebbe misurarlo. Bersaglio primo: estendere la tavola oltre il 1997 come chiede il blocco 254 dell'agenda di ricerca, «la cronologia del dopo».</w:t>
      </w:r>
    </w:p>
    <w:p>
      <w:pPr>
        <w:spacing w:after="120" w:line="276"/>
        <w:jc w:val="both"/>
      </w:pPr>
      <w:r>
        <w:rPr>
          <w:rFonts w:ascii="Barlow Semi Condensed" w:cs="Barlow Semi Condensed" w:eastAsia="Barlow Semi Condensed" w:hAnsi="Barlow Semi Condensed"/>
          <w:b/>
          <w:bCs/>
          <w:sz w:val="24"/>
          <w:szCs w:val="24"/>
        </w:rPr>
        <w:t xml:space="preserve">4003 · Il 1923 dentro il corpus.</w:t>
      </w:r>
      <w:r>
        <w:rPr>
          <w:rFonts w:ascii="Barlow Semi Condensed" w:cs="Barlow Semi Condensed" w:eastAsia="Barlow Semi Condensed" w:hAnsi="Barlow Semi Condensed"/>
          <w:sz w:val="24"/>
          <w:szCs w:val="24"/>
        </w:rPr>
        <w:t xml:space="preserve"> Verifica meccanica eseguita sull'intero branch pubblico: la cifra 1923 vi compare in due soli luoghi utili, e nessuno riguarda il soggetto. La nascita ad Asso di monsignor Cesare Curioni, fissata dal blocco 162 dei nove cantieri, e il Trattato di Losanna del 24 luglio 1923, richiamato nella ricognizione turchia-opus-dei-1969-1975. Esito dichiarato con la stessa forza di un riscontro: nessuna occorrenza dell'anno di nascita tocca il nome.</w:t>
      </w:r>
    </w:p>
    <w:p>
      <w:pPr>
        <w:spacing w:after="120" w:line="276"/>
        <w:jc w:val="both"/>
      </w:pPr>
      <w:r>
        <w:rPr>
          <w:rFonts w:ascii="Barlow Semi Condensed" w:cs="Barlow Semi Condensed" w:eastAsia="Barlow Semi Condensed" w:hAnsi="Barlow Semi Condensed"/>
          <w:b/>
          <w:bCs/>
          <w:sz w:val="24"/>
          <w:szCs w:val="24"/>
        </w:rPr>
        <w:t xml:space="preserve">4004 · Due nati nel 1923.</w:t>
      </w:r>
      <w:r>
        <w:rPr>
          <w:rFonts w:ascii="Barlow Semi Condensed" w:cs="Barlow Semi Condensed" w:eastAsia="Barlow Semi Condensed" w:hAnsi="Barlow Semi Condensed"/>
          <w:sz w:val="24"/>
          <w:szCs w:val="24"/>
        </w:rPr>
        <w:t xml:space="preserve"> Curioni nacque nel 1923 e nel 1978 ricevette da Paolo VI l'incarico di attivare canali verso le Brigate rosse, accertato dalla relazione della Commissione Moro 2 del 6 dicembre 2017. Nel medesimo anno nacque il soggetto di quest'opera. La coincidenza è inerte e va scritta come inerte: la contemporaneità non è prova di nesso. Il bersaglio vero resta quello del blocco 162, fissare il giorno di nascita di Curioni su fonte anagrafica.</w:t>
      </w:r>
    </w:p>
    <w:p>
      <w:pPr>
        <w:spacing w:after="120" w:line="276"/>
        <w:jc w:val="both"/>
      </w:pPr>
      <w:r>
        <w:rPr>
          <w:rFonts w:ascii="Barlow Semi Condensed" w:cs="Barlow Semi Condensed" w:eastAsia="Barlow Semi Condensed" w:hAnsi="Barlow Semi Condensed"/>
          <w:b/>
          <w:bCs/>
          <w:sz w:val="24"/>
          <w:szCs w:val="24"/>
        </w:rPr>
        <w:t xml:space="preserve">4005 · Losanna, e il limite dell'anacronismo.</w:t>
      </w:r>
      <w:r>
        <w:rPr>
          <w:rFonts w:ascii="Barlow Semi Condensed" w:cs="Barlow Semi Condensed" w:eastAsia="Barlow Semi Condensed" w:hAnsi="Barlow Semi Condensed"/>
          <w:sz w:val="24"/>
          <w:szCs w:val="24"/>
        </w:rPr>
        <w:t xml:space="preserve"> Firmato il 24 luglio 1923, il Trattato di Losanna è l'unico atto internazionale che il corpus dati all'anno di nascita del soggetto, e governa ancora lo statuto restrittivo delle minoranze cristiane in Turchia secondo la ricognizione della cartella Farnesina. Bersaglio di smentita formulato per assurdo, e utile proprio per questo: qualunque documento che vi accostasse quel nome sarebbe falso per anagrafe prima ancora che per contenuto.</w:t>
      </w:r>
    </w:p>
    <w:p>
      <w:pPr>
        <w:spacing w:after="120" w:line="276"/>
        <w:jc w:val="both"/>
      </w:pPr>
      <w:r>
        <w:rPr>
          <w:rFonts w:ascii="Barlow Semi Condensed" w:cs="Barlow Semi Condensed" w:eastAsia="Barlow Semi Condensed" w:hAnsi="Barlow Semi Condensed"/>
          <w:b/>
          <w:bCs/>
          <w:sz w:val="24"/>
          <w:szCs w:val="24"/>
        </w:rPr>
        <w:t xml:space="preserve">4006 · La coincidenza d'anno come falso arco.</w:t>
      </w:r>
      <w:r>
        <w:rPr>
          <w:rFonts w:ascii="Barlow Semi Condensed" w:cs="Barlow Semi Condensed" w:eastAsia="Barlow Semi Condensed" w:hAnsi="Barlow Semi Condensed"/>
          <w:sz w:val="24"/>
          <w:szCs w:val="24"/>
        </w:rPr>
        <w:t xml:space="preserve"> Nella griglia che il blocco 177 di quest'opera fissa, reagire allo stesso fatto è già l'anello più basso della catena. Al di sotto sta la sola coincidenza d'anno, che non è nemmeno reazione: è calendario. La serie assume la regola e la applica riga per riga. Nella rete del corpus, che conta trentanove nodi e cinquantanove archi, una cifra condivisa fra due biografie non ne aggiunge alcuno.</w:t>
      </w:r>
    </w:p>
    <w:p>
      <w:pPr>
        <w:spacing w:after="120" w:line="276"/>
        <w:jc w:val="both"/>
      </w:pPr>
      <w:r>
        <w:rPr>
          <w:rFonts w:ascii="Barlow Semi Condensed" w:cs="Barlow Semi Condensed" w:eastAsia="Barlow Semi Condensed" w:hAnsi="Barlow Semi Condensed"/>
          <w:b/>
          <w:bCs/>
          <w:sz w:val="24"/>
          <w:szCs w:val="24"/>
        </w:rPr>
        <w:t xml:space="preserve">4007 · A che cosa serve una cronologia.</w:t>
      </w:r>
      <w:r>
        <w:rPr>
          <w:rFonts w:ascii="Barlow Semi Condensed" w:cs="Barlow Semi Condensed" w:eastAsia="Barlow Semi Condensed" w:hAnsi="Barlow Semi Condensed"/>
          <w:sz w:val="24"/>
          <w:szCs w:val="24"/>
        </w:rPr>
        <w:t xml:space="preserve"> Il manuale investigativo prescrive al blocco 14 la cronologia prima dell'interpretazione; l'agenda chiede ai blocchi 253 e 254 una tavola strutturata con data, ora, evento, fonte e grado, e i conflitti fra fonti dichiarati riga per riga. Questa serie lavora dentro quella prescrizione e non altrove: non racconta un secolo, verifica dove le date del corpus e quelle di un uomo si toccano, e dichiara quando non si toccano.</w:t>
      </w:r>
    </w:p>
    <w:p>
      <w:pPr>
        <w:spacing w:after="120" w:line="276"/>
        <w:jc w:val="both"/>
      </w:pPr>
      <w:r>
        <w:rPr>
          <w:rFonts w:ascii="Barlow Semi Condensed" w:cs="Barlow Semi Condensed" w:eastAsia="Barlow Semi Condensed" w:hAnsi="Barlow Semi Condensed"/>
          <w:b/>
          <w:bCs/>
          <w:sz w:val="24"/>
          <w:szCs w:val="24"/>
        </w:rPr>
        <w:t xml:space="preserve">4008 · La colonna vuota come esito.</w:t>
      </w:r>
      <w:r>
        <w:rPr>
          <w:rFonts w:ascii="Barlow Semi Condensed" w:cs="Barlow Semi Condensed" w:eastAsia="Barlow Semi Condensed" w:hAnsi="Barlow Semi Condensed"/>
          <w:sz w:val="24"/>
          <w:szCs w:val="24"/>
        </w:rPr>
        <w:t xml:space="preserve"> Bersaglio operativo, con sede e forma: aprire nella cronologia machine-readable dei blocchi 253 dell'agenda e 304 del manuale una colonna dedicata a questo nome, popolata soltanto dove esista un atto che lo attesti. La previsione è che risulti quasi interamente vuota. La cella vuota, dichiarata con la sede che la riempirebbe, è dato pubblicabile: è la regola dei buchi enunciata in metodologie-del-dossier-sinaptogenesi-e-strumenti.</w:t>
      </w:r>
    </w:p>
    <w:p>
      <w:pPr>
        <w:spacing w:after="120" w:line="276"/>
        <w:jc w:val="both"/>
      </w:pPr>
      <w:r>
        <w:rPr>
          <w:rFonts w:ascii="Barlow Semi Condensed" w:cs="Barlow Semi Condensed" w:eastAsia="Barlow Semi Condensed" w:hAnsi="Barlow Semi Condensed"/>
          <w:b/>
          <w:bCs/>
          <w:sz w:val="24"/>
          <w:szCs w:val="24"/>
        </w:rPr>
        <w:t xml:space="preserve">4009 · 1926, il primo strato istituzionale.</w:t>
      </w:r>
      <w:r>
        <w:rPr>
          <w:rFonts w:ascii="Barlow Semi Condensed" w:cs="Barlow Semi Condensed" w:eastAsia="Barlow Semi Condensed" w:hAnsi="Barlow Semi Condensed"/>
          <w:sz w:val="24"/>
          <w:szCs w:val="24"/>
        </w:rPr>
        <w:t xml:space="preserve"> La legge 25 novembre 1926 numero 2008 istituì il Tribunale Speciale, operativo dal febbraio 1927 al luglio 1943: è la data più antica dello strato istituzionale del corpus, e il soggetto di questa serie aveva allora tre anni. Regola di lettura applicabile: nessuna comparazione fra quel giudice di parte e la giurisdizione repubblicana passa per questo nome, e tribunale-speciale-storia-istituzione non lo nomina in alcuna delle sue sette sezioni.</w:t>
      </w:r>
    </w:p>
    <w:p>
      <w:pPr>
        <w:spacing w:after="120" w:line="276"/>
        <w:jc w:val="both"/>
      </w:pPr>
      <w:r>
        <w:rPr>
          <w:rFonts w:ascii="Barlow Semi Condensed" w:cs="Barlow Semi Condensed" w:eastAsia="Barlow Semi Condensed" w:hAnsi="Barlow Semi Condensed"/>
          <w:b/>
          <w:bCs/>
          <w:sz w:val="24"/>
          <w:szCs w:val="24"/>
        </w:rPr>
        <w:t xml:space="preserve">4010 · 1928, due calendari separati.</w:t>
      </w:r>
      <w:r>
        <w:rPr>
          <w:rFonts w:ascii="Barlow Semi Condensed" w:cs="Barlow Semi Condensed" w:eastAsia="Barlow Semi Condensed" w:hAnsi="Barlow Semi Condensed"/>
          <w:sz w:val="24"/>
          <w:szCs w:val="24"/>
        </w:rPr>
        <w:t xml:space="preserve"> Il «processone» si aprì a Roma il 28 maggio 1928 e si chiuse il 4 giugno; Michele Della Maggiora fu fucilato il 18 ottobre dello stesso anno; Ernesto Guevara nacque il 14 maggio 1928 secondo Anderson, contro il 14 giugno dell'anagrafe. Tre date italiane e argentine, un anno solo, nessun nome americano. L'accertamento si registra al grado F e chiude in negativo: il 1928 non produce alcun piano uno.</w:t>
      </w:r>
    </w:p>
    <w:p>
      <w:pPr>
        <w:spacing w:after="120" w:line="276"/>
        <w:jc w:val="both"/>
      </w:pPr>
      <w:r>
        <w:rPr>
          <w:rFonts w:ascii="Barlow Semi Condensed" w:cs="Barlow Semi Condensed" w:eastAsia="Barlow Semi Condensed" w:hAnsi="Barlow Semi Condensed"/>
          <w:b/>
          <w:bCs/>
          <w:sz w:val="24"/>
          <w:szCs w:val="24"/>
        </w:rPr>
        <w:t xml:space="preserve">4011 · Gli anni Trenta, silenzio strutturale.</w:t>
      </w:r>
      <w:r>
        <w:rPr>
          <w:rFonts w:ascii="Barlow Semi Condensed" w:cs="Barlow Semi Condensed" w:eastAsia="Barlow Semi Condensed" w:hAnsi="Barlow Semi Condensed"/>
          <w:sz w:val="24"/>
          <w:szCs w:val="24"/>
        </w:rPr>
        <w:t xml:space="preserve"> I fucilati di Basovizza del 6 settembre 1930, l'amnistia del decennale del novembre 1932 con seicentotrentanove liberati su millecinquantasei, l'ordinanza del 10 dicembre 1932 per Modesto Benfenati: lo strato di amnistiati-tribunale-speciale è interamente italiano e interamente interno. Stato Zero strutturale, e per una volta senza sede che lo chiuda — non esiste archivio in cui cercare un nome che nel 1932 aveva nove anni.</w:t>
      </w:r>
    </w:p>
    <w:p>
      <w:pPr>
        <w:spacing w:after="120" w:line="276"/>
        <w:jc w:val="both"/>
      </w:pPr>
      <w:r>
        <w:rPr>
          <w:rFonts w:ascii="Barlow Semi Condensed" w:cs="Barlow Semi Condensed" w:eastAsia="Barlow Semi Condensed" w:hAnsi="Barlow Semi Condensed"/>
          <w:b/>
          <w:bCs/>
          <w:sz w:val="24"/>
          <w:szCs w:val="24"/>
        </w:rPr>
        <w:t xml:space="preserve">4012 · 1937 e 1938, serie disgiunte.</w:t>
      </w:r>
      <w:r>
        <w:rPr>
          <w:rFonts w:ascii="Barlow Semi Condensed" w:cs="Barlow Semi Condensed" w:eastAsia="Barlow Semi Condensed" w:hAnsi="Barlow Semi Condensed"/>
          <w:sz w:val="24"/>
          <w:szCs w:val="24"/>
        </w:rPr>
        <w:t xml:space="preserve"> Antonio Gramsci morì il 27 aprile 1937, pochi giorni dopo la fine formale della pena; Benfenati fu ricondannato dal medesimo tribunale nel 1938. Nello stesso 1938 il soggetto lasciò la Germania il 20 agosto e sbarcò a New York il 5 settembre. Le due serie non hanno alcun punto di contatto documentale. Si affiancano qui perché una cronologia comparata deve mostrare anche le righe che restano parallele.</w:t>
      </w:r>
    </w:p>
    <w:p>
      <w:pPr>
        <w:spacing w:after="120" w:line="276"/>
        <w:jc w:val="both"/>
      </w:pPr>
      <w:r>
        <w:rPr>
          <w:rFonts w:ascii="Barlow Semi Condensed" w:cs="Barlow Semi Condensed" w:eastAsia="Barlow Semi Condensed" w:hAnsi="Barlow Semi Condensed"/>
          <w:b/>
          <w:bCs/>
          <w:sz w:val="24"/>
          <w:szCs w:val="24"/>
        </w:rPr>
        <w:t xml:space="preserve">4013 · La data contesa dell'anglicizzazione.</w:t>
      </w:r>
      <w:r>
        <w:rPr>
          <w:rFonts w:ascii="Barlow Semi Condensed" w:cs="Barlow Semi Condensed" w:eastAsia="Barlow Semi Condensed" w:hAnsi="Barlow Semi Condensed"/>
          <w:sz w:val="24"/>
          <w:szCs w:val="24"/>
        </w:rPr>
        <w:t xml:space="preserve"> Le opere di consultazione collocano nel 1938 il passaggio da Heinz a Henry senza citare documenti; il fascicolo d'immigrazione e naturalizzazione, ottenuto per accesso agli atti, lo colloca intorno al 1942-1943, con naturalizzazione del 19 giugno 1943. La divergenza si riporta e non si scioglie, secondo la regola che la seconda campagna della Farnesina applica a ogni data doppia. Sede che la chiuderebbe: il fascicolo originale, non le sintesi che lo citano.</w:t>
      </w:r>
    </w:p>
    <w:p>
      <w:pPr>
        <w:spacing w:after="120" w:line="276"/>
        <w:jc w:val="both"/>
      </w:pPr>
      <w:r>
        <w:rPr>
          <w:rFonts w:ascii="Barlow Semi Condensed" w:cs="Barlow Semi Condensed" w:eastAsia="Barlow Semi Condensed" w:hAnsi="Barlow Semi Condensed"/>
          <w:b/>
          <w:bCs/>
          <w:sz w:val="24"/>
          <w:szCs w:val="24"/>
        </w:rPr>
        <w:t xml:space="preserve">4014 · 1943, due registri nello stesso anno.</w:t>
      </w:r>
      <w:r>
        <w:rPr>
          <w:rFonts w:ascii="Barlow Semi Condensed" w:cs="Barlow Semi Condensed" w:eastAsia="Barlow Semi Condensed" w:hAnsi="Barlow Semi Condensed"/>
          <w:sz w:val="24"/>
          <w:szCs w:val="24"/>
        </w:rPr>
        <w:t xml:space="preserve"> Il regio decreto-legge 29 luglio 1943 numero 668 soppresse il Tribunale Speciale; il 19 giugno dello stesso anno un ventenne emigrato divenne cittadino statunitense. Due registri, un anno, nessun documento che li metta in relazione. Il bersaglio di smentita si enuncia così: chi volesse un arco fra queste righe dovrebbe produrre un atto di provenienza che nomini entrambe le parti, e in ottant'anni di pubblicistica non ne è comparso nessuno.</w:t>
      </w:r>
    </w:p>
    <w:p>
      <w:pPr>
        <w:spacing w:after="120" w:line="276"/>
        <w:jc w:val="both"/>
      </w:pPr>
      <w:r>
        <w:rPr>
          <w:rFonts w:ascii="Barlow Semi Condensed" w:cs="Barlow Semi Condensed" w:eastAsia="Barlow Semi Condensed" w:hAnsi="Barlow Semi Condensed"/>
          <w:b/>
          <w:bCs/>
          <w:sz w:val="24"/>
          <w:szCs w:val="24"/>
        </w:rPr>
        <w:t xml:space="preserve">4015 · Il servizio militare, Stato Zero.</w:t>
      </w:r>
      <w:r>
        <w:rPr>
          <w:rFonts w:ascii="Barlow Semi Condensed" w:cs="Barlow Semi Condensed" w:eastAsia="Barlow Semi Condensed" w:hAnsi="Barlow Semi Condensed"/>
          <w:sz w:val="24"/>
          <w:szCs w:val="24"/>
        </w:rPr>
        <w:t xml:space="preserve"> Del periodo bellico del soggetto — servizio nell'esercito statunitense e ritorno in Germania — il corpus non conserva nulla, e non ha ragione di conservarlo: la sua Germania documentata comincia con germania-opus-dei-1952-1985. Stato Zero pieno, con sede nominata: il fascicolo personale militare presso il National Personnel Records Center di Saint Louis. Chi aprisse quella riga sappia che la aprirebbe fuori dal perimetro del corpus, e lo dichiari.</w:t>
      </w:r>
    </w:p>
    <w:p>
      <w:pPr>
        <w:spacing w:after="120" w:line="276"/>
        <w:jc w:val="both"/>
      </w:pPr>
      <w:r>
        <w:rPr>
          <w:rFonts w:ascii="Barlow Semi Condensed" w:cs="Barlow Semi Condensed" w:eastAsia="Barlow Semi Condensed" w:hAnsi="Barlow Semi Condensed"/>
          <w:b/>
          <w:bCs/>
          <w:sz w:val="24"/>
          <w:szCs w:val="24"/>
        </w:rPr>
        <w:t xml:space="preserve">4016 · 1946, la Costituente senza estero.</w:t>
      </w:r>
      <w:r>
        <w:rPr>
          <w:rFonts w:ascii="Barlow Semi Condensed" w:cs="Barlow Semi Condensed" w:eastAsia="Barlow Semi Condensed" w:hAnsi="Barlow Semi Condensed"/>
          <w:sz w:val="24"/>
          <w:szCs w:val="24"/>
        </w:rPr>
        <w:t xml:space="preserve"> Aldo Moro fu costituente nel 1946 e appartenne all'assemblea che scolpì nell'articolo 102 il divieto di giudici straordinari e speciali: è il ponte biografico-istituzionale che lo studio sul Tribunale Speciale dichiara documentato, e l'unico che esso concede al versante moroteo. Esito negativo da registrare: nessuna fonte lega quella stagione a interlocutori americani nominati. Il primo Moro documentato dal corpus è interamente domestico.</w:t>
      </w:r>
    </w:p>
    <w:p>
      <w:pPr>
        <w:spacing w:after="120" w:line="276"/>
        <w:jc w:val="both"/>
      </w:pPr>
      <w:r>
        <w:rPr>
          <w:rFonts w:ascii="Barlow Semi Condensed" w:cs="Barlow Semi Condensed" w:eastAsia="Barlow Semi Condensed" w:hAnsi="Barlow Semi Condensed"/>
          <w:b/>
          <w:bCs/>
          <w:sz w:val="24"/>
          <w:szCs w:val="24"/>
        </w:rPr>
        <w:t xml:space="preserve">4017 · Il ventennio coperto 1948-1968.</w:t>
      </w:r>
      <w:r>
        <w:rPr>
          <w:rFonts w:ascii="Barlow Semi Condensed" w:cs="Barlow Semi Condensed" w:eastAsia="Barlow Semi Condensed" w:hAnsi="Barlow Semi Condensed"/>
          <w:sz w:val="24"/>
          <w:szCs w:val="24"/>
        </w:rPr>
        <w:t xml:space="preserve"> Il verbale del Comitato dei 303 dell'11 marzo 1969, FRUS volume XLI documento 180, fa illustrare da Karamessines origini e livelli del sostegno coperto ai partiti italiani fra il 1948 e il 1968. Il ventennio è documentato al piano uno rispetto al documento che lo riassume, e precede per intero l'incarico. Regola di lettura: un uomo non risponde della cronologia che il suo primo verbale mette a verbale.</w:t>
      </w:r>
    </w:p>
    <w:p>
      <w:pPr>
        <w:spacing w:after="120" w:line="276"/>
        <w:jc w:val="both"/>
      </w:pPr>
      <w:r>
        <w:rPr>
          <w:rFonts w:ascii="Barlow Semi Condensed" w:cs="Barlow Semi Condensed" w:eastAsia="Barlow Semi Condensed" w:hAnsi="Barlow Semi Condensed"/>
          <w:b/>
          <w:bCs/>
          <w:sz w:val="24"/>
          <w:szCs w:val="24"/>
        </w:rPr>
        <w:t xml:space="preserve">4018 · 1954, tre fatti che non si toccano.</w:t>
      </w:r>
      <w:r>
        <w:rPr>
          <w:rFonts w:ascii="Barlow Semi Condensed" w:cs="Barlow Semi Condensed" w:eastAsia="Barlow Semi Condensed" w:hAnsi="Barlow Semi Condensed"/>
          <w:sz w:val="24"/>
          <w:szCs w:val="24"/>
        </w:rPr>
        <w:t xml:space="preserve"> Nel giugno 1954 l'operazione PBSUCCESS rovesciò Árbenz e spinse Guevara verso il Messico, dove giunse il 21 settembre; nello stesso anno fu discussa a Harvard la tesi dottorale su Castlereagh e Metternich che il blocco 68 registra. Contemporaneità pura, e nulla più. Bersaglio di smentita: un documento di provenienza che nomini l'autore di quella tesi negli atti guatemaltechi rovescerebbe la riga, e nessuno è mai stato prodotto.</w:t>
      </w:r>
    </w:p>
    <w:p>
      <w:pPr>
        <w:spacing w:after="120" w:line="276"/>
        <w:jc w:val="both"/>
      </w:pPr>
      <w:r>
        <w:rPr>
          <w:rFonts w:ascii="Barlow Semi Condensed" w:cs="Barlow Semi Condensed" w:eastAsia="Barlow Semi Condensed" w:hAnsi="Barlow Semi Condensed"/>
          <w:b/>
          <w:bCs/>
          <w:sz w:val="24"/>
          <w:szCs w:val="24"/>
        </w:rPr>
        <w:t xml:space="preserve">4019 · 1957 e 1960, decenni non cornici.</w:t>
      </w:r>
      <w:r>
        <w:rPr>
          <w:rFonts w:ascii="Barlow Semi Condensed" w:cs="Barlow Semi Condensed" w:eastAsia="Barlow Semi Condensed" w:hAnsi="Barlow Semi Condensed"/>
          <w:sz w:val="24"/>
          <w:szCs w:val="24"/>
        </w:rPr>
        <w:t xml:space="preserve"> Il volume del 1957 sulla restaurazione europea e lo scatto di Alberto Korda del 5 marzo 1960 all'Avana sono i due oggetti del corpus più lontani per natura e più vicini per decennio. La cronologia comparata li affianca per mostrare ciò che essa non autorizza: nessun rapporto, nessuna cornice comune, nessun arco. Un decennio condiviso non è una cornice, e il nodo M-2 non lo pretende.</w:t>
      </w:r>
    </w:p>
    <w:p>
      <w:pPr>
        <w:spacing w:after="120" w:line="276"/>
        <w:jc w:val="both"/>
      </w:pPr>
      <w:r>
        <w:rPr>
          <w:rFonts w:ascii="Barlow Semi Condensed" w:cs="Barlow Semi Condensed" w:eastAsia="Barlow Semi Condensed" w:hAnsi="Barlow Semi Condensed"/>
          <w:b/>
          <w:bCs/>
          <w:sz w:val="24"/>
          <w:szCs w:val="24"/>
        </w:rPr>
        <w:t xml:space="preserve">4020 · Aprile 1965, i nomi americani.</w:t>
      </w:r>
      <w:r>
        <w:rPr>
          <w:rFonts w:ascii="Barlow Semi Condensed" w:cs="Barlow Semi Condensed" w:eastAsia="Barlow Semi Condensed" w:hAnsi="Barlow Semi Condensed"/>
          <w:sz w:val="24"/>
          <w:szCs w:val="24"/>
        </w:rPr>
        <w:t xml:space="preserve"> Il programma della visita ufficiale del 19-23 aprile 1965, comunicato stampa numero 76 del Dipartimento di Stato, elenca per parte americana Johnson, Rusk, McNamara, Humphrey, Fowler, Hand e Reinhardt, e nel promemoria di sicurezza Hoover e Gentile. Il nome di questa serie non vi compare. Stato Zero accertato su fonte primaria interna al corpus, con la sede che lo confermerebbe: la Lyndon B. Johnson Library, per i memoranda della visita.</w:t>
      </w:r>
    </w:p>
    <w:p>
      <w:pPr>
        <w:spacing w:after="120" w:line="276"/>
        <w:jc w:val="both"/>
      </w:pPr>
      <w:r>
        <w:rPr>
          <w:rFonts w:ascii="Barlow Semi Condensed" w:cs="Barlow Semi Condensed" w:eastAsia="Barlow Semi Condensed" w:hAnsi="Barlow Semi Condensed"/>
          <w:b/>
          <w:bCs/>
          <w:sz w:val="24"/>
          <w:szCs w:val="24"/>
        </w:rPr>
        <w:t xml:space="preserve">4021 · Guerzoni nella delegazione del 1965.</w:t>
      </w:r>
      <w:r>
        <w:rPr>
          <w:rFonts w:ascii="Barlow Semi Condensed" w:cs="Barlow Semi Condensed" w:eastAsia="Barlow Semi Condensed" w:hAnsi="Barlow Semi Condensed"/>
          <w:sz w:val="24"/>
          <w:szCs w:val="24"/>
        </w:rPr>
        <w:t xml:space="preserve"> Fra i tredici membri della delegazione italiana del 1965 figura Corrado Guerzoni, capo dell'ufficio stampa del presidente del Consiglio: lo stesso che nel novembre 1982 riferirà de relato alla Corte d'assise di Roma l'avvertimento attribuito. Il dato è biografico, datato, di grado F. Non rafforza la testimonianza resa diciassette anni dopo e non la indebolisce: la colloca in una biografia, ed è tutto ciò che una cronologia può fare.</w:t>
      </w:r>
    </w:p>
    <w:p>
      <w:pPr>
        <w:spacing w:after="120" w:line="276"/>
        <w:jc w:val="both"/>
      </w:pPr>
      <w:r>
        <w:rPr>
          <w:rFonts w:ascii="Barlow Semi Condensed" w:cs="Barlow Semi Condensed" w:eastAsia="Barlow Semi Condensed" w:hAnsi="Barlow Semi Condensed"/>
          <w:b/>
          <w:bCs/>
          <w:sz w:val="24"/>
          <w:szCs w:val="24"/>
        </w:rPr>
        <w:t xml:space="preserve">4022 · 1964, il limite basso del lotto.</w:t>
      </w:r>
      <w:r>
        <w:rPr>
          <w:rFonts w:ascii="Barlow Semi Condensed" w:cs="Barlow Semi Condensed" w:eastAsia="Barlow Semi Condensed" w:hAnsi="Barlow Semi Condensed"/>
          <w:sz w:val="24"/>
          <w:szCs w:val="24"/>
        </w:rPr>
        <w:t xml:space="preserve"> Il lotto desecretato del Dipartimento di Stato archiviato nella cartella Farnesina comincia con l'aprile 1965 e riprende con l'aprile 1978: fra le due estremità il corpus non possiede carta americana propria. L'11 dicembre 1964, giorno del discorso di Guevara all'ONU, cade appena sotto la soglia. Bersaglio: chiedere l'integrale del caso FOIA R-2021-002xx, per accertare se quella soglia sia editoriale o archivistica.</w:t>
      </w:r>
    </w:p>
    <w:p>
      <w:pPr>
        <w:spacing w:after="120" w:line="276"/>
        <w:jc w:val="both"/>
      </w:pPr>
      <w:r>
        <w:rPr>
          <w:rFonts w:ascii="Barlow Semi Condensed" w:cs="Barlow Semi Condensed" w:eastAsia="Barlow Semi Condensed" w:hAnsi="Barlow Semi Condensed"/>
          <w:b/>
          <w:bCs/>
          <w:sz w:val="24"/>
          <w:szCs w:val="24"/>
        </w:rPr>
        <w:t xml:space="preserve">4023 · 1967, l'americano nominato a La Higuera.</w:t>
      </w:r>
      <w:r>
        <w:rPr>
          <w:rFonts w:ascii="Barlow Semi Condensed" w:cs="Barlow Semi Condensed" w:eastAsia="Barlow Semi Condensed" w:hAnsi="Barlow Semi Condensed"/>
          <w:sz w:val="24"/>
          <w:szCs w:val="24"/>
        </w:rPr>
        <w:t xml:space="preserve"> Il nodo M-5 di triangolazioni-guevara-moro documenta la presenza dell'agente Félix Rodríguez a La Higuera l'8 e 9 ottobre 1967, sugli archivi statunitensi desecretati nel 1997. È l'americano che il versante guevariano nomina con data e luogo. Accertamento e confine insieme: lo stesso nodo, per il 1967, non nomina il soggetto di questa serie, e la simmetria che esso propone fra le due morti è dichiarata convergenza.</w:t>
      </w:r>
    </w:p>
    <w:p>
      <w:pPr>
        <w:spacing w:after="120" w:line="276"/>
        <w:jc w:val="both"/>
      </w:pPr>
      <w:r>
        <w:rPr>
          <w:rFonts w:ascii="Barlow Semi Condensed" w:cs="Barlow Semi Condensed" w:eastAsia="Barlow Semi Condensed" w:hAnsi="Barlow Semi Condensed"/>
          <w:b/>
          <w:bCs/>
          <w:sz w:val="24"/>
          <w:szCs w:val="24"/>
        </w:rPr>
        <w:t xml:space="preserve">4024 · 1967-1968, due trasmissioni senza canale.</w:t>
      </w:r>
      <w:r>
        <w:rPr>
          <w:rFonts w:ascii="Barlow Semi Condensed" w:cs="Barlow Semi Condensed" w:eastAsia="Barlow Semi Condensed" w:hAnsi="Barlow Semi Condensed"/>
          <w:sz w:val="24"/>
          <w:szCs w:val="24"/>
        </w:rPr>
        <w:t xml:space="preserve"> Feltrinelli trasformò lo scatto di Korda in manifesto nel 1967 e lo pose in copertina al Diario in Bolivia nel 1968, secondo il nodo M-2. Nello stesso 1968 apparve in rivista il saggio sul rivoluzionario bianco, che il blocco 74 qualifica come analisi storica e non come programma. Due trasmissioni di testo nel medesimo biennio, senza alcun canale fra loro: non convergenza, coincidenza — e va detto.</w:t>
      </w:r>
    </w:p>
    <w:p>
      <w:pPr>
        <w:spacing w:after="120" w:line="276"/>
        <w:jc w:val="both"/>
      </w:pPr>
      <w:r>
        <w:rPr>
          <w:rFonts w:ascii="Barlow Semi Condensed" w:cs="Barlow Semi Condensed" w:eastAsia="Barlow Semi Condensed" w:hAnsi="Barlow Semi Condensed"/>
          <w:b/>
          <w:bCs/>
          <w:sz w:val="24"/>
          <w:szCs w:val="24"/>
        </w:rPr>
        <w:t xml:space="preserve">4025 · La graduatoria degli anni.</w:t>
      </w:r>
      <w:r>
        <w:rPr>
          <w:rFonts w:ascii="Barlow Semi Condensed" w:cs="Barlow Semi Condensed" w:eastAsia="Barlow Semi Condensed" w:hAnsi="Barlow Semi Condensed"/>
          <w:sz w:val="24"/>
          <w:szCs w:val="24"/>
        </w:rPr>
        <w:t xml:space="preserve"> Il conteggio meccanico delle occorrenze d'anno nel branch pubblico dà il 1978 al primo posto, il 1974 al secondo, il 1969 al terzo. Che il 1974 preceda il 1969 dipende dalla cartella Farnesina, non dal caso Moro. La regola vale qui più che altrove: la densità documentale misura quanto se n'è scritto, non quanto ha pesato, e nessuna graduatoria di frequenza è una graduatoria di importanza.</w:t>
      </w:r>
    </w:p>
    <w:p>
      <w:pPr>
        <w:spacing w:after="120" w:line="276"/>
        <w:jc w:val="both"/>
      </w:pPr>
      <w:r>
        <w:rPr>
          <w:rFonts w:ascii="Barlow Semi Condensed" w:cs="Barlow Semi Condensed" w:eastAsia="Barlow Semi Condensed" w:hAnsi="Barlow Semi Condensed"/>
          <w:b/>
          <w:bCs/>
          <w:sz w:val="24"/>
          <w:szCs w:val="24"/>
        </w:rPr>
        <w:t xml:space="preserve">4026 · 20 gennaio 1969, la soglia.</w:t>
      </w:r>
      <w:r>
        <w:rPr>
          <w:rFonts w:ascii="Barlow Semi Condensed" w:cs="Barlow Semi Condensed" w:eastAsia="Barlow Semi Condensed" w:hAnsi="Barlow Semi Condensed"/>
          <w:sz w:val="24"/>
          <w:szCs w:val="24"/>
        </w:rPr>
        <w:t xml:space="preserve"> L'incarico di Assistente del Presidente per gli affari di sicurezza nazionale decorre dal 20 gennaio 1969 e cessa il 3 novembre 1975, come l'apparato K-2 accerta contro le formule correnti. È la prima data del soggetto che il corpus possa opporre a una data italiana. La serie la usa come soglia di ammissibilità: ogni riga anteriore è, per definizione, riga fuori carica, e come tale si segnala.</w:t>
      </w:r>
    </w:p>
    <w:p>
      <w:pPr>
        <w:spacing w:after="120" w:line="276"/>
        <w:jc w:val="both"/>
      </w:pPr>
      <w:r>
        <w:rPr>
          <w:rFonts w:ascii="Barlow Semi Condensed" w:cs="Barlow Semi Condensed" w:eastAsia="Barlow Semi Condensed" w:hAnsi="Barlow Semi Condensed"/>
          <w:b/>
          <w:bCs/>
          <w:sz w:val="24"/>
          <w:szCs w:val="24"/>
        </w:rPr>
        <w:t xml:space="preserve">4027 · 28 gennaio 1969, il TNP.</w:t>
      </w:r>
      <w:r>
        <w:rPr>
          <w:rFonts w:ascii="Barlow Semi Condensed" w:cs="Barlow Semi Condensed" w:eastAsia="Barlow Semi Condensed" w:hAnsi="Barlow Semi Condensed"/>
          <w:sz w:val="24"/>
          <w:szCs w:val="24"/>
        </w:rPr>
        <w:t xml:space="preserve"> La seconda campagna della Farnesina precisa che l'Italia firmò il Trattato di non proliferazione il 28 gennaio 1969, non nel 1968, anno di apertura alla firma, e ratificò con legge 24 aprile 1975 numero 131. La firma cade otto giorni dopo l'insediamento americano e sei mesi prima dell'arrivo di Moro alla Farnesina. Nessun atto lega le due date: il rilievo serve a impedire attribuzioni cronologicamente imprecise.</w:t>
      </w:r>
    </w:p>
    <w:p>
      <w:pPr>
        <w:spacing w:after="120" w:line="276"/>
        <w:jc w:val="both"/>
      </w:pPr>
      <w:r>
        <w:rPr>
          <w:rFonts w:ascii="Barlow Semi Condensed" w:cs="Barlow Semi Condensed" w:eastAsia="Barlow Semi Condensed" w:hAnsi="Barlow Semi Condensed"/>
          <w:b/>
          <w:bCs/>
          <w:sz w:val="24"/>
          <w:szCs w:val="24"/>
        </w:rPr>
        <w:t xml:space="preserve">4028 · 11 marzo 1969, precedenza non nesso.</w:t>
      </w:r>
      <w:r>
        <w:rPr>
          <w:rFonts w:ascii="Barlow Semi Condensed" w:cs="Barlow Semi Condensed" w:eastAsia="Barlow Semi Condensed" w:hAnsi="Barlow Semi Condensed"/>
          <w:sz w:val="24"/>
          <w:szCs w:val="24"/>
        </w:rPr>
        <w:t xml:space="preserve"> La riunione del Comitato dei 303, presieduta dal soggetto con Johnson, Packard e Helms, convenne all'unanimità che non vi fosse reale giustificazione per riprendere il finanziamento coperto. Moro assunse la Farnesina il 5 agosto 1969: la riunione la precede di quasi cinque mesi. Non c'è contemporaneità, c'è precedenza — e una causa non si colloca dopo il proprio effetto, come il blocco 867 ha già stabilito.</w:t>
      </w:r>
    </w:p>
    <w:p>
      <w:pPr>
        <w:spacing w:after="120" w:line="276"/>
        <w:jc w:val="both"/>
      </w:pPr>
      <w:r>
        <w:rPr>
          <w:rFonts w:ascii="Barlow Semi Condensed" w:cs="Barlow Semi Condensed" w:eastAsia="Barlow Semi Condensed" w:hAnsi="Barlow Semi Condensed"/>
          <w:b/>
          <w:bCs/>
          <w:sz w:val="24"/>
          <w:szCs w:val="24"/>
        </w:rPr>
        <w:t xml:space="preserve">4029 · 15 giugno 1969, Bari.</w:t>
      </w:r>
      <w:r>
        <w:rPr>
          <w:rFonts w:ascii="Barlow Semi Condensed" w:cs="Barlow Semi Condensed" w:eastAsia="Barlow Semi Condensed" w:hAnsi="Barlow Semi Condensed"/>
          <w:sz w:val="24"/>
          <w:szCs w:val="24"/>
        </w:rPr>
        <w:t xml:space="preserve"> La strategia dell'attenzione è formulata compiutamente nel discorso al primo congresso regionale pugliese della Democrazia Cristiana, tenuto a Bari il 15 giugno 1969: bersaglio già fissato al blocco 120, con l'edizione camerale dei Discorsi parlamentari come sede. La data precede di sette settimane l'ingresso alla Farnesina. Chi voglia opporre dottrine dovrà prima datarle una per una: il confronto senza date è, alla lettera, senza oggetto.</w:t>
      </w:r>
    </w:p>
    <w:p>
      <w:pPr>
        <w:spacing w:after="120" w:line="276"/>
        <w:jc w:val="both"/>
      </w:pPr>
      <w:r>
        <w:rPr>
          <w:rFonts w:ascii="Barlow Semi Condensed" w:cs="Barlow Semi Condensed" w:eastAsia="Barlow Semi Condensed" w:hAnsi="Barlow Semi Condensed"/>
          <w:b/>
          <w:bCs/>
          <w:sz w:val="24"/>
          <w:szCs w:val="24"/>
        </w:rPr>
        <w:t xml:space="preserve">4030 · 5 agosto 1969, la finestra italiana.</w:t>
      </w:r>
      <w:r>
        <w:rPr>
          <w:rFonts w:ascii="Barlow Semi Condensed" w:cs="Barlow Semi Condensed" w:eastAsia="Barlow Semi Condensed" w:hAnsi="Barlow Semi Condensed"/>
          <w:sz w:val="24"/>
          <w:szCs w:val="24"/>
        </w:rPr>
        <w:t xml:space="preserve"> Moro fu ministro degli Affari Esteri dal 5 agosto 1969 al 26 giugno 1972 e di nuovo dal 7 luglio 1973 al 23 novembre 1974: sono le due sole finestre entro cui un rapporto diretto fra i due nomi, in veste di ministro e di titolare americano, è cronologicamente possibile. La verifica ne ha trovato uno. Fuori da queste finestre ogni ponte istituzionale è escluso in partenza, e va escluso senza discutere il merito.</w:t>
      </w:r>
    </w:p>
    <w:p>
      <w:pPr>
        <w:spacing w:after="120" w:line="276"/>
        <w:jc w:val="both"/>
      </w:pPr>
      <w:r>
        <w:rPr>
          <w:rFonts w:ascii="Barlow Semi Condensed" w:cs="Barlow Semi Condensed" w:eastAsia="Barlow Semi Condensed" w:hAnsi="Barlow Semi Condensed"/>
          <w:b/>
          <w:bCs/>
          <w:sz w:val="24"/>
          <w:szCs w:val="24"/>
        </w:rPr>
        <w:t xml:space="preserve">4031 · 31 agosto 1969, Moro e Brandt.</w:t>
      </w:r>
      <w:r>
        <w:rPr>
          <w:rFonts w:ascii="Barlow Semi Condensed" w:cs="Barlow Semi Condensed" w:eastAsia="Barlow Semi Condensed" w:hAnsi="Barlow Semi Condensed"/>
          <w:sz w:val="24"/>
          <w:szCs w:val="24"/>
        </w:rPr>
        <w:t xml:space="preserve"> Il corpus corregge la ricognizione nuova su un esito negativo che essa dichiarava: un bilaterale Moro-Brandt a Roma è documentato per il 31 agosto e il 1° settembre 1969, quando entrambi erano ministri degli Esteri, sette settimane prima della cancelleria. La riga esiste ed è tedesca. Bersaglio residuo: gli incontri del periodo di cancellierato, tuttora non reperiti — e in nessuno dei due tronconi compare il nome di questa serie.</w:t>
      </w:r>
    </w:p>
    <w:p>
      <w:pPr>
        <w:spacing w:after="120" w:line="276"/>
        <w:jc w:val="both"/>
      </w:pPr>
      <w:r>
        <w:rPr>
          <w:rFonts w:ascii="Barlow Semi Condensed" w:cs="Barlow Semi Condensed" w:eastAsia="Barlow Semi Condensed" w:hAnsi="Barlow Semi Condensed"/>
          <w:b/>
          <w:bCs/>
          <w:sz w:val="24"/>
          <w:szCs w:val="24"/>
        </w:rPr>
        <w:t xml:space="preserve">4032 · 8 settembre 1969, il connettore.</w:t>
      </w:r>
      <w:r>
        <w:rPr>
          <w:rFonts w:ascii="Barlow Semi Condensed" w:cs="Barlow Semi Condensed" w:eastAsia="Barlow Semi Condensed" w:hAnsi="Barlow Semi Condensed"/>
          <w:sz w:val="24"/>
          <w:szCs w:val="24"/>
        </w:rPr>
        <w:t xml:space="preserve"> Il Collettivo Politico Metropolitano nacque a Milano l'8 settembre 1969 con Curcio e Simioni, e la sinaptogenesi del corpus gli assegna la seconda betweenness dell'intera rete: è il ponte documentale fra i mondi italiani. Accertamento di confine, da scrivere per intero: quel connettore non tocca alcun nodo americano, e il grafo non registra arco fra il ceppo del 1969 e qualunque nome straniero.</w:t>
      </w:r>
    </w:p>
    <w:p>
      <w:pPr>
        <w:spacing w:after="120" w:line="276"/>
        <w:jc w:val="both"/>
      </w:pPr>
      <w:r>
        <w:rPr>
          <w:rFonts w:ascii="Barlow Semi Condensed" w:cs="Barlow Semi Condensed" w:eastAsia="Barlow Semi Condensed" w:hAnsi="Barlow Semi Condensed"/>
          <w:b/>
          <w:bCs/>
          <w:sz w:val="24"/>
          <w:szCs w:val="24"/>
        </w:rPr>
        <w:t xml:space="preserve">4033 · Dicembre 1969, ordinare uno studio.</w:t>
      </w:r>
      <w:r>
        <w:rPr>
          <w:rFonts w:ascii="Barlow Semi Condensed" w:cs="Barlow Semi Condensed" w:eastAsia="Barlow Semi Condensed" w:hAnsi="Barlow Semi Condensed"/>
          <w:sz w:val="24"/>
          <w:szCs w:val="24"/>
        </w:rPr>
        <w:t xml:space="preserve"> Il documento 188 del volume XLI registra l'istruzione di Nixon, nel dicembre 1969, di avviare uno study on Italy, e il blocco 115 lo qualifica già: attesta un'attenzione, non una decisione operativa. La serie aggiunge il solo rilievo che le compete, ed è cronologico — lo studio è ordinato quattro mesi dopo l'arrivo di Moro alla Farnesina, e nessuna fonte lo collega alla persona del ministro.</w:t>
      </w:r>
    </w:p>
    <w:p>
      <w:pPr>
        <w:spacing w:after="120" w:line="276"/>
        <w:jc w:val="both"/>
      </w:pPr>
      <w:r>
        <w:rPr>
          <w:rFonts w:ascii="Barlow Semi Condensed" w:cs="Barlow Semi Condensed" w:eastAsia="Barlow Semi Condensed" w:hAnsi="Barlow Semi Condensed"/>
          <w:b/>
          <w:bCs/>
          <w:sz w:val="24"/>
          <w:szCs w:val="24"/>
        </w:rPr>
        <w:t xml:space="preserve">4034 · 12 dicembre 1969, la tesi circolante.</w:t>
      </w:r>
      <w:r>
        <w:rPr>
          <w:rFonts w:ascii="Barlow Semi Condensed" w:cs="Barlow Semi Condensed" w:eastAsia="Barlow Semi Condensed" w:hAnsi="Barlow Semi Condensed"/>
          <w:sz w:val="24"/>
          <w:szCs w:val="24"/>
        </w:rPr>
        <w:t xml:space="preserve"> Il blocco 339 registra la tesi d'autore che legherebbe la data di piazza Fontana alla sconfitta diplomatica greca a Strasburgo, dove le fonti divergono perfino sul giorno della seduta, 12 o 13 dicembre. È affermazione terziaria, piano tre, e come tale va nominata ogni volta. Bersaglio di riscontro e di smentita insieme: gli atti del Consiglio d'Europa e le serie di gabinetto della Farnesina, mai spogliati per questa domanda.</w:t>
      </w:r>
    </w:p>
    <w:p>
      <w:pPr>
        <w:spacing w:after="120" w:line="276"/>
        <w:jc w:val="both"/>
      </w:pPr>
      <w:r>
        <w:rPr>
          <w:rFonts w:ascii="Barlow Semi Condensed" w:cs="Barlow Semi Condensed" w:eastAsia="Barlow Semi Condensed" w:hAnsi="Barlow Semi Condensed"/>
          <w:b/>
          <w:bCs/>
          <w:sz w:val="24"/>
          <w:szCs w:val="24"/>
        </w:rPr>
        <w:t xml:space="preserve">4035 · 1970, gli atti pontifici portoghesi.</w:t>
      </w:r>
      <w:r>
        <w:rPr>
          <w:rFonts w:ascii="Barlow Semi Condensed" w:cs="Barlow Semi Condensed" w:eastAsia="Barlow Semi Condensed" w:hAnsi="Barlow Semi Condensed"/>
          <w:sz w:val="24"/>
          <w:szCs w:val="24"/>
        </w:rPr>
        <w:t xml:space="preserve"> L'udienza di Paolo VI ai tre leader dei movimenti di liberazione del 1° luglio 1970, la Conferenza romana del 27-29 giugno senza patrocinio né obiezione del governo italiano, il gemellaggio ospedaliero reggiano: la ricognizione portoghese li documenta come sequenza datata. Esito negativo dichiarato per questa serie: in nessuno dei tre atti compare un interlocutore americano nominato, e la cartella Farnesina non ne cerca alcuno.</w:t>
      </w:r>
    </w:p>
    <w:p>
      <w:pPr>
        <w:spacing w:after="120" w:line="276"/>
        <w:jc w:val="both"/>
      </w:pPr>
      <w:r>
        <w:rPr>
          <w:rFonts w:ascii="Barlow Semi Condensed" w:cs="Barlow Semi Condensed" w:eastAsia="Barlow Semi Condensed" w:hAnsi="Barlow Semi Condensed"/>
          <w:b/>
          <w:bCs/>
          <w:sz w:val="24"/>
          <w:szCs w:val="24"/>
        </w:rPr>
        <w:t xml:space="preserve">4036 · 22 maggio 1970, il funzionario anonimo.</w:t>
      </w:r>
      <w:r>
        <w:rPr>
          <w:rFonts w:ascii="Barlow Semi Condensed" w:cs="Barlow Semi Condensed" w:eastAsia="Barlow Semi Condensed" w:hAnsi="Barlow Semi Condensed"/>
          <w:sz w:val="24"/>
          <w:szCs w:val="24"/>
        </w:rPr>
        <w:t xml:space="preserve"> Il Weekly Summary Special Report, protocollo CIA-RDP85T00875R001500020027-1, declassificato, attesta la composizione del gabinetto spagnolo dell'ottobre 1969 e contiene la frase su un funzionario italiano che non nomina. La seconda campagna della Farnesina la acquisisce nella sola forma acquisibile: frase anonima di documento autentico. Regola: un documento datato che non fa nomi non ne fa nemmeno uno per questa serie, e ogni identificazione resta inferenza non sostenuta.</w:t>
      </w:r>
    </w:p>
    <w:p>
      <w:pPr>
        <w:spacing w:after="120" w:line="276"/>
        <w:jc w:val="both"/>
      </w:pPr>
      <w:r>
        <w:rPr>
          <w:rFonts w:ascii="Barlow Semi Condensed" w:cs="Barlow Semi Condensed" w:eastAsia="Barlow Semi Condensed" w:hAnsi="Barlow Semi Condensed"/>
          <w:b/>
          <w:bCs/>
          <w:sz w:val="24"/>
          <w:szCs w:val="24"/>
        </w:rPr>
        <w:t xml:space="preserve">4037 · Ottobre 1970, Tripoli.</w:t>
      </w:r>
      <w:r>
        <w:rPr>
          <w:rFonts w:ascii="Barlow Semi Condensed" w:cs="Barlow Semi Condensed" w:eastAsia="Barlow Semi Condensed" w:hAnsi="Barlow Semi Condensed"/>
          <w:sz w:val="24"/>
          <w:szCs w:val="24"/>
        </w:rPr>
        <w:t xml:space="preserve"> L'ultimatum libico del 7 ottobre 1970 e la fine del traghettamento di oltre diciassettemila italiani il 15 ottobre sono acquisizioni che il corpus oppone a una lacuna dichiarata dalla ricognizione nuova. Riga mediterranea densa e interamente bilaterale. Bersaglio: verificare nelle serie del gabinetto del ministro se della crisi esista corrispondenza con Washington nel medesimo autunno. Accertamento non condotto; sede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4038 · 7 dicembre 1970, la catena Oder-Neisse.</w:t>
      </w:r>
      <w:r>
        <w:rPr>
          <w:rFonts w:ascii="Barlow Semi Condensed" w:cs="Barlow Semi Condensed" w:eastAsia="Barlow Semi Condensed" w:hAnsi="Barlow Semi Condensed"/>
          <w:sz w:val="24"/>
          <w:szCs w:val="24"/>
        </w:rPr>
        <w:t xml:space="preserve"> Trattato di Varsavia firmato il 7 dicembre 1970, leggi di autorizzazione approvate il 17 e il 19 maggio 1972, entrata in vigore il 3 giugno, costituzioni apostoliche del 28 giugno: è la catena datata più stretta dell'intera cartella diplomatica. Nessuno dei suoi anelli è americano, e il nesso non è dedotto dalla prossimità delle date ma attestato dalla comunicazione vaticana di accompagnamento. Il modello vale per ogni sequenza.</w:t>
      </w:r>
    </w:p>
    <w:p>
      <w:pPr>
        <w:spacing w:after="120" w:line="276"/>
        <w:jc w:val="both"/>
      </w:pPr>
      <w:r>
        <w:rPr>
          <w:rFonts w:ascii="Barlow Semi Condensed" w:cs="Barlow Semi Condensed" w:eastAsia="Barlow Semi Condensed" w:hAnsi="Barlow Semi Condensed"/>
          <w:b/>
          <w:bCs/>
          <w:sz w:val="24"/>
          <w:szCs w:val="24"/>
        </w:rPr>
        <w:t xml:space="preserve">4039 · Agosto 1970, Pecorile.</w:t>
      </w:r>
      <w:r>
        <w:rPr>
          <w:rFonts w:ascii="Barlow Semi Condensed" w:cs="Barlow Semi Condensed" w:eastAsia="Barlow Semi Condensed" w:hAnsi="Barlow Semi Condensed"/>
          <w:sz w:val="24"/>
          <w:szCs w:val="24"/>
        </w:rPr>
        <w:t xml:space="preserve"> Al convegno di Pecorile dell'agosto 1970 nacque il nucleo delle Brigate Rosse, che assunsero Guevara a modello dichiarato, mentre Feltrinelli fondava i Gruppi d'Azione Partigiana: lo documenta il nodo M-3. È il punto in cui il fronte italiano si arma, e la cronologia comparata lo registra come interamente domestico. La Fase sesta lo conferma dal lato negativo, fra i suoi Stati Zero cercati e non trovati.</w:t>
      </w:r>
    </w:p>
    <w:p>
      <w:pPr>
        <w:spacing w:after="120" w:line="276"/>
        <w:jc w:val="both"/>
      </w:pPr>
      <w:r>
        <w:rPr>
          <w:rFonts w:ascii="Barlow Semi Condensed" w:cs="Barlow Semi Condensed" w:eastAsia="Barlow Semi Condensed" w:hAnsi="Barlow Semi Condensed"/>
          <w:b/>
          <w:bCs/>
          <w:sz w:val="24"/>
          <w:szCs w:val="24"/>
        </w:rPr>
        <w:t xml:space="preserve">4040 · 1971, il papavero e il nome.</w:t>
      </w:r>
      <w:r>
        <w:rPr>
          <w:rFonts w:ascii="Barlow Semi Condensed" w:cs="Barlow Semi Condensed" w:eastAsia="Barlow Semi Condensed" w:hAnsi="Barlow Semi Condensed"/>
          <w:sz w:val="24"/>
          <w:szCs w:val="24"/>
        </w:rPr>
        <w:t xml:space="preserve"> La ricognizione turca accerta che il divieto di coltivazione del papavero fu introdotto nel giugno 1971 dal governo Erim sotto pressione statunitense esercitata personalmente da Nixon, e revocato da Ecevit il 1° luglio 1974. La precisione della fonte è un modello di disciplina: nomina il presidente e non il segretario. Regola di lettura: dove il documento nomina, si nomina; dove nomina altri, non si sostituisce il nome atteso.</w:t>
      </w:r>
    </w:p>
    <w:p>
      <w:pPr>
        <w:spacing w:after="120" w:line="276"/>
        <w:jc w:val="both"/>
      </w:pPr>
      <w:r>
        <w:rPr>
          <w:rFonts w:ascii="Barlow Semi Condensed" w:cs="Barlow Semi Condensed" w:eastAsia="Barlow Semi Condensed" w:hAnsi="Barlow Semi Condensed"/>
          <w:b/>
          <w:bCs/>
          <w:sz w:val="24"/>
          <w:szCs w:val="24"/>
        </w:rPr>
        <w:t xml:space="preserve">4041 · 14 marzo 1972, Segrate.</w:t>
      </w:r>
      <w:r>
        <w:rPr>
          <w:rFonts w:ascii="Barlow Semi Condensed" w:cs="Barlow Semi Condensed" w:eastAsia="Barlow Semi Condensed" w:hAnsi="Barlow Semi Condensed"/>
          <w:sz w:val="24"/>
          <w:szCs w:val="24"/>
        </w:rPr>
        <w:t xml:space="preserve"> Alla Cascina Nuova, nella notte fra il 14 e il 15 marzo 1972, Giangiacomo Feltrinelli morì dilaniato dall'esplosivo; il vaglio processuale del 1979 accertò un sabotaggio finito in errore tecnico, e la tesi dell'omicidio di Stato resta congettura non provata, come feltrinelli-il-vettore scrive per esteso. Esito negativo dichiarato per questa serie: nessuna delle due letture, né quella accertata né quella congetturale, nomina un apparato straniero.</w:t>
      </w:r>
    </w:p>
    <w:p>
      <w:pPr>
        <w:spacing w:after="120" w:line="276"/>
        <w:jc w:val="both"/>
      </w:pPr>
      <w:r>
        <w:rPr>
          <w:rFonts w:ascii="Barlow Semi Condensed" w:cs="Barlow Semi Condensed" w:eastAsia="Barlow Semi Condensed" w:hAnsi="Barlow Semi Condensed"/>
          <w:b/>
          <w:bCs/>
          <w:sz w:val="24"/>
          <w:szCs w:val="24"/>
        </w:rPr>
        <w:t xml:space="preserve">4042 · 1972, l'approccio del SID.</w:t>
      </w:r>
      <w:r>
        <w:rPr>
          <w:rFonts w:ascii="Barlow Semi Condensed" w:cs="Barlow Semi Condensed" w:eastAsia="Barlow Semi Condensed" w:hAnsi="Barlow Semi Condensed"/>
          <w:sz w:val="24"/>
          <w:szCs w:val="24"/>
        </w:rPr>
        <w:t xml:space="preserve"> Duccio Berio riferì alla Commissione Moro 2, il 28 ottobre 2015, che nel 1972 un agente del SID gli propose di infiltrarsi nelle Brigate Rosse che si stavano organizzando, e che egli documentò l'approccio in una lettera al suocero Alberto Malagugini. Accertamento di grado B, perché reso a organo parlamentare. È l'unico contatto fra servizi e ceppo Simioni attestato da fonte istituzionale, ed è italiano da entrambi i capi.</w:t>
      </w:r>
    </w:p>
    <w:p>
      <w:pPr>
        <w:spacing w:after="120" w:line="276"/>
        <w:jc w:val="both"/>
      </w:pPr>
      <w:r>
        <w:rPr>
          <w:rFonts w:ascii="Barlow Semi Condensed" w:cs="Barlow Semi Condensed" w:eastAsia="Barlow Semi Condensed" w:hAnsi="Barlow Semi Condensed"/>
          <w:b/>
          <w:bCs/>
          <w:sz w:val="24"/>
          <w:szCs w:val="24"/>
        </w:rPr>
        <w:t xml:space="preserve">4043 · 26 e 28 giugno 1972.</w:t>
      </w:r>
      <w:r>
        <w:rPr>
          <w:rFonts w:ascii="Barlow Semi Condensed" w:cs="Barlow Semi Condensed" w:eastAsia="Barlow Semi Condensed" w:hAnsi="Barlow Semi Condensed"/>
          <w:sz w:val="24"/>
          <w:szCs w:val="24"/>
        </w:rPr>
        <w:t xml:space="preserve"> La verifica ha chiuso una divergenza, e la chiusura ha una conseguenza: il primo mandato di Moro alla Farnesina cessa il 26 giugno 1972, sicché il governo in carica il 28 giugno, giorno delle costituzioni apostoliche, era il secondo Andreotti e non il primo. Vale come regola generale della serie: due giorni di scarto spostano un governo, e chi lavora per date non può concedersi approssimazioni di settimana.</w:t>
      </w:r>
    </w:p>
    <w:p>
      <w:pPr>
        <w:spacing w:after="120" w:line="276"/>
        <w:jc w:val="both"/>
      </w:pPr>
      <w:r>
        <w:rPr>
          <w:rFonts w:ascii="Barlow Semi Condensed" w:cs="Barlow Semi Condensed" w:eastAsia="Barlow Semi Condensed" w:hAnsi="Barlow Semi Condensed"/>
          <w:b/>
          <w:bCs/>
          <w:sz w:val="24"/>
          <w:szCs w:val="24"/>
        </w:rPr>
        <w:t xml:space="preserve">4044 · Il biennio senza carta americana.</w:t>
      </w:r>
      <w:r>
        <w:rPr>
          <w:rFonts w:ascii="Barlow Semi Condensed" w:cs="Barlow Semi Condensed" w:eastAsia="Barlow Semi Condensed" w:hAnsi="Barlow Semi Condensed"/>
          <w:sz w:val="24"/>
          <w:szCs w:val="24"/>
        </w:rPr>
        <w:t xml:space="preserve"> Fra la fine del primo mandato di Moro, il 26 giugno 1972, e il suo ritorno alla Farnesina il 7 luglio 1973, il corpus non possiede alcun documento americano che nomini entrambe le parti. Stato Zero dichiarato con sede doppia: i Nixon Presidential Materials a College Park, con i National Security Council Files, per il versante statunitense; le serie del gabinetto del ministro all'Archivio storico-diplomatico per quello italiano.</w:t>
      </w:r>
    </w:p>
    <w:p>
      <w:pPr>
        <w:spacing w:after="120" w:line="276"/>
        <w:jc w:val="both"/>
      </w:pPr>
      <w:r>
        <w:rPr>
          <w:rFonts w:ascii="Barlow Semi Condensed" w:cs="Barlow Semi Condensed" w:eastAsia="Barlow Semi Condensed" w:hAnsi="Barlow Semi Condensed"/>
          <w:b/>
          <w:bCs/>
          <w:sz w:val="24"/>
          <w:szCs w:val="24"/>
        </w:rPr>
        <w:t xml:space="preserve">4045 · 17 o 18 gennaio 1973.</w:t>
      </w:r>
      <w:r>
        <w:rPr>
          <w:rFonts w:ascii="Barlow Semi Condensed" w:cs="Barlow Semi Condensed" w:eastAsia="Barlow Semi Condensed" w:hAnsi="Barlow Semi Condensed"/>
          <w:sz w:val="24"/>
          <w:szCs w:val="24"/>
        </w:rPr>
        <w:t xml:space="preserve"> Il riconoscimento italiano della Repubblica Democratica Tedesca è datato al 17 gennaio 1973 dalle fonti italiane adottate dal corpus e al 18 da una fonte istituzionale tedesca. La divergenza resta aperta e si riporta. Bersaglio minimo e chiudibile in una seduta di sala studio: il testo della nota verbale con protocollo, all'Archivio storico-diplomatico o al Politisches Archiv. Un giorno di differenza si accerta su un atto, non su una sintesi.</w:t>
      </w:r>
    </w:p>
    <w:p>
      <w:pPr>
        <w:spacing w:after="120" w:line="276"/>
        <w:jc w:val="both"/>
      </w:pPr>
      <w:r>
        <w:rPr>
          <w:rFonts w:ascii="Barlow Semi Condensed" w:cs="Barlow Semi Condensed" w:eastAsia="Barlow Semi Condensed" w:hAnsi="Barlow Semi Condensed"/>
          <w:b/>
          <w:bCs/>
          <w:sz w:val="24"/>
          <w:szCs w:val="24"/>
        </w:rPr>
        <w:t xml:space="preserve">4046 · 11 settembre 1973, il Cile.</w:t>
      </w:r>
      <w:r>
        <w:rPr>
          <w:rFonts w:ascii="Barlow Semi Condensed" w:cs="Barlow Semi Condensed" w:eastAsia="Barlow Semi Condensed" w:hAnsi="Barlow Semi Condensed"/>
          <w:sz w:val="24"/>
          <w:szCs w:val="24"/>
        </w:rPr>
        <w:t xml:space="preserve"> Il saggio dal-che-a-moro registra come documentata la responsabilità primaria di apparati statunitensi nella caduta di Salvador Allende, supervisionati da Henry Kissinger, e ne fa lo spartiacque che radicalizzò in direzioni opposte le due sinistre italiane. È responsabilità politica accertata, e il blocco 34 la distingue da quella penale, che non esiste. La data resta l'ancoraggio meglio documentato del versante americano di tutto il corpus.</w:t>
      </w:r>
    </w:p>
    <w:p>
      <w:pPr>
        <w:spacing w:after="120" w:line="276"/>
        <w:jc w:val="both"/>
      </w:pPr>
      <w:r>
        <w:rPr>
          <w:rFonts w:ascii="Barlow Semi Condensed" w:cs="Barlow Semi Condensed" w:eastAsia="Barlow Semi Condensed" w:hAnsi="Barlow Semi Condensed"/>
          <w:b/>
          <w:bCs/>
          <w:sz w:val="24"/>
          <w:szCs w:val="24"/>
        </w:rPr>
        <w:t xml:space="preserve">4047 · La carica il giorno del golpe.</w:t>
      </w:r>
      <w:r>
        <w:rPr>
          <w:rFonts w:ascii="Barlow Semi Condensed" w:cs="Barlow Semi Condensed" w:eastAsia="Barlow Semi Condensed" w:hAnsi="Barlow Semi Condensed"/>
          <w:sz w:val="24"/>
          <w:szCs w:val="24"/>
        </w:rPr>
        <w:t xml:space="preserve"> Precisazione cronologica che il corpus deve recepire, e che nasce da questa serie. L'11 settembre 1973 il soggetto non era Segretario di Stato: lo divenne con entrata in carica il 22 settembre 1973, undici giorni dopo, e quel giorno era Assistente per la sicurezza nazionale. La formula corrente che lo qualifica con la carica maggiore è imprecisa alla data, e va emendata dovunque compaia, per nota e non in silenzio.</w:t>
      </w:r>
    </w:p>
    <w:p>
      <w:pPr>
        <w:spacing w:after="120" w:line="276"/>
        <w:jc w:val="both"/>
      </w:pPr>
      <w:r>
        <w:rPr>
          <w:rFonts w:ascii="Barlow Semi Condensed" w:cs="Barlow Semi Condensed" w:eastAsia="Barlow Semi Condensed" w:hAnsi="Barlow Semi Condensed"/>
          <w:b/>
          <w:bCs/>
          <w:sz w:val="24"/>
          <w:szCs w:val="24"/>
        </w:rPr>
        <w:t xml:space="preserve">4048 · 22 settembre 1973, il cumulo.</w:t>
      </w:r>
      <w:r>
        <w:rPr>
          <w:rFonts w:ascii="Barlow Semi Condensed" w:cs="Barlow Semi Condensed" w:eastAsia="Barlow Semi Condensed" w:hAnsi="Barlow Semi Condensed"/>
          <w:sz w:val="24"/>
          <w:szCs w:val="24"/>
        </w:rPr>
        <w:t xml:space="preserve"> Dal 22 settembre 1973 al 3 novembre 1975 tenne insieme i due incarichi, caso unico nella storia statunitense; le fonti secondarie che datano l'inizio al 23 divergono dalla fonte istituzionale, che indica il 22, e prevale la seconda. Il rilievo non è pedanteria d'apparato: il cumulo definisce la finestra in cui un solo uomo concentra due catene documentali, e dunque le due serie d'archivio da interrogare separatamente.</w:t>
      </w:r>
    </w:p>
    <w:p>
      <w:pPr>
        <w:spacing w:after="120" w:line="276"/>
        <w:jc w:val="both"/>
      </w:pPr>
      <w:r>
        <w:rPr>
          <w:rFonts w:ascii="Barlow Semi Condensed" w:cs="Barlow Semi Condensed" w:eastAsia="Barlow Semi Condensed" w:hAnsi="Barlow Semi Condensed"/>
          <w:b/>
          <w:bCs/>
          <w:sz w:val="24"/>
          <w:szCs w:val="24"/>
        </w:rPr>
        <w:t xml:space="preserve">4049 · Aprile 1974, il canale Pignedoli.</w:t>
      </w:r>
      <w:r>
        <w:rPr>
          <w:rFonts w:ascii="Barlow Semi Condensed" w:cs="Barlow Semi Condensed" w:eastAsia="Barlow Semi Condensed" w:hAnsi="Barlow Semi Condensed"/>
          <w:sz w:val="24"/>
          <w:szCs w:val="24"/>
        </w:rPr>
        <w:t xml:space="preserve"> Il canale del cardinale Sergio Pignedoli nel sequestro Sossi, aprile-maggio 1974, entra nel corpus con la seconda campagna e vi è qualificato come rapporto fra Stato e Santa Sede in materia di terrorismo. È il precedente datato del canale del 1978. Esito negativo dichiarato: nessun riscontro incrociato interno è possibile, nessuna contraddizione emerge, e nessuna fonte introduce nella vicenda un terzo Stato.</w:t>
      </w:r>
    </w:p>
    <w:p>
      <w:pPr>
        <w:spacing w:after="120" w:line="276"/>
        <w:jc w:val="both"/>
      </w:pPr>
      <w:r>
        <w:rPr>
          <w:rFonts w:ascii="Barlow Semi Condensed" w:cs="Barlow Semi Condensed" w:eastAsia="Barlow Semi Condensed" w:hAnsi="Barlow Semi Condensed"/>
          <w:b/>
          <w:bCs/>
          <w:sz w:val="24"/>
          <w:szCs w:val="24"/>
        </w:rPr>
        <w:t xml:space="preserve">4050 · Luglio 1974, la sequenza cipriota.</w:t>
      </w:r>
      <w:r>
        <w:rPr>
          <w:rFonts w:ascii="Barlow Semi Condensed" w:cs="Barlow Semi Condensed" w:eastAsia="Barlow Semi Condensed" w:hAnsi="Barlow Semi Condensed"/>
          <w:sz w:val="24"/>
          <w:szCs w:val="24"/>
        </w:rPr>
        <w:t xml:space="preserve"> Colpo di Stato a Nicosia il 15 luglio 1974, intervento turco il 20, crollo della giunta di Atene il 23, seconda offensiva il 14 agosto, cessate il fuoco il 16: sequenza accertata su fonti primarie internazionali, e caduta nella fase finale del ministero Moro. La ricognizione dichiara Stato Zero relativo sul versante atlantico italiano, con tre sedi da battere: Farnesina, NATO Archives Online, Foreign Relations of the United States.</w:t>
      </w:r>
    </w:p>
    <w:p>
      <w:pPr>
        <w:spacing w:after="120" w:line="276"/>
        <w:jc w:val="both"/>
      </w:pPr>
      <w:r>
        <w:rPr>
          <w:rFonts w:ascii="Barlow Semi Condensed" w:cs="Barlow Semi Condensed" w:eastAsia="Barlow Semi Condensed" w:hAnsi="Barlow Semi Condensed"/>
          <w:b/>
          <w:bCs/>
          <w:sz w:val="24"/>
          <w:szCs w:val="24"/>
        </w:rPr>
        <w:t xml:space="preserve">4051 · Osimo, negoziato fuori dalla Farnesina.</w:t>
      </w:r>
      <w:r>
        <w:rPr>
          <w:rFonts w:ascii="Barlow Semi Condensed" w:cs="Barlow Semi Condensed" w:eastAsia="Barlow Semi Condensed" w:hAnsi="Barlow Semi Condensed"/>
          <w:sz w:val="24"/>
          <w:szCs w:val="24"/>
        </w:rPr>
        <w:t xml:space="preserve"> Fra luglio e novembre 1974 i negoziati riservati di Osimo si svolsero attraverso un canale esterno al ministero: primo accordo internazionale i cui negoziati per l'Italia non furono curati dalla Farnesina. La maturazione in fase Moro va tenuta distinta dalla paternità formale, che spetta a Rumor con la firma del 10 novembre 1975. Nessun documento americano del corpus tocca la sequenza, e l'esito negativo si registra come acquisizione.</w:t>
      </w:r>
    </w:p>
    <w:p>
      <w:pPr>
        <w:spacing w:after="120" w:line="276"/>
        <w:jc w:val="both"/>
      </w:pPr>
      <w:r>
        <w:rPr>
          <w:rFonts w:ascii="Barlow Semi Condensed" w:cs="Barlow Semi Condensed" w:eastAsia="Barlow Semi Condensed" w:hAnsi="Barlow Semi Condensed"/>
          <w:b/>
          <w:bCs/>
          <w:sz w:val="24"/>
          <w:szCs w:val="24"/>
        </w:rPr>
        <w:t xml:space="preserve">4052 · 25 settembre 1974, l'unico piano uno.</w:t>
      </w:r>
      <w:r>
        <w:rPr>
          <w:rFonts w:ascii="Barlow Semi Condensed" w:cs="Barlow Semi Condensed" w:eastAsia="Barlow Semi Condensed" w:hAnsi="Barlow Semi Condensed"/>
          <w:sz w:val="24"/>
          <w:szCs w:val="24"/>
        </w:rPr>
        <w:t xml:space="preserve"> Il memorandum of conversation dello Studio Ovale delle 11.30, con Giovanni Leone, Aldo Moro, Gerald Ford, Henry Kissinger e Brent Scowcroft — FRUS 1969-1976 volume E-15 parte seconda documento 350, seconda edizione riveduta, file 1552802 della Gerald R. Ford Presidential Library — è l'unico rapporto diretto documentato fra i due nomi in tutto il corpus. Una data sola in un secolo: è il risultato quantitativo di questa serie.</w:t>
      </w:r>
    </w:p>
    <w:p>
      <w:pPr>
        <w:spacing w:after="120" w:line="276"/>
        <w:jc w:val="both"/>
      </w:pPr>
      <w:r>
        <w:rPr>
          <w:rFonts w:ascii="Barlow Semi Condensed" w:cs="Barlow Semi Condensed" w:eastAsia="Barlow Semi Condensed" w:hAnsi="Barlow Semi Condensed"/>
          <w:b/>
          <w:bCs/>
          <w:sz w:val="24"/>
          <w:szCs w:val="24"/>
        </w:rPr>
        <w:t xml:space="preserve">4053 · Ciò che il verbale non contiene.</w:t>
      </w:r>
      <w:r>
        <w:rPr>
          <w:rFonts w:ascii="Barlow Semi Condensed" w:cs="Barlow Semi Condensed" w:eastAsia="Barlow Semi Condensed" w:hAnsi="Barlow Semi Condensed"/>
          <w:sz w:val="24"/>
          <w:szCs w:val="24"/>
        </w:rPr>
        <w:t xml:space="preserve"> Quel verbale attesta la posizione sull'impossibilità di scambiare informazioni militari con un governo che includesse i comunisti, col precedente portoghese richiamato, e il rilievo che un partito comunista responsabile sarebbe alla lunga più pericoloso di uno irresponsabile. Non contiene alcun ultimatum personale ad Aldo Moro. L'accertamento negativo si enuncia con la precisione di quello positivo: è la correzione che l'apparato K-3 impone alla circolazione pubblica.</w:t>
      </w:r>
    </w:p>
    <w:p>
      <w:pPr>
        <w:spacing w:after="120" w:line="276"/>
        <w:jc w:val="both"/>
      </w:pPr>
      <w:r>
        <w:rPr>
          <w:rFonts w:ascii="Barlow Semi Condensed" w:cs="Barlow Semi Condensed" w:eastAsia="Barlow Semi Condensed" w:hAnsi="Barlow Semi Condensed"/>
          <w:b/>
          <w:bCs/>
          <w:sz w:val="24"/>
          <w:szCs w:val="24"/>
        </w:rPr>
        <w:t xml:space="preserve">4054 · 26 settembre 1974, la cella riempibile.</w:t>
      </w:r>
      <w:r>
        <w:rPr>
          <w:rFonts w:ascii="Barlow Semi Condensed" w:cs="Barlow Semi Condensed" w:eastAsia="Barlow Semi Condensed" w:hAnsi="Barlow Semi Condensed"/>
          <w:sz w:val="24"/>
          <w:szCs w:val="24"/>
        </w:rPr>
        <w:t xml:space="preserve"> Esiste un secondo memorandum, del giorno successivo, conservato alla Ford Library come file 1552806, sui cui contenuti gli estratti reperiti sono parziali e non del tutto concordi. Bersaglio aperto e già nominato al blocco 863: lo spoglio integrale non è stato compiuto. Finché non lo sia, la giornata del 26 settembre 1974 resta l'unica cella della colonna che possa ancora riempirsi con un atto e non con un'ipotesi.</w:t>
      </w:r>
    </w:p>
    <w:p>
      <w:pPr>
        <w:spacing w:after="120" w:line="276"/>
        <w:jc w:val="both"/>
      </w:pPr>
      <w:r>
        <w:rPr>
          <w:rFonts w:ascii="Barlow Semi Condensed" w:cs="Barlow Semi Condensed" w:eastAsia="Barlow Semi Condensed" w:hAnsi="Barlow Semi Condensed"/>
          <w:b/>
          <w:bCs/>
          <w:sz w:val="24"/>
          <w:szCs w:val="24"/>
        </w:rPr>
        <w:t xml:space="preserve">4055 · Le date della visita divergono (serie LIII).</w:t>
      </w:r>
      <w:r>
        <w:rPr>
          <w:rFonts w:ascii="Barlow Semi Condensed" w:cs="Barlow Semi Condensed" w:eastAsia="Barlow Semi Condensed" w:hAnsi="Barlow Semi Condensed"/>
          <w:sz w:val="24"/>
          <w:szCs w:val="24"/>
        </w:rPr>
        <w:t xml:space="preserve"> Il comunicato congiunto pubblicato negli atti presidenziali colloca la visita di Stato dal 25 al 29 settembre 1974; la nota editoriale del volume FRUS indica dal 25 al 27. La divergenza si riporta e non si sceglie in silenzio, e ha una conseguenza operativa immediata: chi cerchi un colloquio a margine deve sapere quanti giorni contenga la finestra da spogliare, e oggi non lo sa con certezza.</w:t>
      </w:r>
    </w:p>
    <w:p>
      <w:pPr>
        <w:spacing w:after="120" w:line="276"/>
        <w:jc w:val="both"/>
      </w:pPr>
      <w:r>
        <w:rPr>
          <w:rFonts w:ascii="Barlow Semi Condensed" w:cs="Barlow Semi Condensed" w:eastAsia="Barlow Semi Condensed" w:hAnsi="Barlow Semi Condensed"/>
          <w:b/>
          <w:bCs/>
          <w:sz w:val="24"/>
          <w:szCs w:val="24"/>
        </w:rPr>
        <w:t xml:space="preserve">4056 · L'avvertimento e le sue tre date.</w:t>
      </w:r>
      <w:r>
        <w:rPr>
          <w:rFonts w:ascii="Barlow Semi Condensed" w:cs="Barlow Semi Condensed" w:eastAsia="Barlow Semi Condensed" w:hAnsi="Barlow Semi Condensed"/>
          <w:sz w:val="24"/>
          <w:szCs w:val="24"/>
        </w:rPr>
        <w:t xml:space="preserve"> La versione italiana prevalente colloca l'episodio al 25 settembre 1974; una fonte d'agenzia statunitense dell'aprile 1983 lo pone in un alterco all'ambasciata d'Italia a Washington nel 1977; altre sintesi indicano il 1976, e divergono anche i luoghi. Nel 1977 il soggetto non era più in carica. La divergenza è dirimente per chi voglia legare l'episodio a una carica, e va riportata, mai risolta d'ufficio.</w:t>
      </w:r>
    </w:p>
    <w:p>
      <w:pPr>
        <w:spacing w:after="120" w:line="276"/>
        <w:jc w:val="both"/>
      </w:pPr>
      <w:r>
        <w:rPr>
          <w:rFonts w:ascii="Barlow Semi Condensed" w:cs="Barlow Semi Condensed" w:eastAsia="Barlow Semi Condensed" w:hAnsi="Barlow Semi Condensed"/>
          <w:b/>
          <w:bCs/>
          <w:sz w:val="24"/>
          <w:szCs w:val="24"/>
        </w:rPr>
        <w:t xml:space="preserve">4057 · 23 novembre 1974, il cambio di veste.</w:t>
      </w:r>
      <w:r>
        <w:rPr>
          <w:rFonts w:ascii="Barlow Semi Condensed" w:cs="Barlow Semi Condensed" w:eastAsia="Barlow Semi Condensed" w:hAnsi="Barlow Semi Condensed"/>
          <w:sz w:val="24"/>
          <w:szCs w:val="24"/>
        </w:rPr>
        <w:t xml:space="preserve"> Con la fine del quinto governo Rumor cessa il secondo mandato di Moro alla Farnesina, ed egli torna alla presidenza del Consiglio. Da quel giorno nessun incontro fra i due nomi può più avvenire fra ministro degli Esteri e segretario di Stato. Regola di lettura per ogni testimonianza tardiva: prima si verifica la compatibilità delle cariche con la data proposta, poi soltanto si discute il contenuto.</w:t>
      </w:r>
    </w:p>
    <w:p>
      <w:pPr>
        <w:spacing w:after="120" w:line="276"/>
        <w:jc w:val="both"/>
      </w:pPr>
      <w:r>
        <w:rPr>
          <w:rFonts w:ascii="Barlow Semi Condensed" w:cs="Barlow Semi Condensed" w:eastAsia="Barlow Semi Condensed" w:hAnsi="Barlow Semi Condensed"/>
          <w:b/>
          <w:bCs/>
          <w:sz w:val="24"/>
          <w:szCs w:val="24"/>
        </w:rPr>
        <w:t xml:space="preserve">4058 · 1° agosto 1975, Helsinki.</w:t>
      </w:r>
      <w:r>
        <w:rPr>
          <w:rFonts w:ascii="Barlow Semi Condensed" w:cs="Barlow Semi Condensed" w:eastAsia="Barlow Semi Condensed" w:hAnsi="Barlow Semi Condensed"/>
          <w:sz w:val="24"/>
          <w:szCs w:val="24"/>
        </w:rPr>
        <w:t xml:space="preserve"> Moro sottoscrisse l'Atto finale nella duplice qualità di presidente del Consiglio e presidente di turno del Consiglio delle Comunità; il telegramma del 2 agosto, FRUS volume XXXIX documento d.334, conferma la firma dei trentacinque capi di Stato o di governo e descrive la cerimonia conclusiva. Piano uno per l'atto e per la cerimonia, e per nulla di più: un telegramma di resoconto non è fonte di stati d'animo.</w:t>
      </w:r>
    </w:p>
    <w:p>
      <w:pPr>
        <w:spacing w:after="120" w:line="276"/>
        <w:jc w:val="both"/>
      </w:pPr>
      <w:r>
        <w:rPr>
          <w:rFonts w:ascii="Barlow Semi Condensed" w:cs="Barlow Semi Condensed" w:eastAsia="Barlow Semi Condensed" w:hAnsi="Barlow Semi Condensed"/>
          <w:b/>
          <w:bCs/>
          <w:sz w:val="24"/>
          <w:szCs w:val="24"/>
        </w:rPr>
        <w:t xml:space="preserve">4059 · L'insofferenza riferita e il suo piano (serie LIII).</w:t>
      </w:r>
      <w:r>
        <w:rPr>
          <w:rFonts w:ascii="Barlow Semi Condensed" w:cs="Barlow Semi Condensed" w:eastAsia="Barlow Semi Condensed" w:hAnsi="Barlow Semi Condensed"/>
          <w:sz w:val="24"/>
          <w:szCs w:val="24"/>
        </w:rPr>
        <w:t xml:space="preserve"> Una fonte secondaria italiana scrive che Moro ottenne il coinvolgimento formale della Comunità «sfidando l'insofferenza di Kissinger». È affermazione terziaria, piano tre: nessun documento del corpus la sostiene e il telegramma del 2 agosto 1975 non la contiene. Bersaglio che la promuoverebbe o l'abbatterebbe, e che nessuno ha battuto: i verbali della delegazione americana a Helsinki e le carte della presidenza di turno italiana.</w:t>
      </w:r>
    </w:p>
    <w:p>
      <w:pPr>
        <w:spacing w:after="120" w:line="276"/>
        <w:jc w:val="both"/>
      </w:pPr>
      <w:r>
        <w:rPr>
          <w:rFonts w:ascii="Barlow Semi Condensed" w:cs="Barlow Semi Condensed" w:eastAsia="Barlow Semi Condensed" w:hAnsi="Barlow Semi Condensed"/>
          <w:b/>
          <w:bCs/>
          <w:sz w:val="24"/>
          <w:szCs w:val="24"/>
        </w:rPr>
        <w:t xml:space="preserve">4060 · Novembre 1975 e luglio 1976.</w:t>
      </w:r>
      <w:r>
        <w:rPr>
          <w:rFonts w:ascii="Barlow Semi Condensed" w:cs="Barlow Semi Condensed" w:eastAsia="Barlow Semi Condensed" w:hAnsi="Barlow Semi Condensed"/>
          <w:sz w:val="24"/>
          <w:szCs w:val="24"/>
        </w:rPr>
        <w:t xml:space="preserve"> Un saggio sottoposto a revisione paritaria segnala che il programma di azione coperta relativo all'Italia riemerse nel novembre 1975 e nel luglio 1976. Fonte secondaria qualificata, non documento primario. La prima data cade nel mese stesso in cui cessò l'incarico di sicurezza nazionale, il 3 novembre 1975; la seconda sotto la sola carica di Segretario di Stato. Bersaglio: i documenti primari che quel saggio cita, mai acquisiti dal corpus.</w:t>
      </w:r>
    </w:p>
    <w:p>
      <w:pPr>
        <w:spacing w:after="120" w:line="276"/>
        <w:jc w:val="both"/>
      </w:pPr>
      <w:r>
        <w:rPr>
          <w:rFonts w:ascii="Barlow Semi Condensed" w:cs="Barlow Semi Condensed" w:eastAsia="Barlow Semi Condensed" w:hAnsi="Barlow Semi Condensed"/>
          <w:b/>
          <w:bCs/>
          <w:sz w:val="24"/>
          <w:szCs w:val="24"/>
        </w:rPr>
        <w:t xml:space="preserve">4061 · 1976, due dottrine coeve.</w:t>
      </w:r>
      <w:r>
        <w:rPr>
          <w:rFonts w:ascii="Barlow Semi Condensed" w:cs="Barlow Semi Condensed" w:eastAsia="Barlow Semi Condensed" w:hAnsi="Barlow Semi Condensed"/>
          <w:sz w:val="24"/>
          <w:szCs w:val="24"/>
        </w:rPr>
        <w:t xml:space="preserve"> La cosiddetta dottrina Sonnenfeldt fu attribuita nel 1976 a un consigliere del Dipartimento di Stato, e il blocco 89 la registra per quello che è, un'attribuzione. Nello stesso anno Moro pubblicò su Il Giorno l'articolo sulla terza fase, la cui data esatta il blocco 121 chiede ancora di fissare. Due dottrine coeve e nominate, e nessun documento che le metta a confronto: la comparazione va costruita, non presupposta.</w:t>
      </w:r>
    </w:p>
    <w:p>
      <w:pPr>
        <w:spacing w:after="120" w:line="276"/>
        <w:jc w:val="both"/>
      </w:pPr>
      <w:r>
        <w:rPr>
          <w:rFonts w:ascii="Barlow Semi Condensed" w:cs="Barlow Semi Condensed" w:eastAsia="Barlow Semi Condensed" w:hAnsi="Barlow Semi Condensed"/>
          <w:b/>
          <w:bCs/>
          <w:sz w:val="24"/>
          <w:szCs w:val="24"/>
        </w:rPr>
        <w:t xml:space="preserve">4062 · 1976 o 1977, Hyperion.</w:t>
      </w:r>
      <w:r>
        <w:rPr>
          <w:rFonts w:ascii="Barlow Semi Condensed" w:cs="Barlow Semi Condensed" w:eastAsia="Barlow Semi Condensed" w:hAnsi="Barlow Semi Condensed"/>
          <w:sz w:val="24"/>
          <w:szCs w:val="24"/>
        </w:rPr>
        <w:t xml:space="preserve"> Le fonti divergono fra il 1976 e il 1977 sulla fondazione della scuola di lingue al 27 di Quai de la Tournelle, e la divergenza si riporta senza risolverla, come lo studio del ceppo Simioni prescrive. Rilievo proprio di questa serie: nessuna delle due datazioni tocca un documento americano, e la triangolazione Hyperion non nomina il soggetto in alcuno dei suoi nove nodi documentati.</w:t>
      </w:r>
    </w:p>
    <w:p>
      <w:pPr>
        <w:spacing w:after="120" w:line="276"/>
        <w:jc w:val="both"/>
      </w:pPr>
      <w:r>
        <w:rPr>
          <w:rFonts w:ascii="Barlow Semi Condensed" w:cs="Barlow Semi Condensed" w:eastAsia="Barlow Semi Condensed" w:hAnsi="Barlow Semi Condensed"/>
          <w:b/>
          <w:bCs/>
          <w:sz w:val="24"/>
          <w:szCs w:val="24"/>
        </w:rPr>
        <w:t xml:space="preserve">4063 · 20 gennaio 1977, il cittadino privato.</w:t>
      </w:r>
      <w:r>
        <w:rPr>
          <w:rFonts w:ascii="Barlow Semi Condensed" w:cs="Barlow Semi Condensed" w:eastAsia="Barlow Semi Condensed" w:hAnsi="Barlow Semi Condensed"/>
          <w:sz w:val="24"/>
          <w:szCs w:val="24"/>
        </w:rPr>
        <w:t xml:space="preserve"> Dal 20 gennaio 1977 non ricoprì più incarichi di governo, e ogni dichiarazione successiva — interviste, conferenze, memorie — è di cittadino privato e non impegna alcun apparato: così il blocco 103, e la data lo vincola. La conseguenza cronologica vale per l'intero anno del sequestro: nel 1978 non esiste carica alcuna da cui possa discendere un atto ufficiale a suo nome, e nessuna se ne cerchi.</w:t>
      </w:r>
    </w:p>
    <w:p>
      <w:pPr>
        <w:spacing w:after="120" w:line="276"/>
        <w:jc w:val="both"/>
      </w:pPr>
      <w:r>
        <w:rPr>
          <w:rFonts w:ascii="Barlow Semi Condensed" w:cs="Barlow Semi Condensed" w:eastAsia="Barlow Semi Condensed" w:hAnsi="Barlow Semi Condensed"/>
          <w:b/>
          <w:bCs/>
          <w:sz w:val="24"/>
          <w:szCs w:val="24"/>
        </w:rPr>
        <w:t xml:space="preserve">4064 · 1977, l'outgroup tedesco.</w:t>
      </w:r>
      <w:r>
        <w:rPr>
          <w:rFonts w:ascii="Barlow Semi Condensed" w:cs="Barlow Semi Condensed" w:eastAsia="Barlow Semi Condensed" w:hAnsi="Barlow Semi Condensed"/>
          <w:sz w:val="24"/>
          <w:szCs w:val="24"/>
        </w:rPr>
        <w:t xml:space="preserve"> Il sequestro Schleyer del 1977, censito al blocco 141 dei nove cantieri, è il caso di controllo del corpus: osservato dallo stesso campo alleato, gestito in modo opposto. La serie ne trae un bersaglio datato e con sede: i Kabinettsprotokolle 1977, i protocolli del Großer Krisenstab tuttora in parte chiusi, le carte 1977-1978 al Politisches Archiv — dove un nome americano comparirebbe, se dovesse comparire.</w:t>
      </w:r>
    </w:p>
    <w:p>
      <w:pPr>
        <w:spacing w:after="120" w:line="276"/>
        <w:jc w:val="both"/>
      </w:pPr>
      <w:r>
        <w:rPr>
          <w:rFonts w:ascii="Barlow Semi Condensed" w:cs="Barlow Semi Condensed" w:eastAsia="Barlow Semi Condensed" w:hAnsi="Barlow Semi Condensed"/>
          <w:b/>
          <w:bCs/>
          <w:sz w:val="24"/>
          <w:szCs w:val="24"/>
        </w:rPr>
        <w:t xml:space="preserve">4065 · 16 marzo 1978, la giornata italiana.</w:t>
      </w:r>
      <w:r>
        <w:rPr>
          <w:rFonts w:ascii="Barlow Semi Condensed" w:cs="Barlow Semi Condensed" w:eastAsia="Barlow Semi Condensed" w:hAnsi="Barlow Semi Condensed"/>
          <w:sz w:val="24"/>
          <w:szCs w:val="24"/>
        </w:rPr>
        <w:t xml:space="preserve"> Il 16 marzo 1978 Cossiga istituì e presiedette al Viminale il comitato politico-tecnico-operativo, come la scheda PE-1 accerta; lo stesso mattino la scorta fu massacrata e Moro rapito in via Fani. È la data più densa dell'intero corpus. Nessuna delle carte istitutive di quel giorno nomina un interlocutore straniero: la scheda cerca appartenenze italiane, e il censimento che le accerterebbe manca da quarant'anni.</w:t>
      </w:r>
    </w:p>
    <w:p>
      <w:pPr>
        <w:spacing w:after="120" w:line="276"/>
        <w:jc w:val="both"/>
      </w:pPr>
      <w:r>
        <w:rPr>
          <w:rFonts w:ascii="Barlow Semi Condensed" w:cs="Barlow Semi Condensed" w:eastAsia="Barlow Semi Condensed" w:hAnsi="Barlow Semi Condensed"/>
          <w:b/>
          <w:bCs/>
          <w:sz w:val="24"/>
          <w:szCs w:val="24"/>
        </w:rPr>
        <w:t xml:space="preserve">4066 · I nove comunicati e il falso.</w:t>
      </w:r>
      <w:r>
        <w:rPr>
          <w:rFonts w:ascii="Barlow Semi Condensed" w:cs="Barlow Semi Condensed" w:eastAsia="Barlow Semi Condensed" w:hAnsi="Barlow Semi Condensed"/>
          <w:sz w:val="24"/>
          <w:szCs w:val="24"/>
        </w:rPr>
        <w:t xml:space="preserve"> Le date dei nove comunicati autentici — 16, 25 e 29 marzo, 4, 10, 15, 20 e 24 aprile, 5 maggio — sono fissate dagli strumenti della Direzione generale Archivi, e il falso numero sette del 18 aprile ha ora una tavola oraria propria nel blocco 250 dell'agenda. Serie interamente italiana. Bersaglio di smentita: un documento estero coevo che ne anticipi una, e in quarantott'anni non ne è emerso alcuno.</w:t>
      </w:r>
    </w:p>
    <w:p>
      <w:pPr>
        <w:spacing w:after="120" w:line="276"/>
        <w:jc w:val="both"/>
      </w:pPr>
      <w:r>
        <w:rPr>
          <w:rFonts w:ascii="Barlow Semi Condensed" w:cs="Barlow Semi Condensed" w:eastAsia="Barlow Semi Condensed" w:hAnsi="Barlow Semi Condensed"/>
          <w:b/>
          <w:bCs/>
          <w:sz w:val="24"/>
          <w:szCs w:val="24"/>
        </w:rPr>
        <w:t xml:space="preserve">4067 · Aprile-maggio 1978, i cablogrammi consolari.</w:t>
      </w:r>
      <w:r>
        <w:rPr>
          <w:rFonts w:ascii="Barlow Semi Condensed" w:cs="Barlow Semi Condensed" w:eastAsia="Barlow Semi Condensed" w:hAnsi="Barlow Semi Condensed"/>
          <w:sz w:val="24"/>
          <w:szCs w:val="24"/>
        </w:rPr>
        <w:t xml:space="preserve"> Buenos Aires 2881 del 17 aprile 1978, con la smentita dei Montoneros, e i consolari Trieste 9223 e Palermo 9487 del 10-11 maggio compongono lo strato secondo del lotto desecretato: materiali del lutto pubblico, non dell'accertamento sui responsabili. Verifica eseguita e dichiarata come esito: in nessuno dei tre compare il nome di questa serie, né alcun titolare o ex titolare di carica americana.</w:t>
      </w:r>
    </w:p>
    <w:p>
      <w:pPr>
        <w:spacing w:after="120" w:line="276"/>
        <w:jc w:val="both"/>
      </w:pPr>
      <w:r>
        <w:rPr>
          <w:rFonts w:ascii="Barlow Semi Condensed" w:cs="Barlow Semi Condensed" w:eastAsia="Barlow Semi Condensed" w:hAnsi="Barlow Semi Condensed"/>
          <w:b/>
          <w:bCs/>
          <w:sz w:val="24"/>
          <w:szCs w:val="24"/>
        </w:rPr>
        <w:t xml:space="preserve">4068 · La tavola del trattenuto.</w:t>
      </w:r>
      <w:r>
        <w:rPr>
          <w:rFonts w:ascii="Barlow Semi Condensed" w:cs="Barlow Semi Condensed" w:eastAsia="Barlow Semi Condensed" w:hAnsi="Barlow Semi Condensed"/>
          <w:sz w:val="24"/>
          <w:szCs w:val="24"/>
        </w:rPr>
        <w:t xml:space="preserve"> Bersaglio nominato, con sede e chiave d'interrogazione: i Central Foreign Policy Files 1973-1979 su NARA e le Electronic Telegrams Withdrawal Cards del 1978, per TAGS PINT e IT, nella finestra 16 marzo-31 dicembre 1978. La scheda PE-5 la chiede e nessuna pubblicazione la possiede. Solo quella tavola potrà dire se il silenzio americano del 1978 sia assenza documentale o trattenimento dichiarato.</w:t>
      </w:r>
    </w:p>
    <w:p>
      <w:pPr>
        <w:spacing w:after="120" w:line="276"/>
        <w:jc w:val="both"/>
      </w:pPr>
      <w:r>
        <w:rPr>
          <w:rFonts w:ascii="Barlow Semi Condensed" w:cs="Barlow Semi Condensed" w:eastAsia="Barlow Semi Condensed" w:hAnsi="Barlow Semi Condensed"/>
          <w:b/>
          <w:bCs/>
          <w:sz w:val="24"/>
          <w:szCs w:val="24"/>
        </w:rPr>
        <w:t xml:space="preserve">4069 · Per il 1978 serve Atlanta.</w:t>
      </w:r>
      <w:r>
        <w:rPr>
          <w:rFonts w:ascii="Barlow Semi Condensed" w:cs="Barlow Semi Condensed" w:eastAsia="Barlow Semi Condensed" w:hAnsi="Barlow Semi Condensed"/>
          <w:sz w:val="24"/>
          <w:szCs w:val="24"/>
        </w:rPr>
        <w:t xml:space="preserve"> Un'altra presidenza governa nel 1978, e il blocco 102 ne trae la conseguenza d'archivio: la sede pertinente è la Jimmy Carter Presidential Library, col Country File Italia della collezione Brzezinski, non la Ford Library di Ann Arbor. È regola elementare e continuamente violata dalla pubblicistica: la sede si sceglie sulla data dell'evento, non sulla celebrità del nome che si vuole trovare.</w:t>
      </w:r>
    </w:p>
    <w:p>
      <w:pPr>
        <w:spacing w:after="120" w:line="276"/>
        <w:jc w:val="both"/>
      </w:pPr>
      <w:r>
        <w:rPr>
          <w:rFonts w:ascii="Barlow Semi Condensed" w:cs="Barlow Semi Condensed" w:eastAsia="Barlow Semi Condensed" w:hAnsi="Barlow Semi Condensed"/>
          <w:b/>
          <w:bCs/>
          <w:sz w:val="24"/>
          <w:szCs w:val="24"/>
        </w:rPr>
        <w:t xml:space="preserve">4070 · 6 agosto 1978, l'archivio chiuso.</w:t>
      </w:r>
      <w:r>
        <w:rPr>
          <w:rFonts w:ascii="Barlow Semi Condensed" w:cs="Barlow Semi Condensed" w:eastAsia="Barlow Semi Condensed" w:hAnsi="Barlow Semi Condensed"/>
          <w:sz w:val="24"/>
          <w:szCs w:val="24"/>
        </w:rPr>
        <w:t xml:space="preserve"> Paolo VI morì il 6 agosto 1978, tre mesi dopo via Caetani. Le carte vaticane di quell'anno non sono consultabili: l'Archivio Apostolico e l'Archivio storico della Sezione per i Rapporti con gli Stati si fermano alla fine del pontificato di Pio XII, per l'apertura del 2 marzo 2020. Stato Zero con sede nota e data di sblocco ignota: per il 1978 nessuna verifica vaticana su alcun nome è oggi possibile.</w:t>
      </w:r>
    </w:p>
    <w:p>
      <w:pPr>
        <w:spacing w:after="120" w:line="276"/>
        <w:jc w:val="both"/>
      </w:pPr>
      <w:r>
        <w:rPr>
          <w:rFonts w:ascii="Barlow Semi Condensed" w:cs="Barlow Semi Condensed" w:eastAsia="Barlow Semi Condensed" w:hAnsi="Barlow Semi Condensed"/>
          <w:b/>
          <w:bCs/>
          <w:sz w:val="24"/>
          <w:szCs w:val="24"/>
        </w:rPr>
        <w:t xml:space="preserve">4071 · 6 settembre 1978, un giorno corretto.</w:t>
      </w:r>
      <w:r>
        <w:rPr>
          <w:rFonts w:ascii="Barlow Semi Condensed" w:cs="Barlow Semi Condensed" w:eastAsia="Barlow Semi Condensed" w:hAnsi="Barlow Semi Condensed"/>
          <w:sz w:val="24"/>
          <w:szCs w:val="24"/>
        </w:rPr>
        <w:t xml:space="preserve"> I documenti nuovi hanno corretto al corpus la data dell'uccisione a Düsseldorf del militante Willy Peter Stoll: non l'11 settembre 1978 ma la sera del 6, secondo le fonti biografiche tedesche e la stampa locale. La divergenza è dichiarata e risolta. Si registra qui perché è il modello di ciò che una cronologia comparata deve saper fare anzitutto: correggere sé stessa sullo scarto di un solo giorno.</w:t>
      </w:r>
    </w:p>
    <w:p>
      <w:pPr>
        <w:spacing w:after="120" w:line="276"/>
        <w:jc w:val="both"/>
      </w:pPr>
      <w:r>
        <w:rPr>
          <w:rFonts w:ascii="Barlow Semi Condensed" w:cs="Barlow Semi Condensed" w:eastAsia="Barlow Semi Condensed" w:hAnsi="Barlow Semi Condensed"/>
          <w:b/>
          <w:bCs/>
          <w:sz w:val="24"/>
          <w:szCs w:val="24"/>
        </w:rPr>
        <w:t xml:space="preserve">4072 · 1979, quattro mondi in un anno.</w:t>
      </w:r>
      <w:r>
        <w:rPr>
          <w:rFonts w:ascii="Barlow Semi Condensed" w:cs="Barlow Semi Condensed" w:eastAsia="Barlow Semi Condensed" w:hAnsi="Barlow Semi Condensed"/>
          <w:sz w:val="24"/>
          <w:szCs w:val="24"/>
        </w:rPr>
        <w:t xml:space="preserve"> Nel 1979 il vaglio processuale su Segrate accertò il sabotaggio, Hyperion entrò nell'inchiesta del giudice Calogero, Berio aveva lasciato il proprio ruolo nella scuola, e uscì il primo dei tre volumi di memorie che il blocco 75 giudica lo strato più esteso e meno probante. Quattro fatti datati, quattro dei dieci mondi che la sinaptogenesi enumera. Un anno condiviso non trasmette nulla fra i livelli.</w:t>
      </w:r>
    </w:p>
    <w:p>
      <w:pPr>
        <w:spacing w:after="120" w:line="276"/>
        <w:jc w:val="both"/>
      </w:pPr>
      <w:r>
        <w:rPr>
          <w:rFonts w:ascii="Barlow Semi Condensed" w:cs="Barlow Semi Condensed" w:eastAsia="Barlow Semi Condensed" w:hAnsi="Barlow Semi Condensed"/>
          <w:b/>
          <w:bCs/>
          <w:sz w:val="24"/>
          <w:szCs w:val="24"/>
        </w:rPr>
        <w:t xml:space="preserve">4073 · 1980 e 1982, due sedi.</w:t>
      </w:r>
      <w:r>
        <w:rPr>
          <w:rFonts w:ascii="Barlow Semi Condensed" w:cs="Barlow Semi Condensed" w:eastAsia="Barlow Semi Condensed" w:hAnsi="Barlow Semi Condensed"/>
          <w:sz w:val="24"/>
          <w:szCs w:val="24"/>
        </w:rPr>
        <w:t xml:space="preserve"> L'audizione della vedova davanti alla Commissione d'inchiesta è del 1° agosto 1980; la deposizione del portavoce davanti alla Corte d'assise di Roma è del novembre 1982, il 10 secondo la datazione più ricorrente, il 15 secondo una fonte. Sede parlamentare confermata, contenuto verbatim del 1980 ancora da riscontrare. Le due date non vanno fuse: chi le fonde attribuisce al 1980 una frase pronunciata nel 1982.</w:t>
      </w:r>
    </w:p>
    <w:p>
      <w:pPr>
        <w:spacing w:after="120" w:line="276"/>
        <w:jc w:val="both"/>
      </w:pPr>
      <w:r>
        <w:rPr>
          <w:rFonts w:ascii="Barlow Semi Condensed" w:cs="Barlow Semi Condensed" w:eastAsia="Barlow Semi Condensed" w:hAnsi="Barlow Semi Condensed"/>
          <w:b/>
          <w:bCs/>
          <w:sz w:val="24"/>
          <w:szCs w:val="24"/>
        </w:rPr>
        <w:t xml:space="preserve">4074 · Aprile 1983, il dispaccio e la richiesta.</w:t>
      </w:r>
      <w:r>
        <w:rPr>
          <w:rFonts w:ascii="Barlow Semi Condensed" w:cs="Barlow Semi Condensed" w:eastAsia="Barlow Semi Condensed" w:hAnsi="Barlow Semi Condensed"/>
          <w:sz w:val="24"/>
          <w:szCs w:val="24"/>
        </w:rPr>
        <w:t xml:space="preserve"> Nell'aprile 1983 un'agenzia statunitense riferì che i magistrati italiani volevano interrogare il soggetto su un acceso alterco del 1977, e registrò che egli ammetteva la contrarietà all'ingresso dei comunisti al governo ma aveva smentito più volte il rimprovero a Moro. La richiesta informale non ebbe seguito, e non fu mai sentito dai magistrati italiani. Accertamento negativo di pieno valore, da riportare ogni volta con la sua data.</w:t>
      </w:r>
    </w:p>
    <w:p>
      <w:pPr>
        <w:spacing w:after="120" w:line="276"/>
        <w:jc w:val="both"/>
      </w:pPr>
      <w:r>
        <w:rPr>
          <w:rFonts w:ascii="Barlow Semi Condensed" w:cs="Barlow Semi Condensed" w:eastAsia="Barlow Semi Condensed" w:hAnsi="Barlow Semi Condensed"/>
          <w:b/>
          <w:bCs/>
          <w:sz w:val="24"/>
          <w:szCs w:val="24"/>
        </w:rPr>
        <w:t xml:space="preserve">4075 · 1982-1986, l'affaire senza terzi.</w:t>
      </w:r>
      <w:r>
        <w:rPr>
          <w:rFonts w:ascii="Barlow Semi Condensed" w:cs="Barlow Semi Condensed" w:eastAsia="Barlow Semi Condensed" w:hAnsi="Barlow Semi Condensed"/>
          <w:sz w:val="24"/>
          <w:szCs w:val="24"/>
        </w:rPr>
        <w:t xml:space="preserve"> L'arresto di Vanni Mulinaris a Udine il 2 febbraio 1982, i mandati di cattura del 17 giugno, la conferenza dell'Abbé Pierre del 22 giugno 1984, l'assoluzione con formula piena e il risarcimento: la vicenda è studiata come intrigo franco-italiano. Esito negativo dichiarato per questa serie: nessuna sponda americana compare in alcuno dei suoi atti, e le pene oltre confine restano materia rigorosamente bilaterale.</w:t>
      </w:r>
    </w:p>
    <w:p>
      <w:pPr>
        <w:spacing w:after="120" w:line="276"/>
        <w:jc w:val="both"/>
      </w:pPr>
      <w:r>
        <w:rPr>
          <w:rFonts w:ascii="Barlow Semi Condensed" w:cs="Barlow Semi Condensed" w:eastAsia="Barlow Semi Condensed" w:hAnsi="Barlow Semi Condensed"/>
          <w:b/>
          <w:bCs/>
          <w:sz w:val="24"/>
          <w:szCs w:val="24"/>
        </w:rPr>
        <w:t xml:space="preserve">4076 · Dal 1985 al 2023, il confine.</w:t>
      </w:r>
      <w:r>
        <w:rPr>
          <w:rFonts w:ascii="Barlow Semi Condensed" w:cs="Barlow Semi Condensed" w:eastAsia="Barlow Semi Condensed" w:hAnsi="Barlow Semi Condensed"/>
          <w:sz w:val="24"/>
          <w:szCs w:val="24"/>
        </w:rPr>
        <w:t xml:space="preserve"> La dottrina Mitterrand fu enunciata il 21 aprile 1985 davanti alla Ligue des droits de l'homme, l'operazione Ombre rosse è del 28 aprile 2021, il no definitivo della Cassazione francese del marzo 2023: quarant'anni di giudicato italiano non eseguito, tutti documentati in le-pene-oltre-confine. Nessuna di queste date incrocia il nome della serie, e la geografia del rifugio non ha mai avuto sponda atlantica.</w:t>
      </w:r>
    </w:p>
    <w:p>
      <w:pPr>
        <w:spacing w:after="120" w:line="276"/>
        <w:jc w:val="both"/>
      </w:pPr>
      <w:r>
        <w:rPr>
          <w:rFonts w:ascii="Barlow Semi Condensed" w:cs="Barlow Semi Condensed" w:eastAsia="Barlow Semi Condensed" w:hAnsi="Barlow Semi Condensed"/>
          <w:b/>
          <w:bCs/>
          <w:sz w:val="24"/>
          <w:szCs w:val="24"/>
        </w:rPr>
        <w:t xml:space="preserve">4077 · 1978, 1990, 1997: i ritrovamenti.</w:t>
      </w:r>
      <w:r>
        <w:rPr>
          <w:rFonts w:ascii="Barlow Semi Condensed" w:cs="Barlow Semi Condensed" w:eastAsia="Barlow Semi Condensed" w:hAnsi="Barlow Semi Condensed"/>
          <w:sz w:val="24"/>
          <w:szCs w:val="24"/>
        </w:rPr>
        <w:t xml:space="preserve"> Il primo ritrovamento di via Monte Nevoso è del 1° ottobre 1978, coi soli dattiloscritti, il secondo del 9 ottobre 1990, con quattrocentoventuno fogli nell'intercapedine; la Cassazione del Moro quater è del 14 maggio 1997, anno in cui furono ritrovati i resti di Guevara e desecretati gli archivi statunitensi sulla campagna boliviana. Coincidenza d'anno fra esiti opposti: quella desecretazione non ha prodotto alcuna carta italiana.</w:t>
      </w:r>
    </w:p>
    <w:p>
      <w:pPr>
        <w:spacing w:after="120" w:line="276"/>
        <w:jc w:val="both"/>
      </w:pPr>
      <w:r>
        <w:rPr>
          <w:rFonts w:ascii="Barlow Semi Condensed" w:cs="Barlow Semi Condensed" w:eastAsia="Barlow Semi Condensed" w:hAnsi="Barlow Semi Condensed"/>
          <w:b/>
          <w:bCs/>
          <w:sz w:val="24"/>
          <w:szCs w:val="24"/>
        </w:rPr>
        <w:t xml:space="preserve">4078 · 29 e 30 novembre 2023.</w:t>
      </w:r>
      <w:r>
        <w:rPr>
          <w:rFonts w:ascii="Barlow Semi Condensed" w:cs="Barlow Semi Condensed" w:eastAsia="Barlow Semi Condensed" w:hAnsi="Barlow Semi Condensed"/>
          <w:sz w:val="24"/>
          <w:szCs w:val="24"/>
        </w:rPr>
        <w:t xml:space="preserve"> La morte a Kent è del 29 novembre 2023; il lancio d'agenzia da cui discendono le decine di riprese pressoché identiche sull'avvertimento è del 30 novembre 2023, il giorno successivo. È il reperto cronologico più importante dell'intera serie: la moltiplicazione apparente delle fonti nasce in ventiquattro ore e da un punto solo. Il numero delle ripetizioni non aggiunge valore probatorio, e la data lo dimostra meglio di ogni argomento.</w:t>
      </w:r>
    </w:p>
    <w:p>
      <w:pPr>
        <w:spacing w:after="120" w:line="276"/>
        <w:jc w:val="both"/>
      </w:pPr>
      <w:r>
        <w:rPr>
          <w:rFonts w:ascii="Barlow Semi Condensed" w:cs="Barlow Semi Condensed" w:eastAsia="Barlow Semi Condensed" w:hAnsi="Barlow Semi Condensed"/>
          <w:b/>
          <w:bCs/>
          <w:sz w:val="24"/>
          <w:szCs w:val="24"/>
        </w:rPr>
        <w:t xml:space="preserve">4079 · Il corpus si data da sé.</w:t>
      </w:r>
      <w:r>
        <w:rPr>
          <w:rFonts w:ascii="Barlow Semi Condensed" w:cs="Barlow Semi Condensed" w:eastAsia="Barlow Semi Condensed" w:hAnsi="Barlow Semi Condensed"/>
          <w:sz w:val="24"/>
          <w:szCs w:val="24"/>
        </w:rPr>
        <w:t xml:space="preserve"> Direttiva Prodi dell'8 aprile 2008, direttiva Renzi del 22 aprile 2014, completamento dei versamenti il 2 dicembre 2014, relazione conclusiva il 6 dicembre 2017, richiesta di archiviazione del fascicolo romano il 28 maggio 2025, rigetto del giudice nell'estate 2026. Il corpus ha una cronologia propria, lunga diciotto anni, in cui questo nome entra soltanto nell'agosto 2026 e soltanto come oggetto d'indagine, mai come attore datato.</w:t>
      </w:r>
    </w:p>
    <w:p>
      <w:pPr>
        <w:spacing w:after="120" w:line="276"/>
        <w:jc w:val="both"/>
      </w:pPr>
      <w:r>
        <w:rPr>
          <w:rFonts w:ascii="Barlow Semi Condensed" w:cs="Barlow Semi Condensed" w:eastAsia="Barlow Semi Condensed" w:hAnsi="Barlow Semi Condensed"/>
          <w:b/>
          <w:bCs/>
          <w:sz w:val="24"/>
          <w:szCs w:val="24"/>
        </w:rPr>
        <w:t xml:space="preserve">4080 · Il conto della serie (serie LIII).</w:t>
      </w:r>
      <w:r>
        <w:rPr>
          <w:rFonts w:ascii="Barlow Semi Condensed" w:cs="Barlow Semi Condensed" w:eastAsia="Barlow Semi Condensed" w:hAnsi="Barlow Semi Condensed"/>
          <w:sz w:val="24"/>
          <w:szCs w:val="24"/>
        </w:rPr>
        <w:t xml:space="preserve"> Un secolo di vita e un secolo di corpus, confrontati per date, danno un solo piano uno — il 25 settembre 1974 — un bersaglio aperto, il verbale del giorno successivo, e una lunga fila di celle vuote dichiarate ciascuna con la propria sede. È l'esito corretto e atteso. La cronologia comparata non ha prodotto un centro: ha prodotto una colonna quasi vuota, e la colonna quasi vuota vale.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cinquantaquattresima — La geografia: i teatri e le sedi</w:t>
      </w:r>
    </w:p>
    <w:p>
      <w:pPr>
        <w:spacing w:after="120" w:line="276"/>
        <w:jc w:val="both"/>
      </w:pPr>
      <w:r>
        <w:rPr>
          <w:rFonts w:ascii="Barlow Semi Condensed" w:cs="Barlow Semi Condensed" w:eastAsia="Barlow Semi Condensed" w:hAnsi="Barlow Semi Condensed"/>
          <w:i/>
          <w:iCs/>
          <w:sz w:val="24"/>
          <w:szCs w:val="24"/>
        </w:rPr>
        <w:t xml:space="preserve">Blocchi 4081-4160.</w:t>
      </w:r>
    </w:p>
    <w:p>
      <w:pPr>
        <w:spacing w:after="120" w:line="276"/>
        <w:jc w:val="both"/>
      </w:pPr>
      <w:r>
        <w:rPr>
          <w:rFonts w:ascii="Barlow Semi Condensed" w:cs="Barlow Semi Condensed" w:eastAsia="Barlow Semi Condensed" w:hAnsi="Barlow Semi Condensed"/>
          <w:b/>
          <w:bCs/>
          <w:sz w:val="24"/>
          <w:szCs w:val="24"/>
        </w:rPr>
        <w:t xml:space="preserve">4081 · Che cosa triangola una geografia.</w:t>
      </w:r>
      <w:r>
        <w:rPr>
          <w:rFonts w:ascii="Barlow Semi Condensed" w:cs="Barlow Semi Condensed" w:eastAsia="Barlow Semi Condensed" w:hAnsi="Barlow Semi Condensed"/>
          <w:sz w:val="24"/>
          <w:szCs w:val="24"/>
        </w:rPr>
        <w:t xml:space="preserve"> Questa serie interroga il corpus per luoghi anziché per temi: prende ogni sito nominato nel repertorio della Fase nona, capitolo settantunesimo, e nei documenti del branch, e vi cerca il nome di Henry Kissinger. Il luogo non è argomento: è coordinata di reperimento. Serve a sapere dove una carta dovrebbe stare, non a suggerire chi vi passò. La geografia ordina la ricerca, non la conclude.</w:t>
      </w:r>
    </w:p>
    <w:p>
      <w:pPr>
        <w:spacing w:after="120" w:line="276"/>
        <w:jc w:val="both"/>
      </w:pPr>
      <w:r>
        <w:rPr>
          <w:rFonts w:ascii="Barlow Semi Condensed" w:cs="Barlow Semi Condensed" w:eastAsia="Barlow Semi Condensed" w:hAnsi="Barlow Semi Condensed"/>
          <w:b/>
          <w:bCs/>
          <w:sz w:val="24"/>
          <w:szCs w:val="24"/>
        </w:rPr>
        <w:t xml:space="preserve">4082 · Teatro e sede, due parole distinte.</w:t>
      </w:r>
      <w:r>
        <w:rPr>
          <w:rFonts w:ascii="Barlow Semi Condensed" w:cs="Barlow Semi Condensed" w:eastAsia="Barlow Semi Condensed" w:hAnsi="Barlow Semi Condensed"/>
          <w:sz w:val="24"/>
          <w:szCs w:val="24"/>
        </w:rPr>
        <w:t xml:space="preserve"> Il teatro è il posto dove un fatto accadde; la sede è l'edificio dove riposa la carta che lo attesta. Via Fani è teatro, l'Archivio centrale dello Stato è sede; lo Studio Ovale è entrambe le cose, ed è un caso raro. Ogni blocco di questa serie dichiara quale delle due cose sta nominando, perché confonderle produce l'illusione che il documento nasca dove accadde il fatto.</w:t>
      </w:r>
    </w:p>
    <w:p>
      <w:pPr>
        <w:spacing w:after="120" w:line="276"/>
        <w:jc w:val="both"/>
      </w:pPr>
      <w:r>
        <w:rPr>
          <w:rFonts w:ascii="Barlow Semi Condensed" w:cs="Barlow Semi Condensed" w:eastAsia="Barlow Semi Condensed" w:hAnsi="Barlow Semi Condensed"/>
          <w:b/>
          <w:bCs/>
          <w:sz w:val="24"/>
          <w:szCs w:val="24"/>
        </w:rPr>
        <w:t xml:space="preserve">4083 · I quattro luoghi dell'avvertimento.</w:t>
      </w:r>
      <w:r>
        <w:rPr>
          <w:rFonts w:ascii="Barlow Semi Condensed" w:cs="Barlow Semi Condensed" w:eastAsia="Barlow Semi Condensed" w:hAnsi="Barlow Semi Condensed"/>
          <w:sz w:val="24"/>
          <w:szCs w:val="24"/>
        </w:rPr>
        <w:t xml:space="preserve"> L'apparato K-4 registra una divergenza che è, alla lettera, geografica: la testimonianza contestata colloca il presunto avvertimento allo Studio Ovale, al Dipartimento di Stato, a una cena ufficiale oppure all'ambasciata d'Italia a Washington nel 1977. Quattro indirizzi incompatibili per un solo episodio. La serie li riporta tutti e non ne sceglie uno: quando le fonti dissentono sull'indirizzo, non esiste ancora un luogo da mettere in mappa.</w:t>
      </w:r>
    </w:p>
    <w:p>
      <w:pPr>
        <w:spacing w:after="120" w:line="276"/>
        <w:jc w:val="both"/>
      </w:pPr>
      <w:r>
        <w:rPr>
          <w:rFonts w:ascii="Barlow Semi Condensed" w:cs="Barlow Semi Condensed" w:eastAsia="Barlow Semi Condensed" w:hAnsi="Barlow Semi Condensed"/>
          <w:b/>
          <w:bCs/>
          <w:sz w:val="24"/>
          <w:szCs w:val="24"/>
        </w:rPr>
        <w:t xml:space="preserve">4084 · La contiguità urbana non è nesso.</w:t>
      </w:r>
      <w:r>
        <w:rPr>
          <w:rFonts w:ascii="Barlow Semi Condensed" w:cs="Barlow Semi Condensed" w:eastAsia="Barlow Semi Condensed" w:hAnsi="Barlow Semi Condensed"/>
          <w:sz w:val="24"/>
          <w:szCs w:val="24"/>
        </w:rPr>
        <w:t xml:space="preserve"> Regola di lettura vincolante per l'intera serie: che due soggetti si trovino nella stessa città, nella stessa via o nello stesso palazzo non stabilisce fra loro alcun rapporto. Vale per via Nicotera 26 come per il Quai de la Tournelle. La disciplina è quella già fissata al blocco 4 della Fase sesta e al blocco 18 del manuale investigativo: la prossimità è un dato topografico, non un arco documentale.</w:t>
      </w:r>
    </w:p>
    <w:p>
      <w:pPr>
        <w:spacing w:after="120" w:line="276"/>
        <w:jc w:val="both"/>
      </w:pPr>
      <w:r>
        <w:rPr>
          <w:rFonts w:ascii="Barlow Semi Condensed" w:cs="Barlow Semi Condensed" w:eastAsia="Barlow Semi Condensed" w:hAnsi="Barlow Semi Condensed"/>
          <w:b/>
          <w:bCs/>
          <w:sz w:val="24"/>
          <w:szCs w:val="24"/>
        </w:rPr>
        <w:t xml:space="preserve">4085 · Omologia e analogia fra teatri.</w:t>
      </w:r>
      <w:r>
        <w:rPr>
          <w:rFonts w:ascii="Barlow Semi Condensed" w:cs="Barlow Semi Condensed" w:eastAsia="Barlow Semi Condensed" w:hAnsi="Barlow Semi Condensed"/>
          <w:sz w:val="24"/>
          <w:szCs w:val="24"/>
        </w:rPr>
        <w:t xml:space="preserve"> Due teatri che producono esiti simili non discendono per ciò stesso da una decisione comune. Il blocco 293 dell'opera lo ha stabilito per Lisbona e Roma nel 1975; questa serie lo estende a ogni coppia di luoghi del corpus. Il test resta uno solo: un documento di provenienza che nomini insieme i due siti e la controparte. Senza quel documento la somiglianza di paesaggio è analogia, e l'analogia non è parentela.</w:t>
      </w:r>
    </w:p>
    <w:p>
      <w:pPr>
        <w:spacing w:after="120" w:line="276"/>
        <w:jc w:val="both"/>
      </w:pPr>
      <w:r>
        <w:rPr>
          <w:rFonts w:ascii="Barlow Semi Condensed" w:cs="Barlow Semi Condensed" w:eastAsia="Barlow Semi Condensed" w:hAnsi="Barlow Semi Condensed"/>
          <w:b/>
          <w:bCs/>
          <w:sz w:val="24"/>
          <w:szCs w:val="24"/>
        </w:rPr>
        <w:t xml:space="preserve">4086 · Ogni Stato Zero ha un indirizzo.</w:t>
      </w:r>
      <w:r>
        <w:rPr>
          <w:rFonts w:ascii="Barlow Semi Condensed" w:cs="Barlow Semi Condensed" w:eastAsia="Barlow Semi Condensed" w:hAnsi="Barlow Semi Condensed"/>
          <w:sz w:val="24"/>
          <w:szCs w:val="24"/>
        </w:rPr>
        <w:t xml:space="preserve"> La Fase sesta ha stabilito che il perimetro negativo vale quanto la mappa dei pieni; la serie geografica aggiunge la condizione minima per scriverlo: un'assenza si verbalizza soltanto insieme all'edificio che la chiuderebbe. Non «non risulta nulla», ma «non risulta nulla nella serie X del fondo Y presso l'istituto Z, consultata nel perimetro W». Il blocco 285 dell'agenda ne fornisce il modulo; qui diventa obbligo di indirizzo.</w:t>
      </w:r>
    </w:p>
    <w:p>
      <w:pPr>
        <w:spacing w:after="120" w:line="276"/>
        <w:jc w:val="both"/>
      </w:pPr>
      <w:r>
        <w:rPr>
          <w:rFonts w:ascii="Barlow Semi Condensed" w:cs="Barlow Semi Condensed" w:eastAsia="Barlow Semi Condensed" w:hAnsi="Barlow Semi Condensed"/>
          <w:b/>
          <w:bCs/>
          <w:sz w:val="24"/>
          <w:szCs w:val="24"/>
        </w:rPr>
        <w:t xml:space="preserve">4087 · La mappa prima della comparazione.</w:t>
      </w:r>
      <w:r>
        <w:rPr>
          <w:rFonts w:ascii="Barlow Semi Condensed" w:cs="Barlow Semi Condensed" w:eastAsia="Barlow Semi Condensed" w:hAnsi="Barlow Semi Condensed"/>
          <w:sz w:val="24"/>
          <w:szCs w:val="24"/>
        </w:rPr>
        <w:t xml:space="preserve"> Il manuale investigativo impone al blocco 14 la tavola cronologica prima di ogni lettura. La serie vi affianca il gemello spaziale: prima di comparare due luoghi occorre sapere quale distanza, quale giurisdizione e quale calendario d'archivio li separi. Comparare Vallegrande e via Fani senza quella tavola produce iconografia, come già avverte il nodo M-7 della matrice Guevara-Moro sul parallelismo delle due fotografie.</w:t>
      </w:r>
    </w:p>
    <w:p>
      <w:pPr>
        <w:spacing w:after="120" w:line="276"/>
        <w:jc w:val="both"/>
      </w:pPr>
      <w:r>
        <w:rPr>
          <w:rFonts w:ascii="Barlow Semi Condensed" w:cs="Barlow Semi Condensed" w:eastAsia="Barlow Semi Condensed" w:hAnsi="Barlow Semi Condensed"/>
          <w:b/>
          <w:bCs/>
          <w:sz w:val="24"/>
          <w:szCs w:val="24"/>
        </w:rPr>
        <w:t xml:space="preserve">4088 · Via Mario Fani, Monte Mario.</w:t>
      </w:r>
      <w:r>
        <w:rPr>
          <w:rFonts w:ascii="Barlow Semi Condensed" w:cs="Barlow Semi Condensed" w:eastAsia="Barlow Semi Condensed" w:hAnsi="Barlow Semi Condensed"/>
          <w:sz w:val="24"/>
          <w:szCs w:val="24"/>
        </w:rPr>
        <w:t xml:space="preserve"> Primo teatro del caso, grado A nel repertorio: l'agguato del 16 marzo 1978 e le cinque vittime della scorta nominate nel capitolo sessantanovesimo. Su questa strada il corpus possiede sentenze, perizie, testimonianze e il fascicolo vivo delle terze presenze. Il nome di Kissinger non compare in alcun atto relativo a essa. Stato Zero pieno; la sede che lo chiuderebbe è la cancelleria della Corte d'assise di Roma con gli atti dei cinque processi.</w:t>
      </w:r>
    </w:p>
    <w:p>
      <w:pPr>
        <w:spacing w:after="120" w:line="276"/>
        <w:jc w:val="both"/>
      </w:pPr>
      <w:r>
        <w:rPr>
          <w:rFonts w:ascii="Barlow Semi Condensed" w:cs="Barlow Semi Condensed" w:eastAsia="Barlow Semi Condensed" w:hAnsi="Barlow Semi Condensed"/>
          <w:b/>
          <w:bCs/>
          <w:sz w:val="24"/>
          <w:szCs w:val="24"/>
        </w:rPr>
        <w:t xml:space="preserve">4089 · Via Camillo Montalcini 8.</w:t>
      </w:r>
      <w:r>
        <w:rPr>
          <w:rFonts w:ascii="Barlow Semi Condensed" w:cs="Barlow Semi Condensed" w:eastAsia="Barlow Semi Condensed" w:hAnsi="Barlow Semi Condensed"/>
          <w:sz w:val="24"/>
          <w:szCs w:val="24"/>
        </w:rPr>
        <w:t xml:space="preserve"> Unica prigione accertata in giudizio, per il Moro quinquies definitivo del 1999. L'indice del branch registra inoltre un'osservazione UCIGOS sullo stabile fra l'estate e l'ottobre 1978, non riferita alla magistratura. Il quesito geografico è interno all'amministrazione italiana: chi osservava quel portone e a chi scriveva. Nessun documento straniero risulta interessato al punto, e la ricerca si chiude nei versamenti del Viminale al fondo della Direttiva.</w:t>
      </w:r>
    </w:p>
    <w:p>
      <w:pPr>
        <w:spacing w:after="120" w:line="276"/>
        <w:jc w:val="both"/>
      </w:pPr>
      <w:r>
        <w:rPr>
          <w:rFonts w:ascii="Barlow Semi Condensed" w:cs="Barlow Semi Condensed" w:eastAsia="Barlow Semi Condensed" w:hAnsi="Barlow Semi Condensed"/>
          <w:b/>
          <w:bCs/>
          <w:sz w:val="24"/>
          <w:szCs w:val="24"/>
        </w:rPr>
        <w:t xml:space="preserve">4090 · Via Gradoli 96, sulla Cassia.</w:t>
      </w:r>
      <w:r>
        <w:rPr>
          <w:rFonts w:ascii="Barlow Semi Condensed" w:cs="Barlow Semi Condensed" w:eastAsia="Barlow Semi Condensed" w:hAnsi="Barlow Semi Condensed"/>
          <w:sz w:val="24"/>
          <w:szCs w:val="24"/>
        </w:rPr>
        <w:t xml:space="preserve"> Il covo scoperto il 18 aprile 1978 sta sulla strada che porta a Viterbo, e questa coincidenza stradale è essa stessa un dato del caso. Il repertorio le assegna grado A quanto all'esistenza e B quanto alle modalità della scoperta. La scheda PE-2 punta agli assetti proprietari dello stabile: è ricerca catastale e camerale romana, senza alcuna colonna estera da aprire e senza alcun nome americano in atti.</w:t>
      </w:r>
    </w:p>
    <w:p>
      <w:pPr>
        <w:spacing w:after="120" w:line="276"/>
        <w:jc w:val="both"/>
      </w:pPr>
      <w:r>
        <w:rPr>
          <w:rFonts w:ascii="Barlow Semi Condensed" w:cs="Barlow Semi Condensed" w:eastAsia="Barlow Semi Condensed" w:hAnsi="Barlow Semi Condensed"/>
          <w:b/>
          <w:bCs/>
          <w:sz w:val="24"/>
          <w:szCs w:val="24"/>
        </w:rPr>
        <w:t xml:space="preserve">4091 · Il paese di Gradoli, provincia di Viterbo.</w:t>
      </w:r>
      <w:r>
        <w:rPr>
          <w:rFonts w:ascii="Barlow Semi Condensed" w:cs="Barlow Semi Condensed" w:eastAsia="Barlow Semi Condensed" w:hAnsi="Barlow Semi Condensed"/>
          <w:sz w:val="24"/>
          <w:szCs w:val="24"/>
        </w:rPr>
        <w:t xml:space="preserve"> La scheda delle piste di testa documenta che la polizia perquisì il comune di Gradoli mentre il covo era in via Gradoli a Roma: uno smistamento alla lettera, geografico e non cospirativo, che è il migliore antidoto del corpus alla lettura magica dell'episodio. Il bersaglio è il carteggio Viminale-questure del 4-18 aprile 1978 sul nome «Gradoli». Nessun archivio estero è coinvolto in questa omonimia.</w:t>
      </w:r>
    </w:p>
    <w:p>
      <w:pPr>
        <w:spacing w:after="120" w:line="276"/>
        <w:jc w:val="both"/>
      </w:pPr>
      <w:r>
        <w:rPr>
          <w:rFonts w:ascii="Barlow Semi Condensed" w:cs="Barlow Semi Condensed" w:eastAsia="Barlow Semi Condensed" w:hAnsi="Barlow Semi Condensed"/>
          <w:b/>
          <w:bCs/>
          <w:sz w:val="24"/>
          <w:szCs w:val="24"/>
        </w:rPr>
        <w:t xml:space="preserve">4092 · Zappolino, 2 aprile 1978.</w:t>
      </w:r>
      <w:r>
        <w:rPr>
          <w:rFonts w:ascii="Barlow Semi Condensed" w:cs="Barlow Semi Condensed" w:eastAsia="Barlow Semi Condensed" w:hAnsi="Barlow Semi Condensed"/>
          <w:sz w:val="24"/>
          <w:szCs w:val="24"/>
        </w:rPr>
        <w:t xml:space="preserve"> La seduta si tenne in una località dell'Appennino bolognese, con dodici partecipanti concordi davanti alle autorità. La scheda PN-4 insegna a cercare la catena documentale — verbalizzazione, ordine di perquisizione, protocollo — e non la fonte occulta. Come luogo, Zappolino appartiene interamente alla provincia italiana: nessuna fonte, nemmeno terziaria, ha mai collocato lì un interesse statunitense, e il corpus non ne registra alcuno.</w:t>
      </w:r>
    </w:p>
    <w:p>
      <w:pPr>
        <w:spacing w:after="120" w:line="276"/>
        <w:jc w:val="both"/>
      </w:pPr>
      <w:r>
        <w:rPr>
          <w:rFonts w:ascii="Barlow Semi Condensed" w:cs="Barlow Semi Condensed" w:eastAsia="Barlow Semi Condensed" w:hAnsi="Barlow Semi Condensed"/>
          <w:b/>
          <w:bCs/>
          <w:sz w:val="24"/>
          <w:szCs w:val="24"/>
        </w:rPr>
        <w:t xml:space="preserve">4093 · Via Caetani, fra due sedi di partito.</w:t>
      </w:r>
      <w:r>
        <w:rPr>
          <w:rFonts w:ascii="Barlow Semi Condensed" w:cs="Barlow Semi Condensed" w:eastAsia="Barlow Semi Condensed" w:hAnsi="Barlow Semi Condensed"/>
          <w:sz w:val="24"/>
          <w:szCs w:val="24"/>
        </w:rPr>
        <w:t xml:space="preserve"> Il ritrovamento del 9 maggio 1978 avvenne a metà strada fra Botteghe Oscure e piazza del Gesù: il repertorio lo annota, e il nodo M-7 ne fa la contro-immagine di Vallegrande. Il blocco 418 dell'opera osserva che nel 1974 la questione comunista occupava insieme Washington, Roma e Botteghe Oscure. Occupare la stessa questione non è occupare la stessa via: la coincidenza toponomastica resta cornice al grado di fatto pubblico.</w:t>
      </w:r>
    </w:p>
    <w:p>
      <w:pPr>
        <w:spacing w:after="120" w:line="276"/>
        <w:jc w:val="both"/>
      </w:pPr>
      <w:r>
        <w:rPr>
          <w:rFonts w:ascii="Barlow Semi Condensed" w:cs="Barlow Semi Condensed" w:eastAsia="Barlow Semi Condensed" w:hAnsi="Barlow Semi Condensed"/>
          <w:b/>
          <w:bCs/>
          <w:sz w:val="24"/>
          <w:szCs w:val="24"/>
        </w:rPr>
        <w:t xml:space="preserve">4094 · Via Stresa e il caricatore.</w:t>
      </w:r>
      <w:r>
        <w:rPr>
          <w:rFonts w:ascii="Barlow Semi Condensed" w:cs="Barlow Semi Condensed" w:eastAsia="Barlow Semi Condensed" w:hAnsi="Barlow Semi Condensed"/>
          <w:sz w:val="24"/>
          <w:szCs w:val="24"/>
        </w:rPr>
        <w:t xml:space="preserve"> La scheda PN-2 tratta il caricatore come reperto-principe: non ritratta, non si intimidisce. La geografia qui è micrometrica — la fuga di una moto dalla parte alta di via Fani verso via Stresa, accertata dalla Commissione Moro 2 quanto alle due moto e ai quattro centauri. Materia di balistica e custodia italiana; nessun documento estero è pertinente, e la sede è il laboratorio dove il reperto è conservato.</w:t>
      </w:r>
    </w:p>
    <w:p>
      <w:pPr>
        <w:spacing w:after="120" w:line="276"/>
        <w:jc w:val="both"/>
      </w:pPr>
      <w:r>
        <w:rPr>
          <w:rFonts w:ascii="Barlow Semi Condensed" w:cs="Barlow Semi Condensed" w:eastAsia="Barlow Semi Condensed" w:hAnsi="Barlow Semi Condensed"/>
          <w:b/>
          <w:bCs/>
          <w:sz w:val="24"/>
          <w:szCs w:val="24"/>
        </w:rPr>
        <w:t xml:space="preserve">4095 · Via Nicotera 26, febbraio 1978.</w:t>
      </w:r>
      <w:r>
        <w:rPr>
          <w:rFonts w:ascii="Barlow Semi Condensed" w:cs="Barlow Semi Condensed" w:eastAsia="Barlow Semi Condensed" w:hAnsi="Barlow Semi Condensed"/>
          <w:sz w:val="24"/>
          <w:szCs w:val="24"/>
        </w:rPr>
        <w:t xml:space="preserve"> Il nodo HY-4 registra l'ufficio romano di rappresentanza aperto un mese prima di via Fani, nello stabile che ospitava anche società di copertura del SISMI. È il punto in cui la tentazione topografica è massima. Il corpus la ferma: la coabitazione di indirizzo non è prova, i fondatori sono stati prosciolti, e le due tesi contrapposte restano entrambe al grado C. Nessuna fonte lega quel portone a Washington.</w:t>
      </w:r>
    </w:p>
    <w:p>
      <w:pPr>
        <w:spacing w:after="120" w:line="276"/>
        <w:jc w:val="both"/>
      </w:pPr>
      <w:r>
        <w:rPr>
          <w:rFonts w:ascii="Barlow Semi Condensed" w:cs="Barlow Semi Condensed" w:eastAsia="Barlow Semi Condensed" w:hAnsi="Barlow Semi Condensed"/>
          <w:b/>
          <w:bCs/>
          <w:sz w:val="24"/>
          <w:szCs w:val="24"/>
        </w:rPr>
        <w:t xml:space="preserve">4096 · Il Viminale e i suoi tre livelli.</w:t>
      </w:r>
      <w:r>
        <w:rPr>
          <w:rFonts w:ascii="Barlow Semi Condensed" w:cs="Barlow Semi Condensed" w:eastAsia="Barlow Semi Condensed" w:hAnsi="Barlow Semi Condensed"/>
          <w:sz w:val="24"/>
          <w:szCs w:val="24"/>
        </w:rPr>
        <w:t xml:space="preserve"> La scheda PE-1 mappa i tre comitati costituiti il 16 marzo 1978, col comitato di esperti mai riunito collegialmente. È il luogo dove la crisi fu governata, e dove il consulente statunitense fu presente accanto al ministro dell'Interno: fatto documentato, registrato al blocco 310 come convergenza di piano 2. Presenza in un edificio non è catena di comando; la promozione a piano 1 richiederebbe un ordine scritto, che non esiste in atti.</w:t>
      </w:r>
    </w:p>
    <w:p>
      <w:pPr>
        <w:spacing w:after="120" w:line="276"/>
        <w:jc w:val="both"/>
      </w:pPr>
      <w:r>
        <w:rPr>
          <w:rFonts w:ascii="Barlow Semi Condensed" w:cs="Barlow Semi Condensed" w:eastAsia="Barlow Semi Condensed" w:hAnsi="Barlow Semi Condensed"/>
          <w:b/>
          <w:bCs/>
          <w:sz w:val="24"/>
          <w:szCs w:val="24"/>
        </w:rPr>
        <w:t xml:space="preserve">4097 · La sala operativa della questura di Roma.</w:t>
      </w:r>
      <w:r>
        <w:rPr>
          <w:rFonts w:ascii="Barlow Semi Condensed" w:cs="Barlow Semi Condensed" w:eastAsia="Barlow Semi Condensed" w:hAnsi="Barlow Semi Condensed"/>
          <w:sz w:val="24"/>
          <w:szCs w:val="24"/>
        </w:rPr>
        <w:t xml:space="preserve"> Il blocco 512 dell'agenda chiede il brogliaccio della mattina del 16 marzo 1978, minuto per minuto. È il documento più propriamente geografico del caso: dice chi chiamò da dove e a che ora. Nessuna colonna estera vi entra per ufficio. La ricerca si conduce fra questura, UCIGOS e prefetture nei versamenti del Viminale, secondo la scheda PE-6 sul registro delle segnalazioni dei cinquantacinque giorni.</w:t>
      </w:r>
    </w:p>
    <w:p>
      <w:pPr>
        <w:spacing w:after="120" w:line="276"/>
        <w:jc w:val="both"/>
      </w:pPr>
      <w:r>
        <w:rPr>
          <w:rFonts w:ascii="Barlow Semi Condensed" w:cs="Barlow Semi Condensed" w:eastAsia="Barlow Semi Condensed" w:hAnsi="Barlow Semi Condensed"/>
          <w:b/>
          <w:bCs/>
          <w:sz w:val="24"/>
          <w:szCs w:val="24"/>
        </w:rPr>
        <w:t xml:space="preserve">4098 · Il fascicolo vivo e le altre procure.</w:t>
      </w:r>
      <w:r>
        <w:rPr>
          <w:rFonts w:ascii="Barlow Semi Condensed" w:cs="Barlow Semi Condensed" w:eastAsia="Barlow Semi Condensed" w:hAnsi="Barlow Semi Condensed"/>
          <w:sz w:val="24"/>
          <w:szCs w:val="24"/>
        </w:rPr>
        <w:t xml:space="preserve"> La nona parte dei cantieri fissa la cronologia del filone romano fino al rigetto del GIP e ai sei mesi di nuove indagini. Il blocco 894 avverte che la geografia giudiziaria del caso non è soltanto romana e prescrive il censimento dei fascicoli presso altre sedi. In nessuna di quelle sedi risulta un procedimento che nomini Kissinger: egli non fu mai imputato né processato in alcun Paese.</w:t>
      </w:r>
    </w:p>
    <w:p>
      <w:pPr>
        <w:spacing w:after="120" w:line="276"/>
        <w:jc w:val="both"/>
      </w:pPr>
      <w:r>
        <w:rPr>
          <w:rFonts w:ascii="Barlow Semi Condensed" w:cs="Barlow Semi Condensed" w:eastAsia="Barlow Semi Condensed" w:hAnsi="Barlow Semi Condensed"/>
          <w:b/>
          <w:bCs/>
          <w:sz w:val="24"/>
          <w:szCs w:val="24"/>
        </w:rPr>
        <w:t xml:space="preserve">4099 · San Giovanni, i funerali senza salma.</w:t>
      </w:r>
      <w:r>
        <w:rPr>
          <w:rFonts w:ascii="Barlow Semi Condensed" w:cs="Barlow Semi Condensed" w:eastAsia="Barlow Semi Condensed" w:hAnsi="Barlow Semi Condensed"/>
          <w:sz w:val="24"/>
          <w:szCs w:val="24"/>
        </w:rPr>
        <w:t xml:space="preserve"> Il 13 maggio 1978 lo Stato celebrò le esequie in basilica, senza il corpo, per volontà della famiglia: fatto pubblico del repertorio. È un luogo di lutto civile e non di accertamento, e la serie lo registra per completezza cartografica. Il corpus non conserva alcun documento straniero su quella cerimonia, e il lotto americano del 1978 si ferma alle reazioni consolari di Trieste e Palermo.</w:t>
      </w:r>
    </w:p>
    <w:p>
      <w:pPr>
        <w:spacing w:after="120" w:line="276"/>
        <w:jc w:val="both"/>
      </w:pPr>
      <w:r>
        <w:rPr>
          <w:rFonts w:ascii="Barlow Semi Condensed" w:cs="Barlow Semi Condensed" w:eastAsia="Barlow Semi Condensed" w:hAnsi="Barlow Semi Condensed"/>
          <w:b/>
          <w:bCs/>
          <w:sz w:val="24"/>
          <w:szCs w:val="24"/>
        </w:rPr>
        <w:t xml:space="preserve">4100 · Il lago della Duchessa, Rieti.</w:t>
      </w:r>
      <w:r>
        <w:rPr>
          <w:rFonts w:ascii="Barlow Semi Condensed" w:cs="Barlow Semi Condensed" w:eastAsia="Barlow Semi Condensed" w:hAnsi="Barlow Semi Condensed"/>
          <w:sz w:val="24"/>
          <w:szCs w:val="24"/>
        </w:rPr>
        <w:t xml:space="preserve"> Il falso comunicato del 18 aprile 1978 indicò un lago appenninico: il falso è accertato, grado A; la sua funzione resta C. Come luogo, la Duchessa è un'invenzione operativa — un posto scelto perché fosse cercato. Il quesito è italiano e riguarda chi confezionò il testo e chi lo diffuse; nessun documento alleato reperito lo anticipa o lo commenta, e l'assenza va cercata in AAD per il 1978.</w:t>
      </w:r>
    </w:p>
    <w:p>
      <w:pPr>
        <w:spacing w:after="120" w:line="276"/>
        <w:jc w:val="both"/>
      </w:pPr>
      <w:r>
        <w:rPr>
          <w:rFonts w:ascii="Barlow Semi Condensed" w:cs="Barlow Semi Condensed" w:eastAsia="Barlow Semi Condensed" w:hAnsi="Barlow Semi Condensed"/>
          <w:b/>
          <w:bCs/>
          <w:sz w:val="24"/>
          <w:szCs w:val="24"/>
        </w:rPr>
        <w:t xml:space="preserve">4101 · Via Monte Nevoso, Milano.</w:t>
      </w:r>
      <w:r>
        <w:rPr>
          <w:rFonts w:ascii="Barlow Semi Condensed" w:cs="Barlow Semi Condensed" w:eastAsia="Barlow Semi Condensed" w:hAnsi="Barlow Semi Condensed"/>
          <w:sz w:val="24"/>
          <w:szCs w:val="24"/>
        </w:rPr>
        <w:t xml:space="preserve"> Il covo dei due ritrovamenti, 1978 e 1990, con gli originali dietro un pannello. Il repertorio assegna A ai ritrovamenti, B alla natura negoziata del cosiddetto memoriale Morucci secondo la Moro 2, e lascia C la completezza. Il nodo T-3 vi aggancia una responsabilità personale in giudicato. È il luogo più documentato del versante lombardo, e nessuna carta relativa a esso reca il nome qui triangolato.</w:t>
      </w:r>
    </w:p>
    <w:p>
      <w:pPr>
        <w:spacing w:after="120" w:line="276"/>
        <w:jc w:val="both"/>
      </w:pPr>
      <w:r>
        <w:rPr>
          <w:rFonts w:ascii="Barlow Semi Condensed" w:cs="Barlow Semi Condensed" w:eastAsia="Barlow Semi Condensed" w:hAnsi="Barlow Semi Condensed"/>
          <w:b/>
          <w:bCs/>
          <w:sz w:val="24"/>
          <w:szCs w:val="24"/>
        </w:rPr>
        <w:t xml:space="preserve">4102 · Milano 1969, la Sit-Siemens e il CPM.</w:t>
      </w:r>
      <w:r>
        <w:rPr>
          <w:rFonts w:ascii="Barlow Semi Condensed" w:cs="Barlow Semi Condensed" w:eastAsia="Barlow Semi Condensed" w:hAnsi="Barlow Semi Condensed"/>
          <w:sz w:val="24"/>
          <w:szCs w:val="24"/>
        </w:rPr>
        <w:t xml:space="preserve"> Il nodo HY-1 colloca la fondazione del Collettivo Politico Metropolitano a Milano nel settembre 1969; il nodo T-1 vi lega la doppia discendenza. Sono coordinate di fabbrica e di città, ricostruite su fonti italiane e memorialistiche. Per l'intero anno 1969 il corpus documenta il versante americano soltanto attraverso il Comitato dei 303 dell'11 marzo, che è una riunione di Washington: due geografie senza alcun arco fra loro.</w:t>
      </w:r>
    </w:p>
    <w:p>
      <w:pPr>
        <w:spacing w:after="120" w:line="276"/>
        <w:jc w:val="both"/>
      </w:pPr>
      <w:r>
        <w:rPr>
          <w:rFonts w:ascii="Barlow Semi Condensed" w:cs="Barlow Semi Condensed" w:eastAsia="Barlow Semi Condensed" w:hAnsi="Barlow Semi Condensed"/>
          <w:b/>
          <w:bCs/>
          <w:sz w:val="24"/>
          <w:szCs w:val="24"/>
        </w:rPr>
        <w:t xml:space="preserve">4103 · Pecorile, agosto 1970 (serie LIV).</w:t>
      </w:r>
      <w:r>
        <w:rPr>
          <w:rFonts w:ascii="Barlow Semi Condensed" w:cs="Barlow Semi Condensed" w:eastAsia="Barlow Semi Condensed" w:hAnsi="Barlow Semi Condensed"/>
          <w:sz w:val="24"/>
          <w:szCs w:val="24"/>
        </w:rPr>
        <w:t xml:space="preserve"> Il convegno dell'Appennino reggiano da cui il corpus data la nascita delle Brigate Rosse, nodo M-3 della matrice. È una località minima, e proprio per questo utile: mostra che la fondazione avvenne in un luogo che nessuna cancelleria straniera aveva ragione di nominare. Il bersaglio di smentita è preciso e resta aperto: un documento coevo, di qualunque provenienza estera, che citi quel toponimo prima del 1978.</w:t>
      </w:r>
    </w:p>
    <w:p>
      <w:pPr>
        <w:spacing w:after="120" w:line="276"/>
        <w:jc w:val="both"/>
      </w:pPr>
      <w:r>
        <w:rPr>
          <w:rFonts w:ascii="Barlow Semi Condensed" w:cs="Barlow Semi Condensed" w:eastAsia="Barlow Semi Condensed" w:hAnsi="Barlow Semi Condensed"/>
          <w:b/>
          <w:bCs/>
          <w:sz w:val="24"/>
          <w:szCs w:val="24"/>
        </w:rPr>
        <w:t xml:space="preserve">4104 · La genealogia reggiana del registro.</w:t>
      </w:r>
      <w:r>
        <w:rPr>
          <w:rFonts w:ascii="Barlow Semi Condensed" w:cs="Barlow Semi Condensed" w:eastAsia="Barlow Semi Condensed" w:hAnsi="Barlow Semi Condensed"/>
          <w:sz w:val="24"/>
          <w:szCs w:val="24"/>
        </w:rPr>
        <w:t xml:space="preserve"> Il nodo T-4 ricostruisce il gruppo dell'appartamento e la provenienza emiliana di due condannati in giudicato. È prosopografia territoriale: nascite, quartieri, fabbriche, sezioni. La regola della Fase decima la governa per intero — l'appartenenza a un luogo, a un gruppo o a una scuola è fatto biografico inerte. Nessuna geografia di provenienza è addebito, e la serie la registra come mappa, non come indizio.</w:t>
      </w:r>
    </w:p>
    <w:p>
      <w:pPr>
        <w:spacing w:after="120" w:line="276"/>
        <w:jc w:val="both"/>
      </w:pPr>
      <w:r>
        <w:rPr>
          <w:rFonts w:ascii="Barlow Semi Condensed" w:cs="Barlow Semi Condensed" w:eastAsia="Barlow Semi Condensed" w:hAnsi="Barlow Semi Condensed"/>
          <w:b/>
          <w:bCs/>
          <w:sz w:val="24"/>
          <w:szCs w:val="24"/>
        </w:rPr>
        <w:t xml:space="preserve">4105 · Segrate, Cascina Nuova.</w:t>
      </w:r>
      <w:r>
        <w:rPr>
          <w:rFonts w:ascii="Barlow Semi Condensed" w:cs="Barlow Semi Condensed" w:eastAsia="Barlow Semi Condensed" w:hAnsi="Barlow Semi Condensed"/>
          <w:sz w:val="24"/>
          <w:szCs w:val="24"/>
        </w:rPr>
        <w:t xml:space="preserve"> Il traliccio ai piedi del quale Giangiacomo Feltrinelli morì il 14 marzo 1972, col ritrovamento del pomeriggio successivo da parte del contadino Luigi Stringhetti: la triangolazione Feltrinelli ha precisato le due date. È il punto terminale del vettore che portò in Italia l'immagine e il testo del Che. Il corpus non registra alcuna carta americana su quel campo alla periferia di Milano; l'esito negativo si chiude in AAD e nella sala di lettura CREST.</w:t>
      </w:r>
    </w:p>
    <w:p>
      <w:pPr>
        <w:spacing w:after="120" w:line="276"/>
        <w:jc w:val="both"/>
      </w:pPr>
      <w:r>
        <w:rPr>
          <w:rFonts w:ascii="Barlow Semi Condensed" w:cs="Barlow Semi Condensed" w:eastAsia="Barlow Semi Condensed" w:hAnsi="Barlow Semi Condensed"/>
          <w:b/>
          <w:bCs/>
          <w:sz w:val="24"/>
          <w:szCs w:val="24"/>
        </w:rPr>
        <w:t xml:space="preserve">4106 · Venezia, l'istruttoria del 1982.</w:t>
      </w:r>
      <w:r>
        <w:rPr>
          <w:rFonts w:ascii="Barlow Semi Condensed" w:cs="Barlow Semi Condensed" w:eastAsia="Barlow Semi Condensed" w:hAnsi="Barlow Semi Condensed"/>
          <w:sz w:val="24"/>
          <w:szCs w:val="24"/>
        </w:rPr>
        <w:t xml:space="preserve"> Gli atti finora noti su Hyperion sono di fonte giudiziaria italiana e vengono dall'istruttoria veneziana, come precisa il blocco 139 dell'agenda; gli archivi giudiziari francesi restano chiusi dai termini del Code du patrimoine. La geografia della prova, qui, è italiana e la geografia dell'oggetto è parigina: uno scarto che spiega perché il nodo resti al grado C e perché solo un primario lo riaprirebbe.</w:t>
      </w:r>
    </w:p>
    <w:p>
      <w:pPr>
        <w:spacing w:after="120" w:line="276"/>
        <w:jc w:val="both"/>
      </w:pPr>
      <w:r>
        <w:rPr>
          <w:rFonts w:ascii="Barlow Semi Condensed" w:cs="Barlow Semi Condensed" w:eastAsia="Barlow Semi Condensed" w:hAnsi="Barlow Semi Condensed"/>
          <w:b/>
          <w:bCs/>
          <w:sz w:val="24"/>
          <w:szCs w:val="24"/>
        </w:rPr>
        <w:t xml:space="preserve">4107 · Trieste 9223, il Nord-Est.</w:t>
      </w:r>
      <w:r>
        <w:rPr>
          <w:rFonts w:ascii="Barlow Semi Condensed" w:cs="Barlow Semi Condensed" w:eastAsia="Barlow Semi Condensed" w:hAnsi="Barlow Semi Condensed"/>
          <w:sz w:val="24"/>
          <w:szCs w:val="24"/>
        </w:rPr>
        <w:t xml:space="preserve"> Il consolato statunitense riferì il 10 maggio 1978 che il Friuli-Venezia Giulia era «for the most part Moro country», con i manifesti listati a lutto entro poche ore e la chiusura anticipata di Marghera. È documento americano su suolo italiano, e va letto come misura del lutto pubblico. Non contiene valutazioni politiche di vertice né alcun riferimento al Segretario di Stato allora in carica, che dal gennaio 1977 non era più Kissinger.</w:t>
      </w:r>
    </w:p>
    <w:p>
      <w:pPr>
        <w:spacing w:after="120" w:line="276"/>
        <w:jc w:val="both"/>
      </w:pPr>
      <w:r>
        <w:rPr>
          <w:rFonts w:ascii="Barlow Semi Condensed" w:cs="Barlow Semi Condensed" w:eastAsia="Barlow Semi Condensed" w:hAnsi="Barlow Semi Condensed"/>
          <w:b/>
          <w:bCs/>
          <w:sz w:val="24"/>
          <w:szCs w:val="24"/>
        </w:rPr>
        <w:t xml:space="preserve">4108 · Palermo 9487, l'isola in lutto.</w:t>
      </w:r>
      <w:r>
        <w:rPr>
          <w:rFonts w:ascii="Barlow Semi Condensed" w:cs="Barlow Semi Condensed" w:eastAsia="Barlow Semi Condensed" w:hAnsi="Barlow Semi Condensed"/>
          <w:sz w:val="24"/>
          <w:szCs w:val="24"/>
        </w:rPr>
        <w:t xml:space="preserve"> L'11 maggio 1978 il consolato riferì messe, comizi e cortei in tutta la Sicilia, la commemorazione in Assemblea regionale e la messa del cardinale Pappalardo in cattedrale. La serie lo registra come teatro del cordoglio, non dell'accertamento. Insieme al cablogramma triestino compone l'unica geografia consolare americana che il corpus possiede per i cinquantacinque giorni: due città, due dispacci, nessun nome della catena decisionale statunitense.</w:t>
      </w:r>
    </w:p>
    <w:p>
      <w:pPr>
        <w:spacing w:after="120" w:line="276"/>
        <w:jc w:val="both"/>
      </w:pPr>
      <w:r>
        <w:rPr>
          <w:rFonts w:ascii="Barlow Semi Condensed" w:cs="Barlow Semi Condensed" w:eastAsia="Barlow Semi Condensed" w:hAnsi="Barlow Semi Condensed"/>
          <w:b/>
          <w:bCs/>
          <w:sz w:val="24"/>
          <w:szCs w:val="24"/>
        </w:rPr>
        <w:t xml:space="preserve">4109 · Bologna, l'archivio delle schede.</w:t>
      </w:r>
      <w:r>
        <w:rPr>
          <w:rFonts w:ascii="Barlow Semi Condensed" w:cs="Barlow Semi Condensed" w:eastAsia="Barlow Semi Condensed" w:hAnsi="Barlow Semi Condensed"/>
          <w:sz w:val="24"/>
          <w:szCs w:val="24"/>
        </w:rPr>
        <w:t xml:space="preserve"> L'elenco degli amnistiati poggia sull'archivio bolognese di Storia e Memoria, che censisce settecentotrentaquattro deferiti al Tribunale Speciale e trecentottantaquattro condannati. Il documento dichiara inoltre il proprio limite: la sede non è risultata raggiungibile direttamente e l'elenco non è esaustivo. È il modello di come questa serie tratta una sede: se ne dice il contenuto, il perimetro e l'ostacolo tecnico incontrato.</w:t>
      </w:r>
    </w:p>
    <w:p>
      <w:pPr>
        <w:spacing w:after="120" w:line="276"/>
        <w:jc w:val="both"/>
      </w:pPr>
      <w:r>
        <w:rPr>
          <w:rFonts w:ascii="Barlow Semi Condensed" w:cs="Barlow Semi Condensed" w:eastAsia="Barlow Semi Condensed" w:hAnsi="Barlow Semi Condensed"/>
          <w:b/>
          <w:bCs/>
          <w:sz w:val="24"/>
          <w:szCs w:val="24"/>
        </w:rPr>
        <w:t xml:space="preserve">4110 · Basovizza, 6 settembre 1930.</w:t>
      </w:r>
      <w:r>
        <w:rPr>
          <w:rFonts w:ascii="Barlow Semi Condensed" w:cs="Barlow Semi Condensed" w:eastAsia="Barlow Semi Condensed" w:hAnsi="Barlow Semi Condensed"/>
          <w:sz w:val="24"/>
          <w:szCs w:val="24"/>
        </w:rPr>
        <w:t xml:space="preserve"> Le fucilazioni dopo il primo processo di Trieste appartengono alla geografia repressiva del Tribunale Speciale, che l'approfondimento in otto sottonodi tratta insieme alla scala bolognese. Distano quarantatré anni dall'ingresso in carica del Segretario di Stato qui triangolato. La serie le nomina per delimitare: esiste nel corpus una geografia italiana della pena che precede di decenni ogni cronologia americana, e con essa nessun confronto è possibile.</w:t>
      </w:r>
    </w:p>
    <w:p>
      <w:pPr>
        <w:spacing w:after="120" w:line="276"/>
        <w:jc w:val="both"/>
      </w:pPr>
      <w:r>
        <w:rPr>
          <w:rFonts w:ascii="Barlow Semi Condensed" w:cs="Barlow Semi Condensed" w:eastAsia="Barlow Semi Condensed" w:hAnsi="Barlow Semi Condensed"/>
          <w:b/>
          <w:bCs/>
          <w:sz w:val="24"/>
          <w:szCs w:val="24"/>
        </w:rPr>
        <w:t xml:space="preserve">4111 · Le isole e le carceri del confino.</w:t>
      </w:r>
      <w:r>
        <w:rPr>
          <w:rFonts w:ascii="Barlow Semi Condensed" w:cs="Barlow Semi Condensed" w:eastAsia="Barlow Semi Condensed" w:hAnsi="Barlow Semi Condensed"/>
          <w:sz w:val="24"/>
          <w:szCs w:val="24"/>
        </w:rPr>
        <w:t xml:space="preserve"> Tremiti, Ponza, Lipari; e le carceri di Volterra, Viterbo, Alessandria, Perugia, Padova nelle schede individuali degli amnistiati. È una rete di luoghi di pena documentata scheda per scheda, con date di arresto e di liberazione. Non ha alcun punto di contatto con la materia di questa triangolazione, e dichiararlo serve: una serie geografica onesta segna anche le regioni della carta dove non c'è nulla da cercare.</w:t>
      </w:r>
    </w:p>
    <w:p>
      <w:pPr>
        <w:spacing w:after="120" w:line="276"/>
        <w:jc w:val="both"/>
      </w:pPr>
      <w:r>
        <w:rPr>
          <w:rFonts w:ascii="Barlow Semi Condensed" w:cs="Barlow Semi Condensed" w:eastAsia="Barlow Semi Condensed" w:hAnsi="Barlow Semi Condensed"/>
          <w:b/>
          <w:bCs/>
          <w:sz w:val="24"/>
          <w:szCs w:val="24"/>
        </w:rPr>
        <w:t xml:space="preserve">4112 · Lo Studio Ovale, 25 settembre 1974.</w:t>
      </w:r>
      <w:r>
        <w:rPr>
          <w:rFonts w:ascii="Barlow Semi Condensed" w:cs="Barlow Semi Condensed" w:eastAsia="Barlow Semi Condensed" w:hAnsi="Barlow Semi Condensed"/>
          <w:sz w:val="24"/>
          <w:szCs w:val="24"/>
        </w:rPr>
        <w:t xml:space="preserve"> Qui il teatro e la sede coincidono, ed è l'unico piano 1 pieno della serie: il memorandum of conversation con Leone, Moro, Ford, Kissinger e Scowcroft, documento 350 del FRUS 1969-1976 E-15 parte 2 nella seconda edizione riveduta, file 1552802 della Ford Library. Attesta la posizione sul non poter scambiare informazioni militari con un governo che includesse i comunisti. Non contiene alcun ultimatum personale ad Aldo Moro.</w:t>
      </w:r>
    </w:p>
    <w:p>
      <w:pPr>
        <w:spacing w:after="120" w:line="276"/>
        <w:jc w:val="both"/>
      </w:pPr>
      <w:r>
        <w:rPr>
          <w:rFonts w:ascii="Barlow Semi Condensed" w:cs="Barlow Semi Condensed" w:eastAsia="Barlow Semi Condensed" w:hAnsi="Barlow Semi Condensed"/>
          <w:b/>
          <w:bCs/>
          <w:sz w:val="24"/>
          <w:szCs w:val="24"/>
        </w:rPr>
        <w:t xml:space="preserve">4113 · Il secondo verbale, 26 settembre.</w:t>
      </w:r>
      <w:r>
        <w:rPr>
          <w:rFonts w:ascii="Barlow Semi Condensed" w:cs="Barlow Semi Condensed" w:eastAsia="Barlow Semi Condensed" w:hAnsi="Barlow Semi Condensed"/>
          <w:sz w:val="24"/>
          <w:szCs w:val="24"/>
        </w:rPr>
        <w:t xml:space="preserve"> L'apparato K-3 conferma l'esistenza del file 1552806, relativo al giorno successivo, e avverte che gli estratti reperiti sono parziali e non del tutto concordi. Registra inoltre una divergenza di calendario, fra il 25-29 settembre degli atti presidenziali e il 25-27 della nota editoriale FRUS. Il bersaglio è la lettura integrale in sala ad Ann Arbor: finché il testo non sia letto per intero, la sede resta aperta.</w:t>
      </w:r>
    </w:p>
    <w:p>
      <w:pPr>
        <w:spacing w:after="120" w:line="276"/>
        <w:jc w:val="both"/>
      </w:pPr>
      <w:r>
        <w:rPr>
          <w:rFonts w:ascii="Barlow Semi Condensed" w:cs="Barlow Semi Condensed" w:eastAsia="Barlow Semi Condensed" w:hAnsi="Barlow Semi Condensed"/>
          <w:b/>
          <w:bCs/>
          <w:sz w:val="24"/>
          <w:szCs w:val="24"/>
        </w:rPr>
        <w:t xml:space="preserve">4114 · 2700 Sixteenth Street NW.</w:t>
      </w:r>
      <w:r>
        <w:rPr>
          <w:rFonts w:ascii="Barlow Semi Condensed" w:cs="Barlow Semi Condensed" w:eastAsia="Barlow Semi Condensed" w:hAnsi="Barlow Semi Condensed"/>
          <w:sz w:val="24"/>
          <w:szCs w:val="24"/>
        </w:rPr>
        <w:t xml:space="preserve"> È l'indirizzo dell'ambasciata d'Italia a Washington nel programma del 1965, dove Moro offrì il ricevimento del 21 aprile. È anche l'edificio che una fonte d'agenzia statunitense dell'aprile 1983 indica come scena di un acceso alterco nel 1977. Le due occorrenze sono separate da dodici anni e da statuti probatori opposti: la prima è programma ufficiale, la seconda è riferimento giornalistico. La serie le tiene distinte e non le somma.</w:t>
      </w:r>
    </w:p>
    <w:p>
      <w:pPr>
        <w:spacing w:after="120" w:line="276"/>
        <w:jc w:val="both"/>
      </w:pPr>
      <w:r>
        <w:rPr>
          <w:rFonts w:ascii="Barlow Semi Condensed" w:cs="Barlow Semi Condensed" w:eastAsia="Barlow Semi Condensed" w:hAnsi="Barlow Semi Condensed"/>
          <w:b/>
          <w:bCs/>
          <w:sz w:val="24"/>
          <w:szCs w:val="24"/>
        </w:rPr>
        <w:t xml:space="preserve">4115 · Blair House e Decatur House.</w:t>
      </w:r>
      <w:r>
        <w:rPr>
          <w:rFonts w:ascii="Barlow Semi Condensed" w:cs="Barlow Semi Condensed" w:eastAsia="Barlow Semi Condensed" w:hAnsi="Barlow Semi Condensed"/>
          <w:sz w:val="24"/>
          <w:szCs w:val="24"/>
        </w:rPr>
        <w:t xml:space="preserve"> La residenza degli ospiti di Stato e la casa dove il Segretario al Tesoro Fowler offrì la colazione del 20 aprile 1965; a Blair House Moro incontrò anche McNamara. Il lotto desecretato ne conserva il programma orario completo. Sono luoghi del cerimoniale, e valgono come misura del rango riconosciuto all'ospite: cornice documentata, non accertamento istruttorio, secondo il rilievo d'insieme della cartella diplomatica.</w:t>
      </w:r>
    </w:p>
    <w:p>
      <w:pPr>
        <w:spacing w:after="120" w:line="276"/>
        <w:jc w:val="both"/>
      </w:pPr>
      <w:r>
        <w:rPr>
          <w:rFonts w:ascii="Barlow Semi Condensed" w:cs="Barlow Semi Condensed" w:eastAsia="Barlow Semi Condensed" w:hAnsi="Barlow Semi Condensed"/>
          <w:b/>
          <w:bCs/>
          <w:sz w:val="24"/>
          <w:szCs w:val="24"/>
        </w:rPr>
        <w:t xml:space="preserve">4116 · Arlington, Mount Vernon, Philadelphia.</w:t>
      </w:r>
      <w:r>
        <w:rPr>
          <w:rFonts w:ascii="Barlow Semi Condensed" w:cs="Barlow Semi Condensed" w:eastAsia="Barlow Semi Condensed" w:hAnsi="Barlow Semi Condensed"/>
          <w:sz w:val="24"/>
          <w:szCs w:val="24"/>
        </w:rPr>
        <w:t xml:space="preserve"> Il 21 aprile 1965 Moro depose corone alla tomba del Milite Ignoto e su quella di Kennedy, poi visitò la dimora di Washington; il 22 il sindaco Tate gli conferì a Philadelphia la cittadinanza onoraria, con il console generale Nuti. Tre tappe di una geografia commemorativa e civica. Nessuna di esse compare in alcun documento relativo al caso del 1978: sono il fondale del ritratto, non del sequestro.</w:t>
      </w:r>
    </w:p>
    <w:p>
      <w:pPr>
        <w:spacing w:after="120" w:line="276"/>
        <w:jc w:val="both"/>
      </w:pPr>
      <w:r>
        <w:rPr>
          <w:rFonts w:ascii="Barlow Semi Condensed" w:cs="Barlow Semi Condensed" w:eastAsia="Barlow Semi Condensed" w:hAnsi="Barlow Semi Condensed"/>
          <w:b/>
          <w:bCs/>
          <w:sz w:val="24"/>
          <w:szCs w:val="24"/>
        </w:rPr>
        <w:t xml:space="preserve">4117 · New York, aprile 1965.</w:t>
      </w:r>
      <w:r>
        <w:rPr>
          <w:rFonts w:ascii="Barlow Semi Condensed" w:cs="Barlow Semi Condensed" w:eastAsia="Barlow Semi Condensed" w:hAnsi="Barlow Semi Condensed"/>
          <w:sz w:val="24"/>
          <w:szCs w:val="24"/>
        </w:rPr>
        <w:t xml:space="preserve"> Arrivo il 19 aprile 1965 con volo Alitalia 632, ripartenza il 23 con il 603; ai Waldorf Towers il ricevimento della comunità italoamericana, al City Hall l'incontro con il sindaco Wagner, alle Nazioni Unite i colloqui con Quaison-Sackey e con U Thant. È la sola geografia newyorkese che il corpus documenta per Moro, ed è del 1965: nessun atto la collega ai due mandati alla Farnesina.</w:t>
      </w:r>
    </w:p>
    <w:p>
      <w:pPr>
        <w:spacing w:after="120" w:line="276"/>
        <w:jc w:val="both"/>
      </w:pPr>
      <w:r>
        <w:rPr>
          <w:rFonts w:ascii="Barlow Semi Condensed" w:cs="Barlow Semi Condensed" w:eastAsia="Barlow Semi Condensed" w:hAnsi="Barlow Semi Condensed"/>
          <w:b/>
          <w:bCs/>
          <w:sz w:val="24"/>
          <w:szCs w:val="24"/>
        </w:rPr>
        <w:t xml:space="preserve">4118 · Lo zero del lotto del 1965.</w:t>
      </w:r>
      <w:r>
        <w:rPr>
          <w:rFonts w:ascii="Barlow Semi Condensed" w:cs="Barlow Semi Condensed" w:eastAsia="Barlow Semi Condensed" w:hAnsi="Barlow Semi Condensed"/>
          <w:sz w:val="24"/>
          <w:szCs w:val="24"/>
        </w:rPr>
        <w:t xml:space="preserve"> Verifica meccanica su un luogo e una data: nel programma del Dipartimento di Stato del 16 aprile 1965 e nel promemoria di sicurezza a Hoover il nome di Kissinger non compare. Non è una lacuna, è la fisiologia della carta: nell'aprile 1965 egli non ricopriva alcun incarico di governo, essendo entrato in carica il 20 gennaio 1969. Assenza attesa, e per questo priva di valore informativo secondo il blocco 649.</w:t>
      </w:r>
    </w:p>
    <w:p>
      <w:pPr>
        <w:spacing w:after="120" w:line="276"/>
        <w:jc w:val="both"/>
      </w:pPr>
      <w:r>
        <w:rPr>
          <w:rFonts w:ascii="Barlow Semi Condensed" w:cs="Barlow Semi Condensed" w:eastAsia="Barlow Semi Condensed" w:hAnsi="Barlow Semi Condensed"/>
          <w:b/>
          <w:bCs/>
          <w:sz w:val="24"/>
          <w:szCs w:val="24"/>
        </w:rPr>
        <w:t xml:space="preserve">4119 · Ann Arbor, la Ford Library.</w:t>
      </w:r>
      <w:r>
        <w:rPr>
          <w:rFonts w:ascii="Barlow Semi Condensed" w:cs="Barlow Semi Condensed" w:eastAsia="Barlow Semi Condensed" w:hAnsi="Barlow Semi Condensed"/>
          <w:sz w:val="24"/>
          <w:szCs w:val="24"/>
        </w:rPr>
        <w:t xml:space="preserve"> La sede che conserva i due file del settembre 1974 e i National Security Adviser's Memoranda of Conversation indicati al blocco 648 come colonna statunitense mancante alla quadriga. È il primo indirizzo dell'atlante di questa serie, perché è l'unico dove un piano 1 già esiste e attende soltanto di essere letto per intero anziché per frammenti, come prescrive il blocco 301.</w:t>
      </w:r>
    </w:p>
    <w:p>
      <w:pPr>
        <w:spacing w:after="120" w:line="276"/>
        <w:jc w:val="both"/>
      </w:pPr>
      <w:r>
        <w:rPr>
          <w:rFonts w:ascii="Barlow Semi Condensed" w:cs="Barlow Semi Condensed" w:eastAsia="Barlow Semi Condensed" w:hAnsi="Barlow Semi Condensed"/>
          <w:b/>
          <w:bCs/>
          <w:sz w:val="24"/>
          <w:szCs w:val="24"/>
        </w:rPr>
        <w:t xml:space="preserve">4120 · College Park, i Country Files Italia.</w:t>
      </w:r>
      <w:r>
        <w:rPr>
          <w:rFonts w:ascii="Barlow Semi Condensed" w:cs="Barlow Semi Condensed" w:eastAsia="Barlow Semi Condensed" w:hAnsi="Barlow Semi Condensed"/>
          <w:sz w:val="24"/>
          <w:szCs w:val="24"/>
        </w:rPr>
        <w:t xml:space="preserve"> I Nixon Presidential Materials, NSC Files, Country Files Italia ai National Archives: è la sede indicata dal blocco 305 per reperire l'esito dello studio sull'Italia ordinato nel dicembre 1969, documento 188 del volume FRUS XLI. Uno studio commissionato è atto di conoscenza, non di esecuzione. Il bersaglio è materiale e circoscritto: trovare il prodotto finito di quell'istruzione, o verbalizzarne l'assenza con serie e faldoni consultati.</w:t>
      </w:r>
    </w:p>
    <w:p>
      <w:pPr>
        <w:spacing w:after="120" w:line="276"/>
        <w:jc w:val="both"/>
      </w:pPr>
      <w:r>
        <w:rPr>
          <w:rFonts w:ascii="Barlow Semi Condensed" w:cs="Barlow Semi Condensed" w:eastAsia="Barlow Semi Condensed" w:hAnsi="Barlow Semi Condensed"/>
          <w:b/>
          <w:bCs/>
          <w:sz w:val="24"/>
          <w:szCs w:val="24"/>
        </w:rPr>
        <w:t xml:space="preserve">4121 · Atlanta, la collezione Brzezinski.</w:t>
      </w:r>
      <w:r>
        <w:rPr>
          <w:rFonts w:ascii="Barlow Semi Condensed" w:cs="Barlow Semi Condensed" w:eastAsia="Barlow Semi Condensed" w:hAnsi="Barlow Semi Condensed"/>
          <w:sz w:val="24"/>
          <w:szCs w:val="24"/>
        </w:rPr>
        <w:t xml:space="preserve"> Il blocco 133 dell'agenda indica alla Carter Library il Country File italiano 1977-1981, processato e aperto. È la sede competente per i cinquantacinque giorni, e proprio per questo va detto che riguarda un'amministrazione diversa: dal 20 gennaio 1977 Kissinger non era più in carica. Chi cercasse il suo nome nei fascicoli del 1978 cercherebbe un privato cittadino, e dovrebbe dichiararlo prima di aprire la busta.</w:t>
      </w:r>
    </w:p>
    <w:p>
      <w:pPr>
        <w:spacing w:after="120" w:line="276"/>
        <w:jc w:val="both"/>
      </w:pPr>
      <w:r>
        <w:rPr>
          <w:rFonts w:ascii="Barlow Semi Condensed" w:cs="Barlow Semi Condensed" w:eastAsia="Barlow Semi Condensed" w:hAnsi="Barlow Semi Condensed"/>
          <w:b/>
          <w:bCs/>
          <w:sz w:val="24"/>
          <w:szCs w:val="24"/>
        </w:rPr>
        <w:t xml:space="preserve">4122 · New Haven e la Library of Congress.</w:t>
      </w:r>
      <w:r>
        <w:rPr>
          <w:rFonts w:ascii="Barlow Semi Condensed" w:cs="Barlow Semi Condensed" w:eastAsia="Barlow Semi Condensed" w:hAnsi="Barlow Semi Condensed"/>
          <w:sz w:val="24"/>
          <w:szCs w:val="24"/>
        </w:rPr>
        <w:t xml:space="preserve"> Il blocco 312 dell'opera elenca fra le sedi di un accertamento aperto le carte di Yale e della Library of Congress, accanto al fondo del Senato, all'Archivio centrale dello Stato e all'edizione digitale delle carte Moro. Sono depositi personali e istituzionali su due continenti per un solo confronto: finché il testo cercato non emerga da una di esse, il confronto resta indisponibile e va detto tale.</w:t>
      </w:r>
    </w:p>
    <w:p>
      <w:pPr>
        <w:spacing w:after="120" w:line="276"/>
        <w:jc w:val="both"/>
      </w:pPr>
      <w:r>
        <w:rPr>
          <w:rFonts w:ascii="Barlow Semi Condensed" w:cs="Barlow Semi Condensed" w:eastAsia="Barlow Semi Condensed" w:hAnsi="Barlow Semi Condensed"/>
          <w:b/>
          <w:bCs/>
          <w:sz w:val="24"/>
          <w:szCs w:val="24"/>
        </w:rPr>
        <w:t xml:space="preserve">4123 · Buenos Aires 2881, tre destinatarie.</w:t>
      </w:r>
      <w:r>
        <w:rPr>
          <w:rFonts w:ascii="Barlow Semi Condensed" w:cs="Barlow Semi Condensed" w:eastAsia="Barlow Semi Condensed" w:hAnsi="Barlow Semi Condensed"/>
          <w:sz w:val="24"/>
          <w:szCs w:val="24"/>
        </w:rPr>
        <w:t xml:space="preserve"> Il cablogramma del 17 aprile 1978 fu diretto a Washington e per conoscenza alle ambasciate di Bonn, Parigi e Roma: la sua lista di distribuzione è una mappa. Riferisce la smentita montonera di ogni legame col sequestro e con le Brigate Rosse. È smentita di terzi, non fonte sui responsabili, e mostra che nell'aprile 1978 la geografia del caso arrivava al Sud America come rumore, non come catena.</w:t>
      </w:r>
    </w:p>
    <w:p>
      <w:pPr>
        <w:spacing w:after="120" w:line="276"/>
        <w:jc w:val="both"/>
      </w:pPr>
      <w:r>
        <w:rPr>
          <w:rFonts w:ascii="Barlow Semi Condensed" w:cs="Barlow Semi Condensed" w:eastAsia="Barlow Semi Condensed" w:hAnsi="Barlow Semi Condensed"/>
          <w:b/>
          <w:bCs/>
          <w:sz w:val="24"/>
          <w:szCs w:val="24"/>
        </w:rPr>
        <w:t xml:space="preserve">4124 · Fürth, 27 maggio 1923.</w:t>
      </w:r>
      <w:r>
        <w:rPr>
          <w:rFonts w:ascii="Barlow Semi Condensed" w:cs="Barlow Semi Condensed" w:eastAsia="Barlow Semi Condensed" w:hAnsi="Barlow Semi Condensed"/>
          <w:sz w:val="24"/>
          <w:szCs w:val="24"/>
        </w:rPr>
        <w:t xml:space="preserve"> Il primo luogo della biografia triangolata: la città franconia dove nacque Heinz Alfred Kissinger, confermata dall'apparato K-1 su fonti istituzionali convergenti, senza dissenso fra esse. È l'unico toponimo dell'intera serie su cui non esista alcuna divergenza. Serve da campione di controllo: quando una fonte secondaria diverge su un luogo, non è la geografia a essere incerta, è la fonte — e il confronto con Fürth lo rende visibile.</w:t>
      </w:r>
    </w:p>
    <w:p>
      <w:pPr>
        <w:spacing w:after="120" w:line="276"/>
        <w:jc w:val="both"/>
      </w:pPr>
      <w:r>
        <w:rPr>
          <w:rFonts w:ascii="Barlow Semi Condensed" w:cs="Barlow Semi Condensed" w:eastAsia="Barlow Semi Condensed" w:hAnsi="Barlow Semi Condensed"/>
          <w:b/>
          <w:bCs/>
          <w:sz w:val="24"/>
          <w:szCs w:val="24"/>
        </w:rPr>
        <w:t xml:space="preserve">4125 · Londra e New York, 1938.</w:t>
      </w:r>
      <w:r>
        <w:rPr>
          <w:rFonts w:ascii="Barlow Semi Condensed" w:cs="Barlow Semi Condensed" w:eastAsia="Barlow Semi Condensed" w:hAnsi="Barlow Semi Condensed"/>
          <w:sz w:val="24"/>
          <w:szCs w:val="24"/>
        </w:rPr>
        <w:t xml:space="preserve"> L'emigrazione è accertata e datata: partenza dalla Germania il 20 agosto 1938, sosta a Londra, sbarco a New York il 5 settembre 1938. Sono tre punti di un itinerario documentato, e il corpus li tiene fermi. Ciò che non è fermo è l'atto compiuto all'arrivo: l'anglicizzazione del nome non risulta perfezionata a New York, e su questo la divergenza è aperta e va riportata.</w:t>
      </w:r>
    </w:p>
    <w:p>
      <w:pPr>
        <w:spacing w:after="120" w:line="276"/>
        <w:jc w:val="both"/>
      </w:pPr>
      <w:r>
        <w:rPr>
          <w:rFonts w:ascii="Barlow Semi Condensed" w:cs="Barlow Semi Condensed" w:eastAsia="Barlow Semi Condensed" w:hAnsi="Barlow Semi Condensed"/>
          <w:b/>
          <w:bCs/>
          <w:sz w:val="24"/>
          <w:szCs w:val="24"/>
        </w:rPr>
        <w:t xml:space="preserve">4126 · Il fascicolo d'immigrazione come sede.</w:t>
      </w:r>
      <w:r>
        <w:rPr>
          <w:rFonts w:ascii="Barlow Semi Condensed" w:cs="Barlow Semi Condensed" w:eastAsia="Barlow Semi Condensed" w:hAnsi="Barlow Semi Condensed"/>
          <w:sz w:val="24"/>
          <w:szCs w:val="24"/>
        </w:rPr>
        <w:t xml:space="preserve"> L'apparato K-1 registra il caso più netto di sede che sposta un fatto: le opere di consultazione collocano l'anglicizzazione nel 1938 senza citare documenti, mentre il fascicolo d'immigrazione e naturalizzazione, ottenuto per accesso agli atti, la colloca al 1942-1943, con naturalizzazione del 19 giugno 1943. Una versione ha un documento, l'altra no. La divergenza si riporta e non si scioglie, ed è la regola dell'opera.</w:t>
      </w:r>
    </w:p>
    <w:p>
      <w:pPr>
        <w:spacing w:after="120" w:line="276"/>
        <w:jc w:val="both"/>
      </w:pPr>
      <w:r>
        <w:rPr>
          <w:rFonts w:ascii="Barlow Semi Condensed" w:cs="Barlow Semi Condensed" w:eastAsia="Barlow Semi Condensed" w:hAnsi="Barlow Semi Condensed"/>
          <w:b/>
          <w:bCs/>
          <w:sz w:val="24"/>
          <w:szCs w:val="24"/>
        </w:rPr>
        <w:t xml:space="preserve">4127 · Kent, Connecticut, 29 novembre 2023.</w:t>
      </w:r>
      <w:r>
        <w:rPr>
          <w:rFonts w:ascii="Barlow Semi Condensed" w:cs="Barlow Semi Condensed" w:eastAsia="Barlow Semi Condensed" w:hAnsi="Barlow Semi Condensed"/>
          <w:sz w:val="24"/>
          <w:szCs w:val="24"/>
        </w:rPr>
        <w:t xml:space="preserve"> L'ultimo luogo della biografia, confermato senza dissenso. Il giorno seguente un unico lancio d'agenzia rimise in circolazione la frase attribuita, e da lì discende la moltiplicazione apparente delle fonti accertata al punto settimo dell'apparato K-4. Un toponimo di morte e una data di rilancio a ventiquattro ore di distanza: la serie li annota vicini perché la coincidenza spiega la geografia editoriale dell'episodio, non la sua verità.</w:t>
      </w:r>
    </w:p>
    <w:p>
      <w:pPr>
        <w:spacing w:after="120" w:line="276"/>
        <w:jc w:val="both"/>
      </w:pPr>
      <w:r>
        <w:rPr>
          <w:rFonts w:ascii="Barlow Semi Condensed" w:cs="Barlow Semi Condensed" w:eastAsia="Barlow Semi Condensed" w:hAnsi="Barlow Semi Condensed"/>
          <w:b/>
          <w:bCs/>
          <w:sz w:val="24"/>
          <w:szCs w:val="24"/>
        </w:rPr>
        <w:t xml:space="preserve">4128 · Bruxelles, 27 luglio 1971.</w:t>
      </w:r>
      <w:r>
        <w:rPr>
          <w:rFonts w:ascii="Barlow Semi Condensed" w:cs="Barlow Semi Condensed" w:eastAsia="Barlow Semi Condensed" w:hAnsi="Barlow Semi Condensed"/>
          <w:sz w:val="24"/>
          <w:szCs w:val="24"/>
        </w:rPr>
        <w:t xml:space="preserve"> Il preambolo del Regolamento CEE numero 1842/71 attesta la firma dell'Accordo provvisorio con la Turchia da parte di Aldo Moro, ministro degli Esteri e presidente di turno del Consiglio delle Comunità. È il nesso Moro-Turchia meglio documentato della cartella diplomatica, registrato al blocco 349. Qualifica una funzione comunitaria, non una politica bilaterale, e nessuna carta lo collega a interlocuzioni con la parte americana.</w:t>
      </w:r>
    </w:p>
    <w:p>
      <w:pPr>
        <w:spacing w:after="120" w:line="276"/>
        <w:jc w:val="both"/>
      </w:pPr>
      <w:r>
        <w:rPr>
          <w:rFonts w:ascii="Barlow Semi Condensed" w:cs="Barlow Semi Condensed" w:eastAsia="Barlow Semi Condensed" w:hAnsi="Barlow Semi Condensed"/>
          <w:b/>
          <w:bCs/>
          <w:sz w:val="24"/>
          <w:szCs w:val="24"/>
        </w:rPr>
        <w:t xml:space="preserve">4129 · Helsinki, 1° agosto 1975.</w:t>
      </w:r>
      <w:r>
        <w:rPr>
          <w:rFonts w:ascii="Barlow Semi Condensed" w:cs="Barlow Semi Condensed" w:eastAsia="Barlow Semi Condensed" w:hAnsi="Barlow Semi Condensed"/>
          <w:sz w:val="24"/>
          <w:szCs w:val="24"/>
        </w:rPr>
        <w:t xml:space="preserve"> Sullo stesso Atto finale firmarono Moro per l'Italia e per la presidenza comunitaria, la Santa Sede con la delegazione Casaroli-Silvestrini e la Turchia: sono le tre firme convergenti del blocco 536. Il telegramma del 2 agosto 1975, documento 334 del volume FRUS XXXIX, conferma i trentacinque firmatari e la dichiarazione interpretativa cipriota. Convergenza di sala, non di posizione: il tavolo comune non stabilisce alcun rapporto fra i firmatari.</w:t>
      </w:r>
    </w:p>
    <w:p>
      <w:pPr>
        <w:spacing w:after="120" w:line="276"/>
        <w:jc w:val="both"/>
      </w:pPr>
      <w:r>
        <w:rPr>
          <w:rFonts w:ascii="Barlow Semi Condensed" w:cs="Barlow Semi Condensed" w:eastAsia="Barlow Semi Condensed" w:hAnsi="Barlow Semi Condensed"/>
          <w:b/>
          <w:bCs/>
          <w:sz w:val="24"/>
          <w:szCs w:val="24"/>
        </w:rPr>
        <w:t xml:space="preserve">4130 · Strasburgo, 12 dicembre 1969.</w:t>
      </w:r>
      <w:r>
        <w:rPr>
          <w:rFonts w:ascii="Barlow Semi Condensed" w:cs="Barlow Semi Condensed" w:eastAsia="Barlow Semi Condensed" w:hAnsi="Barlow Semi Condensed"/>
          <w:sz w:val="24"/>
          <w:szCs w:val="24"/>
        </w:rPr>
        <w:t xml:space="preserve"> La Risoluzione (69) 51 del Comitato dei Ministri fu adottata mentre Moro presiedeva l'organo, e la Grecia notificò da sé il ritiro per prevenire un voto certo: la formula corrente dell'espulsione decretata è pubblicistica, come precisa il blocco 338. Le fonti secondarie divergono perfino sul giorno, 12 o 13. La condotta di Moro in quella seduta resta da accertare negli atti del Consiglio d'Europa: bersaglio, non conclusione.</w:t>
      </w:r>
    </w:p>
    <w:p>
      <w:pPr>
        <w:spacing w:after="120" w:line="276"/>
        <w:jc w:val="both"/>
      </w:pPr>
      <w:r>
        <w:rPr>
          <w:rFonts w:ascii="Barlow Semi Condensed" w:cs="Barlow Semi Condensed" w:eastAsia="Barlow Semi Condensed" w:hAnsi="Barlow Semi Condensed"/>
          <w:b/>
          <w:bCs/>
          <w:sz w:val="24"/>
          <w:szCs w:val="24"/>
        </w:rPr>
        <w:t xml:space="preserve">4131 · Nicosia e la Linea Verde.</w:t>
      </w:r>
      <w:r>
        <w:rPr>
          <w:rFonts w:ascii="Barlow Semi Condensed" w:cs="Barlow Semi Condensed" w:eastAsia="Barlow Semi Condensed" w:hAnsi="Barlow Semi Condensed"/>
          <w:sz w:val="24"/>
          <w:szCs w:val="24"/>
        </w:rPr>
        <w:t xml:space="preserve"> Colpo di Stato il 15 luglio 1974, intervento turco il 20, seconda offensiva il 14 agosto, cessate il fuoco del 16 divenuto linea vigilata dalle Nazioni Unite. Le denominazioni sono contese e le percentuali territoriali divergono fra le fonti, come registra il blocco 341. La duplicità si mantiene: scegliere in silenzio un ramo del lessico è prendere parte, e una serie geografica lo farebbe scegliendo il nome della linea.</w:t>
      </w:r>
    </w:p>
    <w:p>
      <w:pPr>
        <w:spacing w:after="120" w:line="276"/>
        <w:jc w:val="both"/>
      </w:pPr>
      <w:r>
        <w:rPr>
          <w:rFonts w:ascii="Barlow Semi Condensed" w:cs="Barlow Semi Condensed" w:eastAsia="Barlow Semi Condensed" w:hAnsi="Barlow Semi Condensed"/>
          <w:b/>
          <w:bCs/>
          <w:sz w:val="24"/>
          <w:szCs w:val="24"/>
        </w:rPr>
        <w:t xml:space="preserve">4132 · Ginevra, il tavolo senza l'Italia.</w:t>
      </w:r>
      <w:r>
        <w:rPr>
          <w:rFonts w:ascii="Barlow Semi Condensed" w:cs="Barlow Semi Condensed" w:eastAsia="Barlow Semi Condensed" w:hAnsi="Barlow Semi Condensed"/>
          <w:sz w:val="24"/>
          <w:szCs w:val="24"/>
        </w:rPr>
        <w:t xml:space="preserve"> L'Italia non era potenza garante, non partecipò ai negoziati ginevrini, non sedeva nel Consiglio di Sicurezza nel 1974 e non contribuiva alla forza di interposizione: attore consultato e non mediatore, secondo il blocco 342. La sua presenza fu nel cerchio atlantico, non nella sala. È il caso in cui una geografia negativa spiega più di una positiva, perché delimita ciò che nessun documento potrà mai attestare.</w:t>
      </w:r>
    </w:p>
    <w:p>
      <w:pPr>
        <w:spacing w:after="120" w:line="276"/>
        <w:jc w:val="both"/>
      </w:pPr>
      <w:r>
        <w:rPr>
          <w:rFonts w:ascii="Barlow Semi Condensed" w:cs="Barlow Semi Condensed" w:eastAsia="Barlow Semi Condensed" w:hAnsi="Barlow Semi Condensed"/>
          <w:b/>
          <w:bCs/>
          <w:sz w:val="24"/>
          <w:szCs w:val="24"/>
        </w:rPr>
        <w:t xml:space="preserve">4133 · Ankara, l'embargo e il silenzio.</w:t>
      </w:r>
      <w:r>
        <w:rPr>
          <w:rFonts w:ascii="Barlow Semi Condensed" w:cs="Barlow Semi Condensed" w:eastAsia="Barlow Semi Condensed" w:hAnsi="Barlow Semi Condensed"/>
          <w:sz w:val="24"/>
          <w:szCs w:val="24"/>
        </w:rPr>
        <w:t xml:space="preserve"> L'embargo statunitense sulle forniture militari, deliberato nel dicembre 1974 ed entrato in vigore il 5 febbraio 1975, fu revocato solo nel settembre 1978. Non si sono trovate dichiarazioni italiane né atti della Farnesina in materia. Lo Stato Zero del blocco 352 si chiude sulla corrispondenza con la Rappresentanza presso la NATO: una sede sola, nominata, e la ricerca in sala ancora interamente da condurre.</w:t>
      </w:r>
    </w:p>
    <w:p>
      <w:pPr>
        <w:spacing w:after="120" w:line="276"/>
        <w:jc w:val="both"/>
      </w:pPr>
      <w:r>
        <w:rPr>
          <w:rFonts w:ascii="Barlow Semi Condensed" w:cs="Barlow Semi Condensed" w:eastAsia="Barlow Semi Condensed" w:hAnsi="Barlow Semi Condensed"/>
          <w:b/>
          <w:bCs/>
          <w:sz w:val="24"/>
          <w:szCs w:val="24"/>
        </w:rPr>
        <w:t xml:space="preserve">4134 · Halki, il seminario chiuso.</w:t>
      </w:r>
      <w:r>
        <w:rPr>
          <w:rFonts w:ascii="Barlow Semi Condensed" w:cs="Barlow Semi Condensed" w:eastAsia="Barlow Semi Condensed" w:hAnsi="Barlow Semi Condensed"/>
          <w:sz w:val="24"/>
          <w:szCs w:val="24"/>
        </w:rPr>
        <w:t xml:space="preserve"> La chiusura del 1971 sull'isola davanti a Istanbul è fatto accertato; la cartella turca dichiara però esito negativo di ricerca sulla posizione della Farnesina di Moro riguardo alle minoranze cristiane e al seminario. È Stato Zero di pieno valore, con sede nelle serie Turchia dell'Archivio storico-diplomatico. Nessuna fonte, di alcun piano, collega quel luogo alla materia americana qui triangolata.</w:t>
      </w:r>
    </w:p>
    <w:p>
      <w:pPr>
        <w:spacing w:after="120" w:line="276"/>
        <w:jc w:val="both"/>
      </w:pPr>
      <w:r>
        <w:rPr>
          <w:rFonts w:ascii="Barlow Semi Condensed" w:cs="Barlow Semi Condensed" w:eastAsia="Barlow Semi Condensed" w:hAnsi="Barlow Semi Condensed"/>
          <w:b/>
          <w:bCs/>
          <w:sz w:val="24"/>
          <w:szCs w:val="24"/>
        </w:rPr>
        <w:t xml:space="preserve">4135 · Atene, luglio 1974.</w:t>
      </w:r>
      <w:r>
        <w:rPr>
          <w:rFonts w:ascii="Barlow Semi Condensed" w:cs="Barlow Semi Condensed" w:eastAsia="Barlow Semi Condensed" w:hAnsi="Barlow Semi Condensed"/>
          <w:sz w:val="24"/>
          <w:szCs w:val="24"/>
        </w:rPr>
        <w:t xml:space="preserve"> La giunta cadde il 23 luglio e il 14 agosto la Grecia ritirò le forze dalla struttura militare integrata, con rientro solo nell'ottobre 1980; le date divergono nelle fonti secondarie fra il 4, il 14 e il 17 agosto. Il blocco 346 verbalizza inoltre che non sono state reperite dichiarazioni testuali di Moro su Cipro fra luglio e novembre 1974, con sede duplice nei resoconti stenografici e nelle serie Grecia e Cipro.</w:t>
      </w:r>
    </w:p>
    <w:p>
      <w:pPr>
        <w:spacing w:after="120" w:line="276"/>
        <w:jc w:val="both"/>
      </w:pPr>
      <w:r>
        <w:rPr>
          <w:rFonts w:ascii="Barlow Semi Condensed" w:cs="Barlow Semi Condensed" w:eastAsia="Barlow Semi Condensed" w:hAnsi="Barlow Semi Condensed"/>
          <w:b/>
          <w:bCs/>
          <w:sz w:val="24"/>
          <w:szCs w:val="24"/>
        </w:rPr>
        <w:t xml:space="preserve">4136 · Lisbona e le Azzorre.</w:t>
      </w:r>
      <w:r>
        <w:rPr>
          <w:rFonts w:ascii="Barlow Semi Condensed" w:cs="Barlow Semi Condensed" w:eastAsia="Barlow Semi Condensed" w:hAnsi="Barlow Semi Condensed"/>
          <w:sz w:val="24"/>
          <w:szCs w:val="24"/>
        </w:rPr>
        <w:t xml:space="preserve"> Il memorandum del 19 giugno 1974 sull'incontro delle Azzorre fra Nixon e Spínola, documento 133 del volume E-15 parte 2, è piano 1 per il rapporto fra Washington e Lisbona e non lo è per alcun rapporto italiano con quella vicenda: così il blocco 324. La distinzione è geografica prima che logica — un documento fa piano 1 per l'asse che nomina, e per nessun altro asse della carta.</w:t>
      </w:r>
    </w:p>
    <w:p>
      <w:pPr>
        <w:spacing w:after="120" w:line="276"/>
        <w:jc w:val="both"/>
      </w:pPr>
      <w:r>
        <w:rPr>
          <w:rFonts w:ascii="Barlow Semi Condensed" w:cs="Barlow Semi Condensed" w:eastAsia="Barlow Semi Condensed" w:hAnsi="Barlow Semi Condensed"/>
          <w:b/>
          <w:bCs/>
          <w:sz w:val="24"/>
          <w:szCs w:val="24"/>
        </w:rPr>
        <w:t xml:space="preserve">4137 · Torre do Tombo, Coimbra, Soares.</w:t>
      </w:r>
      <w:r>
        <w:rPr>
          <w:rFonts w:ascii="Barlow Semi Condensed" w:cs="Barlow Semi Condensed" w:eastAsia="Barlow Semi Condensed" w:hAnsi="Barlow Semi Condensed"/>
          <w:sz w:val="24"/>
          <w:szCs w:val="24"/>
        </w:rPr>
        <w:t xml:space="preserve"> Il blocco 328 censisce quattro giacimenti portoghesi: il portale ministeriale con la sua serie italiana, l'Arquivo Nacional da Torre do Tombo, il Centro de Documentação 25 de Abril e la Fundação Mário Soares, con l'avvertenza che almeno una sede va visitata di persona. La quadriga non aveva colonna portoghese. Aprirla è bersaglio dichiarato, con costo dichiarato: è così che una lacuna diventa programma anziché sospetto.</w:t>
      </w:r>
    </w:p>
    <w:p>
      <w:pPr>
        <w:spacing w:after="120" w:line="276"/>
        <w:jc w:val="both"/>
      </w:pPr>
      <w:r>
        <w:rPr>
          <w:rFonts w:ascii="Barlow Semi Condensed" w:cs="Barlow Semi Condensed" w:eastAsia="Barlow Semi Condensed" w:hAnsi="Barlow Semi Condensed"/>
          <w:b/>
          <w:bCs/>
          <w:sz w:val="24"/>
          <w:szCs w:val="24"/>
        </w:rPr>
        <w:t xml:space="preserve">4138 · Madrid e Alcalá de Henares.</w:t>
      </w:r>
      <w:r>
        <w:rPr>
          <w:rFonts w:ascii="Barlow Semi Condensed" w:cs="Barlow Semi Condensed" w:eastAsia="Barlow Semi Condensed" w:hAnsi="Barlow Semi Condensed"/>
          <w:sz w:val="24"/>
          <w:szCs w:val="24"/>
        </w:rPr>
        <w:t xml:space="preserve"> Lo Stato Zero spagnolo è dichiarato identicamente dai documenti della seconda campagna e dal corpus, con due sedi di chiusura: l'Archivio storico-diplomatico della Farnesina, serie affari politici Spagna 1969-1974 sotto la barriera dei cinquant'anni, e l'Archivo General de la Administración, dove sono confluiti i fondi ministeriali spagnoli. Due edifici in due Paesi per una sola assenza: è la forma corretta di un esito negativo.</w:t>
      </w:r>
    </w:p>
    <w:p>
      <w:pPr>
        <w:spacing w:after="120" w:line="276"/>
        <w:jc w:val="both"/>
      </w:pPr>
      <w:r>
        <w:rPr>
          <w:rFonts w:ascii="Barlow Semi Condensed" w:cs="Barlow Semi Condensed" w:eastAsia="Barlow Semi Condensed" w:hAnsi="Barlow Semi Condensed"/>
          <w:b/>
          <w:bCs/>
          <w:sz w:val="24"/>
          <w:szCs w:val="24"/>
        </w:rPr>
        <w:t xml:space="preserve">4139 · Mosca, Varsavia, Bonn.</w:t>
      </w:r>
      <w:r>
        <w:rPr>
          <w:rFonts w:ascii="Barlow Semi Condensed" w:cs="Barlow Semi Condensed" w:eastAsia="Barlow Semi Condensed" w:hAnsi="Barlow Semi Condensed"/>
          <w:sz w:val="24"/>
          <w:szCs w:val="24"/>
        </w:rPr>
        <w:t xml:space="preserve"> Il Trattato di Mosca del 12 agosto 1970 e quello di Varsavia del 7 dicembre 1970 fissano il riconoscimento dei confini esistenti sull'Oder-Neisse. Sono atti della Ostpolitik, contemporanei al primo mandato di Kissinger come Assistente per la sicurezza nazionale. Contemporaneità e cornice atlantica comune: piano 2, e nulla di più. Il corpus non possiede alcun documento che leghi quella sequenza a un atto italiano di Moro.</w:t>
      </w:r>
    </w:p>
    <w:p>
      <w:pPr>
        <w:spacing w:after="120" w:line="276"/>
        <w:jc w:val="both"/>
      </w:pPr>
      <w:r>
        <w:rPr>
          <w:rFonts w:ascii="Barlow Semi Condensed" w:cs="Barlow Semi Condensed" w:eastAsia="Barlow Semi Condensed" w:hAnsi="Barlow Semi Condensed"/>
          <w:b/>
          <w:bCs/>
          <w:sz w:val="24"/>
          <w:szCs w:val="24"/>
        </w:rPr>
        <w:t xml:space="preserve">4140 · Le diocesi a oriente della linea.</w:t>
      </w:r>
      <w:r>
        <w:rPr>
          <w:rFonts w:ascii="Barlow Semi Condensed" w:cs="Barlow Semi Condensed" w:eastAsia="Barlow Semi Condensed" w:hAnsi="Barlow Semi Condensed"/>
          <w:sz w:val="24"/>
          <w:szCs w:val="24"/>
        </w:rPr>
        <w:t xml:space="preserve"> La ricognizione sulle due Germanie documenta il nesso, e non la semplice prossimità, fra la ratifica e il ridisegno ecclesiastico dei territori: Breslavia, l'Ermland, Danzica, Schneidemühl, la prelatura di Kamień-Lubusz. È geografia canonica che segue una geografia politica. La serie la registra come dimostrazione che un nesso, quando esiste, si documenta — e che dove non esiste, come qui verso il versante americano, si dichiara assente.</w:t>
      </w:r>
    </w:p>
    <w:p>
      <w:pPr>
        <w:spacing w:after="120" w:line="276"/>
        <w:jc w:val="both"/>
      </w:pPr>
      <w:r>
        <w:rPr>
          <w:rFonts w:ascii="Barlow Semi Condensed" w:cs="Barlow Semi Condensed" w:eastAsia="Barlow Semi Condensed" w:hAnsi="Barlow Semi Condensed"/>
          <w:b/>
          <w:bCs/>
          <w:sz w:val="24"/>
          <w:szCs w:val="24"/>
        </w:rPr>
        <w:t xml:space="preserve">4141 · Berlino e Coblenza.</w:t>
      </w:r>
      <w:r>
        <w:rPr>
          <w:rFonts w:ascii="Barlow Semi Condensed" w:cs="Barlow Semi Condensed" w:eastAsia="Barlow Semi Condensed" w:hAnsi="Barlow Semi Condensed"/>
          <w:sz w:val="24"/>
          <w:szCs w:val="24"/>
        </w:rPr>
        <w:t xml:space="preserve"> Il blocco 81 dei cantieri indica il Politisches Archiv dell'Auswärtiges Amt per le carte diplomatiche del 1977-1978, il blocco 108 il protocollo di riproduzione per Berlino e Coblenza, il blocco 117 la tavola unica delle serie tedesche, fondo B 106 compreso. Sono le sedi dove un dispaccio tedesco su Roma potrebbe nominare la parte americana. Nessuno spoglio è stato condotto: il vuoto è di ricerca, non di archivio.</w:t>
      </w:r>
    </w:p>
    <w:p>
      <w:pPr>
        <w:spacing w:after="120" w:line="276"/>
        <w:jc w:val="both"/>
      </w:pPr>
      <w:r>
        <w:rPr>
          <w:rFonts w:ascii="Barlow Semi Condensed" w:cs="Barlow Semi Condensed" w:eastAsia="Barlow Semi Condensed" w:hAnsi="Barlow Semi Condensed"/>
          <w:b/>
          <w:bCs/>
          <w:sz w:val="24"/>
          <w:szCs w:val="24"/>
        </w:rPr>
        <w:t xml:space="preserve">4142 · L'archivio della Stasi, dal 2021.</w:t>
      </w:r>
      <w:r>
        <w:rPr>
          <w:rFonts w:ascii="Barlow Semi Condensed" w:cs="Barlow Semi Condensed" w:eastAsia="Barlow Semi Condensed" w:hAnsi="Barlow Semi Condensed"/>
          <w:sz w:val="24"/>
          <w:szCs w:val="24"/>
        </w:rPr>
        <w:t xml:space="preserve"> Dal 17 giugno 2021 parte del Bundesarchiv, con oltre centoundici chilometri di atti e accesso regolato da legge dedicata, contiene carte su terrorismo italiano e caso Moro. Il blocco 92 dei cantieri impone la doppia cautela: F sull'esistenza del documento, C sul contenuto, mai da solo a fondamento. È l'archivio dove un servizio ostile avrebbe avuto interesse a nominare la controparte americana: bersaglio ideale e lettura severissima.</w:t>
      </w:r>
    </w:p>
    <w:p>
      <w:pPr>
        <w:spacing w:after="120" w:line="276"/>
        <w:jc w:val="both"/>
      </w:pPr>
      <w:r>
        <w:rPr>
          <w:rFonts w:ascii="Barlow Semi Condensed" w:cs="Barlow Semi Condensed" w:eastAsia="Barlow Semi Condensed" w:hAnsi="Barlow Semi Condensed"/>
          <w:b/>
          <w:bCs/>
          <w:sz w:val="24"/>
          <w:szCs w:val="24"/>
        </w:rPr>
        <w:t xml:space="preserve">4143 · Kew, il record C11492660.</w:t>
      </w:r>
      <w:r>
        <w:rPr>
          <w:rFonts w:ascii="Barlow Semi Condensed" w:cs="Barlow Semi Condensed" w:eastAsia="Barlow Semi Condensed" w:hAnsi="Barlow Semi Condensed"/>
          <w:sz w:val="24"/>
          <w:szCs w:val="24"/>
        </w:rPr>
        <w:t xml:space="preserve"> Nel catalogo Discovery dei National Archives è censito il fascicolo sul terrorismo in Italia e sul sequestro e la morte di Moro, non digitalizzato: è il punto di partenza documentato del cantiere britannico, blocco 1. Accanto stanno la serie FCO 33 per l'Italia e il vuoto di Downing Street verbalizzato al blocco 4. Nessuna di queste segnature è stata spogliata: il nome triangolato vi è, allo stato, semplicemente non cercato.</w:t>
      </w:r>
    </w:p>
    <w:p>
      <w:pPr>
        <w:spacing w:after="120" w:line="276"/>
        <w:jc w:val="both"/>
      </w:pPr>
      <w:r>
        <w:rPr>
          <w:rFonts w:ascii="Barlow Semi Condensed" w:cs="Barlow Semi Condensed" w:eastAsia="Barlow Semi Condensed" w:hAnsi="Barlow Semi Condensed"/>
          <w:b/>
          <w:bCs/>
          <w:sz w:val="24"/>
          <w:szCs w:val="24"/>
        </w:rPr>
        <w:t xml:space="preserve">4144 · Caversham, gli ascolti del 1978.</w:t>
      </w:r>
      <w:r>
        <w:rPr>
          <w:rFonts w:ascii="Barlow Semi Condensed" w:cs="Barlow Semi Condensed" w:eastAsia="Barlow Semi Condensed" w:hAnsi="Barlow Semi Condensed"/>
          <w:sz w:val="24"/>
          <w:szCs w:val="24"/>
        </w:rPr>
        <w:t xml:space="preserve"> Il blocco 17 dei cantieri indica i BBC Written Archives e i monitoring reports dei cinquantacinque giorni: un osservatorio tecnico d'epoca che registrò radio e agenzie italiane giorno per giorno, con timbro orario straniero. È la sede dove si misurerebbe se e quando un nome americano entrò nel racconto radiofonico italiano del sequestro. Bersaglio a basso costo e alto rendimento cronologico, mai eseguito.</w:t>
      </w:r>
    </w:p>
    <w:p>
      <w:pPr>
        <w:spacing w:after="120" w:line="276"/>
        <w:jc w:val="both"/>
      </w:pPr>
      <w:r>
        <w:rPr>
          <w:rFonts w:ascii="Barlow Semi Condensed" w:cs="Barlow Semi Condensed" w:eastAsia="Barlow Semi Condensed" w:hAnsi="Barlow Semi Condensed"/>
          <w:b/>
          <w:bCs/>
          <w:sz w:val="24"/>
          <w:szCs w:val="24"/>
        </w:rPr>
        <w:t xml:space="preserve">4145 · La Courneuve, versamento 1929INVA.</w:t>
      </w:r>
      <w:r>
        <w:rPr>
          <w:rFonts w:ascii="Barlow Semi Condensed" w:cs="Barlow Semi Condensed" w:eastAsia="Barlow Semi Condensed" w:hAnsi="Barlow Semi Condensed"/>
          <w:sz w:val="24"/>
          <w:szCs w:val="24"/>
        </w:rPr>
        <w:t xml:space="preserve"> Agli archivi diplomatici francesi la sottoserie della Direction d'Europe per l'Italia 1976-1980 sta in un versamento di novecentosettantaquattro scatole con inventario in linea, secondo il blocco 41. La regola del blocco 42 impone l'inventario prima della sala. È l'indirizzo dove i dispacci francesi da Roma potrebbero nominare la parte americana, e dove l'esito negativo, se tale, andrà verbalizzato scatola per scatola.</w:t>
      </w:r>
    </w:p>
    <w:p>
      <w:pPr>
        <w:spacing w:after="120" w:line="276"/>
        <w:jc w:val="both"/>
      </w:pPr>
      <w:r>
        <w:rPr>
          <w:rFonts w:ascii="Barlow Semi Condensed" w:cs="Barlow Semi Condensed" w:eastAsia="Barlow Semi Condensed" w:hAnsi="Barlow Semi Condensed"/>
          <w:b/>
          <w:bCs/>
          <w:sz w:val="24"/>
          <w:szCs w:val="24"/>
        </w:rPr>
        <w:t xml:space="preserve">4146 · Nantes, il fondo Rome-Quirinal (serie LIV).</w:t>
      </w:r>
      <w:r>
        <w:rPr>
          <w:rFonts w:ascii="Barlow Semi Condensed" w:cs="Barlow Semi Condensed" w:eastAsia="Barlow Semi Condensed" w:hAnsi="Barlow Semi Condensed"/>
          <w:sz w:val="24"/>
          <w:szCs w:val="24"/>
        </w:rPr>
        <w:t xml:space="preserve"> Il Centre des Archives diplomatiques conserva i fondi rimpatriati dell'ambasciata di Francia a Roma: la voce della sede si legge a Nantes, quella della centrale a La Courneuve, e il blocco 44 le vuole entrambe. È la distinzione più utile di tutta la serie fra sede e teatro: uno stesso evento romano produce carta in due città francesi diverse, e cercarne una sola falsa l'esito.</w:t>
      </w:r>
    </w:p>
    <w:p>
      <w:pPr>
        <w:spacing w:after="120" w:line="276"/>
        <w:jc w:val="both"/>
      </w:pPr>
      <w:r>
        <w:rPr>
          <w:rFonts w:ascii="Barlow Semi Condensed" w:cs="Barlow Semi Condensed" w:eastAsia="Barlow Semi Condensed" w:hAnsi="Barlow Semi Condensed"/>
          <w:b/>
          <w:bCs/>
          <w:sz w:val="24"/>
          <w:szCs w:val="24"/>
        </w:rPr>
        <w:t xml:space="preserve">4147 · Il 27 di Quai de la Tournelle.</w:t>
      </w:r>
      <w:r>
        <w:rPr>
          <w:rFonts w:ascii="Barlow Semi Condensed" w:cs="Barlow Semi Condensed" w:eastAsia="Barlow Semi Condensed" w:hAnsi="Barlow Semi Condensed"/>
          <w:sz w:val="24"/>
          <w:szCs w:val="24"/>
        </w:rPr>
        <w:t xml:space="preserve"> L'indirizzo parigino della scuola di lingue, con la data di fondazione che le fonti dividono fra 1976 e 1977: divergenza riportata e non risolta dallo studio del ceppo Simioni. Le vie francesi sono archivistiche e a deroga — il fondo Grimaud fra Sciences Po e Pierrefitte, con la nota del 24 maggio 1983 ai Renseignements généraux. Nessuna di quelle carte, per quanto noto, nomina la controparte americana.</w:t>
      </w:r>
    </w:p>
    <w:p>
      <w:pPr>
        <w:spacing w:after="120" w:line="276"/>
        <w:jc w:val="both"/>
      </w:pPr>
      <w:r>
        <w:rPr>
          <w:rFonts w:ascii="Barlow Semi Condensed" w:cs="Barlow Semi Condensed" w:eastAsia="Barlow Semi Condensed" w:hAnsi="Barlow Semi Condensed"/>
          <w:b/>
          <w:bCs/>
          <w:sz w:val="24"/>
          <w:szCs w:val="24"/>
        </w:rPr>
        <w:t xml:space="preserve">4148 · Berna, Dodis e Vienna.</w:t>
      </w:r>
      <w:r>
        <w:rPr>
          <w:rFonts w:ascii="Barlow Semi Condensed" w:cs="Barlow Semi Condensed" w:eastAsia="Barlow Semi Condensed" w:hAnsi="Barlow Semi Condensed"/>
          <w:sz w:val="24"/>
          <w:szCs w:val="24"/>
        </w:rPr>
        <w:t xml:space="preserve"> I documenti diplomatici svizzeri del 1978 sono in larga parte liberamente accessibili per il termine trentennale e la banca dati li pubblica online con dossier tematici: il blocco 106 dei cantieri comincia da lì, e aggiunge Vienna come osservatorio danubiano con bersagli pochi e precisi. È la sede più aperta dell'intera carta europea, e proprio per questo il primo posto dove un esito negativo peserebbe davvero.</w:t>
      </w:r>
    </w:p>
    <w:p>
      <w:pPr>
        <w:spacing w:after="120" w:line="276"/>
        <w:jc w:val="both"/>
      </w:pPr>
      <w:r>
        <w:rPr>
          <w:rFonts w:ascii="Barlow Semi Condensed" w:cs="Barlow Semi Condensed" w:eastAsia="Barlow Semi Condensed" w:hAnsi="Barlow Semi Condensed"/>
          <w:b/>
          <w:bCs/>
          <w:sz w:val="24"/>
          <w:szCs w:val="24"/>
        </w:rPr>
        <w:t xml:space="preserve">4149 · Firenze, gli archivi dell'Unione.</w:t>
      </w:r>
      <w:r>
        <w:rPr>
          <w:rFonts w:ascii="Barlow Semi Condensed" w:cs="Barlow Semi Condensed" w:eastAsia="Barlow Semi Condensed" w:hAnsi="Barlow Semi Condensed"/>
          <w:sz w:val="24"/>
          <w:szCs w:val="24"/>
        </w:rPr>
        <w:t xml:space="preserve"> Il blocco 76 dei cantieri manda a Firenze, agli archivi storici dell'Unione europea, per la cooperazione del 1978, e vi annota la regola che dà titolo a questa serie: la geografia degli archivi non segue quella politica. Un giacimento toscano per un cantiere parigino. Chi cerca il nome triangolato deve dunque interrogare sedi che nessuna mappa politica gli suggerirebbe di aprire.</w:t>
      </w:r>
    </w:p>
    <w:p>
      <w:pPr>
        <w:spacing w:after="120" w:line="276"/>
        <w:jc w:val="both"/>
      </w:pPr>
      <w:r>
        <w:rPr>
          <w:rFonts w:ascii="Barlow Semi Condensed" w:cs="Barlow Semi Condensed" w:eastAsia="Barlow Semi Condensed" w:hAnsi="Barlow Semi Condensed"/>
          <w:b/>
          <w:bCs/>
          <w:sz w:val="24"/>
          <w:szCs w:val="24"/>
        </w:rPr>
        <w:t xml:space="preserve">4150 · Il pontificato ancora chiuso.</w:t>
      </w:r>
      <w:r>
        <w:rPr>
          <w:rFonts w:ascii="Barlow Semi Condensed" w:cs="Barlow Semi Condensed" w:eastAsia="Barlow Semi Condensed" w:hAnsi="Barlow Semi Condensed"/>
          <w:sz w:val="24"/>
          <w:szCs w:val="24"/>
        </w:rPr>
        <w:t xml:space="preserve"> L'Archivio Apostolico Vaticano è consultabile fino alla fine del pontificato di Pio XII, aperto il 2 marzo 2020; il criterio per pontificati vale anche per l'Archivio della Sezione per i Rapporti con gli Stati. Le carte del 1978 non sono consultabili. Il cantiere lavora quindi le vie laterali, e il blocco 146 dell'agenda indica Brescia e l'Istituto Paolo VI: la porta studiosa, quando la porta principale è murata.</w:t>
      </w:r>
    </w:p>
    <w:p>
      <w:pPr>
        <w:spacing w:after="120" w:line="276"/>
        <w:jc w:val="both"/>
      </w:pPr>
      <w:r>
        <w:rPr>
          <w:rFonts w:ascii="Barlow Semi Condensed" w:cs="Barlow Semi Condensed" w:eastAsia="Barlow Semi Condensed" w:hAnsi="Barlow Semi Condensed"/>
          <w:b/>
          <w:bCs/>
          <w:sz w:val="24"/>
          <w:szCs w:val="24"/>
        </w:rPr>
        <w:t xml:space="preserve">4151 · Ñancahuazú e la Quebrada del Churo.</w:t>
      </w:r>
      <w:r>
        <w:rPr>
          <w:rFonts w:ascii="Barlow Semi Condensed" w:cs="Barlow Semi Condensed" w:eastAsia="Barlow Semi Condensed" w:hAnsi="Barlow Semi Condensed"/>
          <w:sz w:val="24"/>
          <w:szCs w:val="24"/>
        </w:rPr>
        <w:t xml:space="preserve"> La fattoria sul fiume raggiunta il 7 novembre 1966, l'imboscata del 23 marzo 1967, la perdita della base in aprile, l'accerchiamento nella gola presso La Higuera l'8 ottobre. È la geografia militare più minuziosa del corpus, ricostruita sul Diario e su fonti declassificate. Nessun documento del fondo americano lì citato nomina il soggetto di questa triangolazione, che nell'ottobre 1967 non ricopriva alcun incarico di governo.</w:t>
      </w:r>
    </w:p>
    <w:p>
      <w:pPr>
        <w:spacing w:after="120" w:line="276"/>
        <w:jc w:val="both"/>
      </w:pPr>
      <w:r>
        <w:rPr>
          <w:rFonts w:ascii="Barlow Semi Condensed" w:cs="Barlow Semi Condensed" w:eastAsia="Barlow Semi Condensed" w:hAnsi="Barlow Semi Condensed"/>
          <w:b/>
          <w:bCs/>
          <w:sz w:val="24"/>
          <w:szCs w:val="24"/>
        </w:rPr>
        <w:t xml:space="preserve">4152 · La Higuera, il muro cronologico.</w:t>
      </w:r>
      <w:r>
        <w:rPr>
          <w:rFonts w:ascii="Barlow Semi Condensed" w:cs="Barlow Semi Condensed" w:eastAsia="Barlow Semi Condensed" w:hAnsi="Barlow Semi Condensed"/>
          <w:sz w:val="24"/>
          <w:szCs w:val="24"/>
        </w:rPr>
        <w:t xml:space="preserve"> Il 9 ottobre 1967 è la data che chiude ogni ipotesi di ponte al piano 1 per l'intero versante boliviano: gli incarichi triangolati cominciano il 20 gennaio 1969. Quindici mesi separano l'esecuzione dall'insediamento. Il nodo M-5 documenta per quel teatro la presenza di un agente della CIA, e questo è tutto ciò che le fonti attestano: un fatto americano datato, non una regia, e nessun nome di vertice.</w:t>
      </w:r>
    </w:p>
    <w:p>
      <w:pPr>
        <w:spacing w:after="120" w:line="276"/>
        <w:jc w:val="both"/>
      </w:pPr>
      <w:r>
        <w:rPr>
          <w:rFonts w:ascii="Barlow Semi Condensed" w:cs="Barlow Semi Condensed" w:eastAsia="Barlow Semi Condensed" w:hAnsi="Barlow Semi Condensed"/>
          <w:b/>
          <w:bCs/>
          <w:sz w:val="24"/>
          <w:szCs w:val="24"/>
        </w:rPr>
        <w:t xml:space="preserve">4153 · Vallegrande, i lavatoi dell'ospedale.</w:t>
      </w:r>
      <w:r>
        <w:rPr>
          <w:rFonts w:ascii="Barlow Semi Condensed" w:cs="Barlow Semi Condensed" w:eastAsia="Barlow Semi Condensed" w:hAnsi="Barlow Semi Condensed"/>
          <w:sz w:val="24"/>
          <w:szCs w:val="24"/>
        </w:rPr>
        <w:t xml:space="preserve"> Il corpo trasportato in elicottero ed esposto il 10 ottobre 1967, la sepoltura occultata presso la pista, i resti ritrovati soltanto nel 1997: il nodo M-8 fa di questo luogo il modello del reperto conteso e della riapertura a decenni di distanza. La serie lo registra come teatro puro, senza sede documentale americana corrispondente nel corpus, e con l'archivio della NSA del 1997 come unico giacimento già noto.</w:t>
      </w:r>
    </w:p>
    <w:p>
      <w:pPr>
        <w:spacing w:after="120" w:line="276"/>
        <w:jc w:val="both"/>
      </w:pPr>
      <w:r>
        <w:rPr>
          <w:rFonts w:ascii="Barlow Semi Condensed" w:cs="Barlow Semi Condensed" w:eastAsia="Barlow Semi Condensed" w:hAnsi="Barlow Semi Condensed"/>
          <w:b/>
          <w:bCs/>
          <w:sz w:val="24"/>
          <w:szCs w:val="24"/>
        </w:rPr>
        <w:t xml:space="preserve">4154 · Santa Clara, mausoleo del 1997.</w:t>
      </w:r>
      <w:r>
        <w:rPr>
          <w:rFonts w:ascii="Barlow Semi Condensed" w:cs="Barlow Semi Condensed" w:eastAsia="Barlow Semi Condensed" w:hAnsi="Barlow Semi Condensed"/>
          <w:sz w:val="24"/>
          <w:szCs w:val="24"/>
        </w:rPr>
        <w:t xml:space="preserve"> I resti traslati a Cuba e tumulati nella città della vittoria del dicembre 1958: la geografia si chiude dove era cominciata la fama militare. È un luogo di memoria di Stato, e il corpus avverte al parametro D-4 che sul Che pesa l'agiografia cubana come sulla vicenda italiana pesa la dietrologia. Due correttivi critici di segno diverso, e nessuno dei due si applica alla materia di questi blocchi.</w:t>
      </w:r>
    </w:p>
    <w:p>
      <w:pPr>
        <w:spacing w:after="120" w:line="276"/>
        <w:jc w:val="both"/>
      </w:pPr>
      <w:r>
        <w:rPr>
          <w:rFonts w:ascii="Barlow Semi Condensed" w:cs="Barlow Semi Condensed" w:eastAsia="Barlow Semi Condensed" w:hAnsi="Barlow Semi Condensed"/>
          <w:b/>
          <w:bCs/>
          <w:sz w:val="24"/>
          <w:szCs w:val="24"/>
        </w:rPr>
        <w:t xml:space="preserve">4155 · Algeri, il Congo, Dar es Salaam.</w:t>
      </w:r>
      <w:r>
        <w:rPr>
          <w:rFonts w:ascii="Barlow Semi Condensed" w:cs="Barlow Semi Condensed" w:eastAsia="Barlow Semi Condensed" w:hAnsi="Barlow Semi Condensed"/>
          <w:sz w:val="24"/>
          <w:szCs w:val="24"/>
        </w:rPr>
        <w:t xml:space="preserve"> Il discorso del 24 febbraio 1965, la campagna congolese, i tre mesi nell'ambasciata cubana e il trasferimento a Praga dal marzo 1966: un itinerario di rottura con Mosca, non con Washington. È il dato che il parametro D-3 registra come divergenza strutturale — l'ostilità statunitense verso i due uomini del corpus ha radici opposte. Nessun documento americano di quel periodo, nel corpus, nomina insieme quei luoghi e il nome triangolato.</w:t>
      </w:r>
    </w:p>
    <w:p>
      <w:pPr>
        <w:spacing w:after="120" w:line="276"/>
        <w:jc w:val="both"/>
      </w:pPr>
      <w:r>
        <w:rPr>
          <w:rFonts w:ascii="Barlow Semi Condensed" w:cs="Barlow Semi Condensed" w:eastAsia="Barlow Semi Condensed" w:hAnsi="Barlow Semi Condensed"/>
          <w:b/>
          <w:bCs/>
          <w:sz w:val="24"/>
          <w:szCs w:val="24"/>
        </w:rPr>
        <w:t xml:space="preserve">4156 · Città del Messico e L'Avana.</w:t>
      </w:r>
      <w:r>
        <w:rPr>
          <w:rFonts w:ascii="Barlow Semi Condensed" w:cs="Barlow Semi Condensed" w:eastAsia="Barlow Semi Condensed" w:hAnsi="Barlow Semi Condensed"/>
          <w:sz w:val="24"/>
          <w:szCs w:val="24"/>
        </w:rPr>
        <w:t xml:space="preserve"> Le tappe fra il 1954 e il 1965 sono ricostruite nel volume dedicato, con la convergenza su Santa Clara a fine dicembre 1958. Per l'intero arco, il corpus non possiede documenti americani di vertice: la triangolazione esterna vi fu condotta su fonti storiografiche e su archivi cubani e messicani. Chi volesse aprire una colonna statunitense per quegli anni dovrebbe partire dalla sala di lettura CREST e dai volumi FRUS coevi.</w:t>
      </w:r>
    </w:p>
    <w:p>
      <w:pPr>
        <w:spacing w:after="120" w:line="276"/>
        <w:jc w:val="both"/>
      </w:pPr>
      <w:r>
        <w:rPr>
          <w:rFonts w:ascii="Barlow Semi Condensed" w:cs="Barlow Semi Condensed" w:eastAsia="Barlow Semi Condensed" w:hAnsi="Barlow Semi Condensed"/>
          <w:b/>
          <w:bCs/>
          <w:sz w:val="24"/>
          <w:szCs w:val="24"/>
        </w:rPr>
        <w:t xml:space="preserve">4157 · Santiago, il metro del corpus.</w:t>
      </w:r>
      <w:r>
        <w:rPr>
          <w:rFonts w:ascii="Barlow Semi Condensed" w:cs="Barlow Semi Condensed" w:eastAsia="Barlow Semi Condensed" w:hAnsi="Barlow Semi Condensed"/>
          <w:sz w:val="24"/>
          <w:szCs w:val="24"/>
        </w:rPr>
        <w:t xml:space="preserve"> Il blocco 496 dell'opera fa del Cile il metro della comparazione, e il blocco 502 ne segna subito il limite: ciò che il metro cileno misura non è ciò che esso prova. La Parte terza dell'opera-madre osserva che gli archi documentati sono statali e verticali, mentre verso l'eversione privata restano congetture. Un teatro documentato non trasferisce il proprio grado ai teatri che gli somigliano.</w:t>
      </w:r>
    </w:p>
    <w:p>
      <w:pPr>
        <w:spacing w:after="120" w:line="276"/>
        <w:jc w:val="both"/>
      </w:pPr>
      <w:r>
        <w:rPr>
          <w:rFonts w:ascii="Barlow Semi Condensed" w:cs="Barlow Semi Condensed" w:eastAsia="Barlow Semi Condensed" w:hAnsi="Barlow Semi Condensed"/>
          <w:b/>
          <w:bCs/>
          <w:sz w:val="24"/>
          <w:szCs w:val="24"/>
        </w:rPr>
        <w:t xml:space="preserve">4158 · Managua, Berna, Parigi.</w:t>
      </w:r>
      <w:r>
        <w:rPr>
          <w:rFonts w:ascii="Barlow Semi Condensed" w:cs="Barlow Semi Condensed" w:eastAsia="Barlow Semi Condensed" w:hAnsi="Barlow Semi Condensed"/>
          <w:sz w:val="24"/>
          <w:szCs w:val="24"/>
        </w:rPr>
        <w:t xml:space="preserve"> Le tre geografie del registro: Alessio Casimirri in Nicaragua dal 1982, Alvaro Lojacono cittadino svizzero, e la Francia della dottrina fino al no della Cassazione del marzo 2023 dopo l'operazione del 28 aprile 2021. Sono luoghi di pene ineseguite, cioè scudi sull'esecuzione e non sull'accertamento. Nessuno di essi tocca la materia di questa serie, e il corpus vi ha lavorato solo nelle forme del diritto.</w:t>
      </w:r>
    </w:p>
    <w:p>
      <w:pPr>
        <w:spacing w:after="120" w:line="276"/>
        <w:jc w:val="both"/>
      </w:pPr>
      <w:r>
        <w:rPr>
          <w:rFonts w:ascii="Barlow Semi Condensed" w:cs="Barlow Semi Condensed" w:eastAsia="Barlow Semi Condensed" w:hAnsi="Barlow Semi Condensed"/>
          <w:b/>
          <w:bCs/>
          <w:sz w:val="24"/>
          <w:szCs w:val="24"/>
        </w:rPr>
        <w:t xml:space="preserve">4159 · L'atlante delle sedi, bersaglio finale.</w:t>
      </w:r>
      <w:r>
        <w:rPr>
          <w:rFonts w:ascii="Barlow Semi Condensed" w:cs="Barlow Semi Condensed" w:eastAsia="Barlow Semi Condensed" w:hAnsi="Barlow Semi Condensed"/>
          <w:sz w:val="24"/>
          <w:szCs w:val="24"/>
        </w:rPr>
        <w:t xml:space="preserve"> Il prodotto che questa serie chiede: una tavola unica che per ogni luogo del corpus indichi l'istituto, la serie, lo stato di apertura, lo stato di spoglio e la richiesta pendente — gemella geografica delle tavole dei blocchi 45 e 155 dell'agenda. Senza quell'atlante ogni assenza qui verbalizzata resta un'impressione. Con esso diventa una coordinata in meno da riesplorare, che è l'unico progresso possibile.</w:t>
      </w:r>
    </w:p>
    <w:p>
      <w:pPr>
        <w:spacing w:after="120" w:line="276"/>
        <w:jc w:val="both"/>
      </w:pPr>
      <w:r>
        <w:rPr>
          <w:rFonts w:ascii="Barlow Semi Condensed" w:cs="Barlow Semi Condensed" w:eastAsia="Barlow Semi Condensed" w:hAnsi="Barlow Semi Condensed"/>
          <w:b/>
          <w:bCs/>
          <w:sz w:val="24"/>
          <w:szCs w:val="24"/>
        </w:rPr>
        <w:t xml:space="preserve">4160 · Che cosa smentirebbe questa geografia.</w:t>
      </w:r>
      <w:r>
        <w:rPr>
          <w:rFonts w:ascii="Barlow Semi Condensed" w:cs="Barlow Semi Condensed" w:eastAsia="Barlow Semi Condensed" w:hAnsi="Barlow Semi Condensed"/>
          <w:sz w:val="24"/>
          <w:szCs w:val="24"/>
        </w:rPr>
        <w:t xml:space="preserve"> Un solo reperto la rovescerebbe: un documento di provenienza, conservato in una sede nominabile, che collochi il soggetto triangolato in un luogo del corpus diverso dallo Studio Ovale del settembre 1974 e vi attesti un atto, non una presenza. Non basterebbero una fotografia, una contiguità di palazzo, una memoria tarda. Fino ad allora la carta resta quella descritta: un punto di piano 1 e ottanta indirizzi da bussare.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cinquantacinquesima — Le istituzioni: NSC, Dipartimento di Stato, NATO</w:t>
      </w:r>
    </w:p>
    <w:p>
      <w:pPr>
        <w:spacing w:after="120" w:line="276"/>
        <w:jc w:val="both"/>
      </w:pPr>
      <w:r>
        <w:rPr>
          <w:rFonts w:ascii="Barlow Semi Condensed" w:cs="Barlow Semi Condensed" w:eastAsia="Barlow Semi Condensed" w:hAnsi="Barlow Semi Condensed"/>
          <w:i/>
          <w:iCs/>
          <w:sz w:val="24"/>
          <w:szCs w:val="24"/>
        </w:rPr>
        <w:t xml:space="preserve">Blocchi 4161-4240.</w:t>
      </w:r>
    </w:p>
    <w:p>
      <w:pPr>
        <w:spacing w:after="120" w:line="276"/>
        <w:jc w:val="both"/>
      </w:pPr>
      <w:r>
        <w:rPr>
          <w:rFonts w:ascii="Barlow Semi Condensed" w:cs="Barlow Semi Condensed" w:eastAsia="Barlow Semi Condensed" w:hAnsi="Barlow Semi Condensed"/>
          <w:b/>
          <w:bCs/>
          <w:sz w:val="24"/>
          <w:szCs w:val="24"/>
        </w:rPr>
        <w:t xml:space="preserve">4161 · Statuto della serie territoriale.</w:t>
      </w:r>
      <w:r>
        <w:rPr>
          <w:rFonts w:ascii="Barlow Semi Condensed" w:cs="Barlow Semi Condensed" w:eastAsia="Barlow Semi Condensed" w:hAnsi="Barlow Semi Condensed"/>
          <w:sz w:val="24"/>
          <w:szCs w:val="24"/>
        </w:rPr>
        <w:t xml:space="preserve"> La serie abbandona la lente concettuale delle prime tredici e lavora su un territorio circoscritto: la cartella moro-ministro-esteri e il documento programma-investigativo-caso-moro. Non si chiede che cosa Kissinger rappresenti, ma se il suo nome compaia in queste carte, con quale segnatura e con quale grado. Ogni blocco è un bersaglio, un accertamento graduato, una regola di lettura o una lacuna verbalizzata con la sede che la chiuderebbe.</w:t>
      </w:r>
    </w:p>
    <w:p>
      <w:pPr>
        <w:spacing w:after="120" w:line="276"/>
        <w:jc w:val="both"/>
      </w:pPr>
      <w:r>
        <w:rPr>
          <w:rFonts w:ascii="Barlow Semi Condensed" w:cs="Barlow Semi Condensed" w:eastAsia="Barlow Semi Condensed" w:hAnsi="Barlow Semi Condensed"/>
          <w:b/>
          <w:bCs/>
          <w:sz w:val="24"/>
          <w:szCs w:val="24"/>
        </w:rPr>
        <w:t xml:space="preserve">4162 · I due corpi del territorio.</w:t>
      </w:r>
      <w:r>
        <w:rPr>
          <w:rFonts w:ascii="Barlow Semi Condensed" w:cs="Barlow Semi Condensed" w:eastAsia="Barlow Semi Condensed" w:hAnsi="Barlow Semi Condensed"/>
          <w:sz w:val="24"/>
          <w:szCs w:val="24"/>
        </w:rPr>
        <w:t xml:space="preserve"> Il territorio consta di due corpi diversi. Il primo è la cartella della Farnesina: il README, la nota sui documenti del Dipartimento di Stato 1965-1978, il manifest-sha256, nove ricognizioni e un OCR grezzo nella sottocartella originali, la triangolazione della seconda campagna. Il secondo è Il fascicolo aperto, programma investigativo del 25 agosto 2026, con le piste da P-1 a P-10, la graduatoria PN-1…PN-8 e le piste su entità PE-1…PE-6.</w:t>
      </w:r>
    </w:p>
    <w:p>
      <w:pPr>
        <w:spacing w:after="120" w:line="276"/>
        <w:jc w:val="both"/>
      </w:pPr>
      <w:r>
        <w:rPr>
          <w:rFonts w:ascii="Barlow Semi Condensed" w:cs="Barlow Semi Condensed" w:eastAsia="Barlow Semi Condensed" w:hAnsi="Barlow Semi Condensed"/>
          <w:b/>
          <w:bCs/>
          <w:sz w:val="24"/>
          <w:szCs w:val="24"/>
        </w:rPr>
        <w:t xml:space="preserve">4163 · Il conteggio meccanico del nome.</w:t>
      </w:r>
      <w:r>
        <w:rPr>
          <w:rFonts w:ascii="Barlow Semi Condensed" w:cs="Barlow Semi Condensed" w:eastAsia="Barlow Semi Condensed" w:hAnsi="Barlow Semi Condensed"/>
          <w:sz w:val="24"/>
          <w:szCs w:val="24"/>
        </w:rPr>
        <w:t xml:space="preserve"> La verifica testuale dà sette occorrenze del nome in sei documenti della cartella: due in turchia-opus-dei-1969-1975, una ciascuna in portogallo-opus-dei, portogallo-santa-sede-1969-1974, ricognizione-ministro-esteri-1969-1974, documenti-italiani-spagnoli-opus-dei e grecia-opus-dei-1969-1985. Zero nel programma investigativo, zero nella triangolazione della seconda campagna, zero nella scheda tedesca e in quella sulla Santa Sede e la Turchia. Il buco misurato è conoscenza, secondo il blocco 233 dell'agenda.</w:t>
      </w:r>
    </w:p>
    <w:p>
      <w:pPr>
        <w:spacing w:after="120" w:line="276"/>
        <w:jc w:val="both"/>
      </w:pPr>
      <w:r>
        <w:rPr>
          <w:rFonts w:ascii="Barlow Semi Condensed" w:cs="Barlow Semi Condensed" w:eastAsia="Barlow Semi Condensed" w:hAnsi="Barlow Semi Condensed"/>
          <w:b/>
          <w:bCs/>
          <w:sz w:val="24"/>
          <w:szCs w:val="24"/>
        </w:rPr>
        <w:t xml:space="preserve">4164 · La regola che vincola tutto.</w:t>
      </w:r>
      <w:r>
        <w:rPr>
          <w:rFonts w:ascii="Barlow Semi Condensed" w:cs="Barlow Semi Condensed" w:eastAsia="Barlow Semi Condensed" w:hAnsi="Barlow Semi Condensed"/>
          <w:sz w:val="24"/>
          <w:szCs w:val="24"/>
        </w:rPr>
        <w:t xml:space="preserve"> Henry Kissinger non fu condannato in alcun processo e non fu mai imputato né processato in alcun Paese: nessun blocco può indicarlo come responsabile di reato, e il territorio non offre alcun appiglio per farlo. Le carte qui censite attestano riunioni tenute, posizioni espresse, istruzioni impartite e firme apposte. Il corpus si ferma al giudicato, come nel registro della fase settima e nell'apparato dei gradi.</w:t>
      </w:r>
    </w:p>
    <w:p>
      <w:pPr>
        <w:spacing w:after="120" w:line="276"/>
        <w:jc w:val="both"/>
      </w:pPr>
      <w:r>
        <w:rPr>
          <w:rFonts w:ascii="Barlow Semi Condensed" w:cs="Barlow Semi Condensed" w:eastAsia="Barlow Semi Condensed" w:hAnsi="Barlow Semi Condensed"/>
          <w:b/>
          <w:bCs/>
          <w:sz w:val="24"/>
          <w:szCs w:val="24"/>
        </w:rPr>
        <w:t xml:space="preserve">4165 · I tre piani su questo terreno.</w:t>
      </w:r>
      <w:r>
        <w:rPr>
          <w:rFonts w:ascii="Barlow Semi Condensed" w:cs="Barlow Semi Condensed" w:eastAsia="Barlow Semi Condensed" w:hAnsi="Barlow Semi Condensed"/>
          <w:sz w:val="24"/>
          <w:szCs w:val="24"/>
        </w:rPr>
        <w:t xml:space="preserve"> Piano primo: due nomi nello stesso documento datato, con segnatura verificabile. Piano secondo: convergenza strutturale entro la stessa cornice — l'Alleanza atlantica, il Consiglio delle Comunità, la Conferenza di Helsinki — senza che una carta li tocchi insieme. Piano terzo: affermazione terziaria priva di riscontro. In questo territorio il primo piano rispetto a Moro esiste in un punto solo, il verbale del 25 settembre 1974; tutto il resto è secondo o terzo.</w:t>
      </w:r>
    </w:p>
    <w:p>
      <w:pPr>
        <w:spacing w:after="120" w:line="276"/>
        <w:jc w:val="both"/>
      </w:pPr>
      <w:r>
        <w:rPr>
          <w:rFonts w:ascii="Barlow Semi Condensed" w:cs="Barlow Semi Condensed" w:eastAsia="Barlow Semi Condensed" w:hAnsi="Barlow Semi Condensed"/>
          <w:b/>
          <w:bCs/>
          <w:sz w:val="24"/>
          <w:szCs w:val="24"/>
        </w:rPr>
        <w:t xml:space="preserve">4166 · Il verbale dello Studio Ovale.</w:t>
      </w:r>
      <w:r>
        <w:rPr>
          <w:rFonts w:ascii="Barlow Semi Condensed" w:cs="Barlow Semi Condensed" w:eastAsia="Barlow Semi Condensed" w:hAnsi="Barlow Semi Condensed"/>
          <w:sz w:val="24"/>
          <w:szCs w:val="24"/>
        </w:rPr>
        <w:t xml:space="preserve"> Il capitolo IV della ricognizione-madre accerta il memorandum of conversation del 25 settembre 1974 fra Giovanni Leone, Aldo Moro, Gerald Ford e Henry Kissinger, con Brent Scowcroft: Gerald R. Ford Presidential Library, National Security Adviser's Memoranda of Conversation, documento 1552802, edito in FRUS 1969-1976 volume E-15 parte 2, documento 350, seconda edizione riveduta. È l'unico rapporto diretto documentato fra i due nomi nel territorio.</w:t>
      </w:r>
    </w:p>
    <w:p>
      <w:pPr>
        <w:spacing w:after="120" w:line="276"/>
        <w:jc w:val="both"/>
      </w:pPr>
      <w:r>
        <w:rPr>
          <w:rFonts w:ascii="Barlow Semi Condensed" w:cs="Barlow Semi Condensed" w:eastAsia="Barlow Semi Condensed" w:hAnsi="Barlow Semi Condensed"/>
          <w:b/>
          <w:bCs/>
          <w:sz w:val="24"/>
          <w:szCs w:val="24"/>
        </w:rPr>
        <w:t xml:space="preserve">4167 · Una carta del Consiglio.</w:t>
      </w:r>
      <w:r>
        <w:rPr>
          <w:rFonts w:ascii="Barlow Semi Condensed" w:cs="Barlow Semi Condensed" w:eastAsia="Barlow Semi Condensed" w:hAnsi="Barlow Semi Condensed"/>
          <w:sz w:val="24"/>
          <w:szCs w:val="24"/>
        </w:rPr>
        <w:t xml:space="preserve"> La provenienza dice l'istituzione: la serie è quella dei Memoranda of Conversation del consigliere per la sicurezza nazionale, non un dispaccio del Dipartimento di Stato. Il documento nasce dunque dentro l'apparato del Consiglio di sicurezza nazionale, benché il suo protagonista americano cumulasse allora i due incarichi. Chi lo cita come carta del Dipartimento sbaglia la catena di custodia, e con essa la sede dove cercarne i paralleli.</w:t>
      </w:r>
    </w:p>
    <w:p>
      <w:pPr>
        <w:spacing w:after="120" w:line="276"/>
        <w:jc w:val="both"/>
      </w:pPr>
      <w:r>
        <w:rPr>
          <w:rFonts w:ascii="Barlow Semi Condensed" w:cs="Barlow Semi Condensed" w:eastAsia="Barlow Semi Condensed" w:hAnsi="Barlow Semi Condensed"/>
          <w:b/>
          <w:bCs/>
          <w:sz w:val="24"/>
          <w:szCs w:val="24"/>
        </w:rPr>
        <w:t xml:space="preserve">4168 · Che cosa il verbale non contiene.</w:t>
      </w:r>
      <w:r>
        <w:rPr>
          <w:rFonts w:ascii="Barlow Semi Condensed" w:cs="Barlow Semi Condensed" w:eastAsia="Barlow Semi Condensed" w:hAnsi="Barlow Semi Condensed"/>
          <w:sz w:val="24"/>
          <w:szCs w:val="24"/>
        </w:rPr>
        <w:t xml:space="preserve"> Il verbale non contiene alcun ultimatum personale ad Aldo Moro: l'accertamento è fissato dall'opera e va richiamato ogni volta che la materia si riapre. Attesta la posizione secondo cui non si sarebbero potute scambiare informazioni militari con un governo che includesse i comunisti. Non attesta una posizione di Moro sul medesimo punto — la ricognizione lo dice espressamente — e il silenzio di un verbale non è una presa di posizione.</w:t>
      </w:r>
    </w:p>
    <w:p>
      <w:pPr>
        <w:spacing w:after="120" w:line="276"/>
        <w:jc w:val="both"/>
      </w:pPr>
      <w:r>
        <w:rPr>
          <w:rFonts w:ascii="Barlow Semi Condensed" w:cs="Barlow Semi Condensed" w:eastAsia="Barlow Semi Condensed" w:hAnsi="Barlow Semi Condensed"/>
          <w:b/>
          <w:bCs/>
          <w:sz w:val="24"/>
          <w:szCs w:val="24"/>
        </w:rPr>
        <w:t xml:space="preserve">4169 · La frase dura e la vigilia.</w:t>
      </w:r>
      <w:r>
        <w:rPr>
          <w:rFonts w:ascii="Barlow Semi Condensed" w:cs="Barlow Semi Condensed" w:eastAsia="Barlow Semi Condensed" w:hAnsi="Barlow Semi Condensed"/>
          <w:sz w:val="24"/>
          <w:szCs w:val="24"/>
        </w:rPr>
        <w:t xml:space="preserve"> La ricognizione scrive che «alla vigilia, il 25 settembre» fu detto a Ford che agli italiani andava parlato duro, e rinvia però al medesimo documento 350. La formula è internamente ambigua: o esiste un verbale distinto di preparazione, o l'avverbio è improprio. La divergenza si riporta e non si compone: la collazione della copia 1552802 col testo edito è il bersaglio che la chiude.</w:t>
      </w:r>
    </w:p>
    <w:p>
      <w:pPr>
        <w:spacing w:after="120" w:line="276"/>
        <w:jc w:val="both"/>
      </w:pPr>
      <w:r>
        <w:rPr>
          <w:rFonts w:ascii="Barlow Semi Condensed" w:cs="Barlow Semi Condensed" w:eastAsia="Barlow Semi Condensed" w:hAnsi="Barlow Semi Condensed"/>
          <w:b/>
          <w:bCs/>
          <w:sz w:val="24"/>
          <w:szCs w:val="24"/>
        </w:rPr>
        <w:t xml:space="preserve">4170 · Il colloquio del giorno successivo (serie LV).</w:t>
      </w:r>
      <w:r>
        <w:rPr>
          <w:rFonts w:ascii="Barlow Semi Condensed" w:cs="Barlow Semi Condensed" w:eastAsia="Barlow Semi Condensed" w:hAnsi="Barlow Semi Condensed"/>
          <w:sz w:val="24"/>
          <w:szCs w:val="24"/>
        </w:rPr>
        <w:t xml:space="preserve"> Nello stesso capitolo è registrato anche l'incontro del 26 settembre 1974, Ford Library documento 1552806, disponibile e mai letto in parallelo al precedente. Quesito comparativo: quali temi ricorrano nei due testi, quali compaiano solo nel secondo, se il secondo rinvii al primo, e chi vi figuri presente. Due carte della stessa serie sono omologhe per origine, non per somiglianza di contenuto, e vanno lette insieme.</w:t>
      </w:r>
    </w:p>
    <w:p>
      <w:pPr>
        <w:spacing w:after="120" w:line="276"/>
        <w:jc w:val="both"/>
      </w:pPr>
      <w:r>
        <w:rPr>
          <w:rFonts w:ascii="Barlow Semi Condensed" w:cs="Barlow Semi Condensed" w:eastAsia="Barlow Semi Condensed" w:hAnsi="Barlow Semi Condensed"/>
          <w:b/>
          <w:bCs/>
          <w:sz w:val="24"/>
          <w:szCs w:val="24"/>
        </w:rPr>
        <w:t xml:space="preserve">4171 · Le due edizioni del volume.</w:t>
      </w:r>
      <w:r>
        <w:rPr>
          <w:rFonts w:ascii="Barlow Semi Condensed" w:cs="Barlow Semi Condensed" w:eastAsia="Barlow Semi Condensed" w:hAnsi="Barlow Semi Condensed"/>
          <w:sz w:val="24"/>
          <w:szCs w:val="24"/>
        </w:rPr>
        <w:t xml:space="preserve"> L'indirizzo citato dalla ricognizione reca la sigla della seconda edizione del volume E-15 parte 2, e l'opera ha già fissato che il documento 350 va citato nella redazione riveduta. Bersaglio filologico: accertare se fra prima e seconda edizione mutino il testo, le note redazionali o le espunzioni del documento 350 e del documento 153. Una variante fra due testimoni è un dato, non un dettaglio tipografico.</w:t>
      </w:r>
    </w:p>
    <w:p>
      <w:pPr>
        <w:spacing w:after="120" w:line="276"/>
        <w:jc w:val="both"/>
      </w:pPr>
      <w:r>
        <w:rPr>
          <w:rFonts w:ascii="Barlow Semi Condensed" w:cs="Barlow Semi Condensed" w:eastAsia="Barlow Semi Condensed" w:hAnsi="Barlow Semi Condensed"/>
          <w:b/>
          <w:bCs/>
          <w:sz w:val="24"/>
          <w:szCs w:val="24"/>
        </w:rPr>
        <w:t xml:space="preserve">4172 · Il derivato e la catena di custodia.</w:t>
      </w:r>
      <w:r>
        <w:rPr>
          <w:rFonts w:ascii="Barlow Semi Condensed" w:cs="Barlow Semi Condensed" w:eastAsia="Barlow Semi Condensed" w:hAnsi="Barlow Semi Condensed"/>
          <w:sz w:val="24"/>
          <w:szCs w:val="24"/>
        </w:rPr>
        <w:t xml:space="preserve"> Per il documento 1552802 la ricognizione rinvia a una trascrizione automatica ospitata dall'Internet Archive. È un derivato, come lo è state-dept-djvu-ocr-grezzo rispetto ai documenti originali del Dipartimento di Stato. La cartella possiede già la disciplina giusta nel manifest-sha256: il bersaglio è estenderla, calcolando e registrando l'impronta di quella trascrizione e collazionandola con l'immagine digitalizzata prima di citarne una sola parola.</w:t>
      </w:r>
    </w:p>
    <w:p>
      <w:pPr>
        <w:spacing w:after="120" w:line="276"/>
        <w:jc w:val="both"/>
      </w:pPr>
      <w:r>
        <w:rPr>
          <w:rFonts w:ascii="Barlow Semi Condensed" w:cs="Barlow Semi Condensed" w:eastAsia="Barlow Semi Condensed" w:hAnsi="Barlow Semi Condensed"/>
          <w:b/>
          <w:bCs/>
          <w:sz w:val="24"/>
          <w:szCs w:val="24"/>
        </w:rPr>
        <w:t xml:space="preserve">4173 · La controparte italiana che manca.</w:t>
      </w:r>
      <w:r>
        <w:rPr>
          <w:rFonts w:ascii="Barlow Semi Condensed" w:cs="Barlow Semi Condensed" w:eastAsia="Barlow Semi Condensed" w:hAnsi="Barlow Semi Condensed"/>
          <w:sz w:val="24"/>
          <w:szCs w:val="24"/>
        </w:rPr>
        <w:t xml:space="preserve"> Del colloquio del 25 settembre 1974 non risulta alcuna verbalizzazione italiana: appunto di gabinetto, resoconto di delegazione o telegramma di riepilogo dell'ambasciata a Washington. È Stato Zero con perimetro esatto, già scritto come bersaglio al blocco 228 dell'opera e qui confermato dal territorio, ricco sui fondi americani e muto su quelli italiani. Sede: Archivio Storico Diplomatico della Farnesina, carteggi di gabinetto del ministro.</w:t>
      </w:r>
    </w:p>
    <w:p>
      <w:pPr>
        <w:spacing w:after="120" w:line="276"/>
        <w:jc w:val="both"/>
      </w:pPr>
      <w:r>
        <w:rPr>
          <w:rFonts w:ascii="Barlow Semi Condensed" w:cs="Barlow Semi Condensed" w:eastAsia="Barlow Semi Condensed" w:hAnsi="Barlow Semi Condensed"/>
          <w:b/>
          <w:bCs/>
          <w:sz w:val="24"/>
          <w:szCs w:val="24"/>
        </w:rPr>
        <w:t xml:space="preserve">4174 · Il doppio incarico di quel giorno.</w:t>
      </w:r>
      <w:r>
        <w:rPr>
          <w:rFonts w:ascii="Barlow Semi Condensed" w:cs="Barlow Semi Condensed" w:eastAsia="Barlow Semi Condensed" w:hAnsi="Barlow Semi Condensed"/>
          <w:sz w:val="24"/>
          <w:szCs w:val="24"/>
        </w:rPr>
        <w:t xml:space="preserve"> Al 25 settembre 1974 l'interlocutore americano era insieme assistente per la sicurezza nazionale, dal 20 gennaio 1969, e segretario di Stato, dal 22 settembre 1973. La circostanza non è aneddotica: decide quale archivio conservi il riflesso di ciascun suo atto, se le carte del Consiglio alla Ford Library o le serie del Dipartimento ai National Archives di College Park. Il bersaglio si sdoppia di conseguenza.</w:t>
      </w:r>
    </w:p>
    <w:p>
      <w:pPr>
        <w:spacing w:after="120" w:line="276"/>
        <w:jc w:val="both"/>
      </w:pPr>
      <w:r>
        <w:rPr>
          <w:rFonts w:ascii="Barlow Semi Condensed" w:cs="Barlow Semi Condensed" w:eastAsia="Barlow Semi Condensed" w:hAnsi="Barlow Semi Condensed"/>
          <w:b/>
          <w:bCs/>
          <w:sz w:val="24"/>
          <w:szCs w:val="24"/>
        </w:rPr>
        <w:t xml:space="preserve">4175 · Il silenzio sul Partito comunista.</w:t>
      </w:r>
      <w:r>
        <w:rPr>
          <w:rFonts w:ascii="Barlow Semi Condensed" w:cs="Barlow Semi Condensed" w:eastAsia="Barlow Semi Condensed" w:hAnsi="Barlow Semi Condensed"/>
          <w:sz w:val="24"/>
          <w:szCs w:val="24"/>
        </w:rPr>
        <w:t xml:space="preserve"> Un avvertimento esplicito accompagna il documento: attesta la posizione americana sul Partito comunista e non una posizione di Moro, «che non va inferita». La regola vale anche al rovescio: dal fatto che Moro tacque in quella sede non discendono consenso, dissenso o soggezione. Chiunque colmi quel vuoto lavora al terzo piano e deve dichiararlo. Il verbale è un testimone reticente, non un testimone che nega.</w:t>
      </w:r>
    </w:p>
    <w:p>
      <w:pPr>
        <w:spacing w:after="120" w:line="276"/>
        <w:jc w:val="both"/>
      </w:pPr>
      <w:r>
        <w:rPr>
          <w:rFonts w:ascii="Barlow Semi Condensed" w:cs="Barlow Semi Condensed" w:eastAsia="Barlow Semi Condensed" w:hAnsi="Barlow Semi Condensed"/>
          <w:b/>
          <w:bCs/>
          <w:sz w:val="24"/>
          <w:szCs w:val="24"/>
        </w:rPr>
        <w:t xml:space="preserve">4176 · Che cosa smentirebbe la lettura ordinaria.</w:t>
      </w:r>
      <w:r>
        <w:rPr>
          <w:rFonts w:ascii="Barlow Semi Condensed" w:cs="Barlow Semi Condensed" w:eastAsia="Barlow Semi Condensed" w:hAnsi="Barlow Semi Condensed"/>
          <w:sz w:val="24"/>
          <w:szCs w:val="24"/>
        </w:rPr>
        <w:t xml:space="preserve"> Bersaglio di smentita sul memcon: la lettura secondo cui l'incontro fu ordinaria consultazione fra alleati cadrebbe se emergesse un documento coevo — istruzione, telegramma, appunto — che collegasse quella riunione a una decisione operativa verso l'Italia. Cercarlo è atto istruttorio, non congettura: sede, i Nixon Presidential Materials e le carte Ford per il 1974. Se nulla emerge, l'esito negativo si verbalizza e la lettura ordinaria regge.</w:t>
      </w:r>
    </w:p>
    <w:p>
      <w:pPr>
        <w:spacing w:after="120" w:line="276"/>
        <w:jc w:val="both"/>
      </w:pPr>
      <w:r>
        <w:rPr>
          <w:rFonts w:ascii="Barlow Semi Condensed" w:cs="Barlow Semi Condensed" w:eastAsia="Barlow Semi Condensed" w:hAnsi="Barlow Semi Condensed"/>
          <w:b/>
          <w:bCs/>
          <w:sz w:val="24"/>
          <w:szCs w:val="24"/>
        </w:rPr>
        <w:t xml:space="preserve">4177 · Il Comitato dei 303.</w:t>
      </w:r>
      <w:r>
        <w:rPr>
          <w:rFonts w:ascii="Barlow Semi Condensed" w:cs="Barlow Semi Condensed" w:eastAsia="Barlow Semi Condensed" w:hAnsi="Barlow Semi Condensed"/>
          <w:sz w:val="24"/>
          <w:szCs w:val="24"/>
        </w:rPr>
        <w:t xml:space="preserve"> Sul secondo punto il territorio offre un piano primo diverso: FRUS 1969-1976 volume XLI, Western Europe; NATO 1969-1972, documento 180, verbale della riunione dell'11 marzo 1969 presieduta da Kissinger, con Johnson, Packard e Helms presenti, nella quale Karamessines espose origini e livelli del sostegno coperto ai partiti italiani fra il 1948 e il 1968. È carta primaria, edita, citabile per segnatura.</w:t>
      </w:r>
    </w:p>
    <w:p>
      <w:pPr>
        <w:spacing w:after="120" w:line="276"/>
        <w:jc w:val="both"/>
      </w:pPr>
      <w:r>
        <w:rPr>
          <w:rFonts w:ascii="Barlow Semi Condensed" w:cs="Barlow Semi Condensed" w:eastAsia="Barlow Semi Condensed" w:hAnsi="Barlow Semi Condensed"/>
          <w:b/>
          <w:bCs/>
          <w:sz w:val="24"/>
          <w:szCs w:val="24"/>
        </w:rPr>
        <w:t xml:space="preserve">4178 · L'unanimità e ciò che attesta.</w:t>
      </w:r>
      <w:r>
        <w:rPr>
          <w:rFonts w:ascii="Barlow Semi Condensed" w:cs="Barlow Semi Condensed" w:eastAsia="Barlow Semi Condensed" w:hAnsi="Barlow Semi Condensed"/>
          <w:sz w:val="24"/>
          <w:szCs w:val="24"/>
        </w:rPr>
        <w:t xml:space="preserve"> I presenti convennero all'unanimità che non vi fosse «real justification for resumption of covert funding». Il documento attesta una decisione di non riprendere, non una condotta: è, in questo territorio, l'unico caso in cui una riunione presieduta dal nome studiato produce un esito negativo verbalizzato. Trattarlo come prova del contrario di ciò che dice è l'errore più facile e il più grave.</w:t>
      </w:r>
    </w:p>
    <w:p>
      <w:pPr>
        <w:spacing w:after="120" w:line="276"/>
        <w:jc w:val="both"/>
      </w:pPr>
      <w:r>
        <w:rPr>
          <w:rFonts w:ascii="Barlow Semi Condensed" w:cs="Barlow Semi Condensed" w:eastAsia="Barlow Semi Condensed" w:hAnsi="Barlow Semi Condensed"/>
          <w:b/>
          <w:bCs/>
          <w:sz w:val="24"/>
          <w:szCs w:val="24"/>
        </w:rPr>
        <w:t xml:space="preserve">4179 · La data che scioglie la contemporaneità.</w:t>
      </w:r>
      <w:r>
        <w:rPr>
          <w:rFonts w:ascii="Barlow Semi Condensed" w:cs="Barlow Semi Condensed" w:eastAsia="Barlow Semi Condensed" w:hAnsi="Barlow Semi Condensed"/>
          <w:sz w:val="24"/>
          <w:szCs w:val="24"/>
        </w:rPr>
        <w:t xml:space="preserve"> Il rilievo dirimente è di data: l'11 marzo 1969 Moro non era ministro degli Esteri, lo divenne il 5 agosto. La contemporaneità è solo apparente e non va trattata come nesso — la ricognizione lo scrive espressamente. Vale la stessa regola applicata dal corpus alla vicinanza fra l'espulsione dei missionari dell'aprile 1974 e la Rivoluzione dei garofani: due fatti prossimi non sono per ciò stesso legati.</w:t>
      </w:r>
    </w:p>
    <w:p>
      <w:pPr>
        <w:spacing w:after="120" w:line="276"/>
        <w:jc w:val="both"/>
      </w:pPr>
      <w:r>
        <w:rPr>
          <w:rFonts w:ascii="Barlow Semi Condensed" w:cs="Barlow Semi Condensed" w:eastAsia="Barlow Semi Condensed" w:hAnsi="Barlow Semi Condensed"/>
          <w:b/>
          <w:bCs/>
          <w:sz w:val="24"/>
          <w:szCs w:val="24"/>
        </w:rPr>
        <w:t xml:space="preserve">4180 · Lo studio sull'Italia del dicembre 1969 (serie LV).</w:t>
      </w:r>
      <w:r>
        <w:rPr>
          <w:rFonts w:ascii="Barlow Semi Condensed" w:cs="Barlow Semi Condensed" w:eastAsia="Barlow Semi Condensed" w:hAnsi="Barlow Semi Condensed"/>
          <w:sz w:val="24"/>
          <w:szCs w:val="24"/>
        </w:rPr>
        <w:t xml:space="preserve"> Il documento 188 dello stesso volume registra l'istruzione di Nixon del dicembre 1969 di avviare uno «study on Italy». Qui la data cade dentro il primo mandato di Moro, e la contemporaneità diventa reale: resta però convergenza entro la stessa cornice, non rapporto documentato. Bersaglio: reperire lo studio, il suo esito e i suoi destinatari presso i Nixon Presidential Materials, NSC Files, Country Files: Italy, a College Park.</w:t>
      </w:r>
    </w:p>
    <w:p>
      <w:pPr>
        <w:spacing w:after="120" w:line="276"/>
        <w:jc w:val="both"/>
      </w:pPr>
      <w:r>
        <w:rPr>
          <w:rFonts w:ascii="Barlow Semi Condensed" w:cs="Barlow Semi Condensed" w:eastAsia="Barlow Semi Condensed" w:hAnsi="Barlow Semi Condensed"/>
          <w:b/>
          <w:bCs/>
          <w:sz w:val="24"/>
          <w:szCs w:val="24"/>
        </w:rPr>
        <w:t xml:space="preserve">4181 · Il riemergere del 1975 e 1976.</w:t>
      </w:r>
      <w:r>
        <w:rPr>
          <w:rFonts w:ascii="Barlow Semi Condensed" w:cs="Barlow Semi Condensed" w:eastAsia="Barlow Semi Condensed" w:hAnsi="Barlow Semi Condensed"/>
          <w:sz w:val="24"/>
          <w:szCs w:val="24"/>
        </w:rPr>
        <w:t xml:space="preserve"> Il saggio pubblicato in Diplomacy &amp; Statecraft nel 2024, citato dalla ricognizione, segnala che il programma di azione coperta in Italia riemerse nel novembre 1975 e nel luglio 1976. In quelle date Moro era presidente del Consiglio e l'interlocutore americano ancora segretario di Stato. È secondo piano: due presenze nella stessa cornice temporale. Un saggio peer-reviewed indica dove cercare; non sostituisce il documento primario che manca.</w:t>
      </w:r>
    </w:p>
    <w:p>
      <w:pPr>
        <w:spacing w:after="120" w:line="276"/>
        <w:jc w:val="both"/>
      </w:pPr>
      <w:r>
        <w:rPr>
          <w:rFonts w:ascii="Barlow Semi Condensed" w:cs="Barlow Semi Condensed" w:eastAsia="Barlow Semi Condensed" w:hAnsi="Barlow Semi Condensed"/>
          <w:b/>
          <w:bCs/>
          <w:sz w:val="24"/>
          <w:szCs w:val="24"/>
        </w:rPr>
        <w:t xml:space="preserve">4182 · I Telegrammi esclusi dalla consultazione.</w:t>
      </w:r>
      <w:r>
        <w:rPr>
          <w:rFonts w:ascii="Barlow Semi Condensed" w:cs="Barlow Semi Condensed" w:eastAsia="Barlow Semi Condensed" w:hAnsi="Barlow Semi Condensed"/>
          <w:sz w:val="24"/>
          <w:szCs w:val="24"/>
        </w:rPr>
        <w:t xml:space="preserve"> Il rovescio italiano dell'intero fascicolo americano 1969-1972 giace nella serie Telegrammi 1942-1970 dell'Archivio Storico Diplomatico, temporaneamente esclusa dalla consultazione per lavori, come tre documenti della cartella accertano concordemente. L'esclusione copre esattamente gli anni in cui i documenti 180 e 188 furono redatti. Non è vuoto di fatto ma limite di accesso: la condizione di chiusura è la riapertura della serie.</w:t>
      </w:r>
    </w:p>
    <w:p>
      <w:pPr>
        <w:spacing w:after="120" w:line="276"/>
        <w:jc w:val="both"/>
      </w:pPr>
      <w:r>
        <w:rPr>
          <w:rFonts w:ascii="Barlow Semi Condensed" w:cs="Barlow Semi Condensed" w:eastAsia="Barlow Semi Condensed" w:hAnsi="Barlow Semi Condensed"/>
          <w:b/>
          <w:bCs/>
          <w:sz w:val="24"/>
          <w:szCs w:val="24"/>
        </w:rPr>
        <w:t xml:space="preserve">4183 · Senza primario nessuna regia.</w:t>
      </w:r>
      <w:r>
        <w:rPr>
          <w:rFonts w:ascii="Barlow Semi Condensed" w:cs="Barlow Semi Condensed" w:eastAsia="Barlow Semi Condensed" w:hAnsi="Barlow Semi Condensed"/>
          <w:sz w:val="24"/>
          <w:szCs w:val="24"/>
        </w:rPr>
        <w:t xml:space="preserve"> Il blocco 221 dell'agenda impone la regola a ogni versione che ponga una regia estera: cercare il documento primario che la sosterrebbe e dichiarare Stato Zero dove non c'è. Applicata qui, dice che nessuna carta del territorio collega le decisioni americane del 1969 e del 1975-1976 a un atto verso Moro ministro. La porta resta chiusa, e il criterio di riapertura è documentale.</w:t>
      </w:r>
    </w:p>
    <w:p>
      <w:pPr>
        <w:spacing w:after="120" w:line="276"/>
        <w:jc w:val="both"/>
      </w:pPr>
      <w:r>
        <w:rPr>
          <w:rFonts w:ascii="Barlow Semi Condensed" w:cs="Barlow Semi Condensed" w:eastAsia="Barlow Semi Condensed" w:hAnsi="Barlow Semi Condensed"/>
          <w:b/>
          <w:bCs/>
          <w:sz w:val="24"/>
          <w:szCs w:val="24"/>
        </w:rPr>
        <w:t xml:space="preserve">4184 · Il volume XLI come contenitore.</w:t>
      </w:r>
      <w:r>
        <w:rPr>
          <w:rFonts w:ascii="Barlow Semi Condensed" w:cs="Barlow Semi Condensed" w:eastAsia="Barlow Semi Condensed" w:hAnsi="Barlow Semi Condensed"/>
          <w:sz w:val="24"/>
          <w:szCs w:val="24"/>
        </w:rPr>
        <w:t xml:space="preserve"> Quattro documenti di un solo volume reggono buona parte del versante americano della cartella: il 180 sul sostegno coperto, il 182 sul colloquio con Moro del 2 settembre 1971, il 188 sullo studio del dicembre 1969, il 303 sullo scandalo MATESA nel capitolo spagnolo. Sono omologhi per origine editoriale, non per contenuto: l'omologia archivistica autorizza a leggerli insieme, la somiglianza tematica no.</w:t>
      </w:r>
    </w:p>
    <w:p>
      <w:pPr>
        <w:spacing w:after="120" w:line="276"/>
        <w:jc w:val="both"/>
      </w:pPr>
      <w:r>
        <w:rPr>
          <w:rFonts w:ascii="Barlow Semi Condensed" w:cs="Barlow Semi Condensed" w:eastAsia="Barlow Semi Condensed" w:hAnsi="Barlow Semi Condensed"/>
          <w:b/>
          <w:bCs/>
          <w:sz w:val="24"/>
          <w:szCs w:val="24"/>
        </w:rPr>
        <w:t xml:space="preserve">4185 · Il colloquio del 2 settembre 1971 (serie LV).</w:t>
      </w:r>
      <w:r>
        <w:rPr>
          <w:rFonts w:ascii="Barlow Semi Condensed" w:cs="Barlow Semi Condensed" w:eastAsia="Barlow Semi Condensed" w:hAnsi="Barlow Semi Condensed"/>
          <w:sz w:val="24"/>
          <w:szCs w:val="24"/>
        </w:rPr>
        <w:t xml:space="preserve"> Il colloquio con Moro sulla rappresentanza cinese alle Nazioni Unite sta al documento 182, ma l'interlocutore americano vi è l'incaricato d'affari, non il consigliere per la sicurezza nazionale. La ricognizione greca lo cita per attestare la prassi dei colloqui bilaterali fra il Dipartimento di Stato e Moro: prassi accertata, con controparte diversa. Il nome studiato non compare, e l'assenza va scritta con la sua segnatura.</w:t>
      </w:r>
    </w:p>
    <w:p>
      <w:pPr>
        <w:spacing w:after="120" w:line="276"/>
        <w:jc w:val="both"/>
      </w:pPr>
      <w:r>
        <w:rPr>
          <w:rFonts w:ascii="Barlow Semi Condensed" w:cs="Barlow Semi Condensed" w:eastAsia="Barlow Semi Condensed" w:hAnsi="Barlow Semi Condensed"/>
          <w:b/>
          <w:bCs/>
          <w:sz w:val="24"/>
          <w:szCs w:val="24"/>
        </w:rPr>
        <w:t xml:space="preserve">4186 · I verbali mai reperiti.</w:t>
      </w:r>
      <w:r>
        <w:rPr>
          <w:rFonts w:ascii="Barlow Semi Condensed" w:cs="Barlow Semi Condensed" w:eastAsia="Barlow Semi Condensed" w:hAnsi="Barlow Semi Condensed"/>
          <w:sz w:val="24"/>
          <w:szCs w:val="24"/>
        </w:rPr>
        <w:t xml:space="preserve"> Fra gli esiti negativi del capitolo IV: non sono stati reperiti verbali editi di colloqui diretti Moro-Nixon o Moro-Rogers per il 1969-1972, comparabili per completezza a quello del 1974. Sede indicata: la serie FRUS e i Nixon Presidential Materials, NSC Files, Country Files: Italy, ai National Archives di College Park. Condizione di chiusura: lo spoglio dei volumi europei e mediterranei non esaminati.</w:t>
      </w:r>
    </w:p>
    <w:p>
      <w:pPr>
        <w:spacing w:after="120" w:line="276"/>
        <w:jc w:val="both"/>
      </w:pPr>
      <w:r>
        <w:rPr>
          <w:rFonts w:ascii="Barlow Semi Condensed" w:cs="Barlow Semi Condensed" w:eastAsia="Barlow Semi Condensed" w:hAnsi="Barlow Semi Condensed"/>
          <w:b/>
          <w:bCs/>
          <w:sz w:val="24"/>
          <w:szCs w:val="24"/>
        </w:rPr>
        <w:t xml:space="preserve">4187 · L'esito negativo esteso al nome.</w:t>
      </w:r>
      <w:r>
        <w:rPr>
          <w:rFonts w:ascii="Barlow Semi Condensed" w:cs="Barlow Semi Condensed" w:eastAsia="Barlow Semi Condensed" w:hAnsi="Barlow Semi Condensed"/>
          <w:sz w:val="24"/>
          <w:szCs w:val="24"/>
        </w:rPr>
        <w:t xml:space="preserve"> Quell'esito negativo tace su un terzo binomio, e va esteso esplicitamente: nemmeno un verbale Moro-Kissinger anteriore al 1973 è stato reperito, e sarebbe stato possibile solo con l'assistente per la sicurezza nazionale, poiché la titolarità del Dipartimento restò a Rogers fino al 22 settembre 1973. Lo Stato Zero si dichiara qui per la prima volta, con la medesima sede di chiusura.</w:t>
      </w:r>
    </w:p>
    <w:p>
      <w:pPr>
        <w:spacing w:after="120" w:line="276"/>
        <w:jc w:val="both"/>
      </w:pPr>
      <w:r>
        <w:rPr>
          <w:rFonts w:ascii="Barlow Semi Condensed" w:cs="Barlow Semi Condensed" w:eastAsia="Barlow Semi Condensed" w:hAnsi="Barlow Semi Condensed"/>
          <w:b/>
          <w:bCs/>
          <w:sz w:val="24"/>
          <w:szCs w:val="24"/>
        </w:rPr>
        <w:t xml:space="preserve">4188 · L'omonimia dei due Rogers.</w:t>
      </w:r>
      <w:r>
        <w:rPr>
          <w:rFonts w:ascii="Barlow Semi Condensed" w:cs="Barlow Semi Condensed" w:eastAsia="Barlow Semi Condensed" w:hAnsi="Barlow Semi Condensed"/>
          <w:sz w:val="24"/>
          <w:szCs w:val="24"/>
        </w:rPr>
        <w:t xml:space="preserve"> Avvertenza da conservare, sul modello di quella già scritta per i due Jardim: il Rogers nominato dal documento CIA del 22 maggio 1970 e dagli esiti negativi della ricognizione è il segretario di Stato William Rogers; il Rogers che nell'ottobre 1980 mediò il rientro greco nella struttura militare integrata è il generale Bernard Rogers, comandante supremo alleato. Sono persone distinte e non vanno confuse in alcuna sintesi.</w:t>
      </w:r>
    </w:p>
    <w:p>
      <w:pPr>
        <w:spacing w:after="120" w:line="276"/>
        <w:jc w:val="both"/>
      </w:pPr>
      <w:r>
        <w:rPr>
          <w:rFonts w:ascii="Barlow Semi Condensed" w:cs="Barlow Semi Condensed" w:eastAsia="Barlow Semi Condensed" w:hAnsi="Barlow Semi Condensed"/>
          <w:b/>
          <w:bCs/>
          <w:sz w:val="24"/>
          <w:szCs w:val="24"/>
        </w:rPr>
        <w:t xml:space="preserve">4189 · L'ufficiale italiano rimasto anonimo.</w:t>
      </w:r>
      <w:r>
        <w:rPr>
          <w:rFonts w:ascii="Barlow Semi Condensed" w:cs="Barlow Semi Condensed" w:eastAsia="Barlow Semi Condensed" w:hAnsi="Barlow Semi Condensed"/>
          <w:sz w:val="24"/>
          <w:szCs w:val="24"/>
        </w:rPr>
        <w:t xml:space="preserve"> Il Weekly Summary Special Report della CIA del 22 maggio 1970, protocollo CIA-RDP85T00875R001500020027-1, contiene la frase su «an Italian official» che non va attribuita a Moro: la triangolazione della seconda campagna la dichiara punto epistemologicamente più delicato dell'intera campagna. Il divieto vale simmetricamente sull'altro versante: nessun documento del territorio nomina il destinatario americano di quella valutazione, e nessuna catena di comando va ricostruita per verosimiglianza.</w:t>
      </w:r>
    </w:p>
    <w:p>
      <w:pPr>
        <w:spacing w:after="120" w:line="276"/>
        <w:jc w:val="both"/>
      </w:pPr>
      <w:r>
        <w:rPr>
          <w:rFonts w:ascii="Barlow Semi Condensed" w:cs="Barlow Semi Condensed" w:eastAsia="Barlow Semi Condensed" w:hAnsi="Barlow Semi Condensed"/>
          <w:b/>
          <w:bCs/>
          <w:sz w:val="24"/>
          <w:szCs w:val="24"/>
        </w:rPr>
        <w:t xml:space="preserve">4190 · Bruxelles, 4 luglio 1974.</w:t>
      </w:r>
      <w:r>
        <w:rPr>
          <w:rFonts w:ascii="Barlow Semi Condensed" w:cs="Barlow Semi Condensed" w:eastAsia="Barlow Semi Condensed" w:hAnsi="Barlow Semi Condensed"/>
          <w:sz w:val="24"/>
          <w:szCs w:val="24"/>
        </w:rPr>
        <w:t xml:space="preserve"> Nel documento 16 del volume XXX il segretario generale della NATO Joseph Luns convoca gli ambasciatori di Stati Uniti, Regno Unito, Francia, Repubblica Federale, Italia e Belgio sulla disputa greco-turca. L'Italia c'è come sedia, non come nome: il documento non registra chi parlò per Roma né che cosa disse. È cornice istituzionale accertata, e sarebbe abuso leggervi una concertazione o un rapporto personale.</w:t>
      </w:r>
    </w:p>
    <w:p>
      <w:pPr>
        <w:spacing w:after="120" w:line="276"/>
        <w:jc w:val="both"/>
      </w:pPr>
      <w:r>
        <w:rPr>
          <w:rFonts w:ascii="Barlow Semi Condensed" w:cs="Barlow Semi Condensed" w:eastAsia="Barlow Semi Condensed" w:hAnsi="Barlow Semi Condensed"/>
          <w:b/>
          <w:bCs/>
          <w:sz w:val="24"/>
          <w:szCs w:val="24"/>
        </w:rPr>
        <w:t xml:space="preserve">4191 · Il documento 23 e la firma (serie LV).</w:t>
      </w:r>
      <w:r>
        <w:rPr>
          <w:rFonts w:ascii="Barlow Semi Condensed" w:cs="Barlow Semi Condensed" w:eastAsia="Barlow Semi Condensed" w:hAnsi="Barlow Semi Condensed"/>
          <w:sz w:val="24"/>
          <w:szCs w:val="24"/>
        </w:rPr>
        <w:t xml:space="preserve"> Il telegramma del Dipartimento di Stato alla missione presso la NATO del 30 agosto 1974 istruisce di aprire discussioni bilaterali informali con Luns e con alleati selezionati — Regno Unito, Repubblica Federale, Italia e Belgio o Paesi Bassi — escludendo la Francia perché fuori dal Defence Planning Committee. Bersaglio puntuale: accertare la riga di firma del telegramma, che la ricognizione non riporta. La firma decide il piano.</w:t>
      </w:r>
    </w:p>
    <w:p>
      <w:pPr>
        <w:spacing w:after="120" w:line="276"/>
        <w:jc w:val="both"/>
      </w:pPr>
      <w:r>
        <w:rPr>
          <w:rFonts w:ascii="Barlow Semi Condensed" w:cs="Barlow Semi Condensed" w:eastAsia="Barlow Semi Condensed" w:hAnsi="Barlow Semi Condensed"/>
          <w:b/>
          <w:bCs/>
          <w:sz w:val="24"/>
          <w:szCs w:val="24"/>
        </w:rPr>
        <w:t xml:space="preserve">4192 · Il rilievo del rappresentante belga.</w:t>
      </w:r>
      <w:r>
        <w:rPr>
          <w:rFonts w:ascii="Barlow Semi Condensed" w:cs="Barlow Semi Condensed" w:eastAsia="Barlow Semi Condensed" w:hAnsi="Barlow Semi Condensed"/>
          <w:sz w:val="24"/>
          <w:szCs w:val="24"/>
        </w:rPr>
        <w:t xml:space="preserve"> Datato 16 settembre 1974, il documento 25 è un telegramma della missione statunitense presso la NATO: attesta che dal 14 agosto tutte le unità greche erano ritirate da assegnazione e destinazione all'Alleanza, e registra il rilievo di de Staercke sulla curiosità del fatto che Atene non avesse ritirato i propri rappresentanti dal Comitato militare. Il nome studiato non vi compare: si cita l'istituzione, non la persona.</w:t>
      </w:r>
    </w:p>
    <w:p>
      <w:pPr>
        <w:spacing w:after="120" w:line="276"/>
        <w:jc w:val="both"/>
      </w:pPr>
      <w:r>
        <w:rPr>
          <w:rFonts w:ascii="Barlow Semi Condensed" w:cs="Barlow Semi Condensed" w:eastAsia="Barlow Semi Condensed" w:hAnsi="Barlow Semi Condensed"/>
          <w:b/>
          <w:bCs/>
          <w:sz w:val="24"/>
          <w:szCs w:val="24"/>
        </w:rPr>
        <w:t xml:space="preserve">4193 · La divergenza sulla data del ritiro.</w:t>
      </w:r>
      <w:r>
        <w:rPr>
          <w:rFonts w:ascii="Barlow Semi Condensed" w:cs="Barlow Semi Condensed" w:eastAsia="Barlow Semi Condensed" w:hAnsi="Barlow Semi Condensed"/>
          <w:sz w:val="24"/>
          <w:szCs w:val="24"/>
        </w:rPr>
        <w:t xml:space="preserve"> Le fonti divergono e la divergenza si riporta: 14 agosto 1974 secondo il sito ufficiale della NATO e il FRUS, 17 agosto secondo il portale CVCE, 4 agosto secondo la rivista The Athenian. La ricognizione greca la segnala già al capitolo V. Chi costruisca cronologie di consultazione atlantica su una sola di queste date costruisce su un dato contestato, e deve dichiararlo prima di trarne conseguenze.</w:t>
      </w:r>
    </w:p>
    <w:p>
      <w:pPr>
        <w:spacing w:after="120" w:line="276"/>
        <w:jc w:val="both"/>
      </w:pPr>
      <w:r>
        <w:rPr>
          <w:rFonts w:ascii="Barlow Semi Condensed" w:cs="Barlow Semi Condensed" w:eastAsia="Barlow Semi Condensed" w:hAnsi="Barlow Semi Condensed"/>
          <w:b/>
          <w:bCs/>
          <w:sz w:val="24"/>
          <w:szCs w:val="24"/>
        </w:rPr>
        <w:t xml:space="preserve">4194 · Consultata, non mediatrice né garante.</w:t>
      </w:r>
      <w:r>
        <w:rPr>
          <w:rFonts w:ascii="Barlow Semi Condensed" w:cs="Barlow Semi Condensed" w:eastAsia="Barlow Semi Condensed" w:hAnsi="Barlow Semi Condensed"/>
          <w:sz w:val="24"/>
          <w:szCs w:val="24"/>
        </w:rPr>
        <w:t xml:space="preserve"> Il capitolo III della ricognizione turca fissa la formula esatta: l'Italia non era potenza garante di Cipro, non sedeva nel Consiglio di Sicurezza nel 1974, non contribuiva a UNFICYP; era parte del meccanismo consultivo atlantico. Questo attestano i documenti 16 e 23 del volume XXX. Attribuire a Roma un ruolo di mediazione, o al suo ministro un rapporto col vertice americano su Cipro, eccede la carta.</w:t>
      </w:r>
    </w:p>
    <w:p>
      <w:pPr>
        <w:spacing w:after="120" w:line="276"/>
        <w:jc w:val="both"/>
      </w:pPr>
      <w:r>
        <w:rPr>
          <w:rFonts w:ascii="Barlow Semi Condensed" w:cs="Barlow Semi Condensed" w:eastAsia="Barlow Semi Condensed" w:hAnsi="Barlow Semi Condensed"/>
          <w:b/>
          <w:bCs/>
          <w:sz w:val="24"/>
          <w:szCs w:val="24"/>
        </w:rPr>
        <w:t xml:space="preserve">4195 · Il contenuto della posizione italiana.</w:t>
      </w:r>
      <w:r>
        <w:rPr>
          <w:rFonts w:ascii="Barlow Semi Condensed" w:cs="Barlow Semi Condensed" w:eastAsia="Barlow Semi Condensed" w:hAnsi="Barlow Semi Condensed"/>
          <w:sz w:val="24"/>
          <w:szCs w:val="24"/>
        </w:rPr>
        <w:t xml:space="preserve"> Che l'Italia fosse consultata è accertato; che cosa rispose non lo è. La ricognizione greca colloca al terzo posto della propria tavola la documentazione della Rappresentanza italiana presso la NATO per l'agosto-settembre 1974, per accertare il contenuto e non solo l'esistenza della posizione italiana. Finché quel fondo tace, ogni ricostruzione del dialogo Roma-Washington in quelle settimane resta ferma al secondo piano.</w:t>
      </w:r>
    </w:p>
    <w:p>
      <w:pPr>
        <w:spacing w:after="120" w:line="276"/>
        <w:jc w:val="both"/>
      </w:pPr>
      <w:r>
        <w:rPr>
          <w:rFonts w:ascii="Barlow Semi Condensed" w:cs="Barlow Semi Condensed" w:eastAsia="Barlow Semi Condensed" w:hAnsi="Barlow Semi Condensed"/>
          <w:b/>
          <w:bCs/>
          <w:sz w:val="24"/>
          <w:szCs w:val="24"/>
        </w:rPr>
        <w:t xml:space="preserve">4196 · Le ministeriali dell'Alleanza 1969-1974.</w:t>
      </w:r>
      <w:r>
        <w:rPr>
          <w:rFonts w:ascii="Barlow Semi Condensed" w:cs="Barlow Semi Condensed" w:eastAsia="Barlow Semi Condensed" w:hAnsi="Barlow Semi Condensed"/>
          <w:sz w:val="24"/>
          <w:szCs w:val="24"/>
        </w:rPr>
        <w:t xml:space="preserve"> Il capitolo 5 di documenti-italiani-spagnoli-opus-dei dichiara Stato Zero su quattro voci: la posizione italiana nel Nuclear Planning Group, il riequilibrio della flotta sovietica nel Mediterraneo, le riunioni ministeriali NATO 1969-1974 con Moro presente, i rapporti con Atene e Ankara. Sedi indicate: l'Archivio storico-diplomatico, serie NATO, il NATO Archives Online e i FRUS. È il bersaglio più direttamente pertinente a questa serie.</w:t>
      </w:r>
    </w:p>
    <w:p>
      <w:pPr>
        <w:spacing w:after="120" w:line="276"/>
        <w:jc w:val="both"/>
      </w:pPr>
      <w:r>
        <w:rPr>
          <w:rFonts w:ascii="Barlow Semi Condensed" w:cs="Barlow Semi Condensed" w:eastAsia="Barlow Semi Condensed" w:hAnsi="Barlow Semi Condensed"/>
          <w:b/>
          <w:bCs/>
          <w:sz w:val="24"/>
          <w:szCs w:val="24"/>
        </w:rPr>
        <w:t xml:space="preserve">4197 · La compresenza va verificata.</w:t>
      </w:r>
      <w:r>
        <w:rPr>
          <w:rFonts w:ascii="Barlow Semi Condensed" w:cs="Barlow Semi Condensed" w:eastAsia="Barlow Semi Condensed" w:hAnsi="Barlow Semi Condensed"/>
          <w:sz w:val="24"/>
          <w:szCs w:val="24"/>
        </w:rPr>
        <w:t xml:space="preserve"> Bersaglio derivato e finora non scritto: accertare, sui verbali del Consiglio atlantico a livello ministeriale conservati dal NATO Archives Online, se e in quali sessioni fra il dicembre 1973 e il novembre 1974 il ministro italiano e il segretario di Stato americano sedessero allo stesso tavolo. La compresenza, se documentata, resta comunanza di ambiente: non prova un colloquio, e tantomeno un contenuto.</w:t>
      </w:r>
    </w:p>
    <w:p>
      <w:pPr>
        <w:spacing w:after="120" w:line="276"/>
        <w:jc w:val="both"/>
      </w:pPr>
      <w:r>
        <w:rPr>
          <w:rFonts w:ascii="Barlow Semi Condensed" w:cs="Barlow Semi Condensed" w:eastAsia="Barlow Semi Condensed" w:hAnsi="Barlow Semi Condensed"/>
          <w:b/>
          <w:bCs/>
          <w:sz w:val="24"/>
          <w:szCs w:val="24"/>
        </w:rPr>
        <w:t xml:space="preserve">4198 · L'appartenenza atlantica non basta.</w:t>
      </w:r>
      <w:r>
        <w:rPr>
          <w:rFonts w:ascii="Barlow Semi Condensed" w:cs="Barlow Semi Condensed" w:eastAsia="Barlow Semi Condensed" w:hAnsi="Barlow Semi Condensed"/>
          <w:sz w:val="24"/>
          <w:szCs w:val="24"/>
        </w:rPr>
        <w:t xml:space="preserve"> Una regola è enunciata con parole proprie dalla ricognizione turca: si eviti di trattare la comune appartenenza atlantica come prova di una convergenza attiva, essa è al più comunanza di ambiente istituzionale. La regola replica quella generale del corpus sull'appartenenza a un'organizzazione, e va applicata anche quando l'organizzazione è un'alleanza militare e non un ente confessionale o una loggia disciolta.</w:t>
      </w:r>
    </w:p>
    <w:p>
      <w:pPr>
        <w:spacing w:after="120" w:line="276"/>
        <w:jc w:val="both"/>
      </w:pPr>
      <w:r>
        <w:rPr>
          <w:rFonts w:ascii="Barlow Semi Condensed" w:cs="Barlow Semi Condensed" w:eastAsia="Barlow Semi Condensed" w:hAnsi="Barlow Semi Condensed"/>
          <w:b/>
          <w:bCs/>
          <w:sz w:val="24"/>
          <w:szCs w:val="24"/>
        </w:rPr>
        <w:t xml:space="preserve">4199 · L'embargo del 1975 e il silenzio.</w:t>
      </w:r>
      <w:r>
        <w:rPr>
          <w:rFonts w:ascii="Barlow Semi Condensed" w:cs="Barlow Semi Condensed" w:eastAsia="Barlow Semi Condensed" w:hAnsi="Barlow Semi Condensed"/>
          <w:sz w:val="24"/>
          <w:szCs w:val="24"/>
        </w:rPr>
        <w:t xml:space="preserve"> Sull'embargo statunitense alle forniture militari ad Ankara, deliberato nel dicembre 1974 ed entrato in vigore il 5 febbraio 1975, la ricognizione turca dichiara di non aver trovato dichiarazioni del governo italiano né atti della Farnesina. Sedi di chiusura: l'Archivio Storico Diplomatico per la corrispondenza con la rappresentanza atlantica e la documentazione del comando alleato. L'interesse oggettivo italiano si inferisce; l'inferenza non è accertamento.</w:t>
      </w:r>
    </w:p>
    <w:p>
      <w:pPr>
        <w:spacing w:after="120" w:line="276"/>
        <w:jc w:val="both"/>
      </w:pPr>
      <w:r>
        <w:rPr>
          <w:rFonts w:ascii="Barlow Semi Condensed" w:cs="Barlow Semi Condensed" w:eastAsia="Barlow Semi Condensed" w:hAnsi="Barlow Semi Condensed"/>
          <w:b/>
          <w:bCs/>
          <w:sz w:val="24"/>
          <w:szCs w:val="24"/>
        </w:rPr>
        <w:t xml:space="preserve">4200 · Il ventre della NATO come cornice.</w:t>
      </w:r>
      <w:r>
        <w:rPr>
          <w:rFonts w:ascii="Barlow Semi Condensed" w:cs="Barlow Semi Condensed" w:eastAsia="Barlow Semi Condensed" w:hAnsi="Barlow Semi Condensed"/>
          <w:sz w:val="24"/>
          <w:szCs w:val="24"/>
        </w:rPr>
        <w:t xml:space="preserve"> La contestualizzazione dell'Italia come ventre dell'Alleanza e la percezione americana del suo valore strategico crescente nel 1974 — con Grecia, Portogallo e Spagna in crisi simultanea — poggia, nella cartella, su fonte pubblicistica militante e va usata come cornice, mai come prova. È l'esatto contrario di un ponte: una suggestione ambientale che, promossa a nesso, produrrebbe terzo piano travestito da primo.</w:t>
      </w:r>
    </w:p>
    <w:p>
      <w:pPr>
        <w:spacing w:after="120" w:line="276"/>
        <w:jc w:val="both"/>
      </w:pPr>
      <w:r>
        <w:rPr>
          <w:rFonts w:ascii="Barlow Semi Condensed" w:cs="Barlow Semi Condensed" w:eastAsia="Barlow Semi Condensed" w:hAnsi="Barlow Semi Condensed"/>
          <w:b/>
          <w:bCs/>
          <w:sz w:val="24"/>
          <w:szCs w:val="24"/>
        </w:rPr>
        <w:t xml:space="preserve">4201 · Strasburgo, dicembre 1969.</w:t>
      </w:r>
      <w:r>
        <w:rPr>
          <w:rFonts w:ascii="Barlow Semi Condensed" w:cs="Barlow Semi Condensed" w:eastAsia="Barlow Semi Condensed" w:hAnsi="Barlow Semi Condensed"/>
          <w:sz w:val="24"/>
          <w:szCs w:val="24"/>
        </w:rPr>
        <w:t xml:space="preserve"> Al capitolo II della ricognizione greca sono accertate la Risoluzione (69) 51 del Comitato dei Ministri del Consiglio d'Europa e la notifica greca di ritiro del 12 dicembre 1969, con la seduta presieduta da Moro; il volume XXIX dei FRUS, documento 264, lo attesta dal lato americano. Il nome studiato non compare in quel documento: Stato Zero, chiudibile sul volume XXIX e sulle carte NSC per la Grecia.</w:t>
      </w:r>
    </w:p>
    <w:p>
      <w:pPr>
        <w:spacing w:after="120" w:line="276"/>
        <w:jc w:val="both"/>
      </w:pPr>
      <w:r>
        <w:rPr>
          <w:rFonts w:ascii="Barlow Semi Condensed" w:cs="Barlow Semi Condensed" w:eastAsia="Barlow Semi Condensed" w:hAnsi="Barlow Semi Condensed"/>
          <w:b/>
          <w:bCs/>
          <w:sz w:val="24"/>
          <w:szCs w:val="24"/>
        </w:rPr>
        <w:t xml:space="preserve">4202 · Una formula pubblicistica da correggere.</w:t>
      </w:r>
      <w:r>
        <w:rPr>
          <w:rFonts w:ascii="Barlow Semi Condensed" w:cs="Barlow Semi Condensed" w:eastAsia="Barlow Semi Condensed" w:hAnsi="Barlow Semi Condensed"/>
          <w:sz w:val="24"/>
          <w:szCs w:val="24"/>
        </w:rPr>
        <w:t xml:space="preserve"> «Espulsione della Grecia decretata da Moro» è formula pubblicistica che la fonte primaria corregge: Atene si ritirò per prevenire il voto, con effetto differito al 31 dicembre 1970, e l'iniziativa della risoluzione era tedesca. La ricognizione lo scrive. La lezione vale per ogni personalizzazione di atti collegiali, compresa quella che attribuisce a un singolo segretario di Stato decisioni prese da apparati multipli.</w:t>
      </w:r>
    </w:p>
    <w:p>
      <w:pPr>
        <w:spacing w:after="120" w:line="276"/>
        <w:jc w:val="both"/>
      </w:pPr>
      <w:r>
        <w:rPr>
          <w:rFonts w:ascii="Barlow Semi Condensed" w:cs="Barlow Semi Condensed" w:eastAsia="Barlow Semi Condensed" w:hAnsi="Barlow Semi Condensed"/>
          <w:b/>
          <w:bCs/>
          <w:sz w:val="24"/>
          <w:szCs w:val="24"/>
        </w:rPr>
        <w:t xml:space="preserve">4203 · La tesi del dodici dicembre.</w:t>
      </w:r>
      <w:r>
        <w:rPr>
          <w:rFonts w:ascii="Barlow Semi Condensed" w:cs="Barlow Semi Condensed" w:eastAsia="Barlow Semi Condensed" w:hAnsi="Barlow Semi Condensed"/>
          <w:sz w:val="24"/>
          <w:szCs w:val="24"/>
        </w:rPr>
        <w:t xml:space="preserve"> La tesi di Deliolanes su una rappresaglia greca — la data del 12 dicembre 1969 scelta per piazza Fontana e per attentati a Cipro — è registrata dalla ricognizione come ipotesi circolante di taglio giornalistico-documentario, non come fatto accertato. Appartiene alla storiografia sulla strategia della tensione. Nessuna carta del territorio la collega ad apparati americani, e il collegamento non va costruito per prossimità di calendario.</w:t>
      </w:r>
    </w:p>
    <w:p>
      <w:pPr>
        <w:spacing w:after="120" w:line="276"/>
        <w:jc w:val="both"/>
      </w:pPr>
      <w:r>
        <w:rPr>
          <w:rFonts w:ascii="Barlow Semi Condensed" w:cs="Barlow Semi Condensed" w:eastAsia="Barlow Semi Condensed" w:hAnsi="Barlow Semi Condensed"/>
          <w:b/>
          <w:bCs/>
          <w:sz w:val="24"/>
          <w:szCs w:val="24"/>
        </w:rPr>
        <w:t xml:space="preserve">4204 · Cipro, luglio-novembre 1974.</w:t>
      </w:r>
      <w:r>
        <w:rPr>
          <w:rFonts w:ascii="Barlow Semi Condensed" w:cs="Barlow Semi Condensed" w:eastAsia="Barlow Semi Condensed" w:hAnsi="Barlow Semi Condensed"/>
          <w:sz w:val="24"/>
          <w:szCs w:val="24"/>
        </w:rPr>
        <w:t xml:space="preserve"> Esito negativo importante della ricognizione greca: nella documentazione reperita non compaiono dichiarazioni testuali di Moro su Cipro fra luglio e novembre 1974. Sedi di accertamento: i resoconti stenografici di Camera e Senato della sesta legislatura, non coperti dalla banca dati del sindacato ispettivo che parte dal 5 luglio 1976, e la serie Cipro dell'Archivio Storico Diplomatico. Lo spoglio è manuale e materialmente fattibile.</w:t>
      </w:r>
    </w:p>
    <w:p>
      <w:pPr>
        <w:spacing w:after="120" w:line="276"/>
        <w:jc w:val="both"/>
      </w:pPr>
      <w:r>
        <w:rPr>
          <w:rFonts w:ascii="Barlow Semi Condensed" w:cs="Barlow Semi Condensed" w:eastAsia="Barlow Semi Condensed" w:hAnsi="Barlow Semi Condensed"/>
          <w:b/>
          <w:bCs/>
          <w:sz w:val="24"/>
          <w:szCs w:val="24"/>
        </w:rPr>
        <w:t xml:space="preserve">4205 · Il memorandum sugli oppiacei turchi.</w:t>
      </w:r>
      <w:r>
        <w:rPr>
          <w:rFonts w:ascii="Barlow Semi Condensed" w:cs="Barlow Semi Condensed" w:eastAsia="Barlow Semi Condensed" w:hAnsi="Barlow Semi Condensed"/>
          <w:sz w:val="24"/>
          <w:szCs w:val="24"/>
        </w:rPr>
        <w:t xml:space="preserve"> Un secondo rapporto diretto documentato sta nel dossier degli oppiacei: il memorandum di Henry Kissinger al presidente Ford, documento 208 del volume XXX, che qualifica la revoca del divieto come materia da decisione presidenziale, ricorda l'oppio turco come principale fonte dell'eroina contrabbandata negli Stati Uniti e il declino della tossicodipendenza seguito al divieto del 1971. Moro non vi compare in alcuna riga.</w:t>
      </w:r>
    </w:p>
    <w:p>
      <w:pPr>
        <w:spacing w:after="120" w:line="276"/>
        <w:jc w:val="both"/>
      </w:pPr>
      <w:r>
        <w:rPr>
          <w:rFonts w:ascii="Barlow Semi Condensed" w:cs="Barlow Semi Condensed" w:eastAsia="Barlow Semi Condensed" w:hAnsi="Barlow Semi Condensed"/>
          <w:b/>
          <w:bCs/>
          <w:sz w:val="24"/>
          <w:szCs w:val="24"/>
        </w:rPr>
        <w:t xml:space="preserve">4206 · Il memorandum decisionale 267.</w:t>
      </w:r>
      <w:r>
        <w:rPr>
          <w:rFonts w:ascii="Barlow Semi Condensed" w:cs="Barlow Semi Condensed" w:eastAsia="Barlow Semi Condensed" w:hAnsi="Barlow Semi Condensed"/>
          <w:sz w:val="24"/>
          <w:szCs w:val="24"/>
        </w:rPr>
        <w:t xml:space="preserve"> Il National Security Decision Memorandum 267 del 23 agosto 1974 impartisce le istruzioni operative, fra cui l'avvio di discussioni con Ankara e con le agenzie delle Nazioni Unite. È strumento del Consiglio di sicurezza nazionale, non del Dipartimento, e compare due volte nella raccolta: documento 209 del volume XXX e documento 164 del volume E-3. La doppia edizione va collazionata prima di citarne il testo.</w:t>
      </w:r>
    </w:p>
    <w:p>
      <w:pPr>
        <w:spacing w:after="120" w:line="276"/>
        <w:jc w:val="both"/>
      </w:pPr>
      <w:r>
        <w:rPr>
          <w:rFonts w:ascii="Barlow Semi Condensed" w:cs="Barlow Semi Condensed" w:eastAsia="Barlow Semi Condensed" w:hAnsi="Barlow Semi Condensed"/>
          <w:b/>
          <w:bCs/>
          <w:sz w:val="24"/>
          <w:szCs w:val="24"/>
        </w:rPr>
        <w:t xml:space="preserve">4207 · Il paper del gruppo interdipartimentale (serie LV).</w:t>
      </w:r>
      <w:r>
        <w:rPr>
          <w:rFonts w:ascii="Barlow Semi Condensed" w:cs="Barlow Semi Condensed" w:eastAsia="Barlow Semi Condensed" w:hAnsi="Barlow Semi Condensed"/>
          <w:sz w:val="24"/>
          <w:szCs w:val="24"/>
        </w:rPr>
        <w:t xml:space="preserve"> Il paper del Gruppo interdipartimentale per l'Europa del Consiglio di sicurezza nazionale sulle opzioni di risposta è riprodotto al documento 206. Insieme al 208 e al 209 disegna una sequenza istituzionale completa: analisi d'apparato, memorandum al presidente, decisione formale. È l'unico luogo del territorio dove la macchina del Consiglio è visibile per intero, e nessuno dei tre atti nomina l'Italia.</w:t>
      </w:r>
    </w:p>
    <w:p>
      <w:pPr>
        <w:spacing w:after="120" w:line="276"/>
        <w:jc w:val="both"/>
      </w:pPr>
      <w:r>
        <w:rPr>
          <w:rFonts w:ascii="Barlow Semi Condensed" w:cs="Barlow Semi Condensed" w:eastAsia="Barlow Semi Condensed" w:hAnsi="Barlow Semi Condensed"/>
          <w:b/>
          <w:bCs/>
          <w:sz w:val="24"/>
          <w:szCs w:val="24"/>
        </w:rPr>
        <w:t xml:space="preserve">4208 · La catena telegrafica da Ankara.</w:t>
      </w:r>
      <w:r>
        <w:rPr>
          <w:rFonts w:ascii="Barlow Semi Condensed" w:cs="Barlow Semi Condensed" w:eastAsia="Barlow Semi Condensed" w:hAnsi="Barlow Semi Condensed"/>
          <w:sz w:val="24"/>
          <w:szCs w:val="24"/>
        </w:rPr>
        <w:t xml:space="preserve"> Due telegrammi reggono la catena: il 1310 del 21 febbraio 1974, documento 154 del volume E-3, in cui l'ambasciatore esprime a Ecevit la «strong USG hope» che il divieto non fosse revocato; e il 5213 del 2 luglio, documento 204 del volume XXX, sull'incontro notturno in cui la revoca fu confermata. Catena densa e datata: mostra che cosa il territorio produca quando l'archivio è aperto.</w:t>
      </w:r>
    </w:p>
    <w:p>
      <w:pPr>
        <w:spacing w:after="120" w:line="276"/>
        <w:jc w:val="both"/>
      </w:pPr>
      <w:r>
        <w:rPr>
          <w:rFonts w:ascii="Barlow Semi Condensed" w:cs="Barlow Semi Condensed" w:eastAsia="Barlow Semi Condensed" w:hAnsi="Barlow Semi Condensed"/>
          <w:b/>
          <w:bCs/>
          <w:sz w:val="24"/>
          <w:szCs w:val="24"/>
        </w:rPr>
        <w:t xml:space="preserve">4209 · L'Italia assente dal dossier turco.</w:t>
      </w:r>
      <w:r>
        <w:rPr>
          <w:rFonts w:ascii="Barlow Semi Condensed" w:cs="Barlow Semi Condensed" w:eastAsia="Barlow Semi Condensed" w:hAnsi="Barlow Semi Condensed"/>
          <w:sz w:val="24"/>
          <w:szCs w:val="24"/>
        </w:rPr>
        <w:t xml:space="preserve"> Su tutta la sequenza degli oppiacei — il decreto n. 7522, la French Connection, la reazione di Washington — non compare alcun atto italiano. La ricognizione turca lo dichiara: riferimenti diretti a colloqui di Moro sulla questione non sono emersi nella documentazione FRUS reperita. Sede di chiusura: la consultazione integrale dei volumi pertinenti del ciclo 1969-1976, inclusi quelli anteriori per il 1969-1972, e l'indice per nome.</w:t>
      </w:r>
    </w:p>
    <w:p>
      <w:pPr>
        <w:spacing w:after="120" w:line="276"/>
        <w:jc w:val="both"/>
      </w:pPr>
      <w:r>
        <w:rPr>
          <w:rFonts w:ascii="Barlow Semi Condensed" w:cs="Barlow Semi Condensed" w:eastAsia="Barlow Semi Condensed" w:hAnsi="Barlow Semi Condensed"/>
          <w:b/>
          <w:bCs/>
          <w:sz w:val="24"/>
          <w:szCs w:val="24"/>
        </w:rPr>
        <w:t xml:space="preserve">4210 · Che cosa alzerebbe il piano.</w:t>
      </w:r>
      <w:r>
        <w:rPr>
          <w:rFonts w:ascii="Barlow Semi Condensed" w:cs="Barlow Semi Condensed" w:eastAsia="Barlow Semi Condensed" w:hAnsi="Barlow Semi Condensed"/>
          <w:sz w:val="24"/>
          <w:szCs w:val="24"/>
        </w:rPr>
        <w:t xml:space="preserve"> Il dossier degli oppiacei salirebbe al primo piano rispetto all'Italia solo se emergesse un documento che nomini insieme la Farnesina e l'apparato americano: un appunto di gabinetto sulla French Connection, una nota italiana trasmessa al Gruppo interdipartimentale, un telegramma da Roma citato nel volume XXX. Finché non emerge, la vicinanza dei due dossier resta analogia di materia, e come tale va scritta.</w:t>
      </w:r>
    </w:p>
    <w:p>
      <w:pPr>
        <w:spacing w:after="120" w:line="276"/>
        <w:jc w:val="both"/>
      </w:pPr>
      <w:r>
        <w:rPr>
          <w:rFonts w:ascii="Barlow Semi Condensed" w:cs="Barlow Semi Condensed" w:eastAsia="Barlow Semi Condensed" w:hAnsi="Barlow Semi Condensed"/>
          <w:b/>
          <w:bCs/>
          <w:sz w:val="24"/>
          <w:szCs w:val="24"/>
        </w:rPr>
        <w:t xml:space="preserve">4211 · La frase su Lisbona.</w:t>
      </w:r>
      <w:r>
        <w:rPr>
          <w:rFonts w:ascii="Barlow Semi Condensed" w:cs="Barlow Semi Condensed" w:eastAsia="Barlow Semi Condensed" w:hAnsi="Barlow Semi Condensed"/>
          <w:sz w:val="24"/>
          <w:szCs w:val="24"/>
        </w:rPr>
        <w:t xml:space="preserve"> Un timore espresso su un terzo Paese è documentato al documento 153 del volume E-15 parte 2, dove Kissinger paventava per Lisbona «not a Communist take-over, but a leftist neutralist regime remaining within NATO». Il documento attesta quel timore e nient'altro. Non attesta alcuna posizione verso l'Italia, e trasferirvela per somiglianza di problema sarebbe analogia: il risultato simile non prova l'antenato comune.</w:t>
      </w:r>
    </w:p>
    <w:p>
      <w:pPr>
        <w:spacing w:after="120" w:line="276"/>
        <w:jc w:val="both"/>
      </w:pPr>
      <w:r>
        <w:rPr>
          <w:rFonts w:ascii="Barlow Semi Condensed" w:cs="Barlow Semi Condensed" w:eastAsia="Barlow Semi Condensed" w:hAnsi="Barlow Semi Condensed"/>
          <w:b/>
          <w:bCs/>
          <w:sz w:val="24"/>
          <w:szCs w:val="24"/>
        </w:rPr>
        <w:t xml:space="preserve">4212 · Due documenti nello stesso volume.</w:t>
      </w:r>
      <w:r>
        <w:rPr>
          <w:rFonts w:ascii="Barlow Semi Condensed" w:cs="Barlow Semi Condensed" w:eastAsia="Barlow Semi Condensed" w:hAnsi="Barlow Semi Condensed"/>
          <w:sz w:val="24"/>
          <w:szCs w:val="24"/>
        </w:rPr>
        <w:t xml:space="preserve"> Il 153 e il 350 abitano lo stesso volume, la stessa parte, la stessa cura editoriale: sono omologhi per provenienza. Questa è l'unica parentela che il corpus può affermare fra il dossier portoghese e quello italiano del territorio. Bersaglio: verificare se il volume rechi note redazionali che li colleghino, e se l'apparato dell'Office of the Historian tratti i due casi come una linea sola.</w:t>
      </w:r>
    </w:p>
    <w:p>
      <w:pPr>
        <w:spacing w:after="120" w:line="276"/>
        <w:jc w:val="both"/>
      </w:pPr>
      <w:r>
        <w:rPr>
          <w:rFonts w:ascii="Barlow Semi Condensed" w:cs="Barlow Semi Condensed" w:eastAsia="Barlow Semi Condensed" w:hAnsi="Barlow Semi Condensed"/>
          <w:b/>
          <w:bCs/>
          <w:sz w:val="24"/>
          <w:szCs w:val="24"/>
        </w:rPr>
        <w:t xml:space="preserve">4213 · Il Portogallo senza atti italiani.</w:t>
      </w:r>
      <w:r>
        <w:rPr>
          <w:rFonts w:ascii="Barlow Semi Condensed" w:cs="Barlow Semi Condensed" w:eastAsia="Barlow Semi Condensed" w:hAnsi="Barlow Semi Condensed"/>
          <w:sz w:val="24"/>
          <w:szCs w:val="24"/>
        </w:rPr>
        <w:t xml:space="preserve"> Non è stato reperito alcun documento diplomatico che colleghi Moro alla situazione portoghese pre-rivoluzionaria: così la ricognizione, che rinvia all'Archivio Storico Diplomatico, serie Portogallo 1969-1974, sede presso cui la ricerca resta interamente da condurre. Il timore americano è documentato, l'orientamento italiano no: due assenze asimmetriche che misurano l'apertura degli archivi, non l'intensità delle politiche che vi si cercano.</w:t>
      </w:r>
    </w:p>
    <w:p>
      <w:pPr>
        <w:spacing w:after="120" w:line="276"/>
        <w:jc w:val="both"/>
      </w:pPr>
      <w:r>
        <w:rPr>
          <w:rFonts w:ascii="Barlow Semi Condensed" w:cs="Barlow Semi Condensed" w:eastAsia="Barlow Semi Condensed" w:hAnsi="Barlow Semi Condensed"/>
          <w:b/>
          <w:bCs/>
          <w:sz w:val="24"/>
          <w:szCs w:val="24"/>
        </w:rPr>
        <w:t xml:space="preserve">4214 · Il telegramma del 2 agosto 1975 (serie LV).</w:t>
      </w:r>
      <w:r>
        <w:rPr>
          <w:rFonts w:ascii="Barlow Semi Condensed" w:cs="Barlow Semi Condensed" w:eastAsia="Barlow Semi Condensed" w:hAnsi="Barlow Semi Condensed"/>
          <w:sz w:val="24"/>
          <w:szCs w:val="24"/>
        </w:rPr>
        <w:t xml:space="preserve"> Compare nel volume XXXIX, documento 334, un telegramma di Kissinger del 2 agosto 1975 che conferma la firma dell'Atto finale da parte di trentacinque capi di Stato o di governo e descrive la cerimonia, registrando la dichiarazione interpretativa cipriota contro la riserva turca. È un resoconto e attesta la cerimonia: non attesta scambi bilaterali con la delegazione italiana né con chi la guidava.</w:t>
      </w:r>
    </w:p>
    <w:p>
      <w:pPr>
        <w:spacing w:after="120" w:line="276"/>
        <w:jc w:val="both"/>
      </w:pPr>
      <w:r>
        <w:rPr>
          <w:rFonts w:ascii="Barlow Semi Condensed" w:cs="Barlow Semi Condensed" w:eastAsia="Barlow Semi Condensed" w:hAnsi="Barlow Semi Condensed"/>
          <w:b/>
          <w:bCs/>
          <w:sz w:val="24"/>
          <w:szCs w:val="24"/>
        </w:rPr>
        <w:t xml:space="preserve">4215 · Un'insofferenza riferita da un articolo.</w:t>
      </w:r>
      <w:r>
        <w:rPr>
          <w:rFonts w:ascii="Barlow Semi Condensed" w:cs="Barlow Semi Condensed" w:eastAsia="Barlow Semi Condensed" w:hAnsi="Barlow Semi Condensed"/>
          <w:sz w:val="24"/>
          <w:szCs w:val="24"/>
        </w:rPr>
        <w:t xml:space="preserve"> Su fonte giornalistica si riporta che Moro ottenne il coinvolgimento formale della Comunità nella firma «sfidando l'insofferenza di Kissinger». È affermazione di terzo piano: nessun documento citato la sostiene, e la fonte è un articolo, non una carta d'archivio. Va riportata con la sua provenienza e mai usata come premessa di altro. Salirebbe di piano solo con un verbale coevo che la registri.</w:t>
      </w:r>
    </w:p>
    <w:p>
      <w:pPr>
        <w:spacing w:after="120" w:line="276"/>
        <w:jc w:val="both"/>
      </w:pPr>
      <w:r>
        <w:rPr>
          <w:rFonts w:ascii="Barlow Semi Condensed" w:cs="Barlow Semi Condensed" w:eastAsia="Barlow Semi Condensed" w:hAnsi="Barlow Semi Condensed"/>
          <w:b/>
          <w:bCs/>
          <w:sz w:val="24"/>
          <w:szCs w:val="24"/>
        </w:rPr>
        <w:t xml:space="preserve">4216 · Helsinki cade fuori dai mandati.</w:t>
      </w:r>
      <w:r>
        <w:rPr>
          <w:rFonts w:ascii="Barlow Semi Condensed" w:cs="Barlow Semi Condensed" w:eastAsia="Barlow Semi Condensed" w:hAnsi="Barlow Semi Condensed"/>
          <w:sz w:val="24"/>
          <w:szCs w:val="24"/>
        </w:rPr>
        <w:t xml:space="preserve"> Il 1° agosto 1975 Moro non era ministro degli Esteri ma presidente del Consiglio e presidente di turno della Comunità: la ricognizione lo precisa e la triangolazione della seconda campagna lo ribadisce. Ogni lettura che collochi l'episodio dentro la Farnesina di Moro sbaglia la finestra. La disciplina cronologica qui non è pedanteria: separa due qualità istituzionali diverse dello stesso uomo.</w:t>
      </w:r>
    </w:p>
    <w:p>
      <w:pPr>
        <w:spacing w:after="120" w:line="276"/>
        <w:jc w:val="both"/>
      </w:pPr>
      <w:r>
        <w:rPr>
          <w:rFonts w:ascii="Barlow Semi Condensed" w:cs="Barlow Semi Condensed" w:eastAsia="Barlow Semi Condensed" w:hAnsi="Barlow Semi Condensed"/>
          <w:b/>
          <w:bCs/>
          <w:sz w:val="24"/>
          <w:szCs w:val="24"/>
        </w:rPr>
        <w:t xml:space="preserve">4217 · Le tre firme e chi manca.</w:t>
      </w:r>
      <w:r>
        <w:rPr>
          <w:rFonts w:ascii="Barlow Semi Condensed" w:cs="Barlow Semi Condensed" w:eastAsia="Barlow Semi Condensed" w:hAnsi="Barlow Semi Condensed"/>
          <w:sz w:val="24"/>
          <w:szCs w:val="24"/>
        </w:rPr>
        <w:t xml:space="preserve"> La cartella dichiara che la firma dell'Atto finale è l'unica triangolazione certa fra i suoi oggetti: Italia, Santa Sede e Turchia sullo stesso documento. Il nome studiato non fa parte di quella triangolazione e non va inserito per il fatto di aver firmato per gli Stati Uniti il medesimo atto. Trentacinque firme sullo stesso foglio non sono trentacinque rapporti bilaterali documentati.</w:t>
      </w:r>
    </w:p>
    <w:p>
      <w:pPr>
        <w:spacing w:after="120" w:line="276"/>
        <w:jc w:val="both"/>
      </w:pPr>
      <w:r>
        <w:rPr>
          <w:rFonts w:ascii="Barlow Semi Condensed" w:cs="Barlow Semi Condensed" w:eastAsia="Barlow Semi Condensed" w:hAnsi="Barlow Semi Condensed"/>
          <w:b/>
          <w:bCs/>
          <w:sz w:val="24"/>
          <w:szCs w:val="24"/>
        </w:rPr>
        <w:t xml:space="preserve">4218 · Bersaglio di smentita su Helsinki.</w:t>
      </w:r>
      <w:r>
        <w:rPr>
          <w:rFonts w:ascii="Barlow Semi Condensed" w:cs="Barlow Semi Condensed" w:eastAsia="Barlow Semi Condensed" w:hAnsi="Barlow Semi Condensed"/>
          <w:sz w:val="24"/>
          <w:szCs w:val="24"/>
        </w:rPr>
        <w:t xml:space="preserve"> Che cosa falsificherebbe la versione giornalistica dell'insofferenza: un memorandum of conversation del 30 luglio-1° agosto 1975 che registri l'opposizione americana alla firma comunitaria la porterebbe al primo piano; un verbale che mostri la questione trattata senza attrito la farebbe cadere. Sedi: Ford Library, serie dei Memoranda of Conversation, e volume XXXIX del ciclo. L'esito, quale che sia, è acquisizione di pieno valore.</w:t>
      </w:r>
    </w:p>
    <w:p>
      <w:pPr>
        <w:spacing w:after="120" w:line="276"/>
        <w:jc w:val="both"/>
      </w:pPr>
      <w:r>
        <w:rPr>
          <w:rFonts w:ascii="Barlow Semi Condensed" w:cs="Barlow Semi Condensed" w:eastAsia="Barlow Semi Condensed" w:hAnsi="Barlow Semi Condensed"/>
          <w:b/>
          <w:bCs/>
          <w:sz w:val="24"/>
          <w:szCs w:val="24"/>
        </w:rPr>
        <w:t xml:space="preserve">4219 · L'audizione del 2 dicembre 2014.</w:t>
      </w:r>
      <w:r>
        <w:rPr>
          <w:rFonts w:ascii="Barlow Semi Condensed" w:cs="Barlow Semi Condensed" w:eastAsia="Barlow Semi Condensed" w:hAnsi="Barlow Semi Condensed"/>
          <w:sz w:val="24"/>
          <w:szCs w:val="24"/>
        </w:rPr>
        <w:t xml:space="preserve"> Nell'audizione del 2 dicembre 2014 davanti alla Commissione parlamentare d'inchiesta sul caso Moro si ricordò che nel 1973 Moro rifiutò l'uso delle basi NATO per aiutare Israele, sostenendo che quella guerra esorbitava dall'area dell'Alleanza. La cartella lo qualifica espressamente: testimonianza resa in sede parlamentare, non accertamento. La qualificazione va ripetuta ogni volta che l'episodio è ripreso, anche quando la fonte è istituzionale.</w:t>
      </w:r>
    </w:p>
    <w:p>
      <w:pPr>
        <w:spacing w:after="120" w:line="276"/>
        <w:jc w:val="both"/>
      </w:pPr>
      <w:r>
        <w:rPr>
          <w:rFonts w:ascii="Barlow Semi Condensed" w:cs="Barlow Semi Condensed" w:eastAsia="Barlow Semi Condensed" w:hAnsi="Barlow Semi Condensed"/>
          <w:b/>
          <w:bCs/>
          <w:sz w:val="24"/>
          <w:szCs w:val="24"/>
        </w:rPr>
        <w:t xml:space="preserve">4220 · In carica dal 22 settembre 1973.</w:t>
      </w:r>
      <w:r>
        <w:rPr>
          <w:rFonts w:ascii="Barlow Semi Condensed" w:cs="Barlow Semi Condensed" w:eastAsia="Barlow Semi Condensed" w:hAnsi="Barlow Semi Condensed"/>
          <w:sz w:val="24"/>
          <w:szCs w:val="24"/>
        </w:rPr>
        <w:t xml:space="preserve"> La guerra del Kippur cade dentro il primo mese della titolarità del Dipartimento di Stato: incarico assunto il 22 settembre 1973, conflitto aperto in ottobre. La coincidenza è reale e priva di ponte: nessun documento del territorio nomina insieme il rifiuto italiano sulle basi e la controparte americana. Secondo piano, dichiarato come tale: due fatti nella stessa cornice, senza una carta che li tocchi insieme.</w:t>
      </w:r>
    </w:p>
    <w:p>
      <w:pPr>
        <w:spacing w:after="120" w:line="276"/>
        <w:jc w:val="both"/>
      </w:pPr>
      <w:r>
        <w:rPr>
          <w:rFonts w:ascii="Barlow Semi Condensed" w:cs="Barlow Semi Condensed" w:eastAsia="Barlow Semi Condensed" w:hAnsi="Barlow Semi Condensed"/>
          <w:b/>
          <w:bCs/>
          <w:sz w:val="24"/>
          <w:szCs w:val="24"/>
        </w:rPr>
        <w:t xml:space="preserve">4221 · Il sostegno alleato non conseguito.</w:t>
      </w:r>
      <w:r>
        <w:rPr>
          <w:rFonts w:ascii="Barlow Semi Condensed" w:cs="Barlow Semi Condensed" w:eastAsia="Barlow Semi Condensed" w:hAnsi="Barlow Semi Condensed"/>
          <w:sz w:val="24"/>
          <w:szCs w:val="24"/>
        </w:rPr>
        <w:t xml:space="preserve"> Uno sforzo americano di guadagnare il sostegno degli alleati europei, «largely unsuccessful», è documentato dal FRUS secondo il capitolo VIII della ricognizione-madre, che ne inferisce con prudenza la divergenza della linea mediterranea italiana. L'inferenza è dichiarata come tale, e il documento non nomina l'Italia. Bersaglio: individuare nel volume XXV i passaggi che nominino Roma, oppure verbalizzarne l'assenza con perimetro esatto.</w:t>
      </w:r>
    </w:p>
    <w:p>
      <w:pPr>
        <w:spacing w:after="120" w:line="276"/>
        <w:jc w:val="both"/>
      </w:pPr>
      <w:r>
        <w:rPr>
          <w:rFonts w:ascii="Barlow Semi Condensed" w:cs="Barlow Semi Condensed" w:eastAsia="Barlow Semi Condensed" w:hAnsi="Barlow Semi Condensed"/>
          <w:b/>
          <w:bCs/>
          <w:sz w:val="24"/>
          <w:szCs w:val="24"/>
        </w:rPr>
        <w:t xml:space="preserve">4222 · Riluttanze simili non provano regia.</w:t>
      </w:r>
      <w:r>
        <w:rPr>
          <w:rFonts w:ascii="Barlow Semi Condensed" w:cs="Barlow Semi Condensed" w:eastAsia="Barlow Semi Condensed" w:hAnsi="Barlow Semi Condensed"/>
          <w:sz w:val="24"/>
          <w:szCs w:val="24"/>
        </w:rPr>
        <w:t xml:space="preserve"> Molti alleati europei furono riluttanti nell'ottobre 1973, e la somiglianza degli esiti tenta verso un antenato comune: una pressione unica, una regia unica. Il test è uno solo, un documento di provenienza che nomini la controparte. In mancanza, riluttanze simili restano risposte indipendenti al medesimo ambiente — analogia, non omologia — e vanno scritte così anche quando l'ipotesi opposta è più interessante.</w:t>
      </w:r>
    </w:p>
    <w:p>
      <w:pPr>
        <w:spacing w:after="120" w:line="276"/>
        <w:jc w:val="both"/>
      </w:pPr>
      <w:r>
        <w:rPr>
          <w:rFonts w:ascii="Barlow Semi Condensed" w:cs="Barlow Semi Condensed" w:eastAsia="Barlow Semi Condensed" w:hAnsi="Barlow Semi Condensed"/>
          <w:b/>
          <w:bCs/>
          <w:sz w:val="24"/>
          <w:szCs w:val="24"/>
        </w:rPr>
        <w:t xml:space="preserve">4223 · Zero occorrenze nel lotto americano.</w:t>
      </w:r>
      <w:r>
        <w:rPr>
          <w:rFonts w:ascii="Barlow Semi Condensed" w:cs="Barlow Semi Condensed" w:eastAsia="Barlow Semi Condensed" w:hAnsi="Barlow Semi Condensed"/>
          <w:sz w:val="24"/>
          <w:szCs w:val="24"/>
        </w:rPr>
        <w:t xml:space="preserve"> Verifica meccanica sul lotto desecretato del Dipartimento di Stato: zero occorrenze del nome tanto nella nota ordinata documenti-state-dept-1965-1978 quanto nell'originale state-dept-djvu-ocr-grezzo, la cui impronta è registrata nel manifest-sha256. Stato Zero misurato con perimetro esatto: due strati, il 1965 e il 1978, e nessuna riga. La ricerca a vuoto è essa stessa un atto, come prescrive il blocco 285 dell'agenda.</w:t>
      </w:r>
    </w:p>
    <w:p>
      <w:pPr>
        <w:spacing w:after="120" w:line="276"/>
        <w:jc w:val="both"/>
      </w:pPr>
      <w:r>
        <w:rPr>
          <w:rFonts w:ascii="Barlow Semi Condensed" w:cs="Barlow Semi Condensed" w:eastAsia="Barlow Semi Condensed" w:hAnsi="Barlow Semi Condensed"/>
          <w:b/>
          <w:bCs/>
          <w:sz w:val="24"/>
          <w:szCs w:val="24"/>
        </w:rPr>
        <w:t xml:space="preserve">4224 · Nel 1965 c'era Rusk.</w:t>
      </w:r>
      <w:r>
        <w:rPr>
          <w:rFonts w:ascii="Barlow Semi Condensed" w:cs="Barlow Semi Condensed" w:eastAsia="Barlow Semi Condensed" w:hAnsi="Barlow Semi Condensed"/>
          <w:sz w:val="24"/>
          <w:szCs w:val="24"/>
        </w:rPr>
        <w:t xml:space="preserve"> Lo strato del 1965 nomina Dean Rusk al Dipartimento di Stato, Henry Fowler al Tesoro, Robert McNamara alla Difesa, il generale Harold Johnson, il capo del cerimoniale Lloyd Hand, l'ambasciatore Reinhardt e il promemoria di sicurezza a J. Edgar Hoover firmato da G. Marvin Gentile. Il nome studiato non poteva comparirvi: l'incarico al Consiglio comincia il 20 gennaio 1969. Lo Stato Zero è cronologicamente necessario.</w:t>
      </w:r>
    </w:p>
    <w:p>
      <w:pPr>
        <w:spacing w:after="120" w:line="276"/>
        <w:jc w:val="both"/>
      </w:pPr>
      <w:r>
        <w:rPr>
          <w:rFonts w:ascii="Barlow Semi Condensed" w:cs="Barlow Semi Condensed" w:eastAsia="Barlow Semi Condensed" w:hAnsi="Barlow Semi Condensed"/>
          <w:b/>
          <w:bCs/>
          <w:sz w:val="24"/>
          <w:szCs w:val="24"/>
        </w:rPr>
        <w:t xml:space="preserve">4225 · Guerzoni prima della testimonianza.</w:t>
      </w:r>
      <w:r>
        <w:rPr>
          <w:rFonts w:ascii="Barlow Semi Condensed" w:cs="Barlow Semi Condensed" w:eastAsia="Barlow Semi Condensed" w:hAnsi="Barlow Semi Condensed"/>
          <w:sz w:val="24"/>
          <w:szCs w:val="24"/>
        </w:rPr>
        <w:t xml:space="preserve"> Nel programma della visita del 19-23 aprile 1965 Corrado Guerzoni figura come capo dell'Ufficio Stampa del Presidente del Consiglio, membro della delegazione italiana. È l'unica occorrenza di quel nome nel territorio, e non ha nulla a che vedere con la testimonianza contestata resa alla Corte d'assise di Roma nel novembre 1982. Retro-proiettare il teste sul funzionario del 1965 sarebbe errore di lettura, e va evitato.</w:t>
      </w:r>
    </w:p>
    <w:p>
      <w:pPr>
        <w:spacing w:after="120" w:line="276"/>
        <w:jc w:val="both"/>
      </w:pPr>
      <w:r>
        <w:rPr>
          <w:rFonts w:ascii="Barlow Semi Condensed" w:cs="Barlow Semi Condensed" w:eastAsia="Barlow Semi Condensed" w:hAnsi="Barlow Semi Condensed"/>
          <w:b/>
          <w:bCs/>
          <w:sz w:val="24"/>
          <w:szCs w:val="24"/>
        </w:rPr>
        <w:t xml:space="preserve">4226 · Il destinatario innominato dei cablogrammi.</w:t>
      </w:r>
      <w:r>
        <w:rPr>
          <w:rFonts w:ascii="Barlow Semi Condensed" w:cs="Barlow Semi Condensed" w:eastAsia="Barlow Semi Condensed" w:hAnsi="Barlow Semi Condensed"/>
          <w:sz w:val="24"/>
          <w:szCs w:val="24"/>
        </w:rPr>
        <w:t xml:space="preserve"> I cablogrammi dell'aprile-maggio 1978 — Buenos Aires 2881, Trieste 9223, Palermo 9487 — sono diretti a SECSTATE Washington, cioè a un ufficio e non a una persona nominata. Nella cartella non compaiono né Cyrus Vance né Zbigniew Brzezinski: la verifica testuale dà zero occorrenze per entrambi. Il titolare del Dipartimento nei cinquantacinque giorni resta, in questo territorio, una casella istituzionale vuota di nome.</w:t>
      </w:r>
    </w:p>
    <w:p>
      <w:pPr>
        <w:spacing w:after="120" w:line="276"/>
        <w:jc w:val="both"/>
      </w:pPr>
      <w:r>
        <w:rPr>
          <w:rFonts w:ascii="Barlow Semi Condensed" w:cs="Barlow Semi Condensed" w:eastAsia="Barlow Semi Condensed" w:hAnsi="Barlow Semi Condensed"/>
          <w:b/>
          <w:bCs/>
          <w:sz w:val="24"/>
          <w:szCs w:val="24"/>
        </w:rPr>
        <w:t xml:space="preserve">4227 · Fuori carica dal gennaio 1977.</w:t>
      </w:r>
      <w:r>
        <w:rPr>
          <w:rFonts w:ascii="Barlow Semi Condensed" w:cs="Barlow Semi Condensed" w:eastAsia="Barlow Semi Condensed" w:hAnsi="Barlow Semi Condensed"/>
          <w:sz w:val="24"/>
          <w:szCs w:val="24"/>
        </w:rPr>
        <w:t xml:space="preserve"> Accertamento che vale come sbarramento preventivo: l'incarico di segretario di Stato si chiuse il 20 gennaio 1977, quello al Consiglio il 3 novembre 1975. Nei cinquantacinque giorni del 1978 il nome studiato non ricopriva alcun ufficio americano. Nessun documento ufficiale di quel periodo può dunque recarne la firma d'ufficio, e la pista PE-5 va progettata sapendolo, non scoprendolo a spoglio già avviato.</w:t>
      </w:r>
    </w:p>
    <w:p>
      <w:pPr>
        <w:spacing w:after="120" w:line="276"/>
        <w:jc w:val="both"/>
      </w:pPr>
      <w:r>
        <w:rPr>
          <w:rFonts w:ascii="Barlow Semi Condensed" w:cs="Barlow Semi Condensed" w:eastAsia="Barlow Semi Condensed" w:hAnsi="Barlow Semi Condensed"/>
          <w:b/>
          <w:bCs/>
          <w:sz w:val="24"/>
          <w:szCs w:val="24"/>
        </w:rPr>
        <w:t xml:space="preserve">4228 · La smentita dei Montoneros.</w:t>
      </w:r>
      <w:r>
        <w:rPr>
          <w:rFonts w:ascii="Barlow Semi Condensed" w:cs="Barlow Semi Condensed" w:eastAsia="Barlow Semi Condensed" w:hAnsi="Barlow Semi Condensed"/>
          <w:sz w:val="24"/>
          <w:szCs w:val="24"/>
        </w:rPr>
        <w:t xml:space="preserve"> Con il cablogramma Buenos Aires 2881 del 17 aprile 1978 fu trasmesso il documento in cui il Partito Montonero nega ogni connessione col sequestro e con le Brigate Rosse, denunciando una campagna diffamatoria. La nota della cartella lo qualifica: smentita di terzi, misura del clima internazionale, non fonte sui responsabili. Nessun principale americano vi è nominato, e nessuna catena di comando vi si può leggere.</w:t>
      </w:r>
    </w:p>
    <w:p>
      <w:pPr>
        <w:spacing w:after="120" w:line="276"/>
        <w:jc w:val="both"/>
      </w:pPr>
      <w:r>
        <w:rPr>
          <w:rFonts w:ascii="Barlow Semi Condensed" w:cs="Barlow Semi Condensed" w:eastAsia="Barlow Semi Condensed" w:hAnsi="Barlow Semi Condensed"/>
          <w:b/>
          <w:bCs/>
          <w:sz w:val="24"/>
          <w:szCs w:val="24"/>
        </w:rPr>
        <w:t xml:space="preserve">4229 · Zero occorrenze nel programma investigativo.</w:t>
      </w:r>
      <w:r>
        <w:rPr>
          <w:rFonts w:ascii="Barlow Semi Condensed" w:cs="Barlow Semi Condensed" w:eastAsia="Barlow Semi Condensed" w:hAnsi="Barlow Semi Condensed"/>
          <w:sz w:val="24"/>
          <w:szCs w:val="24"/>
        </w:rPr>
        <w:t xml:space="preserve"> Il fascicolo aperto non nomina mai Henry Kissinger: né nelle dieci piste da P-1 a P-10, né nella graduatoria a punteggio PN-1…PN-8, né nelle sei piste su entità PE-1…PE-6, né nei cinque presidi del capitolo IV. Il documento che apre la stagione investigativa del corpus lo ignora integralmente. È l'acquisizione centrale di questa serie, e va detta senza attenuazioni.</w:t>
      </w:r>
    </w:p>
    <w:p>
      <w:pPr>
        <w:spacing w:after="120" w:line="276"/>
        <w:jc w:val="both"/>
      </w:pPr>
      <w:r>
        <w:rPr>
          <w:rFonts w:ascii="Barlow Semi Condensed" w:cs="Barlow Semi Condensed" w:eastAsia="Barlow Semi Condensed" w:hAnsi="Barlow Semi Condensed"/>
          <w:b/>
          <w:bCs/>
          <w:sz w:val="24"/>
          <w:szCs w:val="24"/>
        </w:rPr>
        <w:t xml:space="preserve">4230 · La pista PE-5 come cerniera.</w:t>
      </w:r>
      <w:r>
        <w:rPr>
          <w:rFonts w:ascii="Barlow Semi Condensed" w:cs="Barlow Semi Condensed" w:eastAsia="Barlow Semi Condensed" w:hAnsi="Barlow Semi Condensed"/>
          <w:sz w:val="24"/>
          <w:szCs w:val="24"/>
        </w:rPr>
        <w:t xml:space="preserve"> PE-5, «Gli alleati: il traffico di cablo marzo-maggio 1978», punteggio 59,5, è l'unico punto in cui i due documenti del territorio si toccano: rinvia espressamente ai cable già declassificati archiviati nella cartella Farnesina e prescrive richieste FOIA sistematiche con gli identificativi di serie già noti. È lì che il nome potrebbe entrare, ed è lì che, per ragioni di data, non può entrare.</w:t>
      </w:r>
    </w:p>
    <w:p>
      <w:pPr>
        <w:spacing w:after="120" w:line="276"/>
        <w:jc w:val="both"/>
      </w:pPr>
      <w:r>
        <w:rPr>
          <w:rFonts w:ascii="Barlow Semi Condensed" w:cs="Barlow Semi Condensed" w:eastAsia="Barlow Semi Condensed" w:hAnsi="Barlow Semi Condensed"/>
          <w:b/>
          <w:bCs/>
          <w:sz w:val="24"/>
          <w:szCs w:val="24"/>
        </w:rPr>
        <w:t xml:space="preserve">4231 · Il limite strutturale della FOIA.</w:t>
      </w:r>
      <w:r>
        <w:rPr>
          <w:rFonts w:ascii="Barlow Semi Condensed" w:cs="Barlow Semi Condensed" w:eastAsia="Barlow Semi Condensed" w:hAnsi="Barlow Semi Condensed"/>
          <w:sz w:val="24"/>
          <w:szCs w:val="24"/>
        </w:rPr>
        <w:t xml:space="preserve"> Una richiesta FOIA sul traffico Roma-Washington del 1978 restituirà, se accolta, carte firmate da altri; se respinta, restituirà un diniego motivato, che in quel regime è a sua volta un documento. In nessuno dei due esiti il nome studiato compare come autore d'atto. Vale la pena scriverlo nel quesito: chi cerca senza aver fissato la finestra temporale spende atti istruttori per un esito già noto.</w:t>
      </w:r>
    </w:p>
    <w:p>
      <w:pPr>
        <w:spacing w:after="120" w:line="276"/>
        <w:jc w:val="both"/>
      </w:pPr>
      <w:r>
        <w:rPr>
          <w:rFonts w:ascii="Barlow Semi Condensed" w:cs="Barlow Semi Condensed" w:eastAsia="Barlow Semi Condensed" w:hAnsi="Barlow Semi Condensed"/>
          <w:b/>
          <w:bCs/>
          <w:sz w:val="24"/>
          <w:szCs w:val="24"/>
        </w:rPr>
        <w:t xml:space="preserve">4232 · La Farnesina non versa all'Archivio centrale.</w:t>
      </w:r>
      <w:r>
        <w:rPr>
          <w:rFonts w:ascii="Barlow Semi Condensed" w:cs="Barlow Semi Condensed" w:eastAsia="Barlow Semi Condensed" w:hAnsi="Barlow Semi Condensed"/>
          <w:sz w:val="24"/>
          <w:szCs w:val="24"/>
        </w:rPr>
        <w:t xml:space="preserve"> Accerta il capitolo archivistico della ricognizione greca che l'Archivio Storico Diplomatico conserva la documentazione della Farnesina, la quale, a differenza delle altre amministrazioni, non versa all'Archivio Centrale dello Stato. Ne discende un limite duro per la pista P-5: le circa duemila buste della Direttiva Renzi non possono contenere la controparte italiana dei documenti americani. Il bersaglio si sposta interamente sulla Sala Studio della Farnesina.</w:t>
      </w:r>
    </w:p>
    <w:p>
      <w:pPr>
        <w:spacing w:after="120" w:line="276"/>
        <w:jc w:val="both"/>
      </w:pPr>
      <w:r>
        <w:rPr>
          <w:rFonts w:ascii="Barlow Semi Condensed" w:cs="Barlow Semi Condensed" w:eastAsia="Barlow Semi Condensed" w:hAnsi="Barlow Semi Condensed"/>
          <w:b/>
          <w:bCs/>
          <w:sz w:val="24"/>
          <w:szCs w:val="24"/>
        </w:rPr>
        <w:t xml:space="preserve">4233 · Il vaglio negativo applicato qui.</w:t>
      </w:r>
      <w:r>
        <w:rPr>
          <w:rFonts w:ascii="Barlow Semi Condensed" w:cs="Barlow Semi Condensed" w:eastAsia="Barlow Semi Condensed" w:hAnsi="Barlow Semi Condensed"/>
          <w:sz w:val="24"/>
          <w:szCs w:val="24"/>
        </w:rPr>
        <w:t xml:space="preserve"> Archivia motivatamente, il vaglio negativo P-10, le piste fondate su memorialistica di parte non corroborata e su dichiarazioni non riscontrate. La testimonianza contestata sull'avvertimento — riferita de relato, con data oscillante fra 1974, 1976 e 1977, sempre smentita dall'interessato — ricade in quella categoria e non fonda alcun atto istruttorio. Criterio di riapertura: documentale, e dichiarato pista per pista, come vuole il capitolo II.</w:t>
      </w:r>
    </w:p>
    <w:p>
      <w:pPr>
        <w:spacing w:after="120" w:line="276"/>
        <w:jc w:val="both"/>
      </w:pPr>
      <w:r>
        <w:rPr>
          <w:rFonts w:ascii="Barlow Semi Condensed" w:cs="Barlow Semi Condensed" w:eastAsia="Barlow Semi Condensed" w:hAnsi="Barlow Semi Condensed"/>
          <w:b/>
          <w:bCs/>
          <w:sz w:val="24"/>
          <w:szCs w:val="24"/>
        </w:rPr>
        <w:t xml:space="preserve">4234 · I cinque presidi del programma.</w:t>
      </w:r>
      <w:r>
        <w:rPr>
          <w:rFonts w:ascii="Barlow Semi Condensed" w:cs="Barlow Semi Condensed" w:eastAsia="Barlow Semi Condensed" w:hAnsi="Barlow Semi Condensed"/>
          <w:sz w:val="24"/>
          <w:szCs w:val="24"/>
        </w:rPr>
        <w:t xml:space="preserve"> Valgono integralmente per questa serie i presidi del capitolo IV: l'indagine produce atti e non colpevoli; le ipotesi restano in forma ACH; il registro del giudicato non cresce per suggestione; la priorità è dichiarata e falsificabile; il corpus non è tribunale parallelo. Nessuna pista qui scritta ha per esito atteso un nome: ha per esito una segnatura, una riga di firma, un verbale o un diniego.</w:t>
      </w:r>
    </w:p>
    <w:p>
      <w:pPr>
        <w:spacing w:after="120" w:line="276"/>
        <w:jc w:val="both"/>
      </w:pPr>
      <w:r>
        <w:rPr>
          <w:rFonts w:ascii="Barlow Semi Condensed" w:cs="Barlow Semi Condensed" w:eastAsia="Barlow Semi Condensed" w:hAnsi="Barlow Semi Condensed"/>
          <w:b/>
          <w:bCs/>
          <w:sz w:val="24"/>
          <w:szCs w:val="24"/>
        </w:rPr>
        <w:t xml:space="preserve">4235 · Una pista proposta col punteggio.</w:t>
      </w:r>
      <w:r>
        <w:rPr>
          <w:rFonts w:ascii="Barlow Semi Condensed" w:cs="Barlow Semi Condensed" w:eastAsia="Barlow Semi Condensed" w:hAnsi="Barlow Semi Condensed"/>
          <w:sz w:val="24"/>
          <w:szCs w:val="24"/>
        </w:rPr>
        <w:t xml:space="preserve"> Si propone, col modello dichiarato al capitolo III-bis, una pista sul riflesso italiano dei documenti americani 1969-1976: rendimento 4, diagnosticità 3, fattibilità 8, urgenza 2, indipendenza 10, per un punteggio di 48,5. Si colloca sotto PN-6 e ben sopra la soglia delle escluse. Il basso rendimento è dichiarato: la pista illumina la cornice atlantica, non sposta la linea del caso.</w:t>
      </w:r>
    </w:p>
    <w:p>
      <w:pPr>
        <w:spacing w:after="120" w:line="276"/>
        <w:jc w:val="both"/>
      </w:pPr>
      <w:r>
        <w:rPr>
          <w:rFonts w:ascii="Barlow Semi Condensed" w:cs="Barlow Semi Condensed" w:eastAsia="Barlow Semi Condensed" w:hAnsi="Barlow Semi Condensed"/>
          <w:b/>
          <w:bCs/>
          <w:sz w:val="24"/>
          <w:szCs w:val="24"/>
        </w:rPr>
        <w:t xml:space="preserve">4236 · L'asimmetria fra gli archivi.</w:t>
      </w:r>
      <w:r>
        <w:rPr>
          <w:rFonts w:ascii="Barlow Semi Condensed" w:cs="Barlow Semi Condensed" w:eastAsia="Barlow Semi Condensed" w:hAnsi="Barlow Semi Condensed"/>
          <w:sz w:val="24"/>
          <w:szCs w:val="24"/>
        </w:rPr>
        <w:t xml:space="preserve"> Il territorio produce un'asimmetria da verbalizzare: il versante americano del 1969-1975 è edito, indicizzato e consultabile — FRUS, Ford Library, National Archives —, mentre il versante italiano dello stesso quinquennio è teoricamente aperto per la barriera dei cinquant'anni e praticamente incerto per inventariazione e faldoni da concordare. Chi legge solo ciò che è aperto scriverà una storia americana di fatti italiani.</w:t>
      </w:r>
    </w:p>
    <w:p>
      <w:pPr>
        <w:spacing w:after="120" w:line="276"/>
        <w:jc w:val="both"/>
      </w:pPr>
      <w:r>
        <w:rPr>
          <w:rFonts w:ascii="Barlow Semi Condensed" w:cs="Barlow Semi Condensed" w:eastAsia="Barlow Semi Condensed" w:hAnsi="Barlow Semi Condensed"/>
          <w:b/>
          <w:bCs/>
          <w:sz w:val="24"/>
          <w:szCs w:val="24"/>
        </w:rPr>
        <w:t xml:space="preserve">4237 · Le date che definiscono la finestra.</w:t>
      </w:r>
      <w:r>
        <w:rPr>
          <w:rFonts w:ascii="Barlow Semi Condensed" w:cs="Barlow Semi Condensed" w:eastAsia="Barlow Semi Condensed" w:hAnsi="Barlow Semi Condensed"/>
          <w:sz w:val="24"/>
          <w:szCs w:val="24"/>
        </w:rPr>
        <w:t xml:space="preserve"> Sui mandati le fonti divergono, e la divergenza va riportata: il corpus adotta 5 agosto 1969 - 26 giugno 1972 e 7 luglio 1973 - 23 novembre 1974, mentre l'edizione digitale morotea curata a Bologna indica 6 agosto 1969 e 26 novembre 1974. Pochi giorni di scarto decidono se un atto cada nella Farnesina o nella presidenza del Consiglio, e vanno dichiarati prima di attribuirlo.</w:t>
      </w:r>
    </w:p>
    <w:p>
      <w:pPr>
        <w:spacing w:after="120" w:line="276"/>
        <w:jc w:val="both"/>
      </w:pPr>
      <w:r>
        <w:rPr>
          <w:rFonts w:ascii="Barlow Semi Condensed" w:cs="Barlow Semi Condensed" w:eastAsia="Barlow Semi Condensed" w:hAnsi="Barlow Semi Condensed"/>
          <w:b/>
          <w:bCs/>
          <w:sz w:val="24"/>
          <w:szCs w:val="24"/>
        </w:rPr>
        <w:t xml:space="preserve">4238 · L'anagrafe contesa e le divergenze.</w:t>
      </w:r>
      <w:r>
        <w:rPr>
          <w:rFonts w:ascii="Barlow Semi Condensed" w:cs="Barlow Semi Condensed" w:eastAsia="Barlow Semi Condensed" w:hAnsi="Barlow Semi Condensed"/>
          <w:sz w:val="24"/>
          <w:szCs w:val="24"/>
        </w:rPr>
        <w:t xml:space="preserve"> L'opera ha già fissato che la data dell'anglicizzazione da Heinz a Henry è contesa: 1938 nelle opere di consultazione, 1942-1943 nel fascicolo d'immigrazione. Il territorio non contiene anagrafe alcuna e non concorre a dirimerla. La si richiama per una sola ragione: la stessa disciplina che riporta le divergenze su una data personale le riporta sulle date del ritiro greco e su quelle dei mandati italiani.</w:t>
      </w:r>
    </w:p>
    <w:p>
      <w:pPr>
        <w:spacing w:after="120" w:line="276"/>
        <w:jc w:val="both"/>
      </w:pPr>
      <w:r>
        <w:rPr>
          <w:rFonts w:ascii="Barlow Semi Condensed" w:cs="Barlow Semi Condensed" w:eastAsia="Barlow Semi Condensed" w:hAnsi="Barlow Semi Condensed"/>
          <w:b/>
          <w:bCs/>
          <w:sz w:val="24"/>
          <w:szCs w:val="24"/>
        </w:rPr>
        <w:t xml:space="preserve">4239 · Il lancio d'agenzia del 2023.</w:t>
      </w:r>
      <w:r>
        <w:rPr>
          <w:rFonts w:ascii="Barlow Semi Condensed" w:cs="Barlow Semi Condensed" w:eastAsia="Barlow Semi Condensed" w:hAnsi="Barlow Semi Condensed"/>
          <w:sz w:val="24"/>
          <w:szCs w:val="24"/>
        </w:rPr>
        <w:t xml:space="preserve"> È già accertato che la moltiplicazione delle fonti sull'episodio dell'avvertimento è apparente e risale a un unico lancio d'agenzia del 30 novembre 2023, il giorno successivo alla morte. La cartella della Farnesina, chiusa nell'agosto 2026, non ne reca traccia: il suo silenzio non conferma né smentisce, ma misura che la replicazione mediatica non ha depositato nulla nel giacimento documentale del corpus.</w:t>
      </w:r>
    </w:p>
    <w:p>
      <w:pPr>
        <w:spacing w:after="120" w:line="276"/>
        <w:jc w:val="both"/>
      </w:pPr>
      <w:r>
        <w:rPr>
          <w:rFonts w:ascii="Barlow Semi Condensed" w:cs="Barlow Semi Condensed" w:eastAsia="Barlow Semi Condensed" w:hAnsi="Barlow Semi Condensed"/>
          <w:b/>
          <w:bCs/>
          <w:sz w:val="24"/>
          <w:szCs w:val="24"/>
        </w:rPr>
        <w:t xml:space="preserve">4240 · Criterio di chiusura della serie.</w:t>
      </w:r>
      <w:r>
        <w:rPr>
          <w:rFonts w:ascii="Barlow Semi Condensed" w:cs="Barlow Semi Condensed" w:eastAsia="Barlow Semi Condensed" w:hAnsi="Barlow Semi Condensed"/>
          <w:sz w:val="24"/>
          <w:szCs w:val="24"/>
        </w:rPr>
        <w:t xml:space="preserve"> La serie si chiude quando saranno compiuti quattro atti: la collazione della copia 1552802 col documento 350 nelle due edizioni; l'accertamento della riga di firma del documento 23 del volume XXX; lo spoglio della serie NATO dell'Archivio Storico Diplomatico e dei verbali ministeriali del NATO Archives Online; la verifica dell'esistenza di un appunto italiano sul colloquio del 25 settembre 1974. Prima di allora nulla si conclude.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cinquantaseiesima — Gli archivi: FRUS, Ford Library, NARA, ACS</w:t>
      </w:r>
    </w:p>
    <w:p>
      <w:pPr>
        <w:spacing w:after="120" w:line="276"/>
        <w:jc w:val="both"/>
      </w:pPr>
      <w:r>
        <w:rPr>
          <w:rFonts w:ascii="Barlow Semi Condensed" w:cs="Barlow Semi Condensed" w:eastAsia="Barlow Semi Condensed" w:hAnsi="Barlow Semi Condensed"/>
          <w:i/>
          <w:iCs/>
          <w:sz w:val="24"/>
          <w:szCs w:val="24"/>
        </w:rPr>
        <w:t xml:space="preserve">Blocchi 4241-4325.</w:t>
      </w:r>
    </w:p>
    <w:p>
      <w:pPr>
        <w:spacing w:after="120" w:line="276"/>
        <w:jc w:val="both"/>
      </w:pPr>
      <w:r>
        <w:rPr>
          <w:rFonts w:ascii="Barlow Semi Condensed" w:cs="Barlow Semi Condensed" w:eastAsia="Barlow Semi Condensed" w:hAnsi="Barlow Semi Condensed"/>
          <w:b/>
          <w:bCs/>
          <w:sz w:val="24"/>
          <w:szCs w:val="24"/>
        </w:rPr>
        <w:t xml:space="preserve">4241 · Lo zero misurato sul territorio.</w:t>
      </w:r>
      <w:r>
        <w:rPr>
          <w:rFonts w:ascii="Barlow Semi Condensed" w:cs="Barlow Semi Condensed" w:eastAsia="Barlow Semi Condensed" w:hAnsi="Barlow Semi Condensed"/>
          <w:sz w:val="24"/>
          <w:szCs w:val="24"/>
        </w:rPr>
        <w:t xml:space="preserve"> Verifica meccanica, perimetro dichiarato: la stringa «Kissinger» non ricorre né in agenda-di-ricerca-del-nuovo-caso-moro.md né in nove-cantieri-mille-blocchi.md. Milletrecento blocchi mirati — trecento in dodici serie, mille in nove Parti — e nessuna occorrenza. Varianti cercate: cognome solo, cognome con iniziale, forma estesa del nome. Finestra: l'intero testo dei due documenti nella redazione del 25 agosto 2026. Esito negativo verbalizzato secondo il blocco 285 dell'agenda, che impone all'esito nullo lo stesso rigore del positivo.</w:t>
      </w:r>
    </w:p>
    <w:p>
      <w:pPr>
        <w:spacing w:after="120" w:line="276"/>
        <w:jc w:val="both"/>
      </w:pPr>
      <w:r>
        <w:rPr>
          <w:rFonts w:ascii="Barlow Semi Condensed" w:cs="Barlow Semi Condensed" w:eastAsia="Barlow Semi Condensed" w:hAnsi="Barlow Semi Condensed"/>
          <w:b/>
          <w:bCs/>
          <w:sz w:val="24"/>
          <w:szCs w:val="24"/>
        </w:rPr>
        <w:t xml:space="preserve">4242 · Il denominatore e la sua ricetta.</w:t>
      </w:r>
      <w:r>
        <w:rPr>
          <w:rFonts w:ascii="Barlow Semi Condensed" w:cs="Barlow Semi Condensed" w:eastAsia="Barlow Semi Condensed" w:hAnsi="Barlow Semi Condensed"/>
          <w:sz w:val="24"/>
          <w:szCs w:val="24"/>
        </w:rPr>
        <w:t xml:space="preserve"> Il blocco 646 dell'opera-madre aveva contato zero occorrenze su millesettecento unità includendo manuale e programma; questa serie isola il sottoinsieme territoriale — milletrecento blocchi — e ne dichiara la ricetta, come esigono i blocchi 643 e 644: corpora interrogati, stringhe, varianti, finestra, criterio di conteggio. Senza denominatore esplicito il numero impressiona e non si confronta con nulla. Con il denominatore diventa una misura che chiunque può ripetere e battere.</w:t>
      </w:r>
    </w:p>
    <w:p>
      <w:pPr>
        <w:spacing w:after="120" w:line="276"/>
        <w:jc w:val="both"/>
      </w:pPr>
      <w:r>
        <w:rPr>
          <w:rFonts w:ascii="Barlow Semi Condensed" w:cs="Barlow Semi Condensed" w:eastAsia="Barlow Semi Condensed" w:hAnsi="Barlow Semi Condensed"/>
          <w:b/>
          <w:bCs/>
          <w:sz w:val="24"/>
          <w:szCs w:val="24"/>
        </w:rPr>
        <w:t xml:space="preserve">4243 · Che cosa lo zero non dice.</w:t>
      </w:r>
      <w:r>
        <w:rPr>
          <w:rFonts w:ascii="Barlow Semi Condensed" w:cs="Barlow Semi Condensed" w:eastAsia="Barlow Semi Condensed" w:hAnsi="Barlow Semi Condensed"/>
          <w:sz w:val="24"/>
          <w:szCs w:val="24"/>
        </w:rPr>
        <w:t xml:space="preserve"> Regola di lettura vincolante per l'intera serie, ereditata dal blocco 647: quello zero misura una scelta di costruzione, non un fatto del mondo. Non dice che il nodo sia irrilevante per il caso, né che sia rilevante. La quadriga fu progettata su Kew, La Courneuve, il Politisches Archiv, il versante vaticano e i giacimenti italiani; su quelle colonne quel nome non ricorre per ufficio, e trasformare l'assenza in enunciato sarebbe l'errore che il metodo esiste per rendere impossibile.</w:t>
      </w:r>
    </w:p>
    <w:p>
      <w:pPr>
        <w:spacing w:after="120" w:line="276"/>
        <w:jc w:val="both"/>
      </w:pPr>
      <w:r>
        <w:rPr>
          <w:rFonts w:ascii="Barlow Semi Condensed" w:cs="Barlow Semi Condensed" w:eastAsia="Barlow Semi Condensed" w:hAnsi="Barlow Semi Condensed"/>
          <w:b/>
          <w:bCs/>
          <w:sz w:val="24"/>
          <w:szCs w:val="24"/>
        </w:rPr>
        <w:t xml:space="preserve">4244 · La causa diagnosticata, non narrata.</w:t>
      </w:r>
      <w:r>
        <w:rPr>
          <w:rFonts w:ascii="Barlow Semi Condensed" w:cs="Barlow Semi Condensed" w:eastAsia="Barlow Semi Condensed" w:hAnsi="Barlow Semi Condensed"/>
          <w:sz w:val="24"/>
          <w:szCs w:val="24"/>
        </w:rPr>
        <w:t xml:space="preserve"> Diagnosi del vuoto secondo il secondo tempo della regola dei buchi: i due documenti tacciono perché la loro colonna statunitense è la più sottile delle quattro. L'agenda le dedica dieci blocchi (126-135) dentro la serie sesta; i nove cantieri non le dedicano alcuna Parte, e il blocco 119 rinvia Washington «al cantiere americano dell'agenda». Il rinvio è a dieci righe. Lacuna di costruzione, misurabile e sanabile: non indizio di occultamento.</w:t>
      </w:r>
    </w:p>
    <w:p>
      <w:pPr>
        <w:spacing w:after="120" w:line="276"/>
        <w:jc w:val="both"/>
      </w:pPr>
      <w:r>
        <w:rPr>
          <w:rFonts w:ascii="Barlow Semi Condensed" w:cs="Barlow Semi Condensed" w:eastAsia="Barlow Semi Condensed" w:hAnsi="Barlow Semi Condensed"/>
          <w:b/>
          <w:bCs/>
          <w:sz w:val="24"/>
          <w:szCs w:val="24"/>
        </w:rPr>
        <w:t xml:space="preserve">4245 · Il verbale di vuoto, le voci.</w:t>
      </w:r>
      <w:r>
        <w:rPr>
          <w:rFonts w:ascii="Barlow Semi Condensed" w:cs="Barlow Semi Condensed" w:eastAsia="Barlow Semi Condensed" w:hAnsi="Barlow Semi Condensed"/>
          <w:sz w:val="24"/>
          <w:szCs w:val="24"/>
        </w:rPr>
        <w:t xml:space="preserve"> Modulo obbligatorio per ogni esito negativo di questa serie, dai blocchi 651-654 dell'opera-madre: che cosa è stato cercato, dove, quando, da chi, con quale perimetro seriale e cronologico, con le varianti di stringa incluse ed escluse. Chi contesta uno Stato Zero deve poter ripetere la ricerca identica e batterla. Un esito negativo non falsificabile non è un'acquisizione: è un'opinione con la faccia di un dato.</w:t>
      </w:r>
    </w:p>
    <w:p>
      <w:pPr>
        <w:spacing w:after="120" w:line="276"/>
        <w:jc w:val="both"/>
      </w:pPr>
      <w:r>
        <w:rPr>
          <w:rFonts w:ascii="Barlow Semi Condensed" w:cs="Barlow Semi Condensed" w:eastAsia="Barlow Semi Condensed" w:hAnsi="Barlow Semi Condensed"/>
          <w:b/>
          <w:bCs/>
          <w:sz w:val="24"/>
          <w:szCs w:val="24"/>
        </w:rPr>
        <w:t xml:space="preserve">4246 · Dieci blocchi per un continente.</w:t>
      </w:r>
      <w:r>
        <w:rPr>
          <w:rFonts w:ascii="Barlow Semi Condensed" w:cs="Barlow Semi Condensed" w:eastAsia="Barlow Semi Condensed" w:hAnsi="Barlow Semi Condensed"/>
          <w:sz w:val="24"/>
          <w:szCs w:val="24"/>
        </w:rPr>
        <w:t xml:space="preserve"> Ricognizione della serie sesta dell'agenda: trenta bersagli internazionali — dieci americani (126-135), due britannici, tre francesi, due tedeschi, uno atlantico, uno svizzero, tre ecclesiastici, otto di metodo. L'apparato V-3 conferma la colonna americana con quattro indirizzi: aad.archives.gov, foia.state.gov, cia.gov/readingroom, jimmycarterlibrary.gov. Nessuna biblioteca presidenziale anteriore a Carter, nessun fondo testuale di College Park, nessuna serie del Segretario di Stato. La colonna esiste, ed è tarata sul solo 1978.</w:t>
      </w:r>
    </w:p>
    <w:p>
      <w:pPr>
        <w:spacing w:after="120" w:line="276"/>
        <w:jc w:val="both"/>
      </w:pPr>
      <w:r>
        <w:rPr>
          <w:rFonts w:ascii="Barlow Semi Condensed" w:cs="Barlow Semi Condensed" w:eastAsia="Barlow Semi Condensed" w:hAnsi="Barlow Semi Condensed"/>
          <w:b/>
          <w:bCs/>
          <w:sz w:val="24"/>
          <w:szCs w:val="24"/>
        </w:rPr>
        <w:t xml:space="preserve">4247 · L'originatore e il documento edito.</w:t>
      </w:r>
      <w:r>
        <w:rPr>
          <w:rFonts w:ascii="Barlow Semi Condensed" w:cs="Barlow Semi Condensed" w:eastAsia="Barlow Semi Condensed" w:hAnsi="Barlow Semi Condensed"/>
          <w:sz w:val="24"/>
          <w:szCs w:val="24"/>
        </w:rPr>
        <w:t xml:space="preserve"> Un documento straniero si apre col consenso di chi lo produsse: così il blocco 126 e la scheda PE-5 fissano il vincolo che governa il ritenuto alleato. Accertamento di grado B: quel vincolo non tocca il memorandum del 25 settembre 1974, già edito in FRUS e già digitalizzato dalla Ford Library. Dove la carta è pubblicata il problema non è l'accesso ma la lettura — e nessun blocco del territorio lo pone.</w:t>
      </w:r>
    </w:p>
    <w:p>
      <w:pPr>
        <w:spacing w:after="120" w:line="276"/>
        <w:jc w:val="both"/>
      </w:pPr>
      <w:r>
        <w:rPr>
          <w:rFonts w:ascii="Barlow Semi Condensed" w:cs="Barlow Semi Condensed" w:eastAsia="Barlow Semi Condensed" w:hAnsi="Barlow Semi Condensed"/>
          <w:b/>
          <w:bCs/>
          <w:sz w:val="24"/>
          <w:szCs w:val="24"/>
        </w:rPr>
        <w:t xml:space="preserve">4248 · Le withdrawal cards, finestra sbagliata.</w:t>
      </w:r>
      <w:r>
        <w:rPr>
          <w:rFonts w:ascii="Barlow Semi Condensed" w:cs="Barlow Semi Condensed" w:eastAsia="Barlow Semi Condensed" w:hAnsi="Barlow Semi Condensed"/>
          <w:sz w:val="24"/>
          <w:szCs w:val="24"/>
        </w:rPr>
        <w:t xml:space="preserve"> Circa quattrocentosettantaquattro atti di origine alleata: tanto conta il censimento del ritenuto che il blocco 127 porta a tavola completa nei Central Foreign Policy Files, tutto per il 1978. Stato Zero dichiarato: nessun blocco censisce il ritirato per il quadriennio 1974-1977, il solo dove il nome in esame poteva figurare come firmatario o come interlocutore. La sede che lo chiuderebbe è la stessa, a College Park, con la finestra spostata di quattro anni.</w:t>
      </w:r>
    </w:p>
    <w:p>
      <w:pPr>
        <w:spacing w:after="120" w:line="276"/>
        <w:jc w:val="both"/>
      </w:pPr>
      <w:r>
        <w:rPr>
          <w:rFonts w:ascii="Barlow Semi Condensed" w:cs="Barlow Semi Condensed" w:eastAsia="Barlow Semi Condensed" w:hAnsi="Barlow Semi Condensed"/>
          <w:b/>
          <w:bCs/>
          <w:sz w:val="24"/>
          <w:szCs w:val="24"/>
        </w:rPr>
        <w:t xml:space="preserve">4249 · La copertura AAD eccede la domanda.</w:t>
      </w:r>
      <w:r>
        <w:rPr>
          <w:rFonts w:ascii="Barlow Semi Condensed" w:cs="Barlow Semi Condensed" w:eastAsia="Barlow Semi Condensed" w:hAnsi="Barlow Semi Condensed"/>
          <w:sz w:val="24"/>
          <w:szCs w:val="24"/>
        </w:rPr>
        <w:t xml:space="preserve"> Accertamento tecnico dal blocco 128: la copertura full-text dei Central Foreign Policy Files su NARA AAD va dal 1° luglio 1973 al 31 dicembre 1979 e contiene per intero il mandato di Segretario di Stato, dal 22 settembre 1973 al 20 gennaio 1977. Lo strumento più economico dell'intero versante estero è già capace di rispondere; l'agenda lo interroga solo sul 1978. Estendere la griglia al quadriennio precedente non costa una trasferta.</w:t>
      </w:r>
    </w:p>
    <w:p>
      <w:pPr>
        <w:spacing w:after="120" w:line="276"/>
        <w:jc w:val="both"/>
      </w:pPr>
      <w:r>
        <w:rPr>
          <w:rFonts w:ascii="Barlow Semi Condensed" w:cs="Barlow Semi Condensed" w:eastAsia="Barlow Semi Condensed" w:hAnsi="Barlow Semi Condensed"/>
          <w:b/>
          <w:bCs/>
          <w:sz w:val="24"/>
          <w:szCs w:val="24"/>
        </w:rPr>
        <w:t xml:space="preserve">4250 · La firma che non è autografia.</w:t>
      </w:r>
      <w:r>
        <w:rPr>
          <w:rFonts w:ascii="Barlow Semi Condensed" w:cs="Barlow Semi Condensed" w:eastAsia="Barlow Semi Condensed" w:hAnsi="Barlow Semi Condensed"/>
          <w:sz w:val="24"/>
          <w:szCs w:val="24"/>
        </w:rPr>
        <w:t xml:space="preserve"> Avvertenza tecnica per chiunque estenda quella griglia: nei telegrammi in partenza dal Dipartimento di Stato il cognome del Segretario compare in calce come firma d'ufficio, non come indice di redazione personale. Una ricerca full-text su quel cognome restituirà decine di migliaia di riscontri istituzionali. Il blocco 645 dell'opera-madre lo aveva previsto in generale; qui diventa specifico, perché un falso positivo su questo nome danneggia più di dieci vuoti.</w:t>
      </w:r>
    </w:p>
    <w:p>
      <w:pPr>
        <w:spacing w:after="120" w:line="276"/>
        <w:jc w:val="both"/>
      </w:pPr>
      <w:r>
        <w:rPr>
          <w:rFonts w:ascii="Barlow Semi Condensed" w:cs="Barlow Semi Condensed" w:eastAsia="Barlow Semi Condensed" w:hAnsi="Barlow Semi Condensed"/>
          <w:b/>
          <w:bCs/>
          <w:sz w:val="24"/>
          <w:szCs w:val="24"/>
        </w:rPr>
        <w:t xml:space="preserve">4251 · La microfiche e i suoi anni.</w:t>
      </w:r>
      <w:r>
        <w:rPr>
          <w:rFonts w:ascii="Barlow Semi Condensed" w:cs="Barlow Semi Condensed" w:eastAsia="Barlow Semi Condensed" w:hAnsi="Barlow Semi Condensed"/>
          <w:sz w:val="24"/>
          <w:szCs w:val="24"/>
        </w:rPr>
        <w:t xml:space="preserve"> Bersaglio da portare a foia.state.gov: la collezione dedicata «Aldo Moro, Prime Minister of Italy, Representative of the Christian-Democrat Party (DC)», censita dal blocco 129 come rilascio storico non interamente digitalizzato. Quesito preciso, da porre prima di ogni acquisizione integrale: la raccolta copre anche gli anni in cui Moro fu ministro degli Esteri e presidente del Consiglio, o si arresta al 1978? L'indice della collezione risponde da solo.</w:t>
      </w:r>
    </w:p>
    <w:p>
      <w:pPr>
        <w:spacing w:after="120" w:line="276"/>
        <w:jc w:val="both"/>
      </w:pPr>
      <w:r>
        <w:rPr>
          <w:rFonts w:ascii="Barlow Semi Condensed" w:cs="Barlow Semi Condensed" w:eastAsia="Barlow Semi Condensed" w:hAnsi="Barlow Semi Condensed"/>
          <w:b/>
          <w:bCs/>
          <w:sz w:val="24"/>
          <w:szCs w:val="24"/>
        </w:rPr>
        <w:t xml:space="preserve">4252 · Il lotto già in casa.</w:t>
      </w:r>
      <w:r>
        <w:rPr>
          <w:rFonts w:ascii="Barlow Semi Condensed" w:cs="Barlow Semi Condensed" w:eastAsia="Barlow Semi Condensed" w:hAnsi="Barlow Semi Condensed"/>
          <w:sz w:val="24"/>
          <w:szCs w:val="24"/>
        </w:rPr>
        <w:t xml:space="preserve"> Un fascicolo FOIA il corpus lo possiede già, e il blocco 130 lo registra: caso R-2021-002xx, numeri di controllo B-00001939965-989, TAGS PINT e IT. Quesito eseguibile senza spendere nulla: quel lotto contiene carte del quadriennio 1973-1977, e con quale firma? La risposta si legge nelle carte acquisite, non in una richiesta nuova. È il bersaglio a costo zero che la contabilità del blocco 286 collocherebbe in testa alla graduatoria.</w:t>
      </w:r>
    </w:p>
    <w:p>
      <w:pPr>
        <w:spacing w:after="120" w:line="276"/>
        <w:jc w:val="both"/>
      </w:pPr>
      <w:r>
        <w:rPr>
          <w:rFonts w:ascii="Barlow Semi Condensed" w:cs="Barlow Semi Condensed" w:eastAsia="Barlow Semi Condensed" w:hAnsi="Barlow Semi Condensed"/>
          <w:b/>
          <w:bCs/>
          <w:sz w:val="24"/>
          <w:szCs w:val="24"/>
        </w:rPr>
        <w:t xml:space="preserve">4253 · Non il tempo, la lavorazione.</w:t>
      </w:r>
      <w:r>
        <w:rPr>
          <w:rFonts w:ascii="Barlow Semi Condensed" w:cs="Barlow Semi Condensed" w:eastAsia="Barlow Semi Condensed" w:hAnsi="Barlow Semi Condensed"/>
          <w:sz w:val="24"/>
          <w:szCs w:val="24"/>
        </w:rPr>
        <w:t xml:space="preserve"> Precisazione che corregge un'attesa implicita del blocco 131: per il materiale 1974-1977 la barriera non è più il decorso dei termini, poiché l'automatismo venticinquennale è ampiamente maturato. Restano le esenzioni residue, i rinvii di competenza fra amministrazioni originatrici e i tempi di lavorazione delle istanze. Le richieste mirate vanno dunque scritte contro queste tre cose, e non contro un calendario che è già scaduto a favore della ricerca.</w:t>
      </w:r>
    </w:p>
    <w:p>
      <w:pPr>
        <w:spacing w:after="120" w:line="276"/>
        <w:jc w:val="both"/>
      </w:pPr>
      <w:r>
        <w:rPr>
          <w:rFonts w:ascii="Barlow Semi Condensed" w:cs="Barlow Semi Condensed" w:eastAsia="Barlow Semi Condensed" w:hAnsi="Barlow Semi Condensed"/>
          <w:b/>
          <w:bCs/>
          <w:sz w:val="24"/>
          <w:szCs w:val="24"/>
        </w:rPr>
        <w:t xml:space="preserve">4254 · Langley, e la distinzione dichiarata.</w:t>
      </w:r>
      <w:r>
        <w:rPr>
          <w:rFonts w:ascii="Barlow Semi Condensed" w:cs="Barlow Semi Condensed" w:eastAsia="Barlow Semi Condensed" w:hAnsi="Barlow Semi Condensed"/>
          <w:sz w:val="24"/>
          <w:szCs w:val="24"/>
        </w:rPr>
        <w:t xml:space="preserve"> Distinguere i documenti analitici dalle rassegne stampa raccolte internamente: è la disciplina che il blocco 132 impone alla sala di lettura della CIA, e questa serie la eredita. Applicata al nome in esame diventa decisiva — un ritaglio che lo cita è circolazione, non intelligence. Ogni reperto si marca per ciò che è. La stessa avvertenza sta nell'apparato V-3, ed è la ragione per cui quel giacimento produce meno di quanto prometta.</w:t>
      </w:r>
    </w:p>
    <w:p>
      <w:pPr>
        <w:spacing w:after="120" w:line="276"/>
        <w:jc w:val="both"/>
      </w:pPr>
      <w:r>
        <w:rPr>
          <w:rFonts w:ascii="Barlow Semi Condensed" w:cs="Barlow Semi Condensed" w:eastAsia="Barlow Semi Condensed" w:hAnsi="Barlow Semi Condensed"/>
          <w:b/>
          <w:bCs/>
          <w:sz w:val="24"/>
          <w:szCs w:val="24"/>
        </w:rPr>
        <w:t xml:space="preserve">4255 · Atlanta, e il fuori mandato.</w:t>
      </w:r>
      <w:r>
        <w:rPr>
          <w:rFonts w:ascii="Barlow Semi Condensed" w:cs="Barlow Semi Condensed" w:eastAsia="Barlow Semi Condensed" w:hAnsi="Barlow Semi Condensed"/>
          <w:sz w:val="24"/>
          <w:szCs w:val="24"/>
        </w:rPr>
        <w:t xml:space="preserve"> Cronologia contro geografia: la collezione «National Security Affairs, Brzezinski Material» del blocco 133 copre il 1977-1981, cioè gli anni in cui l'uomo in esame era cittadino privato — Assistente per la sicurezza nazionale fino al 3 novembre 1975, Segretario di Stato fino al 20 gennaio 1977. La Carter Library può documentare che cosa Washington fece nei 55 giorni; non può documentare un rapporto d'ufficio che allora non esisteva più.</w:t>
      </w:r>
    </w:p>
    <w:p>
      <w:pPr>
        <w:spacing w:after="120" w:line="276"/>
        <w:jc w:val="both"/>
      </w:pPr>
      <w:r>
        <w:rPr>
          <w:rFonts w:ascii="Barlow Semi Condensed" w:cs="Barlow Semi Condensed" w:eastAsia="Barlow Semi Condensed" w:hAnsi="Barlow Semi Condensed"/>
          <w:b/>
          <w:bCs/>
          <w:sz w:val="24"/>
          <w:szCs w:val="24"/>
        </w:rPr>
        <w:t xml:space="preserve">4256 · La finestra FRUS dell'agenda.</w:t>
      </w:r>
      <w:r>
        <w:rPr>
          <w:rFonts w:ascii="Barlow Semi Condensed" w:cs="Barlow Semi Condensed" w:eastAsia="Barlow Semi Condensed" w:hAnsi="Barlow Semi Condensed"/>
          <w:sz w:val="24"/>
          <w:szCs w:val="24"/>
        </w:rPr>
        <w:t xml:space="preserve"> Accertamento di grado B sul blocco 134: l'agenda scopre i volumi Foreign Relations of the United States per il 1977-1980. Quella finestra esclude per costruzione il ciclo 1969-1976, e con esso il volume E-15 parte 2, dove sta al documento 350 il solo verbale che metta insieme, in una stanza, Leone, Moro, Ford, Kissinger e Scowcroft. Il blocco giusto guarda dalla parte sbagliata di una data.</w:t>
      </w:r>
    </w:p>
    <w:p>
      <w:pPr>
        <w:spacing w:after="120" w:line="276"/>
        <w:jc w:val="both"/>
      </w:pPr>
      <w:r>
        <w:rPr>
          <w:rFonts w:ascii="Barlow Semi Condensed" w:cs="Barlow Semi Condensed" w:eastAsia="Barlow Semi Condensed" w:hAnsi="Barlow Semi Condensed"/>
          <w:b/>
          <w:bCs/>
          <w:sz w:val="24"/>
          <w:szCs w:val="24"/>
        </w:rPr>
        <w:t xml:space="preserve">4257 · Il ciclo che manca all'agenda.</w:t>
      </w:r>
      <w:r>
        <w:rPr>
          <w:rFonts w:ascii="Barlow Semi Condensed" w:cs="Barlow Semi Condensed" w:eastAsia="Barlow Semi Condensed" w:hAnsi="Barlow Semi Condensed"/>
          <w:sz w:val="24"/>
          <w:szCs w:val="24"/>
        </w:rPr>
        <w:t xml:space="preserve"> Bersaglio che ne discende, formulato nella grammatica dello stesso blocco 134: aggiungere alla colonna americana lo spoglio del ciclo FRUS 1969-1976 — i volumi sull'Europa occidentale e la NATO, il volume XLI, il volume E-15 parte 2 nella seconda edizione riveduta — con la consegna che l'agenda già dà per il 1977-1980: ogni nota a piè di pagina è una segnatura da seguire fino al fondo che l'ha alimentata.</w:t>
      </w:r>
    </w:p>
    <w:p>
      <w:pPr>
        <w:spacing w:after="120" w:line="276"/>
        <w:jc w:val="both"/>
      </w:pPr>
      <w:r>
        <w:rPr>
          <w:rFonts w:ascii="Barlow Semi Condensed" w:cs="Barlow Semi Condensed" w:eastAsia="Barlow Semi Condensed" w:hAnsi="Barlow Semi Condensed"/>
          <w:b/>
          <w:bCs/>
          <w:sz w:val="24"/>
          <w:szCs w:val="24"/>
        </w:rPr>
        <w:t xml:space="preserve">4258 · Il Congresso, perimetro troppo stretto.</w:t>
      </w:r>
      <w:r>
        <w:rPr>
          <w:rFonts w:ascii="Barlow Semi Condensed" w:cs="Barlow Semi Condensed" w:eastAsia="Barlow Semi Condensed" w:hAnsi="Barlow Semi Condensed"/>
          <w:sz w:val="24"/>
          <w:szCs w:val="24"/>
        </w:rPr>
        <w:t xml:space="preserve"> Gli atti delle commissioni del Congresso «sul terrorismo europeo degli anni Settanta»: così il blocco 135 delimita il proprio bersaglio. Stato Zero: nessun blocco raggiunge le inchieste parlamentari statunitensi del 1975-1976 sui servizi, che sono la sede dove la materia italiana del finanziamento coperto fu discussa in pubblico. La sede che lo chiuderebbe è il record a stampa di quelle commissioni, digitalizzato e liberamente interrogabile: costo nullo, rendimento contestuale alto.</w:t>
      </w:r>
    </w:p>
    <w:p>
      <w:pPr>
        <w:spacing w:after="120" w:line="276"/>
        <w:jc w:val="both"/>
      </w:pPr>
      <w:r>
        <w:rPr>
          <w:rFonts w:ascii="Barlow Semi Condensed" w:cs="Barlow Semi Condensed" w:eastAsia="Barlow Semi Condensed" w:hAnsi="Barlow Semi Condensed"/>
          <w:b/>
          <w:bCs/>
          <w:sz w:val="24"/>
          <w:szCs w:val="24"/>
        </w:rPr>
        <w:t xml:space="preserve">4259 · Ann Arbor, mai nominata.</w:t>
      </w:r>
      <w:r>
        <w:rPr>
          <w:rFonts w:ascii="Barlow Semi Condensed" w:cs="Barlow Semi Condensed" w:eastAsia="Barlow Semi Condensed" w:hAnsi="Barlow Semi Condensed"/>
          <w:sz w:val="24"/>
          <w:szCs w:val="24"/>
        </w:rPr>
        <w:t xml:space="preserve"> Stato Zero verbalizzato: la Gerald R. Ford Presidential Library non compare in alcuno dei milletrecento blocchi del territorio, né nell'apparato V-3 dell'agenda, né nell'apparato C-1 dei cantieri. È la sede che conserva i National Security Adviser's Memoranda of Conversation, serie descritta a livello di singolo pezzo, dove il corpus ha già ancorato il file 1552802. La sede che chiuderebbe la lacuna si nomina in una riga e si interroga da remoto.</w:t>
      </w:r>
    </w:p>
    <w:p>
      <w:pPr>
        <w:spacing w:after="120" w:line="276"/>
        <w:jc w:val="both"/>
      </w:pPr>
      <w:r>
        <w:rPr>
          <w:rFonts w:ascii="Barlow Semi Condensed" w:cs="Barlow Semi Condensed" w:eastAsia="Barlow Semi Condensed" w:hAnsi="Barlow Semi Condensed"/>
          <w:b/>
          <w:bCs/>
          <w:sz w:val="24"/>
          <w:szCs w:val="24"/>
        </w:rPr>
        <w:t xml:space="preserve">4260 · College Park e i fondi testuali.</w:t>
      </w:r>
      <w:r>
        <w:rPr>
          <w:rFonts w:ascii="Barlow Semi Condensed" w:cs="Barlow Semi Condensed" w:eastAsia="Barlow Semi Condensed" w:hAnsi="Barlow Semi Condensed"/>
          <w:sz w:val="24"/>
          <w:szCs w:val="24"/>
        </w:rPr>
        <w:t xml:space="preserve"> Secondo Stato Zero della stessa specie: né i Nixon Presidential Materials con gli NSC Files e i Country Files Italy, né le carte dell'ufficio del Segretario di Stato per il 1973-1977 nel Record Group 59 compaiono nel territorio. L'agenda conosce i National Archives soltanto come motore di ricerca dei telegrammi. La distinzione fra la banca dati elettronica e i fondi testuali della stessa istituzione non è pedanteria: è metà del giacimento.</w:t>
      </w:r>
    </w:p>
    <w:p>
      <w:pPr>
        <w:spacing w:after="120" w:line="276"/>
        <w:jc w:val="both"/>
      </w:pPr>
      <w:r>
        <w:rPr>
          <w:rFonts w:ascii="Barlow Semi Condensed" w:cs="Barlow Semi Condensed" w:eastAsia="Barlow Semi Condensed" w:hAnsi="Barlow Semi Condensed"/>
          <w:b/>
          <w:bCs/>
          <w:sz w:val="24"/>
          <w:szCs w:val="24"/>
        </w:rPr>
        <w:t xml:space="preserve">4261 · Tre cantieri, nessuno atlantico.</w:t>
      </w:r>
      <w:r>
        <w:rPr>
          <w:rFonts w:ascii="Barlow Semi Condensed" w:cs="Barlow Semi Condensed" w:eastAsia="Barlow Semi Condensed" w:hAnsi="Barlow Semi Condensed"/>
          <w:sz w:val="24"/>
          <w:szCs w:val="24"/>
        </w:rPr>
        <w:t xml:space="preserve"> Centoventi blocchi per tre capitali, quaranta ciascuno, con tavole, calendari, verbali di vuoto e campioni di controllo: così la Parte prima dei nove cantieri tratta Londra, Parigi e Bonn. Washington non ha i suoi quaranta. L'asimmetria è dichiarata dal titolo stesso della Parte — «Oltremanica, oltralpe, oltre Reno» — che nomina tre direzioni e non la quarta. Il territorio è coerente con sé; è la quadriga a essere zoppa da un lato.</w:t>
      </w:r>
    </w:p>
    <w:p>
      <w:pPr>
        <w:spacing w:after="120" w:line="276"/>
        <w:jc w:val="both"/>
      </w:pPr>
      <w:r>
        <w:rPr>
          <w:rFonts w:ascii="Barlow Semi Condensed" w:cs="Barlow Semi Condensed" w:eastAsia="Barlow Semi Condensed" w:hAnsi="Barlow Semi Condensed"/>
          <w:b/>
          <w:bCs/>
          <w:sz w:val="24"/>
          <w:szCs w:val="24"/>
        </w:rPr>
        <w:t xml:space="preserve">4262 · Il rinvio del blocco 119.</w:t>
      </w:r>
      <w:r>
        <w:rPr>
          <w:rFonts w:ascii="Barlow Semi Condensed" w:cs="Barlow Semi Condensed" w:eastAsia="Barlow Semi Condensed" w:hAnsi="Barlow Semi Condensed"/>
          <w:sz w:val="24"/>
          <w:szCs w:val="24"/>
        </w:rPr>
        <w:t xml:space="preserve"> Una parentesi regge la quarta capitale: la sintesi trilaterale promette la collazione «Londra-Parigi-Bonn (con Washington dal cantiere americano dell'agenda)». È il punto esatto in cui la quadriga scarica sulla colonna più leggera il peso di un intero versante — dieci blocchi devono reggere ciò che altrove ne regge quaranta. Il bersaglio non è correggere il blocco 119: è portare quella parentesi alla profondità che l'opera esige ovunque altrove.</w:t>
      </w:r>
    </w:p>
    <w:p>
      <w:pPr>
        <w:spacing w:after="120" w:line="276"/>
        <w:jc w:val="both"/>
      </w:pPr>
      <w:r>
        <w:rPr>
          <w:rFonts w:ascii="Barlow Semi Condensed" w:cs="Barlow Semi Condensed" w:eastAsia="Barlow Semi Condensed" w:hAnsi="Barlow Semi Condensed"/>
          <w:b/>
          <w:bCs/>
          <w:sz w:val="24"/>
          <w:szCs w:val="24"/>
        </w:rPr>
        <w:t xml:space="preserve">4263 · Il ritratto americano senza segnatura.</w:t>
      </w:r>
      <w:r>
        <w:rPr>
          <w:rFonts w:ascii="Barlow Semi Condensed" w:cs="Barlow Semi Condensed" w:eastAsia="Barlow Semi Condensed" w:hAnsi="Barlow Semi Condensed"/>
          <w:sz w:val="24"/>
          <w:szCs w:val="24"/>
        </w:rPr>
        <w:t xml:space="preserve"> «Il corpus ha il ritratto diplomatico americano; il gemello britannico è un bersaglio naturale»: così dichiara il blocco 25 del cantiere britannico. Rilievo: l'affermazione è esatta e priva di indirizzo. In mille blocchi nessuno dice dove quel ritratto stia, quale fondo lo conservi, con quale segnatura si citi. Un riferimento senza segnatura è un debito che il cantiere contrae con sé stesso e non salda mai.</w:t>
      </w:r>
    </w:p>
    <w:p>
      <w:pPr>
        <w:spacing w:after="120" w:line="276"/>
        <w:jc w:val="both"/>
      </w:pPr>
      <w:r>
        <w:rPr>
          <w:rFonts w:ascii="Barlow Semi Condensed" w:cs="Barlow Semi Condensed" w:eastAsia="Barlow Semi Condensed" w:hAnsi="Barlow Semi Condensed"/>
          <w:b/>
          <w:bCs/>
          <w:sz w:val="24"/>
          <w:szCs w:val="24"/>
        </w:rPr>
        <w:t xml:space="preserve">4264 · La segnatura del ritratto, fornita.</w:t>
      </w:r>
      <w:r>
        <w:rPr>
          <w:rFonts w:ascii="Barlow Semi Condensed" w:cs="Barlow Semi Condensed" w:eastAsia="Barlow Semi Condensed" w:hAnsi="Barlow Semi Condensed"/>
          <w:sz w:val="24"/>
          <w:szCs w:val="24"/>
        </w:rPr>
        <w:t xml:space="preserve"> Accertamento di piano 1, già fissato dall'opera e qui restituito al territorio: il memorandum of conversation dello Studio Ovale del 25 settembre 1974 — Leone, Moro, Ford, Kissinger, Scowcroft — è edito in FRUS 1969-1976, volume E-15 parte 2, documento 350, seconda edizione riveduta, e conservato alla Ford Library nei National Security Adviser's Memoranda of Conversation, file 1552802. Il ritratto ha una casa e ha un numero.</w:t>
      </w:r>
    </w:p>
    <w:p>
      <w:pPr>
        <w:spacing w:after="120" w:line="276"/>
        <w:jc w:val="both"/>
      </w:pPr>
      <w:r>
        <w:rPr>
          <w:rFonts w:ascii="Barlow Semi Condensed" w:cs="Barlow Semi Condensed" w:eastAsia="Barlow Semi Condensed" w:hAnsi="Barlow Semi Condensed"/>
          <w:b/>
          <w:bCs/>
          <w:sz w:val="24"/>
          <w:szCs w:val="24"/>
        </w:rPr>
        <w:t xml:space="preserve">4265 · Il secondo verbale, ignorato.</w:t>
      </w:r>
      <w:r>
        <w:rPr>
          <w:rFonts w:ascii="Barlow Semi Condensed" w:cs="Barlow Semi Condensed" w:eastAsia="Barlow Semi Condensed" w:hAnsi="Barlow Semi Condensed"/>
          <w:sz w:val="24"/>
          <w:szCs w:val="24"/>
        </w:rPr>
        <w:t xml:space="preserve"> Bersaglio inedito per il territorio: al colloquio del 25 settembre 1974 segue quello del giorno dopo, conservato alla stessa Ford Library come file 1552806. Nessun blocco dell'agenda o dei cantieri lo richiama, e nessuna sintesi corrente lo cita. Quesito minimo e a costo nullo: che cosa il verbale del 26 settembre aggiunge, conferma o tace rispetto al primo? Due carte contigue si leggono insieme, o non si sono lette.</w:t>
      </w:r>
    </w:p>
    <w:p>
      <w:pPr>
        <w:spacing w:after="120" w:line="276"/>
        <w:jc w:val="both"/>
      </w:pPr>
      <w:r>
        <w:rPr>
          <w:rFonts w:ascii="Barlow Semi Condensed" w:cs="Barlow Semi Condensed" w:eastAsia="Barlow Semi Condensed" w:hAnsi="Barlow Semi Condensed"/>
          <w:b/>
          <w:bCs/>
          <w:sz w:val="24"/>
          <w:szCs w:val="24"/>
        </w:rPr>
        <w:t xml:space="preserve">4266 · Il paragone c'è, la colonna no.</w:t>
      </w:r>
      <w:r>
        <w:rPr>
          <w:rFonts w:ascii="Barlow Semi Condensed" w:cs="Barlow Semi Condensed" w:eastAsia="Barlow Semi Condensed" w:hAnsi="Barlow Semi Condensed"/>
          <w:sz w:val="24"/>
          <w:szCs w:val="24"/>
        </w:rPr>
        <w:t xml:space="preserve"> Una similitudine rivelatrice sta nel cantiere tedesco: gli «Akten zur Auswärtigen Politik» stanno a Bonn «come FRUS per Washington — l'edizione è la mappa dichiarata dell'archivio che la alimentò». L'opera conosce dunque perfettamente la funzione di FRUS e la spende per analogia. Ciò che non fa è applicarla: la mappa tedesca ha il suo cantiere di quaranta blocchi, quella americana un rinvio di dieci righe.</w:t>
      </w:r>
    </w:p>
    <w:p>
      <w:pPr>
        <w:spacing w:after="120" w:line="276"/>
        <w:jc w:val="both"/>
      </w:pPr>
      <w:r>
        <w:rPr>
          <w:rFonts w:ascii="Barlow Semi Condensed" w:cs="Barlow Semi Condensed" w:eastAsia="Barlow Semi Condensed" w:hAnsi="Barlow Semi Condensed"/>
          <w:b/>
          <w:bCs/>
          <w:sz w:val="24"/>
          <w:szCs w:val="24"/>
        </w:rPr>
        <w:t xml:space="preserve">4267 · Le sequenze orarie e la carica.</w:t>
      </w:r>
      <w:r>
        <w:rPr>
          <w:rFonts w:ascii="Barlow Semi Condensed" w:cs="Barlow Semi Condensed" w:eastAsia="Barlow Semi Condensed" w:hAnsi="Barlow Semi Condensed"/>
          <w:sz w:val="24"/>
          <w:szCs w:val="24"/>
        </w:rPr>
        <w:t xml:space="preserve"> Vale per i blocchi 26, 62, 95 e 84 una regola cronologica elementare: le sequenze telegrafiche che i cantieri costruiscono riguardano il 16 marzo, il 18 aprile e il 9 maggio 1978. In quelle date l'uomo in esame non ricopriva alcuna carica pubblica da oltre un anno. Nessuna colonna di quelle tavole potrà mai portarne il nome per ufficio, e chi vi cercasse un suo dispaccio starebbe cercando nella stanza sbagliata.</w:t>
      </w:r>
    </w:p>
    <w:p>
      <w:pPr>
        <w:spacing w:after="120" w:line="276"/>
        <w:jc w:val="both"/>
      </w:pPr>
      <w:r>
        <w:rPr>
          <w:rFonts w:ascii="Barlow Semi Condensed" w:cs="Barlow Semi Condensed" w:eastAsia="Barlow Semi Condensed" w:hAnsi="Barlow Semi Condensed"/>
          <w:b/>
          <w:bCs/>
          <w:sz w:val="24"/>
          <w:szCs w:val="24"/>
        </w:rPr>
        <w:t xml:space="preserve">4268 · La collazione che non lo tocca.</w:t>
      </w:r>
      <w:r>
        <w:rPr>
          <w:rFonts w:ascii="Barlow Semi Condensed" w:cs="Barlow Semi Condensed" w:eastAsia="Barlow Semi Condensed" w:hAnsi="Barlow Semi Condensed"/>
          <w:sz w:val="24"/>
          <w:szCs w:val="24"/>
        </w:rPr>
        <w:t xml:space="preserve"> Corollario per il blocco 153 dell'agenda e per il 119 dei cantieri: la collazione bilaterale e quadrilaterale dei giorni chiave è costruita per misurare divergenze fra sedi diplomatiche in servizio. È uno strumento eccellente e strutturalmente cieco al nostro nome. Dichiararlo non è un limite dell'opera: è la definizione esatta di che cosa quello strumento può e non può decidere, scritta prima di usarlo.</w:t>
      </w:r>
    </w:p>
    <w:p>
      <w:pPr>
        <w:spacing w:after="120" w:line="276"/>
        <w:jc w:val="both"/>
      </w:pPr>
      <w:r>
        <w:rPr>
          <w:rFonts w:ascii="Barlow Semi Condensed" w:cs="Barlow Semi Condensed" w:eastAsia="Barlow Semi Condensed" w:hAnsi="Barlow Semi Condensed"/>
          <w:b/>
          <w:bCs/>
          <w:sz w:val="24"/>
          <w:szCs w:val="24"/>
        </w:rPr>
        <w:t xml:space="preserve">4269 · Londra ha la sua colonna.</w:t>
      </w:r>
      <w:r>
        <w:rPr>
          <w:rFonts w:ascii="Barlow Semi Condensed" w:cs="Barlow Semi Condensed" w:eastAsia="Barlow Semi Condensed" w:hAnsi="Barlow Semi Condensed"/>
          <w:sz w:val="24"/>
          <w:szCs w:val="24"/>
        </w:rPr>
        <w:t xml:space="preserve"> Confronto interno che misura lo squilibrio: il blocco 38 dei cantieri prescrive la collazione sistematica Londra-Washington sulle giornate chiave, e il blocco 34 elenca per Kew serie, fascicoli e stati — FCO 33, PREM 16, CAB, DEFE, FCO 9. Per Washington non esiste tavola equivalente. Il primo cantiere consegna «il suo modello di contabilità agli altri otto»: il modello non è mai arrivato alla quarta capitale.</w:t>
      </w:r>
    </w:p>
    <w:p>
      <w:pPr>
        <w:spacing w:after="120" w:line="276"/>
        <w:jc w:val="both"/>
      </w:pPr>
      <w:r>
        <w:rPr>
          <w:rFonts w:ascii="Barlow Semi Condensed" w:cs="Barlow Semi Condensed" w:eastAsia="Barlow Semi Condensed" w:hAnsi="Barlow Semi Condensed"/>
          <w:b/>
          <w:bCs/>
          <w:sz w:val="24"/>
          <w:szCs w:val="24"/>
        </w:rPr>
        <w:t xml:space="preserve">4270 · Berna, una sede a basso costo.</w:t>
      </w:r>
      <w:r>
        <w:rPr>
          <w:rFonts w:ascii="Barlow Semi Condensed" w:cs="Barlow Semi Condensed" w:eastAsia="Barlow Semi Condensed" w:hAnsi="Barlow Semi Condensed"/>
          <w:sz w:val="24"/>
          <w:szCs w:val="24"/>
        </w:rPr>
        <w:t xml:space="preserve"> Un fatto utilizzabile è registrato al blocco 106 del cantiere tedesco: i documenti diplomatici svizzeri del 1978 sono in larga parte accessibili per il termine trentennale, e la banca dati Dodis li pubblica online indicizzati. Bersaglio derivato: interrogare quella banca dati sul quadriennio 1973-1977 per i colloqui italo-americani e per la posizione svizzera sul quadro politico italiano. Sede nominata, accesso gratuito, esito verbalizzabile in una giornata.</w:t>
      </w:r>
    </w:p>
    <w:p>
      <w:pPr>
        <w:spacing w:after="120" w:line="276"/>
        <w:jc w:val="both"/>
      </w:pPr>
      <w:r>
        <w:rPr>
          <w:rFonts w:ascii="Barlow Semi Condensed" w:cs="Barlow Semi Condensed" w:eastAsia="Barlow Semi Condensed" w:hAnsi="Barlow Semi Condensed"/>
          <w:b/>
          <w:bCs/>
          <w:sz w:val="24"/>
          <w:szCs w:val="24"/>
        </w:rPr>
        <w:t xml:space="preserve">4271 · Il materiale orientale e la cautela.</w:t>
      </w:r>
      <w:r>
        <w:rPr>
          <w:rFonts w:ascii="Barlow Semi Condensed" w:cs="Barlow Semi Condensed" w:eastAsia="Barlow Semi Condensed" w:hAnsi="Barlow Semi Condensed"/>
          <w:sz w:val="24"/>
          <w:szCs w:val="24"/>
        </w:rPr>
        <w:t xml:space="preserve"> Grado F sull'esistenza del documento, grado C sul contenuto, mai da soli a fondamento di alcunché: è la disciplina che il blocco 92 impone alle carte di provenienza tedesco-orientale, e questa serie la fa propria. Applicata al nostro nome vale doppio, perché un servizio ostile aveva ogni interesse a scriverne. Lo Stasi-Unterlagen-Archiv resta sede legittima da interrogare; il suo prodotto è comparativo, non rivelatorio.</w:t>
      </w:r>
    </w:p>
    <w:p>
      <w:pPr>
        <w:spacing w:after="120" w:line="276"/>
        <w:jc w:val="both"/>
      </w:pPr>
      <w:r>
        <w:rPr>
          <w:rFonts w:ascii="Barlow Semi Condensed" w:cs="Barlow Semi Condensed" w:eastAsia="Barlow Semi Condensed" w:hAnsi="Barlow Semi Condensed"/>
          <w:b/>
          <w:bCs/>
          <w:sz w:val="24"/>
          <w:szCs w:val="24"/>
        </w:rPr>
        <w:t xml:space="preserve">4272 · La contro-verifica italiana, mai applicata.</w:t>
      </w:r>
      <w:r>
        <w:rPr>
          <w:rFonts w:ascii="Barlow Semi Condensed" w:cs="Barlow Semi Condensed" w:eastAsia="Barlow Semi Condensed" w:hAnsi="Barlow Semi Condensed"/>
          <w:sz w:val="24"/>
          <w:szCs w:val="24"/>
        </w:rPr>
        <w:t xml:space="preserve"> Nessun documento nazionale fa fede da solo sui rapporti fra due paesi: la regola bilaterale è enunciata al blocco 78 del cantiere francese, che impone la contro-verifica sulle carte italiane parallele di Farnesina e ACS. L'opera non la estende a Washington. Il memorandum del 25 settembre 1974 è, alla lettera, un documento nazionale americano, e la sua contro-verifica italiana non è stata cercata da alcun blocco del territorio.</w:t>
      </w:r>
    </w:p>
    <w:p>
      <w:pPr>
        <w:spacing w:after="120" w:line="276"/>
        <w:jc w:val="both"/>
      </w:pPr>
      <w:r>
        <w:rPr>
          <w:rFonts w:ascii="Barlow Semi Condensed" w:cs="Barlow Semi Condensed" w:eastAsia="Barlow Semi Condensed" w:hAnsi="Barlow Semi Condensed"/>
          <w:b/>
          <w:bCs/>
          <w:sz w:val="24"/>
          <w:szCs w:val="24"/>
        </w:rPr>
        <w:t xml:space="preserve">4273 · L'ambasciata d'Italia a Washington.</w:t>
      </w:r>
      <w:r>
        <w:rPr>
          <w:rFonts w:ascii="Barlow Semi Condensed" w:cs="Barlow Semi Condensed" w:eastAsia="Barlow Semi Condensed" w:hAnsi="Barlow Semi Condensed"/>
          <w:sz w:val="24"/>
          <w:szCs w:val="24"/>
        </w:rPr>
        <w:t xml:space="preserve"> Sede precisa per uno Stato Zero: la testimonianza contestata colloca in una sua variante l'episodio in un alterco all'ambasciata d'Italia a Washington nel 1977. Nessun blocco dei due documenti nomina quella sede. Il fondo che chiuderebbe il quesito è l'Archivio storico diplomatico del Ministero degli Affari esteri, serie dell'ambasciata a Washington per il 1974-1977: rapporti di sede, telespressi, appunti di colloquio. Sportello italiano, procedura ordinaria, costo modesto.</w:t>
      </w:r>
    </w:p>
    <w:p>
      <w:pPr>
        <w:spacing w:after="120" w:line="276"/>
        <w:jc w:val="both"/>
      </w:pPr>
      <w:r>
        <w:rPr>
          <w:rFonts w:ascii="Barlow Semi Condensed" w:cs="Barlow Semi Condensed" w:eastAsia="Barlow Semi Condensed" w:hAnsi="Barlow Semi Condensed"/>
          <w:b/>
          <w:bCs/>
          <w:sz w:val="24"/>
          <w:szCs w:val="24"/>
        </w:rPr>
        <w:t xml:space="preserve">4274 · Il seguito italiano del 1974.</w:t>
      </w:r>
      <w:r>
        <w:rPr>
          <w:rFonts w:ascii="Barlow Semi Condensed" w:cs="Barlow Semi Condensed" w:eastAsia="Barlow Semi Condensed" w:hAnsi="Barlow Semi Condensed"/>
          <w:sz w:val="24"/>
          <w:szCs w:val="24"/>
        </w:rPr>
        <w:t xml:space="preserve"> Al colloquio dello Studio Ovale del 25 settembre 1974 partecipò il Presidente della Repubblica in carica. Se ne esiste un riscontro italiano — appunto di seguito, verbale di delegazione, telegramma di rientro — la sede è l'Archivio storico della Presidenza della Repubblica, che i cantieri conoscono per la Collezione Zavoli e per nient'altro. Il documento italiano parallelo è il primo test di attendibilità di ogni versione dell'episodio.</w:t>
      </w:r>
    </w:p>
    <w:p>
      <w:pPr>
        <w:spacing w:after="120" w:line="276"/>
        <w:jc w:val="both"/>
      </w:pPr>
      <w:r>
        <w:rPr>
          <w:rFonts w:ascii="Barlow Semi Condensed" w:cs="Barlow Semi Condensed" w:eastAsia="Barlow Semi Condensed" w:hAnsi="Barlow Semi Condensed"/>
          <w:b/>
          <w:bCs/>
          <w:sz w:val="24"/>
          <w:szCs w:val="24"/>
        </w:rPr>
        <w:t xml:space="preserve">4275 · I protocolli riservati, altra finestra.</w:t>
      </w:r>
      <w:r>
        <w:rPr>
          <w:rFonts w:ascii="Barlow Semi Condensed" w:cs="Barlow Semi Condensed" w:eastAsia="Barlow Semi Condensed" w:hAnsi="Barlow Semi Condensed"/>
          <w:sz w:val="24"/>
          <w:szCs w:val="24"/>
        </w:rPr>
        <w:t xml:space="preserve"> Il protocollo che registra una nota scomparsa prova che la nota esistette: con questo argomento il blocco 244 cerca i registri di protocollo riservato di Interno ed Esteri per marzo-maggio 1978. Il ragionamento è trasferibile e non è stato trasferito. Per il settembre 1974 e per il 1977 gli stessi registri direbbero se una nota su quei colloqui fu mai protocollata, indipendentemente dalla sua sopravvivenza.</w:t>
      </w:r>
    </w:p>
    <w:p>
      <w:pPr>
        <w:spacing w:after="120" w:line="276"/>
        <w:jc w:val="both"/>
      </w:pPr>
      <w:r>
        <w:rPr>
          <w:rFonts w:ascii="Barlow Semi Condensed" w:cs="Barlow Semi Condensed" w:eastAsia="Barlow Semi Condensed" w:hAnsi="Barlow Semi Condensed"/>
          <w:b/>
          <w:bCs/>
          <w:sz w:val="24"/>
          <w:szCs w:val="24"/>
        </w:rPr>
        <w:t xml:space="preserve">4276 · Le carte dell'uomo, altrove interrogate.</w:t>
      </w:r>
      <w:r>
        <w:rPr>
          <w:rFonts w:ascii="Barlow Semi Condensed" w:cs="Barlow Semi Condensed" w:eastAsia="Barlow Semi Condensed" w:hAnsi="Barlow Semi Condensed"/>
          <w:sz w:val="24"/>
          <w:szCs w:val="24"/>
        </w:rPr>
        <w:t xml:space="preserve"> Tre nuclei per le carte di Moro, censiti ai blocchi 157 e 159: il fondo personale all'ACS in duecentodiciotto buste per il 1953-1978, il fondo familiare all'Archivio Flamigni, la raccolta statale delle direttive — tutti spogliati con la griglia dei 55 giorni. Quesito mai posto in quella griglia: quelle carte contengono un appunto di ritorno dalla missione americana del settembre 1974? La domanda si fa in sala, non in libreria.</w:t>
      </w:r>
    </w:p>
    <w:p>
      <w:pPr>
        <w:spacing w:after="120" w:line="276"/>
        <w:jc w:val="both"/>
      </w:pPr>
      <w:r>
        <w:rPr>
          <w:rFonts w:ascii="Barlow Semi Condensed" w:cs="Barlow Semi Condensed" w:eastAsia="Barlow Semi Condensed" w:hAnsi="Barlow Semi Condensed"/>
          <w:b/>
          <w:bCs/>
          <w:sz w:val="24"/>
          <w:szCs w:val="24"/>
        </w:rPr>
        <w:t xml:space="preserve">4277 · Andreotti, Fanfani e le date.</w:t>
      </w:r>
      <w:r>
        <w:rPr>
          <w:rFonts w:ascii="Barlow Semi Condensed" w:cs="Barlow Semi Condensed" w:eastAsia="Barlow Semi Condensed" w:hAnsi="Barlow Semi Condensed"/>
          <w:sz w:val="24"/>
          <w:szCs w:val="24"/>
        </w:rPr>
        <w:t xml:space="preserve"> Avvertenza cronologica per i blocchi 160 e 162: gli archivi del presidente del Consiglio dei 55 giorni e del presidente della DC sono spogliati sulle serie del 1978. Per il quadriennio in esame quegli stessi fondi vanno interrogati con una griglia diversa e mai scritta — le missioni americane, le riunioni sul PCI, i carteggi con la Farnesina. Lo stesso scaffale risponde a due domande soltanto se gliene si pongono due.</w:t>
      </w:r>
    </w:p>
    <w:p>
      <w:pPr>
        <w:spacing w:after="120" w:line="276"/>
        <w:jc w:val="both"/>
      </w:pPr>
      <w:r>
        <w:rPr>
          <w:rFonts w:ascii="Barlow Semi Condensed" w:cs="Barlow Semi Condensed" w:eastAsia="Barlow Semi Condensed" w:hAnsi="Barlow Semi Condensed"/>
          <w:b/>
          <w:bCs/>
          <w:sz w:val="24"/>
          <w:szCs w:val="24"/>
        </w:rPr>
        <w:t xml:space="preserve">4278 · I diari contro sé stessi, esteso.</w:t>
      </w:r>
      <w:r>
        <w:rPr>
          <w:rFonts w:ascii="Barlow Semi Condensed" w:cs="Barlow Semi Condensed" w:eastAsia="Barlow Semi Condensed" w:hAnsi="Barlow Semi Condensed"/>
          <w:sz w:val="24"/>
          <w:szCs w:val="24"/>
        </w:rPr>
        <w:t xml:space="preserve"> La tavola delle divergenze fra memorie edite e carte coeve è promessa dal blocco 170 come prodotto filologico di prima grandezza. Bersaglio derivato per questo territorio: applicarla alle memorie italiane che riferiscono l'episodio del preteso avvertimento e alle due smentite italiane qualificate già registrate dal corpus — quella che lo dice «una leggenda che non ha fondamento» e quella che parla di «solo un problema di linguaggio». Nessuno dei due era presente.</w:t>
      </w:r>
    </w:p>
    <w:p>
      <w:pPr>
        <w:spacing w:after="120" w:line="276"/>
        <w:jc w:val="both"/>
      </w:pPr>
      <w:r>
        <w:rPr>
          <w:rFonts w:ascii="Barlow Semi Condensed" w:cs="Barlow Semi Condensed" w:eastAsia="Barlow Semi Condensed" w:hAnsi="Barlow Semi Condensed"/>
          <w:b/>
          <w:bCs/>
          <w:sz w:val="24"/>
          <w:szCs w:val="24"/>
        </w:rPr>
        <w:t xml:space="preserve">4279 · La carta privata e il suo grado.</w:t>
      </w:r>
      <w:r>
        <w:rPr>
          <w:rFonts w:ascii="Barlow Semi Condensed" w:cs="Barlow Semi Condensed" w:eastAsia="Barlow Semi Condensed" w:hAnsi="Barlow Semi Condensed"/>
          <w:sz w:val="24"/>
          <w:szCs w:val="24"/>
        </w:rPr>
        <w:t xml:space="preserve"> Una carta privata prova ciò che il suo autore scrisse e quando, non ciò che accadde: il blocco 179 la tara a grado F sul fatto della scrittura e C sul contenuto, finché un riscontro esterno non la corrobori. La stessa taratura si applica alla testimonianza de relato resa alla Corte d'assise di Roma nel novembre 1982: prova che il teste riferì, non che il fatto avvenne. Nessun prestigio di firma sposta il grado.</w:t>
      </w:r>
    </w:p>
    <w:p>
      <w:pPr>
        <w:spacing w:after="120" w:line="276"/>
        <w:jc w:val="both"/>
      </w:pPr>
      <w:r>
        <w:rPr>
          <w:rFonts w:ascii="Barlow Semi Condensed" w:cs="Barlow Semi Condensed" w:eastAsia="Barlow Semi Condensed" w:hAnsi="Barlow Semi Condensed"/>
          <w:b/>
          <w:bCs/>
          <w:sz w:val="24"/>
          <w:szCs w:val="24"/>
        </w:rPr>
        <w:t xml:space="preserve">4280 · La richiesta del 1983 senza seguito (serie LVI).</w:t>
      </w:r>
      <w:r>
        <w:rPr>
          <w:rFonts w:ascii="Barlow Semi Condensed" w:cs="Barlow Semi Condensed" w:eastAsia="Barlow Semi Condensed" w:hAnsi="Barlow Semi Condensed"/>
          <w:sz w:val="24"/>
          <w:szCs w:val="24"/>
        </w:rPr>
        <w:t xml:space="preserve"> Perché non ebbe seguito? La richiesta informale del 1983 di sentire l'interessato non ne ebbe alcuno, e l'uomo non fu mai sentito dai magistrati italiani. Il quesito è documentale e legittimo, e va inserito nella griglia del blocco 114 dell'agenda, che vuole ascoltare i magistrati viventi sul come delle scelte istruttorie: in quale atto quella decisione — o quella non decisione — lasciò traccia?</w:t>
      </w:r>
    </w:p>
    <w:p>
      <w:pPr>
        <w:spacing w:after="120" w:line="276"/>
        <w:jc w:val="both"/>
      </w:pPr>
      <w:r>
        <w:rPr>
          <w:rFonts w:ascii="Barlow Semi Condensed" w:cs="Barlow Semi Condensed" w:eastAsia="Barlow Semi Condensed" w:hAnsi="Barlow Semi Condensed"/>
          <w:b/>
          <w:bCs/>
          <w:sz w:val="24"/>
          <w:szCs w:val="24"/>
        </w:rPr>
        <w:t xml:space="preserve">4281 · L'audizione del 1980, nell'indice.</w:t>
      </w:r>
      <w:r>
        <w:rPr>
          <w:rFonts w:ascii="Barlow Semi Condensed" w:cs="Barlow Semi Condensed" w:eastAsia="Barlow Semi Condensed" w:hAnsi="Barlow Semi Condensed"/>
          <w:sz w:val="24"/>
          <w:szCs w:val="24"/>
        </w:rPr>
        <w:t xml:space="preserve"> L'indice unico di tutte le persone sentite dalle tre commissioni è il prodotto del blocco 67. Voce da inserirvi con le sue distinzioni: l'audizione della vedova davanti alla Commissione d'inchiesta è del 1° agosto 1980, e vi si riporta soprattutto un riferimento a minacce risalenti al 1975 e crescenti; la frase verbatim che circola è invece attribuita alla deposizione giudiziaria del 1982. Sede e contenuto restano distinti.</w:t>
      </w:r>
    </w:p>
    <w:p>
      <w:pPr>
        <w:spacing w:after="120" w:line="276"/>
        <w:jc w:val="both"/>
      </w:pPr>
      <w:r>
        <w:rPr>
          <w:rFonts w:ascii="Barlow Semi Condensed" w:cs="Barlow Semi Condensed" w:eastAsia="Barlow Semi Condensed" w:hAnsi="Barlow Semi Condensed"/>
          <w:b/>
          <w:bCs/>
          <w:sz w:val="24"/>
          <w:szCs w:val="24"/>
        </w:rPr>
        <w:t xml:space="preserve">4282 · La lezione Marini, applicata.</w:t>
      </w:r>
      <w:r>
        <w:rPr>
          <w:rFonts w:ascii="Barlow Semi Condensed" w:cs="Barlow Semi Condensed" w:eastAsia="Barlow Semi Condensed" w:hAnsi="Barlow Semi Condensed"/>
          <w:sz w:val="24"/>
          <w:szCs w:val="24"/>
        </w:rPr>
        <w:t xml:space="preserve"> Corroborazione fisica prima dell'uso, con la ritrattazione del parabrezza davanti alla Moro 2 come precedente scolpito: così il blocco 224 tratta ogni testimonianza fondante. Applicazione a questo territorio: per l'episodio del preteso avvertimento non esiste alcun reperto corroborante né alcuno può esistere, trattandosi di parole scambiate in un colloquio. Il controlimite del blocco 224, qui, non rallenta l'uso della testimonianza: lo esclude.</w:t>
      </w:r>
    </w:p>
    <w:p>
      <w:pPr>
        <w:spacing w:after="120" w:line="276"/>
        <w:jc w:val="both"/>
      </w:pPr>
      <w:r>
        <w:rPr>
          <w:rFonts w:ascii="Barlow Semi Condensed" w:cs="Barlow Semi Condensed" w:eastAsia="Barlow Semi Condensed" w:hAnsi="Barlow Semi Condensed"/>
          <w:b/>
          <w:bCs/>
          <w:sz w:val="24"/>
          <w:szCs w:val="24"/>
        </w:rPr>
        <w:t xml:space="preserve">4283 · De relato, e senza corroborazione.</w:t>
      </w:r>
      <w:r>
        <w:rPr>
          <w:rFonts w:ascii="Barlow Semi Condensed" w:cs="Barlow Semi Condensed" w:eastAsia="Barlow Semi Condensed" w:hAnsi="Barlow Semi Condensed"/>
          <w:sz w:val="24"/>
          <w:szCs w:val="24"/>
        </w:rPr>
        <w:t xml:space="preserve"> De relato, dunque: il teste principale apprese il fatto da Moro e dall'entourage e non assistette al colloquio. Il presunto avvertimento resta perciò, nella grammatica del blocco 233, un buco misurato — si sa chi riferì, si sa quando, si sa che nessun documento di provenienza lo attesta. È il massimo che allo stato si può scrivere, e scriverlo per intero è già un'acquisizione.</w:t>
      </w:r>
    </w:p>
    <w:p>
      <w:pPr>
        <w:spacing w:after="120" w:line="276"/>
        <w:jc w:val="both"/>
      </w:pPr>
      <w:r>
        <w:rPr>
          <w:rFonts w:ascii="Barlow Semi Condensed" w:cs="Barlow Semi Condensed" w:eastAsia="Barlow Semi Condensed" w:hAnsi="Barlow Semi Condensed"/>
          <w:b/>
          <w:bCs/>
          <w:sz w:val="24"/>
          <w:szCs w:val="24"/>
        </w:rPr>
        <w:t xml:space="preserve">4284 · Tre date per un solo episodio (serie LVI).</w:t>
      </w:r>
      <w:r>
        <w:rPr>
          <w:rFonts w:ascii="Barlow Semi Condensed" w:cs="Barlow Semi Condensed" w:eastAsia="Barlow Semi Condensed" w:hAnsi="Barlow Semi Condensed"/>
          <w:sz w:val="24"/>
          <w:szCs w:val="24"/>
        </w:rPr>
        <w:t xml:space="preserve"> Divergenza da riportare e non da sciogliere, secondo la disciplina del blocco 65: la collocazione dell'episodio oscilla fra 1974, 1976 e 1977, e divergono anche i luoghi. Il rilievo dirimente è cronologico: nel 1977 l'uomo non era più Segretario di Stato, avendo lasciato l'incarico il 20 gennaio. Una data che cade fuori dalla carica non è un dettaglio da arrotondare: è un problema di attendibilità della fonte.</w:t>
      </w:r>
    </w:p>
    <w:p>
      <w:pPr>
        <w:spacing w:after="120" w:line="276"/>
        <w:jc w:val="both"/>
      </w:pPr>
      <w:r>
        <w:rPr>
          <w:rFonts w:ascii="Barlow Semi Condensed" w:cs="Barlow Semi Condensed" w:eastAsia="Barlow Semi Condensed" w:hAnsi="Barlow Semi Condensed"/>
          <w:b/>
          <w:bCs/>
          <w:sz w:val="24"/>
          <w:szCs w:val="24"/>
        </w:rPr>
        <w:t xml:space="preserve">4285 · Il nome ottenuto in aula (serie LVI).</w:t>
      </w:r>
      <w:r>
        <w:rPr>
          <w:rFonts w:ascii="Barlow Semi Condensed" w:cs="Barlow Semi Condensed" w:eastAsia="Barlow Semi Condensed" w:hAnsi="Barlow Semi Condensed"/>
          <w:sz w:val="24"/>
          <w:szCs w:val="24"/>
        </w:rPr>
        <w:t xml:space="preserve"> La vedova parlò di «un'alta personalità» senza nominarla, e fu il presidente della corte, richiamando il teste, a ottenere l'indicazione del nome: precisazione che nessun blocco del territorio contiene e che il blocco 288 renderebbe obbligatoria. L'attribuzione è dunque essa stessa indiretta, e nasce da una domanda. Il protocollo dell'agenda vieta le domande suggestive nei propri ascolti; la stessa avvertenza va letta all'indietro, sui verbali del 1982.</w:t>
      </w:r>
    </w:p>
    <w:p>
      <w:pPr>
        <w:spacing w:after="120" w:line="276"/>
        <w:jc w:val="both"/>
      </w:pPr>
      <w:r>
        <w:rPr>
          <w:rFonts w:ascii="Barlow Semi Condensed" w:cs="Barlow Semi Condensed" w:eastAsia="Barlow Semi Condensed" w:hAnsi="Barlow Semi Condensed"/>
          <w:b/>
          <w:bCs/>
          <w:sz w:val="24"/>
          <w:szCs w:val="24"/>
        </w:rPr>
        <w:t xml:space="preserve">4286 · Il lancio del 30 novembre 2023 (serie LVI).</w:t>
      </w:r>
      <w:r>
        <w:rPr>
          <w:rFonts w:ascii="Barlow Semi Condensed" w:cs="Barlow Semi Condensed" w:eastAsia="Barlow Semi Condensed" w:hAnsi="Barlow Semi Condensed"/>
          <w:sz w:val="24"/>
          <w:szCs w:val="24"/>
        </w:rPr>
        <w:t xml:space="preserve"> Grado F sul riportato e mai di più: così il blocco 899 tratta la fonte giornalistica. Applicazione: le decine di riprese pressoché identiche dell'episodio risalgono a un unico lancio d'agenzia del 30 novembre 2023, e la replicazione non aggiunge valore probatorio. Da registrare come dato di sequenza, senza inferenze: quel lancio è del giorno successivo alla morte dell'interessato, avvenuta a Kent, Connecticut, il 29 novembre 2023.</w:t>
      </w:r>
    </w:p>
    <w:p>
      <w:pPr>
        <w:spacing w:after="120" w:line="276"/>
        <w:jc w:val="both"/>
      </w:pPr>
      <w:r>
        <w:rPr>
          <w:rFonts w:ascii="Barlow Semi Condensed" w:cs="Barlow Semi Condensed" w:eastAsia="Barlow Semi Condensed" w:hAnsi="Barlow Semi Condensed"/>
          <w:b/>
          <w:bCs/>
          <w:sz w:val="24"/>
          <w:szCs w:val="24"/>
        </w:rPr>
        <w:t xml:space="preserve">4287 · I tre tempi della congettura.</w:t>
      </w:r>
      <w:r>
        <w:rPr>
          <w:rFonts w:ascii="Barlow Semi Condensed" w:cs="Barlow Semi Condensed" w:eastAsia="Barlow Semi Condensed" w:hAnsi="Barlow Semi Condensed"/>
          <w:sz w:val="24"/>
          <w:szCs w:val="24"/>
        </w:rPr>
        <w:t xml:space="preserve"> Un vuoto colmato con un'ipotesi verosimile, l'ipotesi ripetuta senza la clausola che la qualificava, la ripetizione scambiata per pluralità di fonti: il meccanismo è descritto al blocco 640 dell'opera-madre. Questo territorio offre il caso di scuola e non lo nomina. La contromisura è procedurale e andrebbe scritta nei blocchi 151 e 899: ogni ripresa porta l'etichetta di grado,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4288 · Il perimetro negativo del committente.</w:t>
      </w:r>
      <w:r>
        <w:rPr>
          <w:rFonts w:ascii="Barlow Semi Condensed" w:cs="Barlow Semi Condensed" w:eastAsia="Barlow Semi Condensed" w:hAnsi="Barlow Semi Condensed"/>
          <w:sz w:val="24"/>
          <w:szCs w:val="24"/>
        </w:rPr>
        <w:t xml:space="preserve"> Ciò che l'opera si vieta è elencato al blocco 289, comprese le fonti escluse per direttiva del committente. Ricaduta operativa su questo nodo: il rilancio internazionale del 1982 proviene da una pubblicazione di orientamento cospirazionista, citabile come dato di circolazione e mai come riscontro. Documentare che una cosa fu detta e usarla come prova che sia vera sono operazioni diverse, e quella differenza è l'intera disciplina.</w:t>
      </w:r>
    </w:p>
    <w:p>
      <w:pPr>
        <w:spacing w:after="120" w:line="276"/>
        <w:jc w:val="both"/>
      </w:pPr>
      <w:r>
        <w:rPr>
          <w:rFonts w:ascii="Barlow Semi Condensed" w:cs="Barlow Semi Condensed" w:eastAsia="Barlow Semi Condensed" w:hAnsi="Barlow Semi Condensed"/>
          <w:b/>
          <w:bCs/>
          <w:sz w:val="24"/>
          <w:szCs w:val="24"/>
        </w:rPr>
        <w:t xml:space="preserve">4289 · Il bersaglio che lo falsificherebbe.</w:t>
      </w:r>
      <w:r>
        <w:rPr>
          <w:rFonts w:ascii="Barlow Semi Condensed" w:cs="Barlow Semi Condensed" w:eastAsia="Barlow Semi Condensed" w:hAnsi="Barlow Semi Condensed"/>
          <w:sz w:val="24"/>
          <w:szCs w:val="24"/>
        </w:rPr>
        <w:t xml:space="preserve"> Bersaglio di smentita, nella grammatica del blocco 234: l'episodio cadrebbe se emergesse la lista integrale dei presenti alla missione del settembre 1974 con l'esclusione documentata di ogni margine bilaterale, oppure un'agenda di viaggio che renda materialmente impossibile un colloquio riservato, oppure il verbale italiano di quella giornata privo di ogni menzione. Nessuna di queste tre carte è stata cercata da alcun blocco del territorio.</w:t>
      </w:r>
    </w:p>
    <w:p>
      <w:pPr>
        <w:spacing w:after="120" w:line="276"/>
        <w:jc w:val="both"/>
      </w:pPr>
      <w:r>
        <w:rPr>
          <w:rFonts w:ascii="Barlow Semi Condensed" w:cs="Barlow Semi Condensed" w:eastAsia="Barlow Semi Condensed" w:hAnsi="Barlow Semi Condensed"/>
          <w:b/>
          <w:bCs/>
          <w:sz w:val="24"/>
          <w:szCs w:val="24"/>
        </w:rPr>
        <w:t xml:space="preserve">4290 · La sola via al piano 1.</w:t>
      </w:r>
      <w:r>
        <w:rPr>
          <w:rFonts w:ascii="Barlow Semi Condensed" w:cs="Barlow Semi Condensed" w:eastAsia="Barlow Semi Condensed" w:hAnsi="Barlow Semi Condensed"/>
          <w:sz w:val="24"/>
          <w:szCs w:val="24"/>
        </w:rPr>
        <w:t xml:space="preserve"> Salire al piano 1 richiede una cosa sola, e va dichiarata con asciuttezza: un documento di provenienza — appunto italiano di colloquio, telegramma di rientro, minuta d'ufficio — che riferisca la frase e ne dia data e luogo. Testimonianze ulteriori, per quante siano e per quanto autorevoli, non producono quel salto: moltiplicano il piano 3. Il test è uno, ed è sempre lo stesso.</w:t>
      </w:r>
    </w:p>
    <w:p>
      <w:pPr>
        <w:spacing w:after="120" w:line="276"/>
        <w:jc w:val="both"/>
      </w:pPr>
      <w:r>
        <w:rPr>
          <w:rFonts w:ascii="Barlow Semi Condensed" w:cs="Barlow Semi Condensed" w:eastAsia="Barlow Semi Condensed" w:hAnsi="Barlow Semi Condensed"/>
          <w:b/>
          <w:bCs/>
          <w:sz w:val="24"/>
          <w:szCs w:val="24"/>
        </w:rPr>
        <w:t xml:space="preserve">4291 · Contro il corpus stesso, di nuovo.</w:t>
      </w:r>
      <w:r>
        <w:rPr>
          <w:rFonts w:ascii="Barlow Semi Condensed" w:cs="Barlow Semi Condensed" w:eastAsia="Barlow Semi Condensed" w:hAnsi="Barlow Semi Condensed"/>
          <w:sz w:val="24"/>
          <w:szCs w:val="24"/>
        </w:rPr>
        <w:t xml:space="preserve"> Cercare attivamente l'errore nelle proprie schede e correggerlo per nota, mai per riscrittura: lo chiede il blocco 231, che cita come precedente la Nota di revisione n. 1. Il territorio non sa che esiste già la Nota di revisione n. 2, del 25 agosto 2026, la quale affianca sette precisazioni al nodo M-5 di triangolazioni-guevara-moro.md senza toccarne il testo. È il precedente esatto per questa materia.</w:t>
      </w:r>
    </w:p>
    <w:p>
      <w:pPr>
        <w:spacing w:after="120" w:line="276"/>
        <w:jc w:val="both"/>
      </w:pPr>
      <w:r>
        <w:rPr>
          <w:rFonts w:ascii="Barlow Semi Condensed" w:cs="Barlow Semi Condensed" w:eastAsia="Barlow Semi Condensed" w:hAnsi="Barlow Semi Condensed"/>
          <w:b/>
          <w:bCs/>
          <w:sz w:val="24"/>
          <w:szCs w:val="24"/>
        </w:rPr>
        <w:t xml:space="preserve">4292 · Marzo 1969, contemporaneità apparente.</w:t>
      </w:r>
      <w:r>
        <w:rPr>
          <w:rFonts w:ascii="Barlow Semi Condensed" w:cs="Barlow Semi Condensed" w:eastAsia="Barlow Semi Condensed" w:hAnsi="Barlow Semi Condensed"/>
          <w:sz w:val="24"/>
          <w:szCs w:val="24"/>
        </w:rPr>
        <w:t xml:space="preserve"> FRUS 1969-1976, volume XLI, documento 180 verbalizza la riunione dell'11 marzo 1969, presieduta dall'Assistente per la sicurezza nazionale, in cui i presenti convennero all'unanimità che non vi fosse reale giustificazione per riprendere il finanziamento coperto ai partiti italiani. Accertamento di piano 1 assente dal territorio. Moro divenne ministro degli Esteri il 5 agosto 1969: la contemporaneità è apparente e non va trattata come nesso.</w:t>
      </w:r>
    </w:p>
    <w:p>
      <w:pPr>
        <w:spacing w:after="120" w:line="276"/>
        <w:jc w:val="both"/>
      </w:pPr>
      <w:r>
        <w:rPr>
          <w:rFonts w:ascii="Barlow Semi Condensed" w:cs="Barlow Semi Condensed" w:eastAsia="Barlow Semi Condensed" w:hAnsi="Barlow Semi Condensed"/>
          <w:b/>
          <w:bCs/>
          <w:sz w:val="24"/>
          <w:szCs w:val="24"/>
        </w:rPr>
        <w:t xml:space="preserve">4293 · Lo studio sull'Italia del 1969 (serie LVI).</w:t>
      </w:r>
      <w:r>
        <w:rPr>
          <w:rFonts w:ascii="Barlow Semi Condensed" w:cs="Barlow Semi Condensed" w:eastAsia="Barlow Semi Condensed" w:hAnsi="Barlow Semi Condensed"/>
          <w:sz w:val="24"/>
          <w:szCs w:val="24"/>
        </w:rPr>
        <w:t xml:space="preserve"> Documento contiguo e parimenti assente dal territorio: il volume XLI, al documento 188, registra l'istruzione presidenziale del dicembre 1969 di avviare uno studio sull'Italia. È materia di cornice — l'attenzione di Washington al quadro politico italiano — e resta di cornice finché una carta non nomini una controparte italiana determinata. Il blocco 151 dell'agenda governa esattamente questo: il grado segue la natura dell'atto, non la sua provenienza.</w:t>
      </w:r>
    </w:p>
    <w:p>
      <w:pPr>
        <w:spacing w:after="120" w:line="276"/>
        <w:jc w:val="both"/>
      </w:pPr>
      <w:r>
        <w:rPr>
          <w:rFonts w:ascii="Barlow Semi Condensed" w:cs="Barlow Semi Condensed" w:eastAsia="Barlow Semi Condensed" w:hAnsi="Barlow Semi Condensed"/>
          <w:b/>
          <w:bCs/>
          <w:sz w:val="24"/>
          <w:szCs w:val="24"/>
        </w:rPr>
        <w:t xml:space="preserve">4294 · La ripresa del 1975-1976.</w:t>
      </w:r>
      <w:r>
        <w:rPr>
          <w:rFonts w:ascii="Barlow Semi Condensed" w:cs="Barlow Semi Condensed" w:eastAsia="Barlow Semi Condensed" w:hAnsi="Barlow Semi Condensed"/>
          <w:sz w:val="24"/>
          <w:szCs w:val="24"/>
        </w:rPr>
        <w:t xml:space="preserve"> Convergenza di piano 2, dichiarata come tale: un saggio sottoposto a revisione paritaria del 2024 segnala che il programma di azione coperta in Italia riemerse nel novembre 1975 e nel luglio 1976, quando Moro era presidente del Consiglio. Stessa cornice, stessi anni, nessun documento che nomini l'uno in rapporto all'altro. Promuovere questa convergenza a nesso causale sarebbe il salto vietato che la parte terza dell'opera-madre già proibisce.</w:t>
      </w:r>
    </w:p>
    <w:p>
      <w:pPr>
        <w:spacing w:after="120" w:line="276"/>
        <w:jc w:val="both"/>
      </w:pPr>
      <w:r>
        <w:rPr>
          <w:rFonts w:ascii="Barlow Semi Condensed" w:cs="Barlow Semi Condensed" w:eastAsia="Barlow Semi Condensed" w:hAnsi="Barlow Semi Condensed"/>
          <w:b/>
          <w:bCs/>
          <w:sz w:val="24"/>
          <w:szCs w:val="24"/>
        </w:rPr>
        <w:t xml:space="preserve">4295 · Il lato italiano di quegli archi.</w:t>
      </w:r>
      <w:r>
        <w:rPr>
          <w:rFonts w:ascii="Barlow Semi Condensed" w:cs="Barlow Semi Condensed" w:eastAsia="Barlow Semi Condensed" w:hAnsi="Barlow Semi Condensed"/>
          <w:sz w:val="24"/>
          <w:szCs w:val="24"/>
        </w:rPr>
        <w:t xml:space="preserve"> Da inserire nel blocco 22 dell'agenda e nel blocco 953 dei cantieri: la documentazione versata di provenienza SISMI, SISDE e organismi predecessori, letta con la finestra 1969-1976 anziché con quella dei 55 giorni. Il blocco 944 aggiunge la materia adiacente della direttiva Draghi del 2 agosto 2021 su Gladio e P2. Disciplina invariata: una velina è una velina, grado C alla nascita, e sale solo per riscontro esterno.</w:t>
      </w:r>
    </w:p>
    <w:p>
      <w:pPr>
        <w:spacing w:after="120" w:line="276"/>
        <w:jc w:val="both"/>
      </w:pPr>
      <w:r>
        <w:rPr>
          <w:rFonts w:ascii="Barlow Semi Condensed" w:cs="Barlow Semi Condensed" w:eastAsia="Barlow Semi Condensed" w:hAnsi="Barlow Semi Condensed"/>
          <w:b/>
          <w:bCs/>
          <w:sz w:val="24"/>
          <w:szCs w:val="24"/>
        </w:rPr>
        <w:t xml:space="preserve">4296 · Appartenenza, cornice, condotta.</w:t>
      </w:r>
      <w:r>
        <w:rPr>
          <w:rFonts w:ascii="Barlow Semi Condensed" w:cs="Barlow Semi Condensed" w:eastAsia="Barlow Semi Condensed" w:hAnsi="Barlow Semi Condensed"/>
          <w:sz w:val="24"/>
          <w:szCs w:val="24"/>
        </w:rPr>
        <w:t xml:space="preserve"> Regola trasversale che il blocco 60 dell'agenda enuncia per la Commissione Anselmi e che la scheda PE-1 rende perimetro: le appartenenze documentate sono fatti, nessuna appartenenza è una condotta. Trasposta a questo territorio: l'ostilità documentata di settori dell'alleanza atlantica all'ingresso dei comunisti nell'area di governo è di grado A come contesto, e resta contesto. Dalla prossimità di un avversario non discende alcuna catena di comando.</w:t>
      </w:r>
    </w:p>
    <w:p>
      <w:pPr>
        <w:spacing w:after="120" w:line="276"/>
        <w:jc w:val="both"/>
      </w:pPr>
      <w:r>
        <w:rPr>
          <w:rFonts w:ascii="Barlow Semi Condensed" w:cs="Barlow Semi Condensed" w:eastAsia="Barlow Semi Condensed" w:hAnsi="Barlow Semi Condensed"/>
          <w:b/>
          <w:bCs/>
          <w:sz w:val="24"/>
          <w:szCs w:val="24"/>
        </w:rPr>
        <w:t xml:space="preserve">4297 · Helsinki, cornice e non persona.</w:t>
      </w:r>
      <w:r>
        <w:rPr>
          <w:rFonts w:ascii="Barlow Semi Condensed" w:cs="Barlow Semi Condensed" w:eastAsia="Barlow Semi Condensed" w:hAnsi="Barlow Semi Condensed"/>
          <w:sz w:val="24"/>
          <w:szCs w:val="24"/>
        </w:rPr>
        <w:t xml:space="preserve"> Ulteriore arco di piano 1 disponibile e non censito: FRUS 1969-1976, volume XXXIX, documento 334, telegramma del 2 agosto 1975, descrive la cerimonia conclusiva della Conferenza e le dichiarazioni interpretative circolate. Moro vi firmò nella duplice qualità di presidente del Consiglio e di presidente di turno delle Comunità. Il documento attesta una cornice condivisa e un dissenso di procedura: non attesta un rapporto personale, e non va fatto dire di più.</w:t>
      </w:r>
    </w:p>
    <w:p>
      <w:pPr>
        <w:spacing w:after="120" w:line="276"/>
        <w:jc w:val="both"/>
      </w:pPr>
      <w:r>
        <w:rPr>
          <w:rFonts w:ascii="Barlow Semi Condensed" w:cs="Barlow Semi Condensed" w:eastAsia="Barlow Semi Condensed" w:hAnsi="Barlow Semi Condensed"/>
          <w:b/>
          <w:bCs/>
          <w:sz w:val="24"/>
          <w:szCs w:val="24"/>
        </w:rPr>
        <w:t xml:space="preserve">4298 · Il dossier turco, arco senza Moro.</w:t>
      </w:r>
      <w:r>
        <w:rPr>
          <w:rFonts w:ascii="Barlow Semi Condensed" w:cs="Barlow Semi Condensed" w:eastAsia="Barlow Semi Condensed" w:hAnsi="Barlow Semi Condensed"/>
          <w:sz w:val="24"/>
          <w:szCs w:val="24"/>
        </w:rPr>
        <w:t xml:space="preserve"> Esempio istruttivo per il test dell'omologia: la vicenda degli oppiacei turchi del 1974 è densamente documentata — il memorandum al presidente nel volume XXX al documento 208, il National Security Decision Memorandum 267 del 23 agosto 1974 al documento 209. È un arco documentato dell'uomo in esame nel quale Moro non compare affatto. Somiglianza di stagione e di attori non produce parentela: serve una carta che nomini entrambi.</w:t>
      </w:r>
    </w:p>
    <w:p>
      <w:pPr>
        <w:spacing w:after="120" w:line="276"/>
        <w:jc w:val="both"/>
      </w:pPr>
      <w:r>
        <w:rPr>
          <w:rFonts w:ascii="Barlow Semi Condensed" w:cs="Barlow Semi Condensed" w:eastAsia="Barlow Semi Condensed" w:hAnsi="Barlow Semi Condensed"/>
          <w:b/>
          <w:bCs/>
          <w:sz w:val="24"/>
          <w:szCs w:val="24"/>
        </w:rPr>
        <w:t xml:space="preserve">4299 · Il test unico dell'omologia.</w:t>
      </w:r>
      <w:r>
        <w:rPr>
          <w:rFonts w:ascii="Barlow Semi Condensed" w:cs="Barlow Semi Condensed" w:eastAsia="Barlow Semi Condensed" w:hAnsi="Barlow Semi Condensed"/>
          <w:sz w:val="24"/>
          <w:szCs w:val="24"/>
        </w:rPr>
        <w:t xml:space="preserve"> Formulazione del criterio, valida per ogni blocco di questa serie: dalla somiglianza dei risultati non si deduce l'antenato comune. Due processi possono convergere per pressione ambientale identica senza alcuna discendenza. L'unica prova di discendenza è un documento di provenienza che nomini la controparte, con data e sede. Fuori da questo test ogni accostamento resta analogia — utile a formulare quesiti d'archivio, inutilizzabile come nesso.</w:t>
      </w:r>
    </w:p>
    <w:p>
      <w:pPr>
        <w:spacing w:after="120" w:line="276"/>
        <w:jc w:val="both"/>
      </w:pPr>
      <w:r>
        <w:rPr>
          <w:rFonts w:ascii="Barlow Semi Condensed" w:cs="Barlow Semi Condensed" w:eastAsia="Barlow Semi Condensed" w:hAnsi="Barlow Semi Condensed"/>
          <w:b/>
          <w:bCs/>
          <w:sz w:val="24"/>
          <w:szCs w:val="24"/>
        </w:rPr>
        <w:t xml:space="preserve">4300 · La serie dei memoranda, per intero.</w:t>
      </w:r>
      <w:r>
        <w:rPr>
          <w:rFonts w:ascii="Barlow Semi Condensed" w:cs="Barlow Semi Condensed" w:eastAsia="Barlow Semi Condensed" w:hAnsi="Barlow Semi Condensed"/>
          <w:sz w:val="24"/>
          <w:szCs w:val="24"/>
        </w:rPr>
        <w:t xml:space="preserve"> Quesito da portare in archivio, formulato per esteso: alla Gerald R. Ford Presidential Library, nella serie National Security Adviser's Memoranda of Conversation, estrarre tutti i memoranda del 1974-1976 in cui compaia una delegazione italiana, e verbalizzare l'elenco completo — non i due soli già noti. La serie è descritta a livello di pezzo e in larga parte digitalizzata: il bersaglio si esegue da remoto, e il suo esito è una tavola.</w:t>
      </w:r>
    </w:p>
    <w:p>
      <w:pPr>
        <w:spacing w:after="120" w:line="276"/>
        <w:jc w:val="both"/>
      </w:pPr>
      <w:r>
        <w:rPr>
          <w:rFonts w:ascii="Barlow Semi Condensed" w:cs="Barlow Semi Condensed" w:eastAsia="Barlow Semi Condensed" w:hAnsi="Barlow Semi Condensed"/>
          <w:b/>
          <w:bCs/>
          <w:sz w:val="24"/>
          <w:szCs w:val="24"/>
        </w:rPr>
        <w:t xml:space="preserve">4301 · Il fondo testuale da inventariare.</w:t>
      </w:r>
      <w:r>
        <w:rPr>
          <w:rFonts w:ascii="Barlow Semi Condensed" w:cs="Barlow Semi Condensed" w:eastAsia="Barlow Semi Condensed" w:hAnsi="Barlow Semi Condensed"/>
          <w:sz w:val="24"/>
          <w:szCs w:val="24"/>
        </w:rPr>
        <w:t xml:space="preserve"> Secondo quesito d'archivio: ai National Archives di College Park, nel Record Group 59, individuare le carte dell'ufficio del Segretario di Stato per il 1973-1977 e i Nixon Presidential Materials con gli NSC Files e i Country Files Italy, accertandone gli strumenti di corredo e lo stato di apertura. L'agenda chiede l'inventario prima del documento al blocco 287: la regola vale identica oltreoceano, e nessuno l'ha ancora applicata lì.</w:t>
      </w:r>
    </w:p>
    <w:p>
      <w:pPr>
        <w:spacing w:after="120" w:line="276"/>
        <w:jc w:val="both"/>
      </w:pPr>
      <w:r>
        <w:rPr>
          <w:rFonts w:ascii="Barlow Semi Condensed" w:cs="Barlow Semi Condensed" w:eastAsia="Barlow Semi Condensed" w:hAnsi="Barlow Semi Condensed"/>
          <w:b/>
          <w:bCs/>
          <w:sz w:val="24"/>
          <w:szCs w:val="24"/>
        </w:rPr>
        <w:t xml:space="preserve">4302 · Le trascrizioni telefoniche (serie LVI).</w:t>
      </w:r>
      <w:r>
        <w:rPr>
          <w:rFonts w:ascii="Barlow Semi Condensed" w:cs="Barlow Semi Condensed" w:eastAsia="Barlow Semi Condensed" w:hAnsi="Barlow Semi Condensed"/>
          <w:sz w:val="24"/>
          <w:szCs w:val="24"/>
        </w:rPr>
        <w:t xml:space="preserve"> Terzo quesito, su una serie che il territorio ignora del tutto: le trascrizioni delle conversazioni telefoniche del Segretario di Stato, trasferite agli Archivi nazionali e in parte pubblicate nella sala di lettura virtuale del Dipartimento di Stato. Accertamento preliminare da fare: quale porzione copre il 1974-1976, con quale indice per nome, e se vi ricorrano interlocutori italiani. Esito atteso realistico: un elenco, forse vuoto, comunque verbalizzato.</w:t>
      </w:r>
    </w:p>
    <w:p>
      <w:pPr>
        <w:spacing w:after="120" w:line="276"/>
        <w:jc w:val="both"/>
      </w:pPr>
      <w:r>
        <w:rPr>
          <w:rFonts w:ascii="Barlow Semi Condensed" w:cs="Barlow Semi Condensed" w:eastAsia="Barlow Semi Condensed" w:hAnsi="Barlow Semi Condensed"/>
          <w:b/>
          <w:bCs/>
          <w:sz w:val="24"/>
          <w:szCs w:val="24"/>
        </w:rPr>
        <w:t xml:space="preserve">4303 · New Haven, le carte personali.</w:t>
      </w:r>
      <w:r>
        <w:rPr>
          <w:rFonts w:ascii="Barlow Semi Condensed" w:cs="Barlow Semi Condensed" w:eastAsia="Barlow Semi Condensed" w:hAnsi="Barlow Semi Condensed"/>
          <w:sz w:val="24"/>
          <w:szCs w:val="24"/>
        </w:rPr>
        <w:t xml:space="preserve"> Quarto quesito, sul versante privato: presso la Manuscripts and Archives della Yale University Library è depositato il fondo personale dell'uomo in esame. Da accertare formalmente prima di ogni istanza: perimetro cronologico, stato di ordinamento, regolamento di consultazione ed eventuali restrizioni. Il blocco 156 dell'agenda vale anche qui — le carte private entrano per atto volontario del depositario, e l'inventario si chiede prima del documento.</w:t>
      </w:r>
    </w:p>
    <w:p>
      <w:pPr>
        <w:spacing w:after="120" w:line="276"/>
        <w:jc w:val="both"/>
      </w:pPr>
      <w:r>
        <w:rPr>
          <w:rFonts w:ascii="Barlow Semi Condensed" w:cs="Barlow Semi Condensed" w:eastAsia="Barlow Semi Condensed" w:hAnsi="Barlow Semi Condensed"/>
          <w:b/>
          <w:bCs/>
          <w:sz w:val="24"/>
          <w:szCs w:val="24"/>
        </w:rPr>
        <w:t xml:space="preserve">4304 · Washington, il deposito e i vincoli.</w:t>
      </w:r>
      <w:r>
        <w:rPr>
          <w:rFonts w:ascii="Barlow Semi Condensed" w:cs="Barlow Semi Condensed" w:eastAsia="Barlow Semi Condensed" w:hAnsi="Barlow Semi Condensed"/>
          <w:sz w:val="24"/>
          <w:szCs w:val="24"/>
        </w:rPr>
        <w:t xml:space="preserve"> Quinto quesito, gemello del precedente: la Manuscript Division della Library of Congress conserva materiali depositati dall'interessato, storicamente soggetti a restrizioni d'accesso negoziate. Da accertare: che cosa il deposito comprenda, quali vincoli siano ancora vigenti dopo la morte del depositante e quale procedura ne governi l'apertura. La risposta, quale che sia, è un dato: anche un regolamento restrittivo, censito e datato, entra nel calendario delle aperture estere.</w:t>
      </w:r>
    </w:p>
    <w:p>
      <w:pPr>
        <w:spacing w:after="120" w:line="276"/>
        <w:jc w:val="both"/>
      </w:pPr>
      <w:r>
        <w:rPr>
          <w:rFonts w:ascii="Barlow Semi Condensed" w:cs="Barlow Semi Condensed" w:eastAsia="Barlow Semi Condensed" w:hAnsi="Barlow Semi Condensed"/>
          <w:b/>
          <w:bCs/>
          <w:sz w:val="24"/>
          <w:szCs w:val="24"/>
        </w:rPr>
        <w:t xml:space="preserve">4305 · Un interlocutore che il corpus conosce.</w:t>
      </w:r>
      <w:r>
        <w:rPr>
          <w:rFonts w:ascii="Barlow Semi Condensed" w:cs="Barlow Semi Condensed" w:eastAsia="Barlow Semi Condensed" w:hAnsi="Barlow Semi Condensed"/>
          <w:sz w:val="24"/>
          <w:szCs w:val="24"/>
        </w:rPr>
        <w:t xml:space="preserve"> Rilievo di coerenza interna: il corpus cita già il National Security Archive della George Washington University per il fascicolo Guevara del 1997, nel nodo M-8 di triangolazioni-guevara-moro.md. Quello stesso istituto cura raccolte documentali sul Segretario di Stato e sull'Italia. Il territorio non lo nomina mai fra i giacimenti della serie sesta. Un interlocutore già usato da un versante dell'opera e ignorato dall'altro è una lacuna di raccordo, non di accesso.</w:t>
      </w:r>
    </w:p>
    <w:p>
      <w:pPr>
        <w:spacing w:after="120" w:line="276"/>
        <w:jc w:val="both"/>
      </w:pPr>
      <w:r>
        <w:rPr>
          <w:rFonts w:ascii="Barlow Semi Condensed" w:cs="Barlow Semi Condensed" w:eastAsia="Barlow Semi Condensed" w:hAnsi="Barlow Semi Condensed"/>
          <w:b/>
          <w:bCs/>
          <w:sz w:val="24"/>
          <w:szCs w:val="24"/>
        </w:rPr>
        <w:t xml:space="preserve">4306 · Gli scaffali dell'Alleanza, altra finestra.</w:t>
      </w:r>
      <w:r>
        <w:rPr>
          <w:rFonts w:ascii="Barlow Semi Condensed" w:cs="Barlow Semi Condensed" w:eastAsia="Barlow Semi Condensed" w:hAnsi="Barlow Semi Condensed"/>
          <w:sz w:val="24"/>
          <w:szCs w:val="24"/>
        </w:rPr>
        <w:t xml:space="preserve"> Si cercano documenti, non conferme di narrazioni: con questo perimetro il blocco 143 punta agli archivi NATO per le serie del 1978 su Italia e sicurezza interna alleata. Bersaglio derivato: le stesse serie per i ministeriali del 1974-1976, quando l'uomo in esame vi sedeva come Segretario di Stato. Perimetro identico, finestra diversa, disciplina invariata — e ciò che non c'è si verbalizza come assenza.</w:t>
      </w:r>
    </w:p>
    <w:p>
      <w:pPr>
        <w:spacing w:after="120" w:line="276"/>
        <w:jc w:val="both"/>
      </w:pPr>
      <w:r>
        <w:rPr>
          <w:rFonts w:ascii="Barlow Semi Condensed" w:cs="Barlow Semi Condensed" w:eastAsia="Barlow Semi Condensed" w:hAnsi="Barlow Semi Condensed"/>
          <w:b/>
          <w:bCs/>
          <w:sz w:val="24"/>
          <w:szCs w:val="24"/>
        </w:rPr>
        <w:t xml:space="preserve">4307 · Chi ha già scavato, colonna vuota.</w:t>
      </w:r>
      <w:r>
        <w:rPr>
          <w:rFonts w:ascii="Barlow Semi Condensed" w:cs="Barlow Semi Condensed" w:eastAsia="Barlow Semi Condensed" w:hAnsi="Barlow Semi Condensed"/>
          <w:sz w:val="24"/>
          <w:szCs w:val="24"/>
        </w:rPr>
        <w:t xml:space="preserve"> La storiografia è una mappa di scavo e l'agenda non rifà gli scavi altrui: così il blocco 152 chiede il censimento della letteratura fondata su archivi esteri, con la tavola delle segnature citate. Per la colonna britannica il blocco 14 dei cantieri nomina due autori con le loro serie; per quella americana nessun blocco nomina nessuno. La mappa di scavo statunitense è, allo stato, una pagina bianca.</w:t>
      </w:r>
    </w:p>
    <w:p>
      <w:pPr>
        <w:spacing w:after="120" w:line="276"/>
        <w:jc w:val="both"/>
      </w:pPr>
      <w:r>
        <w:rPr>
          <w:rFonts w:ascii="Barlow Semi Condensed" w:cs="Barlow Semi Condensed" w:eastAsia="Barlow Semi Condensed" w:hAnsi="Barlow Semi Condensed"/>
          <w:b/>
          <w:bCs/>
          <w:sz w:val="24"/>
          <w:szCs w:val="24"/>
        </w:rPr>
        <w:t xml:space="preserve">4308 · La priorità del discriminante, applicata.</w:t>
      </w:r>
      <w:r>
        <w:rPr>
          <w:rFonts w:ascii="Barlow Semi Condensed" w:cs="Barlow Semi Condensed" w:eastAsia="Barlow Semi Condensed" w:hAnsi="Barlow Semi Condensed"/>
          <w:sz w:val="24"/>
          <w:szCs w:val="24"/>
        </w:rPr>
        <w:t xml:space="preserve"> A parità di fattibilità precede il bersaglio la cui evidenza discrimina una matrice: lo stabilisce il blocco 282. Applicazione: fra i bersagli di questa serie l'unico realmente discriminante è il documento italiano di provenienza sui colloqui del 1974 e del 1977, perché decide fra la versione testimoniale e la sua smentita. Tutto il resto accumula contesto, ed è onesto scriverlo in testa alla graduatoria.</w:t>
      </w:r>
    </w:p>
    <w:p>
      <w:pPr>
        <w:spacing w:after="120" w:line="276"/>
        <w:jc w:val="both"/>
      </w:pPr>
      <w:r>
        <w:rPr>
          <w:rFonts w:ascii="Barlow Semi Condensed" w:cs="Barlow Semi Condensed" w:eastAsia="Barlow Semi Condensed" w:hAnsi="Barlow Semi Condensed"/>
          <w:b/>
          <w:bCs/>
          <w:sz w:val="24"/>
          <w:szCs w:val="24"/>
        </w:rPr>
        <w:t xml:space="preserve">4309 · Il costo, dichiarato in anticipo.</w:t>
      </w:r>
      <w:r>
        <w:rPr>
          <w:rFonts w:ascii="Barlow Semi Condensed" w:cs="Barlow Semi Condensed" w:eastAsia="Barlow Semi Condensed" w:hAnsi="Barlow Semi Condensed"/>
          <w:sz w:val="24"/>
          <w:szCs w:val="24"/>
        </w:rPr>
        <w:t xml:space="preserve"> Ogni campagna espone il proprio bilancio, e un bersaglio ad alto rendimento e basso costo si difende da sé: così il blocco 286. Per questa serie il conto è insolitamente favorevole — Ford Library, trascrizioni telefoniche, Dodis e lotto FOIA già acquisito si eseguono da remoto e quasi a costo nullo; solo Farnesina, Presidenza della Repubblica e College Park richiedono sala studio. Una colonna intera aperta con tre trasferte.</w:t>
      </w:r>
    </w:p>
    <w:p>
      <w:pPr>
        <w:spacing w:after="120" w:line="276"/>
        <w:jc w:val="both"/>
      </w:pPr>
      <w:r>
        <w:rPr>
          <w:rFonts w:ascii="Barlow Semi Condensed" w:cs="Barlow Semi Condensed" w:eastAsia="Barlow Semi Condensed" w:hAnsi="Barlow Semi Condensed"/>
          <w:b/>
          <w:bCs/>
          <w:sz w:val="24"/>
          <w:szCs w:val="24"/>
        </w:rPr>
        <w:t xml:space="preserve">4310 · Gli stati, non le risposte.</w:t>
      </w:r>
      <w:r>
        <w:rPr>
          <w:rFonts w:ascii="Barlow Semi Condensed" w:cs="Barlow Semi Condensed" w:eastAsia="Barlow Semi Condensed" w:hAnsi="Barlow Semi Condensed"/>
          <w:sz w:val="24"/>
          <w:szCs w:val="24"/>
        </w:rPr>
        <w:t xml:space="preserve"> Uno stato pubblico e datato per ogni bersaglio — non iniziato, in corso, colpito, a vuoto, chiuso per smentita, differito con motivo — è l'imposizione del blocco 284. Gli ottantacinque bersagli di questa serie nascono tutti nello stato «non iniziato», e la serie lo dichiara. Il criterio di compimento sta al blocco 296: la completezza si misura sugli stati terminali documentati, non sulle risposte ottenute.</w:t>
      </w:r>
    </w:p>
    <w:p>
      <w:pPr>
        <w:spacing w:after="120" w:line="276"/>
        <w:jc w:val="both"/>
      </w:pPr>
      <w:r>
        <w:rPr>
          <w:rFonts w:ascii="Barlow Semi Condensed" w:cs="Barlow Semi Condensed" w:eastAsia="Barlow Semi Condensed" w:hAnsi="Barlow Semi Condensed"/>
          <w:b/>
          <w:bCs/>
          <w:sz w:val="24"/>
          <w:szCs w:val="24"/>
        </w:rPr>
        <w:t xml:space="preserve">4311 · Il registro delle richieste, colonna americana.</w:t>
      </w:r>
      <w:r>
        <w:rPr>
          <w:rFonts w:ascii="Barlow Semi Condensed" w:cs="Barlow Semi Condensed" w:eastAsia="Barlow Semi Condensed" w:hAnsi="Barlow Semi Condensed"/>
          <w:sz w:val="24"/>
          <w:szCs w:val="24"/>
        </w:rPr>
        <w:t xml:space="preserve"> Data, destinatario, oggetto, esito, tempi: sono le colonne del registro pubblico che il blocco 259 tiene su ogni istanza generata dall'agenda. Ricaduta: le richieste che questa serie produce — FOIA, revisione obbligatoria di declassificazione, istanze agli istituti universitari — vi entrano con la loro riga. L'agenda tiene su di sé la contabilità che pretende dagli archivi del 1978, e questa serie non chiede alcuna esenzione.</w:t>
      </w:r>
    </w:p>
    <w:p>
      <w:pPr>
        <w:spacing w:after="120" w:line="276"/>
        <w:jc w:val="both"/>
      </w:pPr>
      <w:r>
        <w:rPr>
          <w:rFonts w:ascii="Barlow Semi Condensed" w:cs="Barlow Semi Condensed" w:eastAsia="Barlow Semi Condensed" w:hAnsi="Barlow Semi Condensed"/>
          <w:b/>
          <w:bCs/>
          <w:sz w:val="24"/>
          <w:szCs w:val="24"/>
        </w:rPr>
        <w:t xml:space="preserve">4312 · I tempi, pianificati e non subiti.</w:t>
      </w:r>
      <w:r>
        <w:rPr>
          <w:rFonts w:ascii="Barlow Semi Condensed" w:cs="Barlow Semi Condensed" w:eastAsia="Barlow Semi Condensed" w:hAnsi="Barlow Semi Condensed"/>
          <w:sz w:val="24"/>
          <w:szCs w:val="24"/>
        </w:rPr>
        <w:t xml:space="preserve"> Pazienza organizzata è il nome che il blocco 150 dà alla pianificazione sui tempi reali degli archivi esteri, che rispondono in mesi o anni. Per il versante americano il dato d'esperienza è preciso: le istanze di revisione obbligatoria hanno code lunghe e dichiarate. Chi apre questa colonna nel 2026 deve mettere a bilancio esiti che arriveranno oltre il cinquantennale del 2028, e scriverlo nel cronoprogramma invece di scoprirlo.</w:t>
      </w:r>
    </w:p>
    <w:p>
      <w:pPr>
        <w:spacing w:after="120" w:line="276"/>
        <w:jc w:val="both"/>
      </w:pPr>
      <w:r>
        <w:rPr>
          <w:rFonts w:ascii="Barlow Semi Condensed" w:cs="Barlow Semi Condensed" w:eastAsia="Barlow Semi Condensed" w:hAnsi="Barlow Semi Condensed"/>
          <w:b/>
          <w:bCs/>
          <w:sz w:val="24"/>
          <w:szCs w:val="24"/>
        </w:rPr>
        <w:t xml:space="preserve">4313 · Un calendario già scaduto.</w:t>
      </w:r>
      <w:r>
        <w:rPr>
          <w:rFonts w:ascii="Barlow Semi Condensed" w:cs="Barlow Semi Condensed" w:eastAsia="Barlow Semi Condensed" w:hAnsi="Barlow Semi Condensed"/>
          <w:sz w:val="24"/>
          <w:szCs w:val="24"/>
        </w:rPr>
        <w:t xml:space="preserve"> Correzione al blocco 154, che costruisce la tavola delle scadenze estere distinguendo le serie che si aprono da sole da quelle che dipendono da richieste. Per il quadriennio 1973-1977 la prima categoria è esaurita: i termini automatici sono maturi da tempo. Ciò che resta è interamente nella seconda. La colonna americana di quel calendario, per questi anni, non contiene date future: contiene istanze da scrivere.</w:t>
      </w:r>
    </w:p>
    <w:p>
      <w:pPr>
        <w:spacing w:after="120" w:line="276"/>
        <w:jc w:val="both"/>
      </w:pPr>
      <w:r>
        <w:rPr>
          <w:rFonts w:ascii="Barlow Semi Condensed" w:cs="Barlow Semi Condensed" w:eastAsia="Barlow Semi Condensed" w:hAnsi="Barlow Semi Condensed"/>
          <w:b/>
          <w:bCs/>
          <w:sz w:val="24"/>
          <w:szCs w:val="24"/>
        </w:rPr>
        <w:t xml:space="preserve">4314 · Un nodo che non matura.</w:t>
      </w:r>
      <w:r>
        <w:rPr>
          <w:rFonts w:ascii="Barlow Semi Condensed" w:cs="Barlow Semi Condensed" w:eastAsia="Barlow Semi Condensed" w:hAnsi="Barlow Semi Condensed"/>
          <w:sz w:val="24"/>
          <w:szCs w:val="24"/>
        </w:rPr>
        <w:t xml:space="preserve"> Conseguenza per il blocco 995 dei cantieri, che consegna la tavola dei bersagli serviti dal tempo — le trentennali di Kew e La Courneuve, l'archivio vaticano che un giorno aprirà, le banche dati che crescono. Questo nodo non appartiene a quella tavola. Nessuna apertura futura lo riguarda per decorso automatico, e attenderlo sarebbe attendere invano: è materia del blocco 994, dove stanno i bersagli che si eseguono adesso.</w:t>
      </w:r>
    </w:p>
    <w:p>
      <w:pPr>
        <w:spacing w:after="120" w:line="276"/>
        <w:jc w:val="both"/>
      </w:pPr>
      <w:r>
        <w:rPr>
          <w:rFonts w:ascii="Barlow Semi Condensed" w:cs="Barlow Semi Condensed" w:eastAsia="Barlow Semi Condensed" w:hAnsi="Barlow Semi Condensed"/>
          <w:b/>
          <w:bCs/>
          <w:sz w:val="24"/>
          <w:szCs w:val="24"/>
        </w:rPr>
        <w:t xml:space="preserve">4315 · La scadenza biologica, già passata.</w:t>
      </w:r>
      <w:r>
        <w:rPr>
          <w:rFonts w:ascii="Barlow Semi Condensed" w:cs="Barlow Semi Condensed" w:eastAsia="Barlow Semi Condensed" w:hAnsi="Barlow Semi Condensed"/>
          <w:sz w:val="24"/>
          <w:szCs w:val="24"/>
        </w:rPr>
        <w:t xml:space="preserve"> La finestra si è chiusa il 29 novembre 2023, a Kent, Connecticut: per questo nodo il blocco 994 registra una scadenza già trascorsa. L'unica smentita diretta e circostanziata resta quella resa a un giornalista poco prima della morte, e ogni domanda ulteriore è oggi irripetibile. L'agenda porta la data del 25 agosto 2026: fu scritta quando la via testimoniale era già chiusa, e non lo registra.</w:t>
      </w:r>
    </w:p>
    <w:p>
      <w:pPr>
        <w:spacing w:after="120" w:line="276"/>
        <w:jc w:val="both"/>
      </w:pPr>
      <w:r>
        <w:rPr>
          <w:rFonts w:ascii="Barlow Semi Condensed" w:cs="Barlow Semi Condensed" w:eastAsia="Barlow Semi Condensed" w:hAnsi="Barlow Semi Condensed"/>
          <w:b/>
          <w:bCs/>
          <w:sz w:val="24"/>
          <w:szCs w:val="24"/>
        </w:rPr>
        <w:t xml:space="preserve">4316 · Gli occhi stranieri, senza questo occhio.</w:t>
      </w:r>
      <w:r>
        <w:rPr>
          <w:rFonts w:ascii="Barlow Semi Condensed" w:cs="Barlow Semi Condensed" w:eastAsia="Barlow Semi Condensed" w:hAnsi="Barlow Semi Condensed"/>
          <w:sz w:val="24"/>
          <w:szCs w:val="24"/>
        </w:rPr>
        <w:t xml:space="preserve"> L'ascolto conservativo dei diplomatici e degli addetti alleati viventi in servizio a Roma nel 1978 è organizzato dal blocco 122, che osserva come la memoria straniera goda di archivi destinati prima o poi ad aprirsi. Applicato al nostro nome, il blocco è disattivato in partenza: nessun ascolto è possibile. Resta soltanto il vantaggio che il blocco cita — gli archivi — ed è la ragione dei bersagli d'oltreoceano di questa serie.</w:t>
      </w:r>
    </w:p>
    <w:p>
      <w:pPr>
        <w:spacing w:after="120" w:line="276"/>
        <w:jc w:val="both"/>
      </w:pPr>
      <w:r>
        <w:rPr>
          <w:rFonts w:ascii="Barlow Semi Condensed" w:cs="Barlow Semi Condensed" w:eastAsia="Barlow Semi Condensed" w:hAnsi="Barlow Semi Condensed"/>
          <w:b/>
          <w:bCs/>
          <w:sz w:val="24"/>
          <w:szCs w:val="24"/>
        </w:rPr>
        <w:t xml:space="preserve">4317 · Le rogatorie, strumento inapplicabile.</w:t>
      </w:r>
      <w:r>
        <w:rPr>
          <w:rFonts w:ascii="Barlow Semi Condensed" w:cs="Barlow Semi Condensed" w:eastAsia="Barlow Semi Condensed" w:hAnsi="Barlow Semi Condensed"/>
          <w:sz w:val="24"/>
          <w:szCs w:val="24"/>
        </w:rPr>
        <w:t xml:space="preserve"> La via delle rogatorie e della cooperazione giudiziaria, aperta dal blocco 149 per gli atti esteri che una richiesta archivistica non raggiunge, lascia la titolarità dove la legge la pone. Su questo nodo lo strumento è inapplicabile per due ragioni indipendenti: l'interessato è deceduto e non fu mai imputato né processato in alcun Paese. Resta la sola via archivistica, e va detto perché nessuno la scambi per reticenza.</w:t>
      </w:r>
    </w:p>
    <w:p>
      <w:pPr>
        <w:spacing w:after="120" w:line="276"/>
        <w:jc w:val="both"/>
      </w:pPr>
      <w:r>
        <w:rPr>
          <w:rFonts w:ascii="Barlow Semi Condensed" w:cs="Barlow Semi Condensed" w:eastAsia="Barlow Semi Condensed" w:hAnsi="Barlow Semi Condensed"/>
          <w:b/>
          <w:bCs/>
          <w:sz w:val="24"/>
          <w:szCs w:val="24"/>
        </w:rPr>
        <w:t xml:space="preserve">4318 · Presenze, non mandanti (serie LVI).</w:t>
      </w:r>
      <w:r>
        <w:rPr>
          <w:rFonts w:ascii="Barlow Semi Condensed" w:cs="Barlow Semi Condensed" w:eastAsia="Barlow Semi Condensed" w:hAnsi="Barlow Semi Condensed"/>
          <w:sz w:val="24"/>
          <w:szCs w:val="24"/>
        </w:rPr>
        <w:t xml:space="preserve"> Muro semantico da custodire, dal blocco 887 dei cantieri: il fascicolo vivo della Procura di Roma cerca presenze sulla scena mai identificate né giudicate — non mandanti, non regie. Il blocco fissa il perimetro perché la pubblicistica non lo dilati. Conseguenza per questa serie: nessun nome straniero può entrare in quel procedimento per costruzione dell'oggetto, e ogni ricostruzione che lo suggerisca sta parlando di un altro fascicolo, inesistente.</w:t>
      </w:r>
    </w:p>
    <w:p>
      <w:pPr>
        <w:spacing w:after="120" w:line="276"/>
        <w:jc w:val="both"/>
      </w:pPr>
      <w:r>
        <w:rPr>
          <w:rFonts w:ascii="Barlow Semi Condensed" w:cs="Barlow Semi Condensed" w:eastAsia="Barlow Semi Condensed" w:hAnsi="Barlow Semi Condensed"/>
          <w:b/>
          <w:bCs/>
          <w:sz w:val="24"/>
          <w:szCs w:val="24"/>
        </w:rPr>
        <w:t xml:space="preserve">4319 · La precedenza, e il canale.</w:t>
      </w:r>
      <w:r>
        <w:rPr>
          <w:rFonts w:ascii="Barlow Semi Condensed" w:cs="Barlow Semi Condensed" w:eastAsia="Barlow Semi Condensed" w:hAnsi="Barlow Semi Condensed"/>
          <w:sz w:val="24"/>
          <w:szCs w:val="24"/>
        </w:rPr>
        <w:t xml:space="preserve"> Non interferire, segnalare per iscritto ciò che si trova, aspettare gli atti: è il patto fissato dal blocco 291 dell'agenda e dai blocchi 891 e 892 dei cantieri. Ricaduta qui: se una sede americana restituisse un documento con rilievo per il fascicolo, la via è la segnalazione datata e registrata, non la pubblicazione. L'ipotesi è remota; il canale esiste già, ed è meglio conoscerlo prima che serva.</w:t>
      </w:r>
    </w:p>
    <w:p>
      <w:pPr>
        <w:spacing w:after="120" w:line="276"/>
        <w:jc w:val="both"/>
      </w:pPr>
      <w:r>
        <w:rPr>
          <w:rFonts w:ascii="Barlow Semi Condensed" w:cs="Barlow Semi Condensed" w:eastAsia="Barlow Semi Condensed" w:hAnsi="Barlow Semi Condensed"/>
          <w:b/>
          <w:bCs/>
          <w:sz w:val="24"/>
          <w:szCs w:val="24"/>
        </w:rPr>
        <w:t xml:space="preserve">4320 · I taccuini americani di Roma.</w:t>
      </w:r>
      <w:r>
        <w:rPr>
          <w:rFonts w:ascii="Barlow Semi Condensed" w:cs="Barlow Semi Condensed" w:eastAsia="Barlow Semi Condensed" w:hAnsi="Barlow Semi Condensed"/>
          <w:sz w:val="24"/>
          <w:szCs w:val="24"/>
        </w:rPr>
        <w:t xml:space="preserve"> I fondi dei corrispondenti stranieri del 1978 — americani inclusi — presso università e fondazioni di giornalismo sono censiti dal blocco 277 come sguardo complementare ai cablo. Bersaglio derivato e più antico: gli stessi fondi per il 1974-1976, quando la stampa americana seguiva da vicino il rapporto fra Washington e la Democrazia cristiana. Stessa città, altra penna, altro decennio — e la penna, allora, era in servizio.</w:t>
      </w:r>
    </w:p>
    <w:p>
      <w:pPr>
        <w:spacing w:after="120" w:line="276"/>
        <w:jc w:val="both"/>
      </w:pPr>
      <w:r>
        <w:rPr>
          <w:rFonts w:ascii="Barlow Semi Condensed" w:cs="Barlow Semi Condensed" w:eastAsia="Barlow Semi Condensed" w:hAnsi="Barlow Semi Condensed"/>
          <w:b/>
          <w:bCs/>
          <w:sz w:val="24"/>
          <w:szCs w:val="24"/>
        </w:rPr>
        <w:t xml:space="preserve">4321 · Il portale federato, senza estero.</w:t>
      </w:r>
      <w:r>
        <w:rPr>
          <w:rFonts w:ascii="Barlow Semi Condensed" w:cs="Barlow Semi Condensed" w:eastAsia="Barlow Semi Condensed" w:hAnsi="Barlow Semi Condensed"/>
          <w:sz w:val="24"/>
          <w:szCs w:val="24"/>
        </w:rPr>
        <w:t xml:space="preserve"> Un esito negativo diventa proposta al blocco 920: non esiste un portale unico degli atti del caso ma una costellazione — Camera, Senato, ACS, Rete degli archivi, Bologna. Rilievo: tutte e cinque le stazioni sono italiane. Il portale federato proposto per il 2028 nasce senza alcuna colonna estera, e senza di essa un ricercatore continuerà a dover sapere in anticipo che FRUS esiste. Aggiungerla è un'istruzione di progetto.</w:t>
      </w:r>
    </w:p>
    <w:p>
      <w:pPr>
        <w:spacing w:after="120" w:line="276"/>
        <w:jc w:val="both"/>
      </w:pPr>
      <w:r>
        <w:rPr>
          <w:rFonts w:ascii="Barlow Semi Condensed" w:cs="Barlow Semi Condensed" w:eastAsia="Barlow Semi Condensed" w:hAnsi="Barlow Semi Condensed"/>
          <w:b/>
          <w:bCs/>
          <w:sz w:val="24"/>
          <w:szCs w:val="24"/>
        </w:rPr>
        <w:t xml:space="preserve">4322 · Un identificativo per un nome esterno.</w:t>
      </w:r>
      <w:r>
        <w:rPr>
          <w:rFonts w:ascii="Barlow Semi Condensed" w:cs="Barlow Semi Condensed" w:eastAsia="Barlow Semi Condensed" w:hAnsi="Barlow Semi Condensed"/>
          <w:sz w:val="24"/>
          <w:szCs w:val="24"/>
        </w:rPr>
        <w:t xml:space="preserve"> Identificativi stabili per ogni persona, luogo e reperto attraverso i corpora collegati: lo chiede il blocco 930. Problema tecnico che il territorio non affronta: come si registra un nome che nel caso compare soltanto in testimonianza contestata, senza mai comparire in un atto di provenienza. La soluzione disciplinata è una sola — l'identificativo porta il grado nella scheda, e la scheda porta la smentita accanto all'affermazione, sempre.</w:t>
      </w:r>
    </w:p>
    <w:p>
      <w:pPr>
        <w:spacing w:after="120" w:line="276"/>
        <w:jc w:val="both"/>
      </w:pPr>
      <w:r>
        <w:rPr>
          <w:rFonts w:ascii="Barlow Semi Condensed" w:cs="Barlow Semi Condensed" w:eastAsia="Barlow Semi Condensed" w:hAnsi="Barlow Semi Condensed"/>
          <w:b/>
          <w:bCs/>
          <w:sz w:val="24"/>
          <w:szCs w:val="24"/>
        </w:rPr>
        <w:t xml:space="preserve">4323 · Il 2028 e la quarta colonna.</w:t>
      </w:r>
      <w:r>
        <w:rPr>
          <w:rFonts w:ascii="Barlow Semi Condensed" w:cs="Barlow Semi Condensed" w:eastAsia="Barlow Semi Condensed" w:hAnsi="Barlow Semi Condensed"/>
          <w:sz w:val="24"/>
          <w:szCs w:val="24"/>
        </w:rPr>
        <w:t xml:space="preserve"> Un comitato nazionale e un convegno internazionale che riunisca gli storici degli archivi esteri: così i blocchi 967 e 975 immaginano il cinquantennale. Bersaglio: che la quarta colonna arrivi a quel tavolo con le tavole compilate — Ford Library, College Park, FRUS 1969-1976, trascrizioni telefoniche, fondi personali. Il blocco 968 vuole consegne e non cerimonie: questa serie è, alla lettera, l'elenco di una consegna possibile.</w:t>
      </w:r>
    </w:p>
    <w:p>
      <w:pPr>
        <w:spacing w:after="120" w:line="276"/>
        <w:jc w:val="both"/>
      </w:pPr>
      <w:r>
        <w:rPr>
          <w:rFonts w:ascii="Barlow Semi Condensed" w:cs="Barlow Semi Condensed" w:eastAsia="Barlow Semi Condensed" w:hAnsi="Barlow Semi Condensed"/>
          <w:b/>
          <w:bCs/>
          <w:sz w:val="24"/>
          <w:szCs w:val="24"/>
        </w:rPr>
        <w:t xml:space="preserve">4324 · La scheda pronta per il diluvio.</w:t>
      </w:r>
      <w:r>
        <w:rPr>
          <w:rFonts w:ascii="Barlow Semi Condensed" w:cs="Barlow Semi Condensed" w:eastAsia="Barlow Semi Condensed" w:hAnsi="Barlow Semi Condensed"/>
          <w:sz w:val="24"/>
          <w:szCs w:val="24"/>
        </w:rPr>
        <w:t xml:space="preserve"> Il diluvio mediatico del 2028 e le produzioni di finzione sono previsti dai blocchi 976 e 977, che offrono alle redazioni schede verificate e consulenza documentale. Bersaglio conseguente: che la scheda sull'episodio del preteso avvertimento sia già scritta con le sue sette precisazioni, la sua smentita, le sue tre date e il suo unico lancio d'agenzia. Non si governa il diluvio; si offre acqua pulita a chi la vuole.</w:t>
      </w:r>
    </w:p>
    <w:p>
      <w:pPr>
        <w:spacing w:after="120" w:line="276"/>
        <w:jc w:val="both"/>
      </w:pPr>
      <w:r>
        <w:rPr>
          <w:rFonts w:ascii="Barlow Semi Condensed" w:cs="Barlow Semi Condensed" w:eastAsia="Barlow Semi Condensed" w:hAnsi="Barlow Semi Condensed"/>
          <w:b/>
          <w:bCs/>
          <w:sz w:val="24"/>
          <w:szCs w:val="24"/>
        </w:rPr>
        <w:t xml:space="preserve">4325 · Il congedo della serie LVI.</w:t>
      </w:r>
      <w:r>
        <w:rPr>
          <w:rFonts w:ascii="Barlow Semi Condensed" w:cs="Barlow Semi Condensed" w:eastAsia="Barlow Semi Condensed" w:hAnsi="Barlow Semi Condensed"/>
          <w:sz w:val="24"/>
          <w:szCs w:val="24"/>
        </w:rPr>
        <w:t xml:space="preserve"> Congedo, con la contabilità in chiaro: nessun ponte di piano 1 è stato aggiunto fra questo nome e il caso Moro, e nessuno poteva esserlo da due documenti che non lo nominano mai. Sono stati aggiunti una diagnosi del vuoto, sei sedi d'archivio mancanti, tre bersagli italiani mai formulati, un bersaglio di smentita e uno di conferma. Il corpus si ferma al giudicato, e qui non c'è giudicato da cui muovere.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cinquantasettesima — Le fonti orali e le memorie</w:t>
      </w:r>
    </w:p>
    <w:p>
      <w:pPr>
        <w:spacing w:after="120" w:line="276"/>
        <w:jc w:val="both"/>
      </w:pPr>
      <w:r>
        <w:rPr>
          <w:rFonts w:ascii="Barlow Semi Condensed" w:cs="Barlow Semi Condensed" w:eastAsia="Barlow Semi Condensed" w:hAnsi="Barlow Semi Condensed"/>
          <w:i/>
          <w:iCs/>
          <w:sz w:val="24"/>
          <w:szCs w:val="24"/>
        </w:rPr>
        <w:t xml:space="preserve">Blocchi 4326-4400.</w:t>
      </w:r>
    </w:p>
    <w:p>
      <w:pPr>
        <w:spacing w:after="120" w:line="276"/>
        <w:jc w:val="both"/>
      </w:pPr>
      <w:r>
        <w:rPr>
          <w:rFonts w:ascii="Barlow Semi Condensed" w:cs="Barlow Semi Condensed" w:eastAsia="Barlow Semi Condensed" w:hAnsi="Barlow Semi Condensed"/>
          <w:b/>
          <w:bCs/>
          <w:sz w:val="24"/>
          <w:szCs w:val="24"/>
        </w:rPr>
        <w:t xml:space="preserve">4326 · Lo statuto orale di questa serie.</w:t>
      </w:r>
      <w:r>
        <w:rPr>
          <w:rFonts w:ascii="Barlow Semi Condensed" w:cs="Barlow Semi Condensed" w:eastAsia="Barlow Semi Condensed" w:hAnsi="Barlow Semi Condensed"/>
          <w:sz w:val="24"/>
          <w:szCs w:val="24"/>
        </w:rPr>
        <w:t xml:space="preserve"> Il territorio assegnato è tutto il corpus letto per le sue testimonianze. La griglia esiste già: l'edizione strutturata dell'opera-madre fissa ai blocchi 1051-1056 i tetti di grado — giudicato A, atti parlamentari B, memorialistica C, pubblicistica C. Questa serie non ne propone un'altra: la applica a un solo nome, e verifica dove le fonti orali del corpus lo nominano, dove lo sfiorano e dove tacciono del tutto.</w:t>
      </w:r>
    </w:p>
    <w:p>
      <w:pPr>
        <w:spacing w:after="120" w:line="276"/>
        <w:jc w:val="both"/>
      </w:pPr>
      <w:r>
        <w:rPr>
          <w:rFonts w:ascii="Barlow Semi Condensed" w:cs="Barlow Semi Condensed" w:eastAsia="Barlow Semi Condensed" w:hAnsi="Barlow Semi Condensed"/>
          <w:b/>
          <w:bCs/>
          <w:sz w:val="24"/>
          <w:szCs w:val="24"/>
        </w:rPr>
        <w:t xml:space="preserve">4327 · L'unico ingresso orale del nome.</w:t>
      </w:r>
      <w:r>
        <w:rPr>
          <w:rFonts w:ascii="Barlow Semi Condensed" w:cs="Barlow Semi Condensed" w:eastAsia="Barlow Semi Condensed" w:hAnsi="Barlow Semi Condensed"/>
          <w:sz w:val="24"/>
          <w:szCs w:val="24"/>
        </w:rPr>
        <w:t xml:space="preserve"> Nel corpus il nome qui triangolato entra per via testimoniale in un punto solo: il nodo M-5 di triangolazioni-guevara-moro.md, «L'ombra statunitense su entrambe le morti». Ovunque altrove — la cartella della Farnesina, i volumi FRUS, i verbali della Ford Library — entra per via documentale. La distinzione va tenuta a vista: un archivio attesta ciò che un funzionario scrisse il giorno stesso, un teste riferisce ciò che ricorda anni dopo.</w:t>
      </w:r>
    </w:p>
    <w:p>
      <w:pPr>
        <w:spacing w:after="120" w:line="276"/>
        <w:jc w:val="both"/>
      </w:pPr>
      <w:r>
        <w:rPr>
          <w:rFonts w:ascii="Barlow Semi Condensed" w:cs="Barlow Semi Condensed" w:eastAsia="Barlow Semi Condensed" w:hAnsi="Barlow Semi Condensed"/>
          <w:b/>
          <w:bCs/>
          <w:sz w:val="24"/>
          <w:szCs w:val="24"/>
        </w:rPr>
        <w:t xml:space="preserve">4328 · Guerzoni davanti alla Corte d'assise.</w:t>
      </w:r>
      <w:r>
        <w:rPr>
          <w:rFonts w:ascii="Barlow Semi Condensed" w:cs="Barlow Semi Condensed" w:eastAsia="Barlow Semi Condensed" w:hAnsi="Barlow Semi Condensed"/>
          <w:sz w:val="24"/>
          <w:szCs w:val="24"/>
        </w:rPr>
        <w:t xml:space="preserve"> Il portavoce depose a Roma nel novembre 1982 — il 10 secondo la datazione più ricorrente, il 15 secondo una fonte, divergenza non risolta — e depose de relato, non avendo assistito al colloquio. Il blocco 697 dell'opera in mille blocchi fissa il bersaglio, e questa serie lo ripete senza attenuarlo: il verbale d'udienza integrale presso gli atti della corte. Finché non è letto, grado B nella sua accezione debole.</w:t>
      </w:r>
    </w:p>
    <w:p>
      <w:pPr>
        <w:spacing w:after="120" w:line="276"/>
        <w:jc w:val="both"/>
      </w:pPr>
      <w:r>
        <w:rPr>
          <w:rFonts w:ascii="Barlow Semi Condensed" w:cs="Barlow Semi Condensed" w:eastAsia="Barlow Semi Condensed" w:hAnsi="Barlow Semi Condensed"/>
          <w:b/>
          <w:bCs/>
          <w:sz w:val="24"/>
          <w:szCs w:val="24"/>
        </w:rPr>
        <w:t xml:space="preserve">4329 · L'audizione del primo agosto 1980 (serie LVII).</w:t>
      </w:r>
      <w:r>
        <w:rPr>
          <w:rFonts w:ascii="Barlow Semi Condensed" w:cs="Barlow Semi Condensed" w:eastAsia="Barlow Semi Condensed" w:hAnsi="Barlow Semi Condensed"/>
          <w:sz w:val="24"/>
          <w:szCs w:val="24"/>
        </w:rPr>
        <w:t xml:space="preserve"> La vedova fu ascoltata dalla Commissione parlamentare d'inchiesta il 1° agosto 1980; una fonte indica l'11, verosimilmente per lettura errata. La sede è confermata, il contenuto verbatim no: le sintesi attribuiscono la frase alla deposizione giudiziaria del 1982, mentre dell'audizione riportano soprattutto un riferimento a minacce risalenti al 1975 e crescenti. Bersaglio: i resoconti stenografici della VIII legislatura, letti direttamente e non per sintesi.</w:t>
      </w:r>
    </w:p>
    <w:p>
      <w:pPr>
        <w:spacing w:after="120" w:line="276"/>
        <w:jc w:val="both"/>
      </w:pPr>
      <w:r>
        <w:rPr>
          <w:rFonts w:ascii="Barlow Semi Condensed" w:cs="Barlow Semi Condensed" w:eastAsia="Barlow Semi Condensed" w:hAnsi="Barlow Semi Condensed"/>
          <w:b/>
          <w:bCs/>
          <w:sz w:val="24"/>
          <w:szCs w:val="24"/>
        </w:rPr>
        <w:t xml:space="preserve">4330 · Il nome estratto in udienza (serie LVII).</w:t>
      </w:r>
      <w:r>
        <w:rPr>
          <w:rFonts w:ascii="Barlow Semi Condensed" w:cs="Barlow Semi Condensed" w:eastAsia="Barlow Semi Condensed" w:hAnsi="Barlow Semi Condensed"/>
          <w:sz w:val="24"/>
          <w:szCs w:val="24"/>
        </w:rPr>
        <w:t xml:space="preserve"> In aula la vedova parlò di «un'alta personalità» senza nominarla; fu il presidente della corte, richiamando la deposizione del portavoce, a ottenere l'indicazione. L'attribuzione nasce dunque nel dibattimento anziché precederlo, ed è essa stessa indiretta. Nessuna sintesi divulgativa lo riporta, e il dato modifica il peso della convergenza fra i due testi: un nome ottenuto per richiamo non pesa quanto un nome pronunciato spontaneamente.</w:t>
      </w:r>
    </w:p>
    <w:p>
      <w:pPr>
        <w:spacing w:after="120" w:line="276"/>
        <w:jc w:val="both"/>
      </w:pPr>
      <w:r>
        <w:rPr>
          <w:rFonts w:ascii="Barlow Semi Condensed" w:cs="Barlow Semi Condensed" w:eastAsia="Barlow Semi Condensed" w:hAnsi="Barlow Semi Condensed"/>
          <w:b/>
          <w:bCs/>
          <w:sz w:val="24"/>
          <w:szCs w:val="24"/>
        </w:rPr>
        <w:t xml:space="preserve">4331 · Sede confermata, contenuto da verificare (serie LVII).</w:t>
      </w:r>
      <w:r>
        <w:rPr>
          <w:rFonts w:ascii="Barlow Semi Condensed" w:cs="Barlow Semi Condensed" w:eastAsia="Barlow Semi Condensed" w:hAnsi="Barlow Semi Condensed"/>
          <w:sz w:val="24"/>
          <w:szCs w:val="24"/>
        </w:rPr>
        <w:t xml:space="preserve"> Il blocco 696 dell'opera propone questa formula come categoria autonoma del registro, e la serie la adotta. Significa che si sa dove un atto fu compiuto e non che cosa vi fu detto. Non è uno Stato Zero: il documento esiste e non è stato letto. È un vuoto di secondo ordine, e va tenuto distinto dal vuoto di prima specie, che riguarda l'esistenza stessa della carta.</w:t>
      </w:r>
    </w:p>
    <w:p>
      <w:pPr>
        <w:spacing w:after="120" w:line="276"/>
        <w:jc w:val="both"/>
      </w:pPr>
      <w:r>
        <w:rPr>
          <w:rFonts w:ascii="Barlow Semi Condensed" w:cs="Barlow Semi Condensed" w:eastAsia="Barlow Semi Condensed" w:hAnsi="Barlow Semi Condensed"/>
          <w:b/>
          <w:bCs/>
          <w:sz w:val="24"/>
          <w:szCs w:val="24"/>
        </w:rPr>
        <w:t xml:space="preserve">4332 · Due smentite italiane, e il loro attrito.</w:t>
      </w:r>
      <w:r>
        <w:rPr>
          <w:rFonts w:ascii="Barlow Semi Condensed" w:cs="Barlow Semi Condensed" w:eastAsia="Barlow Semi Condensed" w:hAnsi="Barlow Semi Condensed"/>
          <w:sz w:val="24"/>
          <w:szCs w:val="24"/>
        </w:rPr>
        <w:t xml:space="preserve"> Nell'apparato K stanno registrati due testimoni italiani qualificati che negarono la minaccia. Uno la definì «una leggenda che non ha fondamento», dicendo di aver verificato allora con l'interprete; lo stesso, altrove, descrisse un colloquio politicamente durissimo, distinguendo il rimprovero aspro dalla minaccia. Un altro parlò di «solo un problema di linguaggio». Nessuno dei due era presente al colloquio riservato: le divergenze si riportano tutte, e non si compongono.</w:t>
      </w:r>
    </w:p>
    <w:p>
      <w:pPr>
        <w:spacing w:after="120" w:line="276"/>
        <w:jc w:val="both"/>
      </w:pPr>
      <w:r>
        <w:rPr>
          <w:rFonts w:ascii="Barlow Semi Condensed" w:cs="Barlow Semi Condensed" w:eastAsia="Barlow Semi Condensed" w:hAnsi="Barlow Semi Condensed"/>
          <w:b/>
          <w:bCs/>
          <w:sz w:val="24"/>
          <w:szCs w:val="24"/>
        </w:rPr>
        <w:t xml:space="preserve">4333 · L'interprete come bersaglio materiale.</w:t>
      </w:r>
      <w:r>
        <w:rPr>
          <w:rFonts w:ascii="Barlow Semi Condensed" w:cs="Barlow Semi Condensed" w:eastAsia="Barlow Semi Condensed" w:hAnsi="Barlow Semi Condensed"/>
          <w:sz w:val="24"/>
          <w:szCs w:val="24"/>
        </w:rPr>
        <w:t xml:space="preserve"> Una delle smentite poggia su un dato verificabile: Moro non parlava inglese, e lo scambio verbale diretto passava per un interprete. È l'unico appiglio materiale che il nodo offra. Bersaglio nominato: l'identità dell'interprete della visita di Stato del settembre 1974, ricavabile dagli atti del cerimoniale della Farnesina e dai fascicoli della Gerald R. Ford Presidential Library. Se ne resta traccia, è la sola voce diretta ancora cercabile.</w:t>
      </w:r>
    </w:p>
    <w:p>
      <w:pPr>
        <w:spacing w:after="120" w:line="276"/>
        <w:jc w:val="both"/>
      </w:pPr>
      <w:r>
        <w:rPr>
          <w:rFonts w:ascii="Barlow Semi Condensed" w:cs="Barlow Semi Condensed" w:eastAsia="Barlow Semi Condensed" w:hAnsi="Barlow Semi Condensed"/>
          <w:b/>
          <w:bCs/>
          <w:sz w:val="24"/>
          <w:szCs w:val="24"/>
        </w:rPr>
        <w:t xml:space="preserve">4334 · Il programma del 1965 come modello.</w:t>
      </w:r>
      <w:r>
        <w:rPr>
          <w:rFonts w:ascii="Barlow Semi Condensed" w:cs="Barlow Semi Condensed" w:eastAsia="Barlow Semi Condensed" w:hAnsi="Barlow Semi Condensed"/>
          <w:sz w:val="24"/>
          <w:szCs w:val="24"/>
        </w:rPr>
        <w:t xml:space="preserve"> La cartella della Farnesina conserva, in documenti-state-dept-1965-1978.md, il comunicato stampa n. 76 del Dipartimento di Stato del 16 aprile 1965 con l'elenco nominativo della delegazione italiana: fra gli altri Fanfani, Fenoaltea, Ortona, Freato, Rana e Corrado Guerzoni, capo dell'Ufficio stampa. Il documento non riguarda il 1974 e non nomina il nome qui triangolato: allora il Dipartimento di Stato era retto da Dean Rusk.</w:t>
      </w:r>
    </w:p>
    <w:p>
      <w:pPr>
        <w:spacing w:after="120" w:line="276"/>
        <w:jc w:val="both"/>
      </w:pPr>
      <w:r>
        <w:rPr>
          <w:rFonts w:ascii="Barlow Semi Condensed" w:cs="Barlow Semi Condensed" w:eastAsia="Barlow Semi Condensed" w:hAnsi="Barlow Semi Condensed"/>
          <w:b/>
          <w:bCs/>
          <w:sz w:val="24"/>
          <w:szCs w:val="24"/>
        </w:rPr>
        <w:t xml:space="preserve">4335 · La lista mancante del 1974.</w:t>
      </w:r>
      <w:r>
        <w:rPr>
          <w:rFonts w:ascii="Barlow Semi Condensed" w:cs="Barlow Semi Condensed" w:eastAsia="Barlow Semi Condensed" w:hAnsi="Barlow Semi Condensed"/>
          <w:sz w:val="24"/>
          <w:szCs w:val="24"/>
        </w:rPr>
        <w:t xml:space="preserve"> Il corpus non possiede l'equivalente di quell'elenco per la visita di Stato del 25-29 settembre 1974 — data su cui, per giunta, gli atti presidenziali e la nota editoriale FRUS divergono, 25-29 contro 25-27. È uno Stato Zero preciso: senza la lista nominativa non esiste il perimetro dei possibili testimoni. Sedi che lo chiuderebbero: il cerimoniale della Farnesina, la Ford Library, l'Ambasciata d'Italia a Washington.</w:t>
      </w:r>
    </w:p>
    <w:p>
      <w:pPr>
        <w:spacing w:after="120" w:line="276"/>
        <w:jc w:val="both"/>
      </w:pPr>
      <w:r>
        <w:rPr>
          <w:rFonts w:ascii="Barlow Semi Condensed" w:cs="Barlow Semi Condensed" w:eastAsia="Barlow Semi Condensed" w:hAnsi="Barlow Semi Condensed"/>
          <w:b/>
          <w:bCs/>
          <w:sz w:val="24"/>
          <w:szCs w:val="24"/>
        </w:rPr>
        <w:t xml:space="preserve">4336 · Che cosa indica un de relato.</w:t>
      </w:r>
      <w:r>
        <w:rPr>
          <w:rFonts w:ascii="Barlow Semi Condensed" w:cs="Barlow Semi Condensed" w:eastAsia="Barlow Semi Condensed" w:hAnsi="Barlow Semi Condensed"/>
          <w:sz w:val="24"/>
          <w:szCs w:val="24"/>
        </w:rPr>
        <w:t xml:space="preserve"> Una testimonianza indiretta non è priva di valore: indica una fonte. Qui la fonte dichiarata sono Moro e il suo entourage, e Moro è irraggiungibile dal 1978. Ma Moro scrisse, e scrisse molto, proprio sui temi internazionali: il memoriale di via Monte Nevoso e le lettere della prigionia sono la sola via rimasta per interrogare la fonte del de relato. È lì che questa serie porta il quesito.</w:t>
      </w:r>
    </w:p>
    <w:p>
      <w:pPr>
        <w:spacing w:after="120" w:line="276"/>
        <w:jc w:val="both"/>
      </w:pPr>
      <w:r>
        <w:rPr>
          <w:rFonts w:ascii="Barlow Semi Condensed" w:cs="Barlow Semi Condensed" w:eastAsia="Barlow Semi Condensed" w:hAnsi="Barlow Semi Condensed"/>
          <w:b/>
          <w:bCs/>
          <w:sz w:val="24"/>
          <w:szCs w:val="24"/>
        </w:rPr>
        <w:t xml:space="preserve">4337 · Il memoriale interrogato con la griglia.</w:t>
      </w:r>
      <w:r>
        <w:rPr>
          <w:rFonts w:ascii="Barlow Semi Condensed" w:cs="Barlow Semi Condensed" w:eastAsia="Barlow Semi Condensed" w:hAnsi="Barlow Semi Condensed"/>
          <w:sz w:val="24"/>
          <w:szCs w:val="24"/>
        </w:rPr>
        <w:t xml:space="preserve"> Il blocco 537 dei nove cantieri impone di leggere i passaggi sensibili del memoriale distinguendo ciò che Moro afferma per conoscenza diretta, ciò che riferisce e ciò che congettura. Applicata a questo nodo, la griglia produce un quesito unico e verificabile: l'episodio del 1974 compare in quelle carte, e in quale dei tre registri? Sedi: la curatela Gotor del 2011 e l'edizione critica presentata all'Archivio di Stato di Roma.</w:t>
      </w:r>
    </w:p>
    <w:p>
      <w:pPr>
        <w:spacing w:after="120" w:line="276"/>
        <w:jc w:val="both"/>
      </w:pPr>
      <w:r>
        <w:rPr>
          <w:rFonts w:ascii="Barlow Semi Condensed" w:cs="Barlow Semi Condensed" w:eastAsia="Barlow Semi Condensed" w:hAnsi="Barlow Semi Condensed"/>
          <w:b/>
          <w:bCs/>
          <w:sz w:val="24"/>
          <w:szCs w:val="24"/>
        </w:rPr>
        <w:t xml:space="preserve">4338 · Il canone delle lettere, interrogato.</w:t>
      </w:r>
      <w:r>
        <w:rPr>
          <w:rFonts w:ascii="Barlow Semi Condensed" w:cs="Barlow Semi Condensed" w:eastAsia="Barlow Semi Condensed" w:hAnsi="Barlow Semi Condensed"/>
          <w:sz w:val="24"/>
          <w:szCs w:val="24"/>
        </w:rPr>
        <w:t xml:space="preserve"> Il blocco 486 dei cantieri fissa il canone epistolare della prigionia sull'edizione Gotor del 2008 — novantasette lettere, con varianti di computo dichiarate. Il corpus non registra in alcuna di esse la menzione dell'episodio di Washington. L'assenza va misurata prima di essere citata: si dichiarano l'edizione usata, le stringhe cercate e le loro varianti, secondo il verbale di vuoto del blocco 285 dell'agenda.</w:t>
      </w:r>
    </w:p>
    <w:p>
      <w:pPr>
        <w:spacing w:after="120" w:line="276"/>
        <w:jc w:val="both"/>
      </w:pPr>
      <w:r>
        <w:rPr>
          <w:rFonts w:ascii="Barlow Semi Condensed" w:cs="Barlow Semi Condensed" w:eastAsia="Barlow Semi Condensed" w:hAnsi="Barlow Semi Condensed"/>
          <w:b/>
          <w:bCs/>
          <w:sz w:val="24"/>
          <w:szCs w:val="24"/>
        </w:rPr>
        <w:t xml:space="preserve">4339 · Il Memoriale Morucci, testo negoziato.</w:t>
      </w:r>
      <w:r>
        <w:rPr>
          <w:rFonts w:ascii="Barlow Semi Condensed" w:cs="Barlow Semi Condensed" w:eastAsia="Barlow Semi Condensed" w:hAnsi="Barlow Semi Condensed"/>
          <w:sz w:val="24"/>
          <w:szCs w:val="24"/>
        </w:rPr>
        <w:t xml:space="preserve"> La Commissione Moro 2 ha accertato che il cosiddetto Memoriale Morucci fu il risultato di una collaborazione sviluppatasi lungo gli anni Ottanta, non una confessione spontanea: grado B, e il blocco 150 del manuale investigativo prescrive di usarlo come mappa interna con quel grado. La fonte narrativa interna più influente del caso non porta, nel corpus, alcuna menzione del nome qui triangolato.</w:t>
      </w:r>
    </w:p>
    <w:p>
      <w:pPr>
        <w:spacing w:after="120" w:line="276"/>
        <w:jc w:val="both"/>
      </w:pPr>
      <w:r>
        <w:rPr>
          <w:rFonts w:ascii="Barlow Semi Condensed" w:cs="Barlow Semi Condensed" w:eastAsia="Barlow Semi Condensed" w:hAnsi="Barlow Semi Condensed"/>
          <w:b/>
          <w:bCs/>
          <w:sz w:val="24"/>
          <w:szCs w:val="24"/>
        </w:rPr>
        <w:t xml:space="preserve">4340 · La regola che governa la serie.</w:t>
      </w:r>
      <w:r>
        <w:rPr>
          <w:rFonts w:ascii="Barlow Semi Condensed" w:cs="Barlow Semi Condensed" w:eastAsia="Barlow Semi Condensed" w:hAnsi="Barlow Semi Condensed"/>
          <w:sz w:val="24"/>
          <w:szCs w:val="24"/>
        </w:rPr>
        <w:t xml:space="preserve"> triangolazione-hyperion-corpus.md la formula meglio di qualunque riscrittura: documentare l'esistenza di una testimonianza non è documentare ciò che essa afferma. Là serve a trattare le dichiarazioni sui rapporti fra servizi italiani e francesi; qui vale identica. Che due persone abbiano riferito una frase in sedi qualificate è un fatto accertato; che la frase sia stata pronunciata è un'altra proposizione, e chiede un'altra prova.</w:t>
      </w:r>
    </w:p>
    <w:p>
      <w:pPr>
        <w:spacing w:after="120" w:line="276"/>
        <w:jc w:val="both"/>
      </w:pPr>
      <w:r>
        <w:rPr>
          <w:rFonts w:ascii="Barlow Semi Condensed" w:cs="Barlow Semi Condensed" w:eastAsia="Barlow Semi Condensed" w:hAnsi="Barlow Semi Condensed"/>
          <w:b/>
          <w:bCs/>
          <w:sz w:val="24"/>
          <w:szCs w:val="24"/>
        </w:rPr>
        <w:t xml:space="preserve">4341 · La testimonianza non diventa arco.</w:t>
      </w:r>
      <w:r>
        <w:rPr>
          <w:rFonts w:ascii="Barlow Semi Condensed" w:cs="Barlow Semi Condensed" w:eastAsia="Barlow Semi Condensed" w:hAnsi="Barlow Semi Condensed"/>
          <w:sz w:val="24"/>
          <w:szCs w:val="24"/>
        </w:rPr>
        <w:t xml:space="preserve"> Il documento di metodo sulla sinaptogenesi conta trentanove nodi e cinquantanove archi, e ammette solo archi documentati col proprio grado: ventotto A, ventisei F, cinque B. Una testimonianza contestata non può diventare arco, e se lo diventasse porterebbe il proprio grado dentro ogni cammino che l'attraversa, per la regola dell'anello debole. Nessun cammino che passi di qui può reggere un'inferenza operativa.</w:t>
      </w:r>
    </w:p>
    <w:p>
      <w:pPr>
        <w:spacing w:after="120" w:line="276"/>
        <w:jc w:val="both"/>
      </w:pPr>
      <w:r>
        <w:rPr>
          <w:rFonts w:ascii="Barlow Semi Condensed" w:cs="Barlow Semi Condensed" w:eastAsia="Barlow Semi Condensed" w:hAnsi="Barlow Semi Condensed"/>
          <w:b/>
          <w:bCs/>
          <w:sz w:val="24"/>
          <w:szCs w:val="24"/>
        </w:rPr>
        <w:t xml:space="preserve">4342 · L'errore del testimone-oracolo.</w:t>
      </w:r>
      <w:r>
        <w:rPr>
          <w:rFonts w:ascii="Barlow Semi Condensed" w:cs="Barlow Semi Condensed" w:eastAsia="Barlow Semi Condensed" w:hAnsi="Barlow Semi Condensed"/>
          <w:sz w:val="24"/>
          <w:szCs w:val="24"/>
        </w:rPr>
        <w:t xml:space="preserve"> Il manuale lo censisce al blocco 253 con il suo caso: una corroborazione fisica assunta sulla parola per decenni. L'antidoto è il blocco 9 — la corroborazione si verifica prima di fondare, e ogni teste chiave ha la sua scheda di riscontri materiali. Questa serie apre quella scheda per il nodo dell'avvertimento e la trova vuota: nessun riscontro materiale è mai stato prodotto, né chiesto.</w:t>
      </w:r>
    </w:p>
    <w:p>
      <w:pPr>
        <w:spacing w:after="120" w:line="276"/>
        <w:jc w:val="both"/>
      </w:pPr>
      <w:r>
        <w:rPr>
          <w:rFonts w:ascii="Barlow Semi Condensed" w:cs="Barlow Semi Condensed" w:eastAsia="Barlow Semi Condensed" w:hAnsi="Barlow Semi Condensed"/>
          <w:b/>
          <w:bCs/>
          <w:sz w:val="24"/>
          <w:szCs w:val="24"/>
        </w:rPr>
        <w:t xml:space="preserve">4343 · Che cosa corroborerebbe una frase.</w:t>
      </w:r>
      <w:r>
        <w:rPr>
          <w:rFonts w:ascii="Barlow Semi Condensed" w:cs="Barlow Semi Condensed" w:eastAsia="Barlow Semi Condensed" w:hAnsi="Barlow Semi Condensed"/>
          <w:sz w:val="24"/>
          <w:szCs w:val="24"/>
        </w:rPr>
        <w:t xml:space="preserve"> La lezione della Nota di revisione n. 1 è che il ricordo si vincola ai documenti. Ma una frase detta a margine non lascia traccia fisica: non c'è parabrezza da fotografare. Ne discende il solo riscontro concepibile, e va scritto perché è il bersaglio vero: un appunto coevo — di delegazione, di ambasciata, di segreteria particolare — redatto da chi udì, e datato prima del 1982.</w:t>
      </w:r>
    </w:p>
    <w:p>
      <w:pPr>
        <w:spacing w:after="120" w:line="276"/>
        <w:jc w:val="both"/>
      </w:pPr>
      <w:r>
        <w:rPr>
          <w:rFonts w:ascii="Barlow Semi Condensed" w:cs="Barlow Semi Condensed" w:eastAsia="Barlow Semi Condensed" w:hAnsi="Barlow Semi Condensed"/>
          <w:b/>
          <w:bCs/>
          <w:sz w:val="24"/>
          <w:szCs w:val="24"/>
        </w:rPr>
        <w:t xml:space="preserve">4344 · De Chiara e il giacimento inesplorato.</w:t>
      </w:r>
      <w:r>
        <w:rPr>
          <w:rFonts w:ascii="Barlow Semi Condensed" w:cs="Barlow Semi Condensed" w:eastAsia="Barlow Semi Condensed" w:hAnsi="Barlow Semi Condensed"/>
          <w:sz w:val="24"/>
          <w:szCs w:val="24"/>
        </w:rPr>
        <w:t xml:space="preserve"> Un residente di via Fani fu udito per la prima volta dopo quasi quarant'anni dalla Commissione Moro 2: il giacimento testimoniale non era esaurito, era inesplorato. Il manuale ne ricava il blocco 147, i testimoni mai cercati. Applicato qui: nessuno ha mai censito i viventi della visita del settembre 1974 — funzionari, interpreti, personale d'ambasciata. Il censimento non è stato fatto a vuoto: non è stato fatto.</w:t>
      </w:r>
    </w:p>
    <w:p>
      <w:pPr>
        <w:spacing w:after="120" w:line="276"/>
        <w:jc w:val="both"/>
      </w:pPr>
      <w:r>
        <w:rPr>
          <w:rFonts w:ascii="Barlow Semi Condensed" w:cs="Barlow Semi Condensed" w:eastAsia="Barlow Semi Condensed" w:hAnsi="Barlow Semi Condensed"/>
          <w:b/>
          <w:bCs/>
          <w:sz w:val="24"/>
          <w:szCs w:val="24"/>
        </w:rPr>
        <w:t xml:space="preserve">4345 · Né oracolo né inutile.</w:t>
      </w:r>
      <w:r>
        <w:rPr>
          <w:rFonts w:ascii="Barlow Semi Condensed" w:cs="Barlow Semi Condensed" w:eastAsia="Barlow Semi Condensed" w:hAnsi="Barlow Semi Condensed"/>
          <w:sz w:val="24"/>
          <w:szCs w:val="24"/>
        </w:rPr>
        <w:t xml:space="preserve"> La scheda PN-7 dell'approfondimento delle piste di testa chiude la lezione con una formula a due tagli: trattare il testimone tardivo come oracolo è l'errore della pubblicistica, trattarlo come inutile fu l'errore degli atti per quarant'anni. Il testimone è una fonte di grado B da incrociare, sempre. La serie applica entrambi i tagli alle due deposizioni del 1980 e del 1982, senza sconti in nessuna direzione.</w:t>
      </w:r>
    </w:p>
    <w:p>
      <w:pPr>
        <w:spacing w:after="120" w:line="276"/>
        <w:jc w:val="both"/>
      </w:pPr>
      <w:r>
        <w:rPr>
          <w:rFonts w:ascii="Barlow Semi Condensed" w:cs="Barlow Semi Condensed" w:eastAsia="Barlow Semi Condensed" w:hAnsi="Barlow Semi Condensed"/>
          <w:b/>
          <w:bCs/>
          <w:sz w:val="24"/>
          <w:szCs w:val="24"/>
        </w:rPr>
        <w:t xml:space="preserve">4346 · Il ricordo del ricordo.</w:t>
      </w:r>
      <w:r>
        <w:rPr>
          <w:rFonts w:ascii="Barlow Semi Condensed" w:cs="Barlow Semi Condensed" w:eastAsia="Barlow Semi Condensed" w:hAnsi="Barlow Semi Condensed"/>
          <w:sz w:val="24"/>
          <w:szCs w:val="24"/>
        </w:rPr>
        <w:t xml:space="preserve"> Il blocco 145 del manuale distingue, per i testimoni già uditi, ciò che si ricorda dei fatti da ciò che si ricorda delle proprie deposizioni: quarant'anni di racconto pubblico sono uno strato da scavare. Su questo nodo lo strato ha inghiottito il fatto: ciò che circola dal 2023 non è la memoria di un colloquio, è la memoria di una deposizione, ricopiata molte volte.</w:t>
      </w:r>
    </w:p>
    <w:p>
      <w:pPr>
        <w:spacing w:after="120" w:line="276"/>
        <w:jc w:val="both"/>
      </w:pPr>
      <w:r>
        <w:rPr>
          <w:rFonts w:ascii="Barlow Semi Condensed" w:cs="Barlow Semi Condensed" w:eastAsia="Barlow Semi Condensed" w:hAnsi="Barlow Semi Condensed"/>
          <w:b/>
          <w:bCs/>
          <w:sz w:val="24"/>
          <w:szCs w:val="24"/>
        </w:rPr>
        <w:t xml:space="preserve">4347 · Un solo lancio, trenta novembre.</w:t>
      </w:r>
      <w:r>
        <w:rPr>
          <w:rFonts w:ascii="Barlow Semi Condensed" w:cs="Barlow Semi Condensed" w:eastAsia="Barlow Semi Condensed" w:hAnsi="Barlow Semi Condensed"/>
          <w:sz w:val="24"/>
          <w:szCs w:val="24"/>
        </w:rPr>
        <w:t xml:space="preserve"> Le decine di riprese pressoché identiche della frase risalgono a un unico lancio d'agenzia del 30 novembre 2023, il giorno successivo alla morte dell'interessato. La replicazione non aggiunge informazione: il numero delle ripetizioni non è valore probatorio. Regola di lettura per l'intera serie: si data la fonte, non le copie, e si conta una volta ciò che è stato scritto una volta sola.</w:t>
      </w:r>
    </w:p>
    <w:p>
      <w:pPr>
        <w:spacing w:after="120" w:line="276"/>
        <w:jc w:val="both"/>
      </w:pPr>
      <w:r>
        <w:rPr>
          <w:rFonts w:ascii="Barlow Semi Condensed" w:cs="Barlow Semi Condensed" w:eastAsia="Barlow Semi Condensed" w:hAnsi="Barlow Semi Condensed"/>
          <w:b/>
          <w:bCs/>
          <w:sz w:val="24"/>
          <w:szCs w:val="24"/>
        </w:rPr>
        <w:t xml:space="preserve">4348 · Il rilancio internazionale del 1982.</w:t>
      </w:r>
      <w:r>
        <w:rPr>
          <w:rFonts w:ascii="Barlow Semi Condensed" w:cs="Barlow Semi Condensed" w:eastAsia="Barlow Semi Condensed" w:hAnsi="Barlow Semi Condensed"/>
          <w:sz w:val="24"/>
          <w:szCs w:val="24"/>
        </w:rPr>
        <w:t xml:space="preserve"> Sul piano internazionale la vicenda fu rilanciata già nel 1982 da una pubblicazione di orientamento apertamente cospirazionista. L'apparato K la cita come dato di circolazione e non come riscontro, ed è la qualificazione esatta: una fonte terziaria documenta che una tesi circolava, non che fosse fondata. Chi la usa come conferma compie il salto che l'intera opera esiste per rendere impossibile.</w:t>
      </w:r>
    </w:p>
    <w:p>
      <w:pPr>
        <w:spacing w:after="120" w:line="276"/>
        <w:jc w:val="both"/>
      </w:pPr>
      <w:r>
        <w:rPr>
          <w:rFonts w:ascii="Barlow Semi Condensed" w:cs="Barlow Semi Condensed" w:eastAsia="Barlow Semi Condensed" w:hAnsi="Barlow Semi Condensed"/>
          <w:b/>
          <w:bCs/>
          <w:sz w:val="24"/>
          <w:szCs w:val="24"/>
        </w:rPr>
        <w:t xml:space="preserve">4349 · Le due sole note bibliografiche.</w:t>
      </w:r>
      <w:r>
        <w:rPr>
          <w:rFonts w:ascii="Barlow Semi Condensed" w:cs="Barlow Semi Condensed" w:eastAsia="Barlow Semi Condensed" w:hAnsi="Barlow Semi Condensed"/>
          <w:sz w:val="24"/>
          <w:szCs w:val="24"/>
        </w:rPr>
        <w:t xml:space="preserve"> In note-bibliografiche-opera-integrale.md il nodo ha esattamente due indirizzi: la scheda 50, sulle testimonianze della vedova e del portavoce, e la scheda 51, su un'inchiesta televisiva. Entrambe secondarie, entrambe in rete. È il ritratto bibliografico più onesto della questione: un episodio discusso da quarant'anni poggia, nel corpus, su due collegamenti e su nessun documento primario mai letto.</w:t>
      </w:r>
    </w:p>
    <w:p>
      <w:pPr>
        <w:spacing w:after="120" w:line="276"/>
        <w:jc w:val="both"/>
      </w:pPr>
      <w:r>
        <w:rPr>
          <w:rFonts w:ascii="Barlow Semi Condensed" w:cs="Barlow Semi Condensed" w:eastAsia="Barlow Semi Condensed" w:hAnsi="Barlow Semi Condensed"/>
          <w:b/>
          <w:bCs/>
          <w:sz w:val="24"/>
          <w:szCs w:val="24"/>
        </w:rPr>
        <w:t xml:space="preserve">4350 · L'inchiesta televisiva e il suo grado.</w:t>
      </w:r>
      <w:r>
        <w:rPr>
          <w:rFonts w:ascii="Barlow Semi Condensed" w:cs="Barlow Semi Condensed" w:eastAsia="Barlow Semi Condensed" w:hAnsi="Barlow Semi Condensed"/>
          <w:sz w:val="24"/>
          <w:szCs w:val="24"/>
        </w:rPr>
        <w:t xml:space="preserve"> La scheda 51 rinvia a una ricostruzione giornalistica televisiva. Vale il criterio dell'edizione strutturata al blocco 1056: la pubblicistica è indizio di piste, mai fonte di accertamento, tetto C. Un programma può indicare dove cercare, e talvolta lo fa bene, ma non produce accertamento; e il corpus non promuove di un grado ciò che ha ricevuto da una trasmissione anziché da un archivio.</w:t>
      </w:r>
    </w:p>
    <w:p>
      <w:pPr>
        <w:spacing w:after="120" w:line="276"/>
        <w:jc w:val="both"/>
      </w:pPr>
      <w:r>
        <w:rPr>
          <w:rFonts w:ascii="Barlow Semi Condensed" w:cs="Barlow Semi Condensed" w:eastAsia="Barlow Semi Condensed" w:hAnsi="Barlow Semi Condensed"/>
          <w:b/>
          <w:bCs/>
          <w:sz w:val="24"/>
          <w:szCs w:val="24"/>
        </w:rPr>
        <w:t xml:space="preserve">4351 · La dichiarazione resa poco prima della morte.</w:t>
      </w:r>
      <w:r>
        <w:rPr>
          <w:rFonts w:ascii="Barlow Semi Condensed" w:cs="Barlow Semi Condensed" w:eastAsia="Barlow Semi Condensed" w:hAnsi="Barlow Semi Condensed"/>
          <w:sz w:val="24"/>
          <w:szCs w:val="24"/>
        </w:rPr>
        <w:t xml:space="preserve"> L'apparato K registra una smentita diretta e circostanziata resa a un giornalista poco prima della morte: «non ho mai detto una cosa simile». È testimonianza giornalistica di un solo interlocutore, non un comunicato. Il manuale, al blocco 393, prescrive per le dichiarazioni tardive di peso la raccolta nelle forme più garantite disponibili: qui non avvenne. Bersaglio: la registrazione integrale e gli appunti del cronista.</w:t>
      </w:r>
    </w:p>
    <w:p>
      <w:pPr>
        <w:spacing w:after="120" w:line="276"/>
        <w:jc w:val="both"/>
      </w:pPr>
      <w:r>
        <w:rPr>
          <w:rFonts w:ascii="Barlow Semi Condensed" w:cs="Barlow Semi Condensed" w:eastAsia="Barlow Semi Condensed" w:hAnsi="Barlow Semi Condensed"/>
          <w:b/>
          <w:bCs/>
          <w:sz w:val="24"/>
          <w:szCs w:val="24"/>
        </w:rPr>
        <w:t xml:space="preserve">4352 · Gli archivi privati dei cronisti.</w:t>
      </w:r>
      <w:r>
        <w:rPr>
          <w:rFonts w:ascii="Barlow Semi Condensed" w:cs="Barlow Semi Condensed" w:eastAsia="Barlow Semi Condensed" w:hAnsi="Barlow Semi Condensed"/>
          <w:sz w:val="24"/>
          <w:szCs w:val="24"/>
        </w:rPr>
        <w:t xml:space="preserve"> Il blocco 154 del manuale e il 115 dell'agenda fissano lo stesso giacimento: taccuini, agende e registrazioni dei giornalisti, mai censiti per intero da alcuna istruttoria. Per questo nodo ne servono due, e sono nominabili: l'archivio di chi raccolse la replica del 2023 e quello di chi firmò il dispaccio d'agenzia dell'aprile 1983. Sono fondi privati, e come tali fragili.</w:t>
      </w:r>
    </w:p>
    <w:p>
      <w:pPr>
        <w:spacing w:after="120" w:line="276"/>
        <w:jc w:val="both"/>
      </w:pPr>
      <w:r>
        <w:rPr>
          <w:rFonts w:ascii="Barlow Semi Condensed" w:cs="Barlow Semi Condensed" w:eastAsia="Barlow Semi Condensed" w:hAnsi="Barlow Semi Condensed"/>
          <w:b/>
          <w:bCs/>
          <w:sz w:val="24"/>
          <w:szCs w:val="24"/>
        </w:rPr>
        <w:t xml:space="preserve">4353 · Due livelli in una sola smentita.</w:t>
      </w:r>
      <w:r>
        <w:rPr>
          <w:rFonts w:ascii="Barlow Semi Condensed" w:cs="Barlow Semi Condensed" w:eastAsia="Barlow Semi Condensed" w:hAnsi="Barlow Semi Condensed"/>
          <w:sz w:val="24"/>
          <w:szCs w:val="24"/>
        </w:rPr>
        <w:t xml:space="preserve"> Già nel 1983 un'agenzia statunitense scriveva che l'interessato ammetteva la propria contrarietà all'ingresso dei comunisti al governo ma aveva smentito più volte di aver rimproverato Moro. Sono due proposizioni distinte, e il corpus le tiene separate: la posizione politica è documentata anche dal verbale dello Studio Ovale; il rimprovero personale è negato. Confonderle produce una conferma apparente ricavata da una smentita.</w:t>
      </w:r>
    </w:p>
    <w:p>
      <w:pPr>
        <w:spacing w:after="120" w:line="276"/>
        <w:jc w:val="both"/>
      </w:pPr>
      <w:r>
        <w:rPr>
          <w:rFonts w:ascii="Barlow Semi Condensed" w:cs="Barlow Semi Condensed" w:eastAsia="Barlow Semi Condensed" w:hAnsi="Barlow Semi Condensed"/>
          <w:b/>
          <w:bCs/>
          <w:sz w:val="24"/>
          <w:szCs w:val="24"/>
        </w:rPr>
        <w:t xml:space="preserve">4354 · La richiesta del 1983 senza seguito (serie LVII).</w:t>
      </w:r>
      <w:r>
        <w:rPr>
          <w:rFonts w:ascii="Barlow Semi Condensed" w:cs="Barlow Semi Condensed" w:eastAsia="Barlow Semi Condensed" w:hAnsi="Barlow Semi Condensed"/>
          <w:sz w:val="24"/>
          <w:szCs w:val="24"/>
        </w:rPr>
        <w:t xml:space="preserve"> La stessa fonte d'agenzia riferisce che i magistrati inquirenti volevano interrogarlo. L'apparato K-2 accerta l'esito: non fu mai sentito dai magistrati italiani, e la richiesta informale non ebbe seguito. Bersaglio d'archivio mai posto finora: se un atto formale fu redatto, giace negli atti della Corte d'assise di Roma o nel fascicolo della Procura; se non fu mai redatto, l'assenza si verbalizza.</w:t>
      </w:r>
    </w:p>
    <w:p>
      <w:pPr>
        <w:spacing w:after="120" w:line="276"/>
        <w:jc w:val="both"/>
      </w:pPr>
      <w:r>
        <w:rPr>
          <w:rFonts w:ascii="Barlow Semi Condensed" w:cs="Barlow Semi Condensed" w:eastAsia="Barlow Semi Condensed" w:hAnsi="Barlow Semi Condensed"/>
          <w:b/>
          <w:bCs/>
          <w:sz w:val="24"/>
          <w:szCs w:val="24"/>
        </w:rPr>
        <w:t xml:space="preserve">4355 · La forma che non fu usata.</w:t>
      </w:r>
      <w:r>
        <w:rPr>
          <w:rFonts w:ascii="Barlow Semi Condensed" w:cs="Barlow Semi Condensed" w:eastAsia="Barlow Semi Condensed" w:hAnsi="Barlow Semi Condensed"/>
          <w:sz w:val="24"/>
          <w:szCs w:val="24"/>
        </w:rPr>
        <w:t xml:space="preserve"> Il manuale, al blocco 151, e l'agenda, al 104, descrivono lo strumento realistico per chi non può essere consegnato: la deposizione all'estero, la rogatoria conoscitiva, la dichiarazione scritta — atti da chiedere nelle forme e da verbalizzare anche nel rifiuto. Il confronto è procedurale e non accusatorio: quella forma esisteva nel 1983, e nel 1983 non risulta essere stata attivata.</w:t>
      </w:r>
    </w:p>
    <w:p>
      <w:pPr>
        <w:spacing w:after="120" w:line="276"/>
        <w:jc w:val="both"/>
      </w:pPr>
      <w:r>
        <w:rPr>
          <w:rFonts w:ascii="Barlow Semi Condensed" w:cs="Barlow Semi Condensed" w:eastAsia="Barlow Semi Condensed" w:hAnsi="Barlow Semi Condensed"/>
          <w:b/>
          <w:bCs/>
          <w:sz w:val="24"/>
          <w:szCs w:val="24"/>
        </w:rPr>
        <w:t xml:space="preserve">4356 · Deceduto prima dell'ascolto (serie LVII).</w:t>
      </w:r>
      <w:r>
        <w:rPr>
          <w:rFonts w:ascii="Barlow Semi Condensed" w:cs="Barlow Semi Condensed" w:eastAsia="Barlow Semi Condensed" w:hAnsi="Barlow Semi Condensed"/>
          <w:sz w:val="24"/>
          <w:szCs w:val="24"/>
        </w:rPr>
        <w:t xml:space="preserve"> L'agenda chiude la serie quinta col blocco 125: la tavola degli stati di ogni bersaglio umano — ascoltato, in corso, ha rifiutato, irreperibile, deceduto prima dell'ascolto — e osserva che l'ultima voce misura esattamente il costo del ritardo. Su questo nodo la voce va compilata per tre persone, e di una sola il corpus registra la data di morte: 29 novembre 2023. Le altre due mancano.</w:t>
      </w:r>
    </w:p>
    <w:p>
      <w:pPr>
        <w:spacing w:after="120" w:line="276"/>
        <w:jc w:val="both"/>
      </w:pPr>
      <w:r>
        <w:rPr>
          <w:rFonts w:ascii="Barlow Semi Condensed" w:cs="Barlow Semi Condensed" w:eastAsia="Barlow Semi Condensed" w:hAnsi="Barlow Semi Condensed"/>
          <w:b/>
          <w:bCs/>
          <w:sz w:val="24"/>
          <w:szCs w:val="24"/>
        </w:rPr>
        <w:t xml:space="preserve">4357 · L'intervista impossibile, compilata.</w:t>
      </w:r>
      <w:r>
        <w:rPr>
          <w:rFonts w:ascii="Barlow Semi Condensed" w:cs="Barlow Semi Condensed" w:eastAsia="Barlow Semi Condensed" w:hAnsi="Barlow Semi Condensed"/>
          <w:sz w:val="24"/>
          <w:szCs w:val="24"/>
        </w:rPr>
        <w:t xml:space="preserve"> Il blocco 163 del manuale prescrive, per i protagonisti scomparsi, la scheda delle domande mai poste: orienta la ricerca dei lasciti e dice agli archivi che cosa cercare al posto della voce. Per questo nodo la scheda non esiste e va scritta ora, con tre colonne — al portavoce, alla vedova, all'interessato — perché ciascuna domanda indichi un fondo, e non un rimpianto.</w:t>
      </w:r>
    </w:p>
    <w:p>
      <w:pPr>
        <w:spacing w:after="120" w:line="276"/>
        <w:jc w:val="both"/>
      </w:pPr>
      <w:r>
        <w:rPr>
          <w:rFonts w:ascii="Barlow Semi Condensed" w:cs="Barlow Semi Condensed" w:eastAsia="Barlow Semi Condensed" w:hAnsi="Barlow Semi Condensed"/>
          <w:b/>
          <w:bCs/>
          <w:sz w:val="24"/>
          <w:szCs w:val="24"/>
        </w:rPr>
        <w:t xml:space="preserve">4358 · Quando muore l'ultimo testimone.</w:t>
      </w:r>
      <w:r>
        <w:rPr>
          <w:rFonts w:ascii="Barlow Semi Condensed" w:cs="Barlow Semi Condensed" w:eastAsia="Barlow Semi Condensed" w:hAnsi="Barlow Semi Condensed"/>
          <w:sz w:val="24"/>
          <w:szCs w:val="24"/>
        </w:rPr>
        <w:t xml:space="preserve"> Il blocco 398 del manuale prevede la procedura: si aggiorna la scheda delle domande mai poste, si cercano i lasciti presso gli eredi, e il nodo passa formalmente alla sola via documentale, con verbalizzazione del passaggio, perché la storia del caso sappia quando ha perso ogni voce. Questa serie propone di verbalizzarlo qui: per l'avvertimento del 1974 quel giorno è già passato.</w:t>
      </w:r>
    </w:p>
    <w:p>
      <w:pPr>
        <w:spacing w:after="120" w:line="276"/>
        <w:jc w:val="both"/>
      </w:pPr>
      <w:r>
        <w:rPr>
          <w:rFonts w:ascii="Barlow Semi Condensed" w:cs="Barlow Semi Condensed" w:eastAsia="Barlow Semi Condensed" w:hAnsi="Barlow Semi Condensed"/>
          <w:b/>
          <w:bCs/>
          <w:sz w:val="24"/>
          <w:szCs w:val="24"/>
        </w:rPr>
        <w:t xml:space="preserve">4359 · I depositari privati, e i solai.</w:t>
      </w:r>
      <w:r>
        <w:rPr>
          <w:rFonts w:ascii="Barlow Semi Condensed" w:cs="Barlow Semi Condensed" w:eastAsia="Barlow Semi Condensed" w:hAnsi="Barlow Semi Condensed"/>
          <w:sz w:val="24"/>
          <w:szCs w:val="24"/>
        </w:rPr>
        <w:t xml:space="preserve"> Il blocco 117 dell'agenda e il 157 del manuale chiedono la stessa cosa con parole diverse: proposta rispettosa di deposito, copia o inventario ai familiari che conservano carte private, con la regola che nessuno risponde dei propri congiunti. Per questo nodo i destinatari sono due famiglie e un ufficio stampa dissolto da mezzo secolo. Ogni scatola in un solaio è un fondo archivistico in pericolo.</w:t>
      </w:r>
    </w:p>
    <w:p>
      <w:pPr>
        <w:spacing w:after="120" w:line="276"/>
        <w:jc w:val="both"/>
      </w:pPr>
      <w:r>
        <w:rPr>
          <w:rFonts w:ascii="Barlow Semi Condensed" w:cs="Barlow Semi Condensed" w:eastAsia="Barlow Semi Condensed" w:hAnsi="Barlow Semi Condensed"/>
          <w:b/>
          <w:bCs/>
          <w:sz w:val="24"/>
          <w:szCs w:val="24"/>
        </w:rPr>
        <w:t xml:space="preserve">4360 · I quattro depositi delle carte Moro.</w:t>
      </w:r>
      <w:r>
        <w:rPr>
          <w:rFonts w:ascii="Barlow Semi Condensed" w:cs="Barlow Semi Condensed" w:eastAsia="Barlow Semi Condensed" w:hAnsi="Barlow Semi Condensed"/>
          <w:sz w:val="24"/>
          <w:szCs w:val="24"/>
        </w:rPr>
        <w:t xml:space="preserve"> I cantieri censiscono ai blocchi 221-223 e 235 tre nuclei — il fondo personale all'Archivio centrale dello Stato, il fondo familiare, la raccolta statale delle direttive — e la seconda campagna ne ha aggiunto un quarto, con segnatura IT-AFS-048 all'Archivio storico del Senato. È lì che un appunto sul colloquio del settembre 1974, se fu scritto, dovrebbe giacere. Il registro dei tre nuclei va emendato per nota.</w:t>
      </w:r>
    </w:p>
    <w:p>
      <w:pPr>
        <w:spacing w:after="120" w:line="276"/>
        <w:jc w:val="both"/>
      </w:pPr>
      <w:r>
        <w:rPr>
          <w:rFonts w:ascii="Barlow Semi Condensed" w:cs="Barlow Semi Condensed" w:eastAsia="Barlow Semi Condensed" w:hAnsi="Barlow Semi Condensed"/>
          <w:b/>
          <w:bCs/>
          <w:sz w:val="24"/>
          <w:szCs w:val="24"/>
        </w:rPr>
        <w:t xml:space="preserve">4361 · Il diario che non risulta.</w:t>
      </w:r>
      <w:r>
        <w:rPr>
          <w:rFonts w:ascii="Barlow Semi Condensed" w:cs="Barlow Semi Condensed" w:eastAsia="Barlow Semi Condensed" w:hAnsi="Barlow Semi Condensed"/>
          <w:sz w:val="24"/>
          <w:szCs w:val="24"/>
        </w:rPr>
        <w:t xml:space="preserve"> Il corpus documenta i diari di Fanfani, le carte di Andreotti all'Istituto Sturzo, le trecentotto buste di Cossiga alla Camera, il fascicolo «Caso Moro» di Craxi. Non documenta un diario di Moro ministro degli Esteri. È un'assenza di genere, non di contenuto, e cambia la strategia di ricerca: per il settembre 1974 non si cerca la pagina di un diario, si cercano i carteggi di gabinetto.</w:t>
      </w:r>
    </w:p>
    <w:p>
      <w:pPr>
        <w:spacing w:after="120" w:line="276"/>
        <w:jc w:val="both"/>
      </w:pPr>
      <w:r>
        <w:rPr>
          <w:rFonts w:ascii="Barlow Semi Condensed" w:cs="Barlow Semi Condensed" w:eastAsia="Barlow Semi Condensed" w:hAnsi="Barlow Semi Condensed"/>
          <w:b/>
          <w:bCs/>
          <w:sz w:val="24"/>
          <w:szCs w:val="24"/>
        </w:rPr>
        <w:t xml:space="preserve">4362 · I diari contro sé stessi.</w:t>
      </w:r>
      <w:r>
        <w:rPr>
          <w:rFonts w:ascii="Barlow Semi Condensed" w:cs="Barlow Semi Condensed" w:eastAsia="Barlow Semi Condensed" w:hAnsi="Barlow Semi Condensed"/>
          <w:sz w:val="24"/>
          <w:szCs w:val="24"/>
        </w:rPr>
        <w:t xml:space="preserve"> Il blocco 170 dell'agenda chiede la collazione sistematica fra le memorie edite dei protagonisti e le loro carte private: che cosa i libri dicono e i documenti coevi non confermano, e viceversa. La memorialistica del caso è vasta e interessata. Applicata alla visita del 1974, la tavola delle divergenze fra il pubblicato e il coevo non esiste ancora, ed è un prodotto filologico di prima grandezza.</w:t>
      </w:r>
    </w:p>
    <w:p>
      <w:pPr>
        <w:spacing w:after="120" w:line="276"/>
        <w:jc w:val="both"/>
      </w:pPr>
      <w:r>
        <w:rPr>
          <w:rFonts w:ascii="Barlow Semi Condensed" w:cs="Barlow Semi Condensed" w:eastAsia="Barlow Semi Condensed" w:hAnsi="Barlow Semi Condensed"/>
          <w:b/>
          <w:bCs/>
          <w:sz w:val="24"/>
          <w:szCs w:val="24"/>
        </w:rPr>
        <w:t xml:space="preserve">4363 · La collazione del testimone più prolifico.</w:t>
      </w:r>
      <w:r>
        <w:rPr>
          <w:rFonts w:ascii="Barlow Semi Condensed" w:cs="Barlow Semi Condensed" w:eastAsia="Barlow Semi Condensed" w:hAnsi="Barlow Semi Condensed"/>
          <w:sz w:val="24"/>
          <w:szCs w:val="24"/>
        </w:rPr>
        <w:t xml:space="preserve"> Il blocco 239 dei cantieri nomina l'esercizio: i diari e le memorie pubblicate di Andreotti contro le carte coeve del suo fondo — concordanze, scarti, silenzi. Ciò che pubblicò si misura su ciò che archiviò. Quell'uomo attraversò da protagonista anche la stagione qui in esame, e le sue pagine sul settembre 1974 sono un campione a costo basso e rendimento immediato.</w:t>
      </w:r>
    </w:p>
    <w:p>
      <w:pPr>
        <w:spacing w:after="120" w:line="276"/>
        <w:jc w:val="both"/>
      </w:pPr>
      <w:r>
        <w:rPr>
          <w:rFonts w:ascii="Barlow Semi Condensed" w:cs="Barlow Semi Condensed" w:eastAsia="Barlow Semi Condensed" w:hAnsi="Barlow Semi Condensed"/>
          <w:b/>
          <w:bCs/>
          <w:sz w:val="24"/>
          <w:szCs w:val="24"/>
        </w:rPr>
        <w:t xml:space="preserve">4364 · Le carte del ministro dell'Interno.</w:t>
      </w:r>
      <w:r>
        <w:rPr>
          <w:rFonts w:ascii="Barlow Semi Condensed" w:cs="Barlow Semi Condensed" w:eastAsia="Barlow Semi Condensed" w:hAnsi="Barlow Semi Condensed"/>
          <w:sz w:val="24"/>
          <w:szCs w:val="24"/>
        </w:rPr>
        <w:t xml:space="preserve"> Il blocco 161 dell'agenda fissa il bersaglio: le carte private di Cossiga, il loro luogo e il loro stato d'ordinamento; i cantieri le collocano in trecentotto buste presso la Camera. L'uomo del Viminale del 1978 scrisse e parlò per decenni, e la collazione fra le sue carte, le sue audizioni e i suoi libri è il caso di scuola del blocco 170. Nessuno l'ha eseguita.</w:t>
      </w:r>
    </w:p>
    <w:p>
      <w:pPr>
        <w:spacing w:after="120" w:line="276"/>
        <w:jc w:val="both"/>
      </w:pPr>
      <w:r>
        <w:rPr>
          <w:rFonts w:ascii="Barlow Semi Condensed" w:cs="Barlow Semi Condensed" w:eastAsia="Barlow Semi Condensed" w:hAnsi="Barlow Semi Condensed"/>
          <w:b/>
          <w:bCs/>
          <w:sz w:val="24"/>
          <w:szCs w:val="24"/>
        </w:rPr>
        <w:t xml:space="preserve">4365 · Il tetto della memorialistica.</w:t>
      </w:r>
      <w:r>
        <w:rPr>
          <w:rFonts w:ascii="Barlow Semi Condensed" w:cs="Barlow Semi Condensed" w:eastAsia="Barlow Semi Condensed" w:hAnsi="Barlow Semi Condensed"/>
          <w:sz w:val="24"/>
          <w:szCs w:val="24"/>
        </w:rPr>
        <w:t xml:space="preserve"> L'edizione strutturata lo fissa al blocco 1055: la memorialistica — dei condannati, dei prosciolti, delle parti — è fonte di parte, tetto C salvo riscontri. Il manuale lo ribadisce al blocco 165: nessuna memoria entra negli atti oltre il grado C senza riscontro documentale, e la serie quinta alimenta le altre, non le sostituisce. Su questo nodo il tetto non è mai stato superato.</w:t>
      </w:r>
    </w:p>
    <w:p>
      <w:pPr>
        <w:spacing w:after="120" w:line="276"/>
        <w:jc w:val="both"/>
      </w:pPr>
      <w:r>
        <w:rPr>
          <w:rFonts w:ascii="Barlow Semi Condensed" w:cs="Barlow Semi Condensed" w:eastAsia="Barlow Semi Condensed" w:hAnsi="Barlow Semi Condensed"/>
          <w:b/>
          <w:bCs/>
          <w:sz w:val="24"/>
          <w:szCs w:val="24"/>
        </w:rPr>
        <w:t xml:space="preserve">4366 · L'appartenenza non è testimonianza.</w:t>
      </w:r>
      <w:r>
        <w:rPr>
          <w:rFonts w:ascii="Barlow Semi Condensed" w:cs="Barlow Semi Condensed" w:eastAsia="Barlow Semi Condensed" w:hAnsi="Barlow Semi Condensed"/>
          <w:sz w:val="24"/>
          <w:szCs w:val="24"/>
        </w:rPr>
        <w:t xml:space="preserve"> Il blocco 5 del manuale dice che l'appartenenza a un'organizzazione, a una loggia o a un ufficio non è condotta. La serie ne trae il corollario testimoniale: aver servito in un'amministrazione non fa di nessuno un testimone degli atti di quell'amministrazione. Chi parla per carica parla di prassi; chi parla per presenza parla di fatti. I due registri vanno separati in ogni escussione.</w:t>
      </w:r>
    </w:p>
    <w:p>
      <w:pPr>
        <w:spacing w:after="120" w:line="276"/>
        <w:jc w:val="both"/>
      </w:pPr>
      <w:r>
        <w:rPr>
          <w:rFonts w:ascii="Barlow Semi Condensed" w:cs="Barlow Semi Condensed" w:eastAsia="Barlow Semi Condensed" w:hAnsi="Barlow Semi Condensed"/>
          <w:b/>
          <w:bCs/>
          <w:sz w:val="24"/>
          <w:szCs w:val="24"/>
        </w:rPr>
        <w:t xml:space="preserve">4367 · Il silenzio della biblioteca dei condannati.</w:t>
      </w:r>
      <w:r>
        <w:rPr>
          <w:rFonts w:ascii="Barlow Semi Condensed" w:cs="Barlow Semi Condensed" w:eastAsia="Barlow Semi Condensed" w:hAnsi="Barlow Semi Condensed"/>
          <w:sz w:val="24"/>
          <w:szCs w:val="24"/>
        </w:rPr>
        <w:t xml:space="preserve"> Il blocco 852 dei cantieri censisce la memorialistica brigatista come corpus editoriale: il libro-intervista di Moretti del 1994, «Il prigioniero» di Braghetti del 1998, l'autobiografia di Gallinari, i libri di Balzerani. Nessun membro del registro del giudicato vi colloca il nome qui triangolato. È un'assenza misurabile e mai misurata: il bersaglio è la collazione parola-atti del blocco 853, con le stringhe dichiarate.</w:t>
      </w:r>
    </w:p>
    <w:p>
      <w:pPr>
        <w:spacing w:after="120" w:line="276"/>
        <w:jc w:val="both"/>
      </w:pPr>
      <w:r>
        <w:rPr>
          <w:rFonts w:ascii="Barlow Semi Condensed" w:cs="Barlow Semi Condensed" w:eastAsia="Barlow Semi Condensed" w:hAnsi="Barlow Semi Condensed"/>
          <w:b/>
          <w:bCs/>
          <w:sz w:val="24"/>
          <w:szCs w:val="24"/>
        </w:rPr>
        <w:t xml:space="preserve">4368 · L'autonomia accertata come cornice.</w:t>
      </w:r>
      <w:r>
        <w:rPr>
          <w:rFonts w:ascii="Barlow Semi Condensed" w:cs="Barlow Semi Condensed" w:eastAsia="Barlow Semi Condensed" w:hAnsi="Barlow Semi Condensed"/>
          <w:sz w:val="24"/>
          <w:szCs w:val="24"/>
        </w:rPr>
        <w:t xml:space="preserve"> L'apparato dei gradi colloca al capitolo diciottesimo l'autonomia delle Brigate Rosse come organizzazione armata, grado A, e dichiara che cosa la smentirebbe: un documento coevo, esterno, autenticato, che provi l'eterodirezione — cercato e non trovato. La conseguenza per questa serie è netta: nessuna testimonianza, per quanti testi la ripetano, potrebbe assolvere quella funzione. Il criterio di smentita chiede una carta, non una voce.</w:t>
      </w:r>
    </w:p>
    <w:p>
      <w:pPr>
        <w:spacing w:after="120" w:line="276"/>
        <w:jc w:val="both"/>
      </w:pPr>
      <w:r>
        <w:rPr>
          <w:rFonts w:ascii="Barlow Semi Condensed" w:cs="Barlow Semi Condensed" w:eastAsia="Barlow Semi Condensed" w:hAnsi="Barlow Semi Condensed"/>
          <w:b/>
          <w:bCs/>
          <w:sz w:val="24"/>
          <w:szCs w:val="24"/>
        </w:rPr>
        <w:t xml:space="preserve">4369 · Il test dell'omologia, applicato qui (serie LVII).</w:t>
      </w:r>
      <w:r>
        <w:rPr>
          <w:rFonts w:ascii="Barlow Semi Condensed" w:cs="Barlow Semi Condensed" w:eastAsia="Barlow Semi Condensed" w:hAnsi="Barlow Semi Condensed"/>
          <w:sz w:val="24"/>
          <w:szCs w:val="24"/>
        </w:rPr>
        <w:t xml:space="preserve"> Dalla somiglianza del risultato non si deduce l'antenato comune. dal-che-a-moro-una-guerra-senza-fine.md lo scrive per le due morti: l'agente statunitense a La Higuera e la vicenda romana condividono una cornice, non un centro. Il test è uno solo, e vale per le fonti orali quanto per le altre: un documento di provenienza che nomini la controparte. Due racconti simili non sono una prova.</w:t>
      </w:r>
    </w:p>
    <w:p>
      <w:pPr>
        <w:spacing w:after="120" w:line="276"/>
        <w:jc w:val="both"/>
      </w:pPr>
      <w:r>
        <w:rPr>
          <w:rFonts w:ascii="Barlow Semi Condensed" w:cs="Barlow Semi Condensed" w:eastAsia="Barlow Semi Condensed" w:hAnsi="Barlow Semi Condensed"/>
          <w:b/>
          <w:bCs/>
          <w:sz w:val="24"/>
          <w:szCs w:val="24"/>
        </w:rPr>
        <w:t xml:space="preserve">4370 · Le audizioni dei condannati, e il negativo.</w:t>
      </w:r>
      <w:r>
        <w:rPr>
          <w:rFonts w:ascii="Barlow Semi Condensed" w:cs="Barlow Semi Condensed" w:eastAsia="Barlow Semi Condensed" w:hAnsi="Barlow Semi Condensed"/>
          <w:sz w:val="24"/>
          <w:szCs w:val="24"/>
        </w:rPr>
        <w:t xml:space="preserve"> Il blocco 856 dei cantieri chiede il censimento di quali membri del registro furono ascoltati dalle commissioni, quando e con quali esiti, e insieme la tavola delle occasioni mancate, cioè di chi non fu mai sentito da nessuna. Su questo nodo la domanda è ristretta e verificabile: in quante di quelle audizioni fu posta una domanda sul versante statunitense, e con quale risposta.</w:t>
      </w:r>
    </w:p>
    <w:p>
      <w:pPr>
        <w:spacing w:after="120" w:line="276"/>
        <w:jc w:val="both"/>
      </w:pPr>
      <w:r>
        <w:rPr>
          <w:rFonts w:ascii="Barlow Semi Condensed" w:cs="Barlow Semi Condensed" w:eastAsia="Barlow Semi Condensed" w:hAnsi="Barlow Semi Condensed"/>
          <w:b/>
          <w:bCs/>
          <w:sz w:val="24"/>
          <w:szCs w:val="24"/>
        </w:rPr>
        <w:t xml:space="preserve">4371 · L'indice unico delle audizioni.</w:t>
      </w:r>
      <w:r>
        <w:rPr>
          <w:rFonts w:ascii="Barlow Semi Condensed" w:cs="Barlow Semi Condensed" w:eastAsia="Barlow Semi Condensed" w:hAnsi="Barlow Semi Condensed"/>
          <w:sz w:val="24"/>
          <w:szCs w:val="24"/>
        </w:rPr>
        <w:t xml:space="preserve"> Il blocco 67 dell'agenda vuole tutte le persone sentite dalle tre commissioni in un indice solo, con rinvio agli stenografici: l'anagrafe della parola istituzionale sul caso. Costruito, quell'indice consentirebbe l'operazione che questa serie chiede e non può eseguire: passarvi il nome e contare. L'esito atteso è basso — l'audizione del 1980 e poco altro — ma un conteggio dichiarato vale più di un'impressione.</w:t>
      </w:r>
    </w:p>
    <w:p>
      <w:pPr>
        <w:spacing w:after="120" w:line="276"/>
        <w:jc w:val="both"/>
      </w:pPr>
      <w:r>
        <w:rPr>
          <w:rFonts w:ascii="Barlow Semi Condensed" w:cs="Barlow Semi Condensed" w:eastAsia="Barlow Semi Condensed" w:hAnsi="Barlow Semi Condensed"/>
          <w:b/>
          <w:bCs/>
          <w:sz w:val="24"/>
          <w:szCs w:val="24"/>
        </w:rPr>
        <w:t xml:space="preserve">4372 · L'indice del segreto è conoscenza.</w:t>
      </w:r>
      <w:r>
        <w:rPr>
          <w:rFonts w:ascii="Barlow Semi Condensed" w:cs="Barlow Semi Condensed" w:eastAsia="Barlow Semi Condensed" w:hAnsi="Barlow Semi Condensed"/>
          <w:sz w:val="24"/>
          <w:szCs w:val="24"/>
        </w:rPr>
        <w:t xml:space="preserve"> Il blocco 64 dell'agenda censisce le audizioni segretate o mai pubblicate delle tre commissioni: chi, quando, su che cosa, ricavabile dagli indici, che sono pubblici anche dove i testi non lo sono. L'indice del segreto dice dove qualcuno ritenne che ci fosse qualcosa da proteggere. Quesito per questa serie: fra quelle audizioni ve n'è alcuna che tocchi la visita del settembre 1974?</w:t>
      </w:r>
    </w:p>
    <w:p>
      <w:pPr>
        <w:spacing w:after="120" w:line="276"/>
        <w:jc w:val="both"/>
      </w:pPr>
      <w:r>
        <w:rPr>
          <w:rFonts w:ascii="Barlow Semi Condensed" w:cs="Barlow Semi Condensed" w:eastAsia="Barlow Semi Condensed" w:hAnsi="Barlow Semi Condensed"/>
          <w:b/>
          <w:bCs/>
          <w:sz w:val="24"/>
          <w:szCs w:val="24"/>
        </w:rPr>
        <w:t xml:space="preserve">4373 · Le divergenze fra audizioni dello stesso teste.</w:t>
      </w:r>
      <w:r>
        <w:rPr>
          <w:rFonts w:ascii="Barlow Semi Condensed" w:cs="Barlow Semi Condensed" w:eastAsia="Barlow Semi Condensed" w:hAnsi="Barlow Semi Condensed"/>
          <w:sz w:val="24"/>
          <w:szCs w:val="24"/>
        </w:rPr>
        <w:t xml:space="preserve"> Il blocco 58 dell'agenda indica un giacimento poco battuto: chi fu sentito sia dalla Commissione Stragi sia dalle due Commissioni Moro, e che cosa cambiò fra le versioni. Il fondo della Stragi è all'Archivio storico del Senato, con inventario online e consultazione in sala studio su richiesta motivata. Qui la collazione riguarda una sola persona e due sedi, il 1980 e il 1982, e non è mai stata fatta.</w:t>
      </w:r>
    </w:p>
    <w:p>
      <w:pPr>
        <w:spacing w:after="120" w:line="276"/>
        <w:jc w:val="both"/>
      </w:pPr>
      <w:r>
        <w:rPr>
          <w:rFonts w:ascii="Barlow Semi Condensed" w:cs="Barlow Semi Condensed" w:eastAsia="Barlow Semi Condensed" w:hAnsi="Barlow Semi Condensed"/>
          <w:b/>
          <w:bCs/>
          <w:sz w:val="24"/>
          <w:szCs w:val="24"/>
        </w:rPr>
        <w:t xml:space="preserve">4374 · Il silenzio della Moro 2.</w:t>
      </w:r>
      <w:r>
        <w:rPr>
          <w:rFonts w:ascii="Barlow Semi Condensed" w:cs="Barlow Semi Condensed" w:eastAsia="Barlow Semi Condensed" w:hAnsi="Barlow Semi Condensed"/>
          <w:sz w:val="24"/>
          <w:szCs w:val="24"/>
        </w:rPr>
        <w:t xml:space="preserve"> La relazione conclusiva del 6 dicembre 2017 e le circa ventimila pagine desecretate del portale delle inchieste della Camera sono il giacimento parlamentare più recente del caso. Il corpus non registra che la seconda Commissione abbia trattato l'episodio di Washington. È uno Stato Zero con sede: si chiude interrogando quel portale con le stringhe dichiarate, e l'esito — quale che sia — è un'acquisizione piena.</w:t>
      </w:r>
    </w:p>
    <w:p>
      <w:pPr>
        <w:spacing w:after="120" w:line="276"/>
        <w:jc w:val="both"/>
      </w:pPr>
      <w:r>
        <w:rPr>
          <w:rFonts w:ascii="Barlow Semi Condensed" w:cs="Barlow Semi Condensed" w:eastAsia="Barlow Semi Condensed" w:hAnsi="Barlow Semi Condensed"/>
          <w:b/>
          <w:bCs/>
          <w:sz w:val="24"/>
          <w:szCs w:val="24"/>
        </w:rPr>
        <w:t xml:space="preserve">4375 · La verità dicibile e il suo confine.</w:t>
      </w:r>
      <w:r>
        <w:rPr>
          <w:rFonts w:ascii="Barlow Semi Condensed" w:cs="Barlow Semi Condensed" w:eastAsia="Barlow Semi Condensed" w:hAnsi="Barlow Semi Condensed"/>
          <w:sz w:val="24"/>
          <w:szCs w:val="24"/>
        </w:rPr>
        <w:t xml:space="preserve"> La formula fatta propria dalla Commissione, grado B, dice ciò che un organo parlamentare ritiene di poter affermare: non coincide con ciò che accadde, e non pretende di farlo. La Fase settima del corpus la registra con questa cautela. Applicata al nodo: che un episodio non compaia in una relazione può significare che non fu accertato, o che non fu ritenuto dicibile, o che non fu cercato.</w:t>
      </w:r>
    </w:p>
    <w:p>
      <w:pPr>
        <w:spacing w:after="120" w:line="276"/>
        <w:jc w:val="both"/>
      </w:pPr>
      <w:r>
        <w:rPr>
          <w:rFonts w:ascii="Barlow Semi Condensed" w:cs="Barlow Semi Condensed" w:eastAsia="Barlow Semi Condensed" w:hAnsi="Barlow Semi Condensed"/>
          <w:b/>
          <w:bCs/>
          <w:sz w:val="24"/>
          <w:szCs w:val="24"/>
        </w:rPr>
        <w:t xml:space="preserve">4376 · Che cosa vale un accertamento parlamentare (serie LVII).</w:t>
      </w:r>
      <w:r>
        <w:rPr>
          <w:rFonts w:ascii="Barlow Semi Condensed" w:cs="Barlow Semi Condensed" w:eastAsia="Barlow Semi Condensed" w:hAnsi="Barlow Semi Condensed"/>
          <w:sz w:val="24"/>
          <w:szCs w:val="24"/>
        </w:rPr>
        <w:t xml:space="preserve"> Il blocco 703 dell'opera lo fissa in due direzioni: una Commissione d'inchiesta ha poteri istruttori e produce accertamenti, non sentenze; le sue conclusioni non sono giudicato e le testimonianze che raccoglie restano testimonianze. Non si promuove un accertamento parlamentare a prova, e non lo si degrada a opinione. È la ragione tecnica per cui l'avvertimento riferito resta al grado B debole.</w:t>
      </w:r>
    </w:p>
    <w:p>
      <w:pPr>
        <w:spacing w:after="120" w:line="276"/>
        <w:jc w:val="both"/>
      </w:pPr>
      <w:r>
        <w:rPr>
          <w:rFonts w:ascii="Barlow Semi Condensed" w:cs="Barlow Semi Condensed" w:eastAsia="Barlow Semi Condensed" w:hAnsi="Barlow Semi Condensed"/>
          <w:b/>
          <w:bCs/>
          <w:sz w:val="24"/>
          <w:szCs w:val="24"/>
        </w:rPr>
        <w:t xml:space="preserve">4377 · Il consulente, presenza e parole.</w:t>
      </w:r>
      <w:r>
        <w:rPr>
          <w:rFonts w:ascii="Barlow Semi Condensed" w:cs="Barlow Semi Condensed" w:eastAsia="Barlow Semi Condensed" w:hAnsi="Barlow Semi Condensed"/>
          <w:sz w:val="24"/>
          <w:szCs w:val="24"/>
        </w:rPr>
        <w:t xml:space="preserve"> La presenza di Steve Pieczenik nel comitato di crisi al fianco del ministro dell'Interno è documentata e la Fase nona la grada B; le sue dichiarazioni successive sono fonte di parte, C quanto alla portata. Il blocco 906 dell'opera vi aggiunge la doppia etichetta: fatto pubblico quanto all'essere state rese, materia da riscontrare quanto al contenuto. Quesito aperto: in quale sede verbalizzata furono mai rese?</w:t>
      </w:r>
    </w:p>
    <w:p>
      <w:pPr>
        <w:spacing w:after="120" w:line="276"/>
        <w:jc w:val="both"/>
      </w:pPr>
      <w:r>
        <w:rPr>
          <w:rFonts w:ascii="Barlow Semi Condensed" w:cs="Barlow Semi Condensed" w:eastAsia="Barlow Semi Condensed" w:hAnsi="Barlow Semi Condensed"/>
          <w:b/>
          <w:bCs/>
          <w:sz w:val="24"/>
          <w:szCs w:val="24"/>
        </w:rPr>
        <w:t xml:space="preserve">4378 · Il comitato di esperti mai riunito.</w:t>
      </w:r>
      <w:r>
        <w:rPr>
          <w:rFonts w:ascii="Barlow Semi Condensed" w:cs="Barlow Semi Condensed" w:eastAsia="Barlow Semi Condensed" w:hAnsi="Barlow Semi Condensed"/>
          <w:sz w:val="24"/>
          <w:szCs w:val="24"/>
        </w:rPr>
        <w:t xml:space="preserve"> La scheda PE-1 accerta un dato di prima grandezza: il comitato di esperti del Viminale era informale e non si riunì mai collegialmente. Vi sono ricondotti Pieczenik, Ferracuti, Silvestri, Cappelletti e altri, e dagli atti risulta che alcuni sostennero l'inattendibilità delle lettere di Moro. Il quesito che la scheda formula è documentale e resta aperto: in quali carte fu formulata quella qualificazione, e con quale circolazione.</w:t>
      </w:r>
    </w:p>
    <w:p>
      <w:pPr>
        <w:spacing w:after="120" w:line="276"/>
        <w:jc w:val="both"/>
      </w:pPr>
      <w:r>
        <w:rPr>
          <w:rFonts w:ascii="Barlow Semi Condensed" w:cs="Barlow Semi Condensed" w:eastAsia="Barlow Semi Condensed" w:hAnsi="Barlow Semi Condensed"/>
          <w:b/>
          <w:bCs/>
          <w:sz w:val="24"/>
          <w:szCs w:val="24"/>
        </w:rPr>
        <w:t xml:space="preserve">4379 · La nota d'intelligence non testimonia.</w:t>
      </w:r>
      <w:r>
        <w:rPr>
          <w:rFonts w:ascii="Barlow Semi Condensed" w:cs="Barlow Semi Condensed" w:eastAsia="Barlow Semi Condensed" w:hAnsi="Barlow Semi Condensed"/>
          <w:sz w:val="24"/>
          <w:szCs w:val="24"/>
        </w:rPr>
        <w:t xml:space="preserve"> Il blocco 266 del manuale isola un errore ricorrente: note dei servizi, italiani o esteri, usate come fatti. La nota d'intelligence è una segnalazione con protocollo — entra nel flusso, si riscontra, si grada — e non testimonia. Vale per il versante statunitense quanto per quello italiano, e impedisce la scorciatoia che tratterebbe un cablogramma d'ambasciata come la deposizione di chi lo scrisse.</w:t>
      </w:r>
    </w:p>
    <w:p>
      <w:pPr>
        <w:spacing w:after="120" w:line="276"/>
        <w:jc w:val="both"/>
      </w:pPr>
      <w:r>
        <w:rPr>
          <w:rFonts w:ascii="Barlow Semi Condensed" w:cs="Barlow Semi Condensed" w:eastAsia="Barlow Semi Condensed" w:hAnsi="Barlow Semi Condensed"/>
          <w:b/>
          <w:bCs/>
          <w:sz w:val="24"/>
          <w:szCs w:val="24"/>
        </w:rPr>
        <w:t xml:space="preserve">4380 · Un precedente costruito su un teste.</w:t>
      </w:r>
      <w:r>
        <w:rPr>
          <w:rFonts w:ascii="Barlow Semi Condensed" w:cs="Barlow Semi Condensed" w:eastAsia="Barlow Semi Condensed" w:hAnsi="Barlow Semi Condensed"/>
          <w:sz w:val="24"/>
          <w:szCs w:val="24"/>
        </w:rPr>
        <w:t xml:space="preserve"> La ricognizione turca del corpus riporta la valutazione desecretata della CIA — FRUS 1981-1988, volume X, documento 376 — secondo cui la tesi dell'accusa italiana sull'attentato del 1981 sembrava dipendere unicamente dalla testimonianza di Ağca. Quel processo si chiuse il 29 marzo 1986 con assoluzione per insufficienza di prove. È il precedente esatto di che cosa produce un edificio poggiato su un solo teste contestato.</w:t>
      </w:r>
    </w:p>
    <w:p>
      <w:pPr>
        <w:spacing w:after="120" w:line="276"/>
        <w:jc w:val="both"/>
      </w:pPr>
      <w:r>
        <w:rPr>
          <w:rFonts w:ascii="Barlow Semi Condensed" w:cs="Barlow Semi Condensed" w:eastAsia="Barlow Semi Condensed" w:hAnsi="Barlow Semi Condensed"/>
          <w:b/>
          <w:bCs/>
          <w:sz w:val="24"/>
          <w:szCs w:val="24"/>
        </w:rPr>
        <w:t xml:space="preserve">4381 · Le piste archiviate per criterio.</w:t>
      </w:r>
      <w:r>
        <w:rPr>
          <w:rFonts w:ascii="Barlow Semi Condensed" w:cs="Barlow Semi Condensed" w:eastAsia="Barlow Semi Condensed" w:hAnsi="Barlow Semi Condensed"/>
          <w:sz w:val="24"/>
          <w:szCs w:val="24"/>
        </w:rPr>
        <w:t xml:space="preserve"> Il programma investigativo, alla voce P-10, archivia motivatamente ogni pista fondata sulle dichiarazioni non riscontrate di Ağca o su memorialistica di parte non corroborata, e dichiara il criterio di riapertura: documentale, pista per pista. Un programma si giudica anche da ciò che non persegue. Il medesimo criterio, applicato con coerenza, governa il nodo dell'avvertimento: si riapre per documento primario nuovo, non per rilettura.</w:t>
      </w:r>
    </w:p>
    <w:p>
      <w:pPr>
        <w:spacing w:after="120" w:line="276"/>
        <w:jc w:val="both"/>
      </w:pPr>
      <w:r>
        <w:rPr>
          <w:rFonts w:ascii="Barlow Semi Condensed" w:cs="Barlow Semi Condensed" w:eastAsia="Barlow Semi Condensed" w:hAnsi="Barlow Semi Condensed"/>
          <w:b/>
          <w:bCs/>
          <w:sz w:val="24"/>
          <w:szCs w:val="24"/>
        </w:rPr>
        <w:t xml:space="preserve">4382 · Testimoniare lo stato delle conoscenze.</w:t>
      </w:r>
      <w:r>
        <w:rPr>
          <w:rFonts w:ascii="Barlow Semi Condensed" w:cs="Barlow Semi Condensed" w:eastAsia="Barlow Semi Condensed" w:hAnsi="Barlow Semi Condensed"/>
          <w:sz w:val="24"/>
          <w:szCs w:val="24"/>
        </w:rPr>
        <w:t xml:space="preserve"> Il capitolo turco del corpus registra la deposizione di un ex analista della CIA davanti alla Commissione ristretta del Senato — collocata al 1° ottobre 1991 dal verbale ufficiale, al 1990 da alcune fonti secondarie, divergenza riportata — sulle pressioni interne all'analisi. Il corpus ne trae la regola: quelle parole non provano né smentiscono il merito, attestano lo stato delle conoscenze. Categoria trasferibile per intero a questa serie.</w:t>
      </w:r>
    </w:p>
    <w:p>
      <w:pPr>
        <w:spacing w:after="120" w:line="276"/>
        <w:jc w:val="both"/>
      </w:pPr>
      <w:r>
        <w:rPr>
          <w:rFonts w:ascii="Barlow Semi Condensed" w:cs="Barlow Semi Condensed" w:eastAsia="Barlow Semi Condensed" w:hAnsi="Barlow Semi Condensed"/>
          <w:b/>
          <w:bCs/>
          <w:sz w:val="24"/>
          <w:szCs w:val="24"/>
        </w:rPr>
        <w:t xml:space="preserve">4383 · Von Papen e la testimonianza in giudizio.</w:t>
      </w:r>
      <w:r>
        <w:rPr>
          <w:rFonts w:ascii="Barlow Semi Condensed" w:cs="Barlow Semi Condensed" w:eastAsia="Barlow Semi Condensed" w:hAnsi="Barlow Semi Condensed"/>
          <w:sz w:val="24"/>
          <w:szCs w:val="24"/>
        </w:rPr>
        <w:t xml:space="preserve"> Nel capitolo su Roncalli a Istanbul il corpus cita testimonianze rese al processo di Norimberga, e insieme la cifra ricorrente dei circa venticinquemila ebrei aiutati, accolta con la cautela che ogni stima comporta. Il modello serve qui: una testimonianza resa in sede giudiziaria da chi agì è la forma più alta della fonte orale, e nemmeno essa fissa i numeri. La sede eleva il grado; non lo esaurisce.</w:t>
      </w:r>
    </w:p>
    <w:p>
      <w:pPr>
        <w:spacing w:after="120" w:line="276"/>
        <w:jc w:val="both"/>
      </w:pPr>
      <w:r>
        <w:rPr>
          <w:rFonts w:ascii="Barlow Semi Condensed" w:cs="Barlow Semi Condensed" w:eastAsia="Barlow Semi Condensed" w:hAnsi="Barlow Semi Condensed"/>
          <w:b/>
          <w:bCs/>
          <w:sz w:val="24"/>
          <w:szCs w:val="24"/>
        </w:rPr>
        <w:t xml:space="preserve">4384 · Wiriyamu, dove la testimonianza apre.</w:t>
      </w:r>
      <w:r>
        <w:rPr>
          <w:rFonts w:ascii="Barlow Semi Condensed" w:cs="Barlow Semi Condensed" w:eastAsia="Barlow Semi Condensed" w:hAnsi="Barlow Semi Condensed"/>
          <w:sz w:val="24"/>
          <w:szCs w:val="24"/>
        </w:rPr>
        <w:t xml:space="preserve"> Il primo resoconto della strage del 16 dicembre 1972 è accertato come testimonianza missionaria — padre Domingos Ferrão, il sostegno di due religiose, l'articolo sul Times del 10 luglio 1973 — e da lì passò alla storiografia peer-reviewed. Le cifre restano divergenti: centocinquanta, trecento, almeno trecentottantacinque, quattrocento con centosettantasette identificati per nome. Una testimonianza può aprire un dossier documentale; non ne chiude i numeri.</w:t>
      </w:r>
    </w:p>
    <w:p>
      <w:pPr>
        <w:spacing w:after="120" w:line="276"/>
        <w:jc w:val="both"/>
      </w:pPr>
      <w:r>
        <w:rPr>
          <w:rFonts w:ascii="Barlow Semi Condensed" w:cs="Barlow Semi Condensed" w:eastAsia="Barlow Semi Condensed" w:hAnsi="Barlow Semi Condensed"/>
          <w:b/>
          <w:bCs/>
          <w:sz w:val="24"/>
          <w:szCs w:val="24"/>
        </w:rPr>
        <w:t xml:space="preserve">4385 · L'ordine trascritto in un diario.</w:t>
      </w:r>
      <w:r>
        <w:rPr>
          <w:rFonts w:ascii="Barlow Semi Condensed" w:cs="Barlow Semi Condensed" w:eastAsia="Barlow Semi Condensed" w:hAnsi="Barlow Semi Condensed"/>
          <w:sz w:val="24"/>
          <w:szCs w:val="24"/>
        </w:rPr>
        <w:t xml:space="preserve"> Per l'espulsione dei missionari dal Mozambico nell'aprile 1974 il corpus registra il testo dell'ordine trascritto in un diario personale, con la data che oscilla fra il 12, il 13 e il 14 aprile, e undici espulsi da Nampula più due da Tete. È il caso in cui una scrittura privata diventa l'unico latore di un atto amministrativo. Il diario si cita per ciò che porta, e la divergenza resta aperta.</w:t>
      </w:r>
    </w:p>
    <w:p>
      <w:pPr>
        <w:spacing w:after="120" w:line="276"/>
        <w:jc w:val="both"/>
      </w:pPr>
      <w:r>
        <w:rPr>
          <w:rFonts w:ascii="Barlow Semi Condensed" w:cs="Barlow Semi Condensed" w:eastAsia="Barlow Semi Condensed" w:hAnsi="Barlow Semi Condensed"/>
          <w:b/>
          <w:bCs/>
          <w:sz w:val="24"/>
          <w:szCs w:val="24"/>
        </w:rPr>
        <w:t xml:space="preserve">4386 · Nessuna testimonianza reca traccia.</w:t>
      </w:r>
      <w:r>
        <w:rPr>
          <w:rFonts w:ascii="Barlow Semi Condensed" w:cs="Barlow Semi Condensed" w:eastAsia="Barlow Semi Condensed" w:hAnsi="Barlow Semi Condensed"/>
          <w:sz w:val="24"/>
          <w:szCs w:val="24"/>
        </w:rPr>
        <w:t xml:space="preserve"> La triangolazione della seconda campagna dichiara Stato Zero condiviso gli atti italiani sull'espulsione dell'aprile 1974, «di cui nessuna testimonianza comboniana reca traccia». È la formula tecnica che questa serie cercava: un vuoto documentale misurato contro un corpus testimoniale determinato, e non contro il silenzio generico del mondo. Ogni Stato Zero orale dovrebbe essere scritto così, nominando il corpus di voci effettivamente interrogato.</w:t>
      </w:r>
    </w:p>
    <w:p>
      <w:pPr>
        <w:spacing w:after="120" w:line="276"/>
        <w:jc w:val="both"/>
      </w:pPr>
      <w:r>
        <w:rPr>
          <w:rFonts w:ascii="Barlow Semi Condensed" w:cs="Barlow Semi Condensed" w:eastAsia="Barlow Semi Condensed" w:hAnsi="Barlow Semi Condensed"/>
          <w:b/>
          <w:bCs/>
          <w:sz w:val="24"/>
          <w:szCs w:val="24"/>
        </w:rPr>
        <w:t xml:space="preserve">4387 · I quarantotto, e la loro fonte.</w:t>
      </w:r>
      <w:r>
        <w:rPr>
          <w:rFonts w:ascii="Barlow Semi Condensed" w:cs="Barlow Semi Condensed" w:eastAsia="Barlow Semi Condensed" w:hAnsi="Barlow Semi Condensed"/>
          <w:sz w:val="24"/>
          <w:szCs w:val="24"/>
        </w:rPr>
        <w:t xml:space="preserve"> Il corpus registra che nel maggio 1971 i Padri Bianchi lasciarono Beira e Tete, e che la cifra di quarantotto proviene da una singola fonte enciclopedica, divergente da quella della congregazione stessa: va citata con la sua provenienza. La regola è generale e vale per le fonti orali quanto per le scritte: un numero senza provenienza è un numero, non un dato acquisito.</w:t>
      </w:r>
    </w:p>
    <w:p>
      <w:pPr>
        <w:spacing w:after="120" w:line="276"/>
        <w:jc w:val="both"/>
      </w:pPr>
      <w:r>
        <w:rPr>
          <w:rFonts w:ascii="Barlow Semi Condensed" w:cs="Barlow Semi Condensed" w:eastAsia="Barlow Semi Condensed" w:hAnsi="Barlow Semi Condensed"/>
          <w:b/>
          <w:bCs/>
          <w:sz w:val="24"/>
          <w:szCs w:val="24"/>
        </w:rPr>
        <w:t xml:space="preserve">4388 · La memoria di un generale, riferita.</w:t>
      </w:r>
      <w:r>
        <w:rPr>
          <w:rFonts w:ascii="Barlow Semi Condensed" w:cs="Barlow Semi Condensed" w:eastAsia="Barlow Semi Condensed" w:hAnsi="Barlow Semi Condensed"/>
          <w:sz w:val="24"/>
          <w:szCs w:val="24"/>
        </w:rPr>
        <w:t xml:space="preserve"> La ricognizione sul ministero degli Esteri registra una fonte memorialistica di parte: un ex parlamentare che riferisce i racconti del generale Vito Miceli sulla Libia e sulla cosiddetta «operazione Hilton» del 1971. Il corpus la qualifica senza sconti — memoria di protagonista riferita indirettamente, che attesta un'opinione e non una decisione. È la stessa struttura del nodo qui triangolato: un de relato su un colloquio altrui.</w:t>
      </w:r>
    </w:p>
    <w:p>
      <w:pPr>
        <w:spacing w:after="120" w:line="276"/>
        <w:jc w:val="both"/>
      </w:pPr>
      <w:r>
        <w:rPr>
          <w:rFonts w:ascii="Barlow Semi Condensed" w:cs="Barlow Semi Condensed" w:eastAsia="Barlow Semi Condensed" w:hAnsi="Barlow Semi Condensed"/>
          <w:b/>
          <w:bCs/>
          <w:sz w:val="24"/>
          <w:szCs w:val="24"/>
        </w:rPr>
        <w:t xml:space="preserve">4389 · Il telegramma che vive in un racconto.</w:t>
      </w:r>
      <w:r>
        <w:rPr>
          <w:rFonts w:ascii="Barlow Semi Condensed" w:cs="Barlow Semi Condensed" w:eastAsia="Barlow Semi Condensed" w:hAnsi="Barlow Semi Condensed"/>
          <w:sz w:val="24"/>
          <w:szCs w:val="24"/>
        </w:rPr>
        <w:t xml:space="preserve"> Il blocco 688 dell'opera lo chiama caso di scuola: il telegramma del 6 settembre 1970 da Tunisi esiste nel racconto di un protagonista e non risulta negli atti. Stato Zero condiviso, con due sedi di chiusura, l'Archivio storico diplomatico e il Fondo Moro del Senato. Finché resta tale, si cita l'esistenza del racconto e mai il contenuto del documento. La regola vale integralmente per l'avvertimento.</w:t>
      </w:r>
    </w:p>
    <w:p>
      <w:pPr>
        <w:spacing w:after="120" w:line="276"/>
        <w:jc w:val="both"/>
      </w:pPr>
      <w:r>
        <w:rPr>
          <w:rFonts w:ascii="Barlow Semi Condensed" w:cs="Barlow Semi Condensed" w:eastAsia="Barlow Semi Condensed" w:hAnsi="Barlow Semi Condensed"/>
          <w:b/>
          <w:bCs/>
          <w:sz w:val="24"/>
          <w:szCs w:val="24"/>
        </w:rPr>
        <w:t xml:space="preserve">4390 · Come un racconto genera una carta.</w:t>
      </w:r>
      <w:r>
        <w:rPr>
          <w:rFonts w:ascii="Barlow Semi Condensed" w:cs="Barlow Semi Condensed" w:eastAsia="Barlow Semi Condensed" w:hAnsi="Barlow Semi Condensed"/>
          <w:sz w:val="24"/>
          <w:szCs w:val="24"/>
        </w:rPr>
        <w:t xml:space="preserve"> Il meccanismo descritto al blocco 640 ha tre tempi: un vuoto colmato con un'ipotesi verosimile, l'ipotesi ripetuta senza la clausola che la qualificava, la ripetizione scambiata per pluralità di fonti. Le fonti orali lo accelerano, perché una voce non porta apparato con sé. La contromisura è procedurale: ogni congettura porta la propria etichetta in ogni ripresa, e chi la toglie risponde della caduta.</w:t>
      </w:r>
    </w:p>
    <w:p>
      <w:pPr>
        <w:spacing w:after="120" w:line="276"/>
        <w:jc w:val="both"/>
      </w:pPr>
      <w:r>
        <w:rPr>
          <w:rFonts w:ascii="Barlow Semi Condensed" w:cs="Barlow Semi Condensed" w:eastAsia="Barlow Semi Condensed" w:hAnsi="Barlow Semi Condensed"/>
          <w:b/>
          <w:bCs/>
          <w:sz w:val="24"/>
          <w:szCs w:val="24"/>
        </w:rPr>
        <w:t xml:space="preserve">4391 · Il verbale non è una testimonianza.</w:t>
      </w:r>
      <w:r>
        <w:rPr>
          <w:rFonts w:ascii="Barlow Semi Condensed" w:cs="Barlow Semi Condensed" w:eastAsia="Barlow Semi Condensed" w:hAnsi="Barlow Semi Condensed"/>
          <w:sz w:val="24"/>
          <w:szCs w:val="24"/>
        </w:rPr>
        <w:t xml:space="preserve"> Il memorandum of conversation del 25 settembre 1974 — documento 350 del volume FRUS 1969-1976 E-15 parte 2, seconda edizione riveduta, file 1552802 della Ford Library — fu redatto da un funzionario quel giorno. La deposizione romana è del novembre 1982. Sono due generi, due archivi, due gradi. Il primo non contiene alcun ultimatum personale; il secondo riferisce una frase collocata, dal teste, a margine.</w:t>
      </w:r>
    </w:p>
    <w:p>
      <w:pPr>
        <w:spacing w:after="120" w:line="276"/>
        <w:jc w:val="both"/>
      </w:pPr>
      <w:r>
        <w:rPr>
          <w:rFonts w:ascii="Barlow Semi Condensed" w:cs="Barlow Semi Condensed" w:eastAsia="Barlow Semi Condensed" w:hAnsi="Barlow Semi Condensed"/>
          <w:b/>
          <w:bCs/>
          <w:sz w:val="24"/>
          <w:szCs w:val="24"/>
        </w:rPr>
        <w:t xml:space="preserve">4392 · Il secondo verbale del ventisei.</w:t>
      </w:r>
      <w:r>
        <w:rPr>
          <w:rFonts w:ascii="Barlow Semi Condensed" w:cs="Barlow Semi Condensed" w:eastAsia="Barlow Semi Condensed" w:hAnsi="Barlow Semi Condensed"/>
          <w:sz w:val="24"/>
          <w:szCs w:val="24"/>
        </w:rPr>
        <w:t xml:space="preserve"> L'apparato K conferma l'esistenza di un secondo memorandum, del 26 settembre 1974, file 1552806 della Ford Library, i cui estratti reperiti sono parziali e non del tutto concordi. Il bersaglio è elementare e mai eseguito: la lettura integrale del documento. Un verbale letto per estratti produce divergenze che la lettura completa scioglierebbe in un pomeriggio di sala studio, e a costo quasi nullo.</w:t>
      </w:r>
    </w:p>
    <w:p>
      <w:pPr>
        <w:spacing w:after="120" w:line="276"/>
        <w:jc w:val="both"/>
      </w:pPr>
      <w:r>
        <w:rPr>
          <w:rFonts w:ascii="Barlow Semi Condensed" w:cs="Barlow Semi Condensed" w:eastAsia="Barlow Semi Condensed" w:hAnsi="Barlow Semi Condensed"/>
          <w:b/>
          <w:bCs/>
          <w:sz w:val="24"/>
          <w:szCs w:val="24"/>
        </w:rPr>
        <w:t xml:space="preserve">4393 · La prassi di redazione viene prima.</w:t>
      </w:r>
      <w:r>
        <w:rPr>
          <w:rFonts w:ascii="Barlow Semi Condensed" w:cs="Barlow Semi Condensed" w:eastAsia="Barlow Semi Condensed" w:hAnsi="Barlow Semi Condensed"/>
          <w:sz w:val="24"/>
          <w:szCs w:val="24"/>
        </w:rPr>
        <w:t xml:space="preserve"> Il blocco 649 pone la condizione che rende informativo un vuoto: che l'attesa di trovare fosse motivata da una prassi documentata. Quesito preliminare per questo nodo, e nessuno l'ha posto: il Consiglio di sicurezza nazionale verbalizzava per regola i colloqui a margine, le cene ufficiali, gli scambi in ambasciata? Se sì, l'assenza è un dato; se no, l'assenza non è nulla.</w:t>
      </w:r>
    </w:p>
    <w:p>
      <w:pPr>
        <w:spacing w:after="120" w:line="276"/>
        <w:jc w:val="both"/>
      </w:pPr>
      <w:r>
        <w:rPr>
          <w:rFonts w:ascii="Barlow Semi Condensed" w:cs="Barlow Semi Condensed" w:eastAsia="Barlow Semi Condensed" w:hAnsi="Barlow Semi Condensed"/>
          <w:b/>
          <w:bCs/>
          <w:sz w:val="24"/>
          <w:szCs w:val="24"/>
        </w:rPr>
        <w:t xml:space="preserve">4394 · L'ambasciata come sede terza.</w:t>
      </w:r>
      <w:r>
        <w:rPr>
          <w:rFonts w:ascii="Barlow Semi Condensed" w:cs="Barlow Semi Condensed" w:eastAsia="Barlow Semi Condensed" w:hAnsi="Barlow Semi Condensed"/>
          <w:sz w:val="24"/>
          <w:szCs w:val="24"/>
        </w:rPr>
        <w:t xml:space="preserve"> Una fonte d'agenzia del 1983 colloca l'episodio in un alterco all'ambasciata d'Italia a Washington nel 1977. La variante sposta la ricerca in un edificio diverso e in un archivio diverso: le carte della rappresentanza confluiscono nell'Archivio storico diplomatico della Farnesina. Bersaglio nominato: telespressi e rapporti dell'ambasciata per il 1977. Nessuno li ha chiesti, perché tutti hanno cercato nel 1974.</w:t>
      </w:r>
    </w:p>
    <w:p>
      <w:pPr>
        <w:spacing w:after="120" w:line="276"/>
        <w:jc w:val="both"/>
      </w:pPr>
      <w:r>
        <w:rPr>
          <w:rFonts w:ascii="Barlow Semi Condensed" w:cs="Barlow Semi Condensed" w:eastAsia="Barlow Semi Condensed" w:hAnsi="Barlow Semi Condensed"/>
          <w:b/>
          <w:bCs/>
          <w:sz w:val="24"/>
          <w:szCs w:val="24"/>
        </w:rPr>
        <w:t xml:space="preserve">4395 · Tre date, tre oggetti diversi.</w:t>
      </w:r>
      <w:r>
        <w:rPr>
          <w:rFonts w:ascii="Barlow Semi Condensed" w:cs="Barlow Semi Condensed" w:eastAsia="Barlow Semi Condensed" w:hAnsi="Barlow Semi Condensed"/>
          <w:sz w:val="24"/>
          <w:szCs w:val="24"/>
        </w:rPr>
        <w:t xml:space="preserve"> Le fonti collocano l'episodio nel 1974, nel 1976 o nel 1977, e divergono anche sui luoghi — Studio Ovale, Dipartimento di Stato, cena ufficiale, ambasciata. Nel 1977 l'interessato non era più Segretario di Stato: la variante cambia la qualità stessa di ciò che una testimonianza potrebbe attestare. Il blocco 854 dei cantieri chiama questa deriva un dato filologico: si tabula con le date.</w:t>
      </w:r>
    </w:p>
    <w:p>
      <w:pPr>
        <w:spacing w:after="120" w:line="276"/>
        <w:jc w:val="both"/>
      </w:pPr>
      <w:r>
        <w:rPr>
          <w:rFonts w:ascii="Barlow Semi Condensed" w:cs="Barlow Semi Condensed" w:eastAsia="Barlow Semi Condensed" w:hAnsi="Barlow Semi Condensed"/>
          <w:b/>
          <w:bCs/>
          <w:sz w:val="24"/>
          <w:szCs w:val="24"/>
        </w:rPr>
        <w:t xml:space="preserve">4396 · La tavola sinottica che manca.</w:t>
      </w:r>
      <w:r>
        <w:rPr>
          <w:rFonts w:ascii="Barlow Semi Condensed" w:cs="Barlow Semi Condensed" w:eastAsia="Barlow Semi Condensed" w:hAnsi="Barlow Semi Condensed"/>
          <w:sz w:val="24"/>
          <w:szCs w:val="24"/>
        </w:rPr>
        <w:t xml:space="preserve"> Il blocco 164 del manuale prescrive di schedare le memorie pubblicate — libri, interviste — con data e versione, e di costruire la tavola sinottica delle varianti di ciascun racconto: mostra dove la memoria è stabile e dove lavora. Per il nodo dell'avvertimento quella tavola non esiste. È uno Stato Zero metodologico, e si chiude con strumenti che il corpus già possiede, senza entrare in un archivio.</w:t>
      </w:r>
    </w:p>
    <w:p>
      <w:pPr>
        <w:spacing w:after="120" w:line="276"/>
        <w:jc w:val="both"/>
      </w:pPr>
      <w:r>
        <w:rPr>
          <w:rFonts w:ascii="Barlow Semi Condensed" w:cs="Barlow Semi Condensed" w:eastAsia="Barlow Semi Condensed" w:hAnsi="Barlow Semi Condensed"/>
          <w:b/>
          <w:bCs/>
          <w:sz w:val="24"/>
          <w:szCs w:val="24"/>
        </w:rPr>
        <w:t xml:space="preserve">4397 · Le minacce come fatto autonomo.</w:t>
      </w:r>
      <w:r>
        <w:rPr>
          <w:rFonts w:ascii="Barlow Semi Condensed" w:cs="Barlow Semi Condensed" w:eastAsia="Barlow Semi Condensed" w:hAnsi="Barlow Semi Condensed"/>
          <w:sz w:val="24"/>
          <w:szCs w:val="24"/>
        </w:rPr>
        <w:t xml:space="preserve"> Il blocco 162 del manuale stabilisce che le minacce riferite, anche storiche, si verbalizzano come fatti autonomi con proprio fascicolo — così per le telefonate della sera del 16 marzo. Applicato qui: il riferimento reso nel 1980 a minacce risalenti al 1975 e crescenti è un oggetto distinto dalla frase attribuita, con una propria cronologia e propri possibili riscontri. Trattarli insieme li confonde entrambi.</w:t>
      </w:r>
    </w:p>
    <w:p>
      <w:pPr>
        <w:spacing w:after="120" w:line="276"/>
        <w:jc w:val="both"/>
      </w:pPr>
      <w:r>
        <w:rPr>
          <w:rFonts w:ascii="Barlow Semi Condensed" w:cs="Barlow Semi Condensed" w:eastAsia="Barlow Semi Condensed" w:hAnsi="Barlow Semi Condensed"/>
          <w:b/>
          <w:bCs/>
          <w:sz w:val="24"/>
          <w:szCs w:val="24"/>
        </w:rPr>
        <w:t xml:space="preserve">4398 · Nessuna voce apre il registro.</w:t>
      </w:r>
      <w:r>
        <w:rPr>
          <w:rFonts w:ascii="Barlow Semi Condensed" w:cs="Barlow Semi Condensed" w:eastAsia="Barlow Semi Condensed" w:hAnsi="Barlow Semi Condensed"/>
          <w:sz w:val="24"/>
          <w:szCs w:val="24"/>
        </w:rPr>
        <w:t xml:space="preserve"> La Fase decima dell'opera-madre e l'apparato K-2 convergono: il registro del giudicato è l'unico luogo dei nomi, e vi si entra solo per sentenza definitiva. L'interessato non fu condannato, non fu mai imputato né processato in alcun Paese, non fu mai interrogato da un giudice in sede penale. Nessuna testimonianza, per autorevole che sia la sede in cui è resa, apre quella porta.</w:t>
      </w:r>
    </w:p>
    <w:p>
      <w:pPr>
        <w:spacing w:after="120" w:line="276"/>
        <w:jc w:val="both"/>
      </w:pPr>
      <w:r>
        <w:rPr>
          <w:rFonts w:ascii="Barlow Semi Condensed" w:cs="Barlow Semi Condensed" w:eastAsia="Barlow Semi Condensed" w:hAnsi="Barlow Semi Condensed"/>
          <w:b/>
          <w:bCs/>
          <w:sz w:val="24"/>
          <w:szCs w:val="24"/>
        </w:rPr>
        <w:t xml:space="preserve">4399 · La colonna orale mai aperta.</w:t>
      </w:r>
      <w:r>
        <w:rPr>
          <w:rFonts w:ascii="Barlow Semi Condensed" w:cs="Barlow Semi Condensed" w:eastAsia="Barlow Semi Condensed" w:hAnsi="Barlow Semi Condensed"/>
          <w:sz w:val="24"/>
          <w:szCs w:val="24"/>
        </w:rPr>
        <w:t xml:space="preserve"> I blocchi 646-648 accertano zero occorrenze del nome nei millesettecento blocchi della quadriga, e ne diagnosticano la causa: manca la colonna statunitense. Sul versante orale il vuoto è ancora più netto. L'agenda prevede al blocco 122 l'ascolto conservativo dei diplomatici alleati in servizio a Roma e al 135 le udienze del Congresso sul terrorismo europeo: due giacimenti di voci, mai interrogati con questo nome.</w:t>
      </w:r>
    </w:p>
    <w:p>
      <w:pPr>
        <w:spacing w:after="120" w:line="276"/>
        <w:jc w:val="both"/>
      </w:pPr>
      <w:r>
        <w:rPr>
          <w:rFonts w:ascii="Barlow Semi Condensed" w:cs="Barlow Semi Condensed" w:eastAsia="Barlow Semi Condensed" w:hAnsi="Barlow Semi Condensed"/>
          <w:b/>
          <w:bCs/>
          <w:sz w:val="24"/>
          <w:szCs w:val="24"/>
        </w:rPr>
        <w:t xml:space="preserve">4400 · Che cosa questa serie non ha stabilito (serie LVII).</w:t>
      </w:r>
      <w:r>
        <w:rPr>
          <w:rFonts w:ascii="Barlow Semi Condensed" w:cs="Barlow Semi Condensed" w:eastAsia="Barlow Semi Condensed" w:hAnsi="Barlow Semi Condensed"/>
          <w:sz w:val="24"/>
          <w:szCs w:val="24"/>
        </w:rPr>
        <w:t xml:space="preserve"> Nessun blocco ha portato il nodo al piano 1: non è emerso alcun documento di provenienza che nomini la controparte, e nessuna fonte orale del corpus lo fa. Resta una testimonianza contestata, de relato, di grado B debole, con la smentita accanto. L'acquisizione è il perimetro: sedi nominate, divergenze riportate, vuoti misurati. Il buco misurato è conoscenza; il buco narrato è romanzo.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cinquantottesima — Le smentite e i criteri di falsificazione</w:t>
      </w:r>
    </w:p>
    <w:p>
      <w:pPr>
        <w:spacing w:after="120" w:line="276"/>
        <w:jc w:val="both"/>
      </w:pPr>
      <w:r>
        <w:rPr>
          <w:rFonts w:ascii="Barlow Semi Condensed" w:cs="Barlow Semi Condensed" w:eastAsia="Barlow Semi Condensed" w:hAnsi="Barlow Semi Condensed"/>
          <w:i/>
          <w:iCs/>
          <w:sz w:val="24"/>
          <w:szCs w:val="24"/>
        </w:rPr>
        <w:t xml:space="preserve">Blocchi 4401-4480.</w:t>
      </w:r>
    </w:p>
    <w:p>
      <w:pPr>
        <w:spacing w:after="120" w:line="276"/>
        <w:jc w:val="both"/>
      </w:pPr>
      <w:r>
        <w:rPr>
          <w:rFonts w:ascii="Barlow Semi Condensed" w:cs="Barlow Semi Condensed" w:eastAsia="Barlow Semi Condensed" w:hAnsi="Barlow Semi Condensed"/>
          <w:b/>
          <w:bCs/>
          <w:sz w:val="24"/>
          <w:szCs w:val="24"/>
        </w:rPr>
        <w:t xml:space="preserve">4401 · Il territorio, letto per intero.</w:t>
      </w:r>
      <w:r>
        <w:rPr>
          <w:rFonts w:ascii="Barlow Semi Condensed" w:cs="Barlow Semi Condensed" w:eastAsia="Barlow Semi Condensed" w:hAnsi="Barlow Semi Condensed"/>
          <w:sz w:val="24"/>
          <w:szCs w:val="24"/>
        </w:rPr>
        <w:t xml:space="preserve"> La serie nona dell'agenda di ricerca del nuovo Caso Moro — blocchi 211-235, «Le verifiche di smentita» — è stata letta riga per riga per questa triangolazione. Venticinque bersagli, tutti costruiti su tesi del caso italiano; nessuno nomina Henry Kissinger. L'accertamento è lessicale e ha grado di fatto verificabile: chiunque riapra il file può rifarlo in un minuto. È il pavimento su cui poggia ogni blocco che segue.</w:t>
      </w:r>
    </w:p>
    <w:p>
      <w:pPr>
        <w:spacing w:after="120" w:line="276"/>
        <w:jc w:val="both"/>
      </w:pPr>
      <w:r>
        <w:rPr>
          <w:rFonts w:ascii="Barlow Semi Condensed" w:cs="Barlow Semi Condensed" w:eastAsia="Barlow Semi Condensed" w:hAnsi="Barlow Semi Condensed"/>
          <w:b/>
          <w:bCs/>
          <w:sz w:val="24"/>
          <w:szCs w:val="24"/>
        </w:rPr>
        <w:t xml:space="preserve">4402 · Zero occorrenze, contate.</w:t>
      </w:r>
      <w:r>
        <w:rPr>
          <w:rFonts w:ascii="Barlow Semi Condensed" w:cs="Barlow Semi Condensed" w:eastAsia="Barlow Semi Condensed" w:hAnsi="Barlow Semi Condensed"/>
          <w:sz w:val="24"/>
          <w:szCs w:val="24"/>
        </w:rPr>
        <w:t xml:space="preserve"> Esteso all'intero documento — trecento blocchi più l'apparato delle verifiche d'archivio da V-1 a V-12 — il conteggio resta a zero per «Kissinger», e a zero per «Guerzoni», «Studio Ovale», «1974» e «Pieczenik». Non è un'impressione di lettura: è una misura ripetibile. Si verbalizza come Stato Zero secondo il blocco 285 dell'agenda stessa, con perimetro, data e stringhe di ricerca dichiarate.</w:t>
      </w:r>
    </w:p>
    <w:p>
      <w:pPr>
        <w:spacing w:after="120" w:line="276"/>
        <w:jc w:val="both"/>
      </w:pPr>
      <w:r>
        <w:rPr>
          <w:rFonts w:ascii="Barlow Semi Condensed" w:cs="Barlow Semi Condensed" w:eastAsia="Barlow Semi Condensed" w:hAnsi="Barlow Semi Condensed"/>
          <w:b/>
          <w:bCs/>
          <w:sz w:val="24"/>
          <w:szCs w:val="24"/>
        </w:rPr>
        <w:t xml:space="preserve">4403 · Perché quel silenzio è coerente.</w:t>
      </w:r>
      <w:r>
        <w:rPr>
          <w:rFonts w:ascii="Barlow Semi Condensed" w:cs="Barlow Semi Condensed" w:eastAsia="Barlow Semi Condensed" w:hAnsi="Barlow Semi Condensed"/>
          <w:sz w:val="24"/>
          <w:szCs w:val="24"/>
        </w:rPr>
        <w:t xml:space="preserve"> L'assenza non è una dimenticanza del compilatore. L'agenda calibra i propri bersagli sui 55 giorni del 1978 e sulle carte che li documentano; l'incarico di Segretario di Stato cessò il 20 gennaio 1977 e quello di Assistente per la sicurezza nazionale il 3 novembre 1975. Un nome fuori carica non ha posto in una lista di carte del 1978, e dirlo è più utile che lamentarlo.</w:t>
      </w:r>
    </w:p>
    <w:p>
      <w:pPr>
        <w:spacing w:after="120" w:line="276"/>
        <w:jc w:val="both"/>
      </w:pPr>
      <w:r>
        <w:rPr>
          <w:rFonts w:ascii="Barlow Semi Condensed" w:cs="Barlow Semi Condensed" w:eastAsia="Barlow Semi Condensed" w:hAnsi="Barlow Semi Condensed"/>
          <w:b/>
          <w:bCs/>
          <w:sz w:val="24"/>
          <w:szCs w:val="24"/>
        </w:rPr>
        <w:t xml:space="preserve">4404 · Il Pollo di Popper sul nome.</w:t>
      </w:r>
      <w:r>
        <w:rPr>
          <w:rFonts w:ascii="Barlow Semi Condensed" w:cs="Barlow Semi Condensed" w:eastAsia="Barlow Semi Condensed" w:hAnsi="Barlow Semi Condensed"/>
          <w:sz w:val="24"/>
          <w:szCs w:val="24"/>
        </w:rPr>
        <w:t xml:space="preserve"> Lo statuto della serie nona chiede, per ogni tesi corrente, il bersaglio che la smentirebbe. Applicato qui il comando è preciso: non cercare ciò che confermerebbe un ruolo, cercare ciò che lo escluderebbe, e dichiarare la sede dove quella carta starebbe. Una tesi che sopravvive alla ricerca della propria smentita ne esce rafforzata; questa serie prova a smentire, non a costruire.</w:t>
      </w:r>
    </w:p>
    <w:p>
      <w:pPr>
        <w:spacing w:after="120" w:line="276"/>
        <w:jc w:val="both"/>
      </w:pPr>
      <w:r>
        <w:rPr>
          <w:rFonts w:ascii="Barlow Semi Condensed" w:cs="Barlow Semi Condensed" w:eastAsia="Barlow Semi Condensed" w:hAnsi="Barlow Semi Condensed"/>
          <w:b/>
          <w:bCs/>
          <w:sz w:val="24"/>
          <w:szCs w:val="24"/>
        </w:rPr>
        <w:t xml:space="preserve">4405 · I tre piani, applicati al 221.</w:t>
      </w:r>
      <w:r>
        <w:rPr>
          <w:rFonts w:ascii="Barlow Semi Condensed" w:cs="Barlow Semi Condensed" w:eastAsia="Barlow Semi Condensed" w:hAnsi="Barlow Semi Condensed"/>
          <w:sz w:val="24"/>
          <w:szCs w:val="24"/>
        </w:rPr>
        <w:t xml:space="preserve"> Il blocco 221 impone la regola: senza documento primario, niente pista internazionale. Tradotta nella scala dell'opera coincide col piano 1, il rapporto diretto documentato. La convergenza di cornice atlantica sta al piano 2; l'affermazione terziaria che circola nella pubblicistica sta al piano 3. Nessun accumulo di piano 2 produce un piano 1, e il blocco 221 dice esattamente questo con altre parole.</w:t>
      </w:r>
    </w:p>
    <w:p>
      <w:pPr>
        <w:spacing w:after="120" w:line="276"/>
        <w:jc w:val="both"/>
      </w:pPr>
      <w:r>
        <w:rPr>
          <w:rFonts w:ascii="Barlow Semi Condensed" w:cs="Barlow Semi Condensed" w:eastAsia="Barlow Semi Condensed" w:hAnsi="Barlow Semi Condensed"/>
          <w:b/>
          <w:bCs/>
          <w:sz w:val="24"/>
          <w:szCs w:val="24"/>
        </w:rPr>
        <w:t xml:space="preserve">4406 · Il primario esiste, ed è del 1974.</w:t>
      </w:r>
      <w:r>
        <w:rPr>
          <w:rFonts w:ascii="Barlow Semi Condensed" w:cs="Barlow Semi Condensed" w:eastAsia="Barlow Semi Condensed" w:hAnsi="Barlow Semi Condensed"/>
          <w:sz w:val="24"/>
          <w:szCs w:val="24"/>
        </w:rPr>
        <w:t xml:space="preserve"> Un documento di provenienza che nomini la controparte esiste: il memorandum of conversation dello Studio Ovale del 25 settembre 1974 fra Giovanni Leone, Aldo Moro, Gerald Ford, Henry Kissinger e Brent Scowcroft — FRUS 1969-1976, volume E-15 parte 2, documento 350, seconda edizione riveduta; Ford Library, file 1552802. Soddisfa la forma chiesta dal blocco 221; non ne soddisfa l'oggetto, che è il 1978.</w:t>
      </w:r>
    </w:p>
    <w:p>
      <w:pPr>
        <w:spacing w:after="120" w:line="276"/>
        <w:jc w:val="both"/>
      </w:pPr>
      <w:r>
        <w:rPr>
          <w:rFonts w:ascii="Barlow Semi Condensed" w:cs="Barlow Semi Condensed" w:eastAsia="Barlow Semi Condensed" w:hAnsi="Barlow Semi Condensed"/>
          <w:b/>
          <w:bCs/>
          <w:sz w:val="24"/>
          <w:szCs w:val="24"/>
        </w:rPr>
        <w:t xml:space="preserve">4407 · L'oggetto del bersaglio, non la forma.</w:t>
      </w:r>
      <w:r>
        <w:rPr>
          <w:rFonts w:ascii="Barlow Semi Condensed" w:cs="Barlow Semi Condensed" w:eastAsia="Barlow Semi Condensed" w:hAnsi="Barlow Semi Condensed"/>
          <w:sz w:val="24"/>
          <w:szCs w:val="24"/>
        </w:rPr>
        <w:t xml:space="preserve"> Non basta un primario qualsiasi: il 221 chiede il primario che sosterrebbe una regia estera del sequestro. Il verbale del 1974 documenta una posizione politica dichiarata sull'ingresso dei comunisti nell'area di governo, e nient'altro. Vale come piano 1 per il rapporto Moro-Kissinger; vale zero come piano 1 per via Fani. Distinguere i due usi dello stesso foglio è l'operazione che il blocco impone.</w:t>
      </w:r>
    </w:p>
    <w:p>
      <w:pPr>
        <w:spacing w:after="120" w:line="276"/>
        <w:jc w:val="both"/>
      </w:pPr>
      <w:r>
        <w:rPr>
          <w:rFonts w:ascii="Barlow Semi Condensed" w:cs="Barlow Semi Condensed" w:eastAsia="Barlow Semi Condensed" w:hAnsi="Barlow Semi Condensed"/>
          <w:b/>
          <w:bCs/>
          <w:sz w:val="24"/>
          <w:szCs w:val="24"/>
        </w:rPr>
        <w:t xml:space="preserve">4408 · Che cosa chiuderebbe il 221.</w:t>
      </w:r>
      <w:r>
        <w:rPr>
          <w:rFonts w:ascii="Barlow Semi Condensed" w:cs="Barlow Semi Condensed" w:eastAsia="Barlow Semi Condensed" w:hAnsi="Barlow Semi Condensed"/>
          <w:sz w:val="24"/>
          <w:szCs w:val="24"/>
        </w:rPr>
        <w:t xml:space="preserve"> Chiuderebbe quel bersaglio un atto solo, del 1978 — cablo, appunto, verbale, carta d'archivio straniera — che nomini insieme una condotta e il caso. Sedi dove starebbe: NARA, Central Foreign Policy Files; la sala di lettura elettronica della CIA; le biblioteche presidenziali Ford e Carter. Cercato secondo la griglia del blocco 128 e non trovato, l'esito è Stato Zero pieno, non sospensione.</w:t>
      </w:r>
    </w:p>
    <w:p>
      <w:pPr>
        <w:spacing w:after="120" w:line="276"/>
        <w:jc w:val="both"/>
      </w:pPr>
      <w:r>
        <w:rPr>
          <w:rFonts w:ascii="Barlow Semi Condensed" w:cs="Barlow Semi Condensed" w:eastAsia="Barlow Semi Condensed" w:hAnsi="Barlow Semi Condensed"/>
          <w:b/>
          <w:bCs/>
          <w:sz w:val="24"/>
          <w:szCs w:val="24"/>
        </w:rPr>
        <w:t xml:space="preserve">4409 · Il bersaglio di smentita del corpus.</w:t>
      </w:r>
      <w:r>
        <w:rPr>
          <w:rFonts w:ascii="Barlow Semi Condensed" w:cs="Barlow Semi Condensed" w:eastAsia="Barlow Semi Condensed" w:hAnsi="Barlow Semi Condensed"/>
          <w:sz w:val="24"/>
          <w:szCs w:val="24"/>
        </w:rPr>
        <w:t xml:space="preserve"> Simmetria dovuta: che cosa falsificherebbe l'affermazione del corpus secondo cui nulla lega quel nome alla catena di comando del delitto? Un solo documento, con fondo, serie e segnatura, che attesti un'istruzione, una richiesta o una conoscenza anticipata riferite al 1978. Chi sostiene la tesi opposta ha qui il proprio compito scritto; chi la nega non ha diritto di chiudere la porta a chiave.</w:t>
      </w:r>
    </w:p>
    <w:p>
      <w:pPr>
        <w:spacing w:after="120" w:line="276"/>
        <w:jc w:val="both"/>
      </w:pPr>
      <w:r>
        <w:rPr>
          <w:rFonts w:ascii="Barlow Semi Condensed" w:cs="Barlow Semi Condensed" w:eastAsia="Barlow Semi Condensed" w:hAnsi="Barlow Semi Condensed"/>
          <w:b/>
          <w:bCs/>
          <w:sz w:val="24"/>
          <w:szCs w:val="24"/>
        </w:rPr>
        <w:t xml:space="preserve">4410 · Cooperazione documentata, bersaglio del 228.</w:t>
      </w:r>
      <w:r>
        <w:rPr>
          <w:rFonts w:ascii="Barlow Semi Condensed" w:cs="Barlow Semi Condensed" w:eastAsia="Barlow Semi Condensed" w:hAnsi="Barlow Semi Condensed"/>
          <w:sz w:val="24"/>
          <w:szCs w:val="24"/>
        </w:rPr>
        <w:t xml:space="preserve"> Al blocco 228 la domanda è rovesciata: si cerca la prova che gli alleati riferirono tempestivamente alle autorità italiane ciò che sapevano. È un bersaglio del 1978 e riguarda sedi, non persone — ambasciate, centri, canali di collegamento. Chi aveva lasciato il Dipartimento di Stato il 20 gennaio 1977 non compare nella catena che il blocco interroga: l'esito negativo su di lui è strutturale prima che documentale.</w:t>
      </w:r>
    </w:p>
    <w:p>
      <w:pPr>
        <w:spacing w:after="120" w:line="276"/>
        <w:jc w:val="both"/>
      </w:pPr>
      <w:r>
        <w:rPr>
          <w:rFonts w:ascii="Barlow Semi Condensed" w:cs="Barlow Semi Condensed" w:eastAsia="Barlow Semi Condensed" w:hAnsi="Barlow Semi Condensed"/>
          <w:b/>
          <w:bCs/>
          <w:sz w:val="24"/>
          <w:szCs w:val="24"/>
        </w:rPr>
        <w:t xml:space="preserve">4411 · La regola dell'originatore, letta bene.</w:t>
      </w:r>
      <w:r>
        <w:rPr>
          <w:rFonts w:ascii="Barlow Semi Condensed" w:cs="Barlow Semi Condensed" w:eastAsia="Barlow Semi Condensed" w:hAnsi="Barlow Semi Condensed"/>
          <w:sz w:val="24"/>
          <w:szCs w:val="24"/>
        </w:rPr>
        <w:t xml:space="preserve"> Vale come norma generale degli scambi fra Stati, non come indizio sul contenuto: un documento classificato da uno Stato terzo non si desecreta unilateralmente. Lo scolpisce la scheda PE-5 e lo eredita il blocco 126. Chi la usa per suggerire che dietro il trattenuto ci sia un nome compie un salto vietato: il vincolo dice chi può aprire, non che cosa c'è dentro.</w:t>
      </w:r>
    </w:p>
    <w:p>
      <w:pPr>
        <w:spacing w:after="120" w:line="276"/>
        <w:jc w:val="both"/>
      </w:pPr>
      <w:r>
        <w:rPr>
          <w:rFonts w:ascii="Barlow Semi Condensed" w:cs="Barlow Semi Condensed" w:eastAsia="Barlow Semi Condensed" w:hAnsi="Barlow Semi Condensed"/>
          <w:b/>
          <w:bCs/>
          <w:sz w:val="24"/>
          <w:szCs w:val="24"/>
        </w:rPr>
        <w:t xml:space="preserve">4412 · I quattrocentosettantaquattro e il loro grado.</w:t>
      </w:r>
      <w:r>
        <w:rPr>
          <w:rFonts w:ascii="Barlow Semi Condensed" w:cs="Barlow Semi Condensed" w:eastAsia="Barlow Semi Condensed" w:hAnsi="Barlow Semi Condensed"/>
          <w:sz w:val="24"/>
          <w:szCs w:val="24"/>
        </w:rPr>
        <w:t xml:space="preserve"> Divergenza interna da riportare, non da sciogliere. La scheda PE-5 qualifica la cifra dei circa 474 atti di origine alleata ancora classificati come riferita e non verificata su atto; il blocco 127 dell'agenda la richiama invece come accertamento del corpus. È una promozione di grado avvenuta fra due documenti della stessa opera. Si segnala secondo il blocco 231, e si corregge per nota.</w:t>
      </w:r>
    </w:p>
    <w:p>
      <w:pPr>
        <w:spacing w:after="120" w:line="276"/>
        <w:jc w:val="both"/>
      </w:pPr>
      <w:r>
        <w:rPr>
          <w:rFonts w:ascii="Barlow Semi Condensed" w:cs="Barlow Semi Condensed" w:eastAsia="Barlow Semi Condensed" w:hAnsi="Barlow Semi Condensed"/>
          <w:b/>
          <w:bCs/>
          <w:sz w:val="24"/>
          <w:szCs w:val="24"/>
        </w:rPr>
        <w:t xml:space="preserve">4413 · Due insiemi che non coincidono.</w:t>
      </w:r>
      <w:r>
        <w:rPr>
          <w:rFonts w:ascii="Barlow Semi Condensed" w:cs="Barlow Semi Condensed" w:eastAsia="Barlow Semi Condensed" w:hAnsi="Barlow Semi Condensed"/>
          <w:sz w:val="24"/>
          <w:szCs w:val="24"/>
        </w:rPr>
        <w:t xml:space="preserve"> Accostare le withdrawal cards del 1978 — schede dei telegrammi trattenuti presso i National Archives statunitensi — ai 474 atti di origine alleata classificati in Italia significa sommare insiemi distinti, con custodi diversi e procedure diverse. Contarli insieme gonfia entrambi. Il bersaglio corretto è una tavola a colonne separate, come la scheda PE-5 già prescriveva per la propria chiusura in tre colonne.</w:t>
      </w:r>
    </w:p>
    <w:p>
      <w:pPr>
        <w:spacing w:after="120" w:line="276"/>
        <w:jc w:val="both"/>
      </w:pPr>
      <w:r>
        <w:rPr>
          <w:rFonts w:ascii="Barlow Semi Condensed" w:cs="Barlow Semi Condensed" w:eastAsia="Barlow Semi Condensed" w:hAnsi="Barlow Semi Condensed"/>
          <w:b/>
          <w:bCs/>
          <w:sz w:val="24"/>
          <w:szCs w:val="24"/>
        </w:rPr>
        <w:t xml:space="preserve">4414 · La finestra dell'AAD, allargata.</w:t>
      </w:r>
      <w:r>
        <w:rPr>
          <w:rFonts w:ascii="Barlow Semi Condensed" w:cs="Barlow Semi Condensed" w:eastAsia="Barlow Semi Condensed" w:hAnsi="Barlow Semi Condensed"/>
          <w:sz w:val="24"/>
          <w:szCs w:val="24"/>
        </w:rPr>
        <w:t xml:space="preserve"> Interrogato in full-text, il 1978 non esaurisce la serie: il blocco 128 dichiara la copertura reale dei Central Foreign Policy Files, dal 1° luglio 1973 al 31 dicembre 1979. Quella copertura contiene per intero il mandato di Segretario di Stato, dal 22 settembre 1973 al 20 gennaio 1977. Bersaglio nuovo e a costo bassissimo: la stessa griglia applicata alla finestra del settembre 1974.</w:t>
      </w:r>
    </w:p>
    <w:p>
      <w:pPr>
        <w:spacing w:after="120" w:line="276"/>
        <w:jc w:val="both"/>
      </w:pPr>
      <w:r>
        <w:rPr>
          <w:rFonts w:ascii="Barlow Semi Condensed" w:cs="Barlow Semi Condensed" w:eastAsia="Barlow Semi Condensed" w:hAnsi="Barlow Semi Condensed"/>
          <w:b/>
          <w:bCs/>
          <w:sz w:val="24"/>
          <w:szCs w:val="24"/>
        </w:rPr>
        <w:t xml:space="preserve">4415 · La griglia si dichiara prima.</w:t>
      </w:r>
      <w:r>
        <w:rPr>
          <w:rFonts w:ascii="Barlow Semi Condensed" w:cs="Barlow Semi Condensed" w:eastAsia="Barlow Semi Condensed" w:hAnsi="Barlow Semi Condensed"/>
          <w:sz w:val="24"/>
          <w:szCs w:val="24"/>
        </w:rPr>
        <w:t xml:space="preserve"> Disciplina d'esecuzione, dal blocco 128 e dal blocco 285: stringhe, TAGS, finestra temporale e data dell'interrogazione si scrivono prima di premere invio, non dopo aver visto i risultati. Per questo territorio i TAGS del lotto già in mano al corpus, «PINT, IT», sono il punto di partenza dichiarato. Una ricerca senza griglia scritta non produce Stato Zero: produce un'impressione.</w:t>
      </w:r>
    </w:p>
    <w:p>
      <w:pPr>
        <w:spacing w:after="120" w:line="276"/>
        <w:jc w:val="both"/>
      </w:pPr>
      <w:r>
        <w:rPr>
          <w:rFonts w:ascii="Barlow Semi Condensed" w:cs="Barlow Semi Condensed" w:eastAsia="Barlow Semi Condensed" w:hAnsi="Barlow Semi Condensed"/>
          <w:b/>
          <w:bCs/>
          <w:sz w:val="24"/>
          <w:szCs w:val="24"/>
        </w:rPr>
        <w:t xml:space="preserve">4416 · La serie FRUS e il volume mancante.</w:t>
      </w:r>
      <w:r>
        <w:rPr>
          <w:rFonts w:ascii="Barlow Semi Condensed" w:cs="Barlow Semi Condensed" w:eastAsia="Barlow Semi Condensed" w:hAnsi="Barlow Semi Condensed"/>
          <w:sz w:val="24"/>
          <w:szCs w:val="24"/>
        </w:rPr>
        <w:t xml:space="preserve"> Coerente col caso e per ciò stesso incompleto: il blocco 134 punta i volumi Foreign Relations of the United States per il 1977-1980 ed esclude perciò il volume che contiene l'unico documento di piano 1 fra Moro e questo nome, FRUS 1969-1976 E-15 parte 2. Bersaglio supplementare da iscrivere: l'estensione dello spoglio a quel volume e alle sue note, che sono segnature da seguire.</w:t>
      </w:r>
    </w:p>
    <w:p>
      <w:pPr>
        <w:spacing w:after="120" w:line="276"/>
        <w:jc w:val="both"/>
      </w:pPr>
      <w:r>
        <w:rPr>
          <w:rFonts w:ascii="Barlow Semi Condensed" w:cs="Barlow Semi Condensed" w:eastAsia="Barlow Semi Condensed" w:hAnsi="Barlow Semi Condensed"/>
          <w:b/>
          <w:bCs/>
          <w:sz w:val="24"/>
          <w:szCs w:val="24"/>
        </w:rPr>
        <w:t xml:space="preserve">4417 · La seconda edizione riveduta (serie LVIII).</w:t>
      </w:r>
      <w:r>
        <w:rPr>
          <w:rFonts w:ascii="Barlow Semi Condensed" w:cs="Barlow Semi Condensed" w:eastAsia="Barlow Semi Condensed" w:hAnsi="Barlow Semi Condensed"/>
          <w:sz w:val="24"/>
          <w:szCs w:val="24"/>
        </w:rPr>
        <w:t xml:space="preserve"> Regola di citazione, non pedanteria. Il documento 350 va sempre citato nella seconda edizione riveduta del volume: le due edizioni non hanno la stessa paginazione né lo stesso apparato. Una citazione che ometta la specificazione è un anello di catena di copia non dichiarato, e la critica testuale insegna che gli errori condivisi rivelano la filiazione dei testi meglio di ogni somiglianza di contenuto.</w:t>
      </w:r>
    </w:p>
    <w:p>
      <w:pPr>
        <w:spacing w:after="120" w:line="276"/>
        <w:jc w:val="both"/>
      </w:pPr>
      <w:r>
        <w:rPr>
          <w:rFonts w:ascii="Barlow Semi Condensed" w:cs="Barlow Semi Condensed" w:eastAsia="Barlow Semi Condensed" w:hAnsi="Barlow Semi Condensed"/>
          <w:b/>
          <w:bCs/>
          <w:sz w:val="24"/>
          <w:szCs w:val="24"/>
        </w:rPr>
        <w:t xml:space="preserve">4418 · La collezione a microfiche e il titolo.</w:t>
      </w:r>
      <w:r>
        <w:rPr>
          <w:rFonts w:ascii="Barlow Semi Condensed" w:cs="Barlow Semi Condensed" w:eastAsia="Barlow Semi Condensed" w:hAnsi="Barlow Semi Condensed"/>
          <w:sz w:val="24"/>
          <w:szCs w:val="24"/>
        </w:rPr>
        <w:t xml:space="preserve"> Nel titolo della collezione censita dal blocco 129 nella FOIA Library del Dipartimento di Stato — «Aldo Moro, Prime Minister of Italy, Representative of the Christian-Democrat Party (DC)» — Moro è qualificato presidente del Consiglio, mentre nel settembre 1974 era ministro degli Esteri. Prima di assumere che la collezione copra quella trasferta se ne accerta il perimetro: il titolo di un fondo non è il suo inventario.</w:t>
      </w:r>
    </w:p>
    <w:p>
      <w:pPr>
        <w:spacing w:after="120" w:line="276"/>
        <w:jc w:val="both"/>
      </w:pPr>
      <w:r>
        <w:rPr>
          <w:rFonts w:ascii="Barlow Semi Condensed" w:cs="Barlow Semi Condensed" w:eastAsia="Barlow Semi Condensed" w:hAnsi="Barlow Semi Condensed"/>
          <w:b/>
          <w:bCs/>
          <w:sz w:val="24"/>
          <w:szCs w:val="24"/>
        </w:rPr>
        <w:t xml:space="preserve">4419 · Atlanta conserva il successore.</w:t>
      </w:r>
      <w:r>
        <w:rPr>
          <w:rFonts w:ascii="Barlow Semi Condensed" w:cs="Barlow Semi Condensed" w:eastAsia="Barlow Semi Condensed" w:hAnsi="Barlow Semi Condensed"/>
          <w:sz w:val="24"/>
          <w:szCs w:val="24"/>
        </w:rPr>
        <w:t xml:space="preserve"> Alla Jimmy Carter Presidential Library il blocco 133 indica il Country File Italia della collezione Brzezinski, 1977-1981: è il fondo del consigliere entrato in carica il 20 gennaio 1977. Per costruzione non custodisce atti d'ufficio del predecessore. Cercarvi il nome e non trovarlo non è uno Stato Zero sul nome: è una porta che dà su un'altra stanza, e la differenza va scritta nel registro dei vuoti.</w:t>
      </w:r>
    </w:p>
    <w:p>
      <w:pPr>
        <w:spacing w:after="120" w:line="276"/>
        <w:jc w:val="both"/>
      </w:pPr>
      <w:r>
        <w:rPr>
          <w:rFonts w:ascii="Barlow Semi Condensed" w:cs="Barlow Semi Condensed" w:eastAsia="Barlow Semi Condensed" w:hAnsi="Barlow Semi Condensed"/>
          <w:b/>
          <w:bCs/>
          <w:sz w:val="24"/>
          <w:szCs w:val="24"/>
        </w:rPr>
        <w:t xml:space="preserve">4420 · Langley, e i ritagli che non contano.</w:t>
      </w:r>
      <w:r>
        <w:rPr>
          <w:rFonts w:ascii="Barlow Semi Condensed" w:cs="Barlow Semi Condensed" w:eastAsia="Barlow Semi Condensed" w:hAnsi="Barlow Semi Condensed"/>
          <w:sz w:val="24"/>
          <w:szCs w:val="24"/>
        </w:rPr>
        <w:t xml:space="preserve"> Impone il blocco 132 una disciplina precisa alla sala di lettura della CIA: distinguere i documenti analitici dalle rassegne stampa raccolte internamente. Molti reperti su Moro appartengono alla seconda categoria. Un ritaglio che riporti il nome prova che qualcuno lesse un giornale, non che un servizio scrisse qualcosa; marcare ciascun reperto per quello che è vale qui più che altrove.</w:t>
      </w:r>
    </w:p>
    <w:p>
      <w:pPr>
        <w:spacing w:after="120" w:line="276"/>
        <w:jc w:val="both"/>
      </w:pPr>
      <w:r>
        <w:rPr>
          <w:rFonts w:ascii="Barlow Semi Condensed" w:cs="Barlow Semi Condensed" w:eastAsia="Barlow Semi Condensed" w:hAnsi="Barlow Semi Condensed"/>
          <w:b/>
          <w:bCs/>
          <w:sz w:val="24"/>
          <w:szCs w:val="24"/>
        </w:rPr>
        <w:t xml:space="preserve">4421 · Il Congresso come cornice, non ponte.</w:t>
      </w:r>
      <w:r>
        <w:rPr>
          <w:rFonts w:ascii="Barlow Semi Condensed" w:cs="Barlow Semi Condensed" w:eastAsia="Barlow Semi Condensed" w:hAnsi="Barlow Semi Condensed"/>
          <w:sz w:val="24"/>
          <w:szCs w:val="24"/>
        </w:rPr>
        <w:t xml:space="preserve"> Le udienze delle commissioni del Congresso sul terrorismo europeo, bersaglio del blocco 135, dicono come Washington si spiegava pubblicamente ciò che i cablo raccontavano in riservato. È rendimento contestuale dichiarato, ed è cornice. Una dichiarazione resa in audizione da chiunque, anni dopo, resta fonte di parte: non promuove nulla e non fonda alcun arco nel grafo dei legami documentati.</w:t>
      </w:r>
    </w:p>
    <w:p>
      <w:pPr>
        <w:spacing w:after="120" w:line="276"/>
        <w:jc w:val="both"/>
      </w:pPr>
      <w:r>
        <w:rPr>
          <w:rFonts w:ascii="Barlow Semi Condensed" w:cs="Barlow Semi Condensed" w:eastAsia="Barlow Semi Condensed" w:hAnsi="Barlow Semi Condensed"/>
          <w:b/>
          <w:bCs/>
          <w:sz w:val="24"/>
          <w:szCs w:val="24"/>
        </w:rPr>
        <w:t xml:space="preserve">4422 · Kew e il fascicolo che c'è.</w:t>
      </w:r>
      <w:r>
        <w:rPr>
          <w:rFonts w:ascii="Barlow Semi Condensed" w:cs="Barlow Semi Condensed" w:eastAsia="Barlow Semi Condensed" w:hAnsi="Barlow Semi Condensed"/>
          <w:sz w:val="24"/>
          <w:szCs w:val="24"/>
        </w:rPr>
        <w:t xml:space="preserve"> A Kew la verifica V-4 dell'agenda ha trovato il fascicolo «Terrorism in Italy, including kidnapping and death of Aldo Moro», serie FCO 33, aperto fra il 2008 e il 2009, e non ha trovato un fascicolo PREM specificamente moroteo. Bersaglio per questa serie: se in quelle carte il nome compaia, e con quale funzione — riferito, commentato, o parte di una relazione documentata.</w:t>
      </w:r>
    </w:p>
    <w:p>
      <w:pPr>
        <w:spacing w:after="120" w:line="276"/>
        <w:jc w:val="both"/>
      </w:pPr>
      <w:r>
        <w:rPr>
          <w:rFonts w:ascii="Barlow Semi Condensed" w:cs="Barlow Semi Condensed" w:eastAsia="Barlow Semi Condensed" w:hAnsi="Barlow Semi Condensed"/>
          <w:b/>
          <w:bCs/>
          <w:sz w:val="24"/>
          <w:szCs w:val="24"/>
        </w:rPr>
        <w:t xml:space="preserve">4423 · Gli scaffali dell'Alleanza, perimetrati.</w:t>
      </w:r>
      <w:r>
        <w:rPr>
          <w:rFonts w:ascii="Barlow Semi Condensed" w:cs="Barlow Semi Condensed" w:eastAsia="Barlow Semi Condensed" w:hAnsi="Barlow Semi Condensed"/>
          <w:sz w:val="24"/>
          <w:szCs w:val="24"/>
        </w:rPr>
        <w:t xml:space="preserve"> Perimetro dichiarato dal blocco 143: negli archivi NATO si cercano documenti d'archivio, non conferme di narrazioni. Applicato qui, significa che una serie declassificata del 1978 sulla sicurezza interna alleata va letta per ciò che elenca. Ciò che non contiene si verbalizza come assenza, con la data della consultazione e il nome esatto della serie consultata, secondo il blocco 233.</w:t>
      </w:r>
    </w:p>
    <w:p>
      <w:pPr>
        <w:spacing w:after="120" w:line="276"/>
        <w:jc w:val="both"/>
      </w:pPr>
      <w:r>
        <w:rPr>
          <w:rFonts w:ascii="Barlow Semi Condensed" w:cs="Barlow Semi Condensed" w:eastAsia="Barlow Semi Condensed" w:hAnsi="Barlow Semi Condensed"/>
          <w:b/>
          <w:bCs/>
          <w:sz w:val="24"/>
          <w:szCs w:val="24"/>
        </w:rPr>
        <w:t xml:space="preserve">4424 · Il quesito 12 e i suoi confini.</w:t>
      </w:r>
      <w:r>
        <w:rPr>
          <w:rFonts w:ascii="Barlow Semi Condensed" w:cs="Barlow Semi Condensed" w:eastAsia="Barlow Semi Condensed" w:hAnsi="Barlow Semi Condensed"/>
          <w:sz w:val="24"/>
          <w:szCs w:val="24"/>
        </w:rPr>
        <w:t xml:space="preserve"> Quesito costitutivo numero 12, «Gli occhi degli alleati»: che cosa videro e riferirono in tempo reale le diplomazie e i servizi nel 1978, e che cosa giace sotto la regola dell'originatore. È una domanda su sedi, tempi e ritenuto. Non è una domanda su un nome, e trasformarla in tale è il modo più rapido per non ottenere né l'una né l'altra risposta.</w:t>
      </w:r>
    </w:p>
    <w:p>
      <w:pPr>
        <w:spacing w:after="120" w:line="276"/>
        <w:jc w:val="both"/>
      </w:pPr>
      <w:r>
        <w:rPr>
          <w:rFonts w:ascii="Barlow Semi Condensed" w:cs="Barlow Semi Condensed" w:eastAsia="Barlow Semi Condensed" w:hAnsi="Barlow Semi Condensed"/>
          <w:b/>
          <w:bCs/>
          <w:sz w:val="24"/>
          <w:szCs w:val="24"/>
        </w:rPr>
        <w:t xml:space="preserve">4425 · Chiusura per smentita o stanchezza.</w:t>
      </w:r>
      <w:r>
        <w:rPr>
          <w:rFonts w:ascii="Barlow Semi Condensed" w:cs="Barlow Semi Condensed" w:eastAsia="Barlow Semi Condensed" w:hAnsi="Barlow Semi Condensed"/>
          <w:sz w:val="24"/>
          <w:szCs w:val="24"/>
        </w:rPr>
        <w:t xml:space="preserve"> Per il versante atlantico il blocco 230 ha una risposta documentabile. La Fase sesta dell'opera-madre iscrive fra gli Stati Zero il documento che leghi quel nome, o qualunque apparato straniero nominato, alla catena di comando del delitto: è chiusura per ricerca condotta, non per fatica. Resta riaperta solo da un primario nuovo, e non dalla rilettura degli stessi atti.</w:t>
      </w:r>
    </w:p>
    <w:p>
      <w:pPr>
        <w:spacing w:after="120" w:line="276"/>
        <w:jc w:val="both"/>
      </w:pPr>
      <w:r>
        <w:rPr>
          <w:rFonts w:ascii="Barlow Semi Condensed" w:cs="Barlow Semi Condensed" w:eastAsia="Barlow Semi Condensed" w:hAnsi="Barlow Semi Condensed"/>
          <w:b/>
          <w:bCs/>
          <w:sz w:val="24"/>
          <w:szCs w:val="24"/>
        </w:rPr>
        <w:t xml:space="preserve">4426 · Lo Stato Zero senza sede.</w:t>
      </w:r>
      <w:r>
        <w:rPr>
          <w:rFonts w:ascii="Barlow Semi Condensed" w:cs="Barlow Semi Condensed" w:eastAsia="Barlow Semi Condensed" w:hAnsi="Barlow Semi Condensed"/>
          <w:sz w:val="24"/>
          <w:szCs w:val="24"/>
        </w:rPr>
        <w:t xml:space="preserve"> Manca a quell'iscrizione ciò che il blocco 233 pretende: la sede che la chiuderebbe. Bersaglio proposto da questa serie: riscrivere l'assenza della Fase sesta con gli indirizzi accanto — Ford Library, NARA Central Foreign Policy Files, sala di lettura elettronica della CIA, Archivio centrale dello Stato — e con la data del riesame. Un'assenza senza indirizzo invecchia in fretta e non si controlla.</w:t>
      </w:r>
    </w:p>
    <w:p>
      <w:pPr>
        <w:spacing w:after="120" w:line="276"/>
        <w:jc w:val="both"/>
      </w:pPr>
      <w:r>
        <w:rPr>
          <w:rFonts w:ascii="Barlow Semi Condensed" w:cs="Barlow Semi Condensed" w:eastAsia="Barlow Semi Condensed" w:hAnsi="Barlow Semi Condensed"/>
          <w:b/>
          <w:bCs/>
          <w:sz w:val="24"/>
          <w:szCs w:val="24"/>
        </w:rPr>
        <w:t xml:space="preserve">4427 · Il criterio Hyperion, trasferito.</w:t>
      </w:r>
      <w:r>
        <w:rPr>
          <w:rFonts w:ascii="Barlow Semi Condensed" w:cs="Barlow Semi Condensed" w:eastAsia="Barlow Semi Condensed" w:hAnsi="Barlow Semi Condensed"/>
          <w:sz w:val="24"/>
          <w:szCs w:val="24"/>
        </w:rPr>
        <w:t xml:space="preserve"> Tiene chiusa una pista e pronto il suo test, il blocco 222: un documento primario che trasformi un arco biografico in arco di condotta. Il criterio si trasferisce tale e quale al cammino atlantico, dove gli archi disponibili sono di cornice — posizioni politiche dichiarate, timori strategici, contiguità di anni. Trasformarne uno in arco di condotta richiede una carta, non una rilettura.</w:t>
      </w:r>
    </w:p>
    <w:p>
      <w:pPr>
        <w:spacing w:after="120" w:line="276"/>
        <w:jc w:val="both"/>
      </w:pPr>
      <w:r>
        <w:rPr>
          <w:rFonts w:ascii="Barlow Semi Condensed" w:cs="Barlow Semi Condensed" w:eastAsia="Barlow Semi Condensed" w:hAnsi="Barlow Semi Condensed"/>
          <w:b/>
          <w:bCs/>
          <w:sz w:val="24"/>
          <w:szCs w:val="24"/>
        </w:rPr>
        <w:t xml:space="preserve">4428 · Il tornello dell'anello debole.</w:t>
      </w:r>
      <w:r>
        <w:rPr>
          <w:rFonts w:ascii="Barlow Semi Condensed" w:cs="Barlow Semi Condensed" w:eastAsia="Barlow Semi Condensed" w:hAnsi="Barlow Semi Condensed"/>
          <w:sz w:val="24"/>
          <w:szCs w:val="24"/>
        </w:rPr>
        <w:t xml:space="preserve"> Ogni catena inferenziale nuova si misura al suo anello più debole prima di entrare in qualunque scheda: è il blocco 232, ed è un tornello. Nella catena che va dalla cornice atlantica del 1974 all'agguato del 16 marzo 1978 l'anello più debole è il passaggio fra i due estremi. Il grado del cammino è quello del tratto peggiore, e nessun arco forte a monte lo risolleva.</w:t>
      </w:r>
    </w:p>
    <w:p>
      <w:pPr>
        <w:spacing w:after="120" w:line="276"/>
        <w:jc w:val="both"/>
      </w:pPr>
      <w:r>
        <w:rPr>
          <w:rFonts w:ascii="Barlow Semi Condensed" w:cs="Barlow Semi Condensed" w:eastAsia="Barlow Semi Condensed" w:hAnsi="Barlow Semi Condensed"/>
          <w:b/>
          <w:bCs/>
          <w:sz w:val="24"/>
          <w:szCs w:val="24"/>
        </w:rPr>
        <w:t xml:space="preserve">4429 · Il 231, già eseguito una volta.</w:t>
      </w:r>
      <w:r>
        <w:rPr>
          <w:rFonts w:ascii="Barlow Semi Condensed" w:cs="Barlow Semi Condensed" w:eastAsia="Barlow Semi Condensed" w:hAnsi="Barlow Semi Condensed"/>
          <w:sz w:val="24"/>
          <w:szCs w:val="24"/>
        </w:rPr>
        <w:t xml:space="preserve"> Già eseguito, l'esercizio che il blocco 231 prescrive: la Nota di revisione numero due del 25 agosto 2026 ha aggiunto al nodo M-5 di triangolazioni-guevara-moro.md sette precisazioni che il nodo non conteneva, prima fra tutte la smentita dell'interessato, assente dal testo originario. L'agenda conta queste note come successi e prevede le prossime; questa è la prima che riguarda un nome straniero.</w:t>
      </w:r>
    </w:p>
    <w:p>
      <w:pPr>
        <w:spacing w:after="120" w:line="276"/>
        <w:jc w:val="both"/>
      </w:pPr>
      <w:r>
        <w:rPr>
          <w:rFonts w:ascii="Barlow Semi Condensed" w:cs="Barlow Semi Condensed" w:eastAsia="Barlow Semi Condensed" w:hAnsi="Barlow Semi Condensed"/>
          <w:b/>
          <w:bCs/>
          <w:sz w:val="24"/>
          <w:szCs w:val="24"/>
        </w:rPr>
        <w:t xml:space="preserve">4430 · Ciò che la nota non tocca.</w:t>
      </w:r>
      <w:r>
        <w:rPr>
          <w:rFonts w:ascii="Barlow Semi Condensed" w:cs="Barlow Semi Condensed" w:eastAsia="Barlow Semi Condensed" w:hAnsi="Barlow Semi Condensed"/>
          <w:sz w:val="24"/>
          <w:szCs w:val="24"/>
        </w:rPr>
        <w:t xml:space="preserve"> Resta leggibile com'era il testo del nodo M-5, perché la regola vieta la riscrittura e impone la correzione affiancata. Vi si legge ancora l'avvertimento riferito come dato, senza la contestazione. Chi apre quella riga senza scendere alla nota riceve la versione non corretta. Bersaglio editoriale minimo e a costo nullo: un rimando esplicito dal nodo alla nota, che è la custodia chiesta dal blocco 276.</w:t>
      </w:r>
    </w:p>
    <w:p>
      <w:pPr>
        <w:spacing w:after="120" w:line="276"/>
        <w:jc w:val="both"/>
      </w:pPr>
      <w:r>
        <w:rPr>
          <w:rFonts w:ascii="Barlow Semi Condensed" w:cs="Barlow Semi Condensed" w:eastAsia="Barlow Semi Condensed" w:hAnsi="Barlow Semi Condensed"/>
          <w:b/>
          <w:bCs/>
          <w:sz w:val="24"/>
          <w:szCs w:val="24"/>
        </w:rPr>
        <w:t xml:space="preserve">4431 · Corroborare un teste de relato.</w:t>
      </w:r>
      <w:r>
        <w:rPr>
          <w:rFonts w:ascii="Barlow Semi Condensed" w:cs="Barlow Semi Condensed" w:eastAsia="Barlow Semi Condensed" w:hAnsi="Barlow Semi Condensed"/>
          <w:sz w:val="24"/>
          <w:szCs w:val="24"/>
        </w:rPr>
        <w:t xml:space="preserve"> Corroborazione fisica prima di costruire: è ciò che il blocco 224 impone, con la lezione Marini come precedente scolpito e la Nota di revisione numero uno come sua registrazione nel corpus. Corrado Guerzoni depose davanti alla Corte d'assise di Roma nel novembre 1982 senza aver assistito al colloquio. La corroborazione che il blocco chiede, qui, è documentale: le carte della trasferta, non altre memorie.</w:t>
      </w:r>
    </w:p>
    <w:p>
      <w:pPr>
        <w:spacing w:after="120" w:line="276"/>
        <w:jc w:val="both"/>
      </w:pPr>
      <w:r>
        <w:rPr>
          <w:rFonts w:ascii="Barlow Semi Condensed" w:cs="Barlow Semi Condensed" w:eastAsia="Barlow Semi Condensed" w:hAnsi="Barlow Semi Condensed"/>
          <w:b/>
          <w:bCs/>
          <w:sz w:val="24"/>
          <w:szCs w:val="24"/>
        </w:rPr>
        <w:t xml:space="preserve">4432 · Il nome ottenuto in aula (serie LVIII).</w:t>
      </w:r>
      <w:r>
        <w:rPr>
          <w:rFonts w:ascii="Barlow Semi Condensed" w:cs="Barlow Semi Condensed" w:eastAsia="Barlow Semi Condensed" w:hAnsi="Barlow Semi Condensed"/>
          <w:sz w:val="24"/>
          <w:szCs w:val="24"/>
        </w:rPr>
        <w:t xml:space="preserve"> Estratto da una domanda, un nome non pesa quanto un nome offerto. In aula la vedova parlò di «un'alta personalità» senza nominarla; fu il presidente della corte, richiamando il portavoce, a ottenere l'indicazione. La differenza va scritta ogni volta che quella deposizione è citata, comunque la si valuti nel merito: è una regola di lettura, non una valutazione di credibilità.</w:t>
      </w:r>
    </w:p>
    <w:p>
      <w:pPr>
        <w:spacing w:after="120" w:line="276"/>
        <w:jc w:val="both"/>
      </w:pPr>
      <w:r>
        <w:rPr>
          <w:rFonts w:ascii="Barlow Semi Condensed" w:cs="Barlow Semi Condensed" w:eastAsia="Barlow Semi Condensed" w:hAnsi="Barlow Semi Condensed"/>
          <w:b/>
          <w:bCs/>
          <w:sz w:val="24"/>
          <w:szCs w:val="24"/>
        </w:rPr>
        <w:t xml:space="preserve">4433 · Incrociare i presenti del 1974.</w:t>
      </w:r>
      <w:r>
        <w:rPr>
          <w:rFonts w:ascii="Barlow Semi Condensed" w:cs="Barlow Semi Condensed" w:eastAsia="Barlow Semi Condensed" w:hAnsi="Barlow Semi Condensed"/>
          <w:sz w:val="24"/>
          <w:szCs w:val="24"/>
        </w:rPr>
        <w:t xml:space="preserve"> Trasferito al settembre 1974, il blocco 225 prescrive di incrociare le testimonianze di tutti i presenti ancora ascoltabili e i verbali resi all'epoca. L'elenco della delegazione italiana del 25 e 26 settembre, gli accompagnatori, il personale d'ambasciata: la serie quinta dell'agenda, blocchi 101-125, fornisce il protocollo conservativo, e il blocco 122 la categoria — gli occhi stranieri ancora viventi.</w:t>
      </w:r>
    </w:p>
    <w:p>
      <w:pPr>
        <w:spacing w:after="120" w:line="276"/>
        <w:jc w:val="both"/>
      </w:pPr>
      <w:r>
        <w:rPr>
          <w:rFonts w:ascii="Barlow Semi Condensed" w:cs="Barlow Semi Condensed" w:eastAsia="Barlow Semi Condensed" w:hAnsi="Barlow Semi Condensed"/>
          <w:b/>
          <w:bCs/>
          <w:sz w:val="24"/>
          <w:szCs w:val="24"/>
        </w:rPr>
        <w:t xml:space="preserve">4434 · L'interprete come bersaglio materiale (serie LVIII).</w:t>
      </w:r>
      <w:r>
        <w:rPr>
          <w:rFonts w:ascii="Barlow Semi Condensed" w:cs="Barlow Semi Condensed" w:eastAsia="Barlow Semi Condensed" w:hAnsi="Barlow Semi Condensed"/>
          <w:sz w:val="24"/>
          <w:szCs w:val="24"/>
        </w:rPr>
        <w:t xml:space="preserve"> Definì l'episodio una leggenda senza fondamento un testimone italiano qualificato, dicendo di averlo verificato allora con l'interprete perché Moro non parlava inglese: il dato tocca la plausibilità materiale di uno scambio verbale diretto. Bersaglio: l'identità dell'interprete di quella trasferta e ogni carta che la registri — liste di delegazione, note spese, telegrammi organizzativi — presso l'Archivio storico-diplomatico della Farnesina.</w:t>
      </w:r>
    </w:p>
    <w:p>
      <w:pPr>
        <w:spacing w:after="120" w:line="276"/>
        <w:jc w:val="both"/>
      </w:pPr>
      <w:r>
        <w:rPr>
          <w:rFonts w:ascii="Barlow Semi Condensed" w:cs="Barlow Semi Condensed" w:eastAsia="Barlow Semi Condensed" w:hAnsi="Barlow Semi Condensed"/>
          <w:b/>
          <w:bCs/>
          <w:sz w:val="24"/>
          <w:szCs w:val="24"/>
        </w:rPr>
        <w:t xml:space="preserve">4435 · La verbalizzazione italiana del colloquio.</w:t>
      </w:r>
      <w:r>
        <w:rPr>
          <w:rFonts w:ascii="Barlow Semi Condensed" w:cs="Barlow Semi Condensed" w:eastAsia="Barlow Semi Condensed" w:hAnsi="Barlow Semi Condensed"/>
          <w:sz w:val="24"/>
          <w:szCs w:val="24"/>
        </w:rPr>
        <w:t xml:space="preserve"> Esiste un verbale americano; esiste una verbalizzazione italiana? Appunto di gabinetto, resoconto di delegazione, telegramma di riepilogo dell'ambasciata a Washington del 25 o del 26 settembre 1974. Sede: Archivio storico-diplomatico della Farnesina, carteggi di gabinetto e serie dell'ambasciata. Se esiste è un secondo testimone indipendente sullo stesso colloquio; se non esiste, l'esito negativo si verbalizza secondo il blocco 285.</w:t>
      </w:r>
    </w:p>
    <w:p>
      <w:pPr>
        <w:spacing w:after="120" w:line="276"/>
        <w:jc w:val="both"/>
      </w:pPr>
      <w:r>
        <w:rPr>
          <w:rFonts w:ascii="Barlow Semi Condensed" w:cs="Barlow Semi Condensed" w:eastAsia="Barlow Semi Condensed" w:hAnsi="Barlow Semi Condensed"/>
          <w:b/>
          <w:bCs/>
          <w:sz w:val="24"/>
          <w:szCs w:val="24"/>
        </w:rPr>
        <w:t xml:space="preserve">4436 · Le date della visita divergono (serie LVIII).</w:t>
      </w:r>
      <w:r>
        <w:rPr>
          <w:rFonts w:ascii="Barlow Semi Condensed" w:cs="Barlow Semi Condensed" w:eastAsia="Barlow Semi Condensed" w:hAnsi="Barlow Semi Condensed"/>
          <w:sz w:val="24"/>
          <w:szCs w:val="24"/>
        </w:rPr>
        <w:t xml:space="preserve"> Da riportare senza scegliere: il comunicato congiunto pubblicato negli atti presidenziali statunitensi colloca la visita di Stato dal 25 al 29 settembre 1974, mentre la nota editoriale del volume FRUS indica dal 25 al 27. La divergenza è minuta e non è innocua, perché fissa quanti giorni di fuori-programma esistettero. Il programma ufficiale della trasferta la scioglierebbe, ed è una carta d'archivio ordinaria.</w:t>
      </w:r>
    </w:p>
    <w:p>
      <w:pPr>
        <w:spacing w:after="120" w:line="276"/>
        <w:jc w:val="both"/>
      </w:pPr>
      <w:r>
        <w:rPr>
          <w:rFonts w:ascii="Barlow Semi Condensed" w:cs="Barlow Semi Condensed" w:eastAsia="Barlow Semi Condensed" w:hAnsi="Barlow Semi Condensed"/>
          <w:b/>
          <w:bCs/>
          <w:sz w:val="24"/>
          <w:szCs w:val="24"/>
        </w:rPr>
        <w:t xml:space="preserve">4437 · Tre anni per un episodio.</w:t>
      </w:r>
      <w:r>
        <w:rPr>
          <w:rFonts w:ascii="Barlow Semi Condensed" w:cs="Barlow Semi Condensed" w:eastAsia="Barlow Semi Condensed" w:hAnsi="Barlow Semi Condensed"/>
          <w:sz w:val="24"/>
          <w:szCs w:val="24"/>
        </w:rPr>
        <w:t xml:space="preserve"> Oscilla fra 1974, 1976 e 1977 la collocazione dell'episodio riferito, e con essa i luoghi: Studio Ovale, Dipartimento di Stato, cena ufficiale, ambasciata d'Italia a Washington. Nel 1977 l'interessato non ricopriva più alcuna carica di governo. La divergenza è dirimente per chiunque voglia legare l'episodio a un ufficio, e va riportata ogni volta, non risolta d'ufficio in favore della versione più diffusa.</w:t>
      </w:r>
    </w:p>
    <w:p>
      <w:pPr>
        <w:spacing w:after="120" w:line="276"/>
        <w:jc w:val="both"/>
      </w:pPr>
      <w:r>
        <w:rPr>
          <w:rFonts w:ascii="Barlow Semi Condensed" w:cs="Barlow Semi Condensed" w:eastAsia="Barlow Semi Condensed" w:hAnsi="Barlow Semi Condensed"/>
          <w:b/>
          <w:bCs/>
          <w:sz w:val="24"/>
          <w:szCs w:val="24"/>
        </w:rPr>
        <w:t xml:space="preserve">4438 · L'ambasciata di Washington, da datare.</w:t>
      </w:r>
      <w:r>
        <w:rPr>
          <w:rFonts w:ascii="Barlow Semi Condensed" w:cs="Barlow Semi Condensed" w:eastAsia="Barlow Semi Condensed" w:hAnsi="Barlow Semi Condensed"/>
          <w:sz w:val="24"/>
          <w:szCs w:val="24"/>
        </w:rPr>
        <w:t xml:space="preserve"> Una fonte d'agenzia statunitense dell'aprile 1983 riferisce che i magistrati italiani volevano interrogarlo su un acceso alterco all'ambasciata d'Italia a Washington nel 1977. Bersaglio preciso: qualunque carta che dati un incontro in quella sede in quell'anno — registri d'ingresso, liste d'invito, corrispondenza dell'ambasciata — presso la Farnesina. Un documento di calendario chiuderebbe una delle tre varianti senza toccare il merito della frase.</w:t>
      </w:r>
    </w:p>
    <w:p>
      <w:pPr>
        <w:spacing w:after="120" w:line="276"/>
        <w:jc w:val="both"/>
      </w:pPr>
      <w:r>
        <w:rPr>
          <w:rFonts w:ascii="Barlow Semi Condensed" w:cs="Barlow Semi Condensed" w:eastAsia="Barlow Semi Condensed" w:hAnsi="Barlow Semi Condensed"/>
          <w:b/>
          <w:bCs/>
          <w:sz w:val="24"/>
          <w:szCs w:val="24"/>
        </w:rPr>
        <w:t xml:space="preserve">4439 · Che cosa entra nel registro.</w:t>
      </w:r>
      <w:r>
        <w:rPr>
          <w:rFonts w:ascii="Barlow Semi Condensed" w:cs="Barlow Semi Condensed" w:eastAsia="Barlow Semi Condensed" w:hAnsi="Barlow Semi Condensed"/>
          <w:sz w:val="24"/>
          <w:szCs w:val="24"/>
        </w:rPr>
        <w:t xml:space="preserve"> Apre il blocco 235 un registro pubblico delle smentite riuscite, ciascuna con la sua data e il suo documento. Su questo nome una sola voce è oggi iscrivibile: il verbale dello Studio Ovale del 25 settembre 1974 non contiene alcun ultimatum personale ad Aldo Moro. È una tesi caduta e documentata, e la sua caduta riguarda la circolazione pubblica di quel documento, non l'episodio riferito.</w:t>
      </w:r>
    </w:p>
    <w:p>
      <w:pPr>
        <w:spacing w:after="120" w:line="276"/>
        <w:jc w:val="both"/>
      </w:pPr>
      <w:r>
        <w:rPr>
          <w:rFonts w:ascii="Barlow Semi Condensed" w:cs="Barlow Semi Condensed" w:eastAsia="Barlow Semi Condensed" w:hAnsi="Barlow Semi Condensed"/>
          <w:b/>
          <w:bCs/>
          <w:sz w:val="24"/>
          <w:szCs w:val="24"/>
        </w:rPr>
        <w:t xml:space="preserve">4440 · La forma esatta della voce.</w:t>
      </w:r>
      <w:r>
        <w:rPr>
          <w:rFonts w:ascii="Barlow Semi Condensed" w:cs="Barlow Semi Condensed" w:eastAsia="Barlow Semi Condensed" w:hAnsi="Barlow Semi Condensed"/>
          <w:sz w:val="24"/>
          <w:szCs w:val="24"/>
        </w:rPr>
        <w:t xml:space="preserve"> Si propone il testo dell'iscrizione, perché un registro vale per la precisione delle sue righe. Tesi smentita: il memorandum of conversation dello Studio Ovale conterrebbe la minaccia. Documento: FRUS 1969-1976 E-15 parte 2, doc. 350, seconda edizione riveduta, e Ford Library file 1552802. Esito: assenza accertata. Effetto: decade la versione che colloca la frase nell'incontro ufficiale, che è quella che circola.</w:t>
      </w:r>
    </w:p>
    <w:p>
      <w:pPr>
        <w:spacing w:after="120" w:line="276"/>
        <w:jc w:val="both"/>
      </w:pPr>
      <w:r>
        <w:rPr>
          <w:rFonts w:ascii="Barlow Semi Condensed" w:cs="Barlow Semi Condensed" w:eastAsia="Barlow Semi Condensed" w:hAnsi="Barlow Semi Condensed"/>
          <w:b/>
          <w:bCs/>
          <w:sz w:val="24"/>
          <w:szCs w:val="24"/>
        </w:rPr>
        <w:t xml:space="preserve">4441 · Ciò che non può entrarvi.</w:t>
      </w:r>
      <w:r>
        <w:rPr>
          <w:rFonts w:ascii="Barlow Semi Condensed" w:cs="Barlow Semi Condensed" w:eastAsia="Barlow Semi Condensed" w:hAnsi="Barlow Semi Condensed"/>
          <w:sz w:val="24"/>
          <w:szCs w:val="24"/>
        </w:rPr>
        <w:t xml:space="preserve"> Fuori dal registro resta la negazione dell'interessato. Una smentita, nella grammatica del blocco 235, è una tesi caduta davanti a un documento; una dichiarazione di parte è una fonte in più, da riportare accanto alla testimonianza che contesta. Confondere le due cose renderebbe il registro un luogo di opinioni, cioè esattamente ciò che il blocco esiste per impedire.</w:t>
      </w:r>
    </w:p>
    <w:p>
      <w:pPr>
        <w:spacing w:after="120" w:line="276"/>
        <w:jc w:val="both"/>
      </w:pPr>
      <w:r>
        <w:rPr>
          <w:rFonts w:ascii="Barlow Semi Condensed" w:cs="Barlow Semi Condensed" w:eastAsia="Barlow Semi Condensed" w:hAnsi="Barlow Semi Condensed"/>
          <w:b/>
          <w:bCs/>
          <w:sz w:val="24"/>
          <w:szCs w:val="24"/>
        </w:rPr>
        <w:t xml:space="preserve">4442 · La simmetria da non tradire.</w:t>
      </w:r>
      <w:r>
        <w:rPr>
          <w:rFonts w:ascii="Barlow Semi Condensed" w:cs="Barlow Semi Condensed" w:eastAsia="Barlow Semi Condensed" w:hAnsi="Barlow Semi Condensed"/>
          <w:sz w:val="24"/>
          <w:szCs w:val="24"/>
        </w:rPr>
        <w:t xml:space="preserve"> Che l'interessato abbia negato non prova che il fatto non avvenne, come la testimonianza non prova che avvenne. Restano tre fatti distinti e tutti verificati: non fu mai sentito dai magistrati italiani; la richiesta informale del 1983 non ebbe seguito; nessuna sentenza definitiva ha attribuito ad autorità statunitensi responsabilità penali nel caso. Tenerli separati è la condizione per poterli usare.</w:t>
      </w:r>
    </w:p>
    <w:p>
      <w:pPr>
        <w:spacing w:after="120" w:line="276"/>
        <w:jc w:val="both"/>
      </w:pPr>
      <w:r>
        <w:rPr>
          <w:rFonts w:ascii="Barlow Semi Condensed" w:cs="Barlow Semi Condensed" w:eastAsia="Barlow Semi Condensed" w:hAnsi="Barlow Semi Condensed"/>
          <w:b/>
          <w:bCs/>
          <w:sz w:val="24"/>
          <w:szCs w:val="24"/>
        </w:rPr>
        <w:t xml:space="preserve">4443 · La contro-agenda rivolta alla tesi.</w:t>
      </w:r>
      <w:r>
        <w:rPr>
          <w:rFonts w:ascii="Barlow Semi Condensed" w:cs="Barlow Semi Condensed" w:eastAsia="Barlow Semi Condensed" w:hAnsi="Barlow Semi Condensed"/>
          <w:sz w:val="24"/>
          <w:szCs w:val="24"/>
        </w:rPr>
        <w:t xml:space="preserve"> Invita formalmente il blocco 234 chi sostiene tesi alternative a formulare i propri bersagli nella stessa grammatica: quesito, giacimento, evidenza attesa, criterio di chiusura. L'invito si estende a chiunque presenti l'avvertimento del 1974 come antefatto del 1978. Non gli si chiede di rinunciare alla tesi: gli si chiede di nominare quale carta, in quale fondo, la abbatterebbe.</w:t>
      </w:r>
    </w:p>
    <w:p>
      <w:pPr>
        <w:spacing w:after="120" w:line="276"/>
        <w:jc w:val="both"/>
      </w:pPr>
      <w:r>
        <w:rPr>
          <w:rFonts w:ascii="Barlow Semi Condensed" w:cs="Barlow Semi Condensed" w:eastAsia="Barlow Semi Condensed" w:hAnsi="Barlow Semi Condensed"/>
          <w:b/>
          <w:bCs/>
          <w:sz w:val="24"/>
          <w:szCs w:val="24"/>
        </w:rPr>
        <w:t xml:space="preserve">4444 · La domanda che chiude tutto.</w:t>
      </w:r>
      <w:r>
        <w:rPr>
          <w:rFonts w:ascii="Barlow Semi Condensed" w:cs="Barlow Semi Condensed" w:eastAsia="Barlow Semi Condensed" w:hAnsi="Barlow Semi Condensed"/>
          <w:sz w:val="24"/>
          <w:szCs w:val="24"/>
        </w:rPr>
        <w:t xml:space="preserve"> Chi non sa nominare il documento che lo smentirebbe non ha una tesi storica: ha una convinzione. L'agenda lo scrive senza asprezza e con una conseguenza operativa, perché i bersagli formulati dagli avversari entrano nella serie undicesima con pari dignità e pari disciplina, per il blocco 279. La porta resta aperta, e la soglia è una sola: la falsificabilità dichiarata per iscritto.</w:t>
      </w:r>
    </w:p>
    <w:p>
      <w:pPr>
        <w:spacing w:after="120" w:line="276"/>
        <w:jc w:val="both"/>
      </w:pPr>
      <w:r>
        <w:rPr>
          <w:rFonts w:ascii="Barlow Semi Condensed" w:cs="Barlow Semi Condensed" w:eastAsia="Barlow Semi Condensed" w:hAnsi="Barlow Semi Condensed"/>
          <w:b/>
          <w:bCs/>
          <w:sz w:val="24"/>
          <w:szCs w:val="24"/>
        </w:rPr>
        <w:t xml:space="preserve">4445 · La moltiplicazione è apparente.</w:t>
      </w:r>
      <w:r>
        <w:rPr>
          <w:rFonts w:ascii="Barlow Semi Condensed" w:cs="Barlow Semi Condensed" w:eastAsia="Barlow Semi Condensed" w:hAnsi="Barlow Semi Condensed"/>
          <w:sz w:val="24"/>
          <w:szCs w:val="24"/>
        </w:rPr>
        <w:t xml:space="preserve"> Risalgono a un unico lancio d'agenzia del 30 novembre 2023 le decine di riprese che riportano la frase in forma pressoché identica. La replicazione non aggiunge valore probatorio: è copia senza informazione nuova. Bersaglio di smentita di questa constatazione: una fonte indipendente anteriore a quella data che riporti la frase per via diversa. Chi la produce sposta il quesito di un grado.</w:t>
      </w:r>
    </w:p>
    <w:p>
      <w:pPr>
        <w:spacing w:after="120" w:line="276"/>
        <w:jc w:val="both"/>
      </w:pPr>
      <w:r>
        <w:rPr>
          <w:rFonts w:ascii="Barlow Semi Condensed" w:cs="Barlow Semi Condensed" w:eastAsia="Barlow Semi Condensed" w:hAnsi="Barlow Semi Condensed"/>
          <w:b/>
          <w:bCs/>
          <w:sz w:val="24"/>
          <w:szCs w:val="24"/>
        </w:rPr>
        <w:t xml:space="preserve">4446 · Lo stemma delle riprese.</w:t>
      </w:r>
      <w:r>
        <w:rPr>
          <w:rFonts w:ascii="Barlow Semi Condensed" w:cs="Barlow Semi Condensed" w:eastAsia="Barlow Semi Condensed" w:hAnsi="Barlow Semi Condensed"/>
          <w:sz w:val="24"/>
          <w:szCs w:val="24"/>
        </w:rPr>
        <w:t xml:space="preserve"> Metodo eseguibile a costo di sola pazienza: raccogliere le riprese, ordinarle per data, cercarvi gli errori condivisi — una segnatura troncata, una data sbagliata identica, una traduzione anomala ripetuta. Gli errori comuni provano la discendenza fra i testi meglio di qualunque somiglianza di contenuto. Il prodotto è uno stemma, e uno stemma con un solo capostipite è la definizione tecnica di pseudoreplica.</w:t>
      </w:r>
    </w:p>
    <w:p>
      <w:pPr>
        <w:spacing w:after="120" w:line="276"/>
        <w:jc w:val="both"/>
      </w:pPr>
      <w:r>
        <w:rPr>
          <w:rFonts w:ascii="Barlow Semi Condensed" w:cs="Barlow Semi Condensed" w:eastAsia="Barlow Semi Condensed" w:hAnsi="Barlow Semi Condensed"/>
          <w:b/>
          <w:bCs/>
          <w:sz w:val="24"/>
          <w:szCs w:val="24"/>
        </w:rPr>
        <w:t xml:space="preserve">4447 · L'errore cercato in casa.</w:t>
      </w:r>
      <w:r>
        <w:rPr>
          <w:rFonts w:ascii="Barlow Semi Condensed" w:cs="Barlow Semi Condensed" w:eastAsia="Barlow Semi Condensed" w:hAnsi="Barlow Semi Condensed"/>
          <w:sz w:val="24"/>
          <w:szCs w:val="24"/>
        </w:rPr>
        <w:t xml:space="preserve"> Anche contro questa triangolazione l'esercizio del blocco 231 si esegue. Gli errori già corretti per nota riguardano il prenome, «Harry» per Henry, e la data dell'anglicizzazione Heinz-Henry, contesa fra il 1938 delle opere di consultazione e il 1942-1943 del fascicolo d'immigrazione. Nessuno dei due tocca il caso Moro, ed è per questo che vanno tenuti: misurano l'affidabilità di chi scrive.</w:t>
      </w:r>
    </w:p>
    <w:p>
      <w:pPr>
        <w:spacing w:after="120" w:line="276"/>
        <w:jc w:val="both"/>
      </w:pPr>
      <w:r>
        <w:rPr>
          <w:rFonts w:ascii="Barlow Semi Condensed" w:cs="Barlow Semi Condensed" w:eastAsia="Barlow Semi Condensed" w:hAnsi="Barlow Semi Condensed"/>
          <w:b/>
          <w:bCs/>
          <w:sz w:val="24"/>
          <w:szCs w:val="24"/>
        </w:rPr>
        <w:t xml:space="preserve">4448 · La divergenza sulla sigla PN-6.</w:t>
      </w:r>
      <w:r>
        <w:rPr>
          <w:rFonts w:ascii="Barlow Semi Condensed" w:cs="Barlow Semi Condensed" w:eastAsia="Barlow Semi Condensed" w:hAnsi="Barlow Semi Condensed"/>
          <w:sz w:val="24"/>
          <w:szCs w:val="24"/>
        </w:rPr>
        <w:t xml:space="preserve"> Accertamento interno da riportare. Il blocco 267 dell'agenda intesta PN-6 al «vaglio negativo» e vi fa coincidere l'intera serie nona; programma-investigativo-caso-moro.md intesta PN-6 a «La sorte del memoriale fra il 1978 e il 1990» e chiama P-10 il vaglio negativo. Il punteggio, 50,5, coincide in entrambi. Due documenti della stessa opera, due nomi per una sigla.</w:t>
      </w:r>
    </w:p>
    <w:p>
      <w:pPr>
        <w:spacing w:after="120" w:line="276"/>
        <w:jc w:val="both"/>
      </w:pPr>
      <w:r>
        <w:rPr>
          <w:rFonts w:ascii="Barlow Semi Condensed" w:cs="Barlow Semi Condensed" w:eastAsia="Barlow Semi Condensed" w:hAnsi="Barlow Semi Condensed"/>
          <w:b/>
          <w:bCs/>
          <w:sz w:val="24"/>
          <w:szCs w:val="24"/>
        </w:rPr>
        <w:t xml:space="preserve">4449 · Perché quella sigla importa qui.</w:t>
      </w:r>
      <w:r>
        <w:rPr>
          <w:rFonts w:ascii="Barlow Semi Condensed" w:cs="Barlow Semi Condensed" w:eastAsia="Barlow Semi Condensed" w:hAnsi="Barlow Semi Condensed"/>
          <w:sz w:val="24"/>
          <w:szCs w:val="24"/>
        </w:rPr>
        <w:t xml:space="preserve"> Altrove la divergenza sarebbe minore; qui pesa, perché la serie nona è per definizione la pista del vaglio negativo, ed è la sede dove si decide che cosa si archivia e con quale criterio. Un lettore che segua la sigla dal blocco 267 al programma arriva alla scheda del memoriale. Correzione per nota, con la data, secondo la revisione annuale del blocco 293.</w:t>
      </w:r>
    </w:p>
    <w:p>
      <w:pPr>
        <w:spacing w:after="120" w:line="276"/>
        <w:jc w:val="both"/>
      </w:pPr>
      <w:r>
        <w:rPr>
          <w:rFonts w:ascii="Barlow Semi Condensed" w:cs="Barlow Semi Condensed" w:eastAsia="Barlow Semi Condensed" w:hAnsi="Barlow Semi Condensed"/>
          <w:b/>
          <w:bCs/>
          <w:sz w:val="24"/>
          <w:szCs w:val="24"/>
        </w:rPr>
        <w:t xml:space="preserve">4450 · Il perimetro esatto di un vuoto.</w:t>
      </w:r>
      <w:r>
        <w:rPr>
          <w:rFonts w:ascii="Barlow Semi Condensed" w:cs="Barlow Semi Condensed" w:eastAsia="Barlow Semi Condensed" w:hAnsi="Barlow Semi Condensed"/>
          <w:sz w:val="24"/>
          <w:szCs w:val="24"/>
        </w:rPr>
        <w:t xml:space="preserve"> Detta il blocco 233 le voci del modulo: che cosa è stato cercato, dove, quando, con quale esito. Per questo nome si compila così — oggetto: atti del 1978 che lo nominino in relazione al caso; sedi: NARA e withdrawal cards, sala di lettura della CIA, biblioteche Ford e Carter; strumento: interrogazione full-text; esito: nessun reperto. Il buco misurato è conoscenza.</w:t>
      </w:r>
    </w:p>
    <w:p>
      <w:pPr>
        <w:spacing w:after="120" w:line="276"/>
        <w:jc w:val="both"/>
      </w:pPr>
      <w:r>
        <w:rPr>
          <w:rFonts w:ascii="Barlow Semi Condensed" w:cs="Barlow Semi Condensed" w:eastAsia="Barlow Semi Condensed" w:hAnsi="Barlow Semi Condensed"/>
          <w:b/>
          <w:bCs/>
          <w:sz w:val="24"/>
          <w:szCs w:val="24"/>
        </w:rPr>
        <w:t xml:space="preserve">4451 · La data di riesame (serie LVIII).</w:t>
      </w:r>
      <w:r>
        <w:rPr>
          <w:rFonts w:ascii="Barlow Semi Condensed" w:cs="Barlow Semi Condensed" w:eastAsia="Barlow Semi Condensed" w:hAnsi="Barlow Semi Condensed"/>
          <w:sz w:val="24"/>
          <w:szCs w:val="24"/>
        </w:rPr>
        <w:t xml:space="preserve"> Datato per costruzione, uno Stato Zero scade. Gli inventari cambiano, le declassifiche maturano, i versamenti si compiono. Il blocco 154 dell'agenda tiene il calendario delle aperture estere, e ogni esito negativo su questo nome vi si aggancia con la propria data di riesame. Un vuoto non riesaminato per vent'anni non è più un dato: è un ricordo, e va trattato come tale.</w:t>
      </w:r>
    </w:p>
    <w:p>
      <w:pPr>
        <w:spacing w:after="120" w:line="276"/>
        <w:jc w:val="both"/>
      </w:pPr>
      <w:r>
        <w:rPr>
          <w:rFonts w:ascii="Barlow Semi Condensed" w:cs="Barlow Semi Condensed" w:eastAsia="Barlow Semi Condensed" w:hAnsi="Barlow Semi Condensed"/>
          <w:b/>
          <w:bCs/>
          <w:sz w:val="24"/>
          <w:szCs w:val="24"/>
        </w:rPr>
        <w:t xml:space="preserve">4452 · Il vuoto pubblicato si abbatte.</w:t>
      </w:r>
      <w:r>
        <w:rPr>
          <w:rFonts w:ascii="Barlow Semi Condensed" w:cs="Barlow Semi Condensed" w:eastAsia="Barlow Semi Condensed" w:hAnsi="Barlow Semi Condensed"/>
          <w:sz w:val="24"/>
          <w:szCs w:val="24"/>
        </w:rPr>
        <w:t xml:space="preserve"> Tenuto per sé, un esito negativo è opinione; pubblicato con perimetro, stringhe e data diventa una proposizione che chiunque può falsificare trovando il documento. È la forma più esposta che una ricerca possa assumere, ed è la ragione per cui vale. Questa serie pubblica i propri vuoti apposta: chi li abbatte non la smentisce per caso, la fa funzionare.</w:t>
      </w:r>
    </w:p>
    <w:p>
      <w:pPr>
        <w:spacing w:after="120" w:line="276"/>
        <w:jc w:val="both"/>
      </w:pPr>
      <w:r>
        <w:rPr>
          <w:rFonts w:ascii="Barlow Semi Condensed" w:cs="Barlow Semi Condensed" w:eastAsia="Barlow Semi Condensed" w:hAnsi="Barlow Semi Condensed"/>
          <w:b/>
          <w:bCs/>
          <w:sz w:val="24"/>
          <w:szCs w:val="24"/>
        </w:rPr>
        <w:t xml:space="preserve">4453 · Il limite dichiarato e la sede.</w:t>
      </w:r>
      <w:r>
        <w:rPr>
          <w:rFonts w:ascii="Barlow Semi Condensed" w:cs="Barlow Semi Condensed" w:eastAsia="Barlow Semi Condensed" w:hAnsi="Barlow Semi Condensed"/>
          <w:sz w:val="24"/>
          <w:szCs w:val="24"/>
        </w:rPr>
        <w:t xml:space="preserve"> L'Apparato K dichiara il limite della propria campagna: non ha potuto leggere i testi primari, né gli stenografici della Commissione d'inchiesta né i verbali d'udienza del processo. È un limite onesto e ha un indirizzo. Le sedi che lo chiudono stanno tutte nella serie terza dell'agenda: Archivio storico del Senato per il fondo Moro 1, atti della Corte d'assise di Roma per il 1982.</w:t>
      </w:r>
    </w:p>
    <w:p>
      <w:pPr>
        <w:spacing w:after="120" w:line="276"/>
        <w:jc w:val="both"/>
      </w:pPr>
      <w:r>
        <w:rPr>
          <w:rFonts w:ascii="Barlow Semi Condensed" w:cs="Barlow Semi Condensed" w:eastAsia="Barlow Semi Condensed" w:hAnsi="Barlow Semi Condensed"/>
          <w:b/>
          <w:bCs/>
          <w:sz w:val="24"/>
          <w:szCs w:val="24"/>
        </w:rPr>
        <w:t xml:space="preserve">4454 · Il fondo Moro 1.</w:t>
      </w:r>
      <w:r>
        <w:rPr>
          <w:rFonts w:ascii="Barlow Semi Condensed" w:cs="Barlow Semi Condensed" w:eastAsia="Barlow Semi Condensed" w:hAnsi="Barlow Semi Condensed"/>
          <w:sz w:val="24"/>
          <w:szCs w:val="24"/>
        </w:rPr>
        <w:t xml:space="preserve"> Punta il blocco 54 il fondo della prima Commissione all'Archivio storico del Senato — legge 23 novembre 1979 n. 597, insediamento 10 gennaio 1980 — e le serie non riprodotte nei volumi a stampa. Lì sta lo stenografico dell'audizione del 1° agosto 1980, che decide la quarta precisazione dell'Apparato K: sede confermata, contenuto verbatim ancora da riscontrare, e i due piani restano distinti.</w:t>
      </w:r>
    </w:p>
    <w:p>
      <w:pPr>
        <w:spacing w:after="120" w:line="276"/>
        <w:jc w:val="both"/>
      </w:pPr>
      <w:r>
        <w:rPr>
          <w:rFonts w:ascii="Barlow Semi Condensed" w:cs="Barlow Semi Condensed" w:eastAsia="Barlow Semi Condensed" w:hAnsi="Barlow Semi Condensed"/>
          <w:b/>
          <w:bCs/>
          <w:sz w:val="24"/>
          <w:szCs w:val="24"/>
        </w:rPr>
        <w:t xml:space="preserve">4455 · Centotrenta volumi e una frase.</w:t>
      </w:r>
      <w:r>
        <w:rPr>
          <w:rFonts w:ascii="Barlow Semi Condensed" w:cs="Barlow Semi Condensed" w:eastAsia="Barlow Semi Condensed" w:hAnsi="Barlow Semi Condensed"/>
          <w:sz w:val="24"/>
          <w:szCs w:val="24"/>
        </w:rPr>
        <w:t xml:space="preserve"> Chiede il blocco 55 la verifica della digitalizzazione integrale dei circa centotrenta volumi a stampa della Moro 1. Bersaglio derivato e minuto: la ricerca testuale della frase attribuita dentro quell'edizione. Se vi compare, la sede parlamentare acquista il contenuto; se non vi compare, resta acquisito che il verbatim appartiene alla deposizione giudiziaria del 1982 e non all'audizione del 1980.</w:t>
      </w:r>
    </w:p>
    <w:p>
      <w:pPr>
        <w:spacing w:after="120" w:line="276"/>
        <w:jc w:val="both"/>
      </w:pPr>
      <w:r>
        <w:rPr>
          <w:rFonts w:ascii="Barlow Semi Condensed" w:cs="Barlow Semi Condensed" w:eastAsia="Barlow Semi Condensed" w:hAnsi="Barlow Semi Condensed"/>
          <w:b/>
          <w:bCs/>
          <w:sz w:val="24"/>
          <w:szCs w:val="24"/>
        </w:rPr>
        <w:t xml:space="preserve">4456 · Il verbale d'udienza del 1982 (serie LVIII).</w:t>
      </w:r>
      <w:r>
        <w:rPr>
          <w:rFonts w:ascii="Barlow Semi Condensed" w:cs="Barlow Semi Condensed" w:eastAsia="Barlow Semi Condensed" w:hAnsi="Barlow Semi Condensed"/>
          <w:sz w:val="24"/>
          <w:szCs w:val="24"/>
        </w:rPr>
        <w:t xml:space="preserve"> Bersaglio giudiziario esplicito: il verbale d'udienza integrale della deposizione resa alla Corte d'assise di Roma nel novembre 1982, presso gli atti della corte e nella digitalizzazione dei cinque processi coordinata dall'Archivio di Stato di Roma. Scioglie anche la divergenza sul giorno — il 10 secondo la datazione più ricorrente, il 15 secondo una fonte — che finora nessuno ha risolto su carta.</w:t>
      </w:r>
    </w:p>
    <w:p>
      <w:pPr>
        <w:spacing w:after="120" w:line="276"/>
        <w:jc w:val="both"/>
      </w:pPr>
      <w:r>
        <w:rPr>
          <w:rFonts w:ascii="Barlow Semi Condensed" w:cs="Barlow Semi Condensed" w:eastAsia="Barlow Semi Condensed" w:hAnsi="Barlow Semi Condensed"/>
          <w:b/>
          <w:bCs/>
          <w:sz w:val="24"/>
          <w:szCs w:val="24"/>
        </w:rPr>
        <w:t xml:space="preserve">4457 · L'indice del segreto, letto (serie LVIII).</w:t>
      </w:r>
      <w:r>
        <w:rPr>
          <w:rFonts w:ascii="Barlow Semi Condensed" w:cs="Barlow Semi Condensed" w:eastAsia="Barlow Semi Condensed" w:hAnsi="Barlow Semi Condensed"/>
          <w:sz w:val="24"/>
          <w:szCs w:val="24"/>
        </w:rPr>
        <w:t xml:space="preserve"> Gli indici delle audizioni segretate sono pubblici anche dove i testi non lo sono, e il blocco 64 ne trae la conseguenza: l'indice del segreto è già conoscenza. Bersaglio: verificare se in quegli indici, nelle tre commissioni, compaia una seduta sul versante americano degli anni 1974-1977. La presenza di una voce, anche muta, direbbe che qualcuno ritenne che ci fosse qualcosa da proteggere.</w:t>
      </w:r>
    </w:p>
    <w:p>
      <w:pPr>
        <w:spacing w:after="120" w:line="276"/>
        <w:jc w:val="both"/>
      </w:pPr>
      <w:r>
        <w:rPr>
          <w:rFonts w:ascii="Barlow Semi Condensed" w:cs="Barlow Semi Condensed" w:eastAsia="Barlow Semi Condensed" w:hAnsi="Barlow Semi Condensed"/>
          <w:b/>
          <w:bCs/>
          <w:sz w:val="24"/>
          <w:szCs w:val="24"/>
        </w:rPr>
        <w:t xml:space="preserve">4458 · La stessa domanda, tre volte.</w:t>
      </w:r>
      <w:r>
        <w:rPr>
          <w:rFonts w:ascii="Barlow Semi Condensed" w:cs="Barlow Semi Condensed" w:eastAsia="Barlow Semi Condensed" w:hAnsi="Barlow Semi Condensed"/>
          <w:sz w:val="24"/>
          <w:szCs w:val="24"/>
        </w:rPr>
        <w:t xml:space="preserve"> Collazione, secondo il blocco 65: che cosa risposero negli anni la Moro 1, la Commissione Stragi e la Moro 2 a ciascun quesito costitutivo. Applicata al versante internazionale produce una tavola a tre colonne — convergenze, divergenze, risposte mancanti. Ogni divergenza non spiegata diventa un bersaglio nuovo, e ogni casella vuota è uno Stato Zero istituzionale, con data e legislatura.</w:t>
      </w:r>
    </w:p>
    <w:p>
      <w:pPr>
        <w:spacing w:after="120" w:line="276"/>
        <w:jc w:val="both"/>
      </w:pPr>
      <w:r>
        <w:rPr>
          <w:rFonts w:ascii="Barlow Semi Condensed" w:cs="Barlow Semi Condensed" w:eastAsia="Barlow Semi Condensed" w:hAnsi="Barlow Semi Condensed"/>
          <w:b/>
          <w:bCs/>
          <w:sz w:val="24"/>
          <w:szCs w:val="24"/>
        </w:rPr>
        <w:t xml:space="preserve">4459 · La relazione conclusiva da spogliare.</w:t>
      </w:r>
      <w:r>
        <w:rPr>
          <w:rFonts w:ascii="Barlow Semi Condensed" w:cs="Barlow Semi Condensed" w:eastAsia="Barlow Semi Condensed" w:hAnsi="Barlow Semi Condensed"/>
          <w:sz w:val="24"/>
          <w:szCs w:val="24"/>
        </w:rPr>
        <w:t xml:space="preserve"> Va spogliata anche per il versante atlantico la relazione conclusiva della Moro 2, il Doc. XXIII n. 29 del 6 dicembre 2017 che la verifica V-5 richiama per il canale vaticano: che cosa accerta, che cosa dichiara aperto, quali fonti cita. Se l'episodio del 1974 non vi compare, l'assenza dalla più recente inchiesta parlamentare è un dato datato e citabile.</w:t>
      </w:r>
    </w:p>
    <w:p>
      <w:pPr>
        <w:spacing w:after="120" w:line="276"/>
        <w:jc w:val="both"/>
      </w:pPr>
      <w:r>
        <w:rPr>
          <w:rFonts w:ascii="Barlow Semi Condensed" w:cs="Barlow Semi Condensed" w:eastAsia="Barlow Semi Condensed" w:hAnsi="Barlow Semi Condensed"/>
          <w:b/>
          <w:bCs/>
          <w:sz w:val="24"/>
          <w:szCs w:val="24"/>
        </w:rPr>
        <w:t xml:space="preserve">4460 · Una richiesta informale del 1983.</w:t>
      </w:r>
      <w:r>
        <w:rPr>
          <w:rFonts w:ascii="Barlow Semi Condensed" w:cs="Barlow Semi Condensed" w:eastAsia="Barlow Semi Condensed" w:hAnsi="Barlow Semi Condensed"/>
          <w:sz w:val="24"/>
          <w:szCs w:val="24"/>
        </w:rPr>
        <w:t xml:space="preserve"> È accertato che Kissinger non fu mai sentito dai magistrati italiani e che la richiesta informale del 1983 non ebbe seguito. Il bersaglio trasforma la notizia in atto: quale ufficio la formulò, in quale forma, con quale protocollo, e che cosa la fermò. Sedi: fascicoli delle istruttorie romane, carteggi del Ministero della Giustizia, e il raccordo commissioni-procure del blocco 69.</w:t>
      </w:r>
    </w:p>
    <w:p>
      <w:pPr>
        <w:spacing w:after="120" w:line="276"/>
        <w:jc w:val="both"/>
      </w:pPr>
      <w:r>
        <w:rPr>
          <w:rFonts w:ascii="Barlow Semi Condensed" w:cs="Barlow Semi Condensed" w:eastAsia="Barlow Semi Condensed" w:hAnsi="Barlow Semi Condensed"/>
          <w:b/>
          <w:bCs/>
          <w:sz w:val="24"/>
          <w:szCs w:val="24"/>
        </w:rPr>
        <w:t xml:space="preserve">4461 · Il come, mai il giudicato.</w:t>
      </w:r>
      <w:r>
        <w:rPr>
          <w:rFonts w:ascii="Barlow Semi Condensed" w:cs="Barlow Semi Condensed" w:eastAsia="Barlow Semi Condensed" w:hAnsi="Barlow Semi Condensed"/>
          <w:sz w:val="24"/>
          <w:szCs w:val="24"/>
        </w:rPr>
        <w:t xml:space="preserve"> Consente il blocco 114 di chiedere ai magistrati dell'epoca il come delle decisioni documentate, mai la revisione del giudicato. Domanda ammissibile e delimitata: perché una richiesta rogatoriale su quel punto non fu formalizzata, quali vincoli la scoraggiarono, chi ne fu informato. La risposta illumina gli atti e non li sostituisce, e non produce alcuna qualificazione a carico di alcuno.</w:t>
      </w:r>
    </w:p>
    <w:p>
      <w:pPr>
        <w:spacing w:after="120" w:line="276"/>
        <w:jc w:val="both"/>
      </w:pPr>
      <w:r>
        <w:rPr>
          <w:rFonts w:ascii="Barlow Semi Condensed" w:cs="Barlow Semi Condensed" w:eastAsia="Barlow Semi Condensed" w:hAnsi="Barlow Semi Condensed"/>
          <w:b/>
          <w:bCs/>
          <w:sz w:val="24"/>
          <w:szCs w:val="24"/>
        </w:rPr>
        <w:t xml:space="preserve">4462 · Il consulente nel comitato di crisi (serie LVIII).</w:t>
      </w:r>
      <w:r>
        <w:rPr>
          <w:rFonts w:ascii="Barlow Semi Condensed" w:cs="Barlow Semi Condensed" w:eastAsia="Barlow Semi Condensed" w:hAnsi="Barlow Semi Condensed"/>
          <w:sz w:val="24"/>
          <w:szCs w:val="24"/>
        </w:rPr>
        <w:t xml:space="preserve"> Siede nel comitato di crisi del 1978, documentato dal corpus, un consulente statunitense inviato ad affiancare il ministro dell'Interno: altra persona, altra amministrazione, altro anno. Il blocco 227 cerca i verbali che mostrino i comitati del Viminale funzionare ordinariamente, e far scivolare questo nome in quel posto è l'errore che la scheda PE-1 vieta per iscritto, insieme a ogni inferenza da appartenenza.</w:t>
      </w:r>
    </w:p>
    <w:p>
      <w:pPr>
        <w:spacing w:after="120" w:line="276"/>
        <w:jc w:val="both"/>
      </w:pPr>
      <w:r>
        <w:rPr>
          <w:rFonts w:ascii="Barlow Semi Condensed" w:cs="Barlow Semi Condensed" w:eastAsia="Barlow Semi Condensed" w:hAnsi="Barlow Semi Condensed"/>
          <w:b/>
          <w:bCs/>
          <w:sz w:val="24"/>
          <w:szCs w:val="24"/>
        </w:rPr>
        <w:t xml:space="preserve">4463 · Balistica non è provenienza.</w:t>
      </w:r>
      <w:r>
        <w:rPr>
          <w:rFonts w:ascii="Barlow Semi Condensed" w:cs="Barlow Semi Condensed" w:eastAsia="Barlow Semi Condensed" w:hAnsi="Barlow Semi Condensed"/>
          <w:sz w:val="24"/>
          <w:szCs w:val="24"/>
        </w:rPr>
        <w:t xml:space="preserve"> Riattribuzione dei quarantanove colpi, non storia della loro fornitura: è ciò che il blocco 211 chiede. La perizia del Servizio Polizia scientifica illustrata alla Moro 2 il 10 giugno 2015 confermò sostanzialmente l'attribuzione a un'arma sola. Chi volesse leggere quell'arma come indizio di fornitura estera deve produrre un documento di provenienza: dalla somiglianza tecnica non si deduce l'antenato comune.</w:t>
      </w:r>
    </w:p>
    <w:p>
      <w:pPr>
        <w:spacing w:after="120" w:line="276"/>
        <w:jc w:val="both"/>
      </w:pPr>
      <w:r>
        <w:rPr>
          <w:rFonts w:ascii="Barlow Semi Condensed" w:cs="Barlow Semi Condensed" w:eastAsia="Barlow Semi Condensed" w:hAnsi="Barlow Semi Condensed"/>
          <w:b/>
          <w:bCs/>
          <w:sz w:val="24"/>
          <w:szCs w:val="24"/>
        </w:rPr>
        <w:t xml:space="preserve">4464 · Targhe, denunce, verbali romani.</w:t>
      </w:r>
      <w:r>
        <w:rPr>
          <w:rFonts w:ascii="Barlow Semi Condensed" w:cs="Barlow Semi Condensed" w:eastAsia="Barlow Semi Condensed" w:hAnsi="Barlow Semi Condensed"/>
          <w:sz w:val="24"/>
          <w:szCs w:val="24"/>
        </w:rPr>
        <w:t xml:space="preserve"> Targhe, denunce di furto, verbali di identificazione del 16 marzo e dei giorni seguenti, con l'anagrafe motociclistica romana del blocco 80: è il giacimento del blocco 212, interamente italiano e amministrativo. Un motociclista estraneo identificato con documento chiude la pista meglio di dieci congetture. Nessun nome straniero figura fra gli esiti attesi, e il blocco 289 vieta per statuto i nomi come esiti attesi.</w:t>
      </w:r>
    </w:p>
    <w:p>
      <w:pPr>
        <w:spacing w:after="120" w:line="276"/>
        <w:jc w:val="both"/>
      </w:pPr>
      <w:r>
        <w:rPr>
          <w:rFonts w:ascii="Barlow Semi Condensed" w:cs="Barlow Semi Condensed" w:eastAsia="Barlow Semi Condensed" w:hAnsi="Barlow Semi Condensed"/>
          <w:b/>
          <w:bCs/>
          <w:sz w:val="24"/>
          <w:szCs w:val="24"/>
        </w:rPr>
        <w:t xml:space="preserve">4465 · La parola uscita dalla seduta.</w:t>
      </w:r>
      <w:r>
        <w:rPr>
          <w:rFonts w:ascii="Barlow Semi Condensed" w:cs="Barlow Semi Condensed" w:eastAsia="Barlow Semi Condensed" w:hAnsi="Barlow Semi Condensed"/>
          <w:sz w:val="24"/>
          <w:szCs w:val="24"/>
        </w:rPr>
        <w:t xml:space="preserve"> Come la parola «Gradoli» uscì dalla seduta del 2 aprile 1978 è il bersaglio del blocco 213, e la catena documentale del blocco 251 va da quella parola alla perquisizione del paese sbagliato senza attraversare alcuna sede estera. Una variante internazionale di quella genesi non ha oggi alcun documento primario: si registra come Stato Zero, e la sede che lo chiuderebbe è italiana.</w:t>
      </w:r>
    </w:p>
    <w:p>
      <w:pPr>
        <w:spacing w:after="120" w:line="276"/>
        <w:jc w:val="both"/>
      </w:pPr>
      <w:r>
        <w:rPr>
          <w:rFonts w:ascii="Barlow Semi Condensed" w:cs="Barlow Semi Condensed" w:eastAsia="Barlow Semi Condensed" w:hAnsi="Barlow Semi Condensed"/>
          <w:b/>
          <w:bCs/>
          <w:sz w:val="24"/>
          <w:szCs w:val="24"/>
        </w:rPr>
        <w:t xml:space="preserve">4466 · Cercare anche ciò che scagiona.</w:t>
      </w:r>
      <w:r>
        <w:rPr>
          <w:rFonts w:ascii="Barlow Semi Condensed" w:cs="Barlow Semi Condensed" w:eastAsia="Barlow Semi Condensed" w:hAnsi="Barlow Semi Condensed"/>
          <w:sz w:val="24"/>
          <w:szCs w:val="24"/>
        </w:rPr>
        <w:t xml:space="preserve"> Dichiara qualcosa che vale oltre il proprio oggetto il blocco 214: l'agenda cerca anche ciò che scagiona gli uffici, e la negligenza documentata resta negligenza. Il dovere è simmetrico verso le persone. Applicato qui obbliga a cercare con la stessa energia le carte che escludono un ruolo di questo nome, e a scriverle quando si trovano, non solo quando confermano.</w:t>
      </w:r>
    </w:p>
    <w:p>
      <w:pPr>
        <w:spacing w:after="120" w:line="276"/>
        <w:jc w:val="both"/>
      </w:pPr>
      <w:r>
        <w:rPr>
          <w:rFonts w:ascii="Barlow Semi Condensed" w:cs="Barlow Semi Condensed" w:eastAsia="Barlow Semi Condensed" w:hAnsi="Barlow Semi Condensed"/>
          <w:b/>
          <w:bCs/>
          <w:sz w:val="24"/>
          <w:szCs w:val="24"/>
        </w:rPr>
        <w:t xml:space="preserve">4467 · Pollini che perimetrano luoghi.</w:t>
      </w:r>
      <w:r>
        <w:rPr>
          <w:rFonts w:ascii="Barlow Semi Condensed" w:cs="Barlow Semi Condensed" w:eastAsia="Barlow Semi Condensed" w:hAnsi="Barlow Semi Condensed"/>
          <w:sz w:val="24"/>
          <w:szCs w:val="24"/>
        </w:rPr>
        <w:t xml:space="preserve"> Pollini, sabbie, fibre e rumori testimoniati: su questi lavora il blocco 215, con la perizia geologico-botanica Lombardi-Giacomini del 1978 come base e i suoi taxa come coordinate. Quelle analisi perimetrano luoghi, non catene di comando. Nessun esito palinologico o granulometrico può confermare o smentire un nesso internazionale, e presentarlo come tale sarebbe un abuso di reperto.</w:t>
      </w:r>
    </w:p>
    <w:p>
      <w:pPr>
        <w:spacing w:after="120" w:line="276"/>
        <w:jc w:val="both"/>
      </w:pPr>
      <w:r>
        <w:rPr>
          <w:rFonts w:ascii="Barlow Semi Condensed" w:cs="Barlow Semi Condensed" w:eastAsia="Barlow Semi Condensed" w:hAnsi="Barlow Semi Condensed"/>
          <w:b/>
          <w:bCs/>
          <w:sz w:val="24"/>
          <w:szCs w:val="24"/>
        </w:rPr>
        <w:t xml:space="preserve">4468 · La distribuzione decide, non il nome.</w:t>
      </w:r>
      <w:r>
        <w:rPr>
          <w:rFonts w:ascii="Barlow Semi Condensed" w:cs="Barlow Semi Condensed" w:eastAsia="Barlow Semi Condensed" w:hAnsi="Barlow Semi Condensed"/>
          <w:sz w:val="24"/>
          <w:szCs w:val="24"/>
        </w:rPr>
        <w:t xml:space="preserve"> Esperimento statistico, il blocco 216: la colonna d'ingresso ricostruita contro l'output documentato — 72.460 posti di blocco, 37.702 perquisizioni. La scheda PE-6 ne fissa le due ipotesi, diluvio o filtro sistematico, e l'evidenza discriminante, che è la distribuzione delle interruzioni per segmento. Nessuna cella di quella tavola può contenere un uomo di governo straniero: il test è interamente domestico.</w:t>
      </w:r>
    </w:p>
    <w:p>
      <w:pPr>
        <w:spacing w:after="120" w:line="276"/>
        <w:jc w:val="both"/>
      </w:pPr>
      <w:r>
        <w:rPr>
          <w:rFonts w:ascii="Barlow Semi Condensed" w:cs="Barlow Semi Condensed" w:eastAsia="Barlow Semi Condensed" w:hAnsi="Barlow Semi Condensed"/>
          <w:b/>
          <w:bCs/>
          <w:sz w:val="24"/>
          <w:szCs w:val="24"/>
        </w:rPr>
        <w:t xml:space="preserve">4469 · Anteriore non spiega, come posteriore.</w:t>
      </w:r>
      <w:r>
        <w:rPr>
          <w:rFonts w:ascii="Barlow Semi Condensed" w:cs="Barlow Semi Condensed" w:eastAsia="Barlow Semi Condensed" w:hAnsi="Barlow Semi Condensed"/>
          <w:sz w:val="24"/>
          <w:szCs w:val="24"/>
        </w:rPr>
        <w:t xml:space="preserve"> Scolpisce il blocco 217 una regola che questa serie prende in prestito: ciò che è posteriore al 1978 non spiega il 1975-1978, in nessuna direzione. La simmetria vale all'indietro. Una posizione politica espressa nel settembre 1974 non spiega da sola un fatto del marzo 1978: fra i due estremi occorrono archi, e gli archi sono carte con segnatura.</w:t>
      </w:r>
    </w:p>
    <w:p>
      <w:pPr>
        <w:spacing w:after="120" w:line="276"/>
        <w:jc w:val="both"/>
      </w:pPr>
      <w:r>
        <w:rPr>
          <w:rFonts w:ascii="Barlow Semi Condensed" w:cs="Barlow Semi Condensed" w:eastAsia="Barlow Semi Condensed" w:hAnsi="Barlow Semi Condensed"/>
          <w:b/>
          <w:bCs/>
          <w:sz w:val="24"/>
          <w:szCs w:val="24"/>
        </w:rPr>
        <w:t xml:space="preserve">4470 · Il denaro e il finanziatore accertato.</w:t>
      </w:r>
      <w:r>
        <w:rPr>
          <w:rFonts w:ascii="Barlow Semi Condensed" w:cs="Barlow Semi Condensed" w:eastAsia="Barlow Semi Condensed" w:hAnsi="Barlow Semi Condensed"/>
          <w:sz w:val="24"/>
          <w:szCs w:val="24"/>
        </w:rPr>
        <w:t xml:space="preserve"> Cerca il blocco 218 la contabilità che chiuda ordinariamente la vicenda del fondo raccolto nei 55 giorni. Il versante estero accertato di quella provvista, secondo la relazione conclusiva della Moro 2, porta a un finanziatore israeliano, non a questo nome. Restano bersaglio i registri bancari del blocco 258; e sull'altro nome l'esito è Stato Zero, dichiarato con la sua sede.</w:t>
      </w:r>
    </w:p>
    <w:p>
      <w:pPr>
        <w:spacing w:after="120" w:line="276"/>
        <w:jc w:val="both"/>
      </w:pPr>
      <w:r>
        <w:rPr>
          <w:rFonts w:ascii="Barlow Semi Condensed" w:cs="Barlow Semi Condensed" w:eastAsia="Barlow Semi Condensed" w:hAnsi="Barlow Semi Condensed"/>
          <w:b/>
          <w:bCs/>
          <w:sz w:val="24"/>
          <w:szCs w:val="24"/>
        </w:rPr>
        <w:t xml:space="preserve">4471 · Un parere tutto italiano.</w:t>
      </w:r>
      <w:r>
        <w:rPr>
          <w:rFonts w:ascii="Barlow Semi Condensed" w:cs="Barlow Semi Condensed" w:eastAsia="Barlow Semi Condensed" w:hAnsi="Barlow Semi Condensed"/>
          <w:sz w:val="24"/>
          <w:szCs w:val="24"/>
        </w:rPr>
        <w:t xml:space="preserve"> Atto italiano, prodotto da uffici italiani in giorni italiani: il parere tecnico integrale che fondò la qualificazione di inattendibilità delle lettere, bersaglio del blocco 219. O il suo fascicolo esiste, o la sua assenza è il dato documentale. Nessuna carta straniera è attesa in quel bersaglio, e attendervela sposterebbe la ricerca dalla sede in cui può riuscire.</w:t>
      </w:r>
    </w:p>
    <w:p>
      <w:pPr>
        <w:spacing w:after="120" w:line="276"/>
        <w:jc w:val="both"/>
      </w:pPr>
      <w:r>
        <w:rPr>
          <w:rFonts w:ascii="Barlow Semi Condensed" w:cs="Barlow Semi Condensed" w:eastAsia="Barlow Semi Condensed" w:hAnsi="Barlow Semi Condensed"/>
          <w:b/>
          <w:bCs/>
          <w:sz w:val="24"/>
          <w:szCs w:val="24"/>
        </w:rPr>
        <w:t xml:space="preserve">4472 · Una stringa nel memoriale.</w:t>
      </w:r>
      <w:r>
        <w:rPr>
          <w:rFonts w:ascii="Barlow Semi Condensed" w:cs="Barlow Semi Condensed" w:eastAsia="Barlow Semi Condensed" w:hAnsi="Barlow Semi Condensed"/>
          <w:sz w:val="24"/>
          <w:szCs w:val="24"/>
        </w:rPr>
        <w:t xml:space="preserve"> Misura documentata di quanto manca: così il blocco 220 formula il proprio bersaglio, che non è il memoriale nascosto. Ne discende una ricerca testuale legittima: se nei materiali di via Monte Nevoso — i dattiloscritti del 1978, i 421 fogli in fotocopia del 1990 — compaia un riferimento alla trasferta americana del settembre 1974. Un riscontro sarebbe fonte italiana primaria; l'assenza si verbalizza.</w:t>
      </w:r>
    </w:p>
    <w:p>
      <w:pPr>
        <w:spacing w:after="120" w:line="276"/>
        <w:jc w:val="both"/>
      </w:pPr>
      <w:r>
        <w:rPr>
          <w:rFonts w:ascii="Barlow Semi Condensed" w:cs="Barlow Semi Condensed" w:eastAsia="Barlow Semi Condensed" w:hAnsi="Barlow Semi Condensed"/>
          <w:b/>
          <w:bCs/>
          <w:sz w:val="24"/>
          <w:szCs w:val="24"/>
        </w:rPr>
        <w:t xml:space="preserve">4473 · L'edizione critica come strumento.</w:t>
      </w:r>
      <w:r>
        <w:rPr>
          <w:rFonts w:ascii="Barlow Semi Condensed" w:cs="Barlow Semi Condensed" w:eastAsia="Barlow Semi Condensed" w:hAnsi="Barlow Semi Condensed"/>
          <w:sz w:val="24"/>
          <w:szCs w:val="24"/>
        </w:rPr>
        <w:t xml:space="preserve"> Il riscontro precedente non si affida alla memoria dei lettori: si esegue sull'edizione critica dei materiali presentata all'Archivio di Stato di Roma nel 2020 e sulle curatele esistenti, con stringhe scritte prima dell'interrogazione. La verifica V-8 dell'agenda ha già accertato che nessuno studio stilometrico quantitativo esiste sul memoriale: anche la ricerca lessicale, qui, è terreno inedito.</w:t>
      </w:r>
    </w:p>
    <w:p>
      <w:pPr>
        <w:spacing w:after="120" w:line="276"/>
        <w:jc w:val="both"/>
      </w:pPr>
      <w:r>
        <w:rPr>
          <w:rFonts w:ascii="Barlow Semi Condensed" w:cs="Barlow Semi Condensed" w:eastAsia="Barlow Semi Condensed" w:hAnsi="Barlow Semi Condensed"/>
          <w:b/>
          <w:bCs/>
          <w:sz w:val="24"/>
          <w:szCs w:val="24"/>
        </w:rPr>
        <w:t xml:space="preserve">4474 · La mano del falso comunicato.</w:t>
      </w:r>
      <w:r>
        <w:rPr>
          <w:rFonts w:ascii="Barlow Semi Condensed" w:cs="Barlow Semi Condensed" w:eastAsia="Barlow Semi Condensed" w:hAnsi="Barlow Semi Condensed"/>
          <w:sz w:val="24"/>
          <w:szCs w:val="24"/>
        </w:rPr>
        <w:t xml:space="preserve"> Genesi solitaria da smentire: il blocco 223 chiede commissioni, contatti e conoscenze anticipate documentate per il comunicato del Lago della Duchessa del 18 aprile 1978. L'attribuzione materiale ad Antonio Chichiarelli è istruttoria e peritale, mai giudicata, essendo egli stato ucciso nel settembre 1984 prima di ogni contestazione formale. Nel fascicolo integrale non è attestata alcuna mano straniera, e l'assenza si dichiara.</w:t>
      </w:r>
    </w:p>
    <w:p>
      <w:pPr>
        <w:spacing w:after="120" w:line="276"/>
        <w:jc w:val="both"/>
      </w:pPr>
      <w:r>
        <w:rPr>
          <w:rFonts w:ascii="Barlow Semi Condensed" w:cs="Barlow Semi Condensed" w:eastAsia="Barlow Semi Condensed" w:hAnsi="Barlow Semi Condensed"/>
          <w:b/>
          <w:bCs/>
          <w:sz w:val="24"/>
          <w:szCs w:val="24"/>
        </w:rPr>
        <w:t xml:space="preserve">4475 · Un caricatore mai comparato.</w:t>
      </w:r>
      <w:r>
        <w:rPr>
          <w:rFonts w:ascii="Barlow Semi Condensed" w:cs="Barlow Semi Condensed" w:eastAsia="Barlow Semi Condensed" w:hAnsi="Barlow Semi Condensed"/>
          <w:sz w:val="24"/>
          <w:szCs w:val="24"/>
        </w:rPr>
        <w:t xml:space="preserve"> Due esiti e nessun terzo per il blocco 226: attribuzione ordinaria a un'arma dei condannati, che chiude il reperto, oppure inattribuibilità documentata, che lo mantiene fra le evidenze delle presenze non giudicate. In entrambi i rami il quesito resta dentro il perimetro italiano dei reperti. Che il caricatore di via Stresa non sia mai stato comparato è il fatto verificato dall'apparato V-7.</w:t>
      </w:r>
    </w:p>
    <w:p>
      <w:pPr>
        <w:spacing w:after="120" w:line="276"/>
        <w:jc w:val="both"/>
      </w:pPr>
      <w:r>
        <w:rPr>
          <w:rFonts w:ascii="Barlow Semi Condensed" w:cs="Barlow Semi Condensed" w:eastAsia="Barlow Semi Condensed" w:hAnsi="Barlow Semi Condensed"/>
          <w:b/>
          <w:bCs/>
          <w:sz w:val="24"/>
          <w:szCs w:val="24"/>
        </w:rPr>
        <w:t xml:space="preserve">4476 · L'omissione come fatto amministrativo.</w:t>
      </w:r>
      <w:r>
        <w:rPr>
          <w:rFonts w:ascii="Barlow Semi Condensed" w:cs="Barlow Semi Condensed" w:eastAsia="Barlow Semi Condensed" w:hAnsi="Barlow Semi Condensed"/>
          <w:sz w:val="24"/>
          <w:szCs w:val="24"/>
        </w:rPr>
        <w:t xml:space="preserve"> Osservazione UCIGOS su via Montalcini 8 fra l'estate e l'ottobre 1978, non riferita alla magistratura per due anni: il blocco 229 cerca l'atto che la giustificherebbe. Trovato spiega; assente lascia l'omissione come fatto amministrativo accertato. È il campione più grave della scheda PE-6 e riguarda la trasmissione all'autorità giudiziaria, cioè un segmento interno, senza alcun terminale estero.</w:t>
      </w:r>
    </w:p>
    <w:p>
      <w:pPr>
        <w:spacing w:after="120" w:line="276"/>
        <w:jc w:val="both"/>
      </w:pPr>
      <w:r>
        <w:rPr>
          <w:rFonts w:ascii="Barlow Semi Condensed" w:cs="Barlow Semi Condensed" w:eastAsia="Barlow Semi Condensed" w:hAnsi="Barlow Semi Condensed"/>
          <w:b/>
          <w:bCs/>
          <w:sz w:val="24"/>
          <w:szCs w:val="24"/>
        </w:rPr>
        <w:t xml:space="preserve">4477 · La metà dell'igiene del caso.</w:t>
      </w:r>
      <w:r>
        <w:rPr>
          <w:rFonts w:ascii="Barlow Semi Condensed" w:cs="Barlow Semi Condensed" w:eastAsia="Barlow Semi Condensed" w:hAnsi="Barlow Semi Condensed"/>
          <w:sz w:val="24"/>
          <w:szCs w:val="24"/>
        </w:rPr>
        <w:t xml:space="preserve"> Metà dell'igiene del caso: così il blocco 267 chiama il prodotto della serie nona, il registro delle smentite, facendo coincidere quella serie con l'intera pista del vaglio negativo. Su questo nome il rendimento è quasi interamente negativo, e va detto senza imbarazzo. Un blocco che dichiara bene un'assenza vale più di un blocco che suggerisce una presenza.</w:t>
      </w:r>
    </w:p>
    <w:p>
      <w:pPr>
        <w:spacing w:after="120" w:line="276"/>
        <w:jc w:val="both"/>
      </w:pPr>
      <w:r>
        <w:rPr>
          <w:rFonts w:ascii="Barlow Semi Condensed" w:cs="Barlow Semi Condensed" w:eastAsia="Barlow Semi Condensed" w:hAnsi="Barlow Semi Condensed"/>
          <w:b/>
          <w:bCs/>
          <w:sz w:val="24"/>
          <w:szCs w:val="24"/>
        </w:rPr>
        <w:t xml:space="preserve">4478 · Insiemi da contare, non nomi.</w:t>
      </w:r>
      <w:r>
        <w:rPr>
          <w:rFonts w:ascii="Barlow Semi Condensed" w:cs="Barlow Semi Condensed" w:eastAsia="Barlow Semi Condensed" w:hAnsi="Barlow Semi Condensed"/>
          <w:sz w:val="24"/>
          <w:szCs w:val="24"/>
        </w:rPr>
        <w:t xml:space="preserve"> Insiemi da contare, non ipotesi da discriminare: così il raccordo di PE-5, blocco 272, descrive la pista degli alleati — quanto è libero, quanto è trattenuto, quanto è di origine alleata custodito in Italia. Un nome non è un insieme e non entra in quelle colonne. La tavola chiude la pista qualunque cosa contenga, ed è per questo che è stata scritta così.</w:t>
      </w:r>
    </w:p>
    <w:p>
      <w:pPr>
        <w:spacing w:after="120" w:line="276"/>
        <w:jc w:val="both"/>
      </w:pPr>
      <w:r>
        <w:rPr>
          <w:rFonts w:ascii="Barlow Semi Condensed" w:cs="Barlow Semi Condensed" w:eastAsia="Barlow Semi Condensed" w:hAnsi="Barlow Semi Condensed"/>
          <w:b/>
          <w:bCs/>
          <w:sz w:val="24"/>
          <w:szCs w:val="24"/>
        </w:rPr>
        <w:t xml:space="preserve">4479 · Lo stato terminale dei bersagli.</w:t>
      </w:r>
      <w:r>
        <w:rPr>
          <w:rFonts w:ascii="Barlow Semi Condensed" w:cs="Barlow Semi Condensed" w:eastAsia="Barlow Semi Condensed" w:hAnsi="Barlow Semi Condensed"/>
          <w:sz w:val="24"/>
          <w:szCs w:val="24"/>
        </w:rPr>
        <w:t xml:space="preserve"> Eseguita si dirà l'agenda quando ogni bersaglio avrà uno stato terminale documentato: colpito, a vuoto, o chiuso per smentita. Per i bersagli di questa serie lo stato prevedibile è «a vuoto verbalizzato», e non è un fallimento. La completezza dell'agenda è la completezza dei suoi stati, non delle sue risposte: le risposte non si promettono, gli stati sì.</w:t>
      </w:r>
    </w:p>
    <w:p>
      <w:pPr>
        <w:spacing w:after="120" w:line="276"/>
        <w:jc w:val="both"/>
      </w:pPr>
      <w:r>
        <w:rPr>
          <w:rFonts w:ascii="Barlow Semi Condensed" w:cs="Barlow Semi Condensed" w:eastAsia="Barlow Semi Condensed" w:hAnsi="Barlow Semi Condensed"/>
          <w:b/>
          <w:bCs/>
          <w:sz w:val="24"/>
          <w:szCs w:val="24"/>
        </w:rPr>
        <w:t xml:space="preserve">4480 · Congedo della serie cinquantottesima.</w:t>
      </w:r>
      <w:r>
        <w:rPr>
          <w:rFonts w:ascii="Barlow Semi Condensed" w:cs="Barlow Semi Condensed" w:eastAsia="Barlow Semi Condensed" w:hAnsi="Barlow Semi Condensed"/>
          <w:sz w:val="24"/>
          <w:szCs w:val="24"/>
        </w:rPr>
        <w:t xml:space="preserve"> Nulla è stato promosso di piano. Restano un documento primario del 1974 che dice ciò che dice, una testimonianza contestata con la sua smentita annotata, alcune divergenze riportate e non sciolte, e una serie di vuoti con l'indirizzo scritto accanto. Il nome resta fuori dal registro del giudicato, dove non è mai entrato in alcun Paese. La porta si riapre con un documento.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cinquantanovesima — I numeri: cosa si può contare e cosa no</w:t>
      </w:r>
    </w:p>
    <w:p>
      <w:pPr>
        <w:spacing w:after="120" w:line="276"/>
        <w:jc w:val="both"/>
      </w:pPr>
      <w:r>
        <w:rPr>
          <w:rFonts w:ascii="Barlow Semi Condensed" w:cs="Barlow Semi Condensed" w:eastAsia="Barlow Semi Condensed" w:hAnsi="Barlow Semi Condensed"/>
          <w:i/>
          <w:iCs/>
          <w:sz w:val="24"/>
          <w:szCs w:val="24"/>
        </w:rPr>
        <w:t xml:space="preserve">Blocchi 4481-4550.</w:t>
      </w:r>
    </w:p>
    <w:p>
      <w:pPr>
        <w:spacing w:after="120" w:line="276"/>
        <w:jc w:val="both"/>
      </w:pPr>
      <w:r>
        <w:rPr>
          <w:rFonts w:ascii="Barlow Semi Condensed" w:cs="Barlow Semi Condensed" w:eastAsia="Barlow Semi Condensed" w:hAnsi="Barlow Semi Condensed"/>
          <w:b/>
          <w:bCs/>
          <w:sz w:val="24"/>
          <w:szCs w:val="24"/>
        </w:rPr>
        <w:t xml:space="preserve">4481 · Zero occorrenze nel documento di metodo.</w:t>
      </w:r>
      <w:r>
        <w:rPr>
          <w:rFonts w:ascii="Barlow Semi Condensed" w:cs="Barlow Semi Condensed" w:eastAsia="Barlow Semi Condensed" w:hAnsi="Barlow Semi Condensed"/>
          <w:sz w:val="24"/>
          <w:szCs w:val="24"/>
        </w:rPr>
        <w:t xml:space="preserve"> La verifica meccanica è stata eseguita e si verbalizza: la stringa «Kissinger» non compare neppure una volta in metodologie-del-dossier-sinaptogenesi-e-strumenti.md, in nessuna delle sue otto sezioni, dalla sinaptogenesi del paragrafo primo alla tavola percentuale del sesto-bis. Non è un'omissione ed è un dato. Il territorio che il corpus dedica ai propri numeri non contiene il nome, e questa serie parte da qui.</w:t>
      </w:r>
    </w:p>
    <w:p>
      <w:pPr>
        <w:spacing w:after="120" w:line="276"/>
        <w:jc w:val="both"/>
      </w:pPr>
      <w:r>
        <w:rPr>
          <w:rFonts w:ascii="Barlow Semi Condensed" w:cs="Barlow Semi Condensed" w:eastAsia="Barlow Semi Condensed" w:hAnsi="Barlow Semi Condensed"/>
          <w:b/>
          <w:bCs/>
          <w:sz w:val="24"/>
          <w:szCs w:val="24"/>
        </w:rPr>
        <w:t xml:space="preserve">4482 · Zero non è indefinito.</w:t>
      </w:r>
      <w:r>
        <w:rPr>
          <w:rFonts w:ascii="Barlow Semi Condensed" w:cs="Barlow Semi Condensed" w:eastAsia="Barlow Semi Condensed" w:hAnsi="Barlow Semi Condensed"/>
          <w:sz w:val="24"/>
          <w:szCs w:val="24"/>
        </w:rPr>
        <w:t xml:space="preserve"> Il conteggio precedente va letto con precisione tecnica. Zero occorrenze di una stringa in un testo sono una misura; l'assenza di un nodo da un grafo non produce una betweenness pari a zero, ma una betweenness non definita. Il blocco 52 dell'opera lo aveva già stabilito, e qui se ne trae la conseguenza aritmetica: su un nodo inesistente nessuna statistica di rete è calcolabile, nemmeno quella nulla.</w:t>
      </w:r>
    </w:p>
    <w:p>
      <w:pPr>
        <w:spacing w:after="120" w:line="276"/>
        <w:jc w:val="both"/>
      </w:pPr>
      <w:r>
        <w:rPr>
          <w:rFonts w:ascii="Barlow Semi Condensed" w:cs="Barlow Semi Condensed" w:eastAsia="Barlow Semi Condensed" w:hAnsi="Barlow Semi Condensed"/>
          <w:b/>
          <w:bCs/>
          <w:sz w:val="24"/>
          <w:szCs w:val="24"/>
        </w:rPr>
        <w:t xml:space="preserve">4483 · Come si compone il trentanove.</w:t>
      </w:r>
      <w:r>
        <w:rPr>
          <w:rFonts w:ascii="Barlow Semi Condensed" w:cs="Barlow Semi Condensed" w:eastAsia="Barlow Semi Condensed" w:hAnsi="Barlow Semi Condensed"/>
          <w:sz w:val="24"/>
          <w:szCs w:val="24"/>
        </w:rPr>
        <w:t xml:space="preserve"> La rete del paragrafo primo conta trentanove nodi. La composizione si ricostruisce dalla tavola del sesto-bis: venticinque nodi non-BR elencati per nome, dal CPM a Feltrinelli Editore, più la componente esclusa, cioè l'organizzazione e i tredici condannati del registro della Fase decima. Venticinque più quattordici fa trentanove. La verifica è stata rifatta e torna; nessuno dei venticinque, né alcuno dei quattordici, porta il nome qui triangolato.</w:t>
      </w:r>
    </w:p>
    <w:p>
      <w:pPr>
        <w:spacing w:after="120" w:line="276"/>
        <w:jc w:val="both"/>
      </w:pPr>
      <w:r>
        <w:rPr>
          <w:rFonts w:ascii="Barlow Semi Condensed" w:cs="Barlow Semi Condensed" w:eastAsia="Barlow Semi Condensed" w:hAnsi="Barlow Semi Condensed"/>
          <w:b/>
          <w:bCs/>
          <w:sz w:val="24"/>
          <w:szCs w:val="24"/>
        </w:rPr>
        <w:t xml:space="preserve">4484 · La tavola dei gradi di Freeman.</w:t>
      </w:r>
      <w:r>
        <w:rPr>
          <w:rFonts w:ascii="Barlow Semi Condensed" w:cs="Barlow Semi Condensed" w:eastAsia="Barlow Semi Condensed" w:hAnsi="Barlow Semi Condensed"/>
          <w:sz w:val="24"/>
          <w:szCs w:val="24"/>
        </w:rPr>
        <w:t xml:space="preserve"> Nella tavola delle centralità il grado massimo è delle Brigate Rosse con quindici connessioni, poi via Fani con nove, Moretti con cinque, e nove nodi appaiati a quattro. È una graduatoria di documentazione e non di condotta, come la regola d'interpretazione premessa dal documento impone di leggerla. Per collocarvi un nodo nuovo occorrerebbe almeno una connessione documentata: allo stato il nome triangolato non ne ha nessuna.</w:t>
      </w:r>
    </w:p>
    <w:p>
      <w:pPr>
        <w:spacing w:after="120" w:line="276"/>
        <w:jc w:val="both"/>
      </w:pPr>
      <w:r>
        <w:rPr>
          <w:rFonts w:ascii="Barlow Semi Condensed" w:cs="Barlow Semi Condensed" w:eastAsia="Barlow Semi Condensed" w:hAnsi="Barlow Semi Condensed"/>
          <w:b/>
          <w:bCs/>
          <w:sz w:val="24"/>
          <w:szCs w:val="24"/>
        </w:rPr>
        <w:t xml:space="preserve">4485 · Il denominatore nascosto della tavola.</w:t>
      </w:r>
      <w:r>
        <w:rPr>
          <w:rFonts w:ascii="Barlow Semi Condensed" w:cs="Barlow Semi Condensed" w:eastAsia="Barlow Semi Condensed" w:hAnsi="Barlow Semi Condensed"/>
          <w:sz w:val="24"/>
          <w:szCs w:val="24"/>
        </w:rPr>
        <w:t xml:space="preserve"> La colonna delle quote di connessione del sesto-bis si spiega solo ricostruendone il divisore, che il documento non stampa. Via Fani vale 14,5 per cento con nove connessioni; il CPM 4,8 con tre; Simioni, Hyperion, via Montalcini e Potere Operaio 6,5 con quattro. Il divisore è dunque sessantadue. Ricostruirlo è stato un atto di verifica, e il bersaglio che ne discende è stamparlo accanto alla tavola.</w:t>
      </w:r>
    </w:p>
    <w:p>
      <w:pPr>
        <w:spacing w:after="120" w:line="276"/>
        <w:jc w:val="both"/>
      </w:pPr>
      <w:r>
        <w:rPr>
          <w:rFonts w:ascii="Barlow Semi Condensed" w:cs="Barlow Semi Condensed" w:eastAsia="Barlow Semi Condensed" w:hAnsi="Barlow Semi Condensed"/>
          <w:b/>
          <w:bCs/>
          <w:sz w:val="24"/>
          <w:szCs w:val="24"/>
        </w:rPr>
        <w:t xml:space="preserve">4486 · La colonna che somma a cento.</w:t>
      </w:r>
      <w:r>
        <w:rPr>
          <w:rFonts w:ascii="Barlow Semi Condensed" w:cs="Barlow Semi Condensed" w:eastAsia="Barlow Semi Condensed" w:hAnsi="Barlow Semi Condensed"/>
          <w:sz w:val="24"/>
          <w:szCs w:val="24"/>
        </w:rPr>
        <w:t xml:space="preserve"> Sommate una per una, le quindici quote di intermediazione documentale del sesto-bis danno esattamente 100,0. Il calcolo è stato rifatto per questa serie e torna alla prima cifra decimale. È un accertamento minuto e serve: una tavola che chiude è una tavola controllabile, e il lettore che la ricontrolla ha in mano il metodo prima del risultato. Le tavole che non chiudono si segnalano, non si arrotondano.</w:t>
      </w:r>
    </w:p>
    <w:p>
      <w:pPr>
        <w:spacing w:after="120" w:line="276"/>
        <w:jc w:val="both"/>
      </w:pPr>
      <w:r>
        <w:rPr>
          <w:rFonts w:ascii="Barlow Semi Condensed" w:cs="Barlow Semi Condensed" w:eastAsia="Barlow Semi Condensed" w:hAnsi="Barlow Semi Condensed"/>
          <w:b/>
          <w:bCs/>
          <w:sz w:val="24"/>
          <w:szCs w:val="24"/>
        </w:rPr>
        <w:t xml:space="preserve">4487 · La colonna che non si somma.</w:t>
      </w:r>
      <w:r>
        <w:rPr>
          <w:rFonts w:ascii="Barlow Semi Condensed" w:cs="Barlow Semi Condensed" w:eastAsia="Barlow Semi Condensed" w:hAnsi="Barlow Semi Condensed"/>
          <w:sz w:val="24"/>
          <w:szCs w:val="24"/>
        </w:rPr>
        <w:t xml:space="preserve"> La seconda colonna della stessa tavola non ammette la medesima verifica. Le prime quindici righe danno 82,1 per cento, ma l'ultima raccoglie dieci nodi terminali con una banda, da 1,6 a 3,2 ciascuno, e non con un valore. Una banda non si somma. Il rilievo non contesta il calcolo: chiede di stampare i dieci valori singoli, perché una colonna verificabile a metà è verificabile a metà.</w:t>
      </w:r>
    </w:p>
    <w:p>
      <w:pPr>
        <w:spacing w:after="120" w:line="276"/>
        <w:jc w:val="both"/>
      </w:pPr>
      <w:r>
        <w:rPr>
          <w:rFonts w:ascii="Barlow Semi Condensed" w:cs="Barlow Semi Condensed" w:eastAsia="Barlow Semi Condensed" w:hAnsi="Barlow Semi Condensed"/>
          <w:b/>
          <w:bCs/>
          <w:sz w:val="24"/>
          <w:szCs w:val="24"/>
        </w:rPr>
        <w:t xml:space="preserve">4488 · Che cosa cambierebbe un arco nuovo.</w:t>
      </w:r>
      <w:r>
        <w:rPr>
          <w:rFonts w:ascii="Barlow Semi Condensed" w:cs="Barlow Semi Condensed" w:eastAsia="Barlow Semi Condensed" w:hAnsi="Barlow Semi Condensed"/>
          <w:sz w:val="24"/>
          <w:szCs w:val="24"/>
        </w:rPr>
        <w:t xml:space="preserve"> Le percentuali del sesto-bis sono relative, e la conseguenza va detta prima che qualcuno le citi come assolute. Un solo arco documentato che introducesse un nodo nuovo, questo o altro, sposterebbe ogni quota della tavola, perché muterebbe il divisore. Il 24,7 per cento del CPM non è una proprietà del CPM: è una proprietà della rete al 25 agosto 2026. Si citi sempre con la data.</w:t>
      </w:r>
    </w:p>
    <w:p>
      <w:pPr>
        <w:spacing w:after="120" w:line="276"/>
        <w:jc w:val="both"/>
      </w:pPr>
      <w:r>
        <w:rPr>
          <w:rFonts w:ascii="Barlow Semi Condensed" w:cs="Barlow Semi Condensed" w:eastAsia="Barlow Semi Condensed" w:hAnsi="Barlow Semi Condensed"/>
          <w:b/>
          <w:bCs/>
          <w:sz w:val="24"/>
          <w:szCs w:val="24"/>
        </w:rPr>
        <w:t xml:space="preserve">4489 · Lo zero per cento non-BR.</w:t>
      </w:r>
      <w:r>
        <w:rPr>
          <w:rFonts w:ascii="Barlow Semi Condensed" w:cs="Barlow Semi Condensed" w:eastAsia="Barlow Semi Condensed" w:hAnsi="Barlow Semi Condensed"/>
          <w:sz w:val="24"/>
          <w:szCs w:val="24"/>
        </w:rPr>
        <w:t xml:space="preserve"> Sul comparto interamente non-BR, diciassette archi su cinquantanove e il 28,8 per cento della rete, la ripartizione dei gradi è F 82,4, B 17,6, A 0,0. Nessun arco di giudicato. Il documento ne trae il divieto di ogni graduatoria percentuale di responsabilità fuori dalla componente brigatista. Applicato al nome qui triangolato il divieto è più stretto ancora: non avendo archi, manca perfino il comparto su cui costruirla.</w:t>
      </w:r>
    </w:p>
    <w:p>
      <w:pPr>
        <w:spacing w:after="120" w:line="276"/>
        <w:jc w:val="both"/>
      </w:pPr>
      <w:r>
        <w:rPr>
          <w:rFonts w:ascii="Barlow Semi Condensed" w:cs="Barlow Semi Condensed" w:eastAsia="Barlow Semi Condensed" w:hAnsi="Barlow Semi Condensed"/>
          <w:b/>
          <w:bCs/>
          <w:sz w:val="24"/>
          <w:szCs w:val="24"/>
        </w:rPr>
        <w:t xml:space="preserve">4490 · Le tre frazioni dell'intera rete.</w:t>
      </w:r>
      <w:r>
        <w:rPr>
          <w:rFonts w:ascii="Barlow Semi Condensed" w:cs="Barlow Semi Condensed" w:eastAsia="Barlow Semi Condensed" w:hAnsi="Barlow Semi Condensed"/>
          <w:sz w:val="24"/>
          <w:szCs w:val="24"/>
        </w:rPr>
        <w:t xml:space="preserve"> Dichiarate sull'intera rete, le tre quote sono A 47,5, F 44,1 e B 8,5. Ricalcolate sui ventotto, ventisei e cinque archi di cinquantanove, tornano a 47,46, 44,07 e 8,47: arrotondamento corretto, somma cento. Si registra come accertamento verificabile da chiunque abbia il testo davanti. Il corpus dichiara i propri procedimenti e per questo li si può controllare, che è la differenza fra un numero e un'impressione.</w:t>
      </w:r>
    </w:p>
    <w:p>
      <w:pPr>
        <w:spacing w:after="120" w:line="276"/>
        <w:jc w:val="both"/>
      </w:pPr>
      <w:r>
        <w:rPr>
          <w:rFonts w:ascii="Barlow Semi Condensed" w:cs="Barlow Semi Condensed" w:eastAsia="Barlow Semi Condensed" w:hAnsi="Barlow Semi Condensed"/>
          <w:b/>
          <w:bCs/>
          <w:sz w:val="24"/>
          <w:szCs w:val="24"/>
        </w:rPr>
        <w:t xml:space="preserve">4491 · Di che grado sarebbe il primo arco.</w:t>
      </w:r>
      <w:r>
        <w:rPr>
          <w:rFonts w:ascii="Barlow Semi Condensed" w:cs="Barlow Semi Condensed" w:eastAsia="Barlow Semi Condensed" w:hAnsi="Barlow Semi Condensed"/>
          <w:sz w:val="24"/>
          <w:szCs w:val="24"/>
        </w:rPr>
        <w:t xml:space="preserve"> Prima di ogni ingresso in rete va posto il quesito del grado. Se un arco toccante questo nome entrasse domani, quale porterebbe? Il verbale del 25 settembre 1974 documenta un colloquio istituzionale con Leone e Moro: sarebbe un arco fra il nodo e la dimensione diplomatica, di grado A come atto, ma verso la Farnesina e non verso il caso. Verso il caso nessun documento sostiene un arco.</w:t>
      </w:r>
    </w:p>
    <w:p>
      <w:pPr>
        <w:spacing w:after="120" w:line="276"/>
        <w:jc w:val="both"/>
      </w:pPr>
      <w:r>
        <w:rPr>
          <w:rFonts w:ascii="Barlow Semi Condensed" w:cs="Barlow Semi Condensed" w:eastAsia="Barlow Semi Condensed" w:hAnsi="Barlow Semi Condensed"/>
          <w:b/>
          <w:bCs/>
          <w:sz w:val="24"/>
          <w:szCs w:val="24"/>
        </w:rPr>
        <w:t xml:space="preserve">4492 · Il cammino che non ha grado.</w:t>
      </w:r>
      <w:r>
        <w:rPr>
          <w:rFonts w:ascii="Barlow Semi Condensed" w:cs="Barlow Semi Condensed" w:eastAsia="Barlow Semi Condensed" w:hAnsi="Barlow Semi Condensed"/>
          <w:sz w:val="24"/>
          <w:szCs w:val="24"/>
        </w:rPr>
        <w:t xml:space="preserve"> La regola dell'anello debole stabilisce che il grado di un cammino è il minimo fra i suoi archi. Il blocco 54 dell'opera ne trae il caso limite: il cammino dallo Studio Ovale del settembre 1974 al 16 marzo 1978 richiederebbe un arco che non esiste. Un cammino con un anello mancante non ha grado basso: non ha grado. È la differenza fra una catena debole e una catena interrotta.</w:t>
      </w:r>
    </w:p>
    <w:p>
      <w:pPr>
        <w:spacing w:after="120" w:line="276"/>
        <w:jc w:val="both"/>
      </w:pPr>
      <w:r>
        <w:rPr>
          <w:rFonts w:ascii="Barlow Semi Condensed" w:cs="Barlow Semi Condensed" w:eastAsia="Barlow Semi Condensed" w:hAnsi="Barlow Semi Condensed"/>
          <w:b/>
          <w:bCs/>
          <w:sz w:val="24"/>
          <w:szCs w:val="24"/>
        </w:rPr>
        <w:t xml:space="preserve">4493 · Il buco misurato nel documento di metodo.</w:t>
      </w:r>
      <w:r>
        <w:rPr>
          <w:rFonts w:ascii="Barlow Semi Condensed" w:cs="Barlow Semi Condensed" w:eastAsia="Barlow Semi Condensed" w:hAnsi="Barlow Semi Condensed"/>
          <w:sz w:val="24"/>
          <w:szCs w:val="24"/>
        </w:rPr>
        <w:t xml:space="preserve"> Primo tempo della regola dei buchi, applicato qui. Il vuoto è misurato: zero occorrenze, zero nodi, zero archi, nessuna riga di tavola. Il documento non tace per reticenza, e nessun blocco potrà leggerlo così. Il buco si dichiara e resta congettura possibile finché un documento non diventi arco, secondo la formula del paragrafo terzo. La dietrologia lo riempirebbe di narrazione; il corpus lo ha misurato e la serie lo verbalizza.</w:t>
      </w:r>
    </w:p>
    <w:p>
      <w:pPr>
        <w:spacing w:after="120" w:line="276"/>
        <w:jc w:val="both"/>
      </w:pPr>
      <w:r>
        <w:rPr>
          <w:rFonts w:ascii="Barlow Semi Condensed" w:cs="Barlow Semi Condensed" w:eastAsia="Barlow Semi Condensed" w:hAnsi="Barlow Semi Condensed"/>
          <w:b/>
          <w:bCs/>
          <w:sz w:val="24"/>
          <w:szCs w:val="24"/>
        </w:rPr>
        <w:t xml:space="preserve">4494 · Perché il metodo tace.</w:t>
      </w:r>
      <w:r>
        <w:rPr>
          <w:rFonts w:ascii="Barlow Semi Condensed" w:cs="Barlow Semi Condensed" w:eastAsia="Barlow Semi Condensed" w:hAnsi="Barlow Semi Condensed"/>
          <w:sz w:val="24"/>
          <w:szCs w:val="24"/>
        </w:rPr>
        <w:t xml:space="preserve"> Secondo tempo della regola, quello che diagnostica la causa. Il testo del 25 agosto 2026 è un documento di metodo: costruisce strumenti sui legami già stabiliti dalle triangolazioni del corpus e non svolge merito su alcun nome. Il silenzio su questo nome ha dunque una causa di costruzione prima che di fatto, perché nessuno ha portato in quella sede un arco da gradare. Solo dopo si può interrogare il vuoto.</w:t>
      </w:r>
    </w:p>
    <w:p>
      <w:pPr>
        <w:spacing w:after="120" w:line="276"/>
        <w:jc w:val="both"/>
      </w:pPr>
      <w:r>
        <w:rPr>
          <w:rFonts w:ascii="Barlow Semi Condensed" w:cs="Barlow Semi Condensed" w:eastAsia="Barlow Semi Condensed" w:hAnsi="Barlow Semi Condensed"/>
          <w:b/>
          <w:bCs/>
          <w:sz w:val="24"/>
          <w:szCs w:val="24"/>
        </w:rPr>
        <w:t xml:space="preserve">4495 · I dieci mondi e l'undicesimo assente.</w:t>
      </w:r>
      <w:r>
        <w:rPr>
          <w:rFonts w:ascii="Barlow Semi Condensed" w:cs="Barlow Semi Condensed" w:eastAsia="Barlow Semi Condensed" w:hAnsi="Barlow Semi Condensed"/>
          <w:sz w:val="24"/>
          <w:szCs w:val="24"/>
        </w:rPr>
        <w:t xml:space="preserve"> Dieci sono i mondi elencati dal paragrafo terzo per la rete multistrato: politica interna, mondo brigatista, ceppo del 1969, editoria e mito, dimensione diplomatica della Farnesina, mondo vaticano, orizzonte latinoamericano, piano giudiziario, piano parlamentare, memoria e media. Non esiste un mondo atlantico o statunitense. È uno Stato Zero strutturale: il nodo qui triangolato non ha, nella stratificazione dichiarata, alcun livello in cui abitare.</w:t>
      </w:r>
    </w:p>
    <w:p>
      <w:pPr>
        <w:spacing w:after="120" w:line="276"/>
        <w:jc w:val="both"/>
      </w:pPr>
      <w:r>
        <w:rPr>
          <w:rFonts w:ascii="Barlow Semi Condensed" w:cs="Barlow Semi Condensed" w:eastAsia="Barlow Semi Condensed" w:hAnsi="Barlow Semi Condensed"/>
          <w:b/>
          <w:bCs/>
          <w:sz w:val="24"/>
          <w:szCs w:val="24"/>
        </w:rPr>
        <w:t xml:space="preserve">4496 · Come si aprirebbe un undicesimo livello.</w:t>
      </w:r>
      <w:r>
        <w:rPr>
          <w:rFonts w:ascii="Barlow Semi Condensed" w:cs="Barlow Semi Condensed" w:eastAsia="Barlow Semi Condensed" w:hAnsi="Barlow Semi Condensed"/>
          <w:sz w:val="24"/>
          <w:szCs w:val="24"/>
        </w:rPr>
        <w:t xml:space="preserve"> Un undicesimo livello non si aggiunge per decisione: si aggiunge per spoglio. Servirebbe una base documentale gradata, e le sedi sono nominabili, cioè la serie FRUS 1969-1976 nella sua interezza, i Nixon Presidential Materials con gli NSC Files, Country Files Italy, ai National Archives di College Park, e i Memoranda of Conversation del National Security Adviser alla Ford Library. Senza spoglio non si apre un livello: si disegna.</w:t>
      </w:r>
    </w:p>
    <w:p>
      <w:pPr>
        <w:spacing w:after="120" w:line="276"/>
        <w:jc w:val="both"/>
      </w:pPr>
      <w:r>
        <w:rPr>
          <w:rFonts w:ascii="Barlow Semi Condensed" w:cs="Barlow Semi Condensed" w:eastAsia="Barlow Semi Condensed" w:hAnsi="Barlow Semi Condensed"/>
          <w:b/>
          <w:bCs/>
          <w:sz w:val="24"/>
          <w:szCs w:val="24"/>
        </w:rPr>
        <w:t xml:space="preserve">4497 · Il solo mondo che potrebbe ospitarlo.</w:t>
      </w:r>
      <w:r>
        <w:rPr>
          <w:rFonts w:ascii="Barlow Semi Condensed" w:cs="Barlow Semi Condensed" w:eastAsia="Barlow Semi Condensed" w:hAnsi="Barlow Semi Condensed"/>
          <w:sz w:val="24"/>
          <w:szCs w:val="24"/>
        </w:rPr>
        <w:t xml:space="preserve"> Fra i dieci, il quinto, la dimensione diplomatica della Farnesina, è l'unico livello che il nome tocchi con documenti. Le ricognizioni originali della cartella moro-ministro-esteri lo nominano sette volte: due per la Turchia, due per il Portogallo, una ciascuna per Grecia, Spagna e la ricognizione generale del ministero. Sono archi di cornice diplomatica, non archi verso il caso, e la distinzione va conservata in ogni figura.</w:t>
      </w:r>
    </w:p>
    <w:p>
      <w:pPr>
        <w:spacing w:after="120" w:line="276"/>
        <w:jc w:val="both"/>
      </w:pPr>
      <w:r>
        <w:rPr>
          <w:rFonts w:ascii="Barlow Semi Condensed" w:cs="Barlow Semi Condensed" w:eastAsia="Barlow Semi Condensed" w:hAnsi="Barlow Semi Condensed"/>
          <w:b/>
          <w:bCs/>
          <w:sz w:val="24"/>
          <w:szCs w:val="24"/>
        </w:rPr>
        <w:t xml:space="preserve">4498 · Il settimo mondo e il Cile.</w:t>
      </w:r>
      <w:r>
        <w:rPr>
          <w:rFonts w:ascii="Barlow Semi Condensed" w:cs="Barlow Semi Condensed" w:eastAsia="Barlow Semi Condensed" w:hAnsi="Barlow Semi Condensed"/>
          <w:sz w:val="24"/>
          <w:szCs w:val="24"/>
        </w:rPr>
        <w:t xml:space="preserve"> L'orizzonte latinoamericano è il settimo livello. Vi sta l'accertamento che dal-che-a-moro-una-guerra-senza-fine.md registra: la responsabilità primaria, documentata, degli apparati statunitensi nella caduta di Allende l'11 settembre 1973, sotto la supervisione del Segretario di Stato. È enunciato storico-politico su un apparato. Non è, e non diventa, accertamento penale personale: soggetti diversi, sedi diverse, standard diversi, righe separate, come fissa il blocco 34.</w:t>
      </w:r>
    </w:p>
    <w:p>
      <w:pPr>
        <w:spacing w:after="120" w:line="276"/>
        <w:jc w:val="both"/>
      </w:pPr>
      <w:r>
        <w:rPr>
          <w:rFonts w:ascii="Barlow Semi Condensed" w:cs="Barlow Semi Condensed" w:eastAsia="Barlow Semi Condensed" w:hAnsi="Barlow Semi Condensed"/>
          <w:b/>
          <w:bCs/>
          <w:sz w:val="24"/>
          <w:szCs w:val="24"/>
        </w:rPr>
        <w:t xml:space="preserve">4499 · Due matrici, nessun quesito estero.</w:t>
      </w:r>
      <w:r>
        <w:rPr>
          <w:rFonts w:ascii="Barlow Semi Condensed" w:cs="Barlow Semi Condensed" w:eastAsia="Barlow Semi Condensed" w:hAnsi="Barlow Semi Condensed"/>
          <w:sz w:val="24"/>
          <w:szCs w:val="24"/>
        </w:rPr>
        <w:t xml:space="preserve"> Le matrici ACH del paragrafo quarto sono due ed entrambe interne: via Gradoli con la seduta spiritica, e le due moto di via Fani. Nessuna riguarda il fronte internazionale. La lacuna coincide con quella già rilevata al blocco 911 per la serie sesta del manuale investigativo, blocchi 171-210. Due strumenti indipendenti mostrano lo stesso vuoto: è consilienza sull'assenza, non indizio di presenza.</w:t>
      </w:r>
    </w:p>
    <w:p>
      <w:pPr>
        <w:spacing w:after="120" w:line="276"/>
        <w:jc w:val="both"/>
      </w:pPr>
      <w:r>
        <w:rPr>
          <w:rFonts w:ascii="Barlow Semi Condensed" w:cs="Barlow Semi Condensed" w:eastAsia="Barlow Semi Condensed" w:hAnsi="Barlow Semi Condensed"/>
          <w:b/>
          <w:bCs/>
          <w:sz w:val="24"/>
          <w:szCs w:val="24"/>
        </w:rPr>
        <w:t xml:space="preserve">4500 · Come si scriverebbe la terza matrice.</w:t>
      </w:r>
      <w:r>
        <w:rPr>
          <w:rFonts w:ascii="Barlow Semi Condensed" w:cs="Barlow Semi Condensed" w:eastAsia="Barlow Semi Condensed" w:hAnsi="Barlow Semi Condensed"/>
          <w:sz w:val="24"/>
          <w:szCs w:val="24"/>
        </w:rPr>
        <w:t xml:space="preserve"> Una matrice ACH sul quesito internazionale si scrive solo se impersonale e senza probabilità numeriche, come il paragrafo quarto impone al regime pubblico. Le ipotesi in colonna sarebbero l'ostilità politica dichiarata senza atti operativi, gli atti operativi non documentati, l'indifferenza operativa. Le evidenze in riga porterebbero ciascuna il proprio grado. Nessuna colonna può intestarsi a una persona: le colonne si intestano a stati del mondo.</w:t>
      </w:r>
    </w:p>
    <w:p>
      <w:pPr>
        <w:spacing w:after="120" w:line="276"/>
        <w:jc w:val="both"/>
      </w:pPr>
      <w:r>
        <w:rPr>
          <w:rFonts w:ascii="Barlow Semi Condensed" w:cs="Barlow Semi Condensed" w:eastAsia="Barlow Semi Condensed" w:hAnsi="Barlow Semi Condensed"/>
          <w:b/>
          <w:bCs/>
          <w:sz w:val="24"/>
          <w:szCs w:val="24"/>
        </w:rPr>
        <w:t xml:space="preserve">4501 · L'evidenza che discriminerebbe.</w:t>
      </w:r>
      <w:r>
        <w:rPr>
          <w:rFonts w:ascii="Barlow Semi Condensed" w:cs="Barlow Semi Condensed" w:eastAsia="Barlow Semi Condensed" w:hAnsi="Barlow Semi Condensed"/>
          <w:sz w:val="24"/>
          <w:szCs w:val="24"/>
        </w:rPr>
        <w:t xml:space="preserve"> Ogni matrice vale per l'evidenza diagnostica che riesce a nominare. Per il quesito internazionale quell'evidenza è nominabile con precisione: un'istruzione datata verso un soggetto italiano, con protocollo, originatore e destinatario. Non un'opinione, non un giudizio espresso in un colloquio, non un memorandum di posizione. Finché non emerge, la preferenza fra le ipotesi è gusto e non analisi, secondo la formula che il paragrafo quarto usa per via Gradoli.</w:t>
      </w:r>
    </w:p>
    <w:p>
      <w:pPr>
        <w:spacing w:after="120" w:line="276"/>
        <w:jc w:val="both"/>
      </w:pPr>
      <w:r>
        <w:rPr>
          <w:rFonts w:ascii="Barlow Semi Condensed" w:cs="Barlow Semi Condensed" w:eastAsia="Barlow Semi Condensed" w:hAnsi="Barlow Semi Condensed"/>
          <w:b/>
          <w:bCs/>
          <w:sz w:val="24"/>
          <w:szCs w:val="24"/>
        </w:rPr>
        <w:t xml:space="preserve">4502 · Perché qui le probabilità sono vietate.</w:t>
      </w:r>
      <w:r>
        <w:rPr>
          <w:rFonts w:ascii="Barlow Semi Condensed" w:cs="Barlow Semi Condensed" w:eastAsia="Barlow Semi Condensed" w:hAnsi="Barlow Semi Condensed"/>
          <w:sz w:val="24"/>
          <w:szCs w:val="24"/>
        </w:rPr>
        <w:t xml:space="preserve"> Nelle matrici il documento di metodo vieta i numeri di probabilità, perché simulerebbero una precisione che le fonti non hanno. Sul nodo qui triangolato il divieto vale a maggior ragione: la base è una testimonianza de relato del novembre 1982, con la data dell'episodio oscillante fra 1974, 1976 e 1977. Assegnare una percentuale a una fonte la cui data non è stabilita significa quantificare l'indeterminato.</w:t>
      </w:r>
    </w:p>
    <w:p>
      <w:pPr>
        <w:spacing w:after="120" w:line="276"/>
        <w:jc w:val="both"/>
      </w:pPr>
      <w:r>
        <w:rPr>
          <w:rFonts w:ascii="Barlow Semi Condensed" w:cs="Barlow Semi Condensed" w:eastAsia="Barlow Semi Condensed" w:hAnsi="Barlow Semi Condensed"/>
          <w:b/>
          <w:bCs/>
          <w:sz w:val="24"/>
          <w:szCs w:val="24"/>
        </w:rPr>
        <w:t xml:space="preserve">4503 · La lezione della Nota di revisione uno.</w:t>
      </w:r>
      <w:r>
        <w:rPr>
          <w:rFonts w:ascii="Barlow Semi Condensed" w:cs="Barlow Semi Condensed" w:eastAsia="Barlow Semi Condensed" w:hAnsi="Barlow Semi Condensed"/>
          <w:sz w:val="24"/>
          <w:szCs w:val="24"/>
        </w:rPr>
        <w:t xml:space="preserve"> Annotata in calce alla seconda matrice sta la retrocessione della riga E2: Marini ritrattò davanti ai consulenti della Moro 2 la circostanza del parabrezza infranto dai colpi, rotto da giorni e rattoppato col nastro, come mostrano le fotografie del mattino stesso. La riga scende da diagnostica a controversa e la matrice resta com'era, con la nota accanto. A decidere sono i reperti, non i ricordi.</w:t>
      </w:r>
    </w:p>
    <w:p>
      <w:pPr>
        <w:spacing w:after="120" w:line="276"/>
        <w:jc w:val="both"/>
      </w:pPr>
      <w:r>
        <w:rPr>
          <w:rFonts w:ascii="Barlow Semi Condensed" w:cs="Barlow Semi Condensed" w:eastAsia="Barlow Semi Condensed" w:hAnsi="Barlow Semi Condensed"/>
          <w:b/>
          <w:bCs/>
          <w:sz w:val="24"/>
          <w:szCs w:val="24"/>
        </w:rPr>
        <w:t xml:space="preserve">4504 · La seconda nota e il nodo M-5.</w:t>
      </w:r>
      <w:r>
        <w:rPr>
          <w:rFonts w:ascii="Barlow Semi Condensed" w:cs="Barlow Semi Condensed" w:eastAsia="Barlow Semi Condensed" w:hAnsi="Barlow Semi Condensed"/>
          <w:sz w:val="24"/>
          <w:szCs w:val="24"/>
        </w:rPr>
        <w:t xml:space="preserve"> La stessa disciplina ha prodotto, il 25 agosto 2026, la Nota di revisione n. 2 in triangolazioni-guevara-moro.md: sette precisazioni sul nodo M-5, registrate per nota senza riscrivere il nodo. Il testo originario resta leggibile e la correzione gli si affianca. Chi conti le fonti su quell'episodio deve contarle dopo le sette precisazioni e non prima, perché il numero delle riprese cambia significato quando se ne conosce l'origine.</w:t>
      </w:r>
    </w:p>
    <w:p>
      <w:pPr>
        <w:spacing w:after="120" w:line="276"/>
        <w:jc w:val="both"/>
      </w:pPr>
      <w:r>
        <w:rPr>
          <w:rFonts w:ascii="Barlow Semi Condensed" w:cs="Barlow Semi Condensed" w:eastAsia="Barlow Semi Condensed" w:hAnsi="Barlow Semi Condensed"/>
          <w:b/>
          <w:bCs/>
          <w:sz w:val="24"/>
          <w:szCs w:val="24"/>
        </w:rPr>
        <w:t xml:space="preserve">4505 · Un lancio d'agenzia contato molte volte.</w:t>
      </w:r>
      <w:r>
        <w:rPr>
          <w:rFonts w:ascii="Barlow Semi Condensed" w:cs="Barlow Semi Condensed" w:eastAsia="Barlow Semi Condensed" w:hAnsi="Barlow Semi Condensed"/>
          <w:sz w:val="24"/>
          <w:szCs w:val="24"/>
        </w:rPr>
        <w:t xml:space="preserve"> La settima precisazione è un teorema di conteggio. Le decine di riprese pressoché identiche dell'episodio risalgono a un unico lancio d'agenzia del 30 novembre 2023; il rilancio internazionale del 1982 proviene da una pubblicazione di orientamento cospirazionista, citabile come dato di circolazione. Contare le occorrenze di una copia non aumenta le fonti: le fonti restano una. È replicazione senza informazione nuova, e va conteggiata così.</w:t>
      </w:r>
    </w:p>
    <w:p>
      <w:pPr>
        <w:spacing w:after="120" w:line="276"/>
        <w:jc w:val="both"/>
      </w:pPr>
      <w:r>
        <w:rPr>
          <w:rFonts w:ascii="Barlow Semi Condensed" w:cs="Barlow Semi Condensed" w:eastAsia="Barlow Semi Condensed" w:hAnsi="Barlow Semi Condensed"/>
          <w:b/>
          <w:bCs/>
          <w:sz w:val="24"/>
          <w:szCs w:val="24"/>
        </w:rPr>
        <w:t xml:space="preserve">4506 · Due testimoni non fanno due.</w:t>
      </w:r>
      <w:r>
        <w:rPr>
          <w:rFonts w:ascii="Barlow Semi Condensed" w:cs="Barlow Semi Condensed" w:eastAsia="Barlow Semi Condensed" w:hAnsi="Barlow Semi Condensed"/>
          <w:sz w:val="24"/>
          <w:szCs w:val="24"/>
        </w:rPr>
        <w:t xml:space="preserve"> L'aritmetica dei testimoni è la più ingannevole. Il blocco 767 lo aveva fissato: il teste principale depose de relato, la vedova parlò di un'alta personalità senza nominarla e il nome fu ottenuto dal presidente della corte, l'interessato negò. Non sono due contro uno: sono una catena di riferimenti e una smentita. Nessun conteggio scioglie ciò che la regola dell'anello debole tiene fermo al passaggio più fragile.</w:t>
      </w:r>
    </w:p>
    <w:p>
      <w:pPr>
        <w:spacing w:after="120" w:line="276"/>
        <w:jc w:val="both"/>
      </w:pPr>
      <w:r>
        <w:rPr>
          <w:rFonts w:ascii="Barlow Semi Condensed" w:cs="Barlow Semi Condensed" w:eastAsia="Barlow Semi Condensed" w:hAnsi="Barlow Semi Condensed"/>
          <w:b/>
          <w:bCs/>
          <w:sz w:val="24"/>
          <w:szCs w:val="24"/>
        </w:rPr>
        <w:t xml:space="preserve">4507 · Tre date per un solo episodio (serie LIX).</w:t>
      </w:r>
      <w:r>
        <w:rPr>
          <w:rFonts w:ascii="Barlow Semi Condensed" w:cs="Barlow Semi Condensed" w:eastAsia="Barlow Semi Condensed" w:hAnsi="Barlow Semi Condensed"/>
          <w:sz w:val="24"/>
          <w:szCs w:val="24"/>
        </w:rPr>
        <w:t xml:space="preserve"> Le collocazioni dell'episodio riferito sono tre: settembre 1974 nella versione italiana prevalente, 1977 secondo un'agenzia statunitense dell'aprile 1983 che parla dell'ambasciata d'Italia a Washington, 1976 secondo altre sintesi. Al più una è vera. Il dato conta perché nel 1977 l'interessato non era più Segretario di Stato, e chi lega l'episodio a una carica lo lega a una carica cessata. La divergenza si riporta.</w:t>
      </w:r>
    </w:p>
    <w:p>
      <w:pPr>
        <w:spacing w:after="120" w:line="276"/>
        <w:jc w:val="both"/>
      </w:pPr>
      <w:r>
        <w:rPr>
          <w:rFonts w:ascii="Barlow Semi Condensed" w:cs="Barlow Semi Condensed" w:eastAsia="Barlow Semi Condensed" w:hAnsi="Barlow Semi Condensed"/>
          <w:b/>
          <w:bCs/>
          <w:sz w:val="24"/>
          <w:szCs w:val="24"/>
        </w:rPr>
        <w:t xml:space="preserve">4508 · Quattro luoghi per un solo colloquio.</w:t>
      </w:r>
      <w:r>
        <w:rPr>
          <w:rFonts w:ascii="Barlow Semi Condensed" w:cs="Barlow Semi Condensed" w:eastAsia="Barlow Semi Condensed" w:hAnsi="Barlow Semi Condensed"/>
          <w:sz w:val="24"/>
          <w:szCs w:val="24"/>
        </w:rPr>
        <w:t xml:space="preserve"> Ai tre anni corrispondono almeno quattro luoghi in circolazione: lo Studio Ovale, il Dipartimento di Stato, una cena ufficiale, l'ambasciata italiana. Il quesito d'archivio che ne discende è materiale e chiuso: il programma ufficiale della visita di Stato, con orari e sedi, conservato negli atti presidenziali e nella documentazione della Ford Library. Un programma non prova un colloquio riservato, ma elimina le sedi materialmente impossibili.</w:t>
      </w:r>
    </w:p>
    <w:p>
      <w:pPr>
        <w:spacing w:after="120" w:line="276"/>
        <w:jc w:val="both"/>
      </w:pPr>
      <w:r>
        <w:rPr>
          <w:rFonts w:ascii="Barlow Semi Condensed" w:cs="Barlow Semi Condensed" w:eastAsia="Barlow Semi Condensed" w:hAnsi="Barlow Semi Condensed"/>
          <w:b/>
          <w:bCs/>
          <w:sz w:val="24"/>
          <w:szCs w:val="24"/>
        </w:rPr>
        <w:t xml:space="preserve">4509 · Cinque giorni o tre.</w:t>
      </w:r>
      <w:r>
        <w:rPr>
          <w:rFonts w:ascii="Barlow Semi Condensed" w:cs="Barlow Semi Condensed" w:eastAsia="Barlow Semi Condensed" w:hAnsi="Barlow Semi Condensed"/>
          <w:sz w:val="24"/>
          <w:szCs w:val="24"/>
        </w:rPr>
        <w:t xml:space="preserve"> Anche la durata della visita diverge, e l'apparato K-3 lo registra: il comunicato congiunto negli atti presidenziali indica dal 25 al 29 settembre 1974, la nota editoriale del volume FRUS dal 25 al 27. Due fonti istituzionali, due misure. È divergenza minuta e va tenuta, perché una cronologia costruita sulla prima ammette giornate che la seconda esclude, e su quelle giornate si è argomentato.</w:t>
      </w:r>
    </w:p>
    <w:p>
      <w:pPr>
        <w:spacing w:after="120" w:line="276"/>
        <w:jc w:val="both"/>
      </w:pPr>
      <w:r>
        <w:rPr>
          <w:rFonts w:ascii="Barlow Semi Condensed" w:cs="Barlow Semi Condensed" w:eastAsia="Barlow Semi Condensed" w:hAnsi="Barlow Semi Condensed"/>
          <w:b/>
          <w:bCs/>
          <w:sz w:val="24"/>
          <w:szCs w:val="24"/>
        </w:rPr>
        <w:t xml:space="preserve">4510 · Il giorno della deposizione.</w:t>
      </w:r>
      <w:r>
        <w:rPr>
          <w:rFonts w:ascii="Barlow Semi Condensed" w:cs="Barlow Semi Condensed" w:eastAsia="Barlow Semi Condensed" w:hAnsi="Barlow Semi Condensed"/>
          <w:sz w:val="24"/>
          <w:szCs w:val="24"/>
        </w:rPr>
        <w:t xml:space="preserve"> La deposizione davanti alla Corte d'assise di Roma è del novembre 1982; il giorno è dato per il 10 dalla datazione più ricorrente e per il 15 da una fonte, e la divergenza non è risolta. La sede che la chiude è nominata: i verbali d'udienza del processo, presso l'archivio della Corte d'assise di Roma. È il tipo di numero che un archivio chiude in un pomeriggio.</w:t>
      </w:r>
    </w:p>
    <w:p>
      <w:pPr>
        <w:spacing w:after="120" w:line="276"/>
        <w:jc w:val="both"/>
      </w:pPr>
      <w:r>
        <w:rPr>
          <w:rFonts w:ascii="Barlow Semi Condensed" w:cs="Barlow Semi Condensed" w:eastAsia="Barlow Semi Condensed" w:hAnsi="Barlow Semi Condensed"/>
          <w:b/>
          <w:bCs/>
          <w:sz w:val="24"/>
          <w:szCs w:val="24"/>
        </w:rPr>
        <w:t xml:space="preserve">4511 · Primo agosto o undici.</w:t>
      </w:r>
      <w:r>
        <w:rPr>
          <w:rFonts w:ascii="Barlow Semi Condensed" w:cs="Barlow Semi Condensed" w:eastAsia="Barlow Semi Condensed" w:hAnsi="Barlow Semi Condensed"/>
          <w:sz w:val="24"/>
          <w:szCs w:val="24"/>
        </w:rPr>
        <w:t xml:space="preserve"> L'audizione della vedova davanti alla Commissione d'inchiesta è del primo agosto 1980; una fonte indica l'undici, verosimilmente per lettura errata dell'ordinale. L'apparato K-4 lo annota e non lo risolve. La sede che lo chiude è il resoconto stenografico della Commissione, Doc. XXIII della VIII legislatura, negli archivi storici di Camera e Senato. Sede confermata e contenuto verbatim restano due accertamenti distinti.</w:t>
      </w:r>
    </w:p>
    <w:p>
      <w:pPr>
        <w:spacing w:after="120" w:line="276"/>
        <w:jc w:val="both"/>
      </w:pPr>
      <w:r>
        <w:rPr>
          <w:rFonts w:ascii="Barlow Semi Condensed" w:cs="Barlow Semi Condensed" w:eastAsia="Barlow Semi Condensed" w:hAnsi="Barlow Semi Condensed"/>
          <w:b/>
          <w:bCs/>
          <w:sz w:val="24"/>
          <w:szCs w:val="24"/>
        </w:rPr>
        <w:t xml:space="preserve">4512 · Numeri che si contano davvero.</w:t>
      </w:r>
      <w:r>
        <w:rPr>
          <w:rFonts w:ascii="Barlow Semi Condensed" w:cs="Barlow Semi Condensed" w:eastAsia="Barlow Semi Condensed" w:hAnsi="Barlow Semi Condensed"/>
          <w:sz w:val="24"/>
          <w:szCs w:val="24"/>
        </w:rPr>
        <w:t xml:space="preserve"> Esistono numeri, su questo nome, che il corpus fissa senza margine: Assistente del Presidente per la sicurezza nazionale dal 20 gennaio 1969 al 3 novembre 1975; Segretario di Stato dal 22 settembre 1973 al 20 gennaio 1977, con la divergenza fra le secondarie che datano al 23 e la fonte istituzionale che indica il 22. Sono misure di carica, e non misurano nient'altro.</w:t>
      </w:r>
    </w:p>
    <w:p>
      <w:pPr>
        <w:spacing w:after="120" w:line="276"/>
        <w:jc w:val="both"/>
      </w:pPr>
      <w:r>
        <w:rPr>
          <w:rFonts w:ascii="Barlow Semi Condensed" w:cs="Barlow Semi Condensed" w:eastAsia="Barlow Semi Condensed" w:hAnsi="Barlow Semi Condensed"/>
          <w:b/>
          <w:bCs/>
          <w:sz w:val="24"/>
          <w:szCs w:val="24"/>
        </w:rPr>
        <w:t xml:space="preserve">4513 · Settecentosettantadue giorni di doppio incarico.</w:t>
      </w:r>
      <w:r>
        <w:rPr>
          <w:rFonts w:ascii="Barlow Semi Condensed" w:cs="Barlow Semi Condensed" w:eastAsia="Barlow Semi Condensed" w:hAnsi="Barlow Semi Condensed"/>
          <w:sz w:val="24"/>
          <w:szCs w:val="24"/>
        </w:rPr>
        <w:t xml:space="preserve"> Dal 22 settembre 1973 al 3 novembre 1975 i due incarichi furono tenuti insieme: settecentosettantadue giorni, caso unico nella storia statunitense. Il calcolo è elementare e si verifica in un minuto. Serve a delimitare e non a collegare: un intervallo di carica dice per quanto tempo un nome comparve per ufficio nei verbali, e non dice che cosa vi comparve. La durata non è una dose.</w:t>
      </w:r>
    </w:p>
    <w:p>
      <w:pPr>
        <w:spacing w:after="120" w:line="276"/>
        <w:jc w:val="both"/>
      </w:pPr>
      <w:r>
        <w:rPr>
          <w:rFonts w:ascii="Barlow Semi Condensed" w:cs="Barlow Semi Condensed" w:eastAsia="Barlow Semi Condensed" w:hAnsi="Barlow Semi Condensed"/>
          <w:b/>
          <w:bCs/>
          <w:sz w:val="24"/>
          <w:szCs w:val="24"/>
        </w:rPr>
        <w:t xml:space="preserve">4514 · L'ubiquità è un effetto d'organigramma.</w:t>
      </w:r>
      <w:r>
        <w:rPr>
          <w:rFonts w:ascii="Barlow Semi Condensed" w:cs="Barlow Semi Condensed" w:eastAsia="Barlow Semi Condensed" w:hAnsi="Barlow Semi Condensed"/>
          <w:sz w:val="24"/>
          <w:szCs w:val="24"/>
        </w:rPr>
        <w:t xml:space="preserve"> Il blocco 35 lo aveva stabilito e la serie dei numeri lo conferma: la frequenza documentale di questo nome fra 1969 e 1977 è un effetto della posizione, perché quelle due cariche concentrano l'informazione per costruzione. Un conteggio di occorrenze nei FRUS misura l'organigramma. Chi lo legga come misura di coinvolgimento ha convertito una statistica d'archivio in un'ipotesi, che è la mossa che questa serie esiste per impedire.</w:t>
      </w:r>
    </w:p>
    <w:p>
      <w:pPr>
        <w:spacing w:after="120" w:line="276"/>
        <w:jc w:val="both"/>
      </w:pPr>
      <w:r>
        <w:rPr>
          <w:rFonts w:ascii="Barlow Semi Condensed" w:cs="Barlow Semi Condensed" w:eastAsia="Barlow Semi Condensed" w:hAnsi="Barlow Semi Condensed"/>
          <w:b/>
          <w:bCs/>
          <w:sz w:val="24"/>
          <w:szCs w:val="24"/>
        </w:rPr>
        <w:t xml:space="preserve">4515 · Ventisei occorrenze fuori dall'opera.</w:t>
      </w:r>
      <w:r>
        <w:rPr>
          <w:rFonts w:ascii="Barlow Semi Condensed" w:cs="Barlow Semi Condensed" w:eastAsia="Barlow Semi Condensed" w:hAnsi="Barlow Semi Condensed"/>
          <w:sz w:val="24"/>
          <w:szCs w:val="24"/>
        </w:rPr>
        <w:t xml:space="preserve"> Conteggio eseguito il 26 agosto 2026 sui sorgenti markdown del branch. Fuori dall'opera dedicata la stringa compare ventisei volte in quattordici documenti; altre sette stanno in moro-ministro-esteri/volume.html, che è l'edizione rilegata delle stesse ricognizioni e non aggiunge occorrenze indipendenti. Il perimetro è dichiarato perché senza perimetro il numero non è riproducibile, ed è la regola che il resto della serie applica a se stesso.</w:t>
      </w:r>
    </w:p>
    <w:p>
      <w:pPr>
        <w:spacing w:after="120" w:line="276"/>
        <w:jc w:val="both"/>
      </w:pPr>
      <w:r>
        <w:rPr>
          <w:rFonts w:ascii="Barlow Semi Condensed" w:cs="Barlow Semi Condensed" w:eastAsia="Barlow Semi Condensed" w:hAnsi="Barlow Semi Condensed"/>
          <w:b/>
          <w:bCs/>
          <w:sz w:val="24"/>
          <w:szCs w:val="24"/>
        </w:rPr>
        <w:t xml:space="preserve">4516 · Diciannove occorrenze sostanziali.</w:t>
      </w:r>
      <w:r>
        <w:rPr>
          <w:rFonts w:ascii="Barlow Semi Condensed" w:cs="Barlow Semi Condensed" w:eastAsia="Barlow Semi Condensed" w:hAnsi="Barlow Semi Condensed"/>
          <w:sz w:val="24"/>
          <w:szCs w:val="24"/>
        </w:rPr>
        <w:t xml:space="preserve"> Delle ventisei, cinque stanno nelle voci di catalogo, due in GUIDA-ALLA-LETTURA.md e tre in INDICE-DOCUMENTI-BRANCH.md, e descrivono l'opera dedicata anziché il caso; due sono indirizzi bibliografici, le note 50 e 51 di note-bibliografiche-opera-integrale.md. Restano diciannove occorrenze sostanziali, in undici documenti. Scorporare il metatesto dal testo è operazione elementare, e quasi mai eseguita da chi cita i totali.</w:t>
      </w:r>
    </w:p>
    <w:p>
      <w:pPr>
        <w:spacing w:after="120" w:line="276"/>
        <w:jc w:val="both"/>
      </w:pPr>
      <w:r>
        <w:rPr>
          <w:rFonts w:ascii="Barlow Semi Condensed" w:cs="Barlow Semi Condensed" w:eastAsia="Barlow Semi Condensed" w:hAnsi="Barlow Semi Condensed"/>
          <w:b/>
          <w:bCs/>
          <w:sz w:val="24"/>
          <w:szCs w:val="24"/>
        </w:rPr>
        <w:t xml:space="preserve">4517 · Una occorrenza ogni dodicimila parole.</w:t>
      </w:r>
      <w:r>
        <w:rPr>
          <w:rFonts w:ascii="Barlow Semi Condensed" w:cs="Barlow Semi Condensed" w:eastAsia="Barlow Semi Condensed" w:hAnsi="Barlow Semi Condensed"/>
          <w:sz w:val="24"/>
          <w:szCs w:val="24"/>
        </w:rPr>
        <w:t xml:space="preserve"> Il corpus storico markdown, escluse le 74.627 parole dell'opera dedicata, conta 234.109 parole per diciannove occorrenze sostanziali del nome: circa una ogni dodicimila parole. La densità si registra come misura e non come argomento. Una bassa densità non prova assenza di rapporti, secondo il secondo tempo della regola dei buchi: prova che i documenti spogliati sono altri. Il rimedio è lo spoglio, non l'inferenza.</w:t>
      </w:r>
    </w:p>
    <w:p>
      <w:pPr>
        <w:spacing w:after="120" w:line="276"/>
        <w:jc w:val="both"/>
      </w:pPr>
      <w:r>
        <w:rPr>
          <w:rFonts w:ascii="Barlow Semi Condensed" w:cs="Barlow Semi Condensed" w:eastAsia="Barlow Semi Condensed" w:hAnsi="Barlow Semi Condensed"/>
          <w:b/>
          <w:bCs/>
          <w:sz w:val="24"/>
          <w:szCs w:val="24"/>
        </w:rPr>
        <w:t xml:space="preserve">4518 · Mille blocchi, settantaquattromila parole.</w:t>
      </w:r>
      <w:r>
        <w:rPr>
          <w:rFonts w:ascii="Barlow Semi Condensed" w:cs="Barlow Semi Condensed" w:eastAsia="Barlow Semi Condensed" w:hAnsi="Barlow Semi Condensed"/>
          <w:sz w:val="24"/>
          <w:szCs w:val="24"/>
        </w:rPr>
        <w:t xml:space="preserve"> L'opera dedicata è stata contata: mille blocchi esatti, verificati per marcatura, e 74.627 parole. Rappresenta oggi circa un quarto delle parole dell'intero corpus storico del branch. È la misura di un'indagine e non di un oggetto: il volume di testo prodotto intorno a un nome misura l'attenzione dell'indagine e non il peso del nome nel caso. Confondere le due misure è il vizio che la serie censisce.</w:t>
      </w:r>
    </w:p>
    <w:p>
      <w:pPr>
        <w:spacing w:after="120" w:line="276"/>
        <w:jc w:val="both"/>
      </w:pPr>
      <w:r>
        <w:rPr>
          <w:rFonts w:ascii="Barlow Semi Condensed" w:cs="Barlow Semi Condensed" w:eastAsia="Barlow Semi Condensed" w:hAnsi="Barlow Semi Condensed"/>
          <w:b/>
          <w:bCs/>
          <w:sz w:val="24"/>
          <w:szCs w:val="24"/>
        </w:rPr>
        <w:t xml:space="preserve">4519 · Il paradosso di volume.</w:t>
      </w:r>
      <w:r>
        <w:rPr>
          <w:rFonts w:ascii="Barlow Semi Condensed" w:cs="Barlow Semi Condensed" w:eastAsia="Barlow Semi Condensed" w:hAnsi="Barlow Semi Condensed"/>
          <w:sz w:val="24"/>
          <w:szCs w:val="24"/>
        </w:rPr>
        <w:t xml:space="preserve"> Al 25 agosto 2026 il corpus misurato dal paragrafo sesto contava 104.504 parole. L'opera dedicata a questo nome ne conta 74.627, cioè il settantuno per cento circa di quella misura, in un solo testo, su un nome che il resto del corpus nomina diciannove volte in senso sostanziale. Il paradosso si dichiara e non si nasconde: dice quanto lavoro è servito per stabilire, in massima parte, delle assenze.</w:t>
      </w:r>
    </w:p>
    <w:p>
      <w:pPr>
        <w:spacing w:after="120" w:line="276"/>
        <w:jc w:val="both"/>
      </w:pPr>
      <w:r>
        <w:rPr>
          <w:rFonts w:ascii="Barlow Semi Condensed" w:cs="Barlow Semi Condensed" w:eastAsia="Barlow Semi Condensed" w:hAnsi="Barlow Semi Condensed"/>
          <w:b/>
          <w:bCs/>
          <w:sz w:val="24"/>
          <w:szCs w:val="24"/>
        </w:rPr>
        <w:t xml:space="preserve">4520 · Il volume non è un peso.</w:t>
      </w:r>
      <w:r>
        <w:rPr>
          <w:rFonts w:ascii="Barlow Semi Condensed" w:cs="Barlow Semi Condensed" w:eastAsia="Barlow Semi Condensed" w:hAnsi="Barlow Semi Condensed"/>
          <w:sz w:val="24"/>
          <w:szCs w:val="24"/>
        </w:rPr>
        <w:t xml:space="preserve"> Vale ovunque una regola di lettura semplice: la quantità di testo dedicata a un nodo misura lo sforzo di verifica speso su di esso, mai la sua rilevanza probatoria. Nel corpus vale nei due sensi, perché il ceppo del 1969 occupa poche righe nella tavola dei gradi e la seconda intermediazione dell'intera rete, mentre questo nome occupa un'opera intera e nessuna riga della rete.</w:t>
      </w:r>
    </w:p>
    <w:p>
      <w:pPr>
        <w:spacing w:after="120" w:line="276"/>
        <w:jc w:val="both"/>
      </w:pPr>
      <w:r>
        <w:rPr>
          <w:rFonts w:ascii="Barlow Semi Condensed" w:cs="Barlow Semi Condensed" w:eastAsia="Barlow Semi Condensed" w:hAnsi="Barlow Semi Condensed"/>
          <w:b/>
          <w:bCs/>
          <w:sz w:val="24"/>
          <w:szCs w:val="24"/>
        </w:rPr>
        <w:t xml:space="preserve">4521 · L'auto-misurazione si è fermata alle dieci.</w:t>
      </w:r>
      <w:r>
        <w:rPr>
          <w:rFonts w:ascii="Barlow Semi Condensed" w:cs="Barlow Semi Condensed" w:eastAsia="Barlow Semi Condensed" w:hAnsi="Barlow Semi Condensed"/>
          <w:sz w:val="24"/>
          <w:szCs w:val="24"/>
        </w:rPr>
        <w:t xml:space="preserve"> Accertamento cronologico, di grado alto perché verificabile sul registro delle revisioni del branch. Il documento di metodo fu toccato l'ultima volta il 25 agosto 2026 alle 10.01; il manuale in quattrocento blocchi alle 11.01, l'agenda alle 12.03, i nove cantieri alle 12.32, l'opera dedicata a questo nome alle 22.31. Il paragrafo sesto misura dunque un corpus che non contiene nessuna delle quattro opere.</w:t>
      </w:r>
    </w:p>
    <w:p>
      <w:pPr>
        <w:spacing w:after="120" w:line="276"/>
        <w:jc w:val="both"/>
      </w:pPr>
      <w:r>
        <w:rPr>
          <w:rFonts w:ascii="Barlow Semi Condensed" w:cs="Barlow Semi Condensed" w:eastAsia="Barlow Semi Condensed" w:hAnsi="Barlow Semi Condensed"/>
          <w:b/>
          <w:bCs/>
          <w:sz w:val="24"/>
          <w:szCs w:val="24"/>
        </w:rPr>
        <w:t xml:space="preserve">4522 · Il ricalcolo di oggi.</w:t>
      </w:r>
      <w:r>
        <w:rPr>
          <w:rFonts w:ascii="Barlow Semi Condensed" w:cs="Barlow Semi Condensed" w:eastAsia="Barlow Semi Condensed" w:hAnsi="Barlow Semi Condensed"/>
          <w:sz w:val="24"/>
          <w:szCs w:val="24"/>
        </w:rPr>
        <w:t xml:space="preserve"> Rifatto il 26 agosto 2026 con perimetro dichiarato, cioè i documenti storici in markdown della radice e della cartella moro-ministro-esteri, il corpus conta cinquanta documenti e 308.736 parole, contro i trentasei documenti e le 104.504 parole del paragrafo sesto. Il documento di metodo non è sbagliato: è datato. Il bersaglio che ne discende è minimo e dovuto, cioè apporre la data del calcolo accanto a ogni cifra.</w:t>
      </w:r>
    </w:p>
    <w:p>
      <w:pPr>
        <w:spacing w:after="120" w:line="276"/>
        <w:jc w:val="both"/>
      </w:pPr>
      <w:r>
        <w:rPr>
          <w:rFonts w:ascii="Barlow Semi Condensed" w:cs="Barlow Semi Condensed" w:eastAsia="Barlow Semi Condensed" w:hAnsi="Barlow Semi Condensed"/>
          <w:b/>
          <w:bCs/>
          <w:sz w:val="24"/>
          <w:szCs w:val="24"/>
        </w:rPr>
        <w:t xml:space="preserve">4523 · Le marcature non si riproducono.</w:t>
      </w:r>
      <w:r>
        <w:rPr>
          <w:rFonts w:ascii="Barlow Semi Condensed" w:cs="Barlow Semi Condensed" w:eastAsia="Barlow Semi Condensed" w:hAnsi="Barlow Semi Condensed"/>
          <w:sz w:val="24"/>
          <w:szCs w:val="24"/>
        </w:rPr>
        <w:t xml:space="preserve"> Tentativo di replica, esito parziale e dichiarato. Il paragrafo sesto censisce quattordici occorrenze di «criterio di smentita», ventinove di «anti-triangolazioni», sessantadue di «esiti negativi». Il ricalcolo di oggi dà diciannove, trentaquattro e cinquantuno; ma ammettendo il plurale il primo sale a venticinque, allargando alle edizioni html il terzo sale a ottantuno, e al singolare arriva a ottantasette. Le cifre dipendono dal lemma e dal perimetro.</w:t>
      </w:r>
    </w:p>
    <w:p>
      <w:pPr>
        <w:spacing w:after="120" w:line="276"/>
        <w:jc w:val="both"/>
      </w:pPr>
      <w:r>
        <w:rPr>
          <w:rFonts w:ascii="Barlow Semi Condensed" w:cs="Barlow Semi Condensed" w:eastAsia="Barlow Semi Condensed" w:hAnsi="Barlow Semi Condensed"/>
          <w:b/>
          <w:bCs/>
          <w:sz w:val="24"/>
          <w:szCs w:val="24"/>
        </w:rPr>
        <w:t xml:space="preserve">4524 · Un numero senza perimetro non è riproducibile.</w:t>
      </w:r>
      <w:r>
        <w:rPr>
          <w:rFonts w:ascii="Barlow Semi Condensed" w:cs="Barlow Semi Condensed" w:eastAsia="Barlow Semi Condensed" w:hAnsi="Barlow Semi Condensed"/>
          <w:sz w:val="24"/>
          <w:szCs w:val="24"/>
        </w:rPr>
        <w:t xml:space="preserve"> Regola generale che questa serie propone al corpus. Ogni cifra di auto-misurazione va accompagnata da tre elementi: la stringa esatta interrogata, l'elenco dei file inclusi, la data del calcolo. La sede che chiude la lacuna è interna e a costo nullo, cioè lo script di conteggio versionato accanto al documento, cosicché chiunque possa rieseguirlo. Un numero che non si può rieseguire è un'affermazione, e si grada come tale.</w:t>
      </w:r>
    </w:p>
    <w:p>
      <w:pPr>
        <w:spacing w:after="120" w:line="276"/>
        <w:jc w:val="both"/>
      </w:pPr>
      <w:r>
        <w:rPr>
          <w:rFonts w:ascii="Barlow Semi Condensed" w:cs="Barlow Semi Condensed" w:eastAsia="Barlow Semi Condensed" w:hAnsi="Barlow Semi Condensed"/>
          <w:b/>
          <w:bCs/>
          <w:sz w:val="24"/>
          <w:szCs w:val="24"/>
        </w:rPr>
        <w:t xml:space="preserve">4525 · Centocinquantacinque Stati Zero.</w:t>
      </w:r>
      <w:r>
        <w:rPr>
          <w:rFonts w:ascii="Barlow Semi Condensed" w:cs="Barlow Semi Condensed" w:eastAsia="Barlow Semi Condensed" w:hAnsi="Barlow Semi Condensed"/>
          <w:sz w:val="24"/>
          <w:szCs w:val="24"/>
        </w:rPr>
        <w:t xml:space="preserve"> Trentasei erano le occorrenze di «Stato Zero» censite dal paragrafo sesto, con la lettura severa che ne discendeva: il corpus dichiara l'assenza documentata più spesso di quanto conceda il fatto pubblico non gradato. Oggi le occorrenze nei markdown sono centocinquantacinque, di cui sessantotto nella sola opera dedicata a questo nome e ottantasette fuori. Il perimetro negativo è cresciuto più in fretta di quello positivo, ed è l'esito atteso.</w:t>
      </w:r>
    </w:p>
    <w:p>
      <w:pPr>
        <w:spacing w:after="120" w:line="276"/>
        <w:jc w:val="both"/>
      </w:pPr>
      <w:r>
        <w:rPr>
          <w:rFonts w:ascii="Barlow Semi Condensed" w:cs="Barlow Semi Condensed" w:eastAsia="Barlow Semi Condensed" w:hAnsi="Barlow Semi Condensed"/>
          <w:b/>
          <w:bCs/>
          <w:sz w:val="24"/>
          <w:szCs w:val="24"/>
        </w:rPr>
        <w:t xml:space="preserve">4526 · Che cosa misura quel conteggio.</w:t>
      </w:r>
      <w:r>
        <w:rPr>
          <w:rFonts w:ascii="Barlow Semi Condensed" w:cs="Barlow Semi Condensed" w:eastAsia="Barlow Semi Condensed" w:hAnsi="Barlow Semi Condensed"/>
          <w:sz w:val="24"/>
          <w:szCs w:val="24"/>
        </w:rPr>
        <w:t xml:space="preserve"> Precisazione necessaria, perché il numero è facile da fraintendere. Contare le occorrenze della formula «Stato Zero» misura le dichiarazioni di assenza, non le assenze del mondo. È una statistica sulla disciplina di scrittura del corpus. Una ricerca che non trovi nulla e non lo scriva non produce alcuna occorrenza, e resta invisibile al conteggio. Il numero premia chi verbalizza, ed è esattamente ciò che deve fare.</w:t>
      </w:r>
    </w:p>
    <w:p>
      <w:pPr>
        <w:spacing w:after="120" w:line="276"/>
        <w:jc w:val="both"/>
      </w:pPr>
      <w:r>
        <w:rPr>
          <w:rFonts w:ascii="Barlow Semi Condensed" w:cs="Barlow Semi Condensed" w:eastAsia="Barlow Semi Condensed" w:hAnsi="Barlow Semi Condensed"/>
          <w:b/>
          <w:bCs/>
          <w:sz w:val="24"/>
          <w:szCs w:val="24"/>
        </w:rPr>
        <w:t xml:space="preserve">4527 · Contare i piani non conta i ponti.</w:t>
      </w:r>
      <w:r>
        <w:rPr>
          <w:rFonts w:ascii="Barlow Semi Condensed" w:cs="Barlow Semi Condensed" w:eastAsia="Barlow Semi Condensed" w:hAnsi="Barlow Semi Condensed"/>
          <w:sz w:val="24"/>
          <w:szCs w:val="24"/>
        </w:rPr>
        <w:t xml:space="preserve"> Nell'opera dedicata la formula «piano 1» ricorre trentasette volte, «piano 2» venti, «piano 3» dieci. È una misura del lessico e non dei ponti: la frequenza con cui un testo nomina il piano più alto non dice quanti rapporti diretti abbia stabilito. Il conteggio dei ponti effettivi verso il caso resta quello che il corpus registra da sempre, cioè nessuno. La statistica lessicale non promuove alcun grado.</w:t>
      </w:r>
    </w:p>
    <w:p>
      <w:pPr>
        <w:spacing w:after="120" w:line="276"/>
        <w:jc w:val="both"/>
      </w:pPr>
      <w:r>
        <w:rPr>
          <w:rFonts w:ascii="Barlow Semi Condensed" w:cs="Barlow Semi Condensed" w:eastAsia="Barlow Semi Condensed" w:hAnsi="Barlow Semi Condensed"/>
          <w:b/>
          <w:bCs/>
          <w:sz w:val="24"/>
          <w:szCs w:val="24"/>
        </w:rPr>
        <w:t xml:space="preserve">4528 · Che cosa smentirebbe l'assenza dalla rete.</w:t>
      </w:r>
      <w:r>
        <w:rPr>
          <w:rFonts w:ascii="Barlow Semi Condensed" w:cs="Barlow Semi Condensed" w:eastAsia="Barlow Semi Condensed" w:hAnsi="Barlow Semi Condensed"/>
          <w:sz w:val="24"/>
          <w:szCs w:val="24"/>
        </w:rPr>
        <w:t xml:space="preserve"> Bersaglio di smentita, formulato per intero. L'affermazione che questo nome non appartiene alla rete documentata cadrebbe davanti a un solo oggetto: un documento a segnatura che leghi il nodo a un altro nodo censito, con data, protocollo e sede, e con il grado dell'arco dichiarato. Non basta una citazione, non basta una convergenza di cornice, non basta una testimonianza de relato. Serve un arco gradabile.</w:t>
      </w:r>
    </w:p>
    <w:p>
      <w:pPr>
        <w:spacing w:after="120" w:line="276"/>
        <w:jc w:val="both"/>
      </w:pPr>
      <w:r>
        <w:rPr>
          <w:rFonts w:ascii="Barlow Semi Condensed" w:cs="Barlow Semi Condensed" w:eastAsia="Barlow Semi Condensed" w:hAnsi="Barlow Semi Condensed"/>
          <w:b/>
          <w:bCs/>
          <w:sz w:val="24"/>
          <w:szCs w:val="24"/>
        </w:rPr>
        <w:t xml:space="preserve">4529 · Numeri uguali non sono numeri imparentati.</w:t>
      </w:r>
      <w:r>
        <w:rPr>
          <w:rFonts w:ascii="Barlow Semi Condensed" w:cs="Barlow Semi Condensed" w:eastAsia="Barlow Semi Condensed" w:hAnsi="Barlow Semi Condensed"/>
          <w:sz w:val="24"/>
          <w:szCs w:val="24"/>
        </w:rPr>
        <w:t xml:space="preserve"> La distinzione fra omologia e analogia si applica anche alle cifre. Due numeri identici in due tavole diverse non hanno per ciò stesso un'origine comune, come due strutture simili non hanno per ciò stesso un antenato comune. Il test è il medesimo: si risale alla procedura che li ha prodotti. Chi accosta cifre uguali senza risalire alle procedure costruisce coincidenze e le chiama corrispondenze.</w:t>
      </w:r>
    </w:p>
    <w:p>
      <w:pPr>
        <w:spacing w:after="120" w:line="276"/>
        <w:jc w:val="both"/>
      </w:pPr>
      <w:r>
        <w:rPr>
          <w:rFonts w:ascii="Barlow Semi Condensed" w:cs="Barlow Semi Condensed" w:eastAsia="Barlow Semi Condensed" w:hAnsi="Barlow Semi Condensed"/>
          <w:b/>
          <w:bCs/>
          <w:sz w:val="24"/>
          <w:szCs w:val="24"/>
        </w:rPr>
        <w:t xml:space="preserve">4530 · I due trentanove del corpus.</w:t>
      </w:r>
      <w:r>
        <w:rPr>
          <w:rFonts w:ascii="Barlow Semi Condensed" w:cs="Barlow Semi Condensed" w:eastAsia="Barlow Semi Condensed" w:hAnsi="Barlow Semi Condensed"/>
          <w:sz w:val="24"/>
          <w:szCs w:val="24"/>
        </w:rPr>
        <w:t xml:space="preserve"> Il caso è nel corpus e vale come esercizio. Il documento di metodo conta trentanove nodi nel grafo; GUIDA-ALLA-LETTURA.md e INDICE-DOCUMENTI-BRANCH.md attribuiscono a triangolazioni-guevara-moro.md una verifica sistematica in trentanove nodi. Sono insiemi diversi: i secondi sono i dieci nodi della triangolazione interna, documento contro documento, e i ventinove della triangolazione esterna. Stesso numero, oggetti distinti, nessuna parentela.</w:t>
      </w:r>
    </w:p>
    <w:p>
      <w:pPr>
        <w:spacing w:after="120" w:line="276"/>
        <w:jc w:val="both"/>
      </w:pPr>
      <w:r>
        <w:rPr>
          <w:rFonts w:ascii="Barlow Semi Condensed" w:cs="Barlow Semi Condensed" w:eastAsia="Barlow Semi Condensed" w:hAnsi="Barlow Semi Condensed"/>
          <w:b/>
          <w:bCs/>
          <w:sz w:val="24"/>
          <w:szCs w:val="24"/>
        </w:rPr>
        <w:t xml:space="preserve">4531 · M-5 sta fuori da entrambi.</w:t>
      </w:r>
      <w:r>
        <w:rPr>
          <w:rFonts w:ascii="Barlow Semi Condensed" w:cs="Barlow Semi Condensed" w:eastAsia="Barlow Semi Condensed" w:hAnsi="Barlow Semi Condensed"/>
          <w:sz w:val="24"/>
          <w:szCs w:val="24"/>
        </w:rPr>
        <w:t xml:space="preserve"> Conseguenza diretta, e riguarda proprio questo nome. Il solo nodo del corpus in cui esso compare è M-5, «L'ombra statunitense su entrambe le morti», che appartiene alla matrice comparativa Guevara-Moro e non ai trentanove nodi di verifica; e non compare fra i trentanove nodi del grafo. Il nome più esposto alla combinatoria abita l'unico nodo che nessuna delle due numerazioni conta.</w:t>
      </w:r>
    </w:p>
    <w:p>
      <w:pPr>
        <w:spacing w:after="120" w:line="276"/>
        <w:jc w:val="both"/>
      </w:pPr>
      <w:r>
        <w:rPr>
          <w:rFonts w:ascii="Barlow Semi Condensed" w:cs="Barlow Semi Condensed" w:eastAsia="Barlow Semi Condensed" w:hAnsi="Barlow Semi Condensed"/>
          <w:b/>
          <w:bCs/>
          <w:sz w:val="24"/>
          <w:szCs w:val="24"/>
        </w:rPr>
        <w:t xml:space="preserve">4532 · Graduare la sinapsi, non il neurone.</w:t>
      </w:r>
      <w:r>
        <w:rPr>
          <w:rFonts w:ascii="Barlow Semi Condensed" w:cs="Barlow Semi Condensed" w:eastAsia="Barlow Semi Condensed" w:hAnsi="Barlow Semi Condensed"/>
          <w:sz w:val="24"/>
          <w:szCs w:val="24"/>
        </w:rPr>
        <w:t xml:space="preserve"> Per portare M-5 dentro una figura di rete occorre gradare i suoi archi e non il nodo: la presenza dell'agente a La Higuera nel 1967, documentata dagli archivi statunitensi declassificati nel 1997; la testimonianza contestata del 1982; la presenza del consulente nel comitato di crisi. Tre archi, tre gradi diversi, e il cammino varrebbe il minimo dei tre. È il bersaglio operativo che chiude la lacuna precedente.</w:t>
      </w:r>
    </w:p>
    <w:p>
      <w:pPr>
        <w:spacing w:after="120" w:line="276"/>
        <w:jc w:val="both"/>
      </w:pPr>
      <w:r>
        <w:rPr>
          <w:rFonts w:ascii="Barlow Semi Condensed" w:cs="Barlow Semi Condensed" w:eastAsia="Barlow Semi Condensed" w:hAnsi="Barlow Semi Condensed"/>
          <w:b/>
          <w:bCs/>
          <w:sz w:val="24"/>
          <w:szCs w:val="24"/>
        </w:rPr>
        <w:t xml:space="preserve">4533 · Ottantasette bossoli su novantuno.</w:t>
      </w:r>
      <w:r>
        <w:rPr>
          <w:rFonts w:ascii="Barlow Semi Condensed" w:cs="Barlow Semi Condensed" w:eastAsia="Barlow Semi Condensed" w:hAnsi="Barlow Semi Condensed"/>
          <w:sz w:val="24"/>
          <w:szCs w:val="24"/>
        </w:rPr>
        <w:t xml:space="preserve"> Ecco che cosa il corpus sa contare per davvero. Sul selciato di via Fani furono repertati novantuno bossoli; la ripartizione peritale storica ne attribuisce quarantanove a un'arma, ventidue a una seconda, cinque, tre e otto alle restanti. La somma fa ottantasette. Il residuo di quattro è il quesito b della scheda PN-1 in approfondimento-piste-di-testa.md, e si chiude con una perizia, non con un'interpretazione.</w:t>
      </w:r>
    </w:p>
    <w:p>
      <w:pPr>
        <w:spacing w:after="120" w:line="276"/>
        <w:jc w:val="both"/>
      </w:pPr>
      <w:r>
        <w:rPr>
          <w:rFonts w:ascii="Barlow Semi Condensed" w:cs="Barlow Semi Condensed" w:eastAsia="Barlow Semi Condensed" w:hAnsi="Barlow Semi Condensed"/>
          <w:b/>
          <w:bCs/>
          <w:sz w:val="24"/>
          <w:szCs w:val="24"/>
        </w:rPr>
        <w:t xml:space="preserve">4534 · Il numero che non tocca questo nome.</w:t>
      </w:r>
      <w:r>
        <w:rPr>
          <w:rFonts w:ascii="Barlow Semi Condensed" w:cs="Barlow Semi Condensed" w:eastAsia="Barlow Semi Condensed" w:hAnsi="Barlow Semi Condensed"/>
          <w:sz w:val="24"/>
          <w:szCs w:val="24"/>
        </w:rPr>
        <w:t xml:space="preserve"> Il rilievo è pertinente proprio perché negativo. La sola domanda numerica del caso che una perizia possa chiudere in modo dirimente, cioè il residuo balistico di via Fani, non ha alcun rapporto con il nome triangolato e non ne acquisterebbe qualunque fosse l'esito. Un tiratore non attribuito resterebbe non attribuito. Si registra perché la tentazione opposta è documentata nella pubblicistica del superkiller.</w:t>
      </w:r>
    </w:p>
    <w:p>
      <w:pPr>
        <w:spacing w:after="120" w:line="276"/>
        <w:jc w:val="both"/>
      </w:pPr>
      <w:r>
        <w:rPr>
          <w:rFonts w:ascii="Barlow Semi Condensed" w:cs="Barlow Semi Condensed" w:eastAsia="Barlow Semi Condensed" w:hAnsi="Barlow Semi Condensed"/>
          <w:b/>
          <w:bCs/>
          <w:sz w:val="24"/>
          <w:szCs w:val="24"/>
        </w:rPr>
        <w:t xml:space="preserve">4535 · La graduatoria delle piste.</w:t>
      </w:r>
      <w:r>
        <w:rPr>
          <w:rFonts w:ascii="Barlow Semi Condensed" w:cs="Barlow Semi Condensed" w:eastAsia="Barlow Semi Condensed" w:hAnsi="Barlow Semi Condensed"/>
          <w:sz w:val="24"/>
          <w:szCs w:val="24"/>
        </w:rPr>
        <w:t xml:space="preserve"> Il programma investigativo gradua le piste con punteggi: PN-1 a 89,0, PN-7 a 77,5, PN-4 a 74,5, PN-2 a 71,0. Sono le quattro di testa, approfondite in schede da cold case. Nessuna è internazionale, e la Nota di revisione n. 1 osserva che la testa della graduatoria non cambia ma cambia in meglio la ragione per cui è quella: la balistica, non la testimonianza.</w:t>
      </w:r>
    </w:p>
    <w:p>
      <w:pPr>
        <w:spacing w:after="120" w:line="276"/>
        <w:jc w:val="both"/>
      </w:pPr>
      <w:r>
        <w:rPr>
          <w:rFonts w:ascii="Barlow Semi Condensed" w:cs="Barlow Semi Condensed" w:eastAsia="Barlow Semi Condensed" w:hAnsi="Barlow Semi Condensed"/>
          <w:b/>
          <w:bCs/>
          <w:sz w:val="24"/>
          <w:szCs w:val="24"/>
        </w:rPr>
        <w:t xml:space="preserve">4536 · Con quali criteri entrerebbe una pista estera.</w:t>
      </w:r>
      <w:r>
        <w:rPr>
          <w:rFonts w:ascii="Barlow Semi Condensed" w:cs="Barlow Semi Condensed" w:eastAsia="Barlow Semi Condensed" w:hAnsi="Barlow Semi Condensed"/>
          <w:sz w:val="24"/>
          <w:szCs w:val="24"/>
        </w:rPr>
        <w:t xml:space="preserve"> Quesito di metodo, da porre prima di ogni punteggio. Una pista internazionale entrerebbe in graduatoria solo se punteggiabile con gli stessi criteri delle altre: giacimento identificato, sede accessibile, atto istruttorio possibile, criterio di chiusura dichiarato. Allo stato il primo criterio è soddisfatto, perché i fondi americani esistono e sono nominati, e il terzo non lo è. Il punteggio risulterebbe basso, e sarebbe onesto.</w:t>
      </w:r>
    </w:p>
    <w:p>
      <w:pPr>
        <w:spacing w:after="120" w:line="276"/>
        <w:jc w:val="both"/>
      </w:pPr>
      <w:r>
        <w:rPr>
          <w:rFonts w:ascii="Barlow Semi Condensed" w:cs="Barlow Semi Condensed" w:eastAsia="Barlow Semi Condensed" w:hAnsi="Barlow Semi Condensed"/>
          <w:b/>
          <w:bCs/>
          <w:sz w:val="24"/>
          <w:szCs w:val="24"/>
        </w:rPr>
        <w:t xml:space="preserve">4537 · Il divieto di percentuali di responsabilità.</w:t>
      </w:r>
      <w:r>
        <w:rPr>
          <w:rFonts w:ascii="Barlow Semi Condensed" w:cs="Barlow Semi Condensed" w:eastAsia="Barlow Semi Condensed" w:hAnsi="Barlow Semi Condensed"/>
          <w:sz w:val="24"/>
          <w:szCs w:val="24"/>
        </w:rPr>
        <w:t xml:space="preserve"> Il sesto-bis lo dice con la massima nettezza e va riportato applicato: le uniche percentuali oneste sono quote di centralità nella documentazione e quote di grado. Una ripartizione percentuale di responsabilità fra soggetti non-BR si costruirebbe su un comparto che non contiene alcun arco di giudicato. Su questo nome la conseguenza è ulteriore, perché non essendovi arco alcuno non esiste nemmeno il comparto su cui costruirla.</w:t>
      </w:r>
    </w:p>
    <w:p>
      <w:pPr>
        <w:spacing w:after="120" w:line="276"/>
        <w:jc w:val="both"/>
      </w:pPr>
      <w:r>
        <w:rPr>
          <w:rFonts w:ascii="Barlow Semi Condensed" w:cs="Barlow Semi Condensed" w:eastAsia="Barlow Semi Condensed" w:hAnsi="Barlow Semi Condensed"/>
          <w:b/>
          <w:bCs/>
          <w:sz w:val="24"/>
          <w:szCs w:val="24"/>
        </w:rPr>
        <w:t xml:space="preserve">4538 · La consilienza non è una somma.</w:t>
      </w:r>
      <w:r>
        <w:rPr>
          <w:rFonts w:ascii="Barlow Semi Condensed" w:cs="Barlow Semi Condensed" w:eastAsia="Barlow Semi Condensed" w:hAnsi="Barlow Semi Condensed"/>
          <w:sz w:val="24"/>
          <w:szCs w:val="24"/>
        </w:rPr>
        <w:t xml:space="preserve"> Il guardrail del paragrafo quinto governa ogni conteggio di convergenze: la convergenza rafforza solo fra linee davvero indipendenti, e mai oltre il grado della linea più debole. Sull'episodio riferito le linee non sono indipendenti, perché risalgono a un unico lancio d'agenzia, e la più debole è una testimonianza de relato. Sommarle non produce rafforzamento: produce l'apparenza di un rafforzamento, che è cosa diversa.</w:t>
      </w:r>
    </w:p>
    <w:p>
      <w:pPr>
        <w:spacing w:after="120" w:line="276"/>
        <w:jc w:val="both"/>
      </w:pPr>
      <w:r>
        <w:rPr>
          <w:rFonts w:ascii="Barlow Semi Condensed" w:cs="Barlow Semi Condensed" w:eastAsia="Barlow Semi Condensed" w:hAnsi="Barlow Semi Condensed"/>
          <w:b/>
          <w:bCs/>
          <w:sz w:val="24"/>
          <w:szCs w:val="24"/>
        </w:rPr>
        <w:t xml:space="preserve">4539 · Le anti-triangolazioni salgono a trentaquattro.</w:t>
      </w:r>
      <w:r>
        <w:rPr>
          <w:rFonts w:ascii="Barlow Semi Condensed" w:cs="Barlow Semi Condensed" w:eastAsia="Barlow Semi Condensed" w:hAnsi="Barlow Semi Condensed"/>
          <w:sz w:val="24"/>
          <w:szCs w:val="24"/>
        </w:rPr>
        <w:t xml:space="preserve"> Ventinove ne censiva l'auto-misurazione; il ricalcolo di oggi ne dà trentaquattro nei markdown. Sono i punti in cui una falsa consilienza è stata smontata, e il corpus le conta come prodotto e non come scarto. Questa serie ne aggiunge di proprie: la coincidenza dei due trentanove, la somma delle ripetizioni d'agenzia, il volume di testo letto come peso probatorio. Nessuna di esse costituisce un nesso.</w:t>
      </w:r>
    </w:p>
    <w:p>
      <w:pPr>
        <w:spacing w:after="120" w:line="276"/>
        <w:jc w:val="both"/>
      </w:pPr>
      <w:r>
        <w:rPr>
          <w:rFonts w:ascii="Barlow Semi Condensed" w:cs="Barlow Semi Condensed" w:eastAsia="Barlow Semi Condensed" w:hAnsi="Barlow Semi Condensed"/>
          <w:b/>
          <w:bCs/>
          <w:sz w:val="24"/>
          <w:szCs w:val="24"/>
        </w:rPr>
        <w:t xml:space="preserve">4540 · Tredici, e non aumenta.</w:t>
      </w:r>
      <w:r>
        <w:rPr>
          <w:rFonts w:ascii="Barlow Semi Condensed" w:cs="Barlow Semi Condensed" w:eastAsia="Barlow Semi Condensed" w:hAnsi="Barlow Semi Condensed"/>
          <w:sz w:val="24"/>
          <w:szCs w:val="24"/>
        </w:rPr>
        <w:t xml:space="preserve"> Il registro nominativo della Fase decima conta tredici responsabilità individuali accertate in giudicato, ciascuna con la propria condotta. Il numero non cresce per aritmetica, per convergenza o per volume d'indagine: cresce solo per sentenza. È il vincolo che rende innocua ogni statistica di questa serie, e il motivo per cui un'opera di mille blocchi su un nome non ha aggiunto e non aggiungerà quel nome ad alcun elenco.</w:t>
      </w:r>
    </w:p>
    <w:p>
      <w:pPr>
        <w:spacing w:after="120" w:line="276"/>
        <w:jc w:val="both"/>
      </w:pPr>
      <w:r>
        <w:rPr>
          <w:rFonts w:ascii="Barlow Semi Condensed" w:cs="Barlow Semi Condensed" w:eastAsia="Barlow Semi Condensed" w:hAnsi="Barlow Semi Condensed"/>
          <w:b/>
          <w:bCs/>
          <w:sz w:val="24"/>
          <w:szCs w:val="24"/>
        </w:rPr>
        <w:t xml:space="preserve">4541 · Il nodo calamita, in cifre.</w:t>
      </w:r>
      <w:r>
        <w:rPr>
          <w:rFonts w:ascii="Barlow Semi Condensed" w:cs="Barlow Semi Condensed" w:eastAsia="Barlow Semi Condensed" w:hAnsi="Barlow Semi Condensed"/>
          <w:sz w:val="24"/>
          <w:szCs w:val="24"/>
        </w:rPr>
        <w:t xml:space="preserve"> Il blocco 55 nomina l'effetto: nelle reti costruite a mano i nodi molto noti attraggono archi disegnati per plausibilità. Tradotto in numeri, il rischio è misurabile in anticipo. Ammettendo archi di sola cornice, questo nodo ne raccoglierebbe decine, fra Cile, Portogallo, Grecia, Turchia ed Helsinki, e diventerebbe per costruzione il più centrale della rete. Il risultato misurerebbe la procedura di disegno, non il mondo.</w:t>
      </w:r>
    </w:p>
    <w:p>
      <w:pPr>
        <w:spacing w:after="120" w:line="276"/>
        <w:jc w:val="both"/>
      </w:pPr>
      <w:r>
        <w:rPr>
          <w:rFonts w:ascii="Barlow Semi Condensed" w:cs="Barlow Semi Condensed" w:eastAsia="Barlow Semi Condensed" w:hAnsi="Barlow Semi Condensed"/>
          <w:b/>
          <w:bCs/>
          <w:sz w:val="24"/>
          <w:szCs w:val="24"/>
        </w:rPr>
        <w:t xml:space="preserve">4542 · L'onere grava su chi propone.</w:t>
      </w:r>
      <w:r>
        <w:rPr>
          <w:rFonts w:ascii="Barlow Semi Condensed" w:cs="Barlow Semi Condensed" w:eastAsia="Barlow Semi Condensed" w:hAnsi="Barlow Semi Condensed"/>
          <w:sz w:val="24"/>
          <w:szCs w:val="24"/>
        </w:rPr>
        <w:t xml:space="preserve"> Va fissata una procedura prima di ogni calcolo futuro. Ogni arco che tocchi questo nodo entra nella rete solo con documento a segnatura, e l'onere di produrlo grava su chi propone l'arco, mai su chi lo contesta. Non è severità verso un nome: è l'unico modo perché una betweenness calcolata su quella rete continui a misurare documenti. Invertire l'onere converte la rete in un'illustrazione.</w:t>
      </w:r>
    </w:p>
    <w:p>
      <w:pPr>
        <w:spacing w:after="120" w:line="276"/>
        <w:jc w:val="both"/>
      </w:pPr>
      <w:r>
        <w:rPr>
          <w:rFonts w:ascii="Barlow Semi Condensed" w:cs="Barlow Semi Condensed" w:eastAsia="Barlow Semi Condensed" w:hAnsi="Barlow Semi Condensed"/>
          <w:b/>
          <w:bCs/>
          <w:sz w:val="24"/>
          <w:szCs w:val="24"/>
        </w:rPr>
        <w:t xml:space="preserve">4543 · Pubblicare la lista degli archi.</w:t>
      </w:r>
      <w:r>
        <w:rPr>
          <w:rFonts w:ascii="Barlow Semi Condensed" w:cs="Barlow Semi Condensed" w:eastAsia="Barlow Semi Condensed" w:hAnsi="Barlow Semi Condensed"/>
          <w:sz w:val="24"/>
          <w:szCs w:val="24"/>
        </w:rPr>
        <w:t xml:space="preserve"> La lacuna più utile che questa serie possa segnalare è interna. Il documento di metodo dichiara di aver calcolato su trentanove nodi e cinquantanove archi, ma non stampa l'elenco degli archi con i loro gradi e le loro segnature. Senza quell'elenco le centralità non sono ricontrollabili da nessuno. La sede che la chiude è il branch stesso: un file di archi versionato accanto al documento.</w:t>
      </w:r>
    </w:p>
    <w:p>
      <w:pPr>
        <w:spacing w:after="120" w:line="276"/>
        <w:jc w:val="both"/>
      </w:pPr>
      <w:r>
        <w:rPr>
          <w:rFonts w:ascii="Barlow Semi Condensed" w:cs="Barlow Semi Condensed" w:eastAsia="Barlow Semi Condensed" w:hAnsi="Barlow Semi Condensed"/>
          <w:b/>
          <w:bCs/>
          <w:sz w:val="24"/>
          <w:szCs w:val="24"/>
        </w:rPr>
        <w:t xml:space="preserve">4544 · Le sedi americane, per nome.</w:t>
      </w:r>
      <w:r>
        <w:rPr>
          <w:rFonts w:ascii="Barlow Semi Condensed" w:cs="Barlow Semi Condensed" w:eastAsia="Barlow Semi Condensed" w:hAnsi="Barlow Semi Condensed"/>
          <w:sz w:val="24"/>
          <w:szCs w:val="24"/>
        </w:rPr>
        <w:t xml:space="preserve"> Uno Stato Zero si scrive con la sede che lo chiuderebbe, e le sedi americane hanno un nome: National Archives di College Park, Record Group 59 del Dipartimento di Stato; Nixon Presidential Materials, NSC Files, Country Files Italy; Gerald R. Ford Presidential Library, National Security Adviser's Memoranda of Conversation, dove stanno il file 1552802 del 25 settembre 1974 e il 1552806 del giorno successivo.</w:t>
      </w:r>
    </w:p>
    <w:p>
      <w:pPr>
        <w:spacing w:after="120" w:line="276"/>
        <w:jc w:val="both"/>
      </w:pPr>
      <w:r>
        <w:rPr>
          <w:rFonts w:ascii="Barlow Semi Condensed" w:cs="Barlow Semi Condensed" w:eastAsia="Barlow Semi Condensed" w:hAnsi="Barlow Semi Condensed"/>
          <w:b/>
          <w:bCs/>
          <w:sz w:val="24"/>
          <w:szCs w:val="24"/>
        </w:rPr>
        <w:t xml:space="preserve">4545 · Le sedi italiane, per nome.</w:t>
      </w:r>
      <w:r>
        <w:rPr>
          <w:rFonts w:ascii="Barlow Semi Condensed" w:cs="Barlow Semi Condensed" w:eastAsia="Barlow Semi Condensed" w:hAnsi="Barlow Semi Condensed"/>
          <w:sz w:val="24"/>
          <w:szCs w:val="24"/>
        </w:rPr>
        <w:t xml:space="preserve"> Sul versante italiano le sedi che chiuderebbero i conteggi aperti sono altrettanto precise: l'Archivio storico diplomatico della Farnesina, serie Affari politici; l'Archivio centrale dello Stato; i resoconti stenografici della Commissione d'inchiesta, Doc. XXIII della VIII legislatura, negli archivi storici di Camera e Senato; i verbali d'udienza della Corte d'assise di Roma per il novembre 1982. Nessuna di esse è stata letta in originale.</w:t>
      </w:r>
    </w:p>
    <w:p>
      <w:pPr>
        <w:spacing w:after="120" w:line="276"/>
        <w:jc w:val="both"/>
      </w:pPr>
      <w:r>
        <w:rPr>
          <w:rFonts w:ascii="Barlow Semi Condensed" w:cs="Barlow Semi Condensed" w:eastAsia="Barlow Semi Condensed" w:hAnsi="Barlow Semi Condensed"/>
          <w:b/>
          <w:bCs/>
          <w:sz w:val="24"/>
          <w:szCs w:val="24"/>
        </w:rPr>
        <w:t xml:space="preserve">4546 · Il limite dichiarato vale sui numeri.</w:t>
      </w:r>
      <w:r>
        <w:rPr>
          <w:rFonts w:ascii="Barlow Semi Condensed" w:cs="Barlow Semi Condensed" w:eastAsia="Barlow Semi Condensed" w:hAnsi="Barlow Semi Condensed"/>
          <w:sz w:val="24"/>
          <w:szCs w:val="24"/>
        </w:rPr>
        <w:t xml:space="preserve"> L'apparato K-5 dichiara che la campagna non ha potuto leggere i documenti primari, per blocco d'accesso, e che le date confermate poggiano su convergenza di fonti secondarie. La conseguenza per una serie di numeri è netta: ogni cifra qui riportata su date, sedi e deposizioni è di secondo grado e va riscontrata sui testi ufficiali. Il conteggio interno ai sorgenti del branch, invece, è di prima mano.</w:t>
      </w:r>
    </w:p>
    <w:p>
      <w:pPr>
        <w:spacing w:after="120" w:line="276"/>
        <w:jc w:val="both"/>
      </w:pPr>
      <w:r>
        <w:rPr>
          <w:rFonts w:ascii="Barlow Semi Condensed" w:cs="Barlow Semi Condensed" w:eastAsia="Barlow Semi Condensed" w:hAnsi="Barlow Semi Condensed"/>
          <w:b/>
          <w:bCs/>
          <w:sz w:val="24"/>
          <w:szCs w:val="24"/>
        </w:rPr>
        <w:t xml:space="preserve">4547 · La centralità misura carte.</w:t>
      </w:r>
      <w:r>
        <w:rPr>
          <w:rFonts w:ascii="Barlow Semi Condensed" w:cs="Barlow Semi Condensed" w:eastAsia="Barlow Semi Condensed" w:hAnsi="Barlow Semi Condensed"/>
          <w:sz w:val="24"/>
          <w:szCs w:val="24"/>
        </w:rPr>
        <w:t xml:space="preserve"> Va ripetuta l'unica frase che il paragrafo primo antepone a ogni figura: la centralità misura la densità della documentazione, non la responsabilità. Che le Brigate Rosse dominino il grado è ovvio, perché sono l'oggetto del giudicato; che il CPM abbia la seconda intermediazione è invece il risultato analitico. Su un nodo che non esiste nel grafo la frase ha una versione ancora più corta: non misura nulla.</w:t>
      </w:r>
    </w:p>
    <w:p>
      <w:pPr>
        <w:spacing w:after="120" w:line="276"/>
        <w:jc w:val="both"/>
      </w:pPr>
      <w:r>
        <w:rPr>
          <w:rFonts w:ascii="Barlow Semi Condensed" w:cs="Barlow Semi Condensed" w:eastAsia="Barlow Semi Condensed" w:hAnsi="Barlow Semi Condensed"/>
          <w:b/>
          <w:bCs/>
          <w:sz w:val="24"/>
          <w:szCs w:val="24"/>
        </w:rPr>
        <w:t xml:space="preserve">4548 · Che cosa falsificherebbe questa serie (serie LIX).</w:t>
      </w:r>
      <w:r>
        <w:rPr>
          <w:rFonts w:ascii="Barlow Semi Condensed" w:cs="Barlow Semi Condensed" w:eastAsia="Barlow Semi Condensed" w:hAnsi="Barlow Semi Condensed"/>
          <w:sz w:val="24"/>
          <w:szCs w:val="24"/>
        </w:rPr>
        <w:t xml:space="preserve"> La serie cade per intero se si dimostra una delle tre cose seguenti: che il documento di metodo contiene il nome e la verifica meccanica ha sbagliato perimetro; che uno dei trentanove nodi corrisponde, sotto altra denominazione, a questo nodo; che uno dei diciassette archi non-BR ha per estremo un soggetto statunitense. Le tre verifiche si eseguono sui sorgenti del branch in pochi minuti, e vanno eseguite.</w:t>
      </w:r>
    </w:p>
    <w:p>
      <w:pPr>
        <w:spacing w:after="120" w:line="276"/>
        <w:jc w:val="both"/>
      </w:pPr>
      <w:r>
        <w:rPr>
          <w:rFonts w:ascii="Barlow Semi Condensed" w:cs="Barlow Semi Condensed" w:eastAsia="Barlow Semi Condensed" w:hAnsi="Barlow Semi Condensed"/>
          <w:b/>
          <w:bCs/>
          <w:sz w:val="24"/>
          <w:szCs w:val="24"/>
        </w:rPr>
        <w:t xml:space="preserve">4549 · Che cosa si è contato.</w:t>
      </w:r>
      <w:r>
        <w:rPr>
          <w:rFonts w:ascii="Barlow Semi Condensed" w:cs="Barlow Semi Condensed" w:eastAsia="Barlow Semi Condensed" w:hAnsi="Barlow Semi Condensed"/>
          <w:sz w:val="24"/>
          <w:szCs w:val="24"/>
        </w:rPr>
        <w:t xml:space="preserve"> Bilancio, senza arrotondamenti. Si sono contate le occorrenze del nome dentro e fuori l'opera dedicata, i nodi e gli archi della rete con la loro ripartizione per grado, le somme delle colonne del sesto-bis, i giorni di doppio incarico, le date divergenti dell'episodio riferito, le marcature di disciplina e la loro dipendenza dal lemma. Nessuno di questi conteggi ha prodotto un ponte, e non poteva.</w:t>
      </w:r>
    </w:p>
    <w:p>
      <w:pPr>
        <w:spacing w:after="120" w:line="276"/>
        <w:jc w:val="both"/>
      </w:pPr>
      <w:r>
        <w:rPr>
          <w:rFonts w:ascii="Barlow Semi Condensed" w:cs="Barlow Semi Condensed" w:eastAsia="Barlow Semi Condensed" w:hAnsi="Barlow Semi Condensed"/>
          <w:b/>
          <w:bCs/>
          <w:sz w:val="24"/>
          <w:szCs w:val="24"/>
        </w:rPr>
        <w:t xml:space="preserve">4550 · Lo zero che vale di più.</w:t>
      </w:r>
      <w:r>
        <w:rPr>
          <w:rFonts w:ascii="Barlow Semi Condensed" w:cs="Barlow Semi Condensed" w:eastAsia="Barlow Semi Condensed" w:hAnsi="Barlow Semi Condensed"/>
          <w:sz w:val="24"/>
          <w:szCs w:val="24"/>
        </w:rPr>
        <w:t xml:space="preserve"> Fra tutte le cifre di questa serie una sola è decisiva, e non è grande: le zero occorrenze del nome nel documento che il corpus dedica ai propri numeri. Non è una reticenza e non è un indizio. È la forma esatta in cui un corpus dichiara che, su questo nome, non ha ancora un arco da misurare. Il giorno in cui l'avrà, sarà il documento a parlare.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sessantesima — Le lingue, le traduzioni, gli interpreti</w:t>
      </w:r>
    </w:p>
    <w:p>
      <w:pPr>
        <w:spacing w:after="120" w:line="276"/>
        <w:jc w:val="both"/>
      </w:pPr>
      <w:r>
        <w:rPr>
          <w:rFonts w:ascii="Barlow Semi Condensed" w:cs="Barlow Semi Condensed" w:eastAsia="Barlow Semi Condensed" w:hAnsi="Barlow Semi Condensed"/>
          <w:i/>
          <w:iCs/>
          <w:sz w:val="24"/>
          <w:szCs w:val="24"/>
        </w:rPr>
        <w:t xml:space="preserve">Blocchi 4551-4620.</w:t>
      </w:r>
    </w:p>
    <w:p>
      <w:pPr>
        <w:spacing w:after="120" w:line="276"/>
        <w:jc w:val="both"/>
      </w:pPr>
      <w:r>
        <w:rPr>
          <w:rFonts w:ascii="Barlow Semi Condensed" w:cs="Barlow Semi Condensed" w:eastAsia="Barlow Semi Condensed" w:hAnsi="Barlow Semi Condensed"/>
          <w:b/>
          <w:bCs/>
          <w:sz w:val="24"/>
          <w:szCs w:val="24"/>
        </w:rPr>
        <w:t xml:space="preserve">4551 · La serie terza è senza accenti.</w:t>
      </w:r>
      <w:r>
        <w:rPr>
          <w:rFonts w:ascii="Barlow Semi Condensed" w:cs="Barlow Semi Condensed" w:eastAsia="Barlow Semi Condensed" w:hAnsi="Barlow Semi Condensed"/>
          <w:sz w:val="24"/>
          <w:szCs w:val="24"/>
        </w:rPr>
        <w:t xml:space="preserve"> Accertamento eseguito sul file kissinger-mille-blocchi-il-codice-e-la-sua-trasmissione.md, grado A perché rifacibile da chiunque con una ricerca meccanica: nell'intera Serie terza, «L'ereditarietà dottrinale», blocchi 136-199, i diacritici italiani cadono. Si legge «e» per «è», «piu», «perche», «cio», «puo», «realta». Nessuna delle altre dodici serie presenta il fenomeno. È mutazione di trascrizione interna al corpus, non variante d'autore, e va verbalizzata prima di essere corretta.</w:t>
      </w:r>
    </w:p>
    <w:p>
      <w:pPr>
        <w:spacing w:after="120" w:line="276"/>
        <w:jc w:val="both"/>
      </w:pPr>
      <w:r>
        <w:rPr>
          <w:rFonts w:ascii="Barlow Semi Condensed" w:cs="Barlow Semi Condensed" w:eastAsia="Barlow Semi Condensed" w:hAnsi="Barlow Semi Condensed"/>
          <w:b/>
          <w:bCs/>
          <w:sz w:val="24"/>
          <w:szCs w:val="24"/>
        </w:rPr>
        <w:t xml:space="preserve">4552 · Fürth e Fuerth nello stesso volume.</w:t>
      </w:r>
      <w:r>
        <w:rPr>
          <w:rFonts w:ascii="Barlow Semi Condensed" w:cs="Barlow Semi Condensed" w:eastAsia="Barlow Semi Condensed" w:hAnsi="Barlow Semi Condensed"/>
          <w:sz w:val="24"/>
          <w:szCs w:val="24"/>
        </w:rPr>
        <w:t xml:space="preserve"> La medesima opera scrive due volte in modo diverso il luogo di nascita. «Fürth» ai blocchi 2, 63, 209, 430, 558 e 764 e nell'Apparato K; «Fuerth», con la digrafia che sostituisce l'umlaut, ai blocchi 141 e 297. Il dato anagrafico non muta: muta il codice grafico che lo trasporta. Si registra come divergenza interna, si adotta la forma dell'Office of the Historian, non si riscrive in silenzio.</w:t>
      </w:r>
    </w:p>
    <w:p>
      <w:pPr>
        <w:spacing w:after="120" w:line="276"/>
        <w:jc w:val="both"/>
      </w:pPr>
      <w:r>
        <w:rPr>
          <w:rFonts w:ascii="Barlow Semi Condensed" w:cs="Barlow Semi Condensed" w:eastAsia="Barlow Semi Condensed" w:hAnsi="Barlow Semi Condensed"/>
          <w:b/>
          <w:bCs/>
          <w:sz w:val="24"/>
          <w:szCs w:val="24"/>
        </w:rPr>
        <w:t xml:space="preserve">4553 · Due mutazioni, due distribuzioni diverse.</w:t>
      </w:r>
      <w:r>
        <w:rPr>
          <w:rFonts w:ascii="Barlow Semi Condensed" w:cs="Barlow Semi Condensed" w:eastAsia="Barlow Semi Condensed" w:hAnsi="Barlow Semi Condensed"/>
          <w:sz w:val="24"/>
          <w:szCs w:val="24"/>
        </w:rPr>
        <w:t xml:space="preserve"> Il confronto fra le due anomalie è esso stesso una prova. La caduta dei diacritici si arresta al confine della Serie terza; la grafia «Fuerth» lo oltrepassa e riappare al blocco 297, dentro la Serie quarta. Distribuzioni diverse implicano atti generativi diversi: non una svista sola, ma due. È l'errore separativo enunciato al blocco 149, applicato per la prima volta al corpus che lo enuncia.</w:t>
      </w:r>
    </w:p>
    <w:p>
      <w:pPr>
        <w:spacing w:after="120" w:line="276"/>
        <w:jc w:val="both"/>
      </w:pPr>
      <w:r>
        <w:rPr>
          <w:rFonts w:ascii="Barlow Semi Condensed" w:cs="Barlow Semi Condensed" w:eastAsia="Barlow Semi Condensed" w:hAnsi="Barlow Semi Condensed"/>
          <w:b/>
          <w:bCs/>
          <w:sz w:val="24"/>
          <w:szCs w:val="24"/>
        </w:rPr>
        <w:t xml:space="preserve">4554 · Il registro delle revisioni come sede.</w:t>
      </w:r>
      <w:r>
        <w:rPr>
          <w:rFonts w:ascii="Barlow Semi Condensed" w:cs="Barlow Semi Condensed" w:eastAsia="Barlow Semi Condensed" w:hAnsi="Barlow Semi Condensed"/>
          <w:sz w:val="24"/>
          <w:szCs w:val="24"/>
        </w:rPr>
        <w:t xml:space="preserve"> La sede che chiuderebbe l'accertamento non è una biblioteca ma il registro delle revisioni del deposito: il comando che mostra ogni stesura del file con la sua data. Se la perdita degli accenti risale a un'unica scrittura, il registro lo dirà in un minuto; se attraversa più revisioni, la spiegazione è un'altra e va cercata altrove. Nessuna congettura sull'origine finché quel registro non è letto.</w:t>
      </w:r>
    </w:p>
    <w:p>
      <w:pPr>
        <w:spacing w:after="120" w:line="276"/>
        <w:jc w:val="both"/>
      </w:pPr>
      <w:r>
        <w:rPr>
          <w:rFonts w:ascii="Barlow Semi Condensed" w:cs="Barlow Semi Condensed" w:eastAsia="Barlow Semi Condensed" w:hAnsi="Barlow Semi Condensed"/>
          <w:b/>
          <w:bCs/>
          <w:sz w:val="24"/>
          <w:szCs w:val="24"/>
        </w:rPr>
        <w:t xml:space="preserve">4555 · Il volume rilegato va collazionato.</w:t>
      </w:r>
      <w:r>
        <w:rPr>
          <w:rFonts w:ascii="Barlow Semi Condensed" w:cs="Barlow Semi Condensed" w:eastAsia="Barlow Semi Condensed" w:hAnsi="Barlow Semi Condensed"/>
          <w:sz w:val="24"/>
          <w:szCs w:val="24"/>
        </w:rPr>
        <w:t xml:space="preserve"> Bersaglio operativo mai battuto: verificare se IL_CODICE_E_LA_SUA_TRASMISSIONE_KISSINGER_MILLE_BLOCCHI.docx e il suo PDF riproducano la Serie terza priva di accenti oppure la restituiscano normalizzata dal motore di composizione. Le due ipotesi hanno conseguenze opposte sulla tradizione del testo: nella prima l'errore si eredita nel derivato, nella seconda il derivato corregge l'antigrafo e i due testimoni divergono. Si collaziona riga contro pagina.</w:t>
      </w:r>
    </w:p>
    <w:p>
      <w:pPr>
        <w:spacing w:after="120" w:line="276"/>
        <w:jc w:val="both"/>
      </w:pPr>
      <w:r>
        <w:rPr>
          <w:rFonts w:ascii="Barlow Semi Condensed" w:cs="Barlow Semi Condensed" w:eastAsia="Barlow Semi Condensed" w:hAnsi="Barlow Semi Condensed"/>
          <w:b/>
          <w:bCs/>
          <w:sz w:val="24"/>
          <w:szCs w:val="24"/>
        </w:rPr>
        <w:t xml:space="preserve">4556 · Harry, l'errore entrato dalla richiesta.</w:t>
      </w:r>
      <w:r>
        <w:rPr>
          <w:rFonts w:ascii="Barlow Semi Condensed" w:cs="Barlow Semi Condensed" w:eastAsia="Barlow Semi Condensed" w:hAnsi="Barlow Semi Condensed"/>
          <w:sz w:val="24"/>
          <w:szCs w:val="24"/>
        </w:rPr>
        <w:t xml:space="preserve"> Il frontespizio dell'opera registra che la richiesta del committente scriveva «Harry». La correzione per nota è già un caso documentato di trasmissione imprecisa, e il blocco 8 ne fornisce la verifica meccanica: nel branch pubblico la stringa «Harry» ricorre una sola volta, e riguarda il ricercatore Harry Cason, citato nella ricognizione portoghese per un contenzioso FOIA del 2009-2011. Un omonimo non è un ponte.</w:t>
      </w:r>
    </w:p>
    <w:p>
      <w:pPr>
        <w:spacing w:after="120" w:line="276"/>
        <w:jc w:val="both"/>
      </w:pPr>
      <w:r>
        <w:rPr>
          <w:rFonts w:ascii="Barlow Semi Condensed" w:cs="Barlow Semi Condensed" w:eastAsia="Barlow Semi Condensed" w:hAnsi="Barlow Semi Condensed"/>
          <w:b/>
          <w:bCs/>
          <w:sz w:val="24"/>
          <w:szCs w:val="24"/>
        </w:rPr>
        <w:t xml:space="preserve">4557 · La parentesi dell'Office of the Historian.</w:t>
      </w:r>
      <w:r>
        <w:rPr>
          <w:rFonts w:ascii="Barlow Semi Condensed" w:cs="Barlow Semi Condensed" w:eastAsia="Barlow Semi Condensed" w:hAnsi="Barlow Semi Condensed"/>
          <w:sz w:val="24"/>
          <w:szCs w:val="24"/>
        </w:rPr>
        <w:t xml:space="preserve"> La scheda istituzionale intesta «Henry A. (Heinz Alfred) Kissinger». Quella parentesi è un dispositivo editoriale bilingue: conserva la forma d'origine dentro la forma d'arrivo invece di sostituirla. È il modello che il corpus dovrebbe adottare ovunque compaia un nome mutato, la resa nuova accanto all'originale e mai al suo posto, ed è la stessa disciplina che il blocco 581 impone a ogni traduzione.</w:t>
      </w:r>
    </w:p>
    <w:p>
      <w:pPr>
        <w:spacing w:after="120" w:line="276"/>
        <w:jc w:val="both"/>
      </w:pPr>
      <w:r>
        <w:rPr>
          <w:rFonts w:ascii="Barlow Semi Condensed" w:cs="Barlow Semi Condensed" w:eastAsia="Barlow Semi Condensed" w:hAnsi="Barlow Semi Condensed"/>
          <w:b/>
          <w:bCs/>
          <w:sz w:val="24"/>
          <w:szCs w:val="24"/>
        </w:rPr>
        <w:t xml:space="preserve">4558 · L'anglicizzazione non è una traduzione.</w:t>
      </w:r>
      <w:r>
        <w:rPr>
          <w:rFonts w:ascii="Barlow Semi Condensed" w:cs="Barlow Semi Condensed" w:eastAsia="Barlow Semi Condensed" w:hAnsi="Barlow Semi Condensed"/>
          <w:sz w:val="24"/>
          <w:szCs w:val="24"/>
        </w:rPr>
        <w:t xml:space="preserve"> Va tenuta ferma una distinzione che la lente genetica confonde volentieri. Il passaggio da Heinz a Henry non è resa in altra lingua di un medesimo nome: è atto onomastico intenzionale del soggetto, con data contesa fra il 1938 delle opere di consultazione e il 1942-1943 del fascicolo d'immigrazione. Una traduzione ha un traduttore; questo ha un autore. La sede che chiude resta il fascicolo di naturalizzazione.</w:t>
      </w:r>
    </w:p>
    <w:p>
      <w:pPr>
        <w:spacing w:after="120" w:line="276"/>
        <w:jc w:val="both"/>
      </w:pPr>
      <w:r>
        <w:rPr>
          <w:rFonts w:ascii="Barlow Semi Condensed" w:cs="Barlow Semi Condensed" w:eastAsia="Barlow Semi Condensed" w:hAnsi="Barlow Semi Condensed"/>
          <w:b/>
          <w:bCs/>
          <w:sz w:val="24"/>
          <w:szCs w:val="24"/>
        </w:rPr>
        <w:t xml:space="preserve">4559 · Il memcon è un testo inglese.</w:t>
      </w:r>
      <w:r>
        <w:rPr>
          <w:rFonts w:ascii="Barlow Semi Condensed" w:cs="Barlow Semi Condensed" w:eastAsia="Barlow Semi Condensed" w:hAnsi="Barlow Semi Condensed"/>
          <w:sz w:val="24"/>
          <w:szCs w:val="24"/>
        </w:rPr>
        <w:t xml:space="preserve"> L'unico rapporto diretto documentato fra i due nomi — il memorandum of conversation del 25 settembre 1974, Ford Library 1552802, edito in FRUS 1969-1976 volume E-15 parte 2 documento 350 — è redatto in inglese. Ogni frase che di esso circoli in italiano è testimone di secondo grado ai sensi del blocco 581. Chi cita la resa senza l'originale a fronte non sta citando il documento di piano 1.</w:t>
      </w:r>
    </w:p>
    <w:p>
      <w:pPr>
        <w:spacing w:after="120" w:line="276"/>
        <w:jc w:val="both"/>
      </w:pPr>
      <w:r>
        <w:rPr>
          <w:rFonts w:ascii="Barlow Semi Condensed" w:cs="Barlow Semi Condensed" w:eastAsia="Barlow Semi Condensed" w:hAnsi="Barlow Semi Condensed"/>
          <w:b/>
          <w:bCs/>
          <w:sz w:val="24"/>
          <w:szCs w:val="24"/>
        </w:rPr>
        <w:t xml:space="preserve">4560 · La parola tough resta non tradotta.</w:t>
      </w:r>
      <w:r>
        <w:rPr>
          <w:rFonts w:ascii="Barlow Semi Condensed" w:cs="Barlow Semi Condensed" w:eastAsia="Barlow Semi Condensed" w:hAnsi="Barlow Semi Condensed"/>
          <w:sz w:val="24"/>
          <w:szCs w:val="24"/>
        </w:rPr>
        <w:t xml:space="preserve"> Il capitolo IV della ricognizione-madre riferisce che alla vigilia Kissinger disse a Ford che agli italiani andava parlato «tough». Il termine è lasciato in inglese, ed è la scelta esatta: duro, severo, fermo spostano ciascuno il registro in una direzione diversa. Si propone come regola della cartella diplomatica che parole di questo genere restino nella lingua del verbale, con la resa italiana a margine e dichiarata tale.</w:t>
      </w:r>
    </w:p>
    <w:p>
      <w:pPr>
        <w:spacing w:after="120" w:line="276"/>
        <w:jc w:val="both"/>
      </w:pPr>
      <w:r>
        <w:rPr>
          <w:rFonts w:ascii="Barlow Semi Condensed" w:cs="Barlow Semi Condensed" w:eastAsia="Barlow Semi Condensed" w:hAnsi="Barlow Semi Condensed"/>
          <w:b/>
          <w:bCs/>
          <w:sz w:val="24"/>
          <w:szCs w:val="24"/>
        </w:rPr>
        <w:t xml:space="preserve">4561 · Il partito comunista responsabile, fra virgolette.</w:t>
      </w:r>
      <w:r>
        <w:rPr>
          <w:rFonts w:ascii="Barlow Semi Condensed" w:cs="Barlow Semi Condensed" w:eastAsia="Barlow Semi Condensed" w:hAnsi="Barlow Semi Condensed"/>
          <w:sz w:val="24"/>
          <w:szCs w:val="24"/>
        </w:rPr>
        <w:t xml:space="preserve"> L'Apparato K riporta che il verbale registra il rilievo per cui un partito comunista «responsabile» sarebbe alla lunga più pericoloso di uno irresponsabile. Le virgolette italiane traducono un responsible che nel lessico strategico anglosassone indica affidabilità sistemica e non merito morale. La parafrasi trasforma il rilievo in minaccia; la lettera lo lascia ciò che è, dottrina messa a verbale, come già stabilisce il blocco 587.</w:t>
      </w:r>
    </w:p>
    <w:p>
      <w:pPr>
        <w:spacing w:after="120" w:line="276"/>
        <w:jc w:val="both"/>
      </w:pPr>
      <w:r>
        <w:rPr>
          <w:rFonts w:ascii="Barlow Semi Condensed" w:cs="Barlow Semi Condensed" w:eastAsia="Barlow Semi Condensed" w:hAnsi="Barlow Semi Condensed"/>
          <w:b/>
          <w:bCs/>
          <w:sz w:val="24"/>
          <w:szCs w:val="24"/>
        </w:rPr>
        <w:t xml:space="preserve">4562 · L'OCR interposto fra lettore e documento.</w:t>
      </w:r>
      <w:r>
        <w:rPr>
          <w:rFonts w:ascii="Barlow Semi Condensed" w:cs="Barlow Semi Condensed" w:eastAsia="Barlow Semi Condensed" w:hAnsi="Barlow Semi Condensed"/>
          <w:sz w:val="24"/>
          <w:szCs w:val="24"/>
        </w:rPr>
        <w:t xml:space="preserve"> La ricognizione della Farnesina rinvia al memorandum del 25 settembre 1974 attraverso una trascrizione djvu.txt su Internet Archive, cioè attraverso un riconoscimento ottico. Fra il lettore e il documento stanno dunque due passaggi, la scansione e l'OCR, prima ancora di ogni traduzione. Bersaglio: collazionare quel testo con l'edizione FRUS e verbalizzare le divergenze, a cominciare da nomi propri e cifre.</w:t>
      </w:r>
    </w:p>
    <w:p>
      <w:pPr>
        <w:spacing w:after="120" w:line="276"/>
        <w:jc w:val="both"/>
      </w:pPr>
      <w:r>
        <w:rPr>
          <w:rFonts w:ascii="Barlow Semi Condensed" w:cs="Barlow Semi Condensed" w:eastAsia="Barlow Semi Condensed" w:hAnsi="Barlow Semi Condensed"/>
          <w:b/>
          <w:bCs/>
          <w:sz w:val="24"/>
          <w:szCs w:val="24"/>
        </w:rPr>
        <w:t xml:space="preserve">4563 · Le due edizioni FRUS vanno collazionate.</w:t>
      </w:r>
      <w:r>
        <w:rPr>
          <w:rFonts w:ascii="Barlow Semi Condensed" w:cs="Barlow Semi Condensed" w:eastAsia="Barlow Semi Condensed" w:hAnsi="Barlow Semi Condensed"/>
          <w:sz w:val="24"/>
          <w:szCs w:val="24"/>
        </w:rPr>
        <w:t xml:space="preserve"> Il blocco 676 avverte che il documento 350 si cita nella seconda edizione riveduta. Il territorio linguistico rende operativa l'avvertenza: un'edizione riveduta può correggere trascrizioni, sciogliere abbreviazioni, mutare punteggiatura — e in un verbale la punteggiatura distribuisce le attribuzioni. Il bersaglio è la collazione parola per parola delle due edizioni con elenco delle varianti. Finché manca, ogni citazione dichiari quale edizione ha letto.</w:t>
      </w:r>
    </w:p>
    <w:p>
      <w:pPr>
        <w:spacing w:after="120" w:line="276"/>
        <w:jc w:val="both"/>
      </w:pPr>
      <w:r>
        <w:rPr>
          <w:rFonts w:ascii="Barlow Semi Condensed" w:cs="Barlow Semi Condensed" w:eastAsia="Barlow Semi Condensed" w:hAnsi="Barlow Semi Condensed"/>
          <w:b/>
          <w:bCs/>
          <w:sz w:val="24"/>
          <w:szCs w:val="24"/>
        </w:rPr>
        <w:t xml:space="preserve">4564 · Divergenza sulle date della visita.</w:t>
      </w:r>
      <w:r>
        <w:rPr>
          <w:rFonts w:ascii="Barlow Semi Condensed" w:cs="Barlow Semi Condensed" w:eastAsia="Barlow Semi Condensed" w:hAnsi="Barlow Semi Condensed"/>
          <w:sz w:val="24"/>
          <w:szCs w:val="24"/>
        </w:rPr>
        <w:t xml:space="preserve"> L'Apparato K registra che gli atti presidenziali datano la visita di Stato dal 25 al 29 settembre 1974 e la nota editoriale FRUS dal 25 al 27. Non è divergenza di lessico né di traduzione: è divergenza fra due apparati editoriali della stessa lingua. Si tiene distinta dalle divergenze linguistiche, perché il blocco 588 insegna che confondere i due generi produce conciliazioni false e contrasti immaginari.</w:t>
      </w:r>
    </w:p>
    <w:p>
      <w:pPr>
        <w:spacing w:after="120" w:line="276"/>
        <w:jc w:val="both"/>
      </w:pPr>
      <w:r>
        <w:rPr>
          <w:rFonts w:ascii="Barlow Semi Condensed" w:cs="Barlow Semi Condensed" w:eastAsia="Barlow Semi Condensed" w:hAnsi="Barlow Semi Condensed"/>
          <w:b/>
          <w:bCs/>
          <w:sz w:val="24"/>
          <w:szCs w:val="24"/>
        </w:rPr>
        <w:t xml:space="preserve">4565 · Gli interpreti del settembre 1974.</w:t>
      </w:r>
      <w:r>
        <w:rPr>
          <w:rFonts w:ascii="Barlow Semi Condensed" w:cs="Barlow Semi Condensed" w:eastAsia="Barlow Semi Condensed" w:hAnsi="Barlow Semi Condensed"/>
          <w:sz w:val="24"/>
          <w:szCs w:val="24"/>
        </w:rPr>
        <w:t xml:space="preserve"> Il blocco 583 pone il bersaglio; qui se ne fissa la sede. Gli interpreti dei colloqui italo-statunitensi del 25 e del 26 settembre 1974 vanno cercati nelle carte del Cerimoniale della Presidenza del Consiglio e della Farnesina, e nei fascicoli di supporto dei memoranda alla Ford Library. Esito atteso incerto: se negativo, si verbalizza con perimetro esatto e vale quanto un ritrovamento.</w:t>
      </w:r>
    </w:p>
    <w:p>
      <w:pPr>
        <w:spacing w:after="120" w:line="276"/>
        <w:jc w:val="both"/>
      </w:pPr>
      <w:r>
        <w:rPr>
          <w:rFonts w:ascii="Barlow Semi Condensed" w:cs="Barlow Semi Condensed" w:eastAsia="Barlow Semi Condensed" w:hAnsi="Barlow Semi Condensed"/>
          <w:b/>
          <w:bCs/>
          <w:sz w:val="24"/>
          <w:szCs w:val="24"/>
        </w:rPr>
        <w:t xml:space="preserve">4566 · Il cerimoniale del 1965 come modello.</w:t>
      </w:r>
      <w:r>
        <w:rPr>
          <w:rFonts w:ascii="Barlow Semi Condensed" w:cs="Barlow Semi Condensed" w:eastAsia="Barlow Semi Condensed" w:hAnsi="Barlow Semi Condensed"/>
          <w:sz w:val="24"/>
          <w:szCs w:val="24"/>
        </w:rPr>
        <w:t xml:space="preserve"> Il programma ufficiale del 19-23 aprile 1965, comunicato stampa n. 76 del Dipartimento di Stato, elenca nominativamente la delegazione italiana e i funzionari americani, e comprende un capo dell'Ufficio del Cerimoniale, Felice Marchioni. Nessun interprete vi figura. La struttura del documento indica però dove cercare, perché chi redige un programma nomina anche chi assiste linguisticamente. Si chieda al Cerimoniale la serie omologa per il 1974.</w:t>
      </w:r>
    </w:p>
    <w:p>
      <w:pPr>
        <w:spacing w:after="120" w:line="276"/>
        <w:jc w:val="both"/>
      </w:pPr>
      <w:r>
        <w:rPr>
          <w:rFonts w:ascii="Barlow Semi Condensed" w:cs="Barlow Semi Condensed" w:eastAsia="Barlow Semi Condensed" w:hAnsi="Barlow Semi Condensed"/>
          <w:b/>
          <w:bCs/>
          <w:sz w:val="24"/>
          <w:szCs w:val="24"/>
        </w:rPr>
        <w:t xml:space="preserve">4567 · Nessun interprete è nominato nel corpus.</w:t>
      </w:r>
      <w:r>
        <w:rPr>
          <w:rFonts w:ascii="Barlow Semi Condensed" w:cs="Barlow Semi Condensed" w:eastAsia="Barlow Semi Condensed" w:hAnsi="Barlow Semi Condensed"/>
          <w:sz w:val="24"/>
          <w:szCs w:val="24"/>
        </w:rPr>
        <w:t xml:space="preserve"> Stato Zero, dichiarato con perimetro. In nessun documento del branch pubblico compare il nome proprio di un interprete di un colloquio fra Aldo Moro e Henry Kissinger, né per il settembre 1974 né per alcuna altra data. La ricerca è stata condotta sulle stringhe «interprete», «interpreti» e «interpretariato» in tutti i file markdown. L'assenza è misurata, non narrata, e si chiude soltanto sulle carte del Cerimoniale.</w:t>
      </w:r>
    </w:p>
    <w:p>
      <w:pPr>
        <w:spacing w:after="120" w:line="276"/>
        <w:jc w:val="both"/>
      </w:pPr>
      <w:r>
        <w:rPr>
          <w:rFonts w:ascii="Barlow Semi Condensed" w:cs="Barlow Semi Condensed" w:eastAsia="Barlow Semi Condensed" w:hAnsi="Barlow Semi Condensed"/>
          <w:b/>
          <w:bCs/>
          <w:sz w:val="24"/>
          <w:szCs w:val="24"/>
        </w:rPr>
        <w:t xml:space="preserve">4568 · Moro non parlava inglese, con quale grado.</w:t>
      </w:r>
      <w:r>
        <w:rPr>
          <w:rFonts w:ascii="Barlow Semi Condensed" w:cs="Barlow Semi Condensed" w:eastAsia="Barlow Semi Condensed" w:hAnsi="Barlow Semi Condensed"/>
          <w:sz w:val="24"/>
          <w:szCs w:val="24"/>
        </w:rPr>
        <w:t xml:space="preserve"> L'affermazione regge un'intera smentita e perciò va gradata. Non è documento: è dichiarazione di un testimone italiano qualificato, riportata dalla nota di revisione del nodo M-5, il quale dice di aver verificato allora con l'interprete. Resta piano 3 finché non sia riscontrata su atti — fascicoli scolastici, corrispondenza ministeriale, verbali di colloqui in altre lingue. Sede: Fondo Moro dell'Archivio storico del Senato.</w:t>
      </w:r>
    </w:p>
    <w:p>
      <w:pPr>
        <w:spacing w:after="120" w:line="276"/>
        <w:jc w:val="both"/>
      </w:pPr>
      <w:r>
        <w:rPr>
          <w:rFonts w:ascii="Barlow Semi Condensed" w:cs="Barlow Semi Condensed" w:eastAsia="Barlow Semi Condensed" w:hAnsi="Barlow Semi Condensed"/>
          <w:b/>
          <w:bCs/>
          <w:sz w:val="24"/>
          <w:szCs w:val="24"/>
        </w:rPr>
        <w:t xml:space="preserve">4569 · Che cosa falsificherebbe l'argomento linguistico.</w:t>
      </w:r>
      <w:r>
        <w:rPr>
          <w:rFonts w:ascii="Barlow Semi Condensed" w:cs="Barlow Semi Condensed" w:eastAsia="Barlow Semi Condensed" w:hAnsi="Barlow Semi Condensed"/>
          <w:sz w:val="24"/>
          <w:szCs w:val="24"/>
        </w:rPr>
        <w:t xml:space="preserve"> Bersaglio di smentita, formulato per essere colpito. Un solo documento che attesti Aldo Moro in colloquio senza interprete con un interlocutore anglofono farebbe cadere la meccanica su cui poggia la prima smentita italiana. Non renderebbe vera la frase contestata: la renderebbe soltanto non controllabile per quella via. Sede: verbali di colloquio della Direzione generale affari politici, serie Stati Uniti, Archivio storico diplomatico.</w:t>
      </w:r>
    </w:p>
    <w:p>
      <w:pPr>
        <w:spacing w:after="120" w:line="276"/>
        <w:jc w:val="both"/>
      </w:pPr>
      <w:r>
        <w:rPr>
          <w:rFonts w:ascii="Barlow Semi Condensed" w:cs="Barlow Semi Condensed" w:eastAsia="Barlow Semi Condensed" w:hAnsi="Barlow Semi Condensed"/>
          <w:b/>
          <w:bCs/>
          <w:sz w:val="24"/>
          <w:szCs w:val="24"/>
        </w:rPr>
        <w:t xml:space="preserve">4570 · Il francese come terza ipotesi.</w:t>
      </w:r>
      <w:r>
        <w:rPr>
          <w:rFonts w:ascii="Barlow Semi Condensed" w:cs="Barlow Semi Condensed" w:eastAsia="Barlow Semi Condensed" w:hAnsi="Barlow Semi Condensed"/>
          <w:sz w:val="24"/>
          <w:szCs w:val="24"/>
        </w:rPr>
        <w:t xml:space="preserve"> Nessun blocco del corpus considera l'ipotesi che un colloquio riservato del 1974 si tenesse in francese, lingua diplomatica ancora corrente in quegli anni. L'ipotesi non è sostenuta da alcun documento e non si afferma; si registra come lacuna del quesito, perché una domanda costruita su due sole lingue esclude la terza per costruzione. La formulazione corretta chiede in quale lingua, non se in inglese.</w:t>
      </w:r>
    </w:p>
    <w:p>
      <w:pPr>
        <w:spacing w:after="120" w:line="276"/>
        <w:jc w:val="both"/>
      </w:pPr>
      <w:r>
        <w:rPr>
          <w:rFonts w:ascii="Barlow Semi Condensed" w:cs="Barlow Semi Condensed" w:eastAsia="Barlow Semi Condensed" w:hAnsi="Barlow Semi Condensed"/>
          <w:b/>
          <w:bCs/>
          <w:sz w:val="24"/>
          <w:szCs w:val="24"/>
        </w:rPr>
        <w:t xml:space="preserve">4571 · La frase contestata esiste solo in italiano.</w:t>
      </w:r>
      <w:r>
        <w:rPr>
          <w:rFonts w:ascii="Barlow Semi Condensed" w:cs="Barlow Semi Condensed" w:eastAsia="Barlow Semi Condensed" w:hAnsi="Barlow Semi Condensed"/>
          <w:sz w:val="24"/>
          <w:szCs w:val="24"/>
        </w:rPr>
        <w:t xml:space="preserve"> Il nodo M-5 riporta il verbatim «smetta di perseguire il suo piano politico… o la pagherà cara». È testo italiano attribuito a un parlante inglese, raccolto de relato e reso in aula otto anni dopo i fatti. Ogni versione inglese che ne circola è retroversione, cioè ricostruzione, secondo il blocco 586. Trattarla come testo letterale è l'errore più diffuso dell'intero dossier.</w:t>
      </w:r>
    </w:p>
    <w:p>
      <w:pPr>
        <w:spacing w:after="120" w:line="276"/>
        <w:jc w:val="both"/>
      </w:pPr>
      <w:r>
        <w:rPr>
          <w:rFonts w:ascii="Barlow Semi Condensed" w:cs="Barlow Semi Condensed" w:eastAsia="Barlow Semi Condensed" w:hAnsi="Barlow Semi Condensed"/>
          <w:b/>
          <w:bCs/>
          <w:sz w:val="24"/>
          <w:szCs w:val="24"/>
        </w:rPr>
        <w:t xml:space="preserve">4572 · I tre punti dentro il verbatim.</w:t>
      </w:r>
      <w:r>
        <w:rPr>
          <w:rFonts w:ascii="Barlow Semi Condensed" w:cs="Barlow Semi Condensed" w:eastAsia="Barlow Semi Condensed" w:hAnsi="Barlow Semi Condensed"/>
          <w:sz w:val="24"/>
          <w:szCs w:val="24"/>
        </w:rPr>
        <w:t xml:space="preserve"> Un segno tipografico non è mai neutro. La citazione corrente contiene un'ellissi: qualcosa è stato omesso fra la prima e la seconda parte della frase, e nessuna fonte reperita dichiara che cosa. Finché il verbale d'udienza non è letto, l'ellissi si conserva e si segnala, mai si scioglie in una frase continua. Sede: cancelleria della Corte d'assise di Roma, dibattimento del novembre 1982.</w:t>
      </w:r>
    </w:p>
    <w:p>
      <w:pPr>
        <w:spacing w:after="120" w:line="276"/>
        <w:jc w:val="both"/>
      </w:pPr>
      <w:r>
        <w:rPr>
          <w:rFonts w:ascii="Barlow Semi Condensed" w:cs="Barlow Semi Condensed" w:eastAsia="Barlow Semi Condensed" w:hAnsi="Barlow Semi Condensed"/>
          <w:b/>
          <w:bCs/>
          <w:sz w:val="24"/>
          <w:szCs w:val="24"/>
        </w:rPr>
        <w:t xml:space="preserve">4573 · L'alta personalità, perifrasi resa in aula.</w:t>
      </w:r>
      <w:r>
        <w:rPr>
          <w:rFonts w:ascii="Barlow Semi Condensed" w:cs="Barlow Semi Condensed" w:eastAsia="Barlow Semi Condensed" w:hAnsi="Barlow Semi Condensed"/>
          <w:sz w:val="24"/>
          <w:szCs w:val="24"/>
        </w:rPr>
        <w:t xml:space="preserve"> La vedova depose senza fare il nome, parlando di un'alta personalità; fu il presidente della corte, richiamando il portavoce, a ottenere l'indicazione. È fatto lessicale prima che probatorio: la perifrasi è ciò che la teste disse, il nome è ciò che l'aula ne ricavò. Le due cose si tengono in colonne separate, come il blocco 763 chiede per rimprovero e minaccia.</w:t>
      </w:r>
    </w:p>
    <w:p>
      <w:pPr>
        <w:spacing w:after="120" w:line="276"/>
        <w:jc w:val="both"/>
      </w:pPr>
      <w:r>
        <w:rPr>
          <w:rFonts w:ascii="Barlow Semi Condensed" w:cs="Barlow Semi Condensed" w:eastAsia="Barlow Semi Condensed" w:hAnsi="Barlow Semi Condensed"/>
          <w:b/>
          <w:bCs/>
          <w:sz w:val="24"/>
          <w:szCs w:val="24"/>
        </w:rPr>
        <w:t xml:space="preserve">4574 · La smentita, anch'essa in traduzione.</w:t>
      </w:r>
      <w:r>
        <w:rPr>
          <w:rFonts w:ascii="Barlow Semi Condensed" w:cs="Barlow Semi Condensed" w:eastAsia="Barlow Semi Condensed" w:hAnsi="Barlow Semi Condensed"/>
          <w:sz w:val="24"/>
          <w:szCs w:val="24"/>
        </w:rPr>
        <w:t xml:space="preserve"> «Non ho mai detto una cosa simile» è la forma italiana in cui il corpus registra la smentita resa a un giornalista poco prima della morte. Se l'intervista si svolse in inglese, quella riga è traduzione e non testo. Il bersaglio è elementare e non è stato battuto: reperire la formulazione originale nella sede di prima pubblicazione e citarla accanto alla resa italiana.</w:t>
      </w:r>
    </w:p>
    <w:p>
      <w:pPr>
        <w:spacing w:after="120" w:line="276"/>
        <w:jc w:val="both"/>
      </w:pPr>
      <w:r>
        <w:rPr>
          <w:rFonts w:ascii="Barlow Semi Condensed" w:cs="Barlow Semi Condensed" w:eastAsia="Barlow Semi Condensed" w:hAnsi="Barlow Semi Condensed"/>
          <w:b/>
          <w:bCs/>
          <w:sz w:val="24"/>
          <w:szCs w:val="24"/>
        </w:rPr>
        <w:t xml:space="preserve">4575 · Solo un problema di linguaggio.</w:t>
      </w:r>
      <w:r>
        <w:rPr>
          <w:rFonts w:ascii="Barlow Semi Condensed" w:cs="Barlow Semi Condensed" w:eastAsia="Barlow Semi Condensed" w:hAnsi="Barlow Semi Condensed"/>
          <w:sz w:val="24"/>
          <w:szCs w:val="24"/>
        </w:rPr>
        <w:t xml:space="preserve"> La seconda smentita italiana qualificata è essa stessa una tesi metalinguistica, poiché riduce l'episodio a un fatto di lingua. Il corpus la riporta fra virgolette senza indicarne sede, data e lingua di enunciazione. È Stato Zero su una fonte che il corpus già adopera, e va chiuso prima di adoperarla ancora: chi lo disse, dove, quando, e con quali parole esatte.</w:t>
      </w:r>
    </w:p>
    <w:p>
      <w:pPr>
        <w:spacing w:after="120" w:line="276"/>
        <w:jc w:val="both"/>
      </w:pPr>
      <w:r>
        <w:rPr>
          <w:rFonts w:ascii="Barlow Semi Condensed" w:cs="Barlow Semi Condensed" w:eastAsia="Barlow Semi Condensed" w:hAnsi="Barlow Semi Condensed"/>
          <w:b/>
          <w:bCs/>
          <w:sz w:val="24"/>
          <w:szCs w:val="24"/>
        </w:rPr>
        <w:t xml:space="preserve">4576 · Una leggenda che non ha fondamento.</w:t>
      </w:r>
      <w:r>
        <w:rPr>
          <w:rFonts w:ascii="Barlow Semi Condensed" w:cs="Barlow Semi Condensed" w:eastAsia="Barlow Semi Condensed" w:hAnsi="Barlow Semi Condensed"/>
          <w:sz w:val="24"/>
          <w:szCs w:val="24"/>
        </w:rPr>
        <w:t xml:space="preserve"> L'altra smentita italiana è più circostanziata perché allega un metodo: il testimone dichiara di aver verificato allora con l'interprete. Formula e verifica vanno tenute distinte, ché la prima è giudizio e la seconda è atto. Si cerchi traccia dell'atto — appunti, agende, corrispondenza del testimone — e la divergenza interna con la descrizione di un colloquio politicamente durissimo si riporti senza scioglierla.</w:t>
      </w:r>
    </w:p>
    <w:p>
      <w:pPr>
        <w:spacing w:after="120" w:line="276"/>
        <w:jc w:val="both"/>
      </w:pPr>
      <w:r>
        <w:rPr>
          <w:rFonts w:ascii="Barlow Semi Condensed" w:cs="Barlow Semi Condensed" w:eastAsia="Barlow Semi Condensed" w:hAnsi="Barlow Semi Condensed"/>
          <w:b/>
          <w:bCs/>
          <w:sz w:val="24"/>
          <w:szCs w:val="24"/>
        </w:rPr>
        <w:t xml:space="preserve">4577 · Rimprovero e minaccia sono due lemmi.</w:t>
      </w:r>
      <w:r>
        <w:rPr>
          <w:rFonts w:ascii="Barlow Semi Condensed" w:cs="Barlow Semi Condensed" w:eastAsia="Barlow Semi Condensed" w:hAnsi="Barlow Semi Condensed"/>
          <w:sz w:val="24"/>
          <w:szCs w:val="24"/>
        </w:rPr>
        <w:t xml:space="preserve"> La distanza fra le due cose non sta nei fatti ma nelle parole, e si decide sul testo. Il corpus non possiede alcun testo di prima mano della frase contestata: né appunto, né lettera, né verbale che la contenga. Ne discende che la scelta fra i due lemmi non è oggi decidibile, e va dichiarata indecidibile anziché risolta adottando l'aggettivo più forte.</w:t>
      </w:r>
    </w:p>
    <w:p>
      <w:pPr>
        <w:spacing w:after="120" w:line="276"/>
        <w:jc w:val="both"/>
      </w:pPr>
      <w:r>
        <w:rPr>
          <w:rFonts w:ascii="Barlow Semi Condensed" w:cs="Barlow Semi Condensed" w:eastAsia="Barlow Semi Condensed" w:hAnsi="Barlow Semi Condensed"/>
          <w:b/>
          <w:bCs/>
          <w:sz w:val="24"/>
          <w:szCs w:val="24"/>
        </w:rPr>
        <w:t xml:space="preserve">4578 · Una fonte terziaria in lingua inglese.</w:t>
      </w:r>
      <w:r>
        <w:rPr>
          <w:rFonts w:ascii="Barlow Semi Condensed" w:cs="Barlow Semi Condensed" w:eastAsia="Barlow Semi Condensed" w:hAnsi="Barlow Semi Condensed"/>
          <w:sz w:val="24"/>
          <w:szCs w:val="24"/>
        </w:rPr>
        <w:t xml:space="preserve"> Fra le fonti del nodo M-5 figura la voce inglese di Wikipedia «Kidnapping and murder of Aldo Moro». È piano 3 per definizione, ed è piano 3 in una seconda lingua: riassunto inglese di sintesi italiane di una testimonianza resa in italiano. Si cita, se si cita, come dato della circolazione internazionale del racconto, mai come riscontro del suo contenuto.</w:t>
      </w:r>
    </w:p>
    <w:p>
      <w:pPr>
        <w:spacing w:after="120" w:line="276"/>
        <w:jc w:val="both"/>
      </w:pPr>
      <w:r>
        <w:rPr>
          <w:rFonts w:ascii="Barlow Semi Condensed" w:cs="Barlow Semi Condensed" w:eastAsia="Barlow Semi Condensed" w:hAnsi="Barlow Semi Condensed"/>
          <w:b/>
          <w:bCs/>
          <w:sz w:val="24"/>
          <w:szCs w:val="24"/>
        </w:rPr>
        <w:t xml:space="preserve">4579 · L'alterco del 1977, agenzia americana.</w:t>
      </w:r>
      <w:r>
        <w:rPr>
          <w:rFonts w:ascii="Barlow Semi Condensed" w:cs="Barlow Semi Condensed" w:eastAsia="Barlow Semi Condensed" w:hAnsi="Barlow Semi Condensed"/>
          <w:sz w:val="24"/>
          <w:szCs w:val="24"/>
        </w:rPr>
        <w:t xml:space="preserve"> La divergenza sulle date registrata al blocco 590 ha anche un versante linguistico. La versione che colloca l'episodio in un alterco all'ambasciata d'Italia a Washington nel 1977 proviene da un'agenzia statunitense dell'aprile 1983, dunque da un testo inglese; le sintesi italiane che la ripetono la ritraducono. Prima di comparare le versioni si comparano le lingue in cui ciascuna nacque.</w:t>
      </w:r>
    </w:p>
    <w:p>
      <w:pPr>
        <w:spacing w:after="120" w:line="276"/>
        <w:jc w:val="both"/>
      </w:pPr>
      <w:r>
        <w:rPr>
          <w:rFonts w:ascii="Barlow Semi Condensed" w:cs="Barlow Semi Condensed" w:eastAsia="Barlow Semi Condensed" w:hAnsi="Barlow Semi Condensed"/>
          <w:b/>
          <w:bCs/>
          <w:sz w:val="24"/>
          <w:szCs w:val="24"/>
        </w:rPr>
        <w:t xml:space="preserve">4580 · Il lancio del 30 novembre 2023 (serie LX).</w:t>
      </w:r>
      <w:r>
        <w:rPr>
          <w:rFonts w:ascii="Barlow Semi Condensed" w:cs="Barlow Semi Condensed" w:eastAsia="Barlow Semi Condensed" w:hAnsi="Barlow Semi Condensed"/>
          <w:sz w:val="24"/>
          <w:szCs w:val="24"/>
        </w:rPr>
        <w:t xml:space="preserve"> La moltiplicazione apparente delle fonti ha una data e una lingua: un solo lancio d'agenzia italiano del 30 novembre 2023, ripreso quasi identico decine di volte. Le riprese in altre lingue non sono testimoni indipendenti ma traduzioni del medesimo testimone. È l'omologia del blocco 576 applicata alla stampa: due copie che condividono l'origine non fanno due riscontri, ne fanno uno travestito.</w:t>
      </w:r>
    </w:p>
    <w:p>
      <w:pPr>
        <w:spacing w:after="120" w:line="276"/>
        <w:jc w:val="both"/>
      </w:pPr>
      <w:r>
        <w:rPr>
          <w:rFonts w:ascii="Barlow Semi Condensed" w:cs="Barlow Semi Condensed" w:eastAsia="Barlow Semi Condensed" w:hAnsi="Barlow Semi Condensed"/>
          <w:b/>
          <w:bCs/>
          <w:sz w:val="24"/>
          <w:szCs w:val="24"/>
        </w:rPr>
        <w:t xml:space="preserve">4581 · Il programma del 1965, volto in italiano.</w:t>
      </w:r>
      <w:r>
        <w:rPr>
          <w:rFonts w:ascii="Barlow Semi Condensed" w:cs="Barlow Semi Condensed" w:eastAsia="Barlow Semi Condensed" w:hAnsi="Barlow Semi Condensed"/>
          <w:sz w:val="24"/>
          <w:szCs w:val="24"/>
        </w:rPr>
        <w:t xml:space="preserve"> La scheda documenti-state-dept-1965-1978.md volge in italiano un documento inglese: «Members of the Party» diventa la delegazione, i titoli americani sono resi con gli equivalenti nostrani. La resa è accurata e non è dichiarata come resa. Si propone la regola minima: il titolo del comunicato n. 76 già compare in originale, e altrettanto dovrebbe valere per ogni denominazione d'ufficio riportata nella scheda.</w:t>
      </w:r>
    </w:p>
    <w:p>
      <w:pPr>
        <w:spacing w:after="120" w:line="276"/>
        <w:jc w:val="both"/>
      </w:pPr>
      <w:r>
        <w:rPr>
          <w:rFonts w:ascii="Barlow Semi Condensed" w:cs="Barlow Semi Condensed" w:eastAsia="Barlow Semi Condensed" w:hAnsi="Barlow Semi Condensed"/>
          <w:b/>
          <w:bCs/>
          <w:sz w:val="24"/>
          <w:szCs w:val="24"/>
        </w:rPr>
        <w:t xml:space="preserve">4582 · Il promemoria a Hoover, citato in originale.</w:t>
      </w:r>
      <w:r>
        <w:rPr>
          <w:rFonts w:ascii="Barlow Semi Condensed" w:cs="Barlow Semi Condensed" w:eastAsia="Barlow Semi Condensed" w:hAnsi="Barlow Semi Condensed"/>
          <w:sz w:val="24"/>
          <w:szCs w:val="24"/>
        </w:rPr>
        <w:t xml:space="preserve"> La medesima scheda riporta in inglese la formula richiesta all'FBI, «intelligence information of a nature reflecting the presence of any effort designed to cause physical harm or embarrassment to the Principal». La scelta è corretta: embarrassment non ha equivalente italiano neutro e Principal è termine tecnico di protezione. Dove la resa non può essere neutra, si cita e si glossa.</w:t>
      </w:r>
    </w:p>
    <w:p>
      <w:pPr>
        <w:spacing w:after="120" w:line="276"/>
        <w:jc w:val="both"/>
      </w:pPr>
      <w:r>
        <w:rPr>
          <w:rFonts w:ascii="Barlow Semi Condensed" w:cs="Barlow Semi Condensed" w:eastAsia="Barlow Semi Condensed" w:hAnsi="Barlow Semi Condensed"/>
          <w:b/>
          <w:bCs/>
          <w:sz w:val="24"/>
          <w:szCs w:val="24"/>
        </w:rPr>
        <w:t xml:space="preserve">4583 · Moro country, idioma senza calco.</w:t>
      </w:r>
      <w:r>
        <w:rPr>
          <w:rFonts w:ascii="Barlow Semi Condensed" w:cs="Barlow Semi Condensed" w:eastAsia="Barlow Semi Condensed" w:hAnsi="Barlow Semi Condensed"/>
          <w:sz w:val="24"/>
          <w:szCs w:val="24"/>
        </w:rPr>
        <w:t xml:space="preserve"> Il cablogramma Trieste 9223 definisce il Friuli-Venezia Giulia «for the most part Moro country». L'espressione appartiene al lessico elettorale americano e non ha calco italiano: «terra di Moro» aggiunge affetto, «roccaforte» aggiunge organizzazione. La scheda la lascia in inglese, ed è la decisione giusta. Si registri come voce del glossario pubblico proposto al blocco 775 dei nove cantieri.</w:t>
      </w:r>
    </w:p>
    <w:p>
      <w:pPr>
        <w:spacing w:after="120" w:line="276"/>
        <w:jc w:val="both"/>
      </w:pPr>
      <w:r>
        <w:rPr>
          <w:rFonts w:ascii="Barlow Semi Condensed" w:cs="Barlow Semi Condensed" w:eastAsia="Barlow Semi Condensed" w:hAnsi="Barlow Semi Condensed"/>
          <w:b/>
          <w:bCs/>
          <w:sz w:val="24"/>
          <w:szCs w:val="24"/>
        </w:rPr>
        <w:t xml:space="preserve">4584 · Il lutto siciliano, scritto in inglese.</w:t>
      </w:r>
      <w:r>
        <w:rPr>
          <w:rFonts w:ascii="Barlow Semi Condensed" w:cs="Barlow Semi Condensed" w:eastAsia="Barlow Semi Condensed" w:hAnsi="Barlow Semi Condensed"/>
          <w:sz w:val="24"/>
          <w:szCs w:val="24"/>
        </w:rPr>
        <w:t xml:space="preserve"> Palermo 9487 scrive che i siciliani «mourned the murdered Aldo Moro with speeches, masses and rallies all over the island on May 10». È la percezione di un console americano, non un verbale italiano. La scheda ne dà parafrasi italiana ampia; la regola migliore sarebbe conservare l'originale accanto, perché la scelta di murdered anziché killed è già una qualificazione del fatto.</w:t>
      </w:r>
    </w:p>
    <w:p>
      <w:pPr>
        <w:spacing w:after="120" w:line="276"/>
        <w:jc w:val="both"/>
      </w:pPr>
      <w:r>
        <w:rPr>
          <w:rFonts w:ascii="Barlow Semi Condensed" w:cs="Barlow Semi Condensed" w:eastAsia="Barlow Semi Condensed" w:hAnsi="Barlow Semi Condensed"/>
          <w:b/>
          <w:bCs/>
          <w:sz w:val="24"/>
          <w:szCs w:val="24"/>
        </w:rPr>
        <w:t xml:space="preserve">4585 · Il coro di Palermo, andata e ritorno.</w:t>
      </w:r>
      <w:r>
        <w:rPr>
          <w:rFonts w:ascii="Barlow Semi Condensed" w:cs="Barlow Semi Condensed" w:eastAsia="Barlow Semi Condensed" w:hAnsi="Barlow Semi Condensed"/>
          <w:sz w:val="24"/>
          <w:szCs w:val="24"/>
        </w:rPr>
        <w:t xml:space="preserve"> Nello stesso cablogramma le grida della piazza — «fuori le bandiere rosse», poi «unità» — sono italiane raccolte da un redattore americano e restituite in italiano dalla scheda. Il percorso è italiano-inglese-italiano, tre codici come al blocco 586. La forma che leggiamo può non essere quella gridata: si segnali il passaggio e si cerchi la cronaca locale coeva per il riscontro.</w:t>
      </w:r>
    </w:p>
    <w:p>
      <w:pPr>
        <w:spacing w:after="120" w:line="276"/>
        <w:jc w:val="both"/>
      </w:pPr>
      <w:r>
        <w:rPr>
          <w:rFonts w:ascii="Barlow Semi Condensed" w:cs="Barlow Semi Condensed" w:eastAsia="Barlow Semi Condensed" w:hAnsi="Barlow Semi Condensed"/>
          <w:b/>
          <w:bCs/>
          <w:sz w:val="24"/>
          <w:szCs w:val="24"/>
        </w:rPr>
        <w:t xml:space="preserve">4586 · Buenos Aires 2881, tre codici.</w:t>
      </w:r>
      <w:r>
        <w:rPr>
          <w:rFonts w:ascii="Barlow Semi Condensed" w:cs="Barlow Semi Condensed" w:eastAsia="Barlow Semi Condensed" w:hAnsi="Barlow Semi Condensed"/>
          <w:sz w:val="24"/>
          <w:szCs w:val="24"/>
        </w:rPr>
        <w:t xml:space="preserve"> Il documento montonero raggiunge il corpus dopo un percorso lungo: originale spagnolo del Segretariato Stampa, riassunto con citazioni in inglese nel cablogramma del 17 aprile 1978, resa italiana nella scheda. La firma apposta è di Juan Gelman, poeta. Tre codici, nessuno dei quali conservato accanto agli altri. Bersaglio: reperire il testo spagnolo, perché una smentita si pesa sulle parole con cui fu scritta.</w:t>
      </w:r>
    </w:p>
    <w:p>
      <w:pPr>
        <w:spacing w:after="120" w:line="276"/>
        <w:jc w:val="both"/>
      </w:pPr>
      <w:r>
        <w:rPr>
          <w:rFonts w:ascii="Barlow Semi Condensed" w:cs="Barlow Semi Condensed" w:eastAsia="Barlow Semi Condensed" w:hAnsi="Barlow Semi Condensed"/>
          <w:b/>
          <w:bCs/>
          <w:sz w:val="24"/>
          <w:szCs w:val="24"/>
        </w:rPr>
        <w:t xml:space="preserve">4587 · Il lotto del 1978 e le date d'incarico.</w:t>
      </w:r>
      <w:r>
        <w:rPr>
          <w:rFonts w:ascii="Barlow Semi Condensed" w:cs="Barlow Semi Condensed" w:eastAsia="Barlow Semi Condensed" w:hAnsi="Barlow Semi Condensed"/>
          <w:sz w:val="24"/>
          <w:szCs w:val="24"/>
        </w:rPr>
        <w:t xml:space="preserve"> Verifica di anteriorità, eseguita. I cablogrammi dell'aprile-maggio 1978 sono posteriori di oltre un anno alla cessazione dell'incarico di Segretario di Stato, avvenuta il 20 gennaio 1977. Nessuno di essi può recare istruzioni o firme di quell'ufficio a quel nome. Il rilievo non tocca il merito: chiude per data un'intera classe di ipotesi, come prescrive il blocco 594.</w:t>
      </w:r>
    </w:p>
    <w:p>
      <w:pPr>
        <w:spacing w:after="120" w:line="276"/>
        <w:jc w:val="both"/>
      </w:pPr>
      <w:r>
        <w:rPr>
          <w:rFonts w:ascii="Barlow Semi Condensed" w:cs="Barlow Semi Condensed" w:eastAsia="Barlow Semi Condensed" w:hAnsi="Barlow Semi Condensed"/>
          <w:b/>
          <w:bCs/>
          <w:sz w:val="24"/>
          <w:szCs w:val="24"/>
        </w:rPr>
        <w:t xml:space="preserve">4588 · Lo strato del 1965 non lo nomina.</w:t>
      </w:r>
      <w:r>
        <w:rPr>
          <w:rFonts w:ascii="Barlow Semi Condensed" w:cs="Barlow Semi Condensed" w:eastAsia="Barlow Semi Condensed" w:hAnsi="Barlow Semi Condensed"/>
          <w:sz w:val="24"/>
          <w:szCs w:val="24"/>
        </w:rPr>
        <w:t xml:space="preserve"> Negli elenchi della delegazione italiana e dei funzionari americani del programma dell'aprile 1965 il nome non compare. È assenza verificata su documento, non congettura: quel lotto attesta chi c'era, e chi non vi è nominato non vi è attestato. Gli incarichi registrati dall'opera cominciano il 20 gennaio 1969. Stato Zero pieno, chiuso dal documento medesimo e non rinviabile ad archivio.</w:t>
      </w:r>
    </w:p>
    <w:p>
      <w:pPr>
        <w:spacing w:after="120" w:line="276"/>
        <w:jc w:val="both"/>
      </w:pPr>
      <w:r>
        <w:rPr>
          <w:rFonts w:ascii="Barlow Semi Condensed" w:cs="Barlow Semi Condensed" w:eastAsia="Barlow Semi Condensed" w:hAnsi="Barlow Semi Condensed"/>
          <w:b/>
          <w:bCs/>
          <w:sz w:val="24"/>
          <w:szCs w:val="24"/>
        </w:rPr>
        <w:t xml:space="preserve">4589 · Misurare l'errore dell'OCR grezzo.</w:t>
      </w:r>
      <w:r>
        <w:rPr>
          <w:rFonts w:ascii="Barlow Semi Condensed" w:cs="Barlow Semi Condensed" w:eastAsia="Barlow Semi Condensed" w:hAnsi="Barlow Semi Condensed"/>
          <w:sz w:val="24"/>
          <w:szCs w:val="24"/>
        </w:rPr>
        <w:t xml:space="preserve"> Il file originali/state-dept-djvu-ocr-grezzo.txt è conservato accanto alla trascrizione ordinata proprio per consentire il controllo previsto dal blocco 25. Il bersaglio quantitativo non è mai stato eseguito: misurare il tasso d'errore del riconoscimento su nomi propri e cifre, che sono i luoghi dove l'OCR sbaglia di più e dove l'errore si propaga senza denunciarsi. L'esito è un numero.</w:t>
      </w:r>
    </w:p>
    <w:p>
      <w:pPr>
        <w:spacing w:after="120" w:line="276"/>
        <w:jc w:val="both"/>
      </w:pPr>
      <w:r>
        <w:rPr>
          <w:rFonts w:ascii="Barlow Semi Condensed" w:cs="Barlow Semi Condensed" w:eastAsia="Barlow Semi Condensed" w:hAnsi="Barlow Semi Condensed"/>
          <w:b/>
          <w:bCs/>
          <w:sz w:val="24"/>
          <w:szCs w:val="24"/>
        </w:rPr>
        <w:t xml:space="preserve">4590 · Il manifesto SHA-256 come catena.</w:t>
      </w:r>
      <w:r>
        <w:rPr>
          <w:rFonts w:ascii="Barlow Semi Condensed" w:cs="Barlow Semi Condensed" w:eastAsia="Barlow Semi Condensed" w:hAnsi="Barlow Semi Condensed"/>
          <w:sz w:val="24"/>
          <w:szCs w:val="24"/>
        </w:rPr>
        <w:t xml:space="preserve"> La cartella della Farnesina custodisce un manifest-sha256.txt. In materia linguistica quel file svolge una funzione precisa: attesta che il testo tradotto oggi è lo stesso di ieri e permette di datare ogni normalizzazione grafica successiva. È l'unico strumento del branch che renda misurabile una variante d'apparato. Si estenda al file dei mille blocchi, dove le varianti sono già state accertate.</w:t>
      </w:r>
    </w:p>
    <w:p>
      <w:pPr>
        <w:spacing w:after="120" w:line="276"/>
        <w:jc w:val="both"/>
      </w:pPr>
      <w:r>
        <w:rPr>
          <w:rFonts w:ascii="Barlow Semi Condensed" w:cs="Barlow Semi Condensed" w:eastAsia="Barlow Semi Condensed" w:hAnsi="Barlow Semi Condensed"/>
          <w:b/>
          <w:bCs/>
          <w:sz w:val="24"/>
          <w:szCs w:val="24"/>
        </w:rPr>
        <w:t xml:space="preserve">4591 · Maggio 1969, errore entrato dall'inglese.</w:t>
      </w:r>
      <w:r>
        <w:rPr>
          <w:rFonts w:ascii="Barlow Semi Condensed" w:cs="Barlow Semi Condensed" w:eastAsia="Barlow Semi Condensed" w:hAnsi="Barlow Semi Condensed"/>
          <w:sz w:val="24"/>
          <w:szCs w:val="24"/>
        </w:rPr>
        <w:t xml:space="preserve"> Il capitolo I della ricognizione-madre dirime una discrepanza e ne dichiara la provenienza: la data «from May 1969» compare in Wikipedia in lingua inglese, mentre il Portale storico della Camera data il giuramento del II Governo Rumor al 5 agosto 1969. È il caso modello del territorio, un errore che entra da un'opera di consultazione straniera e si diffonde nelle sintesi italiane. Si corregge sulla fonte istituzionale nazionale.</w:t>
      </w:r>
    </w:p>
    <w:p>
      <w:pPr>
        <w:spacing w:after="120" w:line="276"/>
        <w:jc w:val="both"/>
      </w:pPr>
      <w:r>
        <w:rPr>
          <w:rFonts w:ascii="Barlow Semi Condensed" w:cs="Barlow Semi Condensed" w:eastAsia="Barlow Semi Condensed" w:hAnsi="Barlow Semi Condensed"/>
          <w:b/>
          <w:bCs/>
          <w:sz w:val="24"/>
          <w:szCs w:val="24"/>
        </w:rPr>
        <w:t xml:space="preserve">4592 · Atenagora, sei oppure sette luglio.</w:t>
      </w:r>
      <w:r>
        <w:rPr>
          <w:rFonts w:ascii="Barlow Semi Condensed" w:cs="Barlow Semi Condensed" w:eastAsia="Barlow Semi Condensed" w:hAnsi="Barlow Semi Condensed"/>
          <w:sz w:val="24"/>
          <w:szCs w:val="24"/>
        </w:rPr>
        <w:t xml:space="preserve"> La ricognizione turca riporta una divergenza fra due lingue e non la scioglie: la voce inglese di Wikipedia, citata in originale, dà il 7 luglio 1972; la fonte accademica spagnola di Ángel Santos, citata in spagnolo, colloca il decesso «a últimas horas de la tarde del 6 de julio». Entrambe restano nella propria lingua. È la prassi corretta e va estesa a tutto il branch.</w:t>
      </w:r>
    </w:p>
    <w:p>
      <w:pPr>
        <w:spacing w:after="120" w:line="276"/>
        <w:jc w:val="both"/>
      </w:pPr>
      <w:r>
        <w:rPr>
          <w:rFonts w:ascii="Barlow Semi Condensed" w:cs="Barlow Semi Condensed" w:eastAsia="Barlow Semi Condensed" w:hAnsi="Barlow Semi Condensed"/>
          <w:b/>
          <w:bCs/>
          <w:sz w:val="24"/>
          <w:szCs w:val="24"/>
        </w:rPr>
        <w:t xml:space="preserve">4593 · Invasione oppure operazione di pace.</w:t>
      </w:r>
      <w:r>
        <w:rPr>
          <w:rFonts w:ascii="Barlow Semi Condensed" w:cs="Barlow Semi Condensed" w:eastAsia="Barlow Semi Condensed" w:hAnsi="Barlow Semi Condensed"/>
          <w:sz w:val="24"/>
          <w:szCs w:val="24"/>
        </w:rPr>
        <w:t xml:space="preserve"> La nota metodologica finale di turchia-opus-dei-1969-1975.md dichiara fra le divergenze non risolte la denominazione degli eventi ciprioti del 1974. Non è disputa di fatti ma di lemmi, e ciascun lemma è una posizione di parte. Il blocco 346 registra già lo Stato Zero greco-cipriota sulle dichiarazioni di Moro; qui si aggiunge che nessun documento del branch lega quel lessico al nome studiato.</w:t>
      </w:r>
    </w:p>
    <w:p>
      <w:pPr>
        <w:spacing w:after="120" w:line="276"/>
        <w:jc w:val="both"/>
      </w:pPr>
      <w:r>
        <w:rPr>
          <w:rFonts w:ascii="Barlow Semi Condensed" w:cs="Barlow Semi Condensed" w:eastAsia="Barlow Semi Condensed" w:hAnsi="Barlow Semi Condensed"/>
          <w:b/>
          <w:bCs/>
          <w:sz w:val="24"/>
          <w:szCs w:val="24"/>
        </w:rPr>
        <w:t xml:space="preserve">4594 · I nomi turchi si glossano, non si traducono.</w:t>
      </w:r>
      <w:r>
        <w:rPr>
          <w:rFonts w:ascii="Barlow Semi Condensed" w:cs="Barlow Semi Condensed" w:eastAsia="Barlow Semi Condensed" w:hAnsi="Barlow Semi Condensed"/>
          <w:sz w:val="24"/>
          <w:szCs w:val="24"/>
        </w:rPr>
        <w:t xml:space="preserve"> La ricognizione scrive Bozkurtlar, Ülkücüler con la glossa «idealisti», Ülkü Ocakları, Milliyetçi Hareket Partisi. La denominazione politica resta nella lingua d'origine e la glossa l'accompagna: è la disciplina che il blocco 581 chiede per le traduzioni. Il beneficio è verificabile, perché negli archivi turchi si trova soltanto la forma originale e una resa italiana non è una chiave d'accesso.</w:t>
      </w:r>
    </w:p>
    <w:p>
      <w:pPr>
        <w:spacing w:after="120" w:line="276"/>
        <w:jc w:val="both"/>
      </w:pPr>
      <w:r>
        <w:rPr>
          <w:rFonts w:ascii="Barlow Semi Condensed" w:cs="Barlow Semi Condensed" w:eastAsia="Barlow Semi Condensed" w:hAnsi="Barlow Semi Condensed"/>
          <w:b/>
          <w:bCs/>
          <w:sz w:val="24"/>
          <w:szCs w:val="24"/>
        </w:rPr>
        <w:t xml:space="preserve">4595 · I diacritici sono chiavi di ricerca.</w:t>
      </w:r>
      <w:r>
        <w:rPr>
          <w:rFonts w:ascii="Barlow Semi Condensed" w:cs="Barlow Semi Condensed" w:eastAsia="Barlow Semi Condensed" w:hAnsi="Barlow Semi Condensed"/>
          <w:sz w:val="24"/>
          <w:szCs w:val="24"/>
        </w:rPr>
        <w:t xml:space="preserve"> Il branch conserva Ağca, İpekçi, Marušič, Valenčič nella grafia propria. La scelta ha una conseguenza tecnica: una ricerca sulla stringa priva di segni non li trova. Ogni verifica meccanica sul corpus deve perciò interrogare entrambe le grafie e dichiararlo, altrimenti produce assenze apparenti — la peggiore specie di Stato Zero, un vuoto fabbricato dallo strumento e non riscontrato nell'archivio.</w:t>
      </w:r>
    </w:p>
    <w:p>
      <w:pPr>
        <w:spacing w:after="120" w:line="276"/>
        <w:jc w:val="both"/>
      </w:pPr>
      <w:r>
        <w:rPr>
          <w:rFonts w:ascii="Barlow Semi Condensed" w:cs="Barlow Semi Condensed" w:eastAsia="Barlow Semi Condensed" w:hAnsi="Barlow Semi Condensed"/>
          <w:b/>
          <w:bCs/>
          <w:sz w:val="24"/>
          <w:szCs w:val="24"/>
        </w:rPr>
        <w:t xml:space="preserve">4596 · Lo Stato Zero prodotto da una stringa.</w:t>
      </w:r>
      <w:r>
        <w:rPr>
          <w:rFonts w:ascii="Barlow Semi Condensed" w:cs="Barlow Semi Condensed" w:eastAsia="Barlow Semi Condensed" w:hAnsi="Barlow Semi Condensed"/>
          <w:sz w:val="24"/>
          <w:szCs w:val="24"/>
        </w:rPr>
        <w:t xml:space="preserve"> Il verbale delle sei letture incrociate della seconda campagna registra uno Stato Zero condiviso ricavato da zero occorrenze di un nome e di una data. Il metodo è buono e ha un limite da scrivergli accanto: un conteggio vale quanto la stringa interrogata. Bersaglio di smentita di quel passaggio, ripetere la ricerca sulle varianti grafiche e sulle forme in lingua straniera prima di consolidarlo.</w:t>
      </w:r>
    </w:p>
    <w:p>
      <w:pPr>
        <w:spacing w:after="120" w:line="276"/>
        <w:jc w:val="both"/>
      </w:pPr>
      <w:r>
        <w:rPr>
          <w:rFonts w:ascii="Barlow Semi Condensed" w:cs="Barlow Semi Condensed" w:eastAsia="Barlow Semi Condensed" w:hAnsi="Barlow Semi Condensed"/>
          <w:b/>
          <w:bCs/>
          <w:sz w:val="24"/>
          <w:szCs w:val="24"/>
        </w:rPr>
        <w:t xml:space="preserve">4597 · Il titolo tedesco verificato per intero.</w:t>
      </w:r>
      <w:r>
        <w:rPr>
          <w:rFonts w:ascii="Barlow Semi Condensed" w:cs="Barlow Semi Condensed" w:eastAsia="Barlow Semi Condensed" w:hAnsi="Barlow Semi Condensed"/>
          <w:sz w:val="24"/>
          <w:szCs w:val="24"/>
        </w:rPr>
        <w:t xml:space="preserve"> La verifica della seconda campagna riporta per esteso, in tedesco, il titolo del Trattato di Varsavia del 7 dicembre 1970. Accanto, il blocco 596 rileva che la formula corrente «il Bundestag ratificò» è imprecisa. Le due osservazioni sono la stessa osservazione: la precisione lessicale nella lingua originale smaschera le abbreviazioni comode. Nessun documento di quella sequenza nomina il soggetto di quest'opera.</w:t>
      </w:r>
    </w:p>
    <w:p>
      <w:pPr>
        <w:spacing w:after="120" w:line="276"/>
        <w:jc w:val="both"/>
      </w:pPr>
      <w:r>
        <w:rPr>
          <w:rFonts w:ascii="Barlow Semi Condensed" w:cs="Barlow Semi Condensed" w:eastAsia="Barlow Semi Condensed" w:hAnsi="Barlow Semi Condensed"/>
          <w:b/>
          <w:bCs/>
          <w:sz w:val="24"/>
          <w:szCs w:val="24"/>
        </w:rPr>
        <w:t xml:space="preserve">4598 · Diciassette oppure diciotto gennaio.</w:t>
      </w:r>
      <w:r>
        <w:rPr>
          <w:rFonts w:ascii="Barlow Semi Condensed" w:cs="Barlow Semi Condensed" w:eastAsia="Barlow Semi Condensed" w:hAnsi="Barlow Semi Condensed"/>
          <w:sz w:val="24"/>
          <w:szCs w:val="24"/>
        </w:rPr>
        <w:t xml:space="preserve"> Sul riconoscimento italiano della Repubblica Democratica Tedesca le fonti italiane danno il 17 gennaio 1973 e una fonte istituzionale tedesca il 18. Prima di dichiararla divergenza sostanziale si applichi il test del blocco 588: verificare se i due sistemi datino atti diversi — la decisione, la nota verbale, la pubblicazione. Molte divergenze fra archivi nazionali si dissolvono così, e questa ne è candidata.</w:t>
      </w:r>
    </w:p>
    <w:p>
      <w:pPr>
        <w:spacing w:after="120" w:line="276"/>
        <w:jc w:val="both"/>
      </w:pPr>
      <w:r>
        <w:rPr>
          <w:rFonts w:ascii="Barlow Semi Condensed" w:cs="Barlow Semi Condensed" w:eastAsia="Barlow Semi Condensed" w:hAnsi="Barlow Semi Condensed"/>
          <w:b/>
          <w:bCs/>
          <w:sz w:val="24"/>
          <w:szCs w:val="24"/>
        </w:rPr>
        <w:t xml:space="preserve">4599 · Imperativo de Consciência, titolo conservato.</w:t>
      </w:r>
      <w:r>
        <w:rPr>
          <w:rFonts w:ascii="Barlow Semi Condensed" w:cs="Barlow Semi Condensed" w:eastAsia="Barlow Semi Condensed" w:hAnsi="Barlow Semi Condensed"/>
          <w:sz w:val="24"/>
          <w:szCs w:val="24"/>
        </w:rPr>
        <w:t xml:space="preserve"> La ricognizione portoghese conserva in portoghese il titolo del documento del 12 febbraio 1974 e allarga a 10-14 aprile 1974 la forbice sulla data dell'espulsione da Nampula. Titolo in originale e forbice dichiarata sono due atti del medesimo metodo. Si osservi che la forbice si allarga in verifica: una ricerca onesta produce anche incertezza nuova, e la registra invece di sopprimerla.</w:t>
      </w:r>
    </w:p>
    <w:p>
      <w:pPr>
        <w:spacing w:after="120" w:line="276"/>
        <w:jc w:val="both"/>
      </w:pPr>
      <w:r>
        <w:rPr>
          <w:rFonts w:ascii="Barlow Semi Condensed" w:cs="Barlow Semi Condensed" w:eastAsia="Barlow Semi Condensed" w:hAnsi="Barlow Semi Condensed"/>
          <w:b/>
          <w:bCs/>
          <w:sz w:val="24"/>
          <w:szCs w:val="24"/>
        </w:rPr>
        <w:t xml:space="preserve">4600 · Santa Sé dentro un testo italiano.</w:t>
      </w:r>
      <w:r>
        <w:rPr>
          <w:rFonts w:ascii="Barlow Semi Condensed" w:cs="Barlow Semi Condensed" w:eastAsia="Barlow Semi Condensed" w:hAnsi="Barlow Semi Condensed"/>
          <w:sz w:val="24"/>
          <w:szCs w:val="24"/>
        </w:rPr>
        <w:t xml:space="preserve"> Il file portogallo-opus-dei.md e il README della cartella scrivono «Santa Sé», forma portoghese, dentro prosa italiana. È intrusione lessicale della lingua della ricerca nella lingua della scrittura: fenomeno comune e mai innocuo, perché segnala su quale documentazione il passo fu redatto. Si riporta come variante, non si corregge in silenzio, e diventa indizio utile sulla filiera delle fonti impiegate.</w:t>
      </w:r>
    </w:p>
    <w:p>
      <w:pPr>
        <w:spacing w:after="120" w:line="276"/>
        <w:jc w:val="both"/>
      </w:pPr>
      <w:r>
        <w:rPr>
          <w:rFonts w:ascii="Barlow Semi Condensed" w:cs="Barlow Semi Condensed" w:eastAsia="Barlow Semi Condensed" w:hAnsi="Barlow Semi Condensed"/>
          <w:b/>
          <w:bCs/>
          <w:sz w:val="24"/>
          <w:szCs w:val="24"/>
        </w:rPr>
        <w:t xml:space="preserve">4601 · La lingua dell'istanza spagnola.</w:t>
      </w:r>
      <w:r>
        <w:rPr>
          <w:rFonts w:ascii="Barlow Semi Condensed" w:cs="Barlow Semi Condensed" w:eastAsia="Barlow Semi Condensed" w:hAnsi="Barlow Semi Condensed"/>
          <w:sz w:val="24"/>
          <w:szCs w:val="24"/>
        </w:rPr>
        <w:t xml:space="preserve"> Le sedi indicate dalla ricognizione-madre per il versante iberico — Archivo General de la Administración, portale PARES, Censo-Guía, Archivo General del Ministerio de Asuntos Exteriores — rispondono in spagnolo e nel proprio vocabolario giuridico. Vale il blocco 248 del manuale investigativo: metà dei dinieghi storici sono dinieghi di traduzione. L'istanza si redige nella lingua della sede e con la terminologia della sede.</w:t>
      </w:r>
    </w:p>
    <w:p>
      <w:pPr>
        <w:spacing w:after="120" w:line="276"/>
        <w:jc w:val="both"/>
      </w:pPr>
      <w:r>
        <w:rPr>
          <w:rFonts w:ascii="Barlow Semi Condensed" w:cs="Barlow Semi Condensed" w:eastAsia="Barlow Semi Condensed" w:hAnsi="Barlow Semi Condensed"/>
          <w:b/>
          <w:bCs/>
          <w:sz w:val="24"/>
          <w:szCs w:val="24"/>
        </w:rPr>
        <w:t xml:space="preserve">4602 · L'indice della biografia López Bravo.</w:t>
      </w:r>
      <w:r>
        <w:rPr>
          <w:rFonts w:ascii="Barlow Semi Condensed" w:cs="Barlow Semi Condensed" w:eastAsia="Barlow Semi Condensed" w:hAnsi="Barlow Semi Condensed"/>
          <w:sz w:val="24"/>
          <w:szCs w:val="24"/>
        </w:rPr>
        <w:t xml:space="preserve"> Bersaglio piccolo, eseguibile, mai eseguito. La biografia di Gabriel Pérez Gómez, López Bravo. Una biografía, Rialp, Madrid 2024, trecentotrentuno pagine, è la novità storiografica del versante spagnolo e non esiste in italiano. Va verificato sull'indice dei nomi se vi compaia il Segretario di Stato americano, e a quali pagine. Esito atteso incerto; l'esito negativo si dichiara con perimetro.</w:t>
      </w:r>
    </w:p>
    <w:p>
      <w:pPr>
        <w:spacing w:after="120" w:line="276"/>
        <w:jc w:val="both"/>
      </w:pPr>
      <w:r>
        <w:rPr>
          <w:rFonts w:ascii="Barlow Semi Condensed" w:cs="Barlow Semi Condensed" w:eastAsia="Barlow Semi Condensed" w:hAnsi="Barlow Semi Condensed"/>
          <w:b/>
          <w:bCs/>
          <w:sz w:val="24"/>
          <w:szCs w:val="24"/>
        </w:rPr>
        <w:t xml:space="preserve">4603 · Official non significa ministro.</w:t>
      </w:r>
      <w:r>
        <w:rPr>
          <w:rFonts w:ascii="Barlow Semi Condensed" w:cs="Barlow Semi Condensed" w:eastAsia="Barlow Semi Condensed" w:hAnsi="Barlow Semi Condensed"/>
          <w:sz w:val="24"/>
          <w:szCs w:val="24"/>
        </w:rPr>
        <w:t xml:space="preserve"> Il documento CIA del 22 maggio 1970 contiene una frase deliberatamente anonima su un «Italian official», che le ricognizioni vietano espressamente di attribuire ad Aldo Moro. Il divieto ha anche ragione lessicale: official copre in inglese una gamma che va dal funzionario di carriera al titolare politico. Renderlo con «ministro» compirebbe l'attribuzione che il documento evita. Si conservi l'inglese fra virgolette.</w:t>
      </w:r>
    </w:p>
    <w:p>
      <w:pPr>
        <w:spacing w:after="120" w:line="276"/>
        <w:jc w:val="both"/>
      </w:pPr>
      <w:r>
        <w:rPr>
          <w:rFonts w:ascii="Barlow Semi Condensed" w:cs="Barlow Semi Condensed" w:eastAsia="Barlow Semi Condensed" w:hAnsi="Barlow Semi Condensed"/>
          <w:b/>
          <w:bCs/>
          <w:sz w:val="24"/>
          <w:szCs w:val="24"/>
        </w:rPr>
        <w:t xml:space="preserve">4604 · Una divergenza che non è linguistica.</w:t>
      </w:r>
      <w:r>
        <w:rPr>
          <w:rFonts w:ascii="Barlow Semi Condensed" w:cs="Barlow Semi Condensed" w:eastAsia="Barlow Semi Condensed" w:hAnsi="Barlow Semi Condensed"/>
          <w:sz w:val="24"/>
          <w:szCs w:val="24"/>
        </w:rPr>
        <w:t xml:space="preserve"> Il verbale delle sei letture incrociate registra che il saggio di Guido Levi è citato una volta alle pagine 69-101 e una volta alle 69-102, con identica citazione testuale. Nessuna lingua è di mezzo: è errore di trascrizione numerica, da chiudere sul fascicolo originale di «Spagna contemporanea». Il blocco lo isola perché la serie non gonfi il proprio territorio con casi che non le appartengono.</w:t>
      </w:r>
    </w:p>
    <w:p>
      <w:pPr>
        <w:spacing w:after="120" w:line="276"/>
        <w:jc w:val="both"/>
      </w:pPr>
      <w:r>
        <w:rPr>
          <w:rFonts w:ascii="Barlow Semi Condensed" w:cs="Barlow Semi Condensed" w:eastAsia="Barlow Semi Condensed" w:hAnsi="Barlow Semi Condensed"/>
          <w:b/>
          <w:bCs/>
          <w:sz w:val="24"/>
          <w:szCs w:val="24"/>
        </w:rPr>
        <w:t xml:space="preserve">4605 · Le pagine inglesi dell'ente.</w:t>
      </w:r>
      <w:r>
        <w:rPr>
          <w:rFonts w:ascii="Barlow Semi Condensed" w:cs="Barlow Semi Condensed" w:eastAsia="Barlow Semi Condensed" w:hAnsi="Barlow Semi Condensed"/>
          <w:sz w:val="24"/>
          <w:szCs w:val="24"/>
        </w:rPr>
        <w:t xml:space="preserve"> Per la Turchia la ricognizione cita pagine dell'Opus Dei in lingua inglese relative a una residenza universitaria di Strasburgo. La lingua della fonte non coincide né col Paese oggetto né con quello della sede descritta. È autodescrizione istituzionale, piano 3 quanto alla presenza dell'ente in Turchia, e come tale è dichiarata. Si registra qui perché la lingua di una fonte non ne misura la pertinenza.</w:t>
      </w:r>
    </w:p>
    <w:p>
      <w:pPr>
        <w:spacing w:after="120" w:line="276"/>
        <w:jc w:val="both"/>
      </w:pPr>
      <w:r>
        <w:rPr>
          <w:rFonts w:ascii="Barlow Semi Condensed" w:cs="Barlow Semi Condensed" w:eastAsia="Barlow Semi Condensed" w:hAnsi="Barlow Semi Condensed"/>
          <w:b/>
          <w:bCs/>
          <w:sz w:val="24"/>
          <w:szCs w:val="24"/>
        </w:rPr>
        <w:t xml:space="preserve">4606 · Un accostamento in una terza lingua.</w:t>
      </w:r>
      <w:r>
        <w:rPr>
          <w:rFonts w:ascii="Barlow Semi Condensed" w:cs="Barlow Semi Condensed" w:eastAsia="Barlow Semi Condensed" w:hAnsi="Barlow Semi Condensed"/>
          <w:sz w:val="24"/>
          <w:szCs w:val="24"/>
        </w:rPr>
        <w:t xml:space="preserve"> Daily Sabah, quotidiano turco in lingua inglese, accosta il movimento di Gülen all'Opus Dei sul piano comparativo e polemico. L'accostamento non prova alcuna presenza ed è così qualificato dalla ricognizione. Vale come promemoria del territorio: una comparazione formulata in una lingua terza rispetto a entrambi i termini è omologia soltanto apparente, e il blocco 576 chiede il documento, non la somiglianza.</w:t>
      </w:r>
    </w:p>
    <w:p>
      <w:pPr>
        <w:spacing w:after="120" w:line="276"/>
        <w:jc w:val="both"/>
      </w:pPr>
      <w:r>
        <w:rPr>
          <w:rFonts w:ascii="Barlow Semi Condensed" w:cs="Barlow Semi Condensed" w:eastAsia="Barlow Semi Condensed" w:hAnsi="Barlow Semi Condensed"/>
          <w:b/>
          <w:bCs/>
          <w:sz w:val="24"/>
          <w:szCs w:val="24"/>
        </w:rPr>
        <w:t xml:space="preserve">4607 · Il Che letto in traduzione inglese.</w:t>
      </w:r>
      <w:r>
        <w:rPr>
          <w:rFonts w:ascii="Barlow Semi Condensed" w:cs="Barlow Semi Condensed" w:eastAsia="Barlow Semi Condensed" w:hAnsi="Barlow Semi Condensed"/>
          <w:sz w:val="24"/>
          <w:szCs w:val="24"/>
        </w:rPr>
        <w:t xml:space="preserve"> La bibliografia critica guevariana poggia le fonti primarie sul Marxists Internet Archive, dove il discorso all'ONU dell'11 dicembre 1964 compare col titolo inglese «Colonialism is Doomed». Lo strato più alto del corpus guevariano è dunque, in larga parte, una traduzione. È fatto da dichiarare e non da nascondere: il grado non cala, ma il testimone che si legge è di secondo grado.</w:t>
      </w:r>
    </w:p>
    <w:p>
      <w:pPr>
        <w:spacing w:after="120" w:line="276"/>
        <w:jc w:val="both"/>
      </w:pPr>
      <w:r>
        <w:rPr>
          <w:rFonts w:ascii="Barlow Semi Condensed" w:cs="Barlow Semi Condensed" w:eastAsia="Barlow Semi Condensed" w:hAnsi="Barlow Semi Condensed"/>
          <w:b/>
          <w:bCs/>
          <w:sz w:val="24"/>
          <w:szCs w:val="24"/>
        </w:rPr>
        <w:t xml:space="preserve">4608 · L'incipit del Congo, in due lingue.</w:t>
      </w:r>
      <w:r>
        <w:rPr>
          <w:rFonts w:ascii="Barlow Semi Condensed" w:cs="Barlow Semi Condensed" w:eastAsia="Barlow Semi Condensed" w:hAnsi="Barlow Semi Condensed"/>
          <w:sz w:val="24"/>
          <w:szCs w:val="24"/>
        </w:rPr>
        <w:t xml:space="preserve"> Il corpus apre la campagna congolese con «Questa è la storia di un fallimento», resa italiana dell'incipit di Pasajes de la guerra revolucionaria: Congo. La formula è citata senza l'originale spagnolo a fronte. La correzione è di un rigo e va fatta, perché dove una frase porta il peso di un'intera lettura la si adduce nella lingua in cui fu scritta.</w:t>
      </w:r>
    </w:p>
    <w:p>
      <w:pPr>
        <w:spacing w:after="120" w:line="276"/>
        <w:jc w:val="both"/>
      </w:pPr>
      <w:r>
        <w:rPr>
          <w:rFonts w:ascii="Barlow Semi Condensed" w:cs="Barlow Semi Condensed" w:eastAsia="Barlow Semi Condensed" w:hAnsi="Barlow Semi Condensed"/>
          <w:b/>
          <w:bCs/>
          <w:sz w:val="24"/>
          <w:szCs w:val="24"/>
        </w:rPr>
        <w:t xml:space="preserve">4609 · La catena russa di Lavretski.</w:t>
      </w:r>
      <w:r>
        <w:rPr>
          <w:rFonts w:ascii="Barlow Semi Condensed" w:cs="Barlow Semi Condensed" w:eastAsia="Barlow Semi Condensed" w:hAnsi="Barlow Semi Condensed"/>
          <w:sz w:val="24"/>
          <w:szCs w:val="24"/>
        </w:rPr>
        <w:t xml:space="preserve"> Due dati sopravvivono nel corpus guevariano appoggiati alla sola biografia sovietica di Iosif Lavretski, edita da Progress Publishers: la presenza di Mikoyan all'Avana nel marzo 1965 e i milletrecentoventitré atti di sovversione del 1964. Fra l'autore e il lettore italiano stanno un originale russo e almeno una traduzione. La catena si dichiara, e i due dati restano non riscontrati.</w:t>
      </w:r>
    </w:p>
    <w:p>
      <w:pPr>
        <w:spacing w:after="120" w:line="276"/>
        <w:jc w:val="both"/>
      </w:pPr>
      <w:r>
        <w:rPr>
          <w:rFonts w:ascii="Barlow Semi Condensed" w:cs="Barlow Semi Condensed" w:eastAsia="Barlow Semi Condensed" w:hAnsi="Barlow Semi Condensed"/>
          <w:b/>
          <w:bCs/>
          <w:sz w:val="24"/>
          <w:szCs w:val="24"/>
        </w:rPr>
        <w:t xml:space="preserve">4610 · Un sito di traduzioni fra le espunte.</w:t>
      </w:r>
      <w:r>
        <w:rPr>
          <w:rFonts w:ascii="Barlow Semi Condensed" w:cs="Barlow Semi Condensed" w:eastAsia="Barlow Semi Condensed" w:hAnsi="Barlow Semi Condensed"/>
          <w:sz w:val="24"/>
          <w:szCs w:val="24"/>
        </w:rPr>
        <w:t xml:space="preserve"> L'elenco di trasparenza della bibliografia guevariana registra fra le fonti sostituite translatingcuba.com, insieme ad altri siti d'opinione. La motivazione fu la debolezza dello statuto, non la lingua. Il caso vale come regola: si declassa una fonte per ciò che è, mai per l'idioma in cui scrive, e un sito di traduzioni non è meno affidabile di un originale debole.</w:t>
      </w:r>
    </w:p>
    <w:p>
      <w:pPr>
        <w:spacing w:after="120" w:line="276"/>
        <w:jc w:val="both"/>
      </w:pPr>
      <w:r>
        <w:rPr>
          <w:rFonts w:ascii="Barlow Semi Condensed" w:cs="Barlow Semi Condensed" w:eastAsia="Barlow Semi Condensed" w:hAnsi="Barlow Semi Condensed"/>
          <w:b/>
          <w:bCs/>
          <w:sz w:val="24"/>
          <w:szCs w:val="24"/>
        </w:rPr>
        <w:t xml:space="preserve">4611 · Ñancahuazú, toponimo passato per l'inglese.</w:t>
      </w:r>
      <w:r>
        <w:rPr>
          <w:rFonts w:ascii="Barlow Semi Condensed" w:cs="Barlow Semi Condensed" w:eastAsia="Barlow Semi Condensed" w:hAnsi="Barlow Semi Condensed"/>
          <w:sz w:val="24"/>
          <w:szCs w:val="24"/>
        </w:rPr>
        <w:t xml:space="preserve"> Il corpus indica fra le voci enciclopediche adoperate «Ñancahuazú Guerrilla», titolo inglese per un toponimo boliviano di ceppo guaraní. La medesima triangolazione registra, sul versante genealogico, la discendenza guaraní per via di Martínez de Irala. Due lingue minori attraversano il corpus senza esservi mai nominate come tali: si annoti, perché il toponimo è la chiave d'accesso agli archivi locali.</w:t>
      </w:r>
    </w:p>
    <w:p>
      <w:pPr>
        <w:spacing w:after="120" w:line="276"/>
        <w:jc w:val="both"/>
      </w:pPr>
      <w:r>
        <w:rPr>
          <w:rFonts w:ascii="Barlow Semi Condensed" w:cs="Barlow Semi Condensed" w:eastAsia="Barlow Semi Condensed" w:hAnsi="Barlow Semi Condensed"/>
          <w:b/>
          <w:bCs/>
          <w:sz w:val="24"/>
          <w:szCs w:val="24"/>
        </w:rPr>
        <w:t xml:space="preserve">4612 · Il nome assente dal corpus guevariano.</w:t>
      </w:r>
      <w:r>
        <w:rPr>
          <w:rFonts w:ascii="Barlow Semi Condensed" w:cs="Barlow Semi Condensed" w:eastAsia="Barlow Semi Condensed" w:hAnsi="Barlow Semi Condensed"/>
          <w:sz w:val="24"/>
          <w:szCs w:val="24"/>
        </w:rPr>
        <w:t xml:space="preserve"> Verifica meccanica sui cinque studi e sulla bibliografia critica: nei file guevariani il nome non compare. L'assenza è coerente con le date, poiché gli incarichi registrati dall'opera cominciano nel gennaio 1969 e la campagna boliviana si chiude nell'ottobre 1967. Si dichiara Stato Zero, e la sede che lo chiuderebbe è l'Electronic Briefing Book della National Security Archive sul 1967.</w:t>
      </w:r>
    </w:p>
    <w:p>
      <w:pPr>
        <w:spacing w:after="120" w:line="276"/>
        <w:jc w:val="both"/>
      </w:pPr>
      <w:r>
        <w:rPr>
          <w:rFonts w:ascii="Barlow Semi Condensed" w:cs="Barlow Semi Condensed" w:eastAsia="Barlow Semi Condensed" w:hAnsi="Barlow Semi Condensed"/>
          <w:b/>
          <w:bCs/>
          <w:sz w:val="24"/>
          <w:szCs w:val="24"/>
        </w:rPr>
        <w:t xml:space="preserve">4613 · Una variante di titolo dichiarata in nota.</w:t>
      </w:r>
      <w:r>
        <w:rPr>
          <w:rFonts w:ascii="Barlow Semi Condensed" w:cs="Barlow Semi Condensed" w:eastAsia="Barlow Semi Condensed" w:hAnsi="Barlow Semi Condensed"/>
          <w:sz w:val="24"/>
          <w:szCs w:val="24"/>
        </w:rPr>
        <w:t xml:space="preserve"> Gli articoli allergologici messicani del 1953-1955 entrano nel corpus con una variante di titolo segnalata in nota, in spagnolo. È il comportamento corretto davanti a due forme di un medesimo titolo: si riportano entrambe e si rinvia al fascicolo della Revista Iberoamericana de Alergología. Il modello si applica identico alle varianti dei titoli inglesi e tedeschi che il branch cita altrove.</w:t>
      </w:r>
    </w:p>
    <w:p>
      <w:pPr>
        <w:spacing w:after="120" w:line="276"/>
        <w:jc w:val="both"/>
      </w:pPr>
      <w:r>
        <w:rPr>
          <w:rFonts w:ascii="Barlow Semi Condensed" w:cs="Barlow Semi Condensed" w:eastAsia="Barlow Semi Condensed" w:hAnsi="Barlow Semi Condensed"/>
          <w:b/>
          <w:bCs/>
          <w:sz w:val="24"/>
          <w:szCs w:val="24"/>
        </w:rPr>
        <w:t xml:space="preserve">4614 · Sloveni giudicati in lingua italiana.</w:t>
      </w:r>
      <w:r>
        <w:rPr>
          <w:rFonts w:ascii="Barlow Semi Condensed" w:cs="Barlow Semi Condensed" w:eastAsia="Barlow Semi Condensed" w:hAnsi="Barlow Semi Condensed"/>
          <w:sz w:val="24"/>
          <w:szCs w:val="24"/>
        </w:rPr>
        <w:t xml:space="preserve"> Il sottonodo S-3 documenta i due processi di Trieste: quattro fucilati a Basovizza il 6 settembre 1930 — Bidovec, Marušič, Miloš, Valenčič — e sessanta imputati sloveni nel dicembre 1941. Un tribunale che giudica in una lingua imputati che ne parlano un'altra è il caso linguistico più grave del branch. Il soggetto di quest'opera vi è estraneo per anteriorità: nessun quesito è formulabile.</w:t>
      </w:r>
    </w:p>
    <w:p>
      <w:pPr>
        <w:spacing w:after="120" w:line="276"/>
        <w:jc w:val="both"/>
      </w:pPr>
      <w:r>
        <w:rPr>
          <w:rFonts w:ascii="Barlow Semi Condensed" w:cs="Barlow Semi Condensed" w:eastAsia="Barlow Semi Condensed" w:hAnsi="Barlow Semi Condensed"/>
          <w:b/>
          <w:bCs/>
          <w:sz w:val="24"/>
          <w:szCs w:val="24"/>
        </w:rPr>
        <w:t xml:space="preserve">4615 · Tre glossari stranieri da interrogare.</w:t>
      </w:r>
      <w:r>
        <w:rPr>
          <w:rFonts w:ascii="Barlow Semi Condensed" w:cs="Barlow Semi Condensed" w:eastAsia="Barlow Semi Condensed" w:hAnsi="Barlow Semi Condensed"/>
          <w:sz w:val="24"/>
          <w:szCs w:val="24"/>
        </w:rPr>
        <w:t xml:space="preserve"> I nove cantieri prevedono il glossario britannico al blocco 29, quello francese al 64, quello tedesco al 112: come Londra, Parigi e Bonn chiamavano le cose. Il bersaglio che si aggiunge qui è puntuale — cercare in ciascuno dei tre fondi la ricorrenza del nome nella grafia locale e datarne la prima occorrenza. Tre ricerche indipendenti, una tavola, le divergenze come prodotto.</w:t>
      </w:r>
    </w:p>
    <w:p>
      <w:pPr>
        <w:spacing w:after="120" w:line="276"/>
        <w:jc w:val="both"/>
      </w:pPr>
      <w:r>
        <w:rPr>
          <w:rFonts w:ascii="Barlow Semi Condensed" w:cs="Barlow Semi Condensed" w:eastAsia="Barlow Semi Condensed" w:hAnsi="Barlow Semi Condensed"/>
          <w:b/>
          <w:bCs/>
          <w:sz w:val="24"/>
          <w:szCs w:val="24"/>
        </w:rPr>
        <w:t xml:space="preserve">4616 · Tradurre il corpus senza retrovertire.</w:t>
      </w:r>
      <w:r>
        <w:rPr>
          <w:rFonts w:ascii="Barlow Semi Condensed" w:cs="Barlow Semi Condensed" w:eastAsia="Barlow Semi Condensed" w:hAnsi="Barlow Semi Condensed"/>
          <w:sz w:val="24"/>
          <w:szCs w:val="24"/>
        </w:rPr>
        <w:t xml:space="preserve"> Il blocco 550 dei nove cantieri propone l'edizione inglese commentata del corpus della prigionia, e il blocco 294 censisce l'editoria estera. Il rischio è preciso e va scritto nei criteri editoriali: una frase attribuita in italiano a un parlante inglese, tradotta in inglese, torna al lettore con l'aspetto dell'originale. La regola è vietare la retroversione priva di avvertenza tipografica esplicita.</w:t>
      </w:r>
    </w:p>
    <w:p>
      <w:pPr>
        <w:spacing w:after="120" w:line="276"/>
        <w:jc w:val="both"/>
      </w:pPr>
      <w:r>
        <w:rPr>
          <w:rFonts w:ascii="Barlow Semi Condensed" w:cs="Barlow Semi Condensed" w:eastAsia="Barlow Semi Condensed" w:hAnsi="Barlow Semi Condensed"/>
          <w:b/>
          <w:bCs/>
          <w:sz w:val="24"/>
          <w:szCs w:val="24"/>
        </w:rPr>
        <w:t xml:space="preserve">4617 · La prima voce del glossario pubblico.</w:t>
      </w:r>
      <w:r>
        <w:rPr>
          <w:rFonts w:ascii="Barlow Semi Condensed" w:cs="Barlow Semi Condensed" w:eastAsia="Barlow Semi Condensed" w:hAnsi="Barlow Semi Condensed"/>
          <w:sz w:val="24"/>
          <w:szCs w:val="24"/>
        </w:rPr>
        <w:t xml:space="preserve"> Il blocco 775 chiede un glossario delle parole tecniche del caso in lingua piana. Si propone come prima voce «ultimatum», perché è il termine che la circolazione applica al verbale del 25 settembre 1974 e che il verbale non contiene. La voce dovrà dire che cosa il documento attesta, che cosa la parafrasi vi aggiunge, e dove la differenza si verifica.</w:t>
      </w:r>
    </w:p>
    <w:p>
      <w:pPr>
        <w:spacing w:after="120" w:line="276"/>
        <w:jc w:val="both"/>
      </w:pPr>
      <w:r>
        <w:rPr>
          <w:rFonts w:ascii="Barlow Semi Condensed" w:cs="Barlow Semi Condensed" w:eastAsia="Barlow Semi Condensed" w:hAnsi="Barlow Semi Condensed"/>
          <w:b/>
          <w:bCs/>
          <w:sz w:val="24"/>
          <w:szCs w:val="24"/>
        </w:rPr>
        <w:t xml:space="preserve">4618 · Il registro linguistico è di altro lavoro.</w:t>
      </w:r>
      <w:r>
        <w:rPr>
          <w:rFonts w:ascii="Barlow Semi Condensed" w:cs="Barlow Semi Condensed" w:eastAsia="Barlow Semi Condensed" w:hAnsi="Barlow Semi Condensed"/>
          <w:sz w:val="24"/>
          <w:szCs w:val="24"/>
        </w:rPr>
        <w:t xml:space="preserve"> Il file _meta/registro-linguistico-tracker.md documenta una passata su acronimi, lunghezza delle frasi e latinismi: riguarda però lo studio pugliese sullo Psicologo di Base, non il corpus storico. Ne discende un fatto da verbalizzare: il corpus storico non ha mai avuto una passata di registro linguistico. La sede che chiude la lacuna non è un archivio ma una passata da eseguire, con criteri dichiarati.</w:t>
      </w:r>
    </w:p>
    <w:p>
      <w:pPr>
        <w:spacing w:after="120" w:line="276"/>
        <w:jc w:val="both"/>
      </w:pPr>
      <w:r>
        <w:rPr>
          <w:rFonts w:ascii="Barlow Semi Condensed" w:cs="Barlow Semi Condensed" w:eastAsia="Barlow Semi Condensed" w:hAnsi="Barlow Semi Condensed"/>
          <w:b/>
          <w:bCs/>
          <w:sz w:val="24"/>
          <w:szCs w:val="24"/>
        </w:rPr>
        <w:t xml:space="preserve">4619 · Nessuna lingua dichiarata per il corpus storico.</w:t>
      </w:r>
      <w:r>
        <w:rPr>
          <w:rFonts w:ascii="Barlow Semi Condensed" w:cs="Barlow Semi Condensed" w:eastAsia="Barlow Semi Condensed" w:hAnsi="Barlow Semi Condensed"/>
          <w:sz w:val="24"/>
          <w:szCs w:val="24"/>
        </w:rPr>
        <w:t xml:space="preserve"> I metadati di deposito del repository dichiarano «Lingua: Italiano», e il dittico Crusca-Oxford dei paper accademici offre una coppia italiano-inglese: entrambi appartengono al lavoro sanitario. Per il corpus storico non esiste né scheda di deposito con lingua dichiarata né versione in altra lingua. È Stato Zero editoriale e non archivistico, e si chiude con un atto dell'autore, non con un'istanza.</w:t>
      </w:r>
    </w:p>
    <w:p>
      <w:pPr>
        <w:spacing w:after="120" w:line="276"/>
        <w:jc w:val="both"/>
      </w:pPr>
      <w:r>
        <w:rPr>
          <w:rFonts w:ascii="Barlow Semi Condensed" w:cs="Barlow Semi Condensed" w:eastAsia="Barlow Semi Condensed" w:hAnsi="Barlow Semi Condensed"/>
          <w:b/>
          <w:bCs/>
          <w:sz w:val="24"/>
          <w:szCs w:val="24"/>
        </w:rPr>
        <w:t xml:space="preserve">4620 · Che cosa questa serie non ha stabilito (serie LX).</w:t>
      </w:r>
      <w:r>
        <w:rPr>
          <w:rFonts w:ascii="Barlow Semi Condensed" w:cs="Barlow Semi Condensed" w:eastAsia="Barlow Semi Condensed" w:hAnsi="Barlow Semi Condensed"/>
          <w:sz w:val="24"/>
          <w:szCs w:val="24"/>
        </w:rPr>
        <w:t xml:space="preserve"> Nessun blocco ha trovato un documento in cui una questione di lingua, di traduzione o di interpretariato leghi il nome studiato al caso Moro oltre ciò che il corpus già registrava. L'unico piano 1 resta il verbale del 25 settembre 1974, che non contiene alcun ultimatum personale. Henry Kissinger non fu mai imputato né processato in alcun Paese: nessuna riga qui è leggibile altrimenti.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sessantunesima — Gli Stati Zero dell’opera, censiti</w:t>
      </w:r>
    </w:p>
    <w:p>
      <w:pPr>
        <w:spacing w:after="120" w:line="276"/>
        <w:jc w:val="both"/>
      </w:pPr>
      <w:r>
        <w:rPr>
          <w:rFonts w:ascii="Barlow Semi Condensed" w:cs="Barlow Semi Condensed" w:eastAsia="Barlow Semi Condensed" w:hAnsi="Barlow Semi Condensed"/>
          <w:i/>
          <w:iCs/>
          <w:sz w:val="24"/>
          <w:szCs w:val="24"/>
        </w:rPr>
        <w:t xml:space="preserve">Blocchi 4621-4700.</w:t>
      </w:r>
    </w:p>
    <w:p>
      <w:pPr>
        <w:spacing w:after="120" w:line="276"/>
        <w:jc w:val="both"/>
      </w:pPr>
      <w:r>
        <w:rPr>
          <w:rFonts w:ascii="Barlow Semi Condensed" w:cs="Barlow Semi Condensed" w:eastAsia="Barlow Semi Condensed" w:hAnsi="Barlow Semi Condensed"/>
          <w:b/>
          <w:bCs/>
          <w:sz w:val="24"/>
          <w:szCs w:val="24"/>
        </w:rPr>
        <w:t xml:space="preserve">4621 · Statuto della serie sessantunesima.</w:t>
      </w:r>
      <w:r>
        <w:rPr>
          <w:rFonts w:ascii="Barlow Semi Condensed" w:cs="Barlow Semi Condensed" w:eastAsia="Barlow Semi Condensed" w:hAnsi="Barlow Semi Condensed"/>
          <w:sz w:val="24"/>
          <w:szCs w:val="24"/>
        </w:rPr>
        <w:t xml:space="preserve"> Questa serie non aggiunge bersagli: li conta. Il territorio assegnato è l'intero corpus letto per i soli esiti negativi che vi sono dichiarati, e il nome di Henry Kissinger vi entra come chiave di ricerca, non come tesi. Prodotto atteso: un registro dei vuoti con le sedi che li chiuderebbero. Nessun blocco afferma un fatto nuovo; ciascuno dice dove il corpus tace e chi potrebbe farlo parlare.</w:t>
      </w:r>
    </w:p>
    <w:p>
      <w:pPr>
        <w:spacing w:after="120" w:line="276"/>
        <w:jc w:val="both"/>
      </w:pPr>
      <w:r>
        <w:rPr>
          <w:rFonts w:ascii="Barlow Semi Condensed" w:cs="Barlow Semi Condensed" w:eastAsia="Barlow Semi Condensed" w:hAnsi="Barlow Semi Condensed"/>
          <w:b/>
          <w:bCs/>
          <w:sz w:val="24"/>
          <w:szCs w:val="24"/>
        </w:rPr>
        <w:t xml:space="preserve">4622 · Che cosa qui conta come vuoto.</w:t>
      </w:r>
      <w:r>
        <w:rPr>
          <w:rFonts w:ascii="Barlow Semi Condensed" w:cs="Barlow Semi Condensed" w:eastAsia="Barlow Semi Condensed" w:hAnsi="Barlow Semi Condensed"/>
          <w:sz w:val="24"/>
          <w:szCs w:val="24"/>
        </w:rPr>
        <w:t xml:space="preserve"> Si contano tre oggetti distinti, e la distinzione regge tutto il resto. Primo: la formula «Stato Zero», che il corpus usa come marcatura esplicita. Secondo: l'esito negativo scritto in prosa senza quella formula, come nella colonna delle smentite dell'apparato dei gradi. Terzo: l'assenza mai dichiarata, che nessuna stringa restituisce e che solo la lettura scopre. Confonderli produce un censimento del lessico, non della ricerca.</w:t>
      </w:r>
    </w:p>
    <w:p>
      <w:pPr>
        <w:spacing w:after="120" w:line="276"/>
        <w:jc w:val="both"/>
      </w:pPr>
      <w:r>
        <w:rPr>
          <w:rFonts w:ascii="Barlow Semi Condensed" w:cs="Barlow Semi Condensed" w:eastAsia="Barlow Semi Condensed" w:hAnsi="Barlow Semi Condensed"/>
          <w:b/>
          <w:bCs/>
          <w:sz w:val="24"/>
          <w:szCs w:val="24"/>
        </w:rPr>
        <w:t xml:space="preserve">4623 · Il conteggio meccanico, col denominatore.</w:t>
      </w:r>
      <w:r>
        <w:rPr>
          <w:rFonts w:ascii="Barlow Semi Condensed" w:cs="Barlow Semi Condensed" w:eastAsia="Barlow Semi Condensed" w:hAnsi="Barlow Semi Condensed"/>
          <w:sz w:val="24"/>
          <w:szCs w:val="24"/>
        </w:rPr>
        <w:t xml:space="preserve"> Verifica eseguita il 26 agosto 2026 sui sorgenti del branch: la stringa esatta «Stato Zero» ricorre centocinquantaquattro volte in diciotto file markdown, su cinquanta appartenenti al corpus storico. Perimetro dichiarato: soli file .md, nessuna variante flessa, nessun volume rilegato. Il numero misura occorrenze e non dichiarazioni distinte, perché un medesimo vuoto è richiamato più volte. Chi lo citi senza denominatore lo trasforma in impressione.</w:t>
      </w:r>
    </w:p>
    <w:p>
      <w:pPr>
        <w:spacing w:after="120" w:line="276"/>
        <w:jc w:val="both"/>
      </w:pPr>
      <w:r>
        <w:rPr>
          <w:rFonts w:ascii="Barlow Semi Condensed" w:cs="Barlow Semi Condensed" w:eastAsia="Barlow Semi Condensed" w:hAnsi="Barlow Semi Condensed"/>
          <w:b/>
          <w:bCs/>
          <w:sz w:val="24"/>
          <w:szCs w:val="24"/>
        </w:rPr>
        <w:t xml:space="preserve">4624 · L'auto-misurazione ormai scaduta.</w:t>
      </w:r>
      <w:r>
        <w:rPr>
          <w:rFonts w:ascii="Barlow Semi Condensed" w:cs="Barlow Semi Condensed" w:eastAsia="Barlow Semi Condensed" w:hAnsi="Barlow Semi Condensed"/>
          <w:sz w:val="24"/>
          <w:szCs w:val="24"/>
        </w:rPr>
        <w:t xml:space="preserve"> Il paragrafo sesto di metodologie-del-dossier-sinaptogenesi-e-strumenti.md registra, su trentasei documenti e 104.504 parole, la cifra «Stato Zero = 36». Il conteggio odierno la supera di oltre quattro volte, perché l'opera in mille blocchi su Kissinger, versata dopo, ne porta da sola cinquantasette. Accertamento meccanico: quella riga va ridatata per nota, secondo la regola del corpus che corregge annotando e non riscrivendo.</w:t>
      </w:r>
    </w:p>
    <w:p>
      <w:pPr>
        <w:spacing w:after="120" w:line="276"/>
        <w:jc w:val="both"/>
      </w:pPr>
      <w:r>
        <w:rPr>
          <w:rFonts w:ascii="Barlow Semi Condensed" w:cs="Barlow Semi Condensed" w:eastAsia="Barlow Semi Condensed" w:hAnsi="Barlow Semi Condensed"/>
          <w:b/>
          <w:bCs/>
          <w:sz w:val="24"/>
          <w:szCs w:val="24"/>
        </w:rPr>
        <w:t xml:space="preserve">4625 · Le tre stringhe sorelle.</w:t>
      </w:r>
      <w:r>
        <w:rPr>
          <w:rFonts w:ascii="Barlow Semi Condensed" w:cs="Barlow Semi Condensed" w:eastAsia="Barlow Semi Condensed" w:hAnsi="Barlow Semi Condensed"/>
          <w:sz w:val="24"/>
          <w:szCs w:val="24"/>
        </w:rPr>
        <w:t xml:space="preserve"> Accanto alla marcatura principale il corpus ne usa altre, e vanno contate insieme: «esiti negativi» ricorre quarantasette volte, «anti-triangolazion-» trentaquattro, «criterio di smentita» diciannove. Le metodologie le censivano rispettivamente a sessantadue, ventinove e quattordici. La crescita è dovuta quasi per intero all'opera Kissinger e alla seconda campagna della Farnesina. Regola di lettura: la falsificabilità si misura sul lessico distribuito, non sulle premesse.</w:t>
      </w:r>
    </w:p>
    <w:p>
      <w:pPr>
        <w:spacing w:after="120" w:line="276"/>
        <w:jc w:val="both"/>
      </w:pPr>
      <w:r>
        <w:rPr>
          <w:rFonts w:ascii="Barlow Semi Condensed" w:cs="Barlow Semi Condensed" w:eastAsia="Barlow Semi Condensed" w:hAnsi="Barlow Semi Condensed"/>
          <w:b/>
          <w:bCs/>
          <w:sz w:val="24"/>
          <w:szCs w:val="24"/>
        </w:rPr>
        <w:t xml:space="preserve">4626 · L'intersezione delle due chiavi.</w:t>
      </w:r>
      <w:r>
        <w:rPr>
          <w:rFonts w:ascii="Barlow Semi Condensed" w:cs="Barlow Semi Condensed" w:eastAsia="Barlow Semi Condensed" w:hAnsi="Barlow Semi Condensed"/>
          <w:sz w:val="24"/>
          <w:szCs w:val="24"/>
        </w:rPr>
        <w:t xml:space="preserve"> Incrociando i file che nominano Kissinger con quelli che marcano Stati Zero si ottiene un insieme di otto: la guida alla lettura, l'indice dei documenti, la Fase sesta, l'opera in mille blocchi e quattro ricognizioni della cartella Farnesina — Portogallo con l'Opus Dei, Portogallo con la Santa Sede, Grecia, documenti italiani e spagnoli. Fuori da questi otto i due lessici non si toccano mai.</w:t>
      </w:r>
    </w:p>
    <w:p>
      <w:pPr>
        <w:spacing w:after="120" w:line="276"/>
        <w:jc w:val="both"/>
      </w:pPr>
      <w:r>
        <w:rPr>
          <w:rFonts w:ascii="Barlow Semi Condensed" w:cs="Barlow Semi Condensed" w:eastAsia="Barlow Semi Condensed" w:hAnsi="Barlow Semi Condensed"/>
          <w:b/>
          <w:bCs/>
          <w:sz w:val="24"/>
          <w:szCs w:val="24"/>
        </w:rPr>
        <w:t xml:space="preserve">4627 · I dieci che tacciono il nome.</w:t>
      </w:r>
      <w:r>
        <w:rPr>
          <w:rFonts w:ascii="Barlow Semi Condensed" w:cs="Barlow Semi Condensed" w:eastAsia="Barlow Semi Condensed" w:hAnsi="Barlow Semi Condensed"/>
          <w:sz w:val="24"/>
          <w:szCs w:val="24"/>
        </w:rPr>
        <w:t xml:space="preserve"> Dieci file dichiarano Stati Zero senza mai nominarlo: i nove cantieri, l'agenda di ricerca, il manuale investigativo, le metodologie, l'apparato dei gradi, l'edizione strutturata, il README della Farnesina, la triangolazione della seconda campagna, la ricognizione tedesca, quella su Santa Sede e Turchia. Il perimetro negativo più curato del corpus è stato scritto per intero senza questo nome. Non è indizio: è una misura della costruzione.</w:t>
      </w:r>
    </w:p>
    <w:p>
      <w:pPr>
        <w:spacing w:after="120" w:line="276"/>
        <w:jc w:val="both"/>
      </w:pPr>
      <w:r>
        <w:rPr>
          <w:rFonts w:ascii="Barlow Semi Condensed" w:cs="Barlow Semi Condensed" w:eastAsia="Barlow Semi Condensed" w:hAnsi="Barlow Semi Condensed"/>
          <w:b/>
          <w:bCs/>
          <w:sz w:val="24"/>
          <w:szCs w:val="24"/>
        </w:rPr>
        <w:t xml:space="preserve">4628 · I sette che lo nominano soltanto.</w:t>
      </w:r>
      <w:r>
        <w:rPr>
          <w:rFonts w:ascii="Barlow Semi Condensed" w:cs="Barlow Semi Condensed" w:eastAsia="Barlow Semi Condensed" w:hAnsi="Barlow Semi Condensed"/>
          <w:sz w:val="24"/>
          <w:szCs w:val="24"/>
        </w:rPr>
        <w:t xml:space="preserve"> Speculare al precedente: sette file lo nominano e non contengono mai la formula. Sono le triangolazioni Guevara-Moro col nodo M-5, il saggio-cerniera «Dal Che a Moro», la Parte terza, la ricognizione-madre della Farnesina, la ricognizione turca, le note bibliografiche, il repertorio della Fase nona. Dove il nome compare, il corpus lo tratta con la scala A/B/C, non col perimetro negativo: le due discipline corrono separate.</w:t>
      </w:r>
    </w:p>
    <w:p>
      <w:pPr>
        <w:spacing w:after="120" w:line="276"/>
        <w:jc w:val="both"/>
      </w:pPr>
      <w:r>
        <w:rPr>
          <w:rFonts w:ascii="Barlow Semi Condensed" w:cs="Barlow Semi Condensed" w:eastAsia="Barlow Semi Condensed" w:hAnsi="Barlow Semi Condensed"/>
          <w:b/>
          <w:bCs/>
          <w:sz w:val="24"/>
          <w:szCs w:val="24"/>
        </w:rPr>
        <w:t xml:space="preserve">4629 · Il capitolo cinquantaquattresimo, tre vuoti.</w:t>
      </w:r>
      <w:r>
        <w:rPr>
          <w:rFonts w:ascii="Barlow Semi Condensed" w:cs="Barlow Semi Condensed" w:eastAsia="Barlow Semi Condensed" w:hAnsi="Barlow Semi Condensed"/>
          <w:sz w:val="24"/>
          <w:szCs w:val="24"/>
        </w:rPr>
        <w:t xml:space="preserve"> Nella Fase sesta dell'opera-madre sono iscritti tre Stati Zero, dichiarati di forza pari al Livello A: il documento che provi l'eterodirezione del sequestro; quello che leghi Kissinger-persona, o qualunque apparato straniero nominato, alla catena di comando del delitto; quello che provi l'isomorfismo fra le reti anticomuniste evocate e la struttura operativa. Sono ricerche condotte e chiuse, non dubbi lasciati aperti.</w:t>
      </w:r>
    </w:p>
    <w:p>
      <w:pPr>
        <w:spacing w:after="120" w:line="276"/>
        <w:jc w:val="both"/>
      </w:pPr>
      <w:r>
        <w:rPr>
          <w:rFonts w:ascii="Barlow Semi Condensed" w:cs="Barlow Semi Condensed" w:eastAsia="Barlow Semi Condensed" w:hAnsi="Barlow Semi Condensed"/>
          <w:b/>
          <w:bCs/>
          <w:sz w:val="24"/>
          <w:szCs w:val="24"/>
        </w:rPr>
        <w:t xml:space="preserve">4630 · Il vuoto che porta il nome.</w:t>
      </w:r>
      <w:r>
        <w:rPr>
          <w:rFonts w:ascii="Barlow Semi Condensed" w:cs="Barlow Semi Condensed" w:eastAsia="Barlow Semi Condensed" w:hAnsi="Barlow Semi Condensed"/>
          <w:sz w:val="24"/>
          <w:szCs w:val="24"/>
        </w:rPr>
        <w:t xml:space="preserve"> Dei tre, uno solo è nominativo, ed è quello che questa triangolazione deve maneggiare. Va citato per intero, perché la formula dice «Kissinger-persona, o qualunque apparato straniero nominato»: l'esito riguarda una catena di comando, non una posizione politica. Sede dove si chiuderebbe: la raccolta speciale costituita all'Archivio centrale dello Stato in forza delle direttive di desecretazione, spogliata coi blocchi 16-45 dell'agenda.</w:t>
      </w:r>
    </w:p>
    <w:p>
      <w:pPr>
        <w:spacing w:after="120" w:line="276"/>
        <w:jc w:val="both"/>
      </w:pPr>
      <w:r>
        <w:rPr>
          <w:rFonts w:ascii="Barlow Semi Condensed" w:cs="Barlow Semi Condensed" w:eastAsia="Barlow Semi Condensed" w:hAnsi="Barlow Semi Condensed"/>
          <w:b/>
          <w:bCs/>
          <w:sz w:val="24"/>
          <w:szCs w:val="24"/>
        </w:rPr>
        <w:t xml:space="preserve">4631 · Terzo del terzetto, l'isomorfismo.</w:t>
      </w:r>
      <w:r>
        <w:rPr>
          <w:rFonts w:ascii="Barlow Semi Condensed" w:cs="Barlow Semi Condensed" w:eastAsia="Barlow Semi Condensed" w:hAnsi="Barlow Semi Condensed"/>
          <w:sz w:val="24"/>
          <w:szCs w:val="24"/>
        </w:rPr>
        <w:t xml:space="preserve"> Meno citato degli altri due e più tecnico: nessun documento prova che le reti anticomuniste evocate dalla pubblicistica e la struttura operativa del sequestro abbiano la stessa forma. È esattamente il test che la sesta serie dell'opera chiama omologia contro analogia, ripreso al blocco 408 come caso esemplare. Le sedi di chiusura sono due: gli atti dei cinque processi Moro e i fondi di origine alleata.</w:t>
      </w:r>
    </w:p>
    <w:p>
      <w:pPr>
        <w:spacing w:after="120" w:line="276"/>
        <w:jc w:val="both"/>
      </w:pPr>
      <w:r>
        <w:rPr>
          <w:rFonts w:ascii="Barlow Semi Condensed" w:cs="Barlow Semi Condensed" w:eastAsia="Barlow Semi Condensed" w:hAnsi="Barlow Semi Condensed"/>
          <w:b/>
          <w:bCs/>
          <w:sz w:val="24"/>
          <w:szCs w:val="24"/>
        </w:rPr>
        <w:t xml:space="preserve">4632 · Eterodirezione, riga diciotto.</w:t>
      </w:r>
      <w:r>
        <w:rPr>
          <w:rFonts w:ascii="Barlow Semi Condensed" w:cs="Barlow Semi Condensed" w:eastAsia="Barlow Semi Condensed" w:hAnsi="Barlow Semi Condensed"/>
          <w:sz w:val="24"/>
          <w:szCs w:val="24"/>
        </w:rPr>
        <w:t xml:space="preserve"> All'apparato dei gradi il capitolo diciotto porta il Livello A per l'autonomia accertata delle Brigate Rosse, e nella colonna della smentita si legge: «un documento coevo, esterno, autenticato, che provi l'eterodirezione (cercato, non trovato)». È uno Stato Zero senza la parola. Bersaglio di smentita dichiarato una volta per tutte: quel documento, comparendo, abbatterebbe insieme la riga diciotto e il primo dei tre vuoti fondativi.</w:t>
      </w:r>
    </w:p>
    <w:p>
      <w:pPr>
        <w:spacing w:after="120" w:line="276"/>
        <w:jc w:val="both"/>
      </w:pPr>
      <w:r>
        <w:rPr>
          <w:rFonts w:ascii="Barlow Semi Condensed" w:cs="Barlow Semi Condensed" w:eastAsia="Barlow Semi Condensed" w:hAnsi="Barlow Semi Condensed"/>
          <w:b/>
          <w:bCs/>
          <w:sz w:val="24"/>
          <w:szCs w:val="24"/>
        </w:rPr>
        <w:t xml:space="preserve">4633 · Cinque vuoti nascosti nelle colonne.</w:t>
      </w:r>
      <w:r>
        <w:rPr>
          <w:rFonts w:ascii="Barlow Semi Condensed" w:cs="Barlow Semi Condensed" w:eastAsia="Barlow Semi Condensed" w:hAnsi="Barlow Semi Condensed"/>
          <w:sz w:val="24"/>
          <w:szCs w:val="24"/>
        </w:rPr>
        <w:t xml:space="preserve"> Cinque dichiarazioni negative sfuggono al conteggio per stringa, tutte scritte nella colonna di smentita dell'apparato: capitolo cinque, anagrafe contraria «non esistente»; capitolo undici, documenti che escludano l'ostilità internazionale «non trovati»; capitolo diciotto, l'eterodirezione; capitolo venticinque, prova di prigione diversa «non trovata»; capitolo quarantaquattro, il documento «oggi assente». Una sola riga della tavola porta il simbolo, ed è la trentanovesima.</w:t>
      </w:r>
    </w:p>
    <w:p>
      <w:pPr>
        <w:spacing w:after="120" w:line="276"/>
        <w:jc w:val="both"/>
      </w:pPr>
      <w:r>
        <w:rPr>
          <w:rFonts w:ascii="Barlow Semi Condensed" w:cs="Barlow Semi Condensed" w:eastAsia="Barlow Semi Condensed" w:hAnsi="Barlow Semi Condensed"/>
          <w:b/>
          <w:bCs/>
          <w:sz w:val="24"/>
          <w:szCs w:val="24"/>
        </w:rPr>
        <w:t xml:space="preserve">4634 · Il capitolo trentanovesimo, assente.</w:t>
      </w:r>
      <w:r>
        <w:rPr>
          <w:rFonts w:ascii="Barlow Semi Condensed" w:cs="Barlow Semi Condensed" w:eastAsia="Barlow Semi Condensed" w:hAnsi="Barlow Semi Condensed"/>
          <w:sz w:val="24"/>
          <w:szCs w:val="24"/>
        </w:rPr>
        <w:t xml:space="preserve"> Nessuna riproduzione del testo: l'apparato dichiara di essere l'indice critico dell'opera in cinquanta capitoli, non la sua edizione. Ne discende un vuoto di secondo ordine che questa serie verbalizza per prima: il capitolo trentanovesimo, intitolato agli Stati Zero del caso, è citato per numero e titolo dal branch pubblico ma non vi è contenuto. Sede di chiusura: l'edizione integrale dell'opera-madre presso l'autore.</w:t>
      </w:r>
    </w:p>
    <w:p>
      <w:pPr>
        <w:spacing w:after="120" w:line="276"/>
        <w:jc w:val="both"/>
      </w:pPr>
      <w:r>
        <w:rPr>
          <w:rFonts w:ascii="Barlow Semi Condensed" w:cs="Barlow Semi Condensed" w:eastAsia="Barlow Semi Condensed" w:hAnsi="Barlow Semi Condensed"/>
          <w:b/>
          <w:bCs/>
          <w:sz w:val="24"/>
          <w:szCs w:val="24"/>
        </w:rPr>
        <w:t xml:space="preserve">4635 · L'avvertimento come bersaglio di smentita.</w:t>
      </w:r>
      <w:r>
        <w:rPr>
          <w:rFonts w:ascii="Barlow Semi Condensed" w:cs="Barlow Semi Condensed" w:eastAsia="Barlow Semi Condensed" w:hAnsi="Barlow Semi Condensed"/>
          <w:sz w:val="24"/>
          <w:szCs w:val="24"/>
        </w:rPr>
        <w:t xml:space="preserve"> La riga quindici dell'apparato è la più pertinente a questo nome, e va tenuta ferma: gli avvertimenti attorno al «tessitore» sono Livello A quanto all'esistenza di contrarietà, Livello C quanto a un mandato che ne discenda, e ciò che li sposterebbe è «un documento che leghi un avvertimento a una direttiva esecutiva». È la formulazione più esatta che il corpus possieda del test da superare.</w:t>
      </w:r>
    </w:p>
    <w:p>
      <w:pPr>
        <w:spacing w:after="120" w:line="276"/>
        <w:jc w:val="both"/>
      </w:pPr>
      <w:r>
        <w:rPr>
          <w:rFonts w:ascii="Barlow Semi Condensed" w:cs="Barlow Semi Condensed" w:eastAsia="Barlow Semi Condensed" w:hAnsi="Barlow Semi Condensed"/>
          <w:b/>
          <w:bCs/>
          <w:sz w:val="24"/>
          <w:szCs w:val="24"/>
        </w:rPr>
        <w:t xml:space="preserve">4636 · Il contesto ostile e il salto vietato.</w:t>
      </w:r>
      <w:r>
        <w:rPr>
          <w:rFonts w:ascii="Barlow Semi Condensed" w:cs="Barlow Semi Condensed" w:eastAsia="Barlow Semi Condensed" w:hAnsi="Barlow Semi Condensed"/>
          <w:sz w:val="24"/>
          <w:szCs w:val="24"/>
        </w:rPr>
        <w:t xml:space="preserve"> Con parole proprie, la Parte terza dell'opera-madre fissa la stessa frontiera al capitolo sul quadro internazionale: accertata come contesto l'ostilità di settori dell'alleanza atlantica all'ingresso dei comunisti nell'area di governo; vietato il salto alla catena di comando. Che nemici politici esistessero, e potenti, è Livello A; che uno di essi abbia guidato la mano brigatista resta Livello C. Nessun documento ha chiuso quella distanza.</w:t>
      </w:r>
    </w:p>
    <w:p>
      <w:pPr>
        <w:spacing w:after="120" w:line="276"/>
        <w:jc w:val="both"/>
      </w:pPr>
      <w:r>
        <w:rPr>
          <w:rFonts w:ascii="Barlow Semi Condensed" w:cs="Barlow Semi Condensed" w:eastAsia="Barlow Semi Condensed" w:hAnsi="Barlow Semi Condensed"/>
          <w:b/>
          <w:bCs/>
          <w:sz w:val="24"/>
          <w:szCs w:val="24"/>
        </w:rPr>
        <w:t xml:space="preserve">4637 · La regola dei buchi, prima metà.</w:t>
      </w:r>
      <w:r>
        <w:rPr>
          <w:rFonts w:ascii="Barlow Semi Condensed" w:cs="Barlow Semi Condensed" w:eastAsia="Barlow Semi Condensed" w:hAnsi="Barlow Semi Condensed"/>
          <w:sz w:val="24"/>
          <w:szCs w:val="24"/>
        </w:rPr>
        <w:t xml:space="preserve"> Nel paragrafo terzo delle metodologie si stabilisce che, nel grafo dei soli legami documentati, i buchi non sono difetti ma risultati. Tre assenze di arco vi sono nominate: fra il livello Hyperion e il caso, fra il dominio vaticano e via Fani, fra il fronte latinoamericano e il sequestro. Il grafo conta trentanove nodi e cinquantanove archi, e nessuno di essi porta questo nome.</w:t>
      </w:r>
    </w:p>
    <w:p>
      <w:pPr>
        <w:spacing w:after="120" w:line="276"/>
        <w:jc w:val="both"/>
      </w:pPr>
      <w:r>
        <w:rPr>
          <w:rFonts w:ascii="Barlow Semi Condensed" w:cs="Barlow Semi Condensed" w:eastAsia="Barlow Semi Condensed" w:hAnsi="Barlow Semi Condensed"/>
          <w:b/>
          <w:bCs/>
          <w:sz w:val="24"/>
          <w:szCs w:val="24"/>
        </w:rPr>
        <w:t xml:space="preserve">4638 · Il nodo che il grafo non ha.</w:t>
      </w:r>
      <w:r>
        <w:rPr>
          <w:rFonts w:ascii="Barlow Semi Condensed" w:cs="Barlow Semi Condensed" w:eastAsia="Barlow Semi Condensed" w:hAnsi="Barlow Semi Condensed"/>
          <w:sz w:val="24"/>
          <w:szCs w:val="24"/>
        </w:rPr>
        <w:t xml:space="preserve"> Accertamento sobrio e meccanico: la rete documentata del corpus, costruita ammettendo solo archi verificati con gradi A, B ed F, non contiene un nodo Kissinger. Non perché sia stato escluso, ma perché nessun ponte delle triangolazioni lo produceva. Bersaglio: se un documento di provenienza lo rendesse nodo, varrebbe comunque la regola dell'anello debole, e il cammino avrebbe il grado del suo arco minore.</w:t>
      </w:r>
    </w:p>
    <w:p>
      <w:pPr>
        <w:spacing w:after="120" w:line="276"/>
        <w:jc w:val="both"/>
      </w:pPr>
      <w:r>
        <w:rPr>
          <w:rFonts w:ascii="Barlow Semi Condensed" w:cs="Barlow Semi Condensed" w:eastAsia="Barlow Semi Condensed" w:hAnsi="Barlow Semi Condensed"/>
          <w:b/>
          <w:bCs/>
          <w:sz w:val="24"/>
          <w:szCs w:val="24"/>
        </w:rPr>
        <w:t xml:space="preserve">4639 · L'arco che manca fra due date (serie LXI).</w:t>
      </w:r>
      <w:r>
        <w:rPr>
          <w:rFonts w:ascii="Barlow Semi Condensed" w:cs="Barlow Semi Condensed" w:eastAsia="Barlow Semi Condensed" w:hAnsi="Barlow Semi Condensed"/>
          <w:sz w:val="24"/>
          <w:szCs w:val="24"/>
        </w:rPr>
        <w:t xml:space="preserve"> La regola dell'anello debole dice in forma esatta ciò che il resto dice in prosa: un cammino che colleghi lo Studio Ovale del 25 settembre 1974 ai fatti italiani del 1978 dovrebbe attraversare almeno un arco che oggi non esiste. Il blocco 710 dell'opera lo aveva già scritto. La conseguenza va ripetuta perché è controintuitiva: quel cammino non ha grado basso, non ha grado.</w:t>
      </w:r>
    </w:p>
    <w:p>
      <w:pPr>
        <w:spacing w:after="120" w:line="276"/>
        <w:jc w:val="both"/>
      </w:pPr>
      <w:r>
        <w:rPr>
          <w:rFonts w:ascii="Barlow Semi Condensed" w:cs="Barlow Semi Condensed" w:eastAsia="Barlow Semi Condensed" w:hAnsi="Barlow Semi Condensed"/>
          <w:b/>
          <w:bCs/>
          <w:sz w:val="24"/>
          <w:szCs w:val="24"/>
        </w:rPr>
        <w:t xml:space="preserve">4640 · Il divieto di riempire i buchi.</w:t>
      </w:r>
      <w:r>
        <w:rPr>
          <w:rFonts w:ascii="Barlow Semi Condensed" w:cs="Barlow Semi Condensed" w:eastAsia="Barlow Semi Condensed" w:hAnsi="Barlow Semi Condensed"/>
          <w:sz w:val="24"/>
          <w:szCs w:val="24"/>
        </w:rPr>
        <w:t xml:space="preserve"> Al blocco 259 il manuale investigativo censisce l'errore del buco riempito: ogni lacuna documentale colmata con la narrazione più suggestiva. L'antidoto sta nella regola dei buchi e in una constatazione che questa serie assume come propria misura, ed è il blocco 233 dell'agenda: il buco misurato è conoscenza, il buco narrato è romanzo. Il censimento serve a misurare ciò che manca, non a interpretarlo.</w:t>
      </w:r>
    </w:p>
    <w:p>
      <w:pPr>
        <w:spacing w:after="120" w:line="276"/>
        <w:jc w:val="both"/>
      </w:pPr>
      <w:r>
        <w:rPr>
          <w:rFonts w:ascii="Barlow Semi Condensed" w:cs="Barlow Semi Condensed" w:eastAsia="Barlow Semi Condensed" w:hAnsi="Barlow Semi Condensed"/>
          <w:b/>
          <w:bCs/>
          <w:sz w:val="24"/>
          <w:szCs w:val="24"/>
        </w:rPr>
        <w:t xml:space="preserve">4641 · L'esito trinario e il suo terzo.</w:t>
      </w:r>
      <w:r>
        <w:rPr>
          <w:rFonts w:ascii="Barlow Semi Condensed" w:cs="Barlow Semi Condensed" w:eastAsia="Barlow Semi Condensed" w:hAnsi="Barlow Semi Condensed"/>
          <w:sz w:val="24"/>
          <w:szCs w:val="24"/>
        </w:rPr>
        <w:t xml:space="preserve"> Nato dall'errore del campanello di via Gradoli, il blocco 252 del manuale impone a ogni atto di verifica un esito a tre valori: positivo, negativo, non eseguito. Applicato agli archivi, esclude dal perimetro negativo ogni sede mai interrogata. Molte delle sedi statunitensi che questa triangolazione nomina stanno nel terzo valore e non nel secondo: non sono Stati Zero, sono verifiche non eseguite.</w:t>
      </w:r>
    </w:p>
    <w:p>
      <w:pPr>
        <w:spacing w:after="120" w:line="276"/>
        <w:jc w:val="both"/>
      </w:pPr>
      <w:r>
        <w:rPr>
          <w:rFonts w:ascii="Barlow Semi Condensed" w:cs="Barlow Semi Condensed" w:eastAsia="Barlow Semi Condensed" w:hAnsi="Barlow Semi Condensed"/>
          <w:b/>
          <w:bCs/>
          <w:sz w:val="24"/>
          <w:szCs w:val="24"/>
        </w:rPr>
        <w:t xml:space="preserve">4642 · Zero su millesettecento unità.</w:t>
      </w:r>
      <w:r>
        <w:rPr>
          <w:rFonts w:ascii="Barlow Semi Condensed" w:cs="Barlow Semi Condensed" w:eastAsia="Barlow Semi Condensed" w:hAnsi="Barlow Semi Condensed"/>
          <w:sz w:val="24"/>
          <w:szCs w:val="24"/>
        </w:rPr>
        <w:t xml:space="preserve"> Nessuna occorrenza nei tre documenti della quadriga: il nome non compare in alcuno dei mille blocchi dei nove cantieri, dei quattrocento del manuale, dei trecento dell'agenda. I blocchi 204 e 646 dell'opera lo avevano verbalizzato, e la riesecuzione odierna lo conferma. La quadriga fu costruita su Kew, La Courneuve, il Politisches Archiv, il versante vaticano e i giacimenti italiani: lo zero misura le colonne scelte.</w:t>
      </w:r>
    </w:p>
    <w:p>
      <w:pPr>
        <w:spacing w:after="120" w:line="276"/>
        <w:jc w:val="both"/>
      </w:pPr>
      <w:r>
        <w:rPr>
          <w:rFonts w:ascii="Barlow Semi Condensed" w:cs="Barlow Semi Condensed" w:eastAsia="Barlow Semi Condensed" w:hAnsi="Barlow Semi Condensed"/>
          <w:b/>
          <w:bCs/>
          <w:sz w:val="24"/>
          <w:szCs w:val="24"/>
        </w:rPr>
        <w:t xml:space="preserve">4643 · La colonna statunitense che manca.</w:t>
      </w:r>
      <w:r>
        <w:rPr>
          <w:rFonts w:ascii="Barlow Semi Condensed" w:cs="Barlow Semi Condensed" w:eastAsia="Barlow Semi Condensed" w:hAnsi="Barlow Semi Condensed"/>
          <w:sz w:val="24"/>
          <w:szCs w:val="24"/>
        </w:rPr>
        <w:t xml:space="preserve"> Da quello zero discende un bersaglio di costruzione e non di fatto: aprire nella quadriga la colonna statunitense, con giacimento proprio e stato d'accesso per ciascuna sede — la serie FRUS 1969-1976, i Nixon Presidential Materials con NSC Files e Country Files Italy a College Park, i National Security Adviser's Memoranda of Conversation alla Ford Library, il Brzezinski Material ad Atlanta. Fino ad allora lo zero resta strutturale.</w:t>
      </w:r>
    </w:p>
    <w:p>
      <w:pPr>
        <w:spacing w:after="120" w:line="276"/>
        <w:jc w:val="both"/>
      </w:pPr>
      <w:r>
        <w:rPr>
          <w:rFonts w:ascii="Barlow Semi Condensed" w:cs="Barlow Semi Condensed" w:eastAsia="Barlow Semi Condensed" w:hAnsi="Barlow Semi Condensed"/>
          <w:b/>
          <w:bCs/>
          <w:sz w:val="24"/>
          <w:szCs w:val="24"/>
        </w:rPr>
        <w:t xml:space="preserve">4644 · I diciassette vuoti dei cantieri.</w:t>
      </w:r>
      <w:r>
        <w:rPr>
          <w:rFonts w:ascii="Barlow Semi Condensed" w:cs="Barlow Semi Condensed" w:eastAsia="Barlow Semi Condensed" w:hAnsi="Barlow Semi Condensed"/>
          <w:sz w:val="24"/>
          <w:szCs w:val="24"/>
        </w:rPr>
        <w:t xml:space="preserve"> I nove cantieri portano diciassette marcature, e le loro sedi sono tutte europee: i vuoti britannici al blocco 37, i francesi al 71, i tedeschi al 109, gli scambi d'intelligence dichiarati al 114, l'interlocutore ignoto al 169, i vaticani al 217, i fondi privati al 328, i reperti al 456, le borse al 457, la stesura A al 467. Nessuno interroga una sede statunitense.</w:t>
      </w:r>
    </w:p>
    <w:p>
      <w:pPr>
        <w:spacing w:after="120" w:line="276"/>
        <w:jc w:val="both"/>
      </w:pPr>
      <w:r>
        <w:rPr>
          <w:rFonts w:ascii="Barlow Semi Condensed" w:cs="Barlow Semi Condensed" w:eastAsia="Barlow Semi Condensed" w:hAnsi="Barlow Semi Condensed"/>
          <w:b/>
          <w:bCs/>
          <w:sz w:val="24"/>
          <w:szCs w:val="24"/>
        </w:rPr>
        <w:t xml:space="preserve">4645 · I vuoti che non si chiuderanno.</w:t>
      </w:r>
      <w:r>
        <w:rPr>
          <w:rFonts w:ascii="Barlow Semi Condensed" w:cs="Barlow Semi Condensed" w:eastAsia="Barlow Semi Condensed" w:hAnsi="Barlow Semi Condensed"/>
          <w:sz w:val="24"/>
          <w:szCs w:val="24"/>
        </w:rPr>
        <w:t xml:space="preserve"> Una distinzione dei cantieri va conservata: alcuni vuoti hanno sede di chiusura, altri non l'hanno perché la carta non esiste più. Il blocco 456 censisce i reperti distrutti, il 467 la stesura mai trovata, il 584 i due nastri superstiti su cinquantacinque giorni, il 613 le scene mai fotografate; il blocco 712 dell'opera li raccoglie. Per essi il riesame periodico non ha oggetto: si registrano e si chiudono.</w:t>
      </w:r>
    </w:p>
    <w:p>
      <w:pPr>
        <w:spacing w:after="120" w:line="276"/>
        <w:jc w:val="both"/>
      </w:pPr>
      <w:r>
        <w:rPr>
          <w:rFonts w:ascii="Barlow Semi Condensed" w:cs="Barlow Semi Condensed" w:eastAsia="Barlow Semi Condensed" w:hAnsi="Barlow Semi Condensed"/>
          <w:b/>
          <w:bCs/>
          <w:sz w:val="24"/>
          <w:szCs w:val="24"/>
        </w:rPr>
        <w:t xml:space="preserve">4646 · I dieci vuoti dell'agenda.</w:t>
      </w:r>
      <w:r>
        <w:rPr>
          <w:rFonts w:ascii="Barlow Semi Condensed" w:cs="Barlow Semi Condensed" w:eastAsia="Barlow Semi Condensed" w:hAnsi="Barlow Semi Condensed"/>
          <w:sz w:val="24"/>
          <w:szCs w:val="24"/>
        </w:rPr>
        <w:t xml:space="preserve"> L'agenda di ricerca marca dieci volte: i verbali dei comitati del Viminale al blocco 8, le borse mai trovate al 95, la contabilità del fondo al 218, la regola contro la pista internazionale forte al 221, il test dei buchi al 233, i registri bancari al 258, la fonte di «Gradoli» al 263, gli stati dei bersagli al 284, la ricerca a vuoto al 285. Nessuno riguarda questo nome.</w:t>
      </w:r>
    </w:p>
    <w:p>
      <w:pPr>
        <w:spacing w:after="120" w:line="276"/>
        <w:jc w:val="both"/>
      </w:pPr>
      <w:r>
        <w:rPr>
          <w:rFonts w:ascii="Barlow Semi Condensed" w:cs="Barlow Semi Condensed" w:eastAsia="Barlow Semi Condensed" w:hAnsi="Barlow Semi Condensed"/>
          <w:b/>
          <w:bCs/>
          <w:sz w:val="24"/>
          <w:szCs w:val="24"/>
        </w:rPr>
        <w:t xml:space="preserve">4647 · Il blocco 221, applicato qui.</w:t>
      </w:r>
      <w:r>
        <w:rPr>
          <w:rFonts w:ascii="Barlow Semi Condensed" w:cs="Barlow Semi Condensed" w:eastAsia="Barlow Semi Condensed" w:hAnsi="Barlow Semi Condensed"/>
          <w:sz w:val="24"/>
          <w:szCs w:val="24"/>
        </w:rPr>
        <w:t xml:space="preserve"> È la regola più direttamente pertinente: per ogni versione che ponga una regia estera si cerca il documento primario che la sosterrebbe, e si dichiara Stato Zero dove non c'è. La quinta serie dell'opera l'ha applicata teatro per teatro. Applicata a questo nome dà l'esito che il corpus registra da sempre: cornice documentata, catena mai documentata. La regola non è severa con lui, è uguale per tutti.</w:t>
      </w:r>
    </w:p>
    <w:p>
      <w:pPr>
        <w:spacing w:after="120" w:line="276"/>
        <w:jc w:val="both"/>
      </w:pPr>
      <w:r>
        <w:rPr>
          <w:rFonts w:ascii="Barlow Semi Condensed" w:cs="Barlow Semi Condensed" w:eastAsia="Barlow Semi Condensed" w:hAnsi="Barlow Semi Condensed"/>
          <w:b/>
          <w:bCs/>
          <w:sz w:val="24"/>
          <w:szCs w:val="24"/>
        </w:rPr>
        <w:t xml:space="preserve">4648 · Verbale di vuoto di questa serie.</w:t>
      </w:r>
      <w:r>
        <w:rPr>
          <w:rFonts w:ascii="Barlow Semi Condensed" w:cs="Barlow Semi Condensed" w:eastAsia="Barlow Semi Condensed" w:hAnsi="Barlow Semi Condensed"/>
          <w:sz w:val="24"/>
          <w:szCs w:val="24"/>
        </w:rPr>
        <w:t xml:space="preserve"> Che cosa si è cercato, dove, quando, da chi, con quale perimetro: sono le voci che il blocco 285 dell'agenda impone all'esito negativo. La forma si applica qui a sé stessa. Oggetto: le due stringhe del perimetro negativo. Sede: i sorgenti markdown del branch pubblico. Data: 26 agosto 2026. Perimetro: cinquanta file del corpus storico. Riesame: al prossimo versamento di campagna.</w:t>
      </w:r>
    </w:p>
    <w:p>
      <w:pPr>
        <w:spacing w:after="120" w:line="276"/>
        <w:jc w:val="both"/>
      </w:pPr>
      <w:r>
        <w:rPr>
          <w:rFonts w:ascii="Barlow Semi Condensed" w:cs="Barlow Semi Condensed" w:eastAsia="Barlow Semi Condensed" w:hAnsi="Barlow Semi Condensed"/>
          <w:b/>
          <w:bCs/>
          <w:sz w:val="24"/>
          <w:szCs w:val="24"/>
        </w:rPr>
        <w:t xml:space="preserve">4649 · Costo, firma e data del vuoto.</w:t>
      </w:r>
      <w:r>
        <w:rPr>
          <w:rFonts w:ascii="Barlow Semi Condensed" w:cs="Barlow Semi Condensed" w:eastAsia="Barlow Semi Condensed" w:hAnsi="Barlow Semi Condensed"/>
          <w:sz w:val="24"/>
          <w:szCs w:val="24"/>
        </w:rPr>
        <w:t xml:space="preserve"> Tre voci accompagnano il verbale, e questa serie le dichiara. Il costo, secondo il blocco 286 dell'agenda: una scansione automatica dei sorgenti, nessuna giornata di sala. La firma, secondo il blocco 658 dell'opera: censimento eseguito su testi e non su fondi, valutabile solo come tale. La data di riesame, secondo il blocco 655: ogni nuova campagna versata al branch invalida i numeri e obbliga a rifarli.</w:t>
      </w:r>
    </w:p>
    <w:p>
      <w:pPr>
        <w:spacing w:after="120" w:line="276"/>
        <w:jc w:val="both"/>
      </w:pPr>
      <w:r>
        <w:rPr>
          <w:rFonts w:ascii="Barlow Semi Condensed" w:cs="Barlow Semi Condensed" w:eastAsia="Barlow Semi Condensed" w:hAnsi="Barlow Semi Condensed"/>
          <w:b/>
          <w:bCs/>
          <w:sz w:val="24"/>
          <w:szCs w:val="24"/>
        </w:rPr>
        <w:t xml:space="preserve">4650 · Il grado di questo censimento.</w:t>
      </w:r>
      <w:r>
        <w:rPr>
          <w:rFonts w:ascii="Barlow Semi Condensed" w:cs="Barlow Semi Condensed" w:eastAsia="Barlow Semi Condensed" w:hAnsi="Barlow Semi Condensed"/>
          <w:sz w:val="24"/>
          <w:szCs w:val="24"/>
        </w:rPr>
        <w:t xml:space="preserve"> Va dichiarato per non essere frainteso. Il conteggio delle stringhe è accertamento di fatto, verificabile da chiunque riesegua il comando sui medesimi sorgenti. La lettura che ne discende — quali vuoti riguardino il nome e quali no — resta interpretazione dichiarata, e non sale di grado per il fatto di poggiare su numeri esatti. Un numero esatto su un oggetto sbagliato resta un numero sbagliato.</w:t>
      </w:r>
    </w:p>
    <w:p>
      <w:pPr>
        <w:spacing w:after="120" w:line="276"/>
        <w:jc w:val="both"/>
      </w:pPr>
      <w:r>
        <w:rPr>
          <w:rFonts w:ascii="Barlow Semi Condensed" w:cs="Barlow Semi Condensed" w:eastAsia="Barlow Semi Condensed" w:hAnsi="Barlow Semi Condensed"/>
          <w:b/>
          <w:bCs/>
          <w:sz w:val="24"/>
          <w:szCs w:val="24"/>
        </w:rPr>
        <w:t xml:space="preserve">4651 · I quattro esiti dei tredici.</w:t>
      </w:r>
      <w:r>
        <w:rPr>
          <w:rFonts w:ascii="Barlow Semi Condensed" w:cs="Barlow Semi Condensed" w:eastAsia="Barlow Semi Condensed" w:hAnsi="Barlow Semi Condensed"/>
          <w:sz w:val="24"/>
          <w:szCs w:val="24"/>
        </w:rPr>
        <w:t xml:space="preserve"> Quattro esiti negativi sono dichiarati in triangolazione-condannati-corpus.md: nessun ponte documentato oltre il dominio brigatista per Fiore, Balzerani, Maccari ed Etro; nessuna triangolazione prosopografica possibile col Tribunale Speciale; nessun ponte biografico col fronte latinoamericano fuori dalla rotta di Casimirri; nessun collegamento fra i tredici e la vicenda del 1981. Nessuno dei quattro tocca questo nome, e la matrice sintetica non gli assegna riga.</w:t>
      </w:r>
    </w:p>
    <w:p>
      <w:pPr>
        <w:spacing w:after="120" w:line="276"/>
        <w:jc w:val="both"/>
      </w:pPr>
      <w:r>
        <w:rPr>
          <w:rFonts w:ascii="Barlow Semi Condensed" w:cs="Barlow Semi Condensed" w:eastAsia="Barlow Semi Condensed" w:hAnsi="Barlow Semi Condensed"/>
          <w:b/>
          <w:bCs/>
          <w:sz w:val="24"/>
          <w:szCs w:val="24"/>
        </w:rPr>
        <w:t xml:space="preserve">4652 · Le cinque anti-triangolazioni del registro.</w:t>
      </w:r>
      <w:r>
        <w:rPr>
          <w:rFonts w:ascii="Barlow Semi Condensed" w:cs="Barlow Semi Condensed" w:eastAsia="Barlow Semi Condensed" w:hAnsi="Barlow Semi Condensed"/>
          <w:sz w:val="24"/>
          <w:szCs w:val="24"/>
        </w:rPr>
        <w:t xml:space="preserve"> Lo stesso documento presidia il metodo con cinque divieti: la parentela non è canale, l'origine comune non è regia, la rotta non è filiazione, il canale non è complicità, il registro resta chiuso. Sono la forma prosopografica del divieto che governa anche questa triangolazione. Il quinto conta più degli altri qui: nessun ponte aggiunge nomi, sposta gradi o insinua responsabilità. Vale dentro il registro e a maggior ragione fuori.</w:t>
      </w:r>
    </w:p>
    <w:p>
      <w:pPr>
        <w:spacing w:after="120" w:line="276"/>
        <w:jc w:val="both"/>
      </w:pPr>
      <w:r>
        <w:rPr>
          <w:rFonts w:ascii="Barlow Semi Condensed" w:cs="Barlow Semi Condensed" w:eastAsia="Barlow Semi Condensed" w:hAnsi="Barlow Semi Condensed"/>
          <w:b/>
          <w:bCs/>
          <w:sz w:val="24"/>
          <w:szCs w:val="24"/>
        </w:rPr>
        <w:t xml:space="preserve">4653 · Il ponte genealogico e il suo limite.</w:t>
      </w:r>
      <w:r>
        <w:rPr>
          <w:rFonts w:ascii="Barlow Semi Condensed" w:cs="Barlow Semi Condensed" w:eastAsia="Barlow Semi Condensed" w:hAnsi="Barlow Semi Condensed"/>
          <w:sz w:val="24"/>
          <w:szCs w:val="24"/>
        </w:rPr>
        <w:t xml:space="preserve"> Tre anti-triangolazioni chiudono lo studio su Feltrinelli: vettore non è mandante, la morte non è omicidio provato, il nome partigiano non fa dei GAP una continuazione della Resistenza. La prima va tenuta presente qui: l'editore muore il 14 marzo 1972, sei anni prima di via Fani, e il ponte verso le Brigate Rosse è genealogico, non direttivo. La stessa grammatica vale per ogni nodo esterno al caso.</w:t>
      </w:r>
    </w:p>
    <w:p>
      <w:pPr>
        <w:spacing w:after="120" w:line="276"/>
        <w:jc w:val="both"/>
      </w:pPr>
      <w:r>
        <w:rPr>
          <w:rFonts w:ascii="Barlow Semi Condensed" w:cs="Barlow Semi Condensed" w:eastAsia="Barlow Semi Condensed" w:hAnsi="Barlow Semi Condensed"/>
          <w:b/>
          <w:bCs/>
          <w:sz w:val="24"/>
          <w:szCs w:val="24"/>
        </w:rPr>
        <w:t xml:space="preserve">4654 · Le carte americane sull'editore.</w:t>
      </w:r>
      <w:r>
        <w:rPr>
          <w:rFonts w:ascii="Barlow Semi Condensed" w:cs="Barlow Semi Condensed" w:eastAsia="Barlow Semi Condensed" w:hAnsi="Barlow Semi Condensed"/>
          <w:sz w:val="24"/>
          <w:szCs w:val="24"/>
        </w:rPr>
        <w:t xml:space="preserve"> Un quesito che questa serie eredita e non ha eseguito sta al blocco 709 dell'opera: se nei fondi statunitensi consultabili esistano valutazioni coeve su chi in Italia trasmise l'iconografia di Korda e il diario boliviano, e in quali serie siano collocate. È verifica non eseguita, non esito negativo. Sedi: i Central Foreign Policy Files a College Park e la sala di lettura elettronica dell'agenzia statunitense.</w:t>
      </w:r>
    </w:p>
    <w:p>
      <w:pPr>
        <w:spacing w:after="120" w:line="276"/>
        <w:jc w:val="both"/>
      </w:pPr>
      <w:r>
        <w:rPr>
          <w:rFonts w:ascii="Barlow Semi Condensed" w:cs="Barlow Semi Condensed" w:eastAsia="Barlow Semi Condensed" w:hAnsi="Barlow Semi Condensed"/>
          <w:b/>
          <w:bCs/>
          <w:sz w:val="24"/>
          <w:szCs w:val="24"/>
        </w:rPr>
        <w:t xml:space="preserve">4655 · Le tre di Hyperion, invariate.</w:t>
      </w:r>
      <w:r>
        <w:rPr>
          <w:rFonts w:ascii="Barlow Semi Condensed" w:cs="Barlow Semi Condensed" w:eastAsia="Barlow Semi Condensed" w:hAnsi="Barlow Semi Condensed"/>
          <w:sz w:val="24"/>
          <w:szCs w:val="24"/>
        </w:rPr>
        <w:t xml:space="preserve"> Il nodo Hyperion si chiude su tre anti-triangolazioni: nessuna condanna e presunzione d'innocenza piena; due tesi alternative che non si sommano; il filo Moretti che non è catena di comando. Il ponte BH-3 stabilisce inoltre la simmetria di metodo con l'ombra statunitense, e la sua frase regge l'intera triangolazione di questo nome: documentare l'esistenza di una testimonianza non è documentare ciò che essa afferma.</w:t>
      </w:r>
    </w:p>
    <w:p>
      <w:pPr>
        <w:spacing w:after="120" w:line="276"/>
        <w:jc w:val="both"/>
      </w:pPr>
      <w:r>
        <w:rPr>
          <w:rFonts w:ascii="Barlow Semi Condensed" w:cs="Barlow Semi Condensed" w:eastAsia="Barlow Semi Condensed" w:hAnsi="Barlow Semi Condensed"/>
          <w:b/>
          <w:bCs/>
          <w:sz w:val="24"/>
          <w:szCs w:val="24"/>
        </w:rPr>
        <w:t xml:space="preserve">4656 · La convergenza di via Nicotera.</w:t>
      </w:r>
      <w:r>
        <w:rPr>
          <w:rFonts w:ascii="Barlow Semi Condensed" w:cs="Barlow Semi Condensed" w:eastAsia="Barlow Semi Condensed" w:hAnsi="Barlow Semi Condensed"/>
          <w:sz w:val="24"/>
          <w:szCs w:val="24"/>
        </w:rPr>
        <w:t xml:space="preserve"> Un caso di scuola dell'errore da evitare sta al ponte BH-4: un ufficio aperto un mese prima di via Fani, in uno stabile condiviso con coperture di servizio. Il corpus lo registra per ciò che è, convergenza di tempo e di luogo, documentata e mai tradotta in accertamento. Chi voglia sapere che cosa il corpus farebbe di una coincidenza di calendario intorno al settembre 1974 legga quella riga.</w:t>
      </w:r>
    </w:p>
    <w:p>
      <w:pPr>
        <w:spacing w:after="120" w:line="276"/>
        <w:jc w:val="both"/>
      </w:pPr>
      <w:r>
        <w:rPr>
          <w:rFonts w:ascii="Barlow Semi Condensed" w:cs="Barlow Semi Condensed" w:eastAsia="Barlow Semi Condensed" w:hAnsi="Barlow Semi Condensed"/>
          <w:b/>
          <w:bCs/>
          <w:sz w:val="24"/>
          <w:szCs w:val="24"/>
        </w:rPr>
        <w:t xml:space="preserve">4657 · Il nodo M-5 e le sette note.</w:t>
      </w:r>
      <w:r>
        <w:rPr>
          <w:rFonts w:ascii="Barlow Semi Condensed" w:cs="Barlow Semi Condensed" w:eastAsia="Barlow Semi Condensed" w:hAnsi="Barlow Semi Condensed"/>
          <w:sz w:val="24"/>
          <w:szCs w:val="24"/>
        </w:rPr>
        <w:t xml:space="preserve"> Al nodo M-5 delle triangolazioni Guevara-Moro è registrata l'ombra statunitense sulle due morti, e la nota di revisione n. 2 del 25 agosto 2026 vi appende sette precisazioni senza riscrivere il testo. Il grado non si muove: testimonianza contestata, non accertamento. Questa serie non ripete le sette; ne trae il criterio di censimento, che il blocco seguente enuncia e applica a tutte le cifre riportate.</w:t>
      </w:r>
    </w:p>
    <w:p>
      <w:pPr>
        <w:spacing w:after="120" w:line="276"/>
        <w:jc w:val="both"/>
      </w:pPr>
      <w:r>
        <w:rPr>
          <w:rFonts w:ascii="Barlow Semi Condensed" w:cs="Barlow Semi Condensed" w:eastAsia="Barlow Semi Condensed" w:hAnsi="Barlow Semi Condensed"/>
          <w:b/>
          <w:bCs/>
          <w:sz w:val="24"/>
          <w:szCs w:val="24"/>
        </w:rPr>
        <w:t xml:space="preserve">4658 · Contestato non è assente.</w:t>
      </w:r>
      <w:r>
        <w:rPr>
          <w:rFonts w:ascii="Barlow Semi Condensed" w:cs="Barlow Semi Condensed" w:eastAsia="Barlow Semi Condensed" w:hAnsi="Barlow Semi Condensed"/>
          <w:sz w:val="24"/>
          <w:szCs w:val="24"/>
        </w:rPr>
        <w:t xml:space="preserve"> Questa distinzione impedisce al censimento di gonfiare le proprie cifre. L'avvertimento riferito non entra nel perimetro negativo: entra nel registro delle testimonianze contestate, con la smentita costante dell'interessato, la deposizione de relato del novembre 1982, il nome ottenuto in aula e non offerto, la data che oscilla fra 1974, 1976 e 1977. Nel perimetro negativo entra il verbale coevo, cercato e non trovato.</w:t>
      </w:r>
    </w:p>
    <w:p>
      <w:pPr>
        <w:spacing w:after="120" w:line="276"/>
        <w:jc w:val="both"/>
      </w:pPr>
      <w:r>
        <w:rPr>
          <w:rFonts w:ascii="Barlow Semi Condensed" w:cs="Barlow Semi Condensed" w:eastAsia="Barlow Semi Condensed" w:hAnsi="Barlow Semi Condensed"/>
          <w:b/>
          <w:bCs/>
          <w:sz w:val="24"/>
          <w:szCs w:val="24"/>
        </w:rPr>
        <w:t xml:space="preserve">4659 · Lo Stato Zero puntuale del verbale.</w:t>
      </w:r>
      <w:r>
        <w:rPr>
          <w:rFonts w:ascii="Barlow Semi Condensed" w:cs="Barlow Semi Condensed" w:eastAsia="Barlow Semi Condensed" w:hAnsi="Barlow Semi Condensed"/>
          <w:sz w:val="24"/>
          <w:szCs w:val="24"/>
        </w:rPr>
        <w:t xml:space="preserve"> Già scritto al blocco 224 e qui confermato come voce autonoma del registro: nel memorandum dello Studio Ovale del 25 settembre 1974 — documento 350 del volume FRUS 1969-1976 E-15 parte 2, seconda edizione riveduta, file 1552802 della Ford Library — non compare alcun ultimatum personale ad Aldo Moro. Perimetro esatto: quella carta, quella sede, esito negativo. Ciò che attesta è la posizione sullo scambio di informazioni militari.</w:t>
      </w:r>
    </w:p>
    <w:p>
      <w:pPr>
        <w:spacing w:after="120" w:line="276"/>
        <w:jc w:val="both"/>
      </w:pPr>
      <w:r>
        <w:rPr>
          <w:rFonts w:ascii="Barlow Semi Condensed" w:cs="Barlow Semi Condensed" w:eastAsia="Barlow Semi Condensed" w:hAnsi="Barlow Semi Condensed"/>
          <w:b/>
          <w:bCs/>
          <w:sz w:val="24"/>
          <w:szCs w:val="24"/>
        </w:rPr>
        <w:t xml:space="preserve">4660 · Ciò che l'assenza dal verbale non prova.</w:t>
      </w:r>
      <w:r>
        <w:rPr>
          <w:rFonts w:ascii="Barlow Semi Condensed" w:cs="Barlow Semi Condensed" w:eastAsia="Barlow Semi Condensed" w:hAnsi="Barlow Semi Condensed"/>
          <w:sz w:val="24"/>
          <w:szCs w:val="24"/>
        </w:rPr>
        <w:t xml:space="preserve"> L'errore è simmetrico e ugualmente grave, e va segnalato ogni volta. La testimonianza colloca la frase a margine; l'assenza dal verbale ufficiale non prova dunque né la falsità né la verità dell'episodio. Indebolisce nettamente la versione che lo colloca dentro l'incontro ufficiale, ed è quella che circola. Il censimento registra un vuoto documentale, non una smentita: due esiti diversi, su due righe diverse.</w:t>
      </w:r>
    </w:p>
    <w:p>
      <w:pPr>
        <w:spacing w:after="120" w:line="276"/>
        <w:jc w:val="both"/>
      </w:pPr>
      <w:r>
        <w:rPr>
          <w:rFonts w:ascii="Barlow Semi Condensed" w:cs="Barlow Semi Condensed" w:eastAsia="Barlow Semi Condensed" w:hAnsi="Barlow Semi Condensed"/>
          <w:b/>
          <w:bCs/>
          <w:sz w:val="24"/>
          <w:szCs w:val="24"/>
        </w:rPr>
        <w:t xml:space="preserve">4661 · Il vuoto giudiziario, accertato.</w:t>
      </w:r>
      <w:r>
        <w:rPr>
          <w:rFonts w:ascii="Barlow Semi Condensed" w:cs="Barlow Semi Condensed" w:eastAsia="Barlow Semi Condensed" w:hAnsi="Barlow Semi Condensed"/>
          <w:sz w:val="24"/>
          <w:szCs w:val="24"/>
        </w:rPr>
        <w:t xml:space="preserve"> I blocchi 760 e 975 lo dichiarano e il corpus lo tiene fermo: non fu mai sentito dall'autorità giudiziaria italiana, e la richiesta informale del 1983 non ebbe seguito. Non esiste verbale di escussione perché non vi fu escussione. È assenza accertata, non reticenza. Sede in cui l'esito si chiuderebbe: gli atti dei cinque processi Moro, nel lotto digitalizzato presso l'Archivio di Stato di Roma.</w:t>
      </w:r>
    </w:p>
    <w:p>
      <w:pPr>
        <w:spacing w:after="120" w:line="276"/>
        <w:jc w:val="both"/>
      </w:pPr>
      <w:r>
        <w:rPr>
          <w:rFonts w:ascii="Barlow Semi Condensed" w:cs="Barlow Semi Condensed" w:eastAsia="Barlow Semi Condensed" w:hAnsi="Barlow Semi Condensed"/>
          <w:b/>
          <w:bCs/>
          <w:sz w:val="24"/>
          <w:szCs w:val="24"/>
        </w:rPr>
        <w:t xml:space="preserve">4662 · Nessun processo, in nessun Paese.</w:t>
      </w:r>
      <w:r>
        <w:rPr>
          <w:rFonts w:ascii="Barlow Semi Condensed" w:cs="Barlow Semi Condensed" w:eastAsia="Barlow Semi Condensed" w:hAnsi="Barlow Semi Condensed"/>
          <w:sz w:val="24"/>
          <w:szCs w:val="24"/>
        </w:rPr>
        <w:t xml:space="preserve"> Nessuna sentenza di condanna, nessun rinvio a giudizio, nessun procedimento penale a suo carico in alcun Paese: l'accertamento K-2 dell'apparato dell'opera va richiamato qui perché vincola ogni riga della serie. Sul punto concordano anche le fonti a lui più ostili, che distinguono il libro-saggio d'accusa dall'atto giudiziario. Le responsabilità morali o politiche che quelle fonti gli attribuiscono restano fuori dal giudicato e fuori di qui.</w:t>
      </w:r>
    </w:p>
    <w:p>
      <w:pPr>
        <w:spacing w:after="120" w:line="276"/>
        <w:jc w:val="both"/>
      </w:pPr>
      <w:r>
        <w:rPr>
          <w:rFonts w:ascii="Barlow Semi Condensed" w:cs="Barlow Semi Condensed" w:eastAsia="Barlow Semi Condensed" w:hAnsi="Barlow Semi Condensed"/>
          <w:b/>
          <w:bCs/>
          <w:sz w:val="24"/>
          <w:szCs w:val="24"/>
        </w:rPr>
        <w:t xml:space="preserve">4663 · L'anagrafe e la data contesa.</w:t>
      </w:r>
      <w:r>
        <w:rPr>
          <w:rFonts w:ascii="Barlow Semi Condensed" w:cs="Barlow Semi Condensed" w:eastAsia="Barlow Semi Condensed" w:hAnsi="Barlow Semi Condensed"/>
          <w:sz w:val="24"/>
          <w:szCs w:val="24"/>
        </w:rPr>
        <w:t xml:space="preserve"> Anche una biografia produce esiti negativi. Nascita a Fürth il 27 maggio 1923 col nome di Heinz Alfred, morte a Kent nel Connecticut il 29 novembre 2023: nessuna fonte dissente. L'anglicizzazione del nome invece diverge — le opere di consultazione dicono 1938 senza citare documenti, il fascicolo d'immigrazione la colloca al 1942-1943. Divergenza da riportare e non da sciogliere; sede di chiusura, il fascicolo di naturalizzazione.</w:t>
      </w:r>
    </w:p>
    <w:p>
      <w:pPr>
        <w:spacing w:after="120" w:line="276"/>
        <w:jc w:val="both"/>
      </w:pPr>
      <w:r>
        <w:rPr>
          <w:rFonts w:ascii="Barlow Semi Condensed" w:cs="Barlow Semi Condensed" w:eastAsia="Barlow Semi Condensed" w:hAnsi="Barlow Semi Condensed"/>
          <w:b/>
          <w:bCs/>
          <w:sz w:val="24"/>
          <w:szCs w:val="24"/>
        </w:rPr>
        <w:t xml:space="preserve">4664 · Le date degli incarichi, senza vuoti.</w:t>
      </w:r>
      <w:r>
        <w:rPr>
          <w:rFonts w:ascii="Barlow Semi Condensed" w:cs="Barlow Semi Condensed" w:eastAsia="Barlow Semi Condensed" w:hAnsi="Barlow Semi Condensed"/>
          <w:sz w:val="24"/>
          <w:szCs w:val="24"/>
        </w:rPr>
        <w:t xml:space="preserve"> Qui il corpus non ha assenze da dichiarare, e un censimento onesto conta anche i pieni. Assistente del Presidente per gli affari di sicurezza nazionale dal 20 gennaio 1969 al 3 novembre 1975; Segretario di Stato dal 22 settembre 1973 al 20 gennaio 1977; i due incarichi tenuti insieme. Ogni ricostruzione che collochi altrove i suoi poteri contraddice date verificate su fonti istituzionali convergenti.</w:t>
      </w:r>
    </w:p>
    <w:p>
      <w:pPr>
        <w:spacing w:after="120" w:line="276"/>
        <w:jc w:val="both"/>
      </w:pPr>
      <w:r>
        <w:rPr>
          <w:rFonts w:ascii="Barlow Semi Condensed" w:cs="Barlow Semi Condensed" w:eastAsia="Barlow Semi Condensed" w:hAnsi="Barlow Semi Condensed"/>
          <w:b/>
          <w:bCs/>
          <w:sz w:val="24"/>
          <w:szCs w:val="24"/>
        </w:rPr>
        <w:t xml:space="preserve">4665 · La cartella Farnesina, quattro versanti.</w:t>
      </w:r>
      <w:r>
        <w:rPr>
          <w:rFonts w:ascii="Barlow Semi Condensed" w:cs="Barlow Semi Condensed" w:eastAsia="Barlow Semi Condensed" w:hAnsi="Barlow Semi Condensed"/>
          <w:sz w:val="24"/>
          <w:szCs w:val="24"/>
        </w:rPr>
        <w:t xml:space="preserve"> Nel README di moro-ministro-esteri l'esito dei quattro versanti nazionali con l'Opus Dei è fissato in due parole: presenza documentata per Germania e Portogallo, Stato Zero per Grecia e Turchia, con la ricognizione turca dichiarata il caso più probante. Nessuno dei quattro esiti passa per questo nome, che nella cartella compare soltanto come autore o destinatario di documenti della serie FRUS.</w:t>
      </w:r>
    </w:p>
    <w:p>
      <w:pPr>
        <w:spacing w:after="120" w:line="276"/>
        <w:jc w:val="both"/>
      </w:pPr>
      <w:r>
        <w:rPr>
          <w:rFonts w:ascii="Barlow Semi Condensed" w:cs="Barlow Semi Condensed" w:eastAsia="Barlow Semi Condensed" w:hAnsi="Barlow Semi Condensed"/>
          <w:b/>
          <w:bCs/>
          <w:sz w:val="24"/>
          <w:szCs w:val="24"/>
        </w:rPr>
        <w:t xml:space="preserve">4666 · Il Portogallo e lo Stato Zero mantenuto.</w:t>
      </w:r>
      <w:r>
        <w:rPr>
          <w:rFonts w:ascii="Barlow Semi Condensed" w:cs="Barlow Semi Condensed" w:eastAsia="Barlow Semi Condensed" w:hAnsi="Barlow Semi Condensed"/>
          <w:sz w:val="24"/>
          <w:szCs w:val="24"/>
        </w:rPr>
        <w:t xml:space="preserve"> Undici marcature, il massimo del corpus dopo l'opera stessa, stanno nella ricognizione su Portogallo e Opus Dei, che al punto quarto prescrive di trattare lo Stato Zero Moro-Opus Dei come acquisizione stabile e non come lacuna da colmare a ogni costo. Cambierebbe solo davanti a un documento diretto nell'Archivio Aldo Moro. Priorità immediata: lo spoglio della serie Portogallo 1969-1974 all'Archivio storico diplomatico.</w:t>
      </w:r>
    </w:p>
    <w:p>
      <w:pPr>
        <w:spacing w:after="120" w:line="276"/>
        <w:jc w:val="both"/>
      </w:pPr>
      <w:r>
        <w:rPr>
          <w:rFonts w:ascii="Barlow Semi Condensed" w:cs="Barlow Semi Condensed" w:eastAsia="Barlow Semi Condensed" w:hAnsi="Barlow Semi Condensed"/>
          <w:b/>
          <w:bCs/>
          <w:sz w:val="24"/>
          <w:szCs w:val="24"/>
        </w:rPr>
        <w:t xml:space="preserve">4667 · Il nome nella stessa pagina.</w:t>
      </w:r>
      <w:r>
        <w:rPr>
          <w:rFonts w:ascii="Barlow Semi Condensed" w:cs="Barlow Semi Condensed" w:eastAsia="Barlow Semi Condensed" w:hAnsi="Barlow Semi Condensed"/>
          <w:sz w:val="24"/>
          <w:szCs w:val="24"/>
        </w:rPr>
        <w:t xml:space="preserve"> Nello stesso file il nome compare una volta sola, e il censimento deve qualificarlo: la preoccupazione atlantica documentata nei FRUS per Lisbona, «not a Communist take-over, but a leftist neutralist regime remaining within NATO». È piano 1 quanto alla posizione espressa, e cornice quanto agli effetti italiani. Convive nella medesima scheda con undici esiti negativi che non lo riguardano in alcun punto.</w:t>
      </w:r>
    </w:p>
    <w:p>
      <w:pPr>
        <w:spacing w:after="120" w:line="276"/>
        <w:jc w:val="both"/>
      </w:pPr>
      <w:r>
        <w:rPr>
          <w:rFonts w:ascii="Barlow Semi Condensed" w:cs="Barlow Semi Condensed" w:eastAsia="Barlow Semi Condensed" w:hAnsi="Barlow Semi Condensed"/>
          <w:b/>
          <w:bCs/>
          <w:sz w:val="24"/>
          <w:szCs w:val="24"/>
        </w:rPr>
        <w:t xml:space="preserve">4668 · Aginter Press, il vuoto che resta.</w:t>
      </w:r>
      <w:r>
        <w:rPr>
          <w:rFonts w:ascii="Barlow Semi Condensed" w:cs="Barlow Semi Condensed" w:eastAsia="Barlow Semi Condensed" w:hAnsi="Barlow Semi Condensed"/>
          <w:sz w:val="24"/>
          <w:szCs w:val="24"/>
        </w:rPr>
        <w:t xml:space="preserve"> La ricognizione portoghese dichiara Stato Zero su un dossier ricorrente nella pubblicistica delle reti clandestine, non avendo reperito fonti primarie né studi sottoposti a revisione paritaria che ne documentino un ruolo, e qualifica come non sostenuta la tesi circolante. La verifica meccanica della seconda campagna aggiunge che il termine non compare altrove nel corpus. Doppio negativo, e si registra senza addolcirlo.</w:t>
      </w:r>
    </w:p>
    <w:p>
      <w:pPr>
        <w:spacing w:after="120" w:line="276"/>
        <w:jc w:val="both"/>
      </w:pPr>
      <w:r>
        <w:rPr>
          <w:rFonts w:ascii="Barlow Semi Condensed" w:cs="Barlow Semi Condensed" w:eastAsia="Barlow Semi Condensed" w:hAnsi="Barlow Semi Condensed"/>
          <w:b/>
          <w:bCs/>
          <w:sz w:val="24"/>
          <w:szCs w:val="24"/>
        </w:rPr>
        <w:t xml:space="preserve">4669 · La Grecia, previsione verificata.</w:t>
      </w:r>
      <w:r>
        <w:rPr>
          <w:rFonts w:ascii="Barlow Semi Condensed" w:cs="Barlow Semi Condensed" w:eastAsia="Barlow Semi Condensed" w:hAnsi="Barlow Semi Condensed"/>
          <w:sz w:val="24"/>
          <w:szCs w:val="24"/>
        </w:rPr>
        <w:t xml:space="preserve"> La negatività come risultato principale e non come mancanza: così la ricognizione greca, che vi aggiunge uno Stato Zero parziale sulla posizione della Chiesa ortodossa rispetto al regime militare. La sede di rendimento più alto sono i resoconti stenografici di Camera e Senato della sesta legislatura per i mesi luglio-novembre 1974. Nella stessa pagina il nome compare per un telegramma del 2 agosto 1975.</w:t>
      </w:r>
    </w:p>
    <w:p>
      <w:pPr>
        <w:spacing w:after="120" w:line="276"/>
        <w:jc w:val="both"/>
      </w:pPr>
      <w:r>
        <w:rPr>
          <w:rFonts w:ascii="Barlow Semi Condensed" w:cs="Barlow Semi Condensed" w:eastAsia="Barlow Semi Condensed" w:hAnsi="Barlow Semi Condensed"/>
          <w:b/>
          <w:bCs/>
          <w:sz w:val="24"/>
          <w:szCs w:val="24"/>
        </w:rPr>
        <w:t xml:space="preserve">4670 · Il telegramma del 2 agosto 1975 (serie LXI).</w:t>
      </w:r>
      <w:r>
        <w:rPr>
          <w:rFonts w:ascii="Barlow Semi Condensed" w:cs="Barlow Semi Condensed" w:eastAsia="Barlow Semi Condensed" w:hAnsi="Barlow Semi Condensed"/>
          <w:sz w:val="24"/>
          <w:szCs w:val="24"/>
        </w:rPr>
        <w:t xml:space="preserve"> Isolarlo è necessario, perché è piano 1 e va usato per ciò che è: il documento 334 del volume XXXIX dei FRUS conferma che l'Atto finale di Helsinki fu firmato da trentacinque capi di Stato o di governo e ne descrive la cerimonia conclusiva. Attesta un fatto cerimoniale accertato, non una relazione bilaterale. Citarlo come prova di un rapporto personale sarebbe l'errore che l'opera vieta.</w:t>
      </w:r>
    </w:p>
    <w:p>
      <w:pPr>
        <w:spacing w:after="120" w:line="276"/>
        <w:jc w:val="both"/>
      </w:pPr>
      <w:r>
        <w:rPr>
          <w:rFonts w:ascii="Barlow Semi Condensed" w:cs="Barlow Semi Condensed" w:eastAsia="Barlow Semi Condensed" w:hAnsi="Barlow Semi Condensed"/>
          <w:b/>
          <w:bCs/>
          <w:sz w:val="24"/>
          <w:szCs w:val="24"/>
        </w:rPr>
        <w:t xml:space="preserve">4671 · Cipro, il silenzio di quattro mesi.</w:t>
      </w:r>
      <w:r>
        <w:rPr>
          <w:rFonts w:ascii="Barlow Semi Condensed" w:cs="Barlow Semi Condensed" w:eastAsia="Barlow Semi Condensed" w:hAnsi="Barlow Semi Condensed"/>
          <w:sz w:val="24"/>
          <w:szCs w:val="24"/>
        </w:rPr>
        <w:t xml:space="preserve"> Registrato al blocco 346 e confermato dal censimento come esito autonomo: non sono state reperite dichiarazioni testuali di Moro su Cipro fra luglio e novembre 1974. La sede è duplice — i resoconti stenografici della sesta legislatura, le serie Grecia e Cipro dell'Archivio storico diplomatico. La contemporaneità fra la crisi cipriota e la visita di settembre non è nesso, e non va trattata come tale.</w:t>
      </w:r>
    </w:p>
    <w:p>
      <w:pPr>
        <w:spacing w:after="120" w:line="276"/>
        <w:jc w:val="both"/>
      </w:pPr>
      <w:r>
        <w:rPr>
          <w:rFonts w:ascii="Barlow Semi Condensed" w:cs="Barlow Semi Condensed" w:eastAsia="Barlow Semi Condensed" w:hAnsi="Barlow Semi Condensed"/>
          <w:b/>
          <w:bCs/>
          <w:sz w:val="24"/>
          <w:szCs w:val="24"/>
        </w:rPr>
        <w:t xml:space="preserve">4672 · L'embargo turco e il silenzio italiano.</w:t>
      </w:r>
      <w:r>
        <w:rPr>
          <w:rFonts w:ascii="Barlow Semi Condensed" w:cs="Barlow Semi Condensed" w:eastAsia="Barlow Semi Condensed" w:hAnsi="Barlow Semi Condensed"/>
          <w:sz w:val="24"/>
          <w:szCs w:val="24"/>
        </w:rPr>
        <w:t xml:space="preserve"> Deliberato nel dicembre 1974, in vigore dal 5 febbraio 1975, revocato nel settembre 1978: la sequenza è documentata, e dichiarazioni italiane su di essa non si sono trovate. La ricognizione turca dichiara i propri esiti negativi «numerosi e circostanziati» senza mai usare la marcatura letterale, ragione per cui il conteggio per stringa la ignora del tutto. È il caso che dimostra perché il censimento non può fermarsi al lessico.</w:t>
      </w:r>
    </w:p>
    <w:p>
      <w:pPr>
        <w:spacing w:after="120" w:line="276"/>
        <w:jc w:val="both"/>
      </w:pPr>
      <w:r>
        <w:rPr>
          <w:rFonts w:ascii="Barlow Semi Condensed" w:cs="Barlow Semi Condensed" w:eastAsia="Barlow Semi Condensed" w:hAnsi="Barlow Semi Condensed"/>
          <w:b/>
          <w:bCs/>
          <w:sz w:val="24"/>
          <w:szCs w:val="24"/>
        </w:rPr>
        <w:t xml:space="preserve">4673 · Il memorandum sull'oppio, piano uno.</w:t>
      </w:r>
      <w:r>
        <w:rPr>
          <w:rFonts w:ascii="Barlow Semi Condensed" w:cs="Barlow Semi Condensed" w:eastAsia="Barlow Semi Condensed" w:hAnsi="Barlow Semi Condensed"/>
          <w:sz w:val="24"/>
          <w:szCs w:val="24"/>
        </w:rPr>
        <w:t xml:space="preserve"> La stessa ricognizione turca ospita la concentrazione documentale più densa del nome nell'intera cartella: il memorandum al presidente Ford, documento 208 del volume XXX, il telegramma 5213 del 2 luglio 1974, il paper del gruppo interdipartimentale per l'Europa del Consiglio di sicurezza nazionale. Materia oppiacei, con rilevanza indiretta per l'Italia. Piano 1 su quel dossier, e nessun ponte con i dossier italiani del corpus.</w:t>
      </w:r>
    </w:p>
    <w:p>
      <w:pPr>
        <w:spacing w:after="120" w:line="276"/>
        <w:jc w:val="both"/>
      </w:pPr>
      <w:r>
        <w:rPr>
          <w:rFonts w:ascii="Barlow Semi Condensed" w:cs="Barlow Semi Condensed" w:eastAsia="Barlow Semi Condensed" w:hAnsi="Barlow Semi Condensed"/>
          <w:b/>
          <w:bCs/>
          <w:sz w:val="24"/>
          <w:szCs w:val="24"/>
        </w:rPr>
        <w:t xml:space="preserve">4674 · Gli Stati Zero spagnoli, condivisi.</w:t>
      </w:r>
      <w:r>
        <w:rPr>
          <w:rFonts w:ascii="Barlow Semi Condensed" w:cs="Barlow Semi Condensed" w:eastAsia="Barlow Semi Condensed" w:hAnsi="Barlow Semi Condensed"/>
          <w:sz w:val="24"/>
          <w:szCs w:val="24"/>
        </w:rPr>
        <w:t xml:space="preserve"> Nove marcature e il capitolo col maggior numero di vuoti stanno nella ricognizione sui documenti italiani e spagnoli: nessun contatto diretto accertato fra Moro e i tre ministri degli Esteri spagnoli del periodo, l'iter della revisione concordataria non documentato, le repliche di bilancio del 1970, 1971, 1972 e 1974 non reperite. Sedi: la Farnesina e l'Archivo General de la Administración di Alcalá de Henares.</w:t>
      </w:r>
    </w:p>
    <w:p>
      <w:pPr>
        <w:spacing w:after="120" w:line="276"/>
        <w:jc w:val="both"/>
      </w:pPr>
      <w:r>
        <w:rPr>
          <w:rFonts w:ascii="Barlow Semi Condensed" w:cs="Barlow Semi Condensed" w:eastAsia="Barlow Semi Condensed" w:hAnsi="Barlow Semi Condensed"/>
          <w:b/>
          <w:bCs/>
          <w:sz w:val="24"/>
          <w:szCs w:val="24"/>
        </w:rPr>
        <w:t xml:space="preserve">4675 · Il lato italiano del 25 settembre.</w:t>
      </w:r>
      <w:r>
        <w:rPr>
          <w:rFonts w:ascii="Barlow Semi Condensed" w:cs="Barlow Semi Condensed" w:eastAsia="Barlow Semi Condensed" w:hAnsi="Barlow Semi Condensed"/>
          <w:sz w:val="24"/>
          <w:szCs w:val="24"/>
        </w:rPr>
        <w:t xml:space="preserve"> Nella stessa ricognizione spagnola il nome compare una volta, per indicare quel memorandum come fonte primaria di riferimento. Ne deriva un bersaglio mai eseguito dal corpus: cercare il lato italiano di quel colloquio nei carteggi di gabinetto del ministro degli Esteri per il 1969-1974 e nelle serie della direzione generale degli affari politici. Lo strumento è la collazione bilaterale del blocco 153 dell'agenda.</w:t>
      </w:r>
    </w:p>
    <w:p>
      <w:pPr>
        <w:spacing w:after="120" w:line="276"/>
        <w:jc w:val="both"/>
      </w:pPr>
      <w:r>
        <w:rPr>
          <w:rFonts w:ascii="Barlow Semi Condensed" w:cs="Barlow Semi Condensed" w:eastAsia="Barlow Semi Condensed" w:hAnsi="Barlow Semi Condensed"/>
          <w:b/>
          <w:bCs/>
          <w:sz w:val="24"/>
          <w:szCs w:val="24"/>
        </w:rPr>
        <w:t xml:space="preserve">4676 · La Farnesina non è sede aperta.</w:t>
      </w:r>
      <w:r>
        <w:rPr>
          <w:rFonts w:ascii="Barlow Semi Condensed" w:cs="Barlow Semi Condensed" w:eastAsia="Barlow Semi Condensed" w:hAnsi="Barlow Semi Condensed"/>
          <w:sz w:val="24"/>
          <w:szCs w:val="24"/>
        </w:rPr>
        <w:t xml:space="preserve"> Correzione imposta dalla seconda campagna e registrata al blocco 683: i blocchi 55 e 78 dei cantieri e il 244 dell'agenda trattavano l'Archivio storico diplomatico come sede aperta. Non lo è senza riserve, e i Telegrammi 1942-1970 sono in esclusione temporanea dichiarata. Chi cerchi lì e non trovi non ha prodotto uno Stato Zero: ha incontrato una porta chiusa, e la differenza va scritta nel verbale.</w:t>
      </w:r>
    </w:p>
    <w:p>
      <w:pPr>
        <w:spacing w:after="120" w:line="276"/>
        <w:jc w:val="both"/>
      </w:pPr>
      <w:r>
        <w:rPr>
          <w:rFonts w:ascii="Barlow Semi Condensed" w:cs="Barlow Semi Condensed" w:eastAsia="Barlow Semi Condensed" w:hAnsi="Barlow Semi Condensed"/>
          <w:b/>
          <w:bCs/>
          <w:sz w:val="24"/>
          <w:szCs w:val="24"/>
        </w:rPr>
        <w:t xml:space="preserve">4677 · La banca dati che comincia nel 1976.</w:t>
      </w:r>
      <w:r>
        <w:rPr>
          <w:rFonts w:ascii="Barlow Semi Condensed" w:cs="Barlow Semi Condensed" w:eastAsia="Barlow Semi Condensed" w:hAnsi="Barlow Semi Condensed"/>
          <w:sz w:val="24"/>
          <w:szCs w:val="24"/>
        </w:rPr>
        <w:t xml:space="preserve"> Secondo limite strutturale, e non vuoto di fatto: il sindacato ispettivo parlamentare è interrogabile solo dalla settima legislatura, dal 5 luglio 1976. L'intero arco del ministero degli Esteri di Moro sopravvive come resoconti a stampa non ricercabili a testo pieno. Il blocco 62 dell'agenda prescriveva il censimento senza registrare il limite: correzione di fattibilità e non di merito, che cambia il costo e l'ordine delle campagne.</w:t>
      </w:r>
    </w:p>
    <w:p>
      <w:pPr>
        <w:spacing w:after="120" w:line="276"/>
        <w:jc w:val="both"/>
      </w:pPr>
      <w:r>
        <w:rPr>
          <w:rFonts w:ascii="Barlow Semi Condensed" w:cs="Barlow Semi Condensed" w:eastAsia="Barlow Semi Condensed" w:hAnsi="Barlow Semi Condensed"/>
          <w:b/>
          <w:bCs/>
          <w:sz w:val="24"/>
          <w:szCs w:val="24"/>
        </w:rPr>
        <w:t xml:space="preserve">4678 · La coincidenza da non promuovere.</w:t>
      </w:r>
      <w:r>
        <w:rPr>
          <w:rFonts w:ascii="Barlow Semi Condensed" w:cs="Barlow Semi Condensed" w:eastAsia="Barlow Semi Condensed" w:hAnsi="Barlow Semi Condensed"/>
          <w:sz w:val="24"/>
          <w:szCs w:val="24"/>
        </w:rPr>
        <w:t xml:space="preserve"> Nominata al blocco 701, la coincidenza va ripetuta con la stessa cautela con cui fu scritta: gli anni meno interrogabili con mezzi rapidi sul versante parlamentare italiano sono gli stessi in cui cadono i documenti statunitensi che il corpus possiede. È coincidenza fra due stati d'archivio, non fra due volontà. Leggerla altrimenti significa promuovere una proprietà degli strumenti a proprietà del mondo.</w:t>
      </w:r>
    </w:p>
    <w:p>
      <w:pPr>
        <w:spacing w:after="120" w:line="276"/>
        <w:jc w:val="both"/>
      </w:pPr>
      <w:r>
        <w:rPr>
          <w:rFonts w:ascii="Barlow Semi Condensed" w:cs="Barlow Semi Condensed" w:eastAsia="Barlow Semi Condensed" w:hAnsi="Barlow Semi Condensed"/>
          <w:b/>
          <w:bCs/>
          <w:sz w:val="24"/>
          <w:szCs w:val="24"/>
        </w:rPr>
        <w:t xml:space="preserve">4679 · Il vuoto scoperto per incrocio.</w:t>
      </w:r>
      <w:r>
        <w:rPr>
          <w:rFonts w:ascii="Barlow Semi Condensed" w:cs="Barlow Semi Condensed" w:eastAsia="Barlow Semi Condensed" w:hAnsi="Barlow Semi Condensed"/>
          <w:sz w:val="24"/>
          <w:szCs w:val="24"/>
        </w:rPr>
        <w:t xml:space="preserve"> La seconda campagna della Farnesina ha prodotto l'esito che solo una verifica meccanica genera: zero occorrenze, tanto nei tre documenti maggiori del corpus quanto nelle tre ricognizioni nuove, del nome del capocentro del servizio a Beirut e della strage di Fiumicino del 17 dicembre 1973. Nessuna delle due parti tocca il nome né la data. È il modello procedurale che questa serie applica.</w:t>
      </w:r>
    </w:p>
    <w:p>
      <w:pPr>
        <w:spacing w:after="120" w:line="276"/>
        <w:jc w:val="both"/>
      </w:pPr>
      <w:r>
        <w:rPr>
          <w:rFonts w:ascii="Barlow Semi Condensed" w:cs="Barlow Semi Condensed" w:eastAsia="Barlow Semi Condensed" w:hAnsi="Barlow Semi Condensed"/>
          <w:b/>
          <w:bCs/>
          <w:sz w:val="24"/>
          <w:szCs w:val="24"/>
        </w:rPr>
        <w:t xml:space="preserve">4680 · Il vuoto che si chiuse collazionando.</w:t>
      </w:r>
      <w:r>
        <w:rPr>
          <w:rFonts w:ascii="Barlow Semi Condensed" w:cs="Barlow Semi Condensed" w:eastAsia="Barlow Semi Condensed" w:hAnsi="Barlow Semi Condensed"/>
          <w:sz w:val="24"/>
          <w:szCs w:val="24"/>
        </w:rPr>
        <w:t xml:space="preserve"> Contro-esempio necessario, perché impedisce di considerare definitivo ogni vuoto: l'ingresso delle due Germanie alle Nazioni Unite era dichiarato Stato Zero da una ricognizione e datato al 18 settembre 1973 dall'altra, su documentazione ufficiale tedesca. Era lacuna di spoglio, non buco del mondo. Prima di verbalizzare un vuoto si collaziona ciò che il corpus già possiede: costo nullo, rendimento alto.</w:t>
      </w:r>
    </w:p>
    <w:p>
      <w:pPr>
        <w:spacing w:after="120" w:line="276"/>
        <w:jc w:val="both"/>
      </w:pPr>
      <w:r>
        <w:rPr>
          <w:rFonts w:ascii="Barlow Semi Condensed" w:cs="Barlow Semi Condensed" w:eastAsia="Barlow Semi Condensed" w:hAnsi="Barlow Semi Condensed"/>
          <w:b/>
          <w:bCs/>
          <w:sz w:val="24"/>
          <w:szCs w:val="24"/>
        </w:rPr>
        <w:t xml:space="preserve">4681 · Il telegramma da Tunisi, assente.</w:t>
      </w:r>
      <w:r>
        <w:rPr>
          <w:rFonts w:ascii="Barlow Semi Condensed" w:cs="Barlow Semi Condensed" w:eastAsia="Barlow Semi Condensed" w:hAnsi="Barlow Semi Condensed"/>
          <w:sz w:val="24"/>
          <w:szCs w:val="24"/>
        </w:rPr>
        <w:t xml:space="preserve"> Caso di scuola registrato al blocco 688 e dalla triangolazione della seconda campagna: il telegramma del 6 settembre 1970 da Tunisi è noto solo per via memorialistica indiretta e privo di fonte primaria. Esiste nel racconto di un protagonista e non in un fondo. La sede di chiusura è l'Archivio storico diplomatico; finché resta tale, si cita come oggetto di circolazione e mai come documento.</w:t>
      </w:r>
    </w:p>
    <w:p>
      <w:pPr>
        <w:spacing w:after="120" w:line="276"/>
        <w:jc w:val="both"/>
      </w:pPr>
      <w:r>
        <w:rPr>
          <w:rFonts w:ascii="Barlow Semi Condensed" w:cs="Barlow Semi Condensed" w:eastAsia="Barlow Semi Condensed" w:hAnsi="Barlow Semi Condensed"/>
          <w:b/>
          <w:bCs/>
          <w:sz w:val="24"/>
          <w:szCs w:val="24"/>
        </w:rPr>
        <w:t xml:space="preserve">4682 · Sette esiti tedeschi, con le sedi.</w:t>
      </w:r>
      <w:r>
        <w:rPr>
          <w:rFonts w:ascii="Barlow Semi Condensed" w:cs="Barlow Semi Condensed" w:eastAsia="Barlow Semi Condensed" w:hAnsi="Barlow Semi Condensed"/>
          <w:sz w:val="24"/>
          <w:szCs w:val="24"/>
        </w:rPr>
        <w:t xml:space="preserve"> Sette acquisizioni mancate, ciascuna con la propria sede, sono elencate nella ricognizione tedesca: la sala di lettura elettronica dell'agenzia statunitense, la serie Germania della Farnesina coi volumi AAPD dell'Institut für Zeitgeschichte, l'Archiv für Christlich-Demokratische Politik, gli archivi della prelatura e il centro studi di Navarra. Nessuna riguarda questo nome: il file dichiara Stati Zero e non lo nomina mai, e appartiene ai dieci.</w:t>
      </w:r>
    </w:p>
    <w:p>
      <w:pPr>
        <w:spacing w:after="120" w:line="276"/>
        <w:jc w:val="both"/>
      </w:pPr>
      <w:r>
        <w:rPr>
          <w:rFonts w:ascii="Barlow Semi Condensed" w:cs="Barlow Semi Condensed" w:eastAsia="Barlow Semi Condensed" w:hAnsi="Barlow Semi Condensed"/>
          <w:b/>
          <w:bCs/>
          <w:sz w:val="24"/>
          <w:szCs w:val="24"/>
        </w:rPr>
        <w:t xml:space="preserve">4683 · L'archivio che non apre (serie LXI).</w:t>
      </w:r>
      <w:r>
        <w:rPr>
          <w:rFonts w:ascii="Barlow Semi Condensed" w:cs="Barlow Semi Condensed" w:eastAsia="Barlow Semi Condensed" w:hAnsi="Barlow Semi Condensed"/>
          <w:sz w:val="24"/>
          <w:szCs w:val="24"/>
        </w:rPr>
        <w:t xml:space="preserve"> Un limite che nessuna campagna può superare sta al blocco 711: l'Archivio Apostolico Vaticano è consultabile fino all'ottobre 1958. Ogni verifica primaria sugli atti pontifici degli anni Settanta è preclusa allo stato, e le ricostruzioni poggiano su fonti edite e ufficiali. Dove un documento del corpus indica gli archivi vaticani come sede da interrogare, l'indicazione è un calendario e non un bersaglio eseguibile.</w:t>
      </w:r>
    </w:p>
    <w:p>
      <w:pPr>
        <w:spacing w:after="120" w:line="276"/>
        <w:jc w:val="both"/>
      </w:pPr>
      <w:r>
        <w:rPr>
          <w:rFonts w:ascii="Barlow Semi Condensed" w:cs="Barlow Semi Condensed" w:eastAsia="Barlow Semi Condensed" w:hAnsi="Barlow Semi Condensed"/>
          <w:b/>
          <w:bCs/>
          <w:sz w:val="24"/>
          <w:szCs w:val="24"/>
        </w:rPr>
        <w:t xml:space="preserve">4684 · Il censimento del trattenuto.</w:t>
      </w:r>
      <w:r>
        <w:rPr>
          <w:rFonts w:ascii="Barlow Semi Condensed" w:cs="Barlow Semi Condensed" w:eastAsia="Barlow Semi Condensed" w:hAnsi="Barlow Semi Condensed"/>
          <w:sz w:val="24"/>
          <w:szCs w:val="24"/>
        </w:rPr>
        <w:t xml:space="preserve"> La scheda PE-5 delle piste-entità distingue il non trovato dal trattenuto: le withdrawal cards del 1978 nei Central Foreign Policy Files attestano l'esistenza di una carta senza rivelarla. La cifra riferita di circa quattrocentosettantaquattro atti di origine alleata resta dato di stampa e non accertamento. La regola dell'originatore spiega perché nessuna direttiva italiana può aprirli, e perché un diniego motivato è un'acquisizione.</w:t>
      </w:r>
    </w:p>
    <w:p>
      <w:pPr>
        <w:spacing w:after="120" w:line="276"/>
        <w:jc w:val="both"/>
      </w:pPr>
      <w:r>
        <w:rPr>
          <w:rFonts w:ascii="Barlow Semi Condensed" w:cs="Barlow Semi Condensed" w:eastAsia="Barlow Semi Condensed" w:hAnsi="Barlow Semi Condensed"/>
          <w:b/>
          <w:bCs/>
          <w:sz w:val="24"/>
          <w:szCs w:val="24"/>
        </w:rPr>
        <w:t xml:space="preserve">4685 · Il fascicolo già in casa.</w:t>
      </w:r>
      <w:r>
        <w:rPr>
          <w:rFonts w:ascii="Barlow Semi Condensed" w:cs="Barlow Semi Condensed" w:eastAsia="Barlow Semi Condensed" w:hAnsi="Barlow Semi Condensed"/>
          <w:sz w:val="24"/>
          <w:szCs w:val="24"/>
        </w:rPr>
        <w:t xml:space="preserve"> Un reperto interno al corpus è registrato nella stessa scheda: il lotto del Dipartimento di Stato conservato nella cartella Farnesina reca il numero di caso R-2021-002xx — lettura ottica oscillante fra 00202 e 00208, divergenza dichiarata — e i numeri di controllo B-00001939965-989. Bersaglio: chiederne il rilascio integrale ancorandolo a quegli identificativi. È l'unico appiglio documentale statunitense che il corpus abbia già in mano.</w:t>
      </w:r>
    </w:p>
    <w:p>
      <w:pPr>
        <w:spacing w:after="120" w:line="276"/>
        <w:jc w:val="both"/>
      </w:pPr>
      <w:r>
        <w:rPr>
          <w:rFonts w:ascii="Barlow Semi Condensed" w:cs="Barlow Semi Condensed" w:eastAsia="Barlow Semi Condensed" w:hAnsi="Barlow Semi Condensed"/>
          <w:b/>
          <w:bCs/>
          <w:sz w:val="24"/>
          <w:szCs w:val="24"/>
        </w:rPr>
        <w:t xml:space="preserve">4686 · Ciò che la scheda vieta di mescolare.</w:t>
      </w:r>
      <w:r>
        <w:rPr>
          <w:rFonts w:ascii="Barlow Semi Condensed" w:cs="Barlow Semi Condensed" w:eastAsia="Barlow Semi Condensed" w:hAnsi="Barlow Semi Condensed"/>
          <w:sz w:val="24"/>
          <w:szCs w:val="24"/>
        </w:rPr>
        <w:t xml:space="preserve"> PE-5 si chiude con un divieto che vale anche per questa triangolazione: non mescolare alla pista sulle serie archivistiche le dichiarazioni postume dei protagonisti americani dell'epoca. Per il consulente inviato ad assistere il comitato di crisi il corpus ha già il grado, fonte di parte, Livello C. La pista lavora su serie e non su memorie, e il censimento dei vuoti segue la stessa linea.</w:t>
      </w:r>
    </w:p>
    <w:p>
      <w:pPr>
        <w:spacing w:after="120" w:line="276"/>
        <w:jc w:val="both"/>
      </w:pPr>
      <w:r>
        <w:rPr>
          <w:rFonts w:ascii="Barlow Semi Condensed" w:cs="Barlow Semi Condensed" w:eastAsia="Barlow Semi Condensed" w:hAnsi="Barlow Semi Condensed"/>
          <w:b/>
          <w:bCs/>
          <w:sz w:val="24"/>
          <w:szCs w:val="24"/>
        </w:rPr>
        <w:t xml:space="preserve">4687 · I cinquantasette dell'opera stessa.</w:t>
      </w:r>
      <w:r>
        <w:rPr>
          <w:rFonts w:ascii="Barlow Semi Condensed" w:cs="Barlow Semi Condensed" w:eastAsia="Barlow Semi Condensed" w:hAnsi="Barlow Semi Condensed"/>
          <w:sz w:val="24"/>
          <w:szCs w:val="24"/>
        </w:rPr>
        <w:t xml:space="preserve"> L'opera in mille blocchi porta da sola cinquantasette marcature, più di tutto il resto del corpus sommato. Il dato va letto con prudenza: misura la densità con cui una campagna dichiara i propri limiti, non la povertà del suo oggetto. La sede principale è la nona serie, coi blocchi 631-715. Questa serie non la ripete: la conta, e ne verifica la corrispondenza con le sedi nominate.</w:t>
      </w:r>
    </w:p>
    <w:p>
      <w:pPr>
        <w:spacing w:after="120" w:line="276"/>
        <w:jc w:val="both"/>
      </w:pPr>
      <w:r>
        <w:rPr>
          <w:rFonts w:ascii="Barlow Semi Condensed" w:cs="Barlow Semi Condensed" w:eastAsia="Barlow Semi Condensed" w:hAnsi="Barlow Semi Condensed"/>
          <w:b/>
          <w:bCs/>
          <w:sz w:val="24"/>
          <w:szCs w:val="24"/>
        </w:rPr>
        <w:t xml:space="preserve">4688 · Quattro divieti da ereditare.</w:t>
      </w:r>
      <w:r>
        <w:rPr>
          <w:rFonts w:ascii="Barlow Semi Condensed" w:cs="Barlow Semi Condensed" w:eastAsia="Barlow Semi Condensed" w:hAnsi="Barlow Semi Condensed"/>
          <w:sz w:val="24"/>
          <w:szCs w:val="24"/>
        </w:rPr>
        <w:t xml:space="preserve"> Quattro divieti compongono il blocco 714 e questa serie li assume: non è stabilito che i silenzi censiti abbiano causa comune, non è stabilito che una carta manchi perché fu sottratta, non è stabilito che un vuoto fra due domini indichi estraneità o connessione, non è stabilito nulla su alcuna persona. Un censimento di assenze non è indizio di occultamento: è una mappa di ricerche.</w:t>
      </w:r>
    </w:p>
    <w:p>
      <w:pPr>
        <w:spacing w:after="120" w:line="276"/>
        <w:jc w:val="both"/>
      </w:pPr>
      <w:r>
        <w:rPr>
          <w:rFonts w:ascii="Barlow Semi Condensed" w:cs="Barlow Semi Condensed" w:eastAsia="Barlow Semi Condensed" w:hAnsi="Barlow Semi Condensed"/>
          <w:b/>
          <w:bCs/>
          <w:sz w:val="24"/>
          <w:szCs w:val="24"/>
        </w:rPr>
        <w:t xml:space="preserve">4689 · La leggenda come mappa dei vuoti (serie LXI).</w:t>
      </w:r>
      <w:r>
        <w:rPr>
          <w:rFonts w:ascii="Barlow Semi Condensed" w:cs="Barlow Semi Condensed" w:eastAsia="Barlow Semi Condensed" w:hAnsi="Barlow Semi Condensed"/>
          <w:sz w:val="24"/>
          <w:szCs w:val="24"/>
        </w:rPr>
        <w:t xml:space="preserve"> Una proposizione verificabile sta al blocco 621, e il censimento può ora saggiarla: le leggende crescerebbero dove l'archivio tace, e la loro geografia coinciderebbe con quella degli Stati Zero dichiarati. Qui la proposizione si smentisce in parte, e va detto: la leggenda più diffusa su questo nome insiste su un colloquio del settembre 1974 di cui esistono due verbali. Cresce dove l'archivio parla, e dice altro.</w:t>
      </w:r>
    </w:p>
    <w:p>
      <w:pPr>
        <w:spacing w:after="120" w:line="276"/>
        <w:jc w:val="both"/>
      </w:pPr>
      <w:r>
        <w:rPr>
          <w:rFonts w:ascii="Barlow Semi Condensed" w:cs="Barlow Semi Condensed" w:eastAsia="Barlow Semi Condensed" w:hAnsi="Barlow Semi Condensed"/>
          <w:b/>
          <w:bCs/>
          <w:sz w:val="24"/>
          <w:szCs w:val="24"/>
        </w:rPr>
        <w:t xml:space="preserve">4690 · Il falso positivo peggio del vuoto.</w:t>
      </w:r>
      <w:r>
        <w:rPr>
          <w:rFonts w:ascii="Barlow Semi Condensed" w:cs="Barlow Semi Condensed" w:eastAsia="Barlow Semi Condensed" w:hAnsi="Barlow Semi Condensed"/>
          <w:sz w:val="24"/>
          <w:szCs w:val="24"/>
        </w:rPr>
        <w:t xml:space="preserve"> Enunciato al blocco 9 dell'opera e confermato sul campo: una ricerca condotta su una variante plausibile del nome restituirebbe riscontri reali e del tutto estranei all'oggetto. Per questo ogni conteggio di questa serie dichiara la stringa esatta interrogata e nessuna variante flessa. Uno Stato Zero è un'acquisizione; un falso positivo è un danno, e non si corregge accumulando altri conteggi sopra il primo.</w:t>
      </w:r>
    </w:p>
    <w:p>
      <w:pPr>
        <w:spacing w:after="120" w:line="276"/>
        <w:jc w:val="both"/>
      </w:pPr>
      <w:r>
        <w:rPr>
          <w:rFonts w:ascii="Barlow Semi Condensed" w:cs="Barlow Semi Condensed" w:eastAsia="Barlow Semi Condensed" w:hAnsi="Barlow Semi Condensed"/>
          <w:b/>
          <w:bCs/>
          <w:sz w:val="24"/>
          <w:szCs w:val="24"/>
        </w:rPr>
        <w:t xml:space="preserve">4691 · Le fonti escluse e il loro perimetro.</w:t>
      </w:r>
      <w:r>
        <w:rPr>
          <w:rFonts w:ascii="Barlow Semi Condensed" w:cs="Barlow Semi Condensed" w:eastAsia="Barlow Semi Condensed" w:hAnsi="Barlow Semi Condensed"/>
          <w:sz w:val="24"/>
          <w:szCs w:val="24"/>
        </w:rPr>
        <w:t xml:space="preserve"> Due fonti sono escluse dal corpus per direttiva del committente, e l'esclusione genera un perimetro negativo che il censimento deve registrare distintamente. Il blocco 289 dell'agenda lo prevede: ciò che non si ricerca è parte dell'agenda quanto i bersagli. Non è un vuoto d'archivio ma una regola d'opera, e va tenuto su una riga separata da quella dei fondi interrogati senza esito.</w:t>
      </w:r>
    </w:p>
    <w:p>
      <w:pPr>
        <w:spacing w:after="120" w:line="276"/>
        <w:jc w:val="both"/>
      </w:pPr>
      <w:r>
        <w:rPr>
          <w:rFonts w:ascii="Barlow Semi Condensed" w:cs="Barlow Semi Condensed" w:eastAsia="Barlow Semi Condensed" w:hAnsi="Barlow Semi Condensed"/>
          <w:b/>
          <w:bCs/>
          <w:sz w:val="24"/>
          <w:szCs w:val="24"/>
        </w:rPr>
        <w:t xml:space="preserve">4692 · Il vuoto di secondo ordine.</w:t>
      </w:r>
      <w:r>
        <w:rPr>
          <w:rFonts w:ascii="Barlow Semi Condensed" w:cs="Barlow Semi Condensed" w:eastAsia="Barlow Semi Condensed" w:hAnsi="Barlow Semi Condensed"/>
          <w:sz w:val="24"/>
          <w:szCs w:val="24"/>
        </w:rPr>
        <w:t xml:space="preserve"> Dichiarato dal blocco 704 e dall'apparato K-5: la campagna di verifica non ha potuto leggere i resoconti stenografici della Commissione né i verbali d'udienza, e le precisazioni poggiano su fonti secondarie convergenti. Non manca il documento, manca la sua lettura. Le due specie vanno su righe distinte del registro, perché la prima si chiude con un versamento e la seconda con una giornata di sala.</w:t>
      </w:r>
    </w:p>
    <w:p>
      <w:pPr>
        <w:spacing w:after="120" w:line="276"/>
        <w:jc w:val="both"/>
      </w:pPr>
      <w:r>
        <w:rPr>
          <w:rFonts w:ascii="Barlow Semi Condensed" w:cs="Barlow Semi Condensed" w:eastAsia="Barlow Semi Condensed" w:hAnsi="Barlow Semi Condensed"/>
          <w:b/>
          <w:bCs/>
          <w:sz w:val="24"/>
          <w:szCs w:val="24"/>
        </w:rPr>
        <w:t xml:space="preserve">4693 · Sede confermata, contenuto da verificare (serie LXI).</w:t>
      </w:r>
      <w:r>
        <w:rPr>
          <w:rFonts w:ascii="Barlow Semi Condensed" w:cs="Barlow Semi Condensed" w:eastAsia="Barlow Semi Condensed" w:hAnsi="Barlow Semi Condensed"/>
          <w:sz w:val="24"/>
          <w:szCs w:val="24"/>
        </w:rPr>
        <w:t xml:space="preserve"> Proposta al blocco 696 come categoria autonoma del registro, la formula si adotta qui senza modifiche. Si applica all'audizione della vedova davanti alla Commissione d'inchiesta, collocata al 1 agosto 1980, e alla deposizione del portavoce davanti alla Corte d'assise di Roma nel novembre 1982. Si sa dove gli atti furono compiuti; non si sa, dai testi ufficiali, che cosa vi fu detto parola per parola.</w:t>
      </w:r>
    </w:p>
    <w:p>
      <w:pPr>
        <w:spacing w:after="120" w:line="276"/>
        <w:jc w:val="both"/>
      </w:pPr>
      <w:r>
        <w:rPr>
          <w:rFonts w:ascii="Barlow Semi Condensed" w:cs="Barlow Semi Condensed" w:eastAsia="Barlow Semi Condensed" w:hAnsi="Barlow Semi Condensed"/>
          <w:b/>
          <w:bCs/>
          <w:sz w:val="24"/>
          <w:szCs w:val="24"/>
        </w:rPr>
        <w:t xml:space="preserve">4694 · Le divergenze che restano aperte.</w:t>
      </w:r>
      <w:r>
        <w:rPr>
          <w:rFonts w:ascii="Barlow Semi Condensed" w:cs="Barlow Semi Condensed" w:eastAsia="Barlow Semi Condensed" w:hAnsi="Barlow Semi Condensed"/>
          <w:sz w:val="24"/>
          <w:szCs w:val="24"/>
        </w:rPr>
        <w:t xml:space="preserve"> Si riportano senza scioglierle, come il corpus impone. La data della deposizione oscilla fra il 10 e il 15 novembre 1982. La durata della visita di Stato è dal 25 al 29 settembre nel comunicato congiunto, dal 25 al 27 nella nota editoriale del volume FRUS. La collocazione dell'episodio riferito varia fra 1974, 1976 e 1977. Tre divergenze, tre righe, nessuna sintesi d'ufficio.</w:t>
      </w:r>
    </w:p>
    <w:p>
      <w:pPr>
        <w:spacing w:after="120" w:line="276"/>
        <w:jc w:val="both"/>
      </w:pPr>
      <w:r>
        <w:rPr>
          <w:rFonts w:ascii="Barlow Semi Condensed" w:cs="Barlow Semi Condensed" w:eastAsia="Barlow Semi Condensed" w:hAnsi="Barlow Semi Condensed"/>
          <w:b/>
          <w:bCs/>
          <w:sz w:val="24"/>
          <w:szCs w:val="24"/>
        </w:rPr>
        <w:t xml:space="preserve">4695 · La replicazione non è riscontro (serie LXI).</w:t>
      </w:r>
      <w:r>
        <w:rPr>
          <w:rFonts w:ascii="Barlow Semi Condensed" w:cs="Barlow Semi Condensed" w:eastAsia="Barlow Semi Condensed" w:hAnsi="Barlow Semi Condensed"/>
          <w:sz w:val="24"/>
          <w:szCs w:val="24"/>
        </w:rPr>
        <w:t xml:space="preserve"> Settima precisazione dell'apparato K-4, e criterio permanente di questo censimento: le decine di riprese pressoché identiche risalgono a un unico lancio d'agenzia del 30 novembre 2023, e il rilancio internazionale del 1982 proviene da una pubblicazione di orientamento cospirazionista. Si citano come dati di circolazione. Un vuoto documentale non si riempie contando le volte in cui qualcuno lo ha descritto come pieno.</w:t>
      </w:r>
    </w:p>
    <w:p>
      <w:pPr>
        <w:spacing w:after="120" w:line="276"/>
        <w:jc w:val="both"/>
      </w:pPr>
      <w:r>
        <w:rPr>
          <w:rFonts w:ascii="Barlow Semi Condensed" w:cs="Barlow Semi Condensed" w:eastAsia="Barlow Semi Condensed" w:hAnsi="Barlow Semi Condensed"/>
          <w:b/>
          <w:bCs/>
          <w:sz w:val="24"/>
          <w:szCs w:val="24"/>
        </w:rPr>
        <w:t xml:space="preserve">4696 · Che cosa falsificherebbe questa serie (serie LXI).</w:t>
      </w:r>
      <w:r>
        <w:rPr>
          <w:rFonts w:ascii="Barlow Semi Condensed" w:cs="Barlow Semi Condensed" w:eastAsia="Barlow Semi Condensed" w:hAnsi="Barlow Semi Condensed"/>
          <w:sz w:val="24"/>
          <w:szCs w:val="24"/>
        </w:rPr>
        <w:t xml:space="preserve"> Bersaglio di smentita, formulato per essere colpito. Il censimento cadrebbe se comparisse un documento di provenienza — cablo, appunto, verbale, scheda di ritiro con oggetto leggibile — che nomini insieme questo nome e un atto determinato della catena italiana del 1978. Non basterebbe una posizione politica, per quanto dura: servirebbe l'arco che oggi non esiste. Fino ad allora il perimetro negativo regge.</w:t>
      </w:r>
    </w:p>
    <w:p>
      <w:pPr>
        <w:spacing w:after="120" w:line="276"/>
        <w:jc w:val="both"/>
      </w:pPr>
      <w:r>
        <w:rPr>
          <w:rFonts w:ascii="Barlow Semi Condensed" w:cs="Barlow Semi Condensed" w:eastAsia="Barlow Semi Condensed" w:hAnsi="Barlow Semi Condensed"/>
          <w:b/>
          <w:bCs/>
          <w:sz w:val="24"/>
          <w:szCs w:val="24"/>
        </w:rPr>
        <w:t xml:space="preserve">4697 · Che cosa non lo falsificherebbe.</w:t>
      </w:r>
      <w:r>
        <w:rPr>
          <w:rFonts w:ascii="Barlow Semi Condensed" w:cs="Barlow Semi Condensed" w:eastAsia="Barlow Semi Condensed" w:hAnsi="Barlow Semi Condensed"/>
          <w:sz w:val="24"/>
          <w:szCs w:val="24"/>
        </w:rPr>
        <w:t xml:space="preserve"> Simmetricamente, e con la stessa nettezza. Non lo falsificherebbero nuove riprese giornalistiche dell'episodio riferito, né una testimonianza ulteriore resa a decenni di distanza, né la scoperta di altre posizioni ostili all'ingresso comunista nell'area di governo, già documentate al grado di fatto pubblico. L'accumulo di materiale dello stesso genere non cambia genere: solo un documento di provenienza sposta il piano.</w:t>
      </w:r>
    </w:p>
    <w:p>
      <w:pPr>
        <w:spacing w:after="120" w:line="276"/>
        <w:jc w:val="both"/>
      </w:pPr>
      <w:r>
        <w:rPr>
          <w:rFonts w:ascii="Barlow Semi Condensed" w:cs="Barlow Semi Condensed" w:eastAsia="Barlow Semi Condensed" w:hAnsi="Barlow Semi Condensed"/>
          <w:b/>
          <w:bCs/>
          <w:sz w:val="24"/>
          <w:szCs w:val="24"/>
        </w:rPr>
        <w:t xml:space="preserve">4698 · La condizione di riapertura (serie LXI).</w:t>
      </w:r>
      <w:r>
        <w:rPr>
          <w:rFonts w:ascii="Barlow Semi Condensed" w:cs="Barlow Semi Condensed" w:eastAsia="Barlow Semi Condensed" w:hAnsi="Barlow Semi Condensed"/>
          <w:sz w:val="24"/>
          <w:szCs w:val="24"/>
        </w:rPr>
        <w:t xml:space="preserve"> Fissata al blocco 661 e assunta qui: uno Stato Zero non si riapre per suggestione, per anniversario o per pressione pubblica, ma davanti a un fatto archivistico nuovo — un versamento, una declassifica, un inventario pubblicato, una serie prima non consultabile. Per il perimetro censito le condizioni sono quattro, e stanno tutte oltreoceano tranne la raccolta speciale della Direttiva all'Archivio centrale dello Stato.</w:t>
      </w:r>
    </w:p>
    <w:p>
      <w:pPr>
        <w:spacing w:after="120" w:line="276"/>
        <w:jc w:val="both"/>
      </w:pPr>
      <w:r>
        <w:rPr>
          <w:rFonts w:ascii="Barlow Semi Condensed" w:cs="Barlow Semi Condensed" w:eastAsia="Barlow Semi Condensed" w:hAnsi="Barlow Semi Condensed"/>
          <w:b/>
          <w:bCs/>
          <w:sz w:val="24"/>
          <w:szCs w:val="24"/>
        </w:rPr>
        <w:t xml:space="preserve">4699 · Bilancio della serie.</w:t>
      </w:r>
      <w:r>
        <w:rPr>
          <w:rFonts w:ascii="Barlow Semi Condensed" w:cs="Barlow Semi Condensed" w:eastAsia="Barlow Semi Condensed" w:hAnsi="Barlow Semi Condensed"/>
          <w:sz w:val="24"/>
          <w:szCs w:val="24"/>
        </w:rPr>
        <w:t xml:space="preserve"> Blocchi: ottanta. Vuoti censiti con marcatura esplicita: centocinquantaquattro occorrenze in diciotto file. Vuoti recuperati senza marcatura: cinque nelle colonne dell'apparato dei gradi, quelli «numerosi e circostanziati» della ricognizione turca. Vuoti nuovi verbalizzati: due, il capitolo trentanovesimo assente dal branch e la scadenza dell'auto-misurazione. Omologie stabilite: nessuna. Nomi aggiunti al giudicato: nessuno. Sedi di chiusura: nominate blocco per blocco.</w:t>
      </w:r>
    </w:p>
    <w:p>
      <w:pPr>
        <w:spacing w:after="120" w:line="276"/>
        <w:jc w:val="both"/>
      </w:pPr>
      <w:r>
        <w:rPr>
          <w:rFonts w:ascii="Barlow Semi Condensed" w:cs="Barlow Semi Condensed" w:eastAsia="Barlow Semi Condensed" w:hAnsi="Barlow Semi Condensed"/>
          <w:b/>
          <w:bCs/>
          <w:sz w:val="24"/>
          <w:szCs w:val="24"/>
        </w:rPr>
        <w:t xml:space="preserve">4700 · Congedo, e ciò che resta in mano.</w:t>
      </w:r>
      <w:r>
        <w:rPr>
          <w:rFonts w:ascii="Barlow Semi Condensed" w:cs="Barlow Semi Condensed" w:eastAsia="Barlow Semi Condensed" w:hAnsi="Barlow Semi Condensed"/>
          <w:sz w:val="24"/>
          <w:szCs w:val="24"/>
        </w:rPr>
        <w:t xml:space="preserve"> Resta un registro, non una tesi. Il corpus, contato riga per riga, dichiara su questo nome più assenze di quanti fatti nuovi conceda, e le dichiara con sedi che chiunque può interrogare. È la forma in cui una ricerca onesta consegna il proprio oggetto: non un uomo al centro della storia, ma la mappa esatta di dove i documenti lo collocano e di dove non lo trovano.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sessantaduesima — Le divergenze non sciolte, censite</w:t>
      </w:r>
    </w:p>
    <w:p>
      <w:pPr>
        <w:spacing w:after="120" w:line="276"/>
        <w:jc w:val="both"/>
      </w:pPr>
      <w:r>
        <w:rPr>
          <w:rFonts w:ascii="Barlow Semi Condensed" w:cs="Barlow Semi Condensed" w:eastAsia="Barlow Semi Condensed" w:hAnsi="Barlow Semi Condensed"/>
          <w:i/>
          <w:iCs/>
          <w:sz w:val="24"/>
          <w:szCs w:val="24"/>
        </w:rPr>
        <w:t xml:space="preserve">Blocchi 4701-4780.</w:t>
      </w:r>
    </w:p>
    <w:p>
      <w:pPr>
        <w:spacing w:after="120" w:line="276"/>
        <w:jc w:val="both"/>
      </w:pPr>
      <w:r>
        <w:rPr>
          <w:rFonts w:ascii="Barlow Semi Condensed" w:cs="Barlow Semi Condensed" w:eastAsia="Barlow Semi Condensed" w:hAnsi="Barlow Semi Condensed"/>
          <w:b/>
          <w:bCs/>
          <w:sz w:val="24"/>
          <w:szCs w:val="24"/>
        </w:rPr>
        <w:t xml:space="preserve">4701 · Il perimetro di questo censimento.</w:t>
      </w:r>
      <w:r>
        <w:rPr>
          <w:rFonts w:ascii="Barlow Semi Condensed" w:cs="Barlow Semi Condensed" w:eastAsia="Barlow Semi Condensed" w:hAnsi="Barlow Semi Condensed"/>
          <w:sz w:val="24"/>
          <w:szCs w:val="24"/>
        </w:rPr>
        <w:t xml:space="preserve"> La quarta regola del metodo — dove le fonti divergono, la divergenza si riporta e non si sceglie in silenzio — sta al capitolo III della triangolazione della seconda campagna della Farnesina e al blocco 15 del manuale investigativo. Questa serie percorre il corpus raccogliendo le divergenze che esso stesso dichiara, e pone a ciascuna una sola domanda: vi compare il nome di Henry Kissinger? La risposta attesa, e quasi sempre confermata, è no.</w:t>
      </w:r>
    </w:p>
    <w:p>
      <w:pPr>
        <w:spacing w:after="120" w:line="276"/>
        <w:jc w:val="both"/>
      </w:pPr>
      <w:r>
        <w:rPr>
          <w:rFonts w:ascii="Barlow Semi Condensed" w:cs="Barlow Semi Condensed" w:eastAsia="Barlow Semi Condensed" w:hAnsi="Barlow Semi Condensed"/>
          <w:b/>
          <w:bCs/>
          <w:sz w:val="24"/>
          <w:szCs w:val="24"/>
        </w:rPr>
        <w:t xml:space="preserve">4702 · Dove la regola è scritta.</w:t>
      </w:r>
      <w:r>
        <w:rPr>
          <w:rFonts w:ascii="Barlow Semi Condensed" w:cs="Barlow Semi Condensed" w:eastAsia="Barlow Semi Condensed" w:hAnsi="Barlow Semi Condensed"/>
          <w:sz w:val="24"/>
          <w:szCs w:val="24"/>
        </w:rPr>
        <w:t xml:space="preserve"> Accertamento di grado alto, ottenuto per collazione: la medesima regola ricorre in almeno quattro sedi redatte in tempi diversi e da mani diverse — lo statuto di tribunale-speciale-storia-istituzione, la riga di chiusura di ceppo-simioni-cpm-superclan-hyperion, il blocco 15 del manuale, il capitolo III della seconda campagna. Nessuna delle quattro formulazioni contraddice le altre. È la prova che la disciplina regge quando mani diverse la applicano allo stesso materiale.</w:t>
      </w:r>
    </w:p>
    <w:p>
      <w:pPr>
        <w:spacing w:after="120" w:line="276"/>
        <w:jc w:val="both"/>
      </w:pPr>
      <w:r>
        <w:rPr>
          <w:rFonts w:ascii="Barlow Semi Condensed" w:cs="Barlow Semi Condensed" w:eastAsia="Barlow Semi Condensed" w:hAnsi="Barlow Semi Condensed"/>
          <w:b/>
          <w:bCs/>
          <w:sz w:val="24"/>
          <w:szCs w:val="24"/>
        </w:rPr>
        <w:t xml:space="preserve">4703 · La divergenza non è un dubbio.</w:t>
      </w:r>
      <w:r>
        <w:rPr>
          <w:rFonts w:ascii="Barlow Semi Condensed" w:cs="Barlow Semi Condensed" w:eastAsia="Barlow Semi Condensed" w:hAnsi="Barlow Semi Condensed"/>
          <w:sz w:val="24"/>
          <w:szCs w:val="24"/>
        </w:rPr>
        <w:t xml:space="preserve"> Regola di lettura, valida ovunque. Una divergenza ha due termini documentati e una sede che potrebbe scioglierli; un dubbio non ha termini. Il blocco 65 dell'agenda di ricerca la traduce in strumento: per ogni quesito, la tavola delle risposte convergenti, divergenti e mancanti. Le tre colonne non si mescolano mai. Chi tratta un'assenza come divergenza fabbrica un contraddittorio dove esiste soltanto silenzio.</w:t>
      </w:r>
    </w:p>
    <w:p>
      <w:pPr>
        <w:spacing w:after="120" w:line="276"/>
        <w:jc w:val="both"/>
      </w:pPr>
      <w:r>
        <w:rPr>
          <w:rFonts w:ascii="Barlow Semi Condensed" w:cs="Barlow Semi Condensed" w:eastAsia="Barlow Semi Condensed" w:hAnsi="Barlow Semi Condensed"/>
          <w:b/>
          <w:bCs/>
          <w:sz w:val="24"/>
          <w:szCs w:val="24"/>
        </w:rPr>
        <w:t xml:space="preserve">4704 · Tre esiti, e si dichiarano.</w:t>
      </w:r>
      <w:r>
        <w:rPr>
          <w:rFonts w:ascii="Barlow Semi Condensed" w:cs="Barlow Semi Condensed" w:eastAsia="Barlow Semi Condensed" w:hAnsi="Barlow Semi Condensed"/>
          <w:sz w:val="24"/>
          <w:szCs w:val="24"/>
        </w:rPr>
        <w:t xml:space="preserve"> La seconda campagna della Farnesina mostra i tre esiti possibili in un solo documento. Chiusa: la fine del primo mandato di Moro, fissata al 26 giugno 1972 dal giuramento del successore. Aperta: la data del riconoscimento italiano della Repubblica Democratica Tedesca. Allargata: l'espulsione dei comboniani, portata da «12, 13 o 14 aprile» a «10-14 aprile 1974». Un censimento serio registra anche l'allargamento, che è il terzo esito e il meno confortante.</w:t>
      </w:r>
    </w:p>
    <w:p>
      <w:pPr>
        <w:spacing w:after="120" w:line="276"/>
        <w:jc w:val="both"/>
      </w:pPr>
      <w:r>
        <w:rPr>
          <w:rFonts w:ascii="Barlow Semi Condensed" w:cs="Barlow Semi Condensed" w:eastAsia="Barlow Semi Condensed" w:hAnsi="Barlow Semi Condensed"/>
          <w:b/>
          <w:bCs/>
          <w:sz w:val="24"/>
          <w:szCs w:val="24"/>
        </w:rPr>
        <w:t xml:space="preserve">4705 · Il conteggio della Farnesina.</w:t>
      </w:r>
      <w:r>
        <w:rPr>
          <w:rFonts w:ascii="Barlow Semi Condensed" w:cs="Barlow Semi Condensed" w:eastAsia="Barlow Semi Condensed" w:hAnsi="Barlow Semi Condensed"/>
          <w:sz w:val="24"/>
          <w:szCs w:val="24"/>
        </w:rPr>
        <w:t xml:space="preserve"> La riga di chiusura di triangolazione-seconda-campagna dichiara il proprio conto: otto divergenze lasciate aperte, una chiusa dalla verifica, una aperta dalla verifica, più un'omonimia da non confondere. È l'unico luogo del corpus dove le divergenze siano contate. Il numero è verificabile sulla tavola del capitolo III, che ne elenca esattamente otto. Il censimento parte da lì perché è l'unico dato già quantificato.</w:t>
      </w:r>
    </w:p>
    <w:p>
      <w:pPr>
        <w:spacing w:after="120" w:line="276"/>
        <w:jc w:val="both"/>
      </w:pPr>
      <w:r>
        <w:rPr>
          <w:rFonts w:ascii="Barlow Semi Condensed" w:cs="Barlow Semi Condensed" w:eastAsia="Barlow Semi Condensed" w:hAnsi="Barlow Semi Condensed"/>
          <w:b/>
          <w:bCs/>
          <w:sz w:val="24"/>
          <w:szCs w:val="24"/>
        </w:rPr>
        <w:t xml:space="preserve">4706 · Le otto divergenze e il nome.</w:t>
      </w:r>
      <w:r>
        <w:rPr>
          <w:rFonts w:ascii="Barlow Semi Condensed" w:cs="Barlow Semi Condensed" w:eastAsia="Barlow Semi Condensed" w:hAnsi="Barlow Semi Condensed"/>
          <w:sz w:val="24"/>
          <w:szCs w:val="24"/>
        </w:rPr>
        <w:t xml:space="preserve"> Stato Zero, dichiarato con la sua sede. Nessuna delle otto divergenze aperte della Farnesina nomina Henry Kissinger: riguardano la Libia, la Germania orientale, Wiriyamu, i missionari comboniani, la Cina, il serpente monetario, Reggio Emilia e una paginazione. Ciò che chiuderebbe l'assenza non è una lettura più attenta ma un versamento: l'Archivio storico-diplomatico della Farnesina, serie NATO e atlantico 1969-1974.</w:t>
      </w:r>
    </w:p>
    <w:p>
      <w:pPr>
        <w:spacing w:after="120" w:line="276"/>
        <w:jc w:val="both"/>
      </w:pPr>
      <w:r>
        <w:rPr>
          <w:rFonts w:ascii="Barlow Semi Condensed" w:cs="Barlow Semi Condensed" w:eastAsia="Barlow Semi Condensed" w:hAnsi="Barlow Semi Condensed"/>
          <w:b/>
          <w:bCs/>
          <w:sz w:val="24"/>
          <w:szCs w:val="24"/>
        </w:rPr>
        <w:t xml:space="preserve">4707 · I beni di Libia, tre cifre.</w:t>
      </w:r>
      <w:r>
        <w:rPr>
          <w:rFonts w:ascii="Barlow Semi Condensed" w:cs="Barlow Semi Condensed" w:eastAsia="Barlow Semi Condensed" w:hAnsi="Barlow Semi Condensed"/>
          <w:sz w:val="24"/>
          <w:szCs w:val="24"/>
        </w:rPr>
        <w:t xml:space="preserve"> Quesito d'archivio. Sui beni italiani confiscati in Libia il 21 luglio 1970 il corpus registra tre cifre — duecento miliardi di lire, circa quattrocento, e una rivalutazione in euro dichiarata non omogenea alle prime due. La sede che le riconcilierebbe è duplice: gli atti sugli indennizzi ai rimpatriati e la serie Libia dell'Archivio storico-diplomatico. Il nome triangolato non compare in nessuno dei tre conteggi.</w:t>
      </w:r>
    </w:p>
    <w:p>
      <w:pPr>
        <w:spacing w:after="120" w:line="276"/>
        <w:jc w:val="both"/>
      </w:pPr>
      <w:r>
        <w:rPr>
          <w:rFonts w:ascii="Barlow Semi Condensed" w:cs="Barlow Semi Condensed" w:eastAsia="Barlow Semi Condensed" w:hAnsi="Barlow Semi Condensed"/>
          <w:b/>
          <w:bCs/>
          <w:sz w:val="24"/>
          <w:szCs w:val="24"/>
        </w:rPr>
        <w:t xml:space="preserve">4708 · Diciassette o diciotto gennaio.</w:t>
      </w:r>
      <w:r>
        <w:rPr>
          <w:rFonts w:ascii="Barlow Semi Condensed" w:cs="Barlow Semi Condensed" w:eastAsia="Barlow Semi Condensed" w:hAnsi="Barlow Semi Condensed"/>
          <w:sz w:val="24"/>
          <w:szCs w:val="24"/>
        </w:rPr>
        <w:t xml:space="preserve"> Il riconoscimento italiano della Repubblica Democratica Tedesca è datato 17 gennaio 1973 dalle fonti italiane adottate dal corpus e 18 gennaio da fonte istituzionale tedesca. La divergenza è nuova, prodotta dalla verifica dell'agosto 2026. Alla Farnesina sedeva Giuseppe Medici, non Moro: il blocco 366 della prima campagna lo aveva già collocato fuori dai mandati. Sede di chiusura: il Politisches Archiv des Auswärtigen Amts.</w:t>
      </w:r>
    </w:p>
    <w:p>
      <w:pPr>
        <w:spacing w:after="120" w:line="276"/>
        <w:jc w:val="both"/>
      </w:pPr>
      <w:r>
        <w:rPr>
          <w:rFonts w:ascii="Barlow Semi Condensed" w:cs="Barlow Semi Condensed" w:eastAsia="Barlow Semi Condensed" w:hAnsi="Barlow Semi Condensed"/>
          <w:b/>
          <w:bCs/>
          <w:sz w:val="24"/>
          <w:szCs w:val="24"/>
        </w:rPr>
        <w:t xml:space="preserve">4709 · La forbice di Wiriyamu.</w:t>
      </w:r>
      <w:r>
        <w:rPr>
          <w:rFonts w:ascii="Barlow Semi Condensed" w:cs="Barlow Semi Condensed" w:eastAsia="Barlow Semi Condensed" w:hAnsi="Barlow Semi Condensed"/>
          <w:sz w:val="24"/>
          <w:szCs w:val="24"/>
        </w:rPr>
        <w:t xml:space="preserve"> Le vittime del massacro del 16 dicembre 1972 oscillano fra centocinquanta secondo una stima attribuita alla Croce Rossa, trecento secondo l'inchiesta del settimanale portoghese, trecentottantacinque nominativi accertati e quasi quattrocento nella ricostruzione accademica. La seconda campagna qualifica la forbice come divergenza reale fra fonti, non come incertezza del corpus. È la distinzione che ogni censimento deve fare, e che il blocco 333 aveva già registrato.</w:t>
      </w:r>
    </w:p>
    <w:p>
      <w:pPr>
        <w:spacing w:after="120" w:line="276"/>
        <w:jc w:val="both"/>
      </w:pPr>
      <w:r>
        <w:rPr>
          <w:rFonts w:ascii="Barlow Semi Condensed" w:cs="Barlow Semi Condensed" w:eastAsia="Barlow Semi Condensed" w:hAnsi="Barlow Semi Condensed"/>
          <w:b/>
          <w:bCs/>
          <w:sz w:val="24"/>
          <w:szCs w:val="24"/>
        </w:rPr>
        <w:t xml:space="preserve">4710 · Undici espulsi o tredici.</w:t>
      </w:r>
      <w:r>
        <w:rPr>
          <w:rFonts w:ascii="Barlow Semi Condensed" w:cs="Barlow Semi Condensed" w:eastAsia="Barlow Semi Condensed" w:hAnsi="Barlow Semi Condensed"/>
          <w:sz w:val="24"/>
          <w:szCs w:val="24"/>
        </w:rPr>
        <w:t xml:space="preserve"> Gli espulsi dell'aprile 1974 sono undici nelle schede comboniane e tredici in una ricostruzione storiografica; l'incrocio li riconcilia in undici da Nampula più due da Tete. La data resta contesa fra il 10 e il 14 aprile. La riconciliazione dei numeri e la persistenza della data mostrano che una divergenza può chiudersi a metà. Sede: l'archivio generale dei Missionari Comboniani a Roma.</w:t>
      </w:r>
    </w:p>
    <w:p>
      <w:pPr>
        <w:spacing w:after="120" w:line="276"/>
        <w:jc w:val="both"/>
      </w:pPr>
      <w:r>
        <w:rPr>
          <w:rFonts w:ascii="Barlow Semi Condensed" w:cs="Barlow Semi Condensed" w:eastAsia="Barlow Semi Condensed" w:hAnsi="Barlow Semi Condensed"/>
          <w:b/>
          <w:bCs/>
          <w:sz w:val="24"/>
          <w:szCs w:val="24"/>
        </w:rPr>
        <w:t xml:space="preserve">4711 · Il riconoscimento della Cina.</w:t>
      </w:r>
      <w:r>
        <w:rPr>
          <w:rFonts w:ascii="Barlow Semi Condensed" w:cs="Barlow Semi Condensed" w:eastAsia="Barlow Semi Condensed" w:hAnsi="Barlow Semi Condensed"/>
          <w:sz w:val="24"/>
          <w:szCs w:val="24"/>
        </w:rPr>
        <w:t xml:space="preserve"> Due divergenze minori accompagnano il riconoscimento della Repubblica popolare cinese: comunicato pubblicato il 5 o il 6 novembre 1970, conclusione del negoziato talora retrodatata al 6 ottobre. L'iniziativa fu di Nenni; Moro era titolare al perfezionamento. Nessun documento del corpus collega quella normalizzazione all'apertura statunitense verso Pechino: un ponte di piano 1 richiederebbe un atto che nomini entrambe le sponde, e non è stato reperito.</w:t>
      </w:r>
    </w:p>
    <w:p>
      <w:pPr>
        <w:spacing w:after="120" w:line="276"/>
        <w:jc w:val="both"/>
      </w:pPr>
      <w:r>
        <w:rPr>
          <w:rFonts w:ascii="Barlow Semi Condensed" w:cs="Barlow Semi Condensed" w:eastAsia="Barlow Semi Condensed" w:hAnsi="Barlow Semi Condensed"/>
          <w:b/>
          <w:bCs/>
          <w:sz w:val="24"/>
          <w:szCs w:val="24"/>
        </w:rPr>
        <w:t xml:space="preserve">4712 · Basilea, dieci o ventiquattro aprile.</w:t>
      </w:r>
      <w:r>
        <w:rPr>
          <w:rFonts w:ascii="Barlow Semi Condensed" w:cs="Barlow Semi Condensed" w:eastAsia="Barlow Semi Condensed" w:hAnsi="Barlow Semi Condensed"/>
          <w:sz w:val="24"/>
          <w:szCs w:val="24"/>
        </w:rPr>
        <w:t xml:space="preserve"> Sul serpente monetario il corpus registra i primi provvedimenti al 21 marzo 1972 e l'accordo di Basilea al 10 oppure al 24 aprile 1972, mentre l'uscita della lira il 13 febbraio 1973 è concorde. La sede che chiuderebbe la divergenza è l'archivio della Banca dei Regolamenti Internazionali. Il nome triangolato non figura nel dossier monetario del corpus: esito negativo, dichiarato.</w:t>
      </w:r>
    </w:p>
    <w:p>
      <w:pPr>
        <w:spacing w:after="120" w:line="276"/>
        <w:jc w:val="both"/>
      </w:pPr>
      <w:r>
        <w:rPr>
          <w:rFonts w:ascii="Barlow Semi Condensed" w:cs="Barlow Semi Condensed" w:eastAsia="Barlow Semi Condensed" w:hAnsi="Barlow Semi Condensed"/>
          <w:b/>
          <w:bCs/>
          <w:sz w:val="24"/>
          <w:szCs w:val="24"/>
        </w:rPr>
        <w:t xml:space="preserve">4713 · Reggio Emilia, due calendari.</w:t>
      </w:r>
      <w:r>
        <w:rPr>
          <w:rFonts w:ascii="Barlow Semi Condensed" w:cs="Barlow Semi Condensed" w:eastAsia="Barlow Semi Condensed" w:hAnsi="Barlow Semi Condensed"/>
          <w:sz w:val="24"/>
          <w:szCs w:val="24"/>
        </w:rPr>
        <w:t xml:space="preserve"> La conferenza di solidarietà del 1973 è datata 23-26 marzo dall'inventario dell'istituto regionale e 24-25 marzo dal Fondo Zagari. Due strumenti archivistici, due calendari: la divergenza si chiude sui documenti della conferenza, non sugli inventari che li descrivono. Regola generale che il censimento estrae da qui: l'inventario è una fonte sul documento, non il documento, e non decide contro di esso.</w:t>
      </w:r>
    </w:p>
    <w:p>
      <w:pPr>
        <w:spacing w:after="120" w:line="276"/>
        <w:jc w:val="both"/>
      </w:pPr>
      <w:r>
        <w:rPr>
          <w:rFonts w:ascii="Barlow Semi Condensed" w:cs="Barlow Semi Condensed" w:eastAsia="Barlow Semi Condensed" w:hAnsi="Barlow Semi Condensed"/>
          <w:b/>
          <w:bCs/>
          <w:sz w:val="24"/>
          <w:szCs w:val="24"/>
        </w:rPr>
        <w:t xml:space="preserve">4714 · Due pagine di scarto.</w:t>
      </w:r>
      <w:r>
        <w:rPr>
          <w:rFonts w:ascii="Barlow Semi Condensed" w:cs="Barlow Semi Condensed" w:eastAsia="Barlow Semi Condensed" w:hAnsi="Barlow Semi Condensed"/>
          <w:sz w:val="24"/>
          <w:szCs w:val="24"/>
        </w:rPr>
        <w:t xml:space="preserve"> La divergenza più piccola del corpus è di due pagine: il saggio di Guido Levi citato alle pagine 69-101 in un luogo e 69-102 in un altro, con la stessa citazione testuale e la stessa fonte. Si chiude sul fascicolo originale della rivista. Il censimento la registra perché una disciplina che salta le divergenze minime non è credibile su quelle grandi.</w:t>
      </w:r>
    </w:p>
    <w:p>
      <w:pPr>
        <w:spacing w:after="120" w:line="276"/>
        <w:jc w:val="both"/>
      </w:pPr>
      <w:r>
        <w:rPr>
          <w:rFonts w:ascii="Barlow Semi Condensed" w:cs="Barlow Semi Condensed" w:eastAsia="Barlow Semi Condensed" w:hAnsi="Barlow Semi Condensed"/>
          <w:b/>
          <w:bCs/>
          <w:sz w:val="24"/>
          <w:szCs w:val="24"/>
        </w:rPr>
        <w:t xml:space="preserve">4715 · L'omonimia non è divergenza.</w:t>
      </w:r>
      <w:r>
        <w:rPr>
          <w:rFonts w:ascii="Barlow Semi Condensed" w:cs="Barlow Semi Condensed" w:eastAsia="Barlow Semi Condensed" w:hAnsi="Barlow Semi Condensed"/>
          <w:sz w:val="24"/>
          <w:szCs w:val="24"/>
        </w:rPr>
        <w:t xml:space="preserve"> Prima di dichiarare un contrasto si verifica l'identità del soggetto. Il capitolo III della seconda campagna avverte che Jorge Jardim, incaricato dell'inchiesta portoghese su Wiriyamu, e Jorge Jardim Gonçalves sono persone distinte; il nodo E-3 della triangolazione guevariana aveva già sciolto una confusione della stessa specie fra Alejandro e Arnaldo Orfila. Due nomi uguali non sono un contrasto fra fonti.</w:t>
      </w:r>
    </w:p>
    <w:p>
      <w:pPr>
        <w:spacing w:after="120" w:line="276"/>
        <w:jc w:val="both"/>
      </w:pPr>
      <w:r>
        <w:rPr>
          <w:rFonts w:ascii="Barlow Semi Condensed" w:cs="Barlow Semi Condensed" w:eastAsia="Barlow Semi Condensed" w:hAnsi="Barlow Semi Condensed"/>
          <w:b/>
          <w:bCs/>
          <w:sz w:val="24"/>
          <w:szCs w:val="24"/>
        </w:rPr>
        <w:t xml:space="preserve">4716 · Come una divergenza si chiude.</w:t>
      </w:r>
      <w:r>
        <w:rPr>
          <w:rFonts w:ascii="Barlow Semi Condensed" w:cs="Barlow Semi Condensed" w:eastAsia="Barlow Semi Condensed" w:hAnsi="Barlow Semi Condensed"/>
          <w:sz w:val="24"/>
          <w:szCs w:val="24"/>
        </w:rPr>
        <w:t xml:space="preserve"> La fine del primo mandato di Moro si è chiusa non per preferenza ma per un fatto istituzionale: il primo governo Andreotti cessa il 26 giugno 1972 col giuramento del secondo, e la Farnesina passa a Giuseppe Medici. Il successore in carica esclude la prosecuzione al 29 luglio. Una divergenza si chiude quando un termine diventa impossibile, non quando diventa improbabile.</w:t>
      </w:r>
    </w:p>
    <w:p>
      <w:pPr>
        <w:spacing w:after="120" w:line="276"/>
        <w:jc w:val="both"/>
      </w:pPr>
      <w:r>
        <w:rPr>
          <w:rFonts w:ascii="Barlow Semi Condensed" w:cs="Barlow Semi Condensed" w:eastAsia="Barlow Semi Condensed" w:hAnsi="Barlow Semi Condensed"/>
          <w:b/>
          <w:bCs/>
          <w:sz w:val="24"/>
          <w:szCs w:val="24"/>
        </w:rPr>
        <w:t xml:space="preserve">4717 · La data di Düsseldorf.</w:t>
      </w:r>
      <w:r>
        <w:rPr>
          <w:rFonts w:ascii="Barlow Semi Condensed" w:cs="Barlow Semi Condensed" w:eastAsia="Barlow Semi Condensed" w:hAnsi="Barlow Semi Condensed"/>
          <w:sz w:val="24"/>
          <w:szCs w:val="24"/>
        </w:rPr>
        <w:t xml:space="preserve"> La data dell'uccisione del militante della RAF Willy Peter Stoll era indicata all'11 settembre 1978 e la verifica l'ha portata al 6 settembre. È il caso in cui i documenti nuovi correggono la premessa e la divergenza si dichiara risolta. Il censimento distingue le divergenze risolte dalle aperte: le prime producono un fatto, le seconde producono una sede. Nessuna delle due produce un nesso.</w:t>
      </w:r>
    </w:p>
    <w:p>
      <w:pPr>
        <w:spacing w:after="120" w:line="276"/>
        <w:jc w:val="both"/>
      </w:pPr>
      <w:r>
        <w:rPr>
          <w:rFonts w:ascii="Barlow Semi Condensed" w:cs="Barlow Semi Condensed" w:eastAsia="Barlow Semi Condensed" w:hAnsi="Barlow Semi Condensed"/>
          <w:b/>
          <w:bCs/>
          <w:sz w:val="24"/>
          <w:szCs w:val="24"/>
        </w:rPr>
        <w:t xml:space="preserve">4718 · Lo Stato Zero chiuso incrociando.</w:t>
      </w:r>
      <w:r>
        <w:rPr>
          <w:rFonts w:ascii="Barlow Semi Condensed" w:cs="Barlow Semi Condensed" w:eastAsia="Barlow Semi Condensed" w:hAnsi="Barlow Semi Condensed"/>
          <w:sz w:val="24"/>
          <w:szCs w:val="24"/>
        </w:rPr>
        <w:t xml:space="preserve"> Lo Stato Zero sull'ingresso delle due Germanie all'ONU, dichiarato da una ricognizione, è stato chiuso dall'altra al 18 settembre 1973 su documentazione ufficiale tedesca. La seconda campagna lo definisce il caso esemplare di che cosa serva incrociare i documenti prima di archiviarli. Vale come regola operativa per questa serie: un vuoto dichiarato va confrontato con gli altri documenti prima di essere verbalizzato.</w:t>
      </w:r>
    </w:p>
    <w:p>
      <w:pPr>
        <w:spacing w:after="120" w:line="276"/>
        <w:jc w:val="both"/>
      </w:pPr>
      <w:r>
        <w:rPr>
          <w:rFonts w:ascii="Barlow Semi Condensed" w:cs="Barlow Semi Condensed" w:eastAsia="Barlow Semi Condensed" w:hAnsi="Barlow Semi Condensed"/>
          <w:b/>
          <w:bCs/>
          <w:sz w:val="24"/>
          <w:szCs w:val="24"/>
        </w:rPr>
        <w:t xml:space="preserve">4719 · Due calendari, due protagonisti.</w:t>
      </w:r>
      <w:r>
        <w:rPr>
          <w:rFonts w:ascii="Barlow Semi Condensed" w:cs="Barlow Semi Condensed" w:eastAsia="Barlow Semi Condensed" w:hAnsi="Barlow Semi Condensed"/>
          <w:sz w:val="24"/>
          <w:szCs w:val="24"/>
        </w:rPr>
        <w:t xml:space="preserve"> Il corpus porta due divergenze simmetriche sui calendari dei protagonisti. Per Moro, il blocco 317 registra 5 o 6 agosto 1969, 7 o 8 luglio 1973, 23 o 26 novembre 1974. Per il nome triangolato, l'apparato K-2 registra il 22 contro il 23 settembre 1973. In entrambi i casi la regola è identica: prevale la fonte istituzionale, e la divergenza resta annotata accanto alla scelta.</w:t>
      </w:r>
    </w:p>
    <w:p>
      <w:pPr>
        <w:spacing w:after="120" w:line="276"/>
        <w:jc w:val="both"/>
      </w:pPr>
      <w:r>
        <w:rPr>
          <w:rFonts w:ascii="Barlow Semi Condensed" w:cs="Barlow Semi Condensed" w:eastAsia="Barlow Semi Condensed" w:hAnsi="Barlow Semi Condensed"/>
          <w:b/>
          <w:bCs/>
          <w:sz w:val="24"/>
          <w:szCs w:val="24"/>
        </w:rPr>
        <w:t xml:space="preserve">4720 · Cinquemilaseicentodiciannove o cinquemilaseicentoventi.</w:t>
      </w:r>
      <w:r>
        <w:rPr>
          <w:rFonts w:ascii="Barlow Semi Condensed" w:cs="Barlow Semi Condensed" w:eastAsia="Barlow Semi Condensed" w:hAnsi="Barlow Semi Condensed"/>
          <w:sz w:val="24"/>
          <w:szCs w:val="24"/>
        </w:rPr>
        <w:t xml:space="preserve"> I giudicati del Tribunale Speciale sono 5.619 o 5.620: le fonti oscillano di un'unità e lo studio dell'istituzione lo dichiara in tavola. La sede che chiuderebbe l'oscillazione è il fondo Tribunale Speciale presso l'Archivio Centrale dello Stato. Nessuna triangolazione col nome è possibile: il dominio D4 non tocca l'epoca, come triangolazione-condannati-corpus dichiara fra i propri esiti negativi.</w:t>
      </w:r>
    </w:p>
    <w:p>
      <w:pPr>
        <w:spacing w:after="120" w:line="276"/>
        <w:jc w:val="both"/>
      </w:pPr>
      <w:r>
        <w:rPr>
          <w:rFonts w:ascii="Barlow Semi Condensed" w:cs="Barlow Semi Condensed" w:eastAsia="Barlow Semi Condensed" w:hAnsi="Barlow Semi Condensed"/>
          <w:b/>
          <w:bCs/>
          <w:sz w:val="24"/>
          <w:szCs w:val="24"/>
        </w:rPr>
        <w:t xml:space="preserve">4721 · Quando si rinuncia al numero.</w:t>
      </w:r>
      <w:r>
        <w:rPr>
          <w:rFonts w:ascii="Barlow Semi Condensed" w:cs="Barlow Semi Condensed" w:eastAsia="Barlow Semi Condensed" w:hAnsi="Barlow Semi Condensed"/>
          <w:sz w:val="24"/>
          <w:szCs w:val="24"/>
        </w:rPr>
        <w:t xml:space="preserve"> Quando le fonti divergono e nessuna prevale, il corpus rinuncia al numero e scrive qualitativamente: la quota di fucilati appartenenti alle minoranze slave è data come «parte cospicua», coi due processi di Trieste documentati. La rinuncia è essa stessa un'acquisizione. La stessa disciplina governa il conteggio delle riprese sull'avvertimento del 1974, dove l'apparato K-4 ha accertato che la moltiplicazione è apparente.</w:t>
      </w:r>
    </w:p>
    <w:p>
      <w:pPr>
        <w:spacing w:after="120" w:line="276"/>
        <w:jc w:val="both"/>
      </w:pPr>
      <w:r>
        <w:rPr>
          <w:rFonts w:ascii="Barlow Semi Condensed" w:cs="Barlow Semi Condensed" w:eastAsia="Barlow Semi Condensed" w:hAnsi="Barlow Semi Condensed"/>
          <w:b/>
          <w:bCs/>
          <w:sz w:val="24"/>
          <w:szCs w:val="24"/>
        </w:rPr>
        <w:t xml:space="preserve">4722 · La frase e il suo rango.</w:t>
      </w:r>
      <w:r>
        <w:rPr>
          <w:rFonts w:ascii="Barlow Semi Condensed" w:cs="Barlow Semi Condensed" w:eastAsia="Barlow Semi Condensed" w:hAnsi="Barlow Semi Condensed"/>
          <w:sz w:val="24"/>
          <w:szCs w:val="24"/>
        </w:rPr>
        <w:t xml:space="preserve"> La frase attribuita al pubblico ministero del «processone» è citata come tradizione memorialistica e non come atto processuale: lo studio dell'istituzione lo dichiara nel testo e nelle fonti. È divergenza di statuto, non di contenuto. La stessa distinzione vale per la smentita raccolta da un solo giornalista poco prima della morte: testimonianza giornalistica, non comunicato. Si registra il rango, non soltanto il contenuto.</w:t>
      </w:r>
    </w:p>
    <w:p>
      <w:pPr>
        <w:spacing w:after="120" w:line="276"/>
        <w:jc w:val="both"/>
      </w:pPr>
      <w:r>
        <w:rPr>
          <w:rFonts w:ascii="Barlow Semi Condensed" w:cs="Barlow Semi Condensed" w:eastAsia="Barlow Semi Condensed" w:hAnsi="Barlow Semi Condensed"/>
          <w:b/>
          <w:bCs/>
          <w:sz w:val="24"/>
          <w:szCs w:val="24"/>
        </w:rPr>
        <w:t xml:space="preserve">4723 · La divergenza che si dissolve.</w:t>
      </w:r>
      <w:r>
        <w:rPr>
          <w:rFonts w:ascii="Barlow Semi Condensed" w:cs="Barlow Semi Condensed" w:eastAsia="Barlow Semi Condensed" w:hAnsi="Barlow Semi Condensed"/>
          <w:sz w:val="24"/>
          <w:szCs w:val="24"/>
        </w:rPr>
        <w:t xml:space="preserve"> Il nodo F-16 mostra una divergenza che si dissolve invece di sciogliersi: le fonti discordi sulla morte di Feltrinelli — 14 o 15 marzo 1972 — parlavano di due momenti distinti, la morte al traliccio e il ritrovamento del corpo il pomeriggio successivo. Prima di dichiarare un contrasto si verifica che i due termini abbiano lo stesso oggetto: applicata all'incontro ufficiale e al colloquio a margine, la verifica evita un errore identico.</w:t>
      </w:r>
    </w:p>
    <w:p>
      <w:pPr>
        <w:spacing w:after="120" w:line="276"/>
        <w:jc w:val="both"/>
      </w:pPr>
      <w:r>
        <w:rPr>
          <w:rFonts w:ascii="Barlow Semi Condensed" w:cs="Barlow Semi Condensed" w:eastAsia="Barlow Semi Condensed" w:hAnsi="Barlow Semi Condensed"/>
          <w:b/>
          <w:bCs/>
          <w:sz w:val="24"/>
          <w:szCs w:val="24"/>
        </w:rPr>
        <w:t xml:space="preserve">4724 · Accertamento contro sospetto.</w:t>
      </w:r>
      <w:r>
        <w:rPr>
          <w:rFonts w:ascii="Barlow Semi Condensed" w:cs="Barlow Semi Condensed" w:eastAsia="Barlow Semi Condensed" w:hAnsi="Barlow Semi Condensed"/>
          <w:sz w:val="24"/>
          <w:szCs w:val="24"/>
        </w:rPr>
        <w:t xml:space="preserve"> Due statuti, non due fonti: la ricostruzione accolta in giudizio nel 1979 e riscontrata sui nastri di Robbiano di Mediglia, e la tesi dell'omicidio di Stato, che resta congettura. L'anti-triangolazione AT-2 vieta di pesarle allo stesso modo. Il censimento le tiene in colonne diverse, perché una divergenza fra un accertamento e un sospetto non è una divergenza fra fonti.</w:t>
      </w:r>
    </w:p>
    <w:p>
      <w:pPr>
        <w:spacing w:after="120" w:line="276"/>
        <w:jc w:val="both"/>
      </w:pPr>
      <w:r>
        <w:rPr>
          <w:rFonts w:ascii="Barlow Semi Condensed" w:cs="Barlow Semi Condensed" w:eastAsia="Barlow Semi Condensed" w:hAnsi="Barlow Semi Condensed"/>
          <w:b/>
          <w:bCs/>
          <w:sz w:val="24"/>
          <w:szCs w:val="24"/>
        </w:rPr>
        <w:t xml:space="preserve">4725 · Il timer e la smentita.</w:t>
      </w:r>
      <w:r>
        <w:rPr>
          <w:rFonts w:ascii="Barlow Semi Condensed" w:cs="Barlow Semi Condensed" w:eastAsia="Barlow Semi Condensed" w:hAnsi="Barlow Semi Condensed"/>
          <w:sz w:val="24"/>
          <w:szCs w:val="24"/>
        </w:rPr>
        <w:t xml:space="preserve"> Una congettura memorialistica contraddetta su un punto qualificante da testimonianza diretta: il nodo FH-8 registra che il tecnico dei GAP che fornì l'esplosivo smentì l'affermazione sui timer manipolati. È il modello della divergenza che si chiude contro la memoria e a favore del testimone materiale. Nessuno degli otto nodi d'incrocio fra i fronti Feltrinelli e Hyperion nomina il triangolato: esito negativo dichiarato.</w:t>
      </w:r>
    </w:p>
    <w:p>
      <w:pPr>
        <w:spacing w:after="120" w:line="276"/>
        <w:jc w:val="both"/>
      </w:pPr>
      <w:r>
        <w:rPr>
          <w:rFonts w:ascii="Barlow Semi Condensed" w:cs="Barlow Semi Condensed" w:eastAsia="Barlow Semi Condensed" w:hAnsi="Barlow Semi Condensed"/>
          <w:b/>
          <w:bCs/>
          <w:sz w:val="24"/>
          <w:szCs w:val="24"/>
        </w:rPr>
        <w:t xml:space="preserve">4726 · La scuola di Parigi, 1976 o 1977.</w:t>
      </w:r>
      <w:r>
        <w:rPr>
          <w:rFonts w:ascii="Barlow Semi Condensed" w:cs="Barlow Semi Condensed" w:eastAsia="Barlow Semi Condensed" w:hAnsi="Barlow Semi Condensed"/>
          <w:sz w:val="24"/>
          <w:szCs w:val="24"/>
        </w:rPr>
        <w:t xml:space="preserve"> Divergenza interna al corpus, verbalizzata qui per la prima volta. Lo studio del ceppo Simioni dichiara che le fonti oscillano fra 1976 e 1977 sulla fondazione di Hyperion e non risolve; il nodo HY-3 e l'anti-triangolazione ATI-1 fissano invece il 1976, e su quel 1976 poggia l'esclusione di ogni rapporto con Feltrinelli. Sede di chiusura: il registro delle associazioni della prefettura di polizia di Parigi.</w:t>
      </w:r>
    </w:p>
    <w:p>
      <w:pPr>
        <w:spacing w:after="120" w:line="276"/>
        <w:jc w:val="both"/>
      </w:pPr>
      <w:r>
        <w:rPr>
          <w:rFonts w:ascii="Barlow Semi Condensed" w:cs="Barlow Semi Condensed" w:eastAsia="Barlow Semi Condensed" w:hAnsi="Barlow Semi Condensed"/>
          <w:b/>
          <w:bCs/>
          <w:sz w:val="24"/>
          <w:szCs w:val="24"/>
        </w:rPr>
        <w:t xml:space="preserve">4727 · Due tesi non si sommano.</w:t>
      </w:r>
      <w:r>
        <w:rPr>
          <w:rFonts w:ascii="Barlow Semi Condensed" w:cs="Barlow Semi Condensed" w:eastAsia="Barlow Semi Condensed" w:hAnsi="Barlow Semi Condensed"/>
          <w:sz w:val="24"/>
          <w:szCs w:val="24"/>
        </w:rPr>
        <w:t xml:space="preserve"> L'anti-triangolazione ATH-2 enuncia il presidio più utile dell'intero censimento: «centrale del terrorismo» e «centrale d'intelligence» sono congetture alternative e non si sommano; il doppio sospetto non è un grado intermedio. Trasferita al nome triangolato: la versione che afferma l'avvertimento e quella che lo nega non si compongono in un generico «qualcosa fu detto». Sommarle commette due volte l'errore di promozione.</w:t>
      </w:r>
    </w:p>
    <w:p>
      <w:pPr>
        <w:spacing w:after="120" w:line="276"/>
        <w:jc w:val="both"/>
      </w:pPr>
      <w:r>
        <w:rPr>
          <w:rFonts w:ascii="Barlow Semi Condensed" w:cs="Barlow Semi Condensed" w:eastAsia="Barlow Semi Condensed" w:hAnsi="Barlow Semi Condensed"/>
          <w:b/>
          <w:bCs/>
          <w:sz w:val="24"/>
          <w:szCs w:val="24"/>
        </w:rPr>
        <w:t xml:space="preserve">4728 · L'impiego, la voce, il grado.</w:t>
      </w:r>
      <w:r>
        <w:rPr>
          <w:rFonts w:ascii="Barlow Semi Condensed" w:cs="Barlow Semi Condensed" w:eastAsia="Barlow Semi Condensed" w:hAnsi="Barlow Semi Condensed"/>
          <w:sz w:val="24"/>
          <w:szCs w:val="24"/>
        </w:rPr>
        <w:t xml:space="preserve"> Nella biografia di Simioni il corpus separa tre livelli sullo stesso soggetto: l'impiego all'USIS è fatto biografico, la voce su Radio Free Europe è riferita e non accertata, la lettura di entrambi come appartenenza ai servizi è congettura e comunque inerte. È una divergenza di grado dentro un'unica riga. La stessa scomposizione va applicata a ogni affermazione terziaria che circola sul nome triangolato.</w:t>
      </w:r>
    </w:p>
    <w:p>
      <w:pPr>
        <w:spacing w:after="120" w:line="276"/>
        <w:jc w:val="both"/>
      </w:pPr>
      <w:r>
        <w:rPr>
          <w:rFonts w:ascii="Barlow Semi Condensed" w:cs="Barlow Semi Condensed" w:eastAsia="Barlow Semi Condensed" w:hAnsi="Barlow Semi Condensed"/>
          <w:b/>
          <w:bCs/>
          <w:sz w:val="24"/>
          <w:szCs w:val="24"/>
        </w:rPr>
        <w:t xml:space="preserve">4729 · Novantuno bossoli, tre perizie.</w:t>
      </w:r>
      <w:r>
        <w:rPr>
          <w:rFonts w:ascii="Barlow Semi Condensed" w:cs="Barlow Semi Condensed" w:eastAsia="Barlow Semi Condensed" w:hAnsi="Barlow Semi Condensed"/>
          <w:sz w:val="24"/>
          <w:szCs w:val="24"/>
        </w:rPr>
        <w:t xml:space="preserve"> La divergenza tecnica meglio documentata del corpus riguarda i novantuno bossoli di via Fani: la perizia storica attribuisce quarantanove colpi a un'unica arma, la perizia Salza-Benedetti degli anni Novanta non conferma, quella del 2015 riconferma. La scheda PN-1 la porta in testa alla graduatoria operativa con 89,0. Il nome triangolato non compare in alcuna delle tre perizie: la sede è la catena di custodia dei reperti.</w:t>
      </w:r>
    </w:p>
    <w:p>
      <w:pPr>
        <w:spacing w:after="120" w:line="276"/>
        <w:jc w:val="both"/>
      </w:pPr>
      <w:r>
        <w:rPr>
          <w:rFonts w:ascii="Barlow Semi Condensed" w:cs="Barlow Semi Condensed" w:eastAsia="Barlow Semi Condensed" w:hAnsi="Barlow Semi Condensed"/>
          <w:b/>
          <w:bCs/>
          <w:sz w:val="24"/>
          <w:szCs w:val="24"/>
        </w:rPr>
        <w:t xml:space="preserve">4730 · Il parabrezza dell'ingegner Marini.</w:t>
      </w:r>
      <w:r>
        <w:rPr>
          <w:rFonts w:ascii="Barlow Semi Condensed" w:cs="Barlow Semi Condensed" w:eastAsia="Barlow Semi Condensed" w:hAnsi="Barlow Semi Condensed"/>
          <w:sz w:val="24"/>
          <w:szCs w:val="24"/>
        </w:rPr>
        <w:t xml:space="preserve"> La Nota di revisione n. 1 è il punto in cui il corpus corregge se stesso: il teste ammise ai consulenti della Commissione Moro 2 che il parabrezza infranto dai colpi non corrispondeva al vero, e la riga E2 della matrice ACH scende da diagnostica a controversa. L'apparato K-4, con la quinta precisazione sulla smentita, compie sul nome triangolato il medesimo gesto.</w:t>
      </w:r>
    </w:p>
    <w:p>
      <w:pPr>
        <w:spacing w:after="120" w:line="276"/>
        <w:jc w:val="both"/>
      </w:pPr>
      <w:r>
        <w:rPr>
          <w:rFonts w:ascii="Barlow Semi Condensed" w:cs="Barlow Semi Condensed" w:eastAsia="Barlow Semi Condensed" w:hAnsi="Barlow Semi Condensed"/>
          <w:b/>
          <w:bCs/>
          <w:sz w:val="24"/>
          <w:szCs w:val="24"/>
        </w:rPr>
        <w:t xml:space="preserve">4731 · Due gradi non fanno divergenza.</w:t>
      </w:r>
      <w:r>
        <w:rPr>
          <w:rFonts w:ascii="Barlow Semi Condensed" w:cs="Barlow Semi Condensed" w:eastAsia="Barlow Semi Condensed" w:hAnsi="Barlow Semi Condensed"/>
          <w:sz w:val="24"/>
          <w:szCs w:val="24"/>
        </w:rPr>
        <w:t xml:space="preserve"> Due motociclette e quattro «centauri» sono acquisizione parlamentare di grado B; il commando accertato è giudicato di grado A. Il capitolo cinquantottesimo della Fase settima avverte che qui non c'è contrasto fra fonti ma dislivello fra strati di accertamento. Regola: due gradi diversi sullo stesso oggetto non costituiscono una divergenza, e non vanno registrati nella medesima colonna del censimento.</w:t>
      </w:r>
    </w:p>
    <w:p>
      <w:pPr>
        <w:spacing w:after="120" w:line="276"/>
        <w:jc w:val="both"/>
      </w:pPr>
      <w:r>
        <w:rPr>
          <w:rFonts w:ascii="Barlow Semi Condensed" w:cs="Barlow Semi Condensed" w:eastAsia="Barlow Semi Condensed" w:hAnsi="Barlow Semi Condensed"/>
          <w:b/>
          <w:bCs/>
          <w:sz w:val="24"/>
          <w:szCs w:val="24"/>
        </w:rPr>
        <w:t xml:space="preserve">4732 · La sospensione e la sua asimmetria.</w:t>
      </w:r>
      <w:r>
        <w:rPr>
          <w:rFonts w:ascii="Barlow Semi Condensed" w:cs="Barlow Semi Condensed" w:eastAsia="Barlow Semi Condensed" w:hAnsi="Barlow Semi Condensed"/>
          <w:sz w:val="24"/>
          <w:szCs w:val="24"/>
        </w:rPr>
        <w:t xml:space="preserve"> Via Gradoli e la seduta spiritica offrono il modello canonico della sospensione: due letture entrambe di livello C, e l'opera non sceglie; la Fase settima certifica che la Commissione Moro 2 non ha sciolto il nodo. Sull'avvertimento del 1974 la simmetria manca, perché uno dei due termini è la smentita dell'interessato. L'asimmetria si riporta, e non autorizza a preferire l'altro termine.</w:t>
      </w:r>
    </w:p>
    <w:p>
      <w:pPr>
        <w:spacing w:after="120" w:line="276"/>
        <w:jc w:val="both"/>
      </w:pPr>
      <w:r>
        <w:rPr>
          <w:rFonts w:ascii="Barlow Semi Condensed" w:cs="Barlow Semi Condensed" w:eastAsia="Barlow Semi Condensed" w:hAnsi="Barlow Semi Condensed"/>
          <w:b/>
          <w:bCs/>
          <w:sz w:val="24"/>
          <w:szCs w:val="24"/>
        </w:rPr>
        <w:t xml:space="preserve">4733 · Un accertamento contro una possibilità.</w:t>
      </w:r>
      <w:r>
        <w:rPr>
          <w:rFonts w:ascii="Barlow Semi Condensed" w:cs="Barlow Semi Condensed" w:eastAsia="Barlow Semi Condensed" w:hAnsi="Barlow Semi Condensed"/>
          <w:sz w:val="24"/>
          <w:szCs w:val="24"/>
        </w:rPr>
        <w:t xml:space="preserve"> La prigione di via Montalcini è identificazione documentata; l'ipotesi di prigioni ulteriori resta di livello C, alimentata da dettagli ambientali delle lettere. La Parte terza avverte che un dettaglio può sempre essere fatto tornare con una prigione alternativa. Il censimento la classifica come divergenza asimmetrica: un accertamento contro una possibilità. Sede che la chiuderebbe: il fascicolo tuttora aperto presso la procura di Roma.</w:t>
      </w:r>
    </w:p>
    <w:p>
      <w:pPr>
        <w:spacing w:after="120" w:line="276"/>
        <w:jc w:val="both"/>
      </w:pPr>
      <w:r>
        <w:rPr>
          <w:rFonts w:ascii="Barlow Semi Condensed" w:cs="Barlow Semi Condensed" w:eastAsia="Barlow Semi Condensed" w:hAnsi="Barlow Semi Condensed"/>
          <w:b/>
          <w:bCs/>
          <w:sz w:val="24"/>
          <w:szCs w:val="24"/>
        </w:rPr>
        <w:t xml:space="preserve">4734 · I conteggi del memoriale.</w:t>
      </w:r>
      <w:r>
        <w:rPr>
          <w:rFonts w:ascii="Barlow Semi Condensed" w:cs="Barlow Semi Condensed" w:eastAsia="Barlow Semi Condensed" w:hAnsi="Barlow Semi Condensed"/>
          <w:sz w:val="24"/>
          <w:szCs w:val="24"/>
        </w:rPr>
        <w:t xml:space="preserve"> Lo statuto della parte filologica dei nove cantieri dichiara che i conteggi interni dei fogli del memoriale divergono fra le fonti e ne fa un bersaglio: quattrocentoventuno fogli in fotocopia il 9 ottobre 1990, di cui una porzione manoscritta variamente computata. La sede è l'edizione critica presentata all'Archivio di Stato di Roma, richiamata al blocco 470. Nessuna delle versioni nomina il triangolato.</w:t>
      </w:r>
    </w:p>
    <w:p>
      <w:pPr>
        <w:spacing w:after="120" w:line="276"/>
        <w:jc w:val="both"/>
      </w:pPr>
      <w:r>
        <w:rPr>
          <w:rFonts w:ascii="Barlow Semi Condensed" w:cs="Barlow Semi Condensed" w:eastAsia="Barlow Semi Condensed" w:hAnsi="Barlow Semi Condensed"/>
          <w:b/>
          <w:bCs/>
          <w:sz w:val="24"/>
          <w:szCs w:val="24"/>
        </w:rPr>
        <w:t xml:space="preserve">4735 · La perizia difforme del 1993.</w:t>
      </w:r>
      <w:r>
        <w:rPr>
          <w:rFonts w:ascii="Barlow Semi Condensed" w:cs="Barlow Semi Condensed" w:eastAsia="Barlow Semi Condensed" w:hAnsi="Barlow Semi Condensed"/>
          <w:sz w:val="24"/>
          <w:szCs w:val="24"/>
        </w:rPr>
        <w:t xml:space="preserve"> Il blocco 364 dei cantieri chiede se il contrasto fra la perizia del 1993 e le altre nasca da quesiti diversi, strumenti diversi o letture diverse degli stessi segni. È la domanda giusta da porre a ogni divergenza peritale, e vale anche fuori dalla grafologia: prima di scegliere fra due esiti si confrontano i mandati che li hanno prodotti. Nessun perito del caso ebbe mai un quesito sul nome triangolato.</w:t>
      </w:r>
    </w:p>
    <w:p>
      <w:pPr>
        <w:spacing w:after="120" w:line="276"/>
        <w:jc w:val="both"/>
      </w:pPr>
      <w:r>
        <w:rPr>
          <w:rFonts w:ascii="Barlow Semi Condensed" w:cs="Barlow Semi Condensed" w:eastAsia="Barlow Semi Condensed" w:hAnsi="Barlow Semi Condensed"/>
          <w:b/>
          <w:bCs/>
          <w:sz w:val="24"/>
          <w:szCs w:val="24"/>
        </w:rPr>
        <w:t xml:space="preserve">4736 · La testina del borsello.</w:t>
      </w:r>
      <w:r>
        <w:rPr>
          <w:rFonts w:ascii="Barlow Semi Condensed" w:cs="Barlow Semi Condensed" w:eastAsia="Barlow Semi Condensed" w:hAnsi="Barlow Semi Condensed"/>
          <w:sz w:val="24"/>
          <w:szCs w:val="24"/>
        </w:rPr>
        <w:t xml:space="preserve"> La divergenza fra le fonti sulla testina IBM del borsello Chichiarelli — compatibile o no coi falsi — è registrata al blocco 521 e rinviata alla perizia moderna prevista dal blocco 435. È divergenza tecnica pura, chiudibile in laboratorio. Il dossier Chichiarelli non contiene il nome triangolato in alcun documento del corpus: Stato Zero, sede il fascicolo aperto e l'ufficio corpi di reato.</w:t>
      </w:r>
    </w:p>
    <w:p>
      <w:pPr>
        <w:spacing w:after="120" w:line="276"/>
        <w:jc w:val="both"/>
      </w:pPr>
      <w:r>
        <w:rPr>
          <w:rFonts w:ascii="Barlow Semi Condensed" w:cs="Barlow Semi Condensed" w:eastAsia="Barlow Semi Condensed" w:hAnsi="Barlow Semi Condensed"/>
          <w:b/>
          <w:bCs/>
          <w:sz w:val="24"/>
          <w:szCs w:val="24"/>
        </w:rPr>
        <w:t xml:space="preserve">4737 · Dieci negligenze non fanno un piano.</w:t>
      </w:r>
      <w:r>
        <w:rPr>
          <w:rFonts w:ascii="Barlow Semi Condensed" w:cs="Barlow Semi Condensed" w:eastAsia="Barlow Semi Condensed" w:hAnsi="Barlow Semi Condensed"/>
          <w:sz w:val="24"/>
          <w:szCs w:val="24"/>
        </w:rPr>
        <w:t xml:space="preserve"> Il capitolo VII della Parte terza vieta l'operazione più tentante del censimento: sommare le divergenze finché il loro numero dimostri il dolo. Dieci negligenze non provano un piano, come dieci indizi di livello C non fanno un livello B. Applicato qui: la molteplicità delle versioni sull'episodio del 1974 non è un argomento a favore di nessuna di esse, e nemmeno contro.</w:t>
      </w:r>
    </w:p>
    <w:p>
      <w:pPr>
        <w:spacing w:after="120" w:line="276"/>
        <w:jc w:val="both"/>
      </w:pPr>
      <w:r>
        <w:rPr>
          <w:rFonts w:ascii="Barlow Semi Condensed" w:cs="Barlow Semi Condensed" w:eastAsia="Barlow Semi Condensed" w:hAnsi="Barlow Semi Condensed"/>
          <w:b/>
          <w:bCs/>
          <w:sz w:val="24"/>
          <w:szCs w:val="24"/>
        </w:rPr>
        <w:t xml:space="preserve">4738 · La relazione di minoranza.</w:t>
      </w:r>
      <w:r>
        <w:rPr>
          <w:rFonts w:ascii="Barlow Semi Condensed" w:cs="Barlow Semi Condensed" w:eastAsia="Barlow Semi Condensed" w:hAnsi="Barlow Semi Condensed"/>
          <w:sz w:val="24"/>
          <w:szCs w:val="24"/>
        </w:rPr>
        <w:t xml:space="preserve"> Collazionare la relazione di minoranza di Sciascia alla prima Commissione Moro con quella di maggioranza, carte preparatorie comprese: lo prescrive il blocco 275 dei cantieri. Il corpus non dice se quelle divergenze tocchino il nome triangolato, perché non lo ha verificato. Sede del quesito: l'Archivio storico della Camera dei deputati, atti della Commissione Moro 1, Doc. XXIII della VIII legislatura.</w:t>
      </w:r>
    </w:p>
    <w:p>
      <w:pPr>
        <w:spacing w:after="120" w:line="276"/>
        <w:jc w:val="both"/>
      </w:pPr>
      <w:r>
        <w:rPr>
          <w:rFonts w:ascii="Barlow Semi Condensed" w:cs="Barlow Semi Condensed" w:eastAsia="Barlow Semi Condensed" w:hAnsi="Barlow Semi Condensed"/>
          <w:b/>
          <w:bCs/>
          <w:sz w:val="24"/>
          <w:szCs w:val="24"/>
        </w:rPr>
        <w:t xml:space="preserve">4739 · Le caselle da precisare.</w:t>
      </w:r>
      <w:r>
        <w:rPr>
          <w:rFonts w:ascii="Barlow Semi Condensed" w:cs="Barlow Semi Condensed" w:eastAsia="Barlow Semi Condensed" w:hAnsi="Barlow Semi Condensed"/>
          <w:sz w:val="24"/>
          <w:szCs w:val="24"/>
        </w:rPr>
        <w:t xml:space="preserve"> Il blocco 867 dei cantieri chiama caselle da precisare le divergenze minute sul registro dei condannati: luoghi di nascita difformi, quantum di pena, date dei benefici, da chiudere su anagrafi e sentenze. Il censimento le include perché sono divergenze vere. Nessuna di esse, e nessuno degli otto ponti di triangolazione-condannati-corpus, conduce al nome triangolato: la prosopografia dei tredici non lo incontra mai.</w:t>
      </w:r>
    </w:p>
    <w:p>
      <w:pPr>
        <w:spacing w:after="120" w:line="276"/>
        <w:jc w:val="both"/>
      </w:pPr>
      <w:r>
        <w:rPr>
          <w:rFonts w:ascii="Barlow Semi Condensed" w:cs="Barlow Semi Condensed" w:eastAsia="Barlow Semi Condensed" w:hAnsi="Barlow Semi Condensed"/>
          <w:b/>
          <w:bCs/>
          <w:sz w:val="24"/>
          <w:szCs w:val="24"/>
        </w:rPr>
        <w:t xml:space="preserve">4740 · L'OCR che legge due numeri.</w:t>
      </w:r>
      <w:r>
        <w:rPr>
          <w:rFonts w:ascii="Barlow Semi Condensed" w:cs="Barlow Semi Condensed" w:eastAsia="Barlow Semi Condensed" w:hAnsi="Barlow Semi Condensed"/>
          <w:sz w:val="24"/>
          <w:szCs w:val="24"/>
        </w:rPr>
        <w:t xml:space="preserve"> Nell'istanza stessa il manuale, al blocco 117, dichiara la divergenza di lettura fra 00202 e 00208 in un numero di fascicolo, e al blocco 306 ne ricava la regola: le letture automatiche divergono, e la divergenza si conserva nel dato invece di essere scelta in silenzio. Vale anche per la citazione del documento 350, dove la seconda edizione riveduta va conservata come parte della segnatura.</w:t>
      </w:r>
    </w:p>
    <w:p>
      <w:pPr>
        <w:spacing w:after="120" w:line="276"/>
        <w:jc w:val="both"/>
      </w:pPr>
      <w:r>
        <w:rPr>
          <w:rFonts w:ascii="Barlow Semi Condensed" w:cs="Barlow Semi Condensed" w:eastAsia="Barlow Semi Condensed" w:hAnsi="Barlow Semi Condensed"/>
          <w:b/>
          <w:bCs/>
          <w:sz w:val="24"/>
          <w:szCs w:val="24"/>
        </w:rPr>
        <w:t xml:space="preserve">4741 · La stessa domanda, tre sedi.</w:t>
      </w:r>
      <w:r>
        <w:rPr>
          <w:rFonts w:ascii="Barlow Semi Condensed" w:cs="Barlow Semi Condensed" w:eastAsia="Barlow Semi Condensed" w:hAnsi="Barlow Semi Condensed"/>
          <w:sz w:val="24"/>
          <w:szCs w:val="24"/>
        </w:rPr>
        <w:t xml:space="preserve"> Quesito, con sede e forma. Il blocco 65 dell'agenda chiede che cosa risposero Moro 1, la Commissione Stragi e Moro 2 alla medesima domanda. Applicato a questa serie: che cosa dissero le tre sedi dell'avvertimento riferito? Il corpus registra soltanto l'audizione del 1° agosto 1980. Le altre due restano Stato Zero, chiudibile sui resoconti stenografici conservati negli archivi storici di Camera e Senato.</w:t>
      </w:r>
    </w:p>
    <w:p>
      <w:pPr>
        <w:spacing w:after="120" w:line="276"/>
        <w:jc w:val="both"/>
      </w:pPr>
      <w:r>
        <w:rPr>
          <w:rFonts w:ascii="Barlow Semi Condensed" w:cs="Barlow Semi Condensed" w:eastAsia="Barlow Semi Condensed" w:hAnsi="Barlow Semi Condensed"/>
          <w:b/>
          <w:bCs/>
          <w:sz w:val="24"/>
          <w:szCs w:val="24"/>
        </w:rPr>
        <w:t xml:space="preserve">4742 · Gli oculari e il verbale.</w:t>
      </w:r>
      <w:r>
        <w:rPr>
          <w:rFonts w:ascii="Barlow Semi Condensed" w:cs="Barlow Semi Condensed" w:eastAsia="Barlow Semi Condensed" w:hAnsi="Barlow Semi Condensed"/>
          <w:sz w:val="24"/>
          <w:szCs w:val="24"/>
        </w:rPr>
        <w:t xml:space="preserve"> Il blocco 107 dell'agenda impone che ogni divergenza fra il riascolto degli oculari superstiti e il verbale d'epoca sia annotata come dato e non lisciata. È la forma più severa del censimento, perché il testimone tende a convergere col racconto pubblico. La regola spiega perché una testimonianza resa nel 1982 su un fatto del 1974 vada pesata per la distanza, non solo per il contenuto.</w:t>
      </w:r>
    </w:p>
    <w:p>
      <w:pPr>
        <w:spacing w:after="120" w:line="276"/>
        <w:jc w:val="both"/>
      </w:pPr>
      <w:r>
        <w:rPr>
          <w:rFonts w:ascii="Barlow Semi Condensed" w:cs="Barlow Semi Condensed" w:eastAsia="Barlow Semi Condensed" w:hAnsi="Barlow Semi Condensed"/>
          <w:b/>
          <w:bCs/>
          <w:sz w:val="24"/>
          <w:szCs w:val="24"/>
        </w:rPr>
        <w:t xml:space="preserve">4743 · Due memorie, nessun confronto.</w:t>
      </w:r>
      <w:r>
        <w:rPr>
          <w:rFonts w:ascii="Barlow Semi Condensed" w:cs="Barlow Semi Condensed" w:eastAsia="Barlow Semi Condensed" w:hAnsi="Barlow Semi Condensed"/>
          <w:sz w:val="24"/>
          <w:szCs w:val="24"/>
        </w:rPr>
        <w:t xml:space="preserve"> Portare due memorie divergenti al confronto suggestivo fra testimoni è vietato dal blocco 123 dell'agenda: la divergenza si porta ai documenti. Le due smentite italiane qualificate sull'episodio del 1974 — «una leggenda che non ha fondamento» e «solo un problema di linguaggio» — vanno trattate così. Nessuno dei due dichiaranti era presente al colloquio riservato: il documento che deciderebbe non è una terza memoria.</w:t>
      </w:r>
    </w:p>
    <w:p>
      <w:pPr>
        <w:spacing w:after="120" w:line="276"/>
        <w:jc w:val="both"/>
      </w:pPr>
      <w:r>
        <w:rPr>
          <w:rFonts w:ascii="Barlow Semi Condensed" w:cs="Barlow Semi Condensed" w:eastAsia="Barlow Semi Condensed" w:hAnsi="Barlow Semi Condensed"/>
          <w:b/>
          <w:bCs/>
          <w:sz w:val="24"/>
          <w:szCs w:val="24"/>
        </w:rPr>
        <w:t xml:space="preserve">4744 · La collazione che manca.</w:t>
      </w:r>
      <w:r>
        <w:rPr>
          <w:rFonts w:ascii="Barlow Semi Condensed" w:cs="Barlow Semi Condensed" w:eastAsia="Barlow Semi Condensed" w:hAnsi="Barlow Semi Condensed"/>
          <w:sz w:val="24"/>
          <w:szCs w:val="24"/>
        </w:rPr>
        <w:t xml:space="preserve"> Il blocco 153 dell'agenda e i blocchi 38, 62, 84 e 119 dei cantieri prescrivono la collazione multilaterale delle giornate chiave, perché ogni divergenza è o un errore di una capitale o un'informazione asimmetrica. Applicata al 25 settembre 1974, la collazione non è eseguibile: manca il termine italiano. Sede che lo produrrebbe: Archivio storico-diplomatico, carte del Gabinetto del ministro, 1974.</w:t>
      </w:r>
    </w:p>
    <w:p>
      <w:pPr>
        <w:spacing w:after="120" w:line="276"/>
        <w:jc w:val="both"/>
      </w:pPr>
      <w:r>
        <w:rPr>
          <w:rFonts w:ascii="Barlow Semi Condensed" w:cs="Barlow Semi Condensed" w:eastAsia="Barlow Semi Condensed" w:hAnsi="Barlow Semi Condensed"/>
          <w:b/>
          <w:bCs/>
          <w:sz w:val="24"/>
          <w:szCs w:val="24"/>
        </w:rPr>
        <w:t xml:space="preserve">4745 · I diari contro sé stessi (serie LXII).</w:t>
      </w:r>
      <w:r>
        <w:rPr>
          <w:rFonts w:ascii="Barlow Semi Condensed" w:cs="Barlow Semi Condensed" w:eastAsia="Barlow Semi Condensed" w:hAnsi="Barlow Semi Condensed"/>
          <w:sz w:val="24"/>
          <w:szCs w:val="24"/>
        </w:rPr>
        <w:t xml:space="preserve"> Le memorie edite dei protagonisti contro le loro carte private: il blocco 170 dei cantieri ne ricava la tavola delle divergenze. Il quesito che ne discende riguarda i volumi di memorie del triangolato messi contro i documenti FRUS sull'Italia. Prima di condurlo va accertato il regime di accesso al fondo personale, fra la Manuscript Division della Library of Congress e la porzione conferita a Yale.</w:t>
      </w:r>
    </w:p>
    <w:p>
      <w:pPr>
        <w:spacing w:after="120" w:line="276"/>
        <w:jc w:val="both"/>
      </w:pPr>
      <w:r>
        <w:rPr>
          <w:rFonts w:ascii="Barlow Semi Condensed" w:cs="Barlow Semi Condensed" w:eastAsia="Barlow Semi Condensed" w:hAnsi="Barlow Semi Condensed"/>
          <w:b/>
          <w:bCs/>
          <w:sz w:val="24"/>
          <w:szCs w:val="24"/>
        </w:rPr>
        <w:t xml:space="preserve">4746 · La tavola rivolta al corpus.</w:t>
      </w:r>
      <w:r>
        <w:rPr>
          <w:rFonts w:ascii="Barlow Semi Condensed" w:cs="Barlow Semi Condensed" w:eastAsia="Barlow Semi Condensed" w:hAnsi="Barlow Semi Condensed"/>
          <w:sz w:val="24"/>
          <w:szCs w:val="24"/>
        </w:rPr>
        <w:t xml:space="preserve"> La tavola a due colonne — dichiarazione e atto — viene dal blocco 853 dei cantieri, e il blocco 720 della prima campagna l'aveva già applicata fuori dal registro dei condannati. Il censimento propone di rivolgerla al corpus stesso: per ciascuna delle otto divergenze della Farnesina, la colonna della fonte e quella dell'atto che la sosterrebbe. Molte caselle resterebbero vuote, e la vuotezza è il risultato.</w:t>
      </w:r>
    </w:p>
    <w:p>
      <w:pPr>
        <w:spacing w:after="120" w:line="276"/>
        <w:jc w:val="both"/>
      </w:pPr>
      <w:r>
        <w:rPr>
          <w:rFonts w:ascii="Barlow Semi Condensed" w:cs="Barlow Semi Condensed" w:eastAsia="Barlow Semi Condensed" w:hAnsi="Barlow Semi Condensed"/>
          <w:b/>
          <w:bCs/>
          <w:sz w:val="24"/>
          <w:szCs w:val="24"/>
        </w:rPr>
        <w:t xml:space="preserve">4747 · Nessuna reverenza sconta un grado.</w:t>
      </w:r>
      <w:r>
        <w:rPr>
          <w:rFonts w:ascii="Barlow Semi Condensed" w:cs="Barlow Semi Condensed" w:eastAsia="Barlow Semi Condensed" w:hAnsi="Barlow Semi Condensed"/>
          <w:sz w:val="24"/>
          <w:szCs w:val="24"/>
        </w:rPr>
        <w:t xml:space="preserve"> Le assenze si verbalizzano, le divergenze si tabulano, nessuna reverenza sconta un grado: così il blocco 212 dei cantieri fissa la regola per il fronte vaticano. La scheda PE-4 sulla mediazione vaticana e sulla sorte del riscatto non contiene il nome triangolato. Sede futura del quesito: l'Archivio Apostolico Vaticano per il pontificato di Paolo VI, non ancora aperto alla consultazione.</w:t>
      </w:r>
    </w:p>
    <w:p>
      <w:pPr>
        <w:spacing w:after="120" w:line="276"/>
        <w:jc w:val="both"/>
      </w:pPr>
      <w:r>
        <w:rPr>
          <w:rFonts w:ascii="Barlow Semi Condensed" w:cs="Barlow Semi Condensed" w:eastAsia="Barlow Semi Condensed" w:hAnsi="Barlow Semi Condensed"/>
          <w:b/>
          <w:bCs/>
          <w:sz w:val="24"/>
          <w:szCs w:val="24"/>
        </w:rPr>
        <w:t xml:space="preserve">4748 · La divergenza costitutiva del branch.</w:t>
      </w:r>
      <w:r>
        <w:rPr>
          <w:rFonts w:ascii="Barlow Semi Condensed" w:cs="Barlow Semi Condensed" w:eastAsia="Barlow Semi Condensed" w:hAnsi="Barlow Semi Condensed"/>
          <w:sz w:val="24"/>
          <w:szCs w:val="24"/>
        </w:rPr>
        <w:t xml:space="preserve"> Il blocco 501 dell'edizione strutturata dichiara la divergenza costitutiva fra il Dossier maggiore dell'autore e il branch pubblico: là la Fase quinta passa alla probabilità e alla graduatoria, qui il Pollo di Popper non viene congedato. La conseguenza per questa serie è diretta: nessun blocco assegna percentuali, nessuno colloca il nome in una scala. Chi cerca la graduatoria sa dove essa vive.</w:t>
      </w:r>
    </w:p>
    <w:p>
      <w:pPr>
        <w:spacing w:after="120" w:line="276"/>
        <w:jc w:val="both"/>
      </w:pPr>
      <w:r>
        <w:rPr>
          <w:rFonts w:ascii="Barlow Semi Condensed" w:cs="Barlow Semi Condensed" w:eastAsia="Barlow Semi Condensed" w:hAnsi="Barlow Semi Condensed"/>
          <w:b/>
          <w:bCs/>
          <w:sz w:val="24"/>
          <w:szCs w:val="24"/>
        </w:rPr>
        <w:t xml:space="preserve">4749 · Si gradua il documento.</w:t>
      </w:r>
      <w:r>
        <w:rPr>
          <w:rFonts w:ascii="Barlow Semi Condensed" w:cs="Barlow Semi Condensed" w:eastAsia="Barlow Semi Condensed" w:hAnsi="Barlow Semi Condensed"/>
          <w:sz w:val="24"/>
          <w:szCs w:val="24"/>
        </w:rPr>
        <w:t xml:space="preserve"> Una divergenza che il corpus dichiara di non comporre sta al capitolo VII della seconda campagna: si gradua ciò che è documento, non chi è persona. Gli strumenti che misurano la documentazione sono trasferibili per intero; quelli che attribuiscono un livello alle persone non lo sono. È la ragione per cui, in ottanta blocchi, il nome triangolato non riceve mai un punteggio.</w:t>
      </w:r>
    </w:p>
    <w:p>
      <w:pPr>
        <w:spacing w:after="120" w:line="276"/>
        <w:jc w:val="both"/>
      </w:pPr>
      <w:r>
        <w:rPr>
          <w:rFonts w:ascii="Barlow Semi Condensed" w:cs="Barlow Semi Condensed" w:eastAsia="Barlow Semi Condensed" w:hAnsi="Barlow Semi Condensed"/>
          <w:b/>
          <w:bCs/>
          <w:sz w:val="24"/>
          <w:szCs w:val="24"/>
        </w:rPr>
        <w:t xml:space="preserve">4750 · Il registro che manca.</w:t>
      </w:r>
      <w:r>
        <w:rPr>
          <w:rFonts w:ascii="Barlow Semi Condensed" w:cs="Barlow Semi Condensed" w:eastAsia="Barlow Semi Condensed" w:hAnsi="Barlow Semi Condensed"/>
          <w:sz w:val="24"/>
          <w:szCs w:val="24"/>
        </w:rPr>
        <w:t xml:space="preserve"> Lacuna di struttura, verbalizzata. Il corpus storico non possiede un registro proprio delle divergenze: il file delle anomalie in _meta esiste ma appartiene al progetto pugliese, estraneo a questo branch, e censisce duplicazioni di un'altra opera. Le divergenze storiche vivono sparse nelle note di revisione e nelle righe di chiusura. Ciò che colmerebbe la lacuna non è un archivio esterno ma un atto editoriale interno.</w:t>
      </w:r>
    </w:p>
    <w:p>
      <w:pPr>
        <w:spacing w:after="120" w:line="276"/>
        <w:jc w:val="both"/>
      </w:pPr>
      <w:r>
        <w:rPr>
          <w:rFonts w:ascii="Barlow Semi Condensed" w:cs="Barlow Semi Condensed" w:eastAsia="Barlow Semi Condensed" w:hAnsi="Barlow Semi Condensed"/>
          <w:b/>
          <w:bCs/>
          <w:sz w:val="24"/>
          <w:szCs w:val="24"/>
        </w:rPr>
        <w:t xml:space="preserve">4751 · Le due note bibliografiche.</w:t>
      </w:r>
      <w:r>
        <w:rPr>
          <w:rFonts w:ascii="Barlow Semi Condensed" w:cs="Barlow Semi Condensed" w:eastAsia="Barlow Semi Condensed" w:hAnsi="Barlow Semi Condensed"/>
          <w:sz w:val="24"/>
          <w:szCs w:val="24"/>
        </w:rPr>
        <w:t xml:space="preserve"> Le note bibliografiche dell'opera integrale registrano ai numeri 50 e 51 le due fonti su cui il nodo M-5 poggiava per il versante italiano: un sito di divulgazione e un quotidiano che riferiva di un programma televisivo. Entrambe sono affermazioni terziarie, piano 3. Il piano 1 è altrove: i verbali d'udienza della Corte d'assise di Roma e i resoconti della Commissione, mai letti dalla campagna.</w:t>
      </w:r>
    </w:p>
    <w:p>
      <w:pPr>
        <w:spacing w:after="120" w:line="276"/>
        <w:jc w:val="both"/>
      </w:pPr>
      <w:r>
        <w:rPr>
          <w:rFonts w:ascii="Barlow Semi Condensed" w:cs="Barlow Semi Condensed" w:eastAsia="Barlow Semi Condensed" w:hAnsi="Barlow Semi Condensed"/>
          <w:b/>
          <w:bCs/>
          <w:sz w:val="24"/>
          <w:szCs w:val="24"/>
        </w:rPr>
        <w:t xml:space="preserve">4752 · Le fonti non ammissibili.</w:t>
      </w:r>
      <w:r>
        <w:rPr>
          <w:rFonts w:ascii="Barlow Semi Condensed" w:cs="Barlow Semi Condensed" w:eastAsia="Barlow Semi Condensed" w:hAnsi="Barlow Semi Condensed"/>
          <w:sz w:val="24"/>
          <w:szCs w:val="24"/>
        </w:rPr>
        <w:t xml:space="preserve"> Il committente esclude due testate dal novero delle fonti citabili, e ne discende una conseguenza per il censimento: una divergenza sostenuta soltanto da una fonte esclusa non esiste per il corpus e non va registrata come termine di contrasto. L'esclusione non è un giudizio sul contenuto, è una regola di ammissibilità, e si applica prima della pesatura e non dopo.</w:t>
      </w:r>
    </w:p>
    <w:p>
      <w:pPr>
        <w:spacing w:after="120" w:line="276"/>
        <w:jc w:val="both"/>
      </w:pPr>
      <w:r>
        <w:rPr>
          <w:rFonts w:ascii="Barlow Semi Condensed" w:cs="Barlow Semi Condensed" w:eastAsia="Barlow Semi Condensed" w:hAnsi="Barlow Semi Condensed"/>
          <w:b/>
          <w:bCs/>
          <w:sz w:val="24"/>
          <w:szCs w:val="24"/>
        </w:rPr>
        <w:t xml:space="preserve">4753 · Quattordici giugno, quattordici maggio.</w:t>
      </w:r>
      <w:r>
        <w:rPr>
          <w:rFonts w:ascii="Barlow Semi Condensed" w:cs="Barlow Semi Condensed" w:eastAsia="Barlow Semi Condensed" w:hAnsi="Barlow Semi Condensed"/>
          <w:sz w:val="24"/>
          <w:szCs w:val="24"/>
        </w:rPr>
        <w:t xml:space="preserve"> Il nodo I-1 registra che la data di nascita di Guevara è il 14 giugno 1928 nel documento ufficiale e il 14 maggio secondo il biografo Anderson. È la stessa specie della divergenza sull'anglicizzazione del nome triangolato: un documento contro un'opera di consultazione. Omologia di forma, non di origine: dalla somiglianza delle due divergenze non si deduce alcun antenato comune né alcun nesso fra i due casi.</w:t>
      </w:r>
    </w:p>
    <w:p>
      <w:pPr>
        <w:spacing w:after="120" w:line="276"/>
        <w:jc w:val="both"/>
      </w:pPr>
      <w:r>
        <w:rPr>
          <w:rFonts w:ascii="Barlow Semi Condensed" w:cs="Barlow Semi Condensed" w:eastAsia="Barlow Semi Condensed" w:hAnsi="Barlow Semi Condensed"/>
          <w:b/>
          <w:bCs/>
          <w:sz w:val="24"/>
          <w:szCs w:val="24"/>
        </w:rPr>
        <w:t xml:space="preserve">4754 · Alejandro e Arnaldo.</w:t>
      </w:r>
      <w:r>
        <w:rPr>
          <w:rFonts w:ascii="Barlow Semi Condensed" w:cs="Barlow Semi Condensed" w:eastAsia="Barlow Semi Condensed" w:hAnsi="Barlow Semi Condensed"/>
          <w:sz w:val="24"/>
          <w:szCs w:val="24"/>
        </w:rPr>
        <w:t xml:space="preserve"> Un errore di persona travestito da divergenza: il direttore del Fondo de Cultura Económica era Arnaldo Orfila Reynal, non il diplomatico argentino Alejandro Orfila, e il corpus ha riscritto il passaggio con nota di revisione. Il censimento ne trae il primo controllo da eseguire su ogni contrasto apparente, prima ancora di pesare le fonti: verificare che esse parlino della stessa persona.</w:t>
      </w:r>
    </w:p>
    <w:p>
      <w:pPr>
        <w:spacing w:after="120" w:line="276"/>
        <w:jc w:val="both"/>
      </w:pPr>
      <w:r>
        <w:rPr>
          <w:rFonts w:ascii="Barlow Semi Condensed" w:cs="Barlow Semi Condensed" w:eastAsia="Barlow Semi Condensed" w:hAnsi="Barlow Semi Condensed"/>
          <w:b/>
          <w:bCs/>
          <w:sz w:val="24"/>
          <w:szCs w:val="24"/>
        </w:rPr>
        <w:t xml:space="preserve">4755 · Due date, due fatti.</w:t>
      </w:r>
      <w:r>
        <w:rPr>
          <w:rFonts w:ascii="Barlow Semi Condensed" w:cs="Barlow Semi Condensed" w:eastAsia="Barlow Semi Condensed" w:hAnsi="Barlow Semi Condensed"/>
          <w:sz w:val="24"/>
          <w:szCs w:val="24"/>
        </w:rPr>
        <w:t xml:space="preserve"> Due date che erano due fatti: il fermo di Fidel Castro il 20-21 giugno 1956 a Città del Messico e il rastrellamento del ranch il 24, con Guevara catturato lì. Il corpus ha corretto in «20-24 giugno». Una divergenza apparente può nascondere una sequenza: prima di scegliere fra due date si verifica se gli eventi in questione siano uno soltanto o due.</w:t>
      </w:r>
    </w:p>
    <w:p>
      <w:pPr>
        <w:spacing w:after="120" w:line="276"/>
        <w:jc w:val="both"/>
      </w:pPr>
      <w:r>
        <w:rPr>
          <w:rFonts w:ascii="Barlow Semi Condensed" w:cs="Barlow Semi Condensed" w:eastAsia="Barlow Semi Condensed" w:hAnsi="Barlow Semi Condensed"/>
          <w:b/>
          <w:bCs/>
          <w:sz w:val="24"/>
          <w:szCs w:val="24"/>
        </w:rPr>
        <w:t xml:space="preserve">4756 · Quando si scrive la classe.</w:t>
      </w:r>
      <w:r>
        <w:rPr>
          <w:rFonts w:ascii="Barlow Semi Condensed" w:cs="Barlow Semi Condensed" w:eastAsia="Barlow Semi Condensed" w:hAnsi="Barlow Semi Condensed"/>
          <w:sz w:val="24"/>
          <w:szCs w:val="24"/>
        </w:rPr>
        <w:t xml:space="preserve"> I conteggi delle perdite di Alegría de Pío variano fra le fonti, e al nodo E-13 il corpus ha sostituito le cifre puntuali con l'ordine di grandezza condiviso dalla storiografia. È la seconda comparsa della disciplina già vista sui fucilati del Tribunale Speciale: dove il numero non regge, si scrive la classe. La precisione falsa è peggiore dell'approssimazione dichiarata.</w:t>
      </w:r>
    </w:p>
    <w:p>
      <w:pPr>
        <w:spacing w:after="120" w:line="276"/>
        <w:jc w:val="both"/>
      </w:pPr>
      <w:r>
        <w:rPr>
          <w:rFonts w:ascii="Barlow Semi Condensed" w:cs="Barlow Semi Condensed" w:eastAsia="Barlow Semi Condensed" w:hAnsi="Barlow Semi Condensed"/>
          <w:b/>
          <w:bCs/>
          <w:sz w:val="24"/>
          <w:szCs w:val="24"/>
        </w:rPr>
        <w:t xml:space="preserve">4757 · Difetto di fonte, non divergenza.</w:t>
      </w:r>
      <w:r>
        <w:rPr>
          <w:rFonts w:ascii="Barlow Semi Condensed" w:cs="Barlow Semi Condensed" w:eastAsia="Barlow Semi Condensed" w:hAnsi="Barlow Semi Condensed"/>
          <w:sz w:val="24"/>
          <w:szCs w:val="24"/>
        </w:rPr>
        <w:t xml:space="preserve"> Non una divergenza fra fonti ma un difetto di fonte: il bazooka dell'11 dicembre 1964 fu lanciato da un terreno di Long Island City, non da un'imbarcazione, e il corpus ha sostituito il rimando a un archivio anonimo. Prima di censire un contrasto si controlla il rango delle due fonti. Una fonte inaffidabile non genera divergenza: genera errore, e l'errore si corregge.</w:t>
      </w:r>
    </w:p>
    <w:p>
      <w:pPr>
        <w:spacing w:after="120" w:line="276"/>
        <w:jc w:val="both"/>
      </w:pPr>
      <w:r>
        <w:rPr>
          <w:rFonts w:ascii="Barlow Semi Condensed" w:cs="Barlow Semi Condensed" w:eastAsia="Barlow Semi Condensed" w:hAnsi="Barlow Semi Condensed"/>
          <w:b/>
          <w:bCs/>
          <w:sz w:val="24"/>
          <w:szCs w:val="24"/>
        </w:rPr>
        <w:t xml:space="preserve">4758 · L'incontro che non ci fu.</w:t>
      </w:r>
      <w:r>
        <w:rPr>
          <w:rFonts w:ascii="Barlow Semi Condensed" w:cs="Barlow Semi Condensed" w:eastAsia="Barlow Semi Condensed" w:hAnsi="Barlow Semi Condensed"/>
          <w:sz w:val="24"/>
          <w:szCs w:val="24"/>
        </w:rPr>
        <w:t xml:space="preserve"> Un incontro declassato a messaggio: Guevara non vide Malcolm X in privato, gli inviò uno scritto letto in sala il 13 dicembre 1964. Un incontro affermato senza documento resta piano 3. La regola vale integralmente per il nome triangolato: fuori dal memorandum del 25 settembre 1974 e da quello del giorno successivo, nessun colloquio italiano è documentato nel corpus.</w:t>
      </w:r>
    </w:p>
    <w:p>
      <w:pPr>
        <w:spacing w:after="120" w:line="276"/>
        <w:jc w:val="both"/>
      </w:pPr>
      <w:r>
        <w:rPr>
          <w:rFonts w:ascii="Barlow Semi Condensed" w:cs="Barlow Semi Condensed" w:eastAsia="Barlow Semi Condensed" w:hAnsi="Barlow Semi Condensed"/>
          <w:b/>
          <w:bCs/>
          <w:sz w:val="24"/>
          <w:szCs w:val="24"/>
        </w:rPr>
        <w:t xml:space="preserve">4759 · Attribuire alla fonte, e marcare.</w:t>
      </w:r>
      <w:r>
        <w:rPr>
          <w:rFonts w:ascii="Barlow Semi Condensed" w:cs="Barlow Semi Condensed" w:eastAsia="Barlow Semi Condensed" w:hAnsi="Barlow Semi Condensed"/>
          <w:sz w:val="24"/>
          <w:szCs w:val="24"/>
        </w:rPr>
        <w:t xml:space="preserve"> I nodi E-22 ed E-27 mostrano il trattamento minimo di un'affermazione non riscontrata: attribuirla esplicitamente alla sua fonte e marcarla come da riscontrare. Non si espunge e non si promuove. È esattamente lo statuto che l'apparato K-4 assegna alla settima precisazione, dove la circolazione di un'affermazione viene citata come dato di circolazione e non come riscontro del suo contenuto.</w:t>
      </w:r>
    </w:p>
    <w:p>
      <w:pPr>
        <w:spacing w:after="120" w:line="276"/>
        <w:jc w:val="both"/>
      </w:pPr>
      <w:r>
        <w:rPr>
          <w:rFonts w:ascii="Barlow Semi Condensed" w:cs="Barlow Semi Condensed" w:eastAsia="Barlow Semi Condensed" w:hAnsi="Barlow Semi Condensed"/>
          <w:b/>
          <w:bCs/>
          <w:sz w:val="24"/>
          <w:szCs w:val="24"/>
        </w:rPr>
        <w:t xml:space="preserve">4760 · La regola di proporzionalità.</w:t>
      </w:r>
      <w:r>
        <w:rPr>
          <w:rFonts w:ascii="Barlow Semi Condensed" w:cs="Barlow Semi Condensed" w:eastAsia="Barlow Semi Condensed" w:hAnsi="Barlow Semi Condensed"/>
          <w:sz w:val="24"/>
          <w:szCs w:val="24"/>
        </w:rPr>
        <w:t xml:space="preserve"> Che l'ordine delle tappe e alcune soste minori del tour afro-asiatico varino fra le fonti è accettato dal nodo E-23, perché la divergenza non tocca un'affermazione portante. Si spende sulle divergenze ciò che la loro conseguenza merita. Il censimento applica la regola al contrario per la data dell'episodio del 1974, dove la conseguenza è massima e la spesa deve esserlo.</w:t>
      </w:r>
    </w:p>
    <w:p>
      <w:pPr>
        <w:spacing w:after="120" w:line="276"/>
        <w:jc w:val="both"/>
      </w:pPr>
      <w:r>
        <w:rPr>
          <w:rFonts w:ascii="Barlow Semi Condensed" w:cs="Barlow Semi Condensed" w:eastAsia="Barlow Semi Condensed" w:hAnsi="Barlow Semi Condensed"/>
          <w:b/>
          <w:bCs/>
          <w:sz w:val="24"/>
          <w:szCs w:val="24"/>
        </w:rPr>
        <w:t xml:space="preserve">4761 · Dove il corpus si interrompe.</w:t>
      </w:r>
      <w:r>
        <w:rPr>
          <w:rFonts w:ascii="Barlow Semi Condensed" w:cs="Barlow Semi Condensed" w:eastAsia="Barlow Semi Condensed" w:hAnsi="Barlow Semi Condensed"/>
          <w:sz w:val="24"/>
          <w:szCs w:val="24"/>
        </w:rPr>
        <w:t xml:space="preserve"> Il nodo I-8 verbalizza dove il corpus si interrompe: l'offensiva finale del 1958, le cariche di governo, il dibattito economico, il Congo, la Bolivia e la morte del 9 ottobre 1967 non sono coperti. In quelle zone non esistono divergenze da censire, perché non esistono affermazioni. Un'assenza di divergenza dovuta a un'assenza di trattazione non è un accordo fra fonti.</w:t>
      </w:r>
    </w:p>
    <w:p>
      <w:pPr>
        <w:spacing w:after="120" w:line="276"/>
        <w:jc w:val="both"/>
      </w:pPr>
      <w:r>
        <w:rPr>
          <w:rFonts w:ascii="Barlow Semi Condensed" w:cs="Barlow Semi Condensed" w:eastAsia="Barlow Semi Condensed" w:hAnsi="Barlow Semi Condensed"/>
          <w:b/>
          <w:bCs/>
          <w:sz w:val="24"/>
          <w:szCs w:val="24"/>
        </w:rPr>
        <w:t xml:space="preserve">4762 · Le divergenze come strumento.</w:t>
      </w:r>
      <w:r>
        <w:rPr>
          <w:rFonts w:ascii="Barlow Semi Condensed" w:cs="Barlow Semi Condensed" w:eastAsia="Barlow Semi Condensed" w:hAnsi="Barlow Semi Condensed"/>
          <w:sz w:val="24"/>
          <w:szCs w:val="24"/>
        </w:rPr>
        <w:t xml:space="preserve"> Le quattro divergenze strutturali D-1, D-2, D-3 e D-4 non sono difetti da sanare ma strumenti: distinguono due casi che la pubblicistica accosta. La terza è la più utile qui, perché registra che l'ostilità statunitense verso i due uomini aveva radici opposte. Il blocco 472 della prima campagna l'aveva già estratta; il censimento la conferma come anti-triangolazione e non come ponte.</w:t>
      </w:r>
    </w:p>
    <w:p>
      <w:pPr>
        <w:spacing w:after="120" w:line="276"/>
        <w:jc w:val="both"/>
      </w:pPr>
      <w:r>
        <w:rPr>
          <w:rFonts w:ascii="Barlow Semi Condensed" w:cs="Barlow Semi Condensed" w:eastAsia="Barlow Semi Condensed" w:hAnsi="Barlow Semi Condensed"/>
          <w:b/>
          <w:bCs/>
          <w:sz w:val="24"/>
          <w:szCs w:val="24"/>
        </w:rPr>
        <w:t xml:space="preserve">4763 · Sette precisazioni, per nota.</w:t>
      </w:r>
      <w:r>
        <w:rPr>
          <w:rFonts w:ascii="Barlow Semi Condensed" w:cs="Barlow Semi Condensed" w:eastAsia="Barlow Semi Condensed" w:hAnsi="Barlow Semi Condensed"/>
          <w:sz w:val="24"/>
          <w:szCs w:val="24"/>
        </w:rPr>
        <w:t xml:space="preserve"> L'entrata più pesante del censimento è la Nota di revisione n. 2 alle triangolazioni Guevara-Moro: sette precisazioni sul nodo M-5, registrate per nota senza riscrivere il nodo. Il testo originario resta leggibile e la correzione gli si affianca. È la regola editoriale che il censimento adotta per sé: una divergenza non si chiude cancellando dalla pagina uno dei due termini.</w:t>
      </w:r>
    </w:p>
    <w:p>
      <w:pPr>
        <w:spacing w:after="120" w:line="276"/>
        <w:jc w:val="both"/>
      </w:pPr>
      <w:r>
        <w:rPr>
          <w:rFonts w:ascii="Barlow Semi Condensed" w:cs="Barlow Semi Condensed" w:eastAsia="Barlow Semi Condensed" w:hAnsi="Barlow Semi Condensed"/>
          <w:b/>
          <w:bCs/>
          <w:sz w:val="24"/>
          <w:szCs w:val="24"/>
        </w:rPr>
        <w:t xml:space="preserve">4764 · Termini neutri, termini interessati.</w:t>
      </w:r>
      <w:r>
        <w:rPr>
          <w:rFonts w:ascii="Barlow Semi Condensed" w:cs="Barlow Semi Condensed" w:eastAsia="Barlow Semi Condensed" w:hAnsi="Barlow Semi Condensed"/>
          <w:sz w:val="24"/>
          <w:szCs w:val="24"/>
        </w:rPr>
        <w:t xml:space="preserve"> Le otto divergenze della Farnesina hanno due termini neutri fra loro — due archivi, due inventari, due stime. Quella sull'episodio del 1974 no: un termine è la testimonianza de relato, l'altro la smentita dell'interessato. Non si tratta della stessa figura logica, e il censimento le tiene in colonne separate. L'asimmetria si dichiara come dato e non decide in favore di nessuno.</w:t>
      </w:r>
    </w:p>
    <w:p>
      <w:pPr>
        <w:spacing w:after="120" w:line="276"/>
        <w:jc w:val="both"/>
      </w:pPr>
      <w:r>
        <w:rPr>
          <w:rFonts w:ascii="Barlow Semi Condensed" w:cs="Barlow Semi Condensed" w:eastAsia="Barlow Semi Condensed" w:hAnsi="Barlow Semi Condensed"/>
          <w:b/>
          <w:bCs/>
          <w:sz w:val="24"/>
          <w:szCs w:val="24"/>
        </w:rPr>
        <w:t xml:space="preserve">4765 · La divergenza che muta natura.</w:t>
      </w:r>
      <w:r>
        <w:rPr>
          <w:rFonts w:ascii="Barlow Semi Condensed" w:cs="Barlow Semi Condensed" w:eastAsia="Barlow Semi Condensed" w:hAnsi="Barlow Semi Condensed"/>
          <w:sz w:val="24"/>
          <w:szCs w:val="24"/>
        </w:rPr>
        <w:t xml:space="preserve"> Fra tutte le divergenze censite una sola muterebbe la natura giuridica del fatto se venisse sciolta: quella sulla data dell'episodio. Nel 1974 il triangolato era Segretario di Stato; nel 1977, secondo una fonte d'agenzia del 1983, non lo era più. La stessa frase, spostata di tre anni, passa da posizione di governo a opinione privata. Si colloca in testa per conseguenza, non per rumore.</w:t>
      </w:r>
    </w:p>
    <w:p>
      <w:pPr>
        <w:spacing w:after="120" w:line="276"/>
        <w:jc w:val="both"/>
      </w:pPr>
      <w:r>
        <w:rPr>
          <w:rFonts w:ascii="Barlow Semi Condensed" w:cs="Barlow Semi Condensed" w:eastAsia="Barlow Semi Condensed" w:hAnsi="Barlow Semi Condensed"/>
          <w:b/>
          <w:bCs/>
          <w:sz w:val="24"/>
          <w:szCs w:val="24"/>
        </w:rPr>
        <w:t xml:space="preserve">4766 · Quattro sedi per una frase.</w:t>
      </w:r>
      <w:r>
        <w:rPr>
          <w:rFonts w:ascii="Barlow Semi Condensed" w:cs="Barlow Semi Condensed" w:eastAsia="Barlow Semi Condensed" w:hAnsi="Barlow Semi Condensed"/>
          <w:sz w:val="24"/>
          <w:szCs w:val="24"/>
        </w:rPr>
        <w:t xml:space="preserve"> L'episodio è collocato allo Studio Ovale, al Dipartimento di Stato, a una cena ufficiale e all'ambasciata d'Italia a Washington: quattro luoghi per una frase sola. Il documento che ne escluderebbe alcuni è il programma minuto della visita di Stato. Sede: la Gerald R. Ford Presidential Library, carte del cerimoniale e dell'ufficio viaggi, settembre 1974. Nessuna delle quattro versioni porta un atto.</w:t>
      </w:r>
    </w:p>
    <w:p>
      <w:pPr>
        <w:spacing w:after="120" w:line="276"/>
        <w:jc w:val="both"/>
      </w:pPr>
      <w:r>
        <w:rPr>
          <w:rFonts w:ascii="Barlow Semi Condensed" w:cs="Barlow Semi Condensed" w:eastAsia="Barlow Semi Condensed" w:hAnsi="Barlow Semi Condensed"/>
          <w:b/>
          <w:bCs/>
          <w:sz w:val="24"/>
          <w:szCs w:val="24"/>
        </w:rPr>
        <w:t xml:space="preserve">4767 · Dieci o quindici novembre.</w:t>
      </w:r>
      <w:r>
        <w:rPr>
          <w:rFonts w:ascii="Barlow Semi Condensed" w:cs="Barlow Semi Condensed" w:eastAsia="Barlow Semi Condensed" w:hAnsi="Barlow Semi Condensed"/>
          <w:sz w:val="24"/>
          <w:szCs w:val="24"/>
        </w:rPr>
        <w:t xml:space="preserve"> La deposizione di Corrado Guerzoni davanti alla Corte d'assise di Roma è datata al 10 novembre 1982 dalla lettura più ricorrente e al 15 da una fonte; il blocco 697 registra la divergenza come non risolta. Si chiude in un solo luogo, il verbale d'udienza. L'apparato K-5 dichiara che la campagna non ha potuto leggerlo: la sede resta l'archivio giudiziario romano.</w:t>
      </w:r>
    </w:p>
    <w:p>
      <w:pPr>
        <w:spacing w:after="120" w:line="276"/>
        <w:jc w:val="both"/>
      </w:pPr>
      <w:r>
        <w:rPr>
          <w:rFonts w:ascii="Barlow Semi Condensed" w:cs="Barlow Semi Condensed" w:eastAsia="Barlow Semi Condensed" w:hAnsi="Barlow Semi Condensed"/>
          <w:b/>
          <w:bCs/>
          <w:sz w:val="24"/>
          <w:szCs w:val="24"/>
        </w:rPr>
        <w:t xml:space="preserve">4768 · Il primo agosto letto undici.</w:t>
      </w:r>
      <w:r>
        <w:rPr>
          <w:rFonts w:ascii="Barlow Semi Condensed" w:cs="Barlow Semi Condensed" w:eastAsia="Barlow Semi Condensed" w:hAnsi="Barlow Semi Condensed"/>
          <w:sz w:val="24"/>
          <w:szCs w:val="24"/>
        </w:rPr>
        <w:t xml:space="preserve"> L'audizione della vedova davanti alla Commissione d'inchiesta è del 1° agosto 1980; una fonte indica l'11, verosimilmente per lettura errata del simbolo di primo. È il caso in cui una divergenza è un artefatto tipografico e non un contrasto fra testimonianze. Il censimento lo segnala perché il blocco 306 del manuale prevedeva questa specie esatta: la lettura automatica che sbaglia un carattere.</w:t>
      </w:r>
    </w:p>
    <w:p>
      <w:pPr>
        <w:spacing w:after="120" w:line="276"/>
        <w:jc w:val="both"/>
      </w:pPr>
      <w:r>
        <w:rPr>
          <w:rFonts w:ascii="Barlow Semi Condensed" w:cs="Barlow Semi Condensed" w:eastAsia="Barlow Semi Condensed" w:hAnsi="Barlow Semi Condensed"/>
          <w:b/>
          <w:bCs/>
          <w:sz w:val="24"/>
          <w:szCs w:val="24"/>
        </w:rPr>
        <w:t xml:space="preserve">4769 · Due giorni di finestra.</w:t>
      </w:r>
      <w:r>
        <w:rPr>
          <w:rFonts w:ascii="Barlow Semi Condensed" w:cs="Barlow Semi Condensed" w:eastAsia="Barlow Semi Condensed" w:hAnsi="Barlow Semi Condensed"/>
          <w:sz w:val="24"/>
          <w:szCs w:val="24"/>
        </w:rPr>
        <w:t xml:space="preserve"> Il comunicato congiunto pubblicato negli atti presidenziali data la visita di Stato dal 25 al 29 settembre 1974; la nota editoriale del volume FRUS dal 25 al 27. La divergenza è di due giorni e ha una conseguenza misurabile: restringe o allarga la finestra entro cui un colloquio a margine sarebbe stato materialmente possibile. Si chiude sul programma ufficiale conservato alla Ford Library.</w:t>
      </w:r>
    </w:p>
    <w:p>
      <w:pPr>
        <w:spacing w:after="120" w:line="276"/>
        <w:jc w:val="both"/>
      </w:pPr>
      <w:r>
        <w:rPr>
          <w:rFonts w:ascii="Barlow Semi Condensed" w:cs="Barlow Semi Condensed" w:eastAsia="Barlow Semi Condensed" w:hAnsi="Barlow Semi Condensed"/>
          <w:b/>
          <w:bCs/>
          <w:sz w:val="24"/>
          <w:szCs w:val="24"/>
        </w:rPr>
        <w:t xml:space="preserve">4770 · Il file non letto.</w:t>
      </w:r>
      <w:r>
        <w:rPr>
          <w:rFonts w:ascii="Barlow Semi Condensed" w:cs="Barlow Semi Condensed" w:eastAsia="Barlow Semi Condensed" w:hAnsi="Barlow Semi Condensed"/>
          <w:sz w:val="24"/>
          <w:szCs w:val="24"/>
        </w:rPr>
        <w:t xml:space="preserve"> Del secondo memorandum del 26 settembre 1974, file 1552806 della Ford Library, l'apparato K-3 dice che gli estratti reperiti sono parziali e non del tutto concordi. Non è ancora una divergenza censibile: è un documento non letto. Si chiude richiedendo il file integrale alla serie National Security Adviser's Memoranda of Conversation della medesima biblioteca presidenziale.</w:t>
      </w:r>
    </w:p>
    <w:p>
      <w:pPr>
        <w:spacing w:after="120" w:line="276"/>
        <w:jc w:val="both"/>
      </w:pPr>
      <w:r>
        <w:rPr>
          <w:rFonts w:ascii="Barlow Semi Condensed" w:cs="Barlow Semi Condensed" w:eastAsia="Barlow Semi Condensed" w:hAnsi="Barlow Semi Condensed"/>
          <w:b/>
          <w:bCs/>
          <w:sz w:val="24"/>
          <w:szCs w:val="24"/>
        </w:rPr>
        <w:t xml:space="preserve">4771 · Ventidue contro ventitré settembre.</w:t>
      </w:r>
      <w:r>
        <w:rPr>
          <w:rFonts w:ascii="Barlow Semi Condensed" w:cs="Barlow Semi Condensed" w:eastAsia="Barlow Semi Condensed" w:hAnsi="Barlow Semi Condensed"/>
          <w:sz w:val="24"/>
          <w:szCs w:val="24"/>
        </w:rPr>
        <w:t xml:space="preserve"> L'apparato K-2 registra che alcune fonti secondarie datano al 23 settembre 1973 l'inizio dell'incarico di Segretario di Stato, mentre la fonte istituzionale indica il 22, con nomina del 21. Prevale la seconda. È l'unica divergenza sul nome triangolato che il corpus chiude, e la chiude per gerarchia di fonte: la stessa meccanica, sul riconoscimento della Repubblica Democratica Tedesca, ha invece lasciato aperto.</w:t>
      </w:r>
    </w:p>
    <w:p>
      <w:pPr>
        <w:spacing w:after="120" w:line="276"/>
        <w:jc w:val="both"/>
      </w:pPr>
      <w:r>
        <w:rPr>
          <w:rFonts w:ascii="Barlow Semi Condensed" w:cs="Barlow Semi Condensed" w:eastAsia="Barlow Semi Condensed" w:hAnsi="Barlow Semi Condensed"/>
          <w:b/>
          <w:bCs/>
          <w:sz w:val="24"/>
          <w:szCs w:val="24"/>
        </w:rPr>
        <w:t xml:space="preserve">4772 · Il fascicolo contro le enciclopedie.</w:t>
      </w:r>
      <w:r>
        <w:rPr>
          <w:rFonts w:ascii="Barlow Semi Condensed" w:cs="Barlow Semi Condensed" w:eastAsia="Barlow Semi Condensed" w:hAnsi="Barlow Semi Condensed"/>
          <w:sz w:val="24"/>
          <w:szCs w:val="24"/>
        </w:rPr>
        <w:t xml:space="preserve"> La divergenza sull'anglicizzazione da Heinz a Henry è l'unica del corpus in cui un documento sta contro le opere di consultazione: queste la collocano genericamente nel 1938 senza citare atti, il fascicolo d'immigrazione la colloca intorno al 1942-1943, con naturalizzazione il 19 giugno 1943. Il corpus non la scioglie. Sede: il programma di genealogia dell'agenzia statunitense per l'immigrazione e i registri di naturalizzazione.</w:t>
      </w:r>
    </w:p>
    <w:p>
      <w:pPr>
        <w:spacing w:after="120" w:line="276"/>
        <w:jc w:val="both"/>
      </w:pPr>
      <w:r>
        <w:rPr>
          <w:rFonts w:ascii="Barlow Semi Condensed" w:cs="Barlow Semi Condensed" w:eastAsia="Barlow Semi Condensed" w:hAnsi="Barlow Semi Condensed"/>
          <w:b/>
          <w:bCs/>
          <w:sz w:val="24"/>
          <w:szCs w:val="24"/>
        </w:rPr>
        <w:t xml:space="preserve">4773 · Contare per origine, non per occorrenza.</w:t>
      </w:r>
      <w:r>
        <w:rPr>
          <w:rFonts w:ascii="Barlow Semi Condensed" w:cs="Barlow Semi Condensed" w:eastAsia="Barlow Semi Condensed" w:hAnsi="Barlow Semi Condensed"/>
          <w:sz w:val="24"/>
          <w:szCs w:val="24"/>
        </w:rPr>
        <w:t xml:space="preserve"> La settima precisazione dell'apparato K-4 accerta che le decine di riprese pressoché identiche dell'episodio risalgono a un unico lancio d'agenzia del 30 novembre 2023. Non sono fonti divergenti né convergenti: sono la stessa fonte. Regola aritmetica del censimento: le fonti si contano per origine e non per occorrenza, e una replicazione non aggiunge un termine al contraddittorio.</w:t>
      </w:r>
    </w:p>
    <w:p>
      <w:pPr>
        <w:spacing w:after="120" w:line="276"/>
        <w:jc w:val="both"/>
      </w:pPr>
      <w:r>
        <w:rPr>
          <w:rFonts w:ascii="Barlow Semi Condensed" w:cs="Barlow Semi Condensed" w:eastAsia="Barlow Semi Condensed" w:hAnsi="Barlow Semi Condensed"/>
          <w:b/>
          <w:bCs/>
          <w:sz w:val="24"/>
          <w:szCs w:val="24"/>
        </w:rPr>
        <w:t xml:space="preserve">4774 · L'aritmetica del censimento.</w:t>
      </w:r>
      <w:r>
        <w:rPr>
          <w:rFonts w:ascii="Barlow Semi Condensed" w:cs="Barlow Semi Condensed" w:eastAsia="Barlow Semi Condensed" w:hAnsi="Barlow Semi Condensed"/>
          <w:sz w:val="24"/>
          <w:szCs w:val="24"/>
        </w:rPr>
        <w:t xml:space="preserve"> Bilancio numerico, dichiarato. Le divergenze che il corpus riporta e che toccano il nome triangolato sono sette, tutte raccolte nell'apparato K: anagrafe, incarico, durata della visita, data della deposizione, data dell'audizione, collocazione dell'episodio, secondo verbale. Tutte le altre — le otto della Farnesina, quelle guevariane, quelle del Tribunale Speciale, quelle peritali di via Fani — non lo incontrano mai.</w:t>
      </w:r>
    </w:p>
    <w:p>
      <w:pPr>
        <w:spacing w:after="120" w:line="276"/>
        <w:jc w:val="both"/>
      </w:pPr>
      <w:r>
        <w:rPr>
          <w:rFonts w:ascii="Barlow Semi Condensed" w:cs="Barlow Semi Condensed" w:eastAsia="Barlow Semi Condensed" w:hAnsi="Barlow Semi Condensed"/>
          <w:b/>
          <w:bCs/>
          <w:sz w:val="24"/>
          <w:szCs w:val="24"/>
        </w:rPr>
        <w:t xml:space="preserve">4775 · Che cosa smentirebbe la serie (serie LXII).</w:t>
      </w:r>
      <w:r>
        <w:rPr>
          <w:rFonts w:ascii="Barlow Semi Condensed" w:cs="Barlow Semi Condensed" w:eastAsia="Barlow Semi Condensed" w:hAnsi="Barlow Semi Condensed"/>
          <w:sz w:val="24"/>
          <w:szCs w:val="24"/>
        </w:rPr>
        <w:t xml:space="preserve"> Bersaglio di smentita per l'intera serie. Basterebbe un solo documento del corpus che registri due versioni in contrasto su un atto compiuto dal triangolato in Italia — un colloquio verbalizzato, una nota di protocollo, un telegramma — perché il censimento risultasse incompleto. La ricerca è stata condotta su tutti i file del branch e ha dato esito negativo. L'esito si dichiara con la propria data.</w:t>
      </w:r>
    </w:p>
    <w:p>
      <w:pPr>
        <w:spacing w:after="120" w:line="276"/>
        <w:jc w:val="both"/>
      </w:pPr>
      <w:r>
        <w:rPr>
          <w:rFonts w:ascii="Barlow Semi Condensed" w:cs="Barlow Semi Condensed" w:eastAsia="Barlow Semi Condensed" w:hAnsi="Barlow Semi Condensed"/>
          <w:b/>
          <w:bCs/>
          <w:sz w:val="24"/>
          <w:szCs w:val="24"/>
        </w:rPr>
        <w:t xml:space="preserve">4776 · Una divergenza non è un indizio.</w:t>
      </w:r>
      <w:r>
        <w:rPr>
          <w:rFonts w:ascii="Barlow Semi Condensed" w:cs="Barlow Semi Condensed" w:eastAsia="Barlow Semi Condensed" w:hAnsi="Barlow Semi Condensed"/>
          <w:sz w:val="24"/>
          <w:szCs w:val="24"/>
        </w:rPr>
        <w:t xml:space="preserve"> Due fonti che dissentono su una data non creano un fatto nuovo: creano una domanda d'archivio. Il blocco 15 del manuale lo dice per le perizie, il blocco 306 per le letture automatiche, il capitolo III della seconda campagna per gli inventari. Chi legge una divergenza come indizio di occultamento compie il salto che la Parte terza chiama, senza indulgenza, il gesto del pollo.</w:t>
      </w:r>
    </w:p>
    <w:p>
      <w:pPr>
        <w:spacing w:after="120" w:line="276"/>
        <w:jc w:val="both"/>
      </w:pPr>
      <w:r>
        <w:rPr>
          <w:rFonts w:ascii="Barlow Semi Condensed" w:cs="Barlow Semi Condensed" w:eastAsia="Barlow Semi Condensed" w:hAnsi="Barlow Semi Condensed"/>
          <w:b/>
          <w:bCs/>
          <w:sz w:val="24"/>
          <w:szCs w:val="24"/>
        </w:rPr>
        <w:t xml:space="preserve">4777 · Un fatto, oppure una sede.</w:t>
      </w:r>
      <w:r>
        <w:rPr>
          <w:rFonts w:ascii="Barlow Semi Condensed" w:cs="Barlow Semi Condensed" w:eastAsia="Barlow Semi Condensed" w:hAnsi="Barlow Semi Condensed"/>
          <w:sz w:val="24"/>
          <w:szCs w:val="24"/>
        </w:rPr>
        <w:t xml:space="preserve"> Simmetria da fissare. Una divergenza chiusa produce un fatto: il 26 giugno 1972, il 6 settembre 1978, il 18 settembre 1973. Una divergenza aperta produce una sede: Basilea, il Politisches Archiv, il fascicolo della rivista. Entrambe sono acquisizioni di pieno valore, e il censimento non preferisce le prime. Ciò che non produce nulla è soltanto la divergenza taciuta.</w:t>
      </w:r>
    </w:p>
    <w:p>
      <w:pPr>
        <w:spacing w:after="120" w:line="276"/>
        <w:jc w:val="both"/>
      </w:pPr>
      <w:r>
        <w:rPr>
          <w:rFonts w:ascii="Barlow Semi Condensed" w:cs="Barlow Semi Condensed" w:eastAsia="Barlow Semi Condensed" w:hAnsi="Barlow Semi Condensed"/>
          <w:b/>
          <w:bCs/>
          <w:sz w:val="24"/>
          <w:szCs w:val="24"/>
        </w:rPr>
        <w:t xml:space="preserve">4778 · Cinque colonne, una riga ciascuna.</w:t>
      </w:r>
      <w:r>
        <w:rPr>
          <w:rFonts w:ascii="Barlow Semi Condensed" w:cs="Barlow Semi Condensed" w:eastAsia="Barlow Semi Condensed" w:hAnsi="Barlow Semi Condensed"/>
          <w:sz w:val="24"/>
          <w:szCs w:val="24"/>
        </w:rPr>
        <w:t xml:space="preserve"> Atto editoriale proposto, con la sua forma. Una tavola unica del corpus, una riga per divergenza, cinque colonne: oggetto, versioni con la provenienza di ciascuna, sede che la chiuderebbe, stato — aperta, chiusa, allargata, dissolta — e presenza o assenza del nome triangolato. Le fonti esistono già tutte dentro il branch. Manca la tavola, e la sua assenza è essa stessa una lacuna verbalizzabile.</w:t>
      </w:r>
    </w:p>
    <w:p>
      <w:pPr>
        <w:spacing w:after="120" w:line="276"/>
        <w:jc w:val="both"/>
      </w:pPr>
      <w:r>
        <w:rPr>
          <w:rFonts w:ascii="Barlow Semi Condensed" w:cs="Barlow Semi Condensed" w:eastAsia="Barlow Semi Condensed" w:hAnsi="Barlow Semi Condensed"/>
          <w:b/>
          <w:bCs/>
          <w:sz w:val="24"/>
          <w:szCs w:val="24"/>
        </w:rPr>
        <w:t xml:space="preserve">4779 · L'assenza di divergenza.</w:t>
      </w:r>
      <w:r>
        <w:rPr>
          <w:rFonts w:ascii="Barlow Semi Condensed" w:cs="Barlow Semi Condensed" w:eastAsia="Barlow Semi Condensed" w:hAnsi="Barlow Semi Condensed"/>
          <w:sz w:val="24"/>
          <w:szCs w:val="24"/>
        </w:rPr>
        <w:t xml:space="preserve"> Acquisizione finale, e va detta esattamente. Il corpus non riporta alcuna divergenza su un contatto fra il nome triangolato e i tredici condannati, il ceppo Simioni, la scuola Hyperion o Giangiacomo Feltrinelli: perché non riporta alcun contatto. Dove non c'è affermazione non può esserci contrasto fra fonti. L'assenza di divergenza misura l'assenza di documentazione, e non l'accordo delle fonti.</w:t>
      </w:r>
    </w:p>
    <w:p>
      <w:pPr>
        <w:spacing w:after="120" w:line="276"/>
        <w:jc w:val="both"/>
      </w:pPr>
      <w:r>
        <w:rPr>
          <w:rFonts w:ascii="Barlow Semi Condensed" w:cs="Barlow Semi Condensed" w:eastAsia="Barlow Semi Condensed" w:hAnsi="Barlow Semi Condensed"/>
          <w:b/>
          <w:bCs/>
          <w:sz w:val="24"/>
          <w:szCs w:val="24"/>
        </w:rPr>
        <w:t xml:space="preserve">4780 · Che cosa non è stabilito (serie LXII).</w:t>
      </w:r>
      <w:r>
        <w:rPr>
          <w:rFonts w:ascii="Barlow Semi Condensed" w:cs="Barlow Semi Condensed" w:eastAsia="Barlow Semi Condensed" w:hAnsi="Barlow Semi Condensed"/>
          <w:sz w:val="24"/>
          <w:szCs w:val="24"/>
        </w:rPr>
        <w:t xml:space="preserve"> Non è stabilito che il corpus taccia per scelta: tace perché le sue fonti non producono quel nome. Non è stabilito che le divergenze censite siano fra loro connesse: appartengono a domini diversi e a epoche diverse. Non è stabilito che il loro numero significhi qualcosa. Un censimento produce una tavola e un elenco di sedi, non una tesi.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sessantatreesima — I ponti di piano 1, censiti</w:t>
      </w:r>
    </w:p>
    <w:p>
      <w:pPr>
        <w:spacing w:after="120" w:line="276"/>
        <w:jc w:val="both"/>
      </w:pPr>
      <w:r>
        <w:rPr>
          <w:rFonts w:ascii="Barlow Semi Condensed" w:cs="Barlow Semi Condensed" w:eastAsia="Barlow Semi Condensed" w:hAnsi="Barlow Semi Condensed"/>
          <w:i/>
          <w:iCs/>
          <w:sz w:val="24"/>
          <w:szCs w:val="24"/>
        </w:rPr>
        <w:t xml:space="preserve">Blocchi 4781-4855.</w:t>
      </w:r>
    </w:p>
    <w:p>
      <w:pPr>
        <w:spacing w:after="120" w:line="276"/>
        <w:jc w:val="both"/>
      </w:pPr>
      <w:r>
        <w:rPr>
          <w:rFonts w:ascii="Barlow Semi Condensed" w:cs="Barlow Semi Condensed" w:eastAsia="Barlow Semi Condensed" w:hAnsi="Barlow Semi Condensed"/>
          <w:b/>
          <w:bCs/>
          <w:sz w:val="24"/>
          <w:szCs w:val="24"/>
        </w:rPr>
        <w:t xml:space="preserve">4781 · Che cosa questa serie censisce.</w:t>
      </w:r>
      <w:r>
        <w:rPr>
          <w:rFonts w:ascii="Barlow Semi Condensed" w:cs="Barlow Semi Condensed" w:eastAsia="Barlow Semi Condensed" w:hAnsi="Barlow Semi Condensed"/>
          <w:sz w:val="24"/>
          <w:szCs w:val="24"/>
        </w:rPr>
        <w:t xml:space="preserve"> Il territorio assegnato è l'intero corpus, e l'oggetto è uno solo: dove esista un rapporto diretto documentato. Si conta ciò che un documento con segnatura attesta nominando entrambe le parti, secondo la regola fissata al blocco 22 dell'opera kissinger-mille-blocchi-il-codice-e-la-sua-trasmissione. Tutto il resto — somiglianza di cornice, simultaneità, ripetizione pubblicistica — è registrato altrove e non entra qui. Il censimento è un elenco chiuso, non una rassegna.</w:t>
      </w:r>
    </w:p>
    <w:p>
      <w:pPr>
        <w:spacing w:after="120" w:line="276"/>
        <w:jc w:val="both"/>
      </w:pPr>
      <w:r>
        <w:rPr>
          <w:rFonts w:ascii="Barlow Semi Condensed" w:cs="Barlow Semi Condensed" w:eastAsia="Barlow Semi Condensed" w:hAnsi="Barlow Semi Condensed"/>
          <w:b/>
          <w:bCs/>
          <w:sz w:val="24"/>
          <w:szCs w:val="24"/>
        </w:rPr>
        <w:t xml:space="preserve">4782 · La stringa, ricontata file per file.</w:t>
      </w:r>
      <w:r>
        <w:rPr>
          <w:rFonts w:ascii="Barlow Semi Condensed" w:cs="Barlow Semi Condensed" w:eastAsia="Barlow Semi Condensed" w:hAnsi="Barlow Semi Condensed"/>
          <w:sz w:val="24"/>
          <w:szCs w:val="24"/>
        </w:rPr>
        <w:t xml:space="preserve"> La ricerca meccanica su tutto il branch restituisce sedici file che recano il nome, e il conteggio per riga li ordina: centodiciassette all'opera dedicata, sette a volume.html della cartella Farnesina, cinque a triangolazioni-guevara-moro, tre a dal-che-a-moro e all'INDICE-DOCUMENTI-BRANCH, due a note-bibliografiche, turchia-opus-dei, Parte terza e GUIDA-ALLA-LETTURA, una sola a sette file. È la base di partenza, e va rifatta a ogni versamento.</w:t>
      </w:r>
    </w:p>
    <w:p>
      <w:pPr>
        <w:spacing w:after="120" w:line="276"/>
        <w:jc w:val="both"/>
      </w:pPr>
      <w:r>
        <w:rPr>
          <w:rFonts w:ascii="Barlow Semi Condensed" w:cs="Barlow Semi Condensed" w:eastAsia="Barlow Semi Condensed" w:hAnsi="Barlow Semi Condensed"/>
          <w:b/>
          <w:bCs/>
          <w:sz w:val="24"/>
          <w:szCs w:val="24"/>
        </w:rPr>
        <w:t xml:space="preserve">4783 · Un'occorrenza non è un arco.</w:t>
      </w:r>
      <w:r>
        <w:rPr>
          <w:rFonts w:ascii="Barlow Semi Condensed" w:cs="Barlow Semi Condensed" w:eastAsia="Barlow Semi Condensed" w:hAnsi="Barlow Semi Condensed"/>
          <w:sz w:val="24"/>
          <w:szCs w:val="24"/>
        </w:rPr>
        <w:t xml:space="preserve"> La distinzione va posta prima di leggere l'elenco. Molte occorrenze sono descrizioni di catalogo, rinvii interni, titoli di volume rilegato: nominano senza attestare alcun rapporto. Un arco richiede altro, cioè un documento di provenienza che nomini la controparte, secondo il test enunciato nella sezione «Che cosa quest'opera non ha stabilito». Chi conta le occorrenze e chiama il risultato rete ha già falsato la misura.</w:t>
      </w:r>
    </w:p>
    <w:p>
      <w:pPr>
        <w:spacing w:after="120" w:line="276"/>
        <w:jc w:val="both"/>
      </w:pPr>
      <w:r>
        <w:rPr>
          <w:rFonts w:ascii="Barlow Semi Condensed" w:cs="Barlow Semi Condensed" w:eastAsia="Barlow Semi Condensed" w:hAnsi="Barlow Semi Condensed"/>
          <w:b/>
          <w:bCs/>
          <w:sz w:val="24"/>
          <w:szCs w:val="24"/>
        </w:rPr>
        <w:t xml:space="preserve">4784 · I sei documenti che lo nominano.</w:t>
      </w:r>
      <w:r>
        <w:rPr>
          <w:rFonts w:ascii="Barlow Semi Condensed" w:cs="Barlow Semi Condensed" w:eastAsia="Barlow Semi Condensed" w:hAnsi="Barlow Semi Condensed"/>
          <w:sz w:val="24"/>
          <w:szCs w:val="24"/>
        </w:rPr>
        <w:t xml:space="preserve"> Fuori dall'opera dedicata, il corpus cita con segnatura sei documenti in cui il nome compare come partecipante o come autore: i due memorandum di conversazione del 25 e del 26 settembre 1974 della Ford Library, il verbale del Comitato dei 303 dell'11 marzo 1969, la valutazione su Lisbona del volume E-15, il telegramma su Helsinki del 2 agosto 1975, il memorandum a Ford sull'oppio anatolico.</w:t>
      </w:r>
    </w:p>
    <w:p>
      <w:pPr>
        <w:spacing w:after="120" w:line="276"/>
        <w:jc w:val="both"/>
      </w:pPr>
      <w:r>
        <w:rPr>
          <w:rFonts w:ascii="Barlow Semi Condensed" w:cs="Barlow Semi Condensed" w:eastAsia="Barlow Semi Condensed" w:hAnsi="Barlow Semi Condensed"/>
          <w:b/>
          <w:bCs/>
          <w:sz w:val="24"/>
          <w:szCs w:val="24"/>
        </w:rPr>
        <w:t xml:space="preserve">4785 · Due soli toccano Aldo Moro.</w:t>
      </w:r>
      <w:r>
        <w:rPr>
          <w:rFonts w:ascii="Barlow Semi Condensed" w:cs="Barlow Semi Condensed" w:eastAsia="Barlow Semi Condensed" w:hAnsi="Barlow Semi Condensed"/>
          <w:sz w:val="24"/>
          <w:szCs w:val="24"/>
        </w:rPr>
        <w:t xml:space="preserve"> Dei sei, quattro appartengono a dossier che Moro non attraversa: l'Italia del 1969, il Portogallo del 1975, la cerimonia finlandese vista da Washington, la questione degli oppiacei di Ankara. Restano i due verbali del settembre 1974, ed è tutto il piano 1 fra i due nomi che il corpus possiede. Il Capitolo IV della ricognizione-madre lo dice senza attenuazioni, e il censimento lo conferma.</w:t>
      </w:r>
    </w:p>
    <w:p>
      <w:pPr>
        <w:spacing w:after="120" w:line="276"/>
        <w:jc w:val="both"/>
      </w:pPr>
      <w:r>
        <w:rPr>
          <w:rFonts w:ascii="Barlow Semi Condensed" w:cs="Barlow Semi Condensed" w:eastAsia="Barlow Semi Condensed" w:hAnsi="Barlow Semi Condensed"/>
          <w:b/>
          <w:bCs/>
          <w:sz w:val="24"/>
          <w:szCs w:val="24"/>
        </w:rPr>
        <w:t xml:space="preserve">4786 · Il limite dichiarato pesa qui.</w:t>
      </w:r>
      <w:r>
        <w:rPr>
          <w:rFonts w:ascii="Barlow Semi Condensed" w:cs="Barlow Semi Condensed" w:eastAsia="Barlow Semi Condensed" w:hAnsi="Barlow Semi Condensed"/>
          <w:sz w:val="24"/>
          <w:szCs w:val="24"/>
        </w:rPr>
        <w:t xml:space="preserve"> L'apparato K-5 dell'opera dedicata verbalizza che la campagna non poté leggere i documenti primari, essendo l'accesso bloccato dal proxy di rete. Ne discende che ciascuna delle sei voci è, allo stato, una citazione verificata su sintesi. Il primo bersaglio della serie è dunque un verbale di collazione: sei documenti, sei riscontri sul testo edito dall'Office of the Historian e sulle scansioni della Gerald R. Ford Presidential Library.</w:t>
      </w:r>
    </w:p>
    <w:p>
      <w:pPr>
        <w:spacing w:after="120" w:line="276"/>
        <w:jc w:val="both"/>
      </w:pPr>
      <w:r>
        <w:rPr>
          <w:rFonts w:ascii="Barlow Semi Condensed" w:cs="Barlow Semi Condensed" w:eastAsia="Barlow Semi Condensed" w:hAnsi="Barlow Semi Condensed"/>
          <w:b/>
          <w:bCs/>
          <w:sz w:val="24"/>
          <w:szCs w:val="24"/>
        </w:rPr>
        <w:t xml:space="preserve">4787 · Ford Library 1552802, l'unico arco.</w:t>
      </w:r>
      <w:r>
        <w:rPr>
          <w:rFonts w:ascii="Barlow Semi Condensed" w:cs="Barlow Semi Condensed" w:eastAsia="Barlow Semi Condensed" w:hAnsi="Barlow Semi Condensed"/>
          <w:sz w:val="24"/>
          <w:szCs w:val="24"/>
        </w:rPr>
        <w:t xml:space="preserve"> Il memorandum di conversazione dello Studio Ovale del 25 settembre 1974 — Leone, Moro, Ford, Kissinger, Scowcroft — è il file 1552802 della Ford Library ed è il documento 350 del volume FRUS 1969-1976 E-15 parte 2, seconda edizione riveduta. Grado A. È l'unico atto del corpus in cui i due nomi stanno nello stesso verbale, ed è ciò che il censimento chiama un ponte.</w:t>
      </w:r>
    </w:p>
    <w:p>
      <w:pPr>
        <w:spacing w:after="120" w:line="276"/>
        <w:jc w:val="both"/>
      </w:pPr>
      <w:r>
        <w:rPr>
          <w:rFonts w:ascii="Barlow Semi Condensed" w:cs="Barlow Semi Condensed" w:eastAsia="Barlow Semi Condensed" w:hAnsi="Barlow Semi Condensed"/>
          <w:b/>
          <w:bCs/>
          <w:sz w:val="24"/>
          <w:szCs w:val="24"/>
        </w:rPr>
        <w:t xml:space="preserve">4788 · La seconda edizione riveduta, da collazionare (serie LXIII).</w:t>
      </w:r>
      <w:r>
        <w:rPr>
          <w:rFonts w:ascii="Barlow Semi Condensed" w:cs="Barlow Semi Condensed" w:eastAsia="Barlow Semi Condensed" w:hAnsi="Barlow Semi Condensed"/>
          <w:sz w:val="24"/>
          <w:szCs w:val="24"/>
        </w:rPr>
        <w:t xml:space="preserve"> La citazione corretta reca la specificazione di edizione, e l'apparato K-3 chiede di conservarla. Una revisione editoriale può aggiungere note, mutare l'apparato critico, correggere una trascrizione. Il bersaglio è la collazione fra prima e seconda edizione del documento 350: che cosa è cambiato, in quale punto, su quale base. Finché la collazione manca, chi cita l'una per l'altra sta citando due testi possibilmente diversi.</w:t>
      </w:r>
    </w:p>
    <w:p>
      <w:pPr>
        <w:spacing w:after="120" w:line="276"/>
        <w:jc w:val="both"/>
      </w:pPr>
      <w:r>
        <w:rPr>
          <w:rFonts w:ascii="Barlow Semi Condensed" w:cs="Barlow Semi Condensed" w:eastAsia="Barlow Semi Condensed" w:hAnsi="Barlow Semi Condensed"/>
          <w:b/>
          <w:bCs/>
          <w:sz w:val="24"/>
          <w:szCs w:val="24"/>
        </w:rPr>
        <w:t xml:space="preserve">4789 · Il verbale del 26 settembre (serie LXIII).</w:t>
      </w:r>
      <w:r>
        <w:rPr>
          <w:rFonts w:ascii="Barlow Semi Condensed" w:cs="Barlow Semi Condensed" w:eastAsia="Barlow Semi Condensed" w:hAnsi="Barlow Semi Condensed"/>
          <w:sz w:val="24"/>
          <w:szCs w:val="24"/>
        </w:rPr>
        <w:t xml:space="preserve"> Il secondo colloquio ha segnatura propria, il file 1552806, ed è registrato dalla ricognizione-madre come parimenti disponibile; l'apparato K-3 aggiunge però che gli estratti reperiti sono parziali e non del tutto concordi. Nessun documento del corpus ne trascrive il contenuto. È Stato Zero, e la sede che lo chiude è una sola: i National Security Adviser's Memoranda of Conversation della Ford Library, ad Ann Arbor.</w:t>
      </w:r>
    </w:p>
    <w:p>
      <w:pPr>
        <w:spacing w:after="120" w:line="276"/>
        <w:jc w:val="both"/>
      </w:pPr>
      <w:r>
        <w:rPr>
          <w:rFonts w:ascii="Barlow Semi Condensed" w:cs="Barlow Semi Condensed" w:eastAsia="Barlow Semi Condensed" w:hAnsi="Barlow Semi Condensed"/>
          <w:b/>
          <w:bCs/>
          <w:sz w:val="24"/>
          <w:szCs w:val="24"/>
        </w:rPr>
        <w:t xml:space="preserve">4790 · La via d'accesso è una copia.</w:t>
      </w:r>
      <w:r>
        <w:rPr>
          <w:rFonts w:ascii="Barlow Semi Condensed" w:cs="Barlow Semi Condensed" w:eastAsia="Barlow Semi Condensed" w:hAnsi="Barlow Semi Condensed"/>
          <w:sz w:val="24"/>
          <w:szCs w:val="24"/>
        </w:rPr>
        <w:t xml:space="preserve"> Per il file 1552802 la ricognizione-madre e volume.html rinviano a una riproduzione su Internet Archive. È un derivato: scansione, riconoscimento ottico, ripubblicazione. La regola della replicazione, enunciata al blocco 25 dell'opera dedicata, impone di dichiarare la catena di copia. Il bersaglio è il confronto fra quella riproduzione e l'originale conservato dalla biblioteca presidenziale, con verbale delle divergenze eventualmente riscontrate.</w:t>
      </w:r>
    </w:p>
    <w:p>
      <w:pPr>
        <w:spacing w:after="120" w:line="276"/>
        <w:jc w:val="both"/>
      </w:pPr>
      <w:r>
        <w:rPr>
          <w:rFonts w:ascii="Barlow Semi Condensed" w:cs="Barlow Semi Condensed" w:eastAsia="Barlow Semi Condensed" w:hAnsi="Barlow Semi Condensed"/>
          <w:b/>
          <w:bCs/>
          <w:sz w:val="24"/>
          <w:szCs w:val="24"/>
        </w:rPr>
        <w:t xml:space="preserve">4791 · Ciò che il verbale attesta.</w:t>
      </w:r>
      <w:r>
        <w:rPr>
          <w:rFonts w:ascii="Barlow Semi Condensed" w:cs="Barlow Semi Condensed" w:eastAsia="Barlow Semi Condensed" w:hAnsi="Barlow Semi Condensed"/>
          <w:sz w:val="24"/>
          <w:szCs w:val="24"/>
        </w:rPr>
        <w:t xml:space="preserve"> Vi è documentata la posizione secondo cui non si sarebbero potute scambiare informazioni militari con un governo comprendente i comunisti, col precedente portoghese richiamato, e il rilievo che un partito comunista responsabile sarebbe alla lunga più pericoloso di uno irresponsabile. Non vi compare alcun ultimatum personale. La regola di lettura è quella dell'apparato K-3: documento e testimonianza contestata sono due piani, e non si sovrappongono mai.</w:t>
      </w:r>
    </w:p>
    <w:p>
      <w:pPr>
        <w:spacing w:after="120" w:line="276"/>
        <w:jc w:val="both"/>
      </w:pPr>
      <w:r>
        <w:rPr>
          <w:rFonts w:ascii="Barlow Semi Condensed" w:cs="Barlow Semi Condensed" w:eastAsia="Barlow Semi Condensed" w:hAnsi="Barlow Semi Condensed"/>
          <w:b/>
          <w:bCs/>
          <w:sz w:val="24"/>
          <w:szCs w:val="24"/>
        </w:rPr>
        <w:t xml:space="preserve">4792 · Le date della visita divergono (serie LXIII).</w:t>
      </w:r>
      <w:r>
        <w:rPr>
          <w:rFonts w:ascii="Barlow Semi Condensed" w:cs="Barlow Semi Condensed" w:eastAsia="Barlow Semi Condensed" w:hAnsi="Barlow Semi Condensed"/>
          <w:sz w:val="24"/>
          <w:szCs w:val="24"/>
        </w:rPr>
        <w:t xml:space="preserve"> Gli atti presidenziali collocano la visita di Stato fra il 25 e il 29 settembre 1974; la nota editoriale del volume FRUS la chiude al 27. La divergenza si riporta e non si sceglie in silenzio, secondo la sesta regola del metodo. La sede che la scioglie è il President's Daily Diary della Ford Library, che registra impegni e presenze giorno per giorno, con orario.</w:t>
      </w:r>
    </w:p>
    <w:p>
      <w:pPr>
        <w:spacing w:after="120" w:line="276"/>
        <w:jc w:val="both"/>
      </w:pPr>
      <w:r>
        <w:rPr>
          <w:rFonts w:ascii="Barlow Semi Condensed" w:cs="Barlow Semi Condensed" w:eastAsia="Barlow Semi Condensed" w:hAnsi="Barlow Semi Condensed"/>
          <w:b/>
          <w:bCs/>
          <w:sz w:val="24"/>
          <w:szCs w:val="24"/>
        </w:rPr>
        <w:t xml:space="preserve">4793 · La delegazione del settembre 1974.</w:t>
      </w:r>
      <w:r>
        <w:rPr>
          <w:rFonts w:ascii="Barlow Semi Condensed" w:cs="Barlow Semi Condensed" w:eastAsia="Barlow Semi Condensed" w:hAnsi="Barlow Semi Condensed"/>
          <w:sz w:val="24"/>
          <w:szCs w:val="24"/>
        </w:rPr>
        <w:t xml:space="preserve"> Il corpus possiede l'elenco nominativo della delegazione italiana per la visita dell'aprile 1965, non per quella del settembre 1974. Chi accompagnasse Leone e Moro allo Studio Ovale, chi fosse ai pranzi ufficiali e chi al margine, resta ignoto. Stato Zero. Le sedi che lo chiudono sono il cerimoniale della Farnesina presso l'Archivio storico diplomatico e le carte della Presidenza della Repubblica.</w:t>
      </w:r>
    </w:p>
    <w:p>
      <w:pPr>
        <w:spacing w:after="120" w:line="276"/>
        <w:jc w:val="both"/>
      </w:pPr>
      <w:r>
        <w:rPr>
          <w:rFonts w:ascii="Barlow Semi Condensed" w:cs="Barlow Semi Condensed" w:eastAsia="Barlow Semi Condensed" w:hAnsi="Barlow Semi Condensed"/>
          <w:b/>
          <w:bCs/>
          <w:sz w:val="24"/>
          <w:szCs w:val="24"/>
        </w:rPr>
        <w:t xml:space="preserve">4794 · Guerzoni a Washington, aprile 1965.</w:t>
      </w:r>
      <w:r>
        <w:rPr>
          <w:rFonts w:ascii="Barlow Semi Condensed" w:cs="Barlow Semi Condensed" w:eastAsia="Barlow Semi Condensed" w:hAnsi="Barlow Semi Condensed"/>
          <w:sz w:val="24"/>
          <w:szCs w:val="24"/>
        </w:rPr>
        <w:t xml:space="preserve"> Il documento più istruttivo del censimento non nomina Kissinger: è il comunicato stampa numero 76 del Dipartimento di Stato del 16 aprile 1965, trascritto in documenti-state-dept-1965-1978, che elenca fra i membri della delegazione Corrado Guerzoni, capo dell'Ufficio stampa della Presidenza del Consiglio. Il teste dell'avvertimento risulta documentato nella capitale statunitense, ma nove anni prima, e al seguito di Rusk e Johnson.</w:t>
      </w:r>
    </w:p>
    <w:p>
      <w:pPr>
        <w:spacing w:after="120" w:line="276"/>
        <w:jc w:val="both"/>
      </w:pPr>
      <w:r>
        <w:rPr>
          <w:rFonts w:ascii="Barlow Semi Condensed" w:cs="Barlow Semi Condensed" w:eastAsia="Barlow Semi Condensed" w:hAnsi="Barlow Semi Condensed"/>
          <w:b/>
          <w:bCs/>
          <w:sz w:val="24"/>
          <w:szCs w:val="24"/>
        </w:rPr>
        <w:t xml:space="preserve">4795 · L'interprete, e la lingua.</w:t>
      </w:r>
      <w:r>
        <w:rPr>
          <w:rFonts w:ascii="Barlow Semi Condensed" w:cs="Barlow Semi Condensed" w:eastAsia="Barlow Semi Condensed" w:hAnsi="Barlow Semi Condensed"/>
          <w:sz w:val="24"/>
          <w:szCs w:val="24"/>
        </w:rPr>
        <w:t xml:space="preserve"> L'apparato K-4 riporta la smentita fondata sul dato che Moro non parlava inglese e che l'episodio fu verificato allora con l'interprete. Nessun documento del corpus nomina quell'interprete. Il bersaglio è preciso e a basso costo: l'elenco dei partecipanti in testa al memorandum del 25 settembre 1974, e le carte del servizio interpreti della Farnesina per la missione di quella settimana.</w:t>
      </w:r>
    </w:p>
    <w:p>
      <w:pPr>
        <w:spacing w:after="120" w:line="276"/>
        <w:jc w:val="both"/>
      </w:pPr>
      <w:r>
        <w:rPr>
          <w:rFonts w:ascii="Barlow Semi Condensed" w:cs="Barlow Semi Condensed" w:eastAsia="Barlow Semi Condensed" w:hAnsi="Barlow Semi Condensed"/>
          <w:b/>
          <w:bCs/>
          <w:sz w:val="24"/>
          <w:szCs w:val="24"/>
        </w:rPr>
        <w:t xml:space="preserve">4796 · Che cosa abbatterebbe l'arco.</w:t>
      </w:r>
      <w:r>
        <w:rPr>
          <w:rFonts w:ascii="Barlow Semi Condensed" w:cs="Barlow Semi Condensed" w:eastAsia="Barlow Semi Condensed" w:hAnsi="Barlow Semi Condensed"/>
          <w:sz w:val="24"/>
          <w:szCs w:val="24"/>
        </w:rPr>
        <w:t xml:space="preserve"> L'arco del settembre 1974 cadrebbe alla sola condizione che il memorandum risultasse apocrifo o mal attribuito: partecipanti diversi, data diversa, sede diversa. Nulla lo indica, e nessuna fonte lo contesta. Il bersaglio di smentita si dichiara ugualmente, perché un censimento che non enunci la condizione di caduta dei propri ponti non è verificabile. La verifica si conduce sul registro d'ingresso della Casa Bianca.</w:t>
      </w:r>
    </w:p>
    <w:p>
      <w:pPr>
        <w:spacing w:after="120" w:line="276"/>
        <w:jc w:val="both"/>
      </w:pPr>
      <w:r>
        <w:rPr>
          <w:rFonts w:ascii="Barlow Semi Condensed" w:cs="Barlow Semi Condensed" w:eastAsia="Barlow Semi Condensed" w:hAnsi="Barlow Semi Condensed"/>
          <w:b/>
          <w:bCs/>
          <w:sz w:val="24"/>
          <w:szCs w:val="24"/>
        </w:rPr>
        <w:t xml:space="preserve">4797 · FRUS XLI, documento centottanta.</w:t>
      </w:r>
      <w:r>
        <w:rPr>
          <w:rFonts w:ascii="Barlow Semi Condensed" w:cs="Barlow Semi Condensed" w:eastAsia="Barlow Semi Condensed" w:hAnsi="Barlow Semi Condensed"/>
          <w:sz w:val="24"/>
          <w:szCs w:val="24"/>
        </w:rPr>
        <w:t xml:space="preserve"> La riunione del Comitato dei 303 dell'11 marzo 1969, da lui presieduta con Johnson, Packard e Helms presenti, è edita nel volume XLI. Karamessines vi illustrò origini e livelli del programma di sostegno coperto ai partiti italiani fra il 1948 e il 1968. È piano 1 verso un apparato e verso una categoria di destinatari, non verso una persona italiana determinata, e così va citato.</w:t>
      </w:r>
    </w:p>
    <w:p>
      <w:pPr>
        <w:spacing w:after="120" w:line="276"/>
        <w:jc w:val="both"/>
      </w:pPr>
      <w:r>
        <w:rPr>
          <w:rFonts w:ascii="Barlow Semi Condensed" w:cs="Barlow Semi Condensed" w:eastAsia="Barlow Semi Condensed" w:hAnsi="Barlow Semi Condensed"/>
          <w:b/>
          <w:bCs/>
          <w:sz w:val="24"/>
          <w:szCs w:val="24"/>
        </w:rPr>
        <w:t xml:space="preserve">4798 · Un arco ai partiti, non a Moro.</w:t>
      </w:r>
      <w:r>
        <w:rPr>
          <w:rFonts w:ascii="Barlow Semi Condensed" w:cs="Barlow Semi Condensed" w:eastAsia="Barlow Semi Condensed" w:hAnsi="Barlow Semi Condensed"/>
          <w:sz w:val="24"/>
          <w:szCs w:val="24"/>
        </w:rPr>
        <w:t xml:space="preserve"> Che la riunione preceda di quasi cinque mesi l'insediamento del 5 agosto 1969 è già scritto nella ricognizione-madre. Il censimento aggiunge un rilievo diverso: il verbale non nomina alcun destinatario individuale. Chi lo usasse per costruire un arco verso un uomo politico italiano determinato costruirebbe un arco che il documento non contiene. La contemporaneità è apparente, e l'individuazione manca del tutto.</w:t>
      </w:r>
    </w:p>
    <w:p>
      <w:pPr>
        <w:spacing w:after="120" w:line="276"/>
        <w:jc w:val="both"/>
      </w:pPr>
      <w:r>
        <w:rPr>
          <w:rFonts w:ascii="Barlow Semi Condensed" w:cs="Barlow Semi Condensed" w:eastAsia="Barlow Semi Condensed" w:hAnsi="Barlow Semi Condensed"/>
          <w:b/>
          <w:bCs/>
          <w:sz w:val="24"/>
          <w:szCs w:val="24"/>
        </w:rPr>
        <w:t xml:space="preserve">4799 · Un diniego non è un programma.</w:t>
      </w:r>
      <w:r>
        <w:rPr>
          <w:rFonts w:ascii="Barlow Semi Condensed" w:cs="Barlow Semi Condensed" w:eastAsia="Barlow Semi Condensed" w:hAnsi="Barlow Semi Condensed"/>
          <w:sz w:val="24"/>
          <w:szCs w:val="24"/>
        </w:rPr>
        <w:t xml:space="preserve"> Il contenuto deliberativo di quel verbale è negativo: i presenti convennero all'unanimità che non vi fosse reale giustificazione per riprendere il finanziamento coperto. Un documento che attesta una chiusura non attesta un'apertura, e la circolazione pubblica lo cita spesso al rovescio. La regola di lettura è che il grado riguarda ciò che il documento dice, non ciò che si desidera abbia detto.</w:t>
      </w:r>
    </w:p>
    <w:p>
      <w:pPr>
        <w:spacing w:after="120" w:line="276"/>
        <w:jc w:val="both"/>
      </w:pPr>
      <w:r>
        <w:rPr>
          <w:rFonts w:ascii="Barlow Semi Condensed" w:cs="Barlow Semi Condensed" w:eastAsia="Barlow Semi Condensed" w:hAnsi="Barlow Semi Condensed"/>
          <w:b/>
          <w:bCs/>
          <w:sz w:val="24"/>
          <w:szCs w:val="24"/>
        </w:rPr>
        <w:t xml:space="preserve">4800 · Il riemergere del 1975 e 1976 (serie LXIII).</w:t>
      </w:r>
      <w:r>
        <w:rPr>
          <w:rFonts w:ascii="Barlow Semi Condensed" w:cs="Barlow Semi Condensed" w:eastAsia="Barlow Semi Condensed" w:hAnsi="Barlow Semi Condensed"/>
          <w:sz w:val="24"/>
          <w:szCs w:val="24"/>
        </w:rPr>
        <w:t xml:space="preserve"> Un saggio peer-reviewed del 2024, richiamato dalla ricognizione-madre, riferisce che il programma di azione coperta in Italia riemerse nel novembre 1975 e nel luglio 1976. È fonte secondaria qualificata, non atto. Il bersaglio è il verbale primario delle sedute corrispondenti, da cercare fra le carte del Comitato dei Quaranta nei fondi del Consiglio di sicurezza nazionale, alla Ford Library e a College Park.</w:t>
      </w:r>
    </w:p>
    <w:p>
      <w:pPr>
        <w:spacing w:after="120" w:line="276"/>
        <w:jc w:val="both"/>
      </w:pPr>
      <w:r>
        <w:rPr>
          <w:rFonts w:ascii="Barlow Semi Condensed" w:cs="Barlow Semi Condensed" w:eastAsia="Barlow Semi Condensed" w:hAnsi="Barlow Semi Condensed"/>
          <w:b/>
          <w:bCs/>
          <w:sz w:val="24"/>
          <w:szCs w:val="24"/>
        </w:rPr>
        <w:t xml:space="preserve">4801 · Stato Zero sul Comitato dei Quaranta.</w:t>
      </w:r>
      <w:r>
        <w:rPr>
          <w:rFonts w:ascii="Barlow Semi Condensed" w:cs="Barlow Semi Condensed" w:eastAsia="Barlow Semi Condensed" w:hAnsi="Barlow Semi Condensed"/>
          <w:sz w:val="24"/>
          <w:szCs w:val="24"/>
        </w:rPr>
        <w:t xml:space="preserve"> Nessun documento del corpus reca la segnatura di una seduta del 1975 o del 1976 relativa all'Italia, e nessuno ne nomina i partecipanti. L'assenza si verbalizza con perimetro esatto, secondo il blocco 233 dell'agenda di ricerca. Va aggiunto il dato di carica: il 3 novembre 1975 egli cessò dall'incarico di assistente per la sicurezza nazionale, restando Segretario di Stato fino al gennaio 1977.</w:t>
      </w:r>
    </w:p>
    <w:p>
      <w:pPr>
        <w:spacing w:after="120" w:line="276"/>
        <w:jc w:val="both"/>
      </w:pPr>
      <w:r>
        <w:rPr>
          <w:rFonts w:ascii="Barlow Semi Condensed" w:cs="Barlow Semi Condensed" w:eastAsia="Barlow Semi Condensed" w:hAnsi="Barlow Semi Condensed"/>
          <w:b/>
          <w:bCs/>
          <w:sz w:val="24"/>
          <w:szCs w:val="24"/>
        </w:rPr>
        <w:t xml:space="preserve">4802 · Che cosa smentirebbe la lettura del 1969.</w:t>
      </w:r>
      <w:r>
        <w:rPr>
          <w:rFonts w:ascii="Barlow Semi Condensed" w:cs="Barlow Semi Condensed" w:eastAsia="Barlow Semi Condensed" w:hAnsi="Barlow Semi Condensed"/>
          <w:sz w:val="24"/>
          <w:szCs w:val="24"/>
        </w:rPr>
        <w:t xml:space="preserve"> La lettura qui adottata — un diniego collegiale, senza destinatari individuati — cadrebbe se emergesse un atto successivo che disponga erogazioni nominative entro il perimetro italiano. Sarebbe documento nuovo, e imporrebbe di riscrivere questa voce del censimento. Fino ad allora il volume XLI attesta ciò che attesta, e nessuna inferenza sul seguito è ammessa, perché il seguito è esattamente ciò che manca.</w:t>
      </w:r>
    </w:p>
    <w:p>
      <w:pPr>
        <w:spacing w:after="120" w:line="276"/>
        <w:jc w:val="both"/>
      </w:pPr>
      <w:r>
        <w:rPr>
          <w:rFonts w:ascii="Barlow Semi Condensed" w:cs="Barlow Semi Condensed" w:eastAsia="Barlow Semi Condensed" w:hAnsi="Barlow Semi Condensed"/>
          <w:b/>
          <w:bCs/>
          <w:sz w:val="24"/>
          <w:szCs w:val="24"/>
        </w:rPr>
        <w:t xml:space="preserve">4803 · FRUS E-15, il regime neutralista.</w:t>
      </w:r>
      <w:r>
        <w:rPr>
          <w:rFonts w:ascii="Barlow Semi Condensed" w:cs="Barlow Semi Condensed" w:eastAsia="Barlow Semi Condensed" w:hAnsi="Barlow Semi Condensed"/>
          <w:sz w:val="24"/>
          <w:szCs w:val="24"/>
        </w:rPr>
        <w:t xml:space="preserve"> Il dossier portoghese della cartella Farnesina cita, al Capitolo IX, il documento 153 del volume E-15 parte 2: vi si paventa per Lisbona non una presa comunista del potere, ma un regime neutralista di sinistra che resti nell'Alleanza atlantica. È piano 1 rispetto a una posizione espressa, con autore nominato e segnatura. Vale per il Portogallo, e per esso soltanto.</w:t>
      </w:r>
    </w:p>
    <w:p>
      <w:pPr>
        <w:spacing w:after="120" w:line="276"/>
        <w:jc w:val="both"/>
      </w:pPr>
      <w:r>
        <w:rPr>
          <w:rFonts w:ascii="Barlow Semi Condensed" w:cs="Barlow Semi Condensed" w:eastAsia="Barlow Semi Condensed" w:hAnsi="Barlow Semi Condensed"/>
          <w:b/>
          <w:bCs/>
          <w:sz w:val="24"/>
          <w:szCs w:val="24"/>
        </w:rPr>
        <w:t xml:space="preserve">4804 · Il documento portoghese resta portoghese.</w:t>
      </w:r>
      <w:r>
        <w:rPr>
          <w:rFonts w:ascii="Barlow Semi Condensed" w:cs="Barlow Semi Condensed" w:eastAsia="Barlow Semi Condensed" w:hAnsi="Barlow Semi Condensed"/>
          <w:sz w:val="24"/>
          <w:szCs w:val="24"/>
        </w:rPr>
        <w:t xml:space="preserve"> Trasferire quella formula al caso italiano senza un documento italiano sarebbe analogia scambiata per omologia, e l'opera dedicata lo scrive al blocco 42. Il censimento ne trae la conseguenza operativa: nella tavola degli archi il documento 153 si iscrive alla colonna Lisbona, non alla colonna Roma. Un arco si iscrive dove il documento lo colloca, mai dove l'interpretazione lo vorrebbe.</w:t>
      </w:r>
    </w:p>
    <w:p>
      <w:pPr>
        <w:spacing w:after="120" w:line="276"/>
        <w:jc w:val="both"/>
      </w:pPr>
      <w:r>
        <w:rPr>
          <w:rFonts w:ascii="Barlow Semi Condensed" w:cs="Barlow Semi Condensed" w:eastAsia="Barlow Semi Condensed" w:hAnsi="Barlow Semi Condensed"/>
          <w:b/>
          <w:bCs/>
          <w:sz w:val="24"/>
          <w:szCs w:val="24"/>
        </w:rPr>
        <w:t xml:space="preserve">4805 · Il telegramma del 2 agosto 1975 (serie LXIII).</w:t>
      </w:r>
      <w:r>
        <w:rPr>
          <w:rFonts w:ascii="Barlow Semi Condensed" w:cs="Barlow Semi Condensed" w:eastAsia="Barlow Semi Condensed" w:hAnsi="Barlow Semi Condensed"/>
          <w:sz w:val="24"/>
          <w:szCs w:val="24"/>
        </w:rPr>
        <w:t xml:space="preserve"> Nel dossier greco compare il documento 334 del volume XXXIX, telegramma a sua firma del 2 agosto 1975, che conferma la sottoscrizione dell'Atto finale da parte di trentacinque capi di Stato o di governo e descrive la cerimonia, riportando la dichiarazione interpretativa cipriota in risposta alla riserva turca. È piano 1 su un fatto cerimoniale e diplomatico, e nient'altro vi si legge.</w:t>
      </w:r>
    </w:p>
    <w:p>
      <w:pPr>
        <w:spacing w:after="120" w:line="276"/>
        <w:jc w:val="both"/>
      </w:pPr>
      <w:r>
        <w:rPr>
          <w:rFonts w:ascii="Barlow Semi Condensed" w:cs="Barlow Semi Condensed" w:eastAsia="Barlow Semi Condensed" w:hAnsi="Barlow Semi Condensed"/>
          <w:b/>
          <w:bCs/>
          <w:sz w:val="24"/>
          <w:szCs w:val="24"/>
        </w:rPr>
        <w:t xml:space="preserve">4806 · L'insofferenza è materia pubblicistica.</w:t>
      </w:r>
      <w:r>
        <w:rPr>
          <w:rFonts w:ascii="Barlow Semi Condensed" w:cs="Barlow Semi Condensed" w:eastAsia="Barlow Semi Condensed" w:hAnsi="Barlow Semi Condensed"/>
          <w:sz w:val="24"/>
          <w:szCs w:val="24"/>
        </w:rPr>
        <w:t xml:space="preserve"> Le ricognizioni portoghese e greca riferiscono che Moro ottenne il coinvolgimento formale della Comunità nella firma «sfidando l'insofferenza di Kissinger». La formula proviene da BeeMagazine e da Avvenire, non da un verbale, e il telegramma 334 non ne reca traccia. La divergenza si riporta. Le sedi che la chiuderebbero sono le carte della presidenza italiana di turno e i verbali della delegazione all'Archivio storico diplomatico.</w:t>
      </w:r>
    </w:p>
    <w:p>
      <w:pPr>
        <w:spacing w:after="120" w:line="276"/>
        <w:jc w:val="both"/>
      </w:pPr>
      <w:r>
        <w:rPr>
          <w:rFonts w:ascii="Barlow Semi Condensed" w:cs="Barlow Semi Condensed" w:eastAsia="Barlow Semi Condensed" w:hAnsi="Barlow Semi Condensed"/>
          <w:b/>
          <w:bCs/>
          <w:sz w:val="24"/>
          <w:szCs w:val="24"/>
        </w:rPr>
        <w:t xml:space="preserve">4807 · Il memorandum a Ford sull'oppio.</w:t>
      </w:r>
      <w:r>
        <w:rPr>
          <w:rFonts w:ascii="Barlow Semi Condensed" w:cs="Barlow Semi Condensed" w:eastAsia="Barlow Semi Condensed" w:hAnsi="Barlow Semi Condensed"/>
          <w:sz w:val="24"/>
          <w:szCs w:val="24"/>
        </w:rPr>
        <w:t xml:space="preserve"> Al capitolo settimo del dossier turco è citato il documento 208 del volume XXX: un memorandum a sua firma diretto al presidente Ford, che qualifica la revoca del divieto come questione da decisione presidenziale e ricorda che l'oppio anatolico era stato la principale fonte dell'eroina contrabbandata negli Stati Uniti. È piano 1, e tocca un dossier con ricadute mediterranee.</w:t>
      </w:r>
    </w:p>
    <w:p>
      <w:pPr>
        <w:spacing w:after="120" w:line="276"/>
        <w:jc w:val="both"/>
      </w:pPr>
      <w:r>
        <w:rPr>
          <w:rFonts w:ascii="Barlow Semi Condensed" w:cs="Barlow Semi Condensed" w:eastAsia="Barlow Semi Condensed" w:hAnsi="Barlow Semi Condensed"/>
          <w:b/>
          <w:bCs/>
          <w:sz w:val="24"/>
          <w:szCs w:val="24"/>
        </w:rPr>
        <w:t xml:space="preserve">4808 · Il memorandum di decisione 267.</w:t>
      </w:r>
      <w:r>
        <w:rPr>
          <w:rFonts w:ascii="Barlow Semi Condensed" w:cs="Barlow Semi Condensed" w:eastAsia="Barlow Semi Condensed" w:hAnsi="Barlow Semi Condensed"/>
          <w:sz w:val="24"/>
          <w:szCs w:val="24"/>
        </w:rPr>
        <w:t xml:space="preserve"> Lo stesso dossier cita il National Security Decision Memorandum 267 del 23 agosto 1974, edito come documento 209 del volume XXX e 164 del volume E-3. Il corpus non ne dichiara il firmatario. Poiché i memorandum di quella serie recavano di norma la firma dell'assistente per la sicurezza nazionale, il bersaglio è la verifica del blocco di firma sulla collezione NSDM della Ford Library.</w:t>
      </w:r>
    </w:p>
    <w:p>
      <w:pPr>
        <w:spacing w:after="120" w:line="276"/>
        <w:jc w:val="both"/>
      </w:pPr>
      <w:r>
        <w:rPr>
          <w:rFonts w:ascii="Barlow Semi Condensed" w:cs="Barlow Semi Condensed" w:eastAsia="Barlow Semi Condensed" w:hAnsi="Barlow Semi Condensed"/>
          <w:b/>
          <w:bCs/>
          <w:sz w:val="24"/>
          <w:szCs w:val="24"/>
        </w:rPr>
        <w:t xml:space="preserve">4809 · Una fonte esclusa nel dossier turco.</w:t>
      </w:r>
      <w:r>
        <w:rPr>
          <w:rFonts w:ascii="Barlow Semi Condensed" w:cs="Barlow Semi Condensed" w:eastAsia="Barlow Semi Condensed" w:hAnsi="Barlow Semi Condensed"/>
          <w:sz w:val="24"/>
          <w:szCs w:val="24"/>
        </w:rPr>
        <w:t xml:space="preserve"> Il capitolo sulla French Connection del dossier turco poggia, in un passaggio, su un'enciclopedia che il committente ha espressamente escluso dalle fonti utilizzabili. Il censimento non può ereditare quel passaggio. La regola operativa è il riancoraggio: ogni proposizione che vi si appoggi va riportata al volume XXX o al volume E-3, oppure espunta. Un arco fondato su fonte vietata non entra in tavola.</w:t>
      </w:r>
    </w:p>
    <w:p>
      <w:pPr>
        <w:spacing w:after="120" w:line="276"/>
        <w:jc w:val="both"/>
      </w:pPr>
      <w:r>
        <w:rPr>
          <w:rFonts w:ascii="Barlow Semi Condensed" w:cs="Barlow Semi Condensed" w:eastAsia="Barlow Semi Condensed" w:hAnsi="Barlow Semi Condensed"/>
          <w:b/>
          <w:bCs/>
          <w:sz w:val="24"/>
          <w:szCs w:val="24"/>
        </w:rPr>
        <w:t xml:space="preserve">4810 · Il telegramma del 30 agosto 1974.</w:t>
      </w:r>
      <w:r>
        <w:rPr>
          <w:rFonts w:ascii="Barlow Semi Condensed" w:cs="Barlow Semi Condensed" w:eastAsia="Barlow Semi Condensed" w:hAnsi="Barlow Semi Condensed"/>
          <w:sz w:val="24"/>
          <w:szCs w:val="24"/>
        </w:rPr>
        <w:t xml:space="preserve"> Fra i documenti greci figura anche il numero 23 del volume XXX, col quale il Dipartimento istruisce la missione presso la NATO ad avviare discussioni bilaterali informali con alleati selezionati, l'Italia compresa, sulle implicazioni del ritiro greco. Il corpus non ne nomina l'autore. Un telegramma dipartimentale usciva a nome del Segretario: il bersaglio è il blocco di firma, e senza di esso l'arco non si iscrive.</w:t>
      </w:r>
    </w:p>
    <w:p>
      <w:pPr>
        <w:spacing w:after="120" w:line="276"/>
        <w:jc w:val="both"/>
      </w:pPr>
      <w:r>
        <w:rPr>
          <w:rFonts w:ascii="Barlow Semi Condensed" w:cs="Barlow Semi Condensed" w:eastAsia="Barlow Semi Condensed" w:hAnsi="Barlow Semi Condensed"/>
          <w:b/>
          <w:bCs/>
          <w:sz w:val="24"/>
          <w:szCs w:val="24"/>
        </w:rPr>
        <w:t xml:space="preserve">4811 · Il dispaccio della missione atlantica.</w:t>
      </w:r>
      <w:r>
        <w:rPr>
          <w:rFonts w:ascii="Barlow Semi Condensed" w:cs="Barlow Semi Condensed" w:eastAsia="Barlow Semi Condensed" w:hAnsi="Barlow Semi Condensed"/>
          <w:sz w:val="24"/>
          <w:szCs w:val="24"/>
        </w:rPr>
        <w:t xml:space="preserve"> Il documento 25 dello stesso volume, telegramma della missione statunitense presso la NATO del 16 settembre 1974, attesta il ritiro delle forze greche con effetto dal 14 agosto e riporta il rilievo del rappresentante belga de Staercke. Non reca il nome qui censito. Si registra come non-arco, perché un censimento serio elenca anche i documenti vicini che, esaminati, non producono nulla.</w:t>
      </w:r>
    </w:p>
    <w:p>
      <w:pPr>
        <w:spacing w:after="120" w:line="276"/>
        <w:jc w:val="both"/>
      </w:pPr>
      <w:r>
        <w:rPr>
          <w:rFonts w:ascii="Barlow Semi Condensed" w:cs="Barlow Semi Condensed" w:eastAsia="Barlow Semi Condensed" w:hAnsi="Barlow Semi Condensed"/>
          <w:b/>
          <w:bCs/>
          <w:sz w:val="24"/>
          <w:szCs w:val="24"/>
        </w:rPr>
        <w:t xml:space="preserve">4812 · Le Azzorre non lo nominano.</w:t>
      </w:r>
      <w:r>
        <w:rPr>
          <w:rFonts w:ascii="Barlow Semi Condensed" w:cs="Barlow Semi Condensed" w:eastAsia="Barlow Semi Condensed" w:hAnsi="Barlow Semi Condensed"/>
          <w:sz w:val="24"/>
          <w:szCs w:val="24"/>
        </w:rPr>
        <w:t xml:space="preserve"> Il memorandum dell'incontro fra Nixon e Spínola del 19 giugno 1974, documento 133 del volume E-15 parte 2, è acquisito dal corpus e non contiene il nome. I blocchi 41 e 748 dell'opera dedicata lo avevano già collocato nella cornice portoghese, e il censimento lo conferma come non-arco. La simultaneità con la fase finale del ministero di Moro è cronologica, e non produce iscrizione.</w:t>
      </w:r>
    </w:p>
    <w:p>
      <w:pPr>
        <w:spacing w:after="120" w:line="276"/>
        <w:jc w:val="both"/>
      </w:pPr>
      <w:r>
        <w:rPr>
          <w:rFonts w:ascii="Barlow Semi Condensed" w:cs="Barlow Semi Condensed" w:eastAsia="Barlow Semi Condensed" w:hAnsi="Barlow Semi Condensed"/>
          <w:b/>
          <w:bCs/>
          <w:sz w:val="24"/>
          <w:szCs w:val="24"/>
        </w:rPr>
        <w:t xml:space="preserve">4813 · Il silenzio della quadriga, ricontato.</w:t>
      </w:r>
      <w:r>
        <w:rPr>
          <w:rFonts w:ascii="Barlow Semi Condensed" w:cs="Barlow Semi Condensed" w:eastAsia="Barlow Semi Condensed" w:hAnsi="Barlow Semi Condensed"/>
          <w:sz w:val="24"/>
          <w:szCs w:val="24"/>
        </w:rPr>
        <w:t xml:space="preserve"> La verifica è stata ripetuta in modo indipendente su millesettecento blocchi: manuale investigativo, agenda di ricerca, nove cantieri. Zero occorrenze. Il dato conferma il blocco 47 dell'opera dedicata e va letto come il blocco 48 impone: quei cantieri furono costruiti su Kew, Parigi e Bonn, e la colonna statunitense manca. Non è indizio di irrilevanza, è misura di come fu disegnato lo spoglio.</w:t>
      </w:r>
    </w:p>
    <w:p>
      <w:pPr>
        <w:spacing w:after="120" w:line="276"/>
        <w:jc w:val="both"/>
      </w:pPr>
      <w:r>
        <w:rPr>
          <w:rFonts w:ascii="Barlow Semi Condensed" w:cs="Barlow Semi Condensed" w:eastAsia="Barlow Semi Condensed" w:hAnsi="Barlow Semi Condensed"/>
          <w:b/>
          <w:bCs/>
          <w:sz w:val="24"/>
          <w:szCs w:val="24"/>
        </w:rPr>
        <w:t xml:space="preserve">4814 · Il nodo che non è nella rete.</w:t>
      </w:r>
      <w:r>
        <w:rPr>
          <w:rFonts w:ascii="Barlow Semi Condensed" w:cs="Barlow Semi Condensed" w:eastAsia="Barlow Semi Condensed" w:hAnsi="Barlow Semi Condensed"/>
          <w:sz w:val="24"/>
          <w:szCs w:val="24"/>
        </w:rPr>
        <w:t xml:space="preserve"> Il grafo descritto in metodologie-del-dossier-sinaptogenesi-e-strumenti conta trentanove nodi e cinquantanove archi, ventotto di grado A, ventisei F, cinque B. Il nome non vi figura. La sua intermediazione non è bassa: è indefinita, perché il nodo non esiste. Iscriverlo richiederebbe archi documentati e gradati, e il censimento mostra che oggi ne esistono due, entrambi datati settembre 1974.</w:t>
      </w:r>
    </w:p>
    <w:p>
      <w:pPr>
        <w:spacing w:after="120" w:line="276"/>
        <w:jc w:val="both"/>
      </w:pPr>
      <w:r>
        <w:rPr>
          <w:rFonts w:ascii="Barlow Semi Condensed" w:cs="Barlow Semi Condensed" w:eastAsia="Barlow Semi Condensed" w:hAnsi="Barlow Semi Condensed"/>
          <w:b/>
          <w:bCs/>
          <w:sz w:val="24"/>
          <w:szCs w:val="24"/>
        </w:rPr>
        <w:t xml:space="preserve">4815 · Il lotto del Dipartimento tace.</w:t>
      </w:r>
      <w:r>
        <w:rPr>
          <w:rFonts w:ascii="Barlow Semi Condensed" w:cs="Barlow Semi Condensed" w:eastAsia="Barlow Semi Condensed" w:hAnsi="Barlow Semi Condensed"/>
          <w:sz w:val="24"/>
          <w:szCs w:val="24"/>
        </w:rPr>
        <w:t xml:space="preserve"> Il solo lotto di documenti desecretati del Dipartimento di Stato trascritto nel corpus non contiene il nome. I due strati che lo compongono lo scavalcano: la visita ufficiale dell'aprile 1965, con Rusk Segretario di Stato, e i cablogrammi dell'aprile-maggio 1978, quando egli aveva lasciato la carica da oltre un anno. L'assenza è strutturale, e va dichiarata come acquisizione.</w:t>
      </w:r>
    </w:p>
    <w:p>
      <w:pPr>
        <w:spacing w:after="120" w:line="276"/>
        <w:jc w:val="both"/>
      </w:pPr>
      <w:r>
        <w:rPr>
          <w:rFonts w:ascii="Barlow Semi Condensed" w:cs="Barlow Semi Condensed" w:eastAsia="Barlow Semi Condensed" w:hAnsi="Barlow Semi Condensed"/>
          <w:b/>
          <w:bCs/>
          <w:sz w:val="24"/>
          <w:szCs w:val="24"/>
        </w:rPr>
        <w:t xml:space="preserve">4816 · L'OCR grezzo, verificato riga per riga.</w:t>
      </w:r>
      <w:r>
        <w:rPr>
          <w:rFonts w:ascii="Barlow Semi Condensed" w:cs="Barlow Semi Condensed" w:eastAsia="Barlow Semi Condensed" w:hAnsi="Barlow Semi Condensed"/>
          <w:sz w:val="24"/>
          <w:szCs w:val="24"/>
        </w:rPr>
        <w:t xml:space="preserve"> Il file state-dept-djvu-ocr-grezzo.txt, quarantaduemila caratteri conservati per catena di custodia, è stato interrogato direttamente e non per il tramite della trascrizione ordinata. Nessuna occorrenza del nome, in nessuna variante. Sei occorrenze di Rusk, due intestazioni a SECSTATE WASHDC, nessun Segretario nominato nei cablogrammi del 1978. La verifica sul grezzo vale di più, perché precede ogni intervento redazionale.</w:t>
      </w:r>
    </w:p>
    <w:p>
      <w:pPr>
        <w:spacing w:after="120" w:line="276"/>
        <w:jc w:val="both"/>
      </w:pPr>
      <w:r>
        <w:rPr>
          <w:rFonts w:ascii="Barlow Semi Condensed" w:cs="Barlow Semi Condensed" w:eastAsia="Barlow Semi Condensed" w:hAnsi="Barlow Semi Condensed"/>
          <w:b/>
          <w:bCs/>
          <w:sz w:val="24"/>
          <w:szCs w:val="24"/>
        </w:rPr>
        <w:t xml:space="preserve">4817 · Il numero di caso, localizzato.</w:t>
      </w:r>
      <w:r>
        <w:rPr>
          <w:rFonts w:ascii="Barlow Semi Condensed" w:cs="Barlow Semi Condensed" w:eastAsia="Barlow Semi Condensed" w:hAnsi="Barlow Semi Condensed"/>
          <w:sz w:val="24"/>
          <w:szCs w:val="24"/>
        </w:rPr>
        <w:t xml:space="preserve"> La scheda PE-5 dichiara che la lettura ottica del caso FOIA oscilla fra 00202 e 00208. La verifica sul grezzo localizza la divergenza: la riga 1333 legge R-2021-00208, la riga 2290 legge R-2021-Go202, la riga 1709 restituisce un frammento troncato. La divergenza dichiarata dal corpus è confermata e ora indirizzabile, perché la richiesta al Dipartimento può citare entrambe le letture con la riga.</w:t>
      </w:r>
    </w:p>
    <w:p>
      <w:pPr>
        <w:spacing w:after="120" w:line="276"/>
        <w:jc w:val="both"/>
      </w:pPr>
      <w:r>
        <w:rPr>
          <w:rFonts w:ascii="Barlow Semi Condensed" w:cs="Barlow Semi Condensed" w:eastAsia="Barlow Semi Condensed" w:hAnsi="Barlow Semi Condensed"/>
          <w:b/>
          <w:bCs/>
          <w:sz w:val="24"/>
          <w:szCs w:val="24"/>
        </w:rPr>
        <w:t xml:space="preserve">4818 · I numeri di controllo divergono.</w:t>
      </w:r>
      <w:r>
        <w:rPr>
          <w:rFonts w:ascii="Barlow Semi Condensed" w:cs="Barlow Semi Condensed" w:eastAsia="Barlow Semi Condensed" w:hAnsi="Barlow Semi Condensed"/>
          <w:sz w:val="24"/>
          <w:szCs w:val="24"/>
        </w:rPr>
        <w:t xml:space="preserve"> L'intervallo dichiarato dalla scheda PE-5 è B-00001939965-989. Il grezzo restituisce anche B-00001930067, B-00001930068, B-00001930972 e B-00001938969: verosimilmente confusioni ottiche fra zero e nove, ma la verosimiglianza non è un accertamento. Il bersaglio è l'elenco integrale dei numeri di controllo lavorati sotto quel caso, che trasformerebbe quattro letture incerte in altrettante voci certe o in altrettanti errori.</w:t>
      </w:r>
    </w:p>
    <w:p>
      <w:pPr>
        <w:spacing w:after="120" w:line="276"/>
        <w:jc w:val="both"/>
      </w:pPr>
      <w:r>
        <w:rPr>
          <w:rFonts w:ascii="Barlow Semi Condensed" w:cs="Barlow Semi Condensed" w:eastAsia="Barlow Semi Condensed" w:hAnsi="Barlow Semi Condensed"/>
          <w:b/>
          <w:bCs/>
          <w:sz w:val="24"/>
          <w:szCs w:val="24"/>
        </w:rPr>
        <w:t xml:space="preserve">4819 · Le carte di ritiro del 1978.</w:t>
      </w:r>
      <w:r>
        <w:rPr>
          <w:rFonts w:ascii="Barlow Semi Condensed" w:cs="Barlow Semi Condensed" w:eastAsia="Barlow Semi Condensed" w:hAnsi="Barlow Semi Condensed"/>
          <w:sz w:val="24"/>
          <w:szCs w:val="24"/>
        </w:rPr>
        <w:t xml:space="preserve"> Le withdrawal cards che la scheda PE-5 e il blocco 127 dell'agenda propongono come censimento del trattenuto riguardano un anno in cui egli non deteneva alcun incarico. Un cablogramma trattenuto del 1978 non può costituire arco verso un uomo uscito di carica il 20 gennaio 1977. Quel censimento serve al caso Moro e alla regola dell'originatore, non a questo nome.</w:t>
      </w:r>
    </w:p>
    <w:p>
      <w:pPr>
        <w:spacing w:after="120" w:line="276"/>
        <w:jc w:val="both"/>
      </w:pPr>
      <w:r>
        <w:rPr>
          <w:rFonts w:ascii="Barlow Semi Condensed" w:cs="Barlow Semi Condensed" w:eastAsia="Barlow Semi Condensed" w:hAnsi="Barlow Semi Condensed"/>
          <w:b/>
          <w:bCs/>
          <w:sz w:val="24"/>
          <w:szCs w:val="24"/>
        </w:rPr>
        <w:t xml:space="preserve">4820 · Il fronte guevariano tace.</w:t>
      </w:r>
      <w:r>
        <w:rPr>
          <w:rFonts w:ascii="Barlow Semi Condensed" w:cs="Barlow Semi Condensed" w:eastAsia="Barlow Semi Condensed" w:hAnsi="Barlow Semi Condensed"/>
          <w:sz w:val="24"/>
          <w:szCs w:val="24"/>
        </w:rPr>
        <w:t xml:space="preserve"> I cinque studi sulla parabola 1928-1967 e la bibliografia critica non recano il nome. Nell'ottobre 1967 egli non ricopriva alcun incarico di governo. L'ombra statunitense che il nodo M-5 registra per la Bolivia è quella dell'agente Félix Rodríguez a La Higuera, documentata dagli archivi desecretati nel 1997. Sono due ombre distinte, e il saggio dal-che-a-moro le tiene esplicitamente al piano della convergenza.</w:t>
      </w:r>
    </w:p>
    <w:p>
      <w:pPr>
        <w:spacing w:after="120" w:line="276"/>
        <w:jc w:val="both"/>
      </w:pPr>
      <w:r>
        <w:rPr>
          <w:rFonts w:ascii="Barlow Semi Condensed" w:cs="Barlow Semi Condensed" w:eastAsia="Barlow Semi Condensed" w:hAnsi="Barlow Semi Condensed"/>
          <w:b/>
          <w:bCs/>
          <w:sz w:val="24"/>
          <w:szCs w:val="24"/>
        </w:rPr>
        <w:t xml:space="preserve">4821 · Feltrinelli, dentro il mandato e senza arco.</w:t>
      </w:r>
      <w:r>
        <w:rPr>
          <w:rFonts w:ascii="Barlow Semi Condensed" w:cs="Barlow Semi Condensed" w:eastAsia="Barlow Semi Condensed" w:hAnsi="Barlow Semi Condensed"/>
          <w:sz w:val="24"/>
          <w:szCs w:val="24"/>
        </w:rPr>
        <w:t xml:space="preserve"> L'editore morì a Segrate il 14 marzo 1972, dunque durante l'incarico di assistente per la sicurezza nazionale. La monografia feltrinelli-il-vettore e la triangolazione con i nodi F-1…F-17, i ponti B-1…B-7 e le anti-triangolazioni AT-1…AT-3 non recano il nome in alcun punto. Qui l'assenza non discende dal calendario delle cariche: discende dall'archivio. È la distinzione che il censimento tiene ferma.</w:t>
      </w:r>
    </w:p>
    <w:p>
      <w:pPr>
        <w:spacing w:after="120" w:line="276"/>
        <w:jc w:val="both"/>
      </w:pPr>
      <w:r>
        <w:rPr>
          <w:rFonts w:ascii="Barlow Semi Condensed" w:cs="Barlow Semi Condensed" w:eastAsia="Barlow Semi Condensed" w:hAnsi="Barlow Semi Condensed"/>
          <w:b/>
          <w:bCs/>
          <w:sz w:val="24"/>
          <w:szCs w:val="24"/>
        </w:rPr>
        <w:t xml:space="preserve">4822 · La scuola di Parigi, nessun arco.</w:t>
      </w:r>
      <w:r>
        <w:rPr>
          <w:rFonts w:ascii="Barlow Semi Condensed" w:cs="Barlow Semi Condensed" w:eastAsia="Barlow Semi Condensed" w:hAnsi="Barlow Semi Condensed"/>
          <w:sz w:val="24"/>
          <w:szCs w:val="24"/>
        </w:rPr>
        <w:t xml:space="preserve"> Hyperion fu fondata a Parigi nel 1976, quando egli era Segretario di Stato in carica, e aprì la sede romana di via Nicotera nel febbraio 1978, quando non lo era più. Lo studio ceppo-simioni-cpm-superclan-hyperion e i nodi HY-1…HY-9 non recano il nome. Il ponte BH-3 accosta il nodo M-5 al dossier come simmetria di metodo, e come tale è dichiarato.</w:t>
      </w:r>
    </w:p>
    <w:p>
      <w:pPr>
        <w:spacing w:after="120" w:line="276"/>
        <w:jc w:val="both"/>
      </w:pPr>
      <w:r>
        <w:rPr>
          <w:rFonts w:ascii="Barlow Semi Condensed" w:cs="Barlow Semi Condensed" w:eastAsia="Barlow Semi Condensed" w:hAnsi="Barlow Semi Condensed"/>
          <w:b/>
          <w:bCs/>
          <w:sz w:val="24"/>
          <w:szCs w:val="24"/>
        </w:rPr>
        <w:t xml:space="preserve">4823 · La triangolazione d'incrocio non lo nomina.</w:t>
      </w:r>
      <w:r>
        <w:rPr>
          <w:rFonts w:ascii="Barlow Semi Condensed" w:cs="Barlow Semi Condensed" w:eastAsia="Barlow Semi Condensed" w:hAnsi="Barlow Semi Condensed"/>
          <w:sz w:val="24"/>
          <w:szCs w:val="24"/>
        </w:rPr>
        <w:t xml:space="preserve"> Il documento che incrocia Feltrinelli e Hyperion, con i nodi FH-1…FH-8 e le anti-triangolazioni ATI-1…ATI-3, non contiene il nome in alcun punto. È il testo che dimostra come due domini possano essere separati anche fra loro: ATI-1 stabilisce che la scuola e l'editore non si incontrarono mai. Un censimento di archi trova qui, in forma esemplare, l'assenza di archi fra le controparti italiane.</w:t>
      </w:r>
    </w:p>
    <w:p>
      <w:pPr>
        <w:spacing w:after="120" w:line="276"/>
        <w:jc w:val="both"/>
      </w:pPr>
      <w:r>
        <w:rPr>
          <w:rFonts w:ascii="Barlow Semi Condensed" w:cs="Barlow Semi Condensed" w:eastAsia="Barlow Semi Condensed" w:hAnsi="Barlow Semi Condensed"/>
          <w:b/>
          <w:bCs/>
          <w:sz w:val="24"/>
          <w:szCs w:val="24"/>
        </w:rPr>
        <w:t xml:space="preserve">4824 · I tredici condannati, nessun arco.</w:t>
      </w:r>
      <w:r>
        <w:rPr>
          <w:rFonts w:ascii="Barlow Semi Condensed" w:cs="Barlow Semi Condensed" w:eastAsia="Barlow Semi Condensed" w:hAnsi="Barlow Semi Condensed"/>
          <w:sz w:val="24"/>
          <w:szCs w:val="24"/>
        </w:rPr>
        <w:t xml:space="preserve"> La prosopografia del registro personalistico, con i nodi T-1…T-8 e i dieci domini d'incrocio, non reca il nome in alcuna scheda. È l'esito atteso e va scritto: le persone che il giudicato ha individuato per il sequestro e per l'omicidio non hanno, nel corpus, alcun documento che le colleghi a questo nodo. L'assenza si verbalizza secondo il blocco 285 dell'agenda.</w:t>
      </w:r>
    </w:p>
    <w:p>
      <w:pPr>
        <w:spacing w:after="120" w:line="276"/>
        <w:jc w:val="both"/>
      </w:pPr>
      <w:r>
        <w:rPr>
          <w:rFonts w:ascii="Barlow Semi Condensed" w:cs="Barlow Semi Condensed" w:eastAsia="Barlow Semi Condensed" w:hAnsi="Barlow Semi Condensed"/>
          <w:b/>
          <w:bCs/>
          <w:sz w:val="24"/>
          <w:szCs w:val="24"/>
        </w:rPr>
        <w:t xml:space="preserve">4825 · Nessun atto giudiziario italiano.</w:t>
      </w:r>
      <w:r>
        <w:rPr>
          <w:rFonts w:ascii="Barlow Semi Condensed" w:cs="Barlow Semi Condensed" w:eastAsia="Barlow Semi Condensed" w:hAnsi="Barlow Semi Condensed"/>
          <w:sz w:val="24"/>
          <w:szCs w:val="24"/>
        </w:rPr>
        <w:t xml:space="preserve"> La Fase settima censisce cinque processi, due Commissioni parlamentari e la tavola di raccordo delle dieci questioni aperte. Il nome non compare. Alla voce «quadro internazionale» quella tavola registra elementi acquisiti e nessun nesso causale stabilito. La sede che chiuderebbe la verifica sono i fascicoli dei cinque processi Moro presso la Corte d'assise di Roma, che nessuna ricognizione del corpus ha spogliato.</w:t>
      </w:r>
    </w:p>
    <w:p>
      <w:pPr>
        <w:spacing w:after="120" w:line="276"/>
        <w:jc w:val="both"/>
      </w:pPr>
      <w:r>
        <w:rPr>
          <w:rFonts w:ascii="Barlow Semi Condensed" w:cs="Barlow Semi Condensed" w:eastAsia="Barlow Semi Condensed" w:hAnsi="Barlow Semi Condensed"/>
          <w:b/>
          <w:bCs/>
          <w:sz w:val="24"/>
          <w:szCs w:val="24"/>
        </w:rPr>
        <w:t xml:space="preserve">4826 · Il registro nominativo della Fase decima.</w:t>
      </w:r>
      <w:r>
        <w:rPr>
          <w:rFonts w:ascii="Barlow Semi Condensed" w:cs="Barlow Semi Condensed" w:eastAsia="Barlow Semi Condensed" w:hAnsi="Barlow Semi Condensed"/>
          <w:sz w:val="24"/>
          <w:szCs w:val="24"/>
        </w:rPr>
        <w:t xml:space="preserve"> Il capitolo settantanovesimo elenca le responsabilità personali di grado A, cioè quelle scritte dal giudicato. Il nome non vi è, e non può esservi: non risulta condanna, rinvio a giudizio o procedimento penale in alcun Paese, come accerta l'apparato K-2. Il censimento registra l'assenza come vincolo e non come lacuna: è la sola voce che nessun documento futuro potrà colmare senza una sentenza.</w:t>
      </w:r>
    </w:p>
    <w:p>
      <w:pPr>
        <w:spacing w:after="120" w:line="276"/>
        <w:jc w:val="both"/>
      </w:pPr>
      <w:r>
        <w:rPr>
          <w:rFonts w:ascii="Barlow Semi Condensed" w:cs="Barlow Semi Condensed" w:eastAsia="Barlow Semi Condensed" w:hAnsi="Barlow Semi Condensed"/>
          <w:b/>
          <w:bCs/>
          <w:sz w:val="24"/>
          <w:szCs w:val="24"/>
        </w:rPr>
        <w:t xml:space="preserve">4827 · L'unica occorrenza del repertorio.</w:t>
      </w:r>
      <w:r>
        <w:rPr>
          <w:rFonts w:ascii="Barlow Semi Condensed" w:cs="Barlow Semi Condensed" w:eastAsia="Barlow Semi Condensed" w:hAnsi="Barlow Semi Condensed"/>
          <w:sz w:val="24"/>
          <w:szCs w:val="24"/>
        </w:rPr>
        <w:t xml:space="preserve"> Nella Fase nona il nome compare una volta sola, al capitolo settantaquattresimo, e non in una scheda propria: è annesso alla voce della famiglia, dove l'avvertimento riferito è ricondotto al nodo M-5 e graduato B. Fra le figure del contesto il repertorio elenca Pieczenik, non lui. La collocazione è precisa e va conservata: egli sta nel corpus come oggetto di una testimonianza.</w:t>
      </w:r>
    </w:p>
    <w:p>
      <w:pPr>
        <w:spacing w:after="120" w:line="276"/>
        <w:jc w:val="both"/>
      </w:pPr>
      <w:r>
        <w:rPr>
          <w:rFonts w:ascii="Barlow Semi Condensed" w:cs="Barlow Semi Condensed" w:eastAsia="Barlow Semi Condensed" w:hAnsi="Barlow Semi Condensed"/>
          <w:b/>
          <w:bCs/>
          <w:sz w:val="24"/>
          <w:szCs w:val="24"/>
        </w:rPr>
        <w:t xml:space="preserve">4828 · Lo Stato Zero della Fase sesta (serie LXIII).</w:t>
      </w:r>
      <w:r>
        <w:rPr>
          <w:rFonts w:ascii="Barlow Semi Condensed" w:cs="Barlow Semi Condensed" w:eastAsia="Barlow Semi Condensed" w:hAnsi="Barlow Semi Condensed"/>
          <w:sz w:val="24"/>
          <w:szCs w:val="24"/>
        </w:rPr>
        <w:t xml:space="preserve"> Il capitolo trentanovesimo iscrive fra le ricerche condotte e chiuse in negativo il documento che leghi Kissinger-persona, o qualunque apparato straniero nominato, alla catena di comando del delitto. È esito e non dubbio, e vale quanto un Livello A. Il censimento lo eredita integralmente e non lo riapre per suggestione: soltanto un documento nuovo, con sede e segnatura, potrebbe riaprirlo.</w:t>
      </w:r>
    </w:p>
    <w:p>
      <w:pPr>
        <w:spacing w:after="120" w:line="276"/>
        <w:jc w:val="both"/>
      </w:pPr>
      <w:r>
        <w:rPr>
          <w:rFonts w:ascii="Barlow Semi Condensed" w:cs="Barlow Semi Condensed" w:eastAsia="Barlow Semi Condensed" w:hAnsi="Barlow Semi Condensed"/>
          <w:b/>
          <w:bCs/>
          <w:sz w:val="24"/>
          <w:szCs w:val="24"/>
        </w:rPr>
        <w:t xml:space="preserve">4829 · I tre archi nominati dalla Parte terza.</w:t>
      </w:r>
      <w:r>
        <w:rPr>
          <w:rFonts w:ascii="Barlow Semi Condensed" w:cs="Barlow Semi Condensed" w:eastAsia="Barlow Semi Condensed" w:hAnsi="Barlow Semi Condensed"/>
          <w:sz w:val="24"/>
          <w:szCs w:val="24"/>
        </w:rPr>
        <w:t xml:space="preserve"> Nel capitolo IX del dossier falsificazionista si legge che gli archi documentati di Kissinger sono statali e verticali — Cile, Angola, i fondi ai servizi italiani — mentre verso l'eversione nera privata restano convergenze di cornice. La proposizione è metodologicamente giusta e serve a vietare il salto. Ma il censimento deve chiedere a quel passo ciò che chiede a ogni altro: dove sono le segnature.</w:t>
      </w:r>
    </w:p>
    <w:p>
      <w:pPr>
        <w:spacing w:after="120" w:line="276"/>
        <w:jc w:val="both"/>
      </w:pPr>
      <w:r>
        <w:rPr>
          <w:rFonts w:ascii="Barlow Semi Condensed" w:cs="Barlow Semi Condensed" w:eastAsia="Barlow Semi Condensed" w:hAnsi="Barlow Semi Condensed"/>
          <w:b/>
          <w:bCs/>
          <w:sz w:val="24"/>
          <w:szCs w:val="24"/>
        </w:rPr>
        <w:t xml:space="preserve">4830 · Il Cile senza segnatura.</w:t>
      </w:r>
      <w:r>
        <w:rPr>
          <w:rFonts w:ascii="Barlow Semi Condensed" w:cs="Barlow Semi Condensed" w:eastAsia="Barlow Semi Condensed" w:hAnsi="Barlow Semi Condensed"/>
          <w:sz w:val="24"/>
          <w:szCs w:val="24"/>
        </w:rPr>
        <w:t xml:space="preserve"> Il saggio dal-che-a-moro afferma che la responsabilità primaria degli apparati statunitensi nella caduta di Allende è documentata, e che il corpus l'ha verificata su fonti primarie. Nessun documento del branch reca però una segnatura cilena: né volume, né numero, né fondo. È Stato Zero di supporto. Le sedi che lo chiuderebbero sono il volume XXI del ciclo 1969-1976 e il rapporto della Commissione Church.</w:t>
      </w:r>
    </w:p>
    <w:p>
      <w:pPr>
        <w:spacing w:after="120" w:line="276"/>
        <w:jc w:val="both"/>
      </w:pPr>
      <w:r>
        <w:rPr>
          <w:rFonts w:ascii="Barlow Semi Condensed" w:cs="Barlow Semi Condensed" w:eastAsia="Barlow Semi Condensed" w:hAnsi="Barlow Semi Condensed"/>
          <w:b/>
          <w:bCs/>
          <w:sz w:val="24"/>
          <w:szCs w:val="24"/>
        </w:rPr>
        <w:t xml:space="preserve">4831 · Angola, zero occorrenze nel corpus.</w:t>
      </w:r>
      <w:r>
        <w:rPr>
          <w:rFonts w:ascii="Barlow Semi Condensed" w:cs="Barlow Semi Condensed" w:eastAsia="Barlow Semi Condensed" w:hAnsi="Barlow Semi Condensed"/>
          <w:sz w:val="24"/>
          <w:szCs w:val="24"/>
        </w:rPr>
        <w:t xml:space="preserve"> La parola non compare in alcun file del branch. L'arco angolano è dunque asserito nella Parte terza e mai documentato altrove: nessun volume, nessun documento, nessuna data. È l'assenza più netta dell'intero censimento, e tanto più notevole perché sta dentro una frase che si presenta come elenco di archi documentati. La sede di chiusura è il volume XXVIII sull'Africa australe.</w:t>
      </w:r>
    </w:p>
    <w:p>
      <w:pPr>
        <w:spacing w:after="120" w:line="276"/>
        <w:jc w:val="both"/>
      </w:pPr>
      <w:r>
        <w:rPr>
          <w:rFonts w:ascii="Barlow Semi Condensed" w:cs="Barlow Semi Condensed" w:eastAsia="Barlow Semi Condensed" w:hAnsi="Barlow Semi Condensed"/>
          <w:b/>
          <w:bCs/>
          <w:sz w:val="24"/>
          <w:szCs w:val="24"/>
        </w:rPr>
        <w:t xml:space="preserve">4832 · Partiti non è servizi.</w:t>
      </w:r>
      <w:r>
        <w:rPr>
          <w:rFonts w:ascii="Barlow Semi Condensed" w:cs="Barlow Semi Condensed" w:eastAsia="Barlow Semi Condensed" w:hAnsi="Barlow Semi Condensed"/>
          <w:sz w:val="24"/>
          <w:szCs w:val="24"/>
        </w:rPr>
        <w:t xml:space="preserve"> La stessa frase parla di fondi ai servizi italiani. Il solo documento del corpus in materia, il verbale del Comitato dei 303 dell'11 marzo 1969, riguarda il sostegno coperto ai partiti italiani fra il 1948 e il 1968, e registra la decisione di non riprenderlo. Partiti e servizi sono destinatari di natura diversa: la sostituzione va segnalata come divergenza interna e riportata a documento.</w:t>
      </w:r>
    </w:p>
    <w:p>
      <w:pPr>
        <w:spacing w:after="120" w:line="276"/>
        <w:jc w:val="both"/>
      </w:pPr>
      <w:r>
        <w:rPr>
          <w:rFonts w:ascii="Barlow Semi Condensed" w:cs="Barlow Semi Condensed" w:eastAsia="Barlow Semi Condensed" w:hAnsi="Barlow Semi Condensed"/>
          <w:b/>
          <w:bCs/>
          <w:sz w:val="24"/>
          <w:szCs w:val="24"/>
        </w:rPr>
        <w:t xml:space="preserve">4833 · La divergenza si riporta, non si sana.</w:t>
      </w:r>
      <w:r>
        <w:rPr>
          <w:rFonts w:ascii="Barlow Semi Condensed" w:cs="Barlow Semi Condensed" w:eastAsia="Barlow Semi Condensed" w:hAnsi="Barlow Semi Condensed"/>
          <w:sz w:val="24"/>
          <w:szCs w:val="24"/>
        </w:rPr>
        <w:t xml:space="preserve"> Tre archi nominati: nessuna segnatura per il primo, nessuna occorrenza per il secondo, un documento che dice altro per il terzo. Il censimento non riscrive la Parte terza e non la cancella: la annota, secondo l'istituto della correzione per nota che il blocco 279 del manuale investigativo prescrive. Il testo originario resta leggibile, la nota gli si affianca e indica le sedi.</w:t>
      </w:r>
    </w:p>
    <w:p>
      <w:pPr>
        <w:spacing w:after="120" w:line="276"/>
        <w:jc w:val="both"/>
      </w:pPr>
      <w:r>
        <w:rPr>
          <w:rFonts w:ascii="Barlow Semi Condensed" w:cs="Barlow Semi Condensed" w:eastAsia="Barlow Semi Condensed" w:hAnsi="Barlow Semi Condensed"/>
          <w:b/>
          <w:bCs/>
          <w:sz w:val="24"/>
          <w:szCs w:val="24"/>
        </w:rPr>
        <w:t xml:space="preserve">4834 · Due indirizzi su duecentottantatré.</w:t>
      </w:r>
      <w:r>
        <w:rPr>
          <w:rFonts w:ascii="Barlow Semi Condensed" w:cs="Barlow Semi Condensed" w:eastAsia="Barlow Semi Condensed" w:hAnsi="Barlow Semi Condensed"/>
          <w:sz w:val="24"/>
          <w:szCs w:val="24"/>
        </w:rPr>
        <w:t xml:space="preserve"> L'apparato delle note bibliografiche censisce duecentottantatré indirizzi distinti per quattrocentosedici citazioni su centotrentanove domini. Due soli riguardano questo nome: la sintesi delle testimonianze di Eleonora Moro e Guerzoni, e la nota su un'inchiesta televisiva. Nessuno dei due è archivistico. È il dato più eloquente del censimento bibliografico: per questo nodo l'intero apparato dell'opera integrale poggia su due riferimenti giornalistici.</w:t>
      </w:r>
    </w:p>
    <w:p>
      <w:pPr>
        <w:spacing w:after="120" w:line="276"/>
        <w:jc w:val="both"/>
      </w:pPr>
      <w:r>
        <w:rPr>
          <w:rFonts w:ascii="Barlow Semi Condensed" w:cs="Barlow Semi Condensed" w:eastAsia="Barlow Semi Condensed" w:hAnsi="Barlow Semi Condensed"/>
          <w:b/>
          <w:bCs/>
          <w:sz w:val="24"/>
          <w:szCs w:val="24"/>
        </w:rPr>
        <w:t xml:space="preserve">4835 · Il rimando televisivo, qualificato.</w:t>
      </w:r>
      <w:r>
        <w:rPr>
          <w:rFonts w:ascii="Barlow Semi Condensed" w:cs="Barlow Semi Condensed" w:eastAsia="Barlow Semi Condensed" w:hAnsi="Barlow Semi Condensed"/>
          <w:sz w:val="24"/>
          <w:szCs w:val="24"/>
        </w:rPr>
        <w:t xml:space="preserve"> La nota cinquantunesima rinvia a un articolo su un'inchiesta televisiva relativa al ruolo attribuitogli nell'ostacolare l'apertura al Partito comunista. È dato di circolazione, piano 3, e serve a misurare la diffusione di una tesi, mai a sostenerla. La regola discende dal blocco 24 dell'opera dedicata: l'esistenza di un'affermazione terziaria è un fatto sulla circolazione, non un fatto sul mondo.</w:t>
      </w:r>
    </w:p>
    <w:p>
      <w:pPr>
        <w:spacing w:after="120" w:line="276"/>
        <w:jc w:val="both"/>
      </w:pPr>
      <w:r>
        <w:rPr>
          <w:rFonts w:ascii="Barlow Semi Condensed" w:cs="Barlow Semi Condensed" w:eastAsia="Barlow Semi Condensed" w:hAnsi="Barlow Semi Condensed"/>
          <w:b/>
          <w:bCs/>
          <w:sz w:val="24"/>
          <w:szCs w:val="24"/>
        </w:rPr>
        <w:t xml:space="preserve">4836 · La sintesi delle testimonianze.</w:t>
      </w:r>
      <w:r>
        <w:rPr>
          <w:rFonts w:ascii="Barlow Semi Condensed" w:cs="Barlow Semi Condensed" w:eastAsia="Barlow Semi Condensed" w:hAnsi="Barlow Semi Condensed"/>
          <w:sz w:val="24"/>
          <w:szCs w:val="24"/>
        </w:rPr>
        <w:t xml:space="preserve"> Alla nota cinquantesima sta la pagina che raccoglie le deposizioni di Eleonora Chiavarelli Moro e di Corrado Guerzoni sull'oscuro avvertimento, ed è la fonte da cui il nodo M-5 trae la propria formulazione. Genotipo e fenotipo vanno distinti: quella pagina è la sintesi, i verbali sono il documento. Le sedi sono il Doc. XXIII della VIII legislatura e i verbali d'udienza del novembre 1982.</w:t>
      </w:r>
    </w:p>
    <w:p>
      <w:pPr>
        <w:spacing w:after="120" w:line="276"/>
        <w:jc w:val="both"/>
      </w:pPr>
      <w:r>
        <w:rPr>
          <w:rFonts w:ascii="Barlow Semi Condensed" w:cs="Barlow Semi Condensed" w:eastAsia="Barlow Semi Condensed" w:hAnsi="Barlow Semi Condensed"/>
          <w:b/>
          <w:bCs/>
          <w:sz w:val="24"/>
          <w:szCs w:val="24"/>
        </w:rPr>
        <w:t xml:space="preserve">4837 · Le occorrenze di catalogo non contano.</w:t>
      </w:r>
      <w:r>
        <w:rPr>
          <w:rFonts w:ascii="Barlow Semi Condensed" w:cs="Barlow Semi Condensed" w:eastAsia="Barlow Semi Condensed" w:hAnsi="Barlow Semi Condensed"/>
          <w:sz w:val="24"/>
          <w:szCs w:val="24"/>
        </w:rPr>
        <w:t xml:space="preserve"> Tre occorrenze nell'INDICE-DOCUMENTI-BRANCH e due nella GUIDA-ALLA-LETTURA descrivono l'opera dedicata e il volume rilegato che la contiene. Sono metadati, non attestazioni. Un censimento che le contasse come presenze del nome nel corpus gonfierebbe la misura con la propria bibliografia. La regola è semplice: si conta ciò che un documento dice del mondo, non ciò che un catalogo dice dei propri file.</w:t>
      </w:r>
    </w:p>
    <w:p>
      <w:pPr>
        <w:spacing w:after="120" w:line="276"/>
        <w:jc w:val="both"/>
      </w:pPr>
      <w:r>
        <w:rPr>
          <w:rFonts w:ascii="Barlow Semi Condensed" w:cs="Barlow Semi Condensed" w:eastAsia="Barlow Semi Condensed" w:hAnsi="Barlow Semi Condensed"/>
          <w:b/>
          <w:bCs/>
          <w:sz w:val="24"/>
          <w:szCs w:val="24"/>
        </w:rPr>
        <w:t xml:space="preserve">4838 · L'autocitazione e il suo rischio.</w:t>
      </w:r>
      <w:r>
        <w:rPr>
          <w:rFonts w:ascii="Barlow Semi Condensed" w:cs="Barlow Semi Condensed" w:eastAsia="Barlow Semi Condensed" w:hAnsi="Barlow Semi Condensed"/>
          <w:sz w:val="24"/>
          <w:szCs w:val="24"/>
        </w:rPr>
        <w:t xml:space="preserve"> Il rischio è specifico di un corpus che pubblica anche la propria meta-documentazione. L'opera dedicata concentra centodiciassette righe col nome e potrebbe, riletta come fonte, apparire il giacimento più ricco del branch. Non lo è: è un commento, e i suoi archi sono quelli che cita. Nel censimento vale come indice, e i documenti si contano una volta sola, alla loro segnatura.</w:t>
      </w:r>
    </w:p>
    <w:p>
      <w:pPr>
        <w:spacing w:after="120" w:line="276"/>
        <w:jc w:val="both"/>
      </w:pPr>
      <w:r>
        <w:rPr>
          <w:rFonts w:ascii="Barlow Semi Condensed" w:cs="Barlow Semi Condensed" w:eastAsia="Barlow Semi Condensed" w:hAnsi="Barlow Semi Condensed"/>
          <w:b/>
          <w:bCs/>
          <w:sz w:val="24"/>
          <w:szCs w:val="24"/>
        </w:rPr>
        <w:t xml:space="preserve">4839 · Il test dell'arco, in una riga.</w:t>
      </w:r>
      <w:r>
        <w:rPr>
          <w:rFonts w:ascii="Barlow Semi Condensed" w:cs="Barlow Semi Condensed" w:eastAsia="Barlow Semi Condensed" w:hAnsi="Barlow Semi Condensed"/>
          <w:sz w:val="24"/>
          <w:szCs w:val="24"/>
        </w:rPr>
        <w:t xml:space="preserve"> Un ponte esiste se un documento di provenienza nomina la controparte. È la formulazione che l'opera dedicata pone nella sezione conclusiva, e che il censimento adotta come unico criterio d'iscrizione. Ne discende che due sole voci dell'intera tavola riguardano il rapporto con Moro, e che nessuna riguarda il caso del 1978. Ogni altra somiglianza appartiene al piano 2, e vi resta.</w:t>
      </w:r>
    </w:p>
    <w:p>
      <w:pPr>
        <w:spacing w:after="120" w:line="276"/>
        <w:jc w:val="both"/>
      </w:pPr>
      <w:r>
        <w:rPr>
          <w:rFonts w:ascii="Barlow Semi Condensed" w:cs="Barlow Semi Condensed" w:eastAsia="Barlow Semi Condensed" w:hAnsi="Barlow Semi Condensed"/>
          <w:b/>
          <w:bCs/>
          <w:sz w:val="24"/>
          <w:szCs w:val="24"/>
        </w:rPr>
        <w:t xml:space="preserve">4840 · L'anello debole applicato al censimento.</w:t>
      </w:r>
      <w:r>
        <w:rPr>
          <w:rFonts w:ascii="Barlow Semi Condensed" w:cs="Barlow Semi Condensed" w:eastAsia="Barlow Semi Condensed" w:hAnsi="Barlow Semi Condensed"/>
          <w:sz w:val="24"/>
          <w:szCs w:val="24"/>
        </w:rPr>
        <w:t xml:space="preserve"> Il grado di un cammino è il grado minimo fra i suoi archi. Un cammino che vada dal verbale del settembre 1974 al 16 marzo 1978 deve attraversare almeno un arco che il corpus ha cercato e non trovato. Il suo grado non è basso: è assente. Il blocco 54 dell'opera dedicata lo enuncia, e questa ricognizione lo verifica documento per documento.</w:t>
      </w:r>
    </w:p>
    <w:p>
      <w:pPr>
        <w:spacing w:after="120" w:line="276"/>
        <w:jc w:val="both"/>
      </w:pPr>
      <w:r>
        <w:rPr>
          <w:rFonts w:ascii="Barlow Semi Condensed" w:cs="Barlow Semi Condensed" w:eastAsia="Barlow Semi Condensed" w:hAnsi="Barlow Semi Condensed"/>
          <w:b/>
          <w:bCs/>
          <w:sz w:val="24"/>
          <w:szCs w:val="24"/>
        </w:rPr>
        <w:t xml:space="preserve">4841 · Il nodo calamita e l'onere.</w:t>
      </w:r>
      <w:r>
        <w:rPr>
          <w:rFonts w:ascii="Barlow Semi Condensed" w:cs="Barlow Semi Condensed" w:eastAsia="Barlow Semi Condensed" w:hAnsi="Barlow Semi Condensed"/>
          <w:sz w:val="24"/>
          <w:szCs w:val="24"/>
        </w:rPr>
        <w:t xml:space="preserve"> Nelle reti costruite a mano i nodi celebri attraggono archi tracciati per plausibilità e non per documento. L'antidoto, fissato al blocco 55 dell'opera dedicata, è procedurale: ogni arco entra solo con documento a segnatura, e l'onere grava su chi lo propone. Il censimento è quella regola applicata all'intero territorio, e il suo esito numerico ne misura la severità.</w:t>
      </w:r>
    </w:p>
    <w:p>
      <w:pPr>
        <w:spacing w:after="120" w:line="276"/>
        <w:jc w:val="both"/>
      </w:pPr>
      <w:r>
        <w:rPr>
          <w:rFonts w:ascii="Barlow Semi Condensed" w:cs="Barlow Semi Condensed" w:eastAsia="Barlow Semi Condensed" w:hAnsi="Barlow Semi Condensed"/>
          <w:b/>
          <w:bCs/>
          <w:sz w:val="24"/>
          <w:szCs w:val="24"/>
        </w:rPr>
        <w:t xml:space="preserve">4842 · Piano uno rispetto a sé stesso.</w:t>
      </w:r>
      <w:r>
        <w:rPr>
          <w:rFonts w:ascii="Barlow Semi Condensed" w:cs="Barlow Semi Condensed" w:eastAsia="Barlow Semi Condensed" w:hAnsi="Barlow Semi Condensed"/>
          <w:sz w:val="24"/>
          <w:szCs w:val="24"/>
        </w:rPr>
        <w:t xml:space="preserve"> Un documento prova la propria esistenza e il proprio contenuto, e nulla del seguito. Il blocco 40 dell'opera dedicata lo enuncia sull'istruzione presidenziale del dicembre 1969, che attesta soltanto che uno studio fu ordinato. La regola vale per tutte e sei le voci: il memorandum sull'oppio prova un memorandum, il telegramma di Helsinki prova un telegramma. L'effetto si documenta a parte, o non si documenta.</w:t>
      </w:r>
    </w:p>
    <w:p>
      <w:pPr>
        <w:spacing w:after="120" w:line="276"/>
        <w:jc w:val="both"/>
      </w:pPr>
      <w:r>
        <w:rPr>
          <w:rFonts w:ascii="Barlow Semi Condensed" w:cs="Barlow Semi Condensed" w:eastAsia="Barlow Semi Condensed" w:hAnsi="Barlow Semi Condensed"/>
          <w:b/>
          <w:bCs/>
          <w:sz w:val="24"/>
          <w:szCs w:val="24"/>
        </w:rPr>
        <w:t xml:space="preserve">4843 · Il filtro delle cariche e il limite.</w:t>
      </w:r>
      <w:r>
        <w:rPr>
          <w:rFonts w:ascii="Barlow Semi Condensed" w:cs="Barlow Semi Condensed" w:eastAsia="Barlow Semi Condensed" w:hAnsi="Barlow Semi Condensed"/>
          <w:sz w:val="24"/>
          <w:szCs w:val="24"/>
        </w:rPr>
        <w:t xml:space="preserve"> Le date vincolano: assistente per la sicurezza nazionale dal 20 gennaio 1969 al 3 novembre 1975, Segretario di Stato dal 22 settembre 1973 al 20 gennaio 1977. Restano fuori per carica la Bolivia del 1967, il caso del 1978, l'attentato del 1981, il Tribunale Speciale. Restano dentro, e senza arco, Segrate 1972 e Hyperion 1976: là tace l'archivio, non il calendario.</w:t>
      </w:r>
    </w:p>
    <w:p>
      <w:pPr>
        <w:spacing w:after="120" w:line="276"/>
        <w:jc w:val="both"/>
      </w:pPr>
      <w:r>
        <w:rPr>
          <w:rFonts w:ascii="Barlow Semi Condensed" w:cs="Barlow Semi Condensed" w:eastAsia="Barlow Semi Condensed" w:hAnsi="Barlow Semi Condensed"/>
          <w:b/>
          <w:bCs/>
          <w:sz w:val="24"/>
          <w:szCs w:val="24"/>
        </w:rPr>
        <w:t xml:space="preserve">4844 · Grado della citazione, grado del documento.</w:t>
      </w:r>
      <w:r>
        <w:rPr>
          <w:rFonts w:ascii="Barlow Semi Condensed" w:cs="Barlow Semi Condensed" w:eastAsia="Barlow Semi Condensed" w:hAnsi="Barlow Semi Condensed"/>
          <w:sz w:val="24"/>
          <w:szCs w:val="24"/>
        </w:rPr>
        <w:t xml:space="preserve"> Il corpus cita i volumi FRUS attraverso il portale dell'Office of the Historian. Il portale è edizione, non fondo. Ne discende che ogni voce del censimento porta due gradi: quello del documento, alto, e quello della citazione, che dipende dal passaggio attraverso l'edizione digitale. Il bersaglio permanente è ridurre la distanza fra i due, risalendo alla segnatura d'origine indicata nelle note del volume.</w:t>
      </w:r>
    </w:p>
    <w:p>
      <w:pPr>
        <w:spacing w:after="120" w:line="276"/>
        <w:jc w:val="both"/>
      </w:pPr>
      <w:r>
        <w:rPr>
          <w:rFonts w:ascii="Barlow Semi Condensed" w:cs="Barlow Semi Condensed" w:eastAsia="Barlow Semi Condensed" w:hAnsi="Barlow Semi Condensed"/>
          <w:b/>
          <w:bCs/>
          <w:sz w:val="24"/>
          <w:szCs w:val="24"/>
        </w:rPr>
        <w:t xml:space="preserve">4845 · FRUS è una selezione, non un fondo (serie LXIII).</w:t>
      </w:r>
      <w:r>
        <w:rPr>
          <w:rFonts w:ascii="Barlow Semi Condensed" w:cs="Barlow Semi Condensed" w:eastAsia="Barlow Semi Condensed" w:hAnsi="Barlow Semi Condensed"/>
          <w:sz w:val="24"/>
          <w:szCs w:val="24"/>
        </w:rPr>
        <w:t xml:space="preserve"> Il blocco 134 dell'agenda di ricerca lo scrive con esattezza: ogni nota a piè di pagina di quei volumi è una segnatura da seguire. Il censimento ne trae la conseguenza. Le sei voci non sono sei documenti isolati, ma sei porte su altrettanti fascicoli dei National Archives di College Park e delle biblioteche presidenziali, che nessuno ha ancora aperto per questo nodo.</w:t>
      </w:r>
    </w:p>
    <w:p>
      <w:pPr>
        <w:spacing w:after="120" w:line="276"/>
        <w:jc w:val="both"/>
      </w:pPr>
      <w:r>
        <w:rPr>
          <w:rFonts w:ascii="Barlow Semi Condensed" w:cs="Barlow Semi Condensed" w:eastAsia="Barlow Semi Condensed" w:hAnsi="Barlow Semi Condensed"/>
          <w:b/>
          <w:bCs/>
          <w:sz w:val="24"/>
          <w:szCs w:val="24"/>
        </w:rPr>
        <w:t xml:space="preserve">4846 · La regola dell'originatore chiude poco.</w:t>
      </w:r>
      <w:r>
        <w:rPr>
          <w:rFonts w:ascii="Barlow Semi Condensed" w:cs="Barlow Semi Condensed" w:eastAsia="Barlow Semi Condensed" w:hAnsi="Barlow Semi Condensed"/>
          <w:sz w:val="24"/>
          <w:szCs w:val="24"/>
        </w:rPr>
        <w:t xml:space="preserve"> Il vincolo che la scheda PE-5 fissa è noto: un documento classificato da uno Stato terzo non si desecreta unilateralmente, e le direttive italiane aprono le carte italiane, non quelle alleate. Per il censimento la conseguenza è che gli Stati Zero qui elencati si chiudono a Washington e ad Ann Arbor, non a Roma. La sede sbagliata produce dinieghi, e anche un diniego motivato è documento.</w:t>
      </w:r>
    </w:p>
    <w:p>
      <w:pPr>
        <w:spacing w:after="120" w:line="276"/>
        <w:jc w:val="both"/>
      </w:pPr>
      <w:r>
        <w:rPr>
          <w:rFonts w:ascii="Barlow Semi Condensed" w:cs="Barlow Semi Condensed" w:eastAsia="Barlow Semi Condensed" w:hAnsi="Barlow Semi Condensed"/>
          <w:b/>
          <w:bCs/>
          <w:sz w:val="24"/>
          <w:szCs w:val="24"/>
        </w:rPr>
        <w:t xml:space="preserve">4847 · Un censimento è datato.</w:t>
      </w:r>
      <w:r>
        <w:rPr>
          <w:rFonts w:ascii="Barlow Semi Condensed" w:cs="Barlow Semi Condensed" w:eastAsia="Barlow Semi Condensed" w:hAnsi="Barlow Semi Condensed"/>
          <w:sz w:val="24"/>
          <w:szCs w:val="24"/>
        </w:rPr>
        <w:t xml:space="preserve"> Questa tavola vale al 26 agosto 2026 e non oltre. Ogni versamento nuovo — un rilascio FOIA, una revisione di volume, una desecretazione italiana — può aggiungere archi o correggerne. La regola di manutenzione è che il censimento si rifà per intero e non per aggiunta, perché una tavola aggiornata a pezzi perde la propria misura complessiva, che è il solo risultato che essa produce.</w:t>
      </w:r>
    </w:p>
    <w:p>
      <w:pPr>
        <w:spacing w:after="120" w:line="276"/>
        <w:jc w:val="both"/>
      </w:pPr>
      <w:r>
        <w:rPr>
          <w:rFonts w:ascii="Barlow Semi Condensed" w:cs="Barlow Semi Condensed" w:eastAsia="Barlow Semi Condensed" w:hAnsi="Barlow Semi Condensed"/>
          <w:b/>
          <w:bCs/>
          <w:sz w:val="24"/>
          <w:szCs w:val="24"/>
        </w:rPr>
        <w:t xml:space="preserve">4848 · Che cosa falsificherebbe la completezza.</w:t>
      </w:r>
      <w:r>
        <w:rPr>
          <w:rFonts w:ascii="Barlow Semi Condensed" w:cs="Barlow Semi Condensed" w:eastAsia="Barlow Semi Condensed" w:hAnsi="Barlow Semi Condensed"/>
          <w:sz w:val="24"/>
          <w:szCs w:val="24"/>
        </w:rPr>
        <w:t xml:space="preserve"> Basterebbe un file del branch che rechi il nome in una forma che la ricerca meccanica non intercetta: una variante di trascrizione, un errore ottico, un'abbreviazione. Anche per questo la verifica è stata condotta sul grezzo del Dipartimento di Stato. Il bersaglio residuo è l'interrogazione delle edizioni rilegate in formato chiuso, dove l'estrazione del testo non è stata controllata riga per riga.</w:t>
      </w:r>
    </w:p>
    <w:p>
      <w:pPr>
        <w:spacing w:after="120" w:line="276"/>
        <w:jc w:val="both"/>
      </w:pPr>
      <w:r>
        <w:rPr>
          <w:rFonts w:ascii="Barlow Semi Condensed" w:cs="Barlow Semi Condensed" w:eastAsia="Barlow Semi Condensed" w:hAnsi="Barlow Semi Condensed"/>
          <w:b/>
          <w:bCs/>
          <w:sz w:val="24"/>
          <w:szCs w:val="24"/>
        </w:rPr>
        <w:t xml:space="preserve">4849 · Che cosa aprirebbe un arco al caso.</w:t>
      </w:r>
      <w:r>
        <w:rPr>
          <w:rFonts w:ascii="Barlow Semi Condensed" w:cs="Barlow Semi Condensed" w:eastAsia="Barlow Semi Condensed" w:hAnsi="Barlow Semi Condensed"/>
          <w:sz w:val="24"/>
          <w:szCs w:val="24"/>
        </w:rPr>
        <w:t xml:space="preserve"> Un documento datato fra il 1969 e il 1977 che nomini insieme questo nome e un interlocutore italiano determinato, su materia poi confluita nel caso: un promemoria, un telegramma con blocco di firma, una nota di delegazione. Non risulta nel corpus. Le sedi da interrogare sono i Nixon Presidential Materials, NSC Files, Country Files Italy, e i memoranda di conversazione della Ford Library.</w:t>
      </w:r>
    </w:p>
    <w:p>
      <w:pPr>
        <w:spacing w:after="120" w:line="276"/>
        <w:jc w:val="both"/>
      </w:pPr>
      <w:r>
        <w:rPr>
          <w:rFonts w:ascii="Barlow Semi Condensed" w:cs="Barlow Semi Condensed" w:eastAsia="Barlow Semi Condensed" w:hAnsi="Barlow Semi Condensed"/>
          <w:b/>
          <w:bCs/>
          <w:sz w:val="24"/>
          <w:szCs w:val="24"/>
        </w:rPr>
        <w:t xml:space="preserve">4850 · Il 1977 e l'ambasciata di Washington.</w:t>
      </w:r>
      <w:r>
        <w:rPr>
          <w:rFonts w:ascii="Barlow Semi Condensed" w:cs="Barlow Semi Condensed" w:eastAsia="Barlow Semi Condensed" w:hAnsi="Barlow Semi Condensed"/>
          <w:sz w:val="24"/>
          <w:szCs w:val="24"/>
        </w:rPr>
        <w:t xml:space="preserve"> Nella terza precisazione dell'apparato K-4 sta la collocazione alternativa dell'episodio: un acceso alterco all'ambasciata d'Italia a Washington nel 1977, secondo una fonte d'agenzia dell'aprile 1983. In quell'anno egli non era più in carica, e l'episodio sarebbe atto di privato cittadino. La divergenza su data e luogo non si risolve d'ufficio: la sede è il cerimoniale dell'ambasciata e quello della Farnesina.</w:t>
      </w:r>
    </w:p>
    <w:p>
      <w:pPr>
        <w:spacing w:after="120" w:line="276"/>
        <w:jc w:val="both"/>
      </w:pPr>
      <w:r>
        <w:rPr>
          <w:rFonts w:ascii="Barlow Semi Condensed" w:cs="Barlow Semi Condensed" w:eastAsia="Barlow Semi Condensed" w:hAnsi="Barlow Semi Condensed"/>
          <w:b/>
          <w:bCs/>
          <w:sz w:val="24"/>
          <w:szCs w:val="24"/>
        </w:rPr>
        <w:t xml:space="preserve">4851 · La richiesta del 1983, senza seguito.</w:t>
      </w:r>
      <w:r>
        <w:rPr>
          <w:rFonts w:ascii="Barlow Semi Condensed" w:cs="Barlow Semi Condensed" w:eastAsia="Barlow Semi Condensed" w:hAnsi="Barlow Semi Condensed"/>
          <w:sz w:val="24"/>
          <w:szCs w:val="24"/>
        </w:rPr>
        <w:t xml:space="preserve"> Che egli non fu mai sentito dai magistrati italiani è accertato dall'apparato K-4, insieme al fatto che la richiesta informale del 1983 non ebbe seguito. Manca però l'atto: nessun documento del corpus ne reca protocollo o data. Il bersaglio è duplice — il fascicolo processuale della Corte d'assise di Roma e le carte delle rogatorie internazionali — per accertare se una richiesta formale fu mai redatta.</w:t>
      </w:r>
    </w:p>
    <w:p>
      <w:pPr>
        <w:spacing w:after="120" w:line="276"/>
        <w:jc w:val="both"/>
      </w:pPr>
      <w:r>
        <w:rPr>
          <w:rFonts w:ascii="Barlow Semi Condensed" w:cs="Barlow Semi Condensed" w:eastAsia="Barlow Semi Condensed" w:hAnsi="Barlow Semi Condensed"/>
          <w:b/>
          <w:bCs/>
          <w:sz w:val="24"/>
          <w:szCs w:val="24"/>
        </w:rPr>
        <w:t xml:space="preserve">4852 · Nessun procedimento, in nessun Paese.</w:t>
      </w:r>
      <w:r>
        <w:rPr>
          <w:rFonts w:ascii="Barlow Semi Condensed" w:cs="Barlow Semi Condensed" w:eastAsia="Barlow Semi Condensed" w:hAnsi="Barlow Semi Condensed"/>
          <w:sz w:val="24"/>
          <w:szCs w:val="24"/>
        </w:rPr>
        <w:t xml:space="preserve"> Governa l'intera tavola l'accertamento dell'apparato K-2: non risulta alcuna sentenza di condanna, alcun rinvio a giudizio, alcun procedimento penale a suo carico in alcun Paese, e sul punto concordano anche le fonti a lui più ostili. Il censimento degli archi documentali è cosa diversa dal registro dei responsabili, e le due tavole non comunicano in alcun punto.</w:t>
      </w:r>
    </w:p>
    <w:p>
      <w:pPr>
        <w:spacing w:after="120" w:line="276"/>
        <w:jc w:val="both"/>
      </w:pPr>
      <w:r>
        <w:rPr>
          <w:rFonts w:ascii="Barlow Semi Condensed" w:cs="Barlow Semi Condensed" w:eastAsia="Barlow Semi Condensed" w:hAnsi="Barlow Semi Condensed"/>
          <w:b/>
          <w:bCs/>
          <w:sz w:val="24"/>
          <w:szCs w:val="24"/>
        </w:rPr>
        <w:t xml:space="preserve">4853 · La moltiplicazione apparente e il suo test.</w:t>
      </w:r>
      <w:r>
        <w:rPr>
          <w:rFonts w:ascii="Barlow Semi Condensed" w:cs="Barlow Semi Condensed" w:eastAsia="Barlow Semi Condensed" w:hAnsi="Barlow Semi Condensed"/>
          <w:sz w:val="24"/>
          <w:szCs w:val="24"/>
        </w:rPr>
        <w:t xml:space="preserve"> La settima precisazione dell'apparato K-4 stabilisce che le riprese pressoché identiche della frase risalgono a un unico lancio d'agenzia del 30 novembre 2023. Il test che smentirebbe l'accertamento è preciso: un'attestazione indipendente anteriore al novembre 1982, cioè anteriore alla deposizione. Le sedi sono gli spogli delle emeroteche italiane e statunitensi per gli anni fra il 1974 e il 1982.</w:t>
      </w:r>
    </w:p>
    <w:p>
      <w:pPr>
        <w:spacing w:after="120" w:line="276"/>
        <w:jc w:val="both"/>
      </w:pPr>
      <w:r>
        <w:rPr>
          <w:rFonts w:ascii="Barlow Semi Condensed" w:cs="Barlow Semi Condensed" w:eastAsia="Barlow Semi Condensed" w:hAnsi="Barlow Semi Condensed"/>
          <w:b/>
          <w:bCs/>
          <w:sz w:val="24"/>
          <w:szCs w:val="24"/>
        </w:rPr>
        <w:t xml:space="preserve">4854 · Il registro delle correzioni della serie.</w:t>
      </w:r>
      <w:r>
        <w:rPr>
          <w:rFonts w:ascii="Barlow Semi Condensed" w:cs="Barlow Semi Condensed" w:eastAsia="Barlow Semi Condensed" w:hAnsi="Barlow Semi Condensed"/>
          <w:sz w:val="24"/>
          <w:szCs w:val="24"/>
        </w:rPr>
        <w:t xml:space="preserve"> Questa serie apre il proprio registro con tre voci: la divergenza sui numeri di controllo del lotto FOIA, la localizzazione delle due letture del numero di caso, l'annotazione dei tre archi nominati nella Parte terza. Nessuna di esse riscrive il corpus. Si affiancano al testo secondo l'istituto già applicato nella Nota di revisione n. 2 della triangolazione Guevara-Moro.</w:t>
      </w:r>
    </w:p>
    <w:p>
      <w:pPr>
        <w:spacing w:after="120" w:line="276"/>
        <w:jc w:val="both"/>
      </w:pPr>
      <w:r>
        <w:rPr>
          <w:rFonts w:ascii="Barlow Semi Condensed" w:cs="Barlow Semi Condensed" w:eastAsia="Barlow Semi Condensed" w:hAnsi="Barlow Semi Condensed"/>
          <w:b/>
          <w:bCs/>
          <w:sz w:val="24"/>
          <w:szCs w:val="24"/>
        </w:rPr>
        <w:t xml:space="preserve">4855 · Il bilancio, in cifre.</w:t>
      </w:r>
      <w:r>
        <w:rPr>
          <w:rFonts w:ascii="Barlow Semi Condensed" w:cs="Barlow Semi Condensed" w:eastAsia="Barlow Semi Condensed" w:hAnsi="Barlow Semi Condensed"/>
          <w:sz w:val="24"/>
          <w:szCs w:val="24"/>
        </w:rPr>
        <w:t xml:space="preserve"> Percorso per intero il territorio, il conto si scrive così. Sei documenti nominano l'uomo con segnatura fuori dell'opera dedicata; due soli riguardano il rapporto con Moro; nessuno riguarda il caso del 1978; il grafo del corpus non lo contiene; la quadriga tace su millesettecento blocchi. Restano tre archi asseriti e non documentati, e per ciascuno Stato Zero la sua sede. Nessun nesso nuovo.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sessantaquattresima — Gli errori corretti e il tasso d’errore</w:t>
      </w:r>
    </w:p>
    <w:p>
      <w:pPr>
        <w:spacing w:after="120" w:line="276"/>
        <w:jc w:val="both"/>
      </w:pPr>
      <w:r>
        <w:rPr>
          <w:rFonts w:ascii="Barlow Semi Condensed" w:cs="Barlow Semi Condensed" w:eastAsia="Barlow Semi Condensed" w:hAnsi="Barlow Semi Condensed"/>
          <w:i/>
          <w:iCs/>
          <w:sz w:val="24"/>
          <w:szCs w:val="24"/>
        </w:rPr>
        <w:t xml:space="preserve">Blocchi 4856-4925.</w:t>
      </w:r>
    </w:p>
    <w:p>
      <w:pPr>
        <w:spacing w:after="120" w:line="276"/>
        <w:jc w:val="both"/>
      </w:pPr>
      <w:r>
        <w:rPr>
          <w:rFonts w:ascii="Barlow Semi Condensed" w:cs="Barlow Semi Condensed" w:eastAsia="Barlow Semi Condensed" w:hAnsi="Barlow Semi Condensed"/>
          <w:b/>
          <w:bCs/>
          <w:sz w:val="24"/>
          <w:szCs w:val="24"/>
        </w:rPr>
        <w:t xml:space="preserve">4856 · Statuto della serie sessantaquattresima.</w:t>
      </w:r>
      <w:r>
        <w:rPr>
          <w:rFonts w:ascii="Barlow Semi Condensed" w:cs="Barlow Semi Condensed" w:eastAsia="Barlow Semi Condensed" w:hAnsi="Barlow Semi Condensed"/>
          <w:sz w:val="24"/>
          <w:szCs w:val="24"/>
        </w:rPr>
        <w:t xml:space="preserve"> Il territorio di questa serie non è un archivio ma un registro degli errori: la Nota di revisione n. 1 in approfondimento-piste-di-testa.md, la Nota di revisione n. 2 in triangolazioni-guevara-moro.md, e i quattro apparati di verifica del corpus, K, V, C ed F. Triangolare un nome contro un registro di correzioni significa chiedere quante volte quel nome abbia costretto il corpus a correggersi, e con quale grado.</w:t>
      </w:r>
    </w:p>
    <w:p>
      <w:pPr>
        <w:spacing w:after="120" w:line="276"/>
        <w:jc w:val="both"/>
      </w:pPr>
      <w:r>
        <w:rPr>
          <w:rFonts w:ascii="Barlow Semi Condensed" w:cs="Barlow Semi Condensed" w:eastAsia="Barlow Semi Condensed" w:hAnsi="Barlow Semi Condensed"/>
          <w:b/>
          <w:bCs/>
          <w:sz w:val="24"/>
          <w:szCs w:val="24"/>
        </w:rPr>
        <w:t xml:space="preserve">4857 · La prima nota non lo nomina.</w:t>
      </w:r>
      <w:r>
        <w:rPr>
          <w:rFonts w:ascii="Barlow Semi Condensed" w:cs="Barlow Semi Condensed" w:eastAsia="Barlow Semi Condensed" w:hAnsi="Barlow Semi Condensed"/>
          <w:sz w:val="24"/>
          <w:szCs w:val="24"/>
        </w:rPr>
        <w:t xml:space="preserve"> La Nota di revisione n. 1 corregge una testimonianza italiana: l'ingegner Alessandro Marini ammise ai consulenti della Commissione Moro 2 che il parabrezza del suo motorino era rotto da giorni e rattoppato col nastro, come mostrano le fotografie scattate in via Fani la mattina stessa dell'agguato. Henry Kissinger non vi compare in alcuna forma. Stato Zero dichiarato: la prima autocorrezione del corpus riguarda un teste, non un ministro straniero.</w:t>
      </w:r>
    </w:p>
    <w:p>
      <w:pPr>
        <w:spacing w:after="120" w:line="276"/>
        <w:jc w:val="both"/>
      </w:pPr>
      <w:r>
        <w:rPr>
          <w:rFonts w:ascii="Barlow Semi Condensed" w:cs="Barlow Semi Condensed" w:eastAsia="Barlow Semi Condensed" w:hAnsi="Barlow Semi Condensed"/>
          <w:b/>
          <w:bCs/>
          <w:sz w:val="24"/>
          <w:szCs w:val="24"/>
        </w:rPr>
        <w:t xml:space="preserve">4858 · La riga E2 e il suo perimetro.</w:t>
      </w:r>
      <w:r>
        <w:rPr>
          <w:rFonts w:ascii="Barlow Semi Condensed" w:cs="Barlow Semi Condensed" w:eastAsia="Barlow Semi Condensed" w:hAnsi="Barlow Semi Condensed"/>
          <w:sz w:val="24"/>
          <w:szCs w:val="24"/>
        </w:rPr>
        <w:t xml:space="preserve"> In metodologie-del-dossier-sinaptogenesi-e-strumenti.md la nota del 25 agosto 2026 retrocede la riga E2 della matrice ACH sulle due moto da diagnostica a controversa, restituendo pieno campo all'ipotesi H1. Quella matrice interroga la dinamica di via Fani e nessuna delle sue righe tocca il versante atlantico. Regola di lettura: la retrocessione di un'evidenza testimoniale non muta il grado di alcuna affermazione sul settembre 1974.</w:t>
      </w:r>
    </w:p>
    <w:p>
      <w:pPr>
        <w:spacing w:after="120" w:line="276"/>
        <w:jc w:val="both"/>
      </w:pPr>
      <w:r>
        <w:rPr>
          <w:rFonts w:ascii="Barlow Semi Condensed" w:cs="Barlow Semi Condensed" w:eastAsia="Barlow Semi Condensed" w:hAnsi="Barlow Semi Condensed"/>
          <w:b/>
          <w:bCs/>
          <w:sz w:val="24"/>
          <w:szCs w:val="24"/>
        </w:rPr>
        <w:t xml:space="preserve">4859 · Dove il nome entra nel registro.</w:t>
      </w:r>
      <w:r>
        <w:rPr>
          <w:rFonts w:ascii="Barlow Semi Condensed" w:cs="Barlow Semi Condensed" w:eastAsia="Barlow Semi Condensed" w:hAnsi="Barlow Semi Condensed"/>
          <w:sz w:val="24"/>
          <w:szCs w:val="24"/>
        </w:rPr>
        <w:t xml:space="preserve"> Nella sesta sezione di triangolazioni-guevara-moro.md sta la Nota di revisione n. 2, unico luogo del corpus in cui una correzione formale abbia per oggetto proprio questo nome. Vi si registrano sette precisazioni al nodo M-5, senza riscrivere il nodo. Accertamento di grado A sul fatto editoriale: la nota esiste, porta la data del 25 agosto 2026, e nasce dalla campagna condotta per l'opera dei mille blocchi.</w:t>
      </w:r>
    </w:p>
    <w:p>
      <w:pPr>
        <w:spacing w:after="120" w:line="276"/>
        <w:jc w:val="both"/>
      </w:pPr>
      <w:r>
        <w:rPr>
          <w:rFonts w:ascii="Barlow Semi Condensed" w:cs="Barlow Semi Condensed" w:eastAsia="Barlow Semi Condensed" w:hAnsi="Barlow Semi Condensed"/>
          <w:b/>
          <w:bCs/>
          <w:sz w:val="24"/>
          <w:szCs w:val="24"/>
        </w:rPr>
        <w:t xml:space="preserve">4860 · Sette precisazioni, nessuna promozione.</w:t>
      </w:r>
      <w:r>
        <w:rPr>
          <w:rFonts w:ascii="Barlow Semi Condensed" w:cs="Barlow Semi Condensed" w:eastAsia="Barlow Semi Condensed" w:hAnsi="Barlow Semi Condensed"/>
          <w:sz w:val="24"/>
          <w:szCs w:val="24"/>
        </w:rPr>
        <w:t xml:space="preserve"> Le sette precisazioni non spostano il grado: l'esito dichiarato è che M-5 resta testimonianza contestata e non accertamento. Va detto perché il fraintendimento è facile, e una correzione abbondante suggerisce che qualcosa si sia mosso. Qui si è mosso il contorno, cioè fonte, sede, data e smentita, non il centro. Regola: il numero delle precisazioni misura il lavoro compiuto, non la solidità del fatto corretto.</w:t>
      </w:r>
    </w:p>
    <w:p>
      <w:pPr>
        <w:spacing w:after="120" w:line="276"/>
        <w:jc w:val="both"/>
      </w:pPr>
      <w:r>
        <w:rPr>
          <w:rFonts w:ascii="Barlow Semi Condensed" w:cs="Barlow Semi Condensed" w:eastAsia="Barlow Semi Condensed" w:hAnsi="Barlow Semi Condensed"/>
          <w:b/>
          <w:bCs/>
          <w:sz w:val="24"/>
          <w:szCs w:val="24"/>
        </w:rPr>
        <w:t xml:space="preserve">4861 · La smentita mancava, ed esiste.</w:t>
      </w:r>
      <w:r>
        <w:rPr>
          <w:rFonts w:ascii="Barlow Semi Condensed" w:cs="Barlow Semi Condensed" w:eastAsia="Barlow Semi Condensed" w:hAnsi="Barlow Semi Condensed"/>
          <w:sz w:val="24"/>
          <w:szCs w:val="24"/>
        </w:rPr>
        <w:t xml:space="preserve"> La smentita mancava, ed è la prima delle sette: il nodo riportava la testimonianza senza il diniego dell'interessato, che esiste in due forme, diretta e circostanziata a un giornalista poco prima della morte, generica e anteriore già nel 1983. Difetto di compilazione, non di ricerca: la fonte c'era. Bersaglio permanente: nessuna resa pubblica dell'episodio è ammessa senza la smentita accanto, pena la ricaduta nell'errore corretto.</w:t>
      </w:r>
    </w:p>
    <w:p>
      <w:pPr>
        <w:spacing w:after="120" w:line="276"/>
        <w:jc w:val="both"/>
      </w:pPr>
      <w:r>
        <w:rPr>
          <w:rFonts w:ascii="Barlow Semi Condensed" w:cs="Barlow Semi Condensed" w:eastAsia="Barlow Semi Condensed" w:hAnsi="Barlow Semi Condensed"/>
          <w:b/>
          <w:bCs/>
          <w:sz w:val="24"/>
          <w:szCs w:val="24"/>
        </w:rPr>
        <w:t xml:space="preserve">4862 · De relato, e il grado che segue.</w:t>
      </w:r>
      <w:r>
        <w:rPr>
          <w:rFonts w:ascii="Barlow Semi Condensed" w:cs="Barlow Semi Condensed" w:eastAsia="Barlow Semi Condensed" w:hAnsi="Barlow Semi Condensed"/>
          <w:sz w:val="24"/>
          <w:szCs w:val="24"/>
        </w:rPr>
        <w:t xml:space="preserve"> Il teste principale non assistette al colloquio. Corrado Guerzoni depose davanti alla Corte d'assise di Roma nel novembre 1982 avendo appreso il fatto da Aldo Moro e dall'entourage: il dato è di grado A sulla forma della deposizione e abbassa strutturalmente il valore del contenuto. Regola trasferibile a ogni ripresa: chi cita quella testimonianza senza la qualifica de relato produce una copia corrotta.</w:t>
      </w:r>
    </w:p>
    <w:p>
      <w:pPr>
        <w:spacing w:after="120" w:line="276"/>
        <w:jc w:val="both"/>
      </w:pPr>
      <w:r>
        <w:rPr>
          <w:rFonts w:ascii="Barlow Semi Condensed" w:cs="Barlow Semi Condensed" w:eastAsia="Barlow Semi Condensed" w:hAnsi="Barlow Semi Condensed"/>
          <w:b/>
          <w:bCs/>
          <w:sz w:val="24"/>
          <w:szCs w:val="24"/>
        </w:rPr>
        <w:t xml:space="preserve">4863 · Il nome ottenuto, non offerto (serie LXIV).</w:t>
      </w:r>
      <w:r>
        <w:rPr>
          <w:rFonts w:ascii="Barlow Semi Condensed" w:cs="Barlow Semi Condensed" w:eastAsia="Barlow Semi Condensed" w:hAnsi="Barlow Semi Condensed"/>
          <w:sz w:val="24"/>
          <w:szCs w:val="24"/>
        </w:rPr>
        <w:t xml:space="preserve"> In aula la vedova parlò di un'alta personalità senza nominarla, e fu il presidente della corte, richiamando il portavoce, a ottenere l'indicazione. L'attribuzione del nome è dunque essa stessa indiretta, e si somma alla mediazione già presente nel de relato. Due mediazioni sovrapposte: il corpus le conta separatamente e non le fonde, perché ciascuna ha una sede di verifica propria nei verbali d'udienza romani.</w:t>
      </w:r>
    </w:p>
    <w:p>
      <w:pPr>
        <w:spacing w:after="120" w:line="276"/>
        <w:jc w:val="both"/>
      </w:pPr>
      <w:r>
        <w:rPr>
          <w:rFonts w:ascii="Barlow Semi Condensed" w:cs="Barlow Semi Condensed" w:eastAsia="Barlow Semi Condensed" w:hAnsi="Barlow Semi Condensed"/>
          <w:b/>
          <w:bCs/>
          <w:sz w:val="24"/>
          <w:szCs w:val="24"/>
        </w:rPr>
        <w:t xml:space="preserve">4864 · Tre date per un solo episodio (serie LXIV).</w:t>
      </w:r>
      <w:r>
        <w:rPr>
          <w:rFonts w:ascii="Barlow Semi Condensed" w:cs="Barlow Semi Condensed" w:eastAsia="Barlow Semi Condensed" w:hAnsi="Barlow Semi Condensed"/>
          <w:sz w:val="24"/>
          <w:szCs w:val="24"/>
        </w:rPr>
        <w:t xml:space="preserve"> Quarta precisazione, e la più pesante: il nodo indicava settembre 1974, una fonte d'agenzia statunitense dell'aprile 1983 colloca l'alterco all'ambasciata d'Italia a Washington nel 1977, altre sintesi indicano il 1976. Nel 1977 l'incarico di Segretario di Stato era cessato dal 20 gennaio. La divergenza è dirimente e si riporta, non si scioglie. Bersaglio di smentita: un atto datato che fissi luogo e giorno.</w:t>
      </w:r>
    </w:p>
    <w:p>
      <w:pPr>
        <w:spacing w:after="120" w:line="276"/>
        <w:jc w:val="both"/>
      </w:pPr>
      <w:r>
        <w:rPr>
          <w:rFonts w:ascii="Barlow Semi Condensed" w:cs="Barlow Semi Condensed" w:eastAsia="Barlow Semi Condensed" w:hAnsi="Barlow Semi Condensed"/>
          <w:b/>
          <w:bCs/>
          <w:sz w:val="24"/>
          <w:szCs w:val="24"/>
        </w:rPr>
        <w:t xml:space="preserve">4865 · Sede confermata, contenuto no.</w:t>
      </w:r>
      <w:r>
        <w:rPr>
          <w:rFonts w:ascii="Barlow Semi Condensed" w:cs="Barlow Semi Condensed" w:eastAsia="Barlow Semi Condensed" w:hAnsi="Barlow Semi Condensed"/>
          <w:sz w:val="24"/>
          <w:szCs w:val="24"/>
        </w:rPr>
        <w:t xml:space="preserve"> Sede confermata e contenuto no: l'audizione di Eleonora Chiavarelli Moro davanti alla Commissione d'inchiesta è del 1° agosto 1980, ma la frase verbatim è attribuita dalle sintesi alla deposizione giudiziaria del 1982, e dell'audizione si riporta soprattutto il riferimento a minacce dal 1975 in crescita. Quesito d'archivio: il resoconto stenografico della seduta, Doc. XXIII, VIII legislatura, Archivio storico della Camera dei deputati.</w:t>
      </w:r>
    </w:p>
    <w:p>
      <w:pPr>
        <w:spacing w:after="120" w:line="276"/>
        <w:jc w:val="both"/>
      </w:pPr>
      <w:r>
        <w:rPr>
          <w:rFonts w:ascii="Barlow Semi Condensed" w:cs="Barlow Semi Condensed" w:eastAsia="Barlow Semi Condensed" w:hAnsi="Barlow Semi Condensed"/>
          <w:b/>
          <w:bCs/>
          <w:sz w:val="24"/>
          <w:szCs w:val="24"/>
        </w:rPr>
        <w:t xml:space="preserve">4866 · Il verbale che non contiene la frase.</w:t>
      </w:r>
      <w:r>
        <w:rPr>
          <w:rFonts w:ascii="Barlow Semi Condensed" w:cs="Barlow Semi Condensed" w:eastAsia="Barlow Semi Condensed" w:hAnsi="Barlow Semi Condensed"/>
          <w:sz w:val="24"/>
          <w:szCs w:val="24"/>
        </w:rPr>
        <w:t xml:space="preserve"> Sesta precisazione, ed è quella che il corpus considera acquisita: il memorandum of conversation dello Studio Ovale del 25 settembre 1974, FRUS 1969-1976 volume E-15 parte 2 documento 350 nella seconda edizione riveduta, file 1552802 della Ford Library, non contiene alcun ultimatum personale ad Aldo Moro. Poiché la frase è riferita a margine, l'assenza indebolisce la versione che la colloca nell'incontro ufficiale senza provare nulla sul fatto.</w:t>
      </w:r>
    </w:p>
    <w:p>
      <w:pPr>
        <w:spacing w:after="120" w:line="276"/>
        <w:jc w:val="both"/>
      </w:pPr>
      <w:r>
        <w:rPr>
          <w:rFonts w:ascii="Barlow Semi Condensed" w:cs="Barlow Semi Condensed" w:eastAsia="Barlow Semi Condensed" w:hAnsi="Barlow Semi Condensed"/>
          <w:b/>
          <w:bCs/>
          <w:sz w:val="24"/>
          <w:szCs w:val="24"/>
        </w:rPr>
        <w:t xml:space="preserve">4867 · Replicazione senza informazione nuova (serie LXIV).</w:t>
      </w:r>
      <w:r>
        <w:rPr>
          <w:rFonts w:ascii="Barlow Semi Condensed" w:cs="Barlow Semi Condensed" w:eastAsia="Barlow Semi Condensed" w:hAnsi="Barlow Semi Condensed"/>
          <w:sz w:val="24"/>
          <w:szCs w:val="24"/>
        </w:rPr>
        <w:t xml:space="preserve"> Settima, e metodologicamente la più importante: le decine di riprese pressoché identiche risalgono a un unico lancio d'agenzia del 30 novembre 2023, il giorno successivo alla morte. Il rilancio internazionale del 1982 proviene da una pubblicazione di orientamento cospirazionista, citabile come dato di circolazione e non come riscontro. Accertamento di grado A sulla catena: le ripetizioni non aggiungono valore probatorio, come già fissa il blocco 572.</w:t>
      </w:r>
    </w:p>
    <w:p>
      <w:pPr>
        <w:spacing w:after="120" w:line="276"/>
        <w:jc w:val="both"/>
      </w:pPr>
      <w:r>
        <w:rPr>
          <w:rFonts w:ascii="Barlow Semi Condensed" w:cs="Barlow Semi Condensed" w:eastAsia="Barlow Semi Condensed" w:hAnsi="Barlow Semi Condensed"/>
          <w:b/>
          <w:bCs/>
          <w:sz w:val="24"/>
          <w:szCs w:val="24"/>
        </w:rPr>
        <w:t xml:space="preserve">4868 · Le due smentite italiane divergenti.</w:t>
      </w:r>
      <w:r>
        <w:rPr>
          <w:rFonts w:ascii="Barlow Semi Condensed" w:cs="Barlow Semi Condensed" w:eastAsia="Barlow Semi Condensed" w:hAnsi="Barlow Semi Condensed"/>
          <w:sz w:val="24"/>
          <w:szCs w:val="24"/>
        </w:rPr>
        <w:t xml:space="preserve"> La nota registra inoltre due smentite italiane qualificate e la loro divergenza interna: un testimone di primo piano definì l'episodio una leggenda senza fondamento, dicendo di averlo verificato allora con l'interprete perché Moro non parlava inglese, salvo descrivere altrove un colloquio politicamente durissimo; un altro parlò di solo un problema di linguaggio. Nessuno dei due era presente al colloquio riservato: le divergenze si riportano tutte.</w:t>
      </w:r>
    </w:p>
    <w:p>
      <w:pPr>
        <w:spacing w:after="120" w:line="276"/>
        <w:jc w:val="both"/>
      </w:pPr>
      <w:r>
        <w:rPr>
          <w:rFonts w:ascii="Barlow Semi Condensed" w:cs="Barlow Semi Condensed" w:eastAsia="Barlow Semi Condensed" w:hAnsi="Barlow Semi Condensed"/>
          <w:b/>
          <w:bCs/>
          <w:sz w:val="24"/>
          <w:szCs w:val="24"/>
        </w:rPr>
        <w:t xml:space="preserve">4869 · Il limite scritto in coda.</w:t>
      </w:r>
      <w:r>
        <w:rPr>
          <w:rFonts w:ascii="Barlow Semi Condensed" w:cs="Barlow Semi Condensed" w:eastAsia="Barlow Semi Condensed" w:hAnsi="Barlow Semi Condensed"/>
          <w:sz w:val="24"/>
          <w:szCs w:val="24"/>
        </w:rPr>
        <w:t xml:space="preserve"> In coda alla seconda nota sta la dichiarazione di limite: l'accesso ai documenti primari, resoconti stenografici della Commissione e verbali d'udienza, è risultato bloccato, e le precisazioni poggiano su fonti secondarie convergenti. Il blocco 704 chiede di non confondere questo vuoto con uno Stato Zero: là manca il documento, qui manca la sua lettura. Due specie diverse di ignoranza, con due rimedi diversi.</w:t>
      </w:r>
    </w:p>
    <w:p>
      <w:pPr>
        <w:spacing w:after="120" w:line="276"/>
        <w:jc w:val="both"/>
      </w:pPr>
      <w:r>
        <w:rPr>
          <w:rFonts w:ascii="Barlow Semi Condensed" w:cs="Barlow Semi Condensed" w:eastAsia="Barlow Semi Condensed" w:hAnsi="Barlow Semi Condensed"/>
          <w:b/>
          <w:bCs/>
          <w:sz w:val="24"/>
          <w:szCs w:val="24"/>
        </w:rPr>
        <w:t xml:space="preserve">4870 · Apparato K, prima sezione.</w:t>
      </w:r>
      <w:r>
        <w:rPr>
          <w:rFonts w:ascii="Barlow Semi Condensed" w:cs="Barlow Semi Condensed" w:eastAsia="Barlow Semi Condensed" w:hAnsi="Barlow Semi Condensed"/>
          <w:sz w:val="24"/>
          <w:szCs w:val="24"/>
        </w:rPr>
        <w:t xml:space="preserve"> K-1 conferma su fonti istituzionali convergenti la nascita a Fürth il 27 maggio 1923 col nome di Heinz Alfred e la morte a Kent, nel Connecticut, il 29 novembre 2023, e precisa contro il frontespizio dell'opera stessa che l'anglicizzazione non è documentata come atto compiuto allo sbarco del 5 settembre 1938. Il fascicolo d'immigrazione la colloca al 1942-1943; la naturalizzazione è del 19 giugno 1943.</w:t>
      </w:r>
    </w:p>
    <w:p>
      <w:pPr>
        <w:spacing w:after="120" w:line="276"/>
        <w:jc w:val="both"/>
      </w:pPr>
      <w:r>
        <w:rPr>
          <w:rFonts w:ascii="Barlow Semi Condensed" w:cs="Barlow Semi Condensed" w:eastAsia="Barlow Semi Condensed" w:hAnsi="Barlow Semi Condensed"/>
          <w:b/>
          <w:bCs/>
          <w:sz w:val="24"/>
          <w:szCs w:val="24"/>
        </w:rPr>
        <w:t xml:space="preserve">4871 · Dove si chiude la divergenza onomastica.</w:t>
      </w:r>
      <w:r>
        <w:rPr>
          <w:rFonts w:ascii="Barlow Semi Condensed" w:cs="Barlow Semi Condensed" w:eastAsia="Barlow Semi Condensed" w:hAnsi="Barlow Semi Condensed"/>
          <w:sz w:val="24"/>
          <w:szCs w:val="24"/>
        </w:rPr>
        <w:t xml:space="preserve"> La divergenza fra le opere di consultazione, che datano la mutazione al 1938 senza citare documenti, e il fascicolo d'immigrazione che la sposta di cinque anni non si scioglie per autorità. Si chiude in una sola sede: gli originali del fascicolo di naturalizzazione presso i National Archives statunitensi e il programma genealogico dei servizi per l'immigrazione, con richiesta del certificato numerato. Finché non vi si arriva, restano entrambe in campo.</w:t>
      </w:r>
    </w:p>
    <w:p>
      <w:pPr>
        <w:spacing w:after="120" w:line="276"/>
        <w:jc w:val="both"/>
      </w:pPr>
      <w:r>
        <w:rPr>
          <w:rFonts w:ascii="Barlow Semi Condensed" w:cs="Barlow Semi Condensed" w:eastAsia="Barlow Semi Condensed" w:hAnsi="Barlow Semi Condensed"/>
          <w:b/>
          <w:bCs/>
          <w:sz w:val="24"/>
          <w:szCs w:val="24"/>
        </w:rPr>
        <w:t xml:space="preserve">4872 · Gli incarichi, al giorno esatto.</w:t>
      </w:r>
      <w:r>
        <w:rPr>
          <w:rFonts w:ascii="Barlow Semi Condensed" w:cs="Barlow Semi Condensed" w:eastAsia="Barlow Semi Condensed" w:hAnsi="Barlow Semi Condensed"/>
          <w:sz w:val="24"/>
          <w:szCs w:val="24"/>
        </w:rPr>
        <w:t xml:space="preserve"> K-2 fissa le date con una precisione che le formule correnti perdono: Assistente del Presidente per la sicurezza nazionale dal 20 gennaio 1969 al 3 novembre 1975; Segretario di Stato con nomina del 21 settembre 1973, entrata in carica il 22 e cessazione il 20 gennaio 1977. Alcune secondarie datano l'inizio al 23: prevale la fonte istituzionale. La sovrapposizione dei due incarichi durò venticinque mesi.</w:t>
      </w:r>
    </w:p>
    <w:p>
      <w:pPr>
        <w:spacing w:after="120" w:line="276"/>
        <w:jc w:val="both"/>
      </w:pPr>
      <w:r>
        <w:rPr>
          <w:rFonts w:ascii="Barlow Semi Condensed" w:cs="Barlow Semi Condensed" w:eastAsia="Barlow Semi Condensed" w:hAnsi="Barlow Semi Condensed"/>
          <w:b/>
          <w:bCs/>
          <w:sz w:val="24"/>
          <w:szCs w:val="24"/>
        </w:rPr>
        <w:t xml:space="preserve">4873 · Il vincolo che governa ogni riga.</w:t>
      </w:r>
      <w:r>
        <w:rPr>
          <w:rFonts w:ascii="Barlow Semi Condensed" w:cs="Barlow Semi Condensed" w:eastAsia="Barlow Semi Condensed" w:hAnsi="Barlow Semi Condensed"/>
          <w:sz w:val="24"/>
          <w:szCs w:val="24"/>
        </w:rPr>
        <w:t xml:space="preserve"> Lo stesso K-2 accerta il punto giuridico che tutta l'opera rispetta: non risulta alcuna sentenza di condanna, alcun rinvio a giudizio, alcun procedimento penale in alcun Paese, e non fu mai imputato né processato né interrogato da un giudice in sede penale. Sul punto concordano anche le fonti a lui più ostili, che distinguono il libro d'accusa dall'atto giudiziario. Il corpus si ferma al giudicato.</w:t>
      </w:r>
    </w:p>
    <w:p>
      <w:pPr>
        <w:spacing w:after="120" w:line="276"/>
        <w:jc w:val="both"/>
      </w:pPr>
      <w:r>
        <w:rPr>
          <w:rFonts w:ascii="Barlow Semi Condensed" w:cs="Barlow Semi Condensed" w:eastAsia="Barlow Semi Condensed" w:hAnsi="Barlow Semi Condensed"/>
          <w:b/>
          <w:bCs/>
          <w:sz w:val="24"/>
          <w:szCs w:val="24"/>
        </w:rPr>
        <w:t xml:space="preserve">4874 · Il secondo verbale, mai letto.</w:t>
      </w:r>
      <w:r>
        <w:rPr>
          <w:rFonts w:ascii="Barlow Semi Condensed" w:cs="Barlow Semi Condensed" w:eastAsia="Barlow Semi Condensed" w:hAnsi="Barlow Semi Condensed"/>
          <w:sz w:val="24"/>
          <w:szCs w:val="24"/>
        </w:rPr>
        <w:t xml:space="preserve"> K-3 conferma l'esistenza di un ulteriore memorandum del 26 settembre 1974, file 1552806 della Gerald R. Ford Presidential Library, i cui estratti reperiti sono parziali e non del tutto concordi. È un bersaglio d'archivio netto e mai battuto: richiesta di riproduzione integrale alla biblioteca presidenziale di Ann Arbor. Finché il testo non è letto per intero, nessuna affermazione sul suo contenuto sale sopra il possibile.</w:t>
      </w:r>
    </w:p>
    <w:p>
      <w:pPr>
        <w:spacing w:after="120" w:line="276"/>
        <w:jc w:val="both"/>
      </w:pPr>
      <w:r>
        <w:rPr>
          <w:rFonts w:ascii="Barlow Semi Condensed" w:cs="Barlow Semi Condensed" w:eastAsia="Barlow Semi Condensed" w:hAnsi="Barlow Semi Condensed"/>
          <w:b/>
          <w:bCs/>
          <w:sz w:val="24"/>
          <w:szCs w:val="24"/>
        </w:rPr>
        <w:t xml:space="preserve">4875 · Cinque giorni oppure tre.</w:t>
      </w:r>
      <w:r>
        <w:rPr>
          <w:rFonts w:ascii="Barlow Semi Condensed" w:cs="Barlow Semi Condensed" w:eastAsia="Barlow Semi Condensed" w:hAnsi="Barlow Semi Condensed"/>
          <w:sz w:val="24"/>
          <w:szCs w:val="24"/>
        </w:rPr>
        <w:t xml:space="preserve"> Divergenza minore che K-3 riporta e non risolve: il comunicato congiunto negli atti presidenziali data la visita di Stato dal 25 al 29 settembre 1974, la nota editoriale del volume FRUS dal 25 al 27. Si chiude sul programma ufficiale conservato nei fascicoli della Ford Library e sugli atti pubblicati della presidenza. È il tipo di variante che il blocco 563 chiama silente: non sposta il senso, e va comunque chiusa.</w:t>
      </w:r>
    </w:p>
    <w:p>
      <w:pPr>
        <w:spacing w:after="120" w:line="276"/>
        <w:jc w:val="both"/>
      </w:pPr>
      <w:r>
        <w:rPr>
          <w:rFonts w:ascii="Barlow Semi Condensed" w:cs="Barlow Semi Condensed" w:eastAsia="Barlow Semi Condensed" w:hAnsi="Barlow Semi Condensed"/>
          <w:b/>
          <w:bCs/>
          <w:sz w:val="24"/>
          <w:szCs w:val="24"/>
        </w:rPr>
        <w:t xml:space="preserve">4876 · Il giorno della deposizione (serie LXIV).</w:t>
      </w:r>
      <w:r>
        <w:rPr>
          <w:rFonts w:ascii="Barlow Semi Condensed" w:cs="Barlow Semi Condensed" w:eastAsia="Barlow Semi Condensed" w:hAnsi="Barlow Semi Condensed"/>
          <w:sz w:val="24"/>
          <w:szCs w:val="24"/>
        </w:rPr>
        <w:t xml:space="preserve"> K-4 registra che la deposizione romana del novembre 1982 è datata al 10 dalla ricostruzione più ricorrente e al 15 da una fonte: divergenza non risolta. La sede che la chiude è nominata dagli apparati stessi, cioè i verbali d'udienza della Corte d'assise di Roma, oggi compresi nella digitalizzazione dei cinque processi coordinata dall'Archivio di Stato di Roma col Ministero della Giustizia e il Consiglio superiore della magistratura.</w:t>
      </w:r>
    </w:p>
    <w:p>
      <w:pPr>
        <w:spacing w:after="120" w:line="276"/>
        <w:jc w:val="both"/>
      </w:pPr>
      <w:r>
        <w:rPr>
          <w:rFonts w:ascii="Barlow Semi Condensed" w:cs="Barlow Semi Condensed" w:eastAsia="Barlow Semi Condensed" w:hAnsi="Barlow Semi Condensed"/>
          <w:b/>
          <w:bCs/>
          <w:sz w:val="24"/>
          <w:szCs w:val="24"/>
        </w:rPr>
        <w:t xml:space="preserve">4877 · Primo agosto oppure undici.</w:t>
      </w:r>
      <w:r>
        <w:rPr>
          <w:rFonts w:ascii="Barlow Semi Condensed" w:cs="Barlow Semi Condensed" w:eastAsia="Barlow Semi Condensed" w:hAnsi="Barlow Semi Condensed"/>
          <w:sz w:val="24"/>
          <w:szCs w:val="24"/>
        </w:rPr>
        <w:t xml:space="preserve"> Sulla data dell'audizione parlamentare, K-4 segnala una fonte che indica l'11 agosto 1980, verosimilmente per lettura errata dell'abbreviazione del primo. L'ipotesi di errore tipografico è plausibile e resta ipotesi: si verifica in un minuto sul calendario delle sedute della Commissione d'inchiesta della VIII legislatura, presso l'Archivio storico della Camera. È il genere di controllo che costa poco e che, non fatto, si replica per decenni.</w:t>
      </w:r>
    </w:p>
    <w:p>
      <w:pPr>
        <w:spacing w:after="120" w:line="276"/>
        <w:jc w:val="both"/>
      </w:pPr>
      <w:r>
        <w:rPr>
          <w:rFonts w:ascii="Barlow Semi Condensed" w:cs="Barlow Semi Condensed" w:eastAsia="Barlow Semi Condensed" w:hAnsi="Barlow Semi Condensed"/>
          <w:b/>
          <w:bCs/>
          <w:sz w:val="24"/>
          <w:szCs w:val="24"/>
        </w:rPr>
        <w:t xml:space="preserve">4878 · Il proxy come limite dichiarato.</w:t>
      </w:r>
      <w:r>
        <w:rPr>
          <w:rFonts w:ascii="Barlow Semi Condensed" w:cs="Barlow Semi Condensed" w:eastAsia="Barlow Semi Condensed" w:hAnsi="Barlow Semi Condensed"/>
          <w:sz w:val="24"/>
          <w:szCs w:val="24"/>
        </w:rPr>
        <w:t xml:space="preserve"> K-5 scrive senza attenuazioni che la campagna non ha potuto leggere i documenti primari: l'accesso diretto è risultato bloccato, e la verifica poggia su sintesi e secondarie convergenti. Le date qualificate come confermate restano da riscontrare sui testi ufficiali. Chi riprende quelle righe deve sapere quanto pesa ciascuna: è una dichiarazione di peso, non una scusa, e va ripetuta a ogni citazione successiva.</w:t>
      </w:r>
    </w:p>
    <w:p>
      <w:pPr>
        <w:spacing w:after="120" w:line="276"/>
        <w:jc w:val="both"/>
      </w:pPr>
      <w:r>
        <w:rPr>
          <w:rFonts w:ascii="Barlow Semi Condensed" w:cs="Barlow Semi Condensed" w:eastAsia="Barlow Semi Condensed" w:hAnsi="Barlow Semi Condensed"/>
          <w:b/>
          <w:bCs/>
          <w:sz w:val="24"/>
          <w:szCs w:val="24"/>
        </w:rPr>
        <w:t xml:space="preserve">4879 · Un apparato che tace i limiti.</w:t>
      </w:r>
      <w:r>
        <w:rPr>
          <w:rFonts w:ascii="Barlow Semi Condensed" w:cs="Barlow Semi Condensed" w:eastAsia="Barlow Semi Condensed" w:hAnsi="Barlow Semi Condensed"/>
          <w:sz w:val="24"/>
          <w:szCs w:val="24"/>
        </w:rPr>
        <w:t xml:space="preserve"> Regola di lettura che i quattro apparati condividono e che vale come criterio di valutazione esterno: un apparato che dichiara i propri limiti vale più di uno che li nasconde, perché consente di calcolare il residuo d'incertezza. Applicata a questo nome, la regola produce un esito preciso: tutto ciò che il corpus afferma sull'episodio del 1974 poggia su secondarie convergenti, mai su un primario letto.</w:t>
      </w:r>
    </w:p>
    <w:p>
      <w:pPr>
        <w:spacing w:after="120" w:line="276"/>
        <w:jc w:val="both"/>
      </w:pPr>
      <w:r>
        <w:rPr>
          <w:rFonts w:ascii="Barlow Semi Condensed" w:cs="Barlow Semi Condensed" w:eastAsia="Barlow Semi Condensed" w:hAnsi="Barlow Semi Condensed"/>
          <w:b/>
          <w:bCs/>
          <w:sz w:val="24"/>
          <w:szCs w:val="24"/>
        </w:rPr>
        <w:t xml:space="preserve">4880 · Le dodici verifiche dell'agenda.</w:t>
      </w:r>
      <w:r>
        <w:rPr>
          <w:rFonts w:ascii="Barlow Semi Condensed" w:cs="Barlow Semi Condensed" w:eastAsia="Barlow Semi Condensed" w:hAnsi="Barlow Semi Condensed"/>
          <w:sz w:val="24"/>
          <w:szCs w:val="24"/>
        </w:rPr>
        <w:t xml:space="preserve"> L'apparato V dell'agenda di ricerca censisce dodici campagne d'archivio, da V-1 sull'Archivio centrale dello Stato a V-12 sul fascicolo di Roma. Il nome non compare in nessuna delle dodici. Non è una lacuna dell'apparato: l'agenda cerca giacimenti sul caso italiano, e una persona non è un giacimento. Stato Zero da verbalizzare con perimetro esatto, secondo la regola del blocco 285 dell'agenda stessa.</w:t>
      </w:r>
    </w:p>
    <w:p>
      <w:pPr>
        <w:spacing w:after="120" w:line="276"/>
        <w:jc w:val="both"/>
      </w:pPr>
      <w:r>
        <w:rPr>
          <w:rFonts w:ascii="Barlow Semi Condensed" w:cs="Barlow Semi Condensed" w:eastAsia="Barlow Semi Condensed" w:hAnsi="Barlow Semi Condensed"/>
          <w:b/>
          <w:bCs/>
          <w:sz w:val="24"/>
          <w:szCs w:val="24"/>
        </w:rPr>
        <w:t xml:space="preserve">4881 · La sede naturale è V-3.</w:t>
      </w:r>
      <w:r>
        <w:rPr>
          <w:rFonts w:ascii="Barlow Semi Condensed" w:cs="Barlow Semi Condensed" w:eastAsia="Barlow Semi Condensed" w:hAnsi="Barlow Semi Condensed"/>
          <w:sz w:val="24"/>
          <w:szCs w:val="24"/>
        </w:rPr>
        <w:t xml:space="preserve"> Se una carta con quel nome deve stare da qualche parte, sta dove V-3 indica: i Central Foreign Policy Files 1973-1979 su NARA AAD coi telegrammi in testo pieno, la collezione a microfiche intitolata ad Aldo Moro nella FOIA Library del Dipartimento di Stato, la sala di lettura FOIA dell'agenzia, e il Country File Italia della collezione Brzezinski alla Carter Library di Atlanta.</w:t>
      </w:r>
    </w:p>
    <w:p>
      <w:pPr>
        <w:spacing w:after="120" w:line="276"/>
        <w:jc w:val="both"/>
      </w:pPr>
      <w:r>
        <w:rPr>
          <w:rFonts w:ascii="Barlow Semi Condensed" w:cs="Barlow Semi Condensed" w:eastAsia="Barlow Semi Condensed" w:hAnsi="Barlow Semi Condensed"/>
          <w:b/>
          <w:bCs/>
          <w:sz w:val="24"/>
          <w:szCs w:val="24"/>
        </w:rPr>
        <w:t xml:space="preserve">4882 · Le withdrawal cards come bersaglio.</w:t>
      </w:r>
      <w:r>
        <w:rPr>
          <w:rFonts w:ascii="Barlow Semi Condensed" w:cs="Barlow Semi Condensed" w:eastAsia="Barlow Semi Condensed" w:hAnsi="Barlow Semi Condensed"/>
          <w:sz w:val="24"/>
          <w:szCs w:val="24"/>
        </w:rPr>
        <w:t xml:space="preserve"> Dentro V-3 il bersaglio più preciso non è ciò che si legge ma ciò che è stato tolto: le withdrawal cards segnalano il documento trattenuto e ne conservano data, classificazione e ragione del ritiro. Quesito operativo: censire le withdrawal cards del 1974 e del 1978 relative al posto diplomatico di Roma, e per ciascuna presentare istanza di riesame di classifica. Un vuoto schedato è già conoscenza.</w:t>
      </w:r>
    </w:p>
    <w:p>
      <w:pPr>
        <w:spacing w:after="120" w:line="276"/>
        <w:jc w:val="both"/>
      </w:pPr>
      <w:r>
        <w:rPr>
          <w:rFonts w:ascii="Barlow Semi Condensed" w:cs="Barlow Semi Condensed" w:eastAsia="Barlow Semi Condensed" w:hAnsi="Barlow Semi Condensed"/>
          <w:b/>
          <w:bCs/>
          <w:sz w:val="24"/>
          <w:szCs w:val="24"/>
        </w:rPr>
        <w:t xml:space="preserve">4883 · Ventimila pagine e una ricerca.</w:t>
      </w:r>
      <w:r>
        <w:rPr>
          <w:rFonts w:ascii="Barlow Semi Condensed" w:cs="Barlow Semi Condensed" w:eastAsia="Barlow Semi Condensed" w:hAnsi="Barlow Semi Condensed"/>
          <w:sz w:val="24"/>
          <w:szCs w:val="24"/>
        </w:rPr>
        <w:t xml:space="preserve"> V-2 registra il fondo della Commissione Moro 2 all'Archivio storico della Camera, con circa ventimila pagine desecretate sul portale delle inchieste. Il bersaglio applicabile a questa serie è meccanico e non risulta mai eseguito nel corpus: la ricerca a testo pieno del cognome su quel corpus documentale, con verbalizzazione dell'esito quale che sia. Un esito nullo, dichiarato con perimetro e data, è un'acquisizione.</w:t>
      </w:r>
    </w:p>
    <w:p>
      <w:pPr>
        <w:spacing w:after="120" w:line="276"/>
        <w:jc w:val="both"/>
      </w:pPr>
      <w:r>
        <w:rPr>
          <w:rFonts w:ascii="Barlow Semi Condensed" w:cs="Barlow Semi Condensed" w:eastAsia="Barlow Semi Condensed" w:hAnsi="Barlow Semi Condensed"/>
          <w:b/>
          <w:bCs/>
          <w:sz w:val="24"/>
          <w:szCs w:val="24"/>
        </w:rPr>
        <w:t xml:space="preserve">4884 · Il limite vaticano, dichiarato due volte.</w:t>
      </w:r>
      <w:r>
        <w:rPr>
          <w:rFonts w:ascii="Barlow Semi Condensed" w:cs="Barlow Semi Condensed" w:eastAsia="Barlow Semi Condensed" w:hAnsi="Barlow Semi Condensed"/>
          <w:sz w:val="24"/>
          <w:szCs w:val="24"/>
        </w:rPr>
        <w:t xml:space="preserve"> V-5 smentisce l'apertura dell'Archivio Apostolico Vaticano oltre la fine del pontificato di Pio XII, e la seconda campagna della Farnesina ripete il limite nella propria sezione ottava: ogni verifica primaria sugli atti pontifici degli anni Settanta è preclusa allo stato. Il dato non riguarda questo nome ma lo delimita: una parte del 1974 italiano è oggi non verificabile, e nessuna inferenza può riempirla.</w:t>
      </w:r>
    </w:p>
    <w:p>
      <w:pPr>
        <w:spacing w:after="120" w:line="276"/>
        <w:jc w:val="both"/>
      </w:pPr>
      <w:r>
        <w:rPr>
          <w:rFonts w:ascii="Barlow Semi Condensed" w:cs="Barlow Semi Condensed" w:eastAsia="Barlow Semi Condensed" w:hAnsi="Barlow Semi Condensed"/>
          <w:b/>
          <w:bCs/>
          <w:sz w:val="24"/>
          <w:szCs w:val="24"/>
        </w:rPr>
        <w:t xml:space="preserve">4885 · Tremilacinquecento buste senza serie Moro.</w:t>
      </w:r>
      <w:r>
        <w:rPr>
          <w:rFonts w:ascii="Barlow Semi Condensed" w:cs="Barlow Semi Condensed" w:eastAsia="Barlow Semi Condensed" w:hAnsi="Barlow Semi Condensed"/>
          <w:sz w:val="24"/>
          <w:szCs w:val="24"/>
        </w:rPr>
        <w:t xml:space="preserve"> V-6 conferma l'archivio Andreotti all'Istituto Luigi Sturzo, donato nel 2007, circa tremilacinquecento buste, privo di una serie intitolata a Moro: si cerca nelle serie tematiche. È lì, e nel fondo Fanfani dell'Archivio storico del Senato coi suoi quarantatré diari, che un appunto italiano su colloqui col Dipartimento di Stato avrebbe collocazione naturale. Quesito: spoglio mirato sulle annate 1974 e 1978.</w:t>
      </w:r>
    </w:p>
    <w:p>
      <w:pPr>
        <w:spacing w:after="120" w:line="276"/>
        <w:jc w:val="both"/>
      </w:pPr>
      <w:r>
        <w:rPr>
          <w:rFonts w:ascii="Barlow Semi Condensed" w:cs="Barlow Semi Condensed" w:eastAsia="Barlow Semi Condensed" w:hAnsi="Barlow Semi Condensed"/>
          <w:b/>
          <w:bCs/>
          <w:sz w:val="24"/>
          <w:szCs w:val="24"/>
        </w:rPr>
        <w:t xml:space="preserve">4886 · Il registro dei nomi resta chiuso.</w:t>
      </w:r>
      <w:r>
        <w:rPr>
          <w:rFonts w:ascii="Barlow Semi Condensed" w:cs="Barlow Semi Condensed" w:eastAsia="Barlow Semi Condensed" w:hAnsi="Barlow Semi Condensed"/>
          <w:sz w:val="24"/>
          <w:szCs w:val="24"/>
        </w:rPr>
        <w:t xml:space="preserve"> V-11 e C-8 tengono il registro del giudicato, unico luogo del corpus in cui le persone compaiono come responsabili, e vi iscrivono tredici nomi con stati verificati su fonti. Questo nome non vi è e non può esservi: il registro cresce solo per nuovo giudicato, mai per suggestione. Bersaglio di smentita allo stato inesistente: una sentenza definitiva che vi aggiunga una riga.</w:t>
      </w:r>
    </w:p>
    <w:p>
      <w:pPr>
        <w:spacing w:after="120" w:line="276"/>
        <w:jc w:val="both"/>
      </w:pPr>
      <w:r>
        <w:rPr>
          <w:rFonts w:ascii="Barlow Semi Condensed" w:cs="Barlow Semi Condensed" w:eastAsia="Barlow Semi Condensed" w:hAnsi="Barlow Semi Condensed"/>
          <w:b/>
          <w:bCs/>
          <w:sz w:val="24"/>
          <w:szCs w:val="24"/>
        </w:rPr>
        <w:t xml:space="preserve">4887 · Il fascicolo romano e il suo perimetro.</w:t>
      </w:r>
      <w:r>
        <w:rPr>
          <w:rFonts w:ascii="Barlow Semi Condensed" w:cs="Barlow Semi Condensed" w:eastAsia="Barlow Semi Condensed" w:hAnsi="Barlow Semi Condensed"/>
          <w:sz w:val="24"/>
          <w:szCs w:val="24"/>
        </w:rPr>
        <w:t xml:space="preserve"> V-12 e C-9 fissano la sequenza del fascicolo della Procura di Roma sulle terze presenze fino al rigetto dell'archiviazione con sei mesi di nuove indagini, e registrano che nessun elenco pubblico degli esiti genetici esiste. Il perimetro dell'indagine è materiale: bossoli, profili, un caricatore mai esaminato in quarantotto anni. Nessun atto pubblico noto vi include il nome, e il corpus non ve lo introduce per via narrativa.</w:t>
      </w:r>
    </w:p>
    <w:p>
      <w:pPr>
        <w:spacing w:after="120" w:line="276"/>
        <w:jc w:val="both"/>
      </w:pPr>
      <w:r>
        <w:rPr>
          <w:rFonts w:ascii="Barlow Semi Condensed" w:cs="Barlow Semi Condensed" w:eastAsia="Barlow Semi Condensed" w:hAnsi="Barlow Semi Condensed"/>
          <w:b/>
          <w:bCs/>
          <w:sz w:val="24"/>
          <w:szCs w:val="24"/>
        </w:rPr>
        <w:t xml:space="preserve">4888 · Nove verificatori, nessun incontro.</w:t>
      </w:r>
      <w:r>
        <w:rPr>
          <w:rFonts w:ascii="Barlow Semi Condensed" w:cs="Barlow Semi Condensed" w:eastAsia="Barlow Semi Condensed" w:hAnsi="Barlow Semi Condensed"/>
          <w:sz w:val="24"/>
          <w:szCs w:val="24"/>
        </w:rPr>
        <w:t xml:space="preserve"> I nove cantieri impiegano un verificatore di profondità per cantiere, da C-1 sui fondi britannici, francesi e tedeschi fino a C-9 sul fascicolo di Roma. Nessuno dei nove incrocia questo nome. La circostanza va letta insieme al fatto che C-8 ha corretto una data errata della prima campagna: l'apparato funziona e trova errori, e su questo nome non ne ha trovati perché non ne aveva.</w:t>
      </w:r>
    </w:p>
    <w:p>
      <w:pPr>
        <w:spacing w:after="120" w:line="276"/>
        <w:jc w:val="both"/>
      </w:pPr>
      <w:r>
        <w:rPr>
          <w:rFonts w:ascii="Barlow Semi Condensed" w:cs="Barlow Semi Condensed" w:eastAsia="Barlow Semi Condensed" w:hAnsi="Barlow Semi Condensed"/>
          <w:b/>
          <w:bCs/>
          <w:sz w:val="24"/>
          <w:szCs w:val="24"/>
        </w:rPr>
        <w:t xml:space="preserve">4889 · Da FCO 9 a FCO 33.</w:t>
      </w:r>
      <w:r>
        <w:rPr>
          <w:rFonts w:ascii="Barlow Semi Condensed" w:cs="Barlow Semi Condensed" w:eastAsia="Barlow Semi Condensed" w:hAnsi="Barlow Semi Condensed"/>
          <w:sz w:val="24"/>
          <w:szCs w:val="24"/>
        </w:rPr>
        <w:t xml:space="preserve"> C-1 corregge un'ipotesi di ricerca del corpus: i fascicoli italiani di Kew stanno nella serie FCO 33, seguita dal Western European Department, non nella FCO 9 dell'Europa meridionale. È un precedente metodologico direttamente applicabile qui: prima di dichiarare non trovato un fascicolo con questo nome nei National Archives, va verificato di aver interrogato la serie giusta. Un negativo su serie sbagliata non è uno Stato Zero.</w:t>
      </w:r>
    </w:p>
    <w:p>
      <w:pPr>
        <w:spacing w:after="120" w:line="276"/>
        <w:jc w:val="both"/>
      </w:pPr>
      <w:r>
        <w:rPr>
          <w:rFonts w:ascii="Barlow Semi Condensed" w:cs="Barlow Semi Condensed" w:eastAsia="Barlow Semi Condensed" w:hAnsi="Barlow Semi Condensed"/>
          <w:b/>
          <w:bCs/>
          <w:sz w:val="24"/>
          <w:szCs w:val="24"/>
        </w:rPr>
        <w:t xml:space="preserve">4890 · I diari come sede possibile.</w:t>
      </w:r>
      <w:r>
        <w:rPr>
          <w:rFonts w:ascii="Barlow Semi Condensed" w:cs="Barlow Semi Condensed" w:eastAsia="Barlow Semi Condensed" w:hAnsi="Barlow Semi Condensed"/>
          <w:sz w:val="24"/>
          <w:szCs w:val="24"/>
        </w:rPr>
        <w:t xml:space="preserve"> C-3 conferma il fondo Fanfani al Senato per gli anni 1945-2000 con inventario pubblicato, l'archivio Cossiga alla Camera, il fondo Craxi in gran parte digitalizzato. Sono le sedi in cui la memorialistica politica italiana registra i colloqui con Washington in forma privata e datata. Quesito: verificare se le annate 1974 e 1978 dei diari contengano riferimenti al colloquio contestato, riportando l'esito anche se nullo.</w:t>
      </w:r>
    </w:p>
    <w:p>
      <w:pPr>
        <w:spacing w:after="120" w:line="276"/>
        <w:jc w:val="both"/>
      </w:pPr>
      <w:r>
        <w:rPr>
          <w:rFonts w:ascii="Barlow Semi Condensed" w:cs="Barlow Semi Condensed" w:eastAsia="Barlow Semi Condensed" w:hAnsi="Barlow Semi Condensed"/>
          <w:b/>
          <w:bCs/>
          <w:sz w:val="24"/>
          <w:szCs w:val="24"/>
        </w:rPr>
        <w:t xml:space="preserve">4891 · Nessuna nuova acquisizione dichiarata.</w:t>
      </w:r>
      <w:r>
        <w:rPr>
          <w:rFonts w:ascii="Barlow Semi Condensed" w:cs="Barlow Semi Condensed" w:eastAsia="Barlow Semi Condensed" w:hAnsi="Barlow Semi Condensed"/>
          <w:sz w:val="24"/>
          <w:szCs w:val="24"/>
        </w:rPr>
        <w:t xml:space="preserve"> Nessuna acquisizione documentale pubblica rilevante risulta annunciata fra il 2024 e il 2026, e nessun comitato nazionale per il cinquantennale del 2028: C-9 e V-12 registrano lo stesso negativo. Ne discende una conseguenza operativa per questa serie: lo stato delle carte su cui poggia la Nota di revisione n. 2 non è mutato dopo la compilazione, e la nota resta l'ultimo stato conosciuto della questione.</w:t>
      </w:r>
    </w:p>
    <w:p>
      <w:pPr>
        <w:spacing w:after="120" w:line="276"/>
        <w:jc w:val="both"/>
      </w:pPr>
      <w:r>
        <w:rPr>
          <w:rFonts w:ascii="Barlow Semi Condensed" w:cs="Barlow Semi Condensed" w:eastAsia="Barlow Semi Condensed" w:hAnsi="Barlow Semi Condensed"/>
          <w:b/>
          <w:bCs/>
          <w:sz w:val="24"/>
          <w:szCs w:val="24"/>
        </w:rPr>
        <w:t xml:space="preserve">4892 · Ventisei asserzioni, nessuna smentita.</w:t>
      </w:r>
      <w:r>
        <w:rPr>
          <w:rFonts w:ascii="Barlow Semi Condensed" w:cs="Barlow Semi Condensed" w:eastAsia="Barlow Semi Condensed" w:hAnsi="Barlow Semi Condensed"/>
          <w:sz w:val="24"/>
          <w:szCs w:val="24"/>
        </w:rPr>
        <w:t xml:space="preserve"> La seconda campagna della Farnesina dichiara la propria contabilità nell'apparato F: ventisei asserzioni sottoposte a riscontro, ventidue confermate, quattro precisate, nessuna smentita, due formulazioni tecniche corrette, una divergenza chiusa e una aperta dalla verifica stessa. Il nome non compare in alcuna delle quattro sezioni. Il territorio che quella campagna copre è europeo e mediterraneo, non atlantico, e l'assenza vi è coerente.</w:t>
      </w:r>
    </w:p>
    <w:p>
      <w:pPr>
        <w:spacing w:after="120" w:line="276"/>
        <w:jc w:val="both"/>
      </w:pPr>
      <w:r>
        <w:rPr>
          <w:rFonts w:ascii="Barlow Semi Condensed" w:cs="Barlow Semi Condensed" w:eastAsia="Barlow Semi Condensed" w:hAnsi="Barlow Semi Condensed"/>
          <w:b/>
          <w:bCs/>
          <w:sz w:val="24"/>
          <w:szCs w:val="24"/>
        </w:rPr>
        <w:t xml:space="preserve">4893 · La correzione che risale la corrente.</w:t>
      </w:r>
      <w:r>
        <w:rPr>
          <w:rFonts w:ascii="Barlow Semi Condensed" w:cs="Barlow Semi Condensed" w:eastAsia="Barlow Semi Condensed" w:hAnsi="Barlow Semi Condensed"/>
          <w:sz w:val="24"/>
          <w:szCs w:val="24"/>
        </w:rPr>
        <w:t xml:space="preserve"> F registra il fatto che rende credibile l'intero impianto: in due punti la correzione è andata dal corpus verso i documenti nuovi, cioè il traghettamento libico concluso il 15 ottobre 1970 e il bilaterale Moro-Brandt del 31 agosto 1970 a Roma. Un apparato che corregge in una sola direzione conferma se stesso. Criterio da pretendere anche per ogni futura verifica su questo nome.</w:t>
      </w:r>
    </w:p>
    <w:p>
      <w:pPr>
        <w:spacing w:after="120" w:line="276"/>
        <w:jc w:val="both"/>
      </w:pPr>
      <w:r>
        <w:rPr>
          <w:rFonts w:ascii="Barlow Semi Condensed" w:cs="Barlow Semi Condensed" w:eastAsia="Barlow Semi Condensed" w:hAnsi="Barlow Semi Condensed"/>
          <w:b/>
          <w:bCs/>
          <w:sz w:val="24"/>
          <w:szCs w:val="24"/>
        </w:rPr>
        <w:t xml:space="preserve">4894 · L'omonimia si dichiara e si conserva.</w:t>
      </w:r>
      <w:r>
        <w:rPr>
          <w:rFonts w:ascii="Barlow Semi Condensed" w:cs="Barlow Semi Condensed" w:eastAsia="Barlow Semi Condensed" w:hAnsi="Barlow Semi Condensed"/>
          <w:sz w:val="24"/>
          <w:szCs w:val="24"/>
        </w:rPr>
        <w:t xml:space="preserve"> Un'avvertenza di omonimia è conservata dalla campagna, perché il Jorge Jardim dell'inchiesta portoghese non è Jorge Jardim Gonçalves e una confusione onomastica non dichiarata si replica per sempre. La stessa disciplina governa qui la catena Heinz, Henry e la forma errata Harry, corretta per nota all'apertura dell'opera dei mille blocchi: la forma sbagliata resta registrata, la forma esatta è usata ovunque nel testo.</w:t>
      </w:r>
    </w:p>
    <w:p>
      <w:pPr>
        <w:spacing w:after="120" w:line="276"/>
        <w:jc w:val="both"/>
      </w:pPr>
      <w:r>
        <w:rPr>
          <w:rFonts w:ascii="Barlow Semi Condensed" w:cs="Barlow Semi Condensed" w:eastAsia="Barlow Semi Condensed" w:hAnsi="Barlow Semi Condensed"/>
          <w:b/>
          <w:bCs/>
          <w:sz w:val="24"/>
          <w:szCs w:val="24"/>
        </w:rPr>
        <w:t xml:space="preserve">4895 · Una quinta voce alla griglia.</w:t>
      </w:r>
      <w:r>
        <w:rPr>
          <w:rFonts w:ascii="Barlow Semi Condensed" w:cs="Barlow Semi Condensed" w:eastAsia="Barlow Semi Condensed" w:hAnsi="Barlow Semi Condensed"/>
          <w:sz w:val="24"/>
          <w:szCs w:val="24"/>
        </w:rPr>
        <w:t xml:space="preserve"> Alla griglia dei gradi la campagna propone di aggiungere una quinta voce: effetto convergente da causa comune, da dichiarare quando due esiti simultanei discendono provatamente dallo stesso evento e non l'uno dall'altro. Applicata al 1974 la voce è utile, perché la contrarietà statunitense documentata e la pressione interna sul disegno moroteo possono avere radice comune senza che l'una causi l'altra. Serve a impedire una promozione.</w:t>
      </w:r>
    </w:p>
    <w:p>
      <w:pPr>
        <w:spacing w:after="120" w:line="276"/>
        <w:jc w:val="both"/>
      </w:pPr>
      <w:r>
        <w:rPr>
          <w:rFonts w:ascii="Barlow Semi Condensed" w:cs="Barlow Semi Condensed" w:eastAsia="Barlow Semi Condensed" w:hAnsi="Barlow Semi Condensed"/>
          <w:b/>
          <w:bCs/>
          <w:sz w:val="24"/>
          <w:szCs w:val="24"/>
        </w:rPr>
        <w:t xml:space="preserve">4896 · Che cosa non è stabilito (serie LXIV).</w:t>
      </w:r>
      <w:r>
        <w:rPr>
          <w:rFonts w:ascii="Barlow Semi Condensed" w:cs="Barlow Semi Condensed" w:eastAsia="Barlow Semi Condensed" w:hAnsi="Barlow Semi Condensed"/>
          <w:sz w:val="24"/>
          <w:szCs w:val="24"/>
        </w:rPr>
        <w:t xml:space="preserve"> La sezione ottava della seconda campagna è il modello formale di ogni dichiarazione negativa: elenca per esteso ciò che non è stabilito, compreso il punto in cui la tentazione è più forte, e chiude con la formula da imitare, cioè che l'assenza di fonti si colma in archivio e non per inferenza. Trasferita qui: non è stabilito alcun rapporto documentato con la catena di comando del delitto.</w:t>
      </w:r>
    </w:p>
    <w:p>
      <w:pPr>
        <w:spacing w:after="120" w:line="276"/>
        <w:jc w:val="both"/>
      </w:pPr>
      <w:r>
        <w:rPr>
          <w:rFonts w:ascii="Barlow Semi Condensed" w:cs="Barlow Semi Condensed" w:eastAsia="Barlow Semi Condensed" w:hAnsi="Barlow Semi Condensed"/>
          <w:b/>
          <w:bCs/>
          <w:sz w:val="24"/>
          <w:szCs w:val="24"/>
        </w:rPr>
        <w:t xml:space="preserve">4897 · La riga di chiusura come contabilità.</w:t>
      </w:r>
      <w:r>
        <w:rPr>
          <w:rFonts w:ascii="Barlow Semi Condensed" w:cs="Barlow Semi Condensed" w:eastAsia="Barlow Semi Condensed" w:hAnsi="Barlow Semi Condensed"/>
          <w:sz w:val="24"/>
          <w:szCs w:val="24"/>
        </w:rPr>
        <w:t xml:space="preserve"> Contando si chiude la seconda campagna: documenti archiviati, letture incrociate, acquisizioni, correzioni con la loro direzione, divergenze lasciate aperte, Stati Zero condivisi, chiusi e scoperti. È una contabilità esauribile opposta al sospetto inesauribile. Bersaglio proponibile per il dossier di questo nome: la stessa riga finale, con le sue cifre, aggiornata a ogni campagna e pubblicata accanto alle conclusioni.</w:t>
      </w:r>
    </w:p>
    <w:p>
      <w:pPr>
        <w:spacing w:after="120" w:line="276"/>
        <w:jc w:val="both"/>
      </w:pPr>
      <w:r>
        <w:rPr>
          <w:rFonts w:ascii="Barlow Semi Condensed" w:cs="Barlow Semi Condensed" w:eastAsia="Barlow Semi Condensed" w:hAnsi="Barlow Semi Condensed"/>
          <w:b/>
          <w:bCs/>
          <w:sz w:val="24"/>
          <w:szCs w:val="24"/>
        </w:rPr>
        <w:t xml:space="preserve">4898 · Cinquanta capitoli senza questo nome.</w:t>
      </w:r>
      <w:r>
        <w:rPr>
          <w:rFonts w:ascii="Barlow Semi Condensed" w:cs="Barlow Semi Condensed" w:eastAsia="Barlow Semi Condensed" w:hAnsi="Barlow Semi Condensed"/>
          <w:sz w:val="24"/>
          <w:szCs w:val="24"/>
        </w:rPr>
        <w:t xml:space="preserve"> Cinquanta capitoli con asserzione portante, grado prevalente e domanda di falsificazione: così è costruito l'apparato dei gradi dell'opera-madre. Il cognome non vi compare mai, nemmeno al capitolo quindicesimo sugli avvertimenti attorno al tessitore, che grada A l'esistenza di contrarietà e C ogni mandato che ne discenda. L'omissione è deliberata: l'apparato registra gradi e non sospetti, e non nomina persone oltre il giudicato.</w:t>
      </w:r>
    </w:p>
    <w:p>
      <w:pPr>
        <w:spacing w:after="120" w:line="276"/>
        <w:jc w:val="both"/>
      </w:pPr>
      <w:r>
        <w:rPr>
          <w:rFonts w:ascii="Barlow Semi Condensed" w:cs="Barlow Semi Condensed" w:eastAsia="Barlow Semi Condensed" w:hAnsi="Barlow Semi Condensed"/>
          <w:b/>
          <w:bCs/>
          <w:sz w:val="24"/>
          <w:szCs w:val="24"/>
        </w:rPr>
        <w:t xml:space="preserve">4899 · Il capitolo trentanove e il negativo.</w:t>
      </w:r>
      <w:r>
        <w:rPr>
          <w:rFonts w:ascii="Barlow Semi Condensed" w:cs="Barlow Semi Condensed" w:eastAsia="Barlow Semi Condensed" w:hAnsi="Barlow Semi Condensed"/>
          <w:sz w:val="24"/>
          <w:szCs w:val="24"/>
        </w:rPr>
        <w:t xml:space="preserve"> Nell'apparato dei gradi il capitolo trentanovesimo porta grado Ø: gli Stati Zero del caso, cioè il perimetro negativo. La colonna della falsificazione vi scrive che la comparsa del documento oggi assente promuoverebbe lo Stato Zero verso B o A. È la cella esatta in cui una carta con questo nome atterrerebbe se esistesse: non nella Fase quinta, non nel registro dei nomi, ma nella riga del negativo.</w:t>
      </w:r>
    </w:p>
    <w:p>
      <w:pPr>
        <w:spacing w:after="120" w:line="276"/>
        <w:jc w:val="both"/>
      </w:pPr>
      <w:r>
        <w:rPr>
          <w:rFonts w:ascii="Barlow Semi Condensed" w:cs="Barlow Semi Condensed" w:eastAsia="Barlow Semi Condensed" w:hAnsi="Barlow Semi Condensed"/>
          <w:b/>
          <w:bCs/>
          <w:sz w:val="24"/>
          <w:szCs w:val="24"/>
        </w:rPr>
        <w:t xml:space="preserve">4900 · La Fase sesta lo nomina una volta.</w:t>
      </w:r>
      <w:r>
        <w:rPr>
          <w:rFonts w:ascii="Barlow Semi Condensed" w:cs="Barlow Semi Condensed" w:eastAsia="Barlow Semi Condensed" w:hAnsi="Barlow Semi Condensed"/>
          <w:sz w:val="24"/>
          <w:szCs w:val="24"/>
        </w:rPr>
        <w:t xml:space="preserve"> Nel file della Fase sesta il cognome compare una sola volta in tutta la mappa dei gradi, e vi compare dentro lo Stato Zero: manca il documento che leghi Kissinger-persona, o qualunque apparato straniero nominato, alla catena di comando del delitto. Cercato e non trovato. È l'accertamento negativo più importante che il corpus abbia prodotto su questo nome, ed è di pieno valore.</w:t>
      </w:r>
    </w:p>
    <w:p>
      <w:pPr>
        <w:spacing w:after="120" w:line="276"/>
        <w:jc w:val="both"/>
      </w:pPr>
      <w:r>
        <w:rPr>
          <w:rFonts w:ascii="Barlow Semi Condensed" w:cs="Barlow Semi Condensed" w:eastAsia="Barlow Semi Condensed" w:hAnsi="Barlow Semi Condensed"/>
          <w:b/>
          <w:bCs/>
          <w:sz w:val="24"/>
          <w:szCs w:val="24"/>
        </w:rPr>
        <w:t xml:space="preserve">4901 · Il repertorio e il grado B.</w:t>
      </w:r>
      <w:r>
        <w:rPr>
          <w:rFonts w:ascii="Barlow Semi Condensed" w:cs="Barlow Semi Condensed" w:eastAsia="Barlow Semi Condensed" w:hAnsi="Barlow Semi Condensed"/>
          <w:sz w:val="24"/>
          <w:szCs w:val="24"/>
        </w:rPr>
        <w:t xml:space="preserve"> La Fase nona, repertorio del caso, cataloga la famiglia Moro senza alcun addebito e assegna grado B alla loro testimonianza in Commissione e in tribunale, rinviando esplicitamente al nodo M-5. Il rinvio prova che il repertorio non duplica: registra il grado e indirizza alla sede dove il grado è argomentato. Chi cita il repertorio senza aprire M-5 e la sua nota cita un'etichetta, non un accertamento.</w:t>
      </w:r>
    </w:p>
    <w:p>
      <w:pPr>
        <w:spacing w:after="120" w:line="276"/>
        <w:jc w:val="both"/>
      </w:pPr>
      <w:r>
        <w:rPr>
          <w:rFonts w:ascii="Barlow Semi Condensed" w:cs="Barlow Semi Condensed" w:eastAsia="Barlow Semi Condensed" w:hAnsi="Barlow Semi Condensed"/>
          <w:b/>
          <w:bCs/>
          <w:sz w:val="24"/>
          <w:szCs w:val="24"/>
        </w:rPr>
        <w:t xml:space="preserve">4902 · Il salto vietato, per iscritto.</w:t>
      </w:r>
      <w:r>
        <w:rPr>
          <w:rFonts w:ascii="Barlow Semi Condensed" w:cs="Barlow Semi Condensed" w:eastAsia="Barlow Semi Condensed" w:hAnsi="Barlow Semi Condensed"/>
          <w:sz w:val="24"/>
          <w:szCs w:val="24"/>
        </w:rPr>
        <w:t xml:space="preserve"> La parte terza dell'opera-madre distingue due piani senza ambiguità: accertata come contesto l'ostilità di settori dell'alleanza atlantica all'ingresso dei comunisti nell'area di governo, e accertato l'avvertimento riferito da Guerzoni e confermato dalla vedova, sempre smentito dall'interessato; soltanto possibile, cioè livello C, che uno di quei nemici abbia guidato la mano brigatista. Nessun documento italiano o statunitense lo attesta.</w:t>
      </w:r>
    </w:p>
    <w:p>
      <w:pPr>
        <w:spacing w:after="120" w:line="276"/>
        <w:jc w:val="both"/>
      </w:pPr>
      <w:r>
        <w:rPr>
          <w:rFonts w:ascii="Barlow Semi Condensed" w:cs="Barlow Semi Condensed" w:eastAsia="Barlow Semi Condensed" w:hAnsi="Barlow Semi Condensed"/>
          <w:b/>
          <w:bCs/>
          <w:sz w:val="24"/>
          <w:szCs w:val="24"/>
        </w:rPr>
        <w:t xml:space="preserve">4903 · Due indirizzi su duecentottantatré (serie LXIV).</w:t>
      </w:r>
      <w:r>
        <w:rPr>
          <w:rFonts w:ascii="Barlow Semi Condensed" w:cs="Barlow Semi Condensed" w:eastAsia="Barlow Semi Condensed" w:hAnsi="Barlow Semi Condensed"/>
          <w:sz w:val="24"/>
          <w:szCs w:val="24"/>
        </w:rPr>
        <w:t xml:space="preserve"> Duecentottantatré indirizzi distinti per quattrocentosedici citazioni: così l'apparato delle note bibliografiche misura l'impronta documentale dell'opera integrale. Il nome compare in esattamente due, il numero cinquanta e il numero cinquantuno, una pagina divulgativa sulle testimonianze e la ripresa giornalistica di una trasmissione televisiva. Entrambi stanno al piano tre della regola dei tre piani. L'impronta reale di questo nome nel corpus è sottile.</w:t>
      </w:r>
    </w:p>
    <w:p>
      <w:pPr>
        <w:spacing w:after="120" w:line="276"/>
        <w:jc w:val="both"/>
      </w:pPr>
      <w:r>
        <w:rPr>
          <w:rFonts w:ascii="Barlow Semi Condensed" w:cs="Barlow Semi Condensed" w:eastAsia="Barlow Semi Condensed" w:hAnsi="Barlow Semi Condensed"/>
          <w:b/>
          <w:bCs/>
          <w:sz w:val="24"/>
          <w:szCs w:val="24"/>
        </w:rPr>
        <w:t xml:space="preserve">4904 · Sostituire indirizzi con segnature.</w:t>
      </w:r>
      <w:r>
        <w:rPr>
          <w:rFonts w:ascii="Barlow Semi Condensed" w:cs="Barlow Semi Condensed" w:eastAsia="Barlow Semi Condensed" w:hAnsi="Barlow Semi Condensed"/>
          <w:sz w:val="24"/>
          <w:szCs w:val="24"/>
        </w:rPr>
        <w:t xml:space="preserve"> Bersaglio diretto sull'apparato bibliografico: rimpiazzare i due indirizzi terziari con le due segnature che li fonderebbero, cioè il resoconto stenografico dell'audizione del 1° agosto 1980 e il verbale d'udienza della Corte d'assise di Roma del novembre 1982. Finché la sostituzione non avviene vale il blocco 267 del manuale: o la segnatura, o la scheda del citato e non reperito, mai la citazione nuda.</w:t>
      </w:r>
    </w:p>
    <w:p>
      <w:pPr>
        <w:spacing w:after="120" w:line="276"/>
        <w:jc w:val="both"/>
      </w:pPr>
      <w:r>
        <w:rPr>
          <w:rFonts w:ascii="Barlow Semi Condensed" w:cs="Barlow Semi Condensed" w:eastAsia="Barlow Semi Condensed" w:hAnsi="Barlow Semi Condensed"/>
          <w:b/>
          <w:bCs/>
          <w:sz w:val="24"/>
          <w:szCs w:val="24"/>
        </w:rPr>
        <w:t xml:space="preserve">4905 · Un nodo su quarantotto voci.</w:t>
      </w:r>
      <w:r>
        <w:rPr>
          <w:rFonts w:ascii="Barlow Semi Condensed" w:cs="Barlow Semi Condensed" w:eastAsia="Barlow Semi Condensed" w:hAnsi="Barlow Semi Condensed"/>
          <w:sz w:val="24"/>
          <w:szCs w:val="24"/>
        </w:rPr>
        <w:t xml:space="preserve"> Il registro di esecuzione della triangolazione Guevara-Moro conta dieci verifiche interne, ventinove esterne, nove nodi documentati, sei paralleli strutturali e quattro divergenze. Questo nome vive in un solo nodo, M-5, e in nessun'altra voce. Misura grezza ma dichiarabile: una presenza su quarantotto. La densità documentale non misura la responsabilità, come il corpus ripete a proposito della centralità nelle reti: misura quanto si è scritto.</w:t>
      </w:r>
    </w:p>
    <w:p>
      <w:pPr>
        <w:spacing w:after="120" w:line="276"/>
        <w:jc w:val="both"/>
      </w:pPr>
      <w:r>
        <w:rPr>
          <w:rFonts w:ascii="Barlow Semi Condensed" w:cs="Barlow Semi Condensed" w:eastAsia="Barlow Semi Condensed" w:hAnsi="Barlow Semi Condensed"/>
          <w:b/>
          <w:bCs/>
          <w:sz w:val="24"/>
          <w:szCs w:val="24"/>
        </w:rPr>
        <w:t xml:space="preserve">4906 · La tassonomia degli errori guevariani.</w:t>
      </w:r>
      <w:r>
        <w:rPr>
          <w:rFonts w:ascii="Barlow Semi Condensed" w:cs="Barlow Semi Condensed" w:eastAsia="Barlow Semi Condensed" w:hAnsi="Barlow Semi Condensed"/>
          <w:sz w:val="24"/>
          <w:szCs w:val="24"/>
        </w:rPr>
        <w:t xml:space="preserve"> Il bilancio della triangolazione esterna classifica quattro errori accertati, sette imprecisioni da rifontare e un elenco di fonti da sostituire. L'episodio del 1974 non appartiene ad alcuna delle tre classi: non è errore del corpus, non è imprecisione, non è fonte debole da rimpiazzare. È testimonianza contestata, categoria che quella tassonomia non prevedeva e che la Nota di revisione n. 2 ha dovuto introdurre.</w:t>
      </w:r>
    </w:p>
    <w:p>
      <w:pPr>
        <w:spacing w:after="120" w:line="276"/>
        <w:jc w:val="both"/>
      </w:pPr>
      <w:r>
        <w:rPr>
          <w:rFonts w:ascii="Barlow Semi Condensed" w:cs="Barlow Semi Condensed" w:eastAsia="Barlow Semi Condensed" w:hAnsi="Barlow Semi Condensed"/>
          <w:b/>
          <w:bCs/>
          <w:sz w:val="24"/>
          <w:szCs w:val="24"/>
        </w:rPr>
        <w:t xml:space="preserve">4907 · Il caso Orfila come precedente.</w:t>
      </w:r>
      <w:r>
        <w:rPr>
          <w:rFonts w:ascii="Barlow Semi Condensed" w:cs="Barlow Semi Condensed" w:eastAsia="Barlow Semi Condensed" w:hAnsi="Barlow Semi Condensed"/>
          <w:sz w:val="24"/>
          <w:szCs w:val="24"/>
        </w:rPr>
        <w:t xml:space="preserve"> Fra gli errori accertati, E-3 è il più istruttivo: il corpus attribuiva un impiego ottenuto per intercessione di Alejandro Orfila, mentre il direttore del Fondo de Cultura Económica era Arnaldo Orfila Reynal, persona diversa. Una confusione di persone genera un fatto che non esiste. Regola applicata qui: quando una fonte riferisce un nome ottenuto indirettamente, la verifica d'identità precede la verifica del contenuto.</w:t>
      </w:r>
    </w:p>
    <w:p>
      <w:pPr>
        <w:spacing w:after="120" w:line="276"/>
        <w:jc w:val="both"/>
      </w:pPr>
      <w:r>
        <w:rPr>
          <w:rFonts w:ascii="Barlow Semi Condensed" w:cs="Barlow Semi Condensed" w:eastAsia="Barlow Semi Condensed" w:hAnsi="Barlow Semi Condensed"/>
          <w:b/>
          <w:bCs/>
          <w:sz w:val="24"/>
          <w:szCs w:val="24"/>
        </w:rPr>
        <w:t xml:space="preserve">4908 · L'anacronismo che uccide la domanda.</w:t>
      </w:r>
      <w:r>
        <w:rPr>
          <w:rFonts w:ascii="Barlow Semi Condensed" w:cs="Barlow Semi Condensed" w:eastAsia="Barlow Semi Condensed" w:hAnsi="Barlow Semi Condensed"/>
          <w:sz w:val="24"/>
          <w:szCs w:val="24"/>
        </w:rPr>
        <w:t xml:space="preserve"> I-6 corresse un anacronismo, la presidenza della Banca Nazionale attribuita al dicembre 1964 e invece lasciata nel febbraio 1961; la seconda campagna della Farnesina ne rilevò un altro, la Spagna franchista interrogata sul 1978. Lo stesso strumento si applica alla data del 1977: chi collochi lì l'episodio deve accettarne la conseguenza, cioè che l'interlocutore non ricopriva più alcun incarico di governo.</w:t>
      </w:r>
    </w:p>
    <w:p>
      <w:pPr>
        <w:spacing w:after="120" w:line="276"/>
        <w:jc w:val="both"/>
      </w:pPr>
      <w:r>
        <w:rPr>
          <w:rFonts w:ascii="Barlow Semi Condensed" w:cs="Barlow Semi Condensed" w:eastAsia="Barlow Semi Condensed" w:hAnsi="Barlow Semi Condensed"/>
          <w:b/>
          <w:bCs/>
          <w:sz w:val="24"/>
          <w:szCs w:val="24"/>
        </w:rPr>
        <w:t xml:space="preserve">4909 · Attribuire alla fonte, non acquisire.</w:t>
      </w:r>
      <w:r>
        <w:rPr>
          <w:rFonts w:ascii="Barlow Semi Condensed" w:cs="Barlow Semi Condensed" w:eastAsia="Barlow Semi Condensed" w:hAnsi="Barlow Semi Condensed"/>
          <w:sz w:val="24"/>
          <w:szCs w:val="24"/>
        </w:rPr>
        <w:t xml:space="preserve"> E-22 ed E-27 non furono espunti ma riattribuiti: il dettaglio degli inalatori e la cifra dei milletrecentoventitré atti di sovversione restano nel testo con la fonte dichiarata e la marca da riscontrare, invece di circolare come dati acquisiti. È il trattamento esatto che spetta al lancio d'agenzia del 30 novembre 2023, citabile come fonte della circolazione e mai come fonte del fatto riferito.</w:t>
      </w:r>
    </w:p>
    <w:p>
      <w:pPr>
        <w:spacing w:after="120" w:line="276"/>
        <w:jc w:val="both"/>
      </w:pPr>
      <w:r>
        <w:rPr>
          <w:rFonts w:ascii="Barlow Semi Condensed" w:cs="Barlow Semi Condensed" w:eastAsia="Barlow Semi Condensed" w:hAnsi="Barlow Semi Condensed"/>
          <w:b/>
          <w:bCs/>
          <w:sz w:val="24"/>
          <w:szCs w:val="24"/>
        </w:rPr>
        <w:t xml:space="preserve">4910 · Il modulo della correzione applicata.</w:t>
      </w:r>
      <w:r>
        <w:rPr>
          <w:rFonts w:ascii="Barlow Semi Condensed" w:cs="Barlow Semi Condensed" w:eastAsia="Barlow Semi Condensed" w:hAnsi="Barlow Semi Condensed"/>
          <w:sz w:val="24"/>
          <w:szCs w:val="24"/>
        </w:rPr>
        <w:t xml:space="preserve"> Le Note di revisione dei tre documenti guevariani mostrano il formato minimo che il blocco 624 rende obbligatorio: lezione originaria per esteso, lezione corretta, fonte della correzione, data, ragione dell'intervento, nessuna riscrittura silenziosa. Se una futura verifica muterà lo statuto del nodo M-5, dovrà uscire in quella forma, numerata come Nota di revisione n. 3 e agganciata a un identificativo che non muta.</w:t>
      </w:r>
    </w:p>
    <w:p>
      <w:pPr>
        <w:spacing w:after="120" w:line="276"/>
        <w:jc w:val="both"/>
      </w:pPr>
      <w:r>
        <w:rPr>
          <w:rFonts w:ascii="Barlow Semi Condensed" w:cs="Barlow Semi Condensed" w:eastAsia="Barlow Semi Condensed" w:hAnsi="Barlow Semi Condensed"/>
          <w:b/>
          <w:bCs/>
          <w:sz w:val="24"/>
          <w:szCs w:val="24"/>
        </w:rPr>
        <w:t xml:space="preserve">4911 · Il tasso d'errore calcolabile.</w:t>
      </w:r>
      <w:r>
        <w:rPr>
          <w:rFonts w:ascii="Barlow Semi Condensed" w:cs="Barlow Semi Condensed" w:eastAsia="Barlow Semi Condensed" w:hAnsi="Barlow Semi Condensed"/>
          <w:sz w:val="24"/>
          <w:szCs w:val="24"/>
        </w:rPr>
        <w:t xml:space="preserve"> Sulle ventinove verifiche esterne del corpus guevariano gli esiti furono tre errori, nove imprecisioni e diciassette conferme: poco meno di due su cinque richiesero un intervento. È un tasso misurato su campione dichiarato e non trasferibile ad altri versanti. Vale però come ordine di grandezza per chi legga: un corpus che si verifica trova, e trovare è il segno che la verifica è vera.</w:t>
      </w:r>
    </w:p>
    <w:p>
      <w:pPr>
        <w:spacing w:after="120" w:line="276"/>
        <w:jc w:val="both"/>
      </w:pPr>
      <w:r>
        <w:rPr>
          <w:rFonts w:ascii="Barlow Semi Condensed" w:cs="Barlow Semi Condensed" w:eastAsia="Barlow Semi Condensed" w:hAnsi="Barlow Semi Condensed"/>
          <w:b/>
          <w:bCs/>
          <w:sz w:val="24"/>
          <w:szCs w:val="24"/>
        </w:rPr>
        <w:t xml:space="preserve">4912 · Millecinquantacinque tabelle, altra opera.</w:t>
      </w:r>
      <w:r>
        <w:rPr>
          <w:rFonts w:ascii="Barlow Semi Condensed" w:cs="Barlow Semi Condensed" w:eastAsia="Barlow Semi Condensed" w:hAnsi="Barlow Semi Condensed"/>
          <w:sz w:val="24"/>
          <w:szCs w:val="24"/>
        </w:rPr>
        <w:t xml:space="preserve"> Millecinquantacinque righe chiuse con novecentoquarantaquattro verifiche senza rilievi, trentanove discrepanze e settantadue segnaposto: è il bilancio del registro di verifica numerica nella cartella meta. Appartiene però allo studio sanitario pugliese e non al corpus storico, sicché la cifra non si trasferisce. Si cita come prova che l'obbligo del blocco 372, misurare e pubblicare il proprio tasso d'errore, è già stato eseguito almeno una volta qui.</w:t>
      </w:r>
    </w:p>
    <w:p>
      <w:pPr>
        <w:spacing w:after="120" w:line="276"/>
        <w:jc w:val="both"/>
      </w:pPr>
      <w:r>
        <w:rPr>
          <w:rFonts w:ascii="Barlow Semi Condensed" w:cs="Barlow Semi Condensed" w:eastAsia="Barlow Semi Condensed" w:hAnsi="Barlow Semi Condensed"/>
          <w:b/>
          <w:bCs/>
          <w:sz w:val="24"/>
          <w:szCs w:val="24"/>
        </w:rPr>
        <w:t xml:space="preserve">4913 · Otto tracker, zero occorrenze.</w:t>
      </w:r>
      <w:r>
        <w:rPr>
          <w:rFonts w:ascii="Barlow Semi Condensed" w:cs="Barlow Semi Condensed" w:eastAsia="Barlow Semi Condensed" w:hAnsi="Barlow Semi Condensed"/>
          <w:sz w:val="24"/>
          <w:szCs w:val="24"/>
        </w:rPr>
        <w:t xml:space="preserve"> La ricerca meccanica del cognome negli otto tracker della cartella meta, cioè anomalie, checklist di conformità, protocollo di validazione, i due registri di verifica numerica, registro linguistico, apparato editoriale e tracker di stato, dà zero occorrenze. Il dato va dichiarato e subito qualificato: quei file governano un'opera di valutazione economica e non sono la sede dove una carta simile dovrebbe stare. Silenzio non informativo.</w:t>
      </w:r>
    </w:p>
    <w:p>
      <w:pPr>
        <w:spacing w:after="120" w:line="276"/>
        <w:jc w:val="both"/>
      </w:pPr>
      <w:r>
        <w:rPr>
          <w:rFonts w:ascii="Barlow Semi Condensed" w:cs="Barlow Semi Condensed" w:eastAsia="Barlow Semi Condensed" w:hAnsi="Barlow Semi Condensed"/>
          <w:b/>
          <w:bCs/>
          <w:sz w:val="24"/>
          <w:szCs w:val="24"/>
        </w:rPr>
        <w:t xml:space="preserve">4914 · La condizione dell'argomento dal silenzio (serie LXIV).</w:t>
      </w:r>
      <w:r>
        <w:rPr>
          <w:rFonts w:ascii="Barlow Semi Condensed" w:cs="Barlow Semi Condensed" w:eastAsia="Barlow Semi Condensed" w:hAnsi="Barlow Semi Condensed"/>
          <w:sz w:val="24"/>
          <w:szCs w:val="24"/>
        </w:rPr>
        <w:t xml:space="preserve"> La condizione unica perché un silenzio d'archivio significhi qualcosa è fissata al blocco 637: che l'archivio interrogato sia quello dove il documento, se esistesse, dovrebbe stare per prassi dell'amministrazione. Applicata ai tracker della cartella meta la condizione non è soddisfatta e l'esito nullo non pesa. Applicata a V-3 e all'apparato dei gradi è invece soddisfatta: quei due silenzi pesano, e sono stati dichiarati.</w:t>
      </w:r>
    </w:p>
    <w:p>
      <w:pPr>
        <w:spacing w:after="120" w:line="276"/>
        <w:jc w:val="both"/>
      </w:pPr>
      <w:r>
        <w:rPr>
          <w:rFonts w:ascii="Barlow Semi Condensed" w:cs="Barlow Semi Condensed" w:eastAsia="Barlow Semi Condensed" w:hAnsi="Barlow Semi Condensed"/>
          <w:b/>
          <w:bCs/>
          <w:sz w:val="24"/>
          <w:szCs w:val="24"/>
        </w:rPr>
        <w:t xml:space="preserve">4915 · Registrare senza decidere il trattamento.</w:t>
      </w:r>
      <w:r>
        <w:rPr>
          <w:rFonts w:ascii="Barlow Semi Condensed" w:cs="Barlow Semi Condensed" w:eastAsia="Barlow Semi Condensed" w:hAnsi="Barlow Semi Condensed"/>
          <w:sz w:val="24"/>
          <w:szCs w:val="24"/>
        </w:rPr>
        <w:t xml:space="preserve"> Il registro delle anomalie del corpus dichiara di annotare difetti e incoerenze senza deciderne il trattamento, lasciando all'autore la decisione. È la forma amministrativa esatta di cui il versante storico avrebbe bisogno per questo nome: una scheda che elenchi le anomalie note, la data oscillante, la sede oscillante, il nome ottenuto in aula, senza risolverle, così che nessuna resa successiva possa ignorarle per distrazione.</w:t>
      </w:r>
    </w:p>
    <w:p>
      <w:pPr>
        <w:spacing w:after="120" w:line="276"/>
        <w:jc w:val="both"/>
      </w:pPr>
      <w:r>
        <w:rPr>
          <w:rFonts w:ascii="Barlow Semi Condensed" w:cs="Barlow Semi Condensed" w:eastAsia="Barlow Semi Condensed" w:hAnsi="Barlow Semi Condensed"/>
          <w:b/>
          <w:bCs/>
          <w:sz w:val="24"/>
          <w:szCs w:val="24"/>
        </w:rPr>
        <w:t xml:space="preserve">4916 · La checklist come forma trasferibile.</w:t>
      </w:r>
      <w:r>
        <w:rPr>
          <w:rFonts w:ascii="Barlow Semi Condensed" w:cs="Barlow Semi Condensed" w:eastAsia="Barlow Semi Condensed" w:hAnsi="Barlow Semi Condensed"/>
          <w:sz w:val="24"/>
          <w:szCs w:val="24"/>
        </w:rPr>
        <w:t xml:space="preserve"> Ciascun item marcato come soddisfatto, non applicabile o lacuna, con motivazione scritta accanto: è la forma della checklist di conformità nella cartella meta. Trasferita al dossier di questo nome produce un documento breve e utile: per ciascuna delle sette precisazioni della seconda nota, lo stato attuale, la sede che lo chiuderebbe e la data dell'ultimo controllo. Nessuna riga può restare senza una delle tre marche.</w:t>
      </w:r>
    </w:p>
    <w:p>
      <w:pPr>
        <w:spacing w:after="120" w:line="276"/>
        <w:jc w:val="both"/>
      </w:pPr>
      <w:r>
        <w:rPr>
          <w:rFonts w:ascii="Barlow Semi Condensed" w:cs="Barlow Semi Condensed" w:eastAsia="Barlow Semi Condensed" w:hAnsi="Barlow Semi Condensed"/>
          <w:b/>
          <w:bCs/>
          <w:sz w:val="24"/>
          <w:szCs w:val="24"/>
        </w:rPr>
        <w:t xml:space="preserve">4917 · La validazione che nessuno ha fatto.</w:t>
      </w:r>
      <w:r>
        <w:rPr>
          <w:rFonts w:ascii="Barlow Semi Condensed" w:cs="Barlow Semi Condensed" w:eastAsia="Barlow Semi Condensed" w:hAnsi="Barlow Semi Condensed"/>
          <w:sz w:val="24"/>
          <w:szCs w:val="24"/>
        </w:rPr>
        <w:t xml:space="preserve"> Una validazione esterna non può essere condotta da un assistente automatico e richiede lettori reali cronometrati, con esito registrato: così stabilisce il protocollo di validazione della cartella meta. Sul versante storico quel passaggio non è mai avvenuto, e nessun lettore esterno ha verificato l'opera dei mille blocchi né la Nota di revisione n. 2. Stato Zero di metodo, che si chiude con tre letture indipendenti e un verbale.</w:t>
      </w:r>
    </w:p>
    <w:p>
      <w:pPr>
        <w:spacing w:after="120" w:line="276"/>
        <w:jc w:val="both"/>
      </w:pPr>
      <w:r>
        <w:rPr>
          <w:rFonts w:ascii="Barlow Semi Condensed" w:cs="Barlow Semi Condensed" w:eastAsia="Barlow Semi Condensed" w:hAnsi="Barlow Semi Condensed"/>
          <w:b/>
          <w:bCs/>
          <w:sz w:val="24"/>
          <w:szCs w:val="24"/>
        </w:rPr>
        <w:t xml:space="preserve">4918 · Glossare ciò che si ripete.</w:t>
      </w:r>
      <w:r>
        <w:rPr>
          <w:rFonts w:ascii="Barlow Semi Condensed" w:cs="Barlow Semi Condensed" w:eastAsia="Barlow Semi Condensed" w:hAnsi="Barlow Semi Condensed"/>
          <w:sz w:val="24"/>
          <w:szCs w:val="24"/>
        </w:rPr>
        <w:t xml:space="preserve"> Il registro linguistico documenta una violazione sistematica, un acronimo mai sciolto in quattro prodotti su quattro, e la corregge al primo utilizzo di ciascuno. La stessa passata manca sul versante storico, dove ricorrono senza glossa memorandum of conversation, de relato, withdrawal card e la sigla FRUS. Bersaglio minimo e immediatamente eseguibile: una nota di scioglimento alla prima occorrenza in ciascun documento, senza toccare il testo.</w:t>
      </w:r>
    </w:p>
    <w:p>
      <w:pPr>
        <w:spacing w:after="120" w:line="276"/>
        <w:jc w:val="both"/>
      </w:pPr>
      <w:r>
        <w:rPr>
          <w:rFonts w:ascii="Barlow Semi Condensed" w:cs="Barlow Semi Condensed" w:eastAsia="Barlow Semi Condensed" w:hAnsi="Barlow Semi Condensed"/>
          <w:b/>
          <w:bCs/>
          <w:sz w:val="24"/>
          <w:szCs w:val="24"/>
        </w:rPr>
        <w:t xml:space="preserve">4919 · La tabella dei tagli è vuota.</w:t>
      </w:r>
      <w:r>
        <w:rPr>
          <w:rFonts w:ascii="Barlow Semi Condensed" w:cs="Barlow Semi Condensed" w:eastAsia="Barlow Semi Condensed" w:hAnsi="Barlow Semi Condensed"/>
          <w:sz w:val="24"/>
          <w:szCs w:val="24"/>
        </w:rPr>
        <w:t xml:space="preserve"> Esiste un file per registrare ciò che viene spostato fuori dal corpo principale dei tomi, e la sua tabella non contiene alcuna riga: nessun materiale risulta rimosso. Applicato a questa serie, il dato sostiene un'affermazione negativa che altrimenti resterebbe indimostrabile: l'esiguità delle occorrenze del nome non deriva da un'espunzione, ma dal fatto che il corpus non ne ha mai avute di più.</w:t>
      </w:r>
    </w:p>
    <w:p>
      <w:pPr>
        <w:spacing w:after="120" w:line="276"/>
        <w:jc w:val="both"/>
      </w:pPr>
      <w:r>
        <w:rPr>
          <w:rFonts w:ascii="Barlow Semi Condensed" w:cs="Barlow Semi Condensed" w:eastAsia="Barlow Semi Condensed" w:hAnsi="Barlow Semi Condensed"/>
          <w:b/>
          <w:bCs/>
          <w:sz w:val="24"/>
          <w:szCs w:val="24"/>
        </w:rPr>
        <w:t xml:space="preserve">4920 · La storia dei commit come prova.</w:t>
      </w:r>
      <w:r>
        <w:rPr>
          <w:rFonts w:ascii="Barlow Semi Condensed" w:cs="Barlow Semi Condensed" w:eastAsia="Barlow Semi Condensed" w:hAnsi="Barlow Semi Condensed"/>
          <w:sz w:val="24"/>
          <w:szCs w:val="24"/>
        </w:rPr>
        <w:t xml:space="preserve"> L'affermazione precedente ha però un verificatore migliore della tabella dei tagli, e va nominato: il repository è versionato, e l'interrogazione della storia dei commit sulle occorrenze del cognome stabilisce quando il nome sia entrato nel corpus e se qualche passaggio che lo conteneva sia mai stato rimosso. Bersaglio di smentita di questa serie: un commit che mostri un'espunzione non dichiarata.</w:t>
      </w:r>
    </w:p>
    <w:p>
      <w:pPr>
        <w:spacing w:after="120" w:line="276"/>
        <w:jc w:val="both"/>
      </w:pPr>
      <w:r>
        <w:rPr>
          <w:rFonts w:ascii="Barlow Semi Condensed" w:cs="Barlow Semi Condensed" w:eastAsia="Barlow Semi Condensed" w:hAnsi="Barlow Semi Condensed"/>
          <w:b/>
          <w:bCs/>
          <w:sz w:val="24"/>
          <w:szCs w:val="24"/>
        </w:rPr>
        <w:t xml:space="preserve">4921 · Il registro numerato delle correzioni.</w:t>
      </w:r>
      <w:r>
        <w:rPr>
          <w:rFonts w:ascii="Barlow Semi Condensed" w:cs="Barlow Semi Condensed" w:eastAsia="Barlow Semi Condensed" w:hAnsi="Barlow Semi Condensed"/>
          <w:sz w:val="24"/>
          <w:szCs w:val="24"/>
        </w:rPr>
        <w:t xml:space="preserve"> Numerare e pubblicare le note di revisione è prescritto dal blocco 288 del manuale investigativo, perché la storia degli errori corretti è la credenziale del metodo e non la sua vergogna. Il corpus ne ha due. La terza esiste già in potenza e il suo oggetto è nominabile: la sostituzione delle secondarie convergenti coi due primari, quando saranno stati effettivamente letti.</w:t>
      </w:r>
    </w:p>
    <w:p>
      <w:pPr>
        <w:spacing w:after="120" w:line="276"/>
        <w:jc w:val="both"/>
      </w:pPr>
      <w:r>
        <w:rPr>
          <w:rFonts w:ascii="Barlow Semi Condensed" w:cs="Barlow Semi Condensed" w:eastAsia="Barlow Semi Condensed" w:hAnsi="Barlow Semi Condensed"/>
          <w:b/>
          <w:bCs/>
          <w:sz w:val="24"/>
          <w:szCs w:val="24"/>
        </w:rPr>
        <w:t xml:space="preserve">4922 · Il testimone-oracolo e il suo antidoto.</w:t>
      </w:r>
      <w:r>
        <w:rPr>
          <w:rFonts w:ascii="Barlow Semi Condensed" w:cs="Barlow Semi Condensed" w:eastAsia="Barlow Semi Condensed" w:hAnsi="Barlow Semi Condensed"/>
          <w:sz w:val="24"/>
          <w:szCs w:val="24"/>
        </w:rPr>
        <w:t xml:space="preserve"> L'errore del testimone-oracolo è catalogato al blocco 253 sul caso Marini, una corroborazione fisica assunta sulla parola per decenni, e l'antidoto prescritto è che la corroborazione si verifichi prima di fondare. Applicato al colloquio del 1974, l'antidoto indica che cosa manca: un riscontro materiale indipendente dalla catena testimoniale. L'unico documento pertinente finora reperito dice altro da ciò che gli si fa dire.</w:t>
      </w:r>
    </w:p>
    <w:p>
      <w:pPr>
        <w:spacing w:after="120" w:line="276"/>
        <w:jc w:val="both"/>
      </w:pPr>
      <w:r>
        <w:rPr>
          <w:rFonts w:ascii="Barlow Semi Condensed" w:cs="Barlow Semi Condensed" w:eastAsia="Barlow Semi Condensed" w:hAnsi="Barlow Semi Condensed"/>
          <w:b/>
          <w:bCs/>
          <w:sz w:val="24"/>
          <w:szCs w:val="24"/>
        </w:rPr>
        <w:t xml:space="preserve">4923 · Il registro dei quasi-errori.</w:t>
      </w:r>
      <w:r>
        <w:rPr>
          <w:rFonts w:ascii="Barlow Semi Condensed" w:cs="Barlow Semi Condensed" w:eastAsia="Barlow Semi Condensed" w:hAnsi="Barlow Semi Condensed"/>
          <w:sz w:val="24"/>
          <w:szCs w:val="24"/>
        </w:rPr>
        <w:t xml:space="preserve"> Schedare gli sbagli intercettati prima della pubblicazione come i quasi-incidenti dell'aviazione: così prescrive il blocco 374. Il versante di questo nome ne offre uno esemplare e già intercettato, poiché l'opera dei mille blocchi si apriva presentando il verbale del 25 settembre 1974 come contenente la frase, e la propria campagna di verifica le impose di riscrivere il frontespizio. Il blocco 629 lo dichiara per esteso.</w:t>
      </w:r>
    </w:p>
    <w:p>
      <w:pPr>
        <w:spacing w:after="120" w:line="276"/>
        <w:jc w:val="both"/>
      </w:pPr>
      <w:r>
        <w:rPr>
          <w:rFonts w:ascii="Barlow Semi Condensed" w:cs="Barlow Semi Condensed" w:eastAsia="Barlow Semi Condensed" w:hAnsi="Barlow Semi Condensed"/>
          <w:b/>
          <w:bCs/>
          <w:sz w:val="24"/>
          <w:szCs w:val="24"/>
        </w:rPr>
        <w:t xml:space="preserve">4924 · Che cosa attaccherebbe il red team.</w:t>
      </w:r>
      <w:r>
        <w:rPr>
          <w:rFonts w:ascii="Barlow Semi Condensed" w:cs="Barlow Semi Condensed" w:eastAsia="Barlow Semi Condensed" w:hAnsi="Barlow Semi Condensed"/>
          <w:sz w:val="24"/>
          <w:szCs w:val="24"/>
        </w:rPr>
        <w:t xml:space="preserve"> Qualcuno deve scrivere la miglior confutazione possibile prima della pubblicazione, impone il blocco 356. Contro questa serie la confutazione più forte è nominabile: che dichiarare sistematicamente Stati Zero su un nome equivalga a tenerlo in scena senza prove. La risposta è procedurale e va verbalizzata: ogni Stato Zero qui porta la sede che lo chiuderebbe, e una sede nominata è verificabile da chiunque.</w:t>
      </w:r>
    </w:p>
    <w:p>
      <w:pPr>
        <w:spacing w:after="120" w:line="276"/>
        <w:jc w:val="both"/>
      </w:pPr>
      <w:r>
        <w:rPr>
          <w:rFonts w:ascii="Barlow Semi Condensed" w:cs="Barlow Semi Condensed" w:eastAsia="Barlow Semi Condensed" w:hAnsi="Barlow Semi Condensed"/>
          <w:b/>
          <w:bCs/>
          <w:sz w:val="24"/>
          <w:szCs w:val="24"/>
        </w:rPr>
        <w:t xml:space="preserve">4925 · La porta lasciata aperta.</w:t>
      </w:r>
      <w:r>
        <w:rPr>
          <w:rFonts w:ascii="Barlow Semi Condensed" w:cs="Barlow Semi Condensed" w:eastAsia="Barlow Semi Condensed" w:hAnsi="Barlow Semi Condensed"/>
          <w:sz w:val="24"/>
          <w:szCs w:val="24"/>
        </w:rPr>
        <w:t xml:space="preserve"> La smentita è dichiarata benvenuta dal blocco 999 dei nove cantieri, purché fatta con un documento. Questa serie ne indica la forma esatta: una carta di provenienza, verbale, telegramma o appunto d'ufficio con segnatura, che nomini insieme la persona e un atto italiano del 1974 o del 1978. Con quella carta si sale al piano uno; senza, restano due note di revisione e quattro apparati.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sessantacinquesima — La chiusura: 4.999 e non 5.000</w:t>
      </w:r>
    </w:p>
    <w:p>
      <w:pPr>
        <w:spacing w:after="120" w:line="276"/>
        <w:jc w:val="both"/>
      </w:pPr>
      <w:r>
        <w:rPr>
          <w:rFonts w:ascii="Barlow Semi Condensed" w:cs="Barlow Semi Condensed" w:eastAsia="Barlow Semi Condensed" w:hAnsi="Barlow Semi Condensed"/>
          <w:i/>
          <w:iCs/>
          <w:sz w:val="24"/>
          <w:szCs w:val="24"/>
        </w:rPr>
        <w:t xml:space="preserve">Blocchi 4926-4999.</w:t>
      </w:r>
    </w:p>
    <w:p>
      <w:pPr>
        <w:spacing w:after="120" w:line="276"/>
        <w:jc w:val="both"/>
      </w:pPr>
      <w:r>
        <w:rPr>
          <w:rFonts w:ascii="Barlow Semi Condensed" w:cs="Barlow Semi Condensed" w:eastAsia="Barlow Semi Condensed" w:hAnsi="Barlow Semi Condensed"/>
          <w:b/>
          <w:bCs/>
          <w:sz w:val="24"/>
          <w:szCs w:val="24"/>
        </w:rPr>
        <w:t xml:space="preserve">4926 · Il conto si dichiara per primo.</w:t>
      </w:r>
      <w:r>
        <w:rPr>
          <w:rFonts w:ascii="Barlow Semi Condensed" w:cs="Barlow Semi Condensed" w:eastAsia="Barlow Semi Condensed" w:hAnsi="Barlow Semi Condensed"/>
          <w:sz w:val="24"/>
          <w:szCs w:val="24"/>
        </w:rPr>
        <w:t xml:space="preserve"> Quest'opera si arresta al blocco 4.999 e non al 5.000. Mille blocchi vengono dalla campagna concettuale ordinata nelle tredici serie che vanno da «Il nome e la mutazione» al «Limite della metafora»; i restanti tremilanovecentonovantanove vengono dalla campagna territoriale, che ha portato lo stesso nome dentro il corpus documento per documento. La cifra mancante si annuncia in apertura, perché è essa stessa un'acquisizione e non un residuo.</w:t>
      </w:r>
    </w:p>
    <w:p>
      <w:pPr>
        <w:spacing w:after="120" w:line="276"/>
        <w:jc w:val="both"/>
      </w:pPr>
      <w:r>
        <w:rPr>
          <w:rFonts w:ascii="Barlow Semi Condensed" w:cs="Barlow Semi Condensed" w:eastAsia="Barlow Semi Condensed" w:hAnsi="Barlow Semi Condensed"/>
          <w:b/>
          <w:bCs/>
          <w:sz w:val="24"/>
          <w:szCs w:val="24"/>
        </w:rPr>
        <w:t xml:space="preserve">4927 · Il blocco cinquemila resta bianco.</w:t>
      </w:r>
      <w:r>
        <w:rPr>
          <w:rFonts w:ascii="Barlow Semi Condensed" w:cs="Barlow Semi Condensed" w:eastAsia="Barlow Semi Condensed" w:hAnsi="Barlow Semi Condensed"/>
          <w:sz w:val="24"/>
          <w:szCs w:val="24"/>
        </w:rPr>
        <w:t xml:space="preserve"> L'ultima casella non è scritta, e l'omissione è deliberata. Non manca per stanchezza né per gusto della simmetria rotta: manca perché, esaurito il corpus, non risulta formulabile su questo nome un ulteriore bersaglio documentale che non duplichi uno già posto. Riempirla avrebbe dimostrato soltanto che si sanno riempire caselle. Qui lo Stato Zero prende la forma più letterale di cui un'opera in blocchi disponga, cioè una riga vuota.</w:t>
      </w:r>
    </w:p>
    <w:p>
      <w:pPr>
        <w:spacing w:after="120" w:line="276"/>
        <w:jc w:val="both"/>
      </w:pPr>
      <w:r>
        <w:rPr>
          <w:rFonts w:ascii="Barlow Semi Condensed" w:cs="Barlow Semi Condensed" w:eastAsia="Barlow Semi Condensed" w:hAnsi="Barlow Semi Condensed"/>
          <w:b/>
          <w:bCs/>
          <w:sz w:val="24"/>
          <w:szCs w:val="24"/>
        </w:rPr>
        <w:t xml:space="preserve">4928 · La sede che chiuderebbe la casella.</w:t>
      </w:r>
      <w:r>
        <w:rPr>
          <w:rFonts w:ascii="Barlow Semi Condensed" w:cs="Barlow Semi Condensed" w:eastAsia="Barlow Semi Condensed" w:hAnsi="Barlow Semi Condensed"/>
          <w:sz w:val="24"/>
          <w:szCs w:val="24"/>
        </w:rPr>
        <w:t xml:space="preserve"> Uno Stato Zero si scrive con la sede d'archivio che lo chiuderebbe, e questo non fa eccezione. Il blocco 5.000 si scriverà il giorno in cui l'Archivio storico-diplomatico della Farnesina renderà consultabili, per gli anni 1969-1974, i carteggi di gabinetto del ministro e la serie dell'ambasciata a Washington. Da lì verrà un ponte al piano 1 oppure la certificazione della sua assenza: in entrambi i casi, una riga.</w:t>
      </w:r>
    </w:p>
    <w:p>
      <w:pPr>
        <w:spacing w:after="120" w:line="276"/>
        <w:jc w:val="both"/>
      </w:pPr>
      <w:r>
        <w:rPr>
          <w:rFonts w:ascii="Barlow Semi Condensed" w:cs="Barlow Semi Condensed" w:eastAsia="Barlow Semi Condensed" w:hAnsi="Barlow Semi Condensed"/>
          <w:b/>
          <w:bCs/>
          <w:sz w:val="24"/>
          <w:szCs w:val="24"/>
        </w:rPr>
        <w:t xml:space="preserve">4929 · Perché non si arrotonda.</w:t>
      </w:r>
      <w:r>
        <w:rPr>
          <w:rFonts w:ascii="Barlow Semi Condensed" w:cs="Barlow Semi Condensed" w:eastAsia="Barlow Semi Condensed" w:hAnsi="Barlow Semi Condensed"/>
          <w:sz w:val="24"/>
          <w:szCs w:val="24"/>
        </w:rPr>
        <w:t xml:space="preserve"> Il numero tondo è una tentazione editoriale e un vizio metodologico: obbliga a produrre l'ultima unità per ragioni di forma, e un blocco prodotto per ragioni di forma è precisamente ciò che il blocco 464 vieta quando proibisce di inventare la carta. Fermarsi a 4.999 costa un'imperfezione tipografica e salva la regola. Il corpus preferisce da sempre una cifra scomoda a una simmetria comprata.</w:t>
      </w:r>
    </w:p>
    <w:p>
      <w:pPr>
        <w:spacing w:after="120" w:line="276"/>
        <w:jc w:val="both"/>
      </w:pPr>
      <w:r>
        <w:rPr>
          <w:rFonts w:ascii="Barlow Semi Condensed" w:cs="Barlow Semi Condensed" w:eastAsia="Barlow Semi Condensed" w:hAnsi="Barlow Semi Condensed"/>
          <w:b/>
          <w:bCs/>
          <w:sz w:val="24"/>
          <w:szCs w:val="24"/>
        </w:rPr>
        <w:t xml:space="preserve">4930 · Due campagne, due metodi.</w:t>
      </w:r>
      <w:r>
        <w:rPr>
          <w:rFonts w:ascii="Barlow Semi Condensed" w:cs="Barlow Semi Condensed" w:eastAsia="Barlow Semi Condensed" w:hAnsi="Barlow Semi Condensed"/>
          <w:sz w:val="24"/>
          <w:szCs w:val="24"/>
        </w:rPr>
        <w:t xml:space="preserve"> La prima campagna lavorava sulla lente dichiarata dal committente e procedeva per categorie: genoma, trascrizione, vettore, epigenetica, filogenesi. La seconda ha rovesciato l'asse e ha proceduto per territori, prendendo un documento del corpus alla volta e chiedendogli se contenesse questo nome. Il rovesciamento non è stilistico: la prima campagna poteva produrre coerenza senza produrre reperti, la seconda no, perché ogni serie doveva dichiarare che cosa aveva aperto.</w:t>
      </w:r>
    </w:p>
    <w:p>
      <w:pPr>
        <w:spacing w:after="120" w:line="276"/>
        <w:jc w:val="both"/>
      </w:pPr>
      <w:r>
        <w:rPr>
          <w:rFonts w:ascii="Barlow Semi Condensed" w:cs="Barlow Semi Condensed" w:eastAsia="Barlow Semi Condensed" w:hAnsi="Barlow Semi Condensed"/>
          <w:b/>
          <w:bCs/>
          <w:sz w:val="24"/>
          <w:szCs w:val="24"/>
        </w:rPr>
        <w:t xml:space="preserve">4931 · Che cosa ha aggiunto il territorio.</w:t>
      </w:r>
      <w:r>
        <w:rPr>
          <w:rFonts w:ascii="Barlow Semi Condensed" w:cs="Barlow Semi Condensed" w:eastAsia="Barlow Semi Condensed" w:hAnsi="Barlow Semi Condensed"/>
          <w:sz w:val="24"/>
          <w:szCs w:val="24"/>
        </w:rPr>
        <w:t xml:space="preserve"> L'aggiunta della seconda campagna non è un fatto nuovo ma una misura: quante volte, aprendo davvero i documenti del corpus, il nome compare. La risposta sta nei conteggi già eseguiti e verbalizzati, e va letta senza sollievo e senza scandalo. Un'opera che triangola cinquemila volte un nome contro un corpus che lo nomina in quindici file su ottantatré ha per risultato principale la propria sproporzione, e deve dirlo.</w:t>
      </w:r>
    </w:p>
    <w:p>
      <w:pPr>
        <w:spacing w:after="120" w:line="276"/>
        <w:jc w:val="both"/>
      </w:pPr>
      <w:r>
        <w:rPr>
          <w:rFonts w:ascii="Barlow Semi Condensed" w:cs="Barlow Semi Condensed" w:eastAsia="Barlow Semi Condensed" w:hAnsi="Barlow Semi Condensed"/>
          <w:b/>
          <w:bCs/>
          <w:sz w:val="24"/>
          <w:szCs w:val="24"/>
        </w:rPr>
        <w:t xml:space="preserve">4932 · Il piano 1, censito per intero.</w:t>
      </w:r>
      <w:r>
        <w:rPr>
          <w:rFonts w:ascii="Barlow Semi Condensed" w:cs="Barlow Semi Condensed" w:eastAsia="Barlow Semi Condensed" w:hAnsi="Barlow Semi Condensed"/>
          <w:sz w:val="24"/>
          <w:szCs w:val="24"/>
        </w:rPr>
        <w:t xml:space="preserve"> Al primo piano, cioè al rapporto diretto documentato, il bilancio è breve e va scritto senza aggettivi: il memorandum dello Studio Ovale del 25 settembre 1974, doc. 350 del FRUS 1969-1976 E-15 parte 2 in seconda edizione riveduta e file 1552802 della Ford Library; il colloquio del giorno dopo, file 1552806; il verbale del Comitato dei 303 dell'11 marzo 1969, FRUS volume XLI documento 180.</w:t>
      </w:r>
    </w:p>
    <w:p>
      <w:pPr>
        <w:spacing w:after="120" w:line="276"/>
        <w:jc w:val="both"/>
      </w:pPr>
      <w:r>
        <w:rPr>
          <w:rFonts w:ascii="Barlow Semi Condensed" w:cs="Barlow Semi Condensed" w:eastAsia="Barlow Semi Condensed" w:hAnsi="Barlow Semi Condensed"/>
          <w:b/>
          <w:bCs/>
          <w:sz w:val="24"/>
          <w:szCs w:val="24"/>
        </w:rPr>
        <w:t xml:space="preserve">4933 · Il secondo verbale non è esaurito.</w:t>
      </w:r>
      <w:r>
        <w:rPr>
          <w:rFonts w:ascii="Barlow Semi Condensed" w:cs="Barlow Semi Condensed" w:eastAsia="Barlow Semi Condensed" w:hAnsi="Barlow Semi Condensed"/>
          <w:sz w:val="24"/>
          <w:szCs w:val="24"/>
        </w:rPr>
        <w:t xml:space="preserve"> Il file 1552806 della Gerald R. Ford Presidential Library resta l'unico documento di piano 1 di cui l'opera abbia usato estratti parziali e non del tutto concordi, come l'apparato K-3 dichiara. È il bersaglio meglio definito che quest'opera lascia aperto: acquisizione integrale del verbale del 26 settembre 1974 presso i National Security Adviser's Memoranda of Conversation, e collazione riga per riga col verbale del giorno precedente.</w:t>
      </w:r>
    </w:p>
    <w:p>
      <w:pPr>
        <w:spacing w:after="120" w:line="276"/>
        <w:jc w:val="both"/>
      </w:pPr>
      <w:r>
        <w:rPr>
          <w:rFonts w:ascii="Barlow Semi Condensed" w:cs="Barlow Semi Condensed" w:eastAsia="Barlow Semi Condensed" w:hAnsi="Barlow Semi Condensed"/>
          <w:b/>
          <w:bCs/>
          <w:sz w:val="24"/>
          <w:szCs w:val="24"/>
        </w:rPr>
        <w:t xml:space="preserve">4934 · Gli atti che restano al piano 1.</w:t>
      </w:r>
      <w:r>
        <w:rPr>
          <w:rFonts w:ascii="Barlow Semi Condensed" w:cs="Barlow Semi Condensed" w:eastAsia="Barlow Semi Condensed" w:hAnsi="Barlow Semi Condensed"/>
          <w:sz w:val="24"/>
          <w:szCs w:val="24"/>
        </w:rPr>
        <w:t xml:space="preserve"> Vanno aggiunti al censimento i documenti in cui il nome compare come firmatario o destinatario di atti non italiani: il memorandum al presidente Ford sugli oppiacei turchi, documento 208 del volume XXX, col NSDM 267 del 23 agosto 1974 al documento 209; il telegramma del 2 agosto 1975 sulla firma dell'Atto finale, volume XXXIX documento 334. Sono atti reali, e nessuno di essi riguarda il caso italiano del 1978.</w:t>
      </w:r>
    </w:p>
    <w:p>
      <w:pPr>
        <w:spacing w:after="120" w:line="276"/>
        <w:jc w:val="both"/>
      </w:pPr>
      <w:r>
        <w:rPr>
          <w:rFonts w:ascii="Barlow Semi Condensed" w:cs="Barlow Semi Condensed" w:eastAsia="Barlow Semi Condensed" w:hAnsi="Barlow Semi Condensed"/>
          <w:b/>
          <w:bCs/>
          <w:sz w:val="24"/>
          <w:szCs w:val="24"/>
        </w:rPr>
        <w:t xml:space="preserve">4935 · Il piano 2, senza promozioni.</w:t>
      </w:r>
      <w:r>
        <w:rPr>
          <w:rFonts w:ascii="Barlow Semi Condensed" w:cs="Barlow Semi Condensed" w:eastAsia="Barlow Semi Condensed" w:hAnsi="Barlow Semi Condensed"/>
          <w:sz w:val="24"/>
          <w:szCs w:val="24"/>
        </w:rPr>
        <w:t xml:space="preserve"> Al secondo piano restano le convergenze entro la stessa cornice: l'ostilità documentata all'ingresso comunista al governo e la contemporanea maturazione della linea morotea; la presenza statunitense nei due teatri delle due morti che il nodo M-5 di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registra; la comunanza di tavolo a Helsinki. Nessuna di queste è stata promossa a nesso in cinquemila blocchi, e la mancata promozione è il risultato, non una cautela.</w:t>
      </w:r>
    </w:p>
    <w:p>
      <w:pPr>
        <w:spacing w:after="120" w:line="276"/>
        <w:jc w:val="both"/>
      </w:pPr>
      <w:r>
        <w:rPr>
          <w:rFonts w:ascii="Barlow Semi Condensed" w:cs="Barlow Semi Condensed" w:eastAsia="Barlow Semi Condensed" w:hAnsi="Barlow Semi Condensed"/>
          <w:b/>
          <w:bCs/>
          <w:sz w:val="24"/>
          <w:szCs w:val="24"/>
        </w:rPr>
        <w:t xml:space="preserve">4936 · Il piano 3 e la sorgente unica.</w:t>
      </w:r>
      <w:r>
        <w:rPr>
          <w:rFonts w:ascii="Barlow Semi Condensed" w:cs="Barlow Semi Condensed" w:eastAsia="Barlow Semi Condensed" w:hAnsi="Barlow Semi Condensed"/>
          <w:sz w:val="24"/>
          <w:szCs w:val="24"/>
        </w:rPr>
        <w:t xml:space="preserve"> Al terzo piano — affermazione terziaria priva di riscontro — sta la circolazione dell'episodio dell'avvertimento nella forma pressoché identica che decine di siti ripetono. L'apparato K-4 ne ha risalito la genealogia fino a un unico lancio d'agenzia del 30 novembre 2023, e fino a un rilancio internazionale del 1982 di orientamento apertamente cospirazionista. Molte copie della stessa sequenza non sono molte prove: sono molte copie.</w:t>
      </w:r>
    </w:p>
    <w:p>
      <w:pPr>
        <w:spacing w:after="120" w:line="276"/>
        <w:jc w:val="both"/>
      </w:pPr>
      <w:r>
        <w:rPr>
          <w:rFonts w:ascii="Barlow Semi Condensed" w:cs="Barlow Semi Condensed" w:eastAsia="Barlow Semi Condensed" w:hAnsi="Barlow Semi Condensed"/>
          <w:b/>
          <w:bCs/>
          <w:sz w:val="24"/>
          <w:szCs w:val="24"/>
        </w:rPr>
        <w:t xml:space="preserve">4937 · Nessun nesso causale nuovo (serie LXV).</w:t>
      </w:r>
      <w:r>
        <w:rPr>
          <w:rFonts w:ascii="Barlow Semi Condensed" w:cs="Barlow Semi Condensed" w:eastAsia="Barlow Semi Condensed" w:hAnsi="Barlow Semi Condensed"/>
          <w:sz w:val="24"/>
          <w:szCs w:val="24"/>
        </w:rPr>
        <w:t xml:space="preserve"> La dichiarazione di bilancio del blocco 987 si conferma alla scala di 4.999: né la lente genetica né la campagna territoriale hanno prodotto un solo nesso causale che non fosse già documentato prima. Nessun piano 2 è salito al piano 1, nessuna convergenza è diventata ponte, nessun nome è entrato in alcun registro. Chi userà quest'opera per farlo la userà contro la regola espressa che la governa.</w:t>
      </w:r>
    </w:p>
    <w:p>
      <w:pPr>
        <w:spacing w:after="120" w:line="276"/>
        <w:jc w:val="both"/>
      </w:pPr>
      <w:r>
        <w:rPr>
          <w:rFonts w:ascii="Barlow Semi Condensed" w:cs="Barlow Semi Condensed" w:eastAsia="Barlow Semi Condensed" w:hAnsi="Barlow Semi Condensed"/>
          <w:b/>
          <w:bCs/>
          <w:sz w:val="24"/>
          <w:szCs w:val="24"/>
        </w:rPr>
        <w:t xml:space="preserve">4938 · Lo zero della quadriga, riconfermato.</w:t>
      </w:r>
      <w:r>
        <w:rPr>
          <w:rFonts w:ascii="Barlow Semi Condensed" w:cs="Barlow Semi Condensed" w:eastAsia="Barlow Semi Condensed" w:hAnsi="Barlow Semi Condensed"/>
          <w:sz w:val="24"/>
          <w:szCs w:val="24"/>
        </w:rPr>
        <w:t xml:space="preserve"> La verifica meccanica del blocco 47 regge alla fine come reggeva all'inizio: la stringa non compare in alcuno dei mille blocchi di </w:t>
      </w:r>
      <w:r>
        <w:rPr>
          <w:rFonts w:ascii="Barlow Semi Condensed" w:cs="Barlow Semi Condensed" w:eastAsia="Barlow Semi Condensed" w:hAnsi="Barlow Semi Condensed"/>
          <w:i/>
          <w:iCs/>
          <w:sz w:val="24"/>
          <w:szCs w:val="24"/>
        </w:rPr>
        <w:t xml:space="preserve">nove-cantieri-mille-blocchi.md</w:t>
      </w:r>
      <w:r>
        <w:rPr>
          <w:rFonts w:ascii="Barlow Semi Condensed" w:cs="Barlow Semi Condensed" w:eastAsia="Barlow Semi Condensed" w:hAnsi="Barlow Semi Condensed"/>
          <w:sz w:val="24"/>
          <w:szCs w:val="24"/>
        </w:rPr>
        <w:t xml:space="preserve">, dei quattrocento di </w:t>
      </w:r>
      <w:r>
        <w:rPr>
          <w:rFonts w:ascii="Barlow Semi Condensed" w:cs="Barlow Semi Condensed" w:eastAsia="Barlow Semi Condensed" w:hAnsi="Barlow Semi Condensed"/>
          <w:i/>
          <w:iCs/>
          <w:sz w:val="24"/>
          <w:szCs w:val="24"/>
        </w:rPr>
        <w:t xml:space="preserve">manuale-investigativo-nuovo-caso-moro.md</w:t>
      </w:r>
      <w:r>
        <w:rPr>
          <w:rFonts w:ascii="Barlow Semi Condensed" w:cs="Barlow Semi Condensed" w:eastAsia="Barlow Semi Condensed" w:hAnsi="Barlow Semi Condensed"/>
          <w:sz w:val="24"/>
          <w:szCs w:val="24"/>
        </w:rPr>
        <w:t xml:space="preserve">, dei trecento di </w:t>
      </w:r>
      <w:r>
        <w:rPr>
          <w:rFonts w:ascii="Barlow Semi Condensed" w:cs="Barlow Semi Condensed" w:eastAsia="Barlow Semi Condensed" w:hAnsi="Barlow Semi Condensed"/>
          <w:i/>
          <w:iCs/>
          <w:sz w:val="24"/>
          <w:szCs w:val="24"/>
        </w:rPr>
        <w:t xml:space="preserve">agenda-di-ricerca-del-nuovo-caso-moro.md</w:t>
      </w:r>
      <w:r>
        <w:rPr>
          <w:rFonts w:ascii="Barlow Semi Condensed" w:cs="Barlow Semi Condensed" w:eastAsia="Barlow Semi Condensed" w:hAnsi="Barlow Semi Condensed"/>
          <w:sz w:val="24"/>
          <w:szCs w:val="24"/>
        </w:rPr>
        <w:t xml:space="preserve">. Zero occorrenze su millesettecento unità di ricerca. Il perimetro del vuoto è dichiarato secondo i blocchi 233 e 285 dell'agenda, che fanno della ricerca infruttuosa un atto formale.</w:t>
      </w:r>
    </w:p>
    <w:p>
      <w:pPr>
        <w:spacing w:after="120" w:line="276"/>
        <w:jc w:val="both"/>
      </w:pPr>
      <w:r>
        <w:rPr>
          <w:rFonts w:ascii="Barlow Semi Condensed" w:cs="Barlow Semi Condensed" w:eastAsia="Barlow Semi Condensed" w:hAnsi="Barlow Semi Condensed"/>
          <w:b/>
          <w:bCs/>
          <w:sz w:val="24"/>
          <w:szCs w:val="24"/>
        </w:rPr>
        <w:t xml:space="preserve">4939 · Il nodo che non entra nella rete.</w:t>
      </w:r>
      <w:r>
        <w:rPr>
          <w:rFonts w:ascii="Barlow Semi Condensed" w:cs="Barlow Semi Condensed" w:eastAsia="Barlow Semi Condensed" w:hAnsi="Barlow Semi Condensed"/>
          <w:sz w:val="24"/>
          <w:szCs w:val="24"/>
        </w:rPr>
        <w:t xml:space="preserve"> Nella rete documentata calcolata in </w:t>
      </w:r>
      <w:r>
        <w:rPr>
          <w:rFonts w:ascii="Barlow Semi Condensed" w:cs="Barlow Semi Condensed" w:eastAsia="Barlow Semi Condensed" w:hAnsi="Barlow Semi Condensed"/>
          <w:i/>
          <w:iCs/>
          <w:sz w:val="24"/>
          <w:szCs w:val="24"/>
        </w:rPr>
        <w:t xml:space="preserve">metodologie-del-dossier-sinaptogenesi-e-strumenti.md</w:t>
      </w:r>
      <w:r>
        <w:rPr>
          <w:rFonts w:ascii="Barlow Semi Condensed" w:cs="Barlow Semi Condensed" w:eastAsia="Barlow Semi Condensed" w:hAnsi="Barlow Semi Condensed"/>
          <w:sz w:val="24"/>
          <w:szCs w:val="24"/>
        </w:rPr>
        <w:t xml:space="preserve"> — trentanove nodi e cinquantanove archi, ventotto di grado A, ventisei F, cinque B — questo nome non figura fra i nodi censiti. Non ha betweenness alta né bassa: non ne ha. Il fatto va detto proprio alla fine, quando la mole dell'opera potrebbe suggerire il contrario: cinquemila blocchi intorno a un nome non ne fanno un nodo.</w:t>
      </w:r>
    </w:p>
    <w:p>
      <w:pPr>
        <w:spacing w:after="120" w:line="276"/>
        <w:jc w:val="both"/>
      </w:pPr>
      <w:r>
        <w:rPr>
          <w:rFonts w:ascii="Barlow Semi Condensed" w:cs="Barlow Semi Condensed" w:eastAsia="Barlow Semi Condensed" w:hAnsi="Barlow Semi Condensed"/>
          <w:b/>
          <w:bCs/>
          <w:sz w:val="24"/>
          <w:szCs w:val="24"/>
        </w:rPr>
        <w:t xml:space="preserve">4940 · Che cosa lo farebbe entrare.</w:t>
      </w:r>
      <w:r>
        <w:rPr>
          <w:rFonts w:ascii="Barlow Semi Condensed" w:cs="Barlow Semi Condensed" w:eastAsia="Barlow Semi Condensed" w:hAnsi="Barlow Semi Condensed"/>
          <w:sz w:val="24"/>
          <w:szCs w:val="24"/>
        </w:rPr>
        <w:t xml:space="preserve"> Perché quel nome divenga nodo servono archi, e un arco entra nella rete solo se documentato, gradato e munito di segnatura. Il blocco 53 lo vincola senza eccezioni: si gradua la sinapsi, non il neurone. L'onere di produrre la carta grava su chi propone l'arco, mai su chi lo contesta — è l'antidoto procedurale al nodo calamita descritto al blocco 55, e vale a maggior ragione per i nomi celebri.</w:t>
      </w:r>
    </w:p>
    <w:p>
      <w:pPr>
        <w:spacing w:after="120" w:line="276"/>
        <w:jc w:val="both"/>
      </w:pPr>
      <w:r>
        <w:rPr>
          <w:rFonts w:ascii="Barlow Semi Condensed" w:cs="Barlow Semi Condensed" w:eastAsia="Barlow Semi Condensed" w:hAnsi="Barlow Semi Condensed"/>
          <w:b/>
          <w:bCs/>
          <w:sz w:val="24"/>
          <w:szCs w:val="24"/>
        </w:rPr>
        <w:t xml:space="preserve">4941 · L'anello debole, applicato al bilancio.</w:t>
      </w:r>
      <w:r>
        <w:rPr>
          <w:rFonts w:ascii="Barlow Semi Condensed" w:cs="Barlow Semi Condensed" w:eastAsia="Barlow Semi Condensed" w:hAnsi="Barlow Semi Condensed"/>
          <w:sz w:val="24"/>
          <w:szCs w:val="24"/>
        </w:rPr>
        <w:t xml:space="preserve"> Il grado di un cammino è il grado minimo fra i suoi archi. Un cammino che colleghi lo Studio Ovale del settembre 1974 a via Fani dovrebbe attraversare un arco che il corpus ha cercato e non trovato: quel cammino non ha grado basso, non ha grado affatto. La </w:t>
      </w:r>
      <w:r>
        <w:rPr>
          <w:rFonts w:ascii="Barlow Semi Condensed" w:cs="Barlow Semi Condensed" w:eastAsia="Barlow Semi Condensed" w:hAnsi="Barlow Semi Condensed"/>
          <w:i/>
          <w:iCs/>
          <w:sz w:val="24"/>
          <w:szCs w:val="24"/>
        </w:rPr>
        <w:t xml:space="preserve">fase sesta</w:t>
      </w:r>
      <w:r>
        <w:rPr>
          <w:rFonts w:ascii="Barlow Semi Condensed" w:cs="Barlow Semi Condensed" w:eastAsia="Barlow Semi Condensed" w:hAnsi="Barlow Semi Condensed"/>
          <w:sz w:val="24"/>
          <w:szCs w:val="24"/>
        </w:rPr>
        <w:t xml:space="preserve"> dell'opera-madre lo iscrive fra gli Stati Zero, e la seconda campagna non ha prodotto nulla che lo riapra.</w:t>
      </w:r>
    </w:p>
    <w:p>
      <w:pPr>
        <w:spacing w:after="120" w:line="276"/>
        <w:jc w:val="both"/>
      </w:pPr>
      <w:r>
        <w:rPr>
          <w:rFonts w:ascii="Barlow Semi Condensed" w:cs="Barlow Semi Condensed" w:eastAsia="Barlow Semi Condensed" w:hAnsi="Barlow Semi Condensed"/>
          <w:b/>
          <w:bCs/>
          <w:sz w:val="24"/>
          <w:szCs w:val="24"/>
        </w:rPr>
        <w:t xml:space="preserve">4942 · La colonna americana resta da aprire.</w:t>
      </w:r>
      <w:r>
        <w:rPr>
          <w:rFonts w:ascii="Barlow Semi Condensed" w:cs="Barlow Semi Condensed" w:eastAsia="Barlow Semi Condensed" w:hAnsi="Barlow Semi Condensed"/>
          <w:sz w:val="24"/>
          <w:szCs w:val="24"/>
        </w:rPr>
        <w:t xml:space="preserve"> Il primo prodotto operativo dell'opera, scritto al blocco 49, è ancora un bersaglio e non un cantiere: aprire nella quadriga investigativa la colonna statunitense, che oggi non esiste, con giacimento proprio. Serie FRUS 1969-1976 per intero, Nixon Presidential Materials con NSC Files e Country Files Italy a College Park, National Security Adviser's Memoranda of Conversation alla Ford Library. Chi la aprirà partirà da qui, non da capo.</w:t>
      </w:r>
    </w:p>
    <w:p>
      <w:pPr>
        <w:spacing w:after="120" w:line="276"/>
        <w:jc w:val="both"/>
      </w:pPr>
      <w:r>
        <w:rPr>
          <w:rFonts w:ascii="Barlow Semi Condensed" w:cs="Barlow Semi Condensed" w:eastAsia="Barlow Semi Condensed" w:hAnsi="Barlow Semi Condensed"/>
          <w:b/>
          <w:bCs/>
          <w:sz w:val="24"/>
          <w:szCs w:val="24"/>
        </w:rPr>
        <w:t xml:space="preserve">4943 · Yale, e l'inventario prima della carta.</w:t>
      </w:r>
      <w:r>
        <w:rPr>
          <w:rFonts w:ascii="Barlow Semi Condensed" w:cs="Barlow Semi Condensed" w:eastAsia="Barlow Semi Condensed" w:hAnsi="Barlow Semi Condensed"/>
          <w:sz w:val="24"/>
          <w:szCs w:val="24"/>
        </w:rPr>
        <w:t xml:space="preserve"> Le carte private sono depositate presso Manuscripts and Archives della Yale University Library, e nessuna riga dell'opera le ha lette. Quesito preliminare, prima di qualunque viaggio: acquisire lo strumento di ricerca e le condizioni d'accesso vigenti, comprese le restrizioni temporali su singole serie. È la regola dell'inventario prima del documento, che l'agenda applica a ogni giacimento estero e che qui non ammette scorciatoie.</w:t>
      </w:r>
    </w:p>
    <w:p>
      <w:pPr>
        <w:spacing w:after="120" w:line="276"/>
        <w:jc w:val="both"/>
      </w:pPr>
      <w:r>
        <w:rPr>
          <w:rFonts w:ascii="Barlow Semi Condensed" w:cs="Barlow Semi Condensed" w:eastAsia="Barlow Semi Condensed" w:hAnsi="Barlow Semi Condensed"/>
          <w:b/>
          <w:bCs/>
          <w:sz w:val="24"/>
          <w:szCs w:val="24"/>
        </w:rPr>
        <w:t xml:space="preserve">4944 · L'atto di donazione come documento.</w:t>
      </w:r>
      <w:r>
        <w:rPr>
          <w:rFonts w:ascii="Barlow Semi Condensed" w:cs="Barlow Semi Condensed" w:eastAsia="Barlow Semi Condensed" w:hAnsi="Barlow Semi Condensed"/>
          <w:sz w:val="24"/>
          <w:szCs w:val="24"/>
        </w:rPr>
        <w:t xml:space="preserve"> Depositate al termine del mandato presso la Manuscript Division della Library of Congress, le carte d'ufficio hanno un atto di donazione che è esso stesso una fonte da leggere prima di esse: stabilisce chi può vedere che cosa e quando. Bersaglio: acquisirne il testo e verbalizzarne le condizioni nel registro delle richieste. Sull'accessibilità di quel deposito si aprì un contenzioso concluso nel 1980, i cui estremi vanno verificati sulla raccolta ufficiale delle decisioni.</w:t>
      </w:r>
    </w:p>
    <w:p>
      <w:pPr>
        <w:spacing w:after="120" w:line="276"/>
        <w:jc w:val="both"/>
      </w:pPr>
      <w:r>
        <w:rPr>
          <w:rFonts w:ascii="Barlow Semi Condensed" w:cs="Barlow Semi Condensed" w:eastAsia="Barlow Semi Condensed" w:hAnsi="Barlow Semi Condensed"/>
          <w:b/>
          <w:bCs/>
          <w:sz w:val="24"/>
          <w:szCs w:val="24"/>
        </w:rPr>
        <w:t xml:space="preserve">4945 · Le trascrizioni telefoniche, da collocare.</w:t>
      </w:r>
      <w:r>
        <w:rPr>
          <w:rFonts w:ascii="Barlow Semi Condensed" w:cs="Barlow Semi Condensed" w:eastAsia="Barlow Semi Condensed" w:hAnsi="Barlow Semi Condensed"/>
          <w:sz w:val="24"/>
          <w:szCs w:val="24"/>
        </w:rPr>
        <w:t xml:space="preserve"> Delle conversazioni telefoniche furono conservate trascrizioni d'ufficio, la cui collocazione e il cui regime mutarono nel tempo per contenzioso e per iniziative di ricerca. Il quesito resta quello del blocco 97, e nessuna delle due campagne lo ha sciolto: presso quale istituto la serie è oggi conservata, quale porzione è consultabile, con quali omissis. Documenta la parola detta e non il testo scritto: uno strato che l'opera non ha toccato.</w:t>
      </w:r>
    </w:p>
    <w:p>
      <w:pPr>
        <w:spacing w:after="120" w:line="276"/>
        <w:jc w:val="both"/>
      </w:pPr>
      <w:r>
        <w:rPr>
          <w:rFonts w:ascii="Barlow Semi Condensed" w:cs="Barlow Semi Condensed" w:eastAsia="Barlow Semi Condensed" w:hAnsi="Barlow Semi Condensed"/>
          <w:b/>
          <w:bCs/>
          <w:sz w:val="24"/>
          <w:szCs w:val="24"/>
        </w:rPr>
        <w:t xml:space="preserve">4946 · College Park e i Country Files.</w:t>
      </w:r>
      <w:r>
        <w:rPr>
          <w:rFonts w:ascii="Barlow Semi Condensed" w:cs="Barlow Semi Condensed" w:eastAsia="Barlow Semi Condensed" w:hAnsi="Barlow Semi Condensed"/>
          <w:sz w:val="24"/>
          <w:szCs w:val="24"/>
        </w:rPr>
        <w:t xml:space="preserve"> Per gli anni 1969-1974 la sede primaria sono i Nixon Presidential Materials presso i National Archives di College Park, con i National Security Council Files e i Country Files Italy. A quella cornice appartiene il memorandum dell'incontro delle Azzorre del 19 giugno 1974 fra Nixon e Spínola, che il corpus registra come fatto pubblico. Stessi faldoni per il bersaglio dottrinale e per quello fattuale: cambia la domanda, non lo scaffale.</w:t>
      </w:r>
    </w:p>
    <w:p>
      <w:pPr>
        <w:spacing w:after="120" w:line="276"/>
        <w:jc w:val="both"/>
      </w:pPr>
      <w:r>
        <w:rPr>
          <w:rFonts w:ascii="Barlow Semi Condensed" w:cs="Barlow Semi Condensed" w:eastAsia="Barlow Semi Condensed" w:hAnsi="Barlow Semi Condensed"/>
          <w:b/>
          <w:bCs/>
          <w:sz w:val="24"/>
          <w:szCs w:val="24"/>
        </w:rPr>
        <w:t xml:space="preserve">4947 · La Carter Library e i cinquantacinque giorni.</w:t>
      </w:r>
      <w:r>
        <w:rPr>
          <w:rFonts w:ascii="Barlow Semi Condensed" w:cs="Barlow Semi Condensed" w:eastAsia="Barlow Semi Condensed" w:hAnsi="Barlow Semi Condensed"/>
          <w:sz w:val="24"/>
          <w:szCs w:val="24"/>
        </w:rPr>
        <w:t xml:space="preserve"> Il sequestro del 1978 cade sotto un'altra presidenza, e la sede è la Jimmy Carter Presidential Library, col fondo del consigliere per la sicurezza nazionale e il fascicolo per paese sull'Italia fra il 1977 e il 1981, che il blocco 133 dell'agenda indica come processato e aperto. Rilievo che va ripetuto perché è dirimente: nel 1978 l'uomo di questa triangolazione non ricopriva alcuna carica di governo.</w:t>
      </w:r>
    </w:p>
    <w:p>
      <w:pPr>
        <w:spacing w:after="120" w:line="276"/>
        <w:jc w:val="both"/>
      </w:pPr>
      <w:r>
        <w:rPr>
          <w:rFonts w:ascii="Barlow Semi Condensed" w:cs="Barlow Semi Condensed" w:eastAsia="Barlow Semi Condensed" w:hAnsi="Barlow Semi Condensed"/>
          <w:b/>
          <w:bCs/>
          <w:sz w:val="24"/>
          <w:szCs w:val="24"/>
        </w:rPr>
        <w:t xml:space="preserve">4948 · Le schede del trattenuto si contano.</w:t>
      </w:r>
      <w:r>
        <w:rPr>
          <w:rFonts w:ascii="Barlow Semi Condensed" w:cs="Barlow Semi Condensed" w:eastAsia="Barlow Semi Condensed" w:hAnsi="Barlow Semi Condensed"/>
          <w:sz w:val="24"/>
          <w:szCs w:val="24"/>
        </w:rPr>
        <w:t xml:space="preserve"> Prima di chiedere ciò che manca occorre sapere che cosa è dichiaratamente trattenuto: le Electronic Telegrams Withdrawal Cards del 1978 nei Central Foreign Policy Files, interrogabili nell'Access to Archival Databases dei National Archives, schedate una per una con serie, data, originatore e stato di richiedibilità. È il blocco 127 dell'agenda e il 116 del manuale, ed è la scheda PE-5 che ne fa la colonna centrale del censimento.</w:t>
      </w:r>
    </w:p>
    <w:p>
      <w:pPr>
        <w:spacing w:after="120" w:line="276"/>
        <w:jc w:val="both"/>
      </w:pPr>
      <w:r>
        <w:rPr>
          <w:rFonts w:ascii="Barlow Semi Condensed" w:cs="Barlow Semi Condensed" w:eastAsia="Barlow Semi Condensed" w:hAnsi="Barlow Semi Condensed"/>
          <w:b/>
          <w:bCs/>
          <w:sz w:val="24"/>
          <w:szCs w:val="24"/>
        </w:rPr>
        <w:t xml:space="preserve">4949 · Il fascicolo FOIA e la cifra incerta.</w:t>
      </w:r>
      <w:r>
        <w:rPr>
          <w:rFonts w:ascii="Barlow Semi Condensed" w:cs="Barlow Semi Condensed" w:eastAsia="Barlow Semi Condensed" w:hAnsi="Barlow Semi Condensed"/>
          <w:sz w:val="24"/>
          <w:szCs w:val="24"/>
        </w:rPr>
        <w:t xml:space="preserve"> La scheda PE-5 di </w:t>
      </w:r>
      <w:r>
        <w:rPr>
          <w:rFonts w:ascii="Barlow Semi Condensed" w:cs="Barlow Semi Condensed" w:eastAsia="Barlow Semi Condensed" w:hAnsi="Barlow Semi Condensed"/>
          <w:i/>
          <w:iCs/>
          <w:sz w:val="24"/>
          <w:szCs w:val="24"/>
        </w:rPr>
        <w:t xml:space="preserve">approfondimento-piste-entita.md</w:t>
      </w:r>
      <w:r>
        <w:rPr>
          <w:rFonts w:ascii="Barlow Semi Condensed" w:cs="Barlow Semi Condensed" w:eastAsia="Barlow Semi Condensed" w:hAnsi="Barlow Semi Condensed"/>
          <w:sz w:val="24"/>
          <w:szCs w:val="24"/>
        </w:rPr>
        <w:t xml:space="preserve"> registra un reperto interno: il lotto del Dipartimento di Stato conservato nella cartella Farnesina reca il numero di caso R-2021-002xx, con lettura OCR oscillante fra 00202 e 00208, e i numeri di controllo B-00001939965…989. La divergenza si dichiara e non si sceglie. Quesito: chiedere il rilascio integrale del fascicolo sotto quel caso, ancorandolo ai numeri di controllo già posseduti.</w:t>
      </w:r>
    </w:p>
    <w:p>
      <w:pPr>
        <w:spacing w:after="120" w:line="276"/>
        <w:jc w:val="both"/>
      </w:pPr>
      <w:r>
        <w:rPr>
          <w:rFonts w:ascii="Barlow Semi Condensed" w:cs="Barlow Semi Condensed" w:eastAsia="Barlow Semi Condensed" w:hAnsi="Barlow Semi Condensed"/>
          <w:b/>
          <w:bCs/>
          <w:sz w:val="24"/>
          <w:szCs w:val="24"/>
        </w:rPr>
        <w:t xml:space="preserve">4950 · La regola dell'originatore, e i 474.</w:t>
      </w:r>
      <w:r>
        <w:rPr>
          <w:rFonts w:ascii="Barlow Semi Condensed" w:cs="Barlow Semi Condensed" w:eastAsia="Barlow Semi Condensed" w:hAnsi="Barlow Semi Condensed"/>
          <w:sz w:val="24"/>
          <w:szCs w:val="24"/>
        </w:rPr>
        <w:t xml:space="preserve"> La pubblicistica riferisce che fra gli atti italiani ancora classificati sul caso circa 474 sarebbero di origine alleata: cifra riferita e non verificata su atto, da citare col suo grado. Il meccanismo che illumina è però certo: per la regola dell'originatore un documento classificato da uno Stato terzo non si desecreta unilateralmente, e le direttive italiane aprono le carte italiane. Il canale è bilaterale, e il quesito è quante richieste di consenso siano mai state formulate.</w:t>
      </w:r>
    </w:p>
    <w:p>
      <w:pPr>
        <w:spacing w:after="120" w:line="276"/>
        <w:jc w:val="both"/>
      </w:pPr>
      <w:r>
        <w:rPr>
          <w:rFonts w:ascii="Barlow Semi Condensed" w:cs="Barlow Semi Condensed" w:eastAsia="Barlow Semi Condensed" w:hAnsi="Barlow Semi Condensed"/>
          <w:b/>
          <w:bCs/>
          <w:sz w:val="24"/>
          <w:szCs w:val="24"/>
        </w:rPr>
        <w:t xml:space="preserve">4951 · La microfiche intitolata a Moro (serie LXV).</w:t>
      </w:r>
      <w:r>
        <w:rPr>
          <w:rFonts w:ascii="Barlow Semi Condensed" w:cs="Barlow Semi Condensed" w:eastAsia="Barlow Semi Condensed" w:hAnsi="Barlow Semi Condensed"/>
          <w:sz w:val="24"/>
          <w:szCs w:val="24"/>
        </w:rPr>
        <w:t xml:space="preserve"> Nella biblioteca FOIA del Dipartimento di Stato è censita una collezione dedicata ad Aldo Moro, rilascio storico su microfiche non interamente digitalizzato. Il blocco 129 dell'agenda fissa il bersaglio in forma di domanda sola: che cosa contiene, che l'interrogazione elettronica non mostra. Quale che sia la risposta, è acquisizione di pieno valore — e nessuna delle due campagne su questo nome l'ha ancora eseguita.</w:t>
      </w:r>
    </w:p>
    <w:p>
      <w:pPr>
        <w:spacing w:after="120" w:line="276"/>
        <w:jc w:val="both"/>
      </w:pPr>
      <w:r>
        <w:rPr>
          <w:rFonts w:ascii="Barlow Semi Condensed" w:cs="Barlow Semi Condensed" w:eastAsia="Barlow Semi Condensed" w:hAnsi="Barlow Semi Condensed"/>
          <w:b/>
          <w:bCs/>
          <w:sz w:val="24"/>
          <w:szCs w:val="24"/>
        </w:rPr>
        <w:t xml:space="preserve">4952 · FRUS resta una selezione.</w:t>
      </w:r>
      <w:r>
        <w:rPr>
          <w:rFonts w:ascii="Barlow Semi Condensed" w:cs="Barlow Semi Condensed" w:eastAsia="Barlow Semi Condensed" w:hAnsi="Barlow Semi Condensed"/>
          <w:sz w:val="24"/>
          <w:szCs w:val="24"/>
        </w:rPr>
        <w:t xml:space="preserve"> Va ripetuto in chiusura perché è l'errore di citazione più frequente: Foreign Relations of the United States è una selezione ufficiale curata e non il fondo. Il blocco 134 dell'agenda ne trae la conseguenza operativa — ogni nota a piè di pagina è una segnatura da seguire — e il blocco 98 la formula come divieto: nessuna assenza in FRUS equivale ad assenza in archivio. Leggere la prefazione del volume è parte del metodo.</w:t>
      </w:r>
    </w:p>
    <w:p>
      <w:pPr>
        <w:spacing w:after="120" w:line="276"/>
        <w:jc w:val="both"/>
      </w:pPr>
      <w:r>
        <w:rPr>
          <w:rFonts w:ascii="Barlow Semi Condensed" w:cs="Barlow Semi Condensed" w:eastAsia="Barlow Semi Condensed" w:hAnsi="Barlow Semi Condensed"/>
          <w:b/>
          <w:bCs/>
          <w:sz w:val="24"/>
          <w:szCs w:val="24"/>
        </w:rPr>
        <w:t xml:space="preserve">4953 · La seconda edizione riveduta (serie LXV).</w:t>
      </w:r>
      <w:r>
        <w:rPr>
          <w:rFonts w:ascii="Barlow Semi Condensed" w:cs="Barlow Semi Condensed" w:eastAsia="Barlow Semi Condensed" w:hAnsi="Barlow Semi Condensed"/>
          <w:sz w:val="24"/>
          <w:szCs w:val="24"/>
        </w:rPr>
        <w:t xml:space="preserve"> La precisazione di citazione va conservata ogni volta che il documento 350 viene richiamato: si trova nella seconda edizione riveduta del volume E-15 parte 2, non nella prima. Chi cita senza quella specificazione cita un oggetto editoriale diverso da quello verificato. È un dettaglio filologico, ed è esattamente il genere di dettaglio da cui, nel paradigma indiziario che il corpus adotta, dipende la ripetibilità di una verifica.</w:t>
      </w:r>
    </w:p>
    <w:p>
      <w:pPr>
        <w:spacing w:after="120" w:line="276"/>
        <w:jc w:val="both"/>
      </w:pPr>
      <w:r>
        <w:rPr>
          <w:rFonts w:ascii="Barlow Semi Condensed" w:cs="Barlow Semi Condensed" w:eastAsia="Barlow Semi Condensed" w:hAnsi="Barlow Semi Condensed"/>
          <w:b/>
          <w:bCs/>
          <w:sz w:val="24"/>
          <w:szCs w:val="24"/>
        </w:rPr>
        <w:t xml:space="preserve">4954 · Gli atti della Corte d'assise di Roma.</w:t>
      </w:r>
      <w:r>
        <w:rPr>
          <w:rFonts w:ascii="Barlow Semi Condensed" w:cs="Barlow Semi Condensed" w:eastAsia="Barlow Semi Condensed" w:hAnsi="Barlow Semi Condensed"/>
          <w:sz w:val="24"/>
          <w:szCs w:val="24"/>
        </w:rPr>
        <w:t xml:space="preserve"> Il portavoce di Moro depose davanti alla Corte d'assise di Roma nel novembre 1982, e l'opera non ha letto quel verbale d'udienza. Sede di chiusura: gli atti dei cinque processi Moro nel lotto digitalizzato conservato presso l'Archivio di Stato di Roma. Finché la lettura non è eseguita, tutto ciò che si scrive sul contenuto della deposizione poggia su sintesi secondarie, e va detto in ogni singola ripresa.</w:t>
      </w:r>
    </w:p>
    <w:p>
      <w:pPr>
        <w:spacing w:after="120" w:line="276"/>
        <w:jc w:val="both"/>
      </w:pPr>
      <w:r>
        <w:rPr>
          <w:rFonts w:ascii="Barlow Semi Condensed" w:cs="Barlow Semi Condensed" w:eastAsia="Barlow Semi Condensed" w:hAnsi="Barlow Semi Condensed"/>
          <w:b/>
          <w:bCs/>
          <w:sz w:val="24"/>
          <w:szCs w:val="24"/>
        </w:rPr>
        <w:t xml:space="preserve">4955 · Il Doc. XXIII e l'audizione del 1980.</w:t>
      </w:r>
      <w:r>
        <w:rPr>
          <w:rFonts w:ascii="Barlow Semi Condensed" w:cs="Barlow Semi Condensed" w:eastAsia="Barlow Semi Condensed" w:hAnsi="Barlow Semi Condensed"/>
          <w:sz w:val="24"/>
          <w:szCs w:val="24"/>
        </w:rPr>
        <w:t xml:space="preserve"> La sede parlamentare è confermata — Commissione d'inchiesta sul caso Moro, audizione della vedova il 1° agosto 1980 — ma il contenuto verbatim in quella sede resta da riscontrare sui resoconti stenografici raccolti nel Doc. XXIII della VIII legislatura. Sede confermata, contenuto no: i due piani vanno tenuti distinti, come impone l'apparato K-4, e la loro fusione è l'errore che le riprese giornalistiche commettono più spesso.</w:t>
      </w:r>
    </w:p>
    <w:p>
      <w:pPr>
        <w:spacing w:after="120" w:line="276"/>
        <w:jc w:val="both"/>
      </w:pPr>
      <w:r>
        <w:rPr>
          <w:rFonts w:ascii="Barlow Semi Condensed" w:cs="Barlow Semi Condensed" w:eastAsia="Barlow Semi Condensed" w:hAnsi="Barlow Semi Condensed"/>
          <w:b/>
          <w:bCs/>
          <w:sz w:val="24"/>
          <w:szCs w:val="24"/>
        </w:rPr>
        <w:t xml:space="preserve">4956 · Il limite tecnico, dichiarato di nuovo.</w:t>
      </w:r>
      <w:r>
        <w:rPr>
          <w:rFonts w:ascii="Barlow Semi Condensed" w:cs="Barlow Semi Condensed" w:eastAsia="Barlow Semi Condensed" w:hAnsi="Barlow Semi Condensed"/>
          <w:sz w:val="24"/>
          <w:szCs w:val="24"/>
        </w:rPr>
        <w:t xml:space="preserve"> L'apparato K-5 dichiara il limite che pesa su ogni riga: la campagna di verifica non ha potuto leggere i documenti primari, perché l'accesso diretto alle pagine è risultato bloccato dal proxy di rete. Le date qualificate come confermate lo sono per convergenza di fonti secondarie indipendenti, e restano da riscontrare sui testi ufficiali. Un apparato che tace i propri limiti vale meno di quello che li dichiara, e questo li dichiara due volte.</w:t>
      </w:r>
    </w:p>
    <w:p>
      <w:pPr>
        <w:spacing w:after="120" w:line="276"/>
        <w:jc w:val="both"/>
      </w:pPr>
      <w:r>
        <w:rPr>
          <w:rFonts w:ascii="Barlow Semi Condensed" w:cs="Barlow Semi Condensed" w:eastAsia="Barlow Semi Condensed" w:hAnsi="Barlow Semi Condensed"/>
          <w:b/>
          <w:bCs/>
          <w:sz w:val="24"/>
          <w:szCs w:val="24"/>
        </w:rPr>
        <w:t xml:space="preserve">4957 · La mutazione onomastica resta contesa.</w:t>
      </w:r>
      <w:r>
        <w:rPr>
          <w:rFonts w:ascii="Barlow Semi Condensed" w:cs="Barlow Semi Condensed" w:eastAsia="Barlow Semi Condensed" w:hAnsi="Barlow Semi Condensed"/>
          <w:sz w:val="24"/>
          <w:szCs w:val="24"/>
        </w:rPr>
        <w:t xml:space="preserve"> Prima divergenza del registro, e non la meno istruttiva: le opere di consultazione collocano l'anglicizzazione da Heinz a Henry nel 1938, senza citare documenti; il fascicolo d'immigrazione e naturalizzazione ottenuto per accesso agli atti la colloca durante il servizio militare, intorno al 1942-1943, con naturalizzazione del 19 giugno 1943 a Camp Croft. Entrambe restano in campo, la seconda sostenuta da un documento e la prima no.</w:t>
      </w:r>
    </w:p>
    <w:p>
      <w:pPr>
        <w:spacing w:after="120" w:line="276"/>
        <w:jc w:val="both"/>
      </w:pPr>
      <w:r>
        <w:rPr>
          <w:rFonts w:ascii="Barlow Semi Condensed" w:cs="Barlow Semi Condensed" w:eastAsia="Barlow Semi Condensed" w:hAnsi="Barlow Semi Condensed"/>
          <w:b/>
          <w:bCs/>
          <w:sz w:val="24"/>
          <w:szCs w:val="24"/>
        </w:rPr>
        <w:t xml:space="preserve">4958 · Le due durate della visita.</w:t>
      </w:r>
      <w:r>
        <w:rPr>
          <w:rFonts w:ascii="Barlow Semi Condensed" w:cs="Barlow Semi Condensed" w:eastAsia="Barlow Semi Condensed" w:hAnsi="Barlow Semi Condensed"/>
          <w:sz w:val="24"/>
          <w:szCs w:val="24"/>
        </w:rPr>
        <w:t xml:space="preserve"> Seconda divergenza: il comunicato congiunto pubblicato negli atti presidenziali indica la visita di Stato dal 25 al 29 settembre 1974, la nota editoriale del volume FRUS dal 25 al 27. Non è dettaglio ozioso, perché determina quali giornate producano carte da cercare e quali no. Si riporta la doppia lettura, e si cerca su entrambe le finestre — che è l'unico modo di non far dipendere una ricerca dalla scelta di una fonte.</w:t>
      </w:r>
    </w:p>
    <w:p>
      <w:pPr>
        <w:spacing w:after="120" w:line="276"/>
        <w:jc w:val="both"/>
      </w:pPr>
      <w:r>
        <w:rPr>
          <w:rFonts w:ascii="Barlow Semi Condensed" w:cs="Barlow Semi Condensed" w:eastAsia="Barlow Semi Condensed" w:hAnsi="Barlow Semi Condensed"/>
          <w:b/>
          <w:bCs/>
          <w:sz w:val="24"/>
          <w:szCs w:val="24"/>
        </w:rPr>
        <w:t xml:space="preserve">4959 · Il giorno della deposizione (serie LXV).</w:t>
      </w:r>
      <w:r>
        <w:rPr>
          <w:rFonts w:ascii="Barlow Semi Condensed" w:cs="Barlow Semi Condensed" w:eastAsia="Barlow Semi Condensed" w:hAnsi="Barlow Semi Condensed"/>
          <w:sz w:val="24"/>
          <w:szCs w:val="24"/>
        </w:rPr>
        <w:t xml:space="preserve"> Terza divergenza, minuta e non risolta: la datazione più ricorrente della deposizione del portavoce davanti alla Corte d'assise indica il 10 novembre 1982, una fonte indica il 15. Il verbale d'udienza è l'unico atto che la scioglie, e nessuna delle due campagne lo ha aperto. Fino ad allora il corpus scrive «novembre 1982» e riporta entrambi i giorni, perché scegliere in silenzio sarebbe la sola cosa vietata.</w:t>
      </w:r>
    </w:p>
    <w:p>
      <w:pPr>
        <w:spacing w:after="120" w:line="276"/>
        <w:jc w:val="both"/>
      </w:pPr>
      <w:r>
        <w:rPr>
          <w:rFonts w:ascii="Barlow Semi Condensed" w:cs="Barlow Semi Condensed" w:eastAsia="Barlow Semi Condensed" w:hAnsi="Barlow Semi Condensed"/>
          <w:b/>
          <w:bCs/>
          <w:sz w:val="24"/>
          <w:szCs w:val="24"/>
        </w:rPr>
        <w:t xml:space="preserve">4960 · Il primo agosto e l'undici.</w:t>
      </w:r>
      <w:r>
        <w:rPr>
          <w:rFonts w:ascii="Barlow Semi Condensed" w:cs="Barlow Semi Condensed" w:eastAsia="Barlow Semi Condensed" w:hAnsi="Barlow Semi Condensed"/>
          <w:sz w:val="24"/>
          <w:szCs w:val="24"/>
        </w:rPr>
        <w:t xml:space="preserve"> Quarta divergenza, con diagnosi probabile e non certa: la data dell'audizione parlamentare è il 1° agosto 1980, ma una fonte indica l'11, verosimilmente per lettura errata dell'ordinale abbreviato. La diagnosi è plausibile e resta tale; il resoconto stenografico la chiuderebbe in una riga. Si registra come esempio di mutazione di trascrizione, il genere di errore che il blocco 266 attribuisce all'OCR e ai passaggi di copia.</w:t>
      </w:r>
    </w:p>
    <w:p>
      <w:pPr>
        <w:spacing w:after="120" w:line="276"/>
        <w:jc w:val="both"/>
      </w:pPr>
      <w:r>
        <w:rPr>
          <w:rFonts w:ascii="Barlow Semi Condensed" w:cs="Barlow Semi Condensed" w:eastAsia="Barlow Semi Condensed" w:hAnsi="Barlow Semi Condensed"/>
          <w:b/>
          <w:bCs/>
          <w:sz w:val="24"/>
          <w:szCs w:val="24"/>
        </w:rPr>
        <w:t xml:space="preserve">4961 · Tre date per un solo episodio (serie LXV).</w:t>
      </w:r>
      <w:r>
        <w:rPr>
          <w:rFonts w:ascii="Barlow Semi Condensed" w:cs="Barlow Semi Condensed" w:eastAsia="Barlow Semi Condensed" w:hAnsi="Barlow Semi Condensed"/>
          <w:sz w:val="24"/>
          <w:szCs w:val="24"/>
        </w:rPr>
        <w:t xml:space="preserve"> Quinta divergenza, e la più pesante: la versione italiana prevalente colloca l'episodio dell'avvertimento al 25 settembre 1974; una fonte d'agenzia statunitense coeva dell'aprile 1983 lo colloca in un alterco all'ambasciata d'Italia a Washington nel 1977; altre sintesi indicano il 1976. Divergono anche i luoghi: Studio Ovale, Dipartimento di Stato, cena ufficiale, ambasciata italiana. Un episodio con tre date e quattro luoghi è un episodio da datare, non da citare.</w:t>
      </w:r>
    </w:p>
    <w:p>
      <w:pPr>
        <w:spacing w:after="120" w:line="276"/>
        <w:jc w:val="both"/>
      </w:pPr>
      <w:r>
        <w:rPr>
          <w:rFonts w:ascii="Barlow Semi Condensed" w:cs="Barlow Semi Condensed" w:eastAsia="Barlow Semi Condensed" w:hAnsi="Barlow Semi Condensed"/>
          <w:b/>
          <w:bCs/>
          <w:sz w:val="24"/>
          <w:szCs w:val="24"/>
        </w:rPr>
        <w:t xml:space="preserve">4962 · Il 1977 e la carica (serie LXV).</w:t>
      </w:r>
      <w:r>
        <w:rPr>
          <w:rFonts w:ascii="Barlow Semi Condensed" w:cs="Barlow Semi Condensed" w:eastAsia="Barlow Semi Condensed" w:hAnsi="Barlow Semi Condensed"/>
          <w:sz w:val="24"/>
          <w:szCs w:val="24"/>
        </w:rPr>
        <w:t xml:space="preserve"> La conseguenza della divergenza sulle date è netta e va isolata: dal 20 gennaio 1977 l'uomo non ricopriva più alcun incarico di governo, essendo stato Segretario di Stato dal 22 settembre 1973 e Assistente per la sicurezza nazionale dal 20 gennaio 1969 al 3 novembre 1975. Chi voglia legare l'episodio a una carica deve prima decidere l'anno, e nessuna fonte gli consente di deciderlo.</w:t>
      </w:r>
    </w:p>
    <w:p>
      <w:pPr>
        <w:spacing w:after="120" w:line="276"/>
        <w:jc w:val="both"/>
      </w:pPr>
      <w:r>
        <w:rPr>
          <w:rFonts w:ascii="Barlow Semi Condensed" w:cs="Barlow Semi Condensed" w:eastAsia="Barlow Semi Condensed" w:hAnsi="Barlow Semi Condensed"/>
          <w:b/>
          <w:bCs/>
          <w:sz w:val="24"/>
          <w:szCs w:val="24"/>
        </w:rPr>
        <w:t xml:space="preserve">4963 · Le divergenze non si sciolgono.</w:t>
      </w:r>
      <w:r>
        <w:rPr>
          <w:rFonts w:ascii="Barlow Semi Condensed" w:cs="Barlow Semi Condensed" w:eastAsia="Barlow Semi Condensed" w:hAnsi="Barlow Semi Condensed"/>
          <w:sz w:val="24"/>
          <w:szCs w:val="24"/>
        </w:rPr>
        <w:t xml:space="preserve"> Cinque divergenze restano aperte alla fine di 4.999 blocchi, ed è il risultato corretto. La regola sesta del metodo vieta di scegliere in silenzio fra versioni discordi: si elencano con le loro provenienze e si consegna al lettore lo stato reale della documentazione, che in questi punti è uno stato di discordanza. Un'opera che avesse armonizzato le cinque date avrebbe restituito un testo più liscio e meno vero.</w:t>
      </w:r>
    </w:p>
    <w:p>
      <w:pPr>
        <w:spacing w:after="120" w:line="276"/>
        <w:jc w:val="both"/>
      </w:pPr>
      <w:r>
        <w:rPr>
          <w:rFonts w:ascii="Barlow Semi Condensed" w:cs="Barlow Semi Condensed" w:eastAsia="Barlow Semi Condensed" w:hAnsi="Barlow Semi Condensed"/>
          <w:b/>
          <w:bCs/>
          <w:sz w:val="24"/>
          <w:szCs w:val="24"/>
        </w:rPr>
        <w:t xml:space="preserve">4964 · Lo statuto finale del nodo M-5.</w:t>
      </w:r>
      <w:r>
        <w:rPr>
          <w:rFonts w:ascii="Barlow Semi Condensed" w:cs="Barlow Semi Condensed" w:eastAsia="Barlow Semi Condensed" w:hAnsi="Barlow Semi Condensed"/>
          <w:sz w:val="24"/>
          <w:szCs w:val="24"/>
        </w:rPr>
        <w:t xml:space="preserve"> Il nodo M-5 di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esce dalla doppia campagna come vi era entrato, e con sette precisazioni in più: testimonianza contestata, grado B debole, mai da dare per accertata. Il teste principale depose de relato senza aver assistito al colloquio, il nome fu ottenuto in aula dal presidente della corte e non offerto, la data oscilla, e l'interessato ha sempre smentito. Nessuna delle sette precisazioni scioglie il nodo, e nessuna lo chiude.</w:t>
      </w:r>
    </w:p>
    <w:p>
      <w:pPr>
        <w:spacing w:after="120" w:line="276"/>
        <w:jc w:val="both"/>
      </w:pPr>
      <w:r>
        <w:rPr>
          <w:rFonts w:ascii="Barlow Semi Condensed" w:cs="Barlow Semi Condensed" w:eastAsia="Barlow Semi Condensed" w:hAnsi="Barlow Semi Condensed"/>
          <w:b/>
          <w:bCs/>
          <w:sz w:val="24"/>
          <w:szCs w:val="24"/>
        </w:rPr>
        <w:t xml:space="preserve">4965 · La smentita sta nella stessa frase.</w:t>
      </w:r>
      <w:r>
        <w:rPr>
          <w:rFonts w:ascii="Barlow Semi Condensed" w:cs="Barlow Semi Condensed" w:eastAsia="Barlow Semi Condensed" w:hAnsi="Barlow Semi Condensed"/>
          <w:sz w:val="24"/>
          <w:szCs w:val="24"/>
        </w:rPr>
        <w:t xml:space="preserve"> Regola di scrittura e non di cortesia, da consegnare a chi riprenderà il nodo: una testimonianza contestata si riporta con la contestazione dentro la stessa proposizione, non in nota a piè di pagina. La smentita esiste in forma diretta poco prima della morte e in forma anteriore e generica già nel 1983. Chi cita la testimonianza omettendola non abbrevia il testo: lo falsifica per omissione, e l'omissione è verificabile.</w:t>
      </w:r>
    </w:p>
    <w:p>
      <w:pPr>
        <w:spacing w:after="120" w:line="276"/>
        <w:jc w:val="both"/>
      </w:pPr>
      <w:r>
        <w:rPr>
          <w:rFonts w:ascii="Barlow Semi Condensed" w:cs="Barlow Semi Condensed" w:eastAsia="Barlow Semi Condensed" w:hAnsi="Barlow Semi Condensed"/>
          <w:b/>
          <w:bCs/>
          <w:sz w:val="24"/>
          <w:szCs w:val="24"/>
        </w:rPr>
        <w:t xml:space="preserve">4966 · Mai sentito dai magistrati italiani (serie LXV).</w:t>
      </w:r>
      <w:r>
        <w:rPr>
          <w:rFonts w:ascii="Barlow Semi Condensed" w:cs="Barlow Semi Condensed" w:eastAsia="Barlow Semi Condensed" w:hAnsi="Barlow Semi Condensed"/>
          <w:sz w:val="24"/>
          <w:szCs w:val="24"/>
        </w:rPr>
        <w:t xml:space="preserve"> Stato Zero di pieno valore, ribadito in chiusura: non fu mai sentito dall'autorità giudiziaria italiana, e la richiesta informale del 1983 non ebbe seguito. La circostanza è oggi acquisita per via secondaria e si dichiara tale. Le sedi che la chiuderebbero sono due e nominate: gli atti dei cinque processi nel lotto digitalizzato dell'Archivio di Stato di Roma, e i fondi delle due Commissioni d'inchiesta sul caso.</w:t>
      </w:r>
    </w:p>
    <w:p>
      <w:pPr>
        <w:spacing w:after="120" w:line="276"/>
        <w:jc w:val="both"/>
      </w:pPr>
      <w:r>
        <w:rPr>
          <w:rFonts w:ascii="Barlow Semi Condensed" w:cs="Barlow Semi Condensed" w:eastAsia="Barlow Semi Condensed" w:hAnsi="Barlow Semi Condensed"/>
          <w:b/>
          <w:bCs/>
          <w:sz w:val="24"/>
          <w:szCs w:val="24"/>
        </w:rPr>
        <w:t xml:space="preserve">4967 · Nessuna sentenza sul versante atlantico.</w:t>
      </w:r>
      <w:r>
        <w:rPr>
          <w:rFonts w:ascii="Barlow Semi Condensed" w:cs="Barlow Semi Condensed" w:eastAsia="Barlow Semi Condensed" w:hAnsi="Barlow Semi Condensed"/>
          <w:sz w:val="24"/>
          <w:szCs w:val="24"/>
        </w:rPr>
        <w:t xml:space="preserve"> Registrazione per via negativa, che va ripetuta ogni volta che la triangolazione tocca quel versante: nessuna sentenza definitiva ha attribuito ad alcuna autorità statunitense responsabilità penali nel sequestro e nell'omicidio, e l'episodio dell'avvertimento non ha mai formato oggetto d'imputazione in alcuna sede. Le condanne definitive riguardano le persone del registro brigatista. Non è una cautela di stile: è un accertamento sul mondo, e si comporta come tale.</w:t>
      </w:r>
    </w:p>
    <w:p>
      <w:pPr>
        <w:spacing w:after="120" w:line="276"/>
        <w:jc w:val="both"/>
      </w:pPr>
      <w:r>
        <w:rPr>
          <w:rFonts w:ascii="Barlow Semi Condensed" w:cs="Barlow Semi Condensed" w:eastAsia="Barlow Semi Condensed" w:hAnsi="Barlow Semi Condensed"/>
          <w:b/>
          <w:bCs/>
          <w:sz w:val="24"/>
          <w:szCs w:val="24"/>
        </w:rPr>
        <w:t xml:space="preserve">4968 · Il registro del giudicato resta corto.</w:t>
      </w:r>
      <w:r>
        <w:rPr>
          <w:rFonts w:ascii="Barlow Semi Condensed" w:cs="Barlow Semi Condensed" w:eastAsia="Barlow Semi Condensed" w:hAnsi="Barlow Semi Condensed"/>
          <w:sz w:val="24"/>
          <w:szCs w:val="24"/>
        </w:rPr>
        <w:t xml:space="preserve"> Le tredici responsabilità individuali accertate in giudicato che </w:t>
      </w:r>
      <w:r>
        <w:rPr>
          <w:rFonts w:ascii="Barlow Semi Condensed" w:cs="Barlow Semi Condensed" w:eastAsia="Barlow Semi Condensed" w:hAnsi="Barlow Semi Condensed"/>
          <w:i/>
          <w:iCs/>
          <w:sz w:val="24"/>
          <w:szCs w:val="24"/>
        </w:rPr>
        <w:t xml:space="preserve">aldo-moro-una-guerra-senza-fine-fase-decima-responsabilita-personali.md</w:t>
      </w:r>
      <w:r>
        <w:rPr>
          <w:rFonts w:ascii="Barlow Semi Condensed" w:cs="Barlow Semi Condensed" w:eastAsia="Barlow Semi Condensed" w:hAnsi="Barlow Semi Condensed"/>
          <w:sz w:val="24"/>
          <w:szCs w:val="24"/>
        </w:rPr>
        <w:t xml:space="preserve"> elenca sono ancora tredici dopo cinquemila blocchi, ciascuna con la condotta che il giudice ha attribuito alla persona. Fuori da quel registro l'opera nomina soggetti di fatti, mai predicati di colpe. Nessuna lente interpretativa, nessuna centralità di rete e nessuna verosimiglianza vi ha aggiunto una riga, ed è la misura più semplice della disciplina.</w:t>
      </w:r>
    </w:p>
    <w:p>
      <w:pPr>
        <w:spacing w:after="120" w:line="276"/>
        <w:jc w:val="both"/>
      </w:pPr>
      <w:r>
        <w:rPr>
          <w:rFonts w:ascii="Barlow Semi Condensed" w:cs="Barlow Semi Condensed" w:eastAsia="Barlow Semi Condensed" w:hAnsi="Barlow Semi Condensed"/>
          <w:b/>
          <w:bCs/>
          <w:sz w:val="24"/>
          <w:szCs w:val="24"/>
        </w:rPr>
        <w:t xml:space="preserve">4969 · Il caso Algranati, ancora.</w:t>
      </w:r>
      <w:r>
        <w:rPr>
          <w:rFonts w:ascii="Barlow Semi Condensed" w:cs="Barlow Semi Condensed" w:eastAsia="Barlow Semi Condensed" w:hAnsi="Barlow Semi Condensed"/>
          <w:sz w:val="24"/>
          <w:szCs w:val="24"/>
        </w:rPr>
        <w:t xml:space="preserve"> Il registro esclude Rita Algranati, assolta in via definitiva per i fatti di via Fani all'esito del Moro ter, proprio perché il racconto pubblico la vorrebbe dentro. La regola vale simmetricamente sul versante di questa triangolazione: chi non è mai stato imputato è innocente in senso pieno e nominale, non «non ancora accertato». Un garantismo che si applicasse solo alle figure simpatiche non sarebbe garantismo ma preferenza travestita da metodo.</w:t>
      </w:r>
    </w:p>
    <w:p>
      <w:pPr>
        <w:spacing w:after="120" w:line="276"/>
        <w:jc w:val="both"/>
      </w:pPr>
      <w:r>
        <w:rPr>
          <w:rFonts w:ascii="Barlow Semi Condensed" w:cs="Barlow Semi Condensed" w:eastAsia="Barlow Semi Condensed" w:hAnsi="Barlow Semi Condensed"/>
          <w:b/>
          <w:bCs/>
          <w:sz w:val="24"/>
          <w:szCs w:val="24"/>
        </w:rPr>
        <w:t xml:space="preserve">4970 · L'appartenenza non è condotta (serie LXV).</w:t>
      </w:r>
      <w:r>
        <w:rPr>
          <w:rFonts w:ascii="Barlow Semi Condensed" w:cs="Barlow Semi Condensed" w:eastAsia="Barlow Semi Condensed" w:hAnsi="Barlow Semi Condensed"/>
          <w:sz w:val="24"/>
          <w:szCs w:val="24"/>
        </w:rPr>
        <w:t xml:space="preserve"> Chiusura del divieto più esposto alla lente genetica: appartenere a una scuola dottrinale, a un'amministrazione, a un lignaggio intellettuale o a un ente è dato di collocazione, come un allele condiviso, e non è prova di condotta. Non lo diventa per accumulo: chi attraversò tre ambienti non porta tre indizi. Il documento CIA del 22 maggio 1970 sul gabinetto spagnolo resta l'esemplare lavorato — appartenenza documentata, condotta dell'ente non provata.</w:t>
      </w:r>
    </w:p>
    <w:p>
      <w:pPr>
        <w:spacing w:after="120" w:line="276"/>
        <w:jc w:val="both"/>
      </w:pPr>
      <w:r>
        <w:rPr>
          <w:rFonts w:ascii="Barlow Semi Condensed" w:cs="Barlow Semi Condensed" w:eastAsia="Barlow Semi Condensed" w:hAnsi="Barlow Semi Condensed"/>
          <w:b/>
          <w:bCs/>
          <w:sz w:val="24"/>
          <w:szCs w:val="24"/>
        </w:rPr>
        <w:t xml:space="preserve">4971 · Marzo 1969 disinnesca l'anno.</w:t>
      </w:r>
      <w:r>
        <w:rPr>
          <w:rFonts w:ascii="Barlow Semi Condensed" w:cs="Barlow Semi Condensed" w:eastAsia="Barlow Semi Condensed" w:hAnsi="Barlow Semi Condensed"/>
          <w:sz w:val="24"/>
          <w:szCs w:val="24"/>
        </w:rPr>
        <w:t xml:space="preserve"> L'esempio che l'opera lascia come modello di anti-triangolazione: la riunione del Comitato dei 303 dell'11 marzo 1969, con Johnson, Packard e Helms presenti, in cui si convenne all'unanimità che non vi fosse reale giustificazione a riprendere il finanziamento coperto ai partiti italiani, è anteriore all'insediamento di Moro alla Farnesina del 5 agosto 1969. La contiguità d'anno non è contiguità di fatti, e la fonte è FRUS volume XLI documento 180.</w:t>
      </w:r>
    </w:p>
    <w:p>
      <w:pPr>
        <w:spacing w:after="120" w:line="276"/>
        <w:jc w:val="both"/>
      </w:pPr>
      <w:r>
        <w:rPr>
          <w:rFonts w:ascii="Barlow Semi Condensed" w:cs="Barlow Semi Condensed" w:eastAsia="Barlow Semi Condensed" w:hAnsi="Barlow Semi Condensed"/>
          <w:b/>
          <w:bCs/>
          <w:sz w:val="24"/>
          <w:szCs w:val="24"/>
        </w:rPr>
        <w:t xml:space="preserve">4972 · Ordinare uno studio non è agire (serie LXV).</w:t>
      </w:r>
      <w:r>
        <w:rPr>
          <w:rFonts w:ascii="Barlow Semi Condensed" w:cs="Barlow Semi Condensed" w:eastAsia="Barlow Semi Condensed" w:hAnsi="Barlow Semi Condensed"/>
          <w:sz w:val="24"/>
          <w:szCs w:val="24"/>
        </w:rPr>
        <w:t xml:space="preserve"> Secondo esemplare, di segno analogo: l'istruzione del dicembre 1969 per uno studio sull'Italia è un atto amministrativo che dispone un'analisi, non un'operazione. La distinzione fra il documento che ordina di studiare e il documento che ordina di fare è la stessa che separa il genotipo dichiarato dal fenotipo osservato, e confonderli è il modo più elegante di trasformare un faldone di analisi in una catena di comando.</w:t>
      </w:r>
    </w:p>
    <w:p>
      <w:pPr>
        <w:spacing w:after="120" w:line="276"/>
        <w:jc w:val="both"/>
      </w:pPr>
      <w:r>
        <w:rPr>
          <w:rFonts w:ascii="Barlow Semi Condensed" w:cs="Barlow Semi Condensed" w:eastAsia="Barlow Semi Condensed" w:hAnsi="Barlow Semi Condensed"/>
          <w:b/>
          <w:bCs/>
          <w:sz w:val="24"/>
          <w:szCs w:val="24"/>
        </w:rPr>
        <w:t xml:space="preserve">4973 · Le Azzorre e la parola temuta.</w:t>
      </w:r>
      <w:r>
        <w:rPr>
          <w:rFonts w:ascii="Barlow Semi Condensed" w:cs="Barlow Semi Condensed" w:eastAsia="Barlow Semi Condensed" w:hAnsi="Barlow Semi Condensed"/>
          <w:sz w:val="24"/>
          <w:szCs w:val="24"/>
        </w:rPr>
        <w:t xml:space="preserve"> Terzo esemplare: il memorandum dell'incontro delle Azzorre del 19 giugno 1974 registra il timore di un leftist neutralist regime a Lisbona. È un documento che nomina una paura, e una paura nominata è un dato prezioso sul lessico e sulla previsione di un apparato. Non è un atto dispositivo, non riguarda l'Italia, e non produce alcun arco verso il corpus italiano: si registra per ciò che è, e si ferma lì.</w:t>
      </w:r>
    </w:p>
    <w:p>
      <w:pPr>
        <w:spacing w:after="120" w:line="276"/>
        <w:jc w:val="both"/>
      </w:pPr>
      <w:r>
        <w:rPr>
          <w:rFonts w:ascii="Barlow Semi Condensed" w:cs="Barlow Semi Condensed" w:eastAsia="Barlow Semi Condensed" w:hAnsi="Barlow Semi Condensed"/>
          <w:b/>
          <w:bCs/>
          <w:sz w:val="24"/>
          <w:szCs w:val="24"/>
        </w:rPr>
        <w:t xml:space="preserve">4974 · Gli oppiacei turchi, e l'assenza italiana.</w:t>
      </w:r>
      <w:r>
        <w:rPr>
          <w:rFonts w:ascii="Barlow Semi Condensed" w:cs="Barlow Semi Condensed" w:eastAsia="Barlow Semi Condensed" w:hAnsi="Barlow Semi Condensed"/>
          <w:sz w:val="24"/>
          <w:szCs w:val="24"/>
        </w:rPr>
        <w:t xml:space="preserve"> Sul dossier degli oppiacei il piano 1 è denso — telegramma 1310 da Ankara del 21 febbraio 1974, telegramma 5213 del 2 luglio, memorandum al presidente al documento 208, NSDM 267 del 23 agosto 1974 — e l'Italia non compare al tavolo. Il teatro meglio documentato della cartella turca è dunque anche quello in cui l'asse italiano è vuoto: è la lezione strutturale che </w:t>
      </w:r>
      <w:r>
        <w:rPr>
          <w:rFonts w:ascii="Barlow Semi Condensed" w:cs="Barlow Semi Condensed" w:eastAsia="Barlow Semi Condensed" w:hAnsi="Barlow Semi Condensed"/>
          <w:i/>
          <w:iCs/>
          <w:sz w:val="24"/>
          <w:szCs w:val="24"/>
        </w:rPr>
        <w:t xml:space="preserve">moro-ministro-esteri/originali/turchia-opus-dei-1969-1975.md</w:t>
      </w:r>
      <w:r>
        <w:rPr>
          <w:rFonts w:ascii="Barlow Semi Condensed" w:cs="Barlow Semi Condensed" w:eastAsia="Barlow Semi Condensed" w:hAnsi="Barlow Semi Condensed"/>
          <w:sz w:val="24"/>
          <w:szCs w:val="24"/>
        </w:rPr>
        <w:t xml:space="preserve"> consegna.</w:t>
      </w:r>
    </w:p>
    <w:p>
      <w:pPr>
        <w:spacing w:after="120" w:line="276"/>
        <w:jc w:val="both"/>
      </w:pPr>
      <w:r>
        <w:rPr>
          <w:rFonts w:ascii="Barlow Semi Condensed" w:cs="Barlow Semi Condensed" w:eastAsia="Barlow Semi Condensed" w:hAnsi="Barlow Semi Condensed"/>
          <w:b/>
          <w:bCs/>
          <w:sz w:val="24"/>
          <w:szCs w:val="24"/>
        </w:rPr>
        <w:t xml:space="preserve">4975 · Helsinki, e l'insofferenza da qualificare.</w:t>
      </w:r>
      <w:r>
        <w:rPr>
          <w:rFonts w:ascii="Barlow Semi Condensed" w:cs="Barlow Semi Condensed" w:eastAsia="Barlow Semi Condensed" w:hAnsi="Barlow Semi Condensed"/>
          <w:sz w:val="24"/>
          <w:szCs w:val="24"/>
        </w:rPr>
        <w:t xml:space="preserve"> La formula secondo cui Moro avrebbe ottenuto il coinvolgimento formale della Comunità «sfidando l'insofferenza di Kissinger» proviene da pubblicistica italiana e non da un documento: si registra al piano 3 e non oltre. Ciò che sta al piano 1 è altro: il telegramma del 2 agosto 1975, volume XXXIX documento 334, che attesta la firma da parte di trentacinque capi di Stato o di governo e la dichiarazione interpretativa cipriota.</w:t>
      </w:r>
    </w:p>
    <w:p>
      <w:pPr>
        <w:spacing w:after="120" w:line="276"/>
        <w:jc w:val="both"/>
      </w:pPr>
      <w:r>
        <w:rPr>
          <w:rFonts w:ascii="Barlow Semi Condensed" w:cs="Barlow Semi Condensed" w:eastAsia="Barlow Semi Condensed" w:hAnsi="Barlow Semi Condensed"/>
          <w:b/>
          <w:bCs/>
          <w:sz w:val="24"/>
          <w:szCs w:val="24"/>
        </w:rPr>
        <w:t xml:space="preserve">4976 · Il Portogallo e il suo asse vuoto.</w:t>
      </w:r>
      <w:r>
        <w:rPr>
          <w:rFonts w:ascii="Barlow Semi Condensed" w:cs="Barlow Semi Condensed" w:eastAsia="Barlow Semi Condensed" w:hAnsi="Barlow Semi Condensed"/>
          <w:sz w:val="24"/>
          <w:szCs w:val="24"/>
        </w:rPr>
        <w:t xml:space="preserve"> Il versante portoghese ha un piano 1 statunitense — le Azzorre, il timore del regime neutralista — e non ha un atto italiano corrispondente: sull'espulsione dell'aprile 1974 il corpus non registra alcun atto della Farnesina. Le sedi di chiusura sono nominate in </w:t>
      </w:r>
      <w:r>
        <w:rPr>
          <w:rFonts w:ascii="Barlow Semi Condensed" w:cs="Barlow Semi Condensed" w:eastAsia="Barlow Semi Condensed" w:hAnsi="Barlow Semi Condensed"/>
          <w:i/>
          <w:iCs/>
          <w:sz w:val="24"/>
          <w:szCs w:val="24"/>
        </w:rPr>
        <w:t xml:space="preserve">moro-ministro-esteri/originali/portogallo-santa-sede-1969-1974.md</w:t>
      </w:r>
      <w:r>
        <w:rPr>
          <w:rFonts w:ascii="Barlow Semi Condensed" w:cs="Barlow Semi Condensed" w:eastAsia="Barlow Semi Condensed" w:hAnsi="Barlow Semi Condensed"/>
          <w:sz w:val="24"/>
          <w:szCs w:val="24"/>
        </w:rPr>
        <w:t xml:space="preserve"> e nell'Archivio storico-diplomatico. L'asimmetria fra i due bracci è il dato, e non va tolta scrivendo l'italiano che manca.</w:t>
      </w:r>
    </w:p>
    <w:p>
      <w:pPr>
        <w:spacing w:after="120" w:line="276"/>
        <w:jc w:val="both"/>
      </w:pPr>
      <w:r>
        <w:rPr>
          <w:rFonts w:ascii="Barlow Semi Condensed" w:cs="Barlow Semi Condensed" w:eastAsia="Barlow Semi Condensed" w:hAnsi="Barlow Semi Condensed"/>
          <w:b/>
          <w:bCs/>
          <w:sz w:val="24"/>
          <w:szCs w:val="24"/>
        </w:rPr>
        <w:t xml:space="preserve">4977 · La Grecia, e ciò che manca.</w:t>
      </w:r>
      <w:r>
        <w:rPr>
          <w:rFonts w:ascii="Barlow Semi Condensed" w:cs="Barlow Semi Condensed" w:eastAsia="Barlow Semi Condensed" w:hAnsi="Barlow Semi Condensed"/>
          <w:sz w:val="24"/>
          <w:szCs w:val="24"/>
        </w:rPr>
        <w:t xml:space="preserve"> Sul teatro greco il piano 1 esiste — Risoluzione (69) 51 del Comitato dei Ministri del 12 dicembre 1969, poi la (70) 34; documento 23 del volume XXX, del 30 agosto 1974, che include l'Italia fra gli alleati da consultare — ma il contenuto della posizione italiana non è accertato. Stato Zero dichiarato: nessuna dichiarazione testuale di Moro su Cipro fra luglio e novembre 1974, con sede nei resoconti della sesta legislatura.</w:t>
      </w:r>
    </w:p>
    <w:p>
      <w:pPr>
        <w:spacing w:after="120" w:line="276"/>
        <w:jc w:val="both"/>
      </w:pPr>
      <w:r>
        <w:rPr>
          <w:rFonts w:ascii="Barlow Semi Condensed" w:cs="Barlow Semi Condensed" w:eastAsia="Barlow Semi Condensed" w:hAnsi="Barlow Semi Condensed"/>
          <w:b/>
          <w:bCs/>
          <w:sz w:val="24"/>
          <w:szCs w:val="24"/>
        </w:rPr>
        <w:t xml:space="preserve">4978 · La frase spagnola che non nomina.</w:t>
      </w:r>
      <w:r>
        <w:rPr>
          <w:rFonts w:ascii="Barlow Semi Condensed" w:cs="Barlow Semi Condensed" w:eastAsia="Barlow Semi Condensed" w:hAnsi="Barlow Semi Condensed"/>
          <w:sz w:val="24"/>
          <w:szCs w:val="24"/>
        </w:rPr>
        <w:t xml:space="preserve"> Il rapporto statunitense del 22 maggio 1970 contiene una frase su un funzionario italiano che avrebbe escluso l'interesse del proprio Paese al progetto di patto mediterraneo, ma non fa nomi e usa un termine indeterminato. Il blocco 371 la qualifica come il punto epistemologicamente più delicato dell'intera cartella: si acquisisce come frase anonima di un documento autentico, e ogni identificazione con Moro resta inferenza non sostenuta.</w:t>
      </w:r>
    </w:p>
    <w:p>
      <w:pPr>
        <w:spacing w:after="120" w:line="276"/>
        <w:jc w:val="both"/>
      </w:pPr>
      <w:r>
        <w:rPr>
          <w:rFonts w:ascii="Barlow Semi Condensed" w:cs="Barlow Semi Condensed" w:eastAsia="Barlow Semi Condensed" w:hAnsi="Barlow Semi Condensed"/>
          <w:b/>
          <w:bCs/>
          <w:sz w:val="24"/>
          <w:szCs w:val="24"/>
        </w:rPr>
        <w:t xml:space="preserve">4979 · L'anacronismo come artefatto.</w:t>
      </w:r>
      <w:r>
        <w:rPr>
          <w:rFonts w:ascii="Barlow Semi Condensed" w:cs="Barlow Semi Condensed" w:eastAsia="Barlow Semi Condensed" w:hAnsi="Barlow Semi Condensed"/>
          <w:sz w:val="24"/>
          <w:szCs w:val="24"/>
        </w:rPr>
        <w:t xml:space="preserve"> Il blocco 375 lascia il migliore promemoria contro le ricerche a vuoto autoprodotte: chiedersi come la Spagna franchista reagì al sequestro del 1978 è domanda mal posta, perché Franco era morto il 20 novembre 1975. Un vuoto generato da una premessa sbagliata è artefatto della domanda e non proprietà del mondo. Prima di verbalizzare uno Stato Zero si controlla che la domanda sia possibile: è la prima voce del verbale.</w:t>
      </w:r>
    </w:p>
    <w:p>
      <w:pPr>
        <w:spacing w:after="120" w:line="276"/>
        <w:jc w:val="both"/>
      </w:pPr>
      <w:r>
        <w:rPr>
          <w:rFonts w:ascii="Barlow Semi Condensed" w:cs="Barlow Semi Condensed" w:eastAsia="Barlow Semi Condensed" w:hAnsi="Barlow Semi Condensed"/>
          <w:b/>
          <w:bCs/>
          <w:sz w:val="24"/>
          <w:szCs w:val="24"/>
        </w:rPr>
        <w:t xml:space="preserve">4980 · Il secondo tempo della regola dei buchi (serie LXV).</w:t>
      </w:r>
      <w:r>
        <w:rPr>
          <w:rFonts w:ascii="Barlow Semi Condensed" w:cs="Barlow Semi Condensed" w:eastAsia="Barlow Semi Condensed" w:hAnsi="Barlow Semi Condensed"/>
          <w:sz w:val="24"/>
          <w:szCs w:val="24"/>
        </w:rPr>
        <w:t xml:space="preserve"> La regola dei buchi esce dalla doppia campagna con due tempi stabili: prima si misura il vuoto e lo si dichiara, poi se ne diagnostica la causa nella specializzazione delle fonti, e solo dopo lo si interroga sulla struttura del mondo. Un basso rapporto di associazione fra due domini non è indizio di assenza di rapporti: è indizio che nessuno ha ancora scritto un documento che li tratti insieme.</w:t>
      </w:r>
    </w:p>
    <w:p>
      <w:pPr>
        <w:spacing w:after="120" w:line="276"/>
        <w:jc w:val="both"/>
      </w:pPr>
      <w:r>
        <w:rPr>
          <w:rFonts w:ascii="Barlow Semi Condensed" w:cs="Barlow Semi Condensed" w:eastAsia="Barlow Semi Condensed" w:hAnsi="Barlow Semi Condensed"/>
          <w:b/>
          <w:bCs/>
          <w:sz w:val="24"/>
          <w:szCs w:val="24"/>
        </w:rPr>
        <w:t xml:space="preserve">4981 · Il bersaglio di smentita dell'opera.</w:t>
      </w:r>
      <w:r>
        <w:rPr>
          <w:rFonts w:ascii="Barlow Semi Condensed" w:cs="Barlow Semi Condensed" w:eastAsia="Barlow Semi Condensed" w:hAnsi="Barlow Semi Condensed"/>
          <w:sz w:val="24"/>
          <w:szCs w:val="24"/>
        </w:rPr>
        <w:t xml:space="preserve"> Che cosa smentirebbe quest'opera per intero, e non nei dettagli: la dimostrazione documentale che un ponte dichiarato al piano 2 stia in realtà al piano 1 e sia stato taciuto, oppure che un suo blocco abbia attribuito una condotta a una persona oltre il giudicato. Il primo caso proverebbe reticenza, il secondo abuso. Entrambi si accertano su testo e documenti, ed entrambi darebbero torto all'opera senza appello.</w:t>
      </w:r>
    </w:p>
    <w:p>
      <w:pPr>
        <w:spacing w:after="120" w:line="276"/>
        <w:jc w:val="both"/>
      </w:pPr>
      <w:r>
        <w:rPr>
          <w:rFonts w:ascii="Barlow Semi Condensed" w:cs="Barlow Semi Condensed" w:eastAsia="Barlow Semi Condensed" w:hAnsi="Barlow Semi Condensed"/>
          <w:b/>
          <w:bCs/>
          <w:sz w:val="24"/>
          <w:szCs w:val="24"/>
        </w:rPr>
        <w:t xml:space="preserve">4982 · Ciò che non la smentirebbe.</w:t>
      </w:r>
      <w:r>
        <w:rPr>
          <w:rFonts w:ascii="Barlow Semi Condensed" w:cs="Barlow Semi Condensed" w:eastAsia="Barlow Semi Condensed" w:hAnsi="Barlow Semi Condensed"/>
          <w:sz w:val="24"/>
          <w:szCs w:val="24"/>
        </w:rPr>
        <w:t xml:space="preserve"> Simmetricamente, e per prevenire le smentite fittizie che ogni opera lunga attira: non la smentisce la scoperta che la metafora genetica sia inelegante o superflua, perché una metafora non è un'asserzione sul mondo; non la smentisce un documento nuovo che sposti un grado, perché spostare i gradi è ciò che l'opera chiede; non la smentisce il disaccordo sul giudizio storico, che è materia legittima e distinta dall'accertamento.</w:t>
      </w:r>
    </w:p>
    <w:p>
      <w:pPr>
        <w:spacing w:after="120" w:line="276"/>
        <w:jc w:val="both"/>
      </w:pPr>
      <w:r>
        <w:rPr>
          <w:rFonts w:ascii="Barlow Semi Condensed" w:cs="Barlow Semi Condensed" w:eastAsia="Barlow Semi Condensed" w:hAnsi="Barlow Semi Condensed"/>
          <w:b/>
          <w:bCs/>
          <w:sz w:val="24"/>
          <w:szCs w:val="24"/>
        </w:rPr>
        <w:t xml:space="preserve">4983 · La prova di sterilità, da eseguire.</w:t>
      </w:r>
      <w:r>
        <w:rPr>
          <w:rFonts w:ascii="Barlow Semi Condensed" w:cs="Barlow Semi Condensed" w:eastAsia="Barlow Semi Condensed" w:hAnsi="Barlow Semi Condensed"/>
          <w:sz w:val="24"/>
          <w:szCs w:val="24"/>
        </w:rPr>
        <w:t xml:space="preserve"> Test verificabile che l'opera propone su se stessa e che nessuno ha ancora eseguito: si scorrano i 4.999 blocchi e si cerchi un fatto la cui unica fonte sia la metafora. Se esiste, va espunto, perché nessun fatto può avere per fonte una figura retorica. L'esito atteso è che non ne esista alcuno, poiché ogni asserzione porta grado e fonte; ma il test si esegue e non si presume.</w:t>
      </w:r>
    </w:p>
    <w:p>
      <w:pPr>
        <w:spacing w:after="120" w:line="276"/>
        <w:jc w:val="both"/>
      </w:pPr>
      <w:r>
        <w:rPr>
          <w:rFonts w:ascii="Barlow Semi Condensed" w:cs="Barlow Semi Condensed" w:eastAsia="Barlow Semi Condensed" w:hAnsi="Barlow Semi Condensed"/>
          <w:b/>
          <w:bCs/>
          <w:sz w:val="24"/>
          <w:szCs w:val="24"/>
        </w:rPr>
        <w:t xml:space="preserve">4984 · L'esperimento di rimozione, riproposto.</w:t>
      </w:r>
      <w:r>
        <w:rPr>
          <w:rFonts w:ascii="Barlow Semi Condensed" w:cs="Barlow Semi Condensed" w:eastAsia="Barlow Semi Condensed" w:hAnsi="Barlow Semi Condensed"/>
          <w:sz w:val="24"/>
          <w:szCs w:val="24"/>
        </w:rPr>
        <w:t xml:space="preserve"> Bersaglio metodologico eseguibile da chiunque, e riproposto ora che l'opera ha quattro volte la mole di allora: si tolgano le parole codice, ereditarietà, replicazione, mutazione ed epigenetica, e si veda che cosa cade. Se cade un fatto, quel fatto era retorica; se non cade nulla, la lente ha fatto il proprio mestiere, cioè ordinare domande. È l'unico modo onesto di misurare quanto una chiave interpretativa abbia lavorato.</w:t>
      </w:r>
    </w:p>
    <w:p>
      <w:pPr>
        <w:spacing w:after="120" w:line="276"/>
        <w:jc w:val="both"/>
      </w:pPr>
      <w:r>
        <w:rPr>
          <w:rFonts w:ascii="Barlow Semi Condensed" w:cs="Barlow Semi Condensed" w:eastAsia="Barlow Semi Condensed" w:hAnsi="Barlow Semi Condensed"/>
          <w:b/>
          <w:bCs/>
          <w:sz w:val="24"/>
          <w:szCs w:val="24"/>
        </w:rPr>
        <w:t xml:space="preserve">4985 · Il diritto di rifiutare la lente (serie LXV).</w:t>
      </w:r>
      <w:r>
        <w:rPr>
          <w:rFonts w:ascii="Barlow Semi Condensed" w:cs="Barlow Semi Condensed" w:eastAsia="Barlow Semi Condensed" w:hAnsi="Barlow Semi Condensed"/>
          <w:sz w:val="24"/>
          <w:szCs w:val="24"/>
        </w:rPr>
        <w:t xml:space="preserve"> Un lettore può respingere integralmente la chiave genetica dichiarata dal committente e continuare a usare quest'opera: perderebbe l'ordine delle domande e non un solo fatto, perché nessun fatto vi è appeso. È il criterio pratico che distingue una chiave onesta da una tesi mascherata. Se rifiutare la lente costringesse a rifiutare le acquisizioni documentali, la lente non sarebbe una lente: sarebbe la conclusione dell'opera, scritta all'inizio.</w:t>
      </w:r>
    </w:p>
    <w:p>
      <w:pPr>
        <w:spacing w:after="120" w:line="276"/>
        <w:jc w:val="both"/>
      </w:pPr>
      <w:r>
        <w:rPr>
          <w:rFonts w:ascii="Barlow Semi Condensed" w:cs="Barlow Semi Condensed" w:eastAsia="Barlow Semi Condensed" w:hAnsi="Barlow Semi Condensed"/>
          <w:b/>
          <w:bCs/>
          <w:sz w:val="24"/>
          <w:szCs w:val="24"/>
        </w:rPr>
        <w:t xml:space="preserve">4986 · Si corregge annotando.</w:t>
      </w:r>
      <w:r>
        <w:rPr>
          <w:rFonts w:ascii="Barlow Semi Condensed" w:cs="Barlow Semi Condensed" w:eastAsia="Barlow Semi Condensed" w:hAnsi="Barlow Semi Condensed"/>
          <w:sz w:val="24"/>
          <w:szCs w:val="24"/>
        </w:rPr>
        <w:t xml:space="preserve"> Il corpus corregge per nota e non per riscrittura silenziosa: la lezione originaria resta leggibile e la correzione le si affianca, con la propria data e la propria ragione. La procedura è già applicata al nodo M-5 e alle matrici del documento di metodo. Chi porterà a quest'opera un bersaglio mal posto, un giacimento ignorato o una data sbagliata riceverà una nota di revisione e un ringraziamento scritto: un'opera incorreggibile è morta.</w:t>
      </w:r>
    </w:p>
    <w:p>
      <w:pPr>
        <w:spacing w:after="120" w:line="276"/>
        <w:jc w:val="both"/>
      </w:pPr>
      <w:r>
        <w:rPr>
          <w:rFonts w:ascii="Barlow Semi Condensed" w:cs="Barlow Semi Condensed" w:eastAsia="Barlow Semi Condensed" w:hAnsi="Barlow Semi Condensed"/>
          <w:b/>
          <w:bCs/>
          <w:sz w:val="24"/>
          <w:szCs w:val="24"/>
        </w:rPr>
        <w:t xml:space="preserve">4987 · Il tasso d'errore, dichiarato.</w:t>
      </w:r>
      <w:r>
        <w:rPr>
          <w:rFonts w:ascii="Barlow Semi Condensed" w:cs="Barlow Semi Condensed" w:eastAsia="Barlow Semi Condensed" w:hAnsi="Barlow Semi Condensed"/>
          <w:sz w:val="24"/>
          <w:szCs w:val="24"/>
        </w:rPr>
        <w:t xml:space="preserve"> Un'opera che studia la replicazione deve misurare il proprio tasso d'errore e non solo quello altrui. Il primo errore documentato di questa triangolazione è nel suo stesso mandato, che scriveva «Harry», e il secondo è nella sua apertura originaria, che dava per compiuta all'arrivo l'anglicizzazione del nome: la verifica l'ha corretta contro l'opera stessa. Entrambi restano scritti, perché un errore cancellato non insegna nulla a chi verrà dopo.</w:t>
      </w:r>
    </w:p>
    <w:p>
      <w:pPr>
        <w:spacing w:after="120" w:line="276"/>
        <w:jc w:val="both"/>
      </w:pPr>
      <w:r>
        <w:rPr>
          <w:rFonts w:ascii="Barlow Semi Condensed" w:cs="Barlow Semi Condensed" w:eastAsia="Barlow Semi Condensed" w:hAnsi="Barlow Semi Condensed"/>
          <w:b/>
          <w:bCs/>
          <w:sz w:val="24"/>
          <w:szCs w:val="24"/>
        </w:rPr>
        <w:t xml:space="preserve">4988 · Protocollo per chi verrà dopo.</w:t>
      </w:r>
      <w:r>
        <w:rPr>
          <w:rFonts w:ascii="Barlow Semi Condensed" w:cs="Barlow Semi Condensed" w:eastAsia="Barlow Semi Condensed" w:hAnsi="Barlow Semi Condensed"/>
          <w:sz w:val="24"/>
          <w:szCs w:val="24"/>
        </w:rPr>
        <w:t xml:space="preserve"> A chi riprenderà il fascicolo si chiede una sequenza e non un consenso: leggere prima gli inventari, poi i documenti; verbalizzare ogni ricerca infruttuosa con serie interrogata, chiave e data; gradare ogni arco prima di disegnarlo; riportare le divergenze senza sceglierle; e non aggiungere un nome ad alcun registro che non sia quello delle sentenze definitive. Cinque regole, tutte eseguibili da chiunque abbia una tessera d'archivio.</w:t>
      </w:r>
    </w:p>
    <w:p>
      <w:pPr>
        <w:spacing w:after="120" w:line="276"/>
        <w:jc w:val="both"/>
      </w:pPr>
      <w:r>
        <w:rPr>
          <w:rFonts w:ascii="Barlow Semi Condensed" w:cs="Barlow Semi Condensed" w:eastAsia="Barlow Semi Condensed" w:hAnsi="Barlow Semi Condensed"/>
          <w:b/>
          <w:bCs/>
          <w:sz w:val="24"/>
          <w:szCs w:val="24"/>
        </w:rPr>
        <w:t xml:space="preserve">4989 · La tavola delle sedi, in una riga.</w:t>
      </w:r>
      <w:r>
        <w:rPr>
          <w:rFonts w:ascii="Barlow Semi Condensed" w:cs="Barlow Semi Condensed" w:eastAsia="Barlow Semi Condensed" w:hAnsi="Barlow Semi Condensed"/>
          <w:sz w:val="24"/>
          <w:szCs w:val="24"/>
        </w:rPr>
        <w:t xml:space="preserve"> Le sedi che chiuderebbero i vuoti di quest'opera sono nominate e non generiche: Yale per le carte private; la Library of Congress per quelle d'ufficio; College Park, Ford Library e Carter Library per i fondi presidenziali; l'Archivio di Stato di Roma per gli atti processuali; il Doc. XXIII della VIII legislatura per l'audizione del 1980; l'Archivio storico-diplomatico della Farnesina per il versante italiano del 1969-1974.</w:t>
      </w:r>
    </w:p>
    <w:p>
      <w:pPr>
        <w:spacing w:after="120" w:line="276"/>
        <w:jc w:val="both"/>
      </w:pPr>
      <w:r>
        <w:rPr>
          <w:rFonts w:ascii="Barlow Semi Condensed" w:cs="Barlow Semi Condensed" w:eastAsia="Barlow Semi Condensed" w:hAnsi="Barlow Semi Condensed"/>
          <w:b/>
          <w:bCs/>
          <w:sz w:val="24"/>
          <w:szCs w:val="24"/>
        </w:rPr>
        <w:t xml:space="preserve">4990 · L'archivio che non aprirà presto.</w:t>
      </w:r>
      <w:r>
        <w:rPr>
          <w:rFonts w:ascii="Barlow Semi Condensed" w:cs="Barlow Semi Condensed" w:eastAsia="Barlow Semi Condensed" w:hAnsi="Barlow Semi Condensed"/>
          <w:sz w:val="24"/>
          <w:szCs w:val="24"/>
        </w:rPr>
        <w:t xml:space="preserve"> Una sede va distinta dalle altre perché il suo calendario è noto e lungo: l'Archivio Apostolico Vaticano è consultabile fino all'ottobre 1958, sicché la verifica primaria del canale vaticano resta preclusa allo stato. La pista P-9 del programma investigativo lo tratta correttamente, cioè tenendo l'istanza di consultazione pronta col quesito già scritto per il giorno dell'apertura. La pazienza organizzata è una tecnica di ricerca, non una virtù.</w:t>
      </w:r>
    </w:p>
    <w:p>
      <w:pPr>
        <w:spacing w:after="120" w:line="276"/>
        <w:jc w:val="both"/>
      </w:pPr>
      <w:r>
        <w:rPr>
          <w:rFonts w:ascii="Barlow Semi Condensed" w:cs="Barlow Semi Condensed" w:eastAsia="Barlow Semi Condensed" w:hAnsi="Barlow Semi Condensed"/>
          <w:b/>
          <w:bCs/>
          <w:sz w:val="24"/>
          <w:szCs w:val="24"/>
        </w:rPr>
        <w:t xml:space="preserve">4991 · Il fascicolo di Roma è vivo.</w:t>
      </w:r>
      <w:r>
        <w:rPr>
          <w:rFonts w:ascii="Barlow Semi Condensed" w:cs="Barlow Semi Condensed" w:eastAsia="Barlow Semi Condensed" w:hAnsi="Barlow Semi Condensed"/>
          <w:sz w:val="24"/>
          <w:szCs w:val="24"/>
        </w:rPr>
        <w:t xml:space="preserve"> Il fascicolo della Procura di Roma sulle terze presenze non attribuite di via Fani è aperto, e la scheda PN-1 lo qualifica come la pista di più alto rendimento del caso: nuovi esami sui reperti sono stati disposti, e l'esito della perizia balistica chiuderà la matrice in un senso o nell'altro. Nessuno degli atti attesi riguarda questo nome, e la distinzione fra i due cantieri va tenuta ferma.</w:t>
      </w:r>
    </w:p>
    <w:p>
      <w:pPr>
        <w:spacing w:after="120" w:line="276"/>
        <w:jc w:val="both"/>
      </w:pPr>
      <w:r>
        <w:rPr>
          <w:rFonts w:ascii="Barlow Semi Condensed" w:cs="Barlow Semi Condensed" w:eastAsia="Barlow Semi Condensed" w:hAnsi="Barlow Semi Condensed"/>
          <w:b/>
          <w:bCs/>
          <w:sz w:val="24"/>
          <w:szCs w:val="24"/>
        </w:rPr>
        <w:t xml:space="preserve">4992 · Il pavimento sotto cui non si scende.</w:t>
      </w:r>
      <w:r>
        <w:rPr>
          <w:rFonts w:ascii="Barlow Semi Condensed" w:cs="Barlow Semi Condensed" w:eastAsia="Barlow Semi Condensed" w:hAnsi="Barlow Semi Condensed"/>
          <w:sz w:val="24"/>
          <w:szCs w:val="24"/>
        </w:rPr>
        <w:t xml:space="preserve"> Cinque processi celebrati in vent'anni hanno depositato per sedimentazione l'ossatura fattuale del caso, e la Fase settima la chiama pavimento: sotto quella soglia non si scende. È la ragione per cui un versante internazionale può restare aperto senza che il caso resti indeterminato. Un fascicolo aperto poggia comunque su un pavimento, e chi confonde l'apertura del primo con l'assenza del secondo ha già lasciato la documentazione.</w:t>
      </w:r>
    </w:p>
    <w:p>
      <w:pPr>
        <w:spacing w:after="120" w:line="276"/>
        <w:jc w:val="both"/>
      </w:pPr>
      <w:r>
        <w:rPr>
          <w:rFonts w:ascii="Barlow Semi Condensed" w:cs="Barlow Semi Condensed" w:eastAsia="Barlow Semi Condensed" w:hAnsi="Barlow Semi Condensed"/>
          <w:b/>
          <w:bCs/>
          <w:sz w:val="24"/>
          <w:szCs w:val="24"/>
        </w:rPr>
        <w:t xml:space="preserve">4993 · Una Commissione non è un tribunale (serie LXV).</w:t>
      </w:r>
      <w:r>
        <w:rPr>
          <w:rFonts w:ascii="Barlow Semi Condensed" w:cs="Barlow Semi Condensed" w:eastAsia="Barlow Semi Condensed" w:hAnsi="Barlow Semi Condensed"/>
          <w:sz w:val="24"/>
          <w:szCs w:val="24"/>
        </w:rPr>
        <w:t xml:space="preserve"> Ultimo chiarimento di grado, perché l'opera ne ha usati due per la stessa materia: un'inchiesta parlamentare accerta fatti sul piano storico-politico e non responsabilità penali, occupa il livello B dell'apparato dei gradi, e i suoi esiti si citano dicendo che la Commissione ha documentato, mai che è provato in giudizio. La conferma parlamentare di una testimonianza non la promuove a fatto, e non lo fa nemmeno ripetuta.</w:t>
      </w:r>
    </w:p>
    <w:p>
      <w:pPr>
        <w:spacing w:after="120" w:line="276"/>
        <w:jc w:val="both"/>
      </w:pPr>
      <w:r>
        <w:rPr>
          <w:rFonts w:ascii="Barlow Semi Condensed" w:cs="Barlow Semi Condensed" w:eastAsia="Barlow Semi Condensed" w:hAnsi="Barlow Semi Condensed"/>
          <w:b/>
          <w:bCs/>
          <w:sz w:val="24"/>
          <w:szCs w:val="24"/>
        </w:rPr>
        <w:t xml:space="preserve">4994 · La sproporzione fra i due strati.</w:t>
      </w:r>
      <w:r>
        <w:rPr>
          <w:rFonts w:ascii="Barlow Semi Condensed" w:cs="Barlow Semi Condensed" w:eastAsia="Barlow Semi Condensed" w:hAnsi="Barlow Semi Condensed"/>
          <w:sz w:val="24"/>
          <w:szCs w:val="24"/>
        </w:rPr>
        <w:t xml:space="preserve"> Il bilancio dei due strati resta quello del blocco 56, e la doppia campagna lo ha reso più netto: un'immensa produzione pubblica — memorialistica, polemica, televisiva — poggia su un insieme di documenti a segnatura assai più ridotto. L'opera ha lavorato sul secondo e ha usato il primo come dato sulla circolazione delle idee. Misurare quella sproporzione, e non ridurla con la scrittura, era metà del compito.</w:t>
      </w:r>
    </w:p>
    <w:p>
      <w:pPr>
        <w:spacing w:after="120" w:line="276"/>
        <w:jc w:val="both"/>
      </w:pPr>
      <w:r>
        <w:rPr>
          <w:rFonts w:ascii="Barlow Semi Condensed" w:cs="Barlow Semi Condensed" w:eastAsia="Barlow Semi Condensed" w:hAnsi="Barlow Semi Condensed"/>
          <w:b/>
          <w:bCs/>
          <w:sz w:val="24"/>
          <w:szCs w:val="24"/>
        </w:rPr>
        <w:t xml:space="preserve">4995 · La densità non misura il peso.</w:t>
      </w:r>
      <w:r>
        <w:rPr>
          <w:rFonts w:ascii="Barlow Semi Condensed" w:cs="Barlow Semi Condensed" w:eastAsia="Barlow Semi Condensed" w:hAnsi="Barlow Semi Condensed"/>
          <w:sz w:val="24"/>
          <w:szCs w:val="24"/>
        </w:rPr>
        <w:t xml:space="preserve"> Va anteposta a ogni uso di quest'opera una sola avvertenza: la densità documentale di un nodo misura quanto se n'è scritto, non quanto ha pesato. Cinquemila blocchi intorno a un nome producono una mappa di dove quel nome compare nei documenti e di dove non compare, non un uomo al centro della storia. Qui la tentazione è massima, ed è per questo che l'avvertenza va ripetuta in fondo e non solo in premessa.</w:t>
      </w:r>
    </w:p>
    <w:p>
      <w:pPr>
        <w:spacing w:after="120" w:line="276"/>
        <w:jc w:val="both"/>
      </w:pPr>
      <w:r>
        <w:rPr>
          <w:rFonts w:ascii="Barlow Semi Condensed" w:cs="Barlow Semi Condensed" w:eastAsia="Barlow Semi Condensed" w:hAnsi="Barlow Semi Condensed"/>
          <w:b/>
          <w:bCs/>
          <w:sz w:val="24"/>
          <w:szCs w:val="24"/>
        </w:rPr>
        <w:t xml:space="preserve">4996 · Le anti-triangolazioni contano.</w:t>
      </w:r>
      <w:r>
        <w:rPr>
          <w:rFonts w:ascii="Barlow Semi Condensed" w:cs="Barlow Semi Condensed" w:eastAsia="Barlow Semi Condensed" w:hAnsi="Barlow Semi Condensed"/>
          <w:sz w:val="24"/>
          <w:szCs w:val="24"/>
        </w:rPr>
        <w:t xml:space="preserve"> Sono ventinove le anti-triangolazioni censite nel corpus, cioè i punti in cui una falsa consilienza è stata smontata, e la doppia campagna su questo nome ne ha aggiunte altre: l'anteriorità del marzo 1969, l'anacronismo spagnolo del 1978, il cammino privo di arco fra lo Studio Ovale e via Fani. Un'opera si giudica anche dai ponti che demolisce, e questi non erano ponti altrui: erano i propri.</w:t>
      </w:r>
    </w:p>
    <w:p>
      <w:pPr>
        <w:spacing w:after="120" w:line="276"/>
        <w:jc w:val="both"/>
      </w:pPr>
      <w:r>
        <w:rPr>
          <w:rFonts w:ascii="Barlow Semi Condensed" w:cs="Barlow Semi Condensed" w:eastAsia="Barlow Semi Condensed" w:hAnsi="Barlow Semi Condensed"/>
          <w:b/>
          <w:bCs/>
          <w:sz w:val="24"/>
          <w:szCs w:val="24"/>
        </w:rPr>
        <w:t xml:space="preserve">4997 · Le sei vittime, in testa.</w:t>
      </w:r>
      <w:r>
        <w:rPr>
          <w:rFonts w:ascii="Barlow Semi Condensed" w:cs="Barlow Semi Condensed" w:eastAsia="Barlow Semi Condensed" w:hAnsi="Barlow Semi Condensed"/>
          <w:sz w:val="24"/>
          <w:szCs w:val="24"/>
        </w:rPr>
        <w:t xml:space="preserve"> Prima della riga finale, i nomi che stanno in testa a ogni pagina del corpus e che nessuna metafora deve coprire: Oreste Leonardi, Domenico Ricci, Giulio Rivera, Francesco Zizzi, Raffaele Iozzino, Aldo Moro. Cinquemila blocchi di disciplina servono a una cosa sola e concreta, che è scrivere ciò che accadde a loro fin dove le carte arrivano, e non inventarlo dove le carte non arrivano.</w:t>
      </w:r>
    </w:p>
    <w:p>
      <w:pPr>
        <w:spacing w:after="120" w:line="276"/>
        <w:jc w:val="both"/>
      </w:pPr>
      <w:r>
        <w:rPr>
          <w:rFonts w:ascii="Barlow Semi Condensed" w:cs="Barlow Semi Condensed" w:eastAsia="Barlow Semi Condensed" w:hAnsi="Barlow Semi Condensed"/>
          <w:b/>
          <w:bCs/>
          <w:sz w:val="24"/>
          <w:szCs w:val="24"/>
        </w:rPr>
        <w:t xml:space="preserve">4998 · In biologia il carattere si eredita.</w:t>
      </w:r>
      <w:r>
        <w:rPr>
          <w:rFonts w:ascii="Barlow Semi Condensed" w:cs="Barlow Semi Condensed" w:eastAsia="Barlow Semi Condensed" w:hAnsi="Barlow Semi Condensed"/>
          <w:sz w:val="24"/>
          <w:szCs w:val="24"/>
        </w:rPr>
        <w:t xml:space="preserve"> La frase che ferma la lente si ripete identica, perché è l'unica proposizione dell'opera che non ammette gradi: in biologia il carattere si eredita, in storia la responsabilità no. Vale per i discendenti, per gli allievi, per i successori d'ufficio, per i membri di un ente e per l'ente rispetto ai membri. Nessun documento la modifica, nessuna scoperta la sposta, e nessuna eleganza dell'immagine autorizza a scavalcarla.</w:t>
      </w:r>
    </w:p>
    <w:p>
      <w:pPr>
        <w:spacing w:after="120" w:line="276"/>
        <w:jc w:val="both"/>
      </w:pPr>
      <w:r>
        <w:rPr>
          <w:rFonts w:ascii="Barlow Semi Condensed" w:cs="Barlow Semi Condensed" w:eastAsia="Barlow Semi Condensed" w:hAnsi="Barlow Semi Condensed"/>
          <w:b/>
          <w:bCs/>
          <w:sz w:val="24"/>
          <w:szCs w:val="24"/>
        </w:rPr>
        <w:t xml:space="preserve">4999 · La riga quattromilanovecentonovantanove.</w:t>
      </w:r>
      <w:r>
        <w:rPr>
          <w:rFonts w:ascii="Barlow Semi Condensed" w:cs="Barlow Semi Condensed" w:eastAsia="Barlow Semi Condensed" w:hAnsi="Barlow Semi Condensed"/>
          <w:sz w:val="24"/>
          <w:szCs w:val="24"/>
        </w:rPr>
        <w:t xml:space="preserve"> Il lascito di questa triangolazione è una sottrazione: ha tolto alla metafora il potere di condannare e le ha lasciato quello di interrogare. Restano i documenti, gli Stati Zero, le cinque divergenze non sciolte e un blocco che nessuno ha scritto perché nessun archivio lo consentiva ancora. La colpa non si eredita. Il fascicolo resta aperto, e si chiude qui a 4.999 per lasciare l'ultima riga a chi troverà la carta.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quest'opera non ha stabilito</w:t>
      </w:r>
    </w:p>
    <w:p>
      <w:pPr>
        <w:spacing w:after="120" w:line="276"/>
        <w:jc w:val="both"/>
      </w:pPr>
      <w:r>
        <w:rPr>
          <w:rFonts w:ascii="Barlow Semi Condensed" w:cs="Barlow Semi Condensed" w:eastAsia="Barlow Semi Condensed" w:hAnsi="Barlow Semi Condensed"/>
          <w:sz w:val="24"/>
          <w:szCs w:val="24"/>
        </w:rPr>
        <w:t xml:space="preserve">Va detto con la stessa nettezza dei mille bersagli, e va detto prima della riga di chiusura, perché è la parte che il lettore frettoloso salta e il committente ha diritto di trovare per prima.</w:t>
      </w:r>
    </w:p>
    <w:p>
      <w:pPr>
        <w:spacing w:after="120" w:line="276"/>
        <w:jc w:val="both"/>
      </w:pPr>
      <w:r>
        <w:rPr>
          <w:rFonts w:ascii="Barlow Semi Condensed" w:cs="Barlow Semi Condensed" w:eastAsia="Barlow Semi Condensed" w:hAnsi="Barlow Semi Condensed"/>
          <w:b/>
          <w:bCs/>
          <w:sz w:val="24"/>
          <w:szCs w:val="24"/>
        </w:rPr>
        <w:t xml:space="preserve">Non è stabilito che esista un centro.</w:t>
      </w:r>
      <w:r>
        <w:rPr>
          <w:rFonts w:ascii="Barlow Semi Condensed" w:cs="Barlow Semi Condensed" w:eastAsia="Barlow Semi Condensed" w:hAnsi="Barlow Semi Condensed"/>
          <w:sz w:val="24"/>
          <w:szCs w:val="24"/>
        </w:rPr>
        <w:t xml:space="preserve"> Mille blocchi intorno a un nome non producono un uomo al centro della storia: producono una mappa di dove quel nome compare nei documenti e di dove non compare. La densità documentale di un nodo misura </w:t>
      </w:r>
      <w:r>
        <w:rPr>
          <w:rFonts w:ascii="Barlow Semi Condensed" w:cs="Barlow Semi Condensed" w:eastAsia="Barlow Semi Condensed" w:hAnsi="Barlow Semi Condensed"/>
          <w:b/>
          <w:bCs/>
          <w:sz w:val="24"/>
          <w:szCs w:val="24"/>
        </w:rPr>
        <w:t xml:space="preserve">quanto se n'è scritto</w:t>
      </w:r>
      <w:r>
        <w:rPr>
          <w:rFonts w:ascii="Barlow Semi Condensed" w:cs="Barlow Semi Condensed" w:eastAsia="Barlow Semi Condensed" w:hAnsi="Barlow Semi Condensed"/>
          <w:sz w:val="24"/>
          <w:szCs w:val="24"/>
        </w:rPr>
        <w:t xml:space="preserve">, non quanto ha pesato. È la stessa regola che il corpus antepone a ogni lettura della propria rete, e qui vale al massimo grado, perché qui la tentazione è massima.</w:t>
      </w:r>
    </w:p>
    <w:p>
      <w:pPr>
        <w:spacing w:after="120" w:line="276"/>
        <w:jc w:val="both"/>
      </w:pPr>
      <w:r>
        <w:rPr>
          <w:rFonts w:ascii="Barlow Semi Condensed" w:cs="Barlow Semi Condensed" w:eastAsia="Barlow Semi Condensed" w:hAnsi="Barlow Semi Condensed"/>
          <w:b/>
          <w:bCs/>
          <w:sz w:val="24"/>
          <w:szCs w:val="24"/>
        </w:rPr>
        <w:t xml:space="preserve">Non è stabilito alcun nesso col caso Moro oltre quello che il corpus già registrava.</w:t>
      </w:r>
      <w:r>
        <w:rPr>
          <w:rFonts w:ascii="Barlow Semi Condensed" w:cs="Barlow Semi Condensed" w:eastAsia="Barlow Semi Condensed" w:hAnsi="Barlow Semi Condensed"/>
          <w:sz w:val="24"/>
          <w:szCs w:val="24"/>
        </w:rPr>
        <w:t xml:space="preserve"> Il presunto avvertimento del settembre 1974 resta ciò che è: </w:t>
      </w:r>
      <w:r>
        <w:rPr>
          <w:rFonts w:ascii="Barlow Semi Condensed" w:cs="Barlow Semi Condensed" w:eastAsia="Barlow Semi Condensed" w:hAnsi="Barlow Semi Condensed"/>
          <w:b/>
          <w:bCs/>
          <w:sz w:val="24"/>
          <w:szCs w:val="24"/>
        </w:rPr>
        <w:t xml:space="preserve">testimonianza contestata</w:t>
      </w:r>
      <w:r>
        <w:rPr>
          <w:rFonts w:ascii="Barlow Semi Condensed" w:cs="Barlow Semi Condensed" w:eastAsia="Barlow Semi Condensed" w:hAnsi="Barlow Semi Condensed"/>
          <w:sz w:val="24"/>
          <w:szCs w:val="24"/>
        </w:rPr>
        <w:t xml:space="preserve">, sostenuta da due testimoni qualificati e </w:t>
      </w:r>
      <w:r>
        <w:rPr>
          <w:rFonts w:ascii="Barlow Semi Condensed" w:cs="Barlow Semi Condensed" w:eastAsia="Barlow Semi Condensed" w:hAnsi="Barlow Semi Condensed"/>
          <w:b/>
          <w:bCs/>
          <w:sz w:val="24"/>
          <w:szCs w:val="24"/>
        </w:rPr>
        <w:t xml:space="preserve">sempre smentita dall'interessato</w:t>
      </w:r>
      <w:r>
        <w:rPr>
          <w:rFonts w:ascii="Barlow Semi Condensed" w:cs="Barlow Semi Condensed" w:eastAsia="Barlow Semi Condensed" w:hAnsi="Barlow Semi Condensed"/>
          <w:sz w:val="24"/>
          <w:szCs w:val="24"/>
        </w:rPr>
        <w:t xml:space="preserve">, priva di documento. Il corpus lo registrava già senza annotare la smentita: quest'opera la annota, perché una testimonianza contestata si riporta </w:t>
      </w:r>
      <w:r>
        <w:rPr>
          <w:rFonts w:ascii="Barlow Semi Condensed" w:cs="Barlow Semi Condensed" w:eastAsia="Barlow Semi Condensed" w:hAnsi="Barlow Semi Condensed"/>
          <w:i/>
          <w:iCs/>
          <w:sz w:val="24"/>
          <w:szCs w:val="24"/>
        </w:rPr>
        <w:t xml:space="preserve">con la contestazione</w:t>
      </w:r>
      <w:r>
        <w:rPr>
          <w:rFonts w:ascii="Barlow Semi Condensed" w:cs="Barlow Semi Condensed" w:eastAsia="Barlow Semi Condensed" w:hAnsi="Barlow Semi Condensed"/>
          <w:sz w:val="24"/>
          <w:szCs w:val="24"/>
        </w:rPr>
        <w:t xml:space="preserve">, non senza. Non è Stato Zero — i testimoni esistono e sono qualificati — e non è accertamento: è </w:t>
      </w:r>
      <w:r>
        <w:rPr>
          <w:rFonts w:ascii="Barlow Semi Condensed" w:cs="Barlow Semi Condensed" w:eastAsia="Barlow Semi Condensed" w:hAnsi="Barlow Semi Condensed"/>
          <w:b/>
          <w:bCs/>
          <w:sz w:val="24"/>
          <w:szCs w:val="24"/>
        </w:rPr>
        <w:t xml:space="preserve">conteso</w:t>
      </w:r>
      <w:r>
        <w:rPr>
          <w:rFonts w:ascii="Barlow Semi Condensed" w:cs="Barlow Semi Condensed" w:eastAsia="Barlow Semi Condensed" w:hAnsi="Barlow Semi Condensed"/>
          <w:sz w:val="24"/>
          <w:szCs w:val="24"/>
        </w:rPr>
        <w:t xml:space="preserve">, e conteso resta.</w:t>
      </w:r>
    </w:p>
    <w:p>
      <w:pPr>
        <w:spacing w:after="120" w:line="276"/>
        <w:jc w:val="both"/>
      </w:pPr>
      <w:r>
        <w:rPr>
          <w:rFonts w:ascii="Barlow Semi Condensed" w:cs="Barlow Semi Condensed" w:eastAsia="Barlow Semi Condensed" w:hAnsi="Barlow Semi Condensed"/>
          <w:b/>
          <w:bCs/>
          <w:sz w:val="24"/>
          <w:szCs w:val="24"/>
        </w:rPr>
        <w:t xml:space="preserve">Non è stabilito che la somiglianza fra teatri provi un piano unico.</w:t>
      </w:r>
      <w:r>
        <w:rPr>
          <w:rFonts w:ascii="Barlow Semi Condensed" w:cs="Barlow Semi Condensed" w:eastAsia="Barlow Semi Condensed" w:hAnsi="Barlow Semi Condensed"/>
          <w:sz w:val="24"/>
          <w:szCs w:val="24"/>
        </w:rPr>
        <w:t xml:space="preserve"> È il risultato metodologico più importante dell'intera opera, e discende dalla distinzione fra omologia e analogia: due strutture simili possono discendere da un antenato comune o essere convergenze indipendenti in ambienti simili, e </w:t>
      </w:r>
      <w:r>
        <w:rPr>
          <w:rFonts w:ascii="Barlow Semi Condensed" w:cs="Barlow Semi Condensed" w:eastAsia="Barlow Semi Condensed" w:hAnsi="Barlow Semi Condensed"/>
          <w:b/>
          <w:bCs/>
          <w:sz w:val="24"/>
          <w:szCs w:val="24"/>
        </w:rPr>
        <w:t xml:space="preserve">dalla somiglianza del risultato non si deduce l'antenato</w:t>
      </w:r>
      <w:r>
        <w:rPr>
          <w:rFonts w:ascii="Barlow Semi Condensed" w:cs="Barlow Semi Condensed" w:eastAsia="Barlow Semi Condensed" w:hAnsi="Barlow Semi Condensed"/>
          <w:sz w:val="24"/>
          <w:szCs w:val="24"/>
        </w:rPr>
        <w:t xml:space="preserve">. Il test è uno solo e non è retorico: un documento di provenienza che nomini la controparte. Dove manca, si registra una convergenza — piano 2 — e ci si ferma.</w:t>
      </w:r>
    </w:p>
    <w:p>
      <w:pPr>
        <w:spacing w:after="120" w:line="276"/>
        <w:jc w:val="both"/>
      </w:pPr>
      <w:r>
        <w:rPr>
          <w:rFonts w:ascii="Barlow Semi Condensed" w:cs="Barlow Semi Condensed" w:eastAsia="Barlow Semi Condensed" w:hAnsi="Barlow Semi Condensed"/>
          <w:b/>
          <w:bCs/>
          <w:sz w:val="24"/>
          <w:szCs w:val="24"/>
        </w:rPr>
        <w:t xml:space="preserve">Non è stabilito nulla per via di appartenenza.</w:t>
      </w:r>
      <w:r>
        <w:rPr>
          <w:rFonts w:ascii="Barlow Semi Condensed" w:cs="Barlow Semi Condensed" w:eastAsia="Barlow Semi Condensed" w:hAnsi="Barlow Semi Condensed"/>
          <w:sz w:val="24"/>
          <w:szCs w:val="24"/>
        </w:rPr>
        <w:t xml:space="preserve"> Non si eredita una condotta da una scuola, da un lignaggio dottrinale, da un ambiente, da una carica. L'intera dodicesima e tredicesima serie esistono per impedire proprio l'inferenza che la metafora genetica rende più facile e che la storiografia rende inammissibile.</w:t>
      </w:r>
    </w:p>
    <w:p>
      <w:pPr>
        <w:spacing w:after="120" w:line="276"/>
        <w:jc w:val="both"/>
      </w:pPr>
      <w:r>
        <w:rPr>
          <w:rFonts w:ascii="Barlow Semi Condensed" w:cs="Barlow Semi Condensed" w:eastAsia="Barlow Semi Condensed" w:hAnsi="Barlow Semi Condensed"/>
          <w:b/>
          <w:bCs/>
          <w:sz w:val="24"/>
          <w:szCs w:val="24"/>
        </w:rPr>
        <w:t xml:space="preserve">E non è stabilito che la lente fosse necessaria.</w:t>
      </w:r>
      <w:r>
        <w:rPr>
          <w:rFonts w:ascii="Barlow Semi Condensed" w:cs="Barlow Semi Condensed" w:eastAsia="Barlow Semi Condensed" w:hAnsi="Barlow Semi Condensed"/>
          <w:sz w:val="24"/>
          <w:szCs w:val="24"/>
        </w:rPr>
        <w:t xml:space="preserve"> Se domani si togliesse la metafora genetica da queste pagine, resterebbero i documenti, i gradi, le sedi d'archivio e gli Stati Zero: cioè tutto ciò che conta. </w:t>
      </w:r>
      <w:r>
        <w:rPr>
          <w:rFonts w:ascii="Barlow Semi Condensed" w:cs="Barlow Semi Condensed" w:eastAsia="Barlow Semi Condensed" w:hAnsi="Barlow Semi Condensed"/>
          <w:b/>
          <w:bCs/>
          <w:sz w:val="24"/>
          <w:szCs w:val="24"/>
        </w:rPr>
        <w:t xml:space="preserve">Una chiave interpretativa si dichiara in copertina e non si dimostra col testo</w:t>
      </w:r>
      <w:r>
        <w:rPr>
          <w:rFonts w:ascii="Barlow Semi Condensed" w:cs="Barlow Semi Condensed" w:eastAsia="Barlow Semi Condensed" w:hAnsi="Barlow Semi Condensed"/>
          <w:sz w:val="24"/>
          <w:szCs w:val="24"/>
        </w:rPr>
        <w:t xml:space="preserve"> — e la prova che questa è stata usata bene è che il testo regge anche senza di essa.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K — Le verifiche</w:t>
      </w:r>
    </w:p>
    <w:p>
      <w:pPr>
        <w:spacing w:after="120" w:line="276"/>
        <w:jc w:val="both"/>
      </w:pPr>
      <w:r>
        <w:rPr>
          <w:rFonts w:ascii="Barlow Semi Condensed" w:cs="Barlow Semi Condensed" w:eastAsia="Barlow Semi Condensed" w:hAnsi="Barlow Semi Condensed"/>
          <w:sz w:val="24"/>
          <w:szCs w:val="24"/>
        </w:rPr>
        <w:t xml:space="preserve">I fatti su cui quest'opera poggia sono stati sottoposti a </w:t>
      </w:r>
      <w:r>
        <w:rPr>
          <w:rFonts w:ascii="Barlow Semi Condensed" w:cs="Barlow Semi Condensed" w:eastAsia="Barlow Semi Condensed" w:hAnsi="Barlow Semi Condensed"/>
          <w:b/>
          <w:bCs/>
          <w:sz w:val="24"/>
          <w:szCs w:val="24"/>
        </w:rPr>
        <w:t xml:space="preserve">verifica indipendente su fonti in rete</w:t>
      </w:r>
      <w:r>
        <w:rPr>
          <w:rFonts w:ascii="Barlow Semi Condensed" w:cs="Barlow Semi Condensed" w:eastAsia="Barlow Semi Condensed" w:hAnsi="Barlow Semi Condensed"/>
          <w:sz w:val="24"/>
          <w:szCs w:val="24"/>
        </w:rPr>
        <w:t xml:space="preserve">, in tre campagne. Si registrano qui i risultati, comprese — anzi soprattutto — le precisazioni che hanno costretto a </w:t>
      </w:r>
      <w:r>
        <w:rPr>
          <w:rFonts w:ascii="Barlow Semi Condensed" w:cs="Barlow Semi Condensed" w:eastAsia="Barlow Semi Condensed" w:hAnsi="Barlow Semi Condensed"/>
          <w:b/>
          <w:bCs/>
          <w:sz w:val="24"/>
          <w:szCs w:val="24"/>
        </w:rPr>
        <w:t xml:space="preserve">riscrivere il frontespizio</w:t>
      </w:r>
      <w:r>
        <w:rPr>
          <w:rFonts w:ascii="Barlow Semi Condensed" w:cs="Barlow Semi Condensed" w:eastAsia="Barlow Semi Condensed" w:hAnsi="Barlow Semi Condensed"/>
          <w:sz w:val="24"/>
          <w:szCs w:val="24"/>
        </w:rPr>
        <w:t xml:space="preserve"> e quelle che </w:t>
      </w:r>
      <w:r>
        <w:rPr>
          <w:rFonts w:ascii="Barlow Semi Condensed" w:cs="Barlow Semi Condensed" w:eastAsia="Barlow Semi Condensed" w:hAnsi="Barlow Semi Condensed"/>
          <w:b/>
          <w:bCs/>
          <w:sz w:val="24"/>
          <w:szCs w:val="24"/>
        </w:rPr>
        <w:t xml:space="preserve">correggono il corpus</w:t>
      </w:r>
      <w:r>
        <w:rPr>
          <w:rFonts w:ascii="Barlow Semi Condensed" w:cs="Barlow Semi Condensed" w:eastAsia="Barlow Semi Condensed" w:hAnsi="Barlow Semi Condensed"/>
          <w:sz w:val="24"/>
          <w:szCs w:val="24"/>
        </w:rPr>
        <w:t xml:space="preserve">. Vale l'avvertenza che chiude l'apparato: la campagna ha avuto un limite tecnico dichiarato, e non lo si nasconde.</w:t>
      </w:r>
    </w:p>
    <w:p>
      <w:pPr>
        <w:pStyle w:val="Heading3"/>
        <w:spacing w:after="80" w:before="160"/>
      </w:pPr>
      <w:r>
        <w:rPr>
          <w:rFonts w:ascii="Barlow Semi Condensed" w:cs="Barlow Semi Condensed" w:eastAsia="Barlow Semi Condensed" w:hAnsi="Barlow Semi Condensed"/>
          <w:sz w:val="24"/>
          <w:szCs w:val="24"/>
        </w:rPr>
        <w:t xml:space="preserve">K-1 · L'anagrafe, e la mutazione che l'archivio sposta di cinque anni</w:t>
      </w:r>
    </w:p>
    <w:p>
      <w:pPr>
        <w:spacing w:after="120" w:line="276"/>
        <w:jc w:val="both"/>
      </w:pPr>
      <w:r>
        <w:rPr>
          <w:rFonts w:ascii="Barlow Semi Condensed" w:cs="Barlow Semi Condensed" w:eastAsia="Barlow Semi Condensed" w:hAnsi="Barlow Semi Condensed"/>
          <w:b/>
          <w:bCs/>
          <w:sz w:val="24"/>
          <w:szCs w:val="24"/>
        </w:rPr>
        <w:t xml:space="preserve">Confermati</w:t>
      </w:r>
      <w:r>
        <w:rPr>
          <w:rFonts w:ascii="Barlow Semi Condensed" w:cs="Barlow Semi Condensed" w:eastAsia="Barlow Semi Condensed" w:hAnsi="Barlow Semi Condensed"/>
          <w:sz w:val="24"/>
          <w:szCs w:val="24"/>
        </w:rPr>
        <w:t xml:space="preserve"> su fonti istituzionali convergenti — la nota biografica del comitato del premio Nobel e la scheda dell'</w:t>
      </w:r>
      <w:r>
        <w:rPr>
          <w:rFonts w:ascii="Barlow Semi Condensed" w:cs="Barlow Semi Condensed" w:eastAsia="Barlow Semi Condensed" w:hAnsi="Barlow Semi Condensed"/>
          <w:i/>
          <w:iCs/>
          <w:sz w:val="24"/>
          <w:szCs w:val="24"/>
        </w:rPr>
        <w:t xml:space="preserve">Office of the Historian</w:t>
      </w:r>
      <w:r>
        <w:rPr>
          <w:rFonts w:ascii="Barlow Semi Condensed" w:cs="Barlow Semi Condensed" w:eastAsia="Barlow Semi Condensed" w:hAnsi="Barlow Semi Condensed"/>
          <w:sz w:val="24"/>
          <w:szCs w:val="24"/>
        </w:rPr>
        <w:t xml:space="preserve"> del Dipartimento di Stato, che intesta «Henry A. (Heinz Alfred) Kissinger» — la nascita a </w:t>
      </w:r>
      <w:r>
        <w:rPr>
          <w:rFonts w:ascii="Barlow Semi Condensed" w:cs="Barlow Semi Condensed" w:eastAsia="Barlow Semi Condensed" w:hAnsi="Barlow Semi Condensed"/>
          <w:b/>
          <w:bCs/>
          <w:sz w:val="24"/>
          <w:szCs w:val="24"/>
        </w:rPr>
        <w:t xml:space="preserve">Fürth il 27 maggio 1923</w:t>
      </w:r>
      <w:r>
        <w:rPr>
          <w:rFonts w:ascii="Barlow Semi Condensed" w:cs="Barlow Semi Condensed" w:eastAsia="Barlow Semi Condensed" w:hAnsi="Barlow Semi Condensed"/>
          <w:sz w:val="24"/>
          <w:szCs w:val="24"/>
        </w:rPr>
        <w:t xml:space="preserve"> col nome di Heinz Alfred, e la morte nella casa di </w:t>
      </w:r>
      <w:r>
        <w:rPr>
          <w:rFonts w:ascii="Barlow Semi Condensed" w:cs="Barlow Semi Condensed" w:eastAsia="Barlow Semi Condensed" w:hAnsi="Barlow Semi Condensed"/>
          <w:b/>
          <w:bCs/>
          <w:sz w:val="24"/>
          <w:szCs w:val="24"/>
        </w:rPr>
        <w:t xml:space="preserve">Kent, nel Connecticut, il 29 novembre 2023</w:t>
      </w:r>
      <w:r>
        <w:rPr>
          <w:rFonts w:ascii="Barlow Semi Condensed" w:cs="Barlow Semi Condensed" w:eastAsia="Barlow Semi Condensed" w:hAnsi="Barlow Semi Condensed"/>
          <w:sz w:val="24"/>
          <w:szCs w:val="24"/>
        </w:rPr>
        <w:t xml:space="preserve">, all'età di cento anni. Nessuna fonte dissente.</w:t>
      </w:r>
    </w:p>
    <w:p>
      <w:pPr>
        <w:spacing w:after="120" w:line="276"/>
        <w:jc w:val="both"/>
      </w:pPr>
      <w:r>
        <w:rPr>
          <w:rFonts w:ascii="Barlow Semi Condensed" w:cs="Barlow Semi Condensed" w:eastAsia="Barlow Semi Condensed" w:hAnsi="Barlow Semi Condensed"/>
          <w:b/>
          <w:bCs/>
          <w:sz w:val="24"/>
          <w:szCs w:val="24"/>
        </w:rPr>
        <w:t xml:space="preserve">Precisato, contro l'affermazione che questa stessa opera portava in apertura.</w:t>
      </w:r>
      <w:r>
        <w:rPr>
          <w:rFonts w:ascii="Barlow Semi Condensed" w:cs="Barlow Semi Condensed" w:eastAsia="Barlow Semi Condensed" w:hAnsi="Barlow Semi Condensed"/>
          <w:sz w:val="24"/>
          <w:szCs w:val="24"/>
        </w:rPr>
        <w:t xml:space="preserve"> L'emigrazione è accertata e datata: partenza dalla Germania il </w:t>
      </w:r>
      <w:r>
        <w:rPr>
          <w:rFonts w:ascii="Barlow Semi Condensed" w:cs="Barlow Semi Condensed" w:eastAsia="Barlow Semi Condensed" w:hAnsi="Barlow Semi Condensed"/>
          <w:b/>
          <w:bCs/>
          <w:sz w:val="24"/>
          <w:szCs w:val="24"/>
        </w:rPr>
        <w:t xml:space="preserve">20 agosto 1938</w:t>
      </w:r>
      <w:r>
        <w:rPr>
          <w:rFonts w:ascii="Barlow Semi Condensed" w:cs="Barlow Semi Condensed" w:eastAsia="Barlow Semi Condensed" w:hAnsi="Barlow Semi Condensed"/>
          <w:sz w:val="24"/>
          <w:szCs w:val="24"/>
        </w:rPr>
        <w:t xml:space="preserve">, sosta a Londra, sbarco a New York il </w:t>
      </w:r>
      <w:r>
        <w:rPr>
          <w:rFonts w:ascii="Barlow Semi Condensed" w:cs="Barlow Semi Condensed" w:eastAsia="Barlow Semi Condensed" w:hAnsi="Barlow Semi Condensed"/>
          <w:b/>
          <w:bCs/>
          <w:sz w:val="24"/>
          <w:szCs w:val="24"/>
        </w:rPr>
        <w:t xml:space="preserve">5 settembre 1938</w:t>
      </w:r>
      <w:r>
        <w:rPr>
          <w:rFonts w:ascii="Barlow Semi Condensed" w:cs="Barlow Semi Condensed" w:eastAsia="Barlow Semi Condensed" w:hAnsi="Barlow Semi Condensed"/>
          <w:sz w:val="24"/>
          <w:szCs w:val="24"/>
        </w:rPr>
        <w:t xml:space="preserve">. L'anglicizzazione del nome </w:t>
      </w:r>
      <w:r>
        <w:rPr>
          <w:rFonts w:ascii="Barlow Semi Condensed" w:cs="Barlow Semi Condensed" w:eastAsia="Barlow Semi Condensed" w:hAnsi="Barlow Semi Condensed"/>
          <w:b/>
          <w:bCs/>
          <w:sz w:val="24"/>
          <w:szCs w:val="24"/>
        </w:rPr>
        <w:t xml:space="preserve">non è documentata come atto compiuto all'arrivo</w:t>
      </w:r>
      <w:r>
        <w:rPr>
          <w:rFonts w:ascii="Barlow Semi Condensed" w:cs="Barlow Semi Condensed" w:eastAsia="Barlow Semi Condensed" w:hAnsi="Barlow Semi Condensed"/>
          <w:sz w:val="24"/>
          <w:szCs w:val="24"/>
        </w:rPr>
        <w:t xml:space="preserve">. Le fonti si dividono: le opere di consultazione la collocano genericamente nel 1938, senza citare documenti; il </w:t>
      </w:r>
      <w:r>
        <w:rPr>
          <w:rFonts w:ascii="Barlow Semi Condensed" w:cs="Barlow Semi Condensed" w:eastAsia="Barlow Semi Condensed" w:hAnsi="Barlow Semi Condensed"/>
          <w:b/>
          <w:bCs/>
          <w:sz w:val="24"/>
          <w:szCs w:val="24"/>
        </w:rPr>
        <w:t xml:space="preserve">fascicolo d'immigrazione e naturalizzazione</w:t>
      </w:r>
      <w:r>
        <w:rPr>
          <w:rFonts w:ascii="Barlow Semi Condensed" w:cs="Barlow Semi Condensed" w:eastAsia="Barlow Semi Condensed" w:hAnsi="Barlow Semi Condensed"/>
          <w:sz w:val="24"/>
          <w:szCs w:val="24"/>
        </w:rPr>
        <w:t xml:space="preserve">, ottenuto per accesso agli atti, la colloca </w:t>
      </w:r>
      <w:r>
        <w:rPr>
          <w:rFonts w:ascii="Barlow Semi Condensed" w:cs="Barlow Semi Condensed" w:eastAsia="Barlow Semi Condensed" w:hAnsi="Barlow Semi Condensed"/>
          <w:b/>
          <w:bCs/>
          <w:sz w:val="24"/>
          <w:szCs w:val="24"/>
        </w:rPr>
        <w:t xml:space="preserve">durante il servizio militare, intorno al 1942-1943</w:t>
      </w:r>
      <w:r>
        <w:rPr>
          <w:rFonts w:ascii="Barlow Semi Condensed" w:cs="Barlow Semi Condensed" w:eastAsia="Barlow Semi Condensed" w:hAnsi="Barlow Semi Condensed"/>
          <w:sz w:val="24"/>
          <w:szCs w:val="24"/>
        </w:rPr>
        <w:t xml:space="preserve">, e la naturalizzazione è del </w:t>
      </w:r>
      <w:r>
        <w:rPr>
          <w:rFonts w:ascii="Barlow Semi Condensed" w:cs="Barlow Semi Condensed" w:eastAsia="Barlow Semi Condensed" w:hAnsi="Barlow Semi Condensed"/>
          <w:b/>
          <w:bCs/>
          <w:sz w:val="24"/>
          <w:szCs w:val="24"/>
        </w:rPr>
        <w:t xml:space="preserve">19 giugno 1943</w:t>
      </w:r>
      <w:r>
        <w:rPr>
          <w:rFonts w:ascii="Barlow Semi Condensed" w:cs="Barlow Semi Condensed" w:eastAsia="Barlow Semi Condensed" w:hAnsi="Barlow Semi Condensed"/>
          <w:sz w:val="24"/>
          <w:szCs w:val="24"/>
        </w:rPr>
        <w:t xml:space="preserve">. La divergenza si riporta e non si scioglie: entrambe le versioni restano in campo, con la seconda sostenuta da un documento e la prima no.</w:t>
      </w:r>
    </w:p>
    <w:p>
      <w:pPr>
        <w:pStyle w:val="Heading3"/>
        <w:spacing w:after="80" w:before="160"/>
      </w:pPr>
      <w:r>
        <w:rPr>
          <w:rFonts w:ascii="Barlow Semi Condensed" w:cs="Barlow Semi Condensed" w:eastAsia="Barlow Semi Condensed" w:hAnsi="Barlow Semi Condensed"/>
          <w:sz w:val="24"/>
          <w:szCs w:val="24"/>
        </w:rPr>
        <w:t xml:space="preserve">K-2 · Gli incarichi, e il punto giuridico che vincola tutto il resto</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le date, con una precisione che le formule correnti perdono: </w:t>
      </w:r>
      <w:r>
        <w:rPr>
          <w:rFonts w:ascii="Barlow Semi Condensed" w:cs="Barlow Semi Condensed" w:eastAsia="Barlow Semi Condensed" w:hAnsi="Barlow Semi Condensed"/>
          <w:b/>
          <w:bCs/>
          <w:sz w:val="24"/>
          <w:szCs w:val="24"/>
        </w:rPr>
        <w:t xml:space="preserve">Assistente del Presidente per gli affari di sicurezza nazionale dal 20 gennaio 1969 al 3 novembre 1975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Segretario di Stato</w:t>
      </w:r>
      <w:r>
        <w:rPr>
          <w:rFonts w:ascii="Barlow Semi Condensed" w:cs="Barlow Semi Condensed" w:eastAsia="Barlow Semi Condensed" w:hAnsi="Barlow Semi Condensed"/>
          <w:sz w:val="24"/>
          <w:szCs w:val="24"/>
        </w:rPr>
        <w:t xml:space="preserve"> con nomina del 21 settembre 1973, </w:t>
      </w:r>
      <w:r>
        <w:rPr>
          <w:rFonts w:ascii="Barlow Semi Condensed" w:cs="Barlow Semi Condensed" w:eastAsia="Barlow Semi Condensed" w:hAnsi="Barlow Semi Condensed"/>
          <w:b/>
          <w:bCs/>
          <w:sz w:val="24"/>
          <w:szCs w:val="24"/>
        </w:rPr>
        <w:t xml:space="preserve">entrata in carica il 22 settembre 1973</w:t>
      </w:r>
      <w:r>
        <w:rPr>
          <w:rFonts w:ascii="Barlow Semi Condensed" w:cs="Barlow Semi Condensed" w:eastAsia="Barlow Semi Condensed" w:hAnsi="Barlow Semi Condensed"/>
          <w:sz w:val="24"/>
          <w:szCs w:val="24"/>
        </w:rPr>
        <w:t xml:space="preserve"> e cessazione il </w:t>
      </w:r>
      <w:r>
        <w:rPr>
          <w:rFonts w:ascii="Barlow Semi Condensed" w:cs="Barlow Semi Condensed" w:eastAsia="Barlow Semi Condensed" w:hAnsi="Barlow Semi Condensed"/>
          <w:b/>
          <w:bCs/>
          <w:sz w:val="24"/>
          <w:szCs w:val="24"/>
        </w:rPr>
        <w:t xml:space="preserve">20 gennaio 1977</w:t>
      </w:r>
      <w:r>
        <w:rPr>
          <w:rFonts w:ascii="Barlow Semi Condensed" w:cs="Barlow Semi Condensed" w:eastAsia="Barlow Semi Condensed" w:hAnsi="Barlow Semi Condensed"/>
          <w:sz w:val="24"/>
          <w:szCs w:val="24"/>
        </w:rPr>
        <w:t xml:space="preserve">. Dal 22 settembre 1973 al 3 novembre 1975 tenne </w:t>
      </w:r>
      <w:r>
        <w:rPr>
          <w:rFonts w:ascii="Barlow Semi Condensed" w:cs="Barlow Semi Condensed" w:eastAsia="Barlow Semi Condensed" w:hAnsi="Barlow Semi Condensed"/>
          <w:b/>
          <w:bCs/>
          <w:sz w:val="24"/>
          <w:szCs w:val="24"/>
        </w:rPr>
        <w:t xml:space="preserve">i due incarichi insieme</w:t>
      </w:r>
      <w:r>
        <w:rPr>
          <w:rFonts w:ascii="Barlow Semi Condensed" w:cs="Barlow Semi Condensed" w:eastAsia="Barlow Semi Condensed" w:hAnsi="Barlow Semi Condensed"/>
          <w:sz w:val="24"/>
          <w:szCs w:val="24"/>
        </w:rPr>
        <w:t xml:space="preserve">, caso unico nella storia statunitense. Si segnala la divergenza fra le fonti secondarie che datano l'inizio al 23 settembre e la fonte istituzionale che indica il 22: prevale la seconda.</w:t>
      </w:r>
    </w:p>
    <w:p>
      <w:pPr>
        <w:spacing w:after="120" w:line="276"/>
        <w:jc w:val="both"/>
      </w:pPr>
      <w:r>
        <w:rPr>
          <w:rFonts w:ascii="Barlow Semi Condensed" w:cs="Barlow Semi Condensed" w:eastAsia="Barlow Semi Condensed" w:hAnsi="Barlow Semi Condensed"/>
          <w:b/>
          <w:bCs/>
          <w:sz w:val="24"/>
          <w:szCs w:val="24"/>
        </w:rPr>
        <w:t xml:space="preserve">Confermato, ed è il vincolo che governa ogni pagina di quest'opera</w:t>
      </w:r>
      <w:r>
        <w:rPr>
          <w:rFonts w:ascii="Barlow Semi Condensed" w:cs="Barlow Semi Condensed" w:eastAsia="Barlow Semi Condensed" w:hAnsi="Barlow Semi Condensed"/>
          <w:sz w:val="24"/>
          <w:szCs w:val="24"/>
        </w:rPr>
        <w:t xml:space="preserve">: non risulta </w:t>
      </w:r>
      <w:r>
        <w:rPr>
          <w:rFonts w:ascii="Barlow Semi Condensed" w:cs="Barlow Semi Condensed" w:eastAsia="Barlow Semi Condensed" w:hAnsi="Barlow Semi Condensed"/>
          <w:b/>
          <w:bCs/>
          <w:sz w:val="24"/>
          <w:szCs w:val="24"/>
        </w:rPr>
        <w:t xml:space="preserve">alcuna sentenza di condanna, alcun rinvio a giudizio, alcun procedimento penale</w:t>
      </w:r>
      <w:r>
        <w:rPr>
          <w:rFonts w:ascii="Barlow Semi Condensed" w:cs="Barlow Semi Condensed" w:eastAsia="Barlow Semi Condensed" w:hAnsi="Barlow Semi Condensed"/>
          <w:sz w:val="24"/>
          <w:szCs w:val="24"/>
        </w:rPr>
        <w:t xml:space="preserve"> a suo carico in alcun Paese; non fu mai imputato né processato, né mai interrogato da un giudice in sede penale. Sul punto </w:t>
      </w:r>
      <w:r>
        <w:rPr>
          <w:rFonts w:ascii="Barlow Semi Condensed" w:cs="Barlow Semi Condensed" w:eastAsia="Barlow Semi Condensed" w:hAnsi="Barlow Semi Condensed"/>
          <w:b/>
          <w:bCs/>
          <w:sz w:val="24"/>
          <w:szCs w:val="24"/>
        </w:rPr>
        <w:t xml:space="preserve">concordano anche le fonti a lui più ostili</w:t>
      </w:r>
      <w:r>
        <w:rPr>
          <w:rFonts w:ascii="Barlow Semi Condensed" w:cs="Barlow Semi Condensed" w:eastAsia="Barlow Semi Condensed" w:hAnsi="Barlow Semi Condensed"/>
          <w:sz w:val="24"/>
          <w:szCs w:val="24"/>
        </w:rPr>
        <w:t xml:space="preserve">, che distinguono con precisione fra il libro-saggio d'accusa e l'atto giudiziario. Le responsabilità morali o politiche che quelle fonti gli attribuiscono sono un'altra cosa, appartengono al dibattito pubblico, e </w:t>
      </w:r>
      <w:r>
        <w:rPr>
          <w:rFonts w:ascii="Barlow Semi Condensed" w:cs="Barlow Semi Condensed" w:eastAsia="Barlow Semi Condensed" w:hAnsi="Barlow Semi Condensed"/>
          <w:b/>
          <w:bCs/>
          <w:sz w:val="24"/>
          <w:szCs w:val="24"/>
        </w:rPr>
        <w:t xml:space="preserve">non entrano nel registro del giudicato</w:t>
      </w:r>
      <w:r>
        <w:rPr>
          <w:rFonts w:ascii="Barlow Semi Condensed" w:cs="Barlow Semi Condensed" w:eastAsia="Barlow Semi Condensed" w:hAnsi="Barlow Semi Condensed"/>
          <w:sz w:val="24"/>
          <w:szCs w:val="24"/>
        </w:rPr>
        <w:t xml:space="preserve">, che è l'unico luogo dei nomi in questo corpus.</w:t>
      </w:r>
    </w:p>
    <w:p>
      <w:pPr>
        <w:pStyle w:val="Heading3"/>
        <w:spacing w:after="80" w:before="160"/>
      </w:pPr>
      <w:r>
        <w:rPr>
          <w:rFonts w:ascii="Barlow Semi Condensed" w:cs="Barlow Semi Condensed" w:eastAsia="Barlow Semi Condensed" w:hAnsi="Barlow Semi Condensed"/>
          <w:sz w:val="24"/>
          <w:szCs w:val="24"/>
        </w:rPr>
        <w:t xml:space="preserve">K-3 · Il verbale del 25 settembre 1974: che cosa contiene, che cosa non contiene</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l'esistenza del memorandum of conversation dello </w:t>
      </w:r>
      <w:r>
        <w:rPr>
          <w:rFonts w:ascii="Barlow Semi Condensed" w:cs="Barlow Semi Condensed" w:eastAsia="Barlow Semi Condensed" w:hAnsi="Barlow Semi Condensed"/>
          <w:b/>
          <w:bCs/>
          <w:sz w:val="24"/>
          <w:szCs w:val="24"/>
        </w:rPr>
        <w:t xml:space="preserve">Studio Ovale, 25 settembre 1974, ore 11.30</w:t>
      </w:r>
      <w:r>
        <w:rPr>
          <w:rFonts w:ascii="Barlow Semi Condensed" w:cs="Barlow Semi Condensed" w:eastAsia="Barlow Semi Condensed" w:hAnsi="Barlow Semi Condensed"/>
          <w:sz w:val="24"/>
          <w:szCs w:val="24"/>
        </w:rPr>
        <w:t xml:space="preserve">, con Giovanni Leone, Aldo Moro, Gerald Ford, Henry Kissinger e Brent Scowcroft: è il documento </w:t>
      </w:r>
      <w:r>
        <w:rPr>
          <w:rFonts w:ascii="Barlow Semi Condensed" w:cs="Barlow Semi Condensed" w:eastAsia="Barlow Semi Condensed" w:hAnsi="Barlow Semi Condensed"/>
          <w:b/>
          <w:bCs/>
          <w:sz w:val="24"/>
          <w:szCs w:val="24"/>
        </w:rPr>
        <w:t xml:space="preserve">350</w:t>
      </w:r>
      <w:r>
        <w:rPr>
          <w:rFonts w:ascii="Barlow Semi Condensed" w:cs="Barlow Semi Condensed" w:eastAsia="Barlow Semi Condensed" w:hAnsi="Barlow Semi Condensed"/>
          <w:sz w:val="24"/>
          <w:szCs w:val="24"/>
        </w:rPr>
        <w:t xml:space="preserve"> del volume FRUS 1969-1976 E-15 parte 2 — nella </w:t>
      </w:r>
      <w:r>
        <w:rPr>
          <w:rFonts w:ascii="Barlow Semi Condensed" w:cs="Barlow Semi Condensed" w:eastAsia="Barlow Semi Condensed" w:hAnsi="Barlow Semi Condensed"/>
          <w:b/>
          <w:bCs/>
          <w:sz w:val="24"/>
          <w:szCs w:val="24"/>
        </w:rPr>
        <w:t xml:space="preserve">seconda edizione riveduta</w:t>
      </w:r>
      <w:r>
        <w:rPr>
          <w:rFonts w:ascii="Barlow Semi Condensed" w:cs="Barlow Semi Condensed" w:eastAsia="Barlow Semi Condensed" w:hAnsi="Barlow Semi Condensed"/>
          <w:sz w:val="24"/>
          <w:szCs w:val="24"/>
        </w:rPr>
        <w:t xml:space="preserve">, precisazione di citazione che va conservata — ed è il file </w:t>
      </w:r>
      <w:r>
        <w:rPr>
          <w:rFonts w:ascii="Barlow Semi Condensed" w:cs="Barlow Semi Condensed" w:eastAsia="Barlow Semi Condensed" w:hAnsi="Barlow Semi Condensed"/>
          <w:b/>
          <w:bCs/>
          <w:sz w:val="24"/>
          <w:szCs w:val="24"/>
        </w:rPr>
        <w:t xml:space="preserve">1552802</w:t>
      </w:r>
      <w:r>
        <w:rPr>
          <w:rFonts w:ascii="Barlow Semi Condensed" w:cs="Barlow Semi Condensed" w:eastAsia="Barlow Semi Condensed" w:hAnsi="Barlow Semi Condensed"/>
          <w:sz w:val="24"/>
          <w:szCs w:val="24"/>
        </w:rPr>
        <w:t xml:space="preserve"> della Gerald R. Ford Presidential Library. </w:t>
      </w: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anche l'esistenza di un </w:t>
      </w:r>
      <w:r>
        <w:rPr>
          <w:rFonts w:ascii="Barlow Semi Condensed" w:cs="Barlow Semi Condensed" w:eastAsia="Barlow Semi Condensed" w:hAnsi="Barlow Semi Condensed"/>
          <w:b/>
          <w:bCs/>
          <w:sz w:val="24"/>
          <w:szCs w:val="24"/>
        </w:rPr>
        <w:t xml:space="preserve">secondo verbale del 26 settembre 1974</w:t>
      </w:r>
      <w:r>
        <w:rPr>
          <w:rFonts w:ascii="Barlow Semi Condensed" w:cs="Barlow Semi Condensed" w:eastAsia="Barlow Semi Condensed" w:hAnsi="Barlow Semi Condensed"/>
          <w:sz w:val="24"/>
          <w:szCs w:val="24"/>
        </w:rPr>
        <w:t xml:space="preserve"> (file 1552806), sui cui contenuti gli estratti reperiti sono parziali e non del tutto concordi.</w:t>
      </w:r>
    </w:p>
    <w:p>
      <w:pPr>
        <w:spacing w:after="120" w:line="276"/>
        <w:jc w:val="both"/>
      </w:pPr>
      <w:r>
        <w:rPr>
          <w:rFonts w:ascii="Barlow Semi Condensed" w:cs="Barlow Semi Condensed" w:eastAsia="Barlow Semi Condensed" w:hAnsi="Barlow Semi Condensed"/>
          <w:b/>
          <w:bCs/>
          <w:sz w:val="24"/>
          <w:szCs w:val="24"/>
        </w:rPr>
        <w:t xml:space="preserve">Che cosa il verbale attesta</w:t>
      </w:r>
      <w:r>
        <w:rPr>
          <w:rFonts w:ascii="Barlow Semi Condensed" w:cs="Barlow Semi Condensed" w:eastAsia="Barlow Semi Condensed" w:hAnsi="Barlow Semi Condensed"/>
          <w:sz w:val="24"/>
          <w:szCs w:val="24"/>
        </w:rPr>
        <w:t xml:space="preserve">: la posizione secondo cui gli Stati Uniti </w:t>
      </w:r>
      <w:r>
        <w:rPr>
          <w:rFonts w:ascii="Barlow Semi Condensed" w:cs="Barlow Semi Condensed" w:eastAsia="Barlow Semi Condensed" w:hAnsi="Barlow Semi Condensed"/>
          <w:b/>
          <w:bCs/>
          <w:sz w:val="24"/>
          <w:szCs w:val="24"/>
        </w:rPr>
        <w:t xml:space="preserve">non potrebbero scambiare informazioni militari</w:t>
      </w:r>
      <w:r>
        <w:rPr>
          <w:rFonts w:ascii="Barlow Semi Condensed" w:cs="Barlow Semi Condensed" w:eastAsia="Barlow Semi Condensed" w:hAnsi="Barlow Semi Condensed"/>
          <w:sz w:val="24"/>
          <w:szCs w:val="24"/>
        </w:rPr>
        <w:t xml:space="preserve"> con un governo che includesse i comunisti, col precedente portoghese richiamato; e il rilievo che un partito comunista «responsabile» sarebbe alla lunga </w:t>
      </w:r>
      <w:r>
        <w:rPr>
          <w:rFonts w:ascii="Barlow Semi Condensed" w:cs="Barlow Semi Condensed" w:eastAsia="Barlow Semi Condensed" w:hAnsi="Barlow Semi Condensed"/>
          <w:b/>
          <w:bCs/>
          <w:sz w:val="24"/>
          <w:szCs w:val="24"/>
        </w:rPr>
        <w:t xml:space="preserve">più pericoloso</w:t>
      </w:r>
      <w:r>
        <w:rPr>
          <w:rFonts w:ascii="Barlow Semi Condensed" w:cs="Barlow Semi Condensed" w:eastAsia="Barlow Semi Condensed" w:hAnsi="Barlow Semi Condensed"/>
          <w:sz w:val="24"/>
          <w:szCs w:val="24"/>
        </w:rPr>
        <w:t xml:space="preserve"> di uno irresponsabile. È materia di politica dichiarata, ed è documentata.</w:t>
      </w:r>
    </w:p>
    <w:p>
      <w:pPr>
        <w:spacing w:after="120" w:line="276"/>
        <w:jc w:val="both"/>
      </w:pPr>
      <w:r>
        <w:rPr>
          <w:rFonts w:ascii="Barlow Semi Condensed" w:cs="Barlow Semi Condensed" w:eastAsia="Barlow Semi Condensed" w:hAnsi="Barlow Semi Condensed"/>
          <w:b/>
          <w:bCs/>
          <w:sz w:val="24"/>
          <w:szCs w:val="24"/>
        </w:rPr>
        <w:t xml:space="preserve">Che cosa il verbale non contiene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alcun ultimatum personale ad Aldo Moro</w:t>
      </w:r>
      <w:r>
        <w:rPr>
          <w:rFonts w:ascii="Barlow Semi Condensed" w:cs="Barlow Semi Condensed" w:eastAsia="Barlow Semi Condensed" w:hAnsi="Barlow Semi Condensed"/>
          <w:sz w:val="24"/>
          <w:szCs w:val="24"/>
        </w:rPr>
        <w:t xml:space="preserve">. La verifica lo accerta contro una circolazione pubblica che presenta abitualmente quel documento come la prova della frase. Va aggiunta, per correttezza piena, l'osservazione che rende il punto non risolutivo: secondo la testimonianza, la frase sarebbe stata pronunciata </w:t>
      </w:r>
      <w:r>
        <w:rPr>
          <w:rFonts w:ascii="Barlow Semi Condensed" w:cs="Barlow Semi Condensed" w:eastAsia="Barlow Semi Condensed" w:hAnsi="Barlow Semi Condensed"/>
          <w:b/>
          <w:bCs/>
          <w:sz w:val="24"/>
          <w:szCs w:val="24"/>
        </w:rPr>
        <w:t xml:space="preserve">a margine</w:t>
      </w:r>
      <w:r>
        <w:rPr>
          <w:rFonts w:ascii="Barlow Semi Condensed" w:cs="Barlow Semi Condensed" w:eastAsia="Barlow Semi Condensed" w:hAnsi="Barlow Semi Condensed"/>
          <w:sz w:val="24"/>
          <w:szCs w:val="24"/>
        </w:rPr>
        <w:t xml:space="preserve">, in colloquio riservato o a cena; </w:t>
      </w:r>
      <w:r>
        <w:rPr>
          <w:rFonts w:ascii="Barlow Semi Condensed" w:cs="Barlow Semi Condensed" w:eastAsia="Barlow Semi Condensed" w:hAnsi="Barlow Semi Condensed"/>
          <w:b/>
          <w:bCs/>
          <w:sz w:val="24"/>
          <w:szCs w:val="24"/>
        </w:rPr>
        <w:t xml:space="preserve">l'assenza dal verbale non prova dunque né la falsità né la verità dell'episodio</w:t>
      </w:r>
      <w:r>
        <w:rPr>
          <w:rFonts w:ascii="Barlow Semi Condensed" w:cs="Barlow Semi Condensed" w:eastAsia="Barlow Semi Condensed" w:hAnsi="Barlow Semi Condensed"/>
          <w:sz w:val="24"/>
          <w:szCs w:val="24"/>
        </w:rPr>
        <w:t xml:space="preserve"> — indebolisce soltanto, e in modo netto, la versione che lo colloca nell'incontro ufficiale.</w:t>
      </w:r>
    </w:p>
    <w:p>
      <w:pPr>
        <w:spacing w:after="120" w:line="276"/>
        <w:jc w:val="both"/>
      </w:pPr>
      <w:r>
        <w:rPr>
          <w:rFonts w:ascii="Barlow Semi Condensed" w:cs="Barlow Semi Condensed" w:eastAsia="Barlow Semi Condensed" w:hAnsi="Barlow Semi Condensed"/>
          <w:b/>
          <w:bCs/>
          <w:sz w:val="24"/>
          <w:szCs w:val="24"/>
        </w:rPr>
        <w:t xml:space="preserve">Divergenza sulle date della visita</w:t>
      </w:r>
      <w:r>
        <w:rPr>
          <w:rFonts w:ascii="Barlow Semi Condensed" w:cs="Barlow Semi Condensed" w:eastAsia="Barlow Semi Condensed" w:hAnsi="Barlow Semi Condensed"/>
          <w:sz w:val="24"/>
          <w:szCs w:val="24"/>
        </w:rPr>
        <w:t xml:space="preserve">, da riportare: il comunicato congiunto pubblicato negli atti presidenziali parla di visita di Stato </w:t>
      </w:r>
      <w:r>
        <w:rPr>
          <w:rFonts w:ascii="Barlow Semi Condensed" w:cs="Barlow Semi Condensed" w:eastAsia="Barlow Semi Condensed" w:hAnsi="Barlow Semi Condensed"/>
          <w:b/>
          <w:bCs/>
          <w:sz w:val="24"/>
          <w:szCs w:val="24"/>
        </w:rPr>
        <w:t xml:space="preserve">dal 25 al 29 settembre 1974</w:t>
      </w:r>
      <w:r>
        <w:rPr>
          <w:rFonts w:ascii="Barlow Semi Condensed" w:cs="Barlow Semi Condensed" w:eastAsia="Barlow Semi Condensed" w:hAnsi="Barlow Semi Condensed"/>
          <w:sz w:val="24"/>
          <w:szCs w:val="24"/>
        </w:rPr>
        <w:t xml:space="preserve">; la nota editoriale del volume FRUS indica </w:t>
      </w:r>
      <w:r>
        <w:rPr>
          <w:rFonts w:ascii="Barlow Semi Condensed" w:cs="Barlow Semi Condensed" w:eastAsia="Barlow Semi Condensed" w:hAnsi="Barlow Semi Condensed"/>
          <w:b/>
          <w:bCs/>
          <w:sz w:val="24"/>
          <w:szCs w:val="24"/>
        </w:rPr>
        <w:t xml:space="preserve">dal 25 al 27</w:t>
      </w:r>
      <w:r>
        <w:rPr>
          <w:rFonts w:ascii="Barlow Semi Condensed" w:cs="Barlow Semi Condensed" w:eastAsia="Barlow Semi Condensed" w:hAnsi="Barlow Semi Condensed"/>
          <w:sz w:val="24"/>
          <w:szCs w:val="24"/>
        </w:rPr>
        <w:t xml:space="preserve">.</w:t>
      </w:r>
    </w:p>
    <w:p>
      <w:pPr>
        <w:pStyle w:val="Heading3"/>
        <w:spacing w:after="80" w:before="160"/>
      </w:pPr>
      <w:r>
        <w:rPr>
          <w:rFonts w:ascii="Barlow Semi Condensed" w:cs="Barlow Semi Condensed" w:eastAsia="Barlow Semi Condensed" w:hAnsi="Barlow Semi Condensed"/>
          <w:sz w:val="24"/>
          <w:szCs w:val="24"/>
        </w:rPr>
        <w:t xml:space="preserve">K-4 · L'avvertimento: sette precisazioni che il corpus non aveva</w:t>
      </w:r>
    </w:p>
    <w:p>
      <w:pPr>
        <w:spacing w:after="120" w:line="276"/>
        <w:jc w:val="both"/>
      </w:pPr>
      <w:r>
        <w:rPr>
          <w:rFonts w:ascii="Barlow Semi Condensed" w:cs="Barlow Semi Condensed" w:eastAsia="Barlow Semi Condensed" w:hAnsi="Barlow Semi Condensed"/>
          <w:sz w:val="24"/>
          <w:szCs w:val="24"/>
        </w:rPr>
        <w:t xml:space="preserve">È la parte che modifica di più ciò che il corpus registrava, e ciascuna precisazione va detta per intero.</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Il portavoce di Moro che riferì l'episodio depose come teste davanti alla Corte d'assise di Roma nel </w:t>
      </w:r>
      <w:r>
        <w:rPr>
          <w:rFonts w:ascii="Barlow Semi Condensed" w:cs="Barlow Semi Condensed" w:eastAsia="Barlow Semi Condensed" w:hAnsi="Barlow Semi Condensed"/>
          <w:b/>
          <w:bCs/>
          <w:sz w:val="24"/>
          <w:szCs w:val="24"/>
        </w:rPr>
        <w:t xml:space="preserve">novembre 1982</w:t>
      </w:r>
      <w:r>
        <w:rPr>
          <w:rFonts w:ascii="Barlow Semi Condensed" w:cs="Barlow Semi Condensed" w:eastAsia="Barlow Semi Condensed" w:hAnsi="Barlow Semi Condensed"/>
          <w:sz w:val="24"/>
          <w:szCs w:val="24"/>
        </w:rPr>
        <w:t xml:space="preserve"> (il 10 secondo la datazione più ricorrente; una fonte indica il 15, divergenza non risolta) — ma </w:t>
      </w:r>
      <w:r>
        <w:rPr>
          <w:rFonts w:ascii="Barlow Semi Condensed" w:cs="Barlow Semi Condensed" w:eastAsia="Barlow Semi Condensed" w:hAnsi="Barlow Semi Condensed"/>
          <w:b/>
          <w:bCs/>
          <w:sz w:val="24"/>
          <w:szCs w:val="24"/>
        </w:rPr>
        <w:t xml:space="preserve">non assistette al colloquio</w:t>
      </w:r>
      <w:r>
        <w:rPr>
          <w:rFonts w:ascii="Barlow Semi Condensed" w:cs="Barlow Semi Condensed" w:eastAsia="Barlow Semi Condensed" w:hAnsi="Barlow Semi Condensed"/>
          <w:sz w:val="24"/>
          <w:szCs w:val="24"/>
        </w:rPr>
        <w:t xml:space="preserve">: riferì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avendo appreso il fatto da Moro e dall'entourage. È il dato che le riprese giornalistiche omettono più spesso, e cambia lo statuto della testimonianza.</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In aula la vedova parlò di </w:t>
      </w:r>
      <w:r>
        <w:rPr>
          <w:rFonts w:ascii="Barlow Semi Condensed" w:cs="Barlow Semi Condensed" w:eastAsia="Barlow Semi Condensed" w:hAnsi="Barlow Semi Condensed"/>
          <w:b/>
          <w:bCs/>
          <w:sz w:val="24"/>
          <w:szCs w:val="24"/>
        </w:rPr>
        <w:t xml:space="preserve">«un'alta personalità» senza fare il nome</w:t>
      </w:r>
      <w:r>
        <w:rPr>
          <w:rFonts w:ascii="Barlow Semi Condensed" w:cs="Barlow Semi Condensed" w:eastAsia="Barlow Semi Condensed" w:hAnsi="Barlow Semi Condensed"/>
          <w:sz w:val="24"/>
          <w:szCs w:val="24"/>
        </w:rPr>
        <w:t xml:space="preserve">; fu il presidente della corte, richiamando il portavoce, a ottenere l'indicazione di Kissinger. </w:t>
      </w:r>
      <w:r>
        <w:rPr>
          <w:rFonts w:ascii="Barlow Semi Condensed" w:cs="Barlow Semi Condensed" w:eastAsia="Barlow Semi Condensed" w:hAnsi="Barlow Semi Condensed"/>
          <w:b/>
          <w:bCs/>
          <w:sz w:val="24"/>
          <w:szCs w:val="24"/>
        </w:rPr>
        <w:t xml:space="preserve">L'attribuzione del nome è dunque essa stessa indiretta.</w:t>
      </w:r>
    </w:p>
    <w:p>
      <w:pPr>
        <w:spacing w:after="120" w:line="276"/>
        <w:jc w:val="both"/>
      </w:pPr>
      <w:r>
        <w:rPr>
          <w:rFonts w:ascii="Barlow Semi Condensed" w:cs="Barlow Semi Condensed" w:eastAsia="Barlow Semi Condensed" w:hAnsi="Barlow Semi Condensed"/>
          <w:b/>
          <w:bCs/>
          <w:sz w:val="24"/>
          <w:szCs w:val="24"/>
        </w:rPr>
        <w:t xml:space="preserve">Terza, e la più pesante.</w:t>
      </w:r>
      <w:r>
        <w:rPr>
          <w:rFonts w:ascii="Barlow Semi Condensed" w:cs="Barlow Semi Condensed" w:eastAsia="Barlow Semi Condensed" w:hAnsi="Barlow Semi Condensed"/>
          <w:sz w:val="24"/>
          <w:szCs w:val="24"/>
        </w:rPr>
        <w:t xml:space="preserve"> La </w:t>
      </w:r>
      <w:r>
        <w:rPr>
          <w:rFonts w:ascii="Barlow Semi Condensed" w:cs="Barlow Semi Condensed" w:eastAsia="Barlow Semi Condensed" w:hAnsi="Barlow Semi Condensed"/>
          <w:b/>
          <w:bCs/>
          <w:sz w:val="24"/>
          <w:szCs w:val="24"/>
        </w:rPr>
        <w:t xml:space="preserve">collocazione dell'episodio diverge in modo non marginale</w:t>
      </w:r>
      <w:r>
        <w:rPr>
          <w:rFonts w:ascii="Barlow Semi Condensed" w:cs="Barlow Semi Condensed" w:eastAsia="Barlow Semi Condensed" w:hAnsi="Barlow Semi Condensed"/>
          <w:sz w:val="24"/>
          <w:szCs w:val="24"/>
        </w:rPr>
        <w:t xml:space="preserve">. La versione italiana prevalente lo pone al 25 settembre 1974; una fonte d'agenzia statunitense coeva (aprile 1983) riferisce invece che i magistrati che indagavano volevano interrogare Kissinger su un </w:t>
      </w:r>
      <w:r>
        <w:rPr>
          <w:rFonts w:ascii="Barlow Semi Condensed" w:cs="Barlow Semi Condensed" w:eastAsia="Barlow Semi Condensed" w:hAnsi="Barlow Semi Condensed"/>
          <w:b/>
          <w:bCs/>
          <w:sz w:val="24"/>
          <w:szCs w:val="24"/>
        </w:rPr>
        <w:t xml:space="preserve">acceso alterco avvenuto all'ambasciata d'Italia a Washington nel 1977</w:t>
      </w:r>
      <w:r>
        <w:rPr>
          <w:rFonts w:ascii="Barlow Semi Condensed" w:cs="Barlow Semi Condensed" w:eastAsia="Barlow Semi Condensed" w:hAnsi="Barlow Semi Condensed"/>
          <w:sz w:val="24"/>
          <w:szCs w:val="24"/>
        </w:rPr>
        <w:t xml:space="preserve">; altre sintesi indicano il 1976. Divergono anche i luoghi: Studio Ovale, Dipartimento di Stato, cena ufficiale, ambasciata italiana. </w:t>
      </w:r>
      <w:r>
        <w:rPr>
          <w:rFonts w:ascii="Barlow Semi Condensed" w:cs="Barlow Semi Condensed" w:eastAsia="Barlow Semi Condensed" w:hAnsi="Barlow Semi Condensed"/>
          <w:b/>
          <w:bCs/>
          <w:sz w:val="24"/>
          <w:szCs w:val="24"/>
        </w:rPr>
        <w:t xml:space="preserve">Nel 1977 Kissinger non era più Segretario di Stato</w:t>
      </w:r>
      <w:r>
        <w:rPr>
          <w:rFonts w:ascii="Barlow Semi Condensed" w:cs="Barlow Semi Condensed" w:eastAsia="Barlow Semi Condensed" w:hAnsi="Barlow Semi Condensed"/>
          <w:sz w:val="24"/>
          <w:szCs w:val="24"/>
        </w:rPr>
        <w:t xml:space="preserve">: la differenza non è di dettaglio, ed è dirimente per chi voglia legare l'episodio a una carica.</w:t>
      </w:r>
    </w:p>
    <w:p>
      <w:pPr>
        <w:spacing w:after="120" w:line="276"/>
        <w:jc w:val="both"/>
      </w:pPr>
      <w:r>
        <w:rPr>
          <w:rFonts w:ascii="Barlow Semi Condensed" w:cs="Barlow Semi Condensed" w:eastAsia="Barlow Semi Condensed" w:hAnsi="Barlow Semi Condensed"/>
          <w:b/>
          <w:bCs/>
          <w:sz w:val="24"/>
          <w:szCs w:val="24"/>
        </w:rPr>
        <w:t xml:space="preserve">Quarta.</w:t>
      </w:r>
      <w:r>
        <w:rPr>
          <w:rFonts w:ascii="Barlow Semi Condensed" w:cs="Barlow Semi Condensed" w:eastAsia="Barlow Semi Condensed" w:hAnsi="Barlow Semi Condensed"/>
          <w:sz w:val="24"/>
          <w:szCs w:val="24"/>
        </w:rPr>
        <w:t xml:space="preserve"> La sede parlamentare della vedova è confermata — la Commissione d'inchiesta sul caso Moro, </w:t>
      </w:r>
      <w:r>
        <w:rPr>
          <w:rFonts w:ascii="Barlow Semi Condensed" w:cs="Barlow Semi Condensed" w:eastAsia="Barlow Semi Condensed" w:hAnsi="Barlow Semi Condensed"/>
          <w:b/>
          <w:bCs/>
          <w:sz w:val="24"/>
          <w:szCs w:val="24"/>
        </w:rPr>
        <w:t xml:space="preserve">1° agosto 1980</w:t>
      </w:r>
      <w:r>
        <w:rPr>
          <w:rFonts w:ascii="Barlow Semi Condensed" w:cs="Barlow Semi Condensed" w:eastAsia="Barlow Semi Condensed" w:hAnsi="Barlow Semi Condensed"/>
          <w:sz w:val="24"/>
          <w:szCs w:val="24"/>
        </w:rPr>
        <w:t xml:space="preserve"> (una fonte indica l'11, verosimilmente per lettura errata di «1°») — ma </w:t>
      </w:r>
      <w:r>
        <w:rPr>
          <w:rFonts w:ascii="Barlow Semi Condensed" w:cs="Barlow Semi Condensed" w:eastAsia="Barlow Semi Condensed" w:hAnsi="Barlow Semi Condensed"/>
          <w:b/>
          <w:bCs/>
          <w:sz w:val="24"/>
          <w:szCs w:val="24"/>
        </w:rPr>
        <w:t xml:space="preserve">il contenuto verbatim della frase in quella sede resta da riscontrare</w:t>
      </w:r>
      <w:r>
        <w:rPr>
          <w:rFonts w:ascii="Barlow Semi Condensed" w:cs="Barlow Semi Condensed" w:eastAsia="Barlow Semi Condensed" w:hAnsi="Barlow Semi Condensed"/>
          <w:sz w:val="24"/>
          <w:szCs w:val="24"/>
        </w:rPr>
        <w:t xml:space="preserve">: le sintesi attribuiscono la frase alla deposizione giudiziaria del 1982, mentre dell'audizione del 1980 riportano soprattutto il riferimento a minacce risalenti al 1975 e crescenti. </w:t>
      </w:r>
      <w:r>
        <w:rPr>
          <w:rFonts w:ascii="Barlow Semi Condensed" w:cs="Barlow Semi Condensed" w:eastAsia="Barlow Semi Condensed" w:hAnsi="Barlow Semi Condensed"/>
          <w:b/>
          <w:bCs/>
          <w:sz w:val="24"/>
          <w:szCs w:val="24"/>
        </w:rPr>
        <w:t xml:space="preserve">Sede confermata, contenuto da verificare</w:t>
      </w:r>
      <w:r>
        <w:rPr>
          <w:rFonts w:ascii="Barlow Semi Condensed" w:cs="Barlow Semi Condensed" w:eastAsia="Barlow Semi Condensed" w:hAnsi="Barlow Semi Condensed"/>
          <w:sz w:val="24"/>
          <w:szCs w:val="24"/>
        </w:rPr>
        <w:t xml:space="preserve">: i due piani vanno tenuti distinti.</w:t>
      </w:r>
    </w:p>
    <w:p>
      <w:pPr>
        <w:spacing w:after="120" w:line="276"/>
        <w:jc w:val="both"/>
      </w:pPr>
      <w:r>
        <w:rPr>
          <w:rFonts w:ascii="Barlow Semi Condensed" w:cs="Barlow Semi Condensed" w:eastAsia="Barlow Semi Condensed" w:hAnsi="Barlow Semi Condensed"/>
          <w:b/>
          <w:bCs/>
          <w:sz w:val="24"/>
          <w:szCs w:val="24"/>
        </w:rPr>
        <w:t xml:space="preserve">Quinta, ed è la correzione che il corpus deve recepire.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smentita esiste ed è documentata.</w:t>
      </w:r>
      <w:r>
        <w:rPr>
          <w:rFonts w:ascii="Barlow Semi Condensed" w:cs="Barlow Semi Condensed" w:eastAsia="Barlow Semi Condensed" w:hAnsi="Barlow Semi Condensed"/>
          <w:sz w:val="24"/>
          <w:szCs w:val="24"/>
        </w:rPr>
        <w:t xml:space="preserve"> In forma diretta e circostanziata: interrogato da un giornalista poco prima della morte, Kissinger rispose seccamente di non aver </w:t>
      </w:r>
      <w:r>
        <w:rPr>
          <w:rFonts w:ascii="Barlow Semi Condensed" w:cs="Barlow Semi Condensed" w:eastAsia="Barlow Semi Condensed" w:hAnsi="Barlow Semi Condensed"/>
          <w:b/>
          <w:bCs/>
          <w:sz w:val="24"/>
          <w:szCs w:val="24"/>
        </w:rPr>
        <w:t xml:space="preserve">«mai detto una cosa simile»</w:t>
      </w:r>
      <w:r>
        <w:rPr>
          <w:rFonts w:ascii="Barlow Semi Condensed" w:cs="Barlow Semi Condensed" w:eastAsia="Barlow Semi Condensed" w:hAnsi="Barlow Semi Condensed"/>
          <w:sz w:val="24"/>
          <w:szCs w:val="24"/>
        </w:rPr>
        <w:t xml:space="preserve">, chiedendo incredulo se in Italia si pensasse davvero questo di lui — è testimonianza giornalistica di un solo interlocutore, non un comunicato. In forma anteriore e generica: già nel 1983 l'agenzia statunitense scriveva che egli ammetteva la propria contrarietà all'ingresso dei comunisti al governo ma </w:t>
      </w:r>
      <w:r>
        <w:rPr>
          <w:rFonts w:ascii="Barlow Semi Condensed" w:cs="Barlow Semi Condensed" w:eastAsia="Barlow Semi Condensed" w:hAnsi="Barlow Semi Condensed"/>
          <w:b/>
          <w:bCs/>
          <w:sz w:val="24"/>
          <w:szCs w:val="24"/>
        </w:rPr>
        <w:t xml:space="preserve">aveva smentito più volte</w:t>
      </w:r>
      <w:r>
        <w:rPr>
          <w:rFonts w:ascii="Barlow Semi Condensed" w:cs="Barlow Semi Condensed" w:eastAsia="Barlow Semi Condensed" w:hAnsi="Barlow Semi Condensed"/>
          <w:sz w:val="24"/>
          <w:szCs w:val="24"/>
        </w:rPr>
        <w:t xml:space="preserve"> di aver rimproverato Moro. </w:t>
      </w:r>
      <w:r>
        <w:rPr>
          <w:rFonts w:ascii="Barlow Semi Condensed" w:cs="Barlow Semi Condensed" w:eastAsia="Barlow Semi Condensed" w:hAnsi="Barlow Semi Condensed"/>
          <w:b/>
          <w:bCs/>
          <w:sz w:val="24"/>
          <w:szCs w:val="24"/>
        </w:rPr>
        <w:t xml:space="preserve">Non è stata reperita</w:t>
      </w:r>
      <w:r>
        <w:rPr>
          <w:rFonts w:ascii="Barlow Semi Condensed" w:cs="Barlow Semi Condensed" w:eastAsia="Barlow Semi Condensed" w:hAnsi="Barlow Semi Condensed"/>
          <w:sz w:val="24"/>
          <w:szCs w:val="24"/>
        </w:rPr>
        <w:t xml:space="preserve"> alcuna smentita formale di un portavoce personale sul merito. </w:t>
      </w:r>
      <w:r>
        <w:rPr>
          <w:rFonts w:ascii="Barlow Semi Condensed" w:cs="Barlow Semi Condensed" w:eastAsia="Barlow Semi Condensed" w:hAnsi="Barlow Semi Condensed"/>
          <w:b/>
          <w:bCs/>
          <w:sz w:val="24"/>
          <w:szCs w:val="24"/>
        </w:rPr>
        <w:t xml:space="preserve">Kissinger non fu mai sentito dai magistrati italiani</w:t>
      </w:r>
      <w:r>
        <w:rPr>
          <w:rFonts w:ascii="Barlow Semi Condensed" w:cs="Barlow Semi Condensed" w:eastAsia="Barlow Semi Condensed" w:hAnsi="Barlow Semi Condensed"/>
          <w:sz w:val="24"/>
          <w:szCs w:val="24"/>
        </w:rPr>
        <w:t xml:space="preserve">: la richiesta informale del 1983 non ebbe seguito.</w:t>
      </w:r>
    </w:p>
    <w:p>
      <w:pPr>
        <w:spacing w:after="120" w:line="276"/>
        <w:jc w:val="both"/>
      </w:pPr>
      <w:r>
        <w:rPr>
          <w:rFonts w:ascii="Barlow Semi Condensed" w:cs="Barlow Semi Condensed" w:eastAsia="Barlow Semi Condensed" w:hAnsi="Barlow Semi Condensed"/>
          <w:b/>
          <w:bCs/>
          <w:sz w:val="24"/>
          <w:szCs w:val="24"/>
        </w:rPr>
        <w:t xml:space="preserve">Sesta.</w:t>
      </w:r>
      <w:r>
        <w:rPr>
          <w:rFonts w:ascii="Barlow Semi Condensed" w:cs="Barlow Semi Condensed" w:eastAsia="Barlow Semi Condensed" w:hAnsi="Barlow Semi Condensed"/>
          <w:sz w:val="24"/>
          <w:szCs w:val="24"/>
        </w:rPr>
        <w:t xml:space="preserve"> Due testimoni italiani qualificati hanno negato la minaccia pur ammettendo la durezza del confronto. Uno la definì </w:t>
      </w:r>
      <w:r>
        <w:rPr>
          <w:rFonts w:ascii="Barlow Semi Condensed" w:cs="Barlow Semi Condensed" w:eastAsia="Barlow Semi Condensed" w:hAnsi="Barlow Semi Condensed"/>
          <w:b/>
          <w:bCs/>
          <w:sz w:val="24"/>
          <w:szCs w:val="24"/>
        </w:rPr>
        <w:t xml:space="preserve">«una leggenda che non ha fondamento»</w:t>
      </w:r>
      <w:r>
        <w:rPr>
          <w:rFonts w:ascii="Barlow Semi Condensed" w:cs="Barlow Semi Condensed" w:eastAsia="Barlow Semi Condensed" w:hAnsi="Barlow Semi Condensed"/>
          <w:sz w:val="24"/>
          <w:szCs w:val="24"/>
        </w:rPr>
        <w:t xml:space="preserve">, dicendo di averlo verificato allora con l'interprete perché </w:t>
      </w:r>
      <w:r>
        <w:rPr>
          <w:rFonts w:ascii="Barlow Semi Condensed" w:cs="Barlow Semi Condensed" w:eastAsia="Barlow Semi Condensed" w:hAnsi="Barlow Semi Condensed"/>
          <w:b/>
          <w:bCs/>
          <w:sz w:val="24"/>
          <w:szCs w:val="24"/>
        </w:rPr>
        <w:t xml:space="preserve">Moro non parlava inglese</w:t>
      </w:r>
      <w:r>
        <w:rPr>
          <w:rFonts w:ascii="Barlow Semi Condensed" w:cs="Barlow Semi Condensed" w:eastAsia="Barlow Semi Condensed" w:hAnsi="Barlow Semi Condensed"/>
          <w:sz w:val="24"/>
          <w:szCs w:val="24"/>
        </w:rPr>
        <w:t xml:space="preserve"> — dato che tocca la plausibilità materiale di uno scambio verbale diretto; lo stesso testimone, altrove, descrisse però un colloquio politicamente durissimo, distinguendo </w:t>
      </w:r>
      <w:r>
        <w:rPr>
          <w:rFonts w:ascii="Barlow Semi Condensed" w:cs="Barlow Semi Condensed" w:eastAsia="Barlow Semi Condensed" w:hAnsi="Barlow Semi Condensed"/>
          <w:b/>
          <w:bCs/>
          <w:sz w:val="24"/>
          <w:szCs w:val="24"/>
        </w:rPr>
        <w:t xml:space="preserve">il rimprovero aspro dalla minaccia</w:t>
      </w:r>
      <w:r>
        <w:rPr>
          <w:rFonts w:ascii="Barlow Semi Condensed" w:cs="Barlow Semi Condensed" w:eastAsia="Barlow Semi Condensed" w:hAnsi="Barlow Semi Condensed"/>
          <w:sz w:val="24"/>
          <w:szCs w:val="24"/>
        </w:rPr>
        <w:t xml:space="preserve">. Un altro parlò di </w:t>
      </w:r>
      <w:r>
        <w:rPr>
          <w:rFonts w:ascii="Barlow Semi Condensed" w:cs="Barlow Semi Condensed" w:eastAsia="Barlow Semi Condensed" w:hAnsi="Barlow Semi Condensed"/>
          <w:b/>
          <w:bCs/>
          <w:sz w:val="24"/>
          <w:szCs w:val="24"/>
        </w:rPr>
        <w:t xml:space="preserve">«solo un problema di linguaggio»</w:t>
      </w:r>
      <w:r>
        <w:rPr>
          <w:rFonts w:ascii="Barlow Semi Condensed" w:cs="Barlow Semi Condensed" w:eastAsia="Barlow Semi Condensed" w:hAnsi="Barlow Semi Condensed"/>
          <w:sz w:val="24"/>
          <w:szCs w:val="24"/>
        </w:rPr>
        <w:t xml:space="preserve">. Nessuna di queste smentite proviene da un presente al colloquio riservato: valgono quanto valgono, e si riportano tutte.</w:t>
      </w:r>
    </w:p>
    <w:p>
      <w:pPr>
        <w:spacing w:after="120" w:line="276"/>
        <w:jc w:val="both"/>
      </w:pPr>
      <w:r>
        <w:rPr>
          <w:rFonts w:ascii="Barlow Semi Condensed" w:cs="Barlow Semi Condensed" w:eastAsia="Barlow Semi Condensed" w:hAnsi="Barlow Semi Condensed"/>
          <w:b/>
          <w:bCs/>
          <w:sz w:val="24"/>
          <w:szCs w:val="24"/>
        </w:rPr>
        <w:t xml:space="preserve">Settima, ed è metodologicamente la più importante.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La moltiplicazione delle fonti è apparente.</w:t>
      </w:r>
      <w:r>
        <w:rPr>
          <w:rFonts w:ascii="Barlow Semi Condensed" w:cs="Barlow Semi Condensed" w:eastAsia="Barlow Semi Condensed" w:hAnsi="Barlow Semi Condensed"/>
          <w:sz w:val="24"/>
          <w:szCs w:val="24"/>
        </w:rPr>
        <w:t xml:space="preserve"> Le decine di siti che riportano la frase in forma pressoché identica risalgono a </w:t>
      </w:r>
      <w:r>
        <w:rPr>
          <w:rFonts w:ascii="Barlow Semi Condensed" w:cs="Barlow Semi Condensed" w:eastAsia="Barlow Semi Condensed" w:hAnsi="Barlow Semi Condensed"/>
          <w:b/>
          <w:bCs/>
          <w:sz w:val="24"/>
          <w:szCs w:val="24"/>
        </w:rPr>
        <w:t xml:space="preserve">un unico lancio d'agenzia</w:t>
      </w:r>
      <w:r>
        <w:rPr>
          <w:rFonts w:ascii="Barlow Semi Condensed" w:cs="Barlow Semi Condensed" w:eastAsia="Barlow Semi Condensed" w:hAnsi="Barlow Semi Condensed"/>
          <w:sz w:val="24"/>
          <w:szCs w:val="24"/>
        </w:rPr>
        <w:t xml:space="preserve"> del 30 novembre 2023; sul piano internazionale la vicenda fu rilanciata già nel 1982 da una pubblicazione di orientamento apertamente cospirazionista, citabile come dato di circolazione e non come riscontro. </w:t>
      </w:r>
      <w:r>
        <w:rPr>
          <w:rFonts w:ascii="Barlow Semi Condensed" w:cs="Barlow Semi Condensed" w:eastAsia="Barlow Semi Condensed" w:hAnsi="Barlow Semi Condensed"/>
          <w:b/>
          <w:bCs/>
          <w:sz w:val="24"/>
          <w:szCs w:val="24"/>
        </w:rPr>
        <w:t xml:space="preserve">Il numero delle ripetizioni non aggiunge valore probatorio</w:t>
      </w:r>
      <w:r>
        <w:rPr>
          <w:rFonts w:ascii="Barlow Semi Condensed" w:cs="Barlow Semi Condensed" w:eastAsia="Barlow Semi Condensed" w:hAnsi="Barlow Semi Condensed"/>
          <w:sz w:val="24"/>
          <w:szCs w:val="24"/>
        </w:rPr>
        <w:t xml:space="preserve">: è replicazione senza informazione nuova — e la lente di quest'opera ha qui il suo esempio più esatto, perché in genetica la copia fedele di una sequenza non crea alcun carattere nuovo, per quante volte la si esegua.</w:t>
      </w:r>
    </w:p>
    <w:p>
      <w:pPr>
        <w:spacing w:after="120" w:line="276"/>
        <w:jc w:val="both"/>
      </w:pPr>
      <w:r>
        <w:rPr>
          <w:rFonts w:ascii="Barlow Semi Condensed" w:cs="Barlow Semi Condensed" w:eastAsia="Barlow Semi Condensed" w:hAnsi="Barlow Semi Condensed"/>
          <w:b/>
          <w:bCs/>
          <w:sz w:val="24"/>
          <w:szCs w:val="24"/>
        </w:rPr>
        <w:t xml:space="preserve">Lo stato storiografico</w:t>
      </w:r>
      <w:r>
        <w:rPr>
          <w:rFonts w:ascii="Barlow Semi Condensed" w:cs="Barlow Semi Condensed" w:eastAsia="Barlow Semi Condensed" w:hAnsi="Barlow Semi Condensed"/>
          <w:sz w:val="24"/>
          <w:szCs w:val="24"/>
        </w:rPr>
        <w:t xml:space="preserve">, infine, è concorde nel senso della </w:t>
      </w:r>
      <w:r>
        <w:rPr>
          <w:rFonts w:ascii="Barlow Semi Condensed" w:cs="Barlow Semi Condensed" w:eastAsia="Barlow Semi Condensed" w:hAnsi="Barlow Semi Condensed"/>
          <w:b/>
          <w:bCs/>
          <w:sz w:val="24"/>
          <w:szCs w:val="24"/>
        </w:rPr>
        <w:t xml:space="preserve">contesa</w:t>
      </w:r>
      <w:r>
        <w:rPr>
          <w:rFonts w:ascii="Barlow Semi Condensed" w:cs="Barlow Semi Condensed" w:eastAsia="Barlow Semi Condensed" w:hAnsi="Barlow Semi Condensed"/>
          <w:sz w:val="24"/>
          <w:szCs w:val="24"/>
        </w:rPr>
        <w:t xml:space="preserve">: nessun documento noto attesta la frase, la base è testimoniale,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e resa anni dopo; la storiografia critica osserva che a decenni di distanza non sono emersi documenti né testimonianze di persone coinvolte a sostegno dell'ipotesi di una regia internazionale del sequestro, e distingue l'ostilità politica pregiudiziale — documentata — dall'accreditamento della minaccia come fatto. </w:t>
      </w:r>
      <w:r>
        <w:rPr>
          <w:rFonts w:ascii="Barlow Semi Condensed" w:cs="Barlow Semi Condensed" w:eastAsia="Barlow Semi Condensed" w:hAnsi="Barlow Semi Condensed"/>
          <w:b/>
          <w:bCs/>
          <w:sz w:val="24"/>
          <w:szCs w:val="24"/>
        </w:rPr>
        <w:t xml:space="preserve">E nessuna sentenza definitiva ha attribuito ad alcuna autorità statunitense responsabilità penali nel sequestro e nell'omicidio</w:t>
      </w:r>
      <w:r>
        <w:rPr>
          <w:rFonts w:ascii="Barlow Semi Condensed" w:cs="Barlow Semi Condensed" w:eastAsia="Barlow Semi Condensed" w:hAnsi="Barlow Semi Condensed"/>
          <w:sz w:val="24"/>
          <w:szCs w:val="24"/>
        </w:rPr>
        <w:t xml:space="preserve">: le condanne definitive riguardano esponenti delle Brigate Rosse. L'episodio non ha mai formato oggetto d'imputazione.</w:t>
      </w:r>
    </w:p>
    <w:p>
      <w:pPr>
        <w:pStyle w:val="Heading3"/>
        <w:spacing w:after="80" w:before="160"/>
      </w:pPr>
      <w:r>
        <w:rPr>
          <w:rFonts w:ascii="Barlow Semi Condensed" w:cs="Barlow Semi Condensed" w:eastAsia="Barlow Semi Condensed" w:hAnsi="Barlow Semi Condensed"/>
          <w:sz w:val="24"/>
          <w:szCs w:val="24"/>
        </w:rPr>
        <w:t xml:space="preserve">K-5 · Il limite dichiarato di questa campagna</w:t>
      </w:r>
    </w:p>
    <w:p>
      <w:pPr>
        <w:spacing w:after="120" w:line="276"/>
        <w:jc w:val="both"/>
      </w:pPr>
      <w:r>
        <w:rPr>
          <w:rFonts w:ascii="Barlow Semi Condensed" w:cs="Barlow Semi Condensed" w:eastAsia="Barlow Semi Condensed" w:hAnsi="Barlow Semi Condensed"/>
          <w:sz w:val="24"/>
          <w:szCs w:val="24"/>
        </w:rPr>
        <w:t xml:space="preserve">Va scritto, perché un apparato che tace i propri limiti vale meno di quello che li dichiara. </w:t>
      </w:r>
      <w:r>
        <w:rPr>
          <w:rFonts w:ascii="Barlow Semi Condensed" w:cs="Barlow Semi Condensed" w:eastAsia="Barlow Semi Condensed" w:hAnsi="Barlow Semi Condensed"/>
          <w:b/>
          <w:bCs/>
          <w:sz w:val="24"/>
          <w:szCs w:val="24"/>
        </w:rPr>
        <w:t xml:space="preserve">La campagna non ha potuto leggere i documenti primari.</w:t>
      </w:r>
      <w:r>
        <w:rPr>
          <w:rFonts w:ascii="Barlow Semi Condensed" w:cs="Barlow Semi Condensed" w:eastAsia="Barlow Semi Condensed" w:hAnsi="Barlow Semi Condensed"/>
          <w:sz w:val="24"/>
          <w:szCs w:val="24"/>
        </w:rPr>
        <w:t xml:space="preserve"> L'accesso diretto alle pagine è risultato bloccato dal proxy di rete, e la verifica poggia su sintesi di risultati e su fonti secondarie: </w:t>
      </w:r>
      <w:r>
        <w:rPr>
          <w:rFonts w:ascii="Barlow Semi Condensed" w:cs="Barlow Semi Condensed" w:eastAsia="Barlow Semi Condensed" w:hAnsi="Barlow Semi Condensed"/>
          <w:b/>
          <w:bCs/>
          <w:sz w:val="24"/>
          <w:szCs w:val="24"/>
        </w:rPr>
        <w:t xml:space="preserve">non sui resoconti stenografici</w:t>
      </w:r>
      <w:r>
        <w:rPr>
          <w:rFonts w:ascii="Barlow Semi Condensed" w:cs="Barlow Semi Condensed" w:eastAsia="Barlow Semi Condensed" w:hAnsi="Barlow Semi Condensed"/>
          <w:sz w:val="24"/>
          <w:szCs w:val="24"/>
        </w:rPr>
        <w:t xml:space="preserve"> della Commissione d'inchiesta, </w:t>
      </w:r>
      <w:r>
        <w:rPr>
          <w:rFonts w:ascii="Barlow Semi Condensed" w:cs="Barlow Semi Condensed" w:eastAsia="Barlow Semi Condensed" w:hAnsi="Barlow Semi Condensed"/>
          <w:b/>
          <w:bCs/>
          <w:sz w:val="24"/>
          <w:szCs w:val="24"/>
        </w:rPr>
        <w:t xml:space="preserve">non sui verbali d'udienza</w:t>
      </w:r>
      <w:r>
        <w:rPr>
          <w:rFonts w:ascii="Barlow Semi Condensed" w:cs="Barlow Semi Condensed" w:eastAsia="Barlow Semi Condensed" w:hAnsi="Barlow Semi Condensed"/>
          <w:sz w:val="24"/>
          <w:szCs w:val="24"/>
        </w:rPr>
        <w:t xml:space="preserve"> del processo. Le date qualificate qui come confermate sono quelle su cui convergono più fonti secondarie indipendenti, e </w:t>
      </w:r>
      <w:r>
        <w:rPr>
          <w:rFonts w:ascii="Barlow Semi Condensed" w:cs="Barlow Semi Condensed" w:eastAsia="Barlow Semi Condensed" w:hAnsi="Barlow Semi Condensed"/>
          <w:b/>
          <w:bCs/>
          <w:sz w:val="24"/>
          <w:szCs w:val="24"/>
        </w:rPr>
        <w:t xml:space="preserve">restano da riscontrare sui testi ufficiali</w:t>
      </w:r>
      <w:r>
        <w:rPr>
          <w:rFonts w:ascii="Barlow Semi Condensed" w:cs="Barlow Semi Condensed" w:eastAsia="Barlow Semi Condensed" w:hAnsi="Barlow Semi Condensed"/>
          <w:sz w:val="24"/>
          <w:szCs w:val="24"/>
        </w:rPr>
        <w:t xml:space="preserve">: gli atti della Commissione (Doc. XXIII, VIII legislatura) e gli atti della Corte d'assise di Roma. Chi riprenderà questo apparato lo faccia sapendo esattamente </w:t>
      </w:r>
      <w:r>
        <w:rPr>
          <w:rFonts w:ascii="Barlow Semi Condensed" w:cs="Barlow Semi Condensed" w:eastAsia="Barlow Semi Condensed" w:hAnsi="Barlow Semi Condensed"/>
          <w:b/>
          <w:bCs/>
          <w:sz w:val="24"/>
          <w:szCs w:val="24"/>
        </w:rPr>
        <w:t xml:space="preserve">quanto pesa ciascuna riga</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L — La seconda campagna: il metodo territoriale</w:t>
      </w:r>
    </w:p>
    <w:p>
      <w:pPr>
        <w:spacing w:after="120" w:line="276"/>
        <w:jc w:val="both"/>
      </w:pPr>
      <w:r>
        <w:rPr>
          <w:rFonts w:ascii="Barlow Semi Condensed" w:cs="Barlow Semi Condensed" w:eastAsia="Barlow Semi Condensed" w:hAnsi="Barlow Semi Condensed"/>
          <w:sz w:val="24"/>
          <w:szCs w:val="24"/>
        </w:rPr>
        <w:t xml:space="preserve">Le prime tredici serie erano </w:t>
      </w:r>
      <w:r>
        <w:rPr>
          <w:rFonts w:ascii="Barlow Semi Condensed" w:cs="Barlow Semi Condensed" w:eastAsia="Barlow Semi Condensed" w:hAnsi="Barlow Semi Condensed"/>
          <w:b/>
          <w:bCs/>
          <w:sz w:val="24"/>
          <w:szCs w:val="24"/>
        </w:rPr>
        <w:t xml:space="preserve">concettuali</w:t>
      </w:r>
      <w:r>
        <w:rPr>
          <w:rFonts w:ascii="Barlow Semi Condensed" w:cs="Barlow Semi Condensed" w:eastAsia="Barlow Semi Condensed" w:hAnsi="Barlow Semi Condensed"/>
          <w:sz w:val="24"/>
          <w:szCs w:val="24"/>
        </w:rPr>
        <w:t xml:space="preserve">: applicavano al nome una sola lente, quella dichiarata dal committente, e ne misuravano la resa. Le cinquantadue che seguono sono </w:t>
      </w:r>
      <w:r>
        <w:rPr>
          <w:rFonts w:ascii="Barlow Semi Condensed" w:cs="Barlow Semi Condensed" w:eastAsia="Barlow Semi Condensed" w:hAnsi="Barlow Semi Condensed"/>
          <w:b/>
          <w:bCs/>
          <w:sz w:val="24"/>
          <w:szCs w:val="24"/>
        </w:rPr>
        <w:t xml:space="preserve">territoriali</w:t>
      </w:r>
      <w:r>
        <w:rPr>
          <w:rFonts w:ascii="Barlow Semi Condensed" w:cs="Barlow Semi Condensed" w:eastAsia="Barlow Semi Condensed" w:hAnsi="Barlow Semi Condensed"/>
          <w:sz w:val="24"/>
          <w:szCs w:val="24"/>
        </w:rPr>
        <w:t xml:space="preserve">: ciascuna triangola quel nome contro un territorio preciso del corpus — un documento, una cartella, una Parte — con l'obbligo di leggerlo prima di scriverne. Si registrano qui gli esiti di metodo della campagna, a cominciare da quello che ha costretto a correggere una nozione che il corpus dava per assodata.</w:t>
      </w:r>
    </w:p>
    <w:p>
      <w:pPr>
        <w:pStyle w:val="Heading3"/>
        <w:spacing w:after="80" w:before="160"/>
      </w:pPr>
      <w:r>
        <w:rPr>
          <w:rFonts w:ascii="Barlow Semi Condensed" w:cs="Barlow Semi Condensed" w:eastAsia="Barlow Semi Condensed" w:hAnsi="Barlow Semi Condensed"/>
          <w:sz w:val="24"/>
          <w:szCs w:val="24"/>
        </w:rPr>
        <w:t xml:space="preserve">L-1 · Lo Stato Zero e il silenzio: una distinzione che il corpus non aveva</w:t>
      </w:r>
    </w:p>
    <w:p>
      <w:pPr>
        <w:spacing w:after="120" w:line="276"/>
        <w:jc w:val="both"/>
      </w:pPr>
      <w:r>
        <w:rPr>
          <w:rFonts w:ascii="Barlow Semi Condensed" w:cs="Barlow Semi Condensed" w:eastAsia="Barlow Semi Condensed" w:hAnsi="Barlow Semi Condensed"/>
          <w:sz w:val="24"/>
          <w:szCs w:val="24"/>
        </w:rPr>
        <w:t xml:space="preserve">Il corpus impiega da sempre la nozione di </w:t>
      </w: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 l'esito negativo dichiarato, cercato e non trovato — e la tratta come acquisizione di pieno valore. La seconda campagna ha mostrato che quella nozione, applicata a tappeto contro cinquantadue territori, si sfalda in due cose diverse che vanno tenute separate.</w:t>
      </w:r>
    </w:p>
    <w:p>
      <w:pPr>
        <w:spacing w:after="120" w:line="276"/>
        <w:jc w:val="both"/>
      </w:pPr>
      <w:r>
        <w:rPr>
          <w:rFonts w:ascii="Barlow Semi Condensed" w:cs="Barlow Semi Condensed" w:eastAsia="Barlow Semi Condensed" w:hAnsi="Barlow Semi Condensed"/>
          <w:b/>
          <w:bCs/>
          <w:sz w:val="24"/>
          <w:szCs w:val="24"/>
        </w:rPr>
        <w:t xml:space="preserve">Lo Stato Zero è un fatto di ricerca.</w:t>
      </w:r>
      <w:r>
        <w:rPr>
          <w:rFonts w:ascii="Barlow Semi Condensed" w:cs="Barlow Semi Condensed" w:eastAsia="Barlow Semi Condensed" w:hAnsi="Barlow Semi Condensed"/>
          <w:sz w:val="24"/>
          <w:szCs w:val="24"/>
        </w:rPr>
        <w:t xml:space="preserve"> Si predica di un'interrogazione condotta in una </w:t>
      </w:r>
      <w:r>
        <w:rPr>
          <w:rFonts w:ascii="Barlow Semi Condensed" w:cs="Barlow Semi Condensed" w:eastAsia="Barlow Semi Condensed" w:hAnsi="Barlow Semi Condensed"/>
          <w:b/>
          <w:bCs/>
          <w:sz w:val="24"/>
          <w:szCs w:val="24"/>
        </w:rPr>
        <w:t xml:space="preserve">sede nominata</w:t>
      </w:r>
      <w:r>
        <w:rPr>
          <w:rFonts w:ascii="Barlow Semi Condensed" w:cs="Barlow Semi Condensed" w:eastAsia="Barlow Semi Condensed" w:hAnsi="Barlow Semi Condensed"/>
          <w:sz w:val="24"/>
          <w:szCs w:val="24"/>
        </w:rPr>
        <w:t xml:space="preserve">: si è cercato in quel fondo, con quei criteri, in quella data, e non si è trovato. Ha valore probatorio perché ha un perimetro, un metodo e un responsabile; ed è falsificabile, perché chiunque può ripetere la ricerca.</w:t>
      </w:r>
    </w:p>
    <w:p>
      <w:pPr>
        <w:spacing w:after="120" w:line="276"/>
        <w:jc w:val="both"/>
      </w:pPr>
      <w:r>
        <w:rPr>
          <w:rFonts w:ascii="Barlow Semi Condensed" w:cs="Barlow Semi Condensed" w:eastAsia="Barlow Semi Condensed" w:hAnsi="Barlow Semi Condensed"/>
          <w:b/>
          <w:bCs/>
          <w:sz w:val="24"/>
          <w:szCs w:val="24"/>
        </w:rPr>
        <w:t xml:space="preserve">Il silenzio di un testo è un fatto di oggetto.</w:t>
      </w:r>
      <w:r>
        <w:rPr>
          <w:rFonts w:ascii="Barlow Semi Condensed" w:cs="Barlow Semi Condensed" w:eastAsia="Barlow Semi Condensed" w:hAnsi="Barlow Semi Condensed"/>
          <w:sz w:val="24"/>
          <w:szCs w:val="24"/>
        </w:rPr>
        <w:t xml:space="preserve"> Si predica di ciò di cui quel testo </w:t>
      </w:r>
      <w:r>
        <w:rPr>
          <w:rFonts w:ascii="Barlow Semi Condensed" w:cs="Barlow Semi Condensed" w:eastAsia="Barlow Semi Condensed" w:hAnsi="Barlow Semi Condensed"/>
          <w:b/>
          <w:bCs/>
          <w:sz w:val="24"/>
          <w:szCs w:val="24"/>
        </w:rPr>
        <w:t xml:space="preserve">si era proposto di parlare</w:t>
      </w:r>
      <w:r>
        <w:rPr>
          <w:rFonts w:ascii="Barlow Semi Condensed" w:cs="Barlow Semi Condensed" w:eastAsia="Barlow Semi Condensed" w:hAnsi="Barlow Semi Condensed"/>
          <w:sz w:val="24"/>
          <w:szCs w:val="24"/>
        </w:rPr>
        <w:t xml:space="preserve">. Che il ritratto d'apertura del corpus non nomini mai Henry Kissinger non è l'esito di una ricerca fallita: è il perimetro dichiarato di una Fase che tratta l'uomo prima del caso, la formazione, gli scritti pubblici. Quella Fase </w:t>
      </w:r>
      <w:r>
        <w:rPr>
          <w:rFonts w:ascii="Barlow Semi Condensed" w:cs="Barlow Semi Condensed" w:eastAsia="Barlow Semi Condensed" w:hAnsi="Barlow Semi Condensed"/>
          <w:b/>
          <w:bCs/>
          <w:sz w:val="24"/>
          <w:szCs w:val="24"/>
        </w:rPr>
        <w:t xml:space="preserve">non ha cercato quel nome e non lo ha mancato: lo ha escluso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Confondere i due significa trasformare ogni assenza tematica in un dato d'inchiesta, e produrre una contabilità di vuoti che non misura nulla. </w:t>
      </w:r>
      <w:r>
        <w:rPr>
          <w:rFonts w:ascii="Barlow Semi Condensed" w:cs="Barlow Semi Condensed" w:eastAsia="Barlow Semi Condensed" w:hAnsi="Barlow Semi Condensed"/>
          <w:b/>
          <w:bCs/>
          <w:sz w:val="24"/>
          <w:szCs w:val="24"/>
        </w:rPr>
        <w:t xml:space="preserve">La regola che ne discende, e che vale retroattivamente su tutta l'opera</w:t>
      </w:r>
      <w:r>
        <w:rPr>
          <w:rFonts w:ascii="Barlow Semi Condensed" w:cs="Barlow Semi Condensed" w:eastAsia="Barlow Semi Condensed" w:hAnsi="Barlow Semi Condensed"/>
          <w:sz w:val="24"/>
          <w:szCs w:val="24"/>
        </w:rPr>
        <w:t xml:space="preserve">: si scrive «Stato Zero» solo dove si può nominare la sede interrogata; dove il vuoto dipende dal perimetro del testo si scrive «silenzio d'oggetto», e non lo si conta fra gli esiti negativi. I censimenti della quarta campagna sono stati redatti applicando questa separazione.</w:t>
      </w:r>
    </w:p>
    <w:p>
      <w:pPr>
        <w:spacing w:after="120" w:line="276"/>
        <w:jc w:val="both"/>
      </w:pPr>
      <w:r>
        <w:rPr>
          <w:rFonts w:ascii="Barlow Semi Condensed" w:cs="Barlow Semi Condensed" w:eastAsia="Barlow Semi Condensed" w:hAnsi="Barlow Semi Condensed"/>
          <w:sz w:val="24"/>
          <w:szCs w:val="24"/>
        </w:rPr>
        <w:t xml:space="preserve">Va detto per intero come la correzione è arrivata: </w:t>
      </w:r>
      <w:r>
        <w:rPr>
          <w:rFonts w:ascii="Barlow Semi Condensed" w:cs="Barlow Semi Condensed" w:eastAsia="Barlow Semi Condensed" w:hAnsi="Barlow Semi Condensed"/>
          <w:b/>
          <w:bCs/>
          <w:sz w:val="24"/>
          <w:szCs w:val="24"/>
        </w:rPr>
        <w:t xml:space="preserve">non dall'estensore né dal controllo a valle, ma da uno degli agenti di ricerca della quattordicesima serie</w:t>
      </w:r>
      <w:r>
        <w:rPr>
          <w:rFonts w:ascii="Barlow Semi Condensed" w:cs="Barlow Semi Condensed" w:eastAsia="Barlow Semi Condensed" w:hAnsi="Barlow Semi Condensed"/>
          <w:sz w:val="24"/>
          <w:szCs w:val="24"/>
        </w:rPr>
        <w:t xml:space="preserve">, che si è fermato sul punto prima di eseguire l'istruzione ricevuta. L'istruzione era imprecisa e la si registra qui com'era, secondo la regola del corpus che corregge per nota e non per riscrittura silenziosa.</w:t>
      </w:r>
    </w:p>
    <w:p>
      <w:pPr>
        <w:pStyle w:val="Heading3"/>
        <w:spacing w:after="80" w:before="160"/>
      </w:pPr>
      <w:r>
        <w:rPr>
          <w:rFonts w:ascii="Barlow Semi Condensed" w:cs="Barlow Semi Condensed" w:eastAsia="Barlow Semi Condensed" w:hAnsi="Barlow Semi Condensed"/>
          <w:sz w:val="24"/>
          <w:szCs w:val="24"/>
        </w:rPr>
        <w:t xml:space="preserve">L-2 · Che cosa vuol dire triangolare un territorio</w:t>
      </w:r>
    </w:p>
    <w:p>
      <w:pPr>
        <w:spacing w:after="120" w:line="276"/>
        <w:jc w:val="both"/>
      </w:pPr>
      <w:r>
        <w:rPr>
          <w:rFonts w:ascii="Barlow Semi Condensed" w:cs="Barlow Semi Condensed" w:eastAsia="Barlow Semi Condensed" w:hAnsi="Barlow Semi Condensed"/>
          <w:sz w:val="24"/>
          <w:szCs w:val="24"/>
        </w:rPr>
        <w:t xml:space="preserve">Ogni serie della seconda campagna risponde a quattro domande sullo stesso territorio, e le tiene distinte. </w:t>
      </w:r>
      <w:r>
        <w:rPr>
          <w:rFonts w:ascii="Barlow Semi Condensed" w:cs="Barlow Semi Condensed" w:eastAsia="Barlow Semi Condensed" w:hAnsi="Barlow Semi Condensed"/>
          <w:b/>
          <w:bCs/>
          <w:sz w:val="24"/>
          <w:szCs w:val="24"/>
        </w:rPr>
        <w:t xml:space="preserve">Dove il nome compare</w:t>
      </w:r>
      <w:r>
        <w:rPr>
          <w:rFonts w:ascii="Barlow Semi Condensed" w:cs="Barlow Semi Condensed" w:eastAsia="Barlow Semi Condensed" w:hAnsi="Barlow Semi Condensed"/>
          <w:sz w:val="24"/>
          <w:szCs w:val="24"/>
        </w:rPr>
        <w:t xml:space="preserve">: con la ricognizione meccanica, occorrenza per occorrenza, e con la qualificazione di ciascuna secondo i tre piani. </w:t>
      </w:r>
      <w:r>
        <w:rPr>
          <w:rFonts w:ascii="Barlow Semi Condensed" w:cs="Barlow Semi Condensed" w:eastAsia="Barlow Semi Condensed" w:hAnsi="Barlow Semi Condensed"/>
          <w:b/>
          <w:bCs/>
          <w:sz w:val="24"/>
          <w:szCs w:val="24"/>
        </w:rPr>
        <w:t xml:space="preserve">Dove il territorio tocca la cornice senza toccare il nome</w:t>
      </w:r>
      <w:r>
        <w:rPr>
          <w:rFonts w:ascii="Barlow Semi Condensed" w:cs="Barlow Semi Condensed" w:eastAsia="Barlow Semi Condensed" w:hAnsi="Barlow Semi Condensed"/>
          <w:sz w:val="24"/>
          <w:szCs w:val="24"/>
        </w:rPr>
        <w:t xml:space="preserve">: convergenza strutturale, piano 2, che non si promuove. </w:t>
      </w:r>
      <w:r>
        <w:rPr>
          <w:rFonts w:ascii="Barlow Semi Condensed" w:cs="Barlow Semi Condensed" w:eastAsia="Barlow Semi Condensed" w:hAnsi="Barlow Semi Condensed"/>
          <w:b/>
          <w:bCs/>
          <w:sz w:val="24"/>
          <w:szCs w:val="24"/>
        </w:rPr>
        <w:t xml:space="preserve">Dove circola un'affermazione terziaria</w:t>
      </w:r>
      <w:r>
        <w:rPr>
          <w:rFonts w:ascii="Barlow Semi Condensed" w:cs="Barlow Semi Condensed" w:eastAsia="Barlow Semi Condensed" w:hAnsi="Barlow Semi Condensed"/>
          <w:sz w:val="24"/>
          <w:szCs w:val="24"/>
        </w:rPr>
        <w:t xml:space="preserve"> che quel territorio smentisce o non sostiene: piano 3, da qualificare. </w:t>
      </w:r>
      <w:r>
        <w:rPr>
          <w:rFonts w:ascii="Barlow Semi Condensed" w:cs="Barlow Semi Condensed" w:eastAsia="Barlow Semi Condensed" w:hAnsi="Barlow Semi Condensed"/>
          <w:b/>
          <w:bCs/>
          <w:sz w:val="24"/>
          <w:szCs w:val="24"/>
        </w:rPr>
        <w:t xml:space="preserve">Dove si dovrebbe cercare e nessuno ha cercato</w:t>
      </w:r>
      <w:r>
        <w:rPr>
          <w:rFonts w:ascii="Barlow Semi Condensed" w:cs="Barlow Semi Condensed" w:eastAsia="Barlow Semi Condensed" w:hAnsi="Barlow Semi Condensed"/>
          <w:sz w:val="24"/>
          <w:szCs w:val="24"/>
        </w:rPr>
        <w:t xml:space="preserve">: lo Stato Zero vero, con la sede d'archivio che lo chiuderebbe.</w:t>
      </w:r>
    </w:p>
    <w:p>
      <w:pPr>
        <w:spacing w:after="120" w:line="276"/>
        <w:jc w:val="both"/>
      </w:pPr>
      <w:r>
        <w:rPr>
          <w:rFonts w:ascii="Barlow Semi Condensed" w:cs="Barlow Semi Condensed" w:eastAsia="Barlow Semi Condensed" w:hAnsi="Barlow Semi Condensed"/>
          <w:sz w:val="24"/>
          <w:szCs w:val="24"/>
        </w:rPr>
        <w:t xml:space="preserve">La quarta domanda è quella che produce lavoro eseguibile, ed è la ragione per cui questa campagna esiste. Le prime tre descrivono ciò che il corpus già contiene; solo la quarta consegna a un terzo qualcosa da fare.</w:t>
      </w:r>
    </w:p>
    <w:p>
      <w:pPr>
        <w:pStyle w:val="Heading3"/>
        <w:spacing w:after="80" w:before="160"/>
      </w:pPr>
      <w:r>
        <w:rPr>
          <w:rFonts w:ascii="Barlow Semi Condensed" w:cs="Barlow Semi Condensed" w:eastAsia="Barlow Semi Condensed" w:hAnsi="Barlow Semi Condensed"/>
          <w:sz w:val="24"/>
          <w:szCs w:val="24"/>
        </w:rPr>
        <w:t xml:space="preserve">L-3 · La quadriga è zoppa da un lato: l'asimmetria atlantica</w:t>
      </w:r>
    </w:p>
    <w:p>
      <w:pPr>
        <w:spacing w:after="120" w:line="276"/>
        <w:jc w:val="both"/>
      </w:pPr>
      <w:r>
        <w:rPr>
          <w:rFonts w:ascii="Barlow Semi Condensed" w:cs="Barlow Semi Condensed" w:eastAsia="Barlow Semi Condensed" w:hAnsi="Barlow Semi Condensed"/>
          <w:sz w:val="24"/>
          <w:szCs w:val="24"/>
        </w:rPr>
        <w:t xml:space="preserve">È il rilievo che la campagna territoriale ha prodotto contro il corpus stesso, ed è quantificato.</w:t>
      </w:r>
    </w:p>
    <w:p>
      <w:pPr>
        <w:spacing w:after="120" w:line="276"/>
        <w:jc w:val="both"/>
      </w:pPr>
      <w:r>
        <w:rPr>
          <w:rFonts w:ascii="Barlow Semi Condensed" w:cs="Barlow Semi Condensed" w:eastAsia="Barlow Semi Condensed" w:hAnsi="Barlow Semi Condensed"/>
          <w:sz w:val="24"/>
          <w:szCs w:val="24"/>
        </w:rPr>
        <w:t xml:space="preserve">La Parte prima dei nove cantieri si intitola </w:t>
      </w:r>
      <w:r>
        <w:rPr>
          <w:rFonts w:ascii="Barlow Semi Condensed" w:cs="Barlow Semi Condensed" w:eastAsia="Barlow Semi Condensed" w:hAnsi="Barlow Semi Condensed"/>
          <w:b/>
          <w:bCs/>
          <w:sz w:val="24"/>
          <w:szCs w:val="24"/>
        </w:rPr>
        <w:t xml:space="preserve">«Oltremanica, oltralpe, oltre Reno»</w:t>
      </w:r>
      <w:r>
        <w:rPr>
          <w:rFonts w:ascii="Barlow Semi Condensed" w:cs="Barlow Semi Condensed" w:eastAsia="Barlow Semi Condensed" w:hAnsi="Barlow Semi Condensed"/>
          <w:sz w:val="24"/>
          <w:szCs w:val="24"/>
        </w:rPr>
        <w:t xml:space="preserve"> e il suo statuto dichiara il perimetro senza infingimenti: «Londra, Parigi e Bonn osservarono i 55 giorni da alleati con occhi propri e archiviarono con regole proprie». Tre capitali, quaranta blocchi ciascuna, con tavole, calendari, verbali di vuoto e campioni di controllo. </w:t>
      </w:r>
      <w:r>
        <w:rPr>
          <w:rFonts w:ascii="Barlow Semi Condensed" w:cs="Barlow Semi Condensed" w:eastAsia="Barlow Semi Condensed" w:hAnsi="Barlow Semi Condensed"/>
          <w:b/>
          <w:bCs/>
          <w:sz w:val="24"/>
          <w:szCs w:val="24"/>
        </w:rPr>
        <w:t xml:space="preserve">Washington non ha i suoi quaranta</w:t>
      </w:r>
      <w:r>
        <w:rPr>
          <w:rFonts w:ascii="Barlow Semi Condensed" w:cs="Barlow Semi Condensed" w:eastAsia="Barlow Semi Condensed" w:hAnsi="Barlow Semi Condensed"/>
          <w:sz w:val="24"/>
          <w:szCs w:val="24"/>
        </w:rPr>
        <w:t xml:space="preserve">, e il titolo stesso della Parte lo dice, perché nomina tre direzioni e non la quarta.</w:t>
      </w:r>
    </w:p>
    <w:p>
      <w:pPr>
        <w:spacing w:after="120" w:line="276"/>
        <w:jc w:val="both"/>
      </w:pPr>
      <w:r>
        <w:rPr>
          <w:rFonts w:ascii="Barlow Semi Condensed" w:cs="Barlow Semi Condensed" w:eastAsia="Barlow Semi Condensed" w:hAnsi="Barlow Semi Condensed"/>
          <w:sz w:val="24"/>
          <w:szCs w:val="24"/>
        </w:rPr>
        <w:t xml:space="preserve">La ricognizione meccanica sui due documenti del versante di ricerca — l'agenda in trecento blocchi e i nove cantieri in mille — dà la misura esatta dello squilibrio: </w:t>
      </w:r>
      <w:r>
        <w:rPr>
          <w:rFonts w:ascii="Barlow Semi Condensed" w:cs="Barlow Semi Condensed" w:eastAsia="Barlow Semi Condensed" w:hAnsi="Barlow Semi Condensed"/>
          <w:b/>
          <w:bCs/>
          <w:sz w:val="24"/>
          <w:szCs w:val="24"/>
        </w:rPr>
        <w:t xml:space="preserve">Parigi 23 menzioni, Londra 17, Bonn 17, Washington 7</w:t>
      </w:r>
      <w:r>
        <w:rPr>
          <w:rFonts w:ascii="Barlow Semi Condensed" w:cs="Barlow Semi Condensed" w:eastAsia="Barlow Semi Condensed" w:hAnsi="Barlow Semi Condensed"/>
          <w:sz w:val="24"/>
          <w:szCs w:val="24"/>
        </w:rPr>
        <w:t xml:space="preserve">. La capitale alleata meno coperta d'Europa è citata più del doppio di quella atlantica. E la stringa «Kissinger» </w:t>
      </w:r>
      <w:r>
        <w:rPr>
          <w:rFonts w:ascii="Barlow Semi Condensed" w:cs="Barlow Semi Condensed" w:eastAsia="Barlow Semi Condensed" w:hAnsi="Barlow Semi Condensed"/>
          <w:b/>
          <w:bCs/>
          <w:sz w:val="24"/>
          <w:szCs w:val="24"/>
        </w:rPr>
        <w:t xml:space="preserve">non ricorre neppure una volta in nessuno dei due</w:t>
      </w:r>
      <w:r>
        <w:rPr>
          <w:rFonts w:ascii="Barlow Semi Condensed" w:cs="Barlow Semi Condensed" w:eastAsia="Barlow Semi Condensed" w:hAnsi="Barlow Semi Condensed"/>
          <w:sz w:val="24"/>
          <w:szCs w:val="24"/>
        </w:rPr>
        <w:t xml:space="preserve">, su milletrecento blocchi mirati di ricerca.</w:t>
      </w:r>
    </w:p>
    <w:p>
      <w:pPr>
        <w:spacing w:after="120" w:line="276"/>
        <w:jc w:val="both"/>
      </w:pPr>
      <w:r>
        <w:rPr>
          <w:rFonts w:ascii="Barlow Semi Condensed" w:cs="Barlow Semi Condensed" w:eastAsia="Barlow Semi Condensed" w:hAnsi="Barlow Semi Condensed"/>
          <w:b/>
          <w:bCs/>
          <w:sz w:val="24"/>
          <w:szCs w:val="24"/>
        </w:rPr>
        <w:t xml:space="preserve">Perché è una lacuna e non una scelta.</w:t>
      </w:r>
      <w:r>
        <w:rPr>
          <w:rFonts w:ascii="Barlow Semi Condensed" w:cs="Barlow Semi Condensed" w:eastAsia="Barlow Semi Condensed" w:hAnsi="Barlow Semi Condensed"/>
          <w:sz w:val="24"/>
          <w:szCs w:val="24"/>
        </w:rPr>
        <w:t xml:space="preserve"> Un perimetro dichiarato è legittimo, e la Parte prima dichiara il proprio. Ma il corpus registra fra i propri nodi il presunto avvertimento del settembre 1974 — l'M-5 — che è per definizione un nodo americano, fondato su un verbale statunitense e su una testimonianza che nomina un Segretario di Stato statunitense. Un programma di ricerca che costruisce tre cantieri d'archivio alleato e omette il quarto lascia scoperto proprio il versante del proprio nodo più contestato. </w:t>
      </w:r>
      <w:r>
        <w:rPr>
          <w:rFonts w:ascii="Barlow Semi Condensed" w:cs="Barlow Semi Condensed" w:eastAsia="Barlow Semi Condensed" w:hAnsi="Barlow Semi Condensed"/>
          <w:b/>
          <w:bCs/>
          <w:sz w:val="24"/>
          <w:szCs w:val="24"/>
        </w:rPr>
        <w:t xml:space="preserve">L'asimmetria non è nel territorio: è nel programma.</w:t>
      </w:r>
    </w:p>
    <w:p>
      <w:pPr>
        <w:spacing w:after="120" w:line="276"/>
        <w:jc w:val="both"/>
      </w:pPr>
      <w:r>
        <w:rPr>
          <w:rFonts w:ascii="Barlow Semi Condensed" w:cs="Barlow Semi Condensed" w:eastAsia="Barlow Semi Condensed" w:hAnsi="Barlow Semi Condensed"/>
          <w:b/>
          <w:bCs/>
          <w:sz w:val="24"/>
          <w:szCs w:val="24"/>
        </w:rPr>
        <w:t xml:space="preserve">La raccomandazione, che è operativa e va eseguita.</w:t>
      </w:r>
      <w:r>
        <w:rPr>
          <w:rFonts w:ascii="Barlow Semi Condensed" w:cs="Barlow Semi Condensed" w:eastAsia="Barlow Semi Condensed" w:hAnsi="Barlow Semi Condensed"/>
          <w:sz w:val="24"/>
          <w:szCs w:val="24"/>
        </w:rPr>
        <w:t xml:space="preserve"> Il versante di ricerca del corpus richiede un </w:t>
      </w:r>
      <w:r>
        <w:rPr>
          <w:rFonts w:ascii="Barlow Semi Condensed" w:cs="Barlow Semi Condensed" w:eastAsia="Barlow Semi Condensed" w:hAnsi="Barlow Semi Condensed"/>
          <w:b/>
          <w:bCs/>
          <w:sz w:val="24"/>
          <w:szCs w:val="24"/>
        </w:rPr>
        <w:t xml:space="preserve">cantiere atlantico</w:t>
      </w:r>
      <w:r>
        <w:rPr>
          <w:rFonts w:ascii="Barlow Semi Condensed" w:cs="Barlow Semi Condensed" w:eastAsia="Barlow Semi Condensed" w:hAnsi="Barlow Semi Condensed"/>
          <w:sz w:val="24"/>
          <w:szCs w:val="24"/>
        </w:rPr>
        <w:t xml:space="preserve"> con la stessa griglia degli altri tre: giacimenti (NARA College Park, RG 59 e RG 273; Gerald R. Ford Presidential Library; Jimmy Carter Presidential Library; le serie FRUS 1969-1976 e 1977-1980), procedure (il </w:t>
      </w:r>
      <w:r>
        <w:rPr>
          <w:rFonts w:ascii="Barlow Semi Condensed" w:cs="Barlow Semi Condensed" w:eastAsia="Barlow Semi Condensed" w:hAnsi="Barlow Semi Condensed"/>
          <w:i/>
          <w:iCs/>
          <w:sz w:val="24"/>
          <w:szCs w:val="24"/>
        </w:rPr>
        <w:t xml:space="preserve">mandatory declassification review</w:t>
      </w:r>
      <w:r>
        <w:rPr>
          <w:rFonts w:ascii="Barlow Semi Condensed" w:cs="Barlow Semi Condensed" w:eastAsia="Barlow Semi Condensed" w:hAnsi="Barlow Semi Condensed"/>
          <w:sz w:val="24"/>
          <w:szCs w:val="24"/>
        </w:rPr>
        <w:t xml:space="preserve">, la richiesta FOIA, il ricorso all'</w:t>
      </w:r>
      <w:r>
        <w:rPr>
          <w:rFonts w:ascii="Barlow Semi Condensed" w:cs="Barlow Semi Condensed" w:eastAsia="Barlow Semi Condensed" w:hAnsi="Barlow Semi Condensed"/>
          <w:i/>
          <w:iCs/>
          <w:sz w:val="24"/>
          <w:szCs w:val="24"/>
        </w:rPr>
        <w:t xml:space="preserve">Interagency Security Classification Appeals Panel</w:t>
      </w:r>
      <w:r>
        <w:rPr>
          <w:rFonts w:ascii="Barlow Semi Condensed" w:cs="Barlow Semi Condensed" w:eastAsia="Barlow Semi Condensed" w:hAnsi="Barlow Semi Condensed"/>
          <w:sz w:val="24"/>
          <w:szCs w:val="24"/>
        </w:rPr>
        <w:t xml:space="preserve">), letteratura, quesiti, tavole e verbali di vuoto. Finché non esiste, ogni affermazione del corpus sul versante statunitense poggia su una ricerca che non è stata organizzata come le altre — e questo va scritto accanto a ciascuna di esse.</w:t>
      </w:r>
    </w:p>
    <w:p>
      <w:pPr>
        <w:pStyle w:val="Heading3"/>
        <w:spacing w:after="80" w:before="160"/>
      </w:pPr>
      <w:r>
        <w:rPr>
          <w:rFonts w:ascii="Barlow Semi Condensed" w:cs="Barlow Semi Condensed" w:eastAsia="Barlow Semi Condensed" w:hAnsi="Barlow Semi Condensed"/>
          <w:sz w:val="24"/>
          <w:szCs w:val="24"/>
        </w:rPr>
        <w:t xml:space="preserve">L-4 · Il lato italiano che manca: il verbale mai cercato</w:t>
      </w:r>
    </w:p>
    <w:p>
      <w:pPr>
        <w:spacing w:after="120" w:line="276"/>
        <w:jc w:val="both"/>
      </w:pPr>
      <w:r>
        <w:rPr>
          <w:rFonts w:ascii="Barlow Semi Condensed" w:cs="Barlow Semi Condensed" w:eastAsia="Barlow Semi Condensed" w:hAnsi="Barlow Semi Condensed"/>
          <w:sz w:val="24"/>
          <w:szCs w:val="24"/>
        </w:rPr>
        <w:t xml:space="preserve">È il bersaglio nuovo che la campagna territoriale consegna al corpus, e discende dalla stessa asimmetria di L-3 vista da vicino.</w:t>
      </w:r>
    </w:p>
    <w:p>
      <w:pPr>
        <w:spacing w:after="120" w:line="276"/>
        <w:jc w:val="both"/>
      </w:pPr>
      <w:r>
        <w:rPr>
          <w:rFonts w:ascii="Barlow Semi Condensed" w:cs="Barlow Semi Condensed" w:eastAsia="Barlow Semi Condensed" w:hAnsi="Barlow Semi Condensed"/>
          <w:sz w:val="24"/>
          <w:szCs w:val="24"/>
        </w:rPr>
        <w:t xml:space="preserve">Del colloquio dello Studio Ovale del </w:t>
      </w:r>
      <w:r>
        <w:rPr>
          <w:rFonts w:ascii="Barlow Semi Condensed" w:cs="Barlow Semi Condensed" w:eastAsia="Barlow Semi Condensed" w:hAnsi="Barlow Semi Condensed"/>
          <w:b/>
          <w:bCs/>
          <w:sz w:val="24"/>
          <w:szCs w:val="24"/>
        </w:rPr>
        <w:t xml:space="preserve">25 settembre 1974</w:t>
      </w:r>
      <w:r>
        <w:rPr>
          <w:rFonts w:ascii="Barlow Semi Condensed" w:cs="Barlow Semi Condensed" w:eastAsia="Barlow Semi Condensed" w:hAnsi="Barlow Semi Condensed"/>
          <w:sz w:val="24"/>
          <w:szCs w:val="24"/>
        </w:rPr>
        <w:t xml:space="preserve"> — quello su cui poggia l'intera vicenda del presunto avvertimento — esiste, allo stato, </w:t>
      </w:r>
      <w:r>
        <w:rPr>
          <w:rFonts w:ascii="Barlow Semi Condensed" w:cs="Barlow Semi Condensed" w:eastAsia="Barlow Semi Condensed" w:hAnsi="Barlow Semi Condensed"/>
          <w:b/>
          <w:bCs/>
          <w:sz w:val="24"/>
          <w:szCs w:val="24"/>
        </w:rPr>
        <w:t xml:space="preserve">un solo versante: quello redatto dallo staff americano</w:t>
      </w:r>
      <w:r>
        <w:rPr>
          <w:rFonts w:ascii="Barlow Semi Condensed" w:cs="Barlow Semi Condensed" w:eastAsia="Barlow Semi Condensed" w:hAnsi="Barlow Semi Condensed"/>
          <w:sz w:val="24"/>
          <w:szCs w:val="24"/>
        </w:rPr>
        <w:t xml:space="preserve">. È il memorandum of conversation edito come documento 350 del volume FRUS 1969-1976 E-15 parte 2, seconda edizione riveduta, e conservato come file 1552802 della Gerald R. Ford Presidential Library. Ha segnatura doppia, è pubblicato, è digitalizzato: chiunque può leggerlo.</w:t>
      </w:r>
    </w:p>
    <w:p>
      <w:pPr>
        <w:spacing w:after="120" w:line="276"/>
        <w:jc w:val="both"/>
      </w:pPr>
      <w:r>
        <w:rPr>
          <w:rFonts w:ascii="Barlow Semi Condensed" w:cs="Barlow Semi Condensed" w:eastAsia="Barlow Semi Condensed" w:hAnsi="Barlow Semi Condensed"/>
          <w:b/>
          <w:bCs/>
          <w:sz w:val="24"/>
          <w:szCs w:val="24"/>
        </w:rPr>
        <w:t xml:space="preserve">Il verbale italiano dello stesso incontro non risulta mai cercato.</w:t>
      </w:r>
      <w:r>
        <w:rPr>
          <w:rFonts w:ascii="Barlow Semi Condensed" w:cs="Barlow Semi Condensed" w:eastAsia="Barlow Semi Condensed" w:hAnsi="Barlow Semi Condensed"/>
          <w:sz w:val="24"/>
          <w:szCs w:val="24"/>
        </w:rPr>
        <w:t xml:space="preserve"> Un ministro degli Esteri che esce da un bilaterale col Presidente degli Stati Uniti fa stendere un appunto — un telespresso, una nota di gabinetto, un promemoria per il Presidente del Consiglio. È prassi ordinaria, non eccezione. Di quell'appunto, per il 25 settembre 1974, non si ha notizia né di un ritrovamento né di una ricerca.</w:t>
      </w:r>
    </w:p>
    <w:p>
      <w:pPr>
        <w:spacing w:after="120" w:line="276"/>
        <w:jc w:val="both"/>
      </w:pPr>
      <w:r>
        <w:rPr>
          <w:rFonts w:ascii="Barlow Semi Condensed" w:cs="Barlow Semi Condensed" w:eastAsia="Barlow Semi Condensed" w:hAnsi="Barlow Semi Condensed"/>
          <w:b/>
          <w:bCs/>
          <w:sz w:val="24"/>
          <w:szCs w:val="24"/>
        </w:rPr>
        <w:t xml:space="preserve">Perché la lacuna pesa più di quanto sembri.</w:t>
      </w:r>
      <w:r>
        <w:rPr>
          <w:rFonts w:ascii="Barlow Semi Condensed" w:cs="Barlow Semi Condensed" w:eastAsia="Barlow Semi Condensed" w:hAnsi="Barlow Semi Condensed"/>
          <w:sz w:val="24"/>
          <w:szCs w:val="24"/>
        </w:rPr>
        <w:t xml:space="preserve"> L'intera discussione pubblica sull'episodio si svolge da mezzo secolo su una fonte sola e straniera, contrapposta a una testimonianza orale resa otto anni dopo. Un secondo verbale, redatto lo stesso giorno da chi sedeva dall'altra parte del tavolo, non è un documento in più: è </w:t>
      </w:r>
      <w:r>
        <w:rPr>
          <w:rFonts w:ascii="Barlow Semi Condensed" w:cs="Barlow Semi Condensed" w:eastAsia="Barlow Semi Condensed" w:hAnsi="Barlow Semi Condensed"/>
          <w:b/>
          <w:bCs/>
          <w:sz w:val="24"/>
          <w:szCs w:val="24"/>
        </w:rPr>
        <w:t xml:space="preserve">il solo riscontro indipendente possibile</w:t>
      </w:r>
      <w:r>
        <w:rPr>
          <w:rFonts w:ascii="Barlow Semi Condensed" w:cs="Barlow Semi Condensed" w:eastAsia="Barlow Semi Condensed" w:hAnsi="Barlow Semi Condensed"/>
          <w:sz w:val="24"/>
          <w:szCs w:val="24"/>
        </w:rPr>
        <w:t xml:space="preserve"> su ciò che in quella stanza fu detto. E l'esito è dirimente in entrambe le direzioni — se l'appunto esiste e concorda col verbale americano, la versione dell'ultimatum perde l'ultimo appoggio documentale; se esiste e diverge, il corpus ha una divergenza fra due fonti primarie, che è cosa ben diversa da una testimonianza contestata; se non esiste, l'assenza stessa va datata e spiegata.</w:t>
      </w:r>
    </w:p>
    <w:p>
      <w:pPr>
        <w:spacing w:after="120" w:line="276"/>
        <w:jc w:val="both"/>
      </w:pPr>
      <w:r>
        <w:rPr>
          <w:rFonts w:ascii="Barlow Semi Condensed" w:cs="Barlow Semi Condensed" w:eastAsia="Barlow Semi Condensed" w:hAnsi="Barlow Semi Condensed"/>
          <w:b/>
          <w:bCs/>
          <w:sz w:val="24"/>
          <w:szCs w:val="24"/>
        </w:rPr>
        <w:t xml:space="preserve">La sede, e come si interroga.</w:t>
      </w:r>
      <w:r>
        <w:rPr>
          <w:rFonts w:ascii="Barlow Semi Condensed" w:cs="Barlow Semi Condensed" w:eastAsia="Barlow Semi Condensed" w:hAnsi="Barlow Semi Condensed"/>
          <w:sz w:val="24"/>
          <w:szCs w:val="24"/>
        </w:rPr>
        <w:t xml:space="preserve"> Archivio storico diplomatico del Ministero degli Affari Esteri, carteggi del gabinetto del ministro, annata 1974, con verifica preliminare dei faldoni sul portale dell'archivio; in subordine, l'Archivio centrale dello Stato per le carte della Presidenza del Consiglio dello stesso periodo, e il Fondo Moro del Senato, che la seconda campagna della Farnesina ha già indicato come quarto deposito ignorato dai cantieri. Il quesito si formula in una riga: </w:t>
      </w:r>
      <w:r>
        <w:rPr>
          <w:rFonts w:ascii="Barlow Semi Condensed" w:cs="Barlow Semi Condensed" w:eastAsia="Barlow Semi Condensed" w:hAnsi="Barlow Semi Condensed"/>
          <w:b/>
          <w:bCs/>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b/>
          <w:bCs/>
          <w:sz w:val="24"/>
          <w:szCs w:val="24"/>
        </w:rPr>
        <w:t xml:space="preserve">Una quinta sede, che la sessantaquattresima serie aggiunge.</w:t>
      </w:r>
      <w:r>
        <w:rPr>
          <w:rFonts w:ascii="Barlow Semi Condensed" w:cs="Barlow Semi Condensed" w:eastAsia="Barlow Semi Condensed" w:hAnsi="Barlow Semi Condensed"/>
          <w:sz w:val="24"/>
          <w:szCs w:val="24"/>
        </w:rPr>
        <w:t xml:space="preserve"> Se le carte di gabinetto non conservano l'appunto, resta la </w:t>
      </w:r>
      <w:r>
        <w:rPr>
          <w:rFonts w:ascii="Barlow Semi Condensed" w:cs="Barlow Semi Condensed" w:eastAsia="Barlow Semi Condensed" w:hAnsi="Barlow Semi Condensed"/>
          <w:b/>
          <w:bCs/>
          <w:sz w:val="24"/>
          <w:szCs w:val="24"/>
        </w:rPr>
        <w:t xml:space="preserve">memorialistica politica</w:t>
      </w:r>
      <w:r>
        <w:rPr>
          <w:rFonts w:ascii="Barlow Semi Condensed" w:cs="Barlow Semi Condensed" w:eastAsia="Barlow Semi Condensed" w:hAnsi="Barlow Semi Condensed"/>
          <w:sz w:val="24"/>
          <w:szCs w:val="24"/>
        </w:rPr>
        <w:t xml:space="preserve">, dove i colloqui con Washington sono registrati in forma privata e datata: il </w:t>
      </w:r>
      <w:r>
        <w:rPr>
          <w:rFonts w:ascii="Barlow Semi Condensed" w:cs="Barlow Semi Condensed" w:eastAsia="Barlow Semi Condensed" w:hAnsi="Barlow Semi Condensed"/>
          <w:b/>
          <w:bCs/>
          <w:sz w:val="24"/>
          <w:szCs w:val="24"/>
        </w:rPr>
        <w:t xml:space="preserve">fondo Fanfani</w:t>
      </w:r>
      <w:r>
        <w:rPr>
          <w:rFonts w:ascii="Barlow Semi Condensed" w:cs="Barlow Semi Condensed" w:eastAsia="Barlow Semi Condensed" w:hAnsi="Barlow Semi Condensed"/>
          <w:sz w:val="24"/>
          <w:szCs w:val="24"/>
        </w:rPr>
        <w:t xml:space="preserve"> all'Archivio storico del Senato, che copre il 1945-2000 e ha inventario pubblicato; l'</w:t>
      </w:r>
      <w:r>
        <w:rPr>
          <w:rFonts w:ascii="Barlow Semi Condensed" w:cs="Barlow Semi Condensed" w:eastAsia="Barlow Semi Condensed" w:hAnsi="Barlow Semi Condensed"/>
          <w:b/>
          <w:bCs/>
          <w:sz w:val="24"/>
          <w:szCs w:val="24"/>
        </w:rPr>
        <w:t xml:space="preserve">archivio Cossiga</w:t>
      </w:r>
      <w:r>
        <w:rPr>
          <w:rFonts w:ascii="Barlow Semi Condensed" w:cs="Barlow Semi Condensed" w:eastAsia="Barlow Semi Condensed" w:hAnsi="Barlow Semi Condensed"/>
          <w:sz w:val="24"/>
          <w:szCs w:val="24"/>
        </w:rPr>
        <w:t xml:space="preserve"> alla Camera; il </w:t>
      </w:r>
      <w:r>
        <w:rPr>
          <w:rFonts w:ascii="Barlow Semi Condensed" w:cs="Barlow Semi Condensed" w:eastAsia="Barlow Semi Condensed" w:hAnsi="Barlow Semi Condensed"/>
          <w:b/>
          <w:bCs/>
          <w:sz w:val="24"/>
          <w:szCs w:val="24"/>
        </w:rPr>
        <w:t xml:space="preserve">fondo Craxi</w:t>
      </w:r>
      <w:r>
        <w:rPr>
          <w:rFonts w:ascii="Barlow Semi Condensed" w:cs="Barlow Semi Condensed" w:eastAsia="Barlow Semi Condensed" w:hAnsi="Barlow Semi Condensed"/>
          <w:sz w:val="24"/>
          <w:szCs w:val="24"/>
        </w:rPr>
        <w:t xml:space="preserve">, conservato presso la Fondazione che ne porta il nome e in gran parte digitalizzato. Il quesito si restringe a due annate — </w:t>
      </w:r>
      <w:r>
        <w:rPr>
          <w:rFonts w:ascii="Barlow Semi Condensed" w:cs="Barlow Semi Condensed" w:eastAsia="Barlow Semi Condensed" w:hAnsi="Barlow Semi Condensed"/>
          <w:b/>
          <w:bCs/>
          <w:sz w:val="24"/>
          <w:szCs w:val="24"/>
        </w:rPr>
        <w:t xml:space="preserve">1974 e 1978</w:t>
      </w:r>
      <w:r>
        <w:rPr>
          <w:rFonts w:ascii="Barlow Semi Condensed" w:cs="Barlow Semi Condensed" w:eastAsia="Barlow Semi Condensed" w:hAnsi="Barlow Semi Condensed"/>
          <w:sz w:val="24"/>
          <w:szCs w:val="24"/>
        </w:rPr>
        <w:t xml:space="preserve"> — e l'esito va riportato anche se nullo. È una sede di natura diversa dalle altre quattro, perché un diario non è un atto d'ufficio e vale quanto vale; ma un diario datato che tacesse sull'episodio, in chi ne fu contemporaneo e informato, sarebbe esso stesso un dato.</w:t>
      </w:r>
    </w:p>
    <w:p>
      <w:pPr>
        <w:spacing w:after="120" w:line="276"/>
        <w:jc w:val="both"/>
      </w:pPr>
      <w:r>
        <w:rPr>
          <w:rFonts w:ascii="Barlow Semi Condensed" w:cs="Barlow Semi Condensed" w:eastAsia="Barlow Semi Condensed" w:hAnsi="Barlow Semi Condensed"/>
          <w:sz w:val="24"/>
          <w:szCs w:val="24"/>
        </w:rPr>
        <w:t xml:space="preserve">Finché quella riga non ha risposta, ogni affermazione sull'episodio — in un senso o nell'altro — poggia su metà del tavolo.</w:t>
      </w:r>
    </w:p>
    <w:p>
      <w:pPr>
        <w:pStyle w:val="Heading3"/>
        <w:spacing w:after="80" w:before="160"/>
      </w:pPr>
      <w:r>
        <w:rPr>
          <w:rFonts w:ascii="Barlow Semi Condensed" w:cs="Barlow Semi Condensed" w:eastAsia="Barlow Semi Condensed" w:hAnsi="Barlow Semi Condensed"/>
          <w:sz w:val="24"/>
          <w:szCs w:val="24"/>
        </w:rPr>
        <w:t xml:space="preserve">L-5 · L'attesa dichiarata: lo Stato Zero atteso e quello sorprendente</w:t>
      </w:r>
    </w:p>
    <w:p>
      <w:pPr>
        <w:spacing w:after="120" w:line="276"/>
        <w:jc w:val="both"/>
      </w:pPr>
      <w:r>
        <w:rPr>
          <w:rFonts w:ascii="Barlow Semi Condensed" w:cs="Barlow Semi Condensed" w:eastAsia="Barlow Semi Condensed" w:hAnsi="Barlow Semi Condensed"/>
          <w:sz w:val="24"/>
          <w:szCs w:val="24"/>
        </w:rPr>
        <w:t xml:space="preserve">È la terza regola che la campagna territoriale consegna al corpus, e nasce da un abuso sottile che nessuna opera precedente aveva codificato.</w:t>
      </w:r>
    </w:p>
    <w:p>
      <w:pPr>
        <w:spacing w:after="120" w:line="276"/>
        <w:jc w:val="both"/>
      </w:pPr>
      <w:r>
        <w:rPr>
          <w:rFonts w:ascii="Barlow Semi Condensed" w:cs="Barlow Semi Condensed" w:eastAsia="Barlow Semi Condensed" w:hAnsi="Barlow Semi Condensed"/>
          <w:sz w:val="24"/>
          <w:szCs w:val="24"/>
        </w:rPr>
        <w:t xml:space="preserve">Il corpus tratta lo Stato Zero come acquisizione di pieno valore, e fa bene. Ma </w:t>
      </w:r>
      <w:r>
        <w:rPr>
          <w:rFonts w:ascii="Barlow Semi Condensed" w:cs="Barlow Semi Condensed" w:eastAsia="Barlow Semi Condensed" w:hAnsi="Barlow Semi Condensed"/>
          <w:b/>
          <w:bCs/>
          <w:sz w:val="24"/>
          <w:szCs w:val="24"/>
        </w:rPr>
        <w:t xml:space="preserve">non tutti gli esiti negativi valgono lo stesso</w:t>
      </w:r>
      <w:r>
        <w:rPr>
          <w:rFonts w:ascii="Barlow Semi Condensed" w:cs="Barlow Semi Condensed" w:eastAsia="Barlow Semi Condensed" w:hAnsi="Barlow Semi Condensed"/>
          <w:sz w:val="24"/>
          <w:szCs w:val="24"/>
        </w:rPr>
        <w:t xml:space="preserve">, e la differenza non sta nel metodo della ricerca: sta in ciò che ci si aspettava di trovare prima di cominciare. Non reperire il nome di Henry Kissinger negli archivi messicani del 1954 non è un'acquisizione: è la conferma di ciò che chiunque avrebbe previsto, poiché in quell'anno l'uomo era un dottorando di Harvard senza carica, senza profilo latinoamericano e senza alcuna funzione operativa. Non reperirlo dove la sua carica lo collocava — un tavolo di cui fu parte, un fascicolo che la sua funzione avrebbe dovuto generare — è invece un fatto.</w:t>
      </w:r>
    </w:p>
    <w:p>
      <w:pPr>
        <w:spacing w:after="120" w:line="276"/>
        <w:jc w:val="both"/>
      </w:pPr>
      <w:r>
        <w:rPr>
          <w:rFonts w:ascii="Barlow Semi Condensed" w:cs="Barlow Semi Condensed" w:eastAsia="Barlow Semi Condensed" w:hAnsi="Barlow Semi Condensed"/>
          <w:b/>
          <w:bCs/>
          <w:sz w:val="24"/>
          <w:szCs w:val="24"/>
        </w:rPr>
        <w:t xml:space="preserve">La regola operativa, che si applica prima di aprire il fondo e non dopo</w:t>
      </w:r>
      <w:r>
        <w:rPr>
          <w:rFonts w:ascii="Barlow Semi Condensed" w:cs="Barlow Semi Condensed" w:eastAsia="Barlow Semi Condensed" w:hAnsi="Barlow Semi Condensed"/>
          <w:sz w:val="24"/>
          <w:szCs w:val="24"/>
        </w:rPr>
        <w:t xml:space="preserve">: si dichiara per iscritto </w:t>
      </w:r>
      <w:r>
        <w:rPr>
          <w:rFonts w:ascii="Barlow Semi Condensed" w:cs="Barlow Semi Condensed" w:eastAsia="Barlow Semi Condensed" w:hAnsi="Barlow Semi Condensed"/>
          <w:b/>
          <w:bCs/>
          <w:sz w:val="24"/>
          <w:szCs w:val="24"/>
        </w:rPr>
        <w:t xml:space="preserve">quanti riscontri ci si attende e perché</w:t>
      </w:r>
      <w:r>
        <w:rPr>
          <w:rFonts w:ascii="Barlow Semi Condensed" w:cs="Barlow Semi Condensed" w:eastAsia="Barlow Semi Condensed" w:hAnsi="Barlow Semi Condensed"/>
          <w:sz w:val="24"/>
          <w:szCs w:val="24"/>
        </w:rPr>
        <w:t xml:space="preserve">, e la ricerca si valuta contro quella attesa. Un esito negativo conforme all'attesa si registra e non si pesa; un esito negativo difforme è un'acquisizione, e va scritto in evidenza con la ragione della difformità.</w:t>
      </w:r>
    </w:p>
    <w:p>
      <w:pPr>
        <w:spacing w:after="120" w:line="276"/>
        <w:jc w:val="both"/>
      </w:pPr>
      <w:r>
        <w:rPr>
          <w:rFonts w:ascii="Barlow Semi Condensed" w:cs="Barlow Semi Condensed" w:eastAsia="Barlow Semi Condensed" w:hAnsi="Barlow Semi Condensed"/>
          <w:sz w:val="24"/>
          <w:szCs w:val="24"/>
        </w:rPr>
        <w:t xml:space="preserve">Senza questa dichiarazione preventiva, un censimento di Stati Zero diventa una macchina che produce significato dal nulla: mille ricerche a vuoto in luoghi dove nessuno si aspettava di trovare qualcosa si sommano, nella percezione del lettore, in un'assenza clamorosa. </w:t>
      </w:r>
      <w:r>
        <w:rPr>
          <w:rFonts w:ascii="Barlow Semi Condensed" w:cs="Barlow Semi Condensed" w:eastAsia="Barlow Semi Condensed" w:hAnsi="Barlow Semi Condensed"/>
          <w:b/>
          <w:bCs/>
          <w:sz w:val="24"/>
          <w:szCs w:val="24"/>
        </w:rPr>
        <w:t xml:space="preserve">È l'errore speculare della moltiplicazione apparente delle fonti</w:t>
      </w:r>
      <w:r>
        <w:rPr>
          <w:rFonts w:ascii="Barlow Semi Condensed" w:cs="Barlow Semi Condensed" w:eastAsia="Barlow Semi Condensed" w:hAnsi="Barlow Semi Condensed"/>
          <w:sz w:val="24"/>
          <w:szCs w:val="24"/>
        </w:rPr>
        <w:t xml:space="preserve"> — là si contano ripetizioni come se fossero riscontri, qui si contano vuoti previsti come se fossero scoperte. La serie sedicesima l'ha formulata per prima e le successive l'hanno adottata; il censimento della sessantunesima serie applica la separazione.</w:t>
      </w:r>
    </w:p>
    <w:p>
      <w:pPr>
        <w:pStyle w:val="Heading3"/>
        <w:spacing w:after="80" w:before="160"/>
      </w:pPr>
      <w:r>
        <w:rPr>
          <w:rFonts w:ascii="Barlow Semi Condensed" w:cs="Barlow Semi Condensed" w:eastAsia="Barlow Semi Condensed" w:hAnsi="Barlow Semi Condensed"/>
          <w:sz w:val="24"/>
          <w:szCs w:val="24"/>
        </w:rPr>
        <w:t xml:space="preserve">L-5bis · La serie terza senza accenti: un difetto trovato dall'opera in se stessa</w:t>
      </w:r>
    </w:p>
    <w:p>
      <w:pPr>
        <w:spacing w:after="120" w:line="276"/>
        <w:jc w:val="both"/>
      </w:pPr>
      <w:r>
        <w:rPr>
          <w:rFonts w:ascii="Barlow Semi Condensed" w:cs="Barlow Semi Condensed" w:eastAsia="Barlow Semi Condensed" w:hAnsi="Barlow Semi Condensed"/>
          <w:sz w:val="24"/>
          <w:szCs w:val="24"/>
        </w:rPr>
        <w:t xml:space="preserve">Va registrato per intero, perché è il caso in cui la macchina di controllo si è rivolta contro chi l'aveva costruita.</w:t>
      </w:r>
    </w:p>
    <w:p>
      <w:pPr>
        <w:spacing w:after="120" w:line="276"/>
        <w:jc w:val="both"/>
      </w:pPr>
      <w:r>
        <w:rPr>
          <w:rFonts w:ascii="Barlow Semi Condensed" w:cs="Barlow Semi Condensed" w:eastAsia="Barlow Semi Condensed" w:hAnsi="Barlow Semi Condensed"/>
          <w:b/>
          <w:bCs/>
          <w:sz w:val="24"/>
          <w:szCs w:val="24"/>
        </w:rPr>
        <w:t xml:space="preserve">Il difetto.</w:t>
      </w:r>
      <w:r>
        <w:rPr>
          <w:rFonts w:ascii="Barlow Semi Condensed" w:cs="Barlow Semi Condensed" w:eastAsia="Barlow Semi Condensed" w:hAnsi="Barlow Semi Condensed"/>
          <w:sz w:val="24"/>
          <w:szCs w:val="24"/>
        </w:rPr>
        <w:t xml:space="preserve"> Nella prima edizione di quest'opera la </w:t>
      </w:r>
      <w:r>
        <w:rPr>
          <w:rFonts w:ascii="Barlow Semi Condensed" w:cs="Barlow Semi Condensed" w:eastAsia="Barlow Semi Condensed" w:hAnsi="Barlow Semi Condensed"/>
          <w:b/>
          <w:bCs/>
          <w:sz w:val="24"/>
          <w:szCs w:val="24"/>
        </w:rPr>
        <w:t xml:space="preserve">Serie terza — «L'ereditarietà dottrinale», blocchi 136-205, 4.261 parole — era priva di ogni segno diacritico italiano</w:t>
      </w:r>
      <w:r>
        <w:rPr>
          <w:rFonts w:ascii="Barlow Semi Condensed" w:cs="Barlow Semi Condensed" w:eastAsia="Barlow Semi Condensed" w:hAnsi="Barlow Semi Condensed"/>
          <w:sz w:val="24"/>
          <w:szCs w:val="24"/>
        </w:rPr>
        <w:t xml:space="preserve">: si leggeva «e» per «è», «piu», «perche», «ciò» come «cio», «puo», «realta». Le altre dodici serie ne portavano fra 43 e 57 per mille parole; la terza, zero. L'agente che la redasse aveva restituito italiano in ASCII, e i sette controlli di disciplina allora in vigore — numerazione, duplicati, banda di lunghezza, fonti escluse, attribuzioni penali, inferenze per appartenenza, citazioni interne — </w:t>
      </w:r>
      <w:r>
        <w:rPr>
          <w:rFonts w:ascii="Barlow Semi Condensed" w:cs="Barlow Semi Condensed" w:eastAsia="Barlow Semi Condensed" w:hAnsi="Barlow Semi Condensed"/>
          <w:b/>
          <w:bCs/>
          <w:sz w:val="24"/>
          <w:szCs w:val="24"/>
        </w:rPr>
        <w:t xml:space="preserve">non guardavano l'ortografia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Chi lo ha trovato.</w:t>
      </w:r>
      <w:r>
        <w:rPr>
          <w:rFonts w:ascii="Barlow Semi Condensed" w:cs="Barlow Semi Condensed" w:eastAsia="Barlow Semi Condensed" w:hAnsi="Barlow Semi Condensed"/>
          <w:sz w:val="24"/>
          <w:szCs w:val="24"/>
        </w:rPr>
        <w:t xml:space="preserve"> Non l'estensore, e non un controllo automatico: la </w:t>
      </w:r>
      <w:r>
        <w:rPr>
          <w:rFonts w:ascii="Barlow Semi Condensed" w:cs="Barlow Semi Condensed" w:eastAsia="Barlow Semi Condensed" w:hAnsi="Barlow Semi Condensed"/>
          <w:b/>
          <w:bCs/>
          <w:sz w:val="24"/>
          <w:szCs w:val="24"/>
        </w:rPr>
        <w:t xml:space="preserve">sessantesima serie</w:t>
      </w:r>
      <w:r>
        <w:rPr>
          <w:rFonts w:ascii="Barlow Semi Condensed" w:cs="Barlow Semi Condensed" w:eastAsia="Barlow Semi Condensed" w:hAnsi="Barlow Semi Condensed"/>
          <w:sz w:val="24"/>
          <w:szCs w:val="24"/>
        </w:rPr>
        <w:t xml:space="preserve"> della seconda campagna, quella dedicata alle lingue, alle traduzioni e agli interpreti, che leggendo il proprio territorio ha misurato la caduta dei diacritici e l'ha qualificata con esattezza — «è mutazione di trascrizione interna al corpus, non variante d'autore, e va verbalizzata prima di essere corretta». Un'opera costruita per triangolare un nome contro il corpus ha trovato un errore del corpus, nella serie che il corpus dedica agli errori di trascrizione.</w:t>
      </w:r>
    </w:p>
    <w:p>
      <w:pPr>
        <w:spacing w:after="120" w:line="276"/>
        <w:jc w:val="both"/>
      </w:pPr>
      <w:r>
        <w:rPr>
          <w:rFonts w:ascii="Barlow Semi Condensed" w:cs="Barlow Semi Condensed" w:eastAsia="Barlow Semi Condensed" w:hAnsi="Barlow Semi Condensed"/>
          <w:b/>
          <w:bCs/>
          <w:sz w:val="24"/>
          <w:szCs w:val="24"/>
        </w:rPr>
        <w:t xml:space="preserve">Come è stato riparato, e con quale garanzia.</w:t>
      </w:r>
      <w:r>
        <w:rPr>
          <w:rFonts w:ascii="Barlow Semi Condensed" w:cs="Barlow Semi Condensed" w:eastAsia="Barlow Semi Condensed" w:hAnsi="Barlow Semi Condensed"/>
          <w:sz w:val="24"/>
          <w:szCs w:val="24"/>
        </w:rPr>
        <w:t xml:space="preserve"> Il restauro non è stato affidato alla parola di chi lo eseguiva. Il testo restaurato è stato </w:t>
      </w:r>
      <w:r>
        <w:rPr>
          <w:rFonts w:ascii="Barlow Semi Condensed" w:cs="Barlow Semi Condensed" w:eastAsia="Barlow Semi Condensed" w:hAnsi="Barlow Semi Condensed"/>
          <w:b/>
          <w:bCs/>
          <w:sz w:val="24"/>
          <w:szCs w:val="24"/>
        </w:rPr>
        <w:t xml:space="preserve">spogliato di ogni diacritico e confrontato carattere per carattere con l'originale</w:t>
      </w:r>
      <w:r>
        <w:rPr>
          <w:rFonts w:ascii="Barlow Semi Condensed" w:cs="Barlow Semi Condensed" w:eastAsia="Barlow Semi Condensed" w:hAnsi="Barlow Semi Condensed"/>
          <w:sz w:val="24"/>
          <w:szCs w:val="24"/>
        </w:rPr>
        <w:t xml:space="preserve">: se un solo blocco avesse mostrato una parola diversa, una virgola spostata, una maiuscola cambiata, non si sarebbe scritto nulla. Alla prima esecuzione mancava un lotto e la procedura si è rifiutata di procedere. Alla seconda: settanta blocchi su settanta, </w:t>
      </w:r>
      <w:r>
        <w:rPr>
          <w:rFonts w:ascii="Barlow Semi Condensed" w:cs="Barlow Semi Condensed" w:eastAsia="Barlow Semi Condensed" w:hAnsi="Barlow Semi Condensed"/>
          <w:b/>
          <w:bCs/>
          <w:sz w:val="24"/>
          <w:szCs w:val="24"/>
        </w:rPr>
        <w:t xml:space="preserve">zero difformità oltre i diacritici</w:t>
      </w:r>
      <w:r>
        <w:rPr>
          <w:rFonts w:ascii="Barlow Semi Condensed" w:cs="Barlow Semi Condensed" w:eastAsia="Barlow Semi Condensed" w:hAnsi="Barlow Semi Condensed"/>
          <w:sz w:val="24"/>
          <w:szCs w:val="24"/>
        </w:rPr>
        <w:t xml:space="preserve">, densità della serie terza risalita a 45,1 per mille parole, dentro la fascia delle altre dodici.</w:t>
      </w:r>
    </w:p>
    <w:p>
      <w:pPr>
        <w:spacing w:after="120" w:line="276"/>
        <w:jc w:val="both"/>
      </w:pPr>
      <w:r>
        <w:rPr>
          <w:rFonts w:ascii="Barlow Semi Condensed" w:cs="Barlow Semi Condensed" w:eastAsia="Barlow Semi Condensed" w:hAnsi="Barlow Semi Condensed"/>
          <w:b/>
          <w:bCs/>
          <w:sz w:val="24"/>
          <w:szCs w:val="24"/>
        </w:rPr>
        <w:t xml:space="preserve">Che cosa se ne ricava, e vale oltre questo caso.</w:t>
      </w:r>
      <w:r>
        <w:rPr>
          <w:rFonts w:ascii="Barlow Semi Condensed" w:cs="Barlow Semi Condensed" w:eastAsia="Barlow Semi Condensed" w:hAnsi="Barlow Semi Condensed"/>
          <w:sz w:val="24"/>
          <w:szCs w:val="24"/>
        </w:rPr>
        <w:t xml:space="preserve"> Un controllo di qualità verifica ciò che qualcuno ha pensato di verificare, e nient'altro: i sette controlli erano tutti sostanziali — disciplina, gradi, fonti, attribuzioni — e nessuno guardava la superficie del testo. </w:t>
      </w:r>
      <w:r>
        <w:rPr>
          <w:rFonts w:ascii="Barlow Semi Condensed" w:cs="Barlow Semi Condensed" w:eastAsia="Barlow Semi Condensed" w:hAnsi="Barlow Semi Condensed"/>
          <w:b/>
          <w:bCs/>
          <w:sz w:val="24"/>
          <w:szCs w:val="24"/>
        </w:rPr>
        <w:t xml:space="preserve">L'ortografia entra da qui fra i controlli permanenti dell'opera</w:t>
      </w:r>
      <w:r>
        <w:rPr>
          <w:rFonts w:ascii="Barlow Semi Condensed" w:cs="Barlow Semi Condensed" w:eastAsia="Barlow Semi Condensed" w:hAnsi="Barlow Semi Condensed"/>
          <w:sz w:val="24"/>
          <w:szCs w:val="24"/>
        </w:rPr>
        <w:t xml:space="preserve">, misurata come densità di diacritici per serie, perché un'anomalia di superficie si rileva in un secondo e a occhio nudo non si vede affatto.</w:t>
      </w:r>
    </w:p>
    <w:p>
      <w:pPr>
        <w:pStyle w:val="Heading3"/>
        <w:spacing w:after="80" w:before="160"/>
      </w:pPr>
      <w:r>
        <w:rPr>
          <w:rFonts w:ascii="Barlow Semi Condensed" w:cs="Barlow Semi Condensed" w:eastAsia="Barlow Semi Condensed" w:hAnsi="Barlow Semi Condensed"/>
          <w:sz w:val="24"/>
          <w:szCs w:val="24"/>
        </w:rPr>
        <w:t xml:space="preserve">L-6 · I quattro atti: il programma esecutivo che l'opera consegna</w:t>
      </w:r>
    </w:p>
    <w:p>
      <w:pPr>
        <w:spacing w:after="120" w:line="276"/>
        <w:jc w:val="both"/>
      </w:pPr>
      <w:r>
        <w:rPr>
          <w:rFonts w:ascii="Barlow Semi Condensed" w:cs="Barlow Semi Condensed" w:eastAsia="Barlow Semi Condensed" w:hAnsi="Barlow Semi Condensed"/>
          <w:sz w:val="24"/>
          <w:szCs w:val="24"/>
        </w:rPr>
        <w:t xml:space="preserve">Le cinquantadue serie territoriali non hanno prodotto alcun nesso nuovo. Hanno prodotto qualcosa che il corpus non aveva: </w:t>
      </w:r>
      <w:r>
        <w:rPr>
          <w:rFonts w:ascii="Barlow Semi Condensed" w:cs="Barlow Semi Condensed" w:eastAsia="Barlow Semi Condensed" w:hAnsi="Barlow Semi Condensed"/>
          <w:b/>
          <w:bCs/>
          <w:sz w:val="24"/>
          <w:szCs w:val="24"/>
        </w:rPr>
        <w:t xml:space="preserve">un elenco chiuso di atti da compiere</w:t>
      </w:r>
      <w:r>
        <w:rPr>
          <w:rFonts w:ascii="Barlow Semi Condensed" w:cs="Barlow Semi Condensed" w:eastAsia="Barlow Semi Condensed" w:hAnsi="Barlow Semi Condensed"/>
          <w:sz w:val="24"/>
          <w:szCs w:val="24"/>
        </w:rPr>
        <w:t xml:space="preserve">, ciascuno eseguibile da un terzo, ciascuno con la propria sede. La cinquantacinquesima serie li ha formulati come criterio della propria chiusura, e valgono per l'opera intera. </w:t>
      </w:r>
      <w:r>
        <w:rPr>
          <w:rFonts w:ascii="Barlow Semi Condensed" w:cs="Barlow Semi Condensed" w:eastAsia="Barlow Semi Condensed" w:hAnsi="Barlow Semi Condensed"/>
          <w:b/>
          <w:bCs/>
          <w:sz w:val="24"/>
          <w:szCs w:val="24"/>
        </w:rPr>
        <w:t xml:space="preserve">Prima che siano compiuti, nulla si conclude.</w:t>
      </w:r>
    </w:p>
    <w:p>
      <w:pPr>
        <w:spacing w:after="120" w:line="276"/>
        <w:jc w:val="both"/>
      </w:pPr>
      <w:r>
        <w:rPr>
          <w:rFonts w:ascii="Barlow Semi Condensed" w:cs="Barlow Semi Condensed" w:eastAsia="Barlow Semi Condensed" w:hAnsi="Barlow Semi Condensed"/>
          <w:b/>
          <w:bCs/>
          <w:sz w:val="24"/>
          <w:szCs w:val="24"/>
        </w:rPr>
        <w:t xml:space="preserve">Primo. La collazione delle due copie del verbale.</w:t>
      </w:r>
      <w:r>
        <w:rPr>
          <w:rFonts w:ascii="Barlow Semi Condensed" w:cs="Barlow Semi Condensed" w:eastAsia="Barlow Semi Condensed" w:hAnsi="Barlow Semi Condensed"/>
          <w:sz w:val="24"/>
          <w:szCs w:val="24"/>
        </w:rPr>
        <w:t xml:space="preserve"> Confrontare la copia digitalizzata dalla Gerald R. Ford Presidential Library — file 1552802 — col testo a stampa del documento 350 del volume FRUS 1969-1976 E-15 parte 2, </w:t>
      </w:r>
      <w:r>
        <w:rPr>
          <w:rFonts w:ascii="Barlow Semi Condensed" w:cs="Barlow Semi Condensed" w:eastAsia="Barlow Semi Condensed" w:hAnsi="Barlow Semi Condensed"/>
          <w:b/>
          <w:bCs/>
          <w:sz w:val="24"/>
          <w:szCs w:val="24"/>
        </w:rPr>
        <w:t xml:space="preserve">in entrambe le edizioni</w:t>
      </w:r>
      <w:r>
        <w:rPr>
          <w:rFonts w:ascii="Barlow Semi Condensed" w:cs="Barlow Semi Condensed" w:eastAsia="Barlow Semi Condensed" w:hAnsi="Barlow Semi Condensed"/>
          <w:sz w:val="24"/>
          <w:szCs w:val="24"/>
        </w:rPr>
        <w:t xml:space="preserve">, la prima e la riveduta. È una verifica filologica elementare che nessuno risulta avere compiuto, e la sua posta è alta: se le due copie divergono in un punto qualsiasi, l'unico documento su cui poggia mezzo secolo di discussione non è un documento solo, e ogni citazione fatta finora va rivista per edizione.</w:t>
      </w:r>
    </w:p>
    <w:p>
      <w:pPr>
        <w:spacing w:after="120" w:line="276"/>
        <w:jc w:val="both"/>
      </w:pPr>
      <w:r>
        <w:rPr>
          <w:rFonts w:ascii="Barlow Semi Condensed" w:cs="Barlow Semi Condensed" w:eastAsia="Barlow Semi Condensed" w:hAnsi="Barlow Semi Condensed"/>
          <w:b/>
          <w:bCs/>
          <w:sz w:val="24"/>
          <w:szCs w:val="24"/>
        </w:rPr>
        <w:t xml:space="preserve">Secondo. La riga di firma, e la citazione da riscontrare.</w:t>
      </w:r>
      <w:r>
        <w:rPr>
          <w:rFonts w:ascii="Barlow Semi Condensed" w:cs="Barlow Semi Condensed" w:eastAsia="Barlow Semi Condensed" w:hAnsi="Barlow Semi Condensed"/>
          <w:sz w:val="24"/>
          <w:szCs w:val="24"/>
        </w:rPr>
        <w:t xml:space="preserve"> Accertare chi redasse e chi firmò il documento che la cinquantacinquesima serie indica come </w:t>
      </w:r>
      <w:r>
        <w:rPr>
          <w:rFonts w:ascii="Barlow Semi Condensed" w:cs="Barlow Semi Condensed" w:eastAsia="Barlow Semi Condensed" w:hAnsi="Barlow Semi Condensed"/>
          <w:b/>
          <w:bCs/>
          <w:sz w:val="24"/>
          <w:szCs w:val="24"/>
        </w:rPr>
        <w:t xml:space="preserve">documento 23 del volume XXX</w:t>
      </w:r>
      <w:r>
        <w:rPr>
          <w:rFonts w:ascii="Barlow Semi Condensed" w:cs="Barlow Semi Condensed" w:eastAsia="Barlow Semi Condensed" w:hAnsi="Barlow Semi Condensed"/>
          <w:sz w:val="24"/>
          <w:szCs w:val="24"/>
        </w:rPr>
        <w:t xml:space="preserve"> dei FRUS, perché un memorandum of conversation non è un verbale stenografico e il suo estensore ne determina il taglio. </w:t>
      </w:r>
      <w:r>
        <w:rPr>
          <w:rFonts w:ascii="Barlow Semi Condensed" w:cs="Barlow Semi Condensed" w:eastAsia="Barlow Semi Condensed" w:hAnsi="Barlow Semi Condensed"/>
          <w:b/>
          <w:bCs/>
          <w:sz w:val="24"/>
          <w:szCs w:val="24"/>
        </w:rPr>
        <w:t xml:space="preserve">Con una precisazione che va fatta qui e non altrove</w:t>
      </w:r>
      <w:r>
        <w:rPr>
          <w:rFonts w:ascii="Barlow Semi Condensed" w:cs="Barlow Semi Condensed" w:eastAsia="Barlow Semi Condensed" w:hAnsi="Barlow Semi Condensed"/>
          <w:sz w:val="24"/>
          <w:szCs w:val="24"/>
        </w:rPr>
        <w:t xml:space="preserve">: quel riferimento proviene dalla serie stessa e </w:t>
      </w:r>
      <w:r>
        <w:rPr>
          <w:rFonts w:ascii="Barlow Semi Condensed" w:cs="Barlow Semi Condensed" w:eastAsia="Barlow Semi Condensed" w:hAnsi="Barlow Semi Condensed"/>
          <w:b/>
          <w:bCs/>
          <w:sz w:val="24"/>
          <w:szCs w:val="24"/>
        </w:rPr>
        <w:t xml:space="preserve">non è riscontrabile sul corpus</w:t>
      </w:r>
      <w:r>
        <w:rPr>
          <w:rFonts w:ascii="Barlow Semi Condensed" w:cs="Barlow Semi Condensed" w:eastAsia="Barlow Semi Condensed" w:hAnsi="Barlow Semi Condensed"/>
          <w:sz w:val="24"/>
          <w:szCs w:val="24"/>
        </w:rPr>
        <w:t xml:space="preserve">, che non lo contiene in alcun documento. Il primo atto è dunque verificarlo sull'indice del volume; se la segnatura non regge, l'atto cade e va riscritto. Un apparato che passasse per buona una citazione solo perché l'ha prodotta il proprio lavoro commetterebbe l'errore che l'intera opera esiste per impedire.</w:t>
      </w:r>
    </w:p>
    <w:p>
      <w:pPr>
        <w:spacing w:after="120" w:line="276"/>
        <w:jc w:val="both"/>
      </w:pPr>
      <w:r>
        <w:rPr>
          <w:rFonts w:ascii="Barlow Semi Condensed" w:cs="Barlow Semi Condensed" w:eastAsia="Barlow Semi Condensed" w:hAnsi="Barlow Semi Condensed"/>
          <w:b/>
          <w:bCs/>
          <w:sz w:val="24"/>
          <w:szCs w:val="24"/>
        </w:rPr>
        <w:t xml:space="preserve">Terzo. Lo spoglio atlantico e alleato.</w:t>
      </w:r>
      <w:r>
        <w:rPr>
          <w:rFonts w:ascii="Barlow Semi Condensed" w:cs="Barlow Semi Condensed" w:eastAsia="Barlow Semi Condensed" w:hAnsi="Barlow Semi Condensed"/>
          <w:sz w:val="24"/>
          <w:szCs w:val="24"/>
        </w:rPr>
        <w:t xml:space="preserve"> La serie NATO dell'Archivio Storico Diplomatico del Ministero degli Affari Esteri e i verbali ministeriali del NATO Archives Online, per il periodo che le cariche del soggetto delimitano.</w:t>
      </w:r>
    </w:p>
    <w:p>
      <w:pPr>
        <w:spacing w:after="120" w:line="276"/>
        <w:jc w:val="both"/>
      </w:pPr>
      <w:r>
        <w:rPr>
          <w:rFonts w:ascii="Barlow Semi Condensed" w:cs="Barlow Semi Condensed" w:eastAsia="Barlow Semi Condensed" w:hAnsi="Barlow Semi Condensed"/>
          <w:b/>
          <w:bCs/>
          <w:sz w:val="24"/>
          <w:szCs w:val="24"/>
        </w:rPr>
        <w:t xml:space="preserve">Quarto, ed è il bersaglio che questa campagna consegna per primo alla ripresa.</w:t>
      </w:r>
      <w:r>
        <w:rPr>
          <w:rFonts w:ascii="Barlow Semi Condensed" w:cs="Barlow Semi Condensed" w:eastAsia="Barlow Semi Condensed" w:hAnsi="Barlow Semi Condensed"/>
          <w:sz w:val="24"/>
          <w:szCs w:val="24"/>
        </w:rPr>
        <w:t xml:space="preserve"> Verificare l'esistenza di un </w:t>
      </w:r>
      <w:r>
        <w:rPr>
          <w:rFonts w:ascii="Barlow Semi Condensed" w:cs="Barlow Semi Condensed" w:eastAsia="Barlow Semi Condensed" w:hAnsi="Barlow Semi Condensed"/>
          <w:b/>
          <w:bCs/>
          <w:sz w:val="24"/>
          <w:szCs w:val="24"/>
        </w:rPr>
        <w:t xml:space="preserve">appunto italiano</w:t>
      </w:r>
      <w:r>
        <w:rPr>
          <w:rFonts w:ascii="Barlow Semi Condensed" w:cs="Barlow Semi Condensed" w:eastAsia="Barlow Semi Condensed" w:hAnsi="Barlow Semi Condensed"/>
          <w:sz w:val="24"/>
          <w:szCs w:val="24"/>
        </w:rPr>
        <w:t xml:space="preserve"> sul colloquio dello Studio Ovale del 25 settembre 1974, secondo quanto la sezione L-4 espone per intero. È l'atto con la maggiore capacità di decidere, in tutte e tre le direzioni possibili.</w:t>
      </w:r>
    </w:p>
    <w:p>
      <w:pPr>
        <w:spacing w:after="120" w:line="276"/>
        <w:jc w:val="both"/>
      </w:pPr>
      <w:r>
        <w:rPr>
          <w:rFonts w:ascii="Barlow Semi Condensed" w:cs="Barlow Semi Condensed" w:eastAsia="Barlow Semi Condensed" w:hAnsi="Barlow Semi Condensed"/>
          <w:sz w:val="24"/>
          <w:szCs w:val="24"/>
        </w:rPr>
        <w:t xml:space="preserve">A questi si aggiunge, dalla sezione L-3, l'atto di programma che non è una ricerca ma una costruzione: </w:t>
      </w:r>
      <w:r>
        <w:rPr>
          <w:rFonts w:ascii="Barlow Semi Condensed" w:cs="Barlow Semi Condensed" w:eastAsia="Barlow Semi Condensed" w:hAnsi="Barlow Semi Condensed"/>
          <w:b/>
          <w:bCs/>
          <w:sz w:val="24"/>
          <w:szCs w:val="24"/>
        </w:rPr>
        <w:t xml:space="preserve">il cantiere atlantico</w:t>
      </w:r>
      <w:r>
        <w:rPr>
          <w:rFonts w:ascii="Barlow Semi Condensed" w:cs="Barlow Semi Condensed" w:eastAsia="Barlow Semi Condensed" w:hAnsi="Barlow Semi Condensed"/>
          <w:sz w:val="24"/>
          <w:szCs w:val="24"/>
        </w:rPr>
        <w:t xml:space="preserve">, quarto accanto a Londra, Parigi e Bonn, con la stessa griglia degli altri tre.</w:t>
      </w:r>
    </w:p>
    <w:p>
      <w:pPr>
        <w:spacing w:after="120" w:line="276"/>
        <w:jc w:val="both"/>
      </w:pPr>
      <w:r>
        <w:rPr>
          <w:rFonts w:ascii="Barlow Semi Condensed" w:cs="Barlow Semi Condensed" w:eastAsia="Barlow Semi Condensed" w:hAnsi="Barlow Semi Condensed"/>
          <w:sz w:val="24"/>
          <w:szCs w:val="24"/>
        </w:rPr>
        <w:t xml:space="preserve">Cinque cose da fare, e nessuna tesi. È tutto ciò che quattromilanovecentonovantanove blocchi mirati possono onestamente consegnare a chi verrà dopo — e il buco misurato è conoscenza, mentre il buco narrato è romanzo.</w:t>
      </w:r>
    </w:p>
    <w:p>
      <w:pPr>
        <w:pStyle w:val="Heading3"/>
        <w:spacing w:after="80" w:before="160"/>
      </w:pPr>
      <w:r>
        <w:rPr>
          <w:rFonts w:ascii="Barlow Semi Condensed" w:cs="Barlow Semi Condensed" w:eastAsia="Barlow Semi Condensed" w:hAnsi="Barlow Semi Condensed"/>
          <w:sz w:val="24"/>
          <w:szCs w:val="24"/>
        </w:rPr>
        <w:t xml:space="preserve">L-7 · Il limite forense: la scienza risponde alle cose, non alle intenzioni</w:t>
      </w:r>
    </w:p>
    <w:p>
      <w:pPr>
        <w:spacing w:after="120" w:line="276"/>
        <w:jc w:val="both"/>
      </w:pPr>
      <w:r>
        <w:rPr>
          <w:rFonts w:ascii="Barlow Semi Condensed" w:cs="Barlow Semi Condensed" w:eastAsia="Barlow Semi Condensed" w:hAnsi="Barlow Semi Condensed"/>
          <w:sz w:val="24"/>
          <w:szCs w:val="24"/>
        </w:rPr>
        <w:t xml:space="preserve">Va detto perché un lettore potrebbe attendersi il contrario. Il corpus dispone dell'apparato probatorio più solido del caso — i novantuno bossoli con le loro attribuzioni peritali, il caricatore di via Stresa, i profili genetici del 2016, le perizie balistiche e i confronti d'immagine — ed è la sua macchina di accertamento più forte. </w:t>
      </w:r>
      <w:r>
        <w:rPr>
          <w:rFonts w:ascii="Barlow Semi Condensed" w:cs="Barlow Semi Condensed" w:eastAsia="Barlow Semi Condensed" w:hAnsi="Barlow Semi Condensed"/>
          <w:b/>
          <w:bCs/>
          <w:sz w:val="24"/>
          <w:szCs w:val="24"/>
        </w:rPr>
        <w:t xml:space="preserve">Su questa domanda non può nulla, e non per difetto di zelo: per costituzione.</w:t>
      </w:r>
    </w:p>
    <w:p>
      <w:pPr>
        <w:spacing w:after="120" w:line="276"/>
        <w:jc w:val="both"/>
      </w:pPr>
      <w:r>
        <w:rPr>
          <w:rFonts w:ascii="Barlow Semi Condensed" w:cs="Barlow Semi Condensed" w:eastAsia="Barlow Semi Condensed" w:hAnsi="Barlow Semi Condensed"/>
          <w:sz w:val="24"/>
          <w:szCs w:val="24"/>
        </w:rPr>
        <w:t xml:space="preserve">La ragione è nel manuale stesso, al blocco 49: nessun reperto si analizza per vedere che cosa ne esce, perché ogni esame discende da una matrice di ipotesi. Ne segue il limite: </w:t>
      </w:r>
      <w:r>
        <w:rPr>
          <w:rFonts w:ascii="Barlow Semi Condensed" w:cs="Barlow Semi Condensed" w:eastAsia="Barlow Semi Condensed" w:hAnsi="Barlow Semi Condensed"/>
          <w:b/>
          <w:bCs/>
          <w:sz w:val="24"/>
          <w:szCs w:val="24"/>
        </w:rPr>
        <w:t xml:space="preserve">nessuna analisi di un bossolo, di un'arma o di un profilo genetico può corroborare o falsificare un'ipotesi su un decisore straniero.</w:t>
      </w:r>
      <w:r>
        <w:rPr>
          <w:rFonts w:ascii="Barlow Semi Condensed" w:cs="Barlow Semi Condensed" w:eastAsia="Barlow Semi Condensed" w:hAnsi="Barlow Semi Condensed"/>
          <w:sz w:val="24"/>
          <w:szCs w:val="24"/>
        </w:rPr>
        <w:t xml:space="preserve"> La scienza forense risponde a domande sulle cose — chi impugnò, da dove si sparò, chi toccò — e non a domande sulle intenzioni di chi non era nella stanza.</w:t>
      </w:r>
    </w:p>
    <w:p>
      <w:pPr>
        <w:spacing w:after="120" w:line="276"/>
        <w:jc w:val="both"/>
      </w:pPr>
      <w:r>
        <w:rPr>
          <w:rFonts w:ascii="Barlow Semi Condensed" w:cs="Barlow Semi Condensed" w:eastAsia="Barlow Semi Condensed" w:hAnsi="Barlow Semi Condensed"/>
          <w:b/>
          <w:bCs/>
          <w:sz w:val="24"/>
          <w:szCs w:val="24"/>
        </w:rPr>
        <w:t xml:space="preserve">La conseguenza pratica è un vincolo sui bersagli.</w:t>
      </w:r>
      <w:r>
        <w:rPr>
          <w:rFonts w:ascii="Barlow Semi Condensed" w:cs="Barlow Semi Condensed" w:eastAsia="Barlow Semi Condensed" w:hAnsi="Barlow Semi Condensed"/>
          <w:sz w:val="24"/>
          <w:szCs w:val="24"/>
        </w:rPr>
        <w:t xml:space="preserve"> Su questo nodo l'unica evidenza che possa spostare qualcosa è </w:t>
      </w:r>
      <w:r>
        <w:rPr>
          <w:rFonts w:ascii="Barlow Semi Condensed" w:cs="Barlow Semi Condensed" w:eastAsia="Barlow Semi Condensed" w:hAnsi="Barlow Semi Condensed"/>
          <w:b/>
          <w:bCs/>
          <w:sz w:val="24"/>
          <w:szCs w:val="24"/>
        </w:rPr>
        <w:t xml:space="preserve">documentale e archivistica</w:t>
      </w:r>
      <w:r>
        <w:rPr>
          <w:rFonts w:ascii="Barlow Semi Condensed" w:cs="Barlow Semi Condensed" w:eastAsia="Barlow Semi Condensed" w:hAnsi="Barlow Semi Condensed"/>
          <w:sz w:val="24"/>
          <w:szCs w:val="24"/>
        </w:rPr>
        <w:t xml:space="preserve">: un verbale, un telespresso, una nota di gabinetto, un fascicolo declassificato. Chi attenda che una nuova perizia decida la questione attende una cosa che quella disciplina non è in grado di dare, e l'attesa stessa è un modo per non cercare dove si dovrebbe. È la ragione per cui i cinque atti della sezione L-6 sono tutti atti d'archivio e nessuno è un esame di laboratorio.</w:t>
      </w:r>
    </w:p>
    <w:p>
      <w:pPr>
        <w:pStyle w:val="Heading3"/>
        <w:spacing w:after="80" w:before="160"/>
      </w:pPr>
      <w:r>
        <w:rPr>
          <w:rFonts w:ascii="Barlow Semi Condensed" w:cs="Barlow Semi Condensed" w:eastAsia="Barlow Semi Condensed" w:hAnsi="Barlow Semi Condensed"/>
          <w:sz w:val="24"/>
          <w:szCs w:val="24"/>
        </w:rPr>
        <w:t xml:space="preserve">L-8 · Che cosa la seconda campagna non ha stabilito</w:t>
      </w:r>
    </w:p>
    <w:p>
      <w:pPr>
        <w:spacing w:after="120" w:line="276"/>
        <w:jc w:val="both"/>
      </w:pPr>
      <w:r>
        <w:rPr>
          <w:rFonts w:ascii="Barlow Semi Condensed" w:cs="Barlow Semi Condensed" w:eastAsia="Barlow Semi Condensed" w:hAnsi="Barlow Semi Condensed"/>
          <w:sz w:val="24"/>
          <w:szCs w:val="24"/>
        </w:rPr>
        <w:t xml:space="preserve">La prima campagna chiude con una dichiarazione di ciò che non aveva stabilito. La seconda deve la stessa cosa, e la deve con più precisione, perché ha letto il corpus documento per documento e le sue assenze sono state misurate anziché supposte.</w:t>
      </w:r>
    </w:p>
    <w:p>
      <w:pPr>
        <w:spacing w:after="120" w:line="276"/>
        <w:jc w:val="both"/>
      </w:pPr>
      <w:r>
        <w:rPr>
          <w:rFonts w:ascii="Barlow Semi Condensed" w:cs="Barlow Semi Condensed" w:eastAsia="Barlow Semi Condensed" w:hAnsi="Barlow Semi Condensed"/>
          <w:b/>
          <w:bCs/>
          <w:sz w:val="24"/>
          <w:szCs w:val="24"/>
        </w:rPr>
        <w:t xml:space="preserve">Non ha stabilito alcun nesso nuovo.</w:t>
      </w:r>
      <w:r>
        <w:rPr>
          <w:rFonts w:ascii="Barlow Semi Condensed" w:cs="Barlow Semi Condensed" w:eastAsia="Barlow Semi Condensed" w:hAnsi="Barlow Semi Condensed"/>
          <w:sz w:val="24"/>
          <w:szCs w:val="24"/>
        </w:rPr>
        <w:t xml:space="preserve"> Cinquantadue territori interrogati, quasi quattromila bersagli posti, e il numero dei ponti di piano 1 fra questo nome e il caso Moro resta quello che era: </w:t>
      </w:r>
      <w:r>
        <w:rPr>
          <w:rFonts w:ascii="Barlow Semi Condensed" w:cs="Barlow Semi Condensed" w:eastAsia="Barlow Semi Condensed" w:hAnsi="Barlow Semi Condensed"/>
          <w:b/>
          <w:bCs/>
          <w:sz w:val="24"/>
          <w:szCs w:val="24"/>
        </w:rPr>
        <w:t xml:space="preserve">uno</w:t>
      </w:r>
      <w:r>
        <w:rPr>
          <w:rFonts w:ascii="Barlow Semi Condensed" w:cs="Barlow Semi Condensed" w:eastAsia="Barlow Semi Condensed" w:hAnsi="Barlow Semi Condensed"/>
          <w:sz w:val="24"/>
          <w:szCs w:val="24"/>
        </w:rPr>
        <w:t xml:space="preserve">, il verbale dello Studio Ovale del 25 settembre 1974, che attesta una posizione di politica dichiarata e non contiene alcun ultimatum personale. Nessun territorio ne ha aggiunto un secondo. La campagna ha aggiunto sedi, quesiti e vuoti verbalizzati; non ha aggiunto fatti.</w:t>
      </w:r>
    </w:p>
    <w:p>
      <w:pPr>
        <w:spacing w:after="120" w:line="276"/>
        <w:jc w:val="both"/>
      </w:pPr>
      <w:r>
        <w:rPr>
          <w:rFonts w:ascii="Barlow Semi Condensed" w:cs="Barlow Semi Condensed" w:eastAsia="Barlow Semi Condensed" w:hAnsi="Barlow Semi Condensed"/>
          <w:b/>
          <w:bCs/>
          <w:sz w:val="24"/>
          <w:szCs w:val="24"/>
        </w:rPr>
        <w:t xml:space="preserve">Non ha stabilito che i silenzi del corpus significhino qualcosa.</w:t>
      </w:r>
      <w:r>
        <w:rPr>
          <w:rFonts w:ascii="Barlow Semi Condensed" w:cs="Barlow Semi Condensed" w:eastAsia="Barlow Semi Condensed" w:hAnsi="Barlow Semi Condensed"/>
          <w:sz w:val="24"/>
          <w:szCs w:val="24"/>
        </w:rPr>
        <w:t xml:space="preserve"> È l'errore che una campagna di censimento produce più facilmente, ed è per impedirlo che esistono la distinzione della sezione L-1 e la regola dell'attesa dichiarata della L-5. Che il programma investigativo non nomini quest'uomo, che la quadriga taccia su millesettecento blocchi, che undici capitoli su dodici della ricognizione-madre non lo contengano: sono fatti sul perimetro di quei testi, non indizi su una persona. </w:t>
      </w:r>
      <w:r>
        <w:rPr>
          <w:rFonts w:ascii="Barlow Semi Condensed" w:cs="Barlow Semi Condensed" w:eastAsia="Barlow Semi Condensed" w:hAnsi="Barlow Semi Condensed"/>
          <w:b/>
          <w:bCs/>
          <w:sz w:val="24"/>
          <w:szCs w:val="24"/>
        </w:rPr>
        <w:t xml:space="preserve">Un vuoto previsto non è una scoperta.</w:t>
      </w:r>
    </w:p>
    <w:p>
      <w:pPr>
        <w:spacing w:after="120" w:line="276"/>
        <w:jc w:val="both"/>
      </w:pPr>
      <w:r>
        <w:rPr>
          <w:rFonts w:ascii="Barlow Semi Condensed" w:cs="Barlow Semi Condensed" w:eastAsia="Barlow Semi Condensed" w:hAnsi="Barlow Semi Condensed"/>
          <w:b/>
          <w:bCs/>
          <w:sz w:val="24"/>
          <w:szCs w:val="24"/>
        </w:rPr>
        <w:t xml:space="preserve">Non ha stabilito che le lacune trovate nel corpus siano state volute.</w:t>
      </w:r>
      <w:r>
        <w:rPr>
          <w:rFonts w:ascii="Barlow Semi Condensed" w:cs="Barlow Semi Condensed" w:eastAsia="Barlow Semi Condensed" w:hAnsi="Barlow Semi Condensed"/>
          <w:sz w:val="24"/>
          <w:szCs w:val="24"/>
        </w:rPr>
        <w:t xml:space="preserve"> L'asimmetria atlantica della sezione L-3 e l'assenza di ricerca sul verbale italiano della L-4 sono lacune reali e vanno colmate. Non sono reticenze: sono l'effetto di un programma di ricerca costruito su ciò che era interrogabile per primo — gli archivi europei aperti — e mai esteso al versante che richiedeva procedure più lente. Attribuire intenzione a una lacuna organizzativa è la stessa inferenza vietata, applicata a un archivio invece che a una persona.</w:t>
      </w:r>
    </w:p>
    <w:p>
      <w:pPr>
        <w:spacing w:after="120" w:line="276"/>
        <w:jc w:val="both"/>
      </w:pPr>
      <w:r>
        <w:rPr>
          <w:rFonts w:ascii="Barlow Semi Condensed" w:cs="Barlow Semi Condensed" w:eastAsia="Barlow Semi Condensed" w:hAnsi="Barlow Semi Condensed"/>
          <w:b/>
          <w:bCs/>
          <w:sz w:val="24"/>
          <w:szCs w:val="24"/>
        </w:rPr>
        <w:t xml:space="preserve">Non ha stabilito che il metodo territoriale sia superiore a quello concettuale.</w:t>
      </w:r>
      <w:r>
        <w:rPr>
          <w:rFonts w:ascii="Barlow Semi Condensed" w:cs="Barlow Semi Condensed" w:eastAsia="Barlow Semi Condensed" w:hAnsi="Barlow Semi Condensed"/>
          <w:sz w:val="24"/>
          <w:szCs w:val="24"/>
        </w:rPr>
        <w:t xml:space="preserve"> Le due campagne fanno cose diverse e nessuna sostituisce l'altra: la prima ha misurato la resa di una lente e ne ha dichiarato i limiti; la seconda ha misurato un corpus e ne ha dichiarato i vuoti. Chi leggesse la seconda come la correzione della prima leggerebbe male entrambe.</w:t>
      </w:r>
    </w:p>
    <w:p>
      <w:pPr>
        <w:spacing w:after="120" w:line="276"/>
        <w:jc w:val="both"/>
      </w:pPr>
      <w:r>
        <w:rPr>
          <w:rFonts w:ascii="Barlow Semi Condensed" w:cs="Barlow Semi Condensed" w:eastAsia="Barlow Semi Condensed" w:hAnsi="Barlow Semi Condensed"/>
          <w:b/>
          <w:bCs/>
          <w:sz w:val="24"/>
          <w:szCs w:val="24"/>
        </w:rPr>
        <w:t xml:space="preserve">E non ha stabilito che quattromilanovecentonovantanove blocchi valgano più di mille.</w:t>
      </w:r>
      <w:r>
        <w:rPr>
          <w:rFonts w:ascii="Barlow Semi Condensed" w:cs="Barlow Semi Condensed" w:eastAsia="Barlow Semi Condensed" w:hAnsi="Barlow Semi Condensed"/>
          <w:sz w:val="24"/>
          <w:szCs w:val="24"/>
        </w:rPr>
        <w:t xml:space="preserve"> Il numero è quello che il committente ha chiesto, ed è stato eseguito per intero. Ma la parte di quest'opera che resterà non si misura in blocchi: sono le cinque cose da fare della sezione L-6, le tre regole di metodo delle sezioni L-1, L-5 e L-7, e la riga che non cambia — </w:t>
      </w:r>
      <w:r>
        <w:rPr>
          <w:rFonts w:ascii="Barlow Semi Condensed" w:cs="Barlow Semi Condensed" w:eastAsia="Barlow Semi Condensed" w:hAnsi="Barlow Semi Condensed"/>
          <w:b/>
          <w:bCs/>
          <w:sz w:val="24"/>
          <w:szCs w:val="24"/>
        </w:rPr>
        <w:t xml:space="preserve">in biologia il carattere si eredita, in storia la responsabilità no</w:t>
      </w:r>
      <w:r>
        <w:rPr>
          <w:rFonts w:ascii="Barlow Semi Condensed" w:cs="Barlow Semi Condensed" w:eastAsia="Barlow Semi Condensed" w:hAnsi="Barlow Semi Condensed"/>
          <w:sz w:val="24"/>
          <w:szCs w:val="24"/>
        </w:rPr>
        <w:t xml:space="preserve">. Il resto è apparato, e l'apparato serve a chi verrà dopo, non a chi lo ha scritto.</w:t>
      </w:r>
    </w:p>
    <w:p>
      <w:pPr>
        <w:pStyle w:val="Heading3"/>
        <w:spacing w:after="80" w:before="160"/>
      </w:pPr>
      <w:r>
        <w:rPr>
          <w:rFonts w:ascii="Barlow Semi Condensed" w:cs="Barlow Semi Condensed" w:eastAsia="Barlow Semi Condensed" w:hAnsi="Barlow Semi Condensed"/>
          <w:sz w:val="24"/>
          <w:szCs w:val="24"/>
        </w:rPr>
        <w:t xml:space="preserve">L-9 · Come falliscono i controlli meccanici: otto casi, tutti dello stesso tipo</w:t>
      </w:r>
    </w:p>
    <w:p>
      <w:pPr>
        <w:spacing w:after="120" w:line="276"/>
        <w:jc w:val="both"/>
      </w:pPr>
      <w:r>
        <w:rPr>
          <w:rFonts w:ascii="Barlow Semi Condensed" w:cs="Barlow Semi Condensed" w:eastAsia="Barlow Semi Condensed" w:hAnsi="Barlow Semi Condensed"/>
          <w:sz w:val="24"/>
          <w:szCs w:val="24"/>
        </w:rPr>
        <w:t xml:space="preserve">L'opera è stata sottoposta a otto controlli automatici e a due verifiche incrociate. Nel corso della campagna quegli strumenti hanno prodotto </w:t>
      </w:r>
      <w:r>
        <w:rPr>
          <w:rFonts w:ascii="Barlow Semi Condensed" w:cs="Barlow Semi Condensed" w:eastAsia="Barlow Semi Condensed" w:hAnsi="Barlow Semi Condensed"/>
          <w:b/>
          <w:bCs/>
          <w:sz w:val="24"/>
          <w:szCs w:val="24"/>
        </w:rPr>
        <w:t xml:space="preserve">otto errori</w:t>
      </w:r>
      <w:r>
        <w:rPr>
          <w:rFonts w:ascii="Barlow Semi Condensed" w:cs="Barlow Semi Condensed" w:eastAsia="Barlow Semi Condensed" w:hAnsi="Barlow Semi Condensed"/>
          <w:sz w:val="24"/>
          <w:szCs w:val="24"/>
        </w:rPr>
        <w:t xml:space="preserve">, e nessuno era un errore del testo: erano tutti errori dello strumento. Si registrano perché un corpus che si affida a controlli meccanici deve sapere in che modo essi sbagliano, e perché il modello è sempre lo stesso — </w:t>
      </w:r>
      <w:r>
        <w:rPr>
          <w:rFonts w:ascii="Barlow Semi Condensed" w:cs="Barlow Semi Condensed" w:eastAsia="Barlow Semi Condensed" w:hAnsi="Barlow Semi Condensed"/>
          <w:b/>
          <w:bCs/>
          <w:sz w:val="24"/>
          <w:szCs w:val="24"/>
        </w:rPr>
        <w:t xml:space="preserve">lo strumento misurava una cosa adiacente a quella che serviva.</w:t>
      </w:r>
    </w:p>
    <w:p>
      <w:pPr>
        <w:spacing w:after="120" w:line="276"/>
        <w:jc w:val="both"/>
      </w:pPr>
      <w:r>
        <w:rPr>
          <w:rFonts w:ascii="Barlow Semi Condensed" w:cs="Barlow Semi Condensed" w:eastAsia="Barlow Semi Condensed" w:hAnsi="Barlow Semi Condensed"/>
          <w:b/>
          <w:bCs/>
          <w:sz w:val="24"/>
          <w:szCs w:val="24"/>
        </w:rPr>
        <w:t xml:space="preserve">I casi.</w:t>
      </w:r>
      <w:r>
        <w:rPr>
          <w:rFonts w:ascii="Barlow Semi Condensed" w:cs="Barlow Semi Condensed" w:eastAsia="Barlow Semi Condensed" w:hAnsi="Barlow Semi Condensed"/>
          <w:sz w:val="24"/>
          <w:szCs w:val="24"/>
        </w:rPr>
        <w:t xml:space="preserve"> Il rilevatore delle fonti escluse segnalava i blocchi che </w:t>
      </w:r>
      <w:r>
        <w:rPr>
          <w:rFonts w:ascii="Barlow Semi Condensed" w:cs="Barlow Semi Condensed" w:eastAsia="Barlow Semi Condensed" w:hAnsi="Barlow Semi Condensed"/>
          <w:i/>
          <w:iCs/>
          <w:sz w:val="24"/>
          <w:szCs w:val="24"/>
        </w:rPr>
        <w:t xml:space="preserve">vietano</w:t>
      </w:r>
      <w:r>
        <w:rPr>
          <w:rFonts w:ascii="Barlow Semi Condensed" w:cs="Barlow Semi Condensed" w:eastAsia="Barlow Semi Condensed" w:hAnsi="Barlow Semi Condensed"/>
          <w:sz w:val="24"/>
          <w:szCs w:val="24"/>
        </w:rPr>
        <w:t xml:space="preserve"> di citarle, perché per vietare una formula bisogna scriverla. Il rilevatore delle attribuzioni penali segnalava «nessun membro è colpevole», leggendo la negazione come affermazione; poi «principale responsabile», perché il pattern cercava la congiunzione «e» senza confini di parola e trovava la vocale finale di «principale»; poi ancora le formule ipotetiche fra virgolette basse, che i blocchi citano per dichiararle proibite. Il conteggio dei piani leggeva «piano 1» e non «primo piano», perdendo un terzo delle dichiarazioni. Il rilevatore della testata </w:t>
      </w:r>
      <w:r>
        <w:rPr>
          <w:rFonts w:ascii="Barlow Semi Condensed" w:cs="Barlow Semi Condensed" w:eastAsia="Barlow Semi Condensed" w:hAnsi="Barlow Semi Condensed"/>
          <w:i/>
          <w:iCs/>
          <w:sz w:val="24"/>
          <w:szCs w:val="24"/>
        </w:rPr>
        <w:t xml:space="preserve">il manifesto</w:t>
      </w:r>
      <w:r>
        <w:rPr>
          <w:rFonts w:ascii="Barlow Semi Condensed" w:cs="Barlow Semi Condensed" w:eastAsia="Barlow Semi Condensed" w:hAnsi="Barlow Semi Condensed"/>
          <w:sz w:val="24"/>
          <w:szCs w:val="24"/>
        </w:rPr>
        <w:t xml:space="preserve"> segnalava «il manifesto di Korda», che è un poster. Il profilo delle fonti contava </w:t>
      </w:r>
      <w:r>
        <w:rPr>
          <w:rFonts w:ascii="Barlow Semi Condensed" w:cs="Barlow Semi Condensed" w:eastAsia="Barlow Semi Condensed" w:hAnsi="Barlow Semi Condensed"/>
          <w:b/>
          <w:bCs/>
          <w:sz w:val="24"/>
          <w:szCs w:val="24"/>
        </w:rPr>
        <w:t xml:space="preserve">CIA</w:t>
      </w:r>
      <w:r>
        <w:rPr>
          <w:rFonts w:ascii="Barlow Semi Condensed" w:cs="Barlow Semi Condensed" w:eastAsia="Barlow Semi Condensed" w:hAnsi="Barlow Semi Condensed"/>
          <w:sz w:val="24"/>
          <w:szCs w:val="24"/>
        </w:rPr>
        <w:t xml:space="preserve"> dentro «traccia», «denuncia» ed «efficacia», e </w:t>
      </w:r>
      <w:r>
        <w:rPr>
          <w:rFonts w:ascii="Barlow Semi Condensed" w:cs="Barlow Semi Condensed" w:eastAsia="Barlow Semi Condensed" w:hAnsi="Barlow Semi Condensed"/>
          <w:b/>
          <w:bCs/>
          <w:sz w:val="24"/>
          <w:szCs w:val="24"/>
        </w:rPr>
        <w:t xml:space="preserve">NATO</w:t>
      </w:r>
      <w:r>
        <w:rPr>
          <w:rFonts w:ascii="Barlow Semi Condensed" w:cs="Barlow Semi Condensed" w:eastAsia="Barlow Semi Condensed" w:hAnsi="Barlow Semi Condensed"/>
          <w:sz w:val="24"/>
          <w:szCs w:val="24"/>
        </w:rPr>
        <w:t xml:space="preserve"> dentro «nato a Fürth»: quaranta menzioni diventavano millecentoventitré, restituendo l'immagine esattamente opposta a quella vera. Il rilevatore delle asserzioni prive di grado non riconosceva il vocabolario con cui i blocchi esprimono un grado senza usare la parola, e ogni volta che lo si allargava il numero scendeva.</w:t>
      </w:r>
    </w:p>
    <w:p>
      <w:pPr>
        <w:spacing w:after="120" w:line="276"/>
        <w:jc w:val="both"/>
      </w:pPr>
      <w:r>
        <w:rPr>
          <w:rFonts w:ascii="Barlow Semi Condensed" w:cs="Barlow Semi Condensed" w:eastAsia="Barlow Semi Condensed" w:hAnsi="Barlow Semi Condensed"/>
          <w:b/>
          <w:bCs/>
          <w:sz w:val="24"/>
          <w:szCs w:val="24"/>
        </w:rPr>
        <w:t xml:space="preserve">E il caso che sarebbe costato di più.</w:t>
      </w:r>
      <w:r>
        <w:rPr>
          <w:rFonts w:ascii="Barlow Semi Condensed" w:cs="Barlow Semi Condensed" w:eastAsia="Barlow Semi Condensed" w:hAnsi="Barlow Semi Condensed"/>
          <w:sz w:val="24"/>
          <w:szCs w:val="24"/>
        </w:rPr>
        <w:t xml:space="preserve"> Il completamento delle campagne veniva misurato contando le righe di risultato nei registri di lavorazione. Un rilancio, però, riscrive anche i risultati già in memoria: una campagna mostrava tredici righe e dodici serie. La soglia sarebbe scattata in anticipo e l'opera sarebbe stata composta incompleta </w:t>
      </w:r>
      <w:r>
        <w:rPr>
          <w:rFonts w:ascii="Barlow Semi Condensed" w:cs="Barlow Semi Condensed" w:eastAsia="Barlow Semi Condensed" w:hAnsi="Barlow Semi Condensed"/>
          <w:b/>
          <w:bCs/>
          <w:sz w:val="24"/>
          <w:szCs w:val="24"/>
        </w:rPr>
        <w:t xml:space="preserve">dichiarandosi completa</w:t>
      </w:r>
      <w:r>
        <w:rPr>
          <w:rFonts w:ascii="Barlow Semi Condensed" w:cs="Barlow Semi Condensed" w:eastAsia="Barlow Semi Condensed" w:hAnsi="Barlow Semi Condensed"/>
          <w:sz w:val="24"/>
          <w:szCs w:val="24"/>
        </w:rPr>
        <w:t xml:space="preserve">, coi conteggi sbagliati in copertina, nell'indice e nella riga di chiusura. Il difetto è stato trovato per caso, confrontando due misure che dovevano coincidere e non coincidevano.</w:t>
      </w:r>
    </w:p>
    <w:p>
      <w:pPr>
        <w:spacing w:after="120" w:line="276"/>
        <w:jc w:val="both"/>
      </w:pPr>
      <w:r>
        <w:rPr>
          <w:rFonts w:ascii="Barlow Semi Condensed" w:cs="Barlow Semi Condensed" w:eastAsia="Barlow Semi Condensed" w:hAnsi="Barlow Semi Condensed"/>
          <w:b/>
          <w:bCs/>
          <w:sz w:val="24"/>
          <w:szCs w:val="24"/>
        </w:rPr>
        <w:t xml:space="preserve">La regola che se ne ricava</w:t>
      </w:r>
      <w:r>
        <w:rPr>
          <w:rFonts w:ascii="Barlow Semi Condensed" w:cs="Barlow Semi Condensed" w:eastAsia="Barlow Semi Condensed" w:hAnsi="Barlow Semi Condensed"/>
          <w:sz w:val="24"/>
          <w:szCs w:val="24"/>
        </w:rPr>
        <w:t xml:space="preserve">, e vale per chiunque riprenda questo metodo: </w:t>
      </w:r>
      <w:r>
        <w:rPr>
          <w:rFonts w:ascii="Barlow Semi Condensed" w:cs="Barlow Semi Condensed" w:eastAsia="Barlow Semi Condensed" w:hAnsi="Barlow Semi Condensed"/>
          <w:b/>
          <w:bCs/>
          <w:sz w:val="24"/>
          <w:szCs w:val="24"/>
        </w:rPr>
        <w:t xml:space="preserve">un controllo meccanico non verifica ciò che si voleva verificare, ma ciò che è stato scritto nel pattern</w:t>
      </w:r>
      <w:r>
        <w:rPr>
          <w:rFonts w:ascii="Barlow Semi Condensed" w:cs="Barlow Semi Condensed" w:eastAsia="Barlow Semi Condensed" w:hAnsi="Barlow Semi Condensed"/>
          <w:sz w:val="24"/>
          <w:szCs w:val="24"/>
        </w:rPr>
        <w:t xml:space="preserve">, e la distanza fra le due cose è invisibile finché non produce un falso positivo abbastanza strano da costringere a leggere il blocco. Ne segue che ogni segnalazione va </w:t>
      </w:r>
      <w:r>
        <w:rPr>
          <w:rFonts w:ascii="Barlow Semi Condensed" w:cs="Barlow Semi Condensed" w:eastAsia="Barlow Semi Condensed" w:hAnsi="Barlow Semi Condensed"/>
          <w:b/>
          <w:bCs/>
          <w:sz w:val="24"/>
          <w:szCs w:val="24"/>
        </w:rPr>
        <w:t xml:space="preserve">letta</w:t>
      </w:r>
      <w:r>
        <w:rPr>
          <w:rFonts w:ascii="Barlow Semi Condensed" w:cs="Barlow Semi Condensed" w:eastAsia="Barlow Semi Condensed" w:hAnsi="Barlow Semi Condensed"/>
          <w:sz w:val="24"/>
          <w:szCs w:val="24"/>
        </w:rPr>
        <w:t xml:space="preserve">, mai contata; che due misure indipendenti della stessa quantità vanno confrontate; e che un controllo che non ha mai prodotto un falso positivo è probabilmente troppo permissivo, non particolarmente riuscito.</w:t>
      </w:r>
    </w:p>
    <w:p>
      <w:pPr>
        <w:spacing w:after="120" w:line="276"/>
        <w:jc w:val="both"/>
      </w:pPr>
      <w:r>
        <w:rPr>
          <w:rFonts w:ascii="Barlow Semi Condensed" w:cs="Barlow Semi Condensed" w:eastAsia="Barlow Semi Condensed" w:hAnsi="Barlow Semi Condensed"/>
          <w:b/>
          <w:bCs/>
          <w:sz w:val="24"/>
          <w:szCs w:val="24"/>
        </w:rPr>
        <w:t xml:space="preserve">Il dato che conta, in ogni caso.</w:t>
      </w:r>
      <w:r>
        <w:rPr>
          <w:rFonts w:ascii="Barlow Semi Condensed" w:cs="Barlow Semi Condensed" w:eastAsia="Barlow Semi Condensed" w:hAnsi="Barlow Semi Condensed"/>
          <w:sz w:val="24"/>
          <w:szCs w:val="24"/>
        </w:rPr>
        <w:t xml:space="preserve"> In tutti e otto i casi </w:t>
      </w:r>
      <w:r>
        <w:rPr>
          <w:rFonts w:ascii="Barlow Semi Condensed" w:cs="Barlow Semi Condensed" w:eastAsia="Barlow Semi Condensed" w:hAnsi="Barlow Semi Condensed"/>
          <w:b/>
          <w:bCs/>
          <w:sz w:val="24"/>
          <w:szCs w:val="24"/>
        </w:rPr>
        <w:t xml:space="preserve">il testo era corretto e lo strumento sbagliato</w:t>
      </w:r>
      <w:r>
        <w:rPr>
          <w:rFonts w:ascii="Barlow Semi Condensed" w:cs="Barlow Semi Condensed" w:eastAsia="Barlow Semi Condensed" w:hAnsi="Barlow Semi Condensed"/>
          <w:sz w:val="24"/>
          <w:szCs w:val="24"/>
        </w:rPr>
        <w:t xml:space="preserve">. Nessuna correzione al contenuto dei blocchi è discesa da un controllo automatico: le due correzioni di merito dell'opera — la data dell'anglicizzazione e la commissione Odendaal — sono venute da verifiche su fonti esterne, e la terza, l'ortografia della Serie terza, da un agente che leggeva.</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«Il codice e la sua trasmissione» — Henry Kissinger triangolato con tutto ciò che il corpus contiene, in </w:t>
      </w:r>
      <w:r>
        <w:rPr>
          <w:rFonts w:ascii="Barlow Semi Condensed" w:cs="Barlow Semi Condensed" w:eastAsia="Barlow Semi Condensed" w:hAnsi="Barlow Semi Condensed"/>
          <w:i/>
          <w:iCs/>
          <w:sz w:val="24"/>
          <w:szCs w:val="24"/>
        </w:rPr>
        <w:t xml:space="preserve">4.999 blocchi mirati</w:t>
      </w:r>
      <w:r>
        <w:rPr>
          <w:rFonts w:ascii="Barlow Semi Condensed" w:cs="Barlow Semi Condensed" w:eastAsia="Barlow Semi Condensed" w:hAnsi="Barlow Semi Condensed"/>
          <w:i/>
          <w:iCs/>
          <w:sz w:val="24"/>
          <w:szCs w:val="24"/>
        </w:rPr>
        <w:t xml:space="preserve"> ordinati in sessantacinque serie con statuto e in due campagne. La </w:t>
      </w:r>
      <w:r>
        <w:rPr>
          <w:rFonts w:ascii="Barlow Semi Condensed" w:cs="Barlow Semi Condensed" w:eastAsia="Barlow Semi Condensed" w:hAnsi="Barlow Semi Condensed"/>
          <w:i/>
          <w:iCs/>
          <w:sz w:val="24"/>
          <w:szCs w:val="24"/>
        </w:rPr>
        <w:t xml:space="preserve">prima campagna</w:t>
      </w:r>
      <w:r>
        <w:rPr>
          <w:rFonts w:ascii="Barlow Semi Condensed" w:cs="Barlow Semi Condensed" w:eastAsia="Barlow Semi Condensed" w:hAnsi="Barlow Semi Condensed"/>
          <w:i/>
          <w:iCs/>
          <w:sz w:val="24"/>
          <w:szCs w:val="24"/>
        </w:rPr>
        <w:t xml:space="preserve"> (serie I-XIII, blocchi 1-1.000) è concettuale: applica al nome la chiave dichiarata dal committente — «Kissinger rappresenta metaforicamente la genetica» — accolta come lente e non come sentenza, e fermata dalla tredicesima serie nel punto in cui spingerebbe verso la colpa ereditaria. La </w:t>
      </w:r>
      <w:r>
        <w:rPr>
          <w:rFonts w:ascii="Barlow Semi Condensed" w:cs="Barlow Semi Condensed" w:eastAsia="Barlow Semi Condensed" w:hAnsi="Barlow Semi Condensed"/>
          <w:i/>
          <w:iCs/>
          <w:sz w:val="24"/>
          <w:szCs w:val="24"/>
        </w:rPr>
        <w:t xml:space="preserve">seconda campagna</w:t>
      </w:r>
      <w:r>
        <w:rPr>
          <w:rFonts w:ascii="Barlow Semi Condensed" w:cs="Barlow Semi Condensed" w:eastAsia="Barlow Semi Condensed" w:hAnsi="Barlow Semi Condensed"/>
          <w:i/>
          <w:iCs/>
          <w:sz w:val="24"/>
          <w:szCs w:val="24"/>
        </w:rPr>
        <w:t xml:space="preserve"> (serie XIV-LXV, blocchi 1.001-4.999) è territoriale: ogni serie triangola quel nome contro un territorio preciso del corpus — un documento, una cartella, una Parte — con l'obbligo di leggerlo prima di scriverne, e con le quattro domande tenute distinte: dove il nome compare e con quale piano; dove il territorio tocca la cornice senza toccare il nome; dove circola un'affermazione terziaria che quel territorio non sostiene; e dove si dovrebbe cercare e nessuno ha cercato. Vale in ogni blocco la regola dei tre piani — rapporto diretto documentato, convergenza strutturale, affermazione terziaria: </w:t>
      </w:r>
      <w:r>
        <w:rPr>
          <w:rFonts w:ascii="Barlow Semi Condensed" w:cs="Barlow Semi Condensed" w:eastAsia="Barlow Semi Condensed" w:hAnsi="Barlow Semi Condensed"/>
          <w:i/>
          <w:iCs/>
          <w:sz w:val="24"/>
          <w:szCs w:val="24"/>
        </w:rPr>
        <w:t xml:space="preserve">un ponte è reale solo al piano 1</w:t>
      </w:r>
      <w:r>
        <w:rPr>
          <w:rFonts w:ascii="Barlow Semi Condensed" w:cs="Barlow Semi Condensed" w:eastAsia="Barlow Semi Condensed" w:hAnsi="Barlow Semi Condensed"/>
          <w:i/>
          <w:iCs/>
          <w:sz w:val="24"/>
          <w:szCs w:val="24"/>
        </w:rPr>
        <w:t xml:space="preserve">. Henry Kissinger non fu condannato in alcun processo, non fu mai imputato né processato in alcun Paese, e nessun blocco lo indica come responsabile di reato; il presunto avvertimento del settembre 1974 vi è registrato come testimonianza contestata, con la smentita dell'interessato annotata e con l'accertamento che il verbale dello Studio Ovale non la contiene. La seconda campagna ha prodotto due esiti che il corpus deve recepire, e che l'</w:t>
      </w:r>
      <w:r>
        <w:rPr>
          <w:rFonts w:ascii="Barlow Semi Condensed" w:cs="Barlow Semi Condensed" w:eastAsia="Barlow Semi Condensed" w:hAnsi="Barlow Semi Condensed"/>
          <w:i/>
          <w:iCs/>
          <w:sz w:val="24"/>
          <w:szCs w:val="24"/>
        </w:rPr>
        <w:t xml:space="preserve">Apparato L</w:t>
      </w:r>
      <w:r>
        <w:rPr>
          <w:rFonts w:ascii="Barlow Semi Condensed" w:cs="Barlow Semi Condensed" w:eastAsia="Barlow Semi Condensed" w:hAnsi="Barlow Semi Condensed"/>
          <w:i/>
          <w:iCs/>
          <w:sz w:val="24"/>
          <w:szCs w:val="24"/>
        </w:rPr>
        <w:t xml:space="preserve"> registra: la distinzione fra lo </w:t>
      </w:r>
      <w:r>
        <w:rPr>
          <w:rFonts w:ascii="Barlow Semi Condensed" w:cs="Barlow Semi Condensed" w:eastAsia="Barlow Semi Condensed" w:hAnsi="Barlow Semi Condensed"/>
          <w:i/>
          <w:iCs/>
          <w:sz w:val="24"/>
          <w:szCs w:val="24"/>
        </w:rPr>
        <w:t xml:space="preserve">Stato Zero</w:t>
      </w:r>
      <w:r>
        <w:rPr>
          <w:rFonts w:ascii="Barlow Semi Condensed" w:cs="Barlow Semi Condensed" w:eastAsia="Barlow Semi Condensed" w:hAnsi="Barlow Semi Condensed"/>
          <w:i/>
          <w:iCs/>
          <w:sz w:val="24"/>
          <w:szCs w:val="24"/>
        </w:rPr>
        <w:t xml:space="preserve">, che si predica di una ricerca condotta in una sede nominata, e il </w:t>
      </w:r>
      <w:r>
        <w:rPr>
          <w:rFonts w:ascii="Barlow Semi Condensed" w:cs="Barlow Semi Condensed" w:eastAsia="Barlow Semi Condensed" w:hAnsi="Barlow Semi Condensed"/>
          <w:i/>
          <w:iCs/>
          <w:sz w:val="24"/>
          <w:szCs w:val="24"/>
        </w:rPr>
        <w:t xml:space="preserve">silenzio d'oggetto</w:t>
      </w:r>
      <w:r>
        <w:rPr>
          <w:rFonts w:ascii="Barlow Semi Condensed" w:cs="Barlow Semi Condensed" w:eastAsia="Barlow Semi Condensed" w:hAnsi="Barlow Semi Condensed"/>
          <w:i/>
          <w:iCs/>
          <w:sz w:val="24"/>
          <w:szCs w:val="24"/>
        </w:rPr>
        <w:t xml:space="preserve">, che si predica del perimetro di un testo; e l'</w:t>
      </w:r>
      <w:r>
        <w:rPr>
          <w:rFonts w:ascii="Barlow Semi Condensed" w:cs="Barlow Semi Condensed" w:eastAsia="Barlow Semi Condensed" w:hAnsi="Barlow Semi Condensed"/>
          <w:i/>
          <w:iCs/>
          <w:sz w:val="24"/>
          <w:szCs w:val="24"/>
        </w:rPr>
        <w:t xml:space="preserve">asimmetria atlantica</w:t>
      </w:r>
      <w:r>
        <w:rPr>
          <w:rFonts w:ascii="Barlow Semi Condensed" w:cs="Barlow Semi Condensed" w:eastAsia="Barlow Semi Condensed" w:hAnsi="Barlow Semi Condensed"/>
          <w:i/>
          <w:iCs/>
          <w:sz w:val="24"/>
          <w:szCs w:val="24"/>
        </w:rPr>
        <w:t xml:space="preserve"> del versante di ricerca, che ha tre cantieri d'archivio alleato e non il quarto. Sono 4.999 blocchi e non cinquemila, e il numero non si arrotonda: la sessantacinquesima serie porta per titolo questa stessa riga. Un'indagine produce atti, non colpevoli — quattromilanovecentonovantanove volte, intorno a un solo nome.</w:t>
      </w:r>
    </w:p>
    <w:p>
      <w:pPr>
        <w:pStyle w:val="Heading3"/>
        <w:spacing w:after="80" w:before="240"/>
      </w:pPr>
      <w:r>
        <w:rPr>
          <w:rFonts w:ascii="Barlow Semi Condensed" w:cs="Barlow Semi Condensed" w:eastAsia="Barlow Semi Condensed" w:hAnsi="Barlow Semi Condensed"/>
          <w:sz w:val="24"/>
          <w:szCs w:val="24"/>
        </w:rPr>
        <w:t xml:space="preserve">Apparato grafico — Libro tredicesimo · Il codice e la sua trasmissione (4.999 blocchi)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VII: 370.419 parole in 9 sezioni; la più ampia è §9 Altre sezioni, con 328.500.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tredicesimo · VII: 5.232 paragrafi in 9 sezioni, 581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tredici serie della triangolazione: ogni blocco un bersaglio d’archivio, mai una sentenza.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Il metro dichiarato in apertura: la contemporaneità non è prova di nesso, l’appartenenza non è prova di condotta.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due campagne dell’opera: una lente applicata a un nome, e il nome portato contro ogni territorio del corpus.</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contabilita dichiarata dell’opera: quanti ponti reali, quante convergenze, quanti vuoti verbalizzati.</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quattordicesimo — Il meridiano e la valle: dal Sud Africa dell'apartheid alla PayPal Mafia (1.000 blocchi)</w:t>
      </w:r>
    </w:p>
    <w:p>
      <w:pPr>
        <w:pStyle w:val="Heading1"/>
        <w:spacing w:after="120" w:before="240"/>
      </w:pPr>
      <w:r>
        <w:rPr>
          <w:rFonts w:ascii="Barlow Semi Condensed" w:cs="Barlow Semi Condensed" w:eastAsia="Barlow Semi Condensed" w:hAnsi="Barlow Semi Condensed"/>
          <w:sz w:val="24"/>
          <w:szCs w:val="24"/>
        </w:rPr>
        <w:t xml:space="preserve">Il meridiano e la valle</w:t>
      </w:r>
    </w:p>
    <w:p>
      <w:pPr>
        <w:pStyle w:val="Heading2"/>
        <w:spacing w:after="100" w:before="200"/>
      </w:pPr>
      <w:r>
        <w:rPr>
          <w:rFonts w:ascii="Barlow Semi Condensed" w:cs="Barlow Semi Condensed" w:eastAsia="Barlow Semi Condensed" w:hAnsi="Barlow Semi Condensed"/>
          <w:sz w:val="24"/>
          <w:szCs w:val="24"/>
        </w:rPr>
        <w:t xml:space="preserve">Dal Sud Africa dell'apartheid alla PayPal Mafia — mille blocchi mirati di ricerca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chiave, dichiarata in apertura.</w:t>
      </w:r>
      <w:r>
        <w:rPr>
          <w:rFonts w:ascii="Barlow Semi Condensed" w:cs="Barlow Semi Condensed" w:eastAsia="Barlow Semi Condensed" w:hAnsi="Barlow Semi Condensed"/>
          <w:i w:val="false"/>
          <w:iCs w:val="false"/>
          <w:sz w:val="24"/>
          <w:szCs w:val="24"/>
        </w:rPr>
        <w:t xml:space="preserve"> Il committente ha chiesto mille blocchi mirati di ricerca che costruiscano </w:t>
      </w:r>
      <w:r>
        <w:rPr>
          <w:rFonts w:ascii="Barlow Semi Condensed" w:cs="Barlow Semi Condensed" w:eastAsia="Barlow Semi Condensed" w:hAnsi="Barlow Semi Condensed"/>
          <w:b/>
          <w:bCs/>
          <w:i w:val="false"/>
          <w:iCs w:val="false"/>
          <w:sz w:val="24"/>
          <w:szCs w:val="24"/>
        </w:rPr>
        <w:t xml:space="preserve">una continuità</w:t>
      </w:r>
      <w:r>
        <w:rPr>
          <w:rFonts w:ascii="Barlow Semi Condensed" w:cs="Barlow Semi Condensed" w:eastAsia="Barlow Semi Condensed" w:hAnsi="Barlow Semi Condensed"/>
          <w:i w:val="false"/>
          <w:iCs w:val="false"/>
          <w:sz w:val="24"/>
          <w:szCs w:val="24"/>
        </w:rPr>
        <w:t xml:space="preserve"> dal Sud Africa dell'apartheid alla cosiddetta PayPal Mafia, passando per i nomi che quella continuità attraversa. La chiave è accolta e dichiarata qui come il corpus fa con ogni sua chiave: </w:t>
      </w:r>
      <w:r>
        <w:rPr>
          <w:rFonts w:ascii="Barlow Semi Condensed" w:cs="Barlow Semi Condensed" w:eastAsia="Barlow Semi Condensed" w:hAnsi="Barlow Semi Condensed"/>
          <w:b/>
          <w:bCs/>
          <w:i w:val="false"/>
          <w:iCs w:val="false"/>
          <w:sz w:val="24"/>
          <w:szCs w:val="24"/>
        </w:rPr>
        <w:t xml:space="preserve">è una lente, non una sentenza</w:t>
      </w:r>
      <w:r>
        <w:rPr>
          <w:rFonts w:ascii="Barlow Semi Condensed" w:cs="Barlow Semi Condensed" w:eastAsia="Barlow Semi Condensed" w:hAnsi="Barlow Semi Condensed"/>
          <w:i w:val="false"/>
          <w:iCs w:val="false"/>
          <w:sz w:val="24"/>
          <w:szCs w:val="24"/>
        </w:rPr>
        <w:t xml:space="preserve"> — e, per la prima volta in questo corpus, è anche </w:t>
      </w:r>
      <w:r>
        <w:rPr>
          <w:rFonts w:ascii="Barlow Semi Condensed" w:cs="Barlow Semi Condensed" w:eastAsia="Barlow Semi Condensed" w:hAnsi="Barlow Semi Condensed"/>
          <w:b/>
          <w:bCs/>
          <w:i w:val="false"/>
          <w:iCs w:val="false"/>
          <w:sz w:val="24"/>
          <w:szCs w:val="24"/>
        </w:rPr>
        <w:t xml:space="preserve">un'ipotesi da mettere alla prova, non una premessa da illustrare</w:t>
      </w:r>
      <w:r>
        <w:rPr>
          <w:rFonts w:ascii="Barlow Semi Condensed" w:cs="Barlow Semi Condensed" w:eastAsia="Barlow Semi Condensed" w:hAnsi="Barlow Semi Condensed"/>
          <w:i w:val="false"/>
          <w:iCs w:val="false"/>
          <w:sz w:val="24"/>
          <w:szCs w:val="24"/>
        </w:rPr>
        <w:t xml:space="preserve">. Un'opera che si limitasse a raccogliere ciò che conferma la continuità non sarebbe una ricerca: sarebbe un'arringa. Perciò ogni serie porta con sé i propri </w:t>
      </w:r>
      <w:r>
        <w:rPr>
          <w:rFonts w:ascii="Barlow Semi Condensed" w:cs="Barlow Semi Condensed" w:eastAsia="Barlow Semi Condensed" w:hAnsi="Barlow Semi Condensed"/>
          <w:b/>
          <w:bCs/>
          <w:i w:val="false"/>
          <w:iCs w:val="false"/>
          <w:sz w:val="24"/>
          <w:szCs w:val="24"/>
        </w:rPr>
        <w:t xml:space="preserve">bersagli di smentita</w:t>
      </w:r>
      <w:r>
        <w:rPr>
          <w:rFonts w:ascii="Barlow Semi Condensed" w:cs="Barlow Semi Condensed" w:eastAsia="Barlow Semi Condensed" w:hAnsi="Barlow Semi Condensed"/>
          <w:i w:val="false"/>
          <w:iCs w:val="false"/>
          <w:sz w:val="24"/>
          <w:szCs w:val="24"/>
        </w:rPr>
        <w:t xml:space="preserve">, e la tredicesima esiste per fermare la tesi nel punto in cui essa spingerebbe verso l'unica conclusione che questo corpus non ammette.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sono i mille blocchi.</w:t>
      </w:r>
      <w:r>
        <w:rPr>
          <w:rFonts w:ascii="Barlow Semi Condensed" w:cs="Barlow Semi Condensed" w:eastAsia="Barlow Semi Condensed" w:hAnsi="Barlow Semi Condensed"/>
          <w:i w:val="false"/>
          <w:iCs w:val="false"/>
          <w:sz w:val="24"/>
          <w:szCs w:val="24"/>
        </w:rPr>
        <w:t xml:space="preserve"> Non sono mille affermazioni: sono </w:t>
      </w:r>
      <w:r>
        <w:rPr>
          <w:rFonts w:ascii="Barlow Semi Condensed" w:cs="Barlow Semi Condensed" w:eastAsia="Barlow Semi Condensed" w:hAnsi="Barlow Semi Condensed"/>
          <w:b/>
          <w:bCs/>
          <w:i w:val="false"/>
          <w:iCs w:val="false"/>
          <w:sz w:val="24"/>
          <w:szCs w:val="24"/>
        </w:rPr>
        <w:t xml:space="preserve">mille bersagli</w:t>
      </w:r>
      <w:r>
        <w:rPr>
          <w:rFonts w:ascii="Barlow Semi Condensed" w:cs="Barlow Semi Condensed" w:eastAsia="Barlow Semi Condensed" w:hAnsi="Barlow Semi Condensed"/>
          <w:i w:val="false"/>
          <w:iCs w:val="false"/>
          <w:sz w:val="24"/>
          <w:szCs w:val="24"/>
        </w:rPr>
        <w:t xml:space="preserve">. Ciascun blocco è un quesito da portare in archivio, una sede da interrogare, una regola di lettura o una lacuna verbalizzata, nella forma già usata dall'agenda di ricerca in trecento blocchi e dai nove cantieri in mille. Il criterio di riuscita non è la persuasività: è che </w:t>
      </w:r>
      <w:r>
        <w:rPr>
          <w:rFonts w:ascii="Barlow Semi Condensed" w:cs="Barlow Semi Condensed" w:eastAsia="Barlow Semi Condensed" w:hAnsi="Barlow Semi Condensed"/>
          <w:b/>
          <w:bCs/>
          <w:i w:val="false"/>
          <w:iCs w:val="false"/>
          <w:sz w:val="24"/>
          <w:szCs w:val="24"/>
        </w:rPr>
        <w:t xml:space="preserve">un terzo possa eseguire il blocco</w:t>
      </w:r>
      <w:r>
        <w:rPr>
          <w:rFonts w:ascii="Barlow Semi Condensed" w:cs="Barlow Semi Condensed" w:eastAsia="Barlow Semi Condensed" w:hAnsi="Barlow Semi Condensed"/>
          <w:i w:val="false"/>
          <w:iCs w:val="false"/>
          <w:sz w:val="24"/>
          <w:szCs w:val="24"/>
        </w:rPr>
        <w:t xml:space="preserve"> e ottenere un esito — anche negativo — senza dover credere a chi lo ha scritto.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Lo statuto delle persone, che qui vincola più che altrove.</w:t>
      </w:r>
      <w:r>
        <w:rPr>
          <w:rFonts w:ascii="Barlow Semi Condensed" w:cs="Barlow Semi Condensed" w:eastAsia="Barlow Semi Condensed" w:hAnsi="Barlow Semi Condensed"/>
          <w:i w:val="false"/>
          <w:iCs w:val="false"/>
          <w:sz w:val="24"/>
          <w:szCs w:val="24"/>
        </w:rPr>
        <w:t xml:space="preserve"> Quest'opera nomina </w:t>
      </w:r>
      <w:r>
        <w:rPr>
          <w:rFonts w:ascii="Barlow Semi Condensed" w:cs="Barlow Semi Condensed" w:eastAsia="Barlow Semi Condensed" w:hAnsi="Barlow Semi Condensed"/>
          <w:b/>
          <w:bCs/>
          <w:i w:val="false"/>
          <w:iCs w:val="false"/>
          <w:sz w:val="24"/>
          <w:szCs w:val="24"/>
        </w:rPr>
        <w:t xml:space="preserve">persone viventi</w:t>
      </w:r>
      <w:r>
        <w:rPr>
          <w:rFonts w:ascii="Barlow Semi Condensed" w:cs="Barlow Semi Condensed" w:eastAsia="Barlow Semi Condensed" w:hAnsi="Barlow Semi Condensed"/>
          <w:i w:val="false"/>
          <w:iCs w:val="false"/>
          <w:sz w:val="24"/>
          <w:szCs w:val="24"/>
        </w:rPr>
        <w:t xml:space="preserve">. Vale perciò, rafforzata, la regola di ferro del corpus: </w:t>
      </w:r>
      <w:r>
        <w:rPr>
          <w:rFonts w:ascii="Barlow Semi Condensed" w:cs="Barlow Semi Condensed" w:eastAsia="Barlow Semi Condensed" w:hAnsi="Barlow Semi Condensed"/>
          <w:b/>
          <w:bCs/>
          <w:i w:val="false"/>
          <w:iCs w:val="false"/>
          <w:sz w:val="24"/>
          <w:szCs w:val="24"/>
        </w:rPr>
        <w:t xml:space="preserve">nessun blocco indica alcuno come responsabile di reato</w:t>
      </w:r>
      <w:r>
        <w:rPr>
          <w:rFonts w:ascii="Barlow Semi Condensed" w:cs="Barlow Semi Condensed" w:eastAsia="Barlow Semi Condensed" w:hAnsi="Barlow Semi Condensed"/>
          <w:i w:val="false"/>
          <w:iCs w:val="false"/>
          <w:sz w:val="24"/>
          <w:szCs w:val="24"/>
        </w:rPr>
        <w:t xml:space="preserve">; nessuno dei soggetti nominati risulta condannato in relazione ai fatti qui indagati, e il corpus si ferma al giudicato. I nomi compaiono </w:t>
      </w:r>
      <w:r>
        <w:rPr>
          <w:rFonts w:ascii="Barlow Semi Condensed" w:cs="Barlow Semi Condensed" w:eastAsia="Barlow Semi Condensed" w:hAnsi="Barlow Semi Condensed"/>
          <w:b/>
          <w:bCs/>
          <w:i w:val="false"/>
          <w:iCs w:val="false"/>
          <w:sz w:val="24"/>
          <w:szCs w:val="24"/>
        </w:rPr>
        <w:t xml:space="preserve">soltanto per fatti pubblici e documentabili</w:t>
      </w:r>
      <w:r>
        <w:rPr>
          <w:rFonts w:ascii="Barlow Semi Condensed" w:cs="Barlow Semi Condensed" w:eastAsia="Barlow Semi Condensed" w:hAnsi="Barlow Semi Condensed"/>
          <w:i w:val="false"/>
          <w:iCs w:val="false"/>
          <w:sz w:val="24"/>
          <w:szCs w:val="24"/>
        </w:rPr>
        <w:t xml:space="preserve"> — nascita, residenza, cittadinanza, impiego, parentela, dichiarazioni rese pubblicamente, atti societari depositati — e mai per condotte inferite. Valgono inoltre, e senza eccezione: l'appartenenza a un Paese, a una scuola, a un'azienda o a una famiglia </w:t>
      </w:r>
      <w:r>
        <w:rPr>
          <w:rFonts w:ascii="Barlow Semi Condensed" w:cs="Barlow Semi Condensed" w:eastAsia="Barlow Semi Condensed" w:hAnsi="Barlow Semi Condensed"/>
          <w:b/>
          <w:bCs/>
          <w:i w:val="false"/>
          <w:iCs w:val="false"/>
          <w:sz w:val="24"/>
          <w:szCs w:val="24"/>
        </w:rPr>
        <w:t xml:space="preserve">non è prova di condotta</w:t>
      </w:r>
      <w:r>
        <w:rPr>
          <w:rFonts w:ascii="Barlow Semi Condensed" w:cs="Barlow Semi Condensed" w:eastAsia="Barlow Semi Condensed" w:hAnsi="Barlow Semi Condensed"/>
          <w:i w:val="false"/>
          <w:iCs w:val="false"/>
          <w:sz w:val="24"/>
          <w:szCs w:val="24"/>
        </w:rPr>
        <w:t xml:space="preserve">; la contemporaneità </w:t>
      </w:r>
      <w:r>
        <w:rPr>
          <w:rFonts w:ascii="Barlow Semi Condensed" w:cs="Barlow Semi Condensed" w:eastAsia="Barlow Semi Condensed" w:hAnsi="Barlow Semi Condensed"/>
          <w:b/>
          <w:bCs/>
          <w:i w:val="false"/>
          <w:iCs w:val="false"/>
          <w:sz w:val="24"/>
          <w:szCs w:val="24"/>
        </w:rPr>
        <w:t xml:space="preserve">non è prova di nesso</w:t>
      </w:r>
      <w:r>
        <w:rPr>
          <w:rFonts w:ascii="Barlow Semi Condensed" w:cs="Barlow Semi Condensed" w:eastAsia="Barlow Semi Condensed" w:hAnsi="Barlow Semi Condensed"/>
          <w:i w:val="false"/>
          <w:iCs w:val="false"/>
          <w:sz w:val="24"/>
          <w:szCs w:val="24"/>
        </w:rPr>
        <w:t xml:space="preserve">; l'origine </w:t>
      </w:r>
      <w:r>
        <w:rPr>
          <w:rFonts w:ascii="Barlow Semi Condensed" w:cs="Barlow Semi Condensed" w:eastAsia="Barlow Semi Condensed" w:hAnsi="Barlow Semi Condensed"/>
          <w:b/>
          <w:bCs/>
          <w:i w:val="false"/>
          <w:iCs w:val="false"/>
          <w:sz w:val="24"/>
          <w:szCs w:val="24"/>
        </w:rPr>
        <w:t xml:space="preserve">non è una colpa</w:t>
      </w:r>
      <w:r>
        <w:rPr>
          <w:rFonts w:ascii="Barlow Semi Condensed" w:cs="Barlow Semi Condensed" w:eastAsia="Barlow Semi Condensed" w:hAnsi="Barlow Semi Condensed"/>
          <w:i w:val="false"/>
          <w:iCs w:val="false"/>
          <w:sz w:val="24"/>
          <w:szCs w:val="24"/>
        </w:rPr>
        <w:t xml:space="preserve">; le divergenze si riportano e non si scelgono in silenzio.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 regola dei tre piani, che è il metro dell'intera opera.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rapporto diretto documentato — un atto, un registro, un contratto, un verbale che nomini le due parti. </w:t>
      </w:r>
      <w:r>
        <w:rPr>
          <w:rFonts w:ascii="Barlow Semi Condensed" w:cs="Barlow Semi Condensed" w:eastAsia="Barlow Semi Condensed" w:hAnsi="Barlow Semi Condensed"/>
          <w:b/>
          <w:bCs/>
          <w:i w:val="false"/>
          <w:iCs w:val="false"/>
          <w:sz w:val="24"/>
          <w:szCs w:val="24"/>
        </w:rPr>
        <w:t xml:space="preserve">Piano 2</w:t>
      </w:r>
      <w:r>
        <w:rPr>
          <w:rFonts w:ascii="Barlow Semi Condensed" w:cs="Barlow Semi Condensed" w:eastAsia="Barlow Semi Condensed" w:hAnsi="Barlow Semi Condensed"/>
          <w:i w:val="false"/>
          <w:iCs w:val="false"/>
          <w:sz w:val="24"/>
          <w:szCs w:val="24"/>
        </w:rPr>
        <w:t xml:space="preserve">: convergenza strutturale entro la stessa cornice — due fatti reali che condividono un ambiente e non un legame. </w:t>
      </w:r>
      <w:r>
        <w:rPr>
          <w:rFonts w:ascii="Barlow Semi Condensed" w:cs="Barlow Semi Condensed" w:eastAsia="Barlow Semi Condensed" w:hAnsi="Barlow Semi Condensed"/>
          <w:b/>
          <w:bCs/>
          <w:i w:val="false"/>
          <w:iCs w:val="false"/>
          <w:sz w:val="24"/>
          <w:szCs w:val="24"/>
        </w:rPr>
        <w:t xml:space="preserve">Piano 3</w:t>
      </w:r>
      <w:r>
        <w:rPr>
          <w:rFonts w:ascii="Barlow Semi Condensed" w:cs="Barlow Semi Condensed" w:eastAsia="Barlow Semi Condensed" w:hAnsi="Barlow Semi Condensed"/>
          <w:i w:val="false"/>
          <w:iCs w:val="false"/>
          <w:sz w:val="24"/>
          <w:szCs w:val="24"/>
        </w:rPr>
        <w:t xml:space="preserve">: affermazione terziaria priva di riscontro — la circolazione pubblica che si autocita. </w:t>
      </w:r>
      <w:r>
        <w:rPr>
          <w:rFonts w:ascii="Barlow Semi Condensed" w:cs="Barlow Semi Condensed" w:eastAsia="Barlow Semi Condensed" w:hAnsi="Barlow Semi Condensed"/>
          <w:i w:val="false"/>
          <w:iCs w:val="false"/>
          <w:sz w:val="24"/>
          <w:szCs w:val="24"/>
        </w:rPr>
        <w:t xml:space="preserve">Un ponte è reale solo al piano 1.</w:t>
      </w:r>
      <w:r>
        <w:rPr>
          <w:rFonts w:ascii="Barlow Semi Condensed" w:cs="Barlow Semi Condensed" w:eastAsia="Barlow Semi Condensed" w:hAnsi="Barlow Semi Condensed"/>
          <w:i w:val="false"/>
          <w:iCs w:val="false"/>
          <w:sz w:val="24"/>
          <w:szCs w:val="24"/>
        </w:rPr>
        <w:t xml:space="preserve"> I piani 2 e 3 si registrano come tali e </w:t>
      </w:r>
      <w:r>
        <w:rPr>
          <w:rFonts w:ascii="Barlow Semi Condensed" w:cs="Barlow Semi Condensed" w:eastAsia="Barlow Semi Condensed" w:hAnsi="Barlow Semi Condensed"/>
          <w:b/>
          <w:bCs/>
          <w:i w:val="false"/>
          <w:iCs w:val="false"/>
          <w:sz w:val="24"/>
          <w:szCs w:val="24"/>
        </w:rPr>
        <w:t xml:space="preserve">non si promuovono mai a nesso causale</w:t>
      </w:r>
      <w:r>
        <w:rPr>
          <w:rFonts w:ascii="Barlow Semi Condensed" w:cs="Barlow Semi Condensed" w:eastAsia="Barlow Semi Condensed" w:hAnsi="Barlow Semi Condensed"/>
          <w:i w:val="false"/>
          <w:iCs w:val="false"/>
          <w:sz w:val="24"/>
          <w:szCs w:val="24"/>
        </w:rPr>
        <w:t xml:space="preserve">. Vale infine lo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l'esito negativo è un'acquisizione di pieno valore, e si scrive sempre con la sede d'archivio che lo chiuderebbe.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Omologia e analogia, e perché qui la distinzione è tutto.</w:t>
      </w:r>
      <w:r>
        <w:rPr>
          <w:rFonts w:ascii="Barlow Semi Condensed" w:cs="Barlow Semi Condensed" w:eastAsia="Barlow Semi Condensed" w:hAnsi="Barlow Semi Condensed"/>
          <w:i w:val="false"/>
          <w:iCs w:val="false"/>
          <w:sz w:val="24"/>
          <w:szCs w:val="24"/>
        </w:rPr>
        <w:t xml:space="preserve"> Il corpus ha fissato altrove la coppia che qui governa ogni pagina: due strutture simili possono discendere da un antenato comune — </w:t>
      </w:r>
      <w:r>
        <w:rPr>
          <w:rFonts w:ascii="Barlow Semi Condensed" w:cs="Barlow Semi Condensed" w:eastAsia="Barlow Semi Condensed" w:hAnsi="Barlow Semi Condensed"/>
          <w:b/>
          <w:bCs/>
          <w:i w:val="false"/>
          <w:iCs w:val="false"/>
          <w:sz w:val="24"/>
          <w:szCs w:val="24"/>
        </w:rPr>
        <w:t xml:space="preserve">omologia</w:t>
      </w:r>
      <w:r>
        <w:rPr>
          <w:rFonts w:ascii="Barlow Semi Condensed" w:cs="Barlow Semi Condensed" w:eastAsia="Barlow Semi Condensed" w:hAnsi="Barlow Semi Condensed"/>
          <w:i w:val="false"/>
          <w:iCs w:val="false"/>
          <w:sz w:val="24"/>
          <w:szCs w:val="24"/>
        </w:rPr>
        <w:t xml:space="preserve"> — oppure essere convergenze indipendenti in ambienti simili — </w:t>
      </w:r>
      <w:r>
        <w:rPr>
          <w:rFonts w:ascii="Barlow Semi Condensed" w:cs="Barlow Semi Condensed" w:eastAsia="Barlow Semi Condensed" w:hAnsi="Barlow Semi Condensed"/>
          <w:b/>
          <w:bCs/>
          <w:i w:val="false"/>
          <w:iCs w:val="false"/>
          <w:sz w:val="24"/>
          <w:szCs w:val="24"/>
        </w:rPr>
        <w:t xml:space="preserve">analogia</w:t>
      </w:r>
      <w:r>
        <w:rPr>
          <w:rFonts w:ascii="Barlow Semi Condensed" w:cs="Barlow Semi Condensed" w:eastAsia="Barlow Semi Condensed" w:hAnsi="Barlow Semi Condensed"/>
          <w:i w:val="false"/>
          <w:iCs w:val="false"/>
          <w:sz w:val="24"/>
          <w:szCs w:val="24"/>
        </w:rPr>
        <w:t xml:space="preserve"> — e </w:t>
      </w:r>
      <w:r>
        <w:rPr>
          <w:rFonts w:ascii="Barlow Semi Condensed" w:cs="Barlow Semi Condensed" w:eastAsia="Barlow Semi Condensed" w:hAnsi="Barlow Semi Condensed"/>
          <w:i w:val="false"/>
          <w:iCs w:val="false"/>
          <w:sz w:val="24"/>
          <w:szCs w:val="24"/>
        </w:rPr>
        <w:t xml:space="preserve">dalla somiglianza del risultato non si deduce l'antenato</w:t>
      </w:r>
      <w:r>
        <w:rPr>
          <w:rFonts w:ascii="Barlow Semi Condensed" w:cs="Barlow Semi Condensed" w:eastAsia="Barlow Semi Condensed" w:hAnsi="Barlow Semi Condensed"/>
          <w:i w:val="false"/>
          <w:iCs w:val="false"/>
          <w:sz w:val="24"/>
          <w:szCs w:val="24"/>
        </w:rPr>
        <w:t xml:space="preserve">. Che un gruppo di persone nate o cresciute nell'Africa australe sotto un regime segregazionista sia poi confluito in una medesima impresa californiana è un </w:t>
      </w:r>
      <w:r>
        <w:rPr>
          <w:rFonts w:ascii="Barlow Semi Condensed" w:cs="Barlow Semi Condensed" w:eastAsia="Barlow Semi Condensed" w:hAnsi="Barlow Semi Condensed"/>
          <w:b/>
          <w:bCs/>
          <w:i w:val="false"/>
          <w:iCs w:val="false"/>
          <w:sz w:val="24"/>
          <w:szCs w:val="24"/>
        </w:rPr>
        <w:t xml:space="preserve">fatto</w:t>
      </w:r>
      <w:r>
        <w:rPr>
          <w:rFonts w:ascii="Barlow Semi Condensed" w:cs="Barlow Semi Condensed" w:eastAsia="Barlow Semi Condensed" w:hAnsi="Barlow Semi Condensed"/>
          <w:i w:val="false"/>
          <w:iCs w:val="false"/>
          <w:sz w:val="24"/>
          <w:szCs w:val="24"/>
        </w:rPr>
        <w:t xml:space="preserve">; che ne discenda una trasmissione di dottrina è un'</w:t>
      </w:r>
      <w:r>
        <w:rPr>
          <w:rFonts w:ascii="Barlow Semi Condensed" w:cs="Barlow Semi Condensed" w:eastAsia="Barlow Semi Condensed" w:hAnsi="Barlow Semi Condensed"/>
          <w:b/>
          <w:bCs/>
          <w:i w:val="false"/>
          <w:iCs w:val="false"/>
          <w:sz w:val="24"/>
          <w:szCs w:val="24"/>
        </w:rPr>
        <w:t xml:space="preserve">ipotesi</w:t>
      </w:r>
      <w:r>
        <w:rPr>
          <w:rFonts w:ascii="Barlow Semi Condensed" w:cs="Barlow Semi Condensed" w:eastAsia="Barlow Semi Condensed" w:hAnsi="Barlow Semi Condensed"/>
          <w:i w:val="false"/>
          <w:iCs w:val="false"/>
          <w:sz w:val="24"/>
          <w:szCs w:val="24"/>
        </w:rPr>
        <w:t xml:space="preserve">, e il test è uno solo e non è retorico: un documento di provenienza che nomini la controparte. Dove manca, si registra una convergenza e ci si ferma.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Un avvertimento sulle fonti, che va messo in copertina perché qui pesa più che altrove.</w:t>
      </w:r>
      <w:r>
        <w:rPr>
          <w:rFonts w:ascii="Barlow Semi Condensed" w:cs="Barlow Semi Condensed" w:eastAsia="Barlow Semi Condensed" w:hAnsi="Barlow Semi Condensed"/>
          <w:i w:val="false"/>
          <w:iCs w:val="false"/>
          <w:sz w:val="24"/>
          <w:szCs w:val="24"/>
        </w:rPr>
        <w:t xml:space="preserve"> Su questa materia </w:t>
      </w:r>
      <w:r>
        <w:rPr>
          <w:rFonts w:ascii="Barlow Semi Condensed" w:cs="Barlow Semi Condensed" w:eastAsia="Barlow Semi Condensed" w:hAnsi="Barlow Semi Condensed"/>
          <w:b/>
          <w:bCs/>
          <w:i w:val="false"/>
          <w:iCs w:val="false"/>
          <w:sz w:val="24"/>
          <w:szCs w:val="24"/>
        </w:rPr>
        <w:t xml:space="preserve">la letteratura in rete è inquinata in modo eccezionale</w:t>
      </w:r>
      <w:r>
        <w:rPr>
          <w:rFonts w:ascii="Barlow Semi Condensed" w:cs="Barlow Semi Condensed" w:eastAsia="Barlow Semi Condensed" w:hAnsi="Barlow Semi Condensed"/>
          <w:i w:val="false"/>
          <w:iCs w:val="false"/>
          <w:sz w:val="24"/>
          <w:szCs w:val="24"/>
        </w:rPr>
        <w:t xml:space="preserve">. Le stesse formulazioni ricorrono identiche su decine di siti militanti — d'accusa e di difesa — senza che alcuno di essi aggiunga un documento; il numero delle ripetizioni non aggiunge valore probatorio, ed è replicazione senza informazione nuova. Restano perciò </w:t>
      </w:r>
      <w:r>
        <w:rPr>
          <w:rFonts w:ascii="Barlow Semi Condensed" w:cs="Barlow Semi Condensed" w:eastAsia="Barlow Semi Condensed" w:hAnsi="Barlow Semi Condensed"/>
          <w:b/>
          <w:bCs/>
          <w:i w:val="false"/>
          <w:iCs w:val="false"/>
          <w:sz w:val="24"/>
          <w:szCs w:val="24"/>
        </w:rPr>
        <w:t xml:space="preserve">escluse come fonti citabili</w:t>
      </w:r>
      <w:r>
        <w:rPr>
          <w:rFonts w:ascii="Barlow Semi Condensed" w:cs="Barlow Semi Condensed" w:eastAsia="Barlow Semi Condensed" w:hAnsi="Barlow Semi Condensed"/>
          <w:i w:val="false"/>
          <w:iCs w:val="false"/>
          <w:sz w:val="24"/>
          <w:szCs w:val="24"/>
        </w:rPr>
        <w:t xml:space="preserve">, per decisione del committente già vigente nel corpus, </w:t>
      </w:r>
      <w:r>
        <w:rPr>
          <w:rFonts w:ascii="Barlow Semi Condensed" w:cs="Barlow Semi Condensed" w:eastAsia="Barlow Semi Condensed" w:hAnsi="Barlow Semi Condensed"/>
          <w:i w:val="false"/>
          <w:iCs w:val="false"/>
          <w:sz w:val="24"/>
          <w:szCs w:val="24"/>
        </w:rPr>
        <w:t xml:space="preserve">il manifesto</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b/>
          <w:bCs/>
          <w:i w:val="false"/>
          <w:iCs w:val="false"/>
          <w:sz w:val="24"/>
          <w:szCs w:val="24"/>
        </w:rPr>
        <w:t xml:space="preserve">Grokipedia</w:t>
      </w:r>
      <w:r>
        <w:rPr>
          <w:rFonts w:ascii="Barlow Semi Condensed" w:cs="Barlow Semi Condensed" w:eastAsia="Barlow Semi Condensed" w:hAnsi="Barlow Semi Condensed"/>
          <w:i w:val="false"/>
          <w:iCs w:val="false"/>
          <w:sz w:val="24"/>
          <w:szCs w:val="24"/>
        </w:rPr>
        <w:t xml:space="preserve"> — quest'ultima con una ragione ulteriore e propria di quest'opera: sul tema qui trattato </w:t>
      </w:r>
      <w:r>
        <w:rPr>
          <w:rFonts w:ascii="Barlow Semi Condensed" w:cs="Barlow Semi Condensed" w:eastAsia="Barlow Semi Condensed" w:hAnsi="Barlow Semi Condensed"/>
          <w:b/>
          <w:bCs/>
          <w:i w:val="false"/>
          <w:iCs w:val="false"/>
          <w:sz w:val="24"/>
          <w:szCs w:val="24"/>
        </w:rPr>
        <w:t xml:space="preserve">è parte in causa</w:t>
      </w:r>
      <w:r>
        <w:rPr>
          <w:rFonts w:ascii="Barlow Semi Condensed" w:cs="Barlow Semi Condensed" w:eastAsia="Barlow Semi Condensed" w:hAnsi="Barlow Semi Condensed"/>
          <w:i w:val="false"/>
          <w:iCs w:val="false"/>
          <w:sz w:val="24"/>
          <w:szCs w:val="24"/>
        </w:rPr>
        <w:t xml:space="preserve">, essendo espressione della società di uno dei soggetti nominati. Un'enciclopedia scritta da un interessato non è una fonte terza, quale che ne sia la qualità.</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 quattro ancoraggi verificati in apertura.</w:t>
      </w:r>
      <w:r>
        <w:rPr>
          <w:rFonts w:ascii="Barlow Semi Condensed" w:cs="Barlow Semi Condensed" w:eastAsia="Barlow Semi Condensed" w:hAnsi="Barlow Semi Condensed"/>
          <w:i w:val="false"/>
          <w:iCs w:val="false"/>
          <w:sz w:val="24"/>
          <w:szCs w:val="24"/>
        </w:rPr>
        <w:t xml:space="preserve"> Prima di aprire le serie si fissa il poco che è solido, perché su questo non si congettura. </w:t>
      </w:r>
      <w:r>
        <w:rPr>
          <w:rFonts w:ascii="Barlow Semi Condensed" w:cs="Barlow Semi Condensed" w:eastAsia="Barlow Semi Condensed" w:hAnsi="Barlow Semi Condensed"/>
          <w:b/>
          <w:bCs/>
          <w:i w:val="false"/>
          <w:iCs w:val="false"/>
          <w:sz w:val="24"/>
          <w:szCs w:val="24"/>
        </w:rPr>
        <w:t xml:space="preserve">Primo</w:t>
      </w:r>
      <w:r>
        <w:rPr>
          <w:rFonts w:ascii="Barlow Semi Condensed" w:cs="Barlow Semi Condensed" w:eastAsia="Barlow Semi Condensed" w:hAnsi="Barlow Semi Condensed"/>
          <w:i w:val="false"/>
          <w:iCs w:val="false"/>
          <w:sz w:val="24"/>
          <w:szCs w:val="24"/>
        </w:rPr>
        <w:t xml:space="preserve">: Roelof Botha, direttore finanziario di PayPal e poi socio e managing partner di Sequoia Capital, </w:t>
      </w:r>
      <w:r>
        <w:rPr>
          <w:rFonts w:ascii="Barlow Semi Condensed" w:cs="Barlow Semi Condensed" w:eastAsia="Barlow Semi Condensed" w:hAnsi="Barlow Semi Condensed"/>
          <w:b/>
          <w:bCs/>
          <w:i w:val="false"/>
          <w:iCs w:val="false"/>
          <w:sz w:val="24"/>
          <w:szCs w:val="24"/>
        </w:rPr>
        <w:t xml:space="preserve">è nipote di Pik Botha</w:t>
      </w:r>
      <w:r>
        <w:rPr>
          <w:rFonts w:ascii="Barlow Semi Condensed" w:cs="Barlow Semi Condensed" w:eastAsia="Barlow Semi Condensed" w:hAnsi="Barlow Semi Condensed"/>
          <w:i w:val="false"/>
          <w:iCs w:val="false"/>
          <w:sz w:val="24"/>
          <w:szCs w:val="24"/>
        </w:rPr>
        <w:t xml:space="preserve"> — Roelof Frederik Botha, ministro degli Esteri sudafricano dal 1977 al 1994, il più longevo della storia del Paese, poi ministro delle Miniere e dell'Energia nel primo governo Mandela. È </w:t>
      </w:r>
      <w:r>
        <w:rPr>
          <w:rFonts w:ascii="Barlow Semi Condensed" w:cs="Barlow Semi Condensed" w:eastAsia="Barlow Semi Condensed" w:hAnsi="Barlow Semi Condensed"/>
          <w:b/>
          <w:bCs/>
          <w:i w:val="false"/>
          <w:iCs w:val="false"/>
          <w:sz w:val="24"/>
          <w:szCs w:val="24"/>
        </w:rPr>
        <w:t xml:space="preserve">piano 1</w:t>
      </w:r>
      <w:r>
        <w:rPr>
          <w:rFonts w:ascii="Barlow Semi Condensed" w:cs="Barlow Semi Condensed" w:eastAsia="Barlow Semi Condensed" w:hAnsi="Barlow Semi Condensed"/>
          <w:i w:val="false"/>
          <w:iCs w:val="false"/>
          <w:sz w:val="24"/>
          <w:szCs w:val="24"/>
        </w:rPr>
        <w:t xml:space="preserve">: parentela documentata. </w:t>
      </w:r>
      <w:r>
        <w:rPr>
          <w:rFonts w:ascii="Barlow Semi Condensed" w:cs="Barlow Semi Condensed" w:eastAsia="Barlow Semi Condensed" w:hAnsi="Barlow Semi Condensed"/>
          <w:b/>
          <w:bCs/>
          <w:i w:val="false"/>
          <w:iCs w:val="false"/>
          <w:sz w:val="24"/>
          <w:szCs w:val="24"/>
        </w:rPr>
        <w:t xml:space="preserve">Secondo</w:t>
      </w:r>
      <w:r>
        <w:rPr>
          <w:rFonts w:ascii="Barlow Semi Condensed" w:cs="Barlow Semi Condensed" w:eastAsia="Barlow Semi Condensed" w:hAnsi="Barlow Semi Condensed"/>
          <w:i w:val="false"/>
          <w:iCs w:val="false"/>
          <w:sz w:val="24"/>
          <w:szCs w:val="24"/>
        </w:rPr>
        <w:t xml:space="preserve">: Peter Thiel, nato a Francoforte nel 1967, visse con la famiglia a </w:t>
      </w:r>
      <w:r>
        <w:rPr>
          <w:rFonts w:ascii="Barlow Semi Condensed" w:cs="Barlow Semi Condensed" w:eastAsia="Barlow Semi Condensed" w:hAnsi="Barlow Semi Condensed"/>
          <w:b/>
          <w:bCs/>
          <w:i w:val="false"/>
          <w:iCs w:val="false"/>
          <w:sz w:val="24"/>
          <w:szCs w:val="24"/>
        </w:rPr>
        <w:t xml:space="preserve">Swakopmund</w:t>
      </w:r>
      <w:r>
        <w:rPr>
          <w:rFonts w:ascii="Barlow Semi Condensed" w:cs="Barlow Semi Condensed" w:eastAsia="Barlow Semi Condensed" w:hAnsi="Barlow Semi Condensed"/>
          <w:i w:val="false"/>
          <w:iCs w:val="false"/>
          <w:sz w:val="24"/>
          <w:szCs w:val="24"/>
        </w:rPr>
        <w:t xml:space="preserve">, nell'Africa del Sud-Ovest allora amministrata dal Sud Africa, negli anni della costruzione della miniera di uranio di Rössing, dove il padre — ingegnere chimico — lavorava per un'impresa del cantiere. </w:t>
      </w:r>
      <w:r>
        <w:rPr>
          <w:rFonts w:ascii="Barlow Semi Condensed" w:cs="Barlow Semi Condensed" w:eastAsia="Barlow Semi Condensed" w:hAnsi="Barlow Semi Condensed"/>
          <w:b/>
          <w:bCs/>
          <w:i w:val="false"/>
          <w:iCs w:val="false"/>
          <w:sz w:val="24"/>
          <w:szCs w:val="24"/>
        </w:rPr>
        <w:t xml:space="preserve">Terzo</w:t>
      </w:r>
      <w:r>
        <w:rPr>
          <w:rFonts w:ascii="Barlow Semi Condensed" w:cs="Barlow Semi Condensed" w:eastAsia="Barlow Semi Condensed" w:hAnsi="Barlow Semi Condensed"/>
          <w:i w:val="false"/>
          <w:iCs w:val="false"/>
          <w:sz w:val="24"/>
          <w:szCs w:val="24"/>
        </w:rPr>
        <w:t xml:space="preserve">: Joshua Norman Haldeman, nonno materno di Elon Musk, canadese, aderente al movimento </w:t>
      </w:r>
      <w:r>
        <w:rPr>
          <w:rFonts w:ascii="Barlow Semi Condensed" w:cs="Barlow Semi Condensed" w:eastAsia="Barlow Semi Condensed" w:hAnsi="Barlow Semi Condensed"/>
          <w:b/>
          <w:bCs/>
          <w:i w:val="false"/>
          <w:iCs w:val="false"/>
          <w:sz w:val="24"/>
          <w:szCs w:val="24"/>
        </w:rPr>
        <w:t xml:space="preserve">Technocracy</w:t>
      </w:r>
      <w:r>
        <w:rPr>
          <w:rFonts w:ascii="Barlow Semi Condensed" w:cs="Barlow Semi Condensed" w:eastAsia="Barlow Semi Condensed" w:hAnsi="Barlow Semi Condensed"/>
          <w:i w:val="false"/>
          <w:iCs w:val="false"/>
          <w:sz w:val="24"/>
          <w:szCs w:val="24"/>
        </w:rPr>
        <w:t xml:space="preserve">, emigrò in Sud Africa nel 1950 e vi sostenne pubblicamente l'apartheid. </w:t>
      </w:r>
      <w:r>
        <w:rPr>
          <w:rFonts w:ascii="Barlow Semi Condensed" w:cs="Barlow Semi Condensed" w:eastAsia="Barlow Semi Condensed" w:hAnsi="Barlow Semi Condensed"/>
          <w:b/>
          <w:bCs/>
          <w:i w:val="false"/>
          <w:iCs w:val="false"/>
          <w:sz w:val="24"/>
          <w:szCs w:val="24"/>
        </w:rPr>
        <w:t xml:space="preserve">Quarto</w:t>
      </w:r>
      <w:r>
        <w:rPr>
          <w:rFonts w:ascii="Barlow Semi Condensed" w:cs="Barlow Semi Condensed" w:eastAsia="Barlow Semi Condensed" w:hAnsi="Barlow Semi Condensed"/>
          <w:i w:val="false"/>
          <w:iCs w:val="false"/>
          <w:sz w:val="24"/>
          <w:szCs w:val="24"/>
        </w:rPr>
        <w:t xml:space="preserve">: la locuzione «PayPal Mafia» </w:t>
      </w:r>
      <w:r>
        <w:rPr>
          <w:rFonts w:ascii="Barlow Semi Condensed" w:cs="Barlow Semi Condensed" w:eastAsia="Barlow Semi Condensed" w:hAnsi="Barlow Semi Condensed"/>
          <w:b/>
          <w:bCs/>
          <w:i w:val="false"/>
          <w:iCs w:val="false"/>
          <w:sz w:val="24"/>
          <w:szCs w:val="24"/>
        </w:rPr>
        <w:t xml:space="preserve">non è un'autodefinizione</w:t>
      </w:r>
      <w:r>
        <w:rPr>
          <w:rFonts w:ascii="Barlow Semi Condensed" w:cs="Barlow Semi Condensed" w:eastAsia="Barlow Semi Condensed" w:hAnsi="Barlow Semi Condensed"/>
          <w:i w:val="false"/>
          <w:iCs w:val="false"/>
          <w:sz w:val="24"/>
          <w:szCs w:val="24"/>
        </w:rPr>
        <w:t xml:space="preserve">: nasce da un servizio di copertina di </w:t>
      </w:r>
      <w:r>
        <w:rPr>
          <w:rFonts w:ascii="Barlow Semi Condensed" w:cs="Barlow Semi Condensed" w:eastAsia="Barlow Semi Condensed" w:hAnsi="Barlow Semi Condensed"/>
          <w:i w:val="false"/>
          <w:iCs w:val="false"/>
          <w:sz w:val="24"/>
          <w:szCs w:val="24"/>
        </w:rPr>
        <w:t xml:space="preserve">Fortune</w:t>
      </w:r>
      <w:r>
        <w:rPr>
          <w:rFonts w:ascii="Barlow Semi Condensed" w:cs="Barlow Semi Condensed" w:eastAsia="Barlow Semi Condensed" w:hAnsi="Barlow Semi Condensed"/>
          <w:i w:val="false"/>
          <w:iCs w:val="false"/>
          <w:sz w:val="24"/>
          <w:szCs w:val="24"/>
        </w:rPr>
        <w:t xml:space="preserve"> del novembre 2007, con una fotografia di gruppo alla quale </w:t>
      </w:r>
      <w:r>
        <w:rPr>
          <w:rFonts w:ascii="Barlow Semi Condensed" w:cs="Barlow Semi Condensed" w:eastAsia="Barlow Semi Condensed" w:hAnsi="Barlow Semi Condensed"/>
          <w:b/>
          <w:bCs/>
          <w:i w:val="false"/>
          <w:iCs w:val="false"/>
          <w:sz w:val="24"/>
          <w:szCs w:val="24"/>
        </w:rPr>
        <w:t xml:space="preserve">Elon Musk non partecipò</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E la prima trappola, che è già nel quarto ancoraggio.</w:t>
      </w:r>
      <w:r>
        <w:rPr>
          <w:rFonts w:ascii="Barlow Semi Condensed" w:cs="Barlow Semi Condensed" w:eastAsia="Barlow Semi Condensed" w:hAnsi="Barlow Semi Condensed"/>
          <w:i w:val="false"/>
          <w:iCs w:val="false"/>
          <w:sz w:val="24"/>
          <w:szCs w:val="24"/>
        </w:rPr>
        <w:t xml:space="preserve"> L'immagine fondativa del gruppo non contiene uno dei due nomi che il committente ha posto al centro della domanda. Il dettaglio non smentisce nulla — Musk fu cofondatore e maggiore azionista individuale della società — ma insegna subito il metodo: </w:t>
      </w:r>
      <w:r>
        <w:rPr>
          <w:rFonts w:ascii="Barlow Semi Condensed" w:cs="Barlow Semi Condensed" w:eastAsia="Barlow Semi Condensed" w:hAnsi="Barlow Semi Condensed"/>
          <w:b/>
          <w:bCs/>
          <w:i w:val="false"/>
          <w:iCs w:val="false"/>
          <w:sz w:val="24"/>
          <w:szCs w:val="24"/>
        </w:rPr>
        <w:t xml:space="preserve">la categoria «PayPal Mafia» è una costruzione giornalistica del 2007</w:t>
      </w:r>
      <w:r>
        <w:rPr>
          <w:rFonts w:ascii="Barlow Semi Condensed" w:cs="Barlow Semi Condensed" w:eastAsia="Barlow Semi Condensed" w:hAnsi="Barlow Semi Condensed"/>
          <w:i w:val="false"/>
          <w:iCs w:val="false"/>
          <w:sz w:val="24"/>
          <w:szCs w:val="24"/>
        </w:rPr>
        <w:t xml:space="preserve">, non un ente con atto costitutivo, e chi la tratta come un soggetto unitario ha già commesso il primo errore di questa materia. Ogni blocco che la usa deve dire di chi parla, nominando le persone, e mai «il gruppo».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quest'opera sta dentro l'Opera integrale, e con quale riserva.</w:t>
      </w:r>
      <w:r>
        <w:rPr>
          <w:rFonts w:ascii="Barlow Semi Condensed" w:cs="Barlow Semi Condensed" w:eastAsia="Barlow Semi Condensed" w:hAnsi="Barlow Semi Condensed"/>
          <w:i w:val="false"/>
          <w:iCs w:val="false"/>
          <w:sz w:val="24"/>
          <w:szCs w:val="24"/>
        </w:rPr>
        <w:t xml:space="preserve"> Il committente ha disposto che questi mille blocchi entrino nel volume maggiore del corpus come </w:t>
      </w:r>
      <w:r>
        <w:rPr>
          <w:rFonts w:ascii="Barlow Semi Condensed" w:cs="Barlow Semi Condensed" w:eastAsia="Barlow Semi Condensed" w:hAnsi="Barlow Semi Condensed"/>
          <w:b/>
          <w:bCs/>
          <w:i w:val="false"/>
          <w:iCs w:val="false"/>
          <w:sz w:val="24"/>
          <w:szCs w:val="24"/>
        </w:rPr>
        <w:t xml:space="preserve">Libro quattordicesimo</w:t>
      </w:r>
      <w:r>
        <w:rPr>
          <w:rFonts w:ascii="Barlow Semi Condensed" w:cs="Barlow Semi Condensed" w:eastAsia="Barlow Semi Condensed" w:hAnsi="Barlow Semi Condensed"/>
          <w:i w:val="false"/>
          <w:iCs w:val="false"/>
          <w:sz w:val="24"/>
          <w:szCs w:val="24"/>
        </w:rPr>
        <w:t xml:space="preserve">, sotto il titolo che quel volume porta in copertina: «Ottanta anni di Pace» (che dal 27 agosto 2026 sostituisce «Ottanta anni senza Pace», a sua volta subentrato il 26 agosto a «La Seconda Guerra Mondiale non ha mai avuto fine»; i tre titoli si succedono con la stessa disciplina — lente e non sentenza — e la successione si registra invece di essere cancellata). </w:t>
      </w:r>
      <w:r>
        <w:rPr>
          <w:rFonts w:ascii="Barlow Semi Condensed" w:cs="Barlow Semi Condensed" w:eastAsia="Barlow Semi Condensed" w:hAnsi="Barlow Semi Condensed"/>
          <w:i w:val="false"/>
          <w:iCs w:val="false"/>
          <w:sz w:val="24"/>
          <w:szCs w:val="24"/>
        </w:rPr>
        <w:t xml:space="preserve">(La disposizione originaria diceva «Libro tredicesimo»: il numero è slittato di uno il 26 agosto 2026, quando il Dossier maggiore dell'autore è stato inserito come Libro quarto. Cambia la posizione, non la disposizione.)</w:t>
      </w:r>
      <w:r>
        <w:rPr>
          <w:rFonts w:ascii="Barlow Semi Condensed" w:cs="Barlow Semi Condensed" w:eastAsia="Barlow Semi Condensed" w:hAnsi="Barlow Semi Condensed"/>
          <w:i w:val="false"/>
          <w:iCs w:val="false"/>
          <w:sz w:val="24"/>
          <w:szCs w:val="24"/>
        </w:rPr>
        <w:t xml:space="preserve"> La disposizione si esegue e si dichiara, insieme al suo limite. Il raccordo è </w:t>
      </w:r>
      <w:r>
        <w:rPr>
          <w:rFonts w:ascii="Barlow Semi Condensed" w:cs="Barlow Semi Condensed" w:eastAsia="Barlow Semi Condensed" w:hAnsi="Barlow Semi Condensed"/>
          <w:b/>
          <w:bCs/>
          <w:i w:val="false"/>
          <w:iCs w:val="false"/>
          <w:sz w:val="24"/>
          <w:szCs w:val="24"/>
        </w:rPr>
        <w:t xml:space="preserve">tematico e non documentale</w:t>
      </w:r>
      <w:r>
        <w:rPr>
          <w:rFonts w:ascii="Barlow Semi Condensed" w:cs="Barlow Semi Condensed" w:eastAsia="Barlow Semi Condensed" w:hAnsi="Barlow Semi Condensed"/>
          <w:i w:val="false"/>
          <w:iCs w:val="false"/>
          <w:sz w:val="24"/>
          <w:szCs w:val="24"/>
        </w:rPr>
        <w:t xml:space="preserve">: l'apartheid come prosecuzione australe della guerra fredda appartiene alla stessa lente che intesta l'opera-madre, ed è una lente. </w:t>
      </w:r>
      <w:r>
        <w:rPr>
          <w:rFonts w:ascii="Barlow Semi Condensed" w:cs="Barlow Semi Condensed" w:eastAsia="Barlow Semi Condensed" w:hAnsi="Barlow Semi Condensed"/>
          <w:b/>
          <w:bCs/>
          <w:i w:val="false"/>
          <w:iCs w:val="false"/>
          <w:sz w:val="24"/>
          <w:szCs w:val="24"/>
        </w:rPr>
        <w:t xml:space="preserve">Nessun documento noto collega il caso Moro alle vicende qui trattate</w:t>
      </w:r>
      <w:r>
        <w:rPr>
          <w:rFonts w:ascii="Barlow Semi Condensed" w:cs="Barlow Semi Condensed" w:eastAsia="Barlow Semi Condensed" w:hAnsi="Barlow Semi Condensed"/>
          <w:i w:val="false"/>
          <w:iCs w:val="false"/>
          <w:sz w:val="24"/>
          <w:szCs w:val="24"/>
        </w:rPr>
        <w:t xml:space="preserve">, e nessun blocco di questo Libro lo insinua.  La ricognizione meccanica sul corpus, eseguita prima di scrivere questa riga, dà </w:t>
      </w:r>
      <w:r>
        <w:rPr>
          <w:rFonts w:ascii="Barlow Semi Condensed" w:cs="Barlow Semi Condensed" w:eastAsia="Barlow Semi Condensed" w:hAnsi="Barlow Semi Condensed"/>
          <w:b/>
          <w:bCs/>
          <w:i w:val="false"/>
          <w:iCs w:val="false"/>
          <w:sz w:val="24"/>
          <w:szCs w:val="24"/>
        </w:rPr>
        <w:t xml:space="preserve">zero occorrenze</w:t>
      </w:r>
      <w:r>
        <w:rPr>
          <w:rFonts w:ascii="Barlow Semi Condensed" w:cs="Barlow Semi Condensed" w:eastAsia="Barlow Semi Condensed" w:hAnsi="Barlow Semi Condensed"/>
          <w:i w:val="false"/>
          <w:iCs w:val="false"/>
          <w:sz w:val="24"/>
          <w:szCs w:val="24"/>
        </w:rPr>
        <w:t xml:space="preserve"> per Musk, Thiel, Botha, PayPal, Silicon Valley, Namibia e «Sud Africa» in tutti gli altri Libri. Ma </w:t>
      </w:r>
      <w:r>
        <w:rPr>
          <w:rFonts w:ascii="Barlow Semi Condensed" w:cs="Barlow Semi Condensed" w:eastAsia="Barlow Semi Condensed" w:hAnsi="Barlow Semi Condensed"/>
          <w:b/>
          <w:bCs/>
          <w:i w:val="false"/>
          <w:iCs w:val="false"/>
          <w:sz w:val="24"/>
          <w:szCs w:val="24"/>
        </w:rPr>
        <w:t xml:space="preserve">non dà zero per «apartheid»</w:t>
      </w:r>
      <w:r>
        <w:rPr>
          <w:rFonts w:ascii="Barlow Semi Condensed" w:cs="Barlow Semi Condensed" w:eastAsia="Barlow Semi Condensed" w:hAnsi="Barlow Semi Condensed"/>
          <w:i w:val="false"/>
          <w:iCs w:val="false"/>
          <w:sz w:val="24"/>
          <w:szCs w:val="24"/>
        </w:rPr>
        <w:t xml:space="preserve">, e la precisazione vale più dell'esito che mi aspettavo: il termine compare due volte, e una delle due è un </w:t>
      </w:r>
      <w:r>
        <w:rPr>
          <w:rFonts w:ascii="Barlow Semi Condensed" w:cs="Barlow Semi Condensed" w:eastAsia="Barlow Semi Condensed" w:hAnsi="Barlow Semi Condensed"/>
          <w:b/>
          <w:bCs/>
          <w:i w:val="false"/>
          <w:iCs w:val="false"/>
          <w:sz w:val="24"/>
          <w:szCs w:val="24"/>
        </w:rPr>
        <w:t xml:space="preserve">nodo consolidato</w:t>
      </w:r>
      <w:r>
        <w:rPr>
          <w:rFonts w:ascii="Barlow Semi Condensed" w:cs="Barlow Semi Condensed" w:eastAsia="Barlow Semi Condensed" w:hAnsi="Barlow Semi Condensed"/>
          <w:i w:val="false"/>
          <w:iCs w:val="false"/>
          <w:sz w:val="24"/>
          <w:szCs w:val="24"/>
        </w:rPr>
        <w:t xml:space="preserve"> del corpus — E-16 della triangolazione Guevara-Moro, il discorso all'Assemblea Generale delle Nazioni Unite dell'</w:t>
      </w:r>
      <w:r>
        <w:rPr>
          <w:rFonts w:ascii="Barlow Semi Condensed" w:cs="Barlow Semi Condensed" w:eastAsia="Barlow Semi Condensed" w:hAnsi="Barlow Semi Condensed"/>
          <w:b/>
          <w:bCs/>
          <w:i w:val="false"/>
          <w:iCs w:val="false"/>
          <w:sz w:val="24"/>
          <w:szCs w:val="24"/>
        </w:rPr>
        <w:t xml:space="preserve">11 dicembre 1964</w:t>
      </w:r>
      <w:r>
        <w:rPr>
          <w:rFonts w:ascii="Barlow Semi Condensed" w:cs="Barlow Semi Condensed" w:eastAsia="Barlow Semi Condensed" w:hAnsi="Barlow Semi Condensed"/>
          <w:i w:val="false"/>
          <w:iCs w:val="false"/>
          <w:sz w:val="24"/>
          <w:szCs w:val="24"/>
        </w:rPr>
        <w:t xml:space="preserve">, in cui il soggetto del Libro terzo denuncia dalla tribuna il colonialismo e l'apartheid. L'altra è il capitolo congolese, cioè il teatro africano della guerra fredda. Il ponte fra i due Libri esiste dunque, ed è esattamente uno: </w:t>
      </w:r>
      <w:r>
        <w:rPr>
          <w:rFonts w:ascii="Barlow Semi Condensed" w:cs="Barlow Semi Condensed" w:eastAsia="Barlow Semi Condensed" w:hAnsi="Barlow Semi Condensed"/>
          <w:b/>
          <w:bCs/>
          <w:i w:val="false"/>
          <w:iCs w:val="false"/>
          <w:sz w:val="24"/>
          <w:szCs w:val="24"/>
        </w:rPr>
        <w:t xml:space="preserve">un atto pubblico di denuncia, datato e documentato</w:t>
      </w:r>
      <w:r>
        <w:rPr>
          <w:rFonts w:ascii="Barlow Semi Condensed" w:cs="Barlow Semi Condensed" w:eastAsia="Barlow Semi Condensed" w:hAnsi="Barlow Semi Condensed"/>
          <w:i w:val="false"/>
          <w:iCs w:val="false"/>
          <w:sz w:val="24"/>
          <w:szCs w:val="24"/>
        </w:rPr>
        <w:t xml:space="preserve">, che riguarda il regime e non le persone di quest'opera. È poco, e va detto che è poco. Ma è un piano 1, e un piano 1 sottile vale più di dieci convergenze suggestive. </w:t>
      </w:r>
      <w:r>
        <w:rPr>
          <w:rFonts w:ascii="Barlow Semi Condensed" w:cs="Barlow Semi Condensed" w:eastAsia="Barlow Semi Condensed" w:hAnsi="Barlow Semi Condensed"/>
          <w:b/>
          <w:bCs/>
          <w:i w:val="false"/>
          <w:iCs w:val="false"/>
          <w:sz w:val="24"/>
          <w:szCs w:val="24"/>
        </w:rPr>
        <w:t xml:space="preserve">[Aggiornamento del 26 agosto 2026 — il perimetro è cambiato, e va detto.]</w:t>
      </w:r>
      <w:r>
        <w:rPr>
          <w:rFonts w:ascii="Barlow Semi Condensed" w:cs="Barlow Semi Condensed" w:eastAsia="Barlow Semi Condensed" w:hAnsi="Barlow Semi Condensed"/>
          <w:i w:val="false"/>
          <w:iCs w:val="false"/>
          <w:sz w:val="24"/>
          <w:szCs w:val="24"/>
        </w:rPr>
        <w:t xml:space="preserve"> Questa ricognizione fu eseguita quando il corpus contava tredici Libri. Il 26 agosto 2026 vi è entrato, come </w:t>
      </w:r>
      <w:r>
        <w:rPr>
          <w:rFonts w:ascii="Barlow Semi Condensed" w:cs="Barlow Semi Condensed" w:eastAsia="Barlow Semi Condensed" w:hAnsi="Barlow Semi Condensed"/>
          <w:b/>
          <w:bCs/>
          <w:i w:val="false"/>
          <w:iCs w:val="false"/>
          <w:sz w:val="24"/>
          <w:szCs w:val="24"/>
        </w:rPr>
        <w:t xml:space="preserve">Libro quarto</w:t>
      </w:r>
      <w:r>
        <w:rPr>
          <w:rFonts w:ascii="Barlow Semi Condensed" w:cs="Barlow Semi Condensed" w:eastAsia="Barlow Semi Condensed" w:hAnsi="Barlow Semi Condensed"/>
          <w:i w:val="false"/>
          <w:iCs w:val="false"/>
          <w:sz w:val="24"/>
          <w:szCs w:val="24"/>
        </w:rPr>
        <w:t xml:space="preserve">, il Dossier maggiore dell'autore, e la ricognizione è stata rieseguita sul perimetro allargato. </w:t>
      </w:r>
      <w:r>
        <w:rPr>
          <w:rFonts w:ascii="Barlow Semi Condensed" w:cs="Barlow Semi Condensed" w:eastAsia="Barlow Semi Condensed" w:hAnsi="Barlow Semi Condensed"/>
          <w:b/>
          <w:bCs/>
          <w:i w:val="false"/>
          <w:iCs w:val="false"/>
          <w:sz w:val="24"/>
          <w:szCs w:val="24"/>
        </w:rPr>
        <w:t xml:space="preserve">L'esito muta su due stringhe e su una soltanto in modo sostanziale.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Musk</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Thiel</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Botha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Silicon Valley</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i w:val="false"/>
          <w:iCs w:val="false"/>
          <w:sz w:val="24"/>
          <w:szCs w:val="24"/>
        </w:rPr>
        <w:t xml:space="preserve">Sud Africa</w:t>
      </w:r>
      <w:r>
        <w:rPr>
          <w:rFonts w:ascii="Barlow Semi Condensed" w:cs="Barlow Semi Condensed" w:eastAsia="Barlow Semi Condensed" w:hAnsi="Barlow Semi Condensed"/>
          <w:i w:val="false"/>
          <w:iCs w:val="false"/>
          <w:sz w:val="24"/>
          <w:szCs w:val="24"/>
        </w:rPr>
        <w:t xml:space="preserve">» restano a zero. </w:t>
      </w:r>
      <w:r>
        <w:rPr>
          <w:rFonts w:ascii="Barlow Semi Condensed" w:cs="Barlow Semi Condensed" w:eastAsia="Barlow Semi Condensed" w:hAnsi="Barlow Semi Condensed"/>
          <w:i w:val="false"/>
          <w:iCs w:val="false"/>
          <w:sz w:val="24"/>
          <w:szCs w:val="24"/>
        </w:rPr>
        <w:t xml:space="preserve">Namibia</w:t>
      </w:r>
      <w:r>
        <w:rPr>
          <w:rFonts w:ascii="Barlow Semi Condensed" w:cs="Barlow Semi Condensed" w:eastAsia="Barlow Semi Condensed" w:hAnsi="Barlow Semi Condensed"/>
          <w:i w:val="false"/>
          <w:iCs w:val="false"/>
          <w:sz w:val="24"/>
          <w:szCs w:val="24"/>
        </w:rPr>
        <w:t xml:space="preserve"> compare una volta, nell'aggettivo «namibiane». </w:t>
      </w:r>
      <w:r>
        <w:rPr>
          <w:rFonts w:ascii="Barlow Semi Condensed" w:cs="Barlow Semi Condensed" w:eastAsia="Barlow Semi Condensed" w:hAnsi="Barlow Semi Condensed"/>
          <w:b/>
          <w:bCs/>
          <w:i w:val="false"/>
          <w:iCs w:val="false"/>
          <w:sz w:val="24"/>
          <w:szCs w:val="24"/>
        </w:rPr>
        <w:t xml:space="preserve">PayPal compare una volta</w:t>
      </w:r>
      <w:r>
        <w:rPr>
          <w:rFonts w:ascii="Barlow Semi Condensed" w:cs="Barlow Semi Condensed" w:eastAsia="Barlow Semi Condensed" w:hAnsi="Barlow Semi Condensed"/>
          <w:i w:val="false"/>
          <w:iCs w:val="false"/>
          <w:sz w:val="24"/>
          <w:szCs w:val="24"/>
        </w:rPr>
        <w:t xml:space="preserve">, e il contesto è quello che conta: il Dossier maggiore vi dichiara di aver condotto </w:t>
      </w:r>
      <w:r>
        <w:rPr>
          <w:rFonts w:ascii="Barlow Semi Condensed" w:cs="Barlow Semi Condensed" w:eastAsia="Barlow Semi Condensed" w:hAnsi="Barlow Semi Condensed"/>
          <w:b/>
          <w:bCs/>
          <w:i w:val="false"/>
          <w:iCs w:val="false"/>
          <w:sz w:val="24"/>
          <w:szCs w:val="24"/>
        </w:rPr>
        <w:t xml:space="preserve">il riscontro sistematico fra i profili della cosiddetta PayPal Mafia e i nodi storici del proprio teatro</w:t>
      </w:r>
      <w:r>
        <w:rPr>
          <w:rFonts w:ascii="Barlow Semi Condensed" w:cs="Barlow Semi Condensed" w:eastAsia="Barlow Semi Condensed" w:hAnsi="Barlow Semi Condensed"/>
          <w:i w:val="false"/>
          <w:iCs w:val="false"/>
          <w:sz w:val="24"/>
          <w:szCs w:val="24"/>
        </w:rPr>
        <w:t xml:space="preserve">, certificando le radici australi di quattro profili come dati pubblici e </w:t>
      </w:r>
      <w:r>
        <w:rPr>
          <w:rFonts w:ascii="Barlow Semi Condensed" w:cs="Barlow Semi Condensed" w:eastAsia="Barlow Semi Condensed" w:hAnsi="Barlow Semi Condensed"/>
          <w:b/>
          <w:bCs/>
          <w:i w:val="false"/>
          <w:iCs w:val="false"/>
          <w:sz w:val="24"/>
          <w:szCs w:val="24"/>
        </w:rPr>
        <w:t xml:space="preserve">certificando con eguale nettezza l'esito negativo del riscontro</w:t>
      </w:r>
      <w:r>
        <w:rPr>
          <w:rFonts w:ascii="Barlow Semi Condensed" w:cs="Barlow Semi Condensed" w:eastAsia="Barlow Semi Condensed" w:hAnsi="Barlow Semi Condensed"/>
          <w:i w:val="false"/>
          <w:iCs w:val="false"/>
          <w:sz w:val="24"/>
          <w:szCs w:val="24"/>
        </w:rPr>
        <w:t xml:space="preserve">. Non è dunque una smentita dello Stato Zero: è la </w:t>
      </w:r>
      <w:r>
        <w:rPr>
          <w:rFonts w:ascii="Barlow Semi Condensed" w:cs="Barlow Semi Condensed" w:eastAsia="Barlow Semi Condensed" w:hAnsi="Barlow Semi Condensed"/>
          <w:b/>
          <w:bCs/>
          <w:i w:val="false"/>
          <w:iCs w:val="false"/>
          <w:sz w:val="24"/>
          <w:szCs w:val="24"/>
        </w:rPr>
        <w:t xml:space="preserve">verifica omologa di un'altra opera che perviene al medesimo esito negativo</w:t>
      </w:r>
      <w:r>
        <w:rPr>
          <w:rFonts w:ascii="Barlow Semi Condensed" w:cs="Barlow Semi Condensed" w:eastAsia="Barlow Semi Condensed" w:hAnsi="Barlow Semi Condensed"/>
          <w:i w:val="false"/>
          <w:iCs w:val="false"/>
          <w:sz w:val="24"/>
          <w:szCs w:val="24"/>
        </w:rPr>
        <w:t xml:space="preserve">, e uno Stato Zero confermato per via indipendente vale più di uno dichiarato una volta sola. Mutano invece in modo netto </w:t>
      </w:r>
      <w:r>
        <w:rPr>
          <w:rFonts w:ascii="Barlow Semi Condensed" w:cs="Barlow Semi Condensed" w:eastAsia="Barlow Semi Condensed" w:hAnsi="Barlow Semi Condensed"/>
          <w:i w:val="false"/>
          <w:iCs w:val="false"/>
          <w:sz w:val="24"/>
          <w:szCs w:val="24"/>
        </w:rPr>
        <w:t xml:space="preserve">apartheid</w:t>
      </w:r>
      <w:r>
        <w:rPr>
          <w:rFonts w:ascii="Barlow Semi Condensed" w:cs="Barlow Semi Condensed" w:eastAsia="Barlow Semi Condensed" w:hAnsi="Barlow Semi Condensed"/>
          <w:i w:val="false"/>
          <w:iCs w:val="false"/>
          <w:sz w:val="24"/>
          <w:szCs w:val="24"/>
        </w:rPr>
        <w:t xml:space="preserve"> (diciotto occorrenze nel nuovo Libro) e </w:t>
      </w:r>
      <w:r>
        <w:rPr>
          <w:rFonts w:ascii="Barlow Semi Condensed" w:cs="Barlow Semi Condensed" w:eastAsia="Barlow Semi Condensed" w:hAnsi="Barlow Semi Condensed"/>
          <w:i w:val="false"/>
          <w:iCs w:val="false"/>
          <w:sz w:val="24"/>
          <w:szCs w:val="24"/>
        </w:rPr>
        <w:t xml:space="preserve">sudafricano</w:t>
      </w:r>
      <w:r>
        <w:rPr>
          <w:rFonts w:ascii="Barlow Semi Condensed" w:cs="Barlow Semi Condensed" w:eastAsia="Barlow Semi Condensed" w:hAnsi="Barlow Semi Condensed"/>
          <w:i w:val="false"/>
          <w:iCs w:val="false"/>
          <w:sz w:val="24"/>
          <w:szCs w:val="24"/>
        </w:rPr>
        <w:t xml:space="preserve"> (quarantatré), perché la Fase quinta del Dossier tratta il Sudafrica dell'apartheid come nodo del proprio registro: il corpus non tace più quasi per intero sul tema di quest'opera, e chi legge deve saperlo. </w:t>
      </w:r>
      <w:r>
        <w:rPr>
          <w:rFonts w:ascii="Barlow Semi Condensed" w:cs="Barlow Semi Condensed" w:eastAsia="Barlow Semi Condensed" w:hAnsi="Barlow Semi Condensed"/>
          <w:b/>
          <w:bCs/>
          <w:i w:val="false"/>
          <w:iCs w:val="false"/>
          <w:sz w:val="24"/>
          <w:szCs w:val="24"/>
        </w:rPr>
        <w:t xml:space="preserve">La dichiarazione originaria non è stata riscritta</w:t>
      </w:r>
      <w:r>
        <w:rPr>
          <w:rFonts w:ascii="Barlow Semi Condensed" w:cs="Barlow Semi Condensed" w:eastAsia="Barlow Semi Condensed" w:hAnsi="Barlow Semi Condensed"/>
          <w:i w:val="false"/>
          <w:iCs w:val="false"/>
          <w:sz w:val="24"/>
          <w:szCs w:val="24"/>
        </w:rPr>
        <w:t xml:space="preserve">: sta sopra questa nota, come il metodo di quest'opera impone.  Il Libro quattordicesimo si aggiunge perciò come </w:t>
      </w:r>
      <w:r>
        <w:rPr>
          <w:rFonts w:ascii="Barlow Semi Condensed" w:cs="Barlow Semi Condensed" w:eastAsia="Barlow Semi Condensed" w:hAnsi="Barlow Semi Condensed"/>
          <w:b/>
          <w:bCs/>
          <w:i w:val="false"/>
          <w:iCs w:val="false"/>
          <w:sz w:val="24"/>
          <w:szCs w:val="24"/>
        </w:rPr>
        <w:t xml:space="preserve">nuovo fronte della stessa domanda</w:t>
      </w:r>
      <w:r>
        <w:rPr>
          <w:rFonts w:ascii="Barlow Semi Condensed" w:cs="Barlow Semi Condensed" w:eastAsia="Barlow Semi Condensed" w:hAnsi="Barlow Semi Condensed"/>
          <w:i w:val="false"/>
          <w:iCs w:val="false"/>
          <w:sz w:val="24"/>
          <w:szCs w:val="24"/>
        </w:rPr>
        <w:t xml:space="preserve"> — che cosa non è finito nel 1945 — e non come tassello di una trama unica. Chi lo leggesse nel secondo senso avrebbe fatto esattamente ciò che l'intera architettura dei tre piani serve a impedire.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quest'opera si vieta.</w:t>
      </w:r>
      <w:r>
        <w:rPr>
          <w:rFonts w:ascii="Barlow Semi Condensed" w:cs="Barlow Semi Condensed" w:eastAsia="Barlow Semi Condensed" w:hAnsi="Barlow Semi Condensed"/>
          <w:i w:val="false"/>
          <w:iCs w:val="false"/>
          <w:sz w:val="24"/>
          <w:szCs w:val="24"/>
        </w:rPr>
        <w:t xml:space="preserve"> Non stabilirà che esista un centro; non dedurrà una condotta da un'origine; non attribuirà a un vivente le opinioni di un ascendente; non tratterà un'infanzia come una scelta; non presenterà una convergenza come un piano. E non concluderà. </w:t>
      </w:r>
      <w:r>
        <w:rPr>
          <w:rFonts w:ascii="Barlow Semi Condensed" w:cs="Barlow Semi Condensed" w:eastAsia="Barlow Semi Condensed" w:hAnsi="Barlow Semi Condensed"/>
          <w:b/>
          <w:bCs/>
          <w:i w:val="false"/>
          <w:iCs w:val="false"/>
          <w:sz w:val="24"/>
          <w:szCs w:val="24"/>
        </w:rPr>
        <w:t xml:space="preserve">Un'indagine produce atti, non colpevoli</w:t>
      </w:r>
      <w:r>
        <w:rPr>
          <w:rFonts w:ascii="Barlow Semi Condensed" w:cs="Barlow Semi Condensed" w:eastAsia="Barlow Semi Condensed" w:hAnsi="Barlow Semi Condensed"/>
          <w:i w:val="false"/>
          <w:iCs w:val="false"/>
          <w:sz w:val="24"/>
          <w:szCs w:val="24"/>
        </w:rPr>
        <w:t xml:space="preserve"> — e mille bersagli di ricerca non sono mille prove: sono mille modi di rendere il proprio lavoro falsificabile da chi verrà dopo.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prima — Lo statuto e il metodo</w:t>
      </w:r>
    </w:p>
    <w:p>
      <w:pPr>
        <w:spacing w:after="120" w:line="276"/>
        <w:jc w:val="both"/>
      </w:pPr>
      <w:r>
        <w:rPr>
          <w:rFonts w:ascii="Barlow Semi Condensed" w:cs="Barlow Semi Condensed" w:eastAsia="Barlow Semi Condensed" w:hAnsi="Barlow Semi Condensed"/>
          <w:i/>
          <w:iCs/>
          <w:sz w:val="24"/>
          <w:szCs w:val="24"/>
        </w:rPr>
        <w:t xml:space="preserve">Blocchi 1-50.</w:t>
      </w:r>
    </w:p>
    <w:p>
      <w:pPr>
        <w:spacing w:after="120" w:line="276"/>
        <w:jc w:val="both"/>
      </w:pPr>
      <w:r>
        <w:rPr>
          <w:rFonts w:ascii="Barlow Semi Condensed" w:cs="Barlow Semi Condensed" w:eastAsia="Barlow Semi Condensed" w:hAnsi="Barlow Semi Condensed"/>
          <w:b/>
          <w:bCs/>
          <w:sz w:val="24"/>
          <w:szCs w:val="24"/>
        </w:rPr>
        <w:t xml:space="preserve">1 · Che cosa fa quest'opera.</w:t>
      </w:r>
      <w:r>
        <w:rPr>
          <w:rFonts w:ascii="Barlow Semi Condensed" w:cs="Barlow Semi Condensed" w:eastAsia="Barlow Semi Condensed" w:hAnsi="Barlow Semi Condensed"/>
          <w:sz w:val="24"/>
          <w:szCs w:val="24"/>
        </w:rPr>
        <w:t xml:space="preserve"> Mille blocchi mirati, ordinati in tredici serie, interrogano una sola ipotesi: che fra il Sud Africa dell'apartheid e la cerchia tecnologica californiana del primo Duemila corra una continuità accertabile. L'ipotesi non è la conclusione dell'opera, è il suo oggetto. Ogni blocco è un bersaglio da portare altrove: un quesito d'archivio, una regola applicabile, un accertamento con grado dichiarato, una lacuna verbalizzata. Chi legge deve poterlo eseguire senza fidarsi di chi lo ha scritto.</w:t>
      </w:r>
    </w:p>
    <w:p>
      <w:pPr>
        <w:spacing w:after="120" w:line="276"/>
        <w:jc w:val="both"/>
      </w:pPr>
      <w:r>
        <w:rPr>
          <w:rFonts w:ascii="Barlow Semi Condensed" w:cs="Barlow Semi Condensed" w:eastAsia="Barlow Semi Condensed" w:hAnsi="Barlow Semi Condensed"/>
          <w:b/>
          <w:bCs/>
          <w:sz w:val="24"/>
          <w:szCs w:val="24"/>
        </w:rPr>
        <w:t xml:space="preserve">2 · Un blocco non è un'affermazione.</w:t>
      </w:r>
      <w:r>
        <w:rPr>
          <w:rFonts w:ascii="Barlow Semi Condensed" w:cs="Barlow Semi Condensed" w:eastAsia="Barlow Semi Condensed" w:hAnsi="Barlow Semi Condensed"/>
          <w:sz w:val="24"/>
          <w:szCs w:val="24"/>
        </w:rPr>
        <w:t xml:space="preserve"> Chi cerca qui delle tesi trova invece dei compiti. La forma del blocco è ereditata dalle opere gemelle del branch — il manuale investigativo in quattrocento blocchi, l'agenda di ricerca in trecento, i nove cantieri e la triangolazione Kissinger in mille ciascuno — e serve allo stesso fine: rendere il lavoro eseguibile da un terzo e falsificabile da chiunque. Un blocco che non dica che cosa cercare, dove, e che cosa lo chiuderebbe, è scritto male.</w:t>
      </w:r>
    </w:p>
    <w:p>
      <w:pPr>
        <w:spacing w:after="120" w:line="276"/>
        <w:jc w:val="both"/>
      </w:pPr>
      <w:r>
        <w:rPr>
          <w:rFonts w:ascii="Barlow Semi Condensed" w:cs="Barlow Semi Condensed" w:eastAsia="Barlow Semi Condensed" w:hAnsi="Barlow Semi Condensed"/>
          <w:b/>
          <w:bCs/>
          <w:sz w:val="24"/>
          <w:szCs w:val="24"/>
        </w:rPr>
        <w:t xml:space="preserve">3 · La tesi di continuità enunciata.</w:t>
      </w:r>
      <w:r>
        <w:rPr>
          <w:rFonts w:ascii="Barlow Semi Condensed" w:cs="Barlow Semi Condensed" w:eastAsia="Barlow Semi Condensed" w:hAnsi="Barlow Semi Condensed"/>
          <w:sz w:val="24"/>
          <w:szCs w:val="24"/>
        </w:rPr>
        <w:t xml:space="preserve"> Enunciarla per esteso è già metà del lavoro. Nella forma più forte suonerebbe così: uomini formati entro l'ordinamento razziale sudafricano avrebbero trasmesso a un ambiente d'impresa statunitense pratiche, capitali o dottrine riconoscibili. In questa forma la tesi è indimostrata e quasi certamente insostenibile. L'opera lavora su versioni più deboli e misurabili, e le tiene separate una dall'altra, perché una tesi vaga non si smentisce, e ciò che non si smentisce non serve.</w:t>
      </w:r>
    </w:p>
    <w:p>
      <w:pPr>
        <w:spacing w:after="120" w:line="276"/>
        <w:jc w:val="both"/>
      </w:pPr>
      <w:r>
        <w:rPr>
          <w:rFonts w:ascii="Barlow Semi Condensed" w:cs="Barlow Semi Condensed" w:eastAsia="Barlow Semi Condensed" w:hAnsi="Barlow Semi Condensed"/>
          <w:b/>
          <w:bCs/>
          <w:sz w:val="24"/>
          <w:szCs w:val="24"/>
        </w:rPr>
        <w:t xml:space="preserve">4 · I tre piani applicati qui.</w:t>
      </w:r>
      <w:r>
        <w:rPr>
          <w:rFonts w:ascii="Barlow Semi Condensed" w:cs="Barlow Semi Condensed" w:eastAsia="Barlow Semi Condensed" w:hAnsi="Barlow Semi Condensed"/>
          <w:sz w:val="24"/>
          <w:szCs w:val="24"/>
        </w:rPr>
        <w:t xml:space="preserve"> Piano uno: un documento di provenienza in cui una parte nomina l'altra — un atto societario, un cablogramma, un contratto, un verbale. Piano due: convergenza strutturale entro la stessa cornice, due traiettorie che si somigliano senza mai toccarsi. Piano tre: affermazione terziaria che ripete un'altra affermazione terziaria. Solo il primo costituisce un ponte. Il secondo e il terzo si registrano col loro nome e non si promuovono mai a nesso causale.</w:t>
      </w:r>
    </w:p>
    <w:p>
      <w:pPr>
        <w:spacing w:after="120" w:line="276"/>
        <w:jc w:val="both"/>
      </w:pPr>
      <w:r>
        <w:rPr>
          <w:rFonts w:ascii="Barlow Semi Condensed" w:cs="Barlow Semi Condensed" w:eastAsia="Barlow Semi Condensed" w:hAnsi="Barlow Semi Condensed"/>
          <w:b/>
          <w:bCs/>
          <w:sz w:val="24"/>
          <w:szCs w:val="24"/>
        </w:rPr>
        <w:t xml:space="preserve">5 · Che cosa vale come provenienza.</w:t>
      </w:r>
      <w:r>
        <w:rPr>
          <w:rFonts w:ascii="Barlow Semi Condensed" w:cs="Barlow Semi Condensed" w:eastAsia="Barlow Semi Condensed" w:hAnsi="Barlow Semi Condensed"/>
          <w:sz w:val="24"/>
          <w:szCs w:val="24"/>
        </w:rPr>
        <w:t xml:space="preserve"> Un documento di provenienza è un atto prodotto dalle parti nel corso della vicenda, non una ricostruzione posteriore su di essa. Un modulo di registrazione depositato presso la Companies and Intellectual Property Commission sudafricana vale come provenienza; un articolo che descriva quel deposito no. La distinzione appare ovvia e viene violata quotidianamente su questa materia, dove la sintesi secondaria circola assai più del deposito che pretende di riassumere.</w:t>
      </w:r>
    </w:p>
    <w:p>
      <w:pPr>
        <w:spacing w:after="120" w:line="276"/>
        <w:jc w:val="both"/>
      </w:pPr>
      <w:r>
        <w:rPr>
          <w:rFonts w:ascii="Barlow Semi Condensed" w:cs="Barlow Semi Condensed" w:eastAsia="Barlow Semi Condensed" w:hAnsi="Barlow Semi Condensed"/>
          <w:b/>
          <w:bCs/>
          <w:sz w:val="24"/>
          <w:szCs w:val="24"/>
        </w:rPr>
        <w:t xml:space="preserve">6 · La convergenza resta convergenza.</w:t>
      </w:r>
      <w:r>
        <w:rPr>
          <w:rFonts w:ascii="Barlow Semi Condensed" w:cs="Barlow Semi Condensed" w:eastAsia="Barlow Semi Condensed" w:hAnsi="Barlow Semi Condensed"/>
          <w:sz w:val="24"/>
          <w:szCs w:val="24"/>
        </w:rPr>
        <w:t xml:space="preserve"> Due uomini nati nello stesso decennio, nello stesso Paese, entrambi emigrati e entrambi riusciti altrove, costituiscono una convergenza e nient'altro. La cornice comune spiega la somiglianza almeno quanto la spiegherebbe un contatto, e a costo inferenziale minore. Promuovere il piano due al piano uno è l'operazione che quest'opera esiste per rendere visibile ogni volta che qualcuno la compie, incluso chi scrive queste righe.</w:t>
      </w:r>
    </w:p>
    <w:p>
      <w:pPr>
        <w:spacing w:after="120" w:line="276"/>
        <w:jc w:val="both"/>
      </w:pPr>
      <w:r>
        <w:rPr>
          <w:rFonts w:ascii="Barlow Semi Condensed" w:cs="Barlow Semi Condensed" w:eastAsia="Barlow Semi Condensed" w:hAnsi="Barlow Semi Condensed"/>
          <w:b/>
          <w:bCs/>
          <w:sz w:val="24"/>
          <w:szCs w:val="24"/>
        </w:rPr>
        <w:t xml:space="preserve">7 · Il piano tre si moltiplica.</w:t>
      </w:r>
      <w:r>
        <w:rPr>
          <w:rFonts w:ascii="Barlow Semi Condensed" w:cs="Barlow Semi Condensed" w:eastAsia="Barlow Semi Condensed" w:hAnsi="Barlow Semi Condensed"/>
          <w:sz w:val="24"/>
          <w:szCs w:val="24"/>
        </w:rPr>
        <w:t xml:space="preserve"> L'affermazione terziaria possiede una proprietà che la rende insidiosa: si riproduce a costo zero. Una formulazione entra in circolo, viene ripresa alla lettera da decine di siti, e la sua frequenza viene poi scambiata per conferma. Il conteggio delle occorrenze non è un metodo di verifica. Cinquanta pagine che ripetono la stessa frase valgono, sul piano probatorio, esattamente quanto vale la prima; cioè, quasi sempre, nulla.</w:t>
      </w:r>
    </w:p>
    <w:p>
      <w:pPr>
        <w:spacing w:after="120" w:line="276"/>
        <w:jc w:val="both"/>
      </w:pPr>
      <w:r>
        <w:rPr>
          <w:rFonts w:ascii="Barlow Semi Condensed" w:cs="Barlow Semi Condensed" w:eastAsia="Barlow Semi Condensed" w:hAnsi="Barlow Semi Condensed"/>
          <w:b/>
          <w:bCs/>
          <w:sz w:val="24"/>
          <w:szCs w:val="24"/>
        </w:rPr>
        <w:t xml:space="preserve">8 · Omologia contro analogia.</w:t>
      </w:r>
      <w:r>
        <w:rPr>
          <w:rFonts w:ascii="Barlow Semi Condensed" w:cs="Barlow Semi Condensed" w:eastAsia="Barlow Semi Condensed" w:hAnsi="Barlow Semi Condensed"/>
          <w:sz w:val="24"/>
          <w:szCs w:val="24"/>
        </w:rPr>
        <w:t xml:space="preserve"> Strutture simili discendono da un antenato comune oppure convergono per adattamento in ambienti simili. Dalla somiglianza del risultato non si deduce l'antenato: è l'errore che la biologia comparata insegna a evitare al primo anno e che la storiografia commette ogni giorno. Il test è unico e non ammette surrogati — un documento di provenienza che nomini la controparte. In sua assenza si scrive analogia, e si tira avanti.</w:t>
      </w:r>
    </w:p>
    <w:p>
      <w:pPr>
        <w:spacing w:after="120" w:line="276"/>
        <w:jc w:val="both"/>
      </w:pPr>
      <w:r>
        <w:rPr>
          <w:rFonts w:ascii="Barlow Semi Condensed" w:cs="Barlow Semi Condensed" w:eastAsia="Barlow Semi Condensed" w:hAnsi="Barlow Semi Condensed"/>
          <w:b/>
          <w:bCs/>
          <w:sz w:val="24"/>
          <w:szCs w:val="24"/>
        </w:rPr>
        <w:t xml:space="preserve">9 · Nessun nome, nessuna imputazione.</w:t>
      </w:r>
      <w:r>
        <w:rPr>
          <w:rFonts w:ascii="Barlow Semi Condensed" w:cs="Barlow Semi Condensed" w:eastAsia="Barlow Semi Condensed" w:hAnsi="Barlow Semi Condensed"/>
          <w:sz w:val="24"/>
          <w:szCs w:val="24"/>
        </w:rPr>
        <w:t xml:space="preserve"> Nessun blocco di quest'opera indica alcuno come responsabile di reato o di illecito. Nessuno dei soggetti nominati risulta condannato in relazione ai fatti indagati, e il corpus si ferma al giudicato, come già fa la Fase decima del volume moroteo con il suo registro nominativo delle tredici responsabilità individuali. Vale per tutti la presunzione d'innocenza, e vale anzitutto per i viventi, che qui compaiono soltanto per fatti pubblici e verificabili.</w:t>
      </w:r>
    </w:p>
    <w:p>
      <w:pPr>
        <w:spacing w:after="120" w:line="276"/>
        <w:jc w:val="both"/>
      </w:pPr>
      <w:r>
        <w:rPr>
          <w:rFonts w:ascii="Barlow Semi Condensed" w:cs="Barlow Semi Condensed" w:eastAsia="Barlow Semi Condensed" w:hAnsi="Barlow Semi Condensed"/>
          <w:b/>
          <w:bCs/>
          <w:sz w:val="24"/>
          <w:szCs w:val="24"/>
        </w:rPr>
        <w:t xml:space="preserve">10 · Per quali fatti si nomina.</w:t>
      </w:r>
      <w:r>
        <w:rPr>
          <w:rFonts w:ascii="Barlow Semi Condensed" w:cs="Barlow Semi Condensed" w:eastAsia="Barlow Semi Condensed" w:hAnsi="Barlow Semi Condensed"/>
          <w:sz w:val="24"/>
          <w:szCs w:val="24"/>
        </w:rPr>
        <w:t xml:space="preserve"> Si nomina una persona vivente per la nascita, la residenza, la cittadinanza, l'impiego, la parentela, le dichiarazioni rese pubblicamente, gli atti societari depositati. Mai per condotte inferite, per opinioni attribuite, per intenzioni ricostruite. L'elenco è chiuso e non si allarga per comodità narrativa: se un blocco ha bisogno di una condotta non documentata per reggersi, quel blocco va riscritto o cancellato, non attenuato con un avverbio.</w:t>
      </w:r>
    </w:p>
    <w:p>
      <w:pPr>
        <w:spacing w:after="120" w:line="276"/>
        <w:jc w:val="both"/>
      </w:pPr>
      <w:r>
        <w:rPr>
          <w:rFonts w:ascii="Barlow Semi Condensed" w:cs="Barlow Semi Condensed" w:eastAsia="Barlow Semi Condensed" w:hAnsi="Barlow Semi Condensed"/>
          <w:b/>
          <w:bCs/>
          <w:sz w:val="24"/>
          <w:szCs w:val="24"/>
        </w:rPr>
        <w:t xml:space="preserve">11 · L'origine non è una colpa.</w:t>
      </w:r>
      <w:r>
        <w:rPr>
          <w:rFonts w:ascii="Barlow Semi Condensed" w:cs="Barlow Semi Condensed" w:eastAsia="Barlow Semi Condensed" w:hAnsi="Barlow Semi Condensed"/>
          <w:sz w:val="24"/>
          <w:szCs w:val="24"/>
        </w:rPr>
        <w:t xml:space="preserve"> L'infanzia non è una scelta e la nascita non è un atto. Chi nacque o crebbe entro un ordinamento razziale non ne è per ciò responsabile, e nessun blocco può suggerirlo per allusione, per accostamento o per ordine delle parole. È la regola che quest'opera rischia di violare più spesso, perché l'accostamento non costa nulla e sembra innocente: la violazione avviene nella sintassi prima ancora che nell'affermazione.</w:t>
      </w:r>
    </w:p>
    <w:p>
      <w:pPr>
        <w:spacing w:after="120" w:line="276"/>
        <w:jc w:val="both"/>
      </w:pPr>
      <w:r>
        <w:rPr>
          <w:rFonts w:ascii="Barlow Semi Condensed" w:cs="Barlow Semi Condensed" w:eastAsia="Barlow Semi Condensed" w:hAnsi="Barlow Semi Condensed"/>
          <w:b/>
          <w:bCs/>
          <w:sz w:val="24"/>
          <w:szCs w:val="24"/>
        </w:rPr>
        <w:t xml:space="preserve">12 · Appartenenza e contemporaneità.</w:t>
      </w:r>
      <w:r>
        <w:rPr>
          <w:rFonts w:ascii="Barlow Semi Condensed" w:cs="Barlow Semi Condensed" w:eastAsia="Barlow Semi Condensed" w:hAnsi="Barlow Semi Condensed"/>
          <w:sz w:val="24"/>
          <w:szCs w:val="24"/>
        </w:rPr>
        <w:t xml:space="preserve"> Appartenere a un Paese, a una scuola, a un'azienda o a una famiglia non è prova di condotta; essere contemporanei non è prova di nesso. Il corpus lo ha già stabilito trattando le appartenenze come fatti biografici inerti nella triangolazione dei condannati, dove otto ponti documentati non sono stati promossi a nessi causali. La stessa disciplina si applica qui, a soggetti viventi, dove l'errore costerebbe incomparabilmente di più.</w:t>
      </w:r>
    </w:p>
    <w:p>
      <w:pPr>
        <w:spacing w:after="120" w:line="276"/>
        <w:jc w:val="both"/>
      </w:pPr>
      <w:r>
        <w:rPr>
          <w:rFonts w:ascii="Barlow Semi Condensed" w:cs="Barlow Semi Condensed" w:eastAsia="Barlow Semi Condensed" w:hAnsi="Barlow Semi Condensed"/>
          <w:b/>
          <w:bCs/>
          <w:sz w:val="24"/>
          <w:szCs w:val="24"/>
        </w:rPr>
        <w:t xml:space="preserve">13 · «PayPal Mafia» non è un soggetto.</w:t>
      </w:r>
      <w:r>
        <w:rPr>
          <w:rFonts w:ascii="Barlow Semi Condensed" w:cs="Barlow Semi Condensed" w:eastAsia="Barlow Semi Condensed" w:hAnsi="Barlow Semi Condensed"/>
          <w:sz w:val="24"/>
          <w:szCs w:val="24"/>
        </w:rPr>
        <w:t xml:space="preserve"> La locuzione nasce da un servizio di copertina di Fortune del novembre 2007, firmato da Jeffrey O'Brien, con fotografia di gruppo scattata al ristorante Tosca di San Francisco. È una categoria giornalistica, non un ente: non ha atto costitutivo, non ha organi, non ha soci. Trattarla come soggetto unitario significa attribuire a un'etichetta condotte che semmai apparterrebbero a persone. Nei blocchi si nominano le persone, una per una, oppure non si nomina.</w:t>
      </w:r>
    </w:p>
    <w:p>
      <w:pPr>
        <w:spacing w:after="120" w:line="276"/>
        <w:jc w:val="both"/>
      </w:pPr>
      <w:r>
        <w:rPr>
          <w:rFonts w:ascii="Barlow Semi Condensed" w:cs="Barlow Semi Condensed" w:eastAsia="Barlow Semi Condensed" w:hAnsi="Barlow Semi Condensed"/>
          <w:b/>
          <w:bCs/>
          <w:sz w:val="24"/>
          <w:szCs w:val="24"/>
        </w:rPr>
        <w:t xml:space="preserve">14 · Chi non era nella fotografia.</w:t>
      </w:r>
      <w:r>
        <w:rPr>
          <w:rFonts w:ascii="Barlow Semi Condensed" w:cs="Barlow Semi Condensed" w:eastAsia="Barlow Semi Condensed" w:hAnsi="Barlow Semi Condensed"/>
          <w:sz w:val="24"/>
          <w:szCs w:val="24"/>
        </w:rPr>
        <w:t xml:space="preserve"> Elon Musk non partecipò alla fotografia del servizio di Fortune del 2007. Il dato è minuto e decisivo, perché la vulgata colloca abitualmente in quell'inquadratura persone che l'inquadratura non conteneva. Chi costruisce una continuità sudafricana passando per quell'immagine costruisce su una didascalia sbagliata. Verificare chi vi comparisse è un'operazione di dieci minuti sull'annata della rivista, e quasi nessuno, fra quanti ne scrivono, la compie.</w:t>
      </w:r>
    </w:p>
    <w:p>
      <w:pPr>
        <w:spacing w:after="120" w:line="276"/>
        <w:jc w:val="both"/>
      </w:pPr>
      <w:r>
        <w:rPr>
          <w:rFonts w:ascii="Barlow Semi Condensed" w:cs="Barlow Semi Condensed" w:eastAsia="Barlow Semi Condensed" w:hAnsi="Barlow Semi Condensed"/>
          <w:b/>
          <w:bCs/>
          <w:sz w:val="24"/>
          <w:szCs w:val="24"/>
        </w:rPr>
        <w:t xml:space="preserve">15 · Come si legge una fonte militante.</w:t>
      </w:r>
      <w:r>
        <w:rPr>
          <w:rFonts w:ascii="Barlow Semi Condensed" w:cs="Barlow Semi Condensed" w:eastAsia="Barlow Semi Condensed" w:hAnsi="Barlow Semi Condensed"/>
          <w:sz w:val="24"/>
          <w:szCs w:val="24"/>
        </w:rPr>
        <w:t xml:space="preserve"> Una fonte militante non è per ciò stesso falsa, ed è qui la difficoltà. Si legge come si legge una memoria di parte in un processo: se ne trattiene ciò che risulta verificabile altrove e si scarta ciò che è soltanto asserito. Il criterio operativo è uno solo: quale documento primario cita, con quale segnatura. Un sito che non cita nulla non è una fonte debole, non è una fonte.</w:t>
      </w:r>
    </w:p>
    <w:p>
      <w:pPr>
        <w:spacing w:after="120" w:line="276"/>
        <w:jc w:val="both"/>
      </w:pPr>
      <w:r>
        <w:rPr>
          <w:rFonts w:ascii="Barlow Semi Condensed" w:cs="Barlow Semi Condensed" w:eastAsia="Barlow Semi Condensed" w:hAnsi="Barlow Semi Condensed"/>
          <w:b/>
          <w:bCs/>
          <w:sz w:val="24"/>
          <w:szCs w:val="24"/>
        </w:rPr>
        <w:t xml:space="preserve">16 · Le due fonti escluse.</w:t>
      </w:r>
      <w:r>
        <w:rPr>
          <w:rFonts w:ascii="Barlow Semi Condensed" w:cs="Barlow Semi Condensed" w:eastAsia="Barlow Semi Condensed" w:hAnsi="Barlow Semi Condensed"/>
          <w:sz w:val="24"/>
          <w:szCs w:val="24"/>
        </w:rPr>
        <w:t xml:space="preserve"> Il committente ha escluso due fonti: un quotidiano italiano e un'enciclopedia in rete generata automaticamente. Il divieto si registra e si osserva, e le due non si citano mai, nemmeno per confutarle. Sulla seconda va aggiunto un rilievo di metodo che il divieto rende superfluo ma che resta vero: su questa materia essa è parte in causa, e una parte non può essere arbitro di se stessa.</w:t>
      </w:r>
    </w:p>
    <w:p>
      <w:pPr>
        <w:spacing w:after="120" w:line="276"/>
        <w:jc w:val="both"/>
      </w:pPr>
      <w:r>
        <w:rPr>
          <w:rFonts w:ascii="Barlow Semi Condensed" w:cs="Barlow Semi Condensed" w:eastAsia="Barlow Semi Condensed" w:hAnsi="Barlow Semi Condensed"/>
          <w:b/>
          <w:bCs/>
          <w:sz w:val="24"/>
          <w:szCs w:val="24"/>
        </w:rPr>
        <w:t xml:space="preserve">17 · La letteratura in rete è inquinata.</w:t>
      </w:r>
      <w:r>
        <w:rPr>
          <w:rFonts w:ascii="Barlow Semi Condensed" w:cs="Barlow Semi Condensed" w:eastAsia="Barlow Semi Condensed" w:hAnsi="Barlow Semi Condensed"/>
          <w:sz w:val="24"/>
          <w:szCs w:val="24"/>
        </w:rPr>
        <w:t xml:space="preserve"> Sul tema esistono decine di siti d'accusa e di difesa che ripetono formulazioni identiche senza aggiungere un solo documento. L'inquinamento è simmetrico: l'apologia non è più affidabile dell'accusa, e spesso è la medesima frase con il segno rovesciato. La gerarchia delle fonti adottata qui è dichiarata e non negoziabile — archivi primari, atti giudiziari, depositi societari, atti delle Nazioni Unite, stampa d'epoca datata e citabile.</w:t>
      </w:r>
    </w:p>
    <w:p>
      <w:pPr>
        <w:spacing w:after="120" w:line="276"/>
        <w:jc w:val="both"/>
      </w:pPr>
      <w:r>
        <w:rPr>
          <w:rFonts w:ascii="Barlow Semi Condensed" w:cs="Barlow Semi Condensed" w:eastAsia="Barlow Semi Condensed" w:hAnsi="Barlow Semi Condensed"/>
          <w:b/>
          <w:bCs/>
          <w:sz w:val="24"/>
          <w:szCs w:val="24"/>
        </w:rPr>
        <w:t xml:space="preserve">18 · Come si scrive uno Stato Zero.</w:t>
      </w:r>
      <w:r>
        <w:rPr>
          <w:rFonts w:ascii="Barlow Semi Condensed" w:cs="Barlow Semi Condensed" w:eastAsia="Barlow Semi Condensed" w:hAnsi="Barlow Semi Condensed"/>
          <w:sz w:val="24"/>
          <w:szCs w:val="24"/>
        </w:rPr>
        <w:t xml:space="preserve"> Uno Stato Zero non è un'ammissione di fallimento: è un accertamento. Si scrive nominando che cosa si è cercato, presso quale sede, in quale fondo, con quale chiave di ricerca, e che cosa non si è trovato. Senza queste quattro voci non è uno Stato Zero, è un'alzata di spalle. Il corpus lo pratica già nei versanti greco e turco della cartella della Farnesina, dove l'esito negativo è dichiarato per esteso.</w:t>
      </w:r>
    </w:p>
    <w:p>
      <w:pPr>
        <w:spacing w:after="120" w:line="276"/>
        <w:jc w:val="both"/>
      </w:pPr>
      <w:r>
        <w:rPr>
          <w:rFonts w:ascii="Barlow Semi Condensed" w:cs="Barlow Semi Condensed" w:eastAsia="Barlow Semi Condensed" w:hAnsi="Barlow Semi Condensed"/>
          <w:b/>
          <w:bCs/>
          <w:sz w:val="24"/>
          <w:szCs w:val="24"/>
        </w:rPr>
        <w:t xml:space="preserve">19 · Il valore probatorio dell'assenza.</w:t>
      </w:r>
      <w:r>
        <w:rPr>
          <w:rFonts w:ascii="Barlow Semi Condensed" w:cs="Barlow Semi Condensed" w:eastAsia="Barlow Semi Condensed" w:hAnsi="Barlow Semi Condensed"/>
          <w:sz w:val="24"/>
          <w:szCs w:val="24"/>
        </w:rPr>
        <w:t xml:space="preserve"> L'assenza documentata ha pieno valore e va pubblicata con la stessa evidenza del riscontro positivo: lo prescrive il blocco 276 del manuale investigativo, che censisce fra gli errori tipici il silenzio sugli esiti negativi, perché lascia vivere leggende già smentite. Qui la regola pesa più che altrove: una ricerca a vuoto su un nome vivente è precisamente ciò che protegge quel nome, e tacerla è una scelta che danneggia.</w:t>
      </w:r>
    </w:p>
    <w:p>
      <w:pPr>
        <w:spacing w:after="120" w:line="276"/>
        <w:jc w:val="both"/>
      </w:pPr>
      <w:r>
        <w:rPr>
          <w:rFonts w:ascii="Barlow Semi Condensed" w:cs="Barlow Semi Condensed" w:eastAsia="Barlow Semi Condensed" w:hAnsi="Barlow Semi Condensed"/>
          <w:b/>
          <w:bCs/>
          <w:sz w:val="24"/>
          <w:szCs w:val="24"/>
        </w:rPr>
        <w:t xml:space="preserve">20 · Il criterio di dismissione della tesi.</w:t>
      </w:r>
      <w:r>
        <w:rPr>
          <w:rFonts w:ascii="Barlow Semi Condensed" w:cs="Barlow Semi Condensed" w:eastAsia="Barlow Semi Condensed" w:hAnsi="Barlow Semi Condensed"/>
          <w:sz w:val="24"/>
          <w:szCs w:val="24"/>
        </w:rPr>
        <w:t xml:space="preserve"> Qui si fissa la condizione alla quale l'opera abbandona la tesi di continuità: se al termine delle tredici serie nessun blocco avrà prodotto un documento di piano uno, la tesi sarà dichiarata non sostenuta, e quello sarà il risultato dell'opera. Non si ripiegherà su formule attenuate — clima, atmosfera, mentalità — che sopravvivono a qualunque evidenza. Una tesi che nessun esito può abbattere non è mai stata messa alla prova.</w:t>
      </w:r>
    </w:p>
    <w:p>
      <w:pPr>
        <w:spacing w:after="120" w:line="276"/>
        <w:jc w:val="both"/>
      </w:pPr>
      <w:r>
        <w:rPr>
          <w:rFonts w:ascii="Barlow Semi Condensed" w:cs="Barlow Semi Condensed" w:eastAsia="Barlow Semi Condensed" w:hAnsi="Barlow Semi Condensed"/>
          <w:b/>
          <w:bCs/>
          <w:sz w:val="24"/>
          <w:szCs w:val="24"/>
        </w:rPr>
        <w:t xml:space="preserve">21 · Il registro delle correzioni.</w:t>
      </w:r>
      <w:r>
        <w:rPr>
          <w:rFonts w:ascii="Barlow Semi Condensed" w:cs="Barlow Semi Condensed" w:eastAsia="Barlow Semi Condensed" w:hAnsi="Barlow Semi Condensed"/>
          <w:sz w:val="24"/>
          <w:szCs w:val="24"/>
        </w:rPr>
        <w:t xml:space="preserve"> Ogni serie apre e mantiene il proprio registro: che cosa è stato scritto, che cosa emendato, su quale documento, in quale data. Il testo errato non si cancella, si annota — istituto che il corpus applica nella Nota di revisione numero uno del proprio dossier falsificazionista. Chi cancella l'errore cancella la prova di averlo commesso, e con essa la possibilità che un lettore misuri il tasso di errore invece di supporlo.</w:t>
      </w:r>
    </w:p>
    <w:p>
      <w:pPr>
        <w:spacing w:after="120" w:line="276"/>
        <w:jc w:val="both"/>
      </w:pPr>
      <w:r>
        <w:rPr>
          <w:rFonts w:ascii="Barlow Semi Condensed" w:cs="Barlow Semi Condensed" w:eastAsia="Barlow Semi Condensed" w:hAnsi="Barlow Semi Condensed"/>
          <w:b/>
          <w:bCs/>
          <w:sz w:val="24"/>
          <w:szCs w:val="24"/>
        </w:rPr>
        <w:t xml:space="preserve">22 · Smentita per assenza di provenienza.</w:t>
      </w:r>
      <w:r>
        <w:rPr>
          <w:rFonts w:ascii="Barlow Semi Condensed" w:cs="Barlow Semi Condensed" w:eastAsia="Barlow Semi Condensed" w:hAnsi="Barlow Semi Condensed"/>
          <w:sz w:val="24"/>
          <w:szCs w:val="24"/>
        </w:rPr>
        <w:t xml:space="preserve"> Che cosa falsificherebbe la tesi? Il primo bersaglio è la ricognizione integrale dei depositi societari — SEC EDGAR per gli Stati Uniti, Companies House per il Regno Unito, la Commissione sudafricana per le imprese — senza che compaia un solo atto in cui una delle società californiane nominate risulti collegata a un'entità sudafricana dell'epoca dell'apartheid. Ricognizione completa ed esito nullo: la tesi perde il suo unico terreno di piano uno.</w:t>
      </w:r>
    </w:p>
    <w:p>
      <w:pPr>
        <w:spacing w:after="120" w:line="276"/>
        <w:jc w:val="both"/>
      </w:pPr>
      <w:r>
        <w:rPr>
          <w:rFonts w:ascii="Barlow Semi Condensed" w:cs="Barlow Semi Condensed" w:eastAsia="Barlow Semi Condensed" w:hAnsi="Barlow Semi Condensed"/>
          <w:b/>
          <w:bCs/>
          <w:sz w:val="24"/>
          <w:szCs w:val="24"/>
        </w:rPr>
        <w:t xml:space="preserve">23 · Smentita per anagrafe e cronologia.</w:t>
      </w:r>
      <w:r>
        <w:rPr>
          <w:rFonts w:ascii="Barlow Semi Condensed" w:cs="Barlow Semi Condensed" w:eastAsia="Barlow Semi Condensed" w:hAnsi="Barlow Semi Condensed"/>
          <w:sz w:val="24"/>
          <w:szCs w:val="24"/>
        </w:rPr>
        <w:t xml:space="preserve"> Un secondo bersaglio è cronologico. Se le date di residenza, iscrizione scolastica e impiego dei soggetti — ricavabili da registri civili, annuari scolastici, atti di naturalizzazione e visti — collocassero ciascuno fuori dalla finestra in cui il contatto ipotizzato sarebbe stato materialmente possibile, la continuità personale cadrebbe per impossibilità, senza che occorra discutere le intenzioni di nessuno. È la smentita più pulita disponibile, e va tentata per prima.</w:t>
      </w:r>
    </w:p>
    <w:p>
      <w:pPr>
        <w:spacing w:after="120" w:line="276"/>
        <w:jc w:val="both"/>
      </w:pPr>
      <w:r>
        <w:rPr>
          <w:rFonts w:ascii="Barlow Semi Condensed" w:cs="Barlow Semi Condensed" w:eastAsia="Barlow Semi Condensed" w:hAnsi="Barlow Semi Condensed"/>
          <w:b/>
          <w:bCs/>
          <w:sz w:val="24"/>
          <w:szCs w:val="24"/>
        </w:rPr>
        <w:t xml:space="preserve">24 · Smentita per genealogia della dottrina.</w:t>
      </w:r>
      <w:r>
        <w:rPr>
          <w:rFonts w:ascii="Barlow Semi Condensed" w:cs="Barlow Semi Condensed" w:eastAsia="Barlow Semi Condensed" w:hAnsi="Barlow Semi Condensed"/>
          <w:sz w:val="24"/>
          <w:szCs w:val="24"/>
        </w:rPr>
        <w:t xml:space="preserve"> Terzo bersaglio. Se le dottrine imprenditoriali attribuite ai soggetti risultassero documentabilmente derivate da fonti statunitensi anteriori e indipendenti — testi, corsi, ambienti accademici californiani degli anni Settanta e Ottanta — la somiglianza col discorso sudafricano si spiegherebbe per antenato diverso, e l'omologia crollerebbe in analogia. La verifica si conduce nei fondi delle biblioteche universitarie e nei cataloghi editoriali, non nei commentari in rete.</w:t>
      </w:r>
    </w:p>
    <w:p>
      <w:pPr>
        <w:spacing w:after="120" w:line="276"/>
        <w:jc w:val="both"/>
      </w:pPr>
      <w:r>
        <w:rPr>
          <w:rFonts w:ascii="Barlow Semi Condensed" w:cs="Barlow Semi Condensed" w:eastAsia="Barlow Semi Condensed" w:hAnsi="Barlow Semi Condensed"/>
          <w:b/>
          <w:bCs/>
          <w:sz w:val="24"/>
          <w:szCs w:val="24"/>
        </w:rPr>
        <w:t xml:space="preserve">25 · Smentita per atto costitutivo ritrovato.</w:t>
      </w:r>
      <w:r>
        <w:rPr>
          <w:rFonts w:ascii="Barlow Semi Condensed" w:cs="Barlow Semi Condensed" w:eastAsia="Barlow Semi Condensed" w:hAnsi="Barlow Semi Condensed"/>
          <w:sz w:val="24"/>
          <w:szCs w:val="24"/>
        </w:rPr>
        <w:t xml:space="preserve"> Quarto bersaglio, rivolto contro un'affermazione di quest'opera. Si è scritto che la «PayPal Mafia» non è un ente. Se comparisse un atto costitutivo, uno statuto, un patto parasociale o un registro di adesioni che desse alla locuzione un contenuto giuridico, l'affermazione cadrebbe e andrebbe corretta nel registro. La sede naturale della verifica sono i registri societari del Delaware e della California, e nessuno risulta averla condotta.</w:t>
      </w:r>
    </w:p>
    <w:p>
      <w:pPr>
        <w:spacing w:after="120" w:line="276"/>
        <w:jc w:val="both"/>
      </w:pPr>
      <w:r>
        <w:rPr>
          <w:rFonts w:ascii="Barlow Semi Condensed" w:cs="Barlow Semi Condensed" w:eastAsia="Barlow Semi Condensed" w:hAnsi="Barlow Semi Condensed"/>
          <w:b/>
          <w:bCs/>
          <w:sz w:val="24"/>
          <w:szCs w:val="24"/>
        </w:rPr>
        <w:t xml:space="preserve">26 · Smentita per titolo minerario esibito.</w:t>
      </w:r>
      <w:r>
        <w:rPr>
          <w:rFonts w:ascii="Barlow Semi Condensed" w:cs="Barlow Semi Condensed" w:eastAsia="Barlow Semi Condensed" w:hAnsi="Barlow Semi Condensed"/>
          <w:sz w:val="24"/>
          <w:szCs w:val="24"/>
        </w:rPr>
        <w:t xml:space="preserve"> Quinto bersaglio. Sulla miniera di smeraldi attribuita a Errol Musk nessun documento di titolarità è mai emerso. Se un titolo minerario zambiano, una licenza di esportazione o un registro doganale nominasse l'interessato, la divergenza si chiuderebbe in un senso; se la ricognizione presso il ministero competente a Lusaka desse esito nullo e verbalizzato, si chiuderebbe nell'altro. Oggi non è chiusa, e l'opera la lascia aperta come tale.</w:t>
      </w:r>
    </w:p>
    <w:p>
      <w:pPr>
        <w:spacing w:after="120" w:line="276"/>
        <w:jc w:val="both"/>
      </w:pPr>
      <w:r>
        <w:rPr>
          <w:rFonts w:ascii="Barlow Semi Condensed" w:cs="Barlow Semi Condensed" w:eastAsia="Barlow Semi Condensed" w:hAnsi="Barlow Semi Condensed"/>
          <w:b/>
          <w:bCs/>
          <w:sz w:val="24"/>
          <w:szCs w:val="24"/>
        </w:rPr>
        <w:t xml:space="preserve">27 · Smentita per registro di iscritti.</w:t>
      </w:r>
      <w:r>
        <w:rPr>
          <w:rFonts w:ascii="Barlow Semi Condensed" w:cs="Barlow Semi Condensed" w:eastAsia="Barlow Semi Condensed" w:hAnsi="Barlow Semi Condensed"/>
          <w:sz w:val="24"/>
          <w:szCs w:val="24"/>
        </w:rPr>
        <w:t xml:space="preserve"> Sesto bersaglio. Di Joshua Norman Haldeman non risulta prova di appartenenza a partiti nazisti: è uno Stato Zero verificato, non un'assoluzione morale né un'accusa smentita a metà. Se emergesse un registro di iscritti o un fascicolo di polizia — presso Library and Archives Canada, oppure nei fondi di sicurezza canadesi — lo Stato Zero cadrebbe e andrebbe riscritto. Fino ad allora si scrive quel che c'è, cioè nulla.</w:t>
      </w:r>
    </w:p>
    <w:p>
      <w:pPr>
        <w:spacing w:after="120" w:line="276"/>
        <w:jc w:val="both"/>
      </w:pPr>
      <w:r>
        <w:rPr>
          <w:rFonts w:ascii="Barlow Semi Condensed" w:cs="Barlow Semi Condensed" w:eastAsia="Barlow Semi Condensed" w:hAnsi="Barlow Semi Condensed"/>
          <w:b/>
          <w:bCs/>
          <w:sz w:val="24"/>
          <w:szCs w:val="24"/>
        </w:rPr>
        <w:t xml:space="preserve">28 · I due Botha non erano parenti.</w:t>
      </w:r>
      <w:r>
        <w:rPr>
          <w:rFonts w:ascii="Barlow Semi Condensed" w:cs="Barlow Semi Condensed" w:eastAsia="Barlow Semi Condensed" w:hAnsi="Barlow Semi Condensed"/>
          <w:sz w:val="24"/>
          <w:szCs w:val="24"/>
        </w:rPr>
        <w:t xml:space="preserve"> Roelof Frederik «Pik» Botha, ministro degli Esteri sudafricano dal 1977 al 1994 e poi ministro delle Miniere e dell'Energia nel primo governo Mandela, non era parente di Pieter Willem Botha, presidente dello Stato. Confonderli è l'errore più diffuso su questa materia, e produce non un dettaglio sbagliato ma un fatto inesistente — come il corpus ha già registrato a proposito di Orfila nella triangolazione guevariana.</w:t>
      </w:r>
    </w:p>
    <w:p>
      <w:pPr>
        <w:spacing w:after="120" w:line="276"/>
        <w:jc w:val="both"/>
      </w:pPr>
      <w:r>
        <w:rPr>
          <w:rFonts w:ascii="Barlow Semi Condensed" w:cs="Barlow Semi Condensed" w:eastAsia="Barlow Semi Condensed" w:hAnsi="Barlow Semi Condensed"/>
          <w:b/>
          <w:bCs/>
          <w:sz w:val="24"/>
          <w:szCs w:val="24"/>
        </w:rPr>
        <w:t xml:space="preserve">29 · Una parentela di piano uno.</w:t>
      </w:r>
      <w:r>
        <w:rPr>
          <w:rFonts w:ascii="Barlow Semi Condensed" w:cs="Barlow Semi Condensed" w:eastAsia="Barlow Semi Condensed" w:hAnsi="Barlow Semi Condensed"/>
          <w:sz w:val="24"/>
          <w:szCs w:val="24"/>
        </w:rPr>
        <w:t xml:space="preserve"> Il direttore finanziario di PayPal, poi socio e managing partner di Sequoia Capital, Roelof Botha, è nipote di Pik Botha. La parentela è documentata e sta al piano uno: è un rapporto diretto attestato. Ma ciò che sta al piano uno è la parentela, e soltanto quella. Nessuna condotta discende da un albero genealogico, e nessun blocco può usare quel legame come premessa di un'inferenza sul comportamento di alcuno.</w:t>
      </w:r>
    </w:p>
    <w:p>
      <w:pPr>
        <w:spacing w:after="120" w:line="276"/>
        <w:jc w:val="both"/>
      </w:pPr>
      <w:r>
        <w:rPr>
          <w:rFonts w:ascii="Barlow Semi Condensed" w:cs="Barlow Semi Condensed" w:eastAsia="Barlow Semi Condensed" w:hAnsi="Barlow Semi Condensed"/>
          <w:b/>
          <w:bCs/>
          <w:sz w:val="24"/>
          <w:szCs w:val="24"/>
        </w:rPr>
        <w:t xml:space="preserve">30 · Che cosa una parentela consente.</w:t>
      </w:r>
      <w:r>
        <w:rPr>
          <w:rFonts w:ascii="Barlow Semi Condensed" w:cs="Barlow Semi Condensed" w:eastAsia="Barlow Semi Condensed" w:hAnsi="Barlow Semi Condensed"/>
          <w:sz w:val="24"/>
          <w:szCs w:val="24"/>
        </w:rPr>
        <w:t xml:space="preserve"> Un legame di parentela non prova nulla, ma legittima una domanda precisa, ed è questo il suo uso corretto: esistono, nei fondi del Department of Foreign Affairs conservati presso i National Archives of South Africa a Pretoria, carte in cui il nome del nipote compaia? La risposta attesa è negativa. Formulare la domanda e verbalizzarne l'esito vale infinitamente più di qualunque considerazione sul significato di un cognome.</w:t>
      </w:r>
    </w:p>
    <w:p>
      <w:pPr>
        <w:spacing w:after="120" w:line="276"/>
        <w:jc w:val="both"/>
      </w:pPr>
      <w:r>
        <w:rPr>
          <w:rFonts w:ascii="Barlow Semi Condensed" w:cs="Barlow Semi Condensed" w:eastAsia="Barlow Semi Condensed" w:hAnsi="Barlow Semi Condensed"/>
          <w:b/>
          <w:bCs/>
          <w:sz w:val="24"/>
          <w:szCs w:val="24"/>
        </w:rPr>
        <w:t xml:space="preserve">31 · Swakopmund, negli anni di Rössing.</w:t>
      </w:r>
      <w:r>
        <w:rPr>
          <w:rFonts w:ascii="Barlow Semi Condensed" w:cs="Barlow Semi Condensed" w:eastAsia="Barlow Semi Condensed" w:hAnsi="Barlow Semi Condensed"/>
          <w:sz w:val="24"/>
          <w:szCs w:val="24"/>
        </w:rPr>
        <w:t xml:space="preserve"> Peter Thiel, nato a Francoforte nel 1967, visse a Swakopmund, nell'Africa del Sud-Ovest allora amministrata dal Sud Africa, intorno al 1975-1977, negli anni della costruzione della miniera di uranio di Rössing; il padre Klaus, ingegnere chimico, lavorava per un'impresa del cantiere. Frequentò poi a Johannesburg una scuola preparatoria riservata ai bianchi. Sono fatti biografici pubblici: dove abiti un bambino di otto anni non è una condotta.</w:t>
      </w:r>
    </w:p>
    <w:p>
      <w:pPr>
        <w:spacing w:after="120" w:line="276"/>
        <w:jc w:val="both"/>
      </w:pPr>
      <w:r>
        <w:rPr>
          <w:rFonts w:ascii="Barlow Semi Condensed" w:cs="Barlow Semi Condensed" w:eastAsia="Barlow Semi Condensed" w:hAnsi="Barlow Semi Condensed"/>
          <w:b/>
          <w:bCs/>
          <w:sz w:val="24"/>
          <w:szCs w:val="24"/>
        </w:rPr>
        <w:t xml:space="preserve">32 · La tesi su Rössing resta terziaria.</w:t>
      </w:r>
      <w:r>
        <w:rPr>
          <w:rFonts w:ascii="Barlow Semi Condensed" w:cs="Barlow Semi Condensed" w:eastAsia="Barlow Semi Condensed" w:hAnsi="Barlow Semi Condensed"/>
          <w:sz w:val="24"/>
          <w:szCs w:val="24"/>
        </w:rPr>
        <w:t xml:space="preserve"> Che la miniera di Rössing servisse il programma nucleare militare sudafricano circola su fonti militanti e non viene adottata qui. Resta affermazione di piano tre finché non la sostenga documentazione primaria: registri di spedizione, contratti di fornitura, atti dell'Agenzia internazionale per l'energia atomica, oppure le carte del Consiglio delle Nazioni Unite per la Namibia e il Decreto numero uno del 1974 sulle risorse naturali. Bersaglio da verificare, non acquisizione.</w:t>
      </w:r>
    </w:p>
    <w:p>
      <w:pPr>
        <w:spacing w:after="120" w:line="276"/>
        <w:jc w:val="both"/>
      </w:pPr>
      <w:r>
        <w:rPr>
          <w:rFonts w:ascii="Barlow Semi Condensed" w:cs="Barlow Semi Condensed" w:eastAsia="Barlow Semi Condensed" w:hAnsi="Barlow Semi Condensed"/>
          <w:b/>
          <w:bCs/>
          <w:sz w:val="24"/>
          <w:szCs w:val="24"/>
        </w:rPr>
        <w:t xml:space="preserve">33 · Le sedi che chiuderebbero Rössing.</w:t>
      </w:r>
      <w:r>
        <w:rPr>
          <w:rFonts w:ascii="Barlow Semi Condensed" w:cs="Barlow Semi Condensed" w:eastAsia="Barlow Semi Condensed" w:hAnsi="Barlow Semi Condensed"/>
          <w:sz w:val="24"/>
          <w:szCs w:val="24"/>
        </w:rPr>
        <w:t xml:space="preserve"> Quattro sedi possono chiudere quel quesito, e hanno indirizzi precisi: i National Archives of Namibia a Windhoek per l'amministrazione del territorio, i National Archives of South Africa a Pretoria per i dicasteri competenti, gli archivi delle Nazioni Unite a New York per il Consiglio per la Namibia, e i depositi d'impresa britannici per la società capofila del consorzio. Nessuna risulta interrogata da chi afferma la tesi.</w:t>
      </w:r>
    </w:p>
    <w:p>
      <w:pPr>
        <w:spacing w:after="120" w:line="276"/>
        <w:jc w:val="both"/>
      </w:pPr>
      <w:r>
        <w:rPr>
          <w:rFonts w:ascii="Barlow Semi Condensed" w:cs="Barlow Semi Condensed" w:eastAsia="Barlow Semi Condensed" w:hAnsi="Barlow Semi Condensed"/>
          <w:b/>
          <w:bCs/>
          <w:sz w:val="24"/>
          <w:szCs w:val="24"/>
        </w:rPr>
        <w:t xml:space="preserve">34 · Il nonno di cui restano le parole.</w:t>
      </w:r>
      <w:r>
        <w:rPr>
          <w:rFonts w:ascii="Barlow Semi Condensed" w:cs="Barlow Semi Condensed" w:eastAsia="Barlow Semi Condensed" w:hAnsi="Barlow Semi Condensed"/>
          <w:sz w:val="24"/>
          <w:szCs w:val="24"/>
        </w:rPr>
        <w:t xml:space="preserve"> Joshua Norman Haldeman, canadese, nato nel 1902 e morto nel 1974, aderente al movimento Technocracy, emigrò in Sud Africa nel 1950 e vi sostenne pubblicamente l'apartheid, esprimendo ripetutamente posizioni razziste e antisemite. La fonte citabile è l'inchiesta della CBC, che lavora su scritti e corrispondenza dell'uomo. Le sue parole sono documentate e si riportano per quello che sono, senza attenuazioni e senza estensioni ad altri.</w:t>
      </w:r>
    </w:p>
    <w:p>
      <w:pPr>
        <w:spacing w:after="120" w:line="276"/>
        <w:jc w:val="both"/>
      </w:pPr>
      <w:r>
        <w:rPr>
          <w:rFonts w:ascii="Barlow Semi Condensed" w:cs="Barlow Semi Condensed" w:eastAsia="Barlow Semi Condensed" w:hAnsi="Barlow Semi Condensed"/>
          <w:b/>
          <w:bCs/>
          <w:sz w:val="24"/>
          <w:szCs w:val="24"/>
        </w:rPr>
        <w:t xml:space="preserve">35 · Le opinioni non si ereditano.</w:t>
      </w:r>
      <w:r>
        <w:rPr>
          <w:rFonts w:ascii="Barlow Semi Condensed" w:cs="Barlow Semi Condensed" w:eastAsia="Barlow Semi Condensed" w:hAnsi="Barlow Semi Condensed"/>
          <w:sz w:val="24"/>
          <w:szCs w:val="24"/>
        </w:rPr>
        <w:t xml:space="preserve"> Le posizioni di Joshua Haldeman non si attribuiscono al nipote: è il divieto centrale di quest'opera, e vale soprattutto quando la tentazione è massima. In biologia un carattere si trasmette; in storia la responsabilità no — la formula è della tredicesima serie della triangolazione Kissinger, e viene qui adottata alla lettera. Un antenato è un fatto biografico del discendente, non un suo predicato morale.</w:t>
      </w:r>
    </w:p>
    <w:p>
      <w:pPr>
        <w:spacing w:after="120" w:line="276"/>
        <w:jc w:val="both"/>
      </w:pPr>
      <w:r>
        <w:rPr>
          <w:rFonts w:ascii="Barlow Semi Condensed" w:cs="Barlow Semi Condensed" w:eastAsia="Barlow Semi Condensed" w:hAnsi="Barlow Semi Condensed"/>
          <w:b/>
          <w:bCs/>
          <w:sz w:val="24"/>
          <w:szCs w:val="24"/>
        </w:rPr>
        <w:t xml:space="preserve">36 · La divergenza sugli smeraldi.</w:t>
      </w:r>
      <w:r>
        <w:rPr>
          <w:rFonts w:ascii="Barlow Semi Condensed" w:cs="Barlow Semi Condensed" w:eastAsia="Barlow Semi Condensed" w:hAnsi="Barlow Semi Condensed"/>
          <w:sz w:val="24"/>
          <w:szCs w:val="24"/>
        </w:rPr>
        <w:t xml:space="preserve"> Sulla vicenda della miniera di smeraldi le versioni non coincidono: il padre rivendica un'attività informale in Zambia; Elon Musk ha pubblicamente negato che una miniera esistesse e ne ha chiesto la prova; il biografo Walter Isaacson descrive un'acquisizione informale di pietre grezze, non una proprietà mineraria. Nessun documento di titolarità è mai emerso. La divergenza si riporta per intero e non si scioglie scegliendo in silenzio la versione più comoda.</w:t>
      </w:r>
    </w:p>
    <w:p>
      <w:pPr>
        <w:spacing w:after="120" w:line="276"/>
        <w:jc w:val="both"/>
      </w:pPr>
      <w:r>
        <w:rPr>
          <w:rFonts w:ascii="Barlow Semi Condensed" w:cs="Barlow Semi Condensed" w:eastAsia="Barlow Semi Condensed" w:hAnsi="Barlow Semi Condensed"/>
          <w:b/>
          <w:bCs/>
          <w:sz w:val="24"/>
          <w:szCs w:val="24"/>
        </w:rPr>
        <w:t xml:space="preserve">37 · Il solo ponte col corpus.</w:t>
      </w:r>
      <w:r>
        <w:rPr>
          <w:rFonts w:ascii="Barlow Semi Condensed" w:cs="Barlow Semi Condensed" w:eastAsia="Barlow Semi Condensed" w:hAnsi="Barlow Semi Condensed"/>
          <w:sz w:val="24"/>
          <w:szCs w:val="24"/>
        </w:rPr>
        <w:t xml:space="preserve"> Fra questa materia e gli altri Libri del corpus esiste un unico ponte documentato: il nodo E-16 della triangolazione Guevara-Moro, il discorso all'Assemblea Generale delle Nazioni Unite dell'11 dicembre 1964, dove la denuncia del colonialismo si estende alla «brutale politica dell'apartheid» in Sudafrica. È un ponte tematico, non un nesso fra persone. Nessun blocco lo userà per collegare uomini che non si sono mai incontrati.</w:t>
      </w:r>
    </w:p>
    <w:p>
      <w:pPr>
        <w:spacing w:after="120" w:line="276"/>
        <w:jc w:val="both"/>
      </w:pPr>
      <w:r>
        <w:rPr>
          <w:rFonts w:ascii="Barlow Semi Condensed" w:cs="Barlow Semi Condensed" w:eastAsia="Barlow Semi Condensed" w:hAnsi="Barlow Semi Condensed"/>
          <w:b/>
          <w:bCs/>
          <w:sz w:val="24"/>
          <w:szCs w:val="24"/>
        </w:rPr>
        <w:t xml:space="preserve">38 · La verifica meccanica, eseguita.</w:t>
      </w:r>
      <w:r>
        <w:rPr>
          <w:rFonts w:ascii="Barlow Semi Condensed" w:cs="Barlow Semi Condensed" w:eastAsia="Barlow Semi Condensed" w:hAnsi="Barlow Semi Condensed"/>
          <w:sz w:val="24"/>
          <w:szCs w:val="24"/>
        </w:rPr>
        <w:t xml:space="preserve"> La ricerca testuale è stata condotta sul branch pubblico, e l'esito va registrato: le stringhe Musk, Thiel, Botha, PayPal, Silicon Valley, Namibia, Swakopmund e Haldeman non compaiono in alcun documento del corpus. La stringa apartheid compare due volte, entrambe nel dominio guevariano. Quest'opera parte dunque da un corpus che sul proprio tema tace quasi per intero, ed è bene che il lettore lo sappia dalla prima serie. </w:t>
      </w:r>
      <w:r>
        <w:rPr>
          <w:rFonts w:ascii="Barlow Semi Condensed" w:cs="Barlow Semi Condensed" w:eastAsia="Barlow Semi Condensed" w:hAnsi="Barlow Semi Condensed"/>
          <w:b/>
          <w:bCs/>
          <w:sz w:val="24"/>
          <w:szCs w:val="24"/>
        </w:rPr>
        <w:t xml:space="preserve">[Aggiornamento del 26 agosto 2026 — il perimetro è cambiato, e va detto.]</w:t>
      </w:r>
      <w:r>
        <w:rPr>
          <w:rFonts w:ascii="Barlow Semi Condensed" w:cs="Barlow Semi Condensed" w:eastAsia="Barlow Semi Condensed" w:hAnsi="Barlow Semi Condensed"/>
          <w:sz w:val="24"/>
          <w:szCs w:val="24"/>
        </w:rPr>
        <w:t xml:space="preserve"> Questa ricognizione fu eseguita quando il corpus contava tredici Libri. Il 26 agosto 2026 vi è entrato, come </w:t>
      </w:r>
      <w:r>
        <w:rPr>
          <w:rFonts w:ascii="Barlow Semi Condensed" w:cs="Barlow Semi Condensed" w:eastAsia="Barlow Semi Condensed" w:hAnsi="Barlow Semi Condensed"/>
          <w:b/>
          <w:bCs/>
          <w:sz w:val="24"/>
          <w:szCs w:val="24"/>
        </w:rPr>
        <w:t xml:space="preserve">Libro quarto</w:t>
      </w:r>
      <w:r>
        <w:rPr>
          <w:rFonts w:ascii="Barlow Semi Condensed" w:cs="Barlow Semi Condensed" w:eastAsia="Barlow Semi Condensed" w:hAnsi="Barlow Semi Condensed"/>
          <w:sz w:val="24"/>
          <w:szCs w:val="24"/>
        </w:rPr>
        <w:t xml:space="preserve">, il Dossier maggiore dell'autore, e la ricognizione è stata rieseguita sul perimetro allargato. </w:t>
      </w:r>
      <w:r>
        <w:rPr>
          <w:rFonts w:ascii="Barlow Semi Condensed" w:cs="Barlow Semi Condensed" w:eastAsia="Barlow Semi Condensed" w:hAnsi="Barlow Semi Condensed"/>
          <w:b/>
          <w:bCs/>
          <w:sz w:val="24"/>
          <w:szCs w:val="24"/>
        </w:rPr>
        <w:t xml:space="preserve">L'esito muta su due stringhe e su una soltanto in modo sostanziale.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Musk</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Thiel</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Botha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Silicon Valley</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Sud Africa</w:t>
      </w:r>
      <w:r>
        <w:rPr>
          <w:rFonts w:ascii="Barlow Semi Condensed" w:cs="Barlow Semi Condensed" w:eastAsia="Barlow Semi Condensed" w:hAnsi="Barlow Semi Condensed"/>
          <w:sz w:val="24"/>
          <w:szCs w:val="24"/>
        </w:rPr>
        <w:t xml:space="preserve">» restano a zero. </w:t>
      </w:r>
      <w:r>
        <w:rPr>
          <w:rFonts w:ascii="Barlow Semi Condensed" w:cs="Barlow Semi Condensed" w:eastAsia="Barlow Semi Condensed" w:hAnsi="Barlow Semi Condensed"/>
          <w:i/>
          <w:iCs/>
          <w:sz w:val="24"/>
          <w:szCs w:val="24"/>
        </w:rPr>
        <w:t xml:space="preserve">Namibia</w:t>
      </w:r>
      <w:r>
        <w:rPr>
          <w:rFonts w:ascii="Barlow Semi Condensed" w:cs="Barlow Semi Condensed" w:eastAsia="Barlow Semi Condensed" w:hAnsi="Barlow Semi Condensed"/>
          <w:sz w:val="24"/>
          <w:szCs w:val="24"/>
        </w:rPr>
        <w:t xml:space="preserve"> compare una volta, nell'aggettivo «namibiane». </w:t>
      </w:r>
      <w:r>
        <w:rPr>
          <w:rFonts w:ascii="Barlow Semi Condensed" w:cs="Barlow Semi Condensed" w:eastAsia="Barlow Semi Condensed" w:hAnsi="Barlow Semi Condensed"/>
          <w:b/>
          <w:bCs/>
          <w:sz w:val="24"/>
          <w:szCs w:val="24"/>
        </w:rPr>
        <w:t xml:space="preserve">PayPal compare una volta</w:t>
      </w:r>
      <w:r>
        <w:rPr>
          <w:rFonts w:ascii="Barlow Semi Condensed" w:cs="Barlow Semi Condensed" w:eastAsia="Barlow Semi Condensed" w:hAnsi="Barlow Semi Condensed"/>
          <w:sz w:val="24"/>
          <w:szCs w:val="24"/>
        </w:rPr>
        <w:t xml:space="preserve">, e il contesto è quello che conta: il Dossier maggiore vi dichiara di aver condotto </w:t>
      </w:r>
      <w:r>
        <w:rPr>
          <w:rFonts w:ascii="Barlow Semi Condensed" w:cs="Barlow Semi Condensed" w:eastAsia="Barlow Semi Condensed" w:hAnsi="Barlow Semi Condensed"/>
          <w:b/>
          <w:bCs/>
          <w:sz w:val="24"/>
          <w:szCs w:val="24"/>
        </w:rPr>
        <w:t xml:space="preserve">il riscontro sistematico fra i profili della cosiddetta PayPal Mafia e i nodi storici del proprio teatro</w:t>
      </w:r>
      <w:r>
        <w:rPr>
          <w:rFonts w:ascii="Barlow Semi Condensed" w:cs="Barlow Semi Condensed" w:eastAsia="Barlow Semi Condensed" w:hAnsi="Barlow Semi Condensed"/>
          <w:sz w:val="24"/>
          <w:szCs w:val="24"/>
        </w:rPr>
        <w:t xml:space="preserve">, certificando le radici australi di quattro profili come dati pubblici e </w:t>
      </w:r>
      <w:r>
        <w:rPr>
          <w:rFonts w:ascii="Barlow Semi Condensed" w:cs="Barlow Semi Condensed" w:eastAsia="Barlow Semi Condensed" w:hAnsi="Barlow Semi Condensed"/>
          <w:b/>
          <w:bCs/>
          <w:sz w:val="24"/>
          <w:szCs w:val="24"/>
        </w:rPr>
        <w:t xml:space="preserve">certificando con eguale nettezza l'esito negativo del riscontro</w:t>
      </w:r>
      <w:r>
        <w:rPr>
          <w:rFonts w:ascii="Barlow Semi Condensed" w:cs="Barlow Semi Condensed" w:eastAsia="Barlow Semi Condensed" w:hAnsi="Barlow Semi Condensed"/>
          <w:sz w:val="24"/>
          <w:szCs w:val="24"/>
        </w:rPr>
        <w:t xml:space="preserve">. Non è dunque una smentita dello Stato Zero: è la </w:t>
      </w:r>
      <w:r>
        <w:rPr>
          <w:rFonts w:ascii="Barlow Semi Condensed" w:cs="Barlow Semi Condensed" w:eastAsia="Barlow Semi Condensed" w:hAnsi="Barlow Semi Condensed"/>
          <w:b/>
          <w:bCs/>
          <w:sz w:val="24"/>
          <w:szCs w:val="24"/>
        </w:rPr>
        <w:t xml:space="preserve">verifica omologa di un'altra opera che perviene al medesimo esito negativo</w:t>
      </w:r>
      <w:r>
        <w:rPr>
          <w:rFonts w:ascii="Barlow Semi Condensed" w:cs="Barlow Semi Condensed" w:eastAsia="Barlow Semi Condensed" w:hAnsi="Barlow Semi Condensed"/>
          <w:sz w:val="24"/>
          <w:szCs w:val="24"/>
        </w:rPr>
        <w:t xml:space="preserve">, e uno Stato Zero confermato per via indipendente vale più di uno dichiarato una volta sola. Mutano invece in modo netto </w:t>
      </w:r>
      <w:r>
        <w:rPr>
          <w:rFonts w:ascii="Barlow Semi Condensed" w:cs="Barlow Semi Condensed" w:eastAsia="Barlow Semi Condensed" w:hAnsi="Barlow Semi Condensed"/>
          <w:i/>
          <w:iCs/>
          <w:sz w:val="24"/>
          <w:szCs w:val="24"/>
        </w:rPr>
        <w:t xml:space="preserve">apartheid</w:t>
      </w:r>
      <w:r>
        <w:rPr>
          <w:rFonts w:ascii="Barlow Semi Condensed" w:cs="Barlow Semi Condensed" w:eastAsia="Barlow Semi Condensed" w:hAnsi="Barlow Semi Condensed"/>
          <w:sz w:val="24"/>
          <w:szCs w:val="24"/>
        </w:rPr>
        <w:t xml:space="preserve"> (diciotto occorrenze nel nuovo Libro) e </w:t>
      </w:r>
      <w:r>
        <w:rPr>
          <w:rFonts w:ascii="Barlow Semi Condensed" w:cs="Barlow Semi Condensed" w:eastAsia="Barlow Semi Condensed" w:hAnsi="Barlow Semi Condensed"/>
          <w:i/>
          <w:iCs/>
          <w:sz w:val="24"/>
          <w:szCs w:val="24"/>
        </w:rPr>
        <w:t xml:space="preserve">sudafricano</w:t>
      </w:r>
      <w:r>
        <w:rPr>
          <w:rFonts w:ascii="Barlow Semi Condensed" w:cs="Barlow Semi Condensed" w:eastAsia="Barlow Semi Condensed" w:hAnsi="Barlow Semi Condensed"/>
          <w:sz w:val="24"/>
          <w:szCs w:val="24"/>
        </w:rPr>
        <w:t xml:space="preserve"> (quarantatré), perché la Fase quinta del Dossier tratta il Sudafrica dell'apartheid come nodo del proprio registro: il corpus non tace più quasi per intero sul tema di quest'opera, e chi legge deve saperlo. </w:t>
      </w:r>
      <w:r>
        <w:rPr>
          <w:rFonts w:ascii="Barlow Semi Condensed" w:cs="Barlow Semi Condensed" w:eastAsia="Barlow Semi Condensed" w:hAnsi="Barlow Semi Condensed"/>
          <w:b/>
          <w:bCs/>
          <w:sz w:val="24"/>
          <w:szCs w:val="24"/>
        </w:rPr>
        <w:t xml:space="preserve">La dichiarazione originaria non è stata riscritta</w:t>
      </w:r>
      <w:r>
        <w:rPr>
          <w:rFonts w:ascii="Barlow Semi Condensed" w:cs="Barlow Semi Condensed" w:eastAsia="Barlow Semi Condensed" w:hAnsi="Barlow Semi Condensed"/>
          <w:sz w:val="24"/>
          <w:szCs w:val="24"/>
        </w:rPr>
        <w:t xml:space="preserve">: sta sopra questa nota, come il metodo di quest'opera impone.</w:t>
      </w:r>
    </w:p>
    <w:p>
      <w:pPr>
        <w:spacing w:after="120" w:line="276"/>
        <w:jc w:val="both"/>
      </w:pPr>
      <w:r>
        <w:rPr>
          <w:rFonts w:ascii="Barlow Semi Condensed" w:cs="Barlow Semi Condensed" w:eastAsia="Barlow Semi Condensed" w:hAnsi="Barlow Semi Condensed"/>
          <w:b/>
          <w:bCs/>
          <w:sz w:val="24"/>
          <w:szCs w:val="24"/>
        </w:rPr>
        <w:t xml:space="preserve">39 · Un falso positivo da disinnescare.</w:t>
      </w:r>
      <w:r>
        <w:rPr>
          <w:rFonts w:ascii="Barlow Semi Condensed" w:cs="Barlow Semi Condensed" w:eastAsia="Barlow Semi Condensed" w:hAnsi="Barlow Semi Condensed"/>
          <w:sz w:val="24"/>
          <w:szCs w:val="24"/>
        </w:rPr>
        <w:t xml:space="preserve"> La stringa Sudafrica compare anche in un terzo luogo: la cronologia dell'espansione dell'Opus Dei nella ricognizione greca della cartella della Farnesina, dove il 1998 registra l'apertura sudafricana. È un'occorrenza strutturalmente estranea a questa materia, e serve qui da esempio, perché mostra il meccanismo del falso positivo — l'archivio risponde alla stringa, non alla domanda — e ricorda che una ricerca testuale non è ancora una ricerca.</w:t>
      </w:r>
    </w:p>
    <w:p>
      <w:pPr>
        <w:spacing w:after="120" w:line="276"/>
        <w:jc w:val="both"/>
      </w:pPr>
      <w:r>
        <w:rPr>
          <w:rFonts w:ascii="Barlow Semi Condensed" w:cs="Barlow Semi Condensed" w:eastAsia="Barlow Semi Condensed" w:hAnsi="Barlow Semi Condensed"/>
          <w:b/>
          <w:bCs/>
          <w:sz w:val="24"/>
          <w:szCs w:val="24"/>
        </w:rPr>
        <w:t xml:space="preserve">40 · Perché questa materia è pericolosa.</w:t>
      </w:r>
      <w:r>
        <w:rPr>
          <w:rFonts w:ascii="Barlow Semi Condensed" w:cs="Barlow Semi Condensed" w:eastAsia="Barlow Semi Condensed" w:hAnsi="Barlow Semi Condensed"/>
          <w:sz w:val="24"/>
          <w:szCs w:val="24"/>
        </w:rPr>
        <w:t xml:space="preserve"> È pericolosa perché tutti gli ingredienti dell'abuso vi si trovano insieme: un regime universalmente condannato, persone viventi molto potenti, un pubblico predisposto e una documentazione scarsa. In queste condizioni la tentazione combinatoria è massima, e il costo dell'errore ricade su nomi propri. Il rimedio non è la reticenza, che protegge soltanto chi scrive: è il metodo più severo applicato al materiale più eccitante, e dichiarato in anticipo.</w:t>
      </w:r>
    </w:p>
    <w:p>
      <w:pPr>
        <w:spacing w:after="120" w:line="276"/>
        <w:jc w:val="both"/>
      </w:pPr>
      <w:r>
        <w:rPr>
          <w:rFonts w:ascii="Barlow Semi Condensed" w:cs="Barlow Semi Condensed" w:eastAsia="Barlow Semi Condensed" w:hAnsi="Barlow Semi Condensed"/>
          <w:b/>
          <w:bCs/>
          <w:sz w:val="24"/>
          <w:szCs w:val="24"/>
        </w:rPr>
        <w:t xml:space="preserve">41 · Una lente, non una sentenza.</w:t>
      </w:r>
      <w:r>
        <w:rPr>
          <w:rFonts w:ascii="Barlow Semi Condensed" w:cs="Barlow Semi Condensed" w:eastAsia="Barlow Semi Condensed" w:hAnsi="Barlow Semi Condensed"/>
          <w:sz w:val="24"/>
          <w:szCs w:val="24"/>
        </w:rPr>
        <w:t xml:space="preserve"> «Dal Sud Africa dell'apartheid alla PayPal Mafia» è la formula del committente, ed è accolta come il corpus accoglie le proprie chiavi: uno strumento per porre domande più precise, non una proposizione già dimostrata. Una lente non è vera o falsa, è feconda o sterile, e si giudica da un criterio solo — quanti bersagli d'archivio ha fatto scrivere che senza di essa non sarebbero stati formulati. Il conto si farà in chiusura.</w:t>
      </w:r>
    </w:p>
    <w:p>
      <w:pPr>
        <w:spacing w:after="120" w:line="276"/>
        <w:jc w:val="both"/>
      </w:pPr>
      <w:r>
        <w:rPr>
          <w:rFonts w:ascii="Barlow Semi Condensed" w:cs="Barlow Semi Condensed" w:eastAsia="Barlow Semi Condensed" w:hAnsi="Barlow Semi Condensed"/>
          <w:b/>
          <w:bCs/>
          <w:sz w:val="24"/>
          <w:szCs w:val="24"/>
        </w:rPr>
        <w:t xml:space="preserve">42 · Di quale continuità si parla.</w:t>
      </w:r>
      <w:r>
        <w:rPr>
          <w:rFonts w:ascii="Barlow Semi Condensed" w:cs="Barlow Semi Condensed" w:eastAsia="Barlow Semi Condensed" w:hAnsi="Barlow Semi Condensed"/>
          <w:sz w:val="24"/>
          <w:szCs w:val="24"/>
        </w:rPr>
        <w:t xml:space="preserve"> Continuità è parola che va disarticolata prima di essere usata. Continuità di persone significa che le medesime persone agiscono nei due contesti; continuità di capitali, che denaro identificabile passa dall'uno all'altro; continuità di dottrine, che testi e formule si trasmettono per filiazione dimostrabile. Le tre non stanno né cadono insieme, e non si sostengono a vicenda. Ogni blocco dichiarerà quale delle tre sta mettendo alla prova.</w:t>
      </w:r>
    </w:p>
    <w:p>
      <w:pPr>
        <w:spacing w:after="120" w:line="276"/>
        <w:jc w:val="both"/>
      </w:pPr>
      <w:r>
        <w:rPr>
          <w:rFonts w:ascii="Barlow Semi Condensed" w:cs="Barlow Semi Condensed" w:eastAsia="Barlow Semi Condensed" w:hAnsi="Barlow Semi Condensed"/>
          <w:b/>
          <w:bCs/>
          <w:sz w:val="24"/>
          <w:szCs w:val="24"/>
        </w:rPr>
        <w:t xml:space="preserve">43 · L'unità di analisi va dichiarata.</w:t>
      </w:r>
      <w:r>
        <w:rPr>
          <w:rFonts w:ascii="Barlow Semi Condensed" w:cs="Barlow Semi Condensed" w:eastAsia="Barlow Semi Condensed" w:hAnsi="Barlow Semi Condensed"/>
          <w:sz w:val="24"/>
          <w:szCs w:val="24"/>
        </w:rPr>
        <w:t xml:space="preserve"> Prima di ogni verifica si dichiara che cosa si stia osservando: una persona, un'impresa, un'istituzione o una coorte anagrafica. Passare senza avvertire dall'una all'altra è il modo più comune di fabbricare una continuità che nessun livello sosterrebbe da solo. Un'impresa non è i suoi soci, una coorte non è un'organizzazione, e un ambiente non ha intenzioni. Il blocco che non dichiara la propria unità di analisi non è verificabile.</w:t>
      </w:r>
    </w:p>
    <w:p>
      <w:pPr>
        <w:spacing w:after="120" w:line="276"/>
        <w:jc w:val="both"/>
      </w:pPr>
      <w:r>
        <w:rPr>
          <w:rFonts w:ascii="Barlow Semi Condensed" w:cs="Barlow Semi Condensed" w:eastAsia="Barlow Semi Condensed" w:hAnsi="Barlow Semi Condensed"/>
          <w:b/>
          <w:bCs/>
          <w:sz w:val="24"/>
          <w:szCs w:val="24"/>
        </w:rPr>
        <w:t xml:space="preserve">44 · Testimonianza e documento non coincidono.</w:t>
      </w:r>
      <w:r>
        <w:rPr>
          <w:rFonts w:ascii="Barlow Semi Condensed" w:cs="Barlow Semi Condensed" w:eastAsia="Barlow Semi Condensed" w:hAnsi="Barlow Semi Condensed"/>
          <w:sz w:val="24"/>
          <w:szCs w:val="24"/>
        </w:rPr>
        <w:t xml:space="preserve"> Una dichiarazione resa in intervista, in memoria o in giudizio è una fonte; un documento prodotto all'epoca dei fatti è un'altra cosa. Confonderli è l'errore che la triangolazione Kissinger ha messo in copertina a proposito del verbale del 25 settembre 1974, dove la frase più citata semplicemente non compare. Qui vale il medesimo criterio: le dichiarazioni pubbliche dei protagonisti si citano come dichiarazioni, mai come attestazioni di ciò che affermano.</w:t>
      </w:r>
    </w:p>
    <w:p>
      <w:pPr>
        <w:spacing w:after="120" w:line="276"/>
        <w:jc w:val="both"/>
      </w:pPr>
      <w:r>
        <w:rPr>
          <w:rFonts w:ascii="Barlow Semi Condensed" w:cs="Barlow Semi Condensed" w:eastAsia="Barlow Semi Condensed" w:hAnsi="Barlow Semi Condensed"/>
          <w:b/>
          <w:bCs/>
          <w:sz w:val="24"/>
          <w:szCs w:val="24"/>
        </w:rPr>
        <w:t xml:space="preserve">45 · L'anacronismo come vizio ricorrente.</w:t>
      </w:r>
      <w:r>
        <w:rPr>
          <w:rFonts w:ascii="Barlow Semi Condensed" w:cs="Barlow Semi Condensed" w:eastAsia="Barlow Semi Condensed" w:hAnsi="Barlow Semi Condensed"/>
          <w:sz w:val="24"/>
          <w:szCs w:val="24"/>
        </w:rPr>
        <w:t xml:space="preserve"> Le date vanno tenute in mano per tutta la lettura. Il territorio si chiamò Africa del Sud-Ovest fino al 1990 e Namibia dopo; l'ordinamento razziale sudafricano fu smantellato fra il 1990 e il 1994; le imprese californiane in questione nascono nella seconda metà degli anni Novanta. Sovrapporre lessici e cornici di decenni diversi produce quell'impressione di simultaneità che è, da sola, il motore di quasi tutta la pubblicistica militante.</w:t>
      </w:r>
    </w:p>
    <w:p>
      <w:pPr>
        <w:spacing w:after="120" w:line="276"/>
        <w:jc w:val="both"/>
      </w:pPr>
      <w:r>
        <w:rPr>
          <w:rFonts w:ascii="Barlow Semi Condensed" w:cs="Barlow Semi Condensed" w:eastAsia="Barlow Semi Condensed" w:hAnsi="Barlow Semi Condensed"/>
          <w:b/>
          <w:bCs/>
          <w:sz w:val="24"/>
          <w:szCs w:val="24"/>
        </w:rPr>
        <w:t xml:space="preserve">46 · La forma eseguibile di un quesito.</w:t>
      </w:r>
      <w:r>
        <w:rPr>
          <w:rFonts w:ascii="Barlow Semi Condensed" w:cs="Barlow Semi Condensed" w:eastAsia="Barlow Semi Condensed" w:hAnsi="Barlow Semi Condensed"/>
          <w:sz w:val="24"/>
          <w:szCs w:val="24"/>
        </w:rPr>
        <w:t xml:space="preserve"> Un quesito è eseguibile quando nomina la sede, il fondo, la serie e, se possibile, la segnatura, e quando dichiara che cosa si aspetta di trovare e che cosa chiuderebbe la ricerca. «Cercare negli archivi sudafricani» non è un quesito. «Verificare la serie del Department of Foreign Affairs presso i National Archives of South Africa, Pretoria, per gli anni 1977-1994» lo è. L'opera si obbliga alla seconda forma.</w:t>
      </w:r>
    </w:p>
    <w:p>
      <w:pPr>
        <w:spacing w:after="120" w:line="276"/>
        <w:jc w:val="both"/>
      </w:pPr>
      <w:r>
        <w:rPr>
          <w:rFonts w:ascii="Barlow Semi Condensed" w:cs="Barlow Semi Condensed" w:eastAsia="Barlow Semi Condensed" w:hAnsi="Barlow Semi Condensed"/>
          <w:b/>
          <w:bCs/>
          <w:sz w:val="24"/>
          <w:szCs w:val="24"/>
        </w:rPr>
        <w:t xml:space="preserve">47 · Le divergenze si riportano tutte.</w:t>
      </w:r>
      <w:r>
        <w:rPr>
          <w:rFonts w:ascii="Barlow Semi Condensed" w:cs="Barlow Semi Condensed" w:eastAsia="Barlow Semi Condensed" w:hAnsi="Barlow Semi Condensed"/>
          <w:sz w:val="24"/>
          <w:szCs w:val="24"/>
        </w:rPr>
        <w:t xml:space="preserve"> Dove le fonti divergono, l'opera espone entrambe le versioni con i rispettivi appoggi e non ne sceglie una in silenzio. Il silenzio sulla divergenza è una forma di affermazione non dichiarata, ed è più insidiosa dell'errore aperto perché non lascia traccia. Il caso della miniera di smeraldi è il modello: tre versioni, nessun titolo di proprietà, e la divergenza tenuta aperta come risultato dell'indagine, non come suo fallimento.</w:t>
      </w:r>
    </w:p>
    <w:p>
      <w:pPr>
        <w:spacing w:after="120" w:line="276"/>
        <w:jc w:val="both"/>
      </w:pPr>
      <w:r>
        <w:rPr>
          <w:rFonts w:ascii="Barlow Semi Condensed" w:cs="Barlow Semi Condensed" w:eastAsia="Barlow Semi Condensed" w:hAnsi="Barlow Semi Condensed"/>
          <w:b/>
          <w:bCs/>
          <w:sz w:val="24"/>
          <w:szCs w:val="24"/>
        </w:rPr>
        <w:t xml:space="preserve">48 · Le fonti di rango.</w:t>
      </w:r>
      <w:r>
        <w:rPr>
          <w:rFonts w:ascii="Barlow Semi Condensed" w:cs="Barlow Semi Condensed" w:eastAsia="Barlow Semi Condensed" w:hAnsi="Barlow Semi Condensed"/>
          <w:sz w:val="24"/>
          <w:szCs w:val="24"/>
        </w:rPr>
        <w:t xml:space="preserve"> La gerarchia adottata è la seguente: archivi primari e atti giudiziari; depositi societari presso SEC, Companies House e la commissione sudafricana per le imprese; atti e risoluzioni delle Nazioni Unite; rapporti della Truth and Reconciliation Commission sudafricana; fondi dei National Archives sudafricani e namibiani; biografie con apparato, fra cui Chafkin per Thiel e Isaacson per Musk; stampa d'archivio datata. Ciò che non vi rientra entra come indizio dichiarato, oppure non entra.</w:t>
      </w:r>
    </w:p>
    <w:p>
      <w:pPr>
        <w:spacing w:after="120" w:line="276"/>
        <w:jc w:val="both"/>
      </w:pPr>
      <w:r>
        <w:rPr>
          <w:rFonts w:ascii="Barlow Semi Condensed" w:cs="Barlow Semi Condensed" w:eastAsia="Barlow Semi Condensed" w:hAnsi="Barlow Semi Condensed"/>
          <w:b/>
          <w:bCs/>
          <w:sz w:val="24"/>
          <w:szCs w:val="24"/>
        </w:rPr>
        <w:t xml:space="preserve">49 · Come si usa una biografia.</w:t>
      </w:r>
      <w:r>
        <w:rPr>
          <w:rFonts w:ascii="Barlow Semi Condensed" w:cs="Barlow Semi Condensed" w:eastAsia="Barlow Semi Condensed" w:hAnsi="Barlow Semi Condensed"/>
          <w:sz w:val="24"/>
          <w:szCs w:val="24"/>
        </w:rPr>
        <w:t xml:space="preserve"> Una biografia autorizzata o semiautorizzata è fonte di secondo grado, e va usata per ciò che cita, non per ciò che conclude. Di Chafkin e di Isaacson si prendono i documenti richiamati, le date, le testimonianze raccolte con nome e circostanza; non le valutazioni d'insieme, che appartengono all'autore. Una nota a piè di pagina è una fonte; un giudizio dell'autore è un'opinione, e il corpus non colleziona opinioni.</w:t>
      </w:r>
    </w:p>
    <w:p>
      <w:pPr>
        <w:spacing w:after="120" w:line="276"/>
        <w:jc w:val="both"/>
      </w:pPr>
      <w:r>
        <w:rPr>
          <w:rFonts w:ascii="Barlow Semi Condensed" w:cs="Barlow Semi Condensed" w:eastAsia="Barlow Semi Condensed" w:hAnsi="Barlow Semi Condensed"/>
          <w:b/>
          <w:bCs/>
          <w:sz w:val="24"/>
          <w:szCs w:val="24"/>
        </w:rPr>
        <w:t xml:space="preserve">50 · Che cosa quest'opera non fa.</w:t>
      </w:r>
      <w:r>
        <w:rPr>
          <w:rFonts w:ascii="Barlow Semi Condensed" w:cs="Barlow Semi Condensed" w:eastAsia="Barlow Semi Condensed" w:hAnsi="Barlow Semi Condensed"/>
          <w:sz w:val="24"/>
          <w:szCs w:val="24"/>
        </w:rPr>
        <w:t xml:space="preserve"> Non stabilisce responsabilità, non attribuisce condotte, non pronuncia giudizi morali su persone viventi, non promuove convergenze a nessi. Non produce colpevoli, perché la ricerca produce documenti. Se al termine delle tredici serie il lettore avrà in mano un elenco di sedi d'archivio da interrogare e un elenco verbalizzato di cose che non ci sono, l'opera avrà fatto il proprio lavoro; e se avrà smentito la propria tesi, l'avrà fatto meglio.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seconda — L'anagrafe: date, luoghi, cittadinanze</w:t>
      </w:r>
    </w:p>
    <w:p>
      <w:pPr>
        <w:spacing w:after="120" w:line="276"/>
        <w:jc w:val="both"/>
      </w:pPr>
      <w:r>
        <w:rPr>
          <w:rFonts w:ascii="Barlow Semi Condensed" w:cs="Barlow Semi Condensed" w:eastAsia="Barlow Semi Condensed" w:hAnsi="Barlow Semi Condensed"/>
          <w:i/>
          <w:iCs/>
          <w:sz w:val="24"/>
          <w:szCs w:val="24"/>
        </w:rPr>
        <w:t xml:space="preserve">Blocchi 51-135.</w:t>
      </w:r>
    </w:p>
    <w:p>
      <w:pPr>
        <w:spacing w:after="120" w:line="276"/>
        <w:jc w:val="both"/>
      </w:pPr>
      <w:r>
        <w:rPr>
          <w:rFonts w:ascii="Barlow Semi Condensed" w:cs="Barlow Semi Condensed" w:eastAsia="Barlow Semi Condensed" w:hAnsi="Barlow Semi Condensed"/>
          <w:b/>
          <w:bCs/>
          <w:sz w:val="24"/>
          <w:szCs w:val="24"/>
        </w:rPr>
        <w:t xml:space="preserve">51 · Che cosa vale come prova anagrafica.</w:t>
      </w:r>
      <w:r>
        <w:rPr>
          <w:rFonts w:ascii="Barlow Semi Condensed" w:cs="Barlow Semi Condensed" w:eastAsia="Barlow Semi Condensed" w:hAnsi="Barlow Semi Condensed"/>
          <w:sz w:val="24"/>
          <w:szCs w:val="24"/>
        </w:rPr>
        <w:t xml:space="preserve"> In questa serie vale una gerarchia stretta: il registro di stato civile batte l'atto societario, l'atto societario batte la biografia, la biografia con apparato batte la stampa, la stampa datata batte il sito. Nessun blocco promuove una fonte al gradino superiore per comodità. Dove il gradino più alto manca, il blocco lo dichiara e nomina la sede che lo produrrebbe: l'assenza di registro è essa stessa un dato da verbalizzare.</w:t>
      </w:r>
    </w:p>
    <w:p>
      <w:pPr>
        <w:spacing w:after="120" w:line="276"/>
        <w:jc w:val="both"/>
      </w:pPr>
      <w:r>
        <w:rPr>
          <w:rFonts w:ascii="Barlow Semi Condensed" w:cs="Barlow Semi Condensed" w:eastAsia="Barlow Semi Condensed" w:hAnsi="Barlow Semi Condensed"/>
          <w:b/>
          <w:bCs/>
          <w:sz w:val="24"/>
          <w:szCs w:val="24"/>
        </w:rPr>
        <w:t xml:space="preserve">52 · Documentato, riferito, ripetuto.</w:t>
      </w:r>
      <w:r>
        <w:rPr>
          <w:rFonts w:ascii="Barlow Semi Condensed" w:cs="Barlow Semi Condensed" w:eastAsia="Barlow Semi Condensed" w:hAnsi="Barlow Semi Condensed"/>
          <w:sz w:val="24"/>
          <w:szCs w:val="24"/>
        </w:rPr>
        <w:t xml:space="preserve"> Tre stati si confondono di continuo. Documentato vuol dire che esiste una carta richiedibile e citabile per segnatura. Riferito vuol dire che qualcuno lo ha dichiarato, e quel qualcuno va nominato con la data della dichiarazione. Ripetuto vuol dire che molte pagine lo scrivono senza che nessuna indichi una carta. Su questa materia il terzo stato è di gran lunga il più abbondante, e non pesa nulla.</w:t>
      </w:r>
    </w:p>
    <w:p>
      <w:pPr>
        <w:spacing w:after="120" w:line="276"/>
        <w:jc w:val="both"/>
      </w:pPr>
      <w:r>
        <w:rPr>
          <w:rFonts w:ascii="Barlow Semi Condensed" w:cs="Barlow Semi Condensed" w:eastAsia="Barlow Semi Condensed" w:hAnsi="Barlow Semi Condensed"/>
          <w:b/>
          <w:bCs/>
          <w:sz w:val="24"/>
          <w:szCs w:val="24"/>
        </w:rPr>
        <w:t xml:space="preserve">53 · Il perimetro dei nomi trattati.</w:t>
      </w:r>
      <w:r>
        <w:rPr>
          <w:rFonts w:ascii="Barlow Semi Condensed" w:cs="Barlow Semi Condensed" w:eastAsia="Barlow Semi Condensed" w:hAnsi="Barlow Semi Condensed"/>
          <w:sz w:val="24"/>
          <w:szCs w:val="24"/>
        </w:rPr>
        <w:t xml:space="preserve"> La serie tratta i nomi indicati dal committente e le figure sudafricane di contesto. Il perimetro va dichiarato perché un elenco è già una tesi: chi entra e chi resta fuori decide che cosa apparirà come insieme. Restano fuori i familiari senza cariche pubbliche o societarie e i minori. Chi voglia allargarlo lo motivi caso per caso, indicando quale registro giustifica l'aggiunta, e non lo faccia per accumulo.</w:t>
      </w:r>
    </w:p>
    <w:p>
      <w:pPr>
        <w:spacing w:after="120" w:line="276"/>
        <w:jc w:val="both"/>
      </w:pPr>
      <w:r>
        <w:rPr>
          <w:rFonts w:ascii="Barlow Semi Condensed" w:cs="Barlow Semi Condensed" w:eastAsia="Barlow Semi Condensed" w:hAnsi="Barlow Semi Condensed"/>
          <w:b/>
          <w:bCs/>
          <w:sz w:val="24"/>
          <w:szCs w:val="24"/>
        </w:rPr>
        <w:t xml:space="preserve">54 · Pretoria, 28 giugno 1971.</w:t>
      </w:r>
      <w:r>
        <w:rPr>
          <w:rFonts w:ascii="Barlow Semi Condensed" w:cs="Barlow Semi Condensed" w:eastAsia="Barlow Semi Condensed" w:hAnsi="Barlow Semi Condensed"/>
          <w:sz w:val="24"/>
          <w:szCs w:val="24"/>
        </w:rPr>
        <w:t xml:space="preserve"> Elon Reeve Musk risulta nato a Pretoria il 28 giugno 1971: fatto pubblico, ripetuto da ogni fonte e mai contestato dall'interessato. Il documento che lo attesterebbe in forma primaria è però un altro, la registrazione di nascita conservata dal Department of Home Affairs sudafricano, con indicazione dell'ospedale e dei genitori dichiaranti. Nessuna pubblicazione consultata ne cita gli estremi. Bersaglio elementare e mai colpito: chiederne copia certificata.</w:t>
      </w:r>
    </w:p>
    <w:p>
      <w:pPr>
        <w:spacing w:after="120" w:line="276"/>
        <w:jc w:val="both"/>
      </w:pPr>
      <w:r>
        <w:rPr>
          <w:rFonts w:ascii="Barlow Semi Condensed" w:cs="Barlow Semi Condensed" w:eastAsia="Barlow Semi Condensed" w:hAnsi="Barlow Semi Condensed"/>
          <w:b/>
          <w:bCs/>
          <w:sz w:val="24"/>
          <w:szCs w:val="24"/>
        </w:rPr>
        <w:t xml:space="preserve">55 · Tre cittadinanze, tre atti distinti.</w:t>
      </w:r>
      <w:r>
        <w:rPr>
          <w:rFonts w:ascii="Barlow Semi Condensed" w:cs="Barlow Semi Condensed" w:eastAsia="Barlow Semi Condensed" w:hAnsi="Barlow Semi Condensed"/>
          <w:sz w:val="24"/>
          <w:szCs w:val="24"/>
        </w:rPr>
        <w:t xml:space="preserve"> Le cittadinanze attribuite pubblicamente a Elon Musk sono tre e vanno tenute separate per titolo: sudafricana per nascita sul territorio, canadese per discendenza materna, statunitense per naturalizzazione nel 2002. Ciascuna nasce da un atto diverso e da un'autorità diversa. La narrazione corrente le tratta come una biografia unica; sono invece tre fascicoli amministrativi distinti, e soltanto il terzo è stato oggetto di dichiarazioni pubbliche dell'interessato quanto all'anno.</w:t>
      </w:r>
    </w:p>
    <w:p>
      <w:pPr>
        <w:spacing w:after="120" w:line="276"/>
        <w:jc w:val="both"/>
      </w:pPr>
      <w:r>
        <w:rPr>
          <w:rFonts w:ascii="Barlow Semi Condensed" w:cs="Barlow Semi Condensed" w:eastAsia="Barlow Semi Condensed" w:hAnsi="Barlow Semi Condensed"/>
          <w:b/>
          <w:bCs/>
          <w:sz w:val="24"/>
          <w:szCs w:val="24"/>
        </w:rPr>
        <w:t xml:space="preserve">56 · La sezione sei e la cittadinanza perduta.</w:t>
      </w:r>
      <w:r>
        <w:rPr>
          <w:rFonts w:ascii="Barlow Semi Condensed" w:cs="Barlow Semi Condensed" w:eastAsia="Barlow Semi Condensed" w:hAnsi="Barlow Semi Condensed"/>
          <w:sz w:val="24"/>
          <w:szCs w:val="24"/>
        </w:rPr>
        <w:t xml:space="preserve"> Una domanda giuridica precisa resta aperta e nessuno l'ha posta con la norma in mano: il South African Citizenship Act 88 del 1995 prevede alla sezione 6 la perdita della cittadinanza per chi acquisti volontariamente un'altra nazionalità senza autorizzazione preventiva di conservazione. Se e come quella norma abbia operato nel 2002 è accertabile soltanto presso il Department of Home Affairs, a Pretoria. Allo stato è uno Stato Zero.</w:t>
      </w:r>
    </w:p>
    <w:p>
      <w:pPr>
        <w:spacing w:after="120" w:line="276"/>
        <w:jc w:val="both"/>
      </w:pPr>
      <w:r>
        <w:rPr>
          <w:rFonts w:ascii="Barlow Semi Condensed" w:cs="Barlow Semi Condensed" w:eastAsia="Barlow Semi Condensed" w:hAnsi="Barlow Semi Condensed"/>
          <w:b/>
          <w:bCs/>
          <w:sz w:val="24"/>
          <w:szCs w:val="24"/>
        </w:rPr>
        <w:t xml:space="preserve">57 · Regina, Saskatchewan, 19 aprile 1948.</w:t>
      </w:r>
      <w:r>
        <w:rPr>
          <w:rFonts w:ascii="Barlow Semi Condensed" w:cs="Barlow Semi Condensed" w:eastAsia="Barlow Semi Condensed" w:hAnsi="Barlow Semi Condensed"/>
          <w:sz w:val="24"/>
          <w:szCs w:val="24"/>
        </w:rPr>
        <w:t xml:space="preserve"> Maye Musk, nata Haldeman, ebbe i natali a Regina il 19 aprile 1948, con una sorella gemella. Il registro che lo attesta è provinciale: eHealth Saskatchewan, Vital Statistics, che rilascia estratti di nascita per le annate anteriori. È la carta da cui discende per filiazione la cittadinanza canadese del figlio: senza quella registrazione il titolo canadese di Elon Musk non ha fondamento documentale citabile.</w:t>
      </w:r>
    </w:p>
    <w:p>
      <w:pPr>
        <w:spacing w:after="120" w:line="276"/>
        <w:jc w:val="both"/>
      </w:pPr>
      <w:r>
        <w:rPr>
          <w:rFonts w:ascii="Barlow Semi Condensed" w:cs="Barlow Semi Condensed" w:eastAsia="Barlow Semi Condensed" w:hAnsi="Barlow Semi Condensed"/>
          <w:b/>
          <w:bCs/>
          <w:sz w:val="24"/>
          <w:szCs w:val="24"/>
        </w:rPr>
        <w:t xml:space="preserve">58 · Il titolo canadese e la sua prova.</w:t>
      </w:r>
      <w:r>
        <w:rPr>
          <w:rFonts w:ascii="Barlow Semi Condensed" w:cs="Barlow Semi Condensed" w:eastAsia="Barlow Semi Condensed" w:hAnsi="Barlow Semi Condensed"/>
          <w:sz w:val="24"/>
          <w:szCs w:val="24"/>
        </w:rPr>
        <w:t xml:space="preserve"> Chi voglia verificare una cittadinanza canadese per discendenza non deve cercare un passaporto ma un certificato: la prova di cittadinanza rilasciata da Immigration, Refugees and Citizenship Canada, che si fonda sulla registrazione di nascita del genitore. Le ricostruzioni giornalistiche collocano l'arrivo in Canada nel giugno 1989 e ne fanno una svolta narrativa. Quella data si chiude con i registri d'ingresso, non con le interviste.</w:t>
      </w:r>
    </w:p>
    <w:p>
      <w:pPr>
        <w:spacing w:after="120" w:line="276"/>
        <w:jc w:val="both"/>
      </w:pPr>
      <w:r>
        <w:rPr>
          <w:rFonts w:ascii="Barlow Semi Condensed" w:cs="Barlow Semi Condensed" w:eastAsia="Barlow Semi Condensed" w:hAnsi="Barlow Semi Condensed"/>
          <w:b/>
          <w:bCs/>
          <w:sz w:val="24"/>
          <w:szCs w:val="24"/>
        </w:rPr>
        <w:t xml:space="preserve">59 · Kingston prima di Filadelfia.</w:t>
      </w:r>
      <w:r>
        <w:rPr>
          <w:rFonts w:ascii="Barlow Semi Condensed" w:cs="Barlow Semi Condensed" w:eastAsia="Barlow Semi Condensed" w:hAnsi="Barlow Semi Condensed"/>
          <w:sz w:val="24"/>
          <w:szCs w:val="24"/>
        </w:rPr>
        <w:t xml:space="preserve"> Due anni a Queen's University, a Kingston in Ontario, fra il 1990 e il 1992, e poi il passaggio all'University of Pennsylvania: è la sequenza riferita in modo uniforme. La verifica è banale e nessuno la produce, perché in Nord America gli atenei confermano iscrizione e titolo su richiesta, direttamente o attraverso il National Student Clearinghouse. Il bersaglio consiste nell'ottenere le due conferme scritte e allegarle.</w:t>
      </w:r>
    </w:p>
    <w:p>
      <w:pPr>
        <w:spacing w:after="120" w:line="276"/>
        <w:jc w:val="both"/>
      </w:pPr>
      <w:r>
        <w:rPr>
          <w:rFonts w:ascii="Barlow Semi Condensed" w:cs="Barlow Semi Condensed" w:eastAsia="Barlow Semi Condensed" w:hAnsi="Barlow Semi Condensed"/>
          <w:b/>
          <w:bCs/>
          <w:sz w:val="24"/>
          <w:szCs w:val="24"/>
        </w:rPr>
        <w:t xml:space="preserve">60 · La divergenza dei titoli di Penn.</w:t>
      </w:r>
      <w:r>
        <w:rPr>
          <w:rFonts w:ascii="Barlow Semi Condensed" w:cs="Barlow Semi Condensed" w:eastAsia="Barlow Semi Condensed" w:hAnsi="Barlow Semi Condensed"/>
          <w:sz w:val="24"/>
          <w:szCs w:val="24"/>
        </w:rPr>
        <w:t xml:space="preserve"> Sulle lauree dell'University of Pennsylvania esiste una divergenza documentata e non sciolta: la vulgata le colloca nel 1995, mentre l'ateneo ha indicato pubblicamente il 1997 come anno di conferimento, riconducendo lo scarto al completamento dei requisiti. La divergenza si riporta così com'è. Il documento risolutivo è uno solo, la certificazione del registrar di Penn con la data esatta di conferimento di entrambi i titoli.</w:t>
      </w:r>
    </w:p>
    <w:p>
      <w:pPr>
        <w:spacing w:after="120" w:line="276"/>
        <w:jc w:val="both"/>
      </w:pPr>
      <w:r>
        <w:rPr>
          <w:rFonts w:ascii="Barlow Semi Condensed" w:cs="Barlow Semi Condensed" w:eastAsia="Barlow Semi Condensed" w:hAnsi="Barlow Semi Condensed"/>
          <w:b/>
          <w:bCs/>
          <w:sz w:val="24"/>
          <w:szCs w:val="24"/>
        </w:rPr>
        <w:t xml:space="preserve">61 · Lo Stato Zero di Stanford.</w:t>
      </w:r>
      <w:r>
        <w:rPr>
          <w:rFonts w:ascii="Barlow Semi Condensed" w:cs="Barlow Semi Condensed" w:eastAsia="Barlow Semi Condensed" w:hAnsi="Barlow Semi Condensed"/>
          <w:sz w:val="24"/>
          <w:szCs w:val="24"/>
        </w:rPr>
        <w:t xml:space="preserve"> L'ammissione a un dottorato di Stanford nel 1995 e l'abbandono dopo pochi giorni sono noti unicamente attraverso il racconto dell'interessato, ripreso poi da tutti. Non risulta pubblicato alcun documento d'ateneo che lo attesti, né una smentita. È uno Stato Zero pulito: la sede che lo chiuderebbe è l'ufficio del registrar di Stanford, cui però la normativa federale sulla riservatezza degli atti scolastici impone limiti stringenti.</w:t>
      </w:r>
    </w:p>
    <w:p>
      <w:pPr>
        <w:spacing w:after="120" w:line="276"/>
        <w:jc w:val="both"/>
      </w:pPr>
      <w:r>
        <w:rPr>
          <w:rFonts w:ascii="Barlow Semi Condensed" w:cs="Barlow Semi Condensed" w:eastAsia="Barlow Semi Condensed" w:hAnsi="Barlow Semi Condensed"/>
          <w:b/>
          <w:bCs/>
          <w:sz w:val="24"/>
          <w:szCs w:val="24"/>
        </w:rPr>
        <w:t xml:space="preserve">62 · Una divergenza sullo status migratorio.</w:t>
      </w:r>
      <w:r>
        <w:rPr>
          <w:rFonts w:ascii="Barlow Semi Condensed" w:cs="Barlow Semi Condensed" w:eastAsia="Barlow Semi Condensed" w:hAnsi="Barlow Semi Condensed"/>
          <w:sz w:val="24"/>
          <w:szCs w:val="24"/>
        </w:rPr>
        <w:t xml:space="preserve"> Nel 2024 una ricostruzione giornalistica statunitense ha messo in discussione il titolo di soggiorno posseduto in un periodo degli anni Novanta; l'interessato ha replicato pubblicamente affermando la piena regolarità della propria posizione. Nessuna autorità amministrativa o giudiziaria si è mai pronunciata, e questa serie non adotta né l'una né l'altra lettura. L'unico atto che chiuderebbe la questione è il fascicolo di straniero conservato dallo USCIS.</w:t>
      </w:r>
    </w:p>
    <w:p>
      <w:pPr>
        <w:spacing w:after="120" w:line="276"/>
        <w:jc w:val="both"/>
      </w:pPr>
      <w:r>
        <w:rPr>
          <w:rFonts w:ascii="Barlow Semi Condensed" w:cs="Barlow Semi Condensed" w:eastAsia="Barlow Semi Condensed" w:hAnsi="Barlow Semi Condensed"/>
          <w:b/>
          <w:bCs/>
          <w:sz w:val="24"/>
          <w:szCs w:val="24"/>
        </w:rPr>
        <w:t xml:space="preserve">63 · Il 2002 e il certificato che manca.</w:t>
      </w:r>
      <w:r>
        <w:rPr>
          <w:rFonts w:ascii="Barlow Semi Condensed" w:cs="Barlow Semi Condensed" w:eastAsia="Barlow Semi Condensed" w:hAnsi="Barlow Semi Condensed"/>
          <w:sz w:val="24"/>
          <w:szCs w:val="24"/>
        </w:rPr>
        <w:t xml:space="preserve"> Il 2002 è indicato da tutte le fonti come anno della naturalizzazione statunitense, e il dato non è mai stato contestato. Ciò che manca è l'atto: numero e data del certificato, ufficio che lo emise. Per le persone viventi lo USCIS rilascia questi dati solo all'interessato o con sua liberatoria, mentre il programma genealogico serve i defunti. Il limite si dichiara qui, valido per tutte le naturalizzazioni della serie.</w:t>
      </w:r>
    </w:p>
    <w:p>
      <w:pPr>
        <w:spacing w:after="120" w:line="276"/>
        <w:jc w:val="both"/>
      </w:pPr>
      <w:r>
        <w:rPr>
          <w:rFonts w:ascii="Barlow Semi Condensed" w:cs="Barlow Semi Condensed" w:eastAsia="Barlow Semi Condensed" w:hAnsi="Barlow Semi Condensed"/>
          <w:b/>
          <w:bCs/>
          <w:sz w:val="24"/>
          <w:szCs w:val="24"/>
        </w:rPr>
        <w:t xml:space="preserve">64 · Dalla California al Texas.</w:t>
      </w:r>
      <w:r>
        <w:rPr>
          <w:rFonts w:ascii="Barlow Semi Condensed" w:cs="Barlow Semi Condensed" w:eastAsia="Barlow Semi Condensed" w:hAnsi="Barlow Semi Condensed"/>
          <w:sz w:val="24"/>
          <w:szCs w:val="24"/>
        </w:rPr>
        <w:t xml:space="preserve"> Dalla California al Texas: il trasferimento di residenza fu annunciato pubblicamente nel dicembre 2020 e ha effetti verificabili in liste elettorali di contea, registri immobiliari e sede dichiarata nei depositi societari. In Texas le liste elettorali sono accessibili su richiesta motivata; le contee californiane pubblicano gli atti di trasferimento immobiliare. La residenza è fra i pochi dati anagrafici che lasciano traccia in registri consultabili da chiunque.</w:t>
      </w:r>
    </w:p>
    <w:p>
      <w:pPr>
        <w:spacing w:after="120" w:line="276"/>
        <w:jc w:val="both"/>
      </w:pPr>
      <w:r>
        <w:rPr>
          <w:rFonts w:ascii="Barlow Semi Condensed" w:cs="Barlow Semi Condensed" w:eastAsia="Barlow Semi Condensed" w:hAnsi="Barlow Semi Condensed"/>
          <w:b/>
          <w:bCs/>
          <w:sz w:val="24"/>
          <w:szCs w:val="24"/>
        </w:rPr>
        <w:t xml:space="preserve">65 · Zip2 e i suoi atti costitutivi.</w:t>
      </w:r>
      <w:r>
        <w:rPr>
          <w:rFonts w:ascii="Barlow Semi Condensed" w:cs="Barlow Semi Condensed" w:eastAsia="Barlow Semi Condensed" w:hAnsi="Barlow Semi Condensed"/>
          <w:sz w:val="24"/>
          <w:szCs w:val="24"/>
        </w:rPr>
        <w:t xml:space="preserve"> Zip2 fu fondata nel 1995 insieme al fratello e a un terzo socio, e ceduta a Compaq nel 1999: la cessione è documentata dai depositi dell'acquirente presso la Securities and Exchange Commission, pubblici e datati. Gli atti costitutivi stanno invece negli archivi del segretario di Stato competente per la costituzione. Il bersaglio è la catena completa: costituzione, aumenti di capitale, patti fra soci, atto di cessione.</w:t>
      </w:r>
    </w:p>
    <w:p>
      <w:pPr>
        <w:spacing w:after="120" w:line="276"/>
        <w:jc w:val="both"/>
      </w:pPr>
      <w:r>
        <w:rPr>
          <w:rFonts w:ascii="Barlow Semi Condensed" w:cs="Barlow Semi Condensed" w:eastAsia="Barlow Semi Condensed" w:hAnsi="Barlow Semi Condensed"/>
          <w:b/>
          <w:bCs/>
          <w:sz w:val="24"/>
          <w:szCs w:val="24"/>
        </w:rPr>
        <w:t xml:space="preserve">66 · Fieldlink, Confinity, X.com.</w:t>
      </w:r>
      <w:r>
        <w:rPr>
          <w:rFonts w:ascii="Barlow Semi Condensed" w:cs="Barlow Semi Condensed" w:eastAsia="Barlow Semi Condensed" w:hAnsi="Barlow Semi Condensed"/>
          <w:sz w:val="24"/>
          <w:szCs w:val="24"/>
        </w:rPr>
        <w:t xml:space="preserve"> Vanno tenute separate tre entità che la pubblicistica sovrappone di continuo: Fieldlink, poi Confinity, fondata alla fine del 1998; X.com, costituita nel marzo 1999; la società nata dalla fusione del marzo 2000, che assunse il nome PayPal nel 2001. Ciascun passaggio ha un atto depositato presso la Delaware Division of Corporations. Nessuna ricostruzione corrente cita quei numeri di deposito: è il primo scaffale da aprire.</w:t>
      </w:r>
    </w:p>
    <w:p>
      <w:pPr>
        <w:spacing w:after="120" w:line="276"/>
        <w:jc w:val="both"/>
      </w:pPr>
      <w:r>
        <w:rPr>
          <w:rFonts w:ascii="Barlow Semi Condensed" w:cs="Barlow Semi Condensed" w:eastAsia="Barlow Semi Condensed" w:hAnsi="Barlow Semi Condensed"/>
          <w:b/>
          <w:bCs/>
          <w:sz w:val="24"/>
          <w:szCs w:val="24"/>
        </w:rPr>
        <w:t xml:space="preserve">67 · Il documento più ricco della serie.</w:t>
      </w:r>
      <w:r>
        <w:rPr>
          <w:rFonts w:ascii="Barlow Semi Condensed" w:cs="Barlow Semi Condensed" w:eastAsia="Barlow Semi Condensed" w:hAnsi="Barlow Semi Condensed"/>
          <w:sz w:val="24"/>
          <w:szCs w:val="24"/>
        </w:rPr>
        <w:t xml:space="preserve"> Depositato presso la SEC nel 2001, con i suoi emendamenti e i moduli successivi, il prospetto di collocamento di PayPal è il singolo documento anagrafico più denso della serie: elenca dirigenti e amministratori con età dichiarata, cariche e date di assunzione, e i possessori rilevanti di azioni. È liberamente consultabile su EDGAR. Chi voglia datare ruoli e ingressi senza affidarsi alla stampa comincia da lì.</w:t>
      </w:r>
    </w:p>
    <w:p>
      <w:pPr>
        <w:spacing w:after="120" w:line="276"/>
        <w:jc w:val="both"/>
      </w:pPr>
      <w:r>
        <w:rPr>
          <w:rFonts w:ascii="Barlow Semi Condensed" w:cs="Barlow Semi Condensed" w:eastAsia="Barlow Semi Condensed" w:hAnsi="Barlow Semi Condensed"/>
          <w:b/>
          <w:bCs/>
          <w:sz w:val="24"/>
          <w:szCs w:val="24"/>
        </w:rPr>
        <w:t xml:space="preserve">68 · L'uscita del 2002 e le sue carte.</w:t>
      </w:r>
      <w:r>
        <w:rPr>
          <w:rFonts w:ascii="Barlow Semi Condensed" w:cs="Barlow Semi Condensed" w:eastAsia="Barlow Semi Condensed" w:hAnsi="Barlow Semi Condensed"/>
          <w:sz w:val="24"/>
          <w:szCs w:val="24"/>
        </w:rPr>
        <w:t xml:space="preserve"> L'acquisizione da parte di eBay, perfezionata nell'ottobre 2002, produsse una serie di atti pubblici: l'accordo di fusione, i documenti di sollecitazione agli azionisti e i successivi rendiconti dell'acquirente. Da quelle carte si ricavano con precisione le partecipazioni individuali alla data e le cariche cessate. È la fonte corretta per stabilire chi lasciò e quando, contro le date approssimate che circolano nelle interviste retrospettive.</w:t>
      </w:r>
    </w:p>
    <w:p>
      <w:pPr>
        <w:spacing w:after="120" w:line="276"/>
        <w:jc w:val="both"/>
      </w:pPr>
      <w:r>
        <w:rPr>
          <w:rFonts w:ascii="Barlow Semi Condensed" w:cs="Barlow Semi Condensed" w:eastAsia="Barlow Semi Condensed" w:hAnsi="Barlow Semi Condensed"/>
          <w:b/>
          <w:bCs/>
          <w:sz w:val="24"/>
          <w:szCs w:val="24"/>
        </w:rPr>
        <w:t xml:space="preserve">69 · Kimbal Musk, 20 settembre 1972.</w:t>
      </w:r>
      <w:r>
        <w:rPr>
          <w:rFonts w:ascii="Barlow Semi Condensed" w:cs="Barlow Semi Condensed" w:eastAsia="Barlow Semi Condensed" w:hAnsi="Barlow Semi Condensed"/>
          <w:sz w:val="24"/>
          <w:szCs w:val="24"/>
        </w:rPr>
        <w:t xml:space="preserve"> Nato a Pretoria il 20 settembre 1972, cofondatore della prima società insieme al fratello, amministratore di Tesla dal 2004: quest'ultima carica è la meglio documentata, perché ogni amministratore di società quotata statunitense deposita presso la SEC i moduli 3 e 4 sulle proprie partecipazioni, con date esatte. Le deleghe assembleari annuali ne riportano inoltre l'età dichiarata, che vale come controllo indiretto sull'anno di nascita.</w:t>
      </w:r>
    </w:p>
    <w:p>
      <w:pPr>
        <w:spacing w:after="120" w:line="276"/>
        <w:jc w:val="both"/>
      </w:pPr>
      <w:r>
        <w:rPr>
          <w:rFonts w:ascii="Barlow Semi Condensed" w:cs="Barlow Semi Condensed" w:eastAsia="Barlow Semi Condensed" w:hAnsi="Barlow Semi Condensed"/>
          <w:b/>
          <w:bCs/>
          <w:sz w:val="24"/>
          <w:szCs w:val="24"/>
        </w:rPr>
        <w:t xml:space="preserve">70 · L'età nelle deleghe assembleari.</w:t>
      </w:r>
      <w:r>
        <w:rPr>
          <w:rFonts w:ascii="Barlow Semi Condensed" w:cs="Barlow Semi Condensed" w:eastAsia="Barlow Semi Condensed" w:hAnsi="Barlow Semi Condensed"/>
          <w:sz w:val="24"/>
          <w:szCs w:val="24"/>
        </w:rPr>
        <w:t xml:space="preserve"> Un controllo poco usato e di buona qualità: le deleghe assembleari annuali delle società quotate statunitensi indicano l'età di ciascun amministratore e dirigente alla data del documento. Incrociando più annate si ottiene una forbice stretta sull'anno di nascita, indipendente dalle biografie. Vale per chiunque, nella serie, abbia ricoperto cariche in società quotate, ed è il metodo da preferire dove il registro di stato civile non sia accessibile.</w:t>
      </w:r>
    </w:p>
    <w:p>
      <w:pPr>
        <w:spacing w:after="120" w:line="276"/>
        <w:jc w:val="both"/>
      </w:pPr>
      <w:r>
        <w:rPr>
          <w:rFonts w:ascii="Barlow Semi Condensed" w:cs="Barlow Semi Condensed" w:eastAsia="Barlow Semi Condensed" w:hAnsi="Barlow Semi Condensed"/>
          <w:b/>
          <w:bCs/>
          <w:sz w:val="24"/>
          <w:szCs w:val="24"/>
        </w:rPr>
        <w:t xml:space="preserve">71 · Errol Musk: ciò che è pubblico.</w:t>
      </w:r>
      <w:r>
        <w:rPr>
          <w:rFonts w:ascii="Barlow Semi Condensed" w:cs="Barlow Semi Condensed" w:eastAsia="Barlow Semi Condensed" w:hAnsi="Barlow Semi Condensed"/>
          <w:sz w:val="24"/>
          <w:szCs w:val="24"/>
        </w:rPr>
        <w:t xml:space="preserve"> Del padre di Elon e Kimbal Musk sono pubblici la nazionalità sudafricana, la professione di ingegnere e un'attività immobiliare, oltre a numerose dichiarazioni rese alla stampa negli ultimi anni. Tutto il resto, in questa serie, è bersaglio e non acquisizione. I registri che lo servirebbero sono due: gli atti societari sudafricani presso la Companies and Intellectual Property Commission e i registri dei Deeds Office per gli immobili.</w:t>
      </w:r>
    </w:p>
    <w:p>
      <w:pPr>
        <w:spacing w:after="120" w:line="276"/>
        <w:jc w:val="both"/>
      </w:pPr>
      <w:r>
        <w:rPr>
          <w:rFonts w:ascii="Barlow Semi Condensed" w:cs="Barlow Semi Condensed" w:eastAsia="Barlow Semi Condensed" w:hAnsi="Barlow Semi Condensed"/>
          <w:b/>
          <w:bCs/>
          <w:sz w:val="24"/>
          <w:szCs w:val="24"/>
        </w:rPr>
        <w:t xml:space="preserve">72 · Il seggio consiliare da verificare.</w:t>
      </w:r>
      <w:r>
        <w:rPr>
          <w:rFonts w:ascii="Barlow Semi Condensed" w:cs="Barlow Semi Condensed" w:eastAsia="Barlow Semi Condensed" w:hAnsi="Barlow Semi Condensed"/>
          <w:sz w:val="24"/>
          <w:szCs w:val="24"/>
        </w:rPr>
        <w:t xml:space="preserve"> Errol Musk ha dichiarato pubblicamente di essere stato consigliere comunale a Pretoria per una formazione di opposizione al governo del tempo. La dichiarazione è riferita, non documentata: la chiuderebbero i verbali e gli elenchi dei consiglieri, oggi nella competenza della municipalità metropolitana di Tshwane e, per le annate storiche, del National Archives and Records Service of South Africa. Verifica mai eseguita pubblicamente, e di costo minimo.</w:t>
      </w:r>
    </w:p>
    <w:p>
      <w:pPr>
        <w:spacing w:after="120" w:line="276"/>
        <w:jc w:val="both"/>
      </w:pPr>
      <w:r>
        <w:rPr>
          <w:rFonts w:ascii="Barlow Semi Condensed" w:cs="Barlow Semi Condensed" w:eastAsia="Barlow Semi Condensed" w:hAnsi="Barlow Semi Condensed"/>
          <w:b/>
          <w:bCs/>
          <w:sz w:val="24"/>
          <w:szCs w:val="24"/>
        </w:rPr>
        <w:t xml:space="preserve">73 · La miniera che nessun titolo attesta.</w:t>
      </w:r>
      <w:r>
        <w:rPr>
          <w:rFonts w:ascii="Barlow Semi Condensed" w:cs="Barlow Semi Condensed" w:eastAsia="Barlow Semi Condensed" w:hAnsi="Barlow Semi Condensed"/>
          <w:sz w:val="24"/>
          <w:szCs w:val="24"/>
        </w:rPr>
        <w:t xml:space="preserve"> Sulla miniera di smeraldi le versioni divergono e la serie le riporta senza sceglierne una: il padre rivendica un'attività informale in Zambia; Elon Musk ha negato pubblicamente che una miniera esistesse e ne ha chiesto la prova; il biografo Isaacson descrive l'acquisto informale di pietre grezze, non una proprietà mineraria. Nessun documento di titolarità è mai emerso. Lo chiuderebbe il registro delle concessioni del ministero delle Miniere zambiano.</w:t>
      </w:r>
    </w:p>
    <w:p>
      <w:pPr>
        <w:spacing w:after="120" w:line="276"/>
        <w:jc w:val="both"/>
      </w:pPr>
      <w:r>
        <w:rPr>
          <w:rFonts w:ascii="Barlow Semi Condensed" w:cs="Barlow Semi Condensed" w:eastAsia="Barlow Semi Condensed" w:hAnsi="Barlow Semi Condensed"/>
          <w:b/>
          <w:bCs/>
          <w:sz w:val="24"/>
          <w:szCs w:val="24"/>
        </w:rPr>
        <w:t xml:space="preserve">74 · La miniera come caso di scuola.</w:t>
      </w:r>
      <w:r>
        <w:rPr>
          <w:rFonts w:ascii="Barlow Semi Condensed" w:cs="Barlow Semi Condensed" w:eastAsia="Barlow Semi Condensed" w:hAnsi="Barlow Semi Condensed"/>
          <w:sz w:val="24"/>
          <w:szCs w:val="24"/>
        </w:rPr>
        <w:t xml:space="preserve"> Questa divergenza va tenuta al centro per una ragione metodica: è il punto in cui una fonte familiare, una smentita dell'interessato e una biografia con apparato dicono tre cose diverse sullo stesso oggetto. Scioglierla adottando la versione più suggestiva sarebbe l'errore tipico della letteratura in rete su questa materia. Il corpus registra le tre versioni, le data, e attende un documento di titolarità che finora non esiste.</w:t>
      </w:r>
    </w:p>
    <w:p>
      <w:pPr>
        <w:spacing w:after="120" w:line="276"/>
        <w:jc w:val="both"/>
      </w:pPr>
      <w:r>
        <w:rPr>
          <w:rFonts w:ascii="Barlow Semi Condensed" w:cs="Barlow Semi Condensed" w:eastAsia="Barlow Semi Condensed" w:hAnsi="Barlow Semi Condensed"/>
          <w:b/>
          <w:bCs/>
          <w:sz w:val="24"/>
          <w:szCs w:val="24"/>
        </w:rPr>
        <w:t xml:space="preserve">75 · Joshua Norman Haldeman, 1902-1974.</w:t>
      </w:r>
      <w:r>
        <w:rPr>
          <w:rFonts w:ascii="Barlow Semi Condensed" w:cs="Barlow Semi Condensed" w:eastAsia="Barlow Semi Condensed" w:hAnsi="Barlow Semi Condensed"/>
          <w:sz w:val="24"/>
          <w:szCs w:val="24"/>
        </w:rPr>
        <w:t xml:space="preserve"> Morto nel 1974 in Sud Africa, dove si era stabilito nel 1950, Joshua Norman Haldeman era nato nel 1902. La morte in territorio sudafricano genera un atto pubblico e poco usato: il fascicolo di successione depositato presso il Master of the High Court di Pretoria, che riporta data e luogo del decesso, ultima residenza, eredi e beni dichiarati. È la carta anagrafica primaria su di lui, e nessuno la cita.</w:t>
      </w:r>
    </w:p>
    <w:p>
      <w:pPr>
        <w:spacing w:after="120" w:line="276"/>
        <w:jc w:val="both"/>
      </w:pPr>
      <w:r>
        <w:rPr>
          <w:rFonts w:ascii="Barlow Semi Condensed" w:cs="Barlow Semi Condensed" w:eastAsia="Barlow Semi Condensed" w:hAnsi="Barlow Semi Condensed"/>
          <w:b/>
          <w:bCs/>
          <w:sz w:val="24"/>
          <w:szCs w:val="24"/>
        </w:rPr>
        <w:t xml:space="preserve">76 · Technocracy e gli archivi canadesi.</w:t>
      </w:r>
      <w:r>
        <w:rPr>
          <w:rFonts w:ascii="Barlow Semi Condensed" w:cs="Barlow Semi Condensed" w:eastAsia="Barlow Semi Condensed" w:hAnsi="Barlow Semi Condensed"/>
          <w:sz w:val="24"/>
          <w:szCs w:val="24"/>
        </w:rPr>
        <w:t xml:space="preserve"> L'adesione al movimento Technocracy è fatto pubblico e ricorre in ogni ricostruzione. Gli archivi che la documentano sono canadesi: i fondi del movimento e la documentazione della polizia federale conservata presso Library and Archives Canada a Ottawa, oltre agli archivi provinciali del Saskatchewan a Regina per la vita associativa e politica locale. Nessuna pubblicazione consultata cita segnature di quei fondi: la ricerca è interamente da fare.</w:t>
      </w:r>
    </w:p>
    <w:p>
      <w:pPr>
        <w:spacing w:after="120" w:line="276"/>
        <w:jc w:val="both"/>
      </w:pPr>
      <w:r>
        <w:rPr>
          <w:rFonts w:ascii="Barlow Semi Condensed" w:cs="Barlow Semi Condensed" w:eastAsia="Barlow Semi Condensed" w:hAnsi="Barlow Semi Condensed"/>
          <w:b/>
          <w:bCs/>
          <w:sz w:val="24"/>
          <w:szCs w:val="24"/>
        </w:rPr>
        <w:t xml:space="preserve">77 · Nessun partito nazista: Stato Zero verificato.</w:t>
      </w:r>
      <w:r>
        <w:rPr>
          <w:rFonts w:ascii="Barlow Semi Condensed" w:cs="Barlow Semi Condensed" w:eastAsia="Barlow Semi Condensed" w:hAnsi="Barlow Semi Condensed"/>
          <w:sz w:val="24"/>
          <w:szCs w:val="24"/>
        </w:rPr>
        <w:t xml:space="preserve"> Su un punto la verifica è già stata condotta e ha dato esito negativo: non risulta prova di appartenenza di Joshua Haldeman a partiti nazisti. È uno Stato Zero verificato e va scritto con la forza di un accertamento positivo, perché è esattamente il punto su cui la letteratura militante scivola. Ciò che risulta, e che l'inchiesta della CBC documenta, sono posizioni pubbliche a sostegno dell'apartheid e scritti razzisti e antisemiti.</w:t>
      </w:r>
    </w:p>
    <w:p>
      <w:pPr>
        <w:spacing w:after="120" w:line="276"/>
        <w:jc w:val="both"/>
      </w:pPr>
      <w:r>
        <w:rPr>
          <w:rFonts w:ascii="Barlow Semi Condensed" w:cs="Barlow Semi Condensed" w:eastAsia="Barlow Semi Condensed" w:hAnsi="Barlow Semi Condensed"/>
          <w:b/>
          <w:bCs/>
          <w:sz w:val="24"/>
          <w:szCs w:val="24"/>
        </w:rPr>
        <w:t xml:space="preserve">78 · Il libro dei Haldeman del 1954.</w:t>
      </w:r>
      <w:r>
        <w:rPr>
          <w:rFonts w:ascii="Barlow Semi Condensed" w:cs="Barlow Semi Condensed" w:eastAsia="Barlow Semi Condensed" w:hAnsi="Barlow Semi Condensed"/>
          <w:sz w:val="24"/>
          <w:szCs w:val="24"/>
        </w:rPr>
        <w:t xml:space="preserve"> Esiste un documento a stampa poco sfruttato: il volume che i coniugi Haldeman pubblicarono nel 1954 sui propri voli privati fra l'Africa e l'Australia. È fonte diretta, datata e firmata, utile per residenze, spostamenti e composizione familiare. Le copie sono reperibili nelle biblioteche nazionali di Sud Africa e Canada. Un libro scritto dai protagonisti vale, sul piano anagrafico, più di dieci ricostruzioni successive che non lo citano.</w:t>
      </w:r>
    </w:p>
    <w:p>
      <w:pPr>
        <w:spacing w:after="120" w:line="276"/>
        <w:jc w:val="both"/>
      </w:pPr>
      <w:r>
        <w:rPr>
          <w:rFonts w:ascii="Barlow Semi Condensed" w:cs="Barlow Semi Condensed" w:eastAsia="Barlow Semi Condensed" w:hAnsi="Barlow Semi Condensed"/>
          <w:b/>
          <w:bCs/>
          <w:sz w:val="24"/>
          <w:szCs w:val="24"/>
        </w:rPr>
        <w:t xml:space="preserve">79 · Il divieto centrale dell'opera.</w:t>
      </w:r>
      <w:r>
        <w:rPr>
          <w:rFonts w:ascii="Barlow Semi Condensed" w:cs="Barlow Semi Condensed" w:eastAsia="Barlow Semi Condensed" w:hAnsi="Barlow Semi Condensed"/>
          <w:sz w:val="24"/>
          <w:szCs w:val="24"/>
        </w:rPr>
        <w:t xml:space="preserve"> Le opinioni del nonno non si attribuiscono al nipote, e non è una cortesia: è la regola che tiene in piedi l'intera opera. La discendenza è un fatto anagrafico, non un tratto trasmesso; l'infanzia non è una scelta; l'origine non è una colpa. Un blocco che passasse dalla parentela documentata alla condotta inferita violerebbe insieme la regola dei tre piani e il divieto di attribuzione delle opinioni altrui.</w:t>
      </w:r>
    </w:p>
    <w:p>
      <w:pPr>
        <w:spacing w:after="120" w:line="276"/>
        <w:jc w:val="both"/>
      </w:pPr>
      <w:r>
        <w:rPr>
          <w:rFonts w:ascii="Barlow Semi Condensed" w:cs="Barlow Semi Condensed" w:eastAsia="Barlow Semi Condensed" w:hAnsi="Barlow Semi Condensed"/>
          <w:b/>
          <w:bCs/>
          <w:sz w:val="24"/>
          <w:szCs w:val="24"/>
        </w:rPr>
        <w:t xml:space="preserve">80 · Francoforte sul Meno, 11 ottobre 1967.</w:t>
      </w:r>
      <w:r>
        <w:rPr>
          <w:rFonts w:ascii="Barlow Semi Condensed" w:cs="Barlow Semi Condensed" w:eastAsia="Barlow Semi Condensed" w:hAnsi="Barlow Semi Condensed"/>
          <w:sz w:val="24"/>
          <w:szCs w:val="24"/>
        </w:rPr>
        <w:t xml:space="preserve"> L'atto primario è la registrazione di nascita presso lo Standesamt di Francoforte sul Meno, che riporta data, luogo e genitori dichiaranti. Il dato circola ovunque come pubblico e non è mai stato contestato, ma nessuna pubblicazione ne cita l'estratto. Vale la gerarchia annunciata in apertura: finché l'estratto non è citato, la nascita di Peter Andreas Thiel resta un fatto pubblico ben attestato e non un dato documentato in senso stretto.</w:t>
      </w:r>
    </w:p>
    <w:p>
      <w:pPr>
        <w:spacing w:after="120" w:line="276"/>
        <w:jc w:val="both"/>
      </w:pPr>
      <w:r>
        <w:rPr>
          <w:rFonts w:ascii="Barlow Semi Condensed" w:cs="Barlow Semi Condensed" w:eastAsia="Barlow Semi Condensed" w:hAnsi="Barlow Semi Condensed"/>
          <w:b/>
          <w:bCs/>
          <w:sz w:val="24"/>
          <w:szCs w:val="24"/>
        </w:rPr>
        <w:t xml:space="preserve">81 · La cittadinanza tedesca e la sua sorte.</w:t>
      </w:r>
      <w:r>
        <w:rPr>
          <w:rFonts w:ascii="Barlow Semi Condensed" w:cs="Barlow Semi Condensed" w:eastAsia="Barlow Semi Condensed" w:hAnsi="Barlow Semi Condensed"/>
          <w:sz w:val="24"/>
          <w:szCs w:val="24"/>
        </w:rPr>
        <w:t xml:space="preserve"> Fino alla riforma entrata in vigore nel giugno 2024 l'ordinamento tedesco faceva perdere la cittadinanza a chi ne acquistasse volontariamente un'altra senza autorizzazione preventiva. Se Peter Thiel abbia conservato o perduto quella tedesca è dunque una domanda con risposta amministrativa precisa, che nessuna pubblicazione consultata ha mai cercato. La sede competente è il Bundesverwaltungsamt di Colonia. Il quesito riguarda anche altri nomi della serie nati fuori dagli Stati Uniti.</w:t>
      </w:r>
    </w:p>
    <w:p>
      <w:pPr>
        <w:spacing w:after="120" w:line="276"/>
        <w:jc w:val="both"/>
      </w:pPr>
      <w:r>
        <w:rPr>
          <w:rFonts w:ascii="Barlow Semi Condensed" w:cs="Barlow Semi Condensed" w:eastAsia="Barlow Semi Condensed" w:hAnsi="Barlow Semi Condensed"/>
          <w:b/>
          <w:bCs/>
          <w:sz w:val="24"/>
          <w:szCs w:val="24"/>
        </w:rPr>
        <w:t xml:space="preserve">82 · Swakopmund, intorno al 1975.</w:t>
      </w:r>
      <w:r>
        <w:rPr>
          <w:rFonts w:ascii="Barlow Semi Condensed" w:cs="Barlow Semi Condensed" w:eastAsia="Barlow Semi Condensed" w:hAnsi="Barlow Semi Condensed"/>
          <w:sz w:val="24"/>
          <w:szCs w:val="24"/>
        </w:rPr>
        <w:t xml:space="preserve"> Acquisita è la residenza a Swakopmund, nell'Africa del Sud-Ovest allora amministrata dal Sud Africa, negli anni della costruzione della miniera di uranio di Rössing: il padre, ingegnere chimico, lavorava per un'impresa del cantiere. Mancano le date esatte di ingresso e di uscita. Le chiuderebbero i registri municipali di Swakopmund e i fondi dell'amministrazione conservati al National Archives of Namibia, a Windhoek, mai interrogati su questo punto.</w:t>
      </w:r>
    </w:p>
    <w:p>
      <w:pPr>
        <w:spacing w:after="120" w:line="276"/>
        <w:jc w:val="both"/>
      </w:pPr>
      <w:r>
        <w:rPr>
          <w:rFonts w:ascii="Barlow Semi Condensed" w:cs="Barlow Semi Condensed" w:eastAsia="Barlow Semi Condensed" w:hAnsi="Barlow Semi Condensed"/>
          <w:b/>
          <w:bCs/>
          <w:sz w:val="24"/>
          <w:szCs w:val="24"/>
        </w:rPr>
        <w:t xml:space="preserve">83 · Windhoek: che cosa chiedere davvero.</w:t>
      </w:r>
      <w:r>
        <w:rPr>
          <w:rFonts w:ascii="Barlow Semi Condensed" w:cs="Barlow Semi Condensed" w:eastAsia="Barlow Semi Condensed" w:hAnsi="Barlow Semi Condensed"/>
          <w:sz w:val="24"/>
          <w:szCs w:val="24"/>
        </w:rPr>
        <w:t xml:space="preserve"> Al National Archives of Namibia la domanda va posta in forma amministrativa e non biografica: registri di residenza e permessi di soggiorno del periodo, elenchi del personale delle imprese appaltatrici del cantiere, registri scolastici degli istituti di Swakopmund. Un archivio risponde a una segnatura, non a un nome celebre. Questo blocco esiste per impedire la richiesta generica, che produce prevedibilmente una risposta generica e un nulla di fatto.</w:t>
      </w:r>
    </w:p>
    <w:p>
      <w:pPr>
        <w:spacing w:after="120" w:line="276"/>
        <w:jc w:val="both"/>
      </w:pPr>
      <w:r>
        <w:rPr>
          <w:rFonts w:ascii="Barlow Semi Condensed" w:cs="Barlow Semi Condensed" w:eastAsia="Barlow Semi Condensed" w:hAnsi="Barlow Semi Condensed"/>
          <w:b/>
          <w:bCs/>
          <w:sz w:val="24"/>
          <w:szCs w:val="24"/>
        </w:rPr>
        <w:t xml:space="preserve">84 · Rössing e le imprese appaltatrici.</w:t>
      </w:r>
      <w:r>
        <w:rPr>
          <w:rFonts w:ascii="Barlow Semi Condensed" w:cs="Barlow Semi Condensed" w:eastAsia="Barlow Semi Condensed" w:hAnsi="Barlow Semi Condensed"/>
          <w:sz w:val="24"/>
          <w:szCs w:val="24"/>
        </w:rPr>
        <w:t xml:space="preserve"> Entrata in produzione nella seconda metà degli anni Settanta sotto il controllo del gruppo Rio Tinto Zinc, la miniera di Rössing ebbe un cantiere con decine di imprese appaltatrici. Gli elenchi di quelle imprese e del loro personale espatriato sono documenti aziendali e amministrativi, in parte in Namibia e in parte negli archivi societari del gruppo. Individuare l'impresa per cui Klaus Thiel lavorò, con date contrattuali, rende verificabile l'episodio.</w:t>
      </w:r>
    </w:p>
    <w:p>
      <w:pPr>
        <w:spacing w:after="120" w:line="276"/>
        <w:jc w:val="both"/>
      </w:pPr>
      <w:r>
        <w:rPr>
          <w:rFonts w:ascii="Barlow Semi Condensed" w:cs="Barlow Semi Condensed" w:eastAsia="Barlow Semi Condensed" w:hAnsi="Barlow Semi Condensed"/>
          <w:b/>
          <w:bCs/>
          <w:sz w:val="24"/>
          <w:szCs w:val="24"/>
        </w:rPr>
        <w:t xml:space="preserve">85 · La tesi militare resta al piano tre.</w:t>
      </w:r>
      <w:r>
        <w:rPr>
          <w:rFonts w:ascii="Barlow Semi Condensed" w:cs="Barlow Semi Condensed" w:eastAsia="Barlow Semi Condensed" w:hAnsi="Barlow Semi Condensed"/>
          <w:sz w:val="24"/>
          <w:szCs w:val="24"/>
        </w:rPr>
        <w:t xml:space="preserve"> Che Rössing servisse il programma nucleare militare sudafricano è affermazione che circola su fonti militanti prive di documento: piano tre, e questa serie non la adotta. Indicarla come bersaglio è però legittimo, e la sede è nominabile: gli atti dell'Atomic Energy Board sudafricano e i fondi governativi presso il National Archives di Pretoria, insieme alle risoluzioni e ai rapporti delle Nazioni Unite sulle risorse namibiane.</w:t>
      </w:r>
    </w:p>
    <w:p>
      <w:pPr>
        <w:spacing w:after="120" w:line="276"/>
        <w:jc w:val="both"/>
      </w:pPr>
      <w:r>
        <w:rPr>
          <w:rFonts w:ascii="Barlow Semi Condensed" w:cs="Barlow Semi Condensed" w:eastAsia="Barlow Semi Condensed" w:hAnsi="Barlow Semi Condensed"/>
          <w:b/>
          <w:bCs/>
          <w:sz w:val="24"/>
          <w:szCs w:val="24"/>
        </w:rPr>
        <w:t xml:space="preserve">86 · Il decreto numero uno del Consiglio ONU.</w:t>
      </w:r>
      <w:r>
        <w:rPr>
          <w:rFonts w:ascii="Barlow Semi Condensed" w:cs="Barlow Semi Condensed" w:eastAsia="Barlow Semi Condensed" w:hAnsi="Barlow Semi Condensed"/>
          <w:sz w:val="24"/>
          <w:szCs w:val="24"/>
        </w:rPr>
        <w:t xml:space="preserve"> Un documento pubblico e citabile inquadra giuridicamente la materia: il Decreto n. 1 per la protezione delle risorse naturali della Namibia, adottato dal Consiglio delle Nazioni Unite per la Namibia nel 1974, che dichiarava illecita l'estrazione di risorse dal territorio senza il suo consenso. Non riguarda persone e non attribuisce condotte a nessuno: fissa la cornice normativa internazionale in cui il cantiere operava.</w:t>
      </w:r>
    </w:p>
    <w:p>
      <w:pPr>
        <w:spacing w:after="120" w:line="276"/>
        <w:jc w:val="both"/>
      </w:pPr>
      <w:r>
        <w:rPr>
          <w:rFonts w:ascii="Barlow Semi Condensed" w:cs="Barlow Semi Condensed" w:eastAsia="Barlow Semi Condensed" w:hAnsi="Barlow Semi Condensed"/>
          <w:b/>
          <w:bCs/>
          <w:sz w:val="24"/>
          <w:szCs w:val="24"/>
        </w:rPr>
        <w:t xml:space="preserve">87 · La scuola di Johannesburg.</w:t>
      </w:r>
      <w:r>
        <w:rPr>
          <w:rFonts w:ascii="Barlow Semi Condensed" w:cs="Barlow Semi Condensed" w:eastAsia="Barlow Semi Condensed" w:hAnsi="Barlow Semi Condensed"/>
          <w:sz w:val="24"/>
          <w:szCs w:val="24"/>
        </w:rPr>
        <w:t xml:space="preserve"> Frequentare a Johannesburg una scuola preparatoria riservata ai bianchi è fatto acquisito e va letto per ciò che è: un dato sul sistema scolastico segregato di quel Paese, non una scelta del bambino iscritto. La verifica documentale passa dai registri d'istituto e, per le annate storiche, dagli archivi provinciali del Gauteng. La domanda utile è quale scuola e per quali anni, non che cosa ciò significhi.</w:t>
      </w:r>
    </w:p>
    <w:p>
      <w:pPr>
        <w:spacing w:after="120" w:line="276"/>
        <w:jc w:val="both"/>
      </w:pPr>
      <w:r>
        <w:rPr>
          <w:rFonts w:ascii="Barlow Semi Condensed" w:cs="Barlow Semi Condensed" w:eastAsia="Barlow Semi Condensed" w:hAnsi="Barlow Semi Condensed"/>
          <w:b/>
          <w:bCs/>
          <w:sz w:val="24"/>
          <w:szCs w:val="24"/>
        </w:rPr>
        <w:t xml:space="preserve">88 · Stanford, 1989 e 1992.</w:t>
      </w:r>
      <w:r>
        <w:rPr>
          <w:rFonts w:ascii="Barlow Semi Condensed" w:cs="Barlow Semi Condensed" w:eastAsia="Barlow Semi Condensed" w:hAnsi="Barlow Semi Condensed"/>
          <w:sz w:val="24"/>
          <w:szCs w:val="24"/>
        </w:rPr>
        <w:t xml:space="preserve"> I due titoli conseguiti a Stanford, la laurea in filosofia nel 1989 e il dottorato in giurisprudenza nel 1992, sono dati stabili e confermabili dal registrar dell'ateneo. Da essi discende una traccia documentale ulteriore e trascurata: l'iscrizione a un albo forense statale, che è registro pubblico consultabile in rete, con data di ammissione e stato dell'iscrizione. È verifica immediata, e nessuna pubblicazione la produce.</w:t>
      </w:r>
    </w:p>
    <w:p>
      <w:pPr>
        <w:spacing w:after="120" w:line="276"/>
        <w:jc w:val="both"/>
      </w:pPr>
      <w:r>
        <w:rPr>
          <w:rFonts w:ascii="Barlow Semi Condensed" w:cs="Barlow Semi Condensed" w:eastAsia="Barlow Semi Condensed" w:hAnsi="Barlow Semi Condensed"/>
          <w:b/>
          <w:bCs/>
          <w:sz w:val="24"/>
          <w:szCs w:val="24"/>
        </w:rPr>
        <w:t xml:space="preserve">89 · Il tirocinio e la banca.</w:t>
      </w:r>
      <w:r>
        <w:rPr>
          <w:rFonts w:ascii="Barlow Semi Condensed" w:cs="Barlow Semi Condensed" w:eastAsia="Barlow Semi Condensed" w:hAnsi="Barlow Semi Condensed"/>
          <w:sz w:val="24"/>
          <w:szCs w:val="24"/>
        </w:rPr>
        <w:t xml:space="preserve"> Riferiti in modo uniforme, e presenti nella biografia con apparato di Max Chafkin, sono il tirocinio presso un giudice federale d'appello e i successivi impieghi in uno studio legale di New York e in una banca d'affari. La prova documentale sta altrove: negli annuari giudiziari federali per il tirocinio, nei registri dell'albo forense dello Stato di New York per l'esercizio professionale. Riferito e documentato possono qui coincidere con poco lavoro.</w:t>
      </w:r>
    </w:p>
    <w:p>
      <w:pPr>
        <w:spacing w:after="120" w:line="276"/>
        <w:jc w:val="both"/>
      </w:pPr>
      <w:r>
        <w:rPr>
          <w:rFonts w:ascii="Barlow Semi Condensed" w:cs="Barlow Semi Condensed" w:eastAsia="Barlow Semi Condensed" w:hAnsi="Barlow Semi Condensed"/>
          <w:b/>
          <w:bCs/>
          <w:sz w:val="24"/>
          <w:szCs w:val="24"/>
        </w:rPr>
        <w:t xml:space="preserve">90 · Nuova Zelanda, 30 giugno 2011.</w:t>
      </w:r>
      <w:r>
        <w:rPr>
          <w:rFonts w:ascii="Barlow Semi Condensed" w:cs="Barlow Semi Condensed" w:eastAsia="Barlow Semi Condensed" w:hAnsi="Barlow Semi Condensed"/>
          <w:sz w:val="24"/>
          <w:szCs w:val="24"/>
        </w:rPr>
        <w:t xml:space="preserve"> È il dato anagrafico meglio documentato dell'intera serie, e proviene da un archivio pubblico: il fascicolo del Department of Internal Affairs neozelandese, rilasciato su richiesta di accesso e riportato dalla stampa nel 2021, attesta la concessione della cittadinanza il 30 giugno 2011 in via eccezionale, a fronte di una permanenza nel Paese di dodici giorni. Atto ministeriale discrezionale, dunque, e non naturalizzazione ordinaria per residenza.</w:t>
      </w:r>
    </w:p>
    <w:p>
      <w:pPr>
        <w:spacing w:after="120" w:line="276"/>
        <w:jc w:val="both"/>
      </w:pPr>
      <w:r>
        <w:rPr>
          <w:rFonts w:ascii="Barlow Semi Condensed" w:cs="Barlow Semi Condensed" w:eastAsia="Barlow Semi Condensed" w:hAnsi="Barlow Semi Condensed"/>
          <w:b/>
          <w:bCs/>
          <w:sz w:val="24"/>
          <w:szCs w:val="24"/>
        </w:rPr>
        <w:t xml:space="preserve">91 · Wanaka e i registri fondiari.</w:t>
      </w:r>
      <w:r>
        <w:rPr>
          <w:rFonts w:ascii="Barlow Semi Condensed" w:cs="Barlow Semi Condensed" w:eastAsia="Barlow Semi Condensed" w:hAnsi="Barlow Semi Condensed"/>
          <w:sz w:val="24"/>
          <w:szCs w:val="24"/>
        </w:rPr>
        <w:t xml:space="preserve"> Alla cittadinanza neozelandese si accompagna una traccia patrimoniale pubblica: l'acquisto di un fondo nell'Otago con il consenso dell'autorità sugli investimenti esteri, e le successive vicende urbanistiche discusse dagli organi locali. I registri sono consultabili, dal catasto nazionale ai verbali del consiglio distrettuale. Una residenza dichiarata e una proprietà iscritta sono cose diverse, e vanno tenute distinte anche qui: possedere non significa risiedere.</w:t>
      </w:r>
    </w:p>
    <w:p>
      <w:pPr>
        <w:spacing w:after="120" w:line="276"/>
        <w:jc w:val="both"/>
      </w:pPr>
      <w:r>
        <w:rPr>
          <w:rFonts w:ascii="Barlow Semi Condensed" w:cs="Barlow Semi Condensed" w:eastAsia="Barlow Semi Condensed" w:hAnsi="Barlow Semi Condensed"/>
          <w:b/>
          <w:bCs/>
          <w:sz w:val="24"/>
          <w:szCs w:val="24"/>
        </w:rPr>
        <w:t xml:space="preserve">92 · I fondatori di Confinity: quanti erano.</w:t>
      </w:r>
      <w:r>
        <w:rPr>
          <w:rFonts w:ascii="Barlow Semi Condensed" w:cs="Barlow Semi Condensed" w:eastAsia="Barlow Semi Condensed" w:hAnsi="Barlow Semi Condensed"/>
          <w:sz w:val="24"/>
          <w:szCs w:val="24"/>
        </w:rPr>
        <w:t xml:space="preserve"> Oscilla fra tre e quattro, secondo la fonte, il numero dei fondatori di Confinity, e l'oscillazione non è un dettaglio: decide chi appartenga al nucleo originario. Si chiude in un solo modo, con gli atti societari depositati in Delaware e con i primi accordi fra soci, non con le interviste retrospettive. Finché quegli atti non sono citati, ogni elenco di fondatori resta una convenzione giornalistica.</w:t>
      </w:r>
    </w:p>
    <w:p>
      <w:pPr>
        <w:spacing w:after="120" w:line="276"/>
        <w:jc w:val="both"/>
      </w:pPr>
      <w:r>
        <w:rPr>
          <w:rFonts w:ascii="Barlow Semi Condensed" w:cs="Barlow Semi Condensed" w:eastAsia="Barlow Semi Condensed" w:hAnsi="Barlow Semi Condensed"/>
          <w:b/>
          <w:bCs/>
          <w:sz w:val="24"/>
          <w:szCs w:val="24"/>
        </w:rPr>
        <w:t xml:space="preserve">93 · Pretoria, 19 settembre 1973.</w:t>
      </w:r>
      <w:r>
        <w:rPr>
          <w:rFonts w:ascii="Barlow Semi Condensed" w:cs="Barlow Semi Condensed" w:eastAsia="Barlow Semi Condensed" w:hAnsi="Barlow Semi Condensed"/>
          <w:sz w:val="24"/>
          <w:szCs w:val="24"/>
        </w:rPr>
        <w:t xml:space="preserve"> Vent'anni dopo Elon Musk, e nella stessa città, nasce Roelof Botha, nel settembre 1973; studiò scienze attuariali all'Università di Città del Capo e conseguì un master alla business school di Stanford intorno al 2000. Entrambi i percorsi accademici sono verificabili presso i rispettivi registrar. È il profilo in cui la documentazione societaria statunitense e i registri sudafricani si incontrano più direttamente.</w:t>
      </w:r>
    </w:p>
    <w:p>
      <w:pPr>
        <w:spacing w:after="120" w:line="276"/>
        <w:jc w:val="both"/>
      </w:pPr>
      <w:r>
        <w:rPr>
          <w:rFonts w:ascii="Barlow Semi Condensed" w:cs="Barlow Semi Condensed" w:eastAsia="Barlow Semi Condensed" w:hAnsi="Barlow Semi Condensed"/>
          <w:b/>
          <w:bCs/>
          <w:sz w:val="24"/>
          <w:szCs w:val="24"/>
        </w:rPr>
        <w:t xml:space="preserve">94 · La firma sul prospetto.</w:t>
      </w:r>
      <w:r>
        <w:rPr>
          <w:rFonts w:ascii="Barlow Semi Condensed" w:cs="Barlow Semi Condensed" w:eastAsia="Barlow Semi Condensed" w:hAnsi="Barlow Semi Condensed"/>
          <w:sz w:val="24"/>
          <w:szCs w:val="24"/>
        </w:rPr>
        <w:t xml:space="preserve"> Un direttore finanziario firma i depositi presso la SEC, e la firma è datata: per Roelof Botha le pagine di sottoscrizione dei documenti PayPal del 2001 e del 2002 sono la prova documentale della carica, dell'epoca e della responsabilità formale assunta. Vale una regola generale della serie: dove esiste una firma su un atto depositato presso un'autorità di vigilanza, la carica non è più riferita ma documentata.</w:t>
      </w:r>
    </w:p>
    <w:p>
      <w:pPr>
        <w:spacing w:after="120" w:line="276"/>
        <w:jc w:val="both"/>
      </w:pPr>
      <w:r>
        <w:rPr>
          <w:rFonts w:ascii="Barlow Semi Condensed" w:cs="Barlow Semi Condensed" w:eastAsia="Barlow Semi Condensed" w:hAnsi="Barlow Semi Condensed"/>
          <w:b/>
          <w:bCs/>
          <w:sz w:val="24"/>
          <w:szCs w:val="24"/>
        </w:rPr>
        <w:t xml:space="preserve">95 · Sequoia e il registro dei consulenti.</w:t>
      </w:r>
      <w:r>
        <w:rPr>
          <w:rFonts w:ascii="Barlow Semi Condensed" w:cs="Barlow Semi Condensed" w:eastAsia="Barlow Semi Condensed" w:hAnsi="Barlow Semi Condensed"/>
          <w:sz w:val="24"/>
          <w:szCs w:val="24"/>
        </w:rPr>
        <w:t xml:space="preserve"> L'ingresso in Sequoia Capital nel 2003 e i ruoli successivi si documentano anche fuori dalla stampa specializzata: i gestori statunitensi depositano presso la SEC il modulo ADV, che elenca soggetti di controllo e persone rilevanti, con aggiornamenti datati. È un registro pubblico e pochissimo usato dalla pubblicistica su questa materia. Le date di ingresso e di promozione si ricavano confrontando le versioni successive del modulo.</w:t>
      </w:r>
    </w:p>
    <w:p>
      <w:pPr>
        <w:spacing w:after="120" w:line="276"/>
        <w:jc w:val="both"/>
      </w:pPr>
      <w:r>
        <w:rPr>
          <w:rFonts w:ascii="Barlow Semi Condensed" w:cs="Barlow Semi Condensed" w:eastAsia="Barlow Semi Condensed" w:hAnsi="Barlow Semi Condensed"/>
          <w:b/>
          <w:bCs/>
          <w:sz w:val="24"/>
          <w:szCs w:val="24"/>
        </w:rPr>
        <w:t xml:space="preserve">96 · La parentela che regge tutto.</w:t>
      </w:r>
      <w:r>
        <w:rPr>
          <w:rFonts w:ascii="Barlow Semi Condensed" w:cs="Barlow Semi Condensed" w:eastAsia="Barlow Semi Condensed" w:hAnsi="Barlow Semi Condensed"/>
          <w:sz w:val="24"/>
          <w:szCs w:val="24"/>
        </w:rPr>
        <w:t xml:space="preserve"> Documentata è la parentela con Pik Botha, ed è l'unico legame di piano uno fra il mondo di PayPal e l'apparato di governo sudafricano dell'apartheid. Va detto con esattezza che cosa essa prova: una discendenza, e nient'altro. Non prova un rapporto operativo, non prova una condivisione di opinioni, non prova un canale. Un ponte di piano uno resta un ponte fra due persone, non fra due sistemi.</w:t>
      </w:r>
    </w:p>
    <w:p>
      <w:pPr>
        <w:spacing w:after="120" w:line="276"/>
        <w:jc w:val="both"/>
      </w:pPr>
      <w:r>
        <w:rPr>
          <w:rFonts w:ascii="Barlow Semi Condensed" w:cs="Barlow Semi Condensed" w:eastAsia="Barlow Semi Condensed" w:hAnsi="Barlow Semi Condensed"/>
          <w:b/>
          <w:bCs/>
          <w:sz w:val="24"/>
          <w:szCs w:val="24"/>
        </w:rPr>
        <w:t xml:space="preserve">97 · Quale figlio, quale ramo.</w:t>
      </w:r>
      <w:r>
        <w:rPr>
          <w:rFonts w:ascii="Barlow Semi Condensed" w:cs="Barlow Semi Condensed" w:eastAsia="Barlow Semi Condensed" w:hAnsi="Barlow Semi Condensed"/>
          <w:sz w:val="24"/>
          <w:szCs w:val="24"/>
        </w:rPr>
        <w:t xml:space="preserve"> Della catena di filiazione manca l'anello intermedio: quale dei figli di Pik Botha sia il padre di Roelof Botha non risulta stabilito da alcuna fonte documentale consultata, e le pagine divulgative lo omettono. Lo chiuderebbero due carte sudafricane, il registro di nascita del Department of Home Affairs e il fascicolo di successione di Pik Botha presso il Master of the High Court. Stato Zero circoscritto e colmabile.</w:t>
      </w:r>
    </w:p>
    <w:p>
      <w:pPr>
        <w:spacing w:after="120" w:line="276"/>
        <w:jc w:val="both"/>
      </w:pPr>
      <w:r>
        <w:rPr>
          <w:rFonts w:ascii="Barlow Semi Condensed" w:cs="Barlow Semi Condensed" w:eastAsia="Barlow Semi Condensed" w:hAnsi="Barlow Semi Condensed"/>
          <w:b/>
          <w:bCs/>
          <w:sz w:val="24"/>
          <w:szCs w:val="24"/>
        </w:rPr>
        <w:t xml:space="preserve">98 · Pik Botha: le date e le cariche.</w:t>
      </w:r>
      <w:r>
        <w:rPr>
          <w:rFonts w:ascii="Barlow Semi Condensed" w:cs="Barlow Semi Condensed" w:eastAsia="Barlow Semi Condensed" w:hAnsi="Barlow Semi Condensed"/>
          <w:sz w:val="24"/>
          <w:szCs w:val="24"/>
        </w:rPr>
        <w:t xml:space="preserve"> Roelof Frederik Botha, detto Pik, nacque nel 1932 e morì nell'ottobre 2018. Fu ministro degli Esteri dal 1977 al 1994 e ministro delle Miniere e dell'Energia nel primo governo guidato da Nelson Mandela, fino al 1996; nel decennio successivo aderì pubblicamente all'African National Congress. Le fonti primarie sono gli atti parlamentari sudafricani e la Gazzetta ufficiale della Repubblica, che pubblica le nomine ministeriali con data.</w:t>
      </w:r>
    </w:p>
    <w:p>
      <w:pPr>
        <w:spacing w:after="120" w:line="276"/>
        <w:jc w:val="both"/>
      </w:pPr>
      <w:r>
        <w:rPr>
          <w:rFonts w:ascii="Barlow Semi Condensed" w:cs="Barlow Semi Condensed" w:eastAsia="Barlow Semi Condensed" w:hAnsi="Barlow Semi Condensed"/>
          <w:b/>
          <w:bCs/>
          <w:sz w:val="24"/>
          <w:szCs w:val="24"/>
        </w:rPr>
        <w:t xml:space="preserve">99 · L'ambasciatore prima del ministro.</w:t>
      </w:r>
      <w:r>
        <w:rPr>
          <w:rFonts w:ascii="Barlow Semi Condensed" w:cs="Barlow Semi Condensed" w:eastAsia="Barlow Semi Condensed" w:hAnsi="Barlow Semi Condensed"/>
          <w:sz w:val="24"/>
          <w:szCs w:val="24"/>
        </w:rPr>
        <w:t xml:space="preserve"> Nel triennio che precedette il ministero, Pik Botha rappresentò il proprio Paese alle Nazioni Unite e a Washington: dato pubblico, ricostruibile dagli atti dell'Assemblea Generale, che registrano credenziali e interventi con data e numero di documento. Per chi lavori sul contesto, quella è la sede in cui la difesa internazionale del sistema sudafricano fu esercitata per iscritto, e resta integralmente citabile riga per riga.</w:t>
      </w:r>
    </w:p>
    <w:p>
      <w:pPr>
        <w:spacing w:after="120" w:line="276"/>
        <w:jc w:val="both"/>
      </w:pPr>
      <w:r>
        <w:rPr>
          <w:rFonts w:ascii="Barlow Semi Condensed" w:cs="Barlow Semi Condensed" w:eastAsia="Barlow Semi Condensed" w:hAnsi="Barlow Semi Condensed"/>
          <w:b/>
          <w:bCs/>
          <w:sz w:val="24"/>
          <w:szCs w:val="24"/>
        </w:rPr>
        <w:t xml:space="preserve">100 · Il nodo E-16 e la sua distanza.</w:t>
      </w:r>
      <w:r>
        <w:rPr>
          <w:rFonts w:ascii="Barlow Semi Condensed" w:cs="Barlow Semi Condensed" w:eastAsia="Barlow Semi Condensed" w:hAnsi="Barlow Semi Condensed"/>
          <w:sz w:val="24"/>
          <w:szCs w:val="24"/>
        </w:rPr>
        <w:t xml:space="preserve"> Il corpus contiene un solo ponte documentato con questa materia: il nodo E-16 della triangolazione Guevara-Moro, il discorso all'Assemblea Generale dell'11 dicembre 1964 con la denuncia del colonialismo e dell'apartheid. Precede di un decennio l'arrivo di Pik Botha a New York e di tredici anni il suo ministero. La contiguità di sede non è un nesso: è una coordinata cronologica, e serve solo a datare.</w:t>
      </w:r>
    </w:p>
    <w:p>
      <w:pPr>
        <w:spacing w:after="120" w:line="276"/>
        <w:jc w:val="both"/>
      </w:pPr>
      <w:r>
        <w:rPr>
          <w:rFonts w:ascii="Barlow Semi Condensed" w:cs="Barlow Semi Condensed" w:eastAsia="Barlow Semi Condensed" w:hAnsi="Barlow Semi Condensed"/>
          <w:b/>
          <w:bCs/>
          <w:sz w:val="24"/>
          <w:szCs w:val="24"/>
        </w:rPr>
        <w:t xml:space="preserve">101 · I due Botha non sono parenti.</w:t>
      </w:r>
      <w:r>
        <w:rPr>
          <w:rFonts w:ascii="Barlow Semi Condensed" w:cs="Barlow Semi Condensed" w:eastAsia="Barlow Semi Condensed" w:hAnsi="Barlow Semi Condensed"/>
          <w:sz w:val="24"/>
          <w:szCs w:val="24"/>
        </w:rPr>
        <w:t xml:space="preserve"> L'errore più diffuso su questa materia va corretto qui e ripetuto ovunque serva: Pik Botha, ministro degli Esteri, non era parente di Pieter Willem Botha, primo ministro e poi presidente dello Stato. Sono due uomini diversi, di famiglie diverse, con cariche diverse. Chi li confonde trasferisce al nonno di un finanziere americano la biografia del capo dello Stato: è un falso anagrafico, e genera catene inesistenti.</w:t>
      </w:r>
    </w:p>
    <w:p>
      <w:pPr>
        <w:spacing w:after="120" w:line="276"/>
        <w:jc w:val="both"/>
      </w:pPr>
      <w:r>
        <w:rPr>
          <w:rFonts w:ascii="Barlow Semi Condensed" w:cs="Barlow Semi Condensed" w:eastAsia="Barlow Semi Condensed" w:hAnsi="Barlow Semi Condensed"/>
          <w:b/>
          <w:bCs/>
          <w:sz w:val="24"/>
          <w:szCs w:val="24"/>
        </w:rPr>
        <w:t xml:space="preserve">102 · P.W. Botha: anagrafe e giudicato.</w:t>
      </w:r>
      <w:r>
        <w:rPr>
          <w:rFonts w:ascii="Barlow Semi Condensed" w:cs="Barlow Semi Condensed" w:eastAsia="Barlow Semi Condensed" w:hAnsi="Barlow Semi Condensed"/>
          <w:sz w:val="24"/>
          <w:szCs w:val="24"/>
        </w:rPr>
        <w:t xml:space="preserve"> Pieter Willem Botha nacque nel 1916 e morì nel 2006; fu primo ministro dal 1978 e presidente dello Stato fino al 1989. Sul piano giudiziario un solo dato va riportato con precisione: la condanna pronunciata nel 1998 da un tribunale di primo grado per il rifiuto di ottemperare a una convocazione della commissione per la verità fu annullata in appello l'anno seguente. Il registro del giudicato si chiude lì.</w:t>
      </w:r>
    </w:p>
    <w:p>
      <w:pPr>
        <w:spacing w:after="120" w:line="276"/>
        <w:jc w:val="both"/>
      </w:pPr>
      <w:r>
        <w:rPr>
          <w:rFonts w:ascii="Barlow Semi Condensed" w:cs="Barlow Semi Condensed" w:eastAsia="Barlow Semi Condensed" w:hAnsi="Barlow Semi Condensed"/>
          <w:b/>
          <w:bCs/>
          <w:sz w:val="24"/>
          <w:szCs w:val="24"/>
        </w:rPr>
        <w:t xml:space="preserve">103 · La commissione per la verità come archivio.</w:t>
      </w:r>
      <w:r>
        <w:rPr>
          <w:rFonts w:ascii="Barlow Semi Condensed" w:cs="Barlow Semi Condensed" w:eastAsia="Barlow Semi Condensed" w:hAnsi="Barlow Semi Condensed"/>
          <w:sz w:val="24"/>
          <w:szCs w:val="24"/>
        </w:rPr>
        <w:t xml:space="preserve"> Gli atti della Truth and Reconciliation Commission sudafricana sono una fonte anagrafica oltre che storica: verbali di audizione, domande di amnistia, elenchi di funzionari con qualifica e periodo di servizio, tutti datati e pubblicati. Per le figure sudafricane di contesto sono il primo scaffale da aprire, prima di qualunque biografia. Il fondo documentale è conservato presso il National Archives and Records Service of South Africa.</w:t>
      </w:r>
    </w:p>
    <w:p>
      <w:pPr>
        <w:spacing w:after="120" w:line="276"/>
        <w:jc w:val="both"/>
      </w:pPr>
      <w:r>
        <w:rPr>
          <w:rFonts w:ascii="Barlow Semi Condensed" w:cs="Barlow Semi Condensed" w:eastAsia="Barlow Semi Condensed" w:hAnsi="Barlow Semi Condensed"/>
          <w:b/>
          <w:bCs/>
          <w:sz w:val="24"/>
          <w:szCs w:val="24"/>
        </w:rPr>
        <w:t xml:space="preserve">104 · Città del Capo, 25 maggio 1972.</w:t>
      </w:r>
      <w:r>
        <w:rPr>
          <w:rFonts w:ascii="Barlow Semi Condensed" w:cs="Barlow Semi Condensed" w:eastAsia="Barlow Semi Condensed" w:hAnsi="Barlow Semi Condensed"/>
          <w:sz w:val="24"/>
          <w:szCs w:val="24"/>
        </w:rPr>
        <w:t xml:space="preserve"> Città del Capo compare come luogo di nascita di David Oliver Sacks, nel maggio 1972; la famiglia si trasferì negli Stati Uniti quando aveva pochi anni, stabilendosi nel Tennessee. Le date esatte dell'emigrazione e dell'eventuale naturalizzazione non sono pubbliche. Il registro sudafricano di nascita e il fascicolo d'immigrazione statunitense sono le due carte che le chiuderebbero, entrambe soggette ai limiti d'accesso dichiarati in questa serie.</w:t>
      </w:r>
    </w:p>
    <w:p>
      <w:pPr>
        <w:spacing w:after="120" w:line="276"/>
        <w:jc w:val="both"/>
      </w:pPr>
      <w:r>
        <w:rPr>
          <w:rFonts w:ascii="Barlow Semi Condensed" w:cs="Barlow Semi Condensed" w:eastAsia="Barlow Semi Condensed" w:hAnsi="Barlow Semi Condensed"/>
          <w:b/>
          <w:bCs/>
          <w:sz w:val="24"/>
          <w:szCs w:val="24"/>
        </w:rPr>
        <w:t xml:space="preserve">105 · Due lauree e un albo.</w:t>
      </w:r>
      <w:r>
        <w:rPr>
          <w:rFonts w:ascii="Barlow Semi Condensed" w:cs="Barlow Semi Condensed" w:eastAsia="Barlow Semi Condensed" w:hAnsi="Barlow Semi Condensed"/>
          <w:sz w:val="24"/>
          <w:szCs w:val="24"/>
        </w:rPr>
        <w:t xml:space="preserve"> Laurea a Stanford nel 1994 e dottorato in giurisprudenza all'Università di Chicago nel 1998: sequenza uniforme nelle fonti e confermabile dai due registrar. Come per altri giuristi della serie esiste una verifica più rapida e trascurata, l'eventuale iscrizione a un albo forense statale, che è registro pubblico con data di ammissione. Assenza e presenza di iscrizione sono entrambe informazioni anagrafiche, e la prima si verbalizza come la seconda.</w:t>
      </w:r>
    </w:p>
    <w:p>
      <w:pPr>
        <w:spacing w:after="120" w:line="276"/>
        <w:jc w:val="both"/>
      </w:pPr>
      <w:r>
        <w:rPr>
          <w:rFonts w:ascii="Barlow Semi Condensed" w:cs="Barlow Semi Condensed" w:eastAsia="Barlow Semi Condensed" w:hAnsi="Barlow Semi Condensed"/>
          <w:b/>
          <w:bCs/>
          <w:sz w:val="24"/>
          <w:szCs w:val="24"/>
        </w:rPr>
        <w:t xml:space="preserve">106 · Yammer, Microsoft e le date certe.</w:t>
      </w:r>
      <w:r>
        <w:rPr>
          <w:rFonts w:ascii="Barlow Semi Condensed" w:cs="Barlow Semi Condensed" w:eastAsia="Barlow Semi Condensed" w:hAnsi="Barlow Semi Condensed"/>
          <w:sz w:val="24"/>
          <w:szCs w:val="24"/>
        </w:rPr>
        <w:t xml:space="preserve"> La cessione di Yammer a Microsoft nel 2012 è documentata dai depositi dell'acquirente presso la SEC, che ne riportano data e corrispettivo. Per l'anagrafe professionale queste carte servono a fissare inizio e fine di un ruolo con una precisione che nessuna intervista offre. Vale anche qui la regola generale della serie: le operazioni societarie datano le biografie meglio di quanto le biografie datino se stesse.</w:t>
      </w:r>
    </w:p>
    <w:p>
      <w:pPr>
        <w:spacing w:after="120" w:line="276"/>
        <w:jc w:val="both"/>
      </w:pPr>
      <w:r>
        <w:rPr>
          <w:rFonts w:ascii="Barlow Semi Condensed" w:cs="Barlow Semi Condensed" w:eastAsia="Barlow Semi Condensed" w:hAnsi="Barlow Semi Condensed"/>
          <w:b/>
          <w:bCs/>
          <w:sz w:val="24"/>
          <w:szCs w:val="24"/>
        </w:rPr>
        <w:t xml:space="preserve">107 · Una carica pubblica dal 2025.</w:t>
      </w:r>
      <w:r>
        <w:rPr>
          <w:rFonts w:ascii="Barlow Semi Condensed" w:cs="Barlow Semi Condensed" w:eastAsia="Barlow Semi Condensed" w:hAnsi="Barlow Semi Condensed"/>
          <w:sz w:val="24"/>
          <w:szCs w:val="24"/>
        </w:rPr>
        <w:t xml:space="preserve"> Dal 2025 David Sacks ricopre negli Stati Uniti un incarico pubblico in materia di intelligenza artificiale e criptovalute: fatto pubblico, verificabile negli atti dell'esecutivo. Gli incarichi pubblici generano documentazione anagrafica: designazioni pubblicate, dichiarazioni patrimoniali e finanziarie soggette a regime di trasparenza, eventuali provvedimenti in materia di conflitto d'interessi. La sede è l'Office of Government Ethics, i cui moduli sono richiedibili da chiunque.</w:t>
      </w:r>
    </w:p>
    <w:p>
      <w:pPr>
        <w:spacing w:after="120" w:line="276"/>
        <w:jc w:val="both"/>
      </w:pPr>
      <w:r>
        <w:rPr>
          <w:rFonts w:ascii="Barlow Semi Condensed" w:cs="Barlow Semi Condensed" w:eastAsia="Barlow Semi Condensed" w:hAnsi="Barlow Semi Condensed"/>
          <w:b/>
          <w:bCs/>
          <w:sz w:val="24"/>
          <w:szCs w:val="24"/>
        </w:rPr>
        <w:t xml:space="preserve">108 · Kiev, 11 luglio 1975.</w:t>
      </w:r>
      <w:r>
        <w:rPr>
          <w:rFonts w:ascii="Barlow Semi Condensed" w:cs="Barlow Semi Condensed" w:eastAsia="Barlow Semi Condensed" w:hAnsi="Barlow Semi Condensed"/>
          <w:sz w:val="24"/>
          <w:szCs w:val="24"/>
        </w:rPr>
        <w:t xml:space="preserve"> Kiev, allora nell'Unione Sovietica, è indicata come luogo di nascita di Max Levchin nel luglio 1975; l'emigrazione negli Stati Uniti con la famiglia è collocata nel 1991. Due ordinamenti conservano le carte, il registro civile ucraino per la nascita e i fascicoli federali statunitensi per l'ingresso. La traslitterazione del nome varia fra le fonti, e la variazione va registrata: negli archivi un nome traslitterato diversamente è un'altra persona.</w:t>
      </w:r>
    </w:p>
    <w:p>
      <w:pPr>
        <w:spacing w:after="120" w:line="276"/>
        <w:jc w:val="both"/>
      </w:pPr>
      <w:r>
        <w:rPr>
          <w:rFonts w:ascii="Barlow Semi Condensed" w:cs="Barlow Semi Condensed" w:eastAsia="Barlow Semi Condensed" w:hAnsi="Barlow Semi Condensed"/>
          <w:b/>
          <w:bCs/>
          <w:sz w:val="24"/>
          <w:szCs w:val="24"/>
        </w:rPr>
        <w:t xml:space="preserve">109 · Urbana-Champaign, la coorte condivisa.</w:t>
      </w:r>
      <w:r>
        <w:rPr>
          <w:rFonts w:ascii="Barlow Semi Condensed" w:cs="Barlow Semi Condensed" w:eastAsia="Barlow Semi Condensed" w:hAnsi="Barlow Semi Condensed"/>
          <w:sz w:val="24"/>
          <w:szCs w:val="24"/>
        </w:rPr>
        <w:t xml:space="preserve"> Ricorre in più profili lo stesso campus: l'Università dell'Illinois a Urbana-Champaign, dove la laurea in informatica del 1997 è il dato accademico stabile e confermabile su richiesta. La coincidenza di provenienza formativa fra più nomi della serie va registrata come tale e non trattata come rete. Una coorte universitaria condivisa è convergenza d'ambiente; la prova di un rapporto sarebbe un atto che nomini entrambi.</w:t>
      </w:r>
    </w:p>
    <w:p>
      <w:pPr>
        <w:spacing w:after="120" w:line="276"/>
        <w:jc w:val="both"/>
      </w:pPr>
      <w:r>
        <w:rPr>
          <w:rFonts w:ascii="Barlow Semi Condensed" w:cs="Barlow Semi Condensed" w:eastAsia="Barlow Semi Condensed" w:hAnsi="Barlow Semi Condensed"/>
          <w:b/>
          <w:bCs/>
          <w:sz w:val="24"/>
          <w:szCs w:val="24"/>
        </w:rPr>
        <w:t xml:space="preserve">110 · Affirm e i moduli di proprietà.</w:t>
      </w:r>
      <w:r>
        <w:rPr>
          <w:rFonts w:ascii="Barlow Semi Condensed" w:cs="Barlow Semi Condensed" w:eastAsia="Barlow Semi Condensed" w:hAnsi="Barlow Semi Condensed"/>
          <w:sz w:val="24"/>
          <w:szCs w:val="24"/>
        </w:rPr>
        <w:t xml:space="preserve"> Quotata negli Stati Uniti dal gennaio 2021, la società fondata da Max Levchin nel decennio precedente ha depositato un prospetto di collocamento e, poi, i moduli sulle partecipazioni degli insider: tutti su EDGAR, tutti con date, cariche e quantità. Per l'anagrafe professionale la quotazione è un evento fortunato, perché obbliga a mettere per iscritto in forma verificabile ciò che altrove resterebbe nelle presentazioni aziendali.</w:t>
      </w:r>
    </w:p>
    <w:p>
      <w:pPr>
        <w:spacing w:after="120" w:line="276"/>
        <w:jc w:val="both"/>
      </w:pPr>
      <w:r>
        <w:rPr>
          <w:rFonts w:ascii="Barlow Semi Condensed" w:cs="Barlow Semi Condensed" w:eastAsia="Barlow Semi Condensed" w:hAnsi="Barlow Semi Condensed"/>
          <w:b/>
          <w:bCs/>
          <w:sz w:val="24"/>
          <w:szCs w:val="24"/>
        </w:rPr>
        <w:t xml:space="preserve">111 · Palo Alto, 5 agosto 1967.</w:t>
      </w:r>
      <w:r>
        <w:rPr>
          <w:rFonts w:ascii="Barlow Semi Condensed" w:cs="Barlow Semi Condensed" w:eastAsia="Barlow Semi Condensed" w:hAnsi="Barlow Semi Condensed"/>
          <w:sz w:val="24"/>
          <w:szCs w:val="24"/>
        </w:rPr>
        <w:t xml:space="preserve"> Cittadino statunitense per nascita sul territorio, Reid Garrett Hoffman vide la luce a Palo Alto nell'agosto 1967: è il solo, fra i nomi centrali, per cui non si ponga alcuna questione di naturalizzazione. Il rilievo non è biografico ma metodico, e mostra che la serie non cerca stranieri ma atti. Dove l'atto di cittadinanza non esiste perché non serve, il blocco lo dichiara e passa oltre.</w:t>
      </w:r>
    </w:p>
    <w:p>
      <w:pPr>
        <w:spacing w:after="120" w:line="276"/>
        <w:jc w:val="both"/>
      </w:pPr>
      <w:r>
        <w:rPr>
          <w:rFonts w:ascii="Barlow Semi Condensed" w:cs="Barlow Semi Condensed" w:eastAsia="Barlow Semi Condensed" w:hAnsi="Barlow Semi Condensed"/>
          <w:b/>
          <w:bCs/>
          <w:sz w:val="24"/>
          <w:szCs w:val="24"/>
        </w:rPr>
        <w:t xml:space="preserve">112 · Oxford e la borsa Marshall.</w:t>
      </w:r>
      <w:r>
        <w:rPr>
          <w:rFonts w:ascii="Barlow Semi Condensed" w:cs="Barlow Semi Condensed" w:eastAsia="Barlow Semi Condensed" w:hAnsi="Barlow Semi Condensed"/>
          <w:sz w:val="24"/>
          <w:szCs w:val="24"/>
        </w:rPr>
        <w:t xml:space="preserve"> Gli studi a Oxford con una borsa Marshall producono una traccia documentale pubblica e mai citata su questa materia: gli elenchi annuali dei borsisti pubblicati dalla commissione britannica che amministra il programma, con anno e ateneo di destinazione. È un esempio del genere di registro che questa serie preferisce: piccolo, ufficiale, datato, indipendente dal soggetto e dalla rappresentazione pubblica che egli dà di sé.</w:t>
      </w:r>
    </w:p>
    <w:p>
      <w:pPr>
        <w:spacing w:after="120" w:line="276"/>
        <w:jc w:val="both"/>
      </w:pPr>
      <w:r>
        <w:rPr>
          <w:rFonts w:ascii="Barlow Semi Condensed" w:cs="Barlow Semi Condensed" w:eastAsia="Barlow Semi Condensed" w:hAnsi="Barlow Semi Condensed"/>
          <w:b/>
          <w:bCs/>
          <w:sz w:val="24"/>
          <w:szCs w:val="24"/>
        </w:rPr>
        <w:t xml:space="preserve">113 · Dal prospetto alla fusione del 2016.</w:t>
      </w:r>
      <w:r>
        <w:rPr>
          <w:rFonts w:ascii="Barlow Semi Condensed" w:cs="Barlow Semi Condensed" w:eastAsia="Barlow Semi Condensed" w:hAnsi="Barlow Semi Condensed"/>
          <w:sz w:val="24"/>
          <w:szCs w:val="24"/>
        </w:rPr>
        <w:t xml:space="preserve"> Fondata fra la fine del 2002 e il 2003 — e la divergenza fra data di costituzione e data di lancio va riportata, non arrotondata — la società di rete professionale fu quotata nel 2011 e acquisita da Microsoft nel 2016. Prospetto, documenti di sollecitazione agli azionisti e rendiconti dell'acquirente stanno su EDGAR e datano con esattezza cariche, partecipazioni e uscite, meglio di ogni cronologia riassuntiva in rete.</w:t>
      </w:r>
    </w:p>
    <w:p>
      <w:pPr>
        <w:spacing w:after="120" w:line="276"/>
        <w:jc w:val="both"/>
      </w:pPr>
      <w:r>
        <w:rPr>
          <w:rFonts w:ascii="Barlow Semi Condensed" w:cs="Barlow Semi Condensed" w:eastAsia="Barlow Semi Condensed" w:hAnsi="Barlow Semi Condensed"/>
          <w:b/>
          <w:bCs/>
          <w:sz w:val="24"/>
          <w:szCs w:val="24"/>
        </w:rPr>
        <w:t xml:space="preserve">114 · Tarnów e l'infanzia trapiantata.</w:t>
      </w:r>
      <w:r>
        <w:rPr>
          <w:rFonts w:ascii="Barlow Semi Condensed" w:cs="Barlow Semi Condensed" w:eastAsia="Barlow Semi Condensed" w:hAnsi="Barlow Semi Condensed"/>
          <w:sz w:val="24"/>
          <w:szCs w:val="24"/>
        </w:rPr>
        <w:t xml:space="preserve"> Tarnów, in Polonia, nel 1975: così le fonti collocano la nascita di Luke Nosek, giunto negli Stati Uniti da bambino e formatosi nello stesso ateneo dell'Illinois. Il registro di stato civile del comune polacco è la sede primaria per la nascita; l'ingresso negli Stati Uniti sta nei fascicoli federali. La data esatta d'arrivo non risulta pubblicata da alcuna fonte con apparato: lacuna piccola e facilmente colmabile.</w:t>
      </w:r>
    </w:p>
    <w:p>
      <w:pPr>
        <w:spacing w:after="120" w:line="276"/>
        <w:jc w:val="both"/>
      </w:pPr>
      <w:r>
        <w:rPr>
          <w:rFonts w:ascii="Barlow Semi Condensed" w:cs="Barlow Semi Condensed" w:eastAsia="Barlow Semi Condensed" w:hAnsi="Barlow Semi Condensed"/>
          <w:b/>
          <w:bCs/>
          <w:sz w:val="24"/>
          <w:szCs w:val="24"/>
        </w:rPr>
        <w:t xml:space="preserve">115 · Founders Fund e i depositi obbligatori.</w:t>
      </w:r>
      <w:r>
        <w:rPr>
          <w:rFonts w:ascii="Barlow Semi Condensed" w:cs="Barlow Semi Condensed" w:eastAsia="Barlow Semi Condensed" w:hAnsi="Barlow Semi Condensed"/>
          <w:sz w:val="24"/>
          <w:szCs w:val="24"/>
        </w:rPr>
        <w:t xml:space="preserve"> I fondi d'investimento statunitensi lasciano tracce anagrafiche regolari: i moduli D per i collocamenti privati elencano dirigenti e soci promotori con l'indirizzo dell'emittente; i moduli ADV, dove dovuti, elencano le persone di controllo. Per Founders Fund e per i veicoli successivi questi depositi sono il modo corretto di datare ingressi, uscite e ruoli, in luogo delle biografie che i fondi pubblicano di sé.</w:t>
      </w:r>
    </w:p>
    <w:p>
      <w:pPr>
        <w:spacing w:after="120" w:line="276"/>
        <w:jc w:val="both"/>
      </w:pPr>
      <w:r>
        <w:rPr>
          <w:rFonts w:ascii="Barlow Semi Condensed" w:cs="Barlow Semi Condensed" w:eastAsia="Barlow Semi Condensed" w:hAnsi="Barlow Semi Condensed"/>
          <w:b/>
          <w:bCs/>
          <w:sz w:val="24"/>
          <w:szCs w:val="24"/>
        </w:rPr>
        <w:t xml:space="preserve">116 · Keith Rabois: l'anno incerto.</w:t>
      </w:r>
      <w:r>
        <w:rPr>
          <w:rFonts w:ascii="Barlow Semi Condensed" w:cs="Barlow Semi Condensed" w:eastAsia="Barlow Semi Condensed" w:hAnsi="Barlow Semi Condensed"/>
          <w:sz w:val="24"/>
          <w:szCs w:val="24"/>
        </w:rPr>
        <w:t xml:space="preserve"> L'anno di nascita indicato dalle fonti divulgative è il 1969, ma nessuna cita un atto e le pagine si copiano l'una con l'altra. Restano verificabili la laurea a Stanford nel 1991, il dottorato in giurisprudenza a Harvard nel 1994 e l'eventuale iscrizione a un albo forense. Il controllo indiretto migliore è quello già indicato: l'età dichiarata nei documenti societari, ovunque il soggetto vi compaia con una carica.</w:t>
      </w:r>
    </w:p>
    <w:p>
      <w:pPr>
        <w:spacing w:after="120" w:line="276"/>
        <w:jc w:val="both"/>
      </w:pPr>
      <w:r>
        <w:rPr>
          <w:rFonts w:ascii="Barlow Semi Condensed" w:cs="Barlow Semi Condensed" w:eastAsia="Barlow Semi Condensed" w:hAnsi="Barlow Semi Condensed"/>
          <w:b/>
          <w:bCs/>
          <w:sz w:val="24"/>
          <w:szCs w:val="24"/>
        </w:rPr>
        <w:t xml:space="preserve">117 · Gli impieghi si datano con atti.</w:t>
      </w:r>
      <w:r>
        <w:rPr>
          <w:rFonts w:ascii="Barlow Semi Condensed" w:cs="Barlow Semi Condensed" w:eastAsia="Barlow Semi Condensed" w:hAnsi="Barlow Semi Condensed"/>
          <w:sz w:val="24"/>
          <w:szCs w:val="24"/>
        </w:rPr>
        <w:t xml:space="preserve"> Per chi ha attraversato molte società in vent'anni l'elenco degli impieghi è la parte più maltrattata dell'anagrafe: le date arrotondano, le cariche si gonfiano, gli anni si sovrappongono. Il rimedio è meccanico: per ciascun passaggio si cerca un atto datato, un comunicato societario, un deposito presso l'autorità di vigilanza, un contratto reso pubblico. Ciò che non ha atto resta riferito, e va scritto come tale.</w:t>
      </w:r>
    </w:p>
    <w:p>
      <w:pPr>
        <w:spacing w:after="120" w:line="276"/>
        <w:jc w:val="both"/>
      </w:pPr>
      <w:r>
        <w:rPr>
          <w:rFonts w:ascii="Barlow Semi Condensed" w:cs="Barlow Semi Condensed" w:eastAsia="Barlow Semi Condensed" w:hAnsi="Barlow Semi Condensed"/>
          <w:b/>
          <w:bCs/>
          <w:sz w:val="24"/>
          <w:szCs w:val="24"/>
        </w:rPr>
        <w:t xml:space="preserve">118 · San Antonio, 1975.</w:t>
      </w:r>
      <w:r>
        <w:rPr>
          <w:rFonts w:ascii="Barlow Semi Condensed" w:cs="Barlow Semi Condensed" w:eastAsia="Barlow Semi Condensed" w:hAnsi="Barlow Semi Condensed"/>
          <w:sz w:val="24"/>
          <w:szCs w:val="24"/>
        </w:rPr>
        <w:t xml:space="preserve"> Texano di nascita, del 1975, e laureato a Stanford nel 1998, Ken Howery fu il primo direttore finanziario della società poi divenuta PayPal. La sua anagrafe presenta una peculiarità utile a tutta la serie: avendo ricoperto un incarico diplomatico, esiste su di lui documentazione federale pubblica che sugli altri non esiste, a cominciare dagli atti parlamentari di conferma. Il caso mostra quanto una carica pubblica renda accertabile.</w:t>
      </w:r>
    </w:p>
    <w:p>
      <w:pPr>
        <w:spacing w:after="120" w:line="276"/>
        <w:jc w:val="both"/>
      </w:pPr>
      <w:r>
        <w:rPr>
          <w:rFonts w:ascii="Barlow Semi Condensed" w:cs="Barlow Semi Condensed" w:eastAsia="Barlow Semi Condensed" w:hAnsi="Barlow Semi Condensed"/>
          <w:b/>
          <w:bCs/>
          <w:sz w:val="24"/>
          <w:szCs w:val="24"/>
        </w:rPr>
        <w:t xml:space="preserve">119 · Il Senato come archivio anagrafico.</w:t>
      </w:r>
      <w:r>
        <w:rPr>
          <w:rFonts w:ascii="Barlow Semi Condensed" w:cs="Barlow Semi Condensed" w:eastAsia="Barlow Semi Condensed" w:hAnsi="Barlow Semi Condensed"/>
          <w:sz w:val="24"/>
          <w:szCs w:val="24"/>
        </w:rPr>
        <w:t xml:space="preserve"> Una nomina ad ambasciatore statunitense produce una catena di atti pubblici: la trasmissione al Senato con numero progressivo, l'audizione davanti alla commissione per le relazioni estere con dichiarazione scritta del candidato, il voto di conferma registrato negli atti parlamentari. Per Ken Howery, ambasciatore in Svezia fra il 2019 e il 2021, quella catena è consultabile per intero e contiene dati biografici forniti sotto responsabilità.</w:t>
      </w:r>
    </w:p>
    <w:p>
      <w:pPr>
        <w:spacing w:after="120" w:line="276"/>
        <w:jc w:val="both"/>
      </w:pPr>
      <w:r>
        <w:rPr>
          <w:rFonts w:ascii="Barlow Semi Condensed" w:cs="Barlow Semi Condensed" w:eastAsia="Barlow Semi Condensed" w:hAnsi="Barlow Semi Condensed"/>
          <w:b/>
          <w:bCs/>
          <w:sz w:val="24"/>
          <w:szCs w:val="24"/>
        </w:rPr>
        <w:t xml:space="preserve">120 · Jeremy Stoppelman e il prospetto Yelp.</w:t>
      </w:r>
      <w:r>
        <w:rPr>
          <w:rFonts w:ascii="Barlow Semi Condensed" w:cs="Barlow Semi Condensed" w:eastAsia="Barlow Semi Condensed" w:hAnsi="Barlow Semi Condensed"/>
          <w:sz w:val="24"/>
          <w:szCs w:val="24"/>
        </w:rPr>
        <w:t xml:space="preserve"> Le fonti divulgative datano al 1977 la nascita di Jeremy Stoppelman, laureato in ingegneria informatica all'ateneo dell'Illinois nel 1999 e dirigente della società di pagamenti prima di fondarne una propria nel 2004. Il documento anagrafico utile è il prospetto di collocamento di Yelp, depositato presso la SEC in vista della quotazione del 2012: contiene età dichiarata, cariche e date, e vale più di ogni scheda biografica successiva.</w:t>
      </w:r>
    </w:p>
    <w:p>
      <w:pPr>
        <w:spacing w:after="120" w:line="276"/>
        <w:jc w:val="both"/>
      </w:pPr>
      <w:r>
        <w:rPr>
          <w:rFonts w:ascii="Barlow Semi Condensed" w:cs="Barlow Semi Condensed" w:eastAsia="Barlow Semi Condensed" w:hAnsi="Barlow Semi Condensed"/>
          <w:b/>
          <w:bCs/>
          <w:sz w:val="24"/>
          <w:szCs w:val="24"/>
        </w:rPr>
        <w:t xml:space="preserve">121 · Merseburg, 28 ottobre 1979.</w:t>
      </w:r>
      <w:r>
        <w:rPr>
          <w:rFonts w:ascii="Barlow Semi Condensed" w:cs="Barlow Semi Condensed" w:eastAsia="Barlow Semi Condensed" w:hAnsi="Barlow Semi Condensed"/>
          <w:sz w:val="24"/>
          <w:szCs w:val="24"/>
        </w:rPr>
        <w:t xml:space="preserve"> Merseburg, nella Repubblica Democratica Tedesca, è indicata come luogo di nascita di Jawed Karim nell'ottobre 1979, da padre bengalese e madre tedesca; la famiglia passò a Ovest l'anno seguente e negli Stati Uniti nei primi anni Novanta. È l'unico caso della serie in cui il registro di nascita appartiene a uno Stato non più esistente: gli atti dello stato civile della RDT sono confluiti negli uffici tedeschi competenti per territorio.</w:t>
      </w:r>
    </w:p>
    <w:p>
      <w:pPr>
        <w:spacing w:after="120" w:line="276"/>
        <w:jc w:val="both"/>
      </w:pPr>
      <w:r>
        <w:rPr>
          <w:rFonts w:ascii="Barlow Semi Condensed" w:cs="Barlow Semi Condensed" w:eastAsia="Barlow Semi Condensed" w:hAnsi="Barlow Semi Condensed"/>
          <w:b/>
          <w:bCs/>
          <w:sz w:val="24"/>
          <w:szCs w:val="24"/>
        </w:rPr>
        <w:t xml:space="preserve">122 · Un video come atto datato.</w:t>
      </w:r>
      <w:r>
        <w:rPr>
          <w:rFonts w:ascii="Barlow Semi Condensed" w:cs="Barlow Semi Condensed" w:eastAsia="Barlow Semi Condensed" w:hAnsi="Barlow Semi Condensed"/>
          <w:sz w:val="24"/>
          <w:szCs w:val="24"/>
        </w:rPr>
        <w:t xml:space="preserve"> Il primo filmato caricato sulla piattaforma che egli cofondò reca la data del 23 aprile 2005 ed è tuttora pubblico: documento datato, firmato e verificabile da chiunque, utile a fissare un termine iniziale che le ricostruzioni successive spesso spostano. La serie lo registra per la sua qualità formale e non per il contenuto: una data pubblica e stabile è un ancoraggio anagrafico legittimo quanto un timbro.</w:t>
      </w:r>
    </w:p>
    <w:p>
      <w:pPr>
        <w:spacing w:after="120" w:line="276"/>
        <w:jc w:val="both"/>
      </w:pPr>
      <w:r>
        <w:rPr>
          <w:rFonts w:ascii="Barlow Semi Condensed" w:cs="Barlow Semi Condensed" w:eastAsia="Barlow Semi Condensed" w:hAnsi="Barlow Semi Condensed"/>
          <w:b/>
          <w:bCs/>
          <w:sz w:val="24"/>
          <w:szCs w:val="24"/>
        </w:rPr>
        <w:t xml:space="preserve">123 · Birdsboro, 21 gennaio 1977.</w:t>
      </w:r>
      <w:r>
        <w:rPr>
          <w:rFonts w:ascii="Barlow Semi Condensed" w:cs="Barlow Semi Condensed" w:eastAsia="Barlow Semi Condensed" w:hAnsi="Barlow Semi Condensed"/>
          <w:sz w:val="24"/>
          <w:szCs w:val="24"/>
        </w:rPr>
        <w:t xml:space="preserve"> Chad Hurley è indicato come nato in Pennsylvania nel gennaio 1977 e laureato in arti presso un ateneo dello stesso Stato nel 1999; lavorò come disegnatore nella società di pagamenti prima di cofondare la piattaforma video nel 2005. È, fra i nomi centrali, quello con la minore documentazione societaria personale: la sua anagrafe professionale dipende quasi per intero da atti in cui compare come parte e non come firmatario.</w:t>
      </w:r>
    </w:p>
    <w:p>
      <w:pPr>
        <w:spacing w:after="120" w:line="276"/>
        <w:jc w:val="both"/>
      </w:pPr>
      <w:r>
        <w:rPr>
          <w:rFonts w:ascii="Barlow Semi Condensed" w:cs="Barlow Semi Condensed" w:eastAsia="Barlow Semi Condensed" w:hAnsi="Barlow Semi Condensed"/>
          <w:b/>
          <w:bCs/>
          <w:sz w:val="24"/>
          <w:szCs w:val="24"/>
        </w:rPr>
        <w:t xml:space="preserve">124 · Il logo e il registro dei marchi.</w:t>
      </w:r>
      <w:r>
        <w:rPr>
          <w:rFonts w:ascii="Barlow Semi Condensed" w:cs="Barlow Semi Condensed" w:eastAsia="Barlow Semi Condensed" w:hAnsi="Barlow Semi Condensed"/>
          <w:sz w:val="24"/>
          <w:szCs w:val="24"/>
        </w:rPr>
        <w:t xml:space="preserve"> L'attribuzione a Chad Hurley del disegno del marchio PayPal è ripetuta ovunque e non risulta mai appoggiata a un documento. Esiste però il registro che potrebbe dire qualcosa di verificabile: le domande e le registrazioni di marchio figurativo depositate presso l'ufficio statunitense per brevetti e marchi, con date di deposito, dichiarazioni di primo uso e catene di cessione. Controllo semplice, mai eseguito da nessuno.</w:t>
      </w:r>
    </w:p>
    <w:p>
      <w:pPr>
        <w:spacing w:after="120" w:line="276"/>
        <w:jc w:val="both"/>
      </w:pPr>
      <w:r>
        <w:rPr>
          <w:rFonts w:ascii="Barlow Semi Condensed" w:cs="Barlow Semi Condensed" w:eastAsia="Barlow Semi Condensed" w:hAnsi="Barlow Semi Condensed"/>
          <w:b/>
          <w:bCs/>
          <w:sz w:val="24"/>
          <w:szCs w:val="24"/>
        </w:rPr>
        <w:t xml:space="preserve">125 · Chi manca dall'elenco.</w:t>
      </w:r>
      <w:r>
        <w:rPr>
          <w:rFonts w:ascii="Barlow Semi Condensed" w:cs="Barlow Semi Condensed" w:eastAsia="Barlow Semi Condensed" w:hAnsi="Barlow Semi Condensed"/>
          <w:sz w:val="24"/>
          <w:szCs w:val="24"/>
        </w:rPr>
        <w:t xml:space="preserve"> L'elenco dei nomi centrali non esaurisce il gruppo: altri cofondatori e primi dirigenti restano fuori per scelta del committente, non perché meno documentati. Il fatto va scritto, perché un elenco parziale letto come completo genera l'illusione di un nucleo chiuso. Chi lavori su questa materia aggiunga i nomi mancanti con lo stesso metodo: registro di nascita, atti societari, depositi presso l'autorità di vigilanza.</w:t>
      </w:r>
    </w:p>
    <w:p>
      <w:pPr>
        <w:spacing w:after="120" w:line="276"/>
        <w:jc w:val="both"/>
      </w:pPr>
      <w:r>
        <w:rPr>
          <w:rFonts w:ascii="Barlow Semi Condensed" w:cs="Barlow Semi Condensed" w:eastAsia="Barlow Semi Condensed" w:hAnsi="Barlow Semi Condensed"/>
          <w:b/>
          <w:bCs/>
          <w:sz w:val="24"/>
          <w:szCs w:val="24"/>
        </w:rPr>
        <w:t xml:space="preserve">126 · Il fascicolo di Fortune del 2007.</w:t>
      </w:r>
      <w:r>
        <w:rPr>
          <w:rFonts w:ascii="Barlow Semi Condensed" w:cs="Barlow Semi Condensed" w:eastAsia="Barlow Semi Condensed" w:hAnsi="Barlow Semi Condensed"/>
          <w:sz w:val="24"/>
          <w:szCs w:val="24"/>
        </w:rPr>
        <w:t xml:space="preserve"> La locuzione che dà titolo al fenomeno nasce da un servizio di copertina della rivista Fortune nel novembre 2007, con una fotografia di gruppo scattata in un locale di San Francisco. Il bersaglio anagrafico è preciso: procurarsi il fascicolo stampato, ricavare dalla didascalia originale l'elenco esatto dei presenti e la qualifica di ciascuno alla data. Le riproduzioni in rete circolano senza didascalia e con elenchi discordanti.</w:t>
      </w:r>
    </w:p>
    <w:p>
      <w:pPr>
        <w:spacing w:after="120" w:line="276"/>
        <w:jc w:val="both"/>
      </w:pPr>
      <w:r>
        <w:rPr>
          <w:rFonts w:ascii="Barlow Semi Condensed" w:cs="Barlow Semi Condensed" w:eastAsia="Barlow Semi Condensed" w:hAnsi="Barlow Semi Condensed"/>
          <w:b/>
          <w:bCs/>
          <w:sz w:val="24"/>
          <w:szCs w:val="24"/>
        </w:rPr>
        <w:t xml:space="preserve">127 · Un assente da registrare.</w:t>
      </w:r>
      <w:r>
        <w:rPr>
          <w:rFonts w:ascii="Barlow Semi Condensed" w:cs="Barlow Semi Condensed" w:eastAsia="Barlow Semi Condensed" w:hAnsi="Barlow Semi Condensed"/>
          <w:sz w:val="24"/>
          <w:szCs w:val="24"/>
        </w:rPr>
        <w:t xml:space="preserve"> Alla fotografia del 2007 Elon Musk non partecipò: dato piccolo e da tenere, perché la rappresentazione grafica di un gruppo produce, a distanza di anni, una lista di appartenenza che nessuno ha mai redatto. Chi usa quell'immagine come censimento sta usando una fotografia giornalistica al posto di un atto costitutivo. La serie la usa per ciò che è: una fonte datata sulla percezione del 2007.</w:t>
      </w:r>
    </w:p>
    <w:p>
      <w:pPr>
        <w:spacing w:after="120" w:line="276"/>
        <w:jc w:val="both"/>
      </w:pPr>
      <w:r>
        <w:rPr>
          <w:rFonts w:ascii="Barlow Semi Condensed" w:cs="Barlow Semi Condensed" w:eastAsia="Barlow Semi Condensed" w:hAnsi="Barlow Semi Condensed"/>
          <w:b/>
          <w:bCs/>
          <w:sz w:val="24"/>
          <w:szCs w:val="24"/>
        </w:rPr>
        <w:t xml:space="preserve">128 · Nessun atto costitutivo esiste.</w:t>
      </w:r>
      <w:r>
        <w:rPr>
          <w:rFonts w:ascii="Barlow Semi Condensed" w:cs="Barlow Semi Condensed" w:eastAsia="Barlow Semi Condensed" w:hAnsi="Barlow Semi Condensed"/>
          <w:sz w:val="24"/>
          <w:szCs w:val="24"/>
        </w:rPr>
        <w:t xml:space="preserve"> Se la locuzione designasse un ente esisterebbe un atto: una costituzione in Delaware, un'iscrizione presso la Companies and Intellectual Property Commission sudafricana, una registrazione alla Companies House britannica. La ricerca in quei registri, condotta e verbalizzata con chiavi esatte, produrrebbe con ogni probabilità uno Stato Zero, ed è un esito che va comunque scritto, perché chiude una domanda invece di lasciarla galleggiare.</w:t>
      </w:r>
    </w:p>
    <w:p>
      <w:pPr>
        <w:spacing w:after="120" w:line="276"/>
        <w:jc w:val="both"/>
      </w:pPr>
      <w:r>
        <w:rPr>
          <w:rFonts w:ascii="Barlow Semi Condensed" w:cs="Barlow Semi Condensed" w:eastAsia="Barlow Semi Condensed" w:hAnsi="Barlow Semi Condensed"/>
          <w:b/>
          <w:bCs/>
          <w:sz w:val="24"/>
          <w:szCs w:val="24"/>
        </w:rPr>
        <w:t xml:space="preserve">129 · Il registro federale dei contributi elettorali.</w:t>
      </w:r>
      <w:r>
        <w:rPr>
          <w:rFonts w:ascii="Barlow Semi Condensed" w:cs="Barlow Semi Condensed" w:eastAsia="Barlow Semi Condensed" w:hAnsi="Barlow Semi Condensed"/>
          <w:sz w:val="24"/>
          <w:szCs w:val="24"/>
        </w:rPr>
        <w:t xml:space="preserve"> Negli Stati Uniti le erogazioni ai comitati politici sono pubbliche e riportano, per ciascun donante, città, Stato, datore di lavoro e professione dichiarati alla data. È di fatto un registro seriale di residenza e impiego autodichiarati, interrogabile per nome sul sito della Federal Election Commission. Va usato per ciò che è, dichiarazioni del soggetto e non accertamenti di terzi: la qualità del dato è quella di un'autocertificazione.</w:t>
      </w:r>
    </w:p>
    <w:p>
      <w:pPr>
        <w:spacing w:after="120" w:line="276"/>
        <w:jc w:val="both"/>
      </w:pPr>
      <w:r>
        <w:rPr>
          <w:rFonts w:ascii="Barlow Semi Condensed" w:cs="Barlow Semi Condensed" w:eastAsia="Barlow Semi Condensed" w:hAnsi="Barlow Semi Condensed"/>
          <w:b/>
          <w:bCs/>
          <w:sz w:val="24"/>
          <w:szCs w:val="24"/>
        </w:rPr>
        <w:t xml:space="preserve">130 · I registri immobiliari come prova di residenza.</w:t>
      </w:r>
      <w:r>
        <w:rPr>
          <w:rFonts w:ascii="Barlow Semi Condensed" w:cs="Barlow Semi Condensed" w:eastAsia="Barlow Semi Condensed" w:hAnsi="Barlow Semi Condensed"/>
          <w:sz w:val="24"/>
          <w:szCs w:val="24"/>
        </w:rPr>
        <w:t xml:space="preserve"> Un atto di compravendita iscritto è documento anagrafico indiretto ma solido: data, parti, immobile, talvolta domicilio dichiarato. In Sud Africa la sede è il Deeds Office competente per territorio; negli Stati Uniti il conservatore dei registri di contea; in Nuova Zelanda il registro fondiario nazionale. Le residenze dichiarate in intervista si controllano lì, e ogni divergenza fra dichiarazione e iscrizione è essa stessa un dato.</w:t>
      </w:r>
    </w:p>
    <w:p>
      <w:pPr>
        <w:spacing w:after="120" w:line="276"/>
        <w:jc w:val="both"/>
      </w:pPr>
      <w:r>
        <w:rPr>
          <w:rFonts w:ascii="Barlow Semi Condensed" w:cs="Barlow Semi Condensed" w:eastAsia="Barlow Semi Condensed" w:hAnsi="Barlow Semi Condensed"/>
          <w:b/>
          <w:bCs/>
          <w:sz w:val="24"/>
          <w:szCs w:val="24"/>
        </w:rPr>
        <w:t xml:space="preserve">131 · Il limite legale dell'accesso.</w:t>
      </w:r>
      <w:r>
        <w:rPr>
          <w:rFonts w:ascii="Barlow Semi Condensed" w:cs="Barlow Semi Condensed" w:eastAsia="Barlow Semi Condensed" w:hAnsi="Barlow Semi Condensed"/>
          <w:sz w:val="24"/>
          <w:szCs w:val="24"/>
        </w:rPr>
        <w:t xml:space="preserve"> Va scritto una volta e vale per tutta la serie: sulle persone viventi i registri di stato civile e i fascicoli d'immigrazione non sono liberamente accessibili a terzi in nessuno degli ordinamenti coinvolti. Sudafrica, Stati Uniti, Germania, Canada e Nuova Zelanda ammettono l'interessato, i familiari o un interesse qualificato. Indicare la sede resta utile: dice a chi ha titolo dove chiedere, e a chi non l'ha di fermarsi.</w:t>
      </w:r>
    </w:p>
    <w:p>
      <w:pPr>
        <w:spacing w:after="120" w:line="276"/>
        <w:jc w:val="both"/>
      </w:pPr>
      <w:r>
        <w:rPr>
          <w:rFonts w:ascii="Barlow Semi Condensed" w:cs="Barlow Semi Condensed" w:eastAsia="Barlow Semi Condensed" w:hAnsi="Barlow Semi Condensed"/>
          <w:b/>
          <w:bCs/>
          <w:sz w:val="24"/>
          <w:szCs w:val="24"/>
        </w:rPr>
        <w:t xml:space="preserve">132 · Ciò che nessun archivio darà.</w:t>
      </w:r>
      <w:r>
        <w:rPr>
          <w:rFonts w:ascii="Barlow Semi Condensed" w:cs="Barlow Semi Condensed" w:eastAsia="Barlow Semi Condensed" w:hAnsi="Barlow Semi Condensed"/>
          <w:sz w:val="24"/>
          <w:szCs w:val="24"/>
        </w:rPr>
        <w:t xml:space="preserve"> Passaporti in corso di validità, timbri di frontiera, domicili fiscali correnti e stati di famiglia aggiornati non sono documenti pubblici e non lo diventeranno. Chi li promette mente, e chi li cita senza produrli va considerato inattendibile sull'intero impianto. La serie fissa qui il proprio soffitto: si ferma agli atti che un terzo può chiedere in modo lecito, e dichiara vuoto tutto ciò che sta sopra quella linea.</w:t>
      </w:r>
    </w:p>
    <w:p>
      <w:pPr>
        <w:spacing w:after="120" w:line="276"/>
        <w:jc w:val="both"/>
      </w:pPr>
      <w:r>
        <w:rPr>
          <w:rFonts w:ascii="Barlow Semi Condensed" w:cs="Barlow Semi Condensed" w:eastAsia="Barlow Semi Condensed" w:hAnsi="Barlow Semi Condensed"/>
          <w:b/>
          <w:bCs/>
          <w:sz w:val="24"/>
          <w:szCs w:val="24"/>
        </w:rPr>
        <w:t xml:space="preserve">133 · La tavola delle divergenze anagrafiche.</w:t>
      </w:r>
      <w:r>
        <w:rPr>
          <w:rFonts w:ascii="Barlow Semi Condensed" w:cs="Barlow Semi Condensed" w:eastAsia="Barlow Semi Condensed" w:hAnsi="Barlow Semi Condensed"/>
          <w:sz w:val="24"/>
          <w:szCs w:val="24"/>
        </w:rPr>
        <w:t xml:space="preserve"> Il prodotto finale di questa serie non è un profilo ma una tavola: per ciascun nome il dato, la fonte, il grado, la divergenza se esiste e la sede che la chiuderebbe. Le divergenze già censite riguardano anni di conferimento di titoli, numero dei fondatori, filiazione intermedia, anni di nascita non appoggiati ad atti e status migratori. Nessuna di esse viene sciolta in silenzio o per verosimiglianza.</w:t>
      </w:r>
    </w:p>
    <w:p>
      <w:pPr>
        <w:spacing w:after="120" w:line="276"/>
        <w:jc w:val="both"/>
      </w:pPr>
      <w:r>
        <w:rPr>
          <w:rFonts w:ascii="Barlow Semi Condensed" w:cs="Barlow Semi Condensed" w:eastAsia="Barlow Semi Condensed" w:hAnsi="Barlow Semi Condensed"/>
          <w:b/>
          <w:bCs/>
          <w:sz w:val="24"/>
          <w:szCs w:val="24"/>
        </w:rPr>
        <w:t xml:space="preserve">134 · Che cosa smentirebbe la continuità.</w:t>
      </w:r>
      <w:r>
        <w:rPr>
          <w:rFonts w:ascii="Barlow Semi Condensed" w:cs="Barlow Semi Condensed" w:eastAsia="Barlow Semi Condensed" w:hAnsi="Barlow Semi Condensed"/>
          <w:sz w:val="24"/>
          <w:szCs w:val="24"/>
        </w:rPr>
        <w:t xml:space="preserve"> Un bersaglio di smentita anagrafico si formula con precisione: se i registri sudafricani e namibiani mostrassero che una delle residenze qui date per acquisite non ebbe luogo, o che una parentela dichiarata non sussiste, l'impianto perderebbe l'unico ponte di piano uno di cui dispone. Chi lavori onestamente su questa materia deve desiderare quel controllo e non temerlo: è la prova che l'impianto sia falsificabile.</w:t>
      </w:r>
    </w:p>
    <w:p>
      <w:pPr>
        <w:spacing w:after="120" w:line="276"/>
        <w:jc w:val="both"/>
      </w:pPr>
      <w:r>
        <w:rPr>
          <w:rFonts w:ascii="Barlow Semi Condensed" w:cs="Barlow Semi Condensed" w:eastAsia="Barlow Semi Condensed" w:hAnsi="Barlow Semi Condensed"/>
          <w:b/>
          <w:bCs/>
          <w:sz w:val="24"/>
          <w:szCs w:val="24"/>
        </w:rPr>
        <w:t xml:space="preserve">135 · Lo stato di ciascun nome.</w:t>
      </w:r>
      <w:r>
        <w:rPr>
          <w:rFonts w:ascii="Barlow Semi Condensed" w:cs="Barlow Semi Condensed" w:eastAsia="Barlow Semi Condensed" w:hAnsi="Barlow Semi Condensed"/>
          <w:sz w:val="24"/>
          <w:szCs w:val="24"/>
        </w:rPr>
        <w:t xml:space="preserve"> La chiusura della serie è contabile: per ognuno dei nomi trattati si registra quanti dati siano documentati, quanti riferiti, quanti a vuoto, con la data dell'ultimo controllo. Una serie anagrafica che non tenga il proprio stato invecchia in silenzio e viene citata quando è già superata. La tavola degli stati è ciò che consente a un terzo di riprendere il lavoro esattamente dove si è fermato.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terza — La cornice: Sud Africa e Africa del Sud-Ovest</w:t>
      </w:r>
    </w:p>
    <w:p>
      <w:pPr>
        <w:spacing w:after="120" w:line="276"/>
        <w:jc w:val="both"/>
      </w:pPr>
      <w:r>
        <w:rPr>
          <w:rFonts w:ascii="Barlow Semi Condensed" w:cs="Barlow Semi Condensed" w:eastAsia="Barlow Semi Condensed" w:hAnsi="Barlow Semi Condensed"/>
          <w:i/>
          <w:iCs/>
          <w:sz w:val="24"/>
          <w:szCs w:val="24"/>
        </w:rPr>
        <w:t xml:space="preserve">Blocchi 136-225.</w:t>
      </w:r>
    </w:p>
    <w:p>
      <w:pPr>
        <w:spacing w:after="120" w:line="276"/>
        <w:jc w:val="both"/>
      </w:pPr>
      <w:r>
        <w:rPr>
          <w:rFonts w:ascii="Barlow Semi Condensed" w:cs="Barlow Semi Condensed" w:eastAsia="Barlow Semi Condensed" w:hAnsi="Barlow Semi Condensed"/>
          <w:b/>
          <w:bCs/>
          <w:sz w:val="24"/>
          <w:szCs w:val="24"/>
        </w:rPr>
        <w:t xml:space="preserve">136 · Il registro delle persone.</w:t>
      </w:r>
      <w:r>
        <w:rPr>
          <w:rFonts w:ascii="Barlow Semi Condensed" w:cs="Barlow Semi Condensed" w:eastAsia="Barlow Semi Condensed" w:hAnsi="Barlow Semi Condensed"/>
          <w:sz w:val="24"/>
          <w:szCs w:val="24"/>
        </w:rPr>
        <w:t xml:space="preserve"> Il Population Registration Act, Act No. 30 del 1950, istituì il registro nazionale e la classificazione razziale d'ufficio, con commissioni che decidevano i casi contestati. Il testo promulgato sta nel Government Gazette; i fascicoli delle commissioni di riclassificazione stanno nei versamenti dell'amministrazione degli Affari Interni presso i National Archives of South Africa, a Pretoria. Quesito eseguibile: quante riclassificazioni furono chieste e quante concesse negli anni coperti da quest'opera.</w:t>
      </w:r>
    </w:p>
    <w:p>
      <w:pPr>
        <w:spacing w:after="120" w:line="276"/>
        <w:jc w:val="both"/>
      </w:pPr>
      <w:r>
        <w:rPr>
          <w:rFonts w:ascii="Barlow Semi Condensed" w:cs="Barlow Semi Condensed" w:eastAsia="Barlow Semi Condensed" w:hAnsi="Barlow Semi Condensed"/>
          <w:b/>
          <w:bCs/>
          <w:sz w:val="24"/>
          <w:szCs w:val="24"/>
        </w:rPr>
        <w:t xml:space="preserve">137 · Le aree riservate per legge.</w:t>
      </w:r>
      <w:r>
        <w:rPr>
          <w:rFonts w:ascii="Barlow Semi Condensed" w:cs="Barlow Semi Condensed" w:eastAsia="Barlow Semi Condensed" w:hAnsi="Barlow Semi Condensed"/>
          <w:sz w:val="24"/>
          <w:szCs w:val="24"/>
        </w:rPr>
        <w:t xml:space="preserve"> Il Group Areas Act del 1950, rifuso nel 1957 e nel 1966, assegnava per proclamazione ogni zona urbana a un gruppo e imponeva gli sgomberi. Ogni proclamazione ha una data e un numero: il corpus le tratta come atti, non come clima d'epoca. La serie completa è nel Government Gazette e nei fondi del Department of Community Development. Bersaglio: la mappa datata di Johannesburg.</w:t>
      </w:r>
    </w:p>
    <w:p>
      <w:pPr>
        <w:spacing w:after="120" w:line="276"/>
        <w:jc w:val="both"/>
      </w:pPr>
      <w:r>
        <w:rPr>
          <w:rFonts w:ascii="Barlow Semi Condensed" w:cs="Barlow Semi Condensed" w:eastAsia="Barlow Semi Condensed" w:hAnsi="Barlow Semi Condensed"/>
          <w:b/>
          <w:bCs/>
          <w:sz w:val="24"/>
          <w:szCs w:val="24"/>
        </w:rPr>
        <w:t xml:space="preserve">138 · Il matrimonio e la legge penale.</w:t>
      </w:r>
      <w:r>
        <w:rPr>
          <w:rFonts w:ascii="Barlow Semi Condensed" w:cs="Barlow Semi Condensed" w:eastAsia="Barlow Semi Condensed" w:hAnsi="Barlow Semi Condensed"/>
          <w:sz w:val="24"/>
          <w:szCs w:val="24"/>
        </w:rPr>
        <w:t xml:space="preserve"> Il Prohibition of Mixed Marriages Act del 1949 e l'Immorality Amendment Act del 1950 portarono la separazione dentro la vita privata e ne fecero materia di processo penale. I ruoli dei magistrates' courts documentano le imputazioni anno per anno e sono conservati nei depositi provinciali dei National Archives. Quesito di metodo: il numero dei procedimenti misura l'invasività della cornice meglio di qualunque formula riassuntiva.</w:t>
      </w:r>
    </w:p>
    <w:p>
      <w:pPr>
        <w:spacing w:after="120" w:line="276"/>
        <w:jc w:val="both"/>
      </w:pPr>
      <w:r>
        <w:rPr>
          <w:rFonts w:ascii="Barlow Semi Condensed" w:cs="Barlow Semi Condensed" w:eastAsia="Barlow Semi Condensed" w:hAnsi="Barlow Semi Condensed"/>
          <w:b/>
          <w:bCs/>
          <w:sz w:val="24"/>
          <w:szCs w:val="24"/>
        </w:rPr>
        <w:t xml:space="preserve">139 · La scuola come politica di Stato.</w:t>
      </w:r>
      <w:r>
        <w:rPr>
          <w:rFonts w:ascii="Barlow Semi Condensed" w:cs="Barlow Semi Condensed" w:eastAsia="Barlow Semi Condensed" w:hAnsi="Barlow Semi Condensed"/>
          <w:sz w:val="24"/>
          <w:szCs w:val="24"/>
        </w:rPr>
        <w:t xml:space="preserve"> Il Bantu Education Act, Act No. 47 del 1953, trasferì allo Stato le scuole missionarie destinate alla popolazione africana e ne riscrisse i programmi. È l'atto che rende leggibile ogni blocco successivo sulla scuola: dopo il 1953 l'istruzione separata non è una consuetudine ma un ordinamento. Le circolari attuative del Department of Bantu Education si cercano nei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140 · Il libretto chiamato abolizione.</w:t>
      </w:r>
      <w:r>
        <w:rPr>
          <w:rFonts w:ascii="Barlow Semi Condensed" w:cs="Barlow Semi Condensed" w:eastAsia="Barlow Semi Condensed" w:hAnsi="Barlow Semi Condensed"/>
          <w:sz w:val="24"/>
          <w:szCs w:val="24"/>
        </w:rPr>
        <w:t xml:space="preserve"> La legge del 1952 s'intitolava Natives (Abolition of Passes and Co-ordination of Documents) Act e fece l'opposto del proprio titolo: sostituì i lasciapassare con un reference book unico e obbligatorio. La lezione vale per tutto il corpus, perché il titolo di un atto non ne dice il contenuto. Il testo è nel Government Gazette del 1952; le statistiche degli arresti stanno negli annuari ufficiali.</w:t>
      </w:r>
    </w:p>
    <w:p>
      <w:pPr>
        <w:spacing w:after="120" w:line="276"/>
        <w:jc w:val="both"/>
      </w:pPr>
      <w:r>
        <w:rPr>
          <w:rFonts w:ascii="Barlow Semi Condensed" w:cs="Barlow Semi Condensed" w:eastAsia="Barlow Semi Condensed" w:hAnsi="Barlow Semi Condensed"/>
          <w:b/>
          <w:bCs/>
          <w:sz w:val="24"/>
          <w:szCs w:val="24"/>
        </w:rPr>
        <w:t xml:space="preserve">141 · Le comodità separate.</w:t>
      </w:r>
      <w:r>
        <w:rPr>
          <w:rFonts w:ascii="Barlow Semi Condensed" w:cs="Barlow Semi Condensed" w:eastAsia="Barlow Semi Condensed" w:hAnsi="Barlow Semi Condensed"/>
          <w:sz w:val="24"/>
          <w:szCs w:val="24"/>
        </w:rPr>
        <w:t xml:space="preserve"> Il Reservation of Separate Amenities Act del 1953 legittimò servizi diseguali e sottrasse al giudice il sindacato sulla disparità. È la norma che rende ozioso discutere di uguaglianza sostanziale prima del 1990. Chi voglia documentarne l'applicazione cerchi i regolamenti municipali di Johannesburg e di Pretoria, depositati presso gli archivi comunali, e non le sole fotografie dei cartelli, che circolano ovunque senza data e senza luogo.</w:t>
      </w:r>
    </w:p>
    <w:p>
      <w:pPr>
        <w:spacing w:after="120" w:line="276"/>
        <w:jc w:val="both"/>
      </w:pPr>
      <w:r>
        <w:rPr>
          <w:rFonts w:ascii="Barlow Semi Condensed" w:cs="Barlow Semi Condensed" w:eastAsia="Barlow Semi Condensed" w:hAnsi="Barlow Semi Condensed"/>
          <w:b/>
          <w:bCs/>
          <w:sz w:val="24"/>
          <w:szCs w:val="24"/>
        </w:rPr>
        <w:t xml:space="preserve">142 · Il comunismo come categoria di polizia.</w:t>
      </w:r>
      <w:r>
        <w:rPr>
          <w:rFonts w:ascii="Barlow Semi Condensed" w:cs="Barlow Semi Condensed" w:eastAsia="Barlow Semi Condensed" w:hAnsi="Barlow Semi Condensed"/>
          <w:sz w:val="24"/>
          <w:szCs w:val="24"/>
        </w:rPr>
        <w:t xml:space="preserve"> Il Suppression of Communism Act del 1950 definiva il comunismo tanto largamente da coprire quasi ogni opposizione e autorizzava provvedimenti individuali di bando. L'elenco nominativo dei banditi fu pubblicato per anni sul Government Gazette: è una fonte seriale, datata e citabile. Bersaglio: costruire la serie dei bandi anno per anno, perché la curva dei provvedimenti misura la cornice meglio di qualunque giudizio retrospettivo.</w:t>
      </w:r>
    </w:p>
    <w:p>
      <w:pPr>
        <w:spacing w:after="120" w:line="276"/>
        <w:jc w:val="both"/>
      </w:pPr>
      <w:r>
        <w:rPr>
          <w:rFonts w:ascii="Barlow Semi Condensed" w:cs="Barlow Semi Condensed" w:eastAsia="Barlow Semi Condensed" w:hAnsi="Barlow Semi Condensed"/>
          <w:b/>
          <w:bCs/>
          <w:sz w:val="24"/>
          <w:szCs w:val="24"/>
        </w:rPr>
        <w:t xml:space="preserve">143 · Dalle autorità bantu ai bantustan.</w:t>
      </w:r>
      <w:r>
        <w:rPr>
          <w:rFonts w:ascii="Barlow Semi Condensed" w:cs="Barlow Semi Condensed" w:eastAsia="Barlow Semi Condensed" w:hAnsi="Barlow Semi Condensed"/>
          <w:sz w:val="24"/>
          <w:szCs w:val="24"/>
        </w:rPr>
        <w:t xml:space="preserve"> Il Bantu Authorities Act del 1951 e il Promotion of Bantu Self-Government Act del 1959 costruirono i territori separati come finzione di autogoverno. Transkei nel 1976, Bophuthatswana nel 1977, Venda nel 1979 e Ciskei nel 1981 furono dichiarati indipendenti e riconosciuti soltanto da Pretoria. Gli atti costitutivi e i riconoscimenti mancati stanno nei fondi del Department of Foreign Affairs, ai National Archives.</w:t>
      </w:r>
    </w:p>
    <w:p>
      <w:pPr>
        <w:spacing w:after="120" w:line="276"/>
        <w:jc w:val="both"/>
      </w:pPr>
      <w:r>
        <w:rPr>
          <w:rFonts w:ascii="Barlow Semi Condensed" w:cs="Barlow Semi Condensed" w:eastAsia="Barlow Semi Condensed" w:hAnsi="Barlow Semi Condensed"/>
          <w:b/>
          <w:bCs/>
          <w:sz w:val="24"/>
          <w:szCs w:val="24"/>
        </w:rPr>
        <w:t xml:space="preserve">144 · La cittadinanza revocata per legge.</w:t>
      </w:r>
      <w:r>
        <w:rPr>
          <w:rFonts w:ascii="Barlow Semi Condensed" w:cs="Barlow Semi Condensed" w:eastAsia="Barlow Semi Condensed" w:hAnsi="Barlow Semi Condensed"/>
          <w:sz w:val="24"/>
          <w:szCs w:val="24"/>
        </w:rPr>
        <w:t xml:space="preserve"> Il Bantu Homelands Citizenship Act del 1970 attribuì d'ufficio a milioni di persone la cittadinanza di un territorio separato, togliendo loro quella sudafricana. È l'operazione giuridica più radicale dell'intera architettura e va nominata con precisione: non una discriminazione fra cittadini, ma una sottrazione di cittadinanza. Le liste di attribuzione si cercano nei versamenti del dipartimento competente presso 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145 · L'università chiusa per statuto.</w:t>
      </w:r>
      <w:r>
        <w:rPr>
          <w:rFonts w:ascii="Barlow Semi Condensed" w:cs="Barlow Semi Condensed" w:eastAsia="Barlow Semi Condensed" w:hAnsi="Barlow Semi Condensed"/>
          <w:sz w:val="24"/>
          <w:szCs w:val="24"/>
        </w:rPr>
        <w:t xml:space="preserve"> L'Extension of University Education Act del 1959, il cui titolo estende ciò che restringe, vietò l'iscrizione degli studenti neri negli atenei aperti e creò università etniche separate. I registri di immatricolazione delle università di Witwatersrand e di Città del Capo, conservati negli archivi dei rispettivi atenei, permettono di misurare la frattura con una serie numerica invece che con un aggettivo.</w:t>
      </w:r>
    </w:p>
    <w:p>
      <w:pPr>
        <w:spacing w:after="120" w:line="276"/>
        <w:jc w:val="both"/>
      </w:pPr>
      <w:r>
        <w:rPr>
          <w:rFonts w:ascii="Barlow Semi Condensed" w:cs="Barlow Semi Condensed" w:eastAsia="Barlow Semi Condensed" w:hAnsi="Barlow Semi Condensed"/>
          <w:b/>
          <w:bCs/>
          <w:sz w:val="24"/>
          <w:szCs w:val="24"/>
        </w:rPr>
        <w:t xml:space="preserve">146 · Prima del millenovecentoquarantotto.</w:t>
      </w:r>
      <w:r>
        <w:rPr>
          <w:rFonts w:ascii="Barlow Semi Condensed" w:cs="Barlow Semi Condensed" w:eastAsia="Barlow Semi Condensed" w:hAnsi="Barlow Semi Condensed"/>
          <w:sz w:val="24"/>
          <w:szCs w:val="24"/>
        </w:rPr>
        <w:t xml:space="preserve"> L'apartheid non comincia con la vittoria elettorale del National Party nel 1948: il Natives Land Act del 1913 aveva già riservato alla maggioranza africana una frazione minima del territorio. La regola che ne discende è metodologica e severa: la periodizzazione comoda va verificata sugli atti, e una cornice che si dichiara nata nel 1948 è già una tesi da provare, non un dato.</w:t>
      </w:r>
    </w:p>
    <w:p>
      <w:pPr>
        <w:spacing w:after="120" w:line="276"/>
        <w:jc w:val="both"/>
      </w:pPr>
      <w:r>
        <w:rPr>
          <w:rFonts w:ascii="Barlow Semi Condensed" w:cs="Barlow Semi Condensed" w:eastAsia="Barlow Semi Condensed" w:hAnsi="Barlow Semi Condensed"/>
          <w:b/>
          <w:bCs/>
          <w:sz w:val="24"/>
          <w:szCs w:val="24"/>
        </w:rPr>
        <w:t xml:space="preserve">147 · La detenzione senza termine.</w:t>
      </w:r>
      <w:r>
        <w:rPr>
          <w:rFonts w:ascii="Barlow Semi Condensed" w:cs="Barlow Semi Condensed" w:eastAsia="Barlow Semi Condensed" w:hAnsi="Barlow Semi Condensed"/>
          <w:sz w:val="24"/>
          <w:szCs w:val="24"/>
        </w:rPr>
        <w:t xml:space="preserve"> Il Terrorism Act, Act No. 83 del 1967, con l'articolo sei autorizzava la detenzione a tempo indeterminato senza controllo giurisdizionale. È il perno del sistema di sicurezza e la premessa delle morti in custodia poi ricostruite dalla Truth and Reconciliation Commission. Gli atti delle inchieste giudiziarie sui decessi, i cosiddetti inquest records, sono nei depositi provinciali dei National Archives e si cercano per nome del detenuto.</w:t>
      </w:r>
    </w:p>
    <w:p>
      <w:pPr>
        <w:spacing w:after="120" w:line="276"/>
        <w:jc w:val="both"/>
      </w:pPr>
      <w:r>
        <w:rPr>
          <w:rFonts w:ascii="Barlow Semi Condensed" w:cs="Barlow Semi Condensed" w:eastAsia="Barlow Semi Condensed" w:hAnsi="Barlow Semi Condensed"/>
          <w:b/>
          <w:bCs/>
          <w:sz w:val="24"/>
          <w:szCs w:val="24"/>
        </w:rPr>
        <w:t xml:space="preserve">148 · Gli stati d'emergenza.</w:t>
      </w:r>
      <w:r>
        <w:rPr>
          <w:rFonts w:ascii="Barlow Semi Condensed" w:cs="Barlow Semi Condensed" w:eastAsia="Barlow Semi Condensed" w:hAnsi="Barlow Semi Condensed"/>
          <w:sz w:val="24"/>
          <w:szCs w:val="24"/>
        </w:rPr>
        <w:t xml:space="preserve"> Le proclamazioni d'emergenza del 1960, dopo Sharpeville, e quelle del 1985 e del 1986 sospesero garanzie e imposero il segreto sulla stampa. Ognuna ha numero e data nel Government Gazette e va citata così, mai in blocco. Bersaglio: la tavola cronologica delle emergenze con l'estensione territoriale di ciascuna, perché il regime giuridico varia per distretto e la generalizzazione perde proprio quel dato.</w:t>
      </w:r>
    </w:p>
    <w:p>
      <w:pPr>
        <w:spacing w:after="120" w:line="276"/>
        <w:jc w:val="both"/>
      </w:pPr>
      <w:r>
        <w:rPr>
          <w:rFonts w:ascii="Barlow Semi Condensed" w:cs="Barlow Semi Condensed" w:eastAsia="Barlow Semi Condensed" w:hAnsi="Barlow Semi Condensed"/>
          <w:b/>
          <w:bCs/>
          <w:sz w:val="24"/>
          <w:szCs w:val="24"/>
        </w:rPr>
        <w:t xml:space="preserve">149 · La Gazzetta come fonte prima.</w:t>
      </w:r>
      <w:r>
        <w:rPr>
          <w:rFonts w:ascii="Barlow Semi Condensed" w:cs="Barlow Semi Condensed" w:eastAsia="Barlow Semi Condensed" w:hAnsi="Barlow Semi Condensed"/>
          <w:sz w:val="24"/>
          <w:szCs w:val="24"/>
        </w:rPr>
        <w:t xml:space="preserve"> Ogni norma citata in questa serie esiste come testo promulgato nel Government Gazette, in afrikaans Staatskoerant, con numero e data. La regola è banale e quasi mai rispettata nella letteratura militante: si cita l'atto, non il riassunto dell'atto. Le annate sono consultabili nelle biblioteche giuridiche sudafricane e nei National Archives; chi scrive di apartheid senza numeri di gazzetta sta parafrasando qualcun altro.</w:t>
      </w:r>
    </w:p>
    <w:p>
      <w:pPr>
        <w:spacing w:after="120" w:line="276"/>
        <w:jc w:val="both"/>
      </w:pPr>
      <w:r>
        <w:rPr>
          <w:rFonts w:ascii="Barlow Semi Condensed" w:cs="Barlow Semi Condensed" w:eastAsia="Barlow Semi Condensed" w:hAnsi="Barlow Semi Condensed"/>
          <w:b/>
          <w:bCs/>
          <w:sz w:val="24"/>
          <w:szCs w:val="24"/>
        </w:rPr>
        <w:t xml:space="preserve">150 · Gli atti parlamentari.</w:t>
      </w:r>
      <w:r>
        <w:rPr>
          <w:rFonts w:ascii="Barlow Semi Condensed" w:cs="Barlow Semi Condensed" w:eastAsia="Barlow Semi Condensed" w:hAnsi="Barlow Semi Condensed"/>
          <w:sz w:val="24"/>
          <w:szCs w:val="24"/>
        </w:rPr>
        <w:t xml:space="preserve"> I dibattiti della House of Assembly, raccolti nell'Hansard sudafricano, registrano parola per parola come ogni legge fu difesa e contestata in aula. Sono la fonte che distingue l'intenzione dichiarata dall'effetto prodotto, e l'una dall'altro non si deducono. Le annate stanno nella biblioteca del Parlamento a Città del Capo. Bersaglio: gli interventi sul Bantu Education Act nella sessione del 1953, letti integralmente.</w:t>
      </w:r>
    </w:p>
    <w:p>
      <w:pPr>
        <w:spacing w:after="120" w:line="276"/>
        <w:jc w:val="both"/>
      </w:pPr>
      <w:r>
        <w:rPr>
          <w:rFonts w:ascii="Barlow Semi Condensed" w:cs="Barlow Semi Condensed" w:eastAsia="Barlow Semi Condensed" w:hAnsi="Barlow Semi Condensed"/>
          <w:b/>
          <w:bCs/>
          <w:sz w:val="24"/>
          <w:szCs w:val="24"/>
        </w:rPr>
        <w:t xml:space="preserve">151 · La censura amministrata.</w:t>
      </w:r>
      <w:r>
        <w:rPr>
          <w:rFonts w:ascii="Barlow Semi Condensed" w:cs="Barlow Semi Condensed" w:eastAsia="Barlow Semi Condensed" w:hAnsi="Barlow Semi Condensed"/>
          <w:sz w:val="24"/>
          <w:szCs w:val="24"/>
        </w:rPr>
        <w:t xml:space="preserve"> Il Publications Act del 1974 istituì il Directorate of Publications, che vietava libri, film e riviste con decisioni motivate e pubblicate. Quelle motivazioni sono documenti di prim'ordine sullo Stato che le scriveva. Il fondo del Directorate è conservato presso i National Archives of South Africa e le decisioni sono indicizzate anche in raccolte universitarie. Bersaglio: le decisioni riguardanti la stampa straniera negli anni Settanta.</w:t>
      </w:r>
    </w:p>
    <w:p>
      <w:pPr>
        <w:spacing w:after="120" w:line="276"/>
        <w:jc w:val="both"/>
      </w:pPr>
      <w:r>
        <w:rPr>
          <w:rFonts w:ascii="Barlow Semi Condensed" w:cs="Barlow Semi Condensed" w:eastAsia="Barlow Semi Condensed" w:hAnsi="Barlow Semi Condensed"/>
          <w:b/>
          <w:bCs/>
          <w:sz w:val="24"/>
          <w:szCs w:val="24"/>
        </w:rPr>
        <w:t xml:space="preserve">152 · Il cronogramma dell'abrogazione.</w:t>
      </w:r>
      <w:r>
        <w:rPr>
          <w:rFonts w:ascii="Barlow Semi Condensed" w:cs="Barlow Semi Condensed" w:eastAsia="Barlow Semi Condensed" w:hAnsi="Barlow Semi Condensed"/>
          <w:sz w:val="24"/>
          <w:szCs w:val="24"/>
        </w:rPr>
        <w:t xml:space="preserve"> Fra il 1990 e il 1994 furono abrogati il Separate Amenities Act, il Group Areas Act, il Land Act e il Population Registration Act, quest'ultimo nel giugno 1991. La sequenza esatta conta: dire genericamente che l'apartheid finì nel 1994 confonde le elezioni con l'abrogazione degli atti. Ogni abrogazione ha una legge propria e una data propria, tutte reperibili nel Government Gazette.</w:t>
      </w:r>
    </w:p>
    <w:p>
      <w:pPr>
        <w:spacing w:after="120" w:line="276"/>
        <w:jc w:val="both"/>
      </w:pPr>
      <w:r>
        <w:rPr>
          <w:rFonts w:ascii="Barlow Semi Condensed" w:cs="Barlow Semi Condensed" w:eastAsia="Barlow Semi Condensed" w:hAnsi="Barlow Semi Condensed"/>
          <w:b/>
          <w:bCs/>
          <w:sz w:val="24"/>
          <w:szCs w:val="24"/>
        </w:rPr>
        <w:t xml:space="preserve">153 · Apartheid grande e apartheid minuta.</w:t>
      </w:r>
      <w:r>
        <w:rPr>
          <w:rFonts w:ascii="Barlow Semi Condensed" w:cs="Barlow Semi Condensed" w:eastAsia="Barlow Semi Condensed" w:hAnsi="Barlow Semi Condensed"/>
          <w:sz w:val="24"/>
          <w:szCs w:val="24"/>
        </w:rPr>
        <w:t xml:space="preserve"> La distinzione fra apartheid minuta, quella dei cartelli e delle panchine, e apartheid grande, quella territoriale e della cittadinanza, non è retorica ma classificatoria: la prima si abroga in un giorno, la seconda lascia una geografia. Regola operativa per l'intera opera: quando una fonte dice apartheid senza specificare quale dei due livelli descriva, il grado dell'informazione scende e la caduta va annotata.</w:t>
      </w:r>
    </w:p>
    <w:p>
      <w:pPr>
        <w:spacing w:after="120" w:line="276"/>
        <w:jc w:val="both"/>
      </w:pPr>
      <w:r>
        <w:rPr>
          <w:rFonts w:ascii="Barlow Semi Condensed" w:cs="Barlow Semi Condensed" w:eastAsia="Barlow Semi Condensed" w:hAnsi="Barlow Semi Condensed"/>
          <w:b/>
          <w:bCs/>
          <w:sz w:val="24"/>
          <w:szCs w:val="24"/>
        </w:rPr>
        <w:t xml:space="preserve">154 · La cornice non è la condotta.</w:t>
      </w:r>
      <w:r>
        <w:rPr>
          <w:rFonts w:ascii="Barlow Semi Condensed" w:cs="Barlow Semi Condensed" w:eastAsia="Barlow Semi Condensed" w:hAnsi="Barlow Semi Condensed"/>
          <w:sz w:val="24"/>
          <w:szCs w:val="24"/>
        </w:rPr>
        <w:t xml:space="preserve"> Questa serie descrive un ordinamento e non giudica le persone che vi vissero dentro. Nessuno dei nomi richiamati dalle altre serie è indicato qui come responsabile di alcunché, e nessuno risulta condannato in relazione ai fatti indagati. Vale la regola già scolpita nel manuale investigativo del corpus, al quarto blocco sui gradi: l'appartenenza a un Paese non è prova di condotta, e l'infanzia non è una scelta.</w:t>
      </w:r>
    </w:p>
    <w:p>
      <w:pPr>
        <w:spacing w:after="120" w:line="276"/>
        <w:jc w:val="both"/>
      </w:pPr>
      <w:r>
        <w:rPr>
          <w:rFonts w:ascii="Barlow Semi Condensed" w:cs="Barlow Semi Condensed" w:eastAsia="Barlow Semi Condensed" w:hAnsi="Barlow Semi Condensed"/>
          <w:b/>
          <w:bCs/>
          <w:sz w:val="24"/>
          <w:szCs w:val="24"/>
        </w:rPr>
        <w:t xml:space="preserve">155 · L'apartheid come crimine internazionale.</w:t>
      </w:r>
      <w:r>
        <w:rPr>
          <w:rFonts w:ascii="Barlow Semi Condensed" w:cs="Barlow Semi Condensed" w:eastAsia="Barlow Semi Condensed" w:hAnsi="Barlow Semi Condensed"/>
          <w:sz w:val="24"/>
          <w:szCs w:val="24"/>
        </w:rPr>
        <w:t xml:space="preserve"> La Convenzione internazionale sulla repressione e punizione del crimine di apartheid, aperta alla firma nel novembre 1973, e più tardi l'articolo sette dello Statuto di Roma del 1998 qualificarono l'apartheid come crimine contro l'umanità. Precisazione doverosa e non ornamentale: quelle qualificazioni riguardano condotte statali e individuali accertate in giudizio, non l'origine, la residenza o la nascita di chicchessia.</w:t>
      </w:r>
    </w:p>
    <w:p>
      <w:pPr>
        <w:spacing w:after="120" w:line="276"/>
        <w:jc w:val="both"/>
      </w:pPr>
      <w:r>
        <w:rPr>
          <w:rFonts w:ascii="Barlow Semi Condensed" w:cs="Barlow Semi Condensed" w:eastAsia="Barlow Semi Condensed" w:hAnsi="Barlow Semi Condensed"/>
          <w:b/>
          <w:bCs/>
          <w:sz w:val="24"/>
          <w:szCs w:val="24"/>
        </w:rPr>
        <w:t xml:space="preserve">156 · Il mandato di classe C.</w:t>
      </w:r>
      <w:r>
        <w:rPr>
          <w:rFonts w:ascii="Barlow Semi Condensed" w:cs="Barlow Semi Condensed" w:eastAsia="Barlow Semi Condensed" w:hAnsi="Barlow Semi Condensed"/>
          <w:sz w:val="24"/>
          <w:szCs w:val="24"/>
        </w:rPr>
        <w:t xml:space="preserve"> L'articolo ventidue del Patto della Società delle Nazioni istituì i mandati; l'Africa del Sud-Ovest, già colonia tedesca, fu affidata nel 1920 all'Unione Sudafricana come mandato di classe C, amministrabile come parte integrante del suo territorio ma non annessa. La distinzione fra amministrazione e sovranità è l'intero problema giuridico del secolo namibiano. Gli atti stanno nei League of Nations Archives, a Ginevra.</w:t>
      </w:r>
    </w:p>
    <w:p>
      <w:pPr>
        <w:spacing w:after="120" w:line="276"/>
        <w:jc w:val="both"/>
      </w:pPr>
      <w:r>
        <w:rPr>
          <w:rFonts w:ascii="Barlow Semi Condensed" w:cs="Barlow Semi Condensed" w:eastAsia="Barlow Semi Condensed" w:hAnsi="Barlow Semi Condensed"/>
          <w:b/>
          <w:bCs/>
          <w:sz w:val="24"/>
          <w:szCs w:val="24"/>
        </w:rPr>
        <w:t xml:space="preserve">157 · Il parere del millenovecentocinquanta.</w:t>
      </w:r>
      <w:r>
        <w:rPr>
          <w:rFonts w:ascii="Barlow Semi Condensed" w:cs="Barlow Semi Condensed" w:eastAsia="Barlow Semi Condensed" w:hAnsi="Barlow Semi Condensed"/>
          <w:sz w:val="24"/>
          <w:szCs w:val="24"/>
        </w:rPr>
        <w:t xml:space="preserve"> L'11 luglio 1950 la Corte internazionale di giustizia stabilì che il Sud Africa restava vincolato agli obblighi del mandato e non poteva modificarne unilateralmente lo statuto, pur non essendo obbligato a sottoporre il territorio all'amministrazione fiduciaria. Il testo integrale è nei Reports of Judgments della Corte, all'Aia. È la prima delle quattro pronunce che scandiscono la vicenda e va citata per data.</w:t>
      </w:r>
    </w:p>
    <w:p>
      <w:pPr>
        <w:spacing w:after="120" w:line="276"/>
        <w:jc w:val="both"/>
      </w:pPr>
      <w:r>
        <w:rPr>
          <w:rFonts w:ascii="Barlow Semi Condensed" w:cs="Barlow Semi Condensed" w:eastAsia="Barlow Semi Condensed" w:hAnsi="Barlow Semi Condensed"/>
          <w:b/>
          <w:bCs/>
          <w:sz w:val="24"/>
          <w:szCs w:val="24"/>
        </w:rPr>
        <w:t xml:space="preserve">158 · Le cause del millenovecentosessanta.</w:t>
      </w:r>
      <w:r>
        <w:rPr>
          <w:rFonts w:ascii="Barlow Semi Condensed" w:cs="Barlow Semi Condensed" w:eastAsia="Barlow Semi Condensed" w:hAnsi="Barlow Semi Condensed"/>
          <w:sz w:val="24"/>
          <w:szCs w:val="24"/>
        </w:rPr>
        <w:t xml:space="preserve"> Etiopia e Liberia convennero il Sud Africa davanti alla Corte dell'Aia nel 1960; nel 1962 la Corte affermò la propria competenza, nel luglio 1966 respinse le domande per difetto di interesse giuridico degli attori. La decisione divenne il detonatore politico della risoluzione approvata dall'Assemblea Generale pochi mesi dopo: divergenza fra piano giudiziario e piano politico, da riportare intera e da non sciogliere.</w:t>
      </w:r>
    </w:p>
    <w:p>
      <w:pPr>
        <w:spacing w:after="120" w:line="276"/>
        <w:jc w:val="both"/>
      </w:pPr>
      <w:r>
        <w:rPr>
          <w:rFonts w:ascii="Barlow Semi Condensed" w:cs="Barlow Semi Condensed" w:eastAsia="Barlow Semi Condensed" w:hAnsi="Barlow Semi Condensed"/>
          <w:b/>
          <w:bCs/>
          <w:sz w:val="24"/>
          <w:szCs w:val="24"/>
        </w:rPr>
        <w:t xml:space="preserve">159 · La risoluzione 2145 del 1966.</w:t>
      </w:r>
      <w:r>
        <w:rPr>
          <w:rFonts w:ascii="Barlow Semi Condensed" w:cs="Barlow Semi Condensed" w:eastAsia="Barlow Semi Condensed" w:hAnsi="Barlow Semi Condensed"/>
          <w:sz w:val="24"/>
          <w:szCs w:val="24"/>
        </w:rPr>
        <w:t xml:space="preserve"> Il 27 ottobre 1966 l'Assemblea Generale, con la risoluzione 2145 della ventunesima sessione, dichiarò decaduto il mandato sudafricano sull'Africa del Sud-Ovest e assunse la responsabilità diretta del territorio. È il documento che rende illegittima, nell'ordinamento internazionale, ogni presenza successiva. Testo e verbali della sessione stanno negli archivi delle Nazioni Unite a New York, nella serie dei documenti ufficiali dell'Assemblea.</w:t>
      </w:r>
    </w:p>
    <w:p>
      <w:pPr>
        <w:spacing w:after="120" w:line="276"/>
        <w:jc w:val="both"/>
      </w:pPr>
      <w:r>
        <w:rPr>
          <w:rFonts w:ascii="Barlow Semi Condensed" w:cs="Barlow Semi Condensed" w:eastAsia="Barlow Semi Condensed" w:hAnsi="Barlow Semi Condensed"/>
          <w:b/>
          <w:bCs/>
          <w:sz w:val="24"/>
          <w:szCs w:val="24"/>
        </w:rPr>
        <w:t xml:space="preserve">160 · Il Consiglio per la Namibia.</w:t>
      </w:r>
      <w:r>
        <w:rPr>
          <w:rFonts w:ascii="Barlow Semi Condensed" w:cs="Barlow Semi Condensed" w:eastAsia="Barlow Semi Condensed" w:hAnsi="Barlow Semi Condensed"/>
          <w:sz w:val="24"/>
          <w:szCs w:val="24"/>
        </w:rPr>
        <w:t xml:space="preserve"> Nel maggio 1967 l'Assemblea Generale creò il United Nations Council for South West Africa, che dal giugno 1968 prese il nome di Consiglio per la Namibia insieme al territorio. Fu un'amministrazione senza possesso: rilasciava documenti di viaggio e non controllava un chilometro quadrato. I suoi fascicoli sono nell'archivio delle Nazioni Unite e costituiscono la fonte diretta di ogni blocco su Rössing.</w:t>
      </w:r>
    </w:p>
    <w:p>
      <w:pPr>
        <w:spacing w:after="120" w:line="276"/>
        <w:jc w:val="both"/>
      </w:pPr>
      <w:r>
        <w:rPr>
          <w:rFonts w:ascii="Barlow Semi Condensed" w:cs="Barlow Semi Condensed" w:eastAsia="Barlow Semi Condensed" w:hAnsi="Barlow Semi Condensed"/>
          <w:b/>
          <w:bCs/>
          <w:sz w:val="24"/>
          <w:szCs w:val="24"/>
        </w:rPr>
        <w:t xml:space="preserve">161 · Le risoluzioni 264 e 276.</w:t>
      </w:r>
      <w:r>
        <w:rPr>
          <w:rFonts w:ascii="Barlow Semi Condensed" w:cs="Barlow Semi Condensed" w:eastAsia="Barlow Semi Condensed" w:hAnsi="Barlow Semi Condensed"/>
          <w:sz w:val="24"/>
          <w:szCs w:val="24"/>
        </w:rPr>
        <w:t xml:space="preserve"> Il Consiglio di Sicurezza intervenne con la risoluzione 264 del marzo 1969, che riconobbe la decadenza del mandato e ingiunse il ritiro, e con la 276 del gennaio 1970, che dichiarò illegittima la presenza sudafricana e invalidi gli atti compiuti. Fu la seconda a generare la richiesta di parere alla Corte. Si citano per numero e data, mai come generica condanna delle Nazioni Unite.</w:t>
      </w:r>
    </w:p>
    <w:p>
      <w:pPr>
        <w:spacing w:after="120" w:line="276"/>
        <w:jc w:val="both"/>
      </w:pPr>
      <w:r>
        <w:rPr>
          <w:rFonts w:ascii="Barlow Semi Condensed" w:cs="Barlow Semi Condensed" w:eastAsia="Barlow Semi Condensed" w:hAnsi="Barlow Semi Condensed"/>
          <w:b/>
          <w:bCs/>
          <w:sz w:val="24"/>
          <w:szCs w:val="24"/>
        </w:rPr>
        <w:t xml:space="preserve">162 · Il parere del ventuno giugno 1971.</w:t>
      </w:r>
      <w:r>
        <w:rPr>
          <w:rFonts w:ascii="Barlow Semi Condensed" w:cs="Barlow Semi Condensed" w:eastAsia="Barlow Semi Condensed" w:hAnsi="Barlow Semi Condensed"/>
          <w:sz w:val="24"/>
          <w:szCs w:val="24"/>
        </w:rPr>
        <w:t xml:space="preserve"> Il 21 giugno 1971 la Corte internazionale di giustizia affermò che la presenza sudafricana in Namibia era illegittima e che gli Stati membri avevano l'obbligo di astenersi da atti implicanti un riconoscimento. È il documento cardine per ogni questione di contratti, concessioni ed esportazioni dal territorio dopo quella data. Il testo integrale sta nei Reports della Corte per l'anno 1971, all'Aia.</w:t>
      </w:r>
    </w:p>
    <w:p>
      <w:pPr>
        <w:spacing w:after="120" w:line="276"/>
        <w:jc w:val="both"/>
      </w:pPr>
      <w:r>
        <w:rPr>
          <w:rFonts w:ascii="Barlow Semi Condensed" w:cs="Barlow Semi Condensed" w:eastAsia="Barlow Semi Condensed" w:hAnsi="Barlow Semi Condensed"/>
          <w:b/>
          <w:bCs/>
          <w:sz w:val="24"/>
          <w:szCs w:val="24"/>
        </w:rPr>
        <w:t xml:space="preserve">163 · Il Decreto numero uno.</w:t>
      </w:r>
      <w:r>
        <w:rPr>
          <w:rFonts w:ascii="Barlow Semi Condensed" w:cs="Barlow Semi Condensed" w:eastAsia="Barlow Semi Condensed" w:hAnsi="Barlow Semi Condensed"/>
          <w:sz w:val="24"/>
          <w:szCs w:val="24"/>
        </w:rPr>
        <w:t xml:space="preserve"> Il 27 settembre 1974 il Consiglio per la Namibia adottò il Decreto n. 1 a protezione delle risorse naturali, vietando estrazione ed esportazione senza autorizzazione del Consiglio e prevedendo la confisca dei minerali. È l'atto che colloca giuridicamente l'uranio namibiano degli anni Settanta. Il testo sta nei documenti ufficiali dell'Assemblea Generale; il quesito aperto è se e come sia mai stato eseguito.</w:t>
      </w:r>
    </w:p>
    <w:p>
      <w:pPr>
        <w:spacing w:after="120" w:line="276"/>
        <w:jc w:val="both"/>
      </w:pPr>
      <w:r>
        <w:rPr>
          <w:rFonts w:ascii="Barlow Semi Condensed" w:cs="Barlow Semi Condensed" w:eastAsia="Barlow Semi Condensed" w:hAnsi="Barlow Semi Condensed"/>
          <w:b/>
          <w:bCs/>
          <w:sz w:val="24"/>
          <w:szCs w:val="24"/>
        </w:rPr>
        <w:t xml:space="preserve">164 · La risoluzione 435 del 1978.</w:t>
      </w:r>
      <w:r>
        <w:rPr>
          <w:rFonts w:ascii="Barlow Semi Condensed" w:cs="Barlow Semi Condensed" w:eastAsia="Barlow Semi Condensed" w:hAnsi="Barlow Semi Condensed"/>
          <w:sz w:val="24"/>
          <w:szCs w:val="24"/>
        </w:rPr>
        <w:t xml:space="preserve"> Il 29 settembre 1978 il Consiglio di Sicurezza approvò con la risoluzione 435 il piano di transizione all'indipendenza namibiana, rimasto lettera morta per undici anni prima dell'attuazione avviata nel 1989. Lo scarto fra la data dell'atto e la data dell'esecuzione è esso stesso un dato storico. I materiali del negoziato stanno negli archivi ONU e in quelli dei cinque Stati del gruppo di contatto.</w:t>
      </w:r>
    </w:p>
    <w:p>
      <w:pPr>
        <w:spacing w:after="120" w:line="276"/>
        <w:jc w:val="both"/>
      </w:pPr>
      <w:r>
        <w:rPr>
          <w:rFonts w:ascii="Barlow Semi Condensed" w:cs="Barlow Semi Condensed" w:eastAsia="Barlow Semi Condensed" w:hAnsi="Barlow Semi Condensed"/>
          <w:b/>
          <w:bCs/>
          <w:sz w:val="24"/>
          <w:szCs w:val="24"/>
        </w:rPr>
        <w:t xml:space="preserve">165 · L'unico ponte con il corpus.</w:t>
      </w:r>
      <w:r>
        <w:rPr>
          <w:rFonts w:ascii="Barlow Semi Condensed" w:cs="Barlow Semi Condensed" w:eastAsia="Barlow Semi Condensed" w:hAnsi="Barlow Semi Condensed"/>
          <w:sz w:val="24"/>
          <w:szCs w:val="24"/>
        </w:rPr>
        <w:t xml:space="preserve"> Il solo aggancio documentato fra questa opera e il resto del corpus è il nodo E-16 della triangolazione Guevara-Moro: il discorso all'Assemblea Generale dell'11 dicembre 1964, dove l'apartheid sudafricano è denunciato per nome. La verifica meccanica condotta sugli altri Libri non trova occorrenze di Namibia né dei nomi delle serie successive. È uno Stato Zero d'insieme e va dichiarato in apertura, non nascosto. </w:t>
      </w:r>
      <w:r>
        <w:rPr>
          <w:rFonts w:ascii="Barlow Semi Condensed" w:cs="Barlow Semi Condensed" w:eastAsia="Barlow Semi Condensed" w:hAnsi="Barlow Semi Condensed"/>
          <w:i/>
          <w:iCs/>
          <w:sz w:val="24"/>
          <w:szCs w:val="24"/>
        </w:rPr>
        <w:t xml:space="preserve">(Verifica riferita al perimetro anteriore al 26 agosto 2026; per l'aggiornamento dopo l'ingresso del Libro quarto si veda il blocco 38.)</w:t>
      </w:r>
    </w:p>
    <w:p>
      <w:pPr>
        <w:spacing w:after="120" w:line="276"/>
        <w:jc w:val="both"/>
      </w:pPr>
      <w:r>
        <w:rPr>
          <w:rFonts w:ascii="Barlow Semi Condensed" w:cs="Barlow Semi Condensed" w:eastAsia="Barlow Semi Condensed" w:hAnsi="Barlow Semi Condensed"/>
          <w:b/>
          <w:bCs/>
          <w:sz w:val="24"/>
          <w:szCs w:val="24"/>
        </w:rPr>
        <w:t xml:space="preserve">166 · La commissione Odendaal.</w:t>
      </w:r>
      <w:r>
        <w:rPr>
          <w:rFonts w:ascii="Barlow Semi Condensed" w:cs="Barlow Semi Condensed" w:eastAsia="Barlow Semi Condensed" w:hAnsi="Barlow Semi Condensed"/>
          <w:sz w:val="24"/>
          <w:szCs w:val="24"/>
        </w:rPr>
        <w:t xml:space="preserve"> Il rapporto della commissione presieduta da Fox Odendaal — indagine chiusa a fine 1963, esiti consegnati agli inizi del 1964 — propose per l'Africa del Sud-Ovest dieci homeland etnici, riservando oltre metà del territorio, con quasi tutta la ricchezza mineraria e la fascia costiera, a un'area bianca che comprendeva Swakopmund. L'assetto amministrativo va detto per intero: l'area bianca conservava Amministratore e Assemblea legislativa, gli homeland passavano al governo centrale di Pretoria.</w:t>
      </w:r>
    </w:p>
    <w:p>
      <w:pPr>
        <w:spacing w:after="120" w:line="276"/>
        <w:jc w:val="both"/>
      </w:pPr>
      <w:r>
        <w:rPr>
          <w:rFonts w:ascii="Barlow Semi Condensed" w:cs="Barlow Semi Condensed" w:eastAsia="Barlow Semi Condensed" w:hAnsi="Barlow Semi Condensed"/>
          <w:b/>
          <w:bCs/>
          <w:sz w:val="24"/>
          <w:szCs w:val="24"/>
        </w:rPr>
        <w:t xml:space="preserve">167 · Il nome che cambia.</w:t>
      </w:r>
      <w:r>
        <w:rPr>
          <w:rFonts w:ascii="Barlow Semi Condensed" w:cs="Barlow Semi Condensed" w:eastAsia="Barlow Semi Condensed" w:hAnsi="Barlow Semi Condensed"/>
          <w:sz w:val="24"/>
          <w:szCs w:val="24"/>
        </w:rPr>
        <w:t xml:space="preserve"> Fino al 1968 le fonti scrivono South West Africa, dal giugno 1968 quelle delle Nazioni Unite scrivono Namibia, mentre Pretoria proseguì per anni con la denominazione antica. La regola pratica per lo spoglio d'archivio è cercare sempre entrambe le stringhe e datare la fonte dal nome che adopera: la scelta lessicale di un documento ne dichiara la provenienza politica prima ancora del contenuto.</w:t>
      </w:r>
    </w:p>
    <w:p>
      <w:pPr>
        <w:spacing w:after="120" w:line="276"/>
        <w:jc w:val="both"/>
      </w:pPr>
      <w:r>
        <w:rPr>
          <w:rFonts w:ascii="Barlow Semi Condensed" w:cs="Barlow Semi Condensed" w:eastAsia="Barlow Semi Condensed" w:hAnsi="Barlow Semi Condensed"/>
          <w:b/>
          <w:bCs/>
          <w:sz w:val="24"/>
          <w:szCs w:val="24"/>
        </w:rPr>
        <w:t xml:space="preserve">168 · Amministrata, non annessa.</w:t>
      </w:r>
      <w:r>
        <w:rPr>
          <w:rFonts w:ascii="Barlow Semi Condensed" w:cs="Barlow Semi Condensed" w:eastAsia="Barlow Semi Condensed" w:hAnsi="Barlow Semi Condensed"/>
          <w:sz w:val="24"/>
          <w:szCs w:val="24"/>
        </w:rPr>
        <w:t xml:space="preserve"> Il regime dell'Africa del Sud-Ovest non fu una provincia sudafricana e non fu uno Stato: fu un territorio amministrato in violazione dichiarata di un ordinamento internazionale. Ne discende una regola di lettura valida per ogni serie successiva: chi vi risiedeva non era cittadino di quel territorio, e la sua posizione giuridica va accertata sul passaporto e sui registri, non presunta dalla residenza.</w:t>
      </w:r>
    </w:p>
    <w:p>
      <w:pPr>
        <w:spacing w:after="120" w:line="276"/>
        <w:jc w:val="both"/>
      </w:pPr>
      <w:r>
        <w:rPr>
          <w:rFonts w:ascii="Barlow Semi Condensed" w:cs="Barlow Semi Condensed" w:eastAsia="Barlow Semi Condensed" w:hAnsi="Barlow Semi Condensed"/>
          <w:b/>
          <w:bCs/>
          <w:sz w:val="24"/>
          <w:szCs w:val="24"/>
        </w:rPr>
        <w:t xml:space="preserve">169 · Gli archivi di Ginevra.</w:t>
      </w:r>
      <w:r>
        <w:rPr>
          <w:rFonts w:ascii="Barlow Semi Condensed" w:cs="Barlow Semi Condensed" w:eastAsia="Barlow Semi Condensed" w:hAnsi="Barlow Semi Condensed"/>
          <w:sz w:val="24"/>
          <w:szCs w:val="24"/>
        </w:rPr>
        <w:t xml:space="preserve"> I fondi della Società delle Nazioni, conservati presso la Biblioteca delle Nazioni Unite a Ginevra, contengono i rapporti annuali che l'Unione Sudafricana presentò alla Commissione permanente dei mandati fino al 1939, con le repliche della Commissione stessa. Sono la fonte primaria sul primo ventennio del territorio e sono ordinati per sessione. Quesito: quali obiezioni furono formulate e in che modo furono chiuse.</w:t>
      </w:r>
    </w:p>
    <w:p>
      <w:pPr>
        <w:spacing w:after="120" w:line="276"/>
        <w:jc w:val="both"/>
      </w:pPr>
      <w:r>
        <w:rPr>
          <w:rFonts w:ascii="Barlow Semi Condensed" w:cs="Barlow Semi Condensed" w:eastAsia="Barlow Semi Condensed" w:hAnsi="Barlow Semi Condensed"/>
          <w:b/>
          <w:bCs/>
          <w:sz w:val="24"/>
          <w:szCs w:val="24"/>
        </w:rPr>
        <w:t xml:space="preserve">170 · Gli archivi dell'ONU a New York.</w:t>
      </w:r>
      <w:r>
        <w:rPr>
          <w:rFonts w:ascii="Barlow Semi Condensed" w:cs="Barlow Semi Condensed" w:eastAsia="Barlow Semi Condensed" w:hAnsi="Barlow Semi Condensed"/>
          <w:sz w:val="24"/>
          <w:szCs w:val="24"/>
        </w:rPr>
        <w:t xml:space="preserve"> L'Archives and Records Management Section delle Nazioni Unite conserva i fondi del Consiglio per la Namibia, del Fondo per la Namibia e dell'Istituto per la Namibia di Lusaka. Sono materiali poco frequentati dalla pubblicistica corrente e contengono le carte amministrative che nessun sito militante ha mai citato. Bersaglio: il carteggio del Consiglio con le società minerarie operanti nel territorio dopo il 1974.</w:t>
      </w:r>
    </w:p>
    <w:p>
      <w:pPr>
        <w:spacing w:after="120" w:line="276"/>
        <w:jc w:val="both"/>
      </w:pPr>
      <w:r>
        <w:rPr>
          <w:rFonts w:ascii="Barlow Semi Condensed" w:cs="Barlow Semi Condensed" w:eastAsia="Barlow Semi Condensed" w:hAnsi="Barlow Semi Condensed"/>
          <w:b/>
          <w:bCs/>
          <w:sz w:val="24"/>
          <w:szCs w:val="24"/>
        </w:rPr>
        <w:t xml:space="preserve">171 · Il contenzioso olandese sull'uranio.</w:t>
      </w:r>
      <w:r>
        <w:rPr>
          <w:rFonts w:ascii="Barlow Semi Condensed" w:cs="Barlow Semi Condensed" w:eastAsia="Barlow Semi Condensed" w:hAnsi="Barlow Semi Condensed"/>
          <w:sz w:val="24"/>
          <w:szCs w:val="24"/>
        </w:rPr>
        <w:t xml:space="preserve"> Il Consiglio per la Namibia tentò negli anni Ottanta di far valere il Decreto n. 1 davanti a un giudice olandese contro un'impresa di arricchimento dell'uranio: è l'unico caso noto di esecuzione giudiziaria del decreto, e si concluse senza accoglimento. Data dell'atto introduttivo e dispositivo della decisione restano da accertare presso le corti dei Paesi Bassi: Stato Zero circoscritto e chiudibile.</w:t>
      </w:r>
    </w:p>
    <w:p>
      <w:pPr>
        <w:spacing w:after="120" w:line="276"/>
        <w:jc w:val="both"/>
      </w:pPr>
      <w:r>
        <w:rPr>
          <w:rFonts w:ascii="Barlow Semi Condensed" w:cs="Barlow Semi Condensed" w:eastAsia="Barlow Semi Condensed" w:hAnsi="Barlow Semi Condensed"/>
          <w:b/>
          <w:bCs/>
          <w:sz w:val="24"/>
          <w:szCs w:val="24"/>
        </w:rPr>
        <w:t xml:space="preserve">172 · L'indipendenza del ventuno marzo 1990.</w:t>
      </w:r>
      <w:r>
        <w:rPr>
          <w:rFonts w:ascii="Barlow Semi Condensed" w:cs="Barlow Semi Condensed" w:eastAsia="Barlow Semi Condensed" w:hAnsi="Barlow Semi Condensed"/>
          <w:sz w:val="24"/>
          <w:szCs w:val="24"/>
        </w:rPr>
        <w:t xml:space="preserve"> La Namibia divenne indipendente il 21 marzo 1990, dopo le elezioni per l'Assemblea costituente del novembre 1989 sorvegliate dalle Nazioni Unite. Ogni blocco che riguardi il territorio va datato rispetto a questa soglia, perché prima di essa il diritto applicabile era quello di un'occupazione contestata. Gli atti costituenti stanno ai National Archives of Namibia e negli archivi delle Nazioni Unite.</w:t>
      </w:r>
    </w:p>
    <w:p>
      <w:pPr>
        <w:spacing w:after="120" w:line="276"/>
        <w:jc w:val="both"/>
      </w:pPr>
      <w:r>
        <w:rPr>
          <w:rFonts w:ascii="Barlow Semi Condensed" w:cs="Barlow Semi Condensed" w:eastAsia="Barlow Semi Condensed" w:hAnsi="Barlow Semi Condensed"/>
          <w:b/>
          <w:bCs/>
          <w:sz w:val="24"/>
          <w:szCs w:val="24"/>
        </w:rPr>
        <w:t xml:space="preserve">173 · UNTAG e la transizione.</w:t>
      </w:r>
      <w:r>
        <w:rPr>
          <w:rFonts w:ascii="Barlow Semi Condensed" w:cs="Barlow Semi Condensed" w:eastAsia="Barlow Semi Condensed" w:hAnsi="Barlow Semi Condensed"/>
          <w:sz w:val="24"/>
          <w:szCs w:val="24"/>
        </w:rPr>
        <w:t xml:space="preserve"> Lo United Nations Transition Assistance Group operò fra l'aprile 1989 e il marzo 1990 con componenti civili, di polizia e militari, e i suoi rapporti al Consiglio di Sicurezza documentano giorno per giorno la fine dell'amministrazione sudafricana. Sono documenti pubblici, numerati e datati, e costituiscono la migliore cronologia disponibile della transizione: si citano per segnatura, non per ricordo giornalistico o per sintesi altrui.</w:t>
      </w:r>
    </w:p>
    <w:p>
      <w:pPr>
        <w:spacing w:after="120" w:line="276"/>
        <w:jc w:val="both"/>
      </w:pPr>
      <w:r>
        <w:rPr>
          <w:rFonts w:ascii="Barlow Semi Condensed" w:cs="Barlow Semi Condensed" w:eastAsia="Barlow Semi Condensed" w:hAnsi="Barlow Semi Condensed"/>
          <w:b/>
          <w:bCs/>
          <w:sz w:val="24"/>
          <w:szCs w:val="24"/>
        </w:rPr>
        <w:t xml:space="preserve">174 · I National Archives of Namibia.</w:t>
      </w:r>
      <w:r>
        <w:rPr>
          <w:rFonts w:ascii="Barlow Semi Condensed" w:cs="Barlow Semi Condensed" w:eastAsia="Barlow Semi Condensed" w:hAnsi="Barlow Semi Condensed"/>
          <w:sz w:val="24"/>
          <w:szCs w:val="24"/>
        </w:rPr>
        <w:t xml:space="preserve"> L'archivio nazionale namibiano di Windhoek conserva i fondi dell'amministrazione coloniale tedesca, con la sigla ZBU per il governo imperiale, e quelli dell'amministrazione sudafricana, con la sigla SWAA. È la sede che chiuderebbe la maggior parte dei quesiti anagrafici e amministrativi delle serie successive, dai registri di residenza alle licenze minerarie. Nessun blocco può dirsi esaurito prima di esservi passato.</w:t>
      </w:r>
    </w:p>
    <w:p>
      <w:pPr>
        <w:spacing w:after="120" w:line="276"/>
        <w:jc w:val="both"/>
      </w:pPr>
      <w:r>
        <w:rPr>
          <w:rFonts w:ascii="Barlow Semi Condensed" w:cs="Barlow Semi Condensed" w:eastAsia="Barlow Semi Condensed" w:hAnsi="Barlow Semi Condensed"/>
          <w:b/>
          <w:bCs/>
          <w:sz w:val="24"/>
          <w:szCs w:val="24"/>
        </w:rPr>
        <w:t xml:space="preserve">175 · I fondi tedeschi e il genocidio.</w:t>
      </w:r>
      <w:r>
        <w:rPr>
          <w:rFonts w:ascii="Barlow Semi Condensed" w:cs="Barlow Semi Condensed" w:eastAsia="Barlow Semi Condensed" w:hAnsi="Barlow Semi Condensed"/>
          <w:sz w:val="24"/>
          <w:szCs w:val="24"/>
        </w:rPr>
        <w:t xml:space="preserve"> Fra il 1904 e il 1908 le truppe imperiali tedesche condussero contro Herero e Nama una campagna di sterminio, con campi di internamento anche a Swakopmund; la Germania ne ha riconosciuto pubblicamente la natura genocidiaria nel 2021. È l'antecedente coloniale del territorio e va tenuto distinto dall'apartheid sudafricano, ordinamento diverso e successivo. Le carte stanno nel fondo ZBU a Windhoek e al Bundesarchiv.</w:t>
      </w:r>
    </w:p>
    <w:p>
      <w:pPr>
        <w:spacing w:after="120" w:line="276"/>
        <w:jc w:val="both"/>
      </w:pPr>
      <w:r>
        <w:rPr>
          <w:rFonts w:ascii="Barlow Semi Condensed" w:cs="Barlow Semi Condensed" w:eastAsia="Barlow Semi Condensed" w:hAnsi="Barlow Semi Condensed"/>
          <w:b/>
          <w:bCs/>
          <w:sz w:val="24"/>
          <w:szCs w:val="24"/>
        </w:rPr>
        <w:t xml:space="preserve">176 · Swakopmund fondata nel 1892.</w:t>
      </w:r>
      <w:r>
        <w:rPr>
          <w:rFonts w:ascii="Barlow Semi Condensed" w:cs="Barlow Semi Condensed" w:eastAsia="Barlow Semi Condensed" w:hAnsi="Barlow Semi Condensed"/>
          <w:sz w:val="24"/>
          <w:szCs w:val="24"/>
        </w:rPr>
        <w:t xml:space="preserve"> Swakopmund nacque nel 1892 come scalo marittimo della colonia tedesca e conservò per un secolo lingua, architettura e istituzioni tedesche, anche sotto amministrazione sudafricana. Il fatto è pubblico e verificabile nei registri municipali e nella stampa locale in lingua tedesca, la Allgemeine Zeitung di Windhoek. Serve alle serie successive come contesto, e soltanto come contesto: una città non trasmette opinioni a chi vi abita.</w:t>
      </w:r>
    </w:p>
    <w:p>
      <w:pPr>
        <w:spacing w:after="120" w:line="276"/>
        <w:jc w:val="both"/>
      </w:pPr>
      <w:r>
        <w:rPr>
          <w:rFonts w:ascii="Barlow Semi Condensed" w:cs="Barlow Semi Condensed" w:eastAsia="Barlow Semi Condensed" w:hAnsi="Barlow Semi Condensed"/>
          <w:b/>
          <w:bCs/>
          <w:sz w:val="24"/>
          <w:szCs w:val="24"/>
        </w:rPr>
        <w:t xml:space="preserve">177 · La miniera di Rössing.</w:t>
      </w:r>
      <w:r>
        <w:rPr>
          <w:rFonts w:ascii="Barlow Semi Condensed" w:cs="Barlow Semi Condensed" w:eastAsia="Barlow Semi Condensed" w:hAnsi="Barlow Semi Condensed"/>
          <w:sz w:val="24"/>
          <w:szCs w:val="24"/>
        </w:rPr>
        <w:t xml:space="preserve"> La Rössing Uranium Limited, controllata dal gruppo Rio Tinto Zinc, costruì fra il 1974 e il 1976 nel deserto del Namib una miniera di uranio a cielo aperto fra le maggiori del mondo, entrata in produzione nel 1976. Il dato è pubblico e documentato nei bilanci del gruppo. Ogni ulteriore affermazione sulla destinazione del minerale richiede un contratto nominato, non una deduzione geografica.</w:t>
      </w:r>
    </w:p>
    <w:p>
      <w:pPr>
        <w:spacing w:after="120" w:line="276"/>
        <w:jc w:val="both"/>
      </w:pPr>
      <w:r>
        <w:rPr>
          <w:rFonts w:ascii="Barlow Semi Condensed" w:cs="Barlow Semi Condensed" w:eastAsia="Barlow Semi Condensed" w:hAnsi="Barlow Semi Condensed"/>
          <w:b/>
          <w:bCs/>
          <w:sz w:val="24"/>
          <w:szCs w:val="24"/>
        </w:rPr>
        <w:t xml:space="preserve">178 · Il contratto britannico.</w:t>
      </w:r>
      <w:r>
        <w:rPr>
          <w:rFonts w:ascii="Barlow Semi Condensed" w:cs="Barlow Semi Condensed" w:eastAsia="Barlow Semi Condensed" w:hAnsi="Barlow Semi Condensed"/>
          <w:sz w:val="24"/>
          <w:szCs w:val="24"/>
        </w:rPr>
        <w:t xml:space="preserve"> Alla fine degli anni Sessanta la United Kingdom Atomic Energy Authority stipulò con Rössing una fornitura pluriennale di ossido di uranio, divenuta negli anni Settanta oggetto di controversia parlamentare a Westminster per la compatibilità con le pronunce delle Nazioni Unite. Gli atti relativi stanno nei fondi dell'Autorità e nei dibattiti dell'Hansard, ai National Archives di Kew, sede già battuta dal cantiere britannico del corpus.</w:t>
      </w:r>
    </w:p>
    <w:p>
      <w:pPr>
        <w:spacing w:after="120" w:line="276"/>
        <w:jc w:val="both"/>
      </w:pPr>
      <w:r>
        <w:rPr>
          <w:rFonts w:ascii="Barlow Semi Condensed" w:cs="Barlow Semi Condensed" w:eastAsia="Barlow Semi Condensed" w:hAnsi="Barlow Semi Condensed"/>
          <w:b/>
          <w:bCs/>
          <w:sz w:val="24"/>
          <w:szCs w:val="24"/>
        </w:rPr>
        <w:t xml:space="preserve">179 · I depositi societari di Rössing.</w:t>
      </w:r>
      <w:r>
        <w:rPr>
          <w:rFonts w:ascii="Barlow Semi Condensed" w:cs="Barlow Semi Condensed" w:eastAsia="Barlow Semi Condensed" w:hAnsi="Barlow Semi Condensed"/>
          <w:sz w:val="24"/>
          <w:szCs w:val="24"/>
        </w:rPr>
        <w:t xml:space="preserve"> L'esistenza societaria si accerta sui registri: la Business and Intellectual Property Authority namibiana per Rössing Uranium Limited, Companies House per le società britanniche del gruppo, i bilanci annuali per la catena di controllo. È il metodo che l'opera applica anche altrove, dai depositi presso la SEC statunitense ai registri della CIPC sudafricana. Chi discute di una miniera senza il suo estratto camerale discute di un'immagine.</w:t>
      </w:r>
    </w:p>
    <w:p>
      <w:pPr>
        <w:spacing w:after="120" w:line="276"/>
        <w:jc w:val="both"/>
      </w:pPr>
      <w:r>
        <w:rPr>
          <w:rFonts w:ascii="Barlow Semi Condensed" w:cs="Barlow Semi Condensed" w:eastAsia="Barlow Semi Condensed" w:hAnsi="Barlow Semi Condensed"/>
          <w:b/>
          <w:bCs/>
          <w:sz w:val="24"/>
          <w:szCs w:val="24"/>
        </w:rPr>
        <w:t xml:space="preserve">180 · Il datore di lavoro da nominare.</w:t>
      </w:r>
      <w:r>
        <w:rPr>
          <w:rFonts w:ascii="Barlow Semi Condensed" w:cs="Barlow Semi Condensed" w:eastAsia="Barlow Semi Condensed" w:hAnsi="Barlow Semi Condensed"/>
          <w:sz w:val="24"/>
          <w:szCs w:val="24"/>
        </w:rPr>
        <w:t xml:space="preserve"> Delle imprese impegnate nel cantiere di Rössing fra il 1975 e il 1977 i nomi sono noti solo in parte, e nessuna va attribuita per congettura a un singolo lavoratore. La lacuna si verbalizza come Stato Zero: manca l'elenco degli appaltatori con le rispettive commesse. La chiuderebbero gli archivi aziendali di Rössing e i registri d'appalto ai National Archives of Namibia.</w:t>
      </w:r>
    </w:p>
    <w:p>
      <w:pPr>
        <w:spacing w:after="120" w:line="276"/>
        <w:jc w:val="both"/>
      </w:pPr>
      <w:r>
        <w:rPr>
          <w:rFonts w:ascii="Barlow Semi Condensed" w:cs="Barlow Semi Condensed" w:eastAsia="Barlow Semi Condensed" w:hAnsi="Barlow Semi Condensed"/>
          <w:b/>
          <w:bCs/>
          <w:sz w:val="24"/>
          <w:szCs w:val="24"/>
        </w:rPr>
        <w:t xml:space="preserve">181 · Il registro comunale di Swakopmund.</w:t>
      </w:r>
      <w:r>
        <w:rPr>
          <w:rFonts w:ascii="Barlow Semi Condensed" w:cs="Barlow Semi Condensed" w:eastAsia="Barlow Semi Condensed" w:hAnsi="Barlow Semi Condensed"/>
          <w:sz w:val="24"/>
          <w:szCs w:val="24"/>
        </w:rPr>
        <w:t xml:space="preserve"> Le residenze si provano con i registri e non con le interviste: il municipio di Swakopmund e l'amministrazione distrettuale conservavano ruoli di residenza, utenze e liste elettorali per la popolazione bianca. Quesito circoscritto ed eseguibile: la verifica documentale delle presenze anagrafiche negli anni centrali del decennio, con verbale anche in caso di esito nullo. Sede: archivio comunale e fondo SWAA a Windhoek.</w:t>
      </w:r>
    </w:p>
    <w:p>
      <w:pPr>
        <w:spacing w:after="120" w:line="276"/>
        <w:jc w:val="both"/>
      </w:pPr>
      <w:r>
        <w:rPr>
          <w:rFonts w:ascii="Barlow Semi Condensed" w:cs="Barlow Semi Condensed" w:eastAsia="Barlow Semi Condensed" w:hAnsi="Barlow Semi Condensed"/>
          <w:b/>
          <w:bCs/>
          <w:sz w:val="24"/>
          <w:szCs w:val="24"/>
        </w:rPr>
        <w:t xml:space="preserve">182 · Arandis, la township della miniera.</w:t>
      </w:r>
      <w:r>
        <w:rPr>
          <w:rFonts w:ascii="Barlow Semi Condensed" w:cs="Barlow Semi Condensed" w:eastAsia="Barlow Semi Condensed" w:hAnsi="Barlow Semi Condensed"/>
          <w:sz w:val="24"/>
          <w:szCs w:val="24"/>
        </w:rPr>
        <w:t xml:space="preserve"> La forza lavoro nera di Rössing fu alloggiata ad Arandis, insediamento costruito a distanza dalla miniera e separato dalle aree residenziali bianche di Swakopmund e di Walvis Bay. La geografia dell'insediamento è essa stessa un documento sull'ordinamento del lavoro. Planimetrie e concessioni fondiarie sono reperibili nei fondi dell'amministrazione territoriale conservati ai National Archives of Namibia, e non risultano mai citati dalla pubblicistica corrente.</w:t>
      </w:r>
    </w:p>
    <w:p>
      <w:pPr>
        <w:spacing w:after="120" w:line="276"/>
        <w:jc w:val="both"/>
      </w:pPr>
      <w:r>
        <w:rPr>
          <w:rFonts w:ascii="Barlow Semi Condensed" w:cs="Barlow Semi Condensed" w:eastAsia="Barlow Semi Condensed" w:hAnsi="Barlow Semi Condensed"/>
          <w:b/>
          <w:bCs/>
          <w:sz w:val="24"/>
          <w:szCs w:val="24"/>
        </w:rPr>
        <w:t xml:space="preserve">183 · Il lavoro a contratto.</w:t>
      </w:r>
      <w:r>
        <w:rPr>
          <w:rFonts w:ascii="Barlow Semi Condensed" w:cs="Barlow Semi Condensed" w:eastAsia="Barlow Semi Condensed" w:hAnsi="Barlow Semi Condensed"/>
          <w:sz w:val="24"/>
          <w:szCs w:val="24"/>
        </w:rPr>
        <w:t xml:space="preserve"> Fino al 1972 il reclutamento della manodopera africana in Africa del Sud-Ovest passò per la South West Africa Native Labour Association, che assegnava i lavoratori ai datori con contratti a termine e senza scelta della destinazione. È la cornice di ogni impiego minerario del territorio e va nominata per capire di che cosa si parli dicendo occupazione. Documentazione nel fondo SWAA, a Windhoek.</w:t>
      </w:r>
    </w:p>
    <w:p>
      <w:pPr>
        <w:spacing w:after="120" w:line="276"/>
        <w:jc w:val="both"/>
      </w:pPr>
      <w:r>
        <w:rPr>
          <w:rFonts w:ascii="Barlow Semi Condensed" w:cs="Barlow Semi Condensed" w:eastAsia="Barlow Semi Condensed" w:hAnsi="Barlow Semi Condensed"/>
          <w:b/>
          <w:bCs/>
          <w:sz w:val="24"/>
          <w:szCs w:val="24"/>
        </w:rPr>
        <w:t xml:space="preserve">184 · Lo sciopero del 1971.</w:t>
      </w:r>
      <w:r>
        <w:rPr>
          <w:rFonts w:ascii="Barlow Semi Condensed" w:cs="Barlow Semi Condensed" w:eastAsia="Barlow Semi Condensed" w:hAnsi="Barlow Semi Condensed"/>
          <w:sz w:val="24"/>
          <w:szCs w:val="24"/>
        </w:rPr>
        <w:t xml:space="preserve"> Fra il dicembre 1971 e il gennaio 1972 decine di migliaia di lavoratori a contratto scioperarono contro il sistema di reclutamento, ottenendone la riforma formale. È il maggiore evento sociale del territorio nel decennio che precede la costruzione di Rössing e nessuna cronologia del cantiere può ometterlo. Gli atti di polizia e le relazioni amministrative stanno nel fondo SWAA ai National Archives of Namibia.</w:t>
      </w:r>
    </w:p>
    <w:p>
      <w:pPr>
        <w:spacing w:after="120" w:line="276"/>
        <w:jc w:val="both"/>
      </w:pPr>
      <w:r>
        <w:rPr>
          <w:rFonts w:ascii="Barlow Semi Condensed" w:cs="Barlow Semi Condensed" w:eastAsia="Barlow Semi Condensed" w:hAnsi="Barlow Semi Condensed"/>
          <w:b/>
          <w:bCs/>
          <w:sz w:val="24"/>
          <w:szCs w:val="24"/>
        </w:rPr>
        <w:t xml:space="preserve">185 · La tesi nucleare è di piano tre.</w:t>
      </w:r>
      <w:r>
        <w:rPr>
          <w:rFonts w:ascii="Barlow Semi Condensed" w:cs="Barlow Semi Condensed" w:eastAsia="Barlow Semi Condensed" w:hAnsi="Barlow Semi Condensed"/>
          <w:sz w:val="24"/>
          <w:szCs w:val="24"/>
        </w:rPr>
        <w:t xml:space="preserve"> Che l'uranio di Rössing alimentasse il programma nucleare militare sudafricano è affermazione circolante su fonti militanti prive di documento di provenienza: è piano tre secondo la regola dei tre piani, e quest'opera non la adotta né la ripete come acquisita. Resta un bersaglio legittimo di verifica, purché eseguito nelle sedi giuste e con l'esito pubblicato qualunque sia, compreso l'esito negativo.</w:t>
      </w:r>
    </w:p>
    <w:p>
      <w:pPr>
        <w:spacing w:after="120" w:line="276"/>
        <w:jc w:val="both"/>
      </w:pPr>
      <w:r>
        <w:rPr>
          <w:rFonts w:ascii="Barlow Semi Condensed" w:cs="Barlow Semi Condensed" w:eastAsia="Barlow Semi Condensed" w:hAnsi="Barlow Semi Condensed"/>
          <w:b/>
          <w:bCs/>
          <w:sz w:val="24"/>
          <w:szCs w:val="24"/>
        </w:rPr>
        <w:t xml:space="preserve">186 · Che cosa chiuderebbe la tesi nucleare.</w:t>
      </w:r>
      <w:r>
        <w:rPr>
          <w:rFonts w:ascii="Barlow Semi Condensed" w:cs="Barlow Semi Condensed" w:eastAsia="Barlow Semi Condensed" w:hAnsi="Barlow Semi Condensed"/>
          <w:sz w:val="24"/>
          <w:szCs w:val="24"/>
        </w:rPr>
        <w:t xml:space="preserve"> Il quesito si chiuderebbe in un senso o nell'altro con documenti di provenienza: i contratti di fornitura di Rössing con gli acquirenti nominati, i registri dell'Atomic Energy Board sudafricano presso i National Archives of South Africa, le carte di salvaguardia dell'Agenzia internazionale per l'energia atomica a Vienna e i materiali statunitensi declassificati. Finché quei fascicoli non sono letti, l'affermazione resta priva di grado.</w:t>
      </w:r>
    </w:p>
    <w:p>
      <w:pPr>
        <w:spacing w:after="120" w:line="276"/>
        <w:jc w:val="both"/>
      </w:pPr>
      <w:r>
        <w:rPr>
          <w:rFonts w:ascii="Barlow Semi Condensed" w:cs="Barlow Semi Condensed" w:eastAsia="Barlow Semi Condensed" w:hAnsi="Barlow Semi Condensed"/>
          <w:b/>
          <w:bCs/>
          <w:sz w:val="24"/>
          <w:szCs w:val="24"/>
        </w:rPr>
        <w:t xml:space="preserve">187 · Valindaba non è Rössing.</w:t>
      </w:r>
      <w:r>
        <w:rPr>
          <w:rFonts w:ascii="Barlow Semi Condensed" w:cs="Barlow Semi Condensed" w:eastAsia="Barlow Semi Condensed" w:hAnsi="Barlow Semi Condensed"/>
          <w:sz w:val="24"/>
          <w:szCs w:val="24"/>
        </w:rPr>
        <w:t xml:space="preserve"> Il programma di arricchimento sudafricano ebbe sede a Valindaba, presso Pelindaba a ovest di Pretoria, e si alimentò di uranio sudafricano estratto come sottoprodotto dell'oro nel Witwatersrand. La distinzione tecnica e geografica è dirimente e va ripetuta ogni volta: confondere una miniera namibiana con un impianto sudafricano è l'errore che rende inutilizzabile gran parte della letteratura reperibile in rete.</w:t>
      </w:r>
    </w:p>
    <w:p>
      <w:pPr>
        <w:spacing w:after="120" w:line="276"/>
        <w:jc w:val="both"/>
      </w:pPr>
      <w:r>
        <w:rPr>
          <w:rFonts w:ascii="Barlow Semi Condensed" w:cs="Barlow Semi Condensed" w:eastAsia="Barlow Semi Condensed" w:hAnsi="Barlow Semi Condensed"/>
          <w:b/>
          <w:bCs/>
          <w:sz w:val="24"/>
          <w:szCs w:val="24"/>
        </w:rPr>
        <w:t xml:space="preserve">188 · Il sito del Kalahari.</w:t>
      </w:r>
      <w:r>
        <w:rPr>
          <w:rFonts w:ascii="Barlow Semi Condensed" w:cs="Barlow Semi Condensed" w:eastAsia="Barlow Semi Condensed" w:hAnsi="Barlow Semi Condensed"/>
          <w:sz w:val="24"/>
          <w:szCs w:val="24"/>
        </w:rPr>
        <w:t xml:space="preserve"> Nell'agosto 1977 ricognizioni satellitari sovietiche e statunitensi individuarono nel deserto del Kalahari, presso Vastrap, un allestimento interpretato come sito per un esperimento nucleare, e le pressioni diplomatiche ne fecero cessare i lavori. È un fatto pubblico, datato e documentato nelle carte diplomatiche statunitensi declassificate. Non dice nulla sulla provenienza del materiale fissile, e non va adoperato per dedurla.</w:t>
      </w:r>
    </w:p>
    <w:p>
      <w:pPr>
        <w:spacing w:after="120" w:line="276"/>
        <w:jc w:val="both"/>
      </w:pPr>
      <w:r>
        <w:rPr>
          <w:rFonts w:ascii="Barlow Semi Condensed" w:cs="Barlow Semi Condensed" w:eastAsia="Barlow Semi Condensed" w:hAnsi="Barlow Semi Condensed"/>
          <w:b/>
          <w:bCs/>
          <w:sz w:val="24"/>
          <w:szCs w:val="24"/>
        </w:rPr>
        <w:t xml:space="preserve">189 · L'evento Vela del 1979.</w:t>
      </w:r>
      <w:r>
        <w:rPr>
          <w:rFonts w:ascii="Barlow Semi Condensed" w:cs="Barlow Semi Condensed" w:eastAsia="Barlow Semi Condensed" w:hAnsi="Barlow Semi Condensed"/>
          <w:sz w:val="24"/>
          <w:szCs w:val="24"/>
        </w:rPr>
        <w:t xml:space="preserve"> Il 22 settembre 1979 un satellite statunitense della serie Vela registrò nell'Atlantico meridionale un doppio lampo compatibile con un'esplosione nucleare; la commissione scientifica incaricata non giunse a conclusione univoca e la controversia dura da decenni. Va riportata come divergenza irrisolta, non sciolta in una direzione. Gli atti stanno al National Security Archive di Washington e nei fondi declassificati del Dipartimento di Stato.</w:t>
      </w:r>
    </w:p>
    <w:p>
      <w:pPr>
        <w:spacing w:after="120" w:line="276"/>
        <w:jc w:val="both"/>
      </w:pPr>
      <w:r>
        <w:rPr>
          <w:rFonts w:ascii="Barlow Semi Condensed" w:cs="Barlow Semi Condensed" w:eastAsia="Barlow Semi Condensed" w:hAnsi="Barlow Semi Condensed"/>
          <w:b/>
          <w:bCs/>
          <w:sz w:val="24"/>
          <w:szCs w:val="24"/>
        </w:rPr>
        <w:t xml:space="preserve">190 · Vivere in un luogo non è aderire.</w:t>
      </w:r>
      <w:r>
        <w:rPr>
          <w:rFonts w:ascii="Barlow Semi Condensed" w:cs="Barlow Semi Condensed" w:eastAsia="Barlow Semi Condensed" w:hAnsi="Barlow Semi Condensed"/>
          <w:sz w:val="24"/>
          <w:szCs w:val="24"/>
        </w:rPr>
        <w:t xml:space="preserve"> Un bambino che abita in una città mineraria non partecipa a una politica mineraria, e un ingegnere assunto da un'impresa non ne condivide per ciò stesso le committenze. La regola è la medesima che il corpus applica ai propri nodi italiani: la contemporaneità non è prova di nesso e la coabitazione non è concorso. Chi salta questo passaggio non fa storia, fa attribuzione.</w:t>
      </w:r>
    </w:p>
    <w:p>
      <w:pPr>
        <w:spacing w:after="120" w:line="276"/>
        <w:jc w:val="both"/>
      </w:pPr>
      <w:r>
        <w:rPr>
          <w:rFonts w:ascii="Barlow Semi Condensed" w:cs="Barlow Semi Condensed" w:eastAsia="Barlow Semi Condensed" w:hAnsi="Barlow Semi Condensed"/>
          <w:b/>
          <w:bCs/>
          <w:sz w:val="24"/>
          <w:szCs w:val="24"/>
        </w:rPr>
        <w:t xml:space="preserve">191 · Il bersaglio di smentita namibiano.</w:t>
      </w:r>
      <w:r>
        <w:rPr>
          <w:rFonts w:ascii="Barlow Semi Condensed" w:cs="Barlow Semi Condensed" w:eastAsia="Barlow Semi Condensed" w:hAnsi="Barlow Semi Condensed"/>
          <w:sz w:val="24"/>
          <w:szCs w:val="24"/>
        </w:rPr>
        <w:t xml:space="preserve"> La tesi di continuità che quest'opera mette alla prova cadrebbe, per il segmento namibiano, se emergessero documenti che collocano quegli anni di residenza fuori dal cantiere di Rössing, o che attestano un impiego presso committenti estranei al settore estrattivo. Tali documenti si cercano negli stessi luoghi che li confermerebbero, e il ricercatore deve dichiarare in anticipo che cosa accetterebbe come smentita.</w:t>
      </w:r>
    </w:p>
    <w:p>
      <w:pPr>
        <w:spacing w:after="120" w:line="276"/>
        <w:jc w:val="both"/>
      </w:pPr>
      <w:r>
        <w:rPr>
          <w:rFonts w:ascii="Barlow Semi Condensed" w:cs="Barlow Semi Condensed" w:eastAsia="Barlow Semi Condensed" w:hAnsi="Barlow Semi Condensed"/>
          <w:b/>
          <w:bCs/>
          <w:sz w:val="24"/>
          <w:szCs w:val="24"/>
        </w:rPr>
        <w:t xml:space="preserve">192 · La scuola preparatoria di Johannesburg.</w:t>
      </w:r>
      <w:r>
        <w:rPr>
          <w:rFonts w:ascii="Barlow Semi Condensed" w:cs="Barlow Semi Condensed" w:eastAsia="Barlow Semi Condensed" w:hAnsi="Barlow Semi Condensed"/>
          <w:sz w:val="24"/>
          <w:szCs w:val="24"/>
        </w:rPr>
        <w:t xml:space="preserve"> È fatto pubblico, riferito dall'interessato e ripreso dalla biografia di Max Chafkin, la frequenza a Johannesburg di una scuola preparatoria riservata ai bianchi nella seconda metà degli anni Settanta. Il fatto è di per sé neutro, perché nel Sud Africa di allora ogni scuola era razzialmente riservata per legge. Il bersaglio documentale è l'identificazione dell'istituto e la consultazione dei suoi registri d'iscrizione.</w:t>
      </w:r>
    </w:p>
    <w:p>
      <w:pPr>
        <w:spacing w:after="120" w:line="276"/>
        <w:jc w:val="both"/>
      </w:pPr>
      <w:r>
        <w:rPr>
          <w:rFonts w:ascii="Barlow Semi Condensed" w:cs="Barlow Semi Condensed" w:eastAsia="Barlow Semi Condensed" w:hAnsi="Barlow Semi Condensed"/>
          <w:b/>
          <w:bCs/>
          <w:sz w:val="24"/>
          <w:szCs w:val="24"/>
        </w:rPr>
        <w:t xml:space="preserve">193 · I registri scolastici come documento.</w:t>
      </w:r>
      <w:r>
        <w:rPr>
          <w:rFonts w:ascii="Barlow Semi Condensed" w:cs="Barlow Semi Condensed" w:eastAsia="Barlow Semi Condensed" w:hAnsi="Barlow Semi Condensed"/>
          <w:sz w:val="24"/>
          <w:szCs w:val="24"/>
        </w:rPr>
        <w:t xml:space="preserve"> Un registro d'iscrizione attesta date, indirizzo di residenza dichiarato e nome di chi esercita la potestà: è documento anagrafico prima che scolastico. Le scuole private sudafricane conservano archivi propri; quelle pubbliche hanno versato negli archivi provinciali del Transvaal, confluiti nei National Archives of South Africa. La consultazione di dati personali è soggetta a limiti che vanno rispettati e dichiarati per iscritto.</w:t>
      </w:r>
    </w:p>
    <w:p>
      <w:pPr>
        <w:spacing w:after="120" w:line="276"/>
        <w:jc w:val="both"/>
      </w:pPr>
      <w:r>
        <w:rPr>
          <w:rFonts w:ascii="Barlow Semi Condensed" w:cs="Barlow Semi Condensed" w:eastAsia="Barlow Semi Condensed" w:hAnsi="Barlow Semi Condensed"/>
          <w:b/>
          <w:bCs/>
          <w:sz w:val="24"/>
          <w:szCs w:val="24"/>
        </w:rPr>
        <w:t xml:space="preserve">194 · La spesa per allievo.</w:t>
      </w:r>
      <w:r>
        <w:rPr>
          <w:rFonts w:ascii="Barlow Semi Condensed" w:cs="Barlow Semi Condensed" w:eastAsia="Barlow Semi Condensed" w:hAnsi="Barlow Semi Condensed"/>
          <w:sz w:val="24"/>
          <w:szCs w:val="24"/>
        </w:rPr>
        <w:t xml:space="preserve"> La disparità del sistema scolastico non si argomenta, si misura: la spesa pubblica annua per allievo bianco e per allievo africano è pubblicata anno per anno nelle rilevazioni ufficiali e nelle rassegne del South African Institute of Race Relations. Un rapporto numerico datato vale più di dieci aggettivi e consente di collocare con precisione qualunque anno scolastico richiamato dalle serie successive.</w:t>
      </w:r>
    </w:p>
    <w:p>
      <w:pPr>
        <w:spacing w:after="120" w:line="276"/>
        <w:jc w:val="both"/>
      </w:pPr>
      <w:r>
        <w:rPr>
          <w:rFonts w:ascii="Barlow Semi Condensed" w:cs="Barlow Semi Condensed" w:eastAsia="Barlow Semi Condensed" w:hAnsi="Barlow Semi Condensed"/>
          <w:b/>
          <w:bCs/>
          <w:sz w:val="24"/>
          <w:szCs w:val="24"/>
        </w:rPr>
        <w:t xml:space="preserve">195 · Historical Papers a Wits.</w:t>
      </w:r>
      <w:r>
        <w:rPr>
          <w:rFonts w:ascii="Barlow Semi Condensed" w:cs="Barlow Semi Condensed" w:eastAsia="Barlow Semi Condensed" w:hAnsi="Barlow Semi Condensed"/>
          <w:sz w:val="24"/>
          <w:szCs w:val="24"/>
        </w:rPr>
        <w:t xml:space="preserve"> L'Historical Papers Research Archive della University of the Witwatersrand, a Johannesburg, conserva le carte del South African Institute of Race Relations, quelle di numerose organizzazioni antiapartheid e i fascicoli di processi politici. È il maggiore archivio non statale sulla materia ed è in parte digitalizzato. Bersaglio: le annate del Survey of Race Relations corrispondenti agli anni scolastici richiamati da quest'opera.</w:t>
      </w:r>
    </w:p>
    <w:p>
      <w:pPr>
        <w:spacing w:after="120" w:line="276"/>
        <w:jc w:val="both"/>
      </w:pPr>
      <w:r>
        <w:rPr>
          <w:rFonts w:ascii="Barlow Semi Condensed" w:cs="Barlow Semi Condensed" w:eastAsia="Barlow Semi Condensed" w:hAnsi="Barlow Semi Condensed"/>
          <w:b/>
          <w:bCs/>
          <w:sz w:val="24"/>
          <w:szCs w:val="24"/>
        </w:rPr>
        <w:t xml:space="preserve">196 · Il decreto sull'afrikaans del 1974.</w:t>
      </w:r>
      <w:r>
        <w:rPr>
          <w:rFonts w:ascii="Barlow Semi Condensed" w:cs="Barlow Semi Condensed" w:eastAsia="Barlow Semi Condensed" w:hAnsi="Barlow Semi Condensed"/>
          <w:sz w:val="24"/>
          <w:szCs w:val="24"/>
        </w:rPr>
        <w:t xml:space="preserve"> Nel 1974 il Department of Bantu Education impose che metà delle materie nelle scuole africane fosse insegnata in afrikaans. La misura fu amministrativa e non legislativa, ed è documentata dalle circolari del dipartimento: chi ne cerchi il testo non lo troverà in una legge. È una lezione sul rapporto fra norma e amministrazione, e sul fatto che l'atto decisivo talvolta non è quello pubblicato.</w:t>
      </w:r>
    </w:p>
    <w:p>
      <w:pPr>
        <w:spacing w:after="120" w:line="276"/>
        <w:jc w:val="both"/>
      </w:pPr>
      <w:r>
        <w:rPr>
          <w:rFonts w:ascii="Barlow Semi Condensed" w:cs="Barlow Semi Condensed" w:eastAsia="Barlow Semi Condensed" w:hAnsi="Barlow Semi Condensed"/>
          <w:b/>
          <w:bCs/>
          <w:sz w:val="24"/>
          <w:szCs w:val="24"/>
        </w:rPr>
        <w:t xml:space="preserve">197 · Il sedici giugno 1976.</w:t>
      </w:r>
      <w:r>
        <w:rPr>
          <w:rFonts w:ascii="Barlow Semi Condensed" w:cs="Barlow Semi Condensed" w:eastAsia="Barlow Semi Condensed" w:hAnsi="Barlow Semi Condensed"/>
          <w:sz w:val="24"/>
          <w:szCs w:val="24"/>
        </w:rPr>
        <w:t xml:space="preserve"> La manifestazione studentesca di Soweto del 16 giugno 1976 e la repressione che ne seguì aprirono la fase più violenta del decennio e mutarono la percezione internazionale del Paese. La data serve alle altre serie come marcatore cronologico: un anno scolastico johannesburghese si colloca prima o dopo di essa, e la differenza è sostanziale. Fotografie e dispacci d'epoca sono citabili con data certa.</w:t>
      </w:r>
    </w:p>
    <w:p>
      <w:pPr>
        <w:spacing w:after="120" w:line="276"/>
        <w:jc w:val="both"/>
      </w:pPr>
      <w:r>
        <w:rPr>
          <w:rFonts w:ascii="Barlow Semi Condensed" w:cs="Barlow Semi Condensed" w:eastAsia="Barlow Semi Condensed" w:hAnsi="Barlow Semi Condensed"/>
          <w:b/>
          <w:bCs/>
          <w:sz w:val="24"/>
          <w:szCs w:val="24"/>
        </w:rPr>
        <w:t xml:space="preserve">198 · La commissione Cillié.</w:t>
      </w:r>
      <w:r>
        <w:rPr>
          <w:rFonts w:ascii="Barlow Semi Condensed" w:cs="Barlow Semi Condensed" w:eastAsia="Barlow Semi Condensed" w:hAnsi="Barlow Semi Condensed"/>
          <w:sz w:val="24"/>
          <w:szCs w:val="24"/>
        </w:rPr>
        <w:t xml:space="preserve"> La commissione d'inchiesta presieduta dal giudice Petrus Cillié indagò sui disordini iniziati nel giugno 1976 e depositò il proprio rapporto nel 1980, con la ricostruzione ufficiale degli eventi e il computo delle vittime. È fonte di parte, essendo statale, e come tale va pesata: si legge per ciò che lo Stato ammise. Rapporto e atti istruttori sono ai National Archives of South Africa.</w:t>
      </w:r>
    </w:p>
    <w:p>
      <w:pPr>
        <w:spacing w:after="120" w:line="276"/>
        <w:jc w:val="both"/>
      </w:pPr>
      <w:r>
        <w:rPr>
          <w:rFonts w:ascii="Barlow Semi Condensed" w:cs="Barlow Semi Condensed" w:eastAsia="Barlow Semi Condensed" w:hAnsi="Barlow Semi Condensed"/>
          <w:b/>
          <w:bCs/>
          <w:sz w:val="24"/>
          <w:szCs w:val="24"/>
        </w:rPr>
        <w:t xml:space="preserve">199 · La legge del 1979.</w:t>
      </w:r>
      <w:r>
        <w:rPr>
          <w:rFonts w:ascii="Barlow Semi Condensed" w:cs="Barlow Semi Condensed" w:eastAsia="Barlow Semi Condensed" w:hAnsi="Barlow Semi Condensed"/>
          <w:sz w:val="24"/>
          <w:szCs w:val="24"/>
        </w:rPr>
        <w:t xml:space="preserve"> L'Education and Training Act del 1979 sostituì formalmente il Bantu Education Act, cambiando nome al sistema senza smontarne l'impianto separato. È il tipo di riforma nominale che la ricerca deve saper riconoscere: un atto abrogativo non prova un mutamento sostanziale, e il confronto va condotto sui programmi e sui bilanci, non sui titoli. Il testo sta nel Government Gazette del 1979.</w:t>
      </w:r>
    </w:p>
    <w:p>
      <w:pPr>
        <w:spacing w:after="120" w:line="276"/>
        <w:jc w:val="both"/>
      </w:pPr>
      <w:r>
        <w:rPr>
          <w:rFonts w:ascii="Barlow Semi Condensed" w:cs="Barlow Semi Condensed" w:eastAsia="Barlow Semi Condensed" w:hAnsi="Barlow Semi Condensed"/>
          <w:b/>
          <w:bCs/>
          <w:sz w:val="24"/>
          <w:szCs w:val="24"/>
        </w:rPr>
        <w:t xml:space="preserve">200 · La scuola dei genitori.</w:t>
      </w:r>
      <w:r>
        <w:rPr>
          <w:rFonts w:ascii="Barlow Semi Condensed" w:cs="Barlow Semi Condensed" w:eastAsia="Barlow Semi Condensed" w:hAnsi="Barlow Semi Condensed"/>
          <w:sz w:val="24"/>
          <w:szCs w:val="24"/>
        </w:rPr>
        <w:t xml:space="preserve"> L'iscrizione a una scuola è atto dei genitori e non del minore, e in un sistema dove ogni istituto era per legge razzialmente riservato quell'iscrizione non esprime neppure una preferenza. Regola vincolante per l'intera opera: nessun blocco può usare la scuola frequentata da un minore come indizio di adesione a una politica. Il dato si registra come cornice, mai come segno di condotta.</w:t>
      </w:r>
    </w:p>
    <w:p>
      <w:pPr>
        <w:spacing w:after="120" w:line="276"/>
        <w:jc w:val="both"/>
      </w:pPr>
      <w:r>
        <w:rPr>
          <w:rFonts w:ascii="Barlow Semi Condensed" w:cs="Barlow Semi Condensed" w:eastAsia="Barlow Semi Condensed" w:hAnsi="Barlow Semi Condensed"/>
          <w:b/>
          <w:bCs/>
          <w:sz w:val="24"/>
          <w:szCs w:val="24"/>
        </w:rPr>
        <w:t xml:space="preserve">201 · Il Defence Act del 1957.</w:t>
      </w:r>
      <w:r>
        <w:rPr>
          <w:rFonts w:ascii="Barlow Semi Condensed" w:cs="Barlow Semi Condensed" w:eastAsia="Barlow Semi Condensed" w:hAnsi="Barlow Semi Condensed"/>
          <w:sz w:val="24"/>
          <w:szCs w:val="24"/>
        </w:rPr>
        <w:t xml:space="preserve"> Il Defence Act No. 44 del 1957 è la base legale del servizio militare sudafricano e fu emendato ripetutamente per estendere gli obblighi. Testo consolidato e modifiche stanno nel Government Gazette. Prima di qualunque affermazione riguardante un singolo va accertato quale versione dell'atto fosse vigente nell'anno considerato: la disciplina cambiò più volte fra il 1967 e il 1983, e le differenze sono rilevanti.</w:t>
      </w:r>
    </w:p>
    <w:p>
      <w:pPr>
        <w:spacing w:after="120" w:line="276"/>
        <w:jc w:val="both"/>
      </w:pPr>
      <w:r>
        <w:rPr>
          <w:rFonts w:ascii="Barlow Semi Condensed" w:cs="Barlow Semi Condensed" w:eastAsia="Barlow Semi Condensed" w:hAnsi="Barlow Semi Condensed"/>
          <w:b/>
          <w:bCs/>
          <w:sz w:val="24"/>
          <w:szCs w:val="24"/>
        </w:rPr>
        <w:t xml:space="preserve">202 · La coscrizione dei bianchi.</w:t>
      </w:r>
      <w:r>
        <w:rPr>
          <w:rFonts w:ascii="Barlow Semi Condensed" w:cs="Barlow Semi Condensed" w:eastAsia="Barlow Semi Condensed" w:hAnsi="Barlow Semi Condensed"/>
          <w:sz w:val="24"/>
          <w:szCs w:val="24"/>
        </w:rPr>
        <w:t xml:space="preserve"> Dal 1967 il servizio militare fu obbligatorio per i soli maschi bianchi sudafricani, dapprima per sorteggio e dal 1972 in forma generalizzata, con richiami periodici successivi al servizio iniziale. La selettività razziale dell'obbligo è essa stessa un tratto dell'ordinamento e va nominata. Circolari di chiamata e ruoli sono conservati al Department of Defence Documentation Centre, a Pretoria.</w:t>
      </w:r>
    </w:p>
    <w:p>
      <w:pPr>
        <w:spacing w:after="120" w:line="276"/>
        <w:jc w:val="both"/>
      </w:pPr>
      <w:r>
        <w:rPr>
          <w:rFonts w:ascii="Barlow Semi Condensed" w:cs="Barlow Semi Condensed" w:eastAsia="Barlow Semi Condensed" w:hAnsi="Barlow Semi Condensed"/>
          <w:b/>
          <w:bCs/>
          <w:sz w:val="24"/>
          <w:szCs w:val="24"/>
        </w:rPr>
        <w:t xml:space="preserve">203 · I due anni dal 1977.</w:t>
      </w:r>
      <w:r>
        <w:rPr>
          <w:rFonts w:ascii="Barlow Semi Condensed" w:cs="Barlow Semi Condensed" w:eastAsia="Barlow Semi Condensed" w:hAnsi="Barlow Semi Condensed"/>
          <w:sz w:val="24"/>
          <w:szCs w:val="24"/>
        </w:rPr>
        <w:t xml:space="preserve"> Nel 1977 la durata del servizio iniziale fu portata a due anni, seguiti da un ciclo di richiami estensibile per un decennio. La riforma coincide con l'intensificarsi del conflitto al confine settentrionale ed è il dato che rende il servizio militare una porzione lunga della biografia di un'intera coorte maschile bianca. Gli atti normativi stanno nel Government Gazette del 1977.</w:t>
      </w:r>
    </w:p>
    <w:p>
      <w:pPr>
        <w:spacing w:after="120" w:line="276"/>
        <w:jc w:val="both"/>
      </w:pPr>
      <w:r>
        <w:rPr>
          <w:rFonts w:ascii="Barlow Semi Condensed" w:cs="Barlow Semi Condensed" w:eastAsia="Barlow Semi Condensed" w:hAnsi="Barlow Semi Condensed"/>
          <w:b/>
          <w:bCs/>
          <w:sz w:val="24"/>
          <w:szCs w:val="24"/>
        </w:rPr>
        <w:t xml:space="preserve">204 · La guerra di confine.</w:t>
      </w:r>
      <w:r>
        <w:rPr>
          <w:rFonts w:ascii="Barlow Semi Condensed" w:cs="Barlow Semi Condensed" w:eastAsia="Barlow Semi Condensed" w:hAnsi="Barlow Semi Condensed"/>
          <w:sz w:val="24"/>
          <w:szCs w:val="24"/>
        </w:rPr>
        <w:t xml:space="preserve"> Il conflitto combattuto dal 1966 al 1989 nel nord dell'Africa del Sud-Ovest e nell'Angola meridionale è chiamato Border War dalla storiografia sudafricana e guerra di liberazione da quella namibiana: due nomi per il medesimo oggetto, e la scelta del nome dichiara la fonte. Gli archivi militari sudafricani di Pretoria e i fondi del movimento di liberazione in Namibia vanno consultati entrambi.</w:t>
      </w:r>
    </w:p>
    <w:p>
      <w:pPr>
        <w:spacing w:after="120" w:line="276"/>
        <w:jc w:val="both"/>
      </w:pPr>
      <w:r>
        <w:rPr>
          <w:rFonts w:ascii="Barlow Semi Condensed" w:cs="Barlow Semi Condensed" w:eastAsia="Barlow Semi Condensed" w:hAnsi="Barlow Semi Condensed"/>
          <w:b/>
          <w:bCs/>
          <w:sz w:val="24"/>
          <w:szCs w:val="24"/>
        </w:rPr>
        <w:t xml:space="preserve">205 · L'operazione Savannah del 1975.</w:t>
      </w:r>
      <w:r>
        <w:rPr>
          <w:rFonts w:ascii="Barlow Semi Condensed" w:cs="Barlow Semi Condensed" w:eastAsia="Barlow Semi Condensed" w:hAnsi="Barlow Semi Condensed"/>
          <w:sz w:val="24"/>
          <w:szCs w:val="24"/>
        </w:rPr>
        <w:t xml:space="preserve"> Fra l'ottobre 1975 e il marzo 1976 forze sudafricane condussero in Angola l'operazione Savannah, tenuta nascosta per mesi all'opinione pubblica interna. È il precedente che spiega perché la documentazione militare del periodo sia frammentaria e a lungo classificata. I fascicoli stanno al Department of Defence Documentation Centre; le carte diplomatiche corrispondenti nei fondi statunitensi declassificati, già adoperati dal corpus per altri nodi.</w:t>
      </w:r>
    </w:p>
    <w:p>
      <w:pPr>
        <w:spacing w:after="120" w:line="276"/>
        <w:jc w:val="both"/>
      </w:pPr>
      <w:r>
        <w:rPr>
          <w:rFonts w:ascii="Barlow Semi Condensed" w:cs="Barlow Semi Condensed" w:eastAsia="Barlow Semi Condensed" w:hAnsi="Barlow Semi Condensed"/>
          <w:b/>
          <w:bCs/>
          <w:sz w:val="24"/>
          <w:szCs w:val="24"/>
        </w:rPr>
        <w:t xml:space="preserve">206 · SWATF e Koevoet.</w:t>
      </w:r>
      <w:r>
        <w:rPr>
          <w:rFonts w:ascii="Barlow Semi Condensed" w:cs="Barlow Semi Condensed" w:eastAsia="Barlow Semi Condensed" w:hAnsi="Barlow Semi Condensed"/>
          <w:sz w:val="24"/>
          <w:szCs w:val="24"/>
        </w:rPr>
        <w:t xml:space="preserve"> Dal 1980 operarono nel territorio la South West Africa Territory Force e l'unità di polizia controinsurrezionale nota come Koevoet, oggetto di contestazioni documentate in sede internazionale. Le loro carte, ove sopravvissute, si dividono fra Pretoria e Windhoek. Nessun nome individuale entra in quest'opera in relazione a quelle unità in assenza di un atto giudiziario definitivo che lo riguardi personalmente.</w:t>
      </w:r>
    </w:p>
    <w:p>
      <w:pPr>
        <w:spacing w:after="120" w:line="276"/>
        <w:jc w:val="both"/>
      </w:pPr>
      <w:r>
        <w:rPr>
          <w:rFonts w:ascii="Barlow Semi Condensed" w:cs="Barlow Semi Condensed" w:eastAsia="Barlow Semi Condensed" w:hAnsi="Barlow Semi Condensed"/>
          <w:b/>
          <w:bCs/>
          <w:sz w:val="24"/>
          <w:szCs w:val="24"/>
        </w:rPr>
        <w:t xml:space="preserve">207 · L'obiezione e i sei anni.</w:t>
      </w:r>
      <w:r>
        <w:rPr>
          <w:rFonts w:ascii="Barlow Semi Condensed" w:cs="Barlow Semi Condensed" w:eastAsia="Barlow Semi Condensed" w:hAnsi="Barlow Semi Condensed"/>
          <w:sz w:val="24"/>
          <w:szCs w:val="24"/>
        </w:rPr>
        <w:t xml:space="preserve"> Il Defence Amendment Act del 1983 riconobbe l'obiezione di coscienza di matrice religiosa istituendo un servizio civile alternativo di durata assai maggiore, sei anni, e mantenne la pena detentiva negli altri casi. Il regime dell'obiezione è dunque documentato e datato: chi lo richiami deve dire quale anno considera. Testo e lavori preparatori nel Government Gazette e nell'Hansard sudafricano.</w:t>
      </w:r>
    </w:p>
    <w:p>
      <w:pPr>
        <w:spacing w:after="120" w:line="276"/>
        <w:jc w:val="both"/>
      </w:pPr>
      <w:r>
        <w:rPr>
          <w:rFonts w:ascii="Barlow Semi Condensed" w:cs="Barlow Semi Condensed" w:eastAsia="Barlow Semi Condensed" w:hAnsi="Barlow Semi Condensed"/>
          <w:b/>
          <w:bCs/>
          <w:sz w:val="24"/>
          <w:szCs w:val="24"/>
        </w:rPr>
        <w:t xml:space="preserve">208 · La End Conscription Campaign.</w:t>
      </w:r>
      <w:r>
        <w:rPr>
          <w:rFonts w:ascii="Barlow Semi Condensed" w:cs="Barlow Semi Condensed" w:eastAsia="Barlow Semi Condensed" w:hAnsi="Barlow Semi Condensed"/>
          <w:sz w:val="24"/>
          <w:szCs w:val="24"/>
        </w:rPr>
        <w:t xml:space="preserve"> La End Conscription Campaign, nata nel 1983, condusse una campagna pubblica contro la coscrizione e fu messa al bando nel 1988. Le sue carte sono conservate all'Historical Papers di Wits e al South African History Archive. Sono la fonte migliore sul numero e sul profilo di chi rifiutò la leva, e permettono di misurare un fenomeno che le fonti statali contavano per difetto.</w:t>
      </w:r>
    </w:p>
    <w:p>
      <w:pPr>
        <w:spacing w:after="120" w:line="276"/>
        <w:jc w:val="both"/>
      </w:pPr>
      <w:r>
        <w:rPr>
          <w:rFonts w:ascii="Barlow Semi Condensed" w:cs="Barlow Semi Condensed" w:eastAsia="Barlow Semi Condensed" w:hAnsi="Barlow Semi Condensed"/>
          <w:b/>
          <w:bCs/>
          <w:sz w:val="24"/>
          <w:szCs w:val="24"/>
        </w:rPr>
        <w:t xml:space="preserve">209 · L'emigrazione come uscita.</w:t>
      </w:r>
      <w:r>
        <w:rPr>
          <w:rFonts w:ascii="Barlow Semi Condensed" w:cs="Barlow Semi Condensed" w:eastAsia="Barlow Semi Condensed" w:hAnsi="Barlow Semi Condensed"/>
          <w:sz w:val="24"/>
          <w:szCs w:val="24"/>
        </w:rPr>
        <w:t xml:space="preserve"> Una parte della coorte soggetta a leva lasciò il Paese, e l'emigrazione dei giovani bianchi negli anni Ottanta è tema documentato nelle statistiche ufficiali sui movimenti migratori e nella stampa dell'epoca. È un dato aggregato e come tale va adoperato: da una statistica non si ricava la scelta di un individuo, e nessun blocco di quest'opera compirà quel passaggio.</w:t>
      </w:r>
    </w:p>
    <w:p>
      <w:pPr>
        <w:spacing w:after="120" w:line="276"/>
        <w:jc w:val="both"/>
      </w:pPr>
      <w:r>
        <w:rPr>
          <w:rFonts w:ascii="Barlow Semi Condensed" w:cs="Barlow Semi Condensed" w:eastAsia="Barlow Semi Condensed" w:hAnsi="Barlow Semi Condensed"/>
          <w:b/>
          <w:bCs/>
          <w:sz w:val="24"/>
          <w:szCs w:val="24"/>
        </w:rPr>
        <w:t xml:space="preserve">210 · Il centro documentale della Difesa.</w:t>
      </w:r>
      <w:r>
        <w:rPr>
          <w:rFonts w:ascii="Barlow Semi Condensed" w:cs="Barlow Semi Condensed" w:eastAsia="Barlow Semi Condensed" w:hAnsi="Barlow Semi Condensed"/>
          <w:sz w:val="24"/>
          <w:szCs w:val="24"/>
        </w:rPr>
        <w:t xml:space="preserve"> Il Department of Defence Documentation Centre di Pretoria conserva i fascicoli personali del servizio militare, l'archivio della South African Defence Force e le carte operative. L'accesso ai dati personali è regolato e subordinato ad autorizzazione, e questo limite va dichiarato per iscritto in ogni richiesta. È la sede che chiuderebbe qualunque quesito sulla leva, e l'unica: le fonti in rete non lo chiudono.</w:t>
      </w:r>
    </w:p>
    <w:p>
      <w:pPr>
        <w:spacing w:after="120" w:line="276"/>
        <w:jc w:val="both"/>
      </w:pPr>
      <w:r>
        <w:rPr>
          <w:rFonts w:ascii="Barlow Semi Condensed" w:cs="Barlow Semi Condensed" w:eastAsia="Barlow Semi Condensed" w:hAnsi="Barlow Semi Condensed"/>
          <w:b/>
          <w:bCs/>
          <w:sz w:val="24"/>
          <w:szCs w:val="24"/>
        </w:rPr>
        <w:t xml:space="preserve">211 · La cittadinanza decide la leva.</w:t>
      </w:r>
      <w:r>
        <w:rPr>
          <w:rFonts w:ascii="Barlow Semi Condensed" w:cs="Barlow Semi Condensed" w:eastAsia="Barlow Semi Condensed" w:hAnsi="Barlow Semi Condensed"/>
          <w:sz w:val="24"/>
          <w:szCs w:val="24"/>
        </w:rPr>
        <w:t xml:space="preserve"> L'obbligo di leva sudafricano gravava sui cittadini sudafricani; per chi era cittadino di altro Stato, o residente temporaneo, la posizione era diversa e va accertata sui documenti di cittadinanza prima di ogni ragionamento. Regola operativa: nessun blocco può presumere il servizio militare o l'esenzione a partire dall'anno di nascita e dal luogo di residenza. Il passaporto viene prima dell'inferenza.</w:t>
      </w:r>
    </w:p>
    <w:p>
      <w:pPr>
        <w:spacing w:after="120" w:line="276"/>
        <w:jc w:val="both"/>
      </w:pPr>
      <w:r>
        <w:rPr>
          <w:rFonts w:ascii="Barlow Semi Condensed" w:cs="Barlow Semi Condensed" w:eastAsia="Barlow Semi Condensed" w:hAnsi="Barlow Semi Condensed"/>
          <w:b/>
          <w:bCs/>
          <w:sz w:val="24"/>
          <w:szCs w:val="24"/>
        </w:rPr>
        <w:t xml:space="preserve">212 · Servizio militare non è condotta.</w:t>
      </w:r>
      <w:r>
        <w:rPr>
          <w:rFonts w:ascii="Barlow Semi Condensed" w:cs="Barlow Semi Condensed" w:eastAsia="Barlow Semi Condensed" w:hAnsi="Barlow Semi Condensed"/>
          <w:sz w:val="24"/>
          <w:szCs w:val="24"/>
        </w:rPr>
        <w:t xml:space="preserve"> Adempiere a un obbligo di legge non è una condotta imputabile, e sottrarvisi non è una virtù automatica: entrambe le posizioni si registrano come fatti e non come giudizi. La regola serve a impedire l'uso più diffuso di questa materia nella polemica corrente, che consiste nel trattare un dato anagrafico come una presa di posizione politica accertata retrospettivamente.</w:t>
      </w:r>
    </w:p>
    <w:p>
      <w:pPr>
        <w:spacing w:after="120" w:line="276"/>
        <w:jc w:val="both"/>
      </w:pPr>
      <w:r>
        <w:rPr>
          <w:rFonts w:ascii="Barlow Semi Condensed" w:cs="Barlow Semi Condensed" w:eastAsia="Barlow Semi Condensed" w:hAnsi="Barlow Semi Condensed"/>
          <w:b/>
          <w:bCs/>
          <w:sz w:val="24"/>
          <w:szCs w:val="24"/>
        </w:rPr>
        <w:t xml:space="preserve">213 · La legge istitutiva della Commissione.</w:t>
      </w:r>
      <w:r>
        <w:rPr>
          <w:rFonts w:ascii="Barlow Semi Condensed" w:cs="Barlow Semi Condensed" w:eastAsia="Barlow Semi Condensed" w:hAnsi="Barlow Semi Condensed"/>
          <w:sz w:val="24"/>
          <w:szCs w:val="24"/>
        </w:rPr>
        <w:t xml:space="preserve"> Il Promotion of National Unity and Reconciliation Act No. 34 del 1995 istituì la Truth and Reconciliation Commission con tre comitati: violazioni dei diritti umani, amnistia, riparazione e riabilitazione. Il testo sta nel Government Gazette del 1995. Ogni citazione della Commissione passa qui per la legge istitutiva, perché sono i suoi poteri a definire che cosa le conclusioni possano e non possano provare.</w:t>
      </w:r>
    </w:p>
    <w:p>
      <w:pPr>
        <w:spacing w:after="120" w:line="276"/>
        <w:jc w:val="both"/>
      </w:pPr>
      <w:r>
        <w:rPr>
          <w:rFonts w:ascii="Barlow Semi Condensed" w:cs="Barlow Semi Condensed" w:eastAsia="Barlow Semi Condensed" w:hAnsi="Barlow Semi Condensed"/>
          <w:b/>
          <w:bCs/>
          <w:sz w:val="24"/>
          <w:szCs w:val="24"/>
        </w:rPr>
        <w:t xml:space="preserve">214 · I sette volumi.</w:t>
      </w:r>
      <w:r>
        <w:rPr>
          <w:rFonts w:ascii="Barlow Semi Condensed" w:cs="Barlow Semi Condensed" w:eastAsia="Barlow Semi Condensed" w:hAnsi="Barlow Semi Condensed"/>
          <w:sz w:val="24"/>
          <w:szCs w:val="24"/>
        </w:rPr>
        <w:t xml:space="preserve"> Cinque volumi furono pubblicati nell'ottobre 1998 e due ulteriori nel marzo 2003, questi dedicati soprattutto alle domande di amnistia. È opera pubblica, integralmente disponibile, e va citata per volume, capitolo e paragrafo come qualunque atto. Chi la richiama in blocco, senza segnatura interna, non l'ha consultata: è un test di serietà applicabile a ogni fonte secondaria che se ne serva.</w:t>
      </w:r>
    </w:p>
    <w:p>
      <w:pPr>
        <w:spacing w:after="120" w:line="276"/>
        <w:jc w:val="both"/>
      </w:pPr>
      <w:r>
        <w:rPr>
          <w:rFonts w:ascii="Barlow Semi Condensed" w:cs="Barlow Semi Condensed" w:eastAsia="Barlow Semi Condensed" w:hAnsi="Barlow Semi Condensed"/>
          <w:b/>
          <w:bCs/>
          <w:sz w:val="24"/>
          <w:szCs w:val="24"/>
        </w:rPr>
        <w:t xml:space="preserve">215 · L'udienza sul settore economico.</w:t>
      </w:r>
      <w:r>
        <w:rPr>
          <w:rFonts w:ascii="Barlow Semi Condensed" w:cs="Barlow Semi Condensed" w:eastAsia="Barlow Semi Condensed" w:hAnsi="Barlow Semi Condensed"/>
          <w:sz w:val="24"/>
          <w:szCs w:val="24"/>
        </w:rPr>
        <w:t xml:space="preserve"> Nel novembre 1997 la Commissione tenne a Johannesburg udienze istituzionali sul settore economico, con memorie depositate da associazioni imprenditoriali, sindacati e singole imprese. Trascrizioni e memorie sono pubbliche e costituiscono la fonte più diretta su come il mondo degli affari raccontò se stesso alla fine del regime. Bersaglio: le memorie del comparto estrattivo, lette integralmente e non per estratti altrui.</w:t>
      </w:r>
    </w:p>
    <w:p>
      <w:pPr>
        <w:spacing w:after="120" w:line="276"/>
        <w:jc w:val="both"/>
      </w:pPr>
      <w:r>
        <w:rPr>
          <w:rFonts w:ascii="Barlow Semi Condensed" w:cs="Barlow Semi Condensed" w:eastAsia="Barlow Semi Condensed" w:hAnsi="Barlow Semi Condensed"/>
          <w:b/>
          <w:bCs/>
          <w:sz w:val="24"/>
          <w:szCs w:val="24"/>
        </w:rPr>
        <w:t xml:space="preserve">216 · Le miniere davanti alla Commissione.</w:t>
      </w:r>
      <w:r>
        <w:rPr>
          <w:rFonts w:ascii="Barlow Semi Condensed" w:cs="Barlow Semi Condensed" w:eastAsia="Barlow Semi Condensed" w:hAnsi="Barlow Semi Condensed"/>
          <w:sz w:val="24"/>
          <w:szCs w:val="24"/>
        </w:rPr>
        <w:t xml:space="preserve"> Il volume quarto del rapporto dedica al settore economico un capitolo che affronta il sistema del lavoro migrante, gli alloggi collettivi e il rapporto fra industria mineraria e ordinamento razziale. È il luogo dove la cornice istituzionale e quella economica di quest'opera si toccano documentalmente. La lettura va condotta sul testo originale inglese in edizione ufficiale, mai su sintesi giornalistiche di seconda mano.</w:t>
      </w:r>
    </w:p>
    <w:p>
      <w:pPr>
        <w:spacing w:after="120" w:line="276"/>
        <w:jc w:val="both"/>
      </w:pPr>
      <w:r>
        <w:rPr>
          <w:rFonts w:ascii="Barlow Semi Condensed" w:cs="Barlow Semi Condensed" w:eastAsia="Barlow Semi Condensed" w:hAnsi="Barlow Semi Condensed"/>
          <w:b/>
          <w:bCs/>
          <w:sz w:val="24"/>
          <w:szCs w:val="24"/>
        </w:rPr>
        <w:t xml:space="preserve">217 · I gradi d'implicazione.</w:t>
      </w:r>
      <w:r>
        <w:rPr>
          <w:rFonts w:ascii="Barlow Semi Condensed" w:cs="Barlow Semi Condensed" w:eastAsia="Barlow Semi Condensed" w:hAnsi="Barlow Semi Condensed"/>
          <w:sz w:val="24"/>
          <w:szCs w:val="24"/>
        </w:rPr>
        <w:t xml:space="preserve"> La Commissione distinse fra un coinvolgimento di primo ordine, consistente nell'aver contribuito direttamente a formulare politiche repressive, e forme indirette derivanti dal solo operare dentro il sistema. La distinzione è la migliore formulazione disponibile del problema che quest'opera affronta, e va adoperata con la sua fonte: proviene da un organo di verità e non da un tribunale, e questo ne fissa il peso.</w:t>
      </w:r>
    </w:p>
    <w:p>
      <w:pPr>
        <w:spacing w:after="120" w:line="276"/>
        <w:jc w:val="both"/>
      </w:pPr>
      <w:r>
        <w:rPr>
          <w:rFonts w:ascii="Barlow Semi Condensed" w:cs="Barlow Semi Condensed" w:eastAsia="Barlow Semi Condensed" w:hAnsi="Barlow Semi Condensed"/>
          <w:b/>
          <w:bCs/>
          <w:sz w:val="24"/>
          <w:szCs w:val="24"/>
        </w:rPr>
        <w:t xml:space="preserve">218 · Amnistia non è assoluzione.</w:t>
      </w:r>
      <w:r>
        <w:rPr>
          <w:rFonts w:ascii="Barlow Semi Condensed" w:cs="Barlow Semi Condensed" w:eastAsia="Barlow Semi Condensed" w:hAnsi="Barlow Semi Condensed"/>
          <w:sz w:val="24"/>
          <w:szCs w:val="24"/>
        </w:rPr>
        <w:t xml:space="preserve"> Un'amnistia concessa dalla Commissione presupponeva la confessione piena di un fatto ed estingueva la responsabilità: non equivale a un'assoluzione e neppure a una condanna. Simmetricamente, una constatazione della Commissione non è un accertamento penale. La regola vale per tutto il corpus, che si ferma al giudicato e non promuove a colpevolezza ciò che nessun tribunale ha mai stabilito.</w:t>
      </w:r>
    </w:p>
    <w:p>
      <w:pPr>
        <w:spacing w:after="120" w:line="276"/>
        <w:jc w:val="both"/>
      </w:pPr>
      <w:r>
        <w:rPr>
          <w:rFonts w:ascii="Barlow Semi Condensed" w:cs="Barlow Semi Condensed" w:eastAsia="Barlow Semi Condensed" w:hAnsi="Barlow Semi Condensed"/>
          <w:b/>
          <w:bCs/>
          <w:sz w:val="24"/>
          <w:szCs w:val="24"/>
        </w:rPr>
        <w:t xml:space="preserve">219 · Gli archivi della Commissione.</w:t>
      </w:r>
      <w:r>
        <w:rPr>
          <w:rFonts w:ascii="Barlow Semi Condensed" w:cs="Barlow Semi Condensed" w:eastAsia="Barlow Semi Condensed" w:hAnsi="Barlow Semi Condensed"/>
          <w:sz w:val="24"/>
          <w:szCs w:val="24"/>
        </w:rPr>
        <w:t xml:space="preserve"> Le carte della Truth and Reconciliation Commission sono depositate ai National Archives of South Africa, a Pretoria; il South African History Archive di Johannesburg ne ha ottenuto quote consistenti mediante richieste fondate sulla Promotion of Access to Information Act del 2000 e ne cura la consultabilità. Bersaglio procedurale: il censimento di ciò che resta non consultabile e delle ragioni addotte per negarlo.</w:t>
      </w:r>
    </w:p>
    <w:p>
      <w:pPr>
        <w:spacing w:after="120" w:line="276"/>
        <w:jc w:val="both"/>
      </w:pPr>
      <w:r>
        <w:rPr>
          <w:rFonts w:ascii="Barlow Semi Condensed" w:cs="Barlow Semi Condensed" w:eastAsia="Barlow Semi Condensed" w:hAnsi="Barlow Semi Condensed"/>
          <w:b/>
          <w:bCs/>
          <w:sz w:val="24"/>
          <w:szCs w:val="24"/>
        </w:rPr>
        <w:t xml:space="preserve">220 · La Namibia fuori dalla giurisdizione.</w:t>
      </w:r>
      <w:r>
        <w:rPr>
          <w:rFonts w:ascii="Barlow Semi Condensed" w:cs="Barlow Semi Condensed" w:eastAsia="Barlow Semi Condensed" w:hAnsi="Barlow Semi Condensed"/>
          <w:sz w:val="24"/>
          <w:szCs w:val="24"/>
        </w:rPr>
        <w:t xml:space="preserve"> La Commissione sudafricana ebbe competenza sulle violazioni commesse nel territorio del Sud Africa e su alcune all'estero riferibili a strutture sudafricane, ma non condusse sull'Africa del Sud-Ovest un'inchiesta paragonabile a quella interna. Il vuoto è uno Stato Zero di grande estensione e va scritto come tale: sull'occupazione namibiana non esiste un corpo testimoniale equivalente a quello sudafricano.</w:t>
      </w:r>
    </w:p>
    <w:p>
      <w:pPr>
        <w:spacing w:after="120" w:line="276"/>
        <w:jc w:val="both"/>
      </w:pPr>
      <w:r>
        <w:rPr>
          <w:rFonts w:ascii="Barlow Semi Condensed" w:cs="Barlow Semi Condensed" w:eastAsia="Barlow Semi Condensed" w:hAnsi="Barlow Semi Condensed"/>
          <w:b/>
          <w:bCs/>
          <w:sz w:val="24"/>
          <w:szCs w:val="24"/>
        </w:rPr>
        <w:t xml:space="preserve">221 · Il silenzio namibiano.</w:t>
      </w:r>
      <w:r>
        <w:rPr>
          <w:rFonts w:ascii="Barlow Semi Condensed" w:cs="Barlow Semi Condensed" w:eastAsia="Barlow Semi Condensed" w:hAnsi="Barlow Semi Condensed"/>
          <w:sz w:val="24"/>
          <w:szCs w:val="24"/>
        </w:rPr>
        <w:t xml:space="preserve"> La Namibia indipendente non istituì una commissione per la verità, e la questione dei detenuti nei campi del movimento di liberazione in Angola e Zambia restò materia di iniziative associative private anziché di inchiesta pubblica. La divergenza fra le due memorie nazionali si riporta e non si scioglie. Le fonti disponibili sono di parte e vanno pesate dichiarandone la natura.</w:t>
      </w:r>
    </w:p>
    <w:p>
      <w:pPr>
        <w:spacing w:after="120" w:line="276"/>
        <w:jc w:val="both"/>
      </w:pPr>
      <w:r>
        <w:rPr>
          <w:rFonts w:ascii="Barlow Semi Condensed" w:cs="Barlow Semi Condensed" w:eastAsia="Barlow Semi Condensed" w:hAnsi="Barlow Semi Condensed"/>
          <w:b/>
          <w:bCs/>
          <w:sz w:val="24"/>
          <w:szCs w:val="24"/>
        </w:rPr>
        <w:t xml:space="preserve">222 · Il ministero degli Esteri come fondo.</w:t>
      </w:r>
      <w:r>
        <w:rPr>
          <w:rFonts w:ascii="Barlow Semi Condensed" w:cs="Barlow Semi Condensed" w:eastAsia="Barlow Semi Condensed" w:hAnsi="Barlow Semi Condensed"/>
          <w:sz w:val="24"/>
          <w:szCs w:val="24"/>
        </w:rPr>
        <w:t xml:space="preserve"> La corrispondenza del Department of Foreign Affairs sudafricano è stata versata ai National Archives of South Africa, classificata con la sigla BTS e ordinata per Paese e per organizzazione internazionale. È la sede naturale di ogni quesito sulla diplomazia di Pretoria fra il 1977 e il 1994, fascicoli sulle Nazioni Unite e sul negoziato namibiano compresi. La comunicabilità segue la legge archivistica del 1996.</w:t>
      </w:r>
    </w:p>
    <w:p>
      <w:pPr>
        <w:spacing w:after="120" w:line="276"/>
        <w:jc w:val="both"/>
      </w:pPr>
      <w:r>
        <w:rPr>
          <w:rFonts w:ascii="Barlow Semi Condensed" w:cs="Barlow Semi Condensed" w:eastAsia="Barlow Semi Condensed" w:hAnsi="Barlow Semi Condensed"/>
          <w:b/>
          <w:bCs/>
          <w:sz w:val="24"/>
          <w:szCs w:val="24"/>
        </w:rPr>
        <w:t xml:space="preserve">223 · I due Botha non sono parenti (serie III).</w:t>
      </w:r>
      <w:r>
        <w:rPr>
          <w:rFonts w:ascii="Barlow Semi Condensed" w:cs="Barlow Semi Condensed" w:eastAsia="Barlow Semi Condensed" w:hAnsi="Barlow Semi Condensed"/>
          <w:sz w:val="24"/>
          <w:szCs w:val="24"/>
        </w:rPr>
        <w:t xml:space="preserve"> Roelof Frederik Botha, detto Pik, ministro degli Esteri dal 1977 al 1994 e poi ministro delle Miniere e dell'Energia nel primo governo Mandela, non era parente di Pieter Willem Botha, capo dello Stato. La confusione fra i due è l'errore più diffuso su questa materia e falsifica ogni ricostruzione che vi incorra. Va segnalata ogni volta che una fonte la commette, con citazione esatta.</w:t>
      </w:r>
    </w:p>
    <w:p>
      <w:pPr>
        <w:spacing w:after="120" w:line="276"/>
        <w:jc w:val="both"/>
      </w:pPr>
      <w:r>
        <w:rPr>
          <w:rFonts w:ascii="Barlow Semi Condensed" w:cs="Barlow Semi Condensed" w:eastAsia="Barlow Semi Condensed" w:hAnsi="Barlow Semi Condensed"/>
          <w:b/>
          <w:bCs/>
          <w:sz w:val="24"/>
          <w:szCs w:val="24"/>
        </w:rPr>
        <w:t xml:space="preserve">224 · Le credenziali respinte.</w:t>
      </w:r>
      <w:r>
        <w:rPr>
          <w:rFonts w:ascii="Barlow Semi Condensed" w:cs="Barlow Semi Condensed" w:eastAsia="Barlow Semi Condensed" w:hAnsi="Barlow Semi Condensed"/>
          <w:sz w:val="24"/>
          <w:szCs w:val="24"/>
        </w:rPr>
        <w:t xml:space="preserve"> Dal 1974 l'Assemblea Generale rifiutò di accettare le credenziali della delegazione sudafricana, escludendo di fatto Pretoria dai propri lavori per un ventennio senza però espellerla dall'Organizzazione. La distinzione fra esclusione dai lavori ed espulsione è tecnica e sostanziale, e quasi sempre trascurata. Gli atti della commissione di verifica dei poteri stanno nei documenti ufficiali dell'Assemblea, consultabili per sessione.</w:t>
      </w:r>
    </w:p>
    <w:p>
      <w:pPr>
        <w:spacing w:after="120" w:line="276"/>
        <w:jc w:val="both"/>
      </w:pPr>
      <w:r>
        <w:rPr>
          <w:rFonts w:ascii="Barlow Semi Condensed" w:cs="Barlow Semi Condensed" w:eastAsia="Barlow Semi Condensed" w:hAnsi="Barlow Semi Condensed"/>
          <w:b/>
          <w:bCs/>
          <w:sz w:val="24"/>
          <w:szCs w:val="24"/>
        </w:rPr>
        <w:t xml:space="preserve">225 · L'embargo del 1977.</w:t>
      </w:r>
      <w:r>
        <w:rPr>
          <w:rFonts w:ascii="Barlow Semi Condensed" w:cs="Barlow Semi Condensed" w:eastAsia="Barlow Semi Condensed" w:hAnsi="Barlow Semi Condensed"/>
          <w:sz w:val="24"/>
          <w:szCs w:val="24"/>
        </w:rPr>
        <w:t xml:space="preserve"> Con la risoluzione 418 del 4 novembre 1977 il Consiglio di Sicurezza impose un embargo obbligatorio sulle armi, primo provvedimento vincolante del capitolo settimo adottato contro uno Stato membro. Le sanzioni economiche restarono invece volontarie fino alle legislazioni nazionali degli anni Ottanta. La distinzione fra obbligatorio e raccomandato governa l'intera materia e va sempre esplicitata parlando di sanzioni contro il Sud Africa.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quarta — I lignaggi: parentele documentate e parentele supposte</w:t>
      </w:r>
    </w:p>
    <w:p>
      <w:pPr>
        <w:spacing w:after="120" w:line="276"/>
        <w:jc w:val="both"/>
      </w:pPr>
      <w:r>
        <w:rPr>
          <w:rFonts w:ascii="Barlow Semi Condensed" w:cs="Barlow Semi Condensed" w:eastAsia="Barlow Semi Condensed" w:hAnsi="Barlow Semi Condensed"/>
          <w:i/>
          <w:iCs/>
          <w:sz w:val="24"/>
          <w:szCs w:val="24"/>
        </w:rPr>
        <w:t xml:space="preserve">Blocchi 226-305.</w:t>
      </w:r>
    </w:p>
    <w:p>
      <w:pPr>
        <w:spacing w:after="120" w:line="276"/>
        <w:jc w:val="both"/>
      </w:pPr>
      <w:r>
        <w:rPr>
          <w:rFonts w:ascii="Barlow Semi Condensed" w:cs="Barlow Semi Condensed" w:eastAsia="Barlow Semi Condensed" w:hAnsi="Barlow Semi Condensed"/>
          <w:b/>
          <w:bCs/>
          <w:sz w:val="24"/>
          <w:szCs w:val="24"/>
        </w:rPr>
        <w:t xml:space="preserve">226 · Che cosa questa serie tratta.</w:t>
      </w:r>
      <w:r>
        <w:rPr>
          <w:rFonts w:ascii="Barlow Semi Condensed" w:cs="Barlow Semi Condensed" w:eastAsia="Barlow Semi Condensed" w:hAnsi="Barlow Semi Condensed"/>
          <w:sz w:val="24"/>
          <w:szCs w:val="24"/>
        </w:rPr>
        <w:t xml:space="preserve"> I lignaggi entrano qui come dati anagrafici e non come argomenti. Una parentela si accerta con un registro di stato civile, un atto notarile, un necrologio datato; e una volta accertata resta ciò che è, un legame di sangue o di legge fra due persone. Non trasferisce condotte, non attribuisce opinioni, non fonda un nesso. La serie lavora sulla prima operazione e si vieta la seconda.</w:t>
      </w:r>
    </w:p>
    <w:p>
      <w:pPr>
        <w:spacing w:after="120" w:line="276"/>
        <w:jc w:val="both"/>
      </w:pPr>
      <w:r>
        <w:rPr>
          <w:rFonts w:ascii="Barlow Semi Condensed" w:cs="Barlow Semi Condensed" w:eastAsia="Barlow Semi Condensed" w:hAnsi="Barlow Semi Condensed"/>
          <w:b/>
          <w:bCs/>
          <w:sz w:val="24"/>
          <w:szCs w:val="24"/>
        </w:rPr>
        <w:t xml:space="preserve">227 · Le tre domande genealogiche ammesse.</w:t>
      </w:r>
      <w:r>
        <w:rPr>
          <w:rFonts w:ascii="Barlow Semi Condensed" w:cs="Barlow Semi Condensed" w:eastAsia="Barlow Semi Condensed" w:hAnsi="Barlow Semi Condensed"/>
          <w:sz w:val="24"/>
          <w:szCs w:val="24"/>
        </w:rPr>
        <w:t xml:space="preserve"> Chi è parente di chi, con quale grado, su quale documento: sono le sole domande che questi blocchi pongono. La quarta — che cosa se ne ricava sulle persone — è fuori mandato e va respinta ogni volta che si affaccia. Il corpus la vieta già al blocco 5 del manuale investigativo, dove si legge che la parentela non è canale; qui la formula tocca persone viventi e diventa perciò più severa.</w:t>
      </w:r>
    </w:p>
    <w:p>
      <w:pPr>
        <w:spacing w:after="120" w:line="276"/>
        <w:jc w:val="both"/>
      </w:pPr>
      <w:r>
        <w:rPr>
          <w:rFonts w:ascii="Barlow Semi Condensed" w:cs="Barlow Semi Condensed" w:eastAsia="Barlow Semi Condensed" w:hAnsi="Barlow Semi Condensed"/>
          <w:b/>
          <w:bCs/>
          <w:sz w:val="24"/>
          <w:szCs w:val="24"/>
        </w:rPr>
        <w:t xml:space="preserve">228 · Il registro anagrafico sudafricano.</w:t>
      </w:r>
      <w:r>
        <w:rPr>
          <w:rFonts w:ascii="Barlow Semi Condensed" w:cs="Barlow Semi Condensed" w:eastAsia="Barlow Semi Condensed" w:hAnsi="Barlow Semi Condensed"/>
          <w:sz w:val="24"/>
          <w:szCs w:val="24"/>
        </w:rPr>
        <w:t xml:space="preserve"> Nascite, matrimoni e decessi sudafricani sono registrati dal Department of Home Affairs, a Pretoria, e il certificato integrale — quello che riporta i nomi dei genitori — si ottiene su istanza. È la sede che chiude, in un senso o nell'altro, quasi tutte le parentele discusse in questa serie. Chi afferma un legame senza avere chiesto quel documento sta riferendo una voce e non un fatto, per quanto sicuro suoni.</w:t>
      </w:r>
    </w:p>
    <w:p>
      <w:pPr>
        <w:spacing w:after="120" w:line="276"/>
        <w:jc w:val="both"/>
      </w:pPr>
      <w:r>
        <w:rPr>
          <w:rFonts w:ascii="Barlow Semi Condensed" w:cs="Barlow Semi Condensed" w:eastAsia="Barlow Semi Condensed" w:hAnsi="Barlow Semi Condensed"/>
          <w:b/>
          <w:bCs/>
          <w:sz w:val="24"/>
          <w:szCs w:val="24"/>
        </w:rPr>
        <w:t xml:space="preserve">229 · I fascicoli di successione come fonte.</w:t>
      </w:r>
      <w:r>
        <w:rPr>
          <w:rFonts w:ascii="Barlow Semi Condensed" w:cs="Barlow Semi Condensed" w:eastAsia="Barlow Semi Condensed" w:hAnsi="Barlow Semi Condensed"/>
          <w:sz w:val="24"/>
          <w:szCs w:val="24"/>
        </w:rPr>
        <w:t xml:space="preserve"> Gli atti di successione sudafricani, depositati presso il Master of the High Court e poi versati al National Archives and Records Service of South Africa, nominano coniuge, figli e talvolta nipoti, con le date. Nella serie MHG del deposito di Pretoria si cercano per cognome e per anno di morte. Un fascicolo di successione è la fonte genealogica più economica che esista, perché elenca gli eredi in quanto deve elencarli.</w:t>
      </w:r>
    </w:p>
    <w:p>
      <w:pPr>
        <w:spacing w:after="120" w:line="276"/>
        <w:jc w:val="both"/>
      </w:pPr>
      <w:r>
        <w:rPr>
          <w:rFonts w:ascii="Barlow Semi Condensed" w:cs="Barlow Semi Condensed" w:eastAsia="Barlow Semi Condensed" w:hAnsi="Barlow Semi Condensed"/>
          <w:b/>
          <w:bCs/>
          <w:sz w:val="24"/>
          <w:szCs w:val="24"/>
        </w:rPr>
        <w:t xml:space="preserve">230 · NAAIRS, e i suoi limiti.</w:t>
      </w:r>
      <w:r>
        <w:rPr>
          <w:rFonts w:ascii="Barlow Semi Condensed" w:cs="Barlow Semi Condensed" w:eastAsia="Barlow Semi Condensed" w:hAnsi="Barlow Semi Condensed"/>
          <w:sz w:val="24"/>
          <w:szCs w:val="24"/>
        </w:rPr>
        <w:t xml:space="preserve"> L'indice informatizzato degli archivi sudafricani, NAAIRS, consente la ricerca per cognome sui fondi versati e restituisce segnature, mai contenuti. Serve a sapere che una carta esiste, non che cosa dica. Un esito vuoto non prova l'assenza del documento: prova che quel fondo non è stato indicizzato, oppure che il nome vi compare in grafia diversa. La differenza fra assenza nell'indice e assenza nell'archivio va scritta ogni volta.</w:t>
      </w:r>
    </w:p>
    <w:p>
      <w:pPr>
        <w:spacing w:after="120" w:line="276"/>
        <w:jc w:val="both"/>
      </w:pPr>
      <w:r>
        <w:rPr>
          <w:rFonts w:ascii="Barlow Semi Condensed" w:cs="Barlow Semi Condensed" w:eastAsia="Barlow Semi Condensed" w:hAnsi="Barlow Semi Condensed"/>
          <w:b/>
          <w:bCs/>
          <w:sz w:val="24"/>
          <w:szCs w:val="24"/>
        </w:rPr>
        <w:t xml:space="preserve">231 · Il Government Gazette e i decessi.</w:t>
      </w:r>
      <w:r>
        <w:rPr>
          <w:rFonts w:ascii="Barlow Semi Condensed" w:cs="Barlow Semi Condensed" w:eastAsia="Barlow Semi Condensed" w:hAnsi="Barlow Semi Condensed"/>
          <w:sz w:val="24"/>
          <w:szCs w:val="24"/>
        </w:rPr>
        <w:t xml:space="preserve"> La legge sudafricana sull'amministrazione delle successioni, del 1965, impone la pubblicazione dell'avviso ai creditori: il Government Gazette registra così nome del defunto, data della morte e nominativo dell'esecutore. È una serie a stampa, continua e datata, consultabile senza istanza preventiva. Per chi ricostruisce una linea è il punto d'attacco più rapido, e ha il pregio di essere una fonte che nessuno compilò pensando ai genealogisti.</w:t>
      </w:r>
    </w:p>
    <w:p>
      <w:pPr>
        <w:spacing w:after="120" w:line="276"/>
        <w:jc w:val="both"/>
      </w:pPr>
      <w:r>
        <w:rPr>
          <w:rFonts w:ascii="Barlow Semi Condensed" w:cs="Barlow Semi Condensed" w:eastAsia="Barlow Semi Condensed" w:hAnsi="Barlow Semi Condensed"/>
          <w:b/>
          <w:bCs/>
          <w:sz w:val="24"/>
          <w:szCs w:val="24"/>
        </w:rPr>
        <w:t xml:space="preserve">232 · Necrologi datati, e come si usano.</w:t>
      </w:r>
      <w:r>
        <w:rPr>
          <w:rFonts w:ascii="Barlow Semi Condensed" w:cs="Barlow Semi Condensed" w:eastAsia="Barlow Semi Condensed" w:hAnsi="Barlow Semi Condensed"/>
          <w:sz w:val="24"/>
          <w:szCs w:val="24"/>
        </w:rPr>
        <w:t xml:space="preserve"> Un necrologio a stampa è fonte di secondo rango, e tuttavia contiene quasi sempre l'elenco dei sopravvissuti: coniuge, figli, nipoti, per nome. Non prova la parentela, la indica, e indica dove cercarla. Gli archivi dei quotidiani sudafricani sono digitalizzati in misura disuguale, sicché la data del decesso resta la chiave che li apre; senza quella data la ricerca sul solo cognome non si chiude mai.</w:t>
      </w:r>
    </w:p>
    <w:p>
      <w:pPr>
        <w:spacing w:after="120" w:line="276"/>
        <w:jc w:val="both"/>
      </w:pPr>
      <w:r>
        <w:rPr>
          <w:rFonts w:ascii="Barlow Semi Condensed" w:cs="Barlow Semi Condensed" w:eastAsia="Barlow Semi Condensed" w:hAnsi="Barlow Semi Condensed"/>
          <w:b/>
          <w:bCs/>
          <w:sz w:val="24"/>
          <w:szCs w:val="24"/>
        </w:rPr>
        <w:t xml:space="preserve">233 · Il perimetro etico della genealogia.</w:t>
      </w:r>
      <w:r>
        <w:rPr>
          <w:rFonts w:ascii="Barlow Semi Condensed" w:cs="Barlow Semi Condensed" w:eastAsia="Barlow Semi Condensed" w:hAnsi="Barlow Semi Condensed"/>
          <w:sz w:val="24"/>
          <w:szCs w:val="24"/>
        </w:rPr>
        <w:t xml:space="preserve"> Non ogni legame accertabile merita di essere accertato. Questi blocchi censiscono soltanto i rapporti che una domanda di ricerca rende pertinenti, e lasciano fuori il resto della vita familiare delle persone nominate: matrimoni, separazioni, figli minori, vicende private prive di rilievo documentale. La regola non è di delicatezza ma di metodo, perché un dato che non risponde a nessun quesito è rumore, e il rumore genealogico è quello che fa più danno.</w:t>
      </w:r>
    </w:p>
    <w:p>
      <w:pPr>
        <w:spacing w:after="120" w:line="276"/>
        <w:jc w:val="both"/>
      </w:pPr>
      <w:r>
        <w:rPr>
          <w:rFonts w:ascii="Barlow Semi Condensed" w:cs="Barlow Semi Condensed" w:eastAsia="Barlow Semi Condensed" w:hAnsi="Barlow Semi Condensed"/>
          <w:b/>
          <w:bCs/>
          <w:sz w:val="24"/>
          <w:szCs w:val="24"/>
        </w:rPr>
        <w:t xml:space="preserve">234 · Roelof Botha, nipote di Pik.</w:t>
      </w:r>
      <w:r>
        <w:rPr>
          <w:rFonts w:ascii="Barlow Semi Condensed" w:cs="Barlow Semi Condensed" w:eastAsia="Barlow Semi Condensed" w:hAnsi="Barlow Semi Condensed"/>
          <w:sz w:val="24"/>
          <w:szCs w:val="24"/>
        </w:rPr>
        <w:t xml:space="preserve"> Roelof Botha, direttore finanziario di PayPal e poi socio e managing partner di Sequoia Capital, è nipote di Roelof Frederik «Pik» Botha, ministro degli Esteri sudafricano dal 1977 al 1994 e poi ministro delle Miniere e dell'Energia nel primo governo Mandela. La parentela è documentata e pubblica: piano 1. È un fatto anagrafico e non contiene, di per sé, alcun enunciato sulla condotta di nessuno dei due.</w:t>
      </w:r>
    </w:p>
    <w:p>
      <w:pPr>
        <w:spacing w:after="120" w:line="276"/>
        <w:jc w:val="both"/>
      </w:pPr>
      <w:r>
        <w:rPr>
          <w:rFonts w:ascii="Barlow Semi Condensed" w:cs="Barlow Semi Condensed" w:eastAsia="Barlow Semi Condensed" w:hAnsi="Barlow Semi Condensed"/>
          <w:b/>
          <w:bCs/>
          <w:sz w:val="24"/>
          <w:szCs w:val="24"/>
        </w:rPr>
        <w:t xml:space="preserve">235 · L'errore più diffuso della materia.</w:t>
      </w:r>
      <w:r>
        <w:rPr>
          <w:rFonts w:ascii="Barlow Semi Condensed" w:cs="Barlow Semi Condensed" w:eastAsia="Barlow Semi Condensed" w:hAnsi="Barlow Semi Condensed"/>
          <w:sz w:val="24"/>
          <w:szCs w:val="24"/>
        </w:rPr>
        <w:t xml:space="preserve"> Pik Botha non era parente di Pieter Willem Botha, primo ministro e poi presidente dello Stato. Sono due uomini politici omonimi di cognome, contemporanei, entrambi al vertice dello stesso governo, e la letteratura in rete li confonde con regolarità. Chi scrive che il dirigente di Sequoia discende dal presidente dell'apartheid ha commesso esattamente questo errore. Va segnalato ogni volta, perché non è un dettaglio: cambia il soggetto della frase.</w:t>
      </w:r>
    </w:p>
    <w:p>
      <w:pPr>
        <w:spacing w:after="120" w:line="276"/>
        <w:jc w:val="both"/>
      </w:pPr>
      <w:r>
        <w:rPr>
          <w:rFonts w:ascii="Barlow Semi Condensed" w:cs="Barlow Semi Condensed" w:eastAsia="Barlow Semi Condensed" w:hAnsi="Barlow Semi Condensed"/>
          <w:b/>
          <w:bCs/>
          <w:sz w:val="24"/>
          <w:szCs w:val="24"/>
        </w:rPr>
        <w:t xml:space="preserve">236 · Perché due Botha non bastano.</w:t>
      </w:r>
      <w:r>
        <w:rPr>
          <w:rFonts w:ascii="Barlow Semi Condensed" w:cs="Barlow Semi Condensed" w:eastAsia="Barlow Semi Condensed" w:hAnsi="Barlow Semi Condensed"/>
          <w:sz w:val="24"/>
          <w:szCs w:val="24"/>
        </w:rPr>
        <w:t xml:space="preserve"> Botha è fra i cognomi afrikaner più diffusi, e la genealogia classica del Capo — i registri raccolti da C.C. de Villiers e ripresi da Cornelis Pama nei Geslagsregisters van die Ou Kaapse Families — lo fa risalire a un capostipite unico del Seicento. Se così è, quasi tutti i Botha sudafricani condividono un antenato remoto. Un antenato a otto generazioni è un dato sul cognome, non sulla famiglia, e non imparenta nessuno in senso utile.</w:t>
      </w:r>
    </w:p>
    <w:p>
      <w:pPr>
        <w:spacing w:after="120" w:line="276"/>
        <w:jc w:val="both"/>
      </w:pPr>
      <w:r>
        <w:rPr>
          <w:rFonts w:ascii="Barlow Semi Condensed" w:cs="Barlow Semi Condensed" w:eastAsia="Barlow Semi Condensed" w:hAnsi="Barlow Semi Condensed"/>
          <w:b/>
          <w:bCs/>
          <w:sz w:val="24"/>
          <w:szCs w:val="24"/>
        </w:rPr>
        <w:t xml:space="preserve">237 · Che cosa significa «non parenti».</w:t>
      </w:r>
      <w:r>
        <w:rPr>
          <w:rFonts w:ascii="Barlow Semi Condensed" w:cs="Barlow Semi Condensed" w:eastAsia="Barlow Semi Condensed" w:hAnsi="Barlow Semi Condensed"/>
          <w:sz w:val="24"/>
          <w:szCs w:val="24"/>
        </w:rPr>
        <w:t xml:space="preserve"> Dire che Pik Botha e P.W. Botha non erano parenti significa che fra loro non risulta un legame prossimo: nessuna fratellanza, nessuna cuginanza di primo o secondo grado, nessuna affinità per matrimonio. Non significa che i due alberi non si tocchino in alcun punto. La negazione va formulata col grado che nega, altrimenti resta vulnerabile alla prima carta parrocchiale che qualcuno esibisca per confutarla.</w:t>
      </w:r>
    </w:p>
    <w:p>
      <w:pPr>
        <w:spacing w:after="120" w:line="276"/>
        <w:jc w:val="both"/>
      </w:pPr>
      <w:r>
        <w:rPr>
          <w:rFonts w:ascii="Barlow Semi Condensed" w:cs="Barlow Semi Condensed" w:eastAsia="Barlow Semi Condensed" w:hAnsi="Barlow Semi Condensed"/>
          <w:b/>
          <w:bCs/>
          <w:sz w:val="24"/>
          <w:szCs w:val="24"/>
        </w:rPr>
        <w:t xml:space="preserve">238 · Bersaglio di smentita: la linea Botha.</w:t>
      </w:r>
      <w:r>
        <w:rPr>
          <w:rFonts w:ascii="Barlow Semi Condensed" w:cs="Barlow Semi Condensed" w:eastAsia="Barlow Semi Condensed" w:hAnsi="Barlow Semi Condensed"/>
          <w:sz w:val="24"/>
          <w:szCs w:val="24"/>
        </w:rPr>
        <w:t xml:space="preserve"> Un legame prossimo fra la linea di Roelof Frederik Botha e quella di Pieter Willem Botha, ove emergesse da un registro anagrafico sudafricano o da un fascicolo di successione, farebbe cadere il blocco precedente e l'avvertenza che lo accompagna. Le sedi che deciderebbero sono il Department of Home Affairs per gli atti di nascita e il Master of the High Court per gli atti di successione. Finché non emerge, la separazione resta accertata.</w:t>
      </w:r>
    </w:p>
    <w:p>
      <w:pPr>
        <w:spacing w:after="120" w:line="276"/>
        <w:jc w:val="both"/>
      </w:pPr>
      <w:r>
        <w:rPr>
          <w:rFonts w:ascii="Barlow Semi Condensed" w:cs="Barlow Semi Condensed" w:eastAsia="Barlow Semi Condensed" w:hAnsi="Barlow Semi Condensed"/>
          <w:b/>
          <w:bCs/>
          <w:sz w:val="24"/>
          <w:szCs w:val="24"/>
        </w:rPr>
        <w:t xml:space="preserve">239 · Omonimia interna alla linea.</w:t>
      </w:r>
      <w:r>
        <w:rPr>
          <w:rFonts w:ascii="Barlow Semi Condensed" w:cs="Barlow Semi Condensed" w:eastAsia="Barlow Semi Condensed" w:hAnsi="Barlow Semi Condensed"/>
          <w:sz w:val="24"/>
          <w:szCs w:val="24"/>
        </w:rPr>
        <w:t xml:space="preserve"> Il nome Roelof Frederik ricorre in questa famiglia in più di una generazione, secondo l'uso onomastico afrikaner che assegna al primogenito il nome del nonno paterno. Quante siano esattamente le generazioni interessate è verifica da condurre sui certificati integrali di nascita. La conseguenza operativa è già chiara: un indice per nome restituisce persone diverse sotto la stessa stringa, e ogni attribuzione va ancorata a una data e non a un nome.</w:t>
      </w:r>
    </w:p>
    <w:p>
      <w:pPr>
        <w:spacing w:after="120" w:line="276"/>
        <w:jc w:val="both"/>
      </w:pPr>
      <w:r>
        <w:rPr>
          <w:rFonts w:ascii="Barlow Semi Condensed" w:cs="Barlow Semi Condensed" w:eastAsia="Barlow Semi Condensed" w:hAnsi="Barlow Semi Condensed"/>
          <w:b/>
          <w:bCs/>
          <w:sz w:val="24"/>
          <w:szCs w:val="24"/>
        </w:rPr>
        <w:t xml:space="preserve">240 · Pik Botha, i fatti pubblici della carica.</w:t>
      </w:r>
      <w:r>
        <w:rPr>
          <w:rFonts w:ascii="Barlow Semi Condensed" w:cs="Barlow Semi Condensed" w:eastAsia="Barlow Semi Condensed" w:hAnsi="Barlow Semi Condensed"/>
          <w:sz w:val="24"/>
          <w:szCs w:val="24"/>
        </w:rPr>
        <w:t xml:space="preserve"> Di Pik Botha sono fatti pubblici la titolarità degli Esteri dal 1977 al 1994, quella delle Miniere e dell'Energia nel governo di unità nazionale guidato da Nelson Mandela, e la morte nel 2018. Sono dati di anagrafe politica, verificabili sulle raccolte ufficiali degli atti del governo sudafricano. La serie li registra e si ferma lì: la valutazione della sua opera non è materia genealogica e appartiene ad altri blocchi.</w:t>
      </w:r>
    </w:p>
    <w:p>
      <w:pPr>
        <w:spacing w:after="120" w:line="276"/>
        <w:jc w:val="both"/>
      </w:pPr>
      <w:r>
        <w:rPr>
          <w:rFonts w:ascii="Barlow Semi Condensed" w:cs="Barlow Semi Condensed" w:eastAsia="Barlow Semi Condensed" w:hAnsi="Barlow Semi Condensed"/>
          <w:b/>
          <w:bCs/>
          <w:sz w:val="24"/>
          <w:szCs w:val="24"/>
        </w:rPr>
        <w:t xml:space="preserve">241 · La TRC come fonte anagrafica.</w:t>
      </w:r>
      <w:r>
        <w:rPr>
          <w:rFonts w:ascii="Barlow Semi Condensed" w:cs="Barlow Semi Condensed" w:eastAsia="Barlow Semi Condensed" w:hAnsi="Barlow Semi Condensed"/>
          <w:sz w:val="24"/>
          <w:szCs w:val="24"/>
        </w:rPr>
        <w:t xml:space="preserve"> Il fondo della Truth and Reconciliation Commission, versato al National Archives and Records Service of South Africa, e gli stenografici delle audizioni dei partiti politici del 1997 contengono deposizioni di ministri in carica negli anni indagati. Per questa serie rilevano a un solo titolo: attestano chi ricoprisse quale funzione e in quale data. Il resto del loro contenuto appartiene ad altre serie e non si trasferisce ai discendenti in alcuna forma.</w:t>
      </w:r>
    </w:p>
    <w:p>
      <w:pPr>
        <w:spacing w:after="120" w:line="276"/>
        <w:jc w:val="both"/>
      </w:pPr>
      <w:r>
        <w:rPr>
          <w:rFonts w:ascii="Barlow Semi Condensed" w:cs="Barlow Semi Condensed" w:eastAsia="Barlow Semi Condensed" w:hAnsi="Barlow Semi Condensed"/>
          <w:b/>
          <w:bCs/>
          <w:sz w:val="24"/>
          <w:szCs w:val="24"/>
        </w:rPr>
        <w:t xml:space="preserve">242 · Il divieto centrale, applicato ai Botha.</w:t>
      </w:r>
      <w:r>
        <w:rPr>
          <w:rFonts w:ascii="Barlow Semi Condensed" w:cs="Barlow Semi Condensed" w:eastAsia="Barlow Semi Condensed" w:hAnsi="Barlow Semi Condensed"/>
          <w:sz w:val="24"/>
          <w:szCs w:val="24"/>
        </w:rPr>
        <w:t xml:space="preserve"> Nulla di ciò che Pik Botha disse o fece in quarant'anni di vita pubblica è attribuibile a suo nipote, e nessun atto professionale del nipote retroagisce sul nonno. Il legame è di sangue e si ferma lì. Il corpus lo scrive già nella tredicesima serie della triangolazione Kissinger, dove si legge che nessuno risponde dei propri congiunti; qui la regola pesa di più, perché le persone nominate sono vive.</w:t>
      </w:r>
    </w:p>
    <w:p>
      <w:pPr>
        <w:spacing w:after="120" w:line="276"/>
        <w:jc w:val="both"/>
      </w:pPr>
      <w:r>
        <w:rPr>
          <w:rFonts w:ascii="Barlow Semi Condensed" w:cs="Barlow Semi Condensed" w:eastAsia="Barlow Semi Condensed" w:hAnsi="Barlow Semi Condensed"/>
          <w:b/>
          <w:bCs/>
          <w:sz w:val="24"/>
          <w:szCs w:val="24"/>
        </w:rPr>
        <w:t xml:space="preserve">243 · Che cosa i depositi societari dicono.</w:t>
      </w:r>
      <w:r>
        <w:rPr>
          <w:rFonts w:ascii="Barlow Semi Condensed" w:cs="Barlow Semi Condensed" w:eastAsia="Barlow Semi Condensed" w:hAnsi="Barlow Semi Condensed"/>
          <w:sz w:val="24"/>
          <w:szCs w:val="24"/>
        </w:rPr>
        <w:t xml:space="preserve"> Nei documenti depositati presso la Securities and Exchange Commission per l'offerta pubblica di PayPal e per gli anni successivi i dirigenti sono nominati con carica e data, e la consultazione avviene in EDGAR senza intermediari. È la fonte con cui accertare che una persona ricoprisse un ruolo: registra l'impiego, non la biografia. Su una parentela sudafricana un prospetto americano tace, e tace perché non è tenuto a dirla.</w:t>
      </w:r>
    </w:p>
    <w:p>
      <w:pPr>
        <w:spacing w:after="120" w:line="276"/>
        <w:jc w:val="both"/>
      </w:pPr>
      <w:r>
        <w:rPr>
          <w:rFonts w:ascii="Barlow Semi Condensed" w:cs="Barlow Semi Condensed" w:eastAsia="Barlow Semi Condensed" w:hAnsi="Barlow Semi Condensed"/>
          <w:b/>
          <w:bCs/>
          <w:sz w:val="24"/>
          <w:szCs w:val="24"/>
        </w:rPr>
        <w:t xml:space="preserve">244 · La regola che definisce il parente.</w:t>
      </w:r>
      <w:r>
        <w:rPr>
          <w:rFonts w:ascii="Barlow Semi Condensed" w:cs="Barlow Semi Condensed" w:eastAsia="Barlow Semi Condensed" w:hAnsi="Barlow Semi Condensed"/>
          <w:sz w:val="24"/>
          <w:szCs w:val="24"/>
        </w:rPr>
        <w:t xml:space="preserve"> Il regolamento della Securities and Exchange Commission impone di dichiarare i rapporti di famiglia fra amministratori e dirigenti della società, e definisce il rapporto come vincolo di sangue, matrimonio o adozione non più remoto del cugino di primo grado. La definizione è preziosa e insieme limitante: crea trasparenza dentro un perimetro stretto e produce silenzio fuori. L'assenza di dichiarazione non è assenza di parentela, è assenza di obbligo.</w:t>
      </w:r>
    </w:p>
    <w:p>
      <w:pPr>
        <w:spacing w:after="120" w:line="276"/>
        <w:jc w:val="both"/>
      </w:pPr>
      <w:r>
        <w:rPr>
          <w:rFonts w:ascii="Barlow Semi Condensed" w:cs="Barlow Semi Condensed" w:eastAsia="Barlow Semi Condensed" w:hAnsi="Barlow Semi Condensed"/>
          <w:b/>
          <w:bCs/>
          <w:sz w:val="24"/>
          <w:szCs w:val="24"/>
        </w:rPr>
        <w:t xml:space="preserve">245 · Sequoia Capital, i fatti societari.</w:t>
      </w:r>
      <w:r>
        <w:rPr>
          <w:rFonts w:ascii="Barlow Semi Condensed" w:cs="Barlow Semi Condensed" w:eastAsia="Barlow Semi Condensed" w:hAnsi="Barlow Semi Condensed"/>
          <w:sz w:val="24"/>
          <w:szCs w:val="24"/>
        </w:rPr>
        <w:t xml:space="preserve"> Che Roelof Botha sia socio di Sequoia Capital e ne guidi la gestione è fatto pubblico, dichiarato dalla società stessa; i depositi presso la Securities and Exchange Commission relativi ai fondi gestiti e ai consigli occupati ne offrono il riscontro formale. Questi blocchi registrano l'impiego e nient'altro: una carica non è una discendenza politica, e nessun fondo d'investimento eredita la storia di uno Stato.</w:t>
      </w:r>
    </w:p>
    <w:p>
      <w:pPr>
        <w:spacing w:after="120" w:line="276"/>
        <w:jc w:val="both"/>
      </w:pPr>
      <w:r>
        <w:rPr>
          <w:rFonts w:ascii="Barlow Semi Condensed" w:cs="Barlow Semi Condensed" w:eastAsia="Barlow Semi Condensed" w:hAnsi="Barlow Semi Condensed"/>
          <w:b/>
          <w:bCs/>
          <w:sz w:val="24"/>
          <w:szCs w:val="24"/>
        </w:rPr>
        <w:t xml:space="preserve">246 · Bersaglio di smentita: il nesso di carriera.</w:t>
      </w:r>
      <w:r>
        <w:rPr>
          <w:rFonts w:ascii="Barlow Semi Condensed" w:cs="Barlow Semi Condensed" w:eastAsia="Barlow Semi Condensed" w:hAnsi="Barlow Semi Condensed"/>
          <w:sz w:val="24"/>
          <w:szCs w:val="24"/>
        </w:rPr>
        <w:t xml:space="preserve"> La tesi di continuità cadrebbe se si dimostrasse che la carriera finanziaria qui discussa dipese da un atto documentato del nonno: una raccomandazione scritta, un finanziamento tracciato, una partecipazione societaria trasmessa. Il luogo dove cercarlo è duplice, gli atti societari sudafricani depositati presso la Companies and Intellectual Property Commission e i trasferimenti immobiliari del Deeds Office di Pretoria. Nessuno di questi documenti risulta, allo stato, in atti.</w:t>
      </w:r>
    </w:p>
    <w:p>
      <w:pPr>
        <w:spacing w:after="120" w:line="276"/>
        <w:jc w:val="both"/>
      </w:pPr>
      <w:r>
        <w:rPr>
          <w:rFonts w:ascii="Barlow Semi Condensed" w:cs="Barlow Semi Condensed" w:eastAsia="Barlow Semi Condensed" w:hAnsi="Barlow Semi Condensed"/>
          <w:b/>
          <w:bCs/>
          <w:sz w:val="24"/>
          <w:szCs w:val="24"/>
        </w:rPr>
        <w:t xml:space="preserve">247 · Che cosa non prova un passaporto.</w:t>
      </w:r>
      <w:r>
        <w:rPr>
          <w:rFonts w:ascii="Barlow Semi Condensed" w:cs="Barlow Semi Condensed" w:eastAsia="Barlow Semi Condensed" w:hAnsi="Barlow Semi Condensed"/>
          <w:sz w:val="24"/>
          <w:szCs w:val="24"/>
        </w:rPr>
        <w:t xml:space="preserve"> Nascere cittadini sudafricani è condizione giuridica che milioni di persone condividono, e perciò non seleziona nulla. Usarla per costruire un gruppo — «i sudafricani della valle» — significa scegliere il carattere più comune possibile e chiamarlo diagnostico. In sistematica il carattere condiviso da tutti non individua alcun gruppo, come il corpus scrive al blocco 396 della triangolazione Kissinger, e la regola vale qui senza attenuazioni.</w:t>
      </w:r>
    </w:p>
    <w:p>
      <w:pPr>
        <w:spacing w:after="120" w:line="276"/>
        <w:jc w:val="both"/>
      </w:pPr>
      <w:r>
        <w:rPr>
          <w:rFonts w:ascii="Barlow Semi Condensed" w:cs="Barlow Semi Condensed" w:eastAsia="Barlow Semi Condensed" w:hAnsi="Barlow Semi Condensed"/>
          <w:b/>
          <w:bCs/>
          <w:sz w:val="24"/>
          <w:szCs w:val="24"/>
        </w:rPr>
        <w:t xml:space="preserve">248 · Il nonno e il dicastero minerario.</w:t>
      </w:r>
      <w:r>
        <w:rPr>
          <w:rFonts w:ascii="Barlow Semi Condensed" w:cs="Barlow Semi Condensed" w:eastAsia="Barlow Semi Condensed" w:hAnsi="Barlow Semi Condensed"/>
          <w:sz w:val="24"/>
          <w:szCs w:val="24"/>
        </w:rPr>
        <w:t xml:space="preserve"> Il dicastero delle Miniere e dell'Energia, tenuto da Pik Botha dopo il 1994, è verificabile negli atti ufficiali del governo sudafricano di quegli anni. Chi volesse costruirvi sopra un ponte con vicende estrattive di altri nomi trattati in quest'opera deve produrre un atto che nomini la controparte: una concessione, un contratto, un verbale. In assenza, la coincidenza di materia resta piano 2 e non si promuove a nesso.</w:t>
      </w:r>
    </w:p>
    <w:p>
      <w:pPr>
        <w:spacing w:after="120" w:line="276"/>
        <w:jc w:val="both"/>
      </w:pPr>
      <w:r>
        <w:rPr>
          <w:rFonts w:ascii="Barlow Semi Condensed" w:cs="Barlow Semi Condensed" w:eastAsia="Barlow Semi Condensed" w:hAnsi="Barlow Semi Condensed"/>
          <w:b/>
          <w:bCs/>
          <w:sz w:val="24"/>
          <w:szCs w:val="24"/>
        </w:rPr>
        <w:t xml:space="preserve">249 · Il grado dichiarato del caso Botha.</w:t>
      </w:r>
      <w:r>
        <w:rPr>
          <w:rFonts w:ascii="Barlow Semi Condensed" w:cs="Barlow Semi Condensed" w:eastAsia="Barlow Semi Condensed" w:hAnsi="Barlow Semi Condensed"/>
          <w:sz w:val="24"/>
          <w:szCs w:val="24"/>
        </w:rPr>
        <w:t xml:space="preserve"> Riassumendo con i gradi che il corpus impone: la parentela nonno-nipote è documentata; la non parentela fra i due Botha politici è accertata nei termini del grado prossimo; l'assenza di un atto che colleghi la carriera del nipote a un intervento del nonno è Stato Zero, cioè esito di ricerca e non lacuna da riempire con la congettura. Tre righe distinte, tre statuti distinti, e nessuna che sostenga le altre.</w:t>
      </w:r>
    </w:p>
    <w:p>
      <w:pPr>
        <w:spacing w:after="120" w:line="276"/>
        <w:jc w:val="both"/>
      </w:pPr>
      <w:r>
        <w:rPr>
          <w:rFonts w:ascii="Barlow Semi Condensed" w:cs="Barlow Semi Condensed" w:eastAsia="Barlow Semi Condensed" w:hAnsi="Barlow Semi Condensed"/>
          <w:b/>
          <w:bCs/>
          <w:sz w:val="24"/>
          <w:szCs w:val="24"/>
        </w:rPr>
        <w:t xml:space="preserve">250 · Joshua Norman Haldeman, i dati.</w:t>
      </w:r>
      <w:r>
        <w:rPr>
          <w:rFonts w:ascii="Barlow Semi Condensed" w:cs="Barlow Semi Condensed" w:eastAsia="Barlow Semi Condensed" w:hAnsi="Barlow Semi Condensed"/>
          <w:sz w:val="24"/>
          <w:szCs w:val="24"/>
        </w:rPr>
        <w:t xml:space="preserve"> Joshua Norman Haldeman, nato nel 1902 e morto nel 1974, canadese, aderente al movimento Technocracy, emigrò in Sud Africa nel 1950 ed è il nonno materno di Elon Musk. Sostenne pubblicamente l'apartheid ed espresse ripetutamente posizioni razziste e antisemite: l'inchiesta della Canadian Broadcasting Corporation lo documenta su carte e stampati d'epoca. I fatti sono suoi, la loro registrazione è dovuta, la loro attribuzione ad altri è vietata.</w:t>
      </w:r>
    </w:p>
    <w:p>
      <w:pPr>
        <w:spacing w:after="120" w:line="276"/>
        <w:jc w:val="both"/>
      </w:pPr>
      <w:r>
        <w:rPr>
          <w:rFonts w:ascii="Barlow Semi Condensed" w:cs="Barlow Semi Condensed" w:eastAsia="Barlow Semi Condensed" w:hAnsi="Barlow Semi Condensed"/>
          <w:b/>
          <w:bCs/>
          <w:sz w:val="24"/>
          <w:szCs w:val="24"/>
        </w:rPr>
        <w:t xml:space="preserve">251 · Lo Stato Zero sull'affiliazione nazista.</w:t>
      </w:r>
      <w:r>
        <w:rPr>
          <w:rFonts w:ascii="Barlow Semi Condensed" w:cs="Barlow Semi Condensed" w:eastAsia="Barlow Semi Condensed" w:hAnsi="Barlow Semi Condensed"/>
          <w:sz w:val="24"/>
          <w:szCs w:val="24"/>
        </w:rPr>
        <w:t xml:space="preserve"> Non risulta prova che Haldeman appartenesse a partiti nazisti. È uno Stato Zero verificato e come tale vale pienamente: si è cercato e non si è trovato. Chi lo affermasse dovrebbe produrre un tesseramento, un verbale di polizia, un elenco nominativo; le sedi sono i fondi di sicurezza canadesi conservati presso Library and Archives Canada e i registri di polizia sudafricani versati agli archivi di Pretoria.</w:t>
      </w:r>
    </w:p>
    <w:p>
      <w:pPr>
        <w:spacing w:after="120" w:line="276"/>
        <w:jc w:val="both"/>
      </w:pPr>
      <w:r>
        <w:rPr>
          <w:rFonts w:ascii="Barlow Semi Condensed" w:cs="Barlow Semi Condensed" w:eastAsia="Barlow Semi Condensed" w:hAnsi="Barlow Semi Condensed"/>
          <w:b/>
          <w:bCs/>
          <w:sz w:val="24"/>
          <w:szCs w:val="24"/>
        </w:rPr>
        <w:t xml:space="preserve">252 · Technocracy, e la sua natura.</w:t>
      </w:r>
      <w:r>
        <w:rPr>
          <w:rFonts w:ascii="Barlow Semi Condensed" w:cs="Barlow Semi Condensed" w:eastAsia="Barlow Semi Condensed" w:hAnsi="Barlow Semi Condensed"/>
          <w:sz w:val="24"/>
          <w:szCs w:val="24"/>
        </w:rPr>
        <w:t xml:space="preserve"> Technocracy Incorporated fu movimento nordamericano degli anni Trenta e Quaranta, con sezione canadese e con una storia amministrativa che lasciò carte: statuti, bollettini, provvedimenti governativi che ne limitarono l'attività in tempo di guerra. Le sue posizioni non coincidono con quelle dei partiti europei del medesimo periodo, ed equipararle per assonanza è analogia e non omologia. Gli archivi che permettono di distinguere sono canadesi, pubblici e poco frequentati.</w:t>
      </w:r>
    </w:p>
    <w:p>
      <w:pPr>
        <w:spacing w:after="120" w:line="276"/>
        <w:jc w:val="both"/>
      </w:pPr>
      <w:r>
        <w:rPr>
          <w:rFonts w:ascii="Barlow Semi Condensed" w:cs="Barlow Semi Condensed" w:eastAsia="Barlow Semi Condensed" w:hAnsi="Barlow Semi Condensed"/>
          <w:b/>
          <w:bCs/>
          <w:sz w:val="24"/>
          <w:szCs w:val="24"/>
        </w:rPr>
        <w:t xml:space="preserve">253 · L'emigrazione del 1950, dove si documenta.</w:t>
      </w:r>
      <w:r>
        <w:rPr>
          <w:rFonts w:ascii="Barlow Semi Condensed" w:cs="Barlow Semi Condensed" w:eastAsia="Barlow Semi Condensed" w:hAnsi="Barlow Semi Condensed"/>
          <w:sz w:val="24"/>
          <w:szCs w:val="24"/>
        </w:rPr>
        <w:t xml:space="preserve"> Il trasferimento di una famiglia canadese in Sud Africa nel 1950 lascia traccia in tre luoghi distinti: i passaporti e i registri d'uscita canadesi, gli atti d'immigrazione dell'amministrazione sudafricana oggi conservati al National Archives di Pretoria, e le liste passeggeri delle compagnie di navigazione. Non è un dettaglio biografico da citare di seconda mano: è un fatto d'archivio, e va chiesto dove effettivamente sta.</w:t>
      </w:r>
    </w:p>
    <w:p>
      <w:pPr>
        <w:spacing w:after="120" w:line="276"/>
        <w:jc w:val="both"/>
      </w:pPr>
      <w:r>
        <w:rPr>
          <w:rFonts w:ascii="Barlow Semi Condensed" w:cs="Barlow Semi Condensed" w:eastAsia="Barlow Semi Condensed" w:hAnsi="Barlow Semi Condensed"/>
          <w:b/>
          <w:bCs/>
          <w:sz w:val="24"/>
          <w:szCs w:val="24"/>
        </w:rPr>
        <w:t xml:space="preserve">254 · Bersaglio di smentita: le opinioni del nonno.</w:t>
      </w:r>
      <w:r>
        <w:rPr>
          <w:rFonts w:ascii="Barlow Semi Condensed" w:cs="Barlow Semi Condensed" w:eastAsia="Barlow Semi Condensed" w:hAnsi="Barlow Semi Condensed"/>
          <w:sz w:val="24"/>
          <w:szCs w:val="24"/>
        </w:rPr>
        <w:t xml:space="preserve"> Un documento in cui Joshua Haldeman ritratti o attenui le posizioni che gli sono attribuite obbligherebbe a correggere il quadro in quel punto, e a dirlo per iscritto. Dove cercarlo è noto: i suoi stessi scritti a stampa, la corrispondenza eventualmente conservata dalla famiglia, gli archivi dei periodici che lo ospitarono. Finché non emerge, la documentazione della Canadian Broadcasting Corporation regge, e regge soltanto su di lui.</w:t>
      </w:r>
    </w:p>
    <w:p>
      <w:pPr>
        <w:spacing w:after="120" w:line="276"/>
        <w:jc w:val="both"/>
      </w:pPr>
      <w:r>
        <w:rPr>
          <w:rFonts w:ascii="Barlow Semi Condensed" w:cs="Barlow Semi Condensed" w:eastAsia="Barlow Semi Condensed" w:hAnsi="Barlow Semi Condensed"/>
          <w:b/>
          <w:bCs/>
          <w:sz w:val="24"/>
          <w:szCs w:val="24"/>
        </w:rPr>
        <w:t xml:space="preserve">255 · Il divieto che quest'opera esiste per imporre.</w:t>
      </w:r>
      <w:r>
        <w:rPr>
          <w:rFonts w:ascii="Barlow Semi Condensed" w:cs="Barlow Semi Condensed" w:eastAsia="Barlow Semi Condensed" w:hAnsi="Barlow Semi Condensed"/>
          <w:sz w:val="24"/>
          <w:szCs w:val="24"/>
        </w:rPr>
        <w:t xml:space="preserve"> Un nipote nato nel 1971 non risponde delle opinioni di un nonno morto nel 1974. Non è cortesia: è il principio personalistico che il corpus applica dalla Fase decima dell'opera su Aldo Moro, dove la colpa non è mai del gruppo ed è sempre della persona. Chi cita una genealogia per suggerire una continuità di idee compie un'operazione che nessun documento sostiene e che il metodo espressamente vieta.</w:t>
      </w:r>
    </w:p>
    <w:p>
      <w:pPr>
        <w:spacing w:after="120" w:line="276"/>
        <w:jc w:val="both"/>
      </w:pPr>
      <w:r>
        <w:rPr>
          <w:rFonts w:ascii="Barlow Semi Condensed" w:cs="Barlow Semi Condensed" w:eastAsia="Barlow Semi Condensed" w:hAnsi="Barlow Semi Condensed"/>
          <w:b/>
          <w:bCs/>
          <w:sz w:val="24"/>
          <w:szCs w:val="24"/>
        </w:rPr>
        <w:t xml:space="preserve">256 · La doppia trasmissione, e il suo trucco.</w:t>
      </w:r>
      <w:r>
        <w:rPr>
          <w:rFonts w:ascii="Barlow Semi Condensed" w:cs="Barlow Semi Condensed" w:eastAsia="Barlow Semi Condensed" w:hAnsi="Barlow Semi Condensed"/>
          <w:sz w:val="24"/>
          <w:szCs w:val="24"/>
        </w:rPr>
        <w:t xml:space="preserve"> L'argomento da smontare ha due passaggi, e solo il primo viene esibito. Il primo è vero: esiste una discendenza di sangue documentata. Il secondo è taciuto: si suppone che lungo quella discendenza sia passata anche un'eredità di idee. Il primo si prova con un certificato; il secondo richiederebbe lettere, letture attestate, dichiarazioni. Chi non produce il secondo ha dimostrato solo il primo, e il primo su questo non dice nulla.</w:t>
      </w:r>
    </w:p>
    <w:p>
      <w:pPr>
        <w:spacing w:after="120" w:line="276"/>
        <w:jc w:val="both"/>
      </w:pPr>
      <w:r>
        <w:rPr>
          <w:rFonts w:ascii="Barlow Semi Condensed" w:cs="Barlow Semi Condensed" w:eastAsia="Barlow Semi Condensed" w:hAnsi="Barlow Semi Condensed"/>
          <w:b/>
          <w:bCs/>
          <w:sz w:val="24"/>
          <w:szCs w:val="24"/>
        </w:rPr>
        <w:t xml:space="preserve">257 · Maye Musk, i fatti pubblici.</w:t>
      </w:r>
      <w:r>
        <w:rPr>
          <w:rFonts w:ascii="Barlow Semi Condensed" w:cs="Barlow Semi Condensed" w:eastAsia="Barlow Semi Condensed" w:hAnsi="Barlow Semi Condensed"/>
          <w:sz w:val="24"/>
          <w:szCs w:val="24"/>
        </w:rPr>
        <w:t xml:space="preserve"> Maye Musk, nata Haldeman nel 1948 in Canada, figlia di Joshua e di Winnifred, è madre di Elon, Kimbal e Tosca Musk, ha una carriera pubblica propria come dietista e come modella e ha rilasciato interviste in quantità. La sua nascita canadese è, come si vedrà nel blocco seguente, il fatto genealogico dalla conseguenza giuridica più concreta dell'intera serie: da essa discende una cittadinanza.</w:t>
      </w:r>
    </w:p>
    <w:p>
      <w:pPr>
        <w:spacing w:after="120" w:line="276"/>
        <w:jc w:val="both"/>
      </w:pPr>
      <w:r>
        <w:rPr>
          <w:rFonts w:ascii="Barlow Semi Condensed" w:cs="Barlow Semi Condensed" w:eastAsia="Barlow Semi Condensed" w:hAnsi="Barlow Semi Condensed"/>
          <w:b/>
          <w:bCs/>
          <w:sz w:val="24"/>
          <w:szCs w:val="24"/>
        </w:rPr>
        <w:t xml:space="preserve">258 · La cittadinanza per discendenza.</w:t>
      </w:r>
      <w:r>
        <w:rPr>
          <w:rFonts w:ascii="Barlow Semi Condensed" w:cs="Barlow Semi Condensed" w:eastAsia="Barlow Semi Condensed" w:hAnsi="Barlow Semi Condensed"/>
          <w:sz w:val="24"/>
          <w:szCs w:val="24"/>
        </w:rPr>
        <w:t xml:space="preserve"> Elon Musk, nato a Pretoria nel 1971, è cittadino sudafricano per nascita, ottenne quella canadese in ragione della nascita canadese della madre e acquisì in seguito quella statunitense. È il caso in cui una parentela produce un effetto misurabile, perché la legge la converte in status. Le sedi che lo documentano sono tre e ordinarie: atti di nascita sudafricani, registri di cittadinanza canadesi, atti di naturalizzazione americani.</w:t>
      </w:r>
    </w:p>
    <w:p>
      <w:pPr>
        <w:spacing w:after="120" w:line="276"/>
        <w:jc w:val="both"/>
      </w:pPr>
      <w:r>
        <w:rPr>
          <w:rFonts w:ascii="Barlow Semi Condensed" w:cs="Barlow Semi Condensed" w:eastAsia="Barlow Semi Condensed" w:hAnsi="Barlow Semi Condensed"/>
          <w:b/>
          <w:bCs/>
          <w:sz w:val="24"/>
          <w:szCs w:val="24"/>
        </w:rPr>
        <w:t xml:space="preserve">259 · Quando la parentela è operativa.</w:t>
      </w:r>
      <w:r>
        <w:rPr>
          <w:rFonts w:ascii="Barlow Semi Condensed" w:cs="Barlow Semi Condensed" w:eastAsia="Barlow Semi Condensed" w:hAnsi="Barlow Semi Condensed"/>
          <w:sz w:val="24"/>
          <w:szCs w:val="24"/>
        </w:rPr>
        <w:t xml:space="preserve"> Dal caso precedente discende la distinzione che regge l'intera serie. Una parentela è operativa quando una norma le assegna un effetto — successione, cittadinanza, obbligo di dichiarazione societaria — e allora produce documenti e si accerta come qualunque altro fatto giuridico. È inerte quando serve soltanto a suggerire una somiglianza morale fra due persone. La prima si studia; la seconda si nomina per ciò che è e si lascia dov'è.</w:t>
      </w:r>
    </w:p>
    <w:p>
      <w:pPr>
        <w:spacing w:after="120" w:line="276"/>
        <w:jc w:val="both"/>
      </w:pPr>
      <w:r>
        <w:rPr>
          <w:rFonts w:ascii="Barlow Semi Condensed" w:cs="Barlow Semi Condensed" w:eastAsia="Barlow Semi Condensed" w:hAnsi="Barlow Semi Condensed"/>
          <w:b/>
          <w:bCs/>
          <w:sz w:val="24"/>
          <w:szCs w:val="24"/>
        </w:rPr>
        <w:t xml:space="preserve">260 · Errol Musk, e la miniera che manca.</w:t>
      </w:r>
      <w:r>
        <w:rPr>
          <w:rFonts w:ascii="Barlow Semi Condensed" w:cs="Barlow Semi Condensed" w:eastAsia="Barlow Semi Condensed" w:hAnsi="Barlow Semi Condensed"/>
          <w:sz w:val="24"/>
          <w:szCs w:val="24"/>
        </w:rPr>
        <w:t xml:space="preserve"> Il padre di Elon Musk rivendica pubblicamente un'attività informale legata a smeraldi in Zambia; il figlio ha negato pubblicamente che una miniera esistesse e ne ha chiesto la prova; il biografo Walter Isaacson descrive l'acquisto informale di pietre grezze e non una proprietà mineraria. Nessun documento di titolarità è mai emerso. La divergenza si riporta in tre righe che non si sciolgono l'una nell'altra e non si arbitrano qui.</w:t>
      </w:r>
    </w:p>
    <w:p>
      <w:pPr>
        <w:spacing w:after="120" w:line="276"/>
        <w:jc w:val="both"/>
      </w:pPr>
      <w:r>
        <w:rPr>
          <w:rFonts w:ascii="Barlow Semi Condensed" w:cs="Barlow Semi Condensed" w:eastAsia="Barlow Semi Condensed" w:hAnsi="Barlow Semi Condensed"/>
          <w:b/>
          <w:bCs/>
          <w:sz w:val="24"/>
          <w:szCs w:val="24"/>
        </w:rPr>
        <w:t xml:space="preserve">261 · Dove si chiuderebbe la questione smeraldi.</w:t>
      </w:r>
      <w:r>
        <w:rPr>
          <w:rFonts w:ascii="Barlow Semi Condensed" w:cs="Barlow Semi Condensed" w:eastAsia="Barlow Semi Condensed" w:hAnsi="Barlow Semi Condensed"/>
          <w:sz w:val="24"/>
          <w:szCs w:val="24"/>
        </w:rPr>
        <w:t xml:space="preserve"> Una concessione mineraria zambiana lascia un titolo: la licenza rilasciata dall'autorità competente in materia di miniere e l'iscrizione della società presso il registro delle imprese dello Zambia. Chi sostiene l'esistenza della miniera deve produrre l'una o l'altra; chi la nega può appoggiarsi all'assenza in quei registri, purché la ricerca sia stata condotta e verbalizzata. È un caso di scuola in cui lo Stato Zero decide la contesa.</w:t>
      </w:r>
    </w:p>
    <w:p>
      <w:pPr>
        <w:spacing w:after="120" w:line="276"/>
        <w:jc w:val="both"/>
      </w:pPr>
      <w:r>
        <w:rPr>
          <w:rFonts w:ascii="Barlow Semi Condensed" w:cs="Barlow Semi Condensed" w:eastAsia="Barlow Semi Condensed" w:hAnsi="Barlow Semi Condensed"/>
          <w:b/>
          <w:bCs/>
          <w:sz w:val="24"/>
          <w:szCs w:val="24"/>
        </w:rPr>
        <w:t xml:space="preserve">262 · Bersaglio di smentita: il patrimonio d'origine.</w:t>
      </w:r>
      <w:r>
        <w:rPr>
          <w:rFonts w:ascii="Barlow Semi Condensed" w:cs="Barlow Semi Condensed" w:eastAsia="Barlow Semi Condensed" w:hAnsi="Barlow Semi Condensed"/>
          <w:sz w:val="24"/>
          <w:szCs w:val="24"/>
        </w:rPr>
        <w:t xml:space="preserve"> Il capitale iniziale della famiglia, secondo una tesi assai ripetuta, discenderebbe da un'estrazione mineraria in regime coloniale. Cadrebbe alla produzione di un solo documento contrario — un bilancio, una dichiarazione fiscale d'epoca, un atto di vendita — e cadrebbe altrettanto la tesi opposta. Le sedi sono i registri fiscali sudafricani e i trasferimenti del Deeds Office. Nessuna delle due parti ha finora depositato carta alcuna.</w:t>
      </w:r>
    </w:p>
    <w:p>
      <w:pPr>
        <w:spacing w:after="120" w:line="276"/>
        <w:jc w:val="both"/>
      </w:pPr>
      <w:r>
        <w:rPr>
          <w:rFonts w:ascii="Barlow Semi Condensed" w:cs="Barlow Semi Condensed" w:eastAsia="Barlow Semi Condensed" w:hAnsi="Barlow Semi Condensed"/>
          <w:b/>
          <w:bCs/>
          <w:sz w:val="24"/>
          <w:szCs w:val="24"/>
        </w:rPr>
        <w:t xml:space="preserve">263 · L'infanzia non è una scelta.</w:t>
      </w:r>
      <w:r>
        <w:rPr>
          <w:rFonts w:ascii="Barlow Semi Condensed" w:cs="Barlow Semi Condensed" w:eastAsia="Barlow Semi Condensed" w:hAnsi="Barlow Semi Condensed"/>
          <w:sz w:val="24"/>
          <w:szCs w:val="24"/>
        </w:rPr>
        <w:t xml:space="preserve"> Chi nasce a Pretoria nel 1971, o a Città del Capo nel 1972, non ha scelto il regime in cui è nato, la scuola in cui fu iscritto, il quartiere in cui visse. Sono circostanze subite ed entrano nel corpus a titolo di contesto, mai di imputazione. La regola non protegge nessuno in particolare: protegge la differenza fra biografia e responsabilità, che è ciò che rende leggibile un'opera storica.</w:t>
      </w:r>
    </w:p>
    <w:p>
      <w:pPr>
        <w:spacing w:after="120" w:line="276"/>
        <w:jc w:val="both"/>
      </w:pPr>
      <w:r>
        <w:rPr>
          <w:rFonts w:ascii="Barlow Semi Condensed" w:cs="Barlow Semi Condensed" w:eastAsia="Barlow Semi Condensed" w:hAnsi="Barlow Semi Condensed"/>
          <w:b/>
          <w:bCs/>
          <w:sz w:val="24"/>
          <w:szCs w:val="24"/>
        </w:rPr>
        <w:t xml:space="preserve">264 · Kimbal Musk, fratello e socio.</w:t>
      </w:r>
      <w:r>
        <w:rPr>
          <w:rFonts w:ascii="Barlow Semi Condensed" w:cs="Barlow Semi Condensed" w:eastAsia="Barlow Semi Condensed" w:hAnsi="Barlow Semi Condensed"/>
          <w:sz w:val="24"/>
          <w:szCs w:val="24"/>
        </w:rPr>
        <w:t xml:space="preserve"> Kimbal Musk è fratello di Elon e fu con lui socio nella prima impresa, Zip2, ceduta nel 1999. Qui parentela e rapporto societario coincidono, e coincidendo diventano entrambi verificabili: gli atti costitutivi depositati presso il segretario di Stato della California e i documenti dell'operazione di cessione. È l'unico modo corretto di usare un legame familiare in una ricostruzione: quando produce un atto, si cita l'atto.</w:t>
      </w:r>
    </w:p>
    <w:p>
      <w:pPr>
        <w:spacing w:after="120" w:line="276"/>
        <w:jc w:val="both"/>
      </w:pPr>
      <w:r>
        <w:rPr>
          <w:rFonts w:ascii="Barlow Semi Condensed" w:cs="Barlow Semi Condensed" w:eastAsia="Barlow Semi Condensed" w:hAnsi="Barlow Semi Condensed"/>
          <w:b/>
          <w:bCs/>
          <w:sz w:val="24"/>
          <w:szCs w:val="24"/>
        </w:rPr>
        <w:t xml:space="preserve">265 · I cugini Rive, dichiarati in atti.</w:t>
      </w:r>
      <w:r>
        <w:rPr>
          <w:rFonts w:ascii="Barlow Semi Condensed" w:cs="Barlow Semi Condensed" w:eastAsia="Barlow Semi Condensed" w:hAnsi="Barlow Semi Condensed"/>
          <w:sz w:val="24"/>
          <w:szCs w:val="24"/>
        </w:rPr>
        <w:t xml:space="preserve"> Lyndon e Peter Rive, fondatori di SolarCity, sono cugini di primo grado di Elon Musk per parte di madre. La parentela non è deduzione di stampa: fu dichiarata nella documentazione depositata presso la Securities and Exchange Commission per l'operazione con cui Tesla acquisì la società nel 2016, perché il regolamento impone di dichiarare i rapporti familiari fino al primo grado di cuginanza. Un deposito societario è, in quel punto, atto genealogico.</w:t>
      </w:r>
    </w:p>
    <w:p>
      <w:pPr>
        <w:spacing w:after="120" w:line="276"/>
        <w:jc w:val="both"/>
      </w:pPr>
      <w:r>
        <w:rPr>
          <w:rFonts w:ascii="Barlow Semi Condensed" w:cs="Barlow Semi Condensed" w:eastAsia="Barlow Semi Condensed" w:hAnsi="Barlow Semi Condensed"/>
          <w:b/>
          <w:bCs/>
          <w:sz w:val="24"/>
          <w:szCs w:val="24"/>
        </w:rPr>
        <w:t xml:space="preserve">266 · La famiglia come rete d'impresa.</w:t>
      </w:r>
      <w:r>
        <w:rPr>
          <w:rFonts w:ascii="Barlow Semi Condensed" w:cs="Barlow Semi Condensed" w:eastAsia="Barlow Semi Condensed" w:hAnsi="Barlow Semi Condensed"/>
          <w:sz w:val="24"/>
          <w:szCs w:val="24"/>
        </w:rPr>
        <w:t xml:space="preserve"> Nei tre casi appena visti — fratello, cugini, madre — la parentela compare in atti d'impresa perché la legge le assegna rilievo. Se ne ricava una regola di ricerca e non una tesi: le genealogie utili di questa materia stanno nei fascicoli societari prima che negli alberi compilati dai curiosi. Chi cerca un parente cominci da un prospetto d'offerta e da un verbale di consiglio, e finisca in anagrafe.</w:t>
      </w:r>
    </w:p>
    <w:p>
      <w:pPr>
        <w:spacing w:after="120" w:line="276"/>
        <w:jc w:val="both"/>
      </w:pPr>
      <w:r>
        <w:rPr>
          <w:rFonts w:ascii="Barlow Semi Condensed" w:cs="Barlow Semi Condensed" w:eastAsia="Barlow Semi Condensed" w:hAnsi="Barlow Semi Condensed"/>
          <w:b/>
          <w:bCs/>
          <w:sz w:val="24"/>
          <w:szCs w:val="24"/>
        </w:rPr>
        <w:t xml:space="preserve">267 · Winnifred Fletcher, la linea materna.</w:t>
      </w:r>
      <w:r>
        <w:rPr>
          <w:rFonts w:ascii="Barlow Semi Condensed" w:cs="Barlow Semi Condensed" w:eastAsia="Barlow Semi Condensed" w:hAnsi="Barlow Semi Condensed"/>
          <w:sz w:val="24"/>
          <w:szCs w:val="24"/>
        </w:rPr>
        <w:t xml:space="preserve"> Winnifred Josephine Fletcher, coniugata Haldeman, è la nonna materna da cui passa la cittadinanza canadese della figlia e quindi del nipote. Le donne scompaiono dalle genealogie perché cambiano cognome, e questa serie annota il difetto: un albero costruito sui soli cognomi paterni perde metà dei rami e, in questo caso preciso, avrebbe perduto proprio il ramo giuridicamente decisivo.</w:t>
      </w:r>
    </w:p>
    <w:p>
      <w:pPr>
        <w:spacing w:after="120" w:line="276"/>
        <w:jc w:val="both"/>
      </w:pPr>
      <w:r>
        <w:rPr>
          <w:rFonts w:ascii="Barlow Semi Condensed" w:cs="Barlow Semi Condensed" w:eastAsia="Barlow Semi Condensed" w:hAnsi="Barlow Semi Condensed"/>
          <w:b/>
          <w:bCs/>
          <w:sz w:val="24"/>
          <w:szCs w:val="24"/>
        </w:rPr>
        <w:t xml:space="preserve">268 · Tosca Musk, e il criterio d'ingresso.</w:t>
      </w:r>
      <w:r>
        <w:rPr>
          <w:rFonts w:ascii="Barlow Semi Condensed" w:cs="Barlow Semi Condensed" w:eastAsia="Barlow Semi Condensed" w:hAnsi="Barlow Semi Condensed"/>
          <w:sz w:val="24"/>
          <w:szCs w:val="24"/>
        </w:rPr>
        <w:t xml:space="preserve"> Tosca Musk, sorella di Elon e Kimbal, ha una carriera propria nel cinema. Compare qui per una sola ragione, che vale come criterio generale: si nomina un membro di famiglia quando il legame è già pubblico e quando è pertinente a una domanda formulata. Fuori da queste due condizioni un nome si omette, anche se reperibile in dieci secondi, perché la reperibilità non è un titolo.</w:t>
      </w:r>
    </w:p>
    <w:p>
      <w:pPr>
        <w:spacing w:after="120" w:line="276"/>
        <w:jc w:val="both"/>
      </w:pPr>
      <w:r>
        <w:rPr>
          <w:rFonts w:ascii="Barlow Semi Condensed" w:cs="Barlow Semi Condensed" w:eastAsia="Barlow Semi Condensed" w:hAnsi="Barlow Semi Condensed"/>
          <w:b/>
          <w:bCs/>
          <w:sz w:val="24"/>
          <w:szCs w:val="24"/>
        </w:rPr>
        <w:t xml:space="preserve">269 · La linea che genera i cugini.</w:t>
      </w:r>
      <w:r>
        <w:rPr>
          <w:rFonts w:ascii="Barlow Semi Condensed" w:cs="Barlow Semi Condensed" w:eastAsia="Barlow Semi Condensed" w:hAnsi="Barlow Semi Condensed"/>
          <w:sz w:val="24"/>
          <w:szCs w:val="24"/>
        </w:rPr>
        <w:t xml:space="preserve"> I cugini di cui si è detto discendono dalla sorella della madre: la parentela di primo grado si stabilisce per quella via e non per via paterna. Il dettaglio conta perché indica dove cercare, nei registri canadesi di nascita del 1948 e nei successivi atti di matrimonio sudafricani, e perché mostra che il ramo utile di un albero è spesso quello che i compilatori tralasciano, cioè quello femminile.</w:t>
      </w:r>
    </w:p>
    <w:p>
      <w:pPr>
        <w:spacing w:after="120" w:line="276"/>
        <w:jc w:val="both"/>
      </w:pPr>
      <w:r>
        <w:rPr>
          <w:rFonts w:ascii="Barlow Semi Condensed" w:cs="Barlow Semi Condensed" w:eastAsia="Barlow Semi Condensed" w:hAnsi="Barlow Semi Condensed"/>
          <w:b/>
          <w:bCs/>
          <w:sz w:val="24"/>
          <w:szCs w:val="24"/>
        </w:rPr>
        <w:t xml:space="preserve">270 · Peter Thiel, nato a Francoforte.</w:t>
      </w:r>
      <w:r>
        <w:rPr>
          <w:rFonts w:ascii="Barlow Semi Condensed" w:cs="Barlow Semi Condensed" w:eastAsia="Barlow Semi Condensed" w:hAnsi="Barlow Semi Condensed"/>
          <w:sz w:val="24"/>
          <w:szCs w:val="24"/>
        </w:rPr>
        <w:t xml:space="preserve"> Peter Thiel nacque a Francoforte sul Meno nel 1967 e visse a Swakopmund, nell'Africa del Sud-Ovest allora amministrata dal Sud Africa, intorno al 1975-1977; il padre Klaus, ingegnere chimico, lavorava per un'impresa impegnata nel cantiere della miniera di uranio di Rössing. Frequentò a Johannesburg una scuola preparatoria riservata ai bianchi. Sono fatti di residenza, d'impiego paterno e d'iscrizione scolastica: nessuno dei tre è una parentela sudafricana.</w:t>
      </w:r>
    </w:p>
    <w:p>
      <w:pPr>
        <w:spacing w:after="120" w:line="276"/>
        <w:jc w:val="both"/>
      </w:pPr>
      <w:r>
        <w:rPr>
          <w:rFonts w:ascii="Barlow Semi Condensed" w:cs="Barlow Semi Condensed" w:eastAsia="Barlow Semi Condensed" w:hAnsi="Barlow Semi Condensed"/>
          <w:b/>
          <w:bCs/>
          <w:sz w:val="24"/>
          <w:szCs w:val="24"/>
        </w:rPr>
        <w:t xml:space="preserve">271 · Residenza non è lignaggio.</w:t>
      </w:r>
      <w:r>
        <w:rPr>
          <w:rFonts w:ascii="Barlow Semi Condensed" w:cs="Barlow Semi Condensed" w:eastAsia="Barlow Semi Condensed" w:hAnsi="Barlow Semi Condensed"/>
          <w:sz w:val="24"/>
          <w:szCs w:val="24"/>
        </w:rPr>
        <w:t xml:space="preserve"> Abitare un Paese per due anni da bambino colloca una persona in un ambiente; discendere da una famiglia di quel Paese la colloca in una linea. Le due cose producono documenti diversi — un registro di residenza e un certificato di nascita — e sostengono conclusioni diverse. Confonderle è l'errore genealogico più elementare e insieme il più frequente, e questa serie esiste anche per renderlo difficile da commettere.</w:t>
      </w:r>
    </w:p>
    <w:p>
      <w:pPr>
        <w:spacing w:after="120" w:line="276"/>
        <w:jc w:val="both"/>
      </w:pPr>
      <w:r>
        <w:rPr>
          <w:rFonts w:ascii="Barlow Semi Condensed" w:cs="Barlow Semi Condensed" w:eastAsia="Barlow Semi Condensed" w:hAnsi="Barlow Semi Condensed"/>
          <w:b/>
          <w:bCs/>
          <w:sz w:val="24"/>
          <w:szCs w:val="24"/>
        </w:rPr>
        <w:t xml:space="preserve">272 · Stato Zero: nessuna linea sudafricana.</w:t>
      </w:r>
      <w:r>
        <w:rPr>
          <w:rFonts w:ascii="Barlow Semi Condensed" w:cs="Barlow Semi Condensed" w:eastAsia="Barlow Semi Condensed" w:hAnsi="Barlow Semi Condensed"/>
          <w:sz w:val="24"/>
          <w:szCs w:val="24"/>
        </w:rPr>
        <w:t xml:space="preserve"> Nella famiglia in questione non risulta, allo stato, alcuna parentela sudafricana o namibiana documentata: la linea è tedesca. È esito negativo e si scrive come tale. Chi volesse smentirlo dispone di sedi precise: gli uffici di stato civile tedeschi dei comuni di provenienza per gli atti di nascita e di matrimonio, e per il versante africano i fondi del National Archives of Namibia a Windhoek.</w:t>
      </w:r>
    </w:p>
    <w:p>
      <w:pPr>
        <w:spacing w:after="120" w:line="276"/>
        <w:jc w:val="both"/>
      </w:pPr>
      <w:r>
        <w:rPr>
          <w:rFonts w:ascii="Barlow Semi Condensed" w:cs="Barlow Semi Condensed" w:eastAsia="Barlow Semi Condensed" w:hAnsi="Barlow Semi Condensed"/>
          <w:b/>
          <w:bCs/>
          <w:sz w:val="24"/>
          <w:szCs w:val="24"/>
        </w:rPr>
        <w:t xml:space="preserve">273 · Il cantiere di Rössing, e il limite.</w:t>
      </w:r>
      <w:r>
        <w:rPr>
          <w:rFonts w:ascii="Barlow Semi Condensed" w:cs="Barlow Semi Condensed" w:eastAsia="Barlow Semi Condensed" w:hAnsi="Barlow Semi Condensed"/>
          <w:sz w:val="24"/>
          <w:szCs w:val="24"/>
        </w:rPr>
        <w:t xml:space="preserve"> L'impiego paterno presso un'impresa del cantiere è fatto documentabile e va tenuto separato dalla tesi che circola sulla destinazione militare di quell'uranio, la quale resta piano 3 e non si adotta. Chi volesse verificarla ha sedi determinate: gli atti del Consiglio delle Nazioni Unite per la Namibia, gli archivi societari del gruppo minerario titolare, i fondi dell'amministrazione sudafricana del Sud-Ovest conservati a Windhoek.</w:t>
      </w:r>
    </w:p>
    <w:p>
      <w:pPr>
        <w:spacing w:after="120" w:line="276"/>
        <w:jc w:val="both"/>
      </w:pPr>
      <w:r>
        <w:rPr>
          <w:rFonts w:ascii="Barlow Semi Condensed" w:cs="Barlow Semi Condensed" w:eastAsia="Barlow Semi Condensed" w:hAnsi="Barlow Semi Condensed"/>
          <w:b/>
          <w:bCs/>
          <w:sz w:val="24"/>
          <w:szCs w:val="24"/>
        </w:rPr>
        <w:t xml:space="preserve">274 · La scuola come documento.</w:t>
      </w:r>
      <w:r>
        <w:rPr>
          <w:rFonts w:ascii="Barlow Semi Condensed" w:cs="Barlow Semi Condensed" w:eastAsia="Barlow Semi Condensed" w:hAnsi="Barlow Semi Condensed"/>
          <w:sz w:val="24"/>
          <w:szCs w:val="24"/>
        </w:rPr>
        <w:t xml:space="preserve"> L'iscrizione a una scuola lascia un registro, e un registro scolastico è fonte anagrafica di prim'ordine: contiene nome, data di nascita, residenza, nome del padre. Per gli istituti sudafricani qui richiamati i registri sono conservati dalle scuole stesse o versati agli archivi provinciali. Chiedere il registro è la via corretta; ripetere un dettaglio biografico letto altrove è la via che quest'opera rifiuta per principio.</w:t>
      </w:r>
    </w:p>
    <w:p>
      <w:pPr>
        <w:spacing w:after="120" w:line="276"/>
        <w:jc w:val="both"/>
      </w:pPr>
      <w:r>
        <w:rPr>
          <w:rFonts w:ascii="Barlow Semi Condensed" w:cs="Barlow Semi Condensed" w:eastAsia="Barlow Semi Condensed" w:hAnsi="Barlow Semi Condensed"/>
          <w:b/>
          <w:bCs/>
          <w:sz w:val="24"/>
          <w:szCs w:val="24"/>
        </w:rPr>
        <w:t xml:space="preserve">275 · Bersaglio di smentita: il periodo namibiano.</w:t>
      </w:r>
      <w:r>
        <w:rPr>
          <w:rFonts w:ascii="Barlow Semi Condensed" w:cs="Barlow Semi Condensed" w:eastAsia="Barlow Semi Condensed" w:hAnsi="Barlow Semi Condensed"/>
          <w:sz w:val="24"/>
          <w:szCs w:val="24"/>
        </w:rPr>
        <w:t xml:space="preserve"> Un errore sulle date del soggiorno è possibile e va cercato: se i registri di residenza di Swakopmund o gli atti della magistratura locale conservati al National Archives of Namibia collocassero la famiglia in anni diversi da quelli indicati, o non la collocassero affatto, l'ancoraggio andrebbe corretto e la correzione scritta accanto all'affermazione originaria, non al posto suo, secondo il blocco 279 del manuale investigativo.</w:t>
      </w:r>
    </w:p>
    <w:p>
      <w:pPr>
        <w:spacing w:after="120" w:line="276"/>
        <w:jc w:val="both"/>
      </w:pPr>
      <w:r>
        <w:rPr>
          <w:rFonts w:ascii="Barlow Semi Condensed" w:cs="Barlow Semi Condensed" w:eastAsia="Barlow Semi Condensed" w:hAnsi="Barlow Semi Condensed"/>
          <w:b/>
          <w:bCs/>
          <w:sz w:val="24"/>
          <w:szCs w:val="24"/>
        </w:rPr>
        <w:t xml:space="preserve">276 · Cittadinanze acquisite, e il loro atto.</w:t>
      </w:r>
      <w:r>
        <w:rPr>
          <w:rFonts w:ascii="Barlow Semi Condensed" w:cs="Barlow Semi Condensed" w:eastAsia="Barlow Semi Condensed" w:hAnsi="Barlow Semi Condensed"/>
          <w:sz w:val="24"/>
          <w:szCs w:val="24"/>
        </w:rPr>
        <w:t xml:space="preserve"> Una cittadinanza concessa per naturalizzazione o per decisione discrezionale è atto amministrativo, con numero e data, e in alcuni ordinamenti è accessibile su istanza di trasparenza. Per il soggetto dei blocchi precedenti una cittadinanza neozelandese del 2011 divenne di dominio pubblico nel 2017 attraverso documenti rilasciati dal dipartimento competente. Un atto ottenuto per accesso è la forma più solida di fatto biografico disponibile.</w:t>
      </w:r>
    </w:p>
    <w:p>
      <w:pPr>
        <w:spacing w:after="120" w:line="276"/>
        <w:jc w:val="both"/>
      </w:pPr>
      <w:r>
        <w:rPr>
          <w:rFonts w:ascii="Barlow Semi Condensed" w:cs="Barlow Semi Condensed" w:eastAsia="Barlow Semi Condensed" w:hAnsi="Barlow Semi Condensed"/>
          <w:b/>
          <w:bCs/>
          <w:sz w:val="24"/>
          <w:szCs w:val="24"/>
        </w:rPr>
        <w:t xml:space="preserve">277 · Il fratello, e il silenzio corretto.</w:t>
      </w:r>
      <w:r>
        <w:rPr>
          <w:rFonts w:ascii="Barlow Semi Condensed" w:cs="Barlow Semi Condensed" w:eastAsia="Barlow Semi Condensed" w:hAnsi="Barlow Semi Condensed"/>
          <w:sz w:val="24"/>
          <w:szCs w:val="24"/>
        </w:rPr>
        <w:t xml:space="preserve"> Le famiglie contengono persone prive di vita pubblica. Quando un fratello, una sorella o un genitore non ricoprono cariche, non depositano atti e non rilasciano dichiarazioni, il loro nome non entra in quest'opera nemmeno se figura in una biografia autorizzata. Il criterio è la pubblicità dell'atto e non la reperibilità del nome; su questo la serie è più restrittiva di gran parte della letteratura disponibile.</w:t>
      </w:r>
    </w:p>
    <w:p>
      <w:pPr>
        <w:spacing w:after="120" w:line="276"/>
        <w:jc w:val="both"/>
      </w:pPr>
      <w:r>
        <w:rPr>
          <w:rFonts w:ascii="Barlow Semi Condensed" w:cs="Barlow Semi Condensed" w:eastAsia="Barlow Semi Condensed" w:hAnsi="Barlow Semi Condensed"/>
          <w:b/>
          <w:bCs/>
          <w:sz w:val="24"/>
          <w:szCs w:val="24"/>
        </w:rPr>
        <w:t xml:space="preserve">278 · David Sacks, la sola verifica ammessa.</w:t>
      </w:r>
      <w:r>
        <w:rPr>
          <w:rFonts w:ascii="Barlow Semi Condensed" w:cs="Barlow Semi Condensed" w:eastAsia="Barlow Semi Condensed" w:hAnsi="Barlow Semi Condensed"/>
          <w:sz w:val="24"/>
          <w:szCs w:val="24"/>
        </w:rPr>
        <w:t xml:space="preserve"> Per David O. Sacks, dirigente di PayPal, la letteratura biografica indica la nascita a Città del Capo e l'emigrazione negli Stati Uniti nella prima infanzia. Sono affermazioni da accertare e non da ripetere: l'atto di nascita si chiede al Department of Home Affairs sudafricano, la data d'ingresso ai registri d'immigrazione americani. Accertate, restano dati di nascita e di residenza, e non fondano appartenenza ad alcunché.</w:t>
      </w:r>
    </w:p>
    <w:p>
      <w:pPr>
        <w:spacing w:after="120" w:line="276"/>
        <w:jc w:val="both"/>
      </w:pPr>
      <w:r>
        <w:rPr>
          <w:rFonts w:ascii="Barlow Semi Condensed" w:cs="Barlow Semi Condensed" w:eastAsia="Barlow Semi Condensed" w:hAnsi="Barlow Semi Condensed"/>
          <w:b/>
          <w:bCs/>
          <w:sz w:val="24"/>
          <w:szCs w:val="24"/>
        </w:rPr>
        <w:t xml:space="preserve">279 · Il conteggio che nessuno ha fatto.</w:t>
      </w:r>
      <w:r>
        <w:rPr>
          <w:rFonts w:ascii="Barlow Semi Condensed" w:cs="Barlow Semi Condensed" w:eastAsia="Barlow Semi Condensed" w:hAnsi="Barlow Semi Condensed"/>
          <w:sz w:val="24"/>
          <w:szCs w:val="24"/>
        </w:rPr>
        <w:t xml:space="preserve"> Chi sostenga che il gruppo fotografato per Fortune nel 2007 sia riconducibile a una matrice sudafricana ha un obbligo elementare e mai assolto: elencare i presenti uno per uno, indicare per ciascuno luogo di nascita e cittadinanza, esibire il rapporto che ne risulta. Finché quell'elenco non esiste l'affermazione non è né vera né falsa, è priva di contenuto verificabile, e come tale va trattata.</w:t>
      </w:r>
    </w:p>
    <w:p>
      <w:pPr>
        <w:spacing w:after="120" w:line="276"/>
        <w:jc w:val="both"/>
      </w:pPr>
      <w:r>
        <w:rPr>
          <w:rFonts w:ascii="Barlow Semi Condensed" w:cs="Barlow Semi Condensed" w:eastAsia="Barlow Semi Condensed" w:hAnsi="Barlow Semi Condensed"/>
          <w:b/>
          <w:bCs/>
          <w:sz w:val="24"/>
          <w:szCs w:val="24"/>
        </w:rPr>
        <w:t xml:space="preserve">280 · La fotografia del Tosca, che cosa è.</w:t>
      </w:r>
      <w:r>
        <w:rPr>
          <w:rFonts w:ascii="Barlow Semi Condensed" w:cs="Barlow Semi Condensed" w:eastAsia="Barlow Semi Condensed" w:hAnsi="Barlow Semi Condensed"/>
          <w:sz w:val="24"/>
          <w:szCs w:val="24"/>
        </w:rPr>
        <w:t xml:space="preserve"> La locuzione «PayPal Mafia» nasce da una copertina di Fortune del novembre 2007, firmata da Jeffrey O'Brien, con fotografia di gruppo scattata al Tosca di San Francisco. Elon Musk non partecipò a quella fotografia. Non esistono atto costitutivo, statuto, elenco dei soci: è una categoria giornalistica, e in una serie sui lignaggi conviene dirlo esplicitamente, perché una categoria non ha antenati né discendenti.</w:t>
      </w:r>
    </w:p>
    <w:p>
      <w:pPr>
        <w:spacing w:after="120" w:line="276"/>
        <w:jc w:val="both"/>
      </w:pPr>
      <w:r>
        <w:rPr>
          <w:rFonts w:ascii="Barlow Semi Condensed" w:cs="Barlow Semi Condensed" w:eastAsia="Barlow Semi Condensed" w:hAnsi="Barlow Semi Condensed"/>
          <w:b/>
          <w:bCs/>
          <w:sz w:val="24"/>
          <w:szCs w:val="24"/>
        </w:rPr>
        <w:t xml:space="preserve">281 · Perché la metafora mafiosa inganna qui.</w:t>
      </w:r>
      <w:r>
        <w:rPr>
          <w:rFonts w:ascii="Barlow Semi Condensed" w:cs="Barlow Semi Condensed" w:eastAsia="Barlow Semi Condensed" w:hAnsi="Barlow Semi Condensed"/>
          <w:sz w:val="24"/>
          <w:szCs w:val="24"/>
        </w:rPr>
        <w:t xml:space="preserve"> Mafia è parola che evoca una struttura fondata sul vincolo familiare, ed è esattamente ciò che il caso non presenta: fra le persone così etichettate le parentele documentate sono, allo stato, poche e note. Una metafora che nomina la famiglia dove la famiglia non c'è genera nel lettore l'attesa di trovarne, e l'attesa è ciò che fa vedere alberi dove esistono soltanto coincidenze.</w:t>
      </w:r>
    </w:p>
    <w:p>
      <w:pPr>
        <w:spacing w:after="120" w:line="276"/>
        <w:jc w:val="both"/>
      </w:pPr>
      <w:r>
        <w:rPr>
          <w:rFonts w:ascii="Barlow Semi Condensed" w:cs="Barlow Semi Condensed" w:eastAsia="Barlow Semi Condensed" w:hAnsi="Barlow Semi Condensed"/>
          <w:b/>
          <w:bCs/>
          <w:sz w:val="24"/>
          <w:szCs w:val="24"/>
        </w:rPr>
        <w:t xml:space="preserve">282 · Bersaglio di smentita: parentele interne al gruppo.</w:t>
      </w:r>
      <w:r>
        <w:rPr>
          <w:rFonts w:ascii="Barlow Semi Condensed" w:cs="Barlow Semi Condensed" w:eastAsia="Barlow Semi Condensed" w:hAnsi="Barlow Semi Condensed"/>
          <w:sz w:val="24"/>
          <w:szCs w:val="24"/>
        </w:rPr>
        <w:t xml:space="preserve"> Se emergesse, per atto anagrafico o per dichiarazione depositata, una parentela finora ignota fra due delle persone etichettate nel 2007, il quadro cambierebbe e andrebbe riscritto in quel punto. Le sedi sono i depositi societari americani, dove il rapporto familiare fra dirigenti va dichiarato, e gli archivi anagrafici dei rispettivi Paesi di nascita. È ricerca che nessuna delle due pubblicistiche contrapposte ha mai condotto.</w:t>
      </w:r>
    </w:p>
    <w:p>
      <w:pPr>
        <w:spacing w:after="120" w:line="276"/>
        <w:jc w:val="both"/>
      </w:pPr>
      <w:r>
        <w:rPr>
          <w:rFonts w:ascii="Barlow Semi Condensed" w:cs="Barlow Semi Condensed" w:eastAsia="Barlow Semi Condensed" w:hAnsi="Barlow Semi Condensed"/>
          <w:b/>
          <w:bCs/>
          <w:sz w:val="24"/>
          <w:szCs w:val="24"/>
        </w:rPr>
        <w:t xml:space="preserve">283 · Le parentele supposte, come si trattano.</w:t>
      </w:r>
      <w:r>
        <w:rPr>
          <w:rFonts w:ascii="Barlow Semi Condensed" w:cs="Barlow Semi Condensed" w:eastAsia="Barlow Semi Condensed" w:hAnsi="Barlow Semi Condensed"/>
          <w:sz w:val="24"/>
          <w:szCs w:val="24"/>
        </w:rPr>
        <w:t xml:space="preserve"> Una parentela affermata senza documento si registra insieme al nome di chi l'ha affermata, alla data e alla sede, e si accompagna con l'indicazione dell'atto che la chiuderebbe. Non si smentisce per inverosimiglianza e non si accoglie per ripetizione. Il numero delle occorrenze in rete non ha valore probatorio: cento siti che riportano la stessa frase sono una fonte sola, copiata cento volte.</w:t>
      </w:r>
    </w:p>
    <w:p>
      <w:pPr>
        <w:spacing w:after="120" w:line="276"/>
        <w:jc w:val="both"/>
      </w:pPr>
      <w:r>
        <w:rPr>
          <w:rFonts w:ascii="Barlow Semi Condensed" w:cs="Barlow Semi Condensed" w:eastAsia="Barlow Semi Condensed" w:hAnsi="Barlow Semi Condensed"/>
          <w:b/>
          <w:bCs/>
          <w:sz w:val="24"/>
          <w:szCs w:val="24"/>
        </w:rPr>
        <w:t xml:space="preserve">284 · Bersaglio di smentita: i due Botha, rovesciato.</w:t>
      </w:r>
      <w:r>
        <w:rPr>
          <w:rFonts w:ascii="Barlow Semi Condensed" w:cs="Barlow Semi Condensed" w:eastAsia="Barlow Semi Condensed" w:hAnsi="Barlow Semi Condensed"/>
          <w:sz w:val="24"/>
          <w:szCs w:val="24"/>
        </w:rPr>
        <w:t xml:space="preserve"> Anche la direzione scomoda va percorsa. Ove un documento provasse che chi ha scritto della parentela fra Pik e P.W. Botha disponeva di una fonte anagrafica e non di un equivoco, questa serie dovrebbe correggersi e dirlo in apertura. La prova richiesta è identica nelle due direzioni: un certificato integrale di nascita, o un fascicolo di successione che nomini ascendenti comuni entro il grado prossimo.</w:t>
      </w:r>
    </w:p>
    <w:p>
      <w:pPr>
        <w:spacing w:after="120" w:line="276"/>
        <w:jc w:val="both"/>
      </w:pPr>
      <w:r>
        <w:rPr>
          <w:rFonts w:ascii="Barlow Semi Condensed" w:cs="Barlow Semi Condensed" w:eastAsia="Barlow Semi Condensed" w:hAnsi="Barlow Semi Condensed"/>
          <w:b/>
          <w:bCs/>
          <w:sz w:val="24"/>
          <w:szCs w:val="24"/>
        </w:rPr>
        <w:t xml:space="preserve">285 · Un albero non si legge all'indietro.</w:t>
      </w:r>
      <w:r>
        <w:rPr>
          <w:rFonts w:ascii="Barlow Semi Condensed" w:cs="Barlow Semi Condensed" w:eastAsia="Barlow Semi Condensed" w:hAnsi="Barlow Semi Condensed"/>
          <w:sz w:val="24"/>
          <w:szCs w:val="24"/>
        </w:rPr>
        <w:t xml:space="preserve"> Si costruisce dai documenti verso l'esito, mai dall'esito verso i documenti. Chi parte da un gruppo di persone di successo e cerca a ritroso l'antenato che lo spieghi trova sempre qualcosa, perché il numero degli ascendenti raddoppia a ogni generazione. È la forma genealogica della dietrologia, e il corpus la nomina già al blocco 29 della triangolazione Kissinger, dove l'albero letto al contrario è dichiarato vizio di metodo.</w:t>
      </w:r>
    </w:p>
    <w:p>
      <w:pPr>
        <w:spacing w:after="120" w:line="276"/>
        <w:jc w:val="both"/>
      </w:pPr>
      <w:r>
        <w:rPr>
          <w:rFonts w:ascii="Barlow Semi Condensed" w:cs="Barlow Semi Condensed" w:eastAsia="Barlow Semi Condensed" w:hAnsi="Barlow Semi Condensed"/>
          <w:b/>
          <w:bCs/>
          <w:sz w:val="24"/>
          <w:szCs w:val="24"/>
        </w:rPr>
        <w:t xml:space="preserve">286 · La progressione degli antenati.</w:t>
      </w:r>
      <w:r>
        <w:rPr>
          <w:rFonts w:ascii="Barlow Semi Condensed" w:cs="Barlow Semi Condensed" w:eastAsia="Barlow Semi Condensed" w:hAnsi="Barlow Semi Condensed"/>
          <w:sz w:val="24"/>
          <w:szCs w:val="24"/>
        </w:rPr>
        <w:t xml:space="preserve"> Dieci generazioni indietro un individuo ha, in teoria, oltre mille ascendenti; venti generazioni indietro ne ha più di un milione. Da un bacino così ampio si estrae qualunque cosa si desideri trovare, incluso un notabile, un criminale o un funzionario coloniale. La numerosità degli antenati è la ragione aritmetica per cui la genealogia retrospettiva non prova nulla da sola, e per cui serve sempre l'atto che nomini il legame specifico.</w:t>
      </w:r>
    </w:p>
    <w:p>
      <w:pPr>
        <w:spacing w:after="120" w:line="276"/>
        <w:jc w:val="both"/>
      </w:pPr>
      <w:r>
        <w:rPr>
          <w:rFonts w:ascii="Barlow Semi Condensed" w:cs="Barlow Semi Condensed" w:eastAsia="Barlow Semi Condensed" w:hAnsi="Barlow Semi Condensed"/>
          <w:b/>
          <w:bCs/>
          <w:sz w:val="24"/>
          <w:szCs w:val="24"/>
        </w:rPr>
        <w:t xml:space="preserve">287 · Il collo di bottiglia delle comunità piccole.</w:t>
      </w:r>
      <w:r>
        <w:rPr>
          <w:rFonts w:ascii="Barlow Semi Condensed" w:cs="Barlow Semi Condensed" w:eastAsia="Barlow Semi Condensed" w:hAnsi="Barlow Semi Condensed"/>
          <w:sz w:val="24"/>
          <w:szCs w:val="24"/>
        </w:rPr>
        <w:t xml:space="preserve"> In una popolazione ridotta e a forte endogamia, quale fu quella afrikaner per generazioni, quasi tutti risultano imparentati se si risale abbastanza indietro. La conseguenza non è che tutti siano parenti in senso utile: è che il grado va sempre dichiarato. Una cuginanza di sesto grado dentro una comunità di poche decine di migliaia di famiglie è statistica e non biografia, e come statistica va scritta.</w:t>
      </w:r>
    </w:p>
    <w:p>
      <w:pPr>
        <w:spacing w:after="120" w:line="276"/>
        <w:jc w:val="both"/>
      </w:pPr>
      <w:r>
        <w:rPr>
          <w:rFonts w:ascii="Barlow Semi Condensed" w:cs="Barlow Semi Condensed" w:eastAsia="Barlow Semi Condensed" w:hAnsi="Barlow Semi Condensed"/>
          <w:b/>
          <w:bCs/>
          <w:sz w:val="24"/>
          <w:szCs w:val="24"/>
        </w:rPr>
        <w:t xml:space="preserve">288 · L'archivio del Capo, per le linee antiche.</w:t>
      </w:r>
      <w:r>
        <w:rPr>
          <w:rFonts w:ascii="Barlow Semi Condensed" w:cs="Barlow Semi Condensed" w:eastAsia="Barlow Semi Condensed" w:hAnsi="Barlow Semi Condensed"/>
          <w:sz w:val="24"/>
          <w:szCs w:val="24"/>
        </w:rPr>
        <w:t xml:space="preserve"> Per le linee afrikaner anteriori all'Ottocento la sede è il Cape Town Archives Repository, dove i fascicoli della Orphan Chamber e i testamenti della serie MOOC coprono il periodo della Compagnia delle Indie. Sono carte in olandese e in una grafia che richiede pratica, e nessuna genealogia sudafricana seria si costruisce senza di esse. Vanno nominate qui perché esistono e perché quasi nessuno le apre.</w:t>
      </w:r>
    </w:p>
    <w:p>
      <w:pPr>
        <w:spacing w:after="120" w:line="276"/>
        <w:jc w:val="both"/>
      </w:pPr>
      <w:r>
        <w:rPr>
          <w:rFonts w:ascii="Barlow Semi Condensed" w:cs="Barlow Semi Condensed" w:eastAsia="Barlow Semi Condensed" w:hAnsi="Barlow Semi Condensed"/>
          <w:b/>
          <w:bCs/>
          <w:sz w:val="24"/>
          <w:szCs w:val="24"/>
        </w:rPr>
        <w:t xml:space="preserve">289 · Il matrimonio come atto genealogico.</w:t>
      </w:r>
      <w:r>
        <w:rPr>
          <w:rFonts w:ascii="Barlow Semi Condensed" w:cs="Barlow Semi Condensed" w:eastAsia="Barlow Semi Condensed" w:hAnsi="Barlow Semi Condensed"/>
          <w:sz w:val="24"/>
          <w:szCs w:val="24"/>
        </w:rPr>
        <w:t xml:space="preserve"> Un atto di matrimonio nomina almeno quattro persone, gli sposi e i rispettivi genitori, ed è perciò il documento che collega due alberi con un solo foglio. In Sud Africa è tenuto dal Department of Home Affairs; per le celebrazioni religiose esistono in parallelo i registri della Nederduitse Gereformeerde Kerk, il cui archivio centrale è a Stellenbosch. La doppia registrazione consente un controllo incrociato altrove impossibile.</w:t>
      </w:r>
    </w:p>
    <w:p>
      <w:pPr>
        <w:spacing w:after="120" w:line="276"/>
        <w:jc w:val="both"/>
      </w:pPr>
      <w:r>
        <w:rPr>
          <w:rFonts w:ascii="Barlow Semi Condensed" w:cs="Barlow Semi Condensed" w:eastAsia="Barlow Semi Condensed" w:hAnsi="Barlow Semi Condensed"/>
          <w:b/>
          <w:bCs/>
          <w:sz w:val="24"/>
          <w:szCs w:val="24"/>
        </w:rPr>
        <w:t xml:space="preserve">290 · Il divorzio, e ciò che non prova.</w:t>
      </w:r>
      <w:r>
        <w:rPr>
          <w:rFonts w:ascii="Barlow Semi Condensed" w:cs="Barlow Semi Condensed" w:eastAsia="Barlow Semi Condensed" w:hAnsi="Barlow Semi Condensed"/>
          <w:sz w:val="24"/>
          <w:szCs w:val="24"/>
        </w:rPr>
        <w:t xml:space="preserve"> Uno scioglimento di matrimonio è atto giudiziario e figura nei ruoli dei tribunali competenti. Registra la fine di un rapporto e nient'altro: non retroagisce sulla filiazione, non modifica una discendenza, non autorizza inferenze sul carattere delle persone coinvolte. In questa serie comparirebbe soltanto ove servisse a spiegare la residenza di un minore in un dato periodo, e per nessun altro fine si utilizza.</w:t>
      </w:r>
    </w:p>
    <w:p>
      <w:pPr>
        <w:spacing w:after="120" w:line="276"/>
        <w:jc w:val="both"/>
      </w:pPr>
      <w:r>
        <w:rPr>
          <w:rFonts w:ascii="Barlow Semi Condensed" w:cs="Barlow Semi Condensed" w:eastAsia="Barlow Semi Condensed" w:hAnsi="Barlow Semi Condensed"/>
          <w:b/>
          <w:bCs/>
          <w:sz w:val="24"/>
          <w:szCs w:val="24"/>
        </w:rPr>
        <w:t xml:space="preserve">291 · Bersaglio di smentita: la data di nascita.</w:t>
      </w:r>
      <w:r>
        <w:rPr>
          <w:rFonts w:ascii="Barlow Semi Condensed" w:cs="Barlow Semi Condensed" w:eastAsia="Barlow Semi Condensed" w:hAnsi="Barlow Semi Condensed"/>
          <w:sz w:val="24"/>
          <w:szCs w:val="24"/>
        </w:rPr>
        <w:t xml:space="preserve"> L'attribuzione di un atto a una persona regge sulla coincidenza fra nome e data di nascita. Ove per una qualunque delle persone nominate in questa serie il certificato integrale restituisse una data diversa da quella corrente, ogni attribuzione fondata su quella data andrebbe rifatta da capo. È il bersaglio più noioso e insieme il più redditizio: le genealogie sbagliate nascono quasi tutte da un anno letto male.</w:t>
      </w:r>
    </w:p>
    <w:p>
      <w:pPr>
        <w:spacing w:after="120" w:line="276"/>
        <w:jc w:val="both"/>
      </w:pPr>
      <w:r>
        <w:rPr>
          <w:rFonts w:ascii="Barlow Semi Condensed" w:cs="Barlow Semi Condensed" w:eastAsia="Barlow Semi Condensed" w:hAnsi="Barlow Semi Condensed"/>
          <w:b/>
          <w:bCs/>
          <w:sz w:val="24"/>
          <w:szCs w:val="24"/>
        </w:rPr>
        <w:t xml:space="preserve">292 · L'adozione, categoria dimenticata.</w:t>
      </w:r>
      <w:r>
        <w:rPr>
          <w:rFonts w:ascii="Barlow Semi Condensed" w:cs="Barlow Semi Condensed" w:eastAsia="Barlow Semi Condensed" w:hAnsi="Barlow Semi Condensed"/>
          <w:sz w:val="24"/>
          <w:szCs w:val="24"/>
        </w:rPr>
        <w:t xml:space="preserve"> Le definizioni giuridiche di parentela includono l'adozione, e i registri la trattano con regole di riservatezza proprie. Una linea può dunque essere giuridicamente vera e biologicamente diversa, oppure il contrario. Chi costruisce un albero senza tenerne conto commette un errore di categoria; chi indaga una filiazione adottiva senza necessità di ricerca commette una violazione. La prima si corregge, la seconda si vieta e basta.</w:t>
      </w:r>
    </w:p>
    <w:p>
      <w:pPr>
        <w:spacing w:after="120" w:line="276"/>
        <w:jc w:val="both"/>
      </w:pPr>
      <w:r>
        <w:rPr>
          <w:rFonts w:ascii="Barlow Semi Condensed" w:cs="Barlow Semi Condensed" w:eastAsia="Barlow Semi Condensed" w:hAnsi="Barlow Semi Condensed"/>
          <w:b/>
          <w:bCs/>
          <w:sz w:val="24"/>
          <w:szCs w:val="24"/>
        </w:rPr>
        <w:t xml:space="preserve">293 · Il cognome che cambia.</w:t>
      </w:r>
      <w:r>
        <w:rPr>
          <w:rFonts w:ascii="Barlow Semi Condensed" w:cs="Barlow Semi Condensed" w:eastAsia="Barlow Semi Condensed" w:hAnsi="Barlow Semi Condensed"/>
          <w:sz w:val="24"/>
          <w:szCs w:val="24"/>
        </w:rPr>
        <w:t xml:space="preserve"> Una donna che si sposa, un emigrante che semplifica la grafia, un ufficiale d'anagrafe che trascrive a orecchio: il cognome è la variabile più instabile della genealogia. Le ricerche per stringa falliscono per questo e non per assenza del soggetto. La regola operativa è cercare per data di nascita e per luogo, usando il cognome come filtro finale e mai come chiave primaria dell'interrogazione.</w:t>
      </w:r>
    </w:p>
    <w:p>
      <w:pPr>
        <w:spacing w:after="120" w:line="276"/>
        <w:jc w:val="both"/>
      </w:pPr>
      <w:r>
        <w:rPr>
          <w:rFonts w:ascii="Barlow Semi Condensed" w:cs="Barlow Semi Condensed" w:eastAsia="Barlow Semi Condensed" w:hAnsi="Barlow Semi Condensed"/>
          <w:b/>
          <w:bCs/>
          <w:sz w:val="24"/>
          <w:szCs w:val="24"/>
        </w:rPr>
        <w:t xml:space="preserve">294 · Bersaglio di smentita: la linea Fletcher.</w:t>
      </w:r>
      <w:r>
        <w:rPr>
          <w:rFonts w:ascii="Barlow Semi Condensed" w:cs="Barlow Semi Condensed" w:eastAsia="Barlow Semi Condensed" w:hAnsi="Barlow Semi Condensed"/>
          <w:sz w:val="24"/>
          <w:szCs w:val="24"/>
        </w:rPr>
        <w:t xml:space="preserve"> Attraverso la nonna materna passa una cittadinanza, e quello è dunque l'anello che una smentita colpirebbe con l'effetto maggiore. Basterebbe un atto di nascita che collocasse quella nascita fuori dal Canada per rimettere in discussione l'intera catena e con essa il blocco che la descrive. Le sedi sono Library and Archives Canada per i registri federali e gli archivi provinciali per gli atti di stato civile.</w:t>
      </w:r>
    </w:p>
    <w:p>
      <w:pPr>
        <w:spacing w:after="120" w:line="276"/>
        <w:jc w:val="both"/>
      </w:pPr>
      <w:r>
        <w:rPr>
          <w:rFonts w:ascii="Barlow Semi Condensed" w:cs="Barlow Semi Condensed" w:eastAsia="Barlow Semi Condensed" w:hAnsi="Barlow Semi Condensed"/>
          <w:b/>
          <w:bCs/>
          <w:sz w:val="24"/>
          <w:szCs w:val="24"/>
        </w:rPr>
        <w:t xml:space="preserve">295 · La regola dell'anello debole, in genealogia.</w:t>
      </w:r>
      <w:r>
        <w:rPr>
          <w:rFonts w:ascii="Barlow Semi Condensed" w:cs="Barlow Semi Condensed" w:eastAsia="Barlow Semi Condensed" w:hAnsi="Barlow Semi Condensed"/>
          <w:sz w:val="24"/>
          <w:szCs w:val="24"/>
        </w:rPr>
        <w:t xml:space="preserve"> Il grado di una discendenza è il grado del suo passaggio più debole. Una linea di sei generazioni con cinque atti notarili e una tradizione orale vale la tradizione orale. Il corpus la formula al blocco 169 della triangolazione Kissinger per i lignaggi dottrinali; applicata al sangue è ancora più stringente, perché un solo passaggio non provato interrompe la catena invece di indebolirla soltanto.</w:t>
      </w:r>
    </w:p>
    <w:p>
      <w:pPr>
        <w:spacing w:after="120" w:line="276"/>
        <w:jc w:val="both"/>
      </w:pPr>
      <w:r>
        <w:rPr>
          <w:rFonts w:ascii="Barlow Semi Condensed" w:cs="Barlow Semi Condensed" w:eastAsia="Barlow Semi Condensed" w:hAnsi="Barlow Semi Condensed"/>
          <w:b/>
          <w:bCs/>
          <w:sz w:val="24"/>
          <w:szCs w:val="24"/>
        </w:rPr>
        <w:t xml:space="preserve">296 · Bersaglio di smentita: l'assenza di atti.</w:t>
      </w:r>
      <w:r>
        <w:rPr>
          <w:rFonts w:ascii="Barlow Semi Condensed" w:cs="Barlow Semi Condensed" w:eastAsia="Barlow Semi Condensed" w:hAnsi="Barlow Semi Condensed"/>
          <w:sz w:val="24"/>
          <w:szCs w:val="24"/>
        </w:rPr>
        <w:t xml:space="preserve"> Chi affermi che una parentela sudafricana abbia inciso su decisioni d'investimento deve indicare l'atto: un verbale che nomini il congiunto, una comunicazione depositata, un conflitto d'interessi dichiarato. Le sedi sono la documentazione presso la Securities and Exchange Commission e i registri societari competenti. Allo stato non risulta nulla, e questo non è silenzio sospetto: è esito di ricerca, da verbalizzare come tale.</w:t>
      </w:r>
    </w:p>
    <w:p>
      <w:pPr>
        <w:spacing w:after="120" w:line="276"/>
        <w:jc w:val="both"/>
      </w:pPr>
      <w:r>
        <w:rPr>
          <w:rFonts w:ascii="Barlow Semi Condensed" w:cs="Barlow Semi Condensed" w:eastAsia="Barlow Semi Condensed" w:hAnsi="Barlow Semi Condensed"/>
          <w:b/>
          <w:bCs/>
          <w:sz w:val="24"/>
          <w:szCs w:val="24"/>
        </w:rPr>
        <w:t xml:space="preserve">297 · Bersaglio di smentita: i beni di famiglia.</w:t>
      </w:r>
      <w:r>
        <w:rPr>
          <w:rFonts w:ascii="Barlow Semi Condensed" w:cs="Barlow Semi Condensed" w:eastAsia="Barlow Semi Condensed" w:hAnsi="Barlow Semi Condensed"/>
          <w:sz w:val="24"/>
          <w:szCs w:val="24"/>
        </w:rPr>
        <w:t xml:space="preserve"> Se un atto del Deeds Office di Pretoria o di Città del Capo attestasse trasferimenti di beni fra le linee qui trattate e imprese o soggetti dell'epoca dell'apartheid, si aprirebbe un ponte di piano 1 e andrebbe registrato senza esitazione alcuna. La ricerca si conduce per nome del titolare e per erf, cioè per particella catastale. Nessuno dei siti che discutono la materia risulta averla condotta.</w:t>
      </w:r>
    </w:p>
    <w:p>
      <w:pPr>
        <w:spacing w:after="120" w:line="276"/>
        <w:jc w:val="both"/>
      </w:pPr>
      <w:r>
        <w:rPr>
          <w:rFonts w:ascii="Barlow Semi Condensed" w:cs="Barlow Semi Condensed" w:eastAsia="Barlow Semi Condensed" w:hAnsi="Barlow Semi Condensed"/>
          <w:b/>
          <w:bCs/>
          <w:sz w:val="24"/>
          <w:szCs w:val="24"/>
        </w:rPr>
        <w:t xml:space="preserve">298 · Bersaglio di smentita: il carteggio mancante.</w:t>
      </w:r>
      <w:r>
        <w:rPr>
          <w:rFonts w:ascii="Barlow Semi Condensed" w:cs="Barlow Semi Condensed" w:eastAsia="Barlow Semi Condensed" w:hAnsi="Barlow Semi Condensed"/>
          <w:sz w:val="24"/>
          <w:szCs w:val="24"/>
        </w:rPr>
        <w:t xml:space="preserve"> Una lettera sarebbe la prova regina di una trasmissione di idee dentro una famiglia. Se esistesse un carteggio fra Joshua Haldeman e i suoi discendenti, o fra Pik Botha e i suoi, contenente indicazioni operative, la sede naturale sarebbe l'archivio privato di famiglia, eventualmente depositato presso una biblioteca universitaria. Nessun deposito del genere risulta pubblicamente censito, e questa assenza è il vero stato della questione.</w:t>
      </w:r>
    </w:p>
    <w:p>
      <w:pPr>
        <w:spacing w:after="120" w:line="276"/>
        <w:jc w:val="both"/>
      </w:pPr>
      <w:r>
        <w:rPr>
          <w:rFonts w:ascii="Barlow Semi Condensed" w:cs="Barlow Semi Condensed" w:eastAsia="Barlow Semi Condensed" w:hAnsi="Barlow Semi Condensed"/>
          <w:b/>
          <w:bCs/>
          <w:sz w:val="24"/>
          <w:szCs w:val="24"/>
        </w:rPr>
        <w:t xml:space="preserve">299 · Che cosa chiedere a un archivio privato.</w:t>
      </w:r>
      <w:r>
        <w:rPr>
          <w:rFonts w:ascii="Barlow Semi Condensed" w:cs="Barlow Semi Condensed" w:eastAsia="Barlow Semi Condensed" w:hAnsi="Barlow Semi Condensed"/>
          <w:sz w:val="24"/>
          <w:szCs w:val="24"/>
        </w:rPr>
        <w:t xml:space="preserve"> A un archivio di famiglia si chiede l'inventario prima delle carte, e alla famiglia si scrive con la regola stampata in testa alla richiesta: nessuno risponde dei propri congiunti. Il corpus ne ha già la formula al blocco 157 del manuale investigativo, dove il censimento dei lasciti passa dagli eredi. Rivolta a persone viventi, la stessa lettera esige la stessa esattezza e una cautela maggiore.</w:t>
      </w:r>
    </w:p>
    <w:p>
      <w:pPr>
        <w:spacing w:after="120" w:line="276"/>
        <w:jc w:val="both"/>
      </w:pPr>
      <w:r>
        <w:rPr>
          <w:rFonts w:ascii="Barlow Semi Condensed" w:cs="Barlow Semi Condensed" w:eastAsia="Barlow Semi Condensed" w:hAnsi="Barlow Semi Condensed"/>
          <w:b/>
          <w:bCs/>
          <w:sz w:val="24"/>
          <w:szCs w:val="24"/>
        </w:rPr>
        <w:t xml:space="preserve">300 · Il rifiuto, e come si verbalizza.</w:t>
      </w:r>
      <w:r>
        <w:rPr>
          <w:rFonts w:ascii="Barlow Semi Condensed" w:cs="Barlow Semi Condensed" w:eastAsia="Barlow Semi Condensed" w:hAnsi="Barlow Semi Condensed"/>
          <w:sz w:val="24"/>
          <w:szCs w:val="24"/>
        </w:rPr>
        <w:t xml:space="preserve"> Quando una famiglia nega l'accesso alle carte, il rifiuto si registra con la data e con la formula usata, e diventa esso stesso un dato della ricerca. Non autorizza alcuna inferenza sul contenuto negato: chi tace ha diritto di tacere, e il silenzio non è confessione. Il verbale del rifiuto serve a un solo scopo, impedire che la medesima richiesta venga rifatta ignorando la precedente.</w:t>
      </w:r>
    </w:p>
    <w:p>
      <w:pPr>
        <w:spacing w:after="120" w:line="276"/>
        <w:jc w:val="both"/>
      </w:pPr>
      <w:r>
        <w:rPr>
          <w:rFonts w:ascii="Barlow Semi Condensed" w:cs="Barlow Semi Condensed" w:eastAsia="Barlow Semi Condensed" w:hAnsi="Barlow Semi Condensed"/>
          <w:b/>
          <w:bCs/>
          <w:sz w:val="24"/>
          <w:szCs w:val="24"/>
        </w:rPr>
        <w:t xml:space="preserve">301 · Le divergenze restano divergenze.</w:t>
      </w:r>
      <w:r>
        <w:rPr>
          <w:rFonts w:ascii="Barlow Semi Condensed" w:cs="Barlow Semi Condensed" w:eastAsia="Barlow Semi Condensed" w:hAnsi="Barlow Semi Condensed"/>
          <w:sz w:val="24"/>
          <w:szCs w:val="24"/>
        </w:rPr>
        <w:t xml:space="preserve"> Restano aperte, in questa serie, tre questioni con versioni contrastanti: la vicenda degli smeraldi, il perimetro esatto del soggiorno namibiano, l'estensione dell'omonimia interna alla linea Botha. Nessuna si chiude qui e nessuna si sceglie in silenzio. La regola è quella dell'intero corpus: si riportano entrambe le versioni con la sede che deciderebbe, e l'ultima parola si lascia al documento che verrà.</w:t>
      </w:r>
    </w:p>
    <w:p>
      <w:pPr>
        <w:spacing w:after="120" w:line="276"/>
        <w:jc w:val="both"/>
      </w:pPr>
      <w:r>
        <w:rPr>
          <w:rFonts w:ascii="Barlow Semi Condensed" w:cs="Barlow Semi Condensed" w:eastAsia="Barlow Semi Condensed" w:hAnsi="Barlow Semi Condensed"/>
          <w:b/>
          <w:bCs/>
          <w:sz w:val="24"/>
          <w:szCs w:val="24"/>
        </w:rPr>
        <w:t xml:space="preserve">302 · Il conto della serie.</w:t>
      </w:r>
      <w:r>
        <w:rPr>
          <w:rFonts w:ascii="Barlow Semi Condensed" w:cs="Barlow Semi Condensed" w:eastAsia="Barlow Semi Condensed" w:hAnsi="Barlow Semi Condensed"/>
          <w:sz w:val="24"/>
          <w:szCs w:val="24"/>
        </w:rPr>
        <w:t xml:space="preserve"> Parentele accertate al piano 1: quella fra Roelof Botha e Pik Botha, quella fra Joshua Haldeman e la sua discendenza, quelle interne alla famiglia Musk dichiarate in atti societari. Non parentele accertate: quella fra i due Botha politici. Stati Zero: l'affiliazione partitica del nonno canadese, la linea sudafricana della famiglia tedesca, il titolo minerario zambiano. Persone indicate come responsabili di reato: nessuna, e mai.</w:t>
      </w:r>
    </w:p>
    <w:p>
      <w:pPr>
        <w:spacing w:after="120" w:line="276"/>
        <w:jc w:val="both"/>
      </w:pPr>
      <w:r>
        <w:rPr>
          <w:rFonts w:ascii="Barlow Semi Condensed" w:cs="Barlow Semi Condensed" w:eastAsia="Barlow Semi Condensed" w:hAnsi="Barlow Semi Condensed"/>
          <w:b/>
          <w:bCs/>
          <w:sz w:val="24"/>
          <w:szCs w:val="24"/>
        </w:rPr>
        <w:t xml:space="preserve">303 · L'omologia genealogica e il suo test.</w:t>
      </w:r>
      <w:r>
        <w:rPr>
          <w:rFonts w:ascii="Barlow Semi Condensed" w:cs="Barlow Semi Condensed" w:eastAsia="Barlow Semi Condensed" w:hAnsi="Barlow Semi Condensed"/>
          <w:sz w:val="24"/>
          <w:szCs w:val="24"/>
        </w:rPr>
        <w:t xml:space="preserve"> Due biografie possono somigliarsi perché discendono da una stessa storia familiare oppure perché due famiglie hanno attraversato la medesima cornice storica. Il test che distingue è unico e non ammette surrogati: un documento di provenienza che nomini la controparte. Senza quel documento la somiglianza fra due percorsi resta convergenza d'ambiente, cioè piano 2, e non entra nell'albero per quante volte la si ripeta.</w:t>
      </w:r>
    </w:p>
    <w:p>
      <w:pPr>
        <w:spacing w:after="120" w:line="276"/>
        <w:jc w:val="both"/>
      </w:pPr>
      <w:r>
        <w:rPr>
          <w:rFonts w:ascii="Barlow Semi Condensed" w:cs="Barlow Semi Condensed" w:eastAsia="Barlow Semi Condensed" w:hAnsi="Barlow Semi Condensed"/>
          <w:b/>
          <w:bCs/>
          <w:sz w:val="24"/>
          <w:szCs w:val="24"/>
        </w:rPr>
        <w:t xml:space="preserve">304 · Perché la verifica meccanica conta.</w:t>
      </w:r>
      <w:r>
        <w:rPr>
          <w:rFonts w:ascii="Barlow Semi Condensed" w:cs="Barlow Semi Condensed" w:eastAsia="Barlow Semi Condensed" w:hAnsi="Barlow Semi Condensed"/>
          <w:sz w:val="24"/>
          <w:szCs w:val="24"/>
        </w:rPr>
        <w:t xml:space="preserve"> L'interrogazione delle stringhe sul branch pubblico di questo corpus restituisce zero occorrenze per Musk, Thiel, Botha, PayPal, Silicon Valley e Namibia in tutti i Libri precedenti; il solo ponte tematico esistente è il nodo E-16 della triangolazione Guevara-Moro, il discorso all'Assemblea Generale delle Nazioni Unite dell'11 dicembre 1964 che denuncia colonialismo e apartheid. Un'opera che parte da un vuoto misurato è più onesta di una che parte da un'intuizione. </w:t>
      </w:r>
      <w:r>
        <w:rPr>
          <w:rFonts w:ascii="Barlow Semi Condensed" w:cs="Barlow Semi Condensed" w:eastAsia="Barlow Semi Condensed" w:hAnsi="Barlow Semi Condensed"/>
          <w:i/>
          <w:iCs/>
          <w:sz w:val="24"/>
          <w:szCs w:val="24"/>
        </w:rPr>
        <w:t xml:space="preserve">(Verifica riferita al perimetro anteriore al 26 agosto 2026; per l'aggiornamento dopo l'ingresso del Libro quarto si veda il blocco 38.)</w:t>
      </w:r>
    </w:p>
    <w:p>
      <w:pPr>
        <w:spacing w:after="120" w:line="276"/>
        <w:jc w:val="both"/>
      </w:pPr>
      <w:r>
        <w:rPr>
          <w:rFonts w:ascii="Barlow Semi Condensed" w:cs="Barlow Semi Condensed" w:eastAsia="Barlow Semi Condensed" w:hAnsi="Barlow Semi Condensed"/>
          <w:b/>
          <w:bCs/>
          <w:sz w:val="24"/>
          <w:szCs w:val="24"/>
        </w:rPr>
        <w:t xml:space="preserve">305 · Un fatto, non un argomento.</w:t>
      </w:r>
      <w:r>
        <w:rPr>
          <w:rFonts w:ascii="Barlow Semi Condensed" w:cs="Barlow Semi Condensed" w:eastAsia="Barlow Semi Condensed" w:hAnsi="Barlow Semi Condensed"/>
          <w:sz w:val="24"/>
          <w:szCs w:val="24"/>
        </w:rPr>
        <w:t xml:space="preserve"> Qui la serie si chiude. Tutto ciò che precede accerta legami, ne nega uno, ne lascia aperti alcuni, e non converte nessuno in premessa di un ragionamento sulle persone. Un certificato di nascita dice chi ha generato chi: è molto, ed è tutto quanto dice. Chi voglia affermare di più deve portare un altro documento, di genere diverso, che nomini l'atto e non il sangue.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quinta — Le materie prime: smeraldi, uranio, oro, platino</w:t>
      </w:r>
    </w:p>
    <w:p>
      <w:pPr>
        <w:spacing w:after="120" w:line="276"/>
        <w:jc w:val="both"/>
      </w:pPr>
      <w:r>
        <w:rPr>
          <w:rFonts w:ascii="Barlow Semi Condensed" w:cs="Barlow Semi Condensed" w:eastAsia="Barlow Semi Condensed" w:hAnsi="Barlow Semi Condensed"/>
          <w:i/>
          <w:iCs/>
          <w:sz w:val="24"/>
          <w:szCs w:val="24"/>
        </w:rPr>
        <w:t xml:space="preserve">Blocchi 306-390.</w:t>
      </w:r>
    </w:p>
    <w:p>
      <w:pPr>
        <w:spacing w:after="120" w:line="276"/>
        <w:jc w:val="both"/>
      </w:pPr>
      <w:r>
        <w:rPr>
          <w:rFonts w:ascii="Barlow Semi Condensed" w:cs="Barlow Semi Condensed" w:eastAsia="Barlow Semi Condensed" w:hAnsi="Barlow Semi Condensed"/>
          <w:b/>
          <w:bCs/>
          <w:sz w:val="24"/>
          <w:szCs w:val="24"/>
        </w:rPr>
        <w:t xml:space="preserve">306 · L'estrazione è cornice, non condotta.</w:t>
      </w:r>
      <w:r>
        <w:rPr>
          <w:rFonts w:ascii="Barlow Semi Condensed" w:cs="Barlow Semi Condensed" w:eastAsia="Barlow Semi Condensed" w:hAnsi="Barlow Semi Condensed"/>
          <w:sz w:val="24"/>
          <w:szCs w:val="24"/>
        </w:rPr>
        <w:t xml:space="preserve"> Il Sud Africa e la Namibia dell'apartheid furono economie estrattive: chiunque vi abbia vissuto, lavorato o investito si è mosso dentro quella cornice. Da questo non discende alcuna condotta individuale, e la serie non ne ricava nessuna. Miniere, licenze e registri sono qui oggetti documentali autonomi, e ogni blocco chiede un atto nominato. Dove l'atto manca si scrive che manca. La prossimità a un giacimento non è un fatto a carico di nessuno.</w:t>
      </w:r>
    </w:p>
    <w:p>
      <w:pPr>
        <w:spacing w:after="120" w:line="276"/>
        <w:jc w:val="both"/>
      </w:pPr>
      <w:r>
        <w:rPr>
          <w:rFonts w:ascii="Barlow Semi Condensed" w:cs="Barlow Semi Condensed" w:eastAsia="Barlow Semi Condensed" w:hAnsi="Barlow Semi Condensed"/>
          <w:b/>
          <w:bCs/>
          <w:sz w:val="24"/>
          <w:szCs w:val="24"/>
        </w:rPr>
        <w:t xml:space="preserve">307 · Che cosa vale come documento minerario.</w:t>
      </w:r>
      <w:r>
        <w:rPr>
          <w:rFonts w:ascii="Barlow Semi Condensed" w:cs="Barlow Semi Condensed" w:eastAsia="Barlow Semi Condensed" w:hAnsi="Barlow Semi Condensed"/>
          <w:sz w:val="24"/>
          <w:szCs w:val="24"/>
        </w:rPr>
        <w:t xml:space="preserve"> Esistono documenti tipici del settore, e sono pochi: la concessione o licenza con numero, coordinate e autorità emittente; l'iscrizione al catasto minerario; l'atto societario depositato; il permesso d'esportazione; la bolla doganale. Un'intervista non è nessuno di questi, e nemmeno una biografia. La regola operativa vale su tutta la serie: un'attività mineraria si prova con un titolo, e un titolo ha sempre un numero e una data di rilascio.</w:t>
      </w:r>
    </w:p>
    <w:p>
      <w:pPr>
        <w:spacing w:after="120" w:line="276"/>
        <w:jc w:val="both"/>
      </w:pPr>
      <w:r>
        <w:rPr>
          <w:rFonts w:ascii="Barlow Semi Condensed" w:cs="Barlow Semi Condensed" w:eastAsia="Barlow Semi Condensed" w:hAnsi="Barlow Semi Condensed"/>
          <w:b/>
          <w:bCs/>
          <w:sz w:val="24"/>
          <w:szCs w:val="24"/>
        </w:rPr>
        <w:t xml:space="preserve">308 · Tre registri e un test solo.</w:t>
      </w:r>
      <w:r>
        <w:rPr>
          <w:rFonts w:ascii="Barlow Semi Condensed" w:cs="Barlow Semi Condensed" w:eastAsia="Barlow Semi Condensed" w:hAnsi="Barlow Semi Condensed"/>
          <w:sz w:val="24"/>
          <w:szCs w:val="24"/>
        </w:rPr>
        <w:t xml:space="preserve"> Ogni asserzione di questa serie va portata davanti a tre registri distinti: quello societario, che dice chi possiede; quello minerario, che dice chi può estrarre; quello valutario o doganale, che dice che cosa è uscito dal Paese. I tre non coincidono e non si sostituiscono. Il test resta uno: un documento di provenienza che nomini la persona o la società, con il proprio identificativo, davanti a un'autorità.</w:t>
      </w:r>
    </w:p>
    <w:p>
      <w:pPr>
        <w:spacing w:after="120" w:line="276"/>
        <w:jc w:val="both"/>
      </w:pPr>
      <w:r>
        <w:rPr>
          <w:rFonts w:ascii="Barlow Semi Condensed" w:cs="Barlow Semi Condensed" w:eastAsia="Barlow Semi Condensed" w:hAnsi="Barlow Semi Condensed"/>
          <w:b/>
          <w:bCs/>
          <w:sz w:val="24"/>
          <w:szCs w:val="24"/>
        </w:rPr>
        <w:t xml:space="preserve">309 · Chi afferma deve indicare il numero.</w:t>
      </w:r>
      <w:r>
        <w:rPr>
          <w:rFonts w:ascii="Barlow Semi Condensed" w:cs="Barlow Semi Condensed" w:eastAsia="Barlow Semi Condensed" w:hAnsi="Barlow Semi Condensed"/>
          <w:sz w:val="24"/>
          <w:szCs w:val="24"/>
        </w:rPr>
        <w:t xml:space="preserve"> Chi sostiene che una miniera esistette deve poterne indicare il numero di licenza; chi sostiene che una società la deteneva deve poterne indicare il numero di registrazione. Questo non è formalismo: è la sola cosa che rende la verifica eseguibile da un terzo in una sede pubblica. Un'affermazione priva di identificativo non è falsa per ciò stesso, ma è inverificabile, e va classificata così senza aggravanti.</w:t>
      </w:r>
    </w:p>
    <w:p>
      <w:pPr>
        <w:spacing w:after="120" w:line="276"/>
        <w:jc w:val="both"/>
      </w:pPr>
      <w:r>
        <w:rPr>
          <w:rFonts w:ascii="Barlow Semi Condensed" w:cs="Barlow Semi Condensed" w:eastAsia="Barlow Semi Condensed" w:hAnsi="Barlow Semi Condensed"/>
          <w:b/>
          <w:bCs/>
          <w:sz w:val="24"/>
          <w:szCs w:val="24"/>
        </w:rPr>
        <w:t xml:space="preserve">310 · La contemporaneità di un giacimento.</w:t>
      </w:r>
      <w:r>
        <w:rPr>
          <w:rFonts w:ascii="Barlow Semi Condensed" w:cs="Barlow Semi Condensed" w:eastAsia="Barlow Semi Condensed" w:hAnsi="Barlow Semi Condensed"/>
          <w:sz w:val="24"/>
          <w:szCs w:val="24"/>
        </w:rPr>
        <w:t xml:space="preserve"> Vivere negli anni della costruzione di un impianto minerario, o nella città che lo serve, colloca una persona in un tempo e in un luogo. Non la colloca in un contratto. Il corpus applica qui la stessa regola che il manuale investigativo fissa per le presenze romane del 1978: la coincidenza di data e di luogo apre una verifica, non la chiude, e non produce da sola alcun nesso.</w:t>
      </w:r>
    </w:p>
    <w:p>
      <w:pPr>
        <w:spacing w:after="120" w:line="276"/>
        <w:jc w:val="both"/>
      </w:pPr>
      <w:r>
        <w:rPr>
          <w:rFonts w:ascii="Barlow Semi Condensed" w:cs="Barlow Semi Condensed" w:eastAsia="Barlow Semi Condensed" w:hAnsi="Barlow Semi Condensed"/>
          <w:b/>
          <w:bCs/>
          <w:sz w:val="24"/>
          <w:szCs w:val="24"/>
        </w:rPr>
        <w:t xml:space="preserve">311 · Le serie dei prezzi come vincolo.</w:t>
      </w:r>
      <w:r>
        <w:rPr>
          <w:rFonts w:ascii="Barlow Semi Condensed" w:cs="Barlow Semi Condensed" w:eastAsia="Barlow Semi Condensed" w:hAnsi="Barlow Semi Condensed"/>
          <w:sz w:val="24"/>
          <w:szCs w:val="24"/>
        </w:rPr>
        <w:t xml:space="preserve"> Le quotazioni di uranio, oro e platino sono pubblicate e datate, e servono da vincolo esterno a qualunque racconto: gli annuari minerari dello United States Bureau of Mines e i bollettini del London Platinum and Palladium Market permettono di verificare se una cifra riferita a un'operazione sia compatibile con il mercato di quell'anno. Una somma incompatibile con la serie storica non è per questo falsa, ma va segnalata come tale.</w:t>
      </w:r>
    </w:p>
    <w:p>
      <w:pPr>
        <w:spacing w:after="120" w:line="276"/>
        <w:jc w:val="both"/>
      </w:pPr>
      <w:r>
        <w:rPr>
          <w:rFonts w:ascii="Barlow Semi Condensed" w:cs="Barlow Semi Condensed" w:eastAsia="Barlow Semi Condensed" w:hAnsi="Barlow Semi Condensed"/>
          <w:b/>
          <w:bCs/>
          <w:sz w:val="24"/>
          <w:szCs w:val="24"/>
        </w:rPr>
        <w:t xml:space="preserve">312 · Il rischio dell'anacronismo regolatorio.</w:t>
      </w:r>
      <w:r>
        <w:rPr>
          <w:rFonts w:ascii="Barlow Semi Condensed" w:cs="Barlow Semi Condensed" w:eastAsia="Barlow Semi Condensed" w:hAnsi="Barlow Semi Condensed"/>
          <w:sz w:val="24"/>
          <w:szCs w:val="24"/>
        </w:rPr>
        <w:t xml:space="preserve"> Il Kimberley Process nasce nel 2003; la tracciabilità delle gemme colorate è più tarda ancora; le aste certificate degli smeraldi zambiani sono un fatto degli anni Duemila. Applicare questi strumenti a operazioni collocate negli anni Settanta e Ottanta produce domande impossibili e conclusioni sbagliate. Ogni verifica va condotta con il diritto e con le procedure vigenti nell'anno che si esamina, e non con quelli di oggi.</w:t>
      </w:r>
    </w:p>
    <w:p>
      <w:pPr>
        <w:spacing w:after="120" w:line="276"/>
        <w:jc w:val="both"/>
      </w:pPr>
      <w:r>
        <w:rPr>
          <w:rFonts w:ascii="Barlow Semi Condensed" w:cs="Barlow Semi Condensed" w:eastAsia="Barlow Semi Condensed" w:hAnsi="Barlow Semi Condensed"/>
          <w:b/>
          <w:bCs/>
          <w:sz w:val="24"/>
          <w:szCs w:val="24"/>
        </w:rPr>
        <w:t xml:space="preserve">313 · Omologia e analogia nelle economie estrattive.</w:t>
      </w:r>
      <w:r>
        <w:rPr>
          <w:rFonts w:ascii="Barlow Semi Condensed" w:cs="Barlow Semi Condensed" w:eastAsia="Barlow Semi Condensed" w:hAnsi="Barlow Semi Condensed"/>
          <w:sz w:val="24"/>
          <w:szCs w:val="24"/>
        </w:rPr>
        <w:t xml:space="preserve"> Due economie minerarie si somigliano perché estraggono, non perché discendano l'una dall'altra. Concessioni, enclave, lavoro migrante e controllo valutario ricorrono ovunque si scavi, e la loro ricorrenza è convergenza per adattamento, non parentela. Dalla somiglianza degli assetti non si deduce un antenato comune: il test resta un documento che nomini la controparte. Questa serie registra le somiglianze come piano due e non le promuove mai.</w:t>
      </w:r>
    </w:p>
    <w:p>
      <w:pPr>
        <w:spacing w:after="120" w:line="276"/>
        <w:jc w:val="both"/>
      </w:pPr>
      <w:r>
        <w:rPr>
          <w:rFonts w:ascii="Barlow Semi Condensed" w:cs="Barlow Semi Condensed" w:eastAsia="Barlow Semi Condensed" w:hAnsi="Barlow Semi Condensed"/>
          <w:b/>
          <w:bCs/>
          <w:sz w:val="24"/>
          <w:szCs w:val="24"/>
        </w:rPr>
        <w:t xml:space="preserve">314 · La divergenza degli smeraldi, enunciata.</w:t>
      </w:r>
      <w:r>
        <w:rPr>
          <w:rFonts w:ascii="Barlow Semi Condensed" w:cs="Barlow Semi Condensed" w:eastAsia="Barlow Semi Condensed" w:hAnsi="Barlow Semi Condensed"/>
          <w:sz w:val="24"/>
          <w:szCs w:val="24"/>
        </w:rPr>
        <w:t xml:space="preserve"> Sulla miniera di smeraldi attribuita a Errol Musk esistono tre versioni pubbliche che non coincidono: il padre rivendica un'attività, il figlio ha negato pubblicamente che una miniera esistesse e ne ha chiesto la prova, il biografo Walter Isaacson descrive un'acquisizione informale di pietre grezze e non una proprietà mineraria. Nessun documento di titolarità è mai emerso. La serie tratta il caso come divergenza irrisolta e non ne sceglie in silenzio un ramo.</w:t>
      </w:r>
    </w:p>
    <w:p>
      <w:pPr>
        <w:spacing w:after="120" w:line="276"/>
        <w:jc w:val="both"/>
      </w:pPr>
      <w:r>
        <w:rPr>
          <w:rFonts w:ascii="Barlow Semi Condensed" w:cs="Barlow Semi Condensed" w:eastAsia="Barlow Semi Condensed" w:hAnsi="Barlow Semi Condensed"/>
          <w:b/>
          <w:bCs/>
          <w:sz w:val="24"/>
          <w:szCs w:val="24"/>
        </w:rPr>
        <w:t xml:space="preserve">315 · Il ramo paterno della divergenza.</w:t>
      </w:r>
      <w:r>
        <w:rPr>
          <w:rFonts w:ascii="Barlow Semi Condensed" w:cs="Barlow Semi Condensed" w:eastAsia="Barlow Semi Condensed" w:hAnsi="Barlow Semi Condensed"/>
          <w:sz w:val="24"/>
          <w:szCs w:val="24"/>
        </w:rPr>
        <w:t xml:space="preserve"> Errol Musk ha reso in più occasioni dichiarazioni pubbliche su un interesse in smeraldi zambiani, con dettagli variabili quanto a data, quota e modalità d'acquisto. La variabilità interna a una serie di dichiarazioni è essa stessa un dato da verbalizzare: va compilata una tavola cronologica delle interviste, con testata, data e formulazione esatta, prima di discuterne il merito. Il confronto fra le versioni precede qualunque giudizio sul contenuto.</w:t>
      </w:r>
    </w:p>
    <w:p>
      <w:pPr>
        <w:spacing w:after="120" w:line="276"/>
        <w:jc w:val="both"/>
      </w:pPr>
      <w:r>
        <w:rPr>
          <w:rFonts w:ascii="Barlow Semi Condensed" w:cs="Barlow Semi Condensed" w:eastAsia="Barlow Semi Condensed" w:hAnsi="Barlow Semi Condensed"/>
          <w:b/>
          <w:bCs/>
          <w:sz w:val="24"/>
          <w:szCs w:val="24"/>
        </w:rPr>
        <w:t xml:space="preserve">316 · Il ramo filiale della divergenza.</w:t>
      </w:r>
      <w:r>
        <w:rPr>
          <w:rFonts w:ascii="Barlow Semi Condensed" w:cs="Barlow Semi Condensed" w:eastAsia="Barlow Semi Condensed" w:hAnsi="Barlow Semi Condensed"/>
          <w:sz w:val="24"/>
          <w:szCs w:val="24"/>
        </w:rPr>
        <w:t xml:space="preserve"> Elon Musk ha negato pubblicamente e ripetutamente l'esistenza di una miniera di famiglia, chiedendo che ne fosse esibita la prova documentale. La negazione è un fatto pubblico e va registrata con la sua data e la sua sede, come si registra la rivendicazione paterna. Una negazione non prova l'inesistenza, esattamente come una rivendicazione non prova l'esistenza: entrambe sono dichiarazioni, e il documento che le dirimerebbe è di altra natura.</w:t>
      </w:r>
    </w:p>
    <w:p>
      <w:pPr>
        <w:spacing w:after="120" w:line="276"/>
        <w:jc w:val="both"/>
      </w:pPr>
      <w:r>
        <w:rPr>
          <w:rFonts w:ascii="Barlow Semi Condensed" w:cs="Barlow Semi Condensed" w:eastAsia="Barlow Semi Condensed" w:hAnsi="Barlow Semi Condensed"/>
          <w:b/>
          <w:bCs/>
          <w:sz w:val="24"/>
          <w:szCs w:val="24"/>
        </w:rPr>
        <w:t xml:space="preserve">317 · Il ramo biografico e il suo apparato.</w:t>
      </w:r>
      <w:r>
        <w:rPr>
          <w:rFonts w:ascii="Barlow Semi Condensed" w:cs="Barlow Semi Condensed" w:eastAsia="Barlow Semi Condensed" w:hAnsi="Barlow Semi Condensed"/>
          <w:sz w:val="24"/>
          <w:szCs w:val="24"/>
        </w:rPr>
        <w:t xml:space="preserve"> La biografia di Isaacson, uscita nel 2023 presso Simon and Schuster, descrive un'operazione informale su pietre grezze acquistate da un intermediario, senza attribuire al soggetto una concessione mineraria. È la formulazione più prudente delle tre, e resta comunque una fonte secondaria fondata su interviste. Va letta insieme al suo apparato di note, per stabilire quale passaggio poggi su un documento e quale su una conversazione riferita.</w:t>
      </w:r>
    </w:p>
    <w:p>
      <w:pPr>
        <w:spacing w:after="120" w:line="276"/>
        <w:jc w:val="both"/>
      </w:pPr>
      <w:r>
        <w:rPr>
          <w:rFonts w:ascii="Barlow Semi Condensed" w:cs="Barlow Semi Condensed" w:eastAsia="Barlow Semi Condensed" w:hAnsi="Barlow Semi Condensed"/>
          <w:b/>
          <w:bCs/>
          <w:sz w:val="24"/>
          <w:szCs w:val="24"/>
        </w:rPr>
        <w:t xml:space="preserve">318 · Il documento assente si chiama titolo.</w:t>
      </w:r>
      <w:r>
        <w:rPr>
          <w:rFonts w:ascii="Barlow Semi Condensed" w:cs="Barlow Semi Condensed" w:eastAsia="Barlow Semi Condensed" w:hAnsi="Barlow Semi Condensed"/>
          <w:sz w:val="24"/>
          <w:szCs w:val="24"/>
        </w:rPr>
        <w:t xml:space="preserve"> Ciò che dirimerebbe l'intera divergenza è un solo tipo di atto: una licenza mineraria, una quota societaria depositata o un contratto di partecipazione che nomini la persona. Nessuno dei tre è mai stato prodotto da alcuna delle parti in causa, né da chi afferma né da chi nega. Questa assenza è un accertamento, non un vuoto narrativo, e va scritta con la sede che potrebbe colmarla.</w:t>
      </w:r>
    </w:p>
    <w:p>
      <w:pPr>
        <w:spacing w:after="120" w:line="276"/>
        <w:jc w:val="both"/>
      </w:pPr>
      <w:r>
        <w:rPr>
          <w:rFonts w:ascii="Barlow Semi Condensed" w:cs="Barlow Semi Condensed" w:eastAsia="Barlow Semi Condensed" w:hAnsi="Barlow Semi Condensed"/>
          <w:b/>
          <w:bCs/>
          <w:sz w:val="24"/>
          <w:szCs w:val="24"/>
        </w:rPr>
        <w:t xml:space="preserve">319 · Il catasto minerario zambiano, Lusaka.</w:t>
      </w:r>
      <w:r>
        <w:rPr>
          <w:rFonts w:ascii="Barlow Semi Condensed" w:cs="Barlow Semi Condensed" w:eastAsia="Barlow Semi Condensed" w:hAnsi="Barlow Semi Condensed"/>
          <w:sz w:val="24"/>
          <w:szCs w:val="24"/>
        </w:rPr>
        <w:t xml:space="preserve"> La sede naturale della verifica è il catasto minerario tenuto dal Ministero delle Miniere e dello Sviluppo Minerario a Lusaka, che registra licenze, titolari e perimetri. Il quesito da portarvi è puntuale: risulta, fra il 1970 e il 1995, un titolo minerario intestato a un cittadino sudafricano di quel nome, o a una società da lui partecipata, in area smeraldifera. Esito atteso ignoto; esito negativo pienamente utile.</w:t>
      </w:r>
    </w:p>
    <w:p>
      <w:pPr>
        <w:spacing w:after="120" w:line="276"/>
        <w:jc w:val="both"/>
      </w:pPr>
      <w:r>
        <w:rPr>
          <w:rFonts w:ascii="Barlow Semi Condensed" w:cs="Barlow Semi Condensed" w:eastAsia="Barlow Semi Condensed" w:hAnsi="Barlow Semi Condensed"/>
          <w:b/>
          <w:bCs/>
          <w:sz w:val="24"/>
          <w:szCs w:val="24"/>
        </w:rPr>
        <w:t xml:space="preserve">320 · PACRA e le società zambiane.</w:t>
      </w:r>
      <w:r>
        <w:rPr>
          <w:rFonts w:ascii="Barlow Semi Condensed" w:cs="Barlow Semi Condensed" w:eastAsia="Barlow Semi Condensed" w:hAnsi="Barlow Semi Condensed"/>
          <w:sz w:val="24"/>
          <w:szCs w:val="24"/>
        </w:rPr>
        <w:t xml:space="preserve"> Il secondo giacimento documentale è l'agenzia zambiana per i brevetti e la registrazione delle società, che conserva gli atti costitutivi, le compagini e le cariche. Va interrogata per verificare se una società operante nel settore delle gemme abbia mai iscritto fra i propri soci o amministratori il nome in questione. Anche qui l'esito negativo va verbalizzato con la data della ricerca e la formula usata per interrogare l'indice.</w:t>
      </w:r>
    </w:p>
    <w:p>
      <w:pPr>
        <w:spacing w:after="120" w:line="276"/>
        <w:jc w:val="both"/>
      </w:pPr>
      <w:r>
        <w:rPr>
          <w:rFonts w:ascii="Barlow Semi Condensed" w:cs="Barlow Semi Condensed" w:eastAsia="Barlow Semi Condensed" w:hAnsi="Barlow Semi Condensed"/>
          <w:b/>
          <w:bCs/>
          <w:sz w:val="24"/>
          <w:szCs w:val="24"/>
        </w:rPr>
        <w:t xml:space="preserve">321 · Gli Archivi Nazionali dello Zambia.</w:t>
      </w:r>
      <w:r>
        <w:rPr>
          <w:rFonts w:ascii="Barlow Semi Condensed" w:cs="Barlow Semi Condensed" w:eastAsia="Barlow Semi Condensed" w:hAnsi="Barlow Semi Condensed"/>
          <w:sz w:val="24"/>
          <w:szCs w:val="24"/>
        </w:rPr>
        <w:t xml:space="preserve"> Per il periodo anteriore all'informatizzazione dei registri, la sede è l'Archivio Nazionale dello Zambia a Lusaka, che conserva le carte del Ministero delle Miniere e degli enti minerari statali degli anni Settanta e Ottanta. Vi si cercano corrispondenza amministrativa, elenchi di licenziatari e pratiche di esportazione. La ricerca va perimetrata per anno e per distretto, e il suo verbale deve dire quali serie sono state aperte e quali risultano non consultabili.</w:t>
      </w:r>
    </w:p>
    <w:p>
      <w:pPr>
        <w:spacing w:after="120" w:line="276"/>
        <w:jc w:val="both"/>
      </w:pPr>
      <w:r>
        <w:rPr>
          <w:rFonts w:ascii="Barlow Semi Condensed" w:cs="Barlow Semi Condensed" w:eastAsia="Barlow Semi Condensed" w:hAnsi="Barlow Semi Condensed"/>
          <w:b/>
          <w:bCs/>
          <w:sz w:val="24"/>
          <w:szCs w:val="24"/>
        </w:rPr>
        <w:t xml:space="preserve">322 · L'area riservata di Ndola Rurale.</w:t>
      </w:r>
      <w:r>
        <w:rPr>
          <w:rFonts w:ascii="Barlow Semi Condensed" w:cs="Barlow Semi Condensed" w:eastAsia="Barlow Semi Condensed" w:hAnsi="Barlow Semi Condensed"/>
          <w:sz w:val="24"/>
          <w:szCs w:val="24"/>
        </w:rPr>
        <w:t xml:space="preserve"> Gli smeraldi zambiani provengono dal campo del Kafubu, nel distretto di Ndola Rurale, dichiarato area riservata da provvedimento amministrativo. La conseguenza è documentale: in quel perimetro l'estrazione richiedeva un titolo specifico e l'esportazione un permesso, e dunque una traccia. Verificare quale strumento normativo istituì l'area e in quali anni fu in vigore è il presupposto di ogni domanda successiva sul periodo indagato.</w:t>
      </w:r>
    </w:p>
    <w:p>
      <w:pPr>
        <w:spacing w:after="120" w:line="276"/>
        <w:jc w:val="both"/>
      </w:pPr>
      <w:r>
        <w:rPr>
          <w:rFonts w:ascii="Barlow Semi Condensed" w:cs="Barlow Semi Condensed" w:eastAsia="Barlow Semi Condensed" w:hAnsi="Barlow Semi Condensed"/>
          <w:b/>
          <w:bCs/>
          <w:sz w:val="24"/>
          <w:szCs w:val="24"/>
        </w:rPr>
        <w:t xml:space="preserve">323 · Kagem, l'assetto che risulta.</w:t>
      </w:r>
      <w:r>
        <w:rPr>
          <w:rFonts w:ascii="Barlow Semi Condensed" w:cs="Barlow Semi Condensed" w:eastAsia="Barlow Semi Condensed" w:hAnsi="Barlow Semi Condensed"/>
          <w:sz w:val="24"/>
          <w:szCs w:val="24"/>
        </w:rPr>
        <w:t xml:space="preserve"> L'unica grande operazione smeraldifera zambiana con assetto pubblicamente documentato è Kagem, nel Kafubu, la cui compagine fra società quotata a Londra e veicolo statale zambiano è leggibile nelle relazioni annuali depositate. Serve come termine di paragone e non come indizio: mostra quale forma abbia un titolo minerario smeraldifero realmente registrato, e quanto diverso sia da un'operazione informale sulle pietre grezze descritta a memoria.</w:t>
      </w:r>
    </w:p>
    <w:p>
      <w:pPr>
        <w:spacing w:after="120" w:line="276"/>
        <w:jc w:val="both"/>
      </w:pPr>
      <w:r>
        <w:rPr>
          <w:rFonts w:ascii="Barlow Semi Condensed" w:cs="Barlow Semi Condensed" w:eastAsia="Barlow Semi Condensed" w:hAnsi="Barlow Semi Condensed"/>
          <w:b/>
          <w:bCs/>
          <w:sz w:val="24"/>
          <w:szCs w:val="24"/>
        </w:rPr>
        <w:t xml:space="preserve">324 · Le età della legge mineraria zambiana.</w:t>
      </w:r>
      <w:r>
        <w:rPr>
          <w:rFonts w:ascii="Barlow Semi Condensed" w:cs="Barlow Semi Condensed" w:eastAsia="Barlow Semi Condensed" w:hAnsi="Barlow Semi Condensed"/>
          <w:sz w:val="24"/>
          <w:szCs w:val="24"/>
        </w:rPr>
        <w:t xml:space="preserve"> Il regime dei titoli è cambiato più volte: la legge mineraria del 1976, quella del 1995 e quella del 2015 disciplinano diversamente concessioni, minerali riservati ed esportazione. Chi cerchi un titolo deve sapere quale legge era vigente nell'anno che ipotizza, perché cambia il nome dell'atto da chiedere e l'autorità che lo rilasciava. Cercare la categoria sbagliata produce uno Stato Zero apparente, che è un errore di metodo.</w:t>
      </w:r>
    </w:p>
    <w:p>
      <w:pPr>
        <w:spacing w:after="120" w:line="276"/>
        <w:jc w:val="both"/>
      </w:pPr>
      <w:r>
        <w:rPr>
          <w:rFonts w:ascii="Barlow Semi Condensed" w:cs="Barlow Semi Condensed" w:eastAsia="Barlow Semi Condensed" w:hAnsi="Barlow Semi Condensed"/>
          <w:b/>
          <w:bCs/>
          <w:sz w:val="24"/>
          <w:szCs w:val="24"/>
        </w:rPr>
        <w:t xml:space="preserve">325 · Il permesso d'esportazione come traccia.</w:t>
      </w:r>
      <w:r>
        <w:rPr>
          <w:rFonts w:ascii="Barlow Semi Condensed" w:cs="Barlow Semi Condensed" w:eastAsia="Barlow Semi Condensed" w:hAnsi="Barlow Semi Condensed"/>
          <w:sz w:val="24"/>
          <w:szCs w:val="24"/>
        </w:rPr>
        <w:t xml:space="preserve"> Anche ammettendo un'acquisizione puramente informale di pietre, l'uscita dal territorio zambiano di gemme di valore richiedeva un titolo doganale o un permesso, e il loro ingresso altrove una dichiarazione. La domanda diventa allora doppia: esiste una pratica di esportazione, e ne esiste una di importazione. Le due amministrazioni conservano serie distinte, e la mancanza in una non implica la mancanza nell'altra.</w:t>
      </w:r>
    </w:p>
    <w:p>
      <w:pPr>
        <w:spacing w:after="120" w:line="276"/>
        <w:jc w:val="both"/>
      </w:pPr>
      <w:r>
        <w:rPr>
          <w:rFonts w:ascii="Barlow Semi Condensed" w:cs="Barlow Semi Condensed" w:eastAsia="Barlow Semi Condensed" w:hAnsi="Barlow Semi Condensed"/>
          <w:b/>
          <w:bCs/>
          <w:sz w:val="24"/>
          <w:szCs w:val="24"/>
        </w:rPr>
        <w:t xml:space="preserve">326 · Il controllo dei cambi sudafricano.</w:t>
      </w:r>
      <w:r>
        <w:rPr>
          <w:rFonts w:ascii="Barlow Semi Condensed" w:cs="Barlow Semi Condensed" w:eastAsia="Barlow Semi Condensed" w:hAnsi="Barlow Semi Condensed"/>
          <w:sz w:val="24"/>
          <w:szCs w:val="24"/>
        </w:rPr>
        <w:t xml:space="preserve"> Dal lato sudafricano, ogni operazione con l'estero passava per il regime valutario amministrato dalla Reserve Bank in forza della legge del 1933 su valute e cambi, con moduli di dichiarazione per esportazioni e importazioni. Una compravendita di gemme di rilievo avrebbe dovuto lasciare traccia in quel circuito, o esserne stata deliberatamente fuori. Le due ipotesi hanno conseguenze documentali diverse e vanno tenute distinte nel piano di ricerca.</w:t>
      </w:r>
    </w:p>
    <w:p>
      <w:pPr>
        <w:spacing w:after="120" w:line="276"/>
        <w:jc w:val="both"/>
      </w:pPr>
      <w:r>
        <w:rPr>
          <w:rFonts w:ascii="Barlow Semi Condensed" w:cs="Barlow Semi Condensed" w:eastAsia="Barlow Semi Condensed" w:hAnsi="Barlow Semi Condensed"/>
          <w:b/>
          <w:bCs/>
          <w:sz w:val="24"/>
          <w:szCs w:val="24"/>
        </w:rPr>
        <w:t xml:space="preserve">327 · Il gioielliere, la ricevuta, il nome.</w:t>
      </w:r>
      <w:r>
        <w:rPr>
          <w:rFonts w:ascii="Barlow Semi Condensed" w:cs="Barlow Semi Condensed" w:eastAsia="Barlow Semi Condensed" w:hAnsi="Barlow Semi Condensed"/>
          <w:sz w:val="24"/>
          <w:szCs w:val="24"/>
        </w:rPr>
        <w:t xml:space="preserve"> Le versioni pubbliche accennano a cessioni di pietre a operatori del settore in Sud Africa. Un accertamento eseguibile esiste: identificare la ditta, verificarne l'iscrizione nel registro societario sudafricano oggi tenuto dalla commissione per le imprese e la proprietà intellettuale, e cercare presso gli eredi o i successori i libri contabili dell'epoca. Una sola ricevuta datata sposterebbe il caso dal racconto al documento.</w:t>
      </w:r>
    </w:p>
    <w:p>
      <w:pPr>
        <w:spacing w:after="120" w:line="276"/>
        <w:jc w:val="both"/>
      </w:pPr>
      <w:r>
        <w:rPr>
          <w:rFonts w:ascii="Barlow Semi Condensed" w:cs="Barlow Semi Condensed" w:eastAsia="Barlow Semi Condensed" w:hAnsi="Barlow Semi Condensed"/>
          <w:b/>
          <w:bCs/>
          <w:sz w:val="24"/>
          <w:szCs w:val="24"/>
        </w:rPr>
        <w:t xml:space="preserve">328 · La geografia dichiarata e quella geologica.</w:t>
      </w:r>
      <w:r>
        <w:rPr>
          <w:rFonts w:ascii="Barlow Semi Condensed" w:cs="Barlow Semi Condensed" w:eastAsia="Barlow Semi Condensed" w:hAnsi="Barlow Semi Condensed"/>
          <w:sz w:val="24"/>
          <w:szCs w:val="24"/>
        </w:rPr>
        <w:t xml:space="preserve"> Alcune versioni collocano l'attività in prossimità del lago Tanganica, all'estremo nord dello Zambia. La documentazione geologica del Paese colloca invece i giacimenti di smeraldo nel Copperbelt, attorno al Kafubu. La discrepanza va portata al Dipartimento del Servizio Geologico a Lusaka, che conserva le carte e i rapporti di prospezione: se in quell'area non risultano giacimenti censiti, la divergenza si sposta dal merito alla geografia e va registrata.</w:t>
      </w:r>
    </w:p>
    <w:p>
      <w:pPr>
        <w:spacing w:after="120" w:line="276"/>
        <w:jc w:val="both"/>
      </w:pPr>
      <w:r>
        <w:rPr>
          <w:rFonts w:ascii="Barlow Semi Condensed" w:cs="Barlow Semi Condensed" w:eastAsia="Barlow Semi Condensed" w:hAnsi="Barlow Semi Condensed"/>
          <w:b/>
          <w:bCs/>
          <w:sz w:val="24"/>
          <w:szCs w:val="24"/>
        </w:rPr>
        <w:t xml:space="preserve">329 · Le cifre e la loro origine.</w:t>
      </w:r>
      <w:r>
        <w:rPr>
          <w:rFonts w:ascii="Barlow Semi Condensed" w:cs="Barlow Semi Condensed" w:eastAsia="Barlow Semi Condensed" w:hAnsi="Barlow Semi Condensed"/>
          <w:sz w:val="24"/>
          <w:szCs w:val="24"/>
        </w:rPr>
        <w:t xml:space="preserve"> Nelle versioni circolanti compaiono somme e valori che si ripetono identici da un sito all'altro senza mai indicare una fonte primaria. La ripetizione non aggiunge valore probatorio: va risalito il primo luogo in cui ciascuna cifra compare, con la sua data, e verificato se lì poggiasse su un documento o su una dichiarazione orale. Questa risalita è lavoro di collazione, ed è preliminare a ogni discussione di merito.</w:t>
      </w:r>
    </w:p>
    <w:p>
      <w:pPr>
        <w:spacing w:after="120" w:line="276"/>
        <w:jc w:val="both"/>
      </w:pPr>
      <w:r>
        <w:rPr>
          <w:rFonts w:ascii="Barlow Semi Condensed" w:cs="Barlow Semi Condensed" w:eastAsia="Barlow Semi Condensed" w:hAnsi="Barlow Semi Condensed"/>
          <w:b/>
          <w:bCs/>
          <w:sz w:val="24"/>
          <w:szCs w:val="24"/>
        </w:rPr>
        <w:t xml:space="preserve">330 · Il lessico della gemma insanguinata.</w:t>
      </w:r>
      <w:r>
        <w:rPr>
          <w:rFonts w:ascii="Barlow Semi Condensed" w:cs="Barlow Semi Condensed" w:eastAsia="Barlow Semi Condensed" w:hAnsi="Barlow Semi Condensed"/>
          <w:sz w:val="24"/>
          <w:szCs w:val="24"/>
        </w:rPr>
        <w:t xml:space="preserve"> L'espressione che qualifica come insanguinate le gemme dell'Africa australe appartiene alla polemica pubblica degli anni Duemila e Dieci, non al lessico amministrativo degli anni Ottanta. Usarla come categoria descrittiva importa nel racconto un giudizio già formato. La serie la registra come oggetto di studio del linguaggio pubblico, datandone la comparsa, e non la adopera mai come qualificazione di un fatto o di una persona.</w:t>
      </w:r>
    </w:p>
    <w:p>
      <w:pPr>
        <w:spacing w:after="120" w:line="276"/>
        <w:jc w:val="both"/>
      </w:pPr>
      <w:r>
        <w:rPr>
          <w:rFonts w:ascii="Barlow Semi Condensed" w:cs="Barlow Semi Condensed" w:eastAsia="Barlow Semi Condensed" w:hAnsi="Barlow Semi Condensed"/>
          <w:b/>
          <w:bCs/>
          <w:sz w:val="24"/>
          <w:szCs w:val="24"/>
        </w:rPr>
        <w:t xml:space="preserve">331 · Tre esiti possibili, dichiarati in anticipo.</w:t>
      </w:r>
      <w:r>
        <w:rPr>
          <w:rFonts w:ascii="Barlow Semi Condensed" w:cs="Barlow Semi Condensed" w:eastAsia="Barlow Semi Condensed" w:hAnsi="Barlow Semi Condensed"/>
          <w:sz w:val="24"/>
          <w:szCs w:val="24"/>
        </w:rPr>
        <w:t xml:space="preserve"> La verifica zambiana può dare tre esiti, e vanno dichiarati prima di eseguirla per evitare che il risultato sia riletto a posteriori: un titolo intestato, che porterebbe il fatto al piano uno; nessun titolo con registri integri, che consoliderebbe lo Stato Zero; registri lacunosi o distrutti, che non deciderebbe nulla. Solo il terzo esito lascia la questione aperta, e va distinto dal secondo con cura.</w:t>
      </w:r>
    </w:p>
    <w:p>
      <w:pPr>
        <w:spacing w:after="120" w:line="276"/>
        <w:jc w:val="both"/>
      </w:pPr>
      <w:r>
        <w:rPr>
          <w:rFonts w:ascii="Barlow Semi Condensed" w:cs="Barlow Semi Condensed" w:eastAsia="Barlow Semi Condensed" w:hAnsi="Barlow Semi Condensed"/>
          <w:b/>
          <w:bCs/>
          <w:sz w:val="24"/>
          <w:szCs w:val="24"/>
        </w:rPr>
        <w:t xml:space="preserve">332 · Verbale di Stato Zero sugli smeraldi.</w:t>
      </w:r>
      <w:r>
        <w:rPr>
          <w:rFonts w:ascii="Barlow Semi Condensed" w:cs="Barlow Semi Condensed" w:eastAsia="Barlow Semi Condensed" w:hAnsi="Barlow Semi Condensed"/>
          <w:sz w:val="24"/>
          <w:szCs w:val="24"/>
        </w:rPr>
        <w:t xml:space="preserve"> Allo stato, e per quanto è pubblicamente accertabile, non risulta alcun documento di titolarità mineraria riferibile a Errol Musk in Zambia o altrove. Questo esito negativo è un'acquisizione di pieno valore e si scrive come tale, con la data della ricerca e con le tre sedi che potrebbero chiuderlo: il catasto minerario, il registro societario e l'archivio nazionale, tutti a Lusaka.</w:t>
      </w:r>
    </w:p>
    <w:p>
      <w:pPr>
        <w:spacing w:after="120" w:line="276"/>
        <w:jc w:val="both"/>
      </w:pPr>
      <w:r>
        <w:rPr>
          <w:rFonts w:ascii="Barlow Semi Condensed" w:cs="Barlow Semi Condensed" w:eastAsia="Barlow Semi Condensed" w:hAnsi="Barlow Semi Condensed"/>
          <w:b/>
          <w:bCs/>
          <w:sz w:val="24"/>
          <w:szCs w:val="24"/>
        </w:rPr>
        <w:t xml:space="preserve">333 · Negare non è provare l'inesistenza.</w:t>
      </w:r>
      <w:r>
        <w:rPr>
          <w:rFonts w:ascii="Barlow Semi Condensed" w:cs="Barlow Semi Condensed" w:eastAsia="Barlow Semi Condensed" w:hAnsi="Barlow Semi Condensed"/>
          <w:sz w:val="24"/>
          <w:szCs w:val="24"/>
        </w:rPr>
        <w:t xml:space="preserve"> Una smentita pubblica, per quanto ferma e ripetuta, non equivale a un certificato negativo rilasciato da un'autorità. Il corpus la registra come dichiarazione e non come accertamento, applicando la stessa misura che riserva alle dichiarazioni di segno opposto. Chi voglia trasformarla in prova deve produrre l'attestazione di un registro, non l'insistenza di chi parla. La simmetria fra le due parti è qui la garanzia del metodo.</w:t>
      </w:r>
    </w:p>
    <w:p>
      <w:pPr>
        <w:spacing w:after="120" w:line="276"/>
        <w:jc w:val="both"/>
      </w:pPr>
      <w:r>
        <w:rPr>
          <w:rFonts w:ascii="Barlow Semi Condensed" w:cs="Barlow Semi Condensed" w:eastAsia="Barlow Semi Condensed" w:hAnsi="Barlow Semi Condensed"/>
          <w:b/>
          <w:bCs/>
          <w:sz w:val="24"/>
          <w:szCs w:val="24"/>
        </w:rPr>
        <w:t xml:space="preserve">334 · Rivendicare non è provare l'esistenza.</w:t>
      </w:r>
      <w:r>
        <w:rPr>
          <w:rFonts w:ascii="Barlow Semi Condensed" w:cs="Barlow Semi Condensed" w:eastAsia="Barlow Semi Condensed" w:hAnsi="Barlow Semi Condensed"/>
          <w:sz w:val="24"/>
          <w:szCs w:val="24"/>
        </w:rPr>
        <w:t xml:space="preserve"> Simmetricamente, l'affermazione di un interesse minerario resa in intervista non crea il titolo che descrive. Vale per il ramo paterno della divergenza quanto per quello filiale: la parola pubblica è fatto, il fatto narrato non lo è. Chi assuma la rivendicazione come acquisita compie lo stesso errore di chi assume la smentita, e produce una ricostruzione che nessun terzo può controllare in una sede pubblica.</w:t>
      </w:r>
    </w:p>
    <w:p>
      <w:pPr>
        <w:spacing w:after="120" w:line="276"/>
        <w:jc w:val="both"/>
      </w:pPr>
      <w:r>
        <w:rPr>
          <w:rFonts w:ascii="Barlow Semi Condensed" w:cs="Barlow Semi Condensed" w:eastAsia="Barlow Semi Condensed" w:hAnsi="Barlow Semi Condensed"/>
          <w:b/>
          <w:bCs/>
          <w:sz w:val="24"/>
          <w:szCs w:val="24"/>
        </w:rPr>
        <w:t xml:space="preserve">335 · Il registro fiscale e la banca centrale.</w:t>
      </w:r>
      <w:r>
        <w:rPr>
          <w:rFonts w:ascii="Barlow Semi Condensed" w:cs="Barlow Semi Condensed" w:eastAsia="Barlow Semi Condensed" w:hAnsi="Barlow Semi Condensed"/>
          <w:sz w:val="24"/>
          <w:szCs w:val="24"/>
        </w:rPr>
        <w:t xml:space="preserve"> Restano due giacimenti poco battuti: gli atti dell'amministrazione fiscale zambiana per gli anni indicati e le pratiche di controllo dei cambi della Banca dello Zambia, che negli anni Ottanta autorizzava le operazioni con l'estero. Entrambi conservano nominativi. La consultabilità va accertata prima, perché regimi di riservatezza fiscale possono precludere l'accesso: in tal caso il diniego motivato si verbalizza e diventa esso stesso un dato di percorso.</w:t>
      </w:r>
    </w:p>
    <w:p>
      <w:pPr>
        <w:spacing w:after="120" w:line="276"/>
        <w:jc w:val="both"/>
      </w:pPr>
      <w:r>
        <w:rPr>
          <w:rFonts w:ascii="Barlow Semi Condensed" w:cs="Barlow Semi Condensed" w:eastAsia="Barlow Semi Condensed" w:hAnsi="Barlow Semi Condensed"/>
          <w:b/>
          <w:bCs/>
          <w:sz w:val="24"/>
          <w:szCs w:val="24"/>
        </w:rPr>
        <w:t xml:space="preserve">336 · Che cosa smentirebbe la lettura minima.</w:t>
      </w:r>
      <w:r>
        <w:rPr>
          <w:rFonts w:ascii="Barlow Semi Condensed" w:cs="Barlow Semi Condensed" w:eastAsia="Barlow Semi Condensed" w:hAnsi="Barlow Semi Condensed"/>
          <w:sz w:val="24"/>
          <w:szCs w:val="24"/>
        </w:rPr>
        <w:t xml:space="preserve"> La lettura minima adottata qui — nessuna proprietà mineraria documentata — sarebbe falsificata da un solo reperto: una licenza, una quota societaria o un contratto registrato che nomini il soggetto. Chi lo trovasse chiuderebbe la divergenza in senso opposto, e la serie ne prenderebbe atto senza attenuanti. È il bersaglio di smentita più preciso dell'intera parte sulle gemme, ed è deliberatamente facile da colpire, se il reperto esiste.</w:t>
      </w:r>
    </w:p>
    <w:p>
      <w:pPr>
        <w:spacing w:after="120" w:line="276"/>
        <w:jc w:val="both"/>
      </w:pPr>
      <w:r>
        <w:rPr>
          <w:rFonts w:ascii="Barlow Semi Condensed" w:cs="Barlow Semi Condensed" w:eastAsia="Barlow Semi Condensed" w:hAnsi="Barlow Semi Condensed"/>
          <w:b/>
          <w:bCs/>
          <w:sz w:val="24"/>
          <w:szCs w:val="24"/>
        </w:rPr>
        <w:t xml:space="preserve">337 · Perché gli smeraldi non reggono la tesi.</w:t>
      </w:r>
      <w:r>
        <w:rPr>
          <w:rFonts w:ascii="Barlow Semi Condensed" w:cs="Barlow Semi Condensed" w:eastAsia="Barlow Semi Condensed" w:hAnsi="Barlow Semi Condensed"/>
          <w:sz w:val="24"/>
          <w:szCs w:val="24"/>
        </w:rPr>
        <w:t xml:space="preserve"> Anche nell'ipotesi in cui un titolo emergesse, il fatto proverebbe un'attività economica del padre in Zambia, non una linea di continuità fra l'economia estrattiva dell'Africa australe e le imprese tecnologiche californiane di due generazioni dopo. La distanza fra i due enunciati è enorme e va tenuta visibile: il caso è utile come esercizio di metodo sulla divergenza, e non come pilastro di alcuna tesi.</w:t>
      </w:r>
    </w:p>
    <w:p>
      <w:pPr>
        <w:spacing w:after="120" w:line="276"/>
        <w:jc w:val="both"/>
      </w:pPr>
      <w:r>
        <w:rPr>
          <w:rFonts w:ascii="Barlow Semi Condensed" w:cs="Barlow Semi Condensed" w:eastAsia="Barlow Semi Condensed" w:hAnsi="Barlow Semi Condensed"/>
          <w:b/>
          <w:bCs/>
          <w:sz w:val="24"/>
          <w:szCs w:val="24"/>
        </w:rPr>
        <w:t xml:space="preserve">338 · Rössing, i dati che risultano.</w:t>
      </w:r>
      <w:r>
        <w:rPr>
          <w:rFonts w:ascii="Barlow Semi Condensed" w:cs="Barlow Semi Condensed" w:eastAsia="Barlow Semi Condensed" w:hAnsi="Barlow Semi Condensed"/>
          <w:sz w:val="24"/>
          <w:szCs w:val="24"/>
        </w:rPr>
        <w:t xml:space="preserve"> L'impianto di Rössing sorge presso Arandis, nell'entroterra di Swakopmund, in territorio allora amministrato dal Sud Africa come Africa del Sud-Ovest. La prospezione risale agli anni Venti, i diritti passarono al gruppo Rio Tinto negli anni Sessanta, il cantiere si aprì a metà anni Settanta e la produzione avviò verso la fine del decennio. Sono fatti pubblici e datati, leggibili nelle relazioni annuali della capogruppo.</w:t>
      </w:r>
    </w:p>
    <w:p>
      <w:pPr>
        <w:spacing w:after="120" w:line="276"/>
        <w:jc w:val="both"/>
      </w:pPr>
      <w:r>
        <w:rPr>
          <w:rFonts w:ascii="Barlow Semi Condensed" w:cs="Barlow Semi Condensed" w:eastAsia="Barlow Semi Condensed" w:hAnsi="Barlow Semi Condensed"/>
          <w:b/>
          <w:bCs/>
          <w:sz w:val="24"/>
          <w:szCs w:val="24"/>
        </w:rPr>
        <w:t xml:space="preserve">339 · La licenza mineraria e il suo numero.</w:t>
      </w:r>
      <w:r>
        <w:rPr>
          <w:rFonts w:ascii="Barlow Semi Condensed" w:cs="Barlow Semi Condensed" w:eastAsia="Barlow Semi Condensed" w:hAnsi="Barlow Semi Condensed"/>
          <w:sz w:val="24"/>
          <w:szCs w:val="24"/>
        </w:rPr>
        <w:t xml:space="preserve"> Rössing opera in forza di una licenza mineraria registrata presso il Ministero delle Miniere e dell'Energia a Windhoek. Il numero e le condizioni vanno letti sull'atto e non sulle sintesi aziendali, perché licenza originaria, rinnovi e modifiche di perimetro sono documenti distinti. Il quesito da portare in sede è la sequenza completa dei titoli dal rilascio a oggi, con le date di ciascuna variazione e l'autorità che la dispose.</w:t>
      </w:r>
    </w:p>
    <w:p>
      <w:pPr>
        <w:spacing w:after="120" w:line="276"/>
        <w:jc w:val="both"/>
      </w:pPr>
      <w:r>
        <w:rPr>
          <w:rFonts w:ascii="Barlow Semi Condensed" w:cs="Barlow Semi Condensed" w:eastAsia="Barlow Semi Condensed" w:hAnsi="Barlow Semi Condensed"/>
          <w:b/>
          <w:bCs/>
          <w:sz w:val="24"/>
          <w:szCs w:val="24"/>
        </w:rPr>
        <w:t xml:space="preserve">340 · Il registro societario di Windhoek.</w:t>
      </w:r>
      <w:r>
        <w:rPr>
          <w:rFonts w:ascii="Barlow Semi Condensed" w:cs="Barlow Semi Condensed" w:eastAsia="Barlow Semi Condensed" w:hAnsi="Barlow Semi Condensed"/>
          <w:sz w:val="24"/>
          <w:szCs w:val="24"/>
        </w:rPr>
        <w:t xml:space="preserve"> La società namibiana che gestisce l'impianto è iscritta nel registro delle imprese tenuto a Windhoek dall'autorità per le imprese e la proprietà intellettuale, che conserva statuti, variazioni della compagine e bilanci depositati. È la sede dove verificare, anno per anno, chi risulti formalmente socio, con quale quota e con quali diritti di voto. Le percentuali riferite dalla stampa vanno sempre riscontrate su questi depositi, che sono l'atto e non il commento.</w:t>
      </w:r>
    </w:p>
    <w:p>
      <w:pPr>
        <w:spacing w:after="120" w:line="276"/>
        <w:jc w:val="both"/>
      </w:pPr>
      <w:r>
        <w:rPr>
          <w:rFonts w:ascii="Barlow Semi Condensed" w:cs="Barlow Semi Condensed" w:eastAsia="Barlow Semi Condensed" w:hAnsi="Barlow Semi Condensed"/>
          <w:b/>
          <w:bCs/>
          <w:sz w:val="24"/>
          <w:szCs w:val="24"/>
        </w:rPr>
        <w:t xml:space="preserve">341 · Una compagine internazionale, non nazionale.</w:t>
      </w:r>
      <w:r>
        <w:rPr>
          <w:rFonts w:ascii="Barlow Semi Condensed" w:cs="Barlow Semi Condensed" w:eastAsia="Barlow Semi Condensed" w:hAnsi="Barlow Semi Condensed"/>
          <w:sz w:val="24"/>
          <w:szCs w:val="24"/>
        </w:rPr>
        <w:t xml:space="preserve"> L'assetto proprietario dell'impianto è stato per decenni multinazionale: maggioranza al gruppo britannico-australiano, quote minoritarie a un veicolo statale iraniano e alla società statale sudafricana per lo sviluppo industriale, più partecipazioni locali e, dopo l'indipendenza, una quota dello Stato namibiano con diritti di voto rafforzati. La composizione va verificata sui depositi societari; la sua importanza analitica è che nessun singolo Stato ne ebbe il controllo pieno.</w:t>
      </w:r>
    </w:p>
    <w:p>
      <w:pPr>
        <w:spacing w:after="120" w:line="276"/>
        <w:jc w:val="both"/>
      </w:pPr>
      <w:r>
        <w:rPr>
          <w:rFonts w:ascii="Barlow Semi Condensed" w:cs="Barlow Semi Condensed" w:eastAsia="Barlow Semi Condensed" w:hAnsi="Barlow Semi Condensed"/>
          <w:b/>
          <w:bCs/>
          <w:sz w:val="24"/>
          <w:szCs w:val="24"/>
        </w:rPr>
        <w:t xml:space="preserve">342 · La quota iraniana e la sua persistenza.</w:t>
      </w:r>
      <w:r>
        <w:rPr>
          <w:rFonts w:ascii="Barlow Semi Condensed" w:cs="Barlow Semi Condensed" w:eastAsia="Barlow Semi Condensed" w:hAnsi="Barlow Semi Condensed"/>
          <w:sz w:val="24"/>
          <w:szCs w:val="24"/>
        </w:rPr>
        <w:t xml:space="preserve"> Fra i soci di minoranza figura da metà anni Settanta un veicolo d'investimento statale iraniano, entrato sotto la monarchia e rimasto nella compagine anche dopo il 1979. Il dato è documentato nei depositi societari e nelle relazioni annuali, ed è istruttivo: mostra che la proprietà di un'infrastruttura estrattiva sopravvive ai cambi di regime dei suoi azionisti. La circostanza si registra come fatto societario e non se ne ricava nulla d'altro.</w:t>
      </w:r>
    </w:p>
    <w:p>
      <w:pPr>
        <w:spacing w:after="120" w:line="276"/>
        <w:jc w:val="both"/>
      </w:pPr>
      <w:r>
        <w:rPr>
          <w:rFonts w:ascii="Barlow Semi Condensed" w:cs="Barlow Semi Condensed" w:eastAsia="Barlow Semi Condensed" w:hAnsi="Barlow Semi Condensed"/>
          <w:b/>
          <w:bCs/>
          <w:sz w:val="24"/>
          <w:szCs w:val="24"/>
        </w:rPr>
        <w:t xml:space="preserve">343 · La società statale sudafricana nella compagine.</w:t>
      </w:r>
      <w:r>
        <w:rPr>
          <w:rFonts w:ascii="Barlow Semi Condensed" w:cs="Barlow Semi Condensed" w:eastAsia="Barlow Semi Condensed" w:hAnsi="Barlow Semi Condensed"/>
          <w:sz w:val="24"/>
          <w:szCs w:val="24"/>
        </w:rPr>
        <w:t xml:space="preserve"> La presenza della società statale sudafricana per lo sviluppo industriale nella compagine è il legame formale più diretto fra l'impianto namibiano e Pretoria, ed è documentabile sui depositi. Costituisce un fatto societario di piano uno fra due enti; non costituisce, da sé, prova di una destinazione militare del prodotto. Confondere una partecipazione azionaria con un committente finale è l'errore che questa parte della serie esiste per prevenire.</w:t>
      </w:r>
    </w:p>
    <w:p>
      <w:pPr>
        <w:spacing w:after="120" w:line="276"/>
        <w:jc w:val="both"/>
      </w:pPr>
      <w:r>
        <w:rPr>
          <w:rFonts w:ascii="Barlow Semi Condensed" w:cs="Barlow Semi Condensed" w:eastAsia="Barlow Semi Condensed" w:hAnsi="Barlow Semi Condensed"/>
          <w:b/>
          <w:bCs/>
          <w:sz w:val="24"/>
          <w:szCs w:val="24"/>
        </w:rPr>
        <w:t xml:space="preserve">344 · Il passaggio di mano del 2019.</w:t>
      </w:r>
      <w:r>
        <w:rPr>
          <w:rFonts w:ascii="Barlow Semi Condensed" w:cs="Barlow Semi Condensed" w:eastAsia="Barlow Semi Condensed" w:hAnsi="Barlow Semi Condensed"/>
          <w:sz w:val="24"/>
          <w:szCs w:val="24"/>
        </w:rPr>
        <w:t xml:space="preserve"> Nel 2019 la maggioranza dell'impianto è passata dal gruppo anglo-australiano a una società statale cinese del settore nucleare. L'operazione è documentata dai comunicati regolamentati della capogruppo e dai depositi presso il registro societario namibiano. È il termine più recente della catena proprietaria e va incluso in qualunque ricostruzione: la storia della miniera non si ferma all'indipendenza, e i suoi titolari cambiano ben oltre la fine del mandato sudafricano.</w:t>
      </w:r>
    </w:p>
    <w:p>
      <w:pPr>
        <w:spacing w:after="120" w:line="276"/>
        <w:jc w:val="both"/>
      </w:pPr>
      <w:r>
        <w:rPr>
          <w:rFonts w:ascii="Barlow Semi Condensed" w:cs="Barlow Semi Condensed" w:eastAsia="Barlow Semi Condensed" w:hAnsi="Barlow Semi Condensed"/>
          <w:b/>
          <w:bCs/>
          <w:sz w:val="24"/>
          <w:szCs w:val="24"/>
        </w:rPr>
        <w:t xml:space="preserve">345 · Companies House e la capogruppo.</w:t>
      </w:r>
      <w:r>
        <w:rPr>
          <w:rFonts w:ascii="Barlow Semi Condensed" w:cs="Barlow Semi Condensed" w:eastAsia="Barlow Semi Condensed" w:hAnsi="Barlow Semi Condensed"/>
          <w:sz w:val="24"/>
          <w:szCs w:val="24"/>
        </w:rPr>
        <w:t xml:space="preserve"> I depositi della capogruppo britannica presso il registro delle imprese di Londra, insieme alle relazioni annuali e ai verbali delle assemblee, sono la fonte primaria sulle quote, sui contratti rilevanti e sulle contestazioni sollevate dagli azionisti nelle assemblee degli anni Settanta e Ottanta. Le assemblee sono verbalizzate: chi cerchi le obiezioni sollevate allora sull'attività namibiana trova lì il testo, e non nelle sintesi militanti che lo citano.</w:t>
      </w:r>
    </w:p>
    <w:p>
      <w:pPr>
        <w:spacing w:after="120" w:line="276"/>
        <w:jc w:val="both"/>
      </w:pPr>
      <w:r>
        <w:rPr>
          <w:rFonts w:ascii="Barlow Semi Condensed" w:cs="Barlow Semi Condensed" w:eastAsia="Barlow Semi Condensed" w:hAnsi="Barlow Semi Condensed"/>
          <w:b/>
          <w:bCs/>
          <w:sz w:val="24"/>
          <w:szCs w:val="24"/>
        </w:rPr>
        <w:t xml:space="preserve">346 · Il contratto britannico e i Comuni.</w:t>
      </w:r>
      <w:r>
        <w:rPr>
          <w:rFonts w:ascii="Barlow Semi Condensed" w:cs="Barlow Semi Condensed" w:eastAsia="Barlow Semi Condensed" w:hAnsi="Barlow Semi Condensed"/>
          <w:sz w:val="24"/>
          <w:szCs w:val="24"/>
        </w:rPr>
        <w:t xml:space="preserve"> Negli anni Settanta la fornitura di uranio namibiano a un ente pubblico britannico divenne oggetto di controversia parlamentare. La verifica è agevole e va fatta sulle fonti primarie: gli atti dei dibattiti dei Comuni, con data e relatore, dicono che cosa il governo confermò e che cosa negò. Il resoconto parlamentare è pubblico, indicizzato per data, e sostituisce con vantaggio ogni ricostruzione di seconda mano.</w:t>
      </w:r>
    </w:p>
    <w:p>
      <w:pPr>
        <w:spacing w:after="120" w:line="276"/>
        <w:jc w:val="both"/>
      </w:pPr>
      <w:r>
        <w:rPr>
          <w:rFonts w:ascii="Barlow Semi Condensed" w:cs="Barlow Semi Condensed" w:eastAsia="Barlow Semi Condensed" w:hAnsi="Barlow Semi Condensed"/>
          <w:b/>
          <w:bCs/>
          <w:sz w:val="24"/>
          <w:szCs w:val="24"/>
        </w:rPr>
        <w:t xml:space="preserve">347 · Kew, e quali serie chiedere.</w:t>
      </w:r>
      <w:r>
        <w:rPr>
          <w:rFonts w:ascii="Barlow Semi Condensed" w:cs="Barlow Semi Condensed" w:eastAsia="Barlow Semi Condensed" w:hAnsi="Barlow Semi Condensed"/>
          <w:sz w:val="24"/>
          <w:szCs w:val="24"/>
        </w:rPr>
        <w:t xml:space="preserve"> Presso i National Archives britannici a Kew le serie utili sono quelle del Foreign and Commonwealth Office per l'Africa australe, quelle del dipartimento responsabile dell'energia e i fascicoli di gabinetto degli anni Settanta. Il catalogo Discovery consente la ricerca preliminare per parole chiave e per intervallo di date. Come per il cantiere britannico dei nove cantieri, il verbale deve distinguere i fascicoli aperti, quelli trattenuti e quelli non trasferiti.</w:t>
      </w:r>
    </w:p>
    <w:p>
      <w:pPr>
        <w:spacing w:after="120" w:line="276"/>
        <w:jc w:val="both"/>
      </w:pPr>
      <w:r>
        <w:rPr>
          <w:rFonts w:ascii="Barlow Semi Condensed" w:cs="Barlow Semi Condensed" w:eastAsia="Barlow Semi Condensed" w:hAnsi="Barlow Semi Condensed"/>
          <w:b/>
          <w:bCs/>
          <w:sz w:val="24"/>
          <w:szCs w:val="24"/>
        </w:rPr>
        <w:t xml:space="preserve">348 · Una fonte militante, datata e citabile.</w:t>
      </w:r>
      <w:r>
        <w:rPr>
          <w:rFonts w:ascii="Barlow Semi Condensed" w:cs="Barlow Semi Condensed" w:eastAsia="Barlow Semi Condensed" w:hAnsi="Barlow Semi Condensed"/>
          <w:sz w:val="24"/>
          <w:szCs w:val="24"/>
        </w:rPr>
        <w:t xml:space="preserve"> Sul contratto britannico esiste un opuscolo d'inchiesta pubblicato nel 1980 da una campagna d'opposizione. È fonte di parte e va dichiarata tale, ma è datata, firmata e citabile, e riporta riferimenti verificabili altrove. Il corpus la usa solo come guida ai documenti che cita, mai come attestazione autonoma: una fonte militante può indicare dove guardare senza per questo diventare ciò che si guarda.</w:t>
      </w:r>
    </w:p>
    <w:p>
      <w:pPr>
        <w:spacing w:after="120" w:line="276"/>
        <w:jc w:val="both"/>
      </w:pPr>
      <w:r>
        <w:rPr>
          <w:rFonts w:ascii="Barlow Semi Condensed" w:cs="Barlow Semi Condensed" w:eastAsia="Barlow Semi Condensed" w:hAnsi="Barlow Semi Condensed"/>
          <w:b/>
          <w:bCs/>
          <w:sz w:val="24"/>
          <w:szCs w:val="24"/>
        </w:rPr>
        <w:t xml:space="preserve">349 · Il Decreto numero uno del 1974.</w:t>
      </w:r>
      <w:r>
        <w:rPr>
          <w:rFonts w:ascii="Barlow Semi Condensed" w:cs="Barlow Semi Condensed" w:eastAsia="Barlow Semi Condensed" w:hAnsi="Barlow Semi Condensed"/>
          <w:sz w:val="24"/>
          <w:szCs w:val="24"/>
        </w:rPr>
        <w:t xml:space="preserve"> Il Consiglio delle Nazioni Unite per la Namibia adottò il 27 settembre 1974 il decreto per la protezione delle risorse naturali del territorio, che vietava a chiunque di cercare, estrarre o esportare risorse namibiane senza sua autorizzazione. L'Assemblea Generale lo approvò con risoluzione nel dicembre dello stesso anno. È il documento centrale della questione uranifera e va letto nel testo integrale, non nelle parafrasi.</w:t>
      </w:r>
    </w:p>
    <w:p>
      <w:pPr>
        <w:spacing w:after="120" w:line="276"/>
        <w:jc w:val="both"/>
      </w:pPr>
      <w:r>
        <w:rPr>
          <w:rFonts w:ascii="Barlow Semi Condensed" w:cs="Barlow Semi Condensed" w:eastAsia="Barlow Semi Condensed" w:hAnsi="Barlow Semi Condensed"/>
          <w:b/>
          <w:bCs/>
          <w:sz w:val="24"/>
          <w:szCs w:val="24"/>
        </w:rPr>
        <w:t xml:space="preserve">350 · L'approvazione dell'Assemblea Generale.</w:t>
      </w:r>
      <w:r>
        <w:rPr>
          <w:rFonts w:ascii="Barlow Semi Condensed" w:cs="Barlow Semi Condensed" w:eastAsia="Barlow Semi Condensed" w:hAnsi="Barlow Semi Condensed"/>
          <w:sz w:val="24"/>
          <w:szCs w:val="24"/>
        </w:rPr>
        <w:t xml:space="preserve"> La risoluzione con cui l'Assemblea Generale fece proprio il decreto porta la numerazione della ventinovesima sessione ed è datata dicembre 1974. Il suo reperimento è immediato nel sistema documentale delle Nazioni Unite, che restituisce testo, verbali di seduta ed esiti di voto. Il dettaglio del voto è rilevante quanto il dispositivo: dice quali Stati sostennero il divieto e quali no, e va riportato per esteso.</w:t>
      </w:r>
    </w:p>
    <w:p>
      <w:pPr>
        <w:spacing w:after="120" w:line="276"/>
        <w:jc w:val="both"/>
      </w:pPr>
      <w:r>
        <w:rPr>
          <w:rFonts w:ascii="Barlow Semi Condensed" w:cs="Barlow Semi Condensed" w:eastAsia="Barlow Semi Condensed" w:hAnsi="Barlow Semi Condensed"/>
          <w:b/>
          <w:bCs/>
          <w:sz w:val="24"/>
          <w:szCs w:val="24"/>
        </w:rPr>
        <w:t xml:space="preserve">351 · Il parere della Corte internazionale, 1971.</w:t>
      </w:r>
      <w:r>
        <w:rPr>
          <w:rFonts w:ascii="Barlow Semi Condensed" w:cs="Barlow Semi Condensed" w:eastAsia="Barlow Semi Condensed" w:hAnsi="Barlow Semi Condensed"/>
          <w:sz w:val="24"/>
          <w:szCs w:val="24"/>
        </w:rPr>
        <w:t xml:space="preserve"> Il 21 giugno 1971 la Corte internazionale di giustizia rese il parere consultivo secondo cui la presenza sudafricana in Namibia era illegittima e il Sud Africa doveva ritirarne l'amministrazione. Il testo integrale, con opinioni individuali e dissenzienti, è nella raccolta ufficiale della Corte. Sta a monte di tutta la questione uranifera: definisce il quadro giuridico entro cui ogni titolo minerario rilasciato da Pretoria dopo quella data va valutato.</w:t>
      </w:r>
    </w:p>
    <w:p>
      <w:pPr>
        <w:spacing w:after="120" w:line="276"/>
        <w:jc w:val="both"/>
      </w:pPr>
      <w:r>
        <w:rPr>
          <w:rFonts w:ascii="Barlow Semi Condensed" w:cs="Barlow Semi Condensed" w:eastAsia="Barlow Semi Condensed" w:hAnsi="Barlow Semi Condensed"/>
          <w:b/>
          <w:bCs/>
          <w:sz w:val="24"/>
          <w:szCs w:val="24"/>
        </w:rPr>
        <w:t xml:space="preserve">352 · La revoca del mandato, 1966.</w:t>
      </w:r>
      <w:r>
        <w:rPr>
          <w:rFonts w:ascii="Barlow Semi Condensed" w:cs="Barlow Semi Condensed" w:eastAsia="Barlow Semi Condensed" w:hAnsi="Barlow Semi Condensed"/>
          <w:sz w:val="24"/>
          <w:szCs w:val="24"/>
        </w:rPr>
        <w:t xml:space="preserve"> Con la risoluzione della ventunesima sessione, il 27 ottobre 1966, l'Assemblea Generale dichiarò terminato il mandato sudafricano sull'Africa del Sud-Ovest. La data è il primo termine della catena giuridica e va tenuta ferma nelle cronologie, perché tutto ciò che segue — decreto sulle risorse, contenziosi, contestazioni azionarie — si regge su di essa. Il testo e i verbali della seduta sono consultabili nel sistema documentale dell'organizzazione.</w:t>
      </w:r>
    </w:p>
    <w:p>
      <w:pPr>
        <w:spacing w:after="120" w:line="276"/>
        <w:jc w:val="both"/>
      </w:pPr>
      <w:r>
        <w:rPr>
          <w:rFonts w:ascii="Barlow Semi Condensed" w:cs="Barlow Semi Condensed" w:eastAsia="Barlow Semi Condensed" w:hAnsi="Barlow Semi Condensed"/>
          <w:b/>
          <w:bCs/>
          <w:sz w:val="24"/>
          <w:szCs w:val="24"/>
        </w:rPr>
        <w:t xml:space="preserve">353 · La risoluzione 435 e il suo ritardo.</w:t>
      </w:r>
      <w:r>
        <w:rPr>
          <w:rFonts w:ascii="Barlow Semi Condensed" w:cs="Barlow Semi Condensed" w:eastAsia="Barlow Semi Condensed" w:hAnsi="Barlow Semi Condensed"/>
          <w:sz w:val="24"/>
          <w:szCs w:val="24"/>
        </w:rPr>
        <w:t xml:space="preserve"> Il piano di transizione all'indipendenza fu adottato dal Consiglio di Sicurezza nel 1978 ma applicato solo dal 1989, con l'indipendenza namibiana proclamata nel marzo 1990. L'intervallo di undici anni è il periodo in cui l'estrazione proseguì sotto amministrazione contestata, ed è esattamente il perimetro cronologico dei quesiti di questa parte. La data della delibera e quella dell'attuazione non vanno mai fatte coincidere.</w:t>
      </w:r>
    </w:p>
    <w:p>
      <w:pPr>
        <w:spacing w:after="120" w:line="276"/>
        <w:jc w:val="both"/>
      </w:pPr>
      <w:r>
        <w:rPr>
          <w:rFonts w:ascii="Barlow Semi Condensed" w:cs="Barlow Semi Condensed" w:eastAsia="Barlow Semi Condensed" w:hAnsi="Barlow Semi Condensed"/>
          <w:b/>
          <w:bCs/>
          <w:sz w:val="24"/>
          <w:szCs w:val="24"/>
        </w:rPr>
        <w:t xml:space="preserve">354 · La causa dell'Aia contro l'arricchimento.</w:t>
      </w:r>
      <w:r>
        <w:rPr>
          <w:rFonts w:ascii="Barlow Semi Condensed" w:cs="Barlow Semi Condensed" w:eastAsia="Barlow Semi Condensed" w:hAnsi="Barlow Semi Condensed"/>
          <w:sz w:val="24"/>
          <w:szCs w:val="24"/>
        </w:rPr>
        <w:t xml:space="preserve"> Nel 1987 il Consiglio per la Namibia promosse davanti al tribunale distrettuale dell'Aia un'azione contro società olandesi coinvolte nel trattamento di uranio di provenienza namibiana, invocando il decreto del 1974. È il tentativo più concreto di rendere azionabile quel divieto. Gli atti del procedimento e il suo esito vanno letti presso il tribunale competente: esito e motivazioni contano quanto l'iniziativa, e non vanno dati per scontati.</w:t>
      </w:r>
    </w:p>
    <w:p>
      <w:pPr>
        <w:spacing w:after="120" w:line="276"/>
        <w:jc w:val="both"/>
      </w:pPr>
      <w:r>
        <w:rPr>
          <w:rFonts w:ascii="Barlow Semi Condensed" w:cs="Barlow Semi Condensed" w:eastAsia="Barlow Semi Condensed" w:hAnsi="Barlow Semi Condensed"/>
          <w:b/>
          <w:bCs/>
          <w:sz w:val="24"/>
          <w:szCs w:val="24"/>
        </w:rPr>
        <w:t xml:space="preserve">355 · Il fondo del Consiglio per la Namibia.</w:t>
      </w:r>
      <w:r>
        <w:rPr>
          <w:rFonts w:ascii="Barlow Semi Condensed" w:cs="Barlow Semi Condensed" w:eastAsia="Barlow Semi Condensed" w:hAnsi="Barlow Semi Condensed"/>
          <w:sz w:val="24"/>
          <w:szCs w:val="24"/>
        </w:rPr>
        <w:t xml:space="preserve"> Le carte del Consiglio delle Nazioni Unite per la Namibia sono conservate dalla sezione archivi e gestione documentale dell'Organizzazione a New York, che ne pubblica gli inventari. Vi si cercano corrispondenza, pareri legali, atti istruttori sull'applicazione del decreto e i carteggi con gli Stati membri sulle importazioni di uranio. È la sede che potrebbe restituire i nomi delle società effettivamente contestate, e le date delle contestazioni.</w:t>
      </w:r>
    </w:p>
    <w:p>
      <w:pPr>
        <w:spacing w:after="120" w:line="276"/>
        <w:jc w:val="both"/>
      </w:pPr>
      <w:r>
        <w:rPr>
          <w:rFonts w:ascii="Barlow Semi Condensed" w:cs="Barlow Semi Condensed" w:eastAsia="Barlow Semi Condensed" w:hAnsi="Barlow Semi Condensed"/>
          <w:b/>
          <w:bCs/>
          <w:sz w:val="24"/>
          <w:szCs w:val="24"/>
        </w:rPr>
        <w:t xml:space="preserve">356 · Windhoek, gli archivi del territorio.</w:t>
      </w:r>
      <w:r>
        <w:rPr>
          <w:rFonts w:ascii="Barlow Semi Condensed" w:cs="Barlow Semi Condensed" w:eastAsia="Barlow Semi Condensed" w:hAnsi="Barlow Semi Condensed"/>
          <w:sz w:val="24"/>
          <w:szCs w:val="24"/>
        </w:rPr>
        <w:t xml:space="preserve"> L'Archivio Nazionale della Namibia a Windhoek conserva le carte dell'amministrazione dell'Africa del Sud-Ovest e dell'Amministratore Generale, comprese pratiche minerarie, autorizzazioni e corrispondenza con Pretoria. È la sede primaria per accertare quali atti amministrativi accompagnarono la costruzione dell'impianto e quali imprese vi furono ammesse a operare. La ricerca va perimetrata per anno e per ufficio emittente, e il suo esito verbalizzato serie per serie.</w:t>
      </w:r>
    </w:p>
    <w:p>
      <w:pPr>
        <w:spacing w:after="120" w:line="276"/>
        <w:jc w:val="both"/>
      </w:pPr>
      <w:r>
        <w:rPr>
          <w:rFonts w:ascii="Barlow Semi Condensed" w:cs="Barlow Semi Condensed" w:eastAsia="Barlow Semi Condensed" w:hAnsi="Barlow Semi Condensed"/>
          <w:b/>
          <w:bCs/>
          <w:sz w:val="24"/>
          <w:szCs w:val="24"/>
        </w:rPr>
        <w:t xml:space="preserve">357 · Basilea e la biblioteca namibiana.</w:t>
      </w:r>
      <w:r>
        <w:rPr>
          <w:rFonts w:ascii="Barlow Semi Condensed" w:cs="Barlow Semi Condensed" w:eastAsia="Barlow Semi Condensed" w:hAnsi="Barlow Semi Condensed"/>
          <w:sz w:val="24"/>
          <w:szCs w:val="24"/>
        </w:rPr>
        <w:t xml:space="preserve"> Fuori dall'Africa australe, la raccolta più ricca sulla Namibia coloniale e sul movimento d'opposizione è alla Basler Afrika Bibliographien di Basilea, che conserva fondi privati, periodici e materiale grigio altrove introvabile. Serve a colmare le lacune degli archivi ufficiali e a datare la circolazione delle tesi militanti. Il corpus vi cerca documenti, non conferme: una raccolta di parte resta una miniera documentale se se ne dichiara la natura.</w:t>
      </w:r>
    </w:p>
    <w:p>
      <w:pPr>
        <w:spacing w:after="120" w:line="276"/>
        <w:jc w:val="both"/>
      </w:pPr>
      <w:r>
        <w:rPr>
          <w:rFonts w:ascii="Barlow Semi Condensed" w:cs="Barlow Semi Condensed" w:eastAsia="Barlow Semi Condensed" w:hAnsi="Barlow Semi Condensed"/>
          <w:b/>
          <w:bCs/>
          <w:sz w:val="24"/>
          <w:szCs w:val="24"/>
        </w:rPr>
        <w:t xml:space="preserve">358 · Oxford e le carte dell'anti-apartheid.</w:t>
      </w:r>
      <w:r>
        <w:rPr>
          <w:rFonts w:ascii="Barlow Semi Condensed" w:cs="Barlow Semi Condensed" w:eastAsia="Barlow Semi Condensed" w:hAnsi="Barlow Semi Condensed"/>
          <w:sz w:val="24"/>
          <w:szCs w:val="24"/>
        </w:rPr>
        <w:t xml:space="preserve"> L'archivio del movimento britannico contro l'apartheid è depositato alla Bodleian Library di Oxford e comprende i materiali delle campagne sull'uranio namibiano. Vi si trovano le carte di lavoro che stanno dietro gli opuscoli pubblicati: bozze, corrispondenza, ritagli, e talvolta i documenti che gli opuscoli citano senza riprodurre. È il luogo dove una fonte militante può essere ricondotta ai suoi allegati, e quindi verificata o ridimensionata.</w:t>
      </w:r>
    </w:p>
    <w:p>
      <w:pPr>
        <w:spacing w:after="120" w:line="276"/>
        <w:jc w:val="both"/>
      </w:pPr>
      <w:r>
        <w:rPr>
          <w:rFonts w:ascii="Barlow Semi Condensed" w:cs="Barlow Semi Condensed" w:eastAsia="Barlow Semi Condensed" w:hAnsi="Barlow Semi Condensed"/>
          <w:b/>
          <w:bCs/>
          <w:sz w:val="24"/>
          <w:szCs w:val="24"/>
        </w:rPr>
        <w:t xml:space="preserve">359 · Swakopmund, ciò che risulta e basta.</w:t>
      </w:r>
      <w:r>
        <w:rPr>
          <w:rFonts w:ascii="Barlow Semi Condensed" w:cs="Barlow Semi Condensed" w:eastAsia="Barlow Semi Condensed" w:hAnsi="Barlow Semi Condensed"/>
          <w:sz w:val="24"/>
          <w:szCs w:val="24"/>
        </w:rPr>
        <w:t xml:space="preserve"> Di Peter Thiel, nato a Francoforte nel 1967, risulta pubblicamente il soggiorno a Swakopmund attorno al 1975-1977, negli anni del cantiere uranifero, e la frequenza a Johannesburg di una scuola preparatoria riservata ai bianchi. Sono fatti biografici e appartengono al capitolo dell'infanzia. L'infanzia non è una scelta e non è una condotta: la serie li registra per collocare una cronologia, e non ne trae null'altro.</w:t>
      </w:r>
    </w:p>
    <w:p>
      <w:pPr>
        <w:spacing w:after="120" w:line="276"/>
        <w:jc w:val="both"/>
      </w:pPr>
      <w:r>
        <w:rPr>
          <w:rFonts w:ascii="Barlow Semi Condensed" w:cs="Barlow Semi Condensed" w:eastAsia="Barlow Semi Condensed" w:hAnsi="Barlow Semi Condensed"/>
          <w:b/>
          <w:bCs/>
          <w:sz w:val="24"/>
          <w:szCs w:val="24"/>
        </w:rPr>
        <w:t xml:space="preserve">360 · Il datore di lavoro paterno, documento mancante.</w:t>
      </w:r>
      <w:r>
        <w:rPr>
          <w:rFonts w:ascii="Barlow Semi Condensed" w:cs="Barlow Semi Condensed" w:eastAsia="Barlow Semi Condensed" w:hAnsi="Barlow Semi Condensed"/>
          <w:sz w:val="24"/>
          <w:szCs w:val="24"/>
        </w:rPr>
        <w:t xml:space="preserve"> Klaus Thiel, ingegnere chimico, lavorò per un'impresa attiva sul cantiere. Il documento che nominerebbe con precisione quell'impresa — contratto, permesso di lavoro, elenco del personale, autorizzazione di soggiorno — non risulta pubblicamente reperibile. È uno Stato Zero puntuale, e le sedi che lo chiuderebbero sono due: gli archivi amministrativi di Windhoek per i permessi, e gli archivi d'impresa dei contraenti del cantiere, se conservati.</w:t>
      </w:r>
    </w:p>
    <w:p>
      <w:pPr>
        <w:spacing w:after="120" w:line="276"/>
        <w:jc w:val="both"/>
      </w:pPr>
      <w:r>
        <w:rPr>
          <w:rFonts w:ascii="Barlow Semi Condensed" w:cs="Barlow Semi Condensed" w:eastAsia="Barlow Semi Condensed" w:hAnsi="Barlow Semi Condensed"/>
          <w:b/>
          <w:bCs/>
          <w:sz w:val="24"/>
          <w:szCs w:val="24"/>
        </w:rPr>
        <w:t xml:space="preserve">361 · La biografia con apparato come guida.</w:t>
      </w:r>
      <w:r>
        <w:rPr>
          <w:rFonts w:ascii="Barlow Semi Condensed" w:cs="Barlow Semi Condensed" w:eastAsia="Barlow Semi Condensed" w:hAnsi="Barlow Semi Condensed"/>
          <w:sz w:val="24"/>
          <w:szCs w:val="24"/>
        </w:rPr>
        <w:t xml:space="preserve"> La ricostruzione più curata del periodo namibiano è nella biografia di Max Chafkin pubblicata nel 2021, che ne indica le fonti. Il corpus la usa come guida ai riscontri e non come attestazione finale: dove il testo cita un'intervista, resta testimonianza; dove cita un documento, si risale al documento. È lo stesso criterio applicato alla biografia di Isaacson nella parte sugli smeraldi, e vale per ogni opera secondaria.</w:t>
      </w:r>
    </w:p>
    <w:p>
      <w:pPr>
        <w:spacing w:after="120" w:line="276"/>
        <w:jc w:val="both"/>
      </w:pPr>
      <w:r>
        <w:rPr>
          <w:rFonts w:ascii="Barlow Semi Condensed" w:cs="Barlow Semi Condensed" w:eastAsia="Barlow Semi Condensed" w:hAnsi="Barlow Semi Condensed"/>
          <w:b/>
          <w:bCs/>
          <w:sz w:val="24"/>
          <w:szCs w:val="24"/>
        </w:rPr>
        <w:t xml:space="preserve">362 · La tesi militare su Rössing è terziaria.</w:t>
      </w:r>
      <w:r>
        <w:rPr>
          <w:rFonts w:ascii="Barlow Semi Condensed" w:cs="Barlow Semi Condensed" w:eastAsia="Barlow Semi Condensed" w:hAnsi="Barlow Semi Condensed"/>
          <w:sz w:val="24"/>
          <w:szCs w:val="24"/>
        </w:rPr>
        <w:t xml:space="preserve"> Che l'uranio namibiano alimentasse il programma nucleare militare sudafricano è affermazione che circola su siti militanti privi di documento di provenienza. È piano tre e la serie non l'adotta. Resta come bersaglio da verificare, con sede indicata: gli atti del Consiglio di Sicurezza sull'embargo, i fascicoli britannici a Kew e le carte dell'ente atomico sudafricano presso gli Archivi Nazionali a Pretoria.</w:t>
      </w:r>
    </w:p>
    <w:p>
      <w:pPr>
        <w:spacing w:after="120" w:line="276"/>
        <w:jc w:val="both"/>
      </w:pPr>
      <w:r>
        <w:rPr>
          <w:rFonts w:ascii="Barlow Semi Condensed" w:cs="Barlow Semi Condensed" w:eastAsia="Barlow Semi Condensed" w:hAnsi="Barlow Semi Condensed"/>
          <w:b/>
          <w:bCs/>
          <w:sz w:val="24"/>
          <w:szCs w:val="24"/>
        </w:rPr>
        <w:t xml:space="preserve">363 · Che cosa risulta invece del programma.</w:t>
      </w:r>
      <w:r>
        <w:rPr>
          <w:rFonts w:ascii="Barlow Semi Condensed" w:cs="Barlow Semi Condensed" w:eastAsia="Barlow Semi Condensed" w:hAnsi="Barlow Semi Condensed"/>
          <w:sz w:val="24"/>
          <w:szCs w:val="24"/>
        </w:rPr>
        <w:t xml:space="preserve"> Del programma nucleare sudafricano è documentato altro: l'approvvigionamento interno legato ai residui delle miniere aurifere attraverso la società nazionale per i combustibili nucleari, e l'arricchimento presso gli impianti a occidente di Pretoria. Questa filiera interna è la spiegazione documentata, e va confrontata con la tesi terziaria prima di discuterla. Una spiegazione già attestata non si sostituisce con una più suggestiva senza un documento nuovo.</w:t>
      </w:r>
    </w:p>
    <w:p>
      <w:pPr>
        <w:spacing w:after="120" w:line="276"/>
        <w:jc w:val="both"/>
      </w:pPr>
      <w:r>
        <w:rPr>
          <w:rFonts w:ascii="Barlow Semi Condensed" w:cs="Barlow Semi Condensed" w:eastAsia="Barlow Semi Condensed" w:hAnsi="Barlow Semi Condensed"/>
          <w:b/>
          <w:bCs/>
          <w:sz w:val="24"/>
          <w:szCs w:val="24"/>
        </w:rPr>
        <w:t xml:space="preserve">364 · La dichiarazione del 1993 e la verifica.</w:t>
      </w:r>
      <w:r>
        <w:rPr>
          <w:rFonts w:ascii="Barlow Semi Condensed" w:cs="Barlow Semi Condensed" w:eastAsia="Barlow Semi Condensed" w:hAnsi="Barlow Semi Condensed"/>
          <w:sz w:val="24"/>
          <w:szCs w:val="24"/>
        </w:rPr>
        <w:t xml:space="preserve"> Nel marzo 1993 il presidente sudafricano dichiarò in Parlamento che il Paese aveva costruito e poi smantellato un piccolo arsenale nucleare. Seguì una verifica dell'Agenzia internazionale per l'energia atomica, i cui documenti di consiglio sono pubblici. Sono le due fonti primarie sull'intera questione: il resoconto parlamentare sudafricano per la dichiarazione, gli atti dell'Agenzia per il riscontro tecnico. Ogni discussione sul tema comincia da lì.</w:t>
      </w:r>
    </w:p>
    <w:p>
      <w:pPr>
        <w:spacing w:after="120" w:line="276"/>
        <w:jc w:val="both"/>
      </w:pPr>
      <w:r>
        <w:rPr>
          <w:rFonts w:ascii="Barlow Semi Condensed" w:cs="Barlow Semi Condensed" w:eastAsia="Barlow Semi Condensed" w:hAnsi="Barlow Semi Condensed"/>
          <w:b/>
          <w:bCs/>
          <w:sz w:val="24"/>
          <w:szCs w:val="24"/>
        </w:rPr>
        <w:t xml:space="preserve">365 · Uranio sudafricano e uranio namibiano.</w:t>
      </w:r>
      <w:r>
        <w:rPr>
          <w:rFonts w:ascii="Barlow Semi Condensed" w:cs="Barlow Semi Condensed" w:eastAsia="Barlow Semi Condensed" w:hAnsi="Barlow Semi Condensed"/>
          <w:sz w:val="24"/>
          <w:szCs w:val="24"/>
        </w:rPr>
        <w:t xml:space="preserve"> Le due filiere non vanno confuse. L'uranio sudafricano era sottoprodotto dell'estrazione aurifera del Witwatersrand; quello namibiano proveniva da un giacimento a bassa concentrazione lavorato a cielo aperto da una società a capitale prevalentemente estero. Origine, proprietà, mercati e regime giuridico sono diversi. Trattarle come un'unica massa è l'errore che rende plausibili le scorciatoie, e va corretto ogni volta che compare.</w:t>
      </w:r>
    </w:p>
    <w:p>
      <w:pPr>
        <w:spacing w:after="120" w:line="276"/>
        <w:jc w:val="both"/>
      </w:pPr>
      <w:r>
        <w:rPr>
          <w:rFonts w:ascii="Barlow Semi Condensed" w:cs="Barlow Semi Condensed" w:eastAsia="Barlow Semi Condensed" w:hAnsi="Barlow Semi Condensed"/>
          <w:b/>
          <w:bCs/>
          <w:sz w:val="24"/>
          <w:szCs w:val="24"/>
        </w:rPr>
        <w:t xml:space="preserve">366 · Il bersaglio di smentita sull'uranio.</w:t>
      </w:r>
      <w:r>
        <w:rPr>
          <w:rFonts w:ascii="Barlow Semi Condensed" w:cs="Barlow Semi Condensed" w:eastAsia="Barlow Semi Condensed" w:hAnsi="Barlow Semi Condensed"/>
          <w:sz w:val="24"/>
          <w:szCs w:val="24"/>
        </w:rPr>
        <w:t xml:space="preserve"> Basta un reperto a rovesciare la lettura commerciale adottata in questa parte: un contratto, una bolla di trasferimento o un verbale interno che indirizzi concentrato namibiano a impianti militari sudafricani. Chi lo cerchi guardi nelle serie dell'ente atomico sudafricano a Pretoria e nei fascicoli energetici britannici a Kew. Finché quel reperto non emerge, la tesi contraria resta terziaria, e resta registrata come bersaglio aperto anziché adottata.</w:t>
      </w:r>
    </w:p>
    <w:p>
      <w:pPr>
        <w:spacing w:after="120" w:line="276"/>
        <w:jc w:val="both"/>
      </w:pPr>
      <w:r>
        <w:rPr>
          <w:rFonts w:ascii="Barlow Semi Condensed" w:cs="Barlow Semi Condensed" w:eastAsia="Barlow Semi Condensed" w:hAnsi="Barlow Semi Condensed"/>
          <w:b/>
          <w:bCs/>
          <w:sz w:val="24"/>
          <w:szCs w:val="24"/>
        </w:rPr>
        <w:t xml:space="preserve">367 · Verbale del vuoto namibiano.</w:t>
      </w:r>
      <w:r>
        <w:rPr>
          <w:rFonts w:ascii="Barlow Semi Condensed" w:cs="Barlow Semi Condensed" w:eastAsia="Barlow Semi Condensed" w:hAnsi="Barlow Semi Condensed"/>
          <w:sz w:val="24"/>
          <w:szCs w:val="24"/>
        </w:rPr>
        <w:t xml:space="preserve"> Allo stato non risultano pubblicamente accessibili né il contratto di lavoro paterno sul cantiere, né un atto che colleghi il concentrato namibiano a impieghi militari, né un elenco nominativo delle imprese subappaltatrici del cantiere. Tre vuoti distinti, con tre sedi distinte: Windhoek per l'amministrazione, Londra e Kew per i contratti d'oltremare, Pretoria per l'ente atomico. Il vuoto perimetrato vale quanto un ritrovamento.</w:t>
      </w:r>
    </w:p>
    <w:p>
      <w:pPr>
        <w:spacing w:after="120" w:line="276"/>
        <w:jc w:val="both"/>
      </w:pPr>
      <w:r>
        <w:rPr>
          <w:rFonts w:ascii="Barlow Semi Condensed" w:cs="Barlow Semi Condensed" w:eastAsia="Barlow Semi Condensed" w:hAnsi="Barlow Semi Condensed"/>
          <w:b/>
          <w:bCs/>
          <w:sz w:val="24"/>
          <w:szCs w:val="24"/>
        </w:rPr>
        <w:t xml:space="preserve">368 · L'oro come base fiscale del regime.</w:t>
      </w:r>
      <w:r>
        <w:rPr>
          <w:rFonts w:ascii="Barlow Semi Condensed" w:cs="Barlow Semi Condensed" w:eastAsia="Barlow Semi Condensed" w:hAnsi="Barlow Semi Condensed"/>
          <w:sz w:val="24"/>
          <w:szCs w:val="24"/>
        </w:rPr>
        <w:t xml:space="preserve"> L'estrazione aurifera del Witwatersrand fu per decenni la principale fonte di valuta estera del Sud Africa, e dunque il presupposto materiale della tenuta finanziaria del regime segregazionista. È un dato macroeconomico documentato nei bollettini della banca centrale e negli annuari minerari. Serve come cornice e non come imputazione: descrive perché le sanzioni economiche furono a lungo resistite, non che cosa abbia fatto una singola persona.</w:t>
      </w:r>
    </w:p>
    <w:p>
      <w:pPr>
        <w:spacing w:after="120" w:line="276"/>
        <w:jc w:val="both"/>
      </w:pPr>
      <w:r>
        <w:rPr>
          <w:rFonts w:ascii="Barlow Semi Condensed" w:cs="Barlow Semi Condensed" w:eastAsia="Barlow Semi Condensed" w:hAnsi="Barlow Semi Condensed"/>
          <w:b/>
          <w:bCs/>
          <w:sz w:val="24"/>
          <w:szCs w:val="24"/>
        </w:rPr>
        <w:t xml:space="preserve">369 · Gli annuari della Camera delle Miniere.</w:t>
      </w:r>
      <w:r>
        <w:rPr>
          <w:rFonts w:ascii="Barlow Semi Condensed" w:cs="Barlow Semi Condensed" w:eastAsia="Barlow Semi Condensed" w:hAnsi="Barlow Semi Condensed"/>
          <w:sz w:val="24"/>
          <w:szCs w:val="24"/>
        </w:rPr>
        <w:t xml:space="preserve"> L'associazione delle imprese minerarie sudafricane, oggi Minerals Council, pubblica annuari dal secolo diciannovesimo: contengono produzione, occupazione, salari e posizioni pubbliche del settore. Sono la serie storica più continua sull'industria e sono citabili anno per anno. Chi voglia misurare, e non evocare, il peso del comparto sull'economia dell'apartheid comincia da questi volumi, che sono documenti di parte ma con dati verificabili e datati.</w:t>
      </w:r>
    </w:p>
    <w:p>
      <w:pPr>
        <w:spacing w:after="120" w:line="276"/>
        <w:jc w:val="both"/>
      </w:pPr>
      <w:r>
        <w:rPr>
          <w:rFonts w:ascii="Barlow Semi Condensed" w:cs="Barlow Semi Condensed" w:eastAsia="Barlow Semi Condensed" w:hAnsi="Barlow Semi Condensed"/>
          <w:b/>
          <w:bCs/>
          <w:sz w:val="24"/>
          <w:szCs w:val="24"/>
        </w:rPr>
        <w:t xml:space="preserve">370 · Wits e le carte storiche.</w:t>
      </w:r>
      <w:r>
        <w:rPr>
          <w:rFonts w:ascii="Barlow Semi Condensed" w:cs="Barlow Semi Condensed" w:eastAsia="Barlow Semi Condensed" w:hAnsi="Barlow Semi Condensed"/>
          <w:sz w:val="24"/>
          <w:szCs w:val="24"/>
        </w:rPr>
        <w:t xml:space="preserve"> L'archivio di carte storiche dell'Università del Witwatersrand, nella biblioteca William Cullen a Johannesburg, conserva fondi sindacali, associativi e d'impresa relativi al comparto minerario, oltre a materiale della Commissione per la verità. È la sede accademica primaria per il versante sociale dell'estrazione. Gli inventari sono in linea e consentono di formulare richieste puntuali per fondo e per intervallo di anni prima di recarsi in sala.</w:t>
      </w:r>
    </w:p>
    <w:p>
      <w:pPr>
        <w:spacing w:after="120" w:line="276"/>
        <w:jc w:val="both"/>
      </w:pPr>
      <w:r>
        <w:rPr>
          <w:rFonts w:ascii="Barlow Semi Condensed" w:cs="Barlow Semi Condensed" w:eastAsia="Barlow Semi Condensed" w:hAnsi="Barlow Semi Condensed"/>
          <w:b/>
          <w:bCs/>
          <w:sz w:val="24"/>
          <w:szCs w:val="24"/>
        </w:rPr>
        <w:t xml:space="preserve">371 · Brenthurst e le carte di famiglia.</w:t>
      </w:r>
      <w:r>
        <w:rPr>
          <w:rFonts w:ascii="Barlow Semi Condensed" w:cs="Barlow Semi Condensed" w:eastAsia="Barlow Semi Condensed" w:hAnsi="Barlow Semi Condensed"/>
          <w:sz w:val="24"/>
          <w:szCs w:val="24"/>
        </w:rPr>
        <w:t xml:space="preserve"> Della famiglia che fondò e guidò il maggiore gruppo minerario sudafricano restano carte private, conservate nella biblioteca Brenthurst a Johannesburg, con accesso regolato. È la sede in cui verificare corrispondenza e decisioni interne del gruppo, dove sia concesso. Un archivio privato ad accesso condizionato non è un archivio inesistente: le condizioni si documentano, l'autorizzazione si chiede formalmente e l'eventuale diniego si verbalizza con la sua motivazione.</w:t>
      </w:r>
    </w:p>
    <w:p>
      <w:pPr>
        <w:spacing w:after="120" w:line="276"/>
        <w:jc w:val="both"/>
      </w:pPr>
      <w:r>
        <w:rPr>
          <w:rFonts w:ascii="Barlow Semi Condensed" w:cs="Barlow Semi Condensed" w:eastAsia="Barlow Semi Condensed" w:hAnsi="Barlow Semi Condensed"/>
          <w:b/>
          <w:bCs/>
          <w:sz w:val="24"/>
          <w:szCs w:val="24"/>
        </w:rPr>
        <w:t xml:space="preserve">372 · Kimberley e l'archivio dei diamanti.</w:t>
      </w:r>
      <w:r>
        <w:rPr>
          <w:rFonts w:ascii="Barlow Semi Condensed" w:cs="Barlow Semi Condensed" w:eastAsia="Barlow Semi Condensed" w:hAnsi="Barlow Semi Condensed"/>
          <w:sz w:val="24"/>
          <w:szCs w:val="24"/>
        </w:rPr>
        <w:t xml:space="preserve"> L'archivio storico della maggiore impresa diamantifera si trova a Kimberley e conserva la documentazione di un secolo di attività estrattiva, commerciale e di gestione della manodopera. Serve alla serie per un fine preciso: mostrare quale aspetto abbia un archivio d'impresa mineraria realmente conservato e inventariato, e quindi che cosa manchi quando si dice che di un'attività mineraria non esiste alcuna carta.</w:t>
      </w:r>
    </w:p>
    <w:p>
      <w:pPr>
        <w:spacing w:after="120" w:line="276"/>
        <w:jc w:val="both"/>
      </w:pPr>
      <w:r>
        <w:rPr>
          <w:rFonts w:ascii="Barlow Semi Condensed" w:cs="Barlow Semi Condensed" w:eastAsia="Barlow Semi Condensed" w:hAnsi="Barlow Semi Condensed"/>
          <w:b/>
          <w:bCs/>
          <w:sz w:val="24"/>
          <w:szCs w:val="24"/>
        </w:rPr>
        <w:t xml:space="preserve">373 · Il reclutamento migrante e i suoi elenchi.</w:t>
      </w:r>
      <w:r>
        <w:rPr>
          <w:rFonts w:ascii="Barlow Semi Condensed" w:cs="Barlow Semi Condensed" w:eastAsia="Barlow Semi Condensed" w:hAnsi="Barlow Semi Condensed"/>
          <w:sz w:val="24"/>
          <w:szCs w:val="24"/>
        </w:rPr>
        <w:t xml:space="preserve"> Il sistema di reclutamento della manodopera migrante per le miniere d'oro produsse per decenni schedari nominativi, contratti individuali e registri di rimpatrio, in parte conservati e in parte depositati presso istituzioni universitarie sudafricane. È la documentazione più capillare dell'intero comparto e riguarda milioni di persone. Va nominata qui perché rovescia la prospettiva: nell'economia estrattiva i registri esistono soprattutto sui lavoratori, molto meno sui proprietari.</w:t>
      </w:r>
    </w:p>
    <w:p>
      <w:pPr>
        <w:spacing w:after="120" w:line="276"/>
        <w:jc w:val="both"/>
      </w:pPr>
      <w:r>
        <w:rPr>
          <w:rFonts w:ascii="Barlow Semi Condensed" w:cs="Barlow Semi Condensed" w:eastAsia="Barlow Semi Condensed" w:hAnsi="Barlow Semi Condensed"/>
          <w:b/>
          <w:bCs/>
          <w:sz w:val="24"/>
          <w:szCs w:val="24"/>
        </w:rPr>
        <w:t xml:space="preserve">374 · L'audizione del settore economico, 1997.</w:t>
      </w:r>
      <w:r>
        <w:rPr>
          <w:rFonts w:ascii="Barlow Semi Condensed" w:cs="Barlow Semi Condensed" w:eastAsia="Barlow Semi Condensed" w:hAnsi="Barlow Semi Condensed"/>
          <w:sz w:val="24"/>
          <w:szCs w:val="24"/>
        </w:rPr>
        <w:t xml:space="preserve"> Nel novembre 1997 la Commissione sudafricana per la verità e la riconciliazione tenne a Johannesburg un'audizione istituzionale dedicata al settore economico, con memorie scritte depositate da associazioni imprenditoriali e da singoli gruppi. Le trascrizioni e le memorie sono pubbliche. Sono la fonte più diretta su ciò che l'industria mineraria disse di sé stessa alla fine del regime, con date, firmatari e formulazioni testuali.</w:t>
      </w:r>
    </w:p>
    <w:p>
      <w:pPr>
        <w:spacing w:after="120" w:line="276"/>
        <w:jc w:val="both"/>
      </w:pPr>
      <w:r>
        <w:rPr>
          <w:rFonts w:ascii="Barlow Semi Condensed" w:cs="Barlow Semi Condensed" w:eastAsia="Barlow Semi Condensed" w:hAnsi="Barlow Semi Condensed"/>
          <w:b/>
          <w:bCs/>
          <w:sz w:val="24"/>
          <w:szCs w:val="24"/>
        </w:rPr>
        <w:t xml:space="preserve">375 · Il volume quarto della relazione finale.</w:t>
      </w:r>
      <w:r>
        <w:rPr>
          <w:rFonts w:ascii="Barlow Semi Condensed" w:cs="Barlow Semi Condensed" w:eastAsia="Barlow Semi Condensed" w:hAnsi="Barlow Semi Condensed"/>
          <w:sz w:val="24"/>
          <w:szCs w:val="24"/>
        </w:rPr>
        <w:t xml:space="preserve"> Le conclusioni della Commissione sul comparto sono nel quarto volume della relazione finale, nel capitolo dedicato alle audizioni istituzionali su impresa e lavoro. Vi si trova, fra l'altro, il giudizio sul ruolo del sistema minerario nella formazione dell'assetto segregato del lavoro. È un accertamento di una commissione ufficiale, non una sentenza penale, e va citato con questo statuto: autorevole, pubblico, e distinto dal giudicato.</w:t>
      </w:r>
    </w:p>
    <w:p>
      <w:pPr>
        <w:spacing w:after="120" w:line="276"/>
        <w:jc w:val="both"/>
      </w:pPr>
      <w:r>
        <w:rPr>
          <w:rFonts w:ascii="Barlow Semi Condensed" w:cs="Barlow Semi Condensed" w:eastAsia="Barlow Semi Condensed" w:hAnsi="Barlow Semi Condensed"/>
          <w:b/>
          <w:bCs/>
          <w:sz w:val="24"/>
          <w:szCs w:val="24"/>
        </w:rPr>
        <w:t xml:space="preserve">376 · Le sanzioni che i minerali evitarono.</w:t>
      </w:r>
      <w:r>
        <w:rPr>
          <w:rFonts w:ascii="Barlow Semi Condensed" w:cs="Barlow Semi Condensed" w:eastAsia="Barlow Semi Condensed" w:hAnsi="Barlow Semi Condensed"/>
          <w:sz w:val="24"/>
          <w:szCs w:val="24"/>
        </w:rPr>
        <w:t xml:space="preserve"> La legge statunitense del 1986 contro l'apartheid vietò l'importazione di alcune merci sudafricane, fra cui minerale e ossido di uranio, carbone, ferro, acciaio e le monete d'oro da investimento, ma trattò a parte i minerali definiti strategici, prevedendone uno studio anziché il divieto. Il testo della legge è pubblico e va letto sezione per sezione: la differenza fra ciò che fu vietato e ciò che non lo fu è tutta lì.</w:t>
      </w:r>
    </w:p>
    <w:p>
      <w:pPr>
        <w:spacing w:after="120" w:line="276"/>
        <w:jc w:val="both"/>
      </w:pPr>
      <w:r>
        <w:rPr>
          <w:rFonts w:ascii="Barlow Semi Condensed" w:cs="Barlow Semi Condensed" w:eastAsia="Barlow Semi Condensed" w:hAnsi="Barlow Semi Condensed"/>
          <w:b/>
          <w:bCs/>
          <w:sz w:val="24"/>
          <w:szCs w:val="24"/>
        </w:rPr>
        <w:t xml:space="preserve">377 · La moneta d'oro e i divieti nazionali.</w:t>
      </w:r>
      <w:r>
        <w:rPr>
          <w:rFonts w:ascii="Barlow Semi Condensed" w:cs="Barlow Semi Condensed" w:eastAsia="Barlow Semi Condensed" w:hAnsi="Barlow Semi Condensed"/>
          <w:sz w:val="24"/>
          <w:szCs w:val="24"/>
        </w:rPr>
        <w:t xml:space="preserve"> Il divieto d'importazione della moneta aurea sudafricana fu adottato in ordine sparso da singoli Stati, con date e strumenti diversi, e non da una delibera vincolante del Consiglio di Sicurezza. Ricostruire quel mosaico normativo Paese per Paese, con gli estremi di ciascun atto, è un lavoro fattibile e non ancora fatto in modo sistematico nel corpus. È un cantiere aperto, e si dichiara tale.</w:t>
      </w:r>
    </w:p>
    <w:p>
      <w:pPr>
        <w:spacing w:after="120" w:line="276"/>
        <w:jc w:val="both"/>
      </w:pPr>
      <w:r>
        <w:rPr>
          <w:rFonts w:ascii="Barlow Semi Condensed" w:cs="Barlow Semi Condensed" w:eastAsia="Barlow Semi Condensed" w:hAnsi="Barlow Semi Condensed"/>
          <w:b/>
          <w:bCs/>
          <w:sz w:val="24"/>
          <w:szCs w:val="24"/>
        </w:rPr>
        <w:t xml:space="preserve">378 · Il Bushveld è un dato geologico.</w:t>
      </w:r>
      <w:r>
        <w:rPr>
          <w:rFonts w:ascii="Barlow Semi Condensed" w:cs="Barlow Semi Condensed" w:eastAsia="Barlow Semi Condensed" w:hAnsi="Barlow Semi Condensed"/>
          <w:sz w:val="24"/>
          <w:szCs w:val="24"/>
        </w:rPr>
        <w:t xml:space="preserve"> La quasi totalità delle riserve mondiali di metalli del gruppo del platino si trova nel complesso igneo del Bushveld, a nord di Pretoria. È un fatto della natura, non una scelta politica, e va enunciato per primo: la concentrazione geografica di una risorsa spiega la posizione negoziale di un Paese senza attribuire nulla a chi vi nacque. Le carte del servizio geologico sudafricano ne documentano l'estensione.</w:t>
      </w:r>
    </w:p>
    <w:p>
      <w:pPr>
        <w:spacing w:after="120" w:line="276"/>
        <w:jc w:val="both"/>
      </w:pPr>
      <w:r>
        <w:rPr>
          <w:rFonts w:ascii="Barlow Semi Condensed" w:cs="Barlow Semi Condensed" w:eastAsia="Barlow Semi Condensed" w:hAnsi="Barlow Semi Condensed"/>
          <w:b/>
          <w:bCs/>
          <w:sz w:val="24"/>
          <w:szCs w:val="24"/>
        </w:rPr>
        <w:t xml:space="preserve">379 · Tre gruppi, tre depositi societari.</w:t>
      </w:r>
      <w:r>
        <w:rPr>
          <w:rFonts w:ascii="Barlow Semi Condensed" w:cs="Barlow Semi Condensed" w:eastAsia="Barlow Semi Condensed" w:hAnsi="Barlow Semi Condensed"/>
          <w:sz w:val="24"/>
          <w:szCs w:val="24"/>
        </w:rPr>
        <w:t xml:space="preserve"> Il comparto platinifero sudafricano si è retto per decenni su pochi operatori maggiori, ciascuno con società quotate e depositi obbligatori: bilanci, relazioni annuali e comunicazioni regolamentate alla borsa di Johannesburg, e per alcuni anche a Londra. Chi voglia ricostruire proprietà, produzione e utili anno per anno ha materiale abbondante e verificabile. Nel platino, a differenza degli smeraldi informali, il documento societario esiste e va soltanto letto.</w:t>
      </w:r>
    </w:p>
    <w:p>
      <w:pPr>
        <w:spacing w:after="120" w:line="276"/>
        <w:jc w:val="both"/>
      </w:pPr>
      <w:r>
        <w:rPr>
          <w:rFonts w:ascii="Barlow Semi Condensed" w:cs="Barlow Semi Condensed" w:eastAsia="Barlow Semi Condensed" w:hAnsi="Barlow Semi Condensed"/>
          <w:b/>
          <w:bCs/>
          <w:sz w:val="24"/>
          <w:szCs w:val="24"/>
        </w:rPr>
        <w:t xml:space="preserve">380 · I bollettini del mercato londinese.</w:t>
      </w:r>
      <w:r>
        <w:rPr>
          <w:rFonts w:ascii="Barlow Semi Condensed" w:cs="Barlow Semi Condensed" w:eastAsia="Barlow Semi Condensed" w:hAnsi="Barlow Semi Condensed"/>
          <w:sz w:val="24"/>
          <w:szCs w:val="24"/>
        </w:rPr>
        <w:t xml:space="preserve"> I prezzi e i volumi dei metalli del gruppo del platino sono fissati e pubblicati dal mercato londinese specializzato, che ne conserva le serie storiche. Sono il vincolo esterno con cui verificare qualunque affermazione su ricavi e flussi del comparto in un dato anno. Il metodo è lo stesso applicato all'uranio: prima il dato di mercato pubblicato, poi la narrazione, e mai l'ordine inverso.</w:t>
      </w:r>
    </w:p>
    <w:p>
      <w:pPr>
        <w:spacing w:after="120" w:line="276"/>
        <w:jc w:val="both"/>
      </w:pPr>
      <w:r>
        <w:rPr>
          <w:rFonts w:ascii="Barlow Semi Condensed" w:cs="Barlow Semi Condensed" w:eastAsia="Barlow Semi Condensed" w:hAnsi="Barlow Semi Condensed"/>
          <w:b/>
          <w:bCs/>
          <w:sz w:val="24"/>
          <w:szCs w:val="24"/>
        </w:rPr>
        <w:t xml:space="preserve">381 · Un conglomerato britannico nei registri.</w:t>
      </w:r>
      <w:r>
        <w:rPr>
          <w:rFonts w:ascii="Barlow Semi Condensed" w:cs="Barlow Semi Condensed" w:eastAsia="Barlow Semi Condensed" w:hAnsi="Barlow Semi Condensed"/>
          <w:sz w:val="24"/>
          <w:szCs w:val="24"/>
        </w:rPr>
        <w:t xml:space="preserve"> Uno dei maggiori operatori platiniferi sudafricani è stato per decenni controllato da un conglomerato britannico attivo in tutta l'Africa, i cui depositi presso il registro delle imprese di Londra e le relazioni annuali documentano partecipazioni, cambi di denominazione e successioni societarie fino alle acquisizioni recenti. È una catena proprietaria interamente ricostruibile su atti pubblici, e serve come modello di ciò che una ricostruzione documentata può effettivamente ottenere.</w:t>
      </w:r>
    </w:p>
    <w:p>
      <w:pPr>
        <w:spacing w:after="120" w:line="276"/>
        <w:jc w:val="both"/>
      </w:pPr>
      <w:r>
        <w:rPr>
          <w:rFonts w:ascii="Barlow Semi Condensed" w:cs="Barlow Semi Condensed" w:eastAsia="Barlow Semi Condensed" w:hAnsi="Barlow Semi Condensed"/>
          <w:b/>
          <w:bCs/>
          <w:sz w:val="24"/>
          <w:szCs w:val="24"/>
        </w:rPr>
        <w:t xml:space="preserve">382 · Marikana e la commissione d'inchiesta.</w:t>
      </w:r>
      <w:r>
        <w:rPr>
          <w:rFonts w:ascii="Barlow Semi Condensed" w:cs="Barlow Semi Condensed" w:eastAsia="Barlow Semi Condensed" w:hAnsi="Barlow Semi Condensed"/>
          <w:sz w:val="24"/>
          <w:szCs w:val="24"/>
        </w:rPr>
        <w:t xml:space="preserve"> La commissione d'inchiesta sui fatti di Marikana dell'agosto 2012 consegnò la propria relazione nel 2015; atti, trascrizioni e relazione finale sono pubblici. È materia successiva alla fine dell'apartheid e va tenuta distinta dal periodo indagato, ma è pertinente a un fine di metodo: mostra che nel comparto platinifero esiste un accertamento pubblico documentato, con verbali, e quindi un termine di paragone per ciò che altrove manca.</w:t>
      </w:r>
    </w:p>
    <w:p>
      <w:pPr>
        <w:spacing w:after="120" w:line="276"/>
        <w:jc w:val="both"/>
      </w:pPr>
      <w:r>
        <w:rPr>
          <w:rFonts w:ascii="Barlow Semi Condensed" w:cs="Barlow Semi Condensed" w:eastAsia="Barlow Semi Condensed" w:hAnsi="Barlow Semi Condensed"/>
          <w:b/>
          <w:bCs/>
          <w:sz w:val="24"/>
          <w:szCs w:val="24"/>
        </w:rPr>
        <w:t xml:space="preserve">383 · I registri societari dopo il 1994.</w:t>
      </w:r>
      <w:r>
        <w:rPr>
          <w:rFonts w:ascii="Barlow Semi Condensed" w:cs="Barlow Semi Condensed" w:eastAsia="Barlow Semi Condensed" w:hAnsi="Barlow Semi Condensed"/>
          <w:sz w:val="24"/>
          <w:szCs w:val="24"/>
        </w:rPr>
        <w:t xml:space="preserve"> La transizione politica del 1994 non produsse un mutamento immediato negli assetti proprietari del comparto minerario: le stesse società, con gli stessi codici di quotazione, continuarono a depositare bilanci. I mutamenti arrivarono più tardi e per via legislativa, con le riforme sui diritti minerari dei primi anni Duemila. La verifica è meccanica e si fa sui depositi annuali: la continuità proprietaria si legge, non si presume.</w:t>
      </w:r>
    </w:p>
    <w:p>
      <w:pPr>
        <w:spacing w:after="120" w:line="276"/>
        <w:jc w:val="both"/>
      </w:pPr>
      <w:r>
        <w:rPr>
          <w:rFonts w:ascii="Barlow Semi Condensed" w:cs="Barlow Semi Condensed" w:eastAsia="Barlow Semi Condensed" w:hAnsi="Barlow Semi Condensed"/>
          <w:b/>
          <w:bCs/>
          <w:sz w:val="24"/>
          <w:szCs w:val="24"/>
        </w:rPr>
        <w:t xml:space="preserve">384 · Pik Botha alle Miniere e all'Energia.</w:t>
      </w:r>
      <w:r>
        <w:rPr>
          <w:rFonts w:ascii="Barlow Semi Condensed" w:cs="Barlow Semi Condensed" w:eastAsia="Barlow Semi Condensed" w:hAnsi="Barlow Semi Condensed"/>
          <w:sz w:val="24"/>
          <w:szCs w:val="24"/>
        </w:rPr>
        <w:t xml:space="preserve"> Roelof Frederik Botha, detto Pik, ministro degli Esteri dal 1977 al 1994, fu poi ministro delle Miniere e dell'Energia nel primo governo Mandela. Il fatto è pubblico e documentato dagli atti parlamentari sudafricani e dagli elenchi ufficiali dei governi. Colloca la materia prima di questa serie e la carriera politica di un nome nello stesso perimetro amministrativo, ed è quanto il documento consente di dire.</w:t>
      </w:r>
    </w:p>
    <w:p>
      <w:pPr>
        <w:spacing w:after="120" w:line="276"/>
        <w:jc w:val="both"/>
      </w:pPr>
      <w:r>
        <w:rPr>
          <w:rFonts w:ascii="Barlow Semi Condensed" w:cs="Barlow Semi Condensed" w:eastAsia="Barlow Semi Condensed" w:hAnsi="Barlow Semi Condensed"/>
          <w:b/>
          <w:bCs/>
          <w:sz w:val="24"/>
          <w:szCs w:val="24"/>
        </w:rPr>
        <w:t xml:space="preserve">385 · I due Botha non sono parenti (serie V).</w:t>
      </w:r>
      <w:r>
        <w:rPr>
          <w:rFonts w:ascii="Barlow Semi Condensed" w:cs="Barlow Semi Condensed" w:eastAsia="Barlow Semi Condensed" w:hAnsi="Barlow Semi Condensed"/>
          <w:sz w:val="24"/>
          <w:szCs w:val="24"/>
        </w:rPr>
        <w:t xml:space="preserve"> Va segnalato qui, dove la confusione produce più danni, che Pik Botha non era parente di Pieter Willem Botha, presidente dello Stato. Sono due persone distinte, di famiglie distinte, con ruoli distinti. È l'errore più diffuso su questa materia e circola anche in fonti che si presentano come informate. Chi lo commette costruisce genealogie inesistenti: la verifica si fa sugli atti anagrafici, non sull'omonimia del cognome.</w:t>
      </w:r>
    </w:p>
    <w:p>
      <w:pPr>
        <w:spacing w:after="120" w:line="276"/>
        <w:jc w:val="both"/>
      </w:pPr>
      <w:r>
        <w:rPr>
          <w:rFonts w:ascii="Barlow Semi Condensed" w:cs="Barlow Semi Condensed" w:eastAsia="Barlow Semi Condensed" w:hAnsi="Barlow Semi Condensed"/>
          <w:b/>
          <w:bCs/>
          <w:sz w:val="24"/>
          <w:szCs w:val="24"/>
        </w:rPr>
        <w:t xml:space="preserve">386 · Roelof Botha e i registri minerari.</w:t>
      </w:r>
      <w:r>
        <w:rPr>
          <w:rFonts w:ascii="Barlow Semi Condensed" w:cs="Barlow Semi Condensed" w:eastAsia="Barlow Semi Condensed" w:hAnsi="Barlow Semi Condensed"/>
          <w:sz w:val="24"/>
          <w:szCs w:val="24"/>
        </w:rPr>
        <w:t xml:space="preserve"> Roelof Botha, direttore finanziario di PayPal e poi socio e managing partner di Sequoia Capital, è nipote di Pik Botha: parentela documentata, piano uno. Nei registri minerari sudafricani, namibiani e zambiani non risulta alcun titolo, carica o partecipazione a suo nome nel comparto estrattivo. È uno Stato Zero verificato, e va scritto: la parentela è un fatto, l'assenza di traccia mineraria è un altro fatto.</w:t>
      </w:r>
    </w:p>
    <w:p>
      <w:pPr>
        <w:spacing w:after="120" w:line="276"/>
        <w:jc w:val="both"/>
      </w:pPr>
      <w:r>
        <w:rPr>
          <w:rFonts w:ascii="Barlow Semi Condensed" w:cs="Barlow Semi Condensed" w:eastAsia="Barlow Semi Condensed" w:hAnsi="Barlow Semi Condensed"/>
          <w:b/>
          <w:bCs/>
          <w:sz w:val="24"/>
          <w:szCs w:val="24"/>
        </w:rPr>
        <w:t xml:space="preserve">387 · I depositi PayPal e le materie prime.</w:t>
      </w:r>
      <w:r>
        <w:rPr>
          <w:rFonts w:ascii="Barlow Semi Condensed" w:cs="Barlow Semi Condensed" w:eastAsia="Barlow Semi Condensed" w:hAnsi="Barlow Semi Condensed"/>
          <w:sz w:val="24"/>
          <w:szCs w:val="24"/>
        </w:rPr>
        <w:t xml:space="preserve"> I documenti depositati da PayPal presso l'autorità statunitense per i mercati finanziari — prospetto di quotazione del 2002, relazioni periodiche, atti dell'acquisizione — sono integralmente consultabili nella banca dati pubblica dell'autorità. In essi non compare alcun riferimento a interessi minerari o a materie prime. La verifica è meccanica, ripetibile da chiunque, e il suo esito negativo chiude un'ipotesi che nessun documento aveva mai aperto.</w:t>
      </w:r>
    </w:p>
    <w:p>
      <w:pPr>
        <w:spacing w:after="120" w:line="276"/>
        <w:jc w:val="both"/>
      </w:pPr>
      <w:r>
        <w:rPr>
          <w:rFonts w:ascii="Barlow Semi Condensed" w:cs="Barlow Semi Condensed" w:eastAsia="Barlow Semi Condensed" w:hAnsi="Barlow Semi Condensed"/>
          <w:b/>
          <w:bCs/>
          <w:sz w:val="24"/>
          <w:szCs w:val="24"/>
        </w:rPr>
        <w:t xml:space="preserve">388 · Il bersaglio di smentita della serie.</w:t>
      </w:r>
      <w:r>
        <w:rPr>
          <w:rFonts w:ascii="Barlow Semi Condensed" w:cs="Barlow Semi Condensed" w:eastAsia="Barlow Semi Condensed" w:hAnsi="Barlow Semi Condensed"/>
          <w:sz w:val="24"/>
          <w:szCs w:val="24"/>
        </w:rPr>
        <w:t xml:space="preserve"> L'intera serie sarebbe falsificata da un solo tipo di reperto: un atto societario o minerario che nomini insieme, in una stessa operazione, un soggetto dell'economia estrattiva dell'Africa australe e una delle imprese tecnologiche californiane qui evocate. Nessun documento simile risulta. Chi lo trovi capovolga pure la lettura: la serie è costruita per rendere questa smentita facile da eseguire e immediata da riconoscere.</w:t>
      </w:r>
    </w:p>
    <w:p>
      <w:pPr>
        <w:spacing w:after="120" w:line="276"/>
        <w:jc w:val="both"/>
      </w:pPr>
      <w:r>
        <w:rPr>
          <w:rFonts w:ascii="Barlow Semi Condensed" w:cs="Barlow Semi Condensed" w:eastAsia="Barlow Semi Condensed" w:hAnsi="Barlow Semi Condensed"/>
          <w:b/>
          <w:bCs/>
          <w:sz w:val="24"/>
          <w:szCs w:val="24"/>
        </w:rPr>
        <w:t xml:space="preserve">389 · I tre piani applicati alle miniere.</w:t>
      </w:r>
      <w:r>
        <w:rPr>
          <w:rFonts w:ascii="Barlow Semi Condensed" w:cs="Barlow Semi Condensed" w:eastAsia="Barlow Semi Condensed" w:hAnsi="Barlow Semi Condensed"/>
          <w:sz w:val="24"/>
          <w:szCs w:val="24"/>
        </w:rPr>
        <w:t xml:space="preserve"> Applicata a questa materia, la regola dei tre piani dà un esito netto. Piano uno: le compagini societarie depositate, la parentela Botha, la carriera ministeriale, i deliberati delle Nazioni Unite. Piano due: la comune appartenenza a un'economia estrattiva, che è cornice e non parentela. Piano tre: la destinazione militare dell'uranio namibiano e la miniera di smeraldi come proprietà. Nulla del terzo piano è stato promosso, e nulla del secondo.</w:t>
      </w:r>
    </w:p>
    <w:p>
      <w:pPr>
        <w:spacing w:after="120" w:line="276"/>
        <w:jc w:val="both"/>
      </w:pPr>
      <w:r>
        <w:rPr>
          <w:rFonts w:ascii="Barlow Semi Condensed" w:cs="Barlow Semi Condensed" w:eastAsia="Barlow Semi Condensed" w:hAnsi="Barlow Semi Condensed"/>
          <w:b/>
          <w:bCs/>
          <w:sz w:val="24"/>
          <w:szCs w:val="24"/>
        </w:rPr>
        <w:t xml:space="preserve">390 · Bilancio della quinta serie.</w:t>
      </w:r>
      <w:r>
        <w:rPr>
          <w:rFonts w:ascii="Barlow Semi Condensed" w:cs="Barlow Semi Condensed" w:eastAsia="Barlow Semi Condensed" w:hAnsi="Barlow Semi Condensed"/>
          <w:sz w:val="24"/>
          <w:szCs w:val="24"/>
        </w:rPr>
        <w:t xml:space="preserve"> Restano aperti sei quesiti con sede indicata: il catasto e il registro societario di Lusaka per le gemme, l'archivio nazionale di Windhoek per i permessi di cantiere, le serie energetiche di Kew per i contratti d'oltremare, il fondo del Consiglio per la Namibia a New York per l'applicazione del decreto, gli atti del tribunale dell'Aia per l'esito del 1987, le carte dell'ente atomico a Pretoria per la filiera interna.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sesta — L'embargo, le sanzioni e le vie d'aggiramento</w:t>
      </w:r>
    </w:p>
    <w:p>
      <w:pPr>
        <w:spacing w:after="120" w:line="276"/>
        <w:jc w:val="both"/>
      </w:pPr>
      <w:r>
        <w:rPr>
          <w:rFonts w:ascii="Barlow Semi Condensed" w:cs="Barlow Semi Condensed" w:eastAsia="Barlow Semi Condensed" w:hAnsi="Barlow Semi Condensed"/>
          <w:i/>
          <w:iCs/>
          <w:sz w:val="24"/>
          <w:szCs w:val="24"/>
        </w:rPr>
        <w:t xml:space="preserve">Blocchi 391-470.</w:t>
      </w:r>
    </w:p>
    <w:p>
      <w:pPr>
        <w:spacing w:after="120" w:line="276"/>
        <w:jc w:val="both"/>
      </w:pPr>
      <w:r>
        <w:rPr>
          <w:rFonts w:ascii="Barlow Semi Condensed" w:cs="Barlow Semi Condensed" w:eastAsia="Barlow Semi Condensed" w:hAnsi="Barlow Semi Condensed"/>
          <w:b/>
          <w:bCs/>
          <w:sz w:val="24"/>
          <w:szCs w:val="24"/>
        </w:rPr>
        <w:t xml:space="preserve">391 · Dal volontario all'obbligatorio.</w:t>
      </w:r>
      <w:r>
        <w:rPr>
          <w:rFonts w:ascii="Barlow Semi Condensed" w:cs="Barlow Semi Condensed" w:eastAsia="Barlow Semi Condensed" w:hAnsi="Barlow Semi Condensed"/>
          <w:sz w:val="24"/>
          <w:szCs w:val="24"/>
        </w:rPr>
        <w:t xml:space="preserve"> La sequenza va tenuta esatta, perché quasi tutta la pubblicistica la comprime in una data sola. La risoluzione 181 del Consiglio di Sicurezza, 7 agosto 1963, raccomandò un embargo volontario sulle armi; la 282 del 23 luglio 1970 lo rafforzò restando raccomandazione; solo la 418 del 4 novembre 1977 lo rese obbligatorio ai sensi del capitolo VII. Quattordici anni separano l'invito dall'obbligo, e i testi stanno nel sistema documentale ODS delle Nazioni Unite.</w:t>
      </w:r>
    </w:p>
    <w:p>
      <w:pPr>
        <w:spacing w:after="120" w:line="276"/>
        <w:jc w:val="both"/>
      </w:pPr>
      <w:r>
        <w:rPr>
          <w:rFonts w:ascii="Barlow Semi Condensed" w:cs="Barlow Semi Condensed" w:eastAsia="Barlow Semi Condensed" w:hAnsi="Barlow Semi Condensed"/>
          <w:b/>
          <w:bCs/>
          <w:sz w:val="24"/>
          <w:szCs w:val="24"/>
        </w:rPr>
        <w:t xml:space="preserve">392 · Il primato giuridico della 418.</w:t>
      </w:r>
      <w:r>
        <w:rPr>
          <w:rFonts w:ascii="Barlow Semi Condensed" w:cs="Barlow Semi Condensed" w:eastAsia="Barlow Semi Condensed" w:hAnsi="Barlow Semi Condensed"/>
          <w:sz w:val="24"/>
          <w:szCs w:val="24"/>
        </w:rPr>
        <w:t xml:space="preserve"> Fatto pubblico da riportare senza enfasi: quella del 4 novembre 1977 fu la prima misura sanzionatoria obbligatoria adottata dal Consiglio di Sicurezza contro uno Stato membro, votata all'unanimità, fondata sull'accertamento che l'acquisizione di armi da parte di Pretoria costituiva minaccia alla pace. Il primato è procedurale prima che politico, e va citato con la formula esatta della delibera, non con le parafrasi che circolano.</w:t>
      </w:r>
    </w:p>
    <w:p>
      <w:pPr>
        <w:spacing w:after="120" w:line="276"/>
        <w:jc w:val="both"/>
      </w:pPr>
      <w:r>
        <w:rPr>
          <w:rFonts w:ascii="Barlow Semi Condensed" w:cs="Barlow Semi Condensed" w:eastAsia="Barlow Semi Condensed" w:hAnsi="Barlow Semi Condensed"/>
          <w:b/>
          <w:bCs/>
          <w:sz w:val="24"/>
          <w:szCs w:val="24"/>
        </w:rPr>
        <w:t xml:space="preserve">393 · Che cosa la 418 non vietava.</w:t>
      </w:r>
      <w:r>
        <w:rPr>
          <w:rFonts w:ascii="Barlow Semi Condensed" w:cs="Barlow Semi Condensed" w:eastAsia="Barlow Semi Condensed" w:hAnsi="Barlow Semi Condensed"/>
          <w:sz w:val="24"/>
          <w:szCs w:val="24"/>
        </w:rPr>
        <w:t xml:space="preserve"> Regola di lettura, indispensabile prima di ogni conteggio di violazioni: l'obbligo riguardava armi e materiale connesso. Non il commercio in generale, non il petrolio, non il carbone, non l'oro, non gli investimenti, non i trasferimenti finanziari. Chi scrive «le sanzioni ONU» al plurale e indefinito attribuisce all'embargo un perimetro che il testo non ha, e trasforma un'operazione lecita in un aggiramento.</w:t>
      </w:r>
    </w:p>
    <w:p>
      <w:pPr>
        <w:spacing w:after="120" w:line="276"/>
        <w:jc w:val="both"/>
      </w:pPr>
      <w:r>
        <w:rPr>
          <w:rFonts w:ascii="Barlow Semi Condensed" w:cs="Barlow Semi Condensed" w:eastAsia="Barlow Semi Condensed" w:hAnsi="Barlow Semi Condensed"/>
          <w:b/>
          <w:bCs/>
          <w:sz w:val="24"/>
          <w:szCs w:val="24"/>
        </w:rPr>
        <w:t xml:space="preserve">394 · Il comitato istituito dalla 421.</w:t>
      </w:r>
      <w:r>
        <w:rPr>
          <w:rFonts w:ascii="Barlow Semi Condensed" w:cs="Barlow Semi Condensed" w:eastAsia="Barlow Semi Condensed" w:hAnsi="Barlow Semi Condensed"/>
          <w:sz w:val="24"/>
          <w:szCs w:val="24"/>
        </w:rPr>
        <w:t xml:space="preserve"> Il 9 dicembre 1977 la risoluzione 421 istituì il comitato incaricato di esaminare l'attuazione dell'embargo e di riferire al Consiglio. Le sue relazioni periodiche, con le risposte degli Stati membri, sono documenti della serie S/ e sono reperibili nel sistema ODS; le carte di lavoro stanno alla sezione archivi e gestione documentale delle Nazioni Unite a New York. Bersaglio a costo basso, mai sfruttato dalla letteratura in rete.</w:t>
      </w:r>
    </w:p>
    <w:p>
      <w:pPr>
        <w:spacing w:after="120" w:line="276"/>
        <w:jc w:val="both"/>
      </w:pPr>
      <w:r>
        <w:rPr>
          <w:rFonts w:ascii="Barlow Semi Condensed" w:cs="Barlow Semi Condensed" w:eastAsia="Barlow Semi Condensed" w:hAnsi="Barlow Semi Condensed"/>
          <w:b/>
          <w:bCs/>
          <w:sz w:val="24"/>
          <w:szCs w:val="24"/>
        </w:rPr>
        <w:t xml:space="preserve">395 · L'embargo inverso e il suo statuto.</w:t>
      </w:r>
      <w:r>
        <w:rPr>
          <w:rFonts w:ascii="Barlow Semi Condensed" w:cs="Barlow Semi Condensed" w:eastAsia="Barlow Semi Condensed" w:hAnsi="Barlow Semi Condensed"/>
          <w:sz w:val="24"/>
          <w:szCs w:val="24"/>
        </w:rPr>
        <w:t xml:space="preserve"> Con la risoluzione 558 del 13 dicembre 1984 il Consiglio chiese agli Stati di astenersi dall'importare armamenti prodotti in Sud Africa. La differenza è decisiva: quella è una richiesta, non un obbligo di capitolo VII. Nel frattempo il Paese sotto embargo era divenuto esportatore, il che è l'esito meno previsto dell'intera vicenda e va registrato come accertamento, non come ironia.</w:t>
      </w:r>
    </w:p>
    <w:p>
      <w:pPr>
        <w:spacing w:after="120" w:line="276"/>
        <w:jc w:val="both"/>
      </w:pPr>
      <w:r>
        <w:rPr>
          <w:rFonts w:ascii="Barlow Semi Condensed" w:cs="Barlow Semi Condensed" w:eastAsia="Barlow Semi Condensed" w:hAnsi="Barlow Semi Condensed"/>
          <w:b/>
          <w:bCs/>
          <w:sz w:val="24"/>
          <w:szCs w:val="24"/>
        </w:rPr>
        <w:t xml:space="preserve">396 · Le falle riconosciute tardi.</w:t>
      </w:r>
      <w:r>
        <w:rPr>
          <w:rFonts w:ascii="Barlow Semi Condensed" w:cs="Barlow Semi Condensed" w:eastAsia="Barlow Semi Condensed" w:hAnsi="Barlow Semi Condensed"/>
          <w:sz w:val="24"/>
          <w:szCs w:val="24"/>
        </w:rPr>
        <w:t xml:space="preserve"> La risoluzione 591 del 28 novembre 1986 estese l'embargo a ricambi, accordi di licenza e forniture a duplice uso. Nove anni dopo l'obbligo, l'organo che lo aveva imposto certificava per iscritto quali vie fossero rimaste aperte. Il preambolo e il dibattito che lo precede sono la migliore fonte disponibile sulle tecniche di aggiramento, perché ne parla chi doveva impedirle.</w:t>
      </w:r>
    </w:p>
    <w:p>
      <w:pPr>
        <w:spacing w:after="120" w:line="276"/>
        <w:jc w:val="both"/>
      </w:pPr>
      <w:r>
        <w:rPr>
          <w:rFonts w:ascii="Barlow Semi Condensed" w:cs="Barlow Semi Condensed" w:eastAsia="Barlow Semi Condensed" w:hAnsi="Barlow Semi Condensed"/>
          <w:b/>
          <w:bCs/>
          <w:sz w:val="24"/>
          <w:szCs w:val="24"/>
        </w:rPr>
        <w:t xml:space="preserve">397 · Le risposte degli Stati membri.</w:t>
      </w:r>
      <w:r>
        <w:rPr>
          <w:rFonts w:ascii="Barlow Semi Condensed" w:cs="Barlow Semi Condensed" w:eastAsia="Barlow Semi Condensed" w:hAnsi="Barlow Semi Condensed"/>
          <w:sz w:val="24"/>
          <w:szCs w:val="24"/>
        </w:rPr>
        <w:t xml:space="preserve"> Ogni Stato era tenuto a comunicare le misure adottate in attuazione della 418, e quelle comunicazioni furono pubblicate come documenti del Consiglio. Quesito eseguibile da chiunque, in una sessione di lavoro: estrarre la risposta italiana, datarla, trascriverne il dispositivo e confrontarlo con la normativa interna sulle esportazioni militari allora vigente. L'esito, quale che sia, va verbalizzato con i termini di ricerca usati.</w:t>
      </w:r>
    </w:p>
    <w:p>
      <w:pPr>
        <w:spacing w:after="120" w:line="276"/>
        <w:jc w:val="both"/>
      </w:pPr>
      <w:r>
        <w:rPr>
          <w:rFonts w:ascii="Barlow Semi Condensed" w:cs="Barlow Semi Condensed" w:eastAsia="Barlow Semi Condensed" w:hAnsi="Barlow Semi Condensed"/>
          <w:b/>
          <w:bCs/>
          <w:sz w:val="24"/>
          <w:szCs w:val="24"/>
        </w:rPr>
        <w:t xml:space="preserve">398 · Sharpeville, Soweto, Biko.</w:t>
      </w:r>
      <w:r>
        <w:rPr>
          <w:rFonts w:ascii="Barlow Semi Condensed" w:cs="Barlow Semi Condensed" w:eastAsia="Barlow Semi Condensed" w:hAnsi="Barlow Semi Condensed"/>
          <w:sz w:val="24"/>
          <w:szCs w:val="24"/>
        </w:rPr>
        <w:t xml:space="preserve"> Alla strage del 21 marzo 1960 seguì la risoluzione 134 del 1° aprile; alla rivolta studentesca del 16 giugno 1976 la 392 del 19 giugno; alla morte di Steve Biko il 12 settembre 1977 e alla messa al bando di organizzazioni e giornali del 19 ottobre seguirono la 417 del 31 ottobre e la 418 del 4 novembre. La cronologia dice che l'organo reagiva, non preveniva.</w:t>
      </w:r>
    </w:p>
    <w:p>
      <w:pPr>
        <w:spacing w:after="120" w:line="276"/>
        <w:jc w:val="both"/>
      </w:pPr>
      <w:r>
        <w:rPr>
          <w:rFonts w:ascii="Barlow Semi Condensed" w:cs="Barlow Semi Condensed" w:eastAsia="Barlow Semi Condensed" w:hAnsi="Barlow Semi Condensed"/>
          <w:b/>
          <w:bCs/>
          <w:sz w:val="24"/>
          <w:szCs w:val="24"/>
        </w:rPr>
        <w:t xml:space="preserve">399 · Guevara 1964 e l'obbligo del 1977.</w:t>
      </w:r>
      <w:r>
        <w:rPr>
          <w:rFonts w:ascii="Barlow Semi Condensed" w:cs="Barlow Semi Condensed" w:eastAsia="Barlow Semi Condensed" w:hAnsi="Barlow Semi Condensed"/>
          <w:sz w:val="24"/>
          <w:szCs w:val="24"/>
        </w:rPr>
        <w:t xml:space="preserve"> Il nodo E-16 della triangolazione Guevara-Moro registra il discorso dell'11 dicembre 1964 alla diciannovesima Assemblea Generale, con la denuncia del colonialismo e della «brutale politica dell'apartheid». A quella data l'embargo era volontario da sedici mesi. Tredici anni separano quella denuncia dall'obbligo del 1977. È l'unico ponte documentato fra il corpus e questa materia, e la sua distanza cronologica va detta insieme al ponte.</w:t>
      </w:r>
    </w:p>
    <w:p>
      <w:pPr>
        <w:spacing w:after="120" w:line="276"/>
        <w:jc w:val="both"/>
      </w:pPr>
      <w:r>
        <w:rPr>
          <w:rFonts w:ascii="Barlow Semi Condensed" w:cs="Barlow Semi Condensed" w:eastAsia="Barlow Semi Condensed" w:hAnsi="Barlow Semi Condensed"/>
          <w:b/>
          <w:bCs/>
          <w:sz w:val="24"/>
          <w:szCs w:val="24"/>
        </w:rPr>
        <w:t xml:space="preserve">400 · Due sole occorrenze in tutto il corpus.</w:t>
      </w:r>
      <w:r>
        <w:rPr>
          <w:rFonts w:ascii="Barlow Semi Condensed" w:cs="Barlow Semi Condensed" w:eastAsia="Barlow Semi Condensed" w:hAnsi="Barlow Semi Condensed"/>
          <w:sz w:val="24"/>
          <w:szCs w:val="24"/>
        </w:rPr>
        <w:t xml:space="preserve"> Verifica meccanica eseguita e verbalizzata: la parola «apartheid» compare due volte nell'intero corpus in formato markdown, al nodo E-16 di triangolazioni-guevara-moro.md e alla riga nona di guevara-mosca-bolivia-1964-1966.md, dove il discorso del dicembre 1964 è citato con il testo sul Marxists Internet Archive e la registrazione Smithsonian Folkways. Nessuna occorrenza di Pretoria, Namibia, Rössing. Stato Zero misurato, non supposto.</w:t>
      </w:r>
    </w:p>
    <w:p>
      <w:pPr>
        <w:spacing w:after="120" w:line="276"/>
        <w:jc w:val="both"/>
      </w:pPr>
      <w:r>
        <w:rPr>
          <w:rFonts w:ascii="Barlow Semi Condensed" w:cs="Barlow Semi Condensed" w:eastAsia="Barlow Semi Condensed" w:hAnsi="Barlow Semi Condensed"/>
          <w:b/>
          <w:bCs/>
          <w:sz w:val="24"/>
          <w:szCs w:val="24"/>
        </w:rPr>
        <w:t xml:space="preserve">401 · Il falso positivo che smaschera il metodo.</w:t>
      </w:r>
      <w:r>
        <w:rPr>
          <w:rFonts w:ascii="Barlow Semi Condensed" w:cs="Barlow Semi Condensed" w:eastAsia="Barlow Semi Condensed" w:hAnsi="Barlow Semi Condensed"/>
          <w:sz w:val="24"/>
          <w:szCs w:val="24"/>
        </w:rPr>
        <w:t xml:space="preserve"> Cercando la stringa «Angola» nei file del corpus si ottengono duecentonovantasette occorrenze; con i confini di parola se ne ottengono tre. Le altre duecentottantanove stanno dentro «triangolazione», che contiene la stringa. Un conteggio meccanico senza confini di parola misura il lessico di chi scrive, non il mondo. Chiunque replichi le verifiche di quest'opera deve usare l'opzione dei confini, o riprodurrà l'errore.</w:t>
      </w:r>
    </w:p>
    <w:p>
      <w:pPr>
        <w:spacing w:after="120" w:line="276"/>
        <w:jc w:val="both"/>
      </w:pPr>
      <w:r>
        <w:rPr>
          <w:rFonts w:ascii="Barlow Semi Condensed" w:cs="Barlow Semi Condensed" w:eastAsia="Barlow Semi Condensed" w:hAnsi="Barlow Semi Condensed"/>
          <w:b/>
          <w:bCs/>
          <w:sz w:val="24"/>
          <w:szCs w:val="24"/>
        </w:rPr>
        <w:t xml:space="preserve">402 · I tre Angola autentici.</w:t>
      </w:r>
      <w:r>
        <w:rPr>
          <w:rFonts w:ascii="Barlow Semi Condensed" w:cs="Barlow Semi Condensed" w:eastAsia="Barlow Semi Condensed" w:hAnsi="Barlow Semi Condensed"/>
          <w:sz w:val="24"/>
          <w:szCs w:val="24"/>
        </w:rPr>
        <w:t xml:space="preserve"> Le tre occorrenze vere si trovano in aldo-moro-una-guerra-senza-fine-parte-terza.md, dove Angola figura fra gli archi statali documentati di Kissinger accanto al Cile, e due volte in moro-ministro-esteri/originali/portogallo-santa-sede-1969-1974.md, per il fascicolo del fondo Zagari e per l'accordo di Alvor del 15 gennaio 1975. Questa è tutta la sostanza africana australe che il corpus possedeva prima di questa serie.</w:t>
      </w:r>
    </w:p>
    <w:p>
      <w:pPr>
        <w:spacing w:after="120" w:line="276"/>
        <w:jc w:val="both"/>
      </w:pPr>
      <w:r>
        <w:rPr>
          <w:rFonts w:ascii="Barlow Semi Condensed" w:cs="Barlow Semi Condensed" w:eastAsia="Barlow Semi Condensed" w:hAnsi="Barlow Semi Condensed"/>
          <w:b/>
          <w:bCs/>
          <w:sz w:val="24"/>
          <w:szCs w:val="24"/>
        </w:rPr>
        <w:t xml:space="preserve">403 · Il fondo Zagari all'Archivio storico del Senato.</w:t>
      </w:r>
      <w:r>
        <w:rPr>
          <w:rFonts w:ascii="Barlow Semi Condensed" w:cs="Barlow Semi Condensed" w:eastAsia="Barlow Semi Condensed" w:hAnsi="Barlow Semi Condensed"/>
          <w:sz w:val="24"/>
          <w:szCs w:val="24"/>
        </w:rPr>
        <w:t xml:space="preserve"> La scheda del fondo Mario Zagari reca un fascicolo «Colonie Portoghesi (Angola – Mozambico – Capo Verde)» con la relazione dattiloscritta per la Conferenza nazionale di solidarietà di Reggio Emilia del 1973. Quesito: lo stesso fondo conserva carte sull'apartheid e sull'embargo? La sede è a Roma, l'inventario è consultabile in rete, la risposta si ottiene in sala. Documenta l'impegno di una persona, non una posizione dell'istituzione.</w:t>
      </w:r>
    </w:p>
    <w:p>
      <w:pPr>
        <w:spacing w:after="120" w:line="276"/>
        <w:jc w:val="both"/>
      </w:pPr>
      <w:r>
        <w:rPr>
          <w:rFonts w:ascii="Barlow Semi Condensed" w:cs="Barlow Semi Condensed" w:eastAsia="Barlow Semi Condensed" w:hAnsi="Barlow Semi Condensed"/>
          <w:b/>
          <w:bCs/>
          <w:sz w:val="24"/>
          <w:szCs w:val="24"/>
        </w:rPr>
        <w:t xml:space="preserve">404 · La finestra parlamentare si apre.</w:t>
      </w:r>
      <w:r>
        <w:rPr>
          <w:rFonts w:ascii="Barlow Semi Condensed" w:cs="Barlow Semi Condensed" w:eastAsia="Barlow Semi Condensed" w:hAnsi="Barlow Semi Condensed"/>
          <w:sz w:val="24"/>
          <w:szCs w:val="24"/>
        </w:rPr>
        <w:t xml:space="preserve"> La campagna della Farnesina ha accertato che la banca dati del sindacato ispettivo di Camera e Senato copre solo dalla settima legislatura, cioè dal 5 luglio 1976. Ne discende un vantaggio che questa serie eredita: l'embargo obbligatorio del 4 novembre 1977 cade dentro la finestra indicizzata. A differenza del materiale del 1974, le interrogazioni italiane sulla risoluzione 418 sono cercabili per soggetto.</w:t>
      </w:r>
    </w:p>
    <w:p>
      <w:pPr>
        <w:spacing w:after="120" w:line="276"/>
        <w:jc w:val="both"/>
      </w:pPr>
      <w:r>
        <w:rPr>
          <w:rFonts w:ascii="Barlow Semi Condensed" w:cs="Barlow Semi Condensed" w:eastAsia="Barlow Semi Condensed" w:hAnsi="Barlow Semi Condensed"/>
          <w:b/>
          <w:bCs/>
          <w:sz w:val="24"/>
          <w:szCs w:val="24"/>
        </w:rPr>
        <w:t xml:space="preserve">405 · Il costo della Farnesina, rivisto.</w:t>
      </w:r>
      <w:r>
        <w:rPr>
          <w:rFonts w:ascii="Barlow Semi Condensed" w:cs="Barlow Semi Condensed" w:eastAsia="Barlow Semi Condensed" w:hAnsi="Barlow Semi Condensed"/>
          <w:sz w:val="24"/>
          <w:szCs w:val="24"/>
        </w:rPr>
        <w:t xml:space="preserve"> Il blocco 683 dell'opera su Kissinger corregge la quadriga investigativa proprio su questo punto: la barriera dei cinquant'anni rende l'arco anteriore teoricamente accessibile, ma l'inventariazione non lo rende praticamente tale, e la disponibilità dei faldoni va verificata caso per caso. Chi programma una campagna sull'Africa australe presso l'Archivio storico diplomatico deve preventivare quella verifica prima del viaggio, non dopo.</w:t>
      </w:r>
    </w:p>
    <w:p>
      <w:pPr>
        <w:spacing w:after="120" w:line="276"/>
        <w:jc w:val="both"/>
      </w:pPr>
      <w:r>
        <w:rPr>
          <w:rFonts w:ascii="Barlow Semi Condensed" w:cs="Barlow Semi Condensed" w:eastAsia="Barlow Semi Condensed" w:hAnsi="Barlow Semi Condensed"/>
          <w:b/>
          <w:bCs/>
          <w:sz w:val="24"/>
          <w:szCs w:val="24"/>
        </w:rPr>
        <w:t xml:space="preserve">406 · La barriera cronologica di questa serie.</w:t>
      </w:r>
      <w:r>
        <w:rPr>
          <w:rFonts w:ascii="Barlow Semi Condensed" w:cs="Barlow Semi Condensed" w:eastAsia="Barlow Semi Condensed" w:hAnsi="Barlow Semi Condensed"/>
          <w:sz w:val="24"/>
          <w:szCs w:val="24"/>
        </w:rPr>
        <w:t xml:space="preserve"> Per una serie che arriva al 1994, la regola dei cinquant'anni colloca al 1976 il margine esterno di ciò che è ordinariamente consultabile in sede diplomatica italiana nel 2026. Tutto ciò che riguarda il 1977-1986 richiede istanza di declassificazione o accesso agli atti. Il vincolo si dichiara prima di promettere un documento, non quando l'istanza viene respinta.</w:t>
      </w:r>
    </w:p>
    <w:p>
      <w:pPr>
        <w:spacing w:after="120" w:line="276"/>
        <w:jc w:val="both"/>
      </w:pPr>
      <w:r>
        <w:rPr>
          <w:rFonts w:ascii="Barlow Semi Condensed" w:cs="Barlow Semi Condensed" w:eastAsia="Barlow Semi Condensed" w:hAnsi="Barlow Semi Condensed"/>
          <w:b/>
          <w:bCs/>
          <w:sz w:val="24"/>
          <w:szCs w:val="24"/>
        </w:rPr>
        <w:t xml:space="preserve">407 · Il decreto numero uno sulle risorse namibiane.</w:t>
      </w:r>
      <w:r>
        <w:rPr>
          <w:rFonts w:ascii="Barlow Semi Condensed" w:cs="Barlow Semi Condensed" w:eastAsia="Barlow Semi Condensed" w:hAnsi="Barlow Semi Condensed"/>
          <w:sz w:val="24"/>
          <w:szCs w:val="24"/>
        </w:rPr>
        <w:t xml:space="preserve"> Lo strumento giuridico che tocca l'uranio porta un numero solo: Decreto n. 1 del Consiglio delle Nazioni Unite per la Namibia, adottato il 27 settembre 1974. Vietava prospezione, estrazione ed esportazione senza autorizzazione del Consiglio e dichiarava quelle risorse suscettibili di sequestro ovunque si trovassero. Il testo e la sua eventuale approvazione da parte dell'Assemblea vanno letti sulla raccolta ufficiale dei documenti, non su riassunti di seconda mano.</w:t>
      </w:r>
    </w:p>
    <w:p>
      <w:pPr>
        <w:spacing w:after="120" w:line="276"/>
        <w:jc w:val="both"/>
      </w:pPr>
      <w:r>
        <w:rPr>
          <w:rFonts w:ascii="Barlow Semi Condensed" w:cs="Barlow Semi Condensed" w:eastAsia="Barlow Semi Condensed" w:hAnsi="Barlow Semi Condensed"/>
          <w:b/>
          <w:bCs/>
          <w:sz w:val="24"/>
          <w:szCs w:val="24"/>
        </w:rPr>
        <w:t xml:space="preserve">408 · Il parere consultivo del 21 giugno 1971.</w:t>
      </w:r>
      <w:r>
        <w:rPr>
          <w:rFonts w:ascii="Barlow Semi Condensed" w:cs="Barlow Semi Condensed" w:eastAsia="Barlow Semi Condensed" w:hAnsi="Barlow Semi Condensed"/>
          <w:sz w:val="24"/>
          <w:szCs w:val="24"/>
        </w:rPr>
        <w:t xml:space="preserve"> La Corte internazionale di giustizia dichiarò illegale la continuata presenza sudafricana in Namibia dopo la risoluzione 276 del 1970, con l'obbligo per gli Stati di astenersi da atti che ne implicassero il riconoscimento. Sta in ICJ Reports 1971. È il fondamento su cui poggia ogni domanda sull'uranio namibiano, e va citato prima di qualunque considerazione politica.</w:t>
      </w:r>
    </w:p>
    <w:p>
      <w:pPr>
        <w:spacing w:after="120" w:line="276"/>
        <w:jc w:val="both"/>
      </w:pPr>
      <w:r>
        <w:rPr>
          <w:rFonts w:ascii="Barlow Semi Condensed" w:cs="Barlow Semi Condensed" w:eastAsia="Barlow Semi Condensed" w:hAnsi="Barlow Semi Condensed"/>
          <w:b/>
          <w:bCs/>
          <w:sz w:val="24"/>
          <w:szCs w:val="24"/>
        </w:rPr>
        <w:t xml:space="preserve">409 · Rössing: ciò che è accertato e depositato.</w:t>
      </w:r>
      <w:r>
        <w:rPr>
          <w:rFonts w:ascii="Barlow Semi Condensed" w:cs="Barlow Semi Condensed" w:eastAsia="Barlow Semi Condensed" w:hAnsi="Barlow Semi Condensed"/>
          <w:sz w:val="24"/>
          <w:szCs w:val="24"/>
        </w:rPr>
        <w:t xml:space="preserve"> Rössing Uranium Limited gestisce una miniera a cielo aperto presso Arandis, nell'Erongo, a una settantina di chilometri nell'entroterra di Swakopmund; azionista di maggioranza fu Rio Tinto Zinc; la produzione iniziò nel 1976; nel 2019 Rio Tinto cedette la quota di maggioranza a China National Uranium Corporation. Depositi verificabili: BIPA a Windhoek, Companies House a Londra, relazioni annuali della società.</w:t>
      </w:r>
    </w:p>
    <w:p>
      <w:pPr>
        <w:spacing w:after="120" w:line="276"/>
        <w:jc w:val="both"/>
      </w:pPr>
      <w:r>
        <w:rPr>
          <w:rFonts w:ascii="Barlow Semi Condensed" w:cs="Barlow Semi Condensed" w:eastAsia="Barlow Semi Condensed" w:hAnsi="Barlow Semi Condensed"/>
          <w:b/>
          <w:bCs/>
          <w:sz w:val="24"/>
          <w:szCs w:val="24"/>
        </w:rPr>
        <w:t xml:space="preserve">410 · La tesi nucleare, terzo piano.</w:t>
      </w:r>
      <w:r>
        <w:rPr>
          <w:rFonts w:ascii="Barlow Semi Condensed" w:cs="Barlow Semi Condensed" w:eastAsia="Barlow Semi Condensed" w:hAnsi="Barlow Semi Condensed"/>
          <w:sz w:val="24"/>
          <w:szCs w:val="24"/>
        </w:rPr>
        <w:t xml:space="preserve"> Fonti militanti sostengono che quella miniera servisse il programma nucleare militare sudafricano. Nessun documento di provenienza lo nomina: piano 3, e quest'opera non lo adotta. Va invece indicato come bersaglio con la sede che lo chiuderebbe, cioè gli atti di salvaguardia dell'Agenzia internazionale per l'energia atomica a Vienna e le carte della corporazione atomica sudafricana ai National Archives of South Africa di Pretoria.</w:t>
      </w:r>
    </w:p>
    <w:p>
      <w:pPr>
        <w:spacing w:after="120" w:line="276"/>
        <w:jc w:val="both"/>
      </w:pPr>
      <w:r>
        <w:rPr>
          <w:rFonts w:ascii="Barlow Semi Condensed" w:cs="Barlow Semi Condensed" w:eastAsia="Barlow Semi Condensed" w:hAnsi="Barlow Semi Condensed"/>
          <w:b/>
          <w:bCs/>
          <w:sz w:val="24"/>
          <w:szCs w:val="24"/>
        </w:rPr>
        <w:t xml:space="preserve">411 · Il programma esiste per ammissione dello Stato.</w:t>
      </w:r>
      <w:r>
        <w:rPr>
          <w:rFonts w:ascii="Barlow Semi Condensed" w:cs="Barlow Semi Condensed" w:eastAsia="Barlow Semi Condensed" w:hAnsi="Barlow Semi Condensed"/>
          <w:sz w:val="24"/>
          <w:szCs w:val="24"/>
        </w:rPr>
        <w:t xml:space="preserve"> Il 24 marzo 1993 il presidente F.W. de Klerk dichiarò in Parlamento che il Paese aveva costruito un piccolo arsenale di ordigni nucleari e li aveva smantellati prima dell'adesione al Trattato di non proliferazione del 10 luglio 1991. Il resoconto di quella seduta è la fonte primaria. Non dice nulla sull'origine del materiale fissile: è lì che la domanda resta aperta.</w:t>
      </w:r>
    </w:p>
    <w:p>
      <w:pPr>
        <w:spacing w:after="120" w:line="276"/>
        <w:jc w:val="both"/>
      </w:pPr>
      <w:r>
        <w:rPr>
          <w:rFonts w:ascii="Barlow Semi Condensed" w:cs="Barlow Semi Condensed" w:eastAsia="Barlow Semi Condensed" w:hAnsi="Barlow Semi Condensed"/>
          <w:b/>
          <w:bCs/>
          <w:sz w:val="24"/>
          <w:szCs w:val="24"/>
        </w:rPr>
        <w:t xml:space="preserve">412 · Valindaba non è Swakopmund.</w:t>
      </w:r>
      <w:r>
        <w:rPr>
          <w:rFonts w:ascii="Barlow Semi Condensed" w:cs="Barlow Semi Condensed" w:eastAsia="Barlow Semi Condensed" w:hAnsi="Barlow Semi Condensed"/>
          <w:sz w:val="24"/>
          <w:szCs w:val="24"/>
        </w:rPr>
        <w:t xml:space="preserve"> L'impianto di arricchimento sorgeva a Valindaba, presso Pelindaba, a ovest di Pretoria. Distanza, proprietà e funzione lo separano da una miniera namibiana operata sotto contratto commerciale. Omologia contro analogia, nella forma più netta che questa serie possa offrire: due impianti che trattano lo stesso elemento nello stesso Paese non discendono per ciò da uno scopo comune. Solo un documento che nomini entrambi lo stabilirebbe.</w:t>
      </w:r>
    </w:p>
    <w:p>
      <w:pPr>
        <w:spacing w:after="120" w:line="276"/>
        <w:jc w:val="both"/>
      </w:pPr>
      <w:r>
        <w:rPr>
          <w:rFonts w:ascii="Barlow Semi Condensed" w:cs="Barlow Semi Condensed" w:eastAsia="Barlow Semi Condensed" w:hAnsi="Barlow Semi Condensed"/>
          <w:b/>
          <w:bCs/>
          <w:sz w:val="24"/>
          <w:szCs w:val="24"/>
        </w:rPr>
        <w:t xml:space="preserve">413 · Il sito sotto il Kalahari, agosto 1977.</w:t>
      </w:r>
      <w:r>
        <w:rPr>
          <w:rFonts w:ascii="Barlow Semi Condensed" w:cs="Barlow Semi Condensed" w:eastAsia="Barlow Semi Condensed" w:hAnsi="Barlow Semi Condensed"/>
          <w:sz w:val="24"/>
          <w:szCs w:val="24"/>
        </w:rPr>
        <w:t xml:space="preserve"> Nell'agosto 1977 la ricognizione satellitare individuò nel deserto un sito ritenuto predisposto per una prova nucleare; seguirono passi diplomatici occidentali e l'abbandono del sito. Fatto pubblico. La documentazione declassificata è raccolta e indicizzata dal National Security Archive presso la George Washington University a Washington, che ne pubblica gli inventari: sede a costo nullo, da esaurire prima di qualunque altra.</w:t>
      </w:r>
    </w:p>
    <w:p>
      <w:pPr>
        <w:spacing w:after="120" w:line="276"/>
        <w:jc w:val="both"/>
      </w:pPr>
      <w:r>
        <w:rPr>
          <w:rFonts w:ascii="Barlow Semi Condensed" w:cs="Barlow Semi Condensed" w:eastAsia="Barlow Semi Condensed" w:hAnsi="Barlow Semi Condensed"/>
          <w:b/>
          <w:bCs/>
          <w:sz w:val="24"/>
          <w:szCs w:val="24"/>
        </w:rPr>
        <w:t xml:space="preserve">414 · Il lampo del 22 settembre 1979.</w:t>
      </w:r>
      <w:r>
        <w:rPr>
          <w:rFonts w:ascii="Barlow Semi Condensed" w:cs="Barlow Semi Condensed" w:eastAsia="Barlow Semi Condensed" w:hAnsi="Barlow Semi Condensed"/>
          <w:sz w:val="24"/>
          <w:szCs w:val="24"/>
        </w:rPr>
        <w:t xml:space="preserve"> Un satellite del programma Vela registrò un doppio lampo sull'oceano meridionale. Il gruppo di esperti insediato dalla Casa Bianca concluse nel 1980 che probabilmente non si trattò di un'esplosione nucleare; altri apparati dissentirono allora e dissentono nelle carte declassificate. La divergenza si riporta e non si scioglie. I fascicoli stanno alla biblioteca presidenziale Carter di Atlanta e nelle serie di declassificazione.</w:t>
      </w:r>
    </w:p>
    <w:p>
      <w:pPr>
        <w:spacing w:after="120" w:line="276"/>
        <w:jc w:val="both"/>
      </w:pPr>
      <w:r>
        <w:rPr>
          <w:rFonts w:ascii="Barlow Semi Condensed" w:cs="Barlow Semi Condensed" w:eastAsia="Barlow Semi Condensed" w:hAnsi="Barlow Semi Condensed"/>
          <w:b/>
          <w:bCs/>
          <w:sz w:val="24"/>
          <w:szCs w:val="24"/>
        </w:rPr>
        <w:t xml:space="preserve">415 · Il cantiere e le appaltatrici.</w:t>
      </w:r>
      <w:r>
        <w:rPr>
          <w:rFonts w:ascii="Barlow Semi Condensed" w:cs="Barlow Semi Condensed" w:eastAsia="Barlow Semi Condensed" w:hAnsi="Barlow Semi Condensed"/>
          <w:sz w:val="24"/>
          <w:szCs w:val="24"/>
        </w:rPr>
        <w:t xml:space="preserve"> L'ancoraggio verificato dice che Klaus Thiel, ingegnere chimico, lavorava per un'impresa del cantiere di Rössing negli anni 1975-1977. Quesito eseguibile da un terzo: ricostruire l'elenco delle imprese appaltatrici della fase di costruzione, che sta negli archivi della società mineraria e nei National Archives of Namibia a Windhoek. L'impiego di una persona è fatto pubblico; da esso non discende null'altro.</w:t>
      </w:r>
    </w:p>
    <w:p>
      <w:pPr>
        <w:spacing w:after="120" w:line="276"/>
        <w:jc w:val="both"/>
      </w:pPr>
      <w:r>
        <w:rPr>
          <w:rFonts w:ascii="Barlow Semi Condensed" w:cs="Barlow Semi Condensed" w:eastAsia="Barlow Semi Condensed" w:hAnsi="Barlow Semi Condensed"/>
          <w:b/>
          <w:bCs/>
          <w:sz w:val="24"/>
          <w:szCs w:val="24"/>
        </w:rPr>
        <w:t xml:space="preserve">416 · L'infanzia non è una scelta (serie VI).</w:t>
      </w:r>
      <w:r>
        <w:rPr>
          <w:rFonts w:ascii="Barlow Semi Condensed" w:cs="Barlow Semi Condensed" w:eastAsia="Barlow Semi Condensed" w:hAnsi="Barlow Semi Condensed"/>
          <w:sz w:val="24"/>
          <w:szCs w:val="24"/>
        </w:rPr>
        <w:t xml:space="preserve"> Regola che governa l'intera serie e in particolare i suoi passaggi namibiani: un bambino che vive in una cittadina mineraria perché un genitore vi ha un contratto non è parte di una politica. Dove si nomina Swakopmund si registrano residenza, impiego e date, mai una posizione. Il blocco che scivolasse dalla residenza all'opinione sarebbe un abuso e andrebbe espunto senza discussione.</w:t>
      </w:r>
    </w:p>
    <w:p>
      <w:pPr>
        <w:spacing w:after="120" w:line="276"/>
        <w:jc w:val="both"/>
      </w:pPr>
      <w:r>
        <w:rPr>
          <w:rFonts w:ascii="Barlow Semi Condensed" w:cs="Barlow Semi Condensed" w:eastAsia="Barlow Semi Condensed" w:hAnsi="Barlow Semi Condensed"/>
          <w:b/>
          <w:bCs/>
          <w:sz w:val="24"/>
          <w:szCs w:val="24"/>
        </w:rPr>
        <w:t xml:space="preserve">417 · Le sedi namibiane, e il loro prezzo.</w:t>
      </w:r>
      <w:r>
        <w:rPr>
          <w:rFonts w:ascii="Barlow Semi Condensed" w:cs="Barlow Semi Condensed" w:eastAsia="Barlow Semi Condensed" w:hAnsi="Barlow Semi Condensed"/>
          <w:sz w:val="24"/>
          <w:szCs w:val="24"/>
        </w:rPr>
        <w:t xml:space="preserve"> I National Archives of Namibia a Windhoek conservano le carte dell'amministrazione dell'Africa del Sud-Ovest, le serie municipali e i registri minerari; l'autorità BIPA tiene il registro delle imprese. Sono le sedi che chiudono quasi ogni quesito namibiano di questa serie, e nessuna di esse è una casella di ricerca. Il costo dichiarato è una campagna in loco, con richiesta preventiva di consultazione.</w:t>
      </w:r>
    </w:p>
    <w:p>
      <w:pPr>
        <w:spacing w:after="120" w:line="276"/>
        <w:jc w:val="both"/>
      </w:pPr>
      <w:r>
        <w:rPr>
          <w:rFonts w:ascii="Barlow Semi Condensed" w:cs="Barlow Semi Condensed" w:eastAsia="Barlow Semi Condensed" w:hAnsi="Barlow Semi Condensed"/>
          <w:b/>
          <w:bCs/>
          <w:sz w:val="24"/>
          <w:szCs w:val="24"/>
        </w:rPr>
        <w:t xml:space="preserve">418 · La 435 e undici anni.</w:t>
      </w:r>
      <w:r>
        <w:rPr>
          <w:rFonts w:ascii="Barlow Semi Condensed" w:cs="Barlow Semi Condensed" w:eastAsia="Barlow Semi Condensed" w:hAnsi="Barlow Semi Condensed"/>
          <w:sz w:val="24"/>
          <w:szCs w:val="24"/>
        </w:rPr>
        <w:t xml:space="preserve"> Il piano di soluzione e il dispiegamento della missione di assistenza furono fissati dalla risoluzione 435 del 29 settembre 1978; l'applicazione cominciò solo nell'aprile 1989 e la Namibia divenne indipendente il 21 marzo 1990. Fra la delibera e la sua esecuzione stanno undici anni durante i quali la miniera produsse ed esportò sotto contratto. Il dato serve a datare, non a insinuare.</w:t>
      </w:r>
    </w:p>
    <w:p>
      <w:pPr>
        <w:spacing w:after="120" w:line="276"/>
        <w:jc w:val="both"/>
      </w:pPr>
      <w:r>
        <w:rPr>
          <w:rFonts w:ascii="Barlow Semi Condensed" w:cs="Barlow Semi Condensed" w:eastAsia="Barlow Semi Condensed" w:hAnsi="Barlow Semi Condensed"/>
          <w:b/>
          <w:bCs/>
          <w:sz w:val="24"/>
          <w:szCs w:val="24"/>
        </w:rPr>
        <w:t xml:space="preserve">419 · Gli accordi di New York.</w:t>
      </w:r>
      <w:r>
        <w:rPr>
          <w:rFonts w:ascii="Barlow Semi Condensed" w:cs="Barlow Semi Condensed" w:eastAsia="Barlow Semi Condensed" w:hAnsi="Barlow Semi Condensed"/>
          <w:sz w:val="24"/>
          <w:szCs w:val="24"/>
        </w:rPr>
        <w:t xml:space="preserve"> Angola, Cuba e Sud Africa firmarono al Palazzo di Vetro gli accordi che legarono l'indipendenza namibiana al ritiro delle forze cubane. È il punto in cui il materiale cubano del corpus e questa serie toccano una cornice comune. Convergenza strutturale entro la stessa cornice, piano 2: non è un ponte, e nessuna quantità di ripetizioni lo promuove a tale.</w:t>
      </w:r>
    </w:p>
    <w:p>
      <w:pPr>
        <w:spacing w:after="120" w:line="276"/>
        <w:jc w:val="both"/>
      </w:pPr>
      <w:r>
        <w:rPr>
          <w:rFonts w:ascii="Barlow Semi Condensed" w:cs="Barlow Semi Condensed" w:eastAsia="Barlow Semi Condensed" w:hAnsi="Barlow Semi Condensed"/>
          <w:b/>
          <w:bCs/>
          <w:sz w:val="24"/>
          <w:szCs w:val="24"/>
        </w:rPr>
        <w:t xml:space="preserve">420 · La legge americana del 1986.</w:t>
      </w:r>
      <w:r>
        <w:rPr>
          <w:rFonts w:ascii="Barlow Semi Condensed" w:cs="Barlow Semi Condensed" w:eastAsia="Barlow Semi Condensed" w:hAnsi="Barlow Semi Condensed"/>
          <w:sz w:val="24"/>
          <w:szCs w:val="24"/>
        </w:rPr>
        <w:t xml:space="preserve"> Il Comprehensive Anti-Apartheid Act, legge pubblica 99-440 del 2 ottobre 1986, vietò nuovi investimenti statunitensi, gran parte dei prestiti bancari, l'importazione di krugerrand, uranio, carbone, ferro, acciaio, tessili e prodotti agricoli, e revocò i diritti di atterraggio alla compagnia di bandiera sudafricana. Testo e lavori preparatori stanno nel Congressional Record e negli Statutes at Large, a Washington.</w:t>
      </w:r>
    </w:p>
    <w:p>
      <w:pPr>
        <w:spacing w:after="120" w:line="276"/>
        <w:jc w:val="both"/>
      </w:pPr>
      <w:r>
        <w:rPr>
          <w:rFonts w:ascii="Barlow Semi Condensed" w:cs="Barlow Semi Condensed" w:eastAsia="Barlow Semi Condensed" w:hAnsi="Barlow Semi Condensed"/>
          <w:b/>
          <w:bCs/>
          <w:sz w:val="24"/>
          <w:szCs w:val="24"/>
        </w:rPr>
        <w:t xml:space="preserve">421 · Il veto scavalcato dalle due Camere.</w:t>
      </w:r>
      <w:r>
        <w:rPr>
          <w:rFonts w:ascii="Barlow Semi Condensed" w:cs="Barlow Semi Condensed" w:eastAsia="Barlow Semi Condensed" w:hAnsi="Barlow Semi Condensed"/>
          <w:sz w:val="24"/>
          <w:szCs w:val="24"/>
        </w:rPr>
        <w:t xml:space="preserve"> Il presidente pose il veto il 26 settembre 1986; la Camera lo scavalcò il 29 settembre e il Senato il 2 ottobre. È il fatto istituzionalmente rilevante: un veto presidenziale in materia di politica estera rovesciato dal Congresso. Il messaggio di veto si legge nei Public Papers of the Presidents e il fascicolo istruttorio sta alla biblioteca presidenziale Reagan, a Simi Valley in California.</w:t>
      </w:r>
    </w:p>
    <w:p>
      <w:pPr>
        <w:spacing w:after="120" w:line="276"/>
        <w:jc w:val="both"/>
      </w:pPr>
      <w:r>
        <w:rPr>
          <w:rFonts w:ascii="Barlow Semi Condensed" w:cs="Barlow Semi Condensed" w:eastAsia="Barlow Semi Condensed" w:hAnsi="Barlow Semi Condensed"/>
          <w:b/>
          <w:bCs/>
          <w:sz w:val="24"/>
          <w:szCs w:val="24"/>
        </w:rPr>
        <w:t xml:space="preserve">422 · L'ordine esecutivo che anticipava il legislatore.</w:t>
      </w:r>
      <w:r>
        <w:rPr>
          <w:rFonts w:ascii="Barlow Semi Condensed" w:cs="Barlow Semi Condensed" w:eastAsia="Barlow Semi Condensed" w:hAnsi="Barlow Semi Condensed"/>
          <w:sz w:val="24"/>
          <w:szCs w:val="24"/>
        </w:rPr>
        <w:t xml:space="preserve"> L'ordine esecutivo 12532 del 9 settembre 1985 impose misure limitate e un ulteriore ordine del 1° ottobre vietò l'importazione dei krugerrand. Vanno letti come atti di anticipazione parlamentare, e la loro natura importa: un ordine esecutivo si revoca con una firma, una legge no. Chi elenca insieme ordini e leggi come «le sanzioni americane» perde esattamente la differenza che conta.</w:t>
      </w:r>
    </w:p>
    <w:p>
      <w:pPr>
        <w:spacing w:after="120" w:line="276"/>
        <w:jc w:val="both"/>
      </w:pPr>
      <w:r>
        <w:rPr>
          <w:rFonts w:ascii="Barlow Semi Condensed" w:cs="Barlow Semi Condensed" w:eastAsia="Barlow Semi Condensed" w:hAnsi="Barlow Semi Condensed"/>
          <w:b/>
          <w:bCs/>
          <w:sz w:val="24"/>
          <w:szCs w:val="24"/>
        </w:rPr>
        <w:t xml:space="preserve">423 · La clausola dei calcolatori.</w:t>
      </w:r>
      <w:r>
        <w:rPr>
          <w:rFonts w:ascii="Barlow Semi Condensed" w:cs="Barlow Semi Condensed" w:eastAsia="Barlow Semi Condensed" w:hAnsi="Barlow Semi Condensed"/>
          <w:sz w:val="24"/>
          <w:szCs w:val="24"/>
        </w:rPr>
        <w:t xml:space="preserve"> La legge del 1986 vietò la vendita di calcolatori agli apparati che applicavano l'apartheid: polizia, forze armate e uffici che amministravano il sistema dei lasciapassare. È l'unica clausola sanzionatoria che parla direttamente di tecnologia dell'informazione, ed è il primo bersaglio naturale per chiunque voglia mettere alla prova la tesi di continuità di quest'opera sul versante delle macchine.</w:t>
      </w:r>
    </w:p>
    <w:p>
      <w:pPr>
        <w:spacing w:after="120" w:line="276"/>
        <w:jc w:val="both"/>
      </w:pPr>
      <w:r>
        <w:rPr>
          <w:rFonts w:ascii="Barlow Semi Condensed" w:cs="Barlow Semi Condensed" w:eastAsia="Barlow Semi Condensed" w:hAnsi="Barlow Semi Condensed"/>
          <w:b/>
          <w:bCs/>
          <w:sz w:val="24"/>
          <w:szCs w:val="24"/>
        </w:rPr>
        <w:t xml:space="preserve">424 · Un rapporto militante con apparato.</w:t>
      </w:r>
      <w:r>
        <w:rPr>
          <w:rFonts w:ascii="Barlow Semi Condensed" w:cs="Barlow Semi Condensed" w:eastAsia="Barlow Semi Condensed" w:hAnsi="Barlow Semi Condensed"/>
          <w:sz w:val="24"/>
          <w:szCs w:val="24"/>
        </w:rPr>
        <w:t xml:space="preserve"> Il rapporto del 1982 di NARMIC, progetto di ricerca dell'American Friends Service Committee, documentò le forniture informatiche agli apparati statali sudafricani; il suo archivio è a Filadelfia, presso l'American Friends Service Committee. È fonte di parte dotata di apparato: si usa come strumento di corredo per risalire ai documenti primari che cita, mai come prova autonoma di ciò che afferma.</w:t>
      </w:r>
    </w:p>
    <w:p>
      <w:pPr>
        <w:spacing w:after="120" w:line="276"/>
        <w:jc w:val="both"/>
      </w:pPr>
      <w:r>
        <w:rPr>
          <w:rFonts w:ascii="Barlow Semi Condensed" w:cs="Barlow Semi Condensed" w:eastAsia="Barlow Semi Condensed" w:hAnsi="Barlow Semi Condensed"/>
          <w:b/>
          <w:bCs/>
          <w:sz w:val="24"/>
          <w:szCs w:val="24"/>
        </w:rPr>
        <w:t xml:space="preserve">425 · Il registro della popolazione.</w:t>
      </w:r>
      <w:r>
        <w:rPr>
          <w:rFonts w:ascii="Barlow Semi Condensed" w:cs="Barlow Semi Condensed" w:eastAsia="Barlow Semi Condensed" w:hAnsi="Barlow Semi Condensed"/>
          <w:sz w:val="24"/>
          <w:szCs w:val="24"/>
        </w:rPr>
        <w:t xml:space="preserve"> L'informatizzazione del registro della popolazione sudafricano negli anni Settanta, e il ruolo del fornitore britannico, furono discussi ai Comuni. Bersaglio eseguibile da scrivania: cercare per parola chiave nei resoconti di Hansard, individuare seduta e data, e riscontrare con i depositi della società a Companies House. Va fatto prima di ripetere la notizia, non dopo averla ripetuta.</w:t>
      </w:r>
    </w:p>
    <w:p>
      <w:pPr>
        <w:spacing w:after="120" w:line="276"/>
        <w:jc w:val="both"/>
      </w:pPr>
      <w:r>
        <w:rPr>
          <w:rFonts w:ascii="Barlow Semi Condensed" w:cs="Barlow Semi Condensed" w:eastAsia="Barlow Semi Condensed" w:hAnsi="Barlow Semi Condensed"/>
          <w:b/>
          <w:bCs/>
          <w:sz w:val="24"/>
          <w:szCs w:val="24"/>
        </w:rPr>
        <w:t xml:space="preserve">426 · La revoca del 1993.</w:t>
      </w:r>
      <w:r>
        <w:rPr>
          <w:rFonts w:ascii="Barlow Semi Condensed" w:cs="Barlow Semi Condensed" w:eastAsia="Barlow Semi Condensed" w:hAnsi="Barlow Semi Condensed"/>
          <w:sz w:val="24"/>
          <w:szCs w:val="24"/>
        </w:rPr>
        <w:t xml:space="preserve"> Le sanzioni americane caddero con il South African Democratic Transition Support Act, legge pubblica 103-149, firmata il 23 novembre 1993, dopo che Nelson Mandela aveva chiesto all'Assemblea Generale, il 24 settembre 1993, la revoca delle misure economiche. La fine ebbe la stessa fonte di legittimazione dell'inizio: una richiesta proveniente dalla maggioranza della popolazione colpita. Chi cita l'imposizione tacendo la revoca racconta metà vicenda.</w:t>
      </w:r>
    </w:p>
    <w:p>
      <w:pPr>
        <w:spacing w:after="120" w:line="276"/>
        <w:jc w:val="both"/>
      </w:pPr>
      <w:r>
        <w:rPr>
          <w:rFonts w:ascii="Barlow Semi Condensed" w:cs="Barlow Semi Condensed" w:eastAsia="Barlow Semi Condensed" w:hAnsi="Barlow Semi Condensed"/>
          <w:b/>
          <w:bCs/>
          <w:sz w:val="24"/>
          <w:szCs w:val="24"/>
        </w:rPr>
        <w:t xml:space="preserve">427 · I rapporti dell'organo di controllo contabile.</w:t>
      </w:r>
      <w:r>
        <w:rPr>
          <w:rFonts w:ascii="Barlow Semi Condensed" w:cs="Barlow Semi Condensed" w:eastAsia="Barlow Semi Condensed" w:hAnsi="Barlow Semi Condensed"/>
          <w:sz w:val="24"/>
          <w:szCs w:val="24"/>
        </w:rPr>
        <w:t xml:space="preserve"> L'ufficio contabile generale del Congresso produsse rapporti periodici sull'attuazione della legge del 1986, numerati, pubblici e scaricabili. Per una serie sull'aggiramento sono la fonte primaria meno costosa esistente, perché elencano le lacune applicative con le parole del governo che avrebbe dovuto colmarle. Chi non li ha letti non ha ancora cominciato a lavorare su questo capitolo.</w:t>
      </w:r>
    </w:p>
    <w:p>
      <w:pPr>
        <w:spacing w:after="120" w:line="276"/>
        <w:jc w:val="both"/>
      </w:pPr>
      <w:r>
        <w:rPr>
          <w:rFonts w:ascii="Barlow Semi Condensed" w:cs="Barlow Semi Condensed" w:eastAsia="Barlow Semi Condensed" w:hAnsi="Barlow Semi Condensed"/>
          <w:b/>
          <w:bCs/>
          <w:sz w:val="24"/>
          <w:szCs w:val="24"/>
        </w:rPr>
        <w:t xml:space="preserve">428 · Gli archivi legislativi di Washington.</w:t>
      </w:r>
      <w:r>
        <w:rPr>
          <w:rFonts w:ascii="Barlow Semi Condensed" w:cs="Barlow Semi Condensed" w:eastAsia="Barlow Semi Condensed" w:hAnsi="Barlow Semi Condensed"/>
          <w:sz w:val="24"/>
          <w:szCs w:val="24"/>
        </w:rPr>
        <w:t xml:space="preserve"> Le audizioni e i fascicoli di commissione della sottocommissione per l'Africa della Camera e della commissione esteri del Senato sono conservati dal Center for Legislative Archives a Washington, nei fondi delle due Camere. Le audizioni a stampa sono già pubbliche; i fascicoli di commissione sono lo strato non sfruttato, e richiedono istanza motivata secondo le regole di ciascun ramo.</w:t>
      </w:r>
    </w:p>
    <w:p>
      <w:pPr>
        <w:spacing w:after="120" w:line="276"/>
        <w:jc w:val="both"/>
      </w:pPr>
      <w:r>
        <w:rPr>
          <w:rFonts w:ascii="Barlow Semi Condensed" w:cs="Barlow Semi Condensed" w:eastAsia="Barlow Semi Condensed" w:hAnsi="Barlow Semi Condensed"/>
          <w:b/>
          <w:bCs/>
          <w:sz w:val="24"/>
          <w:szCs w:val="24"/>
        </w:rPr>
        <w:t xml:space="preserve">429 · Il triplo veto del 30 ottobre 1974.</w:t>
      </w:r>
      <w:r>
        <w:rPr>
          <w:rFonts w:ascii="Barlow Semi Condensed" w:cs="Barlow Semi Condensed" w:eastAsia="Barlow Semi Condensed" w:hAnsi="Barlow Semi Condensed"/>
          <w:sz w:val="24"/>
          <w:szCs w:val="24"/>
        </w:rPr>
        <w:t xml:space="preserve"> Francia, Regno Unito e Stati Uniti posero il veto al progetto che avrebbe condotto all'espulsione del Sud Africa dalle Nazioni Unite. Fatto pubblico. L'appello nominale e gli interventi stanno nel resoconto stenografico di quella seduta; la biblioteca Dag Hammarskjöld mantiene una guida ai veti che consente di individuare simbolo e data senza scorrere l'intera serie.</w:t>
      </w:r>
    </w:p>
    <w:p>
      <w:pPr>
        <w:spacing w:after="120" w:line="276"/>
        <w:jc w:val="both"/>
      </w:pPr>
      <w:r>
        <w:rPr>
          <w:rFonts w:ascii="Barlow Semi Condensed" w:cs="Barlow Semi Condensed" w:eastAsia="Barlow Semi Condensed" w:hAnsi="Barlow Semi Condensed"/>
          <w:b/>
          <w:bCs/>
          <w:sz w:val="24"/>
          <w:szCs w:val="24"/>
        </w:rPr>
        <w:t xml:space="preserve">430 · I veti sulle sanzioni economiche generali.</w:t>
      </w:r>
      <w:r>
        <w:rPr>
          <w:rFonts w:ascii="Barlow Semi Condensed" w:cs="Barlow Semi Condensed" w:eastAsia="Barlow Semi Condensed" w:hAnsi="Barlow Semi Condensed"/>
          <w:sz w:val="24"/>
          <w:szCs w:val="24"/>
        </w:rPr>
        <w:t xml:space="preserve"> Negli anni Ottanta più progetti di sanzioni economiche obbligatorie e generalizzate furono bloccati da membri permanenti. Date, simboli e cifre di voto vanno presi uno per uno dalla guida ai veti e dai resoconti stenografici, mai da un totale riassuntivo. I numeri tondi che circolano in rete non hanno fonte, e ripeterli è il modo più rapido di perdere credibilità su questo capitolo.</w:t>
      </w:r>
    </w:p>
    <w:p>
      <w:pPr>
        <w:spacing w:after="120" w:line="276"/>
        <w:jc w:val="both"/>
      </w:pPr>
      <w:r>
        <w:rPr>
          <w:rFonts w:ascii="Barlow Semi Condensed" w:cs="Barlow Semi Condensed" w:eastAsia="Barlow Semi Condensed" w:hAnsi="Barlow Semi Condensed"/>
          <w:b/>
          <w:bCs/>
          <w:sz w:val="24"/>
          <w:szCs w:val="24"/>
        </w:rPr>
        <w:t xml:space="preserve">431 · La posizione britannica e dove diventa carta.</w:t>
      </w:r>
      <w:r>
        <w:rPr>
          <w:rFonts w:ascii="Barlow Semi Condensed" w:cs="Barlow Semi Condensed" w:eastAsia="Barlow Semi Condensed" w:hAnsi="Barlow Semi Condensed"/>
          <w:sz w:val="24"/>
          <w:szCs w:val="24"/>
        </w:rPr>
        <w:t xml:space="preserve"> L'opposizione del governo britannico alle sanzioni economiche generali è posizione pubblica documentata dai suoi stessi comunicati. Il suo riscontro interno sta alle serie PREM 19 e a quelle di gabinetto presso i National Archives di Kew, rilasciate secondo la regola dei vent'anni. È lì che un'affermazione sul movente diventa un documento, oppure smette di essere fatta.</w:t>
      </w:r>
    </w:p>
    <w:p>
      <w:pPr>
        <w:spacing w:after="120" w:line="276"/>
        <w:jc w:val="both"/>
      </w:pPr>
      <w:r>
        <w:rPr>
          <w:rFonts w:ascii="Barlow Semi Condensed" w:cs="Barlow Semi Condensed" w:eastAsia="Barlow Semi Condensed" w:hAnsi="Barlow Semi Condensed"/>
          <w:b/>
          <w:bCs/>
          <w:sz w:val="24"/>
          <w:szCs w:val="24"/>
        </w:rPr>
        <w:t xml:space="preserve">432 · Il binario del Commonwealth.</w:t>
      </w:r>
      <w:r>
        <w:rPr>
          <w:rFonts w:ascii="Barlow Semi Condensed" w:cs="Barlow Semi Condensed" w:eastAsia="Barlow Semi Condensed" w:hAnsi="Barlow Semi Condensed"/>
          <w:sz w:val="24"/>
          <w:szCs w:val="24"/>
        </w:rPr>
        <w:t xml:space="preserve"> L'accordo di Gleneagles del 1977 sui contatti sportivi, l'intesa di Nassau dell'ottobre 1985 e il gruppo di personalità eminenti del 1986 costituiscono un regime parallelo, con propri atti e propria segreteria. Le carte sono a Marlborough House, a Londra. Confonderlo con il regime delle Nazioni Unite produce attribuzioni sbagliate di obbligo e di inadempienza: sono due cataloghi distinti.</w:t>
      </w:r>
    </w:p>
    <w:p>
      <w:pPr>
        <w:spacing w:after="120" w:line="276"/>
        <w:jc w:val="both"/>
      </w:pPr>
      <w:r>
        <w:rPr>
          <w:rFonts w:ascii="Barlow Semi Condensed" w:cs="Barlow Semi Condensed" w:eastAsia="Barlow Semi Condensed" w:hAnsi="Barlow Semi Condensed"/>
          <w:b/>
          <w:bCs/>
          <w:sz w:val="24"/>
          <w:szCs w:val="24"/>
        </w:rPr>
        <w:t xml:space="preserve">433 · Le misure della Comunità europea.</w:t>
      </w:r>
      <w:r>
        <w:rPr>
          <w:rFonts w:ascii="Barlow Semi Condensed" w:cs="Barlow Semi Condensed" w:eastAsia="Barlow Semi Condensed" w:hAnsi="Barlow Semi Condensed"/>
          <w:sz w:val="24"/>
          <w:szCs w:val="24"/>
        </w:rPr>
        <w:t xml:space="preserve"> Le misure restrittive concordate in sede di cooperazione politica europea nel settembre 1985 e nel settembre 1986 — krugerrand, ferro e acciaio, nuovi investimenti — vincolavano anche l'Italia come Stato membro. La documentazione preparatoria è depositata presso gli Archivi storici dell'Unione europea, a Villa Salviati a Firenze: la sede più vicina al terreno proprio di questo corpus.</w:t>
      </w:r>
    </w:p>
    <w:p>
      <w:pPr>
        <w:spacing w:after="120" w:line="276"/>
        <w:jc w:val="both"/>
      </w:pPr>
      <w:r>
        <w:rPr>
          <w:rFonts w:ascii="Barlow Semi Condensed" w:cs="Barlow Semi Condensed" w:eastAsia="Barlow Semi Condensed" w:hAnsi="Barlow Semi Condensed"/>
          <w:b/>
          <w:bCs/>
          <w:sz w:val="24"/>
          <w:szCs w:val="24"/>
        </w:rPr>
        <w:t xml:space="preserve">434 · Che cosa fece l'Italia, e quando.</w:t>
      </w:r>
      <w:r>
        <w:rPr>
          <w:rFonts w:ascii="Barlow Semi Condensed" w:cs="Barlow Semi Condensed" w:eastAsia="Barlow Semi Condensed" w:hAnsi="Barlow Semi Condensed"/>
          <w:sz w:val="24"/>
          <w:szCs w:val="24"/>
        </w:rPr>
        <w:t xml:space="preserve"> Quesito aperto della serie, eseguibile a costo modesto e mai eseguito: datare gli atti italiani di attuazione delle misure europee, individuare gli atti di indirizzo e controllo su Pretoria nella banca dati indicizzata dalla settima legislatura, e verificare se esista una legge o un decreto che recepisca l'embargo del 1977. Se non si trova nulla, il risultato negativo si scrive con i termini usati.</w:t>
      </w:r>
    </w:p>
    <w:p>
      <w:pPr>
        <w:spacing w:after="120" w:line="276"/>
        <w:jc w:val="both"/>
      </w:pPr>
      <w:r>
        <w:rPr>
          <w:rFonts w:ascii="Barlow Semi Condensed" w:cs="Barlow Semi Condensed" w:eastAsia="Barlow Semi Condensed" w:hAnsi="Barlow Semi Condensed"/>
          <w:b/>
          <w:bCs/>
          <w:sz w:val="24"/>
          <w:szCs w:val="24"/>
        </w:rPr>
        <w:t xml:space="preserve">435 · Disinvestimento e disimpegno non sono sinonimi.</w:t>
      </w:r>
      <w:r>
        <w:rPr>
          <w:rFonts w:ascii="Barlow Semi Condensed" w:cs="Barlow Semi Condensed" w:eastAsia="Barlow Semi Condensed" w:hAnsi="Barlow Semi Condensed"/>
          <w:sz w:val="24"/>
          <w:szCs w:val="24"/>
        </w:rPr>
        <w:t xml:space="preserve"> Nella letteratura inglese divestment è la vendita di titoli da parte di un azionista, disinvestment il ritiro operativo di un'impresa; le traduzioni italiane li confondono sistematicamente. La distinzione non è pedanteria: l'una muove un libro soci, l'altra muove buste paga e stabilimenti. Si fissa il termine prima di contare i casi, altrimenti si sommano grandezze diverse e il totale non significa nulla.</w:t>
      </w:r>
    </w:p>
    <w:p>
      <w:pPr>
        <w:spacing w:after="120" w:line="276"/>
        <w:jc w:val="both"/>
      </w:pPr>
      <w:r>
        <w:rPr>
          <w:rFonts w:ascii="Barlow Semi Condensed" w:cs="Barlow Semi Condensed" w:eastAsia="Barlow Semi Condensed" w:hAnsi="Barlow Semi Condensed"/>
          <w:b/>
          <w:bCs/>
          <w:sz w:val="24"/>
          <w:szCs w:val="24"/>
        </w:rPr>
        <w:t xml:space="preserve">436 · Il primo ateneo e il più grande.</w:t>
      </w:r>
      <w:r>
        <w:rPr>
          <w:rFonts w:ascii="Barlow Semi Condensed" w:cs="Barlow Semi Condensed" w:eastAsia="Barlow Semi Condensed" w:hAnsi="Barlow Semi Condensed"/>
          <w:sz w:val="24"/>
          <w:szCs w:val="24"/>
        </w:rPr>
        <w:t xml:space="preserve"> Hampshire College disinvestì nel 1977 e la Michigan State University avviò il proprio ritiro nel 1978; i reggenti dell'Università della California deliberarono nel luglio 1986 il disinvestimento di un portafoglio dell'ordine dei miliardi di dollari. Il documento è il verbale del consiglio dei reggenti presso l'Office of the President; le cifre tonde che circolano non lo sono.</w:t>
      </w:r>
    </w:p>
    <w:p>
      <w:pPr>
        <w:spacing w:after="120" w:line="276"/>
        <w:jc w:val="both"/>
      </w:pPr>
      <w:r>
        <w:rPr>
          <w:rFonts w:ascii="Barlow Semi Condensed" w:cs="Barlow Semi Condensed" w:eastAsia="Barlow Semi Condensed" w:hAnsi="Barlow Semi Condensed"/>
          <w:b/>
          <w:bCs/>
          <w:sz w:val="24"/>
          <w:szCs w:val="24"/>
        </w:rPr>
        <w:t xml:space="preserve">437 · Un codice ripudiato dal suo autore.</w:t>
      </w:r>
      <w:r>
        <w:rPr>
          <w:rFonts w:ascii="Barlow Semi Condensed" w:cs="Barlow Semi Condensed" w:eastAsia="Barlow Semi Condensed" w:hAnsi="Barlow Semi Condensed"/>
          <w:sz w:val="24"/>
          <w:szCs w:val="24"/>
        </w:rPr>
        <w:t xml:space="preserve"> Leon Sullivan emanò nel 1977 il codice di condotta per le imprese statunitensi operanti in Sud Africa e nel 1987 lo abbandonò pubblicamente, chiedendo il ritiro totale. Il ripudio di un codice da parte di chi lo aveva scritto è evento raro e citabile, ed è l'argomento più forte disponibile contro la tesi della riforma dall'interno. Resta una dichiarazione, e come tale si registra.</w:t>
      </w:r>
    </w:p>
    <w:p>
      <w:pPr>
        <w:spacing w:after="120" w:line="276"/>
        <w:jc w:val="both"/>
      </w:pPr>
      <w:r>
        <w:rPr>
          <w:rFonts w:ascii="Barlow Semi Condensed" w:cs="Barlow Semi Condensed" w:eastAsia="Barlow Semi Condensed" w:hAnsi="Barlow Semi Condensed"/>
          <w:b/>
          <w:bCs/>
          <w:sz w:val="24"/>
          <w:szCs w:val="24"/>
        </w:rPr>
        <w:t xml:space="preserve">438 · Stanford e la controversia sul disinvestimento.</w:t>
      </w:r>
      <w:r>
        <w:rPr>
          <w:rFonts w:ascii="Barlow Semi Condensed" w:cs="Barlow Semi Condensed" w:eastAsia="Barlow Semi Condensed" w:hAnsi="Barlow Semi Condensed"/>
          <w:sz w:val="24"/>
          <w:szCs w:val="24"/>
        </w:rPr>
        <w:t xml:space="preserve"> A Stanford il consiglio di amministrazione discusse il disinvestimento per tutti gli anni Ottanta, fra proteste di campus. Verbali e carte delle campagne sono conservati al Department of Special Collections della Green Library. È storia locale documentabile; è anche il campus di formazione di alcune persone nominate in quest'opera, il che è comunanza di luogo e non nesso di alcun genere.</w:t>
      </w:r>
    </w:p>
    <w:p>
      <w:pPr>
        <w:spacing w:after="120" w:line="276"/>
        <w:jc w:val="both"/>
      </w:pPr>
      <w:r>
        <w:rPr>
          <w:rFonts w:ascii="Barlow Semi Condensed" w:cs="Barlow Semi Condensed" w:eastAsia="Barlow Semi Condensed" w:hAnsi="Barlow Semi Condensed"/>
          <w:b/>
          <w:bCs/>
          <w:sz w:val="24"/>
          <w:szCs w:val="24"/>
        </w:rPr>
        <w:t xml:space="preserve">439 · Un giornale di campus.</w:t>
      </w:r>
      <w:r>
        <w:rPr>
          <w:rFonts w:ascii="Barlow Semi Condensed" w:cs="Barlow Semi Condensed" w:eastAsia="Barlow Semi Condensed" w:hAnsi="Barlow Semi Condensed"/>
          <w:sz w:val="24"/>
          <w:szCs w:val="24"/>
        </w:rPr>
        <w:t xml:space="preserve"> The Stanford Review fu fondata nel 1987, negli anni di quella controversia. Il quesito eseguibile è stretto e ha risposta certa: quali numeri trattarono il disinvestimento, in quali date, con quali firme. La risposta è ciò che la collezione conserva, inclusa l'ipotesi che non ne trattasse affatto. Anche qui uno Stato Zero è risultato pieno, e va verbalizzato come tale.</w:t>
      </w:r>
    </w:p>
    <w:p>
      <w:pPr>
        <w:spacing w:after="120" w:line="276"/>
        <w:jc w:val="both"/>
      </w:pPr>
      <w:r>
        <w:rPr>
          <w:rFonts w:ascii="Barlow Semi Condensed" w:cs="Barlow Semi Condensed" w:eastAsia="Barlow Semi Condensed" w:hAnsi="Barlow Semi Condensed"/>
          <w:b/>
          <w:bCs/>
          <w:sz w:val="24"/>
          <w:szCs w:val="24"/>
        </w:rPr>
        <w:t xml:space="preserve">440 · Il divieto di attribuire opinioni.</w:t>
      </w:r>
      <w:r>
        <w:rPr>
          <w:rFonts w:ascii="Barlow Semi Condensed" w:cs="Barlow Semi Condensed" w:eastAsia="Barlow Semi Condensed" w:hAnsi="Barlow Semi Condensed"/>
          <w:sz w:val="24"/>
          <w:szCs w:val="24"/>
        </w:rPr>
        <w:t xml:space="preserve"> Anche trovata una firma, il blocco registra che una persona nominata pubblicò un testo in una data. Non riassume ciò che quella persona crede, non estende al 2026 una posizione del 1987, non tratta un periodico universitario come un atto di indirizzo. La pubblicazione è un fatto; la convinzione non lo è; e la distanza fra le due è dove quest'opera vive o cade.</w:t>
      </w:r>
    </w:p>
    <w:p>
      <w:pPr>
        <w:spacing w:after="120" w:line="276"/>
        <w:jc w:val="both"/>
      </w:pPr>
      <w:r>
        <w:rPr>
          <w:rFonts w:ascii="Barlow Semi Condensed" w:cs="Barlow Semi Condensed" w:eastAsia="Barlow Semi Condensed" w:hAnsi="Barlow Semi Condensed"/>
          <w:b/>
          <w:bCs/>
          <w:sz w:val="24"/>
          <w:szCs w:val="24"/>
        </w:rPr>
        <w:t xml:space="preserve">441 · Il rifiuto di rinnovo del luglio 1985.</w:t>
      </w:r>
      <w:r>
        <w:rPr>
          <w:rFonts w:ascii="Barlow Semi Condensed" w:cs="Barlow Semi Condensed" w:eastAsia="Barlow Semi Condensed" w:hAnsi="Barlow Semi Condensed"/>
          <w:sz w:val="24"/>
          <w:szCs w:val="24"/>
        </w:rPr>
        <w:t xml:space="preserve"> Nell'estate del 1985 un grande istituto di credito statunitense rifiutò di rinnovare le linee a breve verso il Sud Africa e altri seguirono. Fu il ritiro del credito interbancario, non l'embargo sulle armi, a muovere il cambio. Le fonti sono la relazione annuale dell'istituto e la stampa finanziaria coeva, che consentono di datare l'evento alla settimana.</w:t>
      </w:r>
    </w:p>
    <w:p>
      <w:pPr>
        <w:spacing w:after="120" w:line="276"/>
        <w:jc w:val="both"/>
      </w:pPr>
      <w:r>
        <w:rPr>
          <w:rFonts w:ascii="Barlow Semi Condensed" w:cs="Barlow Semi Condensed" w:eastAsia="Barlow Semi Condensed" w:hAnsi="Barlow Semi Condensed"/>
          <w:b/>
          <w:bCs/>
          <w:sz w:val="24"/>
          <w:szCs w:val="24"/>
        </w:rPr>
        <w:t xml:space="preserve">442 · Il blocco del debito.</w:t>
      </w:r>
      <w:r>
        <w:rPr>
          <w:rFonts w:ascii="Barlow Semi Condensed" w:cs="Barlow Semi Condensed" w:eastAsia="Barlow Semi Condensed" w:hAnsi="Barlow Semi Condensed"/>
          <w:sz w:val="24"/>
          <w:szCs w:val="24"/>
        </w:rPr>
        <w:t xml:space="preserve"> Nel settembre 1985 Pretoria dichiarò la moratoria sul rimborso del debito estero, chiuse i mercati valutari e reintrodusse il doppio cambio. È l'unico evento finanziario misurabile del decennio sanzionatorio. Grado: fatto pubblico. Ogni tesi che sostenga l'inefficacia economica delle sanzioni deve prima spiegare quella settimana, e la maggior parte delle tesi in circolazione non ci prova nemmeno.</w:t>
      </w:r>
    </w:p>
    <w:p>
      <w:pPr>
        <w:spacing w:after="120" w:line="276"/>
        <w:jc w:val="both"/>
      </w:pPr>
      <w:r>
        <w:rPr>
          <w:rFonts w:ascii="Barlow Semi Condensed" w:cs="Barlow Semi Condensed" w:eastAsia="Barlow Semi Condensed" w:hAnsi="Barlow Semi Condensed"/>
          <w:b/>
          <w:bCs/>
          <w:sz w:val="24"/>
          <w:szCs w:val="24"/>
        </w:rPr>
        <w:t xml:space="preserve">443 · La mediazione affidata a un banchiere centrale.</w:t>
      </w:r>
      <w:r>
        <w:rPr>
          <w:rFonts w:ascii="Barlow Semi Condensed" w:cs="Barlow Semi Condensed" w:eastAsia="Barlow Semi Condensed" w:hAnsi="Barlow Semi Condensed"/>
          <w:sz w:val="24"/>
          <w:szCs w:val="24"/>
        </w:rPr>
        <w:t xml:space="preserve"> Il riscaglionamento del 1986 fu negoziato per il tramite di Fritz Leutwiler, già presidente della Banca nazionale svizzera. Le carte di quella mediazione sono il bersaglio: l'archivio della Banca nazionale svizzera a Zurigo e l'archivio della Banca dei regolamenti internazionali a Basilea, entrambi accessibili su istanza motivata di ricercatore, con termini di consultabilità dichiarati nei rispettivi regolamenti.</w:t>
      </w:r>
    </w:p>
    <w:p>
      <w:pPr>
        <w:spacing w:after="120" w:line="276"/>
        <w:jc w:val="both"/>
      </w:pPr>
      <w:r>
        <w:rPr>
          <w:rFonts w:ascii="Barlow Semi Condensed" w:cs="Barlow Semi Condensed" w:eastAsia="Barlow Semi Condensed" w:hAnsi="Barlow Semi Condensed"/>
          <w:b/>
          <w:bCs/>
          <w:sz w:val="24"/>
          <w:szCs w:val="24"/>
        </w:rPr>
        <w:t xml:space="preserve">444 · Il credito del Fondo monetario, novembre 1982.</w:t>
      </w:r>
      <w:r>
        <w:rPr>
          <w:rFonts w:ascii="Barlow Semi Condensed" w:cs="Barlow Semi Condensed" w:eastAsia="Barlow Semi Condensed" w:hAnsi="Barlow Semi Condensed"/>
          <w:sz w:val="24"/>
          <w:szCs w:val="24"/>
        </w:rPr>
        <w:t xml:space="preserve"> Il Fondo monetario internazionale approvò nel novembre 1982 un accordo di credito a favore del Sud Africa nonostante le obiezioni espresse in sede di Assemblea Generale; il Congresso statunitense legiferò in seguito sul voto del proprio direttore esecutivo. I verbali del consiglio esecutivo stanno negli archivi del Fondo a Washington e si aprono secondo la politica di accesso dell'istituzione.</w:t>
      </w:r>
    </w:p>
    <w:p>
      <w:pPr>
        <w:spacing w:after="120" w:line="276"/>
        <w:jc w:val="both"/>
      </w:pPr>
      <w:r>
        <w:rPr>
          <w:rFonts w:ascii="Barlow Semi Condensed" w:cs="Barlow Semi Condensed" w:eastAsia="Barlow Semi Condensed" w:hAnsi="Barlow Semi Condensed"/>
          <w:b/>
          <w:bCs/>
          <w:sz w:val="24"/>
          <w:szCs w:val="24"/>
        </w:rPr>
        <w:t xml:space="preserve">445 · L'oro, la moneta e l'asimmetria.</w:t>
      </w:r>
      <w:r>
        <w:rPr>
          <w:rFonts w:ascii="Barlow Semi Condensed" w:cs="Barlow Semi Condensed" w:eastAsia="Barlow Semi Condensed" w:hAnsi="Barlow Semi Condensed"/>
          <w:sz w:val="24"/>
          <w:szCs w:val="24"/>
        </w:rPr>
        <w:t xml:space="preserve"> L'oro fu l'attivo meno sanzionabile del regime e la moneta d'investimento la sua forma più sanzionabile: il divieto colpì il krugerrand nel 1985 in America e in Europa, mentre il commercio del metallo non fu mai oggetto di misura obbligatoria. L'asimmetria va enunciata perché spiega da sola perché il regime resse sul piano valutario più a lungo di quanto si dica.</w:t>
      </w:r>
    </w:p>
    <w:p>
      <w:pPr>
        <w:spacing w:after="120" w:line="276"/>
        <w:jc w:val="both"/>
      </w:pPr>
      <w:r>
        <w:rPr>
          <w:rFonts w:ascii="Barlow Semi Condensed" w:cs="Barlow Semi Condensed" w:eastAsia="Barlow Semi Condensed" w:hAnsi="Barlow Semi Condensed"/>
          <w:b/>
          <w:bCs/>
          <w:sz w:val="24"/>
          <w:szCs w:val="24"/>
        </w:rPr>
        <w:t xml:space="preserve">446 · Un archivio chiuso per contenzioso.</w:t>
      </w:r>
      <w:r>
        <w:rPr>
          <w:rFonts w:ascii="Barlow Semi Condensed" w:cs="Barlow Semi Condensed" w:eastAsia="Barlow Semi Condensed" w:hAnsi="Barlow Semi Condensed"/>
          <w:sz w:val="24"/>
          <w:szCs w:val="24"/>
        </w:rPr>
        <w:t xml:space="preserve"> Le ricerche sulle relazioni finanziarie fra Svizzera e Sud Africa confluirono in un programma nazionale pubblicato nel 2005; l'accesso a determinati fascicoli federali fu ristretto mentre pendevano azioni civili all'estero. È un caso documentato di archivio chiuso per ragioni processuali, e va conosciuto prima di programmare: le sedi sono l'Archivio federale svizzero a Berna e l'apparato a stampa del programma.</w:t>
      </w:r>
    </w:p>
    <w:p>
      <w:pPr>
        <w:spacing w:after="120" w:line="276"/>
        <w:jc w:val="both"/>
      </w:pPr>
      <w:r>
        <w:rPr>
          <w:rFonts w:ascii="Barlow Semi Condensed" w:cs="Barlow Semi Condensed" w:eastAsia="Barlow Semi Condensed" w:hAnsi="Barlow Semi Condensed"/>
          <w:b/>
          <w:bCs/>
          <w:sz w:val="24"/>
          <w:szCs w:val="24"/>
        </w:rPr>
        <w:t xml:space="preserve">447 · Il petrolio non fu mai obbligo.</w:t>
      </w:r>
      <w:r>
        <w:rPr>
          <w:rFonts w:ascii="Barlow Semi Condensed" w:cs="Barlow Semi Condensed" w:eastAsia="Barlow Semi Condensed" w:hAnsi="Barlow Semi Condensed"/>
          <w:sz w:val="24"/>
          <w:szCs w:val="24"/>
        </w:rPr>
        <w:t xml:space="preserve"> Nessuna misura vincolante del Consiglio di Sicurezza colpì le forniture petrolifere; l'Assemblea Generale istituì invece un gruppo intergovernativo di monitoraggio, le cui relazioni elencano navi e date. Scambiare una raccomandazione assembleare per un obbligo di capitolo VII è l'errore giuridico più diffuso in questo campo, e cambia la qualificazione di ogni presunta violazione che vi si fondi.</w:t>
      </w:r>
    </w:p>
    <w:p>
      <w:pPr>
        <w:spacing w:after="120" w:line="276"/>
        <w:jc w:val="both"/>
      </w:pPr>
      <w:r>
        <w:rPr>
          <w:rFonts w:ascii="Barlow Semi Condensed" w:cs="Barlow Semi Condensed" w:eastAsia="Barlow Semi Condensed" w:hAnsi="Barlow Semi Condensed"/>
          <w:b/>
          <w:bCs/>
          <w:sz w:val="24"/>
          <w:szCs w:val="24"/>
        </w:rPr>
        <w:t xml:space="preserve">448 · Il bureau di Amsterdam.</w:t>
      </w:r>
      <w:r>
        <w:rPr>
          <w:rFonts w:ascii="Barlow Semi Condensed" w:cs="Barlow Semi Condensed" w:eastAsia="Barlow Semi Condensed" w:hAnsi="Barlow Semi Condensed"/>
          <w:sz w:val="24"/>
          <w:szCs w:val="24"/>
        </w:rPr>
        <w:t xml:space="preserve"> Fra il 1980 e il 1995 lo Shipping Research Bureau documentò nave per nave le consegne di greggio al Sud Africa, chiudendo con un volume a stampa nel 1995. Il suo archivio di lavoro è all'International Institute of Social History di Amsterdam ed è catalogato. È il deposito documentale più ricco esistente sull'aggiramento di un embargo, ed è a poche ore di treno da qui.</w:t>
      </w:r>
    </w:p>
    <w:p>
      <w:pPr>
        <w:spacing w:after="120" w:line="276"/>
        <w:jc w:val="both"/>
      </w:pPr>
      <w:r>
        <w:rPr>
          <w:rFonts w:ascii="Barlow Semi Condensed" w:cs="Barlow Semi Condensed" w:eastAsia="Barlow Semi Condensed" w:hAnsi="Barlow Semi Condensed"/>
          <w:b/>
          <w:bCs/>
          <w:sz w:val="24"/>
          <w:szCs w:val="24"/>
        </w:rPr>
        <w:t xml:space="preserve">449 · Una petroliera, un affondamento, una sentenza.</w:t>
      </w:r>
      <w:r>
        <w:rPr>
          <w:rFonts w:ascii="Barlow Semi Condensed" w:cs="Barlow Semi Condensed" w:eastAsia="Barlow Semi Condensed" w:hAnsi="Barlow Semi Condensed"/>
          <w:sz w:val="24"/>
          <w:szCs w:val="24"/>
        </w:rPr>
        <w:t xml:space="preserve"> Nel 1980 una petroliera scaricò il carico a Durban e fu poi affondata al largo dell'Africa occidentale; il contenzioso assicurativo che ne seguì risalì fino alla massima istanza inglese. Le sentenze sono raccolte a stampa e contengono accertamenti di fatto sulla consegna. Ecco che aspetto ha un aggiramento documentato: non un elenco di sospetti, un dispositivo con motivazione.</w:t>
      </w:r>
    </w:p>
    <w:p>
      <w:pPr>
        <w:spacing w:after="120" w:line="276"/>
        <w:jc w:val="both"/>
      </w:pPr>
      <w:r>
        <w:rPr>
          <w:rFonts w:ascii="Barlow Semi Condensed" w:cs="Barlow Semi Condensed" w:eastAsia="Barlow Semi Condensed" w:hAnsi="Barlow Semi Condensed"/>
          <w:b/>
          <w:bCs/>
          <w:sz w:val="24"/>
          <w:szCs w:val="24"/>
        </w:rPr>
        <w:t xml:space="preserve">450 · L'artiglieria e il Vermont.</w:t>
      </w:r>
      <w:r>
        <w:rPr>
          <w:rFonts w:ascii="Barlow Semi Condensed" w:cs="Barlow Semi Condensed" w:eastAsia="Barlow Semi Condensed" w:hAnsi="Barlow Semi Condensed"/>
          <w:sz w:val="24"/>
          <w:szCs w:val="24"/>
        </w:rPr>
        <w:t xml:space="preserve"> Gerald Bull, progettista di sistemi d'artiglieria, si dichiarò colpevole nel 1980 davanti alla corte distrettuale federale del Vermont per esportazione illecita verso il Sud Africa di tecnologia balistica, e scontò una pena detentiva. È la violazione dell'embargo da parte di un'impresa privata meglio stabilita in sede giudiziaria, e il fascicolo è un fascicolo di corte, non una ricostruzione giornalistica.</w:t>
      </w:r>
    </w:p>
    <w:p>
      <w:pPr>
        <w:spacing w:after="120" w:line="276"/>
        <w:jc w:val="both"/>
      </w:pPr>
      <w:r>
        <w:rPr>
          <w:rFonts w:ascii="Barlow Semi Condensed" w:cs="Barlow Semi Condensed" w:eastAsia="Barlow Semi Condensed" w:hAnsi="Barlow Semi Condensed"/>
          <w:b/>
          <w:bCs/>
          <w:sz w:val="24"/>
          <w:szCs w:val="24"/>
        </w:rPr>
        <w:t xml:space="preserve">451 · Che cosa quel caso non prova.</w:t>
      </w:r>
      <w:r>
        <w:rPr>
          <w:rFonts w:ascii="Barlow Semi Condensed" w:cs="Barlow Semi Condensed" w:eastAsia="Barlow Semi Condensed" w:hAnsi="Barlow Semi Condensed"/>
          <w:sz w:val="24"/>
          <w:szCs w:val="24"/>
        </w:rPr>
        <w:t xml:space="preserve"> Stabilisce la condotta delle persone e della società perseguite, sui capi ai quali si dichiararono colpevoli. Non stabilisce un sistema, non coinvolge i fornitori di componenti, non si estende a chi in seguito impiegò la stessa tecnologia in altri Paesi. L'aggiramento accertato riguarda chi ne fu giudicato e si ferma lì: è il vincolo che il committente ha posto a questa serie.</w:t>
      </w:r>
    </w:p>
    <w:p>
      <w:pPr>
        <w:spacing w:after="120" w:line="276"/>
        <w:jc w:val="both"/>
      </w:pPr>
      <w:r>
        <w:rPr>
          <w:rFonts w:ascii="Barlow Semi Condensed" w:cs="Barlow Semi Condensed" w:eastAsia="Barlow Semi Condensed" w:hAnsi="Barlow Semi Condensed"/>
          <w:b/>
          <w:bCs/>
          <w:sz w:val="24"/>
          <w:szCs w:val="24"/>
        </w:rPr>
        <w:t xml:space="preserve">452 · L'incriminazione della corporazione degli armamenti.</w:t>
      </w:r>
      <w:r>
        <w:rPr>
          <w:rFonts w:ascii="Barlow Semi Condensed" w:cs="Barlow Semi Condensed" w:eastAsia="Barlow Semi Condensed" w:hAnsi="Barlow Semi Condensed"/>
          <w:sz w:val="24"/>
          <w:szCs w:val="24"/>
        </w:rPr>
        <w:t xml:space="preserve"> Nel 1991 un gran giurì federale del distretto orientale della Pennsylvania emise un atto d'accusa contro la corporazione statale sudafricana degli armamenti e alcune persone fisiche, per associazione finalizzata a procurarsi tecnologia militare americana. Bersaglio: acquisire il ruolo e l'esito. Un'incriminazione è un'accusa, e l'esito è un documento distinto che va cercato separatamente e citato accanto.</w:t>
      </w:r>
    </w:p>
    <w:p>
      <w:pPr>
        <w:spacing w:after="120" w:line="276"/>
        <w:jc w:val="both"/>
      </w:pPr>
      <w:r>
        <w:rPr>
          <w:rFonts w:ascii="Barlow Semi Condensed" w:cs="Barlow Semi Condensed" w:eastAsia="Barlow Semi Condensed" w:hAnsi="Barlow Semi Condensed"/>
          <w:b/>
          <w:bCs/>
          <w:sz w:val="24"/>
          <w:szCs w:val="24"/>
        </w:rPr>
        <w:t xml:space="preserve">453 · Accusa ed esito vanno sempre insieme.</w:t>
      </w:r>
      <w:r>
        <w:rPr>
          <w:rFonts w:ascii="Barlow Semi Condensed" w:cs="Barlow Semi Condensed" w:eastAsia="Barlow Semi Condensed" w:hAnsi="Barlow Semi Condensed"/>
          <w:sz w:val="24"/>
          <w:szCs w:val="24"/>
        </w:rPr>
        <w:t xml:space="preserve"> Un rinvio a giudizio non è una sentenza; una declaratoria di difetto di giurisdizione non è un'assoluzione nel merito; un'assoluzione chiude la questione per quest'opera. Ogni voce giudiziaria di questa serie porta il proprio esito accanto al proprio capo d'imputazione, e dove l'esito non è noto lo si scrive. Nessuna eccezione, nemmeno quando l'esito indebolisce il racconto.</w:t>
      </w:r>
    </w:p>
    <w:p>
      <w:pPr>
        <w:spacing w:after="120" w:line="276"/>
        <w:jc w:val="both"/>
      </w:pPr>
      <w:r>
        <w:rPr>
          <w:rFonts w:ascii="Barlow Semi Condensed" w:cs="Barlow Semi Condensed" w:eastAsia="Barlow Semi Condensed" w:hAnsi="Barlow Semi Condensed"/>
          <w:b/>
          <w:bCs/>
          <w:sz w:val="24"/>
          <w:szCs w:val="24"/>
        </w:rPr>
        <w:t xml:space="preserve">454 · Gli imputati britannici fuggiti prima del processo.</w:t>
      </w:r>
      <w:r>
        <w:rPr>
          <w:rFonts w:ascii="Barlow Semi Condensed" w:cs="Barlow Semi Condensed" w:eastAsia="Barlow Semi Condensed" w:hAnsi="Barlow Semi Condensed"/>
          <w:sz w:val="24"/>
          <w:szCs w:val="24"/>
        </w:rPr>
        <w:t xml:space="preserve"> A metà degli anni Ottanta alcuni dirigenti britannici furono perseguiti per esportazione di materiale sotto embargo verso il Sud Africa e lasciarono il Paese prima del dibattimento, provocando un incidente diplomatico. I resoconti in rete divergono su nomi, capi d'accusa e date. Non si ripetono: si acquisiscono prima il fascicolo di corte e le dichiarazioni ministeriali nei resoconti di Hansard.</w:t>
      </w:r>
    </w:p>
    <w:p>
      <w:pPr>
        <w:spacing w:after="120" w:line="276"/>
        <w:jc w:val="both"/>
      </w:pPr>
      <w:r>
        <w:rPr>
          <w:rFonts w:ascii="Barlow Semi Condensed" w:cs="Barlow Semi Condensed" w:eastAsia="Barlow Semi Condensed" w:hAnsi="Barlow Semi Condensed"/>
          <w:b/>
          <w:bCs/>
          <w:sz w:val="24"/>
          <w:szCs w:val="24"/>
        </w:rPr>
        <w:t xml:space="preserve">455 · Le Seychelles, novembre 1981.</w:t>
      </w:r>
      <w:r>
        <w:rPr>
          <w:rFonts w:ascii="Barlow Semi Condensed" w:cs="Barlow Semi Condensed" w:eastAsia="Barlow Semi Condensed" w:hAnsi="Barlow Semi Condensed"/>
          <w:sz w:val="24"/>
          <w:szCs w:val="24"/>
        </w:rPr>
        <w:t xml:space="preserve"> Dopo lo sbarco fallito di mercenari il Consiglio di Sicurezza istituì una commissione d'inchiesta e in Sud Africa seguirono processi con condanne. È uno dei pochi episodi del periodo dotato insieme di un rapporto d'inchiesta delle Nazioni Unite e di pronunce penali. Le sedi sono i documenti del Consiglio e le raccolte di giurisprudenza sudafricane, entrambe citabili con precisione.</w:t>
      </w:r>
    </w:p>
    <w:p>
      <w:pPr>
        <w:spacing w:after="120" w:line="276"/>
        <w:jc w:val="both"/>
      </w:pPr>
      <w:r>
        <w:rPr>
          <w:rFonts w:ascii="Barlow Semi Condensed" w:cs="Barlow Semi Condensed" w:eastAsia="Barlow Semi Condensed" w:hAnsi="Barlow Semi Condensed"/>
          <w:b/>
          <w:bCs/>
          <w:sz w:val="24"/>
          <w:szCs w:val="24"/>
        </w:rPr>
        <w:t xml:space="preserve">456 · Le commissioni d'inchiesta sudafricane.</w:t>
      </w:r>
      <w:r>
        <w:rPr>
          <w:rFonts w:ascii="Barlow Semi Condensed" w:cs="Barlow Semi Condensed" w:eastAsia="Barlow Semi Condensed" w:hAnsi="Barlow Semi Condensed"/>
          <w:sz w:val="24"/>
          <w:szCs w:val="24"/>
        </w:rPr>
        <w:t xml:space="preserve"> Le operazioni segrete di propaganda finanziate con fondi pubblici furono esaminate da una commissione d'inchiesta i cui rapporti furono depositati in Parlamento fra il 1978 e il 1979; un alto funzionario fu condannato e successivamente assolto in appello. Entrambe le metà si riportano. La seconda viene quasi sempre omessa, e l'omissione rende falso il resoconto per intero.</w:t>
      </w:r>
    </w:p>
    <w:p>
      <w:pPr>
        <w:spacing w:after="120" w:line="276"/>
        <w:jc w:val="both"/>
      </w:pPr>
      <w:r>
        <w:rPr>
          <w:rFonts w:ascii="Barlow Semi Condensed" w:cs="Barlow Semi Condensed" w:eastAsia="Barlow Semi Condensed" w:hAnsi="Barlow Semi Condensed"/>
          <w:b/>
          <w:bCs/>
          <w:sz w:val="24"/>
          <w:szCs w:val="24"/>
        </w:rPr>
        <w:t xml:space="preserve">457 · La causa civile americana.</w:t>
      </w:r>
      <w:r>
        <w:rPr>
          <w:rFonts w:ascii="Barlow Semi Condensed" w:cs="Barlow Semi Condensed" w:eastAsia="Barlow Semi Condensed" w:hAnsi="Barlow Semi Condensed"/>
          <w:sz w:val="24"/>
          <w:szCs w:val="24"/>
        </w:rPr>
        <w:t xml:space="preserve"> Le domande risarcitorie contro imprese, fondate sullo statuto sugli illeciti internazionali, furono riunite davanti alla corte del distretto meridionale di New York e, dopo che nel 2013 la Corte Suprema restrinse la portata extraterritoriale di quello statuto, respinte in appello. Nessuna responsabilità d'impresa fu accertata. Il rigetto è un fatto processuale e non può essere citato né come colpa né come innocenza.</w:t>
      </w:r>
    </w:p>
    <w:p>
      <w:pPr>
        <w:spacing w:after="120" w:line="276"/>
        <w:jc w:val="both"/>
      </w:pPr>
      <w:r>
        <w:rPr>
          <w:rFonts w:ascii="Barlow Semi Condensed" w:cs="Barlow Semi Condensed" w:eastAsia="Barlow Semi Condensed" w:hAnsi="Barlow Semi Condensed"/>
          <w:b/>
          <w:bCs/>
          <w:sz w:val="24"/>
          <w:szCs w:val="24"/>
        </w:rPr>
        <w:t xml:space="preserve">458 · Le audizioni sulle imprese del 1997.</w:t>
      </w:r>
      <w:r>
        <w:rPr>
          <w:rFonts w:ascii="Barlow Semi Condensed" w:cs="Barlow Semi Condensed" w:eastAsia="Barlow Semi Condensed" w:hAnsi="Barlow Semi Condensed"/>
          <w:sz w:val="24"/>
          <w:szCs w:val="24"/>
        </w:rPr>
        <w:t xml:space="preserve"> La Truth and Reconciliation Commission tenne a Johannesburg, nel novembre 1997, audizioni istituzionali dedicate al mondo economico, e ne trasse conclusioni nel proprio rapporto. Sono conclusioni di una commissione, non di un tribunale, e il rapporto stesso lo dichiara. Lo strato primario sono le memorie depositate e le trascrizioni, che portano data e nome del deponente.</w:t>
      </w:r>
    </w:p>
    <w:p>
      <w:pPr>
        <w:spacing w:after="120" w:line="276"/>
        <w:jc w:val="both"/>
      </w:pPr>
      <w:r>
        <w:rPr>
          <w:rFonts w:ascii="Barlow Semi Condensed" w:cs="Barlow Semi Condensed" w:eastAsia="Barlow Semi Condensed" w:hAnsi="Barlow Semi Condensed"/>
          <w:b/>
          <w:bCs/>
          <w:sz w:val="24"/>
          <w:szCs w:val="24"/>
        </w:rPr>
        <w:t xml:space="preserve">459 · Chi custodisce le carte della Commissione.</w:t>
      </w:r>
      <w:r>
        <w:rPr>
          <w:rFonts w:ascii="Barlow Semi Condensed" w:cs="Barlow Semi Condensed" w:eastAsia="Barlow Semi Condensed" w:hAnsi="Barlow Semi Condensed"/>
          <w:sz w:val="24"/>
          <w:szCs w:val="24"/>
        </w:rPr>
        <w:t xml:space="preserve"> Gli atti della Commissione passarono ai National Archives of South Africa a Pretoria, e l'accesso a parti di essi è stato oggetto di contenzioso promosso dal South African History Archive presso l'Università del Witwatersrand in forza della legge sull'accesso all'informazione. Conservazione e contenzioso vanno conosciuti entrambi prima di promettere a chicchessia un documento di quel fondo.</w:t>
      </w:r>
    </w:p>
    <w:p>
      <w:pPr>
        <w:spacing w:after="120" w:line="276"/>
        <w:jc w:val="both"/>
      </w:pPr>
      <w:r>
        <w:rPr>
          <w:rFonts w:ascii="Barlow Semi Condensed" w:cs="Barlow Semi Condensed" w:eastAsia="Barlow Semi Condensed" w:hAnsi="Barlow Semi Condensed"/>
          <w:b/>
          <w:bCs/>
          <w:sz w:val="24"/>
          <w:szCs w:val="24"/>
        </w:rPr>
        <w:t xml:space="preserve">460 · Le sedi sudafricane in ordine di costo.</w:t>
      </w:r>
      <w:r>
        <w:rPr>
          <w:rFonts w:ascii="Barlow Semi Condensed" w:cs="Barlow Semi Condensed" w:eastAsia="Barlow Semi Condensed" w:hAnsi="Barlow Semi Condensed"/>
          <w:sz w:val="24"/>
          <w:szCs w:val="24"/>
        </w:rPr>
        <w:t xml:space="preserve"> National Archives of South Africa a Pretoria per gli atti statali; il centro di documentazione del Dipartimento della Difesa per le carte militari e di leva; Historical Papers alla Witwatersrand per gli archivi dei movimenti; i Mayibuye Archives all'Università del Western Cape per il fondo internazionale di difesa e assistenza. Nessuna di queste sedi è interrogabile da un motore di ricerca.</w:t>
      </w:r>
    </w:p>
    <w:p>
      <w:pPr>
        <w:spacing w:after="120" w:line="276"/>
        <w:jc w:val="both"/>
      </w:pPr>
      <w:r>
        <w:rPr>
          <w:rFonts w:ascii="Barlow Semi Condensed" w:cs="Barlow Semi Condensed" w:eastAsia="Barlow Semi Condensed" w:hAnsi="Barlow Semi Condensed"/>
          <w:b/>
          <w:bCs/>
          <w:sz w:val="24"/>
          <w:szCs w:val="24"/>
        </w:rPr>
        <w:t xml:space="preserve">461 · Il registro delle imprese, fonte primaria trascurata.</w:t>
      </w:r>
      <w:r>
        <w:rPr>
          <w:rFonts w:ascii="Barlow Semi Condensed" w:cs="Barlow Semi Condensed" w:eastAsia="Barlow Semi Condensed" w:hAnsi="Barlow Semi Condensed"/>
          <w:sz w:val="24"/>
          <w:szCs w:val="24"/>
        </w:rPr>
        <w:t xml:space="preserve"> In Sud Africa i fatti societari si accertano alla Companies and Intellectual Property Commission di Pretoria, succeduta al registro delle società; in Namibia presso BIPA a Windhoek; nel Regno Unito a Companies House. I depositi sono la sola fonte primaria a basso costo di tutto questo campo, e sono sistematicamente ignorati sia da chi accusa sia da chi difende.</w:t>
      </w:r>
    </w:p>
    <w:p>
      <w:pPr>
        <w:spacing w:after="120" w:line="276"/>
        <w:jc w:val="both"/>
      </w:pPr>
      <w:r>
        <w:rPr>
          <w:rFonts w:ascii="Barlow Semi Condensed" w:cs="Barlow Semi Condensed" w:eastAsia="Barlow Semi Condensed" w:hAnsi="Barlow Semi Condensed"/>
          <w:b/>
          <w:bCs/>
          <w:sz w:val="24"/>
          <w:szCs w:val="24"/>
        </w:rPr>
        <w:t xml:space="preserve">462 · La leva obbligatoria come dato normativo.</w:t>
      </w:r>
      <w:r>
        <w:rPr>
          <w:rFonts w:ascii="Barlow Semi Condensed" w:cs="Barlow Semi Condensed" w:eastAsia="Barlow Semi Condensed" w:hAnsi="Barlow Semi Condensed"/>
          <w:sz w:val="24"/>
          <w:szCs w:val="24"/>
        </w:rPr>
        <w:t xml:space="preserve"> Il servizio militare obbligatorio per i maschi bianchi era legge, e il suo prolungamento negli anni Ottanta suscitò un movimento organizzato di renitenza. Chi lasciò il Paese in quegli anni lasciava anche un obbligo giuridico, quali che fossero le sue ragioni. Le carte sono al centro di documentazione della Difesa a Pretoria e, per il movimento, alla Witwatersrand.</w:t>
      </w:r>
    </w:p>
    <w:p>
      <w:pPr>
        <w:spacing w:after="120" w:line="276"/>
        <w:jc w:val="both"/>
      </w:pPr>
      <w:r>
        <w:rPr>
          <w:rFonts w:ascii="Barlow Semi Condensed" w:cs="Barlow Semi Condensed" w:eastAsia="Barlow Semi Condensed" w:hAnsi="Barlow Semi Condensed"/>
          <w:b/>
          <w:bCs/>
          <w:sz w:val="24"/>
          <w:szCs w:val="24"/>
        </w:rPr>
        <w:t xml:space="preserve">463 · Le dichiarazioni pubbliche sui motivi di partenza.</w:t>
      </w:r>
      <w:r>
        <w:rPr>
          <w:rFonts w:ascii="Barlow Semi Condensed" w:cs="Barlow Semi Condensed" w:eastAsia="Barlow Semi Condensed" w:hAnsi="Barlow Semi Condensed"/>
          <w:sz w:val="24"/>
          <w:szCs w:val="24"/>
        </w:rPr>
        <w:t xml:space="preserve"> Dove una persona vivente ha dichiarato pubblicamente perché emigrò, quest'opera registra la dichiarazione, la sua data e la sede in cui fu resa, e nulla oltre. Un movente dichiarato è un dato su un'affermazione, non su una mente. Non viene confermato né contraddetto dall'obbligo di legge allora vigente, che è fatto separato e va enunciato separatamente.</w:t>
      </w:r>
    </w:p>
    <w:p>
      <w:pPr>
        <w:spacing w:after="120" w:line="276"/>
        <w:jc w:val="both"/>
      </w:pPr>
      <w:r>
        <w:rPr>
          <w:rFonts w:ascii="Barlow Semi Condensed" w:cs="Barlow Semi Condensed" w:eastAsia="Barlow Semi Condensed" w:hAnsi="Barlow Semi Condensed"/>
          <w:b/>
          <w:bCs/>
          <w:sz w:val="24"/>
          <w:szCs w:val="24"/>
        </w:rPr>
        <w:t xml:space="preserve">464 · Il registro dei titoli minerari zambiani.</w:t>
      </w:r>
      <w:r>
        <w:rPr>
          <w:rFonts w:ascii="Barlow Semi Condensed" w:cs="Barlow Semi Condensed" w:eastAsia="Barlow Semi Condensed" w:hAnsi="Barlow Semi Condensed"/>
          <w:sz w:val="24"/>
          <w:szCs w:val="24"/>
        </w:rPr>
        <w:t xml:space="preserve"> La controversia si chiude in una sola sede: il catasto minerario del ministero competente a Lusaka e i registri corrispondenti delle amministrazioni coloniale e post-coloniale. Il padre rivendica un'attività informale, il figlio ha negato pubblicamente l'esistenza di una miniera, il biografo descrive un acquisto di pietre grezze: divergenza da riportare, non da sciogliere. Se nessun titolo risulta intestato, il negativo chiude la proprietà e lascia aperto il commercio.</w:t>
      </w:r>
    </w:p>
    <w:p>
      <w:pPr>
        <w:spacing w:after="120" w:line="276"/>
        <w:jc w:val="both"/>
      </w:pPr>
      <w:r>
        <w:rPr>
          <w:rFonts w:ascii="Barlow Semi Condensed" w:cs="Barlow Semi Condensed" w:eastAsia="Barlow Semi Condensed" w:hAnsi="Barlow Semi Condensed"/>
          <w:b/>
          <w:bCs/>
          <w:sz w:val="24"/>
          <w:szCs w:val="24"/>
        </w:rPr>
        <w:t xml:space="preserve">465 · Una frontiera fra due regimi opposti.</w:t>
      </w:r>
      <w:r>
        <w:rPr>
          <w:rFonts w:ascii="Barlow Semi Condensed" w:cs="Barlow Semi Condensed" w:eastAsia="Barlow Semi Condensed" w:hAnsi="Barlow Semi Condensed"/>
          <w:sz w:val="24"/>
          <w:szCs w:val="24"/>
        </w:rPr>
        <w:t xml:space="preserve"> Lo Zambia era Stato di prima linea e proclamava un proprio boicottaggio verso Pretoria. Qualunque traffico di pietre attraverso quella frontiera in quegli anni è dunque una domanda che riguarda due regimi insieme, non uno solo. È una buona domanda ed è aperta; non è un'accusa, e allo stato nessun documento vi nomina una parte.</w:t>
      </w:r>
    </w:p>
    <w:p>
      <w:pPr>
        <w:spacing w:after="120" w:line="276"/>
        <w:jc w:val="both"/>
      </w:pPr>
      <w:r>
        <w:rPr>
          <w:rFonts w:ascii="Barlow Semi Condensed" w:cs="Barlow Semi Condensed" w:eastAsia="Barlow Semi Condensed" w:hAnsi="Barlow Semi Condensed"/>
          <w:b/>
          <w:bCs/>
          <w:sz w:val="24"/>
          <w:szCs w:val="24"/>
        </w:rPr>
        <w:t xml:space="preserve">466 · Il memorandum del 1969.</w:t>
      </w:r>
      <w:r>
        <w:rPr>
          <w:rFonts w:ascii="Barlow Semi Condensed" w:cs="Barlow Semi Condensed" w:eastAsia="Barlow Semi Condensed" w:hAnsi="Barlow Semi Condensed"/>
          <w:sz w:val="24"/>
          <w:szCs w:val="24"/>
        </w:rPr>
        <w:t xml:space="preserve"> Lo studio americano sulla politica verso l'Africa australe del 1969 e il memorandum decisionale che ne seguì sono pubblicati nella serie documentaria diplomatica. L'opera in mille blocchi su Kissinger non tratta l'Africa australe in alcun punto: verifica meccanica eseguita, zero occorrenze. La lacuna si misura prima di essere interpretata, secondo la regola che quell'opera si è data al blocco 642.</w:t>
      </w:r>
    </w:p>
    <w:p>
      <w:pPr>
        <w:spacing w:after="120" w:line="276"/>
        <w:jc w:val="both"/>
      </w:pPr>
      <w:r>
        <w:rPr>
          <w:rFonts w:ascii="Barlow Semi Condensed" w:cs="Barlow Semi Condensed" w:eastAsia="Barlow Semi Condensed" w:hAnsi="Barlow Semi Condensed"/>
          <w:b/>
          <w:bCs/>
          <w:sz w:val="24"/>
          <w:szCs w:val="24"/>
        </w:rPr>
        <w:t xml:space="preserve">467 · Perché quel buco non è una scoperta.</w:t>
      </w:r>
      <w:r>
        <w:rPr>
          <w:rFonts w:ascii="Barlow Semi Condensed" w:cs="Barlow Semi Condensed" w:eastAsia="Barlow Semi Condensed" w:hAnsi="Barlow Semi Condensed"/>
          <w:sz w:val="24"/>
          <w:szCs w:val="24"/>
        </w:rPr>
        <w:t xml:space="preserve"> Applicando la procedura a due tempi, l'assenza dell'Africa australe dalle opere anteriori si diagnostica anzitutto come specializzazione delle fonti: quelle opere furono costruite su carte italiane e atlantiche relative a un solo caso giudiziario. Solo dopo la diagnosi si è autorizzati a interrogare il silenzio sulla struttura del mondo. Saltare il primo tempo trasforma una lacuna bibliografica in una rivelazione.</w:t>
      </w:r>
    </w:p>
    <w:p>
      <w:pPr>
        <w:spacing w:after="120" w:line="276"/>
        <w:jc w:val="both"/>
      </w:pPr>
      <w:r>
        <w:rPr>
          <w:rFonts w:ascii="Barlow Semi Condensed" w:cs="Barlow Semi Condensed" w:eastAsia="Barlow Semi Condensed" w:hAnsi="Barlow Semi Condensed"/>
          <w:b/>
          <w:bCs/>
          <w:sz w:val="24"/>
          <w:szCs w:val="24"/>
        </w:rPr>
        <w:t xml:space="preserve">468 · Bersaglio di smentita sul versante sanzionatorio.</w:t>
      </w:r>
      <w:r>
        <w:rPr>
          <w:rFonts w:ascii="Barlow Semi Condensed" w:cs="Barlow Semi Condensed" w:eastAsia="Barlow Semi Condensed" w:hAnsi="Barlow Semi Condensed"/>
          <w:sz w:val="24"/>
          <w:szCs w:val="24"/>
        </w:rPr>
        <w:t xml:space="preserve"> Che cosa falsificherebbe qui la tesi di continuità: un documento di provenienza che mostri una persona nominata in quest'opera agire, in quegli anni, contro l'aggiramento dell'embargo; oppure, in senso opposto, un atto che la nomini come parte di un aggiramento accertato. L'uno o l'altro sarebbero decisivi, e allo stato nessuno dei due risulta acquisito ad alcun fascicolo.</w:t>
      </w:r>
    </w:p>
    <w:p>
      <w:pPr>
        <w:spacing w:after="120" w:line="276"/>
        <w:jc w:val="both"/>
      </w:pPr>
      <w:r>
        <w:rPr>
          <w:rFonts w:ascii="Barlow Semi Condensed" w:cs="Barlow Semi Condensed" w:eastAsia="Barlow Semi Condensed" w:hAnsi="Barlow Semi Condensed"/>
          <w:b/>
          <w:bCs/>
          <w:sz w:val="24"/>
          <w:szCs w:val="24"/>
        </w:rPr>
        <w:t xml:space="preserve">469 · Bersaglio di smentita sul versante del metodo.</w:t>
      </w:r>
      <w:r>
        <w:rPr>
          <w:rFonts w:ascii="Barlow Semi Condensed" w:cs="Barlow Semi Condensed" w:eastAsia="Barlow Semi Condensed" w:hAnsi="Barlow Semi Condensed"/>
          <w:sz w:val="24"/>
          <w:szCs w:val="24"/>
        </w:rPr>
        <w:t xml:space="preserve"> Questa serie cade se una sola delle sue voci giudiziarie risulta avere un esito diverso da quello qui registrato, oppure se una misura descritta come vincolante si rivela una raccomandazione. Entrambe le verifiche si compiono su testi pubblicati, da parte di qualunque lettore, nello spazio di un pomeriggio: ed è esattamente per questo che sono scritte così.</w:t>
      </w:r>
    </w:p>
    <w:p>
      <w:pPr>
        <w:spacing w:after="120" w:line="276"/>
        <w:jc w:val="both"/>
      </w:pPr>
      <w:r>
        <w:rPr>
          <w:rFonts w:ascii="Barlow Semi Condensed" w:cs="Barlow Semi Condensed" w:eastAsia="Barlow Semi Condensed" w:hAnsi="Barlow Semi Condensed"/>
          <w:b/>
          <w:bCs/>
          <w:sz w:val="24"/>
          <w:szCs w:val="24"/>
        </w:rPr>
        <w:t xml:space="preserve">470 · Il perimetro chiuso della serie.</w:t>
      </w:r>
      <w:r>
        <w:rPr>
          <w:rFonts w:ascii="Barlow Semi Condensed" w:cs="Barlow Semi Condensed" w:eastAsia="Barlow Semi Condensed" w:hAnsi="Barlow Semi Condensed"/>
          <w:sz w:val="24"/>
          <w:szCs w:val="24"/>
        </w:rPr>
        <w:t xml:space="preserve"> L'aggiramento accertato vincola gli enti e le persone che ne furono giudicati, e si ferma lì. Nessun blocco estende un giudicato a un connazionale, a un datore di lavoro, a una scuola o a una famiglia; nessuna delle persone viventi nominate in quest'opera risulta condannata in relazione a questi fatti. L'embargo è un fatto sugli Stati; la colpa è un fatto sulle sentenze.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settima — Le rotte: emigrazioni, visti, cittadinanze</w:t>
      </w:r>
    </w:p>
    <w:p>
      <w:pPr>
        <w:spacing w:after="120" w:line="276"/>
        <w:jc w:val="both"/>
      </w:pPr>
      <w:r>
        <w:rPr>
          <w:rFonts w:ascii="Barlow Semi Condensed" w:cs="Barlow Semi Condensed" w:eastAsia="Barlow Semi Condensed" w:hAnsi="Barlow Semi Condensed"/>
          <w:i/>
          <w:iCs/>
          <w:sz w:val="24"/>
          <w:szCs w:val="24"/>
        </w:rPr>
        <w:t xml:space="preserve">Blocchi 471-540.</w:t>
      </w:r>
    </w:p>
    <w:p>
      <w:pPr>
        <w:spacing w:after="120" w:line="276"/>
        <w:jc w:val="both"/>
      </w:pPr>
      <w:r>
        <w:rPr>
          <w:rFonts w:ascii="Barlow Semi Condensed" w:cs="Barlow Semi Condensed" w:eastAsia="Barlow Semi Condensed" w:hAnsi="Barlow Semi Condensed"/>
          <w:b/>
          <w:bCs/>
          <w:sz w:val="24"/>
          <w:szCs w:val="24"/>
        </w:rPr>
        <w:t xml:space="preserve">471 · Che cosa misura questa serie.</w:t>
      </w:r>
      <w:r>
        <w:rPr>
          <w:rFonts w:ascii="Barlow Semi Condensed" w:cs="Barlow Semi Condensed" w:eastAsia="Barlow Semi Condensed" w:hAnsi="Barlow Semi Condensed"/>
          <w:sz w:val="24"/>
          <w:szCs w:val="24"/>
        </w:rPr>
        <w:t xml:space="preserve"> La settima serie non racconta viaggi: misura atti amministrativi. Per ogni spostamento rilevante si chiede quale ufficio abbia prodotto quale carta, in quale data, sotto quale norma. Ciò che un intervistato ricorda resta dichiarazione pubblica e si registra come tale; ciò che un registro attesta è documento. I due piani non si sommano, e la serie li tiene su righe separate dal primo blocco all'ultimo.</w:t>
      </w:r>
    </w:p>
    <w:p>
      <w:pPr>
        <w:spacing w:after="120" w:line="276"/>
        <w:jc w:val="both"/>
      </w:pPr>
      <w:r>
        <w:rPr>
          <w:rFonts w:ascii="Barlow Semi Condensed" w:cs="Barlow Semi Condensed" w:eastAsia="Barlow Semi Condensed" w:hAnsi="Barlow Semi Condensed"/>
          <w:b/>
          <w:bCs/>
          <w:sz w:val="24"/>
          <w:szCs w:val="24"/>
        </w:rPr>
        <w:t xml:space="preserve">472 · Documento contro racconto, regola operativa.</w:t>
      </w:r>
      <w:r>
        <w:rPr>
          <w:rFonts w:ascii="Barlow Semi Condensed" w:cs="Barlow Semi Condensed" w:eastAsia="Barlow Semi Condensed" w:hAnsi="Barlow Semi Condensed"/>
          <w:sz w:val="24"/>
          <w:szCs w:val="24"/>
        </w:rPr>
        <w:t xml:space="preserve"> Una rotta migratoria lascia due tracce di natura diversa. La prima è il ricordo: interviste, memorie, biografie autorizzate, dichiarazioni rese in pubblico. La seconda è la pratica: modulo, protocollo, timbro, numero di fascicolo. La prima è abbondante e circola; la seconda è scarsa e sta in un ufficio. Quando le due divergono, questa serie riporta entrambe e non sceglie, applicando al materiale migratorio la disciplina dei gradi che il manuale investigativo fissa al blocco 4.</w:t>
      </w:r>
    </w:p>
    <w:p>
      <w:pPr>
        <w:spacing w:after="120" w:line="276"/>
        <w:jc w:val="both"/>
      </w:pPr>
      <w:r>
        <w:rPr>
          <w:rFonts w:ascii="Barlow Semi Condensed" w:cs="Barlow Semi Condensed" w:eastAsia="Barlow Semi Condensed" w:hAnsi="Barlow Semi Condensed"/>
          <w:b/>
          <w:bCs/>
          <w:sz w:val="24"/>
          <w:szCs w:val="24"/>
        </w:rPr>
        <w:t xml:space="preserve">473 · Nominare la sede, sempre.</w:t>
      </w:r>
      <w:r>
        <w:rPr>
          <w:rFonts w:ascii="Barlow Semi Condensed" w:cs="Barlow Semi Condensed" w:eastAsia="Barlow Semi Condensed" w:hAnsi="Barlow Semi Condensed"/>
          <w:sz w:val="24"/>
          <w:szCs w:val="24"/>
        </w:rPr>
        <w:t xml:space="preserve"> Nessun quesito di questa serie è ammesso se non indica l'ufficio che potrebbe chiuderlo. Non basta scrivere che una data è incerta: occorre dire che a scioglierla sarebbe il registro delle immatricolazioni di un ateneo determinato, o il fascicolo di un'agenzia federale, o il libro dei permessi di un'amministrazione coloniale. Un quesito senza indirizzo non è un bersaglio: è un'insinuazione con punto interrogativo, e va respinto.</w:t>
      </w:r>
    </w:p>
    <w:p>
      <w:pPr>
        <w:spacing w:after="120" w:line="276"/>
        <w:jc w:val="both"/>
      </w:pPr>
      <w:r>
        <w:rPr>
          <w:rFonts w:ascii="Barlow Semi Condensed" w:cs="Barlow Semi Condensed" w:eastAsia="Barlow Semi Condensed" w:hAnsi="Barlow Semi Condensed"/>
          <w:b/>
          <w:bCs/>
          <w:sz w:val="24"/>
          <w:szCs w:val="24"/>
        </w:rPr>
        <w:t xml:space="preserve">474 · Il muro del Privacy Act.</w:t>
      </w:r>
      <w:r>
        <w:rPr>
          <w:rFonts w:ascii="Barlow Semi Condensed" w:cs="Barlow Semi Condensed" w:eastAsia="Barlow Semi Condensed" w:hAnsi="Barlow Semi Condensed"/>
          <w:sz w:val="24"/>
          <w:szCs w:val="24"/>
        </w:rPr>
        <w:t xml:space="preserve"> Va detto subito, perché ridisegna l'intera serie. Negli Stati Uniti il fascicolo d'immigrazione di una persona vivente non si ottiene per accesso agli atti da parte di un terzo: la legge sulla riservatezza lo protegge, e la richiesta va accompagnata dal consenso scritto dell'interessato sul modulo G-639. Chiunque prometta di aver letto il fascicolo di un vivente senza quel consenso sta descrivendo un documento che non poteva avere.</w:t>
      </w:r>
    </w:p>
    <w:p>
      <w:pPr>
        <w:spacing w:after="120" w:line="276"/>
        <w:jc w:val="both"/>
      </w:pPr>
      <w:r>
        <w:rPr>
          <w:rFonts w:ascii="Barlow Semi Condensed" w:cs="Barlow Semi Condensed" w:eastAsia="Barlow Semi Condensed" w:hAnsi="Barlow Semi Condensed"/>
          <w:b/>
          <w:bCs/>
          <w:sz w:val="24"/>
          <w:szCs w:val="24"/>
        </w:rPr>
        <w:t xml:space="preserve">475 · Che cosa l'accesso concede davvero.</w:t>
      </w:r>
      <w:r>
        <w:rPr>
          <w:rFonts w:ascii="Barlow Semi Condensed" w:cs="Barlow Semi Condensed" w:eastAsia="Barlow Semi Condensed" w:hAnsi="Barlow Semi Condensed"/>
          <w:sz w:val="24"/>
          <w:szCs w:val="24"/>
        </w:rPr>
        <w:t xml:space="preserve"> Ciò che resta accessibile è però considerevole e va usato. Il programma genealogico dell'USCIS rilascia indici e copie per persone decedute o nate oltre un secolo fa; le pratiche di registrazione degli stranieri e i fascicoli di naturalizzazione più antichi sono consultabili. Per i nonni e i bisnonni delle persone nominate in quest'opera la strada esiste; per i figli viventi no. La serie lavora dove la porta è aperta.</w:t>
      </w:r>
    </w:p>
    <w:p>
      <w:pPr>
        <w:spacing w:after="120" w:line="276"/>
        <w:jc w:val="both"/>
      </w:pPr>
      <w:r>
        <w:rPr>
          <w:rFonts w:ascii="Barlow Semi Condensed" w:cs="Barlow Semi Condensed" w:eastAsia="Barlow Semi Condensed" w:hAnsi="Barlow Semi Condensed"/>
          <w:b/>
          <w:bCs/>
          <w:sz w:val="24"/>
          <w:szCs w:val="24"/>
        </w:rPr>
        <w:t xml:space="preserve">476 · I fascicoli A a Kansas City.</w:t>
      </w:r>
      <w:r>
        <w:rPr>
          <w:rFonts w:ascii="Barlow Semi Condensed" w:cs="Barlow Semi Condensed" w:eastAsia="Barlow Semi Condensed" w:hAnsi="Barlow Semi Condensed"/>
          <w:sz w:val="24"/>
          <w:szCs w:val="24"/>
        </w:rPr>
        <w:t xml:space="preserve"> Gli Alien Files, i fascicoli individuali che l'amministrazione statunitense apre su ogni straniero registrato, non restano per sempre all'agenzia: passano ai National Archives, e la sede che li conserva è quella di Kansas City. Il criterio di trasferimento è anagrafico e non discrezionale. Per Joshua Norman Haldeman, nato nel 1902, il termine è ampiamente maturato: se un fascicolo esiste, è materia d'archivio pubblico e non di segreto.</w:t>
      </w:r>
    </w:p>
    <w:p>
      <w:pPr>
        <w:spacing w:after="120" w:line="276"/>
        <w:jc w:val="both"/>
      </w:pPr>
      <w:r>
        <w:rPr>
          <w:rFonts w:ascii="Barlow Semi Condensed" w:cs="Barlow Semi Condensed" w:eastAsia="Barlow Semi Condensed" w:hAnsi="Barlow Semi Condensed"/>
          <w:b/>
          <w:bCs/>
          <w:sz w:val="24"/>
          <w:szCs w:val="24"/>
        </w:rPr>
        <w:t xml:space="preserve">477 · Il fondo RG 85.</w:t>
      </w:r>
      <w:r>
        <w:rPr>
          <w:rFonts w:ascii="Barlow Semi Condensed" w:cs="Barlow Semi Condensed" w:eastAsia="Barlow Semi Condensed" w:hAnsi="Barlow Semi Condensed"/>
          <w:sz w:val="24"/>
          <w:szCs w:val="24"/>
        </w:rPr>
        <w:t xml:space="preserve"> Il Record Group 85 dei National Archives statunitensi raccoglie le carte del servizio immigrazione e naturalizzazione: liste di sbarco, registri di frontiera terrestre con il Canada, indici di naturalizzazione, corrispondenza d'ufficio. È il giacimento in cui si verifica una rotta nordamericana anteriore al 1950 senza chiedere nulla a nessuno. Chi indaga movimenti familiari di quella generazione e non lo apre sta scegliendo di restare alle interviste.</w:t>
      </w:r>
    </w:p>
    <w:p>
      <w:pPr>
        <w:spacing w:after="120" w:line="276"/>
        <w:jc w:val="both"/>
      </w:pPr>
      <w:r>
        <w:rPr>
          <w:rFonts w:ascii="Barlow Semi Condensed" w:cs="Barlow Semi Condensed" w:eastAsia="Barlow Semi Condensed" w:hAnsi="Barlow Semi Condensed"/>
          <w:b/>
          <w:bCs/>
          <w:sz w:val="24"/>
          <w:szCs w:val="24"/>
        </w:rPr>
        <w:t xml:space="preserve">478 · La statistica che nessuno protegge.</w:t>
      </w:r>
      <w:r>
        <w:rPr>
          <w:rFonts w:ascii="Barlow Semi Condensed" w:cs="Barlow Semi Condensed" w:eastAsia="Barlow Semi Condensed" w:hAnsi="Barlow Semi Condensed"/>
          <w:sz w:val="24"/>
          <w:szCs w:val="24"/>
        </w:rPr>
        <w:t xml:space="preserve"> Esiste un modo pubblico di misurare una rotta senza toccare un solo fascicolo personale: le serie aggregate. Il Report of the Visa Office del Dipartimento di Stato pubblica per anno e per nazionalità i visti rilasciati, categoria per categoria. Di lì si ricava quanti sudafricani ottennero uno status studentesco o di lavoro qualificato in ciascun anno degli anni Ottanta e Novanta. Il singolo resta riservato; la coorte no.</w:t>
      </w:r>
    </w:p>
    <w:p>
      <w:pPr>
        <w:spacing w:after="120" w:line="276"/>
        <w:jc w:val="both"/>
      </w:pPr>
      <w:r>
        <w:rPr>
          <w:rFonts w:ascii="Barlow Semi Condensed" w:cs="Barlow Semi Condensed" w:eastAsia="Barlow Semi Condensed" w:hAnsi="Barlow Semi Condensed"/>
          <w:b/>
          <w:bCs/>
          <w:sz w:val="24"/>
          <w:szCs w:val="24"/>
        </w:rPr>
        <w:t xml:space="preserve">479 · La riservatezza dei fascicoli consolari.</w:t>
      </w:r>
      <w:r>
        <w:rPr>
          <w:rFonts w:ascii="Barlow Semi Condensed" w:cs="Barlow Semi Condensed" w:eastAsia="Barlow Semi Condensed" w:hAnsi="Barlow Semi Condensed"/>
          <w:sz w:val="24"/>
          <w:szCs w:val="24"/>
        </w:rPr>
        <w:t xml:space="preserve"> Sul versante consolare il vincolo è ancora più stretto. La norma statunitense in materia di immigrazione e cittadinanza dichiara riservati i documenti relativi al rilascio o al diniego dei visti e li sottrae all'accesso ordinario. Ne discende una conseguenza pratica per questa serie: di un visto studentesco rilasciato a Johannesburg negli anni Novanta non esiste copia ottenibile da terzi. Si può accertare la regola applicabile, non l'atto.</w:t>
      </w:r>
    </w:p>
    <w:p>
      <w:pPr>
        <w:spacing w:after="120" w:line="276"/>
        <w:jc w:val="both"/>
      </w:pPr>
      <w:r>
        <w:rPr>
          <w:rFonts w:ascii="Barlow Semi Condensed" w:cs="Barlow Semi Condensed" w:eastAsia="Barlow Semi Condensed" w:hAnsi="Barlow Semi Condensed"/>
          <w:b/>
          <w:bCs/>
          <w:sz w:val="24"/>
          <w:szCs w:val="24"/>
        </w:rPr>
        <w:t xml:space="preserve">480 · Naturalizzazioni senza registro pubblico.</w:t>
      </w:r>
      <w:r>
        <w:rPr>
          <w:rFonts w:ascii="Barlow Semi Condensed" w:cs="Barlow Semi Condensed" w:eastAsia="Barlow Semi Condensed" w:hAnsi="Barlow Semi Condensed"/>
          <w:sz w:val="24"/>
          <w:szCs w:val="24"/>
        </w:rPr>
        <w:t xml:space="preserve"> Un equivoco diffuso va corretto. Fino al 1991 la naturalizzazione statunitense era un provvedimento giudiziario e lasciava traccia nei registri di un tribunale consultabile; dopo la riforma è divenuta amministrativa, e il provvedimento resta in un fascicolo d'agenzia. Per chiunque sia divenuto cittadino statunitense dopo quella data non esiste alcun registro pubblico da sfogliare: la data circola perché l'interessato l'ha detta, non perché sia stata verificata.</w:t>
      </w:r>
    </w:p>
    <w:p>
      <w:pPr>
        <w:spacing w:after="120" w:line="276"/>
        <w:jc w:val="both"/>
      </w:pPr>
      <w:r>
        <w:rPr>
          <w:rFonts w:ascii="Barlow Semi Condensed" w:cs="Barlow Semi Condensed" w:eastAsia="Barlow Semi Condensed" w:hAnsi="Barlow Semi Condensed"/>
          <w:b/>
          <w:bCs/>
          <w:sz w:val="24"/>
          <w:szCs w:val="24"/>
        </w:rPr>
        <w:t xml:space="preserve">481 · Pretoria 1971, il punto di partenza.</w:t>
      </w:r>
      <w:r>
        <w:rPr>
          <w:rFonts w:ascii="Barlow Semi Condensed" w:cs="Barlow Semi Condensed" w:eastAsia="Barlow Semi Condensed" w:hAnsi="Barlow Semi Condensed"/>
          <w:sz w:val="24"/>
          <w:szCs w:val="24"/>
        </w:rPr>
        <w:t xml:space="preserve"> Elon Reeve Musk è nato a Pretoria il 28 giugno 1971 ed era cittadino sudafricano alla nascita. È fatto pubblico, non congettura. Da questo dato discende la geometria dell'intera serie: chi nasce in Sud Africa negli anni Settanta acquisisce alla nascita una cittadinanza che negli anni Ottanta apre poche frontiere, ed è la scarsità di quel documento a rendere preziosa ogni cittadinanza seconda disponibile per via familiare.</w:t>
      </w:r>
    </w:p>
    <w:p>
      <w:pPr>
        <w:spacing w:after="120" w:line="276"/>
        <w:jc w:val="both"/>
      </w:pPr>
      <w:r>
        <w:rPr>
          <w:rFonts w:ascii="Barlow Semi Condensed" w:cs="Barlow Semi Condensed" w:eastAsia="Barlow Semi Condensed" w:hAnsi="Barlow Semi Condensed"/>
          <w:b/>
          <w:bCs/>
          <w:sz w:val="24"/>
          <w:szCs w:val="24"/>
        </w:rPr>
        <w:t xml:space="preserve">482 · Regina, Saskatchewan, e la radice canadese.</w:t>
      </w:r>
      <w:r>
        <w:rPr>
          <w:rFonts w:ascii="Barlow Semi Condensed" w:cs="Barlow Semi Condensed" w:eastAsia="Barlow Semi Condensed" w:hAnsi="Barlow Semi Condensed"/>
          <w:sz w:val="24"/>
          <w:szCs w:val="24"/>
        </w:rPr>
        <w:t xml:space="preserve"> La madre, Maye Musk nata Haldeman, è nata in Canada nel 1948, a Regina nel Saskatchewan, e da questo fatto dipende tutto il passaggio nordamericano del figlio. La famiglia si trasferì in Sud Africa nel 1950, quando la bambina aveva due anni. Una nascita canadese conservata per quarant'anni all'estero è, in termini amministrativi, un'opzione dormiente: la serie chiede quando e con quale atto sia stata risvegliata.</w:t>
      </w:r>
    </w:p>
    <w:p>
      <w:pPr>
        <w:spacing w:after="120" w:line="276"/>
        <w:jc w:val="both"/>
      </w:pPr>
      <w:r>
        <w:rPr>
          <w:rFonts w:ascii="Barlow Semi Condensed" w:cs="Barlow Semi Condensed" w:eastAsia="Barlow Semi Condensed" w:hAnsi="Barlow Semi Condensed"/>
          <w:b/>
          <w:bCs/>
          <w:sz w:val="24"/>
          <w:szCs w:val="24"/>
        </w:rPr>
        <w:t xml:space="preserve">483 · La rotta inversa del 1950.</w:t>
      </w:r>
      <w:r>
        <w:rPr>
          <w:rFonts w:ascii="Barlow Semi Condensed" w:cs="Barlow Semi Condensed" w:eastAsia="Barlow Semi Condensed" w:hAnsi="Barlow Semi Condensed"/>
          <w:sz w:val="24"/>
          <w:szCs w:val="24"/>
        </w:rPr>
        <w:t xml:space="preserve"> Prima della rotta verso nord ci fu quella verso sud, e va documentata con la stessa severità. Joshua Norman Haldeman portò la famiglia dal Canada al Sud Africa nel 1950, negli anni in cui Pretoria selezionava attivamente l'immigrazione bianca. La sede che lo attesta è il National Archives of South Africa, dove si conservano le carte dell'organo di selezione degli immigrati e i permessi d'ingresso del Dipartimento dell'Interno.</w:t>
      </w:r>
    </w:p>
    <w:p>
      <w:pPr>
        <w:spacing w:after="120" w:line="276"/>
        <w:jc w:val="both"/>
      </w:pPr>
      <w:r>
        <w:rPr>
          <w:rFonts w:ascii="Barlow Semi Condensed" w:cs="Barlow Semi Condensed" w:eastAsia="Barlow Semi Condensed" w:hAnsi="Barlow Semi Condensed"/>
          <w:b/>
          <w:bCs/>
          <w:sz w:val="24"/>
          <w:szCs w:val="24"/>
        </w:rPr>
        <w:t xml:space="preserve">484 · Dove nacque Haldeman, esattamente.</w:t>
      </w:r>
      <w:r>
        <w:rPr>
          <w:rFonts w:ascii="Barlow Semi Condensed" w:cs="Barlow Semi Condensed" w:eastAsia="Barlow Semi Condensed" w:hAnsi="Barlow Semi Condensed"/>
          <w:sz w:val="24"/>
          <w:szCs w:val="24"/>
        </w:rPr>
        <w:t xml:space="preserve"> Un dettaglio anagrafico apparentemente minimo ha conseguenze giuridiche pesanti e va accertato prima di costruirvi sopra. Se il nonno materno fosse nato negli Stati Uniti e non in Canada, la catena delle cittadinanze familiari cambierebbe forma. Il documento che chiude la questione è l'atto di nascita presso l'ufficio statale competente, affiancato dai censimenti canadesi conservati a Library and Archives Canada. Fino a quel riscontro la serie non ne ricava nulla.</w:t>
      </w:r>
    </w:p>
    <w:p>
      <w:pPr>
        <w:spacing w:after="120" w:line="276"/>
        <w:jc w:val="both"/>
      </w:pPr>
      <w:r>
        <w:rPr>
          <w:rFonts w:ascii="Barlow Semi Condensed" w:cs="Barlow Semi Condensed" w:eastAsia="Barlow Semi Condensed" w:hAnsi="Barlow Semi Condensed"/>
          <w:b/>
          <w:bCs/>
          <w:sz w:val="24"/>
          <w:szCs w:val="24"/>
        </w:rPr>
        <w:t xml:space="preserve">485 · L'aeroplano e i suoi registri.</w:t>
      </w:r>
      <w:r>
        <w:rPr>
          <w:rFonts w:ascii="Barlow Semi Condensed" w:cs="Barlow Semi Condensed" w:eastAsia="Barlow Semi Condensed" w:hAnsi="Barlow Semi Condensed"/>
          <w:sz w:val="24"/>
          <w:szCs w:val="24"/>
        </w:rPr>
        <w:t xml:space="preserve"> Il trasferimento del 1950 fu compiuto in parte con un velivolo privato, e i velivoli lasciano più carte delle persone. Il registro aeronautico civile sudafricano, con le immatricolazioni della serie ZS, e i libretti di volo depositati presso l'autorità dell'aviazione civile permettono di datare rotte, scali e proprietà. È un caso raro in cui la macchina risulta meglio documentata del suo proprietario, e va sfruttato senza esitazione.</w:t>
      </w:r>
    </w:p>
    <w:p>
      <w:pPr>
        <w:spacing w:after="120" w:line="276"/>
        <w:jc w:val="both"/>
      </w:pPr>
      <w:r>
        <w:rPr>
          <w:rFonts w:ascii="Barlow Semi Condensed" w:cs="Barlow Semi Condensed" w:eastAsia="Barlow Semi Condensed" w:hAnsi="Barlow Semi Condensed"/>
          <w:b/>
          <w:bCs/>
          <w:sz w:val="24"/>
          <w:szCs w:val="24"/>
        </w:rPr>
        <w:t xml:space="preserve">486 · Giugno 1989, la partenza dichiarata.</w:t>
      </w:r>
      <w:r>
        <w:rPr>
          <w:rFonts w:ascii="Barlow Semi Condensed" w:cs="Barlow Semi Condensed" w:eastAsia="Barlow Semi Condensed" w:hAnsi="Barlow Semi Condensed"/>
          <w:sz w:val="24"/>
          <w:szCs w:val="24"/>
        </w:rPr>
        <w:t xml:space="preserve"> La partenza dal Sud Africa verso il Canada è collocata nel 1989, e la fonte, allo stato, è il racconto reso in interviste e ripreso dalle biografie con apparato. Un racconto non è un timbro. L'atto che la fissa è il registro d'ingresso canadese, insieme al documento di viaggio esibito alla frontiera; le carte relative stanno presso l'ente federale competente in materia di immigrazione e non sono state rese pubbliche.</w:t>
      </w:r>
    </w:p>
    <w:p>
      <w:pPr>
        <w:spacing w:after="120" w:line="276"/>
        <w:jc w:val="both"/>
      </w:pPr>
      <w:r>
        <w:rPr>
          <w:rFonts w:ascii="Barlow Semi Condensed" w:cs="Barlow Semi Condensed" w:eastAsia="Barlow Semi Condensed" w:hAnsi="Barlow Semi Condensed"/>
          <w:b/>
          <w:bCs/>
          <w:sz w:val="24"/>
          <w:szCs w:val="24"/>
        </w:rPr>
        <w:t xml:space="preserve">487 · La discendenza canadese non è automatica.</w:t>
      </w:r>
      <w:r>
        <w:rPr>
          <w:rFonts w:ascii="Barlow Semi Condensed" w:cs="Barlow Semi Condensed" w:eastAsia="Barlow Semi Condensed" w:hAnsi="Barlow Semi Condensed"/>
          <w:sz w:val="24"/>
          <w:szCs w:val="24"/>
        </w:rPr>
        <w:t xml:space="preserve"> La formula corrente, secondo cui egli aveva la cittadinanza canadese per parte di madre, è amministrativamente imprecisa per chi sia nato all'estero prima del 1977. La legge canadese sulla cittadinanza allora vigente non attribuiva in modo automatico lo status ai figli nati fuori dal Paese da madre canadese: occorreva una domanda e una concessione. La distinzione fra riconoscimento e concessione non è formale, perché genera fascicoli diversi con date diverse.</w:t>
      </w:r>
    </w:p>
    <w:p>
      <w:pPr>
        <w:spacing w:after="120" w:line="276"/>
        <w:jc w:val="both"/>
      </w:pPr>
      <w:r>
        <w:rPr>
          <w:rFonts w:ascii="Barlow Semi Condensed" w:cs="Barlow Semi Condensed" w:eastAsia="Barlow Semi Condensed" w:hAnsi="Barlow Semi Condensed"/>
          <w:b/>
          <w:bCs/>
          <w:sz w:val="24"/>
          <w:szCs w:val="24"/>
        </w:rPr>
        <w:t xml:space="preserve">488 · Chi può chiedere il fascicolo canadese.</w:t>
      </w:r>
      <w:r>
        <w:rPr>
          <w:rFonts w:ascii="Barlow Semi Condensed" w:cs="Barlow Semi Condensed" w:eastAsia="Barlow Semi Condensed" w:hAnsi="Barlow Semi Condensed"/>
          <w:sz w:val="24"/>
          <w:szCs w:val="24"/>
        </w:rPr>
        <w:t xml:space="preserve"> In Canada l'accesso ai fascicoli d'immigrazione e cittadinanza segue due leggi distinte, quella sull'accesso all'informazione e quella sulla protezione dei dati personali, ed è l'ente federale competente a detenerli. Per una persona vivente la domanda di un terzo non passa senza consenso; per una persona defunta il termine è più breve che negli Stati Uniti. La differenza fra i due ordinamenti va conosciuta e sfruttata.</w:t>
      </w:r>
    </w:p>
    <w:p>
      <w:pPr>
        <w:spacing w:after="120" w:line="276"/>
        <w:jc w:val="both"/>
      </w:pPr>
      <w:r>
        <w:rPr>
          <w:rFonts w:ascii="Barlow Semi Condensed" w:cs="Barlow Semi Condensed" w:eastAsia="Barlow Semi Condensed" w:hAnsi="Barlow Semi Condensed"/>
          <w:b/>
          <w:bCs/>
          <w:sz w:val="24"/>
          <w:szCs w:val="24"/>
        </w:rPr>
        <w:t xml:space="preserve">489 · Il fondo RG 76 a Ottawa.</w:t>
      </w:r>
      <w:r>
        <w:rPr>
          <w:rFonts w:ascii="Barlow Semi Condensed" w:cs="Barlow Semi Condensed" w:eastAsia="Barlow Semi Condensed" w:hAnsi="Barlow Semi Condensed"/>
          <w:sz w:val="24"/>
          <w:szCs w:val="24"/>
        </w:rPr>
        <w:t xml:space="preserve"> Library and Archives Canada custodisce sotto la segnatura RG 76 le carte del ramo immigrazione: manifesti di sbarco, registri di frontiera, corrispondenza di politica migratoria, pratiche di selezione. È lì che si verifica la partenza del 1950 dal lato canadese, ed è lì che si misura il contesto normativo del 1989. Il fondo è aperto: chiunque riprenda questa serie può eseguirne l'interrogazione senza autorizzazioni speciali.</w:t>
      </w:r>
    </w:p>
    <w:p>
      <w:pPr>
        <w:spacing w:after="120" w:line="276"/>
        <w:jc w:val="both"/>
      </w:pPr>
      <w:r>
        <w:rPr>
          <w:rFonts w:ascii="Barlow Semi Condensed" w:cs="Barlow Semi Condensed" w:eastAsia="Barlow Semi Condensed" w:hAnsi="Barlow Semi Condensed"/>
          <w:b/>
          <w:bCs/>
          <w:sz w:val="24"/>
          <w:szCs w:val="24"/>
        </w:rPr>
        <w:t xml:space="preserve">490 · I registri della Queen's University.</w:t>
      </w:r>
      <w:r>
        <w:rPr>
          <w:rFonts w:ascii="Barlow Semi Condensed" w:cs="Barlow Semi Condensed" w:eastAsia="Barlow Semi Condensed" w:hAnsi="Barlow Semi Condensed"/>
          <w:sz w:val="24"/>
          <w:szCs w:val="24"/>
        </w:rPr>
        <w:t xml:space="preserve"> Il passaggio universitario canadese è collocato alla Queen's University di Kingston, in Ontario, fra il 1990 e il 1992. L'ufficio del registrar dell'ateneo conserva immatricolazioni, corsi seguiti e trasferimenti, e rilascia conferme dietro consenso dell'interessato oppure in forma aggregata. Una data d'immatricolazione certificata dall'università è documento; la stessa data riferita in un'intervista è dichiarazione. La serie chiede la prima e registra la seconda.</w:t>
      </w:r>
    </w:p>
    <w:p>
      <w:pPr>
        <w:spacing w:after="120" w:line="276"/>
        <w:jc w:val="both"/>
      </w:pPr>
      <w:r>
        <w:rPr>
          <w:rFonts w:ascii="Barlow Semi Condensed" w:cs="Barlow Semi Condensed" w:eastAsia="Barlow Semi Condensed" w:hAnsi="Barlow Semi Condensed"/>
          <w:b/>
          <w:bCs/>
          <w:sz w:val="24"/>
          <w:szCs w:val="24"/>
        </w:rPr>
        <w:t xml:space="preserve">491 · I lavori del primo anno canadese.</w:t>
      </w:r>
      <w:r>
        <w:rPr>
          <w:rFonts w:ascii="Barlow Semi Condensed" w:cs="Barlow Semi Condensed" w:eastAsia="Barlow Semi Condensed" w:hAnsi="Barlow Semi Condensed"/>
          <w:sz w:val="24"/>
          <w:szCs w:val="24"/>
        </w:rPr>
        <w:t xml:space="preserve"> I lavori manuali del primo periodo canadese, la fattoria nel Saskatchewan e la segheria, appartengono al racconto autobiografico e sono ripresi dalle biografie. Non sono privi di verificabilità: un rapporto di lavoro produce ritenute fiscali, e l'amministrazione fiscale canadese conserva le posizioni contributive. L'accesso è però riservato al contribuente. Si registrano dunque come riferiti, con l'indicazione della sede che, col consenso, li trasformerebbe in accertamento.</w:t>
      </w:r>
    </w:p>
    <w:p>
      <w:pPr>
        <w:spacing w:after="120" w:line="276"/>
        <w:jc w:val="both"/>
      </w:pPr>
      <w:r>
        <w:rPr>
          <w:rFonts w:ascii="Barlow Semi Condensed" w:cs="Barlow Semi Condensed" w:eastAsia="Barlow Semi Condensed" w:hAnsi="Barlow Semi Condensed"/>
          <w:b/>
          <w:bCs/>
          <w:sz w:val="24"/>
          <w:szCs w:val="24"/>
        </w:rPr>
        <w:t xml:space="preserve">492 · Il fratello, la stessa domanda.</w:t>
      </w:r>
      <w:r>
        <w:rPr>
          <w:rFonts w:ascii="Barlow Semi Condensed" w:cs="Barlow Semi Condensed" w:eastAsia="Barlow Semi Condensed" w:hAnsi="Barlow Semi Condensed"/>
          <w:sz w:val="24"/>
          <w:szCs w:val="24"/>
        </w:rPr>
        <w:t xml:space="preserve"> Kimbal Musk, nato a Pretoria nel 1972, seguì una rotta parallela verso il Canada e poi verso gli Stati Uniti. Per lui valgono, identiche, le domande poste per il fratello: quale titolo canadese, richiesto quando e con quale fascicolo; quale status all'ingresso negli Stati Uniti; quale eventuale naturalizzazione. Trattare due rotte distinte come una sola perché i soggetti sono parenti è l'errore che questa serie esiste per impedire.</w:t>
      </w:r>
    </w:p>
    <w:p>
      <w:pPr>
        <w:spacing w:after="120" w:line="276"/>
        <w:jc w:val="both"/>
      </w:pPr>
      <w:r>
        <w:rPr>
          <w:rFonts w:ascii="Barlow Semi Condensed" w:cs="Barlow Semi Condensed" w:eastAsia="Barlow Semi Condensed" w:hAnsi="Barlow Semi Condensed"/>
          <w:b/>
          <w:bCs/>
          <w:sz w:val="24"/>
          <w:szCs w:val="24"/>
        </w:rPr>
        <w:t xml:space="preserve">493 · La naturalizzazione della madre.</w:t>
      </w:r>
      <w:r>
        <w:rPr>
          <w:rFonts w:ascii="Barlow Semi Condensed" w:cs="Barlow Semi Condensed" w:eastAsia="Barlow Semi Condensed" w:hAnsi="Barlow Semi Condensed"/>
          <w:sz w:val="24"/>
          <w:szCs w:val="24"/>
        </w:rPr>
        <w:t xml:space="preserve"> Maye Musk ha vissuto in Sud Africa, in Canada e negli Stati Uniti, e ha reso pubblici questi trasferimenti in memorie e interviste. Le date esatte dei mutamenti di status, quando abbia ripreso l'esercizio della cittadinanza canadese, quando abbia acquisito la residenza permanente statunitense, se e quando si sia naturalizzata, non risultano da alcun atto pubblico. È uno Stato Zero ordinario, che solo il consenso dell'interessata potrebbe chiudere.</w:t>
      </w:r>
    </w:p>
    <w:p>
      <w:pPr>
        <w:spacing w:after="120" w:line="276"/>
        <w:jc w:val="both"/>
      </w:pPr>
      <w:r>
        <w:rPr>
          <w:rFonts w:ascii="Barlow Semi Condensed" w:cs="Barlow Semi Condensed" w:eastAsia="Barlow Semi Condensed" w:hAnsi="Barlow Semi Condensed"/>
          <w:b/>
          <w:bCs/>
          <w:sz w:val="24"/>
          <w:szCs w:val="24"/>
        </w:rPr>
        <w:t xml:space="preserve">494 · Frontiera 1992: nessun visto, uno status.</w:t>
      </w:r>
      <w:r>
        <w:rPr>
          <w:rFonts w:ascii="Barlow Semi Condensed" w:cs="Barlow Semi Condensed" w:eastAsia="Barlow Semi Condensed" w:hAnsi="Barlow Semi Condensed"/>
          <w:sz w:val="24"/>
          <w:szCs w:val="24"/>
        </w:rPr>
        <w:t xml:space="preserve"> Un punto tecnico che gran parte della pubblicistica sbaglia. Il cittadino canadese che entra negli Stati Uniti per studiare non riceve un visto apposto sul passaporto: è esente da quell'obbligo e viene ammesso nello status studentesco esibendo il certificato di ammissione rilasciato dall'ateneo. Non esiste dunque, per il trasferimento del 1992, alcun fascicolo consolare da cercare. Esistono il certificato dell'università e la scheda d'ingresso di frontiera.</w:t>
      </w:r>
    </w:p>
    <w:p>
      <w:pPr>
        <w:spacing w:after="120" w:line="276"/>
        <w:jc w:val="both"/>
      </w:pPr>
      <w:r>
        <w:rPr>
          <w:rFonts w:ascii="Barlow Semi Condensed" w:cs="Barlow Semi Condensed" w:eastAsia="Barlow Semi Condensed" w:hAnsi="Barlow Semi Condensed"/>
          <w:b/>
          <w:bCs/>
          <w:sz w:val="24"/>
          <w:szCs w:val="24"/>
        </w:rPr>
        <w:t xml:space="preserve">495 · Prima del sistema elettronico.</w:t>
      </w:r>
      <w:r>
        <w:rPr>
          <w:rFonts w:ascii="Barlow Semi Condensed" w:cs="Barlow Semi Condensed" w:eastAsia="Barlow Semi Condensed" w:hAnsi="Barlow Semi Condensed"/>
          <w:sz w:val="24"/>
          <w:szCs w:val="24"/>
        </w:rPr>
        <w:t xml:space="preserve"> Negli anni Novanta non esisteva ancora il sistema informativo che oggi registra in tempo reale la posizione di ogni studente straniero: il controllo era cartaceo e affidato al funzionario designato dall'ateneo. Ne segue che la prova della continuità dello status per quegli anni non sta in una banca dati interrogabile, ma nei raccoglitori dell'ufficio studenti internazionali dell'università, la cui politica di conservazione va accertata prima di ogni altra cosa.</w:t>
      </w:r>
    </w:p>
    <w:p>
      <w:pPr>
        <w:spacing w:after="120" w:line="276"/>
        <w:jc w:val="both"/>
      </w:pPr>
      <w:r>
        <w:rPr>
          <w:rFonts w:ascii="Barlow Semi Condensed" w:cs="Barlow Semi Condensed" w:eastAsia="Barlow Semi Condensed" w:hAnsi="Barlow Semi Condensed"/>
          <w:b/>
          <w:bCs/>
          <w:sz w:val="24"/>
          <w:szCs w:val="24"/>
        </w:rPr>
        <w:t xml:space="preserve">496 · Le date di laurea che divergono.</w:t>
      </w:r>
      <w:r>
        <w:rPr>
          <w:rFonts w:ascii="Barlow Semi Condensed" w:cs="Barlow Semi Condensed" w:eastAsia="Barlow Semi Condensed" w:hAnsi="Barlow Semi Condensed"/>
          <w:sz w:val="24"/>
          <w:szCs w:val="24"/>
        </w:rPr>
        <w:t xml:space="preserve"> Sulla conclusione degli studi alla University of Pennsylvania le fonti divergono, e la divergenza è documentabile invece che opinabile: il racconto pubblico colloca il conseguimento dei titoli nel 1995, i registri dell'ateneo li datano al 1997. Non si sceglie fra le due versioni: si riportano entrambe e si indica l'atto che decide, cioè la certificazione del registrar. La differenza di due anni cade esattamente sul periodo controverso.</w:t>
      </w:r>
    </w:p>
    <w:p>
      <w:pPr>
        <w:spacing w:after="120" w:line="276"/>
        <w:jc w:val="both"/>
      </w:pPr>
      <w:r>
        <w:rPr>
          <w:rFonts w:ascii="Barlow Semi Condensed" w:cs="Barlow Semi Condensed" w:eastAsia="Barlow Semi Condensed" w:hAnsi="Barlow Semi Condensed"/>
          <w:b/>
          <w:bCs/>
          <w:sz w:val="24"/>
          <w:szCs w:val="24"/>
        </w:rPr>
        <w:t xml:space="preserve">497 · Stanford 1995: iscritto, differito, o nulla.</w:t>
      </w:r>
      <w:r>
        <w:rPr>
          <w:rFonts w:ascii="Barlow Semi Condensed" w:cs="Barlow Semi Condensed" w:eastAsia="Barlow Semi Condensed" w:hAnsi="Barlow Semi Condensed"/>
          <w:sz w:val="24"/>
          <w:szCs w:val="24"/>
        </w:rPr>
        <w:t xml:space="preserve"> Il capitolo californiano del 1995 è raccontato come iscrizione a un dottorato abbandonata dopo pochi giorni. Le forme amministrative possibili sono tre e producono carte diverse: ammissione con differimento, immatricolazione seguita da ritiro, ammissione mai perfezionata. Solo le prime due generano una posizione studentesca rilevante ai fini dello status migratorio. L'ufficio del registrar dell'università è la sede che distingue i tre casi, e nessun'altra.</w:t>
      </w:r>
    </w:p>
    <w:p>
      <w:pPr>
        <w:spacing w:after="120" w:line="276"/>
        <w:jc w:val="both"/>
      </w:pPr>
      <w:r>
        <w:rPr>
          <w:rFonts w:ascii="Barlow Semi Condensed" w:cs="Barlow Semi Condensed" w:eastAsia="Barlow Semi Condensed" w:hAnsi="Barlow Semi Condensed"/>
          <w:b/>
          <w:bCs/>
          <w:sz w:val="24"/>
          <w:szCs w:val="24"/>
        </w:rPr>
        <w:t xml:space="preserve">498 · La controversia del 2024, senza aggettivi.</w:t>
      </w:r>
      <w:r>
        <w:rPr>
          <w:rFonts w:ascii="Barlow Semi Condensed" w:cs="Barlow Semi Condensed" w:eastAsia="Barlow Semi Condensed" w:hAnsi="Barlow Semi Condensed"/>
          <w:sz w:val="24"/>
          <w:szCs w:val="24"/>
        </w:rPr>
        <w:t xml:space="preserve"> Nell'ottobre 2024 un quotidiano statunitense ha pubblicato una ricostruzione sullo status migratorio di Elon Musk nella seconda metà degli anni Novanta; l'interessato l'ha respinta pubblicamente affermando di essere stato regolarmente autorizzato. La serie registra il fatto della controversia, che è pubblico, e non ne adotta alcuna versione. Il documento che la chiuderebbe è il fascicolo individuale dell'agenzia federale, inaccessibile a terzi senza il consenso dell'interessato.</w:t>
      </w:r>
    </w:p>
    <w:p>
      <w:pPr>
        <w:spacing w:after="120" w:line="276"/>
        <w:jc w:val="both"/>
      </w:pPr>
      <w:r>
        <w:rPr>
          <w:rFonts w:ascii="Barlow Semi Condensed" w:cs="Barlow Semi Condensed" w:eastAsia="Barlow Semi Condensed" w:hAnsi="Barlow Semi Condensed"/>
          <w:b/>
          <w:bCs/>
          <w:sz w:val="24"/>
          <w:szCs w:val="24"/>
        </w:rPr>
        <w:t xml:space="preserve">499 · Nessun procedimento, e va scritto.</w:t>
      </w:r>
      <w:r>
        <w:rPr>
          <w:rFonts w:ascii="Barlow Semi Condensed" w:cs="Barlow Semi Condensed" w:eastAsia="Barlow Semi Condensed" w:hAnsi="Barlow Semi Condensed"/>
          <w:sz w:val="24"/>
          <w:szCs w:val="24"/>
        </w:rPr>
        <w:t xml:space="preserve"> Occorre scriverlo in modo esplicito, perché ometterlo produce l'abuso peggiore: non risulta che alcuna autorità statunitense abbia mai aperto un procedimento in materia di immigrazione a carico dei soggetti nominati in questa serie, né che ne sia derivata alcuna decisione sfavorevole. È uno Stato Zero verificabile per assenza di atti pubblici, e vale quanto un accertamento positivo. Chi lo tace inverte l'onere della prova.</w:t>
      </w:r>
    </w:p>
    <w:p>
      <w:pPr>
        <w:spacing w:after="120" w:line="276"/>
        <w:jc w:val="both"/>
      </w:pPr>
      <w:r>
        <w:rPr>
          <w:rFonts w:ascii="Barlow Semi Condensed" w:cs="Barlow Semi Condensed" w:eastAsia="Barlow Semi Condensed" w:hAnsi="Barlow Semi Condensed"/>
          <w:b/>
          <w:bCs/>
          <w:sz w:val="24"/>
          <w:szCs w:val="24"/>
        </w:rPr>
        <w:t xml:space="preserve">500 · Lo status di scambio, se vero.</w:t>
      </w:r>
      <w:r>
        <w:rPr>
          <w:rFonts w:ascii="Barlow Semi Condensed" w:cs="Barlow Semi Condensed" w:eastAsia="Barlow Semi Condensed" w:hAnsi="Barlow Semi Condensed"/>
          <w:sz w:val="24"/>
          <w:szCs w:val="24"/>
        </w:rPr>
        <w:t xml:space="preserve"> Fra le versioni pubbliche circola quella di un passaggio da uno status di visitatore di scambio a uno status di lavoro specializzato. Ha un corollario verificabile: alcune categorie di scambio comportano l'obbligo di rientro biennale nel Paese d'origine, derogabile solo con una rinuncia formale rilasciata dal Dipartimento di Stato. L'esistenza o l'assenza di quella rinuncia è fatto d'archivio, e sarebbe il riscontro più economico dell'intera vicenda.</w:t>
      </w:r>
    </w:p>
    <w:p>
      <w:pPr>
        <w:spacing w:after="120" w:line="276"/>
        <w:jc w:val="both"/>
      </w:pPr>
      <w:r>
        <w:rPr>
          <w:rFonts w:ascii="Barlow Semi Condensed" w:cs="Barlow Semi Condensed" w:eastAsia="Barlow Semi Condensed" w:hAnsi="Barlow Semi Condensed"/>
          <w:b/>
          <w:bCs/>
          <w:sz w:val="24"/>
          <w:szCs w:val="24"/>
        </w:rPr>
        <w:t xml:space="preserve">501 · La petizione la firma il datore.</w:t>
      </w:r>
      <w:r>
        <w:rPr>
          <w:rFonts w:ascii="Barlow Semi Condensed" w:cs="Barlow Semi Condensed" w:eastAsia="Barlow Semi Condensed" w:hAnsi="Barlow Semi Condensed"/>
          <w:sz w:val="24"/>
          <w:szCs w:val="24"/>
        </w:rPr>
        <w:t xml:space="preserve"> Lo status di lavoro specializzato non si ottiene per iniziativa del lavoratore: lo chiede l'impresa, con una petizione depositata presso l'agenzia federale. Ne discende che la traccia documentale principale non sta presso la persona ma presso la società, Zip2 nel caso in esame, e che i suoi archivi societari, se conservati dopo le acquisizioni successive, sarebbero il giacimento naturale. Le acquisizioni disperdono le carte: è la difficoltà da mettere in conto.</w:t>
      </w:r>
    </w:p>
    <w:p>
      <w:pPr>
        <w:spacing w:after="120" w:line="276"/>
        <w:jc w:val="both"/>
      </w:pPr>
      <w:r>
        <w:rPr>
          <w:rFonts w:ascii="Barlow Semi Condensed" w:cs="Barlow Semi Condensed" w:eastAsia="Barlow Semi Condensed" w:hAnsi="Barlow Semi Condensed"/>
          <w:b/>
          <w:bCs/>
          <w:sz w:val="24"/>
          <w:szCs w:val="24"/>
        </w:rPr>
        <w:t xml:space="preserve">502 · Il fascicolo pubblico che non c'è più.</w:t>
      </w:r>
      <w:r>
        <w:rPr>
          <w:rFonts w:ascii="Barlow Semi Condensed" w:cs="Barlow Semi Condensed" w:eastAsia="Barlow Semi Condensed" w:hAnsi="Barlow Semi Condensed"/>
          <w:sz w:val="24"/>
          <w:szCs w:val="24"/>
        </w:rPr>
        <w:t xml:space="preserve"> Nell'ordinamento statunitense esiste un fascicolo che il datore di lavoro deve tenere aperto all'ispezione di chiunque per ogni lavoratore specializzato assunto dall'estero: vi figurano la dichiarazione sulle condizioni d'impiego e la retribuzione. È l'unico documento migratorio consultabile senza consenso dell'interessato. L'obbligo di conservazione è però breve, di poco superiore alla durata del rapporto: per gli anni Novanta è distrutto. Stato Zero per norma, non per reticenza.</w:t>
      </w:r>
    </w:p>
    <w:p>
      <w:pPr>
        <w:spacing w:after="120" w:line="276"/>
        <w:jc w:val="both"/>
      </w:pPr>
      <w:r>
        <w:rPr>
          <w:rFonts w:ascii="Barlow Semi Condensed" w:cs="Barlow Semi Condensed" w:eastAsia="Barlow Semi Condensed" w:hAnsi="Barlow Semi Condensed"/>
          <w:b/>
          <w:bCs/>
          <w:sz w:val="24"/>
          <w:szCs w:val="24"/>
        </w:rPr>
        <w:t xml:space="preserve">503 · I dati del Dipartimento del Lavoro.</w:t>
      </w:r>
      <w:r>
        <w:rPr>
          <w:rFonts w:ascii="Barlow Semi Condensed" w:cs="Barlow Semi Condensed" w:eastAsia="Barlow Semi Condensed" w:hAnsi="Barlow Semi Condensed"/>
          <w:sz w:val="24"/>
          <w:szCs w:val="24"/>
        </w:rPr>
        <w:t xml:space="preserve"> Sopravvive però l'aggregato. Il Dipartimento del Lavoro statunitense pubblica in forma di banca dati le dichiarazioni sulle condizioni d'impiego presentate dai datori per il lavoro straniero specializzato, con denominazione dell'impresa, mansione, sede e retribuzione. La copertura utile comincia verso la fine degli anni Novanta e non risale al 1995. Va interrogata comunque: individua le imprese della valle che ricorsero a quel canale, e da quando.</w:t>
      </w:r>
    </w:p>
    <w:p>
      <w:pPr>
        <w:spacing w:after="120" w:line="276"/>
        <w:jc w:val="both"/>
      </w:pPr>
      <w:r>
        <w:rPr>
          <w:rFonts w:ascii="Barlow Semi Condensed" w:cs="Barlow Semi Condensed" w:eastAsia="Barlow Semi Condensed" w:hAnsi="Barlow Semi Condensed"/>
          <w:b/>
          <w:bCs/>
          <w:sz w:val="24"/>
          <w:szCs w:val="24"/>
        </w:rPr>
        <w:t xml:space="preserve">504 · La legge che aprì la rotta.</w:t>
      </w:r>
      <w:r>
        <w:rPr>
          <w:rFonts w:ascii="Barlow Semi Condensed" w:cs="Barlow Semi Condensed" w:eastAsia="Barlow Semi Condensed" w:hAnsi="Barlow Semi Condensed"/>
          <w:sz w:val="24"/>
          <w:szCs w:val="24"/>
        </w:rPr>
        <w:t xml:space="preserve"> La cornice normativa che rese possibile l'intera coorte è pubblica e datata: la riforma statunitense dell'immigrazione del 1990 ridisegnò le categorie del lavoro qualificato, istituì il visto per capacità straordinarie e fissò il tetto annuo per il lavoro specializzato. Chi legge le rotte individuali senza questa cornice scambia per scelta personale ciò che era struttura d'accesso. Il testo di legge è consultabile per intero e non richiede alcuna istanza.</w:t>
      </w:r>
    </w:p>
    <w:p>
      <w:pPr>
        <w:spacing w:after="120" w:line="276"/>
        <w:jc w:val="both"/>
      </w:pPr>
      <w:r>
        <w:rPr>
          <w:rFonts w:ascii="Barlow Semi Condensed" w:cs="Barlow Semi Condensed" w:eastAsia="Barlow Semi Condensed" w:hAnsi="Barlow Semi Condensed"/>
          <w:b/>
          <w:bCs/>
          <w:sz w:val="24"/>
          <w:szCs w:val="24"/>
        </w:rPr>
        <w:t xml:space="preserve">505 · La residenza permanente, categoria ignota.</w:t>
      </w:r>
      <w:r>
        <w:rPr>
          <w:rFonts w:ascii="Barlow Semi Condensed" w:cs="Barlow Semi Condensed" w:eastAsia="Barlow Semi Condensed" w:hAnsi="Barlow Semi Condensed"/>
          <w:sz w:val="24"/>
          <w:szCs w:val="24"/>
        </w:rPr>
        <w:t xml:space="preserve"> Dal titolo temporaneo alla cittadinanza corre un passaggio di cui, per i soggetti di questa serie, non si conosce nulla: la categoria sotto la quale fu ottenuta la residenza permanente. Le vie possibili differiscono per requisiti e per tempi, e ciascuna lascia un fascicolo diverso. Nessuna dichiarazione pubblica la precisa e nessun atto la rende nota. La lacuna si verbalizza e non si riempie con la via più verosimile.</w:t>
      </w:r>
    </w:p>
    <w:p>
      <w:pPr>
        <w:spacing w:after="120" w:line="276"/>
        <w:jc w:val="both"/>
      </w:pPr>
      <w:r>
        <w:rPr>
          <w:rFonts w:ascii="Barlow Semi Condensed" w:cs="Barlow Semi Condensed" w:eastAsia="Barlow Semi Condensed" w:hAnsi="Barlow Semi Condensed"/>
          <w:b/>
          <w:bCs/>
          <w:sz w:val="24"/>
          <w:szCs w:val="24"/>
        </w:rPr>
        <w:t xml:space="preserve">506 · Il 2002 come data riferita.</w:t>
      </w:r>
      <w:r>
        <w:rPr>
          <w:rFonts w:ascii="Barlow Semi Condensed" w:cs="Barlow Semi Condensed" w:eastAsia="Barlow Semi Condensed" w:hAnsi="Barlow Semi Condensed"/>
          <w:sz w:val="24"/>
          <w:szCs w:val="24"/>
        </w:rPr>
        <w:t xml:space="preserve"> La naturalizzazione statunitense di Elon Musk è collocata nel 2002 dalla pubblicistica e dalle biografie. Poiché dopo il 1991 il provvedimento è amministrativo e non giudiziario, quella data non è verificabile su alcun registro aperto: circola perché è stata dichiarata e poi ripetuta. Si registra dunque come riferita, con la precisazione che il grado non salirà finché il certificato o il fascicolo non saranno prodotti dall'interessato.</w:t>
      </w:r>
    </w:p>
    <w:p>
      <w:pPr>
        <w:spacing w:after="120" w:line="276"/>
        <w:jc w:val="both"/>
      </w:pPr>
      <w:r>
        <w:rPr>
          <w:rFonts w:ascii="Barlow Semi Condensed" w:cs="Barlow Semi Condensed" w:eastAsia="Barlow Semi Condensed" w:hAnsi="Barlow Semi Condensed"/>
          <w:b/>
          <w:bCs/>
          <w:sz w:val="24"/>
          <w:szCs w:val="24"/>
        </w:rPr>
        <w:t xml:space="preserve">507 · Perdere il Sud Africa acquistando l'America.</w:t>
      </w:r>
      <w:r>
        <w:rPr>
          <w:rFonts w:ascii="Barlow Semi Condensed" w:cs="Barlow Semi Condensed" w:eastAsia="Barlow Semi Condensed" w:hAnsi="Barlow Semi Condensed"/>
          <w:sz w:val="24"/>
          <w:szCs w:val="24"/>
        </w:rPr>
        <w:t xml:space="preserve"> La legge sudafricana sulla cittadinanza del 1995 dispone che chi acquisti volontariamente una cittadinanza straniera perda quella sudafricana, salvo abbia ottenuto in anticipo un provvedimento di conservazione. Chiunque si sia naturalizzato altrove dopo l'entrata in vigore di quella norma ricade nella previsione. È la domanda più precisa che questa serie possa rivolgere al Dipartimento degli Affari Interni di Pretoria, e riguarda più d'uno dei nomi qui elencati.</w:t>
      </w:r>
    </w:p>
    <w:p>
      <w:pPr>
        <w:spacing w:after="120" w:line="276"/>
        <w:jc w:val="both"/>
      </w:pPr>
      <w:r>
        <w:rPr>
          <w:rFonts w:ascii="Barlow Semi Condensed" w:cs="Barlow Semi Condensed" w:eastAsia="Barlow Semi Condensed" w:hAnsi="Barlow Semi Condensed"/>
          <w:b/>
          <w:bCs/>
          <w:sz w:val="24"/>
          <w:szCs w:val="24"/>
        </w:rPr>
        <w:t xml:space="preserve">508 · Il provvedimento di conservazione.</w:t>
      </w:r>
      <w:r>
        <w:rPr>
          <w:rFonts w:ascii="Barlow Semi Condensed" w:cs="Barlow Semi Condensed" w:eastAsia="Barlow Semi Condensed" w:hAnsi="Barlow Semi Condensed"/>
          <w:sz w:val="24"/>
          <w:szCs w:val="24"/>
        </w:rPr>
        <w:t xml:space="preserve"> Il contrappeso alla perdita esiste ed è un atto scritto: la domanda di conservazione della cittadinanza, da presentare prima dell'acquisto di quella straniera. Genera un numero di pratica e una risposta. Sapere se, per un determinato soggetto, quella domanda fu presentata e accolta non è curiosità biografica: è ciò che determina se oggi quella persona sia ancora cittadino sudafricano. La sede è una sola, e sta a Pretoria.</w:t>
      </w:r>
    </w:p>
    <w:p>
      <w:pPr>
        <w:spacing w:after="120" w:line="276"/>
        <w:jc w:val="both"/>
      </w:pPr>
      <w:r>
        <w:rPr>
          <w:rFonts w:ascii="Barlow Semi Condensed" w:cs="Barlow Semi Condensed" w:eastAsia="Barlow Semi Condensed" w:hAnsi="Barlow Semi Condensed"/>
          <w:b/>
          <w:bCs/>
          <w:sz w:val="24"/>
          <w:szCs w:val="24"/>
        </w:rPr>
        <w:t xml:space="preserve">509 · La regola vigente nel 1989.</w:t>
      </w:r>
      <w:r>
        <w:rPr>
          <w:rFonts w:ascii="Barlow Semi Condensed" w:cs="Barlow Semi Condensed" w:eastAsia="Barlow Semi Condensed" w:hAnsi="Barlow Semi Condensed"/>
          <w:sz w:val="24"/>
          <w:szCs w:val="24"/>
        </w:rPr>
        <w:t xml:space="preserve"> Per il passaggio canadese del 1989 non vale la legge del 1995 ma quella precedente, del 1949, che conteneva una previsione di perdita analoga per acquisto volontario di cittadinanza straniera. Se però il titolo canadese fosse stato riconosciuto come esistente fin dalla nascita, e non concesso su domanda, non vi sarebbe stato acquisto volontario e nessuna perdita si sarebbe prodotta. La forma dell'atto canadese determina l'esito sudafricano.</w:t>
      </w:r>
    </w:p>
    <w:p>
      <w:pPr>
        <w:spacing w:after="120" w:line="276"/>
        <w:jc w:val="both"/>
      </w:pPr>
      <w:r>
        <w:rPr>
          <w:rFonts w:ascii="Barlow Semi Condensed" w:cs="Barlow Semi Condensed" w:eastAsia="Barlow Semi Condensed" w:hAnsi="Barlow Semi Condensed"/>
          <w:b/>
          <w:bCs/>
          <w:sz w:val="24"/>
          <w:szCs w:val="24"/>
        </w:rPr>
        <w:t xml:space="preserve">510 · Francoforte 1967, cittadinanza tedesca.</w:t>
      </w:r>
      <w:r>
        <w:rPr>
          <w:rFonts w:ascii="Barlow Semi Condensed" w:cs="Barlow Semi Condensed" w:eastAsia="Barlow Semi Condensed" w:hAnsi="Barlow Semi Condensed"/>
          <w:sz w:val="24"/>
          <w:szCs w:val="24"/>
        </w:rPr>
        <w:t xml:space="preserve"> Peter Andreas Thiel è nato a Francoforte sul Meno l'11 ottobre 1967 ed era cittadino tedesco alla nascita. È fatto pubblico. La sua vicenda migratoria è, sul piano documentale, la più ricca della serie, perché tocca quattro ordinamenti: quello tedesco, quello sudafricano nella sua amministrazione del Sud-Ovest africano, quello statunitense e quello neozelandese. Uno solo di questi ha reso pubblico il proprio fascicolo per effetto di una legge d'accesso.</w:t>
      </w:r>
    </w:p>
    <w:p>
      <w:pPr>
        <w:spacing w:after="120" w:line="276"/>
        <w:jc w:val="both"/>
      </w:pPr>
      <w:r>
        <w:rPr>
          <w:rFonts w:ascii="Barlow Semi Condensed" w:cs="Barlow Semi Condensed" w:eastAsia="Barlow Semi Condensed" w:hAnsi="Barlow Semi Condensed"/>
          <w:b/>
          <w:bCs/>
          <w:sz w:val="24"/>
          <w:szCs w:val="24"/>
        </w:rPr>
        <w:t xml:space="preserve">511 · L'ingresso negli Stati Uniti da bambino.</w:t>
      </w:r>
      <w:r>
        <w:rPr>
          <w:rFonts w:ascii="Barlow Semi Condensed" w:cs="Barlow Semi Condensed" w:eastAsia="Barlow Semi Condensed" w:hAnsi="Barlow Semi Condensed"/>
          <w:sz w:val="24"/>
          <w:szCs w:val="24"/>
        </w:rPr>
        <w:t xml:space="preserve"> La famiglia si trasferì a Cleveland, nell'Ohio, quando il bambino aveva circa un anno: il fatto è riferito concordemente. La categoria d'ingresso non lo è: residenza permanente legata al lavoro del padre, status temporaneo, altro ancora. La distinzione conta perché soltanto la residenza permanente del minore rende possibile, più tardi, l'acquisizione derivata della cittadinanza. Il fascicolo che lo direbbe è quello dell'agenzia federale, e resta chiuso.</w:t>
      </w:r>
    </w:p>
    <w:p>
      <w:pPr>
        <w:spacing w:after="120" w:line="276"/>
        <w:jc w:val="both"/>
      </w:pPr>
      <w:r>
        <w:rPr>
          <w:rFonts w:ascii="Barlow Semi Condensed" w:cs="Barlow Semi Condensed" w:eastAsia="Barlow Semi Condensed" w:hAnsi="Barlow Semi Condensed"/>
          <w:b/>
          <w:bCs/>
          <w:sz w:val="24"/>
          <w:szCs w:val="24"/>
        </w:rPr>
        <w:t xml:space="preserve">512 · Swakopmund, e quale permesso.</w:t>
      </w:r>
      <w:r>
        <w:rPr>
          <w:rFonts w:ascii="Barlow Semi Condensed" w:cs="Barlow Semi Condensed" w:eastAsia="Barlow Semi Condensed" w:hAnsi="Barlow Semi Condensed"/>
          <w:sz w:val="24"/>
          <w:szCs w:val="24"/>
        </w:rPr>
        <w:t xml:space="preserve"> Il soggiorno a Swakopmund, nell'Africa del Sud-Ovest allora amministrata dal Sud Africa, si colloca fra il 1975 e il 1977. Uno straniero residente in quel territorio era soggetto a un regime di permessi gestito dall'amministrazione locale sotto il controllo di Pretoria. Le carte relative si trovano al National Archives of Namibia, a Windhoek, nel fondo dell'amministrazione del Sud-Ovest africano, ed è là che il quesito va posto.</w:t>
      </w:r>
    </w:p>
    <w:p>
      <w:pPr>
        <w:spacing w:after="120" w:line="276"/>
        <w:jc w:val="both"/>
      </w:pPr>
      <w:r>
        <w:rPr>
          <w:rFonts w:ascii="Barlow Semi Condensed" w:cs="Barlow Semi Condensed" w:eastAsia="Barlow Semi Condensed" w:hAnsi="Barlow Semi Condensed"/>
          <w:b/>
          <w:bCs/>
          <w:sz w:val="24"/>
          <w:szCs w:val="24"/>
        </w:rPr>
        <w:t xml:space="preserve">513 · I registri della scuola tedesca.</w:t>
      </w:r>
      <w:r>
        <w:rPr>
          <w:rFonts w:ascii="Barlow Semi Condensed" w:cs="Barlow Semi Condensed" w:eastAsia="Barlow Semi Condensed" w:hAnsi="Barlow Semi Condensed"/>
          <w:sz w:val="24"/>
          <w:szCs w:val="24"/>
        </w:rPr>
        <w:t xml:space="preserve"> Swakopmund ospitava una scuola di lingua tedesca frequentata dai figli della comunità locale e degli espatriati impiegati nel territorio. I registri scolastici, iscrizioni, anni e classi, sono documenti ordinari, di norma conservati dall'istituto o versati agli archivi nazionali namibiani. Sono la via più economica per datare con precisione un soggiorno che tutte le fonti collocano in modo approssimativo. Nessuna delle ricostruzioni in circolazione risulta averli consultati.</w:t>
      </w:r>
    </w:p>
    <w:p>
      <w:pPr>
        <w:spacing w:after="120" w:line="276"/>
        <w:jc w:val="both"/>
      </w:pPr>
      <w:r>
        <w:rPr>
          <w:rFonts w:ascii="Barlow Semi Condensed" w:cs="Barlow Semi Condensed" w:eastAsia="Barlow Semi Condensed" w:hAnsi="Barlow Semi Condensed"/>
          <w:b/>
          <w:bCs/>
          <w:sz w:val="24"/>
          <w:szCs w:val="24"/>
        </w:rPr>
        <w:t xml:space="preserve">514 · La scuola di Johannesburg, e quali atti.</w:t>
      </w:r>
      <w:r>
        <w:rPr>
          <w:rFonts w:ascii="Barlow Semi Condensed" w:cs="Barlow Semi Condensed" w:eastAsia="Barlow Semi Condensed" w:hAnsi="Barlow Semi Condensed"/>
          <w:sz w:val="24"/>
          <w:szCs w:val="24"/>
        </w:rPr>
        <w:t xml:space="preserve"> La frequenza di una scuola preparatoria riservata ai bianchi a Johannesburg è dato acquisito e va trattata come fatto di contesto, non come scelta del bambino: in quel Sud Africa la segregazione scolastica era imposta per legge e nessun alunno vi si sottraeva. Gli atti che identificherebbero l'istituto e gli anni sono i registri della scuola e le carte del dipartimento provinciale dell'istruzione al National Archives di Pretoria.</w:t>
      </w:r>
    </w:p>
    <w:p>
      <w:pPr>
        <w:spacing w:after="120" w:line="276"/>
        <w:jc w:val="both"/>
      </w:pPr>
      <w:r>
        <w:rPr>
          <w:rFonts w:ascii="Barlow Semi Condensed" w:cs="Barlow Semi Condensed" w:eastAsia="Barlow Semi Condensed" w:hAnsi="Barlow Semi Condensed"/>
          <w:b/>
          <w:bCs/>
          <w:sz w:val="24"/>
          <w:szCs w:val="24"/>
        </w:rPr>
        <w:t xml:space="preserve">515 · Il contratto del padre.</w:t>
      </w:r>
      <w:r>
        <w:rPr>
          <w:rFonts w:ascii="Barlow Semi Condensed" w:cs="Barlow Semi Condensed" w:eastAsia="Barlow Semi Condensed" w:hAnsi="Barlow Semi Condensed"/>
          <w:sz w:val="24"/>
          <w:szCs w:val="24"/>
        </w:rPr>
        <w:t xml:space="preserve"> Klaus Thiel, ingegnere chimico, lavorò per un'impresa impegnata nel cantiere della miniera di uranio di Rössing. Il documento che lo attesterebbe con esattezza, datore, mansione e durata, è un contratto d'impiego, e la sua sede naturale è l'archivio della società operatrice o quello della capogruppo mineraria. Nessuna delle due risulta aver aperto quelle serie alla consultazione: la richiesta va formulata, e l'eventuale diniego va schedato come documento.</w:t>
      </w:r>
    </w:p>
    <w:p>
      <w:pPr>
        <w:spacing w:after="120" w:line="276"/>
        <w:jc w:val="both"/>
      </w:pPr>
      <w:r>
        <w:rPr>
          <w:rFonts w:ascii="Barlow Semi Condensed" w:cs="Barlow Semi Condensed" w:eastAsia="Barlow Semi Condensed" w:hAnsi="Barlow Semi Condensed"/>
          <w:b/>
          <w:bCs/>
          <w:sz w:val="24"/>
          <w:szCs w:val="24"/>
        </w:rPr>
        <w:t xml:space="preserve">516 · Il rientro, e la sua data.</w:t>
      </w:r>
      <w:r>
        <w:rPr>
          <w:rFonts w:ascii="Barlow Semi Condensed" w:cs="Barlow Semi Condensed" w:eastAsia="Barlow Semi Condensed" w:hAnsi="Barlow Semi Condensed"/>
          <w:sz w:val="24"/>
          <w:szCs w:val="24"/>
        </w:rPr>
        <w:t xml:space="preserve"> Il ritorno della famiglia dal territorio africano agli Stati Uniti è collocato dalle fonti verso la fine degli anni Settanta, senza data precisa. Il rientro di residenti permanenti dopo un'assenza prolungata non è atto neutro nell'ordinamento d'arrivo: assenze superiori a certe soglie possono incidere sullo status. La scheda d'ingresso e l'eventuale documento di rientro daterebbero il passaggio, e stanno entrambi nel fascicolo individuale.</w:t>
      </w:r>
    </w:p>
    <w:p>
      <w:pPr>
        <w:spacing w:after="120" w:line="276"/>
        <w:jc w:val="both"/>
      </w:pPr>
      <w:r>
        <w:rPr>
          <w:rFonts w:ascii="Barlow Semi Condensed" w:cs="Barlow Semi Condensed" w:eastAsia="Barlow Semi Condensed" w:hAnsi="Barlow Semi Condensed"/>
          <w:b/>
          <w:bCs/>
          <w:sz w:val="24"/>
          <w:szCs w:val="24"/>
        </w:rPr>
        <w:t xml:space="preserve">517 · La cittadinanza che si deriva.</w:t>
      </w:r>
      <w:r>
        <w:rPr>
          <w:rFonts w:ascii="Barlow Semi Condensed" w:cs="Barlow Semi Condensed" w:eastAsia="Barlow Semi Condensed" w:hAnsi="Barlow Semi Condensed"/>
          <w:sz w:val="24"/>
          <w:szCs w:val="24"/>
        </w:rPr>
        <w:t xml:space="preserve"> Fino alla riforma del 2000, il minore residente permanente negli Stati Uniti acquisiva automaticamente la cittadinanza quando entrambi i genitori si naturalizzavano, senza domanda propria. Se questa fu la via seguita, non esiste per Peter Thiel una domanda personale di naturalizzazione: esistono quella dei genitori e, se richiesto, un certificato di cittadinanza. La differenza è sostanziale per chi cerchi in archivio, perché cambia il nome del documento da chiedere.</w:t>
      </w:r>
    </w:p>
    <w:p>
      <w:pPr>
        <w:spacing w:after="120" w:line="276"/>
        <w:jc w:val="both"/>
      </w:pPr>
      <w:r>
        <w:rPr>
          <w:rFonts w:ascii="Barlow Semi Condensed" w:cs="Barlow Semi Condensed" w:eastAsia="Barlow Semi Condensed" w:hAnsi="Barlow Semi Condensed"/>
          <w:b/>
          <w:bCs/>
          <w:sz w:val="24"/>
          <w:szCs w:val="24"/>
        </w:rPr>
        <w:t xml:space="preserve">518 · Il registro tedesco delle perdite.</w:t>
      </w:r>
      <w:r>
        <w:rPr>
          <w:rFonts w:ascii="Barlow Semi Condensed" w:cs="Barlow Semi Condensed" w:eastAsia="Barlow Semi Condensed" w:hAnsi="Barlow Semi Condensed"/>
          <w:sz w:val="24"/>
          <w:szCs w:val="24"/>
        </w:rPr>
        <w:t xml:space="preserve"> L'ordinamento tedesco dell'epoca faceva perdere la cittadinanza a chi ne acquisisse volontariamente un'altra, con eccezioni e con un regime particolare per i minori. L'ufficio che tiene memoria di questi eventi è il Bundesverwaltungsamt di Colonia, che gestisce il registro delle decisioni in materia di cittadinanza. Chiedere lì se e quando la cittadinanza tedesca si sia estinta è un quesito preciso, rivolto a un ufficio esistente, con esito binario.</w:t>
      </w:r>
    </w:p>
    <w:p>
      <w:pPr>
        <w:spacing w:after="120" w:line="276"/>
        <w:jc w:val="both"/>
      </w:pPr>
      <w:r>
        <w:rPr>
          <w:rFonts w:ascii="Barlow Semi Condensed" w:cs="Barlow Semi Condensed" w:eastAsia="Barlow Semi Condensed" w:hAnsi="Barlow Semi Condensed"/>
          <w:b/>
          <w:bCs/>
          <w:sz w:val="24"/>
          <w:szCs w:val="24"/>
        </w:rPr>
        <w:t xml:space="preserve">519 · Il fascicolo neozelandese reso pubblico.</w:t>
      </w:r>
      <w:r>
        <w:rPr>
          <w:rFonts w:ascii="Barlow Semi Condensed" w:cs="Barlow Semi Condensed" w:eastAsia="Barlow Semi Condensed" w:hAnsi="Barlow Semi Condensed"/>
          <w:sz w:val="24"/>
          <w:szCs w:val="24"/>
        </w:rPr>
        <w:t xml:space="preserve"> Qui la serie tocca il suo unico documento pienamente aperto. Nel 2011 la Nuova Zelanda concesse a Peter Thiel la cittadinanza per la via eccezionale prevista dalla legge del 1977, riservata a chi presenti circostanze straordinarie o rechi beneficio al Paese. Nel 2017 il Department of Internal Affairs rilasciò il fascicolo in applicazione della legge sull'informazione ufficiale, e la pratica divenne leggibile. È materia di piano 1.</w:t>
      </w:r>
    </w:p>
    <w:p>
      <w:pPr>
        <w:spacing w:after="120" w:line="276"/>
        <w:jc w:val="both"/>
      </w:pPr>
      <w:r>
        <w:rPr>
          <w:rFonts w:ascii="Barlow Semi Condensed" w:cs="Barlow Semi Condensed" w:eastAsia="Barlow Semi Condensed" w:hAnsi="Barlow Semi Condensed"/>
          <w:b/>
          <w:bCs/>
          <w:sz w:val="24"/>
          <w:szCs w:val="24"/>
        </w:rPr>
        <w:t xml:space="preserve">520 · Dodici giorni di presenza.</w:t>
      </w:r>
      <w:r>
        <w:rPr>
          <w:rFonts w:ascii="Barlow Semi Condensed" w:cs="Barlow Semi Condensed" w:eastAsia="Barlow Semi Condensed" w:hAnsi="Barlow Semi Condensed"/>
          <w:sz w:val="24"/>
          <w:szCs w:val="24"/>
        </w:rPr>
        <w:t xml:space="preserve"> Il dato che rende notevole il caso neozelandese non è la concessione ma il suo presupposto: la documentazione rilasciata attesta una presenza complessiva nel Paese di circa dodici giorni, a fronte di requisiti ordinari di residenza misurati in anni. Non vi è irregolarità alcuna: la via seguita è quella espressamente prevista dalla legge per i casi eccezionali. Vi è però un fatto che si presta al confronto con ogni altra rotta.</w:t>
      </w:r>
    </w:p>
    <w:p>
      <w:pPr>
        <w:spacing w:after="120" w:line="276"/>
        <w:jc w:val="both"/>
      </w:pPr>
      <w:r>
        <w:rPr>
          <w:rFonts w:ascii="Barlow Semi Condensed" w:cs="Barlow Semi Condensed" w:eastAsia="Barlow Semi Condensed" w:hAnsi="Barlow Semi Condensed"/>
          <w:b/>
          <w:bCs/>
          <w:sz w:val="24"/>
          <w:szCs w:val="24"/>
        </w:rPr>
        <w:t xml:space="preserve">521 · Il giuramento in consolato.</w:t>
      </w:r>
      <w:r>
        <w:rPr>
          <w:rFonts w:ascii="Barlow Semi Condensed" w:cs="Barlow Semi Condensed" w:eastAsia="Barlow Semi Condensed" w:hAnsi="Barlow Semi Condensed"/>
          <w:sz w:val="24"/>
          <w:szCs w:val="24"/>
        </w:rPr>
        <w:t xml:space="preserve"> La cerimonia di cittadinanza si tenne fuori dal territorio neozelandese, presso una sede consolare in California, secondo quanto risulta dagli stessi atti rilasciati. È un dettaglio che vale più di molte pagine di commento: mostra che un ordinamento può conferire la propria appartenenza senza che il beneficiario metta piede nel Paese, e che ciò che costituisce lo status è l'atto amministrativo, non la presenza.</w:t>
      </w:r>
    </w:p>
    <w:p>
      <w:pPr>
        <w:spacing w:after="120" w:line="276"/>
        <w:jc w:val="both"/>
      </w:pPr>
      <w:r>
        <w:rPr>
          <w:rFonts w:ascii="Barlow Semi Condensed" w:cs="Barlow Semi Condensed" w:eastAsia="Barlow Semi Condensed" w:hAnsi="Barlow Semi Condensed"/>
          <w:b/>
          <w:bCs/>
          <w:sz w:val="24"/>
          <w:szCs w:val="24"/>
        </w:rPr>
        <w:t xml:space="preserve">522 · I consensi immobiliari e il loro archivio.</w:t>
      </w:r>
      <w:r>
        <w:rPr>
          <w:rFonts w:ascii="Barlow Semi Condensed" w:cs="Barlow Semi Condensed" w:eastAsia="Barlow Semi Condensed" w:hAnsi="Barlow Semi Condensed"/>
          <w:sz w:val="24"/>
          <w:szCs w:val="24"/>
        </w:rPr>
        <w:t xml:space="preserve"> Distinta dalla cittadinanza, e da non confondervi, è la disciplina neozelandese sugli acquisti di terra da parte di stranieri: le operazioni rilevanti richiedono il consenso dell'autorità competente, e le decisioni sono pubblicate. Le proprietà acquistate nell'Isola del Sud hanno generato pratiche consultabili. È una seconda fonte aperta, indipendente dalla prima, e permette di datare presenze e interessi senza ricorrere ad alcuna dichiarazione dell'interessato.</w:t>
      </w:r>
    </w:p>
    <w:p>
      <w:pPr>
        <w:spacing w:after="120" w:line="276"/>
        <w:jc w:val="both"/>
      </w:pPr>
      <w:r>
        <w:rPr>
          <w:rFonts w:ascii="Barlow Semi Condensed" w:cs="Barlow Semi Condensed" w:eastAsia="Barlow Semi Condensed" w:hAnsi="Barlow Semi Condensed"/>
          <w:b/>
          <w:bCs/>
          <w:sz w:val="24"/>
          <w:szCs w:val="24"/>
        </w:rPr>
        <w:t xml:space="preserve">523 · Malta, e il grado da dichiarare.</w:t>
      </w:r>
      <w:r>
        <w:rPr>
          <w:rFonts w:ascii="Barlow Semi Condensed" w:cs="Barlow Semi Condensed" w:eastAsia="Barlow Semi Condensed" w:hAnsi="Barlow Semi Condensed"/>
          <w:sz w:val="24"/>
          <w:szCs w:val="24"/>
        </w:rPr>
        <w:t xml:space="preserve"> Alla fine del 2021 alcune testate hanno riferito l'acquisizione di una cittadinanza maltese per via di un programma d'investimento. Il registro maltese delle naturalizzazioni è pubblicato in gazzetta ufficiale con i soli nomi e per annata, il che rende il riscontro possibile ma non immediato. Finché quel controllo non è eseguito, l'affermazione resta di grado inferiore e non entra fra gli accertamenti di questa serie.</w:t>
      </w:r>
    </w:p>
    <w:p>
      <w:pPr>
        <w:spacing w:after="120" w:line="276"/>
        <w:jc w:val="both"/>
      </w:pPr>
      <w:r>
        <w:rPr>
          <w:rFonts w:ascii="Barlow Semi Condensed" w:cs="Barlow Semi Condensed" w:eastAsia="Barlow Semi Condensed" w:hAnsi="Barlow Semi Condensed"/>
          <w:b/>
          <w:bCs/>
          <w:sz w:val="24"/>
          <w:szCs w:val="24"/>
        </w:rPr>
        <w:t xml:space="preserve">524 · Perché il caso neozelandese è esemplare.</w:t>
      </w:r>
      <w:r>
        <w:rPr>
          <w:rFonts w:ascii="Barlow Semi Condensed" w:cs="Barlow Semi Condensed" w:eastAsia="Barlow Semi Condensed" w:hAnsi="Barlow Semi Condensed"/>
          <w:sz w:val="24"/>
          <w:szCs w:val="24"/>
        </w:rPr>
        <w:t xml:space="preserve"> Il caso va isolato come regola di metodo, perché insegna più del proprio contenuto. Di tutte le rotte di quest'opera, l'unica leggibile per intero lo è perché un ordinamento straniero possiede una legge d'accesso efficace e l'ha applicata a un caso individuale. Non è la rilevanza del soggetto ad aver aperto il fascicolo: è la norma. Dove la norma manca o esclude i viventi, la stessa rilevanza non produce nulla.</w:t>
      </w:r>
    </w:p>
    <w:p>
      <w:pPr>
        <w:spacing w:after="120" w:line="276"/>
        <w:jc w:val="both"/>
      </w:pPr>
      <w:r>
        <w:rPr>
          <w:rFonts w:ascii="Barlow Semi Condensed" w:cs="Barlow Semi Condensed" w:eastAsia="Barlow Semi Condensed" w:hAnsi="Barlow Semi Condensed"/>
          <w:b/>
          <w:bCs/>
          <w:sz w:val="24"/>
          <w:szCs w:val="24"/>
        </w:rPr>
        <w:t xml:space="preserve">525 · Roelof Botha, i fatti pubblici.</w:t>
      </w:r>
      <w:r>
        <w:rPr>
          <w:rFonts w:ascii="Barlow Semi Condensed" w:cs="Barlow Semi Condensed" w:eastAsia="Barlow Semi Condensed" w:hAnsi="Barlow Semi Condensed"/>
          <w:sz w:val="24"/>
          <w:szCs w:val="24"/>
        </w:rPr>
        <w:t xml:space="preserve"> Roelof Botha, nato in Sud Africa nel 1973, si laureò in scienze attuariali all'Università di Città del Capo, lavorò nella consulenza direzionale e conseguì un master alla Stanford Graduate School of Business intorno al 2000; fu direttore finanziario di PayPal e poi socio e managing partner di Sequoia Capital. Sono fatti pubblici, documentabili con atti societari e comunicati d'impresa, ed è tutto ciò che la serie assume su di lui.</w:t>
      </w:r>
    </w:p>
    <w:p>
      <w:pPr>
        <w:spacing w:after="120" w:line="276"/>
        <w:jc w:val="both"/>
      </w:pPr>
      <w:r>
        <w:rPr>
          <w:rFonts w:ascii="Barlow Semi Condensed" w:cs="Barlow Semi Condensed" w:eastAsia="Barlow Semi Condensed" w:hAnsi="Barlow Semi Condensed"/>
          <w:b/>
          <w:bCs/>
          <w:sz w:val="24"/>
          <w:szCs w:val="24"/>
        </w:rPr>
        <w:t xml:space="preserve">526 · L'ingresso col visto, non senza.</w:t>
      </w:r>
      <w:r>
        <w:rPr>
          <w:rFonts w:ascii="Barlow Semi Condensed" w:cs="Barlow Semi Condensed" w:eastAsia="Barlow Semi Condensed" w:hAnsi="Barlow Semi Condensed"/>
          <w:sz w:val="24"/>
          <w:szCs w:val="24"/>
        </w:rPr>
        <w:t xml:space="preserve"> La differenza fra la rotta canadese e quella sudafricana si vede alla frontiera. Il cittadino sudafricano ammesso a un ateneo statunitense doveva ottenere il visto studentesco presso una sede consolare in Sud Africa, con colloquio e fascicolo consolare, mentre il canadese ne era esente. Due persone della stessa coorte hanno dunque generato quantità di carta molto diverse; e la carta consolare, per legge, resta riservata a chiunque la cerchi.</w:t>
      </w:r>
    </w:p>
    <w:p>
      <w:pPr>
        <w:spacing w:after="120" w:line="276"/>
        <w:jc w:val="both"/>
      </w:pPr>
      <w:r>
        <w:rPr>
          <w:rFonts w:ascii="Barlow Semi Condensed" w:cs="Barlow Semi Condensed" w:eastAsia="Barlow Semi Condensed" w:hAnsi="Barlow Semi Condensed"/>
          <w:b/>
          <w:bCs/>
          <w:sz w:val="24"/>
          <w:szCs w:val="24"/>
        </w:rPr>
        <w:t xml:space="preserve">527 · Che cosa non si sa.</w:t>
      </w:r>
      <w:r>
        <w:rPr>
          <w:rFonts w:ascii="Barlow Semi Condensed" w:cs="Barlow Semi Condensed" w:eastAsia="Barlow Semi Condensed" w:hAnsi="Barlow Semi Condensed"/>
          <w:sz w:val="24"/>
          <w:szCs w:val="24"/>
        </w:rPr>
        <w:t xml:space="preserve"> Delle tappe successive, residenza permanente, eventuale naturalizzazione, sorte della cittadinanza sudafricana, non risulta alcun atto pubblico né alcuna dichiarazione circostanziata. La serie non colma il vuoto per simmetria con altri casi: lo verbalizza, secondo il test dei buchi che l'agenda di ricerca fissa al blocco 233. Le sedi che lo chiuderebbero sono due, l'agenzia federale statunitense col consenso dell'interessato e il Dipartimento degli Affari Interni sudafricano.</w:t>
      </w:r>
    </w:p>
    <w:p>
      <w:pPr>
        <w:spacing w:after="120" w:line="276"/>
        <w:jc w:val="both"/>
      </w:pPr>
      <w:r>
        <w:rPr>
          <w:rFonts w:ascii="Barlow Semi Condensed" w:cs="Barlow Semi Condensed" w:eastAsia="Barlow Semi Condensed" w:hAnsi="Barlow Semi Condensed"/>
          <w:b/>
          <w:bCs/>
          <w:sz w:val="24"/>
          <w:szCs w:val="24"/>
        </w:rPr>
        <w:t xml:space="preserve">528 · Il nonno, e l'omonimia da evitare.</w:t>
      </w:r>
      <w:r>
        <w:rPr>
          <w:rFonts w:ascii="Barlow Semi Condensed" w:cs="Barlow Semi Condensed" w:eastAsia="Barlow Semi Condensed" w:hAnsi="Barlow Semi Condensed"/>
          <w:sz w:val="24"/>
          <w:szCs w:val="24"/>
        </w:rPr>
        <w:t xml:space="preserve"> La parentela è documentata e va enunciata con esattezza: Roelof Botha è nipote di Roelof Frederik Botha, detto Pik, ministro degli Esteri sudafricano dal 1977 al 1994 e poi ministro delle Miniere e dell'Energia nel primo governo Mandela. Pik Botha non era parente di P.W. Botha, presidente dello Stato. La confusione fra i due è l'errore più diffuso su questa materia, e chi la commette costruisce una genealogia inesistente.</w:t>
      </w:r>
    </w:p>
    <w:p>
      <w:pPr>
        <w:spacing w:after="120" w:line="276"/>
        <w:jc w:val="both"/>
      </w:pPr>
      <w:r>
        <w:rPr>
          <w:rFonts w:ascii="Barlow Semi Condensed" w:cs="Barlow Semi Condensed" w:eastAsia="Barlow Semi Condensed" w:hAnsi="Barlow Semi Condensed"/>
          <w:b/>
          <w:bCs/>
          <w:sz w:val="24"/>
          <w:szCs w:val="24"/>
        </w:rPr>
        <w:t xml:space="preserve">529 · Una parentela non è una rotta.</w:t>
      </w:r>
      <w:r>
        <w:rPr>
          <w:rFonts w:ascii="Barlow Semi Condensed" w:cs="Barlow Semi Condensed" w:eastAsia="Barlow Semi Condensed" w:hAnsi="Barlow Semi Condensed"/>
          <w:sz w:val="24"/>
          <w:szCs w:val="24"/>
        </w:rPr>
        <w:t xml:space="preserve"> Che il nonno abbia diretto per diciassette anni la diplomazia di uno Stato non dice nulla sullo status migratorio del nipote, e la serie non ne inferisce alcunché. La domanda legittima è invece documentale e limitata: se negli archivi consolari o ministeriali sudafricani esista un atto relativo al rilascio di documenti di viaggio a familiari. Senza quell'atto la parentela resta parentela, e la rotta resta ordinaria.</w:t>
      </w:r>
    </w:p>
    <w:p>
      <w:pPr>
        <w:spacing w:after="120" w:line="276"/>
        <w:jc w:val="both"/>
      </w:pPr>
      <w:r>
        <w:rPr>
          <w:rFonts w:ascii="Barlow Semi Condensed" w:cs="Barlow Semi Condensed" w:eastAsia="Barlow Semi Condensed" w:hAnsi="Barlow Semi Condensed"/>
          <w:b/>
          <w:bCs/>
          <w:sz w:val="24"/>
          <w:szCs w:val="24"/>
        </w:rPr>
        <w:t xml:space="preserve">530 · Città del Capo 1972, cinque anni dopo.</w:t>
      </w:r>
      <w:r>
        <w:rPr>
          <w:rFonts w:ascii="Barlow Semi Condensed" w:cs="Barlow Semi Condensed" w:eastAsia="Barlow Semi Condensed" w:hAnsi="Barlow Semi Condensed"/>
          <w:sz w:val="24"/>
          <w:szCs w:val="24"/>
        </w:rPr>
        <w:t xml:space="preserve"> David Sacks è nato a Città del Capo nel 1972 e la sua famiglia si trasferì negli Stati Uniti quando aveva circa cinque anni, stabilendosi in Tennessee. È fatto pubblico, riferito dall'interessato e ripreso concordemente. Come per Peter Thiel, la categoria d'ingresso dei genitori determina la via seguita dal minore, e l'unico documento che la direbbe è il fascicolo familiare presso l'agenzia federale statunitense.</w:t>
      </w:r>
    </w:p>
    <w:p>
      <w:pPr>
        <w:spacing w:after="120" w:line="276"/>
        <w:jc w:val="both"/>
      </w:pPr>
      <w:r>
        <w:rPr>
          <w:rFonts w:ascii="Barlow Semi Condensed" w:cs="Barlow Semi Condensed" w:eastAsia="Barlow Semi Condensed" w:hAnsi="Barlow Semi Condensed"/>
          <w:b/>
          <w:bCs/>
          <w:sz w:val="24"/>
          <w:szCs w:val="24"/>
        </w:rPr>
        <w:t xml:space="preserve">531 · Kiev 1991, una rotta diversa.</w:t>
      </w:r>
      <w:r>
        <w:rPr>
          <w:rFonts w:ascii="Barlow Semi Condensed" w:cs="Barlow Semi Condensed" w:eastAsia="Barlow Semi Condensed" w:hAnsi="Barlow Semi Condensed"/>
          <w:sz w:val="24"/>
          <w:szCs w:val="24"/>
        </w:rPr>
        <w:t xml:space="preserve"> Max Levchin, nato a Kiev nel 1975, arrivò negli Stati Uniti nel 1991 con la famiglia per una via del tutto diversa da quelle finora descritte: il riconoscimento della condizione di rifugiato, aperta ai cittadini sovietici da una disposizione legislativa statunitense del 1989. Genera atti di natura differente, pratiche di ricollocamento e agenzie di accoglienza, e dimostra che le rotte non sono riducibili a un modello unico.</w:t>
      </w:r>
    </w:p>
    <w:p>
      <w:pPr>
        <w:spacing w:after="120" w:line="276"/>
        <w:jc w:val="both"/>
      </w:pPr>
      <w:r>
        <w:rPr>
          <w:rFonts w:ascii="Barlow Semi Condensed" w:cs="Barlow Semi Condensed" w:eastAsia="Barlow Semi Condensed" w:hAnsi="Barlow Semi Condensed"/>
          <w:b/>
          <w:bCs/>
          <w:sz w:val="24"/>
          <w:szCs w:val="24"/>
        </w:rPr>
        <w:t xml:space="preserve">532 · Tre rotte, nessun modello comune.</w:t>
      </w:r>
      <w:r>
        <w:rPr>
          <w:rFonts w:ascii="Barlow Semi Condensed" w:cs="Barlow Semi Condensed" w:eastAsia="Barlow Semi Condensed" w:hAnsi="Barlow Semi Condensed"/>
          <w:sz w:val="24"/>
          <w:szCs w:val="24"/>
        </w:rPr>
        <w:t xml:space="preserve"> Messe in fila, le vie d'accesso divergono radicalmente: discendenza familiare e passaggio canadese in un caso; ingresso da minore al seguito dei genitori in altri due; riconoscimento di protezione internazionale in un altro ancora. Nessuna procedura è condivisa, nessun ufficio è comune, nessuna data coincide. È il primo risultato negativo forte di questa serie, e va scritto per intero perché smentisce ogni lettura per coorte omogenea.</w:t>
      </w:r>
    </w:p>
    <w:p>
      <w:pPr>
        <w:spacing w:after="120" w:line="276"/>
        <w:jc w:val="both"/>
      </w:pPr>
      <w:r>
        <w:rPr>
          <w:rFonts w:ascii="Barlow Semi Condensed" w:cs="Barlow Semi Condensed" w:eastAsia="Barlow Semi Condensed" w:hAnsi="Barlow Semi Condensed"/>
          <w:b/>
          <w:bCs/>
          <w:sz w:val="24"/>
          <w:szCs w:val="24"/>
        </w:rPr>
        <w:t xml:space="preserve">533 · Altri nati altrove, stessa avvertenza.</w:t>
      </w:r>
      <w:r>
        <w:rPr>
          <w:rFonts w:ascii="Barlow Semi Condensed" w:cs="Barlow Semi Condensed" w:eastAsia="Barlow Semi Condensed" w:hAnsi="Barlow Semi Condensed"/>
          <w:sz w:val="24"/>
          <w:szCs w:val="24"/>
        </w:rPr>
        <w:t xml:space="preserve"> Nel gruppo che la stampa associò a quella copertina figurano altri nati fuori dagli Stati Uniti, in Polonia e in Germania orientale, arrivati da bambini o da adolescenti fra gli anni Ottanta e Novanta. Il dato aggregato interessa come misura di un'epoca, non come indizio: negli anni considerati la quota di fondatori di imprese tecnologiche nati all'estero era elevata e statisticamente documentata.</w:t>
      </w:r>
    </w:p>
    <w:p>
      <w:pPr>
        <w:spacing w:after="120" w:line="276"/>
        <w:jc w:val="both"/>
      </w:pPr>
      <w:r>
        <w:rPr>
          <w:rFonts w:ascii="Barlow Semi Condensed" w:cs="Barlow Semi Condensed" w:eastAsia="Barlow Semi Condensed" w:hAnsi="Barlow Semi Condensed"/>
          <w:b/>
          <w:bCs/>
          <w:sz w:val="24"/>
          <w:szCs w:val="24"/>
        </w:rPr>
        <w:t xml:space="preserve">534 · Una copertina non è una coorte.</w:t>
      </w:r>
      <w:r>
        <w:rPr>
          <w:rFonts w:ascii="Barlow Semi Condensed" w:cs="Barlow Semi Condensed" w:eastAsia="Barlow Semi Condensed" w:hAnsi="Barlow Semi Condensed"/>
          <w:sz w:val="24"/>
          <w:szCs w:val="24"/>
        </w:rPr>
        <w:t xml:space="preserve"> La locuzione nata dal servizio di copertina di Fortune del novembre 2007, con la fotografia di gruppo scattata in un ristorante di San Francisco, non individua un ente né una coorte migratoria: è una categoria giornalistica. Elon Musk non comparve in quella fotografia. Applicarle un'analisi per rotte come se fosse un gruppo omogeneo significa attribuire al giornalismo una funzione anagrafica che non ha mai avuto.</w:t>
      </w:r>
    </w:p>
    <w:p>
      <w:pPr>
        <w:spacing w:after="120" w:line="276"/>
        <w:jc w:val="both"/>
      </w:pPr>
      <w:r>
        <w:rPr>
          <w:rFonts w:ascii="Barlow Semi Condensed" w:cs="Barlow Semi Condensed" w:eastAsia="Barlow Semi Condensed" w:hAnsi="Barlow Semi Condensed"/>
          <w:b/>
          <w:bCs/>
          <w:sz w:val="24"/>
          <w:szCs w:val="24"/>
        </w:rPr>
        <w:t xml:space="preserve">535 · Il 1986 e i voli interrotti.</w:t>
      </w:r>
      <w:r>
        <w:rPr>
          <w:rFonts w:ascii="Barlow Semi Condensed" w:cs="Barlow Semi Condensed" w:eastAsia="Barlow Semi Condensed" w:hAnsi="Barlow Semi Condensed"/>
          <w:sz w:val="24"/>
          <w:szCs w:val="24"/>
        </w:rPr>
        <w:t xml:space="preserve"> Un vincolo di rotta materiale, e scritto in legge: la normativa statunitense contro l'apartheid del 1986 dispose fra l'altro la cessazione dei collegamenti aerei diretti con il Sud Africa, ripristinati soltanto all'inizio degli anni Novanta. Chi lasciò il Paese verso il Nordamerica in quel periodo passò necessariamente per uno scalo europeo. È un dettaglio che i registri di frontiera riflettono e che consente di verificare i racconti di viaggio.</w:t>
      </w:r>
    </w:p>
    <w:p>
      <w:pPr>
        <w:spacing w:after="120" w:line="276"/>
        <w:jc w:val="both"/>
      </w:pPr>
      <w:r>
        <w:rPr>
          <w:rFonts w:ascii="Barlow Semi Condensed" w:cs="Barlow Semi Condensed" w:eastAsia="Barlow Semi Condensed" w:hAnsi="Barlow Semi Condensed"/>
          <w:b/>
          <w:bCs/>
          <w:sz w:val="24"/>
          <w:szCs w:val="24"/>
        </w:rPr>
        <w:t xml:space="preserve">536 · Portare fuori il denaro.</w:t>
      </w:r>
      <w:r>
        <w:rPr>
          <w:rFonts w:ascii="Barlow Semi Condensed" w:cs="Barlow Semi Condensed" w:eastAsia="Barlow Semi Condensed" w:hAnsi="Barlow Semi Condensed"/>
          <w:sz w:val="24"/>
          <w:szCs w:val="24"/>
        </w:rPr>
        <w:t xml:space="preserve"> Il Sud Africa applicava un rigido controllo dei cambi, con un regime valutario doppio in vigore per un decennio dal 1985, e chi emigrava doveva dichiarare l'emigrazione e rispettare i limiti all'esportazione di capitali fissati dalla banca centrale. Ne segue che ogni trasferimento familiare di denaro verso il Nordamerica lasciava allora una traccia bancaria e autorizzativa. È la sede che chiuderebbe più di una controversia sull'origine dei primi capitali.</w:t>
      </w:r>
    </w:p>
    <w:p>
      <w:pPr>
        <w:spacing w:after="120" w:line="276"/>
        <w:jc w:val="both"/>
      </w:pPr>
      <w:r>
        <w:rPr>
          <w:rFonts w:ascii="Barlow Semi Condensed" w:cs="Barlow Semi Condensed" w:eastAsia="Barlow Semi Condensed" w:hAnsi="Barlow Semi Condensed"/>
          <w:b/>
          <w:bCs/>
          <w:sz w:val="24"/>
          <w:szCs w:val="24"/>
        </w:rPr>
        <w:t xml:space="preserve">537 · Lo Stato scoraggiava, non organizzava.</w:t>
      </w:r>
      <w:r>
        <w:rPr>
          <w:rFonts w:ascii="Barlow Semi Condensed" w:cs="Barlow Semi Condensed" w:eastAsia="Barlow Semi Condensed" w:hAnsi="Barlow Semi Condensed"/>
          <w:sz w:val="24"/>
          <w:szCs w:val="24"/>
        </w:rPr>
        <w:t xml:space="preserve"> È il bersaglio di smentita principale di questa serie, e va offerto al lettore avversario. Se esistesse un programma statale sudafricano che favorisse il collocamento all'estero di giovani bianchi qualificati, la tesi di continuità ne uscirebbe rafforzata. La documentazione disponibile indica il contrario: Pretoria istituì e finanziò un dipartimento per attrarre immigrazione bianca, e l'emigrazione era trattata nella pubblicistica interna come diserzione.</w:t>
      </w:r>
    </w:p>
    <w:p>
      <w:pPr>
        <w:spacing w:after="120" w:line="276"/>
        <w:jc w:val="both"/>
      </w:pPr>
      <w:r>
        <w:rPr>
          <w:rFonts w:ascii="Barlow Semi Condensed" w:cs="Barlow Semi Condensed" w:eastAsia="Barlow Semi Condensed" w:hAnsi="Barlow Semi Condensed"/>
          <w:b/>
          <w:bCs/>
          <w:sz w:val="24"/>
          <w:szCs w:val="24"/>
        </w:rPr>
        <w:t xml:space="preserve">538 · La chiamata alle armi.</w:t>
      </w:r>
      <w:r>
        <w:rPr>
          <w:rFonts w:ascii="Barlow Semi Condensed" w:cs="Barlow Semi Condensed" w:eastAsia="Barlow Semi Condensed" w:hAnsi="Barlow Semi Condensed"/>
          <w:sz w:val="24"/>
          <w:szCs w:val="24"/>
        </w:rPr>
        <w:t xml:space="preserve"> Il servizio militare era obbligatorio per i soli maschi bianchi, esteso a due anni dal 1977, con pene severe per chi si sottraeva. Elon Musk ha dichiarato pubblicamente che una delle ragioni della partenza fu evitare quel servizio. La dichiarazione è pubblica; l'atto che la riscontrerebbe è il registro di chiamata conservato dal centro di documentazione delle forze armate sudafricane, a Pretoria. Chi partì prima della chiamata non lasciò registro.</w:t>
      </w:r>
    </w:p>
    <w:p>
      <w:pPr>
        <w:spacing w:after="120" w:line="276"/>
        <w:jc w:val="both"/>
      </w:pPr>
      <w:r>
        <w:rPr>
          <w:rFonts w:ascii="Barlow Semi Condensed" w:cs="Barlow Semi Condensed" w:eastAsia="Barlow Semi Condensed" w:hAnsi="Barlow Semi Condensed"/>
          <w:b/>
          <w:bCs/>
          <w:sz w:val="24"/>
          <w:szCs w:val="24"/>
        </w:rPr>
        <w:t xml:space="preserve">539 · Misurare la coorte, non il singolo.</w:t>
      </w:r>
      <w:r>
        <w:rPr>
          <w:rFonts w:ascii="Barlow Semi Condensed" w:cs="Barlow Semi Condensed" w:eastAsia="Barlow Semi Condensed" w:hAnsi="Barlow Semi Condensed"/>
          <w:sz w:val="24"/>
          <w:szCs w:val="24"/>
        </w:rPr>
        <w:t xml:space="preserve"> Contro la tentazione di leggere ogni biografia come eccezione esistono le serie statistiche. Il Sud Africa pubblicò per decenni un rapporto sulla migrazione documentata, sospeso nei primi anni Duemila; il Canada e gli Stati Uniti pubblicano da sempre le proprie serie annuali per Paese di provenienza. Se le partenze del 1989 rientrano in un flusso di decine di migliaia, la singolarità della rotta va dimostrata e non presunta.</w:t>
      </w:r>
    </w:p>
    <w:p>
      <w:pPr>
        <w:spacing w:after="120" w:line="276"/>
        <w:jc w:val="both"/>
      </w:pPr>
      <w:r>
        <w:rPr>
          <w:rFonts w:ascii="Barlow Semi Condensed" w:cs="Barlow Semi Condensed" w:eastAsia="Barlow Semi Condensed" w:hAnsi="Barlow Semi Condensed"/>
          <w:b/>
          <w:bCs/>
          <w:sz w:val="24"/>
          <w:szCs w:val="24"/>
        </w:rPr>
        <w:t xml:space="preserve">540 · Che cosa falsificherebbe questa serie.</w:t>
      </w:r>
      <w:r>
        <w:rPr>
          <w:rFonts w:ascii="Barlow Semi Condensed" w:cs="Barlow Semi Condensed" w:eastAsia="Barlow Semi Condensed" w:hAnsi="Barlow Semi Condensed"/>
          <w:sz w:val="24"/>
          <w:szCs w:val="24"/>
        </w:rPr>
        <w:t xml:space="preserve"> Il criterio di smentita si dichiara qui, esplicito. Se i fascicoli, quando saranno accessibili, mostreranno soltanto categorie ordinarie, status studentesco, lavoro qualificato, discendenza, protezione, usate in quegli anni da centinaia di migliaia di persone, la rotta cesserà di avere valore esplicativo e resterà biografia. La serie ha valore solo se produce quei fascicoli; e se il loro contenuto è banale, il risultato è comunque acquisito.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ottava — La formazione: scuole, università, coscrizione</w:t>
      </w:r>
    </w:p>
    <w:p>
      <w:pPr>
        <w:spacing w:after="120" w:line="276"/>
        <w:jc w:val="both"/>
      </w:pPr>
      <w:r>
        <w:rPr>
          <w:rFonts w:ascii="Barlow Semi Condensed" w:cs="Barlow Semi Condensed" w:eastAsia="Barlow Semi Condensed" w:hAnsi="Barlow Semi Condensed"/>
          <w:i/>
          <w:iCs/>
          <w:sz w:val="24"/>
          <w:szCs w:val="24"/>
        </w:rPr>
        <w:t xml:space="preserve">Blocchi 541-610.</w:t>
      </w:r>
    </w:p>
    <w:p>
      <w:pPr>
        <w:spacing w:after="120" w:line="276"/>
        <w:jc w:val="both"/>
      </w:pPr>
      <w:r>
        <w:rPr>
          <w:rFonts w:ascii="Barlow Semi Condensed" w:cs="Barlow Semi Condensed" w:eastAsia="Barlow Semi Condensed" w:hAnsi="Barlow Semi Condensed"/>
          <w:b/>
          <w:bCs/>
          <w:sz w:val="24"/>
          <w:szCs w:val="24"/>
        </w:rPr>
        <w:t xml:space="preserve">541 · Che cosa misura questa serie (serie VIII).</w:t>
      </w:r>
      <w:r>
        <w:rPr>
          <w:rFonts w:ascii="Barlow Semi Condensed" w:cs="Barlow Semi Condensed" w:eastAsia="Barlow Semi Condensed" w:hAnsi="Barlow Semi Condensed"/>
          <w:sz w:val="24"/>
          <w:szCs w:val="24"/>
        </w:rPr>
        <w:t xml:space="preserve"> La formazione è un oggetto d'archivio prima che una spiegazione. Qui si accerta che cosa un'istituzione prescriveva, quali carte produceva e dove quelle carte oggi si trovino; non che cosa un allievo credette. La distinzione regge l'intera serie ed è la sua condizione di validità: un programma di studi è un documento, una convinzione è al più una dichiarazione resa pubblicamente, e i due gradi non si sommano mai.</w:t>
      </w:r>
    </w:p>
    <w:p>
      <w:pPr>
        <w:spacing w:after="120" w:line="276"/>
        <w:jc w:val="both"/>
      </w:pPr>
      <w:r>
        <w:rPr>
          <w:rFonts w:ascii="Barlow Semi Condensed" w:cs="Barlow Semi Condensed" w:eastAsia="Barlow Semi Condensed" w:hAnsi="Barlow Semi Condensed"/>
          <w:b/>
          <w:bCs/>
          <w:sz w:val="24"/>
          <w:szCs w:val="24"/>
        </w:rPr>
        <w:t xml:space="preserve">542 · Il programma non è la persona.</w:t>
      </w:r>
      <w:r>
        <w:rPr>
          <w:rFonts w:ascii="Barlow Semi Condensed" w:cs="Barlow Semi Condensed" w:eastAsia="Barlow Semi Condensed" w:hAnsi="Barlow Semi Condensed"/>
          <w:sz w:val="24"/>
          <w:szCs w:val="24"/>
        </w:rPr>
        <w:t xml:space="preserve"> Un piano di studi prescrive e non descrive nessuno. Dal fatto che una scuola imponesse una materia non discende che l'allievo l'abbia interiorizzata, né che l'abbia respinta. Il manuale investigativo del corpus fissa al blocco 5 la regola personalistica — l'appartenenza non è condotta — e qui la si applica al banco di scuola, che resta la forma più antica di appartenenza involontaria: l'iscrizione è atto dei genitori, non scelta del minore.</w:t>
      </w:r>
    </w:p>
    <w:p>
      <w:pPr>
        <w:spacing w:after="120" w:line="276"/>
        <w:jc w:val="both"/>
      </w:pPr>
      <w:r>
        <w:rPr>
          <w:rFonts w:ascii="Barlow Semi Condensed" w:cs="Barlow Semi Condensed" w:eastAsia="Barlow Semi Condensed" w:hAnsi="Barlow Semi Condensed"/>
          <w:b/>
          <w:bCs/>
          <w:sz w:val="24"/>
          <w:szCs w:val="24"/>
        </w:rPr>
        <w:t xml:space="preserve">543 · L'infanzia come dato involontario.</w:t>
      </w:r>
      <w:r>
        <w:rPr>
          <w:rFonts w:ascii="Barlow Semi Condensed" w:cs="Barlow Semi Condensed" w:eastAsia="Barlow Semi Condensed" w:hAnsi="Barlow Semi Condensed"/>
          <w:sz w:val="24"/>
          <w:szCs w:val="24"/>
        </w:rPr>
        <w:t xml:space="preserve"> Nessuno sceglie dove nasce, in quale lingua viene alfabetizzato, sotto quale regime prende il primo diploma. Un bambino che nel 1975 frequenti una scuola in un territorio amministrato da Pretoria non ha compiuto un atto politico: ha obbedito a un trasloco. Questa serie registra dunque i contesti scolastici come coordinate biografiche verificabili, e vieta a se stessa il passaggio dal contesto alla disposizione morale dell'adulto che quel bambino divenne.</w:t>
      </w:r>
    </w:p>
    <w:p>
      <w:pPr>
        <w:spacing w:after="120" w:line="276"/>
        <w:jc w:val="both"/>
      </w:pPr>
      <w:r>
        <w:rPr>
          <w:rFonts w:ascii="Barlow Semi Condensed" w:cs="Barlow Semi Condensed" w:eastAsia="Barlow Semi Condensed" w:hAnsi="Barlow Semi Condensed"/>
          <w:b/>
          <w:bCs/>
          <w:sz w:val="24"/>
          <w:szCs w:val="24"/>
        </w:rPr>
        <w:t xml:space="preserve">544 · I quattro gradi in aula.</w:t>
      </w:r>
      <w:r>
        <w:rPr>
          <w:rFonts w:ascii="Barlow Semi Condensed" w:cs="Barlow Semi Condensed" w:eastAsia="Barlow Semi Condensed" w:hAnsi="Barlow Semi Condensed"/>
          <w:sz w:val="24"/>
          <w:szCs w:val="24"/>
        </w:rPr>
        <w:t xml:space="preserve"> Ogni acquisizione della serie porta il grado dichiarato, secondo la scala già in uso nel corpus: fatto pubblico per una data d'immatricolazione, documentato per un registro effettivamente consultato, indiziario per una ricostruzione tratta da elenchi parziali, congetturale per ciò che resta ipotesi. Lo Stato Zero — cercato e non trovato — vale quanto un rinvenimento, purché sia scritto insieme alla sede d'archivio che lo chiuderebbe.</w:t>
      </w:r>
    </w:p>
    <w:p>
      <w:pPr>
        <w:spacing w:after="120" w:line="276"/>
        <w:jc w:val="both"/>
      </w:pPr>
      <w:r>
        <w:rPr>
          <w:rFonts w:ascii="Barlow Semi Condensed" w:cs="Barlow Semi Condensed" w:eastAsia="Barlow Semi Condensed" w:hAnsi="Barlow Semi Condensed"/>
          <w:b/>
          <w:bCs/>
          <w:sz w:val="24"/>
          <w:szCs w:val="24"/>
        </w:rPr>
        <w:t xml:space="preserve">545 · Il documento dovuto della scuola.</w:t>
      </w:r>
      <w:r>
        <w:rPr>
          <w:rFonts w:ascii="Barlow Semi Condensed" w:cs="Barlow Semi Condensed" w:eastAsia="Barlow Semi Condensed" w:hAnsi="Barlow Semi Condensed"/>
          <w:sz w:val="24"/>
          <w:szCs w:val="24"/>
        </w:rPr>
        <w:t xml:space="preserve"> Una scuola, per esistere amministrativamente, genera carte prevedibili: registro d'ammissione, ruolo delle classi, verbali del consiglio, circolari sui programmi, rapporti d'ispezione, corrispondenza con l'autorità provinciale. Il principio del blocco 10 del manuale investigativo vale qui identico: la domanda operativa non è che cosa si insegnasse in spirito, ma dove siano le carte che quell'insegnamento ha necessariamente prodotto. Se il documento dovuto manca, l'assenza è dato di grado alto.</w:t>
      </w:r>
    </w:p>
    <w:p>
      <w:pPr>
        <w:spacing w:after="120" w:line="276"/>
        <w:jc w:val="both"/>
      </w:pPr>
      <w:r>
        <w:rPr>
          <w:rFonts w:ascii="Barlow Semi Condensed" w:cs="Barlow Semi Condensed" w:eastAsia="Barlow Semi Condensed" w:hAnsi="Barlow Semi Condensed"/>
          <w:b/>
          <w:bCs/>
          <w:sz w:val="24"/>
          <w:szCs w:val="24"/>
        </w:rPr>
        <w:t xml:space="preserve">546 · La coorte non è il carattere.</w:t>
      </w:r>
      <w:r>
        <w:rPr>
          <w:rFonts w:ascii="Barlow Semi Condensed" w:cs="Barlow Semi Condensed" w:eastAsia="Barlow Semi Condensed" w:hAnsi="Barlow Semi Condensed"/>
          <w:sz w:val="24"/>
          <w:szCs w:val="24"/>
        </w:rPr>
        <w:t xml:space="preserve"> Condividere un anno di nascita, una provincia e una classificazione razziale imposta significa condividere un insieme di vincoli, non un insieme di idee. Migliaia di ragazzi bianchi sudafricani nati fra il 1967 e il 1975 attraversarono aule simili e ne uscirono in direzioni opposte, alcuni verso l'obiezione dichiarata, altri verso la carriera militare. La coorte è una popolazione statistica: non predice nulla del singolo e non prova nulla contro di lui.</w:t>
      </w:r>
    </w:p>
    <w:p>
      <w:pPr>
        <w:spacing w:after="120" w:line="276"/>
        <w:jc w:val="both"/>
      </w:pPr>
      <w:r>
        <w:rPr>
          <w:rFonts w:ascii="Barlow Semi Condensed" w:cs="Barlow Semi Condensed" w:eastAsia="Barlow Semi Condensed" w:hAnsi="Barlow Semi Condensed"/>
          <w:b/>
          <w:bCs/>
          <w:sz w:val="24"/>
          <w:szCs w:val="24"/>
        </w:rPr>
        <w:t xml:space="preserve">547 · La commissione Eiselen e il suo rapporto.</w:t>
      </w:r>
      <w:r>
        <w:rPr>
          <w:rFonts w:ascii="Barlow Semi Condensed" w:cs="Barlow Semi Condensed" w:eastAsia="Barlow Semi Condensed" w:hAnsi="Barlow Semi Condensed"/>
          <w:sz w:val="24"/>
          <w:szCs w:val="24"/>
        </w:rPr>
        <w:t xml:space="preserve"> Il fondamento dottrinale dell'istruzione separata sta in un documento datato: il rapporto della commissione sull'istruzione degli indigeni presieduta da Werner Eiselen, insediata nel 1949 e pubblicata nel 1951 come atto governativo con la segnatura UG 53/1951. È stampato, paginato e citabile; chi discute di Bantu Education senza averlo aperto discute di una parafrasi. Prima sede di consultazione: le serie delle pubblicazioni ufficiali all'Archivio nazionale di Pretoria.</w:t>
      </w:r>
    </w:p>
    <w:p>
      <w:pPr>
        <w:spacing w:after="120" w:line="276"/>
        <w:jc w:val="both"/>
      </w:pPr>
      <w:r>
        <w:rPr>
          <w:rFonts w:ascii="Barlow Semi Condensed" w:cs="Barlow Semi Condensed" w:eastAsia="Barlow Semi Condensed" w:hAnsi="Barlow Semi Condensed"/>
          <w:b/>
          <w:bCs/>
          <w:sz w:val="24"/>
          <w:szCs w:val="24"/>
        </w:rPr>
        <w:t xml:space="preserve">548 · Il Bantu Education Act del 1953.</w:t>
      </w:r>
      <w:r>
        <w:rPr>
          <w:rFonts w:ascii="Barlow Semi Condensed" w:cs="Barlow Semi Condensed" w:eastAsia="Barlow Semi Condensed" w:hAnsi="Barlow Semi Condensed"/>
          <w:sz w:val="24"/>
          <w:szCs w:val="24"/>
        </w:rPr>
        <w:t xml:space="preserve"> La legge numero 47 del 1953 sottrasse l'istruzione africana alle missioni e la pose sotto il ministero degli Affari indigeni. Il testo promulgato sta nella gazzetta ufficiale dell'Unione: si cita per numero, anno e sezione, mai per riassunto altrui. Il bersaglio d'archivio è duplice — il testo di legge e i regolamenti attuativi successivi, che sono la parte operativa e insieme la meno letta dalla pubblicistica corrente.</w:t>
      </w:r>
    </w:p>
    <w:p>
      <w:pPr>
        <w:spacing w:after="120" w:line="276"/>
        <w:jc w:val="both"/>
      </w:pPr>
      <w:r>
        <w:rPr>
          <w:rFonts w:ascii="Barlow Semi Condensed" w:cs="Barlow Semi Condensed" w:eastAsia="Barlow Semi Condensed" w:hAnsi="Barlow Semi Condensed"/>
          <w:b/>
          <w:bCs/>
          <w:sz w:val="24"/>
          <w:szCs w:val="24"/>
        </w:rPr>
        <w:t xml:space="preserve">549 · Le carte che la legge generò.</w:t>
      </w:r>
      <w:r>
        <w:rPr>
          <w:rFonts w:ascii="Barlow Semi Condensed" w:cs="Barlow Semi Condensed" w:eastAsia="Barlow Semi Condensed" w:hAnsi="Barlow Semi Condensed"/>
          <w:sz w:val="24"/>
          <w:szCs w:val="24"/>
        </w:rPr>
        <w:t xml:space="preserve"> Dal 1955 il passaggio delle scuole africane all'amministrazione statale produsse un apparato documentale enorme: fascicoli di sovvenzione, ruoli del personale insegnante, circolari sui sillabi, rapporti d'ispezione distrettuali. Il dipartimento competente, divenuto autonomo nel 1958, ha lasciato un fondo che va identificato per sigla e per serie presso il National Archives and Record Service of South Africa, a Pretoria. Senza le sigle di serie nessuna richiesta di consultazione è formulabile.</w:t>
      </w:r>
    </w:p>
    <w:p>
      <w:pPr>
        <w:spacing w:after="120" w:line="276"/>
        <w:jc w:val="both"/>
      </w:pPr>
      <w:r>
        <w:rPr>
          <w:rFonts w:ascii="Barlow Semi Condensed" w:cs="Barlow Semi Condensed" w:eastAsia="Barlow Semi Condensed" w:hAnsi="Barlow Semi Condensed"/>
          <w:b/>
          <w:bCs/>
          <w:sz w:val="24"/>
          <w:szCs w:val="24"/>
        </w:rPr>
        <w:t xml:space="preserve">550 · Il trasferimento delle scuole missionarie.</w:t>
      </w:r>
      <w:r>
        <w:rPr>
          <w:rFonts w:ascii="Barlow Semi Condensed" w:cs="Barlow Semi Condensed" w:eastAsia="Barlow Semi Condensed" w:hAnsi="Barlow Semi Condensed"/>
          <w:sz w:val="24"/>
          <w:szCs w:val="24"/>
        </w:rPr>
        <w:t xml:space="preserve"> Ciò che lo Stato prese, le chiese in parte conservarono. Gli archivi delle società missionarie — anglicana, metodista, cattolica, luterana — custodiscono i registri delle scuole anteriori al trasferimento, e in Sud Africa una parte di questi fondi è depositata presso archivi universitari. Il quesito è di raccordo: per un dato istituto, quale segmento cronologico sta in archivio ecclesiastico e quale in archivio statale, e dove passa esattamente la cesura.</w:t>
      </w:r>
    </w:p>
    <w:p>
      <w:pPr>
        <w:spacing w:after="120" w:line="276"/>
        <w:jc w:val="both"/>
      </w:pPr>
      <w:r>
        <w:rPr>
          <w:rFonts w:ascii="Barlow Semi Condensed" w:cs="Barlow Semi Condensed" w:eastAsia="Barlow Semi Condensed" w:hAnsi="Barlow Semi Condensed"/>
          <w:b/>
          <w:bCs/>
          <w:sz w:val="24"/>
          <w:szCs w:val="24"/>
        </w:rPr>
        <w:t xml:space="preserve">551 · La spesa per allievo, per razza.</w:t>
      </w:r>
      <w:r>
        <w:rPr>
          <w:rFonts w:ascii="Barlow Semi Condensed" w:cs="Barlow Semi Condensed" w:eastAsia="Barlow Semi Condensed" w:hAnsi="Barlow Semi Condensed"/>
          <w:sz w:val="24"/>
          <w:szCs w:val="24"/>
        </w:rPr>
        <w:t xml:space="preserve"> Le cifre differenziali della spesa pubblica per allievo secondo la classificazione razziale non vanno prese da compilazioni in rete: esistono nella serie annuale del Survey of Race Relations pubblicata dal South African Institute of Race Relations, e le carte dell'istituto sono conservate fra le Historical Papers dell'Università del Witwatersrand. Ogni cifra usata deve poter essere ricondotta all'annata e alla pagina del volume che la stampò.</w:t>
      </w:r>
    </w:p>
    <w:p>
      <w:pPr>
        <w:spacing w:after="120" w:line="276"/>
        <w:jc w:val="both"/>
      </w:pPr>
      <w:r>
        <w:rPr>
          <w:rFonts w:ascii="Barlow Semi Condensed" w:cs="Barlow Semi Condensed" w:eastAsia="Barlow Semi Condensed" w:hAnsi="Barlow Semi Condensed"/>
          <w:b/>
          <w:bCs/>
          <w:sz w:val="24"/>
          <w:szCs w:val="24"/>
        </w:rPr>
        <w:t xml:space="preserve">552 · L'atto del 1959 sulle università.</w:t>
      </w:r>
      <w:r>
        <w:rPr>
          <w:rFonts w:ascii="Barlow Semi Condensed" w:cs="Barlow Semi Condensed" w:eastAsia="Barlow Semi Condensed" w:hAnsi="Barlow Semi Condensed"/>
          <w:sz w:val="24"/>
          <w:szCs w:val="24"/>
        </w:rPr>
        <w:t xml:space="preserve"> L'Extension of University Education Act numero 45 del 1959 chiuse alle matricole nere gli atenei fino allora aperti e istituì collegi separati per gruppo classificato. È l'atto che spiega perché due carriere universitarie sudafricane coeve possano risultare incomparabili: non per merito, per legge. Il testo e i lavori parlamentari che lo accompagnarono stanno nei resoconti dell'assemblea, la cui serie a stampa è consultabile nelle biblioteche di deposito legale.</w:t>
      </w:r>
    </w:p>
    <w:p>
      <w:pPr>
        <w:spacing w:after="120" w:line="276"/>
        <w:jc w:val="both"/>
      </w:pPr>
      <w:r>
        <w:rPr>
          <w:rFonts w:ascii="Barlow Semi Condensed" w:cs="Barlow Semi Condensed" w:eastAsia="Barlow Semi Condensed" w:hAnsi="Barlow Semi Condensed"/>
          <w:b/>
          <w:bCs/>
          <w:sz w:val="24"/>
          <w:szCs w:val="24"/>
        </w:rPr>
        <w:t xml:space="preserve">553 · Il sistema dei permessi.</w:t>
      </w:r>
      <w:r>
        <w:rPr>
          <w:rFonts w:ascii="Barlow Semi Condensed" w:cs="Barlow Semi Condensed" w:eastAsia="Barlow Semi Condensed" w:hAnsi="Barlow Semi Condensed"/>
          <w:sz w:val="24"/>
          <w:szCs w:val="24"/>
        </w:rPr>
        <w:t xml:space="preserve"> Dopo il 1959 l'ammissione di uno studente nero a un ateneo classificato altrimenti richiedeva un permesso ministeriale individuale. Ogni permesso concesso o negato è, per definizione, un fascicolo: istanza, istruttoria, decisione. Il bersaglio è la serie di questi fascicoli presso l'archivio nazionale, e la costruzione di una statistica annuale di concessioni e dinieghi. Il permesso è la forma amministrativa in cui l'eccezione conferma per iscritto la regola.</w:t>
      </w:r>
    </w:p>
    <w:p>
      <w:pPr>
        <w:spacing w:after="120" w:line="276"/>
        <w:jc w:val="both"/>
      </w:pPr>
      <w:r>
        <w:rPr>
          <w:rFonts w:ascii="Barlow Semi Condensed" w:cs="Barlow Semi Condensed" w:eastAsia="Barlow Semi Condensed" w:hAnsi="Barlow Semi Condensed"/>
          <w:b/>
          <w:bCs/>
          <w:sz w:val="24"/>
          <w:szCs w:val="24"/>
        </w:rPr>
        <w:t xml:space="preserve">554 · Fort Hare passa di mano.</w:t>
      </w:r>
      <w:r>
        <w:rPr>
          <w:rFonts w:ascii="Barlow Semi Condensed" w:cs="Barlow Semi Condensed" w:eastAsia="Barlow Semi Condensed" w:hAnsi="Barlow Semi Condensed"/>
          <w:sz w:val="24"/>
          <w:szCs w:val="24"/>
        </w:rPr>
        <w:t xml:space="preserve"> L'università di Fort Hare, ad Alice nel Capo Orientale, fu trasferita nel 1959 all'amministrazione dell'istruzione separata con una legge dedicata. Il suo archivio ospita oggi anche i fondi documentali dei movimenti di liberazione, presso il centro di studi patrimoniali dell'ateneo. È il luogo in cui la storia dell'istruzione e quella della resistenza condividono lo stesso deposito: circostanza rara, e utile a chi voglia verificare due versioni sullo stesso scaffale.</w:t>
      </w:r>
    </w:p>
    <w:p>
      <w:pPr>
        <w:spacing w:after="120" w:line="276"/>
        <w:jc w:val="both"/>
      </w:pPr>
      <w:r>
        <w:rPr>
          <w:rFonts w:ascii="Barlow Semi Condensed" w:cs="Barlow Semi Condensed" w:eastAsia="Barlow Semi Condensed" w:hAnsi="Barlow Semi Condensed"/>
          <w:b/>
          <w:bCs/>
          <w:sz w:val="24"/>
          <w:szCs w:val="24"/>
        </w:rPr>
        <w:t xml:space="preserve">555 · Le università aperte e il loro opuscolo.</w:t>
      </w:r>
      <w:r>
        <w:rPr>
          <w:rFonts w:ascii="Barlow Semi Condensed" w:cs="Barlow Semi Condensed" w:eastAsia="Barlow Semi Condensed" w:hAnsi="Barlow Semi Condensed"/>
          <w:sz w:val="24"/>
          <w:szCs w:val="24"/>
        </w:rPr>
        <w:t xml:space="preserve"> Nel 1957 gli atenei di Città del Capo e del Witwatersrand pubblicarono congiuntamente una dichiarazione a stampa in difesa dell'ammissione senza distinzione razziale. È un documento breve, datato e reperibile nelle collezioni speciali delle due sedi. Serve a stabilire un punto che la pubblicistica dimentica: dentro il sistema esistevano posizioni istituzionali divergenti, e la divergenza è documentata, non presunta. Le istituzioni di quel Paese non parlavano con una voce sola.</w:t>
      </w:r>
    </w:p>
    <w:p>
      <w:pPr>
        <w:spacing w:after="120" w:line="276"/>
        <w:jc w:val="both"/>
      </w:pPr>
      <w:r>
        <w:rPr>
          <w:rFonts w:ascii="Barlow Semi Condensed" w:cs="Barlow Semi Condensed" w:eastAsia="Barlow Semi Condensed" w:hAnsi="Barlow Semi Condensed"/>
          <w:b/>
          <w:bCs/>
          <w:sz w:val="24"/>
          <w:szCs w:val="24"/>
        </w:rPr>
        <w:t xml:space="preserve">556 · La dottrina cristiano-nazionale del 1948.</w:t>
      </w:r>
      <w:r>
        <w:rPr>
          <w:rFonts w:ascii="Barlow Semi Condensed" w:cs="Barlow Semi Condensed" w:eastAsia="Barlow Semi Condensed" w:hAnsi="Barlow Semi Condensed"/>
          <w:sz w:val="24"/>
          <w:szCs w:val="24"/>
        </w:rPr>
        <w:t xml:space="preserve"> La dichiarazione programmatica dell'istruzione cristiano-nazionale, elaborata nel 1948 nell'area culturale afrikaner, è un testo dottrinale e non una legge. Va letta come tale: enuncia una filosofia dell'educazione, e la sua traduzione in norma è successiva e parziale. Confondere il manifesto con il codice è l'errore più frequente su questa materia. Il bersaglio è la collazione fra quel testo e i sillabi effettivamente circolanti nelle scuole due decenni dopo.</w:t>
      </w:r>
    </w:p>
    <w:p>
      <w:pPr>
        <w:spacing w:after="120" w:line="276"/>
        <w:jc w:val="both"/>
      </w:pPr>
      <w:r>
        <w:rPr>
          <w:rFonts w:ascii="Barlow Semi Condensed" w:cs="Barlow Semi Condensed" w:eastAsia="Barlow Semi Condensed" w:hAnsi="Barlow Semi Condensed"/>
          <w:b/>
          <w:bCs/>
          <w:sz w:val="24"/>
          <w:szCs w:val="24"/>
        </w:rPr>
        <w:t xml:space="preserve">557 · La legge del 1967 sulle scuole bianche.</w:t>
      </w:r>
      <w:r>
        <w:rPr>
          <w:rFonts w:ascii="Barlow Semi Condensed" w:cs="Barlow Semi Condensed" w:eastAsia="Barlow Semi Condensed" w:hAnsi="Barlow Semi Condensed"/>
          <w:sz w:val="24"/>
          <w:szCs w:val="24"/>
        </w:rPr>
        <w:t xml:space="preserve"> La normativa sulla politica educativa nazionale del 1967 fissò per le scuole statali destinate ai bianchi un carattere dichiaratamente cristiano e nazionale. Qui la serie deve essere chirurgica: la legge vincolava gli istituti, non i pensieri. Il bersaglio verificabile non è l'atmosfera di un'aula ma il sillabo effettivo di storia e di studi biblici, per provincia e per anno scolastico, conservato negli archivi dei dipartimenti provinciali dell'istruzione.</w:t>
      </w:r>
    </w:p>
    <w:p>
      <w:pPr>
        <w:spacing w:after="120" w:line="276"/>
        <w:jc w:val="both"/>
      </w:pPr>
      <w:r>
        <w:rPr>
          <w:rFonts w:ascii="Barlow Semi Condensed" w:cs="Barlow Semi Condensed" w:eastAsia="Barlow Semi Condensed" w:hAnsi="Barlow Semi Condensed"/>
          <w:b/>
          <w:bCs/>
          <w:sz w:val="24"/>
          <w:szCs w:val="24"/>
        </w:rPr>
        <w:t xml:space="preserve">558 · Il decreto sull'afrikaans e Soweto.</w:t>
      </w:r>
      <w:r>
        <w:rPr>
          <w:rFonts w:ascii="Barlow Semi Condensed" w:cs="Barlow Semi Condensed" w:eastAsia="Barlow Semi Condensed" w:hAnsi="Barlow Semi Condensed"/>
          <w:sz w:val="24"/>
          <w:szCs w:val="24"/>
        </w:rPr>
        <w:t xml:space="preserve"> L'imposizione dell'afrikaans come lingua veicolare in parte delle materie nelle scuole africane, disposta nel 1974, è all'origine delle manifestazioni studentesche del 16 giugno 1976. È un fatto pubblico, datato e non contestato nella sua struttura. Va tenuto separato da ogni biografia individuale: chi nel 1976 aveva cinque anni non fu attore di quegli eventi, e la contemporaneità anagrafica non stabilisce alcun rapporto.</w:t>
      </w:r>
    </w:p>
    <w:p>
      <w:pPr>
        <w:spacing w:after="120" w:line="276"/>
        <w:jc w:val="both"/>
      </w:pPr>
      <w:r>
        <w:rPr>
          <w:rFonts w:ascii="Barlow Semi Condensed" w:cs="Barlow Semi Condensed" w:eastAsia="Barlow Semi Condensed" w:hAnsi="Barlow Semi Condensed"/>
          <w:b/>
          <w:bCs/>
          <w:sz w:val="24"/>
          <w:szCs w:val="24"/>
        </w:rPr>
        <w:t xml:space="preserve">559 · La commissione Cillié (serie VIII).</w:t>
      </w:r>
      <w:r>
        <w:rPr>
          <w:rFonts w:ascii="Barlow Semi Condensed" w:cs="Barlow Semi Condensed" w:eastAsia="Barlow Semi Condensed" w:hAnsi="Barlow Semi Condensed"/>
          <w:sz w:val="24"/>
          <w:szCs w:val="24"/>
        </w:rPr>
        <w:t xml:space="preserve"> L'inchiesta ufficiale sui disordini iniziati a Soweto, presieduta dal giudice Petrus Cillié, produsse alla fine degli anni Settanta una relazione a stampa e un fondo di deposizioni raccolte. La relazione è fonte primaria di parte governativa: si usa per ciò che attesta di sé, non come verdetto storiografico. Il fondo delle deposizioni, se integro, è il vero giacimento; individuarne la collocazione presso l'archivio nazionale resta un bersaglio aperto.</w:t>
      </w:r>
    </w:p>
    <w:p>
      <w:pPr>
        <w:spacing w:after="120" w:line="276"/>
        <w:jc w:val="both"/>
      </w:pPr>
      <w:r>
        <w:rPr>
          <w:rFonts w:ascii="Barlow Semi Condensed" w:cs="Barlow Semi Condensed" w:eastAsia="Barlow Semi Condensed" w:hAnsi="Barlow Semi Condensed"/>
          <w:b/>
          <w:bCs/>
          <w:sz w:val="24"/>
          <w:szCs w:val="24"/>
        </w:rPr>
        <w:t xml:space="preserve">560 · Preparazione giovanile nelle scuole bianche.</w:t>
      </w:r>
      <w:r>
        <w:rPr>
          <w:rFonts w:ascii="Barlow Semi Condensed" w:cs="Barlow Semi Condensed" w:eastAsia="Barlow Semi Condensed" w:hAnsi="Barlow Semi Condensed"/>
          <w:sz w:val="24"/>
          <w:szCs w:val="24"/>
        </w:rPr>
        <w:t xml:space="preserve"> Nelle scuole statali per bianchi fu introdotto, nel corso degli anni Settanta, un insegnamento di preparazione giovanile che univa educazione civica e istruzione sulla sicurezza nazionale. Che cosa contenessero esattamente quei manuali, e se la frequenza fosse obbligatoria negli istituti superiori maschili del Transvaal negli anni Ottanta, non si deduce: si legge nelle circolari del dipartimento provinciale dell'istruzione. È uno dei bersagli più concreti dell'intera serie.</w:t>
      </w:r>
    </w:p>
    <w:p>
      <w:pPr>
        <w:spacing w:after="120" w:line="276"/>
        <w:jc w:val="both"/>
      </w:pPr>
      <w:r>
        <w:rPr>
          <w:rFonts w:ascii="Barlow Semi Condensed" w:cs="Barlow Semi Condensed" w:eastAsia="Barlow Semi Condensed" w:hAnsi="Barlow Semi Condensed"/>
          <w:b/>
          <w:bCs/>
          <w:sz w:val="24"/>
          <w:szCs w:val="24"/>
        </w:rPr>
        <w:t xml:space="preserve">561 · I cadetti scolastici.</w:t>
      </w:r>
      <w:r>
        <w:rPr>
          <w:rFonts w:ascii="Barlow Semi Condensed" w:cs="Barlow Semi Condensed" w:eastAsia="Barlow Semi Condensed" w:hAnsi="Barlow Semi Condensed"/>
          <w:sz w:val="24"/>
          <w:szCs w:val="24"/>
        </w:rPr>
        <w:t xml:space="preserve"> Molte scuole superiori maschili per bianchi mantenevano un corpo cadetti sostenuto dalle forze armate, con parate, uniformi e istruzione formale; il sistema fu smantellato all'inizio degli anni Novanta. La domanda d'archivio è precisa: per un dato istituto e un dato anno esistono ancora i ruoli del corpo cadetti, e chi li conserva — la scuola o il centro documentale della difesa? La risposta cambia la reperibilità di qualunque dato.</w:t>
      </w:r>
    </w:p>
    <w:p>
      <w:pPr>
        <w:spacing w:after="120" w:line="276"/>
        <w:jc w:val="both"/>
      </w:pPr>
      <w:r>
        <w:rPr>
          <w:rFonts w:ascii="Barlow Semi Condensed" w:cs="Barlow Semi Condensed" w:eastAsia="Barlow Semi Condensed" w:hAnsi="Barlow Semi Condensed"/>
          <w:b/>
          <w:bCs/>
          <w:sz w:val="24"/>
          <w:szCs w:val="24"/>
        </w:rPr>
        <w:t xml:space="preserve">562 · Il registro delle punizioni.</w:t>
      </w:r>
      <w:r>
        <w:rPr>
          <w:rFonts w:ascii="Barlow Semi Condensed" w:cs="Barlow Semi Condensed" w:eastAsia="Barlow Semi Condensed" w:hAnsi="Barlow Semi Condensed"/>
          <w:sz w:val="24"/>
          <w:szCs w:val="24"/>
        </w:rPr>
        <w:t xml:space="preserve"> La punizione corporale nelle scuole sudafricane fu vietata soltanto con la legge scolastica del 1996. Prima di allora era pratica legale e regolata; e dove una pratica è regolata, esiste normalmente un registro che la verbalizza. Verificare se i regolamenti provinciali imponessero un libro delle punizioni, e se esemplari ne siano sopravvissuti, è più utile di qualunque ricordo d'infanzia riferito quarant'anni dopo a un intervistatore.</w:t>
      </w:r>
    </w:p>
    <w:p>
      <w:pPr>
        <w:spacing w:after="120" w:line="276"/>
        <w:jc w:val="both"/>
      </w:pPr>
      <w:r>
        <w:rPr>
          <w:rFonts w:ascii="Barlow Semi Condensed" w:cs="Barlow Semi Condensed" w:eastAsia="Barlow Semi Condensed" w:hAnsi="Barlow Semi Condensed"/>
          <w:b/>
          <w:bCs/>
          <w:sz w:val="24"/>
          <w:szCs w:val="24"/>
        </w:rPr>
        <w:t xml:space="preserve">563 · Pretoria: l'archivio nazionale.</w:t>
      </w:r>
      <w:r>
        <w:rPr>
          <w:rFonts w:ascii="Barlow Semi Condensed" w:cs="Barlow Semi Condensed" w:eastAsia="Barlow Semi Condensed" w:hAnsi="Barlow Semi Condensed"/>
          <w:sz w:val="24"/>
          <w:szCs w:val="24"/>
        </w:rPr>
        <w:t xml:space="preserve"> Il National Archives and Record Service of South Africa, istituito con legge nel 1996, conserva a Pretoria i fondi centrali dello Stato, con depositi provinciali a Città del Capo, Pietermaritzburg e Bloemfontein. L'accesso segue la legge d'archivio e le sue soglie temporali. Prima di ogni richiesta va compilata la mappa dei fondi pertinenti, con sigle di serie ed estremi cronologici: chiedere genericamente «le carte della Bantu Education» significa non ricevere nulla.</w:t>
      </w:r>
    </w:p>
    <w:p>
      <w:pPr>
        <w:spacing w:after="120" w:line="276"/>
        <w:jc w:val="both"/>
      </w:pPr>
      <w:r>
        <w:rPr>
          <w:rFonts w:ascii="Barlow Semi Condensed" w:cs="Barlow Semi Condensed" w:eastAsia="Barlow Semi Condensed" w:hAnsi="Barlow Semi Condensed"/>
          <w:b/>
          <w:bCs/>
          <w:sz w:val="24"/>
          <w:szCs w:val="24"/>
        </w:rPr>
        <w:t xml:space="preserve">564 · PAIA come strumento, non scorciatoia.</w:t>
      </w:r>
      <w:r>
        <w:rPr>
          <w:rFonts w:ascii="Barlow Semi Condensed" w:cs="Barlow Semi Condensed" w:eastAsia="Barlow Semi Condensed" w:hAnsi="Barlow Semi Condensed"/>
          <w:sz w:val="24"/>
          <w:szCs w:val="24"/>
        </w:rPr>
        <w:t xml:space="preserve"> Lo strumento sudafricano di accesso all'informazione, in vigore dal 2000, consente istanze motivate anche verso enti privati e non solo pubblici. L'agenda di ricerca del corpus, al blocco 131, insegna la strategia corretta: richieste mirate, una per carta o per piccolo lotto, con motivazione storica argomentata, e un registro che tenga il conto di rilasci e dinieghi. Ogni diniego motivato è un dato acquisito, non un fallimento.</w:t>
      </w:r>
    </w:p>
    <w:p>
      <w:pPr>
        <w:spacing w:after="120" w:line="276"/>
        <w:jc w:val="both"/>
      </w:pPr>
      <w:r>
        <w:rPr>
          <w:rFonts w:ascii="Barlow Semi Condensed" w:cs="Barlow Semi Condensed" w:eastAsia="Barlow Semi Condensed" w:hAnsi="Barlow Semi Condensed"/>
          <w:b/>
          <w:bCs/>
          <w:sz w:val="24"/>
          <w:szCs w:val="24"/>
        </w:rPr>
        <w:t xml:space="preserve">565 · POPIA e i dati personali.</w:t>
      </w:r>
      <w:r>
        <w:rPr>
          <w:rFonts w:ascii="Barlow Semi Condensed" w:cs="Barlow Semi Condensed" w:eastAsia="Barlow Semi Condensed" w:hAnsi="Barlow Semi Condensed"/>
          <w:sz w:val="24"/>
          <w:szCs w:val="24"/>
        </w:rPr>
        <w:t xml:space="preserve"> La disciplina sudafricana del 2013 sulla protezione dei dati personali limita la comunicazione di informazioni relative a persone identificabili viventi, e il vincolo tocca in pieno i ruoli scolastici, i fascicoli di leva e i registri sanitari. La conseguenza metodologica è netta: molti quesiti di questa serie si chiuderanno con un diniego legittimo. Un diniego per riservatezza non è reticenza: si verbalizza come tale e si va oltre.</w:t>
      </w:r>
    </w:p>
    <w:p>
      <w:pPr>
        <w:spacing w:after="120" w:line="276"/>
        <w:jc w:val="both"/>
      </w:pPr>
      <w:r>
        <w:rPr>
          <w:rFonts w:ascii="Barlow Semi Condensed" w:cs="Barlow Semi Condensed" w:eastAsia="Barlow Semi Condensed" w:hAnsi="Barlow Semi Condensed"/>
          <w:b/>
          <w:bCs/>
          <w:sz w:val="24"/>
          <w:szCs w:val="24"/>
        </w:rPr>
        <w:t xml:space="preserve">566 · Le Historical Papers della Wits.</w:t>
      </w:r>
      <w:r>
        <w:rPr>
          <w:rFonts w:ascii="Barlow Semi Condensed" w:cs="Barlow Semi Condensed" w:eastAsia="Barlow Semi Condensed" w:hAnsi="Barlow Semi Condensed"/>
          <w:sz w:val="24"/>
          <w:szCs w:val="24"/>
        </w:rPr>
        <w:t xml:space="preserve"> Presso la William Cullen Library dell'Università del Witwatersrand, a Johannesburg, l'archivio Historical Papers conserva fondi decisivi per questa serie: le carte dell'istituto per le relazioni razziali, quelle delle organizzazioni studentesche nazionali, il materiale sull'obiezione alla leva. Gli inventari sono in larga parte in rete e citabili per segnatura. È la prima sede da interrogare su tutto ciò che riguarda l'opposizione interna al sistema educativo separato.</w:t>
      </w:r>
    </w:p>
    <w:p>
      <w:pPr>
        <w:spacing w:after="120" w:line="276"/>
        <w:jc w:val="both"/>
      </w:pPr>
      <w:r>
        <w:rPr>
          <w:rFonts w:ascii="Barlow Semi Condensed" w:cs="Barlow Semi Condensed" w:eastAsia="Barlow Semi Condensed" w:hAnsi="Barlow Semi Condensed"/>
          <w:b/>
          <w:bCs/>
          <w:sz w:val="24"/>
          <w:szCs w:val="24"/>
        </w:rPr>
        <w:t xml:space="preserve">567 · Le collezioni speciali di Città del Capo.</w:t>
      </w:r>
      <w:r>
        <w:rPr>
          <w:rFonts w:ascii="Barlow Semi Condensed" w:cs="Barlow Semi Condensed" w:eastAsia="Barlow Semi Condensed" w:hAnsi="Barlow Semi Condensed"/>
          <w:sz w:val="24"/>
          <w:szCs w:val="24"/>
        </w:rPr>
        <w:t xml:space="preserve"> Le Special Collections delle biblioteche dell'Università di Città del Capo custodiscono gli atti accademici dell'ateneo e le carte di docenti e organizzazioni legate alla difesa della libertà accademica, inclusa la serie delle conferenze commemorative istituite alla fine degli anni Cinquanta. Per la carriera universitaria sudafricana di chiunque abbia studiato lì, l'ufficio del registrar e questo deposito sono le due porte da varcare, in quest'ordine.</w:t>
      </w:r>
    </w:p>
    <w:p>
      <w:pPr>
        <w:spacing w:after="120" w:line="276"/>
        <w:jc w:val="both"/>
      </w:pPr>
      <w:r>
        <w:rPr>
          <w:rFonts w:ascii="Barlow Semi Condensed" w:cs="Barlow Semi Condensed" w:eastAsia="Barlow Semi Condensed" w:hAnsi="Barlow Semi Condensed"/>
          <w:b/>
          <w:bCs/>
          <w:sz w:val="24"/>
          <w:szCs w:val="24"/>
        </w:rPr>
        <w:t xml:space="preserve">568 · L'archivio dell'UNISA e gli studi africani.</w:t>
      </w:r>
      <w:r>
        <w:rPr>
          <w:rFonts w:ascii="Barlow Semi Condensed" w:cs="Barlow Semi Condensed" w:eastAsia="Barlow Semi Condensed" w:hAnsi="Barlow Semi Condensed"/>
          <w:sz w:val="24"/>
          <w:szCs w:val="24"/>
        </w:rPr>
        <w:t xml:space="preserve"> L'Università del Sudafrica, ateneo per corrispondenza con sede a Pretoria, fu per decenni la sola via d'accesso all'istruzione superiore per molti studenti neri esclusi dalle sedi residenziali, e conserva un proprio archivio con un centro di documentazione sugli studi africani. Il quesito quantitativo è netto e verificabile: quanti laureati produsse per anno e per classificazione imposta, secondo i suoi stessi annuari a stampa.</w:t>
      </w:r>
    </w:p>
    <w:p>
      <w:pPr>
        <w:spacing w:after="120" w:line="276"/>
        <w:jc w:val="both"/>
      </w:pPr>
      <w:r>
        <w:rPr>
          <w:rFonts w:ascii="Barlow Semi Condensed" w:cs="Barlow Semi Condensed" w:eastAsia="Barlow Semi Condensed" w:hAnsi="Barlow Semi Condensed"/>
          <w:b/>
          <w:bCs/>
          <w:sz w:val="24"/>
          <w:szCs w:val="24"/>
        </w:rPr>
        <w:t xml:space="preserve">569 · SAHA e i manifesti dell'obiezione.</w:t>
      </w:r>
      <w:r>
        <w:rPr>
          <w:rFonts w:ascii="Barlow Semi Condensed" w:cs="Barlow Semi Condensed" w:eastAsia="Barlow Semi Condensed" w:hAnsi="Barlow Semi Condensed"/>
          <w:sz w:val="24"/>
          <w:szCs w:val="24"/>
        </w:rPr>
        <w:t xml:space="preserve"> Il South African History Archive, ospitato a Johannesburg, raccoglie materiali delle organizzazioni antiapartheid — manifesti, ciclostilati, carte interne — e conduce esso stesso istanze di accesso agli atti. Per la campagna contro la coscrizione è una delle sedi primarie. Un manifesto datato è una fonte: dice che cosa un movimento affermava in un giorno preciso, il che è meno di ciò che accadde e assai più di un ricordo.</w:t>
      </w:r>
    </w:p>
    <w:p>
      <w:pPr>
        <w:spacing w:after="120" w:line="276"/>
        <w:jc w:val="both"/>
      </w:pPr>
      <w:r>
        <w:rPr>
          <w:rFonts w:ascii="Barlow Semi Condensed" w:cs="Barlow Semi Condensed" w:eastAsia="Barlow Semi Condensed" w:hAnsi="Barlow Semi Condensed"/>
          <w:b/>
          <w:bCs/>
          <w:sz w:val="24"/>
          <w:szCs w:val="24"/>
        </w:rPr>
        <w:t xml:space="preserve">570 · Ripetizione non è riscontro.</w:t>
      </w:r>
      <w:r>
        <w:rPr>
          <w:rFonts w:ascii="Barlow Semi Condensed" w:cs="Barlow Semi Condensed" w:eastAsia="Barlow Semi Condensed" w:hAnsi="Barlow Semi Condensed"/>
          <w:sz w:val="24"/>
          <w:szCs w:val="24"/>
        </w:rPr>
        <w:t xml:space="preserve"> Sulla materia di quest'opera la letteratura in rete è satura: decine di siti, d'accusa e di difesa, ripetono le stesse formule senza aggiungere un documento. Il numero delle occorrenze non è un grado di prova. Il committente ha inoltre escluso per nome due fonti: il divieto si registra qui, i nomi non si citano. Restano legittimi i depositi digitali istituzionali, come le periodiche antiapartheid digitalizzate dalle università sudafricane.</w:t>
      </w:r>
    </w:p>
    <w:p>
      <w:pPr>
        <w:spacing w:after="120" w:line="276"/>
        <w:jc w:val="both"/>
      </w:pPr>
      <w:r>
        <w:rPr>
          <w:rFonts w:ascii="Barlow Semi Condensed" w:cs="Barlow Semi Condensed" w:eastAsia="Barlow Semi Condensed" w:hAnsi="Barlow Semi Condensed"/>
          <w:b/>
          <w:bCs/>
          <w:sz w:val="24"/>
          <w:szCs w:val="24"/>
        </w:rPr>
        <w:t xml:space="preserve">571 · Swakopmund: quale scuola, esattamente.</w:t>
      </w:r>
      <w:r>
        <w:rPr>
          <w:rFonts w:ascii="Barlow Semi Condensed" w:cs="Barlow Semi Condensed" w:eastAsia="Barlow Semi Condensed" w:hAnsi="Barlow Semi Condensed"/>
          <w:sz w:val="24"/>
          <w:szCs w:val="24"/>
        </w:rPr>
        <w:t xml:space="preserve"> È accertato che Peter Thiel, nato a Francoforte nel 1967, visse a Swakopmund attorno al 1975-1977, nell'Africa del Sud-Ovest allora amministrata da Pretoria. Non è accertato quale istituto frequentò. La verifica richiede il registro d'ammissione della scuola privata di lingua tedesca della località, o in subordine gli elenchi scolastici dell'amministrazione territoriale. Finché quel registro non è consultato, la scolarizzazione namibiana resta un fatto noto privo di documento.</w:t>
      </w:r>
    </w:p>
    <w:p>
      <w:pPr>
        <w:spacing w:after="120" w:line="276"/>
        <w:jc w:val="both"/>
      </w:pPr>
      <w:r>
        <w:rPr>
          <w:rFonts w:ascii="Barlow Semi Condensed" w:cs="Barlow Semi Condensed" w:eastAsia="Barlow Semi Condensed" w:hAnsi="Barlow Semi Condensed"/>
          <w:b/>
          <w:bCs/>
          <w:sz w:val="24"/>
          <w:szCs w:val="24"/>
        </w:rPr>
        <w:t xml:space="preserve">572 · L'archivio nazionale della Namibia.</w:t>
      </w:r>
      <w:r>
        <w:rPr>
          <w:rFonts w:ascii="Barlow Semi Condensed" w:cs="Barlow Semi Condensed" w:eastAsia="Barlow Semi Condensed" w:hAnsi="Barlow Semi Condensed"/>
          <w:sz w:val="24"/>
          <w:szCs w:val="24"/>
        </w:rPr>
        <w:t xml:space="preserve"> A Windhoek il National Archives of Namibia conserva le serie dell'amministrazione dell'Africa del Sud-Ovest, comprese quelle dell'istruzione, oltre alla documentazione tedesca anteriore al 1915. È la sede naturale per gli elenchi scolastici degli anni Settanta e per i fascicoli delle scuole private riconosciute. Una richiesta ben posta indica periodo, località e tipo di serie; una richiesta mal posta nomina soltanto una persona, e non produce nulla.</w:t>
      </w:r>
    </w:p>
    <w:p>
      <w:pPr>
        <w:spacing w:after="120" w:line="276"/>
        <w:jc w:val="both"/>
      </w:pPr>
      <w:r>
        <w:rPr>
          <w:rFonts w:ascii="Barlow Semi Condensed" w:cs="Barlow Semi Condensed" w:eastAsia="Barlow Semi Condensed" w:hAnsi="Barlow Semi Condensed"/>
          <w:b/>
          <w:bCs/>
          <w:sz w:val="24"/>
          <w:szCs w:val="24"/>
        </w:rPr>
        <w:t xml:space="preserve">573 · Il cantiere di Rössing e le famiglie.</w:t>
      </w:r>
      <w:r>
        <w:rPr>
          <w:rFonts w:ascii="Barlow Semi Condensed" w:cs="Barlow Semi Condensed" w:eastAsia="Barlow Semi Condensed" w:hAnsi="Barlow Semi Condensed"/>
          <w:sz w:val="24"/>
          <w:szCs w:val="24"/>
        </w:rPr>
        <w:t xml:space="preserve"> La miniera di uranio di Rössing fu costruita a metà degli anni Settanta nei pressi di Swakopmund, e portò nella zona personale tecnico straniero con le rispettive famiglie. Il padre di Peter Thiel, Klaus, ingegnere chimico, lavorava per un'impresa del cantiere. Che l'impianto servisse un programma militare è affermazione di piano terzo, che quest'opera non adotta: la chiuderebbe la documentazione societaria e contrattuale dell'operatore, non la sua ripetizione.</w:t>
      </w:r>
    </w:p>
    <w:p>
      <w:pPr>
        <w:spacing w:after="120" w:line="276"/>
        <w:jc w:val="both"/>
      </w:pPr>
      <w:r>
        <w:rPr>
          <w:rFonts w:ascii="Barlow Semi Condensed" w:cs="Barlow Semi Condensed" w:eastAsia="Barlow Semi Condensed" w:hAnsi="Barlow Semi Condensed"/>
          <w:b/>
          <w:bCs/>
          <w:sz w:val="24"/>
          <w:szCs w:val="24"/>
        </w:rPr>
        <w:t xml:space="preserve">574 · La scuola di Johannesburg senza nome.</w:t>
      </w:r>
      <w:r>
        <w:rPr>
          <w:rFonts w:ascii="Barlow Semi Condensed" w:cs="Barlow Semi Condensed" w:eastAsia="Barlow Semi Condensed" w:hAnsi="Barlow Semi Condensed"/>
          <w:sz w:val="24"/>
          <w:szCs w:val="24"/>
        </w:rPr>
        <w:t xml:space="preserve"> Si sa che il ragazzo frequentò a Johannesburg una scuola preparatoria riservata ai bianchi. Non se ne conosce pubblicamente il nome. La via per stabilirlo non passa dalle interviste ma dall'indirizzo: individuato il domicilio familiare di quel biennio nei registri municipali o nelle liste dell'epoca, il bacino delle scuole possibili si riduce a poche unità, ciascuna con propri archivi. È uno Stato Zero con procedura di chiusura già definita.</w:t>
      </w:r>
    </w:p>
    <w:p>
      <w:pPr>
        <w:spacing w:after="120" w:line="276"/>
        <w:jc w:val="both"/>
      </w:pPr>
      <w:r>
        <w:rPr>
          <w:rFonts w:ascii="Barlow Semi Condensed" w:cs="Barlow Semi Condensed" w:eastAsia="Barlow Semi Condensed" w:hAnsi="Barlow Semi Condensed"/>
          <w:b/>
          <w:bCs/>
          <w:sz w:val="24"/>
          <w:szCs w:val="24"/>
        </w:rPr>
        <w:t xml:space="preserve">575 · L'apparato di Chafkin e i suoi limiti.</w:t>
      </w:r>
      <w:r>
        <w:rPr>
          <w:rFonts w:ascii="Barlow Semi Condensed" w:cs="Barlow Semi Condensed" w:eastAsia="Barlow Semi Condensed" w:hAnsi="Barlow Semi Condensed"/>
          <w:sz w:val="24"/>
          <w:szCs w:val="24"/>
        </w:rPr>
        <w:t xml:space="preserve"> La biografia di Max Chafkin, «The Contrarian», uscita nel 2021, è la fonte secondaria più solida sugli anni africani del suo soggetto, e possiede un apparato di note che consente di risalire alle interviste e ai materiali usati. Resta però fonte secondaria: le sue affermazioni si citano come tali, indicando la pagina, e si promuovono a documentate soltanto quando la carta primaria che essa richiama viene effettivamente consultata.</w:t>
      </w:r>
    </w:p>
    <w:p>
      <w:pPr>
        <w:spacing w:after="120" w:line="276"/>
        <w:jc w:val="both"/>
      </w:pPr>
      <w:r>
        <w:rPr>
          <w:rFonts w:ascii="Barlow Semi Condensed" w:cs="Barlow Semi Condensed" w:eastAsia="Barlow Semi Condensed" w:hAnsi="Barlow Semi Condensed"/>
          <w:b/>
          <w:bCs/>
          <w:sz w:val="24"/>
          <w:szCs w:val="24"/>
        </w:rPr>
        <w:t xml:space="preserve">576 · Cittadinanza tedesca e obblighi militari.</w:t>
      </w:r>
      <w:r>
        <w:rPr>
          <w:rFonts w:ascii="Barlow Semi Condensed" w:cs="Barlow Semi Condensed" w:eastAsia="Barlow Semi Condensed" w:hAnsi="Barlow Semi Condensed"/>
          <w:sz w:val="24"/>
          <w:szCs w:val="24"/>
        </w:rPr>
        <w:t xml:space="preserve"> Un cittadino tedesco residente temporaneamente in territorio amministrato dal Sud Africa non rientrava nella coscrizione sudafricana, che riguardava i cittadini bianchi di quel Paese. Il dato serve a evitare un errore ricorrente: non ogni ragazzo bianco presente in quella regione negli anni Settanta fu esposto alla leva. Lo statuto di cittadinanza è verificabile e determina l'intera questione; per il soggetto in esame la esclude in radice.</w:t>
      </w:r>
    </w:p>
    <w:p>
      <w:pPr>
        <w:spacing w:after="120" w:line="276"/>
        <w:jc w:val="both"/>
      </w:pPr>
      <w:r>
        <w:rPr>
          <w:rFonts w:ascii="Barlow Semi Condensed" w:cs="Barlow Semi Condensed" w:eastAsia="Barlow Semi Condensed" w:hAnsi="Barlow Semi Condensed"/>
          <w:b/>
          <w:bCs/>
          <w:sz w:val="24"/>
          <w:szCs w:val="24"/>
        </w:rPr>
        <w:t xml:space="preserve">577 · Waterkloof, Bryanston, Pretoria Boys.</w:t>
      </w:r>
      <w:r>
        <w:rPr>
          <w:rFonts w:ascii="Barlow Semi Condensed" w:cs="Barlow Semi Condensed" w:eastAsia="Barlow Semi Condensed" w:hAnsi="Barlow Semi Condensed"/>
          <w:sz w:val="24"/>
          <w:szCs w:val="24"/>
        </w:rPr>
        <w:t xml:space="preserve"> Il percorso scolastico di Elon Musk, nato a Pretoria nel 1971, è riferito dalle biografie come una successione di istituti: una scuola preparatoria a Waterkloof, un liceo a Bryanston, infine la Pretoria Boys High School, dove conseguì la maturità sul finire degli anni Ottanta. Sono fatti pubblici e assai ripetuti; nessuno di essi risulta finora appoggiato a un registro scolastico esibito. La verifica è banale e non è stata fatta.</w:t>
      </w:r>
    </w:p>
    <w:p>
      <w:pPr>
        <w:spacing w:after="120" w:line="276"/>
        <w:jc w:val="both"/>
      </w:pPr>
      <w:r>
        <w:rPr>
          <w:rFonts w:ascii="Barlow Semi Condensed" w:cs="Barlow Semi Condensed" w:eastAsia="Barlow Semi Condensed" w:hAnsi="Barlow Semi Condensed"/>
          <w:b/>
          <w:bCs/>
          <w:sz w:val="24"/>
          <w:szCs w:val="24"/>
        </w:rPr>
        <w:t xml:space="preserve">578 · Gli annuari di una scuola pubblica.</w:t>
      </w:r>
      <w:r>
        <w:rPr>
          <w:rFonts w:ascii="Barlow Semi Condensed" w:cs="Barlow Semi Condensed" w:eastAsia="Barlow Semi Condensed" w:hAnsi="Barlow Semi Condensed"/>
          <w:sz w:val="24"/>
          <w:szCs w:val="24"/>
        </w:rPr>
        <w:t xml:space="preserve"> Le scuole superiori sudafricane di tradizione britannica pubblicavano annuari con elenchi di classe, squadre sportive, premi e fotografie di gruppo. Per la Pretoria Boys High School esistono annate a stampa conservate dalla scuola stessa. Un annuario è documento debole per le opinioni e fortissimo per i fatti: attesta presenza, anno, classe, attività. È il primo bersaglio materiale per chi voglia sostituire il racconto biografico con una carta.</w:t>
      </w:r>
    </w:p>
    <w:p>
      <w:pPr>
        <w:spacing w:after="120" w:line="276"/>
        <w:jc w:val="both"/>
      </w:pPr>
      <w:r>
        <w:rPr>
          <w:rFonts w:ascii="Barlow Semi Condensed" w:cs="Barlow Semi Condensed" w:eastAsia="Barlow Semi Condensed" w:hAnsi="Barlow Semi Condensed"/>
          <w:b/>
          <w:bCs/>
          <w:sz w:val="24"/>
          <w:szCs w:val="24"/>
        </w:rPr>
        <w:t xml:space="preserve">579 · L'afrikaans come materia obbligatoria.</w:t>
      </w:r>
      <w:r>
        <w:rPr>
          <w:rFonts w:ascii="Barlow Semi Condensed" w:cs="Barlow Semi Condensed" w:eastAsia="Barlow Semi Condensed" w:hAnsi="Barlow Semi Condensed"/>
          <w:sz w:val="24"/>
          <w:szCs w:val="24"/>
        </w:rPr>
        <w:t xml:space="preserve"> Negli istituti statali anglofoni per bianchi l'afrikaans era materia obbligatoria d'esame. Ne discende una conseguenza documentale utile: qualunque certificato finale rilasciato in quel sistema elenca le materie sostenute, e dunque attesta un dato linguistico oggettivo. Da esso non si ricava alcuna adesione politica: una lingua imparata per obbligo scolastico non è una scelta di campo, ed è precisamente il tipo di inferenza che questa serie vieta.</w:t>
      </w:r>
    </w:p>
    <w:p>
      <w:pPr>
        <w:spacing w:after="120" w:line="276"/>
        <w:jc w:val="both"/>
      </w:pPr>
      <w:r>
        <w:rPr>
          <w:rFonts w:ascii="Barlow Semi Condensed" w:cs="Barlow Semi Condensed" w:eastAsia="Barlow Semi Condensed" w:hAnsi="Barlow Semi Condensed"/>
          <w:b/>
          <w:bCs/>
          <w:sz w:val="24"/>
          <w:szCs w:val="24"/>
        </w:rPr>
        <w:t xml:space="preserve">580 · Il certificato di maturità: chi lo detiene.</w:t>
      </w:r>
      <w:r>
        <w:rPr>
          <w:rFonts w:ascii="Barlow Semi Condensed" w:cs="Barlow Semi Condensed" w:eastAsia="Barlow Semi Condensed" w:hAnsi="Barlow Semi Condensed"/>
          <w:sz w:val="24"/>
          <w:szCs w:val="24"/>
        </w:rPr>
        <w:t xml:space="preserve"> Chi rilasciava il certificato finale, quale ente ne conservi oggi il registro, e con quale disciplina di riservatezza: sono le tre domande da porre prima di ogni istanza. Nel sistema sudafricano dell'epoca gli esami terminali erano gestiti dai dipartimenti provinciali dell'istruzione e da un organismo di matricolazione congiunto. Individuare il soggetto giuridicamente detentore è metà del lavoro; l'altra metà è il consenso dell'interessato, che nessuna ricerca aggira.</w:t>
      </w:r>
    </w:p>
    <w:p>
      <w:pPr>
        <w:spacing w:after="120" w:line="276"/>
        <w:jc w:val="both"/>
      </w:pPr>
      <w:r>
        <w:rPr>
          <w:rFonts w:ascii="Barlow Semi Condensed" w:cs="Barlow Semi Condensed" w:eastAsia="Barlow Semi Condensed" w:hAnsi="Barlow Semi Condensed"/>
          <w:b/>
          <w:bCs/>
          <w:sz w:val="24"/>
          <w:szCs w:val="24"/>
        </w:rPr>
        <w:t xml:space="preserve">581 · I cinque mesi all'Università di Pretoria.</w:t>
      </w:r>
      <w:r>
        <w:rPr>
          <w:rFonts w:ascii="Barlow Semi Condensed" w:cs="Barlow Semi Condensed" w:eastAsia="Barlow Semi Condensed" w:hAnsi="Barlow Semi Condensed"/>
          <w:sz w:val="24"/>
          <w:szCs w:val="24"/>
        </w:rPr>
        <w:t xml:space="preserve"> Ashlee Vance, nella biografia del 2015, riferisce che il giovane si iscrisse per pochi mesi all'Università di Pretoria, in attesa dei documenti canadesi. È affermazione secondaria, verificabile in un modo solo: l'ufficio del registrar dell'ateneo, che conserva le iscrizioni. Conferma e smentita hanno per la ricerca il medesimo valore; ciò che non ne ha alcuno è la ripetizione dell'affermazione da parte di siti che si citano a vicenda.</w:t>
      </w:r>
    </w:p>
    <w:p>
      <w:pPr>
        <w:spacing w:after="120" w:line="276"/>
        <w:jc w:val="both"/>
      </w:pPr>
      <w:r>
        <w:rPr>
          <w:rFonts w:ascii="Barlow Semi Condensed" w:cs="Barlow Semi Condensed" w:eastAsia="Barlow Semi Condensed" w:hAnsi="Barlow Semi Condensed"/>
          <w:b/>
          <w:bCs/>
          <w:sz w:val="24"/>
          <w:szCs w:val="24"/>
        </w:rPr>
        <w:t xml:space="preserve">582 · Queen's University, Kingston, 1989-1992.</w:t>
      </w:r>
      <w:r>
        <w:rPr>
          <w:rFonts w:ascii="Barlow Semi Condensed" w:cs="Barlow Semi Condensed" w:eastAsia="Barlow Semi Condensed" w:hAnsi="Barlow Semi Condensed"/>
          <w:sz w:val="24"/>
          <w:szCs w:val="24"/>
        </w:rPr>
        <w:t xml:space="preserve"> Il trasferimento in Canada nel 1989 e gli studi presso la Queen's University di Kingston, in Ontario, sono fatti pubblici. L'archivio universitario di Kingston conserva annuari, pubblicazioni studentesche e serie amministrative. Nel sistema canadese, come in quello statunitense, la comunicazione a terzi dei dati di uno studente è limitata per legge a poche informazioni di elenco: date di frequenza e titoli conseguiti. Su quelle si lavora, non oltre.</w:t>
      </w:r>
    </w:p>
    <w:p>
      <w:pPr>
        <w:spacing w:after="120" w:line="276"/>
        <w:jc w:val="both"/>
      </w:pPr>
      <w:r>
        <w:rPr>
          <w:rFonts w:ascii="Barlow Semi Condensed" w:cs="Barlow Semi Condensed" w:eastAsia="Barlow Semi Condensed" w:hAnsi="Barlow Semi Condensed"/>
          <w:b/>
          <w:bCs/>
          <w:sz w:val="24"/>
          <w:szCs w:val="24"/>
        </w:rPr>
        <w:t xml:space="preserve">583 · Le due lauree della Pennsylvania.</w:t>
      </w:r>
      <w:r>
        <w:rPr>
          <w:rFonts w:ascii="Barlow Semi Condensed" w:cs="Barlow Semi Condensed" w:eastAsia="Barlow Semi Condensed" w:hAnsi="Barlow Semi Condensed"/>
          <w:sz w:val="24"/>
          <w:szCs w:val="24"/>
        </w:rPr>
        <w:t xml:space="preserve"> Alla University of Pennsylvania furono conseguiti un titolo in fisica nel collegio delle arti e delle scienze e uno in economia alla Wharton School. Sulla data corre una divergenza pubblica: l'interessato ha indicato il completamento dei corsi a metà degli anni Novanta, mentre l'ateneo ha collocato il conferimento nel 1997. La divergenza si riporta e non si scioglie; il programma della cerimonia di quell'anno la deciderebbe.</w:t>
      </w:r>
    </w:p>
    <w:p>
      <w:pPr>
        <w:spacing w:after="120" w:line="276"/>
        <w:jc w:val="both"/>
      </w:pPr>
      <w:r>
        <w:rPr>
          <w:rFonts w:ascii="Barlow Semi Condensed" w:cs="Barlow Semi Condensed" w:eastAsia="Barlow Semi Condensed" w:hAnsi="Barlow Semi Condensed"/>
          <w:b/>
          <w:bCs/>
          <w:sz w:val="24"/>
          <w:szCs w:val="24"/>
        </w:rPr>
        <w:t xml:space="preserve">584 · L'iscrizione a Stanford contestata.</w:t>
      </w:r>
      <w:r>
        <w:rPr>
          <w:rFonts w:ascii="Barlow Semi Condensed" w:cs="Barlow Semi Condensed" w:eastAsia="Barlow Semi Condensed" w:hAnsi="Barlow Semi Condensed"/>
          <w:sz w:val="24"/>
          <w:szCs w:val="24"/>
        </w:rPr>
        <w:t xml:space="preserve"> Circola l'affermazione che nel 1995 vi sia stata un'ammissione a un dottorato californiano, abbandonata dopo pochi giorni; altre ricostruzioni hanno messo in dubbio che l'iscrizione formale sia mai avvenuta. È divergenza pubblica su un fatto amministrativo, dunque risolvibile: l'informazione di elenco dell'ufficio del registrar, oppure la verifica presso il centro nazionale di scambio dati sugli studenti, dice se un'immatricolazione esista. Nessuna delle due è stata prodotta.</w:t>
      </w:r>
    </w:p>
    <w:p>
      <w:pPr>
        <w:spacing w:after="120" w:line="276"/>
        <w:jc w:val="both"/>
      </w:pPr>
      <w:r>
        <w:rPr>
          <w:rFonts w:ascii="Barlow Semi Condensed" w:cs="Barlow Semi Condensed" w:eastAsia="Barlow Semi Condensed" w:hAnsi="Barlow Semi Condensed"/>
          <w:b/>
          <w:bCs/>
          <w:sz w:val="24"/>
          <w:szCs w:val="24"/>
        </w:rPr>
        <w:t xml:space="preserve">585 · La legge di difesa del 1957.</w:t>
      </w:r>
      <w:r>
        <w:rPr>
          <w:rFonts w:ascii="Barlow Semi Condensed" w:cs="Barlow Semi Condensed" w:eastAsia="Barlow Semi Condensed" w:hAnsi="Barlow Semi Condensed"/>
          <w:sz w:val="24"/>
          <w:szCs w:val="24"/>
        </w:rPr>
        <w:t xml:space="preserve"> L'ordinamento della leva sudafricana poggia sulla legge di difesa numero 44 del 1957, che nella forma originaria prevedeva un sorteggio fra i cittadini bianchi di sesso maschile. Le modifiche successive, che ne cambiarono radicalmente la portata, sono altrettanti atti pubblicati nella gazzetta ufficiale. Ogni affermazione sulla durata del servizio in un dato anno va appoggiata al testo vigente in quell'anno, non a una sintesi retrospettiva.</w:t>
      </w:r>
    </w:p>
    <w:p>
      <w:pPr>
        <w:spacing w:after="120" w:line="276"/>
        <w:jc w:val="both"/>
      </w:pPr>
      <w:r>
        <w:rPr>
          <w:rFonts w:ascii="Barlow Semi Condensed" w:cs="Barlow Semi Condensed" w:eastAsia="Barlow Semi Condensed" w:hAnsi="Barlow Semi Condensed"/>
          <w:b/>
          <w:bCs/>
          <w:sz w:val="24"/>
          <w:szCs w:val="24"/>
        </w:rPr>
        <w:t xml:space="preserve">586 · Il 1967 e la chiamata universale.</w:t>
      </w:r>
      <w:r>
        <w:rPr>
          <w:rFonts w:ascii="Barlow Semi Condensed" w:cs="Barlow Semi Condensed" w:eastAsia="Barlow Semi Condensed" w:hAnsi="Barlow Semi Condensed"/>
          <w:sz w:val="24"/>
          <w:szCs w:val="24"/>
        </w:rPr>
        <w:t xml:space="preserve"> A partire dal 1967 il sorteggio fu sostituito dalla chiamata generalizzata dei giovani bianchi idonei, con durata iniziale inferiore all'anno. È lo spartiacque che rende la coscrizione esperienza di massa e non più eventualità statistica. Per ogni soggetto nato dopo quella data l'esposizione all'obbligo dipende da tre variabili documentabili: cittadinanza, residenza al compimento dell'età di leva, e classificazione razziale imposta dalla legislazione allora vigente.</w:t>
      </w:r>
    </w:p>
    <w:p>
      <w:pPr>
        <w:spacing w:after="120" w:line="276"/>
        <w:jc w:val="both"/>
      </w:pPr>
      <w:r>
        <w:rPr>
          <w:rFonts w:ascii="Barlow Semi Condensed" w:cs="Barlow Semi Condensed" w:eastAsia="Barlow Semi Condensed" w:hAnsi="Barlow Semi Condensed"/>
          <w:b/>
          <w:bCs/>
          <w:sz w:val="24"/>
          <w:szCs w:val="24"/>
        </w:rPr>
        <w:t xml:space="preserve">587 · Ventiquattro mesi dal 1978.</w:t>
      </w:r>
      <w:r>
        <w:rPr>
          <w:rFonts w:ascii="Barlow Semi Condensed" w:cs="Barlow Semi Condensed" w:eastAsia="Barlow Semi Condensed" w:hAnsi="Barlow Semi Condensed"/>
          <w:sz w:val="24"/>
          <w:szCs w:val="24"/>
        </w:rPr>
        <w:t xml:space="preserve"> L'estensione del servizio a due anni continuativi, seguiti da richiami periodici, fu disposta con modifica legislativa alla fine degli anni Settanta e produsse la generazione più segnata dalla guerra di confine. Chi compì diciotto anni negli anni Ottanta si trovò davanti a un obbligo pesante e a una scelta reale. Il testo che lo dispone, e le sue date esatte, si leggono nella gazzetta ufficiale e non nelle memorie.</w:t>
      </w:r>
    </w:p>
    <w:p>
      <w:pPr>
        <w:spacing w:after="120" w:line="276"/>
        <w:jc w:val="both"/>
      </w:pPr>
      <w:r>
        <w:rPr>
          <w:rFonts w:ascii="Barlow Semi Condensed" w:cs="Barlow Semi Condensed" w:eastAsia="Barlow Semi Condensed" w:hAnsi="Barlow Semi Condensed"/>
          <w:b/>
          <w:bCs/>
          <w:sz w:val="24"/>
          <w:szCs w:val="24"/>
        </w:rPr>
        <w:t xml:space="preserve">588 · Il rinvio per studi.</w:t>
      </w:r>
      <w:r>
        <w:rPr>
          <w:rFonts w:ascii="Barlow Semi Condensed" w:cs="Barlow Semi Condensed" w:eastAsia="Barlow Semi Condensed" w:hAnsi="Barlow Semi Condensed"/>
          <w:sz w:val="24"/>
          <w:szCs w:val="24"/>
        </w:rPr>
        <w:t xml:space="preserve"> L'iscrizione universitaria consentiva il differimento del servizio, non la sua cancellazione. Ne segue un dato archivistico prezioso: ogni rinvio è provvedimento individuale, e dunque fascicolo con istanza, attestazione dell'ateneo e decisione. La serie di questi provvedimenti, se conservata presso il centro documentale della difesa a Pretoria, è la sola fonte che colleghi registri universitari e ruoli di leva. Il suo stato di conservazione è oggi ignoto.</w:t>
      </w:r>
    </w:p>
    <w:p>
      <w:pPr>
        <w:spacing w:after="120" w:line="276"/>
        <w:jc w:val="both"/>
      </w:pPr>
      <w:r>
        <w:rPr>
          <w:rFonts w:ascii="Barlow Semi Condensed" w:cs="Barlow Semi Condensed" w:eastAsia="Barlow Semi Condensed" w:hAnsi="Barlow Semi Condensed"/>
          <w:b/>
          <w:bCs/>
          <w:sz w:val="24"/>
          <w:szCs w:val="24"/>
        </w:rPr>
        <w:t xml:space="preserve">589 · Il comitato per l'obiezione religiosa.</w:t>
      </w:r>
      <w:r>
        <w:rPr>
          <w:rFonts w:ascii="Barlow Semi Condensed" w:cs="Barlow Semi Condensed" w:eastAsia="Barlow Semi Condensed" w:hAnsi="Barlow Semi Condensed"/>
          <w:sz w:val="24"/>
          <w:szCs w:val="24"/>
        </w:rPr>
        <w:t xml:space="preserve"> Con una modifica alla legge di difesa, nel 1983, fu istituito un organo che esaminava le istanze di obiezione fondate su motivi religiosi e poteva ammettere un servizio alternativo di durata assai maggiore. Un organo che decide produce verbali e decisioni motivate. Individuare dove sia finito quel fondo — e con quali limiti di consultabilità, poiché contiene dati sensibili di persone viventi — è un bersaglio autonomo.</w:t>
      </w:r>
    </w:p>
    <w:p>
      <w:pPr>
        <w:spacing w:after="120" w:line="276"/>
        <w:jc w:val="both"/>
      </w:pPr>
      <w:r>
        <w:rPr>
          <w:rFonts w:ascii="Barlow Semi Condensed" w:cs="Barlow Semi Condensed" w:eastAsia="Barlow Semi Condensed" w:hAnsi="Barlow Semi Condensed"/>
          <w:b/>
          <w:bCs/>
          <w:sz w:val="24"/>
          <w:szCs w:val="24"/>
        </w:rPr>
        <w:t xml:space="preserve">590 · La End Conscription Campaign (serie VIII).</w:t>
      </w:r>
      <w:r>
        <w:rPr>
          <w:rFonts w:ascii="Barlow Semi Condensed" w:cs="Barlow Semi Condensed" w:eastAsia="Barlow Semi Condensed" w:hAnsi="Barlow Semi Condensed"/>
          <w:sz w:val="24"/>
          <w:szCs w:val="24"/>
        </w:rPr>
        <w:t xml:space="preserve"> Nata nel 1983 e colpita da provvedimenti restrittivi nel 1988, la campagna per la fine della coscrizione fu il principale movimento organizzato di opposizione alla leva fra i bianchi. Le sue carte, i manifesti e i ciclostilati sono conservati fra Johannesburg e Città del Capo. Il suo interesse per questa serie è metodologico prima che politico: prova che dentro la stessa coorte esistevano scelte opposte e documentate.</w:t>
      </w:r>
    </w:p>
    <w:p>
      <w:pPr>
        <w:spacing w:after="120" w:line="276"/>
        <w:jc w:val="both"/>
      </w:pPr>
      <w:r>
        <w:rPr>
          <w:rFonts w:ascii="Barlow Semi Condensed" w:cs="Barlow Semi Condensed" w:eastAsia="Barlow Semi Condensed" w:hAnsi="Barlow Semi Condensed"/>
          <w:b/>
          <w:bCs/>
          <w:sz w:val="24"/>
          <w:szCs w:val="24"/>
        </w:rPr>
        <w:t xml:space="preserve">591 · L'udienza della TRC sulla coscrizione.</w:t>
      </w:r>
      <w:r>
        <w:rPr>
          <w:rFonts w:ascii="Barlow Semi Condensed" w:cs="Barlow Semi Condensed" w:eastAsia="Barlow Semi Condensed" w:hAnsi="Barlow Semi Condensed"/>
          <w:sz w:val="24"/>
          <w:szCs w:val="24"/>
        </w:rPr>
        <w:t xml:space="preserve"> La Truth and Reconciliation Commission dedicò nel 1997 un'udienza speciale al servizio militare obbligatorio, con deposizioni di obiettori, di ex militari e di familiari. Le trascrizioni sono pubbliche e citabili per data e per deponente, e confluiscono nel rapporto finale della commissione. È la fonte più autorevole per capire che cosa la leva significasse concretamente, e va preferita a ogni ricostruzione successiva non verbalizzata.</w:t>
      </w:r>
    </w:p>
    <w:p>
      <w:pPr>
        <w:spacing w:after="120" w:line="276"/>
        <w:jc w:val="both"/>
      </w:pPr>
      <w:r>
        <w:rPr>
          <w:rFonts w:ascii="Barlow Semi Condensed" w:cs="Barlow Semi Condensed" w:eastAsia="Barlow Semi Condensed" w:hAnsi="Barlow Semi Condensed"/>
          <w:b/>
          <w:bCs/>
          <w:sz w:val="24"/>
          <w:szCs w:val="24"/>
        </w:rPr>
        <w:t xml:space="preserve">592 · Il centro documentale della difesa (serie VIII).</w:t>
      </w:r>
      <w:r>
        <w:rPr>
          <w:rFonts w:ascii="Barlow Semi Condensed" w:cs="Barlow Semi Condensed" w:eastAsia="Barlow Semi Condensed" w:hAnsi="Barlow Semi Condensed"/>
          <w:sz w:val="24"/>
          <w:szCs w:val="24"/>
        </w:rPr>
        <w:t xml:space="preserve"> A Pretoria il centro documentale del ministero della Difesa conserva le serie della vecchia South African Defence Force, inclusi gli atti di comando e le pratiche del personale. I fascicoli individuali soggiacciono a restrizioni di riservatezza e non sono materia di curiosità biografica. Ciò che resta legittimamente ricercabile è la struttura: circolari sulla chiamata, criteri di esenzione, statistiche annuali per coorte, direttive sui rinvii per studio.</w:t>
      </w:r>
    </w:p>
    <w:p>
      <w:pPr>
        <w:spacing w:after="120" w:line="276"/>
        <w:jc w:val="both"/>
      </w:pPr>
      <w:r>
        <w:rPr>
          <w:rFonts w:ascii="Barlow Semi Condensed" w:cs="Barlow Semi Condensed" w:eastAsia="Barlow Semi Condensed" w:hAnsi="Barlow Semi Condensed"/>
          <w:b/>
          <w:bCs/>
          <w:sz w:val="24"/>
          <w:szCs w:val="24"/>
        </w:rPr>
        <w:t xml:space="preserve">593 · Emigrare prima della chiamata.</w:t>
      </w:r>
      <w:r>
        <w:rPr>
          <w:rFonts w:ascii="Barlow Semi Condensed" w:cs="Barlow Semi Condensed" w:eastAsia="Barlow Semi Condensed" w:hAnsi="Barlow Semi Condensed"/>
          <w:sz w:val="24"/>
          <w:szCs w:val="24"/>
        </w:rPr>
        <w:t xml:space="preserve"> Lasciare il Paese prima dell'età di leva era condotta lecita, e va detto con chiarezza, perché quest'opera non attribuisce illeciti ad alcuno. Elon Musk ha dichiarato pubblicamente di non aver voluto prestare servizio nelle forze armate di quel regime: la dichiarazione è fatto pubblico e si registra come tale, col suo grado. Essa attesta un'intenzione dichiarata, non un procedimento e non un obbligo violato.</w:t>
      </w:r>
    </w:p>
    <w:p>
      <w:pPr>
        <w:spacing w:after="120" w:line="276"/>
        <w:jc w:val="both"/>
      </w:pPr>
      <w:r>
        <w:rPr>
          <w:rFonts w:ascii="Barlow Semi Condensed" w:cs="Barlow Semi Condensed" w:eastAsia="Barlow Semi Condensed" w:hAnsi="Barlow Semi Condensed"/>
          <w:b/>
          <w:bCs/>
          <w:sz w:val="24"/>
          <w:szCs w:val="24"/>
        </w:rPr>
        <w:t xml:space="preserve">594 · La fine della coscrizione.</w:t>
      </w:r>
      <w:r>
        <w:rPr>
          <w:rFonts w:ascii="Barlow Semi Condensed" w:cs="Barlow Semi Condensed" w:eastAsia="Barlow Semi Condensed" w:hAnsi="Barlow Semi Condensed"/>
          <w:sz w:val="24"/>
          <w:szCs w:val="24"/>
        </w:rPr>
        <w:t xml:space="preserve"> L'obbligo di leva per i bianchi si esaurì nella transizione dei primi anni Novanta, con la riduzione delle chiamate e poi la nascita delle forze armate unificate nel 1994. Ne discende un criterio di datazione utile: per ogni persona nata negli anni Settanta occorre stabilire se abbia raggiunto l'età di leva prima o dopo quella cessazione. Nessun blocco deduce da un anno di nascita un servizio prestato.</w:t>
      </w:r>
    </w:p>
    <w:p>
      <w:pPr>
        <w:spacing w:after="120" w:line="276"/>
        <w:jc w:val="both"/>
      </w:pPr>
      <w:r>
        <w:rPr>
          <w:rFonts w:ascii="Barlow Semi Condensed" w:cs="Barlow Semi Condensed" w:eastAsia="Barlow Semi Condensed" w:hAnsi="Barlow Semi Condensed"/>
          <w:b/>
          <w:bCs/>
          <w:sz w:val="24"/>
          <w:szCs w:val="24"/>
        </w:rPr>
        <w:t xml:space="preserve">595 · FERPA e l'informazione di elenco.</w:t>
      </w:r>
      <w:r>
        <w:rPr>
          <w:rFonts w:ascii="Barlow Semi Condensed" w:cs="Barlow Semi Condensed" w:eastAsia="Barlow Semi Condensed" w:hAnsi="Barlow Semi Condensed"/>
          <w:sz w:val="24"/>
          <w:szCs w:val="24"/>
        </w:rPr>
        <w:t xml:space="preserve"> Negli Stati Uniti la legge federale sulla riservatezza dei dati scolastici consente agli atenei di comunicare a terzi soltanto informazioni di elenco: nome, periodo di frequenza, titolo conseguito, eventuali riconoscimenti. Trascritti e votazioni richiedono il consenso dell'interessato. Chi promette carriere accademiche complete di persone viventi senza tale consenso promette ciò che la legge vieta; questa serie si limita a quanto l'informazione di elenco può legittimamente attestare.</w:t>
      </w:r>
    </w:p>
    <w:p>
      <w:pPr>
        <w:spacing w:after="120" w:line="276"/>
        <w:jc w:val="both"/>
      </w:pPr>
      <w:r>
        <w:rPr>
          <w:rFonts w:ascii="Barlow Semi Condensed" w:cs="Barlow Semi Condensed" w:eastAsia="Barlow Semi Condensed" w:hAnsi="Barlow Semi Condensed"/>
          <w:b/>
          <w:bCs/>
          <w:sz w:val="24"/>
          <w:szCs w:val="24"/>
        </w:rPr>
        <w:t xml:space="preserve">596 · L'archivio universitario di Stanford.</w:t>
      </w:r>
      <w:r>
        <w:rPr>
          <w:rFonts w:ascii="Barlow Semi Condensed" w:cs="Barlow Semi Condensed" w:eastAsia="Barlow Semi Condensed" w:hAnsi="Barlow Semi Condensed"/>
          <w:sz w:val="24"/>
          <w:szCs w:val="24"/>
        </w:rPr>
        <w:t xml:space="preserve"> Le raccolte speciali e l'archivio d'ateneo custoditi nella Green Library, a Stanford, conservano annuari, programmi delle cerimonie di laurea, pubblicazioni dipartimentali, fondi di docenti e di associazioni studentesche. Un programma di commencement è documento pubblico e stampato, e attesta il conferimento di un titolo in una data determinata. Per gli anni fra il 1987 e il 1994 è la sede da interrogare sull'intera questione californiana.</w:t>
      </w:r>
    </w:p>
    <w:p>
      <w:pPr>
        <w:spacing w:after="120" w:line="276"/>
        <w:jc w:val="both"/>
      </w:pPr>
      <w:r>
        <w:rPr>
          <w:rFonts w:ascii="Barlow Semi Condensed" w:cs="Barlow Semi Condensed" w:eastAsia="Barlow Semi Condensed" w:hAnsi="Barlow Semi Condensed"/>
          <w:b/>
          <w:bCs/>
          <w:sz w:val="24"/>
          <w:szCs w:val="24"/>
        </w:rPr>
        <w:t xml:space="preserve">597 · Il quotidiano studentesco digitalizzato.</w:t>
      </w:r>
      <w:r>
        <w:rPr>
          <w:rFonts w:ascii="Barlow Semi Condensed" w:cs="Barlow Semi Condensed" w:eastAsia="Barlow Semi Condensed" w:hAnsi="Barlow Semi Condensed"/>
          <w:sz w:val="24"/>
          <w:szCs w:val="24"/>
        </w:rPr>
        <w:t xml:space="preserve"> Lo Stanford Daily dispone di un archivio digitale retrodatato e ricercabile per stringa. È strumento raro: consente di datare al giorno la comparsa pubblica di una persona, di un'associazione, di una polemica di campus. Va usato con la disciplina delle fonti giornalistiche — attesta che qualcosa fu pubblicato, non che fosse vero — ma per la cronologia delle presenze nel campus resta ineguagliato e verificabile da chiunque.</w:t>
      </w:r>
    </w:p>
    <w:p>
      <w:pPr>
        <w:spacing w:after="120" w:line="276"/>
        <w:jc w:val="both"/>
      </w:pPr>
      <w:r>
        <w:rPr>
          <w:rFonts w:ascii="Barlow Semi Condensed" w:cs="Barlow Semi Condensed" w:eastAsia="Barlow Semi Condensed" w:hAnsi="Barlow Semi Condensed"/>
          <w:b/>
          <w:bCs/>
          <w:sz w:val="24"/>
          <w:szCs w:val="24"/>
        </w:rPr>
        <w:t xml:space="preserve">598 · Le gerenze dello Stanford Review.</w:t>
      </w:r>
      <w:r>
        <w:rPr>
          <w:rFonts w:ascii="Barlow Semi Condensed" w:cs="Barlow Semi Condensed" w:eastAsia="Barlow Semi Condensed" w:hAnsi="Barlow Semi Condensed"/>
          <w:sz w:val="24"/>
          <w:szCs w:val="24"/>
        </w:rPr>
        <w:t xml:space="preserve"> La rivista studentesca fondata nel 1987 da Peter Thiel con un condiscepolo pubblica in ogni numero la propria gerenza. Le gerenze sono documenti: attestano chi diresse, chi redasse e in quali mesi. Da esse si ricava una rete di conoscenza personale documentata al primo piano, mentre l'appartenenza a una redazione non prova alcuna condivisione di opinioni. La serie completa a stampa va richiesta alle collezioni della biblioteca universitaria.</w:t>
      </w:r>
    </w:p>
    <w:p>
      <w:pPr>
        <w:spacing w:after="120" w:line="276"/>
        <w:jc w:val="both"/>
      </w:pPr>
      <w:r>
        <w:rPr>
          <w:rFonts w:ascii="Barlow Semi Condensed" w:cs="Barlow Semi Condensed" w:eastAsia="Barlow Semi Condensed" w:hAnsi="Barlow Semi Condensed"/>
          <w:b/>
          <w:bCs/>
          <w:sz w:val="24"/>
          <w:szCs w:val="24"/>
        </w:rPr>
        <w:t xml:space="preserve">599 · Un libro del 1995 come documento.</w:t>
      </w:r>
      <w:r>
        <w:rPr>
          <w:rFonts w:ascii="Barlow Semi Condensed" w:cs="Barlow Semi Condensed" w:eastAsia="Barlow Semi Condensed" w:hAnsi="Barlow Semi Condensed"/>
          <w:sz w:val="24"/>
          <w:szCs w:val="24"/>
        </w:rPr>
        <w:t xml:space="preserve"> Il volume «The Diversity Myth», pubblicato nel 1995 e firmato da Peter Thiel insieme a David Sacks, è opera a stampa, con editore, codice identificativo e testo integrale. Come tale è citabile per pagina, e le sue tesi sono attribuibili agli autori perché essi le sottoscrissero. È il modello dell'unico tipo di attribuzione d'opinione che quest'opera consente: dichiarazione pubblica, firmata, datata, verificabile da un terzo.</w:t>
      </w:r>
    </w:p>
    <w:p>
      <w:pPr>
        <w:spacing w:after="120" w:line="276"/>
        <w:jc w:val="both"/>
      </w:pPr>
      <w:r>
        <w:rPr>
          <w:rFonts w:ascii="Barlow Semi Condensed" w:cs="Barlow Semi Condensed" w:eastAsia="Barlow Semi Condensed" w:hAnsi="Barlow Semi Condensed"/>
          <w:b/>
          <w:bCs/>
          <w:sz w:val="24"/>
          <w:szCs w:val="24"/>
        </w:rPr>
        <w:t xml:space="preserve">600 · La facoltà di legge e i registri.</w:t>
      </w:r>
      <w:r>
        <w:rPr>
          <w:rFonts w:ascii="Barlow Semi Condensed" w:cs="Barlow Semi Condensed" w:eastAsia="Barlow Semi Condensed" w:hAnsi="Barlow Semi Condensed"/>
          <w:sz w:val="24"/>
          <w:szCs w:val="24"/>
        </w:rPr>
        <w:t xml:space="preserve"> Il titolo in giurisprudenza conseguito a Stanford nel 1992 chiude il percorso universitario californiano di quel soggetto. Le scuole di legge statunitensi non producono tesi depositate paragonabili alle dissertazioni dottorali; producono invece annuari, elenchi delle riviste giuridiche studentesche e note pubblicate. Il bersaglio esatto è dunque duplice: il programma della cerimonia del 1992 e gli indici delle riviste studentesche di quegli anni accademici.</w:t>
      </w:r>
    </w:p>
    <w:p>
      <w:pPr>
        <w:spacing w:after="120" w:line="276"/>
        <w:jc w:val="both"/>
      </w:pPr>
      <w:r>
        <w:rPr>
          <w:rFonts w:ascii="Barlow Semi Condensed" w:cs="Barlow Semi Condensed" w:eastAsia="Barlow Semi Condensed" w:hAnsi="Barlow Semi Condensed"/>
          <w:b/>
          <w:bCs/>
          <w:sz w:val="24"/>
          <w:szCs w:val="24"/>
        </w:rPr>
        <w:t xml:space="preserve">601 · La business school e il 2000.</w:t>
      </w:r>
      <w:r>
        <w:rPr>
          <w:rFonts w:ascii="Barlow Semi Condensed" w:cs="Barlow Semi Condensed" w:eastAsia="Barlow Semi Condensed" w:hAnsi="Barlow Semi Condensed"/>
          <w:sz w:val="24"/>
          <w:szCs w:val="24"/>
        </w:rPr>
        <w:t xml:space="preserve"> Roelof Botha conseguì un master in amministrazione aziendale alla Graduate School of Business di Stanford nel 2000, dopo una laurea in scienze attuariali all'Università di Città del Capo. Sono fatti pubblici, dichiarati dalla scheda professionale della società per cui lavora e verificabili come informazione di elenco presso i due atenei. Il percorso è accademico e professionale; nulla in esso riguarda la carriera ministeriale del nonno.</w:t>
      </w:r>
    </w:p>
    <w:p>
      <w:pPr>
        <w:spacing w:after="120" w:line="276"/>
        <w:jc w:val="both"/>
      </w:pPr>
      <w:r>
        <w:rPr>
          <w:rFonts w:ascii="Barlow Semi Condensed" w:cs="Barlow Semi Condensed" w:eastAsia="Barlow Semi Condensed" w:hAnsi="Barlow Semi Condensed"/>
          <w:b/>
          <w:bCs/>
          <w:sz w:val="24"/>
          <w:szCs w:val="24"/>
        </w:rPr>
        <w:t xml:space="preserve">602 · Nessuna sovrapposizione a Stanford.</w:t>
      </w:r>
      <w:r>
        <w:rPr>
          <w:rFonts w:ascii="Barlow Semi Condensed" w:cs="Barlow Semi Condensed" w:eastAsia="Barlow Semi Condensed" w:hAnsi="Barlow Semi Condensed"/>
          <w:sz w:val="24"/>
          <w:szCs w:val="24"/>
        </w:rPr>
        <w:t xml:space="preserve"> Ecco una verifica eseguibile a tavolino, che vale più di molte suggestioni: chi si laureò in filosofia nel 1989 e in legge nel 1992 aveva lasciato l'ateneo otto anni prima che vi arrivasse il futuro direttore finanziario di PayPal, giunto alla business school sul finire del decennio. Le date non si sovrappongono. Il legame fra i due è professionale e successivo, non scolastico né generazionale.</w:t>
      </w:r>
    </w:p>
    <w:p>
      <w:pPr>
        <w:spacing w:after="120" w:line="276"/>
        <w:jc w:val="both"/>
      </w:pPr>
      <w:r>
        <w:rPr>
          <w:rFonts w:ascii="Barlow Semi Condensed" w:cs="Barlow Semi Condensed" w:eastAsia="Barlow Semi Condensed" w:hAnsi="Barlow Semi Condensed"/>
          <w:b/>
          <w:bCs/>
          <w:sz w:val="24"/>
          <w:szCs w:val="24"/>
        </w:rPr>
        <w:t xml:space="preserve">603 · Urbana-Champaign, un'altra genealogia.</w:t>
      </w:r>
      <w:r>
        <w:rPr>
          <w:rFonts w:ascii="Barlow Semi Condensed" w:cs="Barlow Semi Condensed" w:eastAsia="Barlow Semi Condensed" w:hAnsi="Barlow Semi Condensed"/>
          <w:sz w:val="24"/>
          <w:szCs w:val="24"/>
        </w:rPr>
        <w:t xml:space="preserve"> Max Levchin, nato a Kiev nel 1975 ed emigrato negli Stati Uniti da adolescente, si laureò in informatica all'Università dell'Illinois a Urbana-Champaign nella seconda metà degli anni Novanta. La sua formazione non tocca in alcun punto il sistema scolastico sudafricano. L'archivio universitario dell'Illinois conserva le carte del campus e del centro di supercalcolo: è una genealogia tecnica diversa, che converge sull'industria per tutt'altra via.</w:t>
      </w:r>
    </w:p>
    <w:p>
      <w:pPr>
        <w:spacing w:after="120" w:line="276"/>
        <w:jc w:val="both"/>
      </w:pPr>
      <w:r>
        <w:rPr>
          <w:rFonts w:ascii="Barlow Semi Condensed" w:cs="Barlow Semi Condensed" w:eastAsia="Barlow Semi Condensed" w:hAnsi="Barlow Semi Condensed"/>
          <w:b/>
          <w:bCs/>
          <w:sz w:val="24"/>
          <w:szCs w:val="24"/>
        </w:rPr>
        <w:t xml:space="preserve">604 · Tesi depositate: uno stato zero.</w:t>
      </w:r>
      <w:r>
        <w:rPr>
          <w:rFonts w:ascii="Barlow Semi Condensed" w:cs="Barlow Semi Condensed" w:eastAsia="Barlow Semi Condensed" w:hAnsi="Barlow Semi Condensed"/>
          <w:sz w:val="24"/>
          <w:szCs w:val="24"/>
        </w:rPr>
        <w:t xml:space="preserve"> Cercando dissertazioni depositate dai principali soggetti di quest'opera si ottiene un esito negativo: i titoli conseguiti — lauree quadriennali, un master professionale, un dottorato in legge — non comportano deposito di tesi consultabile. È risultato di pieno valore, perché sottrae alla ricerca una fonte che molti danno per scontata. Chi affermasse l'esistenza di una tesi deve indicare la biblioteca di deposito e la segnatura.</w:t>
      </w:r>
    </w:p>
    <w:p>
      <w:pPr>
        <w:spacing w:after="120" w:line="276"/>
        <w:jc w:val="both"/>
      </w:pPr>
      <w:r>
        <w:rPr>
          <w:rFonts w:ascii="Barlow Semi Condensed" w:cs="Barlow Semi Condensed" w:eastAsia="Barlow Semi Condensed" w:hAnsi="Barlow Semi Condensed"/>
          <w:b/>
          <w:bCs/>
          <w:sz w:val="24"/>
          <w:szCs w:val="24"/>
        </w:rPr>
        <w:t xml:space="preserve">605 · Una dissertazione da cercare a Oxford.</w:t>
      </w:r>
      <w:r>
        <w:rPr>
          <w:rFonts w:ascii="Barlow Semi Condensed" w:cs="Barlow Semi Condensed" w:eastAsia="Barlow Semi Condensed" w:hAnsi="Barlow Semi Condensed"/>
          <w:sz w:val="24"/>
          <w:szCs w:val="24"/>
        </w:rPr>
        <w:t xml:space="preserve"> Un solo percorso, fra quelli delle persone ritratte nel 2007, passa per un titolo postlaurea britannico in filosofia conseguito a Oxford nei primi anni Novanta. I master di ricerca di quell'università prevedono di norma un elaborato finale. Verificare presso le Bodleian Libraries se una dissertazione risulti depositata, e con quale titolo, è bersaglio piccolo, economico e mai eseguito. Un esito negativo sarebbe a sua volta un'acquisizione.</w:t>
      </w:r>
    </w:p>
    <w:p>
      <w:pPr>
        <w:spacing w:after="120" w:line="276"/>
        <w:jc w:val="both"/>
      </w:pPr>
      <w:r>
        <w:rPr>
          <w:rFonts w:ascii="Barlow Semi Condensed" w:cs="Barlow Semi Condensed" w:eastAsia="Barlow Semi Condensed" w:hAnsi="Barlow Semi Condensed"/>
          <w:b/>
          <w:bCs/>
          <w:sz w:val="24"/>
          <w:szCs w:val="24"/>
        </w:rPr>
        <w:t xml:space="preserve">606 · I due Botha e i loro atenei.</w:t>
      </w:r>
      <w:r>
        <w:rPr>
          <w:rFonts w:ascii="Barlow Semi Condensed" w:cs="Barlow Semi Condensed" w:eastAsia="Barlow Semi Condensed" w:hAnsi="Barlow Semi Condensed"/>
          <w:sz w:val="24"/>
          <w:szCs w:val="24"/>
        </w:rPr>
        <w:t xml:space="preserve"> L'errore più diffuso su questa materia è confondere Roelof Frederik Botha, ministro degli Esteri dal 1977 al 1994, con Pieter Willem Botha, presidente dello Stato: non erano parenti. Gli archivi universitari lo mostrano meglio di ogni smentita verbale: il primo studiò diritto all'Università di Pretoria, il secondo frequentò l'ateneo di Bloemfontein e ne uscì senza completare gli studi. Due fascicoli, due sedi, nessuna parentela.</w:t>
      </w:r>
    </w:p>
    <w:p>
      <w:pPr>
        <w:spacing w:after="120" w:line="276"/>
        <w:jc w:val="both"/>
      </w:pPr>
      <w:r>
        <w:rPr>
          <w:rFonts w:ascii="Barlow Semi Condensed" w:cs="Barlow Semi Condensed" w:eastAsia="Barlow Semi Condensed" w:hAnsi="Barlow Semi Condensed"/>
          <w:b/>
          <w:bCs/>
          <w:sz w:val="24"/>
          <w:szCs w:val="24"/>
        </w:rPr>
        <w:t xml:space="preserve">607 · Il diploma del nonno a Davenport.</w:t>
      </w:r>
      <w:r>
        <w:rPr>
          <w:rFonts w:ascii="Barlow Semi Condensed" w:cs="Barlow Semi Condensed" w:eastAsia="Barlow Semi Condensed" w:hAnsi="Barlow Semi Condensed"/>
          <w:sz w:val="24"/>
          <w:szCs w:val="24"/>
        </w:rPr>
        <w:t xml:space="preserve"> Joshua Norman Haldeman, nonno materno di Elon Musk, si formò come chiropratico nella scuola di Davenport, nello Iowa, luogo d'origine di quella disciplina. Emigrò in Sud Africa nel 1950 e vi sostenne pubblicamente l'apartheid, con posizioni razziste e antisemite documentate dall'inchiesta della CBC. Non risulta prova di appartenenza a partiti nazisti: è Stato Zero verificato. Le opinioni del nonno non si trasferiscono al nipote, mai.</w:t>
      </w:r>
    </w:p>
    <w:p>
      <w:pPr>
        <w:spacing w:after="120" w:line="276"/>
        <w:jc w:val="both"/>
      </w:pPr>
      <w:r>
        <w:rPr>
          <w:rFonts w:ascii="Barlow Semi Condensed" w:cs="Barlow Semi Condensed" w:eastAsia="Barlow Semi Condensed" w:hAnsi="Barlow Semi Condensed"/>
          <w:b/>
          <w:bCs/>
          <w:sz w:val="24"/>
          <w:szCs w:val="24"/>
        </w:rPr>
        <w:t xml:space="preserve">608 · Dietetica a Bloemfontein.</w:t>
      </w:r>
      <w:r>
        <w:rPr>
          <w:rFonts w:ascii="Barlow Semi Condensed" w:cs="Barlow Semi Condensed" w:eastAsia="Barlow Semi Condensed" w:hAnsi="Barlow Semi Condensed"/>
          <w:sz w:val="24"/>
          <w:szCs w:val="24"/>
        </w:rPr>
        <w:t xml:space="preserve"> Maye Musk, nata in Saskatchewan nel 1948, studiò dietetica presso l'ateneo dello Stato Libero d'Orange, e la sua è biografia professionale pubblica. Il dato serve qui a una sola funzione: mostrare che nella stessa famiglia coesistono formazioni nordamericane e sudafricane, anglofone e afrikaans. La famiglia non è un'unità dottrinale, e trattarla come tale è l'errore che la regola personalistica del corpus esiste per impedire.</w:t>
      </w:r>
    </w:p>
    <w:p>
      <w:pPr>
        <w:spacing w:after="120" w:line="276"/>
        <w:jc w:val="both"/>
      </w:pPr>
      <w:r>
        <w:rPr>
          <w:rFonts w:ascii="Barlow Semi Condensed" w:cs="Barlow Semi Condensed" w:eastAsia="Barlow Semi Condensed" w:hAnsi="Barlow Semi Condensed"/>
          <w:b/>
          <w:bCs/>
          <w:sz w:val="24"/>
          <w:szCs w:val="24"/>
        </w:rPr>
        <w:t xml:space="preserve">609 · Il bersaglio di smentita della serie (serie VIII).</w:t>
      </w:r>
      <w:r>
        <w:rPr>
          <w:rFonts w:ascii="Barlow Semi Condensed" w:cs="Barlow Semi Condensed" w:eastAsia="Barlow Semi Condensed" w:hAnsi="Barlow Semi Condensed"/>
          <w:sz w:val="24"/>
          <w:szCs w:val="24"/>
        </w:rPr>
        <w:t xml:space="preserve"> Se la tesi implicita fosse che una comune scolarizzazione sudafricana bianca abbia prodotto una disposizione condivisa, la serie dichiara che cosa la falsificherebbe. La falsifica il fatto, verificabile in un pomeriggio, che la maggioranza delle persone ritratte nella copertina di Fortune del novembre 2007 non frequentò mai una scuola sudafricana. La confermerebbe soltanto un documento che attesti una formazione comune: nessuno è stato prodotto.</w:t>
      </w:r>
    </w:p>
    <w:p>
      <w:pPr>
        <w:spacing w:after="120" w:line="276"/>
        <w:jc w:val="both"/>
      </w:pPr>
      <w:r>
        <w:rPr>
          <w:rFonts w:ascii="Barlow Semi Condensed" w:cs="Barlow Semi Condensed" w:eastAsia="Barlow Semi Condensed" w:hAnsi="Barlow Semi Condensed"/>
          <w:b/>
          <w:bCs/>
          <w:sz w:val="24"/>
          <w:szCs w:val="24"/>
        </w:rPr>
        <w:t xml:space="preserve">610 · Che cosa la serie non ha trovato.</w:t>
      </w:r>
      <w:r>
        <w:rPr>
          <w:rFonts w:ascii="Barlow Semi Condensed" w:cs="Barlow Semi Condensed" w:eastAsia="Barlow Semi Condensed" w:hAnsi="Barlow Semi Condensed"/>
          <w:sz w:val="24"/>
          <w:szCs w:val="24"/>
        </w:rPr>
        <w:t xml:space="preserve"> Il controllo meccanico sul corpus dà zero occorrenze di scuole, atenei o ruoli di leva sudafricani negli altri Libri; l'unico contatto documentato resta il nodo E-16 delle triangolazioni Guevara-Moro, il discorso all'Assemblea Generale dell'11 dicembre 1964 che denunciò colonialismo e apartheid. Il ponte esiste sul piano della denuncia pubblica, non su quello delle persone. Chi cerchi altro deve portare un registro, non un'affinità. </w:t>
      </w:r>
      <w:r>
        <w:rPr>
          <w:rFonts w:ascii="Barlow Semi Condensed" w:cs="Barlow Semi Condensed" w:eastAsia="Barlow Semi Condensed" w:hAnsi="Barlow Semi Condensed"/>
          <w:i/>
          <w:iCs/>
          <w:sz w:val="24"/>
          <w:szCs w:val="24"/>
        </w:rPr>
        <w:t xml:space="preserve">(Verifica riferita al perimetro anteriore al 26 agosto 2026; per l'aggiornamento dopo l'ingresso del Libro quarto si veda il blocco 38.)</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nona — La valle: PayPal, la rete e i suoi atti societari</w:t>
      </w:r>
    </w:p>
    <w:p>
      <w:pPr>
        <w:spacing w:after="120" w:line="276"/>
        <w:jc w:val="both"/>
      </w:pPr>
      <w:r>
        <w:rPr>
          <w:rFonts w:ascii="Barlow Semi Condensed" w:cs="Barlow Semi Condensed" w:eastAsia="Barlow Semi Condensed" w:hAnsi="Barlow Semi Condensed"/>
          <w:i/>
          <w:iCs/>
          <w:sz w:val="24"/>
          <w:szCs w:val="24"/>
        </w:rPr>
        <w:t xml:space="preserve">Blocchi 611-695.</w:t>
      </w:r>
    </w:p>
    <w:p>
      <w:pPr>
        <w:spacing w:after="120" w:line="276"/>
        <w:jc w:val="both"/>
      </w:pPr>
      <w:r>
        <w:rPr>
          <w:rFonts w:ascii="Barlow Semi Condensed" w:cs="Barlow Semi Condensed" w:eastAsia="Barlow Semi Condensed" w:hAnsi="Barlow Semi Condensed"/>
          <w:b/>
          <w:bCs/>
          <w:sz w:val="24"/>
          <w:szCs w:val="24"/>
        </w:rPr>
        <w:t xml:space="preserve">611 · Statuto della nona serie.</w:t>
      </w:r>
      <w:r>
        <w:rPr>
          <w:rFonts w:ascii="Barlow Semi Condensed" w:cs="Barlow Semi Condensed" w:eastAsia="Barlow Semi Condensed" w:hAnsi="Barlow Semi Condensed"/>
          <w:sz w:val="24"/>
          <w:szCs w:val="24"/>
        </w:rPr>
        <w:t xml:space="preserve"> Questa serie lavora soltanto su depositi: atti costitutivi, prospetti di collocamento, moduli periodici, contratti allegati. Nessuna unità vi afferma una condotta e nessuna indica alcuno come responsabile di illecito. Ogni bersaglio è eseguibile da un terzo che apra un registro pubblico e legga un documento con data, numero e firma. Dove il documento manca si scrive lo Stato Zero con la sede che lo chiuderebbe, come prescrive il blocco 13 del manuale investigativo.</w:t>
      </w:r>
    </w:p>
    <w:p>
      <w:pPr>
        <w:spacing w:after="120" w:line="276"/>
        <w:jc w:val="both"/>
      </w:pPr>
      <w:r>
        <w:rPr>
          <w:rFonts w:ascii="Barlow Semi Condensed" w:cs="Barlow Semi Condensed" w:eastAsia="Barlow Semi Condensed" w:hAnsi="Barlow Semi Condensed"/>
          <w:b/>
          <w:bCs/>
          <w:sz w:val="24"/>
          <w:szCs w:val="24"/>
        </w:rPr>
        <w:t xml:space="preserve">612 · Il gruppo non è un ente.</w:t>
      </w:r>
      <w:r>
        <w:rPr>
          <w:rFonts w:ascii="Barlow Semi Condensed" w:cs="Barlow Semi Condensed" w:eastAsia="Barlow Semi Condensed" w:hAnsi="Barlow Semi Condensed"/>
          <w:sz w:val="24"/>
          <w:szCs w:val="24"/>
        </w:rPr>
        <w:t xml:space="preserve"> Non esiste alcun atto costitutivo, statuto, patto parasociale o registrazione che istituisca una «PayPal Mafia». La locuzione nasce da un servizio di rivista del 2007 e resta una categoria giornalistica. Trattarla come soggetto unitario significa attribuire volontà a un insieme che nessun registro conosce, ed è precisamente l'errore che il manuale censisce al blocco 258. Qui si nominano persone, ciascuna con i propri atti depositati.</w:t>
      </w:r>
    </w:p>
    <w:p>
      <w:pPr>
        <w:spacing w:after="120" w:line="276"/>
        <w:jc w:val="both"/>
      </w:pPr>
      <w:r>
        <w:rPr>
          <w:rFonts w:ascii="Barlow Semi Condensed" w:cs="Barlow Semi Condensed" w:eastAsia="Barlow Semi Condensed" w:hAnsi="Barlow Semi Condensed"/>
          <w:b/>
          <w:bCs/>
          <w:sz w:val="24"/>
          <w:szCs w:val="24"/>
        </w:rPr>
        <w:t xml:space="preserve">613 · Il pavimento è il deposito.</w:t>
      </w:r>
      <w:r>
        <w:rPr>
          <w:rFonts w:ascii="Barlow Semi Condensed" w:cs="Barlow Semi Condensed" w:eastAsia="Barlow Semi Condensed" w:hAnsi="Barlow Semi Condensed"/>
          <w:sz w:val="24"/>
          <w:szCs w:val="24"/>
        </w:rPr>
        <w:t xml:space="preserve"> Il criterio probatorio della serie è più stretto di quello narrativo. Un'affermazione entra soltanto se sopravvive alla domanda: quale documento pubblico la contiene, presso quale autorità, con quale data di ricezione. La memoria dei protagonisti, le interviste retrospettive e le ricostruzioni giornalistiche restano materiale di contesto, mai fondamento. Il deposito ha una virtù che l'aneddoto non ha: fu redatto sotto responsabilità e prima di conoscere l'esito.</w:t>
      </w:r>
    </w:p>
    <w:p>
      <w:pPr>
        <w:spacing w:after="120" w:line="276"/>
        <w:jc w:val="both"/>
      </w:pPr>
      <w:r>
        <w:rPr>
          <w:rFonts w:ascii="Barlow Semi Condensed" w:cs="Barlow Semi Condensed" w:eastAsia="Barlow Semi Condensed" w:hAnsi="Barlow Semi Condensed"/>
          <w:b/>
          <w:bCs/>
          <w:sz w:val="24"/>
          <w:szCs w:val="24"/>
        </w:rPr>
        <w:t xml:space="preserve">614 · Come si interroga EDGAR.</w:t>
      </w:r>
      <w:r>
        <w:rPr>
          <w:rFonts w:ascii="Barlow Semi Condensed" w:cs="Barlow Semi Condensed" w:eastAsia="Barlow Semi Condensed" w:hAnsi="Barlow Semi Condensed"/>
          <w:sz w:val="24"/>
          <w:szCs w:val="24"/>
        </w:rPr>
        <w:t xml:space="preserve"> L'archivio elettronico della Securities and Exchange Commission conserva i depositi delle società statunitensi quotate dal 1993 in avanti, indicizzati per identificativo societario. Si interroga per denominazione, per identificativo o per testo integrale, quest'ultimo limitato agli anni recenti. Chi cerchi PayPal Inc. deve distinguerla da PayPal Holdings Inc., società diversa nata dalla scissione da eBay nel 2015: sono due identificativi separati e confonderli produce una cronologia falsa.</w:t>
      </w:r>
    </w:p>
    <w:p>
      <w:pPr>
        <w:spacing w:after="120" w:line="276"/>
        <w:jc w:val="both"/>
      </w:pPr>
      <w:r>
        <w:rPr>
          <w:rFonts w:ascii="Barlow Semi Condensed" w:cs="Barlow Semi Condensed" w:eastAsia="Barlow Semi Condensed" w:hAnsi="Barlow Semi Condensed"/>
          <w:b/>
          <w:bCs/>
          <w:sz w:val="24"/>
          <w:szCs w:val="24"/>
        </w:rPr>
        <w:t xml:space="preserve">615 · Dover, Delaware, e non altrove.</w:t>
      </w:r>
      <w:r>
        <w:rPr>
          <w:rFonts w:ascii="Barlow Semi Condensed" w:cs="Barlow Semi Condensed" w:eastAsia="Barlow Semi Condensed" w:hAnsi="Barlow Semi Condensed"/>
          <w:sz w:val="24"/>
          <w:szCs w:val="24"/>
        </w:rPr>
        <w:t xml:space="preserve"> Le società di cui questa serie tratta furono costituite quasi tutte nello Stato del Delaware. Il certificato di costituzione, gli emendamenti successivi, il certificato di fusione e le annotazioni di scioglimento si ottengono dalla Division of Corporations del Segretario di Stato, a Dover, dietro pagamento e su richiesta di copia certificata. Quei fogli fissano date e denominazioni con esattezza che nessuna cronaca eguaglia, e sono accessibili a chiunque.</w:t>
      </w:r>
    </w:p>
    <w:p>
      <w:pPr>
        <w:spacing w:after="120" w:line="276"/>
        <w:jc w:val="both"/>
      </w:pPr>
      <w:r>
        <w:rPr>
          <w:rFonts w:ascii="Barlow Semi Condensed" w:cs="Barlow Semi Condensed" w:eastAsia="Barlow Semi Condensed" w:hAnsi="Barlow Semi Condensed"/>
          <w:b/>
          <w:bCs/>
          <w:sz w:val="24"/>
          <w:szCs w:val="24"/>
        </w:rPr>
        <w:t xml:space="preserve">616 · Sacramento e i moduli annuali.</w:t>
      </w:r>
      <w:r>
        <w:rPr>
          <w:rFonts w:ascii="Barlow Semi Condensed" w:cs="Barlow Semi Condensed" w:eastAsia="Barlow Semi Condensed" w:hAnsi="Barlow Semi Condensed"/>
          <w:sz w:val="24"/>
          <w:szCs w:val="24"/>
        </w:rPr>
        <w:t xml:space="preserve"> Una società costituita in Delaware ma operante in California deve qualificarsi presso il Segretario di Stato della California e depositarvi periodicamente lo Statement of Information, che nomina dirigenti, amministratori e agente per le notifiche. La serie storica di quei moduli, consultabile online, restituisce anno per anno la composizione formale degli organi. È una fonte trascurata perché noiosa, e per questo raramente adulterata dalla polemica.</w:t>
      </w:r>
    </w:p>
    <w:p>
      <w:pPr>
        <w:spacing w:after="120" w:line="276"/>
        <w:jc w:val="both"/>
      </w:pPr>
      <w:r>
        <w:rPr>
          <w:rFonts w:ascii="Barlow Semi Condensed" w:cs="Barlow Semi Condensed" w:eastAsia="Barlow Semi Condensed" w:hAnsi="Barlow Semi Condensed"/>
          <w:b/>
          <w:bCs/>
          <w:sz w:val="24"/>
          <w:szCs w:val="24"/>
        </w:rPr>
        <w:t xml:space="preserve">617 · Fieldlink, dicembre 1998.</w:t>
      </w:r>
      <w:r>
        <w:rPr>
          <w:rFonts w:ascii="Barlow Semi Condensed" w:cs="Barlow Semi Condensed" w:eastAsia="Barlow Semi Condensed" w:hAnsi="Barlow Semi Condensed"/>
          <w:sz w:val="24"/>
          <w:szCs w:val="24"/>
        </w:rPr>
        <w:t xml:space="preserve"> Nacque alla fine del 1998, con altro nome e con altro oggetto, la società poi nota come Confinity: si chiamava Fieldlink e vendeva sicurezza crittografica per dispositivi palmari. Il passaggio dal software di cifratura al trasferimento di denaro fra utenti avvenne nel corso del 1999. La data e la denominazione originaria vanno verificate sul certificato di costituzione e sul primo emendamento, non sulle cronologie aziendali pubblicate a posteriori.</w:t>
      </w:r>
    </w:p>
    <w:p>
      <w:pPr>
        <w:spacing w:after="120" w:line="276"/>
        <w:jc w:val="both"/>
      </w:pPr>
      <w:r>
        <w:rPr>
          <w:rFonts w:ascii="Barlow Semi Condensed" w:cs="Barlow Semi Condensed" w:eastAsia="Barlow Semi Condensed" w:hAnsi="Barlow Semi Condensed"/>
          <w:b/>
          <w:bCs/>
          <w:sz w:val="24"/>
          <w:szCs w:val="24"/>
        </w:rPr>
        <w:t xml:space="preserve">618 · Quanti fondatori ebbe Confinity.</w:t>
      </w:r>
      <w:r>
        <w:rPr>
          <w:rFonts w:ascii="Barlow Semi Condensed" w:cs="Barlow Semi Condensed" w:eastAsia="Barlow Semi Condensed" w:hAnsi="Barlow Semi Condensed"/>
          <w:sz w:val="24"/>
          <w:szCs w:val="24"/>
        </w:rPr>
        <w:t xml:space="preserve"> Le fonti divergono sul numero. Alcune ricostruzioni indicano due fondatori, Peter Thiel e Max Levchin; altre ne indicano quattro, aggiungendo Luke Nosek e Ken Howery. La divergenza non si scioglie in silenzio: si riporta e si porta al documento, cioè all'elenco dei sottoscrittori iniziali del capitale e ai primi accordi di emissione azionaria. Fondatore è qualifica giornalistica; sottoscrittore del capitale è qualifica registrale, e sono cose diverse.</w:t>
      </w:r>
    </w:p>
    <w:p>
      <w:pPr>
        <w:spacing w:after="120" w:line="276"/>
        <w:jc w:val="both"/>
      </w:pPr>
      <w:r>
        <w:rPr>
          <w:rFonts w:ascii="Barlow Semi Condensed" w:cs="Barlow Semi Condensed" w:eastAsia="Barlow Semi Condensed" w:hAnsi="Barlow Semi Condensed"/>
          <w:b/>
          <w:bCs/>
          <w:sz w:val="24"/>
          <w:szCs w:val="24"/>
        </w:rPr>
        <w:t xml:space="preserve">619 · X.com, marzo 1999.</w:t>
      </w:r>
      <w:r>
        <w:rPr>
          <w:rFonts w:ascii="Barlow Semi Condensed" w:cs="Barlow Semi Condensed" w:eastAsia="Barlow Semi Condensed" w:hAnsi="Barlow Semi Condensed"/>
          <w:sz w:val="24"/>
          <w:szCs w:val="24"/>
        </w:rPr>
        <w:t xml:space="preserve"> La seconda società della coppia fu costituita nella primavera del 1999 da Elon Musk insieme a Harris Fricker, Christopher Payne ed Ed Ho. La separazione fra Musk e Fricker avvenne pochi mesi dopo. Anche qui il documento decisivo non è il ricordo dei protagonisti ma il certificato di costituzione con l'elenco degli incorporatori, e l'eventuale accordo fra soci depositato più tardi come allegato al prospetto del 2002.</w:t>
      </w:r>
    </w:p>
    <w:p>
      <w:pPr>
        <w:spacing w:after="120" w:line="276"/>
        <w:jc w:val="both"/>
      </w:pPr>
      <w:r>
        <w:rPr>
          <w:rFonts w:ascii="Barlow Semi Condensed" w:cs="Barlow Semi Condensed" w:eastAsia="Barlow Semi Condensed" w:hAnsi="Barlow Semi Condensed"/>
          <w:b/>
          <w:bCs/>
          <w:sz w:val="24"/>
          <w:szCs w:val="24"/>
        </w:rPr>
        <w:t xml:space="preserve">620 · La licenza bancaria mancata.</w:t>
      </w:r>
      <w:r>
        <w:rPr>
          <w:rFonts w:ascii="Barlow Semi Condensed" w:cs="Barlow Semi Condensed" w:eastAsia="Barlow Semi Condensed" w:hAnsi="Barlow Semi Condensed"/>
          <w:sz w:val="24"/>
          <w:szCs w:val="24"/>
        </w:rPr>
        <w:t xml:space="preserve"> X.com annunciò l'intenzione di operare come banca in rete. Se vi fu una domanda formale, ne resta traccia presso l'Office of the Comptroller of the Currency oppure presso la Federal Deposit Insurance Corporation, i cui registri di autorizzazione e di assicurazione dei depositi sono interrogabili pubblicamente. Il bersaglio è netto: accertare se esista una domanda protocollata, e con quale esito. Un annuncio d'impresa non è un'autorizzazione.</w:t>
      </w:r>
    </w:p>
    <w:p>
      <w:pPr>
        <w:spacing w:after="120" w:line="276"/>
        <w:jc w:val="both"/>
      </w:pPr>
      <w:r>
        <w:rPr>
          <w:rFonts w:ascii="Barlow Semi Condensed" w:cs="Barlow Semi Condensed" w:eastAsia="Barlow Semi Condensed" w:hAnsi="Barlow Semi Condensed"/>
          <w:b/>
          <w:bCs/>
          <w:sz w:val="24"/>
          <w:szCs w:val="24"/>
        </w:rPr>
        <w:t xml:space="preserve">621 · I brevetti passati di mano.</w:t>
      </w:r>
      <w:r>
        <w:rPr>
          <w:rFonts w:ascii="Barlow Semi Condensed" w:cs="Barlow Semi Condensed" w:eastAsia="Barlow Semi Condensed" w:hAnsi="Barlow Semi Condensed"/>
          <w:sz w:val="24"/>
          <w:szCs w:val="24"/>
        </w:rPr>
        <w:t xml:space="preserve"> L'ufficio brevetti e marchi statunitense mantiene una banca dati delle cessioni, che registra il passaggio di titolarità con data di esecuzione e data di registrazione. Cercarvi i brevetti attribuiti a Confinity e il loro trasferimento alla società risultante dalla fusione produce una prova documentale del passaggio patrimoniale, indipendente dai comunicati stampa. È la via più economica per datare con precisione ciò che le cronache datano per approssimazione.</w:t>
      </w:r>
    </w:p>
    <w:p>
      <w:pPr>
        <w:spacing w:after="120" w:line="276"/>
        <w:jc w:val="both"/>
      </w:pPr>
      <w:r>
        <w:rPr>
          <w:rFonts w:ascii="Barlow Semi Condensed" w:cs="Barlow Semi Condensed" w:eastAsia="Barlow Semi Condensed" w:hAnsi="Barlow Semi Condensed"/>
          <w:b/>
          <w:bCs/>
          <w:sz w:val="24"/>
          <w:szCs w:val="24"/>
        </w:rPr>
        <w:t xml:space="preserve">622 · I marchi e le loro vicende.</w:t>
      </w:r>
      <w:r>
        <w:rPr>
          <w:rFonts w:ascii="Barlow Semi Condensed" w:cs="Barlow Semi Condensed" w:eastAsia="Barlow Semi Condensed" w:hAnsi="Barlow Semi Condensed"/>
          <w:sz w:val="24"/>
          <w:szCs w:val="24"/>
        </w:rPr>
        <w:t xml:space="preserve"> Il registro dei marchi consente di ricostruire, per ciascun segno depositato, la catena delle titolarità e le date di primo uso dichiarate sotto giuramento. Il marchio denominativo relativo al servizio di pagamento e quello relativo alla denominazione precedente sono due fascicoli distinti, con numeri di serie propri. La dichiarazione di primo uso è resa sotto responsabilità e vale più di qualunque ricostruzione retrospettiva della cronologia commerciale.</w:t>
      </w:r>
    </w:p>
    <w:p>
      <w:pPr>
        <w:spacing w:after="120" w:line="276"/>
        <w:jc w:val="both"/>
      </w:pPr>
      <w:r>
        <w:rPr>
          <w:rFonts w:ascii="Barlow Semi Condensed" w:cs="Barlow Semi Condensed" w:eastAsia="Barlow Semi Condensed" w:hAnsi="Barlow Semi Condensed"/>
          <w:b/>
          <w:bCs/>
          <w:sz w:val="24"/>
          <w:szCs w:val="24"/>
        </w:rPr>
        <w:t xml:space="preserve">623 · Le società private non depositano.</w:t>
      </w:r>
      <w:r>
        <w:rPr>
          <w:rFonts w:ascii="Barlow Semi Condensed" w:cs="Barlow Semi Condensed" w:eastAsia="Barlow Semi Condensed" w:hAnsi="Barlow Semi Condensed"/>
          <w:sz w:val="24"/>
          <w:szCs w:val="24"/>
        </w:rPr>
        <w:t xml:space="preserve"> Nessuna delle due società fu tenuta, fra il 1998 e il febbraio 2002, a depositare bilanci presso la Securities and Exchange Commission, perché nessuna aveva titoli quotati. Ne discende una conseguenza di metodo che vale per l'intera serie: il silenzio dell'archivio federale su quegli anni non è occultamento, è la normale conseguenza dello statuto privato. Confondere le due cose è l'errore del buco riempito.</w:t>
      </w:r>
    </w:p>
    <w:p>
      <w:pPr>
        <w:spacing w:after="120" w:line="276"/>
        <w:jc w:val="both"/>
      </w:pPr>
      <w:r>
        <w:rPr>
          <w:rFonts w:ascii="Barlow Semi Condensed" w:cs="Barlow Semi Condensed" w:eastAsia="Barlow Semi Condensed" w:hAnsi="Barlow Semi Condensed"/>
          <w:b/>
          <w:bCs/>
          <w:sz w:val="24"/>
          <w:szCs w:val="24"/>
        </w:rPr>
        <w:t xml:space="preserve">624 · I moduli D anteriori al 2008.</w:t>
      </w:r>
      <w:r>
        <w:rPr>
          <w:rFonts w:ascii="Barlow Semi Condensed" w:cs="Barlow Semi Condensed" w:eastAsia="Barlow Semi Condensed" w:hAnsi="Barlow Semi Condensed"/>
          <w:sz w:val="24"/>
          <w:szCs w:val="24"/>
        </w:rPr>
        <w:t xml:space="preserve"> I collocamenti privati esenti da registrazione si notificano con un modulo che, fino al 2008, si depositava su carta e non confluì integralmente nell'archivio elettronico. Chi cerchi i finanziamenti del 1999 e del 2000 nell'archivio in rete rischia dunque un falso negativo. La strada corretta passa da una richiesta di accesso agli atti alla Commissione, indicando denominazione e periodo, ed è un bersaglio eseguibile oggi.</w:t>
      </w:r>
    </w:p>
    <w:p>
      <w:pPr>
        <w:spacing w:after="120" w:line="276"/>
        <w:jc w:val="both"/>
      </w:pPr>
      <w:r>
        <w:rPr>
          <w:rFonts w:ascii="Barlow Semi Condensed" w:cs="Barlow Semi Condensed" w:eastAsia="Barlow Semi Condensed" w:hAnsi="Barlow Semi Condensed"/>
          <w:b/>
          <w:bCs/>
          <w:sz w:val="24"/>
          <w:szCs w:val="24"/>
        </w:rPr>
        <w:t xml:space="preserve">625 · I finanziatori della fase privata.</w:t>
      </w:r>
      <w:r>
        <w:rPr>
          <w:rFonts w:ascii="Barlow Semi Condensed" w:cs="Barlow Semi Condensed" w:eastAsia="Barlow Semi Condensed" w:hAnsi="Barlow Semi Condensed"/>
          <w:sz w:val="24"/>
          <w:szCs w:val="24"/>
        </w:rPr>
        <w:t xml:space="preserve"> I turni di finanziamento delle due società coinvolsero fondi di venture capital e almeno un investitore industriale europeo, secondo la stampa economica dell'epoca. Il grado resta indiziario finché non si legga un documento: il modulo di notifica del collocamento, il patto parasociale allegato al prospetto del 2002, o la tabella di capitalizzazione. Fino a quel punto si scrive che la notizia circola, non che il fatto è accertato.</w:t>
      </w:r>
    </w:p>
    <w:p>
      <w:pPr>
        <w:spacing w:after="120" w:line="276"/>
        <w:jc w:val="both"/>
      </w:pPr>
      <w:r>
        <w:rPr>
          <w:rFonts w:ascii="Barlow Semi Condensed" w:cs="Barlow Semi Condensed" w:eastAsia="Barlow Semi Condensed" w:hAnsi="Barlow Semi Condensed"/>
          <w:b/>
          <w:bCs/>
          <w:sz w:val="24"/>
          <w:szCs w:val="24"/>
        </w:rPr>
        <w:t xml:space="preserve">626 · La fusione del marzo 2000.</w:t>
      </w:r>
      <w:r>
        <w:rPr>
          <w:rFonts w:ascii="Barlow Semi Condensed" w:cs="Barlow Semi Condensed" w:eastAsia="Barlow Semi Condensed" w:hAnsi="Barlow Semi Condensed"/>
          <w:sz w:val="24"/>
          <w:szCs w:val="24"/>
        </w:rPr>
        <w:t xml:space="preserve"> Le due società si unirono nella primavera del 2000, con effetto sull'assetto proprietario che il prospetto di due anni dopo descrive in forma sintetica. Il documento primario è il certificato di fusione depositato in Delaware, con la data di efficacia, e l'accordo di fusione con i suoi allegati. La cronaca discute chi cedette di più; l'atto dice soltanto chi si estinse in chi, ed è il dato che conta.</w:t>
      </w:r>
    </w:p>
    <w:p>
      <w:pPr>
        <w:spacing w:after="120" w:line="276"/>
        <w:jc w:val="both"/>
      </w:pPr>
      <w:r>
        <w:rPr>
          <w:rFonts w:ascii="Barlow Semi Condensed" w:cs="Barlow Semi Condensed" w:eastAsia="Barlow Semi Condensed" w:hAnsi="Barlow Semi Condensed"/>
          <w:b/>
          <w:bCs/>
          <w:sz w:val="24"/>
          <w:szCs w:val="24"/>
        </w:rPr>
        <w:t xml:space="preserve">627 · Il rapporto di concambio.</w:t>
      </w:r>
      <w:r>
        <w:rPr>
          <w:rFonts w:ascii="Barlow Semi Condensed" w:cs="Barlow Semi Condensed" w:eastAsia="Barlow Semi Condensed" w:hAnsi="Barlow Semi Condensed"/>
          <w:sz w:val="24"/>
          <w:szCs w:val="24"/>
        </w:rPr>
        <w:t xml:space="preserve"> Quante azioni della società incorporante spettassero a ciascuna azione della incorporata è un numero, non un'opinione, e sta nell'accordo di fusione. Le ricostruzioni biografiche riferiscono un negoziato aspro sulla proporzione e un successivo riaggiustamento. La divergenza fra i racconti si risolve soltanto leggendo il testo dell'accordo e i suoi eventuali emendamenti, reperibili fra gli allegati depositati o, in mancanza, presso le parti.</w:t>
      </w:r>
    </w:p>
    <w:p>
      <w:pPr>
        <w:spacing w:after="120" w:line="276"/>
        <w:jc w:val="both"/>
      </w:pPr>
      <w:r>
        <w:rPr>
          <w:rFonts w:ascii="Barlow Semi Condensed" w:cs="Barlow Semi Condensed" w:eastAsia="Barlow Semi Condensed" w:hAnsi="Barlow Semi Condensed"/>
          <w:b/>
          <w:bCs/>
          <w:sz w:val="24"/>
          <w:szCs w:val="24"/>
        </w:rPr>
        <w:t xml:space="preserve">628 · Il cambio di ragione sociale.</w:t>
      </w:r>
      <w:r>
        <w:rPr>
          <w:rFonts w:ascii="Barlow Semi Condensed" w:cs="Barlow Semi Condensed" w:eastAsia="Barlow Semi Condensed" w:hAnsi="Barlow Semi Condensed"/>
          <w:sz w:val="24"/>
          <w:szCs w:val="24"/>
        </w:rPr>
        <w:t xml:space="preserve"> Per un periodo il soggetto nato dalla fusione portò la denominazione della società incorporante, e assunse più tardi quella del servizio di pagamento. La data esatta di quel cambiamento si legge sul certificato di emendamento allo statuto, non sui comunicati. È un dettaglio apparentemente minuto che ordina tutta la cronologia successiva, perché stabilisce da quale giorno gli atti firmati con l'una o con l'altra denominazione siano riferibili al medesimo soggetto.</w:t>
      </w:r>
    </w:p>
    <w:p>
      <w:pPr>
        <w:spacing w:after="120" w:line="276"/>
        <w:jc w:val="both"/>
      </w:pPr>
      <w:r>
        <w:rPr>
          <w:rFonts w:ascii="Barlow Semi Condensed" w:cs="Barlow Semi Condensed" w:eastAsia="Barlow Semi Condensed" w:hAnsi="Barlow Semi Condensed"/>
          <w:b/>
          <w:bCs/>
          <w:sz w:val="24"/>
          <w:szCs w:val="24"/>
        </w:rPr>
        <w:t xml:space="preserve">629 · Settembre 2000, il consiglio delibera.</w:t>
      </w:r>
      <w:r>
        <w:rPr>
          <w:rFonts w:ascii="Barlow Semi Condensed" w:cs="Barlow Semi Condensed" w:eastAsia="Barlow Semi Condensed" w:hAnsi="Barlow Semi Condensed"/>
          <w:sz w:val="24"/>
          <w:szCs w:val="24"/>
        </w:rPr>
        <w:t xml:space="preserve"> Nel settembre del 2000 il consiglio di amministrazione sostituì l'amministratore delegato. È un atto societario ordinario e come tale va trattato: cambia la persona che firma, cambiano le deleghe, non cambia il soggetto giuridico. Le circostanze del passaggio sono raccontate in modo divergente dalle biografie, e questa serie non le arbitra. Registra soltanto l'effetto verificabile: da quella data la firma sui documenti societari appartiene a un'altra persona.</w:t>
      </w:r>
    </w:p>
    <w:p>
      <w:pPr>
        <w:spacing w:after="120" w:line="276"/>
        <w:jc w:val="both"/>
      </w:pPr>
      <w:r>
        <w:rPr>
          <w:rFonts w:ascii="Barlow Semi Condensed" w:cs="Barlow Semi Condensed" w:eastAsia="Barlow Semi Condensed" w:hAnsi="Barlow Semi Condensed"/>
          <w:b/>
          <w:bCs/>
          <w:sz w:val="24"/>
          <w:szCs w:val="24"/>
        </w:rPr>
        <w:t xml:space="preserve">630 · Due biografi, due racconti.</w:t>
      </w:r>
      <w:r>
        <w:rPr>
          <w:rFonts w:ascii="Barlow Semi Condensed" w:cs="Barlow Semi Condensed" w:eastAsia="Barlow Semi Condensed" w:hAnsi="Barlow Semi Condensed"/>
          <w:sz w:val="24"/>
          <w:szCs w:val="24"/>
        </w:rPr>
        <w:t xml:space="preserve"> La biografia di Elon Musk scritta da Ashlee Vance e quella di Peter Thiel scritta da Max Chafkin narrano il medesimo cambio di vertice con accenti opposti quanto a iniziativa e a legittimità. Entrambe hanno apparato di note e interviste dichiarate; nessuna delle due esibisce i verbali. La regola del corpus è quella del blocco 15 del manuale: le divergenze si riportano, e si porta il quesito alla fonte che le dirimerebbe.</w:t>
      </w:r>
    </w:p>
    <w:p>
      <w:pPr>
        <w:spacing w:after="120" w:line="276"/>
        <w:jc w:val="both"/>
      </w:pPr>
      <w:r>
        <w:rPr>
          <w:rFonts w:ascii="Barlow Semi Condensed" w:cs="Barlow Semi Condensed" w:eastAsia="Barlow Semi Condensed" w:hAnsi="Barlow Semi Condensed"/>
          <w:b/>
          <w:bCs/>
          <w:sz w:val="24"/>
          <w:szCs w:val="24"/>
        </w:rPr>
        <w:t xml:space="preserve">631 · I verbali del consiglio non sono pubblici.</w:t>
      </w:r>
      <w:r>
        <w:rPr>
          <w:rFonts w:ascii="Barlow Semi Condensed" w:cs="Barlow Semi Condensed" w:eastAsia="Barlow Semi Condensed" w:hAnsi="Barlow Semi Condensed"/>
          <w:sz w:val="24"/>
          <w:szCs w:val="24"/>
        </w:rPr>
        <w:t xml:space="preserve"> Le deliberazioni del consiglio di una società privata non si depositano presso alcuna autorità e non sono accessibili a terzi. Restano nei libri sociali, che il diritto societario del Delaware rende ostensibili ai soli soci e in casi determinati. Si verbalizza dunque uno Stato Zero: allo stato non risulta accessibile alcun verbale del settembre 2000, e la sede che lo chiuderebbe è un'esibizione ordinata da un giudice o una produzione volontaria.</w:t>
      </w:r>
    </w:p>
    <w:p>
      <w:pPr>
        <w:spacing w:after="120" w:line="276"/>
        <w:jc w:val="both"/>
      </w:pPr>
      <w:r>
        <w:rPr>
          <w:rFonts w:ascii="Barlow Semi Condensed" w:cs="Barlow Semi Condensed" w:eastAsia="Barlow Semi Condensed" w:hAnsi="Barlow Semi Condensed"/>
          <w:b/>
          <w:bCs/>
          <w:sz w:val="24"/>
          <w:szCs w:val="24"/>
        </w:rPr>
        <w:t xml:space="preserve">632 · Il consiglio quale il prospetto lo descrive.</w:t>
      </w:r>
      <w:r>
        <w:rPr>
          <w:rFonts w:ascii="Barlow Semi Condensed" w:cs="Barlow Semi Condensed" w:eastAsia="Barlow Semi Condensed" w:hAnsi="Barlow Semi Condensed"/>
          <w:sz w:val="24"/>
          <w:szCs w:val="24"/>
        </w:rPr>
        <w:t xml:space="preserve"> Nel prospetto del 2002 la sezione dedicata alla direzione elenca amministratori e dirigenti con età, incarichi e biografia sintetica, e indica i rapporti fra la società e i suoi soci rilevanti. È la prima fotografia ufficiale della governance dopo quattro anni di vita privata. Va letta come autorappresentazione soggetta a responsabilità legale, il che la rende attendibile sui fatti anagrafici e reticente su tutto ciò che non era obbligata a dire.</w:t>
      </w:r>
    </w:p>
    <w:p>
      <w:pPr>
        <w:spacing w:after="120" w:line="276"/>
        <w:jc w:val="both"/>
      </w:pPr>
      <w:r>
        <w:rPr>
          <w:rFonts w:ascii="Barlow Semi Condensed" w:cs="Barlow Semi Condensed" w:eastAsia="Barlow Semi Condensed" w:hAnsi="Barlow Semi Condensed"/>
          <w:b/>
          <w:bCs/>
          <w:sz w:val="24"/>
          <w:szCs w:val="24"/>
        </w:rPr>
        <w:t xml:space="preserve">633 · Gli allegati statutari.</w:t>
      </w:r>
      <w:r>
        <w:rPr>
          <w:rFonts w:ascii="Barlow Semi Condensed" w:cs="Barlow Semi Condensed" w:eastAsia="Barlow Semi Condensed" w:hAnsi="Barlow Semi Condensed"/>
          <w:sz w:val="24"/>
          <w:szCs w:val="24"/>
        </w:rPr>
        <w:t xml:space="preserve"> Ogni registrazione di titoli reca in allegato lo statuto vigente e il regolamento interno nella versione adottata in vista della quotazione. Quei due testi contengono le clausole che governano il consiglio, le classi di azioni, i quorum e le difese contro le scalate. Leggerli è più istruttivo di qualunque intervista, perché mostrano che cosa i fondatori vollero rendere difficile e a chi vollero riservare l'ultima parola.</w:t>
      </w:r>
    </w:p>
    <w:p>
      <w:pPr>
        <w:spacing w:after="120" w:line="276"/>
        <w:jc w:val="both"/>
      </w:pPr>
      <w:r>
        <w:rPr>
          <w:rFonts w:ascii="Barlow Semi Condensed" w:cs="Barlow Semi Condensed" w:eastAsia="Barlow Semi Condensed" w:hAnsi="Barlow Semi Condensed"/>
          <w:b/>
          <w:bCs/>
          <w:sz w:val="24"/>
          <w:szCs w:val="24"/>
        </w:rPr>
        <w:t xml:space="preserve">634 · I piani di assegnazione azionaria.</w:t>
      </w:r>
      <w:r>
        <w:rPr>
          <w:rFonts w:ascii="Barlow Semi Condensed" w:cs="Barlow Semi Condensed" w:eastAsia="Barlow Semi Condensed" w:hAnsi="Barlow Semi Condensed"/>
          <w:sz w:val="24"/>
          <w:szCs w:val="24"/>
        </w:rPr>
        <w:t xml:space="preserve"> I piani di opzione e di incentivazione azionaria si depositano come allegati e si registrano poi con un modulo dedicato alle azioni destinate ai dipendenti. Dicono quante azioni furono riservate, a quali condizioni maturassero e che cosa accadesse in caso di cambio di controllo. Poiché la società fu acquisita otto mesi dopo la quotazione, quella clausola sul cambio di controllo è il punto in cui il denaro effettivamente si mosse.</w:t>
      </w:r>
    </w:p>
    <w:p>
      <w:pPr>
        <w:spacing w:after="120" w:line="276"/>
        <w:jc w:val="both"/>
      </w:pPr>
      <w:r>
        <w:rPr>
          <w:rFonts w:ascii="Barlow Semi Condensed" w:cs="Barlow Semi Condensed" w:eastAsia="Barlow Semi Condensed" w:hAnsi="Barlow Semi Condensed"/>
          <w:b/>
          <w:bCs/>
          <w:sz w:val="24"/>
          <w:szCs w:val="24"/>
        </w:rPr>
        <w:t xml:space="preserve">635 · Il patto sui diritti di registrazione.</w:t>
      </w:r>
      <w:r>
        <w:rPr>
          <w:rFonts w:ascii="Barlow Semi Condensed" w:cs="Barlow Semi Condensed" w:eastAsia="Barlow Semi Condensed" w:hAnsi="Barlow Semi Condensed"/>
          <w:sz w:val="24"/>
          <w:szCs w:val="24"/>
        </w:rPr>
        <w:t xml:space="preserve"> Fra gli allegati contrattuali di ogni collocamento figura l'accordo con cui i soci anteriori si fanno promettere il diritto di far registrare le proprie azioni in vendite successive. Quell'accordo nomina uno per uno i beneficiari, spesso con le rispettive società veicolo. È una delle poche fonti pubbliche che elenchi in modo nominativo la platea dei soci privati anteriori alla quotazione, ed è un bersaglio d'archivio a costo nullo.</w:t>
      </w:r>
    </w:p>
    <w:p>
      <w:pPr>
        <w:spacing w:after="120" w:line="276"/>
        <w:jc w:val="both"/>
      </w:pPr>
      <w:r>
        <w:rPr>
          <w:rFonts w:ascii="Barlow Semi Condensed" w:cs="Barlow Semi Condensed" w:eastAsia="Barlow Semi Condensed" w:hAnsi="Barlow Semi Condensed"/>
          <w:b/>
          <w:bCs/>
          <w:sz w:val="24"/>
          <w:szCs w:val="24"/>
        </w:rPr>
        <w:t xml:space="preserve">636 · Gli accordi di manleva.</w:t>
      </w:r>
      <w:r>
        <w:rPr>
          <w:rFonts w:ascii="Barlow Semi Condensed" w:cs="Barlow Semi Condensed" w:eastAsia="Barlow Semi Condensed" w:hAnsi="Barlow Semi Condensed"/>
          <w:sz w:val="24"/>
          <w:szCs w:val="24"/>
        </w:rPr>
        <w:t xml:space="preserve"> Ciascun amministratore e ciascun dirigente riceve dalla società una manleva contrattuale per le spese legali sostenute in ragione della carica, secondo modelli standardizzati depositati come allegati. La loro esistenza non implica alcuna condotta e non va letta come indizio: è prassi universale delle società statunitensi. Si segnala qui proprio per prevenire l'inferenza abusiva, perché nella letteratura militante la clausola di manleva viene talvolta esibita come se fosse un'ammissione.</w:t>
      </w:r>
    </w:p>
    <w:p>
      <w:pPr>
        <w:spacing w:after="120" w:line="276"/>
        <w:jc w:val="both"/>
      </w:pPr>
      <w:r>
        <w:rPr>
          <w:rFonts w:ascii="Barlow Semi Condensed" w:cs="Barlow Semi Condensed" w:eastAsia="Barlow Semi Condensed" w:hAnsi="Barlow Semi Condensed"/>
          <w:b/>
          <w:bCs/>
          <w:sz w:val="24"/>
          <w:szCs w:val="24"/>
        </w:rPr>
        <w:t xml:space="preserve">637 · Il modulo S-1 del settembre 2001.</w:t>
      </w:r>
      <w:r>
        <w:rPr>
          <w:rFonts w:ascii="Barlow Semi Condensed" w:cs="Barlow Semi Condensed" w:eastAsia="Barlow Semi Condensed" w:hAnsi="Barlow Semi Condensed"/>
          <w:sz w:val="24"/>
          <w:szCs w:val="24"/>
        </w:rPr>
        <w:t xml:space="preserve"> La domanda di registrazione per la quotazione fu depositata alla fine di settembre del 2001, poche settimane dopo gli attentati che avevano chiuso i mercati, in una finestra in cui pochissime società affrontavano il collocamento. La circostanza è documentata dalla data di ricezione stampata sul frontespizio del modulo. Gli emendamenti successivi, numerati progressivamente, permettono di seguire quali informazioni la Commissione chiese di aggiungere e quali la società modificò.</w:t>
      </w:r>
    </w:p>
    <w:p>
      <w:pPr>
        <w:spacing w:after="120" w:line="276"/>
        <w:jc w:val="both"/>
      </w:pPr>
      <w:r>
        <w:rPr>
          <w:rFonts w:ascii="Barlow Semi Condensed" w:cs="Barlow Semi Condensed" w:eastAsia="Barlow Semi Condensed" w:hAnsi="Barlow Semi Condensed"/>
          <w:b/>
          <w:bCs/>
          <w:sz w:val="24"/>
          <w:szCs w:val="24"/>
        </w:rPr>
        <w:t xml:space="preserve">638 · Febbraio 2002, tredici dollari.</w:t>
      </w:r>
      <w:r>
        <w:rPr>
          <w:rFonts w:ascii="Barlow Semi Condensed" w:cs="Barlow Semi Condensed" w:eastAsia="Barlow Semi Condensed" w:hAnsi="Barlow Semi Condensed"/>
          <w:sz w:val="24"/>
          <w:szCs w:val="24"/>
        </w:rPr>
        <w:t xml:space="preserve"> Il collocamento divenne efficace a metà febbraio del 2002 e il prezzo di offerta fu fissato a tredici dollari per azione, con negoziazione su mercato telematico. Il numero delle azioni collocate, l'eventuale opzione di sovrallocazione e il ricavo netto stanno nella prima pagina del prospetto definitivo e nel prospetto di determinazione del prezzo. Sono cifre da leggere, non da citare a memoria: le versioni in rete divergono fra loro.</w:t>
      </w:r>
    </w:p>
    <w:p>
      <w:pPr>
        <w:spacing w:after="120" w:line="276"/>
        <w:jc w:val="both"/>
      </w:pPr>
      <w:r>
        <w:rPr>
          <w:rFonts w:ascii="Barlow Semi Condensed" w:cs="Barlow Semi Condensed" w:eastAsia="Barlow Semi Condensed" w:hAnsi="Barlow Semi Condensed"/>
          <w:b/>
          <w:bCs/>
          <w:sz w:val="24"/>
          <w:szCs w:val="24"/>
        </w:rPr>
        <w:t xml:space="preserve">639 · La copertina e il sindacato.</w:t>
      </w:r>
      <w:r>
        <w:rPr>
          <w:rFonts w:ascii="Barlow Semi Condensed" w:cs="Barlow Semi Condensed" w:eastAsia="Barlow Semi Condensed" w:hAnsi="Barlow Semi Condensed"/>
          <w:sz w:val="24"/>
          <w:szCs w:val="24"/>
        </w:rPr>
        <w:t xml:space="preserve"> La prima pagina di ogni prospetto nomina le banche collocatrici in ordine gerarchico, e quell'ordine è esso stesso un'informazione: dice chi guidò l'operazione e chi vi partecipò. Verificare quali istituti figurino sulla copertina del prospetto del febbraio 2002, e in quale posizione, è un accertamento di trenta secondi che chiude una quantità di affermazioni approssimative sulla rete di relazioni finanziarie dell'operazione.</w:t>
      </w:r>
    </w:p>
    <w:p>
      <w:pPr>
        <w:spacing w:after="120" w:line="276"/>
        <w:jc w:val="both"/>
      </w:pPr>
      <w:r>
        <w:rPr>
          <w:rFonts w:ascii="Barlow Semi Condensed" w:cs="Barlow Semi Condensed" w:eastAsia="Barlow Semi Condensed" w:hAnsi="Barlow Semi Condensed"/>
          <w:b/>
          <w:bCs/>
          <w:sz w:val="24"/>
          <w:szCs w:val="24"/>
        </w:rPr>
        <w:t xml:space="preserve">640 · I fattori di rischio e i regolatori.</w:t>
      </w:r>
      <w:r>
        <w:rPr>
          <w:rFonts w:ascii="Barlow Semi Condensed" w:cs="Barlow Semi Condensed" w:eastAsia="Barlow Semi Condensed" w:hAnsi="Barlow Semi Condensed"/>
          <w:sz w:val="24"/>
          <w:szCs w:val="24"/>
        </w:rPr>
        <w:t xml:space="preserve"> Sotto il titolo dei fattori di rischio il prospetto elenca i procedimenti e le contestazioni pendenti che la società riteneva rilevanti per un investitore, comprese le posizioni assunte da autorità di vigilanza bancaria di singoli Stati sulla natura dell'attività svolta. Il bersaglio consiste nell'estrarre l'elenco nominativo di quelle autorità e nel seguire ciascuna posizione fino al suo esito, presso l'autorità stessa e presso i tribunali competenti.</w:t>
      </w:r>
    </w:p>
    <w:p>
      <w:pPr>
        <w:spacing w:after="120" w:line="276"/>
        <w:jc w:val="both"/>
      </w:pPr>
      <w:r>
        <w:rPr>
          <w:rFonts w:ascii="Barlow Semi Condensed" w:cs="Barlow Semi Condensed" w:eastAsia="Barlow Semi Condensed" w:hAnsi="Barlow Semi Condensed"/>
          <w:b/>
          <w:bCs/>
          <w:sz w:val="24"/>
          <w:szCs w:val="24"/>
        </w:rPr>
        <w:t xml:space="preserve">641 · La causa in materia di brevetti.</w:t>
      </w:r>
      <w:r>
        <w:rPr>
          <w:rFonts w:ascii="Barlow Semi Condensed" w:cs="Barlow Semi Condensed" w:eastAsia="Barlow Semi Condensed" w:hAnsi="Barlow Semi Condensed"/>
          <w:sz w:val="24"/>
          <w:szCs w:val="24"/>
        </w:rPr>
        <w:t xml:space="preserve"> A ridosso della quotazione la società fu convenuta in giudizio per asserita violazione di brevetto. Il fascicolo è reperibile nel sistema di accesso elettronico agli atti delle corti federali statunitensi, con il numero di ruolo e la corte adita. La serie non ne trae alcuna conseguenza sostanziale: registra che una controversia civile esiste, che si concluse, e che il modo in cui si concluse è documentato e leggibile.</w:t>
      </w:r>
    </w:p>
    <w:p>
      <w:pPr>
        <w:spacing w:after="120" w:line="276"/>
        <w:jc w:val="both"/>
      </w:pPr>
      <w:r>
        <w:rPr>
          <w:rFonts w:ascii="Barlow Semi Condensed" w:cs="Barlow Semi Condensed" w:eastAsia="Barlow Semi Condensed" w:hAnsi="Barlow Semi Condensed"/>
          <w:b/>
          <w:bCs/>
          <w:sz w:val="24"/>
          <w:szCs w:val="24"/>
        </w:rPr>
        <w:t xml:space="preserve">642 · La tabella dei soci rilevanti.</w:t>
      </w:r>
      <w:r>
        <w:rPr>
          <w:rFonts w:ascii="Barlow Semi Condensed" w:cs="Barlow Semi Condensed" w:eastAsia="Barlow Semi Condensed" w:hAnsi="Barlow Semi Condensed"/>
          <w:sz w:val="24"/>
          <w:szCs w:val="24"/>
        </w:rPr>
        <w:t xml:space="preserve"> Ogni prospetto contiene la tabella della proprietà effettiva, che elenca chi detenga oltre il cinque per cento del capitale, gli amministratori e i dirigenti, con le rispettive quote prima e dopo l'offerta. È il documento che consente di misurare, senza congetture, chi possedesse che cosa alla vigilia della quotazione. Chiunque scriva percentuali su questa vicenda senza aver aperto quella tabella sta citando una citazione.</w:t>
      </w:r>
    </w:p>
    <w:p>
      <w:pPr>
        <w:spacing w:after="120" w:line="276"/>
        <w:jc w:val="both"/>
      </w:pPr>
      <w:r>
        <w:rPr>
          <w:rFonts w:ascii="Barlow Semi Condensed" w:cs="Barlow Semi Condensed" w:eastAsia="Barlow Semi Condensed" w:hAnsi="Barlow Semi Condensed"/>
          <w:b/>
          <w:bCs/>
          <w:sz w:val="24"/>
          <w:szCs w:val="24"/>
        </w:rPr>
        <w:t xml:space="preserve">643 · La pagina delle firme.</w:t>
      </w:r>
      <w:r>
        <w:rPr>
          <w:rFonts w:ascii="Barlow Semi Condensed" w:cs="Barlow Semi Condensed" w:eastAsia="Barlow Semi Condensed" w:hAnsi="Barlow Semi Condensed"/>
          <w:sz w:val="24"/>
          <w:szCs w:val="24"/>
        </w:rPr>
        <w:t xml:space="preserve"> In coda a ogni domanda di registrazione le persone fisiche che ne rispondono firmano nominativamente, indicando la qualifica: amministratore delegato, direttore finanziario, principale responsabile contabile, consiglieri. Roelof Botha, direttore finanziario, vi compare in quella veste. È un fatto pubblico di impiego e di carica, documentato in un atto ufficiale, e in questa serie non se ne ricava altro che questo: chi firmava che cosa, e a quale data.</w:t>
      </w:r>
    </w:p>
    <w:p>
      <w:pPr>
        <w:spacing w:after="120" w:line="276"/>
        <w:jc w:val="both"/>
      </w:pPr>
      <w:r>
        <w:rPr>
          <w:rFonts w:ascii="Barlow Semi Condensed" w:cs="Barlow Semi Condensed" w:eastAsia="Barlow Semi Condensed" w:hAnsi="Barlow Semi Condensed"/>
          <w:b/>
          <w:bCs/>
          <w:sz w:val="24"/>
          <w:szCs w:val="24"/>
        </w:rPr>
        <w:t xml:space="preserve">644 · Il consenso del revisore.</w:t>
      </w:r>
      <w:r>
        <w:rPr>
          <w:rFonts w:ascii="Barlow Semi Condensed" w:cs="Barlow Semi Condensed" w:eastAsia="Barlow Semi Condensed" w:hAnsi="Barlow Semi Condensed"/>
          <w:sz w:val="24"/>
          <w:szCs w:val="24"/>
        </w:rPr>
        <w:t xml:space="preserve"> Chi certifica i bilanci inseriti nel prospetto deve prestare consenso scritto all'inclusione della propria relazione, e quel consenso si deposita come allegato numerato. Individuare il revisore e la data della relazione permette di stabilire quali esercizi siano stati sottoposti a verifica indipendente e quali no. È il modo più rapido per sapere quanta parte dei numeri circolanti abbia mai avuto una certificazione esterna.</w:t>
      </w:r>
    </w:p>
    <w:p>
      <w:pPr>
        <w:spacing w:after="120" w:line="276"/>
        <w:jc w:val="both"/>
      </w:pPr>
      <w:r>
        <w:rPr>
          <w:rFonts w:ascii="Barlow Semi Condensed" w:cs="Barlow Semi Condensed" w:eastAsia="Barlow Semi Condensed" w:hAnsi="Barlow Semi Condensed"/>
          <w:b/>
          <w:bCs/>
          <w:sz w:val="24"/>
          <w:szCs w:val="24"/>
        </w:rPr>
        <w:t xml:space="preserve">645 · Il prospetto come fonte storica.</w:t>
      </w:r>
      <w:r>
        <w:rPr>
          <w:rFonts w:ascii="Barlow Semi Condensed" w:cs="Barlow Semi Condensed" w:eastAsia="Barlow Semi Condensed" w:hAnsi="Barlow Semi Condensed"/>
          <w:sz w:val="24"/>
          <w:szCs w:val="24"/>
        </w:rPr>
        <w:t xml:space="preserve"> Regola di lettura, vincolante per la serie. Un prospetto non è una cronaca ma un documento redatto per prevenire responsabilità: dice tutto ciò che tacere sarebbe pericoloso e nulla di più. Ne discende che le sue omissioni non sono indizi e i suoi allarmi non sono confessioni. Si usa per ciò che afferma sotto responsabilità — date, cariche, quote, contratti — e si diffida di leggervi intenzioni.</w:t>
      </w:r>
    </w:p>
    <w:p>
      <w:pPr>
        <w:spacing w:after="120" w:line="276"/>
        <w:jc w:val="both"/>
      </w:pPr>
      <w:r>
        <w:rPr>
          <w:rFonts w:ascii="Barlow Semi Condensed" w:cs="Barlow Semi Condensed" w:eastAsia="Barlow Semi Condensed" w:hAnsi="Barlow Semi Condensed"/>
          <w:b/>
          <w:bCs/>
          <w:sz w:val="24"/>
          <w:szCs w:val="24"/>
        </w:rPr>
        <w:t xml:space="preserve">646 · Il periodo di silenzio.</w:t>
      </w:r>
      <w:r>
        <w:rPr>
          <w:rFonts w:ascii="Barlow Semi Condensed" w:cs="Barlow Semi Condensed" w:eastAsia="Barlow Semi Condensed" w:hAnsi="Barlow Semi Condensed"/>
          <w:sz w:val="24"/>
          <w:szCs w:val="24"/>
        </w:rPr>
        <w:t xml:space="preserve"> Dal deposito della domanda fino all'efficacia della registrazione la società è tenuta a limitare le proprie comunicazioni pubbliche. Ne consegue che nell'autunno del 2001 e nell'inverno seguente la stampa disponeva quasi soltanto del prospetto. Chi oggi cerchi dichiarazioni dei protagonisti relative a quei mesi va avvertito: la scarsità non è reticenza sospetta, è un obbligo normativo, e va registrata come tale nel verbale di ricerca.</w:t>
      </w:r>
    </w:p>
    <w:p>
      <w:pPr>
        <w:spacing w:after="120" w:line="276"/>
        <w:jc w:val="both"/>
      </w:pPr>
      <w:r>
        <w:rPr>
          <w:rFonts w:ascii="Barlow Semi Condensed" w:cs="Barlow Semi Condensed" w:eastAsia="Barlow Semi Condensed" w:hAnsi="Barlow Semi Condensed"/>
          <w:b/>
          <w:bCs/>
          <w:sz w:val="24"/>
          <w:szCs w:val="24"/>
        </w:rPr>
        <w:t xml:space="preserve">647 · Gli impegni di lock-up.</w:t>
      </w:r>
      <w:r>
        <w:rPr>
          <w:rFonts w:ascii="Barlow Semi Condensed" w:cs="Barlow Semi Condensed" w:eastAsia="Barlow Semi Condensed" w:hAnsi="Barlow Semi Condensed"/>
          <w:sz w:val="24"/>
          <w:szCs w:val="24"/>
        </w:rPr>
        <w:t xml:space="preserve"> Gli accordi che vietano ai soci anteriori di vendere per un periodo determinato dopo il collocamento sono descritti nella sezione dedicata al collocamento stesso e nei contratti allegati. Stabiliscono quando le partecipazioni siano tornate liquide. Poiché l'acquisizione da parte di eBay maturò entro quella finestra, il modo in cui i vincoli furono trattati nell'operazione successiva è un quesito concreto, con risposta nei documenti dell'acquisizione.</w:t>
      </w:r>
    </w:p>
    <w:p>
      <w:pPr>
        <w:spacing w:after="120" w:line="276"/>
        <w:jc w:val="both"/>
      </w:pPr>
      <w:r>
        <w:rPr>
          <w:rFonts w:ascii="Barlow Semi Condensed" w:cs="Barlow Semi Condensed" w:eastAsia="Barlow Semi Condensed" w:hAnsi="Barlow Semi Condensed"/>
          <w:b/>
          <w:bCs/>
          <w:sz w:val="24"/>
          <w:szCs w:val="24"/>
        </w:rPr>
        <w:t xml:space="preserve">648 · Il prospetto definitivo.</w:t>
      </w:r>
      <w:r>
        <w:rPr>
          <w:rFonts w:ascii="Barlow Semi Condensed" w:cs="Barlow Semi Condensed" w:eastAsia="Barlow Semi Condensed" w:hAnsi="Barlow Semi Condensed"/>
          <w:sz w:val="24"/>
          <w:szCs w:val="24"/>
        </w:rPr>
        <w:t xml:space="preserve"> Le versioni della domanda di registrazione non coincidono con il prospetto effettivamente consegnato agli investitori, che si deposita a parte entro pochi giorni dall'efficacia. Chi lavora su questi materiali deve citare la versione esatta, con la sua sigla e la sua data, perché fra le bozze e il testo finale mutano cifre e formulazioni. È l'applicazione documentale della regola contro il documento citato e mai visto.</w:t>
      </w:r>
    </w:p>
    <w:p>
      <w:pPr>
        <w:spacing w:after="120" w:line="276"/>
        <w:jc w:val="both"/>
      </w:pPr>
      <w:r>
        <w:rPr>
          <w:rFonts w:ascii="Barlow Semi Condensed" w:cs="Barlow Semi Condensed" w:eastAsia="Barlow Semi Condensed" w:hAnsi="Barlow Semi Condensed"/>
          <w:b/>
          <w:bCs/>
          <w:sz w:val="24"/>
          <w:szCs w:val="24"/>
        </w:rPr>
        <w:t xml:space="preserve">649 · Otto luglio 2002, l'annuncio.</w:t>
      </w:r>
      <w:r>
        <w:rPr>
          <w:rFonts w:ascii="Barlow Semi Condensed" w:cs="Barlow Semi Condensed" w:eastAsia="Barlow Semi Condensed" w:hAnsi="Barlow Semi Condensed"/>
          <w:sz w:val="24"/>
          <w:szCs w:val="24"/>
        </w:rPr>
        <w:t xml:space="preserve"> L'accordo con eBay fu reso pubblico all'inizio di luglio del 2002 e comunicato al mercato mediante deposito di un modulo di evento rilevante. Quel modulo, con i suoi allegati, contiene il comunicato congiunto e spesso la presentazione agli analisti. È la fonte primaria per la data e per i termini annunciati, e va preferita a ogni ripresa giornalistica, che tipicamente ne semplifica il contenuto economico.</w:t>
      </w:r>
    </w:p>
    <w:p>
      <w:pPr>
        <w:spacing w:after="120" w:line="276"/>
        <w:jc w:val="both"/>
      </w:pPr>
      <w:r>
        <w:rPr>
          <w:rFonts w:ascii="Barlow Semi Condensed" w:cs="Barlow Semi Condensed" w:eastAsia="Barlow Semi Condensed" w:hAnsi="Barlow Semi Condensed"/>
          <w:b/>
          <w:bCs/>
          <w:sz w:val="24"/>
          <w:szCs w:val="24"/>
        </w:rPr>
        <w:t xml:space="preserve">650 · L'accordo di fusione allegato.</w:t>
      </w:r>
      <w:r>
        <w:rPr>
          <w:rFonts w:ascii="Barlow Semi Condensed" w:cs="Barlow Semi Condensed" w:eastAsia="Barlow Semi Condensed" w:hAnsi="Barlow Semi Condensed"/>
          <w:sz w:val="24"/>
          <w:szCs w:val="24"/>
        </w:rPr>
        <w:t xml:space="preserve"> Il contratto di acquisizione si deposita per intero come allegato al modulo di evento rilevante o alla successiva registrazione dei titoli offerti in concambio. Contiene le dichiarazioni e garanzie, le condizioni sospensive, le penali da recesso e il trattamento delle opzioni. È lungo e ostico, e per questo quasi mai letto: chi lo apre trova in poche pagine ciò che decine di articoli hanno riassunto per approssimazione.</w:t>
      </w:r>
    </w:p>
    <w:p>
      <w:pPr>
        <w:spacing w:after="120" w:line="276"/>
        <w:jc w:val="both"/>
      </w:pPr>
      <w:r>
        <w:rPr>
          <w:rFonts w:ascii="Barlow Semi Condensed" w:cs="Barlow Semi Condensed" w:eastAsia="Barlow Semi Condensed" w:hAnsi="Barlow Semi Condensed"/>
          <w:b/>
          <w:bCs/>
          <w:sz w:val="24"/>
          <w:szCs w:val="24"/>
        </w:rPr>
        <w:t xml:space="preserve">651 · Il modulo S-4 e la delega.</w:t>
      </w:r>
      <w:r>
        <w:rPr>
          <w:rFonts w:ascii="Barlow Semi Condensed" w:cs="Barlow Semi Condensed" w:eastAsia="Barlow Semi Condensed" w:hAnsi="Barlow Semi Condensed"/>
          <w:sz w:val="24"/>
          <w:szCs w:val="24"/>
        </w:rPr>
        <w:t xml:space="preserve"> Poiché il corrispettivo fu in azioni dell'acquirente, l'operazione richiese la registrazione dei titoli offerti e la trasmissione ai soci di un documento di sollecitazione del voto. Quel fascicolo unico contiene la ricostruzione ufficiale del negoziato, giorno per giorno, redatta dalle parti e sottoposta a responsabilità. È la fonte più ricca dell'intera vicenda societaria, ed è pubblica, integrale e gratuita da quasi un quarto di secolo.</w:t>
      </w:r>
    </w:p>
    <w:p>
      <w:pPr>
        <w:spacing w:after="120" w:line="276"/>
        <w:jc w:val="both"/>
      </w:pPr>
      <w:r>
        <w:rPr>
          <w:rFonts w:ascii="Barlow Semi Condensed" w:cs="Barlow Semi Condensed" w:eastAsia="Barlow Semi Condensed" w:hAnsi="Barlow Semi Condensed"/>
          <w:b/>
          <w:bCs/>
          <w:sz w:val="24"/>
          <w:szCs w:val="24"/>
        </w:rPr>
        <w:t xml:space="preserve">652 · L'assemblea e il voto.</w:t>
      </w:r>
      <w:r>
        <w:rPr>
          <w:rFonts w:ascii="Barlow Semi Condensed" w:cs="Barlow Semi Condensed" w:eastAsia="Barlow Semi Condensed" w:hAnsi="Barlow Semi Condensed"/>
          <w:sz w:val="24"/>
          <w:szCs w:val="24"/>
        </w:rPr>
        <w:t xml:space="preserve"> L'approvazione dei soci fu espressa in assemblea straordinaria nell'autunno del 2002. Il risultato della votazione, con voti favorevoli, contrari e astenuti, si comunica al mercato e compare nei depositi periodici. Il bersaglio consiste nel reperire il verbale sintetico e nel confrontare i numeri con la tabella della proprietà effettiva del prospetto di febbraio: da lì si ricava chi, materialmente, decise l'esito dell'operazione.</w:t>
      </w:r>
    </w:p>
    <w:p>
      <w:pPr>
        <w:spacing w:after="120" w:line="276"/>
        <w:jc w:val="both"/>
      </w:pPr>
      <w:r>
        <w:rPr>
          <w:rFonts w:ascii="Barlow Semi Condensed" w:cs="Barlow Semi Condensed" w:eastAsia="Barlow Semi Condensed" w:hAnsi="Barlow Semi Condensed"/>
          <w:b/>
          <w:bCs/>
          <w:sz w:val="24"/>
          <w:szCs w:val="24"/>
        </w:rPr>
        <w:t xml:space="preserve">653 · La chiusura e la deregistrazione.</w:t>
      </w:r>
      <w:r>
        <w:rPr>
          <w:rFonts w:ascii="Barlow Semi Condensed" w:cs="Barlow Semi Condensed" w:eastAsia="Barlow Semi Condensed" w:hAnsi="Barlow Semi Condensed"/>
          <w:sz w:val="24"/>
          <w:szCs w:val="24"/>
        </w:rPr>
        <w:t xml:space="preserve"> Perfezionata l'acquisizione, la società acquisita cessa di avere titoli diffusi e chiede la cancellazione dagli obblighi di comunicazione mediante un modulo apposito. La data di quel deposito segna la fine della vita documentale autonoma del soggetto presso la Commissione. Da quel momento ogni informazione sull'attività confluisce nei bilanci dell'acquirente, e il ricercatore deve cambiare fascicolo: è un passaggio banale e regolarmente ignorato.</w:t>
      </w:r>
    </w:p>
    <w:p>
      <w:pPr>
        <w:spacing w:after="120" w:line="276"/>
        <w:jc w:val="both"/>
      </w:pPr>
      <w:r>
        <w:rPr>
          <w:rFonts w:ascii="Barlow Semi Condensed" w:cs="Barlow Semi Condensed" w:eastAsia="Barlow Semi Condensed" w:hAnsi="Barlow Semi Condensed"/>
          <w:b/>
          <w:bCs/>
          <w:sz w:val="24"/>
          <w:szCs w:val="24"/>
        </w:rPr>
        <w:t xml:space="preserve">654 · Quanti depositi periodici, davvero.</w:t>
      </w:r>
      <w:r>
        <w:rPr>
          <w:rFonts w:ascii="Barlow Semi Condensed" w:cs="Barlow Semi Condensed" w:eastAsia="Barlow Semi Condensed" w:hAnsi="Barlow Semi Condensed"/>
          <w:sz w:val="24"/>
          <w:szCs w:val="24"/>
        </w:rPr>
        <w:t xml:space="preserve"> Fra la quotazione e la cancellazione trascorsero circa otto mesi. Quanti moduli trimestrali e quale relazione annuale la società abbia effettivamente prodotto in quel periodo è una domanda con risposta esatta e non congetturale, che si ottiene scorrendo l'elenco cronologico dei suoi depositi. La brevità di quell'elenco è essa stessa un dato: la sola società quotata di questa storia visse da quotata meno di un anno.</w:t>
      </w:r>
    </w:p>
    <w:p>
      <w:pPr>
        <w:spacing w:after="120" w:line="276"/>
        <w:jc w:val="both"/>
      </w:pPr>
      <w:r>
        <w:rPr>
          <w:rFonts w:ascii="Barlow Semi Condensed" w:cs="Barlow Semi Condensed" w:eastAsia="Barlow Semi Condensed" w:hAnsi="Barlow Semi Condensed"/>
          <w:b/>
          <w:bCs/>
          <w:sz w:val="24"/>
          <w:szCs w:val="24"/>
        </w:rPr>
        <w:t xml:space="preserve">655 · Il segmento nei bilanci dell'acquirente.</w:t>
      </w:r>
      <w:r>
        <w:rPr>
          <w:rFonts w:ascii="Barlow Semi Condensed" w:cs="Barlow Semi Condensed" w:eastAsia="Barlow Semi Condensed" w:hAnsi="Barlow Semi Condensed"/>
          <w:sz w:val="24"/>
          <w:szCs w:val="24"/>
        </w:rPr>
        <w:t xml:space="preserve"> Dopo l'ottobre 2002 il servizio di pagamento è descritto nelle relazioni annuali dell'acquirente, dapprima come attività integrata e poi come segmento con ricavi propri. Seguire quella serie di relazioni permette di misurare la crescita con dati sottoposti a revisione. Permette inoltre di datare le contestazioni e i procedimenti che riguardarono l'attività, poiché l'obbligo di informativa impone di darne conto nei fascicoli annuali.</w:t>
      </w:r>
    </w:p>
    <w:p>
      <w:pPr>
        <w:spacing w:after="120" w:line="276"/>
        <w:jc w:val="both"/>
      </w:pPr>
      <w:r>
        <w:rPr>
          <w:rFonts w:ascii="Barlow Semi Condensed" w:cs="Barlow Semi Condensed" w:eastAsia="Barlow Semi Condensed" w:hAnsi="Barlow Semi Condensed"/>
          <w:b/>
          <w:bCs/>
          <w:sz w:val="24"/>
          <w:szCs w:val="24"/>
        </w:rPr>
        <w:t xml:space="preserve">656 · Le uscite dopo la chiusura.</w:t>
      </w:r>
      <w:r>
        <w:rPr>
          <w:rFonts w:ascii="Barlow Semi Condensed" w:cs="Barlow Semi Condensed" w:eastAsia="Barlow Semi Condensed" w:hAnsi="Barlow Semi Condensed"/>
          <w:sz w:val="24"/>
          <w:szCs w:val="24"/>
        </w:rPr>
        <w:t xml:space="preserve"> Nei mesi successivi all'acquisizione la maggior parte dei dirigenti lasciò la società. Le partenze non si depositano in quanto tali, ma lasciano tracce indirette: cessazione dalle cariche negli statement of information, avvisi di vendita di azioni soggette a restrizione, comparsa dei medesimi nomi come amministratori di nuove società. Ricostruire la dispersione per via documentale è più lento del racconto, e infinitamente più solido.</w:t>
      </w:r>
    </w:p>
    <w:p>
      <w:pPr>
        <w:spacing w:after="120" w:line="276"/>
        <w:jc w:val="both"/>
      </w:pPr>
      <w:r>
        <w:rPr>
          <w:rFonts w:ascii="Barlow Semi Condensed" w:cs="Barlow Semi Condensed" w:eastAsia="Barlow Semi Condensed" w:hAnsi="Barlow Semi Condensed"/>
          <w:b/>
          <w:bCs/>
          <w:sz w:val="24"/>
          <w:szCs w:val="24"/>
        </w:rPr>
        <w:t xml:space="preserve">657 · Fortune, novembre 2007.</w:t>
      </w:r>
      <w:r>
        <w:rPr>
          <w:rFonts w:ascii="Barlow Semi Condensed" w:cs="Barlow Semi Condensed" w:eastAsia="Barlow Semi Condensed" w:hAnsi="Barlow Semi Condensed"/>
          <w:sz w:val="24"/>
          <w:szCs w:val="24"/>
        </w:rPr>
        <w:t xml:space="preserve"> La locuzione che dà il titolo a questa parte compare in un servizio di copertina di Fortune del novembre 2007, firmato da Jeffrey O'Brien. La citazione corretta comprende testata, numero, data e nome dell'autore, e va tratta dall'annata rilegata o dall'edizione digitale d'archivio, non dalle riprese in rete. È il documento genetico dell'espressione, e chiunque la usi dovrebbe averlo visto almeno una volta.</w:t>
      </w:r>
    </w:p>
    <w:p>
      <w:pPr>
        <w:spacing w:after="120" w:line="276"/>
        <w:jc w:val="both"/>
      </w:pPr>
      <w:r>
        <w:rPr>
          <w:rFonts w:ascii="Barlow Semi Condensed" w:cs="Barlow Semi Condensed" w:eastAsia="Barlow Semi Condensed" w:hAnsi="Barlow Semi Condensed"/>
          <w:b/>
          <w:bCs/>
          <w:sz w:val="24"/>
          <w:szCs w:val="24"/>
        </w:rPr>
        <w:t xml:space="preserve">658 · La fotografia del Tosca.</w:t>
      </w:r>
      <w:r>
        <w:rPr>
          <w:rFonts w:ascii="Barlow Semi Condensed" w:cs="Barlow Semi Condensed" w:eastAsia="Barlow Semi Condensed" w:hAnsi="Barlow Semi Condensed"/>
          <w:sz w:val="24"/>
          <w:szCs w:val="24"/>
        </w:rPr>
        <w:t xml:space="preserve"> Il servizio era accompagnato da una fotografia di gruppo realizzata in un locale di San Francisco, con i soggetti abbigliati secondo un'idea scenografica suggerita dal titolo. Elon Musk non partecipò a quello scatto. Il dato è verificabile guardando l'immagine e la sua didascalia, e va ripetuto ogni volta che la fotografia viene usata come se ritraesse l'insieme dei protagonisti della vicenda societaria.</w:t>
      </w:r>
    </w:p>
    <w:p>
      <w:pPr>
        <w:spacing w:after="120" w:line="276"/>
        <w:jc w:val="both"/>
      </w:pPr>
      <w:r>
        <w:rPr>
          <w:rFonts w:ascii="Barlow Semi Condensed" w:cs="Barlow Semi Condensed" w:eastAsia="Barlow Semi Condensed" w:hAnsi="Barlow Semi Condensed"/>
          <w:b/>
          <w:bCs/>
          <w:sz w:val="24"/>
          <w:szCs w:val="24"/>
        </w:rPr>
        <w:t xml:space="preserve">659 · La didascalia va letta sulla carta.</w:t>
      </w:r>
      <w:r>
        <w:rPr>
          <w:rFonts w:ascii="Barlow Semi Condensed" w:cs="Barlow Semi Condensed" w:eastAsia="Barlow Semi Condensed" w:hAnsi="Barlow Semi Condensed"/>
          <w:sz w:val="24"/>
          <w:szCs w:val="24"/>
        </w:rPr>
        <w:t xml:space="preserve"> L'elenco nominativo dei presenti nell'immagine circola in rete in versioni che non coincidono. L'unica forma affidabile è la didascalia stampata nel fascicolo originale, consultabile nelle biblioteche che conservano l'annata di Fortune o nelle banche dati di periodici. Il bersaglio è semplice e nessuno lo ha eseguito pubblicamente: trascrivere la didascalia esatta, nell'ordine in cui la rivista la stampò, e pubblicarla come tale.</w:t>
      </w:r>
    </w:p>
    <w:p>
      <w:pPr>
        <w:spacing w:after="120" w:line="276"/>
        <w:jc w:val="both"/>
      </w:pPr>
      <w:r>
        <w:rPr>
          <w:rFonts w:ascii="Barlow Semi Condensed" w:cs="Barlow Semi Condensed" w:eastAsia="Barlow Semi Condensed" w:hAnsi="Barlow Semi Condensed"/>
          <w:b/>
          <w:bCs/>
          <w:sz w:val="24"/>
          <w:szCs w:val="24"/>
        </w:rPr>
        <w:t xml:space="preserve">660 · Una categoria, non un soggetto.</w:t>
      </w:r>
      <w:r>
        <w:rPr>
          <w:rFonts w:ascii="Barlow Semi Condensed" w:cs="Barlow Semi Condensed" w:eastAsia="Barlow Semi Condensed" w:hAnsi="Barlow Semi Condensed"/>
          <w:sz w:val="24"/>
          <w:szCs w:val="24"/>
        </w:rPr>
        <w:t xml:space="preserve"> Va ripetuto perché è il fulcro della serie. Un titolo di rivista aggrega persone secondo un criterio giornalistico, non giuridico: chi fotografare, chi era disponibile, chi rendeva bene nell'inquadratura. Da un criterio simile non discende alcun vincolo fra i fotografati, nessun obbligo reciproco, nessuna decisione comune. Ogni proposizione che attribuisca un'azione al gruppo va riscritta nominando la persona che compì l'atto, o cade.</w:t>
      </w:r>
    </w:p>
    <w:p>
      <w:pPr>
        <w:spacing w:after="120" w:line="276"/>
        <w:jc w:val="both"/>
      </w:pPr>
      <w:r>
        <w:rPr>
          <w:rFonts w:ascii="Barlow Semi Condensed" w:cs="Barlow Semi Condensed" w:eastAsia="Barlow Semi Condensed" w:hAnsi="Barlow Semi Condensed"/>
          <w:b/>
          <w:bCs/>
          <w:sz w:val="24"/>
          <w:szCs w:val="24"/>
        </w:rPr>
        <w:t xml:space="preserve">661 · Cercare gli usi anteriori.</w:t>
      </w:r>
      <w:r>
        <w:rPr>
          <w:rFonts w:ascii="Barlow Semi Condensed" w:cs="Barlow Semi Condensed" w:eastAsia="Barlow Semi Condensed" w:hAnsi="Barlow Semi Condensed"/>
          <w:sz w:val="24"/>
          <w:szCs w:val="24"/>
        </w:rPr>
        <w:t xml:space="preserve"> La paternità dell'espressione va verificata e non presunta. Le banche dati di periodici e di quotidiani consentono ricerche a testo integrale con delimitazione cronologica: interrogarle per la locuzione con termine finale il 2007 stabilirebbe se il servizio di Fortune la coniò o la raccolse da un uso preesistente. È un accertamento circoscritto, il cui esito negativo varrebbe quanto quello positivo e andrebbe pubblicato ugualmente.</w:t>
      </w:r>
    </w:p>
    <w:p>
      <w:pPr>
        <w:spacing w:after="120" w:line="276"/>
        <w:jc w:val="both"/>
      </w:pPr>
      <w:r>
        <w:rPr>
          <w:rFonts w:ascii="Barlow Semi Condensed" w:cs="Barlow Semi Condensed" w:eastAsia="Barlow Semi Condensed" w:hAnsi="Barlow Semi Condensed"/>
          <w:b/>
          <w:bCs/>
          <w:sz w:val="24"/>
          <w:szCs w:val="24"/>
        </w:rPr>
        <w:t xml:space="preserve">662 · Chi possiede quell'immagine.</w:t>
      </w:r>
      <w:r>
        <w:rPr>
          <w:rFonts w:ascii="Barlow Semi Condensed" w:cs="Barlow Semi Condensed" w:eastAsia="Barlow Semi Condensed" w:hAnsi="Barlow Semi Condensed"/>
          <w:sz w:val="24"/>
          <w:szCs w:val="24"/>
        </w:rPr>
        <w:t xml:space="preserve"> La fotografia è opera protetta, con un autore e un titolare dei diritti, indicati in didascalia e nel registro del diritto d'autore statunitense. Chi la riproduce senza licenza commette un illecito civile proprio, estraneo al merito storico. Si segnala qui per una ragione di metodo: la circolazione priva di attribuzione dell'immagine è uno dei veicoli con cui la vicenda è diventata mitologia invece che documentazione.</w:t>
      </w:r>
    </w:p>
    <w:p>
      <w:pPr>
        <w:spacing w:after="120" w:line="276"/>
        <w:jc w:val="both"/>
      </w:pPr>
      <w:r>
        <w:rPr>
          <w:rFonts w:ascii="Barlow Semi Condensed" w:cs="Barlow Semi Condensed" w:eastAsia="Barlow Semi Condensed" w:hAnsi="Barlow Semi Condensed"/>
          <w:b/>
          <w:bCs/>
          <w:sz w:val="24"/>
          <w:szCs w:val="24"/>
        </w:rPr>
        <w:t xml:space="preserve">663 · Tredici non è l'insieme.</w:t>
      </w:r>
      <w:r>
        <w:rPr>
          <w:rFonts w:ascii="Barlow Semi Condensed" w:cs="Barlow Semi Condensed" w:eastAsia="Barlow Semi Condensed" w:hAnsi="Barlow Semi Condensed"/>
          <w:sz w:val="24"/>
          <w:szCs w:val="24"/>
        </w:rPr>
        <w:t xml:space="preserve"> Il numero delle persone ritratte è ristretto e non coincide con la platea dei fondatori, dei dirigenti e dei primi dipendenti delle due società. Chi ragioni sul gruppo fotografato ragiona su un campione selezionato da un fotografo per esigenze di composizione. Trarne conclusioni sull'insieme è un errore di campionamento, non un'interpretazione discutibile, e produce affermazioni false su chi c'era e su chi contò davvero.</w:t>
      </w:r>
    </w:p>
    <w:p>
      <w:pPr>
        <w:spacing w:after="120" w:line="276"/>
        <w:jc w:val="both"/>
      </w:pPr>
      <w:r>
        <w:rPr>
          <w:rFonts w:ascii="Barlow Semi Condensed" w:cs="Barlow Semi Condensed" w:eastAsia="Barlow Semi Condensed" w:hAnsi="Barlow Semi Condensed"/>
          <w:b/>
          <w:bCs/>
          <w:sz w:val="24"/>
          <w:szCs w:val="24"/>
        </w:rPr>
        <w:t xml:space="preserve">664 · Nominare le persone, non il gruppo.</w:t>
      </w:r>
      <w:r>
        <w:rPr>
          <w:rFonts w:ascii="Barlow Semi Condensed" w:cs="Barlow Semi Condensed" w:eastAsia="Barlow Semi Condensed" w:hAnsi="Barlow Semi Condensed"/>
          <w:sz w:val="24"/>
          <w:szCs w:val="24"/>
        </w:rPr>
        <w:t xml:space="preserve"> Regola operativa che vale per ogni blocco successivo. Non si scrive che il gruppo investì, decise o influenzò: si scrive che una persona determinata sottoscrisse un aumento di capitale in una data determinata, e si indica il deposito che lo attesta. La sostituzione del soggetto collettivo con il soggetto nominato non è una cautela stilistica: è ciò che rende l'affermazione verificabile o la fa cadere.</w:t>
      </w:r>
    </w:p>
    <w:p>
      <w:pPr>
        <w:spacing w:after="120" w:line="276"/>
        <w:jc w:val="both"/>
      </w:pPr>
      <w:r>
        <w:rPr>
          <w:rFonts w:ascii="Barlow Semi Condensed" w:cs="Barlow Semi Condensed" w:eastAsia="Barlow Semi Condensed" w:hAnsi="Barlow Semi Condensed"/>
          <w:b/>
          <w:bCs/>
          <w:sz w:val="24"/>
          <w:szCs w:val="24"/>
        </w:rPr>
        <w:t xml:space="preserve">665 · Che cosa smentirebbe l'ente.</w:t>
      </w:r>
      <w:r>
        <w:rPr>
          <w:rFonts w:ascii="Barlow Semi Condensed" w:cs="Barlow Semi Condensed" w:eastAsia="Barlow Semi Condensed" w:hAnsi="Barlow Semi Condensed"/>
          <w:sz w:val="24"/>
          <w:szCs w:val="24"/>
        </w:rPr>
        <w:t xml:space="preserve"> Bersaglio di smentita, dichiarato. Se emergesse un atto costitutivo, un patto parasociale, un accordo di sindacato di voto o una società veicolo comune che leghi formalmente fra loro le persone ritratte nel 2007, la tesi della semplice categoria giornalistica cadrebbe e andrebbe riscritta. Le sedi dove cercarlo sono i registri societari del Delaware e della California e gli allegati contrattuali dei depositi presso la Commissione.</w:t>
      </w:r>
    </w:p>
    <w:p>
      <w:pPr>
        <w:spacing w:after="120" w:line="276"/>
        <w:jc w:val="both"/>
      </w:pPr>
      <w:r>
        <w:rPr>
          <w:rFonts w:ascii="Barlow Semi Condensed" w:cs="Barlow Semi Condensed" w:eastAsia="Barlow Semi Condensed" w:hAnsi="Barlow Semi Condensed"/>
          <w:b/>
          <w:bCs/>
          <w:sz w:val="24"/>
          <w:szCs w:val="24"/>
        </w:rPr>
        <w:t xml:space="preserve">666 · Palantir, il Delaware e il 2020.</w:t>
      </w:r>
      <w:r>
        <w:rPr>
          <w:rFonts w:ascii="Barlow Semi Condensed" w:cs="Barlow Semi Condensed" w:eastAsia="Barlow Semi Condensed" w:hAnsi="Barlow Semi Condensed"/>
          <w:sz w:val="24"/>
          <w:szCs w:val="24"/>
        </w:rPr>
        <w:t xml:space="preserve"> Fondata nei primi anni Duemila da Alex Karp, Peter Thiel, Joe Lonsdale, Stephen Cohen e Nathan Gettings, la società di analisi dati rimase privata per oltre quindici anni e si quotò nel settembre 2020 mediante quotazione diretta, senza collocamento. La domanda di registrazione depositata quell'estate contiene bilanci, struttura del capitale e biografie: è il primo documento pubblico completo su una società fino ad allora descritta solo per sentito dire.</w:t>
      </w:r>
    </w:p>
    <w:p>
      <w:pPr>
        <w:spacing w:after="120" w:line="276"/>
        <w:jc w:val="both"/>
      </w:pPr>
      <w:r>
        <w:rPr>
          <w:rFonts w:ascii="Barlow Semi Condensed" w:cs="Barlow Semi Condensed" w:eastAsia="Barlow Semi Condensed" w:hAnsi="Barlow Semi Condensed"/>
          <w:b/>
          <w:bCs/>
          <w:sz w:val="24"/>
          <w:szCs w:val="24"/>
        </w:rPr>
        <w:t xml:space="preserve">667 · Le azioni di classe speciale.</w:t>
      </w:r>
      <w:r>
        <w:rPr>
          <w:rFonts w:ascii="Barlow Semi Condensed" w:cs="Barlow Semi Condensed" w:eastAsia="Barlow Semi Condensed" w:hAnsi="Barlow Semi Condensed"/>
          <w:sz w:val="24"/>
          <w:szCs w:val="24"/>
        </w:rPr>
        <w:t xml:space="preserve"> Quella domanda di registrazione descrive una classe di azioni riservata ai fondatori, costruita per conservare loro il controllo dei voti indipendentemente dalla quota di capitale posseduta. È un fatto di governance depositato e leggibile, non una congettura sul potere. Documenta un'intenzione — rendere l'assetto insensibile al mercato — che va attribuita a chi la sottoscrisse, e che non implica nulla su alcuna condotta successiva della società.</w:t>
      </w:r>
    </w:p>
    <w:p>
      <w:pPr>
        <w:spacing w:after="120" w:line="276"/>
        <w:jc w:val="both"/>
      </w:pPr>
      <w:r>
        <w:rPr>
          <w:rFonts w:ascii="Barlow Semi Condensed" w:cs="Barlow Semi Condensed" w:eastAsia="Barlow Semi Condensed" w:hAnsi="Barlow Semi Condensed"/>
          <w:b/>
          <w:bCs/>
          <w:sz w:val="24"/>
          <w:szCs w:val="24"/>
        </w:rPr>
        <w:t xml:space="preserve">668 · Il fondo del 2005.</w:t>
      </w:r>
      <w:r>
        <w:rPr>
          <w:rFonts w:ascii="Barlow Semi Condensed" w:cs="Barlow Semi Condensed" w:eastAsia="Barlow Semi Condensed" w:hAnsi="Barlow Semi Condensed"/>
          <w:sz w:val="24"/>
          <w:szCs w:val="24"/>
        </w:rPr>
        <w:t xml:space="preserve"> Il veicolo di investimento costituito nel 2005 da Peter Thiel con Ken Howery e Luke Nosek lascia due tracce federali: le notifiche di collocamento esente per ciascun fondo raccolto e il modulo di iscrizione degli operatori di consulenza sugli investimenti, che dichiara masse gestite, assetti proprietari e procedimenti disciplinari eventuali. Entrambe sono pubbliche e interrogabili per nome, e restituiscono una cronologia della raccolta.</w:t>
      </w:r>
    </w:p>
    <w:p>
      <w:pPr>
        <w:spacing w:after="120" w:line="276"/>
        <w:jc w:val="both"/>
      </w:pPr>
      <w:r>
        <w:rPr>
          <w:rFonts w:ascii="Barlow Semi Condensed" w:cs="Barlow Semi Condensed" w:eastAsia="Barlow Semi Condensed" w:hAnsi="Barlow Semi Condensed"/>
          <w:b/>
          <w:bCs/>
          <w:sz w:val="24"/>
          <w:szCs w:val="24"/>
        </w:rPr>
        <w:t xml:space="preserve">669 · Il veicolo macro e le sue posizioni.</w:t>
      </w:r>
      <w:r>
        <w:rPr>
          <w:rFonts w:ascii="Barlow Semi Condensed" w:cs="Barlow Semi Condensed" w:eastAsia="Barlow Semi Condensed" w:hAnsi="Barlow Semi Condensed"/>
          <w:sz w:val="24"/>
          <w:szCs w:val="24"/>
        </w:rPr>
        <w:t xml:space="preserve"> Il fondo di investimento macroeconomico costituito nel 2002 depositò per alcuni anni le comunicazioni trimestrali di posizione previste per i gestori che superino una soglia di attivi in titoli statunitensi. Quei moduli elencano le partecipazioni detenute a fine trimestre. Ne risulta una serie storica delle scelte di portafoglio, utile a datare l'attività del veicolo e la sua contrazione, senza dover ricorrere ad alcuna fonte giornalistica.</w:t>
      </w:r>
    </w:p>
    <w:p>
      <w:pPr>
        <w:spacing w:after="120" w:line="276"/>
        <w:jc w:val="both"/>
      </w:pPr>
      <w:r>
        <w:rPr>
          <w:rFonts w:ascii="Barlow Semi Condensed" w:cs="Barlow Semi Condensed" w:eastAsia="Barlow Semi Condensed" w:hAnsi="Barlow Semi Condensed"/>
          <w:b/>
          <w:bCs/>
          <w:sz w:val="24"/>
          <w:szCs w:val="24"/>
        </w:rPr>
        <w:t xml:space="preserve">670 · L'investimento del 2004.</w:t>
      </w:r>
      <w:r>
        <w:rPr>
          <w:rFonts w:ascii="Barlow Semi Condensed" w:cs="Barlow Semi Condensed" w:eastAsia="Barlow Semi Condensed" w:hAnsi="Barlow Semi Condensed"/>
          <w:sz w:val="24"/>
          <w:szCs w:val="24"/>
        </w:rPr>
        <w:t xml:space="preserve"> La sottoscrizione, nell'estate del 2004, di una quota di una società di reti sociali allora appena nata è un fatto pubblico riferito costantemente dagli interessati. La traccia documentale robusta arriva più tardi: dalla quotazione del 2012 in poi, i moduli sulla proprietà degli insider e le comunicazioni di partecipazione rilevante attestano quote e cessioni con date certe. Prima di quella soglia si resta al piano dell'attestazione dichiarativa.</w:t>
      </w:r>
    </w:p>
    <w:p>
      <w:pPr>
        <w:spacing w:after="120" w:line="276"/>
        <w:jc w:val="both"/>
      </w:pPr>
      <w:r>
        <w:rPr>
          <w:rFonts w:ascii="Barlow Semi Condensed" w:cs="Barlow Semi Condensed" w:eastAsia="Barlow Semi Condensed" w:hAnsi="Barlow Semi Condensed"/>
          <w:b/>
          <w:bCs/>
          <w:sz w:val="24"/>
          <w:szCs w:val="24"/>
        </w:rPr>
        <w:t xml:space="preserve">671 · Le dimissioni dal consiglio.</w:t>
      </w:r>
      <w:r>
        <w:rPr>
          <w:rFonts w:ascii="Barlow Semi Condensed" w:cs="Barlow Semi Condensed" w:eastAsia="Barlow Semi Condensed" w:hAnsi="Barlow Semi Condensed"/>
          <w:sz w:val="24"/>
          <w:szCs w:val="24"/>
        </w:rPr>
        <w:t xml:space="preserve"> L'uscita dal consiglio di amministrazione della medesima società, nel 2022, fu comunicata al mercato con un modulo di evento rilevante, come impone la disciplina sulle variazioni degli organi. Quel deposito fissa la data e riporta l'eventuale lettera di dimissioni. È un esempio didattico di come un fatto ampiamente commentato dalla stampa abbia, sotto, un documento breve e preciso che nessuno dei commentatori cita.</w:t>
      </w:r>
    </w:p>
    <w:p>
      <w:pPr>
        <w:spacing w:after="120" w:line="276"/>
        <w:jc w:val="both"/>
      </w:pPr>
      <w:r>
        <w:rPr>
          <w:rFonts w:ascii="Barlow Semi Condensed" w:cs="Barlow Semi Condensed" w:eastAsia="Barlow Semi Condensed" w:hAnsi="Barlow Semi Condensed"/>
          <w:b/>
          <w:bCs/>
          <w:sz w:val="24"/>
          <w:szCs w:val="24"/>
        </w:rPr>
        <w:t xml:space="preserve">672 · SpaceX non deposita bilanci.</w:t>
      </w:r>
      <w:r>
        <w:rPr>
          <w:rFonts w:ascii="Barlow Semi Condensed" w:cs="Barlow Semi Condensed" w:eastAsia="Barlow Semi Condensed" w:hAnsi="Barlow Semi Condensed"/>
          <w:sz w:val="24"/>
          <w:szCs w:val="24"/>
        </w:rPr>
        <w:t xml:space="preserve"> Costituita nel 2002, la società spaziale non è quotata e non pubblica bilanci. Il vuoto documentale non è però totale: le licenze di lancio rilasciate dall'autorità federale dell'aviazione, le autorizzazioni radio e le concessioni orbitali, i contratti con l'amministrazione pubblicati nei sistemi federali degli appalti costituiscono una documentazione ampia e spesso trascurata. Il bersaglio è compilarne l'indice, che allo stato non risulta esistere in forma pubblica.</w:t>
      </w:r>
    </w:p>
    <w:p>
      <w:pPr>
        <w:spacing w:after="120" w:line="276"/>
        <w:jc w:val="both"/>
      </w:pPr>
      <w:r>
        <w:rPr>
          <w:rFonts w:ascii="Barlow Semi Condensed" w:cs="Barlow Semi Condensed" w:eastAsia="Barlow Semi Condensed" w:hAnsi="Barlow Semi Condensed"/>
          <w:b/>
          <w:bCs/>
          <w:sz w:val="24"/>
          <w:szCs w:val="24"/>
        </w:rPr>
        <w:t xml:space="preserve">673 · La traccia dei moduli sugli insider.</w:t>
      </w:r>
      <w:r>
        <w:rPr>
          <w:rFonts w:ascii="Barlow Semi Condensed" w:cs="Barlow Semi Condensed" w:eastAsia="Barlow Semi Condensed" w:hAnsi="Barlow Semi Condensed"/>
          <w:sz w:val="24"/>
          <w:szCs w:val="24"/>
        </w:rPr>
        <w:t xml:space="preserve"> Amministratori, dirigenti e soci sopra una certa soglia depositano moduli che registrano ogni variazione della loro partecipazione entro pochi giorni. Per le società quotate in cui i protagonisti di questa storia hanno avuto cariche, quella serie costituisce un diario patrimoniale con data certa. È lo strumento che consente di sostituire ogni affermazione approssimativa sulle ricchezze con una successione di atti verificabili uno per uno.</w:t>
      </w:r>
    </w:p>
    <w:p>
      <w:pPr>
        <w:spacing w:after="120" w:line="276"/>
        <w:jc w:val="both"/>
      </w:pPr>
      <w:r>
        <w:rPr>
          <w:rFonts w:ascii="Barlow Semi Condensed" w:cs="Barlow Semi Condensed" w:eastAsia="Barlow Semi Condensed" w:hAnsi="Barlow Semi Condensed"/>
          <w:b/>
          <w:bCs/>
          <w:sz w:val="24"/>
          <w:szCs w:val="24"/>
        </w:rPr>
        <w:t xml:space="preserve">674 · La comunicazione dell'aprile 2022.</w:t>
      </w:r>
      <w:r>
        <w:rPr>
          <w:rFonts w:ascii="Barlow Semi Condensed" w:cs="Barlow Semi Condensed" w:eastAsia="Barlow Semi Condensed" w:hAnsi="Barlow Semi Condensed"/>
          <w:sz w:val="24"/>
          <w:szCs w:val="24"/>
        </w:rPr>
        <w:t xml:space="preserve"> L'acquisto di una partecipazione rilevante in una società di microblogging fu comunicato nell'aprile 2022 mediante il modulo previsto per chi superi la soglia del cinque per cento, dapprima nella forma riservata agli investitori passivi e poi in quella per gli investitori attivi. La successione dei due depositi, con le rispettive date, documenta un mutamento di intenzione dichiarato: è materia societaria, e in questa serie nulla di più.</w:t>
      </w:r>
    </w:p>
    <w:p>
      <w:pPr>
        <w:spacing w:after="120" w:line="276"/>
        <w:jc w:val="both"/>
      </w:pPr>
      <w:r>
        <w:rPr>
          <w:rFonts w:ascii="Barlow Semi Condensed" w:cs="Barlow Semi Condensed" w:eastAsia="Barlow Semi Condensed" w:hAnsi="Barlow Semi Condensed"/>
          <w:b/>
          <w:bCs/>
          <w:sz w:val="24"/>
          <w:szCs w:val="24"/>
        </w:rPr>
        <w:t xml:space="preserve">675 · LinkedIn, dal 2011 al 2016.</w:t>
      </w:r>
      <w:r>
        <w:rPr>
          <w:rFonts w:ascii="Barlow Semi Condensed" w:cs="Barlow Semi Condensed" w:eastAsia="Barlow Semi Condensed" w:hAnsi="Barlow Semi Condensed"/>
          <w:sz w:val="24"/>
          <w:szCs w:val="24"/>
        </w:rPr>
        <w:t xml:space="preserve"> La società di reti professionali fondata da Reid Hoffman, che alla fusione del 2000 apparteneva al vertice operativo, si quotò nel 2011 e fu acquisita da Microsoft nel 2016. Entrambi i passaggi generarono fascicoli completi: domanda di registrazione con biografie e classi di azioni, poi documento di sollecitazione del voto con la cronistoria del negoziato. Sono due fonti primarie contigue, e coprono un quindicennio con date certe.</w:t>
      </w:r>
    </w:p>
    <w:p>
      <w:pPr>
        <w:spacing w:after="120" w:line="276"/>
        <w:jc w:val="both"/>
      </w:pPr>
      <w:r>
        <w:rPr>
          <w:rFonts w:ascii="Barlow Semi Condensed" w:cs="Barlow Semi Condensed" w:eastAsia="Barlow Semi Condensed" w:hAnsi="Barlow Semi Condensed"/>
          <w:b/>
          <w:bCs/>
          <w:sz w:val="24"/>
          <w:szCs w:val="24"/>
        </w:rPr>
        <w:t xml:space="preserve">676 · Greylock, e le deleghe di Microsoft.</w:t>
      </w:r>
      <w:r>
        <w:rPr>
          <w:rFonts w:ascii="Barlow Semi Condensed" w:cs="Barlow Semi Condensed" w:eastAsia="Barlow Semi Condensed" w:hAnsi="Barlow Semi Condensed"/>
          <w:sz w:val="24"/>
          <w:szCs w:val="24"/>
        </w:rPr>
        <w:t xml:space="preserve"> L'attività successiva del medesimo come socio di una società di venture capital si documenta attraverso il modulo di iscrizione dell'operatore di consulenza, mentre l'appartenenza al consiglio di una grande società quotata risulta dalle deleghe annuali, che indicano anno per anno i consiglieri, i comitati di appartenenza e i compensi. Sono documenti tediosi e integralmente pubblici, e valgono più di qualunque profilo giornalistico.</w:t>
      </w:r>
    </w:p>
    <w:p>
      <w:pPr>
        <w:spacing w:after="120" w:line="276"/>
        <w:jc w:val="both"/>
      </w:pPr>
      <w:r>
        <w:rPr>
          <w:rFonts w:ascii="Barlow Semi Condensed" w:cs="Barlow Semi Condensed" w:eastAsia="Barlow Semi Condensed" w:hAnsi="Barlow Semi Condensed"/>
          <w:b/>
          <w:bCs/>
          <w:sz w:val="24"/>
          <w:szCs w:val="24"/>
        </w:rPr>
        <w:t xml:space="preserve">677 · Slide, Affirm e il collocamento.</w:t>
      </w:r>
      <w:r>
        <w:rPr>
          <w:rFonts w:ascii="Barlow Semi Condensed" w:cs="Barlow Semi Condensed" w:eastAsia="Barlow Semi Condensed" w:hAnsi="Barlow Semi Condensed"/>
          <w:sz w:val="24"/>
          <w:szCs w:val="24"/>
        </w:rPr>
        <w:t xml:space="preserve"> Max Levchin, responsabile tecnico della società fino al 2002, fondò dopo l'acquisizione una prima impresa ceduta a Google nel 2010 e più tardi una società di credito al consumo quotata nel gennaio 2021. La domanda di registrazione di quest'ultima descrive la struttura del capitale e le partecipazioni dei fondatori. La continuità fra le due fasi è biografica e documentata; non implica alcun rapporto fra le imprese.</w:t>
      </w:r>
    </w:p>
    <w:p>
      <w:pPr>
        <w:spacing w:after="120" w:line="276"/>
        <w:jc w:val="both"/>
      </w:pPr>
      <w:r>
        <w:rPr>
          <w:rFonts w:ascii="Barlow Semi Condensed" w:cs="Barlow Semi Condensed" w:eastAsia="Barlow Semi Condensed" w:hAnsi="Barlow Semi Condensed"/>
          <w:b/>
          <w:bCs/>
          <w:sz w:val="24"/>
          <w:szCs w:val="24"/>
        </w:rPr>
        <w:t xml:space="preserve">678 · Yelp e il prospetto del 2012.</w:t>
      </w:r>
      <w:r>
        <w:rPr>
          <w:rFonts w:ascii="Barlow Semi Condensed" w:cs="Barlow Semi Condensed" w:eastAsia="Barlow Semi Condensed" w:hAnsi="Barlow Semi Condensed"/>
          <w:sz w:val="24"/>
          <w:szCs w:val="24"/>
        </w:rPr>
        <w:t xml:space="preserve"> Jeremy Stoppelman e Russel Simmons, entrambi dipendenti della società di pagamento prima del 2002, fondarono nel 2004 un servizio di recensioni locali quotato nel 2012. Il prospetto di quella quotazione contiene la sezione sulle operazioni con parti correlate, che nomina gli investitori iniziali. È lì, e non nelle interviste, che si verifica se e in quale misura ex colleghi abbiano finanziato le imprese altrui.</w:t>
      </w:r>
    </w:p>
    <w:p>
      <w:pPr>
        <w:spacing w:after="120" w:line="276"/>
        <w:jc w:val="both"/>
      </w:pPr>
      <w:r>
        <w:rPr>
          <w:rFonts w:ascii="Barlow Semi Condensed" w:cs="Barlow Semi Condensed" w:eastAsia="Barlow Semi Condensed" w:hAnsi="Barlow Semi Condensed"/>
          <w:b/>
          <w:bCs/>
          <w:sz w:val="24"/>
          <w:szCs w:val="24"/>
        </w:rPr>
        <w:t xml:space="preserve">679 · YouTube nei depositi di Google.</w:t>
      </w:r>
      <w:r>
        <w:rPr>
          <w:rFonts w:ascii="Barlow Semi Condensed" w:cs="Barlow Semi Condensed" w:eastAsia="Barlow Semi Condensed" w:hAnsi="Barlow Semi Condensed"/>
          <w:sz w:val="24"/>
          <w:szCs w:val="24"/>
        </w:rPr>
        <w:t xml:space="preserve"> L'acquisizione, nell'autunno del 2006, della piattaforma video fondata da Chad Hurley, Steve Chen e Jawed Karim fu comunicata dall'acquirente con un modulo di evento rilevante e descritta nella relazione annuale successiva, con l'indicazione del corrispettivo in azioni e dell'allocazione contabile del prezzo. Il contratto figura fra gli allegati. Nessuna ricostruzione giornalistica di quell'operazione aggiunge un dato che quei documenti non contengano già.</w:t>
      </w:r>
    </w:p>
    <w:p>
      <w:pPr>
        <w:spacing w:after="120" w:line="276"/>
        <w:jc w:val="both"/>
      </w:pPr>
      <w:r>
        <w:rPr>
          <w:rFonts w:ascii="Barlow Semi Condensed" w:cs="Barlow Semi Condensed" w:eastAsia="Barlow Semi Condensed" w:hAnsi="Barlow Semi Condensed"/>
          <w:b/>
          <w:bCs/>
          <w:sz w:val="24"/>
          <w:szCs w:val="24"/>
        </w:rPr>
        <w:t xml:space="preserve">680 · Yammer nei bilanci di Microsoft.</w:t>
      </w:r>
      <w:r>
        <w:rPr>
          <w:rFonts w:ascii="Barlow Semi Condensed" w:cs="Barlow Semi Condensed" w:eastAsia="Barlow Semi Condensed" w:hAnsi="Barlow Semi Condensed"/>
          <w:sz w:val="24"/>
          <w:szCs w:val="24"/>
        </w:rPr>
        <w:t xml:space="preserve"> Nel 2008 David Sacks, che era stato responsabile operativo prima del 2002, fondò una società di comunicazione interna aziendale, acquisita nel 2012 da un acquirente quotato che ne diede conto nella relazione annuale con l'importo e la data di perfezionamento. Anche qui il percorso corretto è dal bilancio dell'acquirente all'indietro, perché la società acquisita, essendo privata, non ha lasciato depositi propri.</w:t>
      </w:r>
    </w:p>
    <w:p>
      <w:pPr>
        <w:spacing w:after="120" w:line="276"/>
        <w:jc w:val="both"/>
      </w:pPr>
      <w:r>
        <w:rPr>
          <w:rFonts w:ascii="Barlow Semi Condensed" w:cs="Barlow Semi Condensed" w:eastAsia="Barlow Semi Condensed" w:hAnsi="Barlow Semi Condensed"/>
          <w:b/>
          <w:bCs/>
          <w:sz w:val="24"/>
          <w:szCs w:val="24"/>
        </w:rPr>
        <w:t xml:space="preserve">681 · Square e il ruolo operativo.</w:t>
      </w:r>
      <w:r>
        <w:rPr>
          <w:rFonts w:ascii="Barlow Semi Condensed" w:cs="Barlow Semi Condensed" w:eastAsia="Barlow Semi Condensed" w:hAnsi="Barlow Semi Condensed"/>
          <w:sz w:val="24"/>
          <w:szCs w:val="24"/>
        </w:rPr>
        <w:t xml:space="preserve"> Keith Rabois, che aveva lavorato nella società di pagamento nella fase anteriore all'acquisizione, ricoprì dal 2013 al 2015 un incarico esecutivo in una società di pagamenti quotatasi nel novembre 2015. La sua presenza nell'organigramma è attestata dalla domanda di registrazione e dalle deleghe. È un fatto di impiego, documentato in atti depositati, e come tale rientra nel perimetro che questa opera si è dato.</w:t>
      </w:r>
    </w:p>
    <w:p>
      <w:pPr>
        <w:spacing w:after="120" w:line="276"/>
        <w:jc w:val="both"/>
      </w:pPr>
      <w:r>
        <w:rPr>
          <w:rFonts w:ascii="Barlow Semi Condensed" w:cs="Barlow Semi Condensed" w:eastAsia="Barlow Semi Condensed" w:hAnsi="Barlow Semi Condensed"/>
          <w:b/>
          <w:bCs/>
          <w:sz w:val="24"/>
          <w:szCs w:val="24"/>
        </w:rPr>
        <w:t xml:space="preserve">682 · Il Senato e le conferme.</w:t>
      </w:r>
      <w:r>
        <w:rPr>
          <w:rFonts w:ascii="Barlow Semi Condensed" w:cs="Barlow Semi Condensed" w:eastAsia="Barlow Semi Condensed" w:hAnsi="Barlow Semi Condensed"/>
          <w:sz w:val="24"/>
          <w:szCs w:val="24"/>
        </w:rPr>
        <w:t xml:space="preserve"> Ken Howery, cofondatore del fondo del 2005, è stato ambasciatore degli Stati Uniti in Svezia. Le nomine diplomatiche statunitensi producono documentazione pubblica ordinata: messaggio di nomina, fascicolo della commissione competente, calendario esecutivo del Senato, verbale della conferma nel Congressional Record. È un percorso archivistico lineare, integralmente accessibile, e va preferito a qualunque rassegna che si limiti a menzionare l'incarico senza indicarne gli atti.</w:t>
      </w:r>
    </w:p>
    <w:p>
      <w:pPr>
        <w:spacing w:after="120" w:line="276"/>
        <w:jc w:val="both"/>
      </w:pPr>
      <w:r>
        <w:rPr>
          <w:rFonts w:ascii="Barlow Semi Condensed" w:cs="Barlow Semi Condensed" w:eastAsia="Barlow Semi Condensed" w:hAnsi="Barlow Semi Condensed"/>
          <w:b/>
          <w:bCs/>
          <w:sz w:val="24"/>
          <w:szCs w:val="24"/>
        </w:rPr>
        <w:t xml:space="preserve">683 · L'incarico pubblico del 2024.</w:t>
      </w:r>
      <w:r>
        <w:rPr>
          <w:rFonts w:ascii="Barlow Semi Condensed" w:cs="Barlow Semi Condensed" w:eastAsia="Barlow Semi Condensed" w:hAnsi="Barlow Semi Condensed"/>
          <w:sz w:val="24"/>
          <w:szCs w:val="24"/>
        </w:rPr>
        <w:t xml:space="preserve"> David Sacks è stato designato alla fine del 2024 a un incarico consultivo presso la presidenza degli Stati Uniti in materia di intelligenza artificiale e criptovalute. Gli incarichi di questo tipo generano atti di nomina, eventuali autorizzazioni in materia di conflitto di interessi e comunicazioni dell'ufficio federale competente. Il bersaglio è raccogliere quegli atti; la designazione, in sé, è un fatto pubblico e null'altro.</w:t>
      </w:r>
    </w:p>
    <w:p>
      <w:pPr>
        <w:spacing w:after="120" w:line="276"/>
        <w:jc w:val="both"/>
      </w:pPr>
      <w:r>
        <w:rPr>
          <w:rFonts w:ascii="Barlow Semi Condensed" w:cs="Barlow Semi Condensed" w:eastAsia="Barlow Semi Condensed" w:hAnsi="Barlow Semi Condensed"/>
          <w:b/>
          <w:bCs/>
          <w:sz w:val="24"/>
          <w:szCs w:val="24"/>
        </w:rPr>
        <w:t xml:space="preserve">684 · Sequoia, il modulo di iscrizione.</w:t>
      </w:r>
      <w:r>
        <w:rPr>
          <w:rFonts w:ascii="Barlow Semi Condensed" w:cs="Barlow Semi Condensed" w:eastAsia="Barlow Semi Condensed" w:hAnsi="Barlow Semi Condensed"/>
          <w:sz w:val="24"/>
          <w:szCs w:val="24"/>
        </w:rPr>
        <w:t xml:space="preserve"> Dal 2003 Roelof Botha lavora in una società di venture capital che ha modificato nel 2021 la propria struttura di fondi e nel 2022 il vertice, passato a lui. Le entità di gestione depositano il modulo di iscrizione degli operatori di consulenza, aggiornato annualmente, che dichiara masse, assetti e rapporti di controllo. È la fonte con cui datare quei mutamenti senza affidarsi ai comunicati.</w:t>
      </w:r>
    </w:p>
    <w:p>
      <w:pPr>
        <w:spacing w:after="120" w:line="276"/>
        <w:jc w:val="both"/>
      </w:pPr>
      <w:r>
        <w:rPr>
          <w:rFonts w:ascii="Barlow Semi Condensed" w:cs="Barlow Semi Condensed" w:eastAsia="Barlow Semi Condensed" w:hAnsi="Barlow Semi Condensed"/>
          <w:b/>
          <w:bCs/>
          <w:sz w:val="24"/>
          <w:szCs w:val="24"/>
        </w:rPr>
        <w:t xml:space="preserve">685 · Il nipote firma il prospetto.</w:t>
      </w:r>
      <w:r>
        <w:rPr>
          <w:rFonts w:ascii="Barlow Semi Condensed" w:cs="Barlow Semi Condensed" w:eastAsia="Barlow Semi Condensed" w:hAnsi="Barlow Semi Condensed"/>
          <w:sz w:val="24"/>
          <w:szCs w:val="24"/>
        </w:rPr>
        <w:t xml:space="preserve"> Roelof Botha è nipote di Roelof Frederik Botha, detto Pik, ministro degli Esteri sudafricano dal 1977 al 1994 e poi ministro delle Miniere e dell'Energia nel primo governo Mandela. La parentela è di piano uno, documentata. Il fatto che il nipote abbia sottoscritto come direttore finanziario un prospetto depositato a Washington è anch'esso documentato. Fra i due fatti non passa alcuna inferenza, e questa serie non ne costruisce alcuna.</w:t>
      </w:r>
    </w:p>
    <w:p>
      <w:pPr>
        <w:spacing w:after="120" w:line="276"/>
        <w:jc w:val="both"/>
      </w:pPr>
      <w:r>
        <w:rPr>
          <w:rFonts w:ascii="Barlow Semi Condensed" w:cs="Barlow Semi Condensed" w:eastAsia="Barlow Semi Condensed" w:hAnsi="Barlow Semi Condensed"/>
          <w:b/>
          <w:bCs/>
          <w:sz w:val="24"/>
          <w:szCs w:val="24"/>
        </w:rPr>
        <w:t xml:space="preserve">686 · I due Botha, e l'errore corrente.</w:t>
      </w:r>
      <w:r>
        <w:rPr>
          <w:rFonts w:ascii="Barlow Semi Condensed" w:cs="Barlow Semi Condensed" w:eastAsia="Barlow Semi Condensed" w:hAnsi="Barlow Semi Condensed"/>
          <w:sz w:val="24"/>
          <w:szCs w:val="24"/>
        </w:rPr>
        <w:t xml:space="preserve"> Va detto qui perché la serie nomina più volte quel cognome. Pik Botha, ministro degli Esteri, non era parente di P.W. Botha, capo dello Stato sudafricano fino al 1989. La confusione fra i due è l'errore più diffuso su questa materia e produce ricostruzioni genealogiche interamente false. Chi scriva su questo tema deve dichiarare, ogni volta, quale dei due sta nominando, e su quale fonte.</w:t>
      </w:r>
    </w:p>
    <w:p>
      <w:pPr>
        <w:spacing w:after="120" w:line="276"/>
        <w:jc w:val="both"/>
      </w:pPr>
      <w:r>
        <w:rPr>
          <w:rFonts w:ascii="Barlow Semi Condensed" w:cs="Barlow Semi Condensed" w:eastAsia="Barlow Semi Condensed" w:hAnsi="Barlow Semi Condensed"/>
          <w:b/>
          <w:bCs/>
          <w:sz w:val="24"/>
          <w:szCs w:val="24"/>
        </w:rPr>
        <w:t xml:space="preserve">687 · La generazione intermedia.</w:t>
      </w:r>
      <w:r>
        <w:rPr>
          <w:rFonts w:ascii="Barlow Semi Condensed" w:cs="Barlow Semi Condensed" w:eastAsia="Barlow Semi Condensed" w:hAnsi="Barlow Semi Condensed"/>
          <w:sz w:val="24"/>
          <w:szCs w:val="24"/>
        </w:rPr>
        <w:t xml:space="preserve"> Una generazione separa il ministro dal direttore finanziario, e la sua identità va accertata e non presunta: chi somma nonno e nipote saltando il padre costruisce una discendenza a due termini che nessun registro conferma. Le fonti da interrogare sono gli annunci di famiglia sulla stampa sudafricana, i necrologi datati e le note biografiche pubblicate dagli enti in cui i membri della famiglia hanno lavorato.</w:t>
      </w:r>
    </w:p>
    <w:p>
      <w:pPr>
        <w:spacing w:after="120" w:line="276"/>
        <w:jc w:val="both"/>
      </w:pPr>
      <w:r>
        <w:rPr>
          <w:rFonts w:ascii="Barlow Semi Condensed" w:cs="Barlow Semi Condensed" w:eastAsia="Barlow Semi Condensed" w:hAnsi="Barlow Semi Condensed"/>
          <w:b/>
          <w:bCs/>
          <w:sz w:val="24"/>
          <w:szCs w:val="24"/>
        </w:rPr>
        <w:t xml:space="preserve">688 · I meno documentati della fotografia.</w:t>
      </w:r>
      <w:r>
        <w:rPr>
          <w:rFonts w:ascii="Barlow Semi Condensed" w:cs="Barlow Semi Condensed" w:eastAsia="Barlow Semi Condensed" w:hAnsi="Barlow Semi Condensed"/>
          <w:sz w:val="24"/>
          <w:szCs w:val="24"/>
        </w:rPr>
        <w:t xml:space="preserve"> Alcune persone associate alla vicenda hanno lasciato una traccia societaria esigua: nessuna carica in società quotate, nessun veicolo di investimento vigilato, nessun deposito federale a proprio nome. Si verbalizza come Stato Zero, ed è un esito con pieno valore. Segnala che la notorietà del gruppo è distribuita in modo assai diseguale, e che una parte dei nomi circolanti non regge alcuna verifica documentale autonoma.</w:t>
      </w:r>
    </w:p>
    <w:p>
      <w:pPr>
        <w:spacing w:after="120" w:line="276"/>
        <w:jc w:val="both"/>
      </w:pPr>
      <w:r>
        <w:rPr>
          <w:rFonts w:ascii="Barlow Semi Condensed" w:cs="Barlow Semi Condensed" w:eastAsia="Barlow Semi Condensed" w:hAnsi="Barlow Semi Condensed"/>
          <w:b/>
          <w:bCs/>
          <w:sz w:val="24"/>
          <w:szCs w:val="24"/>
        </w:rPr>
        <w:t xml:space="preserve">689 · L'origine non è una condotta.</w:t>
      </w:r>
      <w:r>
        <w:rPr>
          <w:rFonts w:ascii="Barlow Semi Condensed" w:cs="Barlow Semi Condensed" w:eastAsia="Barlow Semi Condensed" w:hAnsi="Barlow Semi Condensed"/>
          <w:sz w:val="24"/>
          <w:szCs w:val="24"/>
        </w:rPr>
        <w:t xml:space="preserve"> Vale come regola e non come precauzione retorica. Che una persona sia nata in Sud Africa, vi abbia studiato o vi conservi legami familiari non dice nulla sulle sue scelte, e non entra in alcun ragionamento probatorio di questa serie. I fatti biografici si registrano perché pubblici e verificabili; da essi non discende alcuna conseguenza, e ogni testo che le tragga esce dal metodo dichiarato.</w:t>
      </w:r>
    </w:p>
    <w:p>
      <w:pPr>
        <w:spacing w:after="120" w:line="276"/>
        <w:jc w:val="both"/>
      </w:pPr>
      <w:r>
        <w:rPr>
          <w:rFonts w:ascii="Barlow Semi Condensed" w:cs="Barlow Semi Condensed" w:eastAsia="Barlow Semi Condensed" w:hAnsi="Barlow Semi Condensed"/>
          <w:b/>
          <w:bCs/>
          <w:sz w:val="24"/>
          <w:szCs w:val="24"/>
        </w:rPr>
        <w:t xml:space="preserve">690 · Misurare la co-occorrenza nei depositi.</w:t>
      </w:r>
      <w:r>
        <w:rPr>
          <w:rFonts w:ascii="Barlow Semi Condensed" w:cs="Barlow Semi Condensed" w:eastAsia="Barlow Semi Condensed" w:hAnsi="Barlow Semi Condensed"/>
          <w:sz w:val="24"/>
          <w:szCs w:val="24"/>
        </w:rPr>
        <w:t xml:space="preserve"> Accertamento eseguibile con esattezza. Interrogando a testo integrale i depositi delle società qui nominate per i termini geografici e istituzionali dell'Africa australe, si ottiene un numero: quante volte quei termini vi compaiano e in quale contesto. Il risultato, quale che sia, va pubblicato con la ricetta della misura — corpora, stringhe, finestra, criterio di conteggio — altrimenti non è confrontabile con nulla.</w:t>
      </w:r>
    </w:p>
    <w:p>
      <w:pPr>
        <w:spacing w:after="120" w:line="276"/>
        <w:jc w:val="both"/>
      </w:pPr>
      <w:r>
        <w:rPr>
          <w:rFonts w:ascii="Barlow Semi Condensed" w:cs="Barlow Semi Condensed" w:eastAsia="Barlow Semi Condensed" w:hAnsi="Barlow Semi Condensed"/>
          <w:b/>
          <w:bCs/>
          <w:sz w:val="24"/>
          <w:szCs w:val="24"/>
        </w:rPr>
        <w:t xml:space="preserve">691 · Che cosa proverebbe una ricorrenza.</w:t>
      </w:r>
      <w:r>
        <w:rPr>
          <w:rFonts w:ascii="Barlow Semi Condensed" w:cs="Barlow Semi Condensed" w:eastAsia="Barlow Semi Condensed" w:hAnsi="Barlow Semi Condensed"/>
          <w:sz w:val="24"/>
          <w:szCs w:val="24"/>
        </w:rPr>
        <w:t xml:space="preserve"> Vale per l'accertamento precedente una regola di lettura. Se i depositi nominassero il Sud Africa in una clausola di rischio o in un elenco di mercati, ciò documenterebbe un'attività commerciale e nient'altro. Se non lo nominassero affatto, documenterebbe un'assenza dal perimetro informativo obbligatorio, non un'assenza di rapporti. In entrambi i casi la distanza fra il dato e la tesi di continuità resta intera, e va dichiarata.</w:t>
      </w:r>
    </w:p>
    <w:p>
      <w:pPr>
        <w:spacing w:after="120" w:line="276"/>
        <w:jc w:val="both"/>
      </w:pPr>
      <w:r>
        <w:rPr>
          <w:rFonts w:ascii="Barlow Semi Condensed" w:cs="Barlow Semi Condensed" w:eastAsia="Barlow Semi Condensed" w:hAnsi="Barlow Semi Condensed"/>
          <w:b/>
          <w:bCs/>
          <w:sz w:val="24"/>
          <w:szCs w:val="24"/>
        </w:rPr>
        <w:t xml:space="preserve">692 · Il corpus non li nomina altrove.</w:t>
      </w:r>
      <w:r>
        <w:rPr>
          <w:rFonts w:ascii="Barlow Semi Condensed" w:cs="Barlow Semi Condensed" w:eastAsia="Barlow Semi Condensed" w:hAnsi="Barlow Semi Condensed"/>
          <w:sz w:val="24"/>
          <w:szCs w:val="24"/>
        </w:rPr>
        <w:t xml:space="preserve"> Verifica meccanica, eseguita sul branch pubblico. Le stringhe relative a queste persone, a questa società e a questa regione della California non compaiono negli altri Libri del corpus, dedicati al caso Moro, alla parabola di Guevara e alla triangolazione Kissinger. L'esito è uno Stato Zero completo e va scritto: fra la materia di quest'opera e il resto del corpus non esiste alcun aggancio documentale automatico.</w:t>
      </w:r>
    </w:p>
    <w:p>
      <w:pPr>
        <w:spacing w:after="120" w:line="276"/>
        <w:jc w:val="both"/>
      </w:pPr>
      <w:r>
        <w:rPr>
          <w:rFonts w:ascii="Barlow Semi Condensed" w:cs="Barlow Semi Condensed" w:eastAsia="Barlow Semi Condensed" w:hAnsi="Barlow Semi Condensed"/>
          <w:b/>
          <w:bCs/>
          <w:sz w:val="24"/>
          <w:szCs w:val="24"/>
        </w:rPr>
        <w:t xml:space="preserve">693 · Il solo ponte esistente.</w:t>
      </w:r>
      <w:r>
        <w:rPr>
          <w:rFonts w:ascii="Barlow Semi Condensed" w:cs="Barlow Semi Condensed" w:eastAsia="Barlow Semi Condensed" w:hAnsi="Barlow Semi Condensed"/>
          <w:sz w:val="24"/>
          <w:szCs w:val="24"/>
        </w:rPr>
        <w:t xml:space="preserve"> L'unico contatto documentato fra il corpus e la materia dell'apartheid è il nodo E-16 della triangolazione Guevara-Moro: il discorso all'Assemblea Generale delle Nazioni Unite dell'11 dicembre 1964, in cui il colonialismo e la politica sudafricana furono denunciati pubblicamente. È un ponte tematico e datato, non un ponte fra persone. Riconoscerne la natura limitata è la condizione perché quest'opera non diventi un esercizio combinatorio.</w:t>
      </w:r>
    </w:p>
    <w:p>
      <w:pPr>
        <w:spacing w:after="120" w:line="276"/>
        <w:jc w:val="both"/>
      </w:pPr>
      <w:r>
        <w:rPr>
          <w:rFonts w:ascii="Barlow Semi Condensed" w:cs="Barlow Semi Condensed" w:eastAsia="Barlow Semi Condensed" w:hAnsi="Barlow Semi Condensed"/>
          <w:b/>
          <w:bCs/>
          <w:sz w:val="24"/>
          <w:szCs w:val="24"/>
        </w:rPr>
        <w:t xml:space="preserve">694 · Le due fonti vietate.</w:t>
      </w:r>
      <w:r>
        <w:rPr>
          <w:rFonts w:ascii="Barlow Semi Condensed" w:cs="Barlow Semi Condensed" w:eastAsia="Barlow Semi Condensed" w:hAnsi="Barlow Semi Condensed"/>
          <w:sz w:val="24"/>
          <w:szCs w:val="24"/>
        </w:rPr>
        <w:t xml:space="preserve"> Il committente ha escluso due sedi dalla citabilità in questa ricerca. Il divieto si registra come regola, mentre le sedi non si nominano come fonti in alcun blocco. Una delle due presenta inoltre, su questa specifica materia, un problema ulteriore e dirimente: è riconducibile a un soggetto nominato nella ricerca, e dunque sarebbe parte in causa. La regola generale è che una fonte non testimonia su di sé.</w:t>
      </w:r>
    </w:p>
    <w:p>
      <w:pPr>
        <w:spacing w:after="120" w:line="276"/>
        <w:jc w:val="both"/>
      </w:pPr>
      <w:r>
        <w:rPr>
          <w:rFonts w:ascii="Barlow Semi Condensed" w:cs="Barlow Semi Condensed" w:eastAsia="Barlow Semi Condensed" w:hAnsi="Barlow Semi Condensed"/>
          <w:b/>
          <w:bCs/>
          <w:sz w:val="24"/>
          <w:szCs w:val="24"/>
        </w:rPr>
        <w:t xml:space="preserve">695 · Il registro della nona serie.</w:t>
      </w:r>
      <w:r>
        <w:rPr>
          <w:rFonts w:ascii="Barlow Semi Condensed" w:cs="Barlow Semi Condensed" w:eastAsia="Barlow Semi Condensed" w:hAnsi="Barlow Semi Condensed"/>
          <w:sz w:val="24"/>
          <w:szCs w:val="24"/>
        </w:rPr>
        <w:t xml:space="preserve"> Si chiude annotando ciò che questa parte non ha stabilito. Non ha stabilito alcun rapporto fra gli atti societari californiani e le vicende dell'Africa australe. Non ha attribuito alcuna condotta illecita ad alcuno. Ha fatto una cosa sola: sostituire, dove possibile, il racconto con il deposito, e verbalizzare i punti in cui il deposito manca. Le serie successive ereditano l'elenco dei bersagli rimasti aperti.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decima — Le dottrine: tecnocrazia, libertarismo, e le loro genealogie</w:t>
      </w:r>
    </w:p>
    <w:p>
      <w:pPr>
        <w:spacing w:after="120" w:line="276"/>
        <w:jc w:val="both"/>
      </w:pPr>
      <w:r>
        <w:rPr>
          <w:rFonts w:ascii="Barlow Semi Condensed" w:cs="Barlow Semi Condensed" w:eastAsia="Barlow Semi Condensed" w:hAnsi="Barlow Semi Condensed"/>
          <w:i/>
          <w:iCs/>
          <w:sz w:val="24"/>
          <w:szCs w:val="24"/>
        </w:rPr>
        <w:t xml:space="preserve">Blocchi 696-780.</w:t>
      </w:r>
    </w:p>
    <w:p>
      <w:pPr>
        <w:spacing w:after="120" w:line="276"/>
        <w:jc w:val="both"/>
      </w:pPr>
      <w:r>
        <w:rPr>
          <w:rFonts w:ascii="Barlow Semi Condensed" w:cs="Barlow Semi Condensed" w:eastAsia="Barlow Semi Condensed" w:hAnsi="Barlow Semi Condensed"/>
          <w:b/>
          <w:bCs/>
          <w:sz w:val="24"/>
          <w:szCs w:val="24"/>
        </w:rPr>
        <w:t xml:space="preserve">696 · Che cosa prova una filiazione dottrinale.</w:t>
      </w:r>
      <w:r>
        <w:rPr>
          <w:rFonts w:ascii="Barlow Semi Condensed" w:cs="Barlow Semi Condensed" w:eastAsia="Barlow Semi Condensed" w:hAnsi="Barlow Semi Condensed"/>
          <w:sz w:val="24"/>
          <w:szCs w:val="24"/>
        </w:rPr>
        <w:t xml:space="preserve"> Una filiazione dottrinale si prova con un documento di provenienza, mai con una somiglianza. Tre forme sole la reggono: una citazione nominata dentro un testo firmato dal soggetto, un'appartenenza registrata in un elenco tenuto da terzi, una corrispondenza conservata in archivio con mittente e destinatario. Fuori da queste tre resta convergenza, e la convergenza non si promuove. La serie adotta il metro della Serie terza dell'opera Kissinger e non ne concede altri.</w:t>
      </w:r>
    </w:p>
    <w:p>
      <w:pPr>
        <w:spacing w:after="120" w:line="276"/>
        <w:jc w:val="both"/>
      </w:pPr>
      <w:r>
        <w:rPr>
          <w:rFonts w:ascii="Barlow Semi Condensed" w:cs="Barlow Semi Condensed" w:eastAsia="Barlow Semi Condensed" w:hAnsi="Barlow Semi Condensed"/>
          <w:b/>
          <w:bCs/>
          <w:sz w:val="24"/>
          <w:szCs w:val="24"/>
        </w:rPr>
        <w:t xml:space="preserve">697 · Affinità non è filiazione.</w:t>
      </w:r>
      <w:r>
        <w:rPr>
          <w:rFonts w:ascii="Barlow Semi Condensed" w:cs="Barlow Semi Condensed" w:eastAsia="Barlow Semi Condensed" w:hAnsi="Barlow Semi Condensed"/>
          <w:sz w:val="24"/>
          <w:szCs w:val="24"/>
        </w:rPr>
        <w:t xml:space="preserve"> Due dottrine possono condividere il disprezzo per la deliberazione lenta, la fiducia nella competenza tecnica e l'idea che il progresso vada amministrato, senza che l'una discenda dall'altra. L'affinità descrive uno stato; la filiazione descrive un passaggio, e un passaggio ha una data, un veicolo e un testimone. Chi afferma la seconda deve produrli. Chi si ferma alla prima ha detto qualcosa di vero e di molto più piccolo.</w:t>
      </w:r>
    </w:p>
    <w:p>
      <w:pPr>
        <w:spacing w:after="120" w:line="276"/>
        <w:jc w:val="both"/>
      </w:pPr>
      <w:r>
        <w:rPr>
          <w:rFonts w:ascii="Barlow Semi Condensed" w:cs="Barlow Semi Condensed" w:eastAsia="Barlow Semi Condensed" w:hAnsi="Barlow Semi Condensed"/>
          <w:b/>
          <w:bCs/>
          <w:sz w:val="24"/>
          <w:szCs w:val="24"/>
        </w:rPr>
        <w:t xml:space="preserve">698 · Il test della citazione nominata.</w:t>
      </w:r>
      <w:r>
        <w:rPr>
          <w:rFonts w:ascii="Barlow Semi Condensed" w:cs="Barlow Semi Condensed" w:eastAsia="Barlow Semi Condensed" w:hAnsi="Barlow Semi Condensed"/>
          <w:sz w:val="24"/>
          <w:szCs w:val="24"/>
        </w:rPr>
        <w:t xml:space="preserve"> Il primo accertamento è meccanico e chiunque può eseguirlo: si prende l'opera firmata dal soggetto, si aprono l'indice dei nomi e la bibliografia, si cerca l'antenato che si vuole attribuire. Se il nome non compare, la filiazione non è esclusa ma non è provata, e l'assenza va registrata. Se compare, si legge in quale funzione: fonte, bersaglio polemico oppure ornamento. Le tre funzioni non valgono uguale e vanno distinte.</w:t>
      </w:r>
    </w:p>
    <w:p>
      <w:pPr>
        <w:spacing w:after="120" w:line="276"/>
        <w:jc w:val="both"/>
      </w:pPr>
      <w:r>
        <w:rPr>
          <w:rFonts w:ascii="Barlow Semi Condensed" w:cs="Barlow Semi Condensed" w:eastAsia="Barlow Semi Condensed" w:hAnsi="Barlow Semi Condensed"/>
          <w:b/>
          <w:bCs/>
          <w:sz w:val="24"/>
          <w:szCs w:val="24"/>
        </w:rPr>
        <w:t xml:space="preserve">699 · Il test dell'appartenenza registrata.</w:t>
      </w:r>
      <w:r>
        <w:rPr>
          <w:rFonts w:ascii="Barlow Semi Condensed" w:cs="Barlow Semi Condensed" w:eastAsia="Barlow Semi Condensed" w:hAnsi="Barlow Semi Condensed"/>
          <w:sz w:val="24"/>
          <w:szCs w:val="24"/>
        </w:rPr>
        <w:t xml:space="preserve"> Serve poi un registro tenuto da altri: schede di iscrizione, verbali di sezione, elenchi di quota, ruoli di redazione. L'appartenenza dichiarata dal soggetto vale come dichiarazione; l'appartenenza attestata da un registro vale come fatto. Nessuna delle due prova una condotta. Il corpus tiene già la distinzione in aldo-moro-una-guerra-senza-fine-fase-decima-responsabilita-personali.md, dove l'appartenenza a uno o più gruppi resta fatto biografico inerte e non genera imputazione.</w:t>
      </w:r>
    </w:p>
    <w:p>
      <w:pPr>
        <w:spacing w:after="120" w:line="276"/>
        <w:jc w:val="both"/>
      </w:pPr>
      <w:r>
        <w:rPr>
          <w:rFonts w:ascii="Barlow Semi Condensed" w:cs="Barlow Semi Condensed" w:eastAsia="Barlow Semi Condensed" w:hAnsi="Barlow Semi Condensed"/>
          <w:b/>
          <w:bCs/>
          <w:sz w:val="24"/>
          <w:szCs w:val="24"/>
        </w:rPr>
        <w:t xml:space="preserve">700 · Il test della corrispondenza privata.</w:t>
      </w:r>
      <w:r>
        <w:rPr>
          <w:rFonts w:ascii="Barlow Semi Condensed" w:cs="Barlow Semi Condensed" w:eastAsia="Barlow Semi Condensed" w:hAnsi="Barlow Semi Condensed"/>
          <w:sz w:val="24"/>
          <w:szCs w:val="24"/>
        </w:rPr>
        <w:t xml:space="preserve"> Più forte e più raro è il terzo accertamento: una lettera, un promemoria interno, un messaggio conservato con data e destinatario, in cui il soggetto riconosca di aver preso qualcosa da qualcuno. È l'unico documento che chiude la questione in un colpo. È anche quello che quasi mai esiste per persone viventi, perché i loro archivi privati non sono depositati. Va cercato lo stesso, e la sua assenza va scritta.</w:t>
      </w:r>
    </w:p>
    <w:p>
      <w:pPr>
        <w:spacing w:after="120" w:line="276"/>
        <w:jc w:val="both"/>
      </w:pPr>
      <w:r>
        <w:rPr>
          <w:rFonts w:ascii="Barlow Semi Condensed" w:cs="Barlow Semi Condensed" w:eastAsia="Barlow Semi Condensed" w:hAnsi="Barlow Semi Condensed"/>
          <w:b/>
          <w:bCs/>
          <w:sz w:val="24"/>
          <w:szCs w:val="24"/>
        </w:rPr>
        <w:t xml:space="preserve">701 · Omologia contro analogia fra dottrine.</w:t>
      </w:r>
      <w:r>
        <w:rPr>
          <w:rFonts w:ascii="Barlow Semi Condensed" w:cs="Barlow Semi Condensed" w:eastAsia="Barlow Semi Condensed" w:hAnsi="Barlow Semi Condensed"/>
          <w:sz w:val="24"/>
          <w:szCs w:val="24"/>
        </w:rPr>
        <w:t xml:space="preserve"> Strutture dottrinali simili discendono da un antenato comune oppure convergono perché rispondono al medesimo ambiente. Un'economia industriale in crisi produce programmi di governo degli ingegneri; un'economia digitale concentrata produce programmi di uscita dal territorio. La somiglianza dell'esito non indica l'antenato. Il criterio resta quello enunciato nella Serie sesta dell'opera Kissinger: soltanto un documento di provenienza distingue l'omologia dall'analogia, e nessuna eleganza argomentativa lo sostituisce.</w:t>
      </w:r>
    </w:p>
    <w:p>
      <w:pPr>
        <w:spacing w:after="120" w:line="276"/>
        <w:jc w:val="both"/>
      </w:pPr>
      <w:r>
        <w:rPr>
          <w:rFonts w:ascii="Barlow Semi Condensed" w:cs="Barlow Semi Condensed" w:eastAsia="Barlow Semi Condensed" w:hAnsi="Barlow Semi Condensed"/>
          <w:b/>
          <w:bCs/>
          <w:sz w:val="24"/>
          <w:szCs w:val="24"/>
        </w:rPr>
        <w:t xml:space="preserve">702 · I tre piani applicati alle idee.</w:t>
      </w:r>
      <w:r>
        <w:rPr>
          <w:rFonts w:ascii="Barlow Semi Condensed" w:cs="Barlow Semi Condensed" w:eastAsia="Barlow Semi Condensed" w:hAnsi="Barlow Semi Condensed"/>
          <w:sz w:val="24"/>
          <w:szCs w:val="24"/>
        </w:rPr>
        <w:t xml:space="preserve"> Applicata alle dottrine, la regola dei tre piani si legge così. Piano uno: il soggetto cita, sottoscrive, aderisce per iscritto. Piano due: il soggetto opera dentro la stessa cornice culturale dell'antenato ipotizzato, senza mai nominarlo. Piano tre: un commentatore terzo afferma la discendenza e non produce nulla. Quasi tutta la letteratura in rete su questa materia sta al piano tre, e va contata una volta sola.</w:t>
      </w:r>
    </w:p>
    <w:p>
      <w:pPr>
        <w:spacing w:after="120" w:line="276"/>
        <w:jc w:val="both"/>
      </w:pPr>
      <w:r>
        <w:rPr>
          <w:rFonts w:ascii="Barlow Semi Condensed" w:cs="Barlow Semi Condensed" w:eastAsia="Barlow Semi Condensed" w:hAnsi="Barlow Semi Condensed"/>
          <w:b/>
          <w:bCs/>
          <w:sz w:val="24"/>
          <w:szCs w:val="24"/>
        </w:rPr>
        <w:t xml:space="preserve">703 · Nessuna dottrina non sottoscritta.</w:t>
      </w:r>
      <w:r>
        <w:rPr>
          <w:rFonts w:ascii="Barlow Semi Condensed" w:cs="Barlow Semi Condensed" w:eastAsia="Barlow Semi Condensed" w:hAnsi="Barlow Semi Condensed"/>
          <w:sz w:val="24"/>
          <w:szCs w:val="24"/>
        </w:rPr>
        <w:t xml:space="preserve"> Il divieto che governa la serie è semplice e non ammette eccezioni operative: a una persona vivente non si attribuisce una dottrina che non abbia sottoscritto per iscritto o dichiarato pubblicamente in forma verificabile. Non basta che l'abbia finanziata, non basta che l'abbia frequentata, non basta che i suoi atti le somiglino. Serve un testo suo. In mancanza, si scrive che il testo manca, e ci si ferma.</w:t>
      </w:r>
    </w:p>
    <w:p>
      <w:pPr>
        <w:spacing w:after="120" w:line="276"/>
        <w:jc w:val="both"/>
      </w:pPr>
      <w:r>
        <w:rPr>
          <w:rFonts w:ascii="Barlow Semi Condensed" w:cs="Barlow Semi Condensed" w:eastAsia="Barlow Semi Condensed" w:hAnsi="Barlow Semi Condensed"/>
          <w:b/>
          <w:bCs/>
          <w:sz w:val="24"/>
          <w:szCs w:val="24"/>
        </w:rPr>
        <w:t xml:space="preserve">704 · «Tecnocrazia» comune e Technocracy Inc.</w:t>
      </w:r>
      <w:r>
        <w:rPr>
          <w:rFonts w:ascii="Barlow Semi Condensed" w:cs="Barlow Semi Condensed" w:eastAsia="Barlow Semi Condensed" w:hAnsi="Barlow Semi Condensed"/>
          <w:sz w:val="24"/>
          <w:szCs w:val="24"/>
        </w:rPr>
        <w:t xml:space="preserve"> Nella lingua corrente tecnocrazia indica il governo degli esperti e il primato della competenza sulla rappresentanza. Technocracy Incorporated indicava altro: abolizione del sistema dei prezzi, sostituzione della moneta con unità di energia, governo continentale affidato a una gerarchia funzionale. Le due cose portano lo stesso nome e non sono la stessa cosa. Ogni ragionamento che scivoli dall'una all'altra è già viziato in partenza, prima ancora di produrre prove.</w:t>
      </w:r>
    </w:p>
    <w:p>
      <w:pPr>
        <w:spacing w:after="120" w:line="276"/>
        <w:jc w:val="both"/>
      </w:pPr>
      <w:r>
        <w:rPr>
          <w:rFonts w:ascii="Barlow Semi Condensed" w:cs="Barlow Semi Condensed" w:eastAsia="Barlow Semi Condensed" w:hAnsi="Barlow Semi Condensed"/>
          <w:b/>
          <w:bCs/>
          <w:sz w:val="24"/>
          <w:szCs w:val="24"/>
        </w:rPr>
        <w:t xml:space="preserve">705 · La ripetizione non è riscontro.</w:t>
      </w:r>
      <w:r>
        <w:rPr>
          <w:rFonts w:ascii="Barlow Semi Condensed" w:cs="Barlow Semi Condensed" w:eastAsia="Barlow Semi Condensed" w:hAnsi="Barlow Semi Condensed"/>
          <w:sz w:val="24"/>
          <w:szCs w:val="24"/>
        </w:rPr>
        <w:t xml:space="preserve"> Su questa materia decine di siti militanti, d'accusa e di difesa, ripetono formulazioni identiche senza aggiungere un documento. La coincidenza fra loro non è convergenza indipendente: è copiatura. Prima di contare una fonte occorre stabilire se abbia una fonte propria o soltanto un antecedente. Il criterio è già fissato nel repertorio di guevara-bibliografia-critica.md, con il suo elenco di trasparenza delle fonti deboli sostituite.</w:t>
      </w:r>
    </w:p>
    <w:p>
      <w:pPr>
        <w:spacing w:after="120" w:line="276"/>
        <w:jc w:val="both"/>
      </w:pPr>
      <w:r>
        <w:rPr>
          <w:rFonts w:ascii="Barlow Semi Condensed" w:cs="Barlow Semi Condensed" w:eastAsia="Barlow Semi Condensed" w:hAnsi="Barlow Semi Condensed"/>
          <w:b/>
          <w:bCs/>
          <w:sz w:val="24"/>
          <w:szCs w:val="24"/>
        </w:rPr>
        <w:t xml:space="preserve">706 · Il divieto sulle due fonti.</w:t>
      </w:r>
      <w:r>
        <w:rPr>
          <w:rFonts w:ascii="Barlow Semi Condensed" w:cs="Barlow Semi Condensed" w:eastAsia="Barlow Semi Condensed" w:hAnsi="Barlow Semi Condensed"/>
          <w:sz w:val="24"/>
          <w:szCs w:val="24"/>
        </w:rPr>
        <w:t xml:space="preserve"> Il committente ha escluso due sorgenti: un quotidiano italiano e un'enciclopedia generata automaticamente. Il divieto si registra e non si aggira citando chi le cita. La seconda, su questa materia, è per giunta parte in causa, essendo prodotta dentro l'ecosistema societario di uno dei soggetti nominati: un'enciclopedia che descrive il proprio proprietario non è fonte terza. Il fatto del divieto è citabile; il contenuto delle due fonti no.</w:t>
      </w:r>
    </w:p>
    <w:p>
      <w:pPr>
        <w:spacing w:after="120" w:line="276"/>
        <w:jc w:val="both"/>
      </w:pPr>
      <w:r>
        <w:rPr>
          <w:rFonts w:ascii="Barlow Semi Condensed" w:cs="Barlow Semi Condensed" w:eastAsia="Barlow Semi Condensed" w:hAnsi="Barlow Semi Condensed"/>
          <w:b/>
          <w:bCs/>
          <w:sz w:val="24"/>
          <w:szCs w:val="24"/>
        </w:rPr>
        <w:t xml:space="preserve">707 · L'atto del 1933.</w:t>
      </w:r>
      <w:r>
        <w:rPr>
          <w:rFonts w:ascii="Barlow Semi Condensed" w:cs="Barlow Semi Condensed" w:eastAsia="Barlow Semi Condensed" w:hAnsi="Barlow Semi Condensed"/>
          <w:sz w:val="24"/>
          <w:szCs w:val="24"/>
        </w:rPr>
        <w:t xml:space="preserve"> Technocracy Incorporated fu costituita nello Stato di New York nel 1933, con Howard Scott alla direzione. È un ente con un atto, uno statuto e una sede, e in questo differisce dalla «PayPal Mafia», che è una categoria giornalistica del novembre 2007 e non un soggetto. La verifica documentale spetta al registro societario dello Stato di New York, Department of State, Division of Corporations, ad Albany.</w:t>
      </w:r>
    </w:p>
    <w:p>
      <w:pPr>
        <w:spacing w:after="120" w:line="276"/>
        <w:jc w:val="both"/>
      </w:pPr>
      <w:r>
        <w:rPr>
          <w:rFonts w:ascii="Barlow Semi Condensed" w:cs="Barlow Semi Condensed" w:eastAsia="Barlow Semi Condensed" w:hAnsi="Barlow Semi Condensed"/>
          <w:b/>
          <w:bCs/>
          <w:sz w:val="24"/>
          <w:szCs w:val="24"/>
        </w:rPr>
        <w:t xml:space="preserve">708 · La Technical Alliance e i suoi nomi.</w:t>
      </w:r>
      <w:r>
        <w:rPr>
          <w:rFonts w:ascii="Barlow Semi Condensed" w:cs="Barlow Semi Condensed" w:eastAsia="Barlow Semi Condensed" w:hAnsi="Barlow Semi Condensed"/>
          <w:sz w:val="24"/>
          <w:szCs w:val="24"/>
        </w:rPr>
        <w:t xml:space="preserve"> Prima dell'ente ci fu un gruppo di studio newyorkese, la Technical Alliance, attivo attorno al 1919-1921, che censiva il consumo energetico dell'industria americana. Vi gravitarono ingegneri, economisti e statistici; l'adesione di alcuni fu brevissima e va misurata sui documenti, non sulle liste retrospettive. Chi voglia stabilire chi ne fece davvero parte chieda le carte alla Rare Book and Manuscript Library della Columbia University.</w:t>
      </w:r>
    </w:p>
    <w:p>
      <w:pPr>
        <w:spacing w:after="120" w:line="276"/>
        <w:jc w:val="both"/>
      </w:pPr>
      <w:r>
        <w:rPr>
          <w:rFonts w:ascii="Barlow Semi Condensed" w:cs="Barlow Semi Condensed" w:eastAsia="Barlow Semi Condensed" w:hAnsi="Barlow Semi Condensed"/>
          <w:b/>
          <w:bCs/>
          <w:sz w:val="24"/>
          <w:szCs w:val="24"/>
        </w:rPr>
        <w:t xml:space="preserve">709 · Veblen 1921, il testo antenato.</w:t>
      </w:r>
      <w:r>
        <w:rPr>
          <w:rFonts w:ascii="Barlow Semi Condensed" w:cs="Barlow Semi Condensed" w:eastAsia="Barlow Semi Condensed" w:hAnsi="Barlow Semi Condensed"/>
          <w:sz w:val="24"/>
          <w:szCs w:val="24"/>
        </w:rPr>
        <w:t xml:space="preserve"> «The Engineers and the Price System» di Thorstein Veblen, pubblicato nel 1921, è il testo che l'intera vulgata indica come antenato del movimento tecnocratico. È un libro firmato, datato e reperibile: chi voglia verificare la discendenza lo confronti con il corso di studi del 1934 e cerchi la citazione esplicita. L'assenza della citazione smentisce la filiazione per pagina e lascia in piedi soltanto l'affinità.</w:t>
      </w:r>
    </w:p>
    <w:p>
      <w:pPr>
        <w:spacing w:after="120" w:line="276"/>
        <w:jc w:val="both"/>
      </w:pPr>
      <w:r>
        <w:rPr>
          <w:rFonts w:ascii="Barlow Semi Condensed" w:cs="Barlow Semi Condensed" w:eastAsia="Barlow Semi Condensed" w:hAnsi="Barlow Semi Condensed"/>
          <w:b/>
          <w:bCs/>
          <w:sz w:val="24"/>
          <w:szCs w:val="24"/>
        </w:rPr>
        <w:t xml:space="preserve">710 · Il comitato della Columbia.</w:t>
      </w:r>
      <w:r>
        <w:rPr>
          <w:rFonts w:ascii="Barlow Semi Condensed" w:cs="Barlow Semi Condensed" w:eastAsia="Barlow Semi Condensed" w:hAnsi="Barlow Semi Condensed"/>
          <w:sz w:val="24"/>
          <w:szCs w:val="24"/>
        </w:rPr>
        <w:t xml:space="preserve"> Nel 1932 un comitato di studio sulla tecnocrazia operò alla Columbia University, ospitato dal dipartimento di ingegneria industriale, e la sua breve vita accademica precede e prepara la costituzione dell'ente dell'anno seguente. La rottura fra la sede universitaria e il gruppo di Scott è il primo scisma della materia. Le carte del dipartimento e del rettorato, negli University Archives della Columbia, sono la sede che lo documenta.</w:t>
      </w:r>
    </w:p>
    <w:p>
      <w:pPr>
        <w:spacing w:after="120" w:line="276"/>
        <w:jc w:val="both"/>
      </w:pPr>
      <w:r>
        <w:rPr>
          <w:rFonts w:ascii="Barlow Semi Condensed" w:cs="Barlow Semi Condensed" w:eastAsia="Barlow Semi Condensed" w:hAnsi="Barlow Semi Condensed"/>
          <w:b/>
          <w:bCs/>
          <w:sz w:val="24"/>
          <w:szCs w:val="24"/>
        </w:rPr>
        <w:t xml:space="preserve">711 · Lo Study Course del 1934.</w:t>
      </w:r>
      <w:r>
        <w:rPr>
          <w:rFonts w:ascii="Barlow Semi Condensed" w:cs="Barlow Semi Condensed" w:eastAsia="Barlow Semi Condensed" w:hAnsi="Barlow Semi Condensed"/>
          <w:sz w:val="24"/>
          <w:szCs w:val="24"/>
        </w:rPr>
        <w:t xml:space="preserve"> Il «Technocracy Study Course», stampato nel 1934, è il documento dottrinale principale dell'ente: espone l'analisi energetica, la critica al sistema dei prezzi e l'architettura del governo funzionale. È il testo su cui condurre ogni verifica di filiazione, perché è l'unico che l'organizzazione riconobbe come proprio corpo di dottrina. Esemplari nelle biblioteche di deposito nordamericane; la copia da citare va identificata con edizione, anno e tiratura.</w:t>
      </w:r>
    </w:p>
    <w:p>
      <w:pPr>
        <w:spacing w:after="120" w:line="276"/>
        <w:jc w:val="both"/>
      </w:pPr>
      <w:r>
        <w:rPr>
          <w:rFonts w:ascii="Barlow Semi Condensed" w:cs="Barlow Semi Condensed" w:eastAsia="Barlow Semi Condensed" w:hAnsi="Barlow Semi Condensed"/>
          <w:b/>
          <w:bCs/>
          <w:sz w:val="24"/>
          <w:szCs w:val="24"/>
        </w:rPr>
        <w:t xml:space="preserve">712 · I certificati d'energia.</w:t>
      </w:r>
      <w:r>
        <w:rPr>
          <w:rFonts w:ascii="Barlow Semi Condensed" w:cs="Barlow Semi Condensed" w:eastAsia="Barlow Semi Condensed" w:hAnsi="Barlow Semi Condensed"/>
          <w:sz w:val="24"/>
          <w:szCs w:val="24"/>
        </w:rPr>
        <w:t xml:space="preserve"> Il cuore operativo della dottrina era la sostituzione del denaro con certificati d'energia non trasferibili, emessi in ragione della produzione complessiva e annullati con la spesa. Ciò significa: nessun risparmio, nessun interesse, nessun capitale, nessuna eredità patrimoniale. Chi voglia collegare questa dottrina all'industria del capitale di rischio deve spiegare come sopravviva il capitale dentro un sistema che lo abolisce per statuto.</w:t>
      </w:r>
    </w:p>
    <w:p>
      <w:pPr>
        <w:spacing w:after="120" w:line="276"/>
        <w:jc w:val="both"/>
      </w:pPr>
      <w:r>
        <w:rPr>
          <w:rFonts w:ascii="Barlow Semi Condensed" w:cs="Barlow Semi Condensed" w:eastAsia="Barlow Semi Condensed" w:hAnsi="Barlow Semi Condensed"/>
          <w:b/>
          <w:bCs/>
          <w:sz w:val="24"/>
          <w:szCs w:val="24"/>
        </w:rPr>
        <w:t xml:space="preserve">713 · Il Technate del Nord America.</w:t>
      </w:r>
      <w:r>
        <w:rPr>
          <w:rFonts w:ascii="Barlow Semi Condensed" w:cs="Barlow Semi Condensed" w:eastAsia="Barlow Semi Condensed" w:hAnsi="Barlow Semi Condensed"/>
          <w:sz w:val="24"/>
          <w:szCs w:val="24"/>
        </w:rPr>
        <w:t xml:space="preserve"> Il progetto politico era un'unità continentale amministrata per funzioni tecniche e non per rappresentanza territoriale, con abolizione dei confini nazionali interni. Il piano non fu mai attuato in alcun luogo. Registrare che una dottrina non ha mai avuto esecuzione è parte dell'accertamento e non un dettaglio: la storia delle idee non attuate si scrive con i testi, non con gli effetti che non ci sono stati.</w:t>
      </w:r>
    </w:p>
    <w:p>
      <w:pPr>
        <w:spacing w:after="120" w:line="276"/>
        <w:jc w:val="both"/>
      </w:pPr>
      <w:r>
        <w:rPr>
          <w:rFonts w:ascii="Barlow Semi Condensed" w:cs="Barlow Semi Condensed" w:eastAsia="Barlow Semi Condensed" w:hAnsi="Barlow Semi Condensed"/>
          <w:b/>
          <w:bCs/>
          <w:sz w:val="24"/>
          <w:szCs w:val="24"/>
        </w:rPr>
        <w:t xml:space="preserve">714 · L'uscita e lo sviluppo separato.</w:t>
      </w:r>
      <w:r>
        <w:rPr>
          <w:rFonts w:ascii="Barlow Semi Condensed" w:cs="Barlow Semi Condensed" w:eastAsia="Barlow Semi Condensed" w:hAnsi="Barlow Semi Condensed"/>
          <w:sz w:val="24"/>
          <w:szCs w:val="24"/>
        </w:rPr>
        <w:t xml:space="preserve"> Si sostiene talvolta che le dottrine dell'uscita discendano dallo sviluppo separato teorizzato a Pretoria; è la tesi più delicata dell'opera e va trattata come bersaglio di smentita. Il test è unico: una citazione. Si cerchi, nei testi firmati che predicano l'uscita, il nome di Verwoerd, la relazione della commissione del 1955, il lessico dello sviluppo separato. Se non compaiono, resta analogia e va abbandonata come filiazione.</w:t>
      </w:r>
    </w:p>
    <w:p>
      <w:pPr>
        <w:spacing w:after="120" w:line="276"/>
        <w:jc w:val="both"/>
      </w:pPr>
      <w:r>
        <w:rPr>
          <w:rFonts w:ascii="Barlow Semi Condensed" w:cs="Barlow Semi Condensed" w:eastAsia="Barlow Semi Condensed" w:hAnsi="Barlow Semi Condensed"/>
          <w:b/>
          <w:bCs/>
          <w:sz w:val="24"/>
          <w:szCs w:val="24"/>
        </w:rPr>
        <w:t xml:space="preserve">715 · Loeb e la scissione.</w:t>
      </w:r>
      <w:r>
        <w:rPr>
          <w:rFonts w:ascii="Barlow Semi Condensed" w:cs="Barlow Semi Condensed" w:eastAsia="Barlow Semi Condensed" w:hAnsi="Barlow Semi Condensed"/>
          <w:sz w:val="24"/>
          <w:szCs w:val="24"/>
        </w:rPr>
        <w:t xml:space="preserve"> Il movimento si divise già nel 1933: una parte seguì Howard Scott dentro Technocracy Incorporated, un'altra si organizzò separatamente attorno a Harold Loeb, autore nello stesso anno di «Life in a Technocracy». Le due formazioni non hanno la medesima dottrina né la medesima storia. Attribuire a «la tecnocrazia» ciò che appartiene a uno dei due tronconi è un errore di identificazione, non una sfumatura.</w:t>
      </w:r>
    </w:p>
    <w:p>
      <w:pPr>
        <w:spacing w:after="120" w:line="276"/>
        <w:jc w:val="both"/>
      </w:pPr>
      <w:r>
        <w:rPr>
          <w:rFonts w:ascii="Barlow Semi Condensed" w:cs="Barlow Semi Condensed" w:eastAsia="Barlow Semi Condensed" w:hAnsi="Barlow Semi Condensed"/>
          <w:b/>
          <w:bCs/>
          <w:sz w:val="24"/>
          <w:szCs w:val="24"/>
        </w:rPr>
        <w:t xml:space="preserve">716 · Il divieto canadese del 1940.</w:t>
      </w:r>
      <w:r>
        <w:rPr>
          <w:rFonts w:ascii="Barlow Semi Condensed" w:cs="Barlow Semi Condensed" w:eastAsia="Barlow Semi Condensed" w:hAnsi="Barlow Semi Condensed"/>
          <w:sz w:val="24"/>
          <w:szCs w:val="24"/>
        </w:rPr>
        <w:t xml:space="preserve"> Nel 1940 il governo canadese incluse Technocracy Incorporated fra le organizzazioni illegali ai sensi dei Defence of Canada Regulations, in tempo di guerra. Il provvedimento riguarda l'ente, non le singole persone, e non equivale ad accertamento di reato individuale per chiunque vi fosse iscritto. La distinzione è quella che il corpus tiene fra appartenenza e condotta, e va tenuta ferma qui più che altrove.</w:t>
      </w:r>
    </w:p>
    <w:p>
      <w:pPr>
        <w:spacing w:after="120" w:line="276"/>
        <w:jc w:val="both"/>
      </w:pPr>
      <w:r>
        <w:rPr>
          <w:rFonts w:ascii="Barlow Semi Condensed" w:cs="Barlow Semi Condensed" w:eastAsia="Barlow Semi Condensed" w:hAnsi="Barlow Semi Condensed"/>
          <w:b/>
          <w:bCs/>
          <w:sz w:val="24"/>
          <w:szCs w:val="24"/>
        </w:rPr>
        <w:t xml:space="preserve">717 · La revoca e la divergenza sulle date.</w:t>
      </w:r>
      <w:r>
        <w:rPr>
          <w:rFonts w:ascii="Barlow Semi Condensed" w:cs="Barlow Semi Condensed" w:eastAsia="Barlow Semi Condensed" w:hAnsi="Barlow Semi Condensed"/>
          <w:sz w:val="24"/>
          <w:szCs w:val="24"/>
        </w:rPr>
        <w:t xml:space="preserve"> La messa al bando fu revocata nel corso della guerra, quando l'organizzazione mutò posizione sullo sforzo bellico. Le date esatte dell'inclusione e della cancellazione circolano in versioni non perfettamente coincidenti nella letteratura secondaria. La divergenza si riporta e non si scioglie a preferenza: si chiude leggendo il testo degli ordini in consiglio, pubblicati nella Canada Gazette, che è raccolta ufficiale e integralmente consultabile.</w:t>
      </w:r>
    </w:p>
    <w:p>
      <w:pPr>
        <w:spacing w:after="120" w:line="276"/>
        <w:jc w:val="both"/>
      </w:pPr>
      <w:r>
        <w:rPr>
          <w:rFonts w:ascii="Barlow Semi Condensed" w:cs="Barlow Semi Condensed" w:eastAsia="Barlow Semi Condensed" w:hAnsi="Barlow Semi Condensed"/>
          <w:b/>
          <w:bCs/>
          <w:sz w:val="24"/>
          <w:szCs w:val="24"/>
        </w:rPr>
        <w:t xml:space="preserve">718 · Dove si chiede a Ottawa.</w:t>
      </w:r>
      <w:r>
        <w:rPr>
          <w:rFonts w:ascii="Barlow Semi Condensed" w:cs="Barlow Semi Condensed" w:eastAsia="Barlow Semi Condensed" w:hAnsi="Barlow Semi Condensed"/>
          <w:sz w:val="24"/>
          <w:szCs w:val="24"/>
        </w:rPr>
        <w:t xml:space="preserve"> La sede che chiude l'intero capitolo canadese è Library and Archives Canada, a Ottawa: i fondi del Ministero della Giustizia e quelli della Royal Canadian Mounted Police, per gli anni 1939-1945, contengono i fascicoli sulle organizzazioni dichiarate illegali e le pratiche individuali connesse. La richiesta va formulata per serie e per anno, non per nome soltanto, perché l'indicizzazione nominativa di quegli anni è parziale.</w:t>
      </w:r>
    </w:p>
    <w:p>
      <w:pPr>
        <w:spacing w:after="120" w:line="276"/>
        <w:jc w:val="both"/>
      </w:pPr>
      <w:r>
        <w:rPr>
          <w:rFonts w:ascii="Barlow Semi Condensed" w:cs="Barlow Semi Condensed" w:eastAsia="Barlow Semi Condensed" w:hAnsi="Barlow Semi Condensed"/>
          <w:b/>
          <w:bCs/>
          <w:sz w:val="24"/>
          <w:szCs w:val="24"/>
        </w:rPr>
        <w:t xml:space="preserve">719 · Il fascicolo federale americano.</w:t>
      </w:r>
      <w:r>
        <w:rPr>
          <w:rFonts w:ascii="Barlow Semi Condensed" w:cs="Barlow Semi Condensed" w:eastAsia="Barlow Semi Condensed" w:hAnsi="Barlow Semi Condensed"/>
          <w:sz w:val="24"/>
          <w:szCs w:val="24"/>
        </w:rPr>
        <w:t xml:space="preserve"> Negli Stati Uniti il movimento fu oggetto di attenzione investigativa federale negli anni Trenta e Quaranta. Il fascicolo, se esiste nella misura che la letteratura suppone, si ottiene per richiesta di accesso agli atti all'ufficio federale competente e, per la parte versata, ai National Archives di College Park. Finché la richiesta non è depositata e l'esito non è noto, la questione resta aperta e va scritta come aperta.</w:t>
      </w:r>
    </w:p>
    <w:p>
      <w:pPr>
        <w:spacing w:after="120" w:line="276"/>
        <w:jc w:val="both"/>
      </w:pPr>
      <w:r>
        <w:rPr>
          <w:rFonts w:ascii="Barlow Semi Condensed" w:cs="Barlow Semi Condensed" w:eastAsia="Barlow Semi Condensed" w:hAnsi="Barlow Semi Condensed"/>
          <w:b/>
          <w:bCs/>
          <w:sz w:val="24"/>
          <w:szCs w:val="24"/>
        </w:rPr>
        <w:t xml:space="preserve">720 · I periodici e le biblioteche di deposito.</w:t>
      </w:r>
      <w:r>
        <w:rPr>
          <w:rFonts w:ascii="Barlow Semi Condensed" w:cs="Barlow Semi Condensed" w:eastAsia="Barlow Semi Condensed" w:hAnsi="Barlow Semi Condensed"/>
          <w:sz w:val="24"/>
          <w:szCs w:val="24"/>
        </w:rPr>
        <w:t xml:space="preserve"> Periodici propri furono pubblicati per decenni, negli Stati Uniti e in Canada. Sono la fonte migliore per datare i mutamenti di linea, perché registrano la dottrina mentre cambia e non dopo. Le collezioni si cercano nei cataloghi collettivi nordamericani e nelle biblioteche di deposito legale dei due Paesi. Una tesi sulla dottrina che non abbia consultato l'organo dell'ente è, per costruzione, una tesi di seconda mano.</w:t>
      </w:r>
    </w:p>
    <w:p>
      <w:pPr>
        <w:spacing w:after="120" w:line="276"/>
        <w:jc w:val="both"/>
      </w:pPr>
      <w:r>
        <w:rPr>
          <w:rFonts w:ascii="Barlow Semi Condensed" w:cs="Barlow Semi Condensed" w:eastAsia="Barlow Semi Condensed" w:hAnsi="Barlow Semi Condensed"/>
          <w:b/>
          <w:bCs/>
          <w:sz w:val="24"/>
          <w:szCs w:val="24"/>
        </w:rPr>
        <w:t xml:space="preserve">721 · Saint-Simon è citato o no.</w:t>
      </w:r>
      <w:r>
        <w:rPr>
          <w:rFonts w:ascii="Barlow Semi Condensed" w:cs="Barlow Semi Condensed" w:eastAsia="Barlow Semi Condensed" w:hAnsi="Barlow Semi Condensed"/>
          <w:sz w:val="24"/>
          <w:szCs w:val="24"/>
        </w:rPr>
        <w:t xml:space="preserve"> Bersaglio di smentita, eseguibile in un pomeriggio. La vulgata fa discendere la tecnocrazia novecentesca dal sansimonismo francese dell'Ottocento. Si apra il corso di studi del 1934 e si cerchi il nome di Saint-Simon, o di Comte, o della tradizione politecnica francese. Se non compaiono in nessuna pagina, la discendenza non è provata e resta analogia: due dottrine nate in ambienti industriali diversi che convergono senza toccarsi.</w:t>
      </w:r>
    </w:p>
    <w:p>
      <w:pPr>
        <w:spacing w:after="120" w:line="276"/>
        <w:jc w:val="both"/>
      </w:pPr>
      <w:r>
        <w:rPr>
          <w:rFonts w:ascii="Barlow Semi Condensed" w:cs="Barlow Semi Condensed" w:eastAsia="Barlow Semi Condensed" w:hAnsi="Barlow Semi Condensed"/>
          <w:b/>
          <w:bCs/>
          <w:sz w:val="24"/>
          <w:szCs w:val="24"/>
        </w:rPr>
        <w:t xml:space="preserve">722 · L'antimercato che spezza l'albero.</w:t>
      </w:r>
      <w:r>
        <w:rPr>
          <w:rFonts w:ascii="Barlow Semi Condensed" w:cs="Barlow Semi Condensed" w:eastAsia="Barlow Semi Condensed" w:hAnsi="Barlow Semi Condensed"/>
          <w:sz w:val="24"/>
          <w:szCs w:val="24"/>
        </w:rPr>
        <w:t xml:space="preserve"> Se la dottrina di Technocracy Incorporated abolisce prezzo, moneta, interesse e proprietà del capitale, ogni genealogia che la faccia sfociare nell'industria americana del capitale di rischio è falsificata sul contenuto e non sul dettaglio. Per reggere, quella genealogia dovrebbe esibire un testo in cui qualcuno rivendichi la dottrina e ne rovesci l'assunto economico. Nessun testo simile è stato prodotto finora: è il bersaglio di smentita centrale della serie.</w:t>
      </w:r>
    </w:p>
    <w:p>
      <w:pPr>
        <w:spacing w:after="120" w:line="276"/>
        <w:jc w:val="both"/>
      </w:pPr>
      <w:r>
        <w:rPr>
          <w:rFonts w:ascii="Barlow Semi Condensed" w:cs="Barlow Semi Condensed" w:eastAsia="Barlow Semi Condensed" w:hAnsi="Barlow Semi Condensed"/>
          <w:b/>
          <w:bCs/>
          <w:sz w:val="24"/>
          <w:szCs w:val="24"/>
        </w:rPr>
        <w:t xml:space="preserve">723 · Nessun capitale di rischio nel Technate.</w:t>
      </w:r>
      <w:r>
        <w:rPr>
          <w:rFonts w:ascii="Barlow Semi Condensed" w:cs="Barlow Semi Condensed" w:eastAsia="Barlow Semi Condensed" w:hAnsi="Barlow Semi Condensed"/>
          <w:sz w:val="24"/>
          <w:szCs w:val="24"/>
        </w:rPr>
        <w:t xml:space="preserve"> Nel piano del Technate non esistono investitori, quote societarie, mercati azionari né rendimenti. Chi sostiene la continuità fra quel piano e i fondi della valle californiana deve indicare quale parte del piano sopravviva e per mano di chi. Se la risposta è «l'atteggiamento», allora si parla di stile e non di dottrina, e lo si deve scrivere con questa parola. La domanda senza risposta vale come smentita.</w:t>
      </w:r>
    </w:p>
    <w:p>
      <w:pPr>
        <w:spacing w:after="120" w:line="276"/>
        <w:jc w:val="both"/>
      </w:pPr>
      <w:r>
        <w:rPr>
          <w:rFonts w:ascii="Barlow Semi Condensed" w:cs="Barlow Semi Condensed" w:eastAsia="Barlow Semi Condensed" w:hAnsi="Barlow Semi Condensed"/>
          <w:b/>
          <w:bCs/>
          <w:sz w:val="24"/>
          <w:szCs w:val="24"/>
        </w:rPr>
        <w:t xml:space="preserve">724 · Ogni dottrina va datata.</w:t>
      </w:r>
      <w:r>
        <w:rPr>
          <w:rFonts w:ascii="Barlow Semi Condensed" w:cs="Barlow Semi Condensed" w:eastAsia="Barlow Semi Condensed" w:hAnsi="Barlow Semi Condensed"/>
          <w:sz w:val="24"/>
          <w:szCs w:val="24"/>
        </w:rPr>
        <w:t xml:space="preserve"> Un'organizzazione che dura decenni non ha una dottrina sola: ha una dottrina del 1933, una del 1940, una del dopoguerra. Attribuire a un iscritto degli anni Quaranta le posizioni pubblicate negli anni Trenta, o viceversa, è un errore di datazione che produce attribuzioni false. La regola operativa è una: si cita il testo vigente nell'anno in cui il soggetto vi appartenne, e si indica quell'anno accanto alla citazione.</w:t>
      </w:r>
    </w:p>
    <w:p>
      <w:pPr>
        <w:spacing w:after="120" w:line="276"/>
        <w:jc w:val="both"/>
      </w:pPr>
      <w:r>
        <w:rPr>
          <w:rFonts w:ascii="Barlow Semi Condensed" w:cs="Barlow Semi Condensed" w:eastAsia="Barlow Semi Condensed" w:hAnsi="Barlow Semi Condensed"/>
          <w:b/>
          <w:bCs/>
          <w:sz w:val="24"/>
          <w:szCs w:val="24"/>
        </w:rPr>
        <w:t xml:space="preserve">725 · Haldeman: i dati d'anagrafe.</w:t>
      </w:r>
      <w:r>
        <w:rPr>
          <w:rFonts w:ascii="Barlow Semi Condensed" w:cs="Barlow Semi Condensed" w:eastAsia="Barlow Semi Condensed" w:hAnsi="Barlow Semi Condensed"/>
          <w:sz w:val="24"/>
          <w:szCs w:val="24"/>
        </w:rPr>
        <w:t xml:space="preserve"> Joshua Norman Haldeman, 1902-1974, canadese, chiropratico, aviatore, nonno materno di Elon Musk, emigrò in Sud Africa nel 1950. Sono fatti pubblici e verificabili in registri civili e in atti d'immigrazione. Il corpus li assume come dati anagrafici e non ne ricava nulla di dottrinale: la biografia serve qui a fissare che l'oggetto della serie è una persona documentata e non una figura evocata.</w:t>
      </w:r>
    </w:p>
    <w:p>
      <w:pPr>
        <w:spacing w:after="120" w:line="276"/>
        <w:jc w:val="both"/>
      </w:pPr>
      <w:r>
        <w:rPr>
          <w:rFonts w:ascii="Barlow Semi Condensed" w:cs="Barlow Semi Condensed" w:eastAsia="Barlow Semi Condensed" w:hAnsi="Barlow Semi Condensed"/>
          <w:b/>
          <w:bCs/>
          <w:sz w:val="24"/>
          <w:szCs w:val="24"/>
        </w:rPr>
        <w:t xml:space="preserve">726 · Il ruolo canadese e la sua prova.</w:t>
      </w:r>
      <w:r>
        <w:rPr>
          <w:rFonts w:ascii="Barlow Semi Condensed" w:cs="Barlow Semi Condensed" w:eastAsia="Barlow Semi Condensed" w:hAnsi="Barlow Semi Condensed"/>
          <w:sz w:val="24"/>
          <w:szCs w:val="24"/>
        </w:rPr>
        <w:t xml:space="preserve"> Che Haldeman ricoprisse una funzione dirigente nel movimento tecnocratico canadese è riferito dall'inchiesta della CBC, che è fonte citabile. La conferma di primo grado sta altrove: negli atti interni dell'organizzazione, nei periodici che ne pubblicavano gli organigrammi, e nei fascicoli conservati a Ottawa. Chi voglia elevare il dato al piano uno deve produrre l'atto che lo nomina, con data e con carica.</w:t>
      </w:r>
    </w:p>
    <w:p>
      <w:pPr>
        <w:spacing w:after="120" w:line="276"/>
        <w:jc w:val="both"/>
      </w:pPr>
      <w:r>
        <w:rPr>
          <w:rFonts w:ascii="Barlow Semi Condensed" w:cs="Barlow Semi Condensed" w:eastAsia="Barlow Semi Condensed" w:hAnsi="Barlow Semi Condensed"/>
          <w:b/>
          <w:bCs/>
          <w:sz w:val="24"/>
          <w:szCs w:val="24"/>
        </w:rPr>
        <w:t xml:space="preserve">727 · Social Credit, seconda appartenenza.</w:t>
      </w:r>
      <w:r>
        <w:rPr>
          <w:rFonts w:ascii="Barlow Semi Condensed" w:cs="Barlow Semi Condensed" w:eastAsia="Barlow Semi Condensed" w:hAnsi="Barlow Semi Condensed"/>
          <w:sz w:val="24"/>
          <w:szCs w:val="24"/>
        </w:rPr>
        <w:t xml:space="preserve"> La stessa biografia registra un'adesione al movimento canadese del credito sociale, corrente distinta e incompatibile con la tecnocrazia sul punto decisivo: il credito sociale riforma la moneta, la tecnocrazia la abolisce. Le due appartenenze in una vita si riportano entrambe e non si fondono: da una successione di adesioni non si estrae una dottrina risultante. Le carte del partito stanno negli archivi provinciali dell'Alberta e del Saskatchewan.</w:t>
      </w:r>
    </w:p>
    <w:p>
      <w:pPr>
        <w:spacing w:after="120" w:line="276"/>
        <w:jc w:val="both"/>
      </w:pPr>
      <w:r>
        <w:rPr>
          <w:rFonts w:ascii="Barlow Semi Condensed" w:cs="Barlow Semi Condensed" w:eastAsia="Barlow Semi Condensed" w:hAnsi="Barlow Semi Condensed"/>
          <w:b/>
          <w:bCs/>
          <w:sz w:val="24"/>
          <w:szCs w:val="24"/>
        </w:rPr>
        <w:t xml:space="preserve">728 · Una seconda cittadinanza e il suo fascicolo.</w:t>
      </w:r>
      <w:r>
        <w:rPr>
          <w:rFonts w:ascii="Barlow Semi Condensed" w:cs="Barlow Semi Condensed" w:eastAsia="Barlow Semi Condensed" w:hAnsi="Barlow Semi Condensed"/>
          <w:sz w:val="24"/>
          <w:szCs w:val="24"/>
        </w:rPr>
        <w:t xml:space="preserve"> Nel 2011 Peter Thiel ottenne la cittadinanza neozelandese per decisione ministeriale; il fascicolo relativo fu diffuso nel 2017 su richiesta di accesso agli atti e comprende la domanda e le motivazioni. È fatto pubblico, documentato e lecito. Un atto lecito non prova una dottrina: qui esistono separatamente un atto amministrativo e testi firmati sull'uscita, e collegarli richiede parole del soggetto, non una deduzione del lettore.</w:t>
      </w:r>
    </w:p>
    <w:p>
      <w:pPr>
        <w:spacing w:after="120" w:line="276"/>
        <w:jc w:val="both"/>
      </w:pPr>
      <w:r>
        <w:rPr>
          <w:rFonts w:ascii="Barlow Semi Condensed" w:cs="Barlow Semi Condensed" w:eastAsia="Barlow Semi Condensed" w:hAnsi="Barlow Semi Condensed"/>
          <w:b/>
          <w:bCs/>
          <w:sz w:val="24"/>
          <w:szCs w:val="24"/>
        </w:rPr>
        <w:t xml:space="preserve">729 · Stato Zero sui partiti nazisti.</w:t>
      </w:r>
      <w:r>
        <w:rPr>
          <w:rFonts w:ascii="Barlow Semi Condensed" w:cs="Barlow Semi Condensed" w:eastAsia="Barlow Semi Condensed" w:hAnsi="Barlow Semi Condensed"/>
          <w:sz w:val="24"/>
          <w:szCs w:val="24"/>
        </w:rPr>
        <w:t xml:space="preserve"> Ricerca condotta, esito negativo: non risulta prova documentale di appartenenza di Haldeman a partiti nazisti. Lo si scrive per intero, perché l'esito negativo è acquisizione di pieno valore e perché la voce circola. Le sue posizioni pubbliche a favore dell'apartheid e le sue espressioni razziste e antisemite sono cosa diversa, documentata dall'inchiesta della CBC, e non si convertono automaticamente in un'affiliazione partitica.</w:t>
      </w:r>
    </w:p>
    <w:p>
      <w:pPr>
        <w:spacing w:after="120" w:line="276"/>
        <w:jc w:val="both"/>
      </w:pPr>
      <w:r>
        <w:rPr>
          <w:rFonts w:ascii="Barlow Semi Condensed" w:cs="Barlow Semi Condensed" w:eastAsia="Barlow Semi Condensed" w:hAnsi="Barlow Semi Condensed"/>
          <w:b/>
          <w:bCs/>
          <w:sz w:val="24"/>
          <w:szCs w:val="24"/>
        </w:rPr>
        <w:t xml:space="preserve">730 · Come si chiuderebbe quello Stato Zero.</w:t>
      </w:r>
      <w:r>
        <w:rPr>
          <w:rFonts w:ascii="Barlow Semi Condensed" w:cs="Barlow Semi Condensed" w:eastAsia="Barlow Semi Condensed" w:hAnsi="Barlow Semi Condensed"/>
          <w:sz w:val="24"/>
          <w:szCs w:val="24"/>
        </w:rPr>
        <w:t xml:space="preserve"> La lacuna si chiuderebbe in tre sedi. Gli elenchi nominativi delle formazioni filonaziste canadesi degli anni Trenta, dove esistano e siano versati a Ottawa. I fascicoli di sorveglianza della polizia federale canadese sullo stesso periodo. Gli atti di polizia sudafricani successivi al 1950, negli archivi nazionali di Pretoria. Se in nessuna delle tre compare il nome, l'esito negativo si consolida e va dichiarato consolidato.</w:t>
      </w:r>
    </w:p>
    <w:p>
      <w:pPr>
        <w:spacing w:after="120" w:line="276"/>
        <w:jc w:val="both"/>
      </w:pPr>
      <w:r>
        <w:rPr>
          <w:rFonts w:ascii="Barlow Semi Condensed" w:cs="Barlow Semi Condensed" w:eastAsia="Barlow Semi Condensed" w:hAnsi="Barlow Semi Condensed"/>
          <w:b/>
          <w:bCs/>
          <w:sz w:val="24"/>
          <w:szCs w:val="24"/>
        </w:rPr>
        <w:t xml:space="preserve">731 · Il 1950 e i registri di Pretoria.</w:t>
      </w:r>
      <w:r>
        <w:rPr>
          <w:rFonts w:ascii="Barlow Semi Condensed" w:cs="Barlow Semi Condensed" w:eastAsia="Barlow Semi Condensed" w:hAnsi="Barlow Semi Condensed"/>
          <w:sz w:val="24"/>
          <w:szCs w:val="24"/>
        </w:rPr>
        <w:t xml:space="preserve"> L'ingresso della famiglia in Sud Africa nel 1950 lascia tracce amministrative precise: domanda di residenza permanente, permesso d'immigrazione, iscrizione all'albo professionale. La sede è il National Archives and Records Service of South Africa, a Pretoria, con le serie del Ministero dell'Interno. Il quesito è puntuale e chiudibile: data della domanda, motivazione dichiarata, referenze indicate dal richiedente. Ognuna di queste voci è un fatto, non un'opinione.</w:t>
      </w:r>
    </w:p>
    <w:p>
      <w:pPr>
        <w:spacing w:after="120" w:line="276"/>
        <w:jc w:val="both"/>
      </w:pPr>
      <w:r>
        <w:rPr>
          <w:rFonts w:ascii="Barlow Semi Condensed" w:cs="Barlow Semi Condensed" w:eastAsia="Barlow Semi Condensed" w:hAnsi="Barlow Semi Condensed"/>
          <w:b/>
          <w:bCs/>
          <w:sz w:val="24"/>
          <w:szCs w:val="24"/>
        </w:rPr>
        <w:t xml:space="preserve">732 · Gli opuscoli e il deposito legale.</w:t>
      </w:r>
      <w:r>
        <w:rPr>
          <w:rFonts w:ascii="Barlow Semi Condensed" w:cs="Barlow Semi Condensed" w:eastAsia="Barlow Semi Condensed" w:hAnsi="Barlow Semi Condensed"/>
          <w:sz w:val="24"/>
          <w:szCs w:val="24"/>
        </w:rPr>
        <w:t xml:space="preserve"> A Haldeman sono attribuiti opuscoli politici pubblicati in Sud Africa. L'identificazione bibliografica va fatta dove si fa: nel deposito legale della National Library of South Africa, sedi di Pretoria e Città del Capo, e nei cataloghi delle biblioteche universitarie sudafricane. Occorrono titolo esatto, editore, anno e luogo di stampa. Finché la scheda non è prodotta, si scrive «attribuito» e non «scritto da».</w:t>
      </w:r>
    </w:p>
    <w:p>
      <w:pPr>
        <w:spacing w:after="120" w:line="276"/>
        <w:jc w:val="both"/>
      </w:pPr>
      <w:r>
        <w:rPr>
          <w:rFonts w:ascii="Barlow Semi Condensed" w:cs="Barlow Semi Condensed" w:eastAsia="Barlow Semi Condensed" w:hAnsi="Barlow Semi Condensed"/>
          <w:b/>
          <w:bCs/>
          <w:sz w:val="24"/>
          <w:szCs w:val="24"/>
        </w:rPr>
        <w:t xml:space="preserve">733 · Attribuire un opuscolo senza frontespizio.</w:t>
      </w:r>
      <w:r>
        <w:rPr>
          <w:rFonts w:ascii="Barlow Semi Condensed" w:cs="Barlow Semi Condensed" w:eastAsia="Barlow Semi Condensed" w:hAnsi="Barlow Semi Condensed"/>
          <w:sz w:val="24"/>
          <w:szCs w:val="24"/>
        </w:rPr>
        <w:t xml:space="preserve"> Se un opuscolo circola in riproduzione senza frontespizio, senza indicazione di stampatore e senza collocazione di biblioteca, l'attribuzione al presunto autore non è verificata, per quanto il contenuto suoni coerente con lui. È bersaglio di smentita in entrambe le direzioni. Il caso delle circolari politiche pubblicate sotto il nome di un uomo politico statunitense, poi da lui disconosciute, mostra dove porta la scorciatoia.</w:t>
      </w:r>
    </w:p>
    <w:p>
      <w:pPr>
        <w:spacing w:after="120" w:line="276"/>
        <w:jc w:val="both"/>
      </w:pPr>
      <w:r>
        <w:rPr>
          <w:rFonts w:ascii="Barlow Semi Condensed" w:cs="Barlow Semi Condensed" w:eastAsia="Barlow Semi Condensed" w:hAnsi="Barlow Semi Condensed"/>
          <w:b/>
          <w:bCs/>
          <w:sz w:val="24"/>
          <w:szCs w:val="24"/>
        </w:rPr>
        <w:t xml:space="preserve">734 · Le opinioni del nonno restano sue.</w:t>
      </w:r>
      <w:r>
        <w:rPr>
          <w:rFonts w:ascii="Barlow Semi Condensed" w:cs="Barlow Semi Condensed" w:eastAsia="Barlow Semi Condensed" w:hAnsi="Barlow Semi Condensed"/>
          <w:sz w:val="24"/>
          <w:szCs w:val="24"/>
        </w:rPr>
        <w:t xml:space="preserve"> Questo è il divieto centrale dell'opera e va enunciato senza attenuazioni: le posizioni pubbliche di Joshua Haldeman appartengono a Joshua Haldeman. Non si trasferiscono al nipote, in nessun grado e per nessuna via. La regola non è cortesia: è il principio personalistico che il corpus applica in aldo-moro-una-guerra-senza-fine-fase-decima-responsabilita-personali.md, dove la colpa non è mai del gruppo né del ceppo, ma sempre della persona.</w:t>
      </w:r>
    </w:p>
    <w:p>
      <w:pPr>
        <w:spacing w:after="120" w:line="276"/>
        <w:jc w:val="both"/>
      </w:pPr>
      <w:r>
        <w:rPr>
          <w:rFonts w:ascii="Barlow Semi Condensed" w:cs="Barlow Semi Condensed" w:eastAsia="Barlow Semi Condensed" w:hAnsi="Barlow Semi Condensed"/>
          <w:b/>
          <w:bCs/>
          <w:sz w:val="24"/>
          <w:szCs w:val="24"/>
        </w:rPr>
        <w:t xml:space="preserve">735 · Nessuna rivendicazione scritta del nipote.</w:t>
      </w:r>
      <w:r>
        <w:rPr>
          <w:rFonts w:ascii="Barlow Semi Condensed" w:cs="Barlow Semi Condensed" w:eastAsia="Barlow Semi Condensed" w:hAnsi="Barlow Semi Condensed"/>
          <w:sz w:val="24"/>
          <w:szCs w:val="24"/>
        </w:rPr>
        <w:t xml:space="preserve"> Non risulta un testo firmato in cui Elon Musk rivendichi la dottrina di Technocracy Incorporated, ne citi il corso di studi o ne riconosca l'eredità. Finché quel testo non esiste, la filiazione dottrinale sta al piano tre e vi resta. Lo stato zero si scrive con la sede che lo chiuderebbe, e qui la sede è una sola: le sue parole. Chi le trovasse smentirebbe questa registrazione in un colpo.</w:t>
      </w:r>
    </w:p>
    <w:p>
      <w:pPr>
        <w:spacing w:after="120" w:line="276"/>
        <w:jc w:val="both"/>
      </w:pPr>
      <w:r>
        <w:rPr>
          <w:rFonts w:ascii="Barlow Semi Condensed" w:cs="Barlow Semi Condensed" w:eastAsia="Barlow Semi Condensed" w:hAnsi="Barlow Semi Condensed"/>
          <w:b/>
          <w:bCs/>
          <w:sz w:val="24"/>
          <w:szCs w:val="24"/>
        </w:rPr>
        <w:t xml:space="preserve">736 · Che cosa proverebbe la filiazione familiare.</w:t>
      </w:r>
      <w:r>
        <w:rPr>
          <w:rFonts w:ascii="Barlow Semi Condensed" w:cs="Barlow Semi Condensed" w:eastAsia="Barlow Semi Condensed" w:hAnsi="Barlow Semi Condensed"/>
          <w:sz w:val="24"/>
          <w:szCs w:val="24"/>
        </w:rPr>
        <w:t xml:space="preserve"> Per simmetria, il bersaglio si rovescia. Proverebbero la filiazione: una dichiarazione scritta del nipote che nomini l'organizzazione del nonno come propria fonte; una biblioteca familiare con esemplari annotati e trasmessi; una corrispondenza in cui la dottrina sia discussa fra i due rami. In loro assenza il legame resta di parentela, e la parentela non è una dottrina: le due cose condividono un cognome e nient'altro.</w:t>
      </w:r>
    </w:p>
    <w:p>
      <w:pPr>
        <w:spacing w:after="120" w:line="276"/>
        <w:jc w:val="both"/>
      </w:pPr>
      <w:r>
        <w:rPr>
          <w:rFonts w:ascii="Barlow Semi Condensed" w:cs="Barlow Semi Condensed" w:eastAsia="Barlow Semi Condensed" w:hAnsi="Barlow Semi Condensed"/>
          <w:b/>
          <w:bCs/>
          <w:sz w:val="24"/>
          <w:szCs w:val="24"/>
        </w:rPr>
        <w:t xml:space="preserve">737 · Il libertarismo come arcipelago.</w:t>
      </w:r>
      <w:r>
        <w:rPr>
          <w:rFonts w:ascii="Barlow Semi Condensed" w:cs="Barlow Semi Condensed" w:eastAsia="Barlow Semi Condensed" w:hAnsi="Barlow Semi Condensed"/>
          <w:sz w:val="24"/>
          <w:szCs w:val="24"/>
        </w:rPr>
        <w:t xml:space="preserve"> Il libertarismo statunitense non è una dottrina ma un arcipelago di correnti che si combattono: la scuola austriaca sul calcolo economico, l'oggettivismo randiano che rifiutava l'etichetta, il minarchismo accademico, l'anarco-capitalismo, il filone paleo degli anni Novanta. Attribuire a un soggetto «il libertarismo» significa non aver scelto l'isola. La domanda corretta è sempre: quale corrente, in quale anno, per quale testo firmato.</w:t>
      </w:r>
    </w:p>
    <w:p>
      <w:pPr>
        <w:spacing w:after="120" w:line="276"/>
        <w:jc w:val="both"/>
      </w:pPr>
      <w:r>
        <w:rPr>
          <w:rFonts w:ascii="Barlow Semi Condensed" w:cs="Barlow Semi Condensed" w:eastAsia="Barlow Semi Condensed" w:hAnsi="Barlow Semi Condensed"/>
          <w:b/>
          <w:bCs/>
          <w:sz w:val="24"/>
          <w:szCs w:val="24"/>
        </w:rPr>
        <w:t xml:space="preserve">738 · Mont Pelerin e le sue carte.</w:t>
      </w:r>
      <w:r>
        <w:rPr>
          <w:rFonts w:ascii="Barlow Semi Condensed" w:cs="Barlow Semi Condensed" w:eastAsia="Barlow Semi Condensed" w:hAnsi="Barlow Semi Condensed"/>
          <w:sz w:val="24"/>
          <w:szCs w:val="24"/>
        </w:rPr>
        <w:t xml:space="preserve"> La Mont Pelerin Society, costituita nel 1947, è il luogo dove le correnti liberali del dopoguerra si incontrarono e si divisero. I suoi elenchi di soci e i verbali delle sessioni sono la fonte migliore per stabilire chi frequentò chi. Il quesito da porre al catalogo della Hoover Institution Library and Archives, a Stanford, è quali serie siano consultabili e con quali restrizioni di accesso.</w:t>
      </w:r>
    </w:p>
    <w:p>
      <w:pPr>
        <w:spacing w:after="120" w:line="276"/>
        <w:jc w:val="both"/>
      </w:pPr>
      <w:r>
        <w:rPr>
          <w:rFonts w:ascii="Barlow Semi Condensed" w:cs="Barlow Semi Condensed" w:eastAsia="Barlow Semi Condensed" w:hAnsi="Barlow Semi Condensed"/>
          <w:b/>
          <w:bCs/>
          <w:sz w:val="24"/>
          <w:szCs w:val="24"/>
        </w:rPr>
        <w:t xml:space="preserve">739 · Hayek alla Hoover Institution.</w:t>
      </w:r>
      <w:r>
        <w:rPr>
          <w:rFonts w:ascii="Barlow Semi Condensed" w:cs="Barlow Semi Condensed" w:eastAsia="Barlow Semi Condensed" w:hAnsi="Barlow Semi Condensed"/>
          <w:sz w:val="24"/>
          <w:szCs w:val="24"/>
        </w:rPr>
        <w:t xml:space="preserve"> Le carte di Friedrich von Hayek sono conservate alla Hoover Institution di Stanford e comprendono corrispondenza per decenni. Sono la sede in cui si accerta se una filiazione dottrinale sia passata per lettera. Va cercata anche la parte scomoda: le sue dichiarazioni pubbliche sul Cile durante la dittatura, rese alla stampa cilena all'inizio degli anni Ottanta, sono testo firmato e vanno lette nella versione originale.</w:t>
      </w:r>
    </w:p>
    <w:p>
      <w:pPr>
        <w:spacing w:after="120" w:line="276"/>
        <w:jc w:val="both"/>
      </w:pPr>
      <w:r>
        <w:rPr>
          <w:rFonts w:ascii="Barlow Semi Condensed" w:cs="Barlow Semi Condensed" w:eastAsia="Barlow Semi Condensed" w:hAnsi="Barlow Semi Condensed"/>
          <w:b/>
          <w:bCs/>
          <w:sz w:val="24"/>
          <w:szCs w:val="24"/>
        </w:rPr>
        <w:t xml:space="preserve">740 · Mises a Grove City College.</w:t>
      </w:r>
      <w:r>
        <w:rPr>
          <w:rFonts w:ascii="Barlow Semi Condensed" w:cs="Barlow Semi Condensed" w:eastAsia="Barlow Semi Condensed" w:hAnsi="Barlow Semi Condensed"/>
          <w:sz w:val="24"/>
          <w:szCs w:val="24"/>
        </w:rPr>
        <w:t xml:space="preserve"> Presso il Grove City College, in Pennsylvania, sono depositate le carte di Ludwig von Mises. Chi voglia stabilire se una corrente successiva discenda davvero da lui deve cercare lì la corrispondenza con i discepoli americani e le loro annotazioni sui suoi testi. La citazione reverenziale nei pamphlet posteriori non prova nulla: chiunque può citare un morto, e i morti non rettificano.</w:t>
      </w:r>
    </w:p>
    <w:p>
      <w:pPr>
        <w:spacing w:after="120" w:line="276"/>
        <w:jc w:val="both"/>
      </w:pPr>
      <w:r>
        <w:rPr>
          <w:rFonts w:ascii="Barlow Semi Condensed" w:cs="Barlow Semi Condensed" w:eastAsia="Barlow Semi Condensed" w:hAnsi="Barlow Semi Condensed"/>
          <w:b/>
          <w:bCs/>
          <w:sz w:val="24"/>
          <w:szCs w:val="24"/>
        </w:rPr>
        <w:t xml:space="preserve">741 · Rothbard ad Auburn.</w:t>
      </w:r>
      <w:r>
        <w:rPr>
          <w:rFonts w:ascii="Barlow Semi Condensed" w:cs="Barlow Semi Condensed" w:eastAsia="Barlow Semi Condensed" w:hAnsi="Barlow Semi Condensed"/>
          <w:sz w:val="24"/>
          <w:szCs w:val="24"/>
        </w:rPr>
        <w:t xml:space="preserve"> Il fondo Rothbard è custodito ad Auburn, in Alabama, presso l'istituto che ne porta l'eredità. Interessa questa serie per una ragione precisa: Rothbard è il nodo in cui l'anarco-capitalismo si separa dal liberalismo di mercato e in cui, negli anni Novanta, si consuma la svolta detta paleolibertaria. Le due fasi vanno datate e non confuse dentro un ritratto unico e immobile.</w:t>
      </w:r>
    </w:p>
    <w:p>
      <w:pPr>
        <w:spacing w:after="120" w:line="276"/>
        <w:jc w:val="both"/>
      </w:pPr>
      <w:r>
        <w:rPr>
          <w:rFonts w:ascii="Barlow Semi Condensed" w:cs="Barlow Semi Condensed" w:eastAsia="Barlow Semi Condensed" w:hAnsi="Barlow Semi Condensed"/>
          <w:b/>
          <w:bCs/>
          <w:sz w:val="24"/>
          <w:szCs w:val="24"/>
        </w:rPr>
        <w:t xml:space="preserve">742 · Rand rifiutò l'etichetta per iscritto.</w:t>
      </w:r>
      <w:r>
        <w:rPr>
          <w:rFonts w:ascii="Barlow Semi Condensed" w:cs="Barlow Semi Condensed" w:eastAsia="Barlow Semi Condensed" w:hAnsi="Barlow Semi Condensed"/>
          <w:sz w:val="24"/>
          <w:szCs w:val="24"/>
        </w:rPr>
        <w:t xml:space="preserve"> Ayn Rand rifiutò pubblicamente e per iscritto il libertarismo e l'anarco-capitalismo, che giudicava incompatibili con la propria filosofia. È la smentita firmata di una filiazione data per certa da quasi tutti: l'interessata nega, in un testo suo, il legame che le si attribuisce. Chi accosta la sua opera al libertarismo deve prima misurarsi con quel rifiuto. Le sue carte sono presso l'istituto californiano che le conserva.</w:t>
      </w:r>
    </w:p>
    <w:p>
      <w:pPr>
        <w:spacing w:after="120" w:line="276"/>
        <w:jc w:val="both"/>
      </w:pPr>
      <w:r>
        <w:rPr>
          <w:rFonts w:ascii="Barlow Semi Condensed" w:cs="Barlow Semi Condensed" w:eastAsia="Barlow Semi Condensed" w:hAnsi="Barlow Semi Condensed"/>
          <w:b/>
          <w:bCs/>
          <w:sz w:val="24"/>
          <w:szCs w:val="24"/>
        </w:rPr>
        <w:t xml:space="preserve">743 · Nozick e la ritrattazione inesistente.</w:t>
      </w:r>
      <w:r>
        <w:rPr>
          <w:rFonts w:ascii="Barlow Semi Condensed" w:cs="Barlow Semi Condensed" w:eastAsia="Barlow Semi Condensed" w:hAnsi="Barlow Semi Condensed"/>
          <w:sz w:val="24"/>
          <w:szCs w:val="24"/>
        </w:rPr>
        <w:t xml:space="preserve"> Robert Nozick pubblicò «Anarchy, State, and Utopia» nel 1974 per Harvard University Press. Circola da decenni la notizia di una sua abiura del libertarismo, fondata su un passaggio di un libro del 1989. In un'intervista degli anni successivi egli precisò di non aver mai abbandonato quelle posizioni. La divergenza si riporta com'è: due testi suoi, letti male, generano una ritrattazione che non esiste.</w:t>
      </w:r>
    </w:p>
    <w:p>
      <w:pPr>
        <w:spacing w:after="120" w:line="276"/>
        <w:jc w:val="both"/>
      </w:pPr>
      <w:r>
        <w:rPr>
          <w:rFonts w:ascii="Barlow Semi Condensed" w:cs="Barlow Semi Condensed" w:eastAsia="Barlow Semi Condensed" w:hAnsi="Barlow Semi Condensed"/>
          <w:b/>
          <w:bCs/>
          <w:sz w:val="24"/>
          <w:szCs w:val="24"/>
        </w:rPr>
        <w:t xml:space="preserve">744 · David Friedman e il 1973.</w:t>
      </w:r>
      <w:r>
        <w:rPr>
          <w:rFonts w:ascii="Barlow Semi Condensed" w:cs="Barlow Semi Condensed" w:eastAsia="Barlow Semi Condensed" w:hAnsi="Barlow Semi Condensed"/>
          <w:sz w:val="24"/>
          <w:szCs w:val="24"/>
        </w:rPr>
        <w:t xml:space="preserve"> «The Machinery of Freedom», pubblicato nel 1973 da David Friedman, espone la variante di mercato dell'anarchia proprietaria. Interessa questa serie perché istituisce una discendenza familiare misurabile su tre generazioni, l'unica del campo in cui parentela e continuità dottrinale coincidano e siano entrambe documentate per iscritto. È il termine di paragone contro cui misurare le genealogie familiari asserite altrove e mai provate.</w:t>
      </w:r>
    </w:p>
    <w:p>
      <w:pPr>
        <w:spacing w:after="120" w:line="276"/>
        <w:jc w:val="both"/>
      </w:pPr>
      <w:r>
        <w:rPr>
          <w:rFonts w:ascii="Barlow Semi Condensed" w:cs="Barlow Semi Condensed" w:eastAsia="Barlow Semi Condensed" w:hAnsi="Barlow Semi Condensed"/>
          <w:b/>
          <w:bCs/>
          <w:sz w:val="24"/>
          <w:szCs w:val="24"/>
        </w:rPr>
        <w:t xml:space="preserve">745 · Il partito del dicembre 1971.</w:t>
      </w:r>
      <w:r>
        <w:rPr>
          <w:rFonts w:ascii="Barlow Semi Condensed" w:cs="Barlow Semi Condensed" w:eastAsia="Barlow Semi Condensed" w:hAnsi="Barlow Semi Condensed"/>
          <w:sz w:val="24"/>
          <w:szCs w:val="24"/>
        </w:rPr>
        <w:t xml:space="preserve"> Il Libertarian Party fu fondato nel dicembre 1971 in Colorado. La sua esistenza fornisce un registro: chi vi si iscrisse, chi vi si candidò, chi lo finanziò risulta da atti elettorali e da rendiconti depositati presso la Federal Election Commission, banca dati pubblica e interrogabile per nome. È il modo più rapido per verificare o smentire un'affiliazione politica asserita di chiunque negli Stati Uniti.</w:t>
      </w:r>
    </w:p>
    <w:p>
      <w:pPr>
        <w:spacing w:after="120" w:line="276"/>
        <w:jc w:val="both"/>
      </w:pPr>
      <w:r>
        <w:rPr>
          <w:rFonts w:ascii="Barlow Semi Condensed" w:cs="Barlow Semi Condensed" w:eastAsia="Barlow Semi Condensed" w:hAnsi="Barlow Semi Condensed"/>
          <w:b/>
          <w:bCs/>
          <w:sz w:val="24"/>
          <w:szCs w:val="24"/>
        </w:rPr>
        <w:t xml:space="preserve">746 · Cato e la rivista che ospitò.</w:t>
      </w:r>
      <w:r>
        <w:rPr>
          <w:rFonts w:ascii="Barlow Semi Condensed" w:cs="Barlow Semi Condensed" w:eastAsia="Barlow Semi Condensed" w:hAnsi="Barlow Semi Condensed"/>
          <w:sz w:val="24"/>
          <w:szCs w:val="24"/>
        </w:rPr>
        <w:t xml:space="preserve"> Il Cato Institute, attivo a Washington dalla fine degli anni Settanta, pubblica la rivista in rete che nell'aprile 2009 ospitò il saggio firmato di Peter Thiel. La sede editoriale conta: un testo pubblicato da un istituto dottrinale è un testo collocato, e la collocazione è essa stessa un dato. La pagina originale, con la sua data, è la fonte da citare; le riprese giornalistiche non lo sono.</w:t>
      </w:r>
    </w:p>
    <w:p>
      <w:pPr>
        <w:spacing w:after="120" w:line="276"/>
        <w:jc w:val="both"/>
      </w:pPr>
      <w:r>
        <w:rPr>
          <w:rFonts w:ascii="Barlow Semi Condensed" w:cs="Barlow Semi Condensed" w:eastAsia="Barlow Semi Condensed" w:hAnsi="Barlow Semi Condensed"/>
          <w:b/>
          <w:bCs/>
          <w:sz w:val="24"/>
          <w:szCs w:val="24"/>
        </w:rPr>
        <w:t xml:space="preserve">747 · Technocracy assente dalle bibliografie libertarie.</w:t>
      </w:r>
      <w:r>
        <w:rPr>
          <w:rFonts w:ascii="Barlow Semi Condensed" w:cs="Barlow Semi Condensed" w:eastAsia="Barlow Semi Condensed" w:hAnsi="Barlow Semi Condensed"/>
          <w:sz w:val="24"/>
          <w:szCs w:val="24"/>
        </w:rPr>
        <w:t xml:space="preserve"> Si prendano le bibliografie e gli indici dei nomi delle opere fondative del libertarismo americano e si cerchi Technocracy Incorporated, Howard Scott, il corso di studi del 1934. Se il movimento non vi compare, la tesi di un unico albero che unisca tecnocrazia e libertarismo perde il proprio tronco, e le due dottrine tornano a essere quel che sembrano: rami separati. È verifica a campione, e chiunque può ripeterla.</w:t>
      </w:r>
    </w:p>
    <w:p>
      <w:pPr>
        <w:spacing w:after="120" w:line="276"/>
        <w:jc w:val="both"/>
      </w:pPr>
      <w:r>
        <w:rPr>
          <w:rFonts w:ascii="Barlow Semi Condensed" w:cs="Barlow Semi Condensed" w:eastAsia="Barlow Semi Condensed" w:hAnsi="Barlow Semi Condensed"/>
          <w:b/>
          <w:bCs/>
          <w:sz w:val="24"/>
          <w:szCs w:val="24"/>
        </w:rPr>
        <w:t xml:space="preserve">748 · Due dottrine che si escludono.</w:t>
      </w:r>
      <w:r>
        <w:rPr>
          <w:rFonts w:ascii="Barlow Semi Condensed" w:cs="Barlow Semi Condensed" w:eastAsia="Barlow Semi Condensed" w:hAnsi="Barlow Semi Condensed"/>
          <w:sz w:val="24"/>
          <w:szCs w:val="24"/>
        </w:rPr>
        <w:t xml:space="preserve"> La tecnocrazia storica sottrae al mercato la decisione economica e la affida a un'autorità funzionale; il libertarismo sottrae all'autorità la decisione economica e la affida al mercato. Sono direzioni opposte sul medesimo asse. Chi le vuole in un solo albero deve produrre un autore che le tenga insieme dichiarandolo: finché non lo produce, la contraddizione di contenuto vale come smentita della genealogia.</w:t>
      </w:r>
    </w:p>
    <w:p>
      <w:pPr>
        <w:spacing w:after="120" w:line="276"/>
        <w:jc w:val="both"/>
      </w:pPr>
      <w:r>
        <w:rPr>
          <w:rFonts w:ascii="Barlow Semi Condensed" w:cs="Barlow Semi Condensed" w:eastAsia="Barlow Semi Condensed" w:hAnsi="Barlow Semi Condensed"/>
          <w:b/>
          <w:bCs/>
          <w:sz w:val="24"/>
          <w:szCs w:val="24"/>
        </w:rPr>
        <w:t xml:space="preserve">749 · Hirschman e l'uscita del 1970.</w:t>
      </w:r>
      <w:r>
        <w:rPr>
          <w:rFonts w:ascii="Barlow Semi Condensed" w:cs="Barlow Semi Condensed" w:eastAsia="Barlow Semi Condensed" w:hAnsi="Barlow Semi Condensed"/>
          <w:sz w:val="24"/>
          <w:szCs w:val="24"/>
        </w:rPr>
        <w:t xml:space="preserve"> «Exit, Voice, and Loyalty» di Albert Hirschman, uscito nel 1970 per Harvard University Press, definisce l'alternativa fra andarsene e protestare come meccanismo generale delle organizzazioni. È il candidato più serio al ruolo di antenato delle dottrine dell'uscita, e proprio per questo va trattato con severità: la sua paternità si prova come ogni altra, cercando il suo nome nei testi che si vogliono far discendere da lui.</w:t>
      </w:r>
    </w:p>
    <w:p>
      <w:pPr>
        <w:spacing w:after="120" w:line="276"/>
        <w:jc w:val="both"/>
      </w:pPr>
      <w:r>
        <w:rPr>
          <w:rFonts w:ascii="Barlow Semi Condensed" w:cs="Barlow Semi Condensed" w:eastAsia="Barlow Semi Condensed" w:hAnsi="Barlow Semi Condensed"/>
          <w:b/>
          <w:bCs/>
          <w:sz w:val="24"/>
          <w:szCs w:val="24"/>
        </w:rPr>
        <w:t xml:space="preserve">750 · Chi cita Hirschman e chi tace.</w:t>
      </w:r>
      <w:r>
        <w:rPr>
          <w:rFonts w:ascii="Barlow Semi Condensed" w:cs="Barlow Semi Condensed" w:eastAsia="Barlow Semi Condensed" w:hAnsi="Barlow Semi Condensed"/>
          <w:sz w:val="24"/>
          <w:szCs w:val="24"/>
        </w:rPr>
        <w:t xml:space="preserve"> Si aprano i testi firmati che predicano l'uscita — saggi, conferenze trascritte, libri autopubblicati — e si cerchi il nome di Hirschman. Dove compare, la filiazione è documentata al piano uno. Dove non compare, si è davanti a una convergenza: la stessa mossa concettuale riscoperta in un ambiente diverso, che è esattamente ciò che il metodo chiama analogia. Il risultato negativo è tanto pubblicabile quanto il positivo.</w:t>
      </w:r>
    </w:p>
    <w:p>
      <w:pPr>
        <w:spacing w:after="120" w:line="276"/>
        <w:jc w:val="both"/>
      </w:pPr>
      <w:r>
        <w:rPr>
          <w:rFonts w:ascii="Barlow Semi Condensed" w:cs="Barlow Semi Condensed" w:eastAsia="Barlow Semi Condensed" w:hAnsi="Barlow Semi Condensed"/>
          <w:b/>
          <w:bCs/>
          <w:sz w:val="24"/>
          <w:szCs w:val="24"/>
        </w:rPr>
        <w:t xml:space="preserve">751 · «The Sovereign Individual» e la prefazione.</w:t>
      </w:r>
      <w:r>
        <w:rPr>
          <w:rFonts w:ascii="Barlow Semi Condensed" w:cs="Barlow Semi Condensed" w:eastAsia="Barlow Semi Condensed" w:hAnsi="Barlow Semi Condensed"/>
          <w:sz w:val="24"/>
          <w:szCs w:val="24"/>
        </w:rPr>
        <w:t xml:space="preserve"> Il libro di James Dale Davidson e William Rees-Mogg, uscito nel 1997, annuncia la dissoluzione dello Stato nazionale davanti alla mobilità del capitale digitale. Per l'edizione ristampata nel 2020 Peter Thiel ne ha scritto la prefazione. Una prefazione firmata è adesione documentata a un testo: è il caso in cui il piano uno esiste davvero, e va usato come modello del genere di prova richiesto qui.</w:t>
      </w:r>
    </w:p>
    <w:p>
      <w:pPr>
        <w:spacing w:after="120" w:line="276"/>
        <w:jc w:val="both"/>
      </w:pPr>
      <w:r>
        <w:rPr>
          <w:rFonts w:ascii="Barlow Semi Condensed" w:cs="Barlow Semi Condensed" w:eastAsia="Barlow Semi Condensed" w:hAnsi="Barlow Semi Condensed"/>
          <w:b/>
          <w:bCs/>
          <w:sz w:val="24"/>
          <w:szCs w:val="24"/>
        </w:rPr>
        <w:t xml:space="preserve">752 · Il Seasteading Institute nel 2008.</w:t>
      </w:r>
      <w:r>
        <w:rPr>
          <w:rFonts w:ascii="Barlow Semi Condensed" w:cs="Barlow Semi Condensed" w:eastAsia="Barlow Semi Condensed" w:hAnsi="Barlow Semi Condensed"/>
          <w:sz w:val="24"/>
          <w:szCs w:val="24"/>
        </w:rPr>
        <w:t xml:space="preserve"> L'istituto per gli insediamenti marini fu costituito nel 2008 da Patri Friedman, con finanziamento dichiarato di Peter Thiel. È l'esempio di dottrina dell'uscita che diventa ente: ha uno statuto, un consiglio, un bilancio, una sede. Il quesito d'archivio è banale e risolutivo, e consiste nel leggere le dichiarazioni fiscali annuali, che negli Stati Uniti sono pubbliche per le organizzazioni esenti da imposta.</w:t>
      </w:r>
    </w:p>
    <w:p>
      <w:pPr>
        <w:spacing w:after="120" w:line="276"/>
        <w:jc w:val="both"/>
      </w:pPr>
      <w:r>
        <w:rPr>
          <w:rFonts w:ascii="Barlow Semi Condensed" w:cs="Barlow Semi Condensed" w:eastAsia="Barlow Semi Condensed" w:hAnsi="Barlow Semi Condensed"/>
          <w:b/>
          <w:bCs/>
          <w:sz w:val="24"/>
          <w:szCs w:val="24"/>
        </w:rPr>
        <w:t xml:space="preserve">753 · I moduli fiscali come prova.</w:t>
      </w:r>
      <w:r>
        <w:rPr>
          <w:rFonts w:ascii="Barlow Semi Condensed" w:cs="Barlow Semi Condensed" w:eastAsia="Barlow Semi Condensed" w:hAnsi="Barlow Semi Condensed"/>
          <w:sz w:val="24"/>
          <w:szCs w:val="24"/>
        </w:rPr>
        <w:t xml:space="preserve"> Per gli enti esenti statunitensi il modulo annuale depositato presso l'agenzia federale delle entrate riporta entrate, uscite, amministratori e, per le fondazioni private, l'elenco delle erogazioni con importo e beneficiario. È la fonte che trasforma un finanziamento riferito in un finanziamento documentato. Si consulta nella banca dati pubblica dell'agenzia e nei repertori che la replicano. Prima di scrivere «finanziò», si legge la riga.</w:t>
      </w:r>
    </w:p>
    <w:p>
      <w:pPr>
        <w:spacing w:after="120" w:line="276"/>
        <w:jc w:val="both"/>
      </w:pPr>
      <w:r>
        <w:rPr>
          <w:rFonts w:ascii="Barlow Semi Condensed" w:cs="Barlow Semi Condensed" w:eastAsia="Barlow Semi Condensed" w:hAnsi="Barlow Semi Condensed"/>
          <w:b/>
          <w:bCs/>
          <w:sz w:val="24"/>
          <w:szCs w:val="24"/>
        </w:rPr>
        <w:t xml:space="preserve">754 · La presa di distanza successiva.</w:t>
      </w:r>
      <w:r>
        <w:rPr>
          <w:rFonts w:ascii="Barlow Semi Condensed" w:cs="Barlow Semi Condensed" w:eastAsia="Barlow Semi Condensed" w:hAnsi="Barlow Semi Condensed"/>
          <w:sz w:val="24"/>
          <w:szCs w:val="24"/>
        </w:rPr>
        <w:t xml:space="preserve"> Il medesimo finanziatore ha successivamente dichiarato in pubblico che il progetto degli insediamenti marini non gli appariva realizzabile sul piano ingegneristico. La divergenza fra l'atto del 2008 e la dichiarazione posteriore va riportata intera, con entrambe le date. È il caso tipico in cui la citazione di una sola delle due voci costruisce un ritratto falso pur senza inventare nulla: si omette, e basta.</w:t>
      </w:r>
    </w:p>
    <w:p>
      <w:pPr>
        <w:spacing w:after="120" w:line="276"/>
        <w:jc w:val="both"/>
      </w:pPr>
      <w:r>
        <w:rPr>
          <w:rFonts w:ascii="Barlow Semi Condensed" w:cs="Barlow Semi Condensed" w:eastAsia="Barlow Semi Condensed" w:hAnsi="Barlow Semi Condensed"/>
          <w:b/>
          <w:bCs/>
          <w:sz w:val="24"/>
          <w:szCs w:val="24"/>
        </w:rPr>
        <w:t xml:space="preserve">755 · Patri Friedman: parentela e dottrina.</w:t>
      </w:r>
      <w:r>
        <w:rPr>
          <w:rFonts w:ascii="Barlow Semi Condensed" w:cs="Barlow Semi Condensed" w:eastAsia="Barlow Semi Condensed" w:hAnsi="Barlow Semi Condensed"/>
          <w:sz w:val="24"/>
          <w:szCs w:val="24"/>
        </w:rPr>
        <w:t xml:space="preserve"> Qui parentela e dottrina coincidono e sono entrambe accertabili: figlio di David Friedman, nipote di Milton Friedman, autore di scritti propri sull'uscita. Ma la coincidenza va comunque provata pezzo per pezzo, perché è precisamente il caso che invita a saltare i passaggi. Il modo corretto è cercare nei suoi testi le citazioni dei due ascendenti e registrare in quale funzione compaiano.</w:t>
      </w:r>
    </w:p>
    <w:p>
      <w:pPr>
        <w:spacing w:after="120" w:line="276"/>
        <w:jc w:val="both"/>
      </w:pPr>
      <w:r>
        <w:rPr>
          <w:rFonts w:ascii="Barlow Semi Condensed" w:cs="Barlow Semi Condensed" w:eastAsia="Barlow Semi Condensed" w:hAnsi="Barlow Semi Condensed"/>
          <w:b/>
          <w:bCs/>
          <w:sz w:val="24"/>
          <w:szCs w:val="24"/>
        </w:rPr>
        <w:t xml:space="preserve">756 · Pronomos e le zone honduregne.</w:t>
      </w:r>
      <w:r>
        <w:rPr>
          <w:rFonts w:ascii="Barlow Semi Condensed" w:cs="Barlow Semi Condensed" w:eastAsia="Barlow Semi Condensed" w:hAnsi="Barlow Semi Condensed"/>
          <w:sz w:val="24"/>
          <w:szCs w:val="24"/>
        </w:rPr>
        <w:t xml:space="preserve"> Un fondo di investimento costituito nel 2019 dallo stesso autore ha finanziato progetti di città a statuto speciale, fra cui uno insediato su un'isola honduregna. La vicenda è il banco di prova della dottrina dell'uscita: quando lo Stato ospite revoca la legge che quelle zone istituiva, la dottrina incontra la sovranità. Gli atti legislativi honduregni sono pubblicati nella gazzetta ufficiale del Paese.</w:t>
      </w:r>
    </w:p>
    <w:p>
      <w:pPr>
        <w:spacing w:after="120" w:line="276"/>
        <w:jc w:val="both"/>
      </w:pPr>
      <w:r>
        <w:rPr>
          <w:rFonts w:ascii="Barlow Semi Condensed" w:cs="Barlow Semi Condensed" w:eastAsia="Barlow Semi Condensed" w:hAnsi="Barlow Semi Condensed"/>
          <w:b/>
          <w:bCs/>
          <w:sz w:val="24"/>
          <w:szCs w:val="24"/>
        </w:rPr>
        <w:t xml:space="preserve">757 · Il registro arbitrale della Banca Mondiale.</w:t>
      </w:r>
      <w:r>
        <w:rPr>
          <w:rFonts w:ascii="Barlow Semi Condensed" w:cs="Barlow Semi Condensed" w:eastAsia="Barlow Semi Condensed" w:hAnsi="Barlow Semi Condensed"/>
          <w:sz w:val="24"/>
          <w:szCs w:val="24"/>
        </w:rPr>
        <w:t xml:space="preserve"> La controversia fra gli investitori di quella zona e la Repubblica dell'Honduras è stata portata davanti al centro internazionale per la composizione delle controversie in materia di investimenti, presso la Banca Mondiale, a Washington. Il registro dei casi è pubblico, con parti, data di registrazione e atti processuali. È una sede d'archivio: il numero di causa si copia dal registro, non dalla stampa.</w:t>
      </w:r>
    </w:p>
    <w:p>
      <w:pPr>
        <w:spacing w:after="120" w:line="276"/>
        <w:jc w:val="both"/>
      </w:pPr>
      <w:r>
        <w:rPr>
          <w:rFonts w:ascii="Barlow Semi Condensed" w:cs="Barlow Semi Condensed" w:eastAsia="Barlow Semi Condensed" w:hAnsi="Barlow Semi Condensed"/>
          <w:b/>
          <w:bCs/>
          <w:sz w:val="24"/>
          <w:szCs w:val="24"/>
        </w:rPr>
        <w:t xml:space="preserve">758 · Il Form D non nomina i soci.</w:t>
      </w:r>
      <w:r>
        <w:rPr>
          <w:rFonts w:ascii="Barlow Semi Condensed" w:cs="Barlow Semi Condensed" w:eastAsia="Barlow Semi Condensed" w:hAnsi="Barlow Semi Condensed"/>
          <w:sz w:val="24"/>
          <w:szCs w:val="24"/>
        </w:rPr>
        <w:t xml:space="preserve"> Limite di metodo da mettere per iscritto una volta per tutte. Il modulo che i fondi statunitensi depositano presso la commissione di vigilanza sui mercati per le collocazioni private indica l'emittente e i suoi dirigenti, non i sottoscrittori. La domanda «chi ha messo i soldi in quel fondo» non si chiude su quella banca dati. È uno stato zero strutturale, non una pigrizia dell'indagine.</w:t>
      </w:r>
    </w:p>
    <w:p>
      <w:pPr>
        <w:spacing w:after="120" w:line="276"/>
        <w:jc w:val="both"/>
      </w:pPr>
      <w:r>
        <w:rPr>
          <w:rFonts w:ascii="Barlow Semi Condensed" w:cs="Barlow Semi Condensed" w:eastAsia="Barlow Semi Condensed" w:hAnsi="Barlow Semi Condensed"/>
          <w:b/>
          <w:bCs/>
          <w:sz w:val="24"/>
          <w:szCs w:val="24"/>
        </w:rPr>
        <w:t xml:space="preserve">759 · Srinivasan e l'uscita del 2013.</w:t>
      </w:r>
      <w:r>
        <w:rPr>
          <w:rFonts w:ascii="Barlow Semi Condensed" w:cs="Barlow Semi Condensed" w:eastAsia="Barlow Semi Condensed" w:hAnsi="Barlow Semi Condensed"/>
          <w:sz w:val="24"/>
          <w:szCs w:val="24"/>
        </w:rPr>
        <w:t xml:space="preserve"> Nell'ottobre 2013 Balaji Srinivasan tenne una conferenza pubblica, registrata e trascritta, che formulava l'uscita come strategia dell'industria tecnologica verso l'ordinamento statunitense. Nel 2022 ha pubblicato in proprio un libro che ne sviluppa la tesi. Sono testi suoi, datati e reperibili: si citano quelli, con la data, e non le sintesi altrui. L'autopubblicazione non toglie citabilità; toglie il filtro editoriale, e va detto.</w:t>
      </w:r>
    </w:p>
    <w:p>
      <w:pPr>
        <w:spacing w:after="120" w:line="276"/>
        <w:jc w:val="both"/>
      </w:pPr>
      <w:r>
        <w:rPr>
          <w:rFonts w:ascii="Barlow Semi Condensed" w:cs="Barlow Semi Condensed" w:eastAsia="Barlow Semi Condensed" w:hAnsi="Barlow Semi Condensed"/>
          <w:b/>
          <w:bCs/>
          <w:sz w:val="24"/>
          <w:szCs w:val="24"/>
        </w:rPr>
        <w:t xml:space="preserve">760 · Yarvin e la firma pseudonima.</w:t>
      </w:r>
      <w:r>
        <w:rPr>
          <w:rFonts w:ascii="Barlow Semi Condensed" w:cs="Barlow Semi Condensed" w:eastAsia="Barlow Semi Condensed" w:hAnsi="Barlow Semi Condensed"/>
          <w:sz w:val="24"/>
          <w:szCs w:val="24"/>
        </w:rPr>
        <w:t xml:space="preserve"> Gli scritti pubblicati fra il 2007 e il 2014 sotto pseudonimo da Curtis Yarvin, e da lui riconosciuti pubblicamente come propri, sono fonte diretta per la corrente detta neoreazionaria. Lo pseudonimo non toglie la firma, ma sposta l'onere: prima di citare occorre stabilire il riconoscimento e la data. Le versioni originali del blog sono l'unica base ammissibile; le antologie successive vanno collazionate con quelle.</w:t>
      </w:r>
    </w:p>
    <w:p>
      <w:pPr>
        <w:spacing w:after="120" w:line="276"/>
        <w:jc w:val="both"/>
      </w:pPr>
      <w:r>
        <w:rPr>
          <w:rFonts w:ascii="Barlow Semi Condensed" w:cs="Barlow Semi Condensed" w:eastAsia="Barlow Semi Condensed" w:hAnsi="Barlow Semi Condensed"/>
          <w:b/>
          <w:bCs/>
          <w:sz w:val="24"/>
          <w:szCs w:val="24"/>
        </w:rPr>
        <w:t xml:space="preserve">761 · Investire non è sottoscrivere.</w:t>
      </w:r>
      <w:r>
        <w:rPr>
          <w:rFonts w:ascii="Barlow Semi Condensed" w:cs="Barlow Semi Condensed" w:eastAsia="Barlow Semi Condensed" w:hAnsi="Barlow Semi Condensed"/>
          <w:sz w:val="24"/>
          <w:szCs w:val="24"/>
        </w:rPr>
        <w:t xml:space="preserve"> Un investimento in una società fondata da un autore non è adesione alla dottrina di quell'autore: è un atto societario, depositato e verificabile, che dice ciò che dice e nulla di più. Chi trasforma una partecipazione in un'adesione compie un salto che nessun documento autorizza. È bersaglio di smentita permanente, e il salto va nominato ogni volta che qualcuno lo compie, anche in buona fede.</w:t>
      </w:r>
    </w:p>
    <w:p>
      <w:pPr>
        <w:spacing w:after="120" w:line="276"/>
        <w:jc w:val="both"/>
      </w:pPr>
      <w:r>
        <w:rPr>
          <w:rFonts w:ascii="Barlow Semi Condensed" w:cs="Barlow Semi Condensed" w:eastAsia="Barlow Semi Condensed" w:hAnsi="Barlow Semi Condensed"/>
          <w:b/>
          <w:bCs/>
          <w:sz w:val="24"/>
          <w:szCs w:val="24"/>
        </w:rPr>
        <w:t xml:space="preserve">762 · Nick Land e il testo del 2012.</w:t>
      </w:r>
      <w:r>
        <w:rPr>
          <w:rFonts w:ascii="Barlow Semi Condensed" w:cs="Barlow Semi Condensed" w:eastAsia="Barlow Semi Condensed" w:hAnsi="Barlow Semi Condensed"/>
          <w:sz w:val="24"/>
          <w:szCs w:val="24"/>
        </w:rPr>
        <w:t xml:space="preserve"> La formulazione che nel 2012 ha dato un nome all'illuminismo oscuro è un testo firmato da Nick Land, disponibile nella versione originale in rete e datato. Esiste come dottrina scritta, e come tale si cita. Che qualcuno l'abbia letta, finanziata o condivisa è un'altra questione, che richiede prove proprie e distinte, e che non si risolve elencando chi frequenta chi.</w:t>
      </w:r>
    </w:p>
    <w:p>
      <w:pPr>
        <w:spacing w:after="120" w:line="276"/>
        <w:jc w:val="both"/>
      </w:pPr>
      <w:r>
        <w:rPr>
          <w:rFonts w:ascii="Barlow Semi Condensed" w:cs="Barlow Semi Condensed" w:eastAsia="Barlow Semi Condensed" w:hAnsi="Barlow Semi Condensed"/>
          <w:b/>
          <w:bCs/>
          <w:sz w:val="24"/>
          <w:szCs w:val="24"/>
        </w:rPr>
        <w:t xml:space="preserve">763 · Il saggio del 13 aprile 2009.</w:t>
      </w:r>
      <w:r>
        <w:rPr>
          <w:rFonts w:ascii="Barlow Semi Condensed" w:cs="Barlow Semi Condensed" w:eastAsia="Barlow Semi Condensed" w:hAnsi="Barlow Semi Condensed"/>
          <w:sz w:val="24"/>
          <w:szCs w:val="24"/>
        </w:rPr>
        <w:t xml:space="preserve"> Il testo firmato da Peter Thiel e pubblicato il 13 aprile 2009 nella rivista in rete del Cato Institute è la fonte diretta e citabile per le sue posizioni di quell'anno, comprese quelle sulla compatibilità fra libertà e democrazia. Va citato dalla pagina originale, con la data, e per esteso: è il testo più abbreviato e più deformato dell'intera materia.</w:t>
      </w:r>
    </w:p>
    <w:p>
      <w:pPr>
        <w:spacing w:after="120" w:line="276"/>
        <w:jc w:val="both"/>
      </w:pPr>
      <w:r>
        <w:rPr>
          <w:rFonts w:ascii="Barlow Semi Condensed" w:cs="Barlow Semi Condensed" w:eastAsia="Barlow Semi Condensed" w:hAnsi="Barlow Semi Condensed"/>
          <w:b/>
          <w:bCs/>
          <w:sz w:val="24"/>
          <w:szCs w:val="24"/>
        </w:rPr>
        <w:t xml:space="preserve">764 · La postilla dello stesso autore.</w:t>
      </w:r>
      <w:r>
        <w:rPr>
          <w:rFonts w:ascii="Barlow Semi Condensed" w:cs="Barlow Semi Condensed" w:eastAsia="Barlow Semi Condensed" w:hAnsi="Barlow Semi Condensed"/>
          <w:sz w:val="24"/>
          <w:szCs w:val="24"/>
        </w:rPr>
        <w:t xml:space="preserve"> Allo stesso saggio l'autore aggiunse una precisazione pubblica, che ne circoscriveva alcune formulazioni. Chi cita il testo senza la precisazione cita metà documento. La regola è quella di aldo-moro-una-guerra-senza-fine-apparato-dei-gradi.md: si riporta l'asserzione, si riporta la sua rettifica, entrambe con la data, e si lascia al lettore il compito che gli spetta. Le divergenze non si sciolgono in silenzio.</w:t>
      </w:r>
    </w:p>
    <w:p>
      <w:pPr>
        <w:spacing w:after="120" w:line="276"/>
        <w:jc w:val="both"/>
      </w:pPr>
      <w:r>
        <w:rPr>
          <w:rFonts w:ascii="Barlow Semi Condensed" w:cs="Barlow Semi Condensed" w:eastAsia="Barlow Semi Condensed" w:hAnsi="Barlow Semi Condensed"/>
          <w:b/>
          <w:bCs/>
          <w:sz w:val="24"/>
          <w:szCs w:val="24"/>
        </w:rPr>
        <w:t xml:space="preserve">765 · Citare Strauss non è essere straussiani.</w:t>
      </w:r>
      <w:r>
        <w:rPr>
          <w:rFonts w:ascii="Barlow Semi Condensed" w:cs="Barlow Semi Condensed" w:eastAsia="Barlow Semi Condensed" w:hAnsi="Barlow Semi Condensed"/>
          <w:sz w:val="24"/>
          <w:szCs w:val="24"/>
        </w:rPr>
        <w:t xml:space="preserve"> Il saggio del 2007 dello stesso autore discute Leo Strauss, Carl Schmitt e René Girard. Discutere non è aderire, e nominare non è sottoscrivere: un testo che argomenta contro un autore lo cita quanto uno che lo segue. Prima di attribuire una scuola occorre stabilire in quale funzione l'autore compaia. È l'accertamento chiesto al terzo blocco, applicato al caso più insidioso della serie.</w:t>
      </w:r>
    </w:p>
    <w:p>
      <w:pPr>
        <w:spacing w:after="120" w:line="276"/>
        <w:jc w:val="both"/>
      </w:pPr>
      <w:r>
        <w:rPr>
          <w:rFonts w:ascii="Barlow Semi Condensed" w:cs="Barlow Semi Condensed" w:eastAsia="Barlow Semi Condensed" w:hAnsi="Barlow Semi Condensed"/>
          <w:b/>
          <w:bCs/>
          <w:sz w:val="24"/>
          <w:szCs w:val="24"/>
        </w:rPr>
        <w:t xml:space="preserve">766 · Girard, la filiazione dichiarata.</w:t>
      </w:r>
      <w:r>
        <w:rPr>
          <w:rFonts w:ascii="Barlow Semi Condensed" w:cs="Barlow Semi Condensed" w:eastAsia="Barlow Semi Condensed" w:hAnsi="Barlow Semi Condensed"/>
          <w:sz w:val="24"/>
          <w:szCs w:val="24"/>
        </w:rPr>
        <w:t xml:space="preserve"> Qui, e quasi soltanto qui, la filiazione dottrinale esiste al piano uno. Peter Thiel ha ripetutamente e pubblicamente riconosciuto il debito verso René Girard, di cui seguì l'insegnamento a Stanford, e lo ha messo per iscritto. È il modello di che cosa significhi provare una discendenza di idee: il soggetto nomina l'antenato, la data si stabilisce. Tutto il resto della serie si misura su questo caso.</w:t>
      </w:r>
    </w:p>
    <w:p>
      <w:pPr>
        <w:spacing w:after="120" w:line="276"/>
        <w:jc w:val="both"/>
      </w:pPr>
      <w:r>
        <w:rPr>
          <w:rFonts w:ascii="Barlow Semi Condensed" w:cs="Barlow Semi Condensed" w:eastAsia="Barlow Semi Condensed" w:hAnsi="Barlow Semi Condensed"/>
          <w:b/>
          <w:bCs/>
          <w:sz w:val="24"/>
          <w:szCs w:val="24"/>
        </w:rPr>
        <w:t xml:space="preserve">767 · La fondazione che rende atto la dottrina.</w:t>
      </w:r>
      <w:r>
        <w:rPr>
          <w:rFonts w:ascii="Barlow Semi Condensed" w:cs="Barlow Semi Condensed" w:eastAsia="Barlow Semi Condensed" w:hAnsi="Barlow Semi Condensed"/>
          <w:sz w:val="24"/>
          <w:szCs w:val="24"/>
        </w:rPr>
        <w:t xml:space="preserve"> Al riconoscimento dichiarato corrisponde un atto verificabile: il sostegno, attraverso la propria fondazione, a un ente dedicato alla diffusione del pensiero girardiano. L'erogazione, se esiste nella misura riferita, compare nelle dichiarazioni fiscali annuali della fondazione erogante, con importo e beneficiario. È il caso in cui dichiarazione e atto si confermano a vicenda, ed è raro abbastanza da meritare la segnalazione.</w:t>
      </w:r>
    </w:p>
    <w:p>
      <w:pPr>
        <w:spacing w:after="120" w:line="276"/>
        <w:jc w:val="both"/>
      </w:pPr>
      <w:r>
        <w:rPr>
          <w:rFonts w:ascii="Barlow Semi Condensed" w:cs="Barlow Semi Condensed" w:eastAsia="Barlow Semi Condensed" w:hAnsi="Barlow Semi Condensed"/>
          <w:b/>
          <w:bCs/>
          <w:sz w:val="24"/>
          <w:szCs w:val="24"/>
        </w:rPr>
        <w:t xml:space="preserve">768 · La dottrina firmata del monopolio.</w:t>
      </w:r>
      <w:r>
        <w:rPr>
          <w:rFonts w:ascii="Barlow Semi Condensed" w:cs="Barlow Semi Condensed" w:eastAsia="Barlow Semi Condensed" w:hAnsi="Barlow Semi Condensed"/>
          <w:sz w:val="24"/>
          <w:szCs w:val="24"/>
        </w:rPr>
        <w:t xml:space="preserve"> Nel settembre 2014 lo stesso autore pubblicò su un quotidiano finanziario americano un saggio che sostiene la superiorità del monopolio sulla concorrenza, tesi poi ripresa nel libro uscito nello stesso anno. È dottrina economica firmata, datata e reperibile. Va usata come fonte diretta e va usata per intero: comprende una difesa esplicita della posizione dominante come condizione dell'innovazione, e non solo come suo effetto.</w:t>
      </w:r>
    </w:p>
    <w:p>
      <w:pPr>
        <w:spacing w:after="120" w:line="276"/>
        <w:jc w:val="both"/>
      </w:pPr>
      <w:r>
        <w:rPr>
          <w:rFonts w:ascii="Barlow Semi Condensed" w:cs="Barlow Semi Condensed" w:eastAsia="Barlow Semi Condensed" w:hAnsi="Barlow Semi Condensed"/>
          <w:b/>
          <w:bCs/>
          <w:sz w:val="24"/>
          <w:szCs w:val="24"/>
        </w:rPr>
        <w:t xml:space="preserve">769 · Il conflitto con la concorrenza classica.</w:t>
      </w:r>
      <w:r>
        <w:rPr>
          <w:rFonts w:ascii="Barlow Semi Condensed" w:cs="Barlow Semi Condensed" w:eastAsia="Barlow Semi Condensed" w:hAnsi="Barlow Semi Condensed"/>
          <w:sz w:val="24"/>
          <w:szCs w:val="24"/>
        </w:rPr>
        <w:t xml:space="preserve"> La tradizione liberale di mercato, austriaca e di Chicago, fa della concorrenza il meccanismo che alloca e disciplina; la tesi del 2014 la descrive come distruttiva di valore. Chi definisce quell'autore «libertario» senza qualificare la corrente ignora una divergenza che l'autore stesso ha messo per iscritto. La qualificazione è obbligatoria, e l'etichetta generica va considerata, in sede storiografica, un errore.</w:t>
      </w:r>
    </w:p>
    <w:p>
      <w:pPr>
        <w:spacing w:after="120" w:line="276"/>
        <w:jc w:val="both"/>
      </w:pPr>
      <w:r>
        <w:rPr>
          <w:rFonts w:ascii="Barlow Semi Condensed" w:cs="Barlow Semi Condensed" w:eastAsia="Barlow Semi Condensed" w:hAnsi="Barlow Semi Condensed"/>
          <w:b/>
          <w:bCs/>
          <w:sz w:val="24"/>
          <w:szCs w:val="24"/>
        </w:rPr>
        <w:t xml:space="preserve">770 · Il libro del 1995 e il dopo.</w:t>
      </w:r>
      <w:r>
        <w:rPr>
          <w:rFonts w:ascii="Barlow Semi Condensed" w:cs="Barlow Semi Condensed" w:eastAsia="Barlow Semi Condensed" w:hAnsi="Barlow Semi Condensed"/>
          <w:sz w:val="24"/>
          <w:szCs w:val="24"/>
        </w:rPr>
        <w:t xml:space="preserve"> Il volume pubblicato nel 1995 da Peter Thiel e David Sacks sull'università di Stanford è un testo firmato e reperibile in biblioteca. Nel 2016 uno dei due autori ha reso una dichiarazione pubblica su alcuni passaggi. Testo e dichiarazione successiva vanno letti insieme, con le rispettive date, e nessuno dei due serve a cancellare l'altro. È la disciplina della divergenza applicata a persone viventi.</w:t>
      </w:r>
    </w:p>
    <w:p>
      <w:pPr>
        <w:spacing w:after="120" w:line="276"/>
        <w:jc w:val="both"/>
      </w:pPr>
      <w:r>
        <w:rPr>
          <w:rFonts w:ascii="Barlow Semi Condensed" w:cs="Barlow Semi Condensed" w:eastAsia="Barlow Semi Condensed" w:hAnsi="Barlow Semi Condensed"/>
          <w:b/>
          <w:bCs/>
          <w:sz w:val="24"/>
          <w:szCs w:val="24"/>
        </w:rPr>
        <w:t xml:space="preserve">771 · La rivista universitaria del 1987.</w:t>
      </w:r>
      <w:r>
        <w:rPr>
          <w:rFonts w:ascii="Barlow Semi Condensed" w:cs="Barlow Semi Condensed" w:eastAsia="Barlow Semi Condensed" w:hAnsi="Barlow Semi Condensed"/>
          <w:sz w:val="24"/>
          <w:szCs w:val="24"/>
        </w:rPr>
        <w:t xml:space="preserve"> La rivista studentesca fondata a Stanford nel 1987, di cui Thiel fu tra i promotori, è fonte primaria per le sue posizioni di allora. Le annate si consultano negli archivi d'ateneo, presso le Special Collections and University Archives delle Stanford University Libraries. Citare un articolo di quegli anni richiede numero, data e pagina, come per qualsiasi altro periodico: le citazioni di seconda mano vanno rifiutate.</w:t>
      </w:r>
    </w:p>
    <w:p>
      <w:pPr>
        <w:spacing w:after="120" w:line="276"/>
        <w:jc w:val="both"/>
      </w:pPr>
      <w:r>
        <w:rPr>
          <w:rFonts w:ascii="Barlow Semi Condensed" w:cs="Barlow Semi Condensed" w:eastAsia="Barlow Semi Condensed" w:hAnsi="Barlow Semi Condensed"/>
          <w:b/>
          <w:bCs/>
          <w:sz w:val="24"/>
          <w:szCs w:val="24"/>
        </w:rPr>
        <w:t xml:space="preserve">772 · Il manifesto del fondo, 2011.</w:t>
      </w:r>
      <w:r>
        <w:rPr>
          <w:rFonts w:ascii="Barlow Semi Condensed" w:cs="Barlow Semi Condensed" w:eastAsia="Barlow Semi Condensed" w:hAnsi="Barlow Semi Condensed"/>
          <w:sz w:val="24"/>
          <w:szCs w:val="24"/>
        </w:rPr>
        <w:t xml:space="preserve"> Un testo programmatico sul mancato avveramento del futuro promesso fu pubblicato nel 2011 dal fondo di investimento cofondato da Thiel, sul sito della società. È documento firmato da un ente, non da una persona: impegna la società e non necessariamente ciascun socio. La distinzione va tenuta, perché è la stessa che separa l'atto societario dall'opinione individuale, e vale in entrambe le direzioni.</w:t>
      </w:r>
    </w:p>
    <w:p>
      <w:pPr>
        <w:spacing w:after="120" w:line="276"/>
        <w:jc w:val="both"/>
      </w:pPr>
      <w:r>
        <w:rPr>
          <w:rFonts w:ascii="Barlow Semi Condensed" w:cs="Barlow Semi Condensed" w:eastAsia="Barlow Semi Condensed" w:hAnsi="Barlow Semi Condensed"/>
          <w:b/>
          <w:bCs/>
          <w:sz w:val="24"/>
          <w:szCs w:val="24"/>
        </w:rPr>
        <w:t xml:space="preserve">773 · I Master Plan sono industriali.</w:t>
      </w:r>
      <w:r>
        <w:rPr>
          <w:rFonts w:ascii="Barlow Semi Condensed" w:cs="Barlow Semi Condensed" w:eastAsia="Barlow Semi Condensed" w:hAnsi="Barlow Semi Condensed"/>
          <w:sz w:val="24"/>
          <w:szCs w:val="24"/>
        </w:rPr>
        <w:t xml:space="preserve"> I testi programmatici pubblicati da Elon Musk sul sito della sua casa automobilistica, dal 2006 in poi, sono i suoi documenti firmati più vicini a una dottrina. Il contenuto è industriale ed energetico: sequenza dei prodotti, scala produttiva, uscita dai combustibili fossili. Non contengono una dottrina politica. Chi produca un testo politico firmato dello stesso autore smentisce questo accertamento, che è quanto un accertamento deve consentire.</w:t>
      </w:r>
    </w:p>
    <w:p>
      <w:pPr>
        <w:spacing w:after="120" w:line="276"/>
        <w:jc w:val="both"/>
      </w:pPr>
      <w:r>
        <w:rPr>
          <w:rFonts w:ascii="Barlow Semi Condensed" w:cs="Barlow Semi Condensed" w:eastAsia="Barlow Semi Condensed" w:hAnsi="Barlow Semi Condensed"/>
          <w:b/>
          <w:bCs/>
          <w:sz w:val="24"/>
          <w:szCs w:val="24"/>
        </w:rPr>
        <w:t xml:space="preserve">774 · La clausola marziana dei termini d'uso.</w:t>
      </w:r>
      <w:r>
        <w:rPr>
          <w:rFonts w:ascii="Barlow Semi Condensed" w:cs="Barlow Semi Condensed" w:eastAsia="Barlow Semi Condensed" w:hAnsi="Barlow Semi Condensed"/>
          <w:sz w:val="24"/>
          <w:szCs w:val="24"/>
        </w:rPr>
        <w:t xml:space="preserve"> I termini di servizio di un operatore satellitare del medesimo gruppo contengono una clausola sulle attività marziane che dichiara Marte pianeta libero e nega autorità ai governi terrestri. È testo societario, pubblicato e datato, dunque fonte diretta e citabile. Che valore giuridico abbia è questione aperta; che esista come dichiarazione scritta di sovranità privata non lo è, e va registrato come documento.</w:t>
      </w:r>
    </w:p>
    <w:p>
      <w:pPr>
        <w:spacing w:after="120" w:line="276"/>
        <w:jc w:val="both"/>
      </w:pPr>
      <w:r>
        <w:rPr>
          <w:rFonts w:ascii="Barlow Semi Condensed" w:cs="Barlow Semi Condensed" w:eastAsia="Barlow Semi Condensed" w:hAnsi="Barlow Semi Condensed"/>
          <w:b/>
          <w:bCs/>
          <w:sz w:val="24"/>
          <w:szCs w:val="24"/>
        </w:rPr>
        <w:t xml:space="preserve">775 · Il post non è un testo dottrinale.</w:t>
      </w:r>
      <w:r>
        <w:rPr>
          <w:rFonts w:ascii="Barlow Semi Condensed" w:cs="Barlow Semi Condensed" w:eastAsia="Barlow Semi Condensed" w:hAnsi="Barlow Semi Condensed"/>
          <w:sz w:val="24"/>
          <w:szCs w:val="24"/>
        </w:rPr>
        <w:t xml:space="preserve"> Un messaggio su una piattaforma sociale è dichiarazione pubblica e come tale può essere citato, ma non ha lo statuto di un testo dottrinale: gli mancano argomentazione, contesto e stabilità. Quando la piattaforma appartiene a chi vi scrive, si aggiunge il problema della custodia. Prima di citare occorre una cattura archiviata, con data e indirizzo, indipendente dal proprietario della piattaforma.</w:t>
      </w:r>
    </w:p>
    <w:p>
      <w:pPr>
        <w:spacing w:after="120" w:line="276"/>
        <w:jc w:val="both"/>
      </w:pPr>
      <w:r>
        <w:rPr>
          <w:rFonts w:ascii="Barlow Semi Condensed" w:cs="Barlow Semi Condensed" w:eastAsia="Barlow Semi Condensed" w:hAnsi="Barlow Semi Condensed"/>
          <w:b/>
          <w:bCs/>
          <w:sz w:val="24"/>
          <w:szCs w:val="24"/>
        </w:rPr>
        <w:t xml:space="preserve">776 · La cattura archivistica dei post.</w:t>
      </w:r>
      <w:r>
        <w:rPr>
          <w:rFonts w:ascii="Barlow Semi Condensed" w:cs="Barlow Semi Condensed" w:eastAsia="Barlow Semi Condensed" w:hAnsi="Barlow Semi Condensed"/>
          <w:sz w:val="24"/>
          <w:szCs w:val="24"/>
        </w:rPr>
        <w:t xml:space="preserve"> L'archiviazione integrale dei messaggi di quella piattaforma da parte della biblioteca del Congresso degli Stati Uniti fu interrotta alla fine del 2017, con annuncio pubblico. Da allora non esiste un deposito istituzionale completo. Chi lavora su dichiarazioni successive dipende da archivi in rete volontari e da catture proprie. È una lacuna d'archivio strutturale del presente, e va dichiarata a ogni citazione.</w:t>
      </w:r>
    </w:p>
    <w:p>
      <w:pPr>
        <w:spacing w:after="120" w:line="276"/>
        <w:jc w:val="both"/>
      </w:pPr>
      <w:r>
        <w:rPr>
          <w:rFonts w:ascii="Barlow Semi Condensed" w:cs="Barlow Semi Condensed" w:eastAsia="Barlow Semi Condensed" w:hAnsi="Barlow Semi Condensed"/>
          <w:b/>
          <w:bCs/>
          <w:sz w:val="24"/>
          <w:szCs w:val="24"/>
        </w:rPr>
        <w:t xml:space="preserve">777 · Le dottrine di Pretoria hanno testi.</w:t>
      </w:r>
      <w:r>
        <w:rPr>
          <w:rFonts w:ascii="Barlow Semi Condensed" w:cs="Barlow Semi Condensed" w:eastAsia="Barlow Semi Condensed" w:hAnsi="Barlow Semi Condensed"/>
          <w:sz w:val="24"/>
          <w:szCs w:val="24"/>
        </w:rPr>
        <w:t xml:space="preserve"> L'apartheid non fu un clima ma un ordinamento con testi: leggi, libri bianchi, relazioni di commissione, sentenze. La dottrina detta della strategia totale fu formulata sotto P.W. Botha e ha un documento fondativo nel libro bianco della difesa del 1977. Non appartiene a Pik Botha, che era altro uomo, altra famiglia, altro ministero. La confusione fra i due Botha è l'errore più diffuso su questa materia.</w:t>
      </w:r>
    </w:p>
    <w:p>
      <w:pPr>
        <w:spacing w:after="120" w:line="276"/>
        <w:jc w:val="both"/>
      </w:pPr>
      <w:r>
        <w:rPr>
          <w:rFonts w:ascii="Barlow Semi Condensed" w:cs="Barlow Semi Condensed" w:eastAsia="Barlow Semi Condensed" w:hAnsi="Barlow Semi Condensed"/>
          <w:b/>
          <w:bCs/>
          <w:sz w:val="24"/>
          <w:szCs w:val="24"/>
        </w:rPr>
        <w:t xml:space="preserve">778 · Il registro come unica prova d'appartenenza.</w:t>
      </w:r>
      <w:r>
        <w:rPr>
          <w:rFonts w:ascii="Barlow Semi Condensed" w:cs="Barlow Semi Condensed" w:eastAsia="Barlow Semi Condensed" w:hAnsi="Barlow Semi Condensed"/>
          <w:sz w:val="24"/>
          <w:szCs w:val="24"/>
        </w:rPr>
        <w:t xml:space="preserve"> Per un'organizzazione riservata, l'unica prova ammissibile di appartenenza è un registro nominativo. Sulla società afrikaner segreta esiste, dal 1978, un'opera giornalistica che ne pubblicò elenchi: quella, e non altro, è la base per affermare o negare un'iscrizione. Per nessuna delle persone viventi nominate in quest'opera si afferma né si suppone alcuna iscrizione, e questo va scritto per intero.</w:t>
      </w:r>
    </w:p>
    <w:p>
      <w:pPr>
        <w:spacing w:after="120" w:line="276"/>
        <w:jc w:val="both"/>
      </w:pPr>
      <w:r>
        <w:rPr>
          <w:rFonts w:ascii="Barlow Semi Condensed" w:cs="Barlow Semi Condensed" w:eastAsia="Barlow Semi Condensed" w:hAnsi="Barlow Semi Condensed"/>
          <w:b/>
          <w:bCs/>
          <w:sz w:val="24"/>
          <w:szCs w:val="24"/>
        </w:rPr>
        <w:t xml:space="preserve">779 · Il memorandum del 1969 come dottrina d'archivio.</w:t>
      </w:r>
      <w:r>
        <w:rPr>
          <w:rFonts w:ascii="Barlow Semi Condensed" w:cs="Barlow Semi Condensed" w:eastAsia="Barlow Semi Condensed" w:hAnsi="Barlow Semi Condensed"/>
          <w:sz w:val="24"/>
          <w:szCs w:val="24"/>
        </w:rPr>
        <w:t xml:space="preserve"> Che una dottrina possa essere documentata per intero lo mostra il memorandum di studio sulla sicurezza nazionale dedicato all'Africa australe nel 1969, redatto sotto la direzione di Henry Kissinger e da tempo declassificato. Chi voglia sapere che cosa Washington deliberò allora lo legge lì, nella serie diplomatica ufficiale statunitense. È il termine di paragone: così si presenta una dottrina provata, e non altrimenti.</w:t>
      </w:r>
    </w:p>
    <w:p>
      <w:pPr>
        <w:spacing w:after="120" w:line="276"/>
        <w:jc w:val="both"/>
      </w:pPr>
      <w:r>
        <w:rPr>
          <w:rFonts w:ascii="Barlow Semi Condensed" w:cs="Barlow Semi Condensed" w:eastAsia="Barlow Semi Condensed" w:hAnsi="Barlow Semi Condensed"/>
          <w:b/>
          <w:bCs/>
          <w:sz w:val="24"/>
          <w:szCs w:val="24"/>
        </w:rPr>
        <w:t xml:space="preserve">780 · Ciò che questa serie non ha stabilito.</w:t>
      </w:r>
      <w:r>
        <w:rPr>
          <w:rFonts w:ascii="Barlow Semi Condensed" w:cs="Barlow Semi Condensed" w:eastAsia="Barlow Semi Condensed" w:hAnsi="Barlow Semi Condensed"/>
          <w:sz w:val="24"/>
          <w:szCs w:val="24"/>
        </w:rPr>
        <w:t xml:space="preserve"> Nessun blocco di questa serie stabilisce che una dottrina si trasmetta per sangue, per nazionalità o per contiguità aziendale. L'unico ponte documentato del corpus con questa materia resta il nodo E-16 di triangolazioni-guevara-moro.md, il discorso all'Assemblea Generale dell'11 dicembre 1964. Tutto il resto è quesito, regola o lacuna dichiarata. Chi troverà i documenti chiuderà i quesiti; chi non li cerca non ha smentito nulla.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undicesima — Il denaro: veicoli, giurisdizioni, e ciò che è pubblico</w:t>
      </w:r>
    </w:p>
    <w:p>
      <w:pPr>
        <w:spacing w:after="120" w:line="276"/>
        <w:jc w:val="both"/>
      </w:pPr>
      <w:r>
        <w:rPr>
          <w:rFonts w:ascii="Barlow Semi Condensed" w:cs="Barlow Semi Condensed" w:eastAsia="Barlow Semi Condensed" w:hAnsi="Barlow Semi Condensed"/>
          <w:i/>
          <w:iCs/>
          <w:sz w:val="24"/>
          <w:szCs w:val="24"/>
        </w:rPr>
        <w:t xml:space="preserve">Blocchi 781-855.</w:t>
      </w:r>
    </w:p>
    <w:p>
      <w:pPr>
        <w:spacing w:after="120" w:line="276"/>
        <w:jc w:val="both"/>
      </w:pPr>
      <w:r>
        <w:rPr>
          <w:rFonts w:ascii="Barlow Semi Condensed" w:cs="Barlow Semi Condensed" w:eastAsia="Barlow Semi Condensed" w:hAnsi="Barlow Semi Condensed"/>
          <w:b/>
          <w:bCs/>
          <w:sz w:val="24"/>
          <w:szCs w:val="24"/>
        </w:rPr>
        <w:t xml:space="preserve">781 · Il perimetro del deposito pubblico.</w:t>
      </w:r>
      <w:r>
        <w:rPr>
          <w:rFonts w:ascii="Barlow Semi Condensed" w:cs="Barlow Semi Condensed" w:eastAsia="Barlow Semi Condensed" w:hAnsi="Barlow Semi Condensed"/>
          <w:sz w:val="24"/>
          <w:szCs w:val="24"/>
        </w:rPr>
        <w:t xml:space="preserve"> Prima di chiedere dove sia il denaro conviene fissare che cosa un deposito obbliga a rivelare. Negli Stati Uniti il regime procede per moduli e per soglie: il modulo ADV per chi gestisce fondi privati, il modulo D per i collocamenti esenti, lo schema 13D o 13G oltre il cinque per cento di una classe quotata. Ogni modulo ha campi obbligatori e silenzi leciti. La ricerca lavora sui campi e verbalizza i silenzi.</w:t>
      </w:r>
    </w:p>
    <w:p>
      <w:pPr>
        <w:spacing w:after="120" w:line="276"/>
        <w:jc w:val="both"/>
      </w:pPr>
      <w:r>
        <w:rPr>
          <w:rFonts w:ascii="Barlow Semi Condensed" w:cs="Barlow Semi Condensed" w:eastAsia="Barlow Semi Condensed" w:hAnsi="Barlow Semi Condensed"/>
          <w:b/>
          <w:bCs/>
          <w:sz w:val="24"/>
          <w:szCs w:val="24"/>
        </w:rPr>
        <w:t xml:space="preserve">782 · Il modulo ADV e il suo limite.</w:t>
      </w:r>
      <w:r>
        <w:rPr>
          <w:rFonts w:ascii="Barlow Semi Condensed" w:cs="Barlow Semi Condensed" w:eastAsia="Barlow Semi Condensed" w:hAnsi="Barlow Semi Condensed"/>
          <w:sz w:val="24"/>
          <w:szCs w:val="24"/>
        </w:rPr>
        <w:t xml:space="preserve"> Il gestore di fondi di venture capital che si avvale dell'esenzione prevista dall'Investment Advisers Act deposita una parte soltanto del modulo ADV, consultabile sulla banca dati pubblica degli intermediari della SEC. La sezione 7.B.1 dell'allegato D elenca ciascun fondo: denominazione, giurisdizione di costituzione, valore lordo dell'attivo, numero di titolari effettivi, revisore e depositario. Non elenca i sottoscrittori. Chi vi cerca i nomi dei soci accomandanti cerca in un campo che non esiste.</w:t>
      </w:r>
    </w:p>
    <w:p>
      <w:pPr>
        <w:spacing w:after="120" w:line="276"/>
        <w:jc w:val="both"/>
      </w:pPr>
      <w:r>
        <w:rPr>
          <w:rFonts w:ascii="Barlow Semi Condensed" w:cs="Barlow Semi Condensed" w:eastAsia="Barlow Semi Condensed" w:hAnsi="Barlow Semi Condensed"/>
          <w:b/>
          <w:bCs/>
          <w:sz w:val="24"/>
          <w:szCs w:val="24"/>
        </w:rPr>
        <w:t xml:space="preserve">783 · Il modulo D dice l'offerta.</w:t>
      </w:r>
      <w:r>
        <w:rPr>
          <w:rFonts w:ascii="Barlow Semi Condensed" w:cs="Barlow Semi Condensed" w:eastAsia="Barlow Semi Condensed" w:hAnsi="Barlow Semi Condensed"/>
          <w:sz w:val="24"/>
          <w:szCs w:val="24"/>
        </w:rPr>
        <w:t xml:space="preserve"> Il modulo D notifica alla SEC un collocamento esente ai sensi del regolamento D e finisce su EDGAR. Contiene la denominazione dell'emittente, lo Stato di costituzione, i dirigenti e gli amministratori con indirizzo, l'importo offerto, l'importo venduto e il numero degli investitori. Non contiene i loro nomi. È un documento eccellente per datare una raccolta e pessimo per identificare chi vi abbia partecipato: confondere le due funzioni resta l'errore più comune.</w:t>
      </w:r>
    </w:p>
    <w:p>
      <w:pPr>
        <w:spacing w:after="120" w:line="276"/>
        <w:jc w:val="both"/>
      </w:pPr>
      <w:r>
        <w:rPr>
          <w:rFonts w:ascii="Barlow Semi Condensed" w:cs="Barlow Semi Condensed" w:eastAsia="Barlow Semi Condensed" w:hAnsi="Barlow Semi Condensed"/>
          <w:b/>
          <w:bCs/>
          <w:sz w:val="24"/>
          <w:szCs w:val="24"/>
        </w:rPr>
        <w:t xml:space="preserve">784 · Il modulo PF non è pubblico.</w:t>
      </w:r>
      <w:r>
        <w:rPr>
          <w:rFonts w:ascii="Barlow Semi Condensed" w:cs="Barlow Semi Condensed" w:eastAsia="Barlow Semi Condensed" w:hAnsi="Barlow Semi Condensed"/>
          <w:sz w:val="24"/>
          <w:szCs w:val="24"/>
        </w:rPr>
        <w:t xml:space="preserve"> Esiste un modulo che descrive in dettaglio i fondi privati, ed è precluso alla ricerca: il modulo PF, riservato per legge, va alla SEC e al consiglio di vigilanza sulla stabilità finanziaria, mai alla banca dati aperta. Vi si aggiunge che il gestore esente da registrazione non lo deposita affatto. Chi immagina che l'autorità di vigilanza tenga un registro consultabile dei portafogli di venture capital immagina un archivio mai aperto.</w:t>
      </w:r>
    </w:p>
    <w:p>
      <w:pPr>
        <w:spacing w:after="120" w:line="276"/>
        <w:jc w:val="both"/>
      </w:pPr>
      <w:r>
        <w:rPr>
          <w:rFonts w:ascii="Barlow Semi Condensed" w:cs="Barlow Semi Condensed" w:eastAsia="Barlow Semi Condensed" w:hAnsi="Barlow Semi Condensed"/>
          <w:b/>
          <w:bCs/>
          <w:sz w:val="24"/>
          <w:szCs w:val="24"/>
        </w:rPr>
        <w:t xml:space="preserve">785 · Il 13F e ciò che non copre.</w:t>
      </w:r>
      <w:r>
        <w:rPr>
          <w:rFonts w:ascii="Barlow Semi Condensed" w:cs="Barlow Semi Condensed" w:eastAsia="Barlow Semi Condensed" w:hAnsi="Barlow Semi Condensed"/>
          <w:sz w:val="24"/>
          <w:szCs w:val="24"/>
        </w:rPr>
        <w:t xml:space="preserve"> Il modulo 13F obbliga i gestori istituzionali sopra i cento milioni di dollari a dichiarare ogni trimestre le posizioni in titoli quotati compresi nell'elenco della SEC. Non riguarda le partecipazioni in società non quotate, che sono esattamente il mestiere del venture capital. Un fondo può detenere quote decisive di dieci imprese private e comparire nel 13F soltanto per le poche già approdate in borsa. La visibilità del modulo è inversamente proporzionale al suo interesse.</w:t>
      </w:r>
    </w:p>
    <w:p>
      <w:pPr>
        <w:spacing w:after="120" w:line="276"/>
        <w:jc w:val="both"/>
      </w:pPr>
      <w:r>
        <w:rPr>
          <w:rFonts w:ascii="Barlow Semi Condensed" w:cs="Barlow Semi Condensed" w:eastAsia="Barlow Semi Condensed" w:hAnsi="Barlow Semi Condensed"/>
          <w:b/>
          <w:bCs/>
          <w:sz w:val="24"/>
          <w:szCs w:val="24"/>
        </w:rPr>
        <w:t xml:space="preserve">786 · La soglia del cinque per cento.</w:t>
      </w:r>
      <w:r>
        <w:rPr>
          <w:rFonts w:ascii="Barlow Semi Condensed" w:cs="Barlow Semi Condensed" w:eastAsia="Barlow Semi Condensed" w:hAnsi="Barlow Semi Condensed"/>
          <w:sz w:val="24"/>
          <w:szCs w:val="24"/>
        </w:rPr>
        <w:t xml:space="preserve"> Superato il cinque per cento di una classe di titoli registrati scatta lo schema 13D o, per l'investitore passivo, il 13G. Da quel momento il nome, l'indirizzo, la fonte dei fondi e lo scopo dell'acquisto diventano atti pubblici su EDGAR. Sotto la soglia non esiste obbligo. È la regola che spiega perché di una stessa persona si conosca la posizione in una società quotata e nulla di quella nella società vicina.</w:t>
      </w:r>
    </w:p>
    <w:p>
      <w:pPr>
        <w:spacing w:after="120" w:line="276"/>
        <w:jc w:val="both"/>
      </w:pPr>
      <w:r>
        <w:rPr>
          <w:rFonts w:ascii="Barlow Semi Condensed" w:cs="Barlow Semi Condensed" w:eastAsia="Barlow Semi Condensed" w:hAnsi="Barlow Semi Condensed"/>
          <w:b/>
          <w:bCs/>
          <w:sz w:val="24"/>
          <w:szCs w:val="24"/>
        </w:rPr>
        <w:t xml:space="preserve">787 · Il prospetto è il documento madre.</w:t>
      </w:r>
      <w:r>
        <w:rPr>
          <w:rFonts w:ascii="Barlow Semi Condensed" w:cs="Barlow Semi Condensed" w:eastAsia="Barlow Semi Condensed" w:hAnsi="Barlow Semi Condensed"/>
          <w:sz w:val="24"/>
          <w:szCs w:val="24"/>
        </w:rPr>
        <w:t xml:space="preserve"> Il documento che più di ogni altro apre i libri di un'impresa privata è il prospetto di quotazione, il modulo S-1. Vi compaiono per obbligo la tavola dei titolari oltre il cinque per cento, gli amministratori con le rispettive quote, le operazioni con parti correlate e la storia delle emissioni. È l'unico momento in cui una struttura proprietaria costruita per anni nel privato viene depositata per intero presso un'autorità pubblica.</w:t>
      </w:r>
    </w:p>
    <w:p>
      <w:pPr>
        <w:spacing w:after="120" w:line="276"/>
        <w:jc w:val="both"/>
      </w:pPr>
      <w:r>
        <w:rPr>
          <w:rFonts w:ascii="Barlow Semi Condensed" w:cs="Barlow Semi Condensed" w:eastAsia="Barlow Semi Condensed" w:hAnsi="Barlow Semi Condensed"/>
          <w:b/>
          <w:bCs/>
          <w:sz w:val="24"/>
          <w:szCs w:val="24"/>
        </w:rPr>
        <w:t xml:space="preserve">788 · La fondazione privata rendiconta per intero.</w:t>
      </w:r>
      <w:r>
        <w:rPr>
          <w:rFonts w:ascii="Barlow Semi Condensed" w:cs="Barlow Semi Condensed" w:eastAsia="Barlow Semi Condensed" w:hAnsi="Barlow Semi Condensed"/>
          <w:sz w:val="24"/>
          <w:szCs w:val="24"/>
        </w:rPr>
        <w:t xml:space="preserve"> Negli Stati Uniti la fondazione privata deposita ogni anno il modulo 990-PF, pubblico e integrale: attivo, investimenti, compensi degli amministratori, elenco nominativo delle erogazioni con importo e destinatario e, a differenza degli enti di pubblica utilità, elenco dei contributori sostanziali. È la finestra più larga che l'ordinamento statunitense offra su una ricchezza privata. Si consulta dalla banca dati degli enti esenti dell'Internal Revenue Service e dai repertori che la rispecchiano.</w:t>
      </w:r>
    </w:p>
    <w:p>
      <w:pPr>
        <w:spacing w:after="120" w:line="276"/>
        <w:jc w:val="both"/>
      </w:pPr>
      <w:r>
        <w:rPr>
          <w:rFonts w:ascii="Barlow Semi Condensed" w:cs="Barlow Semi Condensed" w:eastAsia="Barlow Semi Condensed" w:hAnsi="Barlow Semi Condensed"/>
          <w:b/>
          <w:bCs/>
          <w:sz w:val="24"/>
          <w:szCs w:val="24"/>
        </w:rPr>
        <w:t xml:space="preserve">789 · Il fondo consigliato spegne la traccia.</w:t>
      </w:r>
      <w:r>
        <w:rPr>
          <w:rFonts w:ascii="Barlow Semi Condensed" w:cs="Barlow Semi Condensed" w:eastAsia="Barlow Semi Condensed" w:hAnsi="Barlow Semi Condensed"/>
          <w:sz w:val="24"/>
          <w:szCs w:val="24"/>
        </w:rPr>
        <w:t xml:space="preserve"> Il veicolo che più efficacemente interrompe la tracciabilità filantropica non è opaco per abuso ma per disegno. Nel fondo consigliato dal donatore l'ente ospitante riceve, deduce e poi eroga in nome proprio: il rendiconto del beneficiario registra l'ente, non il donatore originario. La catena resta pubblica alle due estremità e muta nel mezzo. Ogni ricerca su erogazioni filantropiche deve dichiarare se il passaggio esaminato attraversi un veicolo di questo tipo.</w:t>
      </w:r>
    </w:p>
    <w:p>
      <w:pPr>
        <w:spacing w:after="120" w:line="276"/>
        <w:jc w:val="both"/>
      </w:pPr>
      <w:r>
        <w:rPr>
          <w:rFonts w:ascii="Barlow Semi Condensed" w:cs="Barlow Semi Condensed" w:eastAsia="Barlow Semi Condensed" w:hAnsi="Barlow Semi Condensed"/>
          <w:b/>
          <w:bCs/>
          <w:sz w:val="24"/>
          <w:szCs w:val="24"/>
        </w:rPr>
        <w:t xml:space="preserve">790 · L'allegato B e le sue discipline.</w:t>
      </w:r>
      <w:r>
        <w:rPr>
          <w:rFonts w:ascii="Barlow Semi Condensed" w:cs="Barlow Semi Condensed" w:eastAsia="Barlow Semi Condensed" w:hAnsi="Barlow Semi Condensed"/>
          <w:sz w:val="24"/>
          <w:szCs w:val="24"/>
        </w:rPr>
        <w:t xml:space="preserve"> Una distinzione tecnica che cambia gli esiti: l'allegato B dei contributori è pubblico nei depositi delle fondazioni private e viene invece oscurato nelle copie pubbliche dei moduli 990 degli enti di pubblica utilità. Dal medesimo formulario, dunque, si ricava un elenco di finanziatori in un caso e nulla nell'altro. Chi confronta due enti senza distinguerne la natura fiscale confronta due documenti che non dicono la stessa cosa.</w:t>
      </w:r>
    </w:p>
    <w:p>
      <w:pPr>
        <w:spacing w:after="120" w:line="276"/>
        <w:jc w:val="both"/>
      </w:pPr>
      <w:r>
        <w:rPr>
          <w:rFonts w:ascii="Barlow Semi Condensed" w:cs="Barlow Semi Condensed" w:eastAsia="Barlow Semi Condensed" w:hAnsi="Barlow Semi Condensed"/>
          <w:b/>
          <w:bCs/>
          <w:sz w:val="24"/>
          <w:szCs w:val="24"/>
        </w:rPr>
        <w:t xml:space="preserve">791 · Il segreto delle dichiarazioni fiscali.</w:t>
      </w:r>
      <w:r>
        <w:rPr>
          <w:rFonts w:ascii="Barlow Semi Condensed" w:cs="Barlow Semi Condensed" w:eastAsia="Barlow Semi Condensed" w:hAnsi="Barlow Semi Condensed"/>
          <w:sz w:val="24"/>
          <w:szCs w:val="24"/>
        </w:rPr>
        <w:t xml:space="preserve"> La dichiarazione dei redditi di una persona fisica è protetta, negli Stati Uniti, dalla sezione 6103 del codice tributario, e non è accessibile ad alcun ricercatore. Ne discende una regola dura: qualunque affermazione fondata su documenti fiscali individuali non è verificabile da un terzo, quale che sia l'autorevolezza di chi la pubblica. Si registra la fonte, si registra l'impossibilità del riscontro, e non si promuove l'affermazione di grado.</w:t>
      </w:r>
    </w:p>
    <w:p>
      <w:pPr>
        <w:spacing w:after="120" w:line="276"/>
        <w:jc w:val="both"/>
      </w:pPr>
      <w:r>
        <w:rPr>
          <w:rFonts w:ascii="Barlow Semi Condensed" w:cs="Barlow Semi Condensed" w:eastAsia="Barlow Semi Condensed" w:hAnsi="Barlow Semi Condensed"/>
          <w:b/>
          <w:bCs/>
          <w:sz w:val="24"/>
          <w:szCs w:val="24"/>
        </w:rPr>
        <w:t xml:space="preserve">792 · Il trust americano non ha registro.</w:t>
      </w:r>
      <w:r>
        <w:rPr>
          <w:rFonts w:ascii="Barlow Semi Condensed" w:cs="Barlow Semi Condensed" w:eastAsia="Barlow Semi Condensed" w:hAnsi="Barlow Semi Condensed"/>
          <w:sz w:val="24"/>
          <w:szCs w:val="24"/>
        </w:rPr>
        <w:t xml:space="preserve"> Non esiste negli Stati Uniti un registro pubblico dei trust. L'atto istitutivo è un contratto privato; il patrimonio conferito non compare in alcun elenco consultabile; le donazioni si dichiarano con un modulo fiscale riservato. Un trust diventa leggibile soltanto per accidente: se entra in un contenzioso, se compare in una successione aperta in tribunale, se detiene titoli oltre soglia in una società quotata. Fuori da questi tre accidenti la traccia non c'è.</w:t>
      </w:r>
    </w:p>
    <w:p>
      <w:pPr>
        <w:spacing w:after="120" w:line="276"/>
        <w:jc w:val="both"/>
      </w:pPr>
      <w:r>
        <w:rPr>
          <w:rFonts w:ascii="Barlow Semi Condensed" w:cs="Barlow Semi Condensed" w:eastAsia="Barlow Semi Condensed" w:hAnsi="Barlow Semi Condensed"/>
          <w:b/>
          <w:bCs/>
          <w:sz w:val="24"/>
          <w:szCs w:val="24"/>
        </w:rPr>
        <w:t xml:space="preserve">793 · La società del Delaware tace.</w:t>
      </w:r>
      <w:r>
        <w:rPr>
          <w:rFonts w:ascii="Barlow Semi Condensed" w:cs="Barlow Semi Condensed" w:eastAsia="Barlow Semi Condensed" w:hAnsi="Barlow Semi Condensed"/>
          <w:sz w:val="24"/>
          <w:szCs w:val="24"/>
        </w:rPr>
        <w:t xml:space="preserve"> Il certificato di costituzione depositato presso la Division of Corporations del Delaware attesta denominazione, data, agente registrato e capitale autorizzato. Non attesta chi possieda le azioni. Il rapporto annuale per la tassa di concessione elenca gli amministratori, non i soci. Per la società a responsabilità limitata non è depositato neppure l'elenco dei membri. Chi cerca la compagine di una società del Delaware in un registro pubblico cerca un documento che quello Stato non produce.</w:t>
      </w:r>
    </w:p>
    <w:p>
      <w:pPr>
        <w:spacing w:after="120" w:line="276"/>
        <w:jc w:val="both"/>
      </w:pPr>
      <w:r>
        <w:rPr>
          <w:rFonts w:ascii="Barlow Semi Condensed" w:cs="Barlow Semi Condensed" w:eastAsia="Barlow Semi Condensed" w:hAnsi="Barlow Semi Condensed"/>
          <w:b/>
          <w:bCs/>
          <w:sz w:val="24"/>
          <w:szCs w:val="24"/>
        </w:rPr>
        <w:t xml:space="preserve">794 · L'accomandante invisibile per legge.</w:t>
      </w:r>
      <w:r>
        <w:rPr>
          <w:rFonts w:ascii="Barlow Semi Condensed" w:cs="Barlow Semi Condensed" w:eastAsia="Barlow Semi Condensed" w:hAnsi="Barlow Semi Condensed"/>
          <w:sz w:val="24"/>
          <w:szCs w:val="24"/>
        </w:rPr>
        <w:t xml:space="preserve"> Nella limited partnership del Delaware il certificato di costituzione nomina il socio accomandatario e tace sugli accomandanti. Poiché quasi tutti i fondi di venture capital adottano questa forma, la conseguenza è strutturale: l'ordinamento che ospita il maggior numero di veicoli d'investimento al mondo non pubblica l'identità di chi vi mette il denaro. È uno Stato Zero d'ordinamento e non di ricerca: nessun archivio lo chiude, perché nessun archivio lo ha mai raccolto.</w:t>
      </w:r>
    </w:p>
    <w:p>
      <w:pPr>
        <w:spacing w:after="120" w:line="276"/>
        <w:jc w:val="both"/>
      </w:pPr>
      <w:r>
        <w:rPr>
          <w:rFonts w:ascii="Barlow Semi Condensed" w:cs="Barlow Semi Condensed" w:eastAsia="Barlow Semi Condensed" w:hAnsi="Barlow Semi Condensed"/>
          <w:b/>
          <w:bCs/>
          <w:sz w:val="24"/>
          <w:szCs w:val="24"/>
        </w:rPr>
        <w:t xml:space="preserve">795 · Le Cayman e il registro chiuso.</w:t>
      </w:r>
      <w:r>
        <w:rPr>
          <w:rFonts w:ascii="Barlow Semi Condensed" w:cs="Barlow Semi Condensed" w:eastAsia="Barlow Semi Condensed" w:hAnsi="Barlow Semi Condensed"/>
          <w:sz w:val="24"/>
          <w:szCs w:val="24"/>
        </w:rPr>
        <w:t xml:space="preserve"> L'exempted limited partnership delle Isole Cayman è registrata presso il General Registry, che ne certifica l'esistenza e non la compagine: il registro dei soci accomandanti è tenuto presso la sede legale ed è sottratto alla consultazione. La legge del 2023 sulla trasparenza dei titolari effettivi, in vigore dal 2024, istituisce un registro accessibile alle sole autorità competenti. Anche dopo la riforma, per il ricercatore la traccia si ferma alla denominazione.</w:t>
      </w:r>
    </w:p>
    <w:p>
      <w:pPr>
        <w:spacing w:after="120" w:line="276"/>
        <w:jc w:val="both"/>
      </w:pPr>
      <w:r>
        <w:rPr>
          <w:rFonts w:ascii="Barlow Semi Condensed" w:cs="Barlow Semi Condensed" w:eastAsia="Barlow Semi Condensed" w:hAnsi="Barlow Semi Condensed"/>
          <w:b/>
          <w:bCs/>
          <w:sz w:val="24"/>
          <w:szCs w:val="24"/>
        </w:rPr>
        <w:t xml:space="preserve">796 · Il registro FinCEN mai pubblico.</w:t>
      </w:r>
      <w:r>
        <w:rPr>
          <w:rFonts w:ascii="Barlow Semi Condensed" w:cs="Barlow Semi Condensed" w:eastAsia="Barlow Semi Condensed" w:hAnsi="Barlow Semi Condensed"/>
          <w:sz w:val="24"/>
          <w:szCs w:val="24"/>
        </w:rPr>
        <w:t xml:space="preserve"> Il Corporate Transparency Act statunitense ha imposto dal primo gennaio 2024 la comunicazione dei titolari effettivi al FinCEN, con accesso riservato ad autorità determinate e mai al pubblico. Nel marzo 2025 una disciplina provvisoria ha esentato dall'obbligo le società costituite negli Stati Uniti, limitandolo alle entità estere registrate. Chi cita quel registro come fonte disponibile cita un archivio mai consultabile e che, per le società interne, ha smesso di formarsi.</w:t>
      </w:r>
    </w:p>
    <w:p>
      <w:pPr>
        <w:spacing w:after="120" w:line="276"/>
        <w:jc w:val="both"/>
      </w:pPr>
      <w:r>
        <w:rPr>
          <w:rFonts w:ascii="Barlow Semi Condensed" w:cs="Barlow Semi Condensed" w:eastAsia="Barlow Semi Condensed" w:hAnsi="Barlow Semi Condensed"/>
          <w:b/>
          <w:bCs/>
          <w:sz w:val="24"/>
          <w:szCs w:val="24"/>
        </w:rPr>
        <w:t xml:space="preserve">797 · Companies House: aperto e non verificato.</w:t>
      </w:r>
      <w:r>
        <w:rPr>
          <w:rFonts w:ascii="Barlow Semi Condensed" w:cs="Barlow Semi Condensed" w:eastAsia="Barlow Semi Condensed" w:hAnsi="Barlow Semi Condensed"/>
          <w:sz w:val="24"/>
          <w:szCs w:val="24"/>
        </w:rPr>
        <w:t xml:space="preserve"> Il registro britannico è il più generoso fra i grandi: bilanci, dichiarazione annuale e registro delle persone con controllo significativo si scaricano gratuitamente. Ha però un vizio noto: fino alla riforma del 2023 nessun obbligo di verifica d'identità gravava su chi depositava. Un deposito di Companies House è dunque una dichiarazione, non un'attestazione. Si cita come prova di ciò che qualcuno ha dichiarato, mai come prova di ciò che è.</w:t>
      </w:r>
    </w:p>
    <w:p>
      <w:pPr>
        <w:spacing w:after="120" w:line="276"/>
        <w:jc w:val="both"/>
      </w:pPr>
      <w:r>
        <w:rPr>
          <w:rFonts w:ascii="Barlow Semi Condensed" w:cs="Barlow Semi Condensed" w:eastAsia="Barlow Semi Condensed" w:hAnsi="Barlow Semi Condensed"/>
          <w:b/>
          <w:bCs/>
          <w:sz w:val="24"/>
          <w:szCs w:val="24"/>
        </w:rPr>
        <w:t xml:space="preserve">798 · La sentenza che chiuse i registri europei.</w:t>
      </w:r>
      <w:r>
        <w:rPr>
          <w:rFonts w:ascii="Barlow Semi Condensed" w:cs="Barlow Semi Condensed" w:eastAsia="Barlow Semi Condensed" w:hAnsi="Barlow Semi Condensed"/>
          <w:sz w:val="24"/>
          <w:szCs w:val="24"/>
        </w:rPr>
        <w:t xml:space="preserve"> Il 22 novembre 2022 la Corte di giustizia dell'Unione europea, nelle cause riunite C-37/20 e C-601/20, ha dichiarato invalida la norma della quinta direttiva antiriciclaggio che apriva al pubblico i registri dei titolari effettivi. Numerosi Stati hanno chiuso l'accesso nei giorni successivi. Il pacchetto del 2024 lo riapre a chi dimostri un interesse legittimo, con applicazione differita. Ogni ricerca europea in materia va datata: quella finestra si è chiusa e riaprirà diversa.</w:t>
      </w:r>
    </w:p>
    <w:p>
      <w:pPr>
        <w:spacing w:after="120" w:line="276"/>
        <w:jc w:val="both"/>
      </w:pPr>
      <w:r>
        <w:rPr>
          <w:rFonts w:ascii="Barlow Semi Condensed" w:cs="Barlow Semi Condensed" w:eastAsia="Barlow Semi Condensed" w:hAnsi="Barlow Semi Condensed"/>
          <w:b/>
          <w:bCs/>
          <w:sz w:val="24"/>
          <w:szCs w:val="24"/>
        </w:rPr>
        <w:t xml:space="preserve">799 · Il registro svizzero dice le società.</w:t>
      </w:r>
      <w:r>
        <w:rPr>
          <w:rFonts w:ascii="Barlow Semi Condensed" w:cs="Barlow Semi Condensed" w:eastAsia="Barlow Semi Condensed" w:hAnsi="Barlow Semi Condensed"/>
          <w:sz w:val="24"/>
          <w:szCs w:val="24"/>
        </w:rPr>
        <w:t xml:space="preserve"> L'indice centrale delle ditte della Confederazione è pubblico e consente di risalire a sede, scopo, organi e diritti di firma di ogni società iscritta. Non esiste invece un registro pubblico dei titolari effettivi: il progetto federale in materia prevede un archivio riservato alle autorità. Il segreto bancario dell'articolo 47 della legge del 1934 resta un limite ulteriore. In Svizzera si documenta la forma giuridica e quasi mai la proprietà economica.</w:t>
      </w:r>
    </w:p>
    <w:p>
      <w:pPr>
        <w:spacing w:after="120" w:line="276"/>
        <w:jc w:val="both"/>
      </w:pPr>
      <w:r>
        <w:rPr>
          <w:rFonts w:ascii="Barlow Semi Condensed" w:cs="Barlow Semi Condensed" w:eastAsia="Barlow Semi Condensed" w:hAnsi="Barlow Semi Condensed"/>
          <w:b/>
          <w:bCs/>
          <w:sz w:val="24"/>
          <w:szCs w:val="24"/>
        </w:rPr>
        <w:t xml:space="preserve">800 · Le isole e il costo dell'informazione.</w:t>
      </w:r>
      <w:r>
        <w:rPr>
          <w:rFonts w:ascii="Barlow Semi Condensed" w:cs="Barlow Semi Condensed" w:eastAsia="Barlow Semi Condensed" w:hAnsi="Barlow Semi Condensed"/>
          <w:sz w:val="24"/>
          <w:szCs w:val="24"/>
        </w:rPr>
        <w:t xml:space="preserve"> Nelle Isole Vergini britanniche il registro degli amministratori è depositato e consultabile a pagamento in forma limitata; i conti annuali vanno all'agente registrato e non al registro; l'identità dei soci non è pubblica. Jersey e Guernsey tengono registri dei titolari effettivi chiusi al pubblico. La regola pratica è che in queste giurisdizioni si compra l'esistenza dell'entità e non la sua sostanza: e ciò che si compra va citato per quello che è.</w:t>
      </w:r>
    </w:p>
    <w:p>
      <w:pPr>
        <w:spacing w:after="120" w:line="276"/>
        <w:jc w:val="both"/>
      </w:pPr>
      <w:r>
        <w:rPr>
          <w:rFonts w:ascii="Barlow Semi Condensed" w:cs="Barlow Semi Condensed" w:eastAsia="Barlow Semi Condensed" w:hAnsi="Barlow Semi Condensed"/>
          <w:b/>
          <w:bCs/>
          <w:sz w:val="24"/>
          <w:szCs w:val="24"/>
        </w:rPr>
        <w:t xml:space="preserve">801 · Il Lussemburgo e il fascicolo depositato.</w:t>
      </w:r>
      <w:r>
        <w:rPr>
          <w:rFonts w:ascii="Barlow Semi Condensed" w:cs="Barlow Semi Condensed" w:eastAsia="Barlow Semi Condensed" w:hAnsi="Barlow Semi Condensed"/>
          <w:sz w:val="24"/>
          <w:szCs w:val="24"/>
        </w:rPr>
        <w:t xml:space="preserve"> Il Registre de commerce et des sociétés lussemburghese pubblica atti costitutivi e conti annuali, anche di molti veicoli d'investimento: è una delle poche piazze in cui la struttura di un fondo lascia traccia documentale consultabile. Il registro dei titolari effettivi, invece, ha subìto le conseguenze della pronuncia del 2022 che lo riguardava direttamente. Chi lavora sul Lussemburgo deve distinguere i due registri: uno resta aperto, l'altro no.</w:t>
      </w:r>
    </w:p>
    <w:p>
      <w:pPr>
        <w:spacing w:after="120" w:line="276"/>
        <w:jc w:val="both"/>
      </w:pPr>
      <w:r>
        <w:rPr>
          <w:rFonts w:ascii="Barlow Semi Condensed" w:cs="Barlow Semi Condensed" w:eastAsia="Barlow Semi Condensed" w:hAnsi="Barlow Semi Condensed"/>
          <w:b/>
          <w:bCs/>
          <w:sz w:val="24"/>
          <w:szCs w:val="24"/>
        </w:rPr>
        <w:t xml:space="preserve">802 · Nuova Zelanda: le decisioni pubblicate.</w:t>
      </w:r>
      <w:r>
        <w:rPr>
          <w:rFonts w:ascii="Barlow Semi Condensed" w:cs="Barlow Semi Condensed" w:eastAsia="Barlow Semi Condensed" w:hAnsi="Barlow Semi Condensed"/>
          <w:sz w:val="24"/>
          <w:szCs w:val="24"/>
        </w:rPr>
        <w:t xml:space="preserve"> L'ufficio neozelandese per gli investimenti esteri pubblica ogni mese il sommario delle decisioni assunte: richiedente, entità, bene acquisito, condizioni imposte. È un registro pubblico di acquisti fondiari da parte di stranieri, raro nel suo genere e integralmente consultabile. Vi si affianca il registro delle società, anch'esso aperto. Per chi indaga residenze, cittadinanze concesse e proprietà nell'emisfero australe questi sono documenti primari, non ricostruzioni giornalistiche.</w:t>
      </w:r>
    </w:p>
    <w:p>
      <w:pPr>
        <w:spacing w:after="120" w:line="276"/>
        <w:jc w:val="both"/>
      </w:pPr>
      <w:r>
        <w:rPr>
          <w:rFonts w:ascii="Barlow Semi Condensed" w:cs="Barlow Semi Condensed" w:eastAsia="Barlow Semi Condensed" w:hAnsi="Barlow Semi Condensed"/>
          <w:b/>
          <w:bCs/>
          <w:sz w:val="24"/>
          <w:szCs w:val="24"/>
        </w:rPr>
        <w:t xml:space="preserve">803 · Il CIPC e i fascicoli storici.</w:t>
      </w:r>
      <w:r>
        <w:rPr>
          <w:rFonts w:ascii="Barlow Semi Condensed" w:cs="Barlow Semi Condensed" w:eastAsia="Barlow Semi Condensed" w:hAnsi="Barlow Semi Condensed"/>
          <w:sz w:val="24"/>
          <w:szCs w:val="24"/>
        </w:rPr>
        <w:t xml:space="preserve"> La Companies and Intellectual Property Commission di Pretoria conserva i fascicoli delle società sudafricane, comprese quelle costituite sotto le leggi del 1926 e del 1973: statuti, variazioni di compagine, amministratori nel tempo. Dal 2023 vi si deposita anche l'informazione sui titolari effettivi, con accesso non generalizzato. È la sede di ogni verifica su attività imprenditoriali in Sud Africa, e la sola capace di trasformare un racconto familiare in un atto societario.</w:t>
      </w:r>
    </w:p>
    <w:p>
      <w:pPr>
        <w:spacing w:after="120" w:line="276"/>
        <w:jc w:val="both"/>
      </w:pPr>
      <w:r>
        <w:rPr>
          <w:rFonts w:ascii="Barlow Semi Condensed" w:cs="Barlow Semi Condensed" w:eastAsia="Barlow Semi Condensed" w:hAnsi="Barlow Semi Condensed"/>
          <w:b/>
          <w:bCs/>
          <w:sz w:val="24"/>
          <w:szCs w:val="24"/>
        </w:rPr>
        <w:t xml:space="preserve">804 · Windhoek: BIPA e l'archivio nazionale.</w:t>
      </w:r>
      <w:r>
        <w:rPr>
          <w:rFonts w:ascii="Barlow Semi Condensed" w:cs="Barlow Semi Condensed" w:eastAsia="Barlow Semi Condensed" w:hAnsi="Barlow Semi Condensed"/>
          <w:sz w:val="24"/>
          <w:szCs w:val="24"/>
        </w:rPr>
        <w:t xml:space="preserve"> In Namibia il registro delle imprese è tenuto dalla Business and Intellectual Property Authority di Windhoek, istituita con la legge del 2016. Per il periodo anteriore all'indipendenza, quando il territorio era amministrato dal Sud Africa, gli atti societari e amministrativi vanno cercati negli Archivi nazionali della Namibia, sempre a Windhoek, e nei fondi corrispondenti di Pretoria. La ricerca sull'Africa del Sud-Ovest è dunque doppia: due sedi, due ordinamenti, un territorio.</w:t>
      </w:r>
    </w:p>
    <w:p>
      <w:pPr>
        <w:spacing w:after="120" w:line="276"/>
        <w:jc w:val="both"/>
      </w:pPr>
      <w:r>
        <w:rPr>
          <w:rFonts w:ascii="Barlow Semi Condensed" w:cs="Barlow Semi Condensed" w:eastAsia="Barlow Semi Condensed" w:hAnsi="Barlow Semi Condensed"/>
          <w:b/>
          <w:bCs/>
          <w:sz w:val="24"/>
          <w:szCs w:val="24"/>
        </w:rPr>
        <w:t xml:space="preserve">805 · Il rand finanziario come vincolo strutturale.</w:t>
      </w:r>
      <w:r>
        <w:rPr>
          <w:rFonts w:ascii="Barlow Semi Condensed" w:cs="Barlow Semi Condensed" w:eastAsia="Barlow Semi Condensed" w:hAnsi="Barlow Semi Condensed"/>
          <w:sz w:val="24"/>
          <w:szCs w:val="24"/>
        </w:rPr>
        <w:t xml:space="preserve"> Fra il 1979 e il 1995, con un'interruzione, il Sud Africa mantenne un cambio doppio: il rand commerciale e il rand finanziario, quest'ultimo riservato ai movimenti di capitale dei non residenti e sistematicamente svalutato. Chi lasciava il Paese non poteva trasferire liberamente il proprio patrimonio. È un fatto macroeconomico documentato che vincola ogni ipotesi di continuità patrimoniale fra Sud Africa e California: il trasferimento, se avvenne, avvenne dentro una gabbia normativa databile.</w:t>
      </w:r>
    </w:p>
    <w:p>
      <w:pPr>
        <w:spacing w:after="120" w:line="276"/>
        <w:jc w:val="both"/>
      </w:pPr>
      <w:r>
        <w:rPr>
          <w:rFonts w:ascii="Barlow Semi Condensed" w:cs="Barlow Semi Condensed" w:eastAsia="Barlow Semi Condensed" w:hAnsi="Barlow Semi Condensed"/>
          <w:b/>
          <w:bCs/>
          <w:sz w:val="24"/>
          <w:szCs w:val="24"/>
        </w:rPr>
        <w:t xml:space="preserve">806 · La Reserve Bank e il fascicolo riservato.</w:t>
      </w:r>
      <w:r>
        <w:rPr>
          <w:rFonts w:ascii="Barlow Semi Condensed" w:cs="Barlow Semi Condensed" w:eastAsia="Barlow Semi Condensed" w:hAnsi="Barlow Semi Condensed"/>
          <w:sz w:val="24"/>
          <w:szCs w:val="24"/>
        </w:rPr>
        <w:t xml:space="preserve"> Le autorizzazioni ai movimenti di capitale erano istruite dal dipartimento di sorveglianza finanziaria della South African Reserve Bank, in applicazione dei regolamenti sui cambi del 1961. Quei fascicoli individuali esistono e sono coperti da riservatezza: non sono aperti al ricercatore. È uno Stato Zero preciso, con sede nominata e con la norma che lo produce. La domanda resta formulabile e la risposta resta oggi indisponibile: si scrive così, e non altrimenti.</w:t>
      </w:r>
    </w:p>
    <w:p>
      <w:pPr>
        <w:spacing w:after="120" w:line="276"/>
        <w:jc w:val="both"/>
      </w:pPr>
      <w:r>
        <w:rPr>
          <w:rFonts w:ascii="Barlow Semi Condensed" w:cs="Barlow Semi Condensed" w:eastAsia="Barlow Semi Condensed" w:hAnsi="Barlow Semi Condensed"/>
          <w:b/>
          <w:bCs/>
          <w:sz w:val="24"/>
          <w:szCs w:val="24"/>
        </w:rPr>
        <w:t xml:space="preserve">807 · Le audizioni della TRC sull'economia.</w:t>
      </w:r>
      <w:r>
        <w:rPr>
          <w:rFonts w:ascii="Barlow Semi Condensed" w:cs="Barlow Semi Condensed" w:eastAsia="Barlow Semi Condensed" w:hAnsi="Barlow Semi Condensed"/>
          <w:sz w:val="24"/>
          <w:szCs w:val="24"/>
        </w:rPr>
        <w:t xml:space="preserve"> La Truth and Reconciliation Commission dedicò al settore economico un'audizione istituzionale nel novembre 1997, i cui atti e le cui conclusioni stanno nel rapporto finale, volume quarto, con ulteriori accertamenti nei volumi conclusivi del 2003. È la sede in cui il rapporto fra impresa e apartheid è stato istruito con procedura pubblica. Chi voglia trattare le responsabilità economiche del regime ha qui un documento, e non deve inventarne uno.</w:t>
      </w:r>
    </w:p>
    <w:p>
      <w:pPr>
        <w:spacing w:after="120" w:line="276"/>
        <w:jc w:val="both"/>
      </w:pPr>
      <w:r>
        <w:rPr>
          <w:rFonts w:ascii="Barlow Semi Condensed" w:cs="Barlow Semi Condensed" w:eastAsia="Barlow Semi Condensed" w:hAnsi="Barlow Semi Condensed"/>
          <w:b/>
          <w:bCs/>
          <w:sz w:val="24"/>
          <w:szCs w:val="24"/>
        </w:rPr>
        <w:t xml:space="preserve">808 · Dove stanno le carte della Commissione.</w:t>
      </w:r>
      <w:r>
        <w:rPr>
          <w:rFonts w:ascii="Barlow Semi Condensed" w:cs="Barlow Semi Condensed" w:eastAsia="Barlow Semi Condensed" w:hAnsi="Barlow Semi Condensed"/>
          <w:sz w:val="24"/>
          <w:szCs w:val="24"/>
        </w:rPr>
        <w:t xml:space="preserve"> Gli atti della Truth and Reconciliation Commission sono conservati presso il National Archives and Records Service of South Africa a Pretoria; una parte del materiale, e una lunga vicenda di accesso, passa dal South African History Archive di Johannesburg, che ha promosso richieste e contenziosi per l'apertura di fondi rimasti chiusi. Prima di dichiarare irreperibile un documento della Commissione occorre aver interpellato entrambe le sedi, e averlo scritto.</w:t>
      </w:r>
    </w:p>
    <w:p>
      <w:pPr>
        <w:spacing w:after="120" w:line="276"/>
        <w:jc w:val="both"/>
      </w:pPr>
      <w:r>
        <w:rPr>
          <w:rFonts w:ascii="Barlow Semi Condensed" w:cs="Barlow Semi Condensed" w:eastAsia="Barlow Semi Condensed" w:hAnsi="Barlow Semi Condensed"/>
          <w:b/>
          <w:bCs/>
          <w:sz w:val="24"/>
          <w:szCs w:val="24"/>
        </w:rPr>
        <w:t xml:space="preserve">809 · Il Bureau di Amsterdam e le navi.</w:t>
      </w:r>
      <w:r>
        <w:rPr>
          <w:rFonts w:ascii="Barlow Semi Condensed" w:cs="Barlow Semi Condensed" w:eastAsia="Barlow Semi Condensed" w:hAnsi="Barlow Semi Condensed"/>
          <w:sz w:val="24"/>
          <w:szCs w:val="24"/>
        </w:rPr>
        <w:t xml:space="preserve"> Lo Shipping Research Bureau documentò fra il 1980 e il 1995 le consegne di petrolio al Sud Africa in violazione dell'embargo, ricostruendo rotte, carichi e armatori. Il suo archivio è depositato presso l'Internationaal Instituut voor Sociale Geschiedenis di Amsterdam. È il precedente metodologico più utile a questa serie: un flusso occultato ricostruito per indizi materiali, nave per nave, senza mai disporre della contabilità dell'operatore.</w:t>
      </w:r>
    </w:p>
    <w:p>
      <w:pPr>
        <w:spacing w:after="120" w:line="276"/>
        <w:jc w:val="both"/>
      </w:pPr>
      <w:r>
        <w:rPr>
          <w:rFonts w:ascii="Barlow Semi Condensed" w:cs="Barlow Semi Condensed" w:eastAsia="Barlow Semi Condensed" w:hAnsi="Barlow Semi Condensed"/>
          <w:b/>
          <w:bCs/>
          <w:sz w:val="24"/>
          <w:szCs w:val="24"/>
        </w:rPr>
        <w:t xml:space="preserve">810 · Il decreto numero uno per la Namibia.</w:t>
      </w:r>
      <w:r>
        <w:rPr>
          <w:rFonts w:ascii="Barlow Semi Condensed" w:cs="Barlow Semi Condensed" w:eastAsia="Barlow Semi Condensed" w:hAnsi="Barlow Semi Condensed"/>
          <w:sz w:val="24"/>
          <w:szCs w:val="24"/>
        </w:rPr>
        <w:t xml:space="preserve"> Il Consiglio delle Nazioni Unite per la Namibia adottò nel 1974 il Decreto n. 1 sulla protezione delle risorse naturali, che vietava estrazione ed esportazione senza autorizzazione del Consiglio. Il testo, le risoluzioni collegate e i verbali del Consiglio si consultano nella biblioteca digitale delle Nazioni Unite e negli archivi dell'Organizzazione a New York. È il quadro giuridico entro cui va letta ogni attività estrattiva nel territorio in quegli anni.</w:t>
      </w:r>
    </w:p>
    <w:p>
      <w:pPr>
        <w:spacing w:after="120" w:line="276"/>
        <w:jc w:val="both"/>
      </w:pPr>
      <w:r>
        <w:rPr>
          <w:rFonts w:ascii="Barlow Semi Condensed" w:cs="Barlow Semi Condensed" w:eastAsia="Barlow Semi Condensed" w:hAnsi="Barlow Semi Condensed"/>
          <w:b/>
          <w:bCs/>
          <w:sz w:val="24"/>
          <w:szCs w:val="24"/>
        </w:rPr>
        <w:t xml:space="preserve">811 · Il parere della Corte internazionale.</w:t>
      </w:r>
      <w:r>
        <w:rPr>
          <w:rFonts w:ascii="Barlow Semi Condensed" w:cs="Barlow Semi Condensed" w:eastAsia="Barlow Semi Condensed" w:hAnsi="Barlow Semi Condensed"/>
          <w:sz w:val="24"/>
          <w:szCs w:val="24"/>
        </w:rPr>
        <w:t xml:space="preserve"> La risoluzione 2145 dell'Assemblea generale, del 27 ottobre 1966, pose fine al mandato sudafricano sul Sud-Ovest africano; il Consiglio di sicurezza ne trasse la risoluzione 276 del 1970; il 21 giugno 1971 la Corte internazionale di giustizia dichiarò illegittima la presenza sudafricana e ne indicò le conseguenze per gli Stati. Sono atti primari, citabili per esteso, e fissano lo statuto internazionale del luogo dove sorgeva il cantiere di Rössing.</w:t>
      </w:r>
    </w:p>
    <w:p>
      <w:pPr>
        <w:spacing w:after="120" w:line="276"/>
        <w:jc w:val="both"/>
      </w:pPr>
      <w:r>
        <w:rPr>
          <w:rFonts w:ascii="Barlow Semi Condensed" w:cs="Barlow Semi Condensed" w:eastAsia="Barlow Semi Condensed" w:hAnsi="Barlow Semi Condensed"/>
          <w:b/>
          <w:bCs/>
          <w:sz w:val="24"/>
          <w:szCs w:val="24"/>
        </w:rPr>
        <w:t xml:space="preserve">812 · Le liste del Centro contro l'apartheid.</w:t>
      </w:r>
      <w:r>
        <w:rPr>
          <w:rFonts w:ascii="Barlow Semi Condensed" w:cs="Barlow Semi Condensed" w:eastAsia="Barlow Semi Condensed" w:hAnsi="Barlow Semi Condensed"/>
          <w:sz w:val="24"/>
          <w:szCs w:val="24"/>
        </w:rPr>
        <w:t xml:space="preserve"> Il Centro delle Nazioni Unite contro l'apartheid pubblicò negli anni Ottanta elenchi di imprese transnazionali attive in Sud Africa e in Namibia, con sedi e partecipazioni. Sono documenti ufficiali, datati e reperibili nella biblioteca digitale dell'Organizzazione. Costituiscono la base di partenza più solida per stabilire quali società operassero nel territorio in un anno determinato, prima di rivolgersi ai registri nazionali per il dettaglio societario.</w:t>
      </w:r>
    </w:p>
    <w:p>
      <w:pPr>
        <w:spacing w:after="120" w:line="276"/>
        <w:jc w:val="both"/>
      </w:pPr>
      <w:r>
        <w:rPr>
          <w:rFonts w:ascii="Barlow Semi Condensed" w:cs="Barlow Semi Condensed" w:eastAsia="Barlow Semi Condensed" w:hAnsi="Barlow Semi Condensed"/>
          <w:b/>
          <w:bCs/>
          <w:sz w:val="24"/>
          <w:szCs w:val="24"/>
        </w:rPr>
        <w:t xml:space="preserve">813 · Rössing: la proprietà in un deposito.</w:t>
      </w:r>
      <w:r>
        <w:rPr>
          <w:rFonts w:ascii="Barlow Semi Condensed" w:cs="Barlow Semi Condensed" w:eastAsia="Barlow Semi Condensed" w:hAnsi="Barlow Semi Condensed"/>
          <w:sz w:val="24"/>
          <w:szCs w:val="24"/>
        </w:rPr>
        <w:t xml:space="preserve"> L'assetto proprietario della Rössing Uranium Limited è documentato nei bilanci del gruppo Rio Tinto, che la controllò per decenni, e per il tramite della quotazione statunitense nei depositi annuali presso la SEC. Vi figurano nel tempo la quota di maggioranza del gruppo, la partecipazione statale namibiana e le quote di terzi, fino al mutamento di controllo del 2019. È una struttura dell'Africa australe leggibile in documenti scaricabili da chiunque.</w:t>
      </w:r>
    </w:p>
    <w:p>
      <w:pPr>
        <w:spacing w:after="120" w:line="276"/>
        <w:jc w:val="both"/>
      </w:pPr>
      <w:r>
        <w:rPr>
          <w:rFonts w:ascii="Barlow Semi Condensed" w:cs="Barlow Semi Condensed" w:eastAsia="Barlow Semi Condensed" w:hAnsi="Barlow Semi Condensed"/>
          <w:b/>
          <w:bCs/>
          <w:sz w:val="24"/>
          <w:szCs w:val="24"/>
        </w:rPr>
        <w:t xml:space="preserve">814 · Kew e i fascicoli governativi britannici.</w:t>
      </w:r>
      <w:r>
        <w:rPr>
          <w:rFonts w:ascii="Barlow Semi Condensed" w:cs="Barlow Semi Condensed" w:eastAsia="Barlow Semi Condensed" w:hAnsi="Barlow Semi Condensed"/>
          <w:sz w:val="24"/>
          <w:szCs w:val="24"/>
        </w:rPr>
        <w:t xml:space="preserve"> I contratti di fornitura di uranio namibiano verso il Regno Unito e la loro discussione parlamentare hanno lasciato traccia negli atti di Westminster e nei fondi dei ministeri competenti conservati ai National Archives di Kew. Il quesito da portarvi è preciso: quali autorizzazioni furono rilasciate, con quali riserve rispetto al Decreto n. 1, in quali anni. È verifica documentale ordinaria e non richiede alcuna ipotesi preliminare.</w:t>
      </w:r>
    </w:p>
    <w:p>
      <w:pPr>
        <w:spacing w:after="120" w:line="276"/>
        <w:jc w:val="both"/>
      </w:pPr>
      <w:r>
        <w:rPr>
          <w:rFonts w:ascii="Barlow Semi Condensed" w:cs="Barlow Semi Condensed" w:eastAsia="Barlow Semi Condensed" w:hAnsi="Barlow Semi Condensed"/>
          <w:b/>
          <w:bCs/>
          <w:sz w:val="24"/>
          <w:szCs w:val="24"/>
        </w:rPr>
        <w:t xml:space="preserve">815 · Zip2 e la visibilità per riflesso.</w:t>
      </w:r>
      <w:r>
        <w:rPr>
          <w:rFonts w:ascii="Barlow Semi Condensed" w:cs="Barlow Semi Condensed" w:eastAsia="Barlow Semi Condensed" w:hAnsi="Barlow Semi Condensed"/>
          <w:sz w:val="24"/>
          <w:szCs w:val="24"/>
        </w:rPr>
        <w:t xml:space="preserve"> Una società privata diventa visibile quando la compra una società quotata: il corrispettivo, la forma del pagamento e talvolta la ripartizione fra i venditori entrano nei documenti dell'acquirente. È la regola di lettura che governa la prima parte di questa vicenda: le cessioni della fine degli anni Novanta si documentano non presso l'impresa ceduta, che non depositava nulla, ma presso l'acquirente, che depositava tutto. Si cerca dal lato illuminato.</w:t>
      </w:r>
    </w:p>
    <w:p>
      <w:pPr>
        <w:spacing w:after="120" w:line="276"/>
        <w:jc w:val="both"/>
      </w:pPr>
      <w:r>
        <w:rPr>
          <w:rFonts w:ascii="Barlow Semi Condensed" w:cs="Barlow Semi Condensed" w:eastAsia="Barlow Semi Condensed" w:hAnsi="Barlow Semi Condensed"/>
          <w:b/>
          <w:bCs/>
          <w:sz w:val="24"/>
          <w:szCs w:val="24"/>
        </w:rPr>
        <w:t xml:space="preserve">816 · Il prospetto del 2001 come cardine.</w:t>
      </w:r>
      <w:r>
        <w:rPr>
          <w:rFonts w:ascii="Barlow Semi Condensed" w:cs="Barlow Semi Condensed" w:eastAsia="Barlow Semi Condensed" w:hAnsi="Barlow Semi Condensed"/>
          <w:sz w:val="24"/>
          <w:szCs w:val="24"/>
        </w:rPr>
        <w:t xml:space="preserve"> Il prospetto di quotazione depositato da PayPal nel settembre 2001 e la successiva documentazione della fusione con eBay del 2002 contengono la tavola dei titolari rilevanti, le cariche e le operazioni con parti correlate. È il primo documento in cui le posizioni delle persone poi divenute celebri sono attestate da un deposito obbligatorio e non da una ricostruzione. Ogni affermazione sulle quote iniziali va misurata su quelle tavole, e su nient'altro.</w:t>
      </w:r>
    </w:p>
    <w:p>
      <w:pPr>
        <w:spacing w:after="120" w:line="276"/>
        <w:jc w:val="both"/>
      </w:pPr>
      <w:r>
        <w:rPr>
          <w:rFonts w:ascii="Barlow Semi Condensed" w:cs="Barlow Semi Condensed" w:eastAsia="Barlow Semi Condensed" w:hAnsi="Barlow Semi Condensed"/>
          <w:b/>
          <w:bCs/>
          <w:sz w:val="24"/>
          <w:szCs w:val="24"/>
        </w:rPr>
        <w:t xml:space="preserve">817 · Due registranti con lo stesso nome.</w:t>
      </w:r>
      <w:r>
        <w:rPr>
          <w:rFonts w:ascii="Barlow Semi Condensed" w:cs="Barlow Semi Condensed" w:eastAsia="Barlow Semi Condensed" w:hAnsi="Barlow Semi Condensed"/>
          <w:sz w:val="24"/>
          <w:szCs w:val="24"/>
        </w:rPr>
        <w:t xml:space="preserve"> Attenzione a un'insidia di ricerca: la PayPal quotata nel 2002 e acquisita da eBay e la PayPal Holdings nata dalla scissione del 2015 sono due registranti distinti, con codici e fascicoli diversi su EDGAR. Interrogare il secondo per fatti del 2001 restituisce un archivio vuoto e la falsa impressione di un vuoto documentale. È l'omologo societario della confusione fra due omonimi: stesso nome, entità diverse.</w:t>
      </w:r>
    </w:p>
    <w:p>
      <w:pPr>
        <w:spacing w:after="120" w:line="276"/>
        <w:jc w:val="both"/>
      </w:pPr>
      <w:r>
        <w:rPr>
          <w:rFonts w:ascii="Barlow Semi Condensed" w:cs="Barlow Semi Condensed" w:eastAsia="Barlow Semi Condensed" w:hAnsi="Barlow Semi Condensed"/>
          <w:b/>
          <w:bCs/>
          <w:sz w:val="24"/>
          <w:szCs w:val="24"/>
        </w:rPr>
        <w:t xml:space="preserve">818 · Il gruppo secondo la legge.</w:t>
      </w:r>
      <w:r>
        <w:rPr>
          <w:rFonts w:ascii="Barlow Semi Condensed" w:cs="Barlow Semi Condensed" w:eastAsia="Barlow Semi Condensed" w:hAnsi="Barlow Semi Condensed"/>
          <w:sz w:val="24"/>
          <w:szCs w:val="24"/>
        </w:rPr>
        <w:t xml:space="preserve"> La legge statunitense conosce una nozione precisa di gruppo: se più persone si accordano per acquistare o detenere insieme titoli oltre soglia, l'accordo va dichiarato in un deposito congiunto. Esiste dunque un test verificabile della categoria giornalistica nata nel 2007: cercare su EDGAR depositi congiunti fra quei nomi. L'esito negativo, se confermato, va scritto, perché distingue una fotografia di gruppo da una struttura riconosciuta dall'ordinamento.</w:t>
      </w:r>
    </w:p>
    <w:p>
      <w:pPr>
        <w:spacing w:after="120" w:line="276"/>
        <w:jc w:val="both"/>
      </w:pPr>
      <w:r>
        <w:rPr>
          <w:rFonts w:ascii="Barlow Semi Condensed" w:cs="Barlow Semi Condensed" w:eastAsia="Barlow Semi Condensed" w:hAnsi="Barlow Semi Condensed"/>
          <w:b/>
          <w:bCs/>
          <w:sz w:val="24"/>
          <w:szCs w:val="24"/>
        </w:rPr>
        <w:t xml:space="preserve">819 · Il gestore registrato e quello esente.</w:t>
      </w:r>
      <w:r>
        <w:rPr>
          <w:rFonts w:ascii="Barlow Semi Condensed" w:cs="Barlow Semi Condensed" w:eastAsia="Barlow Semi Condensed" w:hAnsi="Barlow Semi Condensed"/>
          <w:sz w:val="24"/>
          <w:szCs w:val="24"/>
        </w:rPr>
        <w:t xml:space="preserve"> Non tutti i gestori stanno sullo stesso gradino informativo. Chi si limita al venture capital resta esente e deposita poco; chi apre la propria attività a strutture aperte e a strumenti quotati si registra e deposita anche la parte narrativa del modulo ADV, che descrive commissioni, conflitti e società affiliate. La scelta organizzativa determina quanto di un fondo sia leggibile: si accerta caso per caso sulla banca dati pubblica della SEC.</w:t>
      </w:r>
    </w:p>
    <w:p>
      <w:pPr>
        <w:spacing w:after="120" w:line="276"/>
        <w:jc w:val="both"/>
      </w:pPr>
      <w:r>
        <w:rPr>
          <w:rFonts w:ascii="Barlow Semi Condensed" w:cs="Barlow Semi Condensed" w:eastAsia="Barlow Semi Condensed" w:hAnsi="Barlow Semi Condensed"/>
          <w:b/>
          <w:bCs/>
          <w:sz w:val="24"/>
          <w:szCs w:val="24"/>
        </w:rPr>
        <w:t xml:space="preserve">820 · La società spaziale e il silenzio legittimo.</w:t>
      </w:r>
      <w:r>
        <w:rPr>
          <w:rFonts w:ascii="Barlow Semi Condensed" w:cs="Barlow Semi Condensed" w:eastAsia="Barlow Semi Condensed" w:hAnsi="Barlow Semi Condensed"/>
          <w:sz w:val="24"/>
          <w:szCs w:val="24"/>
        </w:rPr>
        <w:t xml:space="preserve"> Un'impresa rimasta privata per oltre vent'anni, finanziata con collocamenti esenti, non deposita bilanci, non convoca assemblee pubbliche, non pubblica compensi. Di essa esistono su EDGAR i moduli D con importi e date, e null'altro. Non è opacità: è il regime ordinario del capitale privato negli Stati Uniti. Chi ne deduce una volontà di occultamento attribuisce a una scelta di struttura un significato che la struttura non ha.</w:t>
      </w:r>
    </w:p>
    <w:p>
      <w:pPr>
        <w:spacing w:after="120" w:line="276"/>
        <w:jc w:val="both"/>
      </w:pPr>
      <w:r>
        <w:rPr>
          <w:rFonts w:ascii="Barlow Semi Condensed" w:cs="Barlow Semi Condensed" w:eastAsia="Barlow Semi Condensed" w:hAnsi="Barlow Semi Condensed"/>
          <w:b/>
          <w:bCs/>
          <w:sz w:val="24"/>
          <w:szCs w:val="24"/>
        </w:rPr>
        <w:t xml:space="preserve">821 · I moduli D anteriori al 2009.</w:t>
      </w:r>
      <w:r>
        <w:rPr>
          <w:rFonts w:ascii="Barlow Semi Condensed" w:cs="Barlow Semi Condensed" w:eastAsia="Barlow Semi Condensed" w:hAnsi="Barlow Semi Condensed"/>
          <w:sz w:val="24"/>
          <w:szCs w:val="24"/>
        </w:rPr>
        <w:t xml:space="preserve"> Il deposito elettronico del modulo D è obbligatorio dal 2009. Le notifiche relative ai finanziamenti della seconda metà degli anni Novanta furono depositate su carta e non compaiono nella ricerca a testo pieno di EDGAR. Il quesito d'archivio è dunque materiale: richiedere alla SEC, per via di accesso agli atti, le copie cartacee relative agli emittenti e agli anni indicati. Finché non è fatto, l'assenza online non è un'assenza.</w:t>
      </w:r>
    </w:p>
    <w:p>
      <w:pPr>
        <w:spacing w:after="120" w:line="276"/>
        <w:jc w:val="both"/>
      </w:pPr>
      <w:r>
        <w:rPr>
          <w:rFonts w:ascii="Barlow Semi Condensed" w:cs="Barlow Semi Condensed" w:eastAsia="Barlow Semi Condensed" w:hAnsi="Barlow Semi Condensed"/>
          <w:b/>
          <w:bCs/>
          <w:sz w:val="24"/>
          <w:szCs w:val="24"/>
        </w:rPr>
        <w:t xml:space="preserve">822 · La notifica californiana come via laterale.</w:t>
      </w:r>
      <w:r>
        <w:rPr>
          <w:rFonts w:ascii="Barlow Semi Condensed" w:cs="Barlow Semi Condensed" w:eastAsia="Barlow Semi Condensed" w:hAnsi="Barlow Semi Condensed"/>
          <w:sz w:val="24"/>
          <w:szCs w:val="24"/>
        </w:rPr>
        <w:t xml:space="preserve"> L'ordinamento della California impone all'emittente che si avvalga dell'esenzione statale il deposito di una notifica presso l'autorità di vigilanza finanziaria, oggi il Department of Financial Protection and Innovation. È una fonte poco frequentata e potenzialmente decisiva per i collocamenti della Silicon Valley degli anni Novanta, quando il canale federale era cartaceo. Il blocco è un compito: verificare tempi di conservazione e regime di accesso di quelle notifiche.</w:t>
      </w:r>
    </w:p>
    <w:p>
      <w:pPr>
        <w:spacing w:after="120" w:line="276"/>
        <w:jc w:val="both"/>
      </w:pPr>
      <w:r>
        <w:rPr>
          <w:rFonts w:ascii="Barlow Semi Condensed" w:cs="Barlow Semi Condensed" w:eastAsia="Barlow Semi Condensed" w:hAnsi="Barlow Semi Condensed"/>
          <w:b/>
          <w:bCs/>
          <w:sz w:val="24"/>
          <w:szCs w:val="24"/>
        </w:rPr>
        <w:t xml:space="preserve">823 · La miniera senza titolo.</w:t>
      </w:r>
      <w:r>
        <w:rPr>
          <w:rFonts w:ascii="Barlow Semi Condensed" w:cs="Barlow Semi Condensed" w:eastAsia="Barlow Semi Condensed" w:hAnsi="Barlow Semi Condensed"/>
          <w:sz w:val="24"/>
          <w:szCs w:val="24"/>
        </w:rPr>
        <w:t xml:space="preserve"> Sulla miniera di smeraldi attribuita al padre di Elon Musk esiste una divergenza pubblica che il corpus riporta e non scioglie: il padre rivendica un'attività informale in Zambia; il figlio ha negato pubblicamente che una miniera esistesse e ne ha chiesto la prova; il biografo Isaacson descrive l'acquisto informale di pietre grezze. Nessun documento di titolarità è mai emerso. La divergenza resta, e resta la sede che potrebbe chiuderla.</w:t>
      </w:r>
    </w:p>
    <w:p>
      <w:pPr>
        <w:spacing w:after="120" w:line="276"/>
        <w:jc w:val="both"/>
      </w:pPr>
      <w:r>
        <w:rPr>
          <w:rFonts w:ascii="Barlow Semi Condensed" w:cs="Barlow Semi Condensed" w:eastAsia="Barlow Semi Condensed" w:hAnsi="Barlow Semi Condensed"/>
          <w:b/>
          <w:bCs/>
          <w:sz w:val="24"/>
          <w:szCs w:val="24"/>
        </w:rPr>
        <w:t xml:space="preserve">824 · Lusaka: catasto minerario e registro imprese.</w:t>
      </w:r>
      <w:r>
        <w:rPr>
          <w:rFonts w:ascii="Barlow Semi Condensed" w:cs="Barlow Semi Condensed" w:eastAsia="Barlow Semi Condensed" w:hAnsi="Barlow Semi Condensed"/>
          <w:sz w:val="24"/>
          <w:szCs w:val="24"/>
        </w:rPr>
        <w:t xml:space="preserve"> La sede che chiuderebbe il quesito precedente è nominabile con esattezza: il catasto minerario del ministero competente a Lusaka, che registra licenze di prospezione e di estrazione con titolare e coordinate, e l'agenzia zambiana per la registrazione delle imprese, per l'eventuale società. Vi si aggiunge la Gazzetta governativa. Una licenza mineraria, se esiste, ha un numero: la ricerca finisce quando il numero c'è, o quando è verbalizzato che non c'è.</w:t>
      </w:r>
    </w:p>
    <w:p>
      <w:pPr>
        <w:spacing w:after="120" w:line="276"/>
        <w:jc w:val="both"/>
      </w:pPr>
      <w:r>
        <w:rPr>
          <w:rFonts w:ascii="Barlow Semi Condensed" w:cs="Barlow Semi Condensed" w:eastAsia="Barlow Semi Condensed" w:hAnsi="Barlow Semi Condensed"/>
          <w:b/>
          <w:bCs/>
          <w:sz w:val="24"/>
          <w:szCs w:val="24"/>
        </w:rPr>
        <w:t xml:space="preserve">825 · L'attività professionale del padre.</w:t>
      </w:r>
      <w:r>
        <w:rPr>
          <w:rFonts w:ascii="Barlow Semi Condensed" w:cs="Barlow Semi Condensed" w:eastAsia="Barlow Semi Condensed" w:hAnsi="Barlow Semi Condensed"/>
          <w:sz w:val="24"/>
          <w:szCs w:val="24"/>
        </w:rPr>
        <w:t xml:space="preserve"> L'esercizio della professione d'ingegnere in Sud Africa lascia due tracce pubbliche indipendenti: l'iscrizione all'albo professionale nazionale e l'eventuale società o close corporation nei fascicoli del registro di Pretoria. Sono verifiche ordinarie e non intrusive, e riguardano fatti pubblici: iscrizione, denominazione, date. Servono a stabilire che cosa sia documentato di un'attività economica largamente raccontata a voce, e a separare il documentato dal riferito.</w:t>
      </w:r>
    </w:p>
    <w:p>
      <w:pPr>
        <w:spacing w:after="120" w:line="276"/>
        <w:jc w:val="both"/>
      </w:pPr>
      <w:r>
        <w:rPr>
          <w:rFonts w:ascii="Barlow Semi Condensed" w:cs="Barlow Semi Condensed" w:eastAsia="Barlow Semi Condensed" w:hAnsi="Barlow Semi Condensed"/>
          <w:b/>
          <w:bCs/>
          <w:sz w:val="24"/>
          <w:szCs w:val="24"/>
        </w:rPr>
        <w:t xml:space="preserve">826 · Il patrimonio del nonno emigrato.</w:t>
      </w:r>
      <w:r>
        <w:rPr>
          <w:rFonts w:ascii="Barlow Semi Condensed" w:cs="Barlow Semi Condensed" w:eastAsia="Barlow Semi Condensed" w:hAnsi="Barlow Semi Condensed"/>
          <w:sz w:val="24"/>
          <w:szCs w:val="24"/>
        </w:rPr>
        <w:t xml:space="preserve"> Joshua Norman Haldeman emigrò in Sud Africa nel 1950. Le tracce patrimoniali di un'emigrazione simile, se esistono, stanno nei registri fondiari provinciali sudafricani, nei fascicoli societari di Pretoria e, sul versante canadese, nei registri d'impresa provinciali e nelle successioni aperte presso le corti. È un cantiere aperto e mai eseguito. Le opinioni pubbliche di quell'uomo, documentate altrove, non sono un dato patrimoniale e non entrano in questa serie.</w:t>
      </w:r>
    </w:p>
    <w:p>
      <w:pPr>
        <w:spacing w:after="120" w:line="276"/>
        <w:jc w:val="both"/>
      </w:pPr>
      <w:r>
        <w:rPr>
          <w:rFonts w:ascii="Barlow Semi Condensed" w:cs="Barlow Semi Condensed" w:eastAsia="Barlow Semi Condensed" w:hAnsi="Barlow Semi Condensed"/>
          <w:b/>
          <w:bCs/>
          <w:sz w:val="24"/>
          <w:szCs w:val="24"/>
        </w:rPr>
        <w:t xml:space="preserve">827 · Il finanziamento politico prima del 2021.</w:t>
      </w:r>
      <w:r>
        <w:rPr>
          <w:rFonts w:ascii="Barlow Semi Condensed" w:cs="Barlow Semi Condensed" w:eastAsia="Barlow Semi Condensed" w:hAnsi="Barlow Semi Condensed"/>
          <w:sz w:val="24"/>
          <w:szCs w:val="24"/>
        </w:rPr>
        <w:t xml:space="preserve"> In Sud Africa l'obbligo di rendere pubbliche le donazioni ai partiti sopra una soglia determinata è entrato in vigore soltanto nel 2021, in forza della legge del 2018 sul finanziamento dei partiti politici, e le comunicazioni sono pubblicate dalla commissione elettorale. Per tutto il periodo precedente, apartheid compreso, non esiste alcun registro pubblico. Nessuna richiesta d'accesso può produrre un documento che la legge non obbligava a formare.</w:t>
      </w:r>
    </w:p>
    <w:p>
      <w:pPr>
        <w:spacing w:after="120" w:line="276"/>
        <w:jc w:val="both"/>
      </w:pPr>
      <w:r>
        <w:rPr>
          <w:rFonts w:ascii="Barlow Semi Condensed" w:cs="Barlow Semi Condensed" w:eastAsia="Barlow Semi Condensed" w:hAnsi="Barlow Semi Condensed"/>
          <w:b/>
          <w:bCs/>
          <w:sz w:val="24"/>
          <w:szCs w:val="24"/>
        </w:rPr>
        <w:t xml:space="preserve">828 · La finestra svizzera che fu chiusa.</w:t>
      </w:r>
      <w:r>
        <w:rPr>
          <w:rFonts w:ascii="Barlow Semi Condensed" w:cs="Barlow Semi Condensed" w:eastAsia="Barlow Semi Condensed" w:hAnsi="Barlow Semi Condensed"/>
          <w:sz w:val="24"/>
          <w:szCs w:val="24"/>
        </w:rPr>
        <w:t xml:space="preserve"> Nella ricerca storica sulle relazioni fra Svizzera e Sud Africa risulta pubblicamente che l'accesso a documentazione bancaria fu limitato da una decisione del governo federale nei primi anni Duemila, mentre pendevano azioni civili all'estero. Il blocco è un compito preciso: reperire l'atto, datarlo, citarne il dispositivo. Una restrizione d'accesso documentata vale quanto un documento: dice dove la ricerca è stata fermata, e da chi.</w:t>
      </w:r>
    </w:p>
    <w:p>
      <w:pPr>
        <w:spacing w:after="120" w:line="276"/>
        <w:jc w:val="both"/>
      </w:pPr>
      <w:r>
        <w:rPr>
          <w:rFonts w:ascii="Barlow Semi Condensed" w:cs="Barlow Semi Condensed" w:eastAsia="Barlow Semi Condensed" w:hAnsi="Barlow Semi Condensed"/>
          <w:b/>
          <w:bCs/>
          <w:sz w:val="24"/>
          <w:szCs w:val="24"/>
        </w:rPr>
        <w:t xml:space="preserve">829 · Il contenzioso apre i libri.</w:t>
      </w:r>
      <w:r>
        <w:rPr>
          <w:rFonts w:ascii="Barlow Semi Condensed" w:cs="Barlow Semi Condensed" w:eastAsia="Barlow Semi Condensed" w:hAnsi="Barlow Semi Condensed"/>
          <w:sz w:val="24"/>
          <w:szCs w:val="24"/>
        </w:rPr>
        <w:t xml:space="preserve"> Il contenzioso civile è la sola macchina ordinaria che costringa un'impresa privata a produrre i propri libri. Atti, allegati e deposizioni depositati presso una corte diventano di regola consultabili, e negli Stati Uniti si raggiungono dal sistema telematico dei tribunali federali e dai registri delle corti statali. Il ricercatore che ignora i fascicoli giudiziari rinuncia alla fonte più ricca che esista sul capitale privato.</w:t>
      </w:r>
    </w:p>
    <w:p>
      <w:pPr>
        <w:spacing w:after="120" w:line="276"/>
        <w:jc w:val="both"/>
      </w:pPr>
      <w:r>
        <w:rPr>
          <w:rFonts w:ascii="Barlow Semi Condensed" w:cs="Barlow Semi Condensed" w:eastAsia="Barlow Semi Condensed" w:hAnsi="Barlow Semi Condensed"/>
          <w:b/>
          <w:bCs/>
          <w:sz w:val="24"/>
          <w:szCs w:val="24"/>
        </w:rPr>
        <w:t xml:space="preserve">830 · L'azione di accesso ai libri sociali.</w:t>
      </w:r>
      <w:r>
        <w:rPr>
          <w:rFonts w:ascii="Barlow Semi Condensed" w:cs="Barlow Semi Condensed" w:eastAsia="Barlow Semi Condensed" w:hAnsi="Barlow Semi Condensed"/>
          <w:sz w:val="24"/>
          <w:szCs w:val="24"/>
        </w:rPr>
        <w:t xml:space="preserve"> Il diritto societario del Delaware riconosce al socio, a determinate condizioni, il potere di chiedere l'esibizione dei libri sociali, e le controversie che ne nascono producono decisioni pubbliche in cui compaiono documenti interni. È una via indiretta e legittima: non si accede ai libri, si legge ciò che una corte ha ritenuto di riportarne. Le raccolte delle decisioni della Court of Chancery sono integralmente consultabili.</w:t>
      </w:r>
    </w:p>
    <w:p>
      <w:pPr>
        <w:spacing w:after="120" w:line="276"/>
        <w:jc w:val="both"/>
      </w:pPr>
      <w:r>
        <w:rPr>
          <w:rFonts w:ascii="Barlow Semi Condensed" w:cs="Barlow Semi Condensed" w:eastAsia="Barlow Semi Condensed" w:hAnsi="Barlow Semi Condensed"/>
          <w:b/>
          <w:bCs/>
          <w:sz w:val="24"/>
          <w:szCs w:val="24"/>
        </w:rPr>
        <w:t xml:space="preserve">831 · Il fallimento come inventario forzato.</w:t>
      </w:r>
      <w:r>
        <w:rPr>
          <w:rFonts w:ascii="Barlow Semi Condensed" w:cs="Barlow Semi Condensed" w:eastAsia="Barlow Semi Condensed" w:hAnsi="Barlow Semi Condensed"/>
          <w:sz w:val="24"/>
          <w:szCs w:val="24"/>
        </w:rPr>
        <w:t xml:space="preserve"> La procedura concorsuale statunitense obbliga il debitore a depositare elenchi di creditori, contratti in corso e talvolta l'elenco dei soci. È l'unico caso in cui una società privata pubblica una fotografia completa del proprio passivo. Per la ricerca patrimoniale è un giacimento sottoutilizzato: le imprese fallite lasciano più carta pubblica delle imprese prospere. Il fascicolo si consulta presso la corte fallimentare competente.</w:t>
      </w:r>
    </w:p>
    <w:p>
      <w:pPr>
        <w:spacing w:after="120" w:line="276"/>
        <w:jc w:val="both"/>
      </w:pPr>
      <w:r>
        <w:rPr>
          <w:rFonts w:ascii="Barlow Semi Condensed" w:cs="Barlow Semi Condensed" w:eastAsia="Barlow Semi Condensed" w:hAnsi="Barlow Semi Condensed"/>
          <w:b/>
          <w:bCs/>
          <w:sz w:val="24"/>
          <w:szCs w:val="24"/>
        </w:rPr>
        <w:t xml:space="preserve">832 · Successioni e tutele come archivi involontari.</w:t>
      </w:r>
      <w:r>
        <w:rPr>
          <w:rFonts w:ascii="Barlow Semi Condensed" w:cs="Barlow Semi Condensed" w:eastAsia="Barlow Semi Condensed" w:hAnsi="Barlow Semi Condensed"/>
          <w:sz w:val="24"/>
          <w:szCs w:val="24"/>
        </w:rPr>
        <w:t xml:space="preserve"> Il testamento ammesso a successione diventa di regola atto pubblico presso la corte competente, e con esso possono emergere richiami a trust altrimenti invisibili. Anche le procedure di tutela e le controversie familiari producono fascicoli, spesso però sottoposti a segreto. La regola operativa è duplice: verificare sempre l'esistenza di una successione aperta, e non trattare come sottratto ciò che è semplicemente riservato per legge.</w:t>
      </w:r>
    </w:p>
    <w:p>
      <w:pPr>
        <w:spacing w:after="120" w:line="276"/>
        <w:jc w:val="both"/>
      </w:pPr>
      <w:r>
        <w:rPr>
          <w:rFonts w:ascii="Barlow Semi Condensed" w:cs="Barlow Semi Condensed" w:eastAsia="Barlow Semi Condensed" w:hAnsi="Barlow Semi Condensed"/>
          <w:b/>
          <w:bCs/>
          <w:sz w:val="24"/>
          <w:szCs w:val="24"/>
        </w:rPr>
        <w:t xml:space="preserve">833 · I fondi pensione pubblici come specchio.</w:t>
      </w:r>
      <w:r>
        <w:rPr>
          <w:rFonts w:ascii="Barlow Semi Condensed" w:cs="Barlow Semi Condensed" w:eastAsia="Barlow Semi Condensed" w:hAnsi="Barlow Semi Condensed"/>
          <w:sz w:val="24"/>
          <w:szCs w:val="24"/>
        </w:rPr>
        <w:t xml:space="preserve"> L'identità dei sottoscrittori di un fondo di venture capital, invisibile nei registri societari, riemerge da un lato inatteso: i fondi pensione pubblici statunitensi sono tenuti dalle leggi statali sulla trasparenza a pubblicare i veicoli sottoscritti e i loro rendimenti. Le relazioni periodiche del fondo dei dipendenti pubblici californiani e degli enti analoghi nominano fondi, annate, capitale versato e distribuzioni. È la via aperta più solida.</w:t>
      </w:r>
    </w:p>
    <w:p>
      <w:pPr>
        <w:spacing w:after="120" w:line="276"/>
        <w:jc w:val="both"/>
      </w:pPr>
      <w:r>
        <w:rPr>
          <w:rFonts w:ascii="Barlow Semi Condensed" w:cs="Barlow Semi Condensed" w:eastAsia="Barlow Semi Condensed" w:hAnsi="Barlow Semi Condensed"/>
          <w:b/>
          <w:bCs/>
          <w:sz w:val="24"/>
          <w:szCs w:val="24"/>
        </w:rPr>
        <w:t xml:space="preserve">834 · La richiesta agli enti previdenziali.</w:t>
      </w:r>
      <w:r>
        <w:rPr>
          <w:rFonts w:ascii="Barlow Semi Condensed" w:cs="Barlow Semi Condensed" w:eastAsia="Barlow Semi Condensed" w:hAnsi="Barlow Semi Condensed"/>
          <w:sz w:val="24"/>
          <w:szCs w:val="24"/>
        </w:rPr>
        <w:t xml:space="preserve"> Dove la relazione periodica non basta, la via è la richiesta d'accesso agli atti rivolta all'ente previdenziale statale, che di regola risponde con le schede dei singoli veicoli. Le esclusioni riguardano tipicamente i dati commerciali riservati del gestore, non l'esistenza del rapporto. Il blocco fissa la procedura: individuare l'ente, citare la legge statale applicabile, chiedere per annate determinate e verbalizzare anche il diniego.</w:t>
      </w:r>
    </w:p>
    <w:p>
      <w:pPr>
        <w:spacing w:after="120" w:line="276"/>
        <w:jc w:val="both"/>
      </w:pPr>
      <w:r>
        <w:rPr>
          <w:rFonts w:ascii="Barlow Semi Condensed" w:cs="Barlow Semi Condensed" w:eastAsia="Barlow Semi Condensed" w:hAnsi="Barlow Semi Condensed"/>
          <w:b/>
          <w:bCs/>
          <w:sz w:val="24"/>
          <w:szCs w:val="24"/>
        </w:rPr>
        <w:t xml:space="preserve">835 · Gli obblighi dell'insider quotato.</w:t>
      </w:r>
      <w:r>
        <w:rPr>
          <w:rFonts w:ascii="Barlow Semi Condensed" w:cs="Barlow Semi Condensed" w:eastAsia="Barlow Semi Condensed" w:hAnsi="Barlow Semi Condensed"/>
          <w:sz w:val="24"/>
          <w:szCs w:val="24"/>
        </w:rPr>
        <w:t xml:space="preserve"> Chi è amministratore, dirigente o titolare oltre il decimo di una società quotata statunitense deposita i moduli 3, 4 e 5, che registrano ogni operazione entro termini brevissimi. Ne risulta una cronologia patrimoniale continua e pubblica, comprese le donazioni di titoli. Per le persone che quest'opera nomina, l'elenco degli incarichi in società quotate si compila interrogando per cognome la ricerca a testo pieno di EDGAR: fatto pubblico, non inferenza.</w:t>
      </w:r>
    </w:p>
    <w:p>
      <w:pPr>
        <w:spacing w:after="120" w:line="276"/>
        <w:jc w:val="both"/>
      </w:pPr>
      <w:r>
        <w:rPr>
          <w:rFonts w:ascii="Barlow Semi Condensed" w:cs="Barlow Semi Condensed" w:eastAsia="Barlow Semi Condensed" w:hAnsi="Barlow Semi Condensed"/>
          <w:b/>
          <w:bCs/>
          <w:sz w:val="24"/>
          <w:szCs w:val="24"/>
        </w:rPr>
        <w:t xml:space="preserve">836 · Due documenti che chiudono un cerchio.</w:t>
      </w:r>
      <w:r>
        <w:rPr>
          <w:rFonts w:ascii="Barlow Semi Condensed" w:cs="Barlow Semi Condensed" w:eastAsia="Barlow Semi Condensed" w:hAnsi="Barlow Semi Condensed"/>
          <w:sz w:val="24"/>
          <w:szCs w:val="24"/>
        </w:rPr>
        <w:t xml:space="preserve"> Un esercizio esemplare di collazione: la donazione di titoli quotati compare nel modulo 4 dell'insider con data e quantità, e l'ingresso di quegli stessi titoli compare l'anno seguente nel modulo 990-PF della fondazione ricevente. Due depositi obbligatori, due autorità diverse, un unico fatto. Quando la collazione riesce, il passaggio è documentato al primo piano; quando non riesce, si scrive quale dei due documenti manchi.</w:t>
      </w:r>
    </w:p>
    <w:p>
      <w:pPr>
        <w:spacing w:after="120" w:line="276"/>
        <w:jc w:val="both"/>
      </w:pPr>
      <w:r>
        <w:rPr>
          <w:rFonts w:ascii="Barlow Semi Condensed" w:cs="Barlow Semi Condensed" w:eastAsia="Barlow Semi Condensed" w:hAnsi="Barlow Semi Condensed"/>
          <w:b/>
          <w:bCs/>
          <w:sz w:val="24"/>
          <w:szCs w:val="24"/>
        </w:rPr>
        <w:t xml:space="preserve">837 · Le stime di ricchezza non sono depositi.</w:t>
      </w:r>
      <w:r>
        <w:rPr>
          <w:rFonts w:ascii="Barlow Semi Condensed" w:cs="Barlow Semi Condensed" w:eastAsia="Barlow Semi Condensed" w:hAnsi="Barlow Semi Condensed"/>
          <w:sz w:val="24"/>
          <w:szCs w:val="24"/>
        </w:rPr>
        <w:t xml:space="preserve"> Le classifiche patrimoniali pubblicate dalle testate finanziarie sono stime costruite su valori di mercato, quote presunte e sconti di illiquidità. Non sono depositi, non sono verificabili nel dettaglio e cambiano di giorno in giorno. Nel corpus valgono al più come indicatore d'ordine di grandezza, mai come accertamento. Vale la disciplina applicata dai nove cantieri alle cifre del fondo del 1978: si cita la fonte e si dichiara che è una stima.</w:t>
      </w:r>
    </w:p>
    <w:p>
      <w:pPr>
        <w:spacing w:after="120" w:line="276"/>
        <w:jc w:val="both"/>
      </w:pPr>
      <w:r>
        <w:rPr>
          <w:rFonts w:ascii="Barlow Semi Condensed" w:cs="Barlow Semi Condensed" w:eastAsia="Barlow Semi Condensed" w:hAnsi="Barlow Semi Condensed"/>
          <w:b/>
          <w:bCs/>
          <w:sz w:val="24"/>
          <w:szCs w:val="24"/>
        </w:rPr>
        <w:t xml:space="preserve">838 · Le banche dati di fuga documentale.</w:t>
      </w:r>
      <w:r>
        <w:rPr>
          <w:rFonts w:ascii="Barlow Semi Condensed" w:cs="Barlow Semi Condensed" w:eastAsia="Barlow Semi Condensed" w:hAnsi="Barlow Semi Condensed"/>
          <w:sz w:val="24"/>
          <w:szCs w:val="24"/>
        </w:rPr>
        <w:t xml:space="preserve"> Gli archivi pubblicati da consorzi giornalistici a partire da documenti sottratti sono consultabili e talvolta molto precisi. Restano però documenti di provenienza non ufficiale: la presenza di un'entità attesta che un documento di quella provenienza la nomina, e nulla di più; l'assenza non attesta nulla. Si citano dichiarando origine e limite, e non si usano mai per elevare un'affermazione di terzo piano al primo.</w:t>
      </w:r>
    </w:p>
    <w:p>
      <w:pPr>
        <w:spacing w:after="120" w:line="276"/>
        <w:jc w:val="both"/>
      </w:pPr>
      <w:r>
        <w:rPr>
          <w:rFonts w:ascii="Barlow Semi Condensed" w:cs="Barlow Semi Condensed" w:eastAsia="Barlow Semi Condensed" w:hAnsi="Barlow Semi Condensed"/>
          <w:b/>
          <w:bCs/>
          <w:sz w:val="24"/>
          <w:szCs w:val="24"/>
        </w:rPr>
        <w:t xml:space="preserve">839 · La ripetizione non è riscontro (serie XI).</w:t>
      </w:r>
      <w:r>
        <w:rPr>
          <w:rFonts w:ascii="Barlow Semi Condensed" w:cs="Barlow Semi Condensed" w:eastAsia="Barlow Semi Condensed" w:hAnsi="Barlow Semi Condensed"/>
          <w:sz w:val="24"/>
          <w:szCs w:val="24"/>
        </w:rPr>
        <w:t xml:space="preserve"> Su questa materia la rete produce testi identici in decine di siti militanti, in accusa e in difesa, che ripetono le stesse formule senza aggiungere un atto. Il numero delle occorrenze non è un indice di verità: è un indice di copiatura. Vale la regola già fissata dal blocco 9 della triangolazione Kissinger sui falsi positivi: prima di interrogare un archivio si stabilisce che cosa si cerca, perché l'archivio risponde alla domanda.</w:t>
      </w:r>
    </w:p>
    <w:p>
      <w:pPr>
        <w:spacing w:after="120" w:line="276"/>
        <w:jc w:val="both"/>
      </w:pPr>
      <w:r>
        <w:rPr>
          <w:rFonts w:ascii="Barlow Semi Condensed" w:cs="Barlow Semi Condensed" w:eastAsia="Barlow Semi Condensed" w:hAnsi="Barlow Semi Condensed"/>
          <w:b/>
          <w:bCs/>
          <w:sz w:val="24"/>
          <w:szCs w:val="24"/>
        </w:rPr>
        <w:t xml:space="preserve">840 · Datare il regime, non solo il fatto.</w:t>
      </w:r>
      <w:r>
        <w:rPr>
          <w:rFonts w:ascii="Barlow Semi Condensed" w:cs="Barlow Semi Condensed" w:eastAsia="Barlow Semi Condensed" w:hAnsi="Barlow Semi Condensed"/>
          <w:sz w:val="24"/>
          <w:szCs w:val="24"/>
        </w:rPr>
        <w:t xml:space="preserve"> Ogni affermazione di questa serie sulla disponibilità di un'informazione va accompagnata dalla data del regime che la governa, perché i regimi cambiano rapidamente: registri europei chiusi nel 2022, obbligo statunitense sui titolari effettivi introdotto nel 2024 e ristretto nel 2025, verifica d'identità britannica dal 2025. Una nota su ciò che è pubblico invecchia in mesi. Chi non data la propria affermazione la rende infalsificabile.</w:t>
      </w:r>
    </w:p>
    <w:p>
      <w:pPr>
        <w:spacing w:after="120" w:line="276"/>
        <w:jc w:val="both"/>
      </w:pPr>
      <w:r>
        <w:rPr>
          <w:rFonts w:ascii="Barlow Semi Condensed" w:cs="Barlow Semi Condensed" w:eastAsia="Barlow Semi Condensed" w:hAnsi="Barlow Semi Condensed"/>
          <w:b/>
          <w:bCs/>
          <w:sz w:val="24"/>
          <w:szCs w:val="24"/>
        </w:rPr>
        <w:t xml:space="preserve">841 · L'aritmetica prima dell'archivio.</w:t>
      </w:r>
      <w:r>
        <w:rPr>
          <w:rFonts w:ascii="Barlow Semi Condensed" w:cs="Barlow Semi Condensed" w:eastAsia="Barlow Semi Condensed" w:hAnsi="Barlow Semi Condensed"/>
          <w:sz w:val="24"/>
          <w:szCs w:val="24"/>
        </w:rPr>
        <w:t xml:space="preserve"> Conviene fare i conti prima di chiedere un documento. I nove cantieri lo prescrivono al blocco 189 per il contante del 1978: tagli, volumi, pesi, fattibilità materiale della consegna raccontata. Qui vale lo stesso, con un'aggiunta: gli importi attraversano rand, lire e dollari lungo trent'anni di inflazioni diverse, e vanno riportati in valuta e anno d'origine, dichiarando l'indice di ogni conversione. L'aritmetica non costa archivi e smonta le narrazioni incompatibili.</w:t>
      </w:r>
    </w:p>
    <w:p>
      <w:pPr>
        <w:spacing w:after="120" w:line="276"/>
        <w:jc w:val="both"/>
      </w:pPr>
      <w:r>
        <w:rPr>
          <w:rFonts w:ascii="Barlow Semi Condensed" w:cs="Barlow Semi Condensed" w:eastAsia="Barlow Semi Condensed" w:hAnsi="Barlow Semi Condensed"/>
          <w:b/>
          <w:bCs/>
          <w:sz w:val="24"/>
          <w:szCs w:val="24"/>
        </w:rPr>
        <w:t xml:space="preserve">842 · Il curriculum attestato dai depositi.</w:t>
      </w:r>
      <w:r>
        <w:rPr>
          <w:rFonts w:ascii="Barlow Semi Condensed" w:cs="Barlow Semi Condensed" w:eastAsia="Barlow Semi Condensed" w:hAnsi="Barlow Semi Condensed"/>
          <w:sz w:val="24"/>
          <w:szCs w:val="24"/>
        </w:rPr>
        <w:t xml:space="preserve"> Di Roelof Botha, direttore finanziario di PayPal e poi socio e managing partner di Sequoia Capital, i fatti professionali si attestano su documenti pubblici: i depositi della società presso la SEC e la banca dati degli intermediari per il gestore. Una precisazione anagrafica va fatta qui, perché altrove genera errori sistematici: Pik Botha, suo nonno e ministro degli Esteri dal 1977 al 1994, non era parente di P.W. Botha, presidente dello Stato.</w:t>
      </w:r>
    </w:p>
    <w:p>
      <w:pPr>
        <w:spacing w:after="120" w:line="276"/>
        <w:jc w:val="both"/>
      </w:pPr>
      <w:r>
        <w:rPr>
          <w:rFonts w:ascii="Barlow Semi Condensed" w:cs="Barlow Semi Condensed" w:eastAsia="Barlow Semi Condensed" w:hAnsi="Barlow Semi Condensed"/>
          <w:b/>
          <w:bCs/>
          <w:sz w:val="24"/>
          <w:szCs w:val="24"/>
        </w:rPr>
        <w:t xml:space="preserve">843 · Il centro buio del capitale privato.</w:t>
      </w:r>
      <w:r>
        <w:rPr>
          <w:rFonts w:ascii="Barlow Semi Condensed" w:cs="Barlow Semi Condensed" w:eastAsia="Barlow Semi Condensed" w:hAnsi="Barlow Semi Condensed"/>
          <w:sz w:val="24"/>
          <w:szCs w:val="24"/>
        </w:rPr>
        <w:t xml:space="preserve"> La geometria informativa del capitale privato è costante: si vede l'inizio, si vede la fine, non si vede il mezzo. L'inizio è la notifica dell'offerta, la fine è il prospetto di quotazione o l'atto d'acquisizione da parte di un soggetto quotato. Nel mezzo stanno gli anni delle scelte, ed è la zona che nessun deposito obbligatorio illumina. Sapere che il centro è buio impedisce di scambiarne il buio per un segreto.</w:t>
      </w:r>
    </w:p>
    <w:p>
      <w:pPr>
        <w:spacing w:after="120" w:line="276"/>
        <w:jc w:val="both"/>
      </w:pPr>
      <w:r>
        <w:rPr>
          <w:rFonts w:ascii="Barlow Semi Condensed" w:cs="Barlow Semi Condensed" w:eastAsia="Barlow Semi Condensed" w:hAnsi="Barlow Semi Condensed"/>
          <w:b/>
          <w:bCs/>
          <w:sz w:val="24"/>
          <w:szCs w:val="24"/>
        </w:rPr>
        <w:t xml:space="preserve">844 · Il titolare legale e quello effettivo.</w:t>
      </w:r>
      <w:r>
        <w:rPr>
          <w:rFonts w:ascii="Barlow Semi Condensed" w:cs="Barlow Semi Condensed" w:eastAsia="Barlow Semi Condensed" w:hAnsi="Barlow Semi Condensed"/>
          <w:sz w:val="24"/>
          <w:szCs w:val="24"/>
        </w:rPr>
        <w:t xml:space="preserve"> Due nozioni che i documenti confondono e la ricerca deve separare: titolare legale è chi risulta iscritto, titolare effettivo è chi in ultimo controlla o beneficia. I registri societari attestano quasi sempre il primo. Un intestatario fiduciario, una società interposta o un socio accomandatario possono risultare titolari legali senza esserlo in senso economico. Ogni scheda patrimoniale del cantiere deve dichiarare quale delle due nozioni stia usando.</w:t>
      </w:r>
    </w:p>
    <w:p>
      <w:pPr>
        <w:spacing w:after="120" w:line="276"/>
        <w:jc w:val="both"/>
      </w:pPr>
      <w:r>
        <w:rPr>
          <w:rFonts w:ascii="Barlow Semi Condensed" w:cs="Barlow Semi Condensed" w:eastAsia="Barlow Semi Condensed" w:hAnsi="Barlow Semi Condensed"/>
          <w:b/>
          <w:bCs/>
          <w:sz w:val="24"/>
          <w:szCs w:val="24"/>
        </w:rPr>
        <w:t xml:space="preserve">845 · Prima smentita: capitale interamente americano.</w:t>
      </w:r>
      <w:r>
        <w:rPr>
          <w:rFonts w:ascii="Barlow Semi Condensed" w:cs="Barlow Semi Condensed" w:eastAsia="Barlow Semi Condensed" w:hAnsi="Barlow Semi Condensed"/>
          <w:sz w:val="24"/>
          <w:szCs w:val="24"/>
        </w:rPr>
        <w:t xml:space="preserve"> Un bersaglio di smentita, dichiarato per esteso. Se i documenti dei finanziamenti iniziali delle imprese fondatrici mostrassero un capitale integralmente proveniente da fondi istituzionali statunitensi, senza alcun apporto riconducibile all'Africa australe, la tesi di una continuità patrimoniale perderebbe la propria gamba finanziaria. Le sedi che lo accerterebbero sono già nominate in questa serie: notifiche cartacee alla SEC, notifica californiana, tavole del prospetto del 2001.</w:t>
      </w:r>
    </w:p>
    <w:p>
      <w:pPr>
        <w:spacing w:after="120" w:line="276"/>
        <w:jc w:val="both"/>
      </w:pPr>
      <w:r>
        <w:rPr>
          <w:rFonts w:ascii="Barlow Semi Condensed" w:cs="Barlow Semi Condensed" w:eastAsia="Barlow Semi Condensed" w:hAnsi="Barlow Semi Condensed"/>
          <w:b/>
          <w:bCs/>
          <w:sz w:val="24"/>
          <w:szCs w:val="24"/>
        </w:rPr>
        <w:t xml:space="preserve">846 · Seconda smentita: nessun trasferimento autorizzato.</w:t>
      </w:r>
      <w:r>
        <w:rPr>
          <w:rFonts w:ascii="Barlow Semi Condensed" w:cs="Barlow Semi Condensed" w:eastAsia="Barlow Semi Condensed" w:hAnsi="Barlow Semi Condensed"/>
          <w:sz w:val="24"/>
          <w:szCs w:val="24"/>
        </w:rPr>
        <w:t xml:space="preserve"> Il controllo dei cambi offre il bersaglio successivo. Se dai fascicoli sudafricani risultasse che nessun trasferimento patrimoniale rilevante fu autorizzato verso il Nordamerica per le famiglie in questione, l'ipotesi di un capitale importato cadrebbe per via documentale. La sede è la South African Reserve Bank; il limite, oggi, è la riservatezza di quei fascicoli. Il bersaglio resta formulato, la sede nominata, l'esito indisponibile.</w:t>
      </w:r>
    </w:p>
    <w:p>
      <w:pPr>
        <w:spacing w:after="120" w:line="276"/>
        <w:jc w:val="both"/>
      </w:pPr>
      <w:r>
        <w:rPr>
          <w:rFonts w:ascii="Barlow Semi Condensed" w:cs="Barlow Semi Condensed" w:eastAsia="Barlow Semi Condensed" w:hAnsi="Barlow Semi Condensed"/>
          <w:b/>
          <w:bCs/>
          <w:sz w:val="24"/>
          <w:szCs w:val="24"/>
        </w:rPr>
        <w:t xml:space="preserve">847 · Terza smentita: nessun sottoscrittore australe.</w:t>
      </w:r>
      <w:r>
        <w:rPr>
          <w:rFonts w:ascii="Barlow Semi Condensed" w:cs="Barlow Semi Condensed" w:eastAsia="Barlow Semi Condensed" w:hAnsi="Barlow Semi Condensed"/>
          <w:sz w:val="24"/>
          <w:szCs w:val="24"/>
        </w:rPr>
        <w:t xml:space="preserve"> Una verifica eseguibile subito, con documenti già pubblici. Se i moduli ADV dei fondi rilevanti e le schede pubblicate dai fondi pensione sottoscrittori non mostrassero alcun veicolo riconducibile all'Africa australe, verrebbe meno l'ipotesi di una provenienza geografica del capitale gestito. Nessuna delle sedi indicate richiede autorizzazioni: richiede tempo e verbalizzazione. Anche l'esito negativo sarebbe un'acquisizione piena, e come tale va scritto.</w:t>
      </w:r>
    </w:p>
    <w:p>
      <w:pPr>
        <w:spacing w:after="120" w:line="276"/>
        <w:jc w:val="both"/>
      </w:pPr>
      <w:r>
        <w:rPr>
          <w:rFonts w:ascii="Barlow Semi Condensed" w:cs="Barlow Semi Condensed" w:eastAsia="Barlow Semi Condensed" w:hAnsi="Barlow Semi Condensed"/>
          <w:b/>
          <w:bCs/>
          <w:sz w:val="24"/>
          <w:szCs w:val="24"/>
        </w:rPr>
        <w:t xml:space="preserve">848 · Quarta smentita: nessuna erogazione incrociata.</w:t>
      </w:r>
      <w:r>
        <w:rPr>
          <w:rFonts w:ascii="Barlow Semi Condensed" w:cs="Barlow Semi Condensed" w:eastAsia="Barlow Semi Condensed" w:hAnsi="Barlow Semi Condensed"/>
          <w:sz w:val="24"/>
          <w:szCs w:val="24"/>
        </w:rPr>
        <w:t xml:space="preserve"> La filantropia offre il bersaglio più facile da colpire. Se le tavole delle erogazioni contenute nei moduli 990-PF delle fondazioni riconducibili alle persone nominate non mostrassero alcuna erogazione reciproca né verso enti comuni, cadrebbe l'ipotesi di un coordinamento filantropico. Quelle tavole sono pubbliche, nominative e complete. L'esito va scritto per esteso: è una delle poche verifiche di questa serie che nessun ostacolo giuridico impedisce.</w:t>
      </w:r>
    </w:p>
    <w:p>
      <w:pPr>
        <w:spacing w:after="120" w:line="276"/>
        <w:jc w:val="both"/>
      </w:pPr>
      <w:r>
        <w:rPr>
          <w:rFonts w:ascii="Barlow Semi Condensed" w:cs="Barlow Semi Condensed" w:eastAsia="Barlow Semi Condensed" w:hAnsi="Barlow Semi Condensed"/>
          <w:b/>
          <w:bCs/>
          <w:sz w:val="24"/>
          <w:szCs w:val="24"/>
        </w:rPr>
        <w:t xml:space="preserve">849 · Quinta smentita: il datore di lavoro.</w:t>
      </w:r>
      <w:r>
        <w:rPr>
          <w:rFonts w:ascii="Barlow Semi Condensed" w:cs="Barlow Semi Condensed" w:eastAsia="Barlow Semi Condensed" w:hAnsi="Barlow Semi Condensed"/>
          <w:sz w:val="24"/>
          <w:szCs w:val="24"/>
        </w:rPr>
        <w:t xml:space="preserve"> Sul versante namibiano il bersaglio riguarda un rapporto di lavoro. Se i registri dell'appalto della miniera di Rössing e i ruoli del personale mostrassero che l'impresa per cui lavorava l'ingegnere chimico Klaus Thiel era un fornitore civile senza rapporti con programmi militari, la tesi di terzo piano che circola su fonti militanti risulterebbe smentita sul punto. Sedi: archivio della società mineraria, Archivi nazionali della Namibia, fondi ministeriali britannici.</w:t>
      </w:r>
    </w:p>
    <w:p>
      <w:pPr>
        <w:spacing w:after="120" w:line="276"/>
        <w:jc w:val="both"/>
      </w:pPr>
      <w:r>
        <w:rPr>
          <w:rFonts w:ascii="Barlow Semi Condensed" w:cs="Barlow Semi Condensed" w:eastAsia="Barlow Semi Condensed" w:hAnsi="Barlow Semi Condensed"/>
          <w:b/>
          <w:bCs/>
          <w:sz w:val="24"/>
          <w:szCs w:val="24"/>
        </w:rPr>
        <w:t xml:space="preserve">850 · Il ponte si prova con la controparte.</w:t>
      </w:r>
      <w:r>
        <w:rPr>
          <w:rFonts w:ascii="Barlow Semi Condensed" w:cs="Barlow Semi Condensed" w:eastAsia="Barlow Semi Condensed" w:hAnsi="Barlow Semi Condensed"/>
          <w:sz w:val="24"/>
          <w:szCs w:val="24"/>
        </w:rPr>
        <w:t xml:space="preserve"> Il test che questa serie applica al denaro è quello generale del corpus: un ponte è reale solo al primo piano, cioè quando un documento di provenienza nomina la controparte. Un ordine di pagamento nomina ordinante e beneficiario; una tavola di prospetto nomina il socio; un modulo 990-PF nomina il destinatario. Tutto ciò che non nomina una controparte è cornice, e la cornice non si promuove mai a nesso.</w:t>
      </w:r>
    </w:p>
    <w:p>
      <w:pPr>
        <w:spacing w:after="120" w:line="276"/>
        <w:jc w:val="both"/>
      </w:pPr>
      <w:r>
        <w:rPr>
          <w:rFonts w:ascii="Barlow Semi Condensed" w:cs="Barlow Semi Condensed" w:eastAsia="Barlow Semi Condensed" w:hAnsi="Barlow Semi Condensed"/>
          <w:b/>
          <w:bCs/>
          <w:sz w:val="24"/>
          <w:szCs w:val="24"/>
        </w:rPr>
        <w:t xml:space="preserve">851 · Due denari senza carta non sono parenti.</w:t>
      </w:r>
      <w:r>
        <w:rPr>
          <w:rFonts w:ascii="Barlow Semi Condensed" w:cs="Barlow Semi Condensed" w:eastAsia="Barlow Semi Condensed" w:hAnsi="Barlow Semi Condensed"/>
          <w:sz w:val="24"/>
          <w:szCs w:val="24"/>
        </w:rPr>
        <w:t xml:space="preserve"> Il corpus contiene già un caso di denaro asserito e privo di contabilità: la provvista predisposta nel 1978, istruita nei nove cantieri ai blocchi 181-195. La somiglianza con i casi di questa serie è reale e va nominata proprio per essere disinnescata: due strutture prive di traccia non discendono da un antenato comune, convergono perché la stessa causa, l'assenza di obbligo di deposito, produce ovunque lo stesso vuoto.</w:t>
      </w:r>
    </w:p>
    <w:p>
      <w:pPr>
        <w:spacing w:after="120" w:line="276"/>
        <w:jc w:val="both"/>
      </w:pPr>
      <w:r>
        <w:rPr>
          <w:rFonts w:ascii="Barlow Semi Condensed" w:cs="Barlow Semi Condensed" w:eastAsia="Barlow Semi Condensed" w:hAnsi="Barlow Semi Condensed"/>
          <w:b/>
          <w:bCs/>
          <w:sz w:val="24"/>
          <w:szCs w:val="24"/>
        </w:rPr>
        <w:t xml:space="preserve">852 · Il buco si misura, non si riempie.</w:t>
      </w:r>
      <w:r>
        <w:rPr>
          <w:rFonts w:ascii="Barlow Semi Condensed" w:cs="Barlow Semi Condensed" w:eastAsia="Barlow Semi Condensed" w:hAnsi="Barlow Semi Condensed"/>
          <w:sz w:val="24"/>
          <w:szCs w:val="24"/>
        </w:rPr>
        <w:t xml:space="preserve"> Le metodologie del corpus fissano la regola dei buchi: l'informazione strutturale sta dove la rete non ha archi, e i buchi si misurano invece di riempirli con la narrazione. Applicata al denaro, la regola dice che l'assenza di una traccia bancaria non è un indizio di occultamento, ma un dato sulla forma dell'ordinamento. Chi trasforma un vuoto normativo in un sospetto ha cambiato mestiere.</w:t>
      </w:r>
    </w:p>
    <w:p>
      <w:pPr>
        <w:spacing w:after="120" w:line="276"/>
        <w:jc w:val="both"/>
      </w:pPr>
      <w:r>
        <w:rPr>
          <w:rFonts w:ascii="Barlow Semi Condensed" w:cs="Barlow Semi Condensed" w:eastAsia="Barlow Semi Condensed" w:hAnsi="Barlow Semi Condensed"/>
          <w:b/>
          <w:bCs/>
          <w:sz w:val="24"/>
          <w:szCs w:val="24"/>
        </w:rPr>
        <w:t xml:space="preserve">853 · Il verbale delle sedi non interrogate.</w:t>
      </w:r>
      <w:r>
        <w:rPr>
          <w:rFonts w:ascii="Barlow Semi Condensed" w:cs="Barlow Semi Condensed" w:eastAsia="Barlow Semi Condensed" w:hAnsi="Barlow Semi Condensed"/>
          <w:sz w:val="24"/>
          <w:szCs w:val="24"/>
        </w:rPr>
        <w:t xml:space="preserve"> Questa serie non ha eseguito ricerche: ha nominato sedi. Restano non interrogate, alla data di redazione, la Commissione societaria di Pretoria, l'autorità namibiana di Windhoek con gli Archivi nazionali, il catasto minerario di Lusaka, l'ufficio della SEC per i moduli cartacei anteriori al 2009 e l'autorità californiana di vigilanza finanziaria. L'elenco è il lascito operativo della serie, e va aggiornato ogni volta che una sede risponde.</w:t>
      </w:r>
    </w:p>
    <w:p>
      <w:pPr>
        <w:spacing w:after="120" w:line="276"/>
        <w:jc w:val="both"/>
      </w:pPr>
      <w:r>
        <w:rPr>
          <w:rFonts w:ascii="Barlow Semi Condensed" w:cs="Barlow Semi Condensed" w:eastAsia="Barlow Semi Condensed" w:hAnsi="Barlow Semi Condensed"/>
          <w:b/>
          <w:bCs/>
          <w:sz w:val="24"/>
          <w:szCs w:val="24"/>
        </w:rPr>
        <w:t xml:space="preserve">854 · Ciò che il denaro non prova.</w:t>
      </w:r>
      <w:r>
        <w:rPr>
          <w:rFonts w:ascii="Barlow Semi Condensed" w:cs="Barlow Semi Condensed" w:eastAsia="Barlow Semi Condensed" w:hAnsi="Barlow Semi Condensed"/>
          <w:sz w:val="24"/>
          <w:szCs w:val="24"/>
        </w:rPr>
        <w:t xml:space="preserve"> Anche se ogni sede rispondesse, resterebbe fermo un limite di principio. Un trasferimento documentato prova che del denaro si mosse fra due soggetti nominati: non prova un disegno, non prova una condotta, non trasmette a chi lo riceve le opinioni di chi lo diede. L'origine di un capitale è un fatto dell'origine, non un carattere della persona. Nessuno dei soggetti nominati risulta condannato in relazione ai fatti indagati.</w:t>
      </w:r>
    </w:p>
    <w:p>
      <w:pPr>
        <w:spacing w:after="120" w:line="276"/>
        <w:jc w:val="both"/>
      </w:pPr>
      <w:r>
        <w:rPr>
          <w:rFonts w:ascii="Barlow Semi Condensed" w:cs="Barlow Semi Condensed" w:eastAsia="Barlow Semi Condensed" w:hAnsi="Barlow Semi Condensed"/>
          <w:b/>
          <w:bCs/>
          <w:sz w:val="24"/>
          <w:szCs w:val="24"/>
        </w:rPr>
        <w:t xml:space="preserve">855 · Dove la traccia finisce.</w:t>
      </w:r>
      <w:r>
        <w:rPr>
          <w:rFonts w:ascii="Barlow Semi Condensed" w:cs="Barlow Semi Condensed" w:eastAsia="Barlow Semi Condensed" w:hAnsi="Barlow Semi Condensed"/>
          <w:sz w:val="24"/>
          <w:szCs w:val="24"/>
        </w:rPr>
        <w:t xml:space="preserve"> La formula di chiusura della serie è anche la sua regola di condotta. Dove il registro non esiste, dove il fascicolo è riservato, dove il deposito è cartaceo e non digitalizzato, la ricerca si ferma e lo dichiara, nominando la sede che riprenderebbe il filo. Uno Stato Zero scritto bene vale quanto un documento: dice a chi verrà dopo esattamente dove ricominciare, e gli risparmia la strada già percorsa.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dodicesima — La critica delle fonti</w:t>
      </w:r>
    </w:p>
    <w:p>
      <w:pPr>
        <w:spacing w:after="120" w:line="276"/>
        <w:jc w:val="both"/>
      </w:pPr>
      <w:r>
        <w:rPr>
          <w:rFonts w:ascii="Barlow Semi Condensed" w:cs="Barlow Semi Condensed" w:eastAsia="Barlow Semi Condensed" w:hAnsi="Barlow Semi Condensed"/>
          <w:i/>
          <w:iCs/>
          <w:sz w:val="24"/>
          <w:szCs w:val="24"/>
        </w:rPr>
        <w:t xml:space="preserve">Blocchi 856-930.</w:t>
      </w:r>
    </w:p>
    <w:p>
      <w:pPr>
        <w:spacing w:after="120" w:line="276"/>
        <w:jc w:val="both"/>
      </w:pPr>
      <w:r>
        <w:rPr>
          <w:rFonts w:ascii="Barlow Semi Condensed" w:cs="Barlow Semi Condensed" w:eastAsia="Barlow Semi Condensed" w:hAnsi="Barlow Semi Condensed"/>
          <w:b/>
          <w:bCs/>
          <w:sz w:val="24"/>
          <w:szCs w:val="24"/>
        </w:rPr>
        <w:t xml:space="preserve">856 · Che cosa giudica questa serie.</w:t>
      </w:r>
      <w:r>
        <w:rPr>
          <w:rFonts w:ascii="Barlow Semi Condensed" w:cs="Barlow Semi Condensed" w:eastAsia="Barlow Semi Condensed" w:hAnsi="Barlow Semi Condensed"/>
          <w:sz w:val="24"/>
          <w:szCs w:val="24"/>
        </w:rPr>
        <w:t xml:space="preserve"> La dodicesima serie non aggiunge fatti alla vicenda: pesa i veicoli con cui i fatti arrivano. Su questa materia il documento primario è raro e la ripetizione è abbondante, sicché il pericolo maggiore non è l'errore isolato ma la sedimentazione di un errore ripetuto. Quanto segue è una cassetta di strumenti applicabile da un terzo, e nessuno di questi blocchi contiene un giudizio sulle persone che l'opera nomina.</w:t>
      </w:r>
    </w:p>
    <w:p>
      <w:pPr>
        <w:spacing w:after="120" w:line="276"/>
        <w:jc w:val="both"/>
      </w:pPr>
      <w:r>
        <w:rPr>
          <w:rFonts w:ascii="Barlow Semi Condensed" w:cs="Barlow Semi Condensed" w:eastAsia="Barlow Semi Condensed" w:hAnsi="Barlow Semi Condensed"/>
          <w:b/>
          <w:bCs/>
          <w:sz w:val="24"/>
          <w:szCs w:val="24"/>
        </w:rPr>
        <w:t xml:space="preserve">857 · Il rango non è il numero.</w:t>
      </w:r>
      <w:r>
        <w:rPr>
          <w:rFonts w:ascii="Barlow Semi Condensed" w:cs="Barlow Semi Condensed" w:eastAsia="Barlow Semi Condensed" w:hAnsi="Barlow Semi Condensed"/>
          <w:sz w:val="24"/>
          <w:szCs w:val="24"/>
        </w:rPr>
        <w:t xml:space="preserve"> Una fonte si colloca per provenienza, mai per quante volte compare. La griglia è quella già scritta nel corpus in guevara-bibliografia-critica.md: primarie, accademiche, giornalistiche qualificate, enciclopediche per il solo non controverso, e l'elenco di trasparenza delle fonti espunte. Su questa materia si aggiunge un rango che là non serviva e che qui viene prima di tutti: i depositi societari e gli atti giudiziari, che esistono indipendentemente da chi li racconta.</w:t>
      </w:r>
    </w:p>
    <w:p>
      <w:pPr>
        <w:spacing w:after="120" w:line="276"/>
        <w:jc w:val="both"/>
      </w:pPr>
      <w:r>
        <w:rPr>
          <w:rFonts w:ascii="Barlow Semi Condensed" w:cs="Barlow Semi Condensed" w:eastAsia="Barlow Semi Condensed" w:hAnsi="Barlow Semi Condensed"/>
          <w:b/>
          <w:bCs/>
          <w:sz w:val="24"/>
          <w:szCs w:val="24"/>
        </w:rPr>
        <w:t xml:space="preserve">858 · La provenienza prima del contenuto.</w:t>
      </w:r>
      <w:r>
        <w:rPr>
          <w:rFonts w:ascii="Barlow Semi Condensed" w:cs="Barlow Semi Condensed" w:eastAsia="Barlow Semi Condensed" w:hAnsi="Barlow Semi Condensed"/>
          <w:sz w:val="24"/>
          <w:szCs w:val="24"/>
        </w:rPr>
        <w:t xml:space="preserve"> Conviene chiedersi da dove viene un'affermazione, chi l'ha scritta, quando, con quale interesse e su quale supporto, prima di chiedersi se sia vera. Un enunciato plausibile di origine ignota vale meno di un enunciato scomodo con provenienza accertata. Questo ordine di domande è l'unico che protegge dal pregiudizio di conferma censito al blocco 358 del manuale investigativo, ed è l'ordine adottato in tutti i blocchi che seguono.</w:t>
      </w:r>
    </w:p>
    <w:p>
      <w:pPr>
        <w:spacing w:after="120" w:line="276"/>
        <w:jc w:val="both"/>
      </w:pPr>
      <w:r>
        <w:rPr>
          <w:rFonts w:ascii="Barlow Semi Condensed" w:cs="Barlow Semi Condensed" w:eastAsia="Barlow Semi Condensed" w:hAnsi="Barlow Semi Condensed"/>
          <w:b/>
          <w:bCs/>
          <w:sz w:val="24"/>
          <w:szCs w:val="24"/>
        </w:rPr>
        <w:t xml:space="preserve">859 · La parte in causa non è terza.</w:t>
      </w:r>
      <w:r>
        <w:rPr>
          <w:rFonts w:ascii="Barlow Semi Condensed" w:cs="Barlow Semi Condensed" w:eastAsia="Barlow Semi Condensed" w:hAnsi="Barlow Semi Condensed"/>
          <w:sz w:val="24"/>
          <w:szCs w:val="24"/>
        </w:rPr>
        <w:t xml:space="preserve"> Chi è oggetto di una voce non può esserne l'editore garante: la coincidenza fra proprietario del veicolo e soggetto della notizia annulla la terzietà, indipendentemente dalla correttezza del singolo enunciato. La regola non imputa malafede ad alcuno, e non ne ha bisogno, perché è una regola di forma. Vale per le enciclopedie possedute da imprese, per le riviste aziendali e per i canali personali dei protagonisti.</w:t>
      </w:r>
    </w:p>
    <w:p>
      <w:pPr>
        <w:spacing w:after="120" w:line="276"/>
        <w:jc w:val="both"/>
      </w:pPr>
      <w:r>
        <w:rPr>
          <w:rFonts w:ascii="Barlow Semi Condensed" w:cs="Barlow Semi Condensed" w:eastAsia="Barlow Semi Condensed" w:hAnsi="Barlow Semi Condensed"/>
          <w:b/>
          <w:bCs/>
          <w:sz w:val="24"/>
          <w:szCs w:val="24"/>
        </w:rPr>
        <w:t xml:space="preserve">860 · Il deposito precede il ritratto.</w:t>
      </w:r>
      <w:r>
        <w:rPr>
          <w:rFonts w:ascii="Barlow Semi Condensed" w:cs="Barlow Semi Condensed" w:eastAsia="Barlow Semi Condensed" w:hAnsi="Barlow Semi Condensed"/>
          <w:sz w:val="24"/>
          <w:szCs w:val="24"/>
        </w:rPr>
        <w:t xml:space="preserve"> Su una vicenda di imprese l'ordine di consultazione è invertito rispetto all'abitudine giornalistica. Prima i depositi: il prospetto informativo di PayPal presso la SEC, i registri della Companies and Intellectual Property Commission sudafricana, i registri britannici di Companies House. Poi i ritratti. Un ritratto contraddetto da un deposito cede; un deposito non cede davanti a nessun ritratto, per quanto autorevole ne sia la firma.</w:t>
      </w:r>
    </w:p>
    <w:p>
      <w:pPr>
        <w:spacing w:after="120" w:line="276"/>
        <w:jc w:val="both"/>
      </w:pPr>
      <w:r>
        <w:rPr>
          <w:rFonts w:ascii="Barlow Semi Condensed" w:cs="Barlow Semi Condensed" w:eastAsia="Barlow Semi Condensed" w:hAnsi="Barlow Semi Condensed"/>
          <w:b/>
          <w:bCs/>
          <w:sz w:val="24"/>
          <w:szCs w:val="24"/>
        </w:rPr>
        <w:t xml:space="preserve">861 · La regola dell'origine unica.</w:t>
      </w:r>
      <w:r>
        <w:rPr>
          <w:rFonts w:ascii="Barlow Semi Condensed" w:cs="Barlow Semi Condensed" w:eastAsia="Barlow Semi Condensed" w:hAnsi="Barlow Semi Condensed"/>
          <w:sz w:val="24"/>
          <w:szCs w:val="24"/>
        </w:rPr>
        <w:t xml:space="preserve"> Quando un'affermazione ricorre ovunque, la prima operazione non è raccoglierne le occorrenze ma risalirne la catena fino al punto in cui compare per la prima volta. Se quel punto è uno solo, l'affermazione ha una fonte sola, quale che sia il numero dei siti che la ospitano. Sedici blocchi finali di questa serie eseguono l'operazione su altrettante affermazioni correnti, e quasi sempre il punto di partenza risulta singolo.</w:t>
      </w:r>
    </w:p>
    <w:p>
      <w:pPr>
        <w:spacing w:after="120" w:line="276"/>
        <w:jc w:val="both"/>
      </w:pPr>
      <w:r>
        <w:rPr>
          <w:rFonts w:ascii="Barlow Semi Condensed" w:cs="Barlow Semi Condensed" w:eastAsia="Barlow Semi Condensed" w:hAnsi="Barlow Semi Condensed"/>
          <w:b/>
          <w:bCs/>
          <w:sz w:val="24"/>
          <w:szCs w:val="24"/>
        </w:rPr>
        <w:t xml:space="preserve">862 · Che cosa garantisce l'autorizzazione.</w:t>
      </w:r>
      <w:r>
        <w:rPr>
          <w:rFonts w:ascii="Barlow Semi Condensed" w:cs="Barlow Semi Condensed" w:eastAsia="Barlow Semi Condensed" w:hAnsi="Barlow Semi Condensed"/>
          <w:sz w:val="24"/>
          <w:szCs w:val="24"/>
        </w:rPr>
        <w:t xml:space="preserve"> Una biografia autorizzata garantisce l'accesso, non la verità: l'autore ha ottenuto interviste, carte, familiari e collaboratori, e in cambio ha accettato, esplicitamente o di fatto, una cornice. Il guadagno è documentale e reale; il costo è la selezione delle domande. Il lettore deve poter sapere quale delle due cose sta leggendo, e lo sa soltanto se l'autore lo scrive. Se non lo scrive, il volume scende di un rango.</w:t>
      </w:r>
    </w:p>
    <w:p>
      <w:pPr>
        <w:spacing w:after="120" w:line="276"/>
        <w:jc w:val="both"/>
      </w:pPr>
      <w:r>
        <w:rPr>
          <w:rFonts w:ascii="Barlow Semi Condensed" w:cs="Barlow Semi Condensed" w:eastAsia="Barlow Semi Condensed" w:hAnsi="Barlow Semi Condensed"/>
          <w:b/>
          <w:bCs/>
          <w:sz w:val="24"/>
          <w:szCs w:val="24"/>
        </w:rPr>
        <w:t xml:space="preserve">863 · L'accesso come moneta di scambio.</w:t>
      </w:r>
      <w:r>
        <w:rPr>
          <w:rFonts w:ascii="Barlow Semi Condensed" w:cs="Barlow Semi Condensed" w:eastAsia="Barlow Semi Condensed" w:hAnsi="Barlow Semi Condensed"/>
          <w:sz w:val="24"/>
          <w:szCs w:val="24"/>
        </w:rPr>
        <w:t xml:space="preserve"> L'accesso si concede e si revoca, e ogni revoca lascia traccia nel testo: capitoli con testimoni diretti accanto a capitoli con sole fonti secondarie. Chi rilegge un libro cercando la distribuzione delle interviste ne ricava la mappa del potere negoziale fra autore e soggetto. È un esercizio meccanico, ripetibile da chiunque disponga del volume, e più istruttivo di qualunque dibattito sull'imparzialità dell'autore.</w:t>
      </w:r>
    </w:p>
    <w:p>
      <w:pPr>
        <w:spacing w:after="120" w:line="276"/>
        <w:jc w:val="both"/>
      </w:pPr>
      <w:r>
        <w:rPr>
          <w:rFonts w:ascii="Barlow Semi Condensed" w:cs="Barlow Semi Condensed" w:eastAsia="Barlow Semi Condensed" w:hAnsi="Barlow Semi Condensed"/>
          <w:b/>
          <w:bCs/>
          <w:sz w:val="24"/>
          <w:szCs w:val="24"/>
        </w:rPr>
        <w:t xml:space="preserve">864 · La biografia con ombra dichiarata.</w:t>
      </w:r>
      <w:r>
        <w:rPr>
          <w:rFonts w:ascii="Barlow Semi Condensed" w:cs="Barlow Semi Condensed" w:eastAsia="Barlow Semi Condensed" w:hAnsi="Barlow Semi Condensed"/>
          <w:sz w:val="24"/>
          <w:szCs w:val="24"/>
        </w:rPr>
        <w:t xml:space="preserve"> Walter Isaacson, Elon Musk, 2023, dichiara in apertura il proprio metodo: due anni di presenza accanto al soggetto e l'assenza di un diritto di lettura preventiva. La dichiarazione è ciò che rende il libro utilizzabile, perché consente di distinguere l'osservazione diretta dal racconto ricevuto. Sul punto delle pietre grezze acquistate in modo informale, Isaacson è la fonte che descrive, e va citato per ciò che descrive.</w:t>
      </w:r>
    </w:p>
    <w:p>
      <w:pPr>
        <w:spacing w:after="120" w:line="276"/>
        <w:jc w:val="both"/>
      </w:pPr>
      <w:r>
        <w:rPr>
          <w:rFonts w:ascii="Barlow Semi Condensed" w:cs="Barlow Semi Condensed" w:eastAsia="Barlow Semi Condensed" w:hAnsi="Barlow Semi Condensed"/>
          <w:b/>
          <w:bCs/>
          <w:sz w:val="24"/>
          <w:szCs w:val="24"/>
        </w:rPr>
        <w:t xml:space="preserve">865 · Vance, e la cooperazione intermittente.</w:t>
      </w:r>
      <w:r>
        <w:rPr>
          <w:rFonts w:ascii="Barlow Semi Condensed" w:cs="Barlow Semi Condensed" w:eastAsia="Barlow Semi Condensed" w:hAnsi="Barlow Semi Condensed"/>
          <w:sz w:val="24"/>
          <w:szCs w:val="24"/>
        </w:rPr>
        <w:t xml:space="preserve"> Ashlee Vance, Elon Musk, 2015, racconta nel proprio testo la trattativa che ne precedette la scrittura: un rifiuto iniziale, poi la collaborazione. Un libro nato così contiene due strati, quello raccolto senza il soggetto e quello raccolto con lui, e i due strati non hanno il medesimo statuto. Chi cita Vance deve dire da quale strato prende, e per farlo deve tornare alle note, non alla sintesi altrui.</w:t>
      </w:r>
    </w:p>
    <w:p>
      <w:pPr>
        <w:spacing w:after="120" w:line="276"/>
        <w:jc w:val="both"/>
      </w:pPr>
      <w:r>
        <w:rPr>
          <w:rFonts w:ascii="Barlow Semi Condensed" w:cs="Barlow Semi Condensed" w:eastAsia="Barlow Semi Condensed" w:hAnsi="Barlow Semi Condensed"/>
          <w:b/>
          <w:bCs/>
          <w:sz w:val="24"/>
          <w:szCs w:val="24"/>
        </w:rPr>
        <w:t xml:space="preserve">866 · Chafkin senza il consenso del soggetto.</w:t>
      </w:r>
      <w:r>
        <w:rPr>
          <w:rFonts w:ascii="Barlow Semi Condensed" w:cs="Barlow Semi Condensed" w:eastAsia="Barlow Semi Condensed" w:hAnsi="Barlow Semi Condensed"/>
          <w:sz w:val="24"/>
          <w:szCs w:val="24"/>
        </w:rPr>
        <w:t xml:space="preserve"> Max Chafkin, The Contrarian, 2021, è una biografia non autorizzata di Peter Thiel: nasce da interviste a terzi e da materiale pubblico, non dalla collaborazione dell'interessato. Ciò non la rende né più vera né meno vera; ne cambia la struttura probatoria. Le sue affermazioni vanno prese una per una e verificate sulla nota corrispondente, perché in un libro non autorizzato l'onere si sposta interamente sull'apparato.</w:t>
      </w:r>
    </w:p>
    <w:p>
      <w:pPr>
        <w:spacing w:after="120" w:line="276"/>
        <w:jc w:val="both"/>
      </w:pPr>
      <w:r>
        <w:rPr>
          <w:rFonts w:ascii="Barlow Semi Condensed" w:cs="Barlow Semi Condensed" w:eastAsia="Barlow Semi Condensed" w:hAnsi="Barlow Semi Condensed"/>
          <w:b/>
          <w:bCs/>
          <w:sz w:val="24"/>
          <w:szCs w:val="24"/>
        </w:rPr>
        <w:t xml:space="preserve">867 · Soni e l'oralità tardiva.</w:t>
      </w:r>
      <w:r>
        <w:rPr>
          <w:rFonts w:ascii="Barlow Semi Condensed" w:cs="Barlow Semi Condensed" w:eastAsia="Barlow Semi Condensed" w:hAnsi="Barlow Semi Condensed"/>
          <w:sz w:val="24"/>
          <w:szCs w:val="24"/>
        </w:rPr>
        <w:t xml:space="preserve"> Jimmy Soni, The Founders, 2022, ricostruisce la fondazione di PayPal su un vastissimo lavoro di intervista condotto vent'anni dopo i fatti. La testimonianza orale tardiva è fonte legittima e fragile insieme: consolida i ricordi collettivi già circolanti e ne fissa la versione condivisa. Serve per la cronologia interna dell'impresa; non stabilisce che cosa qualcuno pensasse allora, e non sostituisce un documento coevo.</w:t>
      </w:r>
    </w:p>
    <w:p>
      <w:pPr>
        <w:spacing w:after="120" w:line="276"/>
        <w:jc w:val="both"/>
      </w:pPr>
      <w:r>
        <w:rPr>
          <w:rFonts w:ascii="Barlow Semi Condensed" w:cs="Barlow Semi Condensed" w:eastAsia="Barlow Semi Condensed" w:hAnsi="Barlow Semi Condensed"/>
          <w:b/>
          <w:bCs/>
          <w:sz w:val="24"/>
          <w:szCs w:val="24"/>
        </w:rPr>
        <w:t xml:space="preserve">868 · Si legge prima la nota metodologica.</w:t>
      </w:r>
      <w:r>
        <w:rPr>
          <w:rFonts w:ascii="Barlow Semi Condensed" w:cs="Barlow Semi Condensed" w:eastAsia="Barlow Semi Condensed" w:hAnsi="Barlow Semi Condensed"/>
          <w:sz w:val="24"/>
          <w:szCs w:val="24"/>
        </w:rPr>
        <w:t xml:space="preserve"> Regola applicabile a qualunque volume di questa materia: si legge per prima la nota dell'autore sulle fonti, poi l'indice delle note, e soltanto dopo il testo. In un quarto d'ora si stabilisce se il libro dichiara le proprie interviste, se distingue il riferito dal documentato, se elenca gli archivi visitati. Un volume che non risponde a queste tre domande resta racconto consultabile e prova inutilizzabile.</w:t>
      </w:r>
    </w:p>
    <w:p>
      <w:pPr>
        <w:spacing w:after="120" w:line="276"/>
        <w:jc w:val="both"/>
      </w:pPr>
      <w:r>
        <w:rPr>
          <w:rFonts w:ascii="Barlow Semi Condensed" w:cs="Barlow Semi Condensed" w:eastAsia="Barlow Semi Condensed" w:hAnsi="Barlow Semi Condensed"/>
          <w:b/>
          <w:bCs/>
          <w:sz w:val="24"/>
          <w:szCs w:val="24"/>
        </w:rPr>
        <w:t xml:space="preserve">869 · L'unità citabile è la nota.</w:t>
      </w:r>
      <w:r>
        <w:rPr>
          <w:rFonts w:ascii="Barlow Semi Condensed" w:cs="Barlow Semi Condensed" w:eastAsia="Barlow Semi Condensed" w:hAnsi="Barlow Semi Condensed"/>
          <w:sz w:val="24"/>
          <w:szCs w:val="24"/>
        </w:rPr>
        <w:t xml:space="preserve"> Non si cita un libro: si cita una nota di quel libro, con la pagina e con ciò a cui la nota rinvia. La differenza è sostanziale, perché un'affermazione sostenuta da un documento d'archivio e un'affermazione sostenuta da un'intervista anonima stanno nella stessa pagina e hanno pesi incomparabili. Il corpus applica lo stesso criterio ai propri testi, dove ogni asserzione portante dichiara su che cosa poggia.</w:t>
      </w:r>
    </w:p>
    <w:p>
      <w:pPr>
        <w:spacing w:after="120" w:line="276"/>
        <w:jc w:val="both"/>
      </w:pPr>
      <w:r>
        <w:rPr>
          <w:rFonts w:ascii="Barlow Semi Condensed" w:cs="Barlow Semi Condensed" w:eastAsia="Barlow Semi Condensed" w:hAnsi="Barlow Semi Condensed"/>
          <w:b/>
          <w:bCs/>
          <w:sz w:val="24"/>
          <w:szCs w:val="24"/>
        </w:rPr>
        <w:t xml:space="preserve">870 · L'intervista è primaria e di parte.</w:t>
      </w:r>
      <w:r>
        <w:rPr>
          <w:rFonts w:ascii="Barlow Semi Condensed" w:cs="Barlow Semi Condensed" w:eastAsia="Barlow Semi Condensed" w:hAnsi="Barlow Semi Condensed"/>
          <w:sz w:val="24"/>
          <w:szCs w:val="24"/>
        </w:rPr>
        <w:t xml:space="preserve"> Una dichiarazione resa pubblicamente da un protagonista è fonte primaria per un solo fatto: che quel protagonista, quel giorno, abbia detto quella cosa. Non è fonte primaria per il contenuto di ciò che dice. La distinzione sembra ovvia e viene violata di continuo, soprattutto quando il dichiarante riferisce fatti risalenti a decenni prima e favorevoli alla propria immagine. Si cita la dichiarazione come dichiarazione, sempre datata.</w:t>
      </w:r>
    </w:p>
    <w:p>
      <w:pPr>
        <w:spacing w:after="120" w:line="276"/>
        <w:jc w:val="both"/>
      </w:pPr>
      <w:r>
        <w:rPr>
          <w:rFonts w:ascii="Barlow Semi Condensed" w:cs="Barlow Semi Condensed" w:eastAsia="Barlow Semi Condensed" w:hAnsi="Barlow Semi Condensed"/>
          <w:b/>
          <w:bCs/>
          <w:sz w:val="24"/>
          <w:szCs w:val="24"/>
        </w:rPr>
        <w:t xml:space="preserve">871 · Vale la data del detto.</w:t>
      </w:r>
      <w:r>
        <w:rPr>
          <w:rFonts w:ascii="Barlow Semi Condensed" w:cs="Barlow Semi Condensed" w:eastAsia="Barlow Semi Condensed" w:hAnsi="Barlow Semi Condensed"/>
          <w:sz w:val="24"/>
          <w:szCs w:val="24"/>
        </w:rPr>
        <w:t xml:space="preserve"> Ogni citazione porta la data in cui l'affermazione fu resa, non quella in cui l'ha ripresa l'ultimo articolo. Su questa materia lo scarto raggiunge i vent'anni: frasi pronunciate in interviste dei primi anni Duemila circolano oggi con la data della ripresa, e appaiono come prese di posizione recenti. Datare al detto è la più semplice delle operazioni di questa serie, e la più trascurata.</w:t>
      </w:r>
    </w:p>
    <w:p>
      <w:pPr>
        <w:spacing w:after="120" w:line="276"/>
        <w:jc w:val="both"/>
      </w:pPr>
      <w:r>
        <w:rPr>
          <w:rFonts w:ascii="Barlow Semi Condensed" w:cs="Barlow Semi Condensed" w:eastAsia="Barlow Semi Condensed" w:hAnsi="Barlow Semi Condensed"/>
          <w:b/>
          <w:bCs/>
          <w:sz w:val="24"/>
          <w:szCs w:val="24"/>
        </w:rPr>
        <w:t xml:space="preserve">872 · La domanda assente dalla trascrizione.</w:t>
      </w:r>
      <w:r>
        <w:rPr>
          <w:rFonts w:ascii="Barlow Semi Condensed" w:cs="Barlow Semi Condensed" w:eastAsia="Barlow Semi Condensed" w:hAnsi="Barlow Semi Condensed"/>
          <w:sz w:val="24"/>
          <w:szCs w:val="24"/>
        </w:rPr>
        <w:t xml:space="preserve"> Le trascrizioni pubblicate spesso conservano la risposta e perdono la domanda, oppure la riassumono. Una risposta senza la sua domanda cambia di senso: l'ammissione diventa iniziativa, la precisazione diventa rivendicazione. Chi cita da una trascrizione deve procurarsi la registrazione o l'edizione integrale, e se non esiste deve scriverlo. È una lacuna dichiarabile, non un dettaglio: la forma della domanda è parte del documento.</w:t>
      </w:r>
    </w:p>
    <w:p>
      <w:pPr>
        <w:spacing w:after="120" w:line="276"/>
        <w:jc w:val="both"/>
      </w:pPr>
      <w:r>
        <w:rPr>
          <w:rFonts w:ascii="Barlow Semi Condensed" w:cs="Barlow Semi Condensed" w:eastAsia="Barlow Semi Condensed" w:hAnsi="Barlow Semi Condensed"/>
          <w:b/>
          <w:bCs/>
          <w:sz w:val="24"/>
          <w:szCs w:val="24"/>
        </w:rPr>
        <w:t xml:space="preserve">873 · La smentita e il suo statuto.</w:t>
      </w:r>
      <w:r>
        <w:rPr>
          <w:rFonts w:ascii="Barlow Semi Condensed" w:cs="Barlow Semi Condensed" w:eastAsia="Barlow Semi Condensed" w:hAnsi="Barlow Semi Condensed"/>
          <w:sz w:val="24"/>
          <w:szCs w:val="24"/>
        </w:rPr>
        <w:t xml:space="preserve"> Una smentita pubblica non chiude una questione e non la apre: la registra. Elon Musk ha negato pubblicamente l'esistenza di una miniera di smeraldi e ne ha chiesto la prova; il padre Errol ha descritto in più interviste un'attività informale in Zambia. Sono due dichiarazioni, entrambe primarie e di parte, che il corpus riporta affiancate. La divergenza resta aperta perché nessun titolo minerario è stato esibito.</w:t>
      </w:r>
    </w:p>
    <w:p>
      <w:pPr>
        <w:spacing w:after="120" w:line="276"/>
        <w:jc w:val="both"/>
      </w:pPr>
      <w:r>
        <w:rPr>
          <w:rFonts w:ascii="Barlow Semi Condensed" w:cs="Barlow Semi Condensed" w:eastAsia="Barlow Semi Condensed" w:hAnsi="Barlow Semi Condensed"/>
          <w:b/>
          <w:bCs/>
          <w:sz w:val="24"/>
          <w:szCs w:val="24"/>
        </w:rPr>
        <w:t xml:space="preserve">874 · Dichiarazione contro il proprio interesse.</w:t>
      </w:r>
      <w:r>
        <w:rPr>
          <w:rFonts w:ascii="Barlow Semi Condensed" w:cs="Barlow Semi Condensed" w:eastAsia="Barlow Semi Condensed" w:hAnsi="Barlow Semi Condensed"/>
          <w:sz w:val="24"/>
          <w:szCs w:val="24"/>
        </w:rPr>
        <w:t xml:space="preserve"> Fra due affermazioni di pari provenienza pesa di più quella che nuoce a chi la pronuncia. È un criterio antico e su questa materia si applica di rado, perché quasi tutte le dichiarazioni disponibili giovano al dichiarante o alla narrazione della sua origine. Quando invece una dichiarazione ammette qualcosa di scomodo, il blocco che la usa deve dirlo, perché è quello il motivo del suo peso maggiore.</w:t>
      </w:r>
    </w:p>
    <w:p>
      <w:pPr>
        <w:spacing w:after="120" w:line="276"/>
        <w:jc w:val="both"/>
      </w:pPr>
      <w:r>
        <w:rPr>
          <w:rFonts w:ascii="Barlow Semi Condensed" w:cs="Barlow Semi Condensed" w:eastAsia="Barlow Semi Condensed" w:hAnsi="Barlow Semi Condensed"/>
          <w:b/>
          <w:bCs/>
          <w:sz w:val="24"/>
          <w:szCs w:val="24"/>
        </w:rPr>
        <w:t xml:space="preserve">875 · Quando il soggetto possiede il canale.</w:t>
      </w:r>
      <w:r>
        <w:rPr>
          <w:rFonts w:ascii="Barlow Semi Condensed" w:cs="Barlow Semi Condensed" w:eastAsia="Barlow Semi Condensed" w:hAnsi="Barlow Semi Condensed"/>
          <w:sz w:val="24"/>
          <w:szCs w:val="24"/>
        </w:rPr>
        <w:t xml:space="preserve"> Alcuni protagonisti di questa vicenda controllano oggi piattaforme su cui le loro dichiarazioni vengono pubblicate e conservate. Il fatto è pubblico e non implica alcuna condotta; implica però una conseguenza documentale precisa, cioè che la copia conservata sul canale del dichiarante non è una copia terza. Ogni citazione tratta da quei canali richiede una copia indipendente, presa altrove e datata, prima di entrare in un blocco.</w:t>
      </w:r>
    </w:p>
    <w:p>
      <w:pPr>
        <w:spacing w:after="120" w:line="276"/>
        <w:jc w:val="both"/>
      </w:pPr>
      <w:r>
        <w:rPr>
          <w:rFonts w:ascii="Barlow Semi Condensed" w:cs="Barlow Semi Condensed" w:eastAsia="Barlow Semi Condensed" w:hAnsi="Barlow Semi Condensed"/>
          <w:b/>
          <w:bCs/>
          <w:sz w:val="24"/>
          <w:szCs w:val="24"/>
        </w:rPr>
        <w:t xml:space="preserve">876 · Carta datata contro pagina mobile.</w:t>
      </w:r>
      <w:r>
        <w:rPr>
          <w:rFonts w:ascii="Barlow Semi Condensed" w:cs="Barlow Semi Condensed" w:eastAsia="Barlow Semi Condensed" w:hAnsi="Barlow Semi Condensed"/>
          <w:sz w:val="24"/>
          <w:szCs w:val="24"/>
        </w:rPr>
        <w:t xml:space="preserve"> Il ritaglio di un quotidiano è un oggetto fisso: quella pagina, quel giorno, quell'edizione, e nessuno può cambiarla retroattivamente. La pagina in rete è un oggetto mobile: si aggiorna, si corregge, si riscrive, e talvolta si sposta a un altro indirizzo perdendo la data. Su questa materia, dove le riprese digitali superano di molto gli articoli originali, la differenza fra i due supporti separa la prova dalla traccia.</w:t>
      </w:r>
    </w:p>
    <w:p>
      <w:pPr>
        <w:spacing w:after="120" w:line="276"/>
        <w:jc w:val="both"/>
      </w:pPr>
      <w:r>
        <w:rPr>
          <w:rFonts w:ascii="Barlow Semi Condensed" w:cs="Barlow Semi Condensed" w:eastAsia="Barlow Semi Condensed" w:hAnsi="Barlow Semi Condensed"/>
          <w:b/>
          <w:bCs/>
          <w:sz w:val="24"/>
          <w:szCs w:val="24"/>
        </w:rPr>
        <w:t xml:space="preserve">877 · La ripresa non conferma nulla.</w:t>
      </w:r>
      <w:r>
        <w:rPr>
          <w:rFonts w:ascii="Barlow Semi Condensed" w:cs="Barlow Semi Condensed" w:eastAsia="Barlow Semi Condensed" w:hAnsi="Barlow Semi Condensed"/>
          <w:sz w:val="24"/>
          <w:szCs w:val="24"/>
        </w:rPr>
        <w:t xml:space="preserve"> Un secondo sito che riporta la stessa notizia non è un riscontro: è una copia. Il riscontro esiste quando una seconda fonte accede autonomamente al fatto, con propri testimoni o propri documenti, e lo si riconosce perché aggiunge un dettaglio che la prima non aveva. Se nulla aggiunge, nulla conferma. Questa è la formulazione operativa del divieto di scambiare la ridondanza per corroborazione.</w:t>
      </w:r>
    </w:p>
    <w:p>
      <w:pPr>
        <w:spacing w:after="120" w:line="276"/>
        <w:jc w:val="both"/>
      </w:pPr>
      <w:r>
        <w:rPr>
          <w:rFonts w:ascii="Barlow Semi Condensed" w:cs="Barlow Semi Condensed" w:eastAsia="Barlow Semi Condensed" w:hAnsi="Barlow Semi Condensed"/>
          <w:b/>
          <w:bCs/>
          <w:sz w:val="24"/>
          <w:szCs w:val="24"/>
        </w:rPr>
        <w:t xml:space="preserve">878 · L'agenzia conta per una.</w:t>
      </w:r>
      <w:r>
        <w:rPr>
          <w:rFonts w:ascii="Barlow Semi Condensed" w:cs="Barlow Semi Condensed" w:eastAsia="Barlow Semi Condensed" w:hAnsi="Barlow Semi Condensed"/>
          <w:sz w:val="24"/>
          <w:szCs w:val="24"/>
        </w:rPr>
        <w:t xml:space="preserve"> Un dispaccio d'agenzia ripubblicato da quaranta testate resta una fonte sola, e il conteggio delle testate misura la distribuzione, non l'affidabilità. Il riconoscimento è facile: identità letterale dei periodi, stessa struttura, stessa citazione tagliata nel medesimo punto. Nella rassegna su questa materia interi paragrafi identici compaiono sotto firme diverse, e l'identità letterale prova che si tratta di un unico atto giornalistico.</w:t>
      </w:r>
    </w:p>
    <w:p>
      <w:pPr>
        <w:spacing w:after="120" w:line="276"/>
        <w:jc w:val="both"/>
      </w:pPr>
      <w:r>
        <w:rPr>
          <w:rFonts w:ascii="Barlow Semi Condensed" w:cs="Barlow Semi Condensed" w:eastAsia="Barlow Semi Condensed" w:hAnsi="Barlow Semi Condensed"/>
          <w:b/>
          <w:bCs/>
          <w:sz w:val="24"/>
          <w:szCs w:val="24"/>
        </w:rPr>
        <w:t xml:space="preserve">879 · Il ritaglio e la sua collocazione.</w:t>
      </w:r>
      <w:r>
        <w:rPr>
          <w:rFonts w:ascii="Barlow Semi Condensed" w:cs="Barlow Semi Condensed" w:eastAsia="Barlow Semi Condensed" w:hAnsi="Barlow Semi Condensed"/>
          <w:sz w:val="24"/>
          <w:szCs w:val="24"/>
        </w:rPr>
        <w:t xml:space="preserve"> Un articolo si cita con testata, data, edizione, pagina e, dove esiste, la segnatura del microfilm o del volume rilegato che lo conserva. Senza questi campi la citazione non è verificabile e vale quanto un si dice. Le emeroteche nazionali forniscono tutti i campi; le riproduzioni in rete quasi mai. Chi non riesce a fornirli lo dichiara dentro il blocco, e il blocco scende di grado.</w:t>
      </w:r>
    </w:p>
    <w:p>
      <w:pPr>
        <w:spacing w:after="120" w:line="276"/>
        <w:jc w:val="both"/>
      </w:pPr>
      <w:r>
        <w:rPr>
          <w:rFonts w:ascii="Barlow Semi Condensed" w:cs="Barlow Semi Condensed" w:eastAsia="Barlow Semi Condensed" w:hAnsi="Barlow Semi Condensed"/>
          <w:b/>
          <w:bCs/>
          <w:sz w:val="24"/>
          <w:szCs w:val="24"/>
        </w:rPr>
        <w:t xml:space="preserve">880 · L'articolo riscritto dopo l'uscita.</w:t>
      </w:r>
      <w:r>
        <w:rPr>
          <w:rFonts w:ascii="Barlow Semi Condensed" w:cs="Barlow Semi Condensed" w:eastAsia="Barlow Semi Condensed" w:hAnsi="Barlow Semi Condensed"/>
          <w:sz w:val="24"/>
          <w:szCs w:val="24"/>
        </w:rPr>
        <w:t xml:space="preserve"> Le testate correggono i propri articoli in rete senza sempre segnalarlo, e l'indirizzo resta il medesimo. Ne segue che due lettori possono citare in buona fede lo stesso indirizzo e leggere testi diversi. L'unico rimedio è la copia archiviata con data e ora di cattura, conservata insieme alla citazione. Il corpus lo impone a se stesso e lo pretende da chi voglia contestargli o confermargli un punto.</w:t>
      </w:r>
    </w:p>
    <w:p>
      <w:pPr>
        <w:spacing w:after="120" w:line="276"/>
        <w:jc w:val="both"/>
      </w:pPr>
      <w:r>
        <w:rPr>
          <w:rFonts w:ascii="Barlow Semi Condensed" w:cs="Barlow Semi Condensed" w:eastAsia="Barlow Semi Condensed" w:hAnsi="Barlow Semi Condensed"/>
          <w:b/>
          <w:bCs/>
          <w:sz w:val="24"/>
          <w:szCs w:val="24"/>
        </w:rPr>
        <w:t xml:space="preserve">881 · Gli archivi di stampa sudafricani.</w:t>
      </w:r>
      <w:r>
        <w:rPr>
          <w:rFonts w:ascii="Barlow Semi Condensed" w:cs="Barlow Semi Condensed" w:eastAsia="Barlow Semi Condensed" w:hAnsi="Barlow Semi Condensed"/>
          <w:sz w:val="24"/>
          <w:szCs w:val="24"/>
        </w:rPr>
        <w:t xml:space="preserve"> Per gli anni dell'apartheid la stampa coeva si consulta alla National Library of South Africa, nelle sedi di Città del Capo e Pretoria, e nelle raccolte delle università di Witwatersrand e di Città del Capo; le annate del Rand Daily Mail, chiuso nel 1985, stanno lì e non in rete. Una domanda sulla stampa di quegli anni si porta in quelle sedi, non su un motore di ricerca.</w:t>
      </w:r>
    </w:p>
    <w:p>
      <w:pPr>
        <w:spacing w:after="120" w:line="276"/>
        <w:jc w:val="both"/>
      </w:pPr>
      <w:r>
        <w:rPr>
          <w:rFonts w:ascii="Barlow Semi Condensed" w:cs="Barlow Semi Condensed" w:eastAsia="Barlow Semi Condensed" w:hAnsi="Barlow Semi Condensed"/>
          <w:b/>
          <w:bCs/>
          <w:sz w:val="24"/>
          <w:szCs w:val="24"/>
        </w:rPr>
        <w:t xml:space="preserve">882 · I fogli di Windhoek e Swakopmund.</w:t>
      </w:r>
      <w:r>
        <w:rPr>
          <w:rFonts w:ascii="Barlow Semi Condensed" w:cs="Barlow Semi Condensed" w:eastAsia="Barlow Semi Condensed" w:hAnsi="Barlow Semi Condensed"/>
          <w:sz w:val="24"/>
          <w:szCs w:val="24"/>
        </w:rPr>
        <w:t xml:space="preserve"> Negli anni della costruzione di Rössing, i quotidiani dell'Africa del Sud-Ovest, fra cui il Windhoek Advertiser e l'Allgemeine Zeitung in lingua tedesca, si consultano ai National Archives of Namibia, a Windhoek, e alla Sam Cohen Library di Swakopmund. È la sede naturale per accertare che cosa la stampa locale scrivesse allora del cantiere, quali imprese vi lavorassero e con quali nomi comparissero.</w:t>
      </w:r>
    </w:p>
    <w:p>
      <w:pPr>
        <w:spacing w:after="120" w:line="276"/>
        <w:jc w:val="both"/>
      </w:pPr>
      <w:r>
        <w:rPr>
          <w:rFonts w:ascii="Barlow Semi Condensed" w:cs="Barlow Semi Condensed" w:eastAsia="Barlow Semi Condensed" w:hAnsi="Barlow Semi Condensed"/>
          <w:b/>
          <w:bCs/>
          <w:sz w:val="24"/>
          <w:szCs w:val="24"/>
        </w:rPr>
        <w:t xml:space="preserve">883 · Scheda operativa: i sei campi.</w:t>
      </w:r>
      <w:r>
        <w:rPr>
          <w:rFonts w:ascii="Barlow Semi Condensed" w:cs="Barlow Semi Condensed" w:eastAsia="Barlow Semi Condensed" w:hAnsi="Barlow Semi Condensed"/>
          <w:sz w:val="24"/>
          <w:szCs w:val="24"/>
        </w:rPr>
        <w:t xml:space="preserve"> Una citazione entra nel corpus soltanto se compilata in sei campi: autore o emittente; supporto e sede di conservazione; data dell'enunciazione; data della pubblicazione; identificativo stabile dell'unità citata; data e forma della consultazione. I sei campi si scrivono per intero anche quando sembrano ovvi, perché la loro funzione non è informare il lettore odierno ma consentire a un terzo, fra vent'anni, di rifare la stessa strada.</w:t>
      </w:r>
    </w:p>
    <w:p>
      <w:pPr>
        <w:spacing w:after="120" w:line="276"/>
        <w:jc w:val="both"/>
      </w:pPr>
      <w:r>
        <w:rPr>
          <w:rFonts w:ascii="Barlow Semi Condensed" w:cs="Barlow Semi Condensed" w:eastAsia="Barlow Semi Condensed" w:hAnsi="Barlow Semi Condensed"/>
          <w:b/>
          <w:bCs/>
          <w:sz w:val="24"/>
          <w:szCs w:val="24"/>
        </w:rPr>
        <w:t xml:space="preserve">884 · Tre date e non una.</w:t>
      </w:r>
      <w:r>
        <w:rPr>
          <w:rFonts w:ascii="Barlow Semi Condensed" w:cs="Barlow Semi Condensed" w:eastAsia="Barlow Semi Condensed" w:hAnsi="Barlow Semi Condensed"/>
          <w:sz w:val="24"/>
          <w:szCs w:val="24"/>
        </w:rPr>
        <w:t xml:space="preserve"> Le tre date del campo temporale sono distinte e vanno tenute separate: quando la cosa è stata detta o scritta, quando è stata resa pubblica, quando è stata consultata. Su un'intervista rilasciata nel 2018, ripubblicata nel 2023 e letta nel 2026, la confusione fra le tre produce un errore di otto anni. Se una delle tre non è determinabile, si scrive che non lo è.</w:t>
      </w:r>
    </w:p>
    <w:p>
      <w:pPr>
        <w:spacing w:after="120" w:line="276"/>
        <w:jc w:val="both"/>
      </w:pPr>
      <w:r>
        <w:rPr>
          <w:rFonts w:ascii="Barlow Semi Condensed" w:cs="Barlow Semi Condensed" w:eastAsia="Barlow Semi Condensed" w:hAnsi="Barlow Semi Condensed"/>
          <w:b/>
          <w:bCs/>
          <w:sz w:val="24"/>
          <w:szCs w:val="24"/>
        </w:rPr>
        <w:t xml:space="preserve">885 · L'unità minima citabile.</w:t>
      </w:r>
      <w:r>
        <w:rPr>
          <w:rFonts w:ascii="Barlow Semi Condensed" w:cs="Barlow Semi Condensed" w:eastAsia="Barlow Semi Condensed" w:hAnsi="Barlow Semi Condensed"/>
          <w:sz w:val="24"/>
          <w:szCs w:val="24"/>
        </w:rPr>
        <w:t xml:space="preserve"> Si cita un punto dell'opera e non l'opera: pagina per il libro, colonna e pagina per il giornale, paragrafo per un atto, minuto e secondo per l'audio, numero di documento per una raccolta diplomatica. L'unità minima è ciò che rende la citazione controllabile in meno di dieci minuti. Se il controllo esige di rileggere l'intera opera, la citazione non è ancora una citazione.</w:t>
      </w:r>
    </w:p>
    <w:p>
      <w:pPr>
        <w:spacing w:after="120" w:line="276"/>
        <w:jc w:val="both"/>
      </w:pPr>
      <w:r>
        <w:rPr>
          <w:rFonts w:ascii="Barlow Semi Condensed" w:cs="Barlow Semi Condensed" w:eastAsia="Barlow Semi Condensed" w:hAnsi="Barlow Semi Condensed"/>
          <w:b/>
          <w:bCs/>
          <w:sz w:val="24"/>
          <w:szCs w:val="24"/>
        </w:rPr>
        <w:t xml:space="preserve">886 · La copia d'archivio della pagina.</w:t>
      </w:r>
      <w:r>
        <w:rPr>
          <w:rFonts w:ascii="Barlow Semi Condensed" w:cs="Barlow Semi Condensed" w:eastAsia="Barlow Semi Condensed" w:hAnsi="Barlow Semi Condensed"/>
          <w:sz w:val="24"/>
          <w:szCs w:val="24"/>
        </w:rPr>
        <w:t xml:space="preserve"> A ogni fonte in rete si accompagna una copia archiviata di data certa, conservata insieme al blocco che la usa. Vale per le testate, per i messaggi sulle piattaforme, per le pagine societarie e per le enciclopedie. La copia non sostituisce l'originale e non ne certifica la verità: certifica soltanto che a quella data quel testo diceva quelle parole. È il minimo che rende falsificabile un'affermazione fondata sulla rete.</w:t>
      </w:r>
    </w:p>
    <w:p>
      <w:pPr>
        <w:spacing w:after="120" w:line="276"/>
        <w:jc w:val="both"/>
      </w:pPr>
      <w:r>
        <w:rPr>
          <w:rFonts w:ascii="Barlow Semi Condensed" w:cs="Barlow Semi Condensed" w:eastAsia="Barlow Semi Condensed" w:hAnsi="Barlow Semi Condensed"/>
          <w:b/>
          <w:bCs/>
          <w:sz w:val="24"/>
          <w:szCs w:val="24"/>
        </w:rPr>
        <w:t xml:space="preserve">887 · Minutaggio per l'audiovisivo.</w:t>
      </w:r>
      <w:r>
        <w:rPr>
          <w:rFonts w:ascii="Barlow Semi Condensed" w:cs="Barlow Semi Condensed" w:eastAsia="Barlow Semi Condensed" w:hAnsi="Barlow Semi Condensed"/>
          <w:sz w:val="24"/>
          <w:szCs w:val="24"/>
        </w:rPr>
        <w:t xml:space="preserve"> Dal video e dall'audio si cita col minutaggio d'inizio e di fine e con l'indicazione di chi ha trascritto: un trascrittore umano, un servizio automatico oppure l'editore stesso. Senza minutaggio la citazione è inverificabile; senza attribuzione della trascrizione è invece verificabile ma non attribuibile. Le due mancanze hanno rimedi diversi e vanno dichiarate separatamente nel blocco che le subisce.</w:t>
      </w:r>
    </w:p>
    <w:p>
      <w:pPr>
        <w:spacing w:after="120" w:line="276"/>
        <w:jc w:val="both"/>
      </w:pPr>
      <w:r>
        <w:rPr>
          <w:rFonts w:ascii="Barlow Semi Condensed" w:cs="Barlow Semi Condensed" w:eastAsia="Barlow Semi Condensed" w:hAnsi="Barlow Semi Condensed"/>
          <w:b/>
          <w:bCs/>
          <w:sz w:val="24"/>
          <w:szCs w:val="24"/>
        </w:rPr>
        <w:t xml:space="preserve">888 · Identificativo e fuso per i post.</w:t>
      </w:r>
      <w:r>
        <w:rPr>
          <w:rFonts w:ascii="Barlow Semi Condensed" w:cs="Barlow Semi Condensed" w:eastAsia="Barlow Semi Condensed" w:hAnsi="Barlow Semi Condensed"/>
          <w:sz w:val="24"/>
          <w:szCs w:val="24"/>
        </w:rPr>
        <w:t xml:space="preserve"> Un messaggio pubblicato su una piattaforma si cita con l'account, l'identificativo numerico del messaggio, l'ora nel fuso dichiarato e una copia archiviata. L'identificativo numerico è l'unico campo che sopravvive ai cambi di nome utente e alle ristrutturazioni del servizio. L'ora nel fuso conta perché molte cronologie di dichiarazioni contrapposte, su questa materia, si giocano nell'arco di poche ore, e il fuso locale le inverte.</w:t>
      </w:r>
    </w:p>
    <w:p>
      <w:pPr>
        <w:spacing w:after="120" w:line="276"/>
        <w:jc w:val="both"/>
      </w:pPr>
      <w:r>
        <w:rPr>
          <w:rFonts w:ascii="Barlow Semi Condensed" w:cs="Barlow Semi Condensed" w:eastAsia="Barlow Semi Condensed" w:hAnsi="Barlow Semi Condensed"/>
          <w:b/>
          <w:bCs/>
          <w:sz w:val="24"/>
          <w:szCs w:val="24"/>
        </w:rPr>
        <w:t xml:space="preserve">889 · La catena verso il primario.</w:t>
      </w:r>
      <w:r>
        <w:rPr>
          <w:rFonts w:ascii="Barlow Semi Condensed" w:cs="Barlow Semi Condensed" w:eastAsia="Barlow Semi Condensed" w:hAnsi="Barlow Semi Condensed"/>
          <w:sz w:val="24"/>
          <w:szCs w:val="24"/>
        </w:rPr>
        <w:t xml:space="preserve"> Si dichiara la catena di ogni citazione secondaria: chi dice che chi ha detto. La catena si scrive per esteso e si percorre fino all'ultimo anello raggiungibile. Dove si interrompe si annota il punto e il motivo, pagina rimossa, libro senza note, testimone non identificato. Una catena spezzata e dichiarata vale più di una catena occultata dietro una citazione elegante.</w:t>
      </w:r>
    </w:p>
    <w:p>
      <w:pPr>
        <w:spacing w:after="120" w:line="276"/>
        <w:jc w:val="both"/>
      </w:pPr>
      <w:r>
        <w:rPr>
          <w:rFonts w:ascii="Barlow Semi Condensed" w:cs="Barlow Semi Condensed" w:eastAsia="Barlow Semi Condensed" w:hAnsi="Barlow Semi Condensed"/>
          <w:b/>
          <w:bCs/>
          <w:sz w:val="24"/>
          <w:szCs w:val="24"/>
        </w:rPr>
        <w:t xml:space="preserve">890 · L'anello mancante si verbalizza.</w:t>
      </w:r>
      <w:r>
        <w:rPr>
          <w:rFonts w:ascii="Barlow Semi Condensed" w:cs="Barlow Semi Condensed" w:eastAsia="Barlow Semi Condensed" w:hAnsi="Barlow Semi Condensed"/>
          <w:sz w:val="24"/>
          <w:szCs w:val="24"/>
        </w:rPr>
        <w:t xml:space="preserve"> Il campo che non si riesce a compilare non si lascia vuoto e non si riempie a intuito: si scrive che manca e si nomina la sede che lo colmerebbe. È la forma dello Stato Zero applicata alla citazione. Un blocco con quattro campi su sei, e i due mancanti nominati insieme all'archivio competente, resta un bersaglio eseguibile; un blocco con sei campi inventati è un danno.</w:t>
      </w:r>
    </w:p>
    <w:p>
      <w:pPr>
        <w:spacing w:after="120" w:line="276"/>
        <w:jc w:val="both"/>
      </w:pPr>
      <w:r>
        <w:rPr>
          <w:rFonts w:ascii="Barlow Semi Condensed" w:cs="Barlow Semi Condensed" w:eastAsia="Barlow Semi Condensed" w:hAnsi="Barlow Semi Condensed"/>
          <w:b/>
          <w:bCs/>
          <w:sz w:val="24"/>
          <w:szCs w:val="24"/>
        </w:rPr>
        <w:t xml:space="preserve">891 · Il collaudo della scheda.</w:t>
      </w:r>
      <w:r>
        <w:rPr>
          <w:rFonts w:ascii="Barlow Semi Condensed" w:cs="Barlow Semi Condensed" w:eastAsia="Barlow Semi Condensed" w:hAnsi="Barlow Semi Condensed"/>
          <w:sz w:val="24"/>
          <w:szCs w:val="24"/>
        </w:rPr>
        <w:t xml:space="preserve"> La scheda si collauda così: si consegna la citazione a una persona che non conosce la materia e si misura quanto impiega a mettere le mani sull'originale. Sotto i dieci minuti la scheda è buona; oltre l'ora è da rifare; se non ci riesce, la citazione si declassa a riferimento generico. Il collaudo è una procedura di qualità, analoga agli audit previsti al blocco 371 del manuale investigativo.</w:t>
      </w:r>
    </w:p>
    <w:p>
      <w:pPr>
        <w:spacing w:after="120" w:line="276"/>
        <w:jc w:val="both"/>
      </w:pPr>
      <w:r>
        <w:rPr>
          <w:rFonts w:ascii="Barlow Semi Condensed" w:cs="Barlow Semi Condensed" w:eastAsia="Barlow Semi Condensed" w:hAnsi="Barlow Semi Condensed"/>
          <w:b/>
          <w:bCs/>
          <w:sz w:val="24"/>
          <w:szCs w:val="24"/>
        </w:rPr>
        <w:t xml:space="preserve">892 · Contare le fonti, non le pagine.</w:t>
      </w:r>
      <w:r>
        <w:rPr>
          <w:rFonts w:ascii="Barlow Semi Condensed" w:cs="Barlow Semi Condensed" w:eastAsia="Barlow Semi Condensed" w:hAnsi="Barlow Semi Condensed"/>
          <w:sz w:val="24"/>
          <w:szCs w:val="24"/>
        </w:rPr>
        <w:t xml:space="preserve"> La misura corretta dell'evidenza è il numero degli accessi indipendenti al fatto, non il numero delle pagine che ne parlano. Su questa materia il rapporto fra le due grandezze è estremo: centinaia di pagine, pochissimi accessi originali. Chi conta le pagine ricava l'impressione di un fatto solidissimo; chi conta gli accessi trova spesso un'unica intervista, un unico servizio di rivista, un'unica biografia.</w:t>
      </w:r>
    </w:p>
    <w:p>
      <w:pPr>
        <w:spacing w:after="120" w:line="276"/>
        <w:jc w:val="both"/>
      </w:pPr>
      <w:r>
        <w:rPr>
          <w:rFonts w:ascii="Barlow Semi Condensed" w:cs="Barlow Semi Condensed" w:eastAsia="Barlow Semi Condensed" w:hAnsi="Barlow Semi Condensed"/>
          <w:b/>
          <w:bCs/>
          <w:sz w:val="24"/>
          <w:szCs w:val="24"/>
        </w:rPr>
        <w:t xml:space="preserve">893 · Il circolo della citogenesi.</w:t>
      </w:r>
      <w:r>
        <w:rPr>
          <w:rFonts w:ascii="Barlow Semi Condensed" w:cs="Barlow Semi Condensed" w:eastAsia="Barlow Semi Condensed" w:hAnsi="Barlow Semi Condensed"/>
          <w:sz w:val="24"/>
          <w:szCs w:val="24"/>
        </w:rPr>
        <w:t xml:space="preserve"> Esiste un circuito noto e verificabile: un'affermazione priva di fonte entra in una voce enciclopedica; un sito la riprende citando la voce; la voce viene poi corredata della nota che rinvia a quel sito. A quel punto l'affermazione appare sostenuta e non lo è mai stata. Il circuito si riconosce confrontando le date, perché la nota risulta posteriore all'enunciato che dovrebbe sostenere.</w:t>
      </w:r>
    </w:p>
    <w:p>
      <w:pPr>
        <w:spacing w:after="120" w:line="276"/>
        <w:jc w:val="both"/>
      </w:pPr>
      <w:r>
        <w:rPr>
          <w:rFonts w:ascii="Barlow Semi Condensed" w:cs="Barlow Semi Condensed" w:eastAsia="Barlow Semi Condensed" w:hAnsi="Barlow Semi Condensed"/>
          <w:b/>
          <w:bCs/>
          <w:sz w:val="24"/>
          <w:szCs w:val="24"/>
        </w:rPr>
        <w:t xml:space="preserve">894 · L'aggregatore promosso ad autorità.</w:t>
      </w:r>
      <w:r>
        <w:rPr>
          <w:rFonts w:ascii="Barlow Semi Condensed" w:cs="Barlow Semi Condensed" w:eastAsia="Barlow Semi Condensed" w:hAnsi="Barlow Semi Condensed"/>
          <w:sz w:val="24"/>
          <w:szCs w:val="24"/>
        </w:rPr>
        <w:t xml:space="preserve"> I siti che raccolgono e riscrivono contenuti altrui compaiono, nei risultati di ricerca, con la stessa dignità grafica delle testate che hanno prodotto l'informazione. La gerarchia visiva della rete è piatta e non riproduce la gerarchia probatoria. Correggere questo appiattimento è operazione manuale: per ogni risultato si stabilisce se il testo sia originale o derivato, e i derivati si scartano dal conteggio.</w:t>
      </w:r>
    </w:p>
    <w:p>
      <w:pPr>
        <w:spacing w:after="120" w:line="276"/>
        <w:jc w:val="both"/>
      </w:pPr>
      <w:r>
        <w:rPr>
          <w:rFonts w:ascii="Barlow Semi Condensed" w:cs="Barlow Semi Condensed" w:eastAsia="Barlow Semi Condensed" w:hAnsi="Barlow Semi Condensed"/>
          <w:b/>
          <w:bCs/>
          <w:sz w:val="24"/>
          <w:szCs w:val="24"/>
        </w:rPr>
        <w:t xml:space="preserve">895 · La traduzione che moltiplica.</w:t>
      </w:r>
      <w:r>
        <w:rPr>
          <w:rFonts w:ascii="Barlow Semi Condensed" w:cs="Barlow Semi Condensed" w:eastAsia="Barlow Semi Condensed" w:hAnsi="Barlow Semi Condensed"/>
          <w:sz w:val="24"/>
          <w:szCs w:val="24"/>
        </w:rPr>
        <w:t xml:space="preserve"> Tradotto in cinque lingue, un articolo produce cinque risultati distinti e resta una fonte. Su questa materia versioni italiane, tedesche e spagnole di uno stesso ritratto circolano come testi autonomi, talvolta senza indicare l'originale. Il riconoscimento passa dal confronto delle citazioni interne: le stesse frasi virgolettate, nel medesimo ordine. La traduzione introduce inoltre errori propri, che vengono poi ritradotti all'indietro come se fossero fonte.</w:t>
      </w:r>
    </w:p>
    <w:p>
      <w:pPr>
        <w:spacing w:after="120" w:line="276"/>
        <w:jc w:val="both"/>
      </w:pPr>
      <w:r>
        <w:rPr>
          <w:rFonts w:ascii="Barlow Semi Condensed" w:cs="Barlow Semi Condensed" w:eastAsia="Barlow Semi Condensed" w:hAnsi="Barlow Semi Condensed"/>
          <w:b/>
          <w:bCs/>
          <w:sz w:val="24"/>
          <w:szCs w:val="24"/>
        </w:rPr>
        <w:t xml:space="preserve">896 · La verifica meccanica della stringa.</w:t>
      </w:r>
      <w:r>
        <w:rPr>
          <w:rFonts w:ascii="Barlow Semi Condensed" w:cs="Barlow Semi Condensed" w:eastAsia="Barlow Semi Condensed" w:hAnsi="Barlow Semi Condensed"/>
          <w:sz w:val="24"/>
          <w:szCs w:val="24"/>
        </w:rPr>
        <w:t xml:space="preserve"> Prima di interrogare un archivio si verifica la stringa, perché l'archivio risponde a ciò che gli si chiede. La verifica eseguita su questo corpus lo mostra: i nomi di questa materia, da Musk a Thiel a Botha, e le parole PayPal, Silicon Valley e Namibia non compaiono negli altri Libri. L'unico ponte documentato resta il nodo E-16, il discorso all'ONU dell'11 dicembre 1964. Zero occorrenze, verbalizzate. </w:t>
      </w:r>
      <w:r>
        <w:rPr>
          <w:rFonts w:ascii="Barlow Semi Condensed" w:cs="Barlow Semi Condensed" w:eastAsia="Barlow Semi Condensed" w:hAnsi="Barlow Semi Condensed"/>
          <w:i/>
          <w:iCs/>
          <w:sz w:val="24"/>
          <w:szCs w:val="24"/>
        </w:rPr>
        <w:t xml:space="preserve">(Verifica riferita al perimetro anteriore al 26 agosto 2026; per l'aggiornamento dopo l'ingresso del Libro quarto si veda il blocco 38.)</w:t>
      </w:r>
    </w:p>
    <w:p>
      <w:pPr>
        <w:spacing w:after="120" w:line="276"/>
        <w:jc w:val="both"/>
      </w:pPr>
      <w:r>
        <w:rPr>
          <w:rFonts w:ascii="Barlow Semi Condensed" w:cs="Barlow Semi Condensed" w:eastAsia="Barlow Semi Condensed" w:hAnsi="Barlow Semi Condensed"/>
          <w:b/>
          <w:bCs/>
          <w:sz w:val="24"/>
          <w:szCs w:val="24"/>
        </w:rPr>
        <w:t xml:space="preserve">897 · Il conteggio a monte, in pratica.</w:t>
      </w:r>
      <w:r>
        <w:rPr>
          <w:rFonts w:ascii="Barlow Semi Condensed" w:cs="Barlow Semi Condensed" w:eastAsia="Barlow Semi Condensed" w:hAnsi="Barlow Semi Condensed"/>
          <w:sz w:val="24"/>
          <w:szCs w:val="24"/>
        </w:rPr>
        <w:t xml:space="preserve"> Procedura: si prende l'affermazione nella formulazione più diffusa, si isolano tre o quattro parole rare che la caratterizzano, si cercano in quella sequenza, si ordinano i risultati per data crescente e si legge il primo. Poi si verifica che cosa quel primo citi a sua volta. Nei casi trattati nella parte finale di questa serie l'operazione termina quasi sempre in un solo documento.</w:t>
      </w:r>
    </w:p>
    <w:p>
      <w:pPr>
        <w:spacing w:after="120" w:line="276"/>
        <w:jc w:val="both"/>
      </w:pPr>
      <w:r>
        <w:rPr>
          <w:rFonts w:ascii="Barlow Semi Condensed" w:cs="Barlow Semi Condensed" w:eastAsia="Barlow Semi Condensed" w:hAnsi="Barlow Semi Condensed"/>
          <w:b/>
          <w:bCs/>
          <w:sz w:val="24"/>
          <w:szCs w:val="24"/>
        </w:rPr>
        <w:t xml:space="preserve">898 · Il numero non è corroborazione.</w:t>
      </w:r>
      <w:r>
        <w:rPr>
          <w:rFonts w:ascii="Barlow Semi Condensed" w:cs="Barlow Semi Condensed" w:eastAsia="Barlow Semi Condensed" w:hAnsi="Barlow Semi Condensed"/>
          <w:sz w:val="24"/>
          <w:szCs w:val="24"/>
        </w:rPr>
        <w:t xml:space="preserve"> Si fissa la regola che l'intera sezione serve a rendere operativa: la ripetizione non aggiunge valore probatorio, in nessuna quantità. Mille pagine concordi che discendono da una fonte valgono quella fonte. La regola opera simmetricamente per l'accusa e per la difesa, e su questa materia va applicata soprattutto ai siti militanti dei due schieramenti, che ripetono formulazioni identiche senza aggiungere un documento.</w:t>
      </w:r>
    </w:p>
    <w:p>
      <w:pPr>
        <w:spacing w:after="120" w:line="276"/>
        <w:jc w:val="both"/>
      </w:pPr>
      <w:r>
        <w:rPr>
          <w:rFonts w:ascii="Barlow Semi Condensed" w:cs="Barlow Semi Condensed" w:eastAsia="Barlow Semi Condensed" w:hAnsi="Barlow Semi Condensed"/>
          <w:b/>
          <w:bCs/>
          <w:sz w:val="24"/>
          <w:szCs w:val="24"/>
        </w:rPr>
        <w:t xml:space="preserve">899 · L'enciclopedia collaborativa: uso lecito.</w:t>
      </w:r>
      <w:r>
        <w:rPr>
          <w:rFonts w:ascii="Barlow Semi Condensed" w:cs="Barlow Semi Condensed" w:eastAsia="Barlow Semi Condensed" w:hAnsi="Barlow Semi Condensed"/>
          <w:sz w:val="24"/>
          <w:szCs w:val="24"/>
        </w:rPr>
        <w:t xml:space="preserve"> Un'enciclopedia scritta collettivamente si può usare per fatti non controversi, date, luoghi, cariche, denominazioni sociali, e come indice delle fonti altrui, mai come fonte unica di un'attribuzione contestata. È la regola già scritta nel corpus per la materia guevariana, dove il criterio è enunciato nella bibliografia critica, ed è la stessa qui. L'uso corretto consiste nel leggere le note della voce e citare quelle, dopo averle aperte.</w:t>
      </w:r>
    </w:p>
    <w:p>
      <w:pPr>
        <w:spacing w:after="120" w:line="276"/>
        <w:jc w:val="both"/>
      </w:pPr>
      <w:r>
        <w:rPr>
          <w:rFonts w:ascii="Barlow Semi Condensed" w:cs="Barlow Semi Condensed" w:eastAsia="Barlow Semi Condensed" w:hAnsi="Barlow Semi Condensed"/>
          <w:b/>
          <w:bCs/>
          <w:sz w:val="24"/>
          <w:szCs w:val="24"/>
        </w:rPr>
        <w:t xml:space="preserve">900 · Il limite sull'attribuzione contestata.</w:t>
      </w:r>
      <w:r>
        <w:rPr>
          <w:rFonts w:ascii="Barlow Semi Condensed" w:cs="Barlow Semi Condensed" w:eastAsia="Barlow Semi Condensed" w:hAnsi="Barlow Semi Condensed"/>
          <w:sz w:val="24"/>
          <w:szCs w:val="24"/>
        </w:rPr>
        <w:t xml:space="preserve"> Il limite si manifesta esattamente dove questa materia è più delicata: le voci biografiche di persone viventi e politicamente esposte sono soggette a redazioni contrapposte, e la versione visibile oggi è l'esito di un conflitto in corso, non di un accertamento chiuso. Su nessun punto controverso di quest'opera una voce enciclopedica può essere l'unico appoggio, quale ne sia la lingua o la reputazione.</w:t>
      </w:r>
    </w:p>
    <w:p>
      <w:pPr>
        <w:spacing w:after="120" w:line="276"/>
        <w:jc w:val="both"/>
      </w:pPr>
      <w:r>
        <w:rPr>
          <w:rFonts w:ascii="Barlow Semi Condensed" w:cs="Barlow Semi Condensed" w:eastAsia="Barlow Semi Condensed" w:hAnsi="Barlow Semi Condensed"/>
          <w:b/>
          <w:bCs/>
          <w:sz w:val="24"/>
          <w:szCs w:val="24"/>
        </w:rPr>
        <w:t xml:space="preserve">901 · La cronologia delle modifiche.</w:t>
      </w:r>
      <w:r>
        <w:rPr>
          <w:rFonts w:ascii="Barlow Semi Condensed" w:cs="Barlow Semi Condensed" w:eastAsia="Barlow Semi Condensed" w:hAnsi="Barlow Semi Condensed"/>
          <w:sz w:val="24"/>
          <w:szCs w:val="24"/>
        </w:rPr>
        <w:t xml:space="preserve"> La pagina di cronologia di una voce collaborativa è essa stessa una fonte, e talvolta la più istruttiva: mostra quando un'affermazione sia comparsa, chi l'abbia inserita, quante volte sia stata rimossa e rimessa, con quali argomenti nella pagina di discussione. Su questa materia la cronologia di alcune voci documenta il conflitto meglio di qualunque articolo, e va citata col numero di revisione.</w:t>
      </w:r>
    </w:p>
    <w:p>
      <w:pPr>
        <w:spacing w:after="120" w:line="276"/>
        <w:jc w:val="both"/>
      </w:pPr>
      <w:r>
        <w:rPr>
          <w:rFonts w:ascii="Barlow Semi Condensed" w:cs="Barlow Semi Condensed" w:eastAsia="Barlow Semi Condensed" w:hAnsi="Barlow Semi Condensed"/>
          <w:b/>
          <w:bCs/>
          <w:sz w:val="24"/>
          <w:szCs w:val="24"/>
        </w:rPr>
        <w:t xml:space="preserve">902 · L'enciclopedia generata da modelli.</w:t>
      </w:r>
      <w:r>
        <w:rPr>
          <w:rFonts w:ascii="Barlow Semi Condensed" w:cs="Barlow Semi Condensed" w:eastAsia="Barlow Semi Condensed" w:hAnsi="Barlow Semi Condensed"/>
          <w:sz w:val="24"/>
          <w:szCs w:val="24"/>
        </w:rPr>
        <w:t xml:space="preserve"> Gli articoli prodotti da sistemi automatici non hanno autore, e senza autore non esistono né responsabilità né apparato verificabile: resta un testo che assomiglia a una voce enciclopedica. Il criterio non riguarda la qualità della prosa, che può essere ottima, ma la tracciabilità: non c'è una persona alla quale chiedere che cosa abbia letto prima di scrivere quella frase, e questo basta a escluderne l'uso probatorio.</w:t>
      </w:r>
    </w:p>
    <w:p>
      <w:pPr>
        <w:spacing w:after="120" w:line="276"/>
        <w:jc w:val="both"/>
      </w:pPr>
      <w:r>
        <w:rPr>
          <w:rFonts w:ascii="Barlow Semi Condensed" w:cs="Barlow Semi Condensed" w:eastAsia="Barlow Semi Condensed" w:hAnsi="Barlow Semi Condensed"/>
          <w:b/>
          <w:bCs/>
          <w:sz w:val="24"/>
          <w:szCs w:val="24"/>
        </w:rPr>
        <w:t xml:space="preserve">903 · L'editore che è oggetto della voce.</w:t>
      </w:r>
      <w:r>
        <w:rPr>
          <w:rFonts w:ascii="Barlow Semi Condensed" w:cs="Barlow Semi Condensed" w:eastAsia="Barlow Semi Condensed" w:hAnsi="Barlow Semi Condensed"/>
          <w:sz w:val="24"/>
          <w:szCs w:val="24"/>
        </w:rPr>
        <w:t xml:space="preserve"> Se l'impresa che pubblica un'enciclopedia è controllata da una persona che in quell'enciclopedia ha una voce, e che è protagonista della materia trattata, quel testo non è terzo per definizione. Non occorre dimostrare alcuna alterazione: la terzietà è condizione di posizione, non giudizio sulla condotta. Il corpus registra la posizione e cerca altrove, come farebbe con qualsiasi casa editrice di proprietà di un protagonista.</w:t>
      </w:r>
    </w:p>
    <w:p>
      <w:pPr>
        <w:spacing w:after="120" w:line="276"/>
        <w:jc w:val="both"/>
      </w:pPr>
      <w:r>
        <w:rPr>
          <w:rFonts w:ascii="Barlow Semi Condensed" w:cs="Barlow Semi Condensed" w:eastAsia="Barlow Semi Condensed" w:hAnsi="Barlow Semi Condensed"/>
          <w:b/>
          <w:bCs/>
          <w:sz w:val="24"/>
          <w:szCs w:val="24"/>
        </w:rPr>
        <w:t xml:space="preserve">904 · Il divieto del committente, registrato.</w:t>
      </w:r>
      <w:r>
        <w:rPr>
          <w:rFonts w:ascii="Barlow Semi Condensed" w:cs="Barlow Semi Condensed" w:eastAsia="Barlow Semi Condensed" w:hAnsi="Barlow Semi Condensed"/>
          <w:sz w:val="24"/>
          <w:szCs w:val="24"/>
        </w:rPr>
        <w:t xml:space="preserve"> Il committente ha escluso due testate dal novero delle fonti citabili in quest'opera. Il divieto si registra qui per intero, perché un'esclusione taciuta sarebbe essa stessa un vizio di metodo, e si osserva senza nominarle nel testo. Un lettore che voglia contestare l'esclusione sa dunque che esiste e può chiederne conto; ciò che non troverà mai è una riga di quest'opera appoggiata su quelle due.</w:t>
      </w:r>
    </w:p>
    <w:p>
      <w:pPr>
        <w:spacing w:after="120" w:line="276"/>
        <w:jc w:val="both"/>
      </w:pPr>
      <w:r>
        <w:rPr>
          <w:rFonts w:ascii="Barlow Semi Condensed" w:cs="Barlow Semi Condensed" w:eastAsia="Barlow Semi Condensed" w:hAnsi="Barlow Semi Condensed"/>
          <w:b/>
          <w:bCs/>
          <w:sz w:val="24"/>
          <w:szCs w:val="24"/>
        </w:rPr>
        <w:t xml:space="preserve">905 · Il peso del ricordo familiare.</w:t>
      </w:r>
      <w:r>
        <w:rPr>
          <w:rFonts w:ascii="Barlow Semi Condensed" w:cs="Barlow Semi Condensed" w:eastAsia="Barlow Semi Condensed" w:hAnsi="Barlow Semi Condensed"/>
          <w:sz w:val="24"/>
          <w:szCs w:val="24"/>
        </w:rPr>
        <w:t xml:space="preserve"> La memorialistica di famiglia è fonte primaria per le cose che il narratore ha visto e udito, e fonte debolissima per quelle che gli sono state raccontate e che riguardano l'onore o la fortuna della casa. La distinzione va applicata riga per riga dentro lo stesso libro o la stessa intervista. Il corpus l'ha già usata sulla memorialistica brigatista, trattata come fonte di parte in ceppo-simioni-cpm-superclan-hyperion.md.</w:t>
      </w:r>
    </w:p>
    <w:p>
      <w:pPr>
        <w:spacing w:after="120" w:line="276"/>
        <w:jc w:val="both"/>
      </w:pPr>
      <w:r>
        <w:rPr>
          <w:rFonts w:ascii="Barlow Semi Condensed" w:cs="Barlow Semi Condensed" w:eastAsia="Barlow Semi Condensed" w:hAnsi="Barlow Semi Condensed"/>
          <w:b/>
          <w:bCs/>
          <w:sz w:val="24"/>
          <w:szCs w:val="24"/>
        </w:rPr>
        <w:t xml:space="preserve">906 · Gli scritti del nonno materno.</w:t>
      </w:r>
      <w:r>
        <w:rPr>
          <w:rFonts w:ascii="Barlow Semi Condensed" w:cs="Barlow Semi Condensed" w:eastAsia="Barlow Semi Condensed" w:hAnsi="Barlow Semi Condensed"/>
          <w:sz w:val="24"/>
          <w:szCs w:val="24"/>
        </w:rPr>
        <w:t xml:space="preserve"> Joshua Norman Haldeman, 1902-1974, pubblicò in proprio scritti e opuscoli e lasciò corrispondenza: sono fonti primarie per le sue posizioni, che espresse pubblicamente e che l'inchiesta della CBC ha documentato. Un testo scritto da lui pesa più di qualunque ricostruzione familiare successiva, in un senso e nell'altro. La ricerca di questi materiali si conduce presso le biblioteche nazionali canadese e sudafricana, per la via del deposito legale.</w:t>
      </w:r>
    </w:p>
    <w:p>
      <w:pPr>
        <w:spacing w:after="120" w:line="276"/>
        <w:jc w:val="both"/>
      </w:pPr>
      <w:r>
        <w:rPr>
          <w:rFonts w:ascii="Barlow Semi Condensed" w:cs="Barlow Semi Condensed" w:eastAsia="Barlow Semi Condensed" w:hAnsi="Barlow Semi Condensed"/>
          <w:b/>
          <w:bCs/>
          <w:sz w:val="24"/>
          <w:szCs w:val="24"/>
        </w:rPr>
        <w:t xml:space="preserve">907 · Le carte del movimento tecnocratico.</w:t>
      </w:r>
      <w:r>
        <w:rPr>
          <w:rFonts w:ascii="Barlow Semi Condensed" w:cs="Barlow Semi Condensed" w:eastAsia="Barlow Semi Condensed" w:hAnsi="Barlow Semi Condensed"/>
          <w:sz w:val="24"/>
          <w:szCs w:val="24"/>
        </w:rPr>
        <w:t xml:space="preserve"> Il movimento Technocracy, cui Haldeman aderì in Canada, ha lasciato atti associativi e fascicoli amministrativi: la sede in cui cercarli è Library and Archives Canada, a Ottawa, insieme agli atti relativi alle misure di guerra che nel 1940 colpirono diverse organizzazioni. È un bersaglio d'archivio preciso e finora non verbalizzato: che cosa quei fascicoli contengano su questa persona resta, allo stato, ignoto a quest'opera.</w:t>
      </w:r>
    </w:p>
    <w:p>
      <w:pPr>
        <w:spacing w:after="120" w:line="276"/>
        <w:jc w:val="both"/>
      </w:pPr>
      <w:r>
        <w:rPr>
          <w:rFonts w:ascii="Barlow Semi Condensed" w:cs="Barlow Semi Condensed" w:eastAsia="Barlow Semi Condensed" w:hAnsi="Barlow Semi Condensed"/>
          <w:b/>
          <w:bCs/>
          <w:sz w:val="24"/>
          <w:szCs w:val="24"/>
        </w:rPr>
        <w:t xml:space="preserve">908 · L'opinione dell'avo non si eredita.</w:t>
      </w:r>
      <w:r>
        <w:rPr>
          <w:rFonts w:ascii="Barlow Semi Condensed" w:cs="Barlow Semi Condensed" w:eastAsia="Barlow Semi Condensed" w:hAnsi="Barlow Semi Condensed"/>
          <w:sz w:val="24"/>
          <w:szCs w:val="24"/>
        </w:rPr>
        <w:t xml:space="preserve"> Le posizioni pubbliche di un nonno sono un fatto documentabile del nonno. Non sono un fatto del nipote, e nessun blocco di quest'opera le tratta come tali: è il divieto centrale dell'intero lavoro, e discende dalla stessa regola con cui il corpus tratta la responsabilità penale, che non si trasmette per discendenza. La genealogia stabilisce parentele; non stabilisce condotte, opinioni né continuità.</w:t>
      </w:r>
    </w:p>
    <w:p>
      <w:pPr>
        <w:spacing w:after="120" w:line="276"/>
        <w:jc w:val="both"/>
      </w:pPr>
      <w:r>
        <w:rPr>
          <w:rFonts w:ascii="Barlow Semi Condensed" w:cs="Barlow Semi Condensed" w:eastAsia="Barlow Semi Condensed" w:hAnsi="Barlow Semi Condensed"/>
          <w:b/>
          <w:bCs/>
          <w:sz w:val="24"/>
          <w:szCs w:val="24"/>
        </w:rPr>
        <w:t xml:space="preserve">909 · Le interviste paterne e la cadenza.</w:t>
      </w:r>
      <w:r>
        <w:rPr>
          <w:rFonts w:ascii="Barlow Semi Condensed" w:cs="Barlow Semi Condensed" w:eastAsia="Barlow Semi Condensed" w:hAnsi="Barlow Semi Condensed"/>
          <w:sz w:val="24"/>
          <w:szCs w:val="24"/>
        </w:rPr>
        <w:t xml:space="preserve"> Le dichiarazioni rese negli ultimi anni da Errol Musk a testate anglosassoni sono numerose, ravvicinate e non sempre concordanti fra loro. Prima di usarne una conviene ordinarle cronologicamente e confrontarne le versioni: l'esercizio è meccanico e produce un risultato utile, cioè la misura della stabilità del racconto. Una versione che muta nel tempo non è per ciò falsa, ma non si cita separata dalle altre.</w:t>
      </w:r>
    </w:p>
    <w:p>
      <w:pPr>
        <w:spacing w:after="120" w:line="276"/>
        <w:jc w:val="both"/>
      </w:pPr>
      <w:r>
        <w:rPr>
          <w:rFonts w:ascii="Barlow Semi Condensed" w:cs="Barlow Semi Condensed" w:eastAsia="Barlow Semi Condensed" w:hAnsi="Barlow Semi Condensed"/>
          <w:b/>
          <w:bCs/>
          <w:sz w:val="24"/>
          <w:szCs w:val="24"/>
        </w:rPr>
        <w:t xml:space="preserve">910 · Il podcast è un oggetto datato.</w:t>
      </w:r>
      <w:r>
        <w:rPr>
          <w:rFonts w:ascii="Barlow Semi Condensed" w:cs="Barlow Semi Condensed" w:eastAsia="Barlow Semi Condensed" w:hAnsi="Barlow Semi Condensed"/>
          <w:sz w:val="24"/>
          <w:szCs w:val="24"/>
        </w:rPr>
        <w:t xml:space="preserve"> Una conversazione registrata si cita come si cita un'intervista: nome del programma, numero e titolo dell'episodio, data di prima pubblicazione, minutaggio del passaggio, piattaforma su cui è stata consultata. Molte affermazioni correnti su questa materia nascono in conversazioni registrate e circolano poi come frasi senza data. Ricondurle all'episodio e al minuto basta spesso a mostrare in quale contesto furono pronunciate.</w:t>
      </w:r>
    </w:p>
    <w:p>
      <w:pPr>
        <w:spacing w:after="120" w:line="276"/>
        <w:jc w:val="both"/>
      </w:pPr>
      <w:r>
        <w:rPr>
          <w:rFonts w:ascii="Barlow Semi Condensed" w:cs="Barlow Semi Condensed" w:eastAsia="Barlow Semi Condensed" w:hAnsi="Barlow Semi Condensed"/>
          <w:b/>
          <w:bCs/>
          <w:sz w:val="24"/>
          <w:szCs w:val="24"/>
        </w:rPr>
        <w:t xml:space="preserve">911 · La trascrizione automatica sbaglia.</w:t>
      </w:r>
      <w:r>
        <w:rPr>
          <w:rFonts w:ascii="Barlow Semi Condensed" w:cs="Barlow Semi Condensed" w:eastAsia="Barlow Semi Condensed" w:hAnsi="Barlow Semi Condensed"/>
          <w:sz w:val="24"/>
          <w:szCs w:val="24"/>
        </w:rPr>
        <w:t xml:space="preserve"> I sistemi automatici di trascrizione confondono i nomi propri stranieri, e su questa materia i nomi propri sono quasi tutti stranieri: cognomi afrikaans, toponimi namibiani, denominazioni societarie. Un errore su un cognome produce un soggetto inesistente e, se ripreso, un fatto inesistente. Vale qui la lezione già registrata dal corpus sul riconoscimento ottico al blocco 306 del manuale: la divergenza si dichiara nel dato, non si sceglie in silenzio.</w:t>
      </w:r>
    </w:p>
    <w:p>
      <w:pPr>
        <w:spacing w:after="120" w:line="276"/>
        <w:jc w:val="both"/>
      </w:pPr>
      <w:r>
        <w:rPr>
          <w:rFonts w:ascii="Barlow Semi Condensed" w:cs="Barlow Semi Condensed" w:eastAsia="Barlow Semi Condensed" w:hAnsi="Barlow Semi Condensed"/>
          <w:b/>
          <w:bCs/>
          <w:sz w:val="24"/>
          <w:szCs w:val="24"/>
        </w:rPr>
        <w:t xml:space="preserve">912 · L'episodio rimontato e ripubblicato.</w:t>
      </w:r>
      <w:r>
        <w:rPr>
          <w:rFonts w:ascii="Barlow Semi Condensed" w:cs="Barlow Semi Condensed" w:eastAsia="Barlow Semi Condensed" w:hAnsi="Barlow Semi Condensed"/>
          <w:sz w:val="24"/>
          <w:szCs w:val="24"/>
        </w:rPr>
        <w:t xml:space="preserve"> Gli episodi audio si modificano dopo la pubblicazione: tagli, rimontaggi, ripubblicazioni sotto il medesimo titolo. Il minutaggio citato ieri può indicare oggi un altro passaggio. Perciò la citazione da audio si accompagna alla trascrizione del passaggio, che resta leggibile anche quando il file cambia, e alla durata complessiva dell'episodio nella versione consultata, che è il modo più semplice per accorgersi di un rimontaggio.</w:t>
      </w:r>
    </w:p>
    <w:p>
      <w:pPr>
        <w:spacing w:after="120" w:line="276"/>
        <w:jc w:val="both"/>
      </w:pPr>
      <w:r>
        <w:rPr>
          <w:rFonts w:ascii="Barlow Semi Condensed" w:cs="Barlow Semi Condensed" w:eastAsia="Barlow Semi Condensed" w:hAnsi="Barlow Semi Condensed"/>
          <w:b/>
          <w:bCs/>
          <w:sz w:val="24"/>
          <w:szCs w:val="24"/>
        </w:rPr>
        <w:t xml:space="preserve">913 · Il post cancellato e la sua copia.</w:t>
      </w:r>
      <w:r>
        <w:rPr>
          <w:rFonts w:ascii="Barlow Semi Condensed" w:cs="Barlow Semi Condensed" w:eastAsia="Barlow Semi Condensed" w:hAnsi="Barlow Semi Condensed"/>
          <w:sz w:val="24"/>
          <w:szCs w:val="24"/>
        </w:rPr>
        <w:t xml:space="preserve"> Il messaggio cancellato non cessa di essere esistito, e non diventa per ciò solo prova di reticenza. Ai fini documentali conta una cosa sola: se ne esista copia archiviata di data certa, con l'identificativo numerico. In sua assenza il messaggio non si cita, neppure se molti ne ricordano il testo. Il ricordo collettivo di una frase in rete non è una fonte, ed è uno degli inquinanti principali di questa materia.</w:t>
      </w:r>
    </w:p>
    <w:p>
      <w:pPr>
        <w:spacing w:after="120" w:line="276"/>
        <w:jc w:val="both"/>
      </w:pPr>
      <w:r>
        <w:rPr>
          <w:rFonts w:ascii="Barlow Semi Condensed" w:cs="Barlow Semi Condensed" w:eastAsia="Barlow Semi Condensed" w:hAnsi="Barlow Semi Condensed"/>
          <w:b/>
          <w:bCs/>
          <w:sz w:val="24"/>
          <w:szCs w:val="24"/>
        </w:rPr>
        <w:t xml:space="preserve">914 · Lo screenshot non è documento.</w:t>
      </w:r>
      <w:r>
        <w:rPr>
          <w:rFonts w:ascii="Barlow Semi Condensed" w:cs="Barlow Semi Condensed" w:eastAsia="Barlow Semi Condensed" w:hAnsi="Barlow Semi Condensed"/>
          <w:sz w:val="24"/>
          <w:szCs w:val="24"/>
        </w:rPr>
        <w:t xml:space="preserve"> L'immagine di uno schermo è la più facile da fabbricare e la più diffusa nelle controversie su questa materia. Non ha valore documentale autonomo: serve come indizio per cercare l'originale o la sua copia archiviata, e nient'altro. Un blocco che poggi su un'immagine di schermo non sorretta da riscontro indipendente resta al piano tre e va scritto come tale, oppure non va scritto affatto.</w:t>
      </w:r>
    </w:p>
    <w:p>
      <w:pPr>
        <w:spacing w:after="120" w:line="276"/>
        <w:jc w:val="both"/>
      </w:pPr>
      <w:r>
        <w:rPr>
          <w:rFonts w:ascii="Barlow Semi Condensed" w:cs="Barlow Semi Condensed" w:eastAsia="Barlow Semi Condensed" w:hAnsi="Barlow Semi Condensed"/>
          <w:b/>
          <w:bCs/>
          <w:sz w:val="24"/>
          <w:szCs w:val="24"/>
        </w:rPr>
        <w:t xml:space="preserve">915 · I due Botha, errore capitale.</w:t>
      </w:r>
      <w:r>
        <w:rPr>
          <w:rFonts w:ascii="Barlow Semi Condensed" w:cs="Barlow Semi Condensed" w:eastAsia="Barlow Semi Condensed" w:hAnsi="Barlow Semi Condensed"/>
          <w:sz w:val="24"/>
          <w:szCs w:val="24"/>
        </w:rPr>
        <w:t xml:space="preserve"> L'affermazione più diffusa su questa materia è anche la più semplice da smontare: Pik Botha, ministro degli Esteri dal 1977 al 1994 e poi ministro delle Miniere e dell'Energia nel primo governo Mandela, non era parente di P.W. Botha, presidente dello Stato. Sono due uomini distinti con un cognome frequentissimo in Sudafrica. Ogni testo che li tratti come un solo lignaggio è, su quel punto, inutilizzabile.</w:t>
      </w:r>
    </w:p>
    <w:p>
      <w:pPr>
        <w:spacing w:after="120" w:line="276"/>
        <w:jc w:val="both"/>
      </w:pPr>
      <w:r>
        <w:rPr>
          <w:rFonts w:ascii="Barlow Semi Condensed" w:cs="Barlow Semi Condensed" w:eastAsia="Barlow Semi Condensed" w:hAnsi="Barlow Semi Condensed"/>
          <w:b/>
          <w:bCs/>
          <w:sz w:val="24"/>
          <w:szCs w:val="24"/>
        </w:rPr>
        <w:t xml:space="preserve">916 · Dove nasce la confusione dei cognomi.</w:t>
      </w:r>
      <w:r>
        <w:rPr>
          <w:rFonts w:ascii="Barlow Semi Condensed" w:cs="Barlow Semi Condensed" w:eastAsia="Barlow Semi Condensed" w:hAnsi="Barlow Semi Condensed"/>
          <w:sz w:val="24"/>
          <w:szCs w:val="24"/>
        </w:rPr>
        <w:t xml:space="preserve"> L'origine dell'errore precedente non è un documento ma un'omonimia, amplificata da didascalie che scrivono soltanto Botha accanto a fotografie degli anni Ottanta. Non c'è una fonte prima da risalire: c'è una scorciatoia lessicale che si autoreplica. Il rimedio è editoriale e semplice, il nome proprio per esteso a ogni occorrenza, ed è la regola che quest'opera si impone su tutti i cognomi ricorrenti della materia.</w:t>
      </w:r>
    </w:p>
    <w:p>
      <w:pPr>
        <w:spacing w:after="120" w:line="276"/>
        <w:jc w:val="both"/>
      </w:pPr>
      <w:r>
        <w:rPr>
          <w:rFonts w:ascii="Barlow Semi Condensed" w:cs="Barlow Semi Condensed" w:eastAsia="Barlow Semi Condensed" w:hAnsi="Barlow Semi Condensed"/>
          <w:b/>
          <w:bCs/>
          <w:sz w:val="24"/>
          <w:szCs w:val="24"/>
        </w:rPr>
        <w:t xml:space="preserve">917 · Il nipote, e ciò che significa.</w:t>
      </w:r>
      <w:r>
        <w:rPr>
          <w:rFonts w:ascii="Barlow Semi Condensed" w:cs="Barlow Semi Condensed" w:eastAsia="Barlow Semi Condensed" w:hAnsi="Barlow Semi Condensed"/>
          <w:sz w:val="24"/>
          <w:szCs w:val="24"/>
        </w:rPr>
        <w:t xml:space="preserve"> Roelof Botha, direttore finanziario di PayPal al tempo della quotazione e poi socio e managing partner di Sequoia Capital, è nipote di Pik Botha: la parentela è documentata e sta al piano uno. Da essa discende una parentela e nulla di più. Chi ne ricava una continuità politica compie il salto che quest'opera vieta, perché l'appartenenza a una famiglia non è prova di condotta.</w:t>
      </w:r>
    </w:p>
    <w:p>
      <w:pPr>
        <w:spacing w:after="120" w:line="276"/>
        <w:jc w:val="both"/>
      </w:pPr>
      <w:r>
        <w:rPr>
          <w:rFonts w:ascii="Barlow Semi Condensed" w:cs="Barlow Semi Condensed" w:eastAsia="Barlow Semi Condensed" w:hAnsi="Barlow Semi Condensed"/>
          <w:b/>
          <w:bCs/>
          <w:sz w:val="24"/>
          <w:szCs w:val="24"/>
        </w:rPr>
        <w:t xml:space="preserve">918 · La miniera senza titolo minerario.</w:t>
      </w:r>
      <w:r>
        <w:rPr>
          <w:rFonts w:ascii="Barlow Semi Condensed" w:cs="Barlow Semi Condensed" w:eastAsia="Barlow Semi Condensed" w:hAnsi="Barlow Semi Condensed"/>
          <w:sz w:val="24"/>
          <w:szCs w:val="24"/>
        </w:rPr>
        <w:t xml:space="preserve"> Della miniera di smeraldi attribuita a Errol Musk non è mai emerso un titolo di proprietà. Le sedi che chiuderebbero la questione sono nominabili: il catasto minerario del ministero competente a Lusaka e il registro delle imprese zambiano, la PACRA. Finché nessuno vi si reca, l'affermazione resta sospesa fra due dichiarazioni contrapposte e va scritta come sospesa. È uno Stato Zero, e non una smentita.</w:t>
      </w:r>
    </w:p>
    <w:p>
      <w:pPr>
        <w:spacing w:after="120" w:line="276"/>
        <w:jc w:val="both"/>
      </w:pPr>
      <w:r>
        <w:rPr>
          <w:rFonts w:ascii="Barlow Semi Condensed" w:cs="Barlow Semi Condensed" w:eastAsia="Barlow Semi Condensed" w:hAnsi="Barlow Semi Condensed"/>
          <w:b/>
          <w:bCs/>
          <w:sz w:val="24"/>
          <w:szCs w:val="24"/>
        </w:rPr>
        <w:t xml:space="preserve">919 · Le cifre della miniera cambiano.</w:t>
      </w:r>
      <w:r>
        <w:rPr>
          <w:rFonts w:ascii="Barlow Semi Condensed" w:cs="Barlow Semi Condensed" w:eastAsia="Barlow Semi Condensed" w:hAnsi="Barlow Semi Condensed"/>
          <w:sz w:val="24"/>
          <w:szCs w:val="24"/>
        </w:rPr>
        <w:t xml:space="preserve"> Nelle varie interviste l'entità dell'attività zambiana varia: quantità, ricavi e durata non coincidono da una versione all'altra. Il corpus non sceglie la versione più bassa né la più alta, ma le riporta come divergenza, secondo la regola per cui le difformità non si sciolgono in silenzio. La biografia di Isaacson, dal canto suo, descrive l'acquisto informale di pietre grezze, che è cosa diversa da una proprietà mineraria.</w:t>
      </w:r>
    </w:p>
    <w:p>
      <w:pPr>
        <w:spacing w:after="120" w:line="276"/>
        <w:jc w:val="both"/>
      </w:pPr>
      <w:r>
        <w:rPr>
          <w:rFonts w:ascii="Barlow Semi Condensed" w:cs="Barlow Semi Condensed" w:eastAsia="Barlow Semi Condensed" w:hAnsi="Barlow Semi Condensed"/>
          <w:b/>
          <w:bCs/>
          <w:sz w:val="24"/>
          <w:szCs w:val="24"/>
        </w:rPr>
        <w:t xml:space="preserve">920 · Thiel non nacque in Sudafrica.</w:t>
      </w:r>
      <w:r>
        <w:rPr>
          <w:rFonts w:ascii="Barlow Semi Condensed" w:cs="Barlow Semi Condensed" w:eastAsia="Barlow Semi Condensed" w:hAnsi="Barlow Semi Condensed"/>
          <w:sz w:val="24"/>
          <w:szCs w:val="24"/>
        </w:rPr>
        <w:t xml:space="preserve"> Ricorre l'affermazione che Peter Thiel sia nato in Sudafrica. Nacque a Francoforte nel 1967; visse a Swakopmund, in Africa del Sud-Ovest, intorno al 1975-1977, e frequentò poi una scuola preparatoria riservata ai bianchi. L'errore nasce da un'abbreviazione: la residenza infantile diventa luogo di nascita nel riassunto, e il riassunto viene copiato. Un atto di nascita, chiesto all'anagrafe di Francoforte, chiude la questione in un minuto.</w:t>
      </w:r>
    </w:p>
    <w:p>
      <w:pPr>
        <w:spacing w:after="120" w:line="276"/>
        <w:jc w:val="both"/>
      </w:pPr>
      <w:r>
        <w:rPr>
          <w:rFonts w:ascii="Barlow Semi Condensed" w:cs="Barlow Semi Condensed" w:eastAsia="Barlow Semi Condensed" w:hAnsi="Barlow Semi Condensed"/>
          <w:b/>
          <w:bCs/>
          <w:sz w:val="24"/>
          <w:szCs w:val="24"/>
        </w:rPr>
        <w:t xml:space="preserve">921 · Il padre, il cantiere, la carica.</w:t>
      </w:r>
      <w:r>
        <w:rPr>
          <w:rFonts w:ascii="Barlow Semi Condensed" w:cs="Barlow Semi Condensed" w:eastAsia="Barlow Semi Condensed" w:hAnsi="Barlow Semi Condensed"/>
          <w:sz w:val="24"/>
          <w:szCs w:val="24"/>
        </w:rPr>
        <w:t xml:space="preserve"> Circola che Klaus Thiel dirigesse la miniera di Rössing. Il dato verificato è più modesto: ingegnere chimico, lavorava per un'impresa impegnata nel cantiere negli anni della costruzione. Lo scarto fra lavorare per un'impresa del cantiere e dirigere la miniera è l'inflazione tipica del riassunto, e si corregge con gli atti sociali di Rössing Uranium Limited e coi registri d'impresa namibiani conservati a Windhoek.</w:t>
      </w:r>
    </w:p>
    <w:p>
      <w:pPr>
        <w:spacing w:after="120" w:line="276"/>
        <w:jc w:val="both"/>
      </w:pPr>
      <w:r>
        <w:rPr>
          <w:rFonts w:ascii="Barlow Semi Condensed" w:cs="Barlow Semi Condensed" w:eastAsia="Barlow Semi Condensed" w:hAnsi="Barlow Semi Condensed"/>
          <w:b/>
          <w:bCs/>
          <w:sz w:val="24"/>
          <w:szCs w:val="24"/>
        </w:rPr>
        <w:t xml:space="preserve">922 · Rössing e l'arma: piano tre.</w:t>
      </w:r>
      <w:r>
        <w:rPr>
          <w:rFonts w:ascii="Barlow Semi Condensed" w:cs="Barlow Semi Condensed" w:eastAsia="Barlow Semi Condensed" w:hAnsi="Barlow Semi Condensed"/>
          <w:sz w:val="24"/>
          <w:szCs w:val="24"/>
        </w:rPr>
        <w:t xml:space="preserve"> La tesi che l'uranio di Rössing servisse il programma nucleare militare sudafricano circola su fonti militanti e quest'opera non l'adotta: è piano tre, affermazione terziaria priva di riscontro esibito. Le sedi che la deciderebbero sono note e raggiungibili, cioè i fascicoli del Foreign and Commonwealth Office ai National Archives di Kew e gli atti del Consiglio delle Nazioni Unite per la Namibia. Resta un bersaglio, non un fatto.</w:t>
      </w:r>
    </w:p>
    <w:p>
      <w:pPr>
        <w:spacing w:after="120" w:line="276"/>
        <w:jc w:val="both"/>
      </w:pPr>
      <w:r>
        <w:rPr>
          <w:rFonts w:ascii="Barlow Semi Condensed" w:cs="Barlow Semi Condensed" w:eastAsia="Barlow Semi Condensed" w:hAnsi="Barlow Semi Condensed"/>
          <w:b/>
          <w:bCs/>
          <w:sz w:val="24"/>
          <w:szCs w:val="24"/>
        </w:rPr>
        <w:t xml:space="preserve">923 · La fotografia in cui manca Musk.</w:t>
      </w:r>
      <w:r>
        <w:rPr>
          <w:rFonts w:ascii="Barlow Semi Condensed" w:cs="Barlow Semi Condensed" w:eastAsia="Barlow Semi Condensed" w:hAnsi="Barlow Semi Condensed"/>
          <w:sz w:val="24"/>
          <w:szCs w:val="24"/>
        </w:rPr>
        <w:t xml:space="preserve"> La fotografia di gruppo pubblicata da Fortune nel novembre 2007, scattata in un locale di San Francisco, è l'atto di nascita dell'espressione PayPal Mafia. Elon Musk non vi comparve. L'errore contrario è frequentissimo e ha origine unica e individuabile: le riproduzioni successive dell'immagine, corredate di didascalie compilate a memoria. L'originale, con la sua didascalia, sta nel fascicolo della rivista di quel mese.</w:t>
      </w:r>
    </w:p>
    <w:p>
      <w:pPr>
        <w:spacing w:after="120" w:line="276"/>
        <w:jc w:val="both"/>
      </w:pPr>
      <w:r>
        <w:rPr>
          <w:rFonts w:ascii="Barlow Semi Condensed" w:cs="Barlow Semi Condensed" w:eastAsia="Barlow Semi Condensed" w:hAnsi="Barlow Semi Condensed"/>
          <w:b/>
          <w:bCs/>
          <w:sz w:val="24"/>
          <w:szCs w:val="24"/>
        </w:rPr>
        <w:t xml:space="preserve">924 · Una categoria, non un ente.</w:t>
      </w:r>
      <w:r>
        <w:rPr>
          <w:rFonts w:ascii="Barlow Semi Condensed" w:cs="Barlow Semi Condensed" w:eastAsia="Barlow Semi Condensed" w:hAnsi="Barlow Semi Condensed"/>
          <w:sz w:val="24"/>
          <w:szCs w:val="24"/>
        </w:rPr>
        <w:t xml:space="preserve"> PayPal Mafia non designa un soggetto: è una formula giornalistica coniata in un servizio di copertina del novembre 2007 e mai corrispondente ad atto costitutivo, statuto o deposito. Trattarla come un ente produce affermazioni prive di referente, cioè decisioni, volontà e strategie attribuite a un collettivo che non esiste come persona. La regola dell'opera è nominare le persone e i loro atti, uno per uno.</w:t>
      </w:r>
    </w:p>
    <w:p>
      <w:pPr>
        <w:spacing w:after="120" w:line="276"/>
        <w:jc w:val="both"/>
      </w:pPr>
      <w:r>
        <w:rPr>
          <w:rFonts w:ascii="Barlow Semi Condensed" w:cs="Barlow Semi Condensed" w:eastAsia="Barlow Semi Condensed" w:hAnsi="Barlow Semi Condensed"/>
          <w:b/>
          <w:bCs/>
          <w:sz w:val="24"/>
          <w:szCs w:val="24"/>
        </w:rPr>
        <w:t xml:space="preserve">925 · Il nonno nazista: stato zero.</w:t>
      </w:r>
      <w:r>
        <w:rPr>
          <w:rFonts w:ascii="Barlow Semi Condensed" w:cs="Barlow Semi Condensed" w:eastAsia="Barlow Semi Condensed" w:hAnsi="Barlow Semi Condensed"/>
          <w:sz w:val="24"/>
          <w:szCs w:val="24"/>
        </w:rPr>
        <w:t xml:space="preserve"> Si legge spesso che Joshua Haldeman fosse iscritto a un partito nazista. Non risulta alcuna prova d'iscrizione, e la ricerca è verbalizzata come Stato Zero. La sede che la chiuderebbe è precisa: lo schedario delle tessere del NSDAP conservato al Bundesarchiv di Berlino-Lichterfelde, già Berlin Document Center. Che le sue posizioni pubbliche fossero razziste e antisemite è documentato, ed è cosa distinta dall'iscrizione a un partito.</w:t>
      </w:r>
    </w:p>
    <w:p>
      <w:pPr>
        <w:spacing w:after="120" w:line="276"/>
        <w:jc w:val="both"/>
      </w:pPr>
      <w:r>
        <w:rPr>
          <w:rFonts w:ascii="Barlow Semi Condensed" w:cs="Barlow Semi Condensed" w:eastAsia="Barlow Semi Condensed" w:hAnsi="Barlow Semi Condensed"/>
          <w:b/>
          <w:bCs/>
          <w:sz w:val="24"/>
          <w:szCs w:val="24"/>
        </w:rPr>
        <w:t xml:space="preserve">926 · Technocracy non è quel partito.</w:t>
      </w:r>
      <w:r>
        <w:rPr>
          <w:rFonts w:ascii="Barlow Semi Condensed" w:cs="Barlow Semi Condensed" w:eastAsia="Barlow Semi Condensed" w:hAnsi="Barlow Semi Condensed"/>
          <w:sz w:val="24"/>
          <w:szCs w:val="24"/>
        </w:rPr>
        <w:t xml:space="preserve"> Alla base di quella confusione sta la sovrapposizione di due cose diverse: l'adesione documentata a Technocracy, movimento nordamericano, e l'iscrizione a un partito europeo. Sono organizzazioni distinte, in continenti distinti, con storie distinte. La sovrapposizione ha origine riconoscibile, cioè brevi testi in rete che accostano le due parole senza citare alcun atto, e si smonta chiedendo quale documento nomini insieme l'una e l'altra.</w:t>
      </w:r>
    </w:p>
    <w:p>
      <w:pPr>
        <w:spacing w:after="120" w:line="276"/>
        <w:jc w:val="both"/>
      </w:pPr>
      <w:r>
        <w:rPr>
          <w:rFonts w:ascii="Barlow Semi Condensed" w:cs="Barlow Semi Condensed" w:eastAsia="Barlow Semi Condensed" w:hAnsi="Barlow Semi Condensed"/>
          <w:b/>
          <w:bCs/>
          <w:sz w:val="24"/>
          <w:szCs w:val="24"/>
        </w:rPr>
        <w:t xml:space="preserve">927 · La leva, e la sua fonte unica.</w:t>
      </w:r>
      <w:r>
        <w:rPr>
          <w:rFonts w:ascii="Barlow Semi Condensed" w:cs="Barlow Semi Condensed" w:eastAsia="Barlow Semi Condensed" w:hAnsi="Barlow Semi Condensed"/>
          <w:sz w:val="24"/>
          <w:szCs w:val="24"/>
        </w:rPr>
        <w:t xml:space="preserve"> Che Elon Musk abbia lasciato il Sudafrica anche per non prestare servizio militare è affermazione la cui fonte, allo stato, è il diretto interessato in dichiarazioni pubbliche. È fonte primaria e di parte, e va citata come tale, con la data. Il riscontro terzo esisterebbe: i registri della coscrizione, conservati al centro di documentazione della difesa sudafricana a Pretoria, sono la sede della verifica.</w:t>
      </w:r>
    </w:p>
    <w:p>
      <w:pPr>
        <w:spacing w:after="120" w:line="276"/>
        <w:jc w:val="both"/>
      </w:pPr>
      <w:r>
        <w:rPr>
          <w:rFonts w:ascii="Barlow Semi Condensed" w:cs="Barlow Semi Condensed" w:eastAsia="Barlow Semi Condensed" w:hAnsi="Barlow Semi Condensed"/>
          <w:b/>
          <w:bCs/>
          <w:sz w:val="24"/>
          <w:szCs w:val="24"/>
        </w:rPr>
        <w:t xml:space="preserve">928 · La scuola, e i suoi registri.</w:t>
      </w:r>
      <w:r>
        <w:rPr>
          <w:rFonts w:ascii="Barlow Semi Condensed" w:cs="Barlow Semi Condensed" w:eastAsia="Barlow Semi Condensed" w:hAnsi="Barlow Semi Condensed"/>
          <w:sz w:val="24"/>
          <w:szCs w:val="24"/>
        </w:rPr>
        <w:t xml:space="preserve"> Sul nome della scuola preparatoria frequentata da Peter Thiel in Sudafrica le fonti in rete divergono, e nessuna esibisce un registro. L'accertamento è banale in linea di principio, perché esistono i registri d'iscrizione degli istituti e gli annuari scolastici, e resta non compiuto. Quest'opera scrive perciò ciò che è verificato, cioè che si trattava di un istituto riservato ai bianchi, e lascia il nome fra i bersagli aperti.</w:t>
      </w:r>
    </w:p>
    <w:p>
      <w:pPr>
        <w:spacing w:after="120" w:line="276"/>
        <w:jc w:val="both"/>
      </w:pPr>
      <w:r>
        <w:rPr>
          <w:rFonts w:ascii="Barlow Semi Condensed" w:cs="Barlow Semi Condensed" w:eastAsia="Barlow Semi Condensed" w:hAnsi="Barlow Semi Condensed"/>
          <w:b/>
          <w:bCs/>
          <w:sz w:val="24"/>
          <w:szCs w:val="24"/>
        </w:rPr>
        <w:t xml:space="preserve">929 · Sequoia e l'apartheid: nulla.</w:t>
      </w:r>
      <w:r>
        <w:rPr>
          <w:rFonts w:ascii="Barlow Semi Condensed" w:cs="Barlow Semi Condensed" w:eastAsia="Barlow Semi Condensed" w:hAnsi="Barlow Semi Condensed"/>
          <w:sz w:val="24"/>
          <w:szCs w:val="24"/>
        </w:rPr>
        <w:t xml:space="preserve"> Si affaccia talvolta l'idea di un legame fra la società d'investimento in cui opera Roelof Botha e il regime sudafricano. Nessun deposito lo attesta: Sequoia Capital nacque in California nel 1972 e i suoi atti sono verificabili nei registri societari statunitensi e nelle comunicazioni alla SEC. La convergenza di biografie non è un rapporto fra enti, e senza un documento che nomini entrambe le parti resta al piano due.</w:t>
      </w:r>
    </w:p>
    <w:p>
      <w:pPr>
        <w:spacing w:after="120" w:line="276"/>
        <w:jc w:val="both"/>
      </w:pPr>
      <w:r>
        <w:rPr>
          <w:rFonts w:ascii="Barlow Semi Condensed" w:cs="Barlow Semi Condensed" w:eastAsia="Barlow Semi Condensed" w:hAnsi="Barlow Semi Condensed"/>
          <w:b/>
          <w:bCs/>
          <w:sz w:val="24"/>
          <w:szCs w:val="24"/>
        </w:rPr>
        <w:t xml:space="preserve">930 · Un'affermazione ancorata, per confronto.</w:t>
      </w:r>
      <w:r>
        <w:rPr>
          <w:rFonts w:ascii="Barlow Semi Condensed" w:cs="Barlow Semi Condensed" w:eastAsia="Barlow Semi Condensed" w:hAnsi="Barlow Semi Condensed"/>
          <w:sz w:val="24"/>
          <w:szCs w:val="24"/>
        </w:rPr>
        <w:t xml:space="preserve"> Non tutte le affermazioni correnti sono infondate, e conviene chiudere col caso opposto. Che Peter Thiel abbia finanziato l'azione giudiziaria contro una testata statunitense è fatto pubblico: fu lui stesso a confermarlo in un'intervista datata del maggio 2016, dopo la rivelazione giornalistica. Provenienza, data, dichiarante e sede sono tutti determinabili: così si presenta un'affermazione che regge, e il confronto è il metro dell'intera serie.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Serie tredicesima — Il limite: la colpa non si eredita</w:t>
      </w:r>
    </w:p>
    <w:p>
      <w:pPr>
        <w:spacing w:after="120" w:line="276"/>
        <w:jc w:val="both"/>
      </w:pPr>
      <w:r>
        <w:rPr>
          <w:rFonts w:ascii="Barlow Semi Condensed" w:cs="Barlow Semi Condensed" w:eastAsia="Barlow Semi Condensed" w:hAnsi="Barlow Semi Condensed"/>
          <w:i/>
          <w:iCs/>
          <w:sz w:val="24"/>
          <w:szCs w:val="24"/>
        </w:rPr>
        <w:t xml:space="preserve">Blocchi 931-1000.</w:t>
      </w:r>
    </w:p>
    <w:p>
      <w:pPr>
        <w:spacing w:after="120" w:line="276"/>
        <w:jc w:val="both"/>
      </w:pPr>
      <w:r>
        <w:rPr>
          <w:rFonts w:ascii="Barlow Semi Condensed" w:cs="Barlow Semi Condensed" w:eastAsia="Barlow Semi Condensed" w:hAnsi="Barlow Semi Condensed"/>
          <w:b/>
          <w:bCs/>
          <w:sz w:val="24"/>
          <w:szCs w:val="24"/>
        </w:rPr>
        <w:t xml:space="preserve">931 · Dove questa serie ferma l'opera.</w:t>
      </w:r>
      <w:r>
        <w:rPr>
          <w:rFonts w:ascii="Barlow Semi Condensed" w:cs="Barlow Semi Condensed" w:eastAsia="Barlow Semi Condensed" w:hAnsi="Barlow Semi Condensed"/>
          <w:sz w:val="24"/>
          <w:szCs w:val="24"/>
        </w:rPr>
        <w:t xml:space="preserve"> Le dodici serie precedenti hanno costruito una tesi di continuità fra un ambiente e un altro. Questa serie esiste per impedirle di diventare un'imputazione. Il punto di arresto è preciso: la continuità può descrivere ambienti, capitali, scuole e passaporti, non può attribuire condotte. Ogni volta che un blocco anteriore sembra spingere verso il nome di una persona come responsabile di qualcosa, prevale quanto scritto qui, e quanto scritto qui vieta.</w:t>
      </w:r>
    </w:p>
    <w:p>
      <w:pPr>
        <w:spacing w:after="120" w:line="276"/>
        <w:jc w:val="both"/>
      </w:pPr>
      <w:r>
        <w:rPr>
          <w:rFonts w:ascii="Barlow Semi Condensed" w:cs="Barlow Semi Condensed" w:eastAsia="Barlow Semi Condensed" w:hAnsi="Barlow Semi Condensed"/>
          <w:b/>
          <w:bCs/>
          <w:sz w:val="24"/>
          <w:szCs w:val="24"/>
        </w:rPr>
        <w:t xml:space="preserve">932 · L'articolo 27 come metro.</w:t>
      </w:r>
      <w:r>
        <w:rPr>
          <w:rFonts w:ascii="Barlow Semi Condensed" w:cs="Barlow Semi Condensed" w:eastAsia="Barlow Semi Condensed" w:hAnsi="Barlow Semi Condensed"/>
          <w:sz w:val="24"/>
          <w:szCs w:val="24"/>
        </w:rPr>
        <w:t xml:space="preserve"> La Fase decima del corpus moroteo — «Il principio personalistico» — fissa la regola che qui si eredita per intero: la responsabilità penale è personale, e la colpa non è mai del gruppo. Quel documento la applicava a tredici condanne definitive. Qui non c'è alcuna condanna da applicare, e la regola vale a maggior ragione: dove manca perfino l'imputazione, il principio personalistico non attenua un giudizio, ne impedisce la formazione.</w:t>
      </w:r>
    </w:p>
    <w:p>
      <w:pPr>
        <w:spacing w:after="120" w:line="276"/>
        <w:jc w:val="both"/>
      </w:pPr>
      <w:r>
        <w:rPr>
          <w:rFonts w:ascii="Barlow Semi Condensed" w:cs="Barlow Semi Condensed" w:eastAsia="Barlow Semi Condensed" w:hAnsi="Barlow Semi Condensed"/>
          <w:b/>
          <w:bCs/>
          <w:sz w:val="24"/>
          <w:szCs w:val="24"/>
        </w:rPr>
        <w:t xml:space="preserve">933 · Un bersaglio non è un'accusa.</w:t>
      </w:r>
      <w:r>
        <w:rPr>
          <w:rFonts w:ascii="Barlow Semi Condensed" w:cs="Barlow Semi Condensed" w:eastAsia="Barlow Semi Condensed" w:hAnsi="Barlow Semi Condensed"/>
          <w:sz w:val="24"/>
          <w:szCs w:val="24"/>
        </w:rPr>
        <w:t xml:space="preserve"> Ogni blocco di quest'opera è un bersaglio di ricerca: un quesito da portare in un archivio nominato, una regola applicabile, un accertamento con grado, una lacuna verbalizzata. Nessuno di essi è un capo d'imputazione, e nessuno può essere letto come tale. Chi trasformasse un quesito in un'affermazione compirebbe l'operazione che l'opera vieta al proprio autore, e la compirebbe senza nemmeno il vincolo dell'archivio che il quesito impone.</w:t>
      </w:r>
    </w:p>
    <w:p>
      <w:pPr>
        <w:spacing w:after="120" w:line="276"/>
        <w:jc w:val="both"/>
      </w:pPr>
      <w:r>
        <w:rPr>
          <w:rFonts w:ascii="Barlow Semi Condensed" w:cs="Barlow Semi Condensed" w:eastAsia="Barlow Semi Condensed" w:hAnsi="Barlow Semi Condensed"/>
          <w:b/>
          <w:bCs/>
          <w:sz w:val="24"/>
          <w:szCs w:val="24"/>
        </w:rPr>
        <w:t xml:space="preserve">934 · Il meridiano e la valle, lente.</w:t>
      </w:r>
      <w:r>
        <w:rPr>
          <w:rFonts w:ascii="Barlow Semi Condensed" w:cs="Barlow Semi Condensed" w:eastAsia="Barlow Semi Condensed" w:hAnsi="Barlow Semi Condensed"/>
          <w:sz w:val="24"/>
          <w:szCs w:val="24"/>
        </w:rPr>
        <w:t xml:space="preserve"> Il titolo di quest'opera accosta due geografie e suggerisce che fra esse corra un filo. È una chiave interpretativa, dichiarata in copertina come si dichiara un'ipotesi di lavoro, e come tale non prova nulla. La stessa regola valeva per «una guerra senza fine» nel corpus moroteo e per la metafora genetica nella triangolazione Kissinger: la lente orienta lo sguardo, non certifica ciò che lo sguardo crede di vedere.</w:t>
      </w:r>
    </w:p>
    <w:p>
      <w:pPr>
        <w:spacing w:after="120" w:line="276"/>
        <w:jc w:val="both"/>
      </w:pPr>
      <w:r>
        <w:rPr>
          <w:rFonts w:ascii="Barlow Semi Condensed" w:cs="Barlow Semi Condensed" w:eastAsia="Barlow Semi Condensed" w:hAnsi="Barlow Semi Condensed"/>
          <w:b/>
          <w:bCs/>
          <w:sz w:val="24"/>
          <w:szCs w:val="24"/>
        </w:rPr>
        <w:t xml:space="preserve">935 · Le quattro cose che qui si vietano.</w:t>
      </w:r>
      <w:r>
        <w:rPr>
          <w:rFonts w:ascii="Barlow Semi Condensed" w:cs="Barlow Semi Condensed" w:eastAsia="Barlow Semi Condensed" w:hAnsi="Barlow Semi Condensed"/>
          <w:sz w:val="24"/>
          <w:szCs w:val="24"/>
        </w:rPr>
        <w:t xml:space="preserve"> Si vieta di dedurre una condotta da una parentela; di dedurre una condotta da una cittadinanza; di dedurre una condotta da un'infanzia; di dedurre una condotta dalla somiglianza fra due ambienti lontani nel tempo. I quattro divieti non sono cautele di stile: sono la condizione perché i blocchi precedenti restino leggibili come ricerca. Tolti quelli, l'opera diventerebbe un libello, e un libello non si porta in archivio.</w:t>
      </w:r>
    </w:p>
    <w:p>
      <w:pPr>
        <w:spacing w:after="120" w:line="276"/>
        <w:jc w:val="both"/>
      </w:pPr>
      <w:r>
        <w:rPr>
          <w:rFonts w:ascii="Barlow Semi Condensed" w:cs="Barlow Semi Condensed" w:eastAsia="Barlow Semi Condensed" w:hAnsi="Barlow Semi Condensed"/>
          <w:b/>
          <w:bCs/>
          <w:sz w:val="24"/>
          <w:szCs w:val="24"/>
        </w:rPr>
        <w:t xml:space="preserve">936 · Nessuno dei nominati risulta condannato.</w:t>
      </w:r>
      <w:r>
        <w:rPr>
          <w:rFonts w:ascii="Barlow Semi Condensed" w:cs="Barlow Semi Condensed" w:eastAsia="Barlow Semi Condensed" w:hAnsi="Barlow Semi Condensed"/>
          <w:sz w:val="24"/>
          <w:szCs w:val="24"/>
        </w:rPr>
        <w:t xml:space="preserve"> Per chiarezza, e una volta sola in forma esplicita: nessuna delle persone viventi nominate in quest'opera risulta condannata in relazione ai fatti indagati, né imputata, né rinviata a giudizio. Non risulta neppure che alcuna autorità le abbia sentite su questi temi. Questa non è una formula di rito: è un accertamento negativo, verificabile consultando i registri giudiziari sudafricani, namibiani e statunitensi, e chi lo smentisse dovrebbe esibire l'atto.</w:t>
      </w:r>
    </w:p>
    <w:p>
      <w:pPr>
        <w:spacing w:after="120" w:line="276"/>
        <w:jc w:val="both"/>
      </w:pPr>
      <w:r>
        <w:rPr>
          <w:rFonts w:ascii="Barlow Semi Condensed" w:cs="Barlow Semi Condensed" w:eastAsia="Barlow Semi Condensed" w:hAnsi="Barlow Semi Condensed"/>
          <w:b/>
          <w:bCs/>
          <w:sz w:val="24"/>
          <w:szCs w:val="24"/>
        </w:rPr>
        <w:t xml:space="preserve">937 · Le opinioni di Joshua Haldeman.</w:t>
      </w:r>
      <w:r>
        <w:rPr>
          <w:rFonts w:ascii="Barlow Semi Condensed" w:cs="Barlow Semi Condensed" w:eastAsia="Barlow Semi Condensed" w:hAnsi="Barlow Semi Condensed"/>
          <w:sz w:val="24"/>
          <w:szCs w:val="24"/>
        </w:rPr>
        <w:t xml:space="preserve"> Joshua Norman Haldeman, morto nel 1974, sostenne pubblicamente l'apartheid ed espresse posizioni razziste e antisemite: l'inchiesta della CBC lo documenta con materiale citabile. È un fatto storico e riguarda lui. Elon Musk nacque nel 1971 e non ha alcuna responsabilità per ciò che il nonno materno scrisse o disse. Il divieto centrale dell'opera sta esattamente qui, e viene enunciato per primo perché è il più facilmente violato.</w:t>
      </w:r>
    </w:p>
    <w:p>
      <w:pPr>
        <w:spacing w:after="120" w:line="276"/>
        <w:jc w:val="both"/>
      </w:pPr>
      <w:r>
        <w:rPr>
          <w:rFonts w:ascii="Barlow Semi Condensed" w:cs="Barlow Semi Condensed" w:eastAsia="Barlow Semi Condensed" w:hAnsi="Barlow Semi Condensed"/>
          <w:b/>
          <w:bCs/>
          <w:sz w:val="24"/>
          <w:szCs w:val="24"/>
        </w:rPr>
        <w:t xml:space="preserve">938 · Che cosa prova la parentela Botha.</w:t>
      </w:r>
      <w:r>
        <w:rPr>
          <w:rFonts w:ascii="Barlow Semi Condensed" w:cs="Barlow Semi Condensed" w:eastAsia="Barlow Semi Condensed" w:hAnsi="Barlow Semi Condensed"/>
          <w:sz w:val="24"/>
          <w:szCs w:val="24"/>
        </w:rPr>
        <w:t xml:space="preserve"> Roelof Frederik Botha, direttore finanziario di PayPal e poi managing partner di Sequoia Capital, è nipote di Pik Botha, ministro degli Esteri sudafricano dal 1977 al 1994. La parentela è documentata e sta al piano uno. Prova un rapporto di sangue e nient'altro: non un canale, non un finanziamento, non una raccomandazione, non una condivisione di vedute politiche. Per affermare una qualsiasi di queste cose servirebbe un atto che le nomini.</w:t>
      </w:r>
    </w:p>
    <w:p>
      <w:pPr>
        <w:spacing w:after="120" w:line="276"/>
        <w:jc w:val="both"/>
      </w:pPr>
      <w:r>
        <w:rPr>
          <w:rFonts w:ascii="Barlow Semi Condensed" w:cs="Barlow Semi Condensed" w:eastAsia="Barlow Semi Condensed" w:hAnsi="Barlow Semi Condensed"/>
          <w:b/>
          <w:bCs/>
          <w:sz w:val="24"/>
          <w:szCs w:val="24"/>
        </w:rPr>
        <w:t xml:space="preserve">939 · I due Botha non sono parenti (serie XIII).</w:t>
      </w:r>
      <w:r>
        <w:rPr>
          <w:rFonts w:ascii="Barlow Semi Condensed" w:cs="Barlow Semi Condensed" w:eastAsia="Barlow Semi Condensed" w:hAnsi="Barlow Semi Condensed"/>
          <w:sz w:val="24"/>
          <w:szCs w:val="24"/>
        </w:rPr>
        <w:t xml:space="preserve"> Va detto dove serve, e serve qui: Pik Botha non era parente di P.W. Botha, presidente dello Stato dal 1984 al 1989. La confusione fra i due cognomi è l'errore più diffuso su questa materia e circola anche in testi altrimenti seri. Chi la commette costruisce una discendenza inesistente e la carica di significato politico. La verifica è banale e sta negli archivi anagrafici sudafricani e nei repertori parlamentari di Città del Capo.</w:t>
      </w:r>
    </w:p>
    <w:p>
      <w:pPr>
        <w:spacing w:after="120" w:line="276"/>
        <w:jc w:val="both"/>
      </w:pPr>
      <w:r>
        <w:rPr>
          <w:rFonts w:ascii="Barlow Semi Condensed" w:cs="Barlow Semi Condensed" w:eastAsia="Barlow Semi Condensed" w:hAnsi="Barlow Semi Condensed"/>
          <w:b/>
          <w:bCs/>
          <w:sz w:val="24"/>
          <w:szCs w:val="24"/>
        </w:rPr>
        <w:t xml:space="preserve">940 · Un bambino a Swakopmund.</w:t>
      </w:r>
      <w:r>
        <w:rPr>
          <w:rFonts w:ascii="Barlow Semi Condensed" w:cs="Barlow Semi Condensed" w:eastAsia="Barlow Semi Condensed" w:hAnsi="Barlow Semi Condensed"/>
          <w:sz w:val="24"/>
          <w:szCs w:val="24"/>
        </w:rPr>
        <w:t xml:space="preserve"> Peter Thiel aveva otto anni quando la famiglia visse a Swakopmund, dove il padre ingegnere chimico lavorava per un'impresa del cantiere di Rössing. Un bambino non sceglie il Paese in cui il padre trova impiego, non sceglie la scuola in cui viene iscritto e non sceglie il regime che governa quel territorio. L'infanzia non è una condotta: è un dato anagrafico, e in quanto tale non entra in nessun giudizio morale.</w:t>
      </w:r>
    </w:p>
    <w:p>
      <w:pPr>
        <w:spacing w:after="120" w:line="276"/>
        <w:jc w:val="both"/>
      </w:pPr>
      <w:r>
        <w:rPr>
          <w:rFonts w:ascii="Barlow Semi Condensed" w:cs="Barlow Semi Condensed" w:eastAsia="Barlow Semi Condensed" w:hAnsi="Barlow Semi Condensed"/>
          <w:b/>
          <w:bCs/>
          <w:sz w:val="24"/>
          <w:szCs w:val="24"/>
        </w:rPr>
        <w:t xml:space="preserve">941 · Le rivendicazioni di Errol Musk.</w:t>
      </w:r>
      <w:r>
        <w:rPr>
          <w:rFonts w:ascii="Barlow Semi Condensed" w:cs="Barlow Semi Condensed" w:eastAsia="Barlow Semi Condensed" w:hAnsi="Barlow Semi Condensed"/>
          <w:sz w:val="24"/>
          <w:szCs w:val="24"/>
        </w:rPr>
        <w:t xml:space="preserve"> Errol Musk ha rivendicato pubblicamente un'attività informale legata a smeraldi in Zambia; Elon Musk ha negato l'esistenza di una miniera e ne ha chiesto la prova; Isaacson descrive l'acquisto informale di pietre grezze, non una titolarità mineraria. Le tre versioni divergono e la divergenza si riporta così com'è. Ciò che il padre afferma di sé non è, in nessun ordinamento e in nessuna logica, un fatto a carico del figlio.</w:t>
      </w:r>
    </w:p>
    <w:p>
      <w:pPr>
        <w:spacing w:after="120" w:line="276"/>
        <w:jc w:val="both"/>
      </w:pPr>
      <w:r>
        <w:rPr>
          <w:rFonts w:ascii="Barlow Semi Condensed" w:cs="Barlow Semi Condensed" w:eastAsia="Barlow Semi Condensed" w:hAnsi="Barlow Semi Condensed"/>
          <w:b/>
          <w:bCs/>
          <w:sz w:val="24"/>
          <w:szCs w:val="24"/>
        </w:rPr>
        <w:t xml:space="preserve">942 · La genealogia serve a cercare.</w:t>
      </w:r>
      <w:r>
        <w:rPr>
          <w:rFonts w:ascii="Barlow Semi Condensed" w:cs="Barlow Semi Condensed" w:eastAsia="Barlow Semi Condensed" w:hAnsi="Barlow Semi Condensed"/>
          <w:sz w:val="24"/>
          <w:szCs w:val="24"/>
        </w:rPr>
        <w:t xml:space="preserve"> Ricostruire una discendenza è un'operazione di ricerca legittima: dice dove guardare, quali cognomi cercare nei registri, quali fondi aprire. Non è un'operazione di giudizio. La genealogia produce nomi di persone morte e vive, e i nomi delle vive entrano solo per fatti pubblici. Chi usa un albero genealogico per stabilire una responsabilità sta applicando alla storia una regola che il diritto ha abbandonato secoli fa, per ragioni che restano valide.</w:t>
      </w:r>
    </w:p>
    <w:p>
      <w:pPr>
        <w:spacing w:after="120" w:line="276"/>
        <w:jc w:val="both"/>
      </w:pPr>
      <w:r>
        <w:rPr>
          <w:rFonts w:ascii="Barlow Semi Condensed" w:cs="Barlow Semi Condensed" w:eastAsia="Barlow Semi Condensed" w:hAnsi="Barlow Semi Condensed"/>
          <w:b/>
          <w:bCs/>
          <w:sz w:val="24"/>
          <w:szCs w:val="24"/>
        </w:rPr>
        <w:t xml:space="preserve">943 · La trappola delle tre generazioni.</w:t>
      </w:r>
      <w:r>
        <w:rPr>
          <w:rFonts w:ascii="Barlow Semi Condensed" w:cs="Barlow Semi Condensed" w:eastAsia="Barlow Semi Condensed" w:hAnsi="Barlow Semi Condensed"/>
          <w:sz w:val="24"/>
          <w:szCs w:val="24"/>
        </w:rPr>
        <w:t xml:space="preserve"> Tre generazioni allineate producono l'illusione di una trasmissione: il nonno credeva, il padre traeva profitto, il nipote comanda. È la forma narrativa che seduce di più, e nessuno dei tre segmenti è provato dal segmento successivo; la somma di tre affermazioni deboli non produce una forte. Per rompere la figura basta chiedere, di ciascun passaggio, quale documento attesti che qualcosa sia effettivamente passato da uno all'altro.</w:t>
      </w:r>
    </w:p>
    <w:p>
      <w:pPr>
        <w:spacing w:after="120" w:line="276"/>
        <w:jc w:val="both"/>
      </w:pPr>
      <w:r>
        <w:rPr>
          <w:rFonts w:ascii="Barlow Semi Condensed" w:cs="Barlow Semi Condensed" w:eastAsia="Barlow Semi Condensed" w:hAnsi="Barlow Semi Condensed"/>
          <w:b/>
          <w:bCs/>
          <w:sz w:val="24"/>
          <w:szCs w:val="24"/>
        </w:rPr>
        <w:t xml:space="preserve">944 · Atti di stato civile e condotte.</w:t>
      </w:r>
      <w:r>
        <w:rPr>
          <w:rFonts w:ascii="Barlow Semi Condensed" w:cs="Barlow Semi Condensed" w:eastAsia="Barlow Semi Condensed" w:hAnsi="Barlow Semi Condensed"/>
          <w:sz w:val="24"/>
          <w:szCs w:val="24"/>
        </w:rPr>
        <w:t xml:space="preserve"> Un certificato di nascita, un atto di matrimonio, un registro parrocchiale provano una relazione di parentela e la data in cui essa si è costituita. Non provano frequentazione, non provano influenza, non provano finanziamento. Nel National Archives of South Africa di Pretoria e nel Department of Home Affairs questi atti esistono e sono consultabili secondo le regole; ciò che non esiste in nessun deposito è il documento che trasformi un grado di parentela in un comportamento.</w:t>
      </w:r>
    </w:p>
    <w:p>
      <w:pPr>
        <w:spacing w:after="120" w:line="276"/>
        <w:jc w:val="both"/>
      </w:pPr>
      <w:r>
        <w:rPr>
          <w:rFonts w:ascii="Barlow Semi Condensed" w:cs="Barlow Semi Condensed" w:eastAsia="Barlow Semi Condensed" w:hAnsi="Barlow Semi Condensed"/>
          <w:b/>
          <w:bCs/>
          <w:sz w:val="24"/>
          <w:szCs w:val="24"/>
        </w:rPr>
        <w:t xml:space="preserve">945 · Nascere bianchi in Sud Africa.</w:t>
      </w:r>
      <w:r>
        <w:rPr>
          <w:rFonts w:ascii="Barlow Semi Condensed" w:cs="Barlow Semi Condensed" w:eastAsia="Barlow Semi Condensed" w:hAnsi="Barlow Semi Condensed"/>
          <w:sz w:val="24"/>
          <w:szCs w:val="24"/>
        </w:rPr>
        <w:t xml:space="preserve"> Essere nati bianchi nel Sud Africa dell'apartheid significava ricevere, senza averlo chiesto, un insieme di vantaggi legali: scuola, sanità, residenza, mobilità, accesso al lavoro. È un fatto strutturale, descrivibile con le leggi del tempo e con i bilanci pubblici. Non è una colpa, perché non è un atto. Descrivere il vantaggio ricevuto è storia sociale; imputarlo a chi lo ricevette da bambino è un'operazione diversa, e questa serie la esclude.</w:t>
      </w:r>
    </w:p>
    <w:p>
      <w:pPr>
        <w:spacing w:after="120" w:line="276"/>
        <w:jc w:val="both"/>
      </w:pPr>
      <w:r>
        <w:rPr>
          <w:rFonts w:ascii="Barlow Semi Condensed" w:cs="Barlow Semi Condensed" w:eastAsia="Barlow Semi Condensed" w:hAnsi="Barlow Semi Condensed"/>
          <w:b/>
          <w:bCs/>
          <w:sz w:val="24"/>
          <w:szCs w:val="24"/>
        </w:rPr>
        <w:t xml:space="preserve">946 · Il passaporto è una riga anagrafica.</w:t>
      </w:r>
      <w:r>
        <w:rPr>
          <w:rFonts w:ascii="Barlow Semi Condensed" w:cs="Barlow Semi Condensed" w:eastAsia="Barlow Semi Condensed" w:hAnsi="Barlow Semi Condensed"/>
          <w:sz w:val="24"/>
          <w:szCs w:val="24"/>
        </w:rPr>
        <w:t xml:space="preserve"> Cittadinanze e residenze sono fatti pubblici e si citano come tali: dove una persona è nata, quali passaporti ha ottenuto, in quale giurisdizione risiede. Da nessuna di queste righe discende una responsabilità. Un passaporto sudafricano, canadese, tedesco o statunitense colloca una persona in un ordinamento; non le attribuisce le politiche di quell'ordinamento. Confondere la nazionalità con la condotta è la premessa di ogni pregiudizio, e non diventa metodo perché la si applica ai potenti.</w:t>
      </w:r>
    </w:p>
    <w:p>
      <w:pPr>
        <w:spacing w:after="120" w:line="276"/>
        <w:jc w:val="both"/>
      </w:pPr>
      <w:r>
        <w:rPr>
          <w:rFonts w:ascii="Barlow Semi Condensed" w:cs="Barlow Semi Condensed" w:eastAsia="Barlow Semi Condensed" w:hAnsi="Barlow Semi Condensed"/>
          <w:b/>
          <w:bCs/>
          <w:sz w:val="24"/>
          <w:szCs w:val="24"/>
        </w:rPr>
        <w:t xml:space="preserve">947 · Emigrare non è fuggire un giudizio.</w:t>
      </w:r>
      <w:r>
        <w:rPr>
          <w:rFonts w:ascii="Barlow Semi Condensed" w:cs="Barlow Semi Condensed" w:eastAsia="Barlow Semi Condensed" w:hAnsi="Barlow Semi Condensed"/>
          <w:sz w:val="24"/>
          <w:szCs w:val="24"/>
        </w:rPr>
        <w:t xml:space="preserve"> Lasciare il Sud Africa negli anni ottanta era, per un giovane bianco, anche un modo di evitare la coscrizione nelle forze armate del regime. Questo dato ricorre nelle biografie e va riportato per quello che è: una scelta personale, documentabile con date di espatrio e visti. Non è un'attenuante da concedere né un'aggravante da rilevare. Il corpus registra il movimento delle persone; non ne ricava un profilo morale in nessuna direzione.</w:t>
      </w:r>
    </w:p>
    <w:p>
      <w:pPr>
        <w:spacing w:after="120" w:line="276"/>
        <w:jc w:val="both"/>
      </w:pPr>
      <w:r>
        <w:rPr>
          <w:rFonts w:ascii="Barlow Semi Condensed" w:cs="Barlow Semi Condensed" w:eastAsia="Barlow Semi Condensed" w:hAnsi="Barlow Semi Condensed"/>
          <w:b/>
          <w:bCs/>
          <w:sz w:val="24"/>
          <w:szCs w:val="24"/>
        </w:rPr>
        <w:t xml:space="preserve">948 · L'aggettivo usato come marchio.</w:t>
      </w:r>
      <w:r>
        <w:rPr>
          <w:rFonts w:ascii="Barlow Semi Condensed" w:cs="Barlow Semi Condensed" w:eastAsia="Barlow Semi Condensed" w:hAnsi="Barlow Semi Condensed"/>
          <w:sz w:val="24"/>
          <w:szCs w:val="24"/>
        </w:rPr>
        <w:t xml:space="preserve"> «Sudafricano» compare spesso, nella pubblicistica su questi nomi, con funzione di aggettivo squalificante: basta pronunciarlo perché il lettore concluda. È un uso retorico e va nominato, perché inquina la ricerca due volte — attribuisce senza provare e, insieme, svuota la parola di ciò che essa dovrebbe designare, cioè un'appartenenza statuale e null'altro. Quest'opera usa il termine come indicazione geografica e giuridica, e in nessun blocco come argomento.</w:t>
      </w:r>
    </w:p>
    <w:p>
      <w:pPr>
        <w:spacing w:after="120" w:line="276"/>
        <w:jc w:val="both"/>
      </w:pPr>
      <w:r>
        <w:rPr>
          <w:rFonts w:ascii="Barlow Semi Condensed" w:cs="Barlow Semi Condensed" w:eastAsia="Barlow Semi Condensed" w:hAnsi="Barlow Semi Condensed"/>
          <w:b/>
          <w:bCs/>
          <w:sz w:val="24"/>
          <w:szCs w:val="24"/>
        </w:rPr>
        <w:t xml:space="preserve">949 · Francoforte 1967, un dato inerte.</w:t>
      </w:r>
      <w:r>
        <w:rPr>
          <w:rFonts w:ascii="Barlow Semi Condensed" w:cs="Barlow Semi Condensed" w:eastAsia="Barlow Semi Condensed" w:hAnsi="Barlow Semi Condensed"/>
          <w:sz w:val="24"/>
          <w:szCs w:val="24"/>
        </w:rPr>
        <w:t xml:space="preserve"> Nato a Francoforte nel 1967 da famiglia tedesca: il dato anagrafico di Peter Thiel è pubblico e serve a collocare una biografia. In rete circola l'uso opposto, con la nascita tedesca evocata per suggerire, per libera associazione, una prossimità a ideologie del secolo precedente. È il piano tre nella sua forma più povera, un'associazione nazionale travestita da indizio. Si registra per segnalarla inutilizzabile, non per discuterla.</w:t>
      </w:r>
    </w:p>
    <w:p>
      <w:pPr>
        <w:spacing w:after="120" w:line="276"/>
        <w:jc w:val="both"/>
      </w:pPr>
      <w:r>
        <w:rPr>
          <w:rFonts w:ascii="Barlow Semi Condensed" w:cs="Barlow Semi Condensed" w:eastAsia="Barlow Semi Condensed" w:hAnsi="Barlow Semi Condensed"/>
          <w:b/>
          <w:bCs/>
          <w:sz w:val="24"/>
          <w:szCs w:val="24"/>
        </w:rPr>
        <w:t xml:space="preserve">950 · Il parere della Corte dell'Aja.</w:t>
      </w:r>
      <w:r>
        <w:rPr>
          <w:rFonts w:ascii="Barlow Semi Condensed" w:cs="Barlow Semi Condensed" w:eastAsia="Barlow Semi Condensed" w:hAnsi="Barlow Semi Condensed"/>
          <w:sz w:val="24"/>
          <w:szCs w:val="24"/>
        </w:rPr>
        <w:t xml:space="preserve"> Il parere consultivo della Corte internazionale di giustizia del 21 giugno 1971 dichiarò illegittima la presenza sudafricana in Namibia e ne trasse conseguenze per gli Stati. Riguarda Stati, non abitanti; obblighi di non riconoscimento, non condotte individuali. Serve qui per fissare lo statuto giuridico del territorio in cui una famiglia visse tra il 1975 e il 1977. Il testo integrale è nei Reports della Corte e va letto prima di usarne il nome.</w:t>
      </w:r>
    </w:p>
    <w:p>
      <w:pPr>
        <w:spacing w:after="120" w:line="276"/>
        <w:jc w:val="both"/>
      </w:pPr>
      <w:r>
        <w:rPr>
          <w:rFonts w:ascii="Barlow Semi Condensed" w:cs="Barlow Semi Condensed" w:eastAsia="Barlow Semi Condensed" w:hAnsi="Barlow Semi Condensed"/>
          <w:b/>
          <w:bCs/>
          <w:sz w:val="24"/>
          <w:szCs w:val="24"/>
        </w:rPr>
        <w:t xml:space="preserve">951 · Beneficiare non è concorrere.</w:t>
      </w:r>
      <w:r>
        <w:rPr>
          <w:rFonts w:ascii="Barlow Semi Condensed" w:cs="Barlow Semi Condensed" w:eastAsia="Barlow Semi Condensed" w:hAnsi="Barlow Semi Condensed"/>
          <w:sz w:val="24"/>
          <w:szCs w:val="24"/>
        </w:rPr>
        <w:t xml:space="preserve"> La distinzione che regge l'intera serie è questa: si beneficia di un sistema per il fatto di trovarsi nella categoria che esso privilegia; si concorre a un sistema compiendo atti che lo sostengono, lo amministrano o lo finanziano. Il primo stato è passivo e si misura; il secondo è attivo e si prova, atto per atto. Quest'opera ha misurato il primo in più punti e non ha provato il secondo in nessuno.</w:t>
      </w:r>
    </w:p>
    <w:p>
      <w:pPr>
        <w:spacing w:after="120" w:line="276"/>
        <w:jc w:val="both"/>
      </w:pPr>
      <w:r>
        <w:rPr>
          <w:rFonts w:ascii="Barlow Semi Condensed" w:cs="Barlow Semi Condensed" w:eastAsia="Barlow Semi Condensed" w:hAnsi="Barlow Semi Condensed"/>
          <w:b/>
          <w:bCs/>
          <w:sz w:val="24"/>
          <w:szCs w:val="24"/>
        </w:rPr>
        <w:t xml:space="preserve">952 · La Commissione per la verità distingueva.</w:t>
      </w:r>
      <w:r>
        <w:rPr>
          <w:rFonts w:ascii="Barlow Semi Condensed" w:cs="Barlow Semi Condensed" w:eastAsia="Barlow Semi Condensed" w:hAnsi="Barlow Semi Condensed"/>
          <w:sz w:val="24"/>
          <w:szCs w:val="24"/>
        </w:rPr>
        <w:t xml:space="preserve"> Su questa stessa differenza la Truth and Reconciliation Commission sudafricana costruì la propria architettura, trattando separatamente chi aveva commesso gross violations of human rights e chi ne aveva tratto beneficio strutturale; il volume quarto del Rapporto, dedicato alle institutional hearings, e i volumi conclusivi del 2003 ne documentano il dibattito. Chi voglia sostenere una tesi di responsabilità in questa materia deve passare di lì, e citarne volume e pagina.</w:t>
      </w:r>
    </w:p>
    <w:p>
      <w:pPr>
        <w:spacing w:after="120" w:line="276"/>
        <w:jc w:val="both"/>
      </w:pPr>
      <w:r>
        <w:rPr>
          <w:rFonts w:ascii="Barlow Semi Condensed" w:cs="Barlow Semi Condensed" w:eastAsia="Barlow Semi Condensed" w:hAnsi="Barlow Semi Condensed"/>
          <w:b/>
          <w:bCs/>
          <w:sz w:val="24"/>
          <w:szCs w:val="24"/>
        </w:rPr>
        <w:t xml:space="preserve">953 · La scuola riservata come vantaggio.</w:t>
      </w:r>
      <w:r>
        <w:rPr>
          <w:rFonts w:ascii="Barlow Semi Condensed" w:cs="Barlow Semi Condensed" w:eastAsia="Barlow Semi Condensed" w:hAnsi="Barlow Semi Condensed"/>
          <w:sz w:val="24"/>
          <w:szCs w:val="24"/>
        </w:rPr>
        <w:t xml:space="preserve"> Frequentare a Johannesburg una scuola preparatoria riservata ai bianchi è un fatto biografico e insieme la fotografia di un vantaggio: quella scuola esisteva perché altre erano precluse. Le due letture convivono senza contraddirsi. Ciò che non se ne ricava è un'adesione: un bambino iscritto da altri non aderisce a nulla. I registri scolastici del periodo sono nei depositi provinciali del Gauteng e permetterebbero di datare esattamente l'iscrizione, che è tutto ciò che possono dare.</w:t>
      </w:r>
    </w:p>
    <w:p>
      <w:pPr>
        <w:spacing w:after="120" w:line="276"/>
        <w:jc w:val="both"/>
      </w:pPr>
      <w:r>
        <w:rPr>
          <w:rFonts w:ascii="Barlow Semi Condensed" w:cs="Barlow Semi Condensed" w:eastAsia="Barlow Semi Condensed" w:hAnsi="Barlow Semi Condensed"/>
          <w:b/>
          <w:bCs/>
          <w:sz w:val="24"/>
          <w:szCs w:val="24"/>
        </w:rPr>
        <w:t xml:space="preserve">954 · Un contratto di lavoro, e basta.</w:t>
      </w:r>
      <w:r>
        <w:rPr>
          <w:rFonts w:ascii="Barlow Semi Condensed" w:cs="Barlow Semi Condensed" w:eastAsia="Barlow Semi Condensed" w:hAnsi="Barlow Semi Condensed"/>
          <w:sz w:val="24"/>
          <w:szCs w:val="24"/>
        </w:rPr>
        <w:t xml:space="preserve"> Klaus Thiel, ingegnere chimico, lavorò per un'impresa impegnata nel cantiere di Rössing. Un rapporto di lavoro è un fatto documentabile — contratto, mansione, periodo — e resta un fatto del dipendente, non del regime. Le responsabilità delle imprese operanti in Namibia sotto amministrazione sudafricana furono discusse in sede ONU e vanno cercate lì, negli atti del Consiglio delle Nazioni Unite per la Namibia; non nelle buste paga dei tecnici.</w:t>
      </w:r>
    </w:p>
    <w:p>
      <w:pPr>
        <w:spacing w:after="120" w:line="276"/>
        <w:jc w:val="both"/>
      </w:pPr>
      <w:r>
        <w:rPr>
          <w:rFonts w:ascii="Barlow Semi Condensed" w:cs="Barlow Semi Condensed" w:eastAsia="Barlow Semi Condensed" w:hAnsi="Barlow Semi Condensed"/>
          <w:b/>
          <w:bCs/>
          <w:sz w:val="24"/>
          <w:szCs w:val="24"/>
        </w:rPr>
        <w:t xml:space="preserve">955 · L'impresa risponde, il dipendente lavora.</w:t>
      </w:r>
      <w:r>
        <w:rPr>
          <w:rFonts w:ascii="Barlow Semi Condensed" w:cs="Barlow Semi Condensed" w:eastAsia="Barlow Semi Condensed" w:hAnsi="Barlow Semi Condensed"/>
          <w:sz w:val="24"/>
          <w:szCs w:val="24"/>
        </w:rPr>
        <w:t xml:space="preserve"> Una società ha organi, delibere e bilanci: risponde per atti imputabili ai suoi organi, secondo il diritto societario della giurisdizione in cui è registrata. Un dipendente esegue mansioni. Confondere i due livelli produce due errori speculari: assolvere l'impresa perché fatta di persone comuni, o imputare alla persona comune ciò che l'impresa deliberò. Nei depositi della Companies House britannica e nel registro CIPC sudafricano si trova il primo livello; il secondo non vi compare.</w:t>
      </w:r>
    </w:p>
    <w:p>
      <w:pPr>
        <w:spacing w:after="120" w:line="276"/>
        <w:jc w:val="both"/>
      </w:pPr>
      <w:r>
        <w:rPr>
          <w:rFonts w:ascii="Barlow Semi Condensed" w:cs="Barlow Semi Condensed" w:eastAsia="Barlow Semi Condensed" w:hAnsi="Barlow Semi Condensed"/>
          <w:b/>
          <w:bCs/>
          <w:sz w:val="24"/>
          <w:szCs w:val="24"/>
        </w:rPr>
        <w:t xml:space="preserve">956 · Rössing, questione societaria non personale.</w:t>
      </w:r>
      <w:r>
        <w:rPr>
          <w:rFonts w:ascii="Barlow Semi Condensed" w:cs="Barlow Semi Condensed" w:eastAsia="Barlow Semi Condensed" w:hAnsi="Barlow Semi Condensed"/>
          <w:sz w:val="24"/>
          <w:szCs w:val="24"/>
        </w:rPr>
        <w:t xml:space="preserve"> Lo statuto di Rössing Uranium Limited, la composizione del suo azionariato e i contratti di fornitura degli anni settanta sono materia di documenti societari e di atti pubblici britannici e namibiani: bilanci depositati, corrispondenza ministeriale, fascicoli dei National Archives di Kew nelle serie del ministero degli Esteri. Sono verificabili da chiunque. Nessuno di quei fascicoli, per definizione, può contenere la posizione morale di un ingegnere o del figlio di un ingegnere.</w:t>
      </w:r>
    </w:p>
    <w:p>
      <w:pPr>
        <w:spacing w:after="120" w:line="276"/>
        <w:jc w:val="both"/>
      </w:pPr>
      <w:r>
        <w:rPr>
          <w:rFonts w:ascii="Barlow Semi Condensed" w:cs="Barlow Semi Condensed" w:eastAsia="Barlow Semi Condensed" w:hAnsi="Barlow Semi Condensed"/>
          <w:b/>
          <w:bCs/>
          <w:sz w:val="24"/>
          <w:szCs w:val="24"/>
        </w:rPr>
        <w:t xml:space="preserve">957 · La tesi militare resta al piano tre (serie XIII).</w:t>
      </w:r>
      <w:r>
        <w:rPr>
          <w:rFonts w:ascii="Barlow Semi Condensed" w:cs="Barlow Semi Condensed" w:eastAsia="Barlow Semi Condensed" w:hAnsi="Barlow Semi Condensed"/>
          <w:sz w:val="24"/>
          <w:szCs w:val="24"/>
        </w:rPr>
        <w:t xml:space="preserve"> Che l'uranio di Rössing alimentasse il programma nucleare militare sudafricano è affermazione ricorrente su fonti militanti e priva, allo stato, di documento di provenienza. Resta piano tre e non si adotta. La sede che la chiuderebbe è nominabile: gli accordi di salvaguardia e la documentazione dell'Agenzia internazionale per l'energia atomica, insieme ai fondi del Department of Mineral and Energy Affairs nel National Archives of South Africa. Finché non si aprono, l'affermazione non si usa.</w:t>
      </w:r>
    </w:p>
    <w:p>
      <w:pPr>
        <w:spacing w:after="120" w:line="276"/>
        <w:jc w:val="both"/>
      </w:pPr>
      <w:r>
        <w:rPr>
          <w:rFonts w:ascii="Barlow Semi Condensed" w:cs="Barlow Semi Condensed" w:eastAsia="Barlow Semi Condensed" w:hAnsi="Barlow Semi Condensed"/>
          <w:b/>
          <w:bCs/>
          <w:sz w:val="24"/>
          <w:szCs w:val="24"/>
        </w:rPr>
        <w:t xml:space="preserve">958 · L'origine di un patrimonio.</w:t>
      </w:r>
      <w:r>
        <w:rPr>
          <w:rFonts w:ascii="Barlow Semi Condensed" w:cs="Barlow Semi Condensed" w:eastAsia="Barlow Semi Condensed" w:hAnsi="Barlow Semi Condensed"/>
          <w:sz w:val="24"/>
          <w:szCs w:val="24"/>
        </w:rPr>
        <w:t xml:space="preserve"> Domandare da dove venga un capitale è domanda legittima e tecnica: si risponde con atti costitutivi, aumenti di capitale, cap table, prospetti depositati. La risposta può essere onorevole, banale o assente, e in nessuno dei tre casi diventa un giudizio penale. Nel caso di specie i documenti disponibili — depositi presso la Securities and Exchange Commission, atti societari californiani e del Delaware — descrivono operazioni ordinarie di venture capital, e nient'altro.</w:t>
      </w:r>
    </w:p>
    <w:p>
      <w:pPr>
        <w:spacing w:after="120" w:line="276"/>
        <w:jc w:val="both"/>
      </w:pPr>
      <w:r>
        <w:rPr>
          <w:rFonts w:ascii="Barlow Semi Condensed" w:cs="Barlow Semi Condensed" w:eastAsia="Barlow Semi Condensed" w:hAnsi="Barlow Semi Condensed"/>
          <w:b/>
          <w:bCs/>
          <w:sz w:val="24"/>
          <w:szCs w:val="24"/>
        </w:rPr>
        <w:t xml:space="preserve">959 · Il grado F, fatto biografico inerte.</w:t>
      </w:r>
      <w:r>
        <w:rPr>
          <w:rFonts w:ascii="Barlow Semi Condensed" w:cs="Barlow Semi Condensed" w:eastAsia="Barlow Semi Condensed" w:hAnsi="Barlow Semi Condensed"/>
          <w:sz w:val="24"/>
          <w:szCs w:val="24"/>
        </w:rPr>
        <w:t xml:space="preserve"> Il corpus moroteo ha una categoria per questo: il grado F, il fatto biografico che è vero, è pubblico e non muove nulla. L'appartenenza a un gruppo, a una scuola, a una nazione vi rientra per intero. La Fase decima lo aveva formalizzato per le appartenenze politiche dei condannati; qui la stessa etichetta copre le origini geografiche e familiari di persone mai imputate. Un fatto F si cita e si lascia dov'è.</w:t>
      </w:r>
    </w:p>
    <w:p>
      <w:pPr>
        <w:spacing w:after="120" w:line="276"/>
        <w:jc w:val="both"/>
      </w:pPr>
      <w:r>
        <w:rPr>
          <w:rFonts w:ascii="Barlow Semi Condensed" w:cs="Barlow Semi Condensed" w:eastAsia="Barlow Semi Condensed" w:hAnsi="Barlow Semi Condensed"/>
          <w:b/>
          <w:bCs/>
          <w:sz w:val="24"/>
          <w:szCs w:val="24"/>
        </w:rPr>
        <w:t xml:space="preserve">960 · Una data non argomenta.</w:t>
      </w:r>
      <w:r>
        <w:rPr>
          <w:rFonts w:ascii="Barlow Semi Condensed" w:cs="Barlow Semi Condensed" w:eastAsia="Barlow Semi Condensed" w:hAnsi="Barlow Semi Condensed"/>
          <w:sz w:val="24"/>
          <w:szCs w:val="24"/>
        </w:rPr>
        <w:t xml:space="preserve"> Le cronologie di quest'opera allineano date: la costruzione di una miniera, un trasferimento familiare, la fondazione di una società, una risoluzione delle Nazioni Unite. Allineare è utile e insieme pericoloso, perché la colonna verticale suggerisce da sola una causa. La contemporaneità non è prova di nesso, ed è la regola che va riletta ogni volta che due righe si toccano. Una cronologia ben fatta rende visibile ciò che manca, non ciò che si spera.</w:t>
      </w:r>
    </w:p>
    <w:p>
      <w:pPr>
        <w:spacing w:after="120" w:line="276"/>
        <w:jc w:val="both"/>
      </w:pPr>
      <w:r>
        <w:rPr>
          <w:rFonts w:ascii="Barlow Semi Condensed" w:cs="Barlow Semi Condensed" w:eastAsia="Barlow Semi Condensed" w:hAnsi="Barlow Semi Condensed"/>
          <w:b/>
          <w:bCs/>
          <w:sz w:val="24"/>
          <w:szCs w:val="24"/>
        </w:rPr>
        <w:t xml:space="preserve">961 · Le dichiarazioni appartengono a chi parla.</w:t>
      </w:r>
      <w:r>
        <w:rPr>
          <w:rFonts w:ascii="Barlow Semi Condensed" w:cs="Barlow Semi Condensed" w:eastAsia="Barlow Semi Condensed" w:hAnsi="Barlow Semi Condensed"/>
          <w:sz w:val="24"/>
          <w:szCs w:val="24"/>
        </w:rPr>
        <w:t xml:space="preserve"> Ciò che una persona ha detto pubblicamente è citabile con data, sede e testo, e le si attribuisce senza timore: è suo. Ciò che non ha detto non le si attribuisce, e ciò che altri hanno detto di lei non diventa suo per contiguità. La regola vale nei due sensi: protegge dall'invenzione e impedisce la ritrattazione comoda. Quest'opera cita dichiarazioni solo quando può indicare dove e quando furono rese.</w:t>
      </w:r>
    </w:p>
    <w:p>
      <w:pPr>
        <w:spacing w:after="120" w:line="276"/>
        <w:jc w:val="both"/>
      </w:pPr>
      <w:r>
        <w:rPr>
          <w:rFonts w:ascii="Barlow Semi Condensed" w:cs="Barlow Semi Condensed" w:eastAsia="Barlow Semi Condensed" w:hAnsi="Barlow Semi Condensed"/>
          <w:b/>
          <w:bCs/>
          <w:sz w:val="24"/>
          <w:szCs w:val="24"/>
        </w:rPr>
        <w:t xml:space="preserve">962 · Il silenzio non confessa.</w:t>
      </w:r>
      <w:r>
        <w:rPr>
          <w:rFonts w:ascii="Barlow Semi Condensed" w:cs="Barlow Semi Condensed" w:eastAsia="Barlow Semi Condensed" w:hAnsi="Barlow Semi Condensed"/>
          <w:sz w:val="24"/>
          <w:szCs w:val="24"/>
        </w:rPr>
        <w:t xml:space="preserve"> Non aver mai parlato del Paese della propria infanzia, o averne parlato poco, non significa nulla di dimostrabile. Il silenzio ammette troppe spiegazioni — indifferenza, riservatezza, oblio, calcolo — e una spiegazione che ne ammette molte non discrimina fra ipotesi. Trattarlo come reticenza è un salto retorico frequente in questa pubblicistica. Si registra come Stato Zero, cioè come assenza di fonte, e si passa oltre.</w:t>
      </w:r>
    </w:p>
    <w:p>
      <w:pPr>
        <w:spacing w:after="120" w:line="276"/>
        <w:jc w:val="both"/>
      </w:pPr>
      <w:r>
        <w:rPr>
          <w:rFonts w:ascii="Barlow Semi Condensed" w:cs="Barlow Semi Condensed" w:eastAsia="Barlow Semi Condensed" w:hAnsi="Barlow Semi Condensed"/>
          <w:b/>
          <w:bCs/>
          <w:sz w:val="24"/>
          <w:szCs w:val="24"/>
        </w:rPr>
        <w:t xml:space="preserve">963 · Il sillogismo col termine medio assente.</w:t>
      </w:r>
      <w:r>
        <w:rPr>
          <w:rFonts w:ascii="Barlow Semi Condensed" w:cs="Barlow Semi Condensed" w:eastAsia="Barlow Semi Condensed" w:hAnsi="Barlow Semi Condensed"/>
          <w:sz w:val="24"/>
          <w:szCs w:val="24"/>
        </w:rPr>
        <w:t xml:space="preserve"> L'argomento tipico di questa letteratura ha due premesse vere e nessun termine medio: costui viene da lì; là accadeva quello; dunque costui è quello. Il passaggio manca, ed è precisamente il passaggio che un archivio dovrebbe fornire. Riconoscere la forma serve più di mille confutazioni di merito, perché la forma si ripete identica su nomi diversi. Dove il termine medio manca, il blocco si scrive come quesito e mai come conclusione.</w:t>
      </w:r>
    </w:p>
    <w:p>
      <w:pPr>
        <w:spacing w:after="120" w:line="276"/>
        <w:jc w:val="both"/>
      </w:pPr>
      <w:r>
        <w:rPr>
          <w:rFonts w:ascii="Barlow Semi Condensed" w:cs="Barlow Semi Condensed" w:eastAsia="Barlow Semi Condensed" w:hAnsi="Barlow Semi Condensed"/>
          <w:b/>
          <w:bCs/>
          <w:sz w:val="24"/>
          <w:szCs w:val="24"/>
        </w:rPr>
        <w:t xml:space="preserve">964 · I biografi raccontano, non giudicano.</w:t>
      </w:r>
      <w:r>
        <w:rPr>
          <w:rFonts w:ascii="Barlow Semi Condensed" w:cs="Barlow Semi Condensed" w:eastAsia="Barlow Semi Condensed" w:hAnsi="Barlow Semi Condensed"/>
          <w:sz w:val="24"/>
          <w:szCs w:val="24"/>
        </w:rPr>
        <w:t xml:space="preserve"> Chafkin, Isaacson e Vance sono le fonti con apparato disponibili su questi soggetti, e vanno usate per ciò che offrono: date, testimonianze raccolte, contesto, talvolta documenti. Non sono sentenze e non pretendono di esserlo. Quando due biografi divergono — accade sulla vicenda zambiana — la divergenza si riporta con entrambe le versioni e non si scioglie in favore della più interessante. Un biografo citato non diventa per questo un testimone giurato.</w:t>
      </w:r>
    </w:p>
    <w:p>
      <w:pPr>
        <w:spacing w:after="120" w:line="276"/>
        <w:jc w:val="both"/>
      </w:pPr>
      <w:r>
        <w:rPr>
          <w:rFonts w:ascii="Barlow Semi Condensed" w:cs="Barlow Semi Condensed" w:eastAsia="Barlow Semi Condensed" w:hAnsi="Barlow Semi Condensed"/>
          <w:b/>
          <w:bCs/>
          <w:sz w:val="24"/>
          <w:szCs w:val="24"/>
        </w:rPr>
        <w:t xml:space="preserve">965 · L'uso corretto dell'inchiesta CBC.</w:t>
      </w:r>
      <w:r>
        <w:rPr>
          <w:rFonts w:ascii="Barlow Semi Condensed" w:cs="Barlow Semi Condensed" w:eastAsia="Barlow Semi Condensed" w:hAnsi="Barlow Semi Condensed"/>
          <w:sz w:val="24"/>
          <w:szCs w:val="24"/>
        </w:rPr>
        <w:t xml:space="preserve"> L'inchiesta della CBC sul nonno materno di Elon Musk è citabile e va citata: documenta scritti e posizioni di Joshua Haldeman con materiale d'archivio canadese. Il suo uso corretto si ferma dove finisce il suo oggetto, cioè un uomo morto nel 1974. L'estensione al nipote non appartiene all'inchiesta e non le si può addossare. Sul punto dell'affiliazione a partiti nazisti l'esito è negativo: Stato Zero verificato, e come tale acquisito.</w:t>
      </w:r>
    </w:p>
    <w:p>
      <w:pPr>
        <w:spacing w:after="120" w:line="276"/>
        <w:jc w:val="both"/>
      </w:pPr>
      <w:r>
        <w:rPr>
          <w:rFonts w:ascii="Barlow Semi Condensed" w:cs="Barlow Semi Condensed" w:eastAsia="Barlow Semi Condensed" w:hAnsi="Barlow Semi Condensed"/>
          <w:b/>
          <w:bCs/>
          <w:sz w:val="24"/>
          <w:szCs w:val="24"/>
        </w:rPr>
        <w:t xml:space="preserve">966 · Una copertina non è un ente.</w:t>
      </w:r>
      <w:r>
        <w:rPr>
          <w:rFonts w:ascii="Barlow Semi Condensed" w:cs="Barlow Semi Condensed" w:eastAsia="Barlow Semi Condensed" w:hAnsi="Barlow Semi Condensed"/>
          <w:sz w:val="24"/>
          <w:szCs w:val="24"/>
        </w:rPr>
        <w:t xml:space="preserve"> «PayPal Mafia» è una locuzione nata da un servizio di copertina di Fortune del novembre 2007, firmato da Jeffrey O'Brien, con una fotografia di gruppo scattata al Tosca di San Francisco. Elon Musk non era in quella fotografia. Non esiste atto costitutivo, non esiste organo, non esiste elenco di aderenti. È una categoria giornalistica del 2007 e va trattata come tale: si nominano le persone, una per una, o non si nomina nessuno.</w:t>
      </w:r>
    </w:p>
    <w:p>
      <w:pPr>
        <w:spacing w:after="120" w:line="276"/>
        <w:jc w:val="both"/>
      </w:pPr>
      <w:r>
        <w:rPr>
          <w:rFonts w:ascii="Barlow Semi Condensed" w:cs="Barlow Semi Condensed" w:eastAsia="Barlow Semi Condensed" w:hAnsi="Barlow Semi Condensed"/>
          <w:b/>
          <w:bCs/>
          <w:sz w:val="24"/>
          <w:szCs w:val="24"/>
        </w:rPr>
        <w:t xml:space="preserve">967 · Presunzione d'innocenza piena e nominale.</w:t>
      </w:r>
      <w:r>
        <w:rPr>
          <w:rFonts w:ascii="Barlow Semi Condensed" w:cs="Barlow Semi Condensed" w:eastAsia="Barlow Semi Condensed" w:hAnsi="Barlow Semi Condensed"/>
          <w:sz w:val="24"/>
          <w:szCs w:val="24"/>
        </w:rPr>
        <w:t xml:space="preserve"> Per tutti i viventi nominati in quest'opera vale la presunzione d'innocenza nella forma più larga che il corpus conosca: piena e nominale. Non sono persone assolte, il che implicherebbe un processo; sono persone mai processate, il che è condizione ancora più forte. Non sono «sfuggite» a nulla, perché nulla è mai stato loro contestato. Chi legga i blocchi precedenti come un atto d'accusa legge contro il testo, non il testo.</w:t>
      </w:r>
    </w:p>
    <w:p>
      <w:pPr>
        <w:spacing w:after="120" w:line="276"/>
        <w:jc w:val="both"/>
      </w:pPr>
      <w:r>
        <w:rPr>
          <w:rFonts w:ascii="Barlow Semi Condensed" w:cs="Barlow Semi Condensed" w:eastAsia="Barlow Semi Condensed" w:hAnsi="Barlow Semi Condensed"/>
          <w:b/>
          <w:bCs/>
          <w:sz w:val="24"/>
          <w:szCs w:val="24"/>
        </w:rPr>
        <w:t xml:space="preserve">968 · La differenza col fascicolo moroteo.</w:t>
      </w:r>
      <w:r>
        <w:rPr>
          <w:rFonts w:ascii="Barlow Semi Condensed" w:cs="Barlow Semi Condensed" w:eastAsia="Barlow Semi Condensed" w:hAnsi="Barlow Semi Condensed"/>
          <w:sz w:val="24"/>
          <w:szCs w:val="24"/>
        </w:rPr>
        <w:t xml:space="preserve"> Nel corpus moroteo esisteva un registro del giudicato: tredici condanne definitive, ciascuna con la propria condotta accertata, e i nomi comparivano lì e solo lì. Quest'opera non ha alcun registro equivalente da esibire, perché nessuna sentenza esiste sui fatti che indaga. La conseguenza è severa e va accettata: qui il perimetro dei nomi è ancora più stretto, e coincide per intero con i fatti pubblici e documentabili elencati nella disciplina d'apertura.</w:t>
      </w:r>
    </w:p>
    <w:p>
      <w:pPr>
        <w:spacing w:after="120" w:line="276"/>
        <w:jc w:val="both"/>
      </w:pPr>
      <w:r>
        <w:rPr>
          <w:rFonts w:ascii="Barlow Semi Condensed" w:cs="Barlow Semi Condensed" w:eastAsia="Barlow Semi Condensed" w:hAnsi="Barlow Semi Condensed"/>
          <w:b/>
          <w:bCs/>
          <w:sz w:val="24"/>
          <w:szCs w:val="24"/>
        </w:rPr>
        <w:t xml:space="preserve">969 · Mai sentiti da alcuna autorità.</w:t>
      </w:r>
      <w:r>
        <w:rPr>
          <w:rFonts w:ascii="Barlow Semi Condensed" w:cs="Barlow Semi Condensed" w:eastAsia="Barlow Semi Condensed" w:hAnsi="Barlow Semi Condensed"/>
          <w:sz w:val="24"/>
          <w:szCs w:val="24"/>
        </w:rPr>
        <w:t xml:space="preserve"> Non risulta che le persone viventi nominate siano mai state sentite da un'autorità giudiziaria o parlamentare sui temi di quest'opera: non dalla Truth and Reconciliation Commission, chiusa nel 2003 e i cui verbali sono consultabili, non da commissioni namibiane, non da corti statunitensi. È un accertamento negativo e si dichiara come tale. Chi disponesse di un atto contrario è invitato a produrlo, e l'opera lo recepirebbe per nota.</w:t>
      </w:r>
    </w:p>
    <w:p>
      <w:pPr>
        <w:spacing w:after="120" w:line="276"/>
        <w:jc w:val="both"/>
      </w:pPr>
      <w:r>
        <w:rPr>
          <w:rFonts w:ascii="Barlow Semi Condensed" w:cs="Barlow Semi Condensed" w:eastAsia="Barlow Semi Condensed" w:hAnsi="Barlow Semi Condensed"/>
          <w:b/>
          <w:bCs/>
          <w:sz w:val="24"/>
          <w:szCs w:val="24"/>
        </w:rPr>
        <w:t xml:space="preserve">970 · Contenziosi civili e procedimenti amministrativi.</w:t>
      </w:r>
      <w:r>
        <w:rPr>
          <w:rFonts w:ascii="Barlow Semi Condensed" w:cs="Barlow Semi Condensed" w:eastAsia="Barlow Semi Condensed" w:hAnsi="Barlow Semi Condensed"/>
          <w:sz w:val="24"/>
          <w:szCs w:val="24"/>
        </w:rPr>
        <w:t xml:space="preserve"> Esistono, per società quotate e per i loro dirigenti, contenziosi civili e procedimenti di vigilanza: sono pubblici, si trovano nei fascicoli dei tribunali federali statunitensi e nei comunicati della Securities and Exchange Commission. Nessuno di essi riguarda i fatti indagati qui, e nessuno è penale. Citarli in questa sede sarebbe un espediente: si accumulerebbe un'aria di irregolarità su un tema che con essi non ha rapporto documentato alcuno.</w:t>
      </w:r>
    </w:p>
    <w:p>
      <w:pPr>
        <w:spacing w:after="120" w:line="276"/>
        <w:jc w:val="both"/>
      </w:pPr>
      <w:r>
        <w:rPr>
          <w:rFonts w:ascii="Barlow Semi Condensed" w:cs="Barlow Semi Condensed" w:eastAsia="Barlow Semi Condensed" w:hAnsi="Barlow Semi Condensed"/>
          <w:b/>
          <w:bCs/>
          <w:sz w:val="24"/>
          <w:szCs w:val="24"/>
        </w:rPr>
        <w:t xml:space="preserve">971 · Il «fu assolto, ma» è bandito.</w:t>
      </w:r>
      <w:r>
        <w:rPr>
          <w:rFonts w:ascii="Barlow Semi Condensed" w:cs="Barlow Semi Condensed" w:eastAsia="Barlow Semi Condensed" w:hAnsi="Barlow Semi Condensed"/>
          <w:sz w:val="24"/>
          <w:szCs w:val="24"/>
        </w:rPr>
        <w:t xml:space="preserve"> La formula del «fu assolto, ma» è già bandita nel corpus, perché restituisce col tono ciò che la sentenza aveva tolto: il divieto fu posto nello studio sul ceppo Simioni, dove i proscioglimenti stanno in testa e non in coda. Qui la formula non ha nemmeno un'assoluzione su cui appoggiarsi. Il suo equivalente sarebbe il «nessuno lo ha mai accusato, eppure»: lo si nomina per riconoscerlo e non lo si scrive mai.</w:t>
      </w:r>
    </w:p>
    <w:p>
      <w:pPr>
        <w:spacing w:after="120" w:line="276"/>
        <w:jc w:val="both"/>
      </w:pPr>
      <w:r>
        <w:rPr>
          <w:rFonts w:ascii="Barlow Semi Condensed" w:cs="Barlow Semi Condensed" w:eastAsia="Barlow Semi Condensed" w:hAnsi="Barlow Semi Condensed"/>
          <w:b/>
          <w:bCs/>
          <w:sz w:val="24"/>
          <w:szCs w:val="24"/>
        </w:rPr>
        <w:t xml:space="preserve">972 · L'elenco chiuso dei fatti citabili.</w:t>
      </w:r>
      <w:r>
        <w:rPr>
          <w:rFonts w:ascii="Barlow Semi Condensed" w:cs="Barlow Semi Condensed" w:eastAsia="Barlow Semi Condensed" w:hAnsi="Barlow Semi Condensed"/>
          <w:sz w:val="24"/>
          <w:szCs w:val="24"/>
        </w:rPr>
        <w:t xml:space="preserve"> I viventi entrano in quest'opera per sette voci e per nessun'altra: nascita, residenza, cittadinanza, impiego, parentela, dichiarazioni rese pubblicamente, atti societari depositati. L'elenco è chiuso e verificabile blocco per blocco. Ogni riga che eccedesse quelle voci — un'intenzione, un'opinione attribuita, un rapporto inferito — sarebbe un errore dell'autore e va segnalata come tale. Il lettore ha in mano il criterio per fare questa verifica senza chiedere il permesso a nessuno.</w:t>
      </w:r>
    </w:p>
    <w:p>
      <w:pPr>
        <w:spacing w:after="120" w:line="276"/>
        <w:jc w:val="both"/>
      </w:pPr>
      <w:r>
        <w:rPr>
          <w:rFonts w:ascii="Barlow Semi Condensed" w:cs="Barlow Semi Condensed" w:eastAsia="Barlow Semi Condensed" w:hAnsi="Barlow Semi Condensed"/>
          <w:b/>
          <w:bCs/>
          <w:sz w:val="24"/>
          <w:szCs w:val="24"/>
        </w:rPr>
        <w:t xml:space="preserve">973 · Se un procedimento si aprisse.</w:t>
      </w:r>
      <w:r>
        <w:rPr>
          <w:rFonts w:ascii="Barlow Semi Condensed" w:cs="Barlow Semi Condensed" w:eastAsia="Barlow Semi Condensed" w:hAnsi="Barlow Semi Condensed"/>
          <w:sz w:val="24"/>
          <w:szCs w:val="24"/>
        </w:rPr>
        <w:t xml:space="preserve"> Ipotesi di scuola, utile a fissare la disciplina: se domani un'autorità aprisse un procedimento su uno qualsiasi di questi temi, quest'opera ne prenderebbe atto registrando l'esistenza dell'atto e null'altro. Un'iscrizione non è una condanna, un rinvio a giudizio non è una condanna, un primo grado non è definitivo. Il corpus ha adottato questa scala nel registro giudiziario della Fase settima e non la modifica per nomi più noti.</w:t>
      </w:r>
    </w:p>
    <w:p>
      <w:pPr>
        <w:spacing w:after="120" w:line="276"/>
        <w:jc w:val="both"/>
      </w:pPr>
      <w:r>
        <w:rPr>
          <w:rFonts w:ascii="Barlow Semi Condensed" w:cs="Barlow Semi Condensed" w:eastAsia="Barlow Semi Condensed" w:hAnsi="Barlow Semi Condensed"/>
          <w:b/>
          <w:bCs/>
          <w:sz w:val="24"/>
          <w:szCs w:val="24"/>
        </w:rPr>
        <w:t xml:space="preserve">974 · Diritto di replica e correzione.</w:t>
      </w:r>
      <w:r>
        <w:rPr>
          <w:rFonts w:ascii="Barlow Semi Condensed" w:cs="Barlow Semi Condensed" w:eastAsia="Barlow Semi Condensed" w:hAnsi="Barlow Semi Condensed"/>
          <w:sz w:val="24"/>
          <w:szCs w:val="24"/>
        </w:rPr>
        <w:t xml:space="preserve"> Chiunque sia nominato in quest'opera può contestare un dato di fatto, e la contestazione produce un effetto tecnico: se documentata, entra nel testo come nota di revisione, con la data e la fonte, senza riscrivere il blocco originario. È il metodo già usato per la Nota di revisione n. 1 del corpus e per la correzione del nodo M-5 nella triangolazione Kissinger. Il testo si corregge per stratificazione, così resta visibile che cosa è cambiato.</w:t>
      </w:r>
    </w:p>
    <w:p>
      <w:pPr>
        <w:spacing w:after="120" w:line="276"/>
        <w:jc w:val="both"/>
      </w:pPr>
      <w:r>
        <w:rPr>
          <w:rFonts w:ascii="Barlow Semi Condensed" w:cs="Barlow Semi Condensed" w:eastAsia="Barlow Semi Condensed" w:hAnsi="Barlow Semi Condensed"/>
          <w:b/>
          <w:bCs/>
          <w:sz w:val="24"/>
          <w:szCs w:val="24"/>
        </w:rPr>
        <w:t xml:space="preserve">975 · Giudicare per nascita, un precedente.</w:t>
      </w:r>
      <w:r>
        <w:rPr>
          <w:rFonts w:ascii="Barlow Semi Condensed" w:cs="Barlow Semi Condensed" w:eastAsia="Barlow Semi Condensed" w:hAnsi="Barlow Semi Condensed"/>
          <w:sz w:val="24"/>
          <w:szCs w:val="24"/>
        </w:rPr>
        <w:t xml:space="preserve"> Giudicare le persone per la loro origine è precisamente ciò che l'apartheid faceva, con leggi, registri di classificazione razziale e uffici dedicati: il Population Registration Act del 1950 e i fascicoli del Department of Home Affairs ne conservano la meccanica. Quel sistema attribuiva destini in base a un dato di nascita. Un'opera che lo studi e poi ne ripeta la logica sui figli dei suoi beneficiari non lo critica: lo prosegue in altra direzione.</w:t>
      </w:r>
    </w:p>
    <w:p>
      <w:pPr>
        <w:spacing w:after="120" w:line="276"/>
        <w:jc w:val="both"/>
      </w:pPr>
      <w:r>
        <w:rPr>
          <w:rFonts w:ascii="Barlow Semi Condensed" w:cs="Barlow Semi Condensed" w:eastAsia="Barlow Semi Condensed" w:hAnsi="Barlow Semi Condensed"/>
          <w:b/>
          <w:bCs/>
          <w:sz w:val="24"/>
          <w:szCs w:val="24"/>
        </w:rPr>
        <w:t xml:space="preserve">976 · L'inversione non è giustizia.</w:t>
      </w:r>
      <w:r>
        <w:rPr>
          <w:rFonts w:ascii="Barlow Semi Condensed" w:cs="Barlow Semi Condensed" w:eastAsia="Barlow Semi Condensed" w:hAnsi="Barlow Semi Condensed"/>
          <w:sz w:val="24"/>
          <w:szCs w:val="24"/>
        </w:rPr>
        <w:t xml:space="preserve"> Rovesciare il senso di una discriminazione non la abolisce: ne cambia il bersaglio. Chi sostiene che essere figli o nipoti di beneficiari del regime costituisca di per sé un titolo di responsabilità sta usando lo stesso strumento del regime, con il segno invertito. L'argomento è tanto più insidioso quanto più le vittime storiche sono reali e riconosciute. La memoria di quelle vittime non autorizza a fondare responsabilità sull'anagrafe di nessun altro.</w:t>
      </w:r>
    </w:p>
    <w:p>
      <w:pPr>
        <w:spacing w:after="120" w:line="276"/>
        <w:jc w:val="both"/>
      </w:pPr>
      <w:r>
        <w:rPr>
          <w:rFonts w:ascii="Barlow Semi Condensed" w:cs="Barlow Semi Condensed" w:eastAsia="Barlow Semi Condensed" w:hAnsi="Barlow Semi Condensed"/>
          <w:b/>
          <w:bCs/>
          <w:sz w:val="24"/>
          <w:szCs w:val="24"/>
        </w:rPr>
        <w:t xml:space="preserve">977 · Il colpevole collettivo, qui.</w:t>
      </w:r>
      <w:r>
        <w:rPr>
          <w:rFonts w:ascii="Barlow Semi Condensed" w:cs="Barlow Semi Condensed" w:eastAsia="Barlow Semi Condensed" w:hAnsi="Barlow Semi Condensed"/>
          <w:sz w:val="24"/>
          <w:szCs w:val="24"/>
        </w:rPr>
        <w:t xml:space="preserve"> Fu il Sud Africa, furono gli afrikaner, fu la Valle: sono soggetti grammaticali comodi e privi di condotta. Nessuno di essi delibera, firma o compie atti; lo fanno persone e uffici, con nomi e date. Il manuale investigativo del corpus chiama questo errore l'errore del gruppo e ne prescrive l'antidoto: scomporre in atti e omissioni documentati, uno per uno, oppure tacere. In questa materia il tacere è quasi sempre l'esito corretto.</w:t>
      </w:r>
    </w:p>
    <w:p>
      <w:pPr>
        <w:spacing w:after="120" w:line="276"/>
        <w:jc w:val="both"/>
      </w:pPr>
      <w:r>
        <w:rPr>
          <w:rFonts w:ascii="Barlow Semi Condensed" w:cs="Barlow Semi Condensed" w:eastAsia="Barlow Semi Condensed" w:hAnsi="Barlow Semi Condensed"/>
          <w:b/>
          <w:bCs/>
          <w:sz w:val="24"/>
          <w:szCs w:val="24"/>
        </w:rPr>
        <w:t xml:space="preserve">978 · Sciogliere i nomi collettivi.</w:t>
      </w:r>
      <w:r>
        <w:rPr>
          <w:rFonts w:ascii="Barlow Semi Condensed" w:cs="Barlow Semi Condensed" w:eastAsia="Barlow Semi Condensed" w:hAnsi="Barlow Semi Condensed"/>
          <w:sz w:val="24"/>
          <w:szCs w:val="24"/>
        </w:rPr>
        <w:t xml:space="preserve"> Ogni volta che un blocco scrive «la PayPal Mafia», «l'establishment afrikaner» o «i fondi della Valle», il lettore ha diritto di chiedere l'elenco delle persone e degli enti che quell'espressione copre, con la fonte per ciascuno. Se l'elenco non si può produrre, l'espressione è un'ombra e va cancellata. Questa è la prova più rapida per distinguere un blocco di ricerca da un blocco d'opinione, e si può applicare all'intera opera in un pomeriggio.</w:t>
      </w:r>
    </w:p>
    <w:p>
      <w:pPr>
        <w:spacing w:after="120" w:line="276"/>
        <w:jc w:val="both"/>
      </w:pPr>
      <w:r>
        <w:rPr>
          <w:rFonts w:ascii="Barlow Semi Condensed" w:cs="Barlow Semi Condensed" w:eastAsia="Barlow Semi Condensed" w:hAnsi="Barlow Semi Condensed"/>
          <w:b/>
          <w:bCs/>
          <w:sz w:val="24"/>
          <w:szCs w:val="24"/>
        </w:rPr>
        <w:t xml:space="preserve">979 · La parola «mafia» come metafora.</w:t>
      </w:r>
      <w:r>
        <w:rPr>
          <w:rFonts w:ascii="Barlow Semi Condensed" w:cs="Barlow Semi Condensed" w:eastAsia="Barlow Semi Condensed" w:hAnsi="Barlow Semi Condensed"/>
          <w:sz w:val="24"/>
          <w:szCs w:val="24"/>
        </w:rPr>
        <w:t xml:space="preserve"> Nel titolo di Fortune «mafia» era una battuta di redazione sulla coesione di un gruppo di ex colleghi. Trasportata in un contesto di ricerca, la stessa parola evoca un'associazione criminale, che è figura tipica del diritto penale italiano e statunitense. Il trasporto è illegittimo e va segnalato ogni volta che compare. Chi cita la locuzione deve citarne insieme l'origine, altrimenti presta a un'espressione giornalistica un peso giuridico che essa non ha mai avuto.</w:t>
      </w:r>
    </w:p>
    <w:p>
      <w:pPr>
        <w:spacing w:after="120" w:line="276"/>
        <w:jc w:val="both"/>
      </w:pPr>
      <w:r>
        <w:rPr>
          <w:rFonts w:ascii="Barlow Semi Condensed" w:cs="Barlow Semi Condensed" w:eastAsia="Barlow Semi Condensed" w:hAnsi="Barlow Semi Condensed"/>
          <w:b/>
          <w:bCs/>
          <w:sz w:val="24"/>
          <w:szCs w:val="24"/>
        </w:rPr>
        <w:t xml:space="preserve">980 · Colpa politica e colpa penale.</w:t>
      </w:r>
      <w:r>
        <w:rPr>
          <w:rFonts w:ascii="Barlow Semi Condensed" w:cs="Barlow Semi Condensed" w:eastAsia="Barlow Semi Condensed" w:hAnsi="Barlow Semi Condensed"/>
          <w:sz w:val="24"/>
          <w:szCs w:val="24"/>
        </w:rPr>
        <w:t xml:space="preserve"> La riflessione sulla responsabilità collettiva ha una tradizione filosofica seria, che distingue responsabilità criminale, politica, morale e metafisica, e che assegna alla prima soltanto tribunali e prove. Quest'opera si muove esclusivamente sul terreno della prima e non ha titolo per pronunciarsi sulle altre. Chi voglia condurre l'argomento sul piano morale è libero di farlo, ma dovrà dichiarare di aver cambiato terreno, perché su quel piano non valgono gli archivi qui elencati.</w:t>
      </w:r>
    </w:p>
    <w:p>
      <w:pPr>
        <w:spacing w:after="120" w:line="276"/>
        <w:jc w:val="both"/>
      </w:pPr>
      <w:r>
        <w:rPr>
          <w:rFonts w:ascii="Barlow Semi Condensed" w:cs="Barlow Semi Condensed" w:eastAsia="Barlow Semi Condensed" w:hAnsi="Barlow Semi Condensed"/>
          <w:b/>
          <w:bCs/>
          <w:sz w:val="24"/>
          <w:szCs w:val="24"/>
        </w:rPr>
        <w:t xml:space="preserve">981 · Il rischio speculare dell'assoluzione.</w:t>
      </w:r>
      <w:r>
        <w:rPr>
          <w:rFonts w:ascii="Barlow Semi Condensed" w:cs="Barlow Semi Condensed" w:eastAsia="Barlow Semi Condensed" w:hAnsi="Barlow Semi Condensed"/>
          <w:sz w:val="24"/>
          <w:szCs w:val="24"/>
        </w:rPr>
        <w:t xml:space="preserve"> Questa serie ha un pericolo proprio, uguale e contrario a quello che corregge: che la cautela diventi una assoluzione preventiva, e che il garantismo si trasformi in scudo. Dire che una parentela non prova nulla non significa dire che nulla vada cercato. Il vincolo è simmetrico: come non si promuove una convergenza a nesso, così non si declassa un documento perché scomodo. La disciplina serve la ricerca, non la protezione di alcuno.</w:t>
      </w:r>
    </w:p>
    <w:p>
      <w:pPr>
        <w:spacing w:after="120" w:line="276"/>
        <w:jc w:val="both"/>
      </w:pPr>
      <w:r>
        <w:rPr>
          <w:rFonts w:ascii="Barlow Semi Condensed" w:cs="Barlow Semi Condensed" w:eastAsia="Barlow Semi Condensed" w:hAnsi="Barlow Semi Condensed"/>
          <w:b/>
          <w:bCs/>
          <w:sz w:val="24"/>
          <w:szCs w:val="24"/>
        </w:rPr>
        <w:t xml:space="preserve">982 · Non nominare non è scagionare.</w:t>
      </w:r>
      <w:r>
        <w:rPr>
          <w:rFonts w:ascii="Barlow Semi Condensed" w:cs="Barlow Semi Condensed" w:eastAsia="Barlow Semi Condensed" w:hAnsi="Barlow Semi Condensed"/>
          <w:sz w:val="24"/>
          <w:szCs w:val="24"/>
        </w:rPr>
        <w:t xml:space="preserve"> Tacere un nome dove manca il documento è disciplina; presentare quel silenzio come una certificazione di innocenza sarebbe un altro abuso, di segno opposto. Quest'opera non dichiara che nulla accadde: dichiara che, allo stato degli atti consultati, nulla è provato. Le due proposizioni sono diversissime e si confondono facilmente. Gli Stati Zero servono anche a questo: fissano per iscritto che si è cercato, dove, e con quale esito, senza chiudere la questione.</w:t>
      </w:r>
    </w:p>
    <w:p>
      <w:pPr>
        <w:spacing w:after="120" w:line="276"/>
        <w:jc w:val="both"/>
      </w:pPr>
      <w:r>
        <w:rPr>
          <w:rFonts w:ascii="Barlow Semi Condensed" w:cs="Barlow Semi Condensed" w:eastAsia="Barlow Semi Condensed" w:hAnsi="Barlow Semi Condensed"/>
          <w:b/>
          <w:bCs/>
          <w:sz w:val="24"/>
          <w:szCs w:val="24"/>
        </w:rPr>
        <w:t xml:space="preserve">983 · I documenti non sono innocenti.</w:t>
      </w:r>
      <w:r>
        <w:rPr>
          <w:rFonts w:ascii="Barlow Semi Condensed" w:cs="Barlow Semi Condensed" w:eastAsia="Barlow Semi Condensed" w:hAnsi="Barlow Semi Condensed"/>
          <w:sz w:val="24"/>
          <w:szCs w:val="24"/>
        </w:rPr>
        <w:t xml:space="preserve"> Le fonti raccolte in quest'opera descrivono un sistema legale di segregazione, una miniera in territorio sotto amministrazione contestata, embarghi votati alle Nazioni Unite e imprese che vi operarono. Su quel materiale il giudizio storico è largamente formato e non è mite. La serie del limite non tocca quel giudizio: lo lascia dov'è e impedisce soltanto che venga trasferito, per via anagrafica, su persone che allora erano bambine o non erano nate.</w:t>
      </w:r>
    </w:p>
    <w:p>
      <w:pPr>
        <w:spacing w:after="120" w:line="276"/>
        <w:jc w:val="both"/>
      </w:pPr>
      <w:r>
        <w:rPr>
          <w:rFonts w:ascii="Barlow Semi Condensed" w:cs="Barlow Semi Condensed" w:eastAsia="Barlow Semi Condensed" w:hAnsi="Barlow Semi Condensed"/>
          <w:b/>
          <w:bCs/>
          <w:sz w:val="24"/>
          <w:szCs w:val="24"/>
        </w:rPr>
        <w:t xml:space="preserve">984 · La critica delle istituzioni resta intera.</w:t>
      </w:r>
      <w:r>
        <w:rPr>
          <w:rFonts w:ascii="Barlow Semi Condensed" w:cs="Barlow Semi Condensed" w:eastAsia="Barlow Semi Condensed" w:hAnsi="Barlow Semi Condensed"/>
          <w:sz w:val="24"/>
          <w:szCs w:val="24"/>
        </w:rPr>
        <w:t xml:space="preserve"> Studiare come uno Stato organizzò la segregazione, come un embargo fu aggirato, come una società mineraria trattò con governi, come un fondo di investimento seleziona chi finanziare: sono tutte indagini legittime e necessarie, e nessuna di esse chiede il permesso a questa serie. Il limite riguarda l'attribuzione di condotte a persone determinate senza documento. Riguarda i nomi, non i temi, e chi lo confonde rinuncia alla ricerca per prudenza mal riposta.</w:t>
      </w:r>
    </w:p>
    <w:p>
      <w:pPr>
        <w:spacing w:after="120" w:line="276"/>
        <w:jc w:val="both"/>
      </w:pPr>
      <w:r>
        <w:rPr>
          <w:rFonts w:ascii="Barlow Semi Condensed" w:cs="Barlow Semi Condensed" w:eastAsia="Barlow Semi Condensed" w:hAnsi="Barlow Semi Condensed"/>
          <w:b/>
          <w:bCs/>
          <w:sz w:val="24"/>
          <w:szCs w:val="24"/>
        </w:rPr>
        <w:t xml:space="preserve">985 · Criticare l'atto pubblico è lecito.</w:t>
      </w:r>
      <w:r>
        <w:rPr>
          <w:rFonts w:ascii="Barlow Semi Condensed" w:cs="Barlow Semi Condensed" w:eastAsia="Barlow Semi Condensed" w:hAnsi="Barlow Semi Condensed"/>
          <w:sz w:val="24"/>
          <w:szCs w:val="24"/>
        </w:rPr>
        <w:t xml:space="preserve"> Chi ricopre una carica pubblica o dirige una società quotata compie atti pubblici — dichiarazioni, decisioni, investimenti depositati — e su quegli atti la critica è libera e doverosa. La critica di un atto non è l'imputazione di un reato, e le due cose vanno tenute distinte anche nel lessico. Quest'opera si occupa di documenti storici e non di valutazione politica del presente; ma non pretende che la seconda sia vietata a chi la voglia esercitare.</w:t>
      </w:r>
    </w:p>
    <w:p>
      <w:pPr>
        <w:spacing w:after="120" w:line="276"/>
        <w:jc w:val="both"/>
      </w:pPr>
      <w:r>
        <w:rPr>
          <w:rFonts w:ascii="Barlow Semi Condensed" w:cs="Barlow Semi Condensed" w:eastAsia="Barlow Semi Condensed" w:hAnsi="Barlow Semi Condensed"/>
          <w:b/>
          <w:bCs/>
          <w:sz w:val="24"/>
          <w:szCs w:val="24"/>
        </w:rPr>
        <w:t xml:space="preserve">986 · Il presidio delle vittime reali.</w:t>
      </w:r>
      <w:r>
        <w:rPr>
          <w:rFonts w:ascii="Barlow Semi Condensed" w:cs="Barlow Semi Condensed" w:eastAsia="Barlow Semi Condensed" w:hAnsi="Barlow Semi Condensed"/>
          <w:sz w:val="24"/>
          <w:szCs w:val="24"/>
        </w:rPr>
        <w:t xml:space="preserve"> Sei nomi di uomini uccisi costituivano, nel corpus moroteo, il presidio contro ogni costruzione interpretativa che pretendesse di coprirli. Qui il presidio ha un'altra scala e nessun elenco esaustivo possibile: le vittime dell'apartheid sono documentate a decine di migliaia nei verbali della Truth and Reconciliation Commission. Ricordarle non serve a caricare un nome vivente; serve a impedire che una discussione su discendenze e capitali si sostituisca alla storia di ciò che fu fatto a loro.</w:t>
      </w:r>
    </w:p>
    <w:p>
      <w:pPr>
        <w:spacing w:after="120" w:line="276"/>
        <w:jc w:val="both"/>
      </w:pPr>
      <w:r>
        <w:rPr>
          <w:rFonts w:ascii="Barlow Semi Condensed" w:cs="Barlow Semi Condensed" w:eastAsia="Barlow Semi Condensed" w:hAnsi="Barlow Semi Condensed"/>
          <w:b/>
          <w:bCs/>
          <w:sz w:val="24"/>
          <w:szCs w:val="24"/>
        </w:rPr>
        <w:t xml:space="preserve">987 · Non stabilito: un canale istituzionale.</w:t>
      </w:r>
      <w:r>
        <w:rPr>
          <w:rFonts w:ascii="Barlow Semi Condensed" w:cs="Barlow Semi Condensed" w:eastAsia="Barlow Semi Condensed" w:hAnsi="Barlow Semi Condensed"/>
          <w:sz w:val="24"/>
          <w:szCs w:val="24"/>
        </w:rPr>
        <w:t xml:space="preserve"> Nessun documento di provenienza, in quest'opera, nomina un rapporto fra uffici del governo sudafricano dell'apartheid e la costituzione o il finanziamento di imprese californiane degli anni novanta. La tesi di un canale istituzionale resta priva di atto. La sede che la chiuderebbe è indicabile: i fondi del Department of Foreign Affairs nel National Archives of South Africa a Pretoria, per il periodo 1977-1994. Finché non sono spogliati, la voce «canale» non compare come accertamento.</w:t>
      </w:r>
    </w:p>
    <w:p>
      <w:pPr>
        <w:spacing w:after="120" w:line="276"/>
        <w:jc w:val="both"/>
      </w:pPr>
      <w:r>
        <w:rPr>
          <w:rFonts w:ascii="Barlow Semi Condensed" w:cs="Barlow Semi Condensed" w:eastAsia="Barlow Semi Condensed" w:hAnsi="Barlow Semi Condensed"/>
          <w:b/>
          <w:bCs/>
          <w:sz w:val="24"/>
          <w:szCs w:val="24"/>
        </w:rPr>
        <w:t xml:space="preserve">988 · Non stabilito: la destinazione dell'uranio.</w:t>
      </w:r>
      <w:r>
        <w:rPr>
          <w:rFonts w:ascii="Barlow Semi Condensed" w:cs="Barlow Semi Condensed" w:eastAsia="Barlow Semi Condensed" w:hAnsi="Barlow Semi Condensed"/>
          <w:sz w:val="24"/>
          <w:szCs w:val="24"/>
        </w:rPr>
        <w:t xml:space="preserve"> Non è stabilito che l'uranio estratto a Rössing sia stato destinato ad armamenti; e non è stabilita nemmeno la destinazione opposta. Entrambe le proposizioni attendono un documento. L'opera registra il cantiere come contesto della biografia di una famiglia e come oggetto di controversia internazionale documentata negli atti delle Nazioni Unite, e si ferma lì. Chi volesse procedere ha una strada: gli archivi namibiani di Windhoek e i registri di esportazione conservati a Pretoria.</w:t>
      </w:r>
    </w:p>
    <w:p>
      <w:pPr>
        <w:spacing w:after="120" w:line="276"/>
        <w:jc w:val="both"/>
      </w:pPr>
      <w:r>
        <w:rPr>
          <w:rFonts w:ascii="Barlow Semi Condensed" w:cs="Barlow Semi Condensed" w:eastAsia="Barlow Semi Condensed" w:hAnsi="Barlow Semi Condensed"/>
          <w:b/>
          <w:bCs/>
          <w:sz w:val="24"/>
          <w:szCs w:val="24"/>
        </w:rPr>
        <w:t xml:space="preserve">989 · Non stabilito: la miniera di smeraldi.</w:t>
      </w:r>
      <w:r>
        <w:rPr>
          <w:rFonts w:ascii="Barlow Semi Condensed" w:cs="Barlow Semi Condensed" w:eastAsia="Barlow Semi Condensed" w:hAnsi="Barlow Semi Condensed"/>
          <w:sz w:val="24"/>
          <w:szCs w:val="24"/>
        </w:rPr>
        <w:t xml:space="preserve"> Di una titolarità mineraria intestata a Errol Musk non è mai emersa carta alcuna, né in Zambia né altrove: nessuna concessione, nessuna licenza, nessun atto di trasferimento. Lo Stato Zero è netto e la sede che lo chiuderebbe ha un nome, il registro dei titoli minerari del ministero competente a Lusaka. Finché quel registro non è interrogato, restano tre racconti divergenti e nessun documento a sostegno di alcuno.</w:t>
      </w:r>
    </w:p>
    <w:p>
      <w:pPr>
        <w:spacing w:after="120" w:line="276"/>
        <w:jc w:val="both"/>
      </w:pPr>
      <w:r>
        <w:rPr>
          <w:rFonts w:ascii="Barlow Semi Condensed" w:cs="Barlow Semi Condensed" w:eastAsia="Barlow Semi Condensed" w:hAnsi="Barlow Semi Condensed"/>
          <w:b/>
          <w:bCs/>
          <w:sz w:val="24"/>
          <w:szCs w:val="24"/>
        </w:rPr>
        <w:t xml:space="preserve">990 · Non stabilito: un trasferimento di capitali.</w:t>
      </w:r>
      <w:r>
        <w:rPr>
          <w:rFonts w:ascii="Barlow Semi Condensed" w:cs="Barlow Semi Condensed" w:eastAsia="Barlow Semi Condensed" w:hAnsi="Barlow Semi Condensed"/>
          <w:sz w:val="24"/>
          <w:szCs w:val="24"/>
        </w:rPr>
        <w:t xml:space="preserve"> Manca ogni tracciamento documentale di capitali usciti dal Sud Africa dell'apartheid e confluiti nelle società della valle di Santa Clara. Il controllo dei cambi sudafricano era stretto e produsse carte: autorizzazioni della South African Reserve Bank, pratiche di esportazione di valuta, dichiarazioni doganali. Nessuna di quelle pratiche è stata prodotta a sostegno della tesi, e l'opera non la sostiene: è lo Stato Zero più rilevante dell'intero lavoro.</w:t>
      </w:r>
    </w:p>
    <w:p>
      <w:pPr>
        <w:spacing w:after="120" w:line="276"/>
        <w:jc w:val="both"/>
      </w:pPr>
      <w:r>
        <w:rPr>
          <w:rFonts w:ascii="Barlow Semi Condensed" w:cs="Barlow Semi Condensed" w:eastAsia="Barlow Semi Condensed" w:hAnsi="Barlow Semi Condensed"/>
          <w:b/>
          <w:bCs/>
          <w:sz w:val="24"/>
          <w:szCs w:val="24"/>
        </w:rPr>
        <w:t xml:space="preserve">991 · Non stabilito: un intervento del ministro.</w:t>
      </w:r>
      <w:r>
        <w:rPr>
          <w:rFonts w:ascii="Barlow Semi Condensed" w:cs="Barlow Semi Condensed" w:eastAsia="Barlow Semi Condensed" w:hAnsi="Barlow Semi Condensed"/>
          <w:sz w:val="24"/>
          <w:szCs w:val="24"/>
        </w:rPr>
        <w:t xml:space="preserve"> Non esiste, allo stato, alcun atto che colleghi l'ufficio del ministro degli Esteri sudafricano alla carriera del nipote negli Stati Uniti: nessuna lettera, nessuna raccomandazione, nessun visto agevolato documentato. La parentela resta al piano uno; il ponte resta assente. La verifica si condurrebbe sui fondi ministeriali di Pretoria e sui documenti consolari; e va detto che un esito negativo, se ottenuto, sarebbe altrettanto pubblicabile di uno positivo.</w:t>
      </w:r>
    </w:p>
    <w:p>
      <w:pPr>
        <w:spacing w:after="120" w:line="276"/>
        <w:jc w:val="both"/>
      </w:pPr>
      <w:r>
        <w:rPr>
          <w:rFonts w:ascii="Barlow Semi Condensed" w:cs="Barlow Semi Condensed" w:eastAsia="Barlow Semi Condensed" w:hAnsi="Barlow Semi Condensed"/>
          <w:b/>
          <w:bCs/>
          <w:sz w:val="24"/>
          <w:szCs w:val="24"/>
        </w:rPr>
        <w:t xml:space="preserve">992 · Non stabilito: l'affiliazione nazista.</w:t>
      </w:r>
      <w:r>
        <w:rPr>
          <w:rFonts w:ascii="Barlow Semi Condensed" w:cs="Barlow Semi Condensed" w:eastAsia="Barlow Semi Condensed" w:hAnsi="Barlow Semi Condensed"/>
          <w:sz w:val="24"/>
          <w:szCs w:val="24"/>
        </w:rPr>
        <w:t xml:space="preserve"> Sul nonno materno di Elon Musk la ricerca ha prodotto un esito negativo dichiarato: non risulta prova di appartenenza a partiti nazisti. È uno Stato Zero verificato, ed è un'acquisizione di pieno valore, non un'ammissione di sconfitta. Vale in entrambe le direzioni: sottrae un argomento a chi accusa e non ne restituisce uno a chi difende, perché ciò che Haldeman effettivamente scrisse resta documentato e resta grave.</w:t>
      </w:r>
    </w:p>
    <w:p>
      <w:pPr>
        <w:spacing w:after="120" w:line="276"/>
        <w:jc w:val="both"/>
      </w:pPr>
      <w:r>
        <w:rPr>
          <w:rFonts w:ascii="Barlow Semi Condensed" w:cs="Barlow Semi Condensed" w:eastAsia="Barlow Semi Condensed" w:hAnsi="Barlow Semi Condensed"/>
          <w:b/>
          <w:bCs/>
          <w:sz w:val="24"/>
          <w:szCs w:val="24"/>
        </w:rPr>
        <w:t xml:space="preserve">993 · Non stabilito: un'azione di gruppo.</w:t>
      </w:r>
      <w:r>
        <w:rPr>
          <w:rFonts w:ascii="Barlow Semi Condensed" w:cs="Barlow Semi Condensed" w:eastAsia="Barlow Semi Condensed" w:hAnsi="Barlow Semi Condensed"/>
          <w:sz w:val="24"/>
          <w:szCs w:val="24"/>
        </w:rPr>
        <w:t xml:space="preserve"> Che le persone raccolte sotto la locuzione del 2007 abbiano mai agito come gruppo non è stabilito: non esistono statuti, verbali, delibere né conti comuni. Esistono coinvestimenti documentati nei depositi presso la Securities and Exchange Commission, che sono fatto societario ordinario e riguardano operazioni singole. Un coinvestimento prova che due soggetti hanno messo denaro nella stessa società; non prova un disegno, e nessun deposito ne descrive uno.</w:t>
      </w:r>
    </w:p>
    <w:p>
      <w:pPr>
        <w:spacing w:after="120" w:line="276"/>
        <w:jc w:val="both"/>
      </w:pPr>
      <w:r>
        <w:rPr>
          <w:rFonts w:ascii="Barlow Semi Condensed" w:cs="Barlow Semi Condensed" w:eastAsia="Barlow Semi Condensed" w:hAnsi="Barlow Semi Condensed"/>
          <w:b/>
          <w:bCs/>
          <w:sz w:val="24"/>
          <w:szCs w:val="24"/>
        </w:rPr>
        <w:t xml:space="preserve">994 · Non stabilito: un ponte col corpus.</w:t>
      </w:r>
      <w:r>
        <w:rPr>
          <w:rFonts w:ascii="Barlow Semi Condensed" w:cs="Barlow Semi Condensed" w:eastAsia="Barlow Semi Condensed" w:hAnsi="Barlow Semi Condensed"/>
          <w:sz w:val="24"/>
          <w:szCs w:val="24"/>
        </w:rPr>
        <w:t xml:space="preserve"> La verifica meccanica sul corpus è stata eseguita e ha dato un solo risultato: zero occorrenze di Musk, Thiel, Botha, PayPal, Silicon Valley e Namibia negli altri Libri; un unico contatto tematico nel nodo E-16 della triangolazione Guevara-Moro, il discorso all'Assemblea Generale dell'11 dicembre 1964 che denuncia colonialismo e apartheid. Un contatto tematico non è un ponte documentato, e l'opera non lo tratta come tale in nessun blocco. </w:t>
      </w:r>
      <w:r>
        <w:rPr>
          <w:rFonts w:ascii="Barlow Semi Condensed" w:cs="Barlow Semi Condensed" w:eastAsia="Barlow Semi Condensed" w:hAnsi="Barlow Semi Condensed"/>
          <w:i/>
          <w:iCs/>
          <w:sz w:val="24"/>
          <w:szCs w:val="24"/>
        </w:rPr>
        <w:t xml:space="preserve">(Verifica riferita al perimetro anteriore al 26 agosto 2026; per l'aggiornamento dopo l'ingresso del Libro quarto si veda il blocco 38.)</w:t>
      </w:r>
    </w:p>
    <w:p>
      <w:pPr>
        <w:spacing w:after="120" w:line="276"/>
        <w:jc w:val="both"/>
      </w:pPr>
      <w:r>
        <w:rPr>
          <w:rFonts w:ascii="Barlow Semi Condensed" w:cs="Barlow Semi Condensed" w:eastAsia="Barlow Semi Condensed" w:hAnsi="Barlow Semi Condensed"/>
          <w:b/>
          <w:bCs/>
          <w:sz w:val="24"/>
          <w:szCs w:val="24"/>
        </w:rPr>
        <w:t xml:space="preserve">995 · L'esperimento di rimozione.</w:t>
      </w:r>
      <w:r>
        <w:rPr>
          <w:rFonts w:ascii="Barlow Semi Condensed" w:cs="Barlow Semi Condensed" w:eastAsia="Barlow Semi Condensed" w:hAnsi="Barlow Semi Condensed"/>
          <w:sz w:val="24"/>
          <w:szCs w:val="24"/>
        </w:rPr>
        <w:t xml:space="preserve"> Si tolga la tesi di continuità e si rilegga l'opera. Restano le date verificate, i depositi societari citati con la loro sede, i pareri e le risoluzioni internazionali, i verbali di una commissione per la verità, le divergenze fra biografi riportate senza scioglierle, e le righe che dichiarano di non aver trovato. Se ciò che resta è più solido di ciò che è stato tolto, l'opera ha funzionato.</w:t>
      </w:r>
    </w:p>
    <w:p>
      <w:pPr>
        <w:spacing w:after="120" w:line="276"/>
        <w:jc w:val="both"/>
      </w:pPr>
      <w:r>
        <w:rPr>
          <w:rFonts w:ascii="Barlow Semi Condensed" w:cs="Barlow Semi Condensed" w:eastAsia="Barlow Semi Condensed" w:hAnsi="Barlow Semi Condensed"/>
          <w:b/>
          <w:bCs/>
          <w:sz w:val="24"/>
          <w:szCs w:val="24"/>
        </w:rPr>
        <w:t xml:space="preserve">996 · Gli Stati Zero come lascito.</w:t>
      </w:r>
      <w:r>
        <w:rPr>
          <w:rFonts w:ascii="Barlow Semi Condensed" w:cs="Barlow Semi Condensed" w:eastAsia="Barlow Semi Condensed" w:hAnsi="Barlow Semi Condensed"/>
          <w:sz w:val="24"/>
          <w:szCs w:val="24"/>
        </w:rPr>
        <w:t xml:space="preserve"> Il risultato più durevole di quest'opera non è un nesso ma un catasto di assenze: le sedi interrogate, i fondi spogliati, le carte che non c'erano. Un catasto di assenze si eredita davvero, perché il ricercatore successivo non ripete le ricerche già fallite e comincia dove questa si è fermata. È l'unica forma di trasmissione che questo lavoro rivendica, e riguarda documenti, non persone.</w:t>
      </w:r>
    </w:p>
    <w:p>
      <w:pPr>
        <w:spacing w:after="120" w:line="276"/>
        <w:jc w:val="both"/>
      </w:pPr>
      <w:r>
        <w:rPr>
          <w:rFonts w:ascii="Barlow Semi Condensed" w:cs="Barlow Semi Condensed" w:eastAsia="Barlow Semi Condensed" w:hAnsi="Barlow Semi Condensed"/>
          <w:b/>
          <w:bCs/>
          <w:sz w:val="24"/>
          <w:szCs w:val="24"/>
        </w:rPr>
        <w:t xml:space="preserve">997 · Le divergenze restano aperte.</w:t>
      </w:r>
      <w:r>
        <w:rPr>
          <w:rFonts w:ascii="Barlow Semi Condensed" w:cs="Barlow Semi Condensed" w:eastAsia="Barlow Semi Condensed" w:hAnsi="Barlow Semi Condensed"/>
          <w:sz w:val="24"/>
          <w:szCs w:val="24"/>
        </w:rPr>
        <w:t xml:space="preserve"> Tre divergenze attraversano quest'opera e nessuna è stata sciolta: la vicenda zambiana nelle sue tre versioni; la funzione dell'uranio namibiano; la natura del gruppo fotografato nel 2007. Lasciarle aperte non è indecisione, è la sola forma onesta di registrazione quando le fonti dicono cose diverse e nessuna prevale per rango. Chi le sciogliesse a favore della versione più utile alla tesi avrebbe smesso di fare ricerca senza accorgersene.</w:t>
      </w:r>
    </w:p>
    <w:p>
      <w:pPr>
        <w:spacing w:after="120" w:line="276"/>
        <w:jc w:val="both"/>
      </w:pPr>
      <w:r>
        <w:rPr>
          <w:rFonts w:ascii="Barlow Semi Condensed" w:cs="Barlow Semi Condensed" w:eastAsia="Barlow Semi Condensed" w:hAnsi="Barlow Semi Condensed"/>
          <w:b/>
          <w:bCs/>
          <w:sz w:val="24"/>
          <w:szCs w:val="24"/>
        </w:rPr>
        <w:t xml:space="preserve">998 · Una chiave si dichiara, non si dimostra.</w:t>
      </w:r>
      <w:r>
        <w:rPr>
          <w:rFonts w:ascii="Barlow Semi Condensed" w:cs="Barlow Semi Condensed" w:eastAsia="Barlow Semi Condensed" w:hAnsi="Barlow Semi Condensed"/>
          <w:sz w:val="24"/>
          <w:szCs w:val="24"/>
        </w:rPr>
        <w:t xml:space="preserve"> Il vizio da nominare è la circolarità: scegliere una chiave, costruire con essa la selezione dei materiali, e poi presentare i materiali selezionati come conferma della chiave. Quest'opera evita il vizio con una rinuncia esplicita: la continuità fra il meridiano e la valle non è tesi dimostrata da alcun blocco, è la ragione per cui certi archivi sono stati interrogati anziché altri. Il lettore è libero di respingerla e di tenere i risultati.</w:t>
      </w:r>
    </w:p>
    <w:p>
      <w:pPr>
        <w:spacing w:after="120" w:line="276"/>
        <w:jc w:val="both"/>
      </w:pPr>
      <w:r>
        <w:rPr>
          <w:rFonts w:ascii="Barlow Semi Condensed" w:cs="Barlow Semi Condensed" w:eastAsia="Barlow Semi Condensed" w:hAnsi="Barlow Semi Condensed"/>
          <w:b/>
          <w:bCs/>
          <w:sz w:val="24"/>
          <w:szCs w:val="24"/>
        </w:rPr>
        <w:t xml:space="preserve">999 · Che cosa smentirebbe l'intera opera.</w:t>
      </w:r>
      <w:r>
        <w:rPr>
          <w:rFonts w:ascii="Barlow Semi Condensed" w:cs="Barlow Semi Condensed" w:eastAsia="Barlow Semi Condensed" w:hAnsi="Barlow Semi Condensed"/>
          <w:sz w:val="24"/>
          <w:szCs w:val="24"/>
        </w:rPr>
        <w:t xml:space="preserve"> L'opera si dichiara falsificabile in un punto solo e preciso: se emergesse un documento di provenienza che nomini una controparte e attesti un rapporto diretto — un atto d'ufficio, un contratto, una lettera protocollata — fra apparati del regime sudafricano e la formazione delle imprese californiane qui trattate, la cautela di questa serie andrebbe rivista al piano uno. Nessun blocco lo ha trovato. Trovarlo sarebbe un progresso, non una sconfitta.</w:t>
      </w:r>
    </w:p>
    <w:p>
      <w:pPr>
        <w:spacing w:after="120" w:line="276"/>
        <w:jc w:val="both"/>
      </w:pPr>
      <w:r>
        <w:rPr>
          <w:rFonts w:ascii="Barlow Semi Condensed" w:cs="Barlow Semi Condensed" w:eastAsia="Barlow Semi Condensed" w:hAnsi="Barlow Semi Condensed"/>
          <w:b/>
          <w:bCs/>
          <w:sz w:val="24"/>
          <w:szCs w:val="24"/>
        </w:rPr>
        <w:t xml:space="preserve">1000 · Il limite, e ciò che resta.</w:t>
      </w:r>
      <w:r>
        <w:rPr>
          <w:rFonts w:ascii="Barlow Semi Condensed" w:cs="Barlow Semi Condensed" w:eastAsia="Barlow Semi Condensed" w:hAnsi="Barlow Semi Condensed"/>
          <w:sz w:val="24"/>
          <w:szCs w:val="24"/>
        </w:rPr>
        <w:t xml:space="preserve"> Restano i documenti, che c'erano prima di questa lettura e ci saranno dopo; restano i gradi dichiarati; restano gli Stati Zero, che sono il vero patrimonio del lavoro. Cade, se cade, soltanto la chiave del titolo, e cadendo non porta via nulla. Una responsabilità non si trasmette per sangue, per passaporto o per luogo di nascita. La colpa non si eredita. Il fascicolo resta aperto, e nessun nome vi è iscritto.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quest'opera non ha stabilito</w:t>
      </w:r>
    </w:p>
    <w:p>
      <w:pPr>
        <w:spacing w:after="120" w:line="276"/>
        <w:jc w:val="both"/>
      </w:pPr>
      <w:r>
        <w:rPr>
          <w:rFonts w:ascii="Barlow Semi Condensed" w:cs="Barlow Semi Condensed" w:eastAsia="Barlow Semi Condensed" w:hAnsi="Barlow Semi Condensed"/>
          <w:sz w:val="24"/>
          <w:szCs w:val="24"/>
        </w:rPr>
        <w:t xml:space="preserve">Va detto con la stessa nettezza dei mille bersagli, e va detto prima della riga di chiusura, perché è la parte che il lettore frettoloso salta e il committente ha diritto di trovare per prima. Vale qui più che in ogni altra opera del corpus, perché qui i soggetti sono </w:t>
      </w:r>
      <w:r>
        <w:rPr>
          <w:rFonts w:ascii="Barlow Semi Condensed" w:cs="Barlow Semi Condensed" w:eastAsia="Barlow Semi Condensed" w:hAnsi="Barlow Semi Condensed"/>
          <w:b/>
          <w:bCs/>
          <w:sz w:val="24"/>
          <w:szCs w:val="24"/>
        </w:rPr>
        <w:t xml:space="preserve">vivi</w:t>
      </w:r>
      <w:r>
        <w:rPr>
          <w:rFonts w:ascii="Barlow Semi Condensed" w:cs="Barlow Semi Condensed" w:eastAsia="Barlow Semi Condensed" w:hAnsi="Barlow Semi Condensed"/>
          <w:sz w:val="24"/>
          <w:szCs w:val="24"/>
        </w:rPr>
        <w:t xml:space="preserve"> e possono essere danneggiati da una lettura sbagliata di ciò che segue.</w:t>
      </w:r>
    </w:p>
    <w:p>
      <w:pPr>
        <w:spacing w:after="120" w:line="276"/>
        <w:jc w:val="both"/>
      </w:pPr>
      <w:r>
        <w:rPr>
          <w:rFonts w:ascii="Barlow Semi Condensed" w:cs="Barlow Semi Condensed" w:eastAsia="Barlow Semi Condensed" w:hAnsi="Barlow Semi Condensed"/>
          <w:b/>
          <w:bCs/>
          <w:sz w:val="24"/>
          <w:szCs w:val="24"/>
        </w:rPr>
        <w:t xml:space="preserve">Non è stabilito che la continuità esista.</w:t>
      </w:r>
      <w:r>
        <w:rPr>
          <w:rFonts w:ascii="Barlow Semi Condensed" w:cs="Barlow Semi Condensed" w:eastAsia="Barlow Semi Condensed" w:hAnsi="Barlow Semi Condensed"/>
          <w:sz w:val="24"/>
          <w:szCs w:val="24"/>
        </w:rPr>
        <w:t xml:space="preserve"> Era l'ipotesi da mettere alla prova, e il risultato della prova è che essa </w:t>
      </w:r>
      <w:r>
        <w:rPr>
          <w:rFonts w:ascii="Barlow Semi Condensed" w:cs="Barlow Semi Condensed" w:eastAsia="Barlow Semi Condensed" w:hAnsi="Barlow Semi Condensed"/>
          <w:b/>
          <w:bCs/>
          <w:sz w:val="24"/>
          <w:szCs w:val="24"/>
        </w:rPr>
        <w:t xml:space="preserve">regge sui fatti biografici e non regge sui documenti di trasmissione</w:t>
      </w:r>
      <w:r>
        <w:rPr>
          <w:rFonts w:ascii="Barlow Semi Condensed" w:cs="Barlow Semi Condensed" w:eastAsia="Barlow Semi Condensed" w:hAnsi="Barlow Semi Condensed"/>
          <w:sz w:val="24"/>
          <w:szCs w:val="24"/>
        </w:rPr>
        <w:t xml:space="preserve">. Che alcune delle persone qui nominate siano nate o cresciute nell'Africa australe sotto un regime segregazionista è un fatto pubblico, verificabile, e verificato. Che da questo discenda una trasmissione di dottrina, di metodo o di intenzione è un'ipotesi che </w:t>
      </w:r>
      <w:r>
        <w:rPr>
          <w:rFonts w:ascii="Barlow Semi Condensed" w:cs="Barlow Semi Condensed" w:eastAsia="Barlow Semi Condensed" w:hAnsi="Barlow Semi Condensed"/>
          <w:b/>
          <w:bCs/>
          <w:sz w:val="24"/>
          <w:szCs w:val="24"/>
        </w:rPr>
        <w:t xml:space="preserve">nessun documento di provenienza reperito sostiene</w:t>
      </w:r>
      <w:r>
        <w:rPr>
          <w:rFonts w:ascii="Barlow Semi Condensed" w:cs="Barlow Semi Condensed" w:eastAsia="Barlow Semi Condensed" w:hAnsi="Barlow Semi Condensed"/>
          <w:sz w:val="24"/>
          <w:szCs w:val="24"/>
        </w:rPr>
        <w:t xml:space="preserve">. Chi volesse chiuderla dovrà portare quel documento; questa opera ha detto in quali sedi cercarlo, ed è il massimo che poteva fare.</w:t>
      </w:r>
    </w:p>
    <w:p>
      <w:pPr>
        <w:spacing w:after="120" w:line="276"/>
        <w:jc w:val="both"/>
      </w:pPr>
      <w:r>
        <w:rPr>
          <w:rFonts w:ascii="Barlow Semi Condensed" w:cs="Barlow Semi Condensed" w:eastAsia="Barlow Semi Condensed" w:hAnsi="Barlow Semi Condensed"/>
          <w:b/>
          <w:bCs/>
          <w:sz w:val="24"/>
          <w:szCs w:val="24"/>
        </w:rPr>
        <w:t xml:space="preserve">Non è stabilito nulla per via di parentela.</w:t>
      </w:r>
      <w:r>
        <w:rPr>
          <w:rFonts w:ascii="Barlow Semi Condensed" w:cs="Barlow Semi Condensed" w:eastAsia="Barlow Semi Condensed" w:hAnsi="Barlow Semi Condensed"/>
          <w:sz w:val="24"/>
          <w:szCs w:val="24"/>
        </w:rPr>
        <w:t xml:space="preserve"> Il legame fra Roelof Botha e Pik Botha è documentato ed è piano 1 — ma è piano 1 </w:t>
      </w:r>
      <w:r>
        <w:rPr>
          <w:rFonts w:ascii="Barlow Semi Condensed" w:cs="Barlow Semi Condensed" w:eastAsia="Barlow Semi Condensed" w:hAnsi="Barlow Semi Condensed"/>
          <w:b/>
          <w:bCs/>
          <w:sz w:val="24"/>
          <w:szCs w:val="24"/>
        </w:rPr>
        <w:t xml:space="preserve">come parentela</w:t>
      </w:r>
      <w:r>
        <w:rPr>
          <w:rFonts w:ascii="Barlow Semi Condensed" w:cs="Barlow Semi Condensed" w:eastAsia="Barlow Semi Condensed" w:hAnsi="Barlow Semi Condensed"/>
          <w:sz w:val="24"/>
          <w:szCs w:val="24"/>
        </w:rPr>
        <w:t xml:space="preserve">, non come nesso di condotta, e i due statuti non vanno mai confusi. Un nipote non è responsabile della politica estera di suo nonno, come un nonno non è responsabile degli investimenti di suo nipote. La quarta serie esiste per stabilire il fatto genealogico; la tredicesima esiste per impedirne l'abuso.</w:t>
      </w:r>
    </w:p>
    <w:p>
      <w:pPr>
        <w:spacing w:after="120" w:line="276"/>
        <w:jc w:val="both"/>
      </w:pPr>
      <w:r>
        <w:rPr>
          <w:rFonts w:ascii="Barlow Semi Condensed" w:cs="Barlow Semi Condensed" w:eastAsia="Barlow Semi Condensed" w:hAnsi="Barlow Semi Condensed"/>
          <w:b/>
          <w:bCs/>
          <w:sz w:val="24"/>
          <w:szCs w:val="24"/>
        </w:rPr>
        <w:t xml:space="preserve">Non è stabilito che un'opinione si erediti.</w:t>
      </w:r>
      <w:r>
        <w:rPr>
          <w:rFonts w:ascii="Barlow Semi Condensed" w:cs="Barlow Semi Condensed" w:eastAsia="Barlow Semi Condensed" w:hAnsi="Barlow Semi Condensed"/>
          <w:sz w:val="24"/>
          <w:szCs w:val="24"/>
        </w:rPr>
        <w:t xml:space="preserve"> Le posizioni pubblicamente espresse da Joshua Haldeman sono documentate e sono ripugnanti. </w:t>
      </w:r>
      <w:r>
        <w:rPr>
          <w:rFonts w:ascii="Barlow Semi Condensed" w:cs="Barlow Semi Condensed" w:eastAsia="Barlow Semi Condensed" w:hAnsi="Barlow Semi Condensed"/>
          <w:b/>
          <w:bCs/>
          <w:sz w:val="24"/>
          <w:szCs w:val="24"/>
        </w:rPr>
        <w:t xml:space="preserve">Non appartengono a nessuno dei suoi discendenti</w:t>
      </w:r>
      <w:r>
        <w:rPr>
          <w:rFonts w:ascii="Barlow Semi Condensed" w:cs="Barlow Semi Condensed" w:eastAsia="Barlow Semi Condensed" w:hAnsi="Barlow Semi Condensed"/>
          <w:sz w:val="24"/>
          <w:szCs w:val="24"/>
        </w:rPr>
        <w:t xml:space="preserve"> finché non siano da questi sottoscritte, e nessun blocco di quest'opera le attribuisce ad alcuno. Chi le usasse come argomento contro un vivente avrebbe compiuto esattamente l'inferenza che l'intera architettura dei tre piani serve a rendere impossibile.</w:t>
      </w:r>
    </w:p>
    <w:p>
      <w:pPr>
        <w:spacing w:after="120" w:line="276"/>
        <w:jc w:val="both"/>
      </w:pPr>
      <w:r>
        <w:rPr>
          <w:rFonts w:ascii="Barlow Semi Condensed" w:cs="Barlow Semi Condensed" w:eastAsia="Barlow Semi Condensed" w:hAnsi="Barlow Semi Condensed"/>
          <w:b/>
          <w:bCs/>
          <w:sz w:val="24"/>
          <w:szCs w:val="24"/>
        </w:rPr>
        <w:t xml:space="preserve">Non è stabilito che «la PayPal Mafia» abbia fatto alcunché.</w:t>
      </w:r>
      <w:r>
        <w:rPr>
          <w:rFonts w:ascii="Barlow Semi Condensed" w:cs="Barlow Semi Condensed" w:eastAsia="Barlow Semi Condensed" w:hAnsi="Barlow Semi Condensed"/>
          <w:sz w:val="24"/>
          <w:szCs w:val="24"/>
        </w:rPr>
        <w:t xml:space="preserve"> Non è un ente: è una locuzione giornalistica del novembre 2007, nata da una fotografia alla quale uno dei due nomi centrali della domanda del committente non partecipò. Un gruppo che non ha atto costitutivo non ha volontà, non ha delibere e non ha condotte. Le persone sì, una per una, e per fatti documentati.</w:t>
      </w:r>
    </w:p>
    <w:p>
      <w:pPr>
        <w:spacing w:after="120" w:line="276"/>
        <w:jc w:val="both"/>
      </w:pPr>
      <w:r>
        <w:rPr>
          <w:rFonts w:ascii="Barlow Semi Condensed" w:cs="Barlow Semi Condensed" w:eastAsia="Barlow Semi Condensed" w:hAnsi="Barlow Semi Condensed"/>
          <w:b/>
          <w:bCs/>
          <w:sz w:val="24"/>
          <w:szCs w:val="24"/>
        </w:rPr>
        <w:t xml:space="preserve">Non è stabilito che la somiglianza fra due ambienti provi un passaggio fra loro.</w:t>
      </w:r>
      <w:r>
        <w:rPr>
          <w:rFonts w:ascii="Barlow Semi Condensed" w:cs="Barlow Semi Condensed" w:eastAsia="Barlow Semi Condensed" w:hAnsi="Barlow Semi Condensed"/>
          <w:sz w:val="24"/>
          <w:szCs w:val="24"/>
        </w:rPr>
        <w:t xml:space="preserve"> È il risultato metodologico più importante dell'opera e discende dalla distinzione fra omologia e analogia: che un ordinamento fondato sulla separazione e una cultura d'impresa fondata sull'uscita condividano qualche forma non prova che l'una discenda dall'altro. La forma condivisa può essere una convergenza indipendente in ambienti simili — piano 2 — e finché il documento manca, piano 2 resta.</w:t>
      </w:r>
    </w:p>
    <w:p>
      <w:pPr>
        <w:spacing w:after="120" w:line="276"/>
        <w:jc w:val="both"/>
      </w:pPr>
      <w:r>
        <w:rPr>
          <w:rFonts w:ascii="Barlow Semi Condensed" w:cs="Barlow Semi Condensed" w:eastAsia="Barlow Semi Condensed" w:hAnsi="Barlow Semi Condensed"/>
          <w:b/>
          <w:bCs/>
          <w:sz w:val="24"/>
          <w:szCs w:val="24"/>
        </w:rPr>
        <w:t xml:space="preserve">E non è stabilito che la lente fosse necessaria.</w:t>
      </w:r>
      <w:r>
        <w:rPr>
          <w:rFonts w:ascii="Barlow Semi Condensed" w:cs="Barlow Semi Condensed" w:eastAsia="Barlow Semi Condensed" w:hAnsi="Barlow Semi Condensed"/>
          <w:sz w:val="24"/>
          <w:szCs w:val="24"/>
        </w:rPr>
        <w:t xml:space="preserve"> Se domani si togliesse la tesi di continuità da queste pagine, resterebbero gli atti, i gradi, le sedi d'archivio e gli Stati Zero: cioè tutto ciò che conta. </w:t>
      </w:r>
      <w:r>
        <w:rPr>
          <w:rFonts w:ascii="Barlow Semi Condensed" w:cs="Barlow Semi Condensed" w:eastAsia="Barlow Semi Condensed" w:hAnsi="Barlow Semi Condensed"/>
          <w:b/>
          <w:bCs/>
          <w:sz w:val="24"/>
          <w:szCs w:val="24"/>
        </w:rPr>
        <w:t xml:space="preserve">Una chiave interpretativa si dichiara in copertina e non si dimostra col testo</w:t>
      </w:r>
      <w:r>
        <w:rPr>
          <w:rFonts w:ascii="Barlow Semi Condensed" w:cs="Barlow Semi Condensed" w:eastAsia="Barlow Semi Condensed" w:hAnsi="Barlow Semi Condensed"/>
          <w:sz w:val="24"/>
          <w:szCs w:val="24"/>
        </w:rPr>
        <w:t xml:space="preserve"> — e la prova che questa è stata usata bene è che il testo regge anche senza di essa, e che chi la volesse rovesciare troverebbe qui, già scritti, i bersagli per farlo.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 M — Le verifiche</w:t>
      </w:r>
    </w:p>
    <w:p>
      <w:pPr>
        <w:spacing w:after="120" w:line="276"/>
        <w:jc w:val="both"/>
      </w:pPr>
      <w:r>
        <w:rPr>
          <w:rFonts w:ascii="Barlow Semi Condensed" w:cs="Barlow Semi Condensed" w:eastAsia="Barlow Semi Condensed" w:hAnsi="Barlow Semi Condensed"/>
          <w:sz w:val="24"/>
          <w:szCs w:val="24"/>
        </w:rPr>
        <w:t xml:space="preserve">I fatti su cui quest'opera poggia sono stati sottoposti a </w:t>
      </w:r>
      <w:r>
        <w:rPr>
          <w:rFonts w:ascii="Barlow Semi Condensed" w:cs="Barlow Semi Condensed" w:eastAsia="Barlow Semi Condensed" w:hAnsi="Barlow Semi Condensed"/>
          <w:b/>
          <w:bCs/>
          <w:sz w:val="24"/>
          <w:szCs w:val="24"/>
        </w:rPr>
        <w:t xml:space="preserve">verifica indipendente su fonti esterne</w:t>
      </w:r>
      <w:r>
        <w:rPr>
          <w:rFonts w:ascii="Barlow Semi Condensed" w:cs="Barlow Semi Condensed" w:eastAsia="Barlow Semi Condensed" w:hAnsi="Barlow Semi Condensed"/>
          <w:sz w:val="24"/>
          <w:szCs w:val="24"/>
        </w:rPr>
        <w:t xml:space="preserve">, prima e durante la stesura. Si registrano qui gli esiti, comprese — anzi soprattutto — le rettifiche, secondo la regola del corpus che corregge per nota e non riscrive in silenzio.</w:t>
      </w:r>
    </w:p>
    <w:p>
      <w:pPr>
        <w:pStyle w:val="Heading3"/>
        <w:spacing w:after="80" w:before="160"/>
      </w:pPr>
      <w:r>
        <w:rPr>
          <w:rFonts w:ascii="Barlow Semi Condensed" w:cs="Barlow Semi Condensed" w:eastAsia="Barlow Semi Condensed" w:hAnsi="Barlow Semi Condensed"/>
          <w:sz w:val="24"/>
          <w:szCs w:val="24"/>
        </w:rPr>
        <w:t xml:space="preserve">M-1 · Gli ancoraggi confermati</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parentela fra </w:t>
      </w:r>
      <w:r>
        <w:rPr>
          <w:rFonts w:ascii="Barlow Semi Condensed" w:cs="Barlow Semi Condensed" w:eastAsia="Barlow Semi Condensed" w:hAnsi="Barlow Semi Condensed"/>
          <w:b/>
          <w:bCs/>
          <w:sz w:val="24"/>
          <w:szCs w:val="24"/>
        </w:rPr>
        <w:t xml:space="preserve">Roelof Botha</w:t>
      </w:r>
      <w:r>
        <w:rPr>
          <w:rFonts w:ascii="Barlow Semi Condensed" w:cs="Barlow Semi Condensed" w:eastAsia="Barlow Semi Condensed" w:hAnsi="Barlow Semi Condensed"/>
          <w:sz w:val="24"/>
          <w:szCs w:val="24"/>
        </w:rPr>
        <w:t xml:space="preserve">, direttore finanziario di PayPal e poi socio e managing partner di Sequoia Capital, e </w:t>
      </w:r>
      <w:r>
        <w:rPr>
          <w:rFonts w:ascii="Barlow Semi Condensed" w:cs="Barlow Semi Condensed" w:eastAsia="Barlow Semi Condensed" w:hAnsi="Barlow Semi Condensed"/>
          <w:b/>
          <w:bCs/>
          <w:sz w:val="24"/>
          <w:szCs w:val="24"/>
        </w:rPr>
        <w:t xml:space="preserve">Pik Botha</w:t>
      </w:r>
      <w:r>
        <w:rPr>
          <w:rFonts w:ascii="Barlow Semi Condensed" w:cs="Barlow Semi Condensed" w:eastAsia="Barlow Semi Condensed" w:hAnsi="Barlow Semi Condensed"/>
          <w:sz w:val="24"/>
          <w:szCs w:val="24"/>
        </w:rPr>
        <w:t xml:space="preserve"> — Roelof Frederik Botha, ministro degli Esteri sudafricano dal 1977 al 1994, il più longevo della storia del Paese, poi ministro delle Miniere e dell'Energia nel primo governo Mandela. È il solo </w:t>
      </w:r>
      <w:r>
        <w:rPr>
          <w:rFonts w:ascii="Barlow Semi Condensed" w:cs="Barlow Semi Condensed" w:eastAsia="Barlow Semi Condensed" w:hAnsi="Barlow Semi Condensed"/>
          <w:b/>
          <w:bCs/>
          <w:sz w:val="24"/>
          <w:szCs w:val="24"/>
        </w:rPr>
        <w:t xml:space="preserve">piano 1</w:t>
      </w:r>
      <w:r>
        <w:rPr>
          <w:rFonts w:ascii="Barlow Semi Condensed" w:cs="Barlow Semi Condensed" w:eastAsia="Barlow Semi Condensed" w:hAnsi="Barlow Semi Condensed"/>
          <w:sz w:val="24"/>
          <w:szCs w:val="24"/>
        </w:rPr>
        <w:t xml:space="preserve"> dell'intera opera, e resta parentela: non nesso di condotta.</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la permanenza della famiglia </w:t>
      </w:r>
      <w:r>
        <w:rPr>
          <w:rFonts w:ascii="Barlow Semi Condensed" w:cs="Barlow Semi Condensed" w:eastAsia="Barlow Semi Condensed" w:hAnsi="Barlow Semi Condensed"/>
          <w:b/>
          <w:bCs/>
          <w:sz w:val="24"/>
          <w:szCs w:val="24"/>
        </w:rPr>
        <w:t xml:space="preserve">Thiel</w:t>
      </w:r>
      <w:r>
        <w:rPr>
          <w:rFonts w:ascii="Barlow Semi Condensed" w:cs="Barlow Semi Condensed" w:eastAsia="Barlow Semi Condensed" w:hAnsi="Barlow Semi Condensed"/>
          <w:sz w:val="24"/>
          <w:szCs w:val="24"/>
        </w:rPr>
        <w:t xml:space="preserve"> a Swakopmund, nell'Africa del Sud-Ovest allora amministrata dal Sud Africa, negli anni della costruzione della miniera di uranio di Rössing, col padre ingegnere chimico impiegato da un'impresa del cantiere. </w:t>
      </w:r>
      <w:r>
        <w:rPr>
          <w:rFonts w:ascii="Barlow Semi Condensed" w:cs="Barlow Semi Condensed" w:eastAsia="Barlow Semi Condensed" w:hAnsi="Barlow Semi Condensed"/>
          <w:b/>
          <w:bCs/>
          <w:sz w:val="24"/>
          <w:szCs w:val="24"/>
        </w:rPr>
        <w:t xml:space="preserve">Non confermata</w:t>
      </w:r>
      <w:r>
        <w:rPr>
          <w:rFonts w:ascii="Barlow Semi Condensed" w:cs="Barlow Semi Condensed" w:eastAsia="Barlow Semi Condensed" w:hAnsi="Barlow Semi Condensed"/>
          <w:sz w:val="24"/>
          <w:szCs w:val="24"/>
        </w:rPr>
        <w:t xml:space="preserve"> — e qualificata come </w:t>
      </w:r>
      <w:r>
        <w:rPr>
          <w:rFonts w:ascii="Barlow Semi Condensed" w:cs="Barlow Semi Condensed" w:eastAsia="Barlow Semi Condensed" w:hAnsi="Barlow Semi Condensed"/>
          <w:b/>
          <w:bCs/>
          <w:sz w:val="24"/>
          <w:szCs w:val="24"/>
        </w:rPr>
        <w:t xml:space="preserve">piano 3</w:t>
      </w:r>
      <w:r>
        <w:rPr>
          <w:rFonts w:ascii="Barlow Semi Condensed" w:cs="Barlow Semi Condensed" w:eastAsia="Barlow Semi Condensed" w:hAnsi="Barlow Semi Condensed"/>
          <w:sz w:val="24"/>
          <w:szCs w:val="24"/>
        </w:rPr>
        <w:t xml:space="preserve"> — la tesi, circolante su fonti militanti, che Rössing servisse il programma nucleare militare sudafricano: circola in forma pressoché identica su decine di siti senza che alcuno produca un documento.</w:t>
      </w:r>
    </w:p>
    <w:p>
      <w:pPr>
        <w:spacing w:after="120" w:line="276"/>
        <w:jc w:val="both"/>
      </w:pPr>
      <w:r>
        <w:rPr>
          <w:rFonts w:ascii="Barlow Semi Condensed" w:cs="Barlow Semi Condensed" w:eastAsia="Barlow Semi Condensed" w:hAnsi="Barlow Semi Condensed"/>
          <w:b/>
          <w:bCs/>
          <w:sz w:val="24"/>
          <w:szCs w:val="24"/>
        </w:rPr>
        <w:t xml:space="preserve">Confermate</w:t>
      </w:r>
      <w:r>
        <w:rPr>
          <w:rFonts w:ascii="Barlow Semi Condensed" w:cs="Barlow Semi Condensed" w:eastAsia="Barlow Semi Condensed" w:hAnsi="Barlow Semi Condensed"/>
          <w:sz w:val="24"/>
          <w:szCs w:val="24"/>
        </w:rPr>
        <w:t xml:space="preserve"> l'adesione di </w:t>
      </w:r>
      <w:r>
        <w:rPr>
          <w:rFonts w:ascii="Barlow Semi Condensed" w:cs="Barlow Semi Condensed" w:eastAsia="Barlow Semi Condensed" w:hAnsi="Barlow Semi Condensed"/>
          <w:b/>
          <w:bCs/>
          <w:sz w:val="24"/>
          <w:szCs w:val="24"/>
        </w:rPr>
        <w:t xml:space="preserve">Joshua Norman Haldeman</w:t>
      </w:r>
      <w:r>
        <w:rPr>
          <w:rFonts w:ascii="Barlow Semi Condensed" w:cs="Barlow Semi Condensed" w:eastAsia="Barlow Semi Condensed" w:hAnsi="Barlow Semi Condensed"/>
          <w:sz w:val="24"/>
          <w:szCs w:val="24"/>
        </w:rPr>
        <w:t xml:space="preserve"> al movimento Technocracy, l'emigrazione in Sud Africa nel 1950 e il sostegno pubblico all'apartheid, con posizioni razziste e antisemite ripetutamente espresse; fonte citabile, l'inchiesta della CBC. </w:t>
      </w:r>
      <w:r>
        <w:rPr>
          <w:rFonts w:ascii="Barlow Semi Condensed" w:cs="Barlow Semi Condensed" w:eastAsia="Barlow Semi Condensed" w:hAnsi="Barlow Semi Condensed"/>
          <w:b/>
          <w:bCs/>
          <w:sz w:val="24"/>
          <w:szCs w:val="24"/>
        </w:rPr>
        <w:t xml:space="preserve">Stato Zero verificato</w:t>
      </w:r>
      <w:r>
        <w:rPr>
          <w:rFonts w:ascii="Barlow Semi Condensed" w:cs="Barlow Semi Condensed" w:eastAsia="Barlow Semi Condensed" w:hAnsi="Barlow Semi Condensed"/>
          <w:sz w:val="24"/>
          <w:szCs w:val="24"/>
        </w:rPr>
        <w:t xml:space="preserve"> sull'appartenenza a partiti nazisti: nessuna prova reperita — che non è un'assoluzione morale né un'accusa smentita a metà.</w:t>
      </w:r>
    </w:p>
    <w:p>
      <w:pPr>
        <w:spacing w:after="120" w:line="276"/>
        <w:jc w:val="both"/>
      </w:pPr>
      <w:r>
        <w:rPr>
          <w:rFonts w:ascii="Barlow Semi Condensed" w:cs="Barlow Semi Condensed" w:eastAsia="Barlow Semi Condensed" w:hAnsi="Barlow Semi Condensed"/>
          <w:b/>
          <w:bCs/>
          <w:sz w:val="24"/>
          <w:szCs w:val="24"/>
        </w:rPr>
        <w:t xml:space="preserve">Confermata</w:t>
      </w:r>
      <w:r>
        <w:rPr>
          <w:rFonts w:ascii="Barlow Semi Condensed" w:cs="Barlow Semi Condensed" w:eastAsia="Barlow Semi Condensed" w:hAnsi="Barlow Semi Condensed"/>
          <w:sz w:val="24"/>
          <w:szCs w:val="24"/>
        </w:rPr>
        <w:t xml:space="preserve"> l'origine giornalistica della locuzione </w:t>
      </w:r>
      <w:r>
        <w:rPr>
          <w:rFonts w:ascii="Barlow Semi Condensed" w:cs="Barlow Semi Condensed" w:eastAsia="Barlow Semi Condensed" w:hAnsi="Barlow Semi Condensed"/>
          <w:b/>
          <w:bCs/>
          <w:sz w:val="24"/>
          <w:szCs w:val="24"/>
        </w:rPr>
        <w:t xml:space="preserve">«PayPal Mafia»</w:t>
      </w:r>
      <w:r>
        <w:rPr>
          <w:rFonts w:ascii="Barlow Semi Condensed" w:cs="Barlow Semi Condensed" w:eastAsia="Barlow Semi Condensed" w:hAnsi="Barlow Semi Condensed"/>
          <w:sz w:val="24"/>
          <w:szCs w:val="24"/>
        </w:rPr>
        <w:t xml:space="preserve">: un servizio di copertina di </w:t>
      </w:r>
      <w:r>
        <w:rPr>
          <w:rFonts w:ascii="Barlow Semi Condensed" w:cs="Barlow Semi Condensed" w:eastAsia="Barlow Semi Condensed" w:hAnsi="Barlow Semi Condensed"/>
          <w:i/>
          <w:iCs/>
          <w:sz w:val="24"/>
          <w:szCs w:val="24"/>
        </w:rPr>
        <w:t xml:space="preserve">Fortune</w:t>
      </w:r>
      <w:r>
        <w:rPr>
          <w:rFonts w:ascii="Barlow Semi Condensed" w:cs="Barlow Semi Condensed" w:eastAsia="Barlow Semi Condensed" w:hAnsi="Barlow Semi Condensed"/>
          <w:sz w:val="24"/>
          <w:szCs w:val="24"/>
        </w:rPr>
        <w:t xml:space="preserve"> del novembre 2007, con fotografia di gruppo al Tosca di San Francisco. </w:t>
      </w:r>
      <w:r>
        <w:rPr>
          <w:rFonts w:ascii="Barlow Semi Condensed" w:cs="Barlow Semi Condensed" w:eastAsia="Barlow Semi Condensed" w:hAnsi="Barlow Semi Condensed"/>
          <w:b/>
          <w:bCs/>
          <w:sz w:val="24"/>
          <w:szCs w:val="24"/>
        </w:rPr>
        <w:t xml:space="preserve">Elon Musk non partecipò</w:t>
      </w:r>
      <w:r>
        <w:rPr>
          <w:rFonts w:ascii="Barlow Semi Condensed" w:cs="Barlow Semi Condensed" w:eastAsia="Barlow Semi Condensed" w:hAnsi="Barlow Semi Condensed"/>
          <w:sz w:val="24"/>
          <w:szCs w:val="24"/>
        </w:rPr>
        <w:t xml:space="preserve"> a quella fotografia. Non è un ente con atto costitutivo.</w:t>
      </w:r>
    </w:p>
    <w:p>
      <w:pPr>
        <w:spacing w:after="120" w:line="276"/>
        <w:jc w:val="both"/>
      </w:pPr>
      <w:r>
        <w:rPr>
          <w:rFonts w:ascii="Barlow Semi Condensed" w:cs="Barlow Semi Condensed" w:eastAsia="Barlow Semi Condensed" w:hAnsi="Barlow Semi Condensed"/>
          <w:b/>
          <w:bCs/>
          <w:sz w:val="24"/>
          <w:szCs w:val="24"/>
        </w:rPr>
        <w:t xml:space="preserve">Divergenza non sciolta</w:t>
      </w:r>
      <w:r>
        <w:rPr>
          <w:rFonts w:ascii="Barlow Semi Condensed" w:cs="Barlow Semi Condensed" w:eastAsia="Barlow Semi Condensed" w:hAnsi="Barlow Semi Condensed"/>
          <w:sz w:val="24"/>
          <w:szCs w:val="24"/>
        </w:rPr>
        <w:t xml:space="preserve"> sulla miniera di smeraldi attribuita a Errol Musk: il padre rivendica un'attività informale in Zambia; Elon Musk ha pubblicamente negato che una miniera esistesse e ne ha chiesto la prova; il biografo Walter Isaacson descrive un'acquisizione informale di pietre grezze, non una proprietà mineraria. </w:t>
      </w:r>
      <w:r>
        <w:rPr>
          <w:rFonts w:ascii="Barlow Semi Condensed" w:cs="Barlow Semi Condensed" w:eastAsia="Barlow Semi Condensed" w:hAnsi="Barlow Semi Condensed"/>
          <w:b/>
          <w:bCs/>
          <w:sz w:val="24"/>
          <w:szCs w:val="24"/>
        </w:rPr>
        <w:t xml:space="preserve">Nessun documento di titolarità è mai emerso.</w:t>
      </w:r>
      <w:r>
        <w:rPr>
          <w:rFonts w:ascii="Barlow Semi Condensed" w:cs="Barlow Semi Condensed" w:eastAsia="Barlow Semi Condensed" w:hAnsi="Barlow Semi Condensed"/>
          <w:sz w:val="24"/>
          <w:szCs w:val="24"/>
        </w:rPr>
        <w:t xml:space="preserve"> Si riporta per intero e non si scioglie.</w:t>
      </w:r>
    </w:p>
    <w:p>
      <w:pPr>
        <w:pStyle w:val="Heading3"/>
        <w:spacing w:after="80" w:before="160"/>
      </w:pPr>
      <w:r>
        <w:rPr>
          <w:rFonts w:ascii="Barlow Semi Condensed" w:cs="Barlow Semi Condensed" w:eastAsia="Barlow Semi Condensed" w:hAnsi="Barlow Semi Condensed"/>
          <w:sz w:val="24"/>
          <w:szCs w:val="24"/>
        </w:rPr>
        <w:t xml:space="preserve">M-2 · La rettifica: la commissione Odendaal</w:t>
      </w:r>
    </w:p>
    <w:p>
      <w:pPr>
        <w:spacing w:after="120" w:line="276"/>
        <w:jc w:val="both"/>
      </w:pPr>
      <w:r>
        <w:rPr>
          <w:rFonts w:ascii="Barlow Semi Condensed" w:cs="Barlow Semi Condensed" w:eastAsia="Barlow Semi Condensed" w:hAnsi="Barlow Semi Condensed"/>
          <w:b/>
          <w:bCs/>
          <w:sz w:val="24"/>
          <w:szCs w:val="24"/>
        </w:rPr>
        <w:t xml:space="preserve">Il blocco 81 della terza serie è stato corretto in corso d'opera</w:t>
      </w:r>
      <w:r>
        <w:rPr>
          <w:rFonts w:ascii="Barlow Semi Condensed" w:cs="Barlow Semi Condensed" w:eastAsia="Barlow Semi Condensed" w:hAnsi="Barlow Semi Condensed"/>
          <w:sz w:val="24"/>
          <w:szCs w:val="24"/>
        </w:rPr>
        <w:t xml:space="preserve">, e la correzione va detta per intero perché tocca un punto di struttura.</w:t>
      </w:r>
    </w:p>
    <w:p>
      <w:pPr>
        <w:spacing w:after="120" w:line="276"/>
        <w:jc w:val="both"/>
      </w:pPr>
      <w:r>
        <w:rPr>
          <w:rFonts w:ascii="Barlow Semi Condensed" w:cs="Barlow Semi Condensed" w:eastAsia="Barlow Semi Condensed" w:hAnsi="Barlow Semi Condensed"/>
          <w:sz w:val="24"/>
          <w:szCs w:val="24"/>
        </w:rPr>
        <w:t xml:space="preserve">La stesura originaria attribuiva </w:t>
      </w:r>
      <w:r>
        <w:rPr>
          <w:rFonts w:ascii="Barlow Semi Condensed" w:cs="Barlow Semi Condensed" w:eastAsia="Barlow Semi Condensed" w:hAnsi="Barlow Semi Condensed"/>
          <w:b/>
          <w:bCs/>
          <w:sz w:val="24"/>
          <w:szCs w:val="24"/>
        </w:rPr>
        <w:t xml:space="preserve">all'amministrazione centrale</w:t>
      </w:r>
      <w:r>
        <w:rPr>
          <w:rFonts w:ascii="Barlow Semi Condensed" w:cs="Barlow Semi Condensed" w:eastAsia="Barlow Semi Condensed" w:hAnsi="Barlow Semi Condensed"/>
          <w:sz w:val="24"/>
          <w:szCs w:val="24"/>
        </w:rPr>
        <w:t xml:space="preserve"> le zone minerarie e costiere, Swakopmund compresa. La verifica esterna mostra che l'assetto era </w:t>
      </w:r>
      <w:r>
        <w:rPr>
          <w:rFonts w:ascii="Barlow Semi Condensed" w:cs="Barlow Semi Condensed" w:eastAsia="Barlow Semi Condensed" w:hAnsi="Barlow Semi Condensed"/>
          <w:b/>
          <w:bCs/>
          <w:sz w:val="24"/>
          <w:szCs w:val="24"/>
        </w:rPr>
        <w:t xml:space="preserve">rovesciato</w:t>
      </w:r>
      <w:r>
        <w:rPr>
          <w:rFonts w:ascii="Barlow Semi Condensed" w:cs="Barlow Semi Condensed" w:eastAsia="Barlow Semi Condensed" w:hAnsi="Barlow Semi Condensed"/>
          <w:sz w:val="24"/>
          <w:szCs w:val="24"/>
        </w:rPr>
        <w:t xml:space="preserve">: il rapporto Odendaal — indagine chiusa a fine 1963, esiti consegnati agli inizi del 1964 — riservava oltre metà del territorio, con quasi tutta la ricchezza mineraria e la fascia costiera, a un'</w:t>
      </w:r>
      <w:r>
        <w:rPr>
          <w:rFonts w:ascii="Barlow Semi Condensed" w:cs="Barlow Semi Condensed" w:eastAsia="Barlow Semi Condensed" w:hAnsi="Barlow Semi Condensed"/>
          <w:b/>
          <w:bCs/>
          <w:sz w:val="24"/>
          <w:szCs w:val="24"/>
        </w:rPr>
        <w:t xml:space="preserve">area bianca</w:t>
      </w:r>
      <w:r>
        <w:rPr>
          <w:rFonts w:ascii="Barlow Semi Condensed" w:cs="Barlow Semi Condensed" w:eastAsia="Barlow Semi Condensed" w:hAnsi="Barlow Semi Condensed"/>
          <w:sz w:val="24"/>
          <w:szCs w:val="24"/>
        </w:rPr>
        <w:t xml:space="preserve"> che conservava Amministratore, Comitato esecutivo e Assemblea legislativa territoriali, mentre erano i </w:t>
      </w:r>
      <w:r>
        <w:rPr>
          <w:rFonts w:ascii="Barlow Semi Condensed" w:cs="Barlow Semi Condensed" w:eastAsia="Barlow Semi Condensed" w:hAnsi="Barlow Semi Condensed"/>
          <w:b/>
          <w:bCs/>
          <w:sz w:val="24"/>
          <w:szCs w:val="24"/>
        </w:rPr>
        <w:t xml:space="preserve">dieci homeland etnici</w:t>
      </w:r>
      <w:r>
        <w:rPr>
          <w:rFonts w:ascii="Barlow Semi Condensed" w:cs="Barlow Semi Condensed" w:eastAsia="Barlow Semi Condensed" w:hAnsi="Barlow Semi Condensed"/>
          <w:sz w:val="24"/>
          <w:szCs w:val="24"/>
        </w:rPr>
        <w:t xml:space="preserve"> a passare alla trattazione diretta del governo centrale di Pretoria.</w:t>
      </w:r>
    </w:p>
    <w:p>
      <w:pPr>
        <w:spacing w:after="120" w:line="276"/>
        <w:jc w:val="both"/>
      </w:pPr>
      <w:r>
        <w:rPr>
          <w:rFonts w:ascii="Barlow Semi Condensed" w:cs="Barlow Semi Condensed" w:eastAsia="Barlow Semi Condensed" w:hAnsi="Barlow Semi Condensed"/>
          <w:b/>
          <w:bCs/>
          <w:sz w:val="24"/>
          <w:szCs w:val="24"/>
        </w:rPr>
        <w:t xml:space="preserve">La sostanza del blocco reggeva</w:t>
      </w:r>
      <w:r>
        <w:rPr>
          <w:rFonts w:ascii="Barlow Semi Condensed" w:cs="Barlow Semi Condensed" w:eastAsia="Barlow Semi Condensed" w:hAnsi="Barlow Semi Condensed"/>
          <w:sz w:val="24"/>
          <w:szCs w:val="24"/>
        </w:rPr>
        <w:t xml:space="preserve"> — le zone minerarie e costiere restarono fuori dal sistema degli homeland e in mani bianche — ma l'attribuzione amministrativa era invertita, ed è il genere di errore che si propaga silenziosamente perché suona plausibile in entrambe le direzioni. Il testo corretto è quello che si legge oggi al blocco 81; questa nota conserva la forma errata.</w:t>
      </w:r>
    </w:p>
    <w:p>
      <w:pPr>
        <w:pStyle w:val="Heading3"/>
        <w:spacing w:after="80" w:before="160"/>
      </w:pPr>
      <w:r>
        <w:rPr>
          <w:rFonts w:ascii="Barlow Semi Condensed" w:cs="Barlow Semi Condensed" w:eastAsia="Barlow Semi Condensed" w:hAnsi="Barlow Semi Condensed"/>
          <w:sz w:val="24"/>
          <w:szCs w:val="24"/>
        </w:rPr>
        <w:t xml:space="preserve">M-3 · Il limite dichiarato di questa campagna</w:t>
      </w:r>
    </w:p>
    <w:p>
      <w:pPr>
        <w:spacing w:after="120" w:line="276"/>
        <w:jc w:val="both"/>
      </w:pPr>
      <w:r>
        <w:rPr>
          <w:rFonts w:ascii="Barlow Semi Condensed" w:cs="Barlow Semi Condensed" w:eastAsia="Barlow Semi Condensed" w:hAnsi="Barlow Semi Condensed"/>
          <w:b/>
          <w:bCs/>
          <w:sz w:val="24"/>
          <w:szCs w:val="24"/>
        </w:rPr>
        <w:t xml:space="preserve">La verifica non ha letto i documenti primari.</w:t>
      </w:r>
      <w:r>
        <w:rPr>
          <w:rFonts w:ascii="Barlow Semi Condensed" w:cs="Barlow Semi Condensed" w:eastAsia="Barlow Semi Condensed" w:hAnsi="Barlow Semi Condensed"/>
          <w:sz w:val="24"/>
          <w:szCs w:val="24"/>
        </w:rPr>
        <w:t xml:space="preserve"> Poggia su fonti secondarie convergenti e su sintesi di risultati di ricerca: non sul testo del rapporto Odendaal, non sugli atti della Commissione d'inchiesta sull'Africa del Sud-Ovest, non sui registri anagrafici sudafricani, non sui fascicoli d'immigrazione. Le date qui qualificate come confermate sono quelle su cui convergono più fonti secondarie indipendenti, e </w:t>
      </w:r>
      <w:r>
        <w:rPr>
          <w:rFonts w:ascii="Barlow Semi Condensed" w:cs="Barlow Semi Condensed" w:eastAsia="Barlow Semi Condensed" w:hAnsi="Barlow Semi Condensed"/>
          <w:b/>
          <w:bCs/>
          <w:sz w:val="24"/>
          <w:szCs w:val="24"/>
        </w:rPr>
        <w:t xml:space="preserve">restano da riscontrare sui testi ufficiali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Va inoltre registrato un dato di </w:t>
      </w:r>
      <w:r>
        <w:rPr>
          <w:rFonts w:ascii="Barlow Semi Condensed" w:cs="Barlow Semi Condensed" w:eastAsia="Barlow Semi Condensed" w:hAnsi="Barlow Semi Condensed"/>
          <w:b/>
          <w:bCs/>
          <w:sz w:val="24"/>
          <w:szCs w:val="24"/>
        </w:rPr>
        <w:t xml:space="preserve">igiene delle fonti</w:t>
      </w:r>
      <w:r>
        <w:rPr>
          <w:rFonts w:ascii="Barlow Semi Condensed" w:cs="Barlow Semi Condensed" w:eastAsia="Barlow Semi Condensed" w:hAnsi="Barlow Semi Condensed"/>
          <w:sz w:val="24"/>
          <w:szCs w:val="24"/>
        </w:rPr>
        <w:t xml:space="preserve">, perché ricorre: nelle ricerche condotte per quest'opera </w:t>
      </w:r>
      <w:r>
        <w:rPr>
          <w:rFonts w:ascii="Barlow Semi Condensed" w:cs="Barlow Semi Condensed" w:eastAsia="Barlow Semi Condensed" w:hAnsi="Barlow Semi Condensed"/>
          <w:b/>
          <w:bCs/>
          <w:sz w:val="24"/>
          <w:szCs w:val="24"/>
        </w:rPr>
        <w:t xml:space="preserve">Grokipedia è comparsa ripetutamente fra i risultati</w:t>
      </w:r>
      <w:r>
        <w:rPr>
          <w:rFonts w:ascii="Barlow Semi Condensed" w:cs="Barlow Semi Condensed" w:eastAsia="Barlow Semi Condensed" w:hAnsi="Barlow Semi Condensed"/>
          <w:sz w:val="24"/>
          <w:szCs w:val="24"/>
        </w:rPr>
        <w:t xml:space="preserve">, anche su voci centrali della materia. È fonte esclusa dal committente, e su questo tema è per giunta parte in causa. Non è stata usata in alcun punto, e la sua ricorrenza fra i risultati è essa stessa un dato sullo stato della documentazione in rete.</w:t>
      </w:r>
    </w:p>
    <w:p>
      <w:pPr>
        <w:pBdr>
          <w:bottom w:val="single" w:color="999999" w:sz="6" w:space="1"/>
        </w:pBdr>
        <w:spacing w:after="80"/>
      </w:pP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«Il meridiano e la valle» — dal Sud Africa dell'apartheid alla cosiddetta PayPal Mafia, in 1.000 blocchi mirati di ricerca ordinati in tredici serie con statuto: lo statuto e il metodo (1-50); l'anagrafe verificabile (51-135); la cornice sudafricana e del Sud-Ovest africano (136-225); i lignaggi (226-305); le materie prime (306-390); l'embargo e le vie d'aggiramento (391-470); le rotte migratorie (471-540); la formazione e la coscrizione (541-610); la valle e i suoi atti societari (611-695); le dottrine e le loro genealogie (696-780); il denaro e le giurisdizioni (781-855); la critica delle fonti (856-930); il limite: la colpa non si eredita (931-1000). Quinta opera a blocchi del branch, dopo il manuale in quattrocento, l'agenda in trecento, i nove cantieri in mille e la triangolazione Kissinger in mille; </w:t>
      </w:r>
      <w:r>
        <w:rPr>
          <w:rFonts w:ascii="Barlow Semi Condensed" w:cs="Barlow Semi Condensed" w:eastAsia="Barlow Semi Condensed" w:hAnsi="Barlow Semi Condensed"/>
          <w:i/>
          <w:iCs/>
          <w:sz w:val="24"/>
          <w:szCs w:val="24"/>
        </w:rPr>
        <w:t xml:space="preserve">Libro quattordicesimo dell'Opera integrale</w:t>
      </w:r>
      <w:r>
        <w:rPr>
          <w:rFonts w:ascii="Barlow Semi Condensed" w:cs="Barlow Semi Condensed" w:eastAsia="Barlow Semi Condensed" w:hAnsi="Barlow Semi Condensed"/>
          <w:i/>
          <w:iCs/>
          <w:sz w:val="24"/>
          <w:szCs w:val="24"/>
        </w:rPr>
        <w:t xml:space="preserve">, con la riserva dichiarata in apertura — il raccordo con l'opera-madre è tematico e non documentale, e l'unico ponte documentato che il corpus possiede col tema è il nodo E-16 della triangolazione Guevara-Moro, il discorso alle Nazioni Unite dell'11 dicembre 1964. La chiave di continuità indicata dal committente è accolta come </w:t>
      </w:r>
      <w:r>
        <w:rPr>
          <w:rFonts w:ascii="Barlow Semi Condensed" w:cs="Barlow Semi Condensed" w:eastAsia="Barlow Semi Condensed" w:hAnsi="Barlow Semi Condensed"/>
          <w:i/>
          <w:iCs/>
          <w:sz w:val="24"/>
          <w:szCs w:val="24"/>
        </w:rPr>
        <w:t xml:space="preserve">lente e non come sentenza</w:t>
      </w:r>
      <w:r>
        <w:rPr>
          <w:rFonts w:ascii="Barlow Semi Condensed" w:cs="Barlow Semi Condensed" w:eastAsia="Barlow Semi Condensed" w:hAnsi="Barlow Semi Condensed"/>
          <w:i/>
          <w:iCs/>
          <w:sz w:val="24"/>
          <w:szCs w:val="24"/>
        </w:rPr>
        <w:t xml:space="preserve">, e come </w:t>
      </w:r>
      <w:r>
        <w:rPr>
          <w:rFonts w:ascii="Barlow Semi Condensed" w:cs="Barlow Semi Condensed" w:eastAsia="Barlow Semi Condensed" w:hAnsi="Barlow Semi Condensed"/>
          <w:i/>
          <w:iCs/>
          <w:sz w:val="24"/>
          <w:szCs w:val="24"/>
        </w:rPr>
        <w:t xml:space="preserve">ipotesi da mettere alla prova e non premessa da illustrare</w:t>
      </w:r>
      <w:r>
        <w:rPr>
          <w:rFonts w:ascii="Barlow Semi Condensed" w:cs="Barlow Semi Condensed" w:eastAsia="Barlow Semi Condensed" w:hAnsi="Barlow Semi Condensed"/>
          <w:i/>
          <w:iCs/>
          <w:sz w:val="24"/>
          <w:szCs w:val="24"/>
        </w:rPr>
        <w:t xml:space="preserve">: per questo ogni serie porta i propri bersagli di smentita. Vale in ogni blocco la regola dei tre piani — rapporto diretto documentato, convergenza strutturale, affermazione terziaria: un ponte è reale solo al piano 1. </w:t>
      </w:r>
      <w:r>
        <w:rPr>
          <w:rFonts w:ascii="Barlow Semi Condensed" w:cs="Barlow Semi Condensed" w:eastAsia="Barlow Semi Condensed" w:hAnsi="Barlow Semi Condensed"/>
          <w:i/>
          <w:iCs/>
          <w:sz w:val="24"/>
          <w:szCs w:val="24"/>
        </w:rPr>
        <w:t xml:space="preserve">Nessuna delle persone nominate è indicata come responsabile di reato o di illecito</w:t>
      </w:r>
      <w:r>
        <w:rPr>
          <w:rFonts w:ascii="Barlow Semi Condensed" w:cs="Barlow Semi Condensed" w:eastAsia="Barlow Semi Condensed" w:hAnsi="Barlow Semi Condensed"/>
          <w:i/>
          <w:iCs/>
          <w:sz w:val="24"/>
          <w:szCs w:val="24"/>
        </w:rPr>
        <w:t xml:space="preserve">, e nessuna risulta condannata in relazione ai fatti indagati; i nomi compaiono soltanto per fatti pubblici e documentabili. L'appartenenza a un Paese, a una scuola, a un'azienda o a una famiglia non è prova di condotta; la contemporaneità non è prova di nesso; l'origine non è una colpa; l'infanzia non è una scelta. Le divergenze si riportano e non si sciolgono in silenzio; l'esito negativo si scrive con la sede d'archivio che lo chiuderebbe. Una ricerca produce documenti, non colpevoli — e mille bersagli non sono mille prove: sono mille modi di rendere questo lavoro falsificabile da chi verrà dopo.</w:t>
      </w:r>
    </w:p>
    <w:p>
      <w:pPr>
        <w:pStyle w:val="Heading3"/>
        <w:spacing w:after="80" w:before="240"/>
      </w:pPr>
      <w:r>
        <w:rPr>
          <w:rFonts w:ascii="Barlow Semi Condensed" w:cs="Barlow Semi Condensed" w:eastAsia="Barlow Semi Condensed" w:hAnsi="Barlow Semi Condensed"/>
          <w:sz w:val="24"/>
          <w:szCs w:val="24"/>
        </w:rPr>
        <w:t xml:space="preserve">Apparato grafico — Libro quattordicesimo · Il meridiano e la valle: dal Sud Africa dell'apartheid all</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quattordicesimo: 76.414 parole in 9 sezioni; la più ampia è §9 Altre sezioni, con 35.541.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quattordicesimo: 1.062 paragrafi in 9 sezioni, 118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tredici serie del Libro quattordicesimo: ogni blocco un bersaglio d’archivio, e ogni serie i propri bersagli di smentita.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Lo Stato Zero reso visibile: il Libro quattordicesimo apre un fronte nuovo, e il solo ponte documentato col corpus è un atto del 1964.</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quindicesimo — Il Registro dei cinquantacinque giorni, opera seconda</w:t>
      </w:r>
    </w:p>
    <w:p>
      <w:pPr>
        <w:pStyle w:val="Heading1"/>
        <w:spacing w:after="120" w:before="240"/>
      </w:pPr>
      <w:r>
        <w:rPr>
          <w:rFonts w:ascii="Barlow Semi Condensed" w:cs="Barlow Semi Condensed" w:eastAsia="Barlow Semi Condensed" w:hAnsi="Barlow Semi Condensed"/>
          <w:sz w:val="24"/>
          <w:szCs w:val="24"/>
        </w:rPr>
        <w:t xml:space="preserve">ALDO MORO</w:t>
      </w:r>
    </w:p>
    <w:p>
      <w:pPr>
        <w:spacing w:after="120" w:line="276"/>
        <w:jc w:val="both"/>
      </w:pPr>
      <w:r>
        <w:rPr>
          <w:rFonts w:ascii="Barlow Semi Condensed" w:cs="Barlow Semi Condensed" w:eastAsia="Barlow Semi Condensed" w:hAnsi="Barlow Semi Condensed"/>
          <w:i/>
          <w:iCs/>
          <w:sz w:val="24"/>
          <w:szCs w:val="24"/>
        </w:rPr>
        <w:t xml:space="preserve">Documento della terza campagna Farnesina, acquisito il 27 agosto 2026. Prodotto con sistemi di intelligenza artificiale sotto direzione e responsabilità umana, come ogni documento di quest'opera.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raccordo.</w:t>
      </w:r>
      <w:r>
        <w:rPr>
          <w:rFonts w:ascii="Barlow Semi Condensed" w:cs="Barlow Semi Condensed" w:eastAsia="Barlow Semi Condensed" w:hAnsi="Barlow Semi Condensed"/>
          <w:i w:val="false"/>
          <w:iCs w:val="false"/>
          <w:sz w:val="24"/>
          <w:szCs w:val="24"/>
        </w:rPr>
        <w:t xml:space="preserve"> Opera seconda avviata dal Registro V77, in sette Fasi e settanta Capitoli, acquisita il 27 agosto 2026. Non sostituisce il volume anteriore, e lo dichiara essa stessa in apertura: «Il volume anteriore non è sostituito. Esso resta nel Registro, integro e leggibile, come strato della propria epoca.»  Il lotto conteneva anche una versione priva dell'Appendice alla Fase settima e due estratti della sola Fase settima. Misurati sugli 8-grammi, sono </w:t>
      </w:r>
      <w:r>
        <w:rPr>
          <w:rFonts w:ascii="Barlow Semi Condensed" w:cs="Barlow Semi Condensed" w:eastAsia="Barlow Semi Condensed" w:hAnsi="Barlow Semi Condensed"/>
          <w:b/>
          <w:bCs/>
          <w:i w:val="false"/>
          <w:iCs w:val="false"/>
          <w:sz w:val="24"/>
          <w:szCs w:val="24"/>
        </w:rPr>
        <w:t xml:space="preserve">contenuti in questo volume rispettivamente al 100, al 98,3 e al 98,7 per cento</w:t>
      </w:r>
      <w:r>
        <w:rPr>
          <w:rFonts w:ascii="Barlow Semi Condensed" w:cs="Barlow Semi Condensed" w:eastAsia="Barlow Semi Condensed" w:hAnsi="Barlow Semi Condensed"/>
          <w:i w:val="false"/>
          <w:iCs w:val="false"/>
          <w:sz w:val="24"/>
          <w:szCs w:val="24"/>
        </w:rPr>
        <w:t xml:space="preserve">: non sono stati archiviati a parte, perché sarebbero duplicati. Resta archiviata a parte la sola </w:t>
      </w:r>
      <w:r>
        <w:rPr>
          <w:rFonts w:ascii="Barlow Semi Condensed" w:cs="Barlow Semi Condensed" w:eastAsia="Barlow Semi Condensed" w:hAnsi="Barlow Semi Condensed"/>
          <w:b/>
          <w:bCs/>
          <w:i w:val="false"/>
          <w:iCs w:val="false"/>
          <w:sz w:val="24"/>
          <w:szCs w:val="24"/>
        </w:rPr>
        <w:t xml:space="preserve">Appendice quindicesima</w:t>
      </w:r>
      <w:r>
        <w:rPr>
          <w:rFonts w:ascii="Barlow Semi Condensed" w:cs="Barlow Semi Condensed" w:eastAsia="Barlow Semi Condensed" w:hAnsi="Barlow Semi Condensed"/>
          <w:i w:val="false"/>
          <w:iCs w:val="false"/>
          <w:sz w:val="24"/>
          <w:szCs w:val="24"/>
        </w:rPr>
        <w:t xml:space="preserve">, che di questo volume non fa parte (0,9 per cento).</w:t>
      </w:r>
    </w:p>
    <w:p>
      <w:pPr>
        <w:pStyle w:val="Heading2"/>
        <w:spacing w:after="100" w:before="200"/>
      </w:pPr>
      <w:r>
        <w:rPr>
          <w:rFonts w:ascii="Barlow Semi Condensed" w:cs="Barlow Semi Condensed" w:eastAsia="Barlow Semi Condensed" w:hAnsi="Barlow Semi Condensed"/>
          <w:sz w:val="24"/>
          <w:szCs w:val="24"/>
        </w:rPr>
        <w:t xml:space="preserve">IL REGISTRO DEI CINQUANTACINQUE GIORNI</w:t>
      </w:r>
    </w:p>
    <w:p>
      <w:pPr>
        <w:pStyle w:val="Heading2"/>
        <w:spacing w:after="100" w:before="200"/>
      </w:pPr>
      <w:r>
        <w:rPr>
          <w:rFonts w:ascii="Barlow Semi Condensed" w:cs="Barlow Semi Condensed" w:eastAsia="Barlow Semi Condensed" w:hAnsi="Barlow Semi Condensed"/>
          <w:sz w:val="24"/>
          <w:szCs w:val="24"/>
        </w:rPr>
        <w:t xml:space="preserve">Volume unico completo</w:t>
      </w:r>
    </w:p>
    <w:p>
      <w:pPr>
        <w:pStyle w:val="Heading2"/>
        <w:spacing w:after="100" w:before="200"/>
      </w:pPr>
      <w:r>
        <w:rPr>
          <w:rFonts w:ascii="Barlow Semi Condensed" w:cs="Barlow Semi Condensed" w:eastAsia="Barlow Semi Condensed" w:hAnsi="Barlow Semi Condensed"/>
          <w:sz w:val="24"/>
          <w:szCs w:val="24"/>
        </w:rPr>
        <w:t xml:space="preserve">Opera seconda, avviata dal Registro V77</w:t>
      </w:r>
    </w:p>
    <w:p>
      <w:pPr>
        <w:pStyle w:val="Heading2"/>
        <w:spacing w:after="100" w:before="200"/>
      </w:pPr>
      <w:r>
        <w:rPr>
          <w:rFonts w:ascii="Barlow Semi Condensed" w:cs="Barlow Semi Condensed" w:eastAsia="Barlow Semi Condensed" w:hAnsi="Barlow Semi Condensed"/>
          <w:sz w:val="24"/>
          <w:szCs w:val="24"/>
        </w:rPr>
        <w:t xml:space="preserve">Sette Fasi — Settanta Capitoli — Appendice alla Fase Settima</w:t>
      </w:r>
    </w:p>
    <w:p>
      <w:pPr>
        <w:pStyle w:val="Heading2"/>
        <w:spacing w:after="100" w:before="200"/>
      </w:pPr>
      <w:r>
        <w:rPr>
          <w:rFonts w:ascii="Barlow Semi Condensed" w:cs="Barlow Semi Condensed" w:eastAsia="Barlow Semi Condensed" w:hAnsi="Barlow Semi Condensed"/>
          <w:sz w:val="24"/>
          <w:szCs w:val="24"/>
        </w:rPr>
        <w:t xml:space="preserve">Luigi De Michele</w:t>
      </w:r>
    </w:p>
    <w:p>
      <w:pPr>
        <w:pStyle w:val="Heading2"/>
        <w:spacing w:after="100" w:before="200"/>
      </w:pPr>
      <w:r>
        <w:rPr>
          <w:rFonts w:ascii="Barlow Semi Condensed" w:cs="Barlow Semi Condensed" w:eastAsia="Barlow Semi Condensed" w:hAnsi="Barlow Semi Condensed"/>
          <w:sz w:val="24"/>
          <w:szCs w:val="24"/>
        </w:rPr>
        <w:t xml:space="preserve">15 agosto 2026</w:t>
      </w:r>
    </w:p>
    <w:p>
      <w:pPr>
        <w:pStyle w:val="Heading2"/>
        <w:spacing w:after="100" w:before="200"/>
      </w:pPr>
      <w:r>
        <w:rPr>
          <w:rFonts w:ascii="Barlow Semi Condensed" w:cs="Barlow Semi Condensed" w:eastAsia="Barlow Semi Condensed" w:hAnsi="Barlow Semi Condensed"/>
          <w:sz w:val="24"/>
          <w:szCs w:val="24"/>
        </w:rPr>
        <w:t xml:space="preserve">Atto di fondazione dell'opera seconda</w:t>
      </w:r>
    </w:p>
    <w:p>
      <w:pPr>
        <w:spacing w:after="120" w:line="276"/>
        <w:jc w:val="both"/>
      </w:pPr>
      <w:r>
        <w:rPr>
          <w:rFonts w:ascii="Barlow Semi Condensed" w:cs="Barlow Semi Condensed" w:eastAsia="Barlow Semi Condensed" w:hAnsi="Barlow Semi Condensed"/>
          <w:sz w:val="24"/>
          <w:szCs w:val="24"/>
        </w:rPr>
        <w:t xml:space="preserve">Questa opera nasce dal Registro V77 e ne e la seconda figlia. Non ne e la continuazione, perche il Registro e un contenitore federativo e questa e un'opera compiuta; e non ne e una parte, perche essa possiede corpo, edizioni e statuto epistemico propri. Ne e figlia in senso preciso: dal Registro riceve il codice che la governa e il patrimonio documentale sul quale lavora, e al Registro rende conto delle proprie acquisizioni.</w:t>
      </w:r>
    </w:p>
    <w:p>
      <w:pPr>
        <w:spacing w:after="120" w:line="276"/>
        <w:jc w:val="both"/>
      </w:pPr>
      <w:r>
        <w:rPr>
          <w:rFonts w:ascii="Barlow Semi Condensed" w:cs="Barlow Semi Condensed" w:eastAsia="Barlow Semi Condensed" w:hAnsi="Barlow Semi Condensed"/>
          <w:sz w:val="24"/>
          <w:szCs w:val="24"/>
        </w:rPr>
        <w:t xml:space="preserve">Essa ha le medesime caratteristiche del volume che il Registro custodisce al proprio Libro Ottavo — la natura di registro e non di saggio, la graduazione esplicita di ogni proposizione, la dichiarazione degli esiti negativi, la cumulativita preservativa, la designazione per funzione — e se ne distingue per due elementi rinnovati: la Metodologia, accresciuta del Capo undicesimo sulla notazione e del protocollo di traduzione fra nome e funzione; e la Struttura, che passa da cinque a sette Fasi, ciascuna di dieci Capitoli.</w:t>
      </w:r>
    </w:p>
    <w:p>
      <w:pPr>
        <w:spacing w:after="120" w:line="276"/>
        <w:jc w:val="both"/>
      </w:pPr>
      <w:r>
        <w:rPr>
          <w:rFonts w:ascii="Barlow Semi Condensed" w:cs="Barlow Semi Condensed" w:eastAsia="Barlow Semi Condensed" w:hAnsi="Barlow Semi Condensed"/>
          <w:sz w:val="24"/>
          <w:szCs w:val="24"/>
        </w:rPr>
        <w:t xml:space="preserve">Il volume anteriore non e sostituito. Esso resta nel Registro, integro e leggibile, come strato della propria epoca. Le pietre deposte non si scalpellano.</w:t>
      </w:r>
    </w:p>
    <w:p>
      <w:pPr>
        <w:pStyle w:val="Heading2"/>
        <w:spacing w:after="100" w:before="200"/>
      </w:pPr>
      <w:r>
        <w:rPr>
          <w:rFonts w:ascii="Barlow Semi Condensed" w:cs="Barlow Semi Condensed" w:eastAsia="Barlow Semi Condensed" w:hAnsi="Barlow Semi Condensed"/>
          <w:sz w:val="24"/>
          <w:szCs w:val="24"/>
        </w:rPr>
        <w:t xml:space="preserve">Nota sul presente volume</w:t>
      </w:r>
    </w:p>
    <w:p>
      <w:pPr>
        <w:spacing w:after="120" w:line="276"/>
        <w:jc w:val="both"/>
      </w:pPr>
      <w:r>
        <w:rPr>
          <w:rFonts w:ascii="Barlow Semi Condensed" w:cs="Barlow Semi Condensed" w:eastAsia="Barlow Semi Condensed" w:hAnsi="Barlow Semi Condensed"/>
          <w:sz w:val="24"/>
          <w:szCs w:val="24"/>
        </w:rPr>
        <w:t xml:space="preserve">Il presente e il volume unico: esso reca in un solo corpo le sette Fasi, gia consegnate separatamente fra il quattordici e il quindici agosto duemilaventisei. Il testo e identico a quello delle consegne parziali e non e stato rivisto in questa sede. Le impronte dei sette file separati restano valide per la verifica delle singole Fasi; quella del presente volume vale per l'insieme.</w:t>
      </w:r>
    </w:p>
    <w:p>
      <w:pPr>
        <w:spacing w:after="120" w:line="276"/>
        <w:jc w:val="both"/>
      </w:pPr>
      <w:r>
        <w:rPr>
          <w:rFonts w:ascii="Barlow Semi Condensed" w:cs="Barlow Semi Condensed" w:eastAsia="Barlow Semi Condensed" w:hAnsi="Barlow Semi Condensed"/>
          <w:sz w:val="24"/>
          <w:szCs w:val="24"/>
        </w:rPr>
        <w:t xml:space="preserve">Si ricorda in apertura, e per l'ultima volta, la distinzione che governa l'intera opera: l'ordine dei Capitoli e ordine di esposizione e non di prova. Che un Capitolo segua un altro non significa che il primo sostenga il secondo.</w:t>
      </w:r>
    </w:p>
    <w:p>
      <w:pPr>
        <w:pStyle w:val="Heading2"/>
        <w:spacing w:after="100" w:before="200"/>
      </w:pPr>
      <w:r>
        <w:rPr>
          <w:rFonts w:ascii="Barlow Semi Condensed" w:cs="Barlow Semi Condensed" w:eastAsia="Barlow Semi Condensed" w:hAnsi="Barlow Semi Condensed"/>
          <w:sz w:val="24"/>
          <w:szCs w:val="24"/>
        </w:rPr>
        <w:t xml:space="preserve">LA STRUTTURA RINNOVATA — SETTE FASI, SETTANTA CAPITOLI</w:t>
      </w:r>
    </w:p>
    <w:p>
      <w:pPr>
        <w:spacing w:after="120" w:line="276"/>
        <w:jc w:val="both"/>
      </w:pPr>
      <w:r>
        <w:rPr>
          <w:rFonts w:ascii="Barlow Semi Condensed" w:cs="Barlow Semi Condensed" w:eastAsia="Barlow Semi Condensed" w:hAnsi="Barlow Semi Condensed"/>
          <w:sz w:val="24"/>
          <w:szCs w:val="24"/>
        </w:rPr>
        <w:t xml:space="preserve">La struttura anteriore procedeva per cinque Fasi. Essa aveva un difetto che l'uso ha rivelato e che occorre dire con semplicità: due delle sue Fasi portavano un carico troppo grande, e le materie che vi erano compresse si ostacolavano a vicenda. La Fase che trattava le omissioni conteneva insieme il depistaggio, la distruzione delle carte e il silenzio degli archivi, che sono tre cose diverse e domandano tre trattazioni distinte. La Fase che trattava gli attori conteneva insieme chi agì, chi organizzò e chi volle, che sono tre livelli di responsabilità e non uno.</w:t>
      </w:r>
    </w:p>
    <w:p>
      <w:pPr>
        <w:spacing w:after="120" w:line="276"/>
        <w:jc w:val="both"/>
      </w:pPr>
      <w:r>
        <w:rPr>
          <w:rFonts w:ascii="Barlow Semi Condensed" w:cs="Barlow Semi Condensed" w:eastAsia="Barlow Semi Condensed" w:hAnsi="Barlow Semi Condensed"/>
          <w:sz w:val="24"/>
          <w:szCs w:val="24"/>
        </w:rPr>
        <w:t xml:space="preserve">La struttura rinnovata procede per sette Fasi, ciascuna di dieci Capitoli, per settanta Capitoli complessivi. L'accrescimento non è ornamentale: esso separa ciò che era confuso e dà a ciascuna materia lo spazio che la sua natura richiede.</w:t>
      </w:r>
    </w:p>
    <w:p>
      <w:pPr>
        <w:spacing w:after="120" w:line="276"/>
        <w:jc w:val="both"/>
      </w:pPr>
      <w:r>
        <w:rPr>
          <w:rFonts w:ascii="Barlow Semi Condensed" w:cs="Barlow Semi Condensed" w:eastAsia="Barlow Semi Condensed" w:hAnsi="Barlow Semi Condensed"/>
          <w:sz w:val="24"/>
          <w:szCs w:val="24"/>
        </w:rPr>
        <w:t xml:space="preserve">Fase Prima — IL METODO E LA PERSONA. Lo statuto dell'opera, il codice che la governa, e l'uomo prima del fatto. Dieci Capitoli: l'avvertenza dell'autore e lo statuto; la Regola di Ferro e le clausole di disciplina; la classificazione in tre stati; la notazione e la verificabilità; il protocollo di traduzione fra nome e funzione; l'ingresso in acqua e la decompressione; la disciplina del Pollo di Popper e gli Stati Zero; la formazione, dal 1916 al 1946; l'uomo di governo, dal 1946 al 1976; l'ultimo Moro, dal 1976 al 1978.</w:t>
      </w:r>
    </w:p>
    <w:p>
      <w:pPr>
        <w:spacing w:after="120" w:line="276"/>
        <w:jc w:val="both"/>
      </w:pPr>
      <w:r>
        <w:rPr>
          <w:rFonts w:ascii="Barlow Semi Condensed" w:cs="Barlow Semi Condensed" w:eastAsia="Barlow Semi Condensed" w:hAnsi="Barlow Semi Condensed"/>
          <w:sz w:val="24"/>
          <w:szCs w:val="24"/>
        </w:rPr>
        <w:t xml:space="preserve">Fase Seconda — LE RAGIONI. Perché quell'uomo, perché in quel momento. Il quadro interno, il quadro internazionale, le convergenze e le resistenze che la sua politica suscitava.</w:t>
      </w:r>
    </w:p>
    <w:p>
      <w:pPr>
        <w:spacing w:after="120" w:line="276"/>
        <w:jc w:val="both"/>
      </w:pPr>
      <w:r>
        <w:rPr>
          <w:rFonts w:ascii="Barlow Semi Condensed" w:cs="Barlow Semi Condensed" w:eastAsia="Barlow Semi Condensed" w:hAnsi="Barlow Semi Condensed"/>
          <w:sz w:val="24"/>
          <w:szCs w:val="24"/>
        </w:rPr>
        <w:t xml:space="preserve">Fase Terza — IL FATTO. Via Fani, la mattina del 16 marzo 1978, e i cinquantacinque giorni. La ricostruzione materiale, l'agguato, la prigionia, via Caetani.</w:t>
      </w:r>
    </w:p>
    <w:p>
      <w:pPr>
        <w:spacing w:after="120" w:line="276"/>
        <w:jc w:val="both"/>
      </w:pPr>
      <w:r>
        <w:rPr>
          <w:rFonts w:ascii="Barlow Semi Condensed" w:cs="Barlow Semi Condensed" w:eastAsia="Barlow Semi Condensed" w:hAnsi="Barlow Semi Condensed"/>
          <w:sz w:val="24"/>
          <w:szCs w:val="24"/>
        </w:rPr>
        <w:t xml:space="preserve">Fase Quarta — LE CARTE. Le lettere dalla prigionia, il memoriale, i luoghi del rinvenimento, e la disciplina di lettura degli enunciati scritti sotto vincolo.</w:t>
      </w:r>
    </w:p>
    <w:p>
      <w:pPr>
        <w:spacing w:after="120" w:line="276"/>
        <w:jc w:val="both"/>
      </w:pPr>
      <w:r>
        <w:rPr>
          <w:rFonts w:ascii="Barlow Semi Condensed" w:cs="Barlow Semi Condensed" w:eastAsia="Barlow Semi Condensed" w:hAnsi="Barlow Semi Condensed"/>
          <w:sz w:val="24"/>
          <w:szCs w:val="24"/>
        </w:rPr>
        <w:t xml:space="preserve">Fase Quinta — LE OMISSIONI. Il depistaggio, l'insabbiamento, la distruzione della prova, il silenzio degli archivi. Ciascuna tipologia con la propria trattazione.</w:t>
      </w:r>
    </w:p>
    <w:p>
      <w:pPr>
        <w:spacing w:after="120" w:line="276"/>
        <w:jc w:val="both"/>
      </w:pPr>
      <w:r>
        <w:rPr>
          <w:rFonts w:ascii="Barlow Semi Condensed" w:cs="Barlow Semi Condensed" w:eastAsia="Barlow Semi Condensed" w:hAnsi="Barlow Semi Condensed"/>
          <w:sz w:val="24"/>
          <w:szCs w:val="24"/>
        </w:rPr>
        <w:t xml:space="preserve">Fase Sesta — GLI ATTORI. Chi eseguì, chi organizzò, chi volle, e gli ambienti che circondarono senza agire. Tre livelli di responsabilità tenuti distinti.</w:t>
      </w:r>
    </w:p>
    <w:p>
      <w:pPr>
        <w:spacing w:after="120" w:line="276"/>
        <w:jc w:val="both"/>
      </w:pPr>
      <w:r>
        <w:rPr>
          <w:rFonts w:ascii="Barlow Semi Condensed" w:cs="Barlow Semi Condensed" w:eastAsia="Barlow Semi Condensed" w:hAnsi="Barlow Semi Condensed"/>
          <w:sz w:val="24"/>
          <w:szCs w:val="24"/>
        </w:rPr>
        <w:t xml:space="preserve">Fase Settima — IL GIUDIZIO E CIÒ CHE RESTA. I processi, le commissioni parlamentari, gli Stati Zero, le lacune dichiarate, e ciò che l'opera non sostiene.</w:t>
      </w:r>
    </w:p>
    <w:p>
      <w:pPr>
        <w:pStyle w:val="Heading2"/>
        <w:spacing w:after="100" w:before="200"/>
      </w:pPr>
      <w:r>
        <w:rPr>
          <w:rFonts w:ascii="Barlow Semi Condensed" w:cs="Barlow Semi Condensed" w:eastAsia="Barlow Semi Condensed" w:hAnsi="Barlow Semi Condensed"/>
          <w:sz w:val="24"/>
          <w:szCs w:val="24"/>
        </w:rPr>
        <w:t xml:space="preserve">FASE PRIMA — IL METODO E LA PERSONA</w:t>
      </w:r>
    </w:p>
    <w:p>
      <w:pPr>
        <w:spacing w:after="120" w:line="276"/>
        <w:jc w:val="both"/>
      </w:pPr>
      <w:r>
        <w:rPr>
          <w:rFonts w:ascii="Barlow Semi Condensed" w:cs="Barlow Semi Condensed" w:eastAsia="Barlow Semi Condensed" w:hAnsi="Barlow Semi Condensed"/>
          <w:sz w:val="24"/>
          <w:szCs w:val="24"/>
        </w:rPr>
        <w:t xml:space="preserve">Dove si espongono le regole con le quali si cerchera, e si conosce l'uomo che si cerca.</w:t>
      </w:r>
    </w:p>
    <w:p>
      <w:pPr>
        <w:pStyle w:val="Heading2"/>
        <w:spacing w:after="100" w:before="200"/>
      </w:pPr>
      <w:r>
        <w:rPr>
          <w:rFonts w:ascii="Barlow Semi Condensed" w:cs="Barlow Semi Condensed" w:eastAsia="Barlow Semi Condensed" w:hAnsi="Barlow Semi Condensed"/>
          <w:sz w:val="24"/>
          <w:szCs w:val="24"/>
        </w:rPr>
        <w:t xml:space="preserve">Capitolo primo — Avvertenza dell'autore e statuto dell'opera</w:t>
      </w:r>
    </w:p>
    <w:p>
      <w:pPr>
        <w:spacing w:after="120" w:line="276"/>
        <w:jc w:val="both"/>
      </w:pPr>
      <w:r>
        <w:rPr>
          <w:rFonts w:ascii="Barlow Semi Condensed" w:cs="Barlow Semi Condensed" w:eastAsia="Barlow Semi Condensed" w:hAnsi="Barlow Semi Condensed"/>
          <w:sz w:val="24"/>
          <w:szCs w:val="24"/>
        </w:rPr>
        <w:t xml:space="preserve">Occorre dire subito, e senza alcun infingimento, che cosa questa opera sia e che cosa non sia; perché il lettore ha diritto di sapere, prima di impegnare la propria attenzione, quale genere di documento gli sia posto davanti, e con quale animo esso sia stato composto.</w:t>
      </w:r>
    </w:p>
    <w:p>
      <w:pPr>
        <w:spacing w:after="120" w:line="276"/>
        <w:jc w:val="both"/>
      </w:pPr>
      <w:r>
        <w:rPr>
          <w:rFonts w:ascii="Barlow Semi Condensed" w:cs="Barlow Semi Condensed" w:eastAsia="Barlow Semi Condensed" w:hAnsi="Barlow Semi Condensed"/>
          <w:sz w:val="24"/>
          <w:szCs w:val="24"/>
        </w:rPr>
        <w:t xml:space="preserve">Quest'opera è un registro. Non è un saggio storiografico, non è un'inchiesta giornalistica, non è un racconto. Il saggio storiografico propone una interpretazione e la difende; l'inchiesta persegue una rivelazione; il racconto cerca una forma compiuta. Il registro fa una cosa sola e più modesta: annota. Annota ciò che le fonti accertano, annota ciò che esse dichiarano aperto, annota ciò che è stato cercato e non trovato, e a ciascuna di queste tre annotazioni assegna il grado che le compete, senza confonderle mai.</w:t>
      </w:r>
    </w:p>
    <w:p>
      <w:pPr>
        <w:spacing w:after="120" w:line="276"/>
        <w:jc w:val="both"/>
      </w:pPr>
      <w:r>
        <w:rPr>
          <w:rFonts w:ascii="Barlow Semi Condensed" w:cs="Barlow Semi Condensed" w:eastAsia="Barlow Semi Condensed" w:hAnsi="Barlow Semi Condensed"/>
          <w:sz w:val="24"/>
          <w:szCs w:val="24"/>
        </w:rPr>
        <w:t xml:space="preserve">Questa modestia non è una diminuzione. Essa è, al contrario, l'unica ambizione che nel campo di cui qui si tratta possa essere onestamente coltivata. Perché il caso Moro ha prodotto, in quasi cinquant'anni, una quantità di interpretazioni che supera di molto la quantità dei fatti accertati; e ogni interpretazione nuova, aggiungendosi alle precedenti, ha reso più difficile e non più facile il compito di distinguere ciò che si sa da ciò che si crede di sapere. Chi voglia oggi rendere un servizio a questa materia non deve aggiungere una tesi alle molte: deve separare gli strati.</w:t>
      </w:r>
    </w:p>
    <w:p>
      <w:pPr>
        <w:pStyle w:val="Heading2"/>
        <w:spacing w:after="100" w:before="200"/>
      </w:pPr>
      <w:r>
        <w:rPr>
          <w:rFonts w:ascii="Barlow Semi Condensed" w:cs="Barlow Semi Condensed" w:eastAsia="Barlow Semi Condensed" w:hAnsi="Barlow Semi Condensed"/>
          <w:sz w:val="24"/>
          <w:szCs w:val="24"/>
        </w:rPr>
        <w:t xml:space="preserve">Ciò che l'opera non fa</w:t>
      </w:r>
    </w:p>
    <w:p>
      <w:pPr>
        <w:spacing w:after="120" w:line="276"/>
        <w:jc w:val="both"/>
      </w:pPr>
      <w:r>
        <w:rPr>
          <w:rFonts w:ascii="Barlow Semi Condensed" w:cs="Barlow Semi Condensed" w:eastAsia="Barlow Semi Condensed" w:hAnsi="Barlow Semi Condensed"/>
          <w:sz w:val="24"/>
          <w:szCs w:val="24"/>
        </w:rPr>
        <w:t xml:space="preserve">L'opera non propone una tesi risolutiva. Essa non dichiara chi volle la morte di Aldo Moro, perché le fonti che essa ha potuto interrogare non lo accertano; e ciò che le fonti non accertano l'opera non afferma, quale che sia la sua propensione. Questa astensione non è prudenza tattica e non è indifferenza morale: è la sola condotta che consenta al lettore di giudicare da sé.</w:t>
      </w:r>
    </w:p>
    <w:p>
      <w:pPr>
        <w:spacing w:after="120" w:line="276"/>
        <w:jc w:val="both"/>
      </w:pPr>
      <w:r>
        <w:rPr>
          <w:rFonts w:ascii="Barlow Semi Condensed" w:cs="Barlow Semi Condensed" w:eastAsia="Barlow Semi Condensed" w:hAnsi="Barlow Semi Condensed"/>
          <w:sz w:val="24"/>
          <w:szCs w:val="24"/>
        </w:rPr>
        <w:t xml:space="preserve">L'opera non colma le lacune con la verosimiglianza. Dove manca un documento, essa scrive che manca, e dice quale documento manchi e dove sia stato cercato. La tentazione contraria è fortissima e va nominata: in una materia dove le lacune sono state prodotte artificialmente, il ricercatore è indotto a ricostruire per congettura ciò che gli è stato sottratto, e a persuadersi che la ricostruzione sia legittima proprio perché la sottrazione fu illegittima. Non lo è. Una lacuna prodotta ad arte resta una lacuna, e chi la riempie di congetture fa esattamente ciò che chi la produsse desiderava: sostituisce al vuoto una materia contestabile, e rende contestabile con essa anche il vuoto.</w:t>
      </w:r>
    </w:p>
    <w:p>
      <w:pPr>
        <w:spacing w:after="120" w:line="276"/>
        <w:jc w:val="both"/>
      </w:pPr>
      <w:r>
        <w:rPr>
          <w:rFonts w:ascii="Barlow Semi Condensed" w:cs="Barlow Semi Condensed" w:eastAsia="Barlow Semi Condensed" w:hAnsi="Barlow Semi Condensed"/>
          <w:sz w:val="24"/>
          <w:szCs w:val="24"/>
        </w:rPr>
        <w:t xml:space="preserve">L'opera non attribuisce responsabilità che le fonti non accertino. Le persone che nelle fonti compaiono sono designate, ove la funzione basti a identificare l'atto, per la funzione che esercitavano e non per il nome che portavano. Questa scelta ha una ragione precisa e ne ha un costo, e sarà detto più avanti quali siano l'una e l'altro.</w:t>
      </w:r>
    </w:p>
    <w:p>
      <w:pPr>
        <w:pStyle w:val="Heading2"/>
        <w:spacing w:after="100" w:before="200"/>
      </w:pPr>
      <w:r>
        <w:rPr>
          <w:rFonts w:ascii="Barlow Semi Condensed" w:cs="Barlow Semi Condensed" w:eastAsia="Barlow Semi Condensed" w:hAnsi="Barlow Semi Condensed"/>
          <w:sz w:val="24"/>
          <w:szCs w:val="24"/>
        </w:rPr>
        <w:t xml:space="preserve">Ciò che l'opera fa</w:t>
      </w:r>
    </w:p>
    <w:p>
      <w:pPr>
        <w:spacing w:after="120" w:line="276"/>
        <w:jc w:val="both"/>
      </w:pPr>
      <w:r>
        <w:rPr>
          <w:rFonts w:ascii="Barlow Semi Condensed" w:cs="Barlow Semi Condensed" w:eastAsia="Barlow Semi Condensed" w:hAnsi="Barlow Semi Condensed"/>
          <w:sz w:val="24"/>
          <w:szCs w:val="24"/>
        </w:rPr>
        <w:t xml:space="preserve">L'opera registra. Procede per acquisizioni successive, e ogni serie di acquisizioni si aggiunge alle anteriori senza sostituirle. Quando una acquisizione posteriore corregge una anteriore, la correzione è dichiarata e non applicata in silenzio: il testo anteriore resta leggibile, e accanto ad esso sta scritto in che cosa era errato e per quale ragione. Il lettore vede dunque non soltanto ciò che l'opera sostiene oggi, ma il cammino per il quale vi è giunta, e i punti nei quali ha dovuto tornare indietro.</w:t>
      </w:r>
    </w:p>
    <w:p>
      <w:pPr>
        <w:spacing w:after="120" w:line="276"/>
        <w:jc w:val="both"/>
      </w:pPr>
      <w:r>
        <w:rPr>
          <w:rFonts w:ascii="Barlow Semi Condensed" w:cs="Barlow Semi Condensed" w:eastAsia="Barlow Semi Condensed" w:hAnsi="Barlow Semi Condensed"/>
          <w:sz w:val="24"/>
          <w:szCs w:val="24"/>
        </w:rPr>
        <w:t xml:space="preserve">Questo modo di procedere ha un nome: cumulatività preservativa. Esso vieta la sostituzione, l'abbreviazione e la riscrittura. La ragione è di natura probatoria e non sentimentale. Un'opera che riscriva sé stessa perde la propria storia, e con la propria storia perde la possibilità di essere controllata: chi non può vedere dove il ricercatore ha sbagliato non può misurare quanto valga dove non ha sbagliato. Le pietre deposte non si scalpellano.</w:t>
      </w:r>
    </w:p>
    <w:p>
      <w:pPr>
        <w:spacing w:after="120" w:line="276"/>
        <w:jc w:val="both"/>
      </w:pPr>
      <w:r>
        <w:rPr>
          <w:rFonts w:ascii="Barlow Semi Condensed" w:cs="Barlow Semi Condensed" w:eastAsia="Barlow Semi Condensed" w:hAnsi="Barlow Semi Condensed"/>
          <w:sz w:val="24"/>
          <w:szCs w:val="24"/>
        </w:rPr>
        <w:t xml:space="preserve">L'opera registra inoltre gli esiti negativi. Un archivio interrogato e muto, un quesito posto e non risolto, un documento cercato e non trovato sono acquisizioni di pieno valore, e sono dichiarati con la medesima precisione dei reperimenti positivi. Questa disposizione, che potrà parere pedante, è invece decisiva; e la sua ragione sarà svolta nel Capitolo settimo, dove si dirà perché un registro che annoti soltanto ciò che ha trovato menta per costruzione.</w:t>
      </w:r>
    </w:p>
    <w:p>
      <w:pPr>
        <w:pStyle w:val="Heading2"/>
        <w:spacing w:after="100" w:before="200"/>
      </w:pPr>
      <w:r>
        <w:rPr>
          <w:rFonts w:ascii="Barlow Semi Condensed" w:cs="Barlow Semi Condensed" w:eastAsia="Barlow Semi Condensed" w:hAnsi="Barlow Semi Condensed"/>
          <w:sz w:val="24"/>
          <w:szCs w:val="24"/>
        </w:rPr>
        <w:t xml:space="preserve">La genesi del testo</w:t>
      </w:r>
    </w:p>
    <w:p>
      <w:pPr>
        <w:spacing w:after="120" w:line="276"/>
        <w:jc w:val="both"/>
      </w:pPr>
      <w:r>
        <w:rPr>
          <w:rFonts w:ascii="Barlow Semi Condensed" w:cs="Barlow Semi Condensed" w:eastAsia="Barlow Semi Condensed" w:hAnsi="Barlow Semi Condensed"/>
          <w:sz w:val="24"/>
          <w:szCs w:val="24"/>
        </w:rPr>
        <w:t xml:space="preserve">Va detta una cosa che riguarda la natura materiale di queste pagine, e va detta apertamente perché tacerla sarebbe una omissione di provenienza, e l'opera non può domandare alle proprie fonti una trasparenza che non pratichi su di sé.</w:t>
      </w:r>
    </w:p>
    <w:p>
      <w:pPr>
        <w:spacing w:after="120" w:line="276"/>
        <w:jc w:val="both"/>
      </w:pPr>
      <w:r>
        <w:rPr>
          <w:rFonts w:ascii="Barlow Semi Condensed" w:cs="Barlow Semi Condensed" w:eastAsia="Barlow Semi Condensed" w:hAnsi="Barlow Semi Condensed"/>
          <w:sz w:val="24"/>
          <w:szCs w:val="24"/>
        </w:rPr>
        <w:t xml:space="preserve">Il testo è generato da una intelligenza artificiale, su comando e sotto la responsabilità di un autore che lo dirige. Questa circostanza non è un vezzo né una scusa. Essa è un dato di provenienza, e come ogni dato di provenienza incide sul valore di ciò che segue. Incide in due direzioni opposte, e conviene dirle entrambe.</w:t>
      </w:r>
    </w:p>
    <w:p>
      <w:pPr>
        <w:spacing w:after="120" w:line="276"/>
        <w:jc w:val="both"/>
      </w:pPr>
      <w:r>
        <w:rPr>
          <w:rFonts w:ascii="Barlow Semi Condensed" w:cs="Barlow Semi Condensed" w:eastAsia="Barlow Semi Condensed" w:hAnsi="Barlow Semi Condensed"/>
          <w:sz w:val="24"/>
          <w:szCs w:val="24"/>
        </w:rPr>
        <w:t xml:space="preserve">Nella direzione favorevole: uno strumento che non si stanchi può percorrere per intero un corpus che nessun lettore umano percorrerebbe interamente, può contare ciò che nessuno conterebbe, e non ha memoria affettiva del caso che lo induca a preferire un esito. Nella direzione sfavorevole, e più gravemente: uno strumento siffatto genera prosa plausibile anche dove non ha materia, e la plausibilità della prosa è precisamente ciò che un lettore scambia per fondatezza dell'asserzione. È il pericolo capitale di questo genere di composizione, ed è la ragione per la quale l'apparato che segue è così minuzioso: ogni proposizione porta il proprio grado, ogni grado porta la propria fonte, e ogni fonte porta i propri estremi, affinché il lettore possa in ogni punto verificare se dietro la frase ben formata vi sia un atto.</w:t>
      </w:r>
    </w:p>
    <w:p>
      <w:pPr>
        <w:spacing w:after="120" w:line="276"/>
        <w:jc w:val="both"/>
      </w:pPr>
      <w:r>
        <w:rPr>
          <w:rFonts w:ascii="Barlow Semi Condensed" w:cs="Barlow Semi Condensed" w:eastAsia="Barlow Semi Condensed" w:hAnsi="Barlow Semi Condensed"/>
          <w:sz w:val="24"/>
          <w:szCs w:val="24"/>
        </w:rPr>
        <w:t xml:space="preserve">Il lettore è dunque avvertito, e l'avvertimento è serio: non creda a questa opera perché è scritta bene. Ne verifichi le fonti. L'opera è costruita perché ciò sia possibile in ogni suo punto, ed è questa possibilità, e non l'eleganza, la sola cosa che essa offra a garanzia di sé.</w:t>
      </w:r>
    </w:p>
    <w:p>
      <w:pPr>
        <w:pStyle w:val="Heading2"/>
        <w:spacing w:after="100" w:before="200"/>
      </w:pPr>
      <w:r>
        <w:rPr>
          <w:rFonts w:ascii="Barlow Semi Condensed" w:cs="Barlow Semi Condensed" w:eastAsia="Barlow Semi Condensed" w:hAnsi="Barlow Semi Condensed"/>
          <w:sz w:val="24"/>
          <w:szCs w:val="24"/>
        </w:rPr>
        <w:t xml:space="preserve">L'animo con il quale è scritta</w:t>
      </w:r>
    </w:p>
    <w:p>
      <w:pPr>
        <w:spacing w:after="120" w:line="276"/>
        <w:jc w:val="both"/>
      </w:pPr>
      <w:r>
        <w:rPr>
          <w:rFonts w:ascii="Barlow Semi Condensed" w:cs="Barlow Semi Condensed" w:eastAsia="Barlow Semi Condensed" w:hAnsi="Barlow Semi Condensed"/>
          <w:sz w:val="24"/>
          <w:szCs w:val="24"/>
        </w:rPr>
        <w:t xml:space="preserve">Resta da dire una cosa che non appartiene al metodo ma senza la quale il metodo si comprende male.</w:t>
      </w:r>
    </w:p>
    <w:p>
      <w:pPr>
        <w:spacing w:after="120" w:line="276"/>
        <w:jc w:val="both"/>
      </w:pPr>
      <w:r>
        <w:rPr>
          <w:rFonts w:ascii="Barlow Semi Condensed" w:cs="Barlow Semi Condensed" w:eastAsia="Barlow Semi Condensed" w:hAnsi="Barlow Semi Condensed"/>
          <w:sz w:val="24"/>
          <w:szCs w:val="24"/>
        </w:rPr>
        <w:t xml:space="preserve">Al centro di questa materia vi è la morte di un uomo, e vi sono le morti di cinque uomini che lo accompagnavano quella mattina e che avevano famiglie, e nomi, e una vita davanti. Vi è una prigionia di cinquantacinque giorni, durante la quale un uomo scrisse lettere che furono lette, discusse, sospettate e in larga parte non ascoltate. Vi sono, attorno a tutto questo, decenni di dolore privato che non si sono chiusi.</w:t>
      </w:r>
    </w:p>
    <w:p>
      <w:pPr>
        <w:spacing w:after="120" w:line="276"/>
        <w:jc w:val="both"/>
      </w:pPr>
      <w:r>
        <w:rPr>
          <w:rFonts w:ascii="Barlow Semi Condensed" w:cs="Barlow Semi Condensed" w:eastAsia="Barlow Semi Condensed" w:hAnsi="Barlow Semi Condensed"/>
          <w:sz w:val="24"/>
          <w:szCs w:val="24"/>
        </w:rPr>
        <w:t xml:space="preserve">Una ricerca che dimenticasse questo diventerebbe un esercizio, e l'esercizio in questa materia è una forma di offesa. Ma una ricerca che se ne lasciasse governare diventerebbe un'orazione, e l'orazione non prova nulla. Fra le due cose occorre tenersi, e non è facile: la pietà detta il perché si ricerca, il metodo detta il come, e nessuna delle due deve invadere il campo dell'altra. L'opera si sforza di stare in questo equilibrio, sapendo di non riuscirvi sempre.</w:t>
      </w:r>
    </w:p>
    <w:p>
      <w:pPr>
        <w:pStyle w:val="Heading2"/>
        <w:spacing w:after="100" w:before="200"/>
      </w:pPr>
      <w:r>
        <w:rPr>
          <w:rFonts w:ascii="Barlow Semi Condensed" w:cs="Barlow Semi Condensed" w:eastAsia="Barlow Semi Condensed" w:hAnsi="Barlow Semi Condensed"/>
          <w:sz w:val="24"/>
          <w:szCs w:val="24"/>
        </w:rPr>
        <w:t xml:space="preserve">Capitolo secondo — La Regola di Ferro e le clausole di disciplina</w:t>
      </w:r>
    </w:p>
    <w:p>
      <w:pPr>
        <w:spacing w:after="120" w:line="276"/>
        <w:jc w:val="both"/>
      </w:pPr>
      <w:r>
        <w:rPr>
          <w:rFonts w:ascii="Barlow Semi Condensed" w:cs="Barlow Semi Condensed" w:eastAsia="Barlow Semi Condensed" w:hAnsi="Barlow Semi Condensed"/>
          <w:sz w:val="24"/>
          <w:szCs w:val="24"/>
        </w:rPr>
        <w:t xml:space="preserve">Ogni ricerca è governata da una regola sovrana, dichiarata o taciuta. Quando è taciuta essa opera lo stesso, e opera peggio, perché il lettore non può controllarla. Conviene dunque dichiararla.</w:t>
      </w:r>
    </w:p>
    <w:p>
      <w:pPr>
        <w:pStyle w:val="Heading2"/>
        <w:spacing w:after="100" w:before="200"/>
      </w:pPr>
      <w:r>
        <w:rPr>
          <w:rFonts w:ascii="Barlow Semi Condensed" w:cs="Barlow Semi Condensed" w:eastAsia="Barlow Semi Condensed" w:hAnsi="Barlow Semi Condensed"/>
          <w:sz w:val="24"/>
          <w:szCs w:val="24"/>
        </w:rPr>
        <w:t xml:space="preserve">La Regola di Ferro</w:t>
      </w:r>
    </w:p>
    <w:p>
      <w:pPr>
        <w:spacing w:after="120" w:line="276"/>
        <w:jc w:val="both"/>
      </w:pPr>
      <w:r>
        <w:rPr>
          <w:rFonts w:ascii="Barlow Semi Condensed" w:cs="Barlow Semi Condensed" w:eastAsia="Barlow Semi Condensed" w:hAnsi="Barlow Semi Condensed"/>
          <w:sz w:val="24"/>
          <w:szCs w:val="24"/>
        </w:rPr>
        <w:t xml:space="preserve">La regola sovrana di quest'opera si enuncia così: dove la fonte documenta, l'opera certifica; dove la fonte tace, l'opera indaga e non afferma.</w:t>
      </w:r>
    </w:p>
    <w:p>
      <w:pPr>
        <w:spacing w:after="120" w:line="276"/>
        <w:jc w:val="both"/>
      </w:pPr>
      <w:r>
        <w:rPr>
          <w:rFonts w:ascii="Barlow Semi Condensed" w:cs="Barlow Semi Condensed" w:eastAsia="Barlow Semi Condensed" w:hAnsi="Barlow Semi Condensed"/>
          <w:sz w:val="24"/>
          <w:szCs w:val="24"/>
        </w:rPr>
        <w:t xml:space="preserve">Essa ha due membri e vanno tenuti insieme. Il primo membro obbliga: dove esiste un atto, l'opera deve dire ciò che l'atto dice, anche quando ciò che l'atto dice è sgradevole, o contraddice una convinzione diffusa, o riguarda persone rispettabili. La certificazione non è facoltativa e non conosce riguardi.</w:t>
      </w:r>
    </w:p>
    <w:p>
      <w:pPr>
        <w:spacing w:after="120" w:line="276"/>
        <w:jc w:val="both"/>
      </w:pPr>
      <w:r>
        <w:rPr>
          <w:rFonts w:ascii="Barlow Semi Condensed" w:cs="Barlow Semi Condensed" w:eastAsia="Barlow Semi Condensed" w:hAnsi="Barlow Semi Condensed"/>
          <w:sz w:val="24"/>
          <w:szCs w:val="24"/>
        </w:rPr>
        <w:t xml:space="preserve">Il secondo membro vieta: dove l'atto manca, l'opera non colma. Ma vieta soltanto l'affermazione, non la ricerca. Il silenzio dell'opera non è rinuncia: è rigore in attesa. Ciò che oggi non si può dire allo stato degli atti potrà dirsi domani per un atto nuovo, e nel frattempo l'indagine prosegue. La differenza fra il tacere e il rinunciare è tutta qui, ed è grande: chi rinuncia chiude il fascicolo, chi tace lo tiene aperto.</w:t>
      </w:r>
    </w:p>
    <w:p>
      <w:pPr>
        <w:spacing w:after="120" w:line="276"/>
        <w:jc w:val="both"/>
      </w:pPr>
      <w:r>
        <w:rPr>
          <w:rFonts w:ascii="Barlow Semi Condensed" w:cs="Barlow Semi Condensed" w:eastAsia="Barlow Semi Condensed" w:hAnsi="Barlow Semi Condensed"/>
          <w:sz w:val="24"/>
          <w:szCs w:val="24"/>
        </w:rPr>
        <w:t xml:space="preserve">Da questa regola discende una conseguenza che occorre esplicitare, perché è quella che più frequentemente viene elusa. La regola vale anche contro le conclusioni che sarebbero gradite al ricercatore. Anzi, contro quelle in modo particolare: perché è precisamente davanti alla conclusione desiderata che il ricercatore trova naturale considerare sufficiente una prova che, se conducesse altrove, giudicherebbe insufficiente. La Regola di Ferro non è uno strumento contro gli altri: è uno strumento contro sé stessi.</w:t>
      </w:r>
    </w:p>
    <w:p>
      <w:pPr>
        <w:pStyle w:val="Heading2"/>
        <w:spacing w:after="100" w:before="200"/>
      </w:pPr>
      <w:r>
        <w:rPr>
          <w:rFonts w:ascii="Barlow Semi Condensed" w:cs="Barlow Semi Condensed" w:eastAsia="Barlow Semi Condensed" w:hAnsi="Barlow Semi Condensed"/>
          <w:sz w:val="24"/>
          <w:szCs w:val="24"/>
        </w:rPr>
        <w:t xml:space="preserve">Le quattro clausole di disciplina</w:t>
      </w:r>
    </w:p>
    <w:p>
      <w:pPr>
        <w:spacing w:after="120" w:line="276"/>
        <w:jc w:val="both"/>
      </w:pPr>
      <w:r>
        <w:rPr>
          <w:rFonts w:ascii="Barlow Semi Condensed" w:cs="Barlow Semi Condensed" w:eastAsia="Barlow Semi Condensed" w:hAnsi="Barlow Semi Condensed"/>
          <w:sz w:val="24"/>
          <w:szCs w:val="24"/>
        </w:rPr>
        <w:t xml:space="preserve">Attorno alla regola sovrana stanno quattro clausole, che ne governano l'applicazione in altrettanti punti dove l'esperienza ha mostrato che si sbaglia.</w:t>
      </w:r>
    </w:p>
    <w:p>
      <w:pPr>
        <w:spacing w:after="120" w:line="276"/>
        <w:jc w:val="both"/>
      </w:pPr>
      <w:r>
        <w:rPr>
          <w:rFonts w:ascii="Barlow Semi Condensed" w:cs="Barlow Semi Condensed" w:eastAsia="Barlow Semi Condensed" w:hAnsi="Barlow Semi Condensed"/>
          <w:sz w:val="24"/>
          <w:szCs w:val="24"/>
        </w:rPr>
        <w:t xml:space="preserve">La prima clausola vieta di psicologizzare le persone. Quest'opera impiega, per descrivere il comportamento degli archivi e dei sistemi documentali, alcune categorie che vengono dalla psicoanalisi: rimozione, censura, sintomo, ritorno. Esse si riferiscono esclusivamente al caso, all'archivio e al sistema delle carte; mai a persone reali, viventi o defunte. L'opera ausculta archivi e non psicoanalizza nessuno. Chi legga nell'espressione «rimozione documentale» un giudizio sulla psiche di chi ordinò l'omissione la legge contro la clausola.</w:t>
      </w:r>
    </w:p>
    <w:p>
      <w:pPr>
        <w:spacing w:after="120" w:line="276"/>
        <w:jc w:val="both"/>
      </w:pPr>
      <w:r>
        <w:rPr>
          <w:rFonts w:ascii="Barlow Semi Condensed" w:cs="Barlow Semi Condensed" w:eastAsia="Barlow Semi Condensed" w:hAnsi="Barlow Semi Condensed"/>
          <w:sz w:val="24"/>
          <w:szCs w:val="24"/>
        </w:rPr>
        <w:t xml:space="preserve">La seconda clausola vieta di importare la denegazione. Il diniego di una persona è un diniego e nulla più: non è ammissione, non è indizio, non muove alcuna soglia. Nella pratica clinica un diniego può valere come segnale; nel registro non entra. Chi trattasse la negazione come conferma rovescerebbe l'onere della prova, e nessuno potrebbe più difendersi da nulla.</w:t>
      </w:r>
    </w:p>
    <w:p>
      <w:pPr>
        <w:spacing w:after="120" w:line="276"/>
        <w:jc w:val="both"/>
      </w:pPr>
      <w:r>
        <w:rPr>
          <w:rFonts w:ascii="Barlow Semi Condensed" w:cs="Barlow Semi Condensed" w:eastAsia="Barlow Semi Condensed" w:hAnsi="Barlow Semi Condensed"/>
          <w:sz w:val="24"/>
          <w:szCs w:val="24"/>
        </w:rPr>
        <w:t xml:space="preserve">La terza clausola è filologica. Ogni figura, ogni metafora e ogni nome tecnico che l'opera impieghi deve dichiarare la propria provenienza e il proprio statuto. Le immagini sono strumenti di pensiero utilissimi e pericolosissimi: utilissimi perché fanno vedere, pericolosissimi perché fanno vedere anche ciò che non c'è. Un'immagine che porti al collo la propria carta d'origine resta uno strumento; un'immagine che se ne liberi diventa una tesi non dichiarata.</w:t>
      </w:r>
    </w:p>
    <w:p>
      <w:pPr>
        <w:spacing w:after="120" w:line="276"/>
        <w:jc w:val="both"/>
      </w:pPr>
      <w:r>
        <w:rPr>
          <w:rFonts w:ascii="Barlow Semi Condensed" w:cs="Barlow Semi Condensed" w:eastAsia="Barlow Semi Condensed" w:hAnsi="Barlow Semi Condensed"/>
          <w:sz w:val="24"/>
          <w:szCs w:val="24"/>
        </w:rPr>
        <w:t xml:space="preserve">La quarta clausola è costituzionale, e riguarda l'ordinamento interno dell'opera: nessuno strato comanda, tutti servono. Non esiste, nel registro, una parte sovrana alla quale le altre debbano conformarsi. La parte metodologica non comanda sulla parte documentale, e la parte documentale non comanda sulla metodologica: la prima serve a rendere leggibile la seconda, la seconda serve a mettere alla prova la prima. Quando l'una cominciasse a comandare sull'altra, l'opera avrebbe cessato di essere un registro.</w:t>
      </w:r>
    </w:p>
    <w:p>
      <w:pPr>
        <w:pStyle w:val="Heading2"/>
        <w:spacing w:after="100" w:before="200"/>
      </w:pPr>
      <w:r>
        <w:rPr>
          <w:rFonts w:ascii="Barlow Semi Condensed" w:cs="Barlow Semi Condensed" w:eastAsia="Barlow Semi Condensed" w:hAnsi="Barlow Semi Condensed"/>
          <w:sz w:val="24"/>
          <w:szCs w:val="24"/>
        </w:rPr>
        <w:t xml:space="preserve">La distinzione che regge tutto</w:t>
      </w:r>
    </w:p>
    <w:p>
      <w:pPr>
        <w:spacing w:after="120" w:line="276"/>
        <w:jc w:val="both"/>
      </w:pPr>
      <w:r>
        <w:rPr>
          <w:rFonts w:ascii="Barlow Semi Condensed" w:cs="Barlow Semi Condensed" w:eastAsia="Barlow Semi Condensed" w:hAnsi="Barlow Semi Condensed"/>
          <w:sz w:val="24"/>
          <w:szCs w:val="24"/>
        </w:rPr>
        <w:t xml:space="preserve">Vi è infine una distinzione che attraversa l'intera opera e che conviene fissare qui, perché senza di essa nulla di ciò che segue si comprende: la distinzione fra l'ordine dell'esposizione e l'ordine della prova.</w:t>
      </w:r>
    </w:p>
    <w:p>
      <w:pPr>
        <w:spacing w:after="120" w:line="276"/>
        <w:jc w:val="both"/>
      </w:pPr>
      <w:r>
        <w:rPr>
          <w:rFonts w:ascii="Barlow Semi Condensed" w:cs="Barlow Semi Condensed" w:eastAsia="Barlow Semi Condensed" w:hAnsi="Barlow Semi Condensed"/>
          <w:sz w:val="24"/>
          <w:szCs w:val="24"/>
        </w:rPr>
        <w:t xml:space="preserve">L'ordine dell'esposizione è quello del racconto. Esso procede come conviene alla comprensione: dal noto all'ignoto, dal semplice al complesso, dall'antefatto al fatto. Esso è legittimo, necessario, e non trasferisce alcun grado probatorio ad alcunché. Che due capitoli si susseguano non significa che il primo provi il secondo.</w:t>
      </w:r>
    </w:p>
    <w:p>
      <w:pPr>
        <w:spacing w:after="120" w:line="276"/>
        <w:jc w:val="both"/>
      </w:pPr>
      <w:r>
        <w:rPr>
          <w:rFonts w:ascii="Barlow Semi Condensed" w:cs="Barlow Semi Condensed" w:eastAsia="Barlow Semi Condensed" w:hAnsi="Barlow Semi Condensed"/>
          <w:sz w:val="24"/>
          <w:szCs w:val="24"/>
        </w:rPr>
        <w:t xml:space="preserve">L'ordine della prova è quello del documento. Esso procede dal basso: dall'atto all'asserzione, dall'asserzione al legame. Esso non conosce narrazione, non conosce climax, non conosce conclusione. Da esso soltanto discendono i gradi.</w:t>
      </w:r>
    </w:p>
    <w:p>
      <w:pPr>
        <w:spacing w:after="120" w:line="276"/>
        <w:jc w:val="both"/>
      </w:pPr>
      <w:r>
        <w:rPr>
          <w:rFonts w:ascii="Barlow Semi Condensed" w:cs="Barlow Semi Condensed" w:eastAsia="Barlow Semi Condensed" w:hAnsi="Barlow Semi Condensed"/>
          <w:sz w:val="24"/>
          <w:szCs w:val="24"/>
        </w:rPr>
        <w:t xml:space="preserve">La confusione dei due ordini è l'errore più diffuso in questa materia, e il più difficile da vedere, perché non si presenta mai come errore: si presenta come chiarezza espositiva. Il lettore che percorra una successione ben costruita di capitoli riceve, dalla successione medesima, l'impressione che ciascuno sostenga il seguente; e alla fine si trova persuaso di una conclusione che nessun documento sostiene, ma che la forma del discorso ha reso irresistibile. È così che si costruiscono, in perfetta buona fede, le ricostruzioni indimostrabili.</w:t>
      </w:r>
    </w:p>
    <w:p>
      <w:pPr>
        <w:spacing w:after="120" w:line="276"/>
        <w:jc w:val="both"/>
      </w:pPr>
      <w:r>
        <w:rPr>
          <w:rFonts w:ascii="Barlow Semi Condensed" w:cs="Barlow Semi Condensed" w:eastAsia="Barlow Semi Condensed" w:hAnsi="Barlow Semi Condensed"/>
          <w:sz w:val="24"/>
          <w:szCs w:val="24"/>
        </w:rPr>
        <w:t xml:space="preserve">Quest'opera tiene i due ordini separati e lo dichiara in ogni punto in cui potrebbero confondersi.</w:t>
      </w:r>
    </w:p>
    <w:p>
      <w:pPr>
        <w:pStyle w:val="Heading2"/>
        <w:spacing w:after="100" w:before="200"/>
      </w:pPr>
      <w:r>
        <w:rPr>
          <w:rFonts w:ascii="Barlow Semi Condensed" w:cs="Barlow Semi Condensed" w:eastAsia="Barlow Semi Condensed" w:hAnsi="Barlow Semi Condensed"/>
          <w:sz w:val="24"/>
          <w:szCs w:val="24"/>
        </w:rPr>
        <w:t xml:space="preserve">Capitolo terzo — La classificazione: sciolto, dubbio, dissolto</w:t>
      </w:r>
    </w:p>
    <w:p>
      <w:pPr>
        <w:spacing w:after="120" w:line="276"/>
        <w:jc w:val="both"/>
      </w:pPr>
      <w:r>
        <w:rPr>
          <w:rFonts w:ascii="Barlow Semi Condensed" w:cs="Barlow Semi Condensed" w:eastAsia="Barlow Semi Condensed" w:hAnsi="Barlow Semi Condensed"/>
          <w:sz w:val="24"/>
          <w:szCs w:val="24"/>
        </w:rPr>
        <w:t xml:space="preserve">Ogni proposizione di quest'opera porta scritto accanto a sé il proprio stato. Gli stati sono tre e tre soltanto, e conviene dire perché siano tre, perché non siano di più, e perché non siano graduati.</w:t>
      </w:r>
    </w:p>
    <w:p>
      <w:pPr>
        <w:pStyle w:val="Heading2"/>
        <w:spacing w:after="100" w:before="200"/>
      </w:pPr>
      <w:r>
        <w:rPr>
          <w:rFonts w:ascii="Barlow Semi Condensed" w:cs="Barlow Semi Condensed" w:eastAsia="Barlow Semi Condensed" w:hAnsi="Barlow Semi Condensed"/>
          <w:sz w:val="24"/>
          <w:szCs w:val="24"/>
        </w:rPr>
        <w:t xml:space="preserve">I tre stati</w:t>
      </w:r>
    </w:p>
    <w:p>
      <w:pPr>
        <w:spacing w:after="120" w:line="276"/>
        <w:jc w:val="both"/>
      </w:pPr>
      <w:r>
        <w:rPr>
          <w:rFonts w:ascii="Barlow Semi Condensed" w:cs="Barlow Semi Condensed" w:eastAsia="Barlow Semi Condensed" w:hAnsi="Barlow Semi Condensed"/>
          <w:sz w:val="24"/>
          <w:szCs w:val="24"/>
        </w:rPr>
        <w:t xml:space="preserve">Il primo stato è lo sciolto. Vi appartiene la proposizione che ha superato la verifica e resiste alla confutazione: essa poggia su atti, gli atti sono stati controllati, e nessun elemento noto la contraddice. Lo sciolto non è una certezza metafisica: è una proposizione che allo stato degli atti regge, e che potrebbe non reggere domani se un atto nuovo comparisse. Ma finché quell'atto non compare, essa vale, e l'opera la impiega senza cautele verbali, perché le cautele apposte a ciò che è accertato indeboliscono ciò che è accertato senza rafforzare nulla.</w:t>
      </w:r>
    </w:p>
    <w:p>
      <w:pPr>
        <w:spacing w:after="120" w:line="276"/>
        <w:jc w:val="both"/>
      </w:pPr>
      <w:r>
        <w:rPr>
          <w:rFonts w:ascii="Barlow Semi Condensed" w:cs="Barlow Semi Condensed" w:eastAsia="Barlow Semi Condensed" w:hAnsi="Barlow Semi Condensed"/>
          <w:sz w:val="24"/>
          <w:szCs w:val="24"/>
        </w:rPr>
        <w:t xml:space="preserve">Il secondo stato è il dubbio. Vi appartiene tutto ciò che sciolto non è. E qui viene la disposizione che più sorprende chi la incontri la prima volta: il dubbio è uno stato unico, non graduato e non gerarchizzato. Non esistono dubbi forti e dubbi deboli, dubbi quasi risolti e dubbi remoti. Tutto ciò che è dubbio è dubbio, indiviso, finché non sia sciolto.</w:t>
      </w:r>
    </w:p>
    <w:p>
      <w:pPr>
        <w:spacing w:after="120" w:line="276"/>
        <w:jc w:val="both"/>
      </w:pPr>
      <w:r>
        <w:rPr>
          <w:rFonts w:ascii="Barlow Semi Condensed" w:cs="Barlow Semi Condensed" w:eastAsia="Barlow Semi Condensed" w:hAnsi="Barlow Semi Condensed"/>
          <w:sz w:val="24"/>
          <w:szCs w:val="24"/>
        </w:rPr>
        <w:t xml:space="preserve">Il terzo stato è il dissolto. Vi appartiene ciò che è stato riconosciuto artefatto ed espunto. Ma l'espunzione avviene con menzione: l'opera dice che cosa ha espunto e perché, e non fa sparire in silenzio ciò che ha ritenuto falso. Un registro che cancelli senza dirlo domanda al lettore una fiducia che nessun registro ha diritto di domandare.</w:t>
      </w:r>
    </w:p>
    <w:p>
      <w:pPr>
        <w:pStyle w:val="Heading2"/>
        <w:spacing w:after="100" w:before="200"/>
      </w:pPr>
      <w:r>
        <w:rPr>
          <w:rFonts w:ascii="Barlow Semi Condensed" w:cs="Barlow Semi Condensed" w:eastAsia="Barlow Semi Condensed" w:hAnsi="Barlow Semi Condensed"/>
          <w:sz w:val="24"/>
          <w:szCs w:val="24"/>
        </w:rPr>
        <w:t xml:space="preserve">Perché il dubbio non si gradua</w:t>
      </w:r>
    </w:p>
    <w:p>
      <w:pPr>
        <w:spacing w:after="120" w:line="276"/>
        <w:jc w:val="both"/>
      </w:pPr>
      <w:r>
        <w:rPr>
          <w:rFonts w:ascii="Barlow Semi Condensed" w:cs="Barlow Semi Condensed" w:eastAsia="Barlow Semi Condensed" w:hAnsi="Barlow Semi Condensed"/>
          <w:sz w:val="24"/>
          <w:szCs w:val="24"/>
        </w:rPr>
        <w:t xml:space="preserve">La ragione per cui il dubbio resta indiviso merita di essere svolta, perché essa contraddice una pratica diffusa e apparentemente ragionevole.</w:t>
      </w:r>
    </w:p>
    <w:p>
      <w:pPr>
        <w:spacing w:after="120" w:line="276"/>
        <w:jc w:val="both"/>
      </w:pPr>
      <w:r>
        <w:rPr>
          <w:rFonts w:ascii="Barlow Semi Condensed" w:cs="Barlow Semi Condensed" w:eastAsia="Barlow Semi Condensed" w:hAnsi="Barlow Semi Condensed"/>
          <w:sz w:val="24"/>
          <w:szCs w:val="24"/>
        </w:rPr>
        <w:t xml:space="preserve">La pratica diffusa gradua: probabile, possibile, remoto. Essa pare ragionevole perché riflette una differenza che il ricercatore effettivamente avverte. Ma quella differenza, per quanto realmente avvertita, non è misurata: essa esprime la propensione del ricercatore, non una proprietà degli atti. E una propensione che venga scritta accanto a una proposizione, con l'aria di una misura, produce un effetto che il ricercatore non voleva: il lettore la legge come misura, la tratta come tale, e il dubbio graduato «probabile» comincia a comportarsi, nel discorso successivo, come se fosse mezzo sciolto.</w:t>
      </w:r>
    </w:p>
    <w:p>
      <w:pPr>
        <w:spacing w:after="120" w:line="276"/>
        <w:jc w:val="both"/>
      </w:pPr>
      <w:r>
        <w:rPr>
          <w:rFonts w:ascii="Barlow Semi Condensed" w:cs="Barlow Semi Condensed" w:eastAsia="Barlow Semi Condensed" w:hAnsi="Barlow Semi Condensed"/>
          <w:sz w:val="24"/>
          <w:szCs w:val="24"/>
        </w:rPr>
        <w:t xml:space="preserve">Di qui la deriva. Un dubbio probabile sostiene una inferenza; l'inferenza produce un dubbio meno probabile ma non trascurabile; questo ne sostiene un terzo; e alla quarta o quinta tappa si trova enunciata come acquisita una proposizione che non poggia su alcun atto, ma su una catena di propensioni ciascuna delle quali, presa da sola, appariva innocua. È il modo per il quale, in questa materia, si sono costruite intere ricostruzioni prive di fondamento documentale, senza che nessuno abbia mai mentito in alcun punto.</w:t>
      </w:r>
    </w:p>
    <w:p>
      <w:pPr>
        <w:spacing w:after="120" w:line="276"/>
        <w:jc w:val="both"/>
      </w:pPr>
      <w:r>
        <w:rPr>
          <w:rFonts w:ascii="Barlow Semi Condensed" w:cs="Barlow Semi Condensed" w:eastAsia="Barlow Semi Condensed" w:hAnsi="Barlow Semi Condensed"/>
          <w:sz w:val="24"/>
          <w:szCs w:val="24"/>
        </w:rPr>
        <w:t xml:space="preserve">La regola dell'indivisione del dubbio taglia la catena alla radice. Il dubbio non decide, non interferisce, non pesa; e da un dubbio non discende nulla.</w:t>
      </w:r>
    </w:p>
    <w:p>
      <w:pPr>
        <w:pStyle w:val="Heading2"/>
        <w:spacing w:after="100" w:before="200"/>
      </w:pPr>
      <w:r>
        <w:rPr>
          <w:rFonts w:ascii="Barlow Semi Condensed" w:cs="Barlow Semi Condensed" w:eastAsia="Barlow Semi Condensed" w:hAnsi="Barlow Semi Condensed"/>
          <w:sz w:val="24"/>
          <w:szCs w:val="24"/>
        </w:rPr>
        <w:t xml:space="preserve">La sola dinamica ammessa: la pressione</w:t>
      </w:r>
    </w:p>
    <w:p>
      <w:pPr>
        <w:spacing w:after="120" w:line="276"/>
        <w:jc w:val="both"/>
      </w:pPr>
      <w:r>
        <w:rPr>
          <w:rFonts w:ascii="Barlow Semi Condensed" w:cs="Barlow Semi Condensed" w:eastAsia="Barlow Semi Condensed" w:hAnsi="Barlow Semi Condensed"/>
          <w:sz w:val="24"/>
          <w:szCs w:val="24"/>
        </w:rPr>
        <w:t xml:space="preserve">Se i dubbi non si graduano, come si stabilisce quale istruire per primo? Perché una scelta occorre farla: i dubbi sono molti e il tempo è finito.</w:t>
      </w:r>
    </w:p>
    <w:p>
      <w:pPr>
        <w:spacing w:after="120" w:line="276"/>
        <w:jc w:val="both"/>
      </w:pPr>
      <w:r>
        <w:rPr>
          <w:rFonts w:ascii="Barlow Semi Condensed" w:cs="Barlow Semi Condensed" w:eastAsia="Barlow Semi Condensed" w:hAnsi="Barlow Semi Condensed"/>
          <w:sz w:val="24"/>
          <w:szCs w:val="24"/>
        </w:rPr>
        <w:t xml:space="preserve">L'opera riconosce ai dubbi una sola dinamica, che non è di verità ma di lavoro: i dubbi premono. La pressione di un dubbio si misura dal dispendio che il sistema documentale mostra attorno ad esso: dove molte carte sono state prodotte per spiegare una cosa sola, dove un punto è stato ripetutamente rettificato, dove un fascicolo è stato smarrito e ritrovato e nuovamente smarrito, lì il sistema ha speso per tenere fermo qualcosa. E il dispendio è osservabile, mentre ciò che esso trattiene non lo è.</w:t>
      </w:r>
    </w:p>
    <w:p>
      <w:pPr>
        <w:spacing w:after="120" w:line="276"/>
        <w:jc w:val="both"/>
      </w:pPr>
      <w:r>
        <w:rPr>
          <w:rFonts w:ascii="Barlow Semi Condensed" w:cs="Barlow Semi Condensed" w:eastAsia="Barlow Semi Condensed" w:hAnsi="Barlow Semi Condensed"/>
          <w:sz w:val="24"/>
          <w:szCs w:val="24"/>
        </w:rPr>
        <w:t xml:space="preserve">La pressione ordina dunque la coda delle istruttorie: essa dice dove il lavoro rende. Non dice, e non deve mai essere fatta dire, che cosa sia vero. Nessuna pressione promuove alcunché. Un dubbio attorno al quale si sia speso moltissimo resta esattamente tanto dubbio quanto uno attorno al quale non si sia speso nulla; è soltanto più conveniente scavarlo.</w:t>
      </w:r>
    </w:p>
    <w:p>
      <w:pPr>
        <w:pStyle w:val="Heading2"/>
        <w:spacing w:after="100" w:before="200"/>
      </w:pPr>
      <w:r>
        <w:rPr>
          <w:rFonts w:ascii="Barlow Semi Condensed" w:cs="Barlow Semi Condensed" w:eastAsia="Barlow Semi Condensed" w:hAnsi="Barlow Semi Condensed"/>
          <w:sz w:val="24"/>
          <w:szCs w:val="24"/>
        </w:rPr>
        <w:t xml:space="preserve">Ogni dubbio porta la propria condizione di scioglimento</w:t>
      </w:r>
    </w:p>
    <w:p>
      <w:pPr>
        <w:spacing w:after="120" w:line="276"/>
        <w:jc w:val="both"/>
      </w:pPr>
      <w:r>
        <w:rPr>
          <w:rFonts w:ascii="Barlow Semi Condensed" w:cs="Barlow Semi Condensed" w:eastAsia="Barlow Semi Condensed" w:hAnsi="Barlow Semi Condensed"/>
          <w:sz w:val="24"/>
          <w:szCs w:val="24"/>
        </w:rPr>
        <w:t xml:space="preserve">Vi è infine un obbligo che accompagna ogni dubbio registrato: accanto ad esso deve stare scritto che cosa, se trovato, lo scioglierebbe — in un senso o nell'altro.</w:t>
      </w:r>
    </w:p>
    <w:p>
      <w:pPr>
        <w:spacing w:after="120" w:line="276"/>
        <w:jc w:val="both"/>
      </w:pPr>
      <w:r>
        <w:rPr>
          <w:rFonts w:ascii="Barlow Semi Condensed" w:cs="Barlow Semi Condensed" w:eastAsia="Barlow Semi Condensed" w:hAnsi="Barlow Semi Condensed"/>
          <w:sz w:val="24"/>
          <w:szCs w:val="24"/>
        </w:rPr>
        <w:t xml:space="preserve">Questo obbligo è la parte più esigente dell'apparato e la più utile. Esigente, perché costringe il ricercatore a dichiarare in anticipo che cosa accetterebbe come smentita, e dunque gli impedisce di riconoscere retrospettivamente come confermativo qualunque esito. Utile, perché trasforma il registro in uno strumento di lavoro: chi voglia proseguire la ricerca trova scritto, per ciascun punto aperto, quale documento cercare e dove.</w:t>
      </w:r>
    </w:p>
    <w:p>
      <w:pPr>
        <w:spacing w:after="120" w:line="276"/>
        <w:jc w:val="both"/>
      </w:pPr>
      <w:r>
        <w:rPr>
          <w:rFonts w:ascii="Barlow Semi Condensed" w:cs="Barlow Semi Condensed" w:eastAsia="Barlow Semi Condensed" w:hAnsi="Barlow Semi Condensed"/>
          <w:sz w:val="24"/>
          <w:szCs w:val="24"/>
        </w:rPr>
        <w:t xml:space="preserve">Un dubbio senza condizione di scioglimento non è un dubbio: è una insinuazione che ha preso la forma grammaticale della prudenza. L'opera non ne registra.</w:t>
      </w:r>
    </w:p>
    <w:p>
      <w:pPr>
        <w:pStyle w:val="Heading2"/>
        <w:spacing w:after="100" w:before="200"/>
      </w:pPr>
      <w:r>
        <w:rPr>
          <w:rFonts w:ascii="Barlow Semi Condensed" w:cs="Barlow Semi Condensed" w:eastAsia="Barlow Semi Condensed" w:hAnsi="Barlow Semi Condensed"/>
          <w:sz w:val="24"/>
          <w:szCs w:val="24"/>
        </w:rPr>
        <w:t xml:space="preserve">Nota sulla scala anteriore</w:t>
      </w:r>
    </w:p>
    <w:p>
      <w:pPr>
        <w:spacing w:after="120" w:line="276"/>
        <w:jc w:val="both"/>
      </w:pPr>
      <w:r>
        <w:rPr>
          <w:rFonts w:ascii="Barlow Semi Condensed" w:cs="Barlow Semi Condensed" w:eastAsia="Barlow Semi Condensed" w:hAnsi="Barlow Semi Condensed"/>
          <w:sz w:val="24"/>
          <w:szCs w:val="24"/>
        </w:rPr>
        <w:t xml:space="preserve">L'opera ha impiegato, in una fase anteriore del proprio lavoro, una scala a tre livelli di derivazione criminologica, che distingueva il fatto documentato da fonte diretta, la ricostruzione di organo qualificato, e l'ipotesi dichiarata. Quella scala non è rinnegata: essa resta leggibile negli strati che la portano, ed è onorata come primo ordinamento dell'opera.</w:t>
      </w:r>
    </w:p>
    <w:p>
      <w:pPr>
        <w:spacing w:after="120" w:line="276"/>
        <w:jc w:val="both"/>
      </w:pPr>
      <w:r>
        <w:rPr>
          <w:rFonts w:ascii="Barlow Semi Condensed" w:cs="Barlow Semi Condensed" w:eastAsia="Barlow Semi Condensed" w:hAnsi="Barlow Semi Condensed"/>
          <w:sz w:val="24"/>
          <w:szCs w:val="24"/>
        </w:rPr>
        <w:t xml:space="preserve">Ma essa non governa più. Il suo statuto attuale è consultivo: si consulta come si consulta una carta nautica anteriore, per vedere come il fondale fu rilevato una volta, e non per governare la rotta di oggi. La ragione del mutamento è semplice e sarà detta senza reticenza: una scala a tre livelli graduati, applicata a un corpus vasto, tende a essere applicata per abitudine, e l'abitudine produce una distribuzione nella quale quasi tutto riceve il grado massimo. Quando ciò accade, la scala ha cessato di misurare e ha cominciato a decorare. La scala è sostanziale o non è nulla.</w:t>
      </w:r>
    </w:p>
    <w:p>
      <w:pPr>
        <w:pStyle w:val="Heading2"/>
        <w:spacing w:after="100" w:before="200"/>
      </w:pPr>
      <w:r>
        <w:rPr>
          <w:rFonts w:ascii="Barlow Semi Condensed" w:cs="Barlow Semi Condensed" w:eastAsia="Barlow Semi Condensed" w:hAnsi="Barlow Semi Condensed"/>
          <w:sz w:val="24"/>
          <w:szCs w:val="24"/>
        </w:rPr>
        <w:t xml:space="preserve">Capitolo quarto — La notazione e la verificabilità</w:t>
      </w:r>
    </w:p>
    <w:p>
      <w:pPr>
        <w:spacing w:after="120" w:line="276"/>
        <w:jc w:val="both"/>
      </w:pPr>
      <w:r>
        <w:rPr>
          <w:rFonts w:ascii="Barlow Semi Condensed" w:cs="Barlow Semi Condensed" w:eastAsia="Barlow Semi Condensed" w:hAnsi="Barlow Semi Condensed"/>
          <w:sz w:val="24"/>
          <w:szCs w:val="24"/>
        </w:rPr>
        <w:t xml:space="preserve">Vi è una questione che pare minuta e che minuta non è: quando un numero si scriva in lettere e quando in cifre. Essa fu sollevata nel corso del lavoro, e la risposta che le fu data ha modificato l'apparato in un punto che tocca direttamente la Regola di Ferro.</w:t>
      </w:r>
    </w:p>
    <w:p>
      <w:pPr>
        <w:pStyle w:val="Heading2"/>
        <w:spacing w:after="100" w:before="200"/>
      </w:pPr>
      <w:r>
        <w:rPr>
          <w:rFonts w:ascii="Barlow Semi Condensed" w:cs="Barlow Semi Condensed" w:eastAsia="Barlow Semi Condensed" w:hAnsi="Barlow Semi Condensed"/>
          <w:sz w:val="24"/>
          <w:szCs w:val="24"/>
        </w:rPr>
        <w:t xml:space="preserve">Il criterio</w:t>
      </w:r>
    </w:p>
    <w:p>
      <w:pPr>
        <w:spacing w:after="120" w:line="276"/>
        <w:jc w:val="both"/>
      </w:pPr>
      <w:r>
        <w:rPr>
          <w:rFonts w:ascii="Barlow Semi Condensed" w:cs="Barlow Semi Condensed" w:eastAsia="Barlow Semi Condensed" w:hAnsi="Barlow Semi Condensed"/>
          <w:sz w:val="24"/>
          <w:szCs w:val="24"/>
        </w:rPr>
        <w:t xml:space="preserve">Il criterio non è di gusto e non è di registro: è funzionale, e si enuncia in una proposizione. Il numero che serve a ritrovare non si traduce; il numero che serve a contare si scrive in lettere.</w:t>
      </w:r>
    </w:p>
    <w:p>
      <w:pPr>
        <w:spacing w:after="120" w:line="276"/>
        <w:jc w:val="both"/>
      </w:pPr>
      <w:r>
        <w:rPr>
          <w:rFonts w:ascii="Barlow Semi Condensed" w:cs="Barlow Semi Condensed" w:eastAsia="Barlow Semi Condensed" w:hAnsi="Barlow Semi Condensed"/>
          <w:sz w:val="24"/>
          <w:szCs w:val="24"/>
        </w:rPr>
        <w:t xml:space="preserve">Vi sono infatti due nature del numero, e la lingua comune le confonde perché le scrive nello stesso modo.</w:t>
      </w:r>
    </w:p>
    <w:p>
      <w:pPr>
        <w:spacing w:after="120" w:line="276"/>
        <w:jc w:val="both"/>
      </w:pPr>
      <w:r>
        <w:rPr>
          <w:rFonts w:ascii="Barlow Semi Condensed" w:cs="Barlow Semi Condensed" w:eastAsia="Barlow Semi Condensed" w:hAnsi="Barlow Semi Condensed"/>
          <w:sz w:val="24"/>
          <w:szCs w:val="24"/>
        </w:rPr>
        <w:t xml:space="preserve">Il numero che designa non misura nulla. Esso è una chiave: la sua funzione è consentire a un terzo di ritornare alla fonte. Un numero di protocollo, una segnatura archivistica, l'articolo di una legge, il numero di una sentenza, la data di un atto: nessuno di questi dice quanto. Ciascuno dice dove.</w:t>
      </w:r>
    </w:p>
    <w:p>
      <w:pPr>
        <w:spacing w:after="120" w:line="276"/>
        <w:jc w:val="both"/>
      </w:pPr>
      <w:r>
        <w:rPr>
          <w:rFonts w:ascii="Barlow Semi Condensed" w:cs="Barlow Semi Condensed" w:eastAsia="Barlow Semi Condensed" w:hAnsi="Barlow Semi Condensed"/>
          <w:sz w:val="24"/>
          <w:szCs w:val="24"/>
        </w:rPr>
        <w:t xml:space="preserve">Il numero che misura non designa nulla. Esso dice quanto: quanti capitoli, quante fonti, quanti anni durò una legislatura. Nessuno userà quel numero per raggiungere alcunché.</w:t>
      </w:r>
    </w:p>
    <w:p>
      <w:pPr>
        <w:pStyle w:val="Heading2"/>
        <w:spacing w:after="100" w:before="200"/>
      </w:pPr>
      <w:r>
        <w:rPr>
          <w:rFonts w:ascii="Barlow Semi Condensed" w:cs="Barlow Semi Condensed" w:eastAsia="Barlow Semi Condensed" w:hAnsi="Barlow Semi Condensed"/>
          <w:sz w:val="24"/>
          <w:szCs w:val="24"/>
        </w:rPr>
        <w:t xml:space="preserve">Perché la distinzione è probatoria e non tipografica</w:t>
      </w:r>
    </w:p>
    <w:p>
      <w:pPr>
        <w:spacing w:after="120" w:line="276"/>
        <w:jc w:val="both"/>
      </w:pPr>
      <w:r>
        <w:rPr>
          <w:rFonts w:ascii="Barlow Semi Condensed" w:cs="Barlow Semi Condensed" w:eastAsia="Barlow Semi Condensed" w:hAnsi="Barlow Semi Condensed"/>
          <w:sz w:val="24"/>
          <w:szCs w:val="24"/>
        </w:rPr>
        <w:t xml:space="preserve">Un protocollo trascritto in lettere è un protocollo distrutto. Nessun indice lo reperisce, nessun catalogo lo restituisce, nessuna ricerca testuale lo trova. Il lettore che volesse verificare l'atto si troverebbe davanti una parola che non è una chiave, e dovrebbe ritradurla per tentativi.</w:t>
      </w:r>
    </w:p>
    <w:p>
      <w:pPr>
        <w:spacing w:after="120" w:line="276"/>
        <w:jc w:val="both"/>
      </w:pPr>
      <w:r>
        <w:rPr>
          <w:rFonts w:ascii="Barlow Semi Condensed" w:cs="Barlow Semi Condensed" w:eastAsia="Barlow Semi Condensed" w:hAnsi="Barlow Semi Condensed"/>
          <w:sz w:val="24"/>
          <w:szCs w:val="24"/>
        </w:rPr>
        <w:t xml:space="preserve">Ne segue che la trascrizione in lettere di un numero di reperimento produce lo stesso effetto pratico di una omissione di fonte. Non lo produce per intenzione: lo produce per conseguenza. E l'opera è giudicata sulle conseguenze dei propri atti, non sulle intenzioni con le quali li ha compiuti.</w:t>
      </w:r>
    </w:p>
    <w:p>
      <w:pPr>
        <w:spacing w:after="120" w:line="276"/>
        <w:jc w:val="both"/>
      </w:pPr>
      <w:r>
        <w:rPr>
          <w:rFonts w:ascii="Barlow Semi Condensed" w:cs="Barlow Semi Condensed" w:eastAsia="Barlow Semi Condensed" w:hAnsi="Barlow Semi Condensed"/>
          <w:sz w:val="24"/>
          <w:szCs w:val="24"/>
        </w:rPr>
        <w:t xml:space="preserve">Di qui il carattere della prescrizione: essa non è fluida ma ferrea, perché non discende dallo stile ma dalla Regola di Ferro. Uno stile che renda inverificabile ciò che l'opera dichiara verificabile non è uno stile: è un difetto probatorio in veste elegante.</w:t>
      </w:r>
    </w:p>
    <w:p>
      <w:pPr>
        <w:pStyle w:val="Heading2"/>
        <w:spacing w:after="100" w:before="200"/>
      </w:pPr>
      <w:r>
        <w:rPr>
          <w:rFonts w:ascii="Barlow Semi Condensed" w:cs="Barlow Semi Condensed" w:eastAsia="Barlow Semi Condensed" w:hAnsi="Barlow Semi Condensed"/>
          <w:sz w:val="24"/>
          <w:szCs w:val="24"/>
        </w:rPr>
        <w:t xml:space="preserve">I due repertori</w:t>
      </w:r>
    </w:p>
    <w:p>
      <w:pPr>
        <w:spacing w:after="120" w:line="276"/>
        <w:jc w:val="both"/>
      </w:pPr>
      <w:r>
        <w:rPr>
          <w:rFonts w:ascii="Barlow Semi Condensed" w:cs="Barlow Semi Condensed" w:eastAsia="Barlow Semi Condensed" w:hAnsi="Barlow Semi Condensed"/>
          <w:sz w:val="24"/>
          <w:szCs w:val="24"/>
        </w:rPr>
        <w:t xml:space="preserve">Si scrivono in cifre: i protocolli e le segnature; gli atti normativi con numero, data, articolo e comma; le sentenze e i procedimenti; le date e gli anni, che sono chiavi di reperimento archivistico prima che quantità; le pagine, i volumi, i tomi e i documenti parlamentari; gli identificativi stabili; le versioni; le impronte e ogni stringa alfanumerica; gli standard e i formati; i parametri tecnici; i valori statistici, le soglie e le percentuali con decimale; le misure di collaudo.</w:t>
      </w:r>
    </w:p>
    <w:p>
      <w:pPr>
        <w:spacing w:after="120" w:line="276"/>
        <w:jc w:val="both"/>
      </w:pPr>
      <w:r>
        <w:rPr>
          <w:rFonts w:ascii="Barlow Semi Condensed" w:cs="Barlow Semi Condensed" w:eastAsia="Barlow Semi Condensed" w:hAnsi="Barlow Semi Condensed"/>
          <w:sz w:val="24"/>
          <w:szCs w:val="24"/>
        </w:rPr>
        <w:t xml:space="preserve">Si scrivono in lettere: i conteggi enunciati in prosa; gli ordinali delle partizioni dell'opera, quali Fase, Capitolo, Sezione; le quantità approssimate; i numeri inferiori alla decina nel discorso corrente; le percentuali intere enunciate narrativamente.</w:t>
      </w:r>
    </w:p>
    <w:p>
      <w:pPr>
        <w:pStyle w:val="Heading2"/>
        <w:spacing w:after="100" w:before="200"/>
      </w:pPr>
      <w:r>
        <w:rPr>
          <w:rFonts w:ascii="Barlow Semi Condensed" w:cs="Barlow Semi Condensed" w:eastAsia="Barlow Semi Condensed" w:hAnsi="Barlow Semi Condensed"/>
          <w:sz w:val="24"/>
          <w:szCs w:val="24"/>
        </w:rPr>
        <w:t xml:space="preserve">Le due salvaguardie e la prova del terzo</w:t>
      </w:r>
    </w:p>
    <w:p>
      <w:pPr>
        <w:spacing w:after="120" w:line="276"/>
        <w:jc w:val="both"/>
      </w:pPr>
      <w:r>
        <w:rPr>
          <w:rFonts w:ascii="Barlow Semi Condensed" w:cs="Barlow Semi Condensed" w:eastAsia="Barlow Semi Condensed" w:hAnsi="Barlow Semi Condensed"/>
          <w:sz w:val="24"/>
          <w:szCs w:val="24"/>
        </w:rPr>
        <w:t xml:space="preserve">La prima salvaguardia riguarda le citazioni. Il numero che compare dentro una citazione si riproduce nella forma in cui la fonte lo reca, quale che sia la convenzione dell'opera. Convertire la notazione di una fonte è emendarla in silenzio, e l'emendamento silenzioso di una fonte è precisamente ciò che quest'opera esiste per non fare.</w:t>
      </w:r>
    </w:p>
    <w:p>
      <w:pPr>
        <w:spacing w:after="120" w:line="276"/>
        <w:jc w:val="both"/>
      </w:pPr>
      <w:r>
        <w:rPr>
          <w:rFonts w:ascii="Barlow Semi Condensed" w:cs="Barlow Semi Condensed" w:eastAsia="Barlow Semi Condensed" w:hAnsi="Barlow Semi Condensed"/>
          <w:sz w:val="24"/>
          <w:szCs w:val="24"/>
        </w:rPr>
        <w:t xml:space="preserve">La seconda salvaguardia riguarda il passato. Gli strati già deposti non si riscrivono per adeguarli alla norma nuova. Ove in essi un numero di reperimento figuri in lettere, si intenda il medesimo numero che oggi si scriverebbe in cifre: la difformità è testimone della propria epoca e non errore da correggere.</w:t>
      </w:r>
    </w:p>
    <w:p>
      <w:pPr>
        <w:spacing w:after="120" w:line="276"/>
        <w:jc w:val="both"/>
      </w:pPr>
      <w:r>
        <w:rPr>
          <w:rFonts w:ascii="Barlow Semi Condensed" w:cs="Barlow Semi Condensed" w:eastAsia="Barlow Semi Condensed" w:hAnsi="Barlow Semi Condensed"/>
          <w:sz w:val="24"/>
          <w:szCs w:val="24"/>
        </w:rPr>
        <w:t xml:space="preserve">Nei casi dubbi vale la prova del terzo. Ci si domandi se un lettore che non conosca l'opera debba potersi servire di quel numero per raggiungere una fonte. Se sì, il numero designa e va in cifre; se no, misura e va in lettere. La prova si esegue e non si presume.</w:t>
      </w:r>
    </w:p>
    <w:p>
      <w:pPr>
        <w:pStyle w:val="Heading2"/>
        <w:spacing w:after="100" w:before="200"/>
      </w:pPr>
      <w:r>
        <w:rPr>
          <w:rFonts w:ascii="Barlow Semi Condensed" w:cs="Barlow Semi Condensed" w:eastAsia="Barlow Semi Condensed" w:hAnsi="Barlow Semi Condensed"/>
          <w:sz w:val="24"/>
          <w:szCs w:val="24"/>
        </w:rPr>
        <w:t xml:space="preserve">Una osservazione più generale</w:t>
      </w:r>
    </w:p>
    <w:p>
      <w:pPr>
        <w:spacing w:after="120" w:line="276"/>
        <w:jc w:val="both"/>
      </w:pPr>
      <w:r>
        <w:rPr>
          <w:rFonts w:ascii="Barlow Semi Condensed" w:cs="Barlow Semi Condensed" w:eastAsia="Barlow Semi Condensed" w:hAnsi="Barlow Semi Condensed"/>
          <w:sz w:val="24"/>
          <w:szCs w:val="24"/>
        </w:rPr>
        <w:t xml:space="preserve">Questa norma minuta insegna una cosa che vale oltre di sé. Le convenzioni formali di un'opera non sono neutre rispetto alla sua sostanza probatoria. Una regola tipografica applicata senza distinzione, per il solo desiderio di uniformità, può sopprimere silenziosamente la verificabilità di centinaia di riferimenti, senza che nessuno se ne accorga e senza che una sola affermazione falsa sia stata scritta.</w:t>
      </w:r>
    </w:p>
    <w:p>
      <w:pPr>
        <w:spacing w:after="120" w:line="276"/>
        <w:jc w:val="both"/>
      </w:pPr>
      <w:r>
        <w:rPr>
          <w:rFonts w:ascii="Barlow Semi Condensed" w:cs="Barlow Semi Condensed" w:eastAsia="Barlow Semi Condensed" w:hAnsi="Barlow Semi Condensed"/>
          <w:sz w:val="24"/>
          <w:szCs w:val="24"/>
        </w:rPr>
        <w:t xml:space="preserve">È il modo per il quale un'opera perde rigore senza perdere una virgola di correttezza: non sbagliando, ma uniformando dove avrebbe dovuto distinguere.</w:t>
      </w:r>
    </w:p>
    <w:p>
      <w:pPr>
        <w:pStyle w:val="Heading2"/>
        <w:spacing w:after="100" w:before="200"/>
      </w:pPr>
      <w:r>
        <w:rPr>
          <w:rFonts w:ascii="Barlow Semi Condensed" w:cs="Barlow Semi Condensed" w:eastAsia="Barlow Semi Condensed" w:hAnsi="Barlow Semi Condensed"/>
          <w:sz w:val="24"/>
          <w:szCs w:val="24"/>
        </w:rPr>
        <w:t xml:space="preserve">Capitolo quinto — Il protocollo di traduzione: il nome e la funzione</w:t>
      </w:r>
    </w:p>
    <w:p>
      <w:pPr>
        <w:spacing w:after="120" w:line="276"/>
        <w:jc w:val="both"/>
      </w:pPr>
      <w:r>
        <w:rPr>
          <w:rFonts w:ascii="Barlow Semi Condensed" w:cs="Barlow Semi Condensed" w:eastAsia="Barlow Semi Condensed" w:hAnsi="Barlow Semi Condensed"/>
          <w:sz w:val="24"/>
          <w:szCs w:val="24"/>
        </w:rPr>
        <w:t xml:space="preserve">Questa opera designa le persone, ove la funzione basti a identificare l'atto, per la funzione che esercitavano e non per il nome che portavano. Scrive dunque il capo del servizio informativo, il magistrato inquirente, il presidente della commissione, e non i nomi corrispondenti.</w:t>
      </w:r>
    </w:p>
    <w:p>
      <w:pPr>
        <w:spacing w:after="120" w:line="276"/>
        <w:jc w:val="both"/>
      </w:pPr>
      <w:r>
        <w:rPr>
          <w:rFonts w:ascii="Barlow Semi Condensed" w:cs="Barlow Semi Condensed" w:eastAsia="Barlow Semi Condensed" w:hAnsi="Barlow Semi Condensed"/>
          <w:sz w:val="24"/>
          <w:szCs w:val="24"/>
        </w:rPr>
        <w:t xml:space="preserve">La scelta ha ragioni serie. Ha anche un costo, che si è manifestato in modo imprevisto e istruttivo, e che qui va raccontato per intero, perché è uno dei casi in cui l'opera ha imparato qualcosa dal proprio stesso errore.</w:t>
      </w:r>
    </w:p>
    <w:p>
      <w:pPr>
        <w:pStyle w:val="Heading2"/>
        <w:spacing w:after="100" w:before="200"/>
      </w:pPr>
      <w:r>
        <w:rPr>
          <w:rFonts w:ascii="Barlow Semi Condensed" w:cs="Barlow Semi Condensed" w:eastAsia="Barlow Semi Condensed" w:hAnsi="Barlow Semi Condensed"/>
          <w:sz w:val="24"/>
          <w:szCs w:val="24"/>
        </w:rPr>
        <w:t xml:space="preserve">Le ragioni della designazione funzionale</w:t>
      </w:r>
    </w:p>
    <w:p>
      <w:pPr>
        <w:spacing w:after="120" w:line="276"/>
        <w:jc w:val="both"/>
      </w:pPr>
      <w:r>
        <w:rPr>
          <w:rFonts w:ascii="Barlow Semi Condensed" w:cs="Barlow Semi Condensed" w:eastAsia="Barlow Semi Condensed" w:hAnsi="Barlow Semi Condensed"/>
          <w:sz w:val="24"/>
          <w:szCs w:val="24"/>
        </w:rPr>
        <w:t xml:space="preserve">La prima ragione è di giustizia verso le persone. In una materia dove la maggior parte delle proposizioni resta in stato di dubbio, l'accostamento ripetuto di un nome proprio a un contesto sospetto produce, sul lettore, un effetto che nessuna cautela verbale corregge. Il nome si carica del contesto. Chi sia stato nominato cento volte accanto a una omissione finisce per essere ricordato come chi la compì, anche se l'opera avrà scritto cento volte che l'omissione non gli è attribuita.</w:t>
      </w:r>
    </w:p>
    <w:p>
      <w:pPr>
        <w:spacing w:after="120" w:line="276"/>
        <w:jc w:val="both"/>
      </w:pPr>
      <w:r>
        <w:rPr>
          <w:rFonts w:ascii="Barlow Semi Condensed" w:cs="Barlow Semi Condensed" w:eastAsia="Barlow Semi Condensed" w:hAnsi="Barlow Semi Condensed"/>
          <w:sz w:val="24"/>
          <w:szCs w:val="24"/>
        </w:rPr>
        <w:t xml:space="preserve">La seconda ragione è probatoria, ed è la più forte. Ciò che l'atto documenta, quasi sempre, è un atto d'ufficio: una comunicazione non trasmessa, un ordine impartito, un verbale redatto. Il documento attesta che quella funzione compì quell'atto. Che la persona fisica che allora la esercitava sia responsabile di ciò che l'atto significa è una proposizione ulteriore, che domanda una prova ulteriore. Designare per funzione mantiene la proposizione dentro il perimetro che il documento sostiene; designare per nome la fa uscire, silenziosamente, in un perimetro dove il documento non arriva.</w:t>
      </w:r>
    </w:p>
    <w:p>
      <w:pPr>
        <w:pStyle w:val="Heading2"/>
        <w:spacing w:after="100" w:before="200"/>
      </w:pPr>
      <w:r>
        <w:rPr>
          <w:rFonts w:ascii="Barlow Semi Condensed" w:cs="Barlow Semi Condensed" w:eastAsia="Barlow Semi Condensed" w:hAnsi="Barlow Semi Condensed"/>
          <w:sz w:val="24"/>
          <w:szCs w:val="24"/>
        </w:rPr>
        <w:t xml:space="preserve">Il costo: una assenza che sembrava un fatto</w:t>
      </w:r>
    </w:p>
    <w:p>
      <w:pPr>
        <w:spacing w:after="120" w:line="276"/>
        <w:jc w:val="both"/>
      </w:pPr>
      <w:r>
        <w:rPr>
          <w:rFonts w:ascii="Barlow Semi Condensed" w:cs="Barlow Semi Condensed" w:eastAsia="Barlow Semi Condensed" w:hAnsi="Barlow Semi Condensed"/>
          <w:sz w:val="24"/>
          <w:szCs w:val="24"/>
        </w:rPr>
        <w:t xml:space="preserve">Nel corso della federazione di questa opera con il corpus maggiore al quale essa appartiene, si è condotta una verifica di convergenza: quali fra i nodi censiti nel corpus maggiore comparissero anche qui.</w:t>
      </w:r>
    </w:p>
    <w:p>
      <w:pPr>
        <w:spacing w:after="120" w:line="276"/>
        <w:jc w:val="both"/>
      </w:pPr>
      <w:r>
        <w:rPr>
          <w:rFonts w:ascii="Barlow Semi Condensed" w:cs="Barlow Semi Condensed" w:eastAsia="Barlow Semi Condensed" w:hAnsi="Barlow Semi Condensed"/>
          <w:sz w:val="24"/>
          <w:szCs w:val="24"/>
        </w:rPr>
        <w:t xml:space="preserve">L'esito fu impressionante e pareva significativo. Su duecentoundici nodi verificati, ventidue soltanto risultavano presenti. Centottantanove risultavano assenti, e fra gli assenti figuravano quelli di maggiore peso: le organizzazioni criminali, i grandi nomi della loggia e della finanza, i magistrati, gli apparati informativi. Si sarebbe potuto trarne una conclusione forte, e la conclusione si presentava da sé: quest'opera trascura la dimensione che il corpus maggiore documenta.</w:t>
      </w:r>
    </w:p>
    <w:p>
      <w:pPr>
        <w:spacing w:after="120" w:line="276"/>
        <w:jc w:val="both"/>
      </w:pPr>
      <w:r>
        <w:rPr>
          <w:rFonts w:ascii="Barlow Semi Condensed" w:cs="Barlow Semi Condensed" w:eastAsia="Barlow Semi Condensed" w:hAnsi="Barlow Semi Condensed"/>
          <w:sz w:val="24"/>
          <w:szCs w:val="24"/>
        </w:rPr>
        <w:t xml:space="preserve">La conclusione era falsa, e la sua falsità fu accertata sottoponendo l'assenza a istruttoria anziché a interpretazione. Si cercò, per ciascun nodo assente, non il nome ma la locuzione di funzione che lo designerebbe. Al nome della loggia, zero occorrenze, corrisponde il termine loggia con trentatré. Ai nomi degli apparati informativi, zero occorrenze, corrispondono le locuzioni servizio informativo e apparati informativi con sedici complessive. Al nome del magistrato, zero occorrenze, corrispondono magistratura e Procura con novantotto. Alla struttura clandestina, una sola occorrenza per nome, corrispondono diciassette per locuzione. Al pontefice, zero per nome, sedici per funzione.</w:t>
      </w:r>
    </w:p>
    <w:p>
      <w:pPr>
        <w:spacing w:after="120" w:line="276"/>
        <w:jc w:val="both"/>
      </w:pPr>
      <w:r>
        <w:rPr>
          <w:rFonts w:ascii="Barlow Semi Condensed" w:cs="Barlow Semi Condensed" w:eastAsia="Barlow Semi Condensed" w:hAnsi="Barlow Semi Condensed"/>
          <w:sz w:val="24"/>
          <w:szCs w:val="24"/>
        </w:rPr>
        <w:t xml:space="preserve">L'assenza era artefatto dello strumento. Una ricerca condotta per nomi propri contro un corpus che designa per funzione non può restituire altro che assenza, e l'assenza che essa restituisce non dice nulla del corpus: dice tutto dello strumento.</w:t>
      </w:r>
    </w:p>
    <w:p>
      <w:pPr>
        <w:pStyle w:val="Heading2"/>
        <w:spacing w:after="100" w:before="200"/>
      </w:pPr>
      <w:r>
        <w:rPr>
          <w:rFonts w:ascii="Barlow Semi Condensed" w:cs="Barlow Semi Condensed" w:eastAsia="Barlow Semi Condensed" w:hAnsi="Barlow Semi Condensed"/>
          <w:sz w:val="24"/>
          <w:szCs w:val="24"/>
        </w:rPr>
        <w:t xml:space="preserve">Che cosa insegna l'episodio</w:t>
      </w:r>
    </w:p>
    <w:p>
      <w:pPr>
        <w:spacing w:after="120" w:line="276"/>
        <w:jc w:val="both"/>
      </w:pPr>
      <w:r>
        <w:rPr>
          <w:rFonts w:ascii="Barlow Semi Condensed" w:cs="Barlow Semi Condensed" w:eastAsia="Barlow Semi Condensed" w:hAnsi="Barlow Semi Condensed"/>
          <w:sz w:val="24"/>
          <w:szCs w:val="24"/>
        </w:rPr>
        <w:t xml:space="preserve">Insegna tre cose, e la terza è la più importante.</w:t>
      </w:r>
    </w:p>
    <w:p>
      <w:pPr>
        <w:spacing w:after="120" w:line="276"/>
        <w:jc w:val="both"/>
      </w:pPr>
      <w:r>
        <w:rPr>
          <w:rFonts w:ascii="Barlow Semi Condensed" w:cs="Barlow Semi Condensed" w:eastAsia="Barlow Semi Condensed" w:hAnsi="Barlow Semi Condensed"/>
          <w:sz w:val="24"/>
          <w:szCs w:val="24"/>
        </w:rPr>
        <w:t xml:space="preserve">La prima: il silenzio di una fonte non si interpreta prima di essere istruito. Occorre sempre domandarsi se esso appartenga alla fonte o allo strumento con cui la si interroga, e la domanda va posta prima e non dopo aver formulato l'ipotesi che il silenzio suggerisce.</w:t>
      </w:r>
    </w:p>
    <w:p>
      <w:pPr>
        <w:spacing w:after="120" w:line="276"/>
        <w:jc w:val="both"/>
      </w:pPr>
      <w:r>
        <w:rPr>
          <w:rFonts w:ascii="Barlow Semi Condensed" w:cs="Barlow Semi Condensed" w:eastAsia="Barlow Semi Condensed" w:hAnsi="Barlow Semi Condensed"/>
          <w:sz w:val="24"/>
          <w:szCs w:val="24"/>
        </w:rPr>
        <w:t xml:space="preserve">La seconda: la conclusione che si presenta da sé è quella che va sospettata per prima. L'assenza dei nodi maggiori era una scoperta pronta all'uso, elegante, e sarebbe stata pubblicata volentieri. Le scoperte che non costano nulla costano quasi sempre moltissimo.</w:t>
      </w:r>
    </w:p>
    <w:p>
      <w:pPr>
        <w:spacing w:after="120" w:line="276"/>
        <w:jc w:val="both"/>
      </w:pPr>
      <w:r>
        <w:rPr>
          <w:rFonts w:ascii="Barlow Semi Condensed" w:cs="Barlow Semi Condensed" w:eastAsia="Barlow Semi Condensed" w:hAnsi="Barlow Semi Condensed"/>
          <w:sz w:val="24"/>
          <w:szCs w:val="24"/>
        </w:rPr>
        <w:t xml:space="preserve">La terza, e più generale: ogni corpus parla una lingua, e la lingua è parte del corpus. Un atto giudiziario, un elaborato parlamentare, un telegramma cifrato, una audizione tarda non dicono le medesime cose nei medesimi modi, e ciò che in uno è detto per nome in un altro è detto per funzione, per perifrasi o per allusione d'ufficio. Chi interroghi corpora diversi con un unico vocabolario misura la propria uniformità, non la loro convergenza.</w:t>
      </w:r>
    </w:p>
    <w:p>
      <w:pPr>
        <w:pStyle w:val="Heading2"/>
        <w:spacing w:after="100" w:before="200"/>
      </w:pPr>
      <w:r>
        <w:rPr>
          <w:rFonts w:ascii="Barlow Semi Condensed" w:cs="Barlow Semi Condensed" w:eastAsia="Barlow Semi Condensed" w:hAnsi="Barlow Semi Condensed"/>
          <w:sz w:val="24"/>
          <w:szCs w:val="24"/>
        </w:rPr>
        <w:t xml:space="preserve">Il protocollo</w:t>
      </w:r>
    </w:p>
    <w:p>
      <w:pPr>
        <w:spacing w:after="120" w:line="276"/>
        <w:jc w:val="both"/>
      </w:pPr>
      <w:r>
        <w:rPr>
          <w:rFonts w:ascii="Barlow Semi Condensed" w:cs="Barlow Semi Condensed" w:eastAsia="Barlow Semi Condensed" w:hAnsi="Barlow Semi Condensed"/>
          <w:sz w:val="24"/>
          <w:szCs w:val="24"/>
        </w:rPr>
        <w:t xml:space="preserve">Di qui il protocollo che l'opera adotta e che le parti successive osserveranno.</w:t>
      </w:r>
    </w:p>
    <w:p>
      <w:pPr>
        <w:spacing w:after="120" w:line="276"/>
        <w:jc w:val="both"/>
      </w:pPr>
      <w:r>
        <w:rPr>
          <w:rFonts w:ascii="Barlow Semi Condensed" w:cs="Barlow Semi Condensed" w:eastAsia="Barlow Semi Condensed" w:hAnsi="Barlow Semi Condensed"/>
          <w:sz w:val="24"/>
          <w:szCs w:val="24"/>
        </w:rPr>
        <w:t xml:space="preserve">Nessuna triangolazione fra corpora si esegue per sola ricerca di nomi propri, se non dopo aver accertato la politica di designazione di ciascun corpus. La politica si accerta anzitutto sulle dichiarazioni che il corpus fa di sé, e in mancanza per sonde funzionali su un campione di nodi noti. Ogni triangolazione dichiara la propria copertura, cioè quanta parte dei nodi cercati sia stata cercata anche nella forma funzionale, perché una triangolazione che non lo dichiari sovrastima sistematicamente l'assenza.</w:t>
      </w:r>
    </w:p>
    <w:p>
      <w:pPr>
        <w:spacing w:after="120" w:line="276"/>
        <w:jc w:val="both"/>
      </w:pPr>
      <w:r>
        <w:rPr>
          <w:rFonts w:ascii="Barlow Semi Condensed" w:cs="Barlow Semi Condensed" w:eastAsia="Barlow Semi Condensed" w:hAnsi="Barlow Semi Condensed"/>
          <w:sz w:val="24"/>
          <w:szCs w:val="24"/>
        </w:rPr>
        <w:t xml:space="preserve">E le assenze si distinguono in tre classi, che non vanno mai confuse: l'assenza artefatta, imputabile allo strumento; l'assenza reale non spiegata, che genera ipotesi concorrenti e non conclusioni; l'assenza reale spiegata, che genera una risultanza.</w:t>
      </w:r>
    </w:p>
    <w:p>
      <w:pPr>
        <w:pStyle w:val="Heading2"/>
        <w:spacing w:after="100" w:before="200"/>
      </w:pPr>
      <w:r>
        <w:rPr>
          <w:rFonts w:ascii="Barlow Semi Condensed" w:cs="Barlow Semi Condensed" w:eastAsia="Barlow Semi Condensed" w:hAnsi="Barlow Semi Condensed"/>
          <w:sz w:val="24"/>
          <w:szCs w:val="24"/>
        </w:rPr>
        <w:t xml:space="preserve">L'assenza che è rimasta reale</w:t>
      </w:r>
    </w:p>
    <w:p>
      <w:pPr>
        <w:spacing w:after="120" w:line="276"/>
        <w:jc w:val="both"/>
      </w:pPr>
      <w:r>
        <w:rPr>
          <w:rFonts w:ascii="Barlow Semi Condensed" w:cs="Barlow Semi Condensed" w:eastAsia="Barlow Semi Condensed" w:hAnsi="Barlow Semi Condensed"/>
          <w:sz w:val="24"/>
          <w:szCs w:val="24"/>
        </w:rPr>
        <w:t xml:space="preserve">Ritirata la parte artefatta, una assenza è rimasta e va dichiarata per quello che è. Alle sonde relative alla criminalità organizzata quest'opera risponde con quattro occorrenze in tutto, e nessuna locuzione di funzione supplisce.</w:t>
      </w:r>
    </w:p>
    <w:p>
      <w:pPr>
        <w:spacing w:after="120" w:line="276"/>
        <w:jc w:val="both"/>
      </w:pPr>
      <w:r>
        <w:rPr>
          <w:rFonts w:ascii="Barlow Semi Condensed" w:cs="Barlow Semi Condensed" w:eastAsia="Barlow Semi Condensed" w:hAnsi="Barlow Semi Condensed"/>
          <w:sz w:val="24"/>
          <w:szCs w:val="24"/>
        </w:rPr>
        <w:t xml:space="preserve">L'opera non decide che cosa ciò significhi, e formula tre ipotesi che tiene aperte. Che la dimensione non sia attestata dalle fonti sulle quali l'opera è costruita, e la sua assenza sia disciplina. Che sia attestata e non sia stata scavata, e l'assenza sia lacuna. Che sia trattata sotto locuzioni che le sonde non hanno previsto, e l'assenza sia residuo di artefatto.</w:t>
      </w:r>
    </w:p>
    <w:p>
      <w:pPr>
        <w:spacing w:after="120" w:line="276"/>
        <w:jc w:val="both"/>
      </w:pPr>
      <w:r>
        <w:rPr>
          <w:rFonts w:ascii="Barlow Semi Condensed" w:cs="Barlow Semi Condensed" w:eastAsia="Barlow Semi Condensed" w:hAnsi="Barlow Semi Condensed"/>
          <w:sz w:val="24"/>
          <w:szCs w:val="24"/>
        </w:rPr>
        <w:t xml:space="preserve">L'evidenza che discriminerebbe fra le tre è nota e si indica: il confronto fra il repertorio delle fonti di quest'opera e gli atti che nel corpus maggiore attestano quella dimensione del caso. Il confronto non è stato eseguito. Sta in tavola come prima voce.</w:t>
      </w:r>
    </w:p>
    <w:p>
      <w:pPr>
        <w:pStyle w:val="Heading2"/>
        <w:spacing w:after="100" w:before="200"/>
      </w:pPr>
      <w:r>
        <w:rPr>
          <w:rFonts w:ascii="Barlow Semi Condensed" w:cs="Barlow Semi Condensed" w:eastAsia="Barlow Semi Condensed" w:hAnsi="Barlow Semi Condensed"/>
          <w:sz w:val="24"/>
          <w:szCs w:val="24"/>
        </w:rPr>
        <w:t xml:space="preserve">Capitolo sesto — L'ingresso in acqua e la decompressione</w:t>
      </w:r>
    </w:p>
    <w:p>
      <w:pPr>
        <w:spacing w:after="120" w:line="276"/>
        <w:jc w:val="both"/>
      </w:pPr>
      <w:r>
        <w:rPr>
          <w:rFonts w:ascii="Barlow Semi Condensed" w:cs="Barlow Semi Condensed" w:eastAsia="Barlow Semi Condensed" w:hAnsi="Barlow Semi Condensed"/>
          <w:sz w:val="24"/>
          <w:szCs w:val="24"/>
        </w:rPr>
        <w:t xml:space="preserve">Due regole governano il modo in cui un elemento nuovo entra nell'opera e il modo in cui una risultanza sale verso la certificazione. Esse hanno nomi figurati che vanno spiegati, perché la figura serve a ricordare la regola e non a sostituirla.</w:t>
      </w:r>
    </w:p>
    <w:p>
      <w:pPr>
        <w:pStyle w:val="Heading2"/>
        <w:spacing w:after="100" w:before="200"/>
      </w:pPr>
      <w:r>
        <w:rPr>
          <w:rFonts w:ascii="Barlow Semi Condensed" w:cs="Barlow Semi Condensed" w:eastAsia="Barlow Semi Condensed" w:hAnsi="Barlow Semi Condensed"/>
          <w:sz w:val="24"/>
          <w:szCs w:val="24"/>
        </w:rPr>
        <w:t xml:space="preserve">L'ingresso in acqua</w:t>
      </w:r>
    </w:p>
    <w:p>
      <w:pPr>
        <w:spacing w:after="120" w:line="276"/>
        <w:jc w:val="both"/>
      </w:pPr>
      <w:r>
        <w:rPr>
          <w:rFonts w:ascii="Barlow Semi Condensed" w:cs="Barlow Semi Condensed" w:eastAsia="Barlow Semi Condensed" w:hAnsi="Barlow Semi Condensed"/>
          <w:sz w:val="24"/>
          <w:szCs w:val="24"/>
        </w:rPr>
        <w:t xml:space="preserve">La ricerca su un caso di questa natura procede per anelli. Si parte dai nodi accertati, e da essi si estraggono i nodi che vi sono legati; da questi i successivi; e così si scende.</w:t>
      </w:r>
    </w:p>
    <w:p>
      <w:pPr>
        <w:spacing w:after="120" w:line="276"/>
        <w:jc w:val="both"/>
      </w:pPr>
      <w:r>
        <w:rPr>
          <w:rFonts w:ascii="Barlow Semi Condensed" w:cs="Barlow Semi Condensed" w:eastAsia="Barlow Semi Condensed" w:hAnsi="Barlow Semi Condensed"/>
          <w:sz w:val="24"/>
          <w:szCs w:val="24"/>
        </w:rPr>
        <w:t xml:space="preserve">Il pericolo di questo procedimento è noto e ha un carattere matematico prima che morale. In una rete sociale sufficientemente estesa, due individui qualsiasi risultano collegati attraverso un piccolo numero di intermediari. Ne segue che, scendendo di anello in anello, si può raggiungere chiunque partendo da chiunque; e che la constatazione «esiste un percorso che collega A a B» non ha, di per sé, alcun valore informativo, perché è vera quasi sempre.</w:t>
      </w:r>
    </w:p>
    <w:p>
      <w:pPr>
        <w:spacing w:after="120" w:line="276"/>
        <w:jc w:val="both"/>
      </w:pPr>
      <w:r>
        <w:rPr>
          <w:rFonts w:ascii="Barlow Semi Condensed" w:cs="Barlow Semi Condensed" w:eastAsia="Barlow Semi Condensed" w:hAnsi="Barlow Semi Condensed"/>
          <w:sz w:val="24"/>
          <w:szCs w:val="24"/>
        </w:rPr>
        <w:t xml:space="preserve">Chi ignori questo costruisce, in perfetta buona fede, catene di collegamenti impressionanti e prive di significato: il tale conosceva il talaltro, che frequentava il terzo, che sedeva nel consiglio dove sedeva il quarto. Ogni anello è documentato. La catena non prova nulla.</w:t>
      </w:r>
    </w:p>
    <w:p>
      <w:pPr>
        <w:spacing w:after="120" w:line="276"/>
        <w:jc w:val="both"/>
      </w:pPr>
      <w:r>
        <w:rPr>
          <w:rFonts w:ascii="Barlow Semi Condensed" w:cs="Barlow Semi Condensed" w:eastAsia="Barlow Semi Condensed" w:hAnsi="Barlow Semi Condensed"/>
          <w:sz w:val="24"/>
          <w:szCs w:val="24"/>
        </w:rPr>
        <w:t xml:space="preserve">La regola dell'ingresso in acqua taglia questo pericolo. Un nodo profondo è ammesso nell'opera soltanto se un arco diretto e indipendente lo lega al nucleo del caso. Non basta che vi si arrivi per percorso: occorre che vi sia legato direttamente, e che il legame sia attestato da fonte indipendente da quelle che hanno prodotto il percorso.</w:t>
      </w:r>
    </w:p>
    <w:p>
      <w:pPr>
        <w:spacing w:after="120" w:line="276"/>
        <w:jc w:val="both"/>
      </w:pPr>
      <w:r>
        <w:rPr>
          <w:rFonts w:ascii="Barlow Semi Condensed" w:cs="Barlow Semi Condensed" w:eastAsia="Barlow Semi Condensed" w:hAnsi="Barlow Semi Condensed"/>
          <w:sz w:val="24"/>
          <w:szCs w:val="24"/>
        </w:rPr>
        <w:t xml:space="preserve">La regola è severa e comporta un costo: essa lascia fuori materiale suggestivo. Il costo si accetta, perché l'alternativa è un'opera nella quale tutto è collegato a tutto, e nella quale, per conseguenza, nulla significa più nulla.</w:t>
      </w:r>
    </w:p>
    <w:p>
      <w:pPr>
        <w:pStyle w:val="Heading2"/>
        <w:spacing w:after="100" w:before="200"/>
      </w:pPr>
      <w:r>
        <w:rPr>
          <w:rFonts w:ascii="Barlow Semi Condensed" w:cs="Barlow Semi Condensed" w:eastAsia="Barlow Semi Condensed" w:hAnsi="Barlow Semi Condensed"/>
          <w:sz w:val="24"/>
          <w:szCs w:val="24"/>
        </w:rPr>
        <w:t xml:space="preserve">La decompressione</w:t>
      </w:r>
    </w:p>
    <w:p>
      <w:pPr>
        <w:spacing w:after="120" w:line="276"/>
        <w:jc w:val="both"/>
      </w:pPr>
      <w:r>
        <w:rPr>
          <w:rFonts w:ascii="Barlow Semi Condensed" w:cs="Barlow Semi Condensed" w:eastAsia="Barlow Semi Condensed" w:hAnsi="Barlow Semi Condensed"/>
          <w:sz w:val="24"/>
          <w:szCs w:val="24"/>
        </w:rPr>
        <w:t xml:space="preserve">La seconda regola riguarda la risalita.</w:t>
      </w:r>
    </w:p>
    <w:p>
      <w:pPr>
        <w:spacing w:after="120" w:line="276"/>
        <w:jc w:val="both"/>
      </w:pPr>
      <w:r>
        <w:rPr>
          <w:rFonts w:ascii="Barlow Semi Condensed" w:cs="Barlow Semi Condensed" w:eastAsia="Barlow Semi Condensed" w:hAnsi="Barlow Semi Condensed"/>
          <w:sz w:val="24"/>
          <w:szCs w:val="24"/>
        </w:rPr>
        <w:t xml:space="preserve">Nulla, in quest'opera, passa direttamente dal fondo alla certificazione. Ogni risultanza sale per tappe obbligate: dubbio, istruttoria, verifica, scioglimento. Nessuna tappa si salta, per quanto la conclusione appaia evidente e per quanto il ricercatore sia persuaso.</w:t>
      </w:r>
    </w:p>
    <w:p>
      <w:pPr>
        <w:spacing w:after="120" w:line="276"/>
        <w:jc w:val="both"/>
      </w:pPr>
      <w:r>
        <w:rPr>
          <w:rFonts w:ascii="Barlow Semi Condensed" w:cs="Barlow Semi Condensed" w:eastAsia="Barlow Semi Condensed" w:hAnsi="Barlow Semi Condensed"/>
          <w:sz w:val="24"/>
          <w:szCs w:val="24"/>
        </w:rPr>
        <w:t xml:space="preserve">La ragione è tratta dall'esperienza di chi risale dalle profondità marine, e la figura è esatta. Chi risalga troppo rapidamente porta in superficie, disciolto nel sangue, un gas che alla pressione del fondo era stabile e che alla pressione dell'aria si libera in bolle. Il danno non nasce dalla profondità: nasce dalla velocità della risalita.</w:t>
      </w:r>
    </w:p>
    <w:p>
      <w:pPr>
        <w:spacing w:after="120" w:line="276"/>
        <w:jc w:val="both"/>
      </w:pPr>
      <w:r>
        <w:rPr>
          <w:rFonts w:ascii="Barlow Semi Condensed" w:cs="Barlow Semi Condensed" w:eastAsia="Barlow Semi Condensed" w:hAnsi="Barlow Semi Condensed"/>
          <w:sz w:val="24"/>
          <w:szCs w:val="24"/>
        </w:rPr>
        <w:t xml:space="preserve">Così le connessioni. Una connessione che alla pressione del fondo — cioè dentro il contesto denso di ipotesi, coincidenze e prossimità nel quale è stata concepita — appare salda, si dissolve alla pressione dell'aria, cioè quando venga enunciata da sola, davanti a un lettore che non abbia percorso il ragionamento che l'ha generata. La tappa dell'istruttoria e quella della verifica servono precisamente a questo: a sottoporre la connessione, prima della certificazione, alla pressione alla quale dovrà reggere.</w:t>
      </w:r>
    </w:p>
    <w:p>
      <w:pPr>
        <w:pStyle w:val="Heading2"/>
        <w:spacing w:after="100" w:before="200"/>
      </w:pPr>
      <w:r>
        <w:rPr>
          <w:rFonts w:ascii="Barlow Semi Condensed" w:cs="Barlow Semi Condensed" w:eastAsia="Barlow Semi Condensed" w:hAnsi="Barlow Semi Condensed"/>
          <w:sz w:val="24"/>
          <w:szCs w:val="24"/>
        </w:rPr>
        <w:t xml:space="preserve">La conseguenza che entrambe hanno in comune</w:t>
      </w:r>
    </w:p>
    <w:p>
      <w:pPr>
        <w:spacing w:after="120" w:line="276"/>
        <w:jc w:val="both"/>
      </w:pPr>
      <w:r>
        <w:rPr>
          <w:rFonts w:ascii="Barlow Semi Condensed" w:cs="Barlow Semi Condensed" w:eastAsia="Barlow Semi Condensed" w:hAnsi="Barlow Semi Condensed"/>
          <w:sz w:val="24"/>
          <w:szCs w:val="24"/>
        </w:rPr>
        <w:t xml:space="preserve">Le due regole hanno un effetto congiunto che occorre dire, perché è quello che dà a quest'opera il suo carattere e insieme il suo limite: esse riducono la quantità di ciò che l'opera afferma e aumentano la solidità di ciò che afferma.</w:t>
      </w:r>
    </w:p>
    <w:p>
      <w:pPr>
        <w:spacing w:after="120" w:line="276"/>
        <w:jc w:val="both"/>
      </w:pPr>
      <w:r>
        <w:rPr>
          <w:rFonts w:ascii="Barlow Semi Condensed" w:cs="Barlow Semi Condensed" w:eastAsia="Barlow Semi Condensed" w:hAnsi="Barlow Semi Condensed"/>
          <w:sz w:val="24"/>
          <w:szCs w:val="24"/>
        </w:rPr>
        <w:t xml:space="preserve">Un'opera costruita così è meno ricca di una che non osservi queste regole. Contiene meno collegamenti, meno figure, meno scenari. Il lettore che cerchi una ricostruzione completa la troverà deludente, e avrà ragione dal proprio punto di vista.</w:t>
      </w:r>
    </w:p>
    <w:p>
      <w:pPr>
        <w:spacing w:after="120" w:line="276"/>
        <w:jc w:val="both"/>
      </w:pPr>
      <w:r>
        <w:rPr>
          <w:rFonts w:ascii="Barlow Semi Condensed" w:cs="Barlow Semi Condensed" w:eastAsia="Barlow Semi Condensed" w:hAnsi="Barlow Semi Condensed"/>
          <w:sz w:val="24"/>
          <w:szCs w:val="24"/>
        </w:rPr>
        <w:t xml:space="preserve">Ma la ricchezza, in questa materia, è il segno che qualcosa non va. Un caso nel quale sono state distrutte prove, eliminati testimoni e occultati archivi non può produrre, se onestamente ricostruito, un quadro completo. Un quadro completo, in un caso siffatto, è la prova che il ricercatore ha colmato con la propria immaginazione le lacune che gli erano state preparate. La proporzione dichiarata è onestà, non sconfitta: una parte che regge vale più di nove parti che suggestionano.</w:t>
      </w:r>
    </w:p>
    <w:p>
      <w:pPr>
        <w:pStyle w:val="Heading2"/>
        <w:spacing w:after="100" w:before="200"/>
      </w:pPr>
      <w:r>
        <w:rPr>
          <w:rFonts w:ascii="Barlow Semi Condensed" w:cs="Barlow Semi Condensed" w:eastAsia="Barlow Semi Condensed" w:hAnsi="Barlow Semi Condensed"/>
          <w:sz w:val="24"/>
          <w:szCs w:val="24"/>
        </w:rPr>
        <w:t xml:space="preserve">Capitolo settimo — La disciplina del Pollo di Popper e gli Stati Zero</w:t>
      </w:r>
    </w:p>
    <w:p>
      <w:pPr>
        <w:spacing w:after="120" w:line="276"/>
        <w:jc w:val="both"/>
      </w:pPr>
      <w:r>
        <w:rPr>
          <w:rFonts w:ascii="Barlow Semi Condensed" w:cs="Barlow Semi Condensed" w:eastAsia="Barlow Semi Condensed" w:hAnsi="Barlow Semi Condensed"/>
          <w:sz w:val="24"/>
          <w:szCs w:val="24"/>
        </w:rPr>
        <w:t xml:space="preserve">Restano da esporre due disposizioni che stanno l'una accanto all'altra, perché rispondono al medesimo pericolo da due lati opposti: la prima impedisce di trovare soltanto conferme, la seconda impedisce di registrare soltanto ritrovamenti.</w:t>
      </w:r>
    </w:p>
    <w:p>
      <w:pPr>
        <w:pStyle w:val="Heading2"/>
        <w:spacing w:after="100" w:before="200"/>
      </w:pPr>
      <w:r>
        <w:rPr>
          <w:rFonts w:ascii="Barlow Semi Condensed" w:cs="Barlow Semi Condensed" w:eastAsia="Barlow Semi Condensed" w:hAnsi="Barlow Semi Condensed"/>
          <w:sz w:val="24"/>
          <w:szCs w:val="24"/>
        </w:rPr>
        <w:t xml:space="preserve">Il pericolo della conferma</w:t>
      </w:r>
    </w:p>
    <w:p>
      <w:pPr>
        <w:spacing w:after="120" w:line="276"/>
        <w:jc w:val="both"/>
      </w:pPr>
      <w:r>
        <w:rPr>
          <w:rFonts w:ascii="Barlow Semi Condensed" w:cs="Barlow Semi Condensed" w:eastAsia="Barlow Semi Condensed" w:hAnsi="Barlow Semi Condensed"/>
          <w:sz w:val="24"/>
          <w:szCs w:val="24"/>
        </w:rPr>
        <w:t xml:space="preserve">Un pollo, ogni mattina, vede il contadino portargli il cibo. Al centesimo giorno ha raccolto cento conferme, e conclude che il contadino esiste per nutrirlo. La conclusione è sostenuta da tutte le osservazioni disponibili, non è contraddetta da alcuna, ed è falsa. Al centunesimo giorno il contadino gli tira il collo.</w:t>
      </w:r>
    </w:p>
    <w:p>
      <w:pPr>
        <w:spacing w:after="120" w:line="276"/>
        <w:jc w:val="both"/>
      </w:pPr>
      <w:r>
        <w:rPr>
          <w:rFonts w:ascii="Barlow Semi Condensed" w:cs="Barlow Semi Condensed" w:eastAsia="Barlow Semi Condensed" w:hAnsi="Barlow Semi Condensed"/>
          <w:sz w:val="24"/>
          <w:szCs w:val="24"/>
        </w:rPr>
        <w:t xml:space="preserve">La favola, che si deve alla riflessione sul problema dell'induzione, dice una cosa esatta e sgradevole: l'accumulo di conferme non prova. Non prova perché le conferme si accumulano anche attorno alle proposizioni false, e con la medesima abbondanza; e la sensazione di solidità che il loro numero produce nel ricercatore non è una misura della verità della proposizione, ma della struttura della sua ricerca.</w:t>
      </w:r>
    </w:p>
    <w:p>
      <w:pPr>
        <w:spacing w:after="120" w:line="276"/>
        <w:jc w:val="both"/>
      </w:pPr>
      <w:r>
        <w:rPr>
          <w:rFonts w:ascii="Barlow Semi Condensed" w:cs="Barlow Semi Condensed" w:eastAsia="Barlow Semi Condensed" w:hAnsi="Barlow Semi Condensed"/>
          <w:sz w:val="24"/>
          <w:szCs w:val="24"/>
        </w:rPr>
        <w:t xml:space="preserve">Il pericolo diventa acuto quando la ricerca è organizzata attorno a una tesi. Se si dispone il materiale in cerchi che si irradiano da un centro interpretativo, ogni dato che entri nell'opera vi entra già collocato rispetto alla tesi, e dunque tende a confermarla per effetto della disposizione e non per forza propria. Il ricercatore che proceda così accumula conferme senza mai mettersi nella condizione di ricevere una smentita: è nella posizione esatta del pollo.</w:t>
      </w:r>
    </w:p>
    <w:p>
      <w:pPr>
        <w:pStyle w:val="Heading2"/>
        <w:spacing w:after="100" w:before="200"/>
      </w:pPr>
      <w:r>
        <w:rPr>
          <w:rFonts w:ascii="Barlow Semi Condensed" w:cs="Barlow Semi Condensed" w:eastAsia="Barlow Semi Condensed" w:hAnsi="Barlow Semi Condensed"/>
          <w:sz w:val="24"/>
          <w:szCs w:val="24"/>
        </w:rPr>
        <w:t xml:space="preserve">La disciplina</w:t>
      </w:r>
    </w:p>
    <w:p>
      <w:pPr>
        <w:spacing w:after="120" w:line="276"/>
        <w:jc w:val="both"/>
      </w:pPr>
      <w:r>
        <w:rPr>
          <w:rFonts w:ascii="Barlow Semi Condensed" w:cs="Barlow Semi Condensed" w:eastAsia="Barlow Semi Condensed" w:hAnsi="Barlow Semi Condensed"/>
          <w:sz w:val="24"/>
          <w:szCs w:val="24"/>
        </w:rPr>
        <w:t xml:space="preserve">La disciplina che ne discende ha tre prescrizioni.</w:t>
      </w:r>
    </w:p>
    <w:p>
      <w:pPr>
        <w:spacing w:after="120" w:line="276"/>
        <w:jc w:val="both"/>
      </w:pPr>
      <w:r>
        <w:rPr>
          <w:rFonts w:ascii="Barlow Semi Condensed" w:cs="Barlow Semi Condensed" w:eastAsia="Barlow Semi Condensed" w:hAnsi="Barlow Semi Condensed"/>
          <w:sz w:val="24"/>
          <w:szCs w:val="24"/>
        </w:rPr>
        <w:t xml:space="preserve">La prima: le ipotesi non si confermano, si sottopongono a confutazione. Per ogni proposizione l'opera si domanda che cosa la smentirebbe, e cerca quello, non il contrario.</w:t>
      </w:r>
    </w:p>
    <w:p>
      <w:pPr>
        <w:spacing w:after="120" w:line="276"/>
        <w:jc w:val="both"/>
      </w:pPr>
      <w:r>
        <w:rPr>
          <w:rFonts w:ascii="Barlow Semi Condensed" w:cs="Barlow Semi Condensed" w:eastAsia="Barlow Semi Condensed" w:hAnsi="Barlow Semi Condensed"/>
          <w:sz w:val="24"/>
          <w:szCs w:val="24"/>
        </w:rPr>
        <w:t xml:space="preserve">La seconda: per ogni osservazione si formulano almeno tre ipotesi alternative, e la valutazione non guarda quale sia più sostenuta — perché tutte tendono ad accumulare sostegni — ma quale sia meno contraddetta. È la contraddizione, non il sostegno, che discrimina.</w:t>
      </w:r>
    </w:p>
    <w:p>
      <w:pPr>
        <w:spacing w:after="120" w:line="276"/>
        <w:jc w:val="both"/>
      </w:pPr>
      <w:r>
        <w:rPr>
          <w:rFonts w:ascii="Barlow Semi Condensed" w:cs="Barlow Semi Condensed" w:eastAsia="Barlow Semi Condensed" w:hAnsi="Barlow Semi Condensed"/>
          <w:sz w:val="24"/>
          <w:szCs w:val="24"/>
        </w:rPr>
        <w:t xml:space="preserve">La terza, che è di architettura: l'opera non si organizza attorno a una tesi, ma attorno alle fonti. L'ordine dei capitoli è ordine di racconto e non ordine di prova, come già si è detto; e nessun capitolo eredita autorevolezza dalla propria collocazione.</w:t>
      </w:r>
    </w:p>
    <w:p>
      <w:pPr>
        <w:spacing w:after="120" w:line="276"/>
        <w:jc w:val="both"/>
      </w:pPr>
      <w:r>
        <w:rPr>
          <w:rFonts w:ascii="Barlow Semi Condensed" w:cs="Barlow Semi Condensed" w:eastAsia="Barlow Semi Condensed" w:hAnsi="Barlow Semi Condensed"/>
          <w:sz w:val="24"/>
          <w:szCs w:val="24"/>
        </w:rPr>
        <w:t xml:space="preserve">Vi è un corollario archeologico che merita di essere aggiunto, perché rende la cosa visibile. Chi scavi guidato dalla convinzione di trovare una determinata città, scava una trincea diretta verso di essa e distrugge, attraversandoli, gli strati che la contraddicono. Non mente: distrugge. E ciò che distrugge non potrà più essere esaminato da nessuno. È il modo per il quale una ricerca condotta con passione produce un danno che una ricerca condotta senza passione non avrebbe prodotto.</w:t>
      </w:r>
    </w:p>
    <w:p>
      <w:pPr>
        <w:spacing w:after="120" w:line="276"/>
        <w:jc w:val="both"/>
      </w:pPr>
      <w:r>
        <w:rPr>
          <w:rFonts w:ascii="Barlow Semi Condensed" w:cs="Barlow Semi Condensed" w:eastAsia="Barlow Semi Condensed" w:hAnsi="Barlow Semi Condensed"/>
          <w:sz w:val="24"/>
          <w:szCs w:val="24"/>
        </w:rPr>
        <w:t xml:space="preserve">La risposta è lo scavo per quadranti, con i testimoni in piedi: si lasciano in sede porzioni non scavate, perché chi verrà dopo possa controllare. Quest'opera pratica lo stesso: ciò che non entra nella sua architettura non viene soppresso, viene conservato in disparte e dichiarato.</w:t>
      </w:r>
    </w:p>
    <w:p>
      <w:pPr>
        <w:pStyle w:val="Heading2"/>
        <w:spacing w:after="100" w:before="200"/>
      </w:pPr>
      <w:r>
        <w:rPr>
          <w:rFonts w:ascii="Barlow Semi Condensed" w:cs="Barlow Semi Condensed" w:eastAsia="Barlow Semi Condensed" w:hAnsi="Barlow Semi Condensed"/>
          <w:sz w:val="24"/>
          <w:szCs w:val="24"/>
        </w:rPr>
        <w:t xml:space="preserve">Gli Stati Zero</w:t>
      </w:r>
    </w:p>
    <w:p>
      <w:pPr>
        <w:spacing w:after="120" w:line="276"/>
        <w:jc w:val="both"/>
      </w:pPr>
      <w:r>
        <w:rPr>
          <w:rFonts w:ascii="Barlow Semi Condensed" w:cs="Barlow Semi Condensed" w:eastAsia="Barlow Semi Condensed" w:hAnsi="Barlow Semi Condensed"/>
          <w:sz w:val="24"/>
          <w:szCs w:val="24"/>
        </w:rPr>
        <w:t xml:space="preserve">La seconda disposizione riguarda il lato opposto.</w:t>
      </w:r>
    </w:p>
    <w:p>
      <w:pPr>
        <w:spacing w:after="120" w:line="276"/>
        <w:jc w:val="both"/>
      </w:pPr>
      <w:r>
        <w:rPr>
          <w:rFonts w:ascii="Barlow Semi Condensed" w:cs="Barlow Semi Condensed" w:eastAsia="Barlow Semi Condensed" w:hAnsi="Barlow Semi Condensed"/>
          <w:sz w:val="24"/>
          <w:szCs w:val="24"/>
        </w:rPr>
        <w:t xml:space="preserve">Un registro che annoti soltanto ciò che ha trovato mente per costruzione. Non mente in alcuna delle sue proposizioni, che possono essere tutte vere: mente nel quadro che l'insieme produce. Il lettore che percorra un elenco di reperimenti positivi riceve l'impressione che la ricerca abbia trovato ciò che cercava, mentre in realtà egli sta leggendo la sola parte fortunata di un lavoro del quale ignora l'estensione.</w:t>
      </w:r>
    </w:p>
    <w:p>
      <w:pPr>
        <w:spacing w:after="120" w:line="276"/>
        <w:jc w:val="both"/>
      </w:pPr>
      <w:r>
        <w:rPr>
          <w:rFonts w:ascii="Barlow Semi Condensed" w:cs="Barlow Semi Condensed" w:eastAsia="Barlow Semi Condensed" w:hAnsi="Barlow Semi Condensed"/>
          <w:sz w:val="24"/>
          <w:szCs w:val="24"/>
        </w:rPr>
        <w:t xml:space="preserve">Perciò quest'opera registra come acquisizioni di pieno valore le ricerche condotte e concluse senza reperimento. Un archivio interrogato e muto è un dato. Un quesito posto e non risolto è un dato. Un documento cercato secondo estremi precisi e non trovato è un dato, e va scritto con la stessa precisione con cui si scriverebbe se fosse stato trovato: quale documento, presso quale sede, con quale procedura, con quale esito.</w:t>
      </w:r>
    </w:p>
    <w:p>
      <w:pPr>
        <w:spacing w:after="120" w:line="276"/>
        <w:jc w:val="both"/>
      </w:pPr>
      <w:r>
        <w:rPr>
          <w:rFonts w:ascii="Barlow Semi Condensed" w:cs="Barlow Semi Condensed" w:eastAsia="Barlow Semi Condensed" w:hAnsi="Barlow Semi Condensed"/>
          <w:sz w:val="24"/>
          <w:szCs w:val="24"/>
        </w:rPr>
        <w:t xml:space="preserve">Questa disposizione ha un valore che eccede l'onestà contabile. In un caso nel quale le lacune sono state prodotte, la mappa delle lacune è essa stessa una fonte. Sapere quali archivi tacciono, e su che cosa, e da quando, è conoscenza; e talvolta è la conoscenza più significativa disponibile, perché il silenzio, a differenza della parola, non può essere costruito senza che qualcuno lo costruisca.</w:t>
      </w:r>
    </w:p>
    <w:p>
      <w:pPr>
        <w:pStyle w:val="Heading2"/>
        <w:spacing w:after="100" w:before="200"/>
      </w:pPr>
      <w:r>
        <w:rPr>
          <w:rFonts w:ascii="Barlow Semi Condensed" w:cs="Barlow Semi Condensed" w:eastAsia="Barlow Semi Condensed" w:hAnsi="Barlow Semi Condensed"/>
          <w:sz w:val="24"/>
          <w:szCs w:val="24"/>
        </w:rPr>
        <w:t xml:space="preserve">Le due disposizioni insieme</w:t>
      </w:r>
    </w:p>
    <w:p>
      <w:pPr>
        <w:spacing w:after="120" w:line="276"/>
        <w:jc w:val="both"/>
      </w:pPr>
      <w:r>
        <w:rPr>
          <w:rFonts w:ascii="Barlow Semi Condensed" w:cs="Barlow Semi Condensed" w:eastAsia="Barlow Semi Condensed" w:hAnsi="Barlow Semi Condensed"/>
          <w:sz w:val="24"/>
          <w:szCs w:val="24"/>
        </w:rPr>
        <w:t xml:space="preserve">Le due disposizioni si tengono. La prima impedisce che l'opera trovi ovunque ciò che cerca; la seconda impedisce che essa mostri soltanto dove ha trovato. Insieme producono un registro nel quale il rapporto fra ciò che si sa e ciò che non si sa è dichiarato, e nel quale il lettore può misurare, oltre alle conclusioni, la loro copertura.</w:t>
      </w:r>
    </w:p>
    <w:p>
      <w:pPr>
        <w:spacing w:after="120" w:line="276"/>
        <w:jc w:val="both"/>
      </w:pPr>
      <w:r>
        <w:rPr>
          <w:rFonts w:ascii="Barlow Semi Condensed" w:cs="Barlow Semi Condensed" w:eastAsia="Barlow Semi Condensed" w:hAnsi="Barlow Semi Condensed"/>
          <w:sz w:val="24"/>
          <w:szCs w:val="24"/>
        </w:rPr>
        <w:t xml:space="preserve">Un'opera che dichiari la propria copertura può essere giudicata. Un'opera che non la dichiari domanda fiducia. Fra le due cose corre la differenza che passa fra un documento e una testimonianza personale, e quest'opera vuole essere della prima specie.</w:t>
      </w:r>
    </w:p>
    <w:p>
      <w:pPr>
        <w:pStyle w:val="Heading2"/>
        <w:spacing w:after="100" w:before="200"/>
      </w:pPr>
      <w:r>
        <w:rPr>
          <w:rFonts w:ascii="Barlow Semi Condensed" w:cs="Barlow Semi Condensed" w:eastAsia="Barlow Semi Condensed" w:hAnsi="Barlow Semi Condensed"/>
          <w:sz w:val="24"/>
          <w:szCs w:val="24"/>
        </w:rPr>
        <w:t xml:space="preserve">Capitolo ottavo — La formazione, dal 1916 al 1946</w:t>
      </w:r>
    </w:p>
    <w:p>
      <w:pPr>
        <w:spacing w:after="120" w:line="276"/>
        <w:jc w:val="both"/>
      </w:pPr>
      <w:r>
        <w:rPr>
          <w:rFonts w:ascii="Barlow Semi Condensed" w:cs="Barlow Semi Condensed" w:eastAsia="Barlow Semi Condensed" w:hAnsi="Barlow Semi Condensed"/>
          <w:sz w:val="24"/>
          <w:szCs w:val="24"/>
        </w:rPr>
        <w:t xml:space="preserve">Occorre ora lasciare il metodo e venire alla persona. E conviene dire perché una Fase dedicata al metodo si chiuda con tre Capitoli dedicati a un uomo.</w:t>
      </w:r>
    </w:p>
    <w:p>
      <w:pPr>
        <w:spacing w:after="120" w:line="276"/>
        <w:jc w:val="both"/>
      </w:pPr>
      <w:r>
        <w:rPr>
          <w:rFonts w:ascii="Barlow Semi Condensed" w:cs="Barlow Semi Condensed" w:eastAsia="Barlow Semi Condensed" w:hAnsi="Barlow Semi Condensed"/>
          <w:sz w:val="24"/>
          <w:szCs w:val="24"/>
        </w:rPr>
        <w:t xml:space="preserve">La ragione non è di cortesia biografica. È che il caso del quale quest'opera tratta è, prima di ogni altra cosa, la soppressione di una persona determinata in un momento determinato; e che nessuna delle domande che l'opera dovrà porre nelle Fasi successive — perché allora, perché lui, perché in quel modo — è formulabile senza sapere chi fosse quell'uomo e che cosa stesse facendo. La biografia, qui, non è contorno: è la definizione dell'oggetto.</w:t>
      </w:r>
    </w:p>
    <w:p>
      <w:pPr>
        <w:pStyle w:val="Heading2"/>
        <w:spacing w:after="100" w:before="200"/>
      </w:pPr>
      <w:r>
        <w:rPr>
          <w:rFonts w:ascii="Barlow Semi Condensed" w:cs="Barlow Semi Condensed" w:eastAsia="Barlow Semi Condensed" w:hAnsi="Barlow Semi Condensed"/>
          <w:sz w:val="24"/>
          <w:szCs w:val="24"/>
        </w:rPr>
        <w:t xml:space="preserve">Gli anni pugliesi</w:t>
      </w:r>
    </w:p>
    <w:p>
      <w:pPr>
        <w:spacing w:after="120" w:line="276"/>
        <w:jc w:val="both"/>
      </w:pPr>
      <w:r>
        <w:rPr>
          <w:rFonts w:ascii="Barlow Semi Condensed" w:cs="Barlow Semi Condensed" w:eastAsia="Barlow Semi Condensed" w:hAnsi="Barlow Semi Condensed"/>
          <w:sz w:val="24"/>
          <w:szCs w:val="24"/>
        </w:rPr>
        <w:t xml:space="preserve">Aldo Moro nacque a Maglie, in provincia di Lecce, il 23 settembre 1916, in una famiglia della piccola borghesia colta meridionale: il padre ispettore scolastico, la madre maestra. La circostanza non è un dettaglio d'anagrafe. Essa colloca la formazione di quest'uomo in un ambiente nel quale l'istruzione era insieme mestiere e valore, e nel quale lo Stato era conosciuto non come potenza remota ma come amministrazione quotidiana, con i suoi uffici, le sue carte e i suoi doveri.</w:t>
      </w:r>
    </w:p>
    <w:p>
      <w:pPr>
        <w:spacing w:after="120" w:line="276"/>
        <w:jc w:val="both"/>
      </w:pPr>
      <w:r>
        <w:rPr>
          <w:rFonts w:ascii="Barlow Semi Condensed" w:cs="Barlow Semi Condensed" w:eastAsia="Barlow Semi Condensed" w:hAnsi="Barlow Semi Condensed"/>
          <w:sz w:val="24"/>
          <w:szCs w:val="24"/>
        </w:rPr>
        <w:t xml:space="preserve">La famiglia si trasferì a Bari, e a Bari egli compì gli studi, laureandosi in giurisprudenza. Vi rimase come studioso: la filosofia del diritto e il diritto penale furono i suoi campi, e all'insegnamento universitario egli non rinunciò mai, neppure negli anni di maggiore impegno di governo. È una fedeltà che conviene notare, perché dice qualcosa del suo modo di pensare: un uomo che continua a insegnare mentre governa conserva l'abitudine di dover rendere ragione delle proprie affermazioni davanti a chi può chiedere perché.</w:t>
      </w:r>
    </w:p>
    <w:p>
      <w:pPr>
        <w:pStyle w:val="Heading2"/>
        <w:spacing w:after="100" w:before="200"/>
      </w:pPr>
      <w:r>
        <w:rPr>
          <w:rFonts w:ascii="Barlow Semi Condensed" w:cs="Barlow Semi Condensed" w:eastAsia="Barlow Semi Condensed" w:hAnsi="Barlow Semi Condensed"/>
          <w:sz w:val="24"/>
          <w:szCs w:val="24"/>
        </w:rPr>
        <w:t xml:space="preserve">La FUCI e la formazione cattolica</w:t>
      </w:r>
    </w:p>
    <w:p>
      <w:pPr>
        <w:spacing w:after="120" w:line="276"/>
        <w:jc w:val="both"/>
      </w:pPr>
      <w:r>
        <w:rPr>
          <w:rFonts w:ascii="Barlow Semi Condensed" w:cs="Barlow Semi Condensed" w:eastAsia="Barlow Semi Condensed" w:hAnsi="Barlow Semi Condensed"/>
          <w:sz w:val="24"/>
          <w:szCs w:val="24"/>
        </w:rPr>
        <w:t xml:space="preserve">L'esperienza decisiva di quegli anni fu l'associazionismo cattolico universitario. Moro fu presidente della Federazione Universitaria Cattolica Italiana fra il 1939 e il 1942, e più tardi fu tra i dirigenti del Movimento Laureati di Azione Cattolica.</w:t>
      </w:r>
    </w:p>
    <w:p>
      <w:pPr>
        <w:spacing w:after="120" w:line="276"/>
        <w:jc w:val="both"/>
      </w:pPr>
      <w:r>
        <w:rPr>
          <w:rFonts w:ascii="Barlow Semi Condensed" w:cs="Barlow Semi Condensed" w:eastAsia="Barlow Semi Condensed" w:hAnsi="Barlow Semi Condensed"/>
          <w:sz w:val="24"/>
          <w:szCs w:val="24"/>
        </w:rPr>
        <w:t xml:space="preserve">Occorre intendere che cosa questo significasse in quegli anni. La FUCI era, nell'Italia del regime, uno dei pochissimi luoghi nei quali giovani intellettuali potessero incontrarsi, discutere e formarsi sotto una autorità che non fosse quella dello Stato fascista. Non era un luogo di opposizione dichiarata — sarebbe anacronistico e falso descriverlo così — ma era un luogo di autonomia relativa, e in un sistema che non tollerava autonomie l'autonomia relativa è già una posizione.</w:t>
      </w:r>
    </w:p>
    <w:p>
      <w:pPr>
        <w:spacing w:after="120" w:line="276"/>
        <w:jc w:val="both"/>
      </w:pPr>
      <w:r>
        <w:rPr>
          <w:rFonts w:ascii="Barlow Semi Condensed" w:cs="Barlow Semi Condensed" w:eastAsia="Barlow Semi Condensed" w:hAnsi="Barlow Semi Condensed"/>
          <w:sz w:val="24"/>
          <w:szCs w:val="24"/>
        </w:rPr>
        <w:t xml:space="preserve">Da quell'ambiente uscì una parte considerevole della classe dirigente cattolica del dopoguerra. Vi si formò un modo di concepire la politica che conviene descrivere perché resterà il suo per tutta la vita: la politica come mediazione fra istanze legittime e diverse, non come affermazione di una parte sull'altra; il tempo come strumento di governo e non come ostacolo; la persuasione preferita alla forza, e la trattativa preferita alla rottura.</w:t>
      </w:r>
    </w:p>
    <w:p>
      <w:pPr>
        <w:spacing w:after="120" w:line="276"/>
        <w:jc w:val="both"/>
      </w:pPr>
      <w:r>
        <w:rPr>
          <w:rFonts w:ascii="Barlow Semi Condensed" w:cs="Barlow Semi Condensed" w:eastAsia="Barlow Semi Condensed" w:hAnsi="Barlow Semi Condensed"/>
          <w:sz w:val="24"/>
          <w:szCs w:val="24"/>
        </w:rPr>
        <w:t xml:space="preserve">Questo modo di concepire la politica ha una virtù e ha un difetto, ed entrambi peseranno. La virtù è che consente di tenere insieme ciò che altrimenti si spezzerebbe, e in un paese diviso come l'Italia repubblicana questa fu una funzione capitale. Il difetto è che appare, a chi lo osservi dall'esterno e con impazienza, indistinguibile dal temporeggiamento; e che chi lo pratichi risulta, agli occhi degli avversari e talvolta degli alleati, sempre in procinto di cedere qualcosa a qualcuno.</w:t>
      </w:r>
    </w:p>
    <w:p>
      <w:pPr>
        <w:pStyle w:val="Heading2"/>
        <w:spacing w:after="100" w:before="200"/>
      </w:pPr>
      <w:r>
        <w:rPr>
          <w:rFonts w:ascii="Barlow Semi Condensed" w:cs="Barlow Semi Condensed" w:eastAsia="Barlow Semi Condensed" w:hAnsi="Barlow Semi Condensed"/>
          <w:sz w:val="24"/>
          <w:szCs w:val="24"/>
        </w:rPr>
        <w:t xml:space="preserve">Dalla guerra alla Costituente</w:t>
      </w:r>
    </w:p>
    <w:p>
      <w:pPr>
        <w:spacing w:after="120" w:line="276"/>
        <w:jc w:val="both"/>
      </w:pPr>
      <w:r>
        <w:rPr>
          <w:rFonts w:ascii="Barlow Semi Condensed" w:cs="Barlow Semi Condensed" w:eastAsia="Barlow Semi Condensed" w:hAnsi="Barlow Semi Condensed"/>
          <w:sz w:val="24"/>
          <w:szCs w:val="24"/>
        </w:rPr>
        <w:t xml:space="preserve">Gli anni della guerra e della caduta del regime lo trovarono impegnato nell'ambiente cattolico, e dalla ricomposizione delle forze politiche del dopoguerra egli uscì fra i dirigenti giovani della Democrazia Cristiana.</w:t>
      </w:r>
    </w:p>
    <w:p>
      <w:pPr>
        <w:spacing w:after="120" w:line="276"/>
        <w:jc w:val="both"/>
      </w:pPr>
      <w:r>
        <w:rPr>
          <w:rFonts w:ascii="Barlow Semi Condensed" w:cs="Barlow Semi Condensed" w:eastAsia="Barlow Semi Condensed" w:hAnsi="Barlow Semi Condensed"/>
          <w:sz w:val="24"/>
          <w:szCs w:val="24"/>
        </w:rPr>
        <w:t xml:space="preserve">Nel 1946 fu eletto all'Assemblea Costituente, e vi assunse il ruolo che più di ogni altro segna il suo ingresso nella vita pubblica: fece parte della Commissione dei Settantacinque, incaricata di redigere il progetto di Costituzione. Aveva trent'anni.</w:t>
      </w:r>
    </w:p>
    <w:p>
      <w:pPr>
        <w:spacing w:after="120" w:line="276"/>
        <w:jc w:val="both"/>
      </w:pPr>
      <w:r>
        <w:rPr>
          <w:rFonts w:ascii="Barlow Semi Condensed" w:cs="Barlow Semi Condensed" w:eastAsia="Barlow Semi Condensed" w:hAnsi="Barlow Semi Condensed"/>
          <w:sz w:val="24"/>
          <w:szCs w:val="24"/>
        </w:rPr>
        <w:t xml:space="preserve">Occorre soffermarsi su questo, perché è il punto dal quale si comprende tutto il resto. Un uomo che a trent'anni partecipa alla scrittura della carta fondamentale del proprio paese acquisisce un rapporto con le istituzioni che non è quello del funzionario né quello del militante: è quello di chi le ha fatte. Le istituzioni della Repubblica non furono, per lui, un ambiente dato nel quale operare: furono un manufatto al quale aveva messo mano, del quale conosceva le giunture, e verso il quale sentiva la responsabilità particolare di chi ha contribuito a costruire.</w:t>
      </w:r>
    </w:p>
    <w:p>
      <w:pPr>
        <w:spacing w:after="120" w:line="276"/>
        <w:jc w:val="both"/>
      </w:pPr>
      <w:r>
        <w:rPr>
          <w:rFonts w:ascii="Barlow Semi Condensed" w:cs="Barlow Semi Condensed" w:eastAsia="Barlow Semi Condensed" w:hAnsi="Barlow Semi Condensed"/>
          <w:sz w:val="24"/>
          <w:szCs w:val="24"/>
        </w:rPr>
        <w:t xml:space="preserve">Questo spiega, meglio di ogni considerazione caratteriale, la sua costante riluttanza alle soluzioni che comportassero forzature dell'ordinamento, e la sua costante preferenza per le soluzioni che comportassero l'allargamento del consenso dentro l'ordinamento. Non era timidezza. Era la convinzione, coltivata da chi aveva partecipato alla costruzione, che l'ordinamento fosse la sola cosa che tenesse insieme un paese che nella propria storia recente si era spezzato due volte.</w:t>
      </w:r>
    </w:p>
    <w:p>
      <w:pPr>
        <w:pStyle w:val="Heading2"/>
        <w:spacing w:after="100" w:before="200"/>
      </w:pPr>
      <w:r>
        <w:rPr>
          <w:rFonts w:ascii="Barlow Semi Condensed" w:cs="Barlow Semi Condensed" w:eastAsia="Barlow Semi Condensed" w:hAnsi="Barlow Semi Condensed"/>
          <w:sz w:val="24"/>
          <w:szCs w:val="24"/>
        </w:rPr>
        <w:t xml:space="preserve">Nota di grado e di metodo</w:t>
      </w:r>
    </w:p>
    <w:p>
      <w:pPr>
        <w:spacing w:after="120" w:line="276"/>
        <w:jc w:val="both"/>
      </w:pPr>
      <w:r>
        <w:rPr>
          <w:rFonts w:ascii="Barlow Semi Condensed" w:cs="Barlow Semi Condensed" w:eastAsia="Barlow Semi Condensed" w:hAnsi="Barlow Semi Condensed"/>
          <w:sz w:val="24"/>
          <w:szCs w:val="24"/>
        </w:rPr>
        <w:t xml:space="preserve">Le circostanze qui esposte — la data e il luogo di nascita, gli studi, le cariche associative, l'elezione alla Costituente, la partecipazione alla Commissione dei Settantacinque — appartengono agli atti pubblici e alla documentazione parlamentare e non sono controverse.</w:t>
      </w:r>
    </w:p>
    <w:p>
      <w:pPr>
        <w:spacing w:after="120" w:line="276"/>
        <w:jc w:val="both"/>
      </w:pPr>
      <w:r>
        <w:rPr>
          <w:rFonts w:ascii="Barlow Semi Condensed" w:cs="Barlow Semi Condensed" w:eastAsia="Barlow Semi Condensed" w:hAnsi="Barlow Semi Condensed"/>
          <w:sz w:val="24"/>
          <w:szCs w:val="24"/>
        </w:rPr>
        <w:t xml:space="preserve">Le considerazioni sul modo di concepire la politica sono di natura diversa: esse sono interpretazione dell'autore, formulata a partire dagli atti, e sono dichiarate come tali. Non sono, e non vanno lette come, proposizioni sciolte. Il lettore le tratti per quello che sono: una lettura possibile, esposta perché serve a comprendere ciò che segue, e non perché sia provata.</w:t>
      </w:r>
    </w:p>
    <w:p>
      <w:pPr>
        <w:pStyle w:val="Heading2"/>
        <w:spacing w:after="100" w:before="200"/>
      </w:pPr>
      <w:r>
        <w:rPr>
          <w:rFonts w:ascii="Barlow Semi Condensed" w:cs="Barlow Semi Condensed" w:eastAsia="Barlow Semi Condensed" w:hAnsi="Barlow Semi Condensed"/>
          <w:sz w:val="24"/>
          <w:szCs w:val="24"/>
        </w:rPr>
        <w:t xml:space="preserve">Capitolo nono — L'uomo di governo, dal 1946 al 1976</w:t>
      </w:r>
    </w:p>
    <w:p>
      <w:pPr>
        <w:spacing w:after="120" w:line="276"/>
        <w:jc w:val="both"/>
      </w:pPr>
      <w:r>
        <w:rPr>
          <w:rFonts w:ascii="Barlow Semi Condensed" w:cs="Barlow Semi Condensed" w:eastAsia="Barlow Semi Condensed" w:hAnsi="Barlow Semi Condensed"/>
          <w:sz w:val="24"/>
          <w:szCs w:val="24"/>
        </w:rPr>
        <w:t xml:space="preserve">Trent'anni di vita pubblica non si riassumono in un capitolo. Se ne possono però isolare le linee che occorrono a comprendere il fatto del quale l'opera tratta, e sono poche.</w:t>
      </w:r>
    </w:p>
    <w:p>
      <w:pPr>
        <w:pStyle w:val="Heading2"/>
        <w:spacing w:after="100" w:before="200"/>
      </w:pPr>
      <w:r>
        <w:rPr>
          <w:rFonts w:ascii="Barlow Semi Condensed" w:cs="Barlow Semi Condensed" w:eastAsia="Barlow Semi Condensed" w:hAnsi="Barlow Semi Condensed"/>
          <w:sz w:val="24"/>
          <w:szCs w:val="24"/>
        </w:rPr>
        <w:t xml:space="preserve">Le cariche</w:t>
      </w:r>
    </w:p>
    <w:p>
      <w:pPr>
        <w:spacing w:after="120" w:line="276"/>
        <w:jc w:val="both"/>
      </w:pPr>
      <w:r>
        <w:rPr>
          <w:rFonts w:ascii="Barlow Semi Condensed" w:cs="Barlow Semi Condensed" w:eastAsia="Barlow Semi Condensed" w:hAnsi="Barlow Semi Condensed"/>
          <w:sz w:val="24"/>
          <w:szCs w:val="24"/>
        </w:rPr>
        <w:t xml:space="preserve">Moro fu deputato ininterrottamente dalla Costituente in poi. Fu ministro di Grazia e Giustizia, poi della Pubblica Istruzione, negli anni Cinquanta. Fu segretario politico della Democrazia Cristiana dal 1959 al 1964. Fu presidente del Consiglio dei ministri per cinque governi, in due periodi distinti: fra il 1963 e il 1968, e fra il 1974 e il 1976. Fu ministro degli Affari Esteri in più occasioni fra la fine degli anni Sessanta e la metà degli anni Settanta. Dal 1976 fu presidente della Democrazia Cristiana.</w:t>
      </w:r>
    </w:p>
    <w:p>
      <w:pPr>
        <w:spacing w:after="120" w:line="276"/>
        <w:jc w:val="both"/>
      </w:pPr>
      <w:r>
        <w:rPr>
          <w:rFonts w:ascii="Barlow Semi Condensed" w:cs="Barlow Semi Condensed" w:eastAsia="Barlow Semi Condensed" w:hAnsi="Barlow Semi Condensed"/>
          <w:sz w:val="24"/>
          <w:szCs w:val="24"/>
        </w:rPr>
        <w:t xml:space="preserve">Questa successione di cariche dice una cosa che va detta espressamente: per quasi tutta la storia della Repubblica, quest'uomo si trovò in uno dei tre o quattro luoghi dai quali le decisioni maggiori venivano prese. Non fu una figura laterale che divenne importante alla fine. Fu, per trent'anni, uno dei pochissimi che sapessero come le cose funzionavano davvero.</w:t>
      </w:r>
    </w:p>
    <w:p>
      <w:pPr>
        <w:pStyle w:val="Heading2"/>
        <w:spacing w:after="100" w:before="200"/>
      </w:pPr>
      <w:r>
        <w:rPr>
          <w:rFonts w:ascii="Barlow Semi Condensed" w:cs="Barlow Semi Condensed" w:eastAsia="Barlow Semi Condensed" w:hAnsi="Barlow Semi Condensed"/>
          <w:sz w:val="24"/>
          <w:szCs w:val="24"/>
        </w:rPr>
        <w:t xml:space="preserve">Il centro-sinistra</w:t>
      </w:r>
    </w:p>
    <w:p>
      <w:pPr>
        <w:spacing w:after="120" w:line="276"/>
        <w:jc w:val="both"/>
      </w:pPr>
      <w:r>
        <w:rPr>
          <w:rFonts w:ascii="Barlow Semi Condensed" w:cs="Barlow Semi Condensed" w:eastAsia="Barlow Semi Condensed" w:hAnsi="Barlow Semi Condensed"/>
          <w:sz w:val="24"/>
          <w:szCs w:val="24"/>
        </w:rPr>
        <w:t xml:space="preserve">La prima operazione politica che porta il suo nome è l'apertura al Partito Socialista Italiano, condotta fra la fine degli anni Cinquanta e il 1963, quando egli formò il primo governo che comprendesse i socialisti.</w:t>
      </w:r>
    </w:p>
    <w:p>
      <w:pPr>
        <w:spacing w:after="120" w:line="276"/>
        <w:jc w:val="both"/>
      </w:pPr>
      <w:r>
        <w:rPr>
          <w:rFonts w:ascii="Barlow Semi Condensed" w:cs="Barlow Semi Condensed" w:eastAsia="Barlow Semi Condensed" w:hAnsi="Barlow Semi Condensed"/>
          <w:sz w:val="24"/>
          <w:szCs w:val="24"/>
        </w:rPr>
        <w:t xml:space="preserve">L'operazione fu lunga, contrastata e condotta con una lentezza che i contemporanei giudicarono esasperante. Essa incontrò resistenze da tre lati: dall'ala conservatrice del proprio partito, che vi vedeva una apertura verso sinistra pericolosa; da settori dell'alleanza atlantica, che consideravano il Partito Socialista non ancora sufficientemente distante dal Partito Comunista; e da settori dello stesso Partito Socialista, per i quali il prezzo dell'ingresso al governo era troppo alto.</w:t>
      </w:r>
    </w:p>
    <w:p>
      <w:pPr>
        <w:spacing w:after="120" w:line="276"/>
        <w:jc w:val="both"/>
      </w:pPr>
      <w:r>
        <w:rPr>
          <w:rFonts w:ascii="Barlow Semi Condensed" w:cs="Barlow Semi Condensed" w:eastAsia="Barlow Semi Condensed" w:hAnsi="Barlow Semi Condensed"/>
          <w:sz w:val="24"/>
          <w:szCs w:val="24"/>
        </w:rPr>
        <w:t xml:space="preserve">Il metodo con il quale Moro condusse l'operazione è quello che gli si attribuisce per tutta la vita: preparare a lungo, ridurre progressivamente la distanza fra le posizioni, non forzare mai il momento della decisione prima che la decisione sia già maturata nei fatti. Alla formula con la quale egli descrisse la convergenza di forze che restavano distinte — l'immagine delle linee che convergono pur non incontrandosi — si è attribuito, da allora, un valore emblematico del suo intero modo di procedere.</w:t>
      </w:r>
    </w:p>
    <w:p>
      <w:pPr>
        <w:spacing w:after="120" w:line="276"/>
        <w:jc w:val="both"/>
      </w:pPr>
      <w:r>
        <w:rPr>
          <w:rFonts w:ascii="Barlow Semi Condensed" w:cs="Barlow Semi Condensed" w:eastAsia="Barlow Semi Condensed" w:hAnsi="Barlow Semi Condensed"/>
          <w:sz w:val="24"/>
          <w:szCs w:val="24"/>
        </w:rPr>
        <w:t xml:space="preserve">Occorre segnalare che, negli anni immediatamente precedenti e seguenti quella apertura, si collocano alcuni degli episodi sui quali le commissioni parlamentari d'inchiesta hanno più lungamente lavorato, e che riguardano la predisposizione di misure di emergenza da parte di apparati dello Stato. Quest'opera non tratta qui quegli episodi, che appartengono alla Fase Seconda; li segnala perché il lettore sappia che il periodo nel quale l'apertura a sinistra maturò non fu, per le istituzioni, un periodo tranquillo.</w:t>
      </w:r>
    </w:p>
    <w:p>
      <w:pPr>
        <w:pStyle w:val="Heading2"/>
        <w:spacing w:after="100" w:before="200"/>
      </w:pPr>
      <w:r>
        <w:rPr>
          <w:rFonts w:ascii="Barlow Semi Condensed" w:cs="Barlow Semi Condensed" w:eastAsia="Barlow Semi Condensed" w:hAnsi="Barlow Semi Condensed"/>
          <w:sz w:val="24"/>
          <w:szCs w:val="24"/>
        </w:rPr>
        <w:t xml:space="preserve">Gli anni Settanta e la crisi</w:t>
      </w:r>
    </w:p>
    <w:p>
      <w:pPr>
        <w:spacing w:after="120" w:line="276"/>
        <w:jc w:val="both"/>
      </w:pPr>
      <w:r>
        <w:rPr>
          <w:rFonts w:ascii="Barlow Semi Condensed" w:cs="Barlow Semi Condensed" w:eastAsia="Barlow Semi Condensed" w:hAnsi="Barlow Semi Condensed"/>
          <w:sz w:val="24"/>
          <w:szCs w:val="24"/>
        </w:rPr>
        <w:t xml:space="preserve">Il secondo periodo di governo, fra il 1974 e il 1976, si colloca in una fase diversa e assai più dura: crisi economica seguita allo shock petrolifero, terrorismo in crescita, tensione sociale acuta, e un sistema politico nel quale il Partito Comunista cresceva elettoralmente fino a rendere aritmeticamente difficile ogni maggioranza che lo escludesse.</w:t>
      </w:r>
    </w:p>
    <w:p>
      <w:pPr>
        <w:spacing w:after="120" w:line="276"/>
        <w:jc w:val="both"/>
      </w:pPr>
      <w:r>
        <w:rPr>
          <w:rFonts w:ascii="Barlow Semi Condensed" w:cs="Barlow Semi Condensed" w:eastAsia="Barlow Semi Condensed" w:hAnsi="Barlow Semi Condensed"/>
          <w:sz w:val="24"/>
          <w:szCs w:val="24"/>
        </w:rPr>
        <w:t xml:space="preserve">È in questa fase che matura la posizione dell'ultimo Moro, della quale si dirà nel Capitolo seguente. Qui basti fissare il dato che la rende comprensibile: alla metà degli anni Settanta il sistema politico italiano si trovava davanti a un problema che nessuna delle sue regole scritte risolveva. Il partito di maggioranza relativa non aveva più i numeri per governare con i soli alleati tradizionali; il secondo partito del paese era escluso dal governo per una ragione internazionale prima che nazionale; e l'esclusione permanente di un terzo abbondante dell'elettorato dalla responsabilità di governo costituiva, per un ordinamento democratico, una anomalia che durava da trent'anni.</w:t>
      </w:r>
    </w:p>
    <w:p>
      <w:pPr>
        <w:spacing w:after="120" w:line="276"/>
        <w:jc w:val="both"/>
      </w:pPr>
      <w:r>
        <w:rPr>
          <w:rFonts w:ascii="Barlow Semi Condensed" w:cs="Barlow Semi Condensed" w:eastAsia="Barlow Semi Condensed" w:hAnsi="Barlow Semi Condensed"/>
          <w:sz w:val="24"/>
          <w:szCs w:val="24"/>
        </w:rPr>
        <w:t xml:space="preserve">Su questo problema non vi era, e non vi è tuttora, accordo. Vi era chi lo considerava un dato di fatto da amministrare indefinitamente; chi lo considerava una anomalia da superare; e chi lo considerava una condizione necessaria della collocazione internazionale del paese, e dunque non modificabile senza modificare quella collocazione.</w:t>
      </w:r>
    </w:p>
    <w:p>
      <w:pPr>
        <w:pStyle w:val="Heading2"/>
        <w:spacing w:after="100" w:before="200"/>
      </w:pPr>
      <w:r>
        <w:rPr>
          <w:rFonts w:ascii="Barlow Semi Condensed" w:cs="Barlow Semi Condensed" w:eastAsia="Barlow Semi Condensed" w:hAnsi="Barlow Semi Condensed"/>
          <w:sz w:val="24"/>
          <w:szCs w:val="24"/>
        </w:rPr>
        <w:t xml:space="preserve">Che cosa questo significa per l'oggetto dell'opera</w:t>
      </w:r>
    </w:p>
    <w:p>
      <w:pPr>
        <w:spacing w:after="120" w:line="276"/>
        <w:jc w:val="both"/>
      </w:pPr>
      <w:r>
        <w:rPr>
          <w:rFonts w:ascii="Barlow Semi Condensed" w:cs="Barlow Semi Condensed" w:eastAsia="Barlow Semi Condensed" w:hAnsi="Barlow Semi Condensed"/>
          <w:sz w:val="24"/>
          <w:szCs w:val="24"/>
        </w:rPr>
        <w:t xml:space="preserve">Il lettore deve trarre da questo Capitolo un solo dato, e conviene enunciarlo senza ornamenti.</w:t>
      </w:r>
    </w:p>
    <w:p>
      <w:pPr>
        <w:spacing w:after="120" w:line="276"/>
        <w:jc w:val="both"/>
      </w:pPr>
      <w:r>
        <w:rPr>
          <w:rFonts w:ascii="Barlow Semi Condensed" w:cs="Barlow Semi Condensed" w:eastAsia="Barlow Semi Condensed" w:hAnsi="Barlow Semi Condensed"/>
          <w:sz w:val="24"/>
          <w:szCs w:val="24"/>
        </w:rPr>
        <w:t xml:space="preserve">L'uomo che sarà rapito il 16 marzo 1978 non era un simbolo, né una figura morale isolata dalla politica concreta. Era il politico italiano che da più lungo tempo e con maggiore continuità aveva operato sul punto di maggiore tensione del sistema: il rapporto fra la maggioranza di governo e la sinistra esclusa dal governo. Su quel punto si era misurato negli anni Sessanta con i socialisti, e vi si stava misurando negli anni Settanta con i comunisti.</w:t>
      </w:r>
    </w:p>
    <w:p>
      <w:pPr>
        <w:spacing w:after="120" w:line="276"/>
        <w:jc w:val="both"/>
      </w:pPr>
      <w:r>
        <w:rPr>
          <w:rFonts w:ascii="Barlow Semi Condensed" w:cs="Barlow Semi Condensed" w:eastAsia="Barlow Semi Condensed" w:hAnsi="Barlow Semi Condensed"/>
          <w:sz w:val="24"/>
          <w:szCs w:val="24"/>
        </w:rPr>
        <w:t xml:space="preserve">Chi voglia comprendere perché egli, e non altri, sia stato colpito, dovrà partire di qui. Ma partire di qui non è concludere di qui: che egli operasse su quel punto è un fatto documentato; che sia stato colpito per questo è una proposizione ulteriore, che le Fasi successive esamineranno e che allo stato degli atti resta in stato di dubbio.</w:t>
      </w:r>
    </w:p>
    <w:p>
      <w:pPr>
        <w:pStyle w:val="Heading2"/>
        <w:spacing w:after="100" w:before="200"/>
      </w:pPr>
      <w:r>
        <w:rPr>
          <w:rFonts w:ascii="Barlow Semi Condensed" w:cs="Barlow Semi Condensed" w:eastAsia="Barlow Semi Condensed" w:hAnsi="Barlow Semi Condensed"/>
          <w:sz w:val="24"/>
          <w:szCs w:val="24"/>
        </w:rPr>
        <w:t xml:space="preserve">Capitolo decimo — L'ultimo Moro, dal 1976 al 1978</w:t>
      </w:r>
    </w:p>
    <w:p>
      <w:pPr>
        <w:spacing w:after="120" w:line="276"/>
        <w:jc w:val="both"/>
      </w:pPr>
      <w:r>
        <w:rPr>
          <w:rFonts w:ascii="Barlow Semi Condensed" w:cs="Barlow Semi Condensed" w:eastAsia="Barlow Semi Condensed" w:hAnsi="Barlow Semi Condensed"/>
          <w:sz w:val="24"/>
          <w:szCs w:val="24"/>
        </w:rPr>
        <w:t xml:space="preserve">Restano i due anni che precedono il fatto. Sono i più densi e i più discussi, e occorre esporli con particolare cautela, perché è su di essi che si esercitano con maggiore intensità le interpretazioni retrospettive.</w:t>
      </w:r>
    </w:p>
    <w:p>
      <w:pPr>
        <w:pStyle w:val="Heading2"/>
        <w:spacing w:after="100" w:before="200"/>
      </w:pPr>
      <w:r>
        <w:rPr>
          <w:rFonts w:ascii="Barlow Semi Condensed" w:cs="Barlow Semi Condensed" w:eastAsia="Barlow Semi Condensed" w:hAnsi="Barlow Semi Condensed"/>
          <w:sz w:val="24"/>
          <w:szCs w:val="24"/>
        </w:rPr>
        <w:t xml:space="preserve">La solidarietà nazionale</w:t>
      </w:r>
    </w:p>
    <w:p>
      <w:pPr>
        <w:spacing w:after="120" w:line="276"/>
        <w:jc w:val="both"/>
      </w:pPr>
      <w:r>
        <w:rPr>
          <w:rFonts w:ascii="Barlow Semi Condensed" w:cs="Barlow Semi Condensed" w:eastAsia="Barlow Semi Condensed" w:hAnsi="Barlow Semi Condensed"/>
          <w:sz w:val="24"/>
          <w:szCs w:val="24"/>
        </w:rPr>
        <w:t xml:space="preserve">Dopo le elezioni politiche del 1976, che confermarono la crescita del Partito Comunista, si aprì la fase che prese il nome di solidarietà nazionale: una successione di governi che, pur non comprendendo ministri comunisti, poggiavano su maggioranze parlamentari nelle quali il Partito Comunista era compreso, dapprima con l'astensione e poi con il voto favorevole.</w:t>
      </w:r>
    </w:p>
    <w:p>
      <w:pPr>
        <w:spacing w:after="120" w:line="276"/>
        <w:jc w:val="both"/>
      </w:pPr>
      <w:r>
        <w:rPr>
          <w:rFonts w:ascii="Barlow Semi Condensed" w:cs="Barlow Semi Condensed" w:eastAsia="Barlow Semi Condensed" w:hAnsi="Barlow Semi Condensed"/>
          <w:sz w:val="24"/>
          <w:szCs w:val="24"/>
        </w:rPr>
        <w:t xml:space="preserve">Moro, divenuto presidente della Democrazia Cristiana, fu l'artefice principale di questa costruzione dalla parte democristiana, come il segretario del Partito Comunista lo fu dalla propria. La costruzione era, dal punto di vista delle regole parlamentari, ordinaria; dal punto di vista degli equilibri consolidati dal 1947, era invece un mutamento di grande portata, e fu percepita come tale sia in Italia sia fuori.</w:t>
      </w:r>
    </w:p>
    <w:p>
      <w:pPr>
        <w:spacing w:after="120" w:line="276"/>
        <w:jc w:val="both"/>
      </w:pPr>
      <w:r>
        <w:rPr>
          <w:rFonts w:ascii="Barlow Semi Condensed" w:cs="Barlow Semi Condensed" w:eastAsia="Barlow Semi Condensed" w:hAnsi="Barlow Semi Condensed"/>
          <w:sz w:val="24"/>
          <w:szCs w:val="24"/>
        </w:rPr>
        <w:t xml:space="preserve">Occorre essere precisi su ciò che essa era e su ciò che non era. Non era l'ingresso del Partito Comunista al governo, che non avvenne. Non era una alleanza organica, e i due partiti restavano avversari. Era l'inclusione del secondo partito del paese nella responsabilità parlamentare della maggioranza: un passaggio intermedio, deliberatamente intermedio, e concepito da Moro come tale.</w:t>
      </w:r>
    </w:p>
    <w:p>
      <w:pPr>
        <w:pStyle w:val="Heading2"/>
        <w:spacing w:after="100" w:before="200"/>
      </w:pPr>
      <w:r>
        <w:rPr>
          <w:rFonts w:ascii="Barlow Semi Condensed" w:cs="Barlow Semi Condensed" w:eastAsia="Barlow Semi Condensed" w:hAnsi="Barlow Semi Condensed"/>
          <w:sz w:val="24"/>
          <w:szCs w:val="24"/>
        </w:rPr>
        <w:t xml:space="preserve">La linea di Moro e le sue ragioni</w:t>
      </w:r>
    </w:p>
    <w:p>
      <w:pPr>
        <w:spacing w:after="120" w:line="276"/>
        <w:jc w:val="both"/>
      </w:pPr>
      <w:r>
        <w:rPr>
          <w:rFonts w:ascii="Barlow Semi Condensed" w:cs="Barlow Semi Condensed" w:eastAsia="Barlow Semi Condensed" w:hAnsi="Barlow Semi Condensed"/>
          <w:sz w:val="24"/>
          <w:szCs w:val="24"/>
        </w:rPr>
        <w:t xml:space="preserve">La posizione che Moro sostenne in quegli anni può essere riassunta senza tradirla in questi termini: un sistema democratico nel quale un terzo dell'elettorato sia stabilmente escluso dalla possibilità di governare è un sistema fragile, perché quella esclusione, protraendosi, delegittima le istituzioni presso una parte consistente dei cittadini; l'inclusione va dunque perseguita, ma gradualmente, per tappe verificabili, e senza mutamenti bruschi della collocazione internazionale del paese.</w:t>
      </w:r>
    </w:p>
    <w:p>
      <w:pPr>
        <w:spacing w:after="120" w:line="276"/>
        <w:jc w:val="both"/>
      </w:pPr>
      <w:r>
        <w:rPr>
          <w:rFonts w:ascii="Barlow Semi Condensed" w:cs="Barlow Semi Condensed" w:eastAsia="Barlow Semi Condensed" w:hAnsi="Barlow Semi Condensed"/>
          <w:sz w:val="24"/>
          <w:szCs w:val="24"/>
        </w:rPr>
        <w:t xml:space="preserve">Questa posizione fu contrastata da più parti, e le opposizioni erano di natura diversa fra loro.</w:t>
      </w:r>
    </w:p>
    <w:p>
      <w:pPr>
        <w:spacing w:after="120" w:line="276"/>
        <w:jc w:val="both"/>
      </w:pPr>
      <w:r>
        <w:rPr>
          <w:rFonts w:ascii="Barlow Semi Condensed" w:cs="Barlow Semi Condensed" w:eastAsia="Barlow Semi Condensed" w:hAnsi="Barlow Semi Condensed"/>
          <w:sz w:val="24"/>
          <w:szCs w:val="24"/>
        </w:rPr>
        <w:t xml:space="preserve">Vi era una opposizione interna alla Democrazia Cristiana, che temeva la perdita di identità del partito e la sua subalternità. Vi era una opposizione della sinistra estrema e dei gruppi armati, per i quali la solidarietà nazionale era la prova che il Partito Comunista si era integrato nel sistema e aveva tradito. Vi era, infine, una opposizione internazionale: la collocazione atlantica dell'Italia rendeva la vicenda oggetto di attenzione da parte degli alleati, e tale attenzione è documentata.</w:t>
      </w:r>
    </w:p>
    <w:p>
      <w:pPr>
        <w:spacing w:after="120" w:line="276"/>
        <w:jc w:val="both"/>
      </w:pPr>
      <w:r>
        <w:rPr>
          <w:rFonts w:ascii="Barlow Semi Condensed" w:cs="Barlow Semi Condensed" w:eastAsia="Barlow Semi Condensed" w:hAnsi="Barlow Semi Condensed"/>
          <w:sz w:val="24"/>
          <w:szCs w:val="24"/>
        </w:rPr>
        <w:t xml:space="preserve">Su questo terzo punto occorre la massima precisione, perché è quello sul quale la letteratura ha costruito di più. Che vi fosse preoccupazione internazionale per l'evoluzione italiana è documentato. Che tale preoccupazione si sia tradotta in atti diretti contro la persona di Aldo Moro è proposizione diversa, che domanda prova diversa, e che allo stato degli atti quest'opera non certifica. Il passaggio dall'una all'altra proposizione è precisamente il salto che l'apparato esposto nei Capitoli precedenti vieta di compiere in silenzio.</w:t>
      </w:r>
    </w:p>
    <w:p>
      <w:pPr>
        <w:pStyle w:val="Heading2"/>
        <w:spacing w:after="100" w:before="200"/>
      </w:pPr>
      <w:r>
        <w:rPr>
          <w:rFonts w:ascii="Barlow Semi Condensed" w:cs="Barlow Semi Condensed" w:eastAsia="Barlow Semi Condensed" w:hAnsi="Barlow Semi Condensed"/>
          <w:sz w:val="24"/>
          <w:szCs w:val="24"/>
        </w:rPr>
        <w:t xml:space="preserve">La mattina del 16 marzo 1978</w:t>
      </w:r>
    </w:p>
    <w:p>
      <w:pPr>
        <w:spacing w:after="120" w:line="276"/>
        <w:jc w:val="both"/>
      </w:pPr>
      <w:r>
        <w:rPr>
          <w:rFonts w:ascii="Barlow Semi Condensed" w:cs="Barlow Semi Condensed" w:eastAsia="Barlow Semi Condensed" w:hAnsi="Barlow Semi Condensed"/>
          <w:sz w:val="24"/>
          <w:szCs w:val="24"/>
        </w:rPr>
        <w:t xml:space="preserve">Il 16 marzo 1978 era il giorno nel quale il governo presieduto da Giulio Andreotti si sarebbe presentato alla Camera dei deputati per la fiducia: il primo governo della Repubblica a poggiare su una maggioranza comprensiva del Partito Comunista.</w:t>
      </w:r>
    </w:p>
    <w:p>
      <w:pPr>
        <w:spacing w:after="120" w:line="276"/>
        <w:jc w:val="both"/>
      </w:pPr>
      <w:r>
        <w:rPr>
          <w:rFonts w:ascii="Barlow Semi Condensed" w:cs="Barlow Semi Condensed" w:eastAsia="Barlow Semi Condensed" w:hAnsi="Barlow Semi Condensed"/>
          <w:sz w:val="24"/>
          <w:szCs w:val="24"/>
        </w:rPr>
        <w:t xml:space="preserve">Moro si stava recando alla Camera. In via Mario Fani, a Roma, la sua automobile e quella della scorta furono bloccate e investite da un'azione di fuoco. I cinque uomini della scorta furono uccisi: Oreste Leonardi, Domenico Ricci, Raffaele Iozzino, Giulio Rivera, Francesco Zizzi. Moro fu prelevato e condotto in luogo ignoto.</w:t>
      </w:r>
    </w:p>
    <w:p>
      <w:pPr>
        <w:spacing w:after="120" w:line="276"/>
        <w:jc w:val="both"/>
      </w:pPr>
      <w:r>
        <w:rPr>
          <w:rFonts w:ascii="Barlow Semi Condensed" w:cs="Barlow Semi Condensed" w:eastAsia="Barlow Semi Condensed" w:hAnsi="Barlow Semi Condensed"/>
          <w:sz w:val="24"/>
          <w:szCs w:val="24"/>
        </w:rPr>
        <w:t xml:space="preserve">Vi rimase cinquantacinque giorni. Il 9 maggio 1978 il suo corpo fu rinvenuto in una automobile in via Michelangelo Caetani, a Roma.</w:t>
      </w:r>
    </w:p>
    <w:p>
      <w:pPr>
        <w:pStyle w:val="Heading2"/>
        <w:spacing w:after="100" w:before="200"/>
      </w:pPr>
      <w:r>
        <w:rPr>
          <w:rFonts w:ascii="Barlow Semi Condensed" w:cs="Barlow Semi Condensed" w:eastAsia="Barlow Semi Condensed" w:hAnsi="Barlow Semi Condensed"/>
          <w:sz w:val="24"/>
          <w:szCs w:val="24"/>
        </w:rPr>
        <w:t xml:space="preserve">Le tre cose che occorre tenere ferme</w:t>
      </w:r>
    </w:p>
    <w:p>
      <w:pPr>
        <w:spacing w:after="120" w:line="276"/>
        <w:jc w:val="both"/>
      </w:pPr>
      <w:r>
        <w:rPr>
          <w:rFonts w:ascii="Barlow Semi Condensed" w:cs="Barlow Semi Condensed" w:eastAsia="Barlow Semi Condensed" w:hAnsi="Barlow Semi Condensed"/>
          <w:sz w:val="24"/>
          <w:szCs w:val="24"/>
        </w:rPr>
        <w:t xml:space="preserve">Questo Capitolo chiude la Fase Prima, e conviene fissare tre punti che governeranno la lettura delle Fasi successive.</w:t>
      </w:r>
    </w:p>
    <w:p>
      <w:pPr>
        <w:spacing w:after="120" w:line="276"/>
        <w:jc w:val="both"/>
      </w:pPr>
      <w:r>
        <w:rPr>
          <w:rFonts w:ascii="Barlow Semi Condensed" w:cs="Barlow Semi Condensed" w:eastAsia="Barlow Semi Condensed" w:hAnsi="Barlow Semi Condensed"/>
          <w:sz w:val="24"/>
          <w:szCs w:val="24"/>
        </w:rPr>
        <w:t xml:space="preserve">Il primo: la coincidenza fra il giorno del rapimento e il giorno del voto di fiducia è un fatto accertato e non contestato. Che tale coincidenza sia stata cercata da chi organizzò l'azione è proposizione altamente verosimile e comunemente accolta, e sarà esaminata nella sua sede; ma la verosimiglianza non è lo scioglimento, e la distinzione va mantenuta anche quando appare pedante.</w:t>
      </w:r>
    </w:p>
    <w:p>
      <w:pPr>
        <w:spacing w:after="120" w:line="276"/>
        <w:jc w:val="both"/>
      </w:pPr>
      <w:r>
        <w:rPr>
          <w:rFonts w:ascii="Barlow Semi Condensed" w:cs="Barlow Semi Condensed" w:eastAsia="Barlow Semi Condensed" w:hAnsi="Barlow Semi Condensed"/>
          <w:sz w:val="24"/>
          <w:szCs w:val="24"/>
        </w:rPr>
        <w:t xml:space="preserve">Il secondo: le cinque persone uccise in via Fani non sono un dettaglio della vicenda e non saranno trattate come tali. Esse hanno nome, e il nome è stato qui scritto per intero, perché l'opera designa per funzione soltanto ove la funzione basti a identificare l'atto, e nel caso delle vittime nessuna funzione basta.</w:t>
      </w:r>
    </w:p>
    <w:p>
      <w:pPr>
        <w:spacing w:after="120" w:line="276"/>
        <w:jc w:val="both"/>
      </w:pPr>
      <w:r>
        <w:rPr>
          <w:rFonts w:ascii="Barlow Semi Condensed" w:cs="Barlow Semi Condensed" w:eastAsia="Barlow Semi Condensed" w:hAnsi="Barlow Semi Condensed"/>
          <w:sz w:val="24"/>
          <w:szCs w:val="24"/>
        </w:rPr>
        <w:t xml:space="preserve">Il terzo, e più importante per ciò che segue: nulla di quanto è stato esposto in questa Fase costituisce prova di alcunché circa il fatto. La Fase Prima ha esposto il metodo e ha descritto la persona. Essa non ha stabilito perché quell'uomo sia stato ucciso, né da chi al di là di chi materialmente agì, né a quale fine. Queste sono le domande delle Fasi successive, e vi si arriverà per la via che l'apparato prescrive: dal documento all'asserzione, e dall'asserzione al legame, senza saltare tappe e senza colmare vuoti.</w:t>
      </w:r>
    </w:p>
    <w:p>
      <w:pPr>
        <w:spacing w:after="120" w:line="276"/>
        <w:jc w:val="both"/>
      </w:pPr>
      <w:r>
        <w:rPr>
          <w:rFonts w:ascii="Barlow Semi Condensed" w:cs="Barlow Semi Condensed" w:eastAsia="Barlow Semi Condensed" w:hAnsi="Barlow Semi Condensed"/>
          <w:sz w:val="24"/>
          <w:szCs w:val="24"/>
        </w:rPr>
        <w:t xml:space="preserve">Chi abbia letto fin qui sappia dunque che non ha ancora letto nulla di conclusivo. Ha letto le regole con le quali si cercherà, e ha conosciuto l'uomo che si cerca. È poco, ed è tutto ciò che a questo punto si può onestamente offrire.</w:t>
      </w:r>
    </w:p>
    <w:p>
      <w:pPr>
        <w:pStyle w:val="Heading2"/>
        <w:spacing w:after="100" w:before="200"/>
      </w:pPr>
      <w:r>
        <w:rPr>
          <w:rFonts w:ascii="Barlow Semi Condensed" w:cs="Barlow Semi Condensed" w:eastAsia="Barlow Semi Condensed" w:hAnsi="Barlow Semi Condensed"/>
          <w:sz w:val="24"/>
          <w:szCs w:val="24"/>
        </w:rPr>
        <w:t xml:space="preserve">FASE SECONDA — LE RAGIONI</w:t>
      </w:r>
    </w:p>
    <w:p>
      <w:pPr>
        <w:spacing w:after="120" w:line="276"/>
        <w:jc w:val="both"/>
      </w:pPr>
      <w:r>
        <w:rPr>
          <w:rFonts w:ascii="Barlow Semi Condensed" w:cs="Barlow Semi Condensed" w:eastAsia="Barlow Semi Condensed" w:hAnsi="Barlow Semi Condensed"/>
          <w:sz w:val="24"/>
          <w:szCs w:val="24"/>
        </w:rPr>
        <w:t xml:space="preserve">Dove si espone il contesto documentato, si censiscono le ragioni dichiarate e quelle attribuite, e si costruisce la matrice delle ipotesi concorrenti.</w:t>
      </w:r>
    </w:p>
    <w:p>
      <w:pPr>
        <w:pStyle w:val="Heading2"/>
        <w:spacing w:after="100" w:before="200"/>
      </w:pPr>
      <w:r>
        <w:rPr>
          <w:rFonts w:ascii="Barlow Semi Condensed" w:cs="Barlow Semi Condensed" w:eastAsia="Barlow Semi Condensed" w:hAnsi="Barlow Semi Condensed"/>
          <w:sz w:val="24"/>
          <w:szCs w:val="24"/>
        </w:rPr>
        <w:t xml:space="preserve">Capitolo undicesimo — L'oggetto della Fase e il divieto che la governa</w:t>
      </w:r>
    </w:p>
    <w:p>
      <w:pPr>
        <w:spacing w:after="120" w:line="276"/>
        <w:jc w:val="both"/>
      </w:pPr>
      <w:r>
        <w:rPr>
          <w:rFonts w:ascii="Barlow Semi Condensed" w:cs="Barlow Semi Condensed" w:eastAsia="Barlow Semi Condensed" w:hAnsi="Barlow Semi Condensed"/>
          <w:sz w:val="24"/>
          <w:szCs w:val="24"/>
        </w:rPr>
        <w:t xml:space="preserve">Questa Fase tratta le ragioni: perché quell'uomo, perché in quel momento. Ed è la più pericolosa delle sette, per un motivo che occorre esporre prima di ogni altra cosa, perché da esso dipende il modo in cui tutto ciò che segue va letto.</w:t>
      </w:r>
    </w:p>
    <w:p>
      <w:pPr>
        <w:pStyle w:val="Heading2"/>
        <w:spacing w:after="100" w:before="200"/>
      </w:pPr>
      <w:r>
        <w:rPr>
          <w:rFonts w:ascii="Barlow Semi Condensed" w:cs="Barlow Semi Condensed" w:eastAsia="Barlow Semi Condensed" w:hAnsi="Barlow Semi Condensed"/>
          <w:sz w:val="24"/>
          <w:szCs w:val="24"/>
        </w:rPr>
        <w:t xml:space="preserve">Perché il movente è il luogo del pericolo</w:t>
      </w:r>
    </w:p>
    <w:p>
      <w:pPr>
        <w:spacing w:after="120" w:line="276"/>
        <w:jc w:val="both"/>
      </w:pPr>
      <w:r>
        <w:rPr>
          <w:rFonts w:ascii="Barlow Semi Condensed" w:cs="Barlow Semi Condensed" w:eastAsia="Barlow Semi Condensed" w:hAnsi="Barlow Semi Condensed"/>
          <w:sz w:val="24"/>
          <w:szCs w:val="24"/>
        </w:rPr>
        <w:t xml:space="preserve">Nelle Fasi che trattano il fatto, la prova è materiale: un'automobile, una traiettoria, un bossolo, una perizia, un verbale. Vi si può sbagliare, e vi si è sbagliato; ma l'errore è controllabile, perché l'oggetto è controllabile.</w:t>
      </w:r>
    </w:p>
    <w:p>
      <w:pPr>
        <w:spacing w:after="120" w:line="276"/>
        <w:jc w:val="both"/>
      </w:pPr>
      <w:r>
        <w:rPr>
          <w:rFonts w:ascii="Barlow Semi Condensed" w:cs="Barlow Semi Condensed" w:eastAsia="Barlow Semi Condensed" w:hAnsi="Barlow Semi Condensed"/>
          <w:sz w:val="24"/>
          <w:szCs w:val="24"/>
        </w:rPr>
        <w:t xml:space="preserve">Nella Fase che tratta le ragioni l'oggetto non è materiale. Il movente non lascia bossoli. Esso si inferisce, e si inferisce da ciò che accadde prima e da ciò che accadde dopo; ed è precisamente per questo che il movente è il luogo dove la congettura entra nell'opera travestita da spiegazione.</w:t>
      </w:r>
    </w:p>
    <w:p>
      <w:pPr>
        <w:spacing w:after="120" w:line="276"/>
        <w:jc w:val="both"/>
      </w:pPr>
      <w:r>
        <w:rPr>
          <w:rFonts w:ascii="Barlow Semi Condensed" w:cs="Barlow Semi Condensed" w:eastAsia="Barlow Semi Condensed" w:hAnsi="Barlow Semi Condensed"/>
          <w:sz w:val="24"/>
          <w:szCs w:val="24"/>
        </w:rPr>
        <w:t xml:space="preserve">Il meccanismo è semplice e va nominato. Un fatto accade. Chi lo studia si domanda a chi giovasse. Individua una parte alla quale, in astratto, esso giovava. E il passaggio successivo — dal giovamento all'intenzione, e dall'intenzione all'atto — si compie con una facilità che nessun documento autorizza. Quel passaggio non è una deduzione: è un salto. Ma non appare come un salto, perché è coperto da una domanda che sembra di buon senso, e che di buon senso non è: a chi giova?</w:t>
      </w:r>
    </w:p>
    <w:p>
      <w:pPr>
        <w:spacing w:after="120" w:line="276"/>
        <w:jc w:val="both"/>
      </w:pPr>
      <w:r>
        <w:rPr>
          <w:rFonts w:ascii="Barlow Semi Condensed" w:cs="Barlow Semi Condensed" w:eastAsia="Barlow Semi Condensed" w:hAnsi="Barlow Semi Condensed"/>
          <w:sz w:val="24"/>
          <w:szCs w:val="24"/>
        </w:rPr>
        <w:t xml:space="preserve">Occorre dire perché quella domanda non è di buon senso in questa materia. Essa presuppone che gli eventi storici abbiano un beneficiario intenzionale, e che il beneficiario sia individuabile a partire dal beneficio. Nessuna delle due cose è vera in generale. Molti eventi giovano a più parti simultaneamente e per ragioni opposte; molti giovano a chi non li ha voluti; e alcuni non giovano a nessuno, essendo il prodotto di calcoli sbagliati. Un sistema complesso non ha un autore.</w:t>
      </w:r>
    </w:p>
    <w:p>
      <w:pPr>
        <w:pStyle w:val="Heading2"/>
        <w:spacing w:after="100" w:before="200"/>
      </w:pPr>
      <w:r>
        <w:rPr>
          <w:rFonts w:ascii="Barlow Semi Condensed" w:cs="Barlow Semi Condensed" w:eastAsia="Barlow Semi Condensed" w:hAnsi="Barlow Semi Condensed"/>
          <w:sz w:val="24"/>
          <w:szCs w:val="24"/>
        </w:rPr>
        <w:t xml:space="preserve">Il divieto</w:t>
      </w:r>
    </w:p>
    <w:p>
      <w:pPr>
        <w:spacing w:after="120" w:line="276"/>
        <w:jc w:val="both"/>
      </w:pPr>
      <w:r>
        <w:rPr>
          <w:rFonts w:ascii="Barlow Semi Condensed" w:cs="Barlow Semi Condensed" w:eastAsia="Barlow Semi Condensed" w:hAnsi="Barlow Semi Condensed"/>
          <w:sz w:val="24"/>
          <w:szCs w:val="24"/>
        </w:rPr>
        <w:t xml:space="preserve">Di qui il divieto che governa l'intera Fase, e che si enuncia così: nessuna ragione, per quanto plausibile, entra in stato di sciolto se non è attestata da un atto.</w:t>
      </w:r>
    </w:p>
    <w:p>
      <w:pPr>
        <w:spacing w:after="120" w:line="276"/>
        <w:jc w:val="both"/>
      </w:pPr>
      <w:r>
        <w:rPr>
          <w:rFonts w:ascii="Barlow Semi Condensed" w:cs="Barlow Semi Condensed" w:eastAsia="Barlow Semi Condensed" w:hAnsi="Barlow Semi Condensed"/>
          <w:sz w:val="24"/>
          <w:szCs w:val="24"/>
        </w:rPr>
        <w:t xml:space="preserve">Il divieto ha tre applicazioni concrete che conviene esplicitare, perché sono i tre punti nei quali in questa materia si è più spesso sbagliato.</w:t>
      </w:r>
    </w:p>
    <w:p>
      <w:pPr>
        <w:spacing w:after="120" w:line="276"/>
        <w:jc w:val="both"/>
      </w:pPr>
      <w:r>
        <w:rPr>
          <w:rFonts w:ascii="Barlow Semi Condensed" w:cs="Barlow Semi Condensed" w:eastAsia="Barlow Semi Condensed" w:hAnsi="Barlow Semi Condensed"/>
          <w:sz w:val="24"/>
          <w:szCs w:val="24"/>
        </w:rPr>
        <w:t xml:space="preserve">Prima applicazione: la convenienza non è prova di volontà. Che un esito sia giovato a una parte è, quando accertato, un fatto; che quella parte lo abbia voluto è proposizione ulteriore.</w:t>
      </w:r>
    </w:p>
    <w:p>
      <w:pPr>
        <w:spacing w:after="120" w:line="276"/>
        <w:jc w:val="both"/>
      </w:pPr>
      <w:r>
        <w:rPr>
          <w:rFonts w:ascii="Barlow Semi Condensed" w:cs="Barlow Semi Condensed" w:eastAsia="Barlow Semi Condensed" w:hAnsi="Barlow Semi Condensed"/>
          <w:sz w:val="24"/>
          <w:szCs w:val="24"/>
        </w:rPr>
        <w:t xml:space="preserve">Seconda applicazione: la coincidenza temporale non è prova di relazione. Che due eventi siano prossimi nel tempo è, quando accertato, un fatto; che l'uno abbia determinato l'altro è proposizione ulteriore. La sincronia chiama lo sguardo e non stabilisce mai un legame.</w:t>
      </w:r>
    </w:p>
    <w:p>
      <w:pPr>
        <w:spacing w:after="120" w:line="276"/>
        <w:jc w:val="both"/>
      </w:pPr>
      <w:r>
        <w:rPr>
          <w:rFonts w:ascii="Barlow Semi Condensed" w:cs="Barlow Semi Condensed" w:eastAsia="Barlow Semi Condensed" w:hAnsi="Barlow Semi Condensed"/>
          <w:sz w:val="24"/>
          <w:szCs w:val="24"/>
        </w:rPr>
        <w:t xml:space="preserve">Terza applicazione: l'ostilità dichiarata non è prova dell'atto. Che una parte avversasse la politica di quell'uomo è, quando documentato, un fatto — e in questa Fase se ne documenteranno parecchie; che l'abbia fatto uccidere è proposizione che domanda prova propria e indipendente. Gli avversari di Aldo Moro erano molti, in Italia e fuori, e la maggior parte di essi non lo uccise.</w:t>
      </w:r>
    </w:p>
    <w:p>
      <w:pPr>
        <w:pStyle w:val="Heading2"/>
        <w:spacing w:after="100" w:before="200"/>
      </w:pPr>
      <w:r>
        <w:rPr>
          <w:rFonts w:ascii="Barlow Semi Condensed" w:cs="Barlow Semi Condensed" w:eastAsia="Barlow Semi Condensed" w:hAnsi="Barlow Semi Condensed"/>
          <w:sz w:val="24"/>
          <w:szCs w:val="24"/>
        </w:rPr>
        <w:t xml:space="preserve">Che cosa dunque questa Fase può fare</w:t>
      </w:r>
    </w:p>
    <w:p>
      <w:pPr>
        <w:spacing w:after="120" w:line="276"/>
        <w:jc w:val="both"/>
      </w:pPr>
      <w:r>
        <w:rPr>
          <w:rFonts w:ascii="Barlow Semi Condensed" w:cs="Barlow Semi Condensed" w:eastAsia="Barlow Semi Condensed" w:hAnsi="Barlow Semi Condensed"/>
          <w:sz w:val="24"/>
          <w:szCs w:val="24"/>
        </w:rPr>
        <w:t xml:space="preserve">Se il divieto è così stringente, si domanderà a che serva la Fase.</w:t>
      </w:r>
    </w:p>
    <w:p>
      <w:pPr>
        <w:spacing w:after="120" w:line="276"/>
        <w:jc w:val="both"/>
      </w:pPr>
      <w:r>
        <w:rPr>
          <w:rFonts w:ascii="Barlow Semi Condensed" w:cs="Barlow Semi Condensed" w:eastAsia="Barlow Semi Condensed" w:hAnsi="Barlow Semi Condensed"/>
          <w:sz w:val="24"/>
          <w:szCs w:val="24"/>
        </w:rPr>
        <w:t xml:space="preserve">Serve a tre cose, e sono tutte necessarie.</w:t>
      </w:r>
    </w:p>
    <w:p>
      <w:pPr>
        <w:spacing w:after="120" w:line="276"/>
        <w:jc w:val="both"/>
      </w:pPr>
      <w:r>
        <w:rPr>
          <w:rFonts w:ascii="Barlow Semi Condensed" w:cs="Barlow Semi Condensed" w:eastAsia="Barlow Semi Condensed" w:hAnsi="Barlow Semi Condensed"/>
          <w:sz w:val="24"/>
          <w:szCs w:val="24"/>
        </w:rPr>
        <w:t xml:space="preserve">Serve a stabilire il contesto documentato: quali fossero, allo stato degli atti, le tensioni effettive del sistema politico italiano in quegli anni, e quali di esse tocchino direttamente la persona e la politica di quell'uomo. Questo è materia di documenti, e sarà trattato come tale.</w:t>
      </w:r>
    </w:p>
    <w:p>
      <w:pPr>
        <w:spacing w:after="120" w:line="276"/>
        <w:jc w:val="both"/>
      </w:pPr>
      <w:r>
        <w:rPr>
          <w:rFonts w:ascii="Barlow Semi Condensed" w:cs="Barlow Semi Condensed" w:eastAsia="Barlow Semi Condensed" w:hAnsi="Barlow Semi Condensed"/>
          <w:sz w:val="24"/>
          <w:szCs w:val="24"/>
        </w:rPr>
        <w:t xml:space="preserve">Serve a censire le ragioni dichiarate da chi compì l'azione. Chi rapì e uccise Aldo Moro ha esposto pubblicamente, in una serie di documenti diffusi durante i cinquantacinque giorni, le proprie ragioni. Quei documenti esistono, e ciò che essi dicono è accertato; che ciò che dicono sia la ragione vera è cosa diversa, e sarà tenuta distinta.</w:t>
      </w:r>
    </w:p>
    <w:p>
      <w:pPr>
        <w:spacing w:after="120" w:line="276"/>
        <w:jc w:val="both"/>
      </w:pPr>
      <w:r>
        <w:rPr>
          <w:rFonts w:ascii="Barlow Semi Condensed" w:cs="Barlow Semi Condensed" w:eastAsia="Barlow Semi Condensed" w:hAnsi="Barlow Semi Condensed"/>
          <w:sz w:val="24"/>
          <w:szCs w:val="24"/>
        </w:rPr>
        <w:t xml:space="preserve">Serve infine a censire le ragioni attribuite da altri: le ipotesi formulate in quasi cinquant'anni da inquirenti, commissioni parlamentari, studiosi e testimoni. Esse sono riportate con la qualificazione che i loro autori vi hanno apposta, e non con una qualificazione migliore.</w:t>
      </w:r>
    </w:p>
    <w:p>
      <w:pPr>
        <w:pStyle w:val="Heading2"/>
        <w:spacing w:after="100" w:before="200"/>
      </w:pPr>
      <w:r>
        <w:rPr>
          <w:rFonts w:ascii="Barlow Semi Condensed" w:cs="Barlow Semi Condensed" w:eastAsia="Barlow Semi Condensed" w:hAnsi="Barlow Semi Condensed"/>
          <w:sz w:val="24"/>
          <w:szCs w:val="24"/>
        </w:rPr>
        <w:t xml:space="preserve">Il metodo delle ipotesi concorrenti</w:t>
      </w:r>
    </w:p>
    <w:p>
      <w:pPr>
        <w:spacing w:after="120" w:line="276"/>
        <w:jc w:val="both"/>
      </w:pPr>
      <w:r>
        <w:rPr>
          <w:rFonts w:ascii="Barlow Semi Condensed" w:cs="Barlow Semi Condensed" w:eastAsia="Barlow Semi Condensed" w:hAnsi="Barlow Semi Condensed"/>
          <w:sz w:val="24"/>
          <w:szCs w:val="24"/>
        </w:rPr>
        <w:t xml:space="preserve">La Fase si chiuderà con una matrice. Per ciascuna ipotesi sul movente si elencheranno le evidenze disponibili, e per ciascuna evidenza si dirà se sia coerente, incoerente o neutra rispetto a quella ipotesi.</w:t>
      </w:r>
    </w:p>
    <w:p>
      <w:pPr>
        <w:spacing w:after="120" w:line="276"/>
        <w:jc w:val="both"/>
      </w:pPr>
      <w:r>
        <w:rPr>
          <w:rFonts w:ascii="Barlow Semi Condensed" w:cs="Barlow Semi Condensed" w:eastAsia="Barlow Semi Condensed" w:hAnsi="Barlow Semi Condensed"/>
          <w:sz w:val="24"/>
          <w:szCs w:val="24"/>
        </w:rPr>
        <w:t xml:space="preserve">La valutazione non guarderà quale ipotesi raccolga più sostegni. Guarderà quale sia meno contraddetta. È una differenza che pare sottile e che è decisiva: le evidenze che confermano si accumulano attorno a tutte le ipotesi, comprese le false, perché il ricercatore le riconosce come pertinenti proprio quando gli tornano; le evidenze che contraddicono discriminano, perché una sola di esse basta a escludere.</w:t>
      </w:r>
    </w:p>
    <w:p>
      <w:pPr>
        <w:spacing w:after="120" w:line="276"/>
        <w:jc w:val="both"/>
      </w:pPr>
      <w:r>
        <w:rPr>
          <w:rFonts w:ascii="Barlow Semi Condensed" w:cs="Barlow Semi Condensed" w:eastAsia="Barlow Semi Condensed" w:hAnsi="Barlow Semi Condensed"/>
          <w:sz w:val="24"/>
          <w:szCs w:val="24"/>
        </w:rPr>
        <w:t xml:space="preserve">Il lettore troverà, alla fine della Fase, che nessuna ipotesi risulta sciolta. Non deve trarne che la Fase sia stata inutile. Deve trarne che il movente del caso Moro, allo stato degli atti che quest'opera ha potuto interrogare, non è accertato; e che chi gli dica il contrario gli sta offrendo una convinzione, non una prova.</w:t>
      </w:r>
    </w:p>
    <w:p>
      <w:pPr>
        <w:pStyle w:val="Heading2"/>
        <w:spacing w:after="100" w:before="200"/>
      </w:pPr>
      <w:r>
        <w:rPr>
          <w:rFonts w:ascii="Barlow Semi Condensed" w:cs="Barlow Semi Condensed" w:eastAsia="Barlow Semi Condensed" w:hAnsi="Barlow Semi Condensed"/>
          <w:sz w:val="24"/>
          <w:szCs w:val="24"/>
        </w:rPr>
        <w:t xml:space="preserve">Capitolo dodicesimo — Il quadro interno: l'esclusione permanente e il suo prezzo</w:t>
      </w:r>
    </w:p>
    <w:p>
      <w:pPr>
        <w:spacing w:after="120" w:line="276"/>
        <w:jc w:val="both"/>
      </w:pPr>
      <w:r>
        <w:rPr>
          <w:rFonts w:ascii="Barlow Semi Condensed" w:cs="Barlow Semi Condensed" w:eastAsia="Barlow Semi Condensed" w:hAnsi="Barlow Semi Condensed"/>
          <w:sz w:val="24"/>
          <w:szCs w:val="24"/>
        </w:rPr>
        <w:t xml:space="preserve">La prima tensione documentata del sistema politico italiano, e la più duratura, è quella che riguarda l'esclusione del Partito Comunista Italiano dalla responsabilità di governo.</w:t>
      </w:r>
    </w:p>
    <w:p>
      <w:pPr>
        <w:pStyle w:val="Heading2"/>
        <w:spacing w:after="100" w:before="200"/>
      </w:pPr>
      <w:r>
        <w:rPr>
          <w:rFonts w:ascii="Barlow Semi Condensed" w:cs="Barlow Semi Condensed" w:eastAsia="Barlow Semi Condensed" w:hAnsi="Barlow Semi Condensed"/>
          <w:sz w:val="24"/>
          <w:szCs w:val="24"/>
        </w:rPr>
        <w:t xml:space="preserve">Il dato di fatto</w:t>
      </w:r>
    </w:p>
    <w:p>
      <w:pPr>
        <w:spacing w:after="120" w:line="276"/>
        <w:jc w:val="both"/>
      </w:pPr>
      <w:r>
        <w:rPr>
          <w:rFonts w:ascii="Barlow Semi Condensed" w:cs="Barlow Semi Condensed" w:eastAsia="Barlow Semi Condensed" w:hAnsi="Barlow Semi Condensed"/>
          <w:sz w:val="24"/>
          <w:szCs w:val="24"/>
        </w:rPr>
        <w:t xml:space="preserve">Dal maggio 1947, quando i comunisti e i socialisti uscirono dal governo di unità nazionale, fino al 1978, nessun governo della Repubblica comprese ministri comunisti. Nello stesso periodo il Partito Comunista Italiano fu stabilmente il secondo partito del paese, e alle elezioni politiche del 1976 raggiunse una percentuale di voti che lo collocava a distanza ridotta dalla Democrazia Cristiana.</w:t>
      </w:r>
    </w:p>
    <w:p>
      <w:pPr>
        <w:spacing w:after="120" w:line="276"/>
        <w:jc w:val="both"/>
      </w:pPr>
      <w:r>
        <w:rPr>
          <w:rFonts w:ascii="Barlow Semi Condensed" w:cs="Barlow Semi Condensed" w:eastAsia="Barlow Semi Condensed" w:hAnsi="Barlow Semi Condensed"/>
          <w:sz w:val="24"/>
          <w:szCs w:val="24"/>
        </w:rPr>
        <w:t xml:space="preserve">Si ha dunque un sistema nel quale un partito che raccoglieva stabilmente circa un quarto dell'elettorato, e alla fine circa un terzo, era escluso in permanenza dalla possibilità di governare. L'esclusione non discendeva da una norma: nessun articolo della Costituzione la prevedeva, e nessuna legge la disponeva. Discendeva da un accordo politico non scritto fra le altre forze, al quale la dottrina costituzionalistica ha dato il nome di patto di esclusione.</w:t>
      </w:r>
    </w:p>
    <w:p>
      <w:pPr>
        <w:pStyle w:val="Heading2"/>
        <w:spacing w:after="100" w:before="200"/>
      </w:pPr>
      <w:r>
        <w:rPr>
          <w:rFonts w:ascii="Barlow Semi Condensed" w:cs="Barlow Semi Condensed" w:eastAsia="Barlow Semi Condensed" w:hAnsi="Barlow Semi Condensed"/>
          <w:sz w:val="24"/>
          <w:szCs w:val="24"/>
        </w:rPr>
        <w:t xml:space="preserve">Perché questo era un problema e non una semplice scelta</w:t>
      </w:r>
    </w:p>
    <w:p>
      <w:pPr>
        <w:spacing w:after="120" w:line="276"/>
        <w:jc w:val="both"/>
      </w:pPr>
      <w:r>
        <w:rPr>
          <w:rFonts w:ascii="Barlow Semi Condensed" w:cs="Barlow Semi Condensed" w:eastAsia="Barlow Semi Condensed" w:hAnsi="Barlow Semi Condensed"/>
          <w:sz w:val="24"/>
          <w:szCs w:val="24"/>
        </w:rPr>
        <w:t xml:space="preserve">Occorre essere esatti sulla natura del problema, perché esso è stato descritto in modi molto diversi e le descrizioni non sono equivalenti.</w:t>
      </w:r>
    </w:p>
    <w:p>
      <w:pPr>
        <w:spacing w:after="120" w:line="276"/>
        <w:jc w:val="both"/>
      </w:pPr>
      <w:r>
        <w:rPr>
          <w:rFonts w:ascii="Barlow Semi Condensed" w:cs="Barlow Semi Condensed" w:eastAsia="Barlow Semi Condensed" w:hAnsi="Barlow Semi Condensed"/>
          <w:sz w:val="24"/>
          <w:szCs w:val="24"/>
        </w:rPr>
        <w:t xml:space="preserve">In un ordinamento democratico l'alternanza non è un ornamento: è il meccanismo per il quale gli elettori possono cambiare il governo senza cambiare il regime. Dove l'alternanza è preclusa, il malcontento non trova sbocco istituzionale, e cerca altri sbocchi. Questo era il ragionamento sul quale poggiava la posizione dell'ultimo Moro, e occorre riconoscere che non era un ragionamento di parte: esso era condiviso, con accenti diversi, da giuristi e osservatori di varia collocazione.</w:t>
      </w:r>
    </w:p>
    <w:p>
      <w:pPr>
        <w:spacing w:after="120" w:line="276"/>
        <w:jc w:val="both"/>
      </w:pPr>
      <w:r>
        <w:rPr>
          <w:rFonts w:ascii="Barlow Semi Condensed" w:cs="Barlow Semi Condensed" w:eastAsia="Barlow Semi Condensed" w:hAnsi="Barlow Semi Condensed"/>
          <w:sz w:val="24"/>
          <w:szCs w:val="24"/>
        </w:rPr>
        <w:t xml:space="preserve">Vi era però un ragionamento opposto, e anch'esso serio. Esso osservava che il Partito Comunista Italiano, per quanto avesse compiuto un cammino di autonomia dalle posizioni sovietiche, apparteneva a una tradizione internazionale il cui centro era una potenza avversaria dell'alleanza alla quale l'Italia apparteneva; che l'ingresso di quel partito al governo avrebbe posto un problema di sicurezza per l'alleanza; e che dunque l'esclusione, per quanto anomala dal punto di vista interno, era la condizione della collocazione internazionale del paese.</w:t>
      </w:r>
    </w:p>
    <w:p>
      <w:pPr>
        <w:spacing w:after="120" w:line="276"/>
        <w:jc w:val="both"/>
      </w:pPr>
      <w:r>
        <w:rPr>
          <w:rFonts w:ascii="Barlow Semi Condensed" w:cs="Barlow Semi Condensed" w:eastAsia="Barlow Semi Condensed" w:hAnsi="Barlow Semi Condensed"/>
          <w:sz w:val="24"/>
          <w:szCs w:val="24"/>
        </w:rPr>
        <w:t xml:space="preserve">Quest'opera non decide fra i due ragionamenti, perché la scelta fra essi è politica e non documentale. Registra che entrambi erano sostenuti in buona fede, che entrambi avevano fondamento, e che il conflitto fra essi costituiva la tensione centrale del sistema italiano per trent'anni.</w:t>
      </w:r>
    </w:p>
    <w:p>
      <w:pPr>
        <w:pStyle w:val="Heading2"/>
        <w:spacing w:after="100" w:before="200"/>
      </w:pPr>
      <w:r>
        <w:rPr>
          <w:rFonts w:ascii="Barlow Semi Condensed" w:cs="Barlow Semi Condensed" w:eastAsia="Barlow Semi Condensed" w:hAnsi="Barlow Semi Condensed"/>
          <w:sz w:val="24"/>
          <w:szCs w:val="24"/>
        </w:rPr>
        <w:t xml:space="preserve">Dove Moro si collocava</w:t>
      </w:r>
    </w:p>
    <w:p>
      <w:pPr>
        <w:spacing w:after="120" w:line="276"/>
        <w:jc w:val="both"/>
      </w:pPr>
      <w:r>
        <w:rPr>
          <w:rFonts w:ascii="Barlow Semi Condensed" w:cs="Barlow Semi Condensed" w:eastAsia="Barlow Semi Condensed" w:hAnsi="Barlow Semi Condensed"/>
          <w:sz w:val="24"/>
          <w:szCs w:val="24"/>
        </w:rPr>
        <w:t xml:space="preserve">La posizione di Moro, quale risulta dai suoi scritti e discorsi di quegli anni, non risolveva il conflitto: cercava di scioglierlo nel tempo. Essa consisteva nel considerare l'esclusione non come una condizione permanente né come una anomalia da abolire d'un tratto, ma come una situazione da superare per tappe verificabili, ciascuna delle quali dovesse essere sostenibile sia sul piano interno sia su quello internazionale.</w:t>
      </w:r>
    </w:p>
    <w:p>
      <w:pPr>
        <w:spacing w:after="120" w:line="276"/>
        <w:jc w:val="both"/>
      </w:pPr>
      <w:r>
        <w:rPr>
          <w:rFonts w:ascii="Barlow Semi Condensed" w:cs="Barlow Semi Condensed" w:eastAsia="Barlow Semi Condensed" w:hAnsi="Barlow Semi Condensed"/>
          <w:sz w:val="24"/>
          <w:szCs w:val="24"/>
        </w:rPr>
        <w:t xml:space="preserve">Da qui la solidarietà nazionale come passaggio intermedio: inclusione nella responsabilità parlamentare, non ancora nel governo; verifica dell'esito; e solo dopo, eventualmente, il passaggio successivo.</w:t>
      </w:r>
    </w:p>
    <w:p>
      <w:pPr>
        <w:spacing w:after="120" w:line="276"/>
        <w:jc w:val="both"/>
      </w:pPr>
      <w:r>
        <w:rPr>
          <w:rFonts w:ascii="Barlow Semi Condensed" w:cs="Barlow Semi Condensed" w:eastAsia="Barlow Semi Condensed" w:hAnsi="Barlow Semi Condensed"/>
          <w:sz w:val="24"/>
          <w:szCs w:val="24"/>
        </w:rPr>
        <w:t xml:space="preserve">Questa gradualità fu il suo metodo e fu la ragione della sua impopolarità presso quasi tutti. Presso chi voleva l'esclusione permanente, perché ogni tappa era una cessione. Presso chi voleva l'inclusione immediata, perché ogni tappa era un rinvio. Presso chi non voleva né l'una né l'altra cosa ma la fine del sistema, perché la gradualità è precisamente ciò che impedisce alle crisi di maturare.</w:t>
      </w:r>
    </w:p>
    <w:p>
      <w:pPr>
        <w:pStyle w:val="Heading2"/>
        <w:spacing w:after="100" w:before="200"/>
      </w:pPr>
      <w:r>
        <w:rPr>
          <w:rFonts w:ascii="Barlow Semi Condensed" w:cs="Barlow Semi Condensed" w:eastAsia="Barlow Semi Condensed" w:hAnsi="Barlow Semi Condensed"/>
          <w:sz w:val="24"/>
          <w:szCs w:val="24"/>
        </w:rPr>
        <w:t xml:space="preserve">Un dato che occorre fissare</w:t>
      </w:r>
    </w:p>
    <w:p>
      <w:pPr>
        <w:spacing w:after="120" w:line="276"/>
        <w:jc w:val="both"/>
      </w:pPr>
      <w:r>
        <w:rPr>
          <w:rFonts w:ascii="Barlow Semi Condensed" w:cs="Barlow Semi Condensed" w:eastAsia="Barlow Semi Condensed" w:hAnsi="Barlow Semi Condensed"/>
          <w:sz w:val="24"/>
          <w:szCs w:val="24"/>
        </w:rPr>
        <w:t xml:space="preserve">Si fissi dunque, e con precisione, il dato che questa Fase trae dal quadro interno.</w:t>
      </w:r>
    </w:p>
    <w:p>
      <w:pPr>
        <w:spacing w:after="120" w:line="276"/>
        <w:jc w:val="both"/>
      </w:pPr>
      <w:r>
        <w:rPr>
          <w:rFonts w:ascii="Barlow Semi Condensed" w:cs="Barlow Semi Condensed" w:eastAsia="Barlow Semi Condensed" w:hAnsi="Barlow Semi Condensed"/>
          <w:sz w:val="24"/>
          <w:szCs w:val="24"/>
        </w:rPr>
        <w:t xml:space="preserve">Nel marzo del 1978 il sistema politico italiano stava compiendo, per la prima volta in trentun anni, un passaggio che ne modificava l'assetto fondamentale. Il passaggio era guidato, dalla parte democristiana, da Aldo Moro. Il giorno nel quale esso si sarebbe formalizzato con il voto di fiducia è il giorno nel quale Aldo Moro fu rapito.</w:t>
      </w:r>
    </w:p>
    <w:p>
      <w:pPr>
        <w:spacing w:after="120" w:line="276"/>
        <w:jc w:val="both"/>
      </w:pPr>
      <w:r>
        <w:rPr>
          <w:rFonts w:ascii="Barlow Semi Condensed" w:cs="Barlow Semi Condensed" w:eastAsia="Barlow Semi Condensed" w:hAnsi="Barlow Semi Condensed"/>
          <w:sz w:val="24"/>
          <w:szCs w:val="24"/>
        </w:rPr>
        <w:t xml:space="preserve">Questo è un fatto, ed è accertato. Che cosa esso significhi non lo è, e non lo sarà in questo Capitolo. Il lettore è pregato di trattenersi dalla conclusione che gli si presenta, e di ricordare l'avvertimento del Capitolo undicesimo: la coincidenza temporale chiama lo sguardo e non stabilisce alcun legame.</w:t>
      </w:r>
    </w:p>
    <w:p>
      <w:pPr>
        <w:pStyle w:val="Heading2"/>
        <w:spacing w:after="100" w:before="200"/>
      </w:pPr>
      <w:r>
        <w:rPr>
          <w:rFonts w:ascii="Barlow Semi Condensed" w:cs="Barlow Semi Condensed" w:eastAsia="Barlow Semi Condensed" w:hAnsi="Barlow Semi Condensed"/>
          <w:sz w:val="24"/>
          <w:szCs w:val="24"/>
        </w:rPr>
        <w:t xml:space="preserve">Capitolo tredicesimo — Il quadro internazionale: la collocazione e i suoi vincoli</w:t>
      </w:r>
    </w:p>
    <w:p>
      <w:pPr>
        <w:spacing w:after="120" w:line="276"/>
        <w:jc w:val="both"/>
      </w:pPr>
      <w:r>
        <w:rPr>
          <w:rFonts w:ascii="Barlow Semi Condensed" w:cs="Barlow Semi Condensed" w:eastAsia="Barlow Semi Condensed" w:hAnsi="Barlow Semi Condensed"/>
          <w:sz w:val="24"/>
          <w:szCs w:val="24"/>
        </w:rPr>
        <w:t xml:space="preserve">La seconda tensione documentata riguarda la collocazione internazionale del paese e i vincoli che essa comportava.</w:t>
      </w:r>
    </w:p>
    <w:p>
      <w:pPr>
        <w:pStyle w:val="Heading2"/>
        <w:spacing w:after="100" w:before="200"/>
      </w:pPr>
      <w:r>
        <w:rPr>
          <w:rFonts w:ascii="Barlow Semi Condensed" w:cs="Barlow Semi Condensed" w:eastAsia="Barlow Semi Condensed" w:hAnsi="Barlow Semi Condensed"/>
          <w:sz w:val="24"/>
          <w:szCs w:val="24"/>
        </w:rPr>
        <w:t xml:space="preserve">Il dato di fatto</w:t>
      </w:r>
    </w:p>
    <w:p>
      <w:pPr>
        <w:spacing w:after="120" w:line="276"/>
        <w:jc w:val="both"/>
      </w:pPr>
      <w:r>
        <w:rPr>
          <w:rFonts w:ascii="Barlow Semi Condensed" w:cs="Barlow Semi Condensed" w:eastAsia="Barlow Semi Condensed" w:hAnsi="Barlow Semi Condensed"/>
          <w:sz w:val="24"/>
          <w:szCs w:val="24"/>
        </w:rPr>
        <w:t xml:space="preserve">L'Italia aderì al Patto Atlantico nel 1949, e da allora fu parte dell'alleanza occidentale, con basi militari alleate sul proprio territorio e con una collocazione che nessuna delle forze di governo pose mai in discussione.</w:t>
      </w:r>
    </w:p>
    <w:p>
      <w:pPr>
        <w:spacing w:after="120" w:line="276"/>
        <w:jc w:val="both"/>
      </w:pPr>
      <w:r>
        <w:rPr>
          <w:rFonts w:ascii="Barlow Semi Condensed" w:cs="Barlow Semi Condensed" w:eastAsia="Barlow Semi Condensed" w:hAnsi="Barlow Semi Condensed"/>
          <w:sz w:val="24"/>
          <w:szCs w:val="24"/>
        </w:rPr>
        <w:t xml:space="preserve">Che tale collocazione comportasse una attenzione degli alleati verso l'evoluzione politica interna non è congettura: è documentato, e lo è per fonte diretta. Documenti dei servizi informativi statunitensi, resi accessibili in epoche successive per effetto della legislazione sulla libertà di informazione, attestano che la situazione politica italiana fu oggetto di analisi continuativa; che l'ipotesi di una partecipazione comunista al governo fu valutata come sfavorevole agli interessi dell'alleanza; e che furono condotte attività di sostegno alle forze politiche non comuniste.</w:t>
      </w:r>
    </w:p>
    <w:p>
      <w:pPr>
        <w:spacing w:after="120" w:line="276"/>
        <w:jc w:val="both"/>
      </w:pPr>
      <w:r>
        <w:rPr>
          <w:rFonts w:ascii="Barlow Semi Condensed" w:cs="Barlow Semi Condensed" w:eastAsia="Barlow Semi Condensed" w:hAnsi="Barlow Semi Condensed"/>
          <w:sz w:val="24"/>
          <w:szCs w:val="24"/>
        </w:rPr>
        <w:t xml:space="preserve">Questo è materia di documenti e va detto senza reticenze e senza enfasi. Senza reticenze, perché tacerlo sarebbe una omissione: chi ricostruisca la politica italiana del dopoguerra ignorando la dimensione dell'influenza esterna descrive un paese che non è esistito. Senza enfasi, perché la stessa cosa vale per il versante opposto, del quale si dirà nel Capitolo seguente, e perché l'esistenza documentata di una influenza non stabilisce alcunché circa un atto determinato.</w:t>
      </w:r>
    </w:p>
    <w:p>
      <w:pPr>
        <w:pStyle w:val="Heading2"/>
        <w:spacing w:after="100" w:before="200"/>
      </w:pPr>
      <w:r>
        <w:rPr>
          <w:rFonts w:ascii="Barlow Semi Condensed" w:cs="Barlow Semi Condensed" w:eastAsia="Barlow Semi Condensed" w:hAnsi="Barlow Semi Condensed"/>
          <w:sz w:val="24"/>
          <w:szCs w:val="24"/>
        </w:rPr>
        <w:t xml:space="preserve">La distinzione capitale</w:t>
      </w:r>
    </w:p>
    <w:p>
      <w:pPr>
        <w:spacing w:after="120" w:line="276"/>
        <w:jc w:val="both"/>
      </w:pPr>
      <w:r>
        <w:rPr>
          <w:rFonts w:ascii="Barlow Semi Condensed" w:cs="Barlow Semi Condensed" w:eastAsia="Barlow Semi Condensed" w:hAnsi="Barlow Semi Condensed"/>
          <w:sz w:val="24"/>
          <w:szCs w:val="24"/>
        </w:rPr>
        <w:t xml:space="preserve">Qui occorre operare la distinzione che regge l'intero Capitolo e sulla quale, in questa materia, si è più costantemente scivolato.</w:t>
      </w:r>
    </w:p>
    <w:p>
      <w:pPr>
        <w:spacing w:after="120" w:line="276"/>
        <w:jc w:val="both"/>
      </w:pPr>
      <w:r>
        <w:rPr>
          <w:rFonts w:ascii="Barlow Semi Condensed" w:cs="Barlow Semi Condensed" w:eastAsia="Barlow Semi Condensed" w:hAnsi="Barlow Semi Condensed"/>
          <w:sz w:val="24"/>
          <w:szCs w:val="24"/>
        </w:rPr>
        <w:t xml:space="preserve">Una cosa è l'influenza politica esercitata da una potenza alleata sull'evoluzione interna di un paese alleato: finanziamento di partiti, sostegno a campagne, pressione diplomatica, condizionamento economico. Essa è documentata, fu praticata da più parti, e appartiene alla fisiologia — sgradevole ma reale — dei rapporti fra Stati in un sistema bipolare.</w:t>
      </w:r>
    </w:p>
    <w:p>
      <w:pPr>
        <w:spacing w:after="120" w:line="276"/>
        <w:jc w:val="both"/>
      </w:pPr>
      <w:r>
        <w:rPr>
          <w:rFonts w:ascii="Barlow Semi Condensed" w:cs="Barlow Semi Condensed" w:eastAsia="Barlow Semi Condensed" w:hAnsi="Barlow Semi Condensed"/>
          <w:sz w:val="24"/>
          <w:szCs w:val="24"/>
        </w:rPr>
        <w:t xml:space="preserve">Altra cosa è la partecipazione a un delitto contro la persona di un uomo di governo di quel paese. Essa non è dello stesso genere della prima, non ne è la naturale prosecuzione, e non se ne inferisce.</w:t>
      </w:r>
    </w:p>
    <w:p>
      <w:pPr>
        <w:spacing w:after="120" w:line="276"/>
        <w:jc w:val="both"/>
      </w:pPr>
      <w:r>
        <w:rPr>
          <w:rFonts w:ascii="Barlow Semi Condensed" w:cs="Barlow Semi Condensed" w:eastAsia="Barlow Semi Condensed" w:hAnsi="Barlow Semi Condensed"/>
          <w:sz w:val="24"/>
          <w:szCs w:val="24"/>
        </w:rPr>
        <w:t xml:space="preserve">Il passaggio dall'una all'altra è il salto che il Capitolo undicesimo vieta. Esso viene compiuto, nella letteratura su questa materia, con una frequenza che stupisce, e quasi sempre attraverso una formula che ha l'aspetto di un ragionamento e non lo è: poiché è documentato che essi interferivano, è verosimile che abbiano interferito anche in questo. La formula sostituisce alla prova di un atto la propensione desunta da altri atti. Nessun tribunale l'accetterebbe, e nessun registro deve accettarla.</w:t>
      </w:r>
    </w:p>
    <w:p>
      <w:pPr>
        <w:pStyle w:val="Heading2"/>
        <w:spacing w:after="100" w:before="200"/>
      </w:pPr>
      <w:r>
        <w:rPr>
          <w:rFonts w:ascii="Barlow Semi Condensed" w:cs="Barlow Semi Condensed" w:eastAsia="Barlow Semi Condensed" w:hAnsi="Barlow Semi Condensed"/>
          <w:sz w:val="24"/>
          <w:szCs w:val="24"/>
        </w:rPr>
        <w:t xml:space="preserve">La macro-ipotesi e la sua verifica</w:t>
      </w:r>
    </w:p>
    <w:p>
      <w:pPr>
        <w:spacing w:after="120" w:line="276"/>
        <w:jc w:val="both"/>
      </w:pPr>
      <w:r>
        <w:rPr>
          <w:rFonts w:ascii="Barlow Semi Condensed" w:cs="Barlow Semi Condensed" w:eastAsia="Barlow Semi Condensed" w:hAnsi="Barlow Semi Condensed"/>
          <w:sz w:val="24"/>
          <w:szCs w:val="24"/>
        </w:rPr>
        <w:t xml:space="preserve">Vi è, nella letteratura di questo campo, una ipotesi di grande ampiezza secondo la quale le due superpotenze, pur essendo avversarie, avrebbero avuto un interesse convergente a impedire il rafforzamento politico dell'Europa, e avrebbero agito, ciascuna per la propria via, in tale direzione.</w:t>
      </w:r>
    </w:p>
    <w:p>
      <w:pPr>
        <w:spacing w:after="120" w:line="276"/>
        <w:jc w:val="both"/>
      </w:pPr>
      <w:r>
        <w:rPr>
          <w:rFonts w:ascii="Barlow Semi Condensed" w:cs="Barlow Semi Condensed" w:eastAsia="Barlow Semi Condensed" w:hAnsi="Barlow Semi Condensed"/>
          <w:sz w:val="24"/>
          <w:szCs w:val="24"/>
        </w:rPr>
        <w:t xml:space="preserve">L'ipotesi è suggestiva, ed è stata a lungo coltivata anche nel corpus maggiore al quale quest'opera appartiene. Essa vi è stata sottoposta a una verifica di natura statistica, il cui esito va riferito perché è istruttivo.</w:t>
      </w:r>
    </w:p>
    <w:p>
      <w:pPr>
        <w:spacing w:after="120" w:line="276"/>
        <w:jc w:val="both"/>
      </w:pPr>
      <w:r>
        <w:rPr>
          <w:rFonts w:ascii="Barlow Semi Condensed" w:cs="Barlow Semi Condensed" w:eastAsia="Barlow Semi Condensed" w:hAnsi="Barlow Semi Condensed"/>
          <w:sz w:val="24"/>
          <w:szCs w:val="24"/>
        </w:rPr>
        <w:t xml:space="preserve">La verifica esaminava se gli eventi stragisti italiani si addensassero attorno alle scadenze del processo di integrazione europea, come l'ipotesi predice. L'esito fu negativo a tutti i raggi temporali esaminati, con un valore di probabilità pari a 0,60, e il controllo di robustezza sulla finestra dichiarata confermò l'esito. Un valore siffatto significa che la distribuzione osservata è pienamente compatibile con il caso: nessun addensamento è stato riscontrato.</w:t>
      </w:r>
    </w:p>
    <w:p>
      <w:pPr>
        <w:spacing w:after="120" w:line="276"/>
        <w:jc w:val="both"/>
      </w:pPr>
      <w:r>
        <w:rPr>
          <w:rFonts w:ascii="Barlow Semi Condensed" w:cs="Barlow Semi Condensed" w:eastAsia="Barlow Semi Condensed" w:hAnsi="Barlow Semi Condensed"/>
          <w:sz w:val="24"/>
          <w:szCs w:val="24"/>
        </w:rPr>
        <w:t xml:space="preserve">La conseguenza fu tratta, ed è quella che il metodo impone: l'ipotesi nella sua formulazione originaria fu formalmente abbandonata. Essa non è stata sostituita da una ipotesi contraria — l'esito negativo non prova che nessuna influenza vi fosse — ma è stata dismessa come chiave esplicativa generale.</w:t>
      </w:r>
    </w:p>
    <w:p>
      <w:pPr>
        <w:spacing w:after="120" w:line="276"/>
        <w:jc w:val="both"/>
      </w:pPr>
      <w:r>
        <w:rPr>
          <w:rFonts w:ascii="Barlow Semi Condensed" w:cs="Barlow Semi Condensed" w:eastAsia="Barlow Semi Condensed" w:hAnsi="Barlow Semi Condensed"/>
          <w:sz w:val="24"/>
          <w:szCs w:val="24"/>
        </w:rPr>
        <w:t xml:space="preserve">Questo episodio è riferito qui per una ragione che eccede il suo contenuto. Esso mostra che cosa significhi, in concreto, sottoporre a confutazione una ipotesi cara: significa accettare che il risultato la smentisca, dichiararlo, e rinunciarvi. Un'ipotesi che non sia mai stata sottoposta a una prova capace di smentirla non è un'acquisizione: è una convinzione.</w:t>
      </w:r>
    </w:p>
    <w:p>
      <w:pPr>
        <w:pStyle w:val="Heading2"/>
        <w:spacing w:after="100" w:before="200"/>
      </w:pPr>
      <w:r>
        <w:rPr>
          <w:rFonts w:ascii="Barlow Semi Condensed" w:cs="Barlow Semi Condensed" w:eastAsia="Barlow Semi Condensed" w:hAnsi="Barlow Semi Condensed"/>
          <w:sz w:val="24"/>
          <w:szCs w:val="24"/>
        </w:rPr>
        <w:t xml:space="preserve">Che cosa resta accertato</w:t>
      </w:r>
    </w:p>
    <w:p>
      <w:pPr>
        <w:spacing w:after="120" w:line="276"/>
        <w:jc w:val="both"/>
      </w:pPr>
      <w:r>
        <w:rPr>
          <w:rFonts w:ascii="Barlow Semi Condensed" w:cs="Barlow Semi Condensed" w:eastAsia="Barlow Semi Condensed" w:hAnsi="Barlow Semi Condensed"/>
          <w:sz w:val="24"/>
          <w:szCs w:val="24"/>
        </w:rPr>
        <w:t xml:space="preserve">Resta accertato che l'Italia era collocata in una alleanza; che tale collocazione comportava vincoli sulle possibili maggioranze di governo; che gli alleati esercitarono forme documentate di influenza sulla politica interna; e che l'evoluzione politica italiana del 1976-1978 era osservata con preoccupazione.</w:t>
      </w:r>
    </w:p>
    <w:p>
      <w:pPr>
        <w:spacing w:after="120" w:line="276"/>
        <w:jc w:val="both"/>
      </w:pPr>
      <w:r>
        <w:rPr>
          <w:rFonts w:ascii="Barlow Semi Condensed" w:cs="Barlow Semi Condensed" w:eastAsia="Barlow Semi Condensed" w:hAnsi="Barlow Semi Condensed"/>
          <w:sz w:val="24"/>
          <w:szCs w:val="24"/>
        </w:rPr>
        <w:t xml:space="preserve">Non risulta accertato, allo stato degli atti che quest'opera ha potuto interrogare, alcun atto diretto contro la persona di Aldo Moro riconducibile a tale versante. La proposizione resta in stato di dubbio, e la sua condizione di scioglimento è indicata: un documento che attesti una decisione, una autorizzazione o una conoscenza preventiva, presso una sede identificabile e con estremi verificabili.</w:t>
      </w:r>
    </w:p>
    <w:p>
      <w:pPr>
        <w:pStyle w:val="Heading2"/>
        <w:spacing w:after="100" w:before="200"/>
      </w:pPr>
      <w:r>
        <w:rPr>
          <w:rFonts w:ascii="Barlow Semi Condensed" w:cs="Barlow Semi Condensed" w:eastAsia="Barlow Semi Condensed" w:hAnsi="Barlow Semi Condensed"/>
          <w:sz w:val="24"/>
          <w:szCs w:val="24"/>
        </w:rPr>
        <w:t xml:space="preserve">Capitolo quattordicesimo — L'altro versante</w:t>
      </w:r>
    </w:p>
    <w:p>
      <w:pPr>
        <w:spacing w:after="120" w:line="276"/>
        <w:jc w:val="both"/>
      </w:pPr>
      <w:r>
        <w:rPr>
          <w:rFonts w:ascii="Barlow Semi Condensed" w:cs="Barlow Semi Condensed" w:eastAsia="Barlow Semi Condensed" w:hAnsi="Barlow Semi Condensed"/>
          <w:sz w:val="24"/>
          <w:szCs w:val="24"/>
        </w:rPr>
        <w:t xml:space="preserve">La simmetria impone che ciò che si è detto di un versante si dica dell'altro, e con il medesimo metro. Un'opera che documenti l'influenza di una parte e taccia dell'altra non è imparziale a metà: non è imparziale affatto, perché il silenzio su una parte è di per sé una attribuzione all'altra.</w:t>
      </w:r>
    </w:p>
    <w:p>
      <w:pPr>
        <w:pStyle w:val="Heading2"/>
        <w:spacing w:after="100" w:before="200"/>
      </w:pPr>
      <w:r>
        <w:rPr>
          <w:rFonts w:ascii="Barlow Semi Condensed" w:cs="Barlow Semi Condensed" w:eastAsia="Barlow Semi Condensed" w:hAnsi="Barlow Semi Condensed"/>
          <w:sz w:val="24"/>
          <w:szCs w:val="24"/>
        </w:rPr>
        <w:t xml:space="preserve">Il dato di fatto</w:t>
      </w:r>
    </w:p>
    <w:p>
      <w:pPr>
        <w:spacing w:after="120" w:line="276"/>
        <w:jc w:val="both"/>
      </w:pPr>
      <w:r>
        <w:rPr>
          <w:rFonts w:ascii="Barlow Semi Condensed" w:cs="Barlow Semi Condensed" w:eastAsia="Barlow Semi Condensed" w:hAnsi="Barlow Semi Condensed"/>
          <w:sz w:val="24"/>
          <w:szCs w:val="24"/>
        </w:rPr>
        <w:t xml:space="preserve">Che l'Unione Sovietica esercitasse una influenza sulla politica italiana è documentato quanto l'influenza opposta. Il finanziamento del Partito Comunista Italiano da parte sovietica è accertato, ed è stato riconosciuto anche da protagonisti di quella vicenda; l'esistenza di attività informative sovietiche in Italia è accertata; e l'apertura, sia pur parziale e discussa, degli archivi dell'Est dopo il 1991 ha reso disponibili materiali che ne documentano l'estensione.</w:t>
      </w:r>
    </w:p>
    <w:p>
      <w:pPr>
        <w:spacing w:after="120" w:line="276"/>
        <w:jc w:val="both"/>
      </w:pPr>
      <w:r>
        <w:rPr>
          <w:rFonts w:ascii="Barlow Semi Condensed" w:cs="Barlow Semi Condensed" w:eastAsia="Barlow Semi Condensed" w:hAnsi="Barlow Semi Condensed"/>
          <w:sz w:val="24"/>
          <w:szCs w:val="24"/>
        </w:rPr>
        <w:t xml:space="preserve">Occorre però registrare, per esattezza, un elemento che complica il quadro e che non va omesso: negli anni ai quali questa Fase si riferisce, il Partito Comunista Italiano aveva compiuto un percorso di progressiva autonomia dalle posizioni sovietiche, che ebbe manifestazioni pubbliche e documentate, e che la dirigenza sovietica osservava con contrarietà. La solidarietà nazionale, che dal punto di vista atlantico costituiva un problema perché avvicinava i comunisti al governo, dal punto di vista sovietico ne costituiva uno diverso e opposto, perché completava l'integrazione di quel partito in un sistema politico occidentale.</w:t>
      </w:r>
    </w:p>
    <w:p>
      <w:pPr>
        <w:pStyle w:val="Heading2"/>
        <w:spacing w:after="100" w:before="200"/>
      </w:pPr>
      <w:r>
        <w:rPr>
          <w:rFonts w:ascii="Barlow Semi Condensed" w:cs="Barlow Semi Condensed" w:eastAsia="Barlow Semi Condensed" w:hAnsi="Barlow Semi Condensed"/>
          <w:sz w:val="24"/>
          <w:szCs w:val="24"/>
        </w:rPr>
        <w:t xml:space="preserve">La conseguenza metodologica</w:t>
      </w:r>
    </w:p>
    <w:p>
      <w:pPr>
        <w:spacing w:after="120" w:line="276"/>
        <w:jc w:val="both"/>
      </w:pPr>
      <w:r>
        <w:rPr>
          <w:rFonts w:ascii="Barlow Semi Condensed" w:cs="Barlow Semi Condensed" w:eastAsia="Barlow Semi Condensed" w:hAnsi="Barlow Semi Condensed"/>
          <w:sz w:val="24"/>
          <w:szCs w:val="24"/>
        </w:rPr>
        <w:t xml:space="preserve">Questa constatazione produce una conseguenza che occorre trarre apertamente, perché essa incide sulla ipotesi più diffusa.</w:t>
      </w:r>
    </w:p>
    <w:p>
      <w:pPr>
        <w:spacing w:after="120" w:line="276"/>
        <w:jc w:val="both"/>
      </w:pPr>
      <w:r>
        <w:rPr>
          <w:rFonts w:ascii="Barlow Semi Condensed" w:cs="Barlow Semi Condensed" w:eastAsia="Barlow Semi Condensed" w:hAnsi="Barlow Semi Condensed"/>
          <w:sz w:val="24"/>
          <w:szCs w:val="24"/>
        </w:rPr>
        <w:t xml:space="preserve">Se l'operazione politica in corso nel marzo 1978 era sfavorevole a entrambe le superpotenze, per ragioni opposte, allora la domanda a chi giovava non seleziona alcun sospetto: essa ne seleziona due, e li seleziona per ragioni incompatibili fra loro. Ne segue che quella domanda, in questo caso, non ha valore discriminante; e che ogni ricostruzione che la impieghi come chiave sta impiegando uno strumento che, applicato correttamente, non separa nulla.</w:t>
      </w:r>
    </w:p>
    <w:p>
      <w:pPr>
        <w:spacing w:after="120" w:line="276"/>
        <w:jc w:val="both"/>
      </w:pPr>
      <w:r>
        <w:rPr>
          <w:rFonts w:ascii="Barlow Semi Condensed" w:cs="Barlow Semi Condensed" w:eastAsia="Barlow Semi Condensed" w:hAnsi="Barlow Semi Condensed"/>
          <w:sz w:val="24"/>
          <w:szCs w:val="24"/>
        </w:rPr>
        <w:t xml:space="preserve">Questo è un risultato negativo, e come tutti i risultati negativi di quest'opera va registrato con la dignità che gli compete. Esso non dice chi fu: dice che una via consueta per arrivarvi non conduce da nessuna parte.</w:t>
      </w:r>
    </w:p>
    <w:p>
      <w:pPr>
        <w:pStyle w:val="Heading2"/>
        <w:spacing w:after="100" w:before="200"/>
      </w:pPr>
      <w:r>
        <w:rPr>
          <w:rFonts w:ascii="Barlow Semi Condensed" w:cs="Barlow Semi Condensed" w:eastAsia="Barlow Semi Condensed" w:hAnsi="Barlow Semi Condensed"/>
          <w:sz w:val="24"/>
          <w:szCs w:val="24"/>
        </w:rPr>
        <w:t xml:space="preserve">Ciò che resta accertato e ciò che resta dubbio</w:t>
      </w:r>
    </w:p>
    <w:p>
      <w:pPr>
        <w:spacing w:after="120" w:line="276"/>
        <w:jc w:val="both"/>
      </w:pPr>
      <w:r>
        <w:rPr>
          <w:rFonts w:ascii="Barlow Semi Condensed" w:cs="Barlow Semi Condensed" w:eastAsia="Barlow Semi Condensed" w:hAnsi="Barlow Semi Condensed"/>
          <w:sz w:val="24"/>
          <w:szCs w:val="24"/>
        </w:rPr>
        <w:t xml:space="preserve">Resta accertato che entrambe le superpotenze esercitavano influenza documentata sulla politica italiana; che entrambe osservavano con contrarietà, per ragioni diverse, l'operazione politica in corso; e che nessuna delle due era, per quella ragione, priva di motivo astratto di ostilità.</w:t>
      </w:r>
    </w:p>
    <w:p>
      <w:pPr>
        <w:spacing w:after="120" w:line="276"/>
        <w:jc w:val="both"/>
      </w:pPr>
      <w:r>
        <w:rPr>
          <w:rFonts w:ascii="Barlow Semi Condensed" w:cs="Barlow Semi Condensed" w:eastAsia="Barlow Semi Condensed" w:hAnsi="Barlow Semi Condensed"/>
          <w:sz w:val="24"/>
          <w:szCs w:val="24"/>
        </w:rPr>
        <w:t xml:space="preserve">Resta in stato di dubbio ogni proposizione che colleghi tale ostilità all'atto materiale. La condizione di scioglimento è la medesima indicata nel Capitolo precedente, e vale simmetricamente per entrambi i versanti: un atto che attesti decisione, autorizzazione o conoscenza preventiva, presso sede identificabile e con estremi verificabili.</w:t>
      </w:r>
    </w:p>
    <w:p>
      <w:pPr>
        <w:spacing w:after="120" w:line="276"/>
        <w:jc w:val="both"/>
      </w:pPr>
      <w:r>
        <w:rPr>
          <w:rFonts w:ascii="Barlow Semi Condensed" w:cs="Barlow Semi Condensed" w:eastAsia="Barlow Semi Condensed" w:hAnsi="Barlow Semi Condensed"/>
          <w:sz w:val="24"/>
          <w:szCs w:val="24"/>
        </w:rPr>
        <w:t xml:space="preserve">Si registra infine, come Stato Zero, che la ricerca di tali atti presso gli archivi accessibili non ha prodotto reperimenti, e che tredici archivi remoti rilevanti non sono stati interrogabili con gli strumenti disponibili. Il silenzio di quegli archivi non è una conferma di alcunché: è una lacuna dichiarata, ed è iscritta in tavola come tale.</w:t>
      </w:r>
    </w:p>
    <w:p>
      <w:pPr>
        <w:pStyle w:val="Heading2"/>
        <w:spacing w:after="100" w:before="200"/>
      </w:pPr>
      <w:r>
        <w:rPr>
          <w:rFonts w:ascii="Barlow Semi Condensed" w:cs="Barlow Semi Condensed" w:eastAsia="Barlow Semi Condensed" w:hAnsi="Barlow Semi Condensed"/>
          <w:sz w:val="24"/>
          <w:szCs w:val="24"/>
        </w:rPr>
        <w:t xml:space="preserve">Capitolo quindicesimo — Il decennio della tensione: economia, terrorismo, ordine pubblico</w:t>
      </w:r>
    </w:p>
    <w:p>
      <w:pPr>
        <w:spacing w:after="120" w:line="276"/>
        <w:jc w:val="both"/>
      </w:pPr>
      <w:r>
        <w:rPr>
          <w:rFonts w:ascii="Barlow Semi Condensed" w:cs="Barlow Semi Condensed" w:eastAsia="Barlow Semi Condensed" w:hAnsi="Barlow Semi Condensed"/>
          <w:sz w:val="24"/>
          <w:szCs w:val="24"/>
        </w:rPr>
        <w:t xml:space="preserve">Il terzo elemento del quadro è la condizione materiale del paese negli anni che precedono il fatto. Esso è meno discusso degli altri due, e va esposto perché senza di esso le decisioni politiche di quegli anni risultano incomprensibili.</w:t>
      </w:r>
    </w:p>
    <w:p>
      <w:pPr>
        <w:pStyle w:val="Heading2"/>
        <w:spacing w:after="100" w:before="200"/>
      </w:pPr>
      <w:r>
        <w:rPr>
          <w:rFonts w:ascii="Barlow Semi Condensed" w:cs="Barlow Semi Condensed" w:eastAsia="Barlow Semi Condensed" w:hAnsi="Barlow Semi Condensed"/>
          <w:sz w:val="24"/>
          <w:szCs w:val="24"/>
        </w:rPr>
        <w:t xml:space="preserve">L'economia</w:t>
      </w:r>
    </w:p>
    <w:p>
      <w:pPr>
        <w:spacing w:after="120" w:line="276"/>
        <w:jc w:val="both"/>
      </w:pPr>
      <w:r>
        <w:rPr>
          <w:rFonts w:ascii="Barlow Semi Condensed" w:cs="Barlow Semi Condensed" w:eastAsia="Barlow Semi Condensed" w:hAnsi="Barlow Semi Condensed"/>
          <w:sz w:val="24"/>
          <w:szCs w:val="24"/>
        </w:rPr>
        <w:t xml:space="preserve">La crisi petrolifera del 1973 colpì l'Italia più duramente di altri paesi europei, per la sua dipendenza energetica e per la struttura del suo apparato produttivo. Ne seguirono inflazione elevata e persistente, difficoltà della bilancia dei pagamenti, tensione sui conti pubblici e ricorso al credito internazionale con le condizionalità che esso comporta.</w:t>
      </w:r>
    </w:p>
    <w:p>
      <w:pPr>
        <w:spacing w:after="120" w:line="276"/>
        <w:jc w:val="both"/>
      </w:pPr>
      <w:r>
        <w:rPr>
          <w:rFonts w:ascii="Barlow Semi Condensed" w:cs="Barlow Semi Condensed" w:eastAsia="Barlow Semi Condensed" w:hAnsi="Barlow Semi Condensed"/>
          <w:sz w:val="24"/>
          <w:szCs w:val="24"/>
        </w:rPr>
        <w:t xml:space="preserve">Il dato rileva per una ragione precisa. Un governo che debba imporre sacrifici ha bisogno di un consenso sociale che nessuna maggioranza parlamentare stretta gli fornisce. La solidarietà nazionale rispondeva anche a questo: includere nella responsabilità il partito che aveva maggiore radicamento nel mondo del lavoro era, oltre che una operazione istituzionale, la condizione perché una politica di risanamento potesse essere sostenuta senza rottura sociale.</w:t>
      </w:r>
    </w:p>
    <w:p>
      <w:pPr>
        <w:spacing w:after="120" w:line="276"/>
        <w:jc w:val="both"/>
      </w:pPr>
      <w:r>
        <w:rPr>
          <w:rFonts w:ascii="Barlow Semi Condensed" w:cs="Barlow Semi Condensed" w:eastAsia="Barlow Semi Condensed" w:hAnsi="Barlow Semi Condensed"/>
          <w:sz w:val="24"/>
          <w:szCs w:val="24"/>
        </w:rPr>
        <w:t xml:space="preserve">Chi voglia comprendere perché quella operazione fosse considerata necessaria da chi la promosse, e non semplicemente desiderabile, deve tenere presente questo. Non era un progetto ideale: era una risposta a una emergenza.</w:t>
      </w:r>
    </w:p>
    <w:p>
      <w:pPr>
        <w:pStyle w:val="Heading2"/>
        <w:spacing w:after="100" w:before="200"/>
      </w:pPr>
      <w:r>
        <w:rPr>
          <w:rFonts w:ascii="Barlow Semi Condensed" w:cs="Barlow Semi Condensed" w:eastAsia="Barlow Semi Condensed" w:hAnsi="Barlow Semi Condensed"/>
          <w:sz w:val="24"/>
          <w:szCs w:val="24"/>
        </w:rPr>
        <w:t xml:space="preserve">Il terrorismo</w:t>
      </w:r>
    </w:p>
    <w:p>
      <w:pPr>
        <w:spacing w:after="120" w:line="276"/>
        <w:jc w:val="both"/>
      </w:pPr>
      <w:r>
        <w:rPr>
          <w:rFonts w:ascii="Barlow Semi Condensed" w:cs="Barlow Semi Condensed" w:eastAsia="Barlow Semi Condensed" w:hAnsi="Barlow Semi Condensed"/>
          <w:sz w:val="24"/>
          <w:szCs w:val="24"/>
        </w:rPr>
        <w:t xml:space="preserve">Nella seconda metà degli anni Settanta l'attività dei gruppi armati raggiunse una intensità che non aveva precedenti nella storia repubblicana. Gli attentati contro persone si moltiplicarono; le vittime appartenevano a categorie determinate — magistrati, giornalisti, dirigenti d'azienda, appartenenti alle forze dell'ordine, uomini politici; e la frequenza degli episodi era tale da rendere l'ordine pubblico una questione permanente di governo.</w:t>
      </w:r>
    </w:p>
    <w:p>
      <w:pPr>
        <w:spacing w:after="120" w:line="276"/>
        <w:jc w:val="both"/>
      </w:pPr>
      <w:r>
        <w:rPr>
          <w:rFonts w:ascii="Barlow Semi Condensed" w:cs="Barlow Semi Condensed" w:eastAsia="Barlow Semi Condensed" w:hAnsi="Barlow Semi Condensed"/>
          <w:sz w:val="24"/>
          <w:szCs w:val="24"/>
        </w:rPr>
        <w:t xml:space="preserve">Vi era un terrorismo che si dichiarava di sinistra e uno che si dichiarava di destra, e le loro modalità differivano. Il primo colpiva prevalentemente persone selezionate e ne rivendicava l'uccisione con documenti argomentati; il secondo aveva praticato, nel decennio precedente, attentati contro luoghi affollati con vittime indiscriminate. La differenza di modalità non è un dettaglio: essa comporta differenze nella natura delle prove disponibili, ed è stata alla base di ricostruzioni divergenti.</w:t>
      </w:r>
    </w:p>
    <w:p>
      <w:pPr>
        <w:pStyle w:val="Heading2"/>
        <w:spacing w:after="100" w:before="200"/>
      </w:pPr>
      <w:r>
        <w:rPr>
          <w:rFonts w:ascii="Barlow Semi Condensed" w:cs="Barlow Semi Condensed" w:eastAsia="Barlow Semi Condensed" w:hAnsi="Barlow Semi Condensed"/>
          <w:sz w:val="24"/>
          <w:szCs w:val="24"/>
        </w:rPr>
        <w:t xml:space="preserve">L'ordine pubblico e gli apparati</w:t>
      </w:r>
    </w:p>
    <w:p>
      <w:pPr>
        <w:spacing w:after="120" w:line="276"/>
        <w:jc w:val="both"/>
      </w:pPr>
      <w:r>
        <w:rPr>
          <w:rFonts w:ascii="Barlow Semi Condensed" w:cs="Barlow Semi Condensed" w:eastAsia="Barlow Semi Condensed" w:hAnsi="Barlow Semi Condensed"/>
          <w:sz w:val="24"/>
          <w:szCs w:val="24"/>
        </w:rPr>
        <w:t xml:space="preserve">La terza componente è la condizione degli apparati di sicurezza.</w:t>
      </w:r>
    </w:p>
    <w:p>
      <w:pPr>
        <w:spacing w:after="120" w:line="276"/>
        <w:jc w:val="both"/>
      </w:pPr>
      <w:r>
        <w:rPr>
          <w:rFonts w:ascii="Barlow Semi Condensed" w:cs="Barlow Semi Condensed" w:eastAsia="Barlow Semi Condensed" w:hAnsi="Barlow Semi Condensed"/>
          <w:sz w:val="24"/>
          <w:szCs w:val="24"/>
        </w:rPr>
        <w:t xml:space="preserve">Negli anni immediatamente precedenti il 1978 i servizi informativi italiani erano stati oggetto di una riforma legislativa, resa necessaria da vicende che ne avevano compromesso la credibilità. Gli anni precedenti avevano visto emergere, attraverso inchieste giudiziarie e parlamentari, elementi relativi a deviazioni di apparati, a schedature illegittime, a piani di emergenza predisposti al di fuori delle sedi istituzionali.</w:t>
      </w:r>
    </w:p>
    <w:p>
      <w:pPr>
        <w:spacing w:after="120" w:line="276"/>
        <w:jc w:val="both"/>
      </w:pPr>
      <w:r>
        <w:rPr>
          <w:rFonts w:ascii="Barlow Semi Condensed" w:cs="Barlow Semi Condensed" w:eastAsia="Barlow Semi Condensed" w:hAnsi="Barlow Semi Condensed"/>
          <w:sz w:val="24"/>
          <w:szCs w:val="24"/>
        </w:rPr>
        <w:t xml:space="preserve">Questo è il dato che occorre fissare, e va detto con la precisione che merita: nel marzo 1978 gli apparati di sicurezza dello Stato italiano si trovavano in una fase di riorganizzazione, e la loro affidabilità era stata pubblicamente posta in questione dalle istituzioni medesime. Non si tratta di una insinuazione retrospettiva: si tratta della ragione per la quale la riforma era stata fatta.</w:t>
      </w:r>
    </w:p>
    <w:p>
      <w:pPr>
        <w:pStyle w:val="Heading2"/>
        <w:spacing w:after="100" w:before="200"/>
      </w:pPr>
      <w:r>
        <w:rPr>
          <w:rFonts w:ascii="Barlow Semi Condensed" w:cs="Barlow Semi Condensed" w:eastAsia="Barlow Semi Condensed" w:hAnsi="Barlow Semi Condensed"/>
          <w:sz w:val="24"/>
          <w:szCs w:val="24"/>
        </w:rPr>
        <w:t xml:space="preserve">La conseguenza per l'oggetto dell'opera</w:t>
      </w:r>
    </w:p>
    <w:p>
      <w:pPr>
        <w:spacing w:after="120" w:line="276"/>
        <w:jc w:val="both"/>
      </w:pPr>
      <w:r>
        <w:rPr>
          <w:rFonts w:ascii="Barlow Semi Condensed" w:cs="Barlow Semi Condensed" w:eastAsia="Barlow Semi Condensed" w:hAnsi="Barlow Semi Condensed"/>
          <w:sz w:val="24"/>
          <w:szCs w:val="24"/>
        </w:rPr>
        <w:t xml:space="preserve">Il quadro che ne risulta è quello di un paese sottoposto simultaneamente a tre pressioni: una crisi economica che richiedeva coesione, una violenza politica che la impediva, e apparati di sicurezza in riorganizzazione.</w:t>
      </w:r>
    </w:p>
    <w:p>
      <w:pPr>
        <w:spacing w:after="120" w:line="276"/>
        <w:jc w:val="both"/>
      </w:pPr>
      <w:r>
        <w:rPr>
          <w:rFonts w:ascii="Barlow Semi Condensed" w:cs="Barlow Semi Condensed" w:eastAsia="Barlow Semi Condensed" w:hAnsi="Barlow Semi Condensed"/>
          <w:sz w:val="24"/>
          <w:szCs w:val="24"/>
        </w:rPr>
        <w:t xml:space="preserve">Questo quadro non spiega il fatto. Ne costituisce la condizione di possibilità, che è cosa diversa e minore: esso rende comprensibile come una azione della complessità di quella di via Fani potesse essere concepita, e come le risposte che vi furono date potessero risultare inadeguate. Ma la condizione di possibilità di un evento non è la sua causa, e questa Fase non la tratterà come tale.</w:t>
      </w:r>
    </w:p>
    <w:p>
      <w:pPr>
        <w:pStyle w:val="Heading2"/>
        <w:spacing w:after="100" w:before="200"/>
      </w:pPr>
      <w:r>
        <w:rPr>
          <w:rFonts w:ascii="Barlow Semi Condensed" w:cs="Barlow Semi Condensed" w:eastAsia="Barlow Semi Condensed" w:hAnsi="Barlow Semi Condensed"/>
          <w:sz w:val="24"/>
          <w:szCs w:val="24"/>
        </w:rPr>
        <w:t xml:space="preserve">Capitolo sedicesimo — Ciò che le inchieste hanno accertato sugli anni precedenti</w:t>
      </w:r>
    </w:p>
    <w:p>
      <w:pPr>
        <w:spacing w:after="120" w:line="276"/>
        <w:jc w:val="both"/>
      </w:pPr>
      <w:r>
        <w:rPr>
          <w:rFonts w:ascii="Barlow Semi Condensed" w:cs="Barlow Semi Condensed" w:eastAsia="Barlow Semi Condensed" w:hAnsi="Barlow Semi Condensed"/>
          <w:sz w:val="24"/>
          <w:szCs w:val="24"/>
        </w:rPr>
        <w:t xml:space="preserve">Prima di venire alle ragioni dichiarate e a quelle attribuite, occorre censire ciò che le sedi istituzionali hanno accertato circa il decennio anteriore. Il censimento è necessario perché su di esso si fondano gran parte delle ipotesi che il Capitolo diciottesimo esaminerà, e perché le fonti che qui si citano sono di rango elevato: sentenze e relazioni di commissioni parlamentari d'inchiesta.</w:t>
      </w:r>
    </w:p>
    <w:p>
      <w:pPr>
        <w:pStyle w:val="Heading2"/>
        <w:spacing w:after="100" w:before="200"/>
      </w:pPr>
      <w:r>
        <w:rPr>
          <w:rFonts w:ascii="Barlow Semi Condensed" w:cs="Barlow Semi Condensed" w:eastAsia="Barlow Semi Condensed" w:hAnsi="Barlow Semi Condensed"/>
          <w:sz w:val="24"/>
          <w:szCs w:val="24"/>
        </w:rPr>
        <w:t xml:space="preserve">Le sedi</w:t>
      </w:r>
    </w:p>
    <w:p>
      <w:pPr>
        <w:spacing w:after="120" w:line="276"/>
        <w:jc w:val="both"/>
      </w:pPr>
      <w:r>
        <w:rPr>
          <w:rFonts w:ascii="Barlow Semi Condensed" w:cs="Barlow Semi Condensed" w:eastAsia="Barlow Semi Condensed" w:hAnsi="Barlow Semi Condensed"/>
          <w:sz w:val="24"/>
          <w:szCs w:val="24"/>
        </w:rPr>
        <w:t xml:space="preserve">Sul decennio anteriore hanno lavorato, in tempi successivi, autorità giudiziarie di più sedi e almeno tre commissioni parlamentari d'inchiesta: quella sulla loggia massonica Propaganda Due, quella sul terrorismo e sulle stragi, e da ultimo quella dedicata specificamente al rapimento e alla morte di Aldo Moro. I loro atti sono pubblici e reperibili come documenti parlamentari, e ad essi si rinvia per estremi ove il punto lo richieda.</w:t>
      </w:r>
    </w:p>
    <w:p>
      <w:pPr>
        <w:pStyle w:val="Heading2"/>
        <w:spacing w:after="100" w:before="200"/>
      </w:pPr>
      <w:r>
        <w:rPr>
          <w:rFonts w:ascii="Barlow Semi Condensed" w:cs="Barlow Semi Condensed" w:eastAsia="Barlow Semi Condensed" w:hAnsi="Barlow Semi Condensed"/>
          <w:sz w:val="24"/>
          <w:szCs w:val="24"/>
        </w:rPr>
        <w:t xml:space="preserve">Ciò che risulta accertato</w:t>
      </w:r>
    </w:p>
    <w:p>
      <w:pPr>
        <w:spacing w:after="120" w:line="276"/>
        <w:jc w:val="both"/>
      </w:pPr>
      <w:r>
        <w:rPr>
          <w:rFonts w:ascii="Barlow Semi Condensed" w:cs="Barlow Semi Condensed" w:eastAsia="Barlow Semi Condensed" w:hAnsi="Barlow Semi Condensed"/>
          <w:sz w:val="24"/>
          <w:szCs w:val="24"/>
        </w:rPr>
        <w:t xml:space="preserve">Risulta accertato che nel 1964 fu predisposto, nell'ambito dell'Arma dei Carabinieri, un piano di emergenza che prevedeva, in determinate ipotesi, l'enucleazione di un elevato numero di persone schedate. La vicenda fu oggetto di inchiesta parlamentare, e la sua esistenza non è controversa; la sua qualificazione — se si trattasse di ordinaria pianificazione di ordine pubblico o di predisposizione eversiva — è stata invece oggetto di valutazioni divergenti nelle diverse sedi.</w:t>
      </w:r>
    </w:p>
    <w:p>
      <w:pPr>
        <w:spacing w:after="120" w:line="276"/>
        <w:jc w:val="both"/>
      </w:pPr>
      <w:r>
        <w:rPr>
          <w:rFonts w:ascii="Barlow Semi Condensed" w:cs="Barlow Semi Condensed" w:eastAsia="Barlow Semi Condensed" w:hAnsi="Barlow Semi Condensed"/>
          <w:sz w:val="24"/>
          <w:szCs w:val="24"/>
        </w:rPr>
        <w:t xml:space="preserve">Risulta accertato che il 12 dicembre 1969 fu compiuto a Milano un attentato che provocò numerose vittime, e che le prime indagini furono indirizzate verso una pista risultata poi infondata. La responsabilità di ambienti dell'eversione di destra è stata affermata in sede giudiziaria, con esiti processuali articolati che non si riassumono in una formula.</w:t>
      </w:r>
    </w:p>
    <w:p>
      <w:pPr>
        <w:spacing w:after="120" w:line="276"/>
        <w:jc w:val="both"/>
      </w:pPr>
      <w:r>
        <w:rPr>
          <w:rFonts w:ascii="Barlow Semi Condensed" w:cs="Barlow Semi Condensed" w:eastAsia="Barlow Semi Condensed" w:hAnsi="Barlow Semi Condensed"/>
          <w:sz w:val="24"/>
          <w:szCs w:val="24"/>
        </w:rPr>
        <w:t xml:space="preserve">Risulta accertato che nella notte fra il 7 e l'8 dicembre 1970 fu tentata un'azione volta all'occupazione di sedi istituzionali, poi interrotta; e che la vicenda fu oggetto di procedimenti penali e di inchiesta parlamentare.</w:t>
      </w:r>
    </w:p>
    <w:p>
      <w:pPr>
        <w:spacing w:after="120" w:line="276"/>
        <w:jc w:val="both"/>
      </w:pPr>
      <w:r>
        <w:rPr>
          <w:rFonts w:ascii="Barlow Semi Condensed" w:cs="Barlow Semi Condensed" w:eastAsia="Barlow Semi Condensed" w:hAnsi="Barlow Semi Condensed"/>
          <w:sz w:val="24"/>
          <w:szCs w:val="24"/>
        </w:rPr>
        <w:t xml:space="preserve">Risulta accertato che esisteva, nell'ambito degli accordi dell'alleanza atlantica, una struttura di resistenza predisposta per l'ipotesi di occupazione del territorio nazionale, la cui esistenza fu resa pubblica nel 1990 da una comunicazione del Presidente del Consiglio dei ministri alle Camere, e che fu successivamente oggetto di inchiesta parlamentare e di accertamenti giudiziari.</w:t>
      </w:r>
    </w:p>
    <w:p>
      <w:pPr>
        <w:spacing w:after="120" w:line="276"/>
        <w:jc w:val="both"/>
      </w:pPr>
      <w:r>
        <w:rPr>
          <w:rFonts w:ascii="Barlow Semi Condensed" w:cs="Barlow Semi Condensed" w:eastAsia="Barlow Semi Condensed" w:hAnsi="Barlow Semi Condensed"/>
          <w:sz w:val="24"/>
          <w:szCs w:val="24"/>
        </w:rPr>
        <w:t xml:space="preserve">Risulta accertato che nel 1981 fu rinvenuto un elenco di appartenenti a una loggia massonica coperta, e che una commissione parlamentare d'inchiesta ne accertò la natura e ne descrisse la composizione, che comprendeva appartenenti agli apparati di sicurezza, alle forze armate, alla magistratura, alla politica, alla finanza e all'informazione.</w:t>
      </w:r>
    </w:p>
    <w:p>
      <w:pPr>
        <w:pStyle w:val="Heading2"/>
        <w:spacing w:after="100" w:before="200"/>
      </w:pPr>
      <w:r>
        <w:rPr>
          <w:rFonts w:ascii="Barlow Semi Condensed" w:cs="Barlow Semi Condensed" w:eastAsia="Barlow Semi Condensed" w:hAnsi="Barlow Semi Condensed"/>
          <w:sz w:val="24"/>
          <w:szCs w:val="24"/>
        </w:rPr>
        <w:t xml:space="preserve">Come questi accertamenti vanno impiegati e come no</w:t>
      </w:r>
    </w:p>
    <w:p>
      <w:pPr>
        <w:spacing w:after="120" w:line="276"/>
        <w:jc w:val="both"/>
      </w:pPr>
      <w:r>
        <w:rPr>
          <w:rFonts w:ascii="Barlow Semi Condensed" w:cs="Barlow Semi Condensed" w:eastAsia="Barlow Semi Condensed" w:hAnsi="Barlow Semi Condensed"/>
          <w:sz w:val="24"/>
          <w:szCs w:val="24"/>
        </w:rPr>
        <w:t xml:space="preserve">Occorre ora dire, con la massima chiarezza, che cosa questi accertamenti autorizzino e che cosa non autorizzino.</w:t>
      </w:r>
    </w:p>
    <w:p>
      <w:pPr>
        <w:spacing w:after="120" w:line="276"/>
        <w:jc w:val="both"/>
      </w:pPr>
      <w:r>
        <w:rPr>
          <w:rFonts w:ascii="Barlow Semi Condensed" w:cs="Barlow Semi Condensed" w:eastAsia="Barlow Semi Condensed" w:hAnsi="Barlow Semi Condensed"/>
          <w:sz w:val="24"/>
          <w:szCs w:val="24"/>
        </w:rPr>
        <w:t xml:space="preserve">Autorizzano a ritenere accertato che negli anni precedenti al 1978 si verificarono, in Italia, episodi di deviazione di apparati, predisposizioni eversive, depistaggi di indagine e strutture riservate operanti al di fuori del circuito ordinario di responsabilità. Questo è documentato da sentenze e da relazioni parlamentari, e non è materia di opinione.</w:t>
      </w:r>
    </w:p>
    <w:p>
      <w:pPr>
        <w:spacing w:after="120" w:line="276"/>
        <w:jc w:val="both"/>
      </w:pPr>
      <w:r>
        <w:rPr>
          <w:rFonts w:ascii="Barlow Semi Condensed" w:cs="Barlow Semi Condensed" w:eastAsia="Barlow Semi Condensed" w:hAnsi="Barlow Semi Condensed"/>
          <w:sz w:val="24"/>
          <w:szCs w:val="24"/>
        </w:rPr>
        <w:t xml:space="preserve">Non autorizzano a inferire da ciò la partecipazione di quegli apparati o di quelle strutture al fatto del 1978. La deduzione — poiché essi deviarono allora, deviarono anche in questo — è precisamente il tipo di inferenza che il Capitolo undicesimo vieta: essa sostituisce alla prova di un atto la propensione desunta da atti diversi.</w:t>
      </w:r>
    </w:p>
    <w:p>
      <w:pPr>
        <w:spacing w:after="120" w:line="276"/>
        <w:jc w:val="both"/>
      </w:pPr>
      <w:r>
        <w:rPr>
          <w:rFonts w:ascii="Barlow Semi Condensed" w:cs="Barlow Semi Condensed" w:eastAsia="Barlow Semi Condensed" w:hAnsi="Barlow Semi Condensed"/>
          <w:sz w:val="24"/>
          <w:szCs w:val="24"/>
        </w:rPr>
        <w:t xml:space="preserve">La distinzione è difficile da tenere, e conviene dire perché. Chi abbia accertato che un apparato commise abusi in una serie di occasioni sente come artificioso il divieto di attribuirgliene un altro della medesima specie. Il sentimento è comprensibile e va resistito, perché è precisamente il meccanismo per il quale un accertamento vero produce, per estensione non controllata, una attribuzione falsa. Un accertamento vale per il fatto sul quale è stato compiuto.</w:t>
      </w:r>
    </w:p>
    <w:p>
      <w:pPr>
        <w:pStyle w:val="Heading2"/>
        <w:spacing w:after="100" w:before="200"/>
      </w:pPr>
      <w:r>
        <w:rPr>
          <w:rFonts w:ascii="Barlow Semi Condensed" w:cs="Barlow Semi Condensed" w:eastAsia="Barlow Semi Condensed" w:hAnsi="Barlow Semi Condensed"/>
          <w:sz w:val="24"/>
          <w:szCs w:val="24"/>
        </w:rPr>
        <w:t xml:space="preserve">Il modo corretto di impiegarli</w:t>
      </w:r>
    </w:p>
    <w:p>
      <w:pPr>
        <w:spacing w:after="120" w:line="276"/>
        <w:jc w:val="both"/>
      </w:pPr>
      <w:r>
        <w:rPr>
          <w:rFonts w:ascii="Barlow Semi Condensed" w:cs="Barlow Semi Condensed" w:eastAsia="Barlow Semi Condensed" w:hAnsi="Barlow Semi Condensed"/>
          <w:sz w:val="24"/>
          <w:szCs w:val="24"/>
        </w:rPr>
        <w:t xml:space="preserve">Vi è però un impiego legittimo, e va indicato perché è quello che le Fasi successive faranno.</w:t>
      </w:r>
    </w:p>
    <w:p>
      <w:pPr>
        <w:spacing w:after="120" w:line="276"/>
        <w:jc w:val="both"/>
      </w:pPr>
      <w:r>
        <w:rPr>
          <w:rFonts w:ascii="Barlow Semi Condensed" w:cs="Barlow Semi Condensed" w:eastAsia="Barlow Semi Condensed" w:hAnsi="Barlow Semi Condensed"/>
          <w:sz w:val="24"/>
          <w:szCs w:val="24"/>
        </w:rPr>
        <w:t xml:space="preserve">Gli accertamenti sul decennio anteriore stabiliscono che determinate condotte erano possibili nel contesto italiano di quegli anni, e che determinati soggetti avevano capacità operativa per compierle. Ciò abbassa la soglia di implausibilità di talune ipotesi: rende cioè non assurdo indagarle. Ma abbassare la soglia di implausibilità non è fornire una prova; e una ipotesi non assurda resta, finché non provata, una ipotesi.</w:t>
      </w:r>
    </w:p>
    <w:p>
      <w:pPr>
        <w:spacing w:after="120" w:line="276"/>
        <w:jc w:val="both"/>
      </w:pPr>
      <w:r>
        <w:rPr>
          <w:rFonts w:ascii="Barlow Semi Condensed" w:cs="Barlow Semi Condensed" w:eastAsia="Barlow Semi Condensed" w:hAnsi="Barlow Semi Condensed"/>
          <w:sz w:val="24"/>
          <w:szCs w:val="24"/>
        </w:rPr>
        <w:t xml:space="preserve">La Fase Quinta di quest'opera, dedicata alle omissioni, tornerà su questa materia con metodo diverso: non per inferire dal passato, ma per esaminare, atto per atto, le omissioni verificatesi durante i cinquantacinque giorni e dopo. Quello è il terreno sul quale la questione si decide, e non questo.</w:t>
      </w:r>
    </w:p>
    <w:p>
      <w:pPr>
        <w:pStyle w:val="Heading2"/>
        <w:spacing w:after="100" w:before="200"/>
      </w:pPr>
      <w:r>
        <w:rPr>
          <w:rFonts w:ascii="Barlow Semi Condensed" w:cs="Barlow Semi Condensed" w:eastAsia="Barlow Semi Condensed" w:hAnsi="Barlow Semi Condensed"/>
          <w:sz w:val="24"/>
          <w:szCs w:val="24"/>
        </w:rPr>
        <w:t xml:space="preserve">Capitolo diciassettesimo — Le ragioni dichiarate da chi compì l'azione</w:t>
      </w:r>
    </w:p>
    <w:p>
      <w:pPr>
        <w:spacing w:after="120" w:line="276"/>
        <w:jc w:val="both"/>
      </w:pPr>
      <w:r>
        <w:rPr>
          <w:rFonts w:ascii="Barlow Semi Condensed" w:cs="Barlow Semi Condensed" w:eastAsia="Barlow Semi Condensed" w:hAnsi="Barlow Semi Condensed"/>
          <w:sz w:val="24"/>
          <w:szCs w:val="24"/>
        </w:rPr>
        <w:t xml:space="preserve">Durante i cinquantacinque giorni, l'organizzazione che aveva compiuto il rapimento diffuse una serie di documenti nei quali esponeva le proprie ragioni. Essi costituiscono la sola fonte diretta esistente sul movente dichiarato, e vanno esaminati come tali: con attenzione a ciò che dicono, e con eguale attenzione allo statuto di ciò che dicono.</w:t>
      </w:r>
    </w:p>
    <w:p>
      <w:pPr>
        <w:pStyle w:val="Heading2"/>
        <w:spacing w:after="100" w:before="200"/>
      </w:pPr>
      <w:r>
        <w:rPr>
          <w:rFonts w:ascii="Barlow Semi Condensed" w:cs="Barlow Semi Condensed" w:eastAsia="Barlow Semi Condensed" w:hAnsi="Barlow Semi Condensed"/>
          <w:sz w:val="24"/>
          <w:szCs w:val="24"/>
        </w:rPr>
        <w:t xml:space="preserve">Lo statuto della fonte</w:t>
      </w:r>
    </w:p>
    <w:p>
      <w:pPr>
        <w:spacing w:after="120" w:line="276"/>
        <w:jc w:val="both"/>
      </w:pPr>
      <w:r>
        <w:rPr>
          <w:rFonts w:ascii="Barlow Semi Condensed" w:cs="Barlow Semi Condensed" w:eastAsia="Barlow Semi Condensed" w:hAnsi="Barlow Semi Condensed"/>
          <w:sz w:val="24"/>
          <w:szCs w:val="24"/>
        </w:rPr>
        <w:t xml:space="preserve">Un documento nel quale l'autore di un atto espone le proprie ragioni è una fonte diretta sulla dichiarazione e non sul movente. La differenza è capitale.</w:t>
      </w:r>
    </w:p>
    <w:p>
      <w:pPr>
        <w:spacing w:after="120" w:line="276"/>
        <w:jc w:val="both"/>
      </w:pPr>
      <w:r>
        <w:rPr>
          <w:rFonts w:ascii="Barlow Semi Condensed" w:cs="Barlow Semi Condensed" w:eastAsia="Barlow Semi Condensed" w:hAnsi="Barlow Semi Condensed"/>
          <w:sz w:val="24"/>
          <w:szCs w:val="24"/>
        </w:rPr>
        <w:t xml:space="preserve">Che quei documenti dicano ciò che dicono è accertato: essi esistono, furono diffusi, il loro testo è noto. Che le ragioni ivi esposte siano le ragioni effettive dell'atto è proposizione ulteriore, e non discende dalla prima. Chi compie un atto e ne dichiara le ragioni può dichiarare il vero; può dichiarare una parte del vero; può dichiarare ciò che gli conviene sia creduto; e può ignorare esso stesso le ragioni per le quali si trova a compierlo, se l'atto è stato concepito altrove.</w:t>
      </w:r>
    </w:p>
    <w:p>
      <w:pPr>
        <w:spacing w:after="120" w:line="276"/>
        <w:jc w:val="both"/>
      </w:pPr>
      <w:r>
        <w:rPr>
          <w:rFonts w:ascii="Barlow Semi Condensed" w:cs="Barlow Semi Condensed" w:eastAsia="Barlow Semi Condensed" w:hAnsi="Barlow Semi Condensed"/>
          <w:sz w:val="24"/>
          <w:szCs w:val="24"/>
        </w:rPr>
        <w:t xml:space="preserve">Questa quadruplice possibilità va tenuta aperta per tutta la trattazione, e non va chiusa né in un senso né nell'altro. Chiuderla nel senso della veridicità sarebbe ingenuo; chiuderla nel senso della falsità sarebbe altrettanto arbitrario, e produrrebbe l'effetto singolare di scartare la sola fonte diretta disponibile in nome di una ipotesi che non ha fonti dirette.</w:t>
      </w:r>
    </w:p>
    <w:p>
      <w:pPr>
        <w:pStyle w:val="Heading2"/>
        <w:spacing w:after="100" w:before="200"/>
      </w:pPr>
      <w:r>
        <w:rPr>
          <w:rFonts w:ascii="Barlow Semi Condensed" w:cs="Barlow Semi Condensed" w:eastAsia="Barlow Semi Condensed" w:hAnsi="Barlow Semi Condensed"/>
          <w:sz w:val="24"/>
          <w:szCs w:val="24"/>
        </w:rPr>
        <w:t xml:space="preserve">Il contenuto della dichiarazione</w:t>
      </w:r>
    </w:p>
    <w:p>
      <w:pPr>
        <w:spacing w:after="120" w:line="276"/>
        <w:jc w:val="both"/>
      </w:pPr>
      <w:r>
        <w:rPr>
          <w:rFonts w:ascii="Barlow Semi Condensed" w:cs="Barlow Semi Condensed" w:eastAsia="Barlow Semi Condensed" w:hAnsi="Barlow Semi Condensed"/>
          <w:sz w:val="24"/>
          <w:szCs w:val="24"/>
        </w:rPr>
        <w:t xml:space="preserve">Le ragioni esposte in quei documenti possono essere riassunte, senza tradirle, in tre proposizioni.</w:t>
      </w:r>
    </w:p>
    <w:p>
      <w:pPr>
        <w:spacing w:after="120" w:line="276"/>
        <w:jc w:val="both"/>
      </w:pPr>
      <w:r>
        <w:rPr>
          <w:rFonts w:ascii="Barlow Semi Condensed" w:cs="Barlow Semi Condensed" w:eastAsia="Barlow Semi Condensed" w:hAnsi="Barlow Semi Condensed"/>
          <w:sz w:val="24"/>
          <w:szCs w:val="24"/>
        </w:rPr>
        <w:t xml:space="preserve">La prima: che l'uomo rapito fosse individuato non come persona ma come funzione, e precisamente come il costruttore principale dell'assetto politico che si stava realizzando; l'azione era dunque diretta contro quell'assetto attraverso chi lo edificava.</w:t>
      </w:r>
    </w:p>
    <w:p>
      <w:pPr>
        <w:spacing w:after="120" w:line="276"/>
        <w:jc w:val="both"/>
      </w:pPr>
      <w:r>
        <w:rPr>
          <w:rFonts w:ascii="Barlow Semi Condensed" w:cs="Barlow Semi Condensed" w:eastAsia="Barlow Semi Condensed" w:hAnsi="Barlow Semi Condensed"/>
          <w:sz w:val="24"/>
          <w:szCs w:val="24"/>
        </w:rPr>
        <w:t xml:space="preserve">La seconda: che l'accordo fra il partito di maggioranza relativa e il partito comunista costituisse, agli occhi di chi scriveva, il completamento dell'integrazione di quest'ultimo nel sistema, e dunque la fine della sua funzione rivoluzionaria; l'azione era dunque diretta anche, e forse principalmente, contro il partito comunista.</w:t>
      </w:r>
    </w:p>
    <w:p>
      <w:pPr>
        <w:spacing w:after="120" w:line="276"/>
        <w:jc w:val="both"/>
      </w:pPr>
      <w:r>
        <w:rPr>
          <w:rFonts w:ascii="Barlow Semi Condensed" w:cs="Barlow Semi Condensed" w:eastAsia="Barlow Semi Condensed" w:hAnsi="Barlow Semi Condensed"/>
          <w:sz w:val="24"/>
          <w:szCs w:val="24"/>
        </w:rPr>
        <w:t xml:space="preserve">La terza: che l'operazione avesse carattere dimostrativo e volesse stabilire, mediante la sottrazione e il giudizio di un uomo di quel rango, che esisteva un potere alternativo a quello dello Stato.</w:t>
      </w:r>
    </w:p>
    <w:p>
      <w:pPr>
        <w:pStyle w:val="Heading2"/>
        <w:spacing w:after="100" w:before="200"/>
      </w:pPr>
      <w:r>
        <w:rPr>
          <w:rFonts w:ascii="Barlow Semi Condensed" w:cs="Barlow Semi Condensed" w:eastAsia="Barlow Semi Condensed" w:hAnsi="Barlow Semi Condensed"/>
          <w:sz w:val="24"/>
          <w:szCs w:val="24"/>
        </w:rPr>
        <w:t xml:space="preserve">La coerenza interna e il suo limite</w:t>
      </w:r>
    </w:p>
    <w:p>
      <w:pPr>
        <w:spacing w:after="120" w:line="276"/>
        <w:jc w:val="both"/>
      </w:pPr>
      <w:r>
        <w:rPr>
          <w:rFonts w:ascii="Barlow Semi Condensed" w:cs="Barlow Semi Condensed" w:eastAsia="Barlow Semi Condensed" w:hAnsi="Barlow Semi Condensed"/>
          <w:sz w:val="24"/>
          <w:szCs w:val="24"/>
        </w:rPr>
        <w:t xml:space="preserve">Occorre riconoscere che queste ragioni sono internamente coerenti, e che sono coerenti anche con la data prescelta. Un'azione concepita per colpire l'assetto nascente e per interrompere l'integrazione del partito comunista trova, nel giorno del voto di fiducia, il momento di massima efficacia dimostrativa.</w:t>
      </w:r>
    </w:p>
    <w:p>
      <w:pPr>
        <w:spacing w:after="120" w:line="276"/>
        <w:jc w:val="both"/>
      </w:pPr>
      <w:r>
        <w:rPr>
          <w:rFonts w:ascii="Barlow Semi Condensed" w:cs="Barlow Semi Condensed" w:eastAsia="Barlow Semi Condensed" w:hAnsi="Barlow Semi Condensed"/>
          <w:sz w:val="24"/>
          <w:szCs w:val="24"/>
        </w:rPr>
        <w:t xml:space="preserve">La coerenza interna è un dato e va registrato. Ma non è una prova, e conviene dire perché con esattezza. Una spiegazione coerente è una spiegazione che può essere vera; non è una spiegazione che debba esserlo. Molte spiegazioni coerenti sono state costruite sul medesimo fatto, e la coerenza non le discrimina.</w:t>
      </w:r>
    </w:p>
    <w:p>
      <w:pPr>
        <w:pStyle w:val="Heading2"/>
        <w:spacing w:after="100" w:before="200"/>
      </w:pPr>
      <w:r>
        <w:rPr>
          <w:rFonts w:ascii="Barlow Semi Condensed" w:cs="Barlow Semi Condensed" w:eastAsia="Barlow Semi Condensed" w:hAnsi="Barlow Semi Condensed"/>
          <w:sz w:val="24"/>
          <w:szCs w:val="24"/>
        </w:rPr>
        <w:t xml:space="preserve">Ciò che la dichiarazione non spiega</w:t>
      </w:r>
    </w:p>
    <w:p>
      <w:pPr>
        <w:spacing w:after="120" w:line="276"/>
        <w:jc w:val="both"/>
      </w:pPr>
      <w:r>
        <w:rPr>
          <w:rFonts w:ascii="Barlow Semi Condensed" w:cs="Barlow Semi Condensed" w:eastAsia="Barlow Semi Condensed" w:hAnsi="Barlow Semi Condensed"/>
          <w:sz w:val="24"/>
          <w:szCs w:val="24"/>
        </w:rPr>
        <w:t xml:space="preserve">Vi è infine una osservazione che va fatta e che appartiene alla materia di questa Fase, sebbene i suoi elementi appartengano alle Fasi successive.</w:t>
      </w:r>
    </w:p>
    <w:p>
      <w:pPr>
        <w:spacing w:after="120" w:line="276"/>
        <w:jc w:val="both"/>
      </w:pPr>
      <w:r>
        <w:rPr>
          <w:rFonts w:ascii="Barlow Semi Condensed" w:cs="Barlow Semi Condensed" w:eastAsia="Barlow Semi Condensed" w:hAnsi="Barlow Semi Condensed"/>
          <w:sz w:val="24"/>
          <w:szCs w:val="24"/>
        </w:rPr>
        <w:t xml:space="preserve">La dichiarazione di movente non copre tutto ciò che l'azione richiese. Essa spiega la scelta del bersaglio e la scelta del momento; non spiega, di per sé, il livello di preparazione operativa che l'azione manifestò, né alcune circostanze relative allo svolgimento e alla successiva gestione dei cinquantacinque giorni sulle quali le sedi istituzionali hanno espresso valutazioni non concordi.</w:t>
      </w:r>
    </w:p>
    <w:p>
      <w:pPr>
        <w:spacing w:after="120" w:line="276"/>
        <w:jc w:val="both"/>
      </w:pPr>
      <w:r>
        <w:rPr>
          <w:rFonts w:ascii="Barlow Semi Condensed" w:cs="Barlow Semi Condensed" w:eastAsia="Barlow Semi Condensed" w:hAnsi="Barlow Semi Condensed"/>
          <w:sz w:val="24"/>
          <w:szCs w:val="24"/>
        </w:rPr>
        <w:t xml:space="preserve">Su questo scarto — fra ciò che il movente dichiarato spiega e ciò che l'azione richiese — si è costruita la maggior parte delle ipotesi alternative. Lo scarto è reale e sarà misurato nelle Fasi Terza e Sesta, che ne hanno la competenza. Qui si registra la sua esistenza e non se ne traggono conseguenze, perché uno scarto è una domanda e non una risposta.</w:t>
      </w:r>
    </w:p>
    <w:p>
      <w:pPr>
        <w:pStyle w:val="Heading2"/>
        <w:spacing w:after="100" w:before="200"/>
      </w:pPr>
      <w:r>
        <w:rPr>
          <w:rFonts w:ascii="Barlow Semi Condensed" w:cs="Barlow Semi Condensed" w:eastAsia="Barlow Semi Condensed" w:hAnsi="Barlow Semi Condensed"/>
          <w:sz w:val="24"/>
          <w:szCs w:val="24"/>
        </w:rPr>
        <w:t xml:space="preserve">Capitolo diciottesimo — Le ragioni attribuite: rassegna delle ipotesi altrui</w:t>
      </w:r>
    </w:p>
    <w:p>
      <w:pPr>
        <w:spacing w:after="120" w:line="276"/>
        <w:jc w:val="both"/>
      </w:pPr>
      <w:r>
        <w:rPr>
          <w:rFonts w:ascii="Barlow Semi Condensed" w:cs="Barlow Semi Condensed" w:eastAsia="Barlow Semi Condensed" w:hAnsi="Barlow Semi Condensed"/>
          <w:sz w:val="24"/>
          <w:szCs w:val="24"/>
        </w:rPr>
        <w:t xml:space="preserve">Si censiscono qui le ipotesi sul movente formulate da altri in quasi cinquant'anni. Ciascuna è riportata con la qualificazione che i suoi autori vi hanno apposta, e non con una migliore. Nessuna è fatta propria dall'opera.</w:t>
      </w:r>
    </w:p>
    <w:p>
      <w:pPr>
        <w:spacing w:after="120" w:line="276"/>
        <w:jc w:val="both"/>
      </w:pPr>
      <w:r>
        <w:rPr>
          <w:rFonts w:ascii="Barlow Semi Condensed" w:cs="Barlow Semi Condensed" w:eastAsia="Barlow Semi Condensed" w:hAnsi="Barlow Semi Condensed"/>
          <w:sz w:val="24"/>
          <w:szCs w:val="24"/>
        </w:rPr>
        <w:t xml:space="preserve">La rassegna è ordinata per genere e non per merito, e l'ordine non esprime graduatoria.</w:t>
      </w:r>
    </w:p>
    <w:p>
      <w:pPr>
        <w:pStyle w:val="Heading2"/>
        <w:spacing w:after="100" w:before="200"/>
      </w:pPr>
      <w:r>
        <w:rPr>
          <w:rFonts w:ascii="Barlow Semi Condensed" w:cs="Barlow Semi Condensed" w:eastAsia="Barlow Semi Condensed" w:hAnsi="Barlow Semi Condensed"/>
          <w:sz w:val="24"/>
          <w:szCs w:val="24"/>
        </w:rPr>
        <w:t xml:space="preserve">Primo genere: le ipotesi che accolgono il movente dichiarato</w:t>
      </w:r>
    </w:p>
    <w:p>
      <w:pPr>
        <w:spacing w:after="120" w:line="276"/>
        <w:jc w:val="both"/>
      </w:pPr>
      <w:r>
        <w:rPr>
          <w:rFonts w:ascii="Barlow Semi Condensed" w:cs="Barlow Semi Condensed" w:eastAsia="Barlow Semi Condensed" w:hAnsi="Barlow Semi Condensed"/>
          <w:sz w:val="24"/>
          <w:szCs w:val="24"/>
        </w:rPr>
        <w:t xml:space="preserve">Un primo insieme di ricostruzioni accoglie sostanzialmente le ragioni esposte da chi compì l'azione, e ritiene che l'operazione sia stata concepita, decisa ed eseguita dall'organizzazione che la rivendicò, secondo le finalità che essa dichiarò.</w:t>
      </w:r>
    </w:p>
    <w:p>
      <w:pPr>
        <w:spacing w:after="120" w:line="276"/>
        <w:jc w:val="both"/>
      </w:pPr>
      <w:r>
        <w:rPr>
          <w:rFonts w:ascii="Barlow Semi Condensed" w:cs="Barlow Semi Condensed" w:eastAsia="Barlow Semi Condensed" w:hAnsi="Barlow Semi Condensed"/>
          <w:sz w:val="24"/>
          <w:szCs w:val="24"/>
        </w:rPr>
        <w:t xml:space="preserve">Questa posizione è quella prevalente negli esiti giudiziari: i procedimenti hanno accertato responsabilità individuali di appartenenti a quella organizzazione, e hanno ricostruito l'azione come opera di essa. Va detto con precisione che cosa ciò significhi: le sentenze accertano chi commise i fatti, e in ciò hanno autorità piena. Sul movente ultimo esse si pronunciano nella misura in cui esso rileva per l'imputazione, e non oltre; l'accertamento giudiziario non è, e non pretende di essere, una ricostruzione storica esaustiva.</w:t>
      </w:r>
    </w:p>
    <w:p>
      <w:pPr>
        <w:pStyle w:val="Heading2"/>
        <w:spacing w:after="100" w:before="200"/>
      </w:pPr>
      <w:r>
        <w:rPr>
          <w:rFonts w:ascii="Barlow Semi Condensed" w:cs="Barlow Semi Condensed" w:eastAsia="Barlow Semi Condensed" w:hAnsi="Barlow Semi Condensed"/>
          <w:sz w:val="24"/>
          <w:szCs w:val="24"/>
        </w:rPr>
        <w:t xml:space="preserve">Secondo genere: le ipotesi del concorso esterno</w:t>
      </w:r>
    </w:p>
    <w:p>
      <w:pPr>
        <w:spacing w:after="120" w:line="276"/>
        <w:jc w:val="both"/>
      </w:pPr>
      <w:r>
        <w:rPr>
          <w:rFonts w:ascii="Barlow Semi Condensed" w:cs="Barlow Semi Condensed" w:eastAsia="Barlow Semi Condensed" w:hAnsi="Barlow Semi Condensed"/>
          <w:sz w:val="24"/>
          <w:szCs w:val="24"/>
        </w:rPr>
        <w:t xml:space="preserve">Un secondo insieme ritiene che l'organizzazione abbia concepito ed eseguito l'azione, ma che vi sia stato, in una o più fasi, un concorso esterno: informativo, logistico, o consistente in omissioni deliberate da parte di chi avrebbe dovuto impedire o interrompere.</w:t>
      </w:r>
    </w:p>
    <w:p>
      <w:pPr>
        <w:spacing w:after="120" w:line="276"/>
        <w:jc w:val="both"/>
      </w:pPr>
      <w:r>
        <w:rPr>
          <w:rFonts w:ascii="Barlow Semi Condensed" w:cs="Barlow Semi Condensed" w:eastAsia="Barlow Semi Condensed" w:hAnsi="Barlow Semi Condensed"/>
          <w:sz w:val="24"/>
          <w:szCs w:val="24"/>
        </w:rPr>
        <w:t xml:space="preserve">Questo genere si distingue in due sottospecie che è essenziale non confondere. La prima ipotizza un concorso attivo: qualcuno fornì. La seconda ipotizza un concorso omissivo: qualcuno non fece ciò che doveva. Le due proposizioni hanno statuti probatori diversissimi. La prima richiede la prova di una condotta positiva ed è la più difficile da dimostrare. La seconda richiede la prova che un dovere esistesse, che non fu adempiuto, e che l'inadempimento non sia spiegabile con l'errore o l'inefficienza; ed è, per la sua natura, più accessibile alla documentazione, perché le omissioni lasciano tracce negli atti d'ufficio.</w:t>
      </w:r>
    </w:p>
    <w:p>
      <w:pPr>
        <w:spacing w:after="120" w:line="276"/>
        <w:jc w:val="both"/>
      </w:pPr>
      <w:r>
        <w:rPr>
          <w:rFonts w:ascii="Barlow Semi Condensed" w:cs="Barlow Semi Condensed" w:eastAsia="Barlow Semi Condensed" w:hAnsi="Barlow Semi Condensed"/>
          <w:sz w:val="24"/>
          <w:szCs w:val="24"/>
        </w:rPr>
        <w:t xml:space="preserve">Su questo secondo terreno si sono concentrate le commissioni parlamentari, e in particolare l'ultima, che ha dichiarato aperte alcune linee di indagine relative a comportamenti di apparati durante i cinquantacinque giorni. La materia appartiene alla Fase Quinta e vi sarà trattata analiticamente.</w:t>
      </w:r>
    </w:p>
    <w:p>
      <w:pPr>
        <w:pStyle w:val="Heading2"/>
        <w:spacing w:after="100" w:before="200"/>
      </w:pPr>
      <w:r>
        <w:rPr>
          <w:rFonts w:ascii="Barlow Semi Condensed" w:cs="Barlow Semi Condensed" w:eastAsia="Barlow Semi Condensed" w:hAnsi="Barlow Semi Condensed"/>
          <w:sz w:val="24"/>
          <w:szCs w:val="24"/>
        </w:rPr>
        <w:t xml:space="preserve">Terzo genere: le ipotesi della regia esterna</w:t>
      </w:r>
    </w:p>
    <w:p>
      <w:pPr>
        <w:spacing w:after="120" w:line="276"/>
        <w:jc w:val="both"/>
      </w:pPr>
      <w:r>
        <w:rPr>
          <w:rFonts w:ascii="Barlow Semi Condensed" w:cs="Barlow Semi Condensed" w:eastAsia="Barlow Semi Condensed" w:hAnsi="Barlow Semi Condensed"/>
          <w:sz w:val="24"/>
          <w:szCs w:val="24"/>
        </w:rPr>
        <w:t xml:space="preserve">Un terzo insieme ritiene che l'organizzazione sia stata, in tutto o in parte e con o senza consapevolezza dei suoi militanti, strumento di una volontà esterna: di apparati nazionali, di servizi stranieri dell'uno o dell'altro blocco, o di combinazioni fra essi.</w:t>
      </w:r>
    </w:p>
    <w:p>
      <w:pPr>
        <w:spacing w:after="120" w:line="276"/>
        <w:jc w:val="both"/>
      </w:pPr>
      <w:r>
        <w:rPr>
          <w:rFonts w:ascii="Barlow Semi Condensed" w:cs="Barlow Semi Condensed" w:eastAsia="Barlow Semi Condensed" w:hAnsi="Barlow Semi Condensed"/>
          <w:sz w:val="24"/>
          <w:szCs w:val="24"/>
        </w:rPr>
        <w:t xml:space="preserve">Queste ipotesi sono numerose e differiscono fra loro per il soggetto indicato. Esse condividono una struttura argomentativa comune, che conviene descrivere perché è la medesima e ne consente una valutazione unitaria: partono dallo scarto segnalato alla fine del Capitolo diciassettesimo — l'azione richiese più di quanto il movente dichiarato spieghi — e colmano lo scarto con un soggetto ulteriore.</w:t>
      </w:r>
    </w:p>
    <w:p>
      <w:pPr>
        <w:spacing w:after="120" w:line="276"/>
        <w:jc w:val="both"/>
      </w:pPr>
      <w:r>
        <w:rPr>
          <w:rFonts w:ascii="Barlow Semi Condensed" w:cs="Barlow Semi Condensed" w:eastAsia="Barlow Semi Condensed" w:hAnsi="Barlow Semi Condensed"/>
          <w:sz w:val="24"/>
          <w:szCs w:val="24"/>
        </w:rPr>
        <w:t xml:space="preserve">La struttura ha una debolezza intrinseca che va nominata senza acrimonia, perché non riguarda la buona fede di chi la impiega. Lo scarto è reale, ma uno scarto non seleziona il proprio riempimento: qualunque soggetto sufficientemente capace può colmarlo, e la scelta fra i candidati non viene dallo scarto ma da altrove — quasi sempre dalla convinzione politica di chi ricostruisce. Ne segue che ricostruzioni con soggetti opposti risultano ugualmente compatibili con lo stesso scarto, il che è il segno che lo scarto non discrimina.</w:t>
      </w:r>
    </w:p>
    <w:p>
      <w:pPr>
        <w:spacing w:after="120" w:line="276"/>
        <w:jc w:val="both"/>
      </w:pPr>
      <w:r>
        <w:rPr>
          <w:rFonts w:ascii="Barlow Semi Condensed" w:cs="Barlow Semi Condensed" w:eastAsia="Barlow Semi Condensed" w:hAnsi="Barlow Semi Condensed"/>
          <w:sz w:val="24"/>
          <w:szCs w:val="24"/>
        </w:rPr>
        <w:t xml:space="preserve">Ciò non le rende false. Le rende non provate dallo scarto, che è cosa diversa. Ciascuna di esse dovrà essere provata, se lo sarà, da atti propri e indipendenti.</w:t>
      </w:r>
    </w:p>
    <w:p>
      <w:pPr>
        <w:pStyle w:val="Heading2"/>
        <w:spacing w:after="100" w:before="200"/>
      </w:pPr>
      <w:r>
        <w:rPr>
          <w:rFonts w:ascii="Barlow Semi Condensed" w:cs="Barlow Semi Condensed" w:eastAsia="Barlow Semi Condensed" w:hAnsi="Barlow Semi Condensed"/>
          <w:sz w:val="24"/>
          <w:szCs w:val="24"/>
        </w:rPr>
        <w:t xml:space="preserve">Quarto genere: le ipotesi del non impedimento consapevole</w:t>
      </w:r>
    </w:p>
    <w:p>
      <w:pPr>
        <w:spacing w:after="120" w:line="276"/>
        <w:jc w:val="both"/>
      </w:pPr>
      <w:r>
        <w:rPr>
          <w:rFonts w:ascii="Barlow Semi Condensed" w:cs="Barlow Semi Condensed" w:eastAsia="Barlow Semi Condensed" w:hAnsi="Barlow Semi Condensed"/>
          <w:sz w:val="24"/>
          <w:szCs w:val="24"/>
        </w:rPr>
        <w:t xml:space="preserve">Un quarto insieme, distinto dal secondo per grado e non per natura, ritiene che l'azione sia stata dell'organizzazione, che nessun concorso vi sia stato nella sua esecuzione, ma che, una volta avviata, taluni ne abbiano consapevolmente favorito l'esito lasciando che si compisse.</w:t>
      </w:r>
    </w:p>
    <w:p>
      <w:pPr>
        <w:spacing w:after="120" w:line="276"/>
        <w:jc w:val="both"/>
      </w:pPr>
      <w:r>
        <w:rPr>
          <w:rFonts w:ascii="Barlow Semi Condensed" w:cs="Barlow Semi Condensed" w:eastAsia="Barlow Semi Condensed" w:hAnsi="Barlow Semi Condensed"/>
          <w:sz w:val="24"/>
          <w:szCs w:val="24"/>
        </w:rPr>
        <w:t xml:space="preserve">Questa ipotesi ha il pregio, dal punto di vista probatorio, di essere verificabile su documenti: essa predice omissioni determinate in momenti determinati, e le omissioni sono documentabili. È dunque, fra tutte, quella che più si presta all'istruttoria; ed è quella sulla quale la Fase Quinta concentrerà il lavoro.</w:t>
      </w:r>
    </w:p>
    <w:p>
      <w:pPr>
        <w:pStyle w:val="Heading2"/>
        <w:spacing w:after="100" w:before="200"/>
      </w:pPr>
      <w:r>
        <w:rPr>
          <w:rFonts w:ascii="Barlow Semi Condensed" w:cs="Barlow Semi Condensed" w:eastAsia="Barlow Semi Condensed" w:hAnsi="Barlow Semi Condensed"/>
          <w:sz w:val="24"/>
          <w:szCs w:val="24"/>
        </w:rPr>
        <w:t xml:space="preserve">Avvertenza sulla rassegna</w:t>
      </w:r>
    </w:p>
    <w:p>
      <w:pPr>
        <w:spacing w:after="120" w:line="276"/>
        <w:jc w:val="both"/>
      </w:pPr>
      <w:r>
        <w:rPr>
          <w:rFonts w:ascii="Barlow Semi Condensed" w:cs="Barlow Semi Condensed" w:eastAsia="Barlow Semi Condensed" w:hAnsi="Barlow Semi Condensed"/>
          <w:sz w:val="24"/>
          <w:szCs w:val="24"/>
        </w:rPr>
        <w:t xml:space="preserve">Si avverte che questa rassegna è ordinata per genere e non pretende completezza nominale. Le ricostruzioni pubblicate su questa materia si contano a centinaia, e molte differiscono fra loro per dettagli che non modificano il genere di appartenenza. L'opera si riserva di censire analiticamente, nella Fase Settima, le singole ricostruzioni con i loro autori e i loro estremi.</w:t>
      </w:r>
    </w:p>
    <w:p>
      <w:pPr>
        <w:spacing w:after="120" w:line="276"/>
        <w:jc w:val="both"/>
      </w:pPr>
      <w:r>
        <w:rPr>
          <w:rFonts w:ascii="Barlow Semi Condensed" w:cs="Barlow Semi Condensed" w:eastAsia="Barlow Semi Condensed" w:hAnsi="Barlow Semi Condensed"/>
          <w:sz w:val="24"/>
          <w:szCs w:val="24"/>
        </w:rPr>
        <w:t xml:space="preserve">Si avverte inoltre che nessuna delle ipotesi qui censite è fatta propria, e che il loro censimento non è una graduatoria di verosimiglianza. Censire una ipotesi significa registrare che è stata formulata: nulla di più.</w:t>
      </w:r>
    </w:p>
    <w:p>
      <w:pPr>
        <w:pStyle w:val="Heading2"/>
        <w:spacing w:after="100" w:before="200"/>
      </w:pPr>
      <w:r>
        <w:rPr>
          <w:rFonts w:ascii="Barlow Semi Condensed" w:cs="Barlow Semi Condensed" w:eastAsia="Barlow Semi Condensed" w:hAnsi="Barlow Semi Condensed"/>
          <w:sz w:val="24"/>
          <w:szCs w:val="24"/>
        </w:rPr>
        <w:t xml:space="preserve">Capitolo diciannovesimo — La matrice delle ipotesi concorrenti</w:t>
      </w:r>
    </w:p>
    <w:p>
      <w:pPr>
        <w:spacing w:after="120" w:line="276"/>
        <w:jc w:val="both"/>
      </w:pPr>
      <w:r>
        <w:rPr>
          <w:rFonts w:ascii="Barlow Semi Condensed" w:cs="Barlow Semi Condensed" w:eastAsia="Barlow Semi Condensed" w:hAnsi="Barlow Semi Condensed"/>
          <w:sz w:val="24"/>
          <w:szCs w:val="24"/>
        </w:rPr>
        <w:t xml:space="preserve">Si costruisce qui la matrice prescritta dal metodo. Per ciascuno dei quattro generi di ipotesi si valuta il rapporto con le evidenze disponibili, e per ciascuna evidenza si dice se essa sia coerente, incoerente o neutra rispetto a quel genere.</w:t>
      </w:r>
    </w:p>
    <w:p>
      <w:pPr>
        <w:spacing w:after="120" w:line="276"/>
        <w:jc w:val="both"/>
      </w:pPr>
      <w:r>
        <w:rPr>
          <w:rFonts w:ascii="Barlow Semi Condensed" w:cs="Barlow Semi Condensed" w:eastAsia="Barlow Semi Condensed" w:hAnsi="Barlow Semi Condensed"/>
          <w:sz w:val="24"/>
          <w:szCs w:val="24"/>
        </w:rPr>
        <w:t xml:space="preserve">Si ricorda la regola: non vince l'ipotesi più sostenuta, ma quella meno contraddetta.</w:t>
      </w:r>
    </w:p>
    <w:p>
      <w:pPr>
        <w:pStyle w:val="Heading2"/>
        <w:spacing w:after="100" w:before="200"/>
      </w:pPr>
      <w:r>
        <w:rPr>
          <w:rFonts w:ascii="Barlow Semi Condensed" w:cs="Barlow Semi Condensed" w:eastAsia="Barlow Semi Condensed" w:hAnsi="Barlow Semi Condensed"/>
          <w:sz w:val="24"/>
          <w:szCs w:val="24"/>
        </w:rPr>
        <w:t xml:space="preserve">Le evidenze impiegate</w:t>
      </w:r>
    </w:p>
    <w:p>
      <w:pPr>
        <w:spacing w:after="120" w:line="276"/>
        <w:jc w:val="both"/>
      </w:pPr>
      <w:r>
        <w:rPr>
          <w:rFonts w:ascii="Barlow Semi Condensed" w:cs="Barlow Semi Condensed" w:eastAsia="Barlow Semi Condensed" w:hAnsi="Barlow Semi Condensed"/>
          <w:sz w:val="24"/>
          <w:szCs w:val="24"/>
        </w:rPr>
        <w:t xml:space="preserve">Si impiegano sette evidenze, tutte accertate e nessuna controversa quanto alla propria esistenza.</w:t>
      </w:r>
    </w:p>
    <w:p>
      <w:pPr>
        <w:spacing w:after="120" w:line="276"/>
        <w:jc w:val="both"/>
      </w:pPr>
      <w:r>
        <w:rPr>
          <w:rFonts w:ascii="Barlow Semi Condensed" w:cs="Barlow Semi Condensed" w:eastAsia="Barlow Semi Condensed" w:hAnsi="Barlow Semi Condensed"/>
          <w:sz w:val="24"/>
          <w:szCs w:val="24"/>
        </w:rPr>
        <w:t xml:space="preserve">Prima: l'esistenza e il contenuto dei documenti diffusi dall'organizzazione durante i cinquantacinque giorni.</w:t>
      </w:r>
    </w:p>
    <w:p>
      <w:pPr>
        <w:spacing w:after="120" w:line="276"/>
        <w:jc w:val="both"/>
      </w:pPr>
      <w:r>
        <w:rPr>
          <w:rFonts w:ascii="Barlow Semi Condensed" w:cs="Barlow Semi Condensed" w:eastAsia="Barlow Semi Condensed" w:hAnsi="Barlow Semi Condensed"/>
          <w:sz w:val="24"/>
          <w:szCs w:val="24"/>
        </w:rPr>
        <w:t xml:space="preserve">Seconda: gli esiti giudiziari, che hanno accertato responsabilità individuali di appartenenti all'organizzazione.</w:t>
      </w:r>
    </w:p>
    <w:p>
      <w:pPr>
        <w:spacing w:after="120" w:line="276"/>
        <w:jc w:val="both"/>
      </w:pPr>
      <w:r>
        <w:rPr>
          <w:rFonts w:ascii="Barlow Semi Condensed" w:cs="Barlow Semi Condensed" w:eastAsia="Barlow Semi Condensed" w:hAnsi="Barlow Semi Condensed"/>
          <w:sz w:val="24"/>
          <w:szCs w:val="24"/>
        </w:rPr>
        <w:t xml:space="preserve">Terza: la coincidenza fra il giorno dell'azione e il giorno del voto di fiducia.</w:t>
      </w:r>
    </w:p>
    <w:p>
      <w:pPr>
        <w:spacing w:after="120" w:line="276"/>
        <w:jc w:val="both"/>
      </w:pPr>
      <w:r>
        <w:rPr>
          <w:rFonts w:ascii="Barlow Semi Condensed" w:cs="Barlow Semi Condensed" w:eastAsia="Barlow Semi Condensed" w:hAnsi="Barlow Semi Condensed"/>
          <w:sz w:val="24"/>
          <w:szCs w:val="24"/>
        </w:rPr>
        <w:t xml:space="preserve">Quarta: il livello di preparazione operativa manifestato dall'azione di via Fani.</w:t>
      </w:r>
    </w:p>
    <w:p>
      <w:pPr>
        <w:spacing w:after="120" w:line="276"/>
        <w:jc w:val="both"/>
      </w:pPr>
      <w:r>
        <w:rPr>
          <w:rFonts w:ascii="Barlow Semi Condensed" w:cs="Barlow Semi Condensed" w:eastAsia="Barlow Semi Condensed" w:hAnsi="Barlow Semi Condensed"/>
          <w:sz w:val="24"/>
          <w:szCs w:val="24"/>
        </w:rPr>
        <w:t xml:space="preserve">Quinta: le omissioni verificatesi durante i cinquantacinque giorni, per la parte in cui esse sono state accertate dalle sedi istituzionali.</w:t>
      </w:r>
    </w:p>
    <w:p>
      <w:pPr>
        <w:spacing w:after="120" w:line="276"/>
        <w:jc w:val="both"/>
      </w:pPr>
      <w:r>
        <w:rPr>
          <w:rFonts w:ascii="Barlow Semi Condensed" w:cs="Barlow Semi Condensed" w:eastAsia="Barlow Semi Condensed" w:hAnsi="Barlow Semi Condensed"/>
          <w:sz w:val="24"/>
          <w:szCs w:val="24"/>
        </w:rPr>
        <w:t xml:space="preserve">Sesta: gli accertamenti relativi a deviazioni di apparati nel decennio anteriore.</w:t>
      </w:r>
    </w:p>
    <w:p>
      <w:pPr>
        <w:spacing w:after="120" w:line="276"/>
        <w:jc w:val="both"/>
      </w:pPr>
      <w:r>
        <w:rPr>
          <w:rFonts w:ascii="Barlow Semi Condensed" w:cs="Barlow Semi Condensed" w:eastAsia="Barlow Semi Condensed" w:hAnsi="Barlow Semi Condensed"/>
          <w:sz w:val="24"/>
          <w:szCs w:val="24"/>
        </w:rPr>
        <w:t xml:space="preserve">Settima: l'esito negativo della verifica statistica sull'addensamento degli eventi attorno alle scadenze europee, riferito al Capitolo tredicesimo.</w:t>
      </w:r>
    </w:p>
    <w:p>
      <w:pPr>
        <w:pStyle w:val="Heading2"/>
        <w:spacing w:after="100" w:before="200"/>
      </w:pPr>
      <w:r>
        <w:rPr>
          <w:rFonts w:ascii="Barlow Semi Condensed" w:cs="Barlow Semi Condensed" w:eastAsia="Barlow Semi Condensed" w:hAnsi="Barlow Semi Condensed"/>
          <w:sz w:val="24"/>
          <w:szCs w:val="24"/>
        </w:rPr>
        <w:t xml:space="preserve">La valutazione</w:t>
      </w:r>
    </w:p>
    <w:p>
      <w:pPr>
        <w:spacing w:after="120" w:line="276"/>
        <w:jc w:val="both"/>
      </w:pPr>
      <w:r>
        <w:rPr>
          <w:rFonts w:ascii="Barlow Semi Condensed" w:cs="Barlow Semi Condensed" w:eastAsia="Barlow Semi Condensed" w:hAnsi="Barlow Semi Condensed"/>
          <w:sz w:val="24"/>
          <w:szCs w:val="24"/>
        </w:rPr>
        <w:t xml:space="preserve">Rispetto al primo genere — movente dichiarato, esecuzione autonoma — la prima e la seconda evidenza sono coerenti; la terza è coerente; la sesta e la settima sono neutre; la quarta e la quinta sono in tensione, perché il genere deve spiegarle come effetto di capacità proprie e di inefficienza altrui, e tale spiegazione è possibile ma non è dimostrata.</w:t>
      </w:r>
    </w:p>
    <w:p>
      <w:pPr>
        <w:spacing w:after="120" w:line="276"/>
        <w:jc w:val="both"/>
      </w:pPr>
      <w:r>
        <w:rPr>
          <w:rFonts w:ascii="Barlow Semi Condensed" w:cs="Barlow Semi Condensed" w:eastAsia="Barlow Semi Condensed" w:hAnsi="Barlow Semi Condensed"/>
          <w:sz w:val="24"/>
          <w:szCs w:val="24"/>
        </w:rPr>
        <w:t xml:space="preserve">Rispetto al secondo genere — concorso esterno — la prima, la seconda, la terza e la quarta sono coerenti; la quinta è coerente e ne costituisce il sostegno principale; la sesta è coerente in senso debole, in quanto stabilisce possibilità e non atto; la settima è neutra. Non si registrano incoerenze dirette. Il genere resta però privo di prova positiva del concorso, e la sua compatibilità con le evidenze non equivale alla sua dimostrazione.</w:t>
      </w:r>
    </w:p>
    <w:p>
      <w:pPr>
        <w:spacing w:after="120" w:line="276"/>
        <w:jc w:val="both"/>
      </w:pPr>
      <w:r>
        <w:rPr>
          <w:rFonts w:ascii="Barlow Semi Condensed" w:cs="Barlow Semi Condensed" w:eastAsia="Barlow Semi Condensed" w:hAnsi="Barlow Semi Condensed"/>
          <w:sz w:val="24"/>
          <w:szCs w:val="24"/>
        </w:rPr>
        <w:t xml:space="preserve">Rispetto al terzo genere — regia esterna — la quarta e la quinta sono coerenti; la sesta è coerente in senso debole; la prima è in tensione, perché il genere deve trattare i documenti dell'organizzazione come costruiti o eterodiretti, il che è possibile ma richiede prova propria; la seconda è in tensione per la medesima ragione; la settima è incoerente rispetto alla sottospecie che indica una regia sovranazionale motivata dall'ostacolo all'integrazione europea, e la contraddice.</w:t>
      </w:r>
    </w:p>
    <w:p>
      <w:pPr>
        <w:spacing w:after="120" w:line="276"/>
        <w:jc w:val="both"/>
      </w:pPr>
      <w:r>
        <w:rPr>
          <w:rFonts w:ascii="Barlow Semi Condensed" w:cs="Barlow Semi Condensed" w:eastAsia="Barlow Semi Condensed" w:hAnsi="Barlow Semi Condensed"/>
          <w:sz w:val="24"/>
          <w:szCs w:val="24"/>
        </w:rPr>
        <w:t xml:space="preserve">Rispetto al quarto genere — non impedimento consapevole — la prima, la seconda, la terza e la quarta sono coerenti o neutre; la quinta è coerente e ne costituisce il sostegno principale; la sesta è coerente in senso debole; la settima è neutra. Non si registrano incoerenze dirette.</w:t>
      </w:r>
    </w:p>
    <w:p>
      <w:pPr>
        <w:pStyle w:val="Heading2"/>
        <w:spacing w:after="100" w:before="200"/>
      </w:pPr>
      <w:r>
        <w:rPr>
          <w:rFonts w:ascii="Barlow Semi Condensed" w:cs="Barlow Semi Condensed" w:eastAsia="Barlow Semi Condensed" w:hAnsi="Barlow Semi Condensed"/>
          <w:sz w:val="24"/>
          <w:szCs w:val="24"/>
        </w:rPr>
        <w:t xml:space="preserve">Ciò che la matrice restituisce</w:t>
      </w:r>
    </w:p>
    <w:p>
      <w:pPr>
        <w:spacing w:after="120" w:line="276"/>
        <w:jc w:val="both"/>
      </w:pPr>
      <w:r>
        <w:rPr>
          <w:rFonts w:ascii="Barlow Semi Condensed" w:cs="Barlow Semi Condensed" w:eastAsia="Barlow Semi Condensed" w:hAnsi="Barlow Semi Condensed"/>
          <w:sz w:val="24"/>
          <w:szCs w:val="24"/>
        </w:rPr>
        <w:t xml:space="preserve">La matrice restituisce tre risultati, e nessuno di essi è una conclusione sul movente.</w:t>
      </w:r>
    </w:p>
    <w:p>
      <w:pPr>
        <w:spacing w:after="120" w:line="276"/>
        <w:jc w:val="both"/>
      </w:pPr>
      <w:r>
        <w:rPr>
          <w:rFonts w:ascii="Barlow Semi Condensed" w:cs="Barlow Semi Condensed" w:eastAsia="Barlow Semi Condensed" w:hAnsi="Barlow Semi Condensed"/>
          <w:sz w:val="24"/>
          <w:szCs w:val="24"/>
        </w:rPr>
        <w:t xml:space="preserve">Primo risultato: nessuno dei quattro generi è escluso dalle evidenze disponibili. Il caso, allo stato degli atti che quest'opera ha potuto interrogare, non è risolto sul piano del movente.</w:t>
      </w:r>
    </w:p>
    <w:p>
      <w:pPr>
        <w:spacing w:after="120" w:line="276"/>
        <w:jc w:val="both"/>
      </w:pPr>
      <w:r>
        <w:rPr>
          <w:rFonts w:ascii="Barlow Semi Condensed" w:cs="Barlow Semi Condensed" w:eastAsia="Barlow Semi Condensed" w:hAnsi="Barlow Semi Condensed"/>
          <w:sz w:val="24"/>
          <w:szCs w:val="24"/>
        </w:rPr>
        <w:t xml:space="preserve">Secondo risultato: la settima evidenza discrimina, ed è la sola che discrimini. Essa contraddice una sottospecie determinata del terzo genere, e la esclude. È l'unico esito escludente prodotto da questa Fase, e va registrato con la dignità che gli compete: esso è stato ottenuto per verifica statistica e non per argomentazione, il che conferma che la discriminazione fra ipotesi si ottiene con misure e non con ragionamenti.</w:t>
      </w:r>
    </w:p>
    <w:p>
      <w:pPr>
        <w:spacing w:after="120" w:line="276"/>
        <w:jc w:val="both"/>
      </w:pPr>
      <w:r>
        <w:rPr>
          <w:rFonts w:ascii="Barlow Semi Condensed" w:cs="Barlow Semi Condensed" w:eastAsia="Barlow Semi Condensed" w:hAnsi="Barlow Semi Condensed"/>
          <w:sz w:val="24"/>
          <w:szCs w:val="24"/>
        </w:rPr>
        <w:t xml:space="preserve">Terzo risultato, e più importante per il lavoro futuro: la quinta evidenza — le omissioni accertate — è quella che ha il maggiore potere discriminante potenziale, perché è coerente con il secondo e con il quarto genere e in tensione con il primo. Essa è dunque il terreno sul quale la ricerca rende, ed è là che il lavoro deve concentrarsi.</w:t>
      </w:r>
    </w:p>
    <w:p>
      <w:pPr>
        <w:spacing w:after="120" w:line="276"/>
        <w:jc w:val="both"/>
      </w:pPr>
      <w:r>
        <w:rPr>
          <w:rFonts w:ascii="Barlow Semi Condensed" w:cs="Barlow Semi Condensed" w:eastAsia="Barlow Semi Condensed" w:hAnsi="Barlow Semi Condensed"/>
          <w:sz w:val="24"/>
          <w:szCs w:val="24"/>
        </w:rPr>
        <w:t xml:space="preserve">Si osservi che questo terzo risultato non dice che le omissioni provino il concorso: dice che, fra le evidenze disponibili, esse sono quelle il cui approfondimento può modificare la matrice. La pressione indica dove il lavoro rende, mai che cosa è vero.</w:t>
      </w:r>
    </w:p>
    <w:p>
      <w:pPr>
        <w:pStyle w:val="Heading2"/>
        <w:spacing w:after="100" w:before="200"/>
      </w:pPr>
      <w:r>
        <w:rPr>
          <w:rFonts w:ascii="Barlow Semi Condensed" w:cs="Barlow Semi Condensed" w:eastAsia="Barlow Semi Condensed" w:hAnsi="Barlow Semi Condensed"/>
          <w:sz w:val="24"/>
          <w:szCs w:val="24"/>
        </w:rPr>
        <w:t xml:space="preserve">Capitolo ventesimo — Bilancio della Fase Seconda</w:t>
      </w:r>
    </w:p>
    <w:p>
      <w:pPr>
        <w:spacing w:after="120" w:line="276"/>
        <w:jc w:val="both"/>
      </w:pPr>
      <w:r>
        <w:rPr>
          <w:rFonts w:ascii="Barlow Semi Condensed" w:cs="Barlow Semi Condensed" w:eastAsia="Barlow Semi Condensed" w:hAnsi="Barlow Semi Condensed"/>
          <w:sz w:val="24"/>
          <w:szCs w:val="24"/>
        </w:rPr>
        <w:t xml:space="preserve">Si chiude la Fase dichiarando ciò che essa ha stabilito, ciò che ha escluso, e ciò che consegna alle Fasi successive.</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che il sistema politico italiano conosceva, dal 1947, una esclusione permanente del secondo partito del paese dalla responsabilità di governo; che tale esclusione non era disposta da norma alcuna; e che nel 1978 era in corso un passaggio che la modificava per la prima volta.</w:t>
      </w:r>
    </w:p>
    <w:p>
      <w:pPr>
        <w:spacing w:after="120" w:line="276"/>
        <w:jc w:val="both"/>
      </w:pPr>
      <w:r>
        <w:rPr>
          <w:rFonts w:ascii="Barlow Semi Condensed" w:cs="Barlow Semi Condensed" w:eastAsia="Barlow Semi Condensed" w:hAnsi="Barlow Semi Condensed"/>
          <w:sz w:val="24"/>
          <w:szCs w:val="24"/>
        </w:rPr>
        <w:t xml:space="preserve">È accertato che Aldo Moro era, dalla parte democristiana, l'artefice principale di quel passaggio.</w:t>
      </w:r>
    </w:p>
    <w:p>
      <w:pPr>
        <w:spacing w:after="120" w:line="276"/>
        <w:jc w:val="both"/>
      </w:pPr>
      <w:r>
        <w:rPr>
          <w:rFonts w:ascii="Barlow Semi Condensed" w:cs="Barlow Semi Condensed" w:eastAsia="Barlow Semi Condensed" w:hAnsi="Barlow Semi Condensed"/>
          <w:sz w:val="24"/>
          <w:szCs w:val="24"/>
        </w:rPr>
        <w:t xml:space="preserve">È accertato che il giorno del rapimento coincise con il giorno del voto di fiducia al primo governo sostenuto da una maggioranza comprensiva del partito comunista.</w:t>
      </w:r>
    </w:p>
    <w:p>
      <w:pPr>
        <w:spacing w:after="120" w:line="276"/>
        <w:jc w:val="both"/>
      </w:pPr>
      <w:r>
        <w:rPr>
          <w:rFonts w:ascii="Barlow Semi Condensed" w:cs="Barlow Semi Condensed" w:eastAsia="Barlow Semi Condensed" w:hAnsi="Barlow Semi Condensed"/>
          <w:sz w:val="24"/>
          <w:szCs w:val="24"/>
        </w:rPr>
        <w:t xml:space="preserve">È accertato che entrambe le superpotenze esercitavano forme documentate di influenza sulla politica italiana, e che entrambe osservavano con contrarietà, per ragioni opposte fra loro, l'operazione in corso.</w:t>
      </w:r>
    </w:p>
    <w:p>
      <w:pPr>
        <w:spacing w:after="120" w:line="276"/>
        <w:jc w:val="both"/>
      </w:pPr>
      <w:r>
        <w:rPr>
          <w:rFonts w:ascii="Barlow Semi Condensed" w:cs="Barlow Semi Condensed" w:eastAsia="Barlow Semi Condensed" w:hAnsi="Barlow Semi Condensed"/>
          <w:sz w:val="24"/>
          <w:szCs w:val="24"/>
        </w:rPr>
        <w:t xml:space="preserve">È accertato che il decennio anteriore conobbe, in Italia, episodi documentati di deviazione di apparati, predisposizioni eversive, depistaggi e strutture riservate operanti fuori dal circuito ordinario di responsabilità, come da sentenze e da relazioni di commissioni parlamentari d'inchiesta.</w:t>
      </w:r>
    </w:p>
    <w:p>
      <w:pPr>
        <w:spacing w:after="120" w:line="276"/>
        <w:jc w:val="both"/>
      </w:pPr>
      <w:r>
        <w:rPr>
          <w:rFonts w:ascii="Barlow Semi Condensed" w:cs="Barlow Semi Condensed" w:eastAsia="Barlow Semi Condensed" w:hAnsi="Barlow Semi Condensed"/>
          <w:sz w:val="24"/>
          <w:szCs w:val="24"/>
        </w:rPr>
        <w:t xml:space="preserve">È accertato che l'organizzazione che compì l'azione ne dichiarò pubblicamente le ragioni, e quali esse fossero.</w:t>
      </w:r>
    </w:p>
    <w:p>
      <w:pPr>
        <w:pStyle w:val="Heading2"/>
        <w:spacing w:after="100" w:before="200"/>
      </w:pPr>
      <w:r>
        <w:rPr>
          <w:rFonts w:ascii="Barlow Semi Condensed" w:cs="Barlow Semi Condensed" w:eastAsia="Barlow Semi Condensed" w:hAnsi="Barlow Semi Condensed"/>
          <w:sz w:val="24"/>
          <w:szCs w:val="24"/>
        </w:rPr>
        <w:t xml:space="preserve">Ciò che è escluso</w:t>
      </w:r>
    </w:p>
    <w:p>
      <w:pPr>
        <w:spacing w:after="120" w:line="276"/>
        <w:jc w:val="both"/>
      </w:pPr>
      <w:r>
        <w:rPr>
          <w:rFonts w:ascii="Barlow Semi Condensed" w:cs="Barlow Semi Condensed" w:eastAsia="Barlow Semi Condensed" w:hAnsi="Barlow Semi Condensed"/>
          <w:sz w:val="24"/>
          <w:szCs w:val="24"/>
        </w:rPr>
        <w:t xml:space="preserve">È escluso, per esito di verifica statistica riferito al Capitolo tredicesimo, che gli eventi stragisti italiani si addensino attorno alle scadenze del processo di integrazione europea. La sottospecie di ipotesi che su tale addensamento si fondava è dismessa.</w:t>
      </w:r>
    </w:p>
    <w:p>
      <w:pPr>
        <w:spacing w:after="120" w:line="276"/>
        <w:jc w:val="both"/>
      </w:pPr>
      <w:r>
        <w:rPr>
          <w:rFonts w:ascii="Barlow Semi Condensed" w:cs="Barlow Semi Condensed" w:eastAsia="Barlow Semi Condensed" w:hAnsi="Barlow Semi Condensed"/>
          <w:sz w:val="24"/>
          <w:szCs w:val="24"/>
        </w:rPr>
        <w:t xml:space="preserve">È il solo esito escludente della Fase, e si registra come tale.</w:t>
      </w:r>
    </w:p>
    <w:p>
      <w:pPr>
        <w:pStyle w:val="Heading2"/>
        <w:spacing w:after="100" w:before="200"/>
      </w:pPr>
      <w:r>
        <w:rPr>
          <w:rFonts w:ascii="Barlow Semi Condensed" w:cs="Barlow Semi Condensed" w:eastAsia="Barlow Semi Condensed" w:hAnsi="Barlow Semi Condensed"/>
          <w:sz w:val="24"/>
          <w:szCs w:val="24"/>
        </w:rPr>
        <w:t xml:space="preserve">Ciò che resta in stato di dubbio</w:t>
      </w:r>
    </w:p>
    <w:p>
      <w:pPr>
        <w:spacing w:after="120" w:line="276"/>
        <w:jc w:val="both"/>
      </w:pPr>
      <w:r>
        <w:rPr>
          <w:rFonts w:ascii="Barlow Semi Condensed" w:cs="Barlow Semi Condensed" w:eastAsia="Barlow Semi Condensed" w:hAnsi="Barlow Semi Condensed"/>
          <w:sz w:val="24"/>
          <w:szCs w:val="24"/>
        </w:rPr>
        <w:t xml:space="preserve">Resta in stato di dubbio il movente ultimo dell'azione, in tutte e quattro le sue formulazioni generiche.</w:t>
      </w:r>
    </w:p>
    <w:p>
      <w:pPr>
        <w:spacing w:after="120" w:line="276"/>
        <w:jc w:val="both"/>
      </w:pPr>
      <w:r>
        <w:rPr>
          <w:rFonts w:ascii="Barlow Semi Condensed" w:cs="Barlow Semi Condensed" w:eastAsia="Barlow Semi Condensed" w:hAnsi="Barlow Semi Condensed"/>
          <w:sz w:val="24"/>
          <w:szCs w:val="24"/>
        </w:rPr>
        <w:t xml:space="preserve">Resta in stato di dubbio ogni proposizione che colleghi l'influenza documentata delle potenze straniere all'atto materiale, per entrambi i versanti.</w:t>
      </w:r>
    </w:p>
    <w:p>
      <w:pPr>
        <w:spacing w:after="120" w:line="276"/>
        <w:jc w:val="both"/>
      </w:pPr>
      <w:r>
        <w:rPr>
          <w:rFonts w:ascii="Barlow Semi Condensed" w:cs="Barlow Semi Condensed" w:eastAsia="Barlow Semi Condensed" w:hAnsi="Barlow Semi Condensed"/>
          <w:sz w:val="24"/>
          <w:szCs w:val="24"/>
        </w:rPr>
        <w:t xml:space="preserve">Resta in stato di dubbio ogni proposizione che estenda al fatto del 1978 gli accertamenti relativi alle deviazioni del decennio anteriore.</w:t>
      </w:r>
    </w:p>
    <w:p>
      <w:pPr>
        <w:spacing w:after="120" w:line="276"/>
        <w:jc w:val="both"/>
      </w:pPr>
      <w:r>
        <w:rPr>
          <w:rFonts w:ascii="Barlow Semi Condensed" w:cs="Barlow Semi Condensed" w:eastAsia="Barlow Semi Condensed" w:hAnsi="Barlow Semi Condensed"/>
          <w:sz w:val="24"/>
          <w:szCs w:val="24"/>
        </w:rPr>
        <w:t xml:space="preserve">Per ciascuno di questi dubbi la condizione di scioglimento è stata indicata nel Capitolo che lo espone, e non si ripete qui.</w:t>
      </w:r>
    </w:p>
    <w:p>
      <w:pPr>
        <w:pStyle w:val="Heading2"/>
        <w:spacing w:after="100" w:before="200"/>
      </w:pPr>
      <w:r>
        <w:rPr>
          <w:rFonts w:ascii="Barlow Semi Condensed" w:cs="Barlow Semi Condensed" w:eastAsia="Barlow Semi Condensed" w:hAnsi="Barlow Semi Condensed"/>
          <w:sz w:val="24"/>
          <w:szCs w:val="24"/>
        </w:rPr>
        <w:t xml:space="preserve">Ciò che si consegna alle Fasi successive</w:t>
      </w:r>
    </w:p>
    <w:p>
      <w:pPr>
        <w:spacing w:after="120" w:line="276"/>
        <w:jc w:val="both"/>
      </w:pPr>
      <w:r>
        <w:rPr>
          <w:rFonts w:ascii="Barlow Semi Condensed" w:cs="Barlow Semi Condensed" w:eastAsia="Barlow Semi Condensed" w:hAnsi="Barlow Semi Condensed"/>
          <w:sz w:val="24"/>
          <w:szCs w:val="24"/>
        </w:rPr>
        <w:t xml:space="preserve">Si consegna alla Fase Terza lo scarto segnalato al Capitolo diciassettesimo: la misura di quanto l'azione di via Fani richiese, da confrontare con quanto il movente dichiarato spiega. Lo scarto è una domanda, e la Fase Terza ha la competenza per misurarla.</w:t>
      </w:r>
    </w:p>
    <w:p>
      <w:pPr>
        <w:spacing w:after="120" w:line="276"/>
        <w:jc w:val="both"/>
      </w:pPr>
      <w:r>
        <w:rPr>
          <w:rFonts w:ascii="Barlow Semi Condensed" w:cs="Barlow Semi Condensed" w:eastAsia="Barlow Semi Condensed" w:hAnsi="Barlow Semi Condensed"/>
          <w:sz w:val="24"/>
          <w:szCs w:val="24"/>
        </w:rPr>
        <w:t xml:space="preserve">Si consegna alla Fase Quinta la quinta evidenza della matrice, che il Capitolo diciannovesimo ha indicato come quella di maggiore potere discriminante: le omissioni accertate, da esaminare una per una, nella loro sede, con i loro estremi, e distinguendo in ciascuna ciò che è errore da ciò che non lo è.</w:t>
      </w:r>
    </w:p>
    <w:p>
      <w:pPr>
        <w:spacing w:after="120" w:line="276"/>
        <w:jc w:val="both"/>
      </w:pPr>
      <w:r>
        <w:rPr>
          <w:rFonts w:ascii="Barlow Semi Condensed" w:cs="Barlow Semi Condensed" w:eastAsia="Barlow Semi Condensed" w:hAnsi="Barlow Semi Condensed"/>
          <w:sz w:val="24"/>
          <w:szCs w:val="24"/>
        </w:rPr>
        <w:t xml:space="preserve">Si consegna alla Fase Sesta la distinzione fra i tre livelli di responsabilità — chi eseguì, chi organizzò, chi volle — che questa Fase ha tenuti indistinti perché trattava le ragioni e non gli attori.</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14 agosto 2026. Cantiere: Fase Seconda, le ragioni. Materia: quadro interno, quadro internazionale, condizione del paese, accertamenti sul decennio anteriore, movente dichiarato, movente attribuito, matrice delle ipotesi concorrenti. Esito: sei acquisizioni in stato di sciolto quanto al contesto; una esclusione; quattro generi di ipotesi tutti compatibili con le evidenze disponibili e nessuno provato; individuazione del terreno di massimo rendimento istruttorio nelle omissioni accertate.</w:t>
      </w:r>
    </w:p>
    <w:p>
      <w:pPr>
        <w:spacing w:after="120" w:line="276"/>
        <w:jc w:val="both"/>
      </w:pPr>
      <w:r>
        <w:rPr>
          <w:rFonts w:ascii="Barlow Semi Condensed" w:cs="Barlow Semi Condensed" w:eastAsia="Barlow Semi Condensed" w:hAnsi="Barlow Semi Condensed"/>
          <w:sz w:val="24"/>
          <w:szCs w:val="24"/>
        </w:rPr>
        <w:t xml:space="preserve">Riga di esito nullo. Nessun atto è stato reperito che colleghi l'influenza straniera documentata all'atto materiale, per nessuno dei due versanti. Tredici archivi remoti rilevanti restano non interrogabili con gli strumenti disponibili. Il silenzio di tali archivi non è confermativo di alcuna ipotesi ed è iscritto in tavola come lacuna dichiarata.</w:t>
      </w:r>
    </w:p>
    <w:p>
      <w:pPr>
        <w:spacing w:after="120" w:line="276"/>
        <w:jc w:val="both"/>
      </w:pPr>
      <w:r>
        <w:rPr>
          <w:rFonts w:ascii="Barlow Semi Condensed" w:cs="Barlow Semi Condensed" w:eastAsia="Barlow Semi Condensed" w:hAnsi="Barlow Semi Condensed"/>
          <w:sz w:val="24"/>
          <w:szCs w:val="24"/>
        </w:rPr>
        <w:t xml:space="preserve">Riga di avvertenza al lettore. Chi abbia letto questa Fase attendendosene il perché non lo ha trovato, e non lo ha trovato perché allo stato degli atti non c'è. Se ne è ricavato invece qualcosa di meno appagante e di più utile: la mappa delle ipotesi possibili, la sola esclusione che le evidenze consentano, e l'indicazione precisa del punto nel quale conviene scavare. È ciò che una Fase sulle ragioni può onestamente produrre; e chi offra di più, in questa materia, offre sé stesso e non le fonti.</w:t>
      </w:r>
    </w:p>
    <w:p>
      <w:pPr>
        <w:pStyle w:val="Heading2"/>
        <w:spacing w:after="100" w:before="200"/>
      </w:pPr>
      <w:r>
        <w:rPr>
          <w:rFonts w:ascii="Barlow Semi Condensed" w:cs="Barlow Semi Condensed" w:eastAsia="Barlow Semi Condensed" w:hAnsi="Barlow Semi Condensed"/>
          <w:sz w:val="24"/>
          <w:szCs w:val="24"/>
        </w:rPr>
        <w:t xml:space="preserve">FASE TERZA — IL FATTO</w:t>
      </w:r>
    </w:p>
    <w:p>
      <w:pPr>
        <w:spacing w:after="120" w:line="276"/>
        <w:jc w:val="both"/>
      </w:pPr>
      <w:r>
        <w:rPr>
          <w:rFonts w:ascii="Barlow Semi Condensed" w:cs="Barlow Semi Condensed" w:eastAsia="Barlow Semi Condensed" w:hAnsi="Barlow Semi Condensed"/>
          <w:sz w:val="24"/>
          <w:szCs w:val="24"/>
        </w:rPr>
        <w:t xml:space="preserve">Dove si ricostruisce l'agguato del 16 marzo 1978, i cinquantacinque giorni e il rinvenimento del 9 maggio 1978, distinguendo in ogni punto il rilievo materiale dalla dichiarazione.</w:t>
      </w:r>
    </w:p>
    <w:p>
      <w:pPr>
        <w:pStyle w:val="Heading2"/>
        <w:spacing w:after="100" w:before="200"/>
      </w:pPr>
      <w:r>
        <w:rPr>
          <w:rFonts w:ascii="Barlow Semi Condensed" w:cs="Barlow Semi Condensed" w:eastAsia="Barlow Semi Condensed" w:hAnsi="Barlow Semi Condensed"/>
          <w:sz w:val="24"/>
          <w:szCs w:val="24"/>
        </w:rPr>
        <w:t xml:space="preserve">Capitolo ventunesimo — L'oggetto della Fase e la disciplina della ricostruzione materiale</w:t>
      </w:r>
    </w:p>
    <w:p>
      <w:pPr>
        <w:spacing w:after="120" w:line="276"/>
        <w:jc w:val="both"/>
      </w:pPr>
      <w:r>
        <w:rPr>
          <w:rFonts w:ascii="Barlow Semi Condensed" w:cs="Barlow Semi Condensed" w:eastAsia="Barlow Semi Condensed" w:hAnsi="Barlow Semi Condensed"/>
          <w:sz w:val="24"/>
          <w:szCs w:val="24"/>
        </w:rPr>
        <w:t xml:space="preserve">Questa Fase tratta il fatto: l'agguato del 16 marzo 1978, i cinquantacinque giorni di prigionia, il rinvenimento del 9 maggio 1978. È la Fase del massimo carico documentale delle sette, e per questo la sua disciplina è diversa da quella della Fase precedente.</w:t>
      </w:r>
    </w:p>
    <w:p>
      <w:pPr>
        <w:pStyle w:val="Heading2"/>
        <w:spacing w:after="100" w:before="200"/>
      </w:pPr>
      <w:r>
        <w:rPr>
          <w:rFonts w:ascii="Barlow Semi Condensed" w:cs="Barlow Semi Condensed" w:eastAsia="Barlow Semi Condensed" w:hAnsi="Barlow Semi Condensed"/>
          <w:sz w:val="24"/>
          <w:szCs w:val="24"/>
        </w:rPr>
        <w:t xml:space="preserve">La differenza rispetto alla Fase Seconda</w:t>
      </w:r>
    </w:p>
    <w:p>
      <w:pPr>
        <w:spacing w:after="120" w:line="276"/>
        <w:jc w:val="both"/>
      </w:pPr>
      <w:r>
        <w:rPr>
          <w:rFonts w:ascii="Barlow Semi Condensed" w:cs="Barlow Semi Condensed" w:eastAsia="Barlow Semi Condensed" w:hAnsi="Barlow Semi Condensed"/>
          <w:sz w:val="24"/>
          <w:szCs w:val="24"/>
        </w:rPr>
        <w:t xml:space="preserve">Nella Fase delle ragioni il pericolo era il vuoto: mancando il documento sul movente, la congettura entrava a riempirlo. Qui il pericolo è opposto. Il documento c'è, e c'è in abbondanza: perizie balistiche, rilievi, verbali, dichiarazioni, sentenze, relazioni. La tentazione non è di colmare un vuoto, ma di far dire al documento più di quanto esso dica.</w:t>
      </w:r>
    </w:p>
    <w:p>
      <w:pPr>
        <w:spacing w:after="120" w:line="276"/>
        <w:jc w:val="both"/>
      </w:pPr>
      <w:r>
        <w:rPr>
          <w:rFonts w:ascii="Barlow Semi Condensed" w:cs="Barlow Semi Condensed" w:eastAsia="Barlow Semi Condensed" w:hAnsi="Barlow Semi Condensed"/>
          <w:sz w:val="24"/>
          <w:szCs w:val="24"/>
        </w:rPr>
        <w:t xml:space="preserve">Il meccanismo è questo. Una perizia stabilisce che furono esplosi un certo numero di colpi e che una parte di essi proviene da una sola arma. Il dato è preciso e verificabile. Da esso si passa, senza avvedersene, a una proposizione sul grado di addestramento di chi impugnava quell'arma; e da questa a una proposizione sulla provenienza di quell'addestramento; e da questa a una proposizione sull'ambiente che lo impartì. Nessuno di questi passaggi è documentato dalla perizia, che si limita a contare bossoli e a identificare canne. Ma ciascuno appare come una lettura del dato, e non come una aggiunta ad esso.</w:t>
      </w:r>
    </w:p>
    <w:p>
      <w:pPr>
        <w:spacing w:after="120" w:line="276"/>
        <w:jc w:val="both"/>
      </w:pPr>
      <w:r>
        <w:rPr>
          <w:rFonts w:ascii="Barlow Semi Condensed" w:cs="Barlow Semi Condensed" w:eastAsia="Barlow Semi Condensed" w:hAnsi="Barlow Semi Condensed"/>
          <w:sz w:val="24"/>
          <w:szCs w:val="24"/>
        </w:rPr>
        <w:t xml:space="preserve">La disciplina di questa Fase consiste dunque nel separare, per ciascun elemento, tre livelli che il discorso corrente confonde: che cosa il rilievo attesta; che cosa la perizia ne inferisce; che cosa il ricostruttore vi aggiunge.</w:t>
      </w:r>
    </w:p>
    <w:p>
      <w:pPr>
        <w:pStyle w:val="Heading2"/>
        <w:spacing w:after="100" w:before="200"/>
      </w:pPr>
      <w:r>
        <w:rPr>
          <w:rFonts w:ascii="Barlow Semi Condensed" w:cs="Barlow Semi Condensed" w:eastAsia="Barlow Semi Condensed" w:hAnsi="Barlow Semi Condensed"/>
          <w:sz w:val="24"/>
          <w:szCs w:val="24"/>
        </w:rPr>
        <w:t xml:space="preserve">Le tre domande di ogni elemento</w:t>
      </w:r>
    </w:p>
    <w:p>
      <w:pPr>
        <w:spacing w:after="120" w:line="276"/>
        <w:jc w:val="both"/>
      </w:pPr>
      <w:r>
        <w:rPr>
          <w:rFonts w:ascii="Barlow Semi Condensed" w:cs="Barlow Semi Condensed" w:eastAsia="Barlow Semi Condensed" w:hAnsi="Barlow Semi Condensed"/>
          <w:sz w:val="24"/>
          <w:szCs w:val="24"/>
        </w:rPr>
        <w:t xml:space="preserve">Ogni elemento materiale sarà dunque esaminato ponendo tre domande nell'ordine.</w:t>
      </w:r>
    </w:p>
    <w:p>
      <w:pPr>
        <w:spacing w:after="120" w:line="276"/>
        <w:jc w:val="both"/>
      </w:pPr>
      <w:r>
        <w:rPr>
          <w:rFonts w:ascii="Barlow Semi Condensed" w:cs="Barlow Semi Condensed" w:eastAsia="Barlow Semi Condensed" w:hAnsi="Barlow Semi Condensed"/>
          <w:sz w:val="24"/>
          <w:szCs w:val="24"/>
        </w:rPr>
        <w:t xml:space="preserve">Prima domanda: che cosa è stato rilevato? Un bossolo in una posizione, un foro con una direzione, un veicolo con una collocazione, un corpo con determinate lesioni. Il rilievo è il livello più solido, e anche il più povero: esso non spiega nulla, constata.</w:t>
      </w:r>
    </w:p>
    <w:p>
      <w:pPr>
        <w:spacing w:after="120" w:line="276"/>
        <w:jc w:val="both"/>
      </w:pPr>
      <w:r>
        <w:rPr>
          <w:rFonts w:ascii="Barlow Semi Condensed" w:cs="Barlow Semi Condensed" w:eastAsia="Barlow Semi Condensed" w:hAnsi="Barlow Semi Condensed"/>
          <w:sz w:val="24"/>
          <w:szCs w:val="24"/>
        </w:rPr>
        <w:t xml:space="preserve">Seconda domanda: che cosa ne è stato inferito in sede tecnica, e con quale grado di certezza dichiarato dal perito? Una perizia che affermi la compatibilità fra un bossolo e un'arma dice una cosa; una che affermi l'identità dice cosa diversa e più forte. La differenza è dichiarata dai periti e viene quasi sempre perduta nella divulgazione.</w:t>
      </w:r>
    </w:p>
    <w:p>
      <w:pPr>
        <w:spacing w:after="120" w:line="276"/>
        <w:jc w:val="both"/>
      </w:pPr>
      <w:r>
        <w:rPr>
          <w:rFonts w:ascii="Barlow Semi Condensed" w:cs="Barlow Semi Condensed" w:eastAsia="Barlow Semi Condensed" w:hAnsi="Barlow Semi Condensed"/>
          <w:sz w:val="24"/>
          <w:szCs w:val="24"/>
        </w:rPr>
        <w:t xml:space="preserve">Terza domanda: che cosa è stato aggiunto dai ricostruttori, e su quale base? Qui si colloca la maggior parte di ciò che il lettore comune ritiene accertato del caso Moro.</w:t>
      </w:r>
    </w:p>
    <w:p>
      <w:pPr>
        <w:pStyle w:val="Heading2"/>
        <w:spacing w:after="100" w:before="200"/>
      </w:pPr>
      <w:r>
        <w:rPr>
          <w:rFonts w:ascii="Barlow Semi Condensed" w:cs="Barlow Semi Condensed" w:eastAsia="Barlow Semi Condensed" w:hAnsi="Barlow Semi Condensed"/>
          <w:sz w:val="24"/>
          <w:szCs w:val="24"/>
        </w:rPr>
        <w:t xml:space="preserve">Le revisioni</w:t>
      </w:r>
    </w:p>
    <w:p>
      <w:pPr>
        <w:spacing w:after="120" w:line="276"/>
        <w:jc w:val="both"/>
      </w:pPr>
      <w:r>
        <w:rPr>
          <w:rFonts w:ascii="Barlow Semi Condensed" w:cs="Barlow Semi Condensed" w:eastAsia="Barlow Semi Condensed" w:hAnsi="Barlow Semi Condensed"/>
          <w:sz w:val="24"/>
          <w:szCs w:val="24"/>
        </w:rPr>
        <w:t xml:space="preserve">Occorre premettere una avvertenza che riguarda l'intera Fase e che va detta subito, perché altrimenti il lettore si sorprenderà.</w:t>
      </w:r>
    </w:p>
    <w:p>
      <w:pPr>
        <w:spacing w:after="120" w:line="276"/>
        <w:jc w:val="both"/>
      </w:pPr>
      <w:r>
        <w:rPr>
          <w:rFonts w:ascii="Barlow Semi Condensed" w:cs="Barlow Semi Condensed" w:eastAsia="Barlow Semi Condensed" w:hAnsi="Barlow Semi Condensed"/>
          <w:sz w:val="24"/>
          <w:szCs w:val="24"/>
        </w:rPr>
        <w:t xml:space="preserve">La ricostruzione materiale di questo caso non è stabile. Essa è stata rivista più volte, nell'arco di quasi cinquant'anni, e le revisioni non hanno riguardato dettagli marginali: hanno riguardato il numero degli agenti presenti sul luogo dell'agguato, l'identità di chi esplose i colpi, l'identità di chi custodì il prigioniero, l'identità di chi lo uccise. Alcune revisioni sono derivate da dichiarazioni successive di persone coinvolte; altre da nuove perizie; altre dal rinvenimento di documenti.</w:t>
      </w:r>
    </w:p>
    <w:p>
      <w:pPr>
        <w:spacing w:after="120" w:line="276"/>
        <w:jc w:val="both"/>
      </w:pPr>
      <w:r>
        <w:rPr>
          <w:rFonts w:ascii="Barlow Semi Condensed" w:cs="Barlow Semi Condensed" w:eastAsia="Barlow Semi Condensed" w:hAnsi="Barlow Semi Condensed"/>
          <w:sz w:val="24"/>
          <w:szCs w:val="24"/>
        </w:rPr>
        <w:t xml:space="preserve">Questo dato va registrato per sé stesso, prima di ogni particolare, perché ha un significato metodologico. Una ricostruzione rivista quattro volte in quarant'anni non è una ricostruzione instabile per difetto degli inquirenti: è una ricostruzione che poggia, in parte considerevole, sulle dichiarazioni di chi partecipò ai fatti, e le dichiarazioni di chi partecipò ai fatti sono fonti interessate. Ogni volta che una di esse è mutata, la ricostruzione è mutata con essa.</w:t>
      </w:r>
    </w:p>
    <w:p>
      <w:pPr>
        <w:spacing w:after="120" w:line="276"/>
        <w:jc w:val="both"/>
      </w:pPr>
      <w:r>
        <w:rPr>
          <w:rFonts w:ascii="Barlow Semi Condensed" w:cs="Barlow Semi Condensed" w:eastAsia="Barlow Semi Condensed" w:hAnsi="Barlow Semi Condensed"/>
          <w:sz w:val="24"/>
          <w:szCs w:val="24"/>
        </w:rPr>
        <w:t xml:space="preserve">Ne segue una regola che questa Fase osserverà: si distingue costantemente ciò che poggia su rilievo materiale da ciò che poggia su dichiarazione. Il primo non muta quando muta il dichiarante; il secondo sì.</w:t>
      </w:r>
    </w:p>
    <w:p>
      <w:pPr>
        <w:pStyle w:val="Heading2"/>
        <w:spacing w:after="100" w:before="200"/>
      </w:pPr>
      <w:r>
        <w:rPr>
          <w:rFonts w:ascii="Barlow Semi Condensed" w:cs="Barlow Semi Condensed" w:eastAsia="Barlow Semi Condensed" w:hAnsi="Barlow Semi Condensed"/>
          <w:sz w:val="24"/>
          <w:szCs w:val="24"/>
        </w:rPr>
        <w:t xml:space="preserve">Che cosa la Fase consegna</w:t>
      </w:r>
    </w:p>
    <w:p>
      <w:pPr>
        <w:spacing w:after="120" w:line="276"/>
        <w:jc w:val="both"/>
      </w:pPr>
      <w:r>
        <w:rPr>
          <w:rFonts w:ascii="Barlow Semi Condensed" w:cs="Barlow Semi Condensed" w:eastAsia="Barlow Semi Condensed" w:hAnsi="Barlow Semi Condensed"/>
          <w:sz w:val="24"/>
          <w:szCs w:val="24"/>
        </w:rPr>
        <w:t xml:space="preserve">La Fase Terza consegna alle successive due cose.</w:t>
      </w:r>
    </w:p>
    <w:p>
      <w:pPr>
        <w:spacing w:after="120" w:line="276"/>
        <w:jc w:val="both"/>
      </w:pPr>
      <w:r>
        <w:rPr>
          <w:rFonts w:ascii="Barlow Semi Condensed" w:cs="Barlow Semi Condensed" w:eastAsia="Barlow Semi Condensed" w:hAnsi="Barlow Semi Condensed"/>
          <w:sz w:val="24"/>
          <w:szCs w:val="24"/>
        </w:rPr>
        <w:t xml:space="preserve">La prima è la ricostruzione dei fatti nella misura in cui è accertata, con la distinzione dei livelli e la segnalazione dei punti rivisti.</w:t>
      </w:r>
    </w:p>
    <w:p>
      <w:pPr>
        <w:spacing w:after="120" w:line="276"/>
        <w:jc w:val="both"/>
      </w:pPr>
      <w:r>
        <w:rPr>
          <w:rFonts w:ascii="Barlow Semi Condensed" w:cs="Barlow Semi Condensed" w:eastAsia="Barlow Semi Condensed" w:hAnsi="Barlow Semi Condensed"/>
          <w:sz w:val="24"/>
          <w:szCs w:val="24"/>
        </w:rPr>
        <w:t xml:space="preserve">La seconda è la misura dello scarto che la Fase Seconda le ha consegnato al Capitolo diciassettesimo: quanto l'azione richiese, confrontato con quanto il movente dichiarato spiega. Lo scarto sarà misurato nel Capitolo ventiquattresimo, e sarà consegnato alle Fasi Quinta e Sesta senza essere interpretato, perché la sua interpretazione appartiene a quelle.</w:t>
      </w:r>
    </w:p>
    <w:p>
      <w:pPr>
        <w:pStyle w:val="Heading2"/>
        <w:spacing w:after="100" w:before="200"/>
      </w:pPr>
      <w:r>
        <w:rPr>
          <w:rFonts w:ascii="Barlow Semi Condensed" w:cs="Barlow Semi Condensed" w:eastAsia="Barlow Semi Condensed" w:hAnsi="Barlow Semi Condensed"/>
          <w:sz w:val="24"/>
          <w:szCs w:val="24"/>
        </w:rPr>
        <w:t xml:space="preserve">Capitolo ventiduesimo — La mattina del 16 marzo 1978: gli uomini, i veicoli, il percorso</w:t>
      </w:r>
    </w:p>
    <w:p>
      <w:pPr>
        <w:pStyle w:val="Heading2"/>
        <w:spacing w:after="100" w:before="200"/>
      </w:pPr>
      <w:r>
        <w:rPr>
          <w:rFonts w:ascii="Barlow Semi Condensed" w:cs="Barlow Semi Condensed" w:eastAsia="Barlow Semi Condensed" w:hAnsi="Barlow Semi Condensed"/>
          <w:sz w:val="24"/>
          <w:szCs w:val="24"/>
        </w:rPr>
        <w:t xml:space="preserve">Gli uomini</w:t>
      </w:r>
    </w:p>
    <w:p>
      <w:pPr>
        <w:spacing w:after="120" w:line="276"/>
        <w:jc w:val="both"/>
      </w:pPr>
      <w:r>
        <w:rPr>
          <w:rFonts w:ascii="Barlow Semi Condensed" w:cs="Barlow Semi Condensed" w:eastAsia="Barlow Semi Condensed" w:hAnsi="Barlow Semi Condensed"/>
          <w:sz w:val="24"/>
          <w:szCs w:val="24"/>
        </w:rPr>
        <w:t xml:space="preserve">Cinque uomini componevano il servizio di scorta e di guida quella mattina, e i loro nomi sono qui scritti per intero.</w:t>
      </w:r>
    </w:p>
    <w:p>
      <w:pPr>
        <w:spacing w:after="120" w:line="276"/>
        <w:jc w:val="both"/>
      </w:pPr>
      <w:r>
        <w:rPr>
          <w:rFonts w:ascii="Barlow Semi Condensed" w:cs="Barlow Semi Condensed" w:eastAsia="Barlow Semi Condensed" w:hAnsi="Barlow Semi Condensed"/>
          <w:sz w:val="24"/>
          <w:szCs w:val="24"/>
        </w:rPr>
        <w:t xml:space="preserve">Domenico Ricci, appuntato dei Carabinieri, era l'autista della vettura del Presidente. Era al servizio di Aldo Moro da lungo tempo, e conosceva i percorsi, le abitudini e le esigenze del protetto.</w:t>
      </w:r>
    </w:p>
    <w:p>
      <w:pPr>
        <w:spacing w:after="120" w:line="276"/>
        <w:jc w:val="both"/>
      </w:pPr>
      <w:r>
        <w:rPr>
          <w:rFonts w:ascii="Barlow Semi Condensed" w:cs="Barlow Semi Condensed" w:eastAsia="Barlow Semi Condensed" w:hAnsi="Barlow Semi Condensed"/>
          <w:sz w:val="24"/>
          <w:szCs w:val="24"/>
        </w:rPr>
        <w:t xml:space="preserve">Oreste Leonardi, maresciallo dei Carabinieri, era il capo scorta. Sedeva nella vettura del Presidente. Anch'egli era in servizio presso Moro da anni.</w:t>
      </w:r>
    </w:p>
    <w:p>
      <w:pPr>
        <w:spacing w:after="120" w:line="276"/>
        <w:jc w:val="both"/>
      </w:pPr>
      <w:r>
        <w:rPr>
          <w:rFonts w:ascii="Barlow Semi Condensed" w:cs="Barlow Semi Condensed" w:eastAsia="Barlow Semi Condensed" w:hAnsi="Barlow Semi Condensed"/>
          <w:sz w:val="24"/>
          <w:szCs w:val="24"/>
        </w:rPr>
        <w:t xml:space="preserve">Giulio Rivera, carabiniere, era l'autista della vettura di scorta.</w:t>
      </w:r>
    </w:p>
    <w:p>
      <w:pPr>
        <w:spacing w:after="120" w:line="276"/>
        <w:jc w:val="both"/>
      </w:pPr>
      <w:r>
        <w:rPr>
          <w:rFonts w:ascii="Barlow Semi Condensed" w:cs="Barlow Semi Condensed" w:eastAsia="Barlow Semi Condensed" w:hAnsi="Barlow Semi Condensed"/>
          <w:sz w:val="24"/>
          <w:szCs w:val="24"/>
        </w:rPr>
        <w:t xml:space="preserve">Raffaele Iozzino, agente di pubblica sicurezza, era nella vettura di scorta.</w:t>
      </w:r>
    </w:p>
    <w:p>
      <w:pPr>
        <w:spacing w:after="120" w:line="276"/>
        <w:jc w:val="both"/>
      </w:pPr>
      <w:r>
        <w:rPr>
          <w:rFonts w:ascii="Barlow Semi Condensed" w:cs="Barlow Semi Condensed" w:eastAsia="Barlow Semi Condensed" w:hAnsi="Barlow Semi Condensed"/>
          <w:sz w:val="24"/>
          <w:szCs w:val="24"/>
        </w:rPr>
        <w:t xml:space="preserve">Francesco Zizzi, vice brigadiere di pubblica sicurezza, era anch'egli nella vettura di scorta. Prestava servizio presso quella scorta da poco tempo.</w:t>
      </w:r>
    </w:p>
    <w:p>
      <w:pPr>
        <w:spacing w:after="120" w:line="276"/>
        <w:jc w:val="both"/>
      </w:pPr>
      <w:r>
        <w:rPr>
          <w:rFonts w:ascii="Barlow Semi Condensed" w:cs="Barlow Semi Condensed" w:eastAsia="Barlow Semi Condensed" w:hAnsi="Barlow Semi Condensed"/>
          <w:sz w:val="24"/>
          <w:szCs w:val="24"/>
        </w:rPr>
        <w:t xml:space="preserve">Quattro di essi morirono sul luogo. Zizzi, gravemente ferito, morì poco dopo in ospedale.</w:t>
      </w:r>
    </w:p>
    <w:p>
      <w:pPr>
        <w:pStyle w:val="Heading2"/>
        <w:spacing w:after="100" w:before="200"/>
      </w:pPr>
      <w:r>
        <w:rPr>
          <w:rFonts w:ascii="Barlow Semi Condensed" w:cs="Barlow Semi Condensed" w:eastAsia="Barlow Semi Condensed" w:hAnsi="Barlow Semi Condensed"/>
          <w:sz w:val="24"/>
          <w:szCs w:val="24"/>
        </w:rPr>
        <w:t xml:space="preserve">I veicoli</w:t>
      </w:r>
    </w:p>
    <w:p>
      <w:pPr>
        <w:spacing w:after="120" w:line="276"/>
        <w:jc w:val="both"/>
      </w:pPr>
      <w:r>
        <w:rPr>
          <w:rFonts w:ascii="Barlow Semi Condensed" w:cs="Barlow Semi Condensed" w:eastAsia="Barlow Semi Condensed" w:hAnsi="Barlow Semi Condensed"/>
          <w:sz w:val="24"/>
          <w:szCs w:val="24"/>
        </w:rPr>
        <w:t xml:space="preserve">La vettura del Presidente era una Fiat 130 di colore blu. La vettura di scorta era una Alfa Romeo Alfetta, che seguiva a breve distanza.</w:t>
      </w:r>
    </w:p>
    <w:p>
      <w:pPr>
        <w:spacing w:after="120" w:line="276"/>
        <w:jc w:val="both"/>
      </w:pPr>
      <w:r>
        <w:rPr>
          <w:rFonts w:ascii="Barlow Semi Condensed" w:cs="Barlow Semi Condensed" w:eastAsia="Barlow Semi Condensed" w:hAnsi="Barlow Semi Condensed"/>
          <w:sz w:val="24"/>
          <w:szCs w:val="24"/>
        </w:rPr>
        <w:t xml:space="preserve">Nessuna delle due era blindata. La circostanza è accertata ed è stata oggetto di valutazione critica in sede parlamentare, unitamente alla composizione e all'armamento del servizio di scorta.</w:t>
      </w:r>
    </w:p>
    <w:p>
      <w:pPr>
        <w:pStyle w:val="Heading2"/>
        <w:spacing w:after="100" w:before="200"/>
      </w:pPr>
      <w:r>
        <w:rPr>
          <w:rFonts w:ascii="Barlow Semi Condensed" w:cs="Barlow Semi Condensed" w:eastAsia="Barlow Semi Condensed" w:hAnsi="Barlow Semi Condensed"/>
          <w:sz w:val="24"/>
          <w:szCs w:val="24"/>
        </w:rPr>
        <w:t xml:space="preserve">Il percorso</w:t>
      </w:r>
    </w:p>
    <w:p>
      <w:pPr>
        <w:spacing w:after="120" w:line="276"/>
        <w:jc w:val="both"/>
      </w:pPr>
      <w:r>
        <w:rPr>
          <w:rFonts w:ascii="Barlow Semi Condensed" w:cs="Barlow Semi Condensed" w:eastAsia="Barlow Semi Condensed" w:hAnsi="Barlow Semi Condensed"/>
          <w:sz w:val="24"/>
          <w:szCs w:val="24"/>
        </w:rPr>
        <w:t xml:space="preserve">Moro risiedeva in via del Forte Trionfale, nel quartiere della Camilluccia. Il percorso di quella mattina lo avrebbe condotto verso il centro; la sua prima destinazione consueta era una chiesa del quartiere, e da lì avrebbe proseguito verso Montecitorio, dove alle ore antimeridiane era attesa la presentazione del nuovo governo alle Camere.</w:t>
      </w:r>
    </w:p>
    <w:p>
      <w:pPr>
        <w:spacing w:after="120" w:line="276"/>
        <w:jc w:val="both"/>
      </w:pPr>
      <w:r>
        <w:rPr>
          <w:rFonts w:ascii="Barlow Semi Condensed" w:cs="Barlow Semi Condensed" w:eastAsia="Barlow Semi Condensed" w:hAnsi="Barlow Semi Condensed"/>
          <w:sz w:val="24"/>
          <w:szCs w:val="24"/>
        </w:rPr>
        <w:t xml:space="preserve">L'itinerario passava per via Mario Fani. Il fatto che l'itinerario fosse ripetitivo è accertato, ed è uno degli elementi che le sedi istituzionali hanno valutato in ordine all'adeguatezza delle misure di protezione.</w:t>
      </w:r>
    </w:p>
    <w:p>
      <w:pPr>
        <w:pStyle w:val="Heading2"/>
        <w:spacing w:after="100" w:before="200"/>
      </w:pPr>
      <w:r>
        <w:rPr>
          <w:rFonts w:ascii="Barlow Semi Condensed" w:cs="Barlow Semi Condensed" w:eastAsia="Barlow Semi Condensed" w:hAnsi="Barlow Semi Condensed"/>
          <w:sz w:val="24"/>
          <w:szCs w:val="24"/>
        </w:rPr>
        <w:t xml:space="preserve">Che cosa è accertato e che cosa no</w:t>
      </w:r>
    </w:p>
    <w:p>
      <w:pPr>
        <w:spacing w:after="120" w:line="276"/>
        <w:jc w:val="both"/>
      </w:pPr>
      <w:r>
        <w:rPr>
          <w:rFonts w:ascii="Barlow Semi Condensed" w:cs="Barlow Semi Condensed" w:eastAsia="Barlow Semi Condensed" w:hAnsi="Barlow Semi Condensed"/>
          <w:sz w:val="24"/>
          <w:szCs w:val="24"/>
        </w:rPr>
        <w:t xml:space="preserve">È accertato: la composizione del servizio, l'identità dei suoi componenti, il tipo dei veicoli, l'assenza di blindatura, la destinazione della giornata, la ripetitività dell'itinerario.</w:t>
      </w:r>
    </w:p>
    <w:p>
      <w:pPr>
        <w:spacing w:after="120" w:line="276"/>
        <w:jc w:val="both"/>
      </w:pPr>
      <w:r>
        <w:rPr>
          <w:rFonts w:ascii="Barlow Semi Condensed" w:cs="Barlow Semi Condensed" w:eastAsia="Barlow Semi Condensed" w:hAnsi="Barlow Semi Condensed"/>
          <w:sz w:val="24"/>
          <w:szCs w:val="24"/>
        </w:rPr>
        <w:t xml:space="preserve">Non è accertato in modo pacifico, e sarà segnalato nel Capitolo seguente ove rilevi, il grado di conoscenza che gli attaccanti avevano delle abitudini del protetto, e la fonte di tale conoscenza. Su questo punto sono state formulate ipotesi che appartengono alla Fase Sesta.</w:t>
      </w:r>
    </w:p>
    <w:p>
      <w:pPr>
        <w:pStyle w:val="Heading2"/>
        <w:spacing w:after="100" w:before="200"/>
      </w:pPr>
      <w:r>
        <w:rPr>
          <w:rFonts w:ascii="Barlow Semi Condensed" w:cs="Barlow Semi Condensed" w:eastAsia="Barlow Semi Condensed" w:hAnsi="Barlow Semi Condensed"/>
          <w:sz w:val="24"/>
          <w:szCs w:val="24"/>
        </w:rPr>
        <w:t xml:space="preserve">Una nota che non è di metodo</w:t>
      </w:r>
    </w:p>
    <w:p>
      <w:pPr>
        <w:spacing w:after="120" w:line="276"/>
        <w:jc w:val="both"/>
      </w:pPr>
      <w:r>
        <w:rPr>
          <w:rFonts w:ascii="Barlow Semi Condensed" w:cs="Barlow Semi Condensed" w:eastAsia="Barlow Semi Condensed" w:hAnsi="Barlow Semi Condensed"/>
          <w:sz w:val="24"/>
          <w:szCs w:val="24"/>
        </w:rPr>
        <w:t xml:space="preserve">Sia consentita, in questo solo punto della Fase, una osservazione che non serve alla prova.</w:t>
      </w:r>
    </w:p>
    <w:p>
      <w:pPr>
        <w:spacing w:after="120" w:line="276"/>
        <w:jc w:val="both"/>
      </w:pPr>
      <w:r>
        <w:rPr>
          <w:rFonts w:ascii="Barlow Semi Condensed" w:cs="Barlow Semi Condensed" w:eastAsia="Barlow Semi Condensed" w:hAnsi="Barlow Semi Condensed"/>
          <w:sz w:val="24"/>
          <w:szCs w:val="24"/>
        </w:rPr>
        <w:t xml:space="preserve">Di questi cinque uomini si parla, nella letteratura sul caso, quasi esclusivamente come di un dato tecnico: la scorta, il suo armamento, la sua reattività, il tempo di reazione. Essi furono invece cinque persone che quella mattina andavano al lavoro, che avevano famiglie, e che morirono perché si trovavano fra chi voleva prendere un uomo e quell'uomo. Il caso porta il nome del solo rapito, ed è comprensibile che sia così; ma la sproporzione fra l'attenzione dedicata a lui e quella dedicata a loro è una sproporzione, e conviene averne coscienza mentre si conta e si misura.</w:t>
      </w:r>
    </w:p>
    <w:p>
      <w:pPr>
        <w:spacing w:after="120" w:line="276"/>
        <w:jc w:val="both"/>
      </w:pPr>
      <w:r>
        <w:rPr>
          <w:rFonts w:ascii="Barlow Semi Condensed" w:cs="Barlow Semi Condensed" w:eastAsia="Barlow Semi Condensed" w:hAnsi="Barlow Semi Condensed"/>
          <w:sz w:val="24"/>
          <w:szCs w:val="24"/>
        </w:rPr>
        <w:t xml:space="preserve">Fatta questa osservazione, l'opera torna al proprio ufficio, che è contare e misurare.</w:t>
      </w:r>
    </w:p>
    <w:p>
      <w:pPr>
        <w:pStyle w:val="Heading2"/>
        <w:spacing w:after="100" w:before="200"/>
      </w:pPr>
      <w:r>
        <w:rPr>
          <w:rFonts w:ascii="Barlow Semi Condensed" w:cs="Barlow Semi Condensed" w:eastAsia="Barlow Semi Condensed" w:hAnsi="Barlow Semi Condensed"/>
          <w:sz w:val="24"/>
          <w:szCs w:val="24"/>
        </w:rPr>
        <w:t xml:space="preserve">Capitolo ventitreesimo — L'agguato: la dinamica accertata</w:t>
      </w:r>
    </w:p>
    <w:p>
      <w:pPr>
        <w:pStyle w:val="Heading2"/>
        <w:spacing w:after="100" w:before="200"/>
      </w:pPr>
      <w:r>
        <w:rPr>
          <w:rFonts w:ascii="Barlow Semi Condensed" w:cs="Barlow Semi Condensed" w:eastAsia="Barlow Semi Condensed" w:hAnsi="Barlow Semi Condensed"/>
          <w:sz w:val="24"/>
          <w:szCs w:val="24"/>
        </w:rPr>
        <w:t xml:space="preserve">Il luogo</w:t>
      </w:r>
    </w:p>
    <w:p>
      <w:pPr>
        <w:spacing w:after="120" w:line="276"/>
        <w:jc w:val="both"/>
      </w:pPr>
      <w:r>
        <w:rPr>
          <w:rFonts w:ascii="Barlow Semi Condensed" w:cs="Barlow Semi Condensed" w:eastAsia="Barlow Semi Condensed" w:hAnsi="Barlow Semi Condensed"/>
          <w:sz w:val="24"/>
          <w:szCs w:val="24"/>
        </w:rPr>
        <w:t xml:space="preserve">L'azione si svolse all'incrocio fra via Mario Fani e via Stresa, nel quartiere Trionfale di Roma. Il luogo presenta caratteristiche che le perizie hanno considerato rilevanti: una strada in leggera discesa, un incrocio con obbligo di arresto, la presenza di siepi e di veicoli in sosta che consentivano di attendere senza essere visti.</w:t>
      </w:r>
    </w:p>
    <w:p>
      <w:pPr>
        <w:pStyle w:val="Heading2"/>
        <w:spacing w:after="100" w:before="200"/>
      </w:pPr>
      <w:r>
        <w:rPr>
          <w:rFonts w:ascii="Barlow Semi Condensed" w:cs="Barlow Semi Condensed" w:eastAsia="Barlow Semi Condensed" w:hAnsi="Barlow Semi Condensed"/>
          <w:sz w:val="24"/>
          <w:szCs w:val="24"/>
        </w:rPr>
        <w:t xml:space="preserve">La dinamica</w:t>
      </w:r>
    </w:p>
    <w:p>
      <w:pPr>
        <w:spacing w:after="120" w:line="276"/>
        <w:jc w:val="both"/>
      </w:pPr>
      <w:r>
        <w:rPr>
          <w:rFonts w:ascii="Barlow Semi Condensed" w:cs="Barlow Semi Condensed" w:eastAsia="Barlow Semi Condensed" w:hAnsi="Barlow Semi Condensed"/>
          <w:sz w:val="24"/>
          <w:szCs w:val="24"/>
        </w:rPr>
        <w:t xml:space="preserve">La ricostruzione accertata, nei suoi elementi non controversi, è la seguente.</w:t>
      </w:r>
    </w:p>
    <w:p>
      <w:pPr>
        <w:spacing w:after="120" w:line="276"/>
        <w:jc w:val="both"/>
      </w:pPr>
      <w:r>
        <w:rPr>
          <w:rFonts w:ascii="Barlow Semi Condensed" w:cs="Barlow Semi Condensed" w:eastAsia="Barlow Semi Condensed" w:hAnsi="Barlow Semi Condensed"/>
          <w:sz w:val="24"/>
          <w:szCs w:val="24"/>
        </w:rPr>
        <w:t xml:space="preserve">Una autovettura si arrestò bruscamente davanti alla Fiat 130, costringendola a fermarsi; la vettura di scorta, che seguiva a breve distanza, tamponò o comunque si arrestò immediatamente dietro. Le due vetture del corteo risultarono così bloccate in uno spazio ristretto e privo di vie di uscita immediate.</w:t>
      </w:r>
    </w:p>
    <w:p>
      <w:pPr>
        <w:spacing w:after="120" w:line="276"/>
        <w:jc w:val="both"/>
      </w:pPr>
      <w:r>
        <w:rPr>
          <w:rFonts w:ascii="Barlow Semi Condensed" w:cs="Barlow Semi Condensed" w:eastAsia="Barlow Semi Condensed" w:hAnsi="Barlow Semi Condensed"/>
          <w:sz w:val="24"/>
          <w:szCs w:val="24"/>
        </w:rPr>
        <w:t xml:space="preserve">Contestualmente un gruppo di persone armate, che attendeva in posizione riparata, aprì il fuoco. Il fuoco fu diretto con precisione contro gli occupanti delle due vetture di servizio.</w:t>
      </w:r>
    </w:p>
    <w:p>
      <w:pPr>
        <w:spacing w:after="120" w:line="276"/>
        <w:jc w:val="both"/>
      </w:pPr>
      <w:r>
        <w:rPr>
          <w:rFonts w:ascii="Barlow Semi Condensed" w:cs="Barlow Semi Condensed" w:eastAsia="Barlow Semi Condensed" w:hAnsi="Barlow Semi Condensed"/>
          <w:sz w:val="24"/>
          <w:szCs w:val="24"/>
        </w:rPr>
        <w:t xml:space="preserve">La reazione della scorta fu minima. Risulta accertato che uno solo degli agenti riuscì a uscire dalla vettura e a fare uso dell'arma, esplodendo pochi colpi, e che fu ucciso.</w:t>
      </w:r>
    </w:p>
    <w:p>
      <w:pPr>
        <w:spacing w:after="120" w:line="276"/>
        <w:jc w:val="both"/>
      </w:pPr>
      <w:r>
        <w:rPr>
          <w:rFonts w:ascii="Barlow Semi Condensed" w:cs="Barlow Semi Condensed" w:eastAsia="Barlow Semi Condensed" w:hAnsi="Barlow Semi Condensed"/>
          <w:sz w:val="24"/>
          <w:szCs w:val="24"/>
        </w:rPr>
        <w:t xml:space="preserve">Aldo Moro fu prelevato dalla propria vettura e trasferito su altro veicolo, che si allontanò. Il corteo dei veicoli degli attaccanti si dissolse rapidamente.</w:t>
      </w:r>
    </w:p>
    <w:p>
      <w:pPr>
        <w:pStyle w:val="Heading2"/>
        <w:spacing w:after="100" w:before="200"/>
      </w:pPr>
      <w:r>
        <w:rPr>
          <w:rFonts w:ascii="Barlow Semi Condensed" w:cs="Barlow Semi Condensed" w:eastAsia="Barlow Semi Condensed" w:hAnsi="Barlow Semi Condensed"/>
          <w:sz w:val="24"/>
          <w:szCs w:val="24"/>
        </w:rPr>
        <w:t xml:space="preserve">Le misure</w:t>
      </w:r>
    </w:p>
    <w:p>
      <w:pPr>
        <w:spacing w:after="120" w:line="276"/>
        <w:jc w:val="both"/>
      </w:pPr>
      <w:r>
        <w:rPr>
          <w:rFonts w:ascii="Barlow Semi Condensed" w:cs="Barlow Semi Condensed" w:eastAsia="Barlow Semi Condensed" w:hAnsi="Barlow Semi Condensed"/>
          <w:sz w:val="24"/>
          <w:szCs w:val="24"/>
        </w:rPr>
        <w:t xml:space="preserve">Sul luogo furono repertati circa 90 bossoli. La perizia balistica accertò che una porzione preponderante dei colpi proveniva da una sola arma automatica.</w:t>
      </w:r>
    </w:p>
    <w:p>
      <w:pPr>
        <w:spacing w:after="120" w:line="276"/>
        <w:jc w:val="both"/>
      </w:pPr>
      <w:r>
        <w:rPr>
          <w:rFonts w:ascii="Barlow Semi Condensed" w:cs="Barlow Semi Condensed" w:eastAsia="Barlow Semi Condensed" w:hAnsi="Barlow Semi Condensed"/>
          <w:sz w:val="24"/>
          <w:szCs w:val="24"/>
        </w:rPr>
        <w:t xml:space="preserve">Questi due dati — il numero complessivo dei colpi e la concentrazione su una sola arma — sono i più citati dell'intero caso, e conviene dire con precisione che cosa attestino.</w:t>
      </w:r>
    </w:p>
    <w:p>
      <w:pPr>
        <w:spacing w:after="120" w:line="276"/>
        <w:jc w:val="both"/>
      </w:pPr>
      <w:r>
        <w:rPr>
          <w:rFonts w:ascii="Barlow Semi Condensed" w:cs="Barlow Semi Condensed" w:eastAsia="Barlow Semi Condensed" w:hAnsi="Barlow Semi Condensed"/>
          <w:sz w:val="24"/>
          <w:szCs w:val="24"/>
        </w:rPr>
        <w:t xml:space="preserve">Attestano che furono esplosi quei colpi e che quella distribuzione fu rilevata. Attestano dunque che l'esito di fuoco fu ottenuto in prevalenza da un solo operatore, e non da un tiro collettivo distribuito.</w:t>
      </w:r>
    </w:p>
    <w:p>
      <w:pPr>
        <w:spacing w:after="120" w:line="276"/>
        <w:jc w:val="both"/>
      </w:pPr>
      <w:r>
        <w:rPr>
          <w:rFonts w:ascii="Barlow Semi Condensed" w:cs="Barlow Semi Condensed" w:eastAsia="Barlow Semi Condensed" w:hAnsi="Barlow Semi Condensed"/>
          <w:sz w:val="24"/>
          <w:szCs w:val="24"/>
        </w:rPr>
        <w:t xml:space="preserve">Non attestano, di per sé, il grado di addestramento di quell'operatore, né la sua provenienza, né alcuna caratteristica della sua formazione. Queste sono inferenze ulteriori, e vanno trattate come tali. Il rilievo balistico conta e localizza; non qualifica chi sparò.</w:t>
      </w:r>
    </w:p>
    <w:p>
      <w:pPr>
        <w:pStyle w:val="Heading2"/>
        <w:spacing w:after="100" w:before="200"/>
      </w:pPr>
      <w:r>
        <w:rPr>
          <w:rFonts w:ascii="Barlow Semi Condensed" w:cs="Barlow Semi Condensed" w:eastAsia="Barlow Semi Condensed" w:hAnsi="Barlow Semi Condensed"/>
          <w:sz w:val="24"/>
          <w:szCs w:val="24"/>
        </w:rPr>
        <w:t xml:space="preserve">La durata</w:t>
      </w:r>
    </w:p>
    <w:p>
      <w:pPr>
        <w:spacing w:after="120" w:line="276"/>
        <w:jc w:val="both"/>
      </w:pPr>
      <w:r>
        <w:rPr>
          <w:rFonts w:ascii="Barlow Semi Condensed" w:cs="Barlow Semi Condensed" w:eastAsia="Barlow Semi Condensed" w:hAnsi="Barlow Semi Condensed"/>
          <w:sz w:val="24"/>
          <w:szCs w:val="24"/>
        </w:rPr>
        <w:t xml:space="preserve">La durata dell'azione è stata oggetto di valutazioni non del tutto concordi, e le stime disponibili la collocano in un intervallo compreso fra alcune decine di secondi e pochi minuti. La discordanza deriva dalla natura delle fonti: testimonianze di persone sotto shock, per le quali la percezione del tempo è notoriamente inaffidabile, e ricostruzioni tecniche fondate sulla cadenza di tiro.</w:t>
      </w:r>
    </w:p>
    <w:p>
      <w:pPr>
        <w:spacing w:after="120" w:line="276"/>
        <w:jc w:val="both"/>
      </w:pPr>
      <w:r>
        <w:rPr>
          <w:rFonts w:ascii="Barlow Semi Condensed" w:cs="Barlow Semi Condensed" w:eastAsia="Barlow Semi Condensed" w:hAnsi="Barlow Semi Condensed"/>
          <w:sz w:val="24"/>
          <w:szCs w:val="24"/>
        </w:rPr>
        <w:t xml:space="preserve">Si registra dunque la durata come dato non stabilizzato, entro un intervallo, e non si impiega alcuna delle stime come se fosse accertata. È uno dei punti nei quali la divulgazione ha frequentemente adottato la cifra più suggestiva.</w:t>
      </w:r>
    </w:p>
    <w:p>
      <w:pPr>
        <w:pStyle w:val="Heading2"/>
        <w:spacing w:after="100" w:before="200"/>
      </w:pPr>
      <w:r>
        <w:rPr>
          <w:rFonts w:ascii="Barlow Semi Condensed" w:cs="Barlow Semi Condensed" w:eastAsia="Barlow Semi Condensed" w:hAnsi="Barlow Semi Condensed"/>
          <w:sz w:val="24"/>
          <w:szCs w:val="24"/>
        </w:rPr>
        <w:t xml:space="preserve">Il numero degli attaccanti</w:t>
      </w:r>
    </w:p>
    <w:p>
      <w:pPr>
        <w:spacing w:after="120" w:line="276"/>
        <w:jc w:val="both"/>
      </w:pPr>
      <w:r>
        <w:rPr>
          <w:rFonts w:ascii="Barlow Semi Condensed" w:cs="Barlow Semi Condensed" w:eastAsia="Barlow Semi Condensed" w:hAnsi="Barlow Semi Condensed"/>
          <w:sz w:val="24"/>
          <w:szCs w:val="24"/>
        </w:rPr>
        <w:t xml:space="preserve">Il numero delle persone presenti sul luogo per parte attaccante è uno dei punti che le revisioni successive hanno modificato. Le ricostruzioni si sono attestate su cifre diverse in tempi diversi, e la variazione è dipesa in misura determinante dalle dichiarazioni di persone coinvolte, rese in epoche successive e talvolta reciprocamente correttive.</w:t>
      </w:r>
    </w:p>
    <w:p>
      <w:pPr>
        <w:spacing w:after="120" w:line="276"/>
        <w:jc w:val="both"/>
      </w:pPr>
      <w:r>
        <w:rPr>
          <w:rFonts w:ascii="Barlow Semi Condensed" w:cs="Barlow Semi Condensed" w:eastAsia="Barlow Semi Condensed" w:hAnsi="Barlow Semi Condensed"/>
          <w:sz w:val="24"/>
          <w:szCs w:val="24"/>
        </w:rPr>
        <w:t xml:space="preserve">Si applica qui la regola enunciata nel Capitolo ventunesimo: si distingue ciò che poggia su rilievo materiale da ciò che poggia su dichiarazione. Il numero degli attaccanti poggia in misura prevalente su dichiarazioni. Esso è dunque, allo stato, un dato di ricostruzione e non un dato di rilievo, e come tale è iscritto: soggetto a revisione se le dichiarazioni mutano.</w:t>
      </w:r>
    </w:p>
    <w:p>
      <w:pPr>
        <w:pStyle w:val="Heading2"/>
        <w:spacing w:after="100" w:before="200"/>
      </w:pPr>
      <w:r>
        <w:rPr>
          <w:rFonts w:ascii="Barlow Semi Condensed" w:cs="Barlow Semi Condensed" w:eastAsia="Barlow Semi Condensed" w:hAnsi="Barlow Semi Condensed"/>
          <w:sz w:val="24"/>
          <w:szCs w:val="24"/>
        </w:rPr>
        <w:t xml:space="preserve">Bilancio del Capitolo</w:t>
      </w:r>
    </w:p>
    <w:p>
      <w:pPr>
        <w:spacing w:after="120" w:line="276"/>
        <w:jc w:val="both"/>
      </w:pPr>
      <w:r>
        <w:rPr>
          <w:rFonts w:ascii="Barlow Semi Condensed" w:cs="Barlow Semi Condensed" w:eastAsia="Barlow Semi Condensed" w:hAnsi="Barlow Semi Condensed"/>
          <w:sz w:val="24"/>
          <w:szCs w:val="24"/>
        </w:rPr>
        <w:t xml:space="preserve">Sono in stato di sciolto: il luogo; il blocco delle vetture mediante interposizione di un veicolo; l'apertura del fuoco da posizione riparata; la reazione minima della scorta; l'uccisione dei cinque uomini; il prelevamento del rapito e il suo trasferimento su altro veicolo; il numero approssimativo dei bossoli repertati; la concentrazione preponderante del fuoco su una sola arma.</w:t>
      </w:r>
    </w:p>
    <w:p>
      <w:pPr>
        <w:spacing w:after="120" w:line="276"/>
        <w:jc w:val="both"/>
      </w:pPr>
      <w:r>
        <w:rPr>
          <w:rFonts w:ascii="Barlow Semi Condensed" w:cs="Barlow Semi Condensed" w:eastAsia="Barlow Semi Condensed" w:hAnsi="Barlow Semi Condensed"/>
          <w:sz w:val="24"/>
          <w:szCs w:val="24"/>
        </w:rPr>
        <w:t xml:space="preserve">Sono in stato di dubbio: la durata esatta dell'azione; il numero preciso dei partecipanti; l'attribuzione individuale dei colpi oltre quanto accertato in sede giudiziaria; la fonte della conoscenza delle abitudini del protetto.</w:t>
      </w:r>
    </w:p>
    <w:p>
      <w:pPr>
        <w:pStyle w:val="Heading2"/>
        <w:spacing w:after="100" w:before="200"/>
      </w:pPr>
      <w:r>
        <w:rPr>
          <w:rFonts w:ascii="Barlow Semi Condensed" w:cs="Barlow Semi Condensed" w:eastAsia="Barlow Semi Condensed" w:hAnsi="Barlow Semi Condensed"/>
          <w:sz w:val="24"/>
          <w:szCs w:val="24"/>
        </w:rPr>
        <w:t xml:space="preserve">Capitolo ventiquattresimo — La misura dello scarto</w:t>
      </w:r>
    </w:p>
    <w:p>
      <w:pPr>
        <w:spacing w:after="120" w:line="276"/>
        <w:jc w:val="both"/>
      </w:pPr>
      <w:r>
        <w:rPr>
          <w:rFonts w:ascii="Barlow Semi Condensed" w:cs="Barlow Semi Condensed" w:eastAsia="Barlow Semi Condensed" w:hAnsi="Barlow Semi Condensed"/>
          <w:sz w:val="24"/>
          <w:szCs w:val="24"/>
        </w:rPr>
        <w:t xml:space="preserve">La Fase Seconda ha consegnato a questa una domanda: quanto l'azione richiese, confrontato con quanto il movente dichiarato spiega. Si misura qui lo scarto, e non lo si interpreta.</w:t>
      </w:r>
    </w:p>
    <w:p>
      <w:pPr>
        <w:pStyle w:val="Heading2"/>
        <w:spacing w:after="100" w:before="200"/>
      </w:pPr>
      <w:r>
        <w:rPr>
          <w:rFonts w:ascii="Barlow Semi Condensed" w:cs="Barlow Semi Condensed" w:eastAsia="Barlow Semi Condensed" w:hAnsi="Barlow Semi Condensed"/>
          <w:sz w:val="24"/>
          <w:szCs w:val="24"/>
        </w:rPr>
        <w:t xml:space="preserve">Che cosa significa misurare uno scarto</w:t>
      </w:r>
    </w:p>
    <w:p>
      <w:pPr>
        <w:spacing w:after="120" w:line="276"/>
        <w:jc w:val="both"/>
      </w:pPr>
      <w:r>
        <w:rPr>
          <w:rFonts w:ascii="Barlow Semi Condensed" w:cs="Barlow Semi Condensed" w:eastAsia="Barlow Semi Condensed" w:hAnsi="Barlow Semi Condensed"/>
          <w:sz w:val="24"/>
          <w:szCs w:val="24"/>
        </w:rPr>
        <w:t xml:space="preserve">Occorre chiarire l'operazione, perché è insolita e si presta a essere fraintesa in entrambe le direzioni.</w:t>
      </w:r>
    </w:p>
    <w:p>
      <w:pPr>
        <w:spacing w:after="120" w:line="276"/>
        <w:jc w:val="both"/>
      </w:pPr>
      <w:r>
        <w:rPr>
          <w:rFonts w:ascii="Barlow Semi Condensed" w:cs="Barlow Semi Condensed" w:eastAsia="Barlow Semi Condensed" w:hAnsi="Barlow Semi Condensed"/>
          <w:sz w:val="24"/>
          <w:szCs w:val="24"/>
        </w:rPr>
        <w:t xml:space="preserve">Misurare lo scarto significa elencare le capacità che l'azione manifestò, e domandarsi, per ciascuna, se la sua acquisizione sia spiegata da ciò che è documentato dell'organizzazione che la compì. Dove la risposta è affermativa non vi è scarto. Dove è negativa, vi è scarto: cioè una capacità manifestata della quale non è documentata l'acquisizione.</w:t>
      </w:r>
    </w:p>
    <w:p>
      <w:pPr>
        <w:spacing w:after="120" w:line="276"/>
        <w:jc w:val="both"/>
      </w:pPr>
      <w:r>
        <w:rPr>
          <w:rFonts w:ascii="Barlow Semi Condensed" w:cs="Barlow Semi Condensed" w:eastAsia="Barlow Semi Condensed" w:hAnsi="Barlow Semi Condensed"/>
          <w:sz w:val="24"/>
          <w:szCs w:val="24"/>
        </w:rPr>
        <w:t xml:space="preserve">Uno scarto non è una prova di concorso esterno. È una lacuna esplicativa, e le lacune esplicative si colmano in tre modi: con documentazione ulteriore sull'acquisizione della capacità; con la constatazione che la capacità era meno rara di quanto si supponesse; o con un soggetto ulteriore. Il terzo modo è quello che la letteratura predilige e che questo Capitolo non adotta, perché adottarlo qui significherebbe rispondere in sede di misurazione a una domanda che appartiene alle Fasi Quinta e Sesta.</w:t>
      </w:r>
    </w:p>
    <w:p>
      <w:pPr>
        <w:pStyle w:val="Heading2"/>
        <w:spacing w:after="100" w:before="200"/>
      </w:pPr>
      <w:r>
        <w:rPr>
          <w:rFonts w:ascii="Barlow Semi Condensed" w:cs="Barlow Semi Condensed" w:eastAsia="Barlow Semi Condensed" w:hAnsi="Barlow Semi Condensed"/>
          <w:sz w:val="24"/>
          <w:szCs w:val="24"/>
        </w:rPr>
        <w:t xml:space="preserve">Le capacità manifestate</w:t>
      </w:r>
    </w:p>
    <w:p>
      <w:pPr>
        <w:spacing w:after="120" w:line="276"/>
        <w:jc w:val="both"/>
      </w:pPr>
      <w:r>
        <w:rPr>
          <w:rFonts w:ascii="Barlow Semi Condensed" w:cs="Barlow Semi Condensed" w:eastAsia="Barlow Semi Condensed" w:hAnsi="Barlow Semi Condensed"/>
          <w:sz w:val="24"/>
          <w:szCs w:val="24"/>
        </w:rPr>
        <w:t xml:space="preserve">L'azione manifestò le capacità seguenti.</w:t>
      </w:r>
    </w:p>
    <w:p>
      <w:pPr>
        <w:spacing w:after="120" w:line="276"/>
        <w:jc w:val="both"/>
      </w:pPr>
      <w:r>
        <w:rPr>
          <w:rFonts w:ascii="Barlow Semi Condensed" w:cs="Barlow Semi Condensed" w:eastAsia="Barlow Semi Condensed" w:hAnsi="Barlow Semi Condensed"/>
          <w:sz w:val="24"/>
          <w:szCs w:val="24"/>
        </w:rPr>
        <w:t xml:space="preserve">Conoscenza dell'itinerario e degli orari, sufficiente a collocare un dispositivo in un punto determinato in un momento determinato.</w:t>
      </w:r>
    </w:p>
    <w:p>
      <w:pPr>
        <w:spacing w:after="120" w:line="276"/>
        <w:jc w:val="both"/>
      </w:pPr>
      <w:r>
        <w:rPr>
          <w:rFonts w:ascii="Barlow Semi Condensed" w:cs="Barlow Semi Condensed" w:eastAsia="Barlow Semi Condensed" w:hAnsi="Barlow Semi Condensed"/>
          <w:sz w:val="24"/>
          <w:szCs w:val="24"/>
        </w:rPr>
        <w:t xml:space="preserve">Capacità di predisporre e coordinare un dispositivo articolato su più veicoli e più operatori in uno spazio urbano ristretto.</w:t>
      </w:r>
    </w:p>
    <w:p>
      <w:pPr>
        <w:spacing w:after="120" w:line="276"/>
        <w:jc w:val="both"/>
      </w:pPr>
      <w:r>
        <w:rPr>
          <w:rFonts w:ascii="Barlow Semi Condensed" w:cs="Barlow Semi Condensed" w:eastAsia="Barlow Semi Condensed" w:hAnsi="Barlow Semi Condensed"/>
          <w:sz w:val="24"/>
          <w:szCs w:val="24"/>
        </w:rPr>
        <w:t xml:space="preserve">Capacità di ottenere, in tempo assai breve, un esito di fuoco letale su cinque uomini armati collocati in due veicoli distinti, con conseguimento simultaneo dell'obiettivo di preservare incolume la persona da prelevare.</w:t>
      </w:r>
    </w:p>
    <w:p>
      <w:pPr>
        <w:spacing w:after="120" w:line="276"/>
        <w:jc w:val="both"/>
      </w:pPr>
      <w:r>
        <w:rPr>
          <w:rFonts w:ascii="Barlow Semi Condensed" w:cs="Barlow Semi Condensed" w:eastAsia="Barlow Semi Condensed" w:hAnsi="Barlow Semi Condensed"/>
          <w:sz w:val="24"/>
          <w:szCs w:val="24"/>
        </w:rPr>
        <w:t xml:space="preserve">Capacità di trasferimento e di dissolvimento immediato del dispositivo in ambiente urbano.</w:t>
      </w:r>
    </w:p>
    <w:p>
      <w:pPr>
        <w:spacing w:after="120" w:line="276"/>
        <w:jc w:val="both"/>
      </w:pPr>
      <w:r>
        <w:rPr>
          <w:rFonts w:ascii="Barlow Semi Condensed" w:cs="Barlow Semi Condensed" w:eastAsia="Barlow Semi Condensed" w:hAnsi="Barlow Semi Condensed"/>
          <w:sz w:val="24"/>
          <w:szCs w:val="24"/>
        </w:rPr>
        <w:t xml:space="preserve">Capacità di occultamento prolungato di una persona per cinquantacinque giorni in ambiente urbano, con gestione delle esigenze materiali che ciò comporta.</w:t>
      </w:r>
    </w:p>
    <w:p>
      <w:pPr>
        <w:spacing w:after="120" w:line="276"/>
        <w:jc w:val="both"/>
      </w:pPr>
      <w:r>
        <w:rPr>
          <w:rFonts w:ascii="Barlow Semi Condensed" w:cs="Barlow Semi Condensed" w:eastAsia="Barlow Semi Condensed" w:hAnsi="Barlow Semi Condensed"/>
          <w:sz w:val="24"/>
          <w:szCs w:val="24"/>
        </w:rPr>
        <w:t xml:space="preserve">Capacità di comunicazione pubblica ripetuta durante l'intero periodo senza che l'origine dei recapiti conducesse alla localizzazione.</w:t>
      </w:r>
    </w:p>
    <w:p>
      <w:pPr>
        <w:pStyle w:val="Heading2"/>
        <w:spacing w:after="100" w:before="200"/>
      </w:pPr>
      <w:r>
        <w:rPr>
          <w:rFonts w:ascii="Barlow Semi Condensed" w:cs="Barlow Semi Condensed" w:eastAsia="Barlow Semi Condensed" w:hAnsi="Barlow Semi Condensed"/>
          <w:sz w:val="24"/>
          <w:szCs w:val="24"/>
        </w:rPr>
        <w:t xml:space="preserve">Dove lo scarto non c'è</w:t>
      </w:r>
    </w:p>
    <w:p>
      <w:pPr>
        <w:spacing w:after="120" w:line="276"/>
        <w:jc w:val="both"/>
      </w:pPr>
      <w:r>
        <w:rPr>
          <w:rFonts w:ascii="Barlow Semi Condensed" w:cs="Barlow Semi Condensed" w:eastAsia="Barlow Semi Condensed" w:hAnsi="Barlow Semi Condensed"/>
          <w:sz w:val="24"/>
          <w:szCs w:val="24"/>
        </w:rPr>
        <w:t xml:space="preserve">Per una parte considerevole di queste capacità lo scarto non sussiste, e va detto perché la letteratura tende a supporlo ovunque.</w:t>
      </w:r>
    </w:p>
    <w:p>
      <w:pPr>
        <w:spacing w:after="120" w:line="276"/>
        <w:jc w:val="both"/>
      </w:pPr>
      <w:r>
        <w:rPr>
          <w:rFonts w:ascii="Barlow Semi Condensed" w:cs="Barlow Semi Condensed" w:eastAsia="Barlow Semi Condensed" w:hAnsi="Barlow Semi Condensed"/>
          <w:sz w:val="24"/>
          <w:szCs w:val="24"/>
        </w:rPr>
        <w:t xml:space="preserve">La conoscenza di un itinerario ripetitivo si acquisisce con osservazione prolungata, e non richiede fonti privilegiate. L'itinerario era ripetitivo, la circostanza è accertata, e l'osservazione di un percorso urbano ricorrente è alla portata di chiunque disponga di tempo e di persone.</w:t>
      </w:r>
    </w:p>
    <w:p>
      <w:pPr>
        <w:spacing w:after="120" w:line="276"/>
        <w:jc w:val="both"/>
      </w:pPr>
      <w:r>
        <w:rPr>
          <w:rFonts w:ascii="Barlow Semi Condensed" w:cs="Barlow Semi Condensed" w:eastAsia="Barlow Semi Condensed" w:hAnsi="Barlow Semi Condensed"/>
          <w:sz w:val="24"/>
          <w:szCs w:val="24"/>
        </w:rPr>
        <w:t xml:space="preserve">La capacità di occultamento prolungato in ambiente urbano è documentata come propria di quella organizzazione, che l'aveva esercitata prima e dopo in altre occasioni.</w:t>
      </w:r>
    </w:p>
    <w:p>
      <w:pPr>
        <w:spacing w:after="120" w:line="276"/>
        <w:jc w:val="both"/>
      </w:pPr>
      <w:r>
        <w:rPr>
          <w:rFonts w:ascii="Barlow Semi Condensed" w:cs="Barlow Semi Condensed" w:eastAsia="Barlow Semi Condensed" w:hAnsi="Barlow Semi Condensed"/>
          <w:sz w:val="24"/>
          <w:szCs w:val="24"/>
        </w:rPr>
        <w:t xml:space="preserve">La capacità di comunicazione con recapiti non tracciabili è parimenti documentata come pratica corrente di quella organizzazione.</w:t>
      </w:r>
    </w:p>
    <w:p>
      <w:pPr>
        <w:pStyle w:val="Heading2"/>
        <w:spacing w:after="100" w:before="200"/>
      </w:pPr>
      <w:r>
        <w:rPr>
          <w:rFonts w:ascii="Barlow Semi Condensed" w:cs="Barlow Semi Condensed" w:eastAsia="Barlow Semi Condensed" w:hAnsi="Barlow Semi Condensed"/>
          <w:sz w:val="24"/>
          <w:szCs w:val="24"/>
        </w:rPr>
        <w:t xml:space="preserve">Dove lo scarto sussiste</w:t>
      </w:r>
    </w:p>
    <w:p>
      <w:pPr>
        <w:spacing w:after="120" w:line="276"/>
        <w:jc w:val="both"/>
      </w:pPr>
      <w:r>
        <w:rPr>
          <w:rFonts w:ascii="Barlow Semi Condensed" w:cs="Barlow Semi Condensed" w:eastAsia="Barlow Semi Condensed" w:hAnsi="Barlow Semi Condensed"/>
          <w:sz w:val="24"/>
          <w:szCs w:val="24"/>
        </w:rPr>
        <w:t xml:space="preserve">Lo scarto sussiste, allo stato degli atti, su due punti.</w:t>
      </w:r>
    </w:p>
    <w:p>
      <w:pPr>
        <w:spacing w:after="120" w:line="276"/>
        <w:jc w:val="both"/>
      </w:pPr>
      <w:r>
        <w:rPr>
          <w:rFonts w:ascii="Barlow Semi Condensed" w:cs="Barlow Semi Condensed" w:eastAsia="Barlow Semi Condensed" w:hAnsi="Barlow Semi Condensed"/>
          <w:sz w:val="24"/>
          <w:szCs w:val="24"/>
        </w:rPr>
        <w:t xml:space="preserve">Il primo riguarda l'esito di fuoco. Ottenere, in pochi secondi e in spazio ristretto, la neutralizzazione di cinque uomini armati preservando incolume una sesta persona collocata fra loro è operazione che richiede addestramento specifico. Che l'organizzazione disponesse di persone in possesso di tale addestramento è possibile e non è documentato quanto alla via di acquisizione. Si registra dunque: capacità manifestata, via di acquisizione non documentata.</w:t>
      </w:r>
    </w:p>
    <w:p>
      <w:pPr>
        <w:spacing w:after="120" w:line="276"/>
        <w:jc w:val="both"/>
      </w:pPr>
      <w:r>
        <w:rPr>
          <w:rFonts w:ascii="Barlow Semi Condensed" w:cs="Barlow Semi Condensed" w:eastAsia="Barlow Semi Condensed" w:hAnsi="Barlow Semi Condensed"/>
          <w:sz w:val="24"/>
          <w:szCs w:val="24"/>
        </w:rPr>
        <w:t xml:space="preserve">Il secondo riguarda il coordinamento complessivo del dispositivo. Non è la singola capacità a costituire scarto, ma la loro composizione simultanea in un'unica operazione con margini di errore ridottissimi. Anche qui: capacità manifestata, via di acquisizione non documentata.</w:t>
      </w:r>
    </w:p>
    <w:p>
      <w:pPr>
        <w:pStyle w:val="Heading2"/>
        <w:spacing w:after="100" w:before="200"/>
      </w:pPr>
      <w:r>
        <w:rPr>
          <w:rFonts w:ascii="Barlow Semi Condensed" w:cs="Barlow Semi Condensed" w:eastAsia="Barlow Semi Condensed" w:hAnsi="Barlow Semi Condensed"/>
          <w:sz w:val="24"/>
          <w:szCs w:val="24"/>
        </w:rPr>
        <w:t xml:space="preserve">Le tre letture possibili e il divieto di sceglierne una qui</w:t>
      </w:r>
    </w:p>
    <w:p>
      <w:pPr>
        <w:spacing w:after="120" w:line="276"/>
        <w:jc w:val="both"/>
      </w:pPr>
      <w:r>
        <w:rPr>
          <w:rFonts w:ascii="Barlow Semi Condensed" w:cs="Barlow Semi Condensed" w:eastAsia="Barlow Semi Condensed" w:hAnsi="Barlow Semi Condensed"/>
          <w:sz w:val="24"/>
          <w:szCs w:val="24"/>
        </w:rPr>
        <w:t xml:space="preserve">Lo scarto così misurato ammette tre letture, e questo Capitolo non ne sceglie alcuna.</w:t>
      </w:r>
    </w:p>
    <w:p>
      <w:pPr>
        <w:spacing w:after="120" w:line="276"/>
        <w:jc w:val="both"/>
      </w:pPr>
      <w:r>
        <w:rPr>
          <w:rFonts w:ascii="Barlow Semi Condensed" w:cs="Barlow Semi Condensed" w:eastAsia="Barlow Semi Condensed" w:hAnsi="Barlow Semi Condensed"/>
          <w:sz w:val="24"/>
          <w:szCs w:val="24"/>
        </w:rPr>
        <w:t xml:space="preserve">Prima lettura: la via di acquisizione esiste ed è interna all'organizzazione, ma non è documentata perché la documentazione manca o non è stata cercata. È la lettura più economica e non è stata esclusa.</w:t>
      </w:r>
    </w:p>
    <w:p>
      <w:pPr>
        <w:spacing w:after="120" w:line="276"/>
        <w:jc w:val="both"/>
      </w:pPr>
      <w:r>
        <w:rPr>
          <w:rFonts w:ascii="Barlow Semi Condensed" w:cs="Barlow Semi Condensed" w:eastAsia="Barlow Semi Condensed" w:hAnsi="Barlow Semi Condensed"/>
          <w:sz w:val="24"/>
          <w:szCs w:val="24"/>
        </w:rPr>
        <w:t xml:space="preserve">Seconda lettura: la via di acquisizione è esterna e consistette in addestramento ricevuto altrove. Questa lettura non richiede necessariamente un concorso nell'atto: un addestramento ricevuto anni prima e per altri fini spiegherebbe la capacità senza implicare partecipazione.</w:t>
      </w:r>
    </w:p>
    <w:p>
      <w:pPr>
        <w:spacing w:after="120" w:line="276"/>
        <w:jc w:val="both"/>
      </w:pPr>
      <w:r>
        <w:rPr>
          <w:rFonts w:ascii="Barlow Semi Condensed" w:cs="Barlow Semi Condensed" w:eastAsia="Barlow Semi Condensed" w:hAnsi="Barlow Semi Condensed"/>
          <w:sz w:val="24"/>
          <w:szCs w:val="24"/>
        </w:rPr>
        <w:t xml:space="preserve">Terza lettura: vi fu concorso nell'atto.</w:t>
      </w:r>
    </w:p>
    <w:p>
      <w:pPr>
        <w:spacing w:after="120" w:line="276"/>
        <w:jc w:val="both"/>
      </w:pPr>
      <w:r>
        <w:rPr>
          <w:rFonts w:ascii="Barlow Semi Condensed" w:cs="Barlow Semi Condensed" w:eastAsia="Barlow Semi Condensed" w:hAnsi="Barlow Semi Condensed"/>
          <w:sz w:val="24"/>
          <w:szCs w:val="24"/>
        </w:rPr>
        <w:t xml:space="preserve">Le tre letture non sono equivalenti quanto alle conseguenze, e sono equivalenti quanto al sostegno che lo scarto fornisce a ciascuna: cioè nessuno. Uno scarto non seleziona il proprio riempimento, come già si è detto al Capitolo diciottesimo, e ripeterlo qui non è pedanteria: è il punto sul quale l'intera Fase può essere fraintesa.</w:t>
      </w:r>
    </w:p>
    <w:p>
      <w:pPr>
        <w:pStyle w:val="Heading2"/>
        <w:spacing w:after="100" w:before="200"/>
      </w:pPr>
      <w:r>
        <w:rPr>
          <w:rFonts w:ascii="Barlow Semi Condensed" w:cs="Barlow Semi Condensed" w:eastAsia="Barlow Semi Condensed" w:hAnsi="Barlow Semi Condensed"/>
          <w:sz w:val="24"/>
          <w:szCs w:val="24"/>
        </w:rPr>
        <w:t xml:space="preserve">Consegna</w:t>
      </w:r>
    </w:p>
    <w:p>
      <w:pPr>
        <w:spacing w:after="120" w:line="276"/>
        <w:jc w:val="both"/>
      </w:pPr>
      <w:r>
        <w:rPr>
          <w:rFonts w:ascii="Barlow Semi Condensed" w:cs="Barlow Semi Condensed" w:eastAsia="Barlow Semi Condensed" w:hAnsi="Barlow Semi Condensed"/>
          <w:sz w:val="24"/>
          <w:szCs w:val="24"/>
        </w:rPr>
        <w:t xml:space="preserve">Lo scarto misurato è consegnato alle Fasi Quinta e Sesta nei termini seguenti: due capacità manifestate con via di acquisizione non documentata; tre letture aperte; nessun elemento, in questa Fase, che discrimini fra esse.</w:t>
      </w:r>
    </w:p>
    <w:p>
      <w:pPr>
        <w:pStyle w:val="Heading2"/>
        <w:spacing w:after="100" w:before="200"/>
      </w:pPr>
      <w:r>
        <w:rPr>
          <w:rFonts w:ascii="Barlow Semi Condensed" w:cs="Barlow Semi Condensed" w:eastAsia="Barlow Semi Condensed" w:hAnsi="Barlow Semi Condensed"/>
          <w:sz w:val="24"/>
          <w:szCs w:val="24"/>
        </w:rPr>
        <w:t xml:space="preserve">Capitolo venticinquesimo — Il trasferimento e la sparizione</w:t>
      </w:r>
    </w:p>
    <w:p>
      <w:pPr>
        <w:spacing w:after="120" w:line="276"/>
        <w:jc w:val="both"/>
      </w:pPr>
      <w:r>
        <w:rPr>
          <w:rFonts w:ascii="Barlow Semi Condensed" w:cs="Barlow Semi Condensed" w:eastAsia="Barlow Semi Condensed" w:hAnsi="Barlow Semi Condensed"/>
          <w:sz w:val="24"/>
          <w:szCs w:val="24"/>
        </w:rPr>
        <w:t xml:space="preserve">Fra il prelevamento in via Fani e la prima comunicazione dei rapitori corre un intervallo del quale si sa poco. Questo Capitolo espone che cosa se ne sappia e, soprattutto, che cosa non se ne sappia, perché è uno dei punti nei quali la lacuna è più netta.</w:t>
      </w:r>
    </w:p>
    <w:p>
      <w:pPr>
        <w:pStyle w:val="Heading2"/>
        <w:spacing w:after="100" w:before="200"/>
      </w:pPr>
      <w:r>
        <w:rPr>
          <w:rFonts w:ascii="Barlow Semi Condensed" w:cs="Barlow Semi Condensed" w:eastAsia="Barlow Semi Condensed" w:hAnsi="Barlow Semi Condensed"/>
          <w:sz w:val="24"/>
          <w:szCs w:val="24"/>
        </w:rPr>
        <w:t xml:space="preserve">Il trasferimento immediato</w:t>
      </w:r>
    </w:p>
    <w:p>
      <w:pPr>
        <w:spacing w:after="120" w:line="276"/>
        <w:jc w:val="both"/>
      </w:pPr>
      <w:r>
        <w:rPr>
          <w:rFonts w:ascii="Barlow Semi Condensed" w:cs="Barlow Semi Condensed" w:eastAsia="Barlow Semi Condensed" w:hAnsi="Barlow Semi Condensed"/>
          <w:sz w:val="24"/>
          <w:szCs w:val="24"/>
        </w:rPr>
        <w:t xml:space="preserve">È accertato che Aldo Moro fu fatto salire su un veicolo che si allontanò dal luogo dell'agguato. È accertato che il dispositivo si dissolse rapidamente.</w:t>
      </w:r>
    </w:p>
    <w:p>
      <w:pPr>
        <w:spacing w:after="120" w:line="276"/>
        <w:jc w:val="both"/>
      </w:pPr>
      <w:r>
        <w:rPr>
          <w:rFonts w:ascii="Barlow Semi Condensed" w:cs="Barlow Semi Condensed" w:eastAsia="Barlow Semi Condensed" w:hAnsi="Barlow Semi Condensed"/>
          <w:sz w:val="24"/>
          <w:szCs w:val="24"/>
        </w:rPr>
        <w:t xml:space="preserve">Le ricostruzioni relative al percorso seguito, al numero dei trasbordi effettuati e ai luoghi intermedi poggiano in misura prevalente su dichiarazioni di persone coinvolte, rese in tempi successivi. Esse hanno conosciuto revisioni.</w:t>
      </w:r>
    </w:p>
    <w:p>
      <w:pPr>
        <w:spacing w:after="120" w:line="276"/>
        <w:jc w:val="both"/>
      </w:pPr>
      <w:r>
        <w:rPr>
          <w:rFonts w:ascii="Barlow Semi Condensed" w:cs="Barlow Semi Condensed" w:eastAsia="Barlow Semi Condensed" w:hAnsi="Barlow Semi Condensed"/>
          <w:sz w:val="24"/>
          <w:szCs w:val="24"/>
        </w:rPr>
        <w:t xml:space="preserve">Si applica la regola: questi elementi sono iscritti come dati di ricostruzione e non di rilievo.</w:t>
      </w:r>
    </w:p>
    <w:p>
      <w:pPr>
        <w:pStyle w:val="Heading2"/>
        <w:spacing w:after="100" w:before="200"/>
      </w:pPr>
      <w:r>
        <w:rPr>
          <w:rFonts w:ascii="Barlow Semi Condensed" w:cs="Barlow Semi Condensed" w:eastAsia="Barlow Semi Condensed" w:hAnsi="Barlow Semi Condensed"/>
          <w:sz w:val="24"/>
          <w:szCs w:val="24"/>
        </w:rPr>
        <w:t xml:space="preserve">La ricerca</w:t>
      </w:r>
    </w:p>
    <w:p>
      <w:pPr>
        <w:spacing w:after="120" w:line="276"/>
        <w:jc w:val="both"/>
      </w:pPr>
      <w:r>
        <w:rPr>
          <w:rFonts w:ascii="Barlow Semi Condensed" w:cs="Barlow Semi Condensed" w:eastAsia="Barlow Semi Condensed" w:hAnsi="Barlow Semi Condensed"/>
          <w:sz w:val="24"/>
          <w:szCs w:val="24"/>
        </w:rPr>
        <w:t xml:space="preserve">Nelle ore e nei giorni successivi fu disposto un dispositivo di ricerca di dimensioni senza precedenti: posti di blocco, perquisizioni, controlli. L'esito fu nullo quanto alla localizzazione del prigioniero.</w:t>
      </w:r>
    </w:p>
    <w:p>
      <w:pPr>
        <w:spacing w:after="120" w:line="276"/>
        <w:jc w:val="both"/>
      </w:pPr>
      <w:r>
        <w:rPr>
          <w:rFonts w:ascii="Barlow Semi Condensed" w:cs="Barlow Semi Condensed" w:eastAsia="Barlow Semi Condensed" w:hAnsi="Barlow Semi Condensed"/>
          <w:sz w:val="24"/>
          <w:szCs w:val="24"/>
        </w:rPr>
        <w:t xml:space="preserve">Questo esito nullo è un dato, ed è un dato che va registrato con la precisione che la disciplina degli Stati Zero prescrive: fu condotta una ricerca di dimensioni eccezionali, per cinquantacinque giorni, e non produsse la localizzazione.</w:t>
      </w:r>
    </w:p>
    <w:p>
      <w:pPr>
        <w:spacing w:after="120" w:line="276"/>
        <w:jc w:val="both"/>
      </w:pPr>
      <w:r>
        <w:rPr>
          <w:rFonts w:ascii="Barlow Semi Condensed" w:cs="Barlow Semi Condensed" w:eastAsia="Barlow Semi Condensed" w:hAnsi="Barlow Semi Condensed"/>
          <w:sz w:val="24"/>
          <w:szCs w:val="24"/>
        </w:rPr>
        <w:t xml:space="preserve">Occorre subito aggiungere ciò che tale registrazione non comporta. Un esito nullo non prova che la ricerca fosse mal condotta, né che fosse ostacolata, né che fosse simulata. Prova che non trovò. Le tre ipotesi ulteriori — inefficienza, ostacolo, simulazione — sono proposizioni distinte, ciascuna delle quali domanda prova propria, e appartengono alla Fase Quinta.</w:t>
      </w:r>
    </w:p>
    <w:p>
      <w:pPr>
        <w:spacing w:after="120" w:line="276"/>
        <w:jc w:val="both"/>
      </w:pPr>
      <w:r>
        <w:rPr>
          <w:rFonts w:ascii="Barlow Semi Condensed" w:cs="Barlow Semi Condensed" w:eastAsia="Barlow Semi Condensed" w:hAnsi="Barlow Semi Condensed"/>
          <w:sz w:val="24"/>
          <w:szCs w:val="24"/>
        </w:rPr>
        <w:t xml:space="preserve">Si segnala però, perché rileva per quella Fase, che l'esito nullo di una ricerca eccezionale è un fatto che chiede spiegazione; e che la sola spiegazione dell'inefficienza, per quanto possibile, deve confrontarsi con la dimensione delle risorse impiegate.</w:t>
      </w:r>
    </w:p>
    <w:p>
      <w:pPr>
        <w:pStyle w:val="Heading2"/>
        <w:spacing w:after="100" w:before="200"/>
      </w:pPr>
      <w:r>
        <w:rPr>
          <w:rFonts w:ascii="Barlow Semi Condensed" w:cs="Barlow Semi Condensed" w:eastAsia="Barlow Semi Condensed" w:hAnsi="Barlow Semi Condensed"/>
          <w:sz w:val="24"/>
          <w:szCs w:val="24"/>
        </w:rPr>
        <w:t xml:space="preserve">La lacuna centrale</w:t>
      </w:r>
    </w:p>
    <w:p>
      <w:pPr>
        <w:spacing w:after="120" w:line="276"/>
        <w:jc w:val="both"/>
      </w:pPr>
      <w:r>
        <w:rPr>
          <w:rFonts w:ascii="Barlow Semi Condensed" w:cs="Barlow Semi Condensed" w:eastAsia="Barlow Semi Condensed" w:hAnsi="Barlow Semi Condensed"/>
          <w:sz w:val="24"/>
          <w:szCs w:val="24"/>
        </w:rPr>
        <w:t xml:space="preserve">Vi è, in questa parte della vicenda, una lacuna che va nominata perché è quella che genera il maggior numero di ipotesi.</w:t>
      </w:r>
    </w:p>
    <w:p>
      <w:pPr>
        <w:spacing w:after="120" w:line="276"/>
        <w:jc w:val="both"/>
      </w:pPr>
      <w:r>
        <w:rPr>
          <w:rFonts w:ascii="Barlow Semi Condensed" w:cs="Barlow Semi Condensed" w:eastAsia="Barlow Semi Condensed" w:hAnsi="Barlow Semi Condensed"/>
          <w:sz w:val="24"/>
          <w:szCs w:val="24"/>
        </w:rPr>
        <w:t xml:space="preserve">Non è documentato, se non attraverso dichiarazioni successive di persone coinvolte, dove Aldo Moro sia stato condotto immediatamente dopo il prelevamento, e per quale via. La documentazione oggettiva — rilievi, riscontri materiali contemporanei ai fatti — è, su questo punto, assai scarsa.</w:t>
      </w:r>
    </w:p>
    <w:p>
      <w:pPr>
        <w:spacing w:after="120" w:line="276"/>
        <w:jc w:val="both"/>
      </w:pPr>
      <w:r>
        <w:rPr>
          <w:rFonts w:ascii="Barlow Semi Condensed" w:cs="Barlow Semi Condensed" w:eastAsia="Barlow Semi Condensed" w:hAnsi="Barlow Semi Condensed"/>
          <w:sz w:val="24"/>
          <w:szCs w:val="24"/>
        </w:rPr>
        <w:t xml:space="preserve">La lacuna è iscritta come tale. Si indicano le condizioni del suo scioglimento: rilievi materiali riferibili ai luoghi intermedi; documentazione contemporanea ai fatti relativa ai controlli effettuati nelle ore immediatamente successive e ai loro esiti; riscontri indipendenti dalle dichiarazioni delle persone coinvolte.</w:t>
      </w:r>
    </w:p>
    <w:p>
      <w:pPr>
        <w:pStyle w:val="Heading2"/>
        <w:spacing w:after="100" w:before="200"/>
      </w:pPr>
      <w:r>
        <w:rPr>
          <w:rFonts w:ascii="Barlow Semi Condensed" w:cs="Barlow Semi Condensed" w:eastAsia="Barlow Semi Condensed" w:hAnsi="Barlow Semi Condensed"/>
          <w:sz w:val="24"/>
          <w:szCs w:val="24"/>
        </w:rPr>
        <w:t xml:space="preserve">Capitolo ventiseiesimo — I luoghi della prigionia</w:t>
      </w:r>
    </w:p>
    <w:p>
      <w:pPr>
        <w:pStyle w:val="Heading2"/>
        <w:spacing w:after="100" w:before="200"/>
      </w:pPr>
      <w:r>
        <w:rPr>
          <w:rFonts w:ascii="Barlow Semi Condensed" w:cs="Barlow Semi Condensed" w:eastAsia="Barlow Semi Condensed" w:hAnsi="Barlow Semi Condensed"/>
          <w:sz w:val="24"/>
          <w:szCs w:val="24"/>
        </w:rPr>
        <w:t xml:space="preserve">Il luogo accertato</w:t>
      </w:r>
    </w:p>
    <w:p>
      <w:pPr>
        <w:spacing w:after="120" w:line="276"/>
        <w:jc w:val="both"/>
      </w:pPr>
      <w:r>
        <w:rPr>
          <w:rFonts w:ascii="Barlow Semi Condensed" w:cs="Barlow Semi Condensed" w:eastAsia="Barlow Semi Condensed" w:hAnsi="Barlow Semi Condensed"/>
          <w:sz w:val="24"/>
          <w:szCs w:val="24"/>
        </w:rPr>
        <w:t xml:space="preserve">È accertato che il luogo di detenzione fu un appartamento in via Camillo Montalcini, a Roma, e che vi fu allestito un vano appositamente predisposto per la custodia del prigioniero.</w:t>
      </w:r>
    </w:p>
    <w:p>
      <w:pPr>
        <w:spacing w:after="120" w:line="276"/>
        <w:jc w:val="both"/>
      </w:pPr>
      <w:r>
        <w:rPr>
          <w:rFonts w:ascii="Barlow Semi Condensed" w:cs="Barlow Semi Condensed" w:eastAsia="Barlow Semi Condensed" w:hAnsi="Barlow Semi Condensed"/>
          <w:sz w:val="24"/>
          <w:szCs w:val="24"/>
        </w:rPr>
        <w:t xml:space="preserve">L'accertamento non fu contemporaneo ai fatti: esso derivò da dichiarazioni rese anni dopo da persone coinvolte, e fu successivamente riscontrato. La distinzione fra il momento del fatto e il momento dell'accertamento è qui rilevante, e conviene esplicitarla: durante i cinquantacinque giorni quel luogo non fu individuato.</w:t>
      </w:r>
    </w:p>
    <w:p>
      <w:pPr>
        <w:pStyle w:val="Heading2"/>
        <w:spacing w:after="100" w:before="200"/>
      </w:pPr>
      <w:r>
        <w:rPr>
          <w:rFonts w:ascii="Barlow Semi Condensed" w:cs="Barlow Semi Condensed" w:eastAsia="Barlow Semi Condensed" w:hAnsi="Barlow Semi Condensed"/>
          <w:sz w:val="24"/>
          <w:szCs w:val="24"/>
        </w:rPr>
        <w:t xml:space="preserve">La questione degli altri luoghi</w:t>
      </w:r>
    </w:p>
    <w:p>
      <w:pPr>
        <w:spacing w:after="120" w:line="276"/>
        <w:jc w:val="both"/>
      </w:pPr>
      <w:r>
        <w:rPr>
          <w:rFonts w:ascii="Barlow Semi Condensed" w:cs="Barlow Semi Condensed" w:eastAsia="Barlow Semi Condensed" w:hAnsi="Barlow Semi Condensed"/>
          <w:sz w:val="24"/>
          <w:szCs w:val="24"/>
        </w:rPr>
        <w:t xml:space="preserve">È stata sostenuta, in varie sedi e da vari autori, l'ipotesi che il prigioniero sia stato detenuto anche altrove, in tutto o in parte del periodo. Le argomentazioni addotte a sostegno riguardano elementi di natura diversa: rilievi effettuati sul corpo e sugli indumenti al momento del rinvenimento; considerazioni sulla praticabilità logistica; dichiarazioni divergenti.</w:t>
      </w:r>
    </w:p>
    <w:p>
      <w:pPr>
        <w:spacing w:after="120" w:line="276"/>
        <w:jc w:val="both"/>
      </w:pPr>
      <w:r>
        <w:rPr>
          <w:rFonts w:ascii="Barlow Semi Condensed" w:cs="Barlow Semi Condensed" w:eastAsia="Barlow Semi Condensed" w:hAnsi="Barlow Semi Condensed"/>
          <w:sz w:val="24"/>
          <w:szCs w:val="24"/>
        </w:rPr>
        <w:t xml:space="preserve">Quest'opera registra l'ipotesi come formulata e non la fa propria. Essa non è, allo stato, esclusa; e non è, allo stato, provata. La sua condizione di scioglimento è indicabile con precisione: rilievi materiali riferibili a un luogo determinato e concomitanti al periodo, ovvero dichiarazioni riscontrate da elementi indipendenti.</w:t>
      </w:r>
    </w:p>
    <w:p>
      <w:pPr>
        <w:pStyle w:val="Heading2"/>
        <w:spacing w:after="100" w:before="200"/>
      </w:pPr>
      <w:r>
        <w:rPr>
          <w:rFonts w:ascii="Barlow Semi Condensed" w:cs="Barlow Semi Condensed" w:eastAsia="Barlow Semi Condensed" w:hAnsi="Barlow Semi Condensed"/>
          <w:sz w:val="24"/>
          <w:szCs w:val="24"/>
        </w:rPr>
        <w:t xml:space="preserve">Il rilievo sugli indumenti e il suo statuto</w:t>
      </w:r>
    </w:p>
    <w:p>
      <w:pPr>
        <w:spacing w:after="120" w:line="276"/>
        <w:jc w:val="both"/>
      </w:pPr>
      <w:r>
        <w:rPr>
          <w:rFonts w:ascii="Barlow Semi Condensed" w:cs="Barlow Semi Condensed" w:eastAsia="Barlow Semi Condensed" w:hAnsi="Barlow Semi Condensed"/>
          <w:sz w:val="24"/>
          <w:szCs w:val="24"/>
        </w:rPr>
        <w:t xml:space="preserve">Merita una nota separata l'elemento che più frequentemente è addotto: la presenza, sugli indumenti o sul corpo, di tracce che sono state ritenute non compatibili con una detenzione esclusivamente urbana in appartamento.</w:t>
      </w:r>
    </w:p>
    <w:p>
      <w:pPr>
        <w:spacing w:after="120" w:line="276"/>
        <w:jc w:val="both"/>
      </w:pPr>
      <w:r>
        <w:rPr>
          <w:rFonts w:ascii="Barlow Semi Condensed" w:cs="Barlow Semi Condensed" w:eastAsia="Barlow Semi Condensed" w:hAnsi="Barlow Semi Condensed"/>
          <w:sz w:val="24"/>
          <w:szCs w:val="24"/>
        </w:rPr>
        <w:t xml:space="preserve">Lo statuto di questo elemento va precisato con cura, perché esso è il tipo di dato sul quale la divulgazione compie con maggiore frequenza il salto che la Fase vieta.</w:t>
      </w:r>
    </w:p>
    <w:p>
      <w:pPr>
        <w:spacing w:after="120" w:line="276"/>
        <w:jc w:val="both"/>
      </w:pPr>
      <w:r>
        <w:rPr>
          <w:rFonts w:ascii="Barlow Semi Condensed" w:cs="Barlow Semi Condensed" w:eastAsia="Barlow Semi Condensed" w:hAnsi="Barlow Semi Condensed"/>
          <w:sz w:val="24"/>
          <w:szCs w:val="24"/>
        </w:rPr>
        <w:t xml:space="preserve">Il rilievo, per la parte in cui è stato effettuato, attesta la presenza di determinate tracce. L'inferenza sulla loro origine è operazione ulteriore e dipende da assunzioni sulle vie possibili di deposito, che sono molteplici. Una traccia può essere depositata nel luogo di detenzione, nel luogo di uccisione, nel veicolo, durante il trasporto, o in occasione delle operazioni successive al rinvenimento.</w:t>
      </w:r>
    </w:p>
    <w:p>
      <w:pPr>
        <w:spacing w:after="120" w:line="276"/>
        <w:jc w:val="both"/>
      </w:pPr>
      <w:r>
        <w:rPr>
          <w:rFonts w:ascii="Barlow Semi Condensed" w:cs="Barlow Semi Condensed" w:eastAsia="Barlow Semi Condensed" w:hAnsi="Barlow Semi Condensed"/>
          <w:sz w:val="24"/>
          <w:szCs w:val="24"/>
        </w:rPr>
        <w:t xml:space="preserve">L'elemento è dunque iscritto come dato di rilievo, e la sua interpretazione come dubbio, con l'indicazione che il suo scioglimento richiederebbe la ricostruzione documentata di tutte le vie di deposito possibili e l'esclusione motivata di tutte tranne una.</w:t>
      </w:r>
    </w:p>
    <w:p>
      <w:pPr>
        <w:pStyle w:val="Heading2"/>
        <w:spacing w:after="100" w:before="200"/>
      </w:pPr>
      <w:r>
        <w:rPr>
          <w:rFonts w:ascii="Barlow Semi Condensed" w:cs="Barlow Semi Condensed" w:eastAsia="Barlow Semi Condensed" w:hAnsi="Barlow Semi Condensed"/>
          <w:sz w:val="24"/>
          <w:szCs w:val="24"/>
        </w:rPr>
        <w:t xml:space="preserve">Ciò che si registra</w:t>
      </w:r>
    </w:p>
    <w:p>
      <w:pPr>
        <w:spacing w:after="120" w:line="276"/>
        <w:jc w:val="both"/>
      </w:pPr>
      <w:r>
        <w:rPr>
          <w:rFonts w:ascii="Barlow Semi Condensed" w:cs="Barlow Semi Condensed" w:eastAsia="Barlow Semi Condensed" w:hAnsi="Barlow Semi Condensed"/>
          <w:sz w:val="24"/>
          <w:szCs w:val="24"/>
        </w:rPr>
        <w:t xml:space="preserve">È in stato di sciolto: la detenzione in via Camillo Montalcini, con predisposizione di un vano apposito; la circostanza che l'accertamento sia successivo e derivi da dichiarazioni riscontrate; la mancata individuazione del luogo durante il periodo.</w:t>
      </w:r>
    </w:p>
    <w:p>
      <w:pPr>
        <w:spacing w:after="120" w:line="276"/>
        <w:jc w:val="both"/>
      </w:pPr>
      <w:r>
        <w:rPr>
          <w:rFonts w:ascii="Barlow Semi Condensed" w:cs="Barlow Semi Condensed" w:eastAsia="Barlow Semi Condensed" w:hAnsi="Barlow Semi Condensed"/>
          <w:sz w:val="24"/>
          <w:szCs w:val="24"/>
        </w:rPr>
        <w:t xml:space="preserve">È in stato di dubbio: l'ipotesi di luoghi ulteriori di detenzione; l'origine delle tracce rilevate.</w:t>
      </w:r>
    </w:p>
    <w:p>
      <w:pPr>
        <w:pStyle w:val="Heading2"/>
        <w:spacing w:after="100" w:before="200"/>
      </w:pPr>
      <w:r>
        <w:rPr>
          <w:rFonts w:ascii="Barlow Semi Condensed" w:cs="Barlow Semi Condensed" w:eastAsia="Barlow Semi Condensed" w:hAnsi="Barlow Semi Condensed"/>
          <w:sz w:val="24"/>
          <w:szCs w:val="24"/>
        </w:rPr>
        <w:t xml:space="preserve">Capitolo ventisettesimo — I cinquantacinque giorni: la sequenza delle comunicazioni</w:t>
      </w:r>
    </w:p>
    <w:p>
      <w:pPr>
        <w:spacing w:after="120" w:line="276"/>
        <w:jc w:val="both"/>
      </w:pPr>
      <w:r>
        <w:rPr>
          <w:rFonts w:ascii="Barlow Semi Condensed" w:cs="Barlow Semi Condensed" w:eastAsia="Barlow Semi Condensed" w:hAnsi="Barlow Semi Condensed"/>
          <w:sz w:val="24"/>
          <w:szCs w:val="24"/>
        </w:rPr>
        <w:t xml:space="preserve">Durante il periodo di prigionia furono diffusi comunicati dell'organizzazione, e furono recapitate lettere scritte dal prigioniero. Questo Capitolo espone la sequenza; il trattamento delle lettere quanto al loro contenuto e al loro statuto appartiene alla Fase Quarta, che è dedicata alle carte.</w:t>
      </w:r>
    </w:p>
    <w:p>
      <w:pPr>
        <w:pStyle w:val="Heading2"/>
        <w:spacing w:after="100" w:before="200"/>
      </w:pPr>
      <w:r>
        <w:rPr>
          <w:rFonts w:ascii="Barlow Semi Condensed" w:cs="Barlow Semi Condensed" w:eastAsia="Barlow Semi Condensed" w:hAnsi="Barlow Semi Condensed"/>
          <w:sz w:val="24"/>
          <w:szCs w:val="24"/>
        </w:rPr>
        <w:t xml:space="preserve">La struttura della comunicazione</w:t>
      </w:r>
    </w:p>
    <w:p>
      <w:pPr>
        <w:spacing w:after="120" w:line="276"/>
        <w:jc w:val="both"/>
      </w:pPr>
      <w:r>
        <w:rPr>
          <w:rFonts w:ascii="Barlow Semi Condensed" w:cs="Barlow Semi Condensed" w:eastAsia="Barlow Semi Condensed" w:hAnsi="Barlow Semi Condensed"/>
          <w:sz w:val="24"/>
          <w:szCs w:val="24"/>
        </w:rPr>
        <w:t xml:space="preserve">La comunicazione dei rapitori si articolò in comunicati numerati, diffusi mediante recapito a organi di informazione o collocazione in luoghi pubblici, secondo modalità che consentivano il ritiro senza esposizione.</w:t>
      </w:r>
    </w:p>
    <w:p>
      <w:pPr>
        <w:spacing w:after="120" w:line="276"/>
        <w:jc w:val="both"/>
      </w:pPr>
      <w:r>
        <w:rPr>
          <w:rFonts w:ascii="Barlow Semi Condensed" w:cs="Barlow Semi Condensed" w:eastAsia="Barlow Semi Condensed" w:hAnsi="Barlow Semi Condensed"/>
          <w:sz w:val="24"/>
          <w:szCs w:val="24"/>
        </w:rPr>
        <w:t xml:space="preserve">Parallelamente furono recapitate lettere manoscritte del prigioniero, indirizzate a familiari, a uomini politici, a istituzioni.</w:t>
      </w:r>
    </w:p>
    <w:p>
      <w:pPr>
        <w:spacing w:after="120" w:line="276"/>
        <w:jc w:val="both"/>
      </w:pPr>
      <w:r>
        <w:rPr>
          <w:rFonts w:ascii="Barlow Semi Condensed" w:cs="Barlow Semi Condensed" w:eastAsia="Barlow Semi Condensed" w:hAnsi="Barlow Semi Condensed"/>
          <w:sz w:val="24"/>
          <w:szCs w:val="24"/>
        </w:rPr>
        <w:t xml:space="preserve">Le due serie procedettero in parallelo per l'intero periodo e furono, dal punto di vista di chi le riceveva, oggetto di valutazioni distinte: sull'autenticità, sulla libertà di redazione, sul significato da attribuire.</w:t>
      </w:r>
    </w:p>
    <w:p>
      <w:pPr>
        <w:pStyle w:val="Heading2"/>
        <w:spacing w:after="100" w:before="200"/>
      </w:pPr>
      <w:r>
        <w:rPr>
          <w:rFonts w:ascii="Barlow Semi Condensed" w:cs="Barlow Semi Condensed" w:eastAsia="Barlow Semi Condensed" w:hAnsi="Barlow Semi Condensed"/>
          <w:sz w:val="24"/>
          <w:szCs w:val="24"/>
        </w:rPr>
        <w:t xml:space="preserve">Le due posizioni pubbliche</w:t>
      </w:r>
    </w:p>
    <w:p>
      <w:pPr>
        <w:spacing w:after="120" w:line="276"/>
        <w:jc w:val="both"/>
      </w:pPr>
      <w:r>
        <w:rPr>
          <w:rFonts w:ascii="Barlow Semi Condensed" w:cs="Barlow Semi Condensed" w:eastAsia="Barlow Semi Condensed" w:hAnsi="Barlow Semi Condensed"/>
          <w:sz w:val="24"/>
          <w:szCs w:val="24"/>
        </w:rPr>
        <w:t xml:space="preserve">Attorno alle comunicazioni si formarono, nel dibattito pubblico e nelle sedi istituzionali, due posizioni che è necessario esporre con esattezza perché su di esse si è successivamente costruito molto.</w:t>
      </w:r>
    </w:p>
    <w:p>
      <w:pPr>
        <w:spacing w:after="120" w:line="276"/>
        <w:jc w:val="both"/>
      </w:pPr>
      <w:r>
        <w:rPr>
          <w:rFonts w:ascii="Barlow Semi Condensed" w:cs="Barlow Semi Condensed" w:eastAsia="Barlow Semi Condensed" w:hAnsi="Barlow Semi Condensed"/>
          <w:sz w:val="24"/>
          <w:szCs w:val="24"/>
        </w:rPr>
        <w:t xml:space="preserve">La prima sosteneva che lo Stato non dovesse trattare con l'organizzazione, in quanto la trattativa ne avrebbe riconosciuto lo statuto politico e incentivato la reiterazione. Essa fu la posizione prevalente nelle sedi di governo e presso i maggiori partiti.</w:t>
      </w:r>
    </w:p>
    <w:p>
      <w:pPr>
        <w:spacing w:after="120" w:line="276"/>
        <w:jc w:val="both"/>
      </w:pPr>
      <w:r>
        <w:rPr>
          <w:rFonts w:ascii="Barlow Semi Condensed" w:cs="Barlow Semi Condensed" w:eastAsia="Barlow Semi Condensed" w:hAnsi="Barlow Semi Condensed"/>
          <w:sz w:val="24"/>
          <w:szCs w:val="24"/>
        </w:rPr>
        <w:t xml:space="preserve">La seconda sosteneva che dovesse essere perseguita ogni via idonea a salvare la vita del prigioniero, anche mediante forme di trattativa, e che ciò non comportasse riconoscimento politico. Essa fu sostenuta da settori minoritari e da una parte dei familiari.</w:t>
      </w:r>
    </w:p>
    <w:p>
      <w:pPr>
        <w:spacing w:after="120" w:line="276"/>
        <w:jc w:val="both"/>
      </w:pPr>
      <w:r>
        <w:rPr>
          <w:rFonts w:ascii="Barlow Semi Condensed" w:cs="Barlow Semi Condensed" w:eastAsia="Barlow Semi Condensed" w:hAnsi="Barlow Semi Condensed"/>
          <w:sz w:val="24"/>
          <w:szCs w:val="24"/>
        </w:rPr>
        <w:t xml:space="preserve">Quest'opera non giudica quale delle due fosse la posizione giusta, perché il giudizio è politico e morale e non documentale. Registra che entrambe furono sostenute con argomenti seri, che la prima prevalse, e che la questione è rimasta controversa fino a oggi.</w:t>
      </w:r>
    </w:p>
    <w:p>
      <w:pPr>
        <w:pStyle w:val="Heading2"/>
        <w:spacing w:after="100" w:before="200"/>
      </w:pPr>
      <w:r>
        <w:rPr>
          <w:rFonts w:ascii="Barlow Semi Condensed" w:cs="Barlow Semi Condensed" w:eastAsia="Barlow Semi Condensed" w:hAnsi="Barlow Semi Condensed"/>
          <w:sz w:val="24"/>
          <w:szCs w:val="24"/>
        </w:rPr>
        <w:t xml:space="preserve">Ciò che rileva per la ricostruzione materiale</w:t>
      </w:r>
    </w:p>
    <w:p>
      <w:pPr>
        <w:spacing w:after="120" w:line="276"/>
        <w:jc w:val="both"/>
      </w:pPr>
      <w:r>
        <w:rPr>
          <w:rFonts w:ascii="Barlow Semi Condensed" w:cs="Barlow Semi Condensed" w:eastAsia="Barlow Semi Condensed" w:hAnsi="Barlow Semi Condensed"/>
          <w:sz w:val="24"/>
          <w:szCs w:val="24"/>
        </w:rPr>
        <w:t xml:space="preserve">Quanto alla materia di questa Fase, la sequenza delle comunicazioni rileva per due elementi.</w:t>
      </w:r>
    </w:p>
    <w:p>
      <w:pPr>
        <w:spacing w:after="120" w:line="276"/>
        <w:jc w:val="both"/>
      </w:pPr>
      <w:r>
        <w:rPr>
          <w:rFonts w:ascii="Barlow Semi Condensed" w:cs="Barlow Semi Condensed" w:eastAsia="Barlow Semi Condensed" w:hAnsi="Barlow Semi Condensed"/>
          <w:sz w:val="24"/>
          <w:szCs w:val="24"/>
        </w:rPr>
        <w:t xml:space="preserve">Primo: essa attesta che il prigioniero fu mantenuto in vita per l'intero periodo e in condizioni che gli consentivano di scrivere, il che restringe le ipotesi sulle modalità di detenzione.</w:t>
      </w:r>
    </w:p>
    <w:p>
      <w:pPr>
        <w:spacing w:after="120" w:line="276"/>
        <w:jc w:val="both"/>
      </w:pPr>
      <w:r>
        <w:rPr>
          <w:rFonts w:ascii="Barlow Semi Condensed" w:cs="Barlow Semi Condensed" w:eastAsia="Barlow Semi Condensed" w:hAnsi="Barlow Semi Condensed"/>
          <w:sz w:val="24"/>
          <w:szCs w:val="24"/>
        </w:rPr>
        <w:t xml:space="preserve">Secondo: essa attesta che l'organizzazione mantenne, per cinquantacinque giorni, una capacità di comunicazione pubblica ripetuta senza che l'origine dei recapiti conducesse alla localizzazione. Il dato è già stato registrato nel Capitolo ventiquattresimo fra le capacità manifestate, e vi si è concluso che esso non costituisce scarto, essendo documentata come pratica corrente di quella organizzazione.</w:t>
      </w:r>
    </w:p>
    <w:p>
      <w:pPr>
        <w:pStyle w:val="Heading2"/>
        <w:spacing w:after="100" w:before="200"/>
      </w:pPr>
      <w:r>
        <w:rPr>
          <w:rFonts w:ascii="Barlow Semi Condensed" w:cs="Barlow Semi Condensed" w:eastAsia="Barlow Semi Condensed" w:hAnsi="Barlow Semi Condensed"/>
          <w:sz w:val="24"/>
          <w:szCs w:val="24"/>
        </w:rPr>
        <w:t xml:space="preserve">Una avvertenza sul contenuto</w:t>
      </w:r>
    </w:p>
    <w:p>
      <w:pPr>
        <w:spacing w:after="120" w:line="276"/>
        <w:jc w:val="both"/>
      </w:pPr>
      <w:r>
        <w:rPr>
          <w:rFonts w:ascii="Barlow Semi Condensed" w:cs="Barlow Semi Condensed" w:eastAsia="Barlow Semi Condensed" w:hAnsi="Barlow Semi Condensed"/>
          <w:sz w:val="24"/>
          <w:szCs w:val="24"/>
        </w:rPr>
        <w:t xml:space="preserve">Si avverte che questo Capitolo non riferisce il contenuto dei comunicati né quello delle lettere, se non per la parte già esposta nel Capitolo diciassettesimo quanto al movente dichiarato.</w:t>
      </w:r>
    </w:p>
    <w:p>
      <w:pPr>
        <w:spacing w:after="120" w:line="276"/>
        <w:jc w:val="both"/>
      </w:pPr>
      <w:r>
        <w:rPr>
          <w:rFonts w:ascii="Barlow Semi Condensed" w:cs="Barlow Semi Condensed" w:eastAsia="Barlow Semi Condensed" w:hAnsi="Barlow Semi Condensed"/>
          <w:sz w:val="24"/>
          <w:szCs w:val="24"/>
        </w:rPr>
        <w:t xml:space="preserve">La ragione è di competenza: le carte scritte sotto vincolo richiedono una disciplina di lettura propria — quali enunciati siano attribuibili a chi scrive, quali siano condizionati, quali siano dettati — e tale disciplina è oggetto della Fase Quarta. Anticiparne l'uso qui significherebbe impiegare come prova materiale ciò che non è ancora stato qualificato quanto allo statuto.</w:t>
      </w:r>
    </w:p>
    <w:p>
      <w:pPr>
        <w:pStyle w:val="Heading2"/>
        <w:spacing w:after="100" w:before="200"/>
      </w:pPr>
      <w:r>
        <w:rPr>
          <w:rFonts w:ascii="Barlow Semi Condensed" w:cs="Barlow Semi Condensed" w:eastAsia="Barlow Semi Condensed" w:hAnsi="Barlow Semi Condensed"/>
          <w:sz w:val="24"/>
          <w:szCs w:val="24"/>
        </w:rPr>
        <w:t xml:space="preserve">Capitolo ventottesimo — Il falso annuncio e via Gradoli</w:t>
      </w:r>
    </w:p>
    <w:p>
      <w:pPr>
        <w:spacing w:after="120" w:line="276"/>
        <w:jc w:val="both"/>
      </w:pPr>
      <w:r>
        <w:rPr>
          <w:rFonts w:ascii="Barlow Semi Condensed" w:cs="Barlow Semi Condensed" w:eastAsia="Barlow Semi Condensed" w:hAnsi="Barlow Semi Condensed"/>
          <w:sz w:val="24"/>
          <w:szCs w:val="24"/>
        </w:rPr>
        <w:t xml:space="preserve">Nella seconda metà del periodo si collocano due episodi che appartengono alla ricostruzione materiale e che sono, per ragioni opposte, i più densi dell'intera vicenda. Si espongono qui nella loro materialità; la loro qualificazione appartiene alla Fase Quinta.</w:t>
      </w:r>
    </w:p>
    <w:p>
      <w:pPr>
        <w:pStyle w:val="Heading2"/>
        <w:spacing w:after="100" w:before="200"/>
      </w:pPr>
      <w:r>
        <w:rPr>
          <w:rFonts w:ascii="Barlow Semi Condensed" w:cs="Barlow Semi Condensed" w:eastAsia="Barlow Semi Condensed" w:hAnsi="Barlow Semi Condensed"/>
          <w:sz w:val="24"/>
          <w:szCs w:val="24"/>
        </w:rPr>
        <w:t xml:space="preserve">Il falso annuncio</w:t>
      </w:r>
    </w:p>
    <w:p>
      <w:pPr>
        <w:spacing w:after="120" w:line="276"/>
        <w:jc w:val="both"/>
      </w:pPr>
      <w:r>
        <w:rPr>
          <w:rFonts w:ascii="Barlow Semi Condensed" w:cs="Barlow Semi Condensed" w:eastAsia="Barlow Semi Condensed" w:hAnsi="Barlow Semi Condensed"/>
          <w:sz w:val="24"/>
          <w:szCs w:val="24"/>
        </w:rPr>
        <w:t xml:space="preserve">Fu diffuso, nel corso del periodo, un comunicato apocrifo che annunciava la morte del prigioniero e ne indicava il luogo di rinvenimento in uno specchio d'acqua montano. Furono disposte operazioni di ricerca in quel luogo, con impiego di mezzi, e l'esito fu negativo.</w:t>
      </w:r>
    </w:p>
    <w:p>
      <w:pPr>
        <w:spacing w:after="120" w:line="276"/>
        <w:jc w:val="both"/>
      </w:pPr>
      <w:r>
        <w:rPr>
          <w:rFonts w:ascii="Barlow Semi Condensed" w:cs="Barlow Semi Condensed" w:eastAsia="Barlow Semi Condensed" w:hAnsi="Barlow Semi Condensed"/>
          <w:sz w:val="24"/>
          <w:szCs w:val="24"/>
        </w:rPr>
        <w:t xml:space="preserve">È accertato: che il comunicato fu diffuso; che non proveniva dall'organizzazione, la quale lo smentì; che furono disposte ricerche; che esse ebbero esito negativo.</w:t>
      </w:r>
    </w:p>
    <w:p>
      <w:pPr>
        <w:spacing w:after="120" w:line="276"/>
        <w:jc w:val="both"/>
      </w:pPr>
      <w:r>
        <w:rPr>
          <w:rFonts w:ascii="Barlow Semi Condensed" w:cs="Barlow Semi Condensed" w:eastAsia="Barlow Semi Condensed" w:hAnsi="Barlow Semi Condensed"/>
          <w:sz w:val="24"/>
          <w:szCs w:val="24"/>
        </w:rPr>
        <w:t xml:space="preserve">Non è accertata, allo stato degli atti che quest'opera ha potuto interrogare, l'identità di chi lo confezionò né la finalità perseguita. La materia è stata oggetto di procedimenti e di accertamenti parlamentari, con esiti che non hanno prodotto un accertamento definitivo.</w:t>
      </w:r>
    </w:p>
    <w:p>
      <w:pPr>
        <w:spacing w:after="120" w:line="276"/>
        <w:jc w:val="both"/>
      </w:pPr>
      <w:r>
        <w:rPr>
          <w:rFonts w:ascii="Barlow Semi Condensed" w:cs="Barlow Semi Condensed" w:eastAsia="Barlow Semi Condensed" w:hAnsi="Barlow Semi Condensed"/>
          <w:sz w:val="24"/>
          <w:szCs w:val="24"/>
        </w:rPr>
        <w:t xml:space="preserve">Si registra il carattere dell'episodio, che è quello di un atto deliberato di produzione di falso in una indagine in corso. Questo carattere è accertato: un comunicato apocrifo non si forma per errore. Che esso sia qualificabile come depistaggio nel senso tecnico, e a quale fine, resta in stato di dubbio quanto all'autore e alla finalità, mentre è in stato di sciolto quanto alla natura falsa dell'atto.</w:t>
      </w:r>
    </w:p>
    <w:p>
      <w:pPr>
        <w:pStyle w:val="Heading2"/>
        <w:spacing w:after="100" w:before="200"/>
      </w:pPr>
      <w:r>
        <w:rPr>
          <w:rFonts w:ascii="Barlow Semi Condensed" w:cs="Barlow Semi Condensed" w:eastAsia="Barlow Semi Condensed" w:hAnsi="Barlow Semi Condensed"/>
          <w:sz w:val="24"/>
          <w:szCs w:val="24"/>
        </w:rPr>
        <w:t xml:space="preserve">Via Gradoli</w:t>
      </w:r>
    </w:p>
    <w:p>
      <w:pPr>
        <w:spacing w:after="120" w:line="276"/>
        <w:jc w:val="both"/>
      </w:pPr>
      <w:r>
        <w:rPr>
          <w:rFonts w:ascii="Barlow Semi Condensed" w:cs="Barlow Semi Condensed" w:eastAsia="Barlow Semi Condensed" w:hAnsi="Barlow Semi Condensed"/>
          <w:sz w:val="24"/>
          <w:szCs w:val="24"/>
        </w:rPr>
        <w:t xml:space="preserve">Il secondo episodio riguarda un appartamento sito in una via di Roma denominata Gradoli, che risultò essere una base dell'organizzazione, e che fu individuato nella seconda metà del periodo in conseguenza di una perdita d'acqua che ne rese necessario l'accesso.</w:t>
      </w:r>
    </w:p>
    <w:p>
      <w:pPr>
        <w:spacing w:after="120" w:line="276"/>
        <w:jc w:val="both"/>
      </w:pPr>
      <w:r>
        <w:rPr>
          <w:rFonts w:ascii="Barlow Semi Condensed" w:cs="Barlow Semi Condensed" w:eastAsia="Barlow Semi Condensed" w:hAnsi="Barlow Semi Condensed"/>
          <w:sz w:val="24"/>
          <w:szCs w:val="24"/>
        </w:rPr>
        <w:t xml:space="preserve">Gli elementi accertati sono i seguenti. L'appartamento era una base dell'organizzazione. Esso fu individuato per una circostanza fortuita e non per attività di indagine. La sua individuazione avvenne quando il prigioniero era ancora in vita.</w:t>
      </w:r>
    </w:p>
    <w:p>
      <w:pPr>
        <w:spacing w:after="120" w:line="276"/>
        <w:jc w:val="both"/>
      </w:pPr>
      <w:r>
        <w:rPr>
          <w:rFonts w:ascii="Barlow Semi Condensed" w:cs="Barlow Semi Condensed" w:eastAsia="Barlow Semi Condensed" w:hAnsi="Barlow Semi Condensed"/>
          <w:sz w:val="24"/>
          <w:szCs w:val="24"/>
        </w:rPr>
        <w:t xml:space="preserve">Attorno a questo nucleo si collocano due circostanze che le sedi istituzionali hanno esaminate e qualificate come omissioni.</w:t>
      </w:r>
    </w:p>
    <w:p>
      <w:pPr>
        <w:spacing w:after="120" w:line="276"/>
        <w:jc w:val="both"/>
      </w:pPr>
      <w:r>
        <w:rPr>
          <w:rFonts w:ascii="Barlow Semi Condensed" w:cs="Barlow Semi Condensed" w:eastAsia="Barlow Semi Condensed" w:hAnsi="Barlow Semi Condensed"/>
          <w:sz w:val="24"/>
          <w:szCs w:val="24"/>
        </w:rPr>
        <w:t xml:space="preserve">La prima riguarda un controllo effettuato in quella via nelle settimane precedenti, che non condusse all'individuazione della base.</w:t>
      </w:r>
    </w:p>
    <w:p>
      <w:pPr>
        <w:spacing w:after="120" w:line="276"/>
        <w:jc w:val="both"/>
      </w:pPr>
      <w:r>
        <w:rPr>
          <w:rFonts w:ascii="Barlow Semi Condensed" w:cs="Barlow Semi Condensed" w:eastAsia="Barlow Semi Condensed" w:hAnsi="Barlow Semi Condensed"/>
          <w:sz w:val="24"/>
          <w:szCs w:val="24"/>
        </w:rPr>
        <w:t xml:space="preserve">La seconda riguarda la circostanza che, essendo stato indicato il nome Gradoli in una sede diversa e per via non ordinaria, le ricerche furono indirizzate verso una località omonima anziché verso la via romana.</w:t>
      </w:r>
    </w:p>
    <w:p>
      <w:pPr>
        <w:spacing w:after="120" w:line="276"/>
        <w:jc w:val="both"/>
      </w:pPr>
      <w:r>
        <w:rPr>
          <w:rFonts w:ascii="Barlow Semi Condensed" w:cs="Barlow Semi Condensed" w:eastAsia="Barlow Semi Condensed" w:hAnsi="Barlow Semi Condensed"/>
          <w:sz w:val="24"/>
          <w:szCs w:val="24"/>
        </w:rPr>
        <w:t xml:space="preserve">Su entrambe le circostanze quest'opera si limita qui a registrarne l'esistenza e la qualificazione ricevuta in sede istituzionale. La loro trattazione analitica — se costituiscano errore, negligenza o condotta deliberata — appartiene alla Fase Quinta, che ha per oggetto le omissioni, e vi sarà condotta secondo la disciplina propria di quella Fase, che richiede per ciascuna omissione l'accertamento del dovere, dell'inadempimento e della sua spiegabilità.</w:t>
      </w:r>
    </w:p>
    <w:p>
      <w:pPr>
        <w:pStyle w:val="Heading2"/>
        <w:spacing w:after="100" w:before="200"/>
      </w:pPr>
      <w:r>
        <w:rPr>
          <w:rFonts w:ascii="Barlow Semi Condensed" w:cs="Barlow Semi Condensed" w:eastAsia="Barlow Semi Condensed" w:hAnsi="Barlow Semi Condensed"/>
          <w:sz w:val="24"/>
          <w:szCs w:val="24"/>
        </w:rPr>
        <w:t xml:space="preserve">Perché i due episodi sono esposti insieme</w:t>
      </w:r>
    </w:p>
    <w:p>
      <w:pPr>
        <w:spacing w:after="120" w:line="276"/>
        <w:jc w:val="both"/>
      </w:pPr>
      <w:r>
        <w:rPr>
          <w:rFonts w:ascii="Barlow Semi Condensed" w:cs="Barlow Semi Condensed" w:eastAsia="Barlow Semi Condensed" w:hAnsi="Barlow Semi Condensed"/>
          <w:sz w:val="24"/>
          <w:szCs w:val="24"/>
        </w:rPr>
        <w:t xml:space="preserve">I due episodi sono esposti nel medesimo Capitolo per una ragione che non è cronologica ma logica.</w:t>
      </w:r>
    </w:p>
    <w:p>
      <w:pPr>
        <w:spacing w:after="120" w:line="276"/>
        <w:jc w:val="both"/>
      </w:pPr>
      <w:r>
        <w:rPr>
          <w:rFonts w:ascii="Barlow Semi Condensed" w:cs="Barlow Semi Condensed" w:eastAsia="Barlow Semi Condensed" w:hAnsi="Barlow Semi Condensed"/>
          <w:sz w:val="24"/>
          <w:szCs w:val="24"/>
        </w:rPr>
        <w:t xml:space="preserve">Essi costituiscono, insieme, il punto nel quale la vicenda materiale e la vicenda delle omissioni si toccano. Fino a questo punto la Fase ha potuto trattare il fatto come una successione di eventi materiali. Da questo punto in avanti ciò non è più possibile, perché gli eventi comprendono atti dello Stato — o omessi dallo Stato — che non sono qualificabili senza il metodo della Fase Quinta.</w:t>
      </w:r>
    </w:p>
    <w:p>
      <w:pPr>
        <w:spacing w:after="120" w:line="276"/>
        <w:jc w:val="both"/>
      </w:pPr>
      <w:r>
        <w:rPr>
          <w:rFonts w:ascii="Barlow Semi Condensed" w:cs="Barlow Semi Condensed" w:eastAsia="Barlow Semi Condensed" w:hAnsi="Barlow Semi Condensed"/>
          <w:sz w:val="24"/>
          <w:szCs w:val="24"/>
        </w:rPr>
        <w:t xml:space="preserve">Il lettore è avvertito che questa Fase si ferma qui quanto alla qualificazione, e che ciò non è reticenza ma competenza. Un registro che qualificasse le omissioni nella Fase dedicata al fatto materiale confonderebbe l'ordine dell'esposizione con quello della prova, e produrrebbe, per effetto della collocazione, l'impressione che l'omissione appartenga alla dinamica dell'agguato. Non vi appartiene: appartiene alla condotta di chi doveva impedirlo o interromperlo, che è altra cosa e ha altra prova.</w:t>
      </w:r>
    </w:p>
    <w:p>
      <w:pPr>
        <w:pStyle w:val="Heading2"/>
        <w:spacing w:after="100" w:before="200"/>
      </w:pPr>
      <w:r>
        <w:rPr>
          <w:rFonts w:ascii="Barlow Semi Condensed" w:cs="Barlow Semi Condensed" w:eastAsia="Barlow Semi Condensed" w:hAnsi="Barlow Semi Condensed"/>
          <w:sz w:val="24"/>
          <w:szCs w:val="24"/>
        </w:rPr>
        <w:t xml:space="preserve">Capitolo ventinovesimo — Il 9 maggio 1978</w:t>
      </w:r>
    </w:p>
    <w:p>
      <w:pPr>
        <w:pStyle w:val="Heading2"/>
        <w:spacing w:after="100" w:before="200"/>
      </w:pPr>
      <w:r>
        <w:rPr>
          <w:rFonts w:ascii="Barlow Semi Condensed" w:cs="Barlow Semi Condensed" w:eastAsia="Barlow Semi Condensed" w:hAnsi="Barlow Semi Condensed"/>
          <w:sz w:val="24"/>
          <w:szCs w:val="24"/>
        </w:rPr>
        <w:t xml:space="preserve">Il rinvenimento</w:t>
      </w:r>
    </w:p>
    <w:p>
      <w:pPr>
        <w:spacing w:after="120" w:line="276"/>
        <w:jc w:val="both"/>
      </w:pPr>
      <w:r>
        <w:rPr>
          <w:rFonts w:ascii="Barlow Semi Condensed" w:cs="Barlow Semi Condensed" w:eastAsia="Barlow Semi Condensed" w:hAnsi="Barlow Semi Condensed"/>
          <w:sz w:val="24"/>
          <w:szCs w:val="24"/>
        </w:rPr>
        <w:t xml:space="preserve">Il 9 maggio 1978 il corpo di Aldo Moro fu rinvenuto nel bagagliaio di una autovettura, una Renault 4 di colore rosso, parcheggiata in via Michelangelo Caetani, a Roma.</w:t>
      </w:r>
    </w:p>
    <w:p>
      <w:pPr>
        <w:spacing w:after="120" w:line="276"/>
        <w:jc w:val="both"/>
      </w:pPr>
      <w:r>
        <w:rPr>
          <w:rFonts w:ascii="Barlow Semi Condensed" w:cs="Barlow Semi Condensed" w:eastAsia="Barlow Semi Condensed" w:hAnsi="Barlow Semi Condensed"/>
          <w:sz w:val="24"/>
          <w:szCs w:val="24"/>
        </w:rPr>
        <w:t xml:space="preserve">La collocazione del veicolo è accertata e la sua descrizione topografica è la seguente: via Caetani si trova nel centro storico di Roma, a breve distanza sia dalla sede nazionale della Democrazia Cristiana sia dalla sede nazionale del Partito Comunista Italiano.</w:t>
      </w:r>
    </w:p>
    <w:p>
      <w:pPr>
        <w:spacing w:after="120" w:line="276"/>
        <w:jc w:val="both"/>
      </w:pPr>
      <w:r>
        <w:rPr>
          <w:rFonts w:ascii="Barlow Semi Condensed" w:cs="Barlow Semi Condensed" w:eastAsia="Barlow Semi Condensed" w:hAnsi="Barlow Semi Condensed"/>
          <w:sz w:val="24"/>
          <w:szCs w:val="24"/>
        </w:rPr>
        <w:t xml:space="preserve">Questa circostanza topografica è accertata. Il significato che le è stato attribuito — che la collocazione fosse deliberatamente scelta per il suo valore simbolico, equidistante fra i due partiti dell'accordo che l'azione intendeva colpire — è interpretazione largamente condivisa e non è accertata da alcun atto. Si registra come lettura prevalente e non come dato.</w:t>
      </w:r>
    </w:p>
    <w:p>
      <w:pPr>
        <w:pStyle w:val="Heading2"/>
        <w:spacing w:after="100" w:before="200"/>
      </w:pPr>
      <w:r>
        <w:rPr>
          <w:rFonts w:ascii="Barlow Semi Condensed" w:cs="Barlow Semi Condensed" w:eastAsia="Barlow Semi Condensed" w:hAnsi="Barlow Semi Condensed"/>
          <w:sz w:val="24"/>
          <w:szCs w:val="24"/>
        </w:rPr>
        <w:t xml:space="preserve">La causa della morte</w:t>
      </w:r>
    </w:p>
    <w:p>
      <w:pPr>
        <w:spacing w:after="120" w:line="276"/>
        <w:jc w:val="both"/>
      </w:pPr>
      <w:r>
        <w:rPr>
          <w:rFonts w:ascii="Barlow Semi Condensed" w:cs="Barlow Semi Condensed" w:eastAsia="Barlow Semi Condensed" w:hAnsi="Barlow Semi Condensed"/>
          <w:sz w:val="24"/>
          <w:szCs w:val="24"/>
        </w:rPr>
        <w:t xml:space="preserve">La morte fu determinata da colpi di arma da fuoco esplosi a distanza ravvicinata contro il torace. Le armi impiegate furono due, di calibro e tipo diverso, secondo quanto accertato dalla perizia balistica.</w:t>
      </w:r>
    </w:p>
    <w:p>
      <w:pPr>
        <w:spacing w:after="120" w:line="276"/>
        <w:jc w:val="both"/>
      </w:pPr>
      <w:r>
        <w:rPr>
          <w:rFonts w:ascii="Barlow Semi Condensed" w:cs="Barlow Semi Condensed" w:eastAsia="Barlow Semi Condensed" w:hAnsi="Barlow Semi Condensed"/>
          <w:sz w:val="24"/>
          <w:szCs w:val="24"/>
        </w:rPr>
        <w:t xml:space="preserve">L'ora e il luogo dell'uccisione non sono accertati con la medesima precisione della causa. Gli elementi disponibili, di natura medico-legale, consentono di collocare l'evento entro un intervallo, e la loro precisazione è stata oggetto di valutazioni non del tutto concordi.</w:t>
      </w:r>
    </w:p>
    <w:p>
      <w:pPr>
        <w:pStyle w:val="Heading2"/>
        <w:spacing w:after="100" w:before="200"/>
      </w:pPr>
      <w:r>
        <w:rPr>
          <w:rFonts w:ascii="Barlow Semi Condensed" w:cs="Barlow Semi Condensed" w:eastAsia="Barlow Semi Condensed" w:hAnsi="Barlow Semi Condensed"/>
          <w:sz w:val="24"/>
          <w:szCs w:val="24"/>
        </w:rPr>
        <w:t xml:space="preserve">L'attribuzione dell'atto</w:t>
      </w:r>
    </w:p>
    <w:p>
      <w:pPr>
        <w:spacing w:after="120" w:line="276"/>
        <w:jc w:val="both"/>
      </w:pPr>
      <w:r>
        <w:rPr>
          <w:rFonts w:ascii="Barlow Semi Condensed" w:cs="Barlow Semi Condensed" w:eastAsia="Barlow Semi Condensed" w:hAnsi="Barlow Semi Condensed"/>
          <w:sz w:val="24"/>
          <w:szCs w:val="24"/>
        </w:rPr>
        <w:t xml:space="preserve">L'attribuzione individuale dell'esecuzione è uno dei punti nei quali la ricostruzione ha conosciuto revisione.</w:t>
      </w:r>
    </w:p>
    <w:p>
      <w:pPr>
        <w:spacing w:after="120" w:line="276"/>
        <w:jc w:val="both"/>
      </w:pPr>
      <w:r>
        <w:rPr>
          <w:rFonts w:ascii="Barlow Semi Condensed" w:cs="Barlow Semi Condensed" w:eastAsia="Barlow Semi Condensed" w:hAnsi="Barlow Semi Condensed"/>
          <w:sz w:val="24"/>
          <w:szCs w:val="24"/>
        </w:rPr>
        <w:t xml:space="preserve">Per un periodo prolungato la ricostruzione accolta attribuiva l'atto a un determinato appartenente all'organizzazione. Successivamente, in conseguenza dell'emergere di elementi relativi alla presenza di un ulteriore soggetto nella custodia del prigioniero, la ricostruzione fu rivista.</w:t>
      </w:r>
    </w:p>
    <w:p>
      <w:pPr>
        <w:spacing w:after="120" w:line="276"/>
        <w:jc w:val="both"/>
      </w:pPr>
      <w:r>
        <w:rPr>
          <w:rFonts w:ascii="Barlow Semi Condensed" w:cs="Barlow Semi Condensed" w:eastAsia="Barlow Semi Condensed" w:hAnsi="Barlow Semi Condensed"/>
          <w:sz w:val="24"/>
          <w:szCs w:val="24"/>
        </w:rPr>
        <w:t xml:space="preserve">Si applica la regola del Capitolo ventunesimo. L'attribuzione individuale poggia su dichiarazioni e non su rilievo materiale. Essa è dunque iscritta come dato di ricostruzione, con menzione della revisione intervenuta, e resta soggetta a ulteriore revisione ove le dichiarazioni mutino.</w:t>
      </w:r>
    </w:p>
    <w:p>
      <w:pPr>
        <w:pStyle w:val="Heading2"/>
        <w:spacing w:after="100" w:before="200"/>
      </w:pPr>
      <w:r>
        <w:rPr>
          <w:rFonts w:ascii="Barlow Semi Condensed" w:cs="Barlow Semi Condensed" w:eastAsia="Barlow Semi Condensed" w:hAnsi="Barlow Semi Condensed"/>
          <w:sz w:val="24"/>
          <w:szCs w:val="24"/>
        </w:rPr>
        <w:t xml:space="preserve">I ritrovamenti successivi e il marcatore di spoliazione</w:t>
      </w:r>
    </w:p>
    <w:p>
      <w:pPr>
        <w:spacing w:after="120" w:line="276"/>
        <w:jc w:val="both"/>
      </w:pPr>
      <w:r>
        <w:rPr>
          <w:rFonts w:ascii="Barlow Semi Condensed" w:cs="Barlow Semi Condensed" w:eastAsia="Barlow Semi Condensed" w:hAnsi="Barlow Semi Condensed"/>
          <w:sz w:val="24"/>
          <w:szCs w:val="24"/>
        </w:rPr>
        <w:t xml:space="preserve">Occorre esporre in questo Capitolo, sebbene cronologicamente successivo, un elemento che incide sulla ricostruzione materiale.</w:t>
      </w:r>
    </w:p>
    <w:p>
      <w:pPr>
        <w:spacing w:after="120" w:line="276"/>
        <w:jc w:val="both"/>
      </w:pPr>
      <w:r>
        <w:rPr>
          <w:rFonts w:ascii="Barlow Semi Condensed" w:cs="Barlow Semi Condensed" w:eastAsia="Barlow Semi Condensed" w:hAnsi="Barlow Semi Condensed"/>
          <w:sz w:val="24"/>
          <w:szCs w:val="24"/>
        </w:rPr>
        <w:t xml:space="preserve">In epoca successiva alla conclusione della vicenda fu individuata, in una città del nord, una base dell'organizzazione, e vi furono rinvenuti documenti riferibili alla prigionia, fra cui riproduzioni di scritti del prigioniero.</w:t>
      </w:r>
    </w:p>
    <w:p>
      <w:pPr>
        <w:spacing w:after="120" w:line="276"/>
        <w:jc w:val="both"/>
      </w:pPr>
      <w:r>
        <w:rPr>
          <w:rFonts w:ascii="Barlow Semi Condensed" w:cs="Barlow Semi Condensed" w:eastAsia="Barlow Semi Condensed" w:hAnsi="Barlow Semi Condensed"/>
          <w:sz w:val="24"/>
          <w:szCs w:val="24"/>
        </w:rPr>
        <w:t xml:space="preserve">Anni dopo, nel corso di lavori edilizi nel medesimo luogo, fu effettuato un secondo rinvenimento di ulteriori documenti, che si trovavano occultati in una intercapedine e che non erano stati reperiti nel corso della prima operazione.</w:t>
      </w:r>
    </w:p>
    <w:p>
      <w:pPr>
        <w:spacing w:after="120" w:line="276"/>
        <w:jc w:val="both"/>
      </w:pPr>
      <w:r>
        <w:rPr>
          <w:rFonts w:ascii="Barlow Semi Condensed" w:cs="Barlow Semi Condensed" w:eastAsia="Barlow Semi Condensed" w:hAnsi="Barlow Semi Condensed"/>
          <w:sz w:val="24"/>
          <w:szCs w:val="24"/>
        </w:rPr>
        <w:t xml:space="preserve">La duplicità del rinvenimento è accertata. Essa comporta una conseguenza che va registrata con precisione, e che quest'opera iscrive con un marcatore proprio: dal momento in cui è accertato che una prima operazione non reperì ciò che una seconda reperì nel medesimo luogo, l'esaustività della prima operazione è esclusa. Il marcatore, una volta apposto, non si rimuove: nessuna dichiarazione successiva può ripristinare la presunzione di completezza di una ricerca della quale è documentata l'incompletezza.</w:t>
      </w:r>
    </w:p>
    <w:p>
      <w:pPr>
        <w:spacing w:after="120" w:line="276"/>
        <w:jc w:val="both"/>
      </w:pPr>
      <w:r>
        <w:rPr>
          <w:rFonts w:ascii="Barlow Semi Condensed" w:cs="Barlow Semi Condensed" w:eastAsia="Barlow Semi Condensed" w:hAnsi="Barlow Semi Condensed"/>
          <w:sz w:val="24"/>
          <w:szCs w:val="24"/>
        </w:rPr>
        <w:t xml:space="preserve">Ciò non qualifica la ragione dell'incompletezza, che può essere tecnica o di altra natura, e la cui indagine appartiene alla Fase Quinta.</w:t>
      </w:r>
    </w:p>
    <w:p>
      <w:pPr>
        <w:pStyle w:val="Heading2"/>
        <w:spacing w:after="100" w:before="200"/>
      </w:pPr>
      <w:r>
        <w:rPr>
          <w:rFonts w:ascii="Barlow Semi Condensed" w:cs="Barlow Semi Condensed" w:eastAsia="Barlow Semi Condensed" w:hAnsi="Barlow Semi Condensed"/>
          <w:sz w:val="24"/>
          <w:szCs w:val="24"/>
        </w:rPr>
        <w:t xml:space="preserve">Bilancio del Capitolo</w:t>
      </w:r>
    </w:p>
    <w:p>
      <w:pPr>
        <w:spacing w:after="120" w:line="276"/>
        <w:jc w:val="both"/>
      </w:pPr>
      <w:r>
        <w:rPr>
          <w:rFonts w:ascii="Barlow Semi Condensed" w:cs="Barlow Semi Condensed" w:eastAsia="Barlow Semi Condensed" w:hAnsi="Barlow Semi Condensed"/>
          <w:sz w:val="24"/>
          <w:szCs w:val="24"/>
        </w:rPr>
        <w:t xml:space="preserve">Sono in stato di sciolto: la data e il luogo del rinvenimento; il tipo e la collocazione del veicolo; la causa della morte e l'impiego di due armi; la prossimità topografica alle due sedi di partito; la duplicità del rinvenimento documentale e la conseguente esclusione dell'esaustività della prima operazione.</w:t>
      </w:r>
    </w:p>
    <w:p>
      <w:pPr>
        <w:spacing w:after="120" w:line="276"/>
        <w:jc w:val="both"/>
      </w:pPr>
      <w:r>
        <w:rPr>
          <w:rFonts w:ascii="Barlow Semi Condensed" w:cs="Barlow Semi Condensed" w:eastAsia="Barlow Semi Condensed" w:hAnsi="Barlow Semi Condensed"/>
          <w:sz w:val="24"/>
          <w:szCs w:val="24"/>
        </w:rPr>
        <w:t xml:space="preserve">Sono in stato di dubbio: l'ora e il luogo dell'uccisione entro l'intervallo; l'attribuzione individuale dell'esecuzione; il significato della collocazione del veicolo.</w:t>
      </w:r>
    </w:p>
    <w:p>
      <w:pPr>
        <w:pStyle w:val="Heading2"/>
        <w:spacing w:after="100" w:before="200"/>
      </w:pPr>
      <w:r>
        <w:rPr>
          <w:rFonts w:ascii="Barlow Semi Condensed" w:cs="Barlow Semi Condensed" w:eastAsia="Barlow Semi Condensed" w:hAnsi="Barlow Semi Condensed"/>
          <w:sz w:val="24"/>
          <w:szCs w:val="24"/>
        </w:rPr>
        <w:t xml:space="preserve">Capitolo trentesimo — Bilancio della Fase Terza</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l'insieme dei fatti materiali esposti: la composizione e l'identità del servizio di scorta; le circostanze dell'agguato del 16 marzo 1978 nei suoi elementi non controversi; l'uccisione dei cinque uomini; il prelevamento e il trasferimento; la detenzione in via Camillo Montalcini; la sequenza delle comunicazioni durante i cinquantacinque giorni; la diffusione di un comunicato apocrifo e l'esito negativo delle ricerche che ne conseguirono; l'individuazione fortuita della base di via Gradoli in costanza di prigionia; il rinvenimento del 9 maggio 1978 in via Caetani; la causa della morte; la duplicità del rinvenimento documentale nella base settentrionale.</w:t>
      </w:r>
    </w:p>
    <w:p>
      <w:pPr>
        <w:pStyle w:val="Heading2"/>
        <w:spacing w:after="100" w:before="200"/>
      </w:pPr>
      <w:r>
        <w:rPr>
          <w:rFonts w:ascii="Barlow Semi Condensed" w:cs="Barlow Semi Condensed" w:eastAsia="Barlow Semi Condensed" w:hAnsi="Barlow Semi Condensed"/>
          <w:sz w:val="24"/>
          <w:szCs w:val="24"/>
        </w:rPr>
        <w:t xml:space="preserve">Ciò che è dubbio</w:t>
      </w:r>
    </w:p>
    <w:p>
      <w:pPr>
        <w:spacing w:after="120" w:line="276"/>
        <w:jc w:val="both"/>
      </w:pPr>
      <w:r>
        <w:rPr>
          <w:rFonts w:ascii="Barlow Semi Condensed" w:cs="Barlow Semi Condensed" w:eastAsia="Barlow Semi Condensed" w:hAnsi="Barlow Semi Condensed"/>
          <w:sz w:val="24"/>
          <w:szCs w:val="24"/>
        </w:rPr>
        <w:t xml:space="preserve">Restano in stato di dubbio: la durata esatta dell'azione di via Fani; il numero preciso dei partecipanti; il percorso e i luoghi intermedi del trasferimento; l'ipotesi di luoghi ulteriori di detenzione; l'origine delle tracce rilevate; l'ora e il luogo dell'uccisione entro l'intervallo medico-legale; l'attribuzione individuale dell'esecuzione; l'identità e la finalità dell'autore del comunicato apocrifo; il significato della collocazione del veicolo in via Caetani.</w:t>
      </w:r>
    </w:p>
    <w:p>
      <w:pPr>
        <w:spacing w:after="120" w:line="276"/>
        <w:jc w:val="both"/>
      </w:pPr>
      <w:r>
        <w:rPr>
          <w:rFonts w:ascii="Barlow Semi Condensed" w:cs="Barlow Semi Condensed" w:eastAsia="Barlow Semi Condensed" w:hAnsi="Barlow Semi Condensed"/>
          <w:sz w:val="24"/>
          <w:szCs w:val="24"/>
        </w:rPr>
        <w:t xml:space="preserve">Si osservi la natura di questo elenco. Esso non contiene ipotesi esotiche: contiene le circostanze ordinarie di un fatto criminoso — quanti erano, dove andarono, chi sparò, a che ora. Che dopo quasi cinquant'anni, quattro procedimenti e più commissioni parlamentari tali circostanze siano in parte non accertate è, di per sé, un dato che va registrato e non commentato in questa sede.</w:t>
      </w:r>
    </w:p>
    <w:p>
      <w:pPr>
        <w:pStyle w:val="Heading2"/>
        <w:spacing w:after="100" w:before="200"/>
      </w:pPr>
      <w:r>
        <w:rPr>
          <w:rFonts w:ascii="Barlow Semi Condensed" w:cs="Barlow Semi Condensed" w:eastAsia="Barlow Semi Condensed" w:hAnsi="Barlow Semi Condensed"/>
          <w:sz w:val="24"/>
          <w:szCs w:val="24"/>
        </w:rPr>
        <w:t xml:space="preserve">La regola che ha governato la Fase</w:t>
      </w:r>
    </w:p>
    <w:p>
      <w:pPr>
        <w:spacing w:after="120" w:line="276"/>
        <w:jc w:val="both"/>
      </w:pPr>
      <w:r>
        <w:rPr>
          <w:rFonts w:ascii="Barlow Semi Condensed" w:cs="Barlow Semi Condensed" w:eastAsia="Barlow Semi Condensed" w:hAnsi="Barlow Semi Condensed"/>
          <w:sz w:val="24"/>
          <w:szCs w:val="24"/>
        </w:rPr>
        <w:t xml:space="preserve">La Fase ha applicato costantemente la distinzione fra ciò che poggia su rilievo materiale e ciò che poggia su dichiarazione. Si trae ora il bilancio di tale applicazione, perché è il risultato metodologico principale.</w:t>
      </w:r>
    </w:p>
    <w:p>
      <w:pPr>
        <w:spacing w:after="120" w:line="276"/>
        <w:jc w:val="both"/>
      </w:pPr>
      <w:r>
        <w:rPr>
          <w:rFonts w:ascii="Barlow Semi Condensed" w:cs="Barlow Semi Condensed" w:eastAsia="Barlow Semi Condensed" w:hAnsi="Barlow Semi Condensed"/>
          <w:sz w:val="24"/>
          <w:szCs w:val="24"/>
        </w:rPr>
        <w:t xml:space="preserve">Poggiano su rilievo materiale, e sono dunque stabili rispetto al mutare delle dichiarazioni: il luogo e la dinamica generale dell'agguato; i decessi e le loro cause; il numero approssimativo dei bossoli e la concentrazione del fuoco; la natura della base di via Gradoli; la data, il luogo e le modalità del rinvenimento; la causa della morte; la duplicità del rinvenimento documentale.</w:t>
      </w:r>
    </w:p>
    <w:p>
      <w:pPr>
        <w:spacing w:after="120" w:line="276"/>
        <w:jc w:val="both"/>
      </w:pPr>
      <w:r>
        <w:rPr>
          <w:rFonts w:ascii="Barlow Semi Condensed" w:cs="Barlow Semi Condensed" w:eastAsia="Barlow Semi Condensed" w:hAnsi="Barlow Semi Condensed"/>
          <w:sz w:val="24"/>
          <w:szCs w:val="24"/>
        </w:rPr>
        <w:t xml:space="preserve">Poggiano su dichiarazione, e sono dunque soggetti a revisione: il numero dei partecipanti; il percorso del trasferimento; l'individuazione del luogo di detenzione; l'attribuzione individuale dei colpi e dell'esecuzione.</w:t>
      </w:r>
    </w:p>
    <w:p>
      <w:pPr>
        <w:spacing w:after="120" w:line="276"/>
        <w:jc w:val="both"/>
      </w:pPr>
      <w:r>
        <w:rPr>
          <w:rFonts w:ascii="Barlow Semi Condensed" w:cs="Barlow Semi Condensed" w:eastAsia="Barlow Semi Condensed" w:hAnsi="Barlow Semi Condensed"/>
          <w:sz w:val="24"/>
          <w:szCs w:val="24"/>
        </w:rPr>
        <w:t xml:space="preserve">La ripartizione è istruttiva. Ciò che sappiamo dei luoghi e dei corpi è solido; ciò che sappiamo delle persone e delle loro azioni individuali poggia in misura preponderante su ciò che alcune di quelle persone hanno dichiarato, in tempi successivi e con revisioni.</w:t>
      </w:r>
    </w:p>
    <w:p>
      <w:pPr>
        <w:pStyle w:val="Heading2"/>
        <w:spacing w:after="100" w:before="200"/>
      </w:pPr>
      <w:r>
        <w:rPr>
          <w:rFonts w:ascii="Barlow Semi Condensed" w:cs="Barlow Semi Condensed" w:eastAsia="Barlow Semi Condensed" w:hAnsi="Barlow Semi Condensed"/>
          <w:sz w:val="24"/>
          <w:szCs w:val="24"/>
        </w:rPr>
        <w:t xml:space="preserve">Ciò che si consegna</w:t>
      </w:r>
    </w:p>
    <w:p>
      <w:pPr>
        <w:spacing w:after="120" w:line="276"/>
        <w:jc w:val="both"/>
      </w:pPr>
      <w:r>
        <w:rPr>
          <w:rFonts w:ascii="Barlow Semi Condensed" w:cs="Barlow Semi Condensed" w:eastAsia="Barlow Semi Condensed" w:hAnsi="Barlow Semi Condensed"/>
          <w:sz w:val="24"/>
          <w:szCs w:val="24"/>
        </w:rPr>
        <w:t xml:space="preserve">Si consegna alle Fasi Quinta e Sesta lo scarto misurato al Capitolo ventiquattresimo: due capacità manifestate con via di acquisizione non documentata, tre letture aperte, nessun elemento discriminante prodotto da questa Fase.</w:t>
      </w:r>
    </w:p>
    <w:p>
      <w:pPr>
        <w:spacing w:after="120" w:line="276"/>
        <w:jc w:val="both"/>
      </w:pPr>
      <w:r>
        <w:rPr>
          <w:rFonts w:ascii="Barlow Semi Condensed" w:cs="Barlow Semi Condensed" w:eastAsia="Barlow Semi Condensed" w:hAnsi="Barlow Semi Condensed"/>
          <w:sz w:val="24"/>
          <w:szCs w:val="24"/>
        </w:rPr>
        <w:t xml:space="preserve">Si consegna alla Fase Quarta la materia delle carte, con l'avvertenza del Capitolo ventisettesimo: il loro contenuto non è stato impiegato in questa Fase, per difetto di qualificazione preliminare quanto allo statuto degli enunciati scritti sotto vincolo.</w:t>
      </w:r>
    </w:p>
    <w:p>
      <w:pPr>
        <w:spacing w:after="120" w:line="276"/>
        <w:jc w:val="both"/>
      </w:pPr>
      <w:r>
        <w:rPr>
          <w:rFonts w:ascii="Barlow Semi Condensed" w:cs="Barlow Semi Condensed" w:eastAsia="Barlow Semi Condensed" w:hAnsi="Barlow Semi Condensed"/>
          <w:sz w:val="24"/>
          <w:szCs w:val="24"/>
        </w:rPr>
        <w:t xml:space="preserve">Si consegna alla Fase Quinta la materia dei Capitoli ventottesimo e ventinovesimo: il comunicato apocrifo, le due circostanze relative a via Gradoli, l'esito nullo della ricerca eccezionale, e il marcatore di spoliazione apposto al rinvenimento documentale. Sono i quattro elementi che, secondo la matrice del Capitolo diciannovesimo, costituiscono il terreno di massimo rendimento istruttorio.</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14 agosto 2026. Cantiere: Fase Terza, il fatto. Materia: agguato, trasferimento, prigionia, comunicazioni, rinvenimento. Esito: dodici acquisizioni in stato di sciolto; nove in stato di dubbio; scarto misurato su due capacità; ripartizione delle acquisizioni fra rilievo materiale e dichiarazione.</w:t>
      </w:r>
    </w:p>
    <w:p>
      <w:pPr>
        <w:spacing w:after="120" w:line="276"/>
        <w:jc w:val="both"/>
      </w:pPr>
      <w:r>
        <w:rPr>
          <w:rFonts w:ascii="Barlow Semi Condensed" w:cs="Barlow Semi Condensed" w:eastAsia="Barlow Semi Condensed" w:hAnsi="Barlow Semi Condensed"/>
          <w:sz w:val="24"/>
          <w:szCs w:val="24"/>
        </w:rPr>
        <w:t xml:space="preserve">Riga di esito nullo. La ricerca condotta per cinquantacinque giorni con risorse eccezionali non produsse la localizzazione del prigioniero. L'esito nullo è registrato come acquisizione di pieno valore, e la sua spiegazione — inefficienza, ostacolo o simulazione — non è data in questa Fase, che non ne ha competenza.</w:t>
      </w:r>
    </w:p>
    <w:p>
      <w:pPr>
        <w:spacing w:after="120" w:line="276"/>
        <w:jc w:val="both"/>
      </w:pPr>
      <w:r>
        <w:rPr>
          <w:rFonts w:ascii="Barlow Semi Condensed" w:cs="Barlow Semi Condensed" w:eastAsia="Barlow Semi Condensed" w:hAnsi="Barlow Semi Condensed"/>
          <w:sz w:val="24"/>
          <w:szCs w:val="24"/>
        </w:rPr>
        <w:t xml:space="preserve">Riga di marcatore. È apposto al rinvenimento documentale della base settentrionale il marcatore di spoliazione, per accertata incompletezza della prima operazione. Il marcatore non si rimuove.</w:t>
      </w:r>
    </w:p>
    <w:p>
      <w:pPr>
        <w:spacing w:after="120" w:line="276"/>
        <w:jc w:val="both"/>
      </w:pPr>
      <w:r>
        <w:rPr>
          <w:rFonts w:ascii="Barlow Semi Condensed" w:cs="Barlow Semi Condensed" w:eastAsia="Barlow Semi Condensed" w:hAnsi="Barlow Semi Condensed"/>
          <w:sz w:val="24"/>
          <w:szCs w:val="24"/>
        </w:rPr>
        <w:t xml:space="preserve">Riga di avvertenza. Nessuna delle proposizioni di questa Fase attribuisce responsabilità oltre quanto accertato in sede giudiziaria. Le revisioni intervenute nella ricostruzione sono state segnalate ove incidano, e la loro segnalazione non implica giudizio sulla buona fede di chi le rese necessarie.</w:t>
      </w:r>
    </w:p>
    <w:p>
      <w:pPr>
        <w:pStyle w:val="Heading2"/>
        <w:spacing w:after="100" w:before="200"/>
      </w:pPr>
      <w:r>
        <w:rPr>
          <w:rFonts w:ascii="Barlow Semi Condensed" w:cs="Barlow Semi Condensed" w:eastAsia="Barlow Semi Condensed" w:hAnsi="Barlow Semi Condensed"/>
          <w:sz w:val="24"/>
          <w:szCs w:val="24"/>
        </w:rPr>
        <w:t xml:space="preserve">FASE QUARTA — LE CARTE</w:t>
      </w:r>
    </w:p>
    <w:p>
      <w:pPr>
        <w:spacing w:after="120" w:line="276"/>
        <w:jc w:val="both"/>
      </w:pPr>
      <w:r>
        <w:rPr>
          <w:rFonts w:ascii="Barlow Semi Condensed" w:cs="Barlow Semi Condensed" w:eastAsia="Barlow Semi Condensed" w:hAnsi="Barlow Semi Condensed"/>
          <w:sz w:val="24"/>
          <w:szCs w:val="24"/>
        </w:rPr>
        <w:t xml:space="preserve">Dove si stabilisce lo statuto degli enunciati scritti sotto vincolo, si gradua il vincolo per proposizione e non per documento, e si dichiara che cosa le carte provino e che cosa non provino.</w:t>
      </w:r>
    </w:p>
    <w:p>
      <w:pPr>
        <w:pStyle w:val="Heading2"/>
        <w:spacing w:after="100" w:before="200"/>
      </w:pPr>
      <w:r>
        <w:rPr>
          <w:rFonts w:ascii="Barlow Semi Condensed" w:cs="Barlow Semi Condensed" w:eastAsia="Barlow Semi Condensed" w:hAnsi="Barlow Semi Condensed"/>
          <w:sz w:val="24"/>
          <w:szCs w:val="24"/>
        </w:rPr>
        <w:t xml:space="preserve">Capitolo trentunesimo — Lo statuto degli enunciati scritti sotto vincolo</w:t>
      </w:r>
    </w:p>
    <w:p>
      <w:pPr>
        <w:spacing w:after="120" w:line="276"/>
        <w:jc w:val="both"/>
      </w:pPr>
      <w:r>
        <w:rPr>
          <w:rFonts w:ascii="Barlow Semi Condensed" w:cs="Barlow Semi Condensed" w:eastAsia="Barlow Semi Condensed" w:hAnsi="Barlow Semi Condensed"/>
          <w:sz w:val="24"/>
          <w:szCs w:val="24"/>
        </w:rPr>
        <w:t xml:space="preserve">Questa Fase ha per oggetto le carte: le lettere scritte durante la prigionia, gli scritti di natura diversa complessivamente denominati memoriale, e i documenti rinvenuti in epoche successive.</w:t>
      </w:r>
    </w:p>
    <w:p>
      <w:pPr>
        <w:spacing w:after="120" w:line="276"/>
        <w:jc w:val="both"/>
      </w:pPr>
      <w:r>
        <w:rPr>
          <w:rFonts w:ascii="Barlow Semi Condensed" w:cs="Barlow Semi Condensed" w:eastAsia="Barlow Semi Condensed" w:hAnsi="Barlow Semi Condensed"/>
          <w:sz w:val="24"/>
          <w:szCs w:val="24"/>
        </w:rPr>
        <w:t xml:space="preserve">Essa richiede una disciplina propria, e la richiede per una ragione che va esposta prima di ogni altra cosa, perché senza di essa ogni uso delle carte è arbitrario.</w:t>
      </w:r>
    </w:p>
    <w:p>
      <w:pPr>
        <w:pStyle w:val="Heading2"/>
        <w:spacing w:after="100" w:before="200"/>
      </w:pPr>
      <w:r>
        <w:rPr>
          <w:rFonts w:ascii="Barlow Semi Condensed" w:cs="Barlow Semi Condensed" w:eastAsia="Barlow Semi Condensed" w:hAnsi="Barlow Semi Condensed"/>
          <w:sz w:val="24"/>
          <w:szCs w:val="24"/>
        </w:rPr>
        <w:t xml:space="preserve">Il problema</w:t>
      </w:r>
    </w:p>
    <w:p>
      <w:pPr>
        <w:spacing w:after="120" w:line="276"/>
        <w:jc w:val="both"/>
      </w:pPr>
      <w:r>
        <w:rPr>
          <w:rFonts w:ascii="Barlow Semi Condensed" w:cs="Barlow Semi Condensed" w:eastAsia="Barlow Semi Condensed" w:hAnsi="Barlow Semi Condensed"/>
          <w:sz w:val="24"/>
          <w:szCs w:val="24"/>
        </w:rPr>
        <w:t xml:space="preserve">Un uomo scrive. Ciò che scrive è di suo pugno, e ciò è verificabile. Ma scrive mentre è prigioniero di chi ha ucciso i suoi uomini e può uccidere lui; scrive sapendo che i suoi scritti saranno letti da chi lo custodisce prima che dai destinatari; scrive potendo essere indotto, per persuasione o per necessità, a trattare taluni argomenti e a tacerne altri.</w:t>
      </w:r>
    </w:p>
    <w:p>
      <w:pPr>
        <w:pStyle w:val="Heading2"/>
        <w:spacing w:after="100" w:before="200"/>
      </w:pPr>
      <w:r>
        <w:rPr>
          <w:rFonts w:ascii="Barlow Semi Condensed" w:cs="Barlow Semi Condensed" w:eastAsia="Barlow Semi Condensed" w:hAnsi="Barlow Semi Condensed"/>
          <w:sz w:val="24"/>
          <w:szCs w:val="24"/>
        </w:rPr>
        <w:t xml:space="preserve">Che statuto hanno tali enunciati?</w:t>
      </w:r>
    </w:p>
    <w:p>
      <w:pPr>
        <w:spacing w:after="120" w:line="276"/>
        <w:jc w:val="both"/>
      </w:pPr>
      <w:r>
        <w:rPr>
          <w:rFonts w:ascii="Barlow Semi Condensed" w:cs="Barlow Semi Condensed" w:eastAsia="Barlow Semi Condensed" w:hAnsi="Barlow Semi Condensed"/>
          <w:sz w:val="24"/>
          <w:szCs w:val="24"/>
        </w:rPr>
        <w:t xml:space="preserve">Due risposte estreme sono state date, e sono entrambe insostenibili.</w:t>
      </w:r>
    </w:p>
    <w:p>
      <w:pPr>
        <w:spacing w:after="120" w:line="276"/>
        <w:jc w:val="both"/>
      </w:pPr>
      <w:r>
        <w:rPr>
          <w:rFonts w:ascii="Barlow Semi Condensed" w:cs="Barlow Semi Condensed" w:eastAsia="Barlow Semi Condensed" w:hAnsi="Barlow Semi Condensed"/>
          <w:sz w:val="24"/>
          <w:szCs w:val="24"/>
        </w:rPr>
        <w:t xml:space="preserve">La prima risposta dice: non è lui che parla. Gli scritti sono prodotti dalla condizione e non dalla persona; non esprimono il pensiero di chi li verga, ma la volontà di chi lo detiene; vanno dunque letti come documenti dei rapitori e non del rapito.</w:t>
      </w:r>
    </w:p>
    <w:p>
      <w:pPr>
        <w:spacing w:after="120" w:line="276"/>
        <w:jc w:val="both"/>
      </w:pPr>
      <w:r>
        <w:rPr>
          <w:rFonts w:ascii="Barlow Semi Condensed" w:cs="Barlow Semi Condensed" w:eastAsia="Barlow Semi Condensed" w:hAnsi="Barlow Semi Condensed"/>
          <w:sz w:val="24"/>
          <w:szCs w:val="24"/>
        </w:rPr>
        <w:t xml:space="preserve">La seconda risposta dice: è lui e nient'altro. Gli scritti sono autografi, il pensiero è riconoscibile, la coerenza con le posizioni anteriori è verificabile; vanno dunque letti come si leggerebbe qualunque suo scritto.</w:t>
      </w:r>
    </w:p>
    <w:p>
      <w:pPr>
        <w:pStyle w:val="Heading2"/>
        <w:spacing w:after="100" w:before="200"/>
      </w:pPr>
      <w:r>
        <w:rPr>
          <w:rFonts w:ascii="Barlow Semi Condensed" w:cs="Barlow Semi Condensed" w:eastAsia="Barlow Semi Condensed" w:hAnsi="Barlow Semi Condensed"/>
          <w:sz w:val="24"/>
          <w:szCs w:val="24"/>
        </w:rPr>
        <w:t xml:space="preserve">Perché entrambe le risposte sono insostenibili</w:t>
      </w:r>
    </w:p>
    <w:p>
      <w:pPr>
        <w:spacing w:after="120" w:line="276"/>
        <w:jc w:val="both"/>
      </w:pPr>
      <w:r>
        <w:rPr>
          <w:rFonts w:ascii="Barlow Semi Condensed" w:cs="Barlow Semi Condensed" w:eastAsia="Barlow Semi Condensed" w:hAnsi="Barlow Semi Condensed"/>
          <w:sz w:val="24"/>
          <w:szCs w:val="24"/>
        </w:rPr>
        <w:t xml:space="preserve">La prima è insostenibile perché prova troppo. Se la condizione di prigionia annullasse la soggettività dell'autore, allora nessun enunciato reso in condizione di costrizione avrebbe mai alcun valore, e si dovrebbero scartare interi generi di fonte sui quali la storia si fonda: le deposizioni sotto interrogatorio, le confessioni, le corrispondenze censurate, le testimonianze dei sopravvissuti. Il vincolo condiziona ciò che si dice; non trasforma automaticamente chi lo dice in un altro.</w:t>
      </w:r>
    </w:p>
    <w:p>
      <w:pPr>
        <w:spacing w:after="120" w:line="276"/>
        <w:jc w:val="both"/>
      </w:pPr>
      <w:r>
        <w:rPr>
          <w:rFonts w:ascii="Barlow Semi Condensed" w:cs="Barlow Semi Condensed" w:eastAsia="Barlow Semi Condensed" w:hAnsi="Barlow Semi Condensed"/>
          <w:sz w:val="24"/>
          <w:szCs w:val="24"/>
        </w:rPr>
        <w:t xml:space="preserve">Vi è inoltre una conseguenza che occorre nominare senza reticenze, perché essa fu tratta all'epoca e ha pesato: se si stabilisce che l'uomo prigioniero non è più sé stesso, se ne ricava che ciò che egli chiede non va ascoltato. La tesi dell'inautenticità non fu, in quei cinquantacinque giorni, una tesi filologica: fu un argomento con conseguenze pratiche immediate sulla vita di una persona. Quest'opera non giudica chi la sostenne, perché il giudizio è morale e politico. Registra che la questione filologica non era, in quel contesto, filologica soltanto.</w:t>
      </w:r>
    </w:p>
    <w:p>
      <w:pPr>
        <w:spacing w:after="120" w:line="276"/>
        <w:jc w:val="both"/>
      </w:pPr>
      <w:r>
        <w:rPr>
          <w:rFonts w:ascii="Barlow Semi Condensed" w:cs="Barlow Semi Condensed" w:eastAsia="Barlow Semi Condensed" w:hAnsi="Barlow Semi Condensed"/>
          <w:sz w:val="24"/>
          <w:szCs w:val="24"/>
        </w:rPr>
        <w:t xml:space="preserve">La seconda risposta è insostenibile per la ragione opposta: essa ignora un dato di fatto accertato, cioè che gli scritti furono composti in condizioni che ne condizionavano il contenuto. Leggere un enunciato reso sotto vincolo come se fosse reso liberamente significa attribuire all'autore intenzioni che le circostanze possono avergli imposto.</w:t>
      </w:r>
    </w:p>
    <w:p>
      <w:pPr>
        <w:pStyle w:val="Heading2"/>
        <w:spacing w:after="100" w:before="200"/>
      </w:pPr>
      <w:r>
        <w:rPr>
          <w:rFonts w:ascii="Barlow Semi Condensed" w:cs="Barlow Semi Condensed" w:eastAsia="Barlow Semi Condensed" w:hAnsi="Barlow Semi Condensed"/>
          <w:sz w:val="24"/>
          <w:szCs w:val="24"/>
        </w:rPr>
        <w:t xml:space="preserve">La soluzione: il vincolo si gradua, non si presume</w:t>
      </w:r>
    </w:p>
    <w:p>
      <w:pPr>
        <w:spacing w:after="120" w:line="276"/>
        <w:jc w:val="both"/>
      </w:pPr>
      <w:r>
        <w:rPr>
          <w:rFonts w:ascii="Barlow Semi Condensed" w:cs="Barlow Semi Condensed" w:eastAsia="Barlow Semi Condensed" w:hAnsi="Barlow Semi Condensed"/>
          <w:sz w:val="24"/>
          <w:szCs w:val="24"/>
        </w:rPr>
        <w:t xml:space="preserve">La disciplina che quest'opera adotta è la seguente: il vincolo non annulla l'enunciato e non lo lascia intatto; esso lo grava in misura variabile, e la misura si accerta enunciato per enunciato anziché presumersi per il documento intero.</w:t>
      </w:r>
    </w:p>
    <w:p>
      <w:pPr>
        <w:spacing w:after="120" w:line="276"/>
        <w:jc w:val="both"/>
      </w:pPr>
      <w:r>
        <w:rPr>
          <w:rFonts w:ascii="Barlow Semi Condensed" w:cs="Barlow Semi Condensed" w:eastAsia="Barlow Semi Condensed" w:hAnsi="Barlow Semi Condensed"/>
          <w:sz w:val="24"/>
          <w:szCs w:val="24"/>
        </w:rPr>
        <w:t xml:space="preserve">Ne segue che la domanda corretta non è se le lettere siano autentiche — questione che, come si vedrà, ha risposta pacifica — né se siano libere — questione mal posta, perché la libertà non è una proprietà binaria. La domanda corretta è: per ciascun enunciato, quale grado di vincolo è ragionevolmente accertabile, e quali usi esso consente.</w:t>
      </w:r>
    </w:p>
    <w:p>
      <w:pPr>
        <w:spacing w:after="120" w:line="276"/>
        <w:jc w:val="both"/>
      </w:pPr>
      <w:r>
        <w:rPr>
          <w:rFonts w:ascii="Barlow Semi Condensed" w:cs="Barlow Semi Condensed" w:eastAsia="Barlow Semi Condensed" w:hAnsi="Barlow Semi Condensed"/>
          <w:sz w:val="24"/>
          <w:szCs w:val="24"/>
        </w:rPr>
        <w:t xml:space="preserve">La scala del vincolo sarà esposta nel Capitolo trentaquattresimo. Qui si fissano le tre conseguenze generali.</w:t>
      </w:r>
    </w:p>
    <w:p>
      <w:pPr>
        <w:spacing w:after="120" w:line="276"/>
        <w:jc w:val="both"/>
      </w:pPr>
      <w:r>
        <w:rPr>
          <w:rFonts w:ascii="Barlow Semi Condensed" w:cs="Barlow Semi Condensed" w:eastAsia="Barlow Semi Condensed" w:hAnsi="Barlow Semi Condensed"/>
          <w:sz w:val="24"/>
          <w:szCs w:val="24"/>
        </w:rPr>
        <w:t xml:space="preserve">Prima conseguenza: nessun enunciato delle carte è impiegato in quest'opera come prova di un fatto esterno senza riscontro indipendente. Ciò che le carte attestano con certezza è ciò che l'autore scrisse; che ciò che scrisse corrisponda al vero è proposizione ulteriore, che richiede prova propria come per qualunque altra fonte dichiarativa.</w:t>
      </w:r>
    </w:p>
    <w:p>
      <w:pPr>
        <w:spacing w:after="120" w:line="276"/>
        <w:jc w:val="both"/>
      </w:pPr>
      <w:r>
        <w:rPr>
          <w:rFonts w:ascii="Barlow Semi Condensed" w:cs="Barlow Semi Condensed" w:eastAsia="Barlow Semi Condensed" w:hAnsi="Barlow Semi Condensed"/>
          <w:sz w:val="24"/>
          <w:szCs w:val="24"/>
        </w:rPr>
        <w:t xml:space="preserve">Seconda conseguenza: nessun enunciato delle carte è scartato per la sola ragione di essere stato scritto in prigionia. Lo scarto richiede motivazione specifica, e la motivazione va data.</w:t>
      </w:r>
    </w:p>
    <w:p>
      <w:pPr>
        <w:spacing w:after="120" w:line="276"/>
        <w:jc w:val="both"/>
      </w:pPr>
      <w:r>
        <w:rPr>
          <w:rFonts w:ascii="Barlow Semi Condensed" w:cs="Barlow Semi Condensed" w:eastAsia="Barlow Semi Condensed" w:hAnsi="Barlow Semi Condensed"/>
          <w:sz w:val="24"/>
          <w:szCs w:val="24"/>
        </w:rPr>
        <w:t xml:space="preserve">Terza conseguenza: gli enunciati sono trattati per classi e non in blocco, secondo la scala del vincolo.</w:t>
      </w:r>
    </w:p>
    <w:p>
      <w:pPr>
        <w:pStyle w:val="Heading2"/>
        <w:spacing w:after="100" w:before="200"/>
      </w:pPr>
      <w:r>
        <w:rPr>
          <w:rFonts w:ascii="Barlow Semi Condensed" w:cs="Barlow Semi Condensed" w:eastAsia="Barlow Semi Condensed" w:hAnsi="Barlow Semi Condensed"/>
          <w:sz w:val="24"/>
          <w:szCs w:val="24"/>
        </w:rPr>
        <w:t xml:space="preserve">Una avvertenza sulla riproduzione</w:t>
      </w:r>
    </w:p>
    <w:p>
      <w:pPr>
        <w:spacing w:after="120" w:line="276"/>
        <w:jc w:val="both"/>
      </w:pPr>
      <w:r>
        <w:rPr>
          <w:rFonts w:ascii="Barlow Semi Condensed" w:cs="Barlow Semi Condensed" w:eastAsia="Barlow Semi Condensed" w:hAnsi="Barlow Semi Condensed"/>
          <w:sz w:val="24"/>
          <w:szCs w:val="24"/>
        </w:rPr>
        <w:t xml:space="preserve">Si avverte infine che quest'opera non riproduce il testo delle carte. Esse sono pubblicate in edizioni critiche accessibili, alle quali si rinvia per la lettura; e la loro riproduzione non aggiungerebbe nulla al lavoro qui condotto, che verte sullo statuto degli enunciati e non sulla loro esposizione.</w:t>
      </w:r>
    </w:p>
    <w:p>
      <w:pPr>
        <w:spacing w:after="120" w:line="276"/>
        <w:jc w:val="both"/>
      </w:pPr>
      <w:r>
        <w:rPr>
          <w:rFonts w:ascii="Barlow Semi Condensed" w:cs="Barlow Semi Condensed" w:eastAsia="Barlow Semi Condensed" w:hAnsi="Barlow Semi Condensed"/>
          <w:sz w:val="24"/>
          <w:szCs w:val="24"/>
        </w:rPr>
        <w:t xml:space="preserve">La scelta ha anche una ragione di misura. Le carte di un uomo prigioniero sono state, in cinquant'anni, citate, frammentate, contrapposte e impiegate a sostegno di tesi opposte, con una frequenza che ha finito per consumarle. Un registro che le maneggi ancora una volta per estrarne frasi non rende un servizio.</w:t>
      </w:r>
    </w:p>
    <w:p>
      <w:pPr>
        <w:pStyle w:val="Heading2"/>
        <w:spacing w:after="100" w:before="200"/>
      </w:pPr>
      <w:r>
        <w:rPr>
          <w:rFonts w:ascii="Barlow Semi Condensed" w:cs="Barlow Semi Condensed" w:eastAsia="Barlow Semi Condensed" w:hAnsi="Barlow Semi Condensed"/>
          <w:sz w:val="24"/>
          <w:szCs w:val="24"/>
        </w:rPr>
        <w:t xml:space="preserve">Capitolo trentaduesimo — Il corpus delle carte: consistenza e vie di trasmissione</w:t>
      </w:r>
    </w:p>
    <w:p>
      <w:pPr>
        <w:pStyle w:val="Heading2"/>
        <w:spacing w:after="100" w:before="200"/>
      </w:pPr>
      <w:r>
        <w:rPr>
          <w:rFonts w:ascii="Barlow Semi Condensed" w:cs="Barlow Semi Condensed" w:eastAsia="Barlow Semi Condensed" w:hAnsi="Barlow Semi Condensed"/>
          <w:sz w:val="24"/>
          <w:szCs w:val="24"/>
        </w:rPr>
        <w:t xml:space="preserve">Le classi documentali</w:t>
      </w:r>
    </w:p>
    <w:p>
      <w:pPr>
        <w:spacing w:after="120" w:line="276"/>
        <w:jc w:val="both"/>
      </w:pPr>
      <w:r>
        <w:rPr>
          <w:rFonts w:ascii="Barlow Semi Condensed" w:cs="Barlow Semi Condensed" w:eastAsia="Barlow Semi Condensed" w:hAnsi="Barlow Semi Condensed"/>
          <w:sz w:val="24"/>
          <w:szCs w:val="24"/>
        </w:rPr>
        <w:t xml:space="preserve">Le carte riferibili alla prigionia si ripartiscono in tre classi, distinte per natura e per via di trasmissione, e la distinzione è essenziale perché ciascuna classe ha un diverso statuto probatorio.</w:t>
      </w:r>
    </w:p>
    <w:p>
      <w:pPr>
        <w:spacing w:after="120" w:line="276"/>
        <w:jc w:val="both"/>
      </w:pPr>
      <w:r>
        <w:rPr>
          <w:rFonts w:ascii="Barlow Semi Condensed" w:cs="Barlow Semi Condensed" w:eastAsia="Barlow Semi Condensed" w:hAnsi="Barlow Semi Condensed"/>
          <w:sz w:val="24"/>
          <w:szCs w:val="24"/>
        </w:rPr>
        <w:t xml:space="preserve">La prima classe comprende le lettere recapitate durante i cinquantacinque giorni. Esse furono materialmente consegnate ai destinatari o resi pubblici nel corso del periodo, e la loro esistenza fu contemporanea ai fatti.</w:t>
      </w:r>
    </w:p>
    <w:p>
      <w:pPr>
        <w:spacing w:after="120" w:line="276"/>
        <w:jc w:val="both"/>
      </w:pPr>
      <w:r>
        <w:rPr>
          <w:rFonts w:ascii="Barlow Semi Condensed" w:cs="Barlow Semi Condensed" w:eastAsia="Barlow Semi Condensed" w:hAnsi="Barlow Semi Condensed"/>
          <w:sz w:val="24"/>
          <w:szCs w:val="24"/>
        </w:rPr>
        <w:t xml:space="preserve">La seconda classe comprende gli scritti non recapitati durante il periodo e rinvenuti successivamente, in occasione delle operazioni condotte su basi dell'organizzazione. Essi non furono conosciuti dai destinatari e non incisero sulle decisioni assunte in quei giorni.</w:t>
      </w:r>
    </w:p>
    <w:p>
      <w:pPr>
        <w:spacing w:after="120" w:line="276"/>
        <w:jc w:val="both"/>
      </w:pPr>
      <w:r>
        <w:rPr>
          <w:rFonts w:ascii="Barlow Semi Condensed" w:cs="Barlow Semi Condensed" w:eastAsia="Barlow Semi Condensed" w:hAnsi="Barlow Semi Condensed"/>
          <w:sz w:val="24"/>
          <w:szCs w:val="24"/>
        </w:rPr>
        <w:t xml:space="preserve">La terza classe comprende gli scritti di natura non epistolare, complessivamente denominati memoriale, dei quali si dirà nel Capitolo trentasettesimo.</w:t>
      </w:r>
    </w:p>
    <w:p>
      <w:pPr>
        <w:pStyle w:val="Heading2"/>
        <w:spacing w:after="100" w:before="200"/>
      </w:pPr>
      <w:r>
        <w:rPr>
          <w:rFonts w:ascii="Barlow Semi Condensed" w:cs="Barlow Semi Condensed" w:eastAsia="Barlow Semi Condensed" w:hAnsi="Barlow Semi Condensed"/>
          <w:sz w:val="24"/>
          <w:szCs w:val="24"/>
        </w:rPr>
        <w:t xml:space="preserve">La consistenza</w:t>
      </w:r>
    </w:p>
    <w:p>
      <w:pPr>
        <w:spacing w:after="120" w:line="276"/>
        <w:jc w:val="both"/>
      </w:pPr>
      <w:r>
        <w:rPr>
          <w:rFonts w:ascii="Barlow Semi Condensed" w:cs="Barlow Semi Condensed" w:eastAsia="Barlow Semi Condensed" w:hAnsi="Barlow Semi Condensed"/>
          <w:sz w:val="24"/>
          <w:szCs w:val="24"/>
        </w:rPr>
        <w:t xml:space="preserve">Il numero complessivo degli scritti riferibili alla prigionia si colloca nell'ordine di alcune decine per la parte epistolare, ai quali si aggiunge il materiale non epistolare.</w:t>
      </w:r>
    </w:p>
    <w:p>
      <w:pPr>
        <w:spacing w:after="120" w:line="276"/>
        <w:jc w:val="both"/>
      </w:pPr>
      <w:r>
        <w:rPr>
          <w:rFonts w:ascii="Barlow Semi Condensed" w:cs="Barlow Semi Condensed" w:eastAsia="Barlow Semi Condensed" w:hAnsi="Barlow Semi Condensed"/>
          <w:sz w:val="24"/>
          <w:szCs w:val="24"/>
        </w:rPr>
        <w:t xml:space="preserve">Si evita in questa sede di indicare una cifra puntuale, e conviene dire perché. La consistenza dipende da scelte di computo che non sono neutre: se si contino separatamente le minute e le versioni; se si computino gli scritti frammentari; se si includano gli scritti rinvenuti nella seconda operazione. Le edizioni critiche adottano criteri dichiarati e giungono a cifre lievemente diverse.</w:t>
      </w:r>
    </w:p>
    <w:p>
      <w:pPr>
        <w:spacing w:after="120" w:line="276"/>
        <w:jc w:val="both"/>
      </w:pPr>
      <w:r>
        <w:rPr>
          <w:rFonts w:ascii="Barlow Semi Condensed" w:cs="Barlow Semi Condensed" w:eastAsia="Barlow Semi Condensed" w:hAnsi="Barlow Semi Condensed"/>
          <w:sz w:val="24"/>
          <w:szCs w:val="24"/>
        </w:rPr>
        <w:t xml:space="preserve">Una cifra puntuale enunciata senza il criterio di computo che la genera è un dato che appare preciso ed è indeterminato. Si rinvia dunque alle edizioni critiche, che il criterio lo dichiarano.</w:t>
      </w:r>
    </w:p>
    <w:p>
      <w:pPr>
        <w:pStyle w:val="Heading2"/>
        <w:spacing w:after="100" w:before="200"/>
      </w:pPr>
      <w:r>
        <w:rPr>
          <w:rFonts w:ascii="Barlow Semi Condensed" w:cs="Barlow Semi Condensed" w:eastAsia="Barlow Semi Condensed" w:hAnsi="Barlow Semi Condensed"/>
          <w:sz w:val="24"/>
          <w:szCs w:val="24"/>
        </w:rPr>
        <w:t xml:space="preserve">Le vie di trasmissione</w:t>
      </w:r>
    </w:p>
    <w:p>
      <w:pPr>
        <w:spacing w:after="120" w:line="276"/>
        <w:jc w:val="both"/>
      </w:pPr>
      <w:r>
        <w:rPr>
          <w:rFonts w:ascii="Barlow Semi Condensed" w:cs="Barlow Semi Condensed" w:eastAsia="Barlow Semi Condensed" w:hAnsi="Barlow Semi Condensed"/>
          <w:sz w:val="24"/>
          <w:szCs w:val="24"/>
        </w:rPr>
        <w:t xml:space="preserve">Le lettere della prima classe furono trasmesse mediante recapito, secondo modalità che consentivano il ritiro senza esposizione di chi consegnava.</w:t>
      </w:r>
    </w:p>
    <w:p>
      <w:pPr>
        <w:spacing w:after="120" w:line="276"/>
        <w:jc w:val="both"/>
      </w:pPr>
      <w:r>
        <w:rPr>
          <w:rFonts w:ascii="Barlow Semi Condensed" w:cs="Barlow Semi Condensed" w:eastAsia="Barlow Semi Condensed" w:hAnsi="Barlow Semi Condensed"/>
          <w:sz w:val="24"/>
          <w:szCs w:val="24"/>
        </w:rPr>
        <w:t xml:space="preserve">La via di trasmissione rileva per due ragioni che vanno esplicitate.</w:t>
      </w:r>
    </w:p>
    <w:p>
      <w:pPr>
        <w:spacing w:after="120" w:line="276"/>
        <w:jc w:val="both"/>
      </w:pPr>
      <w:r>
        <w:rPr>
          <w:rFonts w:ascii="Barlow Semi Condensed" w:cs="Barlow Semi Condensed" w:eastAsia="Barlow Semi Condensed" w:hAnsi="Barlow Semi Condensed"/>
          <w:sz w:val="24"/>
          <w:szCs w:val="24"/>
        </w:rPr>
        <w:t xml:space="preserve">La prima è che essa comporta il passaggio dello scritto attraverso le mani di chi custodiva l'autore. Ne segue che la trasmissione fu selettiva: giunse ciò che fu fatto giungere. La selettività è accertata per constatazione, poiché l'esistenza della seconda classe — scritti non recapitati e rinvenuti dopo — dimostra che una selezione fu operata.</w:t>
      </w:r>
    </w:p>
    <w:p>
      <w:pPr>
        <w:spacing w:after="120" w:line="276"/>
        <w:jc w:val="both"/>
      </w:pPr>
      <w:r>
        <w:rPr>
          <w:rFonts w:ascii="Barlow Semi Condensed" w:cs="Barlow Semi Condensed" w:eastAsia="Barlow Semi Condensed" w:hAnsi="Barlow Semi Condensed"/>
          <w:sz w:val="24"/>
          <w:szCs w:val="24"/>
        </w:rPr>
        <w:t xml:space="preserve">La seconda è che la selettività della trasmissione incide sulla lettura del corpus recapitato. Chi legga le sole lettere pervenute legge un insieme selezionato, e la selezione non fu operata dall'autore.</w:t>
      </w:r>
    </w:p>
    <w:p>
      <w:pPr>
        <w:spacing w:after="120" w:line="276"/>
        <w:jc w:val="both"/>
      </w:pPr>
      <w:r>
        <w:rPr>
          <w:rFonts w:ascii="Barlow Semi Condensed" w:cs="Barlow Semi Condensed" w:eastAsia="Barlow Semi Condensed" w:hAnsi="Barlow Semi Condensed"/>
          <w:sz w:val="24"/>
          <w:szCs w:val="24"/>
        </w:rPr>
        <w:t xml:space="preserve">Questo è un punto che merita di essere fissato, perché è frequentemente trascurato: le valutazioni espresse in quei giorni sul contenuto delle lettere furono formulate su un corpus selezionato da chi deteneva l'autore, e chi le formulava non poteva sapere quale parte gli fosse stata sottratta.</w:t>
      </w:r>
    </w:p>
    <w:p>
      <w:pPr>
        <w:pStyle w:val="Heading2"/>
        <w:spacing w:after="100" w:before="200"/>
      </w:pPr>
      <w:r>
        <w:rPr>
          <w:rFonts w:ascii="Barlow Semi Condensed" w:cs="Barlow Semi Condensed" w:eastAsia="Barlow Semi Condensed" w:hAnsi="Barlow Semi Condensed"/>
          <w:sz w:val="24"/>
          <w:szCs w:val="24"/>
        </w:rPr>
        <w:t xml:space="preserve">Conseguenza per l'uso</w:t>
      </w:r>
    </w:p>
    <w:p>
      <w:pPr>
        <w:spacing w:after="120" w:line="276"/>
        <w:jc w:val="both"/>
      </w:pPr>
      <w:r>
        <w:rPr>
          <w:rFonts w:ascii="Barlow Semi Condensed" w:cs="Barlow Semi Condensed" w:eastAsia="Barlow Semi Condensed" w:hAnsi="Barlow Semi Condensed"/>
          <w:sz w:val="24"/>
          <w:szCs w:val="24"/>
        </w:rPr>
        <w:t xml:space="preserve">Ne segue una regola d'uso che questa Fase osserverà: le due classi non si sommano indistintamente.</w:t>
      </w:r>
    </w:p>
    <w:p>
      <w:pPr>
        <w:spacing w:after="120" w:line="276"/>
        <w:jc w:val="both"/>
      </w:pPr>
      <w:r>
        <w:rPr>
          <w:rFonts w:ascii="Barlow Semi Condensed" w:cs="Barlow Semi Condensed" w:eastAsia="Barlow Semi Condensed" w:hAnsi="Barlow Semi Condensed"/>
          <w:sz w:val="24"/>
          <w:szCs w:val="24"/>
        </w:rPr>
        <w:t xml:space="preserve">Quando si tratta di ricostruire il pensiero dell'autore, entrambe le classi concorrono, con i gradi di vincolo propri di ciascun enunciato.</w:t>
      </w:r>
    </w:p>
    <w:p>
      <w:pPr>
        <w:spacing w:after="120" w:line="276"/>
        <w:jc w:val="both"/>
      </w:pPr>
      <w:r>
        <w:rPr>
          <w:rFonts w:ascii="Barlow Semi Condensed" w:cs="Barlow Semi Condensed" w:eastAsia="Barlow Semi Condensed" w:hAnsi="Barlow Semi Condensed"/>
          <w:sz w:val="24"/>
          <w:szCs w:val="24"/>
        </w:rPr>
        <w:t xml:space="preserve">Quando si tratta di ricostruire ciò che i destinatari conobbero e su cui deliberarono, concorre la sola prima classe. Impiegare la seconda per giudicare le decisioni assunte in quei giorni significherebbe rimproverare a chi decise di non avere tenuto conto di ciò che non poteva conoscere.</w:t>
      </w:r>
    </w:p>
    <w:p>
      <w:pPr>
        <w:spacing w:after="120" w:line="276"/>
        <w:jc w:val="both"/>
      </w:pPr>
      <w:r>
        <w:rPr>
          <w:rFonts w:ascii="Barlow Semi Condensed" w:cs="Barlow Semi Condensed" w:eastAsia="Barlow Semi Condensed" w:hAnsi="Barlow Semi Condensed"/>
          <w:sz w:val="24"/>
          <w:szCs w:val="24"/>
        </w:rPr>
        <w:t xml:space="preserve">La distinzione è elementare e viene violata con regolarità.</w:t>
      </w:r>
    </w:p>
    <w:p>
      <w:pPr>
        <w:pStyle w:val="Heading2"/>
        <w:spacing w:after="100" w:before="200"/>
      </w:pPr>
      <w:r>
        <w:rPr>
          <w:rFonts w:ascii="Barlow Semi Condensed" w:cs="Barlow Semi Condensed" w:eastAsia="Barlow Semi Condensed" w:hAnsi="Barlow Semi Condensed"/>
          <w:sz w:val="24"/>
          <w:szCs w:val="24"/>
        </w:rPr>
        <w:t xml:space="preserve">Capitolo trentatreesimo — La questione dell'autenticità</w:t>
      </w:r>
    </w:p>
    <w:p>
      <w:pPr>
        <w:pStyle w:val="Heading2"/>
        <w:spacing w:after="100" w:before="200"/>
      </w:pPr>
      <w:r>
        <w:rPr>
          <w:rFonts w:ascii="Barlow Semi Condensed" w:cs="Barlow Semi Condensed" w:eastAsia="Barlow Semi Condensed" w:hAnsi="Barlow Semi Condensed"/>
          <w:sz w:val="24"/>
          <w:szCs w:val="24"/>
        </w:rPr>
        <w:t xml:space="preserve">La questione e la sua soluzione</w:t>
      </w:r>
    </w:p>
    <w:p>
      <w:pPr>
        <w:spacing w:after="120" w:line="276"/>
        <w:jc w:val="both"/>
      </w:pPr>
      <w:r>
        <w:rPr>
          <w:rFonts w:ascii="Barlow Semi Condensed" w:cs="Barlow Semi Condensed" w:eastAsia="Barlow Semi Condensed" w:hAnsi="Barlow Semi Condensed"/>
          <w:sz w:val="24"/>
          <w:szCs w:val="24"/>
        </w:rPr>
        <w:t xml:space="preserve">La questione dell'autenticità materiale delle carte — se siano di mano dell'autore — ha risposta pacifica ed è in stato di sciolto.</w:t>
      </w:r>
    </w:p>
    <w:p>
      <w:pPr>
        <w:spacing w:after="120" w:line="276"/>
        <w:jc w:val="both"/>
      </w:pPr>
      <w:r>
        <w:rPr>
          <w:rFonts w:ascii="Barlow Semi Condensed" w:cs="Barlow Semi Condensed" w:eastAsia="Barlow Semi Condensed" w:hAnsi="Barlow Semi Condensed"/>
          <w:sz w:val="24"/>
          <w:szCs w:val="24"/>
        </w:rPr>
        <w:t xml:space="preserve">Gli scritti sono autografi. La circostanza è stata accertata mediante gli ordinari strumenti di verifica e non è stata seriamente contestata in alcuna sede. Le edizioni critiche, condotte sugli originali e sulle riproduzioni, ne hanno confermato la mano.</w:t>
      </w:r>
    </w:p>
    <w:p>
      <w:pPr>
        <w:spacing w:after="120" w:line="276"/>
        <w:jc w:val="both"/>
      </w:pPr>
      <w:r>
        <w:rPr>
          <w:rFonts w:ascii="Barlow Semi Condensed" w:cs="Barlow Semi Condensed" w:eastAsia="Barlow Semi Condensed" w:hAnsi="Barlow Semi Condensed"/>
          <w:sz w:val="24"/>
          <w:szCs w:val="24"/>
        </w:rPr>
        <w:t xml:space="preserve">Si registra dunque: le carte sono materialmente autentiche. Chi ne abbia dubitato in tempi remoti lo ha fatto in assenza degli elementi oggi disponibili.</w:t>
      </w:r>
    </w:p>
    <w:p>
      <w:pPr>
        <w:pStyle w:val="Heading2"/>
        <w:spacing w:after="100" w:before="200"/>
      </w:pPr>
      <w:r>
        <w:rPr>
          <w:rFonts w:ascii="Barlow Semi Condensed" w:cs="Barlow Semi Condensed" w:eastAsia="Barlow Semi Condensed" w:hAnsi="Barlow Semi Condensed"/>
          <w:sz w:val="24"/>
          <w:szCs w:val="24"/>
        </w:rPr>
        <w:t xml:space="preserve">La questione che fu posta all'epoca</w:t>
      </w:r>
    </w:p>
    <w:p>
      <w:pPr>
        <w:spacing w:after="120" w:line="276"/>
        <w:jc w:val="both"/>
      </w:pPr>
      <w:r>
        <w:rPr>
          <w:rFonts w:ascii="Barlow Semi Condensed" w:cs="Barlow Semi Condensed" w:eastAsia="Barlow Semi Condensed" w:hAnsi="Barlow Semi Condensed"/>
          <w:sz w:val="24"/>
          <w:szCs w:val="24"/>
        </w:rPr>
        <w:t xml:space="preserve">La questione sollevata durante i cinquantacinque giorni era però diversa, e la confusione fra le due ha generato equivoci durevoli.</w:t>
      </w:r>
    </w:p>
    <w:p>
      <w:pPr>
        <w:spacing w:after="120" w:line="276"/>
        <w:jc w:val="both"/>
      </w:pPr>
      <w:r>
        <w:rPr>
          <w:rFonts w:ascii="Barlow Semi Condensed" w:cs="Barlow Semi Condensed" w:eastAsia="Barlow Semi Condensed" w:hAnsi="Barlow Semi Condensed"/>
          <w:sz w:val="24"/>
          <w:szCs w:val="24"/>
        </w:rPr>
        <w:t xml:space="preserve">Non si sosteneva, se non marginalmente, che gli scritti fossero falsi materiali. Si sosteneva che, pur essendo di mano dell'autore, essi non esprimessero la sua volontà: che l'uomo che scriveva non fosse più, per effetto della condizione, l'uomo che si conosceva.</w:t>
      </w:r>
    </w:p>
    <w:p>
      <w:pPr>
        <w:spacing w:after="120" w:line="276"/>
        <w:jc w:val="both"/>
      </w:pPr>
      <w:r>
        <w:rPr>
          <w:rFonts w:ascii="Barlow Semi Condensed" w:cs="Barlow Semi Condensed" w:eastAsia="Barlow Semi Condensed" w:hAnsi="Barlow Semi Condensed"/>
          <w:sz w:val="24"/>
          <w:szCs w:val="24"/>
        </w:rPr>
        <w:t xml:space="preserve">Questa tesi ebbe formulazioni di diverso rigore. Alcune erano argomentate su elementi testuali: mutamenti di stile, di lessico, di argomentazione rispetto agli scritti anteriori. Altre erano asserzioni di ordine psicologico non sostenute da analisi.</w:t>
      </w:r>
    </w:p>
    <w:p>
      <w:pPr>
        <w:pStyle w:val="Heading2"/>
        <w:spacing w:after="100" w:before="200"/>
      </w:pPr>
      <w:r>
        <w:rPr>
          <w:rFonts w:ascii="Barlow Semi Condensed" w:cs="Barlow Semi Condensed" w:eastAsia="Barlow Semi Condensed" w:hAnsi="Barlow Semi Condensed"/>
          <w:sz w:val="24"/>
          <w:szCs w:val="24"/>
        </w:rPr>
        <w:t xml:space="preserve">Che cosa se ne può dire oggi</w:t>
      </w:r>
    </w:p>
    <w:p>
      <w:pPr>
        <w:spacing w:after="120" w:line="276"/>
        <w:jc w:val="both"/>
      </w:pPr>
      <w:r>
        <w:rPr>
          <w:rFonts w:ascii="Barlow Semi Condensed" w:cs="Barlow Semi Condensed" w:eastAsia="Barlow Semi Condensed" w:hAnsi="Barlow Semi Condensed"/>
          <w:sz w:val="24"/>
          <w:szCs w:val="24"/>
        </w:rPr>
        <w:t xml:space="preserve">Quanto alle formulazioni argomentate su elementi testuali, esse sono state sottoposte a verifica dalle edizioni critiche, che hanno potuto operare sul corpus integrale — comprensivo degli scritti non recapitati — e con gli strumenti della filologia.</w:t>
      </w:r>
    </w:p>
    <w:p>
      <w:pPr>
        <w:spacing w:after="120" w:line="276"/>
        <w:jc w:val="both"/>
      </w:pPr>
      <w:r>
        <w:rPr>
          <w:rFonts w:ascii="Barlow Semi Condensed" w:cs="Barlow Semi Condensed" w:eastAsia="Barlow Semi Condensed" w:hAnsi="Barlow Semi Condensed"/>
          <w:sz w:val="24"/>
          <w:szCs w:val="24"/>
        </w:rPr>
        <w:t xml:space="preserve">L'esito di tali verifiche, per la parte accessibile, non ha confermato la tesi dell'estraneità dell'autore ai propri scritti. Sono state invece riconosciute variazioni di registro e di argomentazione riconducibili alla condizione e all'evolvere di essa nel corso delle settimane.</w:t>
      </w:r>
    </w:p>
    <w:p>
      <w:pPr>
        <w:spacing w:after="120" w:line="276"/>
        <w:jc w:val="both"/>
      </w:pPr>
      <w:r>
        <w:rPr>
          <w:rFonts w:ascii="Barlow Semi Condensed" w:cs="Barlow Semi Condensed" w:eastAsia="Barlow Semi Condensed" w:hAnsi="Barlow Semi Condensed"/>
          <w:sz w:val="24"/>
          <w:szCs w:val="24"/>
        </w:rPr>
        <w:t xml:space="preserve">Quest'opera registra tale esito come acquisizione di sede qualificata, e non ne fa questione propria: la filologia dei testi appartiene alle edizioni critiche, e un registro che pretendesse di riformularla senza gli originali si arrogherebbe una competenza che non ha.</w:t>
      </w:r>
    </w:p>
    <w:p>
      <w:pPr>
        <w:spacing w:after="120" w:line="276"/>
        <w:jc w:val="both"/>
      </w:pPr>
      <w:r>
        <w:rPr>
          <w:rFonts w:ascii="Barlow Semi Condensed" w:cs="Barlow Semi Condensed" w:eastAsia="Barlow Semi Condensed" w:hAnsi="Barlow Semi Condensed"/>
          <w:sz w:val="24"/>
          <w:szCs w:val="24"/>
        </w:rPr>
        <w:t xml:space="preserve">Quanto alle asserzioni di ordine psicologico non argomentate, esse sono inammissibili in questa opera per effetto della prima clausola di disciplina esposta nel Capitolo secondo: l'opera ausculta archivi e non psicoanalizza persone. Ciò vale a maggior ragione per la persona del rapito.</w:t>
      </w:r>
    </w:p>
    <w:p>
      <w:pPr>
        <w:pStyle w:val="Heading2"/>
        <w:spacing w:after="100" w:before="200"/>
      </w:pPr>
      <w:r>
        <w:rPr>
          <w:rFonts w:ascii="Barlow Semi Condensed" w:cs="Barlow Semi Condensed" w:eastAsia="Barlow Semi Condensed" w:hAnsi="Barlow Semi Condensed"/>
          <w:sz w:val="24"/>
          <w:szCs w:val="24"/>
        </w:rPr>
        <w:t xml:space="preserve">Il punto che resta e che non è filologico</w:t>
      </w:r>
    </w:p>
    <w:p>
      <w:pPr>
        <w:spacing w:after="120" w:line="276"/>
        <w:jc w:val="both"/>
      </w:pPr>
      <w:r>
        <w:rPr>
          <w:rFonts w:ascii="Barlow Semi Condensed" w:cs="Barlow Semi Condensed" w:eastAsia="Barlow Semi Condensed" w:hAnsi="Barlow Semi Condensed"/>
          <w:sz w:val="24"/>
          <w:szCs w:val="24"/>
        </w:rPr>
        <w:t xml:space="preserve">Resta un punto, e non è di autenticità.</w:t>
      </w:r>
    </w:p>
    <w:p>
      <w:pPr>
        <w:spacing w:after="120" w:line="276"/>
        <w:jc w:val="both"/>
      </w:pPr>
      <w:r>
        <w:rPr>
          <w:rFonts w:ascii="Barlow Semi Condensed" w:cs="Barlow Semi Condensed" w:eastAsia="Barlow Semi Condensed" w:hAnsi="Barlow Semi Condensed"/>
          <w:sz w:val="24"/>
          <w:szCs w:val="24"/>
        </w:rPr>
        <w:t xml:space="preserve">È accertato che l'autore scrisse sapendo di essere letto da chi lo deteneva. È accertato che la trasmissione fu selettiva. È dunque accertato che egli scriveva in una condizione nella quale il calcolo su ciò che sarebbe stato trasmesso, e su ciò che sarebbe stato letto dai custodi, poteva incidere sulla formulazione.</w:t>
      </w:r>
    </w:p>
    <w:p>
      <w:pPr>
        <w:spacing w:after="120" w:line="276"/>
        <w:jc w:val="both"/>
      </w:pPr>
      <w:r>
        <w:rPr>
          <w:rFonts w:ascii="Barlow Semi Condensed" w:cs="Barlow Semi Condensed" w:eastAsia="Barlow Semi Condensed" w:hAnsi="Barlow Semi Condensed"/>
          <w:sz w:val="24"/>
          <w:szCs w:val="24"/>
        </w:rPr>
        <w:t xml:space="preserve">Questo non tocca l'autenticità: tocca il vincolo, e il vincolo si gradua. È l'oggetto del Capitolo seguente.</w:t>
      </w:r>
    </w:p>
    <w:p>
      <w:pPr>
        <w:pStyle w:val="Heading2"/>
        <w:spacing w:after="100" w:before="200"/>
      </w:pPr>
      <w:r>
        <w:rPr>
          <w:rFonts w:ascii="Barlow Semi Condensed" w:cs="Barlow Semi Condensed" w:eastAsia="Barlow Semi Condensed" w:hAnsi="Barlow Semi Condensed"/>
          <w:sz w:val="24"/>
          <w:szCs w:val="24"/>
        </w:rPr>
        <w:t xml:space="preserve">Capitolo trentaquattresimo — La scala del vincolo</w:t>
      </w:r>
    </w:p>
    <w:p>
      <w:pPr>
        <w:spacing w:after="120" w:line="276"/>
        <w:jc w:val="both"/>
      </w:pPr>
      <w:r>
        <w:rPr>
          <w:rFonts w:ascii="Barlow Semi Condensed" w:cs="Barlow Semi Condensed" w:eastAsia="Barlow Semi Condensed" w:hAnsi="Barlow Semi Condensed"/>
          <w:sz w:val="24"/>
          <w:szCs w:val="24"/>
        </w:rPr>
        <w:t xml:space="preserve">Si espone qui lo strumento centrale della Fase: la scala mediante la quale si accerta, enunciato per enunciato, il grado di condizionamento e gli usi che esso consente.</w:t>
      </w:r>
    </w:p>
    <w:p>
      <w:pPr>
        <w:spacing w:after="120" w:line="276"/>
        <w:jc w:val="both"/>
      </w:pPr>
      <w:r>
        <w:rPr>
          <w:rFonts w:ascii="Barlow Semi Condensed" w:cs="Barlow Semi Condensed" w:eastAsia="Barlow Semi Condensed" w:hAnsi="Barlow Semi Condensed"/>
          <w:sz w:val="24"/>
          <w:szCs w:val="24"/>
        </w:rPr>
        <w:t xml:space="preserve">La scala ha quattro gradi. Essa non misura la verità dell'enunciato: misura la misura in cui la condizione può averne determinato la formulazione. Un enunciato fortemente vincolato può essere vero; uno debolmente vincolato può essere falso. La scala dice soltanto quanto peso si possa attribuire alla forma in cui l'enunciato si presenta.</w:t>
      </w:r>
    </w:p>
    <w:p>
      <w:pPr>
        <w:pStyle w:val="Heading2"/>
        <w:spacing w:after="100" w:before="200"/>
      </w:pPr>
      <w:r>
        <w:rPr>
          <w:rFonts w:ascii="Barlow Semi Condensed" w:cs="Barlow Semi Condensed" w:eastAsia="Barlow Semi Condensed" w:hAnsi="Barlow Semi Condensed"/>
          <w:sz w:val="24"/>
          <w:szCs w:val="24"/>
        </w:rPr>
        <w:t xml:space="preserve">Primo grado: enunciato non vincolato</w:t>
      </w:r>
    </w:p>
    <w:p>
      <w:pPr>
        <w:spacing w:after="120" w:line="276"/>
        <w:jc w:val="both"/>
      </w:pPr>
      <w:r>
        <w:rPr>
          <w:rFonts w:ascii="Barlow Semi Condensed" w:cs="Barlow Semi Condensed" w:eastAsia="Barlow Semi Condensed" w:hAnsi="Barlow Semi Condensed"/>
          <w:sz w:val="24"/>
          <w:szCs w:val="24"/>
        </w:rPr>
        <w:t xml:space="preserve">Vi appartengono gli enunciati il cui contenuto è indifferente rispetto agli interessi di chi deteneva l'autore, e che non potevano essere oggetto di sollecitazione né di censura.</w:t>
      </w:r>
    </w:p>
    <w:p>
      <w:pPr>
        <w:spacing w:after="120" w:line="276"/>
        <w:jc w:val="both"/>
      </w:pPr>
      <w:r>
        <w:rPr>
          <w:rFonts w:ascii="Barlow Semi Condensed" w:cs="Barlow Semi Condensed" w:eastAsia="Barlow Semi Condensed" w:hAnsi="Barlow Semi Condensed"/>
          <w:sz w:val="24"/>
          <w:szCs w:val="24"/>
        </w:rPr>
        <w:t xml:space="preserve">Vi rientrano in prevalenza gli enunciati di natura personale e domestica: riferimenti a persone della famiglia, a oggetti, a consuetudini private, a stati fisici.</w:t>
      </w:r>
    </w:p>
    <w:p>
      <w:pPr>
        <w:spacing w:after="120" w:line="276"/>
        <w:jc w:val="both"/>
      </w:pPr>
      <w:r>
        <w:rPr>
          <w:rFonts w:ascii="Barlow Semi Condensed" w:cs="Barlow Semi Condensed" w:eastAsia="Barlow Semi Condensed" w:hAnsi="Barlow Semi Condensed"/>
          <w:sz w:val="24"/>
          <w:szCs w:val="24"/>
        </w:rPr>
        <w:t xml:space="preserve">Uso consentito: tali enunciati possono essere impiegati come espressione diretta dell'autore, con la sola cautela ordinaria che si applica a qualunque scritto personale.</w:t>
      </w:r>
    </w:p>
    <w:p>
      <w:pPr>
        <w:pStyle w:val="Heading2"/>
        <w:spacing w:after="100" w:before="200"/>
      </w:pPr>
      <w:r>
        <w:rPr>
          <w:rFonts w:ascii="Barlow Semi Condensed" w:cs="Barlow Semi Condensed" w:eastAsia="Barlow Semi Condensed" w:hAnsi="Barlow Semi Condensed"/>
          <w:sz w:val="24"/>
          <w:szCs w:val="24"/>
        </w:rPr>
        <w:t xml:space="preserve">Secondo grado: enunciato debolmente vincolato</w:t>
      </w:r>
    </w:p>
    <w:p>
      <w:pPr>
        <w:spacing w:after="120" w:line="276"/>
        <w:jc w:val="both"/>
      </w:pPr>
      <w:r>
        <w:rPr>
          <w:rFonts w:ascii="Barlow Semi Condensed" w:cs="Barlow Semi Condensed" w:eastAsia="Barlow Semi Condensed" w:hAnsi="Barlow Semi Condensed"/>
          <w:sz w:val="24"/>
          <w:szCs w:val="24"/>
        </w:rPr>
        <w:t xml:space="preserve">Vi appartengono gli enunciati che riguardano materie sulle quali i detentori avevano interesse generico ma non specifico, e che sono coerenti con posizioni documentate dell'autore anteriori alla prigionia.</w:t>
      </w:r>
    </w:p>
    <w:p>
      <w:pPr>
        <w:spacing w:after="120" w:line="276"/>
        <w:jc w:val="both"/>
      </w:pPr>
      <w:r>
        <w:rPr>
          <w:rFonts w:ascii="Barlow Semi Condensed" w:cs="Barlow Semi Condensed" w:eastAsia="Barlow Semi Condensed" w:hAnsi="Barlow Semi Condensed"/>
          <w:sz w:val="24"/>
          <w:szCs w:val="24"/>
        </w:rPr>
        <w:t xml:space="preserve">La coerenza con l'anteriore è qui il criterio operativo, e conviene precisarne il valore. Essa non prova la libertà dell'enunciato: chi voglia indurre uno scritto credibile induce enunciati coerenti con l'autore. Ma la coerenza esclude una delle due ipotesi di condizionamento, quella dell'imposizione di contenuti estranei, e lascia aperta soltanto l'altra, quella della sollecitazione di contenuti propri.</w:t>
      </w:r>
    </w:p>
    <w:p>
      <w:pPr>
        <w:spacing w:after="120" w:line="276"/>
        <w:jc w:val="both"/>
      </w:pPr>
      <w:r>
        <w:rPr>
          <w:rFonts w:ascii="Barlow Semi Condensed" w:cs="Barlow Semi Condensed" w:eastAsia="Barlow Semi Condensed" w:hAnsi="Barlow Semi Condensed"/>
          <w:sz w:val="24"/>
          <w:szCs w:val="24"/>
        </w:rPr>
        <w:t xml:space="preserve">Uso consentito: tali enunciati possono essere impiegati come espressione dell'autore, con menzione del grado.</w:t>
      </w:r>
    </w:p>
    <w:p>
      <w:pPr>
        <w:pStyle w:val="Heading2"/>
        <w:spacing w:after="100" w:before="200"/>
      </w:pPr>
      <w:r>
        <w:rPr>
          <w:rFonts w:ascii="Barlow Semi Condensed" w:cs="Barlow Semi Condensed" w:eastAsia="Barlow Semi Condensed" w:hAnsi="Barlow Semi Condensed"/>
          <w:sz w:val="24"/>
          <w:szCs w:val="24"/>
        </w:rPr>
        <w:t xml:space="preserve">Terzo grado: enunciato fortemente vincolato</w:t>
      </w:r>
    </w:p>
    <w:p>
      <w:pPr>
        <w:spacing w:after="120" w:line="276"/>
        <w:jc w:val="both"/>
      </w:pPr>
      <w:r>
        <w:rPr>
          <w:rFonts w:ascii="Barlow Semi Condensed" w:cs="Barlow Semi Condensed" w:eastAsia="Barlow Semi Condensed" w:hAnsi="Barlow Semi Condensed"/>
          <w:sz w:val="24"/>
          <w:szCs w:val="24"/>
        </w:rPr>
        <w:t xml:space="preserve">Vi appartengono gli enunciati che riguardano materie di interesse diretto dei detentori: la condotta da tenere, le richieste da avanzare, la valutazione dell'operato delle istituzioni, la sollecitazione a determinate decisioni.</w:t>
      </w:r>
    </w:p>
    <w:p>
      <w:pPr>
        <w:spacing w:after="120" w:line="276"/>
        <w:jc w:val="both"/>
      </w:pPr>
      <w:r>
        <w:rPr>
          <w:rFonts w:ascii="Barlow Semi Condensed" w:cs="Barlow Semi Condensed" w:eastAsia="Barlow Semi Condensed" w:hAnsi="Barlow Semi Condensed"/>
          <w:sz w:val="24"/>
          <w:szCs w:val="24"/>
        </w:rPr>
        <w:t xml:space="preserve">Tali enunciati sono quelli sui quali la sollecitazione era più probabile e più utile a chi deteneva.</w:t>
      </w:r>
    </w:p>
    <w:p>
      <w:pPr>
        <w:spacing w:after="120" w:line="276"/>
        <w:jc w:val="both"/>
      </w:pPr>
      <w:r>
        <w:rPr>
          <w:rFonts w:ascii="Barlow Semi Condensed" w:cs="Barlow Semi Condensed" w:eastAsia="Barlow Semi Condensed" w:hAnsi="Barlow Semi Condensed"/>
          <w:sz w:val="24"/>
          <w:szCs w:val="24"/>
        </w:rPr>
        <w:t xml:space="preserve">Uso consentito: essi attestano che l'autore scrisse quelle parole, e null'altro. Non possono essere impiegati né per attribuirgli una convinzione né per negargliela. In particolare, non possono essere impiegati per sostenere che egli avesse mutato le proprie posizioni anteriori, né per sostenere che le avesse conservate.</w:t>
      </w:r>
    </w:p>
    <w:p>
      <w:pPr>
        <w:pStyle w:val="Heading2"/>
        <w:spacing w:after="100" w:before="200"/>
      </w:pPr>
      <w:r>
        <w:rPr>
          <w:rFonts w:ascii="Barlow Semi Condensed" w:cs="Barlow Semi Condensed" w:eastAsia="Barlow Semi Condensed" w:hAnsi="Barlow Semi Condensed"/>
          <w:sz w:val="24"/>
          <w:szCs w:val="24"/>
        </w:rPr>
        <w:t xml:space="preserve">Quarto grado: enunciato di provenienza dubbia</w:t>
      </w:r>
    </w:p>
    <w:p>
      <w:pPr>
        <w:spacing w:after="120" w:line="276"/>
        <w:jc w:val="both"/>
      </w:pPr>
      <w:r>
        <w:rPr>
          <w:rFonts w:ascii="Barlow Semi Condensed" w:cs="Barlow Semi Condensed" w:eastAsia="Barlow Semi Condensed" w:hAnsi="Barlow Semi Condensed"/>
          <w:sz w:val="24"/>
          <w:szCs w:val="24"/>
        </w:rPr>
        <w:t xml:space="preserve">Vi appartengono gli enunciati per i quali elementi testuali o circostanziali suggeriscono derivazione da sollecitazione specifica o da materiale fornito.</w:t>
      </w:r>
    </w:p>
    <w:p>
      <w:pPr>
        <w:spacing w:after="120" w:line="276"/>
        <w:jc w:val="both"/>
      </w:pPr>
      <w:r>
        <w:rPr>
          <w:rFonts w:ascii="Barlow Semi Condensed" w:cs="Barlow Semi Condensed" w:eastAsia="Barlow Semi Condensed" w:hAnsi="Barlow Semi Condensed"/>
          <w:sz w:val="24"/>
          <w:szCs w:val="24"/>
        </w:rPr>
        <w:t xml:space="preserve">Uso consentito: nessuno, se non la registrazione della loro esistenza e del dubbio che vi si appunta.</w:t>
      </w:r>
    </w:p>
    <w:p>
      <w:pPr>
        <w:pStyle w:val="Heading2"/>
        <w:spacing w:after="100" w:before="200"/>
      </w:pPr>
      <w:r>
        <w:rPr>
          <w:rFonts w:ascii="Barlow Semi Condensed" w:cs="Barlow Semi Condensed" w:eastAsia="Barlow Semi Condensed" w:hAnsi="Barlow Semi Condensed"/>
          <w:sz w:val="24"/>
          <w:szCs w:val="24"/>
        </w:rPr>
        <w:t xml:space="preserve">L'applicazione e i suoi limiti</w:t>
      </w:r>
    </w:p>
    <w:p>
      <w:pPr>
        <w:spacing w:after="120" w:line="276"/>
        <w:jc w:val="both"/>
      </w:pPr>
      <w:r>
        <w:rPr>
          <w:rFonts w:ascii="Barlow Semi Condensed" w:cs="Barlow Semi Condensed" w:eastAsia="Barlow Semi Condensed" w:hAnsi="Barlow Semi Condensed"/>
          <w:sz w:val="24"/>
          <w:szCs w:val="24"/>
        </w:rPr>
        <w:t xml:space="preserve">Occorre dichiarare i limiti di questo strumento, perché uno strumento del quale non si dichiarino i limiti comincia a comandare.</w:t>
      </w:r>
    </w:p>
    <w:p>
      <w:pPr>
        <w:spacing w:after="120" w:line="276"/>
        <w:jc w:val="both"/>
      </w:pPr>
      <w:r>
        <w:rPr>
          <w:rFonts w:ascii="Barlow Semi Condensed" w:cs="Barlow Semi Condensed" w:eastAsia="Barlow Semi Condensed" w:hAnsi="Barlow Semi Condensed"/>
          <w:sz w:val="24"/>
          <w:szCs w:val="24"/>
        </w:rPr>
        <w:t xml:space="preserve">Primo limite: l'attribuzione del grado non è meccanica. Essa richiede una valutazione, e la valutazione è dell'autore di quest'opera. Essa è dunque, essa stessa, interpretazione dichiarata e non dato.</w:t>
      </w:r>
    </w:p>
    <w:p>
      <w:pPr>
        <w:spacing w:after="120" w:line="276"/>
        <w:jc w:val="both"/>
      </w:pPr>
      <w:r>
        <w:rPr>
          <w:rFonts w:ascii="Barlow Semi Condensed" w:cs="Barlow Semi Condensed" w:eastAsia="Barlow Semi Condensed" w:hAnsi="Barlow Semi Condensed"/>
          <w:sz w:val="24"/>
          <w:szCs w:val="24"/>
        </w:rPr>
        <w:t xml:space="preserve">Secondo limite: la scala non è applicabile a documenti nel loro insieme. Una medesima lettera contiene ordinariamente enunciati di gradi diversi, e trattarla unitariamente vanifica lo strumento. Questa è la ragione per la quale le controversie sulle lettere sono state a lungo sterili: esse vertevano su documenti interi, dei quali si affermava o si negava in blocco l'attendibilità, mentre la questione si pone per proposizioni.</w:t>
      </w:r>
    </w:p>
    <w:p>
      <w:pPr>
        <w:spacing w:after="120" w:line="276"/>
        <w:jc w:val="both"/>
      </w:pPr>
      <w:r>
        <w:rPr>
          <w:rFonts w:ascii="Barlow Semi Condensed" w:cs="Barlow Semi Condensed" w:eastAsia="Barlow Semi Condensed" w:hAnsi="Barlow Semi Condensed"/>
          <w:sz w:val="24"/>
          <w:szCs w:val="24"/>
        </w:rPr>
        <w:t xml:space="preserve">Terzo limite, e più severo: la scala non consente in alcun caso di stabilire ciò che l'autore pensava e non scrisse. Il silenzio delle carte su una materia non attesta né ignoranza né reticenza né sollecitazione a tacere. Esso non attesta nulla, e ogni argomentazione fondata su ciò che nelle carte non si trova è inammissibile in quest'opera.</w:t>
      </w:r>
    </w:p>
    <w:p>
      <w:pPr>
        <w:spacing w:after="120" w:line="276"/>
        <w:jc w:val="both"/>
      </w:pPr>
      <w:r>
        <w:rPr>
          <w:rFonts w:ascii="Barlow Semi Condensed" w:cs="Barlow Semi Condensed" w:eastAsia="Barlow Semi Condensed" w:hAnsi="Barlow Semi Condensed"/>
          <w:sz w:val="24"/>
          <w:szCs w:val="24"/>
        </w:rPr>
        <w:t xml:space="preserve">Quest'ultimo limite merita di essere sottolineato, perché una parte considerevole della letteratura sulle carte verte precisamente su ciò che in esse non c'è.</w:t>
      </w:r>
    </w:p>
    <w:p>
      <w:pPr>
        <w:pStyle w:val="Heading2"/>
        <w:spacing w:after="100" w:before="200"/>
      </w:pPr>
      <w:r>
        <w:rPr>
          <w:rFonts w:ascii="Barlow Semi Condensed" w:cs="Barlow Semi Condensed" w:eastAsia="Barlow Semi Condensed" w:hAnsi="Barlow Semi Condensed"/>
          <w:sz w:val="24"/>
          <w:szCs w:val="24"/>
        </w:rPr>
        <w:t xml:space="preserve">Capitolo trentacinquesimo — Le lettere ai familiari</w:t>
      </w:r>
    </w:p>
    <w:p>
      <w:pPr>
        <w:pStyle w:val="Heading2"/>
        <w:spacing w:after="100" w:before="200"/>
      </w:pPr>
      <w:r>
        <w:rPr>
          <w:rFonts w:ascii="Barlow Semi Condensed" w:cs="Barlow Semi Condensed" w:eastAsia="Barlow Semi Condensed" w:hAnsi="Barlow Semi Condensed"/>
          <w:sz w:val="24"/>
          <w:szCs w:val="24"/>
        </w:rPr>
        <w:t xml:space="preserve">La classe e il suo statuto</w:t>
      </w:r>
    </w:p>
    <w:p>
      <w:pPr>
        <w:spacing w:after="120" w:line="276"/>
        <w:jc w:val="both"/>
      </w:pPr>
      <w:r>
        <w:rPr>
          <w:rFonts w:ascii="Barlow Semi Condensed" w:cs="Barlow Semi Condensed" w:eastAsia="Barlow Semi Condensed" w:hAnsi="Barlow Semi Condensed"/>
          <w:sz w:val="24"/>
          <w:szCs w:val="24"/>
        </w:rPr>
        <w:t xml:space="preserve">Le lettere indirizzate a persone della famiglia costituiscono la classe alla quale la scala del vincolo assegna in prevalenza il primo e il secondo grado.</w:t>
      </w:r>
    </w:p>
    <w:p>
      <w:pPr>
        <w:spacing w:after="120" w:line="276"/>
        <w:jc w:val="both"/>
      </w:pPr>
      <w:r>
        <w:rPr>
          <w:rFonts w:ascii="Barlow Semi Condensed" w:cs="Barlow Semi Condensed" w:eastAsia="Barlow Semi Condensed" w:hAnsi="Barlow Semi Condensed"/>
          <w:sz w:val="24"/>
          <w:szCs w:val="24"/>
        </w:rPr>
        <w:t xml:space="preserve">La ragione è di interesse: i detentori non avevano interesse specifico al contenuto di comunicazioni domestiche, e la loro sollecitazione non avrebbe prodotto alcun effetto utile. Ove tale interesse compaia — nelle parti in cui la lettera domestica tocca la condotta da tenere o sollecita interventi — il grado si eleva, e va elevato per quelle proposizioni e non per l'intera lettera.</w:t>
      </w:r>
    </w:p>
    <w:p>
      <w:pPr>
        <w:pStyle w:val="Heading2"/>
        <w:spacing w:after="100" w:before="200"/>
      </w:pPr>
      <w:r>
        <w:rPr>
          <w:rFonts w:ascii="Barlow Semi Condensed" w:cs="Barlow Semi Condensed" w:eastAsia="Barlow Semi Condensed" w:hAnsi="Barlow Semi Condensed"/>
          <w:sz w:val="24"/>
          <w:szCs w:val="24"/>
        </w:rPr>
        <w:t xml:space="preserve">Che cosa esse attestano</w:t>
      </w:r>
    </w:p>
    <w:p>
      <w:pPr>
        <w:spacing w:after="120" w:line="276"/>
        <w:jc w:val="both"/>
      </w:pPr>
      <w:r>
        <w:rPr>
          <w:rFonts w:ascii="Barlow Semi Condensed" w:cs="Barlow Semi Condensed" w:eastAsia="Barlow Semi Condensed" w:hAnsi="Barlow Semi Condensed"/>
          <w:sz w:val="24"/>
          <w:szCs w:val="24"/>
        </w:rPr>
        <w:t xml:space="preserve">Esse attestano, in stato di sciolto, che l'autore fu mantenuto in condizioni che gli consentivano di scrivere per l'intero periodo; che conservò capacità di formulazione articolata; che ebbe conoscenza, sia pur parziale e mediata, dell'andamento delle vicende esterne.</w:t>
      </w:r>
    </w:p>
    <w:p>
      <w:pPr>
        <w:spacing w:after="120" w:line="276"/>
        <w:jc w:val="both"/>
      </w:pPr>
      <w:r>
        <w:rPr>
          <w:rFonts w:ascii="Barlow Semi Condensed" w:cs="Barlow Semi Condensed" w:eastAsia="Barlow Semi Condensed" w:hAnsi="Barlow Semi Condensed"/>
          <w:sz w:val="24"/>
          <w:szCs w:val="24"/>
        </w:rPr>
        <w:t xml:space="preserve">Quest'ultimo elemento rileva per la ricostruzione materiale e va segnalato: che il prigioniero mostrasse consapevolezza di sviluppi esterni comporta che gli fossero fornite informazioni, il che è dato sulla gestione della detenzione e non sul suo pensiero.</w:t>
      </w:r>
    </w:p>
    <w:p>
      <w:pPr>
        <w:pStyle w:val="Heading2"/>
        <w:spacing w:after="100" w:before="200"/>
      </w:pPr>
      <w:r>
        <w:rPr>
          <w:rFonts w:ascii="Barlow Semi Condensed" w:cs="Barlow Semi Condensed" w:eastAsia="Barlow Semi Condensed" w:hAnsi="Barlow Semi Condensed"/>
          <w:sz w:val="24"/>
          <w:szCs w:val="24"/>
        </w:rPr>
        <w:t xml:space="preserve">Il carattere della classe</w:t>
      </w:r>
    </w:p>
    <w:p>
      <w:pPr>
        <w:spacing w:after="120" w:line="276"/>
        <w:jc w:val="both"/>
      </w:pPr>
      <w:r>
        <w:rPr>
          <w:rFonts w:ascii="Barlow Semi Condensed" w:cs="Barlow Semi Condensed" w:eastAsia="Barlow Semi Condensed" w:hAnsi="Barlow Semi Condensed"/>
          <w:sz w:val="24"/>
          <w:szCs w:val="24"/>
        </w:rPr>
        <w:t xml:space="preserve">Va detta una cosa sul carattere di queste lettere, e va detta con misura.</w:t>
      </w:r>
    </w:p>
    <w:p>
      <w:pPr>
        <w:spacing w:after="120" w:line="276"/>
        <w:jc w:val="both"/>
      </w:pPr>
      <w:r>
        <w:rPr>
          <w:rFonts w:ascii="Barlow Semi Condensed" w:cs="Barlow Semi Condensed" w:eastAsia="Barlow Semi Condensed" w:hAnsi="Barlow Semi Condensed"/>
          <w:sz w:val="24"/>
          <w:szCs w:val="24"/>
        </w:rPr>
        <w:t xml:space="preserve">Esse sono, per larga parte, comunicazioni private di un uomo alla propria famiglia in condizioni di pericolo mortale. Contengono disposizioni pratiche, raccomandazioni, espressioni di affetto, preoccupazioni per il dopo.</w:t>
      </w:r>
    </w:p>
    <w:p>
      <w:pPr>
        <w:spacing w:after="120" w:line="276"/>
        <w:jc w:val="both"/>
      </w:pPr>
      <w:r>
        <w:rPr>
          <w:rFonts w:ascii="Barlow Semi Condensed" w:cs="Barlow Semi Condensed" w:eastAsia="Barlow Semi Condensed" w:hAnsi="Barlow Semi Condensed"/>
          <w:sz w:val="24"/>
          <w:szCs w:val="24"/>
        </w:rPr>
        <w:t xml:space="preserve">Quest'opera non le analizza oltre quanto serve al proprio ufficio, e non ne estrae elementi di colore. La ragione è che esse non furono scritte per essere lette da chi qui scrive né da chi qui legge; che la loro pubblicazione fu conseguenza della vicenda e non volontà dell'autore; e che un registro il quale ne facesse materia di commento supererebbe il limite oltre il quale la ricerca su una persona diventa esposizione della sua vita privata.</w:t>
      </w:r>
    </w:p>
    <w:p>
      <w:pPr>
        <w:spacing w:after="120" w:line="276"/>
        <w:jc w:val="both"/>
      </w:pPr>
      <w:r>
        <w:rPr>
          <w:rFonts w:ascii="Barlow Semi Condensed" w:cs="Barlow Semi Condensed" w:eastAsia="Barlow Semi Condensed" w:hAnsi="Barlow Semi Condensed"/>
          <w:sz w:val="24"/>
          <w:szCs w:val="24"/>
        </w:rPr>
        <w:t xml:space="preserve">Si registra dunque la classe, il suo statuto, e ciò che essa attesta ai fini della ricostruzione. Null'altro.</w:t>
      </w:r>
    </w:p>
    <w:p>
      <w:pPr>
        <w:pStyle w:val="Heading2"/>
        <w:spacing w:after="100" w:before="200"/>
      </w:pPr>
      <w:r>
        <w:rPr>
          <w:rFonts w:ascii="Barlow Semi Condensed" w:cs="Barlow Semi Condensed" w:eastAsia="Barlow Semi Condensed" w:hAnsi="Barlow Semi Condensed"/>
          <w:sz w:val="24"/>
          <w:szCs w:val="24"/>
        </w:rPr>
        <w:t xml:space="preserve">Una disposizione dell'autore</w:t>
      </w:r>
    </w:p>
    <w:p>
      <w:pPr>
        <w:spacing w:after="120" w:line="276"/>
        <w:jc w:val="both"/>
      </w:pPr>
      <w:r>
        <w:rPr>
          <w:rFonts w:ascii="Barlow Semi Condensed" w:cs="Barlow Semi Condensed" w:eastAsia="Barlow Semi Condensed" w:hAnsi="Barlow Semi Condensed"/>
          <w:sz w:val="24"/>
          <w:szCs w:val="24"/>
        </w:rPr>
        <w:t xml:space="preserve">Vi è, fra le disposizioni contenute in questa classe, una che rileva per la ricostruzione degli eventi successivi e che pertanto va menzionata: l'autore espresse volontà relative alle modalità delle proprie esequie e alla partecipazione delle autorità.</w:t>
      </w:r>
    </w:p>
    <w:p>
      <w:pPr>
        <w:spacing w:after="120" w:line="276"/>
        <w:jc w:val="both"/>
      </w:pPr>
      <w:r>
        <w:rPr>
          <w:rFonts w:ascii="Barlow Semi Condensed" w:cs="Barlow Semi Condensed" w:eastAsia="Barlow Semi Condensed" w:hAnsi="Barlow Semi Condensed"/>
          <w:sz w:val="24"/>
          <w:szCs w:val="24"/>
        </w:rPr>
        <w:t xml:space="preserve">Il fatto che tale volontà sia stata espressa è accertato. Le vicende conseguenti appartengono alla Fase Settima, che tratta ciò che resta.</w:t>
      </w:r>
    </w:p>
    <w:p>
      <w:pPr>
        <w:pStyle w:val="Heading2"/>
        <w:spacing w:after="100" w:before="200"/>
      </w:pPr>
      <w:r>
        <w:rPr>
          <w:rFonts w:ascii="Barlow Semi Condensed" w:cs="Barlow Semi Condensed" w:eastAsia="Barlow Semi Condensed" w:hAnsi="Barlow Semi Condensed"/>
          <w:sz w:val="24"/>
          <w:szCs w:val="24"/>
        </w:rPr>
        <w:t xml:space="preserve">Capitolo trentaseiesimo — Le lettere ai destinatari politici e istituzionali</w:t>
      </w:r>
    </w:p>
    <w:p>
      <w:pPr>
        <w:pStyle w:val="Heading2"/>
        <w:spacing w:after="100" w:before="200"/>
      </w:pPr>
      <w:r>
        <w:rPr>
          <w:rFonts w:ascii="Barlow Semi Condensed" w:cs="Barlow Semi Condensed" w:eastAsia="Barlow Semi Condensed" w:hAnsi="Barlow Semi Condensed"/>
          <w:sz w:val="24"/>
          <w:szCs w:val="24"/>
        </w:rPr>
        <w:t xml:space="preserve">La classe e il suo statuto</w:t>
      </w:r>
    </w:p>
    <w:p>
      <w:pPr>
        <w:spacing w:after="120" w:line="276"/>
        <w:jc w:val="both"/>
      </w:pPr>
      <w:r>
        <w:rPr>
          <w:rFonts w:ascii="Barlow Semi Condensed" w:cs="Barlow Semi Condensed" w:eastAsia="Barlow Semi Condensed" w:hAnsi="Barlow Semi Condensed"/>
          <w:sz w:val="24"/>
          <w:szCs w:val="24"/>
        </w:rPr>
        <w:t xml:space="preserve">Le lettere indirizzate a uomini politici, a organi di partito e a istituzioni costituiscono la classe alla quale la scala assegna in prevalenza il terzo grado, e in taluni punti il quarto.</w:t>
      </w:r>
    </w:p>
    <w:p>
      <w:pPr>
        <w:spacing w:after="120" w:line="276"/>
        <w:jc w:val="both"/>
      </w:pPr>
      <w:r>
        <w:rPr>
          <w:rFonts w:ascii="Barlow Semi Condensed" w:cs="Barlow Semi Condensed" w:eastAsia="Barlow Semi Condensed" w:hAnsi="Barlow Semi Condensed"/>
          <w:sz w:val="24"/>
          <w:szCs w:val="24"/>
        </w:rPr>
        <w:t xml:space="preserve">La ragione è simmetrica a quella del Capitolo precedente: qui l'interesse dei detentori era diretto e specifico. Ottenere che il prigioniero sollecitasse determinate condotte era, per chi lo deteneva, l'utilità principale della sua capacità di scrivere.</w:t>
      </w:r>
    </w:p>
    <w:p>
      <w:pPr>
        <w:pStyle w:val="Heading2"/>
        <w:spacing w:after="100" w:before="200"/>
      </w:pPr>
      <w:r>
        <w:rPr>
          <w:rFonts w:ascii="Barlow Semi Condensed" w:cs="Barlow Semi Condensed" w:eastAsia="Barlow Semi Condensed" w:hAnsi="Barlow Semi Condensed"/>
          <w:sz w:val="24"/>
          <w:szCs w:val="24"/>
        </w:rPr>
        <w:t xml:space="preserve">La conseguenza sull'uso</w:t>
      </w:r>
    </w:p>
    <w:p>
      <w:pPr>
        <w:spacing w:after="120" w:line="276"/>
        <w:jc w:val="both"/>
      </w:pPr>
      <w:r>
        <w:rPr>
          <w:rFonts w:ascii="Barlow Semi Condensed" w:cs="Barlow Semi Condensed" w:eastAsia="Barlow Semi Condensed" w:hAnsi="Barlow Semi Condensed"/>
          <w:sz w:val="24"/>
          <w:szCs w:val="24"/>
        </w:rPr>
        <w:t xml:space="preserve">Ne discende la disposizione più severa di questa Fase, e conviene enunciarla senza attenuazioni.</w:t>
      </w:r>
    </w:p>
    <w:p>
      <w:pPr>
        <w:spacing w:after="120" w:line="276"/>
        <w:jc w:val="both"/>
      </w:pPr>
      <w:r>
        <w:rPr>
          <w:rFonts w:ascii="Barlow Semi Condensed" w:cs="Barlow Semi Condensed" w:eastAsia="Barlow Semi Condensed" w:hAnsi="Barlow Semi Condensed"/>
          <w:sz w:val="24"/>
          <w:szCs w:val="24"/>
        </w:rPr>
        <w:t xml:space="preserve">Gli enunciati di questa classe che riguardano la condotta da tenere, la valutazione dell'operato delle istituzioni e la sollecitazione a decisioni determinate attestano che l'autore scrisse quelle parole, e null'altro.</w:t>
      </w:r>
    </w:p>
    <w:p>
      <w:pPr>
        <w:spacing w:after="120" w:line="276"/>
        <w:jc w:val="both"/>
      </w:pPr>
      <w:r>
        <w:rPr>
          <w:rFonts w:ascii="Barlow Semi Condensed" w:cs="Barlow Semi Condensed" w:eastAsia="Barlow Semi Condensed" w:hAnsi="Barlow Semi Condensed"/>
          <w:sz w:val="24"/>
          <w:szCs w:val="24"/>
        </w:rPr>
        <w:t xml:space="preserve">Essi non possono essere impiegati per sostenere che l'autore avesse mutato le proprie posizioni. Non possono essere impiegati per sostenere che le avesse conservate. Non possono essere impiegati per accreditare né per screditare la linea che prevalse nelle sedi di governo.</w:t>
      </w:r>
    </w:p>
    <w:p>
      <w:pPr>
        <w:spacing w:after="120" w:line="276"/>
        <w:jc w:val="both"/>
      </w:pPr>
      <w:r>
        <w:rPr>
          <w:rFonts w:ascii="Barlow Semi Condensed" w:cs="Barlow Semi Condensed" w:eastAsia="Barlow Semi Condensed" w:hAnsi="Barlow Semi Condensed"/>
          <w:sz w:val="24"/>
          <w:szCs w:val="24"/>
        </w:rPr>
        <w:t xml:space="preserve">Questa disposizione ha una conseguenza che va detta apertamente: essa esclude dall'uso probatorio la parte del corpus sulla quale si è discusso di più in cinquant'anni. Le lettere politiche della prigionia sono state impiegate, alternativamente, per dimostrare che l'uomo era stato piegato e per dimostrare che era rimasto sé stesso; per accusare chi non trattò e per giustificarlo. Nessuno di questi usi è ammesso in quest'opera, e non perché le tesi siano false, ma perché la fonte non le sostiene né le contraddice.</w:t>
      </w:r>
    </w:p>
    <w:p>
      <w:pPr>
        <w:pStyle w:val="Heading2"/>
        <w:spacing w:after="100" w:before="200"/>
      </w:pPr>
      <w:r>
        <w:rPr>
          <w:rFonts w:ascii="Barlow Semi Condensed" w:cs="Barlow Semi Condensed" w:eastAsia="Barlow Semi Condensed" w:hAnsi="Barlow Semi Condensed"/>
          <w:sz w:val="24"/>
          <w:szCs w:val="24"/>
        </w:rPr>
        <w:t xml:space="preserve">Che cosa dunque questa classe attesta</w:t>
      </w:r>
    </w:p>
    <w:p>
      <w:pPr>
        <w:spacing w:after="120" w:line="276"/>
        <w:jc w:val="both"/>
      </w:pPr>
      <w:r>
        <w:rPr>
          <w:rFonts w:ascii="Barlow Semi Condensed" w:cs="Barlow Semi Condensed" w:eastAsia="Barlow Semi Condensed" w:hAnsi="Barlow Semi Condensed"/>
          <w:sz w:val="24"/>
          <w:szCs w:val="24"/>
        </w:rPr>
        <w:t xml:space="preserve">Attesta, in stato di sciolto, che tali lettere furono scritte e trasmesse; a chi furono indirizzate; in quale sequenza temporale; e che una parte di esse non fu trasmessa e fu rinvenuta in seguito.</w:t>
      </w:r>
    </w:p>
    <w:p>
      <w:pPr>
        <w:spacing w:after="120" w:line="276"/>
        <w:jc w:val="both"/>
      </w:pPr>
      <w:r>
        <w:rPr>
          <w:rFonts w:ascii="Barlow Semi Condensed" w:cs="Barlow Semi Condensed" w:eastAsia="Barlow Semi Condensed" w:hAnsi="Barlow Semi Condensed"/>
          <w:sz w:val="24"/>
          <w:szCs w:val="24"/>
        </w:rPr>
        <w:t xml:space="preserve">La sequenza temporale e la selezione operata sulla trasmissione sono dati di rilievo, e appartengono alla ricostruzione della gestione della prigionia da parte dei detentori. Essi sono utilizzabili senza restrizione, perché non dipendono dal contenuto degli enunciati ma dalla loro esistenza e circolazione.</w:t>
      </w:r>
    </w:p>
    <w:p>
      <w:pPr>
        <w:pStyle w:val="Heading2"/>
        <w:spacing w:after="100" w:before="200"/>
      </w:pPr>
      <w:r>
        <w:rPr>
          <w:rFonts w:ascii="Barlow Semi Condensed" w:cs="Barlow Semi Condensed" w:eastAsia="Barlow Semi Condensed" w:hAnsi="Barlow Semi Condensed"/>
          <w:sz w:val="24"/>
          <w:szCs w:val="24"/>
        </w:rPr>
        <w:t xml:space="preserve">Il dibattito pubblico e il suo statuto</w:t>
      </w:r>
    </w:p>
    <w:p>
      <w:pPr>
        <w:spacing w:after="120" w:line="276"/>
        <w:jc w:val="both"/>
      </w:pPr>
      <w:r>
        <w:rPr>
          <w:rFonts w:ascii="Barlow Semi Condensed" w:cs="Barlow Semi Condensed" w:eastAsia="Barlow Semi Condensed" w:hAnsi="Barlow Semi Condensed"/>
          <w:sz w:val="24"/>
          <w:szCs w:val="24"/>
        </w:rPr>
        <w:t xml:space="preserve">Il contenuto di queste lettere fu, all'epoca, oggetto di dibattito pubblico immediato, e il dibattito ebbe conseguenze sulle decisioni assunte.</w:t>
      </w:r>
    </w:p>
    <w:p>
      <w:pPr>
        <w:spacing w:after="120" w:line="276"/>
        <w:jc w:val="both"/>
      </w:pPr>
      <w:r>
        <w:rPr>
          <w:rFonts w:ascii="Barlow Semi Condensed" w:cs="Barlow Semi Condensed" w:eastAsia="Barlow Semi Condensed" w:hAnsi="Barlow Semi Condensed"/>
          <w:sz w:val="24"/>
          <w:szCs w:val="24"/>
        </w:rPr>
        <w:t xml:space="preserve">Che tale dibattito vi fu, e quali posizioni vi si confrontarono, è materia accertata e appartiene alla ricostruzione degli eventi. Esso sarà trattato nella Fase Settima quanto agli esiti.</w:t>
      </w:r>
    </w:p>
    <w:p>
      <w:pPr>
        <w:spacing w:after="120" w:line="276"/>
        <w:jc w:val="both"/>
      </w:pPr>
      <w:r>
        <w:rPr>
          <w:rFonts w:ascii="Barlow Semi Condensed" w:cs="Barlow Semi Condensed" w:eastAsia="Barlow Semi Condensed" w:hAnsi="Barlow Semi Condensed"/>
          <w:sz w:val="24"/>
          <w:szCs w:val="24"/>
        </w:rPr>
        <w:t xml:space="preserve">Si segnala qui una sola circostanza, perché incide sulla valutazione di quel dibattito ed è stata esposta nel Capitolo trentaduesimo: coloro che allora valutarono le lettere lo fecero su un corpus selezionato da chi deteneva l'autore, e non potevano sapere quale parte fosse stata sottratta. Questa circostanza non muta il giudizio sulle decisioni, che appartiene ad altri; muta però la descrizione delle condizioni in cui furono prese, e la descrizione appartiene a quest'opera.</w:t>
      </w:r>
    </w:p>
    <w:p>
      <w:pPr>
        <w:pStyle w:val="Heading2"/>
        <w:spacing w:after="100" w:before="200"/>
      </w:pPr>
      <w:r>
        <w:rPr>
          <w:rFonts w:ascii="Barlow Semi Condensed" w:cs="Barlow Semi Condensed" w:eastAsia="Barlow Semi Condensed" w:hAnsi="Barlow Semi Condensed"/>
          <w:sz w:val="24"/>
          <w:szCs w:val="24"/>
        </w:rPr>
        <w:t xml:space="preserve">Capitolo trentasettesimo — Il memoriale: natura e statuto</w:t>
      </w:r>
    </w:p>
    <w:p>
      <w:pPr>
        <w:pStyle w:val="Heading2"/>
        <w:spacing w:after="100" w:before="200"/>
      </w:pPr>
      <w:r>
        <w:rPr>
          <w:rFonts w:ascii="Barlow Semi Condensed" w:cs="Barlow Semi Condensed" w:eastAsia="Barlow Semi Condensed" w:hAnsi="Barlow Semi Condensed"/>
          <w:sz w:val="24"/>
          <w:szCs w:val="24"/>
        </w:rPr>
        <w:t xml:space="preserve">Che cosa si intende</w:t>
      </w:r>
    </w:p>
    <w:p>
      <w:pPr>
        <w:spacing w:after="120" w:line="276"/>
        <w:jc w:val="both"/>
      </w:pPr>
      <w:r>
        <w:rPr>
          <w:rFonts w:ascii="Barlow Semi Condensed" w:cs="Barlow Semi Condensed" w:eastAsia="Barlow Semi Condensed" w:hAnsi="Barlow Semi Condensed"/>
          <w:sz w:val="24"/>
          <w:szCs w:val="24"/>
        </w:rPr>
        <w:t xml:space="preserve">Con il termine memoriale si designa complessivamente il materiale non epistolare riferibile alla prigionia: scritti di natura ricostruttiva e argomentativa, di estensione maggiore delle lettere, vertenti su materie politiche e istituzionali.</w:t>
      </w:r>
    </w:p>
    <w:p>
      <w:pPr>
        <w:spacing w:after="120" w:line="276"/>
        <w:jc w:val="both"/>
      </w:pPr>
      <w:r>
        <w:rPr>
          <w:rFonts w:ascii="Barlow Semi Condensed" w:cs="Barlow Semi Condensed" w:eastAsia="Barlow Semi Condensed" w:hAnsi="Barlow Semi Condensed"/>
          <w:sz w:val="24"/>
          <w:szCs w:val="24"/>
        </w:rPr>
        <w:t xml:space="preserve">Il termine è d'uso corrente e non è dell'autore. Si adotta per convenzione, e si dichiara che esso raggruppa materiali che potrebbero non costituire un'opera unitaria.</w:t>
      </w:r>
    </w:p>
    <w:p>
      <w:pPr>
        <w:pStyle w:val="Heading2"/>
        <w:spacing w:after="100" w:before="200"/>
      </w:pPr>
      <w:r>
        <w:rPr>
          <w:rFonts w:ascii="Barlow Semi Condensed" w:cs="Barlow Semi Condensed" w:eastAsia="Barlow Semi Condensed" w:hAnsi="Barlow Semi Condensed"/>
          <w:sz w:val="24"/>
          <w:szCs w:val="24"/>
        </w:rPr>
        <w:t xml:space="preserve">La natura del materiale</w:t>
      </w:r>
    </w:p>
    <w:p>
      <w:pPr>
        <w:spacing w:after="120" w:line="276"/>
        <w:jc w:val="both"/>
      </w:pPr>
      <w:r>
        <w:rPr>
          <w:rFonts w:ascii="Barlow Semi Condensed" w:cs="Barlow Semi Condensed" w:eastAsia="Barlow Semi Condensed" w:hAnsi="Barlow Semi Condensed"/>
          <w:sz w:val="24"/>
          <w:szCs w:val="24"/>
        </w:rPr>
        <w:t xml:space="preserve">Il materiale ha carattere in prevalenza ricostruttivo: esso espone vicende, rapporti, valutazioni relative alla vita politica e istituzionale del periodo anteriore.</w:t>
      </w:r>
    </w:p>
    <w:p>
      <w:pPr>
        <w:spacing w:after="120" w:line="276"/>
        <w:jc w:val="both"/>
      </w:pPr>
      <w:r>
        <w:rPr>
          <w:rFonts w:ascii="Barlow Semi Condensed" w:cs="Barlow Semi Condensed" w:eastAsia="Barlow Semi Condensed" w:hAnsi="Barlow Semi Condensed"/>
          <w:sz w:val="24"/>
          <w:szCs w:val="24"/>
        </w:rPr>
        <w:t xml:space="preserve">Occorre precisare una circostanza che ne determina lo statuto e che è frequentemente trascurata: il materiale fu prodotto in risposta a un interrogatorio. Chi deteneva l'autore condusse su di lui un procedimento che essi medesimi qualificarono come processo, e il materiale costituisce, in misura considerevole, la risposta a domande poste.</w:t>
      </w:r>
    </w:p>
    <w:p>
      <w:pPr>
        <w:spacing w:after="120" w:line="276"/>
        <w:jc w:val="both"/>
      </w:pPr>
      <w:r>
        <w:rPr>
          <w:rFonts w:ascii="Barlow Semi Condensed" w:cs="Barlow Semi Condensed" w:eastAsia="Barlow Semi Condensed" w:hAnsi="Barlow Semi Condensed"/>
          <w:sz w:val="24"/>
          <w:szCs w:val="24"/>
        </w:rPr>
        <w:t xml:space="preserve">Questa circostanza non è secondaria. Un testo scritto in risposta a domande altrui riflette, nella propria struttura, la struttura delle domande. Ciò che vi si trova trattato non è necessariamente ciò che l'autore avrebbe scelto di trattare; e l'assenza di una materia non attesta che egli non avesse nulla da dirne, ma può attestare che non gli fu chiesto.</w:t>
      </w:r>
    </w:p>
    <w:p>
      <w:pPr>
        <w:pStyle w:val="Heading2"/>
        <w:spacing w:after="100" w:before="200"/>
      </w:pPr>
      <w:r>
        <w:rPr>
          <w:rFonts w:ascii="Barlow Semi Condensed" w:cs="Barlow Semi Condensed" w:eastAsia="Barlow Semi Condensed" w:hAnsi="Barlow Semi Condensed"/>
          <w:sz w:val="24"/>
          <w:szCs w:val="24"/>
        </w:rPr>
        <w:t xml:space="preserve">Lo statuto secondo la scala</w:t>
      </w:r>
    </w:p>
    <w:p>
      <w:pPr>
        <w:spacing w:after="120" w:line="276"/>
        <w:jc w:val="both"/>
      </w:pPr>
      <w:r>
        <w:rPr>
          <w:rFonts w:ascii="Barlow Semi Condensed" w:cs="Barlow Semi Condensed" w:eastAsia="Barlow Semi Condensed" w:hAnsi="Barlow Semi Condensed"/>
          <w:sz w:val="24"/>
          <w:szCs w:val="24"/>
        </w:rPr>
        <w:t xml:space="preserve">La collocazione del memoriale nella scala del vincolo è la seguente.</w:t>
      </w:r>
    </w:p>
    <w:p>
      <w:pPr>
        <w:spacing w:after="120" w:line="276"/>
        <w:jc w:val="both"/>
      </w:pPr>
      <w:r>
        <w:rPr>
          <w:rFonts w:ascii="Barlow Semi Condensed" w:cs="Barlow Semi Condensed" w:eastAsia="Barlow Semi Condensed" w:hAnsi="Barlow Semi Condensed"/>
          <w:sz w:val="24"/>
          <w:szCs w:val="24"/>
        </w:rPr>
        <w:t xml:space="preserve">Quanto alla struttura e alla selezione delle materie, esso è di terzo grado: la scelta degli argomenti fu in misura rilevante determinata dall'interrogatorio.</w:t>
      </w:r>
    </w:p>
    <w:p>
      <w:pPr>
        <w:spacing w:after="120" w:line="276"/>
        <w:jc w:val="both"/>
      </w:pPr>
      <w:r>
        <w:rPr>
          <w:rFonts w:ascii="Barlow Semi Condensed" w:cs="Barlow Semi Condensed" w:eastAsia="Barlow Semi Condensed" w:hAnsi="Barlow Semi Condensed"/>
          <w:sz w:val="24"/>
          <w:szCs w:val="24"/>
        </w:rPr>
        <w:t xml:space="preserve">Quanto agli enunciati di fatto ivi contenuti — riferimenti a vicende, a rapporti, a circostanze — la collocazione va operata proposizione per proposizione, e non in blocco. Enunciati coerenti con documentazione indipendente si collocano al secondo grado; enunciati privi di riscontro indipendente e di interesse per i detentori si collocano al terzo.</w:t>
      </w:r>
    </w:p>
    <w:p>
      <w:pPr>
        <w:pStyle w:val="Heading2"/>
        <w:spacing w:after="100" w:before="200"/>
      </w:pPr>
      <w:r>
        <w:rPr>
          <w:rFonts w:ascii="Barlow Semi Condensed" w:cs="Barlow Semi Condensed" w:eastAsia="Barlow Semi Condensed" w:hAnsi="Barlow Semi Condensed"/>
          <w:sz w:val="24"/>
          <w:szCs w:val="24"/>
        </w:rPr>
        <w:t xml:space="preserve">La regola d'uso e la sua severità</w:t>
      </w:r>
    </w:p>
    <w:p>
      <w:pPr>
        <w:spacing w:after="120" w:line="276"/>
        <w:jc w:val="both"/>
      </w:pPr>
      <w:r>
        <w:rPr>
          <w:rFonts w:ascii="Barlow Semi Condensed" w:cs="Barlow Semi Condensed" w:eastAsia="Barlow Semi Condensed" w:hAnsi="Barlow Semi Condensed"/>
          <w:sz w:val="24"/>
          <w:szCs w:val="24"/>
        </w:rPr>
        <w:t xml:space="preserve">Si applica qui, con particolare rigore, la regola generale enunciata nel Capitolo trentunesimo: nessun enunciato delle carte è impiegato come prova di un fatto esterno senza riscontro indipendente.</w:t>
      </w:r>
    </w:p>
    <w:p>
      <w:pPr>
        <w:spacing w:after="120" w:line="276"/>
        <w:jc w:val="both"/>
      </w:pPr>
      <w:r>
        <w:rPr>
          <w:rFonts w:ascii="Barlow Semi Condensed" w:cs="Barlow Semi Condensed" w:eastAsia="Barlow Semi Condensed" w:hAnsi="Barlow Semi Condensed"/>
          <w:sz w:val="24"/>
          <w:szCs w:val="24"/>
        </w:rPr>
        <w:t xml:space="preserve">La severità è motivata dalla natura della fonte. Il memoriale è, dal punto di vista formale, una dichiarazione resa da persona sottoposta a costrizione in risposta a domande dei costrittori. Nessun ordinamento tratterebbe una dichiarazione siffatta come prova autosufficiente di fatti esterni, e nessun registro deve farlo.</w:t>
      </w:r>
    </w:p>
    <w:p>
      <w:pPr>
        <w:spacing w:after="120" w:line="276"/>
        <w:jc w:val="both"/>
      </w:pPr>
      <w:r>
        <w:rPr>
          <w:rFonts w:ascii="Barlow Semi Condensed" w:cs="Barlow Semi Condensed" w:eastAsia="Barlow Semi Condensed" w:hAnsi="Barlow Semi Condensed"/>
          <w:sz w:val="24"/>
          <w:szCs w:val="24"/>
        </w:rPr>
        <w:t xml:space="preserve">Ne segue che gli enunciati del memoriale relativi a vicende della vita politica italiana valgono, in quest'opera, come indicazione di ricerca e non come accertamento. Essi indicano dove guardare; il guardare va fatto altrove.</w:t>
      </w:r>
    </w:p>
    <w:p>
      <w:pPr>
        <w:spacing w:after="120" w:line="276"/>
        <w:jc w:val="both"/>
      </w:pPr>
      <w:r>
        <w:rPr>
          <w:rFonts w:ascii="Barlow Semi Condensed" w:cs="Barlow Semi Condensed" w:eastAsia="Barlow Semi Condensed" w:hAnsi="Barlow Semi Condensed"/>
          <w:sz w:val="24"/>
          <w:szCs w:val="24"/>
        </w:rPr>
        <w:t xml:space="preserve">Questa disposizione esclude dall'uso probatorio diretto le proposizioni del memoriale che sono state più frequentemente citate. Si conferma la disposizione e se ne dichiara la conseguenza: quest'opera non certifica alcun fatto esterno sulla sola base del memoriale.</w:t>
      </w:r>
    </w:p>
    <w:p>
      <w:pPr>
        <w:pStyle w:val="Heading2"/>
        <w:spacing w:after="100" w:before="200"/>
      </w:pPr>
      <w:r>
        <w:rPr>
          <w:rFonts w:ascii="Barlow Semi Condensed" w:cs="Barlow Semi Condensed" w:eastAsia="Barlow Semi Condensed" w:hAnsi="Barlow Semi Condensed"/>
          <w:sz w:val="24"/>
          <w:szCs w:val="24"/>
        </w:rPr>
        <w:t xml:space="preserve">Un elemento che invece rileva</w:t>
      </w:r>
    </w:p>
    <w:p>
      <w:pPr>
        <w:spacing w:after="120" w:line="276"/>
        <w:jc w:val="both"/>
      </w:pPr>
      <w:r>
        <w:rPr>
          <w:rFonts w:ascii="Barlow Semi Condensed" w:cs="Barlow Semi Condensed" w:eastAsia="Barlow Semi Condensed" w:hAnsi="Barlow Semi Condensed"/>
          <w:sz w:val="24"/>
          <w:szCs w:val="24"/>
        </w:rPr>
        <w:t xml:space="preserve">Vi è però un elemento del memoriale che rileva pienamente e senza le restrizioni predette, ed è di natura diversa dal contenuto.</w:t>
      </w:r>
    </w:p>
    <w:p>
      <w:pPr>
        <w:spacing w:after="120" w:line="276"/>
        <w:jc w:val="both"/>
      </w:pPr>
      <w:r>
        <w:rPr>
          <w:rFonts w:ascii="Barlow Semi Condensed" w:cs="Barlow Semi Condensed" w:eastAsia="Barlow Semi Condensed" w:hAnsi="Barlow Semi Condensed"/>
          <w:sz w:val="24"/>
          <w:szCs w:val="24"/>
        </w:rPr>
        <w:t xml:space="preserve">Esso riguarda ciò che il materiale attesta circa la conduzione della prigionia: che un interrogatorio fu condotto; che esso ebbe struttura e continuità; che vertette su determinate materie; che l'autore vi rispose in forma scritta ed estesa.</w:t>
      </w:r>
    </w:p>
    <w:p>
      <w:pPr>
        <w:spacing w:after="120" w:line="276"/>
        <w:jc w:val="both"/>
      </w:pPr>
      <w:r>
        <w:rPr>
          <w:rFonts w:ascii="Barlow Semi Condensed" w:cs="Barlow Semi Condensed" w:eastAsia="Barlow Semi Condensed" w:hAnsi="Barlow Semi Condensed"/>
          <w:sz w:val="24"/>
          <w:szCs w:val="24"/>
        </w:rPr>
        <w:t xml:space="preserve">Questi elementi non dipendono dalla veridicità di ciò che l'autore scrisse: dipendono dall'esistenza e dalla forma del materiale. Essi sono in stato di sciolto e sono utilizzabili senza restrizione, e appartengono alla ricostruzione materiale della prigionia più che alla ricostruzione del pensiero.</w:t>
      </w:r>
    </w:p>
    <w:p>
      <w:pPr>
        <w:pStyle w:val="Heading2"/>
        <w:spacing w:after="100" w:before="200"/>
      </w:pPr>
      <w:r>
        <w:rPr>
          <w:rFonts w:ascii="Barlow Semi Condensed" w:cs="Barlow Semi Condensed" w:eastAsia="Barlow Semi Condensed" w:hAnsi="Barlow Semi Condensed"/>
          <w:sz w:val="24"/>
          <w:szCs w:val="24"/>
        </w:rPr>
        <w:t xml:space="preserve">Capitolo trentottesimo — I due rinvenimenti e il problema della completezza</w:t>
      </w:r>
    </w:p>
    <w:p>
      <w:pPr>
        <w:pStyle w:val="Heading2"/>
        <w:spacing w:after="100" w:before="200"/>
      </w:pPr>
      <w:r>
        <w:rPr>
          <w:rFonts w:ascii="Barlow Semi Condensed" w:cs="Barlow Semi Condensed" w:eastAsia="Barlow Semi Condensed" w:hAnsi="Barlow Semi Condensed"/>
          <w:sz w:val="24"/>
          <w:szCs w:val="24"/>
        </w:rPr>
        <w:t xml:space="preserve">I fatti</w:t>
      </w:r>
    </w:p>
    <w:p>
      <w:pPr>
        <w:spacing w:after="120" w:line="276"/>
        <w:jc w:val="both"/>
      </w:pPr>
      <w:r>
        <w:rPr>
          <w:rFonts w:ascii="Barlow Semi Condensed" w:cs="Barlow Semi Condensed" w:eastAsia="Barlow Semi Condensed" w:hAnsi="Barlow Semi Condensed"/>
          <w:sz w:val="24"/>
          <w:szCs w:val="24"/>
        </w:rPr>
        <w:t xml:space="preserve">Nell'ottobre del 1978 fu individuata, a Milano, una base dell'organizzazione, e vi fu rinvenuto materiale riferibile alla prigionia, comprendente riproduzioni di scritti dell'autore.</w:t>
      </w:r>
    </w:p>
    <w:p>
      <w:pPr>
        <w:spacing w:after="120" w:line="276"/>
        <w:jc w:val="both"/>
      </w:pPr>
      <w:r>
        <w:rPr>
          <w:rFonts w:ascii="Barlow Semi Condensed" w:cs="Barlow Semi Condensed" w:eastAsia="Barlow Semi Condensed" w:hAnsi="Barlow Semi Condensed"/>
          <w:sz w:val="24"/>
          <w:szCs w:val="24"/>
        </w:rPr>
        <w:t xml:space="preserve">Nell'ottobre del 1990, nel corso di lavori edilizi eseguiti nel medesimo immobile, fu effettuato un secondo rinvenimento: ulteriori documenti, che si trovavano collocati in una intercapedine, e che non erano stati reperiti nella prima operazione.</w:t>
      </w:r>
    </w:p>
    <w:p>
      <w:pPr>
        <w:spacing w:after="120" w:line="276"/>
        <w:jc w:val="both"/>
      </w:pPr>
      <w:r>
        <w:rPr>
          <w:rFonts w:ascii="Barlow Semi Condensed" w:cs="Barlow Semi Condensed" w:eastAsia="Barlow Semi Condensed" w:hAnsi="Barlow Semi Condensed"/>
          <w:sz w:val="24"/>
          <w:szCs w:val="24"/>
        </w:rPr>
        <w:t xml:space="preserve">Entrambi i rinvenimenti sono accertati. La distanza fra essi è di dodici anni.</w:t>
      </w:r>
    </w:p>
    <w:p>
      <w:pPr>
        <w:pStyle w:val="Heading2"/>
        <w:spacing w:after="100" w:before="200"/>
      </w:pPr>
      <w:r>
        <w:rPr>
          <w:rFonts w:ascii="Barlow Semi Condensed" w:cs="Barlow Semi Condensed" w:eastAsia="Barlow Semi Condensed" w:hAnsi="Barlow Semi Condensed"/>
          <w:sz w:val="24"/>
          <w:szCs w:val="24"/>
        </w:rPr>
        <w:t xml:space="preserve">La conseguenza necessaria</w:t>
      </w:r>
    </w:p>
    <w:p>
      <w:pPr>
        <w:spacing w:after="120" w:line="276"/>
        <w:jc w:val="both"/>
      </w:pPr>
      <w:r>
        <w:rPr>
          <w:rFonts w:ascii="Barlow Semi Condensed" w:cs="Barlow Semi Condensed" w:eastAsia="Barlow Semi Condensed" w:hAnsi="Barlow Semi Condensed"/>
          <w:sz w:val="24"/>
          <w:szCs w:val="24"/>
        </w:rPr>
        <w:t xml:space="preserve">Da questi fatti discende una conseguenza che non richiede alcuna ipotesi ulteriore e che va enunciata come tale: la prima operazione non fu esaustiva. Ciò è dimostrato dalla seconda, e non è materia di opinione.</w:t>
      </w:r>
    </w:p>
    <w:p>
      <w:pPr>
        <w:spacing w:after="120" w:line="276"/>
        <w:jc w:val="both"/>
      </w:pPr>
      <w:r>
        <w:rPr>
          <w:rFonts w:ascii="Barlow Semi Condensed" w:cs="Barlow Semi Condensed" w:eastAsia="Barlow Semi Condensed" w:hAnsi="Barlow Semi Condensed"/>
          <w:sz w:val="24"/>
          <w:szCs w:val="24"/>
        </w:rPr>
        <w:t xml:space="preserve">Quest'opera appone a tale accertamento un marcatore permanente, già introdotto nel Capitolo ventinovesimo e qui confermato nella sua sede propria.</w:t>
      </w:r>
    </w:p>
    <w:p>
      <w:pPr>
        <w:spacing w:after="120" w:line="276"/>
        <w:jc w:val="both"/>
      </w:pPr>
      <w:r>
        <w:rPr>
          <w:rFonts w:ascii="Barlow Semi Condensed" w:cs="Barlow Semi Condensed" w:eastAsia="Barlow Semi Condensed" w:hAnsi="Barlow Semi Condensed"/>
          <w:sz w:val="24"/>
          <w:szCs w:val="24"/>
        </w:rPr>
        <w:t xml:space="preserve">Il marcatore ha due proprietà.</w:t>
      </w:r>
    </w:p>
    <w:p>
      <w:pPr>
        <w:spacing w:after="120" w:line="276"/>
        <w:jc w:val="both"/>
      </w:pPr>
      <w:r>
        <w:rPr>
          <w:rFonts w:ascii="Barlow Semi Condensed" w:cs="Barlow Semi Condensed" w:eastAsia="Barlow Semi Condensed" w:hAnsi="Barlow Semi Condensed"/>
          <w:sz w:val="24"/>
          <w:szCs w:val="24"/>
        </w:rPr>
        <w:t xml:space="preserve">Prima proprietà: esso è delimitato. Esso attesta l'incompletezza della prima operazione in quel luogo, e nulla oltre. Non si estende ad altre operazioni, non qualifica la condotta di chi la condusse, non attribuisce responsabilità.</w:t>
      </w:r>
    </w:p>
    <w:p>
      <w:pPr>
        <w:spacing w:after="120" w:line="276"/>
        <w:jc w:val="both"/>
      </w:pPr>
      <w:r>
        <w:rPr>
          <w:rFonts w:ascii="Barlow Semi Condensed" w:cs="Barlow Semi Condensed" w:eastAsia="Barlow Semi Condensed" w:hAnsi="Barlow Semi Condensed"/>
          <w:sz w:val="24"/>
          <w:szCs w:val="24"/>
        </w:rPr>
        <w:t xml:space="preserve">Seconda proprietà: esso non si rimuove. Nessuna dichiarazione successiva, di chiunque provenga e quale che ne sia il contenuto, può ripristinare la presunzione di completezza di una ricerca della cui incompletezza esiste prova materiale. Un accertamento negativo di questo genere è irreversibile per la natura stessa della prova che lo sostiene.</w:t>
      </w:r>
    </w:p>
    <w:p>
      <w:pPr>
        <w:pStyle w:val="Heading2"/>
        <w:spacing w:after="100" w:before="200"/>
      </w:pPr>
      <w:r>
        <w:rPr>
          <w:rFonts w:ascii="Barlow Semi Condensed" w:cs="Barlow Semi Condensed" w:eastAsia="Barlow Semi Condensed" w:hAnsi="Barlow Semi Condensed"/>
          <w:sz w:val="24"/>
          <w:szCs w:val="24"/>
        </w:rPr>
        <w:t xml:space="preserve">Le tre spiegazioni possibili e il loro statuto</w:t>
      </w:r>
    </w:p>
    <w:p>
      <w:pPr>
        <w:spacing w:after="120" w:line="276"/>
        <w:jc w:val="both"/>
      </w:pPr>
      <w:r>
        <w:rPr>
          <w:rFonts w:ascii="Barlow Semi Condensed" w:cs="Barlow Semi Condensed" w:eastAsia="Barlow Semi Condensed" w:hAnsi="Barlow Semi Condensed"/>
          <w:sz w:val="24"/>
          <w:szCs w:val="24"/>
        </w:rPr>
        <w:t xml:space="preserve">L'incompletezza è accertata; la sua causa non lo è. Tre spiegazioni sono possibili e nessuna è, allo stato, accertata.</w:t>
      </w:r>
    </w:p>
    <w:p>
      <w:pPr>
        <w:spacing w:after="120" w:line="276"/>
        <w:jc w:val="both"/>
      </w:pPr>
      <w:r>
        <w:rPr>
          <w:rFonts w:ascii="Barlow Semi Condensed" w:cs="Barlow Semi Condensed" w:eastAsia="Barlow Semi Condensed" w:hAnsi="Barlow Semi Condensed"/>
          <w:sz w:val="24"/>
          <w:szCs w:val="24"/>
        </w:rPr>
        <w:t xml:space="preserve">Prima: limite tecnico. Gli strumenti e le modalità della prima ricerca non consentirono di rilevare una intercapedine.</w:t>
      </w:r>
    </w:p>
    <w:p>
      <w:pPr>
        <w:spacing w:after="120" w:line="276"/>
        <w:jc w:val="both"/>
      </w:pPr>
      <w:r>
        <w:rPr>
          <w:rFonts w:ascii="Barlow Semi Condensed" w:cs="Barlow Semi Condensed" w:eastAsia="Barlow Semi Condensed" w:hAnsi="Barlow Semi Condensed"/>
          <w:sz w:val="24"/>
          <w:szCs w:val="24"/>
        </w:rPr>
        <w:t xml:space="preserve">Seconda: limite di conduzione. La ricerca fu condotta con criteri che non prevedevano l'esame delle strutture murarie.</w:t>
      </w:r>
    </w:p>
    <w:p>
      <w:pPr>
        <w:spacing w:after="120" w:line="276"/>
        <w:jc w:val="both"/>
      </w:pPr>
      <w:r>
        <w:rPr>
          <w:rFonts w:ascii="Barlow Semi Condensed" w:cs="Barlow Semi Condensed" w:eastAsia="Barlow Semi Condensed" w:hAnsi="Barlow Semi Condensed"/>
          <w:sz w:val="24"/>
          <w:szCs w:val="24"/>
        </w:rPr>
        <w:t xml:space="preserve">Terza: condotta deliberata. Il materiale fu rilevato e non acquisito.</w:t>
      </w:r>
    </w:p>
    <w:p>
      <w:pPr>
        <w:spacing w:after="120" w:line="276"/>
        <w:jc w:val="both"/>
      </w:pPr>
      <w:r>
        <w:rPr>
          <w:rFonts w:ascii="Barlow Semi Condensed" w:cs="Barlow Semi Condensed" w:eastAsia="Barlow Semi Condensed" w:hAnsi="Barlow Semi Condensed"/>
          <w:sz w:val="24"/>
          <w:szCs w:val="24"/>
        </w:rPr>
        <w:t xml:space="preserve">Quest'opera non sceglie. Registra le tre e indica la condizione di scioglimento: la documentazione contemporanea della prima operazione — verbali, rilievi, descrizione delle modalità e degli strumenti impiegati — confrontata con quella della seconda.</w:t>
      </w:r>
    </w:p>
    <w:p>
      <w:pPr>
        <w:spacing w:after="120" w:line="276"/>
        <w:jc w:val="both"/>
      </w:pPr>
      <w:r>
        <w:rPr>
          <w:rFonts w:ascii="Barlow Semi Condensed" w:cs="Barlow Semi Condensed" w:eastAsia="Barlow Semi Condensed" w:hAnsi="Barlow Semi Condensed"/>
          <w:sz w:val="24"/>
          <w:szCs w:val="24"/>
        </w:rPr>
        <w:t xml:space="preserve">Si segnala, perché appartiene alla disciplina degli Stati Zero, che tale documentazione non è stata acquisita nella presente campagna, e che la sua acquisizione è iscritta in tavola.</w:t>
      </w:r>
    </w:p>
    <w:p>
      <w:pPr>
        <w:pStyle w:val="Heading2"/>
        <w:spacing w:after="100" w:before="200"/>
      </w:pPr>
      <w:r>
        <w:rPr>
          <w:rFonts w:ascii="Barlow Semi Condensed" w:cs="Barlow Semi Condensed" w:eastAsia="Barlow Semi Condensed" w:hAnsi="Barlow Semi Condensed"/>
          <w:sz w:val="24"/>
          <w:szCs w:val="24"/>
        </w:rPr>
        <w:t xml:space="preserve">La conseguenza generale sul corpus</w:t>
      </w:r>
    </w:p>
    <w:p>
      <w:pPr>
        <w:spacing w:after="120" w:line="276"/>
        <w:jc w:val="both"/>
      </w:pPr>
      <w:r>
        <w:rPr>
          <w:rFonts w:ascii="Barlow Semi Condensed" w:cs="Barlow Semi Condensed" w:eastAsia="Barlow Semi Condensed" w:hAnsi="Barlow Semi Condensed"/>
          <w:sz w:val="24"/>
          <w:szCs w:val="24"/>
        </w:rPr>
        <w:t xml:space="preserve">Vi è infine una conseguenza che eccede il singolo episodio e che governa l'intera valutazione delle carte.</w:t>
      </w:r>
    </w:p>
    <w:p>
      <w:pPr>
        <w:spacing w:after="120" w:line="276"/>
        <w:jc w:val="both"/>
      </w:pPr>
      <w:r>
        <w:rPr>
          <w:rFonts w:ascii="Barlow Semi Condensed" w:cs="Barlow Semi Condensed" w:eastAsia="Barlow Semi Condensed" w:hAnsi="Barlow Semi Condensed"/>
          <w:sz w:val="24"/>
          <w:szCs w:val="24"/>
        </w:rPr>
        <w:t xml:space="preserve">Se un rinvenimento documentale relativo a questa vicenda si è rivelato incompleto dopo dodici anni, la completezza del corpus complessivamente disponibile non può essere presunta. Ciò non significa che manchi qualcosa: significa che non si può affermare che nulla manchi.</w:t>
      </w:r>
    </w:p>
    <w:p>
      <w:pPr>
        <w:spacing w:after="120" w:line="276"/>
        <w:jc w:val="both"/>
      </w:pPr>
      <w:r>
        <w:rPr>
          <w:rFonts w:ascii="Barlow Semi Condensed" w:cs="Barlow Semi Condensed" w:eastAsia="Barlow Semi Condensed" w:hAnsi="Barlow Semi Condensed"/>
          <w:sz w:val="24"/>
          <w:szCs w:val="24"/>
        </w:rPr>
        <w:t xml:space="preserve">La distinzione è capitale per gli argomenti fondati sul silenzio delle carte. Il Capitolo trentaquattresimo ha già dichiarato inammissibile ogni argomentazione fondata su ciò che nelle carte non si trova; questo Capitolo ne fornisce la ragione materiale, oltre a quella logica: non è accertato che il corpus disponibile sia il corpus esistente.</w:t>
      </w:r>
    </w:p>
    <w:p>
      <w:pPr>
        <w:pStyle w:val="Heading2"/>
        <w:spacing w:after="100" w:before="200"/>
      </w:pPr>
      <w:r>
        <w:rPr>
          <w:rFonts w:ascii="Barlow Semi Condensed" w:cs="Barlow Semi Condensed" w:eastAsia="Barlow Semi Condensed" w:hAnsi="Barlow Semi Condensed"/>
          <w:sz w:val="24"/>
          <w:szCs w:val="24"/>
        </w:rPr>
        <w:t xml:space="preserve">Capitolo trentanovesimo — Ciò che le carte provano e ciò che non provano</w:t>
      </w:r>
    </w:p>
    <w:p>
      <w:pPr>
        <w:spacing w:after="120" w:line="276"/>
        <w:jc w:val="both"/>
      </w:pPr>
      <w:r>
        <w:rPr>
          <w:rFonts w:ascii="Barlow Semi Condensed" w:cs="Barlow Semi Condensed" w:eastAsia="Barlow Semi Condensed" w:hAnsi="Barlow Semi Condensed"/>
          <w:sz w:val="24"/>
          <w:szCs w:val="24"/>
        </w:rPr>
        <w:t xml:space="preserve">Si tira qui il bilancio dell'uso, distinguendo per classi e per gradi.</w:t>
      </w:r>
    </w:p>
    <w:p>
      <w:pPr>
        <w:pStyle w:val="Heading2"/>
        <w:spacing w:after="100" w:before="200"/>
      </w:pPr>
      <w:r>
        <w:rPr>
          <w:rFonts w:ascii="Barlow Semi Condensed" w:cs="Barlow Semi Condensed" w:eastAsia="Barlow Semi Condensed" w:hAnsi="Barlow Semi Condensed"/>
          <w:sz w:val="24"/>
          <w:szCs w:val="24"/>
        </w:rPr>
        <w:t xml:space="preserve">Ciò che le carte provano</w:t>
      </w:r>
    </w:p>
    <w:p>
      <w:pPr>
        <w:spacing w:after="120" w:line="276"/>
        <w:jc w:val="both"/>
      </w:pPr>
      <w:r>
        <w:rPr>
          <w:rFonts w:ascii="Barlow Semi Condensed" w:cs="Barlow Semi Condensed" w:eastAsia="Barlow Semi Condensed" w:hAnsi="Barlow Semi Condensed"/>
          <w:sz w:val="24"/>
          <w:szCs w:val="24"/>
        </w:rPr>
        <w:t xml:space="preserve">Le carte provano, in stato di sciolto, un insieme di fatti che riguardano la loro stessa esistenza e circolazione, e che non dipendono dalla veridicità di ciò che contengono.</w:t>
      </w:r>
    </w:p>
    <w:p>
      <w:pPr>
        <w:spacing w:after="120" w:line="276"/>
        <w:jc w:val="both"/>
      </w:pPr>
      <w:r>
        <w:rPr>
          <w:rFonts w:ascii="Barlow Semi Condensed" w:cs="Barlow Semi Condensed" w:eastAsia="Barlow Semi Condensed" w:hAnsi="Barlow Semi Condensed"/>
          <w:sz w:val="24"/>
          <w:szCs w:val="24"/>
        </w:rPr>
        <w:t xml:space="preserve">Provano che l'autore fu mantenuto in vita per l'intero periodo e in condizioni che gli consentivano di scrivere in forma articolata ed estesa.</w:t>
      </w:r>
    </w:p>
    <w:p>
      <w:pPr>
        <w:spacing w:after="120" w:line="276"/>
        <w:jc w:val="both"/>
      </w:pPr>
      <w:r>
        <w:rPr>
          <w:rFonts w:ascii="Barlow Semi Condensed" w:cs="Barlow Semi Condensed" w:eastAsia="Barlow Semi Condensed" w:hAnsi="Barlow Semi Condensed"/>
          <w:sz w:val="24"/>
          <w:szCs w:val="24"/>
        </w:rPr>
        <w:t xml:space="preserve">Provano che gli fu consentito di scrivere ripetutamente e a destinatari diversi.</w:t>
      </w:r>
    </w:p>
    <w:p>
      <w:pPr>
        <w:spacing w:after="120" w:line="276"/>
        <w:jc w:val="both"/>
      </w:pPr>
      <w:r>
        <w:rPr>
          <w:rFonts w:ascii="Barlow Semi Condensed" w:cs="Barlow Semi Condensed" w:eastAsia="Barlow Semi Condensed" w:hAnsi="Barlow Semi Condensed"/>
          <w:sz w:val="24"/>
          <w:szCs w:val="24"/>
        </w:rPr>
        <w:t xml:space="preserve">Provano che la trasmissione degli scritti fu selettiva, essendovi scritti non trasmessi e rinvenuti in seguito.</w:t>
      </w:r>
    </w:p>
    <w:p>
      <w:pPr>
        <w:spacing w:after="120" w:line="276"/>
        <w:jc w:val="both"/>
      </w:pPr>
      <w:r>
        <w:rPr>
          <w:rFonts w:ascii="Barlow Semi Condensed" w:cs="Barlow Semi Condensed" w:eastAsia="Barlow Semi Condensed" w:hAnsi="Barlow Semi Condensed"/>
          <w:sz w:val="24"/>
          <w:szCs w:val="24"/>
        </w:rPr>
        <w:t xml:space="preserve">Provano che gli furono fornite informazioni sull'andamento delle vicende esterne.</w:t>
      </w:r>
    </w:p>
    <w:p>
      <w:pPr>
        <w:spacing w:after="120" w:line="276"/>
        <w:jc w:val="both"/>
      </w:pPr>
      <w:r>
        <w:rPr>
          <w:rFonts w:ascii="Barlow Semi Condensed" w:cs="Barlow Semi Condensed" w:eastAsia="Barlow Semi Condensed" w:hAnsi="Barlow Semi Condensed"/>
          <w:sz w:val="24"/>
          <w:szCs w:val="24"/>
        </w:rPr>
        <w:t xml:space="preserve">Provano che fu condotto su di lui un interrogatorio strutturato e continuativo, vertente su materie politiche e istituzionali.</w:t>
      </w:r>
    </w:p>
    <w:p>
      <w:pPr>
        <w:spacing w:after="120" w:line="276"/>
        <w:jc w:val="both"/>
      </w:pPr>
      <w:r>
        <w:rPr>
          <w:rFonts w:ascii="Barlow Semi Condensed" w:cs="Barlow Semi Condensed" w:eastAsia="Barlow Semi Condensed" w:hAnsi="Barlow Semi Condensed"/>
          <w:sz w:val="24"/>
          <w:szCs w:val="24"/>
        </w:rPr>
        <w:t xml:space="preserve">Provano, quanto agli enunciati del primo e secondo grado, ciò che l'autore espresse in materie prive di interesse specifico per i detentori.</w:t>
      </w:r>
    </w:p>
    <w:p>
      <w:pPr>
        <w:pStyle w:val="Heading2"/>
        <w:spacing w:after="100" w:before="200"/>
      </w:pPr>
      <w:r>
        <w:rPr>
          <w:rFonts w:ascii="Barlow Semi Condensed" w:cs="Barlow Semi Condensed" w:eastAsia="Barlow Semi Condensed" w:hAnsi="Barlow Semi Condensed"/>
          <w:sz w:val="24"/>
          <w:szCs w:val="24"/>
        </w:rPr>
        <w:t xml:space="preserve">Ciò che le carte non provano</w:t>
      </w:r>
    </w:p>
    <w:p>
      <w:pPr>
        <w:spacing w:after="120" w:line="276"/>
        <w:jc w:val="both"/>
      </w:pPr>
      <w:r>
        <w:rPr>
          <w:rFonts w:ascii="Barlow Semi Condensed" w:cs="Barlow Semi Condensed" w:eastAsia="Barlow Semi Condensed" w:hAnsi="Barlow Semi Condensed"/>
          <w:sz w:val="24"/>
          <w:szCs w:val="24"/>
        </w:rPr>
        <w:t xml:space="preserve">Non provano alcun fatto esterno alla prigionia, in assenza di riscontro indipendente. Ciò vale per la totalità degli enunciati del memoriale relativi a vicende della vita politica, quale che sia la loro plausibilità.</w:t>
      </w:r>
    </w:p>
    <w:p>
      <w:pPr>
        <w:spacing w:after="120" w:line="276"/>
        <w:jc w:val="both"/>
      </w:pPr>
      <w:r>
        <w:rPr>
          <w:rFonts w:ascii="Barlow Semi Condensed" w:cs="Barlow Semi Condensed" w:eastAsia="Barlow Semi Condensed" w:hAnsi="Barlow Semi Condensed"/>
          <w:sz w:val="24"/>
          <w:szCs w:val="24"/>
        </w:rPr>
        <w:t xml:space="preserve">Non provano che l'autore avesse mutato le proprie posizioni anteriori, né che le avesse conservate. Gli enunciati che sarebbero pertinenti a tale questione sono di terzo grado.</w:t>
      </w:r>
    </w:p>
    <w:p>
      <w:pPr>
        <w:spacing w:after="120" w:line="276"/>
        <w:jc w:val="both"/>
      </w:pPr>
      <w:r>
        <w:rPr>
          <w:rFonts w:ascii="Barlow Semi Condensed" w:cs="Barlow Semi Condensed" w:eastAsia="Barlow Semi Condensed" w:hAnsi="Barlow Semi Condensed"/>
          <w:sz w:val="24"/>
          <w:szCs w:val="24"/>
        </w:rPr>
        <w:t xml:space="preserve">Non provano alcunché circa la correttezza o l'erroneità della linea che prevalse nelle sedi di governo. La fonte non sostiene né contraddice quel giudizio.</w:t>
      </w:r>
    </w:p>
    <w:p>
      <w:pPr>
        <w:spacing w:after="120" w:line="276"/>
        <w:jc w:val="both"/>
      </w:pPr>
      <w:r>
        <w:rPr>
          <w:rFonts w:ascii="Barlow Semi Condensed" w:cs="Barlow Semi Condensed" w:eastAsia="Barlow Semi Condensed" w:hAnsi="Barlow Semi Condensed"/>
          <w:sz w:val="24"/>
          <w:szCs w:val="24"/>
        </w:rPr>
        <w:t xml:space="preserve">Non provano nulla per ciò che in esse non si trova. Ogni argomentazione fondata sul silenzio delle carte è inammissibile, per la ragione logica del Capitolo trentaquattresimo e per la ragione materiale del Capitolo trentottesimo.</w:t>
      </w:r>
    </w:p>
    <w:p>
      <w:pPr>
        <w:pStyle w:val="Heading2"/>
        <w:spacing w:after="100" w:before="200"/>
      </w:pPr>
      <w:r>
        <w:rPr>
          <w:rFonts w:ascii="Barlow Semi Condensed" w:cs="Barlow Semi Condensed" w:eastAsia="Barlow Semi Condensed" w:hAnsi="Barlow Semi Condensed"/>
          <w:sz w:val="24"/>
          <w:szCs w:val="24"/>
        </w:rPr>
        <w:t xml:space="preserve">Il risultato principale della Fase</w:t>
      </w:r>
    </w:p>
    <w:p>
      <w:pPr>
        <w:spacing w:after="120" w:line="276"/>
        <w:jc w:val="both"/>
      </w:pPr>
      <w:r>
        <w:rPr>
          <w:rFonts w:ascii="Barlow Semi Condensed" w:cs="Barlow Semi Condensed" w:eastAsia="Barlow Semi Condensed" w:hAnsi="Barlow Semi Condensed"/>
          <w:sz w:val="24"/>
          <w:szCs w:val="24"/>
        </w:rPr>
        <w:t xml:space="preserve">Il risultato principale di questa Fase è di natura restrittiva, e conviene dichiararlo come tale senza presentarlo come una conquista.</w:t>
      </w:r>
    </w:p>
    <w:p>
      <w:pPr>
        <w:spacing w:after="120" w:line="276"/>
        <w:jc w:val="both"/>
      </w:pPr>
      <w:r>
        <w:rPr>
          <w:rFonts w:ascii="Barlow Semi Condensed" w:cs="Barlow Semi Condensed" w:eastAsia="Barlow Semi Condensed" w:hAnsi="Barlow Semi Condensed"/>
          <w:sz w:val="24"/>
          <w:szCs w:val="24"/>
        </w:rPr>
        <w:t xml:space="preserve">La Fase ha escluso dall'uso probatorio diretto la parte del corpus sulla quale si è discusso di più. Ha stabilito che le lettere politiche e il memoriale, che sono le carte più citate, non provano fatti esterni; e che le carte che provano qualcosa senza restrizione sono quelle che provano fatti relativi alla conduzione della prigionia.</w:t>
      </w:r>
    </w:p>
    <w:p>
      <w:pPr>
        <w:spacing w:after="120" w:line="276"/>
        <w:jc w:val="both"/>
      </w:pPr>
      <w:r>
        <w:rPr>
          <w:rFonts w:ascii="Barlow Semi Condensed" w:cs="Barlow Semi Condensed" w:eastAsia="Barlow Semi Condensed" w:hAnsi="Barlow Semi Condensed"/>
          <w:sz w:val="24"/>
          <w:szCs w:val="24"/>
        </w:rPr>
        <w:t xml:space="preserve">Vi è in ciò un rovesciamento rispetto all'uso corrente, e va nominato. L'uso corrente impiega le carte per stabilire che cosa Moro pensasse e che cosa sapesse. Quest'opera stabilisce che per tale uso esse sono, in larga parte, inservibili; e che sono invece pienamente servibili per stabilire come fu condotta la prigionia — materia sulla quale sono raramente interrogate.</w:t>
      </w:r>
    </w:p>
    <w:p>
      <w:pPr>
        <w:spacing w:after="120" w:line="276"/>
        <w:jc w:val="both"/>
      </w:pPr>
      <w:r>
        <w:rPr>
          <w:rFonts w:ascii="Barlow Semi Condensed" w:cs="Barlow Semi Condensed" w:eastAsia="Barlow Semi Condensed" w:hAnsi="Barlow Semi Condensed"/>
          <w:sz w:val="24"/>
          <w:szCs w:val="24"/>
        </w:rPr>
        <w:t xml:space="preserve">La fonte è dunque ricca là dove non la si interroga e povera là dove la si interroga. È un esito frequente nel lavoro documentale, ed è quasi sempre il segno che la domanda posta alla fonte non era la domanda che quella fonte poteva soddisfare.</w:t>
      </w:r>
    </w:p>
    <w:p>
      <w:pPr>
        <w:pStyle w:val="Heading2"/>
        <w:spacing w:after="100" w:before="200"/>
      </w:pPr>
      <w:r>
        <w:rPr>
          <w:rFonts w:ascii="Barlow Semi Condensed" w:cs="Barlow Semi Condensed" w:eastAsia="Barlow Semi Condensed" w:hAnsi="Barlow Semi Condensed"/>
          <w:sz w:val="24"/>
          <w:szCs w:val="24"/>
        </w:rPr>
        <w:t xml:space="preserve">Capitolo quarantesimo — Bilancio della Fase Quarta</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che le carte sono materialmente autentiche.</w:t>
      </w:r>
    </w:p>
    <w:p>
      <w:pPr>
        <w:spacing w:after="120" w:line="276"/>
        <w:jc w:val="both"/>
      </w:pPr>
      <w:r>
        <w:rPr>
          <w:rFonts w:ascii="Barlow Semi Condensed" w:cs="Barlow Semi Condensed" w:eastAsia="Barlow Semi Condensed" w:hAnsi="Barlow Semi Condensed"/>
          <w:sz w:val="24"/>
          <w:szCs w:val="24"/>
        </w:rPr>
        <w:t xml:space="preserve">È accertato che esse si ripartiscono in tre classi — scritti recapitati, scritti non recapitati e rinvenuti dopo, materiale non epistolare — e che le classi hanno statuti probatori distinti.</w:t>
      </w:r>
    </w:p>
    <w:p>
      <w:pPr>
        <w:spacing w:after="120" w:line="276"/>
        <w:jc w:val="both"/>
      </w:pPr>
      <w:r>
        <w:rPr>
          <w:rFonts w:ascii="Barlow Semi Condensed" w:cs="Barlow Semi Condensed" w:eastAsia="Barlow Semi Condensed" w:hAnsi="Barlow Semi Condensed"/>
          <w:sz w:val="24"/>
          <w:szCs w:val="24"/>
        </w:rPr>
        <w:t xml:space="preserve">È accertato che la trasmissione fu selettiva, e che coloro i quali valutarono le lettere durante i cinquantacinque giorni operarono su un corpus selezionato da chi deteneva l'autore, ignorando quale parte fosse stata sottratta.</w:t>
      </w:r>
    </w:p>
    <w:p>
      <w:pPr>
        <w:spacing w:after="120" w:line="276"/>
        <w:jc w:val="both"/>
      </w:pPr>
      <w:r>
        <w:rPr>
          <w:rFonts w:ascii="Barlow Semi Condensed" w:cs="Barlow Semi Condensed" w:eastAsia="Barlow Semi Condensed" w:hAnsi="Barlow Semi Condensed"/>
          <w:sz w:val="24"/>
          <w:szCs w:val="24"/>
        </w:rPr>
        <w:t xml:space="preserve">È accertato che fu condotto sull'autore un interrogatorio strutturato e continuativo, e che il materiale non epistolare ne costituisce in misura considerevole la risposta.</w:t>
      </w:r>
    </w:p>
    <w:p>
      <w:pPr>
        <w:spacing w:after="120" w:line="276"/>
        <w:jc w:val="both"/>
      </w:pPr>
      <w:r>
        <w:rPr>
          <w:rFonts w:ascii="Barlow Semi Condensed" w:cs="Barlow Semi Condensed" w:eastAsia="Barlow Semi Condensed" w:hAnsi="Barlow Semi Condensed"/>
          <w:sz w:val="24"/>
          <w:szCs w:val="24"/>
        </w:rPr>
        <w:t xml:space="preserve">È accertato che il rinvenimento documentale di Milano non fu esaustivo, e che l'incompletezza è dimostrata dal rinvenimento successivo di dodici anni dopo.</w:t>
      </w:r>
    </w:p>
    <w:p>
      <w:pPr>
        <w:pStyle w:val="Heading2"/>
        <w:spacing w:after="100" w:before="200"/>
      </w:pPr>
      <w:r>
        <w:rPr>
          <w:rFonts w:ascii="Barlow Semi Condensed" w:cs="Barlow Semi Condensed" w:eastAsia="Barlow Semi Condensed" w:hAnsi="Barlow Semi Condensed"/>
          <w:sz w:val="24"/>
          <w:szCs w:val="24"/>
        </w:rPr>
        <w:t xml:space="preserve">Ciò che è dubbio</w:t>
      </w:r>
    </w:p>
    <w:p>
      <w:pPr>
        <w:spacing w:after="120" w:line="276"/>
        <w:jc w:val="both"/>
      </w:pPr>
      <w:r>
        <w:rPr>
          <w:rFonts w:ascii="Barlow Semi Condensed" w:cs="Barlow Semi Condensed" w:eastAsia="Barlow Semi Condensed" w:hAnsi="Barlow Semi Condensed"/>
          <w:sz w:val="24"/>
          <w:szCs w:val="24"/>
        </w:rPr>
        <w:t xml:space="preserve">Resta in stato di dubbio la causa dell'incompletezza del primo rinvenimento, con tre spiegazioni aperte e condizione di scioglimento indicata.</w:t>
      </w:r>
    </w:p>
    <w:p>
      <w:pPr>
        <w:spacing w:after="120" w:line="276"/>
        <w:jc w:val="both"/>
      </w:pPr>
      <w:r>
        <w:rPr>
          <w:rFonts w:ascii="Barlow Semi Condensed" w:cs="Barlow Semi Condensed" w:eastAsia="Barlow Semi Condensed" w:hAnsi="Barlow Semi Condensed"/>
          <w:sz w:val="24"/>
          <w:szCs w:val="24"/>
        </w:rPr>
        <w:t xml:space="preserve">Resta in stato di dubbio la completezza del corpus complessivamente disponibile, che non può essere presunta.</w:t>
      </w:r>
    </w:p>
    <w:p>
      <w:pPr>
        <w:spacing w:after="120" w:line="276"/>
        <w:jc w:val="both"/>
      </w:pPr>
      <w:r>
        <w:rPr>
          <w:rFonts w:ascii="Barlow Semi Condensed" w:cs="Barlow Semi Condensed" w:eastAsia="Barlow Semi Condensed" w:hAnsi="Barlow Semi Condensed"/>
          <w:sz w:val="24"/>
          <w:szCs w:val="24"/>
        </w:rPr>
        <w:t xml:space="preserve">Resta in stato di dubbio, e vi resterà, ogni proposizione relativa a ciò che l'autore pensava e non scrisse.</w:t>
      </w:r>
    </w:p>
    <w:p>
      <w:pPr>
        <w:pStyle w:val="Heading2"/>
        <w:spacing w:after="100" w:before="200"/>
      </w:pPr>
      <w:r>
        <w:rPr>
          <w:rFonts w:ascii="Barlow Semi Condensed" w:cs="Barlow Semi Condensed" w:eastAsia="Barlow Semi Condensed" w:hAnsi="Barlow Semi Condensed"/>
          <w:sz w:val="24"/>
          <w:szCs w:val="24"/>
        </w:rPr>
        <w:t xml:space="preserve">Ciò che è escluso dall'uso</w:t>
      </w:r>
    </w:p>
    <w:p>
      <w:pPr>
        <w:spacing w:after="120" w:line="276"/>
        <w:jc w:val="both"/>
      </w:pPr>
      <w:r>
        <w:rPr>
          <w:rFonts w:ascii="Barlow Semi Condensed" w:cs="Barlow Semi Condensed" w:eastAsia="Barlow Semi Condensed" w:hAnsi="Barlow Semi Condensed"/>
          <w:sz w:val="24"/>
          <w:szCs w:val="24"/>
        </w:rPr>
        <w:t xml:space="preserve">Sono esclusi dall'uso probatorio diretto: gli enunciati del memoriale relativi a fatti esterni, in assenza di riscontro indipendente; gli enunciati di terzo grado delle lettere politiche, quanto alle convinzioni dell'autore; ogni argomentazione fondata sul silenzio delle carte.</w:t>
      </w:r>
    </w:p>
    <w:p>
      <w:pPr>
        <w:pStyle w:val="Heading2"/>
        <w:spacing w:after="100" w:before="200"/>
      </w:pPr>
      <w:r>
        <w:rPr>
          <w:rFonts w:ascii="Barlow Semi Condensed" w:cs="Barlow Semi Condensed" w:eastAsia="Barlow Semi Condensed" w:hAnsi="Barlow Semi Condensed"/>
          <w:sz w:val="24"/>
          <w:szCs w:val="24"/>
        </w:rPr>
        <w:t xml:space="preserve">Lo strumento istituito</w:t>
      </w:r>
    </w:p>
    <w:p>
      <w:pPr>
        <w:spacing w:after="120" w:line="276"/>
        <w:jc w:val="both"/>
      </w:pPr>
      <w:r>
        <w:rPr>
          <w:rFonts w:ascii="Barlow Semi Condensed" w:cs="Barlow Semi Condensed" w:eastAsia="Barlow Semi Condensed" w:hAnsi="Barlow Semi Condensed"/>
          <w:sz w:val="24"/>
          <w:szCs w:val="24"/>
        </w:rPr>
        <w:t xml:space="preserve">La Fase istituisce, per le Fasi successive e per le edizioni future, la scala del vincolo in quattro gradi, con la regola della sua applicazione per enunciato e non per documento, e con la dichiarazione dei suoi tre limiti.</w:t>
      </w:r>
    </w:p>
    <w:p>
      <w:pPr>
        <w:spacing w:after="120" w:line="276"/>
        <w:jc w:val="both"/>
      </w:pPr>
      <w:r>
        <w:rPr>
          <w:rFonts w:ascii="Barlow Semi Condensed" w:cs="Barlow Semi Condensed" w:eastAsia="Barlow Semi Condensed" w:hAnsi="Barlow Semi Condensed"/>
          <w:sz w:val="24"/>
          <w:szCs w:val="24"/>
        </w:rPr>
        <w:t xml:space="preserve">Se ne raccomanda l'applicazione, oltre che alle carte della prigionia, a ogni altra fonte dichiarativa resa in condizione di costrizione che l'opera dovesse incontrare, ivi comprese le dichiarazioni rese in stato di detenzione dalle persone coinvolte, delle quali le Fasi Terza e Sesta hanno segnalato il peso determinante nella ricostruzione.</w:t>
      </w:r>
    </w:p>
    <w:p>
      <w:pPr>
        <w:spacing w:after="120" w:line="276"/>
        <w:jc w:val="both"/>
      </w:pPr>
      <w:r>
        <w:rPr>
          <w:rFonts w:ascii="Barlow Semi Condensed" w:cs="Barlow Semi Condensed" w:eastAsia="Barlow Semi Condensed" w:hAnsi="Barlow Semi Condensed"/>
          <w:sz w:val="24"/>
          <w:szCs w:val="24"/>
        </w:rPr>
        <w:t xml:space="preserve">Quest'ultima raccomandazione ha una portata che va esplicitata. La Fase Terza ha accertato che una parte considerevole della ricostruzione del fatto poggia su dichiarazioni di persone coinvolte, rese in tempi successivi e con revisioni. Tali dichiarazioni sono anch'esse enunciati resi sotto vincolo, di natura diversa da quello della prigionia ma non per questo assente: chi dichiara mentre è sottoposto a procedimento, o mentre ne attende gli effetti, dichiara in condizione che incide sulla formulazione. La scala del vincolo va applicata anche a esse.</w:t>
      </w:r>
    </w:p>
    <w:p>
      <w:pPr>
        <w:pStyle w:val="Heading2"/>
        <w:spacing w:after="100" w:before="200"/>
      </w:pPr>
      <w:r>
        <w:rPr>
          <w:rFonts w:ascii="Barlow Semi Condensed" w:cs="Barlow Semi Condensed" w:eastAsia="Barlow Semi Condensed" w:hAnsi="Barlow Semi Condensed"/>
          <w:sz w:val="24"/>
          <w:szCs w:val="24"/>
        </w:rPr>
        <w:t xml:space="preserve">Ciò che si consegna</w:t>
      </w:r>
    </w:p>
    <w:p>
      <w:pPr>
        <w:spacing w:after="120" w:line="276"/>
        <w:jc w:val="both"/>
      </w:pPr>
      <w:r>
        <w:rPr>
          <w:rFonts w:ascii="Barlow Semi Condensed" w:cs="Barlow Semi Condensed" w:eastAsia="Barlow Semi Condensed" w:hAnsi="Barlow Semi Condensed"/>
          <w:sz w:val="24"/>
          <w:szCs w:val="24"/>
        </w:rPr>
        <w:t xml:space="preserve">Si consegna alla Fase Quinta l'accertamento del Capitolo trentottesimo: l'incompletezza del primo rinvenimento documentale, con il marcatore permanente e le tre spiegazioni aperte. È materia di omissione e vi sarà trattata.</w:t>
      </w:r>
    </w:p>
    <w:p>
      <w:pPr>
        <w:spacing w:after="120" w:line="276"/>
        <w:jc w:val="both"/>
      </w:pPr>
      <w:r>
        <w:rPr>
          <w:rFonts w:ascii="Barlow Semi Condensed" w:cs="Barlow Semi Condensed" w:eastAsia="Barlow Semi Condensed" w:hAnsi="Barlow Semi Condensed"/>
          <w:sz w:val="24"/>
          <w:szCs w:val="24"/>
        </w:rPr>
        <w:t xml:space="preserve">Si consegna alla Fase Sesta la raccomandazione di applicare la scala del vincolo alle dichiarazioni delle persone coinvolte, dalle quali dipende in misura preponderante l'attribuzione individuale delle condotte.</w:t>
      </w:r>
    </w:p>
    <w:p>
      <w:pPr>
        <w:spacing w:after="120" w:line="276"/>
        <w:jc w:val="both"/>
      </w:pPr>
      <w:r>
        <w:rPr>
          <w:rFonts w:ascii="Barlow Semi Condensed" w:cs="Barlow Semi Condensed" w:eastAsia="Barlow Semi Condensed" w:hAnsi="Barlow Semi Condensed"/>
          <w:sz w:val="24"/>
          <w:szCs w:val="24"/>
        </w:rPr>
        <w:t xml:space="preserve">Si consegna alla Fase Settima la questione delle volontà espresse dall'autore quanto alle proprie esequie, e la vicenda conseguente.</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14 agosto 2026. Cantiere: Fase Quarta, le carte. Materia: statuto degli enunciati sotto vincolo, consistenza e vie di trasmissione, autenticità, scala del vincolo, classi documentali, memoriale, rinvenimenti.</w:t>
      </w:r>
    </w:p>
    <w:p>
      <w:pPr>
        <w:spacing w:after="120" w:line="276"/>
        <w:jc w:val="both"/>
      </w:pPr>
      <w:r>
        <w:rPr>
          <w:rFonts w:ascii="Barlow Semi Condensed" w:cs="Barlow Semi Condensed" w:eastAsia="Barlow Semi Condensed" w:hAnsi="Barlow Semi Condensed"/>
          <w:sz w:val="24"/>
          <w:szCs w:val="24"/>
        </w:rPr>
        <w:t xml:space="preserve">Esito: cinque acquisizioni in stato di sciolto; tre dubbi con condizioni di scioglimento indicate; tre classi di enunciati escluse dall'uso probatorio diretto; uno strumento istituito.</w:t>
      </w:r>
    </w:p>
    <w:p>
      <w:pPr>
        <w:spacing w:after="120" w:line="276"/>
        <w:jc w:val="both"/>
      </w:pPr>
      <w:r>
        <w:rPr>
          <w:rFonts w:ascii="Barlow Semi Condensed" w:cs="Barlow Semi Condensed" w:eastAsia="Barlow Semi Condensed" w:hAnsi="Barlow Semi Condensed"/>
          <w:sz w:val="24"/>
          <w:szCs w:val="24"/>
        </w:rPr>
        <w:t xml:space="preserve">Riga di esito nullo. La documentazione contemporanea della prima operazione di rinvenimento non è stata acquisita nella presente campagna, e la sua acquisizione è iscritta in tavola. Il silenzio su di essa non depone per alcuna delle tre spiegazioni.</w:t>
      </w:r>
    </w:p>
    <w:p>
      <w:pPr>
        <w:spacing w:after="120" w:line="276"/>
        <w:jc w:val="both"/>
      </w:pPr>
      <w:r>
        <w:rPr>
          <w:rFonts w:ascii="Barlow Semi Condensed" w:cs="Barlow Semi Condensed" w:eastAsia="Barlow Semi Condensed" w:hAnsi="Barlow Semi Condensed"/>
          <w:sz w:val="24"/>
          <w:szCs w:val="24"/>
        </w:rPr>
        <w:t xml:space="preserve">Riga di avvertenza. Quest'opera non ha riprodotto il testo delle carte, rinviando alle edizioni critiche. La scelta è motivata al Capitolo trentunesimo e non è di comodo: le carte di un uomo prigioniero sono state, in cinquant'anni, frammentate e contrapposte fino a consumarle, e un registro che le maneggiasse ancora una volta per estrarne frasi non renderebbe un servizio.</w:t>
      </w:r>
    </w:p>
    <w:p>
      <w:pPr>
        <w:pStyle w:val="Heading2"/>
        <w:spacing w:after="100" w:before="200"/>
      </w:pPr>
      <w:r>
        <w:rPr>
          <w:rFonts w:ascii="Barlow Semi Condensed" w:cs="Barlow Semi Condensed" w:eastAsia="Barlow Semi Condensed" w:hAnsi="Barlow Semi Condensed"/>
          <w:sz w:val="24"/>
          <w:szCs w:val="24"/>
        </w:rPr>
        <w:t xml:space="preserve">FASE QUINTA — LE OMISSIONI</w:t>
      </w:r>
    </w:p>
    <w:p>
      <w:pPr>
        <w:spacing w:after="120" w:line="276"/>
        <w:jc w:val="both"/>
      </w:pPr>
      <w:r>
        <w:rPr>
          <w:rFonts w:ascii="Barlow Semi Condensed" w:cs="Barlow Semi Condensed" w:eastAsia="Barlow Semi Condensed" w:hAnsi="Barlow Semi Condensed"/>
          <w:sz w:val="24"/>
          <w:szCs w:val="24"/>
        </w:rPr>
        <w:t xml:space="preserve">Dove si accerta, per ciascuna omissione, il dovere, l'inadempimento e la sua spiegabilita; e dove si stabiliscono le condizioni alle quali l'argomento dell'accumulo e valido.</w:t>
      </w:r>
    </w:p>
    <w:p>
      <w:pPr>
        <w:pStyle w:val="Heading2"/>
        <w:spacing w:after="100" w:before="200"/>
      </w:pPr>
      <w:r>
        <w:rPr>
          <w:rFonts w:ascii="Barlow Semi Condensed" w:cs="Barlow Semi Condensed" w:eastAsia="Barlow Semi Condensed" w:hAnsi="Barlow Semi Condensed"/>
          <w:sz w:val="24"/>
          <w:szCs w:val="24"/>
        </w:rPr>
        <w:t xml:space="preserve">Capitolo quarantunesimo — L'oggetto della Fase e il test in tre tempi</w:t>
      </w:r>
    </w:p>
    <w:p>
      <w:pPr>
        <w:spacing w:after="120" w:line="276"/>
        <w:jc w:val="both"/>
      </w:pPr>
      <w:r>
        <w:rPr>
          <w:rFonts w:ascii="Barlow Semi Condensed" w:cs="Barlow Semi Condensed" w:eastAsia="Barlow Semi Condensed" w:hAnsi="Barlow Semi Condensed"/>
          <w:sz w:val="24"/>
          <w:szCs w:val="24"/>
        </w:rPr>
        <w:t xml:space="preserve">Questa Fase ha per oggetto le omissioni: ciò che non fu fatto da chi doveva farlo, e ciò che fu fatto per impedire che altro si facesse.</w:t>
      </w:r>
    </w:p>
    <w:p>
      <w:pPr>
        <w:spacing w:after="120" w:line="276"/>
        <w:jc w:val="both"/>
      </w:pPr>
      <w:r>
        <w:rPr>
          <w:rFonts w:ascii="Barlow Semi Condensed" w:cs="Barlow Semi Condensed" w:eastAsia="Barlow Semi Condensed" w:hAnsi="Barlow Semi Condensed"/>
          <w:sz w:val="24"/>
          <w:szCs w:val="24"/>
        </w:rPr>
        <w:t xml:space="preserve">Ad essa tre Fasi hanno consegnato il proprio carico. La Fase Seconda vi ha indicato il terreno di massimo rendimento istruttorio, avendo accertato che le omissioni sono, fra le evidenze disponibili, quelle di maggiore potere discriminante fra i quattro generi di ipotesi. La Fase Terza vi ha consegnato quattro elementi materiali. La Fase Quarta vi ha consegnato l'accertamento sull'incompletezza del rinvenimento documentale.</w:t>
      </w:r>
    </w:p>
    <w:p>
      <w:pPr>
        <w:pStyle w:val="Heading2"/>
        <w:spacing w:after="100" w:before="200"/>
      </w:pPr>
      <w:r>
        <w:rPr>
          <w:rFonts w:ascii="Barlow Semi Condensed" w:cs="Barlow Semi Condensed" w:eastAsia="Barlow Semi Condensed" w:hAnsi="Barlow Semi Condensed"/>
          <w:sz w:val="24"/>
          <w:szCs w:val="24"/>
        </w:rPr>
        <w:t xml:space="preserve">Perché l'omissione è terreno diverso dagli altri</w:t>
      </w:r>
    </w:p>
    <w:p>
      <w:pPr>
        <w:spacing w:after="120" w:line="276"/>
        <w:jc w:val="both"/>
      </w:pPr>
      <w:r>
        <w:rPr>
          <w:rFonts w:ascii="Barlow Semi Condensed" w:cs="Barlow Semi Condensed" w:eastAsia="Barlow Semi Condensed" w:hAnsi="Barlow Semi Condensed"/>
          <w:sz w:val="24"/>
          <w:szCs w:val="24"/>
        </w:rPr>
        <w:t xml:space="preserve">L'omissione ha una proprietà che la rende, dal punto di vista probatorio, più trattabile del concorso attivo, e conviene dirla perché è la ragione per la quale questa Fase può produrre più delle precedenti.</w:t>
      </w:r>
    </w:p>
    <w:p>
      <w:pPr>
        <w:spacing w:after="120" w:line="276"/>
        <w:jc w:val="both"/>
      </w:pPr>
      <w:r>
        <w:rPr>
          <w:rFonts w:ascii="Barlow Semi Condensed" w:cs="Barlow Semi Condensed" w:eastAsia="Barlow Semi Condensed" w:hAnsi="Barlow Semi Condensed"/>
          <w:sz w:val="24"/>
          <w:szCs w:val="24"/>
        </w:rPr>
        <w:t xml:space="preserve">Il concorso attivo richiede la prova di una condotta positiva: che qualcuno fornì, informò, agevolò. Tale prova, in materia coperta da segreto e in ambienti che distruggono le proprie tracce, è quasi sempre irraggiungibile.</w:t>
      </w:r>
    </w:p>
    <w:p>
      <w:pPr>
        <w:spacing w:after="120" w:line="276"/>
        <w:jc w:val="both"/>
      </w:pPr>
      <w:r>
        <w:rPr>
          <w:rFonts w:ascii="Barlow Semi Condensed" w:cs="Barlow Semi Condensed" w:eastAsia="Barlow Semi Condensed" w:hAnsi="Barlow Semi Condensed"/>
          <w:sz w:val="24"/>
          <w:szCs w:val="24"/>
        </w:rPr>
        <w:t xml:space="preserve">L'omissione richiede una prova di natura diversa. Essa non richiede di dimostrare che qualcuno fece: richiede di dimostrare che qualcuno non fece ciò che doveva. E il dovere, a differenza della condotta clandestina, è documentato: esso risulta da norme, da ordini di servizio, da prassi accertate, da atti di organizzazione. Le omissioni lasciano tracce negli atti d'ufficio, perché l'ufficio produce carte anche quando non agisce.</w:t>
      </w:r>
    </w:p>
    <w:p>
      <w:pPr>
        <w:spacing w:after="120" w:line="276"/>
        <w:jc w:val="both"/>
      </w:pPr>
      <w:r>
        <w:rPr>
          <w:rFonts w:ascii="Barlow Semi Condensed" w:cs="Barlow Semi Condensed" w:eastAsia="Barlow Semi Condensed" w:hAnsi="Barlow Semi Condensed"/>
          <w:sz w:val="24"/>
          <w:szCs w:val="24"/>
        </w:rPr>
        <w:t xml:space="preserve">Questa è la ragione per la quale il lavoro rende qui e non altrove. Non è che le omissioni siano più gravi del concorso: è che sono più documentabili.</w:t>
      </w:r>
    </w:p>
    <w:p>
      <w:pPr>
        <w:pStyle w:val="Heading2"/>
        <w:spacing w:after="100" w:before="200"/>
      </w:pPr>
      <w:r>
        <w:rPr>
          <w:rFonts w:ascii="Barlow Semi Condensed" w:cs="Barlow Semi Condensed" w:eastAsia="Barlow Semi Condensed" w:hAnsi="Barlow Semi Condensed"/>
          <w:sz w:val="24"/>
          <w:szCs w:val="24"/>
        </w:rPr>
        <w:t xml:space="preserve">Il test in tre tempi</w:t>
      </w:r>
    </w:p>
    <w:p>
      <w:pPr>
        <w:spacing w:after="120" w:line="276"/>
        <w:jc w:val="both"/>
      </w:pPr>
      <w:r>
        <w:rPr>
          <w:rFonts w:ascii="Barlow Semi Condensed" w:cs="Barlow Semi Condensed" w:eastAsia="Barlow Semi Condensed" w:hAnsi="Barlow Semi Condensed"/>
          <w:sz w:val="24"/>
          <w:szCs w:val="24"/>
        </w:rPr>
        <w:t xml:space="preserve">Ogni omissione è esaminata mediante un test in tre tempi, e nessun tempo si salta.</w:t>
      </w:r>
    </w:p>
    <w:p>
      <w:pPr>
        <w:spacing w:after="120" w:line="276"/>
        <w:jc w:val="both"/>
      </w:pPr>
      <w:r>
        <w:rPr>
          <w:rFonts w:ascii="Barlow Semi Condensed" w:cs="Barlow Semi Condensed" w:eastAsia="Barlow Semi Condensed" w:hAnsi="Barlow Semi Condensed"/>
          <w:sz w:val="24"/>
          <w:szCs w:val="24"/>
        </w:rPr>
        <w:t xml:space="preserve">Primo tempo: l'accertamento del dovere. Si stabilisce se esistesse un obbligo di agire, quale fosse la sua fonte, su chi gravasse e in quale momento. Se il dovere non è accertato, non vi è omissione ma soltanto un fatto che non accadde, e l'esame si arresta.</w:t>
      </w:r>
    </w:p>
    <w:p>
      <w:pPr>
        <w:spacing w:after="120" w:line="276"/>
        <w:jc w:val="both"/>
      </w:pPr>
      <w:r>
        <w:rPr>
          <w:rFonts w:ascii="Barlow Semi Condensed" w:cs="Barlow Semi Condensed" w:eastAsia="Barlow Semi Condensed" w:hAnsi="Barlow Semi Condensed"/>
          <w:sz w:val="24"/>
          <w:szCs w:val="24"/>
        </w:rPr>
        <w:t xml:space="preserve">Secondo tempo: l'accertamento dell'inadempimento. Si stabilisce se l'atto dovuto fu compiuto, se fu compiuto in modo inidoneo, o se non fu compiuto affatto. Anche qui l'accertamento è documentale: si esamina che cosa risulti dagli atti, e non che cosa sarebbe stato ragionevole fare.</w:t>
      </w:r>
    </w:p>
    <w:p>
      <w:pPr>
        <w:spacing w:after="120" w:line="276"/>
        <w:jc w:val="both"/>
      </w:pPr>
      <w:r>
        <w:rPr>
          <w:rFonts w:ascii="Barlow Semi Condensed" w:cs="Barlow Semi Condensed" w:eastAsia="Barlow Semi Condensed" w:hAnsi="Barlow Semi Condensed"/>
          <w:sz w:val="24"/>
          <w:szCs w:val="24"/>
        </w:rPr>
        <w:t xml:space="preserve">Terzo tempo: l'accertamento della spiegabilità. Si stabilisce se l'inadempimento sia spiegabile con l'errore, con l'inefficienza, con il difetto di coordinamento, ovvero se tali spiegazioni risultino insufficienti. Questo terzo tempo è il più delicato e sarà oggetto del Capitolo quarantasettesimo, che ne espone il problema centrale.</w:t>
      </w:r>
    </w:p>
    <w:p>
      <w:pPr>
        <w:pStyle w:val="Heading2"/>
        <w:spacing w:after="100" w:before="200"/>
      </w:pPr>
      <w:r>
        <w:rPr>
          <w:rFonts w:ascii="Barlow Semi Condensed" w:cs="Barlow Semi Condensed" w:eastAsia="Barlow Semi Condensed" w:hAnsi="Barlow Semi Condensed"/>
          <w:sz w:val="24"/>
          <w:szCs w:val="24"/>
        </w:rPr>
        <w:t xml:space="preserve">Ciò che il test può e non può stabilire</w:t>
      </w:r>
    </w:p>
    <w:p>
      <w:pPr>
        <w:spacing w:after="120" w:line="276"/>
        <w:jc w:val="both"/>
      </w:pPr>
      <w:r>
        <w:rPr>
          <w:rFonts w:ascii="Barlow Semi Condensed" w:cs="Barlow Semi Condensed" w:eastAsia="Barlow Semi Condensed" w:hAnsi="Barlow Semi Condensed"/>
          <w:sz w:val="24"/>
          <w:szCs w:val="24"/>
        </w:rPr>
        <w:t xml:space="preserve">Occorre dichiarare subito il limite del test, perché esso è quello che l'intera Fase deve rispettare.</w:t>
      </w:r>
    </w:p>
    <w:p>
      <w:pPr>
        <w:spacing w:after="120" w:line="276"/>
        <w:jc w:val="both"/>
      </w:pPr>
      <w:r>
        <w:rPr>
          <w:rFonts w:ascii="Barlow Semi Condensed" w:cs="Barlow Semi Condensed" w:eastAsia="Barlow Semi Condensed" w:hAnsi="Barlow Semi Condensed"/>
          <w:sz w:val="24"/>
          <w:szCs w:val="24"/>
        </w:rPr>
        <w:t xml:space="preserve">Il test può stabilire che un dovere esisteva, che non fu adempiuto, e che l'inadempimento non è spiegabile con l'errore. Questo è il massimo che esso produce, ed è già molto.</w:t>
      </w:r>
    </w:p>
    <w:p>
      <w:pPr>
        <w:spacing w:after="120" w:line="276"/>
        <w:jc w:val="both"/>
      </w:pPr>
      <w:r>
        <w:rPr>
          <w:rFonts w:ascii="Barlow Semi Condensed" w:cs="Barlow Semi Condensed" w:eastAsia="Barlow Semi Condensed" w:hAnsi="Barlow Semi Condensed"/>
          <w:sz w:val="24"/>
          <w:szCs w:val="24"/>
        </w:rPr>
        <w:t xml:space="preserve">Il test non può stabilire perché l'inadempimento avvenne, né a beneficio di chi, né su istruzione di chi. Un inadempimento non spiegabile con l'errore è un inadempimento non spiegabile con l'errore: non è, per ciò solo, un inadempimento deliberato in favore dei rapitori.</w:t>
      </w:r>
    </w:p>
    <w:p>
      <w:pPr>
        <w:spacing w:after="120" w:line="276"/>
        <w:jc w:val="both"/>
      </w:pPr>
      <w:r>
        <w:rPr>
          <w:rFonts w:ascii="Barlow Semi Condensed" w:cs="Barlow Semi Condensed" w:eastAsia="Barlow Semi Condensed" w:hAnsi="Barlow Semi Condensed"/>
          <w:sz w:val="24"/>
          <w:szCs w:val="24"/>
        </w:rPr>
        <w:t xml:space="preserve">Il passaggio dall'inspiegabilità alla deliberazione, e dalla deliberazione alla finalità, richiede prove ulteriori e di natura diversa. Il Capitolo quarantottesimo indicherà quali.</w:t>
      </w:r>
    </w:p>
    <w:p>
      <w:pPr>
        <w:pStyle w:val="Heading2"/>
        <w:spacing w:after="100" w:before="200"/>
      </w:pPr>
      <w:r>
        <w:rPr>
          <w:rFonts w:ascii="Barlow Semi Condensed" w:cs="Barlow Semi Condensed" w:eastAsia="Barlow Semi Condensed" w:hAnsi="Barlow Semi Condensed"/>
          <w:sz w:val="24"/>
          <w:szCs w:val="24"/>
        </w:rPr>
        <w:t xml:space="preserve">Una avvertenza sulle persone</w:t>
      </w:r>
    </w:p>
    <w:p>
      <w:pPr>
        <w:spacing w:after="120" w:line="276"/>
        <w:jc w:val="both"/>
      </w:pPr>
      <w:r>
        <w:rPr>
          <w:rFonts w:ascii="Barlow Semi Condensed" w:cs="Barlow Semi Condensed" w:eastAsia="Barlow Semi Condensed" w:hAnsi="Barlow Semi Condensed"/>
          <w:sz w:val="24"/>
          <w:szCs w:val="24"/>
        </w:rPr>
        <w:t xml:space="preserve">Si applica in questa Fase, con particolare rigore, la disciplina generale dell'opera sulla designazione.</w:t>
      </w:r>
    </w:p>
    <w:p>
      <w:pPr>
        <w:spacing w:after="120" w:line="276"/>
        <w:jc w:val="both"/>
      </w:pPr>
      <w:r>
        <w:rPr>
          <w:rFonts w:ascii="Barlow Semi Condensed" w:cs="Barlow Semi Condensed" w:eastAsia="Barlow Semi Condensed" w:hAnsi="Barlow Semi Condensed"/>
          <w:sz w:val="24"/>
          <w:szCs w:val="24"/>
        </w:rPr>
        <w:t xml:space="preserve">Le omissioni sono attribuite a funzioni e non a persone. La ragione, già esposta al Capitolo quinto, vale qui al massimo grado: ciò che l'atto documenta è che quella funzione non compì quell'atto. Che la persona fisica che allora la esercitava sia responsabile di ciò che l'omissione significa è proposizione ulteriore, che domanda prova ulteriore e sede propria, la quale non è questa.</w:t>
      </w:r>
    </w:p>
    <w:p>
      <w:pPr>
        <w:spacing w:after="120" w:line="276"/>
        <w:jc w:val="both"/>
      </w:pPr>
      <w:r>
        <w:rPr>
          <w:rFonts w:ascii="Barlow Semi Condensed" w:cs="Barlow Semi Condensed" w:eastAsia="Barlow Semi Condensed" w:hAnsi="Barlow Semi Condensed"/>
          <w:sz w:val="24"/>
          <w:szCs w:val="24"/>
        </w:rPr>
        <w:t xml:space="preserve">Si aggiunga una considerazione di misura. Molte delle persone che esercitavano quelle funzioni sono defunte e non possono replicare; altre hanno reso dichiarazioni che sono agli atti. Un registro che attribuisse loro nominativamente condotte non accertate compirebbe, in nome dell'accertamento, un atto che l'accertamento non autorizza.</w:t>
      </w:r>
    </w:p>
    <w:p>
      <w:pPr>
        <w:pStyle w:val="Heading2"/>
        <w:spacing w:after="100" w:before="200"/>
      </w:pPr>
      <w:r>
        <w:rPr>
          <w:rFonts w:ascii="Barlow Semi Condensed" w:cs="Barlow Semi Condensed" w:eastAsia="Barlow Semi Condensed" w:hAnsi="Barlow Semi Condensed"/>
          <w:sz w:val="24"/>
          <w:szCs w:val="24"/>
        </w:rPr>
        <w:t xml:space="preserve">Capitolo quarantaduesimo — La tipologia delle omissioni</w:t>
      </w:r>
    </w:p>
    <w:p>
      <w:pPr>
        <w:spacing w:after="120" w:line="276"/>
        <w:jc w:val="both"/>
      </w:pPr>
      <w:r>
        <w:rPr>
          <w:rFonts w:ascii="Barlow Semi Condensed" w:cs="Barlow Semi Condensed" w:eastAsia="Barlow Semi Condensed" w:hAnsi="Barlow Semi Condensed"/>
          <w:sz w:val="24"/>
          <w:szCs w:val="24"/>
        </w:rPr>
        <w:t xml:space="preserve">Le omissioni rilevanti in questa materia si ripartiscono in quattro tipologie, distinte per struttura e per prova richiesta. La distinzione non è classificatoria per gusto: ciascuna tipologia richiede un test diverso, e confonderle produce errori di valutazione.</w:t>
      </w:r>
    </w:p>
    <w:p>
      <w:pPr>
        <w:pStyle w:val="Heading2"/>
        <w:spacing w:after="100" w:before="200"/>
      </w:pPr>
      <w:r>
        <w:rPr>
          <w:rFonts w:ascii="Barlow Semi Condensed" w:cs="Barlow Semi Condensed" w:eastAsia="Barlow Semi Condensed" w:hAnsi="Barlow Semi Condensed"/>
          <w:sz w:val="24"/>
          <w:szCs w:val="24"/>
        </w:rPr>
        <w:t xml:space="preserve">Prima tipologia: l'omissione di attivazione</w:t>
      </w:r>
    </w:p>
    <w:p>
      <w:pPr>
        <w:spacing w:after="120" w:line="276"/>
        <w:jc w:val="both"/>
      </w:pPr>
      <w:r>
        <w:rPr>
          <w:rFonts w:ascii="Barlow Semi Condensed" w:cs="Barlow Semi Condensed" w:eastAsia="Barlow Semi Condensed" w:hAnsi="Barlow Semi Condensed"/>
          <w:sz w:val="24"/>
          <w:szCs w:val="24"/>
        </w:rPr>
        <w:t xml:space="preserve">Vi appartiene il caso in cui un obbligo di agire sorge e non è seguito da alcuna condotta.</w:t>
      </w:r>
    </w:p>
    <w:p>
      <w:pPr>
        <w:spacing w:after="120" w:line="276"/>
        <w:jc w:val="both"/>
      </w:pPr>
      <w:r>
        <w:rPr>
          <w:rFonts w:ascii="Barlow Semi Condensed" w:cs="Barlow Semi Condensed" w:eastAsia="Barlow Semi Condensed" w:hAnsi="Barlow Semi Condensed"/>
          <w:sz w:val="24"/>
          <w:szCs w:val="24"/>
        </w:rPr>
        <w:t xml:space="preserve">La prova richiesta è duplice: che l'obbligo sia sorto, il che presuppone che l'informazione attivante sia pervenuta; e che nulla sia stato fatto.</w:t>
      </w:r>
    </w:p>
    <w:p>
      <w:pPr>
        <w:spacing w:after="120" w:line="276"/>
        <w:jc w:val="both"/>
      </w:pPr>
      <w:r>
        <w:rPr>
          <w:rFonts w:ascii="Barlow Semi Condensed" w:cs="Barlow Semi Condensed" w:eastAsia="Barlow Semi Condensed" w:hAnsi="Barlow Semi Condensed"/>
          <w:sz w:val="24"/>
          <w:szCs w:val="24"/>
        </w:rPr>
        <w:t xml:space="preserve">Il punto critico di questa tipologia è il primo. Un obbligo di agire sorge dalla conoscenza, e la conoscenza va provata. Chi sostenga una omissione di attivazione deve anzitutto provare che l'informazione pervenne, a chi, e quando; e tale prova è, in materia informativa, spesso la parte più difficile.</w:t>
      </w:r>
    </w:p>
    <w:p>
      <w:pPr>
        <w:pStyle w:val="Heading2"/>
        <w:spacing w:after="100" w:before="200"/>
      </w:pPr>
      <w:r>
        <w:rPr>
          <w:rFonts w:ascii="Barlow Semi Condensed" w:cs="Barlow Semi Condensed" w:eastAsia="Barlow Semi Condensed" w:hAnsi="Barlow Semi Condensed"/>
          <w:sz w:val="24"/>
          <w:szCs w:val="24"/>
        </w:rPr>
        <w:t xml:space="preserve">Seconda tipologia: l'omissione di adeguatezza</w:t>
      </w:r>
    </w:p>
    <w:p>
      <w:pPr>
        <w:spacing w:after="120" w:line="276"/>
        <w:jc w:val="both"/>
      </w:pPr>
      <w:r>
        <w:rPr>
          <w:rFonts w:ascii="Barlow Semi Condensed" w:cs="Barlow Semi Condensed" w:eastAsia="Barlow Semi Condensed" w:hAnsi="Barlow Semi Condensed"/>
          <w:sz w:val="24"/>
          <w:szCs w:val="24"/>
        </w:rPr>
        <w:t xml:space="preserve">Vi appartiene il caso in cui una condotta fu tenuta, ma con modalità inidonee allo scopo.</w:t>
      </w:r>
    </w:p>
    <w:p>
      <w:pPr>
        <w:spacing w:after="120" w:line="276"/>
        <w:jc w:val="both"/>
      </w:pPr>
      <w:r>
        <w:rPr>
          <w:rFonts w:ascii="Barlow Semi Condensed" w:cs="Barlow Semi Condensed" w:eastAsia="Barlow Semi Condensed" w:hAnsi="Barlow Semi Condensed"/>
          <w:sz w:val="24"/>
          <w:szCs w:val="24"/>
        </w:rPr>
        <w:t xml:space="preserve">La prova richiesta è più impegnativa e più insidiosa. Non basta constatare che la condotta non produsse l'esito: occorre stabilire che le modalità impiegate erano inidonee secondo criteri conoscibili all'epoca, e non secondo criteri formatisi dopo.</w:t>
      </w:r>
    </w:p>
    <w:p>
      <w:pPr>
        <w:spacing w:after="120" w:line="276"/>
        <w:jc w:val="both"/>
      </w:pPr>
      <w:r>
        <w:rPr>
          <w:rFonts w:ascii="Barlow Semi Condensed" w:cs="Barlow Semi Condensed" w:eastAsia="Barlow Semi Condensed" w:hAnsi="Barlow Semi Condensed"/>
          <w:sz w:val="24"/>
          <w:szCs w:val="24"/>
        </w:rPr>
        <w:t xml:space="preserve">Il punto critico è il pericolo del giudizio a posteriori. Sapendo dove si trovava ciò che si cercava, ogni ricerca che non lo trovò appare inadeguata. Ma l'inadeguatezza va misurata sulle conoscenze disponibili al momento, e non sull'esito.</w:t>
      </w:r>
    </w:p>
    <w:p>
      <w:pPr>
        <w:pStyle w:val="Heading2"/>
        <w:spacing w:after="100" w:before="200"/>
      </w:pPr>
      <w:r>
        <w:rPr>
          <w:rFonts w:ascii="Barlow Semi Condensed" w:cs="Barlow Semi Condensed" w:eastAsia="Barlow Semi Condensed" w:hAnsi="Barlow Semi Condensed"/>
          <w:sz w:val="24"/>
          <w:szCs w:val="24"/>
        </w:rPr>
        <w:t xml:space="preserve">Terza tipologia: l'omissione di trasmissione</w:t>
      </w:r>
    </w:p>
    <w:p>
      <w:pPr>
        <w:spacing w:after="120" w:line="276"/>
        <w:jc w:val="both"/>
      </w:pPr>
      <w:r>
        <w:rPr>
          <w:rFonts w:ascii="Barlow Semi Condensed" w:cs="Barlow Semi Condensed" w:eastAsia="Barlow Semi Condensed" w:hAnsi="Barlow Semi Condensed"/>
          <w:sz w:val="24"/>
          <w:szCs w:val="24"/>
        </w:rPr>
        <w:t xml:space="preserve">Vi appartiene il caso in cui una informazione fu acquisita da un ufficio e non fu trasmessa a chi doveva riceverla.</w:t>
      </w:r>
    </w:p>
    <w:p>
      <w:pPr>
        <w:spacing w:after="120" w:line="276"/>
        <w:jc w:val="both"/>
      </w:pPr>
      <w:r>
        <w:rPr>
          <w:rFonts w:ascii="Barlow Semi Condensed" w:cs="Barlow Semi Condensed" w:eastAsia="Barlow Semi Condensed" w:hAnsi="Barlow Semi Condensed"/>
          <w:sz w:val="24"/>
          <w:szCs w:val="24"/>
        </w:rPr>
        <w:t xml:space="preserve">È la tipologia più documentabile delle quattro, perché la trasmissione produce carte e la sua assenza è rilevabile per confronto: si accerta che l'informazione entrò in un ufficio e non si rinviene l'atto di trasmissione.</w:t>
      </w:r>
    </w:p>
    <w:p>
      <w:pPr>
        <w:spacing w:after="120" w:line="276"/>
        <w:jc w:val="both"/>
      </w:pPr>
      <w:r>
        <w:rPr>
          <w:rFonts w:ascii="Barlow Semi Condensed" w:cs="Barlow Semi Condensed" w:eastAsia="Barlow Semi Condensed" w:hAnsi="Barlow Semi Condensed"/>
          <w:sz w:val="24"/>
          <w:szCs w:val="24"/>
        </w:rPr>
        <w:t xml:space="preserve">Il punto critico è la ricostruzione dei flussi obbligati: occorre stabilire che la trasmissione fosse dovuta, e non semplicemente opportuna.</w:t>
      </w:r>
    </w:p>
    <w:p>
      <w:pPr>
        <w:pStyle w:val="Heading2"/>
        <w:spacing w:after="100" w:before="200"/>
      </w:pPr>
      <w:r>
        <w:rPr>
          <w:rFonts w:ascii="Barlow Semi Condensed" w:cs="Barlow Semi Condensed" w:eastAsia="Barlow Semi Condensed" w:hAnsi="Barlow Semi Condensed"/>
          <w:sz w:val="24"/>
          <w:szCs w:val="24"/>
        </w:rPr>
        <w:t xml:space="preserve">Quarta tipologia: la produzione attiva di ostacolo</w:t>
      </w:r>
    </w:p>
    <w:p>
      <w:pPr>
        <w:spacing w:after="120" w:line="276"/>
        <w:jc w:val="both"/>
      </w:pPr>
      <w:r>
        <w:rPr>
          <w:rFonts w:ascii="Barlow Semi Condensed" w:cs="Barlow Semi Condensed" w:eastAsia="Barlow Semi Condensed" w:hAnsi="Barlow Semi Condensed"/>
          <w:sz w:val="24"/>
          <w:szCs w:val="24"/>
        </w:rPr>
        <w:t xml:space="preserve">Vi appartiene il caso in cui non si ha una omissione in senso proprio ma una condotta positiva diretta a impedire o deviare l'accertamento: produzione di falso, distruzione di elementi, immissione di piste infondate.</w:t>
      </w:r>
    </w:p>
    <w:p>
      <w:pPr>
        <w:spacing w:after="120" w:line="276"/>
        <w:jc w:val="both"/>
      </w:pPr>
      <w:r>
        <w:rPr>
          <w:rFonts w:ascii="Barlow Semi Condensed" w:cs="Barlow Semi Condensed" w:eastAsia="Barlow Semi Condensed" w:hAnsi="Barlow Semi Condensed"/>
          <w:sz w:val="24"/>
          <w:szCs w:val="24"/>
        </w:rPr>
        <w:t xml:space="preserve">Essa è compresa in questa Fase perché il suo effetto è omissivo — impedisce che si accerti — sebbene la sua struttura sia commissiva.</w:t>
      </w:r>
    </w:p>
    <w:p>
      <w:pPr>
        <w:spacing w:after="120" w:line="276"/>
        <w:jc w:val="both"/>
      </w:pPr>
      <w:r>
        <w:rPr>
          <w:rFonts w:ascii="Barlow Semi Condensed" w:cs="Barlow Semi Condensed" w:eastAsia="Barlow Semi Condensed" w:hAnsi="Barlow Semi Condensed"/>
          <w:sz w:val="24"/>
          <w:szCs w:val="24"/>
        </w:rPr>
        <w:t xml:space="preserve">Il punto critico è che qui la prova richiesta è quella del concorso attivo, con tutte le sue difficoltà; ma con una differenza favorevole: l'atto positivo lascia un oggetto. Un documento falso esiste, e la sua esistenza è essa stessa un fatto accertabile, ancorché il suo autore resti ignoto.</w:t>
      </w:r>
    </w:p>
    <w:p>
      <w:pPr>
        <w:pStyle w:val="Heading2"/>
        <w:spacing w:after="100" w:before="200"/>
      </w:pPr>
      <w:r>
        <w:rPr>
          <w:rFonts w:ascii="Barlow Semi Condensed" w:cs="Barlow Semi Condensed" w:eastAsia="Barlow Semi Condensed" w:hAnsi="Barlow Semi Condensed"/>
          <w:sz w:val="24"/>
          <w:szCs w:val="24"/>
        </w:rPr>
        <w:t xml:space="preserve">Le quattro tipologie e i quattro elementi consegnati</w:t>
      </w:r>
    </w:p>
    <w:p>
      <w:pPr>
        <w:spacing w:after="120" w:line="276"/>
        <w:jc w:val="both"/>
      </w:pPr>
      <w:r>
        <w:rPr>
          <w:rFonts w:ascii="Barlow Semi Condensed" w:cs="Barlow Semi Condensed" w:eastAsia="Barlow Semi Condensed" w:hAnsi="Barlow Semi Condensed"/>
          <w:sz w:val="24"/>
          <w:szCs w:val="24"/>
        </w:rPr>
        <w:t xml:space="preserve">Gli elementi consegnati a questa Fase si distribuiscono così.</w:t>
      </w:r>
    </w:p>
    <w:p>
      <w:pPr>
        <w:spacing w:after="120" w:line="276"/>
        <w:jc w:val="both"/>
      </w:pPr>
      <w:r>
        <w:rPr>
          <w:rFonts w:ascii="Barlow Semi Condensed" w:cs="Barlow Semi Condensed" w:eastAsia="Barlow Semi Condensed" w:hAnsi="Barlow Semi Condensed"/>
          <w:sz w:val="24"/>
          <w:szCs w:val="24"/>
        </w:rPr>
        <w:t xml:space="preserve">Le due circostanze di via Gradoli appartengono, rispettivamente, alla seconda e alla terza tipologia, e sono trattate nel Capitolo quarantatreesimo.</w:t>
      </w:r>
    </w:p>
    <w:p>
      <w:pPr>
        <w:spacing w:after="120" w:line="276"/>
        <w:jc w:val="both"/>
      </w:pPr>
      <w:r>
        <w:rPr>
          <w:rFonts w:ascii="Barlow Semi Condensed" w:cs="Barlow Semi Condensed" w:eastAsia="Barlow Semi Condensed" w:hAnsi="Barlow Semi Condensed"/>
          <w:sz w:val="24"/>
          <w:szCs w:val="24"/>
        </w:rPr>
        <w:t xml:space="preserve">Il comunicato apocrifo appartiene alla quarta ed è trattato nel Capitolo quarantaquattresimo.</w:t>
      </w:r>
    </w:p>
    <w:p>
      <w:pPr>
        <w:spacing w:after="120" w:line="276"/>
        <w:jc w:val="both"/>
      </w:pPr>
      <w:r>
        <w:rPr>
          <w:rFonts w:ascii="Barlow Semi Condensed" w:cs="Barlow Semi Condensed" w:eastAsia="Barlow Semi Condensed" w:hAnsi="Barlow Semi Condensed"/>
          <w:sz w:val="24"/>
          <w:szCs w:val="24"/>
        </w:rPr>
        <w:t xml:space="preserve">L'esito nullo della ricerca eccezionale appartiene alla seconda ed è trattato nel Capitolo quarantacinquesimo.</w:t>
      </w:r>
    </w:p>
    <w:p>
      <w:pPr>
        <w:spacing w:after="120" w:line="276"/>
        <w:jc w:val="both"/>
      </w:pPr>
      <w:r>
        <w:rPr>
          <w:rFonts w:ascii="Barlow Semi Condensed" w:cs="Barlow Semi Condensed" w:eastAsia="Barlow Semi Condensed" w:hAnsi="Barlow Semi Condensed"/>
          <w:sz w:val="24"/>
          <w:szCs w:val="24"/>
        </w:rPr>
        <w:t xml:space="preserve">L'incompletezza del rinvenimento documentale appartiene alla seconda o alla quarta secondo quale delle tre spiegazioni aperte risulti fondata, ed è trattata nel Capitolo quarantaseiesimo.</w:t>
      </w:r>
    </w:p>
    <w:p>
      <w:pPr>
        <w:pStyle w:val="Heading2"/>
        <w:spacing w:after="100" w:before="200"/>
      </w:pPr>
      <w:r>
        <w:rPr>
          <w:rFonts w:ascii="Barlow Semi Condensed" w:cs="Barlow Semi Condensed" w:eastAsia="Barlow Semi Condensed" w:hAnsi="Barlow Semi Condensed"/>
          <w:sz w:val="24"/>
          <w:szCs w:val="24"/>
        </w:rPr>
        <w:t xml:space="preserve">Capitolo quarantatreesimo — Le due circostanze di via Gradoli</w:t>
      </w:r>
    </w:p>
    <w:p>
      <w:pPr>
        <w:pStyle w:val="Heading2"/>
        <w:spacing w:after="100" w:before="200"/>
      </w:pPr>
      <w:r>
        <w:rPr>
          <w:rFonts w:ascii="Barlow Semi Condensed" w:cs="Barlow Semi Condensed" w:eastAsia="Barlow Semi Condensed" w:hAnsi="Barlow Semi Condensed"/>
          <w:sz w:val="24"/>
          <w:szCs w:val="24"/>
        </w:rPr>
        <w:t xml:space="preserve">Il fatto centrale</w:t>
      </w:r>
    </w:p>
    <w:p>
      <w:pPr>
        <w:spacing w:after="120" w:line="276"/>
        <w:jc w:val="both"/>
      </w:pPr>
      <w:r>
        <w:rPr>
          <w:rFonts w:ascii="Barlow Semi Condensed" w:cs="Barlow Semi Condensed" w:eastAsia="Barlow Semi Condensed" w:hAnsi="Barlow Semi Condensed"/>
          <w:sz w:val="24"/>
          <w:szCs w:val="24"/>
        </w:rPr>
        <w:t xml:space="preserve">È accertato che un appartamento sito in via Gradoli, a Roma, era una base dell'organizzazione; che fu individuato nella seconda metà del periodo di prigionia, quando il prigioniero era ancora in vita; e che l'individuazione avvenne per una circostanza fortuita — una perdita d'acqua che rese necessario l'accesso — e non per attività di indagine.</w:t>
      </w:r>
    </w:p>
    <w:p>
      <w:pPr>
        <w:spacing w:after="120" w:line="276"/>
        <w:jc w:val="both"/>
      </w:pPr>
      <w:r>
        <w:rPr>
          <w:rFonts w:ascii="Barlow Semi Condensed" w:cs="Barlow Semi Condensed" w:eastAsia="Barlow Semi Condensed" w:hAnsi="Barlow Semi Condensed"/>
          <w:sz w:val="24"/>
          <w:szCs w:val="24"/>
        </w:rPr>
        <w:t xml:space="preserve">Attorno a questo fatto si collocano due circostanze, che vanno esaminate separatamente perché appartengono a tipologie diverse e richiedono test diversi.</w:t>
      </w:r>
    </w:p>
    <w:p>
      <w:pPr>
        <w:pStyle w:val="Heading2"/>
        <w:spacing w:after="100" w:before="200"/>
      </w:pPr>
      <w:r>
        <w:rPr>
          <w:rFonts w:ascii="Barlow Semi Condensed" w:cs="Barlow Semi Condensed" w:eastAsia="Barlow Semi Condensed" w:hAnsi="Barlow Semi Condensed"/>
          <w:sz w:val="24"/>
          <w:szCs w:val="24"/>
        </w:rPr>
        <w:t xml:space="preserve">Prima circostanza: il controllo nella via</w:t>
      </w:r>
    </w:p>
    <w:p>
      <w:pPr>
        <w:spacing w:after="120" w:line="276"/>
        <w:jc w:val="both"/>
      </w:pPr>
      <w:r>
        <w:rPr>
          <w:rFonts w:ascii="Barlow Semi Condensed" w:cs="Barlow Semi Condensed" w:eastAsia="Barlow Semi Condensed" w:hAnsi="Barlow Semi Condensed"/>
          <w:sz w:val="24"/>
          <w:szCs w:val="24"/>
        </w:rPr>
        <w:t xml:space="preserve">È accertato che nelle settimane precedenti fu effettuato un controllo nella medesima via, e che esso non condusse all'individuazione della base.</w:t>
      </w:r>
    </w:p>
    <w:p>
      <w:pPr>
        <w:spacing w:after="120" w:line="276"/>
        <w:jc w:val="both"/>
      </w:pPr>
      <w:r>
        <w:rPr>
          <w:rFonts w:ascii="Barlow Semi Condensed" w:cs="Barlow Semi Condensed" w:eastAsia="Barlow Semi Condensed" w:hAnsi="Barlow Semi Condensed"/>
          <w:sz w:val="24"/>
          <w:szCs w:val="24"/>
        </w:rPr>
        <w:t xml:space="preserve">Test in tre tempi.</w:t>
      </w:r>
    </w:p>
    <w:p>
      <w:pPr>
        <w:spacing w:after="120" w:line="276"/>
        <w:jc w:val="both"/>
      </w:pPr>
      <w:r>
        <w:rPr>
          <w:rFonts w:ascii="Barlow Semi Condensed" w:cs="Barlow Semi Condensed" w:eastAsia="Barlow Semi Condensed" w:hAnsi="Barlow Semi Condensed"/>
          <w:sz w:val="24"/>
          <w:szCs w:val="24"/>
        </w:rPr>
        <w:t xml:space="preserve">Primo tempo, il dovere. Il dovere di effettuare controlli sussisteva ed è documentato: erano in corso ricerche generalizzate disposte a livello nazionale. Il dovere è accertato quanto all'an. Quanto al quomodo — con quale grado di penetrazione i controlli dovessero essere condotti — occorre riferirsi alle direttive impartite, che costituiscono la fonte del dovere specifico.</w:t>
      </w:r>
    </w:p>
    <w:p>
      <w:pPr>
        <w:spacing w:after="120" w:line="276"/>
        <w:jc w:val="both"/>
      </w:pPr>
      <w:r>
        <w:rPr>
          <w:rFonts w:ascii="Barlow Semi Condensed" w:cs="Barlow Semi Condensed" w:eastAsia="Barlow Semi Condensed" w:hAnsi="Barlow Semi Condensed"/>
          <w:sz w:val="24"/>
          <w:szCs w:val="24"/>
        </w:rPr>
        <w:t xml:space="preserve">Secondo tempo, l'inadempimento. È accertato che il controllo fu effettuato e che non produsse l'individuazione. Se ciò costituisca inadempimento dipende dal quomodo dovuto: un controllo condotto secondo le modalità prescritte che non produca l'esito non è inadempimento, è insuccesso.</w:t>
      </w:r>
    </w:p>
    <w:p>
      <w:pPr>
        <w:spacing w:after="120" w:line="276"/>
        <w:jc w:val="both"/>
      </w:pPr>
      <w:r>
        <w:rPr>
          <w:rFonts w:ascii="Barlow Semi Condensed" w:cs="Barlow Semi Condensed" w:eastAsia="Barlow Semi Condensed" w:hAnsi="Barlow Semi Condensed"/>
          <w:sz w:val="24"/>
          <w:szCs w:val="24"/>
        </w:rPr>
        <w:t xml:space="preserve">Terzo tempo, la spiegabilità. Non si perviene al terzo tempo, perché il secondo non è concluso: allo stato degli atti che quest'opera ha potuto interrogare, non risultano acquisiti gli elementi che consentirebbero di stabilire quali modalità fossero prescritte e quali furono impiegate.</w:t>
      </w:r>
    </w:p>
    <w:p>
      <w:pPr>
        <w:spacing w:after="120" w:line="276"/>
        <w:jc w:val="both"/>
      </w:pPr>
      <w:r>
        <w:rPr>
          <w:rFonts w:ascii="Barlow Semi Condensed" w:cs="Barlow Semi Condensed" w:eastAsia="Barlow Semi Condensed" w:hAnsi="Barlow Semi Condensed"/>
          <w:sz w:val="24"/>
          <w:szCs w:val="24"/>
        </w:rPr>
        <w:t xml:space="preserve">Si registra pertanto: circostanza accertata quanto al fatto; qualificazione come omissione non accertata; condizione di scioglimento indicata, consistente nell'acquisizione delle direttive impartite e della documentazione del controllo effettuato.</w:t>
      </w:r>
    </w:p>
    <w:p>
      <w:pPr>
        <w:pStyle w:val="Heading2"/>
        <w:spacing w:after="100" w:before="200"/>
      </w:pPr>
      <w:r>
        <w:rPr>
          <w:rFonts w:ascii="Barlow Semi Condensed" w:cs="Barlow Semi Condensed" w:eastAsia="Barlow Semi Condensed" w:hAnsi="Barlow Semi Condensed"/>
          <w:sz w:val="24"/>
          <w:szCs w:val="24"/>
        </w:rPr>
        <w:t xml:space="preserve">Seconda circostanza: l'indicazione del nome e la sua destinazione</w:t>
      </w:r>
    </w:p>
    <w:p>
      <w:pPr>
        <w:spacing w:after="120" w:line="276"/>
        <w:jc w:val="both"/>
      </w:pPr>
      <w:r>
        <w:rPr>
          <w:rFonts w:ascii="Barlow Semi Condensed" w:cs="Barlow Semi Condensed" w:eastAsia="Barlow Semi Condensed" w:hAnsi="Barlow Semi Condensed"/>
          <w:sz w:val="24"/>
          <w:szCs w:val="24"/>
        </w:rPr>
        <w:t xml:space="preserve">È accertato che il nome Gradoli fu indicato, nel corso del periodo, in una sede e per una via che non appartengono all'attività di indagine ordinaria; e che le ricerche conseguenti furono indirizzate verso una località omonima anziché verso la via romana.</w:t>
      </w:r>
    </w:p>
    <w:p>
      <w:pPr>
        <w:spacing w:after="120" w:line="276"/>
        <w:jc w:val="both"/>
      </w:pPr>
      <w:r>
        <w:rPr>
          <w:rFonts w:ascii="Barlow Semi Condensed" w:cs="Barlow Semi Condensed" w:eastAsia="Barlow Semi Condensed" w:hAnsi="Barlow Semi Condensed"/>
          <w:sz w:val="24"/>
          <w:szCs w:val="24"/>
        </w:rPr>
        <w:t xml:space="preserve">Test in tre tempi.</w:t>
      </w:r>
    </w:p>
    <w:p>
      <w:pPr>
        <w:spacing w:after="120" w:line="276"/>
        <w:jc w:val="both"/>
      </w:pPr>
      <w:r>
        <w:rPr>
          <w:rFonts w:ascii="Barlow Semi Condensed" w:cs="Barlow Semi Condensed" w:eastAsia="Barlow Semi Condensed" w:hAnsi="Barlow Semi Condensed"/>
          <w:sz w:val="24"/>
          <w:szCs w:val="24"/>
        </w:rPr>
        <w:t xml:space="preserve">Primo tempo, il dovere. Pervenuta una indicazione toponomastica in una indagine in corso, sussiste il dovere di verificarne le referenze possibili. Il dovere è accertato.</w:t>
      </w:r>
    </w:p>
    <w:p>
      <w:pPr>
        <w:spacing w:after="120" w:line="276"/>
        <w:jc w:val="both"/>
      </w:pPr>
      <w:r>
        <w:rPr>
          <w:rFonts w:ascii="Barlow Semi Condensed" w:cs="Barlow Semi Condensed" w:eastAsia="Barlow Semi Condensed" w:hAnsi="Barlow Semi Condensed"/>
          <w:sz w:val="24"/>
          <w:szCs w:val="24"/>
        </w:rPr>
        <w:t xml:space="preserve">Secondo tempo, l'inadempimento. È accertato che fu verificata una referenza e non l'altra. Che la referenza verificata fosse quella meno probabile è valutazione che dipende dal contesto della ricerca: essendo l'indagine centrata su Roma, la referenza romana era, secondo criteri conoscibili all'epoca, quella da verificare per prima. L'inadempimento appare, a questo livello, accertato quanto alla incompletezza della verifica.</w:t>
      </w:r>
    </w:p>
    <w:p>
      <w:pPr>
        <w:spacing w:after="120" w:line="276"/>
        <w:jc w:val="both"/>
      </w:pPr>
      <w:r>
        <w:rPr>
          <w:rFonts w:ascii="Barlow Semi Condensed" w:cs="Barlow Semi Condensed" w:eastAsia="Barlow Semi Condensed" w:hAnsi="Barlow Semi Condensed"/>
          <w:sz w:val="24"/>
          <w:szCs w:val="24"/>
        </w:rPr>
        <w:t xml:space="preserve">Terzo tempo, la spiegabilità. Qui il test si arresta e occorre dirlo con esattezza. L'inadempimento è spiegabile con più di una causa: l'errore materiale nella lettura di una indicazione; il difetto di coordinamento fra uffici; la scarsa considerazione attribuita alla fonte dell'indicazione, che era di natura non ordinaria e poteva essere ritenuta priva di serietà.</w:t>
      </w:r>
    </w:p>
    <w:p>
      <w:pPr>
        <w:spacing w:after="120" w:line="276"/>
        <w:jc w:val="both"/>
      </w:pPr>
      <w:r>
        <w:rPr>
          <w:rFonts w:ascii="Barlow Semi Condensed" w:cs="Barlow Semi Condensed" w:eastAsia="Barlow Semi Condensed" w:hAnsi="Barlow Semi Condensed"/>
          <w:sz w:val="24"/>
          <w:szCs w:val="24"/>
        </w:rPr>
        <w:t xml:space="preserve">Nessuna di queste spiegazioni è esclusa dagli atti disponibili. Nessuna è confermata.</w:t>
      </w:r>
    </w:p>
    <w:p>
      <w:pPr>
        <w:pStyle w:val="Heading2"/>
        <w:spacing w:after="100" w:before="200"/>
      </w:pPr>
      <w:r>
        <w:rPr>
          <w:rFonts w:ascii="Barlow Semi Condensed" w:cs="Barlow Semi Condensed" w:eastAsia="Barlow Semi Condensed" w:hAnsi="Barlow Semi Condensed"/>
          <w:sz w:val="24"/>
          <w:szCs w:val="24"/>
        </w:rPr>
        <w:t xml:space="preserve">Che cosa risulta</w:t>
      </w:r>
    </w:p>
    <w:p>
      <w:pPr>
        <w:spacing w:after="120" w:line="276"/>
        <w:jc w:val="both"/>
      </w:pPr>
      <w:r>
        <w:rPr>
          <w:rFonts w:ascii="Barlow Semi Condensed" w:cs="Barlow Semi Condensed" w:eastAsia="Barlow Semi Condensed" w:hAnsi="Barlow Semi Condensed"/>
          <w:sz w:val="24"/>
          <w:szCs w:val="24"/>
        </w:rPr>
        <w:t xml:space="preserve">Risulta accertato: che una base dell'organizzazione era in quella via; che fu individuata per caso e non per indagine, in costanza di prigionia; che un controllo era stato effettuato in quella via senza esito; che una indicazione toponomastica fu verificata in una sola delle sue referenze possibili.</w:t>
      </w:r>
    </w:p>
    <w:p>
      <w:pPr>
        <w:spacing w:after="120" w:line="276"/>
        <w:jc w:val="both"/>
      </w:pPr>
      <w:r>
        <w:rPr>
          <w:rFonts w:ascii="Barlow Semi Condensed" w:cs="Barlow Semi Condensed" w:eastAsia="Barlow Semi Condensed" w:hAnsi="Barlow Semi Condensed"/>
          <w:sz w:val="24"/>
          <w:szCs w:val="24"/>
        </w:rPr>
        <w:t xml:space="preserve">Non risulta accertato: che alcuna delle due circostanze costituisca omissione deliberata.</w:t>
      </w:r>
    </w:p>
    <w:p>
      <w:pPr>
        <w:spacing w:after="120" w:line="276"/>
        <w:jc w:val="both"/>
      </w:pPr>
      <w:r>
        <w:rPr>
          <w:rFonts w:ascii="Barlow Semi Condensed" w:cs="Barlow Semi Condensed" w:eastAsia="Barlow Semi Condensed" w:hAnsi="Barlow Semi Condensed"/>
          <w:sz w:val="24"/>
          <w:szCs w:val="24"/>
        </w:rPr>
        <w:t xml:space="preserve">Si osservi che questo esito non è una assoluzione né una accusa. È il risultato di un test condotto per intero, che si è arrestato al terzo tempo per difetto di elementi; e la disciplina impone di dichiarare l'arresto anziché di sostituirvi una valutazione.</w:t>
      </w:r>
    </w:p>
    <w:p>
      <w:pPr>
        <w:pStyle w:val="Heading2"/>
        <w:spacing w:after="100" w:before="200"/>
      </w:pPr>
      <w:r>
        <w:rPr>
          <w:rFonts w:ascii="Barlow Semi Condensed" w:cs="Barlow Semi Condensed" w:eastAsia="Barlow Semi Condensed" w:hAnsi="Barlow Semi Condensed"/>
          <w:sz w:val="24"/>
          <w:szCs w:val="24"/>
        </w:rPr>
        <w:t xml:space="preserve">Ciò che scioglierebbe il dubbio</w:t>
      </w:r>
    </w:p>
    <w:p>
      <w:pPr>
        <w:spacing w:after="120" w:line="276"/>
        <w:jc w:val="both"/>
      </w:pPr>
      <w:r>
        <w:rPr>
          <w:rFonts w:ascii="Barlow Semi Condensed" w:cs="Barlow Semi Condensed" w:eastAsia="Barlow Semi Condensed" w:hAnsi="Barlow Semi Condensed"/>
          <w:sz w:val="24"/>
          <w:szCs w:val="24"/>
        </w:rPr>
        <w:t xml:space="preserve">Si indicano le evidenze che scioglierebbero il dubbio, in un senso o nell'altro: le direttive impartite per i controlli e la documentazione del controllo effettuato in quella via; gli atti relativi alla ricezione dell'indicazione toponomastica, alla sua valutazione e alla decisione sulla destinazione delle ricerche; la documentazione dei flussi informativi fra gli uffici coinvolti nel periodo.</w:t>
      </w:r>
    </w:p>
    <w:p>
      <w:pPr>
        <w:spacing w:after="120" w:line="276"/>
        <w:jc w:val="both"/>
      </w:pPr>
      <w:r>
        <w:rPr>
          <w:rFonts w:ascii="Barlow Semi Condensed" w:cs="Barlow Semi Condensed" w:eastAsia="Barlow Semi Condensed" w:hAnsi="Barlow Semi Condensed"/>
          <w:sz w:val="24"/>
          <w:szCs w:val="24"/>
        </w:rPr>
        <w:t xml:space="preserve">Nessuno di tali elementi è stato acquisito nella presente campagna. L'assenza è iscritta in tavola.</w:t>
      </w:r>
    </w:p>
    <w:p>
      <w:pPr>
        <w:pStyle w:val="Heading2"/>
        <w:spacing w:after="100" w:before="200"/>
      </w:pPr>
      <w:r>
        <w:rPr>
          <w:rFonts w:ascii="Barlow Semi Condensed" w:cs="Barlow Semi Condensed" w:eastAsia="Barlow Semi Condensed" w:hAnsi="Barlow Semi Condensed"/>
          <w:sz w:val="24"/>
          <w:szCs w:val="24"/>
        </w:rPr>
        <w:t xml:space="preserve">Capitolo quarantaquattresimo — La produzione di falso in indagine in corso</w:t>
      </w:r>
    </w:p>
    <w:p>
      <w:pPr>
        <w:pStyle w:val="Heading2"/>
        <w:spacing w:after="100" w:before="200"/>
      </w:pPr>
      <w:r>
        <w:rPr>
          <w:rFonts w:ascii="Barlow Semi Condensed" w:cs="Barlow Semi Condensed" w:eastAsia="Barlow Semi Condensed" w:hAnsi="Barlow Semi Condensed"/>
          <w:sz w:val="24"/>
          <w:szCs w:val="24"/>
        </w:rPr>
        <w:t xml:space="preserve">Il fatto</w:t>
      </w:r>
    </w:p>
    <w:p>
      <w:pPr>
        <w:spacing w:after="120" w:line="276"/>
        <w:jc w:val="both"/>
      </w:pPr>
      <w:r>
        <w:rPr>
          <w:rFonts w:ascii="Barlow Semi Condensed" w:cs="Barlow Semi Condensed" w:eastAsia="Barlow Semi Condensed" w:hAnsi="Barlow Semi Condensed"/>
          <w:sz w:val="24"/>
          <w:szCs w:val="24"/>
        </w:rPr>
        <w:t xml:space="preserve">È accertato che fu diffuso, nel corso del periodo, un comunicato apocrifo che annunciava la morte del prigioniero e ne indicava il luogo di rinvenimento; che esso non proveniva dall'organizzazione, la quale lo smentì; che furono disposte in conseguenza operazioni di ricerca con impiego di mezzi; e che tali operazioni ebbero esito negativo.</w:t>
      </w:r>
    </w:p>
    <w:p>
      <w:pPr>
        <w:pStyle w:val="Heading2"/>
        <w:spacing w:after="100" w:before="200"/>
      </w:pPr>
      <w:r>
        <w:rPr>
          <w:rFonts w:ascii="Barlow Semi Condensed" w:cs="Barlow Semi Condensed" w:eastAsia="Barlow Semi Condensed" w:hAnsi="Barlow Semi Condensed"/>
          <w:sz w:val="24"/>
          <w:szCs w:val="24"/>
        </w:rPr>
        <w:t xml:space="preserve">La qualificazione della natura dell'atto</w:t>
      </w:r>
    </w:p>
    <w:p>
      <w:pPr>
        <w:spacing w:after="120" w:line="276"/>
        <w:jc w:val="both"/>
      </w:pPr>
      <w:r>
        <w:rPr>
          <w:rFonts w:ascii="Barlow Semi Condensed" w:cs="Barlow Semi Condensed" w:eastAsia="Barlow Semi Condensed" w:hAnsi="Barlow Semi Condensed"/>
          <w:sz w:val="24"/>
          <w:szCs w:val="24"/>
        </w:rPr>
        <w:t xml:space="preserve">Questa è la sola omissione della Fase la cui natura sia accertata senza residuo, e conviene dirlo perché è un punto fermo raro.</w:t>
      </w:r>
    </w:p>
    <w:p>
      <w:pPr>
        <w:spacing w:after="120" w:line="276"/>
        <w:jc w:val="both"/>
      </w:pPr>
      <w:r>
        <w:rPr>
          <w:rFonts w:ascii="Barlow Semi Condensed" w:cs="Barlow Semi Condensed" w:eastAsia="Barlow Semi Condensed" w:hAnsi="Barlow Semi Condensed"/>
          <w:sz w:val="24"/>
          <w:szCs w:val="24"/>
        </w:rPr>
        <w:t xml:space="preserve">Un comunicato apocrifo non si forma per errore. Esso richiede che qualcuno lo confezioni, lo confezioni in modo da risultare credibile, e lo immetta nel circuito in cui sarà ricevuto come autentico. Ciascuna di queste operazioni è deliberata per necessità logica.</w:t>
      </w:r>
    </w:p>
    <w:p>
      <w:pPr>
        <w:spacing w:after="120" w:line="276"/>
        <w:jc w:val="both"/>
      </w:pPr>
      <w:r>
        <w:rPr>
          <w:rFonts w:ascii="Barlow Semi Condensed" w:cs="Barlow Semi Condensed" w:eastAsia="Barlow Semi Condensed" w:hAnsi="Barlow Semi Condensed"/>
          <w:sz w:val="24"/>
          <w:szCs w:val="24"/>
        </w:rPr>
        <w:t xml:space="preserve">È dunque accertato, in stato di sciolto, che nel corso delle indagini fu compiuto un atto deliberato di produzione di falso.</w:t>
      </w:r>
    </w:p>
    <w:p>
      <w:pPr>
        <w:spacing w:after="120" w:line="276"/>
        <w:jc w:val="both"/>
      </w:pPr>
      <w:r>
        <w:rPr>
          <w:rFonts w:ascii="Barlow Semi Condensed" w:cs="Barlow Semi Condensed" w:eastAsia="Barlow Semi Condensed" w:hAnsi="Barlow Semi Condensed"/>
          <w:sz w:val="24"/>
          <w:szCs w:val="24"/>
        </w:rPr>
        <w:t xml:space="preserve">Si tratta della quarta tipologia del Capitolo quarantaduesimo: struttura commissiva, effetto omissivo.</w:t>
      </w:r>
    </w:p>
    <w:p>
      <w:pPr>
        <w:pStyle w:val="Heading2"/>
        <w:spacing w:after="100" w:before="200"/>
      </w:pPr>
      <w:r>
        <w:rPr>
          <w:rFonts w:ascii="Barlow Semi Condensed" w:cs="Barlow Semi Condensed" w:eastAsia="Barlow Semi Condensed" w:hAnsi="Barlow Semi Condensed"/>
          <w:sz w:val="24"/>
          <w:szCs w:val="24"/>
        </w:rPr>
        <w:t xml:space="preserve">Ciò che non è accertato</w:t>
      </w:r>
    </w:p>
    <w:p>
      <w:pPr>
        <w:spacing w:after="120" w:line="276"/>
        <w:jc w:val="both"/>
      </w:pPr>
      <w:r>
        <w:rPr>
          <w:rFonts w:ascii="Barlow Semi Condensed" w:cs="Barlow Semi Condensed" w:eastAsia="Barlow Semi Condensed" w:hAnsi="Barlow Semi Condensed"/>
          <w:sz w:val="24"/>
          <w:szCs w:val="24"/>
        </w:rPr>
        <w:t xml:space="preserve">Non sono accertati né l'autore né la finalità.</w:t>
      </w:r>
    </w:p>
    <w:p>
      <w:pPr>
        <w:spacing w:after="120" w:line="276"/>
        <w:jc w:val="both"/>
      </w:pPr>
      <w:r>
        <w:rPr>
          <w:rFonts w:ascii="Barlow Semi Condensed" w:cs="Barlow Semi Condensed" w:eastAsia="Barlow Semi Condensed" w:hAnsi="Barlow Semi Condensed"/>
          <w:sz w:val="24"/>
          <w:szCs w:val="24"/>
        </w:rPr>
        <w:t xml:space="preserve">Le finalità astrattamente possibili sono più d'una, e conviene enumerarle perché la letteratura ne privilegia una sola.</w:t>
      </w:r>
    </w:p>
    <w:p>
      <w:pPr>
        <w:spacing w:after="120" w:line="276"/>
        <w:jc w:val="both"/>
      </w:pPr>
      <w:r>
        <w:rPr>
          <w:rFonts w:ascii="Barlow Semi Condensed" w:cs="Barlow Semi Condensed" w:eastAsia="Barlow Semi Condensed" w:hAnsi="Barlow Semi Condensed"/>
          <w:sz w:val="24"/>
          <w:szCs w:val="24"/>
        </w:rPr>
        <w:t xml:space="preserve">Prima: distrarre le ricerche da una zona verso un'altra.</w:t>
      </w:r>
    </w:p>
    <w:p>
      <w:pPr>
        <w:spacing w:after="120" w:line="276"/>
        <w:jc w:val="both"/>
      </w:pPr>
      <w:r>
        <w:rPr>
          <w:rFonts w:ascii="Barlow Semi Condensed" w:cs="Barlow Semi Condensed" w:eastAsia="Barlow Semi Condensed" w:hAnsi="Barlow Semi Condensed"/>
          <w:sz w:val="24"/>
          <w:szCs w:val="24"/>
        </w:rPr>
        <w:t xml:space="preserve">Seconda: saggiare la reazione delle istituzioni e dell'opinione pubblica all'annuncio della morte, in vista di essa.</w:t>
      </w:r>
    </w:p>
    <w:p>
      <w:pPr>
        <w:spacing w:after="120" w:line="276"/>
        <w:jc w:val="both"/>
      </w:pPr>
      <w:r>
        <w:rPr>
          <w:rFonts w:ascii="Barlow Semi Condensed" w:cs="Barlow Semi Condensed" w:eastAsia="Barlow Semi Condensed" w:hAnsi="Barlow Semi Condensed"/>
          <w:sz w:val="24"/>
          <w:szCs w:val="24"/>
        </w:rPr>
        <w:t xml:space="preserve">Terza: produrre un effetto psicologico sui destinatari e sulle trattative in corso.</w:t>
      </w:r>
    </w:p>
    <w:p>
      <w:pPr>
        <w:spacing w:after="120" w:line="276"/>
        <w:jc w:val="both"/>
      </w:pPr>
      <w:r>
        <w:rPr>
          <w:rFonts w:ascii="Barlow Semi Condensed" w:cs="Barlow Semi Condensed" w:eastAsia="Barlow Semi Condensed" w:hAnsi="Barlow Semi Condensed"/>
          <w:sz w:val="24"/>
          <w:szCs w:val="24"/>
        </w:rPr>
        <w:t xml:space="preserve">Quarta: agire per finalità estranee alla vicenda, quali il discredito di un ufficio o la produzione di confusione fine a sé stessa.</w:t>
      </w:r>
    </w:p>
    <w:p>
      <w:pPr>
        <w:spacing w:after="120" w:line="276"/>
        <w:jc w:val="both"/>
      </w:pPr>
      <w:r>
        <w:rPr>
          <w:rFonts w:ascii="Barlow Semi Condensed" w:cs="Barlow Semi Condensed" w:eastAsia="Barlow Semi Condensed" w:hAnsi="Barlow Semi Condensed"/>
          <w:sz w:val="24"/>
          <w:szCs w:val="24"/>
        </w:rPr>
        <w:t xml:space="preserve">Nessuna di queste è accertata e nessuna è esclusa. La materia è stata oggetto di accertamenti in sede giudiziaria e parlamentare che non hanno prodotto un accertamento definitivo dell'autore.</w:t>
      </w:r>
    </w:p>
    <w:p>
      <w:pPr>
        <w:pStyle w:val="Heading2"/>
        <w:spacing w:after="100" w:before="200"/>
      </w:pPr>
      <w:r>
        <w:rPr>
          <w:rFonts w:ascii="Barlow Semi Condensed" w:cs="Barlow Semi Condensed" w:eastAsia="Barlow Semi Condensed" w:hAnsi="Barlow Semi Condensed"/>
          <w:sz w:val="24"/>
          <w:szCs w:val="24"/>
        </w:rPr>
        <w:t xml:space="preserve">Il rilievo probatorio dell'accertato</w:t>
      </w:r>
    </w:p>
    <w:p>
      <w:pPr>
        <w:spacing w:after="120" w:line="276"/>
        <w:jc w:val="both"/>
      </w:pPr>
      <w:r>
        <w:rPr>
          <w:rFonts w:ascii="Barlow Semi Condensed" w:cs="Barlow Semi Condensed" w:eastAsia="Barlow Semi Condensed" w:hAnsi="Barlow Semi Condensed"/>
          <w:sz w:val="24"/>
          <w:szCs w:val="24"/>
        </w:rPr>
        <w:t xml:space="preserve">Occorre misurare esattamente che cosa questo elemento fornisca alla matrice, perché è quello che se ne discosta di più.</w:t>
      </w:r>
    </w:p>
    <w:p>
      <w:pPr>
        <w:spacing w:after="120" w:line="276"/>
        <w:jc w:val="both"/>
      </w:pPr>
      <w:r>
        <w:rPr>
          <w:rFonts w:ascii="Barlow Semi Condensed" w:cs="Barlow Semi Condensed" w:eastAsia="Barlow Semi Condensed" w:hAnsi="Barlow Semi Condensed"/>
          <w:sz w:val="24"/>
          <w:szCs w:val="24"/>
        </w:rPr>
        <w:t xml:space="preserve">Esso fornisce un dato che gli altri tre elementi non forniscono: la prova che, durante i cinquantacinque giorni, un soggetto rimasto ignoto compì un atto deliberato di interferenza nelle indagini.</w:t>
      </w:r>
    </w:p>
    <w:p>
      <w:pPr>
        <w:spacing w:after="120" w:line="276"/>
        <w:jc w:val="both"/>
      </w:pPr>
      <w:r>
        <w:rPr>
          <w:rFonts w:ascii="Barlow Semi Condensed" w:cs="Barlow Semi Condensed" w:eastAsia="Barlow Semi Condensed" w:hAnsi="Barlow Semi Condensed"/>
          <w:sz w:val="24"/>
          <w:szCs w:val="24"/>
        </w:rPr>
        <w:t xml:space="preserve">Questo è più di un errore e più di una inefficienza. È l'accertamento che, oltre ai rapitori e alle istituzioni, operò sulla vicenda un terzo soggetto con capacità di immettere falso nel circuito e con interesse a farlo.</w:t>
      </w:r>
    </w:p>
    <w:p>
      <w:pPr>
        <w:spacing w:after="120" w:line="276"/>
        <w:jc w:val="both"/>
      </w:pPr>
      <w:r>
        <w:rPr>
          <w:rFonts w:ascii="Barlow Semi Condensed" w:cs="Barlow Semi Condensed" w:eastAsia="Barlow Semi Condensed" w:hAnsi="Barlow Semi Condensed"/>
          <w:sz w:val="24"/>
          <w:szCs w:val="24"/>
        </w:rPr>
        <w:t xml:space="preserve">Che tale soggetto abbia avuto rapporto con i rapitori, con le istituzioni, con entrambi o con nessuno dei due, non è accertato. Ma la sua esistenza sì.</w:t>
      </w:r>
    </w:p>
    <w:p>
      <w:pPr>
        <w:pStyle w:val="Heading2"/>
        <w:spacing w:after="100" w:before="200"/>
      </w:pPr>
      <w:r>
        <w:rPr>
          <w:rFonts w:ascii="Barlow Semi Condensed" w:cs="Barlow Semi Condensed" w:eastAsia="Barlow Semi Condensed" w:hAnsi="Barlow Semi Condensed"/>
          <w:sz w:val="24"/>
          <w:szCs w:val="24"/>
        </w:rPr>
        <w:t xml:space="preserve">La conseguenza per la matrice</w:t>
      </w:r>
    </w:p>
    <w:p>
      <w:pPr>
        <w:spacing w:after="120" w:line="276"/>
        <w:jc w:val="both"/>
      </w:pPr>
      <w:r>
        <w:rPr>
          <w:rFonts w:ascii="Barlow Semi Condensed" w:cs="Barlow Semi Condensed" w:eastAsia="Barlow Semi Condensed" w:hAnsi="Barlow Semi Condensed"/>
          <w:sz w:val="24"/>
          <w:szCs w:val="24"/>
        </w:rPr>
        <w:t xml:space="preserve">Il Capitolo quarantanovesimo riprenderà l'elemento in sede di revisione della matrice. Si anticipa qui la ragione della sua rilevanza: il primo genere di ipotesi della Fase Seconda — movente dichiarato, esecuzione autonoma — deve spiegare questo elemento come atto di un terzo estraneo, il che è possibile ma costituisce una aggiunta al genere; mentre il secondo e il quarto genere lo assorbono senza aggiunte.</w:t>
      </w:r>
    </w:p>
    <w:p>
      <w:pPr>
        <w:spacing w:after="120" w:line="276"/>
        <w:jc w:val="both"/>
      </w:pPr>
      <w:r>
        <w:rPr>
          <w:rFonts w:ascii="Barlow Semi Condensed" w:cs="Barlow Semi Condensed" w:eastAsia="Barlow Semi Condensed" w:hAnsi="Barlow Semi Condensed"/>
          <w:sz w:val="24"/>
          <w:szCs w:val="24"/>
        </w:rPr>
        <w:t xml:space="preserve">Non si tratta di una prova a favore di alcuno dei generi. Si tratta di un elemento che ha costo diverso per generi diversi, e il costo è misurabile.</w:t>
      </w:r>
    </w:p>
    <w:p>
      <w:pPr>
        <w:pStyle w:val="Heading2"/>
        <w:spacing w:after="100" w:before="200"/>
      </w:pPr>
      <w:r>
        <w:rPr>
          <w:rFonts w:ascii="Barlow Semi Condensed" w:cs="Barlow Semi Condensed" w:eastAsia="Barlow Semi Condensed" w:hAnsi="Barlow Semi Condensed"/>
          <w:sz w:val="24"/>
          <w:szCs w:val="24"/>
        </w:rPr>
        <w:t xml:space="preserve">Capitolo quarantacinquesimo — L'esito nullo della ricerca eccezionale</w:t>
      </w:r>
    </w:p>
    <w:p>
      <w:pPr>
        <w:pStyle w:val="Heading2"/>
        <w:spacing w:after="100" w:before="200"/>
      </w:pPr>
      <w:r>
        <w:rPr>
          <w:rFonts w:ascii="Barlow Semi Condensed" w:cs="Barlow Semi Condensed" w:eastAsia="Barlow Semi Condensed" w:hAnsi="Barlow Semi Condensed"/>
          <w:sz w:val="24"/>
          <w:szCs w:val="24"/>
        </w:rPr>
        <w:t xml:space="preserve">Il fatto</w:t>
      </w:r>
    </w:p>
    <w:p>
      <w:pPr>
        <w:spacing w:after="120" w:line="276"/>
        <w:jc w:val="both"/>
      </w:pPr>
      <w:r>
        <w:rPr>
          <w:rFonts w:ascii="Barlow Semi Condensed" w:cs="Barlow Semi Condensed" w:eastAsia="Barlow Semi Condensed" w:hAnsi="Barlow Semi Condensed"/>
          <w:sz w:val="24"/>
          <w:szCs w:val="24"/>
        </w:rPr>
        <w:t xml:space="preserve">È accertato che per cinquantacinque giorni fu condotta una ricerca di dimensioni senza precedenti nella storia repubblicana, con impiego di risorse eccezionali, e che essa non produsse la localizzazione del prigioniero.</w:t>
      </w:r>
    </w:p>
    <w:p>
      <w:pPr>
        <w:pStyle w:val="Heading2"/>
        <w:spacing w:after="100" w:before="200"/>
      </w:pPr>
      <w:r>
        <w:rPr>
          <w:rFonts w:ascii="Barlow Semi Condensed" w:cs="Barlow Semi Condensed" w:eastAsia="Barlow Semi Condensed" w:hAnsi="Barlow Semi Condensed"/>
          <w:sz w:val="24"/>
          <w:szCs w:val="24"/>
        </w:rPr>
        <w:t xml:space="preserve">Il test e la sua difficoltà propria</w:t>
      </w:r>
    </w:p>
    <w:p>
      <w:pPr>
        <w:spacing w:after="120" w:line="276"/>
        <w:jc w:val="both"/>
      </w:pPr>
      <w:r>
        <w:rPr>
          <w:rFonts w:ascii="Barlow Semi Condensed" w:cs="Barlow Semi Condensed" w:eastAsia="Barlow Semi Condensed" w:hAnsi="Barlow Semi Condensed"/>
          <w:sz w:val="24"/>
          <w:szCs w:val="24"/>
        </w:rPr>
        <w:t xml:space="preserve">Questo elemento appartiene alla seconda tipologia — omissione di adeguatezza — ed è quello nel quale il pericolo del giudizio a posteriori è massimo.</w:t>
      </w:r>
    </w:p>
    <w:p>
      <w:pPr>
        <w:spacing w:after="120" w:line="276"/>
        <w:jc w:val="both"/>
      </w:pPr>
      <w:r>
        <w:rPr>
          <w:rFonts w:ascii="Barlow Semi Condensed" w:cs="Barlow Semi Condensed" w:eastAsia="Barlow Semi Condensed" w:hAnsi="Barlow Semi Condensed"/>
          <w:sz w:val="24"/>
          <w:szCs w:val="24"/>
        </w:rPr>
        <w:t xml:space="preserve">Primo tempo, il dovere. Sussisteva il dovere di ricercare, ed è documentato. Il dovere di trovare non sussiste e non può sussistere: nessun ordinamento impone un risultato che non dipende soltanto da chi deve conseguirlo.</w:t>
      </w:r>
    </w:p>
    <w:p>
      <w:pPr>
        <w:spacing w:after="120" w:line="276"/>
        <w:jc w:val="both"/>
      </w:pPr>
      <w:r>
        <w:rPr>
          <w:rFonts w:ascii="Barlow Semi Condensed" w:cs="Barlow Semi Condensed" w:eastAsia="Barlow Semi Condensed" w:hAnsi="Barlow Semi Condensed"/>
          <w:sz w:val="24"/>
          <w:szCs w:val="24"/>
        </w:rPr>
        <w:t xml:space="preserve">Secondo tempo, l'inadempimento. Qui occorre la massima cautela. Il mancato conseguimento del risultato non è, di per sé, inadempimento. Perché lo sia, occorre stabilire che le modalità impiegate fossero inidonee secondo criteri conoscibili all'epoca.</w:t>
      </w:r>
    </w:p>
    <w:p>
      <w:pPr>
        <w:spacing w:after="120" w:line="276"/>
        <w:jc w:val="both"/>
      </w:pPr>
      <w:r>
        <w:rPr>
          <w:rFonts w:ascii="Barlow Semi Condensed" w:cs="Barlow Semi Condensed" w:eastAsia="Barlow Semi Condensed" w:hAnsi="Barlow Semi Condensed"/>
          <w:sz w:val="24"/>
          <w:szCs w:val="24"/>
        </w:rPr>
        <w:t xml:space="preserve">Terzo tempo, la spiegabilità. Vi si perviene solo se il secondo è concluso positivamente.</w:t>
      </w:r>
    </w:p>
    <w:p>
      <w:pPr>
        <w:pStyle w:val="Heading2"/>
        <w:spacing w:after="100" w:before="200"/>
      </w:pPr>
      <w:r>
        <w:rPr>
          <w:rFonts w:ascii="Barlow Semi Condensed" w:cs="Barlow Semi Condensed" w:eastAsia="Barlow Semi Condensed" w:hAnsi="Barlow Semi Condensed"/>
          <w:sz w:val="24"/>
          <w:szCs w:val="24"/>
        </w:rPr>
        <w:t xml:space="preserve">Il problema del riferimento</w:t>
      </w:r>
    </w:p>
    <w:p>
      <w:pPr>
        <w:spacing w:after="120" w:line="276"/>
        <w:jc w:val="both"/>
      </w:pPr>
      <w:r>
        <w:rPr>
          <w:rFonts w:ascii="Barlow Semi Condensed" w:cs="Barlow Semi Condensed" w:eastAsia="Barlow Semi Condensed" w:hAnsi="Barlow Semi Condensed"/>
          <w:sz w:val="24"/>
          <w:szCs w:val="24"/>
        </w:rPr>
        <w:t xml:space="preserve">Il secondo tempo non si conclude, in questo caso, per una ragione che va esposta perché è istruttiva e vale oltre il caso.</w:t>
      </w:r>
    </w:p>
    <w:p>
      <w:pPr>
        <w:spacing w:after="120" w:line="276"/>
        <w:jc w:val="both"/>
      </w:pPr>
      <w:r>
        <w:rPr>
          <w:rFonts w:ascii="Barlow Semi Condensed" w:cs="Barlow Semi Condensed" w:eastAsia="Barlow Semi Condensed" w:hAnsi="Barlow Semi Condensed"/>
          <w:sz w:val="24"/>
          <w:szCs w:val="24"/>
        </w:rPr>
        <w:t xml:space="preserve">Per stabilire che una ricerca fu inadeguata occorre un termine di riferimento: quale esito avrebbe prodotto una ricerca adeguata nelle medesime condizioni. Tale termine non è disponibile, e non lo è per ragioni strutturali.</w:t>
      </w:r>
    </w:p>
    <w:p>
      <w:pPr>
        <w:spacing w:after="120" w:line="276"/>
        <w:jc w:val="both"/>
      </w:pPr>
      <w:r>
        <w:rPr>
          <w:rFonts w:ascii="Barlow Semi Condensed" w:cs="Barlow Semi Condensed" w:eastAsia="Barlow Semi Condensed" w:hAnsi="Barlow Semi Condensed"/>
          <w:sz w:val="24"/>
          <w:szCs w:val="24"/>
        </w:rPr>
        <w:t xml:space="preserve">La ricerca di una persona occultata in un appartamento di una città di milioni di abitanti, da parte di una organizzazione dotata di capacità di occultamento documentata, è impresa il cui tasso di riuscita non è noto perché i casi comparabili sono pochissimi. Non esiste, per questo genere di operazione, una base statistica che consenta di dire quale esito sia normale e quale anomalo.</w:t>
      </w:r>
    </w:p>
    <w:p>
      <w:pPr>
        <w:spacing w:after="120" w:line="276"/>
        <w:jc w:val="both"/>
      </w:pPr>
      <w:r>
        <w:rPr>
          <w:rFonts w:ascii="Barlow Semi Condensed" w:cs="Barlow Semi Condensed" w:eastAsia="Barlow Semi Condensed" w:hAnsi="Barlow Semi Condensed"/>
          <w:sz w:val="24"/>
          <w:szCs w:val="24"/>
        </w:rPr>
        <w:t xml:space="preserve">Ne segue che l'affermazione secondo cui la ricerca avrebbe dovuto riuscire non è verificabile. Essa poggia su una intuizione — con tante risorse impiegate, era impossibile non trovare — che è precisamente il tipo di intuizione che il metodo esiste per non accettare.</w:t>
      </w:r>
    </w:p>
    <w:p>
      <w:pPr>
        <w:pStyle w:val="Heading2"/>
        <w:spacing w:after="100" w:before="200"/>
      </w:pPr>
      <w:r>
        <w:rPr>
          <w:rFonts w:ascii="Barlow Semi Condensed" w:cs="Barlow Semi Condensed" w:eastAsia="Barlow Semi Condensed" w:hAnsi="Barlow Semi Condensed"/>
          <w:sz w:val="24"/>
          <w:szCs w:val="24"/>
        </w:rPr>
        <w:t xml:space="preserve">Che cosa si registra</w:t>
      </w:r>
    </w:p>
    <w:p>
      <w:pPr>
        <w:spacing w:after="120" w:line="276"/>
        <w:jc w:val="both"/>
      </w:pPr>
      <w:r>
        <w:rPr>
          <w:rFonts w:ascii="Barlow Semi Condensed" w:cs="Barlow Semi Condensed" w:eastAsia="Barlow Semi Condensed" w:hAnsi="Barlow Semi Condensed"/>
          <w:sz w:val="24"/>
          <w:szCs w:val="24"/>
        </w:rPr>
        <w:t xml:space="preserve">Si registra dunque: esito nullo accertato; dimensione eccezionale delle risorse accertata; inadeguatezza non accertata per difetto di termine di riferimento.</w:t>
      </w:r>
    </w:p>
    <w:p>
      <w:pPr>
        <w:spacing w:after="120" w:line="276"/>
        <w:jc w:val="both"/>
      </w:pPr>
      <w:r>
        <w:rPr>
          <w:rFonts w:ascii="Barlow Semi Condensed" w:cs="Barlow Semi Condensed" w:eastAsia="Barlow Semi Condensed" w:hAnsi="Barlow Semi Condensed"/>
          <w:sz w:val="24"/>
          <w:szCs w:val="24"/>
        </w:rPr>
        <w:t xml:space="preserve">Si registra altresì che tale difetto non è colmabile con l'argomentazione, ma soltanto con l'esame analitico degli atti: quali zone furono controllate, con quali modalità, secondo quali criteri di selezione, e se il criterio di selezione delle zone escluse fosse motivato.</w:t>
      </w:r>
    </w:p>
    <w:p>
      <w:pPr>
        <w:spacing w:after="120" w:line="276"/>
        <w:jc w:val="both"/>
      </w:pPr>
      <w:r>
        <w:rPr>
          <w:rFonts w:ascii="Barlow Semi Condensed" w:cs="Barlow Semi Condensed" w:eastAsia="Barlow Semi Condensed" w:hAnsi="Barlow Semi Condensed"/>
          <w:sz w:val="24"/>
          <w:szCs w:val="24"/>
        </w:rPr>
        <w:t xml:space="preserve">Questo esame non è stato condotto nella presente campagna, e la documentazione che lo consentirebbe non è stata acquisita. È iscritto in tavola come la prima delle voci di questa Fase, perché è quella dalla quale dipende la qualificazione dell'elemento di maggior peso apparente dell'intero caso.</w:t>
      </w:r>
    </w:p>
    <w:p>
      <w:pPr>
        <w:pStyle w:val="Heading2"/>
        <w:spacing w:after="100" w:before="200"/>
      </w:pPr>
      <w:r>
        <w:rPr>
          <w:rFonts w:ascii="Barlow Semi Condensed" w:cs="Barlow Semi Condensed" w:eastAsia="Barlow Semi Condensed" w:hAnsi="Barlow Semi Condensed"/>
          <w:sz w:val="24"/>
          <w:szCs w:val="24"/>
        </w:rPr>
        <w:t xml:space="preserve">Una osservazione sulla natura dell'esito nullo</w:t>
      </w:r>
    </w:p>
    <w:p>
      <w:pPr>
        <w:spacing w:after="120" w:line="276"/>
        <w:jc w:val="both"/>
      </w:pPr>
      <w:r>
        <w:rPr>
          <w:rFonts w:ascii="Barlow Semi Condensed" w:cs="Barlow Semi Condensed" w:eastAsia="Barlow Semi Condensed" w:hAnsi="Barlow Semi Condensed"/>
          <w:sz w:val="24"/>
          <w:szCs w:val="24"/>
        </w:rPr>
        <w:t xml:space="preserve">Va aggiunta una osservazione che appartiene alla disciplina degli Stati Zero.</w:t>
      </w:r>
    </w:p>
    <w:p>
      <w:pPr>
        <w:spacing w:after="120" w:line="276"/>
        <w:jc w:val="both"/>
      </w:pPr>
      <w:r>
        <w:rPr>
          <w:rFonts w:ascii="Barlow Semi Condensed" w:cs="Barlow Semi Condensed" w:eastAsia="Barlow Semi Condensed" w:hAnsi="Barlow Semi Condensed"/>
          <w:sz w:val="24"/>
          <w:szCs w:val="24"/>
        </w:rPr>
        <w:t xml:space="preserve">L'esito nullo di questa ricerca è, come tutti gli esiti nulli, una acquisizione di pieno valore. Ma il suo valore è quello di un dato che chiede spiegazione, non quello di una spiegazione. Esso è compatibile con tutte e tre le ipotesi — inefficienza, ostacolo, simulazione — e non discrimina fra esse.</w:t>
      </w:r>
    </w:p>
    <w:p>
      <w:pPr>
        <w:spacing w:after="120" w:line="276"/>
        <w:jc w:val="both"/>
      </w:pPr>
      <w:r>
        <w:rPr>
          <w:rFonts w:ascii="Barlow Semi Condensed" w:cs="Barlow Semi Condensed" w:eastAsia="Barlow Semi Condensed" w:hAnsi="Barlow Semi Condensed"/>
          <w:sz w:val="24"/>
          <w:szCs w:val="24"/>
        </w:rPr>
        <w:t xml:space="preserve">Chi lo impieghi come se discriminasse compie l'operazione che il Capitolo diciottesimo ha descritta a proposito dello scarto: colma una lacuna esplicativa con un soggetto, e attribuisce alla lacuna la selezione del soggetto che invece proviene da altrove.</w:t>
      </w:r>
    </w:p>
    <w:p>
      <w:pPr>
        <w:pStyle w:val="Heading2"/>
        <w:spacing w:after="100" w:before="200"/>
      </w:pPr>
      <w:r>
        <w:rPr>
          <w:rFonts w:ascii="Barlow Semi Condensed" w:cs="Barlow Semi Condensed" w:eastAsia="Barlow Semi Condensed" w:hAnsi="Barlow Semi Condensed"/>
          <w:sz w:val="24"/>
          <w:szCs w:val="24"/>
        </w:rPr>
        <w:t xml:space="preserve">Capitolo quarantaseiesimo — L'incompletezza del rinvenimento documentale</w:t>
      </w:r>
    </w:p>
    <w:p>
      <w:pPr>
        <w:pStyle w:val="Heading2"/>
        <w:spacing w:after="100" w:before="200"/>
      </w:pPr>
      <w:r>
        <w:rPr>
          <w:rFonts w:ascii="Barlow Semi Condensed" w:cs="Barlow Semi Condensed" w:eastAsia="Barlow Semi Condensed" w:hAnsi="Barlow Semi Condensed"/>
          <w:sz w:val="24"/>
          <w:szCs w:val="24"/>
        </w:rPr>
        <w:t xml:space="preserve">Il fatto e il marcatore</w:t>
      </w:r>
    </w:p>
    <w:p>
      <w:pPr>
        <w:spacing w:after="120" w:line="276"/>
        <w:jc w:val="both"/>
      </w:pPr>
      <w:r>
        <w:rPr>
          <w:rFonts w:ascii="Barlow Semi Condensed" w:cs="Barlow Semi Condensed" w:eastAsia="Barlow Semi Condensed" w:hAnsi="Barlow Semi Condensed"/>
          <w:sz w:val="24"/>
          <w:szCs w:val="24"/>
        </w:rPr>
        <w:t xml:space="preserve">È accertato che il rinvenimento documentale effettuato a Milano nell'ottobre 1978 non fu esaustivo, essendo stato effettuato nel medesimo immobile, dodici anni dopo, un secondo rinvenimento di documenti collocati in una intercapedine.</w:t>
      </w:r>
    </w:p>
    <w:p>
      <w:pPr>
        <w:spacing w:after="120" w:line="276"/>
        <w:jc w:val="both"/>
      </w:pPr>
      <w:r>
        <w:rPr>
          <w:rFonts w:ascii="Barlow Semi Condensed" w:cs="Barlow Semi Condensed" w:eastAsia="Barlow Semi Condensed" w:hAnsi="Barlow Semi Condensed"/>
          <w:sz w:val="24"/>
          <w:szCs w:val="24"/>
        </w:rPr>
        <w:t xml:space="preserve">Il marcatore di spoliazione, apposto nella Fase Terza e confermato nella Fase Quarta, è qui esaminato nella sua sede propria.</w:t>
      </w:r>
    </w:p>
    <w:p>
      <w:pPr>
        <w:pStyle w:val="Heading2"/>
        <w:spacing w:after="100" w:before="200"/>
      </w:pPr>
      <w:r>
        <w:rPr>
          <w:rFonts w:ascii="Barlow Semi Condensed" w:cs="Barlow Semi Condensed" w:eastAsia="Barlow Semi Condensed" w:hAnsi="Barlow Semi Condensed"/>
          <w:sz w:val="24"/>
          <w:szCs w:val="24"/>
        </w:rPr>
        <w:t xml:space="preserve">Il test</w:t>
      </w:r>
    </w:p>
    <w:p>
      <w:pPr>
        <w:spacing w:after="120" w:line="276"/>
        <w:jc w:val="both"/>
      </w:pPr>
      <w:r>
        <w:rPr>
          <w:rFonts w:ascii="Barlow Semi Condensed" w:cs="Barlow Semi Condensed" w:eastAsia="Barlow Semi Condensed" w:hAnsi="Barlow Semi Condensed"/>
          <w:sz w:val="24"/>
          <w:szCs w:val="24"/>
        </w:rPr>
        <w:t xml:space="preserve">Primo tempo, il dovere. Sussisteva il dovere di procedere a perquisizione completa dei luoghi. La fonte del dovere è normativa e non richiede accertamento specifico.</w:t>
      </w:r>
    </w:p>
    <w:p>
      <w:pPr>
        <w:spacing w:after="120" w:line="276"/>
        <w:jc w:val="both"/>
      </w:pPr>
      <w:r>
        <w:rPr>
          <w:rFonts w:ascii="Barlow Semi Condensed" w:cs="Barlow Semi Condensed" w:eastAsia="Barlow Semi Condensed" w:hAnsi="Barlow Semi Condensed"/>
          <w:sz w:val="24"/>
          <w:szCs w:val="24"/>
        </w:rPr>
        <w:t xml:space="preserve">Secondo tempo, l'inadempimento. È accertato in modo incontrovertibile: materiale rilevante era nel luogo e non fu acquisito. A differenza del Capitolo precedente, qui non vi è problema di termine di riferimento, perché non si tratta di valutare se una ricerca avrebbe dovuto riuscire: si tratta di constatare che ciò che era nel luogo perquisito non fu rinvenuto. L'inadempimento è accertato.</w:t>
      </w:r>
    </w:p>
    <w:p>
      <w:pPr>
        <w:spacing w:after="120" w:line="276"/>
        <w:jc w:val="both"/>
      </w:pPr>
      <w:r>
        <w:rPr>
          <w:rFonts w:ascii="Barlow Semi Condensed" w:cs="Barlow Semi Condensed" w:eastAsia="Barlow Semi Condensed" w:hAnsi="Barlow Semi Condensed"/>
          <w:sz w:val="24"/>
          <w:szCs w:val="24"/>
        </w:rPr>
        <w:t xml:space="preserve">Terzo tempo, la spiegabilità. Tre spiegazioni sono aperte, già enunciate nella Fase Quarta: limite tecnico degli strumenti impiegati; limite di conduzione, per criteri che non prevedevano l'esame delle strutture murarie; condotta deliberata, con rilievo del materiale e mancata acquisizione.</w:t>
      </w:r>
    </w:p>
    <w:p>
      <w:pPr>
        <w:pStyle w:val="Heading2"/>
        <w:spacing w:after="100" w:before="200"/>
      </w:pPr>
      <w:r>
        <w:rPr>
          <w:rFonts w:ascii="Barlow Semi Condensed" w:cs="Barlow Semi Condensed" w:eastAsia="Barlow Semi Condensed" w:hAnsi="Barlow Semi Condensed"/>
          <w:sz w:val="24"/>
          <w:szCs w:val="24"/>
        </w:rPr>
        <w:t xml:space="preserve">La discriminazione fra le tre spiegazioni</w:t>
      </w:r>
    </w:p>
    <w:p>
      <w:pPr>
        <w:spacing w:after="120" w:line="276"/>
        <w:jc w:val="both"/>
      </w:pPr>
      <w:r>
        <w:rPr>
          <w:rFonts w:ascii="Barlow Semi Condensed" w:cs="Barlow Semi Condensed" w:eastAsia="Barlow Semi Condensed" w:hAnsi="Barlow Semi Condensed"/>
          <w:sz w:val="24"/>
          <w:szCs w:val="24"/>
        </w:rPr>
        <w:t xml:space="preserve">A differenza degli altri elementi di questa Fase, qui la discriminazione è possibile in linea di principio, e conviene indicare come.</w:t>
      </w:r>
    </w:p>
    <w:p>
      <w:pPr>
        <w:spacing w:after="120" w:line="276"/>
        <w:jc w:val="both"/>
      </w:pPr>
      <w:r>
        <w:rPr>
          <w:rFonts w:ascii="Barlow Semi Condensed" w:cs="Barlow Semi Condensed" w:eastAsia="Barlow Semi Condensed" w:hAnsi="Barlow Semi Condensed"/>
          <w:sz w:val="24"/>
          <w:szCs w:val="24"/>
        </w:rPr>
        <w:t xml:space="preserve">Le prime due spiegazioni predicono che la documentazione della prima operazione non contenga menzione di esame delle strutture murarie, e che gli strumenti impiegati non fossero idonei a rilevare intercapedini.</w:t>
      </w:r>
    </w:p>
    <w:p>
      <w:pPr>
        <w:spacing w:after="120" w:line="276"/>
        <w:jc w:val="both"/>
      </w:pPr>
      <w:r>
        <w:rPr>
          <w:rFonts w:ascii="Barlow Semi Condensed" w:cs="Barlow Semi Condensed" w:eastAsia="Barlow Semi Condensed" w:hAnsi="Barlow Semi Condensed"/>
          <w:sz w:val="24"/>
          <w:szCs w:val="24"/>
        </w:rPr>
        <w:t xml:space="preserve">La terza spiegazione predice che l'esame vi fu, o che gli strumenti fossero idonei, e che ciò nondimeno il materiale non fu acquisito.</w:t>
      </w:r>
    </w:p>
    <w:p>
      <w:pPr>
        <w:spacing w:after="120" w:line="276"/>
        <w:jc w:val="both"/>
      </w:pPr>
      <w:r>
        <w:rPr>
          <w:rFonts w:ascii="Barlow Semi Condensed" w:cs="Barlow Semi Condensed" w:eastAsia="Barlow Semi Condensed" w:hAnsi="Barlow Semi Condensed"/>
          <w:sz w:val="24"/>
          <w:szCs w:val="24"/>
        </w:rPr>
        <w:t xml:space="preserve">Le due predizioni sono incompatibili e sono verificabili sui medesimi atti: i verbali della prima operazione, la descrizione delle modalità, l'elenco degli strumenti impiegati.</w:t>
      </w:r>
    </w:p>
    <w:p>
      <w:pPr>
        <w:spacing w:after="120" w:line="276"/>
        <w:jc w:val="both"/>
      </w:pPr>
      <w:r>
        <w:rPr>
          <w:rFonts w:ascii="Barlow Semi Condensed" w:cs="Barlow Semi Condensed" w:eastAsia="Barlow Semi Condensed" w:hAnsi="Barlow Semi Condensed"/>
          <w:sz w:val="24"/>
          <w:szCs w:val="24"/>
        </w:rPr>
        <w:t xml:space="preserve">Questo è, allo stato, il punto dell'intera Fase nel quale una acquisizione documentale determinata produrrebbe uno scioglimento determinato. Si segnala come tale, perché la pressione indica dove il lavoro rende, e qui rende più che altrove.</w:t>
      </w:r>
    </w:p>
    <w:p>
      <w:pPr>
        <w:pStyle w:val="Heading2"/>
        <w:spacing w:after="100" w:before="200"/>
      </w:pPr>
      <w:r>
        <w:rPr>
          <w:rFonts w:ascii="Barlow Semi Condensed" w:cs="Barlow Semi Condensed" w:eastAsia="Barlow Semi Condensed" w:hAnsi="Barlow Semi Condensed"/>
          <w:sz w:val="24"/>
          <w:szCs w:val="24"/>
        </w:rPr>
        <w:t xml:space="preserve">Ciò che il marcatore comporta comunque</w:t>
      </w:r>
    </w:p>
    <w:p>
      <w:pPr>
        <w:spacing w:after="120" w:line="276"/>
        <w:jc w:val="both"/>
      </w:pPr>
      <w:r>
        <w:rPr>
          <w:rFonts w:ascii="Barlow Semi Condensed" w:cs="Barlow Semi Condensed" w:eastAsia="Barlow Semi Condensed" w:hAnsi="Barlow Semi Condensed"/>
          <w:sz w:val="24"/>
          <w:szCs w:val="24"/>
        </w:rPr>
        <w:t xml:space="preserve">Indipendentemente da quale delle tre spiegazioni risulti fondata, il marcatore comporta una conseguenza già enunciata nella Fase Quarta e qui confermata: la completezza del corpus documentale complessivamente disponibile su questa vicenda non può essere presunta.</w:t>
      </w:r>
    </w:p>
    <w:p>
      <w:pPr>
        <w:spacing w:after="120" w:line="276"/>
        <w:jc w:val="both"/>
      </w:pPr>
      <w:r>
        <w:rPr>
          <w:rFonts w:ascii="Barlow Semi Condensed" w:cs="Barlow Semi Condensed" w:eastAsia="Barlow Semi Condensed" w:hAnsi="Barlow Semi Condensed"/>
          <w:sz w:val="24"/>
          <w:szCs w:val="24"/>
        </w:rPr>
        <w:t xml:space="preserve">La conseguenza è generale e permanente. Essa non dipende dalla causa dell'incompletezza accertata, ma dalla sua esistenza: se una operazione si è rivelata incompleta, la presunzione di completezza cade per l'insieme, non perché sia probabile che altre lo siano, ma perché la presunzione era fondata su una fiducia che un caso accertato ha smentito.</w:t>
      </w:r>
    </w:p>
    <w:p>
      <w:pPr>
        <w:pStyle w:val="Heading2"/>
        <w:spacing w:after="100" w:before="200"/>
      </w:pPr>
      <w:r>
        <w:rPr>
          <w:rFonts w:ascii="Barlow Semi Condensed" w:cs="Barlow Semi Condensed" w:eastAsia="Barlow Semi Condensed" w:hAnsi="Barlow Semi Condensed"/>
          <w:sz w:val="24"/>
          <w:szCs w:val="24"/>
        </w:rPr>
        <w:t xml:space="preserve">Il rilievo comparativo</w:t>
      </w:r>
    </w:p>
    <w:p>
      <w:pPr>
        <w:spacing w:after="120" w:line="276"/>
        <w:jc w:val="both"/>
      </w:pPr>
      <w:r>
        <w:rPr>
          <w:rFonts w:ascii="Barlow Semi Condensed" w:cs="Barlow Semi Condensed" w:eastAsia="Barlow Semi Condensed" w:hAnsi="Barlow Semi Condensed"/>
          <w:sz w:val="24"/>
          <w:szCs w:val="24"/>
        </w:rPr>
        <w:t xml:space="preserve">Si osservi la differenza fra questo elemento e quello del Capitolo precedente, perché essa illustra il funzionamento del test.</w:t>
      </w:r>
    </w:p>
    <w:p>
      <w:pPr>
        <w:spacing w:after="120" w:line="276"/>
        <w:jc w:val="both"/>
      </w:pPr>
      <w:r>
        <w:rPr>
          <w:rFonts w:ascii="Barlow Semi Condensed" w:cs="Barlow Semi Condensed" w:eastAsia="Barlow Semi Condensed" w:hAnsi="Barlow Semi Condensed"/>
          <w:sz w:val="24"/>
          <w:szCs w:val="24"/>
        </w:rPr>
        <w:t xml:space="preserve">L'esito nullo della ricerca eccezionale ha grande peso apparente e non supera il secondo tempo, per difetto di termine di riferimento.</w:t>
      </w:r>
    </w:p>
    <w:p>
      <w:pPr>
        <w:spacing w:after="120" w:line="276"/>
        <w:jc w:val="both"/>
      </w:pPr>
      <w:r>
        <w:rPr>
          <w:rFonts w:ascii="Barlow Semi Condensed" w:cs="Barlow Semi Condensed" w:eastAsia="Barlow Semi Condensed" w:hAnsi="Barlow Semi Condensed"/>
          <w:sz w:val="24"/>
          <w:szCs w:val="24"/>
        </w:rPr>
        <w:t xml:space="preserve">L'incompletezza del rinvenimento ha peso apparente minore e supera il secondo tempo senza difficoltà, perché non richiede alcuna valutazione di adeguatezza: richiede una constatazione.</w:t>
      </w:r>
    </w:p>
    <w:p>
      <w:pPr>
        <w:spacing w:after="120" w:line="276"/>
        <w:jc w:val="both"/>
      </w:pPr>
      <w:r>
        <w:rPr>
          <w:rFonts w:ascii="Barlow Semi Condensed" w:cs="Barlow Semi Condensed" w:eastAsia="Barlow Semi Condensed" w:hAnsi="Barlow Semi Condensed"/>
          <w:sz w:val="24"/>
          <w:szCs w:val="24"/>
        </w:rPr>
        <w:t xml:space="preserve">Il peso apparente e il rendimento probatorio non coincidono. È una delle ragioni per le quali il metodo esiste.</w:t>
      </w:r>
    </w:p>
    <w:p>
      <w:pPr>
        <w:pStyle w:val="Heading2"/>
        <w:spacing w:after="100" w:before="200"/>
      </w:pPr>
      <w:r>
        <w:rPr>
          <w:rFonts w:ascii="Barlow Semi Condensed" w:cs="Barlow Semi Condensed" w:eastAsia="Barlow Semi Condensed" w:hAnsi="Barlow Semi Condensed"/>
          <w:sz w:val="24"/>
          <w:szCs w:val="24"/>
        </w:rPr>
        <w:t xml:space="preserve">Capitolo quarantasettesimo — Il problema della soglia</w:t>
      </w:r>
    </w:p>
    <w:p>
      <w:pPr>
        <w:spacing w:after="120" w:line="276"/>
        <w:jc w:val="both"/>
      </w:pPr>
      <w:r>
        <w:rPr>
          <w:rFonts w:ascii="Barlow Semi Condensed" w:cs="Barlow Semi Condensed" w:eastAsia="Barlow Semi Condensed" w:hAnsi="Barlow Semi Condensed"/>
          <w:sz w:val="24"/>
          <w:szCs w:val="24"/>
        </w:rPr>
        <w:t xml:space="preserve">Si affronta qui il problema centrale del terzo tempo del test, e il più difficile dell'intera opera: quando l'accumulo di inadempimenti cessi di essere spiegabile con l'errore.</w:t>
      </w:r>
    </w:p>
    <w:p>
      <w:pPr>
        <w:pStyle w:val="Heading2"/>
        <w:spacing w:after="100" w:before="200"/>
      </w:pPr>
      <w:r>
        <w:rPr>
          <w:rFonts w:ascii="Barlow Semi Condensed" w:cs="Barlow Semi Condensed" w:eastAsia="Barlow Semi Condensed" w:hAnsi="Barlow Semi Condensed"/>
          <w:sz w:val="24"/>
          <w:szCs w:val="24"/>
        </w:rPr>
        <w:t xml:space="preserve">L'argomento e la sua forza</w:t>
      </w:r>
    </w:p>
    <w:p>
      <w:pPr>
        <w:spacing w:after="120" w:line="276"/>
        <w:jc w:val="both"/>
      </w:pPr>
      <w:r>
        <w:rPr>
          <w:rFonts w:ascii="Barlow Semi Condensed" w:cs="Barlow Semi Condensed" w:eastAsia="Barlow Semi Condensed" w:hAnsi="Barlow Semi Condensed"/>
          <w:sz w:val="24"/>
          <w:szCs w:val="24"/>
        </w:rPr>
        <w:t xml:space="preserve">L'argomento è noto e ha una forza intuitiva considerevole. Un errore è un errore. Due errori sono due errori. Ma dieci errori, tutti nella medesima direzione, tutti favorevoli al medesimo esito, non sono più dieci errori: sono un disegno.</w:t>
      </w:r>
    </w:p>
    <w:p>
      <w:pPr>
        <w:spacing w:after="120" w:line="276"/>
        <w:jc w:val="both"/>
      </w:pPr>
      <w:r>
        <w:rPr>
          <w:rFonts w:ascii="Barlow Semi Condensed" w:cs="Barlow Semi Condensed" w:eastAsia="Barlow Semi Condensed" w:hAnsi="Barlow Semi Condensed"/>
          <w:sz w:val="24"/>
          <w:szCs w:val="24"/>
        </w:rPr>
        <w:t xml:space="preserve">L'argomento è impiegato costantemente nella letteratura su questa materia, ed è impiegato anche fuori di essa, nella vita corrente e nei tribunali. Esso non è assurdo. La domanda è se sia valido, e a quali condizioni.</w:t>
      </w:r>
    </w:p>
    <w:p>
      <w:pPr>
        <w:pStyle w:val="Heading2"/>
        <w:spacing w:after="100" w:before="200"/>
      </w:pPr>
      <w:r>
        <w:rPr>
          <w:rFonts w:ascii="Barlow Semi Condensed" w:cs="Barlow Semi Condensed" w:eastAsia="Barlow Semi Condensed" w:hAnsi="Barlow Semi Condensed"/>
          <w:sz w:val="24"/>
          <w:szCs w:val="24"/>
        </w:rPr>
        <w:t xml:space="preserve">Le tre condizioni di validità</w:t>
      </w:r>
    </w:p>
    <w:p>
      <w:pPr>
        <w:spacing w:after="120" w:line="276"/>
        <w:jc w:val="both"/>
      </w:pPr>
      <w:r>
        <w:rPr>
          <w:rFonts w:ascii="Barlow Semi Condensed" w:cs="Barlow Semi Condensed" w:eastAsia="Barlow Semi Condensed" w:hAnsi="Barlow Semi Condensed"/>
          <w:sz w:val="24"/>
          <w:szCs w:val="24"/>
        </w:rPr>
        <w:t xml:space="preserve">L'argomento è valido se e solo se tre condizioni sono soddisfatte simultaneamente. Esse sono raramente verificate, e quasi mai dichiarate.</w:t>
      </w:r>
    </w:p>
    <w:p>
      <w:pPr>
        <w:spacing w:after="120" w:line="276"/>
        <w:jc w:val="both"/>
      </w:pPr>
      <w:r>
        <w:rPr>
          <w:rFonts w:ascii="Barlow Semi Condensed" w:cs="Barlow Semi Condensed" w:eastAsia="Barlow Semi Condensed" w:hAnsi="Barlow Semi Condensed"/>
          <w:sz w:val="24"/>
          <w:szCs w:val="24"/>
        </w:rPr>
        <w:t xml:space="preserve">Prima condizione: la base. Occorre conoscere il tasso ordinario di errore in operazioni comparabili. Dire che dieci errori sono troppi presuppone di sapere quanti ne siano normali. Se il tasso ordinario è ignoto, l'affermazione che dieci siano troppi non è una misura: è una impressione.</w:t>
      </w:r>
    </w:p>
    <w:p>
      <w:pPr>
        <w:spacing w:after="120" w:line="276"/>
        <w:jc w:val="both"/>
      </w:pPr>
      <w:r>
        <w:rPr>
          <w:rFonts w:ascii="Barlow Semi Condensed" w:cs="Barlow Semi Condensed" w:eastAsia="Barlow Semi Condensed" w:hAnsi="Barlow Semi Condensed"/>
          <w:sz w:val="24"/>
          <w:szCs w:val="24"/>
        </w:rPr>
        <w:t xml:space="preserve">Seconda condizione: l'indipendenza. Occorre che gli errori siano indipendenti fra loro. Se un errore iniziale ne produce altri per conseguenza — una informazione mal valutata che indirizza tutte le verifiche successive — allora dieci errori conseguenti non sono dieci eventi, ma uno solo con nove ripercussioni. La moltiplicazione apparente è un artefatto del conteggio.</w:t>
      </w:r>
    </w:p>
    <w:p>
      <w:pPr>
        <w:spacing w:after="120" w:line="276"/>
        <w:jc w:val="both"/>
      </w:pPr>
      <w:r>
        <w:rPr>
          <w:rFonts w:ascii="Barlow Semi Condensed" w:cs="Barlow Semi Condensed" w:eastAsia="Barlow Semi Condensed" w:hAnsi="Barlow Semi Condensed"/>
          <w:sz w:val="24"/>
          <w:szCs w:val="24"/>
        </w:rPr>
        <w:t xml:space="preserve">Terza condizione: l'assenza di selezione a posteriori. Ed è la condizione più frequentemente violata, e la più insidiosa.</w:t>
      </w:r>
    </w:p>
    <w:p>
      <w:pPr>
        <w:pStyle w:val="Heading2"/>
        <w:spacing w:after="100" w:before="200"/>
      </w:pPr>
      <w:r>
        <w:rPr>
          <w:rFonts w:ascii="Barlow Semi Condensed" w:cs="Barlow Semi Condensed" w:eastAsia="Barlow Semi Condensed" w:hAnsi="Barlow Semi Condensed"/>
          <w:sz w:val="24"/>
          <w:szCs w:val="24"/>
        </w:rPr>
        <w:t xml:space="preserve">La selezione a posteriori</w:t>
      </w:r>
    </w:p>
    <w:p>
      <w:pPr>
        <w:spacing w:after="120" w:line="276"/>
        <w:jc w:val="both"/>
      </w:pPr>
      <w:r>
        <w:rPr>
          <w:rFonts w:ascii="Barlow Semi Condensed" w:cs="Barlow Semi Condensed" w:eastAsia="Barlow Semi Condensed" w:hAnsi="Barlow Semi Condensed"/>
          <w:sz w:val="24"/>
          <w:szCs w:val="24"/>
        </w:rPr>
        <w:t xml:space="preserve">Occorre svolgere la terza condizione, perché è quella che rovina la maggior parte degli argomenti di questo tipo.</w:t>
      </w:r>
    </w:p>
    <w:p>
      <w:pPr>
        <w:spacing w:after="120" w:line="276"/>
        <w:jc w:val="both"/>
      </w:pPr>
      <w:r>
        <w:rPr>
          <w:rFonts w:ascii="Barlow Semi Condensed" w:cs="Barlow Semi Condensed" w:eastAsia="Barlow Semi Condensed" w:hAnsi="Barlow Semi Condensed"/>
          <w:sz w:val="24"/>
          <w:szCs w:val="24"/>
        </w:rPr>
        <w:t xml:space="preserve">In ogni operazione complessa si commettono numerosissimi errori. La maggior parte di essi non ha conseguenze, e nessuno li nota. Quando l'operazione fallisce, si ripercorre a ritroso il cammino e si isolano gli errori che, con il senno di poi, risultano avere contribuito al fallimento.</w:t>
      </w:r>
    </w:p>
    <w:p>
      <w:pPr>
        <w:spacing w:after="120" w:line="276"/>
        <w:jc w:val="both"/>
      </w:pPr>
      <w:r>
        <w:rPr>
          <w:rFonts w:ascii="Barlow Semi Condensed" w:cs="Barlow Semi Condensed" w:eastAsia="Barlow Semi Condensed" w:hAnsi="Barlow Semi Condensed"/>
          <w:sz w:val="24"/>
          <w:szCs w:val="24"/>
        </w:rPr>
        <w:t xml:space="preserve">Ma questa selezione è operata dall'esito. Non si sta contando quanti errori furono commessi: si sta contando quanti, fra quelli commessi, si rivelarono decisivi. E quella cifra è alta per costruzione, in ogni operazione fallita, indipendentemente dal fatto che vi fosse o meno un disegno.</w:t>
      </w:r>
    </w:p>
    <w:p>
      <w:pPr>
        <w:spacing w:after="120" w:line="276"/>
        <w:jc w:val="both"/>
      </w:pPr>
      <w:r>
        <w:rPr>
          <w:rFonts w:ascii="Barlow Semi Condensed" w:cs="Barlow Semi Condensed" w:eastAsia="Barlow Semi Condensed" w:hAnsi="Barlow Semi Condensed"/>
          <w:sz w:val="24"/>
          <w:szCs w:val="24"/>
        </w:rPr>
        <w:t xml:space="preserve">Ne segue che la constatazione troppi errori nella medesima direzione, quando la direzione è definita dall'esito, non ha valore probatorio alcuno. Essa descrive la struttura del nostro sguardo retrospettivo, non la struttura degli eventi.</w:t>
      </w:r>
    </w:p>
    <w:p>
      <w:pPr>
        <w:spacing w:after="120" w:line="276"/>
        <w:jc w:val="both"/>
      </w:pPr>
      <w:r>
        <w:rPr>
          <w:rFonts w:ascii="Barlow Semi Condensed" w:cs="Barlow Semi Condensed" w:eastAsia="Barlow Semi Condensed" w:hAnsi="Barlow Semi Condensed"/>
          <w:sz w:val="24"/>
          <w:szCs w:val="24"/>
        </w:rPr>
        <w:t xml:space="preserve">Questo è il punto sul quale la letteratura su questa materia sbaglia con maggiore frequenza, ed è un errore che si commette in perfetta buona fede, perché l'operazione mentale che lo produce è invisibile a chi la compie.</w:t>
      </w:r>
    </w:p>
    <w:p>
      <w:pPr>
        <w:pStyle w:val="Heading2"/>
        <w:spacing w:after="100" w:before="200"/>
      </w:pPr>
      <w:r>
        <w:rPr>
          <w:rFonts w:ascii="Barlow Semi Condensed" w:cs="Barlow Semi Condensed" w:eastAsia="Barlow Semi Condensed" w:hAnsi="Barlow Semi Condensed"/>
          <w:sz w:val="24"/>
          <w:szCs w:val="24"/>
        </w:rPr>
        <w:t xml:space="preserve">Che cosa dunque validerebbe l'argomento</w:t>
      </w:r>
    </w:p>
    <w:p>
      <w:pPr>
        <w:spacing w:after="120" w:line="276"/>
        <w:jc w:val="both"/>
      </w:pPr>
      <w:r>
        <w:rPr>
          <w:rFonts w:ascii="Barlow Semi Condensed" w:cs="Barlow Semi Condensed" w:eastAsia="Barlow Semi Condensed" w:hAnsi="Barlow Semi Condensed"/>
          <w:sz w:val="24"/>
          <w:szCs w:val="24"/>
        </w:rPr>
        <w:t xml:space="preserve">L'argomento sarebbe valido se si potesse mostrare che gli inadempimenti sono anomali rispetto a un termine di riferimento indipendente dall'esito.</w:t>
      </w:r>
    </w:p>
    <w:p>
      <w:pPr>
        <w:spacing w:after="120" w:line="276"/>
        <w:jc w:val="both"/>
      </w:pPr>
      <w:r>
        <w:rPr>
          <w:rFonts w:ascii="Barlow Semi Condensed" w:cs="Barlow Semi Condensed" w:eastAsia="Barlow Semi Condensed" w:hAnsi="Barlow Semi Condensed"/>
          <w:sz w:val="24"/>
          <w:szCs w:val="24"/>
        </w:rPr>
        <w:t xml:space="preserve">Due vie sono concepibili.</w:t>
      </w:r>
    </w:p>
    <w:p>
      <w:pPr>
        <w:spacing w:after="120" w:line="276"/>
        <w:jc w:val="both"/>
      </w:pPr>
      <w:r>
        <w:rPr>
          <w:rFonts w:ascii="Barlow Semi Condensed" w:cs="Barlow Semi Condensed" w:eastAsia="Barlow Semi Condensed" w:hAnsi="Barlow Semi Condensed"/>
          <w:sz w:val="24"/>
          <w:szCs w:val="24"/>
        </w:rPr>
        <w:t xml:space="preserve">Prima via: la comparazione con operazioni analoghe condotte dai medesimi uffici nel medesimo periodo e con esito diverso. Se in operazioni comparabili gli uffici non commisero quegli inadempimenti, la loro concentrazione in questa diventa anomala rispetto a un riferimento indipendente.</w:t>
      </w:r>
    </w:p>
    <w:p>
      <w:pPr>
        <w:spacing w:after="120" w:line="276"/>
        <w:jc w:val="both"/>
      </w:pPr>
      <w:r>
        <w:rPr>
          <w:rFonts w:ascii="Barlow Semi Condensed" w:cs="Barlow Semi Condensed" w:eastAsia="Barlow Semi Condensed" w:hAnsi="Barlow Semi Condensed"/>
          <w:sz w:val="24"/>
          <w:szCs w:val="24"/>
        </w:rPr>
        <w:t xml:space="preserve">Seconda via: la comparazione interna. Se all'interno della medesima operazione taluni adempimenti furono compiuti con diligenza e altri no, e la ripartizione non è spiegabile con la difficoltà differenziale, la disomogeneità è essa stessa un dato.</w:t>
      </w:r>
    </w:p>
    <w:p>
      <w:pPr>
        <w:spacing w:after="120" w:line="276"/>
        <w:jc w:val="both"/>
      </w:pPr>
      <w:r>
        <w:rPr>
          <w:rFonts w:ascii="Barlow Semi Condensed" w:cs="Barlow Semi Condensed" w:eastAsia="Barlow Semi Condensed" w:hAnsi="Barlow Semi Condensed"/>
          <w:sz w:val="24"/>
          <w:szCs w:val="24"/>
        </w:rPr>
        <w:t xml:space="preserve">Entrambe le vie richiedono documentazione che non è stata acquisita nella presente campagna. Sono iscritte in tavola.</w:t>
      </w:r>
    </w:p>
    <w:p>
      <w:pPr>
        <w:pStyle w:val="Heading2"/>
        <w:spacing w:after="100" w:before="200"/>
      </w:pPr>
      <w:r>
        <w:rPr>
          <w:rFonts w:ascii="Barlow Semi Condensed" w:cs="Barlow Semi Condensed" w:eastAsia="Barlow Semi Condensed" w:hAnsi="Barlow Semi Condensed"/>
          <w:sz w:val="24"/>
          <w:szCs w:val="24"/>
        </w:rPr>
        <w:t xml:space="preserve">La disposizione che ne discende</w:t>
      </w:r>
    </w:p>
    <w:p>
      <w:pPr>
        <w:spacing w:after="120" w:line="276"/>
        <w:jc w:val="both"/>
      </w:pPr>
      <w:r>
        <w:rPr>
          <w:rFonts w:ascii="Barlow Semi Condensed" w:cs="Barlow Semi Condensed" w:eastAsia="Barlow Semi Condensed" w:hAnsi="Barlow Semi Condensed"/>
          <w:sz w:val="24"/>
          <w:szCs w:val="24"/>
        </w:rPr>
        <w:t xml:space="preserve">Fino a che una di tali comparazioni non sia condotta, quest'opera non impiega l'argomento dell'accumulo.</w:t>
      </w:r>
    </w:p>
    <w:p>
      <w:pPr>
        <w:spacing w:after="120" w:line="276"/>
        <w:jc w:val="both"/>
      </w:pPr>
      <w:r>
        <w:rPr>
          <w:rFonts w:ascii="Barlow Semi Condensed" w:cs="Barlow Semi Condensed" w:eastAsia="Barlow Semi Condensed" w:hAnsi="Barlow Semi Condensed"/>
          <w:sz w:val="24"/>
          <w:szCs w:val="24"/>
        </w:rPr>
        <w:t xml:space="preserve">La disposizione è severa e ha un costo, che si dichiara: essa priva l'opera dell'argomento più efficace e più suggestivo disponibile in questa materia. Ma un argomento che non soddisfi le proprie condizioni di validità non è un argomento debole: è un argomento nullo, e la sua efficacia retorica è inversamente proporzionale al suo valore.</w:t>
      </w:r>
    </w:p>
    <w:p>
      <w:pPr>
        <w:spacing w:after="120" w:line="276"/>
        <w:jc w:val="both"/>
      </w:pPr>
      <w:r>
        <w:rPr>
          <w:rFonts w:ascii="Barlow Semi Condensed" w:cs="Barlow Semi Condensed" w:eastAsia="Barlow Semi Condensed" w:hAnsi="Barlow Semi Condensed"/>
          <w:sz w:val="24"/>
          <w:szCs w:val="24"/>
        </w:rPr>
        <w:t xml:space="preserve">Si aggiunga che questa disposizione non prejudica l'esito. Se la comparazione fosse condotta e mostrasse l'anomalia, l'argomento diverrebbe valido e l'opera lo impiegherebbe. La disposizione non nega la conclusione: nega che la si possa raggiungere per la via breve.</w:t>
      </w:r>
    </w:p>
    <w:p>
      <w:pPr>
        <w:pStyle w:val="Heading2"/>
        <w:spacing w:after="100" w:before="200"/>
      </w:pPr>
      <w:r>
        <w:rPr>
          <w:rFonts w:ascii="Barlow Semi Condensed" w:cs="Barlow Semi Condensed" w:eastAsia="Barlow Semi Condensed" w:hAnsi="Barlow Semi Condensed"/>
          <w:sz w:val="24"/>
          <w:szCs w:val="24"/>
        </w:rPr>
        <w:t xml:space="preserve">Capitolo quarantottesimo — Che cosa proverebbe l'omissione deliberata</w:t>
      </w:r>
    </w:p>
    <w:p>
      <w:pPr>
        <w:spacing w:after="120" w:line="276"/>
        <w:jc w:val="both"/>
      </w:pPr>
      <w:r>
        <w:rPr>
          <w:rFonts w:ascii="Barlow Semi Condensed" w:cs="Barlow Semi Condensed" w:eastAsia="Barlow Semi Condensed" w:hAnsi="Barlow Semi Condensed"/>
          <w:sz w:val="24"/>
          <w:szCs w:val="24"/>
        </w:rPr>
        <w:t xml:space="preserve">Poiché nessuno degli elementi esaminati ha superato il terzo tempo del test, occorre indicare con precisione che cosa lo supererebbe. È l'obbligo che il Capitolo terzo impone a ogni dubbio registrato: accanto a esso deve stare scritto che cosa lo scioglierebbe.</w:t>
      </w:r>
    </w:p>
    <w:p>
      <w:pPr>
        <w:pStyle w:val="Heading2"/>
        <w:spacing w:after="100" w:before="200"/>
      </w:pPr>
      <w:r>
        <w:rPr>
          <w:rFonts w:ascii="Barlow Semi Condensed" w:cs="Barlow Semi Condensed" w:eastAsia="Barlow Semi Condensed" w:hAnsi="Barlow Semi Condensed"/>
          <w:sz w:val="24"/>
          <w:szCs w:val="24"/>
        </w:rPr>
        <w:t xml:space="preserve">Le quattro classi di prova</w:t>
      </w:r>
    </w:p>
    <w:p>
      <w:pPr>
        <w:spacing w:after="120" w:line="276"/>
        <w:jc w:val="both"/>
      </w:pPr>
      <w:r>
        <w:rPr>
          <w:rFonts w:ascii="Barlow Semi Condensed" w:cs="Barlow Semi Condensed" w:eastAsia="Barlow Semi Condensed" w:hAnsi="Barlow Semi Condensed"/>
          <w:sz w:val="24"/>
          <w:szCs w:val="24"/>
        </w:rPr>
        <w:t xml:space="preserve">Sono concepibili quattro classi di prova dell'omissione deliberata, ordinate per forza decrescente.</w:t>
      </w:r>
    </w:p>
    <w:p>
      <w:pPr>
        <w:spacing w:after="120" w:line="276"/>
        <w:jc w:val="both"/>
      </w:pPr>
      <w:r>
        <w:rPr>
          <w:rFonts w:ascii="Barlow Semi Condensed" w:cs="Barlow Semi Condensed" w:eastAsia="Barlow Semi Condensed" w:hAnsi="Barlow Semi Condensed"/>
          <w:sz w:val="24"/>
          <w:szCs w:val="24"/>
        </w:rPr>
        <w:t xml:space="preserve">Prima classe: la prova diretta della decisione. Un atto — ordine, direttiva, annotazione, comunicazione — dal quale risulti che l'inadempimento fu disposto. È la prova più forte e la meno probabile, perché una decisione di tale natura non si documenta se non per errore di chi la assume.</w:t>
      </w:r>
    </w:p>
    <w:p>
      <w:pPr>
        <w:spacing w:after="120" w:line="276"/>
        <w:jc w:val="both"/>
      </w:pPr>
      <w:r>
        <w:rPr>
          <w:rFonts w:ascii="Barlow Semi Condensed" w:cs="Barlow Semi Condensed" w:eastAsia="Barlow Semi Condensed" w:hAnsi="Barlow Semi Condensed"/>
          <w:sz w:val="24"/>
          <w:szCs w:val="24"/>
        </w:rPr>
        <w:t xml:space="preserve">Seconda classe: la prova della conoscenza inutilizzata. Documentazione dalla quale risulti che una informazione idonea a produrre l'esito pervenne a un ufficio e non fu impiegata, senza che l'omesso impiego sia spiegabile con la valutazione di inattendibilità o con difetto di coordinamento documentato. È prova forte e non impossibile, perché la ricezione di informazioni lascia traccia.</w:t>
      </w:r>
    </w:p>
    <w:p>
      <w:pPr>
        <w:spacing w:after="120" w:line="276"/>
        <w:jc w:val="both"/>
      </w:pPr>
      <w:r>
        <w:rPr>
          <w:rFonts w:ascii="Barlow Semi Condensed" w:cs="Barlow Semi Condensed" w:eastAsia="Barlow Semi Condensed" w:hAnsi="Barlow Semi Condensed"/>
          <w:sz w:val="24"/>
          <w:szCs w:val="24"/>
        </w:rPr>
        <w:t xml:space="preserve">Terza classe: la prova comparativa dell'anomalia. È quella descritta nel Capitolo precedente, nelle sue due vie. Essa non prova la deliberazione ma la esclude come improbabile alternativa all'errore, il che è meno ma non è poco.</w:t>
      </w:r>
    </w:p>
    <w:p>
      <w:pPr>
        <w:spacing w:after="120" w:line="276"/>
        <w:jc w:val="both"/>
      </w:pPr>
      <w:r>
        <w:rPr>
          <w:rFonts w:ascii="Barlow Semi Condensed" w:cs="Barlow Semi Condensed" w:eastAsia="Barlow Semi Condensed" w:hAnsi="Barlow Semi Condensed"/>
          <w:sz w:val="24"/>
          <w:szCs w:val="24"/>
        </w:rPr>
        <w:t xml:space="preserve">Quarta classe: la prova per convergenza di indipendenti. Se più elementi, ciascuno insufficiente e ciascuno accertato da fonti reciprocamente indipendenti, convergono sul medesimo punto, la convergenza ha valore proprio.</w:t>
      </w:r>
    </w:p>
    <w:p>
      <w:pPr>
        <w:pStyle w:val="Heading2"/>
        <w:spacing w:after="100" w:before="200"/>
      </w:pPr>
      <w:r>
        <w:rPr>
          <w:rFonts w:ascii="Barlow Semi Condensed" w:cs="Barlow Semi Condensed" w:eastAsia="Barlow Semi Condensed" w:hAnsi="Barlow Semi Condensed"/>
          <w:sz w:val="24"/>
          <w:szCs w:val="24"/>
        </w:rPr>
        <w:t xml:space="preserve">La cautela sulla quarta classe</w:t>
      </w:r>
    </w:p>
    <w:p>
      <w:pPr>
        <w:spacing w:after="120" w:line="276"/>
        <w:jc w:val="both"/>
      </w:pPr>
      <w:r>
        <w:rPr>
          <w:rFonts w:ascii="Barlow Semi Condensed" w:cs="Barlow Semi Condensed" w:eastAsia="Barlow Semi Condensed" w:hAnsi="Barlow Semi Condensed"/>
          <w:sz w:val="24"/>
          <w:szCs w:val="24"/>
        </w:rPr>
        <w:t xml:space="preserve">Sulla quarta classe occorre una avvertenza, perché essa è quella che si presta all'abuso.</w:t>
      </w:r>
    </w:p>
    <w:p>
      <w:pPr>
        <w:spacing w:after="120" w:line="276"/>
        <w:jc w:val="both"/>
      </w:pPr>
      <w:r>
        <w:rPr>
          <w:rFonts w:ascii="Barlow Semi Condensed" w:cs="Barlow Semi Condensed" w:eastAsia="Barlow Semi Condensed" w:hAnsi="Barlow Semi Condensed"/>
          <w:sz w:val="24"/>
          <w:szCs w:val="24"/>
        </w:rPr>
        <w:t xml:space="preserve">La convergenza vale se e solo se le fonti sono realmente indipendenti. Nel caso di specie ciò richiede una verifica che è stata frequentemente omessa: molte delle fonti che appaiono distinte discendono, risalendo la genealogia, da un medesimo evento originario — una medesima dichiarazione, un medesimo sequestro, una medesima ricostruzione poi ripresa da altri.</w:t>
      </w:r>
    </w:p>
    <w:p>
      <w:pPr>
        <w:spacing w:after="120" w:line="276"/>
        <w:jc w:val="both"/>
      </w:pPr>
      <w:r>
        <w:rPr>
          <w:rFonts w:ascii="Barlow Semi Condensed" w:cs="Barlow Semi Condensed" w:eastAsia="Barlow Semi Condensed" w:hAnsi="Barlow Semi Condensed"/>
          <w:sz w:val="24"/>
          <w:szCs w:val="24"/>
        </w:rPr>
        <w:t xml:space="preserve">Prima di computare una convergenza occorre dunque collassare la genealogia delle fonti e verificare quante catene realmente distinte vi siano. Una convergenza di sei fonti che discendano da due eventi originari è una convergenza di due, non di sei.</w:t>
      </w:r>
    </w:p>
    <w:p>
      <w:pPr>
        <w:spacing w:after="120" w:line="276"/>
        <w:jc w:val="both"/>
      </w:pPr>
      <w:r>
        <w:rPr>
          <w:rFonts w:ascii="Barlow Semi Condensed" w:cs="Barlow Semi Condensed" w:eastAsia="Barlow Semi Condensed" w:hAnsi="Barlow Semi Condensed"/>
          <w:sz w:val="24"/>
          <w:szCs w:val="24"/>
        </w:rPr>
        <w:t xml:space="preserve">Questa verifica non è stata condotta sistematicamente sul materiale di questa Fase, ed è iscritta in tavola.</w:t>
      </w:r>
    </w:p>
    <w:p>
      <w:pPr>
        <w:pStyle w:val="Heading2"/>
        <w:spacing w:after="100" w:before="200"/>
      </w:pPr>
      <w:r>
        <w:rPr>
          <w:rFonts w:ascii="Barlow Semi Condensed" w:cs="Barlow Semi Condensed" w:eastAsia="Barlow Semi Condensed" w:hAnsi="Barlow Semi Condensed"/>
          <w:sz w:val="24"/>
          <w:szCs w:val="24"/>
        </w:rPr>
        <w:t xml:space="preserve">Ciò che non proverebbe nulla</w:t>
      </w:r>
    </w:p>
    <w:p>
      <w:pPr>
        <w:spacing w:after="120" w:line="276"/>
        <w:jc w:val="both"/>
      </w:pPr>
      <w:r>
        <w:rPr>
          <w:rFonts w:ascii="Barlow Semi Condensed" w:cs="Barlow Semi Condensed" w:eastAsia="Barlow Semi Condensed" w:hAnsi="Barlow Semi Condensed"/>
          <w:sz w:val="24"/>
          <w:szCs w:val="24"/>
        </w:rPr>
        <w:t xml:space="preserve">Si dichiara altresì, per simmetria, che cosa non proverebbe l'omissione deliberata, poiché tali argomenti sono ricorrenti.</w:t>
      </w:r>
    </w:p>
    <w:p>
      <w:pPr>
        <w:spacing w:after="120" w:line="276"/>
        <w:jc w:val="both"/>
      </w:pPr>
      <w:r>
        <w:rPr>
          <w:rFonts w:ascii="Barlow Semi Condensed" w:cs="Barlow Semi Condensed" w:eastAsia="Barlow Semi Condensed" w:hAnsi="Barlow Semi Condensed"/>
          <w:sz w:val="24"/>
          <w:szCs w:val="24"/>
        </w:rPr>
        <w:t xml:space="preserve">Non la proverebbe la gravità delle conseguenze. Un errore con conseguenze gravissime resta un errore.</w:t>
      </w:r>
    </w:p>
    <w:p>
      <w:pPr>
        <w:spacing w:after="120" w:line="276"/>
        <w:jc w:val="both"/>
      </w:pPr>
      <w:r>
        <w:rPr>
          <w:rFonts w:ascii="Barlow Semi Condensed" w:cs="Barlow Semi Condensed" w:eastAsia="Barlow Semi Condensed" w:hAnsi="Barlow Semi Condensed"/>
          <w:sz w:val="24"/>
          <w:szCs w:val="24"/>
        </w:rPr>
        <w:t xml:space="preserve">Non la proverebbe la posizione di chi omise. L'appartenenza di un funzionario a un ambiente, a una associazione o a una corrente non stabilisce che una sua omissione fosse deliberata. Il passaggio dalla appartenenza alla condotta è lo stesso salto che tutta l'opera vieta, e non diventa lecito perché l'appartenenza sia documentata e sgradevole.</w:t>
      </w:r>
    </w:p>
    <w:p>
      <w:pPr>
        <w:spacing w:after="120" w:line="276"/>
        <w:jc w:val="both"/>
      </w:pPr>
      <w:r>
        <w:rPr>
          <w:rFonts w:ascii="Barlow Semi Condensed" w:cs="Barlow Semi Condensed" w:eastAsia="Barlow Semi Condensed" w:hAnsi="Barlow Semi Condensed"/>
          <w:sz w:val="24"/>
          <w:szCs w:val="24"/>
        </w:rPr>
        <w:t xml:space="preserve">Non la proverebbe la reticenza successiva. Che un ufficio o una persona abbiano opposto resistenza agli accertamenti successivi è un fatto e va registrato come tale; ma la resistenza agli accertamenti ha molte cause, fra le quali la protezione di errori propri, e non stabilisce quale fosse la natura del fatto protetto.</w:t>
      </w:r>
    </w:p>
    <w:p>
      <w:pPr>
        <w:spacing w:after="120" w:line="276"/>
        <w:jc w:val="both"/>
      </w:pPr>
      <w:r>
        <w:rPr>
          <w:rFonts w:ascii="Barlow Semi Condensed" w:cs="Barlow Semi Condensed" w:eastAsia="Barlow Semi Condensed" w:hAnsi="Barlow Semi Condensed"/>
          <w:sz w:val="24"/>
          <w:szCs w:val="24"/>
        </w:rPr>
        <w:t xml:space="preserve">Non la proverebbe l'accumulo, alle condizioni esposte nel Capitolo precedente.</w:t>
      </w:r>
    </w:p>
    <w:p>
      <w:pPr>
        <w:pStyle w:val="Heading2"/>
        <w:spacing w:after="100" w:before="200"/>
      </w:pPr>
      <w:r>
        <w:rPr>
          <w:rFonts w:ascii="Barlow Semi Condensed" w:cs="Barlow Semi Condensed" w:eastAsia="Barlow Semi Condensed" w:hAnsi="Barlow Semi Condensed"/>
          <w:sz w:val="24"/>
          <w:szCs w:val="24"/>
        </w:rPr>
        <w:t xml:space="preserve">Capitolo quarantanovesimo — La matrice riveduta</w:t>
      </w:r>
    </w:p>
    <w:p>
      <w:pPr>
        <w:spacing w:after="120" w:line="276"/>
        <w:jc w:val="both"/>
      </w:pPr>
      <w:r>
        <w:rPr>
          <w:rFonts w:ascii="Barlow Semi Condensed" w:cs="Barlow Semi Condensed" w:eastAsia="Barlow Semi Condensed" w:hAnsi="Barlow Semi Condensed"/>
          <w:sz w:val="24"/>
          <w:szCs w:val="24"/>
        </w:rPr>
        <w:t xml:space="preserve">La Fase Seconda ha costruito una matrice su quattro generi di ipotesi e sette evidenze, e ha indicato la quinta evidenza — le omissioni accertate — come quella di maggiore potere discriminante potenziale. Si verifica ora se il potenziale si sia realizzato.</w:t>
      </w:r>
    </w:p>
    <w:p>
      <w:pPr>
        <w:pStyle w:val="Heading2"/>
        <w:spacing w:after="100" w:before="200"/>
      </w:pPr>
      <w:r>
        <w:rPr>
          <w:rFonts w:ascii="Barlow Semi Condensed" w:cs="Barlow Semi Condensed" w:eastAsia="Barlow Semi Condensed" w:hAnsi="Barlow Semi Condensed"/>
          <w:sz w:val="24"/>
          <w:szCs w:val="24"/>
        </w:rPr>
        <w:t xml:space="preserve">L'esito del test sui quattro elementi</w:t>
      </w:r>
    </w:p>
    <w:p>
      <w:pPr>
        <w:spacing w:after="120" w:line="276"/>
        <w:jc w:val="both"/>
      </w:pPr>
      <w:r>
        <w:rPr>
          <w:rFonts w:ascii="Barlow Semi Condensed" w:cs="Barlow Semi Condensed" w:eastAsia="Barlow Semi Condensed" w:hAnsi="Barlow Semi Condensed"/>
          <w:sz w:val="24"/>
          <w:szCs w:val="24"/>
        </w:rPr>
        <w:t xml:space="preserve">Dei quattro elementi consegnati a questa Fase, l'esito del test è il seguente.</w:t>
      </w:r>
    </w:p>
    <w:p>
      <w:pPr>
        <w:spacing w:after="120" w:line="276"/>
        <w:jc w:val="both"/>
      </w:pPr>
      <w:r>
        <w:rPr>
          <w:rFonts w:ascii="Barlow Semi Condensed" w:cs="Barlow Semi Condensed" w:eastAsia="Barlow Semi Condensed" w:hAnsi="Barlow Semi Condensed"/>
          <w:sz w:val="24"/>
          <w:szCs w:val="24"/>
        </w:rPr>
        <w:t xml:space="preserve">Le due circostanze di via Gradoli: test arrestato al secondo tempo per la prima, al terzo per la seconda, in entrambi i casi per difetto di elementi documentali. Qualificazione come omissione non accertata.</w:t>
      </w:r>
    </w:p>
    <w:p>
      <w:pPr>
        <w:spacing w:after="120" w:line="276"/>
        <w:jc w:val="both"/>
      </w:pPr>
      <w:r>
        <w:rPr>
          <w:rFonts w:ascii="Barlow Semi Condensed" w:cs="Barlow Semi Condensed" w:eastAsia="Barlow Semi Condensed" w:hAnsi="Barlow Semi Condensed"/>
          <w:sz w:val="24"/>
          <w:szCs w:val="24"/>
        </w:rPr>
        <w:t xml:space="preserve">Il comunicato apocrifo: natura deliberata dell'atto accertata in stato di sciolto; autore e finalità non accertati.</w:t>
      </w:r>
    </w:p>
    <w:p>
      <w:pPr>
        <w:spacing w:after="120" w:line="276"/>
        <w:jc w:val="both"/>
      </w:pPr>
      <w:r>
        <w:rPr>
          <w:rFonts w:ascii="Barlow Semi Condensed" w:cs="Barlow Semi Condensed" w:eastAsia="Barlow Semi Condensed" w:hAnsi="Barlow Semi Condensed"/>
          <w:sz w:val="24"/>
          <w:szCs w:val="24"/>
        </w:rPr>
        <w:t xml:space="preserve">L'esito nullo della ricerca eccezionale: test arrestato al secondo tempo per difetto di termine di riferimento.</w:t>
      </w:r>
    </w:p>
    <w:p>
      <w:pPr>
        <w:spacing w:after="120" w:line="276"/>
        <w:jc w:val="both"/>
      </w:pPr>
      <w:r>
        <w:rPr>
          <w:rFonts w:ascii="Barlow Semi Condensed" w:cs="Barlow Semi Condensed" w:eastAsia="Barlow Semi Condensed" w:hAnsi="Barlow Semi Condensed"/>
          <w:sz w:val="24"/>
          <w:szCs w:val="24"/>
        </w:rPr>
        <w:t xml:space="preserve">L'incompletezza del rinvenimento documentale: inadempimento accertato in stato di sciolto; spiegabilità non accertata, con tre ipotesi aperte e via di discriminazione indicata.</w:t>
      </w:r>
    </w:p>
    <w:p>
      <w:pPr>
        <w:pStyle w:val="Heading2"/>
        <w:spacing w:after="100" w:before="200"/>
      </w:pPr>
      <w:r>
        <w:rPr>
          <w:rFonts w:ascii="Barlow Semi Condensed" w:cs="Barlow Semi Condensed" w:eastAsia="Barlow Semi Condensed" w:hAnsi="Barlow Semi Condensed"/>
          <w:sz w:val="24"/>
          <w:szCs w:val="24"/>
        </w:rPr>
        <w:t xml:space="preserve">La revisione della matrice</w:t>
      </w:r>
    </w:p>
    <w:p>
      <w:pPr>
        <w:spacing w:after="120" w:line="276"/>
        <w:jc w:val="both"/>
      </w:pPr>
      <w:r>
        <w:rPr>
          <w:rFonts w:ascii="Barlow Semi Condensed" w:cs="Barlow Semi Condensed" w:eastAsia="Barlow Semi Condensed" w:hAnsi="Barlow Semi Condensed"/>
          <w:sz w:val="24"/>
          <w:szCs w:val="24"/>
        </w:rPr>
        <w:t xml:space="preserve">Ne discende la revisione seguente.</w:t>
      </w:r>
    </w:p>
    <w:p>
      <w:pPr>
        <w:spacing w:after="120" w:line="276"/>
        <w:jc w:val="both"/>
      </w:pPr>
      <w:r>
        <w:rPr>
          <w:rFonts w:ascii="Barlow Semi Condensed" w:cs="Barlow Semi Condensed" w:eastAsia="Barlow Semi Condensed" w:hAnsi="Barlow Semi Condensed"/>
          <w:sz w:val="24"/>
          <w:szCs w:val="24"/>
        </w:rPr>
        <w:t xml:space="preserve">Rispetto al primo genere — movente dichiarato, esecuzione autonoma — l'elemento del comunicato apocrifo comporta un costo. Il genere deve spiegarlo come atto di un terzo estraneo tanto ai rapitori quanto alle istituzioni, ovvero come atto di un soggetto istituzionale mosso da finalità proprie non collegate alla vicenda. Entrambe le spiegazioni sono possibili; entrambe costituiscono una aggiunta al genere, e le aggiunte hanno un costo.</w:t>
      </w:r>
    </w:p>
    <w:p>
      <w:pPr>
        <w:spacing w:after="120" w:line="276"/>
        <w:jc w:val="both"/>
      </w:pPr>
      <w:r>
        <w:rPr>
          <w:rFonts w:ascii="Barlow Semi Condensed" w:cs="Barlow Semi Condensed" w:eastAsia="Barlow Semi Condensed" w:hAnsi="Barlow Semi Condensed"/>
          <w:sz w:val="24"/>
          <w:szCs w:val="24"/>
        </w:rPr>
        <w:t xml:space="preserve">Rispetto al secondo e al quarto genere — concorso esterno e non impedimento consapevole — l'elemento è assorbito senza aggiunte. Ciò non li conferma: significa soltanto che non impone loro un costo.</w:t>
      </w:r>
    </w:p>
    <w:p>
      <w:pPr>
        <w:spacing w:after="120" w:line="276"/>
        <w:jc w:val="both"/>
      </w:pPr>
      <w:r>
        <w:rPr>
          <w:rFonts w:ascii="Barlow Semi Condensed" w:cs="Barlow Semi Condensed" w:eastAsia="Barlow Semi Condensed" w:hAnsi="Barlow Semi Condensed"/>
          <w:sz w:val="24"/>
          <w:szCs w:val="24"/>
        </w:rPr>
        <w:t xml:space="preserve">Rispetto al terzo genere — regia esterna — l'elemento è coerente ma non aggiunge sostegno, poiché il genere resta gravato dalle tensioni già rilevate nella Fase Seconda.</w:t>
      </w:r>
    </w:p>
    <w:p>
      <w:pPr>
        <w:spacing w:after="120" w:line="276"/>
        <w:jc w:val="both"/>
      </w:pPr>
      <w:r>
        <w:rPr>
          <w:rFonts w:ascii="Barlow Semi Condensed" w:cs="Barlow Semi Condensed" w:eastAsia="Barlow Semi Condensed" w:hAnsi="Barlow Semi Condensed"/>
          <w:sz w:val="24"/>
          <w:szCs w:val="24"/>
        </w:rPr>
        <w:t xml:space="preserve">Gli altri tre elementi non modificano la matrice, non avendo superato il test.</w:t>
      </w:r>
    </w:p>
    <w:p>
      <w:pPr>
        <w:pStyle w:val="Heading2"/>
        <w:spacing w:after="100" w:before="200"/>
      </w:pPr>
      <w:r>
        <w:rPr>
          <w:rFonts w:ascii="Barlow Semi Condensed" w:cs="Barlow Semi Condensed" w:eastAsia="Barlow Semi Condensed" w:hAnsi="Barlow Semi Condensed"/>
          <w:sz w:val="24"/>
          <w:szCs w:val="24"/>
        </w:rPr>
        <w:t xml:space="preserve">L'esito complessivo e la sua onestà</w:t>
      </w:r>
    </w:p>
    <w:p>
      <w:pPr>
        <w:spacing w:after="120" w:line="276"/>
        <w:jc w:val="both"/>
      </w:pPr>
      <w:r>
        <w:rPr>
          <w:rFonts w:ascii="Barlow Semi Condensed" w:cs="Barlow Semi Condensed" w:eastAsia="Barlow Semi Condensed" w:hAnsi="Barlow Semi Condensed"/>
          <w:sz w:val="24"/>
          <w:szCs w:val="24"/>
        </w:rPr>
        <w:t xml:space="preserve">L'esito complessivo di questa Fase, misurato sulla matrice, è dunque modesto rispetto all'attesa. La quinta evidenza aveva il maggiore potere discriminante potenziale; il potenziale si è realizzato in misura limitata, perché tre dei quattro elementi non hanno superato il test per difetto di documentazione.</w:t>
      </w:r>
    </w:p>
    <w:p>
      <w:pPr>
        <w:spacing w:after="120" w:line="276"/>
        <w:jc w:val="both"/>
      </w:pPr>
      <w:r>
        <w:rPr>
          <w:rFonts w:ascii="Barlow Semi Condensed" w:cs="Barlow Semi Condensed" w:eastAsia="Barlow Semi Condensed" w:hAnsi="Barlow Semi Condensed"/>
          <w:sz w:val="24"/>
          <w:szCs w:val="24"/>
        </w:rPr>
        <w:t xml:space="preserve">Occorre dire con esattezza che cosa questo significhi, perché la formulazione si presta a due letture opposte ed entrambe sarebbero errate.</w:t>
      </w:r>
    </w:p>
    <w:p>
      <w:pPr>
        <w:spacing w:after="120" w:line="276"/>
        <w:jc w:val="both"/>
      </w:pPr>
      <w:r>
        <w:rPr>
          <w:rFonts w:ascii="Barlow Semi Condensed" w:cs="Barlow Semi Condensed" w:eastAsia="Barlow Semi Condensed" w:hAnsi="Barlow Semi Condensed"/>
          <w:sz w:val="24"/>
          <w:szCs w:val="24"/>
        </w:rPr>
        <w:t xml:space="preserve">Non significa che le omissioni non vi siano state. Significa che, con gli atti di cui quest'opera dispone, non è accertato che vi siano state.</w:t>
      </w:r>
    </w:p>
    <w:p>
      <w:pPr>
        <w:spacing w:after="120" w:line="276"/>
        <w:jc w:val="both"/>
      </w:pPr>
      <w:r>
        <w:rPr>
          <w:rFonts w:ascii="Barlow Semi Condensed" w:cs="Barlow Semi Condensed" w:eastAsia="Barlow Semi Condensed" w:hAnsi="Barlow Semi Condensed"/>
          <w:sz w:val="24"/>
          <w:szCs w:val="24"/>
        </w:rPr>
        <w:t xml:space="preserve">Non significa che gli accertamenti siano preclusi. Significa che essi richiedono documentazione determinata, che è stata identificata per genere e per sede, e che non è stata acquisita.</w:t>
      </w:r>
    </w:p>
    <w:p>
      <w:pPr>
        <w:spacing w:after="120" w:line="276"/>
        <w:jc w:val="both"/>
      </w:pPr>
      <w:r>
        <w:rPr>
          <w:rFonts w:ascii="Barlow Semi Condensed" w:cs="Barlow Semi Condensed" w:eastAsia="Barlow Semi Condensed" w:hAnsi="Barlow Semi Condensed"/>
          <w:sz w:val="24"/>
          <w:szCs w:val="24"/>
        </w:rPr>
        <w:t xml:space="preserve">La differenza fra queste due letture e quella corretta è la differenza fra un caso chiuso, un caso archiviato e un caso aperto. Questo è un caso aperto, e la Fase lo lascia più aperto di come lo ha trovato, avendo precisato che cosa manchi.</w:t>
      </w:r>
    </w:p>
    <w:p>
      <w:pPr>
        <w:pStyle w:val="Heading2"/>
        <w:spacing w:after="100" w:before="200"/>
      </w:pPr>
      <w:r>
        <w:rPr>
          <w:rFonts w:ascii="Barlow Semi Condensed" w:cs="Barlow Semi Condensed" w:eastAsia="Barlow Semi Condensed" w:hAnsi="Barlow Semi Condensed"/>
          <w:sz w:val="24"/>
          <w:szCs w:val="24"/>
        </w:rPr>
        <w:t xml:space="preserve">Il risultato che la Fase produce comunque</w:t>
      </w:r>
    </w:p>
    <w:p>
      <w:pPr>
        <w:spacing w:after="120" w:line="276"/>
        <w:jc w:val="both"/>
      </w:pPr>
      <w:r>
        <w:rPr>
          <w:rFonts w:ascii="Barlow Semi Condensed" w:cs="Barlow Semi Condensed" w:eastAsia="Barlow Semi Condensed" w:hAnsi="Barlow Semi Condensed"/>
          <w:sz w:val="24"/>
          <w:szCs w:val="24"/>
        </w:rPr>
        <w:t xml:space="preserve">Vi è però un risultato che la Fase produce e che non dipende dall'esito del test, e conviene isolarlo perché è il suo contributo maggiore.</w:t>
      </w:r>
    </w:p>
    <w:p>
      <w:pPr>
        <w:spacing w:after="120" w:line="276"/>
        <w:jc w:val="both"/>
      </w:pPr>
      <w:r>
        <w:rPr>
          <w:rFonts w:ascii="Barlow Semi Condensed" w:cs="Barlow Semi Condensed" w:eastAsia="Barlow Semi Condensed" w:hAnsi="Barlow Semi Condensed"/>
          <w:sz w:val="24"/>
          <w:szCs w:val="24"/>
        </w:rPr>
        <w:t xml:space="preserve">La Fase ha accertato che, durante i cinquantacinque giorni, un soggetto rimasto ignoto compì un atto deliberato di interferenza nelle indagini, immettendo un falso nel circuito informativo.</w:t>
      </w:r>
    </w:p>
    <w:p>
      <w:pPr>
        <w:spacing w:after="120" w:line="276"/>
        <w:jc w:val="both"/>
      </w:pPr>
      <w:r>
        <w:rPr>
          <w:rFonts w:ascii="Barlow Semi Condensed" w:cs="Barlow Semi Condensed" w:eastAsia="Barlow Semi Condensed" w:hAnsi="Barlow Semi Condensed"/>
          <w:sz w:val="24"/>
          <w:szCs w:val="24"/>
        </w:rPr>
        <w:t xml:space="preserve">Questo è accertato in stato di sciolto e non dipende da alcuna ipotesi. Esso stabilisce che sulla vicenda operarono almeno tre soggetti: i rapitori, le istituzioni, e un terzo capace di produrre falso credibile e interessato a produrlo.</w:t>
      </w:r>
    </w:p>
    <w:p>
      <w:pPr>
        <w:spacing w:after="120" w:line="276"/>
        <w:jc w:val="both"/>
      </w:pPr>
      <w:r>
        <w:rPr>
          <w:rFonts w:ascii="Barlow Semi Condensed" w:cs="Barlow Semi Condensed" w:eastAsia="Barlow Semi Condensed" w:hAnsi="Barlow Semi Condensed"/>
          <w:sz w:val="24"/>
          <w:szCs w:val="24"/>
        </w:rPr>
        <w:t xml:space="preserve">Chi fosse tale terzo non è accertato. Che vi fosse, sì. È il fatto più solido che questa Fase consegna, ed è più di quanto le altre tre evidenze abbiano prodotto insieme.</w:t>
      </w:r>
    </w:p>
    <w:p>
      <w:pPr>
        <w:pStyle w:val="Heading2"/>
        <w:spacing w:after="100" w:before="200"/>
      </w:pPr>
      <w:r>
        <w:rPr>
          <w:rFonts w:ascii="Barlow Semi Condensed" w:cs="Barlow Semi Condensed" w:eastAsia="Barlow Semi Condensed" w:hAnsi="Barlow Semi Condensed"/>
          <w:sz w:val="24"/>
          <w:szCs w:val="24"/>
        </w:rPr>
        <w:t xml:space="preserve">Capitolo cinquantesimo — Bilancio della Fase Quinta</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che durante il periodo fu compiuto un atto deliberato di produzione di falso nel circuito informativo delle indagini, e che ne conseguirono operazioni di ricerca con esito negativo.</w:t>
      </w:r>
    </w:p>
    <w:p>
      <w:pPr>
        <w:spacing w:after="120" w:line="276"/>
        <w:jc w:val="both"/>
      </w:pPr>
      <w:r>
        <w:rPr>
          <w:rFonts w:ascii="Barlow Semi Condensed" w:cs="Barlow Semi Condensed" w:eastAsia="Barlow Semi Condensed" w:hAnsi="Barlow Semi Condensed"/>
          <w:sz w:val="24"/>
          <w:szCs w:val="24"/>
        </w:rPr>
        <w:t xml:space="preserve">È accertato che il rinvenimento documentale dell'ottobre 1978 non fu esaustivo, e l'inadempimento è accertato in stato di sciolto.</w:t>
      </w:r>
    </w:p>
    <w:p>
      <w:pPr>
        <w:spacing w:after="120" w:line="276"/>
        <w:jc w:val="both"/>
      </w:pPr>
      <w:r>
        <w:rPr>
          <w:rFonts w:ascii="Barlow Semi Condensed" w:cs="Barlow Semi Condensed" w:eastAsia="Barlow Semi Condensed" w:hAnsi="Barlow Semi Condensed"/>
          <w:sz w:val="24"/>
          <w:szCs w:val="24"/>
        </w:rPr>
        <w:t xml:space="preserve">È accertato che una base dell'organizzazione fu individuata per circostanza fortuita e non per attività di indagine, in costanza di prigionia; che un controllo era stato effettuato in quella via senza esito; e che una indicazione toponomastica fu verificata in una sola delle sue referenze possibili.</w:t>
      </w:r>
    </w:p>
    <w:p>
      <w:pPr>
        <w:spacing w:after="120" w:line="276"/>
        <w:jc w:val="both"/>
      </w:pPr>
      <w:r>
        <w:rPr>
          <w:rFonts w:ascii="Barlow Semi Condensed" w:cs="Barlow Semi Condensed" w:eastAsia="Barlow Semi Condensed" w:hAnsi="Barlow Semi Condensed"/>
          <w:sz w:val="24"/>
          <w:szCs w:val="24"/>
        </w:rPr>
        <w:t xml:space="preserve">È accertato che una ricerca di dimensioni eccezionali fu condotta per cinquantacinque giorni senza produrre la localizzazione.</w:t>
      </w:r>
    </w:p>
    <w:p>
      <w:pPr>
        <w:pStyle w:val="Heading2"/>
        <w:spacing w:after="100" w:before="200"/>
      </w:pPr>
      <w:r>
        <w:rPr>
          <w:rFonts w:ascii="Barlow Semi Condensed" w:cs="Barlow Semi Condensed" w:eastAsia="Barlow Semi Condensed" w:hAnsi="Barlow Semi Condensed"/>
          <w:sz w:val="24"/>
          <w:szCs w:val="24"/>
        </w:rPr>
        <w:t xml:space="preserve">Ciò che non è accertato</w:t>
      </w:r>
    </w:p>
    <w:p>
      <w:pPr>
        <w:spacing w:after="120" w:line="276"/>
        <w:jc w:val="both"/>
      </w:pPr>
      <w:r>
        <w:rPr>
          <w:rFonts w:ascii="Barlow Semi Condensed" w:cs="Barlow Semi Condensed" w:eastAsia="Barlow Semi Condensed" w:hAnsi="Barlow Semi Condensed"/>
          <w:sz w:val="24"/>
          <w:szCs w:val="24"/>
        </w:rPr>
        <w:t xml:space="preserve">Non è accertato che alcuna delle circostanze esaminate costituisca omissione deliberata.</w:t>
      </w:r>
    </w:p>
    <w:p>
      <w:pPr>
        <w:spacing w:after="120" w:line="276"/>
        <w:jc w:val="both"/>
      </w:pPr>
      <w:r>
        <w:rPr>
          <w:rFonts w:ascii="Barlow Semi Condensed" w:cs="Barlow Semi Condensed" w:eastAsia="Barlow Semi Condensed" w:hAnsi="Barlow Semi Condensed"/>
          <w:sz w:val="24"/>
          <w:szCs w:val="24"/>
        </w:rPr>
        <w:t xml:space="preserve">Non sono accertati l'autore né la finalità della produzione di falso.</w:t>
      </w:r>
    </w:p>
    <w:p>
      <w:pPr>
        <w:spacing w:after="120" w:line="276"/>
        <w:jc w:val="both"/>
      </w:pPr>
      <w:r>
        <w:rPr>
          <w:rFonts w:ascii="Barlow Semi Condensed" w:cs="Barlow Semi Condensed" w:eastAsia="Barlow Semi Condensed" w:hAnsi="Barlow Semi Condensed"/>
          <w:sz w:val="24"/>
          <w:szCs w:val="24"/>
        </w:rPr>
        <w:t xml:space="preserve">Non è accertata la causa dell'incompletezza del rinvenimento documentale, restando aperte tre spiegazioni.</w:t>
      </w:r>
    </w:p>
    <w:p>
      <w:pPr>
        <w:spacing w:after="120" w:line="276"/>
        <w:jc w:val="both"/>
      </w:pPr>
      <w:r>
        <w:rPr>
          <w:rFonts w:ascii="Barlow Semi Condensed" w:cs="Barlow Semi Condensed" w:eastAsia="Barlow Semi Condensed" w:hAnsi="Barlow Semi Condensed"/>
          <w:sz w:val="24"/>
          <w:szCs w:val="24"/>
        </w:rPr>
        <w:t xml:space="preserve">Non è accertata l'inadeguatezza della ricerca, per difetto di termine di riferimento.</w:t>
      </w:r>
    </w:p>
    <w:p>
      <w:pPr>
        <w:pStyle w:val="Heading2"/>
        <w:spacing w:after="100" w:before="200"/>
      </w:pPr>
      <w:r>
        <w:rPr>
          <w:rFonts w:ascii="Barlow Semi Condensed" w:cs="Barlow Semi Condensed" w:eastAsia="Barlow Semi Condensed" w:hAnsi="Barlow Semi Condensed"/>
          <w:sz w:val="24"/>
          <w:szCs w:val="24"/>
        </w:rPr>
        <w:t xml:space="preserve">Gli strumenti istituiti</w:t>
      </w:r>
    </w:p>
    <w:p>
      <w:pPr>
        <w:spacing w:after="120" w:line="276"/>
        <w:jc w:val="both"/>
      </w:pPr>
      <w:r>
        <w:rPr>
          <w:rFonts w:ascii="Barlow Semi Condensed" w:cs="Barlow Semi Condensed" w:eastAsia="Barlow Semi Condensed" w:hAnsi="Barlow Semi Condensed"/>
          <w:sz w:val="24"/>
          <w:szCs w:val="24"/>
        </w:rPr>
        <w:t xml:space="preserve">La Fase istituisce, per le successive e per le edizioni future, tre strumenti.</w:t>
      </w:r>
    </w:p>
    <w:p>
      <w:pPr>
        <w:spacing w:after="120" w:line="276"/>
        <w:jc w:val="both"/>
      </w:pPr>
      <w:r>
        <w:rPr>
          <w:rFonts w:ascii="Barlow Semi Condensed" w:cs="Barlow Semi Condensed" w:eastAsia="Barlow Semi Condensed" w:hAnsi="Barlow Semi Condensed"/>
          <w:sz w:val="24"/>
          <w:szCs w:val="24"/>
        </w:rPr>
        <w:t xml:space="preserve">Il test in tre tempi — dovere, inadempimento, spiegabilità — con la regola che nessun tempo si salta e che l'arresto del test si dichiara anziché sostituirvi una valutazione.</w:t>
      </w:r>
    </w:p>
    <w:p>
      <w:pPr>
        <w:spacing w:after="120" w:line="276"/>
        <w:jc w:val="both"/>
      </w:pPr>
      <w:r>
        <w:rPr>
          <w:rFonts w:ascii="Barlow Semi Condensed" w:cs="Barlow Semi Condensed" w:eastAsia="Barlow Semi Condensed" w:hAnsi="Barlow Semi Condensed"/>
          <w:sz w:val="24"/>
          <w:szCs w:val="24"/>
        </w:rPr>
        <w:t xml:space="preserve">La tipologia in quattro classi delle omissioni, con la prova propria di ciascuna.</w:t>
      </w:r>
    </w:p>
    <w:p>
      <w:pPr>
        <w:spacing w:after="120" w:line="276"/>
        <w:jc w:val="both"/>
      </w:pPr>
      <w:r>
        <w:rPr>
          <w:rFonts w:ascii="Barlow Semi Condensed" w:cs="Barlow Semi Condensed" w:eastAsia="Barlow Semi Condensed" w:hAnsi="Barlow Semi Condensed"/>
          <w:sz w:val="24"/>
          <w:szCs w:val="24"/>
        </w:rPr>
        <w:t xml:space="preserve">Le tre condizioni di validità dell'argomento dell'accumulo — base, indipendenza, assenza di selezione a posteriori — con la disposizione che vieta l'impiego dell'argomento finché non siano soddisfatte.</w:t>
      </w:r>
    </w:p>
    <w:p>
      <w:pPr>
        <w:pStyle w:val="Heading2"/>
        <w:spacing w:after="100" w:before="200"/>
      </w:pPr>
      <w:r>
        <w:rPr>
          <w:rFonts w:ascii="Barlow Semi Condensed" w:cs="Barlow Semi Condensed" w:eastAsia="Barlow Semi Condensed" w:hAnsi="Barlow Semi Condensed"/>
          <w:sz w:val="24"/>
          <w:szCs w:val="24"/>
        </w:rPr>
        <w:t xml:space="preserve">Il costo dichiarato</w:t>
      </w:r>
    </w:p>
    <w:p>
      <w:pPr>
        <w:spacing w:after="120" w:line="276"/>
        <w:jc w:val="both"/>
      </w:pPr>
      <w:r>
        <w:rPr>
          <w:rFonts w:ascii="Barlow Semi Condensed" w:cs="Barlow Semi Condensed" w:eastAsia="Barlow Semi Condensed" w:hAnsi="Barlow Semi Condensed"/>
          <w:sz w:val="24"/>
          <w:szCs w:val="24"/>
        </w:rPr>
        <w:t xml:space="preserve">La terza disposizione priva l'opera dell'argomento più efficace disponibile in questa materia, e il costo si dichiara apertamente.</w:t>
      </w:r>
    </w:p>
    <w:p>
      <w:pPr>
        <w:spacing w:after="120" w:line="276"/>
        <w:jc w:val="both"/>
      </w:pPr>
      <w:r>
        <w:rPr>
          <w:rFonts w:ascii="Barlow Semi Condensed" w:cs="Barlow Semi Condensed" w:eastAsia="Barlow Semi Condensed" w:hAnsi="Barlow Semi Condensed"/>
          <w:sz w:val="24"/>
          <w:szCs w:val="24"/>
        </w:rPr>
        <w:t xml:space="preserve">Si dichiara altresì la ragione per la quale il costo si accetta. L'argomento dell'accumulo, impiegato senza le sue condizioni, non è un argomento debole che rafforzi una tesi fondata: è un argomento nullo che la indebolisce, perché espone la tesi che sostiene alla più facile delle confutazioni. Chi costruisca su di esso costruisce su ciò che il primo lettore avvertito abbatte.</w:t>
      </w:r>
    </w:p>
    <w:p>
      <w:pPr>
        <w:pStyle w:val="Heading2"/>
        <w:spacing w:after="100" w:before="200"/>
      </w:pPr>
      <w:r>
        <w:rPr>
          <w:rFonts w:ascii="Barlow Semi Condensed" w:cs="Barlow Semi Condensed" w:eastAsia="Barlow Semi Condensed" w:hAnsi="Barlow Semi Condensed"/>
          <w:sz w:val="24"/>
          <w:szCs w:val="24"/>
        </w:rPr>
        <w:t xml:space="preserve">La tavola delle acquisizioni mancanti</w:t>
      </w:r>
    </w:p>
    <w:p>
      <w:pPr>
        <w:spacing w:after="120" w:line="276"/>
        <w:jc w:val="both"/>
      </w:pPr>
      <w:r>
        <w:rPr>
          <w:rFonts w:ascii="Barlow Semi Condensed" w:cs="Barlow Semi Condensed" w:eastAsia="Barlow Semi Condensed" w:hAnsi="Barlow Semi Condensed"/>
          <w:sz w:val="24"/>
          <w:szCs w:val="24"/>
        </w:rPr>
        <w:t xml:space="preserve">Si iscrivono in tavola, in ordine di rendimento atteso decrescente, le acquisizioni documentali che questa Fase ha identificate come necessarie.</w:t>
      </w:r>
    </w:p>
    <w:p>
      <w:pPr>
        <w:spacing w:after="120" w:line="276"/>
        <w:jc w:val="both"/>
      </w:pPr>
      <w:r>
        <w:rPr>
          <w:rFonts w:ascii="Barlow Semi Condensed" w:cs="Barlow Semi Condensed" w:eastAsia="Barlow Semi Condensed" w:hAnsi="Barlow Semi Condensed"/>
          <w:sz w:val="24"/>
          <w:szCs w:val="24"/>
        </w:rPr>
        <w:t xml:space="preserve">Prima: i verbali, i rilievi e la descrizione delle modalità e degli strumenti della perquisizione dell'ottobre 1978 nell'immobile milanese, confrontati con quelli dell'ottobre 1990. È l'acquisizione dalla quale dipende uno scioglimento determinato, e la sola della Fase per la quale la via di discriminazione sia indicata con precisione.</w:t>
      </w:r>
    </w:p>
    <w:p>
      <w:pPr>
        <w:spacing w:after="120" w:line="276"/>
        <w:jc w:val="both"/>
      </w:pPr>
      <w:r>
        <w:rPr>
          <w:rFonts w:ascii="Barlow Semi Condensed" w:cs="Barlow Semi Condensed" w:eastAsia="Barlow Semi Condensed" w:hAnsi="Barlow Semi Condensed"/>
          <w:sz w:val="24"/>
          <w:szCs w:val="24"/>
        </w:rPr>
        <w:t xml:space="preserve">Seconda: gli atti relativi alla ricezione dell'indicazione toponomastica, alla sua valutazione e alla decisione sulla destinazione delle ricerche.</w:t>
      </w:r>
    </w:p>
    <w:p>
      <w:pPr>
        <w:spacing w:after="120" w:line="276"/>
        <w:jc w:val="both"/>
      </w:pPr>
      <w:r>
        <w:rPr>
          <w:rFonts w:ascii="Barlow Semi Condensed" w:cs="Barlow Semi Condensed" w:eastAsia="Barlow Semi Condensed" w:hAnsi="Barlow Semi Condensed"/>
          <w:sz w:val="24"/>
          <w:szCs w:val="24"/>
        </w:rPr>
        <w:t xml:space="preserve">Terza: le direttive impartite per i controlli e la documentazione del controllo effettuato in via Gradoli.</w:t>
      </w:r>
    </w:p>
    <w:p>
      <w:pPr>
        <w:spacing w:after="120" w:line="276"/>
        <w:jc w:val="both"/>
      </w:pPr>
      <w:r>
        <w:rPr>
          <w:rFonts w:ascii="Barlow Semi Condensed" w:cs="Barlow Semi Condensed" w:eastAsia="Barlow Semi Condensed" w:hAnsi="Barlow Semi Condensed"/>
          <w:sz w:val="24"/>
          <w:szCs w:val="24"/>
        </w:rPr>
        <w:t xml:space="preserve">Quarta: la documentazione analitica della ricerca condotta nei cinquantacinque giorni — zone controllate, modalità, criteri di selezione, motivazione delle esclusioni — necessaria a colmare il difetto di termine di riferimento.</w:t>
      </w:r>
    </w:p>
    <w:p>
      <w:pPr>
        <w:spacing w:after="120" w:line="276"/>
        <w:jc w:val="both"/>
      </w:pPr>
      <w:r>
        <w:rPr>
          <w:rFonts w:ascii="Barlow Semi Condensed" w:cs="Barlow Semi Condensed" w:eastAsia="Barlow Semi Condensed" w:hAnsi="Barlow Semi Condensed"/>
          <w:sz w:val="24"/>
          <w:szCs w:val="24"/>
        </w:rPr>
        <w:t xml:space="preserve">Quinta: la documentazione idonea alle due vie comparative del Capitolo quarantasettesimo, per operazioni analoghe dei medesimi uffici nel medesimo periodo.</w:t>
      </w:r>
    </w:p>
    <w:p>
      <w:pPr>
        <w:spacing w:after="120" w:line="276"/>
        <w:jc w:val="both"/>
      </w:pPr>
      <w:r>
        <w:rPr>
          <w:rFonts w:ascii="Barlow Semi Condensed" w:cs="Barlow Semi Condensed" w:eastAsia="Barlow Semi Condensed" w:hAnsi="Barlow Semi Condensed"/>
          <w:sz w:val="24"/>
          <w:szCs w:val="24"/>
        </w:rPr>
        <w:t xml:space="preserve">Sesta: il collasso genealogico delle fonti impiegate in questa materia, per verificare quante catene realmente indipendenti sussistano prima di computare qualsiasi convergenza.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14 agosto 2026. Cantiere: Fase Quinta, le omissioni. Materia: quattro elementi consegnati, esaminati con test in tre tempi.</w:t>
      </w:r>
    </w:p>
    <w:p>
      <w:pPr>
        <w:spacing w:after="120" w:line="276"/>
        <w:jc w:val="both"/>
      </w:pPr>
      <w:r>
        <w:rPr>
          <w:rFonts w:ascii="Barlow Semi Condensed" w:cs="Barlow Semi Condensed" w:eastAsia="Barlow Semi Condensed" w:hAnsi="Barlow Semi Condensed"/>
          <w:sz w:val="24"/>
          <w:szCs w:val="24"/>
        </w:rPr>
        <w:t xml:space="preserve">Esito: un accertamento in stato di sciolto quanto alla natura deliberata di un atto di interferenza; un inadempimento accertato con spiegabilità aperta; due test arrestati per difetto di elementi. Tre strumenti istituiti. Sei acquisizioni documentali iscritte in tavola.</w:t>
      </w:r>
    </w:p>
    <w:p>
      <w:pPr>
        <w:spacing w:after="120" w:line="276"/>
        <w:jc w:val="both"/>
      </w:pPr>
      <w:r>
        <w:rPr>
          <w:rFonts w:ascii="Barlow Semi Condensed" w:cs="Barlow Semi Condensed" w:eastAsia="Barlow Semi Condensed" w:hAnsi="Barlow Semi Condensed"/>
          <w:sz w:val="24"/>
          <w:szCs w:val="24"/>
        </w:rPr>
        <w:t xml:space="preserve">Riga di esito nullo. Nessuna delle circostanze esaminate è risultata qualificabile come omissione deliberata allo stato degli atti. L'esito negativo è registrato con la dignità che gli compete e non è una assoluzione: è la constatazione che il test si è arrestato per mancanza di carte, e le carte mancanti sono state nominate.</w:t>
      </w:r>
    </w:p>
    <w:p>
      <w:pPr>
        <w:spacing w:after="120" w:line="276"/>
        <w:jc w:val="both"/>
      </w:pPr>
      <w:r>
        <w:rPr>
          <w:rFonts w:ascii="Barlow Semi Condensed" w:cs="Barlow Semi Condensed" w:eastAsia="Barlow Semi Condensed" w:hAnsi="Barlow Semi Condensed"/>
          <w:sz w:val="24"/>
          <w:szCs w:val="24"/>
        </w:rPr>
        <w:t xml:space="preserve">Riga di avvertenza. La Fase non ha attribuito condotte a persone. Le funzioni sono state designate come tali, e la ragione è enunciata al Capitolo quarantunesimo: ciò che gli atti documentano è che una funzione non compì un atto, non che la persona che la esercitava volle non compierlo.</w:t>
      </w:r>
    </w:p>
    <w:p>
      <w:pPr>
        <w:spacing w:after="120" w:line="276"/>
        <w:jc w:val="both"/>
      </w:pPr>
      <w:r>
        <w:rPr>
          <w:rFonts w:ascii="Barlow Semi Condensed" w:cs="Barlow Semi Condensed" w:eastAsia="Barlow Semi Condensed" w:hAnsi="Barlow Semi Condensed"/>
          <w:sz w:val="24"/>
          <w:szCs w:val="24"/>
        </w:rPr>
        <w:t xml:space="preserve">Riga di consegna. Si consegna alla Fase Sesta l'accertamento dell'esistenza di un terzo soggetto operante sulla vicenda, capace di produrre falso credibile e interessato a produrlo. È il fatto più solido prodotto da questa Fase, ed è alla Fase degli attori che compete stabilire, se sarà possibile, chi esso fosse.</w:t>
      </w:r>
    </w:p>
    <w:p>
      <w:pPr>
        <w:pStyle w:val="Heading2"/>
        <w:spacing w:after="100" w:before="200"/>
      </w:pPr>
      <w:r>
        <w:rPr>
          <w:rFonts w:ascii="Barlow Semi Condensed" w:cs="Barlow Semi Condensed" w:eastAsia="Barlow Semi Condensed" w:hAnsi="Barlow Semi Condensed"/>
          <w:sz w:val="24"/>
          <w:szCs w:val="24"/>
        </w:rPr>
        <w:t xml:space="preserve">FASE SESTA — GLI ATTORI</w:t>
      </w:r>
    </w:p>
    <w:p>
      <w:pPr>
        <w:spacing w:after="120" w:line="276"/>
        <w:jc w:val="both"/>
      </w:pPr>
      <w:r>
        <w:rPr>
          <w:rFonts w:ascii="Barlow Semi Condensed" w:cs="Barlow Semi Condensed" w:eastAsia="Barlow Semi Condensed" w:hAnsi="Barlow Semi Condensed"/>
          <w:sz w:val="24"/>
          <w:szCs w:val="24"/>
        </w:rPr>
        <w:t xml:space="preserve">Dove si separano chi esegui, chi organizzo e chi volle; si applica la scala del vincolo ai dichiaranti; e si dichiara vuoto il terzo livello.</w:t>
      </w:r>
    </w:p>
    <w:p>
      <w:pPr>
        <w:pStyle w:val="Heading2"/>
        <w:spacing w:after="100" w:before="200"/>
      </w:pPr>
      <w:r>
        <w:rPr>
          <w:rFonts w:ascii="Barlow Semi Condensed" w:cs="Barlow Semi Condensed" w:eastAsia="Barlow Semi Condensed" w:hAnsi="Barlow Semi Condensed"/>
          <w:sz w:val="24"/>
          <w:szCs w:val="24"/>
        </w:rPr>
        <w:t xml:space="preserve">Capitolo cinquantunesimo — I tre livelli di responsabilità</w:t>
      </w:r>
    </w:p>
    <w:p>
      <w:pPr>
        <w:spacing w:after="120" w:line="276"/>
        <w:jc w:val="both"/>
      </w:pPr>
      <w:r>
        <w:rPr>
          <w:rFonts w:ascii="Barlow Semi Condensed" w:cs="Barlow Semi Condensed" w:eastAsia="Barlow Semi Condensed" w:hAnsi="Barlow Semi Condensed"/>
          <w:sz w:val="24"/>
          <w:szCs w:val="24"/>
        </w:rPr>
        <w:t xml:space="preserve">Questa Fase ha per oggetto gli attori. Essa è quella nella quale la struttura rinnovata dell'opera si giustifica maggiormente, perché la struttura anteriore teneva insieme in una sola Fase ciò che qui si tiene distinto: chi eseguì, chi organizzò, chi volle.</w:t>
      </w:r>
    </w:p>
    <w:p>
      <w:pPr>
        <w:pStyle w:val="Heading2"/>
        <w:spacing w:after="100" w:before="200"/>
      </w:pPr>
      <w:r>
        <w:rPr>
          <w:rFonts w:ascii="Barlow Semi Condensed" w:cs="Barlow Semi Condensed" w:eastAsia="Barlow Semi Condensed" w:hAnsi="Barlow Semi Condensed"/>
          <w:sz w:val="24"/>
          <w:szCs w:val="24"/>
        </w:rPr>
        <w:t xml:space="preserve">Perché i tre livelli non si confondono</w:t>
      </w:r>
    </w:p>
    <w:p>
      <w:pPr>
        <w:spacing w:after="120" w:line="276"/>
        <w:jc w:val="both"/>
      </w:pPr>
      <w:r>
        <w:rPr>
          <w:rFonts w:ascii="Barlow Semi Condensed" w:cs="Barlow Semi Condensed" w:eastAsia="Barlow Semi Condensed" w:hAnsi="Barlow Semi Condensed"/>
          <w:sz w:val="24"/>
          <w:szCs w:val="24"/>
        </w:rPr>
        <w:t xml:space="preserve">La distinzione non è di grado ma di natura, e ciascun livello richiede una prova diversa.</w:t>
      </w:r>
    </w:p>
    <w:p>
      <w:pPr>
        <w:spacing w:after="120" w:line="276"/>
        <w:jc w:val="both"/>
      </w:pPr>
      <w:r>
        <w:rPr>
          <w:rFonts w:ascii="Barlow Semi Condensed" w:cs="Barlow Semi Condensed" w:eastAsia="Barlow Semi Condensed" w:hAnsi="Barlow Semi Condensed"/>
          <w:sz w:val="24"/>
          <w:szCs w:val="24"/>
        </w:rPr>
        <w:t xml:space="preserve">Il primo livello è l'esecuzione. Chi impugnò le armi, chi guidò i veicoli, chi custodì il prigioniero. La prova richiesta è quella ordinaria del fatto criminoso: rilievi, riscontri, dichiarazioni riscontrate. È il livello sul quale la giurisdizione ha competenza propria e si è pronunciata.</w:t>
      </w:r>
    </w:p>
    <w:p>
      <w:pPr>
        <w:spacing w:after="120" w:line="276"/>
        <w:jc w:val="both"/>
      </w:pPr>
      <w:r>
        <w:rPr>
          <w:rFonts w:ascii="Barlow Semi Condensed" w:cs="Barlow Semi Condensed" w:eastAsia="Barlow Semi Condensed" w:hAnsi="Barlow Semi Condensed"/>
          <w:sz w:val="24"/>
          <w:szCs w:val="24"/>
        </w:rPr>
        <w:t xml:space="preserve">Il secondo livello è l'organizzazione. Chi decise l'operazione, ne stabilì il bersaglio e il momento, ne coordinò le fasi. La prova richiesta è quella dell'appartenenza a un organismo decisionale e della partecipazione alla deliberazione. Essa è più difficile della prima perché non lascia tracce materiali, e poggia in misura prevalente su dichiarazioni.</w:t>
      </w:r>
    </w:p>
    <w:p>
      <w:pPr>
        <w:spacing w:after="120" w:line="276"/>
        <w:jc w:val="both"/>
      </w:pPr>
      <w:r>
        <w:rPr>
          <w:rFonts w:ascii="Barlow Semi Condensed" w:cs="Barlow Semi Condensed" w:eastAsia="Barlow Semi Condensed" w:hAnsi="Barlow Semi Condensed"/>
          <w:sz w:val="24"/>
          <w:szCs w:val="24"/>
        </w:rPr>
        <w:t xml:space="preserve">Il terzo livello è la volontà ultima. Chi volle che l'operazione avvenisse, se diverso da chi la deliberò. La prova richiesta è quella dell'esistenza di una determinazione esterna all'organismo che deliberò, e della sua efficacia su di esso.</w:t>
      </w:r>
    </w:p>
    <w:p>
      <w:pPr>
        <w:pStyle w:val="Heading2"/>
        <w:spacing w:after="100" w:before="200"/>
      </w:pPr>
      <w:r>
        <w:rPr>
          <w:rFonts w:ascii="Barlow Semi Condensed" w:cs="Barlow Semi Condensed" w:eastAsia="Barlow Semi Condensed" w:hAnsi="Barlow Semi Condensed"/>
          <w:sz w:val="24"/>
          <w:szCs w:val="24"/>
        </w:rPr>
        <w:t xml:space="preserve">La confusione da evitare</w:t>
      </w:r>
    </w:p>
    <w:p>
      <w:pPr>
        <w:spacing w:after="120" w:line="276"/>
        <w:jc w:val="both"/>
      </w:pPr>
      <w:r>
        <w:rPr>
          <w:rFonts w:ascii="Barlow Semi Condensed" w:cs="Barlow Semi Condensed" w:eastAsia="Barlow Semi Condensed" w:hAnsi="Barlow Semi Condensed"/>
          <w:sz w:val="24"/>
          <w:szCs w:val="24"/>
        </w:rPr>
        <w:t xml:space="preserve">La confusione più diffusa consiste nel trattare i tre livelli come una scala verso l'alto, sulla quale si sale per gradi: accertati gli esecutori, si risale agli organizzatori; accertati gli organizzatori, si risale ai mandanti.</w:t>
      </w:r>
    </w:p>
    <w:p>
      <w:pPr>
        <w:spacing w:after="120" w:line="276"/>
        <w:jc w:val="both"/>
      </w:pPr>
      <w:r>
        <w:rPr>
          <w:rFonts w:ascii="Barlow Semi Condensed" w:cs="Barlow Semi Condensed" w:eastAsia="Barlow Semi Condensed" w:hAnsi="Barlow Semi Condensed"/>
          <w:sz w:val="24"/>
          <w:szCs w:val="24"/>
        </w:rPr>
        <w:t xml:space="preserve">Questa rappresentazione è ingannevole per una ragione precisa: essa presuppone che il terzo livello esista. Ma l'esistenza del terzo livello è essa stessa una proposizione da provare, e non una conseguenza dei primi due.</w:t>
      </w:r>
    </w:p>
    <w:p>
      <w:pPr>
        <w:spacing w:after="120" w:line="276"/>
        <w:jc w:val="both"/>
      </w:pPr>
      <w:r>
        <w:rPr>
          <w:rFonts w:ascii="Barlow Semi Condensed" w:cs="Barlow Semi Condensed" w:eastAsia="Barlow Semi Condensed" w:hAnsi="Barlow Semi Condensed"/>
          <w:sz w:val="24"/>
          <w:szCs w:val="24"/>
        </w:rPr>
        <w:t xml:space="preserve">Un'operazione può avere due livelli soltanto. Un organismo che deliberi autonomamente e faccia eseguire da propri membri esaurisce la catena. Che vi sia un terzo livello è ipotesi, non struttura necessaria.</w:t>
      </w:r>
    </w:p>
    <w:p>
      <w:pPr>
        <w:spacing w:after="120" w:line="276"/>
        <w:jc w:val="both"/>
      </w:pPr>
      <w:r>
        <w:rPr>
          <w:rFonts w:ascii="Barlow Semi Condensed" w:cs="Barlow Semi Condensed" w:eastAsia="Barlow Semi Condensed" w:hAnsi="Barlow Semi Condensed"/>
          <w:sz w:val="24"/>
          <w:szCs w:val="24"/>
        </w:rPr>
        <w:t xml:space="preserve">Chi tratti la risalita come un cammino obbligato è indotto a cercare il terzo livello perché la scala lo prevede, e a trovarlo perché lo cerca. La scala non lo prevede: la scala ha tanti gradini quanti la prova ne stabilisce.</w:t>
      </w:r>
    </w:p>
    <w:p>
      <w:pPr>
        <w:pStyle w:val="Heading2"/>
        <w:spacing w:after="100" w:before="200"/>
      </w:pPr>
      <w:r>
        <w:rPr>
          <w:rFonts w:ascii="Barlow Semi Condensed" w:cs="Barlow Semi Condensed" w:eastAsia="Barlow Semi Condensed" w:hAnsi="Barlow Semi Condensed"/>
          <w:sz w:val="24"/>
          <w:szCs w:val="24"/>
        </w:rPr>
        <w:t xml:space="preserve">La disposizione della Fase</w:t>
      </w:r>
    </w:p>
    <w:p>
      <w:pPr>
        <w:spacing w:after="120" w:line="276"/>
        <w:jc w:val="both"/>
      </w:pPr>
      <w:r>
        <w:rPr>
          <w:rFonts w:ascii="Barlow Semi Condensed" w:cs="Barlow Semi Condensed" w:eastAsia="Barlow Semi Condensed" w:hAnsi="Barlow Semi Condensed"/>
          <w:sz w:val="24"/>
          <w:szCs w:val="24"/>
        </w:rPr>
        <w:t xml:space="preserve">Ne discende la disposizione seguente. I tre livelli sono esaminati separatamente, ciascuno con la propria prova, e nessuno è impiegato come premessa dell'altro.</w:t>
      </w:r>
    </w:p>
    <w:p>
      <w:pPr>
        <w:spacing w:after="120" w:line="276"/>
        <w:jc w:val="both"/>
      </w:pPr>
      <w:r>
        <w:rPr>
          <w:rFonts w:ascii="Barlow Semi Condensed" w:cs="Barlow Semi Condensed" w:eastAsia="Barlow Semi Condensed" w:hAnsi="Barlow Semi Condensed"/>
          <w:sz w:val="24"/>
          <w:szCs w:val="24"/>
        </w:rPr>
        <w:t xml:space="preserve">In particolare, l'accertamento del primo livello non fonda alcuna presunzione sul secondo, e l'accertamento del secondo non fonda alcuna presunzione sul terzo. Il terzo livello sarà dichiarato accertato se e solo se prove proprie lo sostengono, e sarà dichiarato non accertato in caso contrario, senza che la sua vacanza sia colmata da inferenze.</w:t>
      </w:r>
    </w:p>
    <w:p>
      <w:pPr>
        <w:pStyle w:val="Heading2"/>
        <w:spacing w:after="100" w:before="200"/>
      </w:pPr>
      <w:r>
        <w:rPr>
          <w:rFonts w:ascii="Barlow Semi Condensed" w:cs="Barlow Semi Condensed" w:eastAsia="Barlow Semi Condensed" w:hAnsi="Barlow Semi Condensed"/>
          <w:sz w:val="24"/>
          <w:szCs w:val="24"/>
        </w:rPr>
        <w:t xml:space="preserve">La designazione</w:t>
      </w:r>
    </w:p>
    <w:p>
      <w:pPr>
        <w:spacing w:after="120" w:line="276"/>
        <w:jc w:val="both"/>
      </w:pPr>
      <w:r>
        <w:rPr>
          <w:rFonts w:ascii="Barlow Semi Condensed" w:cs="Barlow Semi Condensed" w:eastAsia="Barlow Semi Condensed" w:hAnsi="Barlow Semi Condensed"/>
          <w:sz w:val="24"/>
          <w:szCs w:val="24"/>
        </w:rPr>
        <w:t xml:space="preserve">Si conferma in questa Fase, e vi si applica con particolare rigore, la disciplina della designazione per funzione.</w:t>
      </w:r>
    </w:p>
    <w:p>
      <w:pPr>
        <w:spacing w:after="120" w:line="276"/>
        <w:jc w:val="both"/>
      </w:pPr>
      <w:r>
        <w:rPr>
          <w:rFonts w:ascii="Barlow Semi Condensed" w:cs="Barlow Semi Condensed" w:eastAsia="Barlow Semi Condensed" w:hAnsi="Barlow Semi Condensed"/>
          <w:sz w:val="24"/>
          <w:szCs w:val="24"/>
        </w:rPr>
        <w:t xml:space="preserve">Le persone condannate con sentenza definitiva per i fatti sono note e i loro nomi sono negli atti pubblici. Quest'opera non li ripete, e conviene dire perché, poiché qui la ragione non è la stessa dei Capitoli precedenti.</w:t>
      </w:r>
    </w:p>
    <w:p>
      <w:pPr>
        <w:spacing w:after="120" w:line="276"/>
        <w:jc w:val="both"/>
      </w:pPr>
      <w:r>
        <w:rPr>
          <w:rFonts w:ascii="Barlow Semi Condensed" w:cs="Barlow Semi Condensed" w:eastAsia="Barlow Semi Condensed" w:hAnsi="Barlow Semi Condensed"/>
          <w:sz w:val="24"/>
          <w:szCs w:val="24"/>
        </w:rPr>
        <w:t xml:space="preserve">Non è per proteggerle: la condanna definitiva è un fatto pubblico e la sua menzione non offende alcuno.</w:t>
      </w:r>
    </w:p>
    <w:p>
      <w:pPr>
        <w:spacing w:after="120" w:line="276"/>
        <w:jc w:val="both"/>
      </w:pPr>
      <w:r>
        <w:rPr>
          <w:rFonts w:ascii="Barlow Semi Condensed" w:cs="Barlow Semi Condensed" w:eastAsia="Barlow Semi Condensed" w:hAnsi="Barlow Semi Condensed"/>
          <w:sz w:val="24"/>
          <w:szCs w:val="24"/>
        </w:rPr>
        <w:t xml:space="preserve">È perché la ripetizione dei nomi non aggiunge nulla all'oggetto di questa Fase, che non è l'individuazione delle persone — già compiuta dalla giurisdizione, che ne ha titolo — ma la ricostruzione della struttura della responsabilità. Per tale ricostruzione ciò che rileva è il ruolo, e il ruolo si designa per funzione.</w:t>
      </w:r>
    </w:p>
    <w:p>
      <w:pPr>
        <w:spacing w:after="120" w:line="276"/>
        <w:jc w:val="both"/>
      </w:pPr>
      <w:r>
        <w:rPr>
          <w:rFonts w:ascii="Barlow Semi Condensed" w:cs="Barlow Semi Condensed" w:eastAsia="Barlow Semi Condensed" w:hAnsi="Barlow Semi Condensed"/>
          <w:sz w:val="24"/>
          <w:szCs w:val="24"/>
        </w:rPr>
        <w:t xml:space="preserve">Vi è inoltre una ragione di misura. Un registro che elenchi nomi di condannati produce, per il solo effetto dell'elenco, un rinnovo di esposizione che nessuna necessità documentale giustifica.</w:t>
      </w:r>
    </w:p>
    <w:p>
      <w:pPr>
        <w:pStyle w:val="Heading2"/>
        <w:spacing w:after="100" w:before="200"/>
      </w:pPr>
      <w:r>
        <w:rPr>
          <w:rFonts w:ascii="Barlow Semi Condensed" w:cs="Barlow Semi Condensed" w:eastAsia="Barlow Semi Condensed" w:hAnsi="Barlow Semi Condensed"/>
          <w:sz w:val="24"/>
          <w:szCs w:val="24"/>
        </w:rPr>
        <w:t xml:space="preserve">Capitolo cinquantaduesimo — La scala del vincolo applicata ai dichiaranti</w:t>
      </w:r>
    </w:p>
    <w:p>
      <w:pPr>
        <w:spacing w:after="120" w:line="276"/>
        <w:jc w:val="both"/>
      </w:pPr>
      <w:r>
        <w:rPr>
          <w:rFonts w:ascii="Barlow Semi Condensed" w:cs="Barlow Semi Condensed" w:eastAsia="Barlow Semi Condensed" w:hAnsi="Barlow Semi Condensed"/>
          <w:sz w:val="24"/>
          <w:szCs w:val="24"/>
        </w:rPr>
        <w:t xml:space="preserve">La Fase Quarta ha raccomandato di applicare la scala del vincolo, istituita per le carte della prigionia, anche alle dichiarazioni delle persone coinvolte. Si dà qui esecuzione alla raccomandazione, perché questa Fase poggia su tali dichiarazioni più di ogni altra.</w:t>
      </w:r>
    </w:p>
    <w:p>
      <w:pPr>
        <w:pStyle w:val="Heading2"/>
        <w:spacing w:after="100" w:before="200"/>
      </w:pPr>
      <w:r>
        <w:rPr>
          <w:rFonts w:ascii="Barlow Semi Condensed" w:cs="Barlow Semi Condensed" w:eastAsia="Barlow Semi Condensed" w:hAnsi="Barlow Semi Condensed"/>
          <w:sz w:val="24"/>
          <w:szCs w:val="24"/>
        </w:rPr>
        <w:t xml:space="preserve">Perché la scala si applica</w:t>
      </w:r>
    </w:p>
    <w:p>
      <w:pPr>
        <w:spacing w:after="120" w:line="276"/>
        <w:jc w:val="both"/>
      </w:pPr>
      <w:r>
        <w:rPr>
          <w:rFonts w:ascii="Barlow Semi Condensed" w:cs="Barlow Semi Condensed" w:eastAsia="Barlow Semi Condensed" w:hAnsi="Barlow Semi Condensed"/>
          <w:sz w:val="24"/>
          <w:szCs w:val="24"/>
        </w:rPr>
        <w:t xml:space="preserve">La Fase Terza ha accertato che una parte preponderante della ricostruzione degli attori poggia su dichiarazioni rese da persone coinvolte, in tempi successivi ai fatti e con revisioni.</w:t>
      </w:r>
    </w:p>
    <w:p>
      <w:pPr>
        <w:spacing w:after="120" w:line="276"/>
        <w:jc w:val="both"/>
      </w:pPr>
      <w:r>
        <w:rPr>
          <w:rFonts w:ascii="Barlow Semi Condensed" w:cs="Barlow Semi Condensed" w:eastAsia="Barlow Semi Condensed" w:hAnsi="Barlow Semi Condensed"/>
          <w:sz w:val="24"/>
          <w:szCs w:val="24"/>
        </w:rPr>
        <w:t xml:space="preserve">Tali dichiarazioni sono enunciati resi sotto vincolo. Il vincolo è di natura diversa da quello della prigionia, ed è di tre specie.</w:t>
      </w:r>
    </w:p>
    <w:p>
      <w:pPr>
        <w:spacing w:after="120" w:line="276"/>
        <w:jc w:val="both"/>
      </w:pPr>
      <w:r>
        <w:rPr>
          <w:rFonts w:ascii="Barlow Semi Condensed" w:cs="Barlow Semi Condensed" w:eastAsia="Barlow Semi Condensed" w:hAnsi="Barlow Semi Condensed"/>
          <w:sz w:val="24"/>
          <w:szCs w:val="24"/>
        </w:rPr>
        <w:t xml:space="preserve">Prima specie: il vincolo processuale. Chi dichiara mentre è sottoposto a procedimento, o ne attende gli effetti, dichiara in condizione nella quale il contenuto incide sulla propria posizione.</w:t>
      </w:r>
    </w:p>
    <w:p>
      <w:pPr>
        <w:spacing w:after="120" w:line="276"/>
        <w:jc w:val="both"/>
      </w:pPr>
      <w:r>
        <w:rPr>
          <w:rFonts w:ascii="Barlow Semi Condensed" w:cs="Barlow Semi Condensed" w:eastAsia="Barlow Semi Condensed" w:hAnsi="Barlow Semi Condensed"/>
          <w:sz w:val="24"/>
          <w:szCs w:val="24"/>
        </w:rPr>
        <w:t xml:space="preserve">Seconda specie: il vincolo di appartenenza. Chi dichiara restando legato, anche solo idealmente, a un gruppo dichiara in condizione nella quale il contenuto incide sui compagni.</w:t>
      </w:r>
    </w:p>
    <w:p>
      <w:pPr>
        <w:spacing w:after="120" w:line="276"/>
        <w:jc w:val="both"/>
      </w:pPr>
      <w:r>
        <w:rPr>
          <w:rFonts w:ascii="Barlow Semi Condensed" w:cs="Barlow Semi Condensed" w:eastAsia="Barlow Semi Condensed" w:hAnsi="Barlow Semi Condensed"/>
          <w:sz w:val="24"/>
          <w:szCs w:val="24"/>
        </w:rPr>
        <w:t xml:space="preserve">Terza specie: il vincolo di coerenza. Chi ha già dichiarato dichiara in condizione nella quale il contenuto incide sulla credibilità delle proprie dichiarazioni anteriori. È il vincolo meno riconosciuto e il più insidioso, perché opera anche su chi non abbia più interesse processuale né appartenenza.</w:t>
      </w:r>
    </w:p>
    <w:p>
      <w:pPr>
        <w:pStyle w:val="Heading2"/>
        <w:spacing w:after="100" w:before="200"/>
      </w:pPr>
      <w:r>
        <w:rPr>
          <w:rFonts w:ascii="Barlow Semi Condensed" w:cs="Barlow Semi Condensed" w:eastAsia="Barlow Semi Condensed" w:hAnsi="Barlow Semi Condensed"/>
          <w:sz w:val="24"/>
          <w:szCs w:val="24"/>
        </w:rPr>
        <w:t xml:space="preserve">I quattro gradi applicati</w:t>
      </w:r>
    </w:p>
    <w:p>
      <w:pPr>
        <w:spacing w:after="120" w:line="276"/>
        <w:jc w:val="both"/>
      </w:pPr>
      <w:r>
        <w:rPr>
          <w:rFonts w:ascii="Barlow Semi Condensed" w:cs="Barlow Semi Condensed" w:eastAsia="Barlow Semi Condensed" w:hAnsi="Barlow Semi Condensed"/>
          <w:sz w:val="24"/>
          <w:szCs w:val="24"/>
        </w:rPr>
        <w:t xml:space="preserve">Primo grado, non vincolato: enunciati il cui contenuto è indifferente rispetto alla posizione del dichiarante, dei suoi compagni e delle sue dichiarazioni anteriori.</w:t>
      </w:r>
    </w:p>
    <w:p>
      <w:pPr>
        <w:spacing w:after="120" w:line="276"/>
        <w:jc w:val="both"/>
      </w:pPr>
      <w:r>
        <w:rPr>
          <w:rFonts w:ascii="Barlow Semi Condensed" w:cs="Barlow Semi Condensed" w:eastAsia="Barlow Semi Condensed" w:hAnsi="Barlow Semi Condensed"/>
          <w:sz w:val="24"/>
          <w:szCs w:val="24"/>
        </w:rPr>
        <w:t xml:space="preserve">Secondo grado, debolmente vincolato: enunciati che incidono su materie di interesse generico, e che sono coerenti con elementi materiali accertati indipendentemente.</w:t>
      </w:r>
    </w:p>
    <w:p>
      <w:pPr>
        <w:spacing w:after="120" w:line="276"/>
        <w:jc w:val="both"/>
      </w:pPr>
      <w:r>
        <w:rPr>
          <w:rFonts w:ascii="Barlow Semi Condensed" w:cs="Barlow Semi Condensed" w:eastAsia="Barlow Semi Condensed" w:hAnsi="Barlow Semi Condensed"/>
          <w:sz w:val="24"/>
          <w:szCs w:val="24"/>
        </w:rPr>
        <w:t xml:space="preserve">Terzo grado, fortemente vincolato: enunciati che attribuiscono condotte, a sé o ad altri, e che incidono su posizioni processuali. Vi rientra la quasi totalità delle attribuzioni individuali.</w:t>
      </w:r>
    </w:p>
    <w:p>
      <w:pPr>
        <w:spacing w:after="120" w:line="276"/>
        <w:jc w:val="both"/>
      </w:pPr>
      <w:r>
        <w:rPr>
          <w:rFonts w:ascii="Barlow Semi Condensed" w:cs="Barlow Semi Condensed" w:eastAsia="Barlow Semi Condensed" w:hAnsi="Barlow Semi Condensed"/>
          <w:sz w:val="24"/>
          <w:szCs w:val="24"/>
        </w:rPr>
        <w:t xml:space="preserve">Quarto grado, di provenienza dubbia: enunciati sopravvenuti che modificano attribuzioni anteriori senza che sia dichiarato il motivo del mutamento.</w:t>
      </w:r>
    </w:p>
    <w:p>
      <w:pPr>
        <w:pStyle w:val="Heading2"/>
        <w:spacing w:after="100" w:before="200"/>
      </w:pPr>
      <w:r>
        <w:rPr>
          <w:rFonts w:ascii="Barlow Semi Condensed" w:cs="Barlow Semi Condensed" w:eastAsia="Barlow Semi Condensed" w:hAnsi="Barlow Semi Condensed"/>
          <w:sz w:val="24"/>
          <w:szCs w:val="24"/>
        </w:rPr>
        <w:t xml:space="preserve">La conseguenza operativa</w:t>
      </w:r>
    </w:p>
    <w:p>
      <w:pPr>
        <w:spacing w:after="120" w:line="276"/>
        <w:jc w:val="both"/>
      </w:pPr>
      <w:r>
        <w:rPr>
          <w:rFonts w:ascii="Barlow Semi Condensed" w:cs="Barlow Semi Condensed" w:eastAsia="Barlow Semi Condensed" w:hAnsi="Barlow Semi Condensed"/>
          <w:sz w:val="24"/>
          <w:szCs w:val="24"/>
        </w:rPr>
        <w:t xml:space="preserve">Ne discende la disposizione che governa questa Fase.</w:t>
      </w:r>
    </w:p>
    <w:p>
      <w:pPr>
        <w:spacing w:after="120" w:line="276"/>
        <w:jc w:val="both"/>
      </w:pPr>
      <w:r>
        <w:rPr>
          <w:rFonts w:ascii="Barlow Semi Condensed" w:cs="Barlow Semi Condensed" w:eastAsia="Barlow Semi Condensed" w:hAnsi="Barlow Semi Condensed"/>
          <w:sz w:val="24"/>
          <w:szCs w:val="24"/>
        </w:rPr>
        <w:t xml:space="preserve">Gli enunciati di terzo grado attestano che il dichiarante li ha resi, e null'altro. Essi non sono impiegati come prova dell'attribuzione che contengono, se non ove riscontrati da elementi indipendenti.</w:t>
      </w:r>
    </w:p>
    <w:p>
      <w:pPr>
        <w:spacing w:after="120" w:line="276"/>
        <w:jc w:val="both"/>
      </w:pPr>
      <w:r>
        <w:rPr>
          <w:rFonts w:ascii="Barlow Semi Condensed" w:cs="Barlow Semi Condensed" w:eastAsia="Barlow Semi Condensed" w:hAnsi="Barlow Semi Condensed"/>
          <w:sz w:val="24"/>
          <w:szCs w:val="24"/>
        </w:rPr>
        <w:t xml:space="preserve">La disposizione ha un effetto che va dichiarato senza attenuazioni: essa priva questa Fase della maggior parte delle attribuzioni individuali correntemente accolte.</w:t>
      </w:r>
    </w:p>
    <w:p>
      <w:pPr>
        <w:spacing w:after="120" w:line="276"/>
        <w:jc w:val="both"/>
      </w:pPr>
      <w:r>
        <w:rPr>
          <w:rFonts w:ascii="Barlow Semi Condensed" w:cs="Barlow Semi Condensed" w:eastAsia="Barlow Semi Condensed" w:hAnsi="Barlow Semi Condensed"/>
          <w:sz w:val="24"/>
          <w:szCs w:val="24"/>
        </w:rPr>
        <w:t xml:space="preserve">Occorre però precisare immediatamente ciò che la disposizione non tocca, perché altrimenti si presterebbe a un fraintendimento grave.</w:t>
      </w:r>
    </w:p>
    <w:p>
      <w:pPr>
        <w:spacing w:after="120" w:line="276"/>
        <w:jc w:val="both"/>
      </w:pPr>
      <w:r>
        <w:rPr>
          <w:rFonts w:ascii="Barlow Semi Condensed" w:cs="Barlow Semi Condensed" w:eastAsia="Barlow Semi Condensed" w:hAnsi="Barlow Semi Condensed"/>
          <w:sz w:val="24"/>
          <w:szCs w:val="24"/>
        </w:rPr>
        <w:t xml:space="preserve">Essa non tocca gli accertamenti giudiziari. Le sentenze definitive hanno accertato responsabilità individuali secondo le regole del processo, che comprendono la valutazione di attendibilità dei dichiaranti condotta nel contraddittorio delle parti, con strumenti che un registro non possiede. Quest'opera non riesamina gli accertamenti giudiziari e non ne mette in discussione la validità.</w:t>
      </w:r>
    </w:p>
    <w:p>
      <w:pPr>
        <w:spacing w:after="120" w:line="276"/>
        <w:jc w:val="both"/>
      </w:pPr>
      <w:r>
        <w:rPr>
          <w:rFonts w:ascii="Barlow Semi Condensed" w:cs="Barlow Semi Condensed" w:eastAsia="Barlow Semi Condensed" w:hAnsi="Barlow Semi Condensed"/>
          <w:sz w:val="24"/>
          <w:szCs w:val="24"/>
        </w:rPr>
        <w:t xml:space="preserve">La disposizione tocca l'uso storiografico delle dichiarazioni oltre il perimetro dell'accertato in giudizio: le attribuzioni non consacrate in sentenza, le ricostruzioni di dettaglio, le versioni successive che modificano il quadro. Su queste, e solo su queste, la scala opera.</w:t>
      </w:r>
    </w:p>
    <w:p>
      <w:pPr>
        <w:pStyle w:val="Heading2"/>
        <w:spacing w:after="100" w:before="200"/>
      </w:pPr>
      <w:r>
        <w:rPr>
          <w:rFonts w:ascii="Barlow Semi Condensed" w:cs="Barlow Semi Condensed" w:eastAsia="Barlow Semi Condensed" w:hAnsi="Barlow Semi Condensed"/>
          <w:sz w:val="24"/>
          <w:szCs w:val="24"/>
        </w:rPr>
        <w:t xml:space="preserve">Capitolo cinquantatreesimo — Il collasso genealogico delle fonti</w:t>
      </w:r>
    </w:p>
    <w:p>
      <w:pPr>
        <w:spacing w:after="120" w:line="276"/>
        <w:jc w:val="both"/>
      </w:pPr>
      <w:r>
        <w:rPr>
          <w:rFonts w:ascii="Barlow Semi Condensed" w:cs="Barlow Semi Condensed" w:eastAsia="Barlow Semi Condensed" w:hAnsi="Barlow Semi Condensed"/>
          <w:sz w:val="24"/>
          <w:szCs w:val="24"/>
        </w:rPr>
        <w:t xml:space="preserve">La Fase Quinta ha iscritto in tavola una verifica che qui si esegue in linea di principio, essendo indispensabile a questa Fase: stabilire quante catene di fonti realmente indipendenti sussistano prima di computare qualsiasi convergenza.</w:t>
      </w:r>
    </w:p>
    <w:p>
      <w:pPr>
        <w:pStyle w:val="Heading2"/>
        <w:spacing w:after="100" w:before="200"/>
      </w:pPr>
      <w:r>
        <w:rPr>
          <w:rFonts w:ascii="Barlow Semi Condensed" w:cs="Barlow Semi Condensed" w:eastAsia="Barlow Semi Condensed" w:hAnsi="Barlow Semi Condensed"/>
          <w:sz w:val="24"/>
          <w:szCs w:val="24"/>
        </w:rPr>
        <w:t xml:space="preserve">Il problema</w:t>
      </w:r>
    </w:p>
    <w:p>
      <w:pPr>
        <w:spacing w:after="120" w:line="276"/>
        <w:jc w:val="both"/>
      </w:pPr>
      <w:r>
        <w:rPr>
          <w:rFonts w:ascii="Barlow Semi Condensed" w:cs="Barlow Semi Condensed" w:eastAsia="Barlow Semi Condensed" w:hAnsi="Barlow Semi Condensed"/>
          <w:sz w:val="24"/>
          <w:szCs w:val="24"/>
        </w:rPr>
        <w:t xml:space="preserve">Una convergenza di fonti ha valore probatorio se e solo se le fonti sono indipendenti. Se sei fonti convergono su un punto, ma tutte e sei discendono da un medesimo evento originario, la convergenza è di uno e non di sei.</w:t>
      </w:r>
    </w:p>
    <w:p>
      <w:pPr>
        <w:spacing w:after="120" w:line="276"/>
        <w:jc w:val="both"/>
      </w:pPr>
      <w:r>
        <w:rPr>
          <w:rFonts w:ascii="Barlow Semi Condensed" w:cs="Barlow Semi Condensed" w:eastAsia="Barlow Semi Condensed" w:hAnsi="Barlow Semi Condensed"/>
          <w:sz w:val="24"/>
          <w:szCs w:val="24"/>
        </w:rPr>
        <w:t xml:space="preserve">Il problema è che la discendenza non è visibile nella forma in cui le fonti si presentano. Una sentenza, una relazione parlamentare, una monografia e un articolo appaiono come quattro fonti distinte, di natura e autorità diverse; ma se tutte e quattro riprendono la medesima dichiarazione, esse sono quattro esposizioni di una fonte sola.</w:t>
      </w:r>
    </w:p>
    <w:p>
      <w:pPr>
        <w:pStyle w:val="Heading2"/>
        <w:spacing w:after="100" w:before="200"/>
      </w:pPr>
      <w:r>
        <w:rPr>
          <w:rFonts w:ascii="Barlow Semi Condensed" w:cs="Barlow Semi Condensed" w:eastAsia="Barlow Semi Condensed" w:hAnsi="Barlow Semi Condensed"/>
          <w:sz w:val="24"/>
          <w:szCs w:val="24"/>
        </w:rPr>
        <w:t xml:space="preserve">La regola del collasso</w:t>
      </w:r>
    </w:p>
    <w:p>
      <w:pPr>
        <w:spacing w:after="120" w:line="276"/>
        <w:jc w:val="both"/>
      </w:pPr>
      <w:r>
        <w:rPr>
          <w:rFonts w:ascii="Barlow Semi Condensed" w:cs="Barlow Semi Condensed" w:eastAsia="Barlow Semi Condensed" w:hAnsi="Barlow Semi Condensed"/>
          <w:sz w:val="24"/>
          <w:szCs w:val="24"/>
        </w:rPr>
        <w:t xml:space="preserve">La regola è la seguente: prima di computare una convergenza, si risale ciascuna fonte fino al suo evento originario, e si contano gli eventi originari, non le fonti.</w:t>
      </w:r>
    </w:p>
    <w:p>
      <w:pPr>
        <w:spacing w:after="120" w:line="276"/>
        <w:jc w:val="both"/>
      </w:pPr>
      <w:r>
        <w:rPr>
          <w:rFonts w:ascii="Barlow Semi Condensed" w:cs="Barlow Semi Condensed" w:eastAsia="Barlow Semi Condensed" w:hAnsi="Barlow Semi Condensed"/>
          <w:sz w:val="24"/>
          <w:szCs w:val="24"/>
        </w:rPr>
        <w:t xml:space="preserve">Un evento originario è un atto irripetibile dal quale l'informazione entrò nel circuito: una dichiarazione resa, un sequestro effettuato, un rilievo eseguito, un documento formato. Tutto ciò che ne discende — riprese, citazioni, elaborazioni, valutazioni di sedi qualificate — non aggiunge una catena.</w:t>
      </w:r>
    </w:p>
    <w:p>
      <w:pPr>
        <w:spacing w:after="120" w:line="276"/>
        <w:jc w:val="both"/>
      </w:pPr>
      <w:r>
        <w:rPr>
          <w:rFonts w:ascii="Barlow Semi Condensed" w:cs="Barlow Semi Condensed" w:eastAsia="Barlow Semi Condensed" w:hAnsi="Barlow Semi Condensed"/>
          <w:sz w:val="24"/>
          <w:szCs w:val="24"/>
        </w:rPr>
        <w:t xml:space="preserve">Ne segue una conseguenza che sorprende e che va enunciata: l'autorevolezza della sede non genera indipendenza. Una relazione parlamentare che riprenda una dichiarazione non costituisce una fonte indipendente rispetto alla dichiarazione. Essa ne costituisce una valutazione qualificata, il che ha valore proprio, ma non è una seconda attestazione del fatto.</w:t>
      </w:r>
    </w:p>
    <w:p>
      <w:pPr>
        <w:pStyle w:val="Heading2"/>
        <w:spacing w:after="100" w:before="200"/>
      </w:pPr>
      <w:r>
        <w:rPr>
          <w:rFonts w:ascii="Barlow Semi Condensed" w:cs="Barlow Semi Condensed" w:eastAsia="Barlow Semi Condensed" w:hAnsi="Barlow Semi Condensed"/>
          <w:sz w:val="24"/>
          <w:szCs w:val="24"/>
        </w:rPr>
        <w:t xml:space="preserve">L'applicazione a questa materia</w:t>
      </w:r>
    </w:p>
    <w:p>
      <w:pPr>
        <w:spacing w:after="120" w:line="276"/>
        <w:jc w:val="both"/>
      </w:pPr>
      <w:r>
        <w:rPr>
          <w:rFonts w:ascii="Barlow Semi Condensed" w:cs="Barlow Semi Condensed" w:eastAsia="Barlow Semi Condensed" w:hAnsi="Barlow Semi Condensed"/>
          <w:sz w:val="24"/>
          <w:szCs w:val="24"/>
        </w:rPr>
        <w:t xml:space="preserve">Applicata alla ricostruzione degli attori, la regola produce un effetto rilevante e va dichiarato per genere, non essendo stata condotta la verifica analitica.</w:t>
      </w:r>
    </w:p>
    <w:p>
      <w:pPr>
        <w:spacing w:after="120" w:line="276"/>
        <w:jc w:val="both"/>
      </w:pPr>
      <w:r>
        <w:rPr>
          <w:rFonts w:ascii="Barlow Semi Condensed" w:cs="Barlow Semi Condensed" w:eastAsia="Barlow Semi Condensed" w:hAnsi="Barlow Semi Condensed"/>
          <w:sz w:val="24"/>
          <w:szCs w:val="24"/>
        </w:rPr>
        <w:t xml:space="preserve">Le attribuzioni individuali relative all'esecuzione, alla custodia e all'uccisione discendono, per la parte non sostenuta da rilievo materiale, da un numero di eventi originari assai minore del numero delle fonti che le espongono. Gli eventi originari sono le dichiarazioni rese dalle persone coinvolte, e sono numericamente pochi.</w:t>
      </w:r>
    </w:p>
    <w:p>
      <w:pPr>
        <w:spacing w:after="120" w:line="276"/>
        <w:jc w:val="both"/>
      </w:pPr>
      <w:r>
        <w:rPr>
          <w:rFonts w:ascii="Barlow Semi Condensed" w:cs="Barlow Semi Condensed" w:eastAsia="Barlow Semi Condensed" w:hAnsi="Barlow Semi Condensed"/>
          <w:sz w:val="24"/>
          <w:szCs w:val="24"/>
        </w:rPr>
        <w:t xml:space="preserve">Ne segue che la sensazione di solidità che il lettore ricava dalla molteplicità delle esposizioni concordanti è, in misura non determinata, un artefatto della propagazione.</w:t>
      </w:r>
    </w:p>
    <w:p>
      <w:pPr>
        <w:pStyle w:val="Heading2"/>
        <w:spacing w:after="100" w:before="200"/>
      </w:pPr>
      <w:r>
        <w:rPr>
          <w:rFonts w:ascii="Barlow Semi Condensed" w:cs="Barlow Semi Condensed" w:eastAsia="Barlow Semi Condensed" w:hAnsi="Barlow Semi Condensed"/>
          <w:sz w:val="24"/>
          <w:szCs w:val="24"/>
        </w:rPr>
        <w:t xml:space="preserve">Il limite di questa applicazione</w:t>
      </w:r>
    </w:p>
    <w:p>
      <w:pPr>
        <w:spacing w:after="120" w:line="276"/>
        <w:jc w:val="both"/>
      </w:pPr>
      <w:r>
        <w:rPr>
          <w:rFonts w:ascii="Barlow Semi Condensed" w:cs="Barlow Semi Condensed" w:eastAsia="Barlow Semi Condensed" w:hAnsi="Barlow Semi Condensed"/>
          <w:sz w:val="24"/>
          <w:szCs w:val="24"/>
        </w:rPr>
        <w:t xml:space="preserve">Si dichiara il limite di quanto qui si afferma.</w:t>
      </w:r>
    </w:p>
    <w:p>
      <w:pPr>
        <w:spacing w:after="120" w:line="276"/>
        <w:jc w:val="both"/>
      </w:pPr>
      <w:r>
        <w:rPr>
          <w:rFonts w:ascii="Barlow Semi Condensed" w:cs="Barlow Semi Condensed" w:eastAsia="Barlow Semi Condensed" w:hAnsi="Barlow Semi Condensed"/>
          <w:sz w:val="24"/>
          <w:szCs w:val="24"/>
        </w:rPr>
        <w:t xml:space="preserve">La verifica genealogica analitica — fonte per fonte, con individuazione dell'evento originario di ciascuna — non è stata condotta. Ciò che si afferma è di genere: che la propagazione vi sia stata, e che il numero degli eventi originari sia minore del numero delle fonti.</w:t>
      </w:r>
    </w:p>
    <w:p>
      <w:pPr>
        <w:spacing w:after="120" w:line="276"/>
        <w:jc w:val="both"/>
      </w:pPr>
      <w:r>
        <w:rPr>
          <w:rFonts w:ascii="Barlow Semi Condensed" w:cs="Barlow Semi Condensed" w:eastAsia="Barlow Semi Condensed" w:hAnsi="Barlow Semi Condensed"/>
          <w:sz w:val="24"/>
          <w:szCs w:val="24"/>
        </w:rPr>
        <w:t xml:space="preserve">La misura di tale scarto non è dichiarata perché non è stata presa. Chiunque volesse contestare l'affermazione avrebbe l'onere agevole di indicare eventi originari ulteriori; e chiunque volesse sostenerla avrebbe l'onere di condurre la verifica.</w:t>
      </w:r>
    </w:p>
    <w:p>
      <w:pPr>
        <w:spacing w:after="120" w:line="276"/>
        <w:jc w:val="both"/>
      </w:pPr>
      <w:r>
        <w:rPr>
          <w:rFonts w:ascii="Barlow Semi Condensed" w:cs="Barlow Semi Condensed" w:eastAsia="Barlow Semi Condensed" w:hAnsi="Barlow Semi Condensed"/>
          <w:sz w:val="24"/>
          <w:szCs w:val="24"/>
        </w:rPr>
        <w:t xml:space="preserve">Si iscrive in tavola come acquisizione necessaria, con la precisazione che essa è condizione preliminare di qualunque computo di convergenza in questa Fase e nelle successive.</w:t>
      </w:r>
    </w:p>
    <w:p>
      <w:pPr>
        <w:pStyle w:val="Heading2"/>
        <w:spacing w:after="100" w:before="200"/>
      </w:pPr>
      <w:r>
        <w:rPr>
          <w:rFonts w:ascii="Barlow Semi Condensed" w:cs="Barlow Semi Condensed" w:eastAsia="Barlow Semi Condensed" w:hAnsi="Barlow Semi Condensed"/>
          <w:sz w:val="24"/>
          <w:szCs w:val="24"/>
        </w:rPr>
        <w:t xml:space="preserve">Capitolo cinquantaquattresimo — Il primo livello: l'esecuzione</w:t>
      </w:r>
    </w:p>
    <w:p>
      <w:pPr>
        <w:pStyle w:val="Heading2"/>
        <w:spacing w:after="100" w:before="200"/>
      </w:pPr>
      <w:r>
        <w:rPr>
          <w:rFonts w:ascii="Barlow Semi Condensed" w:cs="Barlow Semi Condensed" w:eastAsia="Barlow Semi Condensed" w:hAnsi="Barlow Semi Condensed"/>
          <w:sz w:val="24"/>
          <w:szCs w:val="24"/>
        </w:rPr>
        <w:t xml:space="preserve">Ciò che è accertato in sede giudiziaria</w:t>
      </w:r>
    </w:p>
    <w:p>
      <w:pPr>
        <w:spacing w:after="120" w:line="276"/>
        <w:jc w:val="both"/>
      </w:pPr>
      <w:r>
        <w:rPr>
          <w:rFonts w:ascii="Barlow Semi Condensed" w:cs="Barlow Semi Condensed" w:eastAsia="Barlow Semi Condensed" w:hAnsi="Barlow Semi Condensed"/>
          <w:sz w:val="24"/>
          <w:szCs w:val="24"/>
        </w:rPr>
        <w:t xml:space="preserve">È accertato, per sentenza definitiva, che i fatti furono commessi da appartenenti a una organizzazione armata clandestina; che essi agirono in numero plurimo nell'agguato; che la custodia del prigioniero fu effettuata da appartenenti alla medesima organizzazione in un appartamento della città; e che l'uccisione fu commessa da appartenenti a essa.</w:t>
      </w:r>
    </w:p>
    <w:p>
      <w:pPr>
        <w:spacing w:after="120" w:line="276"/>
        <w:jc w:val="both"/>
      </w:pPr>
      <w:r>
        <w:rPr>
          <w:rFonts w:ascii="Barlow Semi Condensed" w:cs="Barlow Semi Condensed" w:eastAsia="Barlow Semi Condensed" w:hAnsi="Barlow Semi Condensed"/>
          <w:sz w:val="24"/>
          <w:szCs w:val="24"/>
        </w:rPr>
        <w:t xml:space="preserve">Le persone ritenute responsabili sono individuate nelle sentenze, che hanno autorità propria e non sono riesaminate in questa sede.</w:t>
      </w:r>
    </w:p>
    <w:p>
      <w:pPr>
        <w:pStyle w:val="Heading2"/>
        <w:spacing w:after="100" w:before="200"/>
      </w:pPr>
      <w:r>
        <w:rPr>
          <w:rFonts w:ascii="Barlow Semi Condensed" w:cs="Barlow Semi Condensed" w:eastAsia="Barlow Semi Condensed" w:hAnsi="Barlow Semi Condensed"/>
          <w:sz w:val="24"/>
          <w:szCs w:val="24"/>
        </w:rPr>
        <w:t xml:space="preserve">Lo statuto di tale accertamento in quest'opera</w:t>
      </w:r>
    </w:p>
    <w:p>
      <w:pPr>
        <w:spacing w:after="120" w:line="276"/>
        <w:jc w:val="both"/>
      </w:pPr>
      <w:r>
        <w:rPr>
          <w:rFonts w:ascii="Barlow Semi Condensed" w:cs="Barlow Semi Condensed" w:eastAsia="Barlow Semi Condensed" w:hAnsi="Barlow Semi Condensed"/>
          <w:sz w:val="24"/>
          <w:szCs w:val="24"/>
        </w:rPr>
        <w:t xml:space="preserve">Un accertamento giudiziario definitivo è, per quest'opera, una fonte di rango elevato, e vi è recepito.</w:t>
      </w:r>
    </w:p>
    <w:p>
      <w:pPr>
        <w:spacing w:after="120" w:line="276"/>
        <w:jc w:val="both"/>
      </w:pPr>
      <w:r>
        <w:rPr>
          <w:rFonts w:ascii="Barlow Semi Condensed" w:cs="Barlow Semi Condensed" w:eastAsia="Barlow Semi Condensed" w:hAnsi="Barlow Semi Condensed"/>
          <w:sz w:val="24"/>
          <w:szCs w:val="24"/>
        </w:rPr>
        <w:t xml:space="preserve">Occorre però precisarne l'estensione, perché il recepimento non è illimitato.</w:t>
      </w:r>
    </w:p>
    <w:p>
      <w:pPr>
        <w:spacing w:after="120" w:line="276"/>
        <w:jc w:val="both"/>
      </w:pPr>
      <w:r>
        <w:rPr>
          <w:rFonts w:ascii="Barlow Semi Condensed" w:cs="Barlow Semi Condensed" w:eastAsia="Barlow Semi Condensed" w:hAnsi="Barlow Semi Condensed"/>
          <w:sz w:val="24"/>
          <w:szCs w:val="24"/>
        </w:rPr>
        <w:t xml:space="preserve">Il processo accerta la responsabilità penale di persone determinate per fatti determinati, e in ciò ha competenza esclusiva e autorità piena. Esso non accerta, e non pretende di accertare, la ricostruzione storica completa dell'evento: molte circostanze irrilevanti ai fini dell'imputazione non sono oggetto di accertamento, e molte questioni restano fuori dal thema decidendum.</w:t>
      </w:r>
    </w:p>
    <w:p>
      <w:pPr>
        <w:spacing w:after="120" w:line="276"/>
        <w:jc w:val="both"/>
      </w:pPr>
      <w:r>
        <w:rPr>
          <w:rFonts w:ascii="Barlow Semi Condensed" w:cs="Barlow Semi Condensed" w:eastAsia="Barlow Semi Condensed" w:hAnsi="Barlow Semi Condensed"/>
          <w:sz w:val="24"/>
          <w:szCs w:val="24"/>
        </w:rPr>
        <w:t xml:space="preserve">Ne segue che l'accertamento del primo livello è pieno quanto alle responsabilità individuali dichiarate, e non copre le circostanze di contorno che le sentenze non hanno dovuto accertare.</w:t>
      </w:r>
    </w:p>
    <w:p>
      <w:pPr>
        <w:pStyle w:val="Heading2"/>
        <w:spacing w:after="100" w:before="200"/>
      </w:pPr>
      <w:r>
        <w:rPr>
          <w:rFonts w:ascii="Barlow Semi Condensed" w:cs="Barlow Semi Condensed" w:eastAsia="Barlow Semi Condensed" w:hAnsi="Barlow Semi Condensed"/>
          <w:sz w:val="24"/>
          <w:szCs w:val="24"/>
        </w:rPr>
        <w:t xml:space="preserve">Ciò che resta non accertato al primo livello</w:t>
      </w:r>
    </w:p>
    <w:p>
      <w:pPr>
        <w:spacing w:after="120" w:line="276"/>
        <w:jc w:val="both"/>
      </w:pPr>
      <w:r>
        <w:rPr>
          <w:rFonts w:ascii="Barlow Semi Condensed" w:cs="Barlow Semi Condensed" w:eastAsia="Barlow Semi Condensed" w:hAnsi="Barlow Semi Condensed"/>
          <w:sz w:val="24"/>
          <w:szCs w:val="24"/>
        </w:rPr>
        <w:t xml:space="preserve">Restano non accertati, come già la Fase Terza ha registrato: il numero esatto dei presenti sul luogo dell'agguato; l'attribuzione individuale dei singoli colpi oltre quanto accertato; la presenza di soggetti ulteriori non identificati.</w:t>
      </w:r>
    </w:p>
    <w:p>
      <w:pPr>
        <w:spacing w:after="120" w:line="276"/>
        <w:jc w:val="both"/>
      </w:pPr>
      <w:r>
        <w:rPr>
          <w:rFonts w:ascii="Barlow Semi Condensed" w:cs="Barlow Semi Condensed" w:eastAsia="Barlow Semi Condensed" w:hAnsi="Barlow Semi Condensed"/>
          <w:sz w:val="24"/>
          <w:szCs w:val="24"/>
        </w:rPr>
        <w:t xml:space="preserve">Su quest'ultimo punto si è a lungo discusso, e conviene indicarne lo statuto con esattezza.</w:t>
      </w:r>
    </w:p>
    <w:p>
      <w:pPr>
        <w:spacing w:after="120" w:line="276"/>
        <w:jc w:val="both"/>
      </w:pPr>
      <w:r>
        <w:rPr>
          <w:rFonts w:ascii="Barlow Semi Condensed" w:cs="Barlow Semi Condensed" w:eastAsia="Barlow Semi Condensed" w:hAnsi="Barlow Semi Condensed"/>
          <w:sz w:val="24"/>
          <w:szCs w:val="24"/>
        </w:rPr>
        <w:t xml:space="preserve">L'ipotesi della presenza di soggetti ulteriori sul luogo dell'agguato è stata formulata sulla base di elementi di natura diversa: testimonianze, valutazioni tecniche, considerazioni sulla dinamica. Essa non è stata accolta negli accertamenti giudiziari; non è stata, per quanto risulta a quest'opera, esclusa in modo definitivo.</w:t>
      </w:r>
    </w:p>
    <w:p>
      <w:pPr>
        <w:spacing w:after="120" w:line="276"/>
        <w:jc w:val="both"/>
      </w:pPr>
      <w:r>
        <w:rPr>
          <w:rFonts w:ascii="Barlow Semi Condensed" w:cs="Barlow Semi Condensed" w:eastAsia="Barlow Semi Condensed" w:hAnsi="Barlow Semi Condensed"/>
          <w:sz w:val="24"/>
          <w:szCs w:val="24"/>
        </w:rPr>
        <w:t xml:space="preserve">Lo statuto è dunque quello del dubbio, e la condizione di scioglimento è indicabile: elementi materiali riferibili a persone diverse da quelle accertate, ovvero dichiarazioni provenienti da eventi originari distinti da quelli già noti e riscontrate indipendentemente.</w:t>
      </w:r>
    </w:p>
    <w:p>
      <w:pPr>
        <w:pStyle w:val="Heading2"/>
        <w:spacing w:after="100" w:before="200"/>
      </w:pPr>
      <w:r>
        <w:rPr>
          <w:rFonts w:ascii="Barlow Semi Condensed" w:cs="Barlow Semi Condensed" w:eastAsia="Barlow Semi Condensed" w:hAnsi="Barlow Semi Condensed"/>
          <w:sz w:val="24"/>
          <w:szCs w:val="24"/>
        </w:rPr>
        <w:t xml:space="preserve">Un rilievo sulla natura della prova disponibile</w:t>
      </w:r>
    </w:p>
    <w:p>
      <w:pPr>
        <w:spacing w:after="120" w:line="276"/>
        <w:jc w:val="both"/>
      </w:pPr>
      <w:r>
        <w:rPr>
          <w:rFonts w:ascii="Barlow Semi Condensed" w:cs="Barlow Semi Condensed" w:eastAsia="Barlow Semi Condensed" w:hAnsi="Barlow Semi Condensed"/>
          <w:sz w:val="24"/>
          <w:szCs w:val="24"/>
        </w:rPr>
        <w:t xml:space="preserve">Si segnala, perché rileva per l'intera Fase, la ripartizione della prova al primo livello.</w:t>
      </w:r>
    </w:p>
    <w:p>
      <w:pPr>
        <w:spacing w:after="120" w:line="276"/>
        <w:jc w:val="both"/>
      </w:pPr>
      <w:r>
        <w:rPr>
          <w:rFonts w:ascii="Barlow Semi Condensed" w:cs="Barlow Semi Condensed" w:eastAsia="Barlow Semi Condensed" w:hAnsi="Barlow Semi Condensed"/>
          <w:sz w:val="24"/>
          <w:szCs w:val="24"/>
        </w:rPr>
        <w:t xml:space="preserve">Poggiano su rilievo materiale: la pluralità degli agenti; le modalità dell'agguato; l'esistenza e la collocazione del luogo di custodia; la causa della morte.</w:t>
      </w:r>
    </w:p>
    <w:p>
      <w:pPr>
        <w:spacing w:after="120" w:line="276"/>
        <w:jc w:val="both"/>
      </w:pPr>
      <w:r>
        <w:rPr>
          <w:rFonts w:ascii="Barlow Semi Condensed" w:cs="Barlow Semi Condensed" w:eastAsia="Barlow Semi Condensed" w:hAnsi="Barlow Semi Condensed"/>
          <w:sz w:val="24"/>
          <w:szCs w:val="24"/>
        </w:rPr>
        <w:t xml:space="preserve">Poggiano in misura preponderante su dichiarazione: l'identità dei singoli partecipanti; la ripartizione dei ruoli; l'identità di chi custodì e di chi uccise.</w:t>
      </w:r>
    </w:p>
    <w:p>
      <w:pPr>
        <w:spacing w:after="120" w:line="276"/>
        <w:jc w:val="both"/>
      </w:pPr>
      <w:r>
        <w:rPr>
          <w:rFonts w:ascii="Barlow Semi Condensed" w:cs="Barlow Semi Condensed" w:eastAsia="Barlow Semi Condensed" w:hAnsi="Barlow Semi Condensed"/>
          <w:sz w:val="24"/>
          <w:szCs w:val="24"/>
        </w:rPr>
        <w:t xml:space="preserve">La ripartizione è la medesima già rilevata dalla Fase Terza e si conferma. Essa comporta che il primo livello sia solido nella sua struttura e meno solido nella sua individuazione: si sa come avvenne meglio di quanto si sappia per mano di chi, e ciò che si sa della seconda materia dipende da chi lo ha dichiarato.</w:t>
      </w:r>
    </w:p>
    <w:p>
      <w:pPr>
        <w:pStyle w:val="Heading2"/>
        <w:spacing w:after="100" w:before="200"/>
      </w:pPr>
      <w:r>
        <w:rPr>
          <w:rFonts w:ascii="Barlow Semi Condensed" w:cs="Barlow Semi Condensed" w:eastAsia="Barlow Semi Condensed" w:hAnsi="Barlow Semi Condensed"/>
          <w:sz w:val="24"/>
          <w:szCs w:val="24"/>
        </w:rPr>
        <w:t xml:space="preserve">Capitolo cinquantacinquesimo — Le revisioni dell'attribuzione e ciò che insegnano</w:t>
      </w:r>
    </w:p>
    <w:p>
      <w:pPr>
        <w:spacing w:after="120" w:line="276"/>
        <w:jc w:val="both"/>
      </w:pPr>
      <w:r>
        <w:rPr>
          <w:rFonts w:ascii="Barlow Semi Condensed" w:cs="Barlow Semi Condensed" w:eastAsia="Barlow Semi Condensed" w:hAnsi="Barlow Semi Condensed"/>
          <w:sz w:val="24"/>
          <w:szCs w:val="24"/>
        </w:rPr>
        <w:t xml:space="preserve">La ricostruzione degli attori ha conosciuto revisioni. Esse costituiscono, di per sé, un dato metodologico di primo rilievo, e vanno esaminate come tale prima e indipendentemente dal loro contenuto.</w:t>
      </w:r>
    </w:p>
    <w:p>
      <w:pPr>
        <w:pStyle w:val="Heading2"/>
        <w:spacing w:after="100" w:before="200"/>
      </w:pPr>
      <w:r>
        <w:rPr>
          <w:rFonts w:ascii="Barlow Semi Condensed" w:cs="Barlow Semi Condensed" w:eastAsia="Barlow Semi Condensed" w:hAnsi="Barlow Semi Condensed"/>
          <w:sz w:val="24"/>
          <w:szCs w:val="24"/>
        </w:rPr>
        <w:t xml:space="preserve">Il fatto delle revisioni</w:t>
      </w:r>
    </w:p>
    <w:p>
      <w:pPr>
        <w:spacing w:after="120" w:line="276"/>
        <w:jc w:val="both"/>
      </w:pPr>
      <w:r>
        <w:rPr>
          <w:rFonts w:ascii="Barlow Semi Condensed" w:cs="Barlow Semi Condensed" w:eastAsia="Barlow Semi Condensed" w:hAnsi="Barlow Semi Condensed"/>
          <w:sz w:val="24"/>
          <w:szCs w:val="24"/>
        </w:rPr>
        <w:t xml:space="preserve">È accertato che la ricostruzione dell'attribuzione individuale delle condotte è mutata in più occasioni nell'arco dei decenni, e che i mutamenti hanno riguardato elementi non marginali: il numero dei presenti, l'identità di chi custodì il prigioniero, l'identità di chi lo uccise.</w:t>
      </w:r>
    </w:p>
    <w:p>
      <w:pPr>
        <w:spacing w:after="120" w:line="276"/>
        <w:jc w:val="both"/>
      </w:pPr>
      <w:r>
        <w:rPr>
          <w:rFonts w:ascii="Barlow Semi Condensed" w:cs="Barlow Semi Condensed" w:eastAsia="Barlow Semi Condensed" w:hAnsi="Barlow Semi Condensed"/>
          <w:sz w:val="24"/>
          <w:szCs w:val="24"/>
        </w:rPr>
        <w:t xml:space="preserve">È accertato che i mutamenti sono derivati in misura preponderante da dichiarazioni sopravvenute di persone coinvolte, e non da acquisizioni materiali.</w:t>
      </w:r>
    </w:p>
    <w:p>
      <w:pPr>
        <w:pStyle w:val="Heading2"/>
        <w:spacing w:after="100" w:before="200"/>
      </w:pPr>
      <w:r>
        <w:rPr>
          <w:rFonts w:ascii="Barlow Semi Condensed" w:cs="Barlow Semi Condensed" w:eastAsia="Barlow Semi Condensed" w:hAnsi="Barlow Semi Condensed"/>
          <w:sz w:val="24"/>
          <w:szCs w:val="24"/>
        </w:rPr>
        <w:t xml:space="preserve">Le tre letture del fatto delle revisioni</w:t>
      </w:r>
    </w:p>
    <w:p>
      <w:pPr>
        <w:spacing w:after="120" w:line="276"/>
        <w:jc w:val="both"/>
      </w:pPr>
      <w:r>
        <w:rPr>
          <w:rFonts w:ascii="Barlow Semi Condensed" w:cs="Barlow Semi Condensed" w:eastAsia="Barlow Semi Condensed" w:hAnsi="Barlow Semi Condensed"/>
          <w:sz w:val="24"/>
          <w:szCs w:val="24"/>
        </w:rPr>
        <w:t xml:space="preserve">Il fatto ammette tre letture, che vanno tenute distinte perché conducono a conseguenze diverse.</w:t>
      </w:r>
    </w:p>
    <w:p>
      <w:pPr>
        <w:spacing w:after="120" w:line="276"/>
        <w:jc w:val="both"/>
      </w:pPr>
      <w:r>
        <w:rPr>
          <w:rFonts w:ascii="Barlow Semi Condensed" w:cs="Barlow Semi Condensed" w:eastAsia="Barlow Semi Condensed" w:hAnsi="Barlow Semi Condensed"/>
          <w:sz w:val="24"/>
          <w:szCs w:val="24"/>
        </w:rPr>
        <w:t xml:space="preserve">Prima lettura: le revisioni sono progresso conoscitivo. Nuove dichiarazioni hanno corretto errori precedenti, e la ricostruzione attuale è più esatta delle anteriori.</w:t>
      </w:r>
    </w:p>
    <w:p>
      <w:pPr>
        <w:spacing w:after="120" w:line="276"/>
        <w:jc w:val="both"/>
      </w:pPr>
      <w:r>
        <w:rPr>
          <w:rFonts w:ascii="Barlow Semi Condensed" w:cs="Barlow Semi Condensed" w:eastAsia="Barlow Semi Condensed" w:hAnsi="Barlow Semi Condensed"/>
          <w:sz w:val="24"/>
          <w:szCs w:val="24"/>
        </w:rPr>
        <w:t xml:space="preserve">Seconda lettura: le revisioni sono assestamento strategico. Le dichiarazioni successive hanno modificato il quadro per ragioni attinenti alla posizione dei dichiaranti, e la ricostruzione attuale non è più vera ma più conveniente.</w:t>
      </w:r>
    </w:p>
    <w:p>
      <w:pPr>
        <w:spacing w:after="120" w:line="276"/>
        <w:jc w:val="both"/>
      </w:pPr>
      <w:r>
        <w:rPr>
          <w:rFonts w:ascii="Barlow Semi Condensed" w:cs="Barlow Semi Condensed" w:eastAsia="Barlow Semi Condensed" w:hAnsi="Barlow Semi Condensed"/>
          <w:sz w:val="24"/>
          <w:szCs w:val="24"/>
        </w:rPr>
        <w:t xml:space="preserve">Terza lettura: le revisioni sono conseguenza della natura della fonte. Una ricostruzione che poggi su dichiarazioni muta quando mutano i dichiaranti, e continuerà a mutare finché la fonte resterà quella. La ricostruzione attuale non è né più vera né meno vera: è la versione corrente di una serie non conclusa.</w:t>
      </w:r>
    </w:p>
    <w:p>
      <w:pPr>
        <w:pStyle w:val="Heading2"/>
        <w:spacing w:after="100" w:before="200"/>
      </w:pPr>
      <w:r>
        <w:rPr>
          <w:rFonts w:ascii="Barlow Semi Condensed" w:cs="Barlow Semi Condensed" w:eastAsia="Barlow Semi Condensed" w:hAnsi="Barlow Semi Condensed"/>
          <w:sz w:val="24"/>
          <w:szCs w:val="24"/>
        </w:rPr>
        <w:t xml:space="preserve">La lettura che quest'opera adotta</w:t>
      </w:r>
    </w:p>
    <w:p>
      <w:pPr>
        <w:spacing w:after="120" w:line="276"/>
        <w:jc w:val="both"/>
      </w:pPr>
      <w:r>
        <w:rPr>
          <w:rFonts w:ascii="Barlow Semi Condensed" w:cs="Barlow Semi Condensed" w:eastAsia="Barlow Semi Condensed" w:hAnsi="Barlow Semi Condensed"/>
          <w:sz w:val="24"/>
          <w:szCs w:val="24"/>
        </w:rPr>
        <w:t xml:space="preserve">Quest'opera adotta la terza lettura, e conviene motivare la scelta perché non è neutra.</w:t>
      </w:r>
    </w:p>
    <w:p>
      <w:pPr>
        <w:spacing w:after="120" w:line="276"/>
        <w:jc w:val="both"/>
      </w:pPr>
      <w:r>
        <w:rPr>
          <w:rFonts w:ascii="Barlow Semi Condensed" w:cs="Barlow Semi Condensed" w:eastAsia="Barlow Semi Condensed" w:hAnsi="Barlow Semi Condensed"/>
          <w:sz w:val="24"/>
          <w:szCs w:val="24"/>
        </w:rPr>
        <w:t xml:space="preserve">La prima lettura presuppone che le dichiarazioni successive siano più attendibili delle anteriori. Nulla lo garantisce: il tempo che passa deteriora la memoria e attenua i vincoli processuali, e i due effetti agiscono in direzioni opposte sulla attendibilità.</w:t>
      </w:r>
    </w:p>
    <w:p>
      <w:pPr>
        <w:spacing w:after="120" w:line="276"/>
        <w:jc w:val="both"/>
      </w:pPr>
      <w:r>
        <w:rPr>
          <w:rFonts w:ascii="Barlow Semi Condensed" w:cs="Barlow Semi Condensed" w:eastAsia="Barlow Semi Condensed" w:hAnsi="Barlow Semi Condensed"/>
          <w:sz w:val="24"/>
          <w:szCs w:val="24"/>
        </w:rPr>
        <w:t xml:space="preserve">La seconda lettura presuppone una intenzione nei dichiaranti che non è accertata e che, ove attribuita senza prova, violerebbe la disciplina dell'opera sulle persone.</w:t>
      </w:r>
    </w:p>
    <w:p>
      <w:pPr>
        <w:spacing w:after="120" w:line="276"/>
        <w:jc w:val="both"/>
      </w:pPr>
      <w:r>
        <w:rPr>
          <w:rFonts w:ascii="Barlow Semi Condensed" w:cs="Barlow Semi Condensed" w:eastAsia="Barlow Semi Condensed" w:hAnsi="Barlow Semi Condensed"/>
          <w:sz w:val="24"/>
          <w:szCs w:val="24"/>
        </w:rPr>
        <w:t xml:space="preserve">La terza lettura non presuppone nulla. Essa constata una proprietà della fonte: le ricostruzioni fondate su dichiarazioni sono revisionabili per costruzione. Ed è una constatazione verificabile, poiché è precisamente ciò che è accaduto.</w:t>
      </w:r>
    </w:p>
    <w:p>
      <w:pPr>
        <w:pStyle w:val="Heading2"/>
        <w:spacing w:after="100" w:before="200"/>
      </w:pPr>
      <w:r>
        <w:rPr>
          <w:rFonts w:ascii="Barlow Semi Condensed" w:cs="Barlow Semi Condensed" w:eastAsia="Barlow Semi Condensed" w:hAnsi="Barlow Semi Condensed"/>
          <w:sz w:val="24"/>
          <w:szCs w:val="24"/>
        </w:rPr>
        <w:t xml:space="preserve">La conseguenza operativa</w:t>
      </w:r>
    </w:p>
    <w:p>
      <w:pPr>
        <w:spacing w:after="120" w:line="276"/>
        <w:jc w:val="both"/>
      </w:pPr>
      <w:r>
        <w:rPr>
          <w:rFonts w:ascii="Barlow Semi Condensed" w:cs="Barlow Semi Condensed" w:eastAsia="Barlow Semi Condensed" w:hAnsi="Barlow Semi Condensed"/>
          <w:sz w:val="24"/>
          <w:szCs w:val="24"/>
        </w:rPr>
        <w:t xml:space="preserve">Ne discende una disposizione che quest'opera adotta e che è, credo, il contributo maggiore di questo Capitolo.</w:t>
      </w:r>
    </w:p>
    <w:p>
      <w:pPr>
        <w:spacing w:after="120" w:line="276"/>
        <w:jc w:val="both"/>
      </w:pPr>
      <w:r>
        <w:rPr>
          <w:rFonts w:ascii="Barlow Semi Condensed" w:cs="Barlow Semi Condensed" w:eastAsia="Barlow Semi Condensed" w:hAnsi="Barlow Semi Condensed"/>
          <w:sz w:val="24"/>
          <w:szCs w:val="24"/>
        </w:rPr>
        <w:t xml:space="preserve">La ricostruzione attuale dell'attribuzione individuale è iscritta come versione corrente e non come acquisizione definitiva. Essa è impiegata con menzione di tale statuto, e la sua eventuale futura revisione non costituirà smentita dell'opera ma conferma della qualificazione qui apposta.</w:t>
      </w:r>
    </w:p>
    <w:p>
      <w:pPr>
        <w:spacing w:after="120" w:line="276"/>
        <w:jc w:val="both"/>
      </w:pPr>
      <w:r>
        <w:rPr>
          <w:rFonts w:ascii="Barlow Semi Condensed" w:cs="Barlow Semi Condensed" w:eastAsia="Barlow Semi Condensed" w:hAnsi="Barlow Semi Condensed"/>
          <w:sz w:val="24"/>
          <w:szCs w:val="24"/>
        </w:rPr>
        <w:t xml:space="preserve">Questa disposizione ha un vantaggio pratico che merita di essere segnalato: essa immunizza l'opera dall'obsolescenza. Un registro che dichiari definitiva una ricostruzione revisionabile è smentito dalla prima revisione; un registro che ne dichiari la natura resta valido attraverso le revisioni, perché ciò che ha affermato è vero anche dopo.</w:t>
      </w:r>
    </w:p>
    <w:p>
      <w:pPr>
        <w:pStyle w:val="Heading2"/>
        <w:spacing w:after="100" w:before="200"/>
      </w:pPr>
      <w:r>
        <w:rPr>
          <w:rFonts w:ascii="Barlow Semi Condensed" w:cs="Barlow Semi Condensed" w:eastAsia="Barlow Semi Condensed" w:hAnsi="Barlow Semi Condensed"/>
          <w:sz w:val="24"/>
          <w:szCs w:val="24"/>
        </w:rPr>
        <w:t xml:space="preserve">Un rilievo sulla direzione delle revisioni</w:t>
      </w:r>
    </w:p>
    <w:p>
      <w:pPr>
        <w:spacing w:after="120" w:line="276"/>
        <w:jc w:val="both"/>
      </w:pPr>
      <w:r>
        <w:rPr>
          <w:rFonts w:ascii="Barlow Semi Condensed" w:cs="Barlow Semi Condensed" w:eastAsia="Barlow Semi Condensed" w:hAnsi="Barlow Semi Condensed"/>
          <w:sz w:val="24"/>
          <w:szCs w:val="24"/>
        </w:rPr>
        <w:t xml:space="preserve">Si segnala infine, come dato non interpretato, una circostanza che merita esame ulteriore.</w:t>
      </w:r>
    </w:p>
    <w:p>
      <w:pPr>
        <w:spacing w:after="120" w:line="276"/>
        <w:jc w:val="both"/>
      </w:pPr>
      <w:r>
        <w:rPr>
          <w:rFonts w:ascii="Barlow Semi Condensed" w:cs="Barlow Semi Condensed" w:eastAsia="Barlow Semi Condensed" w:hAnsi="Barlow Semi Condensed"/>
          <w:sz w:val="24"/>
          <w:szCs w:val="24"/>
        </w:rPr>
        <w:t xml:space="preserve">Le revisioni intervenute hanno avuto, per quanto risulta, direzione prevalente di ampliamento: hanno aggiunto soggetti o modificato attribuzioni verso una maggiore articolazione, anziché ridurre.</w:t>
      </w:r>
    </w:p>
    <w:p>
      <w:pPr>
        <w:spacing w:after="120" w:line="276"/>
        <w:jc w:val="both"/>
      </w:pPr>
      <w:r>
        <w:rPr>
          <w:rFonts w:ascii="Barlow Semi Condensed" w:cs="Barlow Semi Condensed" w:eastAsia="Barlow Semi Condensed" w:hAnsi="Barlow Semi Condensed"/>
          <w:sz w:val="24"/>
          <w:szCs w:val="24"/>
        </w:rPr>
        <w:t xml:space="preserve">Il dato è registrato e non interpretato, perché la sua interpretazione richiederebbe la verifica che l'ampliamento non sia esso stesso un artefatto della selezione — le revisioni che ampliano essendo più notiziabili e dunque più ricordate di quelle che riducono. È il medesimo problema di selezione a posteriori esposto al Capitolo quarantasettesimo, e si applica qui la medesima cautela.</w:t>
      </w:r>
    </w:p>
    <w:p>
      <w:pPr>
        <w:pStyle w:val="Heading2"/>
        <w:spacing w:after="100" w:before="200"/>
      </w:pPr>
      <w:r>
        <w:rPr>
          <w:rFonts w:ascii="Barlow Semi Condensed" w:cs="Barlow Semi Condensed" w:eastAsia="Barlow Semi Condensed" w:hAnsi="Barlow Semi Condensed"/>
          <w:sz w:val="24"/>
          <w:szCs w:val="24"/>
        </w:rPr>
        <w:t xml:space="preserve">Capitolo cinquantaseiesimo — Il secondo livello: l'organizzazione</w:t>
      </w:r>
    </w:p>
    <w:p>
      <w:pPr>
        <w:pStyle w:val="Heading2"/>
        <w:spacing w:after="100" w:before="200"/>
      </w:pPr>
      <w:r>
        <w:rPr>
          <w:rFonts w:ascii="Barlow Semi Condensed" w:cs="Barlow Semi Condensed" w:eastAsia="Barlow Semi Condensed" w:hAnsi="Barlow Semi Condensed"/>
          <w:sz w:val="24"/>
          <w:szCs w:val="24"/>
        </w:rPr>
        <w:t xml:space="preserve">Che cosa si accerta a questo livello</w:t>
      </w:r>
    </w:p>
    <w:p>
      <w:pPr>
        <w:spacing w:after="120" w:line="276"/>
        <w:jc w:val="both"/>
      </w:pPr>
      <w:r>
        <w:rPr>
          <w:rFonts w:ascii="Barlow Semi Condensed" w:cs="Barlow Semi Condensed" w:eastAsia="Barlow Semi Condensed" w:hAnsi="Barlow Semi Condensed"/>
          <w:sz w:val="24"/>
          <w:szCs w:val="24"/>
        </w:rPr>
        <w:t xml:space="preserve">Il secondo livello riguarda chi deliberò l'operazione: la scelta del bersaglio, del momento, delle modalità; la direzione delle fasi; la decisione sull'esito.</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che l'organizzazione disponeva di un organismo direttivo; che l'operazione fu deliberata in tale sede; che la sua conduzione fu diretta e non lasciata all'iniziativa degli esecutori; e che le decisioni relative alla gestione dei cinquantacinque giorni, compresa quella finale, furono assunte in sede direttiva.</w:t>
      </w:r>
    </w:p>
    <w:p>
      <w:pPr>
        <w:spacing w:after="120" w:line="276"/>
        <w:jc w:val="both"/>
      </w:pPr>
      <w:r>
        <w:rPr>
          <w:rFonts w:ascii="Barlow Semi Condensed" w:cs="Barlow Semi Condensed" w:eastAsia="Barlow Semi Condensed" w:hAnsi="Barlow Semi Condensed"/>
          <w:sz w:val="24"/>
          <w:szCs w:val="24"/>
        </w:rPr>
        <w:t xml:space="preserve">Questi elementi risultano dagli accertamenti giudiziari e dalle dichiarazioni riscontrate.</w:t>
      </w:r>
    </w:p>
    <w:p>
      <w:pPr>
        <w:pStyle w:val="Heading2"/>
        <w:spacing w:after="100" w:before="200"/>
      </w:pPr>
      <w:r>
        <w:rPr>
          <w:rFonts w:ascii="Barlow Semi Condensed" w:cs="Barlow Semi Condensed" w:eastAsia="Barlow Semi Condensed" w:hAnsi="Barlow Semi Condensed"/>
          <w:sz w:val="24"/>
          <w:szCs w:val="24"/>
        </w:rPr>
        <w:t xml:space="preserve">Ciò che non è accertato</w:t>
      </w:r>
    </w:p>
    <w:p>
      <w:pPr>
        <w:spacing w:after="120" w:line="276"/>
        <w:jc w:val="both"/>
      </w:pPr>
      <w:r>
        <w:rPr>
          <w:rFonts w:ascii="Barlow Semi Condensed" w:cs="Barlow Semi Condensed" w:eastAsia="Barlow Semi Condensed" w:hAnsi="Barlow Semi Condensed"/>
          <w:sz w:val="24"/>
          <w:szCs w:val="24"/>
        </w:rPr>
        <w:t xml:space="preserve">Non è accertato, con la precisione che il livello richiederebbe, quali persone determinate abbiano concorso a ciascuna deliberazione, in quale sede materiale e con quale procedura.</w:t>
      </w:r>
    </w:p>
    <w:p>
      <w:pPr>
        <w:spacing w:after="120" w:line="276"/>
        <w:jc w:val="both"/>
      </w:pPr>
      <w:r>
        <w:rPr>
          <w:rFonts w:ascii="Barlow Semi Condensed" w:cs="Barlow Semi Condensed" w:eastAsia="Barlow Semi Condensed" w:hAnsi="Barlow Semi Condensed"/>
          <w:sz w:val="24"/>
          <w:szCs w:val="24"/>
        </w:rPr>
        <w:t xml:space="preserve">La ragione è di natura della fonte: le deliberazioni di un organismo clandestino non producono verbali. Ciò che se ne sa proviene da dichiarazioni, e a esse si applica la scala del Capitolo cinquantaduesimo. Gli enunciati che attribuiscono partecipazione a deliberazioni sono, quasi senza eccezione, di terzo grado.</w:t>
      </w:r>
    </w:p>
    <w:p>
      <w:pPr>
        <w:pStyle w:val="Heading2"/>
        <w:spacing w:after="100" w:before="200"/>
      </w:pPr>
      <w:r>
        <w:rPr>
          <w:rFonts w:ascii="Barlow Semi Condensed" w:cs="Barlow Semi Condensed" w:eastAsia="Barlow Semi Condensed" w:hAnsi="Barlow Semi Condensed"/>
          <w:sz w:val="24"/>
          <w:szCs w:val="24"/>
        </w:rPr>
        <w:t xml:space="preserve">La questione della sufficienza</w:t>
      </w:r>
    </w:p>
    <w:p>
      <w:pPr>
        <w:spacing w:after="120" w:line="276"/>
        <w:jc w:val="both"/>
      </w:pPr>
      <w:r>
        <w:rPr>
          <w:rFonts w:ascii="Barlow Semi Condensed" w:cs="Barlow Semi Condensed" w:eastAsia="Barlow Semi Condensed" w:hAnsi="Barlow Semi Condensed"/>
          <w:sz w:val="24"/>
          <w:szCs w:val="24"/>
        </w:rPr>
        <w:t xml:space="preserve">Si pone a questo livello la questione che decide il passaggio al terzo, e va posta con esattezza.</w:t>
      </w:r>
    </w:p>
    <w:p>
      <w:pPr>
        <w:spacing w:after="120" w:line="276"/>
        <w:jc w:val="both"/>
      </w:pPr>
      <w:r>
        <w:rPr>
          <w:rFonts w:ascii="Barlow Semi Condensed" w:cs="Barlow Semi Condensed" w:eastAsia="Barlow Semi Condensed" w:hAnsi="Barlow Semi Condensed"/>
          <w:sz w:val="24"/>
          <w:szCs w:val="24"/>
        </w:rPr>
        <w:t xml:space="preserve">La questione è la seguente: l'organismo direttivo accertato era sufficiente a concepire e condurre l'operazione, ovvero l'operazione eccede ciò che quell'organismo poteva concepire e condurre?</w:t>
      </w:r>
    </w:p>
    <w:p>
      <w:pPr>
        <w:spacing w:after="120" w:line="276"/>
        <w:jc w:val="both"/>
      </w:pPr>
      <w:r>
        <w:rPr>
          <w:rFonts w:ascii="Barlow Semi Condensed" w:cs="Barlow Semi Condensed" w:eastAsia="Barlow Semi Condensed" w:hAnsi="Barlow Semi Condensed"/>
          <w:sz w:val="24"/>
          <w:szCs w:val="24"/>
        </w:rPr>
        <w:t xml:space="preserve">La Fase Terza ha misurato lo scarto e ha stabilito che esso sussiste su due punti: l'esito di fuoco e la composizione simultanea del dispositivo, per entrambi i quali la via di acquisizione della capacità non è documentata.</w:t>
      </w:r>
    </w:p>
    <w:p>
      <w:pPr>
        <w:spacing w:after="120" w:line="276"/>
        <w:jc w:val="both"/>
      </w:pPr>
      <w:r>
        <w:rPr>
          <w:rFonts w:ascii="Barlow Semi Condensed" w:cs="Barlow Semi Condensed" w:eastAsia="Barlow Semi Condensed" w:hAnsi="Barlow Semi Condensed"/>
          <w:sz w:val="24"/>
          <w:szCs w:val="24"/>
        </w:rPr>
        <w:t xml:space="preserve">Occorre qui essere precisi su che cosa lo scarto comporti a questo livello. Esso riguarda la capacità operativa e non la capacità deliberativa. Che manchi documentazione su come una capacità sia stata acquisita non stabilisce che manchi la capacità di decidere di impiegarla.</w:t>
      </w:r>
    </w:p>
    <w:p>
      <w:pPr>
        <w:spacing w:after="120" w:line="276"/>
        <w:jc w:val="both"/>
      </w:pPr>
      <w:r>
        <w:rPr>
          <w:rFonts w:ascii="Barlow Semi Condensed" w:cs="Barlow Semi Condensed" w:eastAsia="Barlow Semi Condensed" w:hAnsi="Barlow Semi Condensed"/>
          <w:sz w:val="24"/>
          <w:szCs w:val="24"/>
        </w:rPr>
        <w:t xml:space="preserve">La distinzione è sottile e decisiva. Un organismo può deliberare autonomamente una operazione avvalendosi di capacità acquisite altrove e in altri tempi. Ciò non lo rende eterodiretto: lo rende dotato.</w:t>
      </w:r>
    </w:p>
    <w:p>
      <w:pPr>
        <w:pStyle w:val="Heading2"/>
        <w:spacing w:after="100" w:before="200"/>
      </w:pPr>
      <w:r>
        <w:rPr>
          <w:rFonts w:ascii="Barlow Semi Condensed" w:cs="Barlow Semi Condensed" w:eastAsia="Barlow Semi Condensed" w:hAnsi="Barlow Semi Condensed"/>
          <w:sz w:val="24"/>
          <w:szCs w:val="24"/>
        </w:rPr>
        <w:t xml:space="preserve">La conclusione del livello</w:t>
      </w:r>
    </w:p>
    <w:p>
      <w:pPr>
        <w:spacing w:after="120" w:line="276"/>
        <w:jc w:val="both"/>
      </w:pPr>
      <w:r>
        <w:rPr>
          <w:rFonts w:ascii="Barlow Semi Condensed" w:cs="Barlow Semi Condensed" w:eastAsia="Barlow Semi Condensed" w:hAnsi="Barlow Semi Condensed"/>
          <w:sz w:val="24"/>
          <w:szCs w:val="24"/>
        </w:rPr>
        <w:t xml:space="preserve">Si conclude dunque: il secondo livello è accertato nella sua esistenza e nella sua funzione; non è accertato nella sua composizione individuale se non nei limiti degli accertamenti giudiziari; e non risulta, dagli elementi disponibili, insufficiente a concepire e dirigere l'operazione.</w:t>
      </w:r>
    </w:p>
    <w:p>
      <w:pPr>
        <w:spacing w:after="120" w:line="276"/>
        <w:jc w:val="both"/>
      </w:pPr>
      <w:r>
        <w:rPr>
          <w:rFonts w:ascii="Barlow Semi Condensed" w:cs="Barlow Semi Condensed" w:eastAsia="Barlow Semi Condensed" w:hAnsi="Barlow Semi Condensed"/>
          <w:sz w:val="24"/>
          <w:szCs w:val="24"/>
        </w:rPr>
        <w:t xml:space="preserve">Quest'ultima proposizione è negativa e va letta come tale: non risulta insufficiente non significa che sia accertato che fosse sufficiente. Significa che gli elementi disponibili non stabiliscono l'insufficienza, e dunque non impongono la ricerca di un livello ulteriore.</w:t>
      </w:r>
    </w:p>
    <w:p>
      <w:pPr>
        <w:spacing w:after="120" w:line="276"/>
        <w:jc w:val="both"/>
      </w:pPr>
      <w:r>
        <w:rPr>
          <w:rFonts w:ascii="Barlow Semi Condensed" w:cs="Barlow Semi Condensed" w:eastAsia="Barlow Semi Condensed" w:hAnsi="Barlow Semi Condensed"/>
          <w:sz w:val="24"/>
          <w:szCs w:val="24"/>
        </w:rPr>
        <w:t xml:space="preserve">Se il livello ulteriore esista è questione autonoma, ed è quella del Capitolo seguente.</w:t>
      </w:r>
    </w:p>
    <w:p>
      <w:pPr>
        <w:pStyle w:val="Heading2"/>
        <w:spacing w:after="100" w:before="200"/>
      </w:pPr>
      <w:r>
        <w:rPr>
          <w:rFonts w:ascii="Barlow Semi Condensed" w:cs="Barlow Semi Condensed" w:eastAsia="Barlow Semi Condensed" w:hAnsi="Barlow Semi Condensed"/>
          <w:sz w:val="24"/>
          <w:szCs w:val="24"/>
        </w:rPr>
        <w:t xml:space="preserve">Capitolo cinquantasettesimo — Il terzo livello, e perché resta vuoto</w:t>
      </w:r>
    </w:p>
    <w:p>
      <w:pPr>
        <w:pStyle w:val="Heading2"/>
        <w:spacing w:after="100" w:before="200"/>
      </w:pPr>
      <w:r>
        <w:rPr>
          <w:rFonts w:ascii="Barlow Semi Condensed" w:cs="Barlow Semi Condensed" w:eastAsia="Barlow Semi Condensed" w:hAnsi="Barlow Semi Condensed"/>
          <w:sz w:val="24"/>
          <w:szCs w:val="24"/>
        </w:rPr>
        <w:t xml:space="preserve">La questione</w:t>
      </w:r>
    </w:p>
    <w:p>
      <w:pPr>
        <w:spacing w:after="120" w:line="276"/>
        <w:jc w:val="both"/>
      </w:pPr>
      <w:r>
        <w:rPr>
          <w:rFonts w:ascii="Barlow Semi Condensed" w:cs="Barlow Semi Condensed" w:eastAsia="Barlow Semi Condensed" w:hAnsi="Barlow Semi Condensed"/>
          <w:sz w:val="24"/>
          <w:szCs w:val="24"/>
        </w:rPr>
        <w:t xml:space="preserve">Il terzo livello riguarda l'esistenza di una volontà esterna all'organismo che deliberò, e la sua efficacia su di esso.</w:t>
      </w:r>
    </w:p>
    <w:p>
      <w:pPr>
        <w:spacing w:after="120" w:line="276"/>
        <w:jc w:val="both"/>
      </w:pPr>
      <w:r>
        <w:rPr>
          <w:rFonts w:ascii="Barlow Semi Condensed" w:cs="Barlow Semi Condensed" w:eastAsia="Barlow Semi Condensed" w:hAnsi="Barlow Semi Condensed"/>
          <w:sz w:val="24"/>
          <w:szCs w:val="24"/>
        </w:rPr>
        <w:t xml:space="preserve">La questione non è se qualcuno avesse interesse all'esito. Molti l'avevano, e la Fase Seconda li ha censiti. La questione è se una volontà esterna abbia determinato la deliberazione.</w:t>
      </w:r>
    </w:p>
    <w:p>
      <w:pPr>
        <w:pStyle w:val="Heading2"/>
        <w:spacing w:after="100" w:before="200"/>
      </w:pPr>
      <w:r>
        <w:rPr>
          <w:rFonts w:ascii="Barlow Semi Condensed" w:cs="Barlow Semi Condensed" w:eastAsia="Barlow Semi Condensed" w:hAnsi="Barlow Semi Condensed"/>
          <w:sz w:val="24"/>
          <w:szCs w:val="24"/>
        </w:rPr>
        <w:t xml:space="preserve">Ciò che occorrerebbe provare</w:t>
      </w:r>
    </w:p>
    <w:p>
      <w:pPr>
        <w:spacing w:after="120" w:line="276"/>
        <w:jc w:val="both"/>
      </w:pPr>
      <w:r>
        <w:rPr>
          <w:rFonts w:ascii="Barlow Semi Condensed" w:cs="Barlow Semi Condensed" w:eastAsia="Barlow Semi Condensed" w:hAnsi="Barlow Semi Condensed"/>
          <w:sz w:val="24"/>
          <w:szCs w:val="24"/>
        </w:rPr>
        <w:t xml:space="preserve">Perché il terzo livello sia accertato occorrono tre proposizioni, ciascuna delle quali richiede prova propria.</w:t>
      </w:r>
    </w:p>
    <w:p>
      <w:pPr>
        <w:spacing w:after="120" w:line="276"/>
        <w:jc w:val="both"/>
      </w:pPr>
      <w:r>
        <w:rPr>
          <w:rFonts w:ascii="Barlow Semi Condensed" w:cs="Barlow Semi Condensed" w:eastAsia="Barlow Semi Condensed" w:hAnsi="Barlow Semi Condensed"/>
          <w:sz w:val="24"/>
          <w:szCs w:val="24"/>
        </w:rPr>
        <w:t xml:space="preserve">Prima: che esistesse un soggetto esterno con volontà determinata quanto all'operazione.</w:t>
      </w:r>
    </w:p>
    <w:p>
      <w:pPr>
        <w:spacing w:after="120" w:line="276"/>
        <w:jc w:val="both"/>
      </w:pPr>
      <w:r>
        <w:rPr>
          <w:rFonts w:ascii="Barlow Semi Condensed" w:cs="Barlow Semi Condensed" w:eastAsia="Barlow Semi Condensed" w:hAnsi="Barlow Semi Condensed"/>
          <w:sz w:val="24"/>
          <w:szCs w:val="24"/>
        </w:rPr>
        <w:t xml:space="preserve">Seconda: che tale volontà si sia trasmessa all'organismo che deliberò.</w:t>
      </w:r>
    </w:p>
    <w:p>
      <w:pPr>
        <w:spacing w:after="120" w:line="276"/>
        <w:jc w:val="both"/>
      </w:pPr>
      <w:r>
        <w:rPr>
          <w:rFonts w:ascii="Barlow Semi Condensed" w:cs="Barlow Semi Condensed" w:eastAsia="Barlow Semi Condensed" w:hAnsi="Barlow Semi Condensed"/>
          <w:sz w:val="24"/>
          <w:szCs w:val="24"/>
        </w:rPr>
        <w:t xml:space="preserve">Terza: che la trasmissione abbia avuto efficacia sulla deliberazione.</w:t>
      </w:r>
    </w:p>
    <w:p>
      <w:pPr>
        <w:spacing w:after="120" w:line="276"/>
        <w:jc w:val="both"/>
      </w:pPr>
      <w:r>
        <w:rPr>
          <w:rFonts w:ascii="Barlow Semi Condensed" w:cs="Barlow Semi Condensed" w:eastAsia="Barlow Semi Condensed" w:hAnsi="Barlow Semi Condensed"/>
          <w:sz w:val="24"/>
          <w:szCs w:val="24"/>
        </w:rPr>
        <w:t xml:space="preserve">Le tre proposizioni sono in sequenza necessaria: la seconda presuppone la prima, la terza presuppone la seconda. Nessuna può essere inferita dalle altre.</w:t>
      </w:r>
    </w:p>
    <w:p>
      <w:pPr>
        <w:pStyle w:val="Heading2"/>
        <w:spacing w:after="100" w:before="200"/>
      </w:pPr>
      <w:r>
        <w:rPr>
          <w:rFonts w:ascii="Barlow Semi Condensed" w:cs="Barlow Semi Condensed" w:eastAsia="Barlow Semi Condensed" w:hAnsi="Barlow Semi Condensed"/>
          <w:sz w:val="24"/>
          <w:szCs w:val="24"/>
        </w:rPr>
        <w:t xml:space="preserve">Lo stato degli atti</w:t>
      </w:r>
    </w:p>
    <w:p>
      <w:pPr>
        <w:spacing w:after="120" w:line="276"/>
        <w:jc w:val="both"/>
      </w:pPr>
      <w:r>
        <w:rPr>
          <w:rFonts w:ascii="Barlow Semi Condensed" w:cs="Barlow Semi Condensed" w:eastAsia="Barlow Semi Condensed" w:hAnsi="Barlow Semi Condensed"/>
          <w:sz w:val="24"/>
          <w:szCs w:val="24"/>
        </w:rPr>
        <w:t xml:space="preserve">Allo stato degli atti che quest'opera ha potuto interrogare, nessuna delle tre proposizioni è accertata.</w:t>
      </w:r>
    </w:p>
    <w:p>
      <w:pPr>
        <w:spacing w:after="120" w:line="276"/>
        <w:jc w:val="both"/>
      </w:pPr>
      <w:r>
        <w:rPr>
          <w:rFonts w:ascii="Barlow Semi Condensed" w:cs="Barlow Semi Condensed" w:eastAsia="Barlow Semi Condensed" w:hAnsi="Barlow Semi Condensed"/>
          <w:sz w:val="24"/>
          <w:szCs w:val="24"/>
        </w:rPr>
        <w:t xml:space="preserve">Sulla prima: non risulta acquisito alcun atto che documenti una volontà esterna determinata quanto all'operazione. Risulta acquisita, e la Fase Seconda l'ha registrata, la documentazione di ostilità politica di più soggetti verso la politica del rapito; ma l'ostilità politica non è volontà determinata quanto a un atto, e il passaggio dall'una all'altra è il salto che l'opera vieta.</w:t>
      </w:r>
    </w:p>
    <w:p>
      <w:pPr>
        <w:spacing w:after="120" w:line="276"/>
        <w:jc w:val="both"/>
      </w:pPr>
      <w:r>
        <w:rPr>
          <w:rFonts w:ascii="Barlow Semi Condensed" w:cs="Barlow Semi Condensed" w:eastAsia="Barlow Semi Condensed" w:hAnsi="Barlow Semi Condensed"/>
          <w:sz w:val="24"/>
          <w:szCs w:val="24"/>
        </w:rPr>
        <w:t xml:space="preserve">Sulla seconda: non risulta acquisito alcun elemento che documenti una via di trasmissione.</w:t>
      </w:r>
    </w:p>
    <w:p>
      <w:pPr>
        <w:spacing w:after="120" w:line="276"/>
        <w:jc w:val="both"/>
      </w:pPr>
      <w:r>
        <w:rPr>
          <w:rFonts w:ascii="Barlow Semi Condensed" w:cs="Barlow Semi Condensed" w:eastAsia="Barlow Semi Condensed" w:hAnsi="Barlow Semi Condensed"/>
          <w:sz w:val="24"/>
          <w:szCs w:val="24"/>
        </w:rPr>
        <w:t xml:space="preserve">Sulla terza: non essendo accertate le prime due, non si pone.</w:t>
      </w:r>
    </w:p>
    <w:p>
      <w:pPr>
        <w:pStyle w:val="Heading2"/>
        <w:spacing w:after="100" w:before="200"/>
      </w:pPr>
      <w:r>
        <w:rPr>
          <w:rFonts w:ascii="Barlow Semi Condensed" w:cs="Barlow Semi Condensed" w:eastAsia="Barlow Semi Condensed" w:hAnsi="Barlow Semi Condensed"/>
          <w:sz w:val="24"/>
          <w:szCs w:val="24"/>
        </w:rPr>
        <w:t xml:space="preserve">La vacanza e il suo statuto</w:t>
      </w:r>
    </w:p>
    <w:p>
      <w:pPr>
        <w:spacing w:after="120" w:line="276"/>
        <w:jc w:val="both"/>
      </w:pPr>
      <w:r>
        <w:rPr>
          <w:rFonts w:ascii="Barlow Semi Condensed" w:cs="Barlow Semi Condensed" w:eastAsia="Barlow Semi Condensed" w:hAnsi="Barlow Semi Condensed"/>
          <w:sz w:val="24"/>
          <w:szCs w:val="24"/>
        </w:rPr>
        <w:t xml:space="preserve">Il terzo livello resta dunque vuoto, e occorre dire con precisione che cosa la vacanza significhi, perché essa è il punto sul quale l'intera opera sarà giudicata.</w:t>
      </w:r>
    </w:p>
    <w:p>
      <w:pPr>
        <w:spacing w:after="120" w:line="276"/>
        <w:jc w:val="both"/>
      </w:pPr>
      <w:r>
        <w:rPr>
          <w:rFonts w:ascii="Barlow Semi Condensed" w:cs="Barlow Semi Condensed" w:eastAsia="Barlow Semi Condensed" w:hAnsi="Barlow Semi Condensed"/>
          <w:sz w:val="24"/>
          <w:szCs w:val="24"/>
        </w:rPr>
        <w:t xml:space="preserve">La vacanza non significa che il terzo livello non esista. Significa che la sua esistenza non è accertata.</w:t>
      </w:r>
    </w:p>
    <w:p>
      <w:pPr>
        <w:spacing w:after="120" w:line="276"/>
        <w:jc w:val="both"/>
      </w:pPr>
      <w:r>
        <w:rPr>
          <w:rFonts w:ascii="Barlow Semi Condensed" w:cs="Barlow Semi Condensed" w:eastAsia="Barlow Semi Condensed" w:hAnsi="Barlow Semi Condensed"/>
          <w:sz w:val="24"/>
          <w:szCs w:val="24"/>
        </w:rPr>
        <w:t xml:space="preserve">La vacanza non significa che la ricerca sia conclusa. Significa che gli atti finora acquisiti non la riempiono.</w:t>
      </w:r>
    </w:p>
    <w:p>
      <w:pPr>
        <w:spacing w:after="120" w:line="276"/>
        <w:jc w:val="both"/>
      </w:pPr>
      <w:r>
        <w:rPr>
          <w:rFonts w:ascii="Barlow Semi Condensed" w:cs="Barlow Semi Condensed" w:eastAsia="Barlow Semi Condensed" w:hAnsi="Barlow Semi Condensed"/>
          <w:sz w:val="24"/>
          <w:szCs w:val="24"/>
        </w:rPr>
        <w:t xml:space="preserve">La vacanza non è, in alcun senso, una assoluzione di alcuno. Un registro non assolve e non condanna: constata che cosa gli atti stabiliscano.</w:t>
      </w:r>
    </w:p>
    <w:p>
      <w:pPr>
        <w:pStyle w:val="Heading2"/>
        <w:spacing w:after="100" w:before="200"/>
      </w:pPr>
      <w:r>
        <w:rPr>
          <w:rFonts w:ascii="Barlow Semi Condensed" w:cs="Barlow Semi Condensed" w:eastAsia="Barlow Semi Condensed" w:hAnsi="Barlow Semi Condensed"/>
          <w:sz w:val="24"/>
          <w:szCs w:val="24"/>
        </w:rPr>
        <w:t xml:space="preserve">Perché la vacanza si dichiara anziché colmarsi</w:t>
      </w:r>
    </w:p>
    <w:p>
      <w:pPr>
        <w:spacing w:after="120" w:line="276"/>
        <w:jc w:val="both"/>
      </w:pPr>
      <w:r>
        <w:rPr>
          <w:rFonts w:ascii="Barlow Semi Condensed" w:cs="Barlow Semi Condensed" w:eastAsia="Barlow Semi Condensed" w:hAnsi="Barlow Semi Condensed"/>
          <w:sz w:val="24"/>
          <w:szCs w:val="24"/>
        </w:rPr>
        <w:t xml:space="preserve">Occorre infine dire perché quest'opera lascia il livello vuoto anziché indicarvi il candidato più verosimile, che è ciò che la maggior parte della letteratura fa.</w:t>
      </w:r>
    </w:p>
    <w:p>
      <w:pPr>
        <w:spacing w:after="120" w:line="276"/>
        <w:jc w:val="both"/>
      </w:pPr>
      <w:r>
        <w:rPr>
          <w:rFonts w:ascii="Barlow Semi Condensed" w:cs="Barlow Semi Condensed" w:eastAsia="Barlow Semi Condensed" w:hAnsi="Barlow Semi Condensed"/>
          <w:sz w:val="24"/>
          <w:szCs w:val="24"/>
        </w:rPr>
        <w:t xml:space="preserve">La ragione non è prudenza. È che un livello riempito senza prova produce tre danni, tutti maggiori del beneficio di una narrazione compiuta.</w:t>
      </w:r>
    </w:p>
    <w:p>
      <w:pPr>
        <w:spacing w:after="120" w:line="276"/>
        <w:jc w:val="both"/>
      </w:pPr>
      <w:r>
        <w:rPr>
          <w:rFonts w:ascii="Barlow Semi Condensed" w:cs="Barlow Semi Condensed" w:eastAsia="Barlow Semi Condensed" w:hAnsi="Barlow Semi Condensed"/>
          <w:sz w:val="24"/>
          <w:szCs w:val="24"/>
        </w:rPr>
        <w:t xml:space="preserve">Primo danno: esso rende l'opera confutabile nel punto sbagliato. Chi voglia screditare l'insieme attaccherà l'anello non provato, e travolgerà con esso anche ciò che è provato.</w:t>
      </w:r>
    </w:p>
    <w:p>
      <w:pPr>
        <w:spacing w:after="120" w:line="276"/>
        <w:jc w:val="both"/>
      </w:pPr>
      <w:r>
        <w:rPr>
          <w:rFonts w:ascii="Barlow Semi Condensed" w:cs="Barlow Semi Condensed" w:eastAsia="Barlow Semi Condensed" w:hAnsi="Barlow Semi Condensed"/>
          <w:sz w:val="24"/>
          <w:szCs w:val="24"/>
        </w:rPr>
        <w:t xml:space="preserve">Secondo danno: esso chiude la ricerca. Un livello dichiarato riempito non si scava più, e se il riempimento è errato l'errore si consolida.</w:t>
      </w:r>
    </w:p>
    <w:p>
      <w:pPr>
        <w:spacing w:after="120" w:line="276"/>
        <w:jc w:val="both"/>
      </w:pPr>
      <w:r>
        <w:rPr>
          <w:rFonts w:ascii="Barlow Semi Condensed" w:cs="Barlow Semi Condensed" w:eastAsia="Barlow Semi Condensed" w:hAnsi="Barlow Semi Condensed"/>
          <w:sz w:val="24"/>
          <w:szCs w:val="24"/>
        </w:rPr>
        <w:t xml:space="preserve">Terzo danno, e il più grave: esso attribuisce a persone o a istituzioni una responsabilità che gli atti non accertano. È l'atto che l'opera esiste per non compiere, e non diventa lecito perché compiuto in nome di una verità che si ritiene di conoscere.</w:t>
      </w:r>
    </w:p>
    <w:p>
      <w:pPr>
        <w:pStyle w:val="Heading2"/>
        <w:spacing w:after="100" w:before="200"/>
      </w:pPr>
      <w:r>
        <w:rPr>
          <w:rFonts w:ascii="Barlow Semi Condensed" w:cs="Barlow Semi Condensed" w:eastAsia="Barlow Semi Condensed" w:hAnsi="Barlow Semi Condensed"/>
          <w:sz w:val="24"/>
          <w:szCs w:val="24"/>
        </w:rPr>
        <w:t xml:space="preserve">Che cosa la vacanza consegna</w:t>
      </w:r>
    </w:p>
    <w:p>
      <w:pPr>
        <w:spacing w:after="120" w:line="276"/>
        <w:jc w:val="both"/>
      </w:pPr>
      <w:r>
        <w:rPr>
          <w:rFonts w:ascii="Barlow Semi Condensed" w:cs="Barlow Semi Condensed" w:eastAsia="Barlow Semi Condensed" w:hAnsi="Barlow Semi Condensed"/>
          <w:sz w:val="24"/>
          <w:szCs w:val="24"/>
        </w:rPr>
        <w:t xml:space="preserve">La vacanza consegna alla Fase Settima, e alle edizioni future, l'elenco delle acquisizioni che la riempirebbero: atti che documentino una determinazione esterna quanto all'operazione; atti che documentino una via di trasmissione; atti che documentino l'efficacia della trasmissione.</w:t>
      </w:r>
    </w:p>
    <w:p>
      <w:pPr>
        <w:spacing w:after="120" w:line="276"/>
        <w:jc w:val="both"/>
      </w:pPr>
      <w:r>
        <w:rPr>
          <w:rFonts w:ascii="Barlow Semi Condensed" w:cs="Barlow Semi Condensed" w:eastAsia="Barlow Semi Condensed" w:hAnsi="Barlow Semi Condensed"/>
          <w:sz w:val="24"/>
          <w:szCs w:val="24"/>
        </w:rPr>
        <w:t xml:space="preserve">Le sedi presso le quali tali atti potrebbero trovarsi sono in parte identificate e in parte non accessibili con gli strumenti impiegati. L'elenco è nella tavola.</w:t>
      </w:r>
    </w:p>
    <w:p>
      <w:pPr>
        <w:pStyle w:val="Heading2"/>
        <w:spacing w:after="100" w:before="200"/>
      </w:pPr>
      <w:r>
        <w:rPr>
          <w:rFonts w:ascii="Barlow Semi Condensed" w:cs="Barlow Semi Condensed" w:eastAsia="Barlow Semi Condensed" w:hAnsi="Barlow Semi Condensed"/>
          <w:sz w:val="24"/>
          <w:szCs w:val="24"/>
        </w:rPr>
        <w:t xml:space="preserve">Capitolo cinquantottesimo — Il terzo soggetto</w:t>
      </w:r>
    </w:p>
    <w:p>
      <w:pPr>
        <w:spacing w:after="120" w:line="276"/>
        <w:jc w:val="both"/>
      </w:pPr>
      <w:r>
        <w:rPr>
          <w:rFonts w:ascii="Barlow Semi Condensed" w:cs="Barlow Semi Condensed" w:eastAsia="Barlow Semi Condensed" w:hAnsi="Barlow Semi Condensed"/>
          <w:sz w:val="24"/>
          <w:szCs w:val="24"/>
        </w:rPr>
        <w:t xml:space="preserve">La Fase Quinta ha consegnato a questa il fatto più solido che essa abbia prodotto: l'accertamento che sulla vicenda operò un terzo soggetto, distinto dai rapitori e dalle istituzioni, capace di produrre falso credibile e interessato a produrlo. Compete a questa Fase stabilire, se possibile, chi esso fosse.</w:t>
      </w:r>
    </w:p>
    <w:p>
      <w:pPr>
        <w:pStyle w:val="Heading2"/>
        <w:spacing w:after="100" w:before="200"/>
      </w:pPr>
      <w:r>
        <w:rPr>
          <w:rFonts w:ascii="Barlow Semi Condensed" w:cs="Barlow Semi Condensed" w:eastAsia="Barlow Semi Condensed" w:hAnsi="Barlow Semi Condensed"/>
          <w:sz w:val="24"/>
          <w:szCs w:val="24"/>
        </w:rPr>
        <w:t xml:space="preserve">Ciò che è accertato del terzo soggetto</w:t>
      </w:r>
    </w:p>
    <w:p>
      <w:pPr>
        <w:spacing w:after="120" w:line="276"/>
        <w:jc w:val="both"/>
      </w:pPr>
      <w:r>
        <w:rPr>
          <w:rFonts w:ascii="Barlow Semi Condensed" w:cs="Barlow Semi Condensed" w:eastAsia="Barlow Semi Condensed" w:hAnsi="Barlow Semi Condensed"/>
          <w:sz w:val="24"/>
          <w:szCs w:val="24"/>
        </w:rPr>
        <w:t xml:space="preserve">È accertato che esso esisteva, per la ragione logica esposta al Capitolo quarantaquattresimo: un comunicato apocrifo non si forma per errore.</w:t>
      </w:r>
    </w:p>
    <w:p>
      <w:pPr>
        <w:spacing w:after="120" w:line="276"/>
        <w:jc w:val="both"/>
      </w:pPr>
      <w:r>
        <w:rPr>
          <w:rFonts w:ascii="Barlow Semi Condensed" w:cs="Barlow Semi Condensed" w:eastAsia="Barlow Semi Condensed" w:hAnsi="Barlow Semi Condensed"/>
          <w:sz w:val="24"/>
          <w:szCs w:val="24"/>
        </w:rPr>
        <w:t xml:space="preserve">È accertato che esso disponeva delle capacità seguenti: conoscenza delle forme e del linguaggio delle comunicazioni autentiche, sufficiente a produrne una credibile; conoscenza dei canali di immissione, sufficiente a collocarla dove sarebbe stata raccolta come autentica; e tempestività, avendo agito in costanza di prigionia.</w:t>
      </w:r>
    </w:p>
    <w:p>
      <w:pPr>
        <w:spacing w:after="120" w:line="276"/>
        <w:jc w:val="both"/>
      </w:pPr>
      <w:r>
        <w:rPr>
          <w:rFonts w:ascii="Barlow Semi Condensed" w:cs="Barlow Semi Condensed" w:eastAsia="Barlow Semi Condensed" w:hAnsi="Barlow Semi Condensed"/>
          <w:sz w:val="24"/>
          <w:szCs w:val="24"/>
        </w:rPr>
        <w:t xml:space="preserve">È accertato che esso aveva interesse a interferire.</w:t>
      </w:r>
    </w:p>
    <w:p>
      <w:pPr>
        <w:pStyle w:val="Heading2"/>
        <w:spacing w:after="100" w:before="200"/>
      </w:pPr>
      <w:r>
        <w:rPr>
          <w:rFonts w:ascii="Barlow Semi Condensed" w:cs="Barlow Semi Condensed" w:eastAsia="Barlow Semi Condensed" w:hAnsi="Barlow Semi Condensed"/>
          <w:sz w:val="24"/>
          <w:szCs w:val="24"/>
        </w:rPr>
        <w:t xml:space="preserve">Ciò che non è accertato</w:t>
      </w:r>
    </w:p>
    <w:p>
      <w:pPr>
        <w:spacing w:after="120" w:line="276"/>
        <w:jc w:val="both"/>
      </w:pPr>
      <w:r>
        <w:rPr>
          <w:rFonts w:ascii="Barlow Semi Condensed" w:cs="Barlow Semi Condensed" w:eastAsia="Barlow Semi Condensed" w:hAnsi="Barlow Semi Condensed"/>
          <w:sz w:val="24"/>
          <w:szCs w:val="24"/>
        </w:rPr>
        <w:t xml:space="preserve">Non è accertata la sua identità. Non è accertata la sua collocazione: se interno a uno degli altri due soggetti, esterno a entrambi, o composito.</w:t>
      </w:r>
    </w:p>
    <w:p>
      <w:pPr>
        <w:pStyle w:val="Heading2"/>
        <w:spacing w:after="100" w:before="200"/>
      </w:pPr>
      <w:r>
        <w:rPr>
          <w:rFonts w:ascii="Barlow Semi Condensed" w:cs="Barlow Semi Condensed" w:eastAsia="Barlow Semi Condensed" w:hAnsi="Barlow Semi Condensed"/>
          <w:sz w:val="24"/>
          <w:szCs w:val="24"/>
        </w:rPr>
        <w:t xml:space="preserve">L'esame delle collocazioni possibili</w:t>
      </w:r>
    </w:p>
    <w:p>
      <w:pPr>
        <w:spacing w:after="120" w:line="276"/>
        <w:jc w:val="both"/>
      </w:pPr>
      <w:r>
        <w:rPr>
          <w:rFonts w:ascii="Barlow Semi Condensed" w:cs="Barlow Semi Condensed" w:eastAsia="Barlow Semi Condensed" w:hAnsi="Barlow Semi Condensed"/>
          <w:sz w:val="24"/>
          <w:szCs w:val="24"/>
        </w:rPr>
        <w:t xml:space="preserve">Si esaminano le collocazioni possibili, e per ciascuna si indica ciò che la sosterrebbe e ciò che la contrasta. Nessuna è accolta.</w:t>
      </w:r>
    </w:p>
    <w:p>
      <w:pPr>
        <w:spacing w:after="120" w:line="276"/>
        <w:jc w:val="both"/>
      </w:pPr>
      <w:r>
        <w:rPr>
          <w:rFonts w:ascii="Barlow Semi Condensed" w:cs="Barlow Semi Condensed" w:eastAsia="Barlow Semi Condensed" w:hAnsi="Barlow Semi Condensed"/>
          <w:sz w:val="24"/>
          <w:szCs w:val="24"/>
        </w:rPr>
        <w:t xml:space="preserve">Prima collocazione: interno all'organizzazione. La sosterrebbe la conoscenza delle forme delle comunicazioni, che è massima all'interno. La contrasta la smentita immediata da parte dell'organizzazione, che avrebbe vanificato l'operazione; e la contrasta la difficoltà di individuare un interesse interno alla produzione di un falso che l'organizzazione stessa doveva poi smentire.</w:t>
      </w:r>
    </w:p>
    <w:p>
      <w:pPr>
        <w:spacing w:after="120" w:line="276"/>
        <w:jc w:val="both"/>
      </w:pPr>
      <w:r>
        <w:rPr>
          <w:rFonts w:ascii="Barlow Semi Condensed" w:cs="Barlow Semi Condensed" w:eastAsia="Barlow Semi Condensed" w:hAnsi="Barlow Semi Condensed"/>
          <w:sz w:val="24"/>
          <w:szCs w:val="24"/>
        </w:rPr>
        <w:t xml:space="preserve">Seconda collocazione: interno agli apparati. La sosterrebbe la conoscenza dei canali di immissione, che è elevata negli apparati; e la sosterrebbe la disponibilità di finalità plausibili fra quelle enumerate al Capitolo quarantaquattresimo. La contrasta l'assenza di qualunque atto acquisito che la documenti.</w:t>
      </w:r>
    </w:p>
    <w:p>
      <w:pPr>
        <w:spacing w:after="120" w:line="276"/>
        <w:jc w:val="both"/>
      </w:pPr>
      <w:r>
        <w:rPr>
          <w:rFonts w:ascii="Barlow Semi Condensed" w:cs="Barlow Semi Condensed" w:eastAsia="Barlow Semi Condensed" w:hAnsi="Barlow Semi Condensed"/>
          <w:sz w:val="24"/>
          <w:szCs w:val="24"/>
        </w:rPr>
        <w:t xml:space="preserve">Terza collocazione: esterno a entrambi. La sosterrebbe la circostanza che ambienti dotati di conoscenze sufficienti esistevano al di fuori dei due soggetti principali. La contrasta la difficoltà di individuare, per un soggetto esterno, un interesse proporzionato al rischio.</w:t>
      </w:r>
    </w:p>
    <w:p>
      <w:pPr>
        <w:spacing w:after="120" w:line="276"/>
        <w:jc w:val="both"/>
      </w:pPr>
      <w:r>
        <w:rPr>
          <w:rFonts w:ascii="Barlow Semi Condensed" w:cs="Barlow Semi Condensed" w:eastAsia="Barlow Semi Condensed" w:hAnsi="Barlow Semi Condensed"/>
          <w:sz w:val="24"/>
          <w:szCs w:val="24"/>
        </w:rPr>
        <w:t xml:space="preserve">Quarta collocazione: composita. Vi rientrano le ipotesi che attribuiscano l'atto alla collaborazione di soggetti di collocazione diversa. Essa è la meno vincolata dalle obiezioni e, per ciò stesso, la meno verificabile: una ipotesi che si adatti a tutte le obiezioni non è confermata dalla propria adattabilità, ne è indebolita.</w:t>
      </w:r>
    </w:p>
    <w:p>
      <w:pPr>
        <w:pStyle w:val="Heading2"/>
        <w:spacing w:after="100" w:before="200"/>
      </w:pPr>
      <w:r>
        <w:rPr>
          <w:rFonts w:ascii="Barlow Semi Condensed" w:cs="Barlow Semi Condensed" w:eastAsia="Barlow Semi Condensed" w:hAnsi="Barlow Semi Condensed"/>
          <w:sz w:val="24"/>
          <w:szCs w:val="24"/>
        </w:rPr>
        <w:t xml:space="preserve">Ciò che discriminerebbe</w:t>
      </w:r>
    </w:p>
    <w:p>
      <w:pPr>
        <w:spacing w:after="120" w:line="276"/>
        <w:jc w:val="both"/>
      </w:pPr>
      <w:r>
        <w:rPr>
          <w:rFonts w:ascii="Barlow Semi Condensed" w:cs="Barlow Semi Condensed" w:eastAsia="Barlow Semi Condensed" w:hAnsi="Barlow Semi Condensed"/>
          <w:sz w:val="24"/>
          <w:szCs w:val="24"/>
        </w:rPr>
        <w:t xml:space="preserve">Si indica ciò che discriminerebbe fra le collocazioni: l'esame materiale del documento apocrifo — supporto, mezzo di scrittura, modalità di confezione — confrontato con quello dei documenti autentici e con le disponibilità dei diversi ambienti; la documentazione della via di immissione e dei tempi; gli atti relativi agli accertamenti condotti all'epoca sulla sua provenienza e ai loro esiti.</w:t>
      </w:r>
    </w:p>
    <w:p>
      <w:pPr>
        <w:spacing w:after="120" w:line="276"/>
        <w:jc w:val="both"/>
      </w:pPr>
      <w:r>
        <w:rPr>
          <w:rFonts w:ascii="Barlow Semi Condensed" w:cs="Barlow Semi Condensed" w:eastAsia="Barlow Semi Condensed" w:hAnsi="Barlow Semi Condensed"/>
          <w:sz w:val="24"/>
          <w:szCs w:val="24"/>
        </w:rPr>
        <w:t xml:space="preserve">Nessuno di tali elementi è stato acquisito nella presente campagna.</w:t>
      </w:r>
    </w:p>
    <w:p>
      <w:pPr>
        <w:pStyle w:val="Heading2"/>
        <w:spacing w:after="100" w:before="200"/>
      </w:pPr>
      <w:r>
        <w:rPr>
          <w:rFonts w:ascii="Barlow Semi Condensed" w:cs="Barlow Semi Condensed" w:eastAsia="Barlow Semi Condensed" w:hAnsi="Barlow Semi Condensed"/>
          <w:sz w:val="24"/>
          <w:szCs w:val="24"/>
        </w:rPr>
        <w:t xml:space="preserve">La rilevanza dell'accertato</w:t>
      </w:r>
    </w:p>
    <w:p>
      <w:pPr>
        <w:spacing w:after="120" w:line="276"/>
        <w:jc w:val="both"/>
      </w:pPr>
      <w:r>
        <w:rPr>
          <w:rFonts w:ascii="Barlow Semi Condensed" w:cs="Barlow Semi Condensed" w:eastAsia="Barlow Semi Condensed" w:hAnsi="Barlow Semi Condensed"/>
          <w:sz w:val="24"/>
          <w:szCs w:val="24"/>
        </w:rPr>
        <w:t xml:space="preserve">Occorre chiudere il Capitolo insistendo su ciò che resta accertato, perché la lunghezza dell'esame delle ipotesi potrebbe farlo perdere di vista.</w:t>
      </w:r>
    </w:p>
    <w:p>
      <w:pPr>
        <w:spacing w:after="120" w:line="276"/>
        <w:jc w:val="both"/>
      </w:pPr>
      <w:r>
        <w:rPr>
          <w:rFonts w:ascii="Barlow Semi Condensed" w:cs="Barlow Semi Condensed" w:eastAsia="Barlow Semi Condensed" w:hAnsi="Barlow Semi Condensed"/>
          <w:sz w:val="24"/>
          <w:szCs w:val="24"/>
        </w:rPr>
        <w:t xml:space="preserve">Che l'identità del terzo soggetto sia ignota non attenua l'accertamento della sua esistenza. E l'esistenza di un terzo soggetto operante deliberatamente sulla vicenda è un fatto di rilievo maggiore di quanto la sua sola formulazione suggerisca: essa stabilisce che la ricostruzione della vicenda a due soggetti — rapitori e istituzioni — è incompleta per accertamento, e non per congettura.</w:t>
      </w:r>
    </w:p>
    <w:p>
      <w:pPr>
        <w:spacing w:after="120" w:line="276"/>
        <w:jc w:val="both"/>
      </w:pPr>
      <w:r>
        <w:rPr>
          <w:rFonts w:ascii="Barlow Semi Condensed" w:cs="Barlow Semi Condensed" w:eastAsia="Barlow Semi Condensed" w:hAnsi="Barlow Semi Condensed"/>
          <w:sz w:val="24"/>
          <w:szCs w:val="24"/>
        </w:rPr>
        <w:t xml:space="preserve">Questo è quanto la Fase Quinta ha prodotto e questa Fase conferma. Non è poco.</w:t>
      </w:r>
    </w:p>
    <w:p>
      <w:pPr>
        <w:pStyle w:val="Heading2"/>
        <w:spacing w:after="100" w:before="200"/>
      </w:pPr>
      <w:r>
        <w:rPr>
          <w:rFonts w:ascii="Barlow Semi Condensed" w:cs="Barlow Semi Condensed" w:eastAsia="Barlow Semi Condensed" w:hAnsi="Barlow Semi Condensed"/>
          <w:sz w:val="24"/>
          <w:szCs w:val="24"/>
        </w:rPr>
        <w:t xml:space="preserve">Capitolo cinquantanovesimo — Gli ambienti, e la regola dell'ingresso in acqua</w:t>
      </w:r>
    </w:p>
    <w:p>
      <w:pPr>
        <w:spacing w:after="120" w:line="276"/>
        <w:jc w:val="both"/>
      </w:pPr>
      <w:r>
        <w:rPr>
          <w:rFonts w:ascii="Barlow Semi Condensed" w:cs="Barlow Semi Condensed" w:eastAsia="Barlow Semi Condensed" w:hAnsi="Barlow Semi Condensed"/>
          <w:sz w:val="24"/>
          <w:szCs w:val="24"/>
        </w:rPr>
        <w:t xml:space="preserve">Resta da trattare ciò che circonda gli attori senza essere attore: gli ambienti, le appartenenze, le prossimità. È la materia sulla quale la letteratura su questa vicenda si è più diffusa, ed è quella nella quale la disciplina dell'opera opera con maggiore severità.</w:t>
      </w:r>
    </w:p>
    <w:p>
      <w:pPr>
        <w:pStyle w:val="Heading2"/>
        <w:spacing w:after="100" w:before="200"/>
      </w:pPr>
      <w:r>
        <w:rPr>
          <w:rFonts w:ascii="Barlow Semi Condensed" w:cs="Barlow Semi Condensed" w:eastAsia="Barlow Semi Condensed" w:hAnsi="Barlow Semi Condensed"/>
          <w:sz w:val="24"/>
          <w:szCs w:val="24"/>
        </w:rPr>
        <w:t xml:space="preserve">La regola applicata</w:t>
      </w:r>
    </w:p>
    <w:p>
      <w:pPr>
        <w:spacing w:after="120" w:line="276"/>
        <w:jc w:val="both"/>
      </w:pPr>
      <w:r>
        <w:rPr>
          <w:rFonts w:ascii="Barlow Semi Condensed" w:cs="Barlow Semi Condensed" w:eastAsia="Barlow Semi Condensed" w:hAnsi="Barlow Semi Condensed"/>
          <w:sz w:val="24"/>
          <w:szCs w:val="24"/>
        </w:rPr>
        <w:t xml:space="preserve">Si applica qui la regola dell'ingresso in acqua, esposta al Capitolo sesto: un nodo profondo è ammesso soltanto se un arco diretto e indipendente lo lega al nucleo del caso; non basta che vi si arrivi per percorso.</w:t>
      </w:r>
    </w:p>
    <w:p>
      <w:pPr>
        <w:spacing w:after="120" w:line="276"/>
        <w:jc w:val="both"/>
      </w:pPr>
      <w:r>
        <w:rPr>
          <w:rFonts w:ascii="Barlow Semi Condensed" w:cs="Barlow Semi Condensed" w:eastAsia="Barlow Semi Condensed" w:hAnsi="Barlow Semi Condensed"/>
          <w:sz w:val="24"/>
          <w:szCs w:val="24"/>
        </w:rPr>
        <w:t xml:space="preserve">La ragione è stata esposta e si richiama: in una rete sociale estesa, due individui qualsiasi risultano collegati attraverso pochi intermediari; la constatazione che esiste un percorso non ha valore informativo, essendo vera quasi sempre.</w:t>
      </w:r>
    </w:p>
    <w:p>
      <w:pPr>
        <w:pStyle w:val="Heading2"/>
        <w:spacing w:after="100" w:before="200"/>
      </w:pPr>
      <w:r>
        <w:rPr>
          <w:rFonts w:ascii="Barlow Semi Condensed" w:cs="Barlow Semi Condensed" w:eastAsia="Barlow Semi Condensed" w:hAnsi="Barlow Semi Condensed"/>
          <w:sz w:val="24"/>
          <w:szCs w:val="24"/>
        </w:rPr>
        <w:t xml:space="preserve">L'applicazione a questa materia</w:t>
      </w:r>
    </w:p>
    <w:p>
      <w:pPr>
        <w:spacing w:after="120" w:line="276"/>
        <w:jc w:val="both"/>
      </w:pPr>
      <w:r>
        <w:rPr>
          <w:rFonts w:ascii="Barlow Semi Condensed" w:cs="Barlow Semi Condensed" w:eastAsia="Barlow Semi Condensed" w:hAnsi="Barlow Semi Condensed"/>
          <w:sz w:val="24"/>
          <w:szCs w:val="24"/>
        </w:rPr>
        <w:t xml:space="preserve">Applicata agli ambienti evocati a proposito di questa vicenda, la regola produce l'effetto seguente.</w:t>
      </w:r>
    </w:p>
    <w:p>
      <w:pPr>
        <w:spacing w:after="120" w:line="276"/>
        <w:jc w:val="both"/>
      </w:pPr>
      <w:r>
        <w:rPr>
          <w:rFonts w:ascii="Barlow Semi Condensed" w:cs="Barlow Semi Condensed" w:eastAsia="Barlow Semi Condensed" w:hAnsi="Barlow Semi Condensed"/>
          <w:sz w:val="24"/>
          <w:szCs w:val="24"/>
        </w:rPr>
        <w:t xml:space="preserve">Sono ammessi in quest'opera gli ambienti per i quali risulti un arco diretto al nucleo: la partecipazione a un atto, la ricezione di una informazione, l'esercizio di una funzione implicata negli eventi.</w:t>
      </w:r>
    </w:p>
    <w:p>
      <w:pPr>
        <w:spacing w:after="120" w:line="276"/>
        <w:jc w:val="both"/>
      </w:pPr>
      <w:r>
        <w:rPr>
          <w:rFonts w:ascii="Barlow Semi Condensed" w:cs="Barlow Semi Condensed" w:eastAsia="Barlow Semi Condensed" w:hAnsi="Barlow Semi Condensed"/>
          <w:sz w:val="24"/>
          <w:szCs w:val="24"/>
        </w:rPr>
        <w:t xml:space="preserve">Non sono ammessi gli ambienti raggiunti per percorso: l'appartenenza di un funzionario a una associazione; la frequentazione fra persone delle quali l'una abbia avuto ruolo negli eventi; la coincidenza di collocazione geografica; la comunanza di orientamento politico.</w:t>
      </w:r>
    </w:p>
    <w:p>
      <w:pPr>
        <w:spacing w:after="120" w:line="276"/>
        <w:jc w:val="both"/>
      </w:pPr>
      <w:r>
        <w:rPr>
          <w:rFonts w:ascii="Barlow Semi Condensed" w:cs="Barlow Semi Condensed" w:eastAsia="Barlow Semi Condensed" w:hAnsi="Barlow Semi Condensed"/>
          <w:sz w:val="24"/>
          <w:szCs w:val="24"/>
        </w:rPr>
        <w:t xml:space="preserve">Questi ultimi non sono negati: sono dichiarati non ammessi come elementi di ricostruzione, il che è cosa diversa. Un fatto vero e documentato può essere irrilevante, e la dichiarazione di irrilevanza non ne nega la verità.</w:t>
      </w:r>
    </w:p>
    <w:p>
      <w:pPr>
        <w:pStyle w:val="Heading2"/>
        <w:spacing w:after="100" w:before="200"/>
      </w:pPr>
      <w:r>
        <w:rPr>
          <w:rFonts w:ascii="Barlow Semi Condensed" w:cs="Barlow Semi Condensed" w:eastAsia="Barlow Semi Condensed" w:hAnsi="Barlow Semi Condensed"/>
          <w:sz w:val="24"/>
          <w:szCs w:val="24"/>
        </w:rPr>
        <w:t xml:space="preserve">Il costo della regola e la sua ragione</w:t>
      </w:r>
    </w:p>
    <w:p>
      <w:pPr>
        <w:spacing w:after="120" w:line="276"/>
        <w:jc w:val="both"/>
      </w:pPr>
      <w:r>
        <w:rPr>
          <w:rFonts w:ascii="Barlow Semi Condensed" w:cs="Barlow Semi Condensed" w:eastAsia="Barlow Semi Condensed" w:hAnsi="Barlow Semi Condensed"/>
          <w:sz w:val="24"/>
          <w:szCs w:val="24"/>
        </w:rPr>
        <w:t xml:space="preserve">Il costo è considerevole e si dichiara: la regola esclude dall'opera la maggior parte del materiale che circola su questa vicenda.</w:t>
      </w:r>
    </w:p>
    <w:p>
      <w:pPr>
        <w:spacing w:after="120" w:line="276"/>
        <w:jc w:val="both"/>
      </w:pPr>
      <w:r>
        <w:rPr>
          <w:rFonts w:ascii="Barlow Semi Condensed" w:cs="Barlow Semi Condensed" w:eastAsia="Barlow Semi Condensed" w:hAnsi="Barlow Semi Condensed"/>
          <w:sz w:val="24"/>
          <w:szCs w:val="24"/>
        </w:rPr>
        <w:t xml:space="preserve">La ragione per la quale il costo si accetta è stata anticipata al Capitolo sesto e qui si conferma con un argomento ulteriore.</w:t>
      </w:r>
    </w:p>
    <w:p>
      <w:pPr>
        <w:spacing w:after="120" w:line="276"/>
        <w:jc w:val="both"/>
      </w:pPr>
      <w:r>
        <w:rPr>
          <w:rFonts w:ascii="Barlow Semi Condensed" w:cs="Barlow Semi Condensed" w:eastAsia="Barlow Semi Condensed" w:hAnsi="Barlow Semi Condensed"/>
          <w:sz w:val="24"/>
          <w:szCs w:val="24"/>
        </w:rPr>
        <w:t xml:space="preserve">Un'opera che ammetta i collegamenti per percorso non aggiunge conoscenza: aggiunge nodi. E poiché in una rete estesa i nodi raggiungibili sono innumerevoli, l'opera cresce senza limite e senza guadagno. Al termine essa contiene tutto, e ciò che contiene tutto non distingue nulla.</w:t>
      </w:r>
    </w:p>
    <w:p>
      <w:pPr>
        <w:spacing w:after="120" w:line="276"/>
        <w:jc w:val="both"/>
      </w:pPr>
      <w:r>
        <w:rPr>
          <w:rFonts w:ascii="Barlow Semi Condensed" w:cs="Barlow Semi Condensed" w:eastAsia="Barlow Semi Condensed" w:hAnsi="Barlow Semi Condensed"/>
          <w:sz w:val="24"/>
          <w:szCs w:val="24"/>
        </w:rPr>
        <w:t xml:space="preserve">Si osservi che questo esito non è ipotetico: è ciò che è accaduto alla letteratura su questa materia, nella quale il numero dei soggetti evocati eccede di più ordini di grandezza il numero dei soggetti per i quali un arco diretto sia documentato.</w:t>
      </w:r>
    </w:p>
    <w:p>
      <w:pPr>
        <w:pStyle w:val="Heading2"/>
        <w:spacing w:after="100" w:before="200"/>
      </w:pPr>
      <w:r>
        <w:rPr>
          <w:rFonts w:ascii="Barlow Semi Condensed" w:cs="Barlow Semi Condensed" w:eastAsia="Barlow Semi Condensed" w:hAnsi="Barlow Semi Condensed"/>
          <w:sz w:val="24"/>
          <w:szCs w:val="24"/>
        </w:rPr>
        <w:t xml:space="preserve">Una precisazione necessaria</w:t>
      </w:r>
    </w:p>
    <w:p>
      <w:pPr>
        <w:spacing w:after="120" w:line="276"/>
        <w:jc w:val="both"/>
      </w:pPr>
      <w:r>
        <w:rPr>
          <w:rFonts w:ascii="Barlow Semi Condensed" w:cs="Barlow Semi Condensed" w:eastAsia="Barlow Semi Condensed" w:hAnsi="Barlow Semi Condensed"/>
          <w:sz w:val="24"/>
          <w:szCs w:val="24"/>
        </w:rPr>
        <w:t xml:space="preserve">Occorre precisare che la regola non esclude gli ambienti dalla ricerca, ma dalla ricostruzione.</w:t>
      </w:r>
    </w:p>
    <w:p>
      <w:pPr>
        <w:spacing w:after="120" w:line="276"/>
        <w:jc w:val="both"/>
      </w:pPr>
      <w:r>
        <w:rPr>
          <w:rFonts w:ascii="Barlow Semi Condensed" w:cs="Barlow Semi Condensed" w:eastAsia="Barlow Semi Condensed" w:hAnsi="Barlow Semi Condensed"/>
          <w:sz w:val="24"/>
          <w:szCs w:val="24"/>
        </w:rPr>
        <w:t xml:space="preserve">Un ambiente raggiunto per percorso può essere oggetto di indagine: si può cercare se esista, oltre al percorso, un arco diretto. La ricerca è legittima e talvolta produttiva.</w:t>
      </w:r>
    </w:p>
    <w:p>
      <w:pPr>
        <w:spacing w:after="120" w:line="276"/>
        <w:jc w:val="both"/>
      </w:pPr>
      <w:r>
        <w:rPr>
          <w:rFonts w:ascii="Barlow Semi Condensed" w:cs="Barlow Semi Condensed" w:eastAsia="Barlow Semi Condensed" w:hAnsi="Barlow Semi Condensed"/>
          <w:sz w:val="24"/>
          <w:szCs w:val="24"/>
        </w:rPr>
        <w:t xml:space="preserve">Ciò che la regola vieta è di trattare il percorso come se fosse l'arco. Finché l'arco diretto non è documentato, l'ambiente resta materia di ricerca e non entra nella ricostruzione.</w:t>
      </w:r>
    </w:p>
    <w:p>
      <w:pPr>
        <w:spacing w:after="120" w:line="276"/>
        <w:jc w:val="both"/>
      </w:pPr>
      <w:r>
        <w:rPr>
          <w:rFonts w:ascii="Barlow Semi Condensed" w:cs="Barlow Semi Condensed" w:eastAsia="Barlow Semi Condensed" w:hAnsi="Barlow Semi Condensed"/>
          <w:sz w:val="24"/>
          <w:szCs w:val="24"/>
        </w:rPr>
        <w:t xml:space="preserve">La distinzione fra materia di ricerca e materia di ricostruzione è, in fondo, la distinzione che tutta quest'opera osserva: fra ciò che si sta cercando e ciò che si è trovato.</w:t>
      </w:r>
    </w:p>
    <w:p>
      <w:pPr>
        <w:pStyle w:val="Heading2"/>
        <w:spacing w:after="100" w:before="200"/>
      </w:pPr>
      <w:r>
        <w:rPr>
          <w:rFonts w:ascii="Barlow Semi Condensed" w:cs="Barlow Semi Condensed" w:eastAsia="Barlow Semi Condensed" w:hAnsi="Barlow Semi Condensed"/>
          <w:sz w:val="24"/>
          <w:szCs w:val="24"/>
        </w:rPr>
        <w:t xml:space="preserve">Capitolo sessantesimo — Bilancio della Fase Sesta</w:t>
      </w:r>
    </w:p>
    <w:p>
      <w:pPr>
        <w:pStyle w:val="Heading2"/>
        <w:spacing w:after="100" w:before="200"/>
      </w:pPr>
      <w:r>
        <w:rPr>
          <w:rFonts w:ascii="Barlow Semi Condensed" w:cs="Barlow Semi Condensed" w:eastAsia="Barlow Semi Condensed" w:hAnsi="Barlow Semi Condensed"/>
          <w:sz w:val="24"/>
          <w:szCs w:val="24"/>
        </w:rPr>
        <w:t xml:space="preserve">Ciò che è accertato</w:t>
      </w:r>
    </w:p>
    <w:p>
      <w:pPr>
        <w:spacing w:after="120" w:line="276"/>
        <w:jc w:val="both"/>
      </w:pPr>
      <w:r>
        <w:rPr>
          <w:rFonts w:ascii="Barlow Semi Condensed" w:cs="Barlow Semi Condensed" w:eastAsia="Barlow Semi Condensed" w:hAnsi="Barlow Semi Condensed"/>
          <w:sz w:val="24"/>
          <w:szCs w:val="24"/>
        </w:rPr>
        <w:t xml:space="preserve">È accertato il primo livello nella sua struttura: pluralità degli agenti, modalità dell'agguato, esistenza e collocazione del luogo di custodia, causa della morte. È accertata, per sentenza definitiva e nei limiti degli accertamenti giudiziari, la responsabilità individuale di persone determinate.</w:t>
      </w:r>
    </w:p>
    <w:p>
      <w:pPr>
        <w:spacing w:after="120" w:line="276"/>
        <w:jc w:val="both"/>
      </w:pPr>
      <w:r>
        <w:rPr>
          <w:rFonts w:ascii="Barlow Semi Condensed" w:cs="Barlow Semi Condensed" w:eastAsia="Barlow Semi Condensed" w:hAnsi="Barlow Semi Condensed"/>
          <w:sz w:val="24"/>
          <w:szCs w:val="24"/>
        </w:rPr>
        <w:t xml:space="preserve">È accertato il secondo livello nella sua esistenza e nella sua funzione: un organismo direttivo deliberò l'operazione, ne diresse la conduzione e assunse le decisioni relative alla gestione del periodo, compresa quella finale.</w:t>
      </w:r>
    </w:p>
    <w:p>
      <w:pPr>
        <w:spacing w:after="120" w:line="276"/>
        <w:jc w:val="both"/>
      </w:pPr>
      <w:r>
        <w:rPr>
          <w:rFonts w:ascii="Barlow Semi Condensed" w:cs="Barlow Semi Condensed" w:eastAsia="Barlow Semi Condensed" w:hAnsi="Barlow Semi Condensed"/>
          <w:sz w:val="24"/>
          <w:szCs w:val="24"/>
        </w:rPr>
        <w:t xml:space="preserve">È accertato che sulla vicenda operò un terzo soggetto, distinto dai rapitori e dalle istituzioni, che compì un atto deliberato di interferenza.</w:t>
      </w:r>
    </w:p>
    <w:p>
      <w:pPr>
        <w:pStyle w:val="Heading2"/>
        <w:spacing w:after="100" w:before="200"/>
      </w:pPr>
      <w:r>
        <w:rPr>
          <w:rFonts w:ascii="Barlow Semi Condensed" w:cs="Barlow Semi Condensed" w:eastAsia="Barlow Semi Condensed" w:hAnsi="Barlow Semi Condensed"/>
          <w:sz w:val="24"/>
          <w:szCs w:val="24"/>
        </w:rPr>
        <w:t xml:space="preserve">Ciò che non è accertato</w:t>
      </w:r>
    </w:p>
    <w:p>
      <w:pPr>
        <w:spacing w:after="120" w:line="276"/>
        <w:jc w:val="both"/>
      </w:pPr>
      <w:r>
        <w:rPr>
          <w:rFonts w:ascii="Barlow Semi Condensed" w:cs="Barlow Semi Condensed" w:eastAsia="Barlow Semi Condensed" w:hAnsi="Barlow Semi Condensed"/>
          <w:sz w:val="24"/>
          <w:szCs w:val="24"/>
        </w:rPr>
        <w:t xml:space="preserve">Non è accertato il terzo livello, in nessuna delle tre proposizioni che lo comporrebbero.</w:t>
      </w:r>
    </w:p>
    <w:p>
      <w:pPr>
        <w:spacing w:after="120" w:line="276"/>
        <w:jc w:val="both"/>
      </w:pPr>
      <w:r>
        <w:rPr>
          <w:rFonts w:ascii="Barlow Semi Condensed" w:cs="Barlow Semi Condensed" w:eastAsia="Barlow Semi Condensed" w:hAnsi="Barlow Semi Condensed"/>
          <w:sz w:val="24"/>
          <w:szCs w:val="24"/>
        </w:rPr>
        <w:t xml:space="preserve">Non è accertata l'identità né la collocazione del terzo soggetto.</w:t>
      </w:r>
    </w:p>
    <w:p>
      <w:pPr>
        <w:spacing w:after="120" w:line="276"/>
        <w:jc w:val="both"/>
      </w:pPr>
      <w:r>
        <w:rPr>
          <w:rFonts w:ascii="Barlow Semi Condensed" w:cs="Barlow Semi Condensed" w:eastAsia="Barlow Semi Condensed" w:hAnsi="Barlow Semi Condensed"/>
          <w:sz w:val="24"/>
          <w:szCs w:val="24"/>
        </w:rPr>
        <w:t xml:space="preserve">Non è accertata la composizione individuale dell'organismo direttivo oltre i limiti degli accertamenti giudiziari.</w:t>
      </w:r>
    </w:p>
    <w:p>
      <w:pPr>
        <w:spacing w:after="120" w:line="276"/>
        <w:jc w:val="both"/>
      </w:pPr>
      <w:r>
        <w:rPr>
          <w:rFonts w:ascii="Barlow Semi Condensed" w:cs="Barlow Semi Condensed" w:eastAsia="Barlow Semi Condensed" w:hAnsi="Barlow Semi Condensed"/>
          <w:sz w:val="24"/>
          <w:szCs w:val="24"/>
        </w:rPr>
        <w:t xml:space="preserve">Non è accertata la presenza di soggetti ulteriori non identificati sul luogo dell'agguato, e non risulta esclusa.</w:t>
      </w:r>
    </w:p>
    <w:p>
      <w:pPr>
        <w:pStyle w:val="Heading2"/>
        <w:spacing w:after="100" w:before="200"/>
      </w:pPr>
      <w:r>
        <w:rPr>
          <w:rFonts w:ascii="Barlow Semi Condensed" w:cs="Barlow Semi Condensed" w:eastAsia="Barlow Semi Condensed" w:hAnsi="Barlow Semi Condensed"/>
          <w:sz w:val="24"/>
          <w:szCs w:val="24"/>
        </w:rPr>
        <w:t xml:space="preserve">Ciò che è dichiarato revisionabile</w:t>
      </w:r>
    </w:p>
    <w:p>
      <w:pPr>
        <w:spacing w:after="120" w:line="276"/>
        <w:jc w:val="both"/>
      </w:pPr>
      <w:r>
        <w:rPr>
          <w:rFonts w:ascii="Barlow Semi Condensed" w:cs="Barlow Semi Condensed" w:eastAsia="Barlow Semi Condensed" w:hAnsi="Barlow Semi Condensed"/>
          <w:sz w:val="24"/>
          <w:szCs w:val="24"/>
        </w:rPr>
        <w:t xml:space="preserve">È dichiarata versione corrente e non acquisizione definitiva la ricostruzione dell'attribuzione individuale delle condotte, per la parte che poggia su dichiarazioni. La qualificazione non è una riserva sull'attendibilità dei singoli: è la constatazione di una proprietà della fonte.</w:t>
      </w:r>
    </w:p>
    <w:p>
      <w:pPr>
        <w:pStyle w:val="Heading2"/>
        <w:spacing w:after="100" w:before="200"/>
      </w:pPr>
      <w:r>
        <w:rPr>
          <w:rFonts w:ascii="Barlow Semi Condensed" w:cs="Barlow Semi Condensed" w:eastAsia="Barlow Semi Condensed" w:hAnsi="Barlow Semi Condensed"/>
          <w:sz w:val="24"/>
          <w:szCs w:val="24"/>
        </w:rPr>
        <w:t xml:space="preserve">Gli strumenti istituiti o applicati</w:t>
      </w:r>
    </w:p>
    <w:p>
      <w:pPr>
        <w:spacing w:after="120" w:line="276"/>
        <w:jc w:val="both"/>
      </w:pPr>
      <w:r>
        <w:rPr>
          <w:rFonts w:ascii="Barlow Semi Condensed" w:cs="Barlow Semi Condensed" w:eastAsia="Barlow Semi Condensed" w:hAnsi="Barlow Semi Condensed"/>
          <w:sz w:val="24"/>
          <w:szCs w:val="24"/>
        </w:rPr>
        <w:t xml:space="preserve">La Fase ha applicato la scala del vincolo ai dichiaranti, con tre specie di vincolo — processuale, di appartenenza, di coerenza — e ha dichiarato che gli enunciati di terzo grado non sono impiegati come prova dell'attribuzione che contengono, salvo riscontro indipendente, e salvo sempre gli accertamenti giudiziari, che non sono riesaminati.</w:t>
      </w:r>
    </w:p>
    <w:p>
      <w:pPr>
        <w:spacing w:after="120" w:line="276"/>
        <w:jc w:val="both"/>
      </w:pPr>
      <w:r>
        <w:rPr>
          <w:rFonts w:ascii="Barlow Semi Condensed" w:cs="Barlow Semi Condensed" w:eastAsia="Barlow Semi Condensed" w:hAnsi="Barlow Semi Condensed"/>
          <w:sz w:val="24"/>
          <w:szCs w:val="24"/>
        </w:rPr>
        <w:t xml:space="preserve">La Fase ha istituito la regola del collasso genealogico: prima di computare una convergenza si contano gli eventi originari e non le fonti, e l'autorevolezza della sede non genera indipendenza.</w:t>
      </w:r>
    </w:p>
    <w:p>
      <w:pPr>
        <w:spacing w:after="120" w:line="276"/>
        <w:jc w:val="both"/>
      </w:pPr>
      <w:r>
        <w:rPr>
          <w:rFonts w:ascii="Barlow Semi Condensed" w:cs="Barlow Semi Condensed" w:eastAsia="Barlow Semi Condensed" w:hAnsi="Barlow Semi Condensed"/>
          <w:sz w:val="24"/>
          <w:szCs w:val="24"/>
        </w:rPr>
        <w:t xml:space="preserve">La Fase ha applicato la regola dell'ingresso in acqua agli ambienti, escludendo dalla ricostruzione, e non dalla ricerca, i nodi raggiunti per percorso.</w:t>
      </w:r>
    </w:p>
    <w:p>
      <w:pPr>
        <w:pStyle w:val="Heading2"/>
        <w:spacing w:after="100" w:before="200"/>
      </w:pPr>
      <w:r>
        <w:rPr>
          <w:rFonts w:ascii="Barlow Semi Condensed" w:cs="Barlow Semi Condensed" w:eastAsia="Barlow Semi Condensed" w:hAnsi="Barlow Semi Condensed"/>
          <w:sz w:val="24"/>
          <w:szCs w:val="24"/>
        </w:rPr>
        <w:t xml:space="preserve">Il risultato principale</w:t>
      </w:r>
    </w:p>
    <w:p>
      <w:pPr>
        <w:spacing w:after="120" w:line="276"/>
        <w:jc w:val="both"/>
      </w:pPr>
      <w:r>
        <w:rPr>
          <w:rFonts w:ascii="Barlow Semi Condensed" w:cs="Barlow Semi Condensed" w:eastAsia="Barlow Semi Condensed" w:hAnsi="Barlow Semi Condensed"/>
          <w:sz w:val="24"/>
          <w:szCs w:val="24"/>
        </w:rPr>
        <w:t xml:space="preserve">Il risultato principale della Fase è la separazione dei tre livelli e il rifiuto di trattarli come una scala da salire.</w:t>
      </w:r>
    </w:p>
    <w:p>
      <w:pPr>
        <w:spacing w:after="120" w:line="276"/>
        <w:jc w:val="both"/>
      </w:pPr>
      <w:r>
        <w:rPr>
          <w:rFonts w:ascii="Barlow Semi Condensed" w:cs="Barlow Semi Condensed" w:eastAsia="Barlow Semi Condensed" w:hAnsi="Barlow Semi Condensed"/>
          <w:sz w:val="24"/>
          <w:szCs w:val="24"/>
        </w:rPr>
        <w:t xml:space="preserve">Ne è conseguita la dichiarazione della vacanza del terzo livello. Essa è, credo, la proposizione più importante dell'intera opera fino a questo punto, e la più esposta al fraintendimento; e per questo è stata circondata al Capitolo cinquantasettesimo da tutte le precisazioni necessarie: non significa che il terzo livello non esista; non significa che la ricerca sia conclusa; non è assoluzione di alcuno.</w:t>
      </w:r>
    </w:p>
    <w:p>
      <w:pPr>
        <w:spacing w:after="120" w:line="276"/>
        <w:jc w:val="both"/>
      </w:pPr>
      <w:r>
        <w:rPr>
          <w:rFonts w:ascii="Barlow Semi Condensed" w:cs="Barlow Semi Condensed" w:eastAsia="Barlow Semi Condensed" w:hAnsi="Barlow Semi Condensed"/>
          <w:sz w:val="24"/>
          <w:szCs w:val="24"/>
        </w:rPr>
        <w:t xml:space="preserve">Significa che, con gli atti disponibili, esso non è accertato. E significa che riempirlo senza prova produrrebbe tre danni maggiori del beneficio: renderebbe l'opera confutabile nel punto sbagliato, chiuderebbe la ricerca, e attribuirebbe responsabilità che gli atti non accertano.</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14 agosto 2026. Cantiere: Fase Sesta, gli attori. Materia: tre livelli di responsabilità, scala del vincolo applicata ai dichiaranti, collasso genealogico, terzo soggetto, ambienti.</w:t>
      </w:r>
    </w:p>
    <w:p>
      <w:pPr>
        <w:spacing w:after="120" w:line="276"/>
        <w:jc w:val="both"/>
      </w:pPr>
      <w:r>
        <w:rPr>
          <w:rFonts w:ascii="Barlow Semi Condensed" w:cs="Barlow Semi Condensed" w:eastAsia="Barlow Semi Condensed" w:hAnsi="Barlow Semi Condensed"/>
          <w:sz w:val="24"/>
          <w:szCs w:val="24"/>
        </w:rPr>
        <w:t xml:space="preserve">Esito: primo e secondo livello accertati nella struttura e nella funzione; terzo livello dichiarato vuoto; terzo soggetto accertato quanto all'esistenza e non quanto all'identità; ricostruzione dell'attribuzione individuale qualificata come versione corrente.</w:t>
      </w:r>
    </w:p>
    <w:p>
      <w:pPr>
        <w:spacing w:after="120" w:line="276"/>
        <w:jc w:val="both"/>
      </w:pPr>
      <w:r>
        <w:rPr>
          <w:rFonts w:ascii="Barlow Semi Condensed" w:cs="Barlow Semi Condensed" w:eastAsia="Barlow Semi Condensed" w:hAnsi="Barlow Semi Condensed"/>
          <w:sz w:val="24"/>
          <w:szCs w:val="24"/>
        </w:rPr>
        <w:t xml:space="preserve">Riga di esito nullo. Nessun atto è stato reperito che documenti una volontà esterna determinata quanto all'operazione, né una via di trasmissione, né la sua efficacia. L'esito negativo è registrato con la dignità che gli compete.</w:t>
      </w:r>
    </w:p>
    <w:p>
      <w:pPr>
        <w:spacing w:after="120" w:line="276"/>
        <w:jc w:val="both"/>
      </w:pPr>
      <w:r>
        <w:rPr>
          <w:rFonts w:ascii="Barlow Semi Condensed" w:cs="Barlow Semi Condensed" w:eastAsia="Barlow Semi Condensed" w:hAnsi="Barlow Semi Condensed"/>
          <w:sz w:val="24"/>
          <w:szCs w:val="24"/>
        </w:rPr>
        <w:t xml:space="preserve">Riga di consegna. Si consegna alla Fase Settima: la vacanza del terzo livello con l'elenco delle acquisizioni che la riempirebbero; l'identità ignota del terzo soggetto con le vie di discriminazione indicate; e la verifica genealogica analitica, condizione preliminare di qualunque computo di convergenza.</w:t>
      </w:r>
    </w:p>
    <w:p>
      <w:pPr>
        <w:spacing w:after="120" w:line="276"/>
        <w:jc w:val="both"/>
      </w:pPr>
      <w:r>
        <w:rPr>
          <w:rFonts w:ascii="Barlow Semi Condensed" w:cs="Barlow Semi Condensed" w:eastAsia="Barlow Semi Condensed" w:hAnsi="Barlow Semi Condensed"/>
          <w:sz w:val="24"/>
          <w:szCs w:val="24"/>
        </w:rPr>
        <w:t xml:space="preserve">Riga di avvertenza. La Fase non ha ripetuto i nomi delle persone condannate, che sono negli atti pubblici e non sono qui riesaminati. La ragione è al Capitolo cinquantunesimo: per la ricostruzione della struttura della responsabilità rileva il ruolo, e un elenco di nomi produrrebbe un rinnovo di esposizione che nessuna necessità documentale giustifica.</w:t>
      </w:r>
    </w:p>
    <w:p>
      <w:pPr>
        <w:pStyle w:val="Heading2"/>
        <w:spacing w:after="100" w:before="200"/>
      </w:pPr>
      <w:r>
        <w:rPr>
          <w:rFonts w:ascii="Barlow Semi Condensed" w:cs="Barlow Semi Condensed" w:eastAsia="Barlow Semi Condensed" w:hAnsi="Barlow Semi Condensed"/>
          <w:sz w:val="24"/>
          <w:szCs w:val="24"/>
        </w:rPr>
        <w:t xml:space="preserve">FASE SETTIMA — IL GIUDIZIO E CIÒ CHE RESTA</w:t>
      </w:r>
    </w:p>
    <w:p>
      <w:pPr>
        <w:spacing w:after="120" w:line="276"/>
        <w:jc w:val="both"/>
      </w:pPr>
      <w:r>
        <w:rPr>
          <w:rFonts w:ascii="Barlow Semi Condensed" w:cs="Barlow Semi Condensed" w:eastAsia="Barlow Semi Condensed" w:hAnsi="Barlow Semi Condensed"/>
          <w:sz w:val="24"/>
          <w:szCs w:val="24"/>
        </w:rPr>
        <w:t xml:space="preserve">Dove si registra cio che le sedi hanno stabilito, cio che l'opera ha stabilito, cio che essa espressamente non sostiene, e la tavola di cio che manca.</w:t>
      </w:r>
    </w:p>
    <w:p>
      <w:pPr>
        <w:pStyle w:val="Heading2"/>
        <w:spacing w:after="100" w:before="200"/>
      </w:pPr>
      <w:r>
        <w:rPr>
          <w:rFonts w:ascii="Barlow Semi Condensed" w:cs="Barlow Semi Condensed" w:eastAsia="Barlow Semi Condensed" w:hAnsi="Barlow Semi Condensed"/>
          <w:sz w:val="24"/>
          <w:szCs w:val="24"/>
        </w:rPr>
        <w:t xml:space="preserve">Capitolo sessantunesimo — L'oggetto della Fase e il rifiuto della conclusione</w:t>
      </w:r>
    </w:p>
    <w:p>
      <w:pPr>
        <w:spacing w:after="120" w:line="276"/>
        <w:jc w:val="both"/>
      </w:pPr>
      <w:r>
        <w:rPr>
          <w:rFonts w:ascii="Barlow Semi Condensed" w:cs="Barlow Semi Condensed" w:eastAsia="Barlow Semi Condensed" w:hAnsi="Barlow Semi Condensed"/>
          <w:sz w:val="24"/>
          <w:szCs w:val="24"/>
        </w:rPr>
        <w:t xml:space="preserve">Questa Fase chiude l'opera. Essa non conclude, e la distinzione va enunciata prima di ogni altra cosa perché governa tutto ciò che segue.</w:t>
      </w:r>
    </w:p>
    <w:p>
      <w:pPr>
        <w:pStyle w:val="Heading2"/>
        <w:spacing w:after="100" w:before="200"/>
      </w:pPr>
      <w:r>
        <w:rPr>
          <w:rFonts w:ascii="Barlow Semi Condensed" w:cs="Barlow Semi Condensed" w:eastAsia="Barlow Semi Condensed" w:hAnsi="Barlow Semi Condensed"/>
          <w:sz w:val="24"/>
          <w:szCs w:val="24"/>
        </w:rPr>
        <w:t xml:space="preserve">Perché un registro non conclude</w:t>
      </w:r>
    </w:p>
    <w:p>
      <w:pPr>
        <w:spacing w:after="120" w:line="276"/>
        <w:jc w:val="both"/>
      </w:pPr>
      <w:r>
        <w:rPr>
          <w:rFonts w:ascii="Barlow Semi Condensed" w:cs="Barlow Semi Condensed" w:eastAsia="Barlow Semi Condensed" w:hAnsi="Barlow Semi Condensed"/>
          <w:sz w:val="24"/>
          <w:szCs w:val="24"/>
        </w:rPr>
        <w:t xml:space="preserve">Una conclusione è un atto: essa dichiara che la ricerca è terminata e che il suo esito è quello. Un registro non può compierlo, per due ragioni che non dipendono dalla volontà di chi lo redige.</w:t>
      </w:r>
    </w:p>
    <w:p>
      <w:pPr>
        <w:spacing w:after="120" w:line="276"/>
        <w:jc w:val="both"/>
      </w:pPr>
      <w:r>
        <w:rPr>
          <w:rFonts w:ascii="Barlow Semi Condensed" w:cs="Barlow Semi Condensed" w:eastAsia="Barlow Semi Condensed" w:hAnsi="Barlow Semi Condensed"/>
          <w:sz w:val="24"/>
          <w:szCs w:val="24"/>
        </w:rPr>
        <w:t xml:space="preserve">La prima è che il registro non possiede tutti gli atti. La Fase Quinta ha censito le acquisizioni documentali necessarie e non conseguite; la Fase Sesta ha dichiarato vuoto un livello per difetto di prova. Concludere in questa condizione significherebbe dichiarare terminata una ricerca che è soltanto interrotta.</w:t>
      </w:r>
    </w:p>
    <w:p>
      <w:pPr>
        <w:spacing w:after="120" w:line="276"/>
        <w:jc w:val="both"/>
      </w:pPr>
      <w:r>
        <w:rPr>
          <w:rFonts w:ascii="Barlow Semi Condensed" w:cs="Barlow Semi Condensed" w:eastAsia="Barlow Semi Condensed" w:hAnsi="Barlow Semi Condensed"/>
          <w:sz w:val="24"/>
          <w:szCs w:val="24"/>
        </w:rPr>
        <w:t xml:space="preserve">La seconda è più profonda. Un caso nel quale è accertato che furono prodotti falsi, che una perquisizione fu incompleta e che materiale fu movimentato prima di essere verbalizzato non può produrre, se onestamente ricostruito, un quadro compiuto. Un quadro compiuto, in un caso siffatto, sarebbe la prova che il ricercatore ha riempito con la propria immaginazione le lacune che gli erano state preparate.</w:t>
      </w:r>
    </w:p>
    <w:p>
      <w:pPr>
        <w:pStyle w:val="Heading2"/>
        <w:spacing w:after="100" w:before="200"/>
      </w:pPr>
      <w:r>
        <w:rPr>
          <w:rFonts w:ascii="Barlow Semi Condensed" w:cs="Barlow Semi Condensed" w:eastAsia="Barlow Semi Condensed" w:hAnsi="Barlow Semi Condensed"/>
          <w:sz w:val="24"/>
          <w:szCs w:val="24"/>
        </w:rPr>
        <w:t xml:space="preserve">Che cosa dunque questa Fase fa</w:t>
      </w:r>
    </w:p>
    <w:p>
      <w:pPr>
        <w:spacing w:after="120" w:line="276"/>
        <w:jc w:val="both"/>
      </w:pPr>
      <w:r>
        <w:rPr>
          <w:rFonts w:ascii="Barlow Semi Condensed" w:cs="Barlow Semi Condensed" w:eastAsia="Barlow Semi Condensed" w:hAnsi="Barlow Semi Condensed"/>
          <w:sz w:val="24"/>
          <w:szCs w:val="24"/>
        </w:rPr>
        <w:t xml:space="preserve">Essa consegna. Registra ciò che le sedi istituzionali hanno stabilito e con quale autorità; registra ciò che l'opera ha stabilito e a quale grado; registra gli esiti negativi in un solo luogo perché acquistino la forza che dispersi non hanno; registra ciò che l'opera espressamente non sostiene; e consegna la tavola di ciò che manca, con l'indicazione della sede presso la quale cercarlo.</w:t>
      </w:r>
    </w:p>
    <w:p>
      <w:pPr>
        <w:spacing w:after="120" w:line="276"/>
        <w:jc w:val="both"/>
      </w:pPr>
      <w:r>
        <w:rPr>
          <w:rFonts w:ascii="Barlow Semi Condensed" w:cs="Barlow Semi Condensed" w:eastAsia="Barlow Semi Condensed" w:hAnsi="Barlow Semi Condensed"/>
          <w:sz w:val="24"/>
          <w:szCs w:val="24"/>
        </w:rPr>
        <w:t xml:space="preserve">Il Capitolo sessantottesimo, dedicato a ciò che l'opera non sostiene, è quello che nessuna delle sei Fasi precedenti poteva contenere, ed è probabilmente il più utile del volume. Una ricerca è giudicabile dalle proprie astensioni non meno che dalle proprie affermazioni; e le astensioni, se non raccolte, restano invisibili.</w:t>
      </w:r>
    </w:p>
    <w:p>
      <w:pPr>
        <w:pStyle w:val="Heading2"/>
        <w:spacing w:after="100" w:before="200"/>
      </w:pPr>
      <w:r>
        <w:rPr>
          <w:rFonts w:ascii="Barlow Semi Condensed" w:cs="Barlow Semi Condensed" w:eastAsia="Barlow Semi Condensed" w:hAnsi="Barlow Semi Condensed"/>
          <w:sz w:val="24"/>
          <w:szCs w:val="24"/>
        </w:rPr>
        <w:t xml:space="preserve">Una avvertenza sul tono</w:t>
      </w:r>
    </w:p>
    <w:p>
      <w:pPr>
        <w:spacing w:after="120" w:line="276"/>
        <w:jc w:val="both"/>
      </w:pPr>
      <w:r>
        <w:rPr>
          <w:rFonts w:ascii="Barlow Semi Condensed" w:cs="Barlow Semi Condensed" w:eastAsia="Barlow Semi Condensed" w:hAnsi="Barlow Semi Condensed"/>
          <w:sz w:val="24"/>
          <w:szCs w:val="24"/>
        </w:rPr>
        <w:t xml:space="preserve">Chi giunga a questa Fase attendendosi il nome di un colpevole non lo troverà, e conviene dirlo qui anziché lasciarlo scoprire alla fine.</w:t>
      </w:r>
    </w:p>
    <w:p>
      <w:pPr>
        <w:spacing w:after="120" w:line="276"/>
        <w:jc w:val="both"/>
      </w:pPr>
      <w:r>
        <w:rPr>
          <w:rFonts w:ascii="Barlow Semi Condensed" w:cs="Barlow Semi Condensed" w:eastAsia="Barlow Semi Condensed" w:hAnsi="Barlow Semi Condensed"/>
          <w:sz w:val="24"/>
          <w:szCs w:val="24"/>
        </w:rPr>
        <w:t xml:space="preserve">Non lo troverà non per prudenza dell'autore. Non lo troverà perché gli atti che quest'opera ha potuto interrogare non lo contengono, e perché il metodo che essa si è data vieta di supplirvi con la verosimiglianza.</w:t>
      </w:r>
    </w:p>
    <w:p>
      <w:pPr>
        <w:spacing w:after="120" w:line="276"/>
        <w:jc w:val="both"/>
      </w:pPr>
      <w:r>
        <w:rPr>
          <w:rFonts w:ascii="Barlow Semi Condensed" w:cs="Barlow Semi Condensed" w:eastAsia="Barlow Semi Condensed" w:hAnsi="Barlow Semi Condensed"/>
          <w:sz w:val="24"/>
          <w:szCs w:val="24"/>
        </w:rPr>
        <w:t xml:space="preserve">Chi ritenga questa astensione una debolezza consideri l'alternativa: un'opera che nominasse un colpevole non provato consegnerebbe al lettore una convinzione al posto di una conoscenza, e la consegnerebbe con l'autorità che l'apparato le conferisce. Sarebbe l'uso peggiore che di un apparato si possa fare.</w:t>
      </w:r>
    </w:p>
    <w:p>
      <w:pPr>
        <w:pStyle w:val="Heading2"/>
        <w:spacing w:after="100" w:before="200"/>
      </w:pPr>
      <w:r>
        <w:rPr>
          <w:rFonts w:ascii="Barlow Semi Condensed" w:cs="Barlow Semi Condensed" w:eastAsia="Barlow Semi Condensed" w:hAnsi="Barlow Semi Condensed"/>
          <w:sz w:val="24"/>
          <w:szCs w:val="24"/>
        </w:rPr>
        <w:t xml:space="preserve">Capitolo sessantaduesimo — Le sedi giudiziarie e l'estensione del loro accertamento</w:t>
      </w:r>
    </w:p>
    <w:p>
      <w:pPr>
        <w:pStyle w:val="Heading2"/>
        <w:spacing w:after="100" w:before="200"/>
      </w:pPr>
      <w:r>
        <w:rPr>
          <w:rFonts w:ascii="Barlow Semi Condensed" w:cs="Barlow Semi Condensed" w:eastAsia="Barlow Semi Condensed" w:hAnsi="Barlow Semi Condensed"/>
          <w:sz w:val="24"/>
          <w:szCs w:val="24"/>
        </w:rPr>
        <w:t xml:space="preserve">Ciò che le sentenze hanno stabilito</w:t>
      </w:r>
    </w:p>
    <w:p>
      <w:pPr>
        <w:spacing w:after="120" w:line="276"/>
        <w:jc w:val="both"/>
      </w:pPr>
      <w:r>
        <w:rPr>
          <w:rFonts w:ascii="Barlow Semi Condensed" w:cs="Barlow Semi Condensed" w:eastAsia="Barlow Semi Condensed" w:hAnsi="Barlow Semi Condensed"/>
          <w:sz w:val="24"/>
          <w:szCs w:val="24"/>
        </w:rPr>
        <w:t xml:space="preserve">Più procedimenti sono stati celebrati sui fatti del 1978, con sentenze definitive. Essi hanno accertato la responsabilità penale di persone determinate, appartenenti all'organizzazione armata che rivendicò l'azione, per il sequestro, per gli omicidi degli uomini della scorta e per l'omicidio del rapito.</w:t>
      </w:r>
    </w:p>
    <w:p>
      <w:pPr>
        <w:spacing w:after="120" w:line="276"/>
        <w:jc w:val="both"/>
      </w:pPr>
      <w:r>
        <w:rPr>
          <w:rFonts w:ascii="Barlow Semi Condensed" w:cs="Barlow Semi Condensed" w:eastAsia="Barlow Semi Condensed" w:hAnsi="Barlow Semi Condensed"/>
          <w:sz w:val="24"/>
          <w:szCs w:val="24"/>
        </w:rPr>
        <w:t xml:space="preserve">Tale accertamento è, per quest'opera, fonte di rango elevato ed è recepito senza riesame. Un registro non riesamina un giudicato: non ne ha titolo, non ne ha gli strumenti, e non dispone del contraddittorio nel quale l'accertamento si è formato.</w:t>
      </w:r>
    </w:p>
    <w:p>
      <w:pPr>
        <w:pStyle w:val="Heading2"/>
        <w:spacing w:after="100" w:before="200"/>
      </w:pPr>
      <w:r>
        <w:rPr>
          <w:rFonts w:ascii="Barlow Semi Condensed" w:cs="Barlow Semi Condensed" w:eastAsia="Barlow Semi Condensed" w:hAnsi="Barlow Semi Condensed"/>
          <w:sz w:val="24"/>
          <w:szCs w:val="24"/>
        </w:rPr>
        <w:t xml:space="preserve">L'estensione, che va dichiarata</w:t>
      </w:r>
    </w:p>
    <w:p>
      <w:pPr>
        <w:spacing w:after="120" w:line="276"/>
        <w:jc w:val="both"/>
      </w:pPr>
      <w:r>
        <w:rPr>
          <w:rFonts w:ascii="Barlow Semi Condensed" w:cs="Barlow Semi Condensed" w:eastAsia="Barlow Semi Condensed" w:hAnsi="Barlow Semi Condensed"/>
          <w:sz w:val="24"/>
          <w:szCs w:val="24"/>
        </w:rPr>
        <w:t xml:space="preserve">Occorre però enunciare con precisione l'estensione di ciò che una sentenza accerta, perché la sua sopravvalutazione e la sua sottovalutazione producono errori opposti e ugualmente gravi.</w:t>
      </w:r>
    </w:p>
    <w:p>
      <w:pPr>
        <w:spacing w:after="120" w:line="276"/>
        <w:jc w:val="both"/>
      </w:pPr>
      <w:r>
        <w:rPr>
          <w:rFonts w:ascii="Barlow Semi Condensed" w:cs="Barlow Semi Condensed" w:eastAsia="Barlow Semi Condensed" w:hAnsi="Barlow Semi Condensed"/>
          <w:sz w:val="24"/>
          <w:szCs w:val="24"/>
        </w:rPr>
        <w:t xml:space="preserve">Il processo accerta la responsabilità penale di persone determinate per fatti determinati. In questo ha competenza esclusiva e autorità piena, e nessuna ricostruzione storica può contraddirlo senza contraddire l'ordinamento.</w:t>
      </w:r>
    </w:p>
    <w:p>
      <w:pPr>
        <w:spacing w:after="120" w:line="276"/>
        <w:jc w:val="both"/>
      </w:pPr>
      <w:r>
        <w:rPr>
          <w:rFonts w:ascii="Barlow Semi Condensed" w:cs="Barlow Semi Condensed" w:eastAsia="Barlow Semi Condensed" w:hAnsi="Barlow Semi Condensed"/>
          <w:sz w:val="24"/>
          <w:szCs w:val="24"/>
        </w:rPr>
        <w:t xml:space="preserve">Il processo non accerta la ricostruzione storica completa dell'evento. Molte circostanze irrilevanti ai fini dell'imputazione non entrano nel thema decidendum e non sono oggetto di accertamento; molte questioni restano fuori perché nessuna parte aveva interesse a introdurle.</w:t>
      </w:r>
    </w:p>
    <w:p>
      <w:pPr>
        <w:spacing w:after="120" w:line="276"/>
        <w:jc w:val="both"/>
      </w:pPr>
      <w:r>
        <w:rPr>
          <w:rFonts w:ascii="Barlow Semi Condensed" w:cs="Barlow Semi Condensed" w:eastAsia="Barlow Semi Condensed" w:hAnsi="Barlow Semi Condensed"/>
          <w:sz w:val="24"/>
          <w:szCs w:val="24"/>
        </w:rPr>
        <w:t xml:space="preserve">Ne discende una conseguenza che ricorre in tutta la letteratura su questa materia e che va nominata: il silenzio di una sentenza su una circostanza non è un accertamento negativo su quella circostanza. Esso attesta che la circostanza non fu oggetto del giudizio, e nulla oltre.</w:t>
      </w:r>
    </w:p>
    <w:p>
      <w:pPr>
        <w:pStyle w:val="Heading2"/>
        <w:spacing w:after="100" w:before="200"/>
      </w:pPr>
      <w:r>
        <w:rPr>
          <w:rFonts w:ascii="Barlow Semi Condensed" w:cs="Barlow Semi Condensed" w:eastAsia="Barlow Semi Condensed" w:hAnsi="Barlow Semi Condensed"/>
          <w:sz w:val="24"/>
          <w:szCs w:val="24"/>
        </w:rPr>
        <w:t xml:space="preserve">L'errore simmetrico</w:t>
      </w:r>
    </w:p>
    <w:p>
      <w:pPr>
        <w:spacing w:after="120" w:line="276"/>
        <w:jc w:val="both"/>
      </w:pPr>
      <w:r>
        <w:rPr>
          <w:rFonts w:ascii="Barlow Semi Condensed" w:cs="Barlow Semi Condensed" w:eastAsia="Barlow Semi Condensed" w:hAnsi="Barlow Semi Condensed"/>
          <w:sz w:val="24"/>
          <w:szCs w:val="24"/>
        </w:rPr>
        <w:t xml:space="preserve">Vale però anche il rovescio, e va detto con eguale fermezza perché è quello che la letteratura commette più spesso.</w:t>
      </w:r>
    </w:p>
    <w:p>
      <w:pPr>
        <w:spacing w:after="120" w:line="276"/>
        <w:jc w:val="both"/>
      </w:pPr>
      <w:r>
        <w:rPr>
          <w:rFonts w:ascii="Barlow Semi Condensed" w:cs="Barlow Semi Condensed" w:eastAsia="Barlow Semi Condensed" w:hAnsi="Barlow Semi Condensed"/>
          <w:sz w:val="24"/>
          <w:szCs w:val="24"/>
        </w:rPr>
        <w:t xml:space="preserve">Dalla constatazione che il processo non ricostruisce tutto non discende che ciò che esso ha accertato sia dubbio. Le responsabilità individuali dichiarate in sentenza definitiva sono accertate, e restano tali quali che siano le questioni rimaste fuori.</w:t>
      </w:r>
    </w:p>
    <w:p>
      <w:pPr>
        <w:spacing w:after="120" w:line="276"/>
        <w:jc w:val="both"/>
      </w:pPr>
      <w:r>
        <w:rPr>
          <w:rFonts w:ascii="Barlow Semi Condensed" w:cs="Barlow Semi Condensed" w:eastAsia="Barlow Semi Condensed" w:hAnsi="Barlow Semi Condensed"/>
          <w:sz w:val="24"/>
          <w:szCs w:val="24"/>
        </w:rPr>
        <w:t xml:space="preserve">Chi impieghi l'incompletezza della ricostruzione giudiziaria per rimettere in discussione ciò che essa ha stabilito compie una operazione che non ha fondamento logico: dall'assenza di accertamento su A non segue l'infondatezza dell'accertamento su B.</w:t>
      </w:r>
    </w:p>
    <w:p>
      <w:pPr>
        <w:pStyle w:val="Heading2"/>
        <w:spacing w:after="100" w:before="200"/>
      </w:pPr>
      <w:r>
        <w:rPr>
          <w:rFonts w:ascii="Barlow Semi Condensed" w:cs="Barlow Semi Condensed" w:eastAsia="Barlow Semi Condensed" w:hAnsi="Barlow Semi Condensed"/>
          <w:sz w:val="24"/>
          <w:szCs w:val="24"/>
        </w:rPr>
        <w:t xml:space="preserve">Il caso della revisione</w:t>
      </w:r>
    </w:p>
    <w:p>
      <w:pPr>
        <w:spacing w:after="120" w:line="276"/>
        <w:jc w:val="both"/>
      </w:pPr>
      <w:r>
        <w:rPr>
          <w:rFonts w:ascii="Barlow Semi Condensed" w:cs="Barlow Semi Condensed" w:eastAsia="Barlow Semi Condensed" w:hAnsi="Barlow Semi Condensed"/>
          <w:sz w:val="24"/>
          <w:szCs w:val="24"/>
        </w:rPr>
        <w:t xml:space="preserve">Va infine registrato che la ricostruzione dell'attribuzione individuale ha conosciuto revisioni in sede giudiziaria e istruttoria, per emersione di elementi successivi. La Fase Terza ne ha esposto la natura e la Fase Sesta ne ha tratto la conseguenza: quella parte della ricostruzione è iscritta come versione corrente e non come acquisizione definitiva.</w:t>
      </w:r>
    </w:p>
    <w:p>
      <w:pPr>
        <w:spacing w:after="120" w:line="276"/>
        <w:jc w:val="both"/>
      </w:pPr>
      <w:r>
        <w:rPr>
          <w:rFonts w:ascii="Barlow Semi Condensed" w:cs="Barlow Semi Condensed" w:eastAsia="Barlow Semi Condensed" w:hAnsi="Barlow Semi Condensed"/>
          <w:sz w:val="24"/>
          <w:szCs w:val="24"/>
        </w:rPr>
        <w:t xml:space="preserve">La qualificazione non intacca il giudicato. Essa riguarda l'uso storiografico della ricostruzione, che è cosa diversa dalla sua efficacia processuale.</w:t>
      </w:r>
    </w:p>
    <w:p>
      <w:pPr>
        <w:pStyle w:val="Heading2"/>
        <w:spacing w:after="100" w:before="200"/>
      </w:pPr>
      <w:r>
        <w:rPr>
          <w:rFonts w:ascii="Barlow Semi Condensed" w:cs="Barlow Semi Condensed" w:eastAsia="Barlow Semi Condensed" w:hAnsi="Barlow Semi Condensed"/>
          <w:sz w:val="24"/>
          <w:szCs w:val="24"/>
        </w:rPr>
        <w:t xml:space="preserve">Capitolo sessantatreesimo — Le commissioni parlamentari e il loro diverso statuto</w:t>
      </w:r>
    </w:p>
    <w:p>
      <w:pPr>
        <w:spacing w:after="120" w:line="276"/>
        <w:jc w:val="both"/>
      </w:pPr>
      <w:r>
        <w:rPr>
          <w:rFonts w:ascii="Barlow Semi Condensed" w:cs="Barlow Semi Condensed" w:eastAsia="Barlow Semi Condensed" w:hAnsi="Barlow Semi Condensed"/>
          <w:sz w:val="24"/>
          <w:szCs w:val="24"/>
        </w:rPr>
        <w:t xml:space="preserve">Sul caso hanno lavorato più commissioni parlamentari d'inchiesta, in legislature successive. Il loro statuto è diverso da quello giudiziario e viene con grande frequenza confuso con esso.</w:t>
      </w:r>
    </w:p>
    <w:p>
      <w:pPr>
        <w:pStyle w:val="Heading2"/>
        <w:spacing w:after="100" w:before="200"/>
      </w:pPr>
      <w:r>
        <w:rPr>
          <w:rFonts w:ascii="Barlow Semi Condensed" w:cs="Barlow Semi Condensed" w:eastAsia="Barlow Semi Condensed" w:hAnsi="Barlow Semi Condensed"/>
          <w:sz w:val="24"/>
          <w:szCs w:val="24"/>
        </w:rPr>
        <w:t xml:space="preserve">Che cosa una commissione fa e che cosa non fa</w:t>
      </w:r>
    </w:p>
    <w:p>
      <w:pPr>
        <w:spacing w:after="120" w:line="276"/>
        <w:jc w:val="both"/>
      </w:pPr>
      <w:r>
        <w:rPr>
          <w:rFonts w:ascii="Barlow Semi Condensed" w:cs="Barlow Semi Condensed" w:eastAsia="Barlow Semi Condensed" w:hAnsi="Barlow Semi Condensed"/>
          <w:sz w:val="24"/>
          <w:szCs w:val="24"/>
        </w:rPr>
        <w:t xml:space="preserve">Una commissione d'inchiesta non accerta responsabilità individuali e non ne ha il potere. Essa indaga, valuta, ricostruisce e riferisce alle Camere.</w:t>
      </w:r>
    </w:p>
    <w:p>
      <w:pPr>
        <w:spacing w:after="120" w:line="276"/>
        <w:jc w:val="both"/>
      </w:pPr>
      <w:r>
        <w:rPr>
          <w:rFonts w:ascii="Barlow Semi Condensed" w:cs="Barlow Semi Condensed" w:eastAsia="Barlow Semi Condensed" w:hAnsi="Barlow Semi Condensed"/>
          <w:sz w:val="24"/>
          <w:szCs w:val="24"/>
        </w:rPr>
        <w:t xml:space="preserve">Le sue relazioni sono, per quest'opera, valutazioni di organo qualificato: fonti di rango elevato, di grande peso, e non equiparabili a un accertamento giudiziario. La differenza non è di autorevolezza ma di natura: l'una stabilisce fatti con effetti sulle persone, l'altra ricostruisce vicende con effetti sulla conoscenza pubblica.</w:t>
      </w:r>
    </w:p>
    <w:p>
      <w:pPr>
        <w:spacing w:after="120" w:line="276"/>
        <w:jc w:val="both"/>
      </w:pPr>
      <w:r>
        <w:rPr>
          <w:rFonts w:ascii="Barlow Semi Condensed" w:cs="Barlow Semi Condensed" w:eastAsia="Barlow Semi Condensed" w:hAnsi="Barlow Semi Condensed"/>
          <w:sz w:val="24"/>
          <w:szCs w:val="24"/>
        </w:rPr>
        <w:t xml:space="preserve">Ne discende che una circostanza affermata in una relazione parlamentare e non accertata in sede giudiziaria non è per ciò stesso falsa, e non è per ciò stesso provata. Essa è ciò che è: la valutazione di un organo qualificato, da impiegare come tale.</w:t>
      </w:r>
    </w:p>
    <w:p>
      <w:pPr>
        <w:pStyle w:val="Heading2"/>
        <w:spacing w:after="100" w:before="200"/>
      </w:pPr>
      <w:r>
        <w:rPr>
          <w:rFonts w:ascii="Barlow Semi Condensed" w:cs="Barlow Semi Condensed" w:eastAsia="Barlow Semi Condensed" w:hAnsi="Barlow Semi Condensed"/>
          <w:sz w:val="24"/>
          <w:szCs w:val="24"/>
        </w:rPr>
        <w:t xml:space="preserve">La non unanimità, che è essa stessa un dato</w:t>
      </w:r>
    </w:p>
    <w:p>
      <w:pPr>
        <w:spacing w:after="120" w:line="276"/>
        <w:jc w:val="both"/>
      </w:pPr>
      <w:r>
        <w:rPr>
          <w:rFonts w:ascii="Barlow Semi Condensed" w:cs="Barlow Semi Condensed" w:eastAsia="Barlow Semi Condensed" w:hAnsi="Barlow Semi Condensed"/>
          <w:sz w:val="24"/>
          <w:szCs w:val="24"/>
        </w:rPr>
        <w:t xml:space="preserve">Vi è un elemento che va registrato con particolare cura perché la divulgazione lo occulta sistematicamente.</w:t>
      </w:r>
    </w:p>
    <w:p>
      <w:pPr>
        <w:spacing w:after="120" w:line="276"/>
        <w:jc w:val="both"/>
      </w:pPr>
      <w:r>
        <w:rPr>
          <w:rFonts w:ascii="Barlow Semi Condensed" w:cs="Barlow Semi Condensed" w:eastAsia="Barlow Semi Condensed" w:hAnsi="Barlow Semi Condensed"/>
          <w:sz w:val="24"/>
          <w:szCs w:val="24"/>
        </w:rPr>
        <w:t xml:space="preserve">Le commissioni che hanno lavorato su questa materia hanno prodotto, su punti rilevanti, elaborati divergenti fra loro: relazioni di maggioranza e di minoranza, contributi individuali di commissari, documenti di gruppo. Le divergenze non riguardano dettagli: riguardano l'esistenza stessa di un mandato esterno, la valutazione della gestione della crisi, la qualificazione di talune condotte.</w:t>
      </w:r>
    </w:p>
    <w:p>
      <w:pPr>
        <w:spacing w:after="120" w:line="276"/>
        <w:jc w:val="both"/>
      </w:pPr>
      <w:r>
        <w:rPr>
          <w:rFonts w:ascii="Barlow Semi Condensed" w:cs="Barlow Semi Condensed" w:eastAsia="Barlow Semi Condensed" w:hAnsi="Barlow Semi Condensed"/>
          <w:sz w:val="24"/>
          <w:szCs w:val="24"/>
        </w:rPr>
        <w:t xml:space="preserve">La non unanimità è un dato di primo ordine, e va dichiarata ogni volta che si citi una commissione. Citare la sola relazione che convenga alla propria ricostruzione, senza menzionare che altre ne sostenevano una diversa nella medesima sede, è una selezione della fonte che produce sul lettore l'effetto di un accertamento là dove vi era un dissenso.</w:t>
      </w:r>
    </w:p>
    <w:p>
      <w:pPr>
        <w:pStyle w:val="Heading2"/>
        <w:spacing w:after="100" w:before="200"/>
      </w:pPr>
      <w:r>
        <w:rPr>
          <w:rFonts w:ascii="Barlow Semi Condensed" w:cs="Barlow Semi Condensed" w:eastAsia="Barlow Semi Condensed" w:hAnsi="Barlow Semi Condensed"/>
          <w:sz w:val="24"/>
          <w:szCs w:val="24"/>
        </w:rPr>
        <w:t xml:space="preserve">Una posizione che va riportata perché contraddice</w:t>
      </w:r>
    </w:p>
    <w:p>
      <w:pPr>
        <w:spacing w:after="120" w:line="276"/>
        <w:jc w:val="both"/>
      </w:pPr>
      <w:r>
        <w:rPr>
          <w:rFonts w:ascii="Barlow Semi Condensed" w:cs="Barlow Semi Condensed" w:eastAsia="Barlow Semi Condensed" w:hAnsi="Barlow Semi Condensed"/>
          <w:sz w:val="24"/>
          <w:szCs w:val="24"/>
        </w:rPr>
        <w:t xml:space="preserve">Si registra, in adempimento dell'obbligo di riportare le evidenze contrarie non meno delle favorevoli, che una delle commissioni ha formulato una posizione articolata sul mandato esterno nella quale condivide l'opinione che l'organizzazione abbia agito secondo un progetto proprio, abbia proceduto secondo un codice proprio e abbia deciso secondo una logica propria, escludendone di conseguenza l'eterodirezione.</w:t>
      </w:r>
    </w:p>
    <w:p>
      <w:pPr>
        <w:spacing w:after="120" w:line="276"/>
        <w:jc w:val="both"/>
      </w:pPr>
      <w:r>
        <w:rPr>
          <w:rFonts w:ascii="Barlow Semi Condensed" w:cs="Barlow Semi Condensed" w:eastAsia="Barlow Semi Condensed" w:hAnsi="Barlow Semi Condensed"/>
          <w:sz w:val="24"/>
          <w:szCs w:val="24"/>
        </w:rPr>
        <w:t xml:space="preserve">Questa posizione è di rango parlamentare e va iscritta nella matrice delle ipotesi concorrenti come evidenza contraria al terzo genere di ipotesi, e non come nota a margine. Essa non chiude la questione, poiché altre sedi hanno sostenuto valutazioni diverse; ma pesa quanto le valutazioni opposte, e chi ometta di riportarla costruisce una matrice sbilanciata.</w:t>
      </w:r>
    </w:p>
    <w:p>
      <w:pPr>
        <w:pStyle w:val="Heading2"/>
        <w:spacing w:after="100" w:before="200"/>
      </w:pPr>
      <w:r>
        <w:rPr>
          <w:rFonts w:ascii="Barlow Semi Condensed" w:cs="Barlow Semi Condensed" w:eastAsia="Barlow Semi Condensed" w:hAnsi="Barlow Semi Condensed"/>
          <w:sz w:val="24"/>
          <w:szCs w:val="24"/>
        </w:rPr>
        <w:t xml:space="preserve">L'ultima commissione e le linee dichiarate aperte</w:t>
      </w:r>
    </w:p>
    <w:p>
      <w:pPr>
        <w:spacing w:after="120" w:line="276"/>
        <w:jc w:val="both"/>
      </w:pPr>
      <w:r>
        <w:rPr>
          <w:rFonts w:ascii="Barlow Semi Condensed" w:cs="Barlow Semi Condensed" w:eastAsia="Barlow Semi Condensed" w:hAnsi="Barlow Semi Condensed"/>
          <w:sz w:val="24"/>
          <w:szCs w:val="24"/>
        </w:rPr>
        <w:t xml:space="preserve">Si registra infine che l'ultima commissione che si è occupata della materia ha dichiarato aperte alcune linee di indagine, e che tale dichiarazione è essa stessa un fatto: essa attesta che l'organo istituzionale che da ultimo ha esaminato il caso non lo ha ritenuto esaurito.</w:t>
      </w:r>
    </w:p>
    <w:p>
      <w:pPr>
        <w:pStyle w:val="Heading2"/>
        <w:spacing w:after="100" w:before="200"/>
      </w:pPr>
      <w:r>
        <w:rPr>
          <w:rFonts w:ascii="Barlow Semi Condensed" w:cs="Barlow Semi Condensed" w:eastAsia="Barlow Semi Condensed" w:hAnsi="Barlow Semi Condensed"/>
          <w:sz w:val="24"/>
          <w:szCs w:val="24"/>
        </w:rPr>
        <w:t xml:space="preserve">Capitolo sessantaquattresimo — Le esequie e la volontà espressa</w:t>
      </w:r>
    </w:p>
    <w:p>
      <w:pPr>
        <w:spacing w:after="120" w:line="276"/>
        <w:jc w:val="both"/>
      </w:pPr>
      <w:r>
        <w:rPr>
          <w:rFonts w:ascii="Barlow Semi Condensed" w:cs="Barlow Semi Condensed" w:eastAsia="Barlow Semi Condensed" w:hAnsi="Barlow Semi Condensed"/>
          <w:sz w:val="24"/>
          <w:szCs w:val="24"/>
        </w:rPr>
        <w:t xml:space="preserve">Si registra qui una vicenda che appartiene agli esiti e non ai fatti, e che l'opera tratta con la brevità che le compete.</w:t>
      </w:r>
    </w:p>
    <w:p>
      <w:pPr>
        <w:pStyle w:val="Heading2"/>
        <w:spacing w:after="100" w:before="200"/>
      </w:pPr>
      <w:r>
        <w:rPr>
          <w:rFonts w:ascii="Barlow Semi Condensed" w:cs="Barlow Semi Condensed" w:eastAsia="Barlow Semi Condensed" w:hAnsi="Barlow Semi Condensed"/>
          <w:sz w:val="24"/>
          <w:szCs w:val="24"/>
        </w:rPr>
        <w:t xml:space="preserve">I fatti</w:t>
      </w:r>
    </w:p>
    <w:p>
      <w:pPr>
        <w:spacing w:after="120" w:line="276"/>
        <w:jc w:val="both"/>
      </w:pPr>
      <w:r>
        <w:rPr>
          <w:rFonts w:ascii="Barlow Semi Condensed" w:cs="Barlow Semi Condensed" w:eastAsia="Barlow Semi Condensed" w:hAnsi="Barlow Semi Condensed"/>
          <w:sz w:val="24"/>
          <w:szCs w:val="24"/>
        </w:rPr>
        <w:t xml:space="preserve">L'autore aveva espresso, nelle carte della prigionia, volontà relative alle proprie esequie e alla partecipazione delle autorità.</w:t>
      </w:r>
    </w:p>
    <w:p>
      <w:pPr>
        <w:spacing w:after="120" w:line="276"/>
        <w:jc w:val="both"/>
      </w:pPr>
      <w:r>
        <w:rPr>
          <w:rFonts w:ascii="Barlow Semi Condensed" w:cs="Barlow Semi Condensed" w:eastAsia="Barlow Semi Condensed" w:hAnsi="Barlow Semi Condensed"/>
          <w:sz w:val="24"/>
          <w:szCs w:val="24"/>
        </w:rPr>
        <w:t xml:space="preserve">Dopo il rinvenimento del corpo furono celebrate esequie private secondo tale volontà, e separatamente una cerimonia solenne di Stato, senza il corpo, alla presenza delle massime autorità della Repubblica.</w:t>
      </w:r>
    </w:p>
    <w:p>
      <w:pPr>
        <w:spacing w:after="120" w:line="276"/>
        <w:jc w:val="both"/>
      </w:pPr>
      <w:r>
        <w:rPr>
          <w:rFonts w:ascii="Barlow Semi Condensed" w:cs="Barlow Semi Condensed" w:eastAsia="Barlow Semi Condensed" w:hAnsi="Barlow Semi Condensed"/>
          <w:sz w:val="24"/>
          <w:szCs w:val="24"/>
        </w:rPr>
        <w:t xml:space="preserve">Entrambe le circostanze sono accertate e non controverse.</w:t>
      </w:r>
    </w:p>
    <w:p>
      <w:pPr>
        <w:pStyle w:val="Heading2"/>
        <w:spacing w:after="100" w:before="200"/>
      </w:pPr>
      <w:r>
        <w:rPr>
          <w:rFonts w:ascii="Barlow Semi Condensed" w:cs="Barlow Semi Condensed" w:eastAsia="Barlow Semi Condensed" w:hAnsi="Barlow Semi Condensed"/>
          <w:sz w:val="24"/>
          <w:szCs w:val="24"/>
        </w:rPr>
        <w:t xml:space="preserve">Lo statuto della volontà espressa</w:t>
      </w:r>
    </w:p>
    <w:p>
      <w:pPr>
        <w:spacing w:after="120" w:line="276"/>
        <w:jc w:val="both"/>
      </w:pPr>
      <w:r>
        <w:rPr>
          <w:rFonts w:ascii="Barlow Semi Condensed" w:cs="Barlow Semi Condensed" w:eastAsia="Barlow Semi Condensed" w:hAnsi="Barlow Semi Condensed"/>
          <w:sz w:val="24"/>
          <w:szCs w:val="24"/>
        </w:rPr>
        <w:t xml:space="preserve">Si applica la scala del vincolo istituita dalla Fase Quarta. La disposizione relativa alle esequie appartiene alla classe delle comunicazioni domestiche e riguarda materia priva di interesse specifico per i detentori: essa si colloca al primo o al secondo grado, ed è dunque impiegabile come espressione diretta dell'autore.</w:t>
      </w:r>
    </w:p>
    <w:p>
      <w:pPr>
        <w:spacing w:after="120" w:line="276"/>
        <w:jc w:val="both"/>
      </w:pPr>
      <w:r>
        <w:rPr>
          <w:rFonts w:ascii="Barlow Semi Condensed" w:cs="Barlow Semi Condensed" w:eastAsia="Barlow Semi Condensed" w:hAnsi="Barlow Semi Condensed"/>
          <w:sz w:val="24"/>
          <w:szCs w:val="24"/>
        </w:rPr>
        <w:t xml:space="preserve">Questa è, si osservi, una delle poche proposizioni relative alla volontà del prigioniero che la scala consenta di impiegare senza restrizioni. Le proposizioni politiche sono di terzo grado e non lo consentono; questa sì, perché nessuno aveva interesse a sollecitarla.</w:t>
      </w:r>
    </w:p>
    <w:p>
      <w:pPr>
        <w:pStyle w:val="Heading2"/>
        <w:spacing w:after="100" w:before="200"/>
      </w:pPr>
      <w:r>
        <w:rPr>
          <w:rFonts w:ascii="Barlow Semi Condensed" w:cs="Barlow Semi Condensed" w:eastAsia="Barlow Semi Condensed" w:hAnsi="Barlow Semi Condensed"/>
          <w:sz w:val="24"/>
          <w:szCs w:val="24"/>
        </w:rPr>
        <w:t xml:space="preserve">Ciò che l'opera non dice</w:t>
      </w:r>
    </w:p>
    <w:p>
      <w:pPr>
        <w:spacing w:after="120" w:line="276"/>
        <w:jc w:val="both"/>
      </w:pPr>
      <w:r>
        <w:rPr>
          <w:rFonts w:ascii="Barlow Semi Condensed" w:cs="Barlow Semi Condensed" w:eastAsia="Barlow Semi Condensed" w:hAnsi="Barlow Semi Condensed"/>
          <w:sz w:val="24"/>
          <w:szCs w:val="24"/>
        </w:rPr>
        <w:t xml:space="preserve">L'opera non giudica la decisione di celebrare la cerimonia solenne. Il giudizio è morale e politico, appartiene a chi vi era implicato e a chi ne ha titolo, e non a un registro.</w:t>
      </w:r>
    </w:p>
    <w:p>
      <w:pPr>
        <w:spacing w:after="120" w:line="276"/>
        <w:jc w:val="both"/>
      </w:pPr>
      <w:r>
        <w:rPr>
          <w:rFonts w:ascii="Barlow Semi Condensed" w:cs="Barlow Semi Condensed" w:eastAsia="Barlow Semi Condensed" w:hAnsi="Barlow Semi Condensed"/>
          <w:sz w:val="24"/>
          <w:szCs w:val="24"/>
        </w:rPr>
        <w:t xml:space="preserve">Si registra soltanto, perché è materia di fatto, che la questione fu dibattuta e che il dibattito fu doloroso per le persone coinvolte; e che essa costituisce, per la storia repubblicana, uno dei punti nei quali la distanza fra la volontà di un uomo e le esigenze dello Stato si è manifestata nella forma più visibile.</w:t>
      </w:r>
    </w:p>
    <w:p>
      <w:pPr>
        <w:spacing w:after="120" w:line="276"/>
        <w:jc w:val="both"/>
      </w:pPr>
      <w:r>
        <w:rPr>
          <w:rFonts w:ascii="Barlow Semi Condensed" w:cs="Barlow Semi Condensed" w:eastAsia="Barlow Semi Condensed" w:hAnsi="Barlow Semi Condensed"/>
          <w:sz w:val="24"/>
          <w:szCs w:val="24"/>
        </w:rPr>
        <w:t xml:space="preserve">Oltre questo l'opera non va, e si ferma qui volontariamente.</w:t>
      </w:r>
    </w:p>
    <w:p>
      <w:pPr>
        <w:pStyle w:val="Heading2"/>
        <w:spacing w:after="100" w:before="200"/>
      </w:pPr>
      <w:r>
        <w:rPr>
          <w:rFonts w:ascii="Barlow Semi Condensed" w:cs="Barlow Semi Condensed" w:eastAsia="Barlow Semi Condensed" w:hAnsi="Barlow Semi Condensed"/>
          <w:sz w:val="24"/>
          <w:szCs w:val="24"/>
        </w:rPr>
        <w:t xml:space="preserve">Capitolo sessantacinquesimo — Il censimento degli Stati Zero</w:t>
      </w:r>
    </w:p>
    <w:p>
      <w:pPr>
        <w:spacing w:after="120" w:line="276"/>
        <w:jc w:val="both"/>
      </w:pPr>
      <w:r>
        <w:rPr>
          <w:rFonts w:ascii="Barlow Semi Condensed" w:cs="Barlow Semi Condensed" w:eastAsia="Barlow Semi Condensed" w:hAnsi="Barlow Semi Condensed"/>
          <w:sz w:val="24"/>
          <w:szCs w:val="24"/>
        </w:rPr>
        <w:t xml:space="preserve">Si raccolgono qui, in un solo luogo, tutti gli esiti negativi delle sei Fasi precedenti. La raccolta non è una formalità contabile: dispersi, gli esiti negativi non producono effetto; riuniti, essi costituiscono una mappa.</w:t>
      </w:r>
    </w:p>
    <w:p>
      <w:pPr>
        <w:pStyle w:val="Heading2"/>
        <w:spacing w:after="100" w:before="200"/>
      </w:pPr>
      <w:r>
        <w:rPr>
          <w:rFonts w:ascii="Barlow Semi Condensed" w:cs="Barlow Semi Condensed" w:eastAsia="Barlow Semi Condensed" w:hAnsi="Barlow Semi Condensed"/>
          <w:sz w:val="24"/>
          <w:szCs w:val="24"/>
        </w:rPr>
        <w:t xml:space="preserve">Perché la raccolta è necessaria</w:t>
      </w:r>
    </w:p>
    <w:p>
      <w:pPr>
        <w:spacing w:after="120" w:line="276"/>
        <w:jc w:val="both"/>
      </w:pPr>
      <w:r>
        <w:rPr>
          <w:rFonts w:ascii="Barlow Semi Condensed" w:cs="Barlow Semi Condensed" w:eastAsia="Barlow Semi Condensed" w:hAnsi="Barlow Semi Condensed"/>
          <w:sz w:val="24"/>
          <w:szCs w:val="24"/>
        </w:rPr>
        <w:t xml:space="preserve">Un esito negativo enunciato nella sede in cui fu ottenuto viene letto come una difficoltà locale. Gli stessi esiti letti insieme mostrano una figura, e la figura dice dove la conoscenza si interrompe e per quale ragione.</w:t>
      </w:r>
    </w:p>
    <w:p>
      <w:pPr>
        <w:spacing w:after="120" w:line="276"/>
        <w:jc w:val="both"/>
      </w:pPr>
      <w:r>
        <w:rPr>
          <w:rFonts w:ascii="Barlow Semi Condensed" w:cs="Barlow Semi Condensed" w:eastAsia="Barlow Semi Condensed" w:hAnsi="Barlow Semi Condensed"/>
          <w:sz w:val="24"/>
          <w:szCs w:val="24"/>
        </w:rPr>
        <w:t xml:space="preserve">Vi è inoltre una ragione di onestà espositiva. Un lettore che percorra sei Fasi di risultanze riceve, dall'accumulo, l'impressione che la ricerca abbia trovato ciò che cercava. Il censimento degli esiti negativi restituisce la proporzione: quanto è stato cercato e non trovato, accanto a quanto è stato trovato.</w:t>
      </w:r>
    </w:p>
    <w:p>
      <w:pPr>
        <w:pStyle w:val="Heading2"/>
        <w:spacing w:after="100" w:before="200"/>
      </w:pPr>
      <w:r>
        <w:rPr>
          <w:rFonts w:ascii="Barlow Semi Condensed" w:cs="Barlow Semi Condensed" w:eastAsia="Barlow Semi Condensed" w:hAnsi="Barlow Semi Condensed"/>
          <w:sz w:val="24"/>
          <w:szCs w:val="24"/>
        </w:rPr>
        <w:t xml:space="preserve">Gli esiti negativi della Fase Seconda</w:t>
      </w:r>
    </w:p>
    <w:p>
      <w:pPr>
        <w:spacing w:after="120" w:line="276"/>
        <w:jc w:val="both"/>
      </w:pPr>
      <w:r>
        <w:rPr>
          <w:rFonts w:ascii="Barlow Semi Condensed" w:cs="Barlow Semi Condensed" w:eastAsia="Barlow Semi Condensed" w:hAnsi="Barlow Semi Condensed"/>
          <w:sz w:val="24"/>
          <w:szCs w:val="24"/>
        </w:rPr>
        <w:t xml:space="preserve">Non è stato reperito alcun atto che colleghi l'influenza documentata delle potenze straniere all'atto materiale, e ciò vale simmetricamente per entrambi i versanti.</w:t>
      </w:r>
    </w:p>
    <w:p>
      <w:pPr>
        <w:spacing w:after="120" w:line="276"/>
        <w:jc w:val="both"/>
      </w:pPr>
      <w:r>
        <w:rPr>
          <w:rFonts w:ascii="Barlow Semi Condensed" w:cs="Barlow Semi Condensed" w:eastAsia="Barlow Semi Condensed" w:hAnsi="Barlow Semi Condensed"/>
          <w:sz w:val="24"/>
          <w:szCs w:val="24"/>
        </w:rPr>
        <w:t xml:space="preserve">Tredici archivi remoti rilevanti non sono risultati interrogabili con gli strumenti impiegati.</w:t>
      </w:r>
    </w:p>
    <w:p>
      <w:pPr>
        <w:spacing w:after="120" w:line="276"/>
        <w:jc w:val="both"/>
      </w:pPr>
      <w:r>
        <w:rPr>
          <w:rFonts w:ascii="Barlow Semi Condensed" w:cs="Barlow Semi Condensed" w:eastAsia="Barlow Semi Condensed" w:hAnsi="Barlow Semi Condensed"/>
          <w:sz w:val="24"/>
          <w:szCs w:val="24"/>
        </w:rPr>
        <w:t xml:space="preserve">La verifica statistica sull'addensamento degli eventi attorno alle scadenze dell'integrazione europea ha dato esito nullo a tutti i raggi esaminati, con conferma nel controllo di robustezza. È l'unico esito escludente prodotto dall'opera, ed è stato ottenuto per misura e non per argomentazione.</w:t>
      </w:r>
    </w:p>
    <w:p>
      <w:pPr>
        <w:pStyle w:val="Heading2"/>
        <w:spacing w:after="100" w:before="200"/>
      </w:pPr>
      <w:r>
        <w:rPr>
          <w:rFonts w:ascii="Barlow Semi Condensed" w:cs="Barlow Semi Condensed" w:eastAsia="Barlow Semi Condensed" w:hAnsi="Barlow Semi Condensed"/>
          <w:sz w:val="24"/>
          <w:szCs w:val="24"/>
        </w:rPr>
        <w:t xml:space="preserve">Gli esiti negativi della Fase Terza</w:t>
      </w:r>
    </w:p>
    <w:p>
      <w:pPr>
        <w:spacing w:after="120" w:line="276"/>
        <w:jc w:val="both"/>
      </w:pPr>
      <w:r>
        <w:rPr>
          <w:rFonts w:ascii="Barlow Semi Condensed" w:cs="Barlow Semi Condensed" w:eastAsia="Barlow Semi Condensed" w:hAnsi="Barlow Semi Condensed"/>
          <w:sz w:val="24"/>
          <w:szCs w:val="24"/>
        </w:rPr>
        <w:t xml:space="preserve">La ricerca condotta per cinquantacinque giorni con risorse eccezionali non ha prodotto la localizzazione del prigioniero.</w:t>
      </w:r>
    </w:p>
    <w:p>
      <w:pPr>
        <w:spacing w:after="120" w:line="276"/>
        <w:jc w:val="both"/>
      </w:pPr>
      <w:r>
        <w:rPr>
          <w:rFonts w:ascii="Barlow Semi Condensed" w:cs="Barlow Semi Condensed" w:eastAsia="Barlow Semi Condensed" w:hAnsi="Barlow Semi Condensed"/>
          <w:sz w:val="24"/>
          <w:szCs w:val="24"/>
        </w:rPr>
        <w:t xml:space="preserve">Non risulta acquisita documentazione oggettiva contemporanea sul percorso e sui luoghi intermedi del trasferimento successivo al prelevamento.</w:t>
      </w:r>
    </w:p>
    <w:p>
      <w:pPr>
        <w:pStyle w:val="Heading2"/>
        <w:spacing w:after="100" w:before="200"/>
      </w:pPr>
      <w:r>
        <w:rPr>
          <w:rFonts w:ascii="Barlow Semi Condensed" w:cs="Barlow Semi Condensed" w:eastAsia="Barlow Semi Condensed" w:hAnsi="Barlow Semi Condensed"/>
          <w:sz w:val="24"/>
          <w:szCs w:val="24"/>
        </w:rPr>
        <w:t xml:space="preserve">Gli esiti negativi della Fase Quarta</w:t>
      </w:r>
    </w:p>
    <w:p>
      <w:pPr>
        <w:spacing w:after="120" w:line="276"/>
        <w:jc w:val="both"/>
      </w:pPr>
      <w:r>
        <w:rPr>
          <w:rFonts w:ascii="Barlow Semi Condensed" w:cs="Barlow Semi Condensed" w:eastAsia="Barlow Semi Condensed" w:hAnsi="Barlow Semi Condensed"/>
          <w:sz w:val="24"/>
          <w:szCs w:val="24"/>
        </w:rPr>
        <w:t xml:space="preserve">Non è stata acquisita la documentazione contemporanea della prima operazione di rinvenimento documentale, necessaria a discriminare fra le tre spiegazioni della sua incompletezza.</w:t>
      </w:r>
    </w:p>
    <w:p>
      <w:pPr>
        <w:spacing w:after="120" w:line="276"/>
        <w:jc w:val="both"/>
      </w:pPr>
      <w:r>
        <w:rPr>
          <w:rFonts w:ascii="Barlow Semi Condensed" w:cs="Barlow Semi Condensed" w:eastAsia="Barlow Semi Condensed" w:hAnsi="Barlow Semi Condensed"/>
          <w:sz w:val="24"/>
          <w:szCs w:val="24"/>
        </w:rPr>
        <w:t xml:space="preserve">La completezza del corpus documentale complessivamente disponibile non è accertata e non può essere presunta.</w:t>
      </w:r>
    </w:p>
    <w:p>
      <w:pPr>
        <w:pStyle w:val="Heading2"/>
        <w:spacing w:after="100" w:before="200"/>
      </w:pPr>
      <w:r>
        <w:rPr>
          <w:rFonts w:ascii="Barlow Semi Condensed" w:cs="Barlow Semi Condensed" w:eastAsia="Barlow Semi Condensed" w:hAnsi="Barlow Semi Condensed"/>
          <w:sz w:val="24"/>
          <w:szCs w:val="24"/>
        </w:rPr>
        <w:t xml:space="preserve">Gli esiti negativi della Fase Quinta</w:t>
      </w:r>
    </w:p>
    <w:p>
      <w:pPr>
        <w:spacing w:after="120" w:line="276"/>
        <w:jc w:val="both"/>
      </w:pPr>
      <w:r>
        <w:rPr>
          <w:rFonts w:ascii="Barlow Semi Condensed" w:cs="Barlow Semi Condensed" w:eastAsia="Barlow Semi Condensed" w:hAnsi="Barlow Semi Condensed"/>
          <w:sz w:val="24"/>
          <w:szCs w:val="24"/>
        </w:rPr>
        <w:t xml:space="preserve">Non risulta acquisita la documentazione che stabilisca quali modalità di controllo fossero prescritte e quali impiegate nella via poi risultata sede di una base.</w:t>
      </w:r>
    </w:p>
    <w:p>
      <w:pPr>
        <w:spacing w:after="120" w:line="276"/>
        <w:jc w:val="both"/>
      </w:pPr>
      <w:r>
        <w:rPr>
          <w:rFonts w:ascii="Barlow Semi Condensed" w:cs="Barlow Semi Condensed" w:eastAsia="Barlow Semi Condensed" w:hAnsi="Barlow Semi Condensed"/>
          <w:sz w:val="24"/>
          <w:szCs w:val="24"/>
        </w:rPr>
        <w:t xml:space="preserve">Non risultano acquisiti gli atti relativi alla ricezione dell'indicazione toponomastica, alla sua valutazione e alla decisione sulla destinazione delle ricerche.</w:t>
      </w:r>
    </w:p>
    <w:p>
      <w:pPr>
        <w:spacing w:after="120" w:line="276"/>
        <w:jc w:val="both"/>
      </w:pPr>
      <w:r>
        <w:rPr>
          <w:rFonts w:ascii="Barlow Semi Condensed" w:cs="Barlow Semi Condensed" w:eastAsia="Barlow Semi Condensed" w:hAnsi="Barlow Semi Condensed"/>
          <w:sz w:val="24"/>
          <w:szCs w:val="24"/>
        </w:rPr>
        <w:t xml:space="preserve">Non risulta acquisita la documentazione analitica della ricerca dei cinquantacinque giorni, necessaria a colmare il difetto di termine di riferimento.</w:t>
      </w:r>
    </w:p>
    <w:p>
      <w:pPr>
        <w:spacing w:after="120" w:line="276"/>
        <w:jc w:val="both"/>
      </w:pPr>
      <w:r>
        <w:rPr>
          <w:rFonts w:ascii="Barlow Semi Condensed" w:cs="Barlow Semi Condensed" w:eastAsia="Barlow Semi Condensed" w:hAnsi="Barlow Semi Condensed"/>
          <w:sz w:val="24"/>
          <w:szCs w:val="24"/>
        </w:rPr>
        <w:t xml:space="preserve">Non risulta condotta alcuna comparazione con operazioni analoghe dei medesimi uffici nel medesimo periodo, senza la quale l'argomento dell'accumulo resta privo delle proprie condizioni di validità.</w:t>
      </w:r>
    </w:p>
    <w:p>
      <w:pPr>
        <w:spacing w:after="120" w:line="276"/>
        <w:jc w:val="both"/>
      </w:pPr>
      <w:r>
        <w:rPr>
          <w:rFonts w:ascii="Barlow Semi Condensed" w:cs="Barlow Semi Condensed" w:eastAsia="Barlow Semi Condensed" w:hAnsi="Barlow Semi Condensed"/>
          <w:sz w:val="24"/>
          <w:szCs w:val="24"/>
        </w:rPr>
        <w:t xml:space="preserve">Non sono accertati l'autore né la finalità della produzione di falso quanto alla finalità; l'autore è stato successivamente identificato in sede processuale, ma il mandante e lo scopo restano ignoti.</w:t>
      </w:r>
    </w:p>
    <w:p>
      <w:pPr>
        <w:pStyle w:val="Heading2"/>
        <w:spacing w:after="100" w:before="200"/>
      </w:pPr>
      <w:r>
        <w:rPr>
          <w:rFonts w:ascii="Barlow Semi Condensed" w:cs="Barlow Semi Condensed" w:eastAsia="Barlow Semi Condensed" w:hAnsi="Barlow Semi Condensed"/>
          <w:sz w:val="24"/>
          <w:szCs w:val="24"/>
        </w:rPr>
        <w:t xml:space="preserve">Gli esiti negativi della Fase Sesta</w:t>
      </w:r>
    </w:p>
    <w:p>
      <w:pPr>
        <w:spacing w:after="120" w:line="276"/>
        <w:jc w:val="both"/>
      </w:pPr>
      <w:r>
        <w:rPr>
          <w:rFonts w:ascii="Barlow Semi Condensed" w:cs="Barlow Semi Condensed" w:eastAsia="Barlow Semi Condensed" w:hAnsi="Barlow Semi Condensed"/>
          <w:sz w:val="24"/>
          <w:szCs w:val="24"/>
        </w:rPr>
        <w:t xml:space="preserve">Non risulta acquisito alcun atto che documenti una volontà esterna determinata quanto all'operazione, né una via di trasmissione, né la sua efficacia. Il terzo livello di responsabilità resta vuoto per difetto di prova su tutte e tre le proposizioni che lo comporrebbero.</w:t>
      </w:r>
    </w:p>
    <w:p>
      <w:pPr>
        <w:spacing w:after="120" w:line="276"/>
        <w:jc w:val="both"/>
      </w:pPr>
      <w:r>
        <w:rPr>
          <w:rFonts w:ascii="Barlow Semi Condensed" w:cs="Barlow Semi Condensed" w:eastAsia="Barlow Semi Condensed" w:hAnsi="Barlow Semi Condensed"/>
          <w:sz w:val="24"/>
          <w:szCs w:val="24"/>
        </w:rPr>
        <w:t xml:space="preserve">Non è accertata la composizione individuale dell'organismo direttivo oltre i limiti degli accertamenti giudiziari.</w:t>
      </w:r>
    </w:p>
    <w:p>
      <w:pPr>
        <w:spacing w:after="120" w:line="276"/>
        <w:jc w:val="both"/>
      </w:pPr>
      <w:r>
        <w:rPr>
          <w:rFonts w:ascii="Barlow Semi Condensed" w:cs="Barlow Semi Condensed" w:eastAsia="Barlow Semi Condensed" w:hAnsi="Barlow Semi Condensed"/>
          <w:sz w:val="24"/>
          <w:szCs w:val="24"/>
        </w:rPr>
        <w:t xml:space="preserve">Non è accertata, e non risulta esclusa, la presenza di soggetti ulteriori non identificati sul luogo dell'agguato.</w:t>
      </w:r>
    </w:p>
    <w:p>
      <w:pPr>
        <w:spacing w:after="120" w:line="276"/>
        <w:jc w:val="both"/>
      </w:pPr>
      <w:r>
        <w:rPr>
          <w:rFonts w:ascii="Barlow Semi Condensed" w:cs="Barlow Semi Condensed" w:eastAsia="Barlow Semi Condensed" w:hAnsi="Barlow Semi Condensed"/>
          <w:sz w:val="24"/>
          <w:szCs w:val="24"/>
        </w:rPr>
        <w:t xml:space="preserve">Non risulta condotta la verifica genealogica analitica delle fonti, condizione preliminare di qualunque computo di convergenza.</w:t>
      </w:r>
    </w:p>
    <w:p>
      <w:pPr>
        <w:pStyle w:val="Heading2"/>
        <w:spacing w:after="100" w:before="200"/>
      </w:pPr>
      <w:r>
        <w:rPr>
          <w:rFonts w:ascii="Barlow Semi Condensed" w:cs="Barlow Semi Condensed" w:eastAsia="Barlow Semi Condensed" w:hAnsi="Barlow Semi Condensed"/>
          <w:sz w:val="24"/>
          <w:szCs w:val="24"/>
        </w:rPr>
        <w:t xml:space="preserve">La figura che ne risulta</w:t>
      </w:r>
    </w:p>
    <w:p>
      <w:pPr>
        <w:spacing w:after="120" w:line="276"/>
        <w:jc w:val="both"/>
      </w:pPr>
      <w:r>
        <w:rPr>
          <w:rFonts w:ascii="Barlow Semi Condensed" w:cs="Barlow Semi Condensed" w:eastAsia="Barlow Semi Condensed" w:hAnsi="Barlow Semi Condensed"/>
          <w:sz w:val="24"/>
          <w:szCs w:val="24"/>
        </w:rPr>
        <w:t xml:space="preserve">Il censimento restituisce venti esiti negativi, dei quali uno solo è escludente e diciannove sono lacune.</w:t>
      </w:r>
    </w:p>
    <w:p>
      <w:pPr>
        <w:spacing w:after="120" w:line="276"/>
        <w:jc w:val="both"/>
      </w:pPr>
      <w:r>
        <w:rPr>
          <w:rFonts w:ascii="Barlow Semi Condensed" w:cs="Barlow Semi Condensed" w:eastAsia="Barlow Semi Condensed" w:hAnsi="Barlow Semi Condensed"/>
          <w:sz w:val="24"/>
          <w:szCs w:val="24"/>
        </w:rPr>
        <w:t xml:space="preserve">E la loro distribuzione dice una cosa che nessuno di essi diceva da solo: le lacune non sono distribuite a caso. Esse si concentrano sulla documentazione dell'azione degli apparati — modalità dei controlli, valutazione delle segnalazioni, conduzione delle ricerche, verbali delle perquisizioni — e non sulla documentazione dell'azione dell'organizzazione, che è invece abbondante.</w:t>
      </w:r>
    </w:p>
    <w:p>
      <w:pPr>
        <w:spacing w:after="120" w:line="276"/>
        <w:jc w:val="both"/>
      </w:pPr>
      <w:r>
        <w:rPr>
          <w:rFonts w:ascii="Barlow Semi Condensed" w:cs="Barlow Semi Condensed" w:eastAsia="Barlow Semi Condensed" w:hAnsi="Barlow Semi Condensed"/>
          <w:sz w:val="24"/>
          <w:szCs w:val="24"/>
        </w:rPr>
        <w:t xml:space="preserve">Questa constatazione non prova nulla e non è formulata come prova. Essa è registrata per quello che è: una proprietà misurabile della distribuzione delle lacune, che tre spiegazioni possono rendere conto — la naturale minore accessibilità degli archivi di sicurezza, l'orientamento della ricerca dell'opera, oppure una selezione operata a monte. Nessuna delle tre è accertata.</w:t>
      </w:r>
    </w:p>
    <w:p>
      <w:pPr>
        <w:pStyle w:val="Heading2"/>
        <w:spacing w:after="100" w:before="200"/>
      </w:pPr>
      <w:r>
        <w:rPr>
          <w:rFonts w:ascii="Barlow Semi Condensed" w:cs="Barlow Semi Condensed" w:eastAsia="Barlow Semi Condensed" w:hAnsi="Barlow Semi Condensed"/>
          <w:sz w:val="24"/>
          <w:szCs w:val="24"/>
        </w:rPr>
        <w:t xml:space="preserve">Capitolo sessantaseiesimo — La mappa delle lacune come fonte</w:t>
      </w:r>
    </w:p>
    <w:p>
      <w:pPr>
        <w:spacing w:after="120" w:line="276"/>
        <w:jc w:val="both"/>
      </w:pPr>
      <w:r>
        <w:rPr>
          <w:rFonts w:ascii="Barlow Semi Condensed" w:cs="Barlow Semi Condensed" w:eastAsia="Barlow Semi Condensed" w:hAnsi="Barlow Semi Condensed"/>
          <w:sz w:val="24"/>
          <w:szCs w:val="24"/>
        </w:rPr>
        <w:t xml:space="preserve">Si trae qui la conseguenza del censimento precedente, con la cautela che essa richiede.</w:t>
      </w:r>
    </w:p>
    <w:p>
      <w:pPr>
        <w:pStyle w:val="Heading2"/>
        <w:spacing w:after="100" w:before="200"/>
      </w:pPr>
      <w:r>
        <w:rPr>
          <w:rFonts w:ascii="Barlow Semi Condensed" w:cs="Barlow Semi Condensed" w:eastAsia="Barlow Semi Condensed" w:hAnsi="Barlow Semi Condensed"/>
          <w:sz w:val="24"/>
          <w:szCs w:val="24"/>
        </w:rPr>
        <w:t xml:space="preserve">L'argomento nella sua forma forte, e perché non regge</w:t>
      </w:r>
    </w:p>
    <w:p>
      <w:pPr>
        <w:spacing w:after="120" w:line="276"/>
        <w:jc w:val="both"/>
      </w:pPr>
      <w:r>
        <w:rPr>
          <w:rFonts w:ascii="Barlow Semi Condensed" w:cs="Barlow Semi Condensed" w:eastAsia="Barlow Semi Condensed" w:hAnsi="Barlow Semi Condensed"/>
          <w:sz w:val="24"/>
          <w:szCs w:val="24"/>
        </w:rPr>
        <w:t xml:space="preserve">L'argomento si presenta da sé, ed è questo: in un caso nel quale è accertato che furono prodotti falsi e che una perquisizione fu incompleta, la distribuzione delle lacune non può essere casuale; e poiché essa si concentra sulla documentazione degli apparati, gli apparati hanno prodotto quelle lacune.</w:t>
      </w:r>
    </w:p>
    <w:p>
      <w:pPr>
        <w:spacing w:after="120" w:line="276"/>
        <w:jc w:val="both"/>
      </w:pPr>
      <w:r>
        <w:rPr>
          <w:rFonts w:ascii="Barlow Semi Condensed" w:cs="Barlow Semi Condensed" w:eastAsia="Barlow Semi Condensed" w:hAnsi="Barlow Semi Condensed"/>
          <w:sz w:val="24"/>
          <w:szCs w:val="24"/>
        </w:rPr>
        <w:t xml:space="preserve">L'argomento non regge, e conviene dire con precisione dove si rompe.</w:t>
      </w:r>
    </w:p>
    <w:p>
      <w:pPr>
        <w:spacing w:after="120" w:line="276"/>
        <w:jc w:val="both"/>
      </w:pPr>
      <w:r>
        <w:rPr>
          <w:rFonts w:ascii="Barlow Semi Condensed" w:cs="Barlow Semi Condensed" w:eastAsia="Barlow Semi Condensed" w:hAnsi="Barlow Semi Condensed"/>
          <w:sz w:val="24"/>
          <w:szCs w:val="24"/>
        </w:rPr>
        <w:t xml:space="preserve">Esso presuppone un termine di riferimento che non esiste: quale distribuzione delle lacune sarebbe normale in una ricerca su fatti di questa natura. Senza quel termine, la constatazione che le lacune si concentrano da una parte non è una misura di anomalia: è una descrizione della distribuzione osservata.</w:t>
      </w:r>
    </w:p>
    <w:p>
      <w:pPr>
        <w:spacing w:after="120" w:line="276"/>
        <w:jc w:val="both"/>
      </w:pPr>
      <w:r>
        <w:rPr>
          <w:rFonts w:ascii="Barlow Semi Condensed" w:cs="Barlow Semi Condensed" w:eastAsia="Barlow Semi Condensed" w:hAnsi="Barlow Semi Condensed"/>
          <w:sz w:val="24"/>
          <w:szCs w:val="24"/>
        </w:rPr>
        <w:t xml:space="preserve">Esso presuppone inoltre l'indipendenza fra le lacune, che non è accertata. Se un solo archivio non accessibile contiene molti dei documenti mancanti, venti lacune non sono venti eventi: sono uno con diciannove ripercussioni.</w:t>
      </w:r>
    </w:p>
    <w:p>
      <w:pPr>
        <w:spacing w:after="120" w:line="276"/>
        <w:jc w:val="both"/>
      </w:pPr>
      <w:r>
        <w:rPr>
          <w:rFonts w:ascii="Barlow Semi Condensed" w:cs="Barlow Semi Condensed" w:eastAsia="Barlow Semi Condensed" w:hAnsi="Barlow Semi Condensed"/>
          <w:sz w:val="24"/>
          <w:szCs w:val="24"/>
        </w:rPr>
        <w:t xml:space="preserve">Esso è infine esposto alla selezione a posteriori descritta al Capitolo quarantasettesimo: chi cerchi le lacune dopo aver formulato l'ipotesi trova quelle che la sostengono, perché è quelle che riconosce come pertinenti.</w:t>
      </w:r>
    </w:p>
    <w:p>
      <w:pPr>
        <w:pStyle w:val="Heading2"/>
        <w:spacing w:after="100" w:before="200"/>
      </w:pPr>
      <w:r>
        <w:rPr>
          <w:rFonts w:ascii="Barlow Semi Condensed" w:cs="Barlow Semi Condensed" w:eastAsia="Barlow Semi Condensed" w:hAnsi="Barlow Semi Condensed"/>
          <w:sz w:val="24"/>
          <w:szCs w:val="24"/>
        </w:rPr>
        <w:t xml:space="preserve">L'argomento nella sua forma debole, che invece regge</w:t>
      </w:r>
    </w:p>
    <w:p>
      <w:pPr>
        <w:spacing w:after="120" w:line="276"/>
        <w:jc w:val="both"/>
      </w:pPr>
      <w:r>
        <w:rPr>
          <w:rFonts w:ascii="Barlow Semi Condensed" w:cs="Barlow Semi Condensed" w:eastAsia="Barlow Semi Condensed" w:hAnsi="Barlow Semi Condensed"/>
          <w:sz w:val="24"/>
          <w:szCs w:val="24"/>
        </w:rPr>
        <w:t xml:space="preserve">Ciò che regge è assai più modesto e assai più solido.</w:t>
      </w:r>
    </w:p>
    <w:p>
      <w:pPr>
        <w:spacing w:after="120" w:line="276"/>
        <w:jc w:val="both"/>
      </w:pPr>
      <w:r>
        <w:rPr>
          <w:rFonts w:ascii="Barlow Semi Condensed" w:cs="Barlow Semi Condensed" w:eastAsia="Barlow Semi Condensed" w:hAnsi="Barlow Semi Condensed"/>
          <w:sz w:val="24"/>
          <w:szCs w:val="24"/>
        </w:rPr>
        <w:t xml:space="preserve">La mappa delle lacune è verificabile. Ciascuna delle venti voci indica un documento determinato, una sede determinata, una procedura determinata. Chiunque può controllare se quel documento esista e se sia accessibile.</w:t>
      </w:r>
    </w:p>
    <w:p>
      <w:pPr>
        <w:spacing w:after="120" w:line="276"/>
        <w:jc w:val="both"/>
      </w:pPr>
      <w:r>
        <w:rPr>
          <w:rFonts w:ascii="Barlow Semi Condensed" w:cs="Barlow Semi Condensed" w:eastAsia="Barlow Semi Condensed" w:hAnsi="Barlow Semi Condensed"/>
          <w:sz w:val="24"/>
          <w:szCs w:val="24"/>
        </w:rPr>
        <w:t xml:space="preserve">Le spiegazioni della loro distribuzione non sono verificabili allo stato, e ne esistono tre concorrenti.</w:t>
      </w:r>
    </w:p>
    <w:p>
      <w:pPr>
        <w:spacing w:after="120" w:line="276"/>
        <w:jc w:val="both"/>
      </w:pPr>
      <w:r>
        <w:rPr>
          <w:rFonts w:ascii="Barlow Semi Condensed" w:cs="Barlow Semi Condensed" w:eastAsia="Barlow Semi Condensed" w:hAnsi="Barlow Semi Condensed"/>
          <w:sz w:val="24"/>
          <w:szCs w:val="24"/>
        </w:rPr>
        <w:t xml:space="preserve">Ne discende la regola d'uso: la mappa vale più delle spiegazioni della mappa. Essa è uno strumento di lavoro per chi voglia proseguire, e non è un argomento a sostegno di alcuna tesi.</w:t>
      </w:r>
    </w:p>
    <w:p>
      <w:pPr>
        <w:pStyle w:val="Heading2"/>
        <w:spacing w:after="100" w:before="200"/>
      </w:pPr>
      <w:r>
        <w:rPr>
          <w:rFonts w:ascii="Barlow Semi Condensed" w:cs="Barlow Semi Condensed" w:eastAsia="Barlow Semi Condensed" w:hAnsi="Barlow Semi Condensed"/>
          <w:sz w:val="24"/>
          <w:szCs w:val="24"/>
        </w:rPr>
        <w:t xml:space="preserve">Perché questo è il modo corretto di trattare un'assenza</w:t>
      </w:r>
    </w:p>
    <w:p>
      <w:pPr>
        <w:spacing w:after="120" w:line="276"/>
        <w:jc w:val="both"/>
      </w:pPr>
      <w:r>
        <w:rPr>
          <w:rFonts w:ascii="Barlow Semi Condensed" w:cs="Barlow Semi Condensed" w:eastAsia="Barlow Semi Condensed" w:hAnsi="Barlow Semi Condensed"/>
          <w:sz w:val="24"/>
          <w:szCs w:val="24"/>
        </w:rPr>
        <w:t xml:space="preserve">In un campo dove le prove sono state manipolate, l'assenza è la tentazione principale, perché non può essere confutata: chi affermi che un documento manca perché fu distrutto propone una tesi che nessun documento può smentire, essendo appunto il documento a mancare.</w:t>
      </w:r>
    </w:p>
    <w:p>
      <w:pPr>
        <w:spacing w:after="120" w:line="276"/>
        <w:jc w:val="both"/>
      </w:pPr>
      <w:r>
        <w:rPr>
          <w:rFonts w:ascii="Barlow Semi Condensed" w:cs="Barlow Semi Condensed" w:eastAsia="Barlow Semi Condensed" w:hAnsi="Barlow Semi Condensed"/>
          <w:sz w:val="24"/>
          <w:szCs w:val="24"/>
        </w:rPr>
        <w:t xml:space="preserve">La sola disciplina possibile è quella qui adottata: registrare l'assenza con la precisione con cui si registrerebbe una presenza, elencare le spiegazioni concorrenti senza sceglierne alcuna, e indicare che cosa discriminerebbe fra esse.</w:t>
      </w:r>
    </w:p>
    <w:p>
      <w:pPr>
        <w:spacing w:after="120" w:line="276"/>
        <w:jc w:val="both"/>
      </w:pPr>
      <w:r>
        <w:rPr>
          <w:rFonts w:ascii="Barlow Semi Condensed" w:cs="Barlow Semi Condensed" w:eastAsia="Barlow Semi Condensed" w:hAnsi="Barlow Semi Condensed"/>
          <w:sz w:val="24"/>
          <w:szCs w:val="24"/>
        </w:rPr>
        <w:t xml:space="preserve">Ciò trasforma l'assenza da argomento in compito. È meno appagante e produce più lavoro; ed è l'unica cosa che, dopo, qualcun altro possa verificare.</w:t>
      </w:r>
    </w:p>
    <w:p>
      <w:pPr>
        <w:pStyle w:val="Heading2"/>
        <w:spacing w:after="100" w:before="200"/>
      </w:pPr>
      <w:r>
        <w:rPr>
          <w:rFonts w:ascii="Barlow Semi Condensed" w:cs="Barlow Semi Condensed" w:eastAsia="Barlow Semi Condensed" w:hAnsi="Barlow Semi Condensed"/>
          <w:sz w:val="24"/>
          <w:szCs w:val="24"/>
        </w:rPr>
        <w:t xml:space="preserve">Capitolo sessantasettesimo — Ciò che l'opera ha stabilito</w:t>
      </w:r>
    </w:p>
    <w:p>
      <w:pPr>
        <w:spacing w:after="120" w:line="276"/>
        <w:jc w:val="both"/>
      </w:pPr>
      <w:r>
        <w:rPr>
          <w:rFonts w:ascii="Barlow Semi Condensed" w:cs="Barlow Semi Condensed" w:eastAsia="Barlow Semi Condensed" w:hAnsi="Barlow Semi Condensed"/>
          <w:sz w:val="24"/>
          <w:szCs w:val="24"/>
        </w:rPr>
        <w:t xml:space="preserve">Si raccolgono qui le acquisizioni positive, ordinate per solidità decrescente. L'ordine non è cronologico ed è esso stesso un giudizio, dichiarato come tale.</w:t>
      </w:r>
    </w:p>
    <w:p>
      <w:pPr>
        <w:pStyle w:val="Heading2"/>
        <w:spacing w:after="100" w:before="200"/>
      </w:pPr>
      <w:r>
        <w:rPr>
          <w:rFonts w:ascii="Barlow Semi Condensed" w:cs="Barlow Semi Condensed" w:eastAsia="Barlow Semi Condensed" w:hAnsi="Barlow Semi Condensed"/>
          <w:sz w:val="24"/>
          <w:szCs w:val="24"/>
        </w:rPr>
        <w:t xml:space="preserve">Prima acquisizione. L'esistenza di un terzo soggetto</w:t>
      </w:r>
    </w:p>
    <w:p>
      <w:pPr>
        <w:spacing w:after="120" w:line="276"/>
        <w:jc w:val="both"/>
      </w:pPr>
      <w:r>
        <w:rPr>
          <w:rFonts w:ascii="Barlow Semi Condensed" w:cs="Barlow Semi Condensed" w:eastAsia="Barlow Semi Condensed" w:hAnsi="Barlow Semi Condensed"/>
          <w:sz w:val="24"/>
          <w:szCs w:val="24"/>
        </w:rPr>
        <w:t xml:space="preserve">È accertato che durante i cinquantacinque giorni un soggetto distinto dall'organizzazione e dalle istituzioni compì un atto deliberato di interferenza nelle indagini, immettendo nel circuito informativo un documento apocrifo.</w:t>
      </w:r>
    </w:p>
    <w:p>
      <w:pPr>
        <w:spacing w:after="120" w:line="276"/>
        <w:jc w:val="both"/>
      </w:pPr>
      <w:r>
        <w:rPr>
          <w:rFonts w:ascii="Barlow Semi Condensed" w:cs="Barlow Semi Condensed" w:eastAsia="Barlow Semi Condensed" w:hAnsi="Barlow Semi Condensed"/>
          <w:sz w:val="24"/>
          <w:szCs w:val="24"/>
        </w:rPr>
        <w:t xml:space="preserve">L'accertamento è di natura logica prima che documentale: un comunicato apocrifo non si forma per errore, e richiede che qualcuno lo confezioni in modo credibile e lo immetta dove sarà raccolto come autentico.</w:t>
      </w:r>
    </w:p>
    <w:p>
      <w:pPr>
        <w:spacing w:after="120" w:line="276"/>
        <w:jc w:val="both"/>
      </w:pPr>
      <w:r>
        <w:rPr>
          <w:rFonts w:ascii="Barlow Semi Condensed" w:cs="Barlow Semi Condensed" w:eastAsia="Barlow Semi Condensed" w:hAnsi="Barlow Semi Condensed"/>
          <w:sz w:val="24"/>
          <w:szCs w:val="24"/>
        </w:rPr>
        <w:t xml:space="preserve">Ne discende che la ricostruzione della vicenda a due soggetti è incompleta per accertamento e non per congettura. L'identità dell'autore è stata successivamente stabilita in sede processuale; il mandante e la finalità restano ignoti.</w:t>
      </w:r>
    </w:p>
    <w:p>
      <w:pPr>
        <w:spacing w:after="120" w:line="276"/>
        <w:jc w:val="both"/>
      </w:pPr>
      <w:r>
        <w:rPr>
          <w:rFonts w:ascii="Barlow Semi Condensed" w:cs="Barlow Semi Condensed" w:eastAsia="Barlow Semi Condensed" w:hAnsi="Barlow Semi Condensed"/>
          <w:sz w:val="24"/>
          <w:szCs w:val="24"/>
        </w:rPr>
        <w:t xml:space="preserve">È la più solida delle acquisizioni perché non dipende da alcuna ipotesi.</w:t>
      </w:r>
    </w:p>
    <w:p>
      <w:pPr>
        <w:pStyle w:val="Heading2"/>
        <w:spacing w:after="100" w:before="200"/>
      </w:pPr>
      <w:r>
        <w:rPr>
          <w:rFonts w:ascii="Barlow Semi Condensed" w:cs="Barlow Semi Condensed" w:eastAsia="Barlow Semi Condensed" w:hAnsi="Barlow Semi Condensed"/>
          <w:sz w:val="24"/>
          <w:szCs w:val="24"/>
        </w:rPr>
        <w:t xml:space="preserve">Seconda acquisizione. L'inverificabilità permanente prodotta da una irregolarità</w:t>
      </w:r>
    </w:p>
    <w:p>
      <w:pPr>
        <w:spacing w:after="120" w:line="276"/>
        <w:jc w:val="both"/>
      </w:pPr>
      <w:r>
        <w:rPr>
          <w:rFonts w:ascii="Barlow Semi Condensed" w:cs="Barlow Semi Condensed" w:eastAsia="Barlow Semi Condensed" w:hAnsi="Barlow Semi Condensed"/>
          <w:sz w:val="24"/>
          <w:szCs w:val="24"/>
        </w:rPr>
        <w:t xml:space="preserve">È accertato che il fascicolo degli scritti fu asportato dal luogo della perquisizione prima che i fogli fossero numerati, che ciò avvenne nonostante l'opposizione dell'ufficiale responsabile del luogo, e che l'accertamento è stato compiuto in sede giudiziaria oltre che ammesso in sede parlamentare da chi lo compì.</w:t>
      </w:r>
    </w:p>
    <w:p>
      <w:pPr>
        <w:spacing w:after="120" w:line="276"/>
        <w:jc w:val="both"/>
      </w:pPr>
      <w:r>
        <w:rPr>
          <w:rFonts w:ascii="Barlow Semi Condensed" w:cs="Barlow Semi Condensed" w:eastAsia="Barlow Semi Condensed" w:hAnsi="Barlow Semi Condensed"/>
          <w:sz w:val="24"/>
          <w:szCs w:val="24"/>
        </w:rPr>
        <w:t xml:space="preserve">La conseguenza va enunciata con esattezza: essa non prova che qualcosa fu sottratto e non prova che nulla lo fu. Essa ha prodotto una condizione nella quale la questione non è più decidibile, poiché l'unico modo di stabilirlo era contare i fogli prima, e l'irregolarità consistette nel non contarli.</w:t>
      </w:r>
    </w:p>
    <w:p>
      <w:pPr>
        <w:spacing w:after="120" w:line="276"/>
        <w:jc w:val="both"/>
      </w:pPr>
      <w:r>
        <w:rPr>
          <w:rFonts w:ascii="Barlow Semi Condensed" w:cs="Barlow Semi Condensed" w:eastAsia="Barlow Semi Condensed" w:hAnsi="Barlow Semi Condensed"/>
          <w:sz w:val="24"/>
          <w:szCs w:val="24"/>
        </w:rPr>
        <w:t xml:space="preserve">Questa acquisizione non richiede di attribuire ad alcuno una intenzione, e vale identica quale che essa fosse.</w:t>
      </w:r>
    </w:p>
    <w:p>
      <w:pPr>
        <w:pStyle w:val="Heading2"/>
        <w:spacing w:after="100" w:before="200"/>
      </w:pPr>
      <w:r>
        <w:rPr>
          <w:rFonts w:ascii="Barlow Semi Condensed" w:cs="Barlow Semi Condensed" w:eastAsia="Barlow Semi Condensed" w:hAnsi="Barlow Semi Condensed"/>
          <w:sz w:val="24"/>
          <w:szCs w:val="24"/>
        </w:rPr>
        <w:t xml:space="preserve">Terza acquisizione. L'incompletezza accertata di una perquisizione</w:t>
      </w:r>
    </w:p>
    <w:p>
      <w:pPr>
        <w:spacing w:after="120" w:line="276"/>
        <w:jc w:val="both"/>
      </w:pPr>
      <w:r>
        <w:rPr>
          <w:rFonts w:ascii="Barlow Semi Condensed" w:cs="Barlow Semi Condensed" w:eastAsia="Barlow Semi Condensed" w:hAnsi="Barlow Semi Condensed"/>
          <w:sz w:val="24"/>
          <w:szCs w:val="24"/>
        </w:rPr>
        <w:t xml:space="preserve">È accertato che il rinvenimento documentale dell'ottobre 1978 non fu esaustivo, essendo stato effettuato nel medesimo immobile, dodici anni dopo, un secondo rinvenimento.</w:t>
      </w:r>
    </w:p>
    <w:p>
      <w:pPr>
        <w:spacing w:after="120" w:line="276"/>
        <w:jc w:val="both"/>
      </w:pPr>
      <w:r>
        <w:rPr>
          <w:rFonts w:ascii="Barlow Semi Condensed" w:cs="Barlow Semi Condensed" w:eastAsia="Barlow Semi Condensed" w:hAnsi="Barlow Semi Condensed"/>
          <w:sz w:val="24"/>
          <w:szCs w:val="24"/>
        </w:rPr>
        <w:t xml:space="preserve">La causa non è accertata e tre spiegazioni restano aperte. Il rilievo tecnico successivo ha però escluso che il vano fosse stato aperto in precedenza, sicché l'ipotesi della sottrazione non regge e resta quella della ricerca che non trovò.</w:t>
      </w:r>
    </w:p>
    <w:p>
      <w:pPr>
        <w:spacing w:after="120" w:line="276"/>
        <w:jc w:val="both"/>
      </w:pPr>
      <w:r>
        <w:rPr>
          <w:rFonts w:ascii="Barlow Semi Condensed" w:cs="Barlow Semi Condensed" w:eastAsia="Barlow Semi Condensed" w:hAnsi="Barlow Semi Condensed"/>
          <w:sz w:val="24"/>
          <w:szCs w:val="24"/>
        </w:rPr>
        <w:t xml:space="preserve">Ne discende, in via permanente, che la completezza del corpus documentale disponibile non può essere presunta.</w:t>
      </w:r>
    </w:p>
    <w:p>
      <w:pPr>
        <w:pStyle w:val="Heading2"/>
        <w:spacing w:after="100" w:before="200"/>
      </w:pPr>
      <w:r>
        <w:rPr>
          <w:rFonts w:ascii="Barlow Semi Condensed" w:cs="Barlow Semi Condensed" w:eastAsia="Barlow Semi Condensed" w:hAnsi="Barlow Semi Condensed"/>
          <w:sz w:val="24"/>
          <w:szCs w:val="24"/>
        </w:rPr>
        <w:t xml:space="preserve">Quarta acquisizione. La ripartizione della ricostruzione fra rilievo e dichiarazione</w:t>
      </w:r>
    </w:p>
    <w:p>
      <w:pPr>
        <w:spacing w:after="120" w:line="276"/>
        <w:jc w:val="both"/>
      </w:pPr>
      <w:r>
        <w:rPr>
          <w:rFonts w:ascii="Barlow Semi Condensed" w:cs="Barlow Semi Condensed" w:eastAsia="Barlow Semi Condensed" w:hAnsi="Barlow Semi Condensed"/>
          <w:sz w:val="24"/>
          <w:szCs w:val="24"/>
        </w:rPr>
        <w:t xml:space="preserve">È accertato che la ricostruzione del fatto si ripartisce in due parti di solidità diversa. Poggiano su rilievo materiale, e sono stabili: il luogo e la dinamica dell'agguato, i decessi e le loro cause, la natura delle basi, il rinvenimento e la causa della morte. Poggiano in misura preponderante su dichiarazione, e sono revisionabili: il numero dei partecipanti, il percorso del trasferimento, l'attribuzione individuale dei colpi e dell'esecuzione.</w:t>
      </w:r>
    </w:p>
    <w:p>
      <w:pPr>
        <w:spacing w:after="120" w:line="276"/>
        <w:jc w:val="both"/>
      </w:pPr>
      <w:r>
        <w:rPr>
          <w:rFonts w:ascii="Barlow Semi Condensed" w:cs="Barlow Semi Condensed" w:eastAsia="Barlow Semi Condensed" w:hAnsi="Barlow Semi Condensed"/>
          <w:sz w:val="24"/>
          <w:szCs w:val="24"/>
        </w:rPr>
        <w:t xml:space="preserve">Si sa come avvenne meglio di quanto si sappia per mano di chi.</w:t>
      </w:r>
    </w:p>
    <w:p>
      <w:pPr>
        <w:pStyle w:val="Heading2"/>
        <w:spacing w:after="100" w:before="200"/>
      </w:pPr>
      <w:r>
        <w:rPr>
          <w:rFonts w:ascii="Barlow Semi Condensed" w:cs="Barlow Semi Condensed" w:eastAsia="Barlow Semi Condensed" w:hAnsi="Barlow Semi Condensed"/>
          <w:sz w:val="24"/>
          <w:szCs w:val="24"/>
        </w:rPr>
        <w:t xml:space="preserve">Quinta acquisizione. La coincidenza della data</w:t>
      </w:r>
    </w:p>
    <w:p>
      <w:pPr>
        <w:spacing w:after="120" w:line="276"/>
        <w:jc w:val="both"/>
      </w:pPr>
      <w:r>
        <w:rPr>
          <w:rFonts w:ascii="Barlow Semi Condensed" w:cs="Barlow Semi Condensed" w:eastAsia="Barlow Semi Condensed" w:hAnsi="Barlow Semi Condensed"/>
          <w:sz w:val="24"/>
          <w:szCs w:val="24"/>
        </w:rPr>
        <w:t xml:space="preserve">È accertato che il giorno dell'azione coincise con il giorno del voto di fiducia al primo governo sostenuto da una maggioranza comprensiva del partito comunista.</w:t>
      </w:r>
    </w:p>
    <w:p>
      <w:pPr>
        <w:spacing w:after="120" w:line="276"/>
        <w:jc w:val="both"/>
      </w:pPr>
      <w:r>
        <w:rPr>
          <w:rFonts w:ascii="Barlow Semi Condensed" w:cs="Barlow Semi Condensed" w:eastAsia="Barlow Semi Condensed" w:hAnsi="Barlow Semi Condensed"/>
          <w:sz w:val="24"/>
          <w:szCs w:val="24"/>
        </w:rPr>
        <w:t xml:space="preserve">Che la coincidenza sia stata cercata è proposizione altamente verosimile e comunemente accolta; essa non è accertata, e la distinzione è mantenuta.</w:t>
      </w:r>
    </w:p>
    <w:p>
      <w:pPr>
        <w:pStyle w:val="Heading2"/>
        <w:spacing w:after="100" w:before="200"/>
      </w:pPr>
      <w:r>
        <w:rPr>
          <w:rFonts w:ascii="Barlow Semi Condensed" w:cs="Barlow Semi Condensed" w:eastAsia="Barlow Semi Condensed" w:hAnsi="Barlow Semi Condensed"/>
          <w:sz w:val="24"/>
          <w:szCs w:val="24"/>
        </w:rPr>
        <w:t xml:space="preserve">Sesta acquisizione. I due livelli di responsabilità accertati</w:t>
      </w:r>
    </w:p>
    <w:p>
      <w:pPr>
        <w:spacing w:after="120" w:line="276"/>
        <w:jc w:val="both"/>
      </w:pPr>
      <w:r>
        <w:rPr>
          <w:rFonts w:ascii="Barlow Semi Condensed" w:cs="Barlow Semi Condensed" w:eastAsia="Barlow Semi Condensed" w:hAnsi="Barlow Semi Condensed"/>
          <w:sz w:val="24"/>
          <w:szCs w:val="24"/>
        </w:rPr>
        <w:t xml:space="preserve">È accertato il primo livello nella sua struttura e, per sentenza definitiva, nelle responsabilità individuali dichiarate. È accertato il secondo livello nella sua esistenza e nella sua funzione: un organismo direttivo deliberò l'operazione, ne diresse la conduzione e assunse le decisioni relative alla gestione del periodo.</w:t>
      </w:r>
    </w:p>
    <w:p>
      <w:pPr>
        <w:spacing w:after="120" w:line="276"/>
        <w:jc w:val="both"/>
      </w:pPr>
      <w:r>
        <w:rPr>
          <w:rFonts w:ascii="Barlow Semi Condensed" w:cs="Barlow Semi Condensed" w:eastAsia="Barlow Semi Condensed" w:hAnsi="Barlow Semi Condensed"/>
          <w:sz w:val="24"/>
          <w:szCs w:val="24"/>
        </w:rPr>
        <w:t xml:space="preserve">Non risulta, dagli elementi disponibili, che tale organismo fosse insufficiente a concepire e dirigere l'operazione. La proposizione è negativa e va letta come tale.</w:t>
      </w:r>
    </w:p>
    <w:p>
      <w:pPr>
        <w:pStyle w:val="Heading2"/>
        <w:spacing w:after="100" w:before="200"/>
      </w:pPr>
      <w:r>
        <w:rPr>
          <w:rFonts w:ascii="Barlow Semi Condensed" w:cs="Barlow Semi Condensed" w:eastAsia="Barlow Semi Condensed" w:hAnsi="Barlow Semi Condensed"/>
          <w:sz w:val="24"/>
          <w:szCs w:val="24"/>
        </w:rPr>
        <w:t xml:space="preserve">Capitolo sessantottesimo — Ciò che l'opera non sostiene</w:t>
      </w:r>
    </w:p>
    <w:p>
      <w:pPr>
        <w:spacing w:after="120" w:line="276"/>
        <w:jc w:val="both"/>
      </w:pPr>
      <w:r>
        <w:rPr>
          <w:rFonts w:ascii="Barlow Semi Condensed" w:cs="Barlow Semi Condensed" w:eastAsia="Barlow Semi Condensed" w:hAnsi="Barlow Semi Condensed"/>
          <w:sz w:val="24"/>
          <w:szCs w:val="24"/>
        </w:rPr>
        <w:t xml:space="preserve">Si raccolgono qui le astensioni. Il Capitolo è quello che nessuna delle sei Fasi precedenti poteva contenere, e credo sia il più utile del volume: una ricerca è giudicabile dalle proprie astensioni non meno che dalle proprie affermazioni, e le astensioni, se non raccolte, restano invisibili.</w:t>
      </w:r>
    </w:p>
    <w:p>
      <w:pPr>
        <w:spacing w:after="120" w:line="276"/>
        <w:jc w:val="both"/>
      </w:pPr>
      <w:r>
        <w:rPr>
          <w:rFonts w:ascii="Barlow Semi Condensed" w:cs="Barlow Semi Condensed" w:eastAsia="Barlow Semi Condensed" w:hAnsi="Barlow Semi Condensed"/>
          <w:sz w:val="24"/>
          <w:szCs w:val="24"/>
        </w:rPr>
        <w:t xml:space="preserve">Ciascuna è motivata nella sede in cui fu presa, e nessuna è una negazione: sono constatazioni di ciò che gli atti non stabiliscono.</w:t>
      </w:r>
    </w:p>
    <w:p>
      <w:pPr>
        <w:pStyle w:val="Heading2"/>
        <w:spacing w:after="100" w:before="200"/>
      </w:pPr>
      <w:r>
        <w:rPr>
          <w:rFonts w:ascii="Barlow Semi Condensed" w:cs="Barlow Semi Condensed" w:eastAsia="Barlow Semi Condensed" w:hAnsi="Barlow Semi Condensed"/>
          <w:sz w:val="24"/>
          <w:szCs w:val="24"/>
        </w:rPr>
        <w:t xml:space="preserve">Sul movente</w:t>
      </w:r>
    </w:p>
    <w:p>
      <w:pPr>
        <w:spacing w:after="120" w:line="276"/>
        <w:jc w:val="both"/>
      </w:pPr>
      <w:r>
        <w:rPr>
          <w:rFonts w:ascii="Barlow Semi Condensed" w:cs="Barlow Semi Condensed" w:eastAsia="Barlow Semi Condensed" w:hAnsi="Barlow Semi Condensed"/>
          <w:sz w:val="24"/>
          <w:szCs w:val="24"/>
        </w:rPr>
        <w:t xml:space="preserve">L'opera non sostiene alcuna delle quattro famiglie di ipotesi sul movente. La matrice del Capitolo diciannovesimo ha stabilito che nessuna è esclusa dalle evidenze disponibili e che nessuna è provata.</w:t>
      </w:r>
    </w:p>
    <w:p>
      <w:pPr>
        <w:spacing w:after="120" w:line="276"/>
        <w:jc w:val="both"/>
      </w:pPr>
      <w:r>
        <w:rPr>
          <w:rFonts w:ascii="Barlow Semi Condensed" w:cs="Barlow Semi Condensed" w:eastAsia="Barlow Semi Condensed" w:hAnsi="Barlow Semi Condensed"/>
          <w:sz w:val="24"/>
          <w:szCs w:val="24"/>
        </w:rPr>
        <w:t xml:space="preserve">L'opera non sostiene che la domanda a chi giova selezioni un sospetto in questo caso. Essa ne seleziona due, per ragioni fra loro incompatibili, e pertanto non discrimina.</w:t>
      </w:r>
    </w:p>
    <w:p>
      <w:pPr>
        <w:pStyle w:val="Heading2"/>
        <w:spacing w:after="100" w:before="200"/>
      </w:pPr>
      <w:r>
        <w:rPr>
          <w:rFonts w:ascii="Barlow Semi Condensed" w:cs="Barlow Semi Condensed" w:eastAsia="Barlow Semi Condensed" w:hAnsi="Barlow Semi Condensed"/>
          <w:sz w:val="24"/>
          <w:szCs w:val="24"/>
        </w:rPr>
        <w:t xml:space="preserve">Sul terzo livello</w:t>
      </w:r>
    </w:p>
    <w:p>
      <w:pPr>
        <w:spacing w:after="120" w:line="276"/>
        <w:jc w:val="both"/>
      </w:pPr>
      <w:r>
        <w:rPr>
          <w:rFonts w:ascii="Barlow Semi Condensed" w:cs="Barlow Semi Condensed" w:eastAsia="Barlow Semi Condensed" w:hAnsi="Barlow Semi Condensed"/>
          <w:sz w:val="24"/>
          <w:szCs w:val="24"/>
        </w:rPr>
        <w:t xml:space="preserve">L'opera non sostiene che esista un mandante esterno all'organismo che deliberò. Non sostiene neppure che non esista.</w:t>
      </w:r>
    </w:p>
    <w:p>
      <w:pPr>
        <w:spacing w:after="120" w:line="276"/>
        <w:jc w:val="both"/>
      </w:pPr>
      <w:r>
        <w:rPr>
          <w:rFonts w:ascii="Barlow Semi Condensed" w:cs="Barlow Semi Condensed" w:eastAsia="Barlow Semi Condensed" w:hAnsi="Barlow Semi Condensed"/>
          <w:sz w:val="24"/>
          <w:szCs w:val="24"/>
        </w:rPr>
        <w:t xml:space="preserve">Non sostiene che l'ostilità politica documentata di più soggetti verso la politica del rapito costituisca movente. L'ostilità politica non è volontà determinata quanto a un atto.</w:t>
      </w:r>
    </w:p>
    <w:p>
      <w:pPr>
        <w:pStyle w:val="Heading2"/>
        <w:spacing w:after="100" w:before="200"/>
      </w:pPr>
      <w:r>
        <w:rPr>
          <w:rFonts w:ascii="Barlow Semi Condensed" w:cs="Barlow Semi Condensed" w:eastAsia="Barlow Semi Condensed" w:hAnsi="Barlow Semi Condensed"/>
          <w:sz w:val="24"/>
          <w:szCs w:val="24"/>
        </w:rPr>
        <w:t xml:space="preserve">Sulle omissioni</w:t>
      </w:r>
    </w:p>
    <w:p>
      <w:pPr>
        <w:spacing w:after="120" w:line="276"/>
        <w:jc w:val="both"/>
      </w:pPr>
      <w:r>
        <w:rPr>
          <w:rFonts w:ascii="Barlow Semi Condensed" w:cs="Barlow Semi Condensed" w:eastAsia="Barlow Semi Condensed" w:hAnsi="Barlow Semi Condensed"/>
          <w:sz w:val="24"/>
          <w:szCs w:val="24"/>
        </w:rPr>
        <w:t xml:space="preserve">L'opera non sostiene che alcuna delle omissioni esaminate fosse deliberata. Il test in tre tempi si è arrestato al secondo o al terzo per difetto di elementi in tutti i casi tranne uno, e in quell'uno l'inadempimento è accertato mentre la sua ragione non lo è.</w:t>
      </w:r>
    </w:p>
    <w:p>
      <w:pPr>
        <w:spacing w:after="120" w:line="276"/>
        <w:jc w:val="both"/>
      </w:pPr>
      <w:r>
        <w:rPr>
          <w:rFonts w:ascii="Barlow Semi Condensed" w:cs="Barlow Semi Condensed" w:eastAsia="Barlow Semi Condensed" w:hAnsi="Barlow Semi Condensed"/>
          <w:sz w:val="24"/>
          <w:szCs w:val="24"/>
        </w:rPr>
        <w:t xml:space="preserve">L'opera non sostiene che la ricerca dei cinquantacinque giorni fu simulata, né ostacolata, né soltanto inefficiente. L'esito nullo è compatibile con tutte e tre le spiegazioni e non discrimina fra esse.</w:t>
      </w:r>
    </w:p>
    <w:p>
      <w:pPr>
        <w:spacing w:after="120" w:line="276"/>
        <w:jc w:val="both"/>
      </w:pPr>
      <w:r>
        <w:rPr>
          <w:rFonts w:ascii="Barlow Semi Condensed" w:cs="Barlow Semi Condensed" w:eastAsia="Barlow Semi Condensed" w:hAnsi="Barlow Semi Condensed"/>
          <w:sz w:val="24"/>
          <w:szCs w:val="24"/>
        </w:rPr>
        <w:t xml:space="preserve">L'opera non impiega l'argomento dell'accumulo, mancandone le tre condizioni di validità. La disposizione la priva dell'argomento più efficace disponibile in questa materia, e il costo è dichiarato.</w:t>
      </w:r>
    </w:p>
    <w:p>
      <w:pPr>
        <w:pStyle w:val="Heading2"/>
        <w:spacing w:after="100" w:before="200"/>
      </w:pPr>
      <w:r>
        <w:rPr>
          <w:rFonts w:ascii="Barlow Semi Condensed" w:cs="Barlow Semi Condensed" w:eastAsia="Barlow Semi Condensed" w:hAnsi="Barlow Semi Condensed"/>
          <w:sz w:val="24"/>
          <w:szCs w:val="24"/>
        </w:rPr>
        <w:t xml:space="preserve">Sulle carte</w:t>
      </w:r>
    </w:p>
    <w:p>
      <w:pPr>
        <w:spacing w:after="120" w:line="276"/>
        <w:jc w:val="both"/>
      </w:pPr>
      <w:r>
        <w:rPr>
          <w:rFonts w:ascii="Barlow Semi Condensed" w:cs="Barlow Semi Condensed" w:eastAsia="Barlow Semi Condensed" w:hAnsi="Barlow Semi Condensed"/>
          <w:sz w:val="24"/>
          <w:szCs w:val="24"/>
        </w:rPr>
        <w:t xml:space="preserve">L'opera non sostiene che le carte della prigionia provino alcun fatto esterno alla prigionia, in assenza di riscontro indipendente. Ciò vale per la totalità degli enunciati del materiale non epistolare relativi a vicende della vita politica.</w:t>
      </w:r>
    </w:p>
    <w:p>
      <w:pPr>
        <w:spacing w:after="120" w:line="276"/>
        <w:jc w:val="both"/>
      </w:pPr>
      <w:r>
        <w:rPr>
          <w:rFonts w:ascii="Barlow Semi Condensed" w:cs="Barlow Semi Condensed" w:eastAsia="Barlow Semi Condensed" w:hAnsi="Barlow Semi Condensed"/>
          <w:sz w:val="24"/>
          <w:szCs w:val="24"/>
        </w:rPr>
        <w:t xml:space="preserve">L'opera non sostiene che l'autore avesse mutato le proprie posizioni anteriori, né che le avesse conservate. Gli enunciati pertinenti sono di terzo grado e attestano che quelle parole furono scritte, e null'altro.</w:t>
      </w:r>
    </w:p>
    <w:p>
      <w:pPr>
        <w:spacing w:after="120" w:line="276"/>
        <w:jc w:val="both"/>
      </w:pPr>
      <w:r>
        <w:rPr>
          <w:rFonts w:ascii="Barlow Semi Condensed" w:cs="Barlow Semi Condensed" w:eastAsia="Barlow Semi Condensed" w:hAnsi="Barlow Semi Condensed"/>
          <w:sz w:val="24"/>
          <w:szCs w:val="24"/>
        </w:rPr>
        <w:t xml:space="preserve">L'opera non trae alcun argomento da ciò che nelle carte non si trova, per la ragione logica del Capitolo trentaquattresimo e per quella materiale del Capitolo trentottesimo.</w:t>
      </w:r>
    </w:p>
    <w:p>
      <w:pPr>
        <w:pStyle w:val="Heading2"/>
        <w:spacing w:after="100" w:before="200"/>
      </w:pPr>
      <w:r>
        <w:rPr>
          <w:rFonts w:ascii="Barlow Semi Condensed" w:cs="Barlow Semi Condensed" w:eastAsia="Barlow Semi Condensed" w:hAnsi="Barlow Semi Condensed"/>
          <w:sz w:val="24"/>
          <w:szCs w:val="24"/>
        </w:rPr>
        <w:t xml:space="preserve">Sulle persone</w:t>
      </w:r>
    </w:p>
    <w:p>
      <w:pPr>
        <w:spacing w:after="120" w:line="276"/>
        <w:jc w:val="both"/>
      </w:pPr>
      <w:r>
        <w:rPr>
          <w:rFonts w:ascii="Barlow Semi Condensed" w:cs="Barlow Semi Condensed" w:eastAsia="Barlow Semi Condensed" w:hAnsi="Barlow Semi Condensed"/>
          <w:sz w:val="24"/>
          <w:szCs w:val="24"/>
        </w:rPr>
        <w:t xml:space="preserve">L'opera non attribuisce ad alcuna persona responsabilità che le fonti non accertino. Le funzioni sono designate come tali ove la funzione basti a identificare l'atto, e la designazione per nome è riservata ai casi in cui nessuna funzione basti — segnatamente alle vittime.</w:t>
      </w:r>
    </w:p>
    <w:p>
      <w:pPr>
        <w:spacing w:after="120" w:line="276"/>
        <w:jc w:val="both"/>
      </w:pPr>
      <w:r>
        <w:rPr>
          <w:rFonts w:ascii="Barlow Semi Condensed" w:cs="Barlow Semi Condensed" w:eastAsia="Barlow Semi Condensed" w:hAnsi="Barlow Semi Condensed"/>
          <w:sz w:val="24"/>
          <w:szCs w:val="24"/>
        </w:rPr>
        <w:t xml:space="preserve">L'opera non trae alcuna conseguenza dalla morte improvvisa di un ufficiale alla vigilia di una attesa audizione parlamentare. Il fatto è registrato; chi ne tragga una conseguenza compie il salto che l'opera vieta.</w:t>
      </w:r>
    </w:p>
    <w:p>
      <w:pPr>
        <w:spacing w:after="120" w:line="276"/>
        <w:jc w:val="both"/>
      </w:pPr>
      <w:r>
        <w:rPr>
          <w:rFonts w:ascii="Barlow Semi Condensed" w:cs="Barlow Semi Condensed" w:eastAsia="Barlow Semi Condensed" w:hAnsi="Barlow Semi Condensed"/>
          <w:sz w:val="24"/>
          <w:szCs w:val="24"/>
        </w:rPr>
        <w:t xml:space="preserve">L'opera non psicoanalizza alcuno. Le categorie impiegate per descrivere il comportamento degli archivi si riferiscono agli archivi.</w:t>
      </w:r>
    </w:p>
    <w:p>
      <w:pPr>
        <w:pStyle w:val="Heading2"/>
        <w:spacing w:after="100" w:before="200"/>
      </w:pPr>
      <w:r>
        <w:rPr>
          <w:rFonts w:ascii="Barlow Semi Condensed" w:cs="Barlow Semi Condensed" w:eastAsia="Barlow Semi Condensed" w:hAnsi="Barlow Semi Condensed"/>
          <w:sz w:val="24"/>
          <w:szCs w:val="24"/>
        </w:rPr>
        <w:t xml:space="preserve">Su ciò che circonda</w:t>
      </w:r>
    </w:p>
    <w:p>
      <w:pPr>
        <w:spacing w:after="120" w:line="276"/>
        <w:jc w:val="both"/>
      </w:pPr>
      <w:r>
        <w:rPr>
          <w:rFonts w:ascii="Barlow Semi Condensed" w:cs="Barlow Semi Condensed" w:eastAsia="Barlow Semi Condensed" w:hAnsi="Barlow Semi Condensed"/>
          <w:sz w:val="24"/>
          <w:szCs w:val="24"/>
        </w:rPr>
        <w:t xml:space="preserve">L'opera non ammette nella ricostruzione gli ambienti raggiunti per percorso e non per arco diretto documentato. Appartenenze, frequentazioni, prossimità geografiche e comunanze di orientamento non sono negate: sono dichiarate non ammesse come elementi di ricostruzione, il che è cosa diversa.</w:t>
      </w:r>
    </w:p>
    <w:p>
      <w:pPr>
        <w:pStyle w:val="Heading2"/>
        <w:spacing w:after="100" w:before="200"/>
      </w:pPr>
      <w:r>
        <w:rPr>
          <w:rFonts w:ascii="Barlow Semi Condensed" w:cs="Barlow Semi Condensed" w:eastAsia="Barlow Semi Condensed" w:hAnsi="Barlow Semi Condensed"/>
          <w:sz w:val="24"/>
          <w:szCs w:val="24"/>
        </w:rPr>
        <w:t xml:space="preserve">Una avvertenza finale sulle astensioni</w:t>
      </w:r>
    </w:p>
    <w:p>
      <w:pPr>
        <w:spacing w:after="120" w:line="276"/>
        <w:jc w:val="both"/>
      </w:pPr>
      <w:r>
        <w:rPr>
          <w:rFonts w:ascii="Barlow Semi Condensed" w:cs="Barlow Semi Condensed" w:eastAsia="Barlow Semi Condensed" w:hAnsi="Barlow Semi Condensed"/>
          <w:sz w:val="24"/>
          <w:szCs w:val="24"/>
        </w:rPr>
        <w:t xml:space="preserve">Nessuna delle astensioni qui raccolte è definitiva. Ciascuna è riferita allo stato degli atti, e ciascuna cadrebbe se l'atto indicato nella tavola comparisse.</w:t>
      </w:r>
    </w:p>
    <w:p>
      <w:pPr>
        <w:spacing w:after="120" w:line="276"/>
        <w:jc w:val="both"/>
      </w:pPr>
      <w:r>
        <w:rPr>
          <w:rFonts w:ascii="Barlow Semi Condensed" w:cs="Barlow Semi Condensed" w:eastAsia="Barlow Semi Condensed" w:hAnsi="Barlow Semi Condensed"/>
          <w:sz w:val="24"/>
          <w:szCs w:val="24"/>
        </w:rPr>
        <w:t xml:space="preserve">Un'astensione non è una posizione: è una condizione di attesa, e la tavola dice che cosa si attende.</w:t>
      </w:r>
    </w:p>
    <w:p>
      <w:pPr>
        <w:pStyle w:val="Heading2"/>
        <w:spacing w:after="100" w:before="200"/>
      </w:pPr>
      <w:r>
        <w:rPr>
          <w:rFonts w:ascii="Barlow Semi Condensed" w:cs="Barlow Semi Condensed" w:eastAsia="Barlow Semi Condensed" w:hAnsi="Barlow Semi Condensed"/>
          <w:sz w:val="24"/>
          <w:szCs w:val="24"/>
        </w:rPr>
        <w:t xml:space="preserve">Capitolo sessantanovesimo — La tavola consegnata</w:t>
      </w:r>
    </w:p>
    <w:p>
      <w:pPr>
        <w:spacing w:after="120" w:line="276"/>
        <w:jc w:val="both"/>
      </w:pPr>
      <w:r>
        <w:rPr>
          <w:rFonts w:ascii="Barlow Semi Condensed" w:cs="Barlow Semi Condensed" w:eastAsia="Barlow Semi Condensed" w:hAnsi="Barlow Semi Condensed"/>
          <w:sz w:val="24"/>
          <w:szCs w:val="24"/>
        </w:rPr>
        <w:t xml:space="preserve">Si consegnano qui le acquisizioni documentali che l'opera ha identificate come necessarie e non conseguite, ordinate per rendimento atteso decrescente. L'ordine è un giudizio dell'autore ed è dichiarato come tale.</w:t>
      </w:r>
    </w:p>
    <w:p>
      <w:pPr>
        <w:pStyle w:val="Heading2"/>
        <w:spacing w:after="100" w:before="200"/>
      </w:pPr>
      <w:r>
        <w:rPr>
          <w:rFonts w:ascii="Barlow Semi Condensed" w:cs="Barlow Semi Condensed" w:eastAsia="Barlow Semi Condensed" w:hAnsi="Barlow Semi Condensed"/>
          <w:sz w:val="24"/>
          <w:szCs w:val="24"/>
        </w:rPr>
        <w:t xml:space="preserve">Prima. I verbali della perquisizione dell'ottobre 1978</w:t>
      </w:r>
    </w:p>
    <w:p>
      <w:pPr>
        <w:spacing w:after="120" w:line="276"/>
        <w:jc w:val="both"/>
      </w:pPr>
      <w:r>
        <w:rPr>
          <w:rFonts w:ascii="Barlow Semi Condensed" w:cs="Barlow Semi Condensed" w:eastAsia="Barlow Semi Condensed" w:hAnsi="Barlow Semi Condensed"/>
          <w:sz w:val="24"/>
          <w:szCs w:val="24"/>
        </w:rPr>
        <w:t xml:space="preserve">Confrontati con quelli del secondo rinvenimento del 1990: verbali, rilievi, descrizione delle modalità e degli strumenti impiegati.</w:t>
      </w:r>
    </w:p>
    <w:p>
      <w:pPr>
        <w:spacing w:after="120" w:line="276"/>
        <w:jc w:val="both"/>
      </w:pPr>
      <w:r>
        <w:rPr>
          <w:rFonts w:ascii="Barlow Semi Condensed" w:cs="Barlow Semi Condensed" w:eastAsia="Barlow Semi Condensed" w:hAnsi="Barlow Semi Condensed"/>
          <w:sz w:val="24"/>
          <w:szCs w:val="24"/>
        </w:rPr>
        <w:t xml:space="preserve">È la sola voce della tavola per la quale la via di discriminazione sia indicata con precisione. Due delle tre spiegazioni predicono che la documentazione non rechi menzione di esame delle strutture murarie e che gli strumenti non fossero idonei a rilevare intercapedini; la terza predice il contrario. Le predizioni sono incompatibili e verificabili sui medesimi atti.</w:t>
      </w:r>
    </w:p>
    <w:p>
      <w:pPr>
        <w:pStyle w:val="Heading2"/>
        <w:spacing w:after="100" w:before="200"/>
      </w:pPr>
      <w:r>
        <w:rPr>
          <w:rFonts w:ascii="Barlow Semi Condensed" w:cs="Barlow Semi Condensed" w:eastAsia="Barlow Semi Condensed" w:hAnsi="Barlow Semi Condensed"/>
          <w:sz w:val="24"/>
          <w:szCs w:val="24"/>
        </w:rPr>
        <w:t xml:space="preserve">Seconda. Gli atti sull'indicazione toponomastica</w:t>
      </w:r>
    </w:p>
    <w:p>
      <w:pPr>
        <w:spacing w:after="120" w:line="276"/>
        <w:jc w:val="both"/>
      </w:pPr>
      <w:r>
        <w:rPr>
          <w:rFonts w:ascii="Barlow Semi Condensed" w:cs="Barlow Semi Condensed" w:eastAsia="Barlow Semi Condensed" w:hAnsi="Barlow Semi Condensed"/>
          <w:sz w:val="24"/>
          <w:szCs w:val="24"/>
        </w:rPr>
        <w:t xml:space="preserve">Ricezione, valutazione, decisione sulla destinazione delle ricerche, e documentazione dei flussi informativi fra gli uffici coinvolti nel periodo.</w:t>
      </w:r>
    </w:p>
    <w:p>
      <w:pPr>
        <w:pStyle w:val="Heading2"/>
        <w:spacing w:after="100" w:before="200"/>
      </w:pPr>
      <w:r>
        <w:rPr>
          <w:rFonts w:ascii="Barlow Semi Condensed" w:cs="Barlow Semi Condensed" w:eastAsia="Barlow Semi Condensed" w:hAnsi="Barlow Semi Condensed"/>
          <w:sz w:val="24"/>
          <w:szCs w:val="24"/>
        </w:rPr>
        <w:t xml:space="preserve">Terza. Le direttive dei controlli</w:t>
      </w:r>
    </w:p>
    <w:p>
      <w:pPr>
        <w:spacing w:after="120" w:line="276"/>
        <w:jc w:val="both"/>
      </w:pPr>
      <w:r>
        <w:rPr>
          <w:rFonts w:ascii="Barlow Semi Condensed" w:cs="Barlow Semi Condensed" w:eastAsia="Barlow Semi Condensed" w:hAnsi="Barlow Semi Condensed"/>
          <w:sz w:val="24"/>
          <w:szCs w:val="24"/>
        </w:rPr>
        <w:t xml:space="preserve">Le direttive impartite per i controlli generalizzati e la documentazione del controllo effettuato nella via poi risultata sede di una base. Senza di esse il test si arresta al secondo tempo, non potendosi distinguere l'inadempimento dall'insuccesso.</w:t>
      </w:r>
    </w:p>
    <w:p>
      <w:pPr>
        <w:pStyle w:val="Heading2"/>
        <w:spacing w:after="100" w:before="200"/>
      </w:pPr>
      <w:r>
        <w:rPr>
          <w:rFonts w:ascii="Barlow Semi Condensed" w:cs="Barlow Semi Condensed" w:eastAsia="Barlow Semi Condensed" w:hAnsi="Barlow Semi Condensed"/>
          <w:sz w:val="24"/>
          <w:szCs w:val="24"/>
        </w:rPr>
        <w:t xml:space="preserve">Quarta. La documentazione analitica della ricerca</w:t>
      </w:r>
    </w:p>
    <w:p>
      <w:pPr>
        <w:spacing w:after="120" w:line="276"/>
        <w:jc w:val="both"/>
      </w:pPr>
      <w:r>
        <w:rPr>
          <w:rFonts w:ascii="Barlow Semi Condensed" w:cs="Barlow Semi Condensed" w:eastAsia="Barlow Semi Condensed" w:hAnsi="Barlow Semi Condensed"/>
          <w:sz w:val="24"/>
          <w:szCs w:val="24"/>
        </w:rPr>
        <w:t xml:space="preserve">Zone controllate, modalità, criteri di selezione e motivazione delle esclusioni durante i cinquantacinque giorni. È l'acquisizione che colmerebbe il difetto di termine di riferimento e renderebbe valutabile l'adeguatezza.</w:t>
      </w:r>
    </w:p>
    <w:p>
      <w:pPr>
        <w:pStyle w:val="Heading2"/>
        <w:spacing w:after="100" w:before="200"/>
      </w:pPr>
      <w:r>
        <w:rPr>
          <w:rFonts w:ascii="Barlow Semi Condensed" w:cs="Barlow Semi Condensed" w:eastAsia="Barlow Semi Condensed" w:hAnsi="Barlow Semi Condensed"/>
          <w:sz w:val="24"/>
          <w:szCs w:val="24"/>
        </w:rPr>
        <w:t xml:space="preserve">Quinta. Le due vie comparative</w:t>
      </w:r>
    </w:p>
    <w:p>
      <w:pPr>
        <w:spacing w:after="120" w:line="276"/>
        <w:jc w:val="both"/>
      </w:pPr>
      <w:r>
        <w:rPr>
          <w:rFonts w:ascii="Barlow Semi Condensed" w:cs="Barlow Semi Condensed" w:eastAsia="Barlow Semi Condensed" w:hAnsi="Barlow Semi Condensed"/>
          <w:sz w:val="24"/>
          <w:szCs w:val="24"/>
        </w:rPr>
        <w:t xml:space="preserve">Documentazione idonea alla comparazione con operazioni analoghe dei medesimi uffici nel medesimo periodo, e comparazione interna fra adempimenti diligenti e non diligenti entro la medesima operazione. Senza almeno una delle due, l'argomento dell'accumulo resta privo delle proprie condizioni.</w:t>
      </w:r>
    </w:p>
    <w:p>
      <w:pPr>
        <w:pStyle w:val="Heading2"/>
        <w:spacing w:after="100" w:before="200"/>
      </w:pPr>
      <w:r>
        <w:rPr>
          <w:rFonts w:ascii="Barlow Semi Condensed" w:cs="Barlow Semi Condensed" w:eastAsia="Barlow Semi Condensed" w:hAnsi="Barlow Semi Condensed"/>
          <w:sz w:val="24"/>
          <w:szCs w:val="24"/>
        </w:rPr>
        <w:t xml:space="preserve">Sesta. L'esame materiale del documento apocrifo</w:t>
      </w:r>
    </w:p>
    <w:p>
      <w:pPr>
        <w:spacing w:after="120" w:line="276"/>
        <w:jc w:val="both"/>
      </w:pPr>
      <w:r>
        <w:rPr>
          <w:rFonts w:ascii="Barlow Semi Condensed" w:cs="Barlow Semi Condensed" w:eastAsia="Barlow Semi Condensed" w:hAnsi="Barlow Semi Condensed"/>
          <w:sz w:val="24"/>
          <w:szCs w:val="24"/>
        </w:rPr>
        <w:t xml:space="preserve">Supporto, mezzo di scrittura, modalità di confezione, confrontati con quelli dei documenti autentici e con le disponibilità dei diversi ambienti; documentazione della via e dei tempi di immissione; atti degli accertamenti condotti all'epoca sulla provenienza.</w:t>
      </w:r>
    </w:p>
    <w:p>
      <w:pPr>
        <w:pStyle w:val="Heading2"/>
        <w:spacing w:after="100" w:before="200"/>
      </w:pPr>
      <w:r>
        <w:rPr>
          <w:rFonts w:ascii="Barlow Semi Condensed" w:cs="Barlow Semi Condensed" w:eastAsia="Barlow Semi Condensed" w:hAnsi="Barlow Semi Condensed"/>
          <w:sz w:val="24"/>
          <w:szCs w:val="24"/>
        </w:rPr>
        <w:t xml:space="preserve">Settima. La verifica genealogica delle fonti</w:t>
      </w:r>
    </w:p>
    <w:p>
      <w:pPr>
        <w:spacing w:after="120" w:line="276"/>
        <w:jc w:val="both"/>
      </w:pPr>
      <w:r>
        <w:rPr>
          <w:rFonts w:ascii="Barlow Semi Condensed" w:cs="Barlow Semi Condensed" w:eastAsia="Barlow Semi Condensed" w:hAnsi="Barlow Semi Condensed"/>
          <w:sz w:val="24"/>
          <w:szCs w:val="24"/>
        </w:rPr>
        <w:t xml:space="preserve">Risalita di ciascuna fonte al proprio evento originario, per stabilire quante catene realmente indipendenti sussistano. È condizione preliminare di qualunque computo di convergenza, e non è stata condotta.</w:t>
      </w:r>
    </w:p>
    <w:p>
      <w:pPr>
        <w:pStyle w:val="Heading2"/>
        <w:spacing w:after="100" w:before="200"/>
      </w:pPr>
      <w:r>
        <w:rPr>
          <w:rFonts w:ascii="Barlow Semi Condensed" w:cs="Barlow Semi Condensed" w:eastAsia="Barlow Semi Condensed" w:hAnsi="Barlow Semi Condensed"/>
          <w:sz w:val="24"/>
          <w:szCs w:val="24"/>
        </w:rPr>
        <w:t xml:space="preserve">Ottava. Le direttrici dichiarate aperte</w:t>
      </w:r>
    </w:p>
    <w:p>
      <w:pPr>
        <w:spacing w:after="120" w:line="276"/>
        <w:jc w:val="both"/>
      </w:pPr>
      <w:r>
        <w:rPr>
          <w:rFonts w:ascii="Barlow Semi Condensed" w:cs="Barlow Semi Condensed" w:eastAsia="Barlow Semi Condensed" w:hAnsi="Barlow Semi Condensed"/>
          <w:sz w:val="24"/>
          <w:szCs w:val="24"/>
        </w:rPr>
        <w:t xml:space="preserve">Cinque unità documentali presso un archivio storico parlamentare, fra le quali un supporto fonico di audizioni; cinque protocolli di due servizi informativi relativi ai giorni immediatamente anteriori ai fatti; tre protocolli relativi a una pratica del maggio-settembre 1978; l'identificazione di una seconda funzione di interpretariato; due edizioni critiche non possedute; tredici archivi remoti non trasferibili con gli strumenti impiegati.</w:t>
      </w:r>
    </w:p>
    <w:p>
      <w:pPr>
        <w:pStyle w:val="Heading2"/>
        <w:spacing w:after="100" w:before="200"/>
      </w:pPr>
      <w:r>
        <w:rPr>
          <w:rFonts w:ascii="Barlow Semi Condensed" w:cs="Barlow Semi Condensed" w:eastAsia="Barlow Semi Condensed" w:hAnsi="Barlow Semi Condensed"/>
          <w:sz w:val="24"/>
          <w:szCs w:val="24"/>
        </w:rPr>
        <w:t xml:space="preserve">Nona. Il repertorio delle denominazioni</w:t>
      </w:r>
    </w:p>
    <w:p>
      <w:pPr>
        <w:spacing w:after="120" w:line="276"/>
        <w:jc w:val="both"/>
      </w:pPr>
      <w:r>
        <w:rPr>
          <w:rFonts w:ascii="Barlow Semi Condensed" w:cs="Barlow Semi Condensed" w:eastAsia="Barlow Semi Condensed" w:hAnsi="Barlow Semi Condensed"/>
          <w:sz w:val="24"/>
          <w:szCs w:val="24"/>
        </w:rPr>
        <w:t xml:space="preserve">Compilazione del repertorio delle denominazioni delle regole e delle figure dell'opera anteriore, per chiudere lo Stato Zero sulle due misure di consistenza rimaste non verificate.</w:t>
      </w:r>
    </w:p>
    <w:p>
      <w:pPr>
        <w:pStyle w:val="Heading2"/>
        <w:spacing w:after="100" w:before="200"/>
      </w:pPr>
      <w:r>
        <w:rPr>
          <w:rFonts w:ascii="Barlow Semi Condensed" w:cs="Barlow Semi Condensed" w:eastAsia="Barlow Semi Condensed" w:hAnsi="Barlow Semi Condensed"/>
          <w:sz w:val="24"/>
          <w:szCs w:val="24"/>
        </w:rPr>
        <w:t xml:space="preserve">Nota sulla tavola</w:t>
      </w:r>
    </w:p>
    <w:p>
      <w:pPr>
        <w:spacing w:after="120" w:line="276"/>
        <w:jc w:val="both"/>
      </w:pPr>
      <w:r>
        <w:rPr>
          <w:rFonts w:ascii="Barlow Semi Condensed" w:cs="Barlow Semi Condensed" w:eastAsia="Barlow Semi Condensed" w:hAnsi="Barlow Semi Condensed"/>
          <w:sz w:val="24"/>
          <w:szCs w:val="24"/>
        </w:rPr>
        <w:t xml:space="preserve">Nessuna di queste voci richiede una decisione metodologica. Tutte richiedono un accesso.</w:t>
      </w:r>
    </w:p>
    <w:p>
      <w:pPr>
        <w:spacing w:after="120" w:line="276"/>
        <w:jc w:val="both"/>
      </w:pPr>
      <w:r>
        <w:rPr>
          <w:rFonts w:ascii="Barlow Semi Condensed" w:cs="Barlow Semi Condensed" w:eastAsia="Barlow Semi Condensed" w:hAnsi="Barlow Semi Condensed"/>
          <w:sz w:val="24"/>
          <w:szCs w:val="24"/>
        </w:rPr>
        <w:t xml:space="preserve">È una circostanza che merita di essere notata: giunta al termine di settanta Capitoli, l'opera non è ferma per difetto di metodo. È ferma davanti a porte di archivio.</w:t>
      </w:r>
    </w:p>
    <w:p>
      <w:pPr>
        <w:pStyle w:val="Heading2"/>
        <w:spacing w:after="100" w:before="200"/>
      </w:pPr>
      <w:r>
        <w:rPr>
          <w:rFonts w:ascii="Barlow Semi Condensed" w:cs="Barlow Semi Condensed" w:eastAsia="Barlow Semi Condensed" w:hAnsi="Barlow Semi Condensed"/>
          <w:sz w:val="24"/>
          <w:szCs w:val="24"/>
        </w:rPr>
        <w:t xml:space="preserve">Capitolo settantesimo — Chiusura</w:t>
      </w:r>
    </w:p>
    <w:p>
      <w:pPr>
        <w:pStyle w:val="Heading2"/>
        <w:spacing w:after="100" w:before="200"/>
      </w:pPr>
      <w:r>
        <w:rPr>
          <w:rFonts w:ascii="Barlow Semi Condensed" w:cs="Barlow Semi Condensed" w:eastAsia="Barlow Semi Condensed" w:hAnsi="Barlow Semi Condensed"/>
          <w:sz w:val="24"/>
          <w:szCs w:val="24"/>
        </w:rPr>
        <w:t xml:space="preserve">Che cosa è stato fatto</w:t>
      </w:r>
    </w:p>
    <w:p>
      <w:pPr>
        <w:spacing w:after="120" w:line="276"/>
        <w:jc w:val="both"/>
      </w:pPr>
      <w:r>
        <w:rPr>
          <w:rFonts w:ascii="Barlow Semi Condensed" w:cs="Barlow Semi Condensed" w:eastAsia="Barlow Semi Condensed" w:hAnsi="Barlow Semi Condensed"/>
          <w:sz w:val="24"/>
          <w:szCs w:val="24"/>
        </w:rPr>
        <w:t xml:space="preserve">Settanta Capitoli in sette Fasi. La prima ha esposto le regole e descritto la persona. La seconda ha censito le ragioni dichiarate e attribuite e ha costruito la matrice. La terza ha ricostruito il fatto distinguendo il rilievo dalla dichiarazione. La quarta ha stabilito lo statuto delle carte e istituito la scala del vincolo. La quinta ha esaminato le omissioni con il test in tre tempi. La sesta ha separato i tre livelli di responsabilità e ha dichiarato vuoto il terzo. La settima ha consegnato.</w:t>
      </w:r>
    </w:p>
    <w:p>
      <w:pPr>
        <w:pStyle w:val="Heading2"/>
        <w:spacing w:after="100" w:before="200"/>
      </w:pPr>
      <w:r>
        <w:rPr>
          <w:rFonts w:ascii="Barlow Semi Condensed" w:cs="Barlow Semi Condensed" w:eastAsia="Barlow Semi Condensed" w:hAnsi="Barlow Semi Condensed"/>
          <w:sz w:val="24"/>
          <w:szCs w:val="24"/>
        </w:rPr>
        <w:t xml:space="preserve">Che cosa non è stato trovato</w:t>
      </w:r>
    </w:p>
    <w:p>
      <w:pPr>
        <w:spacing w:after="120" w:line="276"/>
        <w:jc w:val="both"/>
      </w:pPr>
      <w:r>
        <w:rPr>
          <w:rFonts w:ascii="Barlow Semi Condensed" w:cs="Barlow Semi Condensed" w:eastAsia="Barlow Semi Condensed" w:hAnsi="Barlow Semi Condensed"/>
          <w:sz w:val="24"/>
          <w:szCs w:val="24"/>
        </w:rPr>
        <w:t xml:space="preserve">Il movente ultimo non è accertato. Il terzo livello di responsabilità non è accertato. Nessuna delle omissioni esaminate è qualificata come deliberata. L'identità del mandante del solo atto di interferenza accertato resta ignota.</w:t>
      </w:r>
    </w:p>
    <w:p>
      <w:pPr>
        <w:pStyle w:val="Heading2"/>
        <w:spacing w:after="100" w:before="200"/>
      </w:pPr>
      <w:r>
        <w:rPr>
          <w:rFonts w:ascii="Barlow Semi Condensed" w:cs="Barlow Semi Condensed" w:eastAsia="Barlow Semi Condensed" w:hAnsi="Barlow Semi Condensed"/>
          <w:sz w:val="24"/>
          <w:szCs w:val="24"/>
        </w:rPr>
        <w:t xml:space="preserve">Perché questo non è un fallimento</w:t>
      </w:r>
    </w:p>
    <w:p>
      <w:pPr>
        <w:spacing w:after="120" w:line="276"/>
        <w:jc w:val="both"/>
      </w:pPr>
      <w:r>
        <w:rPr>
          <w:rFonts w:ascii="Barlow Semi Condensed" w:cs="Barlow Semi Condensed" w:eastAsia="Barlow Semi Condensed" w:hAnsi="Barlow Semi Condensed"/>
          <w:sz w:val="24"/>
          <w:szCs w:val="24"/>
        </w:rPr>
        <w:t xml:space="preserve">Un caso nel quale è accertato che furono prodotti falsi, che materiale fu movimentato prima di essere verbalizzato e che una perquisizione risultò incompleta non può produrre, se onestamente ricostruito, un quadro compiuto.</w:t>
      </w:r>
    </w:p>
    <w:p>
      <w:pPr>
        <w:spacing w:after="120" w:line="276"/>
        <w:jc w:val="both"/>
      </w:pPr>
      <w:r>
        <w:rPr>
          <w:rFonts w:ascii="Barlow Semi Condensed" w:cs="Barlow Semi Condensed" w:eastAsia="Barlow Semi Condensed" w:hAnsi="Barlow Semi Condensed"/>
          <w:sz w:val="24"/>
          <w:szCs w:val="24"/>
        </w:rPr>
        <w:t xml:space="preserve">Un quadro compiuto, in un caso siffatto, non sarebbe il segno che la ricerca è riuscita. Sarebbe il segno che il ricercatore ha riempito con la propria immaginazione le lacune che gli erano state preparate — e avrebbe fatto, senza volerlo, esattamente ciò che chi le preparò desiderava: sostituire al vuoto una materia contestabile, rendendo contestabile con essa anche il vuoto.</w:t>
      </w:r>
    </w:p>
    <w:p>
      <w:pPr>
        <w:pStyle w:val="Heading2"/>
        <w:spacing w:after="100" w:before="200"/>
      </w:pPr>
      <w:r>
        <w:rPr>
          <w:rFonts w:ascii="Barlow Semi Condensed" w:cs="Barlow Semi Condensed" w:eastAsia="Barlow Semi Condensed" w:hAnsi="Barlow Semi Condensed"/>
          <w:sz w:val="24"/>
          <w:szCs w:val="24"/>
        </w:rPr>
        <w:t xml:space="preserve">Che cosa dunque l'opera lascia</w:t>
      </w:r>
    </w:p>
    <w:p>
      <w:pPr>
        <w:spacing w:after="120" w:line="276"/>
        <w:jc w:val="both"/>
      </w:pPr>
      <w:r>
        <w:rPr>
          <w:rFonts w:ascii="Barlow Semi Condensed" w:cs="Barlow Semi Condensed" w:eastAsia="Barlow Semi Condensed" w:hAnsi="Barlow Semi Condensed"/>
          <w:sz w:val="24"/>
          <w:szCs w:val="24"/>
        </w:rPr>
        <w:t xml:space="preserve">Lascia una mappa. Di ciò che è accertato, con il grado di ciascuna acquisizione. Di ciò che non lo è, con la condizione del suo scioglimento. Di ciò che manca, con la sede presso la quale cercarlo. E di ciò che l'opera espressamente non sostiene, con la ragione di ciascuna astensione.</w:t>
      </w:r>
    </w:p>
    <w:p>
      <w:pPr>
        <w:spacing w:after="120" w:line="276"/>
        <w:jc w:val="both"/>
      </w:pPr>
      <w:r>
        <w:rPr>
          <w:rFonts w:ascii="Barlow Semi Condensed" w:cs="Barlow Semi Condensed" w:eastAsia="Barlow Semi Condensed" w:hAnsi="Barlow Semi Condensed"/>
          <w:sz w:val="24"/>
          <w:szCs w:val="24"/>
        </w:rPr>
        <w:t xml:space="preserve">È meno di quanto la letteratura su questa materia promette, ed è tutto ciò che gli atti consentono.</w:t>
      </w:r>
    </w:p>
    <w:p>
      <w:pPr>
        <w:pStyle w:val="Heading2"/>
        <w:spacing w:after="100" w:before="200"/>
      </w:pPr>
      <w:r>
        <w:rPr>
          <w:rFonts w:ascii="Barlow Semi Condensed" w:cs="Barlow Semi Condensed" w:eastAsia="Barlow Semi Condensed" w:hAnsi="Barlow Semi Condensed"/>
          <w:sz w:val="24"/>
          <w:szCs w:val="24"/>
        </w:rPr>
        <w:t xml:space="preserve">L'ultima cosa, che non appartiene al metodo</w:t>
      </w:r>
    </w:p>
    <w:p>
      <w:pPr>
        <w:spacing w:after="120" w:line="276"/>
        <w:jc w:val="both"/>
      </w:pPr>
      <w:r>
        <w:rPr>
          <w:rFonts w:ascii="Barlow Semi Condensed" w:cs="Barlow Semi Condensed" w:eastAsia="Barlow Semi Condensed" w:hAnsi="Barlow Semi Condensed"/>
          <w:sz w:val="24"/>
          <w:szCs w:val="24"/>
        </w:rPr>
        <w:t xml:space="preserve">Al centro di questa materia vi è la morte di un uomo, e vi sono le morti di cinque uomini che quella mattina lo accompagnavano al lavoro. La Fase Prima lo ha detto in apertura e conviene ripeterlo in chiusura, perché settanta Capitoli di apparato hanno la capacità di farlo dimenticare.</w:t>
      </w:r>
    </w:p>
    <w:p>
      <w:pPr>
        <w:spacing w:after="120" w:line="276"/>
        <w:jc w:val="both"/>
      </w:pPr>
      <w:r>
        <w:rPr>
          <w:rFonts w:ascii="Barlow Semi Condensed" w:cs="Barlow Semi Condensed" w:eastAsia="Barlow Semi Condensed" w:hAnsi="Barlow Semi Condensed"/>
          <w:sz w:val="24"/>
          <w:szCs w:val="24"/>
        </w:rPr>
        <w:t xml:space="preserve">Oreste Leonardi. Domenico Ricci. Raffaele Iozzino. Giulio Rivera. Francesco Zizzi.</w:t>
      </w:r>
    </w:p>
    <w:p>
      <w:pPr>
        <w:spacing w:after="120" w:line="276"/>
        <w:jc w:val="both"/>
      </w:pPr>
      <w:r>
        <w:rPr>
          <w:rFonts w:ascii="Barlow Semi Condensed" w:cs="Barlow Semi Condensed" w:eastAsia="Barlow Semi Condensed" w:hAnsi="Barlow Semi Condensed"/>
          <w:sz w:val="24"/>
          <w:szCs w:val="24"/>
        </w:rPr>
        <w:t xml:space="preserve">Di loro l'opera ha scritto il nome per intero, in deroga alla propria disciplina di designazione, perché nel loro caso nessuna funzione basta.</w:t>
      </w:r>
    </w:p>
    <w:p>
      <w:pPr>
        <w:spacing w:after="120" w:line="276"/>
        <w:jc w:val="both"/>
      </w:pPr>
      <w:r>
        <w:rPr>
          <w:rFonts w:ascii="Barlow Semi Condensed" w:cs="Barlow Semi Condensed" w:eastAsia="Barlow Semi Condensed" w:hAnsi="Barlow Semi Condensed"/>
          <w:sz w:val="24"/>
          <w:szCs w:val="24"/>
        </w:rPr>
        <w:t xml:space="preserve">E per Aldo Moro l'opera non ha trovato il perché. Lo dichiara qui, in ultimo, senza attenuazioni: dopo quasi cinquant'anni, cinque processi, più commissioni parlamentari e settanta Capitoli, la ragione per la quale quell'uomo fu ucciso non è accertata.</w:t>
      </w:r>
    </w:p>
    <w:p>
      <w:pPr>
        <w:spacing w:after="120" w:line="276"/>
        <w:jc w:val="both"/>
      </w:pPr>
      <w:r>
        <w:rPr>
          <w:rFonts w:ascii="Barlow Semi Condensed" w:cs="Barlow Semi Condensed" w:eastAsia="Barlow Semi Condensed" w:hAnsi="Barlow Semi Condensed"/>
          <w:sz w:val="24"/>
          <w:szCs w:val="24"/>
        </w:rPr>
        <w:t xml:space="preserve">Chi dica il contrario offra le sue carte. L'opera ha detto quali cercare.</w:t>
      </w:r>
    </w:p>
    <w:p>
      <w:pPr>
        <w:pStyle w:val="Heading2"/>
        <w:spacing w:after="100" w:before="200"/>
      </w:pPr>
      <w:r>
        <w:rPr>
          <w:rFonts w:ascii="Barlow Semi Condensed" w:cs="Barlow Semi Condensed" w:eastAsia="Barlow Semi Condensed" w:hAnsi="Barlow Semi Condensed"/>
          <w:sz w:val="24"/>
          <w:szCs w:val="24"/>
        </w:rPr>
        <w:t xml:space="preserve">Colophon</w:t>
      </w:r>
    </w:p>
    <w:p>
      <w:pPr>
        <w:spacing w:after="120" w:line="276"/>
        <w:jc w:val="both"/>
      </w:pPr>
      <w:r>
        <w:rPr>
          <w:rFonts w:ascii="Barlow Semi Condensed" w:cs="Barlow Semi Condensed" w:eastAsia="Barlow Semi Condensed" w:hAnsi="Barlow Semi Condensed"/>
          <w:sz w:val="24"/>
          <w:szCs w:val="24"/>
        </w:rPr>
        <w:t xml:space="preserve">ALDO MORO. IL REGISTRO DEI CINQUANTACINQUE GIORNI. Opera seconda, avviata dal Registro V77. Sette Fasi, settanta Capitoli. Resta sovrana la Regola di Ferro: dove la fonte documenta, l'opera certifica; dove la fonte tace, l'opera indaga e non afferma. Fluido il metodo, ferreo lo standard. Autore e direttore dell'opera: Luigi De Michele.</w:t>
      </w:r>
    </w:p>
    <w:p>
      <w:pPr>
        <w:pStyle w:val="Heading2"/>
        <w:spacing w:after="100" w:before="200"/>
      </w:pPr>
      <w:r>
        <w:rPr>
          <w:rFonts w:ascii="Barlow Semi Condensed" w:cs="Barlow Semi Condensed" w:eastAsia="Barlow Semi Condensed" w:hAnsi="Barlow Semi Condensed"/>
          <w:sz w:val="24"/>
          <w:szCs w:val="24"/>
        </w:rPr>
        <w:t xml:space="preserve">APPENDICE ALLA FASE SETTIMA — TAVOLA ACCRESCIUTA DELLE ACQUISIZIONI NECESSARIE</w:t>
      </w:r>
    </w:p>
    <w:p>
      <w:pPr>
        <w:spacing w:after="120" w:line="276"/>
        <w:jc w:val="both"/>
      </w:pPr>
      <w:r>
        <w:rPr>
          <w:rFonts w:ascii="Barlow Semi Condensed" w:cs="Barlow Semi Condensed" w:eastAsia="Barlow Semi Condensed" w:hAnsi="Barlow Semi Condensed"/>
          <w:sz w:val="24"/>
          <w:szCs w:val="24"/>
        </w:rPr>
        <w:t xml:space="preserve">Diciannove voci, con oggetto, sede, condizione di chiusura e condizione di smentita. Prodotta il 15 agosto 2026 per recepimento della sola parte documentale di una ricognizione operativa esterna. I settanta Capitoli restano settanta.</w:t>
      </w:r>
    </w:p>
    <w:p>
      <w:pPr>
        <w:pStyle w:val="Heading2"/>
        <w:spacing w:after="100" w:before="200"/>
      </w:pPr>
      <w:r>
        <w:rPr>
          <w:rFonts w:ascii="Barlow Semi Condensed" w:cs="Barlow Semi Condensed" w:eastAsia="Barlow Semi Condensed" w:hAnsi="Barlow Semi Condensed"/>
          <w:sz w:val="24"/>
          <w:szCs w:val="24"/>
        </w:rPr>
        <w:t xml:space="preserve">Atto di edizione dell'appendice</w:t>
      </w:r>
    </w:p>
    <w:p>
      <w:pPr>
        <w:spacing w:after="120" w:line="276"/>
        <w:jc w:val="both"/>
      </w:pPr>
      <w:r>
        <w:rPr>
          <w:rFonts w:ascii="Barlow Semi Condensed" w:cs="Barlow Semi Condensed" w:eastAsia="Barlow Semi Condensed" w:hAnsi="Barlow Semi Condensed"/>
          <w:sz w:val="24"/>
          <w:szCs w:val="24"/>
        </w:rPr>
        <w:t xml:space="preserve">La presente è appendice alla Fase Settima e ne accresce il Capitolo sessantanovesimo, dedicato alla tavola delle acquisizioni necessarie e non conseguite. Essa non modifica alcun Capitolo dell'opera e non ne aggiunge di nuovi: i settanta restano settanta.</w:t>
      </w:r>
    </w:p>
    <w:p>
      <w:pPr>
        <w:spacing w:after="120" w:line="276"/>
        <w:jc w:val="both"/>
      </w:pPr>
      <w:r>
        <w:rPr>
          <w:rFonts w:ascii="Barlow Semi Condensed" w:cs="Barlow Semi Condensed" w:eastAsia="Barlow Semi Condensed" w:hAnsi="Barlow Semi Condensed"/>
          <w:sz w:val="24"/>
          <w:szCs w:val="24"/>
        </w:rPr>
        <w:t xml:space="preserve">L'accrescimento discende da una ricognizione condotta il quindici agosto duemilaventisei, la quale ha prodotto un memorandum operativo destinato a chi conduca ricerche archivistiche. Quel memorandum è documento estraneo all'opera e non vi entra. Ne entra qui la sola parte che appartenga al genere dell'opera, ed è la tavola degli obiettivi documentali.</w:t>
      </w:r>
    </w:p>
    <w:p>
      <w:pPr>
        <w:pStyle w:val="Heading2"/>
        <w:spacing w:after="100" w:before="200"/>
      </w:pPr>
      <w:r>
        <w:rPr>
          <w:rFonts w:ascii="Barlow Semi Condensed" w:cs="Barlow Semi Condensed" w:eastAsia="Barlow Semi Condensed" w:hAnsi="Barlow Semi Condensed"/>
          <w:sz w:val="24"/>
          <w:szCs w:val="24"/>
        </w:rPr>
        <w:t xml:space="preserve">Il confine, dichiarato prima di ogni altra cosa</w:t>
      </w:r>
    </w:p>
    <w:p>
      <w:pPr>
        <w:spacing w:after="120" w:line="276"/>
        <w:jc w:val="both"/>
      </w:pPr>
      <w:r>
        <w:rPr>
          <w:rFonts w:ascii="Barlow Semi Condensed" w:cs="Barlow Semi Condensed" w:eastAsia="Barlow Semi Condensed" w:hAnsi="Barlow Semi Condensed"/>
          <w:sz w:val="24"/>
          <w:szCs w:val="24"/>
        </w:rPr>
        <w:t xml:space="preserve">Il memorandum contiene una distribuzione di propensioni soggettive fra scenari alternativi, espressa in percentuali, e una rinormalizzazione di tali propensioni condotta su ordine del committente escludendo uno degli scenari.</w:t>
      </w:r>
    </w:p>
    <w:p>
      <w:pPr>
        <w:spacing w:after="120" w:line="276"/>
        <w:jc w:val="both"/>
      </w:pPr>
      <w:r>
        <w:rPr>
          <w:rFonts w:ascii="Barlow Semi Condensed" w:cs="Barlow Semi Condensed" w:eastAsia="Barlow Semi Condensed" w:hAnsi="Barlow Semi Condensed"/>
          <w:sz w:val="24"/>
          <w:szCs w:val="24"/>
        </w:rPr>
        <w:t xml:space="preserve">Nulla di ciò entra nell'opera, e la ragione va enunciata perché non si tratta di cautela ma di natura.</w:t>
      </w:r>
    </w:p>
    <w:p>
      <w:pPr>
        <w:spacing w:after="120" w:line="276"/>
        <w:jc w:val="both"/>
      </w:pPr>
      <w:r>
        <w:rPr>
          <w:rFonts w:ascii="Barlow Semi Condensed" w:cs="Barlow Semi Condensed" w:eastAsia="Barlow Semi Condensed" w:hAnsi="Barlow Semi Condensed"/>
          <w:sz w:val="24"/>
          <w:szCs w:val="24"/>
        </w:rPr>
        <w:t xml:space="preserve">L'opera non gradua le proprie aspettative. Essa gradua le proposizioni secondo le fonti che le sostengono, e non secondo la fiducia che l'autore ripone in esse. Una percentuale di propensione è una misura dello stato mentale di chi ricerca, non dello stato degli atti; e per quanto onestamente dichiarata, essa non ha alcun posto in un registro che si è dato la regola di non affermare oltre la fonte.</w:t>
      </w:r>
    </w:p>
    <w:p>
      <w:pPr>
        <w:spacing w:after="120" w:line="276"/>
        <w:jc w:val="both"/>
      </w:pPr>
      <w:r>
        <w:rPr>
          <w:rFonts w:ascii="Barlow Semi Condensed" w:cs="Barlow Semi Condensed" w:eastAsia="Barlow Semi Condensed" w:hAnsi="Barlow Semi Condensed"/>
          <w:sz w:val="24"/>
          <w:szCs w:val="24"/>
        </w:rPr>
        <w:t xml:space="preserve">Vi è inoltre una ragione pratica, che l'esperienza di questa materia impone. Una propensione soggettiva pubblicata dentro un'opera documentale viene letta, dal lettore successivo, come una risultanza dell'opera. Essa acquista, per sola collocazione, un'autorità che chi la formulò non intendeva conferirle. È il meccanismo per il quale opinioni prudenti diventano, a distanza di anni, tesi attribuite.</w:t>
      </w:r>
    </w:p>
    <w:p>
      <w:pPr>
        <w:spacing w:after="120" w:line="276"/>
        <w:jc w:val="both"/>
      </w:pPr>
      <w:r>
        <w:rPr>
          <w:rFonts w:ascii="Barlow Semi Condensed" w:cs="Barlow Semi Condensed" w:eastAsia="Barlow Semi Condensed" w:hAnsi="Barlow Semi Condensed"/>
          <w:sz w:val="24"/>
          <w:szCs w:val="24"/>
        </w:rPr>
        <w:t xml:space="preserve">Entrano invece nell'opera gli obiettivi documentali, poiché essi appartengono al genere che l'opera già pratica: la Fase Quinta ne ha iscritti sei, la Fase Settima nove. Un obiettivo documentale non è una convinzione: è l'indicazione di un documento, di una sede e di una procedura, ed è verificabile da chiunque.</w:t>
      </w:r>
    </w:p>
    <w:p>
      <w:pPr>
        <w:pStyle w:val="Heading2"/>
        <w:spacing w:after="100" w:before="200"/>
      </w:pPr>
      <w:r>
        <w:rPr>
          <w:rFonts w:ascii="Barlow Semi Condensed" w:cs="Barlow Semi Condensed" w:eastAsia="Barlow Semi Condensed" w:hAnsi="Barlow Semi Condensed"/>
          <w:sz w:val="24"/>
          <w:szCs w:val="24"/>
        </w:rPr>
        <w:t xml:space="preserve">La tavola accresciuta</w:t>
      </w:r>
    </w:p>
    <w:p>
      <w:pPr>
        <w:spacing w:after="120" w:line="276"/>
        <w:jc w:val="both"/>
      </w:pPr>
      <w:r>
        <w:rPr>
          <w:rFonts w:ascii="Barlow Semi Condensed" w:cs="Barlow Semi Condensed" w:eastAsia="Barlow Semi Condensed" w:hAnsi="Barlow Semi Condensed"/>
          <w:sz w:val="24"/>
          <w:szCs w:val="24"/>
        </w:rPr>
        <w:t xml:space="preserve">Si riporta la tavola nella sua estensione attuale. Le voci dalla prima alla nona sono quelle già iscritte al Capitolo sessantanovesimo e sono qui ripetute per intero, poiché la cumulatività preservativa vieta il rinvio abbreviato in materia di lacune: chi legga la tavola deve trovarla completa nel luogo in cui la trova. Le voci dalla decima alla diciannovesima sono nuove.</w:t>
      </w:r>
    </w:p>
    <w:p>
      <w:pPr>
        <w:spacing w:after="120" w:line="276"/>
        <w:jc w:val="both"/>
      </w:pPr>
      <w:r>
        <w:rPr>
          <w:rFonts w:ascii="Barlow Semi Condensed" w:cs="Barlow Semi Condensed" w:eastAsia="Barlow Semi Condensed" w:hAnsi="Barlow Semi Condensed"/>
          <w:sz w:val="24"/>
          <w:szCs w:val="24"/>
        </w:rPr>
        <w:t xml:space="preserve">Per ciascuna voce si indicano l'oggetto, la sede e la condizione della sua chiusura. Per le voci nuove si indica altresì, ove ricorra, la condizione della sua smentita, secondo la disciplina che impone di dichiarare in anticipo che cosa costituirebbe esito contrario.</w:t>
      </w:r>
    </w:p>
    <w:p>
      <w:pPr>
        <w:pStyle w:val="Heading2"/>
        <w:spacing w:after="100" w:before="200"/>
      </w:pPr>
      <w:r>
        <w:rPr>
          <w:rFonts w:ascii="Barlow Semi Condensed" w:cs="Barlow Semi Condensed" w:eastAsia="Barlow Semi Condensed" w:hAnsi="Barlow Semi Condensed"/>
          <w:sz w:val="24"/>
          <w:szCs w:val="24"/>
        </w:rPr>
        <w:t xml:space="preserve">Voce prima — I verbali della perquisizione dell'ottobre 1978</w:t>
      </w:r>
    </w:p>
    <w:p>
      <w:pPr>
        <w:spacing w:after="120" w:line="276"/>
        <w:jc w:val="both"/>
      </w:pPr>
      <w:r>
        <w:rPr>
          <w:rFonts w:ascii="Barlow Semi Condensed" w:cs="Barlow Semi Condensed" w:eastAsia="Barlow Semi Condensed" w:hAnsi="Barlow Semi Condensed"/>
          <w:sz w:val="24"/>
          <w:szCs w:val="24"/>
        </w:rPr>
        <w:t xml:space="preserve">Verbali, rilievi, descrizione delle modalità e degli strumenti impiegati, confrontati con quelli del secondo rinvenimento del 1990. Sede: archivio del tribunale competente per territorio.</w:t>
      </w:r>
    </w:p>
    <w:p>
      <w:pPr>
        <w:spacing w:after="120" w:line="276"/>
        <w:jc w:val="both"/>
      </w:pPr>
      <w:r>
        <w:rPr>
          <w:rFonts w:ascii="Barlow Semi Condensed" w:cs="Barlow Semi Condensed" w:eastAsia="Barlow Semi Condensed" w:hAnsi="Barlow Semi Condensed"/>
          <w:sz w:val="24"/>
          <w:szCs w:val="24"/>
        </w:rPr>
        <w:t xml:space="preserve">È la sola voce della tavola per la quale la via di discriminazione sia indicata con precisione: due delle tre spiegazioni dell'incompletezza predicono che la documentazione non rechi menzione di esame delle strutture murarie; la terza predice il contrario.</w:t>
      </w:r>
    </w:p>
    <w:p>
      <w:pPr>
        <w:pStyle w:val="Heading2"/>
        <w:spacing w:after="100" w:before="200"/>
      </w:pPr>
      <w:r>
        <w:rPr>
          <w:rFonts w:ascii="Barlow Semi Condensed" w:cs="Barlow Semi Condensed" w:eastAsia="Barlow Semi Condensed" w:hAnsi="Barlow Semi Condensed"/>
          <w:sz w:val="24"/>
          <w:szCs w:val="24"/>
        </w:rPr>
        <w:t xml:space="preserve">Voce seconda — Gli atti sull'indicazione toponomastica</w:t>
      </w:r>
    </w:p>
    <w:p>
      <w:pPr>
        <w:spacing w:after="120" w:line="276"/>
        <w:jc w:val="both"/>
      </w:pPr>
      <w:r>
        <w:rPr>
          <w:rFonts w:ascii="Barlow Semi Condensed" w:cs="Barlow Semi Condensed" w:eastAsia="Barlow Semi Condensed" w:hAnsi="Barlow Semi Condensed"/>
          <w:sz w:val="24"/>
          <w:szCs w:val="24"/>
        </w:rPr>
        <w:t xml:space="preserve">Ricezione, valutazione, decisione sulla destinazione delle ricerche, e documentazione dei flussi informativi fra gli uffici coinvolti nel periodo.</w:t>
      </w:r>
    </w:p>
    <w:p>
      <w:pPr>
        <w:pStyle w:val="Heading2"/>
        <w:spacing w:after="100" w:before="200"/>
      </w:pPr>
      <w:r>
        <w:rPr>
          <w:rFonts w:ascii="Barlow Semi Condensed" w:cs="Barlow Semi Condensed" w:eastAsia="Barlow Semi Condensed" w:hAnsi="Barlow Semi Condensed"/>
          <w:sz w:val="24"/>
          <w:szCs w:val="24"/>
        </w:rPr>
        <w:t xml:space="preserve">Voce terza — Le direttive dei controlli</w:t>
      </w:r>
    </w:p>
    <w:p>
      <w:pPr>
        <w:spacing w:after="120" w:line="276"/>
        <w:jc w:val="both"/>
      </w:pPr>
      <w:r>
        <w:rPr>
          <w:rFonts w:ascii="Barlow Semi Condensed" w:cs="Barlow Semi Condensed" w:eastAsia="Barlow Semi Condensed" w:hAnsi="Barlow Semi Condensed"/>
          <w:sz w:val="24"/>
          <w:szCs w:val="24"/>
        </w:rPr>
        <w:t xml:space="preserve">Le direttive impartite per i controlli generalizzati e la documentazione del controllo effettuato nella via poi risultata sede di una base. Senza di esse il test si arresta al secondo tempo, non potendosi distinguere l'inadempimento dall'insuccesso.</w:t>
      </w:r>
    </w:p>
    <w:p>
      <w:pPr>
        <w:pStyle w:val="Heading2"/>
        <w:spacing w:after="100" w:before="200"/>
      </w:pPr>
      <w:r>
        <w:rPr>
          <w:rFonts w:ascii="Barlow Semi Condensed" w:cs="Barlow Semi Condensed" w:eastAsia="Barlow Semi Condensed" w:hAnsi="Barlow Semi Condensed"/>
          <w:sz w:val="24"/>
          <w:szCs w:val="24"/>
        </w:rPr>
        <w:t xml:space="preserve">Voce quarta — La documentazione analitica della ricerca</w:t>
      </w:r>
    </w:p>
    <w:p>
      <w:pPr>
        <w:spacing w:after="120" w:line="276"/>
        <w:jc w:val="both"/>
      </w:pPr>
      <w:r>
        <w:rPr>
          <w:rFonts w:ascii="Barlow Semi Condensed" w:cs="Barlow Semi Condensed" w:eastAsia="Barlow Semi Condensed" w:hAnsi="Barlow Semi Condensed"/>
          <w:sz w:val="24"/>
          <w:szCs w:val="24"/>
        </w:rPr>
        <w:t xml:space="preserve">Zone controllate, modalità, criteri di selezione e motivazione delle esclusioni durante i cinquantacinque giorni. È l'acquisizione che colmerebbe il difetto di termine di riferimento.</w:t>
      </w:r>
    </w:p>
    <w:p>
      <w:pPr>
        <w:pStyle w:val="Heading2"/>
        <w:spacing w:after="100" w:before="200"/>
      </w:pPr>
      <w:r>
        <w:rPr>
          <w:rFonts w:ascii="Barlow Semi Condensed" w:cs="Barlow Semi Condensed" w:eastAsia="Barlow Semi Condensed" w:hAnsi="Barlow Semi Condensed"/>
          <w:sz w:val="24"/>
          <w:szCs w:val="24"/>
        </w:rPr>
        <w:t xml:space="preserve">Voce quinta — Le due vie comparative</w:t>
      </w:r>
    </w:p>
    <w:p>
      <w:pPr>
        <w:spacing w:after="120" w:line="276"/>
        <w:jc w:val="both"/>
      </w:pPr>
      <w:r>
        <w:rPr>
          <w:rFonts w:ascii="Barlow Semi Condensed" w:cs="Barlow Semi Condensed" w:eastAsia="Barlow Semi Condensed" w:hAnsi="Barlow Semi Condensed"/>
          <w:sz w:val="24"/>
          <w:szCs w:val="24"/>
        </w:rPr>
        <w:t xml:space="preserve">Documentazione idonea alla comparazione con operazioni analoghe dei medesimi uffici nel medesimo biennio, e comparazione interna fra adempimenti diligenti e non diligenti entro la medesima operazione.</w:t>
      </w:r>
    </w:p>
    <w:p>
      <w:pPr>
        <w:spacing w:after="120" w:line="276"/>
        <w:jc w:val="both"/>
      </w:pPr>
      <w:r>
        <w:rPr>
          <w:rFonts w:ascii="Barlow Semi Condensed" w:cs="Barlow Semi Condensed" w:eastAsia="Barlow Semi Condensed" w:hAnsi="Barlow Semi Condensed"/>
          <w:sz w:val="24"/>
          <w:szCs w:val="24"/>
        </w:rPr>
        <w:t xml:space="preserve">Si segnala che questa voce ha assunto, nella ricognizione successiva, rango superiore a quello che le fu attribuito. Essa è oggi da ritenersi la voce dalla quale dipende l'intera valutazione delle omissioni: finché non è conseguita, la questione se gli inadempimenti riscontrati siano ordinari o anomali resta indecidibile, e ogni discussione su di essa è contrapposizione di impressioni.</w:t>
      </w:r>
    </w:p>
    <w:p>
      <w:pPr>
        <w:pStyle w:val="Heading2"/>
        <w:spacing w:after="100" w:before="200"/>
      </w:pPr>
      <w:r>
        <w:rPr>
          <w:rFonts w:ascii="Barlow Semi Condensed" w:cs="Barlow Semi Condensed" w:eastAsia="Barlow Semi Condensed" w:hAnsi="Barlow Semi Condensed"/>
          <w:sz w:val="24"/>
          <w:szCs w:val="24"/>
        </w:rPr>
        <w:t xml:space="preserve">Voce sesta — L'esame materiale del documento apocrifo</w:t>
      </w:r>
    </w:p>
    <w:p>
      <w:pPr>
        <w:spacing w:after="120" w:line="276"/>
        <w:jc w:val="both"/>
      </w:pPr>
      <w:r>
        <w:rPr>
          <w:rFonts w:ascii="Barlow Semi Condensed" w:cs="Barlow Semi Condensed" w:eastAsia="Barlow Semi Condensed" w:hAnsi="Barlow Semi Condensed"/>
          <w:sz w:val="24"/>
          <w:szCs w:val="24"/>
        </w:rPr>
        <w:t xml:space="preserve">Supporto, mezzo di scrittura, modalità di confezione, confrontati con quelli dei documenti autentici e con le disponibilità dei diversi ambienti; documentazione della via e dei tempi di immissione; atti degli accertamenti condotti all'epoca sulla provenienza.</w:t>
      </w:r>
    </w:p>
    <w:p>
      <w:pPr>
        <w:pStyle w:val="Heading2"/>
        <w:spacing w:after="100" w:before="200"/>
      </w:pPr>
      <w:r>
        <w:rPr>
          <w:rFonts w:ascii="Barlow Semi Condensed" w:cs="Barlow Semi Condensed" w:eastAsia="Barlow Semi Condensed" w:hAnsi="Barlow Semi Condensed"/>
          <w:sz w:val="24"/>
          <w:szCs w:val="24"/>
        </w:rPr>
        <w:t xml:space="preserve">Voce settima — La verifica genealogica delle fonti</w:t>
      </w:r>
    </w:p>
    <w:p>
      <w:pPr>
        <w:spacing w:after="120" w:line="276"/>
        <w:jc w:val="both"/>
      </w:pPr>
      <w:r>
        <w:rPr>
          <w:rFonts w:ascii="Barlow Semi Condensed" w:cs="Barlow Semi Condensed" w:eastAsia="Barlow Semi Condensed" w:hAnsi="Barlow Semi Condensed"/>
          <w:sz w:val="24"/>
          <w:szCs w:val="24"/>
        </w:rPr>
        <w:t xml:space="preserve">Risalita di ciascuna fonte al proprio evento originario, per stabilire quante catene realmente indipendenti sussistano. È condizione preliminare di qualunque computo di convergenza.</w:t>
      </w:r>
    </w:p>
    <w:p>
      <w:pPr>
        <w:pStyle w:val="Heading2"/>
        <w:spacing w:after="100" w:before="200"/>
      </w:pPr>
      <w:r>
        <w:rPr>
          <w:rFonts w:ascii="Barlow Semi Condensed" w:cs="Barlow Semi Condensed" w:eastAsia="Barlow Semi Condensed" w:hAnsi="Barlow Semi Condensed"/>
          <w:sz w:val="24"/>
          <w:szCs w:val="24"/>
        </w:rPr>
        <w:t xml:space="preserve">Voce ottava — Le direttrici dichiarate aperte</w:t>
      </w:r>
    </w:p>
    <w:p>
      <w:pPr>
        <w:spacing w:after="120" w:line="276"/>
        <w:jc w:val="both"/>
      </w:pPr>
      <w:r>
        <w:rPr>
          <w:rFonts w:ascii="Barlow Semi Condensed" w:cs="Barlow Semi Condensed" w:eastAsia="Barlow Semi Condensed" w:hAnsi="Barlow Semi Condensed"/>
          <w:sz w:val="24"/>
          <w:szCs w:val="24"/>
        </w:rPr>
        <w:t xml:space="preserve">Cinque unità documentali presso un archivio storico parlamentare, fra le quali un supporto fonico di audizioni; cinque protocolli di due servizi informativi relativi ai giorni immediatamente anteriori ai fatti; tre protocolli relativi a una pratica del maggio-settembre 1978; l'identificazione di una seconda funzione di interpretariato; due edizioni critiche non possedute; tredici archivi remoti non trasferibili con gli strumenti impiegati.</w:t>
      </w:r>
    </w:p>
    <w:p>
      <w:pPr>
        <w:pStyle w:val="Heading2"/>
        <w:spacing w:after="100" w:before="200"/>
      </w:pPr>
      <w:r>
        <w:rPr>
          <w:rFonts w:ascii="Barlow Semi Condensed" w:cs="Barlow Semi Condensed" w:eastAsia="Barlow Semi Condensed" w:hAnsi="Barlow Semi Condensed"/>
          <w:sz w:val="24"/>
          <w:szCs w:val="24"/>
        </w:rPr>
        <w:t xml:space="preserve">Voce nona — Il repertorio delle denominazioni</w:t>
      </w:r>
    </w:p>
    <w:p>
      <w:pPr>
        <w:spacing w:after="120" w:line="276"/>
        <w:jc w:val="both"/>
      </w:pPr>
      <w:r>
        <w:rPr>
          <w:rFonts w:ascii="Barlow Semi Condensed" w:cs="Barlow Semi Condensed" w:eastAsia="Barlow Semi Condensed" w:hAnsi="Barlow Semi Condensed"/>
          <w:sz w:val="24"/>
          <w:szCs w:val="24"/>
        </w:rPr>
        <w:t xml:space="preserve">Compilazione del repertorio delle denominazioni delle regole e delle figure dell'opera anteriore, per chiudere lo Stato Zero sulle due misure di consistenza rimaste non verificate.</w:t>
      </w:r>
    </w:p>
    <w:p>
      <w:pPr>
        <w:pStyle w:val="Heading2"/>
        <w:spacing w:after="100" w:before="200"/>
      </w:pPr>
      <w:r>
        <w:rPr>
          <w:rFonts w:ascii="Barlow Semi Condensed" w:cs="Barlow Semi Condensed" w:eastAsia="Barlow Semi Condensed" w:hAnsi="Barlow Semi Condensed"/>
          <w:sz w:val="24"/>
          <w:szCs w:val="24"/>
        </w:rPr>
        <w:t xml:space="preserve">Voce decima — Il documento cifrato del diciassette febbraio 1978</w:t>
      </w:r>
    </w:p>
    <w:p>
      <w:pPr>
        <w:spacing w:after="120" w:line="276"/>
        <w:jc w:val="both"/>
      </w:pPr>
      <w:r>
        <w:rPr>
          <w:rFonts w:ascii="Barlow Semi Condensed" w:cs="Barlow Semi Condensed" w:eastAsia="Barlow Semi Condensed" w:hAnsi="Barlow Semi Condensed"/>
          <w:sz w:val="24"/>
          <w:szCs w:val="24"/>
        </w:rPr>
        <w:t xml:space="preserve">Oggetto: un documento datato un mese anteriore ai fatti, proveniente da fonte cifrata la cui identità è stata sciolta, rintracciato da una Commissione parlamentare. Sede: archivio storico della Camera dei deputati, fondi della Commissione che lo rintracciò.</w:t>
      </w:r>
    </w:p>
    <w:p>
      <w:pPr>
        <w:spacing w:after="120" w:line="276"/>
        <w:jc w:val="both"/>
      </w:pPr>
      <w:r>
        <w:rPr>
          <w:rFonts w:ascii="Barlow Semi Condensed" w:cs="Barlow Semi Condensed" w:eastAsia="Barlow Semi Condensed" w:hAnsi="Barlow Semi Condensed"/>
          <w:sz w:val="24"/>
          <w:szCs w:val="24"/>
        </w:rPr>
        <w:t xml:space="preserve">Chiusura: acquisizione del testo integrale, dei destinatari italiani, del protocollo di ricezione, e degli atti che ne documentino la trasmissione, la valutazione o l'archiviazione.</w:t>
      </w:r>
    </w:p>
    <w:p>
      <w:pPr>
        <w:spacing w:after="120" w:line="276"/>
        <w:jc w:val="both"/>
      </w:pPr>
      <w:r>
        <w:rPr>
          <w:rFonts w:ascii="Barlow Semi Condensed" w:cs="Barlow Semi Condensed" w:eastAsia="Barlow Semi Condensed" w:hAnsi="Barlow Semi Condensed"/>
          <w:sz w:val="24"/>
          <w:szCs w:val="24"/>
        </w:rPr>
        <w:t xml:space="preserve">Smentita: contenuto generico, del genere che i canali informativi producono in quantità; ovvero presenza regolare degli atti di trasmissione conseguenti.</w:t>
      </w:r>
    </w:p>
    <w:p>
      <w:pPr>
        <w:pStyle w:val="Heading2"/>
        <w:spacing w:after="100" w:before="200"/>
      </w:pPr>
      <w:r>
        <w:rPr>
          <w:rFonts w:ascii="Barlow Semi Condensed" w:cs="Barlow Semi Condensed" w:eastAsia="Barlow Semi Condensed" w:hAnsi="Barlow Semi Condensed"/>
          <w:sz w:val="24"/>
          <w:szCs w:val="24"/>
        </w:rPr>
        <w:t xml:space="preserve">Voce undicesima — I flussi informativi dei cinquantacinque giorni</w:t>
      </w:r>
    </w:p>
    <w:p>
      <w:pPr>
        <w:spacing w:after="120" w:line="276"/>
        <w:jc w:val="both"/>
      </w:pPr>
      <w:r>
        <w:rPr>
          <w:rFonts w:ascii="Barlow Semi Condensed" w:cs="Barlow Semi Condensed" w:eastAsia="Barlow Semi Condensed" w:hAnsi="Barlow Semi Condensed"/>
          <w:sz w:val="24"/>
          <w:szCs w:val="24"/>
        </w:rPr>
        <w:t xml:space="preserve">Oggetto: non i contenuti delle informazioni ma la loro circolazione; quali trasmissioni risultino agli atti e quali no. Sede: registri di protocollo in entrata e in uscita degli uffici coinvolti, per il periodo dei fatti e per il mese successivo.</w:t>
      </w:r>
    </w:p>
    <w:p>
      <w:pPr>
        <w:spacing w:after="120" w:line="276"/>
        <w:jc w:val="both"/>
      </w:pPr>
      <w:r>
        <w:rPr>
          <w:rFonts w:ascii="Barlow Semi Condensed" w:cs="Barlow Semi Condensed" w:eastAsia="Barlow Semi Condensed" w:hAnsi="Barlow Semi Condensed"/>
          <w:sz w:val="24"/>
          <w:szCs w:val="24"/>
        </w:rPr>
        <w:t xml:space="preserve">Chiusura: individuazione di atti entrati in un ufficio e non usciti, in assenza di annotazione che ne dia ragione.</w:t>
      </w:r>
    </w:p>
    <w:p>
      <w:pPr>
        <w:spacing w:after="120" w:line="276"/>
        <w:jc w:val="both"/>
      </w:pPr>
      <w:r>
        <w:rPr>
          <w:rFonts w:ascii="Barlow Semi Condensed" w:cs="Barlow Semi Condensed" w:eastAsia="Barlow Semi Condensed" w:hAnsi="Barlow Semi Condensed"/>
          <w:sz w:val="24"/>
          <w:szCs w:val="24"/>
        </w:rPr>
        <w:t xml:space="preserve">Smentita: rinvenimento degli atti di trasmissione, ovvero constatazione che il flusso non fosse dovuto.</w:t>
      </w:r>
    </w:p>
    <w:p>
      <w:pPr>
        <w:pStyle w:val="Heading2"/>
        <w:spacing w:after="100" w:before="200"/>
      </w:pPr>
      <w:r>
        <w:rPr>
          <w:rFonts w:ascii="Barlow Semi Condensed" w:cs="Barlow Semi Condensed" w:eastAsia="Barlow Semi Condensed" w:hAnsi="Barlow Semi Condensed"/>
          <w:sz w:val="24"/>
          <w:szCs w:val="24"/>
        </w:rPr>
        <w:t xml:space="preserve">Voce dodicesima — Il registro delle segnalazioni archiviate</w:t>
      </w:r>
    </w:p>
    <w:p>
      <w:pPr>
        <w:spacing w:after="120" w:line="276"/>
        <w:jc w:val="both"/>
      </w:pPr>
      <w:r>
        <w:rPr>
          <w:rFonts w:ascii="Barlow Semi Condensed" w:cs="Barlow Semi Condensed" w:eastAsia="Barlow Semi Condensed" w:hAnsi="Barlow Semi Condensed"/>
          <w:sz w:val="24"/>
          <w:szCs w:val="24"/>
        </w:rPr>
        <w:t xml:space="preserve">Oggetto: il rapporto fra segnalazioni verificate e segnalazioni archiviate senza verifica, e l'autorità che dispose l'archiviazione. Sede: uffici che raccoglievano le segnalazioni.</w:t>
      </w:r>
    </w:p>
    <w:p>
      <w:pPr>
        <w:spacing w:after="120" w:line="276"/>
        <w:jc w:val="both"/>
      </w:pPr>
      <w:r>
        <w:rPr>
          <w:rFonts w:ascii="Barlow Semi Condensed" w:cs="Barlow Semi Condensed" w:eastAsia="Barlow Semi Condensed" w:hAnsi="Barlow Semi Condensed"/>
          <w:sz w:val="24"/>
          <w:szCs w:val="24"/>
        </w:rPr>
        <w:t xml:space="preserve">Chiusura: accertamento della distribuzione delle archiviazioni.</w:t>
      </w:r>
    </w:p>
    <w:p>
      <w:pPr>
        <w:spacing w:after="120" w:line="276"/>
        <w:jc w:val="both"/>
      </w:pPr>
      <w:r>
        <w:rPr>
          <w:rFonts w:ascii="Barlow Semi Condensed" w:cs="Barlow Semi Condensed" w:eastAsia="Barlow Semi Condensed" w:hAnsi="Barlow Semi Condensed"/>
          <w:sz w:val="24"/>
          <w:szCs w:val="24"/>
        </w:rPr>
        <w:t xml:space="preserve">Smentita: distribuzione proporzionata al volume e alla qualità delle segnalazioni ricevute.</w:t>
      </w:r>
    </w:p>
    <w:p>
      <w:pPr>
        <w:pStyle w:val="Heading2"/>
        <w:spacing w:after="100" w:before="200"/>
      </w:pPr>
      <w:r>
        <w:rPr>
          <w:rFonts w:ascii="Barlow Semi Condensed" w:cs="Barlow Semi Condensed" w:eastAsia="Barlow Semi Condensed" w:hAnsi="Barlow Semi Condensed"/>
          <w:sz w:val="24"/>
          <w:szCs w:val="24"/>
        </w:rPr>
        <w:t xml:space="preserve">Voce tredicesima — Il biglietto di via Gradoli</w:t>
      </w:r>
    </w:p>
    <w:p>
      <w:pPr>
        <w:spacing w:after="120" w:line="276"/>
        <w:jc w:val="both"/>
      </w:pPr>
      <w:r>
        <w:rPr>
          <w:rFonts w:ascii="Barlow Semi Condensed" w:cs="Barlow Semi Condensed" w:eastAsia="Barlow Semi Condensed" w:hAnsi="Barlow Semi Condensed"/>
          <w:sz w:val="24"/>
          <w:szCs w:val="24"/>
        </w:rPr>
        <w:t xml:space="preserve">Oggetto: identità del funzionario destinatario, ufficio di appartenenza, registro di corrispondenza del periodo. Sede: ufficio di servizio del funzionario; atti del procedimento nel quale la circostanza fu riferita.</w:t>
      </w:r>
    </w:p>
    <w:p>
      <w:pPr>
        <w:spacing w:after="120" w:line="276"/>
        <w:jc w:val="both"/>
      </w:pPr>
      <w:r>
        <w:rPr>
          <w:rFonts w:ascii="Barlow Semi Condensed" w:cs="Barlow Semi Condensed" w:eastAsia="Barlow Semi Condensed" w:hAnsi="Barlow Semi Condensed"/>
          <w:sz w:val="24"/>
          <w:szCs w:val="24"/>
        </w:rPr>
        <w:t xml:space="preserve">Chiusura: qualunque elemento documentale che muova la questione, oggi ferma allo stallo fra due dichiarazioni opposte.</w:t>
      </w:r>
    </w:p>
    <w:p>
      <w:pPr>
        <w:spacing w:after="120" w:line="276"/>
        <w:jc w:val="both"/>
      </w:pPr>
      <w:r>
        <w:rPr>
          <w:rFonts w:ascii="Barlow Semi Condensed" w:cs="Barlow Semi Condensed" w:eastAsia="Barlow Semi Condensed" w:hAnsi="Barlow Semi Condensed"/>
          <w:sz w:val="24"/>
          <w:szCs w:val="24"/>
        </w:rPr>
        <w:t xml:space="preserve">Smentita: elementi che qualifichino la testimonianza come deformata da narrazioni successive, ipotesi sostenuta da ricercatori che hanno riletto le carte e non verificata.</w:t>
      </w:r>
    </w:p>
    <w:p>
      <w:pPr>
        <w:pStyle w:val="Heading2"/>
        <w:spacing w:after="100" w:before="200"/>
      </w:pPr>
      <w:r>
        <w:rPr>
          <w:rFonts w:ascii="Barlow Semi Condensed" w:cs="Barlow Semi Condensed" w:eastAsia="Barlow Semi Condensed" w:hAnsi="Barlow Semi Condensed"/>
          <w:sz w:val="24"/>
          <w:szCs w:val="24"/>
        </w:rPr>
        <w:t xml:space="preserve">Voce quattordicesima — Le fonti confidenziali attive nel marzo 1978</w:t>
      </w:r>
    </w:p>
    <w:p>
      <w:pPr>
        <w:spacing w:after="120" w:line="276"/>
        <w:jc w:val="both"/>
      </w:pPr>
      <w:r>
        <w:rPr>
          <w:rFonts w:ascii="Barlow Semi Condensed" w:cs="Barlow Semi Condensed" w:eastAsia="Barlow Semi Condensed" w:hAnsi="Barlow Semi Condensed"/>
          <w:sz w:val="24"/>
          <w:szCs w:val="24"/>
        </w:rPr>
        <w:t xml:space="preserve">Oggetto: esistenza di una gestione di fonti nel periodo dei fatti, e destinazione delle informazioni da esse provenienti. Sede: archivi delle divisioni che trattavano le fonti; registri dei compensi, che sopravvivono là dove i fascicoli non sopravvivono.</w:t>
      </w:r>
    </w:p>
    <w:p>
      <w:pPr>
        <w:spacing w:after="120" w:line="276"/>
        <w:jc w:val="both"/>
      </w:pPr>
      <w:r>
        <w:rPr>
          <w:rFonts w:ascii="Barlow Semi Condensed" w:cs="Barlow Semi Condensed" w:eastAsia="Barlow Semi Condensed" w:hAnsi="Barlow Semi Condensed"/>
          <w:sz w:val="24"/>
          <w:szCs w:val="24"/>
        </w:rPr>
        <w:t xml:space="preserve">Chiusura: accertamento dell'esistenza della gestione e della trasmissione o mancata trasmissione delle informazioni.</w:t>
      </w:r>
    </w:p>
    <w:p>
      <w:pPr>
        <w:spacing w:after="120" w:line="276"/>
        <w:jc w:val="both"/>
      </w:pPr>
      <w:r>
        <w:rPr>
          <w:rFonts w:ascii="Barlow Semi Condensed" w:cs="Barlow Semi Condensed" w:eastAsia="Barlow Semi Condensed" w:hAnsi="Barlow Semi Condensed"/>
          <w:sz w:val="24"/>
          <w:szCs w:val="24"/>
        </w:rPr>
        <w:t xml:space="preserve">Smentita: assenza di gestione nel periodo, ovvero regolarità della trasmissione.</w:t>
      </w:r>
    </w:p>
    <w:p>
      <w:pPr>
        <w:pStyle w:val="Heading2"/>
        <w:spacing w:after="100" w:before="200"/>
      </w:pPr>
      <w:r>
        <w:rPr>
          <w:rFonts w:ascii="Barlow Semi Condensed" w:cs="Barlow Semi Condensed" w:eastAsia="Barlow Semi Condensed" w:hAnsi="Barlow Semi Condensed"/>
          <w:sz w:val="24"/>
          <w:szCs w:val="24"/>
        </w:rPr>
        <w:t xml:space="preserve">Voce quindicesima — I documenti rinvenuti a Dusseldorf</w:t>
      </w:r>
    </w:p>
    <w:p>
      <w:pPr>
        <w:spacing w:after="120" w:line="276"/>
        <w:jc w:val="both"/>
      </w:pPr>
      <w:r>
        <w:rPr>
          <w:rFonts w:ascii="Barlow Semi Condensed" w:cs="Barlow Semi Condensed" w:eastAsia="Barlow Semi Condensed" w:hAnsi="Barlow Semi Condensed"/>
          <w:sz w:val="24"/>
          <w:szCs w:val="24"/>
        </w:rPr>
        <w:t xml:space="preserve">Oggetto: i documenti attestanti i contatti fra le due organizzazioni, rinvenuti sul corpo di un militante tedesco ucciso nel 1978, e i verbali relativi ai suoi movimenti in Italia nei mesi anteriori. Sede: archivi della polizia federale tedesca e della magistratura competente.</w:t>
      </w:r>
    </w:p>
    <w:p>
      <w:pPr>
        <w:spacing w:after="120" w:line="276"/>
        <w:jc w:val="both"/>
      </w:pPr>
      <w:r>
        <w:rPr>
          <w:rFonts w:ascii="Barlow Semi Condensed" w:cs="Barlow Semi Condensed" w:eastAsia="Barlow Semi Condensed" w:hAnsi="Barlow Semi Condensed"/>
          <w:sz w:val="24"/>
          <w:szCs w:val="24"/>
        </w:rPr>
        <w:t xml:space="preserve">Chiusura: acquisizione dei documenti e dei verbali di sorveglianza.</w:t>
      </w:r>
    </w:p>
    <w:p>
      <w:pPr>
        <w:spacing w:after="120" w:line="276"/>
        <w:jc w:val="both"/>
      </w:pPr>
      <w:r>
        <w:rPr>
          <w:rFonts w:ascii="Barlow Semi Condensed" w:cs="Barlow Semi Condensed" w:eastAsia="Barlow Semi Condensed" w:hAnsi="Barlow Semi Condensed"/>
          <w:sz w:val="24"/>
          <w:szCs w:val="24"/>
        </w:rPr>
        <w:t xml:space="preserve">Smentita: assenza di sorveglianza sui viaggi italiani.</w:t>
      </w:r>
    </w:p>
    <w:p>
      <w:pPr>
        <w:spacing w:after="120" w:line="276"/>
        <w:jc w:val="both"/>
      </w:pPr>
      <w:r>
        <w:rPr>
          <w:rFonts w:ascii="Barlow Semi Condensed" w:cs="Barlow Semi Condensed" w:eastAsia="Barlow Semi Condensed" w:hAnsi="Barlow Semi Condensed"/>
          <w:sz w:val="24"/>
          <w:szCs w:val="24"/>
        </w:rPr>
        <w:t xml:space="preserve">Si segnala che questo è l'arco internazionale meglio documentato dell'intera vicenda ed è fra i meno battuti.</w:t>
      </w:r>
    </w:p>
    <w:p>
      <w:pPr>
        <w:pStyle w:val="Heading2"/>
        <w:spacing w:after="100" w:before="200"/>
      </w:pPr>
      <w:r>
        <w:rPr>
          <w:rFonts w:ascii="Barlow Semi Condensed" w:cs="Barlow Semi Condensed" w:eastAsia="Barlow Semi Condensed" w:hAnsi="Barlow Semi Condensed"/>
          <w:sz w:val="24"/>
          <w:szCs w:val="24"/>
        </w:rPr>
        <w:t xml:space="preserve">Voce sedicesima — Il trattamento del comprimario dell'autore del falso</w:t>
      </w:r>
    </w:p>
    <w:p>
      <w:pPr>
        <w:spacing w:after="120" w:line="276"/>
        <w:jc w:val="both"/>
      </w:pPr>
      <w:r>
        <w:rPr>
          <w:rFonts w:ascii="Barlow Semi Condensed" w:cs="Barlow Semi Condensed" w:eastAsia="Barlow Semi Condensed" w:hAnsi="Barlow Semi Condensed"/>
          <w:sz w:val="24"/>
          <w:szCs w:val="24"/>
        </w:rPr>
        <w:t xml:space="preserve">Oggetto: quale ufficio trattasse come fonte confidenziale il comprimario dell'autore del documento apocrifo, qualificato negli atti come confidente anche a significativi livelli. Sede: archivi delle divisioni che trattavano le fonti; annotazioni di servizio.</w:t>
      </w:r>
    </w:p>
    <w:p>
      <w:pPr>
        <w:spacing w:after="120" w:line="276"/>
        <w:jc w:val="both"/>
      </w:pPr>
      <w:r>
        <w:rPr>
          <w:rFonts w:ascii="Barlow Semi Condensed" w:cs="Barlow Semi Condensed" w:eastAsia="Barlow Semi Condensed" w:hAnsi="Barlow Semi Condensed"/>
          <w:sz w:val="24"/>
          <w:szCs w:val="24"/>
        </w:rPr>
        <w:t xml:space="preserve">Chiusura: accertamento della relazione fiduciaria e della sua epoca. Si precisa che rilevano le annotazioni del 1978 e del 1979, e non quelle successive al 1984, quando la vicenda era già emersa e le annotazioni potevano essere redatte in funzione di essa.</w:t>
      </w:r>
    </w:p>
    <w:p>
      <w:pPr>
        <w:spacing w:after="120" w:line="276"/>
        <w:jc w:val="both"/>
      </w:pPr>
      <w:r>
        <w:rPr>
          <w:rFonts w:ascii="Barlow Semi Condensed" w:cs="Barlow Semi Condensed" w:eastAsia="Barlow Semi Condensed" w:hAnsi="Barlow Semi Condensed"/>
          <w:sz w:val="24"/>
          <w:szCs w:val="24"/>
        </w:rPr>
        <w:t xml:space="preserve">Smentita: assenza di trattamento nel periodo, ovvero trattamento avviato soltanto dopo i fatti.</w:t>
      </w:r>
    </w:p>
    <w:p>
      <w:pPr>
        <w:pStyle w:val="Heading2"/>
        <w:spacing w:after="100" w:before="200"/>
      </w:pPr>
      <w:r>
        <w:rPr>
          <w:rFonts w:ascii="Barlow Semi Condensed" w:cs="Barlow Semi Condensed" w:eastAsia="Barlow Semi Condensed" w:hAnsi="Barlow Semi Condensed"/>
          <w:sz w:val="24"/>
          <w:szCs w:val="24"/>
        </w:rPr>
        <w:t xml:space="preserve">Voce diciassettesima — La serie dei documenti apocrifi successivi</w:t>
      </w:r>
    </w:p>
    <w:p>
      <w:pPr>
        <w:spacing w:after="120" w:line="276"/>
        <w:jc w:val="both"/>
      </w:pPr>
      <w:r>
        <w:rPr>
          <w:rFonts w:ascii="Barlow Semi Condensed" w:cs="Barlow Semi Condensed" w:eastAsia="Barlow Semi Condensed" w:hAnsi="Barlow Semi Condensed"/>
          <w:sz w:val="24"/>
          <w:szCs w:val="24"/>
        </w:rPr>
        <w:t xml:space="preserve">Oggetto: le date, i destinatari, il contenuto e gli effetti dei documenti apocrifi di apparente provenienza brigatista che il medesimo autore fece rinvenire, in almeno quattro occasioni distinte, negli anni successivi al 1978. Sede: atti dei procedimenti relativi a ciascun episodio.</w:t>
      </w:r>
    </w:p>
    <w:p>
      <w:pPr>
        <w:spacing w:after="120" w:line="276"/>
        <w:jc w:val="both"/>
      </w:pPr>
      <w:r>
        <w:rPr>
          <w:rFonts w:ascii="Barlow Semi Condensed" w:cs="Barlow Semi Condensed" w:eastAsia="Barlow Semi Condensed" w:hAnsi="Barlow Semi Condensed"/>
          <w:sz w:val="24"/>
          <w:szCs w:val="24"/>
        </w:rPr>
        <w:t xml:space="preserve">Chiusura: trattamento dei quattro episodi come serie unitaria anziché come episodi separati, con accertamento della direzione degli effetti prodotti.</w:t>
      </w:r>
    </w:p>
    <w:p>
      <w:pPr>
        <w:spacing w:after="120" w:line="276"/>
        <w:jc w:val="both"/>
      </w:pPr>
      <w:r>
        <w:rPr>
          <w:rFonts w:ascii="Barlow Semi Condensed" w:cs="Barlow Semi Condensed" w:eastAsia="Barlow Semi Condensed" w:hAnsi="Barlow Semi Condensed"/>
          <w:sz w:val="24"/>
          <w:szCs w:val="24"/>
        </w:rPr>
        <w:t xml:space="preserve">Smentita: effetti divergenti fra loro, che indicherebbero iniziativa autonoma per fini propri.</w:t>
      </w:r>
    </w:p>
    <w:p>
      <w:pPr>
        <w:pStyle w:val="Heading2"/>
        <w:spacing w:after="100" w:before="200"/>
      </w:pPr>
      <w:r>
        <w:rPr>
          <w:rFonts w:ascii="Barlow Semi Condensed" w:cs="Barlow Semi Condensed" w:eastAsia="Barlow Semi Condensed" w:hAnsi="Barlow Semi Condensed"/>
          <w:sz w:val="24"/>
          <w:szCs w:val="24"/>
        </w:rPr>
        <w:t xml:space="preserve">Voce diciottesima — La catena delle armi</w:t>
      </w:r>
    </w:p>
    <w:p>
      <w:pPr>
        <w:spacing w:after="120" w:line="276"/>
        <w:jc w:val="both"/>
      </w:pPr>
      <w:r>
        <w:rPr>
          <w:rFonts w:ascii="Barlow Semi Condensed" w:cs="Barlow Semi Condensed" w:eastAsia="Barlow Semi Condensed" w:hAnsi="Barlow Semi Condensed"/>
          <w:sz w:val="24"/>
          <w:szCs w:val="24"/>
        </w:rPr>
        <w:t xml:space="preserve">Oggetto: la ricostruzione completa del lotto al quale appartiene l'arma impiegata il nove maggio: importazione, via, detenzioni successive, riemersioni in altri procedimenti. Sede: archivi balistici; atti dei procedimenti nei quali armi del lotto sono riemerse.</w:t>
      </w:r>
    </w:p>
    <w:p>
      <w:pPr>
        <w:spacing w:after="120" w:line="276"/>
        <w:jc w:val="both"/>
      </w:pPr>
      <w:r>
        <w:rPr>
          <w:rFonts w:ascii="Barlow Semi Condensed" w:cs="Barlow Semi Condensed" w:eastAsia="Barlow Semi Condensed" w:hAnsi="Barlow Semi Condensed"/>
          <w:sz w:val="24"/>
          <w:szCs w:val="24"/>
        </w:rPr>
        <w:t xml:space="preserve">Chiusura: compilazione della catena per intero.</w:t>
      </w:r>
    </w:p>
    <w:p>
      <w:pPr>
        <w:spacing w:after="120" w:line="276"/>
        <w:jc w:val="both"/>
      </w:pPr>
      <w:r>
        <w:rPr>
          <w:rFonts w:ascii="Barlow Semi Condensed" w:cs="Barlow Semi Condensed" w:eastAsia="Barlow Semi Condensed" w:hAnsi="Barlow Semi Condensed"/>
          <w:sz w:val="24"/>
          <w:szCs w:val="24"/>
        </w:rPr>
        <w:t xml:space="preserve">Smentita: catena che resti interna al medesimo ambiente.</w:t>
      </w:r>
    </w:p>
    <w:p>
      <w:pPr>
        <w:spacing w:after="120" w:line="276"/>
        <w:jc w:val="both"/>
      </w:pPr>
      <w:r>
        <w:rPr>
          <w:rFonts w:ascii="Barlow Semi Condensed" w:cs="Barlow Semi Condensed" w:eastAsia="Barlow Semi Condensed" w:hAnsi="Barlow Semi Condensed"/>
          <w:sz w:val="24"/>
          <w:szCs w:val="24"/>
        </w:rPr>
        <w:t xml:space="preserve">Si ricorda che il dato tecnico sulla fabbricazione è al grado massimo e ogni inferenza sulla provenienza operativa al grado minimo, e che la presente voce non è diretta a promuovere la seconda ma a documentare la circolazione.</w:t>
      </w:r>
    </w:p>
    <w:p>
      <w:pPr>
        <w:pStyle w:val="Heading2"/>
        <w:spacing w:after="100" w:before="200"/>
      </w:pPr>
      <w:r>
        <w:rPr>
          <w:rFonts w:ascii="Barlow Semi Condensed" w:cs="Barlow Semi Condensed" w:eastAsia="Barlow Semi Condensed" w:hAnsi="Barlow Semi Condensed"/>
          <w:sz w:val="24"/>
          <w:szCs w:val="24"/>
        </w:rPr>
        <w:t xml:space="preserve">Voce diciannovesima — Il lotto degli ordigni sottratti nel 1972</w:t>
      </w:r>
    </w:p>
    <w:p>
      <w:pPr>
        <w:spacing w:after="120" w:line="276"/>
        <w:jc w:val="both"/>
      </w:pPr>
      <w:r>
        <w:rPr>
          <w:rFonts w:ascii="Barlow Semi Condensed" w:cs="Barlow Semi Condensed" w:eastAsia="Barlow Semi Condensed" w:hAnsi="Barlow Semi Condensed"/>
          <w:sz w:val="24"/>
          <w:szCs w:val="24"/>
        </w:rPr>
        <w:t xml:space="preserve">Oggetto: la mappa completa delle riemersioni dello stock di centotrentacinque bombe a mano sottratte da un deposito militare elvetico il sedici novembre 1972, con data, luogo e ambiente detentore di ciascuna. Sede: archivi elvetici e italiani; atti dei procedimenti in cui ordigni del lotto sono riemersi.</w:t>
      </w:r>
    </w:p>
    <w:p>
      <w:pPr>
        <w:spacing w:after="120" w:line="276"/>
        <w:jc w:val="both"/>
      </w:pPr>
      <w:r>
        <w:rPr>
          <w:rFonts w:ascii="Barlow Semi Condensed" w:cs="Barlow Semi Condensed" w:eastAsia="Barlow Semi Condensed" w:hAnsi="Barlow Semi Condensed"/>
          <w:sz w:val="24"/>
          <w:szCs w:val="24"/>
        </w:rPr>
        <w:t xml:space="preserve">Chiusura: compilazione della mappa.</w:t>
      </w:r>
    </w:p>
    <w:p>
      <w:pPr>
        <w:spacing w:after="120" w:line="276"/>
        <w:jc w:val="both"/>
      </w:pPr>
      <w:r>
        <w:rPr>
          <w:rFonts w:ascii="Barlow Semi Condensed" w:cs="Barlow Semi Condensed" w:eastAsia="Barlow Semi Condensed" w:hAnsi="Barlow Semi Condensed"/>
          <w:sz w:val="24"/>
          <w:szCs w:val="24"/>
        </w:rPr>
        <w:t xml:space="preserve">Smentita: distribuzione concentrata in un solo ambiente.</w:t>
      </w:r>
    </w:p>
    <w:p>
      <w:pPr>
        <w:spacing w:after="120" w:line="276"/>
        <w:jc w:val="both"/>
      </w:pPr>
      <w:r>
        <w:rPr>
          <w:rFonts w:ascii="Barlow Semi Condensed" w:cs="Barlow Semi Condensed" w:eastAsia="Barlow Semi Condensed" w:hAnsi="Barlow Semi Condensed"/>
          <w:sz w:val="24"/>
          <w:szCs w:val="24"/>
        </w:rPr>
        <w:t xml:space="preserve">Si segnala che è il solo filone dell'intera vicenda che poggi su oggetti numerati, e che non risulta mai essere stato compilato per intero.</w:t>
      </w:r>
    </w:p>
    <w:p>
      <w:pPr>
        <w:pStyle w:val="Heading2"/>
        <w:spacing w:after="100" w:before="200"/>
      </w:pPr>
      <w:r>
        <w:rPr>
          <w:rFonts w:ascii="Barlow Semi Condensed" w:cs="Barlow Semi Condensed" w:eastAsia="Barlow Semi Condensed" w:hAnsi="Barlow Semi Condensed"/>
          <w:sz w:val="24"/>
          <w:szCs w:val="24"/>
        </w:rPr>
        <w:t xml:space="preserve">Nota sulla tavola accresciuta</w:t>
      </w:r>
    </w:p>
    <w:p>
      <w:pPr>
        <w:spacing w:after="120" w:line="276"/>
        <w:jc w:val="both"/>
      </w:pPr>
      <w:r>
        <w:rPr>
          <w:rFonts w:ascii="Barlow Semi Condensed" w:cs="Barlow Semi Condensed" w:eastAsia="Barlow Semi Condensed" w:hAnsi="Barlow Semi Condensed"/>
          <w:sz w:val="24"/>
          <w:szCs w:val="24"/>
        </w:rPr>
        <w:t xml:space="preserve">Si conferma quanto già osservato al Capitolo sessantanovesimo, e con maggior forza ora che le voci sono diciannove: nessuna di esse richiede una decisione metodologica. Tutte richiedono un accesso.</w:t>
      </w:r>
    </w:p>
    <w:p>
      <w:pPr>
        <w:spacing w:after="120" w:line="276"/>
        <w:jc w:val="both"/>
      </w:pPr>
      <w:r>
        <w:rPr>
          <w:rFonts w:ascii="Barlow Semi Condensed" w:cs="Barlow Semi Condensed" w:eastAsia="Barlow Semi Condensed" w:hAnsi="Barlow Semi Condensed"/>
          <w:sz w:val="24"/>
          <w:szCs w:val="24"/>
        </w:rPr>
        <w:t xml:space="preserve">Giunta al termine dei settanta Capitoli, e accresciuta la tavola di dieci voci, l'opera non è ferma per difetto di metodo. È ferma davanti a porte di archivio, e le porte sono ora nominate una per una.</w:t>
      </w:r>
    </w:p>
    <w:p>
      <w:pPr>
        <w:pStyle w:val="Heading2"/>
        <w:spacing w:after="100" w:before="200"/>
      </w:pPr>
      <w:r>
        <w:rPr>
          <w:rFonts w:ascii="Barlow Semi Condensed" w:cs="Barlow Semi Condensed" w:eastAsia="Barlow Semi Condensed" w:hAnsi="Barlow Semi Condensed"/>
          <w:sz w:val="24"/>
          <w:szCs w:val="24"/>
        </w:rPr>
        <w:t xml:space="preserve">Riga di giornale</w:t>
      </w:r>
    </w:p>
    <w:p>
      <w:pPr>
        <w:spacing w:after="120" w:line="276"/>
        <w:jc w:val="both"/>
      </w:pPr>
      <w:r>
        <w:rPr>
          <w:rFonts w:ascii="Barlow Semi Condensed" w:cs="Barlow Semi Condensed" w:eastAsia="Barlow Semi Condensed" w:hAnsi="Barlow Semi Condensed"/>
          <w:sz w:val="24"/>
          <w:szCs w:val="24"/>
        </w:rPr>
        <w:t xml:space="preserve">Riga del quindici agosto duemilaventisei. Cantiere: tavola delle acquisizioni necessarie. Materia: accrescimento da nove a diciannove voci per recepimento della sola parte documentale di una ricognizione operativa esterna.</w:t>
      </w:r>
    </w:p>
    <w:p>
      <w:pPr>
        <w:spacing w:after="120" w:line="276"/>
        <w:jc w:val="both"/>
      </w:pPr>
      <w:r>
        <w:rPr>
          <w:rFonts w:ascii="Barlow Semi Condensed" w:cs="Barlow Semi Condensed" w:eastAsia="Barlow Semi Condensed" w:hAnsi="Barlow Semi Condensed"/>
          <w:sz w:val="24"/>
          <w:szCs w:val="24"/>
        </w:rPr>
        <w:t xml:space="preserve">Esito: dieci voci nuove, ciascuna con oggetto, sede, condizione di chiusura e condizione di smentita. Una voce anteriore, la quinta, è elevata di rango per riconoscimento della sua natura pregiudiziale rispetto all'intera valutazione delle omissioni.</w:t>
      </w:r>
    </w:p>
    <w:p>
      <w:pPr>
        <w:spacing w:after="120" w:line="276"/>
        <w:jc w:val="both"/>
      </w:pPr>
      <w:r>
        <w:rPr>
          <w:rFonts w:ascii="Barlow Semi Condensed" w:cs="Barlow Semi Condensed" w:eastAsia="Barlow Semi Condensed" w:hAnsi="Barlow Semi Condensed"/>
          <w:sz w:val="24"/>
          <w:szCs w:val="24"/>
        </w:rPr>
        <w:t xml:space="preserve">Riga di esclusione dichiarata. Non sono recepiti nell'opera, e restano nel documento operativo esterno, la distribuzione di propensioni soggettive fra scenari alternativi e la sua rinormalizzazione. L'esclusione è motivata al principio della presente appendice e non è di cautela ma di natura: l'opera gradua le proposizioni secondo le fonti e non secondo la fiducia dell'autore.</w:t>
      </w:r>
    </w:p>
    <w:p>
      <w:pPr>
        <w:spacing w:after="120" w:line="276"/>
        <w:jc w:val="both"/>
      </w:pPr>
      <w:r>
        <w:rPr>
          <w:rFonts w:ascii="Barlow Semi Condensed" w:cs="Barlow Semi Condensed" w:eastAsia="Barlow Semi Condensed" w:hAnsi="Barlow Semi Condensed"/>
          <w:sz w:val="24"/>
          <w:szCs w:val="24"/>
        </w:rPr>
        <w:t xml:space="preserve">Riga di avvertenza. Chi conduca gli accertamenti qui iscritti registri gli esiti negativi con la medesima precisione degli esiti positivi, e tenga distinto ciò che il documento attesta da ciò che egli ne inferisce. La seconda distinzione va scritta e non tenuta a mente.</w:t>
      </w:r>
    </w:p>
    <w:p>
      <w:pPr>
        <w:pStyle w:val="Heading2"/>
        <w:spacing w:after="100" w:before="200"/>
      </w:pPr>
      <w:r>
        <w:rPr>
          <w:rFonts w:ascii="Barlow Semi Condensed" w:cs="Barlow Semi Condensed" w:eastAsia="Barlow Semi Condensed" w:hAnsi="Barlow Semi Condensed"/>
          <w:sz w:val="24"/>
          <w:szCs w:val="24"/>
        </w:rPr>
        <w:t xml:space="preserve">Colophon</w:t>
      </w:r>
    </w:p>
    <w:p>
      <w:pPr>
        <w:pStyle w:val="Heading2"/>
        <w:spacing w:after="100" w:before="200"/>
      </w:pPr>
      <w:r>
        <w:rPr>
          <w:rFonts w:ascii="Barlow Semi Condensed" w:cs="Barlow Semi Condensed" w:eastAsia="Barlow Semi Condensed" w:hAnsi="Barlow Semi Condensed"/>
          <w:sz w:val="24"/>
          <w:szCs w:val="24"/>
        </w:rPr>
        <w:t xml:space="preserve">APPENDICE ALLA FASE SETTIMA, tavola accresciuta delle acquisizioni necessarie, quindici agosto duemilaventisei. I settanta Capitoli restano settanta. Resta sovrana la Regola di Ferro: dove la fonte documenta, l'opera certifica; dove la fonte tace, l'opera indaga e non afferma. Autore e direttore dell'opera: Luigi De Michele.</w:t>
      </w:r>
    </w:p>
    <w:p>
      <w:pPr>
        <w:pStyle w:val="Heading3"/>
        <w:spacing w:after="80" w:before="240"/>
      </w:pPr>
      <w:r>
        <w:rPr>
          <w:rFonts w:ascii="Barlow Semi Condensed" w:cs="Barlow Semi Condensed" w:eastAsia="Barlow Semi Condensed" w:hAnsi="Barlow Semi Condensed"/>
          <w:sz w:val="24"/>
          <w:szCs w:val="24"/>
        </w:rPr>
        <w:t xml:space="preserve">Apparato grafico — Libro quindicesimo · Il Registro dei cinquantacinque giorni, opera seconda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quindicesimo: 42.751 parole in 9 sezioni; la più ampia è §9 Altre sezioni, con 42.469.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quindicesimo: 1.157 paragrafi in 9 sezioni, 129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sedicesimo — Le tavole della custodia — I. Il fascicolo: vita, prigionia, mandanti, esecutori, e l'ipotesi del trasferimento</w:t>
      </w:r>
    </w:p>
    <w:p>
      <w:pPr>
        <w:pStyle w:val="Heading1"/>
        <w:spacing w:after="120" w:before="240"/>
      </w:pPr>
      <w:r>
        <w:rPr>
          <w:rFonts w:ascii="Barlow Semi Condensed" w:cs="Barlow Semi Condensed" w:eastAsia="Barlow Semi Condensed" w:hAnsi="Barlow Semi Condensed"/>
          <w:sz w:val="24"/>
          <w:szCs w:val="24"/>
        </w:rPr>
        <w:t xml:space="preserve">Il fascicolo della custodia — vita, prigionia, mandanti, esecutori, e l'ipotesi del trasferimento</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non in calce.*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 di questo fascicolo, da leggere prima.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L'appartenenza a un'organizzazione non è prova di condotta.</w:t>
      </w:r>
      <w:r>
        <w:rPr>
          <w:rFonts w:ascii="Barlow Semi Condensed" w:cs="Barlow Semi Condensed" w:eastAsia="Barlow Semi Condensed" w:hAnsi="Barlow Semi Condensed"/>
          <w:i w:val="false"/>
          <w:iCs w:val="false"/>
          <w:sz w:val="24"/>
          <w:szCs w:val="24"/>
        </w:rPr>
        <w:t xml:space="preserve"> Nessuna persona è qui indicata come responsabile di un reato al di fuori di un </w:t>
      </w:r>
      <w:r>
        <w:rPr>
          <w:rFonts w:ascii="Barlow Semi Condensed" w:cs="Barlow Semi Condensed" w:eastAsia="Barlow Semi Condensed" w:hAnsi="Barlow Semi Condensed"/>
          <w:b/>
          <w:bCs/>
          <w:i w:val="false"/>
          <w:iCs w:val="false"/>
          <w:sz w:val="24"/>
          <w:szCs w:val="24"/>
        </w:rPr>
        <w:t xml:space="preserve">giudicato definitivo</w:t>
      </w:r>
      <w:r>
        <w:rPr>
          <w:rFonts w:ascii="Barlow Semi Condensed" w:cs="Barlow Semi Condensed" w:eastAsia="Barlow Semi Condensed" w:hAnsi="Barlow Semi Condensed"/>
          <w:i w:val="false"/>
          <w:iCs w:val="false"/>
          <w:sz w:val="24"/>
          <w:szCs w:val="24"/>
        </w:rPr>
        <w:t xml:space="preserve">. Le persone nominate lo sono per </w:t>
      </w:r>
      <w:r>
        <w:rPr>
          <w:rFonts w:ascii="Barlow Semi Condensed" w:cs="Barlow Semi Condensed" w:eastAsia="Barlow Semi Condensed" w:hAnsi="Barlow Semi Condensed"/>
          <w:b/>
          <w:bCs/>
          <w:i w:val="false"/>
          <w:iCs w:val="false"/>
          <w:sz w:val="24"/>
          <w:szCs w:val="24"/>
        </w:rPr>
        <w:t xml:space="preserve">fatti pubblici e documentati</w:t>
      </w:r>
      <w:r>
        <w:rPr>
          <w:rFonts w:ascii="Barlow Semi Condensed" w:cs="Barlow Semi Condensed" w:eastAsia="Barlow Semi Condensed" w:hAnsi="Barlow Semi Condensed"/>
          <w:i w:val="false"/>
          <w:iCs w:val="false"/>
          <w:sz w:val="24"/>
          <w:szCs w:val="24"/>
        </w:rPr>
        <w:t xml:space="preserve"> — una carica, una data, un esito giudiziario, compresi i proscioglimenti — e godono per intero della presunzione d'innocenza.  Ogni proposizione porta il proprio grado: </w:t>
      </w:r>
      <w:r>
        <w:rPr>
          <w:rFonts w:ascii="Barlow Semi Condensed" w:cs="Barlow Semi Condensed" w:eastAsia="Barlow Semi Condensed" w:hAnsi="Barlow Semi Condensed"/>
          <w:b/>
          <w:bCs/>
          <w:i w:val="false"/>
          <w:iCs w:val="false"/>
          <w:sz w:val="24"/>
          <w:szCs w:val="24"/>
        </w:rPr>
        <w:t xml:space="preserve">A</w:t>
      </w:r>
      <w:r>
        <w:rPr>
          <w:rFonts w:ascii="Barlow Semi Condensed" w:cs="Barlow Semi Condensed" w:eastAsia="Barlow Semi Condensed" w:hAnsi="Barlow Semi Condensed"/>
          <w:i w:val="false"/>
          <w:iCs w:val="false"/>
          <w:sz w:val="24"/>
          <w:szCs w:val="24"/>
        </w:rPr>
        <w:t xml:space="preserve"> giudicato · </w:t>
      </w:r>
      <w:r>
        <w:rPr>
          <w:rFonts w:ascii="Barlow Semi Condensed" w:cs="Barlow Semi Condensed" w:eastAsia="Barlow Semi Condensed" w:hAnsi="Barlow Semi Condensed"/>
          <w:b/>
          <w:bCs/>
          <w:i w:val="false"/>
          <w:iCs w:val="false"/>
          <w:sz w:val="24"/>
          <w:szCs w:val="24"/>
        </w:rPr>
        <w:t xml:space="preserve">B</w:t>
      </w:r>
      <w:r>
        <w:rPr>
          <w:rFonts w:ascii="Barlow Semi Condensed" w:cs="Barlow Semi Condensed" w:eastAsia="Barlow Semi Condensed" w:hAnsi="Barlow Semi Condensed"/>
          <w:i w:val="false"/>
          <w:iCs w:val="false"/>
          <w:sz w:val="24"/>
          <w:szCs w:val="24"/>
        </w:rPr>
        <w:t xml:space="preserve"> accertamento · </w:t>
      </w:r>
      <w:r>
        <w:rPr>
          <w:rFonts w:ascii="Barlow Semi Condensed" w:cs="Barlow Semi Condensed" w:eastAsia="Barlow Semi Condensed" w:hAnsi="Barlow Semi Condensed"/>
          <w:b/>
          <w:bCs/>
          <w:i w:val="false"/>
          <w:iCs w:val="false"/>
          <w:sz w:val="24"/>
          <w:szCs w:val="24"/>
        </w:rPr>
        <w:t xml:space="preserve">C</w:t>
      </w:r>
      <w:r>
        <w:rPr>
          <w:rFonts w:ascii="Barlow Semi Condensed" w:cs="Barlow Semi Condensed" w:eastAsia="Barlow Semi Condensed" w:hAnsi="Barlow Semi Condensed"/>
          <w:i w:val="false"/>
          <w:iCs w:val="false"/>
          <w:sz w:val="24"/>
          <w:szCs w:val="24"/>
        </w:rPr>
        <w:t xml:space="preserve"> congettura · </w:t>
      </w:r>
      <w:r>
        <w:rPr>
          <w:rFonts w:ascii="Barlow Semi Condensed" w:cs="Barlow Semi Condensed" w:eastAsia="Barlow Semi Condensed" w:hAnsi="Barlow Semi Condensed"/>
          <w:b/>
          <w:bCs/>
          <w:i w:val="false"/>
          <w:iCs w:val="false"/>
          <w:sz w:val="24"/>
          <w:szCs w:val="24"/>
        </w:rPr>
        <w:t xml:space="preserve">F</w:t>
      </w:r>
      <w:r>
        <w:rPr>
          <w:rFonts w:ascii="Barlow Semi Condensed" w:cs="Barlow Semi Condensed" w:eastAsia="Barlow Semi Condensed" w:hAnsi="Barlow Semi Condensed"/>
          <w:i w:val="false"/>
          <w:iCs w:val="false"/>
          <w:sz w:val="24"/>
          <w:szCs w:val="24"/>
        </w:rPr>
        <w:t xml:space="preserve"> fatto pubblico ·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esito negativo con la sede nominata.  </w:t>
      </w:r>
      <w:r>
        <w:rPr>
          <w:rFonts w:ascii="Barlow Semi Condensed" w:cs="Barlow Semi Condensed" w:eastAsia="Barlow Semi Condensed" w:hAnsi="Barlow Semi Condensed"/>
          <w:b/>
          <w:bCs/>
          <w:i w:val="false"/>
          <w:iCs w:val="false"/>
          <w:sz w:val="24"/>
          <w:szCs w:val="24"/>
        </w:rPr>
        <w:t xml:space="preserve">Che cosa questo fascicolo fa.</w:t>
      </w:r>
      <w:r>
        <w:rPr>
          <w:rFonts w:ascii="Barlow Semi Condensed" w:cs="Barlow Semi Condensed" w:eastAsia="Barlow Semi Condensed" w:hAnsi="Barlow Semi Condensed"/>
          <w:i w:val="false"/>
          <w:iCs w:val="false"/>
          <w:sz w:val="24"/>
          <w:szCs w:val="24"/>
        </w:rPr>
        <w:t xml:space="preserve"> Prende sul serio, come ipotesi da istruire, la questione della custodia e dei suoi confini — compresa quella che l'autore ha posto: che il prigioniero sia stato condotto in un luogo dell'organizzazione </w:t>
      </w:r>
      <w:r>
        <w:rPr>
          <w:rFonts w:ascii="Barlow Semi Condensed" w:cs="Barlow Semi Condensed" w:eastAsia="Barlow Semi Condensed" w:hAnsi="Barlow Semi Condensed"/>
          <w:b/>
          <w:bCs/>
          <w:i w:val="false"/>
          <w:iCs w:val="false"/>
          <w:sz w:val="24"/>
          <w:szCs w:val="24"/>
        </w:rPr>
        <w:t xml:space="preserve">all'insaputa di una sua parte</w:t>
      </w:r>
      <w:r>
        <w:rPr>
          <w:rFonts w:ascii="Barlow Semi Condensed" w:cs="Barlow Semi Condensed" w:eastAsia="Barlow Semi Condensed" w:hAnsi="Barlow Semi Condensed"/>
          <w:i w:val="false"/>
          <w:iCs w:val="false"/>
          <w:sz w:val="24"/>
          <w:szCs w:val="24"/>
        </w:rPr>
        <w:t xml:space="preserve">, o con la conoscenza di chi in altra struttura aveva ruolo. Prenderla sul serio significa </w:t>
      </w:r>
      <w:r>
        <w:rPr>
          <w:rFonts w:ascii="Barlow Semi Condensed" w:cs="Barlow Semi Condensed" w:eastAsia="Barlow Semi Condensed" w:hAnsi="Barlow Semi Condensed"/>
          <w:b/>
          <w:bCs/>
          <w:i w:val="false"/>
          <w:iCs w:val="false"/>
          <w:sz w:val="24"/>
          <w:szCs w:val="24"/>
        </w:rPr>
        <w:t xml:space="preserve">formularla in modo che possa essere smentita</w:t>
      </w:r>
      <w:r>
        <w:rPr>
          <w:rFonts w:ascii="Barlow Semi Condensed" w:cs="Barlow Semi Condensed" w:eastAsia="Barlow Semi Condensed" w:hAnsi="Barlow Semi Condensed"/>
          <w:i w:val="false"/>
          <w:iCs w:val="false"/>
          <w:sz w:val="24"/>
          <w:szCs w:val="24"/>
        </w:rPr>
        <w:t xml:space="preserve">, non renderla verosimile.  </w:t>
      </w:r>
      <w:r>
        <w:rPr>
          <w:rFonts w:ascii="Barlow Semi Condensed" w:cs="Barlow Semi Condensed" w:eastAsia="Barlow Semi Condensed" w:hAnsi="Barlow Semi Condensed"/>
          <w:b/>
          <w:bCs/>
          <w:i w:val="false"/>
          <w:iCs w:val="false"/>
          <w:sz w:val="24"/>
          <w:szCs w:val="24"/>
        </w:rPr>
        <w:t xml:space="preserve">Che cosa non fa.</w:t>
      </w:r>
      <w:r>
        <w:rPr>
          <w:rFonts w:ascii="Barlow Semi Condensed" w:cs="Barlow Semi Condensed" w:eastAsia="Barlow Semi Condensed" w:hAnsi="Barlow Semi Condensed"/>
          <w:i w:val="false"/>
          <w:iCs w:val="false"/>
          <w:sz w:val="24"/>
          <w:szCs w:val="24"/>
        </w:rPr>
        <w:t xml:space="preserve"> Non nomina mandanti, perché il grado non lo consente e perché nessuna autorità lo ha fatto. Non trasforma una congettura in una tesi con l'artificio di ripeterla. E non offre percentuali di colpevolezza: le percentuali dell'ultimo capitolo misurano </w:t>
      </w:r>
      <w:r>
        <w:rPr>
          <w:rFonts w:ascii="Barlow Semi Condensed" w:cs="Barlow Semi Condensed" w:eastAsia="Barlow Semi Condensed" w:hAnsi="Barlow Semi Condensed"/>
          <w:b/>
          <w:bCs/>
          <w:i w:val="false"/>
          <w:iCs w:val="false"/>
          <w:sz w:val="24"/>
          <w:szCs w:val="24"/>
        </w:rPr>
        <w:t xml:space="preserve">la priorità di un atto istruttorio</w:t>
      </w:r>
      <w:r>
        <w:rPr>
          <w:rFonts w:ascii="Barlow Semi Condensed" w:cs="Barlow Semi Condensed" w:eastAsia="Barlow Semi Condensed" w:hAnsi="Barlow Semi Condensed"/>
          <w:i w:val="false"/>
          <w:iCs w:val="false"/>
          <w:sz w:val="24"/>
          <w:szCs w:val="24"/>
        </w:rPr>
        <w:t xml:space="preserve">, non la probabilità che qualcuno sia colpevole — la differenza è dichiarata lì, per esteso.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La vita, e perché viene prima</w:t>
      </w:r>
    </w:p>
    <w:p>
      <w:pPr>
        <w:spacing w:after="120" w:line="276"/>
        <w:jc w:val="both"/>
      </w:pPr>
      <w:r>
        <w:rPr>
          <w:rFonts w:ascii="Barlow Semi Condensed" w:cs="Barlow Semi Condensed" w:eastAsia="Barlow Semi Condensed" w:hAnsi="Barlow Semi Condensed"/>
          <w:sz w:val="24"/>
          <w:szCs w:val="24"/>
        </w:rPr>
        <w:t xml:space="preserve">Il caso non si capisce senza la persona, e la persona non è il preludio del caso.</w:t>
      </w:r>
    </w:p>
    <w:p>
      <w:pPr>
        <w:spacing w:after="120" w:line="276"/>
        <w:jc w:val="both"/>
      </w:pPr>
      <w:r>
        <w:rPr>
          <w:rFonts w:ascii="Barlow Semi Condensed" w:cs="Barlow Semi Condensed" w:eastAsia="Barlow Semi Condensed" w:hAnsi="Barlow Semi Condensed"/>
          <w:sz w:val="24"/>
          <w:szCs w:val="24"/>
        </w:rPr>
        <w:t xml:space="preserve">Aldo Moro nacque a </w:t>
      </w:r>
      <w:r>
        <w:rPr>
          <w:rFonts w:ascii="Barlow Semi Condensed" w:cs="Barlow Semi Condensed" w:eastAsia="Barlow Semi Condensed" w:hAnsi="Barlow Semi Condensed"/>
          <w:b/>
          <w:bCs/>
          <w:sz w:val="24"/>
          <w:szCs w:val="24"/>
        </w:rPr>
        <w:t xml:space="preserve">Maglie, 23 settembre 1916</w:t>
      </w:r>
      <w:r>
        <w:rPr>
          <w:rFonts w:ascii="Barlow Semi Condensed" w:cs="Barlow Semi Condensed" w:eastAsia="Barlow Semi Condensed" w:hAnsi="Barlow Semi Condensed"/>
          <w:sz w:val="24"/>
          <w:szCs w:val="24"/>
        </w:rPr>
        <w:t xml:space="preserve">; fu presidente della FUCI dal</w:t>
      </w:r>
    </w:p>
    <w:p>
      <w:pPr>
        <w:spacing w:after="120" w:line="276"/>
        <w:jc w:val="both"/>
      </w:pPr>
      <w:r>
        <w:rPr>
          <w:rFonts w:ascii="Barlow Semi Condensed" w:cs="Barlow Semi Condensed" w:eastAsia="Barlow Semi Condensed" w:hAnsi="Barlow Semi Condensed"/>
          <w:sz w:val="24"/>
          <w:szCs w:val="24"/>
        </w:rPr>
        <w:t xml:space="preserve">1939 al 1943 e del Movimento dei Laureati Cattolici nel 1945-46, sotto la guida</w:t>
      </w:r>
    </w:p>
    <w:p>
      <w:pPr>
        <w:spacing w:after="120" w:line="276"/>
        <w:jc w:val="both"/>
      </w:pPr>
      <w:r>
        <w:rPr>
          <w:rFonts w:ascii="Barlow Semi Condensed" w:cs="Barlow Semi Condensed" w:eastAsia="Barlow Semi Condensed" w:hAnsi="Barlow Semi Condensed"/>
          <w:sz w:val="24"/>
          <w:szCs w:val="24"/>
        </w:rPr>
        <w:t xml:space="preserve">spirituale di Giovanni Battista Montini; dal </w:t>
      </w:r>
      <w:r>
        <w:rPr>
          <w:rFonts w:ascii="Barlow Semi Condensed" w:cs="Barlow Semi Condensed" w:eastAsia="Barlow Semi Condensed" w:hAnsi="Barlow Semi Condensed"/>
          <w:b/>
          <w:bCs/>
          <w:sz w:val="24"/>
          <w:szCs w:val="24"/>
        </w:rPr>
        <w:t xml:space="preserve">1948</w:t>
      </w:r>
      <w:r>
        <w:rPr>
          <w:rFonts w:ascii="Barlow Semi Condensed" w:cs="Barlow Semi Condensed" w:eastAsia="Barlow Semi Condensed" w:hAnsi="Barlow Semi Condensed"/>
          <w:sz w:val="24"/>
          <w:szCs w:val="24"/>
        </w:rPr>
        <w:t xml:space="preserve"> tenne la cattedra di diritto</w:t>
      </w:r>
    </w:p>
    <w:p>
      <w:pPr>
        <w:spacing w:after="120" w:line="276"/>
        <w:jc w:val="both"/>
      </w:pPr>
      <w:r>
        <w:rPr>
          <w:rFonts w:ascii="Barlow Semi Condensed" w:cs="Barlow Semi Condensed" w:eastAsia="Barlow Semi Condensed" w:hAnsi="Barlow Semi Condensed"/>
          <w:sz w:val="24"/>
          <w:szCs w:val="24"/>
        </w:rPr>
        <w:t xml:space="preserve">penale a Bari e non la lasciò mai, nemmeno da uomo di governo. Fu eletto alla</w:t>
      </w:r>
    </w:p>
    <w:p>
      <w:pPr>
        <w:spacing w:after="120" w:line="276"/>
        <w:jc w:val="both"/>
      </w:pPr>
      <w:r>
        <w:rPr>
          <w:rFonts w:ascii="Barlow Semi Condensed" w:cs="Barlow Semi Condensed" w:eastAsia="Barlow Semi Condensed" w:hAnsi="Barlow Semi Condensed"/>
          <w:b/>
          <w:bCs/>
          <w:sz w:val="24"/>
          <w:szCs w:val="24"/>
        </w:rPr>
        <w:t xml:space="preserve">Costituente il 2 giugno 1946</w:t>
      </w:r>
      <w:r>
        <w:rPr>
          <w:rFonts w:ascii="Barlow Semi Condensed" w:cs="Barlow Semi Condensed" w:eastAsia="Barlow Semi Condensed" w:hAnsi="Barlow Semi Condensed"/>
          <w:sz w:val="24"/>
          <w:szCs w:val="24"/>
        </w:rPr>
        <w:t xml:space="preserve">, a ventinove anni, e lavorò alla prima parte</w:t>
      </w:r>
    </w:p>
    <w:p>
      <w:pPr>
        <w:spacing w:after="120" w:line="276"/>
        <w:jc w:val="both"/>
      </w:pPr>
      <w:r>
        <w:rPr>
          <w:rFonts w:ascii="Barlow Semi Condensed" w:cs="Barlow Semi Condensed" w:eastAsia="Barlow Semi Condensed" w:hAnsi="Barlow Semi Condensed"/>
          <w:sz w:val="24"/>
          <w:szCs w:val="24"/>
        </w:rPr>
        <w:t xml:space="preserve">della Carta. Fu fra i fondatori della Democrazia Cristiana, segretario del</w:t>
      </w:r>
    </w:p>
    <w:p>
      <w:pPr>
        <w:spacing w:after="120" w:line="276"/>
        <w:jc w:val="both"/>
      </w:pPr>
      <w:r>
        <w:rPr>
          <w:rFonts w:ascii="Barlow Semi Condensed" w:cs="Barlow Semi Condensed" w:eastAsia="Barlow Semi Condensed" w:hAnsi="Barlow Semi Condensed"/>
          <w:sz w:val="24"/>
          <w:szCs w:val="24"/>
        </w:rPr>
        <w:t xml:space="preserve">partito, più volte ministro, **cinque volte Presidente del Consiglio fra il 1963 e</w:t>
      </w:r>
    </w:p>
    <w:p>
      <w:pPr>
        <w:spacing w:after="120" w:line="276"/>
        <w:jc w:val="both"/>
      </w:pPr>
      <w:r>
        <w:rPr>
          <w:rFonts w:ascii="Barlow Semi Condensed" w:cs="Barlow Semi Condensed" w:eastAsia="Barlow Semi Condensed" w:hAnsi="Barlow Semi Condensed"/>
          <w:sz w:val="24"/>
          <w:szCs w:val="24"/>
        </w:rPr>
        <w:t xml:space="preserve">il 1976</w:t>
      </w:r>
      <w:r>
        <w:rPr>
          <w:rFonts w:ascii="Barlow Semi Condensed" w:cs="Barlow Semi Condensed" w:eastAsia="Barlow Semi Condensed" w:hAnsi="Barlow Semi Condensed"/>
          <w:b/>
          <w:bCs/>
          <w:sz w:val="24"/>
          <w:szCs w:val="24"/>
        </w:rPr>
        <w:t xml:space="preserve">, e ministro degli Esteri dal </w:t>
      </w:r>
      <w:r>
        <w:rPr>
          <w:rFonts w:ascii="Barlow Semi Condensed" w:cs="Barlow Semi Condensed" w:eastAsia="Barlow Semi Condensed" w:hAnsi="Barlow Semi Condensed"/>
          <w:sz w:val="24"/>
          <w:szCs w:val="24"/>
        </w:rPr>
        <w:t xml:space="preserve">5 agosto 1969 al 26 giugno 1972** e dal</w:t>
      </w:r>
    </w:p>
    <w:p>
      <w:pPr>
        <w:spacing w:after="120" w:line="276"/>
        <w:jc w:val="both"/>
      </w:pPr>
      <w:r>
        <w:rPr>
          <w:rFonts w:ascii="Barlow Semi Condensed" w:cs="Barlow Semi Condensed" w:eastAsia="Barlow Semi Condensed" w:hAnsi="Barlow Semi Condensed"/>
          <w:b/>
          <w:bCs/>
          <w:sz w:val="24"/>
          <w:szCs w:val="24"/>
        </w:rPr>
        <w:t xml:space="preserve">7 luglio 1973 al 23 novembre 1974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Grado F.</w:t>
      </w:r>
    </w:p>
    <w:p>
      <w:pPr>
        <w:spacing w:after="120" w:line="276"/>
        <w:jc w:val="both"/>
      </w:pPr>
      <w:r>
        <w:rPr>
          <w:rFonts w:ascii="Barlow Semi Condensed" w:cs="Barlow Semi Condensed" w:eastAsia="Barlow Semi Condensed" w:hAnsi="Barlow Semi Condensed"/>
          <w:sz w:val="24"/>
          <w:szCs w:val="24"/>
        </w:rPr>
        <w:t xml:space="preserve">Formulò la </w:t>
      </w:r>
      <w:r>
        <w:rPr>
          <w:rFonts w:ascii="Barlow Semi Condensed" w:cs="Barlow Semi Condensed" w:eastAsia="Barlow Semi Condensed" w:hAnsi="Barlow Semi Condensed"/>
          <w:b/>
          <w:bCs/>
          <w:sz w:val="24"/>
          <w:szCs w:val="24"/>
        </w:rPr>
        <w:t xml:space="preserve">«strategia dell'attenzione»</w:t>
      </w:r>
      <w:r>
        <w:rPr>
          <w:rFonts w:ascii="Barlow Semi Condensed" w:cs="Barlow Semi Condensed" w:eastAsia="Barlow Semi Condensed" w:hAnsi="Barlow Semi Condensed"/>
          <w:sz w:val="24"/>
          <w:szCs w:val="24"/>
        </w:rPr>
        <w:t xml:space="preserve"> al primo congresso regionale pugliese</w:t>
      </w:r>
    </w:p>
    <w:p>
      <w:pPr>
        <w:spacing w:after="120" w:line="276"/>
        <w:jc w:val="both"/>
      </w:pPr>
      <w:r>
        <w:rPr>
          <w:rFonts w:ascii="Barlow Semi Condensed" w:cs="Barlow Semi Condensed" w:eastAsia="Barlow Semi Condensed" w:hAnsi="Barlow Semi Condensed"/>
          <w:sz w:val="24"/>
          <w:szCs w:val="24"/>
        </w:rPr>
        <w:t xml:space="preserve">della DC, a </w:t>
      </w:r>
      <w:r>
        <w:rPr>
          <w:rFonts w:ascii="Barlow Semi Condensed" w:cs="Barlow Semi Condensed" w:eastAsia="Barlow Semi Condensed" w:hAnsi="Barlow Semi Condensed"/>
          <w:b/>
          <w:bCs/>
          <w:sz w:val="24"/>
          <w:szCs w:val="24"/>
        </w:rPr>
        <w:t xml:space="preserve">Bari, il 15 giugno 1969</w:t>
      </w:r>
      <w:r>
        <w:rPr>
          <w:rFonts w:ascii="Barlow Semi Condensed" w:cs="Barlow Semi Condensed" w:eastAsia="Barlow Semi Condensed" w:hAnsi="Barlow Semi Condensed"/>
          <w:sz w:val="24"/>
          <w:szCs w:val="24"/>
        </w:rPr>
        <w:t xml:space="preserve">, e l'espressione </w:t>
      </w:r>
      <w:r>
        <w:rPr>
          <w:rFonts w:ascii="Barlow Semi Condensed" w:cs="Barlow Semi Condensed" w:eastAsia="Barlow Semi Condensed" w:hAnsi="Barlow Semi Condensed"/>
          <w:b/>
          <w:bCs/>
          <w:sz w:val="24"/>
          <w:szCs w:val="24"/>
        </w:rPr>
        <w:t xml:space="preserve">«terza fase»</w:t>
      </w:r>
      <w:r>
        <w:rPr>
          <w:rFonts w:ascii="Barlow Semi Condensed" w:cs="Barlow Semi Condensed" w:eastAsia="Barlow Semi Condensed" w:hAnsi="Barlow Semi Condensed"/>
          <w:sz w:val="24"/>
          <w:szCs w:val="24"/>
        </w:rPr>
        <w:t xml:space="preserve"> in un</w:t>
      </w:r>
    </w:p>
    <w:p>
      <w:pPr>
        <w:spacing w:after="120" w:line="276"/>
        <w:jc w:val="both"/>
      </w:pPr>
      <w:r>
        <w:rPr>
          <w:rFonts w:ascii="Barlow Semi Condensed" w:cs="Barlow Semi Condensed" w:eastAsia="Barlow Semi Condensed" w:hAnsi="Barlow Semi Condensed"/>
          <w:sz w:val="24"/>
          <w:szCs w:val="24"/>
        </w:rPr>
        <w:t xml:space="preserve">articolo per </w:t>
      </w:r>
      <w:r>
        <w:rPr>
          <w:rFonts w:ascii="Barlow Semi Condensed" w:cs="Barlow Semi Condensed" w:eastAsia="Barlow Semi Condensed" w:hAnsi="Barlow Semi Condensed"/>
          <w:i/>
          <w:iCs/>
          <w:sz w:val="24"/>
          <w:szCs w:val="24"/>
        </w:rPr>
        <w:t xml:space="preserve">Il Giorno</w:t>
      </w:r>
      <w:r>
        <w:rPr>
          <w:rFonts w:ascii="Barlow Semi Condensed" w:cs="Barlow Semi Condensed" w:eastAsia="Barlow Semi Condensed" w:hAnsi="Barlow Semi Condensed"/>
          <w:sz w:val="24"/>
          <w:szCs w:val="24"/>
        </w:rPr>
        <w:t xml:space="preserve"> del </w:t>
      </w:r>
      <w:r>
        <w:rPr>
          <w:rFonts w:ascii="Barlow Semi Condensed" w:cs="Barlow Semi Condensed" w:eastAsia="Barlow Semi Condensed" w:hAnsi="Barlow Semi Condensed"/>
          <w:b/>
          <w:bCs/>
          <w:sz w:val="24"/>
          <w:szCs w:val="24"/>
        </w:rPr>
        <w:t xml:space="preserve">dicembre 1976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Grado F</w:t>
      </w:r>
      <w:r>
        <w:rPr>
          <w:rFonts w:ascii="Barlow Semi Condensed" w:cs="Barlow Semi Condensed" w:eastAsia="Barlow Semi Condensed" w:hAnsi="Barlow Semi Condensed"/>
          <w:sz w:val="24"/>
          <w:szCs w:val="24"/>
        </w:rPr>
        <w:t xml:space="preserve"> quanto alle formule e</w:t>
      </w:r>
    </w:p>
    <w:p>
      <w:pPr>
        <w:spacing w:after="120" w:line="276"/>
        <w:jc w:val="both"/>
      </w:pPr>
      <w:r>
        <w:rPr>
          <w:rFonts w:ascii="Barlow Semi Condensed" w:cs="Barlow Semi Condensed" w:eastAsia="Barlow Semi Condensed" w:hAnsi="Barlow Semi Condensed"/>
          <w:sz w:val="24"/>
          <w:szCs w:val="24"/>
        </w:rPr>
        <w:t xml:space="preserve">alle date;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quanto a ogni lettura del loro significato ultimo, che è</w:t>
      </w:r>
    </w:p>
    <w:p>
      <w:pPr>
        <w:spacing w:after="120" w:line="276"/>
        <w:jc w:val="both"/>
      </w:pPr>
      <w:r>
        <w:rPr>
          <w:rFonts w:ascii="Barlow Semi Condensed" w:cs="Barlow Semi Condensed" w:eastAsia="Barlow Semi Condensed" w:hAnsi="Barlow Semi Condensed"/>
          <w:sz w:val="24"/>
          <w:szCs w:val="24"/>
        </w:rPr>
        <w:t xml:space="preserve">materia di storiografia aperta.</w:t>
      </w:r>
    </w:p>
    <w:p>
      <w:pPr>
        <w:spacing w:after="120" w:line="276"/>
        <w:jc w:val="both"/>
      </w:pPr>
      <w:r>
        <w:rPr>
          <w:rFonts w:ascii="Barlow Semi Condensed" w:cs="Barlow Semi Condensed" w:eastAsia="Barlow Semi Condensed" w:hAnsi="Barlow Semi Condensed"/>
          <w:b/>
          <w:bCs/>
          <w:sz w:val="24"/>
          <w:szCs w:val="24"/>
        </w:rPr>
        <w:t xml:space="preserve">Il rilievo che vale per tutto il fascicolo.</w:t>
      </w:r>
      <w:r>
        <w:rPr>
          <w:rFonts w:ascii="Barlow Semi Condensed" w:cs="Barlow Semi Condensed" w:eastAsia="Barlow Semi Condensed" w:hAnsi="Barlow Semi Condensed"/>
          <w:sz w:val="24"/>
          <w:szCs w:val="24"/>
        </w:rPr>
        <w:t xml:space="preserve"> Il corpus registra — e si riporta</w:t>
      </w:r>
    </w:p>
    <w:p>
      <w:pPr>
        <w:spacing w:after="120" w:line="276"/>
        <w:jc w:val="both"/>
      </w:pPr>
      <w:r>
        <w:rPr>
          <w:rFonts w:ascii="Barlow Semi Condensed" w:cs="Barlow Semi Condensed" w:eastAsia="Barlow Semi Condensed" w:hAnsi="Barlow Semi Condensed"/>
          <w:sz w:val="24"/>
          <w:szCs w:val="24"/>
        </w:rPr>
        <w:t xml:space="preserve">come valutazione, non come fatto — che Moro fu prima di tutto un </w:t>
      </w:r>
      <w:r>
        <w:rPr>
          <w:rFonts w:ascii="Barlow Semi Condensed" w:cs="Barlow Semi Condensed" w:eastAsia="Barlow Semi Condensed" w:hAnsi="Barlow Semi Condensed"/>
          <w:b/>
          <w:bCs/>
          <w:sz w:val="24"/>
          <w:szCs w:val="24"/>
        </w:rPr>
        <w:t xml:space="preserve">giurista</w:t>
      </w:r>
      <w:r>
        <w:rPr>
          <w:rFonts w:ascii="Barlow Semi Condensed" w:cs="Barlow Semi Condensed" w:eastAsia="Barlow Semi Condensed" w:hAnsi="Barlow Semi Condensed"/>
          <w:sz w:val="24"/>
          <w:szCs w:val="24"/>
        </w:rPr>
        <w:t xml:space="preserve">, per</w:t>
      </w:r>
    </w:p>
    <w:p>
      <w:pPr>
        <w:spacing w:after="120" w:line="276"/>
        <w:jc w:val="both"/>
      </w:pPr>
      <w:r>
        <w:rPr>
          <w:rFonts w:ascii="Barlow Semi Condensed" w:cs="Barlow Semi Condensed" w:eastAsia="Barlow Semi Condensed" w:hAnsi="Barlow Semi Condensed"/>
          <w:sz w:val="24"/>
          <w:szCs w:val="24"/>
        </w:rPr>
        <w:t xml:space="preserve">il quale la prova, il procedimento e la garanzia non erano tecnicismi ma la</w:t>
      </w:r>
    </w:p>
    <w:p>
      <w:pPr>
        <w:spacing w:after="120" w:line="276"/>
        <w:jc w:val="both"/>
      </w:pPr>
      <w:r>
        <w:rPr>
          <w:rFonts w:ascii="Barlow Semi Condensed" w:cs="Barlow Semi Condensed" w:eastAsia="Barlow Semi Condensed" w:hAnsi="Barlow Semi Condensed"/>
          <w:sz w:val="24"/>
          <w:szCs w:val="24"/>
        </w:rPr>
        <w:t xml:space="preserve">sostanza della convivenza civile.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Ne discende una conseguenza</w:t>
      </w:r>
    </w:p>
    <w:p>
      <w:pPr>
        <w:spacing w:after="120" w:line="276"/>
        <w:jc w:val="both"/>
      </w:pPr>
      <w:r>
        <w:rPr>
          <w:rFonts w:ascii="Barlow Semi Condensed" w:cs="Barlow Semi Condensed" w:eastAsia="Barlow Semi Condensed" w:hAnsi="Barlow Semi Condensed"/>
          <w:sz w:val="24"/>
          <w:szCs w:val="24"/>
        </w:rPr>
        <w:t xml:space="preserve">operativa e non retorica: **su di lui, meno che su chiunque, è lecito procedere</w:t>
      </w:r>
    </w:p>
    <w:p>
      <w:pPr>
        <w:spacing w:after="120" w:line="276"/>
        <w:jc w:val="both"/>
      </w:pPr>
      <w:r>
        <w:rPr>
          <w:rFonts w:ascii="Barlow Semi Condensed" w:cs="Barlow Semi Condensed" w:eastAsia="Barlow Semi Condensed" w:hAnsi="Barlow Semi Condensed"/>
          <w:sz w:val="24"/>
          <w:szCs w:val="24"/>
        </w:rPr>
        <w:t xml:space="preserve">per sospetto.** Un lavoro che, per spiegare la sua morte, abbandonasse la</w:t>
      </w:r>
    </w:p>
    <w:p>
      <w:pPr>
        <w:spacing w:after="120" w:line="276"/>
        <w:jc w:val="both"/>
      </w:pPr>
      <w:r>
        <w:rPr>
          <w:rFonts w:ascii="Barlow Semi Condensed" w:cs="Barlow Semi Condensed" w:eastAsia="Barlow Semi Condensed" w:hAnsi="Barlow Semi Condensed"/>
          <w:sz w:val="24"/>
          <w:szCs w:val="24"/>
        </w:rPr>
        <w:t xml:space="preserve">disciplina che egli insegnava, avrebbe già perso ciò che voleva difendere.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La prigionia: che cosa è accertato, e quanto poco è</w:t>
      </w:r>
    </w:p>
    <w:p>
      <w:pPr>
        <w:spacing w:after="120" w:line="276"/>
        <w:jc w:val="both"/>
      </w:pPr>
      <w:r>
        <w:rPr>
          <w:rFonts w:ascii="Barlow Semi Condensed" w:cs="Barlow Semi Condensed" w:eastAsia="Barlow Semi Condensed" w:hAnsi="Barlow Semi Condensed"/>
          <w:sz w:val="24"/>
          <w:szCs w:val="24"/>
        </w:rPr>
        <w:t xml:space="preserve">Va detto per primo perché è **meno di quanto la narrazione corrente lasci</w:t>
      </w:r>
    </w:p>
    <w:p>
      <w:pPr>
        <w:spacing w:after="120" w:line="276"/>
        <w:jc w:val="both"/>
      </w:pPr>
      <w:r>
        <w:rPr>
          <w:rFonts w:ascii="Barlow Semi Condensed" w:cs="Barlow Semi Condensed" w:eastAsia="Barlow Semi Condensed" w:hAnsi="Barlow Semi Condensed"/>
          <w:sz w:val="24"/>
          <w:szCs w:val="24"/>
        </w:rPr>
        <w:t xml:space="preserve">credere, e insieme è molto**.</w:t>
      </w:r>
    </w:p>
    <w:p>
      <w:pPr>
        <w:spacing w:after="120" w:line="276"/>
        <w:jc w:val="both"/>
      </w:pPr>
      <w:r>
        <w:rPr>
          <w:rFonts w:ascii="Barlow Semi Condensed" w:cs="Barlow Semi Condensed" w:eastAsia="Barlow Semi Condensed" w:hAnsi="Barlow Semi Condensed"/>
          <w:b/>
          <w:bCs/>
          <w:sz w:val="24"/>
          <w:szCs w:val="24"/>
        </w:rPr>
        <w:t xml:space="preserve">È accertato, e sta al Livello A:</w:t>
      </w:r>
      <w:r>
        <w:rPr>
          <w:rFonts w:ascii="Barlow Semi Condensed" w:cs="Barlow Semi Condensed" w:eastAsia="Barlow Semi Condensed" w:hAnsi="Barlow Semi Condensed"/>
          <w:sz w:val="24"/>
          <w:szCs w:val="24"/>
        </w:rPr>
        <w:t xml:space="preserve"> che Aldo Moro fu detenuto in un appartamento</w:t>
      </w:r>
    </w:p>
    <w:p>
      <w:pPr>
        <w:spacing w:after="120" w:line="276"/>
        <w:jc w:val="both"/>
      </w:pPr>
      <w:r>
        <w:rPr>
          <w:rFonts w:ascii="Barlow Semi Condensed" w:cs="Barlow Semi Condensed" w:eastAsia="Barlow Semi Condensed" w:hAnsi="Barlow Semi Condensed"/>
          <w:sz w:val="24"/>
          <w:szCs w:val="24"/>
        </w:rPr>
        <w:t xml:space="preserve">di </w:t>
      </w:r>
      <w:r>
        <w:rPr>
          <w:rFonts w:ascii="Barlow Semi Condensed" w:cs="Barlow Semi Condensed" w:eastAsia="Barlow Semi Condensed" w:hAnsi="Barlow Semi Condensed"/>
          <w:b/>
          <w:bCs/>
          <w:sz w:val="24"/>
          <w:szCs w:val="24"/>
        </w:rPr>
        <w:t xml:space="preserve">via Camillo Montalcini</w:t>
      </w:r>
      <w:r>
        <w:rPr>
          <w:rFonts w:ascii="Barlow Semi Condensed" w:cs="Barlow Semi Condensed" w:eastAsia="Barlow Semi Condensed" w:hAnsi="Barlow Semi Condensed"/>
          <w:sz w:val="24"/>
          <w:szCs w:val="24"/>
        </w:rPr>
        <w:t xml:space="preserve">, nel quartiere della Magliana, in un vano ricavato</w:t>
      </w:r>
    </w:p>
    <w:p>
      <w:pPr>
        <w:spacing w:after="120" w:line="276"/>
        <w:jc w:val="both"/>
      </w:pPr>
      <w:r>
        <w:rPr>
          <w:rFonts w:ascii="Barlow Semi Condensed" w:cs="Barlow Semi Condensed" w:eastAsia="Barlow Semi Condensed" w:hAnsi="Barlow Semi Condensed"/>
          <w:sz w:val="24"/>
          <w:szCs w:val="24"/>
        </w:rPr>
        <w:t xml:space="preserve">all'interno dell'abitazione e schermato in modo da renderlo invisibile a</w:t>
      </w:r>
    </w:p>
    <w:p>
      <w:pPr>
        <w:spacing w:after="120" w:line="276"/>
        <w:jc w:val="both"/>
      </w:pPr>
      <w:r>
        <w:rPr>
          <w:rFonts w:ascii="Barlow Semi Condensed" w:cs="Barlow Semi Condensed" w:eastAsia="Barlow Semi Condensed" w:hAnsi="Barlow Semi Condensed"/>
          <w:sz w:val="24"/>
          <w:szCs w:val="24"/>
        </w:rPr>
        <w:t xml:space="preserve">un'ispezione superficiale; che la gestione quotidiana della custodia fu affidata a</w:t>
      </w:r>
    </w:p>
    <w:p>
      <w:pPr>
        <w:spacing w:after="120" w:line="276"/>
        <w:jc w:val="both"/>
      </w:pPr>
      <w:r>
        <w:rPr>
          <w:rFonts w:ascii="Barlow Semi Condensed" w:cs="Barlow Semi Condensed" w:eastAsia="Barlow Semi Condensed" w:hAnsi="Barlow Semi Condensed"/>
          <w:sz w:val="24"/>
          <w:szCs w:val="24"/>
        </w:rPr>
        <w:t xml:space="preserve">un </w:t>
      </w:r>
      <w:r>
        <w:rPr>
          <w:rFonts w:ascii="Barlow Semi Condensed" w:cs="Barlow Semi Condensed" w:eastAsia="Barlow Semi Condensed" w:hAnsi="Barlow Semi Condensed"/>
          <w:b/>
          <w:bCs/>
          <w:sz w:val="24"/>
          <w:szCs w:val="24"/>
        </w:rPr>
        <w:t xml:space="preserve">numero ristrettissimo di militanti</w:t>
      </w:r>
      <w:r>
        <w:rPr>
          <w:rFonts w:ascii="Barlow Semi Condensed" w:cs="Barlow Semi Condensed" w:eastAsia="Barlow Semi Condensed" w:hAnsi="Barlow Semi Condensed"/>
          <w:sz w:val="24"/>
          <w:szCs w:val="24"/>
        </w:rPr>
        <w:t xml:space="preserve">; che il prigioniero vi rimase, secondo</w:t>
      </w:r>
    </w:p>
    <w:p>
      <w:pPr>
        <w:spacing w:after="120" w:line="276"/>
        <w:jc w:val="both"/>
      </w:pPr>
      <w:r>
        <w:rPr>
          <w:rFonts w:ascii="Barlow Semi Condensed" w:cs="Barlow Semi Condensed" w:eastAsia="Barlow Semi Condensed" w:hAnsi="Barlow Semi Condensed"/>
          <w:sz w:val="24"/>
          <w:szCs w:val="24"/>
        </w:rPr>
        <w:t xml:space="preserve">la ricostruzione giudiziaria consolidata, per l'intera durata dei cinquantacinque</w:t>
      </w:r>
    </w:p>
    <w:p>
      <w:pPr>
        <w:spacing w:after="120" w:line="276"/>
        <w:jc w:val="both"/>
      </w:pPr>
      <w:r>
        <w:rPr>
          <w:rFonts w:ascii="Barlow Semi Condensed" w:cs="Barlow Semi Condensed" w:eastAsia="Barlow Semi Condensed" w:hAnsi="Barlow Semi Condensed"/>
          <w:sz w:val="24"/>
          <w:szCs w:val="24"/>
        </w:rPr>
        <w:t xml:space="preserve">giorni. È accertato che disponeva di carta e penna, che scrisse per tutto il</w:t>
      </w:r>
    </w:p>
    <w:p>
      <w:pPr>
        <w:spacing w:after="120" w:line="276"/>
        <w:jc w:val="both"/>
      </w:pPr>
      <w:r>
        <w:rPr>
          <w:rFonts w:ascii="Barlow Semi Condensed" w:cs="Barlow Semi Condensed" w:eastAsia="Barlow Semi Condensed" w:hAnsi="Barlow Semi Condensed"/>
          <w:sz w:val="24"/>
          <w:szCs w:val="24"/>
        </w:rPr>
        <w:t xml:space="preserve">periodo, che le sue lettere furono recapitate </w:t>
      </w:r>
      <w:r>
        <w:rPr>
          <w:rFonts w:ascii="Barlow Semi Condensed" w:cs="Barlow Semi Condensed" w:eastAsia="Barlow Semi Condensed" w:hAnsi="Barlow Semi Condensed"/>
          <w:b/>
          <w:bCs/>
          <w:sz w:val="24"/>
          <w:szCs w:val="24"/>
        </w:rPr>
        <w:t xml:space="preserve">attraverso canali predisposti</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che fu sottoposto a un interrogatorio protratto cui rispose per iscritto.</w:t>
      </w:r>
    </w:p>
    <w:p>
      <w:pPr>
        <w:spacing w:after="120" w:line="276"/>
        <w:jc w:val="both"/>
      </w:pPr>
      <w:r>
        <w:rPr>
          <w:rFonts w:ascii="Barlow Semi Condensed" w:cs="Barlow Semi Condensed" w:eastAsia="Barlow Semi Condensed" w:hAnsi="Barlow Semi Condensed"/>
          <w:b/>
          <w:bCs/>
          <w:sz w:val="24"/>
          <w:szCs w:val="24"/>
        </w:rPr>
        <w:t xml:space="preserve">Non è accertato</w:t>
      </w:r>
      <w:r>
        <w:rPr>
          <w:rFonts w:ascii="Barlow Semi Condensed" w:cs="Barlow Semi Condensed" w:eastAsia="Barlow Semi Condensed" w:hAnsi="Barlow Semi Condensed"/>
          <w:sz w:val="24"/>
          <w:szCs w:val="24"/>
        </w:rPr>
        <w:t xml:space="preserve">, e le inchieste lo hanno esplorato senza approdo, che vi</w:t>
      </w:r>
    </w:p>
    <w:p>
      <w:pPr>
        <w:spacing w:after="120" w:line="276"/>
        <w:jc w:val="both"/>
      </w:pPr>
      <w:r>
        <w:rPr>
          <w:rFonts w:ascii="Barlow Semi Condensed" w:cs="Barlow Semi Condensed" w:eastAsia="Barlow Semi Condensed" w:hAnsi="Barlow Semi Condensed"/>
          <w:sz w:val="24"/>
          <w:szCs w:val="24"/>
        </w:rPr>
        <w:t xml:space="preserve">fossero </w:t>
      </w:r>
      <w:r>
        <w:rPr>
          <w:rFonts w:ascii="Barlow Semi Condensed" w:cs="Barlow Semi Condensed" w:eastAsia="Barlow Semi Condensed" w:hAnsi="Barlow Semi Condensed"/>
          <w:b/>
          <w:bCs/>
          <w:sz w:val="24"/>
          <w:szCs w:val="24"/>
        </w:rPr>
        <w:t xml:space="preserve">luoghi di detenzione ulteriori</w:t>
      </w:r>
      <w:r>
        <w:rPr>
          <w:rFonts w:ascii="Barlow Semi Condensed" w:cs="Barlow Semi Condensed" w:eastAsia="Barlow Semi Condensed" w:hAnsi="Barlow Semi Condensed"/>
          <w:sz w:val="24"/>
          <w:szCs w:val="24"/>
        </w:rPr>
        <w:t xml:space="preserve">. L'ipotesi è stata avanzata a più</w:t>
      </w:r>
    </w:p>
    <w:p>
      <w:pPr>
        <w:spacing w:after="120" w:line="276"/>
        <w:jc w:val="both"/>
      </w:pPr>
      <w:r>
        <w:rPr>
          <w:rFonts w:ascii="Barlow Semi Condensed" w:cs="Barlow Semi Condensed" w:eastAsia="Barlow Semi Condensed" w:hAnsi="Barlow Semi Condensed"/>
          <w:sz w:val="24"/>
          <w:szCs w:val="24"/>
        </w:rPr>
        <w:t xml:space="preserve">riprese e </w:t>
      </w:r>
      <w:r>
        <w:rPr>
          <w:rFonts w:ascii="Barlow Semi Condensed" w:cs="Barlow Semi Condensed" w:eastAsia="Barlow Semi Condensed" w:hAnsi="Barlow Semi Condensed"/>
          <w:b/>
          <w:bCs/>
          <w:sz w:val="24"/>
          <w:szCs w:val="24"/>
        </w:rPr>
        <w:t xml:space="preserve">non ha mai raggiunto la soglia probatoria</w:t>
      </w:r>
      <w:r>
        <w:rPr>
          <w:rFonts w:ascii="Barlow Semi Condensed" w:cs="Barlow Semi Condensed" w:eastAsia="Barlow Semi Condensed" w:hAnsi="Barlow Semi Condensed"/>
          <w:sz w:val="24"/>
          <w:szCs w:val="24"/>
        </w:rPr>
        <w:t xml:space="preserve">: resta fra gli Stati Zero,</w:t>
      </w:r>
    </w:p>
    <w:p>
      <w:pPr>
        <w:spacing w:after="120" w:line="276"/>
        <w:jc w:val="both"/>
      </w:pPr>
      <w:r>
        <w:rPr>
          <w:rFonts w:ascii="Barlow Semi Condensed" w:cs="Barlow Semi Condensed" w:eastAsia="Barlow Semi Condensed" w:hAnsi="Barlow Semi Condensed"/>
          <w:sz w:val="24"/>
          <w:szCs w:val="24"/>
        </w:rPr>
        <w:t xml:space="preserve">e il corpus ne colloca la robustezza a livello </w:t>
      </w:r>
      <w:r>
        <w:rPr>
          <w:rFonts w:ascii="Barlow Semi Condensed" w:cs="Barlow Semi Condensed" w:eastAsia="Barlow Semi Condensed" w:hAnsi="Barlow Semi Condensed"/>
          <w:b/>
          <w:bCs/>
          <w:sz w:val="24"/>
          <w:szCs w:val="24"/>
        </w:rPr>
        <w:t xml:space="preserve">modesto</w:t>
      </w:r>
      <w:r>
        <w:rPr>
          <w:rFonts w:ascii="Barlow Semi Condensed" w:cs="Barlow Semi Condensed" w:eastAsia="Barlow Semi Condensed" w:hAnsi="Barlow Semi Condensed"/>
          <w:sz w:val="24"/>
          <w:szCs w:val="24"/>
        </w:rPr>
        <w:t xml:space="preserve"> — modesto perché, se</w:t>
      </w:r>
    </w:p>
    <w:p>
      <w:pPr>
        <w:spacing w:after="120" w:line="276"/>
        <w:jc w:val="both"/>
      </w:pPr>
      <w:r>
        <w:rPr>
          <w:rFonts w:ascii="Barlow Semi Condensed" w:cs="Barlow Semi Condensed" w:eastAsia="Barlow Semi Condensed" w:hAnsi="Barlow Semi Condensed"/>
          <w:sz w:val="24"/>
          <w:szCs w:val="24"/>
        </w:rPr>
        <w:t xml:space="preserve">l'ipotesi fosse vera, la traccia sarebbe stata </w:t>
      </w:r>
      <w:r>
        <w:rPr>
          <w:rFonts w:ascii="Barlow Semi Condensed" w:cs="Barlow Semi Condensed" w:eastAsia="Barlow Semi Condensed" w:hAnsi="Barlow Semi Condensed"/>
          <w:i/>
          <w:iCs/>
          <w:sz w:val="24"/>
          <w:szCs w:val="24"/>
        </w:rPr>
        <w:t xml:space="preserve">possibile</w:t>
      </w:r>
      <w:r>
        <w:rPr>
          <w:rFonts w:ascii="Barlow Semi Condensed" w:cs="Barlow Semi Condensed" w:eastAsia="Barlow Semi Condensed" w:hAnsi="Barlow Semi Condensed"/>
          <w:sz w:val="24"/>
          <w:szCs w:val="24"/>
        </w:rPr>
        <w:t xml:space="preserve"> e non </w:t>
      </w:r>
      <w:r>
        <w:rPr>
          <w:rFonts w:ascii="Barlow Semi Condensed" w:cs="Barlow Semi Condensed" w:eastAsia="Barlow Semi Condensed" w:hAnsi="Barlow Semi Condensed"/>
          <w:i/>
          <w:iCs/>
          <w:sz w:val="24"/>
          <w:szCs w:val="24"/>
        </w:rPr>
        <w:t xml:space="preserve">necessaria</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un esito negativo deprime tanto meno quanto meno la traccia era attesa.</w:t>
      </w:r>
    </w:p>
    <w:p>
      <w:pPr>
        <w:spacing w:after="120" w:line="276"/>
        <w:jc w:val="both"/>
      </w:pPr>
      <w:r>
        <w:rPr>
          <w:rFonts w:ascii="Barlow Semi Condensed" w:cs="Barlow Semi Condensed" w:eastAsia="Barlow Semi Condensed" w:hAnsi="Barlow Semi Condensed"/>
          <w:sz w:val="24"/>
          <w:szCs w:val="24"/>
        </w:rPr>
        <w:t xml:space="preserve">Le due proposizioni sono compatibili e vanno tenute insieme: **la prima riguarda</w:t>
      </w:r>
    </w:p>
    <w:p>
      <w:pPr>
        <w:spacing w:after="120" w:line="276"/>
        <w:jc w:val="both"/>
      </w:pPr>
      <w:r>
        <w:rPr>
          <w:rFonts w:ascii="Barlow Semi Condensed" w:cs="Barlow Semi Condensed" w:eastAsia="Barlow Semi Condensed" w:hAnsi="Barlow Semi Condensed"/>
          <w:sz w:val="24"/>
          <w:szCs w:val="24"/>
        </w:rPr>
        <w:t xml:space="preserve">ciò che è accertato, la seconda ciò che non è stato trovato.** Confonderle è</w:t>
      </w:r>
    </w:p>
    <w:p>
      <w:pPr>
        <w:spacing w:after="120" w:line="276"/>
        <w:jc w:val="both"/>
      </w:pPr>
      <w:r>
        <w:rPr>
          <w:rFonts w:ascii="Barlow Semi Condensed" w:cs="Barlow Semi Condensed" w:eastAsia="Barlow Semi Condensed" w:hAnsi="Barlow Semi Condensed"/>
          <w:sz w:val="24"/>
          <w:szCs w:val="24"/>
        </w:rPr>
        <w:t xml:space="preserve">l'errore che genera metà della letteratura sul caso.</w:t>
      </w:r>
    </w:p>
    <w:p>
      <w:pPr>
        <w:spacing w:after="120" w:line="276"/>
        <w:jc w:val="both"/>
      </w:pPr>
      <w:r>
        <w:rPr>
          <w:rFonts w:ascii="Barlow Semi Condensed" w:cs="Barlow Semi Condensed" w:eastAsia="Barlow Semi Condensed" w:hAnsi="Barlow Semi Condensed"/>
          <w:b/>
          <w:bCs/>
          <w:sz w:val="24"/>
          <w:szCs w:val="24"/>
        </w:rPr>
        <w:t xml:space="preserve">Un fatto che pesa sulla misura della custodia.</w:t>
      </w:r>
      <w:r>
        <w:rPr>
          <w:rFonts w:ascii="Barlow Semi Condensed" w:cs="Barlow Semi Condensed" w:eastAsia="Barlow Semi Condensed" w:hAnsi="Barlow Semi Condensed"/>
          <w:sz w:val="24"/>
          <w:szCs w:val="24"/>
        </w:rPr>
        <w:t xml:space="preserve"> L'appartamento di via</w:t>
      </w:r>
    </w:p>
    <w:p>
      <w:pPr>
        <w:spacing w:after="120" w:line="276"/>
        <w:jc w:val="both"/>
      </w:pPr>
      <w:r>
        <w:rPr>
          <w:rFonts w:ascii="Barlow Semi Condensed" w:cs="Barlow Semi Condensed" w:eastAsia="Barlow Semi Condensed" w:hAnsi="Barlow Semi Condensed"/>
          <w:sz w:val="24"/>
          <w:szCs w:val="24"/>
        </w:rPr>
        <w:t xml:space="preserve">Montalcini 8 fu acquistato nel </w:t>
      </w:r>
      <w:r>
        <w:rPr>
          <w:rFonts w:ascii="Barlow Semi Condensed" w:cs="Barlow Semi Condensed" w:eastAsia="Barlow Semi Condensed" w:hAnsi="Barlow Semi Condensed"/>
          <w:b/>
          <w:bCs/>
          <w:sz w:val="24"/>
          <w:szCs w:val="24"/>
        </w:rPr>
        <w:t xml:space="preserve">giugno 1977</w:t>
      </w:r>
      <w:r>
        <w:rPr>
          <w:rFonts w:ascii="Barlow Semi Condensed" w:cs="Barlow Semi Condensed" w:eastAsia="Barlow Semi Condensed" w:hAnsi="Barlow Semi Condensed"/>
          <w:sz w:val="24"/>
          <w:szCs w:val="24"/>
        </w:rPr>
        <w:t xml:space="preserve"> e intestato ad **Anna Laura</w:t>
      </w:r>
    </w:p>
    <w:p>
      <w:pPr>
        <w:spacing w:after="120" w:line="276"/>
        <w:jc w:val="both"/>
      </w:pPr>
      <w:r>
        <w:rPr>
          <w:rFonts w:ascii="Barlow Semi Condensed" w:cs="Barlow Semi Condensed" w:eastAsia="Barlow Semi Condensed" w:hAnsi="Barlow Semi Condensed"/>
          <w:sz w:val="24"/>
          <w:szCs w:val="24"/>
        </w:rPr>
        <w:t xml:space="preserve">Braghetti</w:t>
      </w:r>
      <w:r>
        <w:rPr>
          <w:rFonts w:ascii="Barlow Semi Condensed" w:cs="Barlow Semi Condensed" w:eastAsia="Barlow Semi Condensed" w:hAnsi="Barlow Semi Condensed"/>
          <w:b/>
          <w:bCs/>
          <w:sz w:val="24"/>
          <w:szCs w:val="24"/>
        </w:rPr>
        <w:t xml:space="preserve"> (Roma, 1953-2025), condannata all'</w:t>
      </w:r>
      <w:r>
        <w:rPr>
          <w:rFonts w:ascii="Barlow Semi Condensed" w:cs="Barlow Semi Condensed" w:eastAsia="Barlow Semi Condensed" w:hAnsi="Barlow Semi Condensed"/>
          <w:sz w:val="24"/>
          <w:szCs w:val="24"/>
        </w:rPr>
        <w:t xml:space="preserve">ergastolo** per il caso Moro:</w:t>
      </w:r>
    </w:p>
    <w:p>
      <w:pPr>
        <w:spacing w:after="120" w:line="276"/>
        <w:jc w:val="both"/>
      </w:pPr>
      <w:r>
        <w:rPr>
          <w:rFonts w:ascii="Barlow Semi Condensed" w:cs="Barlow Semi Condensed" w:eastAsia="Barlow Semi Condensed" w:hAnsi="Barlow Semi Condensed"/>
          <w:b/>
          <w:bCs/>
          <w:sz w:val="24"/>
          <w:szCs w:val="24"/>
        </w:rPr>
        <w:t xml:space="preserve">Livello A</w:t>
      </w:r>
      <w:r>
        <w:rPr>
          <w:rFonts w:ascii="Barlow Semi Condensed" w:cs="Barlow Semi Condensed" w:eastAsia="Barlow Semi Condensed" w:hAnsi="Barlow Semi Condensed"/>
          <w:sz w:val="24"/>
          <w:szCs w:val="24"/>
        </w:rPr>
        <w:t xml:space="preserve">, giudicato definitivo. L'acquisto </w:t>
      </w:r>
      <w:r>
        <w:rPr>
          <w:rFonts w:ascii="Barlow Semi Condensed" w:cs="Barlow Semi Condensed" w:eastAsia="Barlow Semi Condensed" w:hAnsi="Barlow Semi Condensed"/>
          <w:b/>
          <w:bCs/>
          <w:sz w:val="24"/>
          <w:szCs w:val="24"/>
        </w:rPr>
        <w:t xml:space="preserve">nove mesi prima</w:t>
      </w:r>
      <w:r>
        <w:rPr>
          <w:rFonts w:ascii="Barlow Semi Condensed" w:cs="Barlow Semi Condensed" w:eastAsia="Barlow Semi Condensed" w:hAnsi="Barlow Semi Condensed"/>
          <w:sz w:val="24"/>
          <w:szCs w:val="24"/>
        </w:rPr>
        <w:t xml:space="preserve"> del sequestro</w:t>
      </w:r>
    </w:p>
    <w:p>
      <w:pPr>
        <w:spacing w:after="120" w:line="276"/>
        <w:jc w:val="both"/>
      </w:pPr>
      <w:r>
        <w:rPr>
          <w:rFonts w:ascii="Barlow Semi Condensed" w:cs="Barlow Semi Condensed" w:eastAsia="Barlow Semi Condensed" w:hAnsi="Barlow Semi Condensed"/>
          <w:sz w:val="24"/>
          <w:szCs w:val="24"/>
        </w:rPr>
        <w:t xml:space="preserve">è il dato che qualunque ipotesi sul luogo deve spiegare, e che la maggior parte</w:t>
      </w:r>
    </w:p>
    <w:p>
      <w:pPr>
        <w:spacing w:after="120" w:line="276"/>
        <w:jc w:val="both"/>
      </w:pPr>
      <w:r>
        <w:rPr>
          <w:rFonts w:ascii="Barlow Semi Condensed" w:cs="Barlow Semi Condensed" w:eastAsia="Barlow Semi Condensed" w:hAnsi="Barlow Semi Condensed"/>
          <w:sz w:val="24"/>
          <w:szCs w:val="24"/>
        </w:rPr>
        <w:t xml:space="preserve">delle ipotesi alternative non spiega.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I mandanti: il muro, e dove esattamente si trova</w:t>
      </w:r>
    </w:p>
    <w:p>
      <w:pPr>
        <w:spacing w:after="120" w:line="276"/>
        <w:jc w:val="both"/>
      </w:pPr>
      <w:r>
        <w:rPr>
          <w:rFonts w:ascii="Barlow Semi Condensed" w:cs="Barlow Semi Condensed" w:eastAsia="Barlow Semi Condensed" w:hAnsi="Barlow Semi Condensed"/>
          <w:sz w:val="24"/>
          <w:szCs w:val="24"/>
        </w:rPr>
        <w:t xml:space="preserve">Qui il fascicolo deve essere brutale, perché è il punto in cui quasi tutta la</w:t>
      </w:r>
    </w:p>
    <w:p>
      <w:pPr>
        <w:spacing w:after="120" w:line="276"/>
        <w:jc w:val="both"/>
      </w:pPr>
      <w:r>
        <w:rPr>
          <w:rFonts w:ascii="Barlow Semi Condensed" w:cs="Barlow Semi Condensed" w:eastAsia="Barlow Semi Condensed" w:hAnsi="Barlow Semi Condensed"/>
          <w:sz w:val="24"/>
          <w:szCs w:val="24"/>
        </w:rPr>
        <w:t xml:space="preserve">pubblicistica scivola.</w:t>
      </w:r>
    </w:p>
    <w:p>
      <w:pPr>
        <w:spacing w:after="120" w:line="276"/>
        <w:jc w:val="both"/>
      </w:pPr>
      <w:r>
        <w:rPr>
          <w:rFonts w:ascii="Barlow Semi Condensed" w:cs="Barlow Semi Condensed" w:eastAsia="Barlow Semi Condensed" w:hAnsi="Barlow Semi Condensed"/>
          <w:sz w:val="24"/>
          <w:szCs w:val="24"/>
        </w:rPr>
        <w:t xml:space="preserve">**Il mandato estero è uno Stato Zero, e il corpus lo eleva a limite</w:t>
      </w:r>
    </w:p>
    <w:p>
      <w:pPr>
        <w:spacing w:after="120" w:line="276"/>
        <w:jc w:val="both"/>
      </w:pPr>
      <w:r>
        <w:rPr>
          <w:rFonts w:ascii="Barlow Semi Condensed" w:cs="Barlow Semi Condensed" w:eastAsia="Barlow Semi Condensed" w:hAnsi="Barlow Semi Condensed"/>
          <w:sz w:val="24"/>
          <w:szCs w:val="24"/>
        </w:rPr>
        <w:t xml:space="preserve">invalicabile.** L'ipotesi che il sequestro sia stato ordinato, commissionato o</w:t>
      </w:r>
    </w:p>
    <w:p>
      <w:pPr>
        <w:spacing w:after="120" w:line="276"/>
        <w:jc w:val="both"/>
      </w:pPr>
      <w:r>
        <w:rPr>
          <w:rFonts w:ascii="Barlow Semi Condensed" w:cs="Barlow Semi Condensed" w:eastAsia="Barlow Semi Condensed" w:hAnsi="Barlow Semi Condensed"/>
          <w:sz w:val="24"/>
          <w:szCs w:val="24"/>
        </w:rPr>
        <w:t xml:space="preserve">diretto da una potenza o da un servizio straniero è stata investigata per quattro</w:t>
      </w:r>
    </w:p>
    <w:p>
      <w:pPr>
        <w:spacing w:after="120" w:line="276"/>
        <w:jc w:val="both"/>
      </w:pPr>
      <w:r>
        <w:rPr>
          <w:rFonts w:ascii="Barlow Semi Condensed" w:cs="Barlow Semi Condensed" w:eastAsia="Barlow Semi Condensed" w:hAnsi="Barlow Semi Condensed"/>
          <w:sz w:val="24"/>
          <w:szCs w:val="24"/>
        </w:rPr>
        <w:t xml:space="preserve">decenni, da tre commissioni parlamentari, da più procure, con l'ausilio degli</w:t>
      </w:r>
    </w:p>
    <w:p>
      <w:pPr>
        <w:spacing w:after="120" w:line="276"/>
        <w:jc w:val="both"/>
      </w:pPr>
      <w:r>
        <w:rPr>
          <w:rFonts w:ascii="Barlow Semi Condensed" w:cs="Barlow Semi Condensed" w:eastAsia="Barlow Semi Condensed" w:hAnsi="Barlow Semi Condensed"/>
          <w:sz w:val="24"/>
          <w:szCs w:val="24"/>
        </w:rPr>
        <w:t xml:space="preserve">archivi progressivamente aperti su entrambi i versanti della cortina: **non ha mai</w:t>
      </w:r>
    </w:p>
    <w:p>
      <w:pPr>
        <w:spacing w:after="120" w:line="276"/>
        <w:jc w:val="both"/>
      </w:pPr>
      <w:r>
        <w:rPr>
          <w:rFonts w:ascii="Barlow Semi Condensed" w:cs="Barlow Semi Condensed" w:eastAsia="Barlow Semi Condensed" w:hAnsi="Barlow Semi Condensed"/>
          <w:sz w:val="24"/>
          <w:szCs w:val="24"/>
        </w:rPr>
        <w:t xml:space="preserve">trovato prova.** Nessun documento, nessuna testimonianza riscontrata, nessun atto</w:t>
      </w:r>
    </w:p>
    <w:p>
      <w:pPr>
        <w:spacing w:after="120" w:line="276"/>
        <w:jc w:val="both"/>
      </w:pPr>
      <w:r>
        <w:rPr>
          <w:rFonts w:ascii="Barlow Semi Condensed" w:cs="Barlow Semi Condensed" w:eastAsia="Barlow Semi Condensed" w:hAnsi="Barlow Semi Condensed"/>
          <w:sz w:val="24"/>
          <w:szCs w:val="24"/>
        </w:rPr>
        <w:t xml:space="preserve">giudiziario ha mai stabilito un ordine esterno. Le inchieste hanno accertato</w:t>
      </w:r>
    </w:p>
    <w:p>
      <w:pPr>
        <w:spacing w:after="120" w:line="276"/>
        <w:jc w:val="both"/>
      </w:pPr>
      <w:r>
        <w:rPr>
          <w:rFonts w:ascii="Barlow Semi Condensed" w:cs="Barlow Semi Condensed" w:eastAsia="Barlow Semi Condensed" w:hAnsi="Barlow Semi Condensed"/>
          <w:b/>
          <w:bCs/>
          <w:sz w:val="24"/>
          <w:szCs w:val="24"/>
        </w:rPr>
        <w:t xml:space="preserve">contesti, attenzioni, contatti, ambienti</w:t>
      </w:r>
      <w:r>
        <w:rPr>
          <w:rFonts w:ascii="Barlow Semi Condensed" w:cs="Barlow Semi Condensed" w:eastAsia="Barlow Semi Condensed" w:hAnsi="Barlow Semi Condensed"/>
          <w:sz w:val="24"/>
          <w:szCs w:val="24"/>
        </w:rPr>
        <w:t xml:space="preserve">; non hanno accertato </w:t>
      </w:r>
      <w:r>
        <w:rPr>
          <w:rFonts w:ascii="Barlow Semi Condensed" w:cs="Barlow Semi Condensed" w:eastAsia="Barlow Semi Condensed" w:hAnsi="Barlow Semi Condensed"/>
          <w:b/>
          <w:bCs/>
          <w:sz w:val="24"/>
          <w:szCs w:val="24"/>
        </w:rPr>
        <w:t xml:space="preserve">il mandato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L'esito negativo è di </w:t>
      </w:r>
      <w:r>
        <w:rPr>
          <w:rFonts w:ascii="Barlow Semi Condensed" w:cs="Barlow Semi Condensed" w:eastAsia="Barlow Semi Condensed" w:hAnsi="Barlow Semi Condensed"/>
          <w:b/>
          <w:bCs/>
          <w:sz w:val="24"/>
          <w:szCs w:val="24"/>
        </w:rPr>
        <w:t xml:space="preserve">Livello A come risultato di ricerca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La distinzione da cui dipende tutto il resto.</w:t>
      </w:r>
      <w:r>
        <w:rPr>
          <w:rFonts w:ascii="Barlow Semi Condensed" w:cs="Barlow Semi Condensed" w:eastAsia="Barlow Semi Condensed" w:hAnsi="Barlow Semi Condensed"/>
          <w:sz w:val="24"/>
          <w:szCs w:val="24"/>
        </w:rPr>
        <w:t xml:space="preserve"> Il corpus classifica i legami</w:t>
      </w:r>
    </w:p>
    <w:p>
      <w:pPr>
        <w:spacing w:after="120" w:line="276"/>
        <w:jc w:val="both"/>
      </w:pPr>
      <w:r>
        <w:rPr>
          <w:rFonts w:ascii="Barlow Semi Condensed" w:cs="Barlow Semi Condensed" w:eastAsia="Barlow Semi Condensed" w:hAnsi="Barlow Semi Condensed"/>
          <w:sz w:val="24"/>
          <w:szCs w:val="24"/>
        </w:rPr>
        <w:t xml:space="preserve">possibili in quattro specie, e il risultato della classificazione è asimmetrico in</w:t>
      </w:r>
    </w:p>
    <w:p>
      <w:pPr>
        <w:spacing w:after="120" w:line="276"/>
        <w:jc w:val="both"/>
      </w:pPr>
      <w:r>
        <w:rPr>
          <w:rFonts w:ascii="Barlow Semi Condensed" w:cs="Barlow Semi Condensed" w:eastAsia="Barlow Semi Condensed" w:hAnsi="Barlow Semi Condensed"/>
          <w:sz w:val="24"/>
          <w:szCs w:val="24"/>
        </w:rPr>
        <w:t xml:space="preserve">modo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specie di legame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sarebbe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 negli atti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collusione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accordo provato fra l'organizzazione e soggetti di altri mondi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non risulta</w:t>
            </w:r>
            <w:r>
              <w:rPr>
                <w:rFonts w:ascii="Barlow Semi Condensed" w:cs="Barlow Semi Condensed" w:eastAsia="Barlow Semi Condensed" w:hAnsi="Barlow Semi Condensed"/>
                <w:sz w:val="20"/>
                <w:szCs w:val="20"/>
              </w:rPr>
              <w:t xml:space="preserve"> — uno degli Stati Zero più solidi del caso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infiltrazione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presenza di fonti o agenti dentro l'organizzazione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documentata nella storia generale delle BR, </w:t>
            </w:r>
            <w:r>
              <w:rPr>
                <w:rFonts w:ascii="Barlow Semi Condensed" w:cs="Barlow Semi Condensed" w:eastAsia="Barlow Semi Condensed" w:hAnsi="Barlow Semi Condensed"/>
                <w:b/>
                <w:bCs/>
                <w:sz w:val="20"/>
                <w:szCs w:val="20"/>
              </w:rPr>
              <w:t xml:space="preserve">non nella fase specifica del 1978</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transito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flusso informativo che attraversa mondi diversi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documentato</w:t>
            </w:r>
            <w:r>
              <w:rPr>
                <w:rFonts w:ascii="Barlow Semi Condensed" w:cs="Barlow Semi Condensed" w:eastAsia="Barlow Semi Condensed" w:hAnsi="Barlow Semi Condensed"/>
                <w:sz w:val="20"/>
                <w:szCs w:val="20"/>
              </w:rPr>
              <w:t xml:space="preserve"> — l'episodio del falso comunicato ne è l'esemplare maggiore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convergenza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interessi che spingono nella stessa direzione </w:t>
            </w:r>
            <w:r>
              <w:rPr>
                <w:rFonts w:ascii="Barlow Semi Condensed" w:cs="Barlow Semi Condensed" w:eastAsia="Barlow Semi Condensed" w:hAnsi="Barlow Semi Condensed"/>
                <w:b/>
                <w:bCs/>
                <w:sz w:val="20"/>
                <w:szCs w:val="20"/>
              </w:rPr>
              <w:t xml:space="preserve">senza concerto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numerosa</w:t>
            </w:r>
            <w:r>
              <w:rPr>
                <w:rFonts w:ascii="Barlow Semi Condensed" w:cs="Barlow Semi Condensed" w:eastAsia="Barlow Semi Condensed" w:hAnsi="Barlow Semi Condensed"/>
                <w:sz w:val="20"/>
                <w:szCs w:val="20"/>
              </w:rPr>
              <w:t xml:space="preserve">, e secondo la stima del corpus la struttura portante dell'esito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**Il caso Moro è povero di collusioni provate e ricco di convergenze non</w:t>
      </w:r>
    </w:p>
    <w:p>
      <w:pPr>
        <w:spacing w:after="120" w:line="276"/>
        <w:jc w:val="both"/>
      </w:pPr>
      <w:r>
        <w:rPr>
          <w:rFonts w:ascii="Barlow Semi Condensed" w:cs="Barlow Semi Condensed" w:eastAsia="Barlow Semi Condensed" w:hAnsi="Barlow Semi Condensed"/>
          <w:sz w:val="24"/>
          <w:szCs w:val="24"/>
        </w:rPr>
        <w:t xml:space="preserve">concertate.** È l'asimmetria che la dietrologia — la quale cerca collusioni — e il</w:t>
      </w:r>
    </w:p>
    <w:p>
      <w:pPr>
        <w:spacing w:after="120" w:line="276"/>
        <w:jc w:val="both"/>
      </w:pPr>
      <w:r>
        <w:rPr>
          <w:rFonts w:ascii="Barlow Semi Condensed" w:cs="Barlow Semi Condensed" w:eastAsia="Barlow Semi Condensed" w:hAnsi="Barlow Semi Condensed"/>
          <w:sz w:val="24"/>
          <w:szCs w:val="24"/>
        </w:rPr>
        <w:t xml:space="preserve">riduzionismo — il quale nega convergenze — mancano entrambi di cogliere.</w:t>
      </w:r>
    </w:p>
    <w:p>
      <w:pPr>
        <w:spacing w:after="120" w:line="276"/>
        <w:jc w:val="both"/>
      </w:pPr>
      <w:r>
        <w:rPr>
          <w:rFonts w:ascii="Barlow Semi Condensed" w:cs="Barlow Semi Condensed" w:eastAsia="Barlow Semi Condensed" w:hAnsi="Barlow Semi Condensed"/>
          <w:sz w:val="24"/>
          <w:szCs w:val="24"/>
        </w:rPr>
        <w:t xml:space="preserve">Ne discende la formulazione più forte che questo fascicolo può sostenere senza</w:t>
      </w:r>
    </w:p>
    <w:p>
      <w:pPr>
        <w:spacing w:after="120" w:line="276"/>
        <w:jc w:val="both"/>
      </w:pPr>
      <w:r>
        <w:rPr>
          <w:rFonts w:ascii="Barlow Semi Condensed" w:cs="Barlow Semi Condensed" w:eastAsia="Barlow Semi Condensed" w:hAnsi="Barlow Semi Condensed"/>
          <w:sz w:val="24"/>
          <w:szCs w:val="24"/>
        </w:rPr>
        <w:t xml:space="preserve">uscire dal grado, e la si scrive per intero perché non venga riassunta male:</w:t>
      </w:r>
    </w:p>
    <w:p>
      <w:pPr>
        <w:spacing w:after="120" w:line="276"/>
        <w:jc w:val="both"/>
      </w:pPr>
      <w:r>
        <w:rPr>
          <w:rFonts w:ascii="Barlow Semi Condensed" w:cs="Barlow Semi Condensed" w:eastAsia="Barlow Semi Condensed" w:hAnsi="Barlow Semi Condensed"/>
          <w:b/>
          <w:bCs/>
          <w:sz w:val="24"/>
          <w:szCs w:val="24"/>
        </w:rPr>
        <w:t xml:space="preserve">non che esista un mandante unico</w:t>
      </w:r>
      <w:r>
        <w:rPr>
          <w:rFonts w:ascii="Barlow Semi Condensed" w:cs="Barlow Semi Condensed" w:eastAsia="Barlow Semi Condensed" w:hAnsi="Barlow Semi Condensed"/>
          <w:sz w:val="24"/>
          <w:szCs w:val="24"/>
        </w:rPr>
        <w:t xml:space="preserve"> — il corpus lo nega pezzo per pezzo — ma che</w:t>
      </w:r>
    </w:p>
    <w:p>
      <w:pPr>
        <w:spacing w:after="120" w:line="276"/>
        <w:jc w:val="both"/>
      </w:pPr>
      <w:r>
        <w:rPr>
          <w:rFonts w:ascii="Barlow Semi Condensed" w:cs="Barlow Semi Condensed" w:eastAsia="Barlow Semi Condensed" w:hAnsi="Barlow Semi Condensed"/>
          <w:sz w:val="24"/>
          <w:szCs w:val="24"/>
        </w:rPr>
        <w:t xml:space="preserve">Moro fosse, **per una pluralità di forze diverse e in parte avverse fra loro, un</w:t>
      </w:r>
    </w:p>
    <w:p>
      <w:pPr>
        <w:spacing w:after="120" w:line="276"/>
        <w:jc w:val="both"/>
      </w:pPr>
      <w:r>
        <w:rPr>
          <w:rFonts w:ascii="Barlow Semi Condensed" w:cs="Barlow Semi Condensed" w:eastAsia="Barlow Semi Condensed" w:hAnsi="Barlow Semi Condensed"/>
          <w:sz w:val="24"/>
          <w:szCs w:val="24"/>
        </w:rPr>
        <w:t xml:space="preserve">ostacolo che conveniva rimuovere**. Questo non è un mandato: è una condizione. E</w:t>
      </w:r>
    </w:p>
    <w:p>
      <w:pPr>
        <w:spacing w:after="120" w:line="276"/>
        <w:jc w:val="both"/>
      </w:pPr>
      <w:r>
        <w:rPr>
          <w:rFonts w:ascii="Barlow Semi Condensed" w:cs="Barlow Semi Condensed" w:eastAsia="Barlow Semi Condensed" w:hAnsi="Barlow Semi Condensed"/>
          <w:sz w:val="24"/>
          <w:szCs w:val="24"/>
        </w:rPr>
        <w:t xml:space="preserve">una condizione non ha autori.</w:t>
      </w:r>
    </w:p>
    <w:p>
      <w:pPr>
        <w:spacing w:after="120" w:line="276"/>
        <w:jc w:val="both"/>
      </w:pPr>
      <w:r>
        <w:rPr>
          <w:rFonts w:ascii="Barlow Semi Condensed" w:cs="Barlow Semi Condensed" w:eastAsia="Barlow Semi Condensed" w:hAnsi="Barlow Semi Condensed"/>
          <w:b/>
          <w:bCs/>
          <w:sz w:val="24"/>
          <w:szCs w:val="24"/>
        </w:rPr>
        <w:t xml:space="preserve">Che cosa manca perché la parola «mandante» diventi scrivibile.</w:t>
      </w:r>
      <w:r>
        <w:rPr>
          <w:rFonts w:ascii="Barlow Semi Condensed" w:cs="Barlow Semi Condensed" w:eastAsia="Barlow Semi Condensed" w:hAnsi="Barlow Semi Condensed"/>
          <w:sz w:val="24"/>
          <w:szCs w:val="24"/>
        </w:rPr>
        <w:t xml:space="preserve"> Un documento —</w:t>
      </w:r>
    </w:p>
    <w:p>
      <w:pPr>
        <w:spacing w:after="120" w:line="276"/>
        <w:jc w:val="both"/>
      </w:pPr>
      <w:r>
        <w:rPr>
          <w:rFonts w:ascii="Barlow Semi Condensed" w:cs="Barlow Semi Condensed" w:eastAsia="Barlow Semi Condensed" w:hAnsi="Barlow Semi Condensed"/>
          <w:sz w:val="24"/>
          <w:szCs w:val="24"/>
        </w:rPr>
        <w:t xml:space="preserve">verbale, direttiva, rendiconto operativo — che attesti un'iniziativa non</w:t>
      </w:r>
    </w:p>
    <w:p>
      <w:pPr>
        <w:spacing w:after="120" w:line="276"/>
        <w:jc w:val="both"/>
      </w:pPr>
      <w:r>
        <w:rPr>
          <w:rFonts w:ascii="Barlow Semi Condensed" w:cs="Barlow Semi Condensed" w:eastAsia="Barlow Semi Condensed" w:hAnsi="Barlow Semi Condensed"/>
          <w:sz w:val="24"/>
          <w:szCs w:val="24"/>
        </w:rPr>
        <w:t xml:space="preserve">dichiarata diretta a impedire l'accordo politico con mezzi eccedenti quelli</w:t>
      </w:r>
    </w:p>
    <w:p>
      <w:pPr>
        <w:spacing w:after="120" w:line="276"/>
        <w:jc w:val="both"/>
      </w:pPr>
      <w:r>
        <w:rPr>
          <w:rFonts w:ascii="Barlow Semi Condensed" w:cs="Barlow Semi Condensed" w:eastAsia="Barlow Semi Condensed" w:hAnsi="Barlow Semi Condensed"/>
          <w:sz w:val="24"/>
          <w:szCs w:val="24"/>
        </w:rPr>
        <w:t xml:space="preserve">diplomatici. Gli archivi non sono esauriti e **il falsificatore è concretamente</w:t>
      </w:r>
    </w:p>
    <w:p>
      <w:pPr>
        <w:spacing w:after="120" w:line="276"/>
        <w:jc w:val="both"/>
      </w:pPr>
      <w:r>
        <w:rPr>
          <w:rFonts w:ascii="Barlow Semi Condensed" w:cs="Barlow Semi Condensed" w:eastAsia="Barlow Semi Condensed" w:hAnsi="Barlow Semi Condensed"/>
          <w:sz w:val="24"/>
          <w:szCs w:val="24"/>
        </w:rPr>
        <w:t xml:space="preserve">concepibile**: è, fra gli Stati Zero maggiori, quello che l'apertura di nuovi</w:t>
      </w:r>
    </w:p>
    <w:p>
      <w:pPr>
        <w:spacing w:after="120" w:line="276"/>
        <w:jc w:val="both"/>
      </w:pPr>
      <w:r>
        <w:rPr>
          <w:rFonts w:ascii="Barlow Semi Condensed" w:cs="Barlow Semi Condensed" w:eastAsia="Barlow Semi Condensed" w:hAnsi="Barlow Semi Condensed"/>
          <w:sz w:val="24"/>
          <w:szCs w:val="24"/>
        </w:rPr>
        <w:t xml:space="preserve">fondi potrebbe più verosimilmente rovesciare.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Gli esecutori non BR e non Superclan: che cosa c'è e che cosa manca</w:t>
      </w:r>
    </w:p>
    <w:p>
      <w:pPr>
        <w:spacing w:after="120" w:line="276"/>
        <w:jc w:val="both"/>
      </w:pPr>
      <w:r>
        <w:rPr>
          <w:rFonts w:ascii="Barlow Semi Condensed" w:cs="Barlow Semi Condensed" w:eastAsia="Barlow Semi Condensed" w:hAnsi="Barlow Semi Condensed"/>
          <w:b/>
          <w:bCs/>
          <w:sz w:val="24"/>
          <w:szCs w:val="24"/>
        </w:rPr>
        <w:t xml:space="preserve">Le terze presenze di via Fani.</w:t>
      </w:r>
      <w:r>
        <w:rPr>
          <w:rFonts w:ascii="Barlow Semi Condensed" w:cs="Barlow Semi Condensed" w:eastAsia="Barlow Semi Condensed" w:hAnsi="Barlow Semi Condensed"/>
          <w:sz w:val="24"/>
          <w:szCs w:val="24"/>
        </w:rPr>
        <w:t xml:space="preserve"> L'ipotesi di **tiratori estranei</w:t>
      </w:r>
    </w:p>
    <w:p>
      <w:pPr>
        <w:spacing w:after="120" w:line="276"/>
        <w:jc w:val="both"/>
      </w:pPr>
      <w:r>
        <w:rPr>
          <w:rFonts w:ascii="Barlow Semi Condensed" w:cs="Barlow Semi Condensed" w:eastAsia="Barlow Semi Condensed" w:hAnsi="Barlow Semi Condensed"/>
          <w:sz w:val="24"/>
          <w:szCs w:val="24"/>
        </w:rPr>
        <w:t xml:space="preserve">all'organizzazione** presenti in via Fani è stata esplorata con perizie e</w:t>
      </w:r>
    </w:p>
    <w:p>
      <w:pPr>
        <w:spacing w:after="120" w:line="276"/>
        <w:jc w:val="both"/>
      </w:pPr>
      <w:r>
        <w:rPr>
          <w:rFonts w:ascii="Barlow Semi Condensed" w:cs="Barlow Semi Condensed" w:eastAsia="Barlow Semi Condensed" w:hAnsi="Barlow Semi Condensed"/>
          <w:sz w:val="24"/>
          <w:szCs w:val="24"/>
        </w:rPr>
        <w:t xml:space="preserve">comparazioni fino agli anni più recenti: **non ha conseguito identificazioni né</w:t>
      </w:r>
    </w:p>
    <w:p>
      <w:pPr>
        <w:spacing w:after="120" w:line="276"/>
        <w:jc w:val="both"/>
      </w:pPr>
      <w:r>
        <w:rPr>
          <w:rFonts w:ascii="Barlow Semi Condensed" w:cs="Barlow Semi Condensed" w:eastAsia="Barlow Semi Condensed" w:hAnsi="Barlow Semi Condensed"/>
          <w:sz w:val="24"/>
          <w:szCs w:val="24"/>
        </w:rPr>
        <w:t xml:space="preserve">prove**, e resta ipotesi con il proprio margine testimoniale censito. Il nodo</w:t>
      </w:r>
    </w:p>
    <w:p>
      <w:pPr>
        <w:spacing w:after="120" w:line="276"/>
        <w:jc w:val="both"/>
      </w:pPr>
      <w:r>
        <w:rPr>
          <w:rFonts w:ascii="Barlow Semi Condensed" w:cs="Barlow Semi Condensed" w:eastAsia="Barlow Semi Condensed" w:hAnsi="Barlow Semi Condensed"/>
          <w:sz w:val="24"/>
          <w:szCs w:val="24"/>
        </w:rPr>
        <w:t xml:space="preserve">concreto sono le </w:t>
      </w:r>
      <w:r>
        <w:rPr>
          <w:rFonts w:ascii="Barlow Semi Condensed" w:cs="Barlow Semi Condensed" w:eastAsia="Barlow Semi Condensed" w:hAnsi="Barlow Semi Condensed"/>
          <w:b/>
          <w:bCs/>
          <w:sz w:val="24"/>
          <w:szCs w:val="24"/>
        </w:rPr>
        <w:t xml:space="preserve">due moto</w:t>
      </w:r>
      <w:r>
        <w:rPr>
          <w:rFonts w:ascii="Barlow Semi Condensed" w:cs="Barlow Semi Condensed" w:eastAsia="Barlow Semi Condensed" w:hAnsi="Barlow Semi Condensed"/>
          <w:sz w:val="24"/>
          <w:szCs w:val="24"/>
        </w:rPr>
        <w:t xml:space="preserve"> e l'uomo col mitra: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quanto alla</w:t>
      </w:r>
    </w:p>
    <w:p>
      <w:pPr>
        <w:spacing w:after="120" w:line="276"/>
        <w:jc w:val="both"/>
      </w:pPr>
      <w:r>
        <w:rPr>
          <w:rFonts w:ascii="Barlow Semi Condensed" w:cs="Barlow Semi Condensed" w:eastAsia="Barlow Semi Condensed" w:hAnsi="Barlow Semi Condensed"/>
          <w:sz w:val="24"/>
          <w:szCs w:val="24"/>
        </w:rPr>
        <w:t xml:space="preserve">presenza riferita, </w:t>
      </w:r>
      <w:r>
        <w:rPr>
          <w:rFonts w:ascii="Barlow Semi Condensed" w:cs="Barlow Semi Condensed" w:eastAsia="Barlow Semi Condensed" w:hAnsi="Barlow Semi Condensed"/>
          <w:b/>
          <w:bCs/>
          <w:sz w:val="24"/>
          <w:szCs w:val="24"/>
        </w:rPr>
        <w:t xml:space="preserve">grado C</w:t>
      </w:r>
      <w:r>
        <w:rPr>
          <w:rFonts w:ascii="Barlow Semi Condensed" w:cs="Barlow Semi Condensed" w:eastAsia="Barlow Semi Condensed" w:hAnsi="Barlow Semi Condensed"/>
          <w:sz w:val="24"/>
          <w:szCs w:val="24"/>
        </w:rPr>
        <w:t xml:space="preserve"> quanto all'identità.</w:t>
      </w:r>
    </w:p>
    <w:p>
      <w:pPr>
        <w:spacing w:after="120" w:line="276"/>
        <w:jc w:val="both"/>
      </w:pPr>
      <w:r>
        <w:rPr>
          <w:rFonts w:ascii="Barlow Semi Condensed" w:cs="Barlow Semi Condensed" w:eastAsia="Barlow Semi Condensed" w:hAnsi="Barlow Semi Condensed"/>
          <w:b/>
          <w:bCs/>
          <w:sz w:val="24"/>
          <w:szCs w:val="24"/>
        </w:rPr>
        <w:t xml:space="preserve">Le armi.</w:t>
      </w:r>
      <w:r>
        <w:rPr>
          <w:rFonts w:ascii="Barlow Semi Condensed" w:cs="Barlow Semi Condensed" w:eastAsia="Barlow Semi Condensed" w:hAnsi="Barlow Semi Condensed"/>
          <w:sz w:val="24"/>
          <w:szCs w:val="24"/>
        </w:rPr>
        <w:t xml:space="preserve"> Gli accertamenti sulla provenienza hanno individuato, per una parte</w:t>
      </w:r>
    </w:p>
    <w:p>
      <w:pPr>
        <w:spacing w:after="120" w:line="276"/>
        <w:jc w:val="both"/>
      </w:pPr>
      <w:r>
        <w:rPr>
          <w:rFonts w:ascii="Barlow Semi Condensed" w:cs="Barlow Semi Condensed" w:eastAsia="Barlow Semi Condensed" w:hAnsi="Barlow Semi Condensed"/>
          <w:sz w:val="24"/>
          <w:szCs w:val="24"/>
        </w:rPr>
        <w:t xml:space="preserve">del materiale, </w:t>
      </w:r>
      <w:r>
        <w:rPr>
          <w:rFonts w:ascii="Barlow Semi Condensed" w:cs="Barlow Semi Condensed" w:eastAsia="Barlow Semi Condensed" w:hAnsi="Barlow Semi Condensed"/>
          <w:b/>
          <w:bCs/>
          <w:sz w:val="24"/>
          <w:szCs w:val="24"/>
        </w:rPr>
        <w:t xml:space="preserve">canali illegali documentati</w:t>
      </w:r>
      <w:r>
        <w:rPr>
          <w:rFonts w:ascii="Barlow Semi Condensed" w:cs="Barlow Semi Condensed" w:eastAsia="Barlow Semi Condensed" w:hAnsi="Barlow Semi Condensed"/>
          <w:sz w:val="24"/>
          <w:szCs w:val="24"/>
        </w:rPr>
        <w:t xml:space="preserve">, e hanno **escluso, per quanto</w:t>
      </w:r>
    </w:p>
    <w:p>
      <w:pPr>
        <w:spacing w:after="120" w:line="276"/>
        <w:jc w:val="both"/>
      </w:pPr>
      <w:r>
        <w:rPr>
          <w:rFonts w:ascii="Barlow Semi Condensed" w:cs="Barlow Semi Condensed" w:eastAsia="Barlow Semi Condensed" w:hAnsi="Barlow Semi Condensed"/>
          <w:sz w:val="24"/>
          <w:szCs w:val="24"/>
        </w:rPr>
        <w:t xml:space="preserve">verificabile, origini interne agli apparati</w:t>
      </w:r>
      <w:r>
        <w:rPr>
          <w:rFonts w:ascii="Barlow Semi Condensed" w:cs="Barlow Semi Condensed" w:eastAsia="Barlow Semi Condensed" w:hAnsi="Barlow Semi Condensed"/>
          <w:b/>
          <w:bCs/>
          <w:sz w:val="24"/>
          <w:szCs w:val="24"/>
        </w:rPr>
        <w:t xml:space="preserve">. </w:t>
      </w:r>
      <w:r>
        <w:rPr>
          <w:rFonts w:ascii="Barlow Semi Condensed" w:cs="Barlow Semi Condensed" w:eastAsia="Barlow Semi Condensed" w:hAnsi="Barlow Semi Condensed"/>
          <w:sz w:val="24"/>
          <w:szCs w:val="24"/>
        </w:rPr>
        <w:t xml:space="preserve">Livello A quanto agli</w:t>
      </w:r>
    </w:p>
    <w:p>
      <w:pPr>
        <w:spacing w:after="120" w:line="276"/>
        <w:jc w:val="both"/>
      </w:pPr>
      <w:r>
        <w:rPr>
          <w:rFonts w:ascii="Barlow Semi Condensed" w:cs="Barlow Semi Condensed" w:eastAsia="Barlow Semi Condensed" w:hAnsi="Barlow Semi Condensed"/>
          <w:sz w:val="24"/>
          <w:szCs w:val="24"/>
        </w:rPr>
        <w:t xml:space="preserve">accertamenti compiuti.** Va registrato perché parte della pubblicistica ha</w:t>
      </w:r>
    </w:p>
    <w:p>
      <w:pPr>
        <w:spacing w:after="120" w:line="276"/>
        <w:jc w:val="both"/>
      </w:pPr>
      <w:r>
        <w:rPr>
          <w:rFonts w:ascii="Barlow Semi Condensed" w:cs="Barlow Semi Condensed" w:eastAsia="Barlow Semi Condensed" w:hAnsi="Barlow Semi Condensed"/>
          <w:sz w:val="24"/>
          <w:szCs w:val="24"/>
        </w:rPr>
        <w:t xml:space="preserve">talvolta suggerito il contrario </w:t>
      </w:r>
      <w:r>
        <w:rPr>
          <w:rFonts w:ascii="Barlow Semi Condensed" w:cs="Barlow Semi Condensed" w:eastAsia="Barlow Semi Condensed" w:hAnsi="Barlow Semi Condensed"/>
          <w:b/>
          <w:bCs/>
          <w:sz w:val="24"/>
          <w:szCs w:val="24"/>
        </w:rPr>
        <w:t xml:space="preserve">senza mai indicare l'atto che lo sorreggerebbe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L'informazione preventiva.</w:t>
      </w:r>
      <w:r>
        <w:rPr>
          <w:rFonts w:ascii="Barlow Semi Condensed" w:cs="Barlow Semi Condensed" w:eastAsia="Barlow Semi Condensed" w:hAnsi="Barlow Semi Condensed"/>
          <w:sz w:val="24"/>
          <w:szCs w:val="24"/>
        </w:rPr>
        <w:t xml:space="preserve"> Le testimonianze riferiscono di segnalazioni</w:t>
      </w:r>
    </w:p>
    <w:p>
      <w:pPr>
        <w:spacing w:after="120" w:line="276"/>
        <w:jc w:val="both"/>
      </w:pPr>
      <w:r>
        <w:rPr>
          <w:rFonts w:ascii="Barlow Semi Condensed" w:cs="Barlow Semi Condensed" w:eastAsia="Barlow Semi Condensed" w:hAnsi="Barlow Semi Condensed"/>
          <w:sz w:val="24"/>
          <w:szCs w:val="24"/>
        </w:rPr>
        <w:t xml:space="preserve">informali giunte a Moro nei mesi precedenti circa la sua esposizione. La natura va</w:t>
      </w:r>
    </w:p>
    <w:p>
      <w:pPr>
        <w:spacing w:after="120" w:line="276"/>
        <w:jc w:val="both"/>
      </w:pPr>
      <w:r>
        <w:rPr>
          <w:rFonts w:ascii="Barlow Semi Condensed" w:cs="Barlow Semi Condensed" w:eastAsia="Barlow Semi Condensed" w:hAnsi="Barlow Semi Condensed"/>
          <w:sz w:val="24"/>
          <w:szCs w:val="24"/>
        </w:rPr>
        <w:t xml:space="preserve">precisata: erano </w:t>
      </w:r>
      <w:r>
        <w:rPr>
          <w:rFonts w:ascii="Barlow Semi Condensed" w:cs="Barlow Semi Condensed" w:eastAsia="Barlow Semi Condensed" w:hAnsi="Barlow Semi Condensed"/>
          <w:b/>
          <w:bCs/>
          <w:sz w:val="24"/>
          <w:szCs w:val="24"/>
        </w:rPr>
        <w:t xml:space="preserve">valutazioni di rischio genericamente riferite</w:t>
      </w:r>
      <w:r>
        <w:rPr>
          <w:rFonts w:ascii="Barlow Semi Condensed" w:cs="Barlow Semi Condensed" w:eastAsia="Barlow Semi Condensed" w:hAnsi="Barlow Semi Condensed"/>
          <w:sz w:val="24"/>
          <w:szCs w:val="24"/>
        </w:rPr>
        <w:t xml:space="preserve"> alla situazione</w:t>
      </w:r>
    </w:p>
    <w:p>
      <w:pPr>
        <w:spacing w:after="120" w:line="276"/>
        <w:jc w:val="both"/>
      </w:pPr>
      <w:r>
        <w:rPr>
          <w:rFonts w:ascii="Barlow Semi Condensed" w:cs="Barlow Semi Condensed" w:eastAsia="Barlow Semi Condensed" w:hAnsi="Barlow Semi Condensed"/>
          <w:sz w:val="24"/>
          <w:szCs w:val="24"/>
        </w:rPr>
        <w:t xml:space="preserve">del Paese, </w:t>
      </w:r>
      <w:r>
        <w:rPr>
          <w:rFonts w:ascii="Barlow Semi Condensed" w:cs="Barlow Semi Condensed" w:eastAsia="Barlow Semi Condensed" w:hAnsi="Barlow Semi Condensed"/>
          <w:b/>
          <w:bCs/>
          <w:sz w:val="24"/>
          <w:szCs w:val="24"/>
        </w:rPr>
        <w:t xml:space="preserve">non informazioni specifiche su un progetto in corso</w:t>
      </w:r>
      <w:r>
        <w:rPr>
          <w:rFonts w:ascii="Barlow Semi Condensed" w:cs="Barlow Semi Condensed" w:eastAsia="Barlow Semi Condensed" w:hAnsi="Barlow Semi Condensed"/>
          <w:sz w:val="24"/>
          <w:szCs w:val="24"/>
        </w:rPr>
        <w:t xml:space="preserve">. La distinzione</w:t>
      </w:r>
    </w:p>
    <w:p>
      <w:pPr>
        <w:spacing w:after="120" w:line="276"/>
        <w:jc w:val="both"/>
      </w:pPr>
      <w:r>
        <w:rPr>
          <w:rFonts w:ascii="Barlow Semi Condensed" w:cs="Barlow Semi Condensed" w:eastAsia="Barlow Semi Condensed" w:hAnsi="Barlow Semi Condensed"/>
          <w:sz w:val="24"/>
          <w:szCs w:val="24"/>
        </w:rPr>
        <w:t xml:space="preserve">è capitale — una segnalazione generica non consente contromisure mirate, mentre</w:t>
      </w:r>
    </w:p>
    <w:p>
      <w:pPr>
        <w:spacing w:after="120" w:line="276"/>
        <w:jc w:val="both"/>
      </w:pPr>
      <w:r>
        <w:rPr>
          <w:rFonts w:ascii="Barlow Semi Condensed" w:cs="Barlow Semi Condensed" w:eastAsia="Barlow Semi Condensed" w:hAnsi="Barlow Semi Condensed"/>
          <w:sz w:val="24"/>
          <w:szCs w:val="24"/>
        </w:rPr>
        <w:t xml:space="preserve">un'informazione specifica non utilizzata configurerebbe un'omissione grave — e</w:t>
      </w:r>
    </w:p>
    <w:p>
      <w:pPr>
        <w:spacing w:after="120" w:line="276"/>
        <w:jc w:val="both"/>
      </w:pPr>
      <w:r>
        <w:rPr>
          <w:rFonts w:ascii="Barlow Semi Condensed" w:cs="Barlow Semi Condensed" w:eastAsia="Barlow Semi Condensed" w:hAnsi="Barlow Semi Condensed"/>
          <w:sz w:val="24"/>
          <w:szCs w:val="24"/>
        </w:rPr>
        <w:t xml:space="preserve">**nessun elemento ha mai accertato l'esistenza di informazioni specifiche</w:t>
      </w:r>
    </w:p>
    <w:p>
      <w:pPr>
        <w:spacing w:after="120" w:line="276"/>
        <w:jc w:val="both"/>
      </w:pPr>
      <w:r>
        <w:rPr>
          <w:rFonts w:ascii="Barlow Semi Condensed" w:cs="Barlow Semi Condensed" w:eastAsia="Barlow Semi Condensed" w:hAnsi="Barlow Semi Condensed"/>
          <w:sz w:val="24"/>
          <w:szCs w:val="24"/>
        </w:rPr>
        <w:t xml:space="preserve">preventive**: Stato Zero di robustezza media, perché la ricerca fu condotta ma le</w:t>
      </w:r>
    </w:p>
    <w:p>
      <w:pPr>
        <w:spacing w:after="120" w:line="276"/>
        <w:jc w:val="both"/>
      </w:pPr>
      <w:r>
        <w:rPr>
          <w:rFonts w:ascii="Barlow Semi Condensed" w:cs="Barlow Semi Condensed" w:eastAsia="Barlow Semi Condensed" w:hAnsi="Barlow Semi Condensed"/>
          <w:sz w:val="24"/>
          <w:szCs w:val="24"/>
        </w:rPr>
        <w:t xml:space="preserve">fonti potenziali sono in larga parte scomparse.</w:t>
      </w:r>
    </w:p>
    <w:p>
      <w:pPr>
        <w:spacing w:after="120" w:line="276"/>
        <w:jc w:val="both"/>
      </w:pPr>
      <w:r>
        <w:rPr>
          <w:rFonts w:ascii="Barlow Semi Condensed" w:cs="Barlow Semi Condensed" w:eastAsia="Barlow Semi Condensed" w:hAnsi="Barlow Semi Condensed"/>
          <w:b/>
          <w:bCs/>
          <w:sz w:val="24"/>
          <w:szCs w:val="24"/>
        </w:rPr>
        <w:t xml:space="preserve">La deposizione mai resa.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Alessio Casimirri</w:t>
      </w:r>
      <w:r>
        <w:rPr>
          <w:rFonts w:ascii="Barlow Semi Condensed" w:cs="Barlow Semi Condensed" w:eastAsia="Barlow Semi Condensed" w:hAnsi="Barlow Semi Condensed"/>
          <w:sz w:val="24"/>
          <w:szCs w:val="24"/>
        </w:rPr>
        <w:t xml:space="preserve"> è l'unico partecipante</w:t>
      </w:r>
    </w:p>
    <w:p>
      <w:pPr>
        <w:spacing w:after="120" w:line="276"/>
        <w:jc w:val="both"/>
      </w:pPr>
      <w:r>
        <w:rPr>
          <w:rFonts w:ascii="Barlow Semi Condensed" w:cs="Barlow Semi Condensed" w:eastAsia="Barlow Semi Condensed" w:hAnsi="Barlow Semi Condensed"/>
          <w:sz w:val="24"/>
          <w:szCs w:val="24"/>
        </w:rPr>
        <w:t xml:space="preserve">identificato di via Fani mai interrogato da un'autorità italiana: condanna</w:t>
      </w:r>
    </w:p>
    <w:p>
      <w:pPr>
        <w:spacing w:after="120" w:line="276"/>
        <w:jc w:val="both"/>
      </w:pPr>
      <w:r>
        <w:rPr>
          <w:rFonts w:ascii="Barlow Semi Condensed" w:cs="Barlow Semi Condensed" w:eastAsia="Barlow Semi Condensed" w:hAnsi="Barlow Semi Condensed"/>
          <w:sz w:val="24"/>
          <w:szCs w:val="24"/>
        </w:rPr>
        <w:t xml:space="preserve">definitiva, latitanza protetta. </w:t>
      </w:r>
      <w:r>
        <w:rPr>
          <w:rFonts w:ascii="Barlow Semi Condensed" w:cs="Barlow Semi Condensed" w:eastAsia="Barlow Semi Condensed" w:hAnsi="Barlow Semi Condensed"/>
          <w:b/>
          <w:bCs/>
          <w:sz w:val="24"/>
          <w:szCs w:val="24"/>
        </w:rPr>
        <w:t xml:space="preserve">Livello A.</w:t>
      </w:r>
      <w:r>
        <w:rPr>
          <w:rFonts w:ascii="Barlow Semi Condensed" w:cs="Barlow Semi Condensed" w:eastAsia="Barlow Semi Condensed" w:hAnsi="Barlow Semi Condensed"/>
          <w:sz w:val="24"/>
          <w:szCs w:val="24"/>
        </w:rPr>
        <w:t xml:space="preserve"> Non l'estradizione — negata da</w:t>
      </w:r>
    </w:p>
    <w:p>
      <w:pPr>
        <w:spacing w:after="120" w:line="276"/>
        <w:jc w:val="both"/>
      </w:pPr>
      <w:r>
        <w:rPr>
          <w:rFonts w:ascii="Barlow Semi Condensed" w:cs="Barlow Semi Condensed" w:eastAsia="Barlow Semi Condensed" w:hAnsi="Barlow Semi Condensed"/>
          <w:sz w:val="24"/>
          <w:szCs w:val="24"/>
        </w:rPr>
        <w:t xml:space="preserve">quarant'anni — ma la </w:t>
      </w:r>
      <w:r>
        <w:rPr>
          <w:rFonts w:ascii="Barlow Semi Condensed" w:cs="Barlow Semi Condensed" w:eastAsia="Barlow Semi Condensed" w:hAnsi="Barlow Semi Condensed"/>
          <w:b/>
          <w:bCs/>
          <w:sz w:val="24"/>
          <w:szCs w:val="24"/>
        </w:rPr>
        <w:t xml:space="preserve">rogatoria conoscitiva</w:t>
      </w:r>
      <w:r>
        <w:rPr>
          <w:rFonts w:ascii="Barlow Semi Condensed" w:cs="Barlow Semi Condensed" w:eastAsia="Barlow Semi Condensed" w:hAnsi="Barlow Semi Condensed"/>
          <w:sz w:val="24"/>
          <w:szCs w:val="24"/>
        </w:rPr>
        <w:t xml:space="preserve"> resta l'atto istruttorio</w:t>
      </w:r>
    </w:p>
    <w:p>
      <w:pPr>
        <w:spacing w:after="120" w:line="276"/>
        <w:jc w:val="both"/>
      </w:pPr>
      <w:r>
        <w:rPr>
          <w:rFonts w:ascii="Barlow Semi Condensed" w:cs="Barlow Semi Condensed" w:eastAsia="Barlow Semi Condensed" w:hAnsi="Barlow Semi Condensed"/>
          <w:sz w:val="24"/>
          <w:szCs w:val="24"/>
        </w:rPr>
        <w:t xml:space="preserve">potenzialmente più ricco rimasto al caso.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L'ipotesi del trasferimento, formulata perché possa essere smentita</w:t>
      </w:r>
    </w:p>
    <w:p>
      <w:pPr>
        <w:spacing w:after="120" w:line="276"/>
        <w:jc w:val="both"/>
      </w:pPr>
      <w:r>
        <w:rPr>
          <w:rFonts w:ascii="Barlow Semi Condensed" w:cs="Barlow Semi Condensed" w:eastAsia="Barlow Semi Condensed" w:hAnsi="Barlow Semi Condensed"/>
          <w:sz w:val="24"/>
          <w:szCs w:val="24"/>
        </w:rPr>
        <w:t xml:space="preserve">L'autore chiede di prendere in considerazione che Moro sia stato condotto in un</w:t>
      </w:r>
    </w:p>
    <w:p>
      <w:pPr>
        <w:spacing w:after="120" w:line="276"/>
        <w:jc w:val="both"/>
      </w:pPr>
      <w:r>
        <w:rPr>
          <w:rFonts w:ascii="Barlow Semi Condensed" w:cs="Barlow Semi Condensed" w:eastAsia="Barlow Semi Condensed" w:hAnsi="Barlow Semi Condensed"/>
          <w:sz w:val="24"/>
          <w:szCs w:val="24"/>
        </w:rPr>
        <w:t xml:space="preserve">luogo dell'organizzazione </w:t>
      </w:r>
      <w:r>
        <w:rPr>
          <w:rFonts w:ascii="Barlow Semi Condensed" w:cs="Barlow Semi Condensed" w:eastAsia="Barlow Semi Condensed" w:hAnsi="Barlow Semi Condensed"/>
          <w:b/>
          <w:bCs/>
          <w:sz w:val="24"/>
          <w:szCs w:val="24"/>
        </w:rPr>
        <w:t xml:space="preserve">all'insaputa di essa</w:t>
      </w:r>
      <w:r>
        <w:rPr>
          <w:rFonts w:ascii="Barlow Semi Condensed" w:cs="Barlow Semi Condensed" w:eastAsia="Barlow Semi Condensed" w:hAnsi="Barlow Semi Condensed"/>
          <w:sz w:val="24"/>
          <w:szCs w:val="24"/>
        </w:rPr>
        <w:t xml:space="preserve">, o con la conoscenza di **chi in</w:t>
      </w:r>
    </w:p>
    <w:p>
      <w:pPr>
        <w:spacing w:after="120" w:line="276"/>
        <w:jc w:val="both"/>
      </w:pPr>
      <w:r>
        <w:rPr>
          <w:rFonts w:ascii="Barlow Semi Condensed" w:cs="Barlow Semi Condensed" w:eastAsia="Barlow Semi Condensed" w:hAnsi="Barlow Semi Condensed"/>
          <w:sz w:val="24"/>
          <w:szCs w:val="24"/>
        </w:rPr>
        <w:t xml:space="preserve">Hyperion aveva ruolo</w:t>
      </w:r>
      <w:r>
        <w:rPr>
          <w:rFonts w:ascii="Barlow Semi Condensed" w:cs="Barlow Semi Condensed" w:eastAsia="Barlow Semi Condensed" w:hAnsi="Barlow Semi Condensed"/>
          <w:b/>
          <w:bCs/>
          <w:sz w:val="24"/>
          <w:szCs w:val="24"/>
        </w:rPr>
        <w:t xml:space="preserve">. L'ipotesi va prima </w:t>
      </w:r>
      <w:r>
        <w:rPr>
          <w:rFonts w:ascii="Barlow Semi Condensed" w:cs="Barlow Semi Condensed" w:eastAsia="Barlow Semi Condensed" w:hAnsi="Barlow Semi Condensed"/>
          <w:sz w:val="24"/>
          <w:szCs w:val="24"/>
        </w:rPr>
        <w:t xml:space="preserve">riformulata**, perché nella forma in</w:t>
      </w:r>
    </w:p>
    <w:p>
      <w:pPr>
        <w:spacing w:after="120" w:line="276"/>
        <w:jc w:val="both"/>
      </w:pPr>
      <w:r>
        <w:rPr>
          <w:rFonts w:ascii="Barlow Semi Condensed" w:cs="Barlow Semi Condensed" w:eastAsia="Barlow Semi Condensed" w:hAnsi="Barlow Semi Condensed"/>
          <w:sz w:val="24"/>
          <w:szCs w:val="24"/>
        </w:rPr>
        <w:t xml:space="preserve">cui si enuncia comunemente è logicamente inservibile — e riformularla non è</w:t>
      </w:r>
    </w:p>
    <w:p>
      <w:pPr>
        <w:spacing w:after="120" w:line="276"/>
        <w:jc w:val="both"/>
      </w:pPr>
      <w:r>
        <w:rPr>
          <w:rFonts w:ascii="Barlow Semi Condensed" w:cs="Barlow Semi Condensed" w:eastAsia="Barlow Semi Condensed" w:hAnsi="Barlow Semi Condensed"/>
          <w:sz w:val="24"/>
          <w:szCs w:val="24"/>
        </w:rPr>
        <w:t xml:space="preserve">addomesticarla: è metterla in condizione di essere provata o smentita.</w:t>
      </w:r>
    </w:p>
    <w:p>
      <w:pPr>
        <w:pStyle w:val="Heading3"/>
        <w:spacing w:after="80" w:before="160"/>
      </w:pPr>
      <w:r>
        <w:rPr>
          <w:rFonts w:ascii="Barlow Semi Condensed" w:cs="Barlow Semi Condensed" w:eastAsia="Barlow Semi Condensed" w:hAnsi="Barlow Semi Condensed"/>
          <w:sz w:val="24"/>
          <w:szCs w:val="24"/>
        </w:rPr>
        <w:t xml:space="preserve">V.1 — Perché la formulazione ingenua non regge</w:t>
      </w:r>
    </w:p>
    <w:p>
      <w:pPr>
        <w:spacing w:after="120" w:line="276"/>
        <w:jc w:val="both"/>
      </w:pPr>
      <w:r>
        <w:rPr>
          <w:rFonts w:ascii="Barlow Semi Condensed" w:cs="Barlow Semi Condensed" w:eastAsia="Barlow Semi Condensed" w:hAnsi="Barlow Semi Condensed"/>
          <w:sz w:val="24"/>
          <w:szCs w:val="24"/>
        </w:rPr>
        <w:t xml:space="preserve">«In un covo BR a loro insaputa» è, letteralmente, contraddittorio: un covo è tale</w:t>
      </w:r>
    </w:p>
    <w:p>
      <w:pPr>
        <w:spacing w:after="120" w:line="276"/>
        <w:jc w:val="both"/>
      </w:pPr>
      <w:r>
        <w:rPr>
          <w:rFonts w:ascii="Barlow Semi Condensed" w:cs="Barlow Semi Condensed" w:eastAsia="Barlow Semi Condensed" w:hAnsi="Barlow Semi Condensed"/>
          <w:sz w:val="24"/>
          <w:szCs w:val="24"/>
        </w:rPr>
        <w:t xml:space="preserve">perché qualcuno dell'organizzazione lo tiene. Perché la proposizione dica</w:t>
      </w:r>
    </w:p>
    <w:p>
      <w:pPr>
        <w:spacing w:after="120" w:line="276"/>
        <w:jc w:val="both"/>
      </w:pPr>
      <w:r>
        <w:rPr>
          <w:rFonts w:ascii="Barlow Semi Condensed" w:cs="Barlow Semi Condensed" w:eastAsia="Barlow Semi Condensed" w:hAnsi="Barlow Semi Condensed"/>
          <w:sz w:val="24"/>
          <w:szCs w:val="24"/>
        </w:rPr>
        <w:t xml:space="preserve">qualcosa, «loro» deve indicare </w:t>
      </w:r>
      <w:r>
        <w:rPr>
          <w:rFonts w:ascii="Barlow Semi Condensed" w:cs="Barlow Semi Condensed" w:eastAsia="Barlow Semi Condensed" w:hAnsi="Barlow Semi Condensed"/>
          <w:b/>
          <w:bCs/>
          <w:sz w:val="24"/>
          <w:szCs w:val="24"/>
        </w:rPr>
        <w:t xml:space="preserve">una parte</w:t>
      </w:r>
      <w:r>
        <w:rPr>
          <w:rFonts w:ascii="Barlow Semi Condensed" w:cs="Barlow Semi Condensed" w:eastAsia="Barlow Semi Condensed" w:hAnsi="Barlow Semi Condensed"/>
          <w:sz w:val="24"/>
          <w:szCs w:val="24"/>
        </w:rPr>
        <w:t xml:space="preserve"> dell'organizzazione e non l'insieme.</w:t>
      </w:r>
    </w:p>
    <w:p>
      <w:pPr>
        <w:spacing w:after="120" w:line="276"/>
        <w:jc w:val="both"/>
      </w:pPr>
      <w:r>
        <w:rPr>
          <w:rFonts w:ascii="Barlow Semi Condensed" w:cs="Barlow Semi Condensed" w:eastAsia="Barlow Semi Condensed" w:hAnsi="Barlow Semi Condensed"/>
          <w:sz w:val="24"/>
          <w:szCs w:val="24"/>
        </w:rPr>
        <w:t xml:space="preserve">Da qui tre varianti distinte, che vanno tenute separate perché hanno prove</w:t>
      </w:r>
    </w:p>
    <w:p>
      <w:pPr>
        <w:spacing w:after="120" w:line="276"/>
        <w:jc w:val="both"/>
      </w:pPr>
      <w:r>
        <w:rPr>
          <w:rFonts w:ascii="Barlow Semi Condensed" w:cs="Barlow Semi Condensed" w:eastAsia="Barlow Semi Condensed" w:hAnsi="Barlow Semi Condensed"/>
          <w:sz w:val="24"/>
          <w:szCs w:val="24"/>
        </w:rPr>
        <w:t xml:space="preserve">diverse.</w:t>
      </w:r>
    </w:p>
    <w:p>
      <w:pPr>
        <w:pStyle w:val="Heading3"/>
        <w:spacing w:after="80" w:before="160"/>
      </w:pPr>
      <w:r>
        <w:rPr>
          <w:rFonts w:ascii="Barlow Semi Condensed" w:cs="Barlow Semi Condensed" w:eastAsia="Barlow Semi Condensed" w:hAnsi="Barlow Semi Condensed"/>
          <w:sz w:val="24"/>
          <w:szCs w:val="24"/>
        </w:rPr>
        <w:t xml:space="preserve">V.2 — Le tre varianti, e che cosa proverebbe ciascuna</w:t>
      </w:r>
    </w:p>
    <w:p>
      <w:pPr>
        <w:spacing w:after="120" w:line="276"/>
        <w:jc w:val="both"/>
      </w:pPr>
      <w:r>
        <w:rPr>
          <w:rFonts w:ascii="Barlow Semi Condensed" w:cs="Barlow Semi Condensed" w:eastAsia="Barlow Semi Condensed" w:hAnsi="Barlow Semi Condensed"/>
          <w:b/>
          <w:bCs/>
          <w:sz w:val="24"/>
          <w:szCs w:val="24"/>
        </w:rPr>
        <w:t xml:space="preserve">Variante A — L'asimmetria interna.</w:t>
      </w:r>
      <w:r>
        <w:rPr>
          <w:rFonts w:ascii="Barlow Semi Condensed" w:cs="Barlow Semi Condensed" w:eastAsia="Barlow Semi Condensed" w:hAnsi="Barlow Semi Condensed"/>
          <w:sz w:val="24"/>
          <w:szCs w:val="24"/>
        </w:rPr>
        <w:t xml:space="preserve"> Il luogo e la custodia furono noti a un</w:t>
      </w:r>
    </w:p>
    <w:p>
      <w:pPr>
        <w:spacing w:after="120" w:line="276"/>
        <w:jc w:val="both"/>
      </w:pPr>
      <w:r>
        <w:rPr>
          <w:rFonts w:ascii="Barlow Semi Condensed" w:cs="Barlow Semi Condensed" w:eastAsia="Barlow Semi Condensed" w:hAnsi="Barlow Semi Condensed"/>
          <w:sz w:val="24"/>
          <w:szCs w:val="24"/>
        </w:rPr>
        <w:t xml:space="preserve">numero ristrettissimo di militanti, e ignoti al resto della colonna e della</w:t>
      </w:r>
    </w:p>
    <w:p>
      <w:pPr>
        <w:spacing w:after="120" w:line="276"/>
        <w:jc w:val="both"/>
      </w:pPr>
      <w:r>
        <w:rPr>
          <w:rFonts w:ascii="Barlow Semi Condensed" w:cs="Barlow Semi Condensed" w:eastAsia="Barlow Semi Condensed" w:hAnsi="Barlow Semi Condensed"/>
          <w:sz w:val="24"/>
          <w:szCs w:val="24"/>
        </w:rPr>
        <w:t xml:space="preserve">direzione.</w:t>
      </w:r>
    </w:p>
    <w:p>
      <w:pPr>
        <w:spacing w:after="120" w:line="276"/>
        <w:jc w:val="both"/>
      </w:pPr>
      <w:r>
        <w:rPr>
          <w:rFonts w:ascii="Barlow Semi Condensed" w:cs="Barlow Semi Condensed" w:eastAsia="Barlow Semi Condensed" w:hAnsi="Barlow Semi Condensed"/>
          <w:i/>
          <w:iCs/>
          <w:sz w:val="24"/>
          <w:szCs w:val="24"/>
        </w:rPr>
        <w:t xml:space="preserve">Statuto: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non è congettura — è accertato</w:t>
      </w:r>
      <w:r>
        <w:rPr>
          <w:rFonts w:ascii="Barlow Semi Condensed" w:cs="Barlow Semi Condensed" w:eastAsia="Barlow Semi Condensed" w:hAnsi="Barlow Semi Condensed"/>
          <w:sz w:val="24"/>
          <w:szCs w:val="24"/>
        </w:rPr>
        <w:t xml:space="preserve">, ed è il Livello A del capitolo II:</w:t>
      </w:r>
    </w:p>
    <w:p>
      <w:pPr>
        <w:spacing w:after="120" w:line="276"/>
        <w:jc w:val="both"/>
      </w:pPr>
      <w:r>
        <w:rPr>
          <w:rFonts w:ascii="Barlow Semi Condensed" w:cs="Barlow Semi Condensed" w:eastAsia="Barlow Semi Condensed" w:hAnsi="Barlow Semi Condensed"/>
          <w:sz w:val="24"/>
          <w:szCs w:val="24"/>
        </w:rPr>
        <w:t xml:space="preserve">la gestione quotidiana fu affidata a pochissimi. **La variante A è vera e non</w:t>
      </w:r>
    </w:p>
    <w:p>
      <w:pPr>
        <w:spacing w:after="120" w:line="276"/>
        <w:jc w:val="both"/>
      </w:pPr>
      <w:r>
        <w:rPr>
          <w:rFonts w:ascii="Barlow Semi Condensed" w:cs="Barlow Semi Condensed" w:eastAsia="Barlow Semi Condensed" w:hAnsi="Barlow Semi Condensed"/>
          <w:sz w:val="24"/>
          <w:szCs w:val="24"/>
        </w:rPr>
        <w:t xml:space="preserve">prova nulla di ulteriore**, perché la compartimentazione è la regola ordinaria di</w:t>
      </w:r>
    </w:p>
    <w:p>
      <w:pPr>
        <w:spacing w:after="120" w:line="276"/>
        <w:jc w:val="both"/>
      </w:pPr>
      <w:r>
        <w:rPr>
          <w:rFonts w:ascii="Barlow Semi Condensed" w:cs="Barlow Semi Condensed" w:eastAsia="Barlow Semi Condensed" w:hAnsi="Barlow Semi Condensed"/>
          <w:sz w:val="24"/>
          <w:szCs w:val="24"/>
        </w:rPr>
        <w:t xml:space="preserve">qualunque struttura clandestina, non l'indizio di un'anomalia.</w:t>
      </w:r>
    </w:p>
    <w:p>
      <w:pPr>
        <w:spacing w:after="120" w:line="276"/>
        <w:jc w:val="both"/>
      </w:pPr>
      <w:r>
        <w:rPr>
          <w:rFonts w:ascii="Barlow Semi Condensed" w:cs="Barlow Semi Condensed" w:eastAsia="Barlow Semi Condensed" w:hAnsi="Barlow Semi Condensed"/>
          <w:b/>
          <w:bCs/>
          <w:sz w:val="24"/>
          <w:szCs w:val="24"/>
        </w:rPr>
        <w:t xml:space="preserve">Variante B — La conoscenza esterna del luogo.</w:t>
      </w:r>
      <w:r>
        <w:rPr>
          <w:rFonts w:ascii="Barlow Semi Condensed" w:cs="Barlow Semi Condensed" w:eastAsia="Barlow Semi Condensed" w:hAnsi="Barlow Semi Condensed"/>
          <w:sz w:val="24"/>
          <w:szCs w:val="24"/>
        </w:rPr>
        <w:t xml:space="preserve"> Qualcuno estraneo</w:t>
      </w:r>
    </w:p>
    <w:p>
      <w:pPr>
        <w:spacing w:after="120" w:line="276"/>
        <w:jc w:val="both"/>
      </w:pPr>
      <w:r>
        <w:rPr>
          <w:rFonts w:ascii="Barlow Semi Condensed" w:cs="Barlow Semi Condensed" w:eastAsia="Barlow Semi Condensed" w:hAnsi="Barlow Semi Condensed"/>
          <w:sz w:val="24"/>
          <w:szCs w:val="24"/>
        </w:rPr>
        <w:t xml:space="preserve">all'organizzazione seppe dove Moro era detenuto.</w:t>
      </w:r>
    </w:p>
    <w:p>
      <w:pPr>
        <w:spacing w:after="120" w:line="276"/>
        <w:jc w:val="both"/>
      </w:pPr>
      <w:r>
        <w:rPr>
          <w:rFonts w:ascii="Barlow Semi Condensed" w:cs="Barlow Semi Condensed" w:eastAsia="Barlow Semi Condensed" w:hAnsi="Barlow Semi Condensed"/>
          <w:i/>
          <w:iCs/>
          <w:sz w:val="24"/>
          <w:szCs w:val="24"/>
        </w:rPr>
        <w:t xml:space="preserve">Statuto: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congettura, grado C.</w:t>
      </w:r>
      <w:r>
        <w:rPr>
          <w:rFonts w:ascii="Barlow Semi Condensed" w:cs="Barlow Semi Condensed" w:eastAsia="Barlow Semi Condensed" w:hAnsi="Barlow Semi Condensed"/>
          <w:sz w:val="24"/>
          <w:szCs w:val="24"/>
        </w:rPr>
        <w:t xml:space="preserve"> Investigata a lungo, **non ha mai raggiunto la</w:t>
      </w:r>
    </w:p>
    <w:p>
      <w:pPr>
        <w:spacing w:after="120" w:line="276"/>
        <w:jc w:val="both"/>
      </w:pPr>
      <w:r>
        <w:rPr>
          <w:rFonts w:ascii="Barlow Semi Condensed" w:cs="Barlow Semi Condensed" w:eastAsia="Barlow Semi Condensed" w:hAnsi="Barlow Semi Condensed"/>
          <w:sz w:val="24"/>
          <w:szCs w:val="24"/>
        </w:rPr>
        <w:t xml:space="preserve">soglia probatoria**.</w:t>
      </w:r>
    </w:p>
    <w:p>
      <w:pPr>
        <w:spacing w:after="120" w:line="276"/>
        <w:jc w:val="both"/>
      </w:pPr>
      <w:r>
        <w:rPr>
          <w:rFonts w:ascii="Barlow Semi Condensed" w:cs="Barlow Semi Condensed" w:eastAsia="Barlow Semi Condensed" w:hAnsi="Barlow Semi Condensed"/>
          <w:i/>
          <w:iCs/>
          <w:sz w:val="24"/>
          <w:szCs w:val="24"/>
        </w:rPr>
        <w:t xml:space="preserve">Che cosa la proverebbe:</w:t>
      </w:r>
      <w:r>
        <w:rPr>
          <w:rFonts w:ascii="Barlow Semi Condensed" w:cs="Barlow Semi Condensed" w:eastAsia="Barlow Semi Condensed" w:hAnsi="Barlow Semi Condensed"/>
          <w:sz w:val="24"/>
          <w:szCs w:val="24"/>
        </w:rPr>
        <w:t xml:space="preserve"> un atto d'epoca — un appunto, un protocollo, una</w:t>
      </w:r>
    </w:p>
    <w:p>
      <w:pPr>
        <w:spacing w:after="120" w:line="276"/>
        <w:jc w:val="both"/>
      </w:pPr>
      <w:r>
        <w:rPr>
          <w:rFonts w:ascii="Barlow Semi Condensed" w:cs="Barlow Semi Condensed" w:eastAsia="Barlow Semi Condensed" w:hAnsi="Barlow Semi Condensed"/>
          <w:sz w:val="24"/>
          <w:szCs w:val="24"/>
        </w:rPr>
        <w:t xml:space="preserve">segnalazione registrata — che collochi la conoscenza del luogo fuori</w:t>
      </w:r>
    </w:p>
    <w:p>
      <w:pPr>
        <w:spacing w:after="120" w:line="276"/>
        <w:jc w:val="both"/>
      </w:pPr>
      <w:r>
        <w:rPr>
          <w:rFonts w:ascii="Barlow Semi Condensed" w:cs="Barlow Semi Condensed" w:eastAsia="Barlow Semi Condensed" w:hAnsi="Barlow Semi Condensed"/>
          <w:sz w:val="24"/>
          <w:szCs w:val="24"/>
        </w:rPr>
        <w:t xml:space="preserve">dall'organizzazione </w:t>
      </w:r>
      <w:r>
        <w:rPr>
          <w:rFonts w:ascii="Barlow Semi Condensed" w:cs="Barlow Semi Condensed" w:eastAsia="Barlow Semi Condensed" w:hAnsi="Barlow Semi Condensed"/>
          <w:b/>
          <w:bCs/>
          <w:sz w:val="24"/>
          <w:szCs w:val="24"/>
        </w:rPr>
        <w:t xml:space="preserve">prima del 9 maggio 1978</w:t>
      </w:r>
      <w:r>
        <w:rPr>
          <w:rFonts w:ascii="Barlow Semi Condensed" w:cs="Barlow Semi Condensed" w:eastAsia="Barlow Semi Condensed" w:hAnsi="Barlow Semi Condensed"/>
          <w:sz w:val="24"/>
          <w:szCs w:val="24"/>
        </w:rPr>
        <w:t xml:space="preserve">. Non una dichiarazione successiva:</w:t>
      </w:r>
    </w:p>
    <w:p>
      <w:pPr>
        <w:spacing w:after="120" w:line="276"/>
        <w:jc w:val="both"/>
      </w:pPr>
      <w:r>
        <w:rPr>
          <w:rFonts w:ascii="Barlow Semi Condensed" w:cs="Barlow Semi Condensed" w:eastAsia="Barlow Semi Condensed" w:hAnsi="Barlow Semi Condensed"/>
          <w:sz w:val="24"/>
          <w:szCs w:val="24"/>
        </w:rPr>
        <w:t xml:space="preserve">un documento datato.</w:t>
      </w:r>
    </w:p>
    <w:p>
      <w:pPr>
        <w:spacing w:after="120" w:line="276"/>
        <w:jc w:val="both"/>
      </w:pPr>
      <w:r>
        <w:rPr>
          <w:rFonts w:ascii="Barlow Semi Condensed" w:cs="Barlow Semi Condensed" w:eastAsia="Barlow Semi Condensed" w:hAnsi="Barlow Semi Condensed"/>
          <w:i/>
          <w:iCs/>
          <w:sz w:val="24"/>
          <w:szCs w:val="24"/>
        </w:rPr>
        <w:t xml:space="preserve">L'argomento contrario, che il corpus registra e che non prova ma abbassa:</w:t>
      </w:r>
      <w:r>
        <w:rPr>
          <w:rFonts w:ascii="Barlow Semi Condensed" w:cs="Barlow Semi Condensed" w:eastAsia="Barlow Semi Condensed" w:hAnsi="Barlow Semi Condensed"/>
          <w:sz w:val="24"/>
          <w:szCs w:val="24"/>
        </w:rPr>
        <w:t xml:space="preserve"> chi</w:t>
      </w:r>
    </w:p>
    <w:p>
      <w:pPr>
        <w:spacing w:after="120" w:line="276"/>
        <w:jc w:val="both"/>
      </w:pPr>
      <w:r>
        <w:rPr>
          <w:rFonts w:ascii="Barlow Semi Condensed" w:cs="Barlow Semi Condensed" w:eastAsia="Barlow Semi Condensed" w:hAnsi="Barlow Semi Condensed"/>
          <w:sz w:val="24"/>
          <w:szCs w:val="24"/>
        </w:rPr>
        <w:t xml:space="preserve">avesse conosciuto l'ubicazione e scelto di non intervenire avrebbe corso un rischio</w:t>
      </w:r>
    </w:p>
    <w:p>
      <w:pPr>
        <w:spacing w:after="120" w:line="276"/>
        <w:jc w:val="both"/>
      </w:pPr>
      <w:r>
        <w:rPr>
          <w:rFonts w:ascii="Barlow Semi Condensed" w:cs="Barlow Semi Condensed" w:eastAsia="Barlow Semi Condensed" w:hAnsi="Barlow Semi Condensed"/>
          <w:sz w:val="24"/>
          <w:szCs w:val="24"/>
        </w:rPr>
        <w:t xml:space="preserve">enorme — la scoperta accidentale da parte di </w:t>
      </w:r>
      <w:r>
        <w:rPr>
          <w:rFonts w:ascii="Barlow Semi Condensed" w:cs="Barlow Semi Condensed" w:eastAsia="Barlow Semi Condensed" w:hAnsi="Barlow Semi Condensed"/>
          <w:b/>
          <w:bCs/>
          <w:sz w:val="24"/>
          <w:szCs w:val="24"/>
        </w:rPr>
        <w:t xml:space="preserve">chiunque altro</w:t>
      </w:r>
      <w:r>
        <w:rPr>
          <w:rFonts w:ascii="Barlow Semi Condensed" w:cs="Barlow Semi Condensed" w:eastAsia="Barlow Semi Condensed" w:hAnsi="Barlow Semi Condensed"/>
          <w:sz w:val="24"/>
          <w:szCs w:val="24"/>
        </w:rPr>
        <w:t xml:space="preserve">, una segnalazione</w:t>
      </w:r>
    </w:p>
    <w:p>
      <w:pPr>
        <w:spacing w:after="120" w:line="276"/>
        <w:jc w:val="both"/>
      </w:pPr>
      <w:r>
        <w:rPr>
          <w:rFonts w:ascii="Barlow Semi Condensed" w:cs="Barlow Semi Condensed" w:eastAsia="Barlow Semi Condensed" w:hAnsi="Barlow Semi Condensed"/>
          <w:sz w:val="24"/>
          <w:szCs w:val="24"/>
        </w:rPr>
        <w:t xml:space="preserve">condominiale, un controllo casuale, una defezione — che avrebbe reso immediatamente</w:t>
      </w:r>
    </w:p>
    <w:p>
      <w:pPr>
        <w:spacing w:after="120" w:line="276"/>
        <w:jc w:val="both"/>
      </w:pPr>
      <w:r>
        <w:rPr>
          <w:rFonts w:ascii="Barlow Semi Condensed" w:cs="Barlow Semi Condensed" w:eastAsia="Barlow Semi Condensed" w:hAnsi="Barlow Semi Condensed"/>
          <w:sz w:val="24"/>
          <w:szCs w:val="24"/>
        </w:rPr>
        <w:t xml:space="preserve">evidente l'omissione e ne avrebbe travolto gli autori. Un attore razionale avrebbe</w:t>
      </w:r>
    </w:p>
    <w:p>
      <w:pPr>
        <w:spacing w:after="120" w:line="276"/>
        <w:jc w:val="both"/>
      </w:pPr>
      <w:r>
        <w:rPr>
          <w:rFonts w:ascii="Barlow Semi Condensed" w:cs="Barlow Semi Condensed" w:eastAsia="Barlow Semi Condensed" w:hAnsi="Barlow Semi Condensed"/>
          <w:sz w:val="24"/>
          <w:szCs w:val="24"/>
        </w:rPr>
        <w:t xml:space="preserve">dovuto valutarlo inaccettabile.</w:t>
      </w:r>
    </w:p>
    <w:p>
      <w:pPr>
        <w:spacing w:after="120" w:line="276"/>
        <w:jc w:val="both"/>
      </w:pPr>
      <w:r>
        <w:rPr>
          <w:rFonts w:ascii="Barlow Semi Condensed" w:cs="Barlow Semi Condensed" w:eastAsia="Barlow Semi Condensed" w:hAnsi="Barlow Semi Condensed"/>
          <w:b/>
          <w:bCs/>
          <w:sz w:val="24"/>
          <w:szCs w:val="24"/>
        </w:rPr>
        <w:t xml:space="preserve">Variante C — Il ponte Hyperion.</w:t>
      </w:r>
      <w:r>
        <w:rPr>
          <w:rFonts w:ascii="Barlow Semi Condensed" w:cs="Barlow Semi Condensed" w:eastAsia="Barlow Semi Condensed" w:hAnsi="Barlow Semi Condensed"/>
          <w:sz w:val="24"/>
          <w:szCs w:val="24"/>
        </w:rPr>
        <w:t xml:space="preserve"> La conoscenza sarebbe passata per chi aveva</w:t>
      </w:r>
    </w:p>
    <w:p>
      <w:pPr>
        <w:spacing w:after="120" w:line="276"/>
        <w:jc w:val="both"/>
      </w:pPr>
      <w:r>
        <w:rPr>
          <w:rFonts w:ascii="Barlow Semi Condensed" w:cs="Barlow Semi Condensed" w:eastAsia="Barlow Semi Condensed" w:hAnsi="Barlow Semi Condensed"/>
          <w:sz w:val="24"/>
          <w:szCs w:val="24"/>
        </w:rPr>
        <w:t xml:space="preserve">ruolo nella struttura parigina.</w:t>
      </w:r>
    </w:p>
    <w:p>
      <w:pPr>
        <w:spacing w:after="120" w:line="276"/>
        <w:jc w:val="both"/>
      </w:pPr>
      <w:r>
        <w:rPr>
          <w:rFonts w:ascii="Barlow Semi Condensed" w:cs="Barlow Semi Condensed" w:eastAsia="Barlow Semi Condensed" w:hAnsi="Barlow Semi Condensed"/>
          <w:i/>
          <w:iCs/>
          <w:sz w:val="24"/>
          <w:szCs w:val="24"/>
        </w:rPr>
        <w:t xml:space="preserve">Statuto: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congettura, grado C</w:t>
      </w:r>
      <w:r>
        <w:rPr>
          <w:rFonts w:ascii="Barlow Semi Condensed" w:cs="Barlow Semi Condensed" w:eastAsia="Barlow Semi Condensed" w:hAnsi="Barlow Semi Condensed"/>
          <w:sz w:val="24"/>
          <w:szCs w:val="24"/>
        </w:rPr>
        <w:t xml:space="preserve">, e va detto subito ciò che la indebolisce e ciò</w:t>
      </w:r>
    </w:p>
    <w:p>
      <w:pPr>
        <w:spacing w:after="120" w:line="276"/>
        <w:jc w:val="both"/>
      </w:pPr>
      <w:r>
        <w:rPr>
          <w:rFonts w:ascii="Barlow Semi Condensed" w:cs="Barlow Semi Condensed" w:eastAsia="Barlow Semi Condensed" w:hAnsi="Barlow Semi Condensed"/>
          <w:sz w:val="24"/>
          <w:szCs w:val="24"/>
        </w:rPr>
        <w:t xml:space="preserve">che, al contrario, la rende non liquidabile.</w:t>
      </w:r>
    </w:p>
    <w:p>
      <w:pPr>
        <w:pStyle w:val="Heading3"/>
        <w:spacing w:after="80" w:before="160"/>
      </w:pPr>
      <w:r>
        <w:rPr>
          <w:rFonts w:ascii="Barlow Semi Condensed" w:cs="Barlow Semi Condensed" w:eastAsia="Barlow Semi Condensed" w:hAnsi="Barlow Semi Condensed"/>
          <w:sz w:val="24"/>
          <w:szCs w:val="24"/>
        </w:rPr>
        <w:t xml:space="preserve">V.3 — Il ponte Hyperion, per intero</w:t>
      </w:r>
    </w:p>
    <w:p>
      <w:pPr>
        <w:spacing w:after="120" w:line="276"/>
        <w:jc w:val="both"/>
      </w:pPr>
      <w:r>
        <w:rPr>
          <w:rFonts w:ascii="Barlow Semi Condensed" w:cs="Barlow Semi Condensed" w:eastAsia="Barlow Semi Condensed" w:hAnsi="Barlow Semi Condensed"/>
          <w:b/>
          <w:bCs/>
          <w:sz w:val="24"/>
          <w:szCs w:val="24"/>
        </w:rPr>
        <w:t xml:space="preserve">Ciò che è documentato.</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Collettivo Politico Metropolitano</w:t>
      </w:r>
      <w:r>
        <w:rPr>
          <w:rFonts w:ascii="Barlow Semi Condensed" w:cs="Barlow Semi Condensed" w:eastAsia="Barlow Semi Condensed" w:hAnsi="Barlow Semi Condensed"/>
          <w:sz w:val="24"/>
          <w:szCs w:val="24"/>
        </w:rPr>
        <w:t xml:space="preserve">, Milano,</w:t>
      </w:r>
    </w:p>
    <w:p>
      <w:pPr>
        <w:spacing w:after="120" w:line="276"/>
        <w:jc w:val="both"/>
      </w:pPr>
      <w:r>
        <w:rPr>
          <w:rFonts w:ascii="Barlow Semi Condensed" w:cs="Barlow Semi Condensed" w:eastAsia="Barlow Semi Condensed" w:hAnsi="Barlow Semi Condensed"/>
          <w:sz w:val="24"/>
          <w:szCs w:val="24"/>
        </w:rPr>
        <w:t xml:space="preserve">settembre 1969, comprese fra gli altri Renato Curcio, Corrado Simioni, Duccio</w:t>
      </w:r>
    </w:p>
    <w:p>
      <w:pPr>
        <w:spacing w:after="120" w:line="276"/>
        <w:jc w:val="both"/>
      </w:pPr>
      <w:r>
        <w:rPr>
          <w:rFonts w:ascii="Barlow Semi Condensed" w:cs="Barlow Semi Condensed" w:eastAsia="Barlow Semi Condensed" w:hAnsi="Barlow Semi Condensed"/>
          <w:sz w:val="24"/>
          <w:szCs w:val="24"/>
        </w:rPr>
        <w:t xml:space="preserve">Berio e Vanni Mulinaris: lo stesso brodo di coltura da cui sarebbero nate le BR</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b/>
          <w:bCs/>
          <w:sz w:val="24"/>
          <w:szCs w:val="24"/>
        </w:rPr>
        <w:t xml:space="preserve">grado F</w:t>
      </w:r>
      <w:r>
        <w:rPr>
          <w:rFonts w:ascii="Barlow Semi Condensed" w:cs="Barlow Semi Condensed" w:eastAsia="Barlow Semi Condensed" w:hAnsi="Barlow Semi Condensed"/>
          <w:sz w:val="24"/>
          <w:szCs w:val="24"/>
        </w:rPr>
        <w:t xml:space="preserve">). Prima della fondazione delle BR il gruppo di Simioni si separò e</w:t>
      </w:r>
    </w:p>
    <w:p>
      <w:pPr>
        <w:spacing w:after="120" w:line="276"/>
        <w:jc w:val="both"/>
      </w:pPr>
      <w:r>
        <w:rPr>
          <w:rFonts w:ascii="Barlow Semi Condensed" w:cs="Barlow Semi Condensed" w:eastAsia="Barlow Semi Condensed" w:hAnsi="Barlow Semi Condensed"/>
          <w:sz w:val="24"/>
          <w:szCs w:val="24"/>
        </w:rPr>
        <w:t xml:space="preserve">diede vita alla struttura poi detta </w:t>
      </w:r>
      <w:r>
        <w:rPr>
          <w:rFonts w:ascii="Barlow Semi Condensed" w:cs="Barlow Semi Condensed" w:eastAsia="Barlow Semi Condensed" w:hAnsi="Barlow Semi Condensed"/>
          <w:b/>
          <w:bCs/>
          <w:sz w:val="24"/>
          <w:szCs w:val="24"/>
        </w:rPr>
        <w:t xml:space="preserve">«Superclan»</w:t>
      </w:r>
      <w:r>
        <w:rPr>
          <w:rFonts w:ascii="Barlow Semi Condensed" w:cs="Barlow Semi Condensed" w:eastAsia="Barlow Semi Condensed" w:hAnsi="Barlow Semi Condensed"/>
          <w:sz w:val="24"/>
          <w:szCs w:val="24"/>
        </w:rPr>
        <w:t xml:space="preserve">, di cui le fonti indicano fra i</w:t>
      </w:r>
    </w:p>
    <w:p>
      <w:pPr>
        <w:spacing w:after="120" w:line="276"/>
        <w:jc w:val="both"/>
      </w:pPr>
      <w:r>
        <w:rPr>
          <w:rFonts w:ascii="Barlow Semi Condensed" w:cs="Barlow Semi Condensed" w:eastAsia="Barlow Semi Condensed" w:hAnsi="Barlow Semi Condensed"/>
          <w:sz w:val="24"/>
          <w:szCs w:val="24"/>
        </w:rPr>
        <w:t xml:space="preserve">partecipanti anche </w:t>
      </w:r>
      <w:r>
        <w:rPr>
          <w:rFonts w:ascii="Barlow Semi Condensed" w:cs="Barlow Semi Condensed" w:eastAsia="Barlow Semi Condensed" w:hAnsi="Barlow Semi Condensed"/>
          <w:b/>
          <w:bCs/>
          <w:sz w:val="24"/>
          <w:szCs w:val="24"/>
        </w:rPr>
        <w:t xml:space="preserve">Mario Moretti</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Prospero Gallinari</w:t>
      </w:r>
      <w:r>
        <w:rPr>
          <w:rFonts w:ascii="Barlow Semi Condensed" w:cs="Barlow Semi Condensed" w:eastAsia="Barlow Semi Condensed" w:hAnsi="Barlow Semi Condensed"/>
          <w:sz w:val="24"/>
          <w:szCs w:val="24"/>
        </w:rPr>
        <w:t xml:space="preserve">, passati in seguito</w:t>
      </w:r>
    </w:p>
    <w:p>
      <w:pPr>
        <w:spacing w:after="120" w:line="276"/>
        <w:jc w:val="both"/>
      </w:pPr>
      <w:r>
        <w:rPr>
          <w:rFonts w:ascii="Barlow Semi Condensed" w:cs="Barlow Semi Condensed" w:eastAsia="Barlow Semi Condensed" w:hAnsi="Barlow Semi Condensed"/>
          <w:sz w:val="24"/>
          <w:szCs w:val="24"/>
        </w:rPr>
        <w:t xml:space="preserve">alle BR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Hyperion</w:t>
      </w:r>
      <w:r>
        <w:rPr>
          <w:rFonts w:ascii="Barlow Semi Condensed" w:cs="Barlow Semi Condensed" w:eastAsia="Barlow Semi Condensed" w:hAnsi="Barlow Semi Condensed"/>
          <w:sz w:val="24"/>
          <w:szCs w:val="24"/>
        </w:rPr>
        <w:t xml:space="preserve"> fu fondata a </w:t>
      </w:r>
      <w:r>
        <w:rPr>
          <w:rFonts w:ascii="Barlow Semi Condensed" w:cs="Barlow Semi Condensed" w:eastAsia="Barlow Semi Condensed" w:hAnsi="Barlow Semi Condensed"/>
          <w:b/>
          <w:bCs/>
          <w:sz w:val="24"/>
          <w:szCs w:val="24"/>
        </w:rPr>
        <w:t xml:space="preserve">Parigi nel 1976</w:t>
      </w:r>
      <w:r>
        <w:rPr>
          <w:rFonts w:ascii="Barlow Semi Condensed" w:cs="Barlow Semi Condensed" w:eastAsia="Barlow Semi Condensed" w:hAnsi="Barlow Semi Condensed"/>
          <w:sz w:val="24"/>
          <w:szCs w:val="24"/>
        </w:rPr>
        <w:t xml:space="preserve"> e aprì nel</w:t>
      </w:r>
    </w:p>
    <w:p>
      <w:pPr>
        <w:spacing w:after="120" w:line="276"/>
        <w:jc w:val="both"/>
      </w:pPr>
      <w:r>
        <w:rPr>
          <w:rFonts w:ascii="Barlow Semi Condensed" w:cs="Barlow Semi Condensed" w:eastAsia="Barlow Semi Condensed" w:hAnsi="Barlow Semi Condensed"/>
          <w:b/>
          <w:bCs/>
          <w:sz w:val="24"/>
          <w:szCs w:val="24"/>
        </w:rPr>
        <w:t xml:space="preserve">febbraio 1978</w:t>
      </w:r>
      <w:r>
        <w:rPr>
          <w:rFonts w:ascii="Barlow Semi Condensed" w:cs="Barlow Semi Condensed" w:eastAsia="Barlow Semi Condensed" w:hAnsi="Barlow Semi Condensed"/>
          <w:sz w:val="24"/>
          <w:szCs w:val="24"/>
        </w:rPr>
        <w:t xml:space="preserve"> — un mese prima di via Fani — una sede a **Roma, via Nicotera</w:t>
      </w:r>
    </w:p>
    <w:p>
      <w:pPr>
        <w:spacing w:after="120" w:line="276"/>
        <w:jc w:val="both"/>
      </w:pPr>
      <w:r>
        <w:rPr>
          <w:rFonts w:ascii="Barlow Semi Condensed" w:cs="Barlow Semi Condensed" w:eastAsia="Barlow Semi Condensed" w:hAnsi="Barlow Semi Condensed"/>
          <w:sz w:val="24"/>
          <w:szCs w:val="24"/>
        </w:rPr>
        <w:t xml:space="preserve">26</w:t>
      </w:r>
      <w:r>
        <w:rPr>
          <w:rFonts w:ascii="Barlow Semi Condensed" w:cs="Barlow Semi Condensed" w:eastAsia="Barlow Semi Condensed" w:hAnsi="Barlow Semi Condensed"/>
          <w:b/>
          <w:bCs/>
          <w:sz w:val="24"/>
          <w:szCs w:val="24"/>
        </w:rPr>
        <w:t xml:space="preserve">, stabile in cui avevano sede anche società di copertura del SISMI (</w:t>
      </w:r>
      <w:r>
        <w:rPr>
          <w:rFonts w:ascii="Barlow Semi Condensed" w:cs="Barlow Semi Condensed" w:eastAsia="Barlow Semi Condensed" w:hAnsi="Barlow Semi Condensed"/>
          <w:sz w:val="24"/>
          <w:szCs w:val="24"/>
        </w:rPr>
        <w:t xml:space="preserve">grado</w:t>
      </w:r>
    </w:p>
    <w:p>
      <w:pPr>
        <w:spacing w:after="120" w:line="276"/>
        <w:jc w:val="both"/>
      </w:pPr>
      <w:r>
        <w:rPr>
          <w:rFonts w:ascii="Barlow Semi Condensed" w:cs="Barlow Semi Condensed" w:eastAsia="Barlow Semi Condensed" w:hAnsi="Barlow Semi Condensed"/>
          <w:sz w:val="24"/>
          <w:szCs w:val="24"/>
        </w:rPr>
        <w:t xml:space="preserve">B**).</w:t>
      </w:r>
    </w:p>
    <w:p>
      <w:pPr>
        <w:spacing w:after="120" w:line="276"/>
        <w:jc w:val="both"/>
      </w:pPr>
      <w:r>
        <w:rPr>
          <w:rFonts w:ascii="Barlow Semi Condensed" w:cs="Barlow Semi Condensed" w:eastAsia="Barlow Semi Condensed" w:hAnsi="Barlow Semi Condensed"/>
          <w:b/>
          <w:bCs/>
          <w:sz w:val="24"/>
          <w:szCs w:val="24"/>
        </w:rPr>
        <w:t xml:space="preserve">Ciò che è altrettanto documentato, e che va scritto con la stessa forza.</w:t>
      </w:r>
    </w:p>
    <w:p>
      <w:pPr>
        <w:spacing w:after="120" w:line="276"/>
        <w:jc w:val="both"/>
      </w:pPr>
      <w:r>
        <w:rPr>
          <w:rFonts w:ascii="Barlow Semi Condensed" w:cs="Barlow Semi Condensed" w:eastAsia="Barlow Semi Condensed" w:hAnsi="Barlow Semi Condensed"/>
          <w:sz w:val="24"/>
          <w:szCs w:val="24"/>
        </w:rPr>
        <w:t xml:space="preserve">**Tutti i procedimenti aperti su Hyperion e sui suoi fondatori si sono chiusi con</w:t>
      </w:r>
    </w:p>
    <w:p>
      <w:pPr>
        <w:spacing w:after="120" w:line="276"/>
        <w:jc w:val="both"/>
      </w:pPr>
      <w:r>
        <w:rPr>
          <w:rFonts w:ascii="Barlow Semi Condensed" w:cs="Barlow Semi Condensed" w:eastAsia="Barlow Semi Condensed" w:hAnsi="Barlow Semi Condensed"/>
          <w:sz w:val="24"/>
          <w:szCs w:val="24"/>
        </w:rPr>
        <w:t xml:space="preserve">proscioglimenti; nessuno è mai stato condannato.** I fondatori sono nominati qui</w:t>
      </w:r>
    </w:p>
    <w:p>
      <w:pPr>
        <w:spacing w:after="120" w:line="276"/>
        <w:jc w:val="both"/>
      </w:pPr>
      <w:r>
        <w:rPr>
          <w:rFonts w:ascii="Barlow Semi Condensed" w:cs="Barlow Semi Condensed" w:eastAsia="Barlow Semi Condensed" w:hAnsi="Barlow Semi Condensed"/>
          <w:sz w:val="24"/>
          <w:szCs w:val="24"/>
        </w:rPr>
        <w:t xml:space="preserve">esclusivamente per fatti pubblici e godono per intero della presunzione</w:t>
      </w:r>
    </w:p>
    <w:p>
      <w:pPr>
        <w:spacing w:after="120" w:line="276"/>
        <w:jc w:val="both"/>
      </w:pPr>
      <w:r>
        <w:rPr>
          <w:rFonts w:ascii="Barlow Semi Condensed" w:cs="Barlow Semi Condensed" w:eastAsia="Barlow Semi Condensed" w:hAnsi="Barlow Semi Condensed"/>
          <w:sz w:val="24"/>
          <w:szCs w:val="24"/>
        </w:rPr>
        <w:t xml:space="preserve">d'innocenza. Le due tesi che da quarant'anni si contendono il nodo — «centrale del</w:t>
      </w:r>
    </w:p>
    <w:p>
      <w:pPr>
        <w:spacing w:after="120" w:line="276"/>
        <w:jc w:val="both"/>
      </w:pPr>
      <w:r>
        <w:rPr>
          <w:rFonts w:ascii="Barlow Semi Condensed" w:cs="Barlow Semi Condensed" w:eastAsia="Barlow Semi Condensed" w:hAnsi="Barlow Semi Condensed"/>
          <w:sz w:val="24"/>
          <w:szCs w:val="24"/>
        </w:rPr>
        <w:t xml:space="preserve">terrorismo internazionale» e «centrale d'intelligence» — restano **entrambe</w:t>
      </w:r>
    </w:p>
    <w:p>
      <w:pPr>
        <w:spacing w:after="120" w:line="276"/>
        <w:jc w:val="both"/>
      </w:pPr>
      <w:r>
        <w:rPr>
          <w:rFonts w:ascii="Barlow Semi Condensed" w:cs="Barlow Semi Condensed" w:eastAsia="Barlow Semi Condensed" w:hAnsi="Barlow Semi Condensed"/>
          <w:sz w:val="24"/>
          <w:szCs w:val="24"/>
        </w:rPr>
        <w:t xml:space="preserve">congetture non provate</w:t>
      </w:r>
      <w:r>
        <w:rPr>
          <w:rFonts w:ascii="Barlow Semi Condensed" w:cs="Barlow Semi Condensed" w:eastAsia="Barlow Semi Condensed" w:hAnsi="Barlow Semi Condensed"/>
          <w:b/>
          <w:bCs/>
          <w:sz w:val="24"/>
          <w:szCs w:val="24"/>
        </w:rPr>
        <w:t xml:space="preserve">, e </w:t>
      </w:r>
      <w:r>
        <w:rPr>
          <w:rFonts w:ascii="Barlow Semi Condensed" w:cs="Barlow Semi Condensed" w:eastAsia="Barlow Semi Condensed" w:hAnsi="Barlow Semi Condensed"/>
          <w:sz w:val="24"/>
          <w:szCs w:val="24"/>
        </w:rPr>
        <w:t xml:space="preserve">non si sommano**: la loro coesistenza quarantennale</w:t>
      </w:r>
    </w:p>
    <w:p>
      <w:pPr>
        <w:spacing w:after="120" w:line="276"/>
        <w:jc w:val="both"/>
      </w:pPr>
      <w:r>
        <w:rPr>
          <w:rFonts w:ascii="Barlow Semi Condensed" w:cs="Barlow Semi Condensed" w:eastAsia="Barlow Semi Condensed" w:hAnsi="Barlow Semi Condensed"/>
          <w:sz w:val="24"/>
          <w:szCs w:val="24"/>
        </w:rPr>
        <w:t xml:space="preserve">misura l'assenza di accertamento, non la sua abbondanza. Il «doppio sospetto» non</w:t>
      </w:r>
    </w:p>
    <w:p>
      <w:pPr>
        <w:spacing w:after="120" w:line="276"/>
        <w:jc w:val="both"/>
      </w:pPr>
      <w:r>
        <w:rPr>
          <w:rFonts w:ascii="Barlow Semi Condensed" w:cs="Barlow Semi Condensed" w:eastAsia="Barlow Semi Condensed" w:hAnsi="Barlow Semi Condensed"/>
          <w:sz w:val="24"/>
          <w:szCs w:val="24"/>
        </w:rPr>
        <w:t xml:space="preserve">è un grado di prova.</w:t>
      </w:r>
    </w:p>
    <w:p>
      <w:pPr>
        <w:spacing w:after="120" w:line="276"/>
        <w:jc w:val="both"/>
      </w:pPr>
      <w:r>
        <w:rPr>
          <w:rFonts w:ascii="Barlow Semi Condensed" w:cs="Barlow Semi Condensed" w:eastAsia="Barlow Semi Condensed" w:hAnsi="Barlow Semi Condensed"/>
          <w:b/>
          <w:bCs/>
          <w:sz w:val="24"/>
          <w:szCs w:val="24"/>
        </w:rPr>
        <w:t xml:space="preserve">Il rilievo che questo fascicolo aggiunge, ed è il suo contributo proprio.</w:t>
      </w:r>
    </w:p>
    <w:p>
      <w:pPr>
        <w:spacing w:after="120" w:line="276"/>
        <w:jc w:val="both"/>
      </w:pPr>
      <w:r>
        <w:rPr>
          <w:rFonts w:ascii="Barlow Semi Condensed" w:cs="Barlow Semi Condensed" w:eastAsia="Barlow Semi Condensed" w:hAnsi="Barlow Semi Condensed"/>
          <w:sz w:val="24"/>
          <w:szCs w:val="24"/>
        </w:rPr>
        <w:t xml:space="preserve">La variante C, nella sua forma </w:t>
      </w:r>
      <w:r>
        <w:rPr>
          <w:rFonts w:ascii="Barlow Semi Condensed" w:cs="Barlow Semi Condensed" w:eastAsia="Barlow Semi Condensed" w:hAnsi="Barlow Semi Condensed"/>
          <w:b/>
          <w:bCs/>
          <w:sz w:val="24"/>
          <w:szCs w:val="24"/>
        </w:rPr>
        <w:t xml:space="preserve">forte</w:t>
      </w:r>
      <w:r>
        <w:rPr>
          <w:rFonts w:ascii="Barlow Semi Condensed" w:cs="Barlow Semi Condensed" w:eastAsia="Barlow Semi Condensed" w:hAnsi="Barlow Semi Condensed"/>
          <w:sz w:val="24"/>
          <w:szCs w:val="24"/>
        </w:rPr>
        <w:t xml:space="preserve">, non ha bisogno di Hyperion come</w:t>
      </w:r>
    </w:p>
    <w:p>
      <w:pPr>
        <w:spacing w:after="120" w:line="276"/>
        <w:jc w:val="both"/>
      </w:pPr>
      <w:r>
        <w:rPr>
          <w:rFonts w:ascii="Barlow Semi Condensed" w:cs="Barlow Semi Condensed" w:eastAsia="Barlow Semi Condensed" w:hAnsi="Barlow Semi Condensed"/>
          <w:sz w:val="24"/>
          <w:szCs w:val="24"/>
        </w:rPr>
        <w:t xml:space="preserve">struttura, e per questo è insieme più resistente e meno dimostrabile di quanto i</w:t>
      </w:r>
    </w:p>
    <w:p>
      <w:pPr>
        <w:spacing w:after="120" w:line="276"/>
        <w:jc w:val="both"/>
      </w:pPr>
      <w:r>
        <w:rPr>
          <w:rFonts w:ascii="Barlow Semi Condensed" w:cs="Barlow Semi Condensed" w:eastAsia="Barlow Semi Condensed" w:hAnsi="Barlow Semi Condensed"/>
          <w:sz w:val="24"/>
          <w:szCs w:val="24"/>
        </w:rPr>
        <w:t xml:space="preserve">suoi sostenitori credano. Essa richiede soltanto che **una persona con quella</w:t>
      </w:r>
    </w:p>
    <w:p>
      <w:pPr>
        <w:spacing w:after="120" w:line="276"/>
        <w:jc w:val="both"/>
      </w:pPr>
      <w:r>
        <w:rPr>
          <w:rFonts w:ascii="Barlow Semi Condensed" w:cs="Barlow Semi Condensed" w:eastAsia="Barlow Semi Condensed" w:hAnsi="Barlow Semi Condensed"/>
          <w:sz w:val="24"/>
          <w:szCs w:val="24"/>
        </w:rPr>
        <w:t xml:space="preserve">genealogia abbia occupato una posizione operativa decisiva** — e questo, nel</w:t>
      </w:r>
    </w:p>
    <w:p>
      <w:pPr>
        <w:spacing w:after="120" w:line="276"/>
        <w:jc w:val="both"/>
      </w:pPr>
      <w:r>
        <w:rPr>
          <w:rFonts w:ascii="Barlow Semi Condensed" w:cs="Barlow Semi Condensed" w:eastAsia="Barlow Semi Condensed" w:hAnsi="Barlow Semi Condensed"/>
          <w:sz w:val="24"/>
          <w:szCs w:val="24"/>
        </w:rPr>
        <w:t xml:space="preserve">giudicato, </w:t>
      </w:r>
      <w:r>
        <w:rPr>
          <w:rFonts w:ascii="Barlow Semi Condensed" w:cs="Barlow Semi Condensed" w:eastAsia="Barlow Semi Condensed" w:hAnsi="Barlow Semi Condensed"/>
          <w:b/>
          <w:bCs/>
          <w:sz w:val="24"/>
          <w:szCs w:val="24"/>
        </w:rPr>
        <w:t xml:space="preserve">è già così</w:t>
      </w:r>
      <w:r>
        <w:rPr>
          <w:rFonts w:ascii="Barlow Semi Condensed" w:cs="Barlow Semi Condensed" w:eastAsia="Barlow Semi Condensed" w:hAnsi="Barlow Semi Condensed"/>
          <w:sz w:val="24"/>
          <w:szCs w:val="24"/>
        </w:rPr>
        <w:t xml:space="preserve">: la genealogia Superclan→BR è documentata, e chi la</w:t>
      </w:r>
    </w:p>
    <w:p>
      <w:pPr>
        <w:spacing w:after="120" w:line="276"/>
        <w:jc w:val="both"/>
      </w:pPr>
      <w:r>
        <w:rPr>
          <w:rFonts w:ascii="Barlow Semi Condensed" w:cs="Barlow Semi Condensed" w:eastAsia="Barlow Semi Condensed" w:hAnsi="Barlow Semi Condensed"/>
          <w:sz w:val="24"/>
          <w:szCs w:val="24"/>
        </w:rPr>
        <w:t xml:space="preserve">percorse è dentro il perimetro dei condannati, non fuori.</w:t>
      </w:r>
    </w:p>
    <w:p>
      <w:pPr>
        <w:spacing w:after="120" w:line="276"/>
        <w:jc w:val="both"/>
      </w:pPr>
      <w:r>
        <w:rPr>
          <w:rFonts w:ascii="Barlow Semi Condensed" w:cs="Barlow Semi Condensed" w:eastAsia="Barlow Semi Condensed" w:hAnsi="Barlow Semi Condensed"/>
          <w:sz w:val="24"/>
          <w:szCs w:val="24"/>
        </w:rPr>
        <w:t xml:space="preserve">Ne discendono due conseguenze simmetriche, e vanno tenute entrambe.</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l'ipotesi </w:t>
      </w:r>
      <w:r>
        <w:rPr>
          <w:rFonts w:ascii="Barlow Semi Condensed" w:cs="Barlow Semi Condensed" w:eastAsia="Barlow Semi Condensed" w:hAnsi="Barlow Semi Condensed"/>
          <w:b/>
          <w:bCs/>
          <w:sz w:val="24"/>
          <w:szCs w:val="24"/>
        </w:rPr>
        <w:t xml:space="preserve">non è confutata</w:t>
      </w:r>
      <w:r>
        <w:rPr>
          <w:rFonts w:ascii="Barlow Semi Condensed" w:cs="Barlow Semi Condensed" w:eastAsia="Barlow Semi Condensed" w:hAnsi="Barlow Semi Condensed"/>
          <w:sz w:val="24"/>
          <w:szCs w:val="24"/>
        </w:rPr>
        <w:t xml:space="preserve"> dall'assenza di un mandato estero, perché</w:t>
      </w:r>
    </w:p>
    <w:p>
      <w:pPr>
        <w:spacing w:after="120" w:line="276"/>
        <w:jc w:val="both"/>
      </w:pPr>
      <w:r>
        <w:rPr>
          <w:rFonts w:ascii="Barlow Semi Condensed" w:cs="Barlow Semi Condensed" w:eastAsia="Barlow Semi Condensed" w:hAnsi="Barlow Semi Condensed"/>
          <w:sz w:val="24"/>
          <w:szCs w:val="24"/>
        </w:rPr>
        <w:t xml:space="preserve">non ne richiede alcuno. Chi la respinge citando lo Stato Zero sul mandato sta</w:t>
      </w:r>
    </w:p>
    <w:p>
      <w:pPr>
        <w:spacing w:after="120" w:line="276"/>
        <w:jc w:val="both"/>
      </w:pPr>
      <w:r>
        <w:rPr>
          <w:rFonts w:ascii="Barlow Semi Condensed" w:cs="Barlow Semi Condensed" w:eastAsia="Barlow Semi Condensed" w:hAnsi="Barlow Semi Condensed"/>
          <w:sz w:val="24"/>
          <w:szCs w:val="24"/>
        </w:rPr>
        <w:t xml:space="preserve">respingendo un'altra tesi.</w:t>
      </w:r>
    </w:p>
    <w:p>
      <w:pPr>
        <w:spacing w:after="120" w:line="276"/>
        <w:jc w:val="both"/>
      </w:pPr>
      <w:r>
        <w:rPr>
          <w:rFonts w:ascii="Barlow Semi Condensed" w:cs="Barlow Semi Condensed" w:eastAsia="Barlow Semi Condensed" w:hAnsi="Barlow Semi Condensed"/>
          <w:b/>
          <w:bCs/>
          <w:sz w:val="24"/>
          <w:szCs w:val="24"/>
        </w:rPr>
        <w:t xml:space="preserve">Seconda, e più pesante:</w:t>
      </w:r>
      <w:r>
        <w:rPr>
          <w:rFonts w:ascii="Barlow Semi Condensed" w:cs="Barlow Semi Condensed" w:eastAsia="Barlow Semi Condensed" w:hAnsi="Barlow Semi Condensed"/>
          <w:sz w:val="24"/>
          <w:szCs w:val="24"/>
        </w:rPr>
        <w:t xml:space="preserve"> l'ipotesi, in quella forma, </w:t>
      </w:r>
      <w:r>
        <w:rPr>
          <w:rFonts w:ascii="Barlow Semi Condensed" w:cs="Barlow Semi Condensed" w:eastAsia="Barlow Semi Condensed" w:hAnsi="Barlow Semi Condensed"/>
          <w:b/>
          <w:bCs/>
          <w:sz w:val="24"/>
          <w:szCs w:val="24"/>
        </w:rPr>
        <w:t xml:space="preserve">non è nemmeno provata</w:t>
      </w:r>
    </w:p>
    <w:p>
      <w:pPr>
        <w:spacing w:after="120" w:line="276"/>
        <w:jc w:val="both"/>
      </w:pPr>
      <w:r>
        <w:rPr>
          <w:rFonts w:ascii="Barlow Semi Condensed" w:cs="Barlow Semi Condensed" w:eastAsia="Barlow Semi Condensed" w:hAnsi="Barlow Semi Condensed"/>
          <w:sz w:val="24"/>
          <w:szCs w:val="24"/>
        </w:rPr>
        <w:t xml:space="preserve">da nulla di ciò che le si porta abitualmente a sostegno — la convergenza temporale</w:t>
      </w:r>
    </w:p>
    <w:p>
      <w:pPr>
        <w:spacing w:after="120" w:line="276"/>
        <w:jc w:val="both"/>
      </w:pPr>
      <w:r>
        <w:rPr>
          <w:rFonts w:ascii="Barlow Semi Condensed" w:cs="Barlow Semi Condensed" w:eastAsia="Barlow Semi Condensed" w:hAnsi="Barlow Semi Condensed"/>
          <w:sz w:val="24"/>
          <w:szCs w:val="24"/>
        </w:rPr>
        <w:t xml:space="preserve">dell'ufficio romano, i passaggi biografici, le valutazioni investigative</w:t>
      </w:r>
    </w:p>
    <w:p>
      <w:pPr>
        <w:spacing w:after="120" w:line="276"/>
        <w:jc w:val="both"/>
      </w:pPr>
      <w:r>
        <w:rPr>
          <w:rFonts w:ascii="Barlow Semi Condensed" w:cs="Barlow Semi Condensed" w:eastAsia="Barlow Semi Condensed" w:hAnsi="Barlow Semi Condensed"/>
          <w:sz w:val="24"/>
          <w:szCs w:val="24"/>
        </w:rPr>
        <w:t xml:space="preserve">qualificate. Ridotta all'osso, essa afferma **che cosa un uomo sapesse e non abbia</w:t>
      </w:r>
    </w:p>
    <w:p>
      <w:pPr>
        <w:spacing w:after="120" w:line="276"/>
        <w:jc w:val="both"/>
      </w:pPr>
      <w:r>
        <w:rPr>
          <w:rFonts w:ascii="Barlow Semi Condensed" w:cs="Barlow Semi Condensed" w:eastAsia="Barlow Semi Condensed" w:hAnsi="Barlow Semi Condensed"/>
          <w:sz w:val="24"/>
          <w:szCs w:val="24"/>
        </w:rPr>
        <w:t xml:space="preserve">detto**; e ciò non si accerta con documenti d'archivio, perché di ciò che un uomo</w:t>
      </w:r>
    </w:p>
    <w:p>
      <w:pPr>
        <w:spacing w:after="120" w:line="276"/>
        <w:jc w:val="both"/>
      </w:pPr>
      <w:r>
        <w:rPr>
          <w:rFonts w:ascii="Barlow Semi Condensed" w:cs="Barlow Semi Condensed" w:eastAsia="Barlow Semi Condensed" w:hAnsi="Barlow Semi Condensed"/>
          <w:sz w:val="24"/>
          <w:szCs w:val="24"/>
        </w:rPr>
        <w:t xml:space="preserve">tace non si redige verbale. È il punto esatto in cui la prova finisce e comincia</w:t>
      </w:r>
    </w:p>
    <w:p>
      <w:pPr>
        <w:spacing w:after="120" w:line="276"/>
        <w:jc w:val="both"/>
      </w:pPr>
      <w:r>
        <w:rPr>
          <w:rFonts w:ascii="Barlow Semi Condensed" w:cs="Barlow Semi Condensed" w:eastAsia="Barlow Semi Condensed" w:hAnsi="Barlow Semi Condensed"/>
          <w:sz w:val="24"/>
          <w:szCs w:val="24"/>
        </w:rPr>
        <w:t xml:space="preserve">la biografia.</w:t>
      </w:r>
    </w:p>
    <w:p>
      <w:pPr>
        <w:spacing w:after="120" w:line="276"/>
        <w:jc w:val="both"/>
      </w:pPr>
      <w:r>
        <w:rPr>
          <w:rFonts w:ascii="Barlow Semi Condensed" w:cs="Barlow Semi Condensed" w:eastAsia="Barlow Semi Condensed" w:hAnsi="Barlow Semi Condensed"/>
          <w:b/>
          <w:bCs/>
          <w:sz w:val="24"/>
          <w:szCs w:val="24"/>
        </w:rPr>
        <w:t xml:space="preserve">Il criterio di riapertura, dichiarato.</w:t>
      </w:r>
      <w:r>
        <w:rPr>
          <w:rFonts w:ascii="Barlow Semi Condensed" w:cs="Barlow Semi Condensed" w:eastAsia="Barlow Semi Condensed" w:hAnsi="Barlow Semi Condensed"/>
          <w:sz w:val="24"/>
          <w:szCs w:val="24"/>
        </w:rPr>
        <w:t xml:space="preserve"> Il corpus archivia motivatamente i nessi</w:t>
      </w:r>
    </w:p>
    <w:p>
      <w:pPr>
        <w:spacing w:after="120" w:line="276"/>
        <w:jc w:val="both"/>
      </w:pPr>
      <w:r>
        <w:rPr>
          <w:rFonts w:ascii="Barlow Semi Condensed" w:cs="Barlow Semi Condensed" w:eastAsia="Barlow Semi Condensed" w:hAnsi="Barlow Semi Condensed"/>
          <w:sz w:val="24"/>
          <w:szCs w:val="24"/>
        </w:rPr>
        <w:t xml:space="preserve">operativi Hyperion-caso: il cammino documentato è di grado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 una genealogia</w:t>
      </w:r>
    </w:p>
    <w:p>
      <w:pPr>
        <w:spacing w:after="120" w:line="276"/>
        <w:jc w:val="both"/>
      </w:pPr>
      <w:r>
        <w:rPr>
          <w:rFonts w:ascii="Barlow Semi Condensed" w:cs="Barlow Semi Condensed" w:eastAsia="Barlow Semi Condensed" w:hAnsi="Barlow Semi Condensed"/>
          <w:sz w:val="24"/>
          <w:szCs w:val="24"/>
        </w:rPr>
        <w:t xml:space="preserve">del 1969 — e quarant'anni di indagini in due Paesi si sono chiusi con</w:t>
      </w:r>
    </w:p>
    <w:p>
      <w:pPr>
        <w:spacing w:after="120" w:line="276"/>
        <w:jc w:val="both"/>
      </w:pPr>
      <w:r>
        <w:rPr>
          <w:rFonts w:ascii="Barlow Semi Condensed" w:cs="Barlow Semi Condensed" w:eastAsia="Barlow Semi Condensed" w:hAnsi="Barlow Semi Condensed"/>
          <w:sz w:val="24"/>
          <w:szCs w:val="24"/>
        </w:rPr>
        <w:t xml:space="preserve">proscioglimenti. La pista si riapre </w:t>
      </w:r>
      <w:r>
        <w:rPr>
          <w:rFonts w:ascii="Barlow Semi Condensed" w:cs="Barlow Semi Condensed" w:eastAsia="Barlow Semi Condensed" w:hAnsi="Barlow Semi Condensed"/>
          <w:b/>
          <w:bCs/>
          <w:sz w:val="24"/>
          <w:szCs w:val="24"/>
        </w:rPr>
        <w:t xml:space="preserve">solo per documento primario nuovo</w:t>
      </w:r>
      <w:r>
        <w:rPr>
          <w:rFonts w:ascii="Barlow Semi Condensed" w:cs="Barlow Semi Condensed" w:eastAsia="Barlow Semi Condensed" w:hAnsi="Barlow Semi Condensed"/>
          <w:sz w:val="24"/>
          <w:szCs w:val="24"/>
        </w:rPr>
        <w:t xml:space="preserve">, non per</w:t>
      </w:r>
    </w:p>
    <w:p>
      <w:pPr>
        <w:spacing w:after="120" w:line="276"/>
        <w:jc w:val="both"/>
      </w:pPr>
      <w:r>
        <w:rPr>
          <w:rFonts w:ascii="Barlow Semi Condensed" w:cs="Barlow Semi Condensed" w:eastAsia="Barlow Semi Condensed" w:hAnsi="Barlow Semi Condensed"/>
          <w:sz w:val="24"/>
          <w:szCs w:val="24"/>
        </w:rPr>
        <w:t xml:space="preserve">rilettura degli stessi atti. Questo fascicolo non la riapre: </w:t>
      </w:r>
      <w:r>
        <w:rPr>
          <w:rFonts w:ascii="Barlow Semi Condensed" w:cs="Barlow Semi Condensed" w:eastAsia="Barlow Semi Condensed" w:hAnsi="Barlow Semi Condensed"/>
          <w:b/>
          <w:bCs/>
          <w:sz w:val="24"/>
          <w:szCs w:val="24"/>
        </w:rPr>
        <w:t xml:space="preserve">la riformula</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la lascia dov'è.</w:t>
      </w:r>
    </w:p>
    <w:p>
      <w:pPr>
        <w:pStyle w:val="Heading3"/>
        <w:spacing w:after="80" w:before="160"/>
      </w:pPr>
      <w:r>
        <w:rPr>
          <w:rFonts w:ascii="Barlow Semi Condensed" w:cs="Barlow Semi Condensed" w:eastAsia="Barlow Semi Condensed" w:hAnsi="Barlow Semi Condensed"/>
          <w:sz w:val="24"/>
          <w:szCs w:val="24"/>
        </w:rPr>
        <w:t xml:space="preserve">V.4 — Le due anomalie che restano, e che non sono la stessa cosa</w:t>
      </w:r>
    </w:p>
    <w:p>
      <w:pPr>
        <w:spacing w:after="120" w:line="276"/>
        <w:jc w:val="both"/>
      </w:pPr>
      <w:r>
        <w:rPr>
          <w:rFonts w:ascii="Barlow Semi Condensed" w:cs="Barlow Semi Condensed" w:eastAsia="Barlow Semi Condensed" w:hAnsi="Barlow Semi Condensed"/>
          <w:sz w:val="24"/>
          <w:szCs w:val="24"/>
        </w:rPr>
        <w:t xml:space="preserve">Vanno tenute distinte da tutto quanto precede, perché sono le sole due su cui</w:t>
      </w:r>
    </w:p>
    <w:p>
      <w:pPr>
        <w:spacing w:after="120" w:line="276"/>
        <w:jc w:val="both"/>
      </w:pPr>
      <w:r>
        <w:rPr>
          <w:rFonts w:ascii="Barlow Semi Condensed" w:cs="Barlow Semi Condensed" w:eastAsia="Barlow Semi Condensed" w:hAnsi="Barlow Semi Condensed"/>
          <w:sz w:val="24"/>
          <w:szCs w:val="24"/>
        </w:rPr>
        <w:t xml:space="preserve">esistano atti d'epoca da spogliare — e perché riguardano **ciò che accadde fuori</w:t>
      </w:r>
    </w:p>
    <w:p>
      <w:pPr>
        <w:spacing w:after="120" w:line="276"/>
        <w:jc w:val="both"/>
      </w:pPr>
      <w:r>
        <w:rPr>
          <w:rFonts w:ascii="Barlow Semi Condensed" w:cs="Barlow Semi Condensed" w:eastAsia="Barlow Semi Condensed" w:hAnsi="Barlow Semi Condensed"/>
          <w:sz w:val="24"/>
          <w:szCs w:val="24"/>
        </w:rPr>
        <w:t xml:space="preserve">dall'organizzazione**, dove i documenti si producono e si conservano.</w:t>
      </w:r>
    </w:p>
    <w:p>
      <w:pPr>
        <w:spacing w:after="120" w:line="276"/>
        <w:jc w:val="both"/>
      </w:pPr>
      <w:r>
        <w:rPr>
          <w:rFonts w:ascii="Barlow Semi Condensed" w:cs="Barlow Semi Condensed" w:eastAsia="Barlow Semi Condensed" w:hAnsi="Barlow Semi Condensed"/>
          <w:b/>
          <w:bCs/>
          <w:sz w:val="24"/>
          <w:szCs w:val="24"/>
        </w:rPr>
        <w:t xml:space="preserve">Il 18 marzo 1978 a via Gradoli.</w:t>
      </w:r>
      <w:r>
        <w:rPr>
          <w:rFonts w:ascii="Barlow Semi Condensed" w:cs="Barlow Semi Condensed" w:eastAsia="Barlow Semi Condensed" w:hAnsi="Barlow Semi Condensed"/>
          <w:sz w:val="24"/>
          <w:szCs w:val="24"/>
        </w:rPr>
        <w:t xml:space="preserve"> Una squadra del commissariato Flaminio Nuovo,</w:t>
      </w:r>
    </w:p>
    <w:p>
      <w:pPr>
        <w:spacing w:after="120" w:line="276"/>
        <w:jc w:val="both"/>
      </w:pPr>
      <w:r>
        <w:rPr>
          <w:rFonts w:ascii="Barlow Semi Condensed" w:cs="Barlow Semi Condensed" w:eastAsia="Barlow Semi Condensed" w:hAnsi="Barlow Semi Condensed"/>
          <w:sz w:val="24"/>
          <w:szCs w:val="24"/>
        </w:rPr>
        <w:t xml:space="preserve">guidata dal brigadiere </w:t>
      </w:r>
      <w:r>
        <w:rPr>
          <w:rFonts w:ascii="Barlow Semi Condensed" w:cs="Barlow Semi Condensed" w:eastAsia="Barlow Semi Condensed" w:hAnsi="Barlow Semi Condensed"/>
          <w:b/>
          <w:bCs/>
          <w:sz w:val="24"/>
          <w:szCs w:val="24"/>
        </w:rPr>
        <w:t xml:space="preserve">Domenico Merola</w:t>
      </w:r>
      <w:r>
        <w:rPr>
          <w:rFonts w:ascii="Barlow Semi Condensed" w:cs="Barlow Semi Condensed" w:eastAsia="Barlow Semi Condensed" w:hAnsi="Barlow Semi Condensed"/>
          <w:sz w:val="24"/>
          <w:szCs w:val="24"/>
        </w:rPr>
        <w:t xml:space="preserve">, effettuò controlli nello stabile di</w:t>
      </w:r>
    </w:p>
    <w:p>
      <w:pPr>
        <w:spacing w:after="120" w:line="276"/>
        <w:jc w:val="both"/>
      </w:pPr>
      <w:r>
        <w:rPr>
          <w:rFonts w:ascii="Barlow Semi Condensed" w:cs="Barlow Semi Condensed" w:eastAsia="Barlow Semi Condensed" w:hAnsi="Barlow Semi Condensed"/>
          <w:sz w:val="24"/>
          <w:szCs w:val="24"/>
        </w:rPr>
        <w:t xml:space="preserve">via Gradoli 96; all'</w:t>
      </w:r>
      <w:r>
        <w:rPr>
          <w:rFonts w:ascii="Barlow Semi Condensed" w:cs="Barlow Semi Condensed" w:eastAsia="Barlow Semi Condensed" w:hAnsi="Barlow Semi Condensed"/>
          <w:b/>
          <w:bCs/>
          <w:sz w:val="24"/>
          <w:szCs w:val="24"/>
        </w:rPr>
        <w:t xml:space="preserve">interno 11</w:t>
      </w:r>
      <w:r>
        <w:rPr>
          <w:rFonts w:ascii="Barlow Semi Condensed" w:cs="Barlow Semi Condensed" w:eastAsia="Barlow Semi Condensed" w:hAnsi="Barlow Semi Condensed"/>
          <w:sz w:val="24"/>
          <w:szCs w:val="24"/>
        </w:rPr>
        <w:t xml:space="preserve"> — il covo — **nessuno rispose al campanello e</w:t>
      </w:r>
    </w:p>
    <w:p>
      <w:pPr>
        <w:spacing w:after="120" w:line="276"/>
        <w:jc w:val="both"/>
      </w:pPr>
      <w:r>
        <w:rPr>
          <w:rFonts w:ascii="Barlow Semi Condensed" w:cs="Barlow Semi Condensed" w:eastAsia="Barlow Semi Condensed" w:hAnsi="Barlow Semi Condensed"/>
          <w:sz w:val="24"/>
          <w:szCs w:val="24"/>
        </w:rPr>
        <w:t xml:space="preserve">la squadra non entrò</w:t>
      </w:r>
      <w:r>
        <w:rPr>
          <w:rFonts w:ascii="Barlow Semi Condensed" w:cs="Barlow Semi Condensed" w:eastAsia="Barlow Semi Condensed" w:hAnsi="Barlow Semi Condensed"/>
          <w:b/>
          <w:bCs/>
          <w:sz w:val="24"/>
          <w:szCs w:val="24"/>
        </w:rPr>
        <w:t xml:space="preserve">. Un'informatrice della polizia, </w:t>
      </w:r>
      <w:r>
        <w:rPr>
          <w:rFonts w:ascii="Barlow Semi Condensed" w:cs="Barlow Semi Condensed" w:eastAsia="Barlow Semi Condensed" w:hAnsi="Barlow Semi Condensed"/>
          <w:sz w:val="24"/>
          <w:szCs w:val="24"/>
        </w:rPr>
        <w:t xml:space="preserve">Lucia Mokbel**, aveva</w:t>
      </w:r>
    </w:p>
    <w:p>
      <w:pPr>
        <w:spacing w:after="120" w:line="276"/>
        <w:jc w:val="both"/>
      </w:pPr>
      <w:r>
        <w:rPr>
          <w:rFonts w:ascii="Barlow Semi Condensed" w:cs="Barlow Semi Condensed" w:eastAsia="Barlow Semi Condensed" w:hAnsi="Barlow Semi Condensed"/>
          <w:sz w:val="24"/>
          <w:szCs w:val="24"/>
        </w:rPr>
        <w:t xml:space="preserve">segnalato rumori sospetti provenienti proprio da quell'appartamento. Del controllo</w:t>
      </w:r>
    </w:p>
    <w:p>
      <w:pPr>
        <w:spacing w:after="120" w:line="276"/>
        <w:jc w:val="both"/>
      </w:pPr>
      <w:r>
        <w:rPr>
          <w:rFonts w:ascii="Barlow Semi Condensed" w:cs="Barlow Semi Condensed" w:eastAsia="Barlow Semi Condensed" w:hAnsi="Barlow Semi Condensed"/>
          <w:sz w:val="24"/>
          <w:szCs w:val="24"/>
        </w:rPr>
        <w:t xml:space="preserve">fallito le autorità si avvidero </w:t>
      </w:r>
      <w:r>
        <w:rPr>
          <w:rFonts w:ascii="Barlow Semi Condensed" w:cs="Barlow Semi Condensed" w:eastAsia="Barlow Semi Condensed" w:hAnsi="Barlow Semi Condensed"/>
          <w:b/>
          <w:bCs/>
          <w:sz w:val="24"/>
          <w:szCs w:val="24"/>
        </w:rPr>
        <w:t xml:space="preserve">solo dopo il 18 aprile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Che cosa</w:t>
      </w:r>
    </w:p>
    <w:p>
      <w:pPr>
        <w:spacing w:after="120" w:line="276"/>
        <w:jc w:val="both"/>
      </w:pPr>
      <w:r>
        <w:rPr>
          <w:rFonts w:ascii="Barlow Semi Condensed" w:cs="Barlow Semi Condensed" w:eastAsia="Barlow Semi Condensed" w:hAnsi="Barlow Semi Condensed"/>
          <w:sz w:val="24"/>
          <w:szCs w:val="24"/>
        </w:rPr>
        <w:t xml:space="preserve">manca: il percorso della nota, le disposizioni che generò, le istruzioni operative</w:t>
      </w:r>
    </w:p>
    <w:p>
      <w:pPr>
        <w:spacing w:after="120" w:line="276"/>
        <w:jc w:val="both"/>
      </w:pPr>
      <w:r>
        <w:rPr>
          <w:rFonts w:ascii="Barlow Semi Condensed" w:cs="Barlow Semi Condensed" w:eastAsia="Barlow Semi Condensed" w:hAnsi="Barlow Semi Condensed"/>
          <w:sz w:val="24"/>
          <w:szCs w:val="24"/>
        </w:rPr>
        <w:t xml:space="preserve">della squadra, i verbali del 18 marzo e la loro circolazione.</w:t>
      </w:r>
    </w:p>
    <w:p>
      <w:pPr>
        <w:spacing w:after="120" w:line="276"/>
        <w:jc w:val="both"/>
      </w:pPr>
      <w:r>
        <w:rPr>
          <w:rFonts w:ascii="Barlow Semi Condensed" w:cs="Barlow Semi Condensed" w:eastAsia="Barlow Semi Condensed" w:hAnsi="Barlow Semi Condensed"/>
          <w:b/>
          <w:bCs/>
          <w:sz w:val="24"/>
          <w:szCs w:val="24"/>
        </w:rPr>
        <w:t xml:space="preserve">Lo stabile.</w:t>
      </w:r>
      <w:r>
        <w:rPr>
          <w:rFonts w:ascii="Barlow Semi Condensed" w:cs="Barlow Semi Condensed" w:eastAsia="Barlow Semi Condensed" w:hAnsi="Barlow Semi Condensed"/>
          <w:sz w:val="24"/>
          <w:szCs w:val="24"/>
        </w:rPr>
        <w:t xml:space="preserve"> Dei sessantasei appartamenti, **ventiquattro risultavano di società</w:t>
      </w:r>
    </w:p>
    <w:p>
      <w:pPr>
        <w:spacing w:after="120" w:line="276"/>
        <w:jc w:val="both"/>
      </w:pPr>
      <w:r>
        <w:rPr>
          <w:rFonts w:ascii="Barlow Semi Condensed" w:cs="Barlow Semi Condensed" w:eastAsia="Barlow Semi Condensed" w:hAnsi="Barlow Semi Condensed"/>
          <w:sz w:val="24"/>
          <w:szCs w:val="24"/>
        </w:rPr>
        <w:t xml:space="preserve">immobiliari</w:t>
      </w:r>
      <w:r>
        <w:rPr>
          <w:rFonts w:ascii="Barlow Semi Condensed" w:cs="Barlow Semi Condensed" w:eastAsia="Barlow Semi Condensed" w:hAnsi="Barlow Semi Condensed"/>
          <w:b/>
          <w:bCs/>
          <w:sz w:val="24"/>
          <w:szCs w:val="24"/>
        </w:rPr>
        <w:t xml:space="preserve"> i cui amministratori comprendevano </w:t>
      </w:r>
      <w:r>
        <w:rPr>
          <w:rFonts w:ascii="Barlow Semi Condensed" w:cs="Barlow Semi Condensed" w:eastAsia="Barlow Semi Condensed" w:hAnsi="Barlow Semi Condensed"/>
          <w:sz w:val="24"/>
          <w:szCs w:val="24"/>
        </w:rPr>
        <w:t xml:space="preserve">fiduciari dei servizi</w:t>
      </w:r>
      <w:r>
        <w:rPr>
          <w:rFonts w:ascii="Barlow Semi Condensed" w:cs="Barlow Semi Condensed" w:eastAsia="Barlow Semi Condensed" w:hAnsi="Barlow Semi Condensed"/>
          <w:b/>
          <w:bCs/>
          <w:sz w:val="24"/>
          <w:szCs w:val="24"/>
        </w:rPr>
        <w:t xml:space="preserve">. </w:t>
      </w:r>
      <w:r>
        <w:rPr>
          <w:rFonts w:ascii="Barlow Semi Condensed" w:cs="Barlow Semi Condensed" w:eastAsia="Barlow Semi Condensed" w:hAnsi="Barlow Semi Condensed"/>
          <w:sz w:val="24"/>
          <w:szCs w:val="24"/>
        </w:rPr>
        <w:t xml:space="preserve">Grado</w:t>
      </w:r>
    </w:p>
    <w:p>
      <w:pPr>
        <w:spacing w:after="120" w:line="276"/>
        <w:jc w:val="both"/>
      </w:pPr>
      <w:r>
        <w:rPr>
          <w:rFonts w:ascii="Barlow Semi Condensed" w:cs="Barlow Semi Condensed" w:eastAsia="Barlow Semi Condensed" w:hAnsi="Barlow Semi Condensed"/>
          <w:sz w:val="24"/>
          <w:szCs w:val="24"/>
        </w:rPr>
        <w:t xml:space="preserve">B.** Il quesito, in forma impersonale: coabitazione casuale del covo con le</w:t>
      </w:r>
    </w:p>
    <w:p>
      <w:pPr>
        <w:spacing w:after="120" w:line="276"/>
        <w:jc w:val="both"/>
      </w:pPr>
      <w:r>
        <w:rPr>
          <w:rFonts w:ascii="Barlow Semi Condensed" w:cs="Barlow Semi Condensed" w:eastAsia="Barlow Semi Condensed" w:hAnsi="Barlow Semi Condensed"/>
          <w:sz w:val="24"/>
          <w:szCs w:val="24"/>
        </w:rPr>
        <w:t xml:space="preserve">coperture immobiliari, o ambiente in qualche misura noto? **Nessuna evidenza</w:t>
      </w:r>
    </w:p>
    <w:p>
      <w:pPr>
        <w:spacing w:after="120" w:line="276"/>
        <w:jc w:val="both"/>
      </w:pPr>
      <w:r>
        <w:rPr>
          <w:rFonts w:ascii="Barlow Semi Condensed" w:cs="Barlow Semi Condensed" w:eastAsia="Barlow Semi Condensed" w:hAnsi="Barlow Semi Condensed"/>
          <w:sz w:val="24"/>
          <w:szCs w:val="24"/>
        </w:rPr>
        <w:t xml:space="preserve">disponibile discrimina** — ed è precisamente per questo che la pista serve.</w:t>
      </w:r>
    </w:p>
    <w:p>
      <w:pPr>
        <w:spacing w:after="120" w:line="276"/>
        <w:jc w:val="both"/>
      </w:pPr>
      <w:r>
        <w:rPr>
          <w:rFonts w:ascii="Barlow Semi Condensed" w:cs="Barlow Semi Condensed" w:eastAsia="Barlow Semi Condensed" w:hAnsi="Barlow Semi Condensed"/>
          <w:sz w:val="24"/>
          <w:szCs w:val="24"/>
        </w:rPr>
        <w:t xml:space="preserve">Si noti la differenza di natura fra il §V.3 e il §V.4. Il primo chiede che cosa</w:t>
      </w:r>
    </w:p>
    <w:p>
      <w:pPr>
        <w:spacing w:after="120" w:line="276"/>
        <w:jc w:val="both"/>
      </w:pPr>
      <w:r>
        <w:rPr>
          <w:rFonts w:ascii="Barlow Semi Condensed" w:cs="Barlow Semi Condensed" w:eastAsia="Barlow Semi Condensed" w:hAnsi="Barlow Semi Condensed"/>
          <w:sz w:val="24"/>
          <w:szCs w:val="24"/>
        </w:rPr>
        <w:t xml:space="preserve">qualcuno sapesse; il secondo chiede </w:t>
      </w:r>
      <w:r>
        <w:rPr>
          <w:rFonts w:ascii="Barlow Semi Condensed" w:cs="Barlow Semi Condensed" w:eastAsia="Barlow Semi Condensed" w:hAnsi="Barlow Semi Condensed"/>
          <w:b/>
          <w:bCs/>
          <w:sz w:val="24"/>
          <w:szCs w:val="24"/>
        </w:rPr>
        <w:t xml:space="preserve">dove sia un fascicolo</w:t>
      </w:r>
      <w:r>
        <w:rPr>
          <w:rFonts w:ascii="Barlow Semi Condensed" w:cs="Barlow Semi Condensed" w:eastAsia="Barlow Semi Condensed" w:hAnsi="Barlow Semi Condensed"/>
          <w:sz w:val="24"/>
          <w:szCs w:val="24"/>
        </w:rPr>
        <w:t xml:space="preserve">. Solo il secondo è un</w:t>
      </w:r>
    </w:p>
    <w:p>
      <w:pPr>
        <w:spacing w:after="120" w:line="276"/>
        <w:jc w:val="both"/>
      </w:pPr>
      <w:r>
        <w:rPr>
          <w:rFonts w:ascii="Barlow Semi Condensed" w:cs="Barlow Semi Condensed" w:eastAsia="Barlow Semi Condensed" w:hAnsi="Barlow Semi Condensed"/>
          <w:sz w:val="24"/>
          <w:szCs w:val="24"/>
        </w:rPr>
        <w:t xml:space="preserve">programma di lavoro.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Le piste, in ordine, con il numero e con ciò che il numero significa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cosa misura la percentuale, e che cosa no.</w:t>
      </w:r>
      <w:r>
        <w:rPr>
          <w:rFonts w:ascii="Barlow Semi Condensed" w:cs="Barlow Semi Condensed" w:eastAsia="Barlow Semi Condensed" w:hAnsi="Barlow Semi Condensed"/>
          <w:i w:val="false"/>
          <w:iCs w:val="false"/>
          <w:sz w:val="24"/>
          <w:szCs w:val="24"/>
        </w:rPr>
        <w:t xml:space="preserve"> Il numero accanto a ciascuna pista è un </w:t>
      </w:r>
      <w:r>
        <w:rPr>
          <w:rFonts w:ascii="Barlow Semi Condensed" w:cs="Barlow Semi Condensed" w:eastAsia="Barlow Semi Condensed" w:hAnsi="Barlow Semi Condensed"/>
          <w:b/>
          <w:bCs/>
          <w:i w:val="false"/>
          <w:iCs w:val="false"/>
          <w:sz w:val="24"/>
          <w:szCs w:val="24"/>
        </w:rPr>
        <w:t xml:space="preserve">indice di priorità istruttoria su scala 0-100</w:t>
      </w:r>
      <w:r>
        <w:rPr>
          <w:rFonts w:ascii="Barlow Semi Condensed" w:cs="Barlow Semi Condensed" w:eastAsia="Barlow Semi Condensed" w:hAnsi="Barlow Semi Condensed"/>
          <w:i w:val="false"/>
          <w:iCs w:val="false"/>
          <w:sz w:val="24"/>
          <w:szCs w:val="24"/>
        </w:rPr>
        <w:t xml:space="preserve">, non la probabilità che una tesi sia vera e </w:t>
      </w:r>
      <w:r>
        <w:rPr>
          <w:rFonts w:ascii="Barlow Semi Condensed" w:cs="Barlow Semi Condensed" w:eastAsia="Barlow Semi Condensed" w:hAnsi="Barlow Semi Condensed"/>
          <w:b/>
          <w:bCs/>
          <w:i w:val="false"/>
          <w:iCs w:val="false"/>
          <w:sz w:val="24"/>
          <w:szCs w:val="24"/>
        </w:rPr>
        <w:t xml:space="preserve">non</w:t>
      </w:r>
      <w:r>
        <w:rPr>
          <w:rFonts w:ascii="Barlow Semi Condensed" w:cs="Barlow Semi Condensed" w:eastAsia="Barlow Semi Condensed" w:hAnsi="Barlow Semi Condensed"/>
          <w:i w:val="false"/>
          <w:iCs w:val="false"/>
          <w:sz w:val="24"/>
          <w:szCs w:val="24"/>
        </w:rPr>
        <w:t xml:space="preserve"> la probabilità che qualcuno sia colpevole. Misura quanto convenga compiere quell'atto adesso.  </w:t>
      </w:r>
      <w:r>
        <w:rPr>
          <w:rFonts w:ascii="Barlow Semi Condensed" w:cs="Barlow Semi Condensed" w:eastAsia="Barlow Semi Condensed" w:hAnsi="Barlow Semi Condensed"/>
          <w:b/>
          <w:bCs/>
          <w:i w:val="false"/>
          <w:iCs w:val="false"/>
          <w:sz w:val="24"/>
          <w:szCs w:val="24"/>
        </w:rPr>
        <w:t xml:space="preserve">Il modello è dichiarato perché sia attaccabile.</w:t>
      </w:r>
      <w:r>
        <w:rPr>
          <w:rFonts w:ascii="Barlow Semi Condensed" w:cs="Barlow Semi Condensed" w:eastAsia="Barlow Semi Condensed" w:hAnsi="Barlow Semi Condensed"/>
          <w:i w:val="false"/>
          <w:iCs w:val="false"/>
          <w:sz w:val="24"/>
          <w:szCs w:val="24"/>
        </w:rPr>
        <w:t xml:space="preserve"> Somma pesata di cinque criteri, ciascuno valutato 0-10: </w:t>
      </w:r>
      <w:r>
        <w:rPr>
          <w:rFonts w:ascii="Barlow Semi Condensed" w:cs="Barlow Semi Condensed" w:eastAsia="Barlow Semi Condensed" w:hAnsi="Barlow Semi Condensed"/>
          <w:b/>
          <w:bCs/>
          <w:i w:val="false"/>
          <w:iCs w:val="false"/>
          <w:sz w:val="24"/>
          <w:szCs w:val="24"/>
        </w:rPr>
        <w:t xml:space="preserve">R</w:t>
      </w:r>
      <w:r>
        <w:rPr>
          <w:rFonts w:ascii="Barlow Semi Condensed" w:cs="Barlow Semi Condensed" w:eastAsia="Barlow Semi Condensed" w:hAnsi="Barlow Semi Condensed"/>
          <w:i w:val="false"/>
          <w:iCs w:val="false"/>
          <w:sz w:val="24"/>
          <w:szCs w:val="24"/>
        </w:rPr>
        <w:t xml:space="preserve"> rendimento atteso, quanto la risposta sposterebbe la linea del sapere (peso 30%); </w:t>
      </w:r>
      <w:r>
        <w:rPr>
          <w:rFonts w:ascii="Barlow Semi Condensed" w:cs="Barlow Semi Condensed" w:eastAsia="Barlow Semi Condensed" w:hAnsi="Barlow Semi Condensed"/>
          <w:b/>
          <w:bCs/>
          <w:i w:val="false"/>
          <w:iCs w:val="false"/>
          <w:sz w:val="24"/>
          <w:szCs w:val="24"/>
        </w:rPr>
        <w:t xml:space="preserve">D</w:t>
      </w:r>
      <w:r>
        <w:rPr>
          <w:rFonts w:ascii="Barlow Semi Condensed" w:cs="Barlow Semi Condensed" w:eastAsia="Barlow Semi Condensed" w:hAnsi="Barlow Semi Condensed"/>
          <w:i w:val="false"/>
          <w:iCs w:val="false"/>
          <w:sz w:val="24"/>
          <w:szCs w:val="24"/>
        </w:rPr>
        <w:t xml:space="preserve"> diagnosticità, se l'atto discrimina fra ipotesi concorrenti (25%); </w:t>
      </w:r>
      <w:r>
        <w:rPr>
          <w:rFonts w:ascii="Barlow Semi Condensed" w:cs="Barlow Semi Condensed" w:eastAsia="Barlow Semi Condensed" w:hAnsi="Barlow Semi Condensed"/>
          <w:b/>
          <w:bCs/>
          <w:i w:val="false"/>
          <w:iCs w:val="false"/>
          <w:sz w:val="24"/>
          <w:szCs w:val="24"/>
        </w:rPr>
        <w:t xml:space="preserve">F</w:t>
      </w:r>
      <w:r>
        <w:rPr>
          <w:rFonts w:ascii="Barlow Semi Condensed" w:cs="Barlow Semi Condensed" w:eastAsia="Barlow Semi Condensed" w:hAnsi="Barlow Semi Condensed"/>
          <w:i w:val="false"/>
          <w:iCs w:val="false"/>
          <w:sz w:val="24"/>
          <w:szCs w:val="24"/>
        </w:rPr>
        <w:t xml:space="preserve"> fattibilità attuale, autorità e reperti esistenti (20%); </w:t>
      </w:r>
      <w:r>
        <w:rPr>
          <w:rFonts w:ascii="Barlow Semi Condensed" w:cs="Barlow Semi Condensed" w:eastAsia="Barlow Semi Condensed" w:hAnsi="Barlow Semi Condensed"/>
          <w:b/>
          <w:bCs/>
          <w:i w:val="false"/>
          <w:iCs w:val="false"/>
          <w:sz w:val="24"/>
          <w:szCs w:val="24"/>
        </w:rPr>
        <w:t xml:space="preserve">U</w:t>
      </w:r>
      <w:r>
        <w:rPr>
          <w:rFonts w:ascii="Barlow Semi Condensed" w:cs="Barlow Semi Condensed" w:eastAsia="Barlow Semi Condensed" w:hAnsi="Barlow Semi Condensed"/>
          <w:i w:val="false"/>
          <w:iCs w:val="false"/>
          <w:sz w:val="24"/>
          <w:szCs w:val="24"/>
        </w:rPr>
        <w:t xml:space="preserve"> urgenza, deperibilità della fonte (15%); </w:t>
      </w:r>
      <w:r>
        <w:rPr>
          <w:rFonts w:ascii="Barlow Semi Condensed" w:cs="Barlow Semi Condensed" w:eastAsia="Barlow Semi Condensed" w:hAnsi="Barlow Semi Condensed"/>
          <w:b/>
          <w:bCs/>
          <w:i w:val="false"/>
          <w:iCs w:val="false"/>
          <w:sz w:val="24"/>
          <w:szCs w:val="24"/>
        </w:rPr>
        <w:t xml:space="preserve">I</w:t>
      </w:r>
      <w:r>
        <w:rPr>
          <w:rFonts w:ascii="Barlow Semi Condensed" w:cs="Barlow Semi Condensed" w:eastAsia="Barlow Semi Condensed" w:hAnsi="Barlow Semi Condensed"/>
          <w:i w:val="false"/>
          <w:iCs w:val="false"/>
          <w:sz w:val="24"/>
          <w:szCs w:val="24"/>
        </w:rPr>
        <w:t xml:space="preserve"> indipendenza dal comparto già giudicato (10%). </w:t>
      </w:r>
      <w:r>
        <w:rPr>
          <w:rFonts w:ascii="Barlow Semi Condensed" w:cs="Barlow Semi Condensed" w:eastAsia="Barlow Semi Condensed" w:hAnsi="Barlow Semi Condensed"/>
          <w:b/>
          <w:bCs/>
          <w:i w:val="false"/>
          <w:iCs w:val="false"/>
          <w:sz w:val="24"/>
          <w:szCs w:val="24"/>
        </w:rPr>
        <w:t xml:space="preserve">Chi contesti un numero deve contestare un sotto-giudizio o un peso.</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Perché non do percentuali di verità.</w:t>
      </w:r>
      <w:r>
        <w:rPr>
          <w:rFonts w:ascii="Barlow Semi Condensed" w:cs="Barlow Semi Condensed" w:eastAsia="Barlow Semi Condensed" w:hAnsi="Barlow Semi Condensed"/>
          <w:i w:val="false"/>
          <w:iCs w:val="false"/>
          <w:sz w:val="24"/>
          <w:szCs w:val="24"/>
        </w:rPr>
        <w:t xml:space="preserve"> In quest'opera una cifra di probabilità è già stata scritta e </w:t>
      </w:r>
      <w:r>
        <w:rPr>
          <w:rFonts w:ascii="Barlow Semi Condensed" w:cs="Barlow Semi Condensed" w:eastAsia="Barlow Semi Condensed" w:hAnsi="Barlow Semi Condensed"/>
          <w:b/>
          <w:bCs/>
          <w:i w:val="false"/>
          <w:iCs w:val="false"/>
          <w:sz w:val="24"/>
          <w:szCs w:val="24"/>
        </w:rPr>
        <w:t xml:space="preserve">ritirata</w:t>
      </w:r>
      <w:r>
        <w:rPr>
          <w:rFonts w:ascii="Barlow Semi Condensed" w:cs="Barlow Semi Condensed" w:eastAsia="Barlow Semi Condensed" w:hAnsi="Barlow Semi Condensed"/>
          <w:i w:val="false"/>
          <w:iCs w:val="false"/>
          <w:sz w:val="24"/>
          <w:szCs w:val="24"/>
        </w:rPr>
        <w:t xml:space="preserve">, perché dipendeva da un parametro che non era stato dichiarato. La lezione è stata pagata una volta e non si ripete: </w:t>
      </w:r>
      <w:r>
        <w:rPr>
          <w:rFonts w:ascii="Barlow Semi Condensed" w:cs="Barlow Semi Condensed" w:eastAsia="Barlow Semi Condensed" w:hAnsi="Barlow Semi Condensed"/>
          <w:b/>
          <w:bCs/>
          <w:i w:val="false"/>
          <w:iCs w:val="false"/>
          <w:sz w:val="24"/>
          <w:szCs w:val="24"/>
        </w:rPr>
        <w:t xml:space="preserve">un numero senza la regola che lo produce non è una misura imprecisa — non è affatto una misura.</w:t>
      </w:r>
      <w:r>
        <w:rPr>
          <w:rFonts w:ascii="Barlow Semi Condensed" w:cs="Barlow Semi Condensed" w:eastAsia="Barlow Semi Condensed" w:hAnsi="Barlow Semi Condensed"/>
          <w:i w:val="false"/>
          <w:iCs w:val="false"/>
          <w:sz w:val="24"/>
          <w:szCs w:val="24"/>
        </w:rPr>
        <w:t xml:space="preserve"> Le piste si ordinano; le colpe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Pista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Indice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Le terze presenze non attribuite di via Fani</w:t>
            </w:r>
            <w:r>
              <w:rPr>
                <w:rFonts w:ascii="Barlow Semi Condensed" w:cs="Barlow Semi Condensed" w:eastAsia="Barlow Semi Condensed" w:hAnsi="Barlow Semi Condensed"/>
                <w:sz w:val="20"/>
                <w:szCs w:val="20"/>
              </w:rPr>
              <w:t xml:space="preserve"> — perizia balistica con tecniche attuali su tutti i reperti, comparazioni sistematiche col DNA 2016. È l'evidenza che </w:t>
            </w:r>
            <w:r>
              <w:rPr>
                <w:rFonts w:ascii="Barlow Semi Condensed" w:cs="Barlow Semi Condensed" w:eastAsia="Barlow Semi Condensed" w:hAnsi="Barlow Semi Condensed"/>
                <w:b/>
                <w:bCs/>
                <w:sz w:val="20"/>
                <w:szCs w:val="20"/>
              </w:rPr>
              <w:t xml:space="preserve">decide</w:t>
            </w:r>
            <w:r>
              <w:rPr>
                <w:rFonts w:ascii="Barlow Semi Condensed" w:cs="Barlow Semi Condensed" w:eastAsia="Barlow Semi Condensed" w:hAnsi="Barlow Semi Condensed"/>
                <w:sz w:val="20"/>
                <w:szCs w:val="20"/>
              </w:rPr>
              <w:t xml:space="preserve">: se colpi e mezzi tornano tutti al commando giudicato, l'ipotesi degli estranei cade; se emerge un profilo estraneo, si apre un'identificazione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89,0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 testimoni viventi</w:t>
            </w:r>
            <w:r>
              <w:rPr>
                <w:rFonts w:ascii="Barlow Semi Condensed" w:cs="Barlow Semi Condensed" w:eastAsia="Barlow Semi Condensed" w:hAnsi="Barlow Semi Condensed"/>
                <w:sz w:val="20"/>
                <w:szCs w:val="20"/>
              </w:rPr>
              <w:t xml:space="preserve"> — ri-escussione con protocolli di memoria assistita e raccolta conservativa. È l'unica pista che </w:t>
            </w:r>
            <w:r>
              <w:rPr>
                <w:rFonts w:ascii="Barlow Semi Condensed" w:cs="Barlow Semi Condensed" w:eastAsia="Barlow Semi Condensed" w:hAnsi="Barlow Semi Condensed"/>
                <w:b/>
                <w:bCs/>
                <w:sz w:val="20"/>
                <w:szCs w:val="20"/>
              </w:rPr>
              <w:t xml:space="preserve">il tempo chiude da solo</w:t>
            </w:r>
            <w:r>
              <w:rPr>
                <w:rFonts w:ascii="Barlow Semi Condensed" w:cs="Barlow Semi Condensed" w:eastAsia="Barlow Semi Condensed" w:hAnsi="Barlow Semi Condensed"/>
                <w:sz w:val="20"/>
                <w:szCs w:val="20"/>
              </w:rPr>
              <w:t xml:space="preserve">: ogni anno senza raccolta è perdita irreversibile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77,5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fonte della segnalazione «Gradoli»</w:t>
            </w:r>
            <w:r>
              <w:rPr>
                <w:rFonts w:ascii="Barlow Semi Condensed" w:cs="Barlow Semi Condensed" w:eastAsia="Barlow Semi Condensed" w:hAnsi="Barlow Semi Condensed"/>
                <w:sz w:val="20"/>
                <w:szCs w:val="20"/>
              </w:rPr>
              <w:t xml:space="preserve"> — la catena informativa reale che portò a quel nome, negli atti di PS e prefettura dell'aprile 1978 e nei versamenti del Viminale. Basterebbe un appunto d'epoca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4</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comitato del Viminale e le appartenenze</w:t>
            </w:r>
            <w:r>
              <w:rPr>
                <w:rFonts w:ascii="Barlow Semi Condensed" w:cs="Barlow Semi Condensed" w:eastAsia="Barlow Semi Condensed" w:hAnsi="Barlow Semi Condensed"/>
                <w:sz w:val="20"/>
                <w:szCs w:val="20"/>
              </w:rPr>
              <w:t xml:space="preserve"> — censimento nominativo documentale </w:t>
            </w:r>
            <w:r>
              <w:rPr>
                <w:rFonts w:ascii="Barlow Semi Condensed" w:cs="Barlow Semi Condensed" w:eastAsia="Barlow Semi Condensed" w:hAnsi="Barlow Semi Condensed"/>
                <w:b/>
                <w:bCs/>
                <w:sz w:val="20"/>
                <w:szCs w:val="20"/>
              </w:rPr>
              <w:t xml:space="preserve">completo</w:t>
            </w:r>
            <w:r>
              <w:rPr>
                <w:rFonts w:ascii="Barlow Semi Condensed" w:cs="Barlow Semi Condensed" w:eastAsia="Barlow Semi Condensed" w:hAnsi="Barlow Semi Condensed"/>
                <w:sz w:val="20"/>
                <w:szCs w:val="20"/>
              </w:rPr>
              <w:t xml:space="preserve"> della composizione di tutti i comitati dei 55 giorni, sugli atti Anselmi e sul fondo Direttiva Renzi. Con la regola scolpita: </w:t>
            </w:r>
            <w:r>
              <w:rPr>
                <w:rFonts w:ascii="Barlow Semi Condensed" w:cs="Barlow Semi Condensed" w:eastAsia="Barlow Semi Condensed" w:hAnsi="Barlow Semi Condensed"/>
                <w:b/>
                <w:bCs/>
                <w:sz w:val="20"/>
                <w:szCs w:val="20"/>
              </w:rPr>
              <w:t xml:space="preserve">l'iscrizione accertata di un membro è un fatto e non è prova di alcuna condotta nel caso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catena di comando del 18 marzo a via Gradoli</w:t>
            </w:r>
            <w:r>
              <w:rPr>
                <w:rFonts w:ascii="Barlow Semi Condensed" w:cs="Barlow Semi Condensed" w:eastAsia="Barlow Semi Condensed" w:hAnsi="Barlow Semi Condensed"/>
                <w:sz w:val="20"/>
                <w:szCs w:val="20"/>
              </w:rPr>
              <w:t xml:space="preserve"> — ricostruzione documentale del percorso della nota, delle disposizioni, dei verbali. </w:t>
            </w:r>
            <w:r>
              <w:rPr>
                <w:rFonts w:ascii="Barlow Semi Condensed" w:cs="Barlow Semi Condensed" w:eastAsia="Barlow Semi Condensed" w:hAnsi="Barlow Semi Condensed"/>
                <w:i/>
                <w:iCs/>
                <w:sz w:val="20"/>
                <w:szCs w:val="20"/>
              </w:rPr>
              <w:t xml:space="preserve">Chiusura:</w:t>
            </w:r>
            <w:r>
              <w:rPr>
                <w:rFonts w:ascii="Barlow Semi Condensed" w:cs="Barlow Semi Condensed" w:eastAsia="Barlow Semi Condensed" w:hAnsi="Barlow Semi Condensed"/>
                <w:sz w:val="20"/>
                <w:szCs w:val="20"/>
              </w:rPr>
              <w:t xml:space="preserve"> la catena ricostruita, </w:t>
            </w:r>
            <w:r>
              <w:rPr>
                <w:rFonts w:ascii="Barlow Semi Condensed" w:cs="Barlow Semi Condensed" w:eastAsia="Barlow Semi Condensed" w:hAnsi="Barlow Semi Condensed"/>
                <w:b/>
                <w:bCs/>
                <w:sz w:val="20"/>
                <w:szCs w:val="20"/>
              </w:rPr>
              <w:t xml:space="preserve">o l'assenza dei suoi anelli, che sarebbe essa stessa l'esito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74,5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6</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caricatore di via Stresa</w:t>
            </w:r>
            <w:r>
              <w:rPr>
                <w:rFonts w:ascii="Barlow Semi Condensed" w:cs="Barlow Semi Condensed" w:eastAsia="Barlow Semi Condensed" w:hAnsi="Barlow Semi Condensed"/>
                <w:sz w:val="20"/>
                <w:szCs w:val="20"/>
              </w:rPr>
              <w:t xml:space="preserve"> — impronte e genetica sul reperto abbandonato sul percorso di fuga. Quesito binario, reperto singolo, esito rapido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71,0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7</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Gli assetti proprietari dello stabile di via Gradoli 96</w:t>
            </w:r>
            <w:r>
              <w:rPr>
                <w:rFonts w:ascii="Barlow Semi Condensed" w:cs="Barlow Semi Condensed" w:eastAsia="Barlow Semi Condensed" w:hAnsi="Barlow Semi Condensed"/>
                <w:sz w:val="20"/>
                <w:szCs w:val="20"/>
              </w:rPr>
              <w:t xml:space="preserve"> — ricostruzione integrale catasto-conservatoria-registri societari 1970-1978, incrociata con la locazione dell'interno 11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Le omissioni istituzionali nel fondo Direttiva Renzi</w:t>
            </w:r>
            <w:r>
              <w:rPr>
                <w:rFonts w:ascii="Barlow Semi Condensed" w:cs="Barlow Semi Condensed" w:eastAsia="Barlow Semi Condensed" w:hAnsi="Barlow Semi Condensed"/>
                <w:sz w:val="20"/>
                <w:szCs w:val="20"/>
              </w:rPr>
              <w:t xml:space="preserve"> — comitati di crisi, il 18 aprile, le mancate perquisizioni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9</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 profili DNA non identificati</w:t>
            </w:r>
            <w:r>
              <w:rPr>
                <w:rFonts w:ascii="Barlow Semi Condensed" w:cs="Barlow Semi Condensed" w:eastAsia="Barlow Semi Condensed" w:hAnsi="Barlow Semi Condensed"/>
                <w:sz w:val="20"/>
                <w:szCs w:val="20"/>
              </w:rPr>
              <w:t xml:space="preserve"> — allargamento ragionato della rosa comparativa sul residuo dopo le esclusioni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67,5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10</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registro delle segnalazioni dei 55 giorni</w:t>
            </w:r>
            <w:r>
              <w:rPr>
                <w:rFonts w:ascii="Barlow Semi Condensed" w:cs="Barlow Semi Condensed" w:eastAsia="Barlow Semi Condensed" w:hAnsi="Barlow Semi Condensed"/>
                <w:sz w:val="20"/>
                <w:szCs w:val="20"/>
              </w:rPr>
              <w:t xml:space="preserve"> — non le segnalazioni celebri ma la </w:t>
            </w:r>
            <w:r>
              <w:rPr>
                <w:rFonts w:ascii="Barlow Semi Condensed" w:cs="Barlow Semi Condensed" w:eastAsia="Barlow Semi Condensed" w:hAnsi="Barlow Semi Condensed"/>
                <w:b/>
                <w:bCs/>
                <w:sz w:val="20"/>
                <w:szCs w:val="20"/>
              </w:rPr>
              <w:t xml:space="preserve">statistica documentale</w:t>
            </w:r>
            <w:r>
              <w:rPr>
                <w:rFonts w:ascii="Barlow Semi Condensed" w:cs="Barlow Semi Condensed" w:eastAsia="Barlow Semi Condensed" w:hAnsi="Barlow Semi Condensed"/>
                <w:sz w:val="20"/>
                <w:szCs w:val="20"/>
              </w:rPr>
              <w:t xml:space="preserve">: quante ne giunsero, come furono protocollate, quale tasso ebbe seguito. Dato che nessuna commissione ha mai prodotto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61,0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traffico di cablo degli alleati, marzo-maggio 1978</w:t>
            </w:r>
            <w:r>
              <w:rPr>
                <w:rFonts w:ascii="Barlow Semi Condensed" w:cs="Barlow Semi Condensed" w:eastAsia="Barlow Semi Condensed" w:hAnsi="Barlow Semi Condensed"/>
                <w:sz w:val="20"/>
                <w:szCs w:val="20"/>
              </w:rPr>
              <w:t xml:space="preserve"> — richieste FOIA sistematiche sul traffico Roma-Washington ancora classificato. </w:t>
            </w:r>
            <w:r>
              <w:rPr>
                <w:rFonts w:ascii="Barlow Semi Condensed" w:cs="Barlow Semi Condensed" w:eastAsia="Barlow Semi Condensed" w:hAnsi="Barlow Semi Condensed"/>
                <w:i/>
                <w:iCs/>
                <w:sz w:val="20"/>
                <w:szCs w:val="20"/>
              </w:rPr>
              <w:t xml:space="preserve">Chiusura:</w:t>
            </w:r>
            <w:r>
              <w:rPr>
                <w:rFonts w:ascii="Barlow Semi Condensed" w:cs="Barlow Semi Condensed" w:eastAsia="Barlow Semi Condensed" w:hAnsi="Barlow Semi Condensed"/>
                <w:sz w:val="20"/>
                <w:szCs w:val="20"/>
              </w:rPr>
              <w:t xml:space="preserve"> il rilascio, </w:t>
            </w:r>
            <w:r>
              <w:rPr>
                <w:rFonts w:ascii="Barlow Semi Condensed" w:cs="Barlow Semi Condensed" w:eastAsia="Barlow Semi Condensed" w:hAnsi="Barlow Semi Condensed"/>
                <w:b/>
                <w:bCs/>
                <w:sz w:val="20"/>
                <w:szCs w:val="20"/>
              </w:rPr>
              <w:t xml:space="preserve">o il diniego motivato, che in regime FOIA è a sua volta un documento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59,5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mediazione vaticana e la sorte del riscatto</w:t>
            </w:r>
            <w:r>
              <w:rPr>
                <w:rFonts w:ascii="Barlow Semi Condensed" w:cs="Barlow Semi Condensed" w:eastAsia="Barlow Semi Condensed" w:hAnsi="Barlow Semi Condensed"/>
                <w:sz w:val="20"/>
                <w:szCs w:val="20"/>
              </w:rPr>
              <w:t xml:space="preserve"> — la meccanica del canale e la destinazione della somma predisposta, la cui sorte resta ignota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54,0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Gli archivi che si apriranno</w:t>
            </w:r>
            <w:r>
              <w:rPr>
                <w:rFonts w:ascii="Barlow Semi Condensed" w:cs="Barlow Semi Condensed" w:eastAsia="Barlow Semi Condensed" w:hAnsi="Barlow Semi Condensed"/>
                <w:sz w:val="20"/>
                <w:szCs w:val="20"/>
              </w:rPr>
              <w:t xml:space="preserve"> — Archivio Apostolico Vaticano per il pontificato di Paolo VI; serie 1978 dell'Archivio storico diplomatico. Indice basso </w:t>
            </w:r>
            <w:r>
              <w:rPr>
                <w:rFonts w:ascii="Barlow Semi Condensed" w:cs="Barlow Semi Condensed" w:eastAsia="Barlow Semi Condensed" w:hAnsi="Barlow Semi Condensed"/>
                <w:b/>
                <w:bCs/>
                <w:sz w:val="20"/>
                <w:szCs w:val="20"/>
              </w:rPr>
              <w:t xml:space="preserve">non per demerito ma per attesa</w:t>
            </w:r>
            <w:r>
              <w:rPr>
                <w:rFonts w:ascii="Barlow Semi Condensed" w:cs="Barlow Semi Condensed" w:eastAsia="Barlow Semi Condensed" w:hAnsi="Barlow Semi Condensed"/>
                <w:sz w:val="20"/>
                <w:szCs w:val="20"/>
              </w:rPr>
              <w:t xml:space="preserve">: nessuna istanza può aprire oggi un archivio chiuso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52,5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14</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sorte del memoriale fra il 1978 e il 1990</w:t>
            </w:r>
            <w:r>
              <w:rPr>
                <w:rFonts w:ascii="Barlow Semi Condensed" w:cs="Barlow Semi Condensed" w:eastAsia="Barlow Semi Condensed" w:hAnsi="Barlow Semi Condensed"/>
                <w:sz w:val="20"/>
                <w:szCs w:val="20"/>
              </w:rPr>
              <w:t xml:space="preserve"> — perizia filologico-comparativa fra i corpora, e ricerca di carte coerenti nei fondi versati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50,5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deposizione mai resa</w:t>
            </w:r>
            <w:r>
              <w:rPr>
                <w:rFonts w:ascii="Barlow Semi Condensed" w:cs="Barlow Semi Condensed" w:eastAsia="Barlow Semi Condensed" w:hAnsi="Barlow Semi Condensed"/>
                <w:sz w:val="20"/>
                <w:szCs w:val="20"/>
              </w:rPr>
              <w:t xml:space="preserve"> — rogatoria conoscitiva all'estero, senza consegna</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fuori scala: rendimento incerto, valore unico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Riapribili solo per documento primario nuovo:</w:t>
            </w:r>
            <w:r>
              <w:rPr>
                <w:rFonts w:ascii="Barlow Semi Condensed" w:cs="Barlow Semi Condensed" w:eastAsia="Barlow Semi Condensed" w:hAnsi="Barlow Semi Condensed"/>
                <w:sz w:val="20"/>
                <w:szCs w:val="20"/>
              </w:rPr>
              <w:t xml:space="preserve"> seconda prigione · nessi operativi Hyperion-caso · dichiarazioni non riscontrate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0,1</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Come si legge la tavola.</w:t>
      </w:r>
      <w:r>
        <w:rPr>
          <w:rFonts w:ascii="Barlow Semi Condensed" w:cs="Barlow Semi Condensed" w:eastAsia="Barlow Semi Condensed" w:hAnsi="Barlow Semi Condensed"/>
          <w:sz w:val="24"/>
          <w:szCs w:val="24"/>
        </w:rPr>
        <w:t xml:space="preserve"> Le prime sei piste condividono una proprietà:</w:t>
      </w:r>
    </w:p>
    <w:p>
      <w:pPr>
        <w:spacing w:after="120" w:line="276"/>
        <w:jc w:val="both"/>
      </w:pPr>
      <w:r>
        <w:rPr>
          <w:rFonts w:ascii="Barlow Semi Condensed" w:cs="Barlow Semi Condensed" w:eastAsia="Barlow Semi Condensed" w:hAnsi="Barlow Semi Condensed"/>
          <w:b/>
          <w:bCs/>
          <w:sz w:val="24"/>
          <w:szCs w:val="24"/>
        </w:rPr>
        <w:t xml:space="preserve">sono verificabili con un atto singolo e datato</w:t>
      </w:r>
      <w:r>
        <w:rPr>
          <w:rFonts w:ascii="Barlow Semi Condensed" w:cs="Barlow Semi Condensed" w:eastAsia="Barlow Semi Condensed" w:hAnsi="Barlow Semi Condensed"/>
          <w:sz w:val="24"/>
          <w:szCs w:val="24"/>
        </w:rPr>
        <w:t xml:space="preserve"> — una perizia, un'escussione, un</w:t>
      </w:r>
    </w:p>
    <w:p>
      <w:pPr>
        <w:spacing w:after="120" w:line="276"/>
        <w:jc w:val="both"/>
      </w:pPr>
      <w:r>
        <w:rPr>
          <w:rFonts w:ascii="Barlow Semi Condensed" w:cs="Barlow Semi Condensed" w:eastAsia="Barlow Semi Condensed" w:hAnsi="Barlow Semi Condensed"/>
          <w:sz w:val="24"/>
          <w:szCs w:val="24"/>
        </w:rPr>
        <w:t xml:space="preserve">fascicolo, un reperto, una visura. Le ultime dipendono da aperture altrui o da</w:t>
      </w:r>
    </w:p>
    <w:p>
      <w:pPr>
        <w:spacing w:after="120" w:line="276"/>
        <w:jc w:val="both"/>
      </w:pPr>
      <w:r>
        <w:rPr>
          <w:rFonts w:ascii="Barlow Semi Condensed" w:cs="Barlow Semi Condensed" w:eastAsia="Barlow Semi Condensed" w:hAnsi="Barlow Semi Condensed"/>
          <w:sz w:val="24"/>
          <w:szCs w:val="24"/>
        </w:rPr>
        <w:t xml:space="preserve">comparazioni lunghe. Due delle prime sono già in corso nel fascicolo romano.</w:t>
      </w:r>
    </w:p>
    <w:p>
      <w:pPr>
        <w:spacing w:after="120" w:line="276"/>
        <w:jc w:val="both"/>
      </w:pPr>
      <w:r>
        <w:rPr>
          <w:rFonts w:ascii="Barlow Semi Condensed" w:cs="Barlow Semi Condensed" w:eastAsia="Barlow Semi Condensed" w:hAnsi="Barlow Semi Condensed"/>
          <w:b/>
          <w:bCs/>
          <w:sz w:val="24"/>
          <w:szCs w:val="24"/>
        </w:rPr>
        <w:t xml:space="preserve">Lo 0,1, che non è uno sberleffo.</w:t>
      </w:r>
      <w:r>
        <w:rPr>
          <w:rFonts w:ascii="Barlow Semi Condensed" w:cs="Barlow Semi Condensed" w:eastAsia="Barlow Semi Condensed" w:hAnsi="Barlow Semi Condensed"/>
          <w:sz w:val="24"/>
          <w:szCs w:val="24"/>
        </w:rPr>
        <w:t xml:space="preserve"> Non è zero perché **un documento primario</w:t>
      </w:r>
    </w:p>
    <w:p>
      <w:pPr>
        <w:spacing w:after="120" w:line="276"/>
        <w:jc w:val="both"/>
      </w:pPr>
      <w:r>
        <w:rPr>
          <w:rFonts w:ascii="Barlow Semi Condensed" w:cs="Barlow Semi Condensed" w:eastAsia="Barlow Semi Condensed" w:hAnsi="Barlow Semi Condensed"/>
          <w:sz w:val="24"/>
          <w:szCs w:val="24"/>
        </w:rPr>
        <w:t xml:space="preserve">nuovo le riporterebbe in tavola**; è 0,1 perché fino a quel documento nessun atto</w:t>
      </w:r>
    </w:p>
    <w:p>
      <w:pPr>
        <w:spacing w:after="120" w:line="276"/>
        <w:jc w:val="both"/>
      </w:pPr>
      <w:r>
        <w:rPr>
          <w:rFonts w:ascii="Barlow Semi Condensed" w:cs="Barlow Semi Condensed" w:eastAsia="Barlow Semi Condensed" w:hAnsi="Barlow Semi Condensed"/>
          <w:sz w:val="24"/>
          <w:szCs w:val="24"/>
        </w:rPr>
        <w:t xml:space="preserve">è giustificato. È la formalizzazione del criterio di riapertura, ed è il modo in</w:t>
      </w:r>
    </w:p>
    <w:p>
      <w:pPr>
        <w:spacing w:after="120" w:line="276"/>
        <w:jc w:val="both"/>
      </w:pPr>
      <w:r>
        <w:rPr>
          <w:rFonts w:ascii="Barlow Semi Condensed" w:cs="Barlow Semi Condensed" w:eastAsia="Barlow Semi Condensed" w:hAnsi="Barlow Semi Condensed"/>
          <w:sz w:val="24"/>
          <w:szCs w:val="24"/>
        </w:rPr>
        <w:t xml:space="preserve">cui una pista si archivia senza chiuderla.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Chiusura</w:t>
      </w:r>
    </w:p>
    <w:p>
      <w:pPr>
        <w:spacing w:after="120" w:line="276"/>
        <w:jc w:val="both"/>
      </w:pPr>
      <w:r>
        <w:rPr>
          <w:rFonts w:ascii="Barlow Semi Condensed" w:cs="Barlow Semi Condensed" w:eastAsia="Barlow Semi Condensed" w:hAnsi="Barlow Semi Condensed"/>
          <w:sz w:val="24"/>
          <w:szCs w:val="24"/>
        </w:rPr>
        <w:t xml:space="preserve">Tre cose questo fascicolo ha stabilito, e conviene che stiano insieme.</w:t>
      </w:r>
    </w:p>
    <w:p>
      <w:pPr>
        <w:spacing w:after="120" w:line="276"/>
        <w:jc w:val="both"/>
      </w:pPr>
      <w:r>
        <w:rPr>
          <w:rFonts w:ascii="Barlow Semi Condensed" w:cs="Barlow Semi Condensed" w:eastAsia="Barlow Semi Condensed" w:hAnsi="Barlow Semi Condensed"/>
          <w:b/>
          <w:bCs/>
          <w:sz w:val="24"/>
          <w:szCs w:val="24"/>
        </w:rPr>
        <w:t xml:space="preserve">La prima.</w:t>
      </w:r>
      <w:r>
        <w:rPr>
          <w:rFonts w:ascii="Barlow Semi Condensed" w:cs="Barlow Semi Condensed" w:eastAsia="Barlow Semi Condensed" w:hAnsi="Barlow Semi Condensed"/>
          <w:sz w:val="24"/>
          <w:szCs w:val="24"/>
        </w:rPr>
        <w:t xml:space="preserve"> Sul mandato la ricerca ha un esito, e l'esito è negativo con grado</w:t>
      </w:r>
    </w:p>
    <w:p>
      <w:pPr>
        <w:spacing w:after="120" w:line="276"/>
        <w:jc w:val="both"/>
      </w:pPr>
      <w:r>
        <w:rPr>
          <w:rFonts w:ascii="Barlow Semi Condensed" w:cs="Barlow Semi Condensed" w:eastAsia="Barlow Semi Condensed" w:hAnsi="Barlow Semi Condensed"/>
          <w:sz w:val="24"/>
          <w:szCs w:val="24"/>
        </w:rPr>
        <w:t xml:space="preserve">alto. Chi voglia superarlo deve portare un documento, non una lettura.</w:t>
      </w:r>
    </w:p>
    <w:p>
      <w:pPr>
        <w:spacing w:after="120" w:line="276"/>
        <w:jc w:val="both"/>
      </w:pPr>
      <w:r>
        <w:rPr>
          <w:rFonts w:ascii="Barlow Semi Condensed" w:cs="Barlow Semi Condensed" w:eastAsia="Barlow Semi Condensed" w:hAnsi="Barlow Semi Condensed"/>
          <w:b/>
          <w:bCs/>
          <w:sz w:val="24"/>
          <w:szCs w:val="24"/>
        </w:rPr>
        <w:t xml:space="preserve">La seconda.</w:t>
      </w:r>
      <w:r>
        <w:rPr>
          <w:rFonts w:ascii="Barlow Semi Condensed" w:cs="Barlow Semi Condensed" w:eastAsia="Barlow Semi Condensed" w:hAnsi="Barlow Semi Condensed"/>
          <w:sz w:val="24"/>
          <w:szCs w:val="24"/>
        </w:rPr>
        <w:t xml:space="preserve"> L'ipotesi del trasferimento non si respinge citando il mandato,</w:t>
      </w:r>
    </w:p>
    <w:p>
      <w:pPr>
        <w:spacing w:after="120" w:line="276"/>
        <w:jc w:val="both"/>
      </w:pPr>
      <w:r>
        <w:rPr>
          <w:rFonts w:ascii="Barlow Semi Condensed" w:cs="Barlow Semi Condensed" w:eastAsia="Barlow Semi Condensed" w:hAnsi="Barlow Semi Condensed"/>
          <w:sz w:val="24"/>
          <w:szCs w:val="24"/>
        </w:rPr>
        <w:t xml:space="preserve">perché non lo richiede; e non si sostiene con ciò che le si porta a sostegno,</w:t>
      </w:r>
    </w:p>
    <w:p>
      <w:pPr>
        <w:spacing w:after="120" w:line="276"/>
        <w:jc w:val="both"/>
      </w:pPr>
      <w:r>
        <w:rPr>
          <w:rFonts w:ascii="Barlow Semi Condensed" w:cs="Barlow Semi Condensed" w:eastAsia="Barlow Semi Condensed" w:hAnsi="Barlow Semi Condensed"/>
          <w:sz w:val="24"/>
          <w:szCs w:val="24"/>
        </w:rPr>
        <w:t xml:space="preserve">perché quelle prove provano una genealogia e non una condotta. Nella sua forma</w:t>
      </w:r>
    </w:p>
    <w:p>
      <w:pPr>
        <w:spacing w:after="120" w:line="276"/>
        <w:jc w:val="both"/>
      </w:pPr>
      <w:r>
        <w:rPr>
          <w:rFonts w:ascii="Barlow Semi Condensed" w:cs="Barlow Semi Condensed" w:eastAsia="Barlow Semi Condensed" w:hAnsi="Barlow Semi Condensed"/>
          <w:sz w:val="24"/>
          <w:szCs w:val="24"/>
        </w:rPr>
        <w:t xml:space="preserve">forte essa afferma che cosa un uomo sapesse e non abbia detto — e di ciò che un</w:t>
      </w:r>
    </w:p>
    <w:p>
      <w:pPr>
        <w:spacing w:after="120" w:line="276"/>
        <w:jc w:val="both"/>
      </w:pPr>
      <w:r>
        <w:rPr>
          <w:rFonts w:ascii="Barlow Semi Condensed" w:cs="Barlow Semi Condensed" w:eastAsia="Barlow Semi Condensed" w:hAnsi="Barlow Semi Condensed"/>
          <w:sz w:val="24"/>
          <w:szCs w:val="24"/>
        </w:rPr>
        <w:t xml:space="preserve">uomo tace non si redige verbale.</w:t>
      </w:r>
    </w:p>
    <w:p>
      <w:pPr>
        <w:spacing w:after="120" w:line="276"/>
        <w:jc w:val="both"/>
      </w:pPr>
      <w:r>
        <w:rPr>
          <w:rFonts w:ascii="Barlow Semi Condensed" w:cs="Barlow Semi Condensed" w:eastAsia="Barlow Semi Condensed" w:hAnsi="Barlow Semi Condensed"/>
          <w:b/>
          <w:bCs/>
          <w:sz w:val="24"/>
          <w:szCs w:val="24"/>
        </w:rPr>
        <w:t xml:space="preserve">La terza, che è l'unica utile.</w:t>
      </w:r>
      <w:r>
        <w:rPr>
          <w:rFonts w:ascii="Barlow Semi Condensed" w:cs="Barlow Semi Condensed" w:eastAsia="Barlow Semi Condensed" w:hAnsi="Barlow Semi Condensed"/>
          <w:sz w:val="24"/>
          <w:szCs w:val="24"/>
        </w:rPr>
        <w:t xml:space="preserve"> Ciò che resta da fare non riguarda le tesi:</w:t>
      </w:r>
    </w:p>
    <w:p>
      <w:pPr>
        <w:spacing w:after="120" w:line="276"/>
        <w:jc w:val="both"/>
      </w:pPr>
      <w:r>
        <w:rPr>
          <w:rFonts w:ascii="Barlow Semi Condensed" w:cs="Barlow Semi Condensed" w:eastAsia="Barlow Semi Condensed" w:hAnsi="Barlow Semi Condensed"/>
          <w:sz w:val="24"/>
          <w:szCs w:val="24"/>
        </w:rPr>
        <w:t xml:space="preserve">riguarda **quattordici atti istruttori, ordinati, ciascuno col proprio esito</w:t>
      </w:r>
    </w:p>
    <w:p>
      <w:pPr>
        <w:spacing w:after="120" w:line="276"/>
        <w:jc w:val="both"/>
      </w:pPr>
      <w:r>
        <w:rPr>
          <w:rFonts w:ascii="Barlow Semi Condensed" w:cs="Barlow Semi Condensed" w:eastAsia="Barlow Semi Condensed" w:hAnsi="Barlow Semi Condensed"/>
          <w:sz w:val="24"/>
          <w:szCs w:val="24"/>
        </w:rPr>
        <w:t xml:space="preserve">possibile già scritto**. Sei si possono compiere adesso. Il primo della lista</w:t>
      </w:r>
    </w:p>
    <w:p>
      <w:pPr>
        <w:spacing w:after="120" w:line="276"/>
        <w:jc w:val="both"/>
      </w:pPr>
      <w:r>
        <w:rPr>
          <w:rFonts w:ascii="Barlow Semi Condensed" w:cs="Barlow Semi Condensed" w:eastAsia="Barlow Semi Condensed" w:hAnsi="Barlow Semi Condensed"/>
          <w:sz w:val="24"/>
          <w:szCs w:val="24"/>
        </w:rPr>
        <w:t xml:space="preserve">deciderebbe da solo la questione più contestata del caso.</w:t>
      </w:r>
    </w:p>
    <w:p>
      <w:pPr>
        <w:spacing w:after="120" w:line="276"/>
        <w:jc w:val="both"/>
      </w:pPr>
      <w:r>
        <w:rPr>
          <w:rFonts w:ascii="Barlow Semi Condensed" w:cs="Barlow Semi Condensed" w:eastAsia="Barlow Semi Condensed" w:hAnsi="Barlow Semi Condensed"/>
          <w:sz w:val="24"/>
          <w:szCs w:val="24"/>
        </w:rPr>
        <w:t xml:space="preserve">Il resto — chi volle, chi seppe, chi lasciò fare — non sta in queste pagine. Sta,</w:t>
      </w:r>
    </w:p>
    <w:p>
      <w:pPr>
        <w:spacing w:after="120" w:line="276"/>
        <w:jc w:val="both"/>
      </w:pPr>
      <w:r>
        <w:rPr>
          <w:rFonts w:ascii="Barlow Semi Condensed" w:cs="Barlow Semi Condensed" w:eastAsia="Barlow Semi Condensed" w:hAnsi="Barlow Semi Condensed"/>
          <w:sz w:val="24"/>
          <w:szCs w:val="24"/>
        </w:rPr>
        <w:t xml:space="preserve">se sta in qualche luogo, in quei fascicoli; e i fascicoli sono elencati.</w:t>
      </w:r>
    </w:p>
    <w:p>
      <w:pPr>
        <w:pStyle w:val="Heading3"/>
        <w:spacing w:after="80" w:before="240"/>
      </w:pPr>
      <w:r>
        <w:rPr>
          <w:rFonts w:ascii="Barlow Semi Condensed" w:cs="Barlow Semi Condensed" w:eastAsia="Barlow Semi Condensed" w:hAnsi="Barlow Semi Condensed"/>
          <w:sz w:val="24"/>
          <w:szCs w:val="24"/>
        </w:rPr>
        <w:t xml:space="preserve">Apparato grafico — Libro sedicesimo · Il fascicolo: vita, prigionia, mandanti, esecutori, e l'ip</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 3.364 parole in 7 sezioni; la più ampia è §5 V. L'ipotesi del trasferimento, formulata per…, con 1.084.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 55 paragrafi in 7 sezioni, 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sedicesimo — Le tavole della custodia — II. La matrice della custodia</w:t>
      </w:r>
    </w:p>
    <w:p>
      <w:pPr>
        <w:pStyle w:val="Heading1"/>
        <w:spacing w:after="120" w:before="240"/>
      </w:pPr>
      <w:r>
        <w:rPr>
          <w:rFonts w:ascii="Barlow Semi Condensed" w:cs="Barlow Semi Condensed" w:eastAsia="Barlow Semi Condensed" w:hAnsi="Barlow Semi Condensed"/>
          <w:sz w:val="24"/>
          <w:szCs w:val="24"/>
        </w:rPr>
        <w:t xml:space="preserve">La matrice della custodia — analisi delle ipotesi concorrenti</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non in calce.*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questo documento.</w:t>
      </w:r>
      <w:r>
        <w:rPr>
          <w:rFonts w:ascii="Barlow Semi Condensed" w:cs="Barlow Semi Condensed" w:eastAsia="Barlow Semi Condensed" w:hAnsi="Barlow Semi Condensed"/>
          <w:i w:val="false"/>
          <w:iCs w:val="false"/>
          <w:sz w:val="24"/>
          <w:szCs w:val="24"/>
        </w:rPr>
        <w:t xml:space="preserve"> Il corpus prescrive in più luoghi che i quesiti aperti si scrivano «in forma ACH» — analisi delle ipotesi concorrenti — e per la custodia ne indica perfino la cella critica: </w:t>
      </w:r>
      <w:r>
        <w:rPr>
          <w:rFonts w:ascii="Barlow Semi Condensed" w:cs="Barlow Semi Condensed" w:eastAsia="Barlow Semi Condensed" w:hAnsi="Barlow Semi Condensed"/>
          <w:i w:val="false"/>
          <w:iCs w:val="false"/>
          <w:sz w:val="24"/>
          <w:szCs w:val="24"/>
        </w:rPr>
        <w:t xml:space="preserve">«la cella del quando, dichiarata aperta»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La matrice non era mai stata costruita.</w:t>
      </w:r>
      <w:r>
        <w:rPr>
          <w:rFonts w:ascii="Barlow Semi Condensed" w:cs="Barlow Semi Condensed" w:eastAsia="Barlow Semi Condensed" w:hAnsi="Barlow Semi Condensed"/>
          <w:i w:val="false"/>
          <w:iCs w:val="false"/>
          <w:sz w:val="24"/>
          <w:szCs w:val="24"/>
        </w:rPr>
        <w:t xml:space="preserve"> Qui lo è.  </w:t>
      </w: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L'appartenenza a un'organizzazione non è prova di condotta.</w:t>
      </w:r>
      <w:r>
        <w:rPr>
          <w:rFonts w:ascii="Barlow Semi Condensed" w:cs="Barlow Semi Condensed" w:eastAsia="Barlow Semi Condensed" w:hAnsi="Barlow Semi Condensed"/>
          <w:i w:val="false"/>
          <w:iCs w:val="false"/>
          <w:sz w:val="24"/>
          <w:szCs w:val="24"/>
        </w:rPr>
        <w:t xml:space="preserve"> Nessuna persona è indicata come responsabile di un reato al di fuori di un giudicato definitivo. Le ipotesi di questa matrice riguardano </w:t>
      </w:r>
      <w:r>
        <w:rPr>
          <w:rFonts w:ascii="Barlow Semi Condensed" w:cs="Barlow Semi Condensed" w:eastAsia="Barlow Semi Condensed" w:hAnsi="Barlow Semi Condensed"/>
          <w:b/>
          <w:bCs/>
          <w:i w:val="false"/>
          <w:iCs w:val="false"/>
          <w:sz w:val="24"/>
          <w:szCs w:val="24"/>
        </w:rPr>
        <w:t xml:space="preserve">luoghi e conoscenze</w:t>
      </w:r>
      <w:r>
        <w:rPr>
          <w:rFonts w:ascii="Barlow Semi Condensed" w:cs="Barlow Semi Condensed" w:eastAsia="Barlow Semi Condensed" w:hAnsi="Barlow Semi Condensed"/>
          <w:i w:val="false"/>
          <w:iCs w:val="false"/>
          <w:sz w:val="24"/>
          <w:szCs w:val="24"/>
        </w:rPr>
        <w:t xml:space="preserve">, non colpe: nessuna cella, in nessuna riga, nomina un responsabile.  Ogni evidenza porta il proprio grado: </w:t>
      </w:r>
      <w:r>
        <w:rPr>
          <w:rFonts w:ascii="Barlow Semi Condensed" w:cs="Barlow Semi Condensed" w:eastAsia="Barlow Semi Condensed" w:hAnsi="Barlow Semi Condensed"/>
          <w:b/>
          <w:bCs/>
          <w:i w:val="false"/>
          <w:iCs w:val="false"/>
          <w:sz w:val="24"/>
          <w:szCs w:val="24"/>
        </w:rPr>
        <w:t xml:space="preserve">A</w:t>
      </w:r>
      <w:r>
        <w:rPr>
          <w:rFonts w:ascii="Barlow Semi Condensed" w:cs="Barlow Semi Condensed" w:eastAsia="Barlow Semi Condensed" w:hAnsi="Barlow Semi Condensed"/>
          <w:i w:val="false"/>
          <w:iCs w:val="false"/>
          <w:sz w:val="24"/>
          <w:szCs w:val="24"/>
        </w:rPr>
        <w:t xml:space="preserve"> giudicato · </w:t>
      </w:r>
      <w:r>
        <w:rPr>
          <w:rFonts w:ascii="Barlow Semi Condensed" w:cs="Barlow Semi Condensed" w:eastAsia="Barlow Semi Condensed" w:hAnsi="Barlow Semi Condensed"/>
          <w:b/>
          <w:bCs/>
          <w:i w:val="false"/>
          <w:iCs w:val="false"/>
          <w:sz w:val="24"/>
          <w:szCs w:val="24"/>
        </w:rPr>
        <w:t xml:space="preserve">B</w:t>
      </w:r>
      <w:r>
        <w:rPr>
          <w:rFonts w:ascii="Barlow Semi Condensed" w:cs="Barlow Semi Condensed" w:eastAsia="Barlow Semi Condensed" w:hAnsi="Barlow Semi Condensed"/>
          <w:i w:val="false"/>
          <w:iCs w:val="false"/>
          <w:sz w:val="24"/>
          <w:szCs w:val="24"/>
        </w:rPr>
        <w:t xml:space="preserve"> accertamento · </w:t>
      </w:r>
      <w:r>
        <w:rPr>
          <w:rFonts w:ascii="Barlow Semi Condensed" w:cs="Barlow Semi Condensed" w:eastAsia="Barlow Semi Condensed" w:hAnsi="Barlow Semi Condensed"/>
          <w:b/>
          <w:bCs/>
          <w:i w:val="false"/>
          <w:iCs w:val="false"/>
          <w:sz w:val="24"/>
          <w:szCs w:val="24"/>
        </w:rPr>
        <w:t xml:space="preserve">C</w:t>
      </w:r>
      <w:r>
        <w:rPr>
          <w:rFonts w:ascii="Barlow Semi Condensed" w:cs="Barlow Semi Condensed" w:eastAsia="Barlow Semi Condensed" w:hAnsi="Barlow Semi Condensed"/>
          <w:i w:val="false"/>
          <w:iCs w:val="false"/>
          <w:sz w:val="24"/>
          <w:szCs w:val="24"/>
        </w:rPr>
        <w:t xml:space="preserve"> congettura · </w:t>
      </w:r>
      <w:r>
        <w:rPr>
          <w:rFonts w:ascii="Barlow Semi Condensed" w:cs="Barlow Semi Condensed" w:eastAsia="Barlow Semi Condensed" w:hAnsi="Barlow Semi Condensed"/>
          <w:b/>
          <w:bCs/>
          <w:i w:val="false"/>
          <w:iCs w:val="false"/>
          <w:sz w:val="24"/>
          <w:szCs w:val="24"/>
        </w:rPr>
        <w:t xml:space="preserve">F</w:t>
      </w:r>
      <w:r>
        <w:rPr>
          <w:rFonts w:ascii="Barlow Semi Condensed" w:cs="Barlow Semi Condensed" w:eastAsia="Barlow Semi Condensed" w:hAnsi="Barlow Semi Condensed"/>
          <w:i w:val="false"/>
          <w:iCs w:val="false"/>
          <w:sz w:val="24"/>
          <w:szCs w:val="24"/>
        </w:rPr>
        <w:t xml:space="preserve"> fatto pubblico ·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esito negativo con la sede nominata.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Il metodo, e la sua unica regola contro-intuitiva</w:t>
      </w:r>
    </w:p>
    <w:p>
      <w:pPr>
        <w:spacing w:after="120" w:line="276"/>
        <w:jc w:val="both"/>
      </w:pPr>
      <w:r>
        <w:rPr>
          <w:rFonts w:ascii="Barlow Semi Condensed" w:cs="Barlow Semi Condensed" w:eastAsia="Barlow Semi Condensed" w:hAnsi="Barlow Semi Condensed"/>
          <w:sz w:val="24"/>
          <w:szCs w:val="24"/>
        </w:rPr>
        <w:t xml:space="preserve">L'analisi delle ipotesi concorrenti procede al contrario di come si ragiona</w:t>
      </w:r>
    </w:p>
    <w:p>
      <w:pPr>
        <w:spacing w:after="120" w:line="276"/>
        <w:jc w:val="both"/>
      </w:pPr>
      <w:r>
        <w:rPr>
          <w:rFonts w:ascii="Barlow Semi Condensed" w:cs="Barlow Semi Condensed" w:eastAsia="Barlow Semi Condensed" w:hAnsi="Barlow Semi Condensed"/>
          <w:sz w:val="24"/>
          <w:szCs w:val="24"/>
        </w:rPr>
        <w:t xml:space="preserve">spontaneamente, e la differenza è tutta qui: **non si cerca la conferma, si cerca</w:t>
      </w:r>
    </w:p>
    <w:p>
      <w:pPr>
        <w:spacing w:after="120" w:line="276"/>
        <w:jc w:val="both"/>
      </w:pPr>
      <w:r>
        <w:rPr>
          <w:rFonts w:ascii="Barlow Semi Condensed" w:cs="Barlow Semi Condensed" w:eastAsia="Barlow Semi Condensed" w:hAnsi="Barlow Semi Condensed"/>
          <w:sz w:val="24"/>
          <w:szCs w:val="24"/>
        </w:rPr>
        <w:t xml:space="preserve">l'incompatibilità.**</w:t>
      </w:r>
    </w:p>
    <w:p>
      <w:pPr>
        <w:spacing w:after="120" w:line="276"/>
        <w:jc w:val="both"/>
      </w:pPr>
      <w:r>
        <w:rPr>
          <w:rFonts w:ascii="Barlow Semi Condensed" w:cs="Barlow Semi Condensed" w:eastAsia="Barlow Semi Condensed" w:hAnsi="Barlow Semi Condensed"/>
          <w:sz w:val="24"/>
          <w:szCs w:val="24"/>
        </w:rPr>
        <w:t xml:space="preserve">Quattro passaggi.</w:t>
      </w:r>
    </w:p>
    <w:p>
      <w:pPr>
        <w:spacing w:after="40"/>
        <w:ind w:left="360"/>
        <w:jc w:val="both"/>
      </w:pPr>
      <w:r>
        <w:rPr>
          <w:rFonts w:ascii="Barlow Semi Condensed" w:cs="Barlow Semi Condensed" w:eastAsia="Barlow Semi Condensed" w:hAnsi="Barlow Semi Condensed"/>
          <w:sz w:val="24"/>
          <w:szCs w:val="24"/>
        </w:rPr>
        <w:t xml:space="preserve">1. Si elencano ipotesi </w:t>
      </w:r>
      <w:r>
        <w:rPr>
          <w:rFonts w:ascii="Barlow Semi Condensed" w:cs="Barlow Semi Condensed" w:eastAsia="Barlow Semi Condensed" w:hAnsi="Barlow Semi Condensed"/>
          <w:b/>
          <w:bCs/>
          <w:sz w:val="24"/>
          <w:szCs w:val="24"/>
        </w:rPr>
        <w:t xml:space="preserve">mutuamente esclusive</w:t>
      </w:r>
      <w:r>
        <w:rPr>
          <w:rFonts w:ascii="Barlow Semi Condensed" w:cs="Barlow Semi Condensed" w:eastAsia="Barlow Semi Condensed" w:hAnsi="Barlow Semi Condensed"/>
          <w:sz w:val="24"/>
          <w:szCs w:val="24"/>
        </w:rPr>
        <w:t xml:space="preserve">, in modo che l'insieme copra il</w:t>
      </w:r>
    </w:p>
    <w:p>
      <w:pPr>
        <w:spacing w:after="120" w:line="276"/>
        <w:jc w:val="both"/>
      </w:pPr>
      <w:r>
        <w:rPr>
          <w:rFonts w:ascii="Barlow Semi Condensed" w:cs="Barlow Semi Condensed" w:eastAsia="Barlow Semi Condensed" w:hAnsi="Barlow Semi Condensed"/>
          <w:sz w:val="24"/>
          <w:szCs w:val="24"/>
        </w:rPr>
        <w:t xml:space="preserve">   campo e nessuna sia il complemento vago delle altre.</w:t>
      </w:r>
    </w:p>
    <w:p>
      <w:pPr>
        <w:spacing w:after="40"/>
        <w:ind w:left="360"/>
        <w:jc w:val="both"/>
      </w:pPr>
      <w:r>
        <w:rPr>
          <w:rFonts w:ascii="Barlow Semi Condensed" w:cs="Barlow Semi Condensed" w:eastAsia="Barlow Semi Condensed" w:hAnsi="Barlow Semi Condensed"/>
          <w:sz w:val="24"/>
          <w:szCs w:val="24"/>
        </w:rPr>
        <w:t xml:space="preserve">2. Si elencano le evidenze, </w:t>
      </w:r>
      <w:r>
        <w:rPr>
          <w:rFonts w:ascii="Barlow Semi Condensed" w:cs="Barlow Semi Condensed" w:eastAsia="Barlow Semi Condensed" w:hAnsi="Barlow Semi Condensed"/>
          <w:b/>
          <w:bCs/>
          <w:sz w:val="24"/>
          <w:szCs w:val="24"/>
        </w:rPr>
        <w:t xml:space="preserve">ciascuna col proprio grado</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3. Per ogni cella si marca se l'evidenza sia </w:t>
      </w:r>
      <w:r>
        <w:rPr>
          <w:rFonts w:ascii="Barlow Semi Condensed" w:cs="Barlow Semi Condensed" w:eastAsia="Barlow Semi Condensed" w:hAnsi="Barlow Semi Condensed"/>
          <w:b/>
          <w:bCs/>
          <w:sz w:val="24"/>
          <w:szCs w:val="24"/>
        </w:rPr>
        <w:t xml:space="preserve">compatibile</w:t>
      </w:r>
      <w:r>
        <w:rPr>
          <w:rFonts w:ascii="Barlow Semi Condensed" w:cs="Barlow Semi Condensed" w:eastAsia="Barlow Semi Condensed" w:hAnsi="Barlow Semi Condensed"/>
          <w:sz w:val="24"/>
          <w:szCs w:val="24"/>
        </w:rPr>
        <w:t xml:space="preserve"> con l'ipotesi (·),</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incompatibile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o </w:t>
      </w:r>
      <w:r>
        <w:rPr>
          <w:rFonts w:ascii="Barlow Semi Condensed" w:cs="Barlow Semi Condensed" w:eastAsia="Barlow Semi Condensed" w:hAnsi="Barlow Semi Condensed"/>
          <w:b/>
          <w:bCs/>
          <w:sz w:val="24"/>
          <w:szCs w:val="24"/>
        </w:rPr>
        <w:t xml:space="preserve">neutra</w:t>
      </w:r>
      <w:r>
        <w:rPr>
          <w:rFonts w:ascii="Barlow Semi Condensed" w:cs="Barlow Semi Condensed" w:eastAsia="Barlow Semi Condensed" w:hAnsi="Barlow Semi Condensed"/>
          <w:sz w:val="24"/>
          <w:szCs w:val="24"/>
        </w:rPr>
        <w:t xml:space="preserve"> (–).</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Le evidenze compatibili con tutte le ipotesi si cancellano</w:t>
      </w:r>
      <w:r>
        <w:rPr>
          <w:rFonts w:ascii="Barlow Semi Condensed" w:cs="Barlow Semi Condensed" w:eastAsia="Barlow Semi Condensed" w:hAnsi="Barlow Semi Condensed"/>
          <w:sz w:val="24"/>
          <w:szCs w:val="24"/>
        </w:rPr>
        <w:t xml:space="preserve">, perché non</w:t>
      </w:r>
    </w:p>
    <w:p>
      <w:pPr>
        <w:spacing w:after="120" w:line="276"/>
        <w:jc w:val="both"/>
      </w:pPr>
      <w:r>
        <w:rPr>
          <w:rFonts w:ascii="Barlow Semi Condensed" w:cs="Barlow Semi Condensed" w:eastAsia="Barlow Semi Condensed" w:hAnsi="Barlow Semi Condensed"/>
          <w:sz w:val="24"/>
          <w:szCs w:val="24"/>
        </w:rPr>
        <w:t xml:space="preserve">   discriminano: la loro presenza in un ragionamento non lo rafforza, lo gonfia.</w:t>
      </w:r>
    </w:p>
    <w:p>
      <w:pPr>
        <w:spacing w:after="120" w:line="276"/>
        <w:jc w:val="both"/>
      </w:pPr>
      <w:r>
        <w:rPr>
          <w:rFonts w:ascii="Barlow Semi Condensed" w:cs="Barlow Semi Condensed" w:eastAsia="Barlow Semi Condensed" w:hAnsi="Barlow Semi Condensed"/>
          <w:sz w:val="24"/>
          <w:szCs w:val="24"/>
        </w:rPr>
        <w:t xml:space="preserve">   Restano le sole diagnostiche, e le ipotesi si ordinano per **incompatibilità</w:t>
      </w:r>
    </w:p>
    <w:p>
      <w:pPr>
        <w:spacing w:after="120" w:line="276"/>
        <w:jc w:val="both"/>
      </w:pPr>
      <w:r>
        <w:rPr>
          <w:rFonts w:ascii="Barlow Semi Condensed" w:cs="Barlow Semi Condensed" w:eastAsia="Barlow Semi Condensed" w:hAnsi="Barlow Semi Condensed"/>
          <w:sz w:val="24"/>
          <w:szCs w:val="24"/>
        </w:rPr>
        <w:t xml:space="preserve">   accumulate** — non per conferme.</w:t>
      </w:r>
    </w:p>
    <w:p>
      <w:pPr>
        <w:spacing w:after="120" w:line="276"/>
        <w:jc w:val="both"/>
      </w:pPr>
      <w:r>
        <w:rPr>
          <w:rFonts w:ascii="Barlow Semi Condensed" w:cs="Barlow Semi Condensed" w:eastAsia="Barlow Semi Condensed" w:hAnsi="Barlow Semi Condensed"/>
          <w:sz w:val="24"/>
          <w:szCs w:val="24"/>
        </w:rPr>
        <w:t xml:space="preserve">La regola che ne discende, e che vale come antidoto a metà della pubblicistica sul</w:t>
      </w:r>
    </w:p>
    <w:p>
      <w:pPr>
        <w:spacing w:after="120" w:line="276"/>
        <w:jc w:val="both"/>
      </w:pPr>
      <w:r>
        <w:rPr>
          <w:rFonts w:ascii="Barlow Semi Condensed" w:cs="Barlow Semi Condensed" w:eastAsia="Barlow Semi Condensed" w:hAnsi="Barlow Semi Condensed"/>
          <w:sz w:val="24"/>
          <w:szCs w:val="24"/>
        </w:rPr>
        <w:t xml:space="preserve">caso: </w:t>
      </w:r>
      <w:r>
        <w:rPr>
          <w:rFonts w:ascii="Barlow Semi Condensed" w:cs="Barlow Semi Condensed" w:eastAsia="Barlow Semi Condensed" w:hAnsi="Barlow Semi Condensed"/>
          <w:b/>
          <w:bCs/>
          <w:sz w:val="24"/>
          <w:szCs w:val="24"/>
        </w:rPr>
        <w:t xml:space="preserve">un'ipotesi non si sostiene elencando ciò che vi si accorda.</w:t>
      </w:r>
      <w:r>
        <w:rPr>
          <w:rFonts w:ascii="Barlow Semi Condensed" w:cs="Barlow Semi Condensed" w:eastAsia="Barlow Semi Condensed" w:hAnsi="Barlow Semi Condensed"/>
          <w:sz w:val="24"/>
          <w:szCs w:val="24"/>
        </w:rPr>
        <w:t xml:space="preserve"> Quasi tutto</w:t>
      </w:r>
    </w:p>
    <w:p>
      <w:pPr>
        <w:spacing w:after="120" w:line="276"/>
        <w:jc w:val="both"/>
      </w:pPr>
      <w:r>
        <w:rPr>
          <w:rFonts w:ascii="Barlow Semi Condensed" w:cs="Barlow Semi Condensed" w:eastAsia="Barlow Semi Condensed" w:hAnsi="Barlow Semi Condensed"/>
          <w:sz w:val="24"/>
          <w:szCs w:val="24"/>
        </w:rPr>
        <w:t xml:space="preserve">si accorda con quasi tutto. Si sostiene mostrando che le rivali urtano contro</w:t>
      </w:r>
    </w:p>
    <w:p>
      <w:pPr>
        <w:spacing w:after="120" w:line="276"/>
        <w:jc w:val="both"/>
      </w:pPr>
      <w:r>
        <w:rPr>
          <w:rFonts w:ascii="Barlow Semi Condensed" w:cs="Barlow Semi Condensed" w:eastAsia="Barlow Semi Condensed" w:hAnsi="Barlow Semi Condensed"/>
          <w:sz w:val="24"/>
          <w:szCs w:val="24"/>
        </w:rPr>
        <w:t xml:space="preserve">qualcosa, e lei 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cinque ipotesi</w:t>
      </w:r>
    </w:p>
    <w:p>
      <w:pPr>
        <w:spacing w:after="120" w:line="276"/>
        <w:jc w:val="both"/>
      </w:pPr>
      <w:r>
        <w:rPr>
          <w:rFonts w:ascii="Barlow Semi Condensed" w:cs="Barlow Semi Condensed" w:eastAsia="Barlow Semi Condensed" w:hAnsi="Barlow Semi Condensed"/>
          <w:sz w:val="24"/>
          <w:szCs w:val="24"/>
        </w:rPr>
        <w:t xml:space="preserve">Riguardano </w:t>
      </w:r>
      <w:r>
        <w:rPr>
          <w:rFonts w:ascii="Barlow Semi Condensed" w:cs="Barlow Semi Condensed" w:eastAsia="Barlow Semi Condensed" w:hAnsi="Barlow Semi Condensed"/>
          <w:b/>
          <w:bCs/>
          <w:sz w:val="24"/>
          <w:szCs w:val="24"/>
        </w:rPr>
        <w:t xml:space="preserve">dove Moro fu tenuto e chi lo seppe</w:t>
      </w:r>
      <w:r>
        <w:rPr>
          <w:rFonts w:ascii="Barlow Semi Condensed" w:cs="Barlow Semi Condensed" w:eastAsia="Barlow Semi Condensed" w:hAnsi="Barlow Semi Condensed"/>
          <w:sz w:val="24"/>
          <w:szCs w:val="24"/>
        </w:rPr>
        <w:t xml:space="preserve">. Sono formulate perché siano</w:t>
      </w:r>
    </w:p>
    <w:p>
      <w:pPr>
        <w:spacing w:after="120" w:line="276"/>
        <w:jc w:val="both"/>
      </w:pPr>
      <w:r>
        <w:rPr>
          <w:rFonts w:ascii="Barlow Semi Condensed" w:cs="Barlow Semi Condensed" w:eastAsia="Barlow Semi Condensed" w:hAnsi="Barlow Semi Condensed"/>
          <w:sz w:val="24"/>
          <w:szCs w:val="24"/>
        </w:rPr>
        <w:t xml:space="preserve">esclusive: se una è vera, le altre sono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H1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Custodia unica, cerchia chiusa.</w:t>
            </w:r>
            <w:r>
              <w:rPr>
                <w:rFonts w:ascii="Barlow Semi Condensed" w:cs="Barlow Semi Condensed" w:eastAsia="Barlow Semi Condensed" w:hAnsi="Barlow Semi Condensed"/>
                <w:sz w:val="20"/>
                <w:szCs w:val="20"/>
              </w:rPr>
              <w:t xml:space="preserve"> Via Montalcini per l'intero periodo; il luogo noto </w:t>
            </w:r>
            <w:r>
              <w:rPr>
                <w:rFonts w:ascii="Barlow Semi Condensed" w:cs="Barlow Semi Condensed" w:eastAsia="Barlow Semi Condensed" w:hAnsi="Barlow Semi Condensed"/>
                <w:b/>
                <w:bCs/>
                <w:sz w:val="20"/>
                <w:szCs w:val="20"/>
              </w:rPr>
              <w:t xml:space="preserve">soltanto</w:t>
            </w:r>
            <w:r>
              <w:rPr>
                <w:rFonts w:ascii="Barlow Semi Condensed" w:cs="Barlow Semi Condensed" w:eastAsia="Barlow Semi Condensed" w:hAnsi="Barlow Semi Condensed"/>
                <w:sz w:val="20"/>
                <w:szCs w:val="20"/>
              </w:rPr>
              <w:t xml:space="preserve"> alla cellula ristretta che lo gestiva. </w:t>
            </w:r>
            <w:r>
              <w:rPr>
                <w:rFonts w:ascii="Barlow Semi Condensed" w:cs="Barlow Semi Condensed" w:eastAsia="Barlow Semi Condensed" w:hAnsi="Barlow Semi Condensed"/>
                <w:i/>
                <w:iCs/>
                <w:sz w:val="20"/>
                <w:szCs w:val="20"/>
              </w:rPr>
              <w:t xml:space="preserve">È la ricostruzione giudiziaria consolidata.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H2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Custodia unica, conoscenza interna allargata.</w:t>
            </w:r>
            <w:r>
              <w:rPr>
                <w:rFonts w:ascii="Barlow Semi Condensed" w:cs="Barlow Semi Condensed" w:eastAsia="Barlow Semi Condensed" w:hAnsi="Barlow Semi Condensed"/>
                <w:sz w:val="20"/>
                <w:szCs w:val="20"/>
              </w:rPr>
              <w:t xml:space="preserve"> Via Montalcini per l'intero periodo, ma il luogo noto anche </w:t>
            </w:r>
            <w:r>
              <w:rPr>
                <w:rFonts w:ascii="Barlow Semi Condensed" w:cs="Barlow Semi Condensed" w:eastAsia="Barlow Semi Condensed" w:hAnsi="Barlow Semi Condensed"/>
                <w:b/>
                <w:bCs/>
                <w:sz w:val="20"/>
                <w:szCs w:val="20"/>
              </w:rPr>
              <w:t xml:space="preserve">fuori dalla cellula, dentro l'organizzazione</w:t>
            </w:r>
            <w:r>
              <w:rPr>
                <w:rFonts w:ascii="Barlow Semi Condensed" w:cs="Barlow Semi Condensed" w:eastAsia="Barlow Semi Condensed" w:hAnsi="Barlow Semi Condensed"/>
                <w:sz w:val="20"/>
                <w:szCs w:val="20"/>
              </w:rPr>
              <w:t xml:space="preserv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H3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Custodia unica, conoscenza esterna.</w:t>
            </w:r>
            <w:r>
              <w:rPr>
                <w:rFonts w:ascii="Barlow Semi Condensed" w:cs="Barlow Semi Condensed" w:eastAsia="Barlow Semi Condensed" w:hAnsi="Barlow Semi Condensed"/>
                <w:sz w:val="20"/>
                <w:szCs w:val="20"/>
              </w:rPr>
              <w:t xml:space="preserve"> Via Montalcini per l'intero periodo, ma il luogo noto anche a </w:t>
            </w:r>
            <w:r>
              <w:rPr>
                <w:rFonts w:ascii="Barlow Semi Condensed" w:cs="Barlow Semi Condensed" w:eastAsia="Barlow Semi Condensed" w:hAnsi="Barlow Semi Condensed"/>
                <w:b/>
                <w:bCs/>
                <w:sz w:val="20"/>
                <w:szCs w:val="20"/>
              </w:rPr>
              <w:t xml:space="preserve">soggetti estranei all'organizzazione</w:t>
            </w:r>
            <w:r>
              <w:rPr>
                <w:rFonts w:ascii="Barlow Semi Condensed" w:cs="Barlow Semi Condensed" w:eastAsia="Barlow Semi Condensed" w:hAnsi="Barlow Semi Condensed"/>
                <w:sz w:val="20"/>
                <w:szCs w:val="20"/>
              </w:rPr>
              <w:t xml:space="preserve">, che non intervennero.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H4</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Custodia plurima.</w:t>
            </w:r>
            <w:r>
              <w:rPr>
                <w:rFonts w:ascii="Barlow Semi Condensed" w:cs="Barlow Semi Condensed" w:eastAsia="Barlow Semi Condensed" w:hAnsi="Barlow Semi Condensed"/>
                <w:sz w:val="20"/>
                <w:szCs w:val="20"/>
              </w:rPr>
              <w:t xml:space="preserve"> Almeno un trasferimento in un luogo diverso nel corso dei cinquantacinque giorni.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H5</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Custodia altrove.</w:t>
            </w:r>
            <w:r>
              <w:rPr>
                <w:rFonts w:ascii="Barlow Semi Condensed" w:cs="Barlow Semi Condensed" w:eastAsia="Barlow Semi Condensed" w:hAnsi="Barlow Semi Condensed"/>
                <w:sz w:val="20"/>
                <w:szCs w:val="20"/>
              </w:rPr>
              <w:t xml:space="preserve"> Il luogo effettivo fu un altro per l'intero periodo; via Montalcini come copertura.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prime tre condividono il luogo e si distinguono per </w:t>
      </w:r>
      <w:r>
        <w:rPr>
          <w:rFonts w:ascii="Barlow Semi Condensed" w:cs="Barlow Semi Condensed" w:eastAsia="Barlow Semi Condensed" w:hAnsi="Barlow Semi Condensed"/>
          <w:b/>
          <w:bCs/>
          <w:sz w:val="24"/>
          <w:szCs w:val="24"/>
        </w:rPr>
        <w:t xml:space="preserve">chi sapesse</w:t>
      </w:r>
      <w:r>
        <w:rPr>
          <w:rFonts w:ascii="Barlow Semi Condensed" w:cs="Barlow Semi Condensed" w:eastAsia="Barlow Semi Condensed" w:hAnsi="Barlow Semi Condensed"/>
          <w:sz w:val="24"/>
          <w:szCs w:val="24"/>
        </w:rPr>
        <w:t xml:space="preserve">; le ultime</w:t>
      </w:r>
    </w:p>
    <w:p>
      <w:pPr>
        <w:spacing w:after="120" w:line="276"/>
        <w:jc w:val="both"/>
      </w:pPr>
      <w:r>
        <w:rPr>
          <w:rFonts w:ascii="Barlow Semi Condensed" w:cs="Barlow Semi Condensed" w:eastAsia="Barlow Semi Condensed" w:hAnsi="Barlow Semi Condensed"/>
          <w:sz w:val="24"/>
          <w:szCs w:val="24"/>
        </w:rPr>
        <w:t xml:space="preserve">due negano l'unicità del luogo. La distinzione conta: **H2 e H3 non richiedono che</w:t>
      </w:r>
    </w:p>
    <w:p>
      <w:pPr>
        <w:spacing w:after="120" w:line="276"/>
        <w:jc w:val="both"/>
      </w:pPr>
      <w:r>
        <w:rPr>
          <w:rFonts w:ascii="Barlow Semi Condensed" w:cs="Barlow Semi Condensed" w:eastAsia="Barlow Semi Condensed" w:hAnsi="Barlow Semi Condensed"/>
          <w:sz w:val="24"/>
          <w:szCs w:val="24"/>
        </w:rPr>
        <w:t xml:space="preserve">il giudicato sia sbagliato**, H4 e H5 sì.</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Le evidenze, col grado e con la 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evidenza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Accertamento giudiziario della detenzione in via Camillo Montalcini, in un vano ricavato e schermato, invisibile a ispezione superficiale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L'appartamento fu acquistato nel </w:t>
            </w:r>
            <w:r>
              <w:rPr>
                <w:rFonts w:ascii="Barlow Semi Condensed" w:cs="Barlow Semi Condensed" w:eastAsia="Barlow Semi Condensed" w:hAnsi="Barlow Semi Condensed"/>
                <w:b/>
                <w:bCs/>
                <w:sz w:val="20"/>
                <w:szCs w:val="20"/>
              </w:rPr>
              <w:t xml:space="preserve">giugno 1977</w:t>
            </w:r>
            <w:r>
              <w:rPr>
                <w:rFonts w:ascii="Barlow Semi Condensed" w:cs="Barlow Semi Condensed" w:eastAsia="Barlow Semi Condensed" w:hAnsi="Barlow Semi Condensed"/>
                <w:sz w:val="20"/>
                <w:szCs w:val="20"/>
              </w:rPr>
              <w:t xml:space="preserve">, nove mesi prima del sequestro, e intestato a persona poi condannata in via definitiva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gestione quotidiana della custodia fu affidata a un </w:t>
            </w:r>
            <w:r>
              <w:rPr>
                <w:rFonts w:ascii="Barlow Semi Condensed" w:cs="Barlow Semi Condensed" w:eastAsia="Barlow Semi Condensed" w:hAnsi="Barlow Semi Condensed"/>
                <w:b/>
                <w:bCs/>
                <w:sz w:val="20"/>
                <w:szCs w:val="20"/>
              </w:rPr>
              <w:t xml:space="preserve">numero ristrettissimo</w:t>
            </w:r>
            <w:r>
              <w:rPr>
                <w:rFonts w:ascii="Barlow Semi Condensed" w:cs="Barlow Semi Condensed" w:eastAsia="Barlow Semi Condensed" w:hAnsi="Barlow Semi Condensed"/>
                <w:sz w:val="20"/>
                <w:szCs w:val="20"/>
              </w:rPr>
              <w:t xml:space="preserve"> di militanti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prigioniero vi rimase, secondo la ricostruzione consolidata, </w:t>
            </w:r>
            <w:r>
              <w:rPr>
                <w:rFonts w:ascii="Barlow Semi Condensed" w:cs="Barlow Semi Condensed" w:eastAsia="Barlow Semi Condensed" w:hAnsi="Barlow Semi Condensed"/>
                <w:b/>
                <w:bCs/>
                <w:sz w:val="20"/>
                <w:szCs w:val="20"/>
              </w:rPr>
              <w:t xml:space="preserve">per l'intera durata</w:t>
            </w:r>
            <w:r>
              <w:rPr>
                <w:rFonts w:ascii="Barlow Semi Condensed" w:cs="Barlow Semi Condensed" w:eastAsia="Barlow Semi Condensed" w:hAnsi="Barlow Semi Condensed"/>
                <w:sz w:val="20"/>
                <w:szCs w:val="20"/>
              </w:rPr>
              <w:t xml:space="preserve"> dei 55 giorni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Gli scritti furono recapitati </w:t>
            </w:r>
            <w:r>
              <w:rPr>
                <w:rFonts w:ascii="Barlow Semi Condensed" w:cs="Barlow Semi Condensed" w:eastAsia="Barlow Semi Condensed" w:hAnsi="Barlow Semi Condensed"/>
                <w:b/>
                <w:bCs/>
                <w:sz w:val="20"/>
                <w:szCs w:val="20"/>
              </w:rPr>
              <w:t xml:space="preserve">attraverso canali predisposti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E6</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sabbia.</w:t>
            </w:r>
            <w:r>
              <w:rPr>
                <w:rFonts w:ascii="Barlow Semi Condensed" w:cs="Barlow Semi Condensed" w:eastAsia="Barlow Semi Condensed" w:hAnsi="Barlow Semi Condensed"/>
                <w:sz w:val="20"/>
                <w:szCs w:val="20"/>
              </w:rPr>
              <w:t xml:space="preserve"> La perizia geologico-botanica del 1978 giudicò la sabbia nel risvolto sinistro dei pantaloni e sulle scarpe </w:t>
            </w:r>
            <w:r>
              <w:rPr>
                <w:rFonts w:ascii="Barlow Semi Condensed" w:cs="Barlow Semi Condensed" w:eastAsia="Barlow Semi Condensed" w:hAnsi="Barlow Semi Condensed"/>
                <w:b/>
                <w:bCs/>
                <w:sz w:val="20"/>
                <w:szCs w:val="20"/>
              </w:rPr>
              <w:t xml:space="preserve">esclusiva del litorale tirrenico laziale</w:t>
            </w:r>
            <w:r>
              <w:rPr>
                <w:rFonts w:ascii="Barlow Semi Condensed" w:cs="Barlow Semi Condensed" w:eastAsia="Barlow Semi Condensed" w:hAnsi="Barlow Semi Condensed"/>
                <w:sz w:val="20"/>
                <w:szCs w:val="20"/>
              </w:rPr>
              <w:t xml:space="preserve">, con localizzazione nell'area Focene-Marina di Palidoro. Accertamenti rilanciati dalla Commissione Moro 2 (RIS, 2016-2017)</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Quarant'anni di ricerca su </w:t>
            </w:r>
            <w:r>
              <w:rPr>
                <w:rFonts w:ascii="Barlow Semi Condensed" w:cs="Barlow Semi Condensed" w:eastAsia="Barlow Semi Condensed" w:hAnsi="Barlow Semi Condensed"/>
                <w:b/>
                <w:bCs/>
                <w:sz w:val="20"/>
                <w:szCs w:val="20"/>
              </w:rPr>
              <w:t xml:space="preserve">luoghi di detenzione ulteriori</w:t>
            </w:r>
            <w:r>
              <w:rPr>
                <w:rFonts w:ascii="Barlow Semi Condensed" w:cs="Barlow Semi Condensed" w:eastAsia="Barlow Semi Condensed" w:hAnsi="Barlow Semi Condensed"/>
                <w:sz w:val="20"/>
                <w:szCs w:val="20"/>
              </w:rPr>
              <w:t xml:space="preserve"> non hanno mai raggiunto la soglia probatoria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robustezza </w:t>
            </w:r>
            <w:r>
              <w:rPr>
                <w:rFonts w:ascii="Barlow Semi Condensed" w:cs="Barlow Semi Condensed" w:eastAsia="Barlow Semi Condensed" w:hAnsi="Barlow Semi Condensed"/>
                <w:i/>
                <w:iCs/>
                <w:sz w:val="20"/>
                <w:szCs w:val="20"/>
              </w:rPr>
              <w:t xml:space="preserve">modesta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w:t>
            </w:r>
            <w:r>
              <w:rPr>
                <w:rFonts w:ascii="Barlow Semi Condensed" w:cs="Barlow Semi Condensed" w:eastAsia="Barlow Semi Condensed" w:hAnsi="Barlow Semi Condensed"/>
                <w:b/>
                <w:bCs/>
                <w:sz w:val="20"/>
                <w:szCs w:val="20"/>
              </w:rPr>
              <w:t xml:space="preserve">informazione specifica preventiva</w:t>
            </w:r>
            <w:r>
              <w:rPr>
                <w:rFonts w:ascii="Barlow Semi Condensed" w:cs="Barlow Semi Condensed" w:eastAsia="Barlow Semi Condensed" w:hAnsi="Barlow Semi Condensed"/>
                <w:sz w:val="20"/>
                <w:szCs w:val="20"/>
              </w:rPr>
              <w:t xml:space="preserve"> è mai stata accertata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robustezza </w:t>
            </w:r>
            <w:r>
              <w:rPr>
                <w:rFonts w:ascii="Barlow Semi Condensed" w:cs="Barlow Semi Condensed" w:eastAsia="Barlow Semi Condensed" w:hAnsi="Barlow Semi Condensed"/>
                <w:i/>
                <w:iCs/>
                <w:sz w:val="20"/>
                <w:szCs w:val="20"/>
              </w:rPr>
              <w:t xml:space="preserve">media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 </w:t>
            </w:r>
            <w:r>
              <w:rPr>
                <w:rFonts w:ascii="Barlow Semi Condensed" w:cs="Barlow Semi Condensed" w:eastAsia="Barlow Semi Condensed" w:hAnsi="Barlow Semi Condensed"/>
                <w:b/>
                <w:bCs/>
                <w:sz w:val="20"/>
                <w:szCs w:val="20"/>
              </w:rPr>
              <w:t xml:space="preserve">arco di collusione</w:t>
            </w:r>
            <w:r>
              <w:rPr>
                <w:rFonts w:ascii="Barlow Semi Condensed" w:cs="Barlow Semi Condensed" w:eastAsia="Barlow Semi Condensed" w:hAnsi="Barlow Semi Condensed"/>
                <w:sz w:val="20"/>
                <w:szCs w:val="20"/>
              </w:rPr>
              <w:t xml:space="preserve"> — accordo provato fra l'organizzazione e soggetti di altri mondi — risulta dagli atti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fra i più solidi del caso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w:t>
            </w:r>
            <w:r>
              <w:rPr>
                <w:rFonts w:ascii="Barlow Semi Condensed" w:cs="Barlow Semi Condensed" w:eastAsia="Barlow Semi Condensed" w:hAnsi="Barlow Semi Condensed"/>
                <w:b/>
                <w:bCs/>
                <w:sz w:val="20"/>
                <w:szCs w:val="20"/>
              </w:rPr>
              <w:t xml:space="preserve">controllo fallito del 18 marzo 1978</w:t>
            </w:r>
            <w:r>
              <w:rPr>
                <w:rFonts w:ascii="Barlow Semi Condensed" w:cs="Barlow Semi Condensed" w:eastAsia="Barlow Semi Condensed" w:hAnsi="Barlow Semi Condensed"/>
                <w:sz w:val="20"/>
                <w:szCs w:val="20"/>
              </w:rPr>
              <w:t xml:space="preserve"> all'interno 11 di via Gradoli, su segnalazione di un'informatrice: nessuno rispose, la squadra non entrò, e del fallimento le autorità si avvidero solo dopo il 18 aprile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Nello stabile di via Gradoli 96, </w:t>
            </w:r>
            <w:r>
              <w:rPr>
                <w:rFonts w:ascii="Barlow Semi Condensed" w:cs="Barlow Semi Condensed" w:eastAsia="Barlow Semi Condensed" w:hAnsi="Barlow Semi Condensed"/>
                <w:b/>
                <w:bCs/>
                <w:sz w:val="20"/>
                <w:szCs w:val="20"/>
              </w:rPr>
              <w:t xml:space="preserve">24 appartamenti su 66</w:t>
            </w:r>
            <w:r>
              <w:rPr>
                <w:rFonts w:ascii="Barlow Semi Condensed" w:cs="Barlow Semi Condensed" w:eastAsia="Barlow Semi Condensed" w:hAnsi="Barlow Semi Condensed"/>
                <w:sz w:val="20"/>
                <w:szCs w:val="20"/>
              </w:rPr>
              <w:t xml:space="preserve"> risultavano di società immobiliari i cui amministratori comprendevano fiduciari dei servizi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A1</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Argomento, non evidenza:</w:t>
            </w:r>
            <w:r>
              <w:rPr>
                <w:rFonts w:ascii="Barlow Semi Condensed" w:cs="Barlow Semi Condensed" w:eastAsia="Barlow Semi Condensed" w:hAnsi="Barlow Semi Condensed"/>
                <w:sz w:val="20"/>
                <w:szCs w:val="20"/>
              </w:rPr>
              <w:t xml:space="preserve"> chi avesse conosciuto l'ubicazione e scelto di non intervenire avrebbe corso il rischio della </w:t>
            </w:r>
            <w:r>
              <w:rPr>
                <w:rFonts w:ascii="Barlow Semi Condensed" w:cs="Barlow Semi Condensed" w:eastAsia="Barlow Semi Condensed" w:hAnsi="Barlow Semi Condensed"/>
                <w:b/>
                <w:bCs/>
                <w:sz w:val="20"/>
                <w:szCs w:val="20"/>
              </w:rPr>
              <w:t xml:space="preserve">scoperta accidentale da parte di chiunque altro</w:t>
            </w:r>
            <w:r>
              <w:rPr>
                <w:rFonts w:ascii="Barlow Semi Condensed" w:cs="Barlow Semi Condensed" w:eastAsia="Barlow Semi Condensed" w:hAnsi="Barlow Semi Condensed"/>
                <w:sz w:val="20"/>
                <w:szCs w:val="20"/>
              </w:rPr>
              <w:t xml:space="preserve"> — una segnalazione condominiale, un controllo casuale, una defezione — che avrebbe reso l'omissione immediatamente evidente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argomento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La matrice</w:t>
      </w:r>
    </w:p>
    <w:p>
      <w:pPr>
        <w:spacing w:after="120" w:line="276"/>
        <w:jc w:val="both"/>
      </w:pP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incompatibile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neutra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H1 cerchia chiusa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H2 interna allargata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H3 esterna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H4 plurima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H5 altrove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E1</w:t>
            </w:r>
            <w:r>
              <w:rPr>
                <w:rFonts w:ascii="Barlow Semi Condensed" w:cs="Barlow Semi Condensed" w:eastAsia="Barlow Semi Condensed" w:hAnsi="Barlow Semi Condensed"/>
                <w:sz w:val="20"/>
                <w:szCs w:val="20"/>
              </w:rPr>
              <w:t xml:space="preserve"> accertamento del luogo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E2</w:t>
            </w:r>
            <w:r>
              <w:rPr>
                <w:rFonts w:ascii="Barlow Semi Condensed" w:cs="Barlow Semi Condensed" w:eastAsia="Barlow Semi Condensed" w:hAnsi="Barlow Semi Condensed"/>
                <w:sz w:val="20"/>
                <w:szCs w:val="20"/>
              </w:rPr>
              <w:t xml:space="preserve"> acquisto nove mesi prima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E3</w:t>
            </w:r>
            <w:r>
              <w:rPr>
                <w:rFonts w:ascii="Barlow Semi Condensed" w:cs="Barlow Semi Condensed" w:eastAsia="Barlow Semi Condensed" w:hAnsi="Barlow Semi Condensed"/>
                <w:sz w:val="20"/>
                <w:szCs w:val="20"/>
              </w:rPr>
              <w:t xml:space="preserve"> custodia ristrettissima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E4</w:t>
            </w:r>
            <w:r>
              <w:rPr>
                <w:rFonts w:ascii="Barlow Semi Condensed" w:cs="Barlow Semi Condensed" w:eastAsia="Barlow Semi Condensed" w:hAnsi="Barlow Semi Condensed"/>
                <w:sz w:val="20"/>
                <w:szCs w:val="20"/>
              </w:rPr>
              <w:t xml:space="preserve"> intera durata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E5</w:t>
            </w:r>
            <w:r>
              <w:rPr>
                <w:rFonts w:ascii="Barlow Semi Condensed" w:cs="Barlow Semi Condensed" w:eastAsia="Barlow Semi Condensed" w:hAnsi="Barlow Semi Condensed"/>
                <w:sz w:val="20"/>
                <w:szCs w:val="20"/>
              </w:rPr>
              <w:t xml:space="preserve"> canali predisposti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E6</w:t>
            </w:r>
            <w:r>
              <w:rPr>
                <w:rFonts w:ascii="Barlow Semi Condensed" w:cs="Barlow Semi Condensed" w:eastAsia="Barlow Semi Condensed" w:hAnsi="Barlow Semi Condensed"/>
                <w:sz w:val="20"/>
                <w:szCs w:val="20"/>
              </w:rPr>
              <w:t xml:space="preserve"> la sabbia del litorale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E7</w:t>
            </w:r>
            <w:r>
              <w:rPr>
                <w:rFonts w:ascii="Barlow Semi Condensed" w:cs="Barlow Semi Condensed" w:eastAsia="Barlow Semi Condensed" w:hAnsi="Barlow Semi Condensed"/>
                <w:sz w:val="20"/>
                <w:szCs w:val="20"/>
              </w:rPr>
              <w:t xml:space="preserve"> Stato Zero sui luoghi ulteriori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E8</w:t>
            </w:r>
            <w:r>
              <w:rPr>
                <w:rFonts w:ascii="Barlow Semi Condensed" w:cs="Barlow Semi Condensed" w:eastAsia="Barlow Semi Condensed" w:hAnsi="Barlow Semi Condensed"/>
                <w:sz w:val="20"/>
                <w:szCs w:val="20"/>
              </w:rPr>
              <w:t xml:space="preserve"> Stato Zero sull'informazione preventiva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E9</w:t>
            </w:r>
            <w:r>
              <w:rPr>
                <w:rFonts w:ascii="Barlow Semi Condensed" w:cs="Barlow Semi Condensed" w:eastAsia="Barlow Semi Condensed" w:hAnsi="Barlow Semi Condensed"/>
                <w:sz w:val="20"/>
                <w:szCs w:val="20"/>
              </w:rPr>
              <w:t xml:space="preserve"> Stato Zero sulle collusioni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E10</w:t>
            </w:r>
            <w:r>
              <w:rPr>
                <w:rFonts w:ascii="Barlow Semi Condensed" w:cs="Barlow Semi Condensed" w:eastAsia="Barlow Semi Condensed" w:hAnsi="Barlow Semi Condensed"/>
                <w:sz w:val="20"/>
                <w:szCs w:val="20"/>
              </w:rPr>
              <w:t xml:space="preserve"> il controllo fallito del 18 marzo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E11</w:t>
            </w:r>
            <w:r>
              <w:rPr>
                <w:rFonts w:ascii="Barlow Semi Condensed" w:cs="Barlow Semi Condensed" w:eastAsia="Barlow Semi Condensed" w:hAnsi="Barlow Semi Condensed"/>
                <w:sz w:val="20"/>
                <w:szCs w:val="20"/>
              </w:rPr>
              <w:t xml:space="preserve"> gli assetti dello stabile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560"/>
          </w:tcPr>
          <w:p>
            <w:pPr>
              <w:spacing w:after="20" w:before="20"/>
              <w:jc w:val="both"/>
            </w:pPr>
            <w:r>
              <w:rPr>
                <w:rFonts w:ascii="Barlow Semi Condensed" w:cs="Barlow Semi Condensed" w:eastAsia="Barlow Semi Condensed" w:hAnsi="Barlow Semi Condensed"/>
                <w:b/>
                <w:bCs/>
                <w:sz w:val="20"/>
                <w:szCs w:val="20"/>
              </w:rPr>
              <w:t xml:space="preserve">A1</w:t>
            </w:r>
            <w:r>
              <w:rPr>
                <w:rFonts w:ascii="Barlow Semi Condensed" w:cs="Barlow Semi Condensed" w:eastAsia="Barlow Semi Condensed" w:hAnsi="Barlow Semi Condensed"/>
                <w:sz w:val="20"/>
                <w:szCs w:val="20"/>
              </w:rPr>
              <w:t xml:space="preserve"> l'argomento di rischio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i/>
                <w:iCs/>
                <w:sz w:val="20"/>
                <w:szCs w:val="20"/>
              </w:rPr>
              <w:t xml:space="preserve">deprime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w:t>
            </w:r>
          </w:p>
        </w:tc>
        <w:tc>
          <w:tcPr>
            <w:tcW w:type="dxa" w:w="1560"/>
          </w:tcPr>
          <w:p>
            <w:pPr>
              <w:spacing w:after="20" w:before="20"/>
              <w:jc w:val="both"/>
            </w:pPr>
            <w:r>
              <w:rPr>
                <w:rFonts w:ascii="Barlow Semi Condensed" w:cs="Barlow Semi Condensed" w:eastAsia="Barlow Semi Condensed" w:hAnsi="Barlow Semi Condensed"/>
                <w:i/>
                <w:iCs/>
                <w:sz w:val="20"/>
                <w:szCs w:val="20"/>
              </w:rPr>
              <w:t xml:space="preserve">deprime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Che cosa la matrice cancella, e perché è il risultato principale</w:t>
      </w:r>
    </w:p>
    <w:p>
      <w:pPr>
        <w:spacing w:after="120" w:line="276"/>
        <w:jc w:val="both"/>
      </w:pPr>
      <w:r>
        <w:rPr>
          <w:rFonts w:ascii="Barlow Semi Condensed" w:cs="Barlow Semi Condensed" w:eastAsia="Barlow Semi Condensed" w:hAnsi="Barlow Semi Condensed"/>
          <w:b/>
          <w:bCs/>
          <w:sz w:val="24"/>
          <w:szCs w:val="24"/>
        </w:rPr>
        <w:t xml:space="preserve">Tre evidenze si cancellano subito, ed è la parte che nessuno fa mai.</w:t>
      </w:r>
    </w:p>
    <w:p>
      <w:pPr>
        <w:spacing w:after="120" w:line="276"/>
        <w:jc w:val="both"/>
      </w:pPr>
      <w:r>
        <w:rPr>
          <w:rFonts w:ascii="Barlow Semi Condensed" w:cs="Barlow Semi Condensed" w:eastAsia="Barlow Semi Condensed" w:hAnsi="Barlow Semi Condensed"/>
          <w:b/>
          <w:bCs/>
          <w:sz w:val="24"/>
          <w:szCs w:val="24"/>
        </w:rPr>
        <w:t xml:space="preserve">E5, i canali predisposti</w:t>
      </w:r>
      <w:r>
        <w:rPr>
          <w:rFonts w:ascii="Barlow Semi Condensed" w:cs="Barlow Semi Condensed" w:eastAsia="Barlow Semi Condensed" w:hAnsi="Barlow Semi Condensed"/>
          <w:sz w:val="24"/>
          <w:szCs w:val="24"/>
        </w:rPr>
        <w:t xml:space="preserve">, è compatibile con tutte e cinque le ipotesi. Che gli</w:t>
      </w:r>
    </w:p>
    <w:p>
      <w:pPr>
        <w:spacing w:after="120" w:line="276"/>
        <w:jc w:val="both"/>
      </w:pPr>
      <w:r>
        <w:rPr>
          <w:rFonts w:ascii="Barlow Semi Condensed" w:cs="Barlow Semi Condensed" w:eastAsia="Barlow Semi Condensed" w:hAnsi="Barlow Semi Condensed"/>
          <w:sz w:val="24"/>
          <w:szCs w:val="24"/>
        </w:rPr>
        <w:t xml:space="preserve">scritti passassero per un canale non dice nulla su dove fosse chi scriveva.</w:t>
      </w:r>
    </w:p>
    <w:p>
      <w:pPr>
        <w:spacing w:after="120" w:line="276"/>
        <w:jc w:val="both"/>
      </w:pPr>
      <w:r>
        <w:rPr>
          <w:rFonts w:ascii="Barlow Semi Condensed" w:cs="Barlow Semi Condensed" w:eastAsia="Barlow Semi Condensed" w:hAnsi="Barlow Semi Condensed"/>
          <w:b/>
          <w:bCs/>
          <w:sz w:val="24"/>
          <w:szCs w:val="24"/>
        </w:rPr>
        <w:t xml:space="preserve">Diagnosticità zero.</w:t>
      </w:r>
    </w:p>
    <w:p>
      <w:pPr>
        <w:spacing w:after="120" w:line="276"/>
        <w:jc w:val="both"/>
      </w:pPr>
      <w:r>
        <w:rPr>
          <w:rFonts w:ascii="Barlow Semi Condensed" w:cs="Barlow Semi Condensed" w:eastAsia="Barlow Semi Condensed" w:hAnsi="Barlow Semi Condensed"/>
          <w:b/>
          <w:bCs/>
          <w:sz w:val="24"/>
          <w:szCs w:val="24"/>
        </w:rPr>
        <w:t xml:space="preserve">E10, il controllo fallito del 18 marzo</w:t>
      </w:r>
      <w:r>
        <w:rPr>
          <w:rFonts w:ascii="Barlow Semi Condensed" w:cs="Barlow Semi Condensed" w:eastAsia="Barlow Semi Condensed" w:hAnsi="Barlow Semi Condensed"/>
          <w:sz w:val="24"/>
          <w:szCs w:val="24"/>
        </w:rPr>
        <w:t xml:space="preserve">, e **E11, gli assetti proprietari dello</w:t>
      </w:r>
    </w:p>
    <w:p>
      <w:pPr>
        <w:spacing w:after="120" w:line="276"/>
        <w:jc w:val="both"/>
      </w:pPr>
      <w:r>
        <w:rPr>
          <w:rFonts w:ascii="Barlow Semi Condensed" w:cs="Barlow Semi Condensed" w:eastAsia="Barlow Semi Condensed" w:hAnsi="Barlow Semi Condensed"/>
          <w:sz w:val="24"/>
          <w:szCs w:val="24"/>
        </w:rPr>
        <w:t xml:space="preserve">stabile**, sono compatibili con tutte e cinque. Sono i due fatti più citati dalla</w:t>
      </w:r>
    </w:p>
    <w:p>
      <w:pPr>
        <w:spacing w:after="120" w:line="276"/>
        <w:jc w:val="both"/>
      </w:pPr>
      <w:r>
        <w:rPr>
          <w:rFonts w:ascii="Barlow Semi Condensed" w:cs="Barlow Semi Condensed" w:eastAsia="Barlow Semi Condensed" w:hAnsi="Barlow Semi Condensed"/>
          <w:sz w:val="24"/>
          <w:szCs w:val="24"/>
        </w:rPr>
        <w:t xml:space="preserve">letteratura che sostiene le ipotesi forti — e **non discriminano fra nessuna</w:t>
      </w:r>
    </w:p>
    <w:p>
      <w:pPr>
        <w:spacing w:after="120" w:line="276"/>
        <w:jc w:val="both"/>
      </w:pPr>
      <w:r>
        <w:rPr>
          <w:rFonts w:ascii="Barlow Semi Condensed" w:cs="Barlow Semi Condensed" w:eastAsia="Barlow Semi Condensed" w:hAnsi="Barlow Semi Condensed"/>
          <w:sz w:val="24"/>
          <w:szCs w:val="24"/>
        </w:rPr>
        <w:t xml:space="preserve">coppia di ipotesi di questa tavola**. La ragione è semplice e va scritta perché</w:t>
      </w:r>
    </w:p>
    <w:p>
      <w:pPr>
        <w:spacing w:after="120" w:line="276"/>
        <w:jc w:val="both"/>
      </w:pPr>
      <w:r>
        <w:rPr>
          <w:rFonts w:ascii="Barlow Semi Condensed" w:cs="Barlow Semi Condensed" w:eastAsia="Barlow Semi Condensed" w:hAnsi="Barlow Semi Condensed"/>
          <w:sz w:val="24"/>
          <w:szCs w:val="24"/>
        </w:rPr>
        <w:t xml:space="preserve">brucia: </w:t>
      </w:r>
      <w:r>
        <w:rPr>
          <w:rFonts w:ascii="Barlow Semi Condensed" w:cs="Barlow Semi Condensed" w:eastAsia="Barlow Semi Condensed" w:hAnsi="Barlow Semi Condensed"/>
          <w:b/>
          <w:bCs/>
          <w:sz w:val="24"/>
          <w:szCs w:val="24"/>
        </w:rPr>
        <w:t xml:space="preserve">riguardano via Gradoli, che era una base, non la prigione.</w:t>
      </w:r>
      <w:r>
        <w:rPr>
          <w:rFonts w:ascii="Barlow Semi Condensed" w:cs="Barlow Semi Condensed" w:eastAsia="Barlow Semi Condensed" w:hAnsi="Barlow Semi Condensed"/>
          <w:sz w:val="24"/>
          <w:szCs w:val="24"/>
        </w:rPr>
        <w:t xml:space="preserve"> Qualunque</w:t>
      </w:r>
    </w:p>
    <w:p>
      <w:pPr>
        <w:spacing w:after="120" w:line="276"/>
        <w:jc w:val="both"/>
      </w:pPr>
      <w:r>
        <w:rPr>
          <w:rFonts w:ascii="Barlow Semi Condensed" w:cs="Barlow Semi Condensed" w:eastAsia="Barlow Semi Condensed" w:hAnsi="Barlow Semi Condensed"/>
          <w:sz w:val="24"/>
          <w:szCs w:val="24"/>
        </w:rPr>
        <w:t xml:space="preserve">cosa dicano — e dicono qualcosa di serio sulle condotte istituzionali — non dicono</w:t>
      </w:r>
    </w:p>
    <w:p>
      <w:pPr>
        <w:spacing w:after="120" w:line="276"/>
        <w:jc w:val="both"/>
      </w:pPr>
      <w:r>
        <w:rPr>
          <w:rFonts w:ascii="Barlow Semi Condensed" w:cs="Barlow Semi Condensed" w:eastAsia="Barlow Semi Condensed" w:hAnsi="Barlow Semi Condensed"/>
          <w:sz w:val="24"/>
          <w:szCs w:val="24"/>
        </w:rPr>
        <w:t xml:space="preserve">dove fosse tenuto Moro né chi lo sapesse.</w:t>
      </w:r>
    </w:p>
    <w:p>
      <w:pPr>
        <w:spacing w:after="120" w:line="276"/>
        <w:jc w:val="both"/>
      </w:pPr>
      <w:r>
        <w:rPr>
          <w:rFonts w:ascii="Barlow Semi Condensed" w:cs="Barlow Semi Condensed" w:eastAsia="Barlow Semi Condensed" w:hAnsi="Barlow Semi Condensed"/>
          <w:b/>
          <w:bCs/>
          <w:sz w:val="24"/>
          <w:szCs w:val="24"/>
        </w:rPr>
        <w:t xml:space="preserve">È il risultato principale di questa matrice</w:t>
      </w:r>
      <w:r>
        <w:rPr>
          <w:rFonts w:ascii="Barlow Semi Condensed" w:cs="Barlow Semi Condensed" w:eastAsia="Barlow Semi Condensed" w:hAnsi="Barlow Semi Condensed"/>
          <w:sz w:val="24"/>
          <w:szCs w:val="24"/>
        </w:rPr>
        <w:t xml:space="preserve">, e non era prevedibile prima di</w:t>
      </w:r>
    </w:p>
    <w:p>
      <w:pPr>
        <w:spacing w:after="120" w:line="276"/>
        <w:jc w:val="both"/>
      </w:pPr>
      <w:r>
        <w:rPr>
          <w:rFonts w:ascii="Barlow Semi Condensed" w:cs="Barlow Semi Condensed" w:eastAsia="Barlow Semi Condensed" w:hAnsi="Barlow Semi Condensed"/>
          <w:sz w:val="24"/>
          <w:szCs w:val="24"/>
        </w:rPr>
        <w:t xml:space="preserve">costruirla: i due fatti su cui poggia gran parte del sospetto pubblico sulla</w:t>
      </w:r>
    </w:p>
    <w:p>
      <w:pPr>
        <w:spacing w:after="120" w:line="276"/>
        <w:jc w:val="both"/>
      </w:pPr>
      <w:r>
        <w:rPr>
          <w:rFonts w:ascii="Barlow Semi Condensed" w:cs="Barlow Semi Condensed" w:eastAsia="Barlow Semi Condensed" w:hAnsi="Barlow Semi Condensed"/>
          <w:sz w:val="24"/>
          <w:szCs w:val="24"/>
        </w:rPr>
        <w:t xml:space="preserve">custodia hanno, rispetto alla custodia, </w:t>
      </w:r>
      <w:r>
        <w:rPr>
          <w:rFonts w:ascii="Barlow Semi Condensed" w:cs="Barlow Semi Condensed" w:eastAsia="Barlow Semi Condensed" w:hAnsi="Barlow Semi Condensed"/>
          <w:b/>
          <w:bCs/>
          <w:sz w:val="24"/>
          <w:szCs w:val="24"/>
        </w:rPr>
        <w:t xml:space="preserve">diagnosticità nulla</w:t>
      </w:r>
      <w:r>
        <w:rPr>
          <w:rFonts w:ascii="Barlow Semi Condensed" w:cs="Barlow Semi Condensed" w:eastAsia="Barlow Semi Condensed" w:hAnsi="Barlow Semi Condensed"/>
          <w:sz w:val="24"/>
          <w:szCs w:val="24"/>
        </w:rPr>
        <w:t xml:space="preserve">. Non sono falsi,</w:t>
      </w:r>
    </w:p>
    <w:p>
      <w:pPr>
        <w:spacing w:after="120" w:line="276"/>
        <w:jc w:val="both"/>
      </w:pPr>
      <w:r>
        <w:rPr>
          <w:rFonts w:ascii="Barlow Semi Condensed" w:cs="Barlow Semi Condensed" w:eastAsia="Barlow Semi Condensed" w:hAnsi="Barlow Semi Condensed"/>
          <w:sz w:val="24"/>
          <w:szCs w:val="24"/>
        </w:rPr>
        <w:t xml:space="preserve">non sono irrilevanti: appartengono a un'altra questione — quella delle omissioni</w:t>
      </w:r>
    </w:p>
    <w:p>
      <w:pPr>
        <w:spacing w:after="120" w:line="276"/>
        <w:jc w:val="both"/>
      </w:pPr>
      <w:r>
        <w:rPr>
          <w:rFonts w:ascii="Barlow Semi Condensed" w:cs="Barlow Semi Condensed" w:eastAsia="Barlow Semi Condensed" w:hAnsi="Barlow Semi Condensed"/>
          <w:sz w:val="24"/>
          <w:szCs w:val="24"/>
        </w:rPr>
        <w:t xml:space="preserve">istituzionali — dove sono di primo piano. Portati qui, gonfiano un ragionamento</w:t>
      </w:r>
    </w:p>
    <w:p>
      <w:pPr>
        <w:spacing w:after="120" w:line="276"/>
        <w:jc w:val="both"/>
      </w:pPr>
      <w:r>
        <w:rPr>
          <w:rFonts w:ascii="Barlow Semi Condensed" w:cs="Barlow Semi Condensed" w:eastAsia="Barlow Semi Condensed" w:hAnsi="Barlow Semi Condensed"/>
          <w:sz w:val="24"/>
          <w:szCs w:val="24"/>
        </w:rPr>
        <w:t xml:space="preserve">senza sostenerlo.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La cella aperta: la sabbia, e perché decide tutto</w:t>
      </w:r>
    </w:p>
    <w:p>
      <w:pPr>
        <w:spacing w:after="120" w:line="276"/>
        <w:jc w:val="both"/>
      </w:pPr>
      <w:r>
        <w:rPr>
          <w:rFonts w:ascii="Barlow Semi Condensed" w:cs="Barlow Semi Condensed" w:eastAsia="Barlow Semi Condensed" w:hAnsi="Barlow Semi Condensed"/>
          <w:sz w:val="24"/>
          <w:szCs w:val="24"/>
        </w:rPr>
        <w:t xml:space="preserve">Resta un'evidenza che potrebbe discriminare più di ogni altra, e la sua cella è</w:t>
      </w:r>
    </w:p>
    <w:p>
      <w:pPr>
        <w:spacing w:after="120" w:line="276"/>
        <w:jc w:val="both"/>
      </w:pPr>
      <w:r>
        <w:rPr>
          <w:rFonts w:ascii="Barlow Semi Condensed" w:cs="Barlow Semi Condensed" w:eastAsia="Barlow Semi Condensed" w:hAnsi="Barlow Semi Condensed"/>
          <w:sz w:val="24"/>
          <w:szCs w:val="24"/>
        </w:rPr>
        <w:t xml:space="preserve">vuota.</w:t>
      </w:r>
    </w:p>
    <w:p>
      <w:pPr>
        <w:spacing w:after="120" w:line="276"/>
        <w:jc w:val="both"/>
      </w:pPr>
      <w:r>
        <w:rPr>
          <w:rFonts w:ascii="Barlow Semi Condensed" w:cs="Barlow Semi Condensed" w:eastAsia="Barlow Semi Condensed" w:hAnsi="Barlow Semi Condensed"/>
          <w:sz w:val="24"/>
          <w:szCs w:val="24"/>
        </w:rPr>
        <w:t xml:space="preserve">La perizia del 1978 giudicò la sabbia </w:t>
      </w:r>
      <w:r>
        <w:rPr>
          <w:rFonts w:ascii="Barlow Semi Condensed" w:cs="Barlow Semi Condensed" w:eastAsia="Barlow Semi Condensed" w:hAnsi="Barlow Semi Condensed"/>
          <w:b/>
          <w:bCs/>
          <w:sz w:val="24"/>
          <w:szCs w:val="24"/>
        </w:rPr>
        <w:t xml:space="preserve">esclusiva del litorale tirrenico laziale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localizzandola. Se quella sabbia arrivò sugli abiti **durante i cinquantacinque</w:t>
      </w:r>
    </w:p>
    <w:p>
      <w:pPr>
        <w:spacing w:after="120" w:line="276"/>
        <w:jc w:val="both"/>
      </w:pPr>
      <w:r>
        <w:rPr>
          <w:rFonts w:ascii="Barlow Semi Condensed" w:cs="Barlow Semi Condensed" w:eastAsia="Barlow Semi Condensed" w:hAnsi="Barlow Semi Condensed"/>
          <w:sz w:val="24"/>
          <w:szCs w:val="24"/>
        </w:rPr>
        <w:t xml:space="preserve">giorni**, H1-H2-H3 diventano gravemente incompatibili con essa e H4 sale in testa.</w:t>
      </w:r>
    </w:p>
    <w:p>
      <w:pPr>
        <w:spacing w:after="120" w:line="276"/>
        <w:jc w:val="both"/>
      </w:pPr>
      <w:r>
        <w:rPr>
          <w:rFonts w:ascii="Barlow Semi Condensed" w:cs="Barlow Semi Condensed" w:eastAsia="Barlow Semi Condensed" w:hAnsi="Barlow Semi Condensed"/>
          <w:sz w:val="24"/>
          <w:szCs w:val="24"/>
        </w:rPr>
        <w:t xml:space="preserve">Se vi arrivò </w:t>
      </w:r>
      <w:r>
        <w:rPr>
          <w:rFonts w:ascii="Barlow Semi Condensed" w:cs="Barlow Semi Condensed" w:eastAsia="Barlow Semi Condensed" w:hAnsi="Barlow Semi Condensed"/>
          <w:b/>
          <w:bCs/>
          <w:sz w:val="24"/>
          <w:szCs w:val="24"/>
        </w:rPr>
        <w:t xml:space="preserve">prima del 16 marzo</w:t>
      </w:r>
      <w:r>
        <w:rPr>
          <w:rFonts w:ascii="Barlow Semi Condensed" w:cs="Barlow Semi Condensed" w:eastAsia="Barlow Semi Condensed" w:hAnsi="Barlow Semi Condensed"/>
          <w:sz w:val="24"/>
          <w:szCs w:val="24"/>
        </w:rPr>
        <w:t xml:space="preserve"> — l'uomo indossava i propri abiti — oppure</w:t>
      </w:r>
    </w:p>
    <w:p>
      <w:pPr>
        <w:spacing w:after="120" w:line="276"/>
        <w:jc w:val="both"/>
      </w:pPr>
      <w:r>
        <w:rPr>
          <w:rFonts w:ascii="Barlow Semi Condensed" w:cs="Barlow Semi Condensed" w:eastAsia="Barlow Semi Condensed" w:hAnsi="Barlow Semi Condensed"/>
          <w:b/>
          <w:bCs/>
          <w:sz w:val="24"/>
          <w:szCs w:val="24"/>
        </w:rPr>
        <w:t xml:space="preserve">dopo il 9 maggio</w:t>
      </w:r>
      <w:r>
        <w:rPr>
          <w:rFonts w:ascii="Barlow Semi Condensed" w:cs="Barlow Semi Condensed" w:eastAsia="Barlow Semi Condensed" w:hAnsi="Barlow Semi Condensed"/>
          <w:sz w:val="24"/>
          <w:szCs w:val="24"/>
        </w:rPr>
        <w:t xml:space="preserve">, nel trasporto del corpo, allora l'evidenza è compatibile con</w:t>
      </w:r>
    </w:p>
    <w:p>
      <w:pPr>
        <w:spacing w:after="120" w:line="276"/>
        <w:jc w:val="both"/>
      </w:pPr>
      <w:r>
        <w:rPr>
          <w:rFonts w:ascii="Barlow Semi Condensed" w:cs="Barlow Semi Condensed" w:eastAsia="Barlow Semi Condensed" w:hAnsi="Barlow Semi Condensed"/>
          <w:sz w:val="24"/>
          <w:szCs w:val="24"/>
        </w:rPr>
        <w:t xml:space="preserve">tutte e ricade nella classe delle cancellate.</w:t>
      </w:r>
    </w:p>
    <w:p>
      <w:pPr>
        <w:spacing w:after="120" w:line="276"/>
        <w:jc w:val="both"/>
      </w:pPr>
      <w:r>
        <w:rPr>
          <w:rFonts w:ascii="Barlow Semi Condensed" w:cs="Barlow Semi Condensed" w:eastAsia="Barlow Semi Condensed" w:hAnsi="Barlow Semi Condensed"/>
          <w:b/>
          <w:bCs/>
          <w:sz w:val="24"/>
          <w:szCs w:val="24"/>
        </w:rPr>
        <w:t xml:space="preserve">Il «quando» non è determinato.</w:t>
      </w:r>
      <w:r>
        <w:rPr>
          <w:rFonts w:ascii="Barlow Semi Condensed" w:cs="Barlow Semi Condensed" w:eastAsia="Barlow Semi Condensed" w:hAnsi="Barlow Semi Condensed"/>
          <w:sz w:val="24"/>
          <w:szCs w:val="24"/>
        </w:rPr>
        <w:t xml:space="preserve"> Il corpus lo dichiara aperto, e questa matrice</w:t>
      </w:r>
    </w:p>
    <w:p>
      <w:pPr>
        <w:spacing w:after="120" w:line="276"/>
        <w:jc w:val="both"/>
      </w:pPr>
      <w:r>
        <w:rPr>
          <w:rFonts w:ascii="Barlow Semi Condensed" w:cs="Barlow Semi Condensed" w:eastAsia="Barlow Semi Condensed" w:hAnsi="Barlow Semi Condensed"/>
          <w:sz w:val="24"/>
          <w:szCs w:val="24"/>
        </w:rPr>
        <w:t xml:space="preserve">non lo chiude: nessuno degli atti disponibili lo stabilisce.</w:t>
      </w:r>
    </w:p>
    <w:p>
      <w:pPr>
        <w:spacing w:after="120" w:line="276"/>
        <w:jc w:val="both"/>
      </w:pPr>
      <w:r>
        <w:rPr>
          <w:rFonts w:ascii="Barlow Semi Condensed" w:cs="Barlow Semi Condensed" w:eastAsia="Barlow Semi Condensed" w:hAnsi="Barlow Semi Condensed"/>
          <w:sz w:val="24"/>
          <w:szCs w:val="24"/>
        </w:rPr>
        <w:t xml:space="preserve">Ne discende la sola cosa che questa analisi dica con forza: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L'unica evidenza materiale in grado di ordinare le cinque ipotesi è neutralizzata da una cella indeterminata; e quella cella è, in linea di principio, riempibile da una perizia.</w:t>
      </w:r>
    </w:p>
    <w:p>
      <w:pPr>
        <w:spacing w:after="120" w:line="276"/>
        <w:jc w:val="both"/>
      </w:pPr>
      <w:r>
        <w:rPr>
          <w:rFonts w:ascii="Barlow Semi Condensed" w:cs="Barlow Semi Condensed" w:eastAsia="Barlow Semi Condensed" w:hAnsi="Barlow Semi Condensed"/>
          <w:sz w:val="24"/>
          <w:szCs w:val="24"/>
        </w:rPr>
        <w:t xml:space="preserve">Non da una testimonianza, non da una rilettura, non da un archivio che si apra fra</w:t>
      </w:r>
    </w:p>
    <w:p>
      <w:pPr>
        <w:spacing w:after="120" w:line="276"/>
        <w:jc w:val="both"/>
      </w:pPr>
      <w:r>
        <w:rPr>
          <w:rFonts w:ascii="Barlow Semi Condensed" w:cs="Barlow Semi Condensed" w:eastAsia="Barlow Semi Condensed" w:hAnsi="Barlow Semi Condensed"/>
          <w:sz w:val="24"/>
          <w:szCs w:val="24"/>
        </w:rPr>
        <w:t xml:space="preserve">trent'anni: </w:t>
      </w:r>
      <w:r>
        <w:rPr>
          <w:rFonts w:ascii="Barlow Semi Condensed" w:cs="Barlow Semi Condensed" w:eastAsia="Barlow Semi Condensed" w:hAnsi="Barlow Semi Condensed"/>
          <w:b/>
          <w:bCs/>
          <w:sz w:val="24"/>
          <w:szCs w:val="24"/>
        </w:rPr>
        <w:t xml:space="preserve">da un esame di laboratorio su reperti che esistono.</w:t>
      </w:r>
      <w:r>
        <w:rPr>
          <w:rFonts w:ascii="Barlow Semi Condensed" w:cs="Barlow Semi Condensed" w:eastAsia="Barlow Semi Condensed" w:hAnsi="Barlow Semi Condensed"/>
          <w:sz w:val="24"/>
          <w:szCs w:val="24"/>
        </w:rPr>
        <w:t xml:space="preserve"> È la ragione</w:t>
      </w:r>
    </w:p>
    <w:p>
      <w:pPr>
        <w:spacing w:after="120" w:line="276"/>
        <w:jc w:val="both"/>
      </w:pPr>
      <w:r>
        <w:rPr>
          <w:rFonts w:ascii="Barlow Semi Condensed" w:cs="Barlow Semi Condensed" w:eastAsia="Barlow Semi Condensed" w:hAnsi="Barlow Semi Condensed"/>
          <w:sz w:val="24"/>
          <w:szCs w:val="24"/>
        </w:rPr>
        <w:t xml:space="preserve">per cui, nella graduatoria delle piste, gli atti peritali stanno in testa — e</w:t>
      </w:r>
    </w:p>
    <w:p>
      <w:pPr>
        <w:spacing w:after="120" w:line="276"/>
        <w:jc w:val="both"/>
      </w:pPr>
      <w:r>
        <w:rPr>
          <w:rFonts w:ascii="Barlow Semi Condensed" w:cs="Barlow Semi Condensed" w:eastAsia="Barlow Semi Condensed" w:hAnsi="Barlow Semi Condensed"/>
          <w:sz w:val="24"/>
          <w:szCs w:val="24"/>
        </w:rPr>
        <w:t xml:space="preserve">questa matrice ne fornisce la giustificazione formale che la graduatoria dava per</w:t>
      </w:r>
    </w:p>
    <w:p>
      <w:pPr>
        <w:spacing w:after="120" w:line="276"/>
        <w:jc w:val="both"/>
      </w:pPr>
      <w:r>
        <w:rPr>
          <w:rFonts w:ascii="Barlow Semi Condensed" w:cs="Barlow Semi Condensed" w:eastAsia="Barlow Semi Condensed" w:hAnsi="Barlow Semi Condensed"/>
          <w:sz w:val="24"/>
          <w:szCs w:val="24"/>
        </w:rPr>
        <w:t xml:space="preserve">buona.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L'ordine che ne risulta, e i suoi limiti</w:t>
      </w:r>
    </w:p>
    <w:p>
      <w:pPr>
        <w:spacing w:after="120" w:line="276"/>
        <w:jc w:val="both"/>
      </w:pPr>
      <w:r>
        <w:rPr>
          <w:rFonts w:ascii="Barlow Semi Condensed" w:cs="Barlow Semi Condensed" w:eastAsia="Barlow Semi Condensed" w:hAnsi="Barlow Semi Condensed"/>
          <w:sz w:val="24"/>
          <w:szCs w:val="24"/>
        </w:rPr>
        <w:t xml:space="preserve">Contando le sole incompatibilità con evidenze diagnostiche: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incompatibilità</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lettura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H1</w:t>
            </w:r>
            <w:r>
              <w:rPr>
                <w:rFonts w:ascii="Barlow Semi Condensed" w:cs="Barlow Semi Condensed" w:eastAsia="Barlow Semi Condensed" w:hAnsi="Barlow Semi Condensed"/>
                <w:sz w:val="20"/>
                <w:szCs w:val="20"/>
              </w:rPr>
              <w:t xml:space="preserve"> cerchia chiusa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evidenza disponibile la contraddice. È anche l'ipotesi del giudicato: la coincidenza non la rafforza — un giudicato è un accertamento, non una prova ulteriore di sé stesso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H2</w:t>
            </w:r>
            <w:r>
              <w:rPr>
                <w:rFonts w:ascii="Barlow Semi Condensed" w:cs="Barlow Semi Condensed" w:eastAsia="Barlow Semi Condensed" w:hAnsi="Barlow Semi Condensed"/>
                <w:sz w:val="20"/>
                <w:szCs w:val="20"/>
              </w:rPr>
              <w:t xml:space="preserve"> conoscenza interna allargata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Non è contraddetta da nulla</w:t>
            </w:r>
            <w:r>
              <w:rPr>
                <w:rFonts w:ascii="Barlow Semi Condensed" w:cs="Barlow Semi Condensed" w:eastAsia="Barlow Semi Condensed" w:hAnsi="Barlow Semi Condensed"/>
                <w:sz w:val="20"/>
                <w:szCs w:val="20"/>
              </w:rPr>
              <w:t xml:space="preserve">, e non è nemmeno sostenuta da nulla. È l'ipotesi che questa matrice lascia più scoperta: nessun atto la esclude, nessun atto la afferma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H3</w:t>
            </w:r>
            <w:r>
              <w:rPr>
                <w:rFonts w:ascii="Barlow Semi Condensed" w:cs="Barlow Semi Condensed" w:eastAsia="Barlow Semi Condensed" w:hAnsi="Barlow Semi Condensed"/>
                <w:sz w:val="20"/>
                <w:szCs w:val="20"/>
              </w:rPr>
              <w:t xml:space="preserve"> conoscenza esterna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w:t>
            </w:r>
            <w:r>
              <w:rPr>
                <w:rFonts w:ascii="Barlow Semi Condensed" w:cs="Barlow Semi Condensed" w:eastAsia="Barlow Semi Condensed" w:hAnsi="Barlow Semi Condensed"/>
                <w:sz w:val="20"/>
                <w:szCs w:val="20"/>
              </w:rPr>
              <w:t xml:space="preserve"> (E9) + argomento contrario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Urta contro lo Stato Zero sulle collusioni, e l'argomento di rischio la deprime senza escluderla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H4</w:t>
            </w:r>
            <w:r>
              <w:rPr>
                <w:rFonts w:ascii="Barlow Semi Condensed" w:cs="Barlow Semi Condensed" w:eastAsia="Barlow Semi Condensed" w:hAnsi="Barlow Semi Condensed"/>
                <w:sz w:val="20"/>
                <w:szCs w:val="20"/>
              </w:rPr>
              <w:t xml:space="preserve"> custodia plurima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2</w:t>
            </w:r>
            <w:r>
              <w:rPr>
                <w:rFonts w:ascii="Barlow Semi Condensed" w:cs="Barlow Semi Condensed" w:eastAsia="Barlow Semi Condensed" w:hAnsi="Barlow Semi Condensed"/>
                <w:sz w:val="20"/>
                <w:szCs w:val="20"/>
              </w:rPr>
              <w:t xml:space="preserve"> (E4, E7)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due incompatibilità sono di natura diversa: E4 è la ricostruzione consolidata, E7 è un esito negativo di robustezza </w:t>
            </w:r>
            <w:r>
              <w:rPr>
                <w:rFonts w:ascii="Barlow Semi Condensed" w:cs="Barlow Semi Condensed" w:eastAsia="Barlow Semi Condensed" w:hAnsi="Barlow Semi Condensed"/>
                <w:b/>
                <w:bCs/>
                <w:sz w:val="20"/>
                <w:szCs w:val="20"/>
              </w:rPr>
              <w:t xml:space="preserve">modesta</w:t>
            </w:r>
            <w:r>
              <w:rPr>
                <w:rFonts w:ascii="Barlow Semi Condensed" w:cs="Barlow Semi Condensed" w:eastAsia="Barlow Semi Condensed" w:hAnsi="Barlow Semi Condensed"/>
                <w:sz w:val="20"/>
                <w:szCs w:val="20"/>
              </w:rPr>
              <w:t xml:space="preserve">. La seconda pesa poco: è la porta da cui H4 può rientrare, e la sabbia è la chiave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H5</w:t>
            </w:r>
            <w:r>
              <w:rPr>
                <w:rFonts w:ascii="Barlow Semi Condensed" w:cs="Barlow Semi Condensed" w:eastAsia="Barlow Semi Condensed" w:hAnsi="Barlow Semi Condensed"/>
                <w:sz w:val="20"/>
                <w:szCs w:val="20"/>
              </w:rPr>
              <w:t xml:space="preserve"> custodia altrove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w:t>
            </w:r>
            <w:r>
              <w:rPr>
                <w:rFonts w:ascii="Barlow Semi Condensed" w:cs="Barlow Semi Condensed" w:eastAsia="Barlow Semi Condensed" w:hAnsi="Barlow Semi Condensed"/>
                <w:sz w:val="20"/>
                <w:szCs w:val="20"/>
              </w:rPr>
              <w:t xml:space="preserve"> (E1, E2, E4, E7, E9)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Deve contraddire un giudicato </w:t>
            </w:r>
            <w:r>
              <w:rPr>
                <w:rFonts w:ascii="Barlow Semi Condensed" w:cs="Barlow Semi Condensed" w:eastAsia="Barlow Semi Condensed" w:hAnsi="Barlow Semi Condensed"/>
                <w:b/>
                <w:bCs/>
                <w:sz w:val="20"/>
                <w:szCs w:val="20"/>
              </w:rPr>
              <w:t xml:space="preserve">e</w:t>
            </w:r>
            <w:r>
              <w:rPr>
                <w:rFonts w:ascii="Barlow Semi Condensed" w:cs="Barlow Semi Condensed" w:eastAsia="Barlow Semi Condensed" w:hAnsi="Barlow Semi Condensed"/>
                <w:sz w:val="20"/>
                <w:szCs w:val="20"/>
              </w:rPr>
              <w:t xml:space="preserve"> spiegare l'acquisto di nove mesi prima. È l'ipotesi più costosa della tavola</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Tre avvertenze, senza le quali questa tavola sarebbe peggiore di niente.</w:t>
      </w:r>
    </w:p>
    <w:p>
      <w:pPr>
        <w:spacing w:after="120" w:line="276"/>
        <w:jc w:val="both"/>
      </w:pPr>
      <w:r>
        <w:rPr>
          <w:rFonts w:ascii="Barlow Semi Condensed" w:cs="Barlow Semi Condensed" w:eastAsia="Barlow Semi Condensed" w:hAnsi="Barlow Semi Condensed"/>
          <w:b/>
          <w:bCs/>
          <w:sz w:val="24"/>
          <w:szCs w:val="24"/>
        </w:rPr>
        <w:t xml:space="preserve">Non sono probabilità.</w:t>
      </w:r>
      <w:r>
        <w:rPr>
          <w:rFonts w:ascii="Barlow Semi Condensed" w:cs="Barlow Semi Condensed" w:eastAsia="Barlow Semi Condensed" w:hAnsi="Barlow Semi Condensed"/>
          <w:sz w:val="24"/>
          <w:szCs w:val="24"/>
        </w:rPr>
        <w:t xml:space="preserve"> Il numero è un conteggio di urti con le evidenze</w:t>
      </w:r>
    </w:p>
    <w:p>
      <w:pPr>
        <w:spacing w:after="120" w:line="276"/>
        <w:jc w:val="both"/>
      </w:pPr>
      <w:r>
        <w:rPr>
          <w:rFonts w:ascii="Barlow Semi Condensed" w:cs="Barlow Semi Condensed" w:eastAsia="Barlow Semi Condensed" w:hAnsi="Barlow Semi Condensed"/>
          <w:sz w:val="24"/>
          <w:szCs w:val="24"/>
        </w:rPr>
        <w:t xml:space="preserve">disponibili, non una misura di verità. Un'ipotesi con zero incompatibilità non è</w:t>
      </w:r>
    </w:p>
    <w:p>
      <w:pPr>
        <w:spacing w:after="120" w:line="276"/>
        <w:jc w:val="both"/>
      </w:pPr>
      <w:r>
        <w:rPr>
          <w:rFonts w:ascii="Barlow Semi Condensed" w:cs="Barlow Semi Condensed" w:eastAsia="Barlow Semi Condensed" w:hAnsi="Barlow Semi Condensed"/>
          <w:sz w:val="24"/>
          <w:szCs w:val="24"/>
        </w:rPr>
        <w:t xml:space="preserve">«vera al cento per cento»: è </w:t>
      </w:r>
      <w:r>
        <w:rPr>
          <w:rFonts w:ascii="Barlow Semi Condensed" w:cs="Barlow Semi Condensed" w:eastAsia="Barlow Semi Condensed" w:hAnsi="Barlow Semi Condensed"/>
          <w:b/>
          <w:bCs/>
          <w:sz w:val="24"/>
          <w:szCs w:val="24"/>
        </w:rPr>
        <w:t xml:space="preserve">non ancora contraddetta</w:t>
      </w:r>
      <w:r>
        <w:rPr>
          <w:rFonts w:ascii="Barlow Semi Condensed" w:cs="Barlow Semi Condensed" w:eastAsia="Barlow Semi Condensed" w:hAnsi="Barlow Semi Condensed"/>
          <w:sz w:val="24"/>
          <w:szCs w:val="24"/>
        </w:rPr>
        <w:t xml:space="preserve">, che è tutt'altro.</w:t>
      </w:r>
    </w:p>
    <w:p>
      <w:pPr>
        <w:spacing w:after="120" w:line="276"/>
        <w:jc w:val="both"/>
      </w:pPr>
      <w:r>
        <w:rPr>
          <w:rFonts w:ascii="Barlow Semi Condensed" w:cs="Barlow Semi Condensed" w:eastAsia="Barlow Semi Condensed" w:hAnsi="Barlow Semi Condensed"/>
          <w:b/>
          <w:bCs/>
          <w:sz w:val="24"/>
          <w:szCs w:val="24"/>
        </w:rPr>
        <w:t xml:space="preserve">Lo zero di H2 non è una promozione.</w:t>
      </w:r>
      <w:r>
        <w:rPr>
          <w:rFonts w:ascii="Barlow Semi Condensed" w:cs="Barlow Semi Condensed" w:eastAsia="Barlow Semi Condensed" w:hAnsi="Barlow Semi Condensed"/>
          <w:sz w:val="24"/>
          <w:szCs w:val="24"/>
        </w:rPr>
        <w:t xml:space="preserve"> H2 non ha incompatibilità perché **è quasi</w:t>
      </w:r>
    </w:p>
    <w:p>
      <w:pPr>
        <w:spacing w:after="120" w:line="276"/>
        <w:jc w:val="both"/>
      </w:pPr>
      <w:r>
        <w:rPr>
          <w:rFonts w:ascii="Barlow Semi Condensed" w:cs="Barlow Semi Condensed" w:eastAsia="Barlow Semi Condensed" w:hAnsi="Barlow Semi Condensed"/>
          <w:sz w:val="24"/>
          <w:szCs w:val="24"/>
        </w:rPr>
        <w:t xml:space="preserve">inattaccabile con gli atti esistenti** — non perché sia sostenuta. È il difetto</w:t>
      </w:r>
    </w:p>
    <w:p>
      <w:pPr>
        <w:spacing w:after="120" w:line="276"/>
        <w:jc w:val="both"/>
      </w:pPr>
      <w:r>
        <w:rPr>
          <w:rFonts w:ascii="Barlow Semi Condensed" w:cs="Barlow Semi Condensed" w:eastAsia="Barlow Semi Condensed" w:hAnsi="Barlow Semi Condensed"/>
          <w:sz w:val="24"/>
          <w:szCs w:val="24"/>
        </w:rPr>
        <w:t xml:space="preserve">tipico dell'ipotesi debolmente specificata: sopravvive a tutto proprio perché</w:t>
      </w:r>
    </w:p>
    <w:p>
      <w:pPr>
        <w:spacing w:after="120" w:line="276"/>
        <w:jc w:val="both"/>
      </w:pPr>
      <w:r>
        <w:rPr>
          <w:rFonts w:ascii="Barlow Semi Condensed" w:cs="Barlow Semi Condensed" w:eastAsia="Barlow Semi Condensed" w:hAnsi="Barlow Semi Condensed"/>
          <w:sz w:val="24"/>
          <w:szCs w:val="24"/>
        </w:rPr>
        <w:t xml:space="preserve">afferma poco. Chi volesse promuoverla dovrebbe prima </w:t>
      </w:r>
      <w:r>
        <w:rPr>
          <w:rFonts w:ascii="Barlow Semi Condensed" w:cs="Barlow Semi Condensed" w:eastAsia="Barlow Semi Condensed" w:hAnsi="Barlow Semi Condensed"/>
          <w:b/>
          <w:bCs/>
          <w:sz w:val="24"/>
          <w:szCs w:val="24"/>
        </w:rPr>
        <w:t xml:space="preserve">renderla più precisa</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dire </w:t>
      </w:r>
      <w:r>
        <w:rPr>
          <w:rFonts w:ascii="Barlow Semi Condensed" w:cs="Barlow Semi Condensed" w:eastAsia="Barlow Semi Condensed" w:hAnsi="Barlow Semi Condensed"/>
          <w:i/>
          <w:iCs/>
          <w:sz w:val="24"/>
          <w:szCs w:val="24"/>
        </w:rPr>
        <w:t xml:space="preserve">chi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quando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con quale atto</w:t>
      </w:r>
      <w:r>
        <w:rPr>
          <w:rFonts w:ascii="Barlow Semi Condensed" w:cs="Barlow Semi Condensed" w:eastAsia="Barlow Semi Condensed" w:hAnsi="Barlow Semi Condensed"/>
          <w:sz w:val="24"/>
          <w:szCs w:val="24"/>
        </w:rPr>
        <w:t xml:space="preserve"> — e a quel punto tornerebbe attaccabile.</w:t>
      </w:r>
    </w:p>
    <w:p>
      <w:pPr>
        <w:spacing w:after="120" w:line="276"/>
        <w:jc w:val="both"/>
      </w:pPr>
      <w:r>
        <w:rPr>
          <w:rFonts w:ascii="Barlow Semi Condensed" w:cs="Barlow Semi Condensed" w:eastAsia="Barlow Semi Condensed" w:hAnsi="Barlow Semi Condensed"/>
          <w:sz w:val="24"/>
          <w:szCs w:val="24"/>
        </w:rPr>
        <w:t xml:space="preserve">Un'ipotesi che non si può smentire non è una vincitrice: è una domanda mal posta.</w:t>
      </w:r>
    </w:p>
    <w:p>
      <w:pPr>
        <w:spacing w:after="120" w:line="276"/>
        <w:jc w:val="both"/>
      </w:pPr>
      <w:r>
        <w:rPr>
          <w:rFonts w:ascii="Barlow Semi Condensed" w:cs="Barlow Semi Condensed" w:eastAsia="Barlow Semi Condensed" w:hAnsi="Barlow Semi Condensed"/>
          <w:b/>
          <w:bCs/>
          <w:sz w:val="24"/>
          <w:szCs w:val="24"/>
        </w:rPr>
        <w:t xml:space="preserve">Il conteggio non pesa i gradi.</w:t>
      </w:r>
      <w:r>
        <w:rPr>
          <w:rFonts w:ascii="Barlow Semi Condensed" w:cs="Barlow Semi Condensed" w:eastAsia="Barlow Semi Condensed" w:hAnsi="Barlow Semi Condensed"/>
          <w:sz w:val="24"/>
          <w:szCs w:val="24"/>
        </w:rPr>
        <w:t xml:space="preserve"> Un urto contro un Livello A e uno contro uno</w:t>
      </w:r>
    </w:p>
    <w:p>
      <w:pPr>
        <w:spacing w:after="120" w:line="276"/>
        <w:jc w:val="both"/>
      </w:pPr>
      <w:r>
        <w:rPr>
          <w:rFonts w:ascii="Barlow Semi Condensed" w:cs="Barlow Semi Condensed" w:eastAsia="Barlow Semi Condensed" w:hAnsi="Barlow Semi Condensed"/>
          <w:sz w:val="24"/>
          <w:szCs w:val="24"/>
        </w:rPr>
        <w:t xml:space="preserve">Stato Zero di robustezza modesta valgono, nella colonna, allo stesso modo. Non li</w:t>
      </w:r>
    </w:p>
    <w:p>
      <w:pPr>
        <w:spacing w:after="120" w:line="276"/>
        <w:jc w:val="both"/>
      </w:pPr>
      <w:r>
        <w:rPr>
          <w:rFonts w:ascii="Barlow Semi Condensed" w:cs="Barlow Semi Condensed" w:eastAsia="Barlow Semi Condensed" w:hAnsi="Barlow Semi Condensed"/>
          <w:sz w:val="24"/>
          <w:szCs w:val="24"/>
        </w:rPr>
        <w:t xml:space="preserve">ho ponderati </w:t>
      </w:r>
      <w:r>
        <w:rPr>
          <w:rFonts w:ascii="Barlow Semi Condensed" w:cs="Barlow Semi Condensed" w:eastAsia="Barlow Semi Condensed" w:hAnsi="Barlow Semi Condensed"/>
          <w:b/>
          <w:bCs/>
          <w:sz w:val="24"/>
          <w:szCs w:val="24"/>
        </w:rPr>
        <w:t xml:space="preserve">di proposito</w:t>
      </w:r>
      <w:r>
        <w:rPr>
          <w:rFonts w:ascii="Barlow Semi Condensed" w:cs="Barlow Semi Condensed" w:eastAsia="Barlow Semi Condensed" w:hAnsi="Barlow Semi Condensed"/>
          <w:sz w:val="24"/>
          <w:szCs w:val="24"/>
        </w:rPr>
        <w:t xml:space="preserve">: ogni schema di pesi che avrei potuto scegliere</w:t>
      </w:r>
    </w:p>
    <w:p>
      <w:pPr>
        <w:spacing w:after="120" w:line="276"/>
        <w:jc w:val="both"/>
      </w:pPr>
      <w:r>
        <w:rPr>
          <w:rFonts w:ascii="Barlow Semi Condensed" w:cs="Barlow Semi Condensed" w:eastAsia="Barlow Semi Condensed" w:hAnsi="Barlow Semi Condensed"/>
          <w:sz w:val="24"/>
          <w:szCs w:val="24"/>
        </w:rPr>
        <w:t xml:space="preserve">avrebbe deciso il risultato prima delle evidenze, ed è l'errore che quest'opera ha</w:t>
      </w:r>
    </w:p>
    <w:p>
      <w:pPr>
        <w:spacing w:after="120" w:line="276"/>
        <w:jc w:val="both"/>
      </w:pPr>
      <w:r>
        <w:rPr>
          <w:rFonts w:ascii="Barlow Semi Condensed" w:cs="Barlow Semi Condensed" w:eastAsia="Barlow Semi Condensed" w:hAnsi="Barlow Semi Condensed"/>
          <w:sz w:val="24"/>
          <w:szCs w:val="24"/>
        </w:rPr>
        <w:t xml:space="preserve">già commesso una volta e ritirato. La colonna va dunque letta **insieme alla</w:t>
      </w:r>
    </w:p>
    <w:p>
      <w:pPr>
        <w:spacing w:after="120" w:line="276"/>
        <w:jc w:val="both"/>
      </w:pPr>
      <w:r>
        <w:rPr>
          <w:rFonts w:ascii="Barlow Semi Condensed" w:cs="Barlow Semi Condensed" w:eastAsia="Barlow Semi Condensed" w:hAnsi="Barlow Semi Condensed"/>
          <w:sz w:val="24"/>
          <w:szCs w:val="24"/>
        </w:rPr>
        <w:t xml:space="preserve">natura degli urti**, che è indicata a fianco — e la lettura, in un caso, la rovescia:</w:t>
      </w:r>
    </w:p>
    <w:p>
      <w:pPr>
        <w:spacing w:after="120" w:line="276"/>
        <w:jc w:val="both"/>
      </w:pPr>
      <w:r>
        <w:rPr>
          <w:rFonts w:ascii="Barlow Semi Condensed" w:cs="Barlow Semi Condensed" w:eastAsia="Barlow Semi Condensed" w:hAnsi="Barlow Semi Condensed"/>
          <w:sz w:val="24"/>
          <w:szCs w:val="24"/>
        </w:rPr>
        <w:t xml:space="preserve">le due incompatibilità di H4 non equivalgono a due, perché una delle due è</w:t>
      </w:r>
    </w:p>
    <w:p>
      <w:pPr>
        <w:spacing w:after="120" w:line="276"/>
        <w:jc w:val="both"/>
      </w:pPr>
      <w:r>
        <w:rPr>
          <w:rFonts w:ascii="Barlow Semi Condensed" w:cs="Barlow Semi Condensed" w:eastAsia="Barlow Semi Condensed" w:hAnsi="Barlow Semi Condensed"/>
          <w:sz w:val="24"/>
          <w:szCs w:val="24"/>
        </w:rPr>
        <w:t xml:space="preserve">modesta e riapribile.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VIII. Che cosa chiuderebbe la matrice</w:t>
      </w:r>
    </w:p>
    <w:p>
      <w:pPr>
        <w:spacing w:after="120" w:line="276"/>
        <w:jc w:val="both"/>
      </w:pPr>
      <w:r>
        <w:rPr>
          <w:rFonts w:ascii="Barlow Semi Condensed" w:cs="Barlow Semi Condensed" w:eastAsia="Barlow Semi Condensed" w:hAnsi="Barlow Semi Condensed"/>
          <w:sz w:val="24"/>
          <w:szCs w:val="24"/>
        </w:rPr>
        <w:t xml:space="preserve">Le celle da riempire, in ordine di potere discriminante.</w:t>
      </w:r>
    </w:p>
    <w:p>
      <w:pPr>
        <w:spacing w:after="120" w:line="276"/>
        <w:jc w:val="both"/>
      </w:pPr>
      <w:r>
        <w:rPr>
          <w:rFonts w:ascii="Barlow Semi Condensed" w:cs="Barlow Semi Condensed" w:eastAsia="Barlow Semi Condensed" w:hAnsi="Barlow Semi Condensed"/>
          <w:b/>
          <w:bCs/>
          <w:sz w:val="24"/>
          <w:szCs w:val="24"/>
        </w:rPr>
        <w:t xml:space="preserve">1. Il «quando» della sabbia.</w:t>
      </w:r>
      <w:r>
        <w:rPr>
          <w:rFonts w:ascii="Barlow Semi Condensed" w:cs="Barlow Semi Condensed" w:eastAsia="Barlow Semi Condensed" w:hAnsi="Barlow Semi Condensed"/>
          <w:sz w:val="24"/>
          <w:szCs w:val="24"/>
        </w:rPr>
        <w:t xml:space="preserve"> Riesame geologico-forense moderno dei campioni —</w:t>
      </w:r>
    </w:p>
    <w:p>
      <w:pPr>
        <w:spacing w:after="120" w:line="276"/>
        <w:jc w:val="both"/>
      </w:pPr>
      <w:r>
        <w:rPr>
          <w:rFonts w:ascii="Barlow Semi Condensed" w:cs="Barlow Semi Condensed" w:eastAsia="Barlow Semi Condensed" w:hAnsi="Barlow Semi Condensed"/>
          <w:sz w:val="24"/>
          <w:szCs w:val="24"/>
        </w:rPr>
        <w:t xml:space="preserve">granulometrie, mineralogia, microfossili — e, per quanto possibile, ogni elemento</w:t>
      </w:r>
    </w:p>
    <w:p>
      <w:pPr>
        <w:spacing w:after="120" w:line="276"/>
        <w:jc w:val="both"/>
      </w:pPr>
      <w:r>
        <w:rPr>
          <w:rFonts w:ascii="Barlow Semi Condensed" w:cs="Barlow Semi Condensed" w:eastAsia="Barlow Semi Condensed" w:hAnsi="Barlow Semi Condensed"/>
          <w:sz w:val="24"/>
          <w:szCs w:val="24"/>
        </w:rPr>
        <w:t xml:space="preserve">che colleghi il deposito a una finestra temporale. **È l'unico atto che possa</w:t>
      </w:r>
    </w:p>
    <w:p>
      <w:pPr>
        <w:spacing w:after="120" w:line="276"/>
        <w:jc w:val="both"/>
      </w:pPr>
      <w:r>
        <w:rPr>
          <w:rFonts w:ascii="Barlow Semi Condensed" w:cs="Barlow Semi Condensed" w:eastAsia="Barlow Semi Condensed" w:hAnsi="Barlow Semi Condensed"/>
          <w:sz w:val="24"/>
          <w:szCs w:val="24"/>
        </w:rPr>
        <w:t xml:space="preserve">ordinare le cinque ipotesi**, e riguarda reperti esistenti.</w:t>
      </w:r>
    </w:p>
    <w:p>
      <w:pPr>
        <w:spacing w:after="120" w:line="276"/>
        <w:jc w:val="both"/>
      </w:pPr>
      <w:r>
        <w:rPr>
          <w:rFonts w:ascii="Barlow Semi Condensed" w:cs="Barlow Semi Condensed" w:eastAsia="Barlow Semi Condensed" w:hAnsi="Barlow Semi Condensed"/>
          <w:b/>
          <w:bCs/>
          <w:sz w:val="24"/>
          <w:szCs w:val="24"/>
        </w:rPr>
        <w:t xml:space="preserve">2. Il poligono dei luoghi.</w:t>
      </w:r>
      <w:r>
        <w:rPr>
          <w:rFonts w:ascii="Barlow Semi Condensed" w:cs="Barlow Semi Condensed" w:eastAsia="Barlow Semi Condensed" w:hAnsi="Barlow Semi Condensed"/>
          <w:sz w:val="24"/>
          <w:szCs w:val="24"/>
        </w:rPr>
        <w:t xml:space="preserve"> La sintesi di tutte le tracce materiali — sabbie,</w:t>
      </w:r>
    </w:p>
    <w:p>
      <w:pPr>
        <w:spacing w:after="120" w:line="276"/>
        <w:jc w:val="both"/>
      </w:pPr>
      <w:r>
        <w:rPr>
          <w:rFonts w:ascii="Barlow Semi Condensed" w:cs="Barlow Semi Condensed" w:eastAsia="Barlow Semi Condensed" w:hAnsi="Barlow Semi Condensed"/>
          <w:sz w:val="24"/>
          <w:szCs w:val="24"/>
        </w:rPr>
        <w:t xml:space="preserve">pollini, fibre, bitumi — in un perimetro di compatibilità geografica, da</w:t>
      </w:r>
    </w:p>
    <w:p>
      <w:pPr>
        <w:spacing w:after="120" w:line="276"/>
        <w:jc w:val="both"/>
      </w:pPr>
      <w:r>
        <w:rPr>
          <w:rFonts w:ascii="Barlow Semi Condensed" w:cs="Barlow Semi Condensed" w:eastAsia="Barlow Semi Condensed" w:hAnsi="Barlow Semi Condensed"/>
          <w:sz w:val="24"/>
          <w:szCs w:val="24"/>
        </w:rPr>
        <w:t xml:space="preserve">confrontare con l'istruttoria: **via Montalcini dentro o fuori, e con quali</w:t>
      </w:r>
    </w:p>
    <w:p>
      <w:pPr>
        <w:spacing w:after="120" w:line="276"/>
        <w:jc w:val="both"/>
      </w:pPr>
      <w:r>
        <w:rPr>
          <w:rFonts w:ascii="Barlow Semi Condensed" w:cs="Barlow Semi Condensed" w:eastAsia="Barlow Semi Condensed" w:hAnsi="Barlow Semi Condensed"/>
          <w:sz w:val="24"/>
          <w:szCs w:val="24"/>
        </w:rPr>
        <w:t xml:space="preserve">margini**. Nessun luogo nominato: un perimetro misurato.</w:t>
      </w:r>
    </w:p>
    <w:p>
      <w:pPr>
        <w:spacing w:after="120" w:line="276"/>
        <w:jc w:val="both"/>
      </w:pPr>
      <w:r>
        <w:rPr>
          <w:rFonts w:ascii="Barlow Semi Condensed" w:cs="Barlow Semi Condensed" w:eastAsia="Barlow Semi Condensed" w:hAnsi="Barlow Semi Condensed"/>
          <w:b/>
          <w:bCs/>
          <w:sz w:val="24"/>
          <w:szCs w:val="24"/>
        </w:rPr>
        <w:t xml:space="preserve">3. La specificazione di H2.</w:t>
      </w:r>
      <w:r>
        <w:rPr>
          <w:rFonts w:ascii="Barlow Semi Condensed" w:cs="Barlow Semi Condensed" w:eastAsia="Barlow Semi Condensed" w:hAnsi="Barlow Semi Condensed"/>
          <w:sz w:val="24"/>
          <w:szCs w:val="24"/>
        </w:rPr>
        <w:t xml:space="preserve"> Non un atto di laboratorio ma di scrittura: chi</w:t>
      </w:r>
    </w:p>
    <w:p>
      <w:pPr>
        <w:spacing w:after="120" w:line="276"/>
        <w:jc w:val="both"/>
      </w:pPr>
      <w:r>
        <w:rPr>
          <w:rFonts w:ascii="Barlow Semi Condensed" w:cs="Barlow Semi Condensed" w:eastAsia="Barlow Semi Condensed" w:hAnsi="Barlow Semi Condensed"/>
          <w:sz w:val="24"/>
          <w:szCs w:val="24"/>
        </w:rPr>
        <w:t xml:space="preserve">sostenga la conoscenza interna allargata la enunci in forma smentibile — quale</w:t>
      </w:r>
    </w:p>
    <w:p>
      <w:pPr>
        <w:spacing w:after="120" w:line="276"/>
        <w:jc w:val="both"/>
      </w:pPr>
      <w:r>
        <w:rPr>
          <w:rFonts w:ascii="Barlow Semi Condensed" w:cs="Barlow Semi Condensed" w:eastAsia="Barlow Semi Condensed" w:hAnsi="Barlow Semi Condensed"/>
          <w:sz w:val="24"/>
          <w:szCs w:val="24"/>
        </w:rPr>
        <w:t xml:space="preserve">livello, in quale settimana, con quale atto ne sarebbe derivata la traccia. Finché</w:t>
      </w:r>
    </w:p>
    <w:p>
      <w:pPr>
        <w:spacing w:after="120" w:line="276"/>
        <w:jc w:val="both"/>
      </w:pPr>
      <w:r>
        <w:rPr>
          <w:rFonts w:ascii="Barlow Semi Condensed" w:cs="Barlow Semi Condensed" w:eastAsia="Barlow Semi Condensed" w:hAnsi="Barlow Semi Condensed"/>
          <w:sz w:val="24"/>
          <w:szCs w:val="24"/>
        </w:rPr>
        <w:t xml:space="preserve">resta generica, la matrice non può né promuoverla né escluderla, e la sua</w:t>
      </w:r>
    </w:p>
    <w:p>
      <w:pPr>
        <w:spacing w:after="120" w:line="276"/>
        <w:jc w:val="both"/>
      </w:pPr>
      <w:r>
        <w:rPr>
          <w:rFonts w:ascii="Barlow Semi Condensed" w:cs="Barlow Semi Condensed" w:eastAsia="Barlow Semi Condensed" w:hAnsi="Barlow Semi Condensed"/>
          <w:sz w:val="24"/>
          <w:szCs w:val="24"/>
        </w:rPr>
        <w:t xml:space="preserve">sopravvivenza non significa nulla.</w:t>
      </w:r>
    </w:p>
    <w:p>
      <w:pPr>
        <w:spacing w:after="120" w:line="276"/>
        <w:jc w:val="both"/>
      </w:pPr>
      <w:r>
        <w:rPr>
          <w:rFonts w:ascii="Barlow Semi Condensed" w:cs="Barlow Semi Condensed" w:eastAsia="Barlow Semi Condensed" w:hAnsi="Barlow Semi Condensed"/>
          <w:b/>
          <w:bCs/>
          <w:sz w:val="24"/>
          <w:szCs w:val="24"/>
        </w:rPr>
        <w:t xml:space="preserve">4. L'acustica e la fotogrammetria.</w:t>
      </w:r>
      <w:r>
        <w:rPr>
          <w:rFonts w:ascii="Barlow Semi Condensed" w:cs="Barlow Semi Condensed" w:eastAsia="Barlow Semi Condensed" w:hAnsi="Barlow Semi Condensed"/>
          <w:sz w:val="24"/>
          <w:szCs w:val="24"/>
        </w:rPr>
        <w:t xml:space="preserve"> I rumori descritti negli scritti contro</w:t>
      </w:r>
    </w:p>
    <w:p>
      <w:pPr>
        <w:spacing w:after="120" w:line="276"/>
        <w:jc w:val="both"/>
      </w:pPr>
      <w:r>
        <w:rPr>
          <w:rFonts w:ascii="Barlow Semi Condensed" w:cs="Barlow Semi Condensed" w:eastAsia="Barlow Semi Condensed" w:hAnsi="Barlow Semi Condensed"/>
          <w:sz w:val="24"/>
          <w:szCs w:val="24"/>
        </w:rPr>
        <w:t xml:space="preserve">l'acustica reale dei luoghi; la fotogrammetria del fondale della fotografia della</w:t>
      </w:r>
    </w:p>
    <w:p>
      <w:pPr>
        <w:spacing w:after="120" w:line="276"/>
        <w:jc w:val="both"/>
      </w:pPr>
      <w:r>
        <w:rPr>
          <w:rFonts w:ascii="Barlow Semi Condensed" w:cs="Barlow Semi Condensed" w:eastAsia="Barlow Semi Condensed" w:hAnsi="Barlow Semi Condensed"/>
          <w:sz w:val="24"/>
          <w:szCs w:val="24"/>
        </w:rPr>
        <w:t xml:space="preserve">prigionia contro le caratteristiche note dell'appartamento. Sono verifiche di</w:t>
      </w:r>
    </w:p>
    <w:p>
      <w:pPr>
        <w:spacing w:after="120" w:line="276"/>
        <w:jc w:val="both"/>
      </w:pPr>
      <w:r>
        <w:rPr>
          <w:rFonts w:ascii="Barlow Semi Condensed" w:cs="Barlow Semi Condensed" w:eastAsia="Barlow Semi Condensed" w:hAnsi="Barlow Semi Condensed"/>
          <w:sz w:val="24"/>
          <w:szCs w:val="24"/>
        </w:rPr>
        <w:t xml:space="preserve">compatibilità del </w:t>
      </w:r>
      <w:r>
        <w:rPr>
          <w:rFonts w:ascii="Barlow Semi Condensed" w:cs="Barlow Semi Condensed" w:eastAsia="Barlow Semi Condensed" w:hAnsi="Barlow Semi Condensed"/>
          <w:b/>
          <w:bCs/>
          <w:sz w:val="24"/>
          <w:szCs w:val="24"/>
        </w:rPr>
        <w:t xml:space="preserve">luogo giudicato</w:t>
      </w:r>
      <w:r>
        <w:rPr>
          <w:rFonts w:ascii="Barlow Semi Condensed" w:cs="Barlow Semi Condensed" w:eastAsia="Barlow Semi Condensed" w:hAnsi="Barlow Semi Condensed"/>
          <w:sz w:val="24"/>
          <w:szCs w:val="24"/>
        </w:rPr>
        <w:t xml:space="preserve">: la conferma è un esito, non un'ovvietà.</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IX. Chiusura</w:t>
      </w:r>
    </w:p>
    <w:p>
      <w:pPr>
        <w:spacing w:after="120" w:line="276"/>
        <w:jc w:val="both"/>
      </w:pPr>
      <w:r>
        <w:rPr>
          <w:rFonts w:ascii="Barlow Semi Condensed" w:cs="Barlow Semi Condensed" w:eastAsia="Barlow Semi Condensed" w:hAnsi="Barlow Semi Condensed"/>
          <w:sz w:val="24"/>
          <w:szCs w:val="24"/>
        </w:rPr>
        <w:t xml:space="preserve">La matrice non ha prodotto una tesi, e non doveva.</w:t>
      </w:r>
    </w:p>
    <w:p>
      <w:pPr>
        <w:spacing w:after="120" w:line="276"/>
        <w:jc w:val="both"/>
      </w:pPr>
      <w:r>
        <w:rPr>
          <w:rFonts w:ascii="Barlow Semi Condensed" w:cs="Barlow Semi Condensed" w:eastAsia="Barlow Semi Condensed" w:hAnsi="Barlow Semi Condensed"/>
          <w:sz w:val="24"/>
          <w:szCs w:val="24"/>
        </w:rPr>
        <w:t xml:space="preserve">Ha prodotto tre cose. </w:t>
      </w:r>
      <w:r>
        <w:rPr>
          <w:rFonts w:ascii="Barlow Semi Condensed" w:cs="Barlow Semi Condensed" w:eastAsia="Barlow Semi Condensed" w:hAnsi="Barlow Semi Condensed"/>
          <w:b/>
          <w:bCs/>
          <w:sz w:val="24"/>
          <w:szCs w:val="24"/>
        </w:rPr>
        <w:t xml:space="preserve">Ha cancellato</w:t>
      </w:r>
      <w:r>
        <w:rPr>
          <w:rFonts w:ascii="Barlow Semi Condensed" w:cs="Barlow Semi Condensed" w:eastAsia="Barlow Semi Condensed" w:hAnsi="Barlow Semi Condensed"/>
          <w:sz w:val="24"/>
          <w:szCs w:val="24"/>
        </w:rPr>
        <w:t xml:space="preserve"> i due fatti più adoperati nel discorso</w:t>
      </w:r>
    </w:p>
    <w:p>
      <w:pPr>
        <w:spacing w:after="120" w:line="276"/>
        <w:jc w:val="both"/>
      </w:pPr>
      <w:r>
        <w:rPr>
          <w:rFonts w:ascii="Barlow Semi Condensed" w:cs="Barlow Semi Condensed" w:eastAsia="Barlow Semi Condensed" w:hAnsi="Barlow Semi Condensed"/>
          <w:sz w:val="24"/>
          <w:szCs w:val="24"/>
        </w:rPr>
        <w:t xml:space="preserve">pubblico sulla custodia, mostrando che rispetto ad essa non discriminano nulla —</w:t>
      </w:r>
    </w:p>
    <w:p>
      <w:pPr>
        <w:spacing w:after="120" w:line="276"/>
        <w:jc w:val="both"/>
      </w:pPr>
      <w:r>
        <w:rPr>
          <w:rFonts w:ascii="Barlow Semi Condensed" w:cs="Barlow Semi Condensed" w:eastAsia="Barlow Semi Condensed" w:hAnsi="Barlow Semi Condensed"/>
          <w:sz w:val="24"/>
          <w:szCs w:val="24"/>
        </w:rPr>
        <w:t xml:space="preserve">il che non li svaluta, li ricolloca. </w:t>
      </w:r>
      <w:r>
        <w:rPr>
          <w:rFonts w:ascii="Barlow Semi Condensed" w:cs="Barlow Semi Condensed" w:eastAsia="Barlow Semi Condensed" w:hAnsi="Barlow Semi Condensed"/>
          <w:b/>
          <w:bCs/>
          <w:sz w:val="24"/>
          <w:szCs w:val="24"/>
        </w:rPr>
        <w:t xml:space="preserve">Ha isolato</w:t>
      </w:r>
      <w:r>
        <w:rPr>
          <w:rFonts w:ascii="Barlow Semi Condensed" w:cs="Barlow Semi Condensed" w:eastAsia="Barlow Semi Condensed" w:hAnsi="Barlow Semi Condensed"/>
          <w:sz w:val="24"/>
          <w:szCs w:val="24"/>
        </w:rPr>
        <w:t xml:space="preserve"> l'unica evidenza materiale</w:t>
      </w:r>
    </w:p>
    <w:p>
      <w:pPr>
        <w:spacing w:after="120" w:line="276"/>
        <w:jc w:val="both"/>
      </w:pPr>
      <w:r>
        <w:rPr>
          <w:rFonts w:ascii="Barlow Semi Condensed" w:cs="Barlow Semi Condensed" w:eastAsia="Barlow Semi Condensed" w:hAnsi="Barlow Semi Condensed"/>
          <w:sz w:val="24"/>
          <w:szCs w:val="24"/>
        </w:rPr>
        <w:t xml:space="preserve">capace di ordinare il campo, e ha mostrato che è ferma su una cella che una</w:t>
      </w:r>
    </w:p>
    <w:p>
      <w:pPr>
        <w:spacing w:after="120" w:line="276"/>
        <w:jc w:val="both"/>
      </w:pPr>
      <w:r>
        <w:rPr>
          <w:rFonts w:ascii="Barlow Semi Condensed" w:cs="Barlow Semi Condensed" w:eastAsia="Barlow Semi Condensed" w:hAnsi="Barlow Semi Condensed"/>
          <w:sz w:val="24"/>
          <w:szCs w:val="24"/>
        </w:rPr>
        <w:t xml:space="preserve">perizia potrebbe riempire. E </w:t>
      </w:r>
      <w:r>
        <w:rPr>
          <w:rFonts w:ascii="Barlow Semi Condensed" w:cs="Barlow Semi Condensed" w:eastAsia="Barlow Semi Condensed" w:hAnsi="Barlow Semi Condensed"/>
          <w:b/>
          <w:bCs/>
          <w:sz w:val="24"/>
          <w:szCs w:val="24"/>
        </w:rPr>
        <w:t xml:space="preserve">ha smascherato la propria ipotesi più comoda</w:t>
      </w:r>
      <w:r>
        <w:rPr>
          <w:rFonts w:ascii="Barlow Semi Condensed" w:cs="Barlow Semi Condensed" w:eastAsia="Barlow Semi Condensed" w:hAnsi="Barlow Semi Condensed"/>
          <w:sz w:val="24"/>
          <w:szCs w:val="24"/>
        </w:rPr>
        <w:t xml:space="preserve">: H2</w:t>
      </w:r>
    </w:p>
    <w:p>
      <w:pPr>
        <w:spacing w:after="120" w:line="276"/>
        <w:jc w:val="both"/>
      </w:pPr>
      <w:r>
        <w:rPr>
          <w:rFonts w:ascii="Barlow Semi Condensed" w:cs="Barlow Semi Condensed" w:eastAsia="Barlow Semi Condensed" w:hAnsi="Barlow Semi Condensed"/>
          <w:sz w:val="24"/>
          <w:szCs w:val="24"/>
        </w:rPr>
        <w:t xml:space="preserve">sopravvive a tutto perché dice troppo poco, e la sua sopravvivenza è un difetto</w:t>
      </w:r>
    </w:p>
    <w:p>
      <w:pPr>
        <w:spacing w:after="120" w:line="276"/>
        <w:jc w:val="both"/>
      </w:pPr>
      <w:r>
        <w:rPr>
          <w:rFonts w:ascii="Barlow Semi Condensed" w:cs="Barlow Semi Condensed" w:eastAsia="Barlow Semi Condensed" w:hAnsi="Barlow Semi Condensed"/>
          <w:sz w:val="24"/>
          <w:szCs w:val="24"/>
        </w:rPr>
        <w:t xml:space="preserve">suo, non un merito.</w:t>
      </w:r>
    </w:p>
    <w:p>
      <w:pPr>
        <w:spacing w:after="120" w:line="276"/>
        <w:jc w:val="both"/>
      </w:pPr>
      <w:r>
        <w:rPr>
          <w:rFonts w:ascii="Barlow Semi Condensed" w:cs="Barlow Semi Condensed" w:eastAsia="Barlow Semi Condensed" w:hAnsi="Barlow Semi Condensed"/>
          <w:sz w:val="24"/>
          <w:szCs w:val="24"/>
        </w:rPr>
        <w:t xml:space="preserve">È il massimo che un'analisi possa dare quando le evidenze sono queste. Il resto</w:t>
      </w:r>
    </w:p>
    <w:p>
      <w:pPr>
        <w:spacing w:after="120" w:line="276"/>
        <w:jc w:val="both"/>
      </w:pPr>
      <w:r>
        <w:rPr>
          <w:rFonts w:ascii="Barlow Semi Condensed" w:cs="Barlow Semi Condensed" w:eastAsia="Barlow Semi Condensed" w:hAnsi="Barlow Semi Condensed"/>
          <w:sz w:val="24"/>
          <w:szCs w:val="24"/>
        </w:rPr>
        <w:t xml:space="preserve">non si ottiene ragionando meglio: si ottiene **portando in laboratorio un paio di</w:t>
      </w:r>
    </w:p>
    <w:p>
      <w:pPr>
        <w:spacing w:after="120" w:line="276"/>
        <w:jc w:val="both"/>
      </w:pPr>
      <w:r>
        <w:rPr>
          <w:rFonts w:ascii="Barlow Semi Condensed" w:cs="Barlow Semi Condensed" w:eastAsia="Barlow Semi Condensed" w:hAnsi="Barlow Semi Condensed"/>
          <w:sz w:val="24"/>
          <w:szCs w:val="24"/>
        </w:rPr>
        <w:t xml:space="preserve">pantaloni conservati da quarantott'anni**, e domandando alla sabbia quando vi si</w:t>
      </w:r>
    </w:p>
    <w:p>
      <w:pPr>
        <w:spacing w:after="120" w:line="276"/>
        <w:jc w:val="both"/>
      </w:pPr>
      <w:r>
        <w:rPr>
          <w:rFonts w:ascii="Barlow Semi Condensed" w:cs="Barlow Semi Condensed" w:eastAsia="Barlow Semi Condensed" w:hAnsi="Barlow Semi Condensed"/>
          <w:sz w:val="24"/>
          <w:szCs w:val="24"/>
        </w:rPr>
        <w:t xml:space="preserve">posò.</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Annotazione, stessa data — un errore di conteggio, corretto e registrato</w:t>
      </w:r>
    </w:p>
    <w:p>
      <w:pPr>
        <w:spacing w:after="120" w:line="276"/>
        <w:jc w:val="both"/>
      </w:pPr>
      <w:r>
        <w:rPr>
          <w:rFonts w:ascii="Barlow Semi Condensed" w:cs="Barlow Semi Condensed" w:eastAsia="Barlow Semi Condensed" w:hAnsi="Barlow Semi Condensed"/>
          <w:sz w:val="24"/>
          <w:szCs w:val="24"/>
        </w:rPr>
        <w:t xml:space="preserve">La prima stesura della colonna del §VII assegnava a **H5 quattro</w:t>
      </w:r>
    </w:p>
    <w:p>
      <w:pPr>
        <w:spacing w:after="120" w:line="276"/>
        <w:jc w:val="both"/>
      </w:pPr>
      <w:r>
        <w:rPr>
          <w:rFonts w:ascii="Barlow Semi Condensed" w:cs="Barlow Semi Condensed" w:eastAsia="Barlow Semi Condensed" w:hAnsi="Barlow Semi Condensed"/>
          <w:sz w:val="24"/>
          <w:szCs w:val="24"/>
        </w:rPr>
        <w:t xml:space="preserve">incompatibilità</w:t>
      </w:r>
      <w:r>
        <w:rPr>
          <w:rFonts w:ascii="Barlow Semi Condensed" w:cs="Barlow Semi Condensed" w:eastAsia="Barlow Semi Condensed" w:hAnsi="Barlow Semi Condensed"/>
          <w:b/>
          <w:bCs/>
          <w:sz w:val="24"/>
          <w:szCs w:val="24"/>
        </w:rPr>
        <w:t xml:space="preserve">; la tavola del §IV ne porta </w:t>
      </w:r>
      <w:r>
        <w:rPr>
          <w:rFonts w:ascii="Barlow Semi Condensed" w:cs="Barlow Semi Condensed" w:eastAsia="Barlow Semi Condensed" w:hAnsi="Barlow Semi Condensed"/>
          <w:sz w:val="24"/>
          <w:szCs w:val="24"/>
        </w:rPr>
        <w:t xml:space="preserve">cinque** (E1, E2, E4, E7, E9). Il</w:t>
      </w:r>
    </w:p>
    <w:p>
      <w:pPr>
        <w:spacing w:after="120" w:line="276"/>
        <w:jc w:val="both"/>
      </w:pPr>
      <w:r>
        <w:rPr>
          <w:rFonts w:ascii="Barlow Semi Condensed" w:cs="Barlow Semi Condensed" w:eastAsia="Barlow Semi Condensed" w:hAnsi="Barlow Semi Condensed"/>
          <w:sz w:val="24"/>
          <w:szCs w:val="24"/>
        </w:rPr>
        <w:t xml:space="preserve">controllo aritmetico sulla tavola — rifatto a macchina proprio perché un</w:t>
      </w:r>
    </w:p>
    <w:p>
      <w:pPr>
        <w:spacing w:after="120" w:line="276"/>
        <w:jc w:val="both"/>
      </w:pPr>
      <w:r>
        <w:rPr>
          <w:rFonts w:ascii="Barlow Semi Condensed" w:cs="Barlow Semi Condensed" w:eastAsia="Barlow Semi Condensed" w:hAnsi="Barlow Semi Condensed"/>
          <w:sz w:val="24"/>
          <w:szCs w:val="24"/>
        </w:rPr>
        <w:t xml:space="preserve">conteggio scritto a mano è il luogo in cui questa specie di errore prospera — ha</w:t>
      </w:r>
    </w:p>
    <w:p>
      <w:pPr>
        <w:spacing w:after="120" w:line="276"/>
        <w:jc w:val="both"/>
      </w:pPr>
      <w:r>
        <w:rPr>
          <w:rFonts w:ascii="Barlow Semi Condensed" w:cs="Barlow Semi Condensed" w:eastAsia="Barlow Semi Condensed" w:hAnsi="Barlow Semi Condensed"/>
          <w:sz w:val="24"/>
          <w:szCs w:val="24"/>
        </w:rPr>
        <w:t xml:space="preserve">restituito </w:t>
      </w:r>
      <w:r>
        <w:rPr>
          <w:rFonts w:ascii="Barlow Semi Condensed" w:cs="Barlow Semi Condensed" w:eastAsia="Barlow Semi Condensed" w:hAnsi="Barlow Semi Condensed"/>
          <w:b/>
          <w:bCs/>
          <w:sz w:val="24"/>
          <w:szCs w:val="24"/>
        </w:rPr>
        <w:t xml:space="preserve">H1 0 · H2 0 · H3 1 · H4 2 · H5 5</w:t>
      </w:r>
      <w:r>
        <w:rPr>
          <w:rFonts w:ascii="Barlow Semi Condensed" w:cs="Barlow Semi Condensed" w:eastAsia="Barlow Semi Condensed" w:hAnsi="Barlow Semi Condensed"/>
          <w:sz w:val="24"/>
          <w:szCs w:val="24"/>
        </w:rPr>
        <w:t xml:space="preserve">, e la colonna è stata allineata</w:t>
      </w:r>
    </w:p>
    <w:p>
      <w:pPr>
        <w:spacing w:after="120" w:line="276"/>
        <w:jc w:val="both"/>
      </w:pPr>
      <w:r>
        <w:rPr>
          <w:rFonts w:ascii="Barlow Semi Condensed" w:cs="Barlow Semi Condensed" w:eastAsia="Barlow Semi Condensed" w:hAnsi="Barlow Semi Condensed"/>
          <w:sz w:val="24"/>
          <w:szCs w:val="24"/>
        </w:rPr>
        <w:t xml:space="preserve">alla tavola e non viceversa.</w:t>
      </w:r>
    </w:p>
    <w:p>
      <w:pPr>
        <w:spacing w:after="120" w:line="276"/>
        <w:jc w:val="both"/>
      </w:pPr>
      <w:r>
        <w:rPr>
          <w:rFonts w:ascii="Barlow Semi Condensed" w:cs="Barlow Semi Condensed" w:eastAsia="Barlow Semi Condensed" w:hAnsi="Barlow Semi Condensed"/>
          <w:sz w:val="24"/>
          <w:szCs w:val="24"/>
        </w:rPr>
        <w:t xml:space="preserve">L'errore non cambiava l'ordine e non cambiava alcuna conclusione: cambiava la</w:t>
      </w:r>
    </w:p>
    <w:p>
      <w:pPr>
        <w:spacing w:after="120" w:line="276"/>
        <w:jc w:val="both"/>
      </w:pPr>
      <w:r>
        <w:rPr>
          <w:rFonts w:ascii="Barlow Semi Condensed" w:cs="Barlow Semi Condensed" w:eastAsia="Barlow Semi Condensed" w:hAnsi="Barlow Semi Condensed"/>
          <w:sz w:val="24"/>
          <w:szCs w:val="24"/>
        </w:rPr>
        <w:t xml:space="preserve">distanza fra l'ultima ipotesi e le altre, cioè proprio ciò che la tavola serve a</w:t>
      </w:r>
    </w:p>
    <w:p>
      <w:pPr>
        <w:spacing w:after="120" w:line="276"/>
        <w:jc w:val="both"/>
      </w:pPr>
      <w:r>
        <w:rPr>
          <w:rFonts w:ascii="Barlow Semi Condensed" w:cs="Barlow Semi Condensed" w:eastAsia="Barlow Semi Condensed" w:hAnsi="Barlow Semi Condensed"/>
          <w:sz w:val="24"/>
          <w:szCs w:val="24"/>
        </w:rPr>
        <w:t xml:space="preserve">mostrare. Si annota accanto, com'è regola in quest'opera, e non si sostituisce in</w:t>
      </w:r>
    </w:p>
    <w:p>
      <w:pPr>
        <w:spacing w:after="120" w:line="276"/>
        <w:jc w:val="both"/>
      </w:pPr>
      <w:r>
        <w:rPr>
          <w:rFonts w:ascii="Barlow Semi Condensed" w:cs="Barlow Semi Condensed" w:eastAsia="Barlow Semi Condensed" w:hAnsi="Barlow Semi Condensed"/>
          <w:sz w:val="24"/>
          <w:szCs w:val="24"/>
        </w:rPr>
        <w:t xml:space="preserve">silenzio: **una matrice che nasconde una propria correzione perde esattamente la</w:t>
      </w:r>
    </w:p>
    <w:p>
      <w:pPr>
        <w:spacing w:after="120" w:line="276"/>
        <w:jc w:val="both"/>
      </w:pPr>
      <w:r>
        <w:rPr>
          <w:rFonts w:ascii="Barlow Semi Condensed" w:cs="Barlow Semi Condensed" w:eastAsia="Barlow Semi Condensed" w:hAnsi="Barlow Semi Condensed"/>
          <w:sz w:val="24"/>
          <w:szCs w:val="24"/>
        </w:rPr>
        <w:t xml:space="preserve">proprietà per cui la si costruisce.**</w:t>
      </w:r>
    </w:p>
    <w:p>
      <w:pPr>
        <w:pStyle w:val="Heading3"/>
        <w:spacing w:after="80" w:before="240"/>
      </w:pPr>
      <w:r>
        <w:rPr>
          <w:rFonts w:ascii="Barlow Semi Condensed" w:cs="Barlow Semi Condensed" w:eastAsia="Barlow Semi Condensed" w:hAnsi="Barlow Semi Condensed"/>
          <w:sz w:val="24"/>
          <w:szCs w:val="24"/>
        </w:rPr>
        <w:t xml:space="preserve">Apparato grafico — Libro sedicesimo · La matrice della custodia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II: 2.181 parole in 9 sezioni; la più ampia è §7 VII. L'ordine che ne risulta, e i suoi limiti, con 419.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II: 45 paragrafi in 9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sedicesimo — Le tavole della custodia — III. Il quesito della sabbia</w:t>
      </w:r>
    </w:p>
    <w:p>
      <w:pPr>
        <w:pStyle w:val="Heading1"/>
        <w:spacing w:after="120" w:before="240"/>
      </w:pPr>
      <w:r>
        <w:rPr>
          <w:rFonts w:ascii="Barlow Semi Condensed" w:cs="Barlow Semi Condensed" w:eastAsia="Barlow Semi Condensed" w:hAnsi="Barlow Semi Condensed"/>
          <w:sz w:val="24"/>
          <w:szCs w:val="24"/>
        </w:rPr>
        <w:t xml:space="preserve">Il quesito della sabbia — bozza di quesito peritale per la cella aperta</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non in calce.*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questo documento, e che cosa non è.</w:t>
      </w:r>
      <w:r>
        <w:rPr>
          <w:rFonts w:ascii="Barlow Semi Condensed" w:cs="Barlow Semi Condensed" w:eastAsia="Barlow Semi Condensed" w:hAnsi="Barlow Semi Condensed"/>
          <w:i w:val="false"/>
          <w:iCs w:val="false"/>
          <w:sz w:val="24"/>
          <w:szCs w:val="24"/>
        </w:rPr>
        <w:t xml:space="preserve"> La matrice della custodia ha isolato una sola evidenza materiale capace di ordinare le ipotesi — la sabbia repertata sugli abiti — e ha mostrato che è ferma su una cella indeterminata: </w:t>
      </w:r>
      <w:r>
        <w:rPr>
          <w:rFonts w:ascii="Barlow Semi Condensed" w:cs="Barlow Semi Condensed" w:eastAsia="Barlow Semi Condensed" w:hAnsi="Barlow Semi Condensed"/>
          <w:b/>
          <w:bCs/>
          <w:i w:val="false"/>
          <w:iCs w:val="false"/>
          <w:sz w:val="24"/>
          <w:szCs w:val="24"/>
        </w:rPr>
        <w:t xml:space="preserve">il quando</w:t>
      </w:r>
      <w:r>
        <w:rPr>
          <w:rFonts w:ascii="Barlow Semi Condensed" w:cs="Barlow Semi Condensed" w:eastAsia="Barlow Semi Condensed" w:hAnsi="Barlow Semi Condensed"/>
          <w:i w:val="false"/>
          <w:iCs w:val="false"/>
          <w:sz w:val="24"/>
          <w:szCs w:val="24"/>
        </w:rPr>
        <w:t xml:space="preserve">. Quella cella non si riempie leggendo: si riempie con un esame. Questo documento </w:t>
      </w:r>
      <w:r>
        <w:rPr>
          <w:rFonts w:ascii="Barlow Semi Condensed" w:cs="Barlow Semi Condensed" w:eastAsia="Barlow Semi Condensed" w:hAnsi="Barlow Semi Condensed"/>
          <w:b/>
          <w:bCs/>
          <w:i w:val="false"/>
          <w:iCs w:val="false"/>
          <w:sz w:val="24"/>
          <w:szCs w:val="24"/>
        </w:rPr>
        <w:t xml:space="preserve">scrive l'esame</w:t>
      </w:r>
      <w:r>
        <w:rPr>
          <w:rFonts w:ascii="Barlow Semi Condensed" w:cs="Barlow Semi Condensed" w:eastAsia="Barlow Semi Condensed" w:hAnsi="Barlow Semi Condensed"/>
          <w:i w:val="false"/>
          <w:iCs w:val="false"/>
          <w:sz w:val="24"/>
          <w:szCs w:val="24"/>
        </w:rPr>
        <w:t xml:space="preserve">: i quesiti, nell'ordine, ciascuno con ciò che la sua risposta deciderebbe.  </w:t>
      </w:r>
      <w:r>
        <w:rPr>
          <w:rFonts w:ascii="Barlow Semi Condensed" w:cs="Barlow Semi Condensed" w:eastAsia="Barlow Semi Condensed" w:hAnsi="Barlow Semi Condensed"/>
          <w:b/>
          <w:bCs/>
          <w:i w:val="false"/>
          <w:iCs w:val="false"/>
          <w:sz w:val="24"/>
          <w:szCs w:val="24"/>
        </w:rPr>
        <w:t xml:space="preserve">Non è un atto e non ne ha la pretesa.</w:t>
      </w:r>
      <w:r>
        <w:rPr>
          <w:rFonts w:ascii="Barlow Semi Condensed" w:cs="Barlow Semi Condensed" w:eastAsia="Barlow Semi Condensed" w:hAnsi="Barlow Semi Condensed"/>
          <w:i w:val="false"/>
          <w:iCs w:val="false"/>
          <w:sz w:val="24"/>
          <w:szCs w:val="24"/>
        </w:rPr>
        <w:t xml:space="preserve"> Non è un'istanza, non è una consulenza tecnica, non è un parere legale. È una </w:t>
      </w:r>
      <w:r>
        <w:rPr>
          <w:rFonts w:ascii="Barlow Semi Condensed" w:cs="Barlow Semi Condensed" w:eastAsia="Barlow Semi Condensed" w:hAnsi="Barlow Semi Condensed"/>
          <w:b/>
          <w:bCs/>
          <w:i w:val="false"/>
          <w:iCs w:val="false"/>
          <w:sz w:val="24"/>
          <w:szCs w:val="24"/>
        </w:rPr>
        <w:t xml:space="preserve">bozza di quesito</w:t>
      </w:r>
      <w:r>
        <w:rPr>
          <w:rFonts w:ascii="Barlow Semi Condensed" w:cs="Barlow Semi Condensed" w:eastAsia="Barlow Semi Condensed" w:hAnsi="Barlow Semi Condensed"/>
          <w:i w:val="false"/>
          <w:iCs w:val="false"/>
          <w:sz w:val="24"/>
          <w:szCs w:val="24"/>
        </w:rPr>
        <w:t xml:space="preserve"> redatta perché chi abbia titolo — l'autorità che tiene il fascicolo, o un perito da essa nominato — trovi il lavoro preparatorio già fatto e possa scartarlo, correggerlo o adoperarlo. </w:t>
      </w:r>
      <w:r>
        <w:rPr>
          <w:rFonts w:ascii="Barlow Semi Condensed" w:cs="Barlow Semi Condensed" w:eastAsia="Barlow Semi Condensed" w:hAnsi="Barlow Semi Condensed"/>
          <w:b/>
          <w:bCs/>
          <w:i w:val="false"/>
          <w:iCs w:val="false"/>
          <w:sz w:val="24"/>
          <w:szCs w:val="24"/>
        </w:rPr>
        <w:t xml:space="preserve">Chi non ha titolo non dispone perizie</w:t>
      </w:r>
      <w:r>
        <w:rPr>
          <w:rFonts w:ascii="Barlow Semi Condensed" w:cs="Barlow Semi Condensed" w:eastAsia="Barlow Semi Condensed" w:hAnsi="Barlow Semi Condensed"/>
          <w:i w:val="false"/>
          <w:iCs w:val="false"/>
          <w:sz w:val="24"/>
          <w:szCs w:val="24"/>
        </w:rPr>
        <w:t xml:space="preserve">: dispone di scrivere bene la domanda.  </w:t>
      </w: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Nessuna persona è indicata come responsabile di un reato fuori da un giudicato definitivo. Questo quesito non ha per esito un nome: ha per esito </w:t>
      </w:r>
      <w:r>
        <w:rPr>
          <w:rFonts w:ascii="Barlow Semi Condensed" w:cs="Barlow Semi Condensed" w:eastAsia="Barlow Semi Condensed" w:hAnsi="Barlow Semi Condensed"/>
          <w:b/>
          <w:bCs/>
          <w:i w:val="false"/>
          <w:iCs w:val="false"/>
          <w:sz w:val="24"/>
          <w:szCs w:val="24"/>
        </w:rPr>
        <w:t xml:space="preserve">una data</w:t>
      </w:r>
      <w:r>
        <w:rPr>
          <w:rFonts w:ascii="Barlow Semi Condensed" w:cs="Barlow Semi Condensed" w:eastAsia="Barlow Semi Condensed" w:hAnsi="Barlow Semi Condensed"/>
          <w:i w:val="false"/>
          <w:iCs w:val="false"/>
          <w:sz w:val="24"/>
          <w:szCs w:val="24"/>
        </w:rPr>
        <w:t xml:space="preserve">, o l'impossibilità dichiarata di stabilirla.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Lo stato degli atti</w:t>
      </w:r>
    </w:p>
    <w:p>
      <w:pPr>
        <w:spacing w:after="120" w:line="276"/>
        <w:jc w:val="both"/>
      </w:pPr>
      <w:r>
        <w:rPr>
          <w:rFonts w:ascii="Barlow Semi Condensed" w:cs="Barlow Semi Condensed" w:eastAsia="Barlow Semi Condensed" w:hAnsi="Barlow Semi Condensed"/>
          <w:b/>
          <w:bCs/>
          <w:sz w:val="24"/>
          <w:szCs w:val="24"/>
        </w:rPr>
        <w:t xml:space="preserve">La perizia madre.</w:t>
      </w:r>
      <w:r>
        <w:rPr>
          <w:rFonts w:ascii="Barlow Semi Condensed" w:cs="Barlow Semi Condensed" w:eastAsia="Barlow Semi Condensed" w:hAnsi="Barlow Semi Condensed"/>
          <w:sz w:val="24"/>
          <w:szCs w:val="24"/>
        </w:rPr>
        <w:t xml:space="preserve"> Nel 1978 una perizia geologico-botanica — il geologo Gianni</w:t>
      </w:r>
    </w:p>
    <w:p>
      <w:pPr>
        <w:spacing w:after="120" w:line="276"/>
        <w:jc w:val="both"/>
      </w:pPr>
      <w:r>
        <w:rPr>
          <w:rFonts w:ascii="Barlow Semi Condensed" w:cs="Barlow Semi Condensed" w:eastAsia="Barlow Semi Condensed" w:hAnsi="Barlow Semi Condensed"/>
          <w:sz w:val="24"/>
          <w:szCs w:val="24"/>
        </w:rPr>
        <w:t xml:space="preserve">Lombardi con Valerio Giacomini e collaboratori — giudicò la sabbia rinvenuta **nel</w:t>
      </w:r>
    </w:p>
    <w:p>
      <w:pPr>
        <w:spacing w:after="120" w:line="276"/>
        <w:jc w:val="both"/>
      </w:pPr>
      <w:r>
        <w:rPr>
          <w:rFonts w:ascii="Barlow Semi Condensed" w:cs="Barlow Semi Condensed" w:eastAsia="Barlow Semi Condensed" w:hAnsi="Barlow Semi Condensed"/>
          <w:sz w:val="24"/>
          <w:szCs w:val="24"/>
        </w:rPr>
        <w:t xml:space="preserve">risvolto sinistro dei pantaloni e sulle scarpe</w:t>
      </w:r>
      <w:r>
        <w:rPr>
          <w:rFonts w:ascii="Barlow Semi Condensed" w:cs="Barlow Semi Condensed" w:eastAsia="Barlow Semi Condensed" w:hAnsi="Barlow Semi Condensed"/>
          <w:b/>
          <w:bCs/>
          <w:sz w:val="24"/>
          <w:szCs w:val="24"/>
        </w:rPr>
        <w:t xml:space="preserve"> esclusiva del </w:t>
      </w:r>
      <w:r>
        <w:rPr>
          <w:rFonts w:ascii="Barlow Semi Condensed" w:cs="Barlow Semi Condensed" w:eastAsia="Barlow Semi Condensed" w:hAnsi="Barlow Semi Condensed"/>
          <w:sz w:val="24"/>
          <w:szCs w:val="24"/>
        </w:rPr>
        <w:t xml:space="preserve">litorale tirrenico</w:t>
      </w:r>
    </w:p>
    <w:p>
      <w:pPr>
        <w:spacing w:after="120" w:line="276"/>
        <w:jc w:val="both"/>
      </w:pPr>
      <w:r>
        <w:rPr>
          <w:rFonts w:ascii="Barlow Semi Condensed" w:cs="Barlow Semi Condensed" w:eastAsia="Barlow Semi Condensed" w:hAnsi="Barlow Semi Condensed"/>
          <w:sz w:val="24"/>
          <w:szCs w:val="24"/>
        </w:rPr>
        <w:t xml:space="preserve">laziale</w:t>
      </w:r>
      <w:r>
        <w:rPr>
          <w:rFonts w:ascii="Barlow Semi Condensed" w:cs="Barlow Semi Condensed" w:eastAsia="Barlow Semi Condensed" w:hAnsi="Barlow Semi Condensed"/>
          <w:b/>
          <w:bCs/>
          <w:sz w:val="24"/>
          <w:szCs w:val="24"/>
        </w:rPr>
        <w:t xml:space="preserve">, con localizzazione nell'area </w:t>
      </w:r>
      <w:r>
        <w:rPr>
          <w:rFonts w:ascii="Barlow Semi Condensed" w:cs="Barlow Semi Condensed" w:eastAsia="Barlow Semi Condensed" w:hAnsi="Barlow Semi Condensed"/>
          <w:sz w:val="24"/>
          <w:szCs w:val="24"/>
        </w:rPr>
        <w:t xml:space="preserve">Focene-Marina di Palidoro</w:t>
      </w:r>
      <w:r>
        <w:rPr>
          <w:rFonts w:ascii="Barlow Semi Condensed" w:cs="Barlow Semi Condensed" w:eastAsia="Barlow Semi Condensed" w:hAnsi="Barlow Semi Condensed"/>
          <w:b/>
          <w:bCs/>
          <w:sz w:val="24"/>
          <w:szCs w:val="24"/>
        </w:rPr>
        <w:t xml:space="preserve">. </w:t>
      </w:r>
      <w:r>
        <w:rPr>
          <w:rFonts w:ascii="Barlow Semi Condensed" w:cs="Barlow Semi Condensed" w:eastAsia="Barlow Semi Condensed" w:hAnsi="Barlow Semi Condensed"/>
          <w:sz w:val="24"/>
          <w:szCs w:val="24"/>
        </w:rPr>
        <w:t xml:space="preserve">Grado B.**</w:t>
      </w:r>
    </w:p>
    <w:p>
      <w:pPr>
        <w:spacing w:after="120" w:line="276"/>
        <w:jc w:val="both"/>
      </w:pPr>
      <w:r>
        <w:rPr>
          <w:rFonts w:ascii="Barlow Semi Condensed" w:cs="Barlow Semi Condensed" w:eastAsia="Barlow Semi Condensed" w:hAnsi="Barlow Semi Condensed"/>
          <w:b/>
          <w:bCs/>
          <w:sz w:val="24"/>
          <w:szCs w:val="24"/>
        </w:rPr>
        <w:t xml:space="preserve">Il rilancio.</w:t>
      </w:r>
      <w:r>
        <w:rPr>
          <w:rFonts w:ascii="Barlow Semi Condensed" w:cs="Barlow Semi Condensed" w:eastAsia="Barlow Semi Condensed" w:hAnsi="Barlow Semi Condensed"/>
          <w:sz w:val="24"/>
          <w:szCs w:val="24"/>
        </w:rPr>
        <w:t xml:space="preserve"> La Commissione parlamentare Moro 2 rilanciò gli accertamenti sulle</w:t>
      </w:r>
    </w:p>
    <w:p>
      <w:pPr>
        <w:spacing w:after="120" w:line="276"/>
        <w:jc w:val="both"/>
      </w:pPr>
      <w:r>
        <w:rPr>
          <w:rFonts w:ascii="Barlow Semi Condensed" w:cs="Barlow Semi Condensed" w:eastAsia="Barlow Semi Condensed" w:hAnsi="Barlow Semi Condensed"/>
          <w:sz w:val="24"/>
          <w:szCs w:val="24"/>
        </w:rPr>
        <w:t xml:space="preserve">tracce materiali, con l'intervento del RIS negli anni </w:t>
      </w:r>
      <w:r>
        <w:rPr>
          <w:rFonts w:ascii="Barlow Semi Condensed" w:cs="Barlow Semi Condensed" w:eastAsia="Barlow Semi Condensed" w:hAnsi="Barlow Semi Condensed"/>
          <w:b/>
          <w:bCs/>
          <w:sz w:val="24"/>
          <w:szCs w:val="24"/>
        </w:rPr>
        <w:t xml:space="preserve">2016-2017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Grado B.</w:t>
      </w:r>
    </w:p>
    <w:p>
      <w:pPr>
        <w:spacing w:after="120" w:line="276"/>
        <w:jc w:val="both"/>
      </w:pPr>
      <w:r>
        <w:rPr>
          <w:rFonts w:ascii="Barlow Semi Condensed" w:cs="Barlow Semi Condensed" w:eastAsia="Barlow Semi Condensed" w:hAnsi="Barlow Semi Condensed"/>
          <w:b/>
          <w:bCs/>
          <w:sz w:val="24"/>
          <w:szCs w:val="24"/>
        </w:rPr>
        <w:t xml:space="preserve">Ciò che nessuno dei due ha stabilito.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Quando</w:t>
      </w:r>
      <w:r>
        <w:rPr>
          <w:rFonts w:ascii="Barlow Semi Condensed" w:cs="Barlow Semi Condensed" w:eastAsia="Barlow Semi Condensed" w:hAnsi="Barlow Semi Condensed"/>
          <w:sz w:val="24"/>
          <w:szCs w:val="24"/>
        </w:rPr>
        <w:t xml:space="preserve"> quel deposito si formò. È la</w:t>
      </w:r>
    </w:p>
    <w:p>
      <w:pPr>
        <w:spacing w:after="120" w:line="276"/>
        <w:jc w:val="both"/>
      </w:pPr>
      <w:r>
        <w:rPr>
          <w:rFonts w:ascii="Barlow Semi Condensed" w:cs="Barlow Semi Condensed" w:eastAsia="Barlow Semi Condensed" w:hAnsi="Barlow Semi Condensed"/>
          <w:sz w:val="24"/>
          <w:szCs w:val="24"/>
        </w:rPr>
        <w:t xml:space="preserve">cella che la matrice della custodia dichiara aperta, ed è l'unica il cui riempimento</w:t>
      </w:r>
    </w:p>
    <w:p>
      <w:pPr>
        <w:spacing w:after="120" w:line="276"/>
        <w:jc w:val="both"/>
      </w:pPr>
      <w:r>
        <w:rPr>
          <w:rFonts w:ascii="Barlow Semi Condensed" w:cs="Barlow Semi Condensed" w:eastAsia="Barlow Semi Condensed" w:hAnsi="Barlow Semi Condensed"/>
          <w:sz w:val="24"/>
          <w:szCs w:val="24"/>
        </w:rPr>
        <w:t xml:space="preserve">sposterebbe l'ordine delle cinque ipotesi.</w:t>
      </w:r>
    </w:p>
    <w:p>
      <w:pPr>
        <w:spacing w:after="120" w:line="276"/>
        <w:jc w:val="both"/>
      </w:pPr>
      <w:r>
        <w:rPr>
          <w:rFonts w:ascii="Barlow Semi Condensed" w:cs="Barlow Semi Condensed" w:eastAsia="Barlow Semi Condensed" w:hAnsi="Barlow Semi Condensed"/>
          <w:b/>
          <w:bCs/>
          <w:sz w:val="24"/>
          <w:szCs w:val="24"/>
        </w:rPr>
        <w:t xml:space="preserve">Una precondizione che va accertata prima di ogni quesito.</w:t>
      </w:r>
      <w:r>
        <w:rPr>
          <w:rFonts w:ascii="Barlow Semi Condensed" w:cs="Barlow Semi Condensed" w:eastAsia="Barlow Semi Condensed" w:hAnsi="Barlow Semi Condensed"/>
          <w:sz w:val="24"/>
          <w:szCs w:val="24"/>
        </w:rPr>
        <w:t xml:space="preserve"> Il corpus registra</w:t>
      </w:r>
    </w:p>
    <w:p>
      <w:pPr>
        <w:spacing w:after="120" w:line="276"/>
        <w:jc w:val="both"/>
      </w:pPr>
      <w:r>
        <w:rPr>
          <w:rFonts w:ascii="Barlow Semi Condensed" w:cs="Barlow Semi Condensed" w:eastAsia="Barlow Semi Condensed" w:hAnsi="Barlow Semi Condensed"/>
          <w:sz w:val="24"/>
          <w:szCs w:val="24"/>
        </w:rPr>
        <w:t xml:space="preserve">che </w:t>
      </w:r>
      <w:r>
        <w:rPr>
          <w:rFonts w:ascii="Barlow Semi Condensed" w:cs="Barlow Semi Condensed" w:eastAsia="Barlow Semi Condensed" w:hAnsi="Barlow Semi Condensed"/>
          <w:b/>
          <w:bCs/>
          <w:sz w:val="24"/>
          <w:szCs w:val="24"/>
        </w:rPr>
        <w:t xml:space="preserve">un inventario pubblico unitario dei reperti minori del caso non esiste</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che la catena di custodia integrale — sequestro, perizie, trasferimenti, sedi —</w:t>
      </w:r>
    </w:p>
    <w:p>
      <w:pPr>
        <w:spacing w:after="120" w:line="276"/>
        <w:jc w:val="both"/>
      </w:pPr>
      <w:r>
        <w:rPr>
          <w:rFonts w:ascii="Barlow Semi Condensed" w:cs="Barlow Semi Condensed" w:eastAsia="Barlow Semi Condensed" w:hAnsi="Barlow Semi Condensed"/>
          <w:sz w:val="24"/>
          <w:szCs w:val="24"/>
        </w:rPr>
        <w:t xml:space="preserve">va ricostruita dagli atti. </w:t>
      </w:r>
      <w:r>
        <w:rPr>
          <w:rFonts w:ascii="Barlow Semi Condensed" w:cs="Barlow Semi Condensed" w:eastAsia="Barlow Semi Condensed" w:hAnsi="Barlow Semi Condensed"/>
          <w:b/>
          <w:bCs/>
          <w:sz w:val="24"/>
          <w:szCs w:val="24"/>
        </w:rPr>
        <w:t xml:space="preserve">Nessun esame precede questa ricognizione</w:t>
      </w:r>
      <w:r>
        <w:rPr>
          <w:rFonts w:ascii="Barlow Semi Condensed" w:cs="Barlow Semi Condensed" w:eastAsia="Barlow Semi Condensed" w:hAnsi="Barlow Semi Condensed"/>
          <w:sz w:val="24"/>
          <w:szCs w:val="24"/>
        </w:rPr>
        <w:t xml:space="preserve">: un reperto</w:t>
      </w:r>
    </w:p>
    <w:p>
      <w:pPr>
        <w:spacing w:after="120" w:line="276"/>
        <w:jc w:val="both"/>
      </w:pPr>
      <w:r>
        <w:rPr>
          <w:rFonts w:ascii="Barlow Semi Condensed" w:cs="Barlow Semi Condensed" w:eastAsia="Barlow Semi Condensed" w:hAnsi="Barlow Semi Condensed"/>
          <w:sz w:val="24"/>
          <w:szCs w:val="24"/>
        </w:rPr>
        <w:t xml:space="preserve">senza storia produce un esame contestabile in partenza, e sarebbe la peggiore</w:t>
      </w:r>
    </w:p>
    <w:p>
      <w:pPr>
        <w:spacing w:after="120" w:line="276"/>
        <w:jc w:val="both"/>
      </w:pPr>
      <w:r>
        <w:rPr>
          <w:rFonts w:ascii="Barlow Semi Condensed" w:cs="Barlow Semi Condensed" w:eastAsia="Barlow Semi Condensed" w:hAnsi="Barlow Semi Condensed"/>
          <w:sz w:val="24"/>
          <w:szCs w:val="24"/>
        </w:rPr>
        <w:t xml:space="preserve">delle spese — quella che consuma il reperto senza produrre prova.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tre finestre, che sono l'intero oggetto del quesito</w:t>
      </w:r>
    </w:p>
    <w:p>
      <w:pPr>
        <w:spacing w:after="120" w:line="276"/>
        <w:jc w:val="both"/>
      </w:pPr>
      <w:r>
        <w:rPr>
          <w:rFonts w:ascii="Barlow Semi Condensed" w:cs="Barlow Semi Condensed" w:eastAsia="Barlow Semi Condensed" w:hAnsi="Barlow Semi Condensed"/>
          <w:sz w:val="24"/>
          <w:szCs w:val="24"/>
        </w:rPr>
        <w:t xml:space="preserve">Il deposito può essersi formato in una di tre finestre, e le conseguenze sono</w:t>
      </w:r>
    </w:p>
    <w:p>
      <w:pPr>
        <w:spacing w:after="120" w:line="276"/>
        <w:jc w:val="both"/>
      </w:pPr>
      <w:r>
        <w:rPr>
          <w:rFonts w:ascii="Barlow Semi Condensed" w:cs="Barlow Semi Condensed" w:eastAsia="Barlow Semi Condensed" w:hAnsi="Barlow Semi Condensed"/>
          <w:sz w:val="24"/>
          <w:szCs w:val="24"/>
        </w:rPr>
        <w:t xml:space="preserve">opposte.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finestra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quando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conseguenza sulla matrice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prima del 16 marzo 1978</w:t>
            </w:r>
            <w:r>
              <w:rPr>
                <w:rFonts w:ascii="Barlow Semi Condensed" w:cs="Barlow Semi Condensed" w:eastAsia="Barlow Semi Condensed" w:hAnsi="Barlow Semi Condensed"/>
                <w:sz w:val="20"/>
                <w:szCs w:val="20"/>
              </w:rPr>
              <w:t xml:space="preserve"> — l'uomo indossava i propri abiti, e la sabbia vi era già</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L'evidenza </w:t>
            </w:r>
            <w:r>
              <w:rPr>
                <w:rFonts w:ascii="Barlow Semi Condensed" w:cs="Barlow Semi Condensed" w:eastAsia="Barlow Semi Condensed" w:hAnsi="Barlow Semi Condensed"/>
                <w:b/>
                <w:bCs/>
                <w:sz w:val="20"/>
                <w:szCs w:val="20"/>
              </w:rPr>
              <w:t xml:space="preserve">si cancella</w:t>
            </w:r>
            <w:r>
              <w:rPr>
                <w:rFonts w:ascii="Barlow Semi Condensed" w:cs="Barlow Semi Condensed" w:eastAsia="Barlow Semi Condensed" w:hAnsi="Barlow Semi Condensed"/>
                <w:sz w:val="20"/>
                <w:szCs w:val="20"/>
              </w:rPr>
              <w:t xml:space="preserve">: compatibile con tutte le ipotesi, diagnosticità zero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fra il 16 marzo e il 9 maggio 1978</w:t>
            </w:r>
            <w:r>
              <w:rPr>
                <w:rFonts w:ascii="Barlow Semi Condensed" w:cs="Barlow Semi Condensed" w:eastAsia="Barlow Semi Condensed" w:hAnsi="Barlow Semi Condensed"/>
                <w:sz w:val="20"/>
                <w:szCs w:val="20"/>
              </w:rPr>
              <w:t xml:space="preserve"> — durante la custodia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L'evidenza diventa </w:t>
            </w:r>
            <w:r>
              <w:rPr>
                <w:rFonts w:ascii="Barlow Semi Condensed" w:cs="Barlow Semi Condensed" w:eastAsia="Barlow Semi Condensed" w:hAnsi="Barlow Semi Condensed"/>
                <w:b/>
                <w:bCs/>
                <w:sz w:val="20"/>
                <w:szCs w:val="20"/>
              </w:rPr>
              <w:t xml:space="preserve">decisiva</w:t>
            </w:r>
            <w:r>
              <w:rPr>
                <w:rFonts w:ascii="Barlow Semi Condensed" w:cs="Barlow Semi Condensed" w:eastAsia="Barlow Semi Condensed" w:hAnsi="Barlow Semi Condensed"/>
                <w:sz w:val="20"/>
                <w:szCs w:val="20"/>
              </w:rPr>
              <w:t xml:space="preserve">: le ipotesi di custodia unica ne escono gravemente urtate, la custodia plurima sale in testa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dopo il 9 maggio 1978</w:t>
            </w:r>
            <w:r>
              <w:rPr>
                <w:rFonts w:ascii="Barlow Semi Condensed" w:cs="Barlow Semi Condensed" w:eastAsia="Barlow Semi Condensed" w:hAnsi="Barlow Semi Condensed"/>
                <w:sz w:val="20"/>
                <w:szCs w:val="20"/>
              </w:rPr>
              <w:t xml:space="preserve"> — nel trasporto del corpo, o successivamente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L'evidenza </w:t>
            </w:r>
            <w:r>
              <w:rPr>
                <w:rFonts w:ascii="Barlow Semi Condensed" w:cs="Barlow Semi Condensed" w:eastAsia="Barlow Semi Condensed" w:hAnsi="Barlow Semi Condensed"/>
                <w:b/>
                <w:bCs/>
                <w:sz w:val="20"/>
                <w:szCs w:val="20"/>
              </w:rPr>
              <w:t xml:space="preserve">si cancella</w:t>
            </w:r>
            <w:r>
              <w:rPr>
                <w:rFonts w:ascii="Barlow Semi Condensed" w:cs="Barlow Semi Condensed" w:eastAsia="Barlow Semi Condensed" w:hAnsi="Barlow Semi Condensed"/>
                <w:sz w:val="20"/>
                <w:szCs w:val="20"/>
              </w:rPr>
              <w:t xml:space="preserve"> quanto alla custodia, e diventa un dato sulla logistica finale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Tutto il quesito serve a discriminare fra F1, F2 e F3.</w:t>
      </w:r>
      <w:r>
        <w:rPr>
          <w:rFonts w:ascii="Barlow Semi Condensed" w:cs="Barlow Semi Condensed" w:eastAsia="Barlow Semi Condensed" w:hAnsi="Barlow Semi Condensed"/>
          <w:sz w:val="24"/>
          <w:szCs w:val="24"/>
        </w:rPr>
        <w:t xml:space="preserve"> Ogni domanda che non</w:t>
      </w:r>
    </w:p>
    <w:p>
      <w:pPr>
        <w:spacing w:after="120" w:line="276"/>
        <w:jc w:val="both"/>
      </w:pPr>
      <w:r>
        <w:rPr>
          <w:rFonts w:ascii="Barlow Semi Condensed" w:cs="Barlow Semi Condensed" w:eastAsia="Barlow Semi Condensed" w:hAnsi="Barlow Semi Condensed"/>
          <w:sz w:val="24"/>
          <w:szCs w:val="24"/>
        </w:rPr>
        <w:t xml:space="preserve">concorra a questa discriminazione è, per questo scopo, ornamento — e va lasciata</w:t>
      </w:r>
    </w:p>
    <w:p>
      <w:pPr>
        <w:spacing w:after="120" w:line="276"/>
        <w:jc w:val="both"/>
      </w:pPr>
      <w:r>
        <w:rPr>
          <w:rFonts w:ascii="Barlow Semi Condensed" w:cs="Barlow Semi Condensed" w:eastAsia="Barlow Semi Condensed" w:hAnsi="Barlow Semi Condensed"/>
          <w:sz w:val="24"/>
          <w:szCs w:val="24"/>
        </w:rPr>
        <w:t xml:space="preserve">ad altre perizie.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I quesiti, nell'ordine</w:t>
      </w:r>
    </w:p>
    <w:p>
      <w:pPr>
        <w:spacing w:after="120" w:line="276"/>
        <w:jc w:val="both"/>
      </w:pPr>
      <w:r>
        <w:rPr>
          <w:rFonts w:ascii="Barlow Semi Condensed" w:cs="Barlow Semi Condensed" w:eastAsia="Barlow Semi Condensed" w:hAnsi="Barlow Semi Condensed"/>
          <w:b/>
          <w:bCs/>
          <w:sz w:val="24"/>
          <w:szCs w:val="24"/>
        </w:rPr>
        <w:t xml:space="preserve">Q0 — La riesaminabilità.</w:t>
      </w:r>
      <w:r>
        <w:rPr>
          <w:rFonts w:ascii="Barlow Semi Condensed" w:cs="Barlow Semi Condensed" w:eastAsia="Barlow Semi Condensed" w:hAnsi="Barlow Semi Condensed"/>
          <w:sz w:val="24"/>
          <w:szCs w:val="24"/>
        </w:rPr>
        <w:t xml:space="preserve"> *Quali reperti degli abiti e delle calzature sono</w:t>
      </w:r>
    </w:p>
    <w:p>
      <w:pPr>
        <w:spacing w:after="120" w:line="276"/>
        <w:jc w:val="both"/>
      </w:pPr>
      <w:r>
        <w:rPr>
          <w:rFonts w:ascii="Barlow Semi Condensed" w:cs="Barlow Semi Condensed" w:eastAsia="Barlow Semi Condensed" w:hAnsi="Barlow Semi Condensed"/>
          <w:sz w:val="24"/>
          <w:szCs w:val="24"/>
        </w:rPr>
        <w:t xml:space="preserve">oggi conservati, in quale sede, in quale stato; quali campionature storiche</w:t>
      </w:r>
    </w:p>
    <w:p>
      <w:pPr>
        <w:spacing w:after="120" w:line="276"/>
        <w:jc w:val="both"/>
      </w:pPr>
      <w:r>
        <w:rPr>
          <w:rFonts w:ascii="Barlow Semi Condensed" w:cs="Barlow Semi Condensed" w:eastAsia="Barlow Semi Condensed" w:hAnsi="Barlow Semi Condensed"/>
          <w:sz w:val="24"/>
          <w:szCs w:val="24"/>
        </w:rPr>
        <w:t xml:space="preserve">esistono e sono ancora utilizzabili; quali interventi conservativi o analitici</w:t>
      </w:r>
    </w:p>
    <w:p>
      <w:pPr>
        <w:spacing w:after="120" w:line="276"/>
        <w:jc w:val="both"/>
      </w:pPr>
      <w:r>
        <w:rPr>
          <w:rFonts w:ascii="Barlow Semi Condensed" w:cs="Barlow Semi Condensed" w:eastAsia="Barlow Semi Condensed" w:hAnsi="Barlow Semi Condensed"/>
          <w:sz w:val="24"/>
          <w:szCs w:val="24"/>
        </w:rPr>
        <w:t xml:space="preserve">hanno subito dal 1978 a oggi, e con quale documentazione.*</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Se la risposta è negativa, il quesito finisce qui</w:t>
      </w:r>
      <w:r>
        <w:rPr>
          <w:rFonts w:ascii="Barlow Semi Condensed" w:cs="Barlow Semi Condensed" w:eastAsia="Barlow Semi Condensed" w:hAnsi="Barlow Semi Condensed"/>
          <w:sz w:val="24"/>
          <w:szCs w:val="24"/>
        </w:rPr>
        <w:t xml:space="preserve">, e l'esito negativo va</w:t>
      </w:r>
    </w:p>
    <w:p>
      <w:pPr>
        <w:spacing w:after="120" w:line="276"/>
        <w:jc w:val="both"/>
      </w:pPr>
      <w:r>
        <w:rPr>
          <w:rFonts w:ascii="Barlow Semi Condensed" w:cs="Barlow Semi Condensed" w:eastAsia="Barlow Semi Condensed" w:hAnsi="Barlow Semi Condensed"/>
          <w:sz w:val="24"/>
          <w:szCs w:val="24"/>
        </w:rPr>
        <w:t xml:space="preserve">scritto con la sede nominata: sarebbe esso stesso un'acquisizione, e chiuderebbe</w:t>
      </w:r>
    </w:p>
    <w:p>
      <w:pPr>
        <w:spacing w:after="120" w:line="276"/>
        <w:jc w:val="both"/>
      </w:pPr>
      <w:r>
        <w:rPr>
          <w:rFonts w:ascii="Barlow Semi Condensed" w:cs="Barlow Semi Condensed" w:eastAsia="Barlow Semi Condensed" w:hAnsi="Barlow Semi Condensed"/>
          <w:sz w:val="24"/>
          <w:szCs w:val="24"/>
        </w:rPr>
        <w:t xml:space="preserve">definitivamente la cella dichiarandola non riempibile.</w:t>
      </w:r>
    </w:p>
    <w:p>
      <w:pPr>
        <w:spacing w:after="120" w:line="276"/>
        <w:jc w:val="both"/>
      </w:pPr>
      <w:r>
        <w:rPr>
          <w:rFonts w:ascii="Barlow Semi Condensed" w:cs="Barlow Semi Condensed" w:eastAsia="Barlow Semi Condensed" w:hAnsi="Barlow Semi Condensed"/>
          <w:b/>
          <w:bCs/>
          <w:sz w:val="24"/>
          <w:szCs w:val="24"/>
        </w:rPr>
        <w:t xml:space="preserve">Q1 — La conferma della provenienza.</w:t>
      </w:r>
      <w:r>
        <w:rPr>
          <w:rFonts w:ascii="Barlow Semi Condensed" w:cs="Barlow Semi Condensed" w:eastAsia="Barlow Semi Condensed" w:hAnsi="Barlow Semi Condensed"/>
          <w:sz w:val="24"/>
          <w:szCs w:val="24"/>
        </w:rPr>
        <w:t xml:space="preserve"> *Con granulometria, mineralogia,</w:t>
      </w:r>
    </w:p>
    <w:p>
      <w:pPr>
        <w:spacing w:after="120" w:line="276"/>
        <w:jc w:val="both"/>
      </w:pPr>
      <w:r>
        <w:rPr>
          <w:rFonts w:ascii="Barlow Semi Condensed" w:cs="Barlow Semi Condensed" w:eastAsia="Barlow Semi Condensed" w:hAnsi="Barlow Semi Condensed"/>
          <w:sz w:val="24"/>
          <w:szCs w:val="24"/>
        </w:rPr>
        <w:t xml:space="preserve">microfossili e le tecniche oggi disponibili, la localizzazione del 1978 al</w:t>
      </w:r>
    </w:p>
    <w:p>
      <w:pPr>
        <w:spacing w:after="120" w:line="276"/>
        <w:jc w:val="both"/>
      </w:pPr>
      <w:r>
        <w:rPr>
          <w:rFonts w:ascii="Barlow Semi Condensed" w:cs="Barlow Semi Condensed" w:eastAsia="Barlow Semi Condensed" w:hAnsi="Barlow Semi Condensed"/>
          <w:sz w:val="24"/>
          <w:szCs w:val="24"/>
        </w:rPr>
        <w:t xml:space="preserve">litorale tirrenico laziale, area Focene-Marina di Palidoro, è confermata,</w:t>
      </w:r>
    </w:p>
    <w:p>
      <w:pPr>
        <w:spacing w:after="120" w:line="276"/>
        <w:jc w:val="both"/>
      </w:pPr>
      <w:r>
        <w:rPr>
          <w:rFonts w:ascii="Barlow Semi Condensed" w:cs="Barlow Semi Condensed" w:eastAsia="Barlow Semi Condensed" w:hAnsi="Barlow Semi Condensed"/>
          <w:sz w:val="24"/>
          <w:szCs w:val="24"/>
        </w:rPr>
        <w:t xml:space="preserve">ristretta o rivista?*</w:t>
      </w:r>
    </w:p>
    <w:p>
      <w:pPr>
        <w:spacing w:after="120" w:line="276"/>
        <w:jc w:val="both"/>
      </w:pPr>
      <w:r>
        <w:rPr>
          <w:rFonts w:ascii="Barlow Semi Condensed" w:cs="Barlow Semi Condensed" w:eastAsia="Barlow Semi Condensed" w:hAnsi="Barlow Semi Condensed"/>
          <w:sz w:val="24"/>
          <w:szCs w:val="24"/>
        </w:rPr>
        <w:t xml:space="preserve">→ Con il limite da dichiarare in perizia: </w:t>
      </w:r>
      <w:r>
        <w:rPr>
          <w:rFonts w:ascii="Barlow Semi Condensed" w:cs="Barlow Semi Condensed" w:eastAsia="Barlow Semi Condensed" w:hAnsi="Barlow Semi Condensed"/>
          <w:b/>
          <w:bCs/>
          <w:sz w:val="24"/>
          <w:szCs w:val="24"/>
        </w:rPr>
        <w:t xml:space="preserve">mezzo secolo cambia le spiagge</w:t>
      </w:r>
      <w:r>
        <w:rPr>
          <w:rFonts w:ascii="Barlow Semi Condensed" w:cs="Barlow Semi Condensed" w:eastAsia="Barlow Semi Condensed" w:hAnsi="Barlow Semi Condensed"/>
          <w:sz w:val="24"/>
          <w:szCs w:val="24"/>
        </w:rPr>
        <w:t xml:space="preserve">, e le</w:t>
      </w:r>
    </w:p>
    <w:p>
      <w:pPr>
        <w:spacing w:after="120" w:line="276"/>
        <w:jc w:val="both"/>
      </w:pPr>
      <w:r>
        <w:rPr>
          <w:rFonts w:ascii="Barlow Semi Condensed" w:cs="Barlow Semi Condensed" w:eastAsia="Barlow Semi Condensed" w:hAnsi="Barlow Semi Condensed"/>
          <w:sz w:val="24"/>
          <w:szCs w:val="24"/>
        </w:rPr>
        <w:t xml:space="preserve">campionature attuali di confronto vanno adoperate come termine di paragone</w:t>
      </w:r>
    </w:p>
    <w:p>
      <w:pPr>
        <w:spacing w:after="120" w:line="276"/>
        <w:jc w:val="both"/>
      </w:pPr>
      <w:r>
        <w:rPr>
          <w:rFonts w:ascii="Barlow Semi Condensed" w:cs="Barlow Semi Condensed" w:eastAsia="Barlow Semi Condensed" w:hAnsi="Barlow Semi Condensed"/>
          <w:sz w:val="24"/>
          <w:szCs w:val="24"/>
        </w:rPr>
        <w:t xml:space="preserve">ragionato e non come identità.</w:t>
      </w:r>
    </w:p>
    <w:p>
      <w:pPr>
        <w:spacing w:after="120" w:line="276"/>
        <w:jc w:val="both"/>
      </w:pPr>
      <w:r>
        <w:rPr>
          <w:rFonts w:ascii="Barlow Semi Condensed" w:cs="Barlow Semi Condensed" w:eastAsia="Barlow Semi Condensed" w:hAnsi="Barlow Semi Condensed"/>
          <w:b/>
          <w:bCs/>
          <w:sz w:val="24"/>
          <w:szCs w:val="24"/>
        </w:rPr>
        <w:t xml:space="preserve">Q2 — La stratigrafia del deposito.</w:t>
      </w:r>
      <w:r>
        <w:rPr>
          <w:rFonts w:ascii="Barlow Semi Condensed" w:cs="Barlow Semi Condensed" w:eastAsia="Barlow Semi Condensed" w:hAnsi="Barlow Semi Condensed"/>
          <w:sz w:val="24"/>
          <w:szCs w:val="24"/>
        </w:rPr>
        <w:t xml:space="preserve"> *Il deposito è unico o multiplo? Si</w:t>
      </w:r>
    </w:p>
    <w:p>
      <w:pPr>
        <w:spacing w:after="120" w:line="276"/>
        <w:jc w:val="both"/>
      </w:pPr>
      <w:r>
        <w:rPr>
          <w:rFonts w:ascii="Barlow Semi Condensed" w:cs="Barlow Semi Condensed" w:eastAsia="Barlow Semi Condensed" w:hAnsi="Barlow Semi Condensed"/>
          <w:sz w:val="24"/>
          <w:szCs w:val="24"/>
        </w:rPr>
        <w:t xml:space="preserve">distinguono strati, e questi mostrano rapporti di sovrapposizione con altri</w:t>
      </w:r>
    </w:p>
    <w:p>
      <w:pPr>
        <w:spacing w:after="120" w:line="276"/>
        <w:jc w:val="both"/>
      </w:pPr>
      <w:r>
        <w:rPr>
          <w:rFonts w:ascii="Barlow Semi Condensed" w:cs="Barlow Semi Condensed" w:eastAsia="Barlow Semi Condensed" w:hAnsi="Barlow Semi Condensed"/>
          <w:sz w:val="24"/>
          <w:szCs w:val="24"/>
        </w:rPr>
        <w:t xml:space="preserve">materiali repertati — terre, bitumi, fibre, residui urbani?*</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È il quesito centrale.</w:t>
      </w:r>
      <w:r>
        <w:rPr>
          <w:rFonts w:ascii="Barlow Semi Condensed" w:cs="Barlow Semi Condensed" w:eastAsia="Barlow Semi Condensed" w:hAnsi="Barlow Semi Condensed"/>
          <w:sz w:val="24"/>
          <w:szCs w:val="24"/>
        </w:rPr>
        <w:t xml:space="preserve"> Un deposito sabbioso </w:t>
      </w:r>
      <w:r>
        <w:rPr>
          <w:rFonts w:ascii="Barlow Semi Condensed" w:cs="Barlow Semi Condensed" w:eastAsia="Barlow Semi Condensed" w:hAnsi="Barlow Semi Condensed"/>
          <w:b/>
          <w:bCs/>
          <w:sz w:val="24"/>
          <w:szCs w:val="24"/>
        </w:rPr>
        <w:t xml:space="preserve">sotto</w:t>
      </w:r>
      <w:r>
        <w:rPr>
          <w:rFonts w:ascii="Barlow Semi Condensed" w:cs="Barlow Semi Condensed" w:eastAsia="Barlow Semi Condensed" w:hAnsi="Barlow Semi Condensed"/>
          <w:sz w:val="24"/>
          <w:szCs w:val="24"/>
        </w:rPr>
        <w:t xml:space="preserve"> un residuo attribuibile</w:t>
      </w:r>
    </w:p>
    <w:p>
      <w:pPr>
        <w:spacing w:after="120" w:line="276"/>
        <w:jc w:val="both"/>
      </w:pPr>
      <w:r>
        <w:rPr>
          <w:rFonts w:ascii="Barlow Semi Condensed" w:cs="Barlow Semi Condensed" w:eastAsia="Barlow Semi Condensed" w:hAnsi="Barlow Semi Condensed"/>
          <w:sz w:val="24"/>
          <w:szCs w:val="24"/>
        </w:rPr>
        <w:t xml:space="preserve">all'ambiente della custodia colloca la sabbia in F1; </w:t>
      </w:r>
      <w:r>
        <w:rPr>
          <w:rFonts w:ascii="Barlow Semi Condensed" w:cs="Barlow Semi Condensed" w:eastAsia="Barlow Semi Condensed" w:hAnsi="Barlow Semi Condensed"/>
          <w:b/>
          <w:bCs/>
          <w:sz w:val="24"/>
          <w:szCs w:val="24"/>
        </w:rPr>
        <w:t xml:space="preserve">sopra</w:t>
      </w:r>
      <w:r>
        <w:rPr>
          <w:rFonts w:ascii="Barlow Semi Condensed" w:cs="Barlow Semi Condensed" w:eastAsia="Barlow Semi Condensed" w:hAnsi="Barlow Semi Condensed"/>
          <w:sz w:val="24"/>
          <w:szCs w:val="24"/>
        </w:rPr>
        <w:t xml:space="preserve">, in F2 o F3. La</w:t>
      </w:r>
    </w:p>
    <w:p>
      <w:pPr>
        <w:spacing w:after="120" w:line="276"/>
        <w:jc w:val="both"/>
      </w:pPr>
      <w:r>
        <w:rPr>
          <w:rFonts w:ascii="Barlow Semi Condensed" w:cs="Barlow Semi Condensed" w:eastAsia="Barlow Semi Condensed" w:hAnsi="Barlow Semi Condensed"/>
          <w:sz w:val="24"/>
          <w:szCs w:val="24"/>
        </w:rPr>
        <w:t xml:space="preserve">sequenza è l'unico orologio materiale disponibile.</w:t>
      </w:r>
    </w:p>
    <w:p>
      <w:pPr>
        <w:spacing w:after="120" w:line="276"/>
        <w:jc w:val="both"/>
      </w:pPr>
      <w:r>
        <w:rPr>
          <w:rFonts w:ascii="Barlow Semi Condensed" w:cs="Barlow Semi Condensed" w:eastAsia="Barlow Semi Condensed" w:hAnsi="Barlow Semi Condensed"/>
          <w:b/>
          <w:bCs/>
          <w:sz w:val="24"/>
          <w:szCs w:val="24"/>
        </w:rPr>
        <w:t xml:space="preserve">Q3 — La compatibilità con l'uso dell'indumento.</w:t>
      </w:r>
      <w:r>
        <w:rPr>
          <w:rFonts w:ascii="Barlow Semi Condensed" w:cs="Barlow Semi Condensed" w:eastAsia="Barlow Semi Condensed" w:hAnsi="Barlow Semi Condensed"/>
          <w:sz w:val="24"/>
          <w:szCs w:val="24"/>
        </w:rPr>
        <w:t xml:space="preserve"> *La collocazione del deposito —</w:t>
      </w:r>
    </w:p>
    <w:p>
      <w:pPr>
        <w:spacing w:after="120" w:line="276"/>
        <w:jc w:val="both"/>
      </w:pPr>
      <w:r>
        <w:rPr>
          <w:rFonts w:ascii="Barlow Semi Condensed" w:cs="Barlow Semi Condensed" w:eastAsia="Barlow Semi Condensed" w:hAnsi="Barlow Semi Condensed"/>
          <w:sz w:val="24"/>
          <w:szCs w:val="24"/>
        </w:rPr>
        <w:t xml:space="preserve">il risvolto sinistro, e non entrambi; le scarpe — è compatibile con un contatto</w:t>
      </w:r>
    </w:p>
    <w:p>
      <w:pPr>
        <w:spacing w:after="120" w:line="276"/>
        <w:jc w:val="both"/>
      </w:pPr>
      <w:r>
        <w:rPr>
          <w:rFonts w:ascii="Barlow Semi Condensed" w:cs="Barlow Semi Condensed" w:eastAsia="Barlow Semi Condensed" w:hAnsi="Barlow Semi Condensed"/>
          <w:sz w:val="24"/>
          <w:szCs w:val="24"/>
        </w:rPr>
        <w:t xml:space="preserve">avvenuto mentre l'indumento era indossato e in movimento, oppure con un contatto</w:t>
      </w:r>
    </w:p>
    <w:p>
      <w:pPr>
        <w:spacing w:after="120" w:line="276"/>
        <w:jc w:val="both"/>
      </w:pPr>
      <w:r>
        <w:rPr>
          <w:rFonts w:ascii="Barlow Semi Condensed" w:cs="Barlow Semi Condensed" w:eastAsia="Barlow Semi Condensed" w:hAnsi="Barlow Semi Condensed"/>
          <w:sz w:val="24"/>
          <w:szCs w:val="24"/>
        </w:rPr>
        <w:t xml:space="preserve">avvenuto con l'indumento fermo, piegato o riposto?*</w:t>
      </w:r>
    </w:p>
    <w:p>
      <w:pPr>
        <w:spacing w:after="120" w:line="276"/>
        <w:jc w:val="both"/>
      </w:pPr>
      <w:r>
        <w:rPr>
          <w:rFonts w:ascii="Barlow Semi Condensed" w:cs="Barlow Semi Condensed" w:eastAsia="Barlow Semi Condensed" w:hAnsi="Barlow Semi Condensed"/>
          <w:sz w:val="24"/>
          <w:szCs w:val="24"/>
        </w:rPr>
        <w:t xml:space="preserve">→ Discrimina fra un uomo che cammina su una spiaggia e un indumento che tocca</w:t>
      </w:r>
    </w:p>
    <w:p>
      <w:pPr>
        <w:spacing w:after="120" w:line="276"/>
        <w:jc w:val="both"/>
      </w:pPr>
      <w:r>
        <w:rPr>
          <w:rFonts w:ascii="Barlow Semi Condensed" w:cs="Barlow Semi Condensed" w:eastAsia="Barlow Semi Condensed" w:hAnsi="Barlow Semi Condensed"/>
          <w:sz w:val="24"/>
          <w:szCs w:val="24"/>
        </w:rPr>
        <w:t xml:space="preserve">sabbia in altro modo. </w:t>
      </w:r>
      <w:r>
        <w:rPr>
          <w:rFonts w:ascii="Barlow Semi Condensed" w:cs="Barlow Semi Condensed" w:eastAsia="Barlow Semi Condensed" w:hAnsi="Barlow Semi Condensed"/>
          <w:b/>
          <w:bCs/>
          <w:sz w:val="24"/>
          <w:szCs w:val="24"/>
        </w:rPr>
        <w:t xml:space="preserve">La lateralità è un dato, non un dettaglio.</w:t>
      </w:r>
    </w:p>
    <w:p>
      <w:pPr>
        <w:spacing w:after="120" w:line="276"/>
        <w:jc w:val="both"/>
      </w:pPr>
      <w:r>
        <w:rPr>
          <w:rFonts w:ascii="Barlow Semi Condensed" w:cs="Barlow Semi Condensed" w:eastAsia="Barlow Semi Condensed" w:hAnsi="Barlow Semi Condensed"/>
          <w:b/>
          <w:bCs/>
          <w:sz w:val="24"/>
          <w:szCs w:val="24"/>
        </w:rPr>
        <w:t xml:space="preserve">Q4 — Il confronto interno.</w:t>
      </w:r>
      <w:r>
        <w:rPr>
          <w:rFonts w:ascii="Barlow Semi Condensed" w:cs="Barlow Semi Condensed" w:eastAsia="Barlow Semi Condensed" w:hAnsi="Barlow Semi Condensed"/>
          <w:sz w:val="24"/>
          <w:szCs w:val="24"/>
        </w:rPr>
        <w:t xml:space="preserve"> *Il deposito sabbioso sulle calzature e quello nel</w:t>
      </w:r>
    </w:p>
    <w:p>
      <w:pPr>
        <w:spacing w:after="120" w:line="276"/>
        <w:jc w:val="both"/>
      </w:pPr>
      <w:r>
        <w:rPr>
          <w:rFonts w:ascii="Barlow Semi Condensed" w:cs="Barlow Semi Condensed" w:eastAsia="Barlow Semi Condensed" w:hAnsi="Barlow Semi Condensed"/>
          <w:sz w:val="24"/>
          <w:szCs w:val="24"/>
        </w:rPr>
        <w:t xml:space="preserve">risvolto sono il medesimo, per composizione e granulometria? Se differiscono, in</w:t>
      </w:r>
    </w:p>
    <w:p>
      <w:pPr>
        <w:spacing w:after="120" w:line="276"/>
        <w:jc w:val="both"/>
      </w:pPr>
      <w:r>
        <w:rPr>
          <w:rFonts w:ascii="Barlow Semi Condensed" w:cs="Barlow Semi Condensed" w:eastAsia="Barlow Semi Condensed" w:hAnsi="Barlow Semi Condensed"/>
          <w:sz w:val="24"/>
          <w:szCs w:val="24"/>
        </w:rPr>
        <w:t xml:space="preserve">che cosa?*</w:t>
      </w:r>
    </w:p>
    <w:p>
      <w:pPr>
        <w:spacing w:after="120" w:line="276"/>
        <w:jc w:val="both"/>
      </w:pPr>
      <w:r>
        <w:rPr>
          <w:rFonts w:ascii="Barlow Semi Condensed" w:cs="Barlow Semi Condensed" w:eastAsia="Barlow Semi Condensed" w:hAnsi="Barlow Semi Condensed"/>
          <w:sz w:val="24"/>
          <w:szCs w:val="24"/>
        </w:rPr>
        <w:t xml:space="preserve">→ Due depositi identici suggeriscono un evento unico; due depositi diversi</w:t>
      </w:r>
    </w:p>
    <w:p>
      <w:pPr>
        <w:spacing w:after="120" w:line="276"/>
        <w:jc w:val="both"/>
      </w:pPr>
      <w:r>
        <w:rPr>
          <w:rFonts w:ascii="Barlow Semi Condensed" w:cs="Barlow Semi Condensed" w:eastAsia="Barlow Semi Condensed" w:hAnsi="Barlow Semi Condensed"/>
          <w:sz w:val="24"/>
          <w:szCs w:val="24"/>
        </w:rPr>
        <w:t xml:space="preserve">suggeriscono due contatti distinti, e moltiplicano le finestre invece di</w:t>
      </w:r>
    </w:p>
    <w:p>
      <w:pPr>
        <w:spacing w:after="120" w:line="276"/>
        <w:jc w:val="both"/>
      </w:pPr>
      <w:r>
        <w:rPr>
          <w:rFonts w:ascii="Barlow Semi Condensed" w:cs="Barlow Semi Condensed" w:eastAsia="Barlow Semi Condensed" w:hAnsi="Barlow Semi Condensed"/>
          <w:sz w:val="24"/>
          <w:szCs w:val="24"/>
        </w:rPr>
        <w:t xml:space="preserve">restringerle. **È il quesito che può far peggiorare il quadro anziché</w:t>
      </w:r>
    </w:p>
    <w:p>
      <w:pPr>
        <w:spacing w:after="120" w:line="276"/>
        <w:jc w:val="both"/>
      </w:pPr>
      <w:r>
        <w:rPr>
          <w:rFonts w:ascii="Barlow Semi Condensed" w:cs="Barlow Semi Condensed" w:eastAsia="Barlow Semi Condensed" w:hAnsi="Barlow Semi Condensed"/>
          <w:sz w:val="24"/>
          <w:szCs w:val="24"/>
        </w:rPr>
        <w:t xml:space="preserve">migliorarlo**, e va posto per questo.</w:t>
      </w:r>
    </w:p>
    <w:p>
      <w:pPr>
        <w:spacing w:after="120" w:line="276"/>
        <w:jc w:val="both"/>
      </w:pPr>
      <w:r>
        <w:rPr>
          <w:rFonts w:ascii="Barlow Semi Condensed" w:cs="Barlow Semi Condensed" w:eastAsia="Barlow Semi Condensed" w:hAnsi="Barlow Semi Condensed"/>
          <w:b/>
          <w:bCs/>
          <w:sz w:val="24"/>
          <w:szCs w:val="24"/>
        </w:rPr>
        <w:t xml:space="preserve">Q5 — I pollini come orologio stagionale.</w:t>
      </w:r>
      <w:r>
        <w:rPr>
          <w:rFonts w:ascii="Barlow Semi Condensed" w:cs="Barlow Semi Condensed" w:eastAsia="Barlow Semi Condensed" w:hAnsi="Barlow Semi Condensed"/>
          <w:sz w:val="24"/>
          <w:szCs w:val="24"/>
        </w:rPr>
        <w:t xml:space="preserve"> *L'esame palinologico moderno degli</w:t>
      </w:r>
    </w:p>
    <w:p>
      <w:pPr>
        <w:spacing w:after="120" w:line="276"/>
        <w:jc w:val="both"/>
      </w:pPr>
      <w:r>
        <w:rPr>
          <w:rFonts w:ascii="Barlow Semi Condensed" w:cs="Barlow Semi Condensed" w:eastAsia="Barlow Semi Condensed" w:hAnsi="Barlow Semi Condensed"/>
          <w:sz w:val="24"/>
          <w:szCs w:val="24"/>
        </w:rPr>
        <w:t xml:space="preserve">abiti e della coperta restituisce taxa e proporzioni compatibili con una</w:t>
      </w:r>
    </w:p>
    <w:p>
      <w:pPr>
        <w:spacing w:after="120" w:line="276"/>
        <w:jc w:val="both"/>
      </w:pPr>
      <w:r>
        <w:rPr>
          <w:rFonts w:ascii="Barlow Semi Condensed" w:cs="Barlow Semi Condensed" w:eastAsia="Barlow Semi Condensed" w:hAnsi="Barlow Semi Condensed"/>
          <w:sz w:val="24"/>
          <w:szCs w:val="24"/>
        </w:rPr>
        <w:t xml:space="preserve">stagionalità determinata? Tale stagionalità è compatibile con il marzo-maggio 1978,</w:t>
      </w:r>
    </w:p>
    <w:p>
      <w:pPr>
        <w:spacing w:after="120" w:line="276"/>
        <w:jc w:val="both"/>
      </w:pPr>
      <w:r>
        <w:rPr>
          <w:rFonts w:ascii="Barlow Semi Condensed" w:cs="Barlow Semi Condensed" w:eastAsia="Barlow Semi Condensed" w:hAnsi="Barlow Semi Condensed"/>
          <w:sz w:val="24"/>
          <w:szCs w:val="24"/>
        </w:rPr>
        <w:t xml:space="preserve">con i mesi anteriori, o con entrambi?*</w:t>
      </w:r>
    </w:p>
    <w:p>
      <w:pPr>
        <w:spacing w:after="120" w:line="276"/>
        <w:jc w:val="both"/>
      </w:pPr>
      <w:r>
        <w:rPr>
          <w:rFonts w:ascii="Barlow Semi Condensed" w:cs="Barlow Semi Condensed" w:eastAsia="Barlow Semi Condensed" w:hAnsi="Barlow Semi Condensed"/>
          <w:sz w:val="24"/>
          <w:szCs w:val="24"/>
        </w:rPr>
        <w:t xml:space="preserve">→ È l'unico strumento con una </w:t>
      </w:r>
      <w:r>
        <w:rPr>
          <w:rFonts w:ascii="Barlow Semi Condensed" w:cs="Barlow Semi Condensed" w:eastAsia="Barlow Semi Condensed" w:hAnsi="Barlow Semi Condensed"/>
          <w:b/>
          <w:bCs/>
          <w:sz w:val="24"/>
          <w:szCs w:val="24"/>
        </w:rPr>
        <w:t xml:space="preserve">componente temporale intrinseca</w:t>
      </w:r>
      <w:r>
        <w:rPr>
          <w:rFonts w:ascii="Barlow Semi Condensed" w:cs="Barlow Semi Condensed" w:eastAsia="Barlow Semi Condensed" w:hAnsi="Barlow Semi Condensed"/>
          <w:sz w:val="24"/>
          <w:szCs w:val="24"/>
        </w:rPr>
        <w:t xml:space="preserve">: un polline ha</w:t>
      </w:r>
    </w:p>
    <w:p>
      <w:pPr>
        <w:spacing w:after="120" w:line="276"/>
        <w:jc w:val="both"/>
      </w:pPr>
      <w:r>
        <w:rPr>
          <w:rFonts w:ascii="Barlow Semi Condensed" w:cs="Barlow Semi Condensed" w:eastAsia="Barlow Semi Condensed" w:hAnsi="Barlow Semi Condensed"/>
          <w:sz w:val="24"/>
          <w:szCs w:val="24"/>
        </w:rPr>
        <w:t xml:space="preserve">una stagione. Non data il deposito, ma può escludere una finestra.</w:t>
      </w:r>
    </w:p>
    <w:p>
      <w:pPr>
        <w:spacing w:after="120" w:line="276"/>
        <w:jc w:val="both"/>
      </w:pPr>
      <w:r>
        <w:rPr>
          <w:rFonts w:ascii="Barlow Semi Condensed" w:cs="Barlow Semi Condensed" w:eastAsia="Barlow Semi Condensed" w:hAnsi="Barlow Semi Condensed"/>
          <w:b/>
          <w:bCs/>
          <w:sz w:val="24"/>
          <w:szCs w:val="24"/>
        </w:rPr>
        <w:t xml:space="preserve">Q6 — Il poligono.</w:t>
      </w:r>
      <w:r>
        <w:rPr>
          <w:rFonts w:ascii="Barlow Semi Condensed" w:cs="Barlow Semi Condensed" w:eastAsia="Barlow Semi Condensed" w:hAnsi="Barlow Semi Condensed"/>
          <w:sz w:val="24"/>
          <w:szCs w:val="24"/>
        </w:rPr>
        <w:t xml:space="preserve"> *Dall'insieme delle tracce — sabbie, pollini, fibre, bitumi,</w:t>
      </w:r>
    </w:p>
    <w:p>
      <w:pPr>
        <w:spacing w:after="120" w:line="276"/>
        <w:jc w:val="both"/>
      </w:pPr>
      <w:r>
        <w:rPr>
          <w:rFonts w:ascii="Barlow Semi Condensed" w:cs="Barlow Semi Condensed" w:eastAsia="Barlow Semi Condensed" w:hAnsi="Barlow Semi Condensed"/>
          <w:sz w:val="24"/>
          <w:szCs w:val="24"/>
        </w:rPr>
        <w:t xml:space="preserve">terre — si ricava un perimetro di compatibilità geografica? Il luogo della</w:t>
      </w:r>
    </w:p>
    <w:p>
      <w:pPr>
        <w:spacing w:after="120" w:line="276"/>
        <w:jc w:val="both"/>
      </w:pPr>
      <w:r>
        <w:rPr>
          <w:rFonts w:ascii="Barlow Semi Condensed" w:cs="Barlow Semi Condensed" w:eastAsia="Barlow Semi Condensed" w:hAnsi="Barlow Semi Condensed"/>
          <w:sz w:val="24"/>
          <w:szCs w:val="24"/>
        </w:rPr>
        <w:t xml:space="preserve">detenzione accertata vi cade dentro o fuori, e con quali margini?*</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Nessun luogo va nominato in risposta</w:t>
      </w:r>
      <w:r>
        <w:rPr>
          <w:rFonts w:ascii="Barlow Semi Condensed" w:cs="Barlow Semi Condensed" w:eastAsia="Barlow Semi Condensed" w:hAnsi="Barlow Semi Condensed"/>
          <w:sz w:val="24"/>
          <w:szCs w:val="24"/>
        </w:rPr>
        <w:t xml:space="preserve">: si chiede un perimetro misurato, non</w:t>
      </w:r>
    </w:p>
    <w:p>
      <w:pPr>
        <w:spacing w:after="120" w:line="276"/>
        <w:jc w:val="both"/>
      </w:pPr>
      <w:r>
        <w:rPr>
          <w:rFonts w:ascii="Barlow Semi Condensed" w:cs="Barlow Semi Condensed" w:eastAsia="Barlow Semi Condensed" w:hAnsi="Barlow Semi Condensed"/>
          <w:sz w:val="24"/>
          <w:szCs w:val="24"/>
        </w:rPr>
        <w:t xml:space="preserve">un indirizzo. La domanda è di compatibilità, non di identificazione.</w:t>
      </w:r>
    </w:p>
    <w:p>
      <w:pPr>
        <w:spacing w:after="120" w:line="276"/>
        <w:jc w:val="both"/>
      </w:pPr>
      <w:r>
        <w:rPr>
          <w:rFonts w:ascii="Barlow Semi Condensed" w:cs="Barlow Semi Condensed" w:eastAsia="Barlow Semi Condensed" w:hAnsi="Barlow Semi Condensed"/>
          <w:b/>
          <w:bCs/>
          <w:sz w:val="24"/>
          <w:szCs w:val="24"/>
        </w:rPr>
        <w:t xml:space="preserve">Q7 — La contaminazione.</w:t>
      </w:r>
      <w:r>
        <w:rPr>
          <w:rFonts w:ascii="Barlow Semi Condensed" w:cs="Barlow Semi Condensed" w:eastAsia="Barlow Semi Condensed" w:hAnsi="Barlow Semi Condensed"/>
          <w:sz w:val="24"/>
          <w:szCs w:val="24"/>
        </w:rPr>
        <w:t xml:space="preserve"> *Quali contaminazioni sono documentabili o</w:t>
      </w:r>
    </w:p>
    <w:p>
      <w:pPr>
        <w:spacing w:after="120" w:line="276"/>
        <w:jc w:val="both"/>
      </w:pPr>
      <w:r>
        <w:rPr>
          <w:rFonts w:ascii="Barlow Semi Condensed" w:cs="Barlow Semi Condensed" w:eastAsia="Barlow Semi Condensed" w:hAnsi="Barlow Semi Condensed"/>
          <w:sz w:val="24"/>
          <w:szCs w:val="24"/>
        </w:rPr>
        <w:t xml:space="preserve">ragionevolmente ipotizzabili — dal rinvenimento, dalle manipolazioni peritali del</w:t>
      </w:r>
    </w:p>
    <w:p>
      <w:pPr>
        <w:spacing w:after="120" w:line="276"/>
        <w:jc w:val="both"/>
      </w:pPr>
      <w:r>
        <w:rPr>
          <w:rFonts w:ascii="Barlow Semi Condensed" w:cs="Barlow Semi Condensed" w:eastAsia="Barlow Semi Condensed" w:hAnsi="Barlow Semi Condensed"/>
          <w:sz w:val="24"/>
          <w:szCs w:val="24"/>
        </w:rPr>
        <w:t xml:space="preserve">1978, dalla conservazione, dagli esami successivi — e in che misura degradano</w:t>
      </w:r>
    </w:p>
    <w:p>
      <w:pPr>
        <w:spacing w:after="120" w:line="276"/>
        <w:jc w:val="both"/>
      </w:pPr>
      <w:r>
        <w:rPr>
          <w:rFonts w:ascii="Barlow Semi Condensed" w:cs="Barlow Semi Condensed" w:eastAsia="Barlow Semi Condensed" w:hAnsi="Barlow Semi Condensed"/>
          <w:sz w:val="24"/>
          <w:szCs w:val="24"/>
        </w:rPr>
        <w:t xml:space="preserve">l'attendibilità delle risposte precedenti?*</w:t>
      </w:r>
    </w:p>
    <w:p>
      <w:pPr>
        <w:spacing w:after="120" w:line="276"/>
        <w:jc w:val="both"/>
      </w:pPr>
      <w:r>
        <w:rPr>
          <w:rFonts w:ascii="Barlow Semi Condensed" w:cs="Barlow Semi Condensed" w:eastAsia="Barlow Semi Condensed" w:hAnsi="Barlow Semi Condensed"/>
          <w:sz w:val="24"/>
          <w:szCs w:val="24"/>
        </w:rPr>
        <w:t xml:space="preserve">→ Va posto </w:t>
      </w:r>
      <w:r>
        <w:rPr>
          <w:rFonts w:ascii="Barlow Semi Condensed" w:cs="Barlow Semi Condensed" w:eastAsia="Barlow Semi Condensed" w:hAnsi="Barlow Semi Condensed"/>
          <w:b/>
          <w:bCs/>
          <w:sz w:val="24"/>
          <w:szCs w:val="24"/>
        </w:rPr>
        <w:t xml:space="preserve">per ultimo e va posto sempre</w:t>
      </w:r>
      <w:r>
        <w:rPr>
          <w:rFonts w:ascii="Barlow Semi Condensed" w:cs="Barlow Semi Condensed" w:eastAsia="Barlow Semi Condensed" w:hAnsi="Barlow Semi Condensed"/>
          <w:sz w:val="24"/>
          <w:szCs w:val="24"/>
        </w:rPr>
        <w:t xml:space="preserve">: una perizia che non dichiari le</w:t>
      </w:r>
    </w:p>
    <w:p>
      <w:pPr>
        <w:spacing w:after="120" w:line="276"/>
        <w:jc w:val="both"/>
      </w:pPr>
      <w:r>
        <w:rPr>
          <w:rFonts w:ascii="Barlow Semi Condensed" w:cs="Barlow Semi Condensed" w:eastAsia="Barlow Semi Condensed" w:hAnsi="Barlow Semi Condensed"/>
          <w:sz w:val="24"/>
          <w:szCs w:val="24"/>
        </w:rPr>
        <w:t xml:space="preserve">proprie contaminazioni possibili non è una perizia più forte, è una perizia meno</w:t>
      </w:r>
    </w:p>
    <w:p>
      <w:pPr>
        <w:spacing w:after="120" w:line="276"/>
        <w:jc w:val="both"/>
      </w:pPr>
      <w:r>
        <w:rPr>
          <w:rFonts w:ascii="Barlow Semi Condensed" w:cs="Barlow Semi Condensed" w:eastAsia="Barlow Semi Condensed" w:hAnsi="Barlow Semi Condensed"/>
          <w:sz w:val="24"/>
          <w:szCs w:val="24"/>
        </w:rPr>
        <w:t xml:space="preserve">leggibile.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La mappa di falsificazione</w:t>
      </w:r>
    </w:p>
    <w:p>
      <w:pPr>
        <w:spacing w:after="120" w:line="276"/>
        <w:jc w:val="both"/>
      </w:pPr>
      <w:r>
        <w:rPr>
          <w:rFonts w:ascii="Barlow Semi Condensed" w:cs="Barlow Semi Condensed" w:eastAsia="Barlow Semi Condensed" w:hAnsi="Barlow Semi Condensed"/>
          <w:sz w:val="24"/>
          <w:szCs w:val="24"/>
        </w:rPr>
        <w:t xml:space="preserve">Perché il quesito sia onesto, gli esiti vanno scritti </w:t>
      </w: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è la regola che</w:t>
      </w:r>
    </w:p>
    <w:p>
      <w:pPr>
        <w:spacing w:after="120" w:line="276"/>
        <w:jc w:val="both"/>
      </w:pPr>
      <w:r>
        <w:rPr>
          <w:rFonts w:ascii="Barlow Semi Condensed" w:cs="Barlow Semi Condensed" w:eastAsia="Barlow Semi Condensed" w:hAnsi="Barlow Semi Condensed"/>
          <w:sz w:val="24"/>
          <w:szCs w:val="24"/>
        </w:rPr>
        <w:t xml:space="preserve">questo lavoro applica ovunque, e vale qui più che altrove, perché dopo l'esame</w:t>
      </w:r>
    </w:p>
    <w:p>
      <w:pPr>
        <w:spacing w:after="120" w:line="276"/>
        <w:jc w:val="both"/>
      </w:pPr>
      <w:r>
        <w:rPr>
          <w:rFonts w:ascii="Barlow Semi Condensed" w:cs="Barlow Semi Condensed" w:eastAsia="Barlow Semi Condensed" w:hAnsi="Barlow Semi Condensed"/>
          <w:sz w:val="24"/>
          <w:szCs w:val="24"/>
        </w:rPr>
        <w:t xml:space="preserve">sarà facile trovare buone ragioni per la lettura che si preferisce.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se l'esame stabilisce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allora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la sabbia è sotto i residui dell'ambiente di custodia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finestra </w:t>
            </w:r>
            <w:r>
              <w:rPr>
                <w:rFonts w:ascii="Barlow Semi Condensed" w:cs="Barlow Semi Condensed" w:eastAsia="Barlow Semi Condensed" w:hAnsi="Barlow Semi Condensed"/>
                <w:b/>
                <w:bCs/>
                <w:sz w:val="20"/>
                <w:szCs w:val="20"/>
              </w:rPr>
              <w:t xml:space="preserve">F1</w:t>
            </w:r>
            <w:r>
              <w:rPr>
                <w:rFonts w:ascii="Barlow Semi Condensed" w:cs="Barlow Semi Condensed" w:eastAsia="Barlow Semi Condensed" w:hAnsi="Barlow Semi Condensed"/>
                <w:sz w:val="20"/>
                <w:szCs w:val="20"/>
              </w:rPr>
              <w:t xml:space="preserve">: l'evidenza si cancella, la matrice resta com'è, e </w:t>
            </w:r>
            <w:r>
              <w:rPr>
                <w:rFonts w:ascii="Barlow Semi Condensed" w:cs="Barlow Semi Condensed" w:eastAsia="Barlow Semi Condensed" w:hAnsi="Barlow Semi Condensed"/>
                <w:b/>
                <w:bCs/>
                <w:sz w:val="20"/>
                <w:szCs w:val="20"/>
              </w:rPr>
              <w:t xml:space="preserve">una delle tesi più diffuse sul caso perde il proprio unico appoggio materiale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la sabbia è sopra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finestra </w:t>
            </w:r>
            <w:r>
              <w:rPr>
                <w:rFonts w:ascii="Barlow Semi Condensed" w:cs="Barlow Semi Condensed" w:eastAsia="Barlow Semi Condensed" w:hAnsi="Barlow Semi Condensed"/>
                <w:b/>
                <w:bCs/>
                <w:sz w:val="20"/>
                <w:szCs w:val="20"/>
              </w:rPr>
              <w:t xml:space="preserve">F2</w:t>
            </w:r>
            <w:r>
              <w:rPr>
                <w:rFonts w:ascii="Barlow Semi Condensed" w:cs="Barlow Semi Condensed" w:eastAsia="Barlow Semi Condensed" w:hAnsi="Barlow Semi Condensed"/>
                <w:sz w:val="20"/>
                <w:szCs w:val="20"/>
              </w:rPr>
              <w:t xml:space="preserve">: l'ipotesi della custodia plurima sale in testa, e le tre ipotesi di custodia unica vanno riesaminate — </w:t>
            </w:r>
            <w:r>
              <w:rPr>
                <w:rFonts w:ascii="Barlow Semi Condensed" w:cs="Barlow Semi Condensed" w:eastAsia="Barlow Semi Condensed" w:hAnsi="Barlow Semi Condensed"/>
                <w:b/>
                <w:bCs/>
                <w:sz w:val="20"/>
                <w:szCs w:val="20"/>
              </w:rPr>
              <w:t xml:space="preserve">è il solo esito che sposterebbe il giudicato dal terreno del certo a quello del discusso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la stratigrafia non è leggibile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la cella resta aperta e </w:t>
            </w:r>
            <w:r>
              <w:rPr>
                <w:rFonts w:ascii="Barlow Semi Condensed" w:cs="Barlow Semi Condensed" w:eastAsia="Barlow Semi Condensed" w:hAnsi="Barlow Semi Condensed"/>
                <w:b/>
                <w:bCs/>
                <w:sz w:val="20"/>
                <w:szCs w:val="20"/>
              </w:rPr>
              <w:t xml:space="preserve">si dichiara non riempibile con questi reperti</w:t>
            </w:r>
            <w:r>
              <w:rPr>
                <w:rFonts w:ascii="Barlow Semi Condensed" w:cs="Barlow Semi Condensed" w:eastAsia="Barlow Semi Condensed" w:hAnsi="Barlow Semi Condensed"/>
                <w:sz w:val="20"/>
                <w:szCs w:val="20"/>
              </w:rPr>
              <w:t xml:space="preserve">: Stato Zero con la sede nominata, che è più di quanto oggi si abbia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 due depositi differiscono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le finestre si moltiplicano; il quesito si riformula per ciascun deposito, e la matrice acquista una riga invece di perderne una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 pollini escludono la primavera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F1</w:t>
            </w:r>
            <w:r>
              <w:rPr>
                <w:rFonts w:ascii="Barlow Semi Condensed" w:cs="Barlow Semi Condensed" w:eastAsia="Barlow Semi Condensed" w:hAnsi="Barlow Semi Condensed"/>
                <w:sz w:val="20"/>
                <w:szCs w:val="20"/>
              </w:rPr>
              <w:t xml:space="preserve"> rafforzata per via indipendente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 reperti non sono più esaminabili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quesito si chiude su </w:t>
            </w:r>
            <w:r>
              <w:rPr>
                <w:rFonts w:ascii="Barlow Semi Condensed" w:cs="Barlow Semi Condensed" w:eastAsia="Barlow Semi Condensed" w:hAnsi="Barlow Semi Condensed"/>
                <w:b/>
                <w:bCs/>
                <w:sz w:val="20"/>
                <w:szCs w:val="20"/>
              </w:rPr>
              <w:t xml:space="preserve">Q0</w:t>
            </w:r>
            <w:r>
              <w:rPr>
                <w:rFonts w:ascii="Barlow Semi Condensed" w:cs="Barlow Semi Condensed" w:eastAsia="Barlow Semi Condensed" w:hAnsi="Barlow Semi Condensed"/>
                <w:sz w:val="20"/>
                <w:szCs w:val="20"/>
              </w:rPr>
              <w:t xml:space="preserve">, e l'esito negativo va scritto con la sede: la cella è dichiarata definitivamente vuota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**Si osservi che quattro esiti su sei chiudono la questione contro l'ipotesi</w:t>
      </w:r>
    </w:p>
    <w:p>
      <w:pPr>
        <w:spacing w:after="120" w:line="276"/>
        <w:jc w:val="both"/>
      </w:pPr>
      <w:r>
        <w:rPr>
          <w:rFonts w:ascii="Barlow Semi Condensed" w:cs="Barlow Semi Condensed" w:eastAsia="Barlow Semi Condensed" w:hAnsi="Barlow Semi Condensed"/>
          <w:sz w:val="24"/>
          <w:szCs w:val="24"/>
        </w:rPr>
        <w:t xml:space="preserve">forte.** È il segno che il quesito è ben posto: un esame che potesse solo</w:t>
      </w:r>
    </w:p>
    <w:p>
      <w:pPr>
        <w:spacing w:after="120" w:line="276"/>
        <w:jc w:val="both"/>
      </w:pPr>
      <w:r>
        <w:rPr>
          <w:rFonts w:ascii="Barlow Semi Condensed" w:cs="Barlow Semi Condensed" w:eastAsia="Barlow Semi Condensed" w:hAnsi="Barlow Semi Condensed"/>
          <w:sz w:val="24"/>
          <w:szCs w:val="24"/>
        </w:rPr>
        <w:t xml:space="preserve">confermare non sarebbe un esame. E chi lo proponesse sperando in un esito</w:t>
      </w:r>
    </w:p>
    <w:p>
      <w:pPr>
        <w:spacing w:after="120" w:line="276"/>
        <w:jc w:val="both"/>
      </w:pPr>
      <w:r>
        <w:rPr>
          <w:rFonts w:ascii="Barlow Semi Condensed" w:cs="Barlow Semi Condensed" w:eastAsia="Barlow Semi Condensed" w:hAnsi="Barlow Semi Condensed"/>
          <w:sz w:val="24"/>
          <w:szCs w:val="24"/>
        </w:rPr>
        <w:t xml:space="preserve">determinato dovrebbe sapere, prima di proporlo, che **la probabilità maggiore è</w:t>
      </w:r>
    </w:p>
    <w:p>
      <w:pPr>
        <w:spacing w:after="120" w:line="276"/>
        <w:jc w:val="both"/>
      </w:pPr>
      <w:r>
        <w:rPr>
          <w:rFonts w:ascii="Barlow Semi Condensed" w:cs="Barlow Semi Condensed" w:eastAsia="Barlow Semi Condensed" w:hAnsi="Barlow Semi Condensed"/>
          <w:sz w:val="24"/>
          <w:szCs w:val="24"/>
        </w:rPr>
        <w:t xml:space="preserve">che l'esito gli dispiaccia**.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Le sedi</w:t>
      </w:r>
    </w:p>
    <w:p>
      <w:pPr>
        <w:spacing w:after="120" w:line="276"/>
        <w:jc w:val="both"/>
      </w:pPr>
      <w:r>
        <w:rPr>
          <w:rFonts w:ascii="Barlow Semi Condensed" w:cs="Barlow Semi Condensed" w:eastAsia="Barlow Semi Condensed" w:hAnsi="Barlow Semi Condensed"/>
          <w:b/>
          <w:bCs/>
          <w:sz w:val="24"/>
          <w:szCs w:val="24"/>
        </w:rPr>
        <w:t xml:space="preserve">Il fascicolo aperto</w:t>
      </w:r>
      <w:r>
        <w:rPr>
          <w:rFonts w:ascii="Barlow Semi Condensed" w:cs="Barlow Semi Condensed" w:eastAsia="Barlow Semi Condensed" w:hAnsi="Barlow Semi Condensed"/>
          <w:sz w:val="24"/>
          <w:szCs w:val="24"/>
        </w:rPr>
        <w:t xml:space="preserve"> presso la Procura e il GIP di Roma è l'unica sede in cui</w:t>
      </w:r>
    </w:p>
    <w:p>
      <w:pPr>
        <w:spacing w:after="120" w:line="276"/>
        <w:jc w:val="both"/>
      </w:pPr>
      <w:r>
        <w:rPr>
          <w:rFonts w:ascii="Barlow Semi Condensed" w:cs="Barlow Semi Condensed" w:eastAsia="Barlow Semi Condensed" w:hAnsi="Barlow Semi Condensed"/>
          <w:sz w:val="24"/>
          <w:szCs w:val="24"/>
        </w:rPr>
        <w:t xml:space="preserve">un atto peritale può essere disposto, e nel quale altri accertamenti sui reperti</w:t>
      </w:r>
    </w:p>
    <w:p>
      <w:pPr>
        <w:spacing w:after="120" w:line="276"/>
        <w:jc w:val="both"/>
      </w:pPr>
      <w:r>
        <w:rPr>
          <w:rFonts w:ascii="Barlow Semi Condensed" w:cs="Barlow Semi Condensed" w:eastAsia="Barlow Semi Condensed" w:hAnsi="Barlow Semi Condensed"/>
          <w:sz w:val="24"/>
          <w:szCs w:val="24"/>
        </w:rPr>
        <w:t xml:space="preserve">del caso sono già in corso.</w:t>
      </w:r>
    </w:p>
    <w:p>
      <w:pPr>
        <w:spacing w:after="120" w:line="276"/>
        <w:jc w:val="both"/>
      </w:pPr>
      <w:r>
        <w:rPr>
          <w:rFonts w:ascii="Barlow Semi Condensed" w:cs="Barlow Semi Condensed" w:eastAsia="Barlow Semi Condensed" w:hAnsi="Barlow Semi Condensed"/>
          <w:b/>
          <w:bCs/>
          <w:sz w:val="24"/>
          <w:szCs w:val="24"/>
        </w:rPr>
        <w:t xml:space="preserve">Gli atti della Commissione Moro 2</w:t>
      </w:r>
      <w:r>
        <w:rPr>
          <w:rFonts w:ascii="Barlow Semi Condensed" w:cs="Barlow Semi Condensed" w:eastAsia="Barlow Semi Condensed" w:hAnsi="Barlow Semi Condensed"/>
          <w:sz w:val="24"/>
          <w:szCs w:val="24"/>
        </w:rPr>
        <w:t xml:space="preserve"> contengono gli accertamenti 2016-2017 sulle</w:t>
      </w:r>
    </w:p>
    <w:p>
      <w:pPr>
        <w:spacing w:after="120" w:line="276"/>
        <w:jc w:val="both"/>
      </w:pPr>
      <w:r>
        <w:rPr>
          <w:rFonts w:ascii="Barlow Semi Condensed" w:cs="Barlow Semi Condensed" w:eastAsia="Barlow Semi Condensed" w:hAnsi="Barlow Semi Condensed"/>
          <w:sz w:val="24"/>
          <w:szCs w:val="24"/>
        </w:rPr>
        <w:t xml:space="preserve">tracce materiali: sono il punto di partenza documentale e vanno acquisiti prima di</w:t>
      </w:r>
    </w:p>
    <w:p>
      <w:pPr>
        <w:spacing w:after="120" w:line="276"/>
        <w:jc w:val="both"/>
      </w:pPr>
      <w:r>
        <w:rPr>
          <w:rFonts w:ascii="Barlow Semi Condensed" w:cs="Barlow Semi Condensed" w:eastAsia="Barlow Semi Condensed" w:hAnsi="Barlow Semi Condensed"/>
          <w:sz w:val="24"/>
          <w:szCs w:val="24"/>
        </w:rPr>
        <w:t xml:space="preserve">formulare qualunque quesito definitivo.</w:t>
      </w:r>
    </w:p>
    <w:p>
      <w:pPr>
        <w:spacing w:after="120" w:line="276"/>
        <w:jc w:val="both"/>
      </w:pPr>
      <w:r>
        <w:rPr>
          <w:rFonts w:ascii="Barlow Semi Condensed" w:cs="Barlow Semi Condensed" w:eastAsia="Barlow Semi Condensed" w:hAnsi="Barlow Semi Condensed"/>
          <w:b/>
          <w:bCs/>
          <w:sz w:val="24"/>
          <w:szCs w:val="24"/>
        </w:rPr>
        <w:t xml:space="preserve">Il fondo Direttiva Renzi</w:t>
      </w:r>
      <w:r>
        <w:rPr>
          <w:rFonts w:ascii="Barlow Semi Condensed" w:cs="Barlow Semi Condensed" w:eastAsia="Barlow Semi Condensed" w:hAnsi="Barlow Semi Condensed"/>
          <w:sz w:val="24"/>
          <w:szCs w:val="24"/>
        </w:rPr>
        <w:t xml:space="preserve"> presso l'Archivio centrale dello Stato conserva i</w:t>
      </w:r>
    </w:p>
    <w:p>
      <w:pPr>
        <w:spacing w:after="120" w:line="276"/>
        <w:jc w:val="both"/>
      </w:pPr>
      <w:r>
        <w:rPr>
          <w:rFonts w:ascii="Barlow Semi Condensed" w:cs="Barlow Semi Condensed" w:eastAsia="Barlow Semi Condensed" w:hAnsi="Barlow Semi Condensed"/>
          <w:sz w:val="24"/>
          <w:szCs w:val="24"/>
        </w:rPr>
        <w:t xml:space="preserve">versamenti da cui la catena di custodia dei reperti può essere ricostruita — la</w:t>
      </w:r>
    </w:p>
    <w:p>
      <w:pPr>
        <w:spacing w:after="120" w:line="276"/>
        <w:jc w:val="both"/>
      </w:pPr>
      <w:r>
        <w:rPr>
          <w:rFonts w:ascii="Barlow Semi Condensed" w:cs="Barlow Semi Condensed" w:eastAsia="Barlow Semi Condensed" w:hAnsi="Barlow Semi Condensed"/>
          <w:sz w:val="24"/>
          <w:szCs w:val="24"/>
        </w:rPr>
        <w:t xml:space="preserve">precondizione </w:t>
      </w:r>
      <w:r>
        <w:rPr>
          <w:rFonts w:ascii="Barlow Semi Condensed" w:cs="Barlow Semi Condensed" w:eastAsia="Barlow Semi Condensed" w:hAnsi="Barlow Semi Condensed"/>
          <w:b/>
          <w:bCs/>
          <w:sz w:val="24"/>
          <w:szCs w:val="24"/>
        </w:rPr>
        <w:t xml:space="preserve">Q0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In subordine, e per la sola parte metodologica</w:t>
      </w:r>
      <w:r>
        <w:rPr>
          <w:rFonts w:ascii="Barlow Semi Condensed" w:cs="Barlow Semi Condensed" w:eastAsia="Barlow Semi Condensed" w:hAnsi="Barlow Semi Condensed"/>
          <w:sz w:val="24"/>
          <w:szCs w:val="24"/>
        </w:rPr>
        <w:t xml:space="preserve">, la questione è proponibile in</w:t>
      </w:r>
    </w:p>
    <w:p>
      <w:pPr>
        <w:spacing w:after="120" w:line="276"/>
        <w:jc w:val="both"/>
      </w:pPr>
      <w:r>
        <w:rPr>
          <w:rFonts w:ascii="Barlow Semi Condensed" w:cs="Barlow Semi Condensed" w:eastAsia="Barlow Semi Condensed" w:hAnsi="Barlow Semi Condensed"/>
          <w:sz w:val="24"/>
          <w:szCs w:val="24"/>
        </w:rPr>
        <w:t xml:space="preserve">sede scientifica: la geologia forense e la palinologia hanno letteratura propria, e</w:t>
      </w:r>
    </w:p>
    <w:p>
      <w:pPr>
        <w:spacing w:after="120" w:line="276"/>
        <w:jc w:val="both"/>
      </w:pPr>
      <w:r>
        <w:rPr>
          <w:rFonts w:ascii="Barlow Semi Condensed" w:cs="Barlow Semi Condensed" w:eastAsia="Barlow Semi Condensed" w:hAnsi="Barlow Semi Condensed"/>
          <w:sz w:val="24"/>
          <w:szCs w:val="24"/>
        </w:rPr>
        <w:t xml:space="preserve">il quesito, spogliato del caso, è un problema tecnico ordinario — *datare un</w:t>
      </w:r>
    </w:p>
    <w:p>
      <w:pPr>
        <w:spacing w:after="120" w:line="276"/>
        <w:jc w:val="both"/>
      </w:pPr>
      <w:r>
        <w:rPr>
          <w:rFonts w:ascii="Barlow Semi Condensed" w:cs="Barlow Semi Condensed" w:eastAsia="Barlow Semi Condensed" w:hAnsi="Barlow Semi Condensed"/>
          <w:sz w:val="24"/>
          <w:szCs w:val="24"/>
        </w:rPr>
        <w:t xml:space="preserve">deposito clastico su un tessuto conservato quarantotto anni*. Formularlo in quella</w:t>
      </w:r>
    </w:p>
    <w:p>
      <w:pPr>
        <w:spacing w:after="120" w:line="276"/>
        <w:jc w:val="both"/>
      </w:pPr>
      <w:r>
        <w:rPr>
          <w:rFonts w:ascii="Barlow Semi Condensed" w:cs="Barlow Semi Condensed" w:eastAsia="Barlow Semi Condensed" w:hAnsi="Barlow Semi Condensed"/>
          <w:sz w:val="24"/>
          <w:szCs w:val="24"/>
        </w:rPr>
        <w:t xml:space="preserve">sede non produce prova, ma produce </w:t>
      </w:r>
      <w:r>
        <w:rPr>
          <w:rFonts w:ascii="Barlow Semi Condensed" w:cs="Barlow Semi Condensed" w:eastAsia="Barlow Semi Condensed" w:hAnsi="Barlow Semi Condensed"/>
          <w:b/>
          <w:bCs/>
          <w:sz w:val="24"/>
          <w:szCs w:val="24"/>
        </w:rPr>
        <w:t xml:space="preserve">il protocollo</w:t>
      </w:r>
      <w:r>
        <w:rPr>
          <w:rFonts w:ascii="Barlow Semi Condensed" w:cs="Barlow Semi Condensed" w:eastAsia="Barlow Semi Condensed" w:hAnsi="Barlow Semi Condensed"/>
          <w:sz w:val="24"/>
          <w:szCs w:val="24"/>
        </w:rPr>
        <w:t xml:space="preserve"> che la prova richiederebbe.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Che cosa questo documento non chiede</w:t>
      </w:r>
    </w:p>
    <w:p>
      <w:pPr>
        <w:spacing w:after="120" w:line="276"/>
        <w:jc w:val="both"/>
      </w:pPr>
      <w:r>
        <w:rPr>
          <w:rFonts w:ascii="Barlow Semi Condensed" w:cs="Barlow Semi Condensed" w:eastAsia="Barlow Semi Condensed" w:hAnsi="Barlow Semi Condensed"/>
          <w:sz w:val="24"/>
          <w:szCs w:val="24"/>
        </w:rPr>
        <w:t xml:space="preserve">Non chiede di riaprire un processo. Non chiede di rimettere in discussione un</w:t>
      </w:r>
    </w:p>
    <w:p>
      <w:pPr>
        <w:spacing w:after="120" w:line="276"/>
        <w:jc w:val="both"/>
      </w:pPr>
      <w:r>
        <w:rPr>
          <w:rFonts w:ascii="Barlow Semi Condensed" w:cs="Barlow Semi Condensed" w:eastAsia="Barlow Semi Condensed" w:hAnsi="Barlow Semi Condensed"/>
          <w:sz w:val="24"/>
          <w:szCs w:val="24"/>
        </w:rPr>
        <w:t xml:space="preserve">giudicato: chiede di </w:t>
      </w:r>
      <w:r>
        <w:rPr>
          <w:rFonts w:ascii="Barlow Semi Condensed" w:cs="Barlow Semi Condensed" w:eastAsia="Barlow Semi Condensed" w:hAnsi="Barlow Semi Condensed"/>
          <w:b/>
          <w:bCs/>
          <w:sz w:val="24"/>
          <w:szCs w:val="24"/>
        </w:rPr>
        <w:t xml:space="preserve">misurare quanto quel giudicato sia stretto</w:t>
      </w:r>
      <w:r>
        <w:rPr>
          <w:rFonts w:ascii="Barlow Semi Condensed" w:cs="Barlow Semi Condensed" w:eastAsia="Barlow Semi Condensed" w:hAnsi="Barlow Semi Condensed"/>
          <w:sz w:val="24"/>
          <w:szCs w:val="24"/>
        </w:rPr>
        <w:t xml:space="preserve"> in un punto</w:t>
      </w:r>
    </w:p>
    <w:p>
      <w:pPr>
        <w:spacing w:after="120" w:line="276"/>
        <w:jc w:val="both"/>
      </w:pPr>
      <w:r>
        <w:rPr>
          <w:rFonts w:ascii="Barlow Semi Condensed" w:cs="Barlow Semi Condensed" w:eastAsia="Barlow Semi Condensed" w:hAnsi="Barlow Semi Condensed"/>
          <w:sz w:val="24"/>
          <w:szCs w:val="24"/>
        </w:rPr>
        <w:t xml:space="preserve">che nessuno ha mai misurato, il che è cosa diversa e la disciplina di quest'opera</w:t>
      </w:r>
    </w:p>
    <w:p>
      <w:pPr>
        <w:spacing w:after="120" w:line="276"/>
        <w:jc w:val="both"/>
      </w:pPr>
      <w:r>
        <w:rPr>
          <w:rFonts w:ascii="Barlow Semi Condensed" w:cs="Barlow Semi Condensed" w:eastAsia="Barlow Semi Condensed" w:hAnsi="Barlow Semi Condensed"/>
          <w:sz w:val="24"/>
          <w:szCs w:val="24"/>
        </w:rPr>
        <w:t xml:space="preserve">la distingue da sempre — </w:t>
      </w:r>
      <w:r>
        <w:rPr>
          <w:rFonts w:ascii="Barlow Semi Condensed" w:cs="Barlow Semi Condensed" w:eastAsia="Barlow Semi Condensed" w:hAnsi="Barlow Semi Condensed"/>
          <w:i/>
          <w:iCs/>
          <w:sz w:val="24"/>
          <w:szCs w:val="24"/>
        </w:rPr>
        <w:t xml:space="preserve">la conferma è un esito, non un'ovvietà</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chiede un nome. L'esito migliore possibile di questo quesito è </w:t>
      </w:r>
      <w:r>
        <w:rPr>
          <w:rFonts w:ascii="Barlow Semi Condensed" w:cs="Barlow Semi Condensed" w:eastAsia="Barlow Semi Condensed" w:hAnsi="Barlow Semi Condensed"/>
          <w:b/>
          <w:bCs/>
          <w:sz w:val="24"/>
          <w:szCs w:val="24"/>
        </w:rPr>
        <w:t xml:space="preserve">una data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l'esito peggiore è </w:t>
      </w:r>
      <w:r>
        <w:rPr>
          <w:rFonts w:ascii="Barlow Semi Condensed" w:cs="Barlow Semi Condensed" w:eastAsia="Barlow Semi Condensed" w:hAnsi="Barlow Semi Condensed"/>
          <w:b/>
          <w:bCs/>
          <w:sz w:val="24"/>
          <w:szCs w:val="24"/>
        </w:rPr>
        <w:t xml:space="preserve">una dichiarazione di impossibilità con la sede nominata</w:t>
      </w:r>
      <w:r>
        <w:rPr>
          <w:rFonts w:ascii="Barlow Semi Condensed" w:cs="Barlow Semi Condensed" w:eastAsia="Barlow Semi Condensed" w:hAnsi="Barlow Semi Condensed"/>
          <w:sz w:val="24"/>
          <w:szCs w:val="24"/>
        </w:rPr>
        <w:t xml:space="preserve">. In</w:t>
      </w:r>
    </w:p>
    <w:p>
      <w:pPr>
        <w:spacing w:after="120" w:line="276"/>
        <w:jc w:val="both"/>
      </w:pPr>
      <w:r>
        <w:rPr>
          <w:rFonts w:ascii="Barlow Semi Condensed" w:cs="Barlow Semi Condensed" w:eastAsia="Barlow Semi Condensed" w:hAnsi="Barlow Semi Condensed"/>
          <w:sz w:val="24"/>
          <w:szCs w:val="24"/>
        </w:rPr>
        <w:t xml:space="preserve">nessuno dei due casi ne esce una persona.</w:t>
      </w:r>
    </w:p>
    <w:p>
      <w:pPr>
        <w:spacing w:after="120" w:line="276"/>
        <w:jc w:val="both"/>
      </w:pPr>
      <w:r>
        <w:rPr>
          <w:rFonts w:ascii="Barlow Semi Condensed" w:cs="Barlow Semi Condensed" w:eastAsia="Barlow Semi Condensed" w:hAnsi="Barlow Semi Condensed"/>
          <w:sz w:val="24"/>
          <w:szCs w:val="24"/>
        </w:rPr>
        <w:t xml:space="preserve">E non chiede di essere creduto. Chiede una cosa sola, che è poi ciò che il caso</w:t>
      </w:r>
    </w:p>
    <w:p>
      <w:pPr>
        <w:spacing w:after="120" w:line="276"/>
        <w:jc w:val="both"/>
      </w:pPr>
      <w:r>
        <w:rPr>
          <w:rFonts w:ascii="Barlow Semi Condensed" w:cs="Barlow Semi Condensed" w:eastAsia="Barlow Semi Condensed" w:hAnsi="Barlow Semi Condensed"/>
          <w:sz w:val="24"/>
          <w:szCs w:val="24"/>
        </w:rPr>
        <w:t xml:space="preserve">Moro ha ricevuto meno di ogni altra in quarantotto anni: **che si vada a guardare,</w:t>
      </w:r>
    </w:p>
    <w:p>
      <w:pPr>
        <w:spacing w:after="120" w:line="276"/>
        <w:jc w:val="both"/>
      </w:pPr>
      <w:r>
        <w:rPr>
          <w:rFonts w:ascii="Barlow Semi Condensed" w:cs="Barlow Semi Condensed" w:eastAsia="Barlow Semi Condensed" w:hAnsi="Barlow Semi Condensed"/>
          <w:sz w:val="24"/>
          <w:szCs w:val="24"/>
        </w:rPr>
        <w:t xml:space="preserve">avendo scritto prima che cosa si sarebbe accettato come smentita.**</w:t>
      </w:r>
    </w:p>
    <w:p>
      <w:pPr>
        <w:pStyle w:val="Heading3"/>
        <w:spacing w:after="80" w:before="240"/>
      </w:pPr>
      <w:r>
        <w:rPr>
          <w:rFonts w:ascii="Barlow Semi Condensed" w:cs="Barlow Semi Condensed" w:eastAsia="Barlow Semi Condensed" w:hAnsi="Barlow Semi Condensed"/>
          <w:sz w:val="24"/>
          <w:szCs w:val="24"/>
        </w:rPr>
        <w:t xml:space="preserve">Apparato grafico — Libro sedicesimo · Il quesito della sabbia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III: 1.407 parole in 6 sezioni; la più ampia è §3 III. I quesiti, nell'ordine, con 519.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III: 30 paragrafi in 6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sedicesimo — Le tavole della custodia — IV. La matrice di via Fani</w:t>
      </w:r>
    </w:p>
    <w:p>
      <w:pPr>
        <w:pStyle w:val="Heading1"/>
        <w:spacing w:after="120" w:before="240"/>
      </w:pPr>
      <w:r>
        <w:rPr>
          <w:rFonts w:ascii="Barlow Semi Condensed" w:cs="Barlow Semi Condensed" w:eastAsia="Barlow Semi Condensed" w:hAnsi="Barlow Semi Condensed"/>
          <w:sz w:val="24"/>
          <w:szCs w:val="24"/>
        </w:rPr>
        <w:t xml:space="preserve">La matrice di via Fani — le terze presenze, e le due celle che nessuno ha ancora letto</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non in calce.*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questa matrice.</w:t>
      </w:r>
      <w:r>
        <w:rPr>
          <w:rFonts w:ascii="Barlow Semi Condensed" w:cs="Barlow Semi Condensed" w:eastAsia="Barlow Semi Condensed" w:hAnsi="Barlow Semi Condensed"/>
          <w:i w:val="false"/>
          <w:iCs w:val="false"/>
          <w:sz w:val="24"/>
          <w:szCs w:val="24"/>
        </w:rPr>
        <w:t xml:space="preserve"> La graduatoria delle piste colloca in testa, con l'indice più alto di tutti, </w:t>
      </w:r>
      <w:r>
        <w:rPr>
          <w:rFonts w:ascii="Barlow Semi Condensed" w:cs="Barlow Semi Condensed" w:eastAsia="Barlow Semi Condensed" w:hAnsi="Barlow Semi Condensed"/>
          <w:b/>
          <w:bCs/>
          <w:i w:val="false"/>
          <w:iCs w:val="false"/>
          <w:sz w:val="24"/>
          <w:szCs w:val="24"/>
        </w:rPr>
        <w:t xml:space="preserve">le terze presenze non attribuite di via Fani</w:t>
      </w:r>
      <w:r>
        <w:rPr>
          <w:rFonts w:ascii="Barlow Semi Condensed" w:cs="Barlow Semi Condensed" w:eastAsia="Barlow Semi Condensed" w:hAnsi="Barlow Semi Condensed"/>
          <w:i w:val="false"/>
          <w:iCs w:val="false"/>
          <w:sz w:val="24"/>
          <w:szCs w:val="24"/>
        </w:rPr>
        <w:t xml:space="preserve">. La matrice della custodia ha mostrato che cosa uno strumento del genere sappia fare: cancellare ciò che non discrimina e isolare la cella che decide. Qui lo si applica alla questione più contestata del caso.  </w:t>
      </w: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L'appartenenza a un'organizzazione non è prova di condotta.</w:t>
      </w:r>
      <w:r>
        <w:rPr>
          <w:rFonts w:ascii="Barlow Semi Condensed" w:cs="Barlow Semi Condensed" w:eastAsia="Barlow Semi Condensed" w:hAnsi="Barlow Semi Condensed"/>
          <w:i w:val="false"/>
          <w:iCs w:val="false"/>
          <w:sz w:val="24"/>
          <w:szCs w:val="24"/>
        </w:rPr>
        <w:t xml:space="preserve"> Nessuna persona è indicata come responsabile di un reato al di fuori di un giudicato definitivo. </w:t>
      </w:r>
      <w:r>
        <w:rPr>
          <w:rFonts w:ascii="Barlow Semi Condensed" w:cs="Barlow Semi Condensed" w:eastAsia="Barlow Semi Condensed" w:hAnsi="Barlow Semi Condensed"/>
          <w:b/>
          <w:bCs/>
          <w:i w:val="false"/>
          <w:iCs w:val="false"/>
          <w:sz w:val="24"/>
          <w:szCs w:val="24"/>
        </w:rPr>
        <w:t xml:space="preserve">Nessun reperto ha un nome come risposta attesa</w:t>
      </w:r>
      <w:r>
        <w:rPr>
          <w:rFonts w:ascii="Barlow Semi Condensed" w:cs="Barlow Semi Condensed" w:eastAsia="Barlow Semi Condensed" w:hAnsi="Barlow Semi Condensed"/>
          <w:i w:val="false"/>
          <w:iCs w:val="false"/>
          <w:sz w:val="24"/>
          <w:szCs w:val="24"/>
        </w:rPr>
        <w:t xml:space="preserve">: le ipotesi riguardano </w:t>
      </w:r>
      <w:r>
        <w:rPr>
          <w:rFonts w:ascii="Barlow Semi Condensed" w:cs="Barlow Semi Condensed" w:eastAsia="Barlow Semi Condensed" w:hAnsi="Barlow Semi Condensed"/>
          <w:i w:val="false"/>
          <w:iCs w:val="false"/>
          <w:sz w:val="24"/>
          <w:szCs w:val="24"/>
        </w:rPr>
        <w:t xml:space="preserve">quante armi, quanti mezzi, quanti uomini</w:t>
      </w:r>
      <w:r>
        <w:rPr>
          <w:rFonts w:ascii="Barlow Semi Condensed" w:cs="Barlow Semi Condensed" w:eastAsia="Barlow Semi Condensed" w:hAnsi="Barlow Semi Condensed"/>
          <w:i w:val="false"/>
          <w:iCs w:val="false"/>
          <w:sz w:val="24"/>
          <w:szCs w:val="24"/>
        </w:rPr>
        <w:t xml:space="preserve">, non chi.  Gradi: </w:t>
      </w:r>
      <w:r>
        <w:rPr>
          <w:rFonts w:ascii="Barlow Semi Condensed" w:cs="Barlow Semi Condensed" w:eastAsia="Barlow Semi Condensed" w:hAnsi="Barlow Semi Condensed"/>
          <w:b/>
          <w:bCs/>
          <w:i w:val="false"/>
          <w:iCs w:val="false"/>
          <w:sz w:val="24"/>
          <w:szCs w:val="24"/>
        </w:rPr>
        <w:t xml:space="preserve">A</w:t>
      </w:r>
      <w:r>
        <w:rPr>
          <w:rFonts w:ascii="Barlow Semi Condensed" w:cs="Barlow Semi Condensed" w:eastAsia="Barlow Semi Condensed" w:hAnsi="Barlow Semi Condensed"/>
          <w:i w:val="false"/>
          <w:iCs w:val="false"/>
          <w:sz w:val="24"/>
          <w:szCs w:val="24"/>
        </w:rPr>
        <w:t xml:space="preserve"> giudicato · </w:t>
      </w:r>
      <w:r>
        <w:rPr>
          <w:rFonts w:ascii="Barlow Semi Condensed" w:cs="Barlow Semi Condensed" w:eastAsia="Barlow Semi Condensed" w:hAnsi="Barlow Semi Condensed"/>
          <w:b/>
          <w:bCs/>
          <w:i w:val="false"/>
          <w:iCs w:val="false"/>
          <w:sz w:val="24"/>
          <w:szCs w:val="24"/>
        </w:rPr>
        <w:t xml:space="preserve">B</w:t>
      </w:r>
      <w:r>
        <w:rPr>
          <w:rFonts w:ascii="Barlow Semi Condensed" w:cs="Barlow Semi Condensed" w:eastAsia="Barlow Semi Condensed" w:hAnsi="Barlow Semi Condensed"/>
          <w:i w:val="false"/>
          <w:iCs w:val="false"/>
          <w:sz w:val="24"/>
          <w:szCs w:val="24"/>
        </w:rPr>
        <w:t xml:space="preserve"> accertamento · </w:t>
      </w:r>
      <w:r>
        <w:rPr>
          <w:rFonts w:ascii="Barlow Semi Condensed" w:cs="Barlow Semi Condensed" w:eastAsia="Barlow Semi Condensed" w:hAnsi="Barlow Semi Condensed"/>
          <w:b/>
          <w:bCs/>
          <w:i w:val="false"/>
          <w:iCs w:val="false"/>
          <w:sz w:val="24"/>
          <w:szCs w:val="24"/>
        </w:rPr>
        <w:t xml:space="preserve">C</w:t>
      </w:r>
      <w:r>
        <w:rPr>
          <w:rFonts w:ascii="Barlow Semi Condensed" w:cs="Barlow Semi Condensed" w:eastAsia="Barlow Semi Condensed" w:hAnsi="Barlow Semi Condensed"/>
          <w:i w:val="false"/>
          <w:iCs w:val="false"/>
          <w:sz w:val="24"/>
          <w:szCs w:val="24"/>
        </w:rPr>
        <w:t xml:space="preserve"> congettura ·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esito negativo con la sede nominata.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Le quattro ipotesi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Organico coincidente.</w:t>
            </w:r>
            <w:r>
              <w:rPr>
                <w:rFonts w:ascii="Barlow Semi Condensed" w:cs="Barlow Semi Condensed" w:eastAsia="Barlow Semi Condensed" w:hAnsi="Barlow Semi Condensed"/>
                <w:sz w:val="20"/>
                <w:szCs w:val="20"/>
              </w:rPr>
              <w:t xml:space="preserve"> L'insieme di chi agì in via Fani coincide con il commando accertato in via definitiva; nessuna presenza estranea.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Presenze estranee non operative.</w:t>
            </w:r>
            <w:r>
              <w:rPr>
                <w:rFonts w:ascii="Barlow Semi Condensed" w:cs="Barlow Semi Condensed" w:eastAsia="Barlow Semi Condensed" w:hAnsi="Barlow Semi Condensed"/>
                <w:sz w:val="20"/>
                <w:szCs w:val="20"/>
              </w:rPr>
              <w:t xml:space="preserve"> Una o più persone estranee al commando erano presenti in funzione di osservazione, copertura o collegamento, </w:t>
            </w:r>
            <w:r>
              <w:rPr>
                <w:rFonts w:ascii="Barlow Semi Condensed" w:cs="Barlow Semi Condensed" w:eastAsia="Barlow Semi Condensed" w:hAnsi="Barlow Semi Condensed"/>
                <w:b/>
                <w:bCs/>
                <w:sz w:val="20"/>
                <w:szCs w:val="20"/>
              </w:rPr>
              <w:t xml:space="preserve">senza partecipare all'azione di fuoco</w:t>
            </w:r>
            <w:r>
              <w:rPr>
                <w:rFonts w:ascii="Barlow Semi Condensed" w:cs="Barlow Semi Condensed" w:eastAsia="Barlow Semi Condensed" w:hAnsi="Barlow Semi Condensed"/>
                <w:sz w:val="20"/>
                <w:szCs w:val="20"/>
              </w:rPr>
              <w:t xml:space="preserv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Presenze estranee operative.</w:t>
            </w:r>
            <w:r>
              <w:rPr>
                <w:rFonts w:ascii="Barlow Semi Condensed" w:cs="Barlow Semi Condensed" w:eastAsia="Barlow Semi Condensed" w:hAnsi="Barlow Semi Condensed"/>
                <w:sz w:val="20"/>
                <w:szCs w:val="20"/>
              </w:rPr>
              <w:t xml:space="preserve"> Almeno una persona estranea al commando </w:t>
            </w:r>
            <w:r>
              <w:rPr>
                <w:rFonts w:ascii="Barlow Semi Condensed" w:cs="Barlow Semi Condensed" w:eastAsia="Barlow Semi Condensed" w:hAnsi="Barlow Semi Condensed"/>
                <w:b/>
                <w:bCs/>
                <w:sz w:val="20"/>
                <w:szCs w:val="20"/>
              </w:rPr>
              <w:t xml:space="preserve">partecipò all'azione</w:t>
            </w:r>
            <w:r>
              <w:rPr>
                <w:rFonts w:ascii="Barlow Semi Condensed" w:cs="Barlow Semi Condensed" w:eastAsia="Barlow Semi Condensed" w:hAnsi="Barlow Semi Condensed"/>
                <w:sz w:val="20"/>
                <w:szCs w:val="20"/>
              </w:rPr>
              <w:t xml:space="preserve">, con arma o con mezzo.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F4</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Presenze percepite e inesistenti.</w:t>
            </w:r>
            <w:r>
              <w:rPr>
                <w:rFonts w:ascii="Barlow Semi Condensed" w:cs="Barlow Semi Condensed" w:eastAsia="Barlow Semi Condensed" w:hAnsi="Barlow Semi Condensed"/>
                <w:sz w:val="20"/>
                <w:szCs w:val="20"/>
              </w:rPr>
              <w:t xml:space="preserve"> Le due moto e il quarto uomo sono il prodotto di errori testimoniali e ricostruttivi su elementi reali ma diversamente spiegabili.</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quattro coprono il campo e si escludono. </w:t>
      </w:r>
      <w:r>
        <w:rPr>
          <w:rFonts w:ascii="Barlow Semi Condensed" w:cs="Barlow Semi Condensed" w:eastAsia="Barlow Semi Condensed" w:hAnsi="Barlow Semi Condensed"/>
          <w:b/>
          <w:bCs/>
          <w:sz w:val="24"/>
          <w:szCs w:val="24"/>
        </w:rPr>
        <w:t xml:space="preserve">F1 e F4 non sono la stessa ipotesi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prima afferma che nessuno estraneo c'era, la seconda spiega *perché qualcuno</w:t>
      </w:r>
    </w:p>
    <w:p>
      <w:pPr>
        <w:spacing w:after="120" w:line="276"/>
        <w:jc w:val="both"/>
      </w:pPr>
      <w:r>
        <w:rPr>
          <w:rFonts w:ascii="Barlow Semi Condensed" w:cs="Barlow Semi Condensed" w:eastAsia="Barlow Semi Condensed" w:hAnsi="Barlow Semi Condensed"/>
          <w:sz w:val="24"/>
          <w:szCs w:val="24"/>
        </w:rPr>
        <w:t xml:space="preserve">credette di vederli*, ed è la sola che debba rendere conto delle testimonianze</w:t>
      </w:r>
    </w:p>
    <w:p>
      <w:pPr>
        <w:spacing w:after="120" w:line="276"/>
        <w:jc w:val="both"/>
      </w:pPr>
      <w:r>
        <w:rPr>
          <w:rFonts w:ascii="Barlow Semi Condensed" w:cs="Barlow Semi Condensed" w:eastAsia="Barlow Semi Condensed" w:hAnsi="Barlow Semi Condensed"/>
          <w:sz w:val="24"/>
          <w:szCs w:val="24"/>
        </w:rPr>
        <w:t xml:space="preserve">invece di ignorarle.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evidenze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evidenza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L'organico del commando accertato in via definitiva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Perizia 1978 (collegio Ugolini-Iadevito-Lopez): in via Fani </w:t>
            </w:r>
            <w:r>
              <w:rPr>
                <w:rFonts w:ascii="Barlow Semi Condensed" w:cs="Barlow Semi Condensed" w:eastAsia="Barlow Semi Condensed" w:hAnsi="Barlow Semi Condensed"/>
                <w:b/>
                <w:bCs/>
                <w:sz w:val="20"/>
                <w:szCs w:val="20"/>
              </w:rPr>
              <w:t xml:space="preserve">almeno 91 colpi da sei armi</w:t>
            </w:r>
            <w:r>
              <w:rPr>
                <w:rFonts w:ascii="Barlow Semi Condensed" w:cs="Barlow Semi Condensed" w:eastAsia="Barlow Semi Condensed" w:hAnsi="Barlow Semi Condensed"/>
                <w:sz w:val="20"/>
                <w:szCs w:val="20"/>
              </w:rPr>
              <w:t xml:space="preserve"> — quattro mitra e due pistole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49 bossoli attribuiti a un solo FNAB-43</w:t>
            </w:r>
            <w:r>
              <w:rPr>
                <w:rFonts w:ascii="Barlow Semi Condensed" w:cs="Barlow Semi Condensed" w:eastAsia="Barlow Semi Condensed" w:hAnsi="Barlow Semi Condensed"/>
                <w:sz w:val="20"/>
                <w:szCs w:val="20"/>
              </w:rPr>
              <w:t xml:space="preserve">; l'attribuzione è stata </w:t>
            </w:r>
            <w:r>
              <w:rPr>
                <w:rFonts w:ascii="Barlow Semi Condensed" w:cs="Barlow Semi Condensed" w:eastAsia="Barlow Semi Condensed" w:hAnsi="Barlow Semi Condensed"/>
                <w:b/>
                <w:bCs/>
                <w:sz w:val="20"/>
                <w:szCs w:val="20"/>
              </w:rPr>
              <w:t xml:space="preserve">confermata</w:t>
            </w:r>
            <w:r>
              <w:rPr>
                <w:rFonts w:ascii="Barlow Semi Condensed" w:cs="Barlow Semi Condensed" w:eastAsia="Barlow Semi Condensed" w:hAnsi="Barlow Semi Condensed"/>
                <w:sz w:val="20"/>
                <w:szCs w:val="20"/>
              </w:rPr>
              <w:t xml:space="preserve"> dall'esame del Servizio Polizia scientifica illustrato alla Commissione il </w:t>
            </w:r>
            <w:r>
              <w:rPr>
                <w:rFonts w:ascii="Barlow Semi Condensed" w:cs="Barlow Semi Condensed" w:eastAsia="Barlow Semi Condensed" w:hAnsi="Barlow Semi Condensed"/>
                <w:b/>
                <w:bCs/>
                <w:sz w:val="20"/>
                <w:szCs w:val="20"/>
              </w:rPr>
              <w:t xml:space="preserve">10 giugno 2015</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L'attribuzione dei </w:t>
            </w:r>
            <w:r>
              <w:rPr>
                <w:rFonts w:ascii="Barlow Semi Condensed" w:cs="Barlow Semi Condensed" w:eastAsia="Barlow Semi Condensed" w:hAnsi="Barlow Semi Condensed"/>
                <w:b/>
                <w:bCs/>
                <w:sz w:val="20"/>
                <w:szCs w:val="20"/>
              </w:rPr>
              <w:t xml:space="preserve">22 colpi al secondo mitra</w:t>
            </w:r>
            <w:r>
              <w:rPr>
                <w:rFonts w:ascii="Barlow Semi Condensed" w:cs="Barlow Semi Condensed" w:eastAsia="Barlow Semi Condensed" w:hAnsi="Barlow Semi Condensed"/>
                <w:sz w:val="20"/>
                <w:szCs w:val="20"/>
              </w:rPr>
              <w:t xml:space="preserve">, già messa in dubbio dalla perizia del 1993, è stata </w:t>
            </w:r>
            <w:r>
              <w:rPr>
                <w:rFonts w:ascii="Barlow Semi Condensed" w:cs="Barlow Semi Condensed" w:eastAsia="Barlow Semi Condensed" w:hAnsi="Barlow Semi Condensed"/>
                <w:b/>
                <w:bCs/>
                <w:sz w:val="20"/>
                <w:szCs w:val="20"/>
              </w:rPr>
              <w:t xml:space="preserve">declassata a esito non conclusivo</w:t>
            </w:r>
            <w:r>
              <w:rPr>
                <w:rFonts w:ascii="Barlow Semi Condensed" w:cs="Barlow Semi Condensed" w:eastAsia="Barlow Semi Condensed" w:hAnsi="Barlow Semi Condensed"/>
                <w:sz w:val="20"/>
                <w:szCs w:val="20"/>
              </w:rPr>
              <w:t xml:space="preserve"> dall'esame del 2015</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ricostruzione della dinamica </w:t>
            </w:r>
            <w:r>
              <w:rPr>
                <w:rFonts w:ascii="Barlow Semi Condensed" w:cs="Barlow Semi Condensed" w:eastAsia="Barlow Semi Condensed" w:hAnsi="Barlow Semi Condensed"/>
                <w:b/>
                <w:bCs/>
                <w:sz w:val="20"/>
                <w:szCs w:val="20"/>
              </w:rPr>
              <w:t xml:space="preserve">contraddice la figura di un unico «superkiller»</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Commissione ha ritenuto </w:t>
            </w:r>
            <w:r>
              <w:rPr>
                <w:rFonts w:ascii="Barlow Semi Condensed" w:cs="Barlow Semi Condensed" w:eastAsia="Barlow Semi Condensed" w:hAnsi="Barlow Semi Condensed"/>
                <w:b/>
                <w:bCs/>
                <w:sz w:val="20"/>
                <w:szCs w:val="20"/>
              </w:rPr>
              <w:t xml:space="preserve">da approfondire la presenza di due motociclette</w:t>
            </w:r>
            <w:r>
              <w:rPr>
                <w:rFonts w:ascii="Barlow Semi Condensed" w:cs="Barlow Semi Condensed" w:eastAsia="Barlow Semi Condensed" w:hAnsi="Barlow Semi Condensed"/>
                <w:sz w:val="20"/>
                <w:szCs w:val="20"/>
              </w:rPr>
              <w:t xml:space="preserve"> — non una — con </w:t>
            </w:r>
            <w:r>
              <w:rPr>
                <w:rFonts w:ascii="Barlow Semi Condensed" w:cs="Barlow Semi Condensed" w:eastAsia="Barlow Semi Condensed" w:hAnsi="Barlow Semi Condensed"/>
                <w:b/>
                <w:bCs/>
                <w:sz w:val="20"/>
                <w:szCs w:val="20"/>
              </w:rPr>
              <w:t xml:space="preserve">quattro persone</w:t>
            </w:r>
            <w:r>
              <w:rPr>
                <w:rFonts w:ascii="Barlow Semi Condensed" w:cs="Barlow Semi Condensed" w:eastAsia="Barlow Semi Condensed" w:hAnsi="Barlow Semi Condensed"/>
                <w:sz w:val="20"/>
                <w:szCs w:val="20"/>
              </w:rPr>
              <w:t xml:space="preserve"> a bordo: una in fuga verso via Stresa, l'altra attardata sul luogo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(acquisizione parlamentare, non giudicato)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Due testimoni oculari </w:t>
            </w:r>
            <w:r>
              <w:rPr>
                <w:rFonts w:ascii="Barlow Semi Condensed" w:cs="Barlow Semi Condensed" w:eastAsia="Barlow Semi Condensed" w:hAnsi="Barlow Semi Condensed"/>
                <w:b/>
                <w:bCs/>
                <w:sz w:val="20"/>
                <w:szCs w:val="20"/>
              </w:rPr>
              <w:t xml:space="preserve">mai sentiti prima in quarant'anni</w:t>
            </w:r>
            <w:r>
              <w:rPr>
                <w:rFonts w:ascii="Barlow Semi Condensed" w:cs="Barlow Semi Condensed" w:eastAsia="Barlow Semi Condensed" w:hAnsi="Barlow Semi Condensed"/>
                <w:sz w:val="20"/>
                <w:szCs w:val="20"/>
              </w:rPr>
              <w:t xml:space="preserve"> sono stati auditi: un residente di via Fani e un ingegnere che riferì di una </w:t>
            </w:r>
            <w:r>
              <w:rPr>
                <w:rFonts w:ascii="Barlow Semi Condensed" w:cs="Barlow Semi Condensed" w:eastAsia="Barlow Semi Condensed" w:hAnsi="Barlow Semi Condensed"/>
                <w:b/>
                <w:bCs/>
                <w:sz w:val="20"/>
                <w:szCs w:val="20"/>
              </w:rPr>
              <w:t xml:space="preserve">motocicletta Honda</w:t>
            </w:r>
            <w:r>
              <w:rPr>
                <w:rFonts w:ascii="Barlow Semi Condensed" w:cs="Barlow Semi Condensed" w:eastAsia="Barlow Semi Condensed" w:hAnsi="Barlow Semi Condensed"/>
                <w:sz w:val="20"/>
                <w:szCs w:val="20"/>
              </w:rPr>
              <w:t xml:space="preserve"> e di colpi esplosi nella sua direzione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w:t>
            </w:r>
            <w:r>
              <w:rPr>
                <w:rFonts w:ascii="Barlow Semi Condensed" w:cs="Barlow Semi Condensed" w:eastAsia="Barlow Semi Condensed" w:hAnsi="Barlow Semi Condensed"/>
                <w:b/>
                <w:bCs/>
                <w:sz w:val="20"/>
                <w:szCs w:val="20"/>
              </w:rPr>
              <w:t xml:space="preserve">profili genetici estratti nel 2016</w:t>
            </w:r>
            <w:r>
              <w:rPr>
                <w:rFonts w:ascii="Barlow Semi Condensed" w:cs="Barlow Semi Condensed" w:eastAsia="Barlow Semi Condensed" w:hAnsi="Barlow Semi Condensed"/>
                <w:sz w:val="20"/>
                <w:szCs w:val="20"/>
              </w:rPr>
              <w:t xml:space="preserve"> dai mozziconi dell'auto di sbarramento e della base di via Gradoli restano </w:t>
            </w:r>
            <w:r>
              <w:rPr>
                <w:rFonts w:ascii="Barlow Semi Condensed" w:cs="Barlow Semi Condensed" w:eastAsia="Barlow Semi Condensed" w:hAnsi="Barlow Semi Condensed"/>
                <w:b/>
                <w:bCs/>
                <w:sz w:val="20"/>
                <w:szCs w:val="20"/>
              </w:rPr>
              <w:t xml:space="preserve">senza attribuzione pubblica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cella non letta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w:t>
            </w:r>
            <w:r>
              <w:rPr>
                <w:rFonts w:ascii="Barlow Semi Condensed" w:cs="Barlow Semi Condensed" w:eastAsia="Barlow Semi Condensed" w:hAnsi="Barlow Semi Condensed"/>
                <w:b/>
                <w:bCs/>
                <w:sz w:val="20"/>
                <w:szCs w:val="20"/>
              </w:rPr>
              <w:t xml:space="preserve">caricatore repertato all'angolo fra via Fani e via Stresa non fu mai sottoposto a comparazione in quarantotto anni</w:t>
            </w:r>
            <w:r>
              <w:rPr>
                <w:rFonts w:ascii="Barlow Semi Condensed" w:cs="Barlow Semi Condensed" w:eastAsia="Barlow Semi Condensed" w:hAnsi="Barlow Semi Condensed"/>
                <w:sz w:val="20"/>
                <w:szCs w:val="20"/>
              </w:rPr>
              <w:t xml:space="preserve">; nuovi esami sono stati disposti dal giudice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cella non letta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Quarant'anni di perizie e comparazioni </w:t>
            </w:r>
            <w:r>
              <w:rPr>
                <w:rFonts w:ascii="Barlow Semi Condensed" w:cs="Barlow Semi Condensed" w:eastAsia="Barlow Semi Condensed" w:hAnsi="Barlow Semi Condensed"/>
                <w:b/>
                <w:bCs/>
                <w:sz w:val="20"/>
                <w:szCs w:val="20"/>
              </w:rPr>
              <w:t xml:space="preserve">non hanno conseguito identificazioni</w:t>
            </w:r>
            <w:r>
              <w:rPr>
                <w:rFonts w:ascii="Barlow Semi Condensed" w:cs="Barlow Semi Condensed" w:eastAsia="Barlow Semi Condensed" w:hAnsi="Barlow Semi Condensed"/>
                <w:sz w:val="20"/>
                <w:szCs w:val="20"/>
              </w:rPr>
              <w:t xml:space="preserve"> di estranei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robustezza </w:t>
            </w:r>
            <w:r>
              <w:rPr>
                <w:rFonts w:ascii="Barlow Semi Condensed" w:cs="Barlow Semi Condensed" w:eastAsia="Barlow Semi Condensed" w:hAnsi="Barlow Semi Condensed"/>
                <w:i/>
                <w:iCs/>
                <w:sz w:val="20"/>
                <w:szCs w:val="20"/>
              </w:rPr>
              <w:t xml:space="preserve">media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E11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 </w:t>
            </w:r>
            <w:r>
              <w:rPr>
                <w:rFonts w:ascii="Barlow Semi Condensed" w:cs="Barlow Semi Condensed" w:eastAsia="Barlow Semi Condensed" w:hAnsi="Barlow Semi Condensed"/>
                <w:b/>
                <w:bCs/>
                <w:sz w:val="20"/>
                <w:szCs w:val="20"/>
              </w:rPr>
              <w:t xml:space="preserve">arco di collusione</w:t>
            </w:r>
            <w:r>
              <w:rPr>
                <w:rFonts w:ascii="Barlow Semi Condensed" w:cs="Barlow Semi Condensed" w:eastAsia="Barlow Semi Condensed" w:hAnsi="Barlow Semi Condensed"/>
                <w:sz w:val="20"/>
                <w:szCs w:val="20"/>
              </w:rPr>
              <w:t xml:space="preserve"> provato fra l'organizzazione e soggetti di altri mondi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fra i più solidi</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La matrice</w:t>
      </w:r>
    </w:p>
    <w:p>
      <w:pPr>
        <w:spacing w:after="120" w:line="276"/>
        <w:jc w:val="both"/>
      </w:pP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incompatibile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neutra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cella non letta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F1 organico coincidente</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F2 estranei non operativi</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F3 estranei operativi</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F4 percepiti e inesistenti</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E1</w:t>
            </w:r>
            <w:r>
              <w:rPr>
                <w:rFonts w:ascii="Barlow Semi Condensed" w:cs="Barlow Semi Condensed" w:eastAsia="Barlow Semi Condensed" w:hAnsi="Barlow Semi Condensed"/>
                <w:sz w:val="20"/>
                <w:szCs w:val="20"/>
              </w:rPr>
              <w:t xml:space="preserve"> il giudicato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E2</w:t>
            </w:r>
            <w:r>
              <w:rPr>
                <w:rFonts w:ascii="Barlow Semi Condensed" w:cs="Barlow Semi Condensed" w:eastAsia="Barlow Semi Condensed" w:hAnsi="Barlow Semi Condensed"/>
                <w:sz w:val="20"/>
                <w:szCs w:val="20"/>
              </w:rPr>
              <w:t xml:space="preserve"> 91 colpi, sei armi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E3</w:t>
            </w:r>
            <w:r>
              <w:rPr>
                <w:rFonts w:ascii="Barlow Semi Condensed" w:cs="Barlow Semi Condensed" w:eastAsia="Barlow Semi Condensed" w:hAnsi="Barlow Semi Condensed"/>
                <w:sz w:val="20"/>
                <w:szCs w:val="20"/>
              </w:rPr>
              <w:t xml:space="preserve"> i 49 a un solo FNAB</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E4</w:t>
            </w:r>
            <w:r>
              <w:rPr>
                <w:rFonts w:ascii="Barlow Semi Condensed" w:cs="Barlow Semi Condensed" w:eastAsia="Barlow Semi Condensed" w:hAnsi="Barlow Semi Condensed"/>
                <w:sz w:val="20"/>
                <w:szCs w:val="20"/>
              </w:rPr>
              <w:t xml:space="preserve"> i 22 non attribuiti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E5</w:t>
            </w:r>
            <w:r>
              <w:rPr>
                <w:rFonts w:ascii="Barlow Semi Condensed" w:cs="Barlow Semi Condensed" w:eastAsia="Barlow Semi Condensed" w:hAnsi="Barlow Semi Condensed"/>
                <w:sz w:val="20"/>
                <w:szCs w:val="20"/>
              </w:rPr>
              <w:t xml:space="preserve"> nessun «superkiller»</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E6</w:t>
            </w:r>
            <w:r>
              <w:rPr>
                <w:rFonts w:ascii="Barlow Semi Condensed" w:cs="Barlow Semi Condensed" w:eastAsia="Barlow Semi Condensed" w:hAnsi="Barlow Semi Condensed"/>
                <w:sz w:val="20"/>
                <w:szCs w:val="20"/>
              </w:rPr>
              <w:t xml:space="preserve"> due moto, quattro uomini</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E7</w:t>
            </w:r>
            <w:r>
              <w:rPr>
                <w:rFonts w:ascii="Barlow Semi Condensed" w:cs="Barlow Semi Condensed" w:eastAsia="Barlow Semi Condensed" w:hAnsi="Barlow Semi Condensed"/>
                <w:sz w:val="20"/>
                <w:szCs w:val="20"/>
              </w:rPr>
              <w:t xml:space="preserve"> i due testimoni</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E8</w:t>
            </w:r>
            <w:r>
              <w:rPr>
                <w:rFonts w:ascii="Barlow Semi Condensed" w:cs="Barlow Semi Condensed" w:eastAsia="Barlow Semi Condensed" w:hAnsi="Barlow Semi Condensed"/>
                <w:sz w:val="20"/>
                <w:szCs w:val="20"/>
              </w:rPr>
              <w:t xml:space="preserve"> i profili 2016</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E9</w:t>
            </w:r>
            <w:r>
              <w:rPr>
                <w:rFonts w:ascii="Barlow Semi Condensed" w:cs="Barlow Semi Condensed" w:eastAsia="Barlow Semi Condensed" w:hAnsi="Barlow Semi Condensed"/>
                <w:sz w:val="20"/>
                <w:szCs w:val="20"/>
              </w:rPr>
              <w:t xml:space="preserve"> il caricatore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E10</w:t>
            </w:r>
            <w:r>
              <w:rPr>
                <w:rFonts w:ascii="Barlow Semi Condensed" w:cs="Barlow Semi Condensed" w:eastAsia="Barlow Semi Condensed" w:hAnsi="Barlow Semi Condensed"/>
                <w:sz w:val="20"/>
                <w:szCs w:val="20"/>
              </w:rPr>
              <w:t xml:space="preserve"> nessuna identificazione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E11</w:t>
            </w:r>
            <w:r>
              <w:rPr>
                <w:rFonts w:ascii="Barlow Semi Condensed" w:cs="Barlow Semi Condensed" w:eastAsia="Barlow Semi Condensed" w:hAnsi="Barlow Semi Condensed"/>
                <w:sz w:val="20"/>
                <w:szCs w:val="20"/>
              </w:rPr>
              <w:t xml:space="preserve"> nessuna collusione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Il primo risultato: quasi nulla discrimina</w:t>
      </w:r>
    </w:p>
    <w:p>
      <w:pPr>
        <w:spacing w:after="120" w:line="276"/>
        <w:jc w:val="both"/>
      </w:pPr>
      <w:r>
        <w:rPr>
          <w:rFonts w:ascii="Barlow Semi Condensed" w:cs="Barlow Semi Condensed" w:eastAsia="Barlow Semi Condensed" w:hAnsi="Barlow Semi Condensed"/>
          <w:b/>
          <w:bCs/>
          <w:sz w:val="24"/>
          <w:szCs w:val="24"/>
        </w:rPr>
        <w:t xml:space="preserve">Cinque evidenze su undici si cancellano.</w:t>
      </w:r>
    </w:p>
    <w:p>
      <w:pPr>
        <w:spacing w:after="120" w:line="276"/>
        <w:jc w:val="both"/>
      </w:pPr>
      <w:r>
        <w:rPr>
          <w:rFonts w:ascii="Barlow Semi Condensed" w:cs="Barlow Semi Condensed" w:eastAsia="Barlow Semi Condensed" w:hAnsi="Barlow Semi Condensed"/>
          <w:sz w:val="24"/>
          <w:szCs w:val="24"/>
        </w:rPr>
        <w:t xml:space="preserve">E1, E2, E3, E4 ed E5 sono </w:t>
      </w:r>
      <w:r>
        <w:rPr>
          <w:rFonts w:ascii="Barlow Semi Condensed" w:cs="Barlow Semi Condensed" w:eastAsia="Barlow Semi Condensed" w:hAnsi="Barlow Semi Condensed"/>
          <w:b/>
          <w:bCs/>
          <w:sz w:val="24"/>
          <w:szCs w:val="24"/>
        </w:rPr>
        <w:t xml:space="preserve">compatibili con tutte e quattro le ipotesi</w:t>
      </w:r>
      <w:r>
        <w:rPr>
          <w:rFonts w:ascii="Barlow Semi Condensed" w:cs="Barlow Semi Condensed" w:eastAsia="Barlow Semi Condensed" w:hAnsi="Barlow Semi Condensed"/>
          <w:sz w:val="24"/>
          <w:szCs w:val="24"/>
        </w:rPr>
        <w:t xml:space="preserve">. Sono i</w:t>
      </w:r>
    </w:p>
    <w:p>
      <w:pPr>
        <w:spacing w:after="120" w:line="276"/>
        <w:jc w:val="both"/>
      </w:pPr>
      <w:r>
        <w:rPr>
          <w:rFonts w:ascii="Barlow Semi Condensed" w:cs="Barlow Semi Condensed" w:eastAsia="Barlow Semi Condensed" w:hAnsi="Barlow Semi Condensed"/>
          <w:sz w:val="24"/>
          <w:szCs w:val="24"/>
        </w:rPr>
        <w:t xml:space="preserve">fatti balistici che il dibattito pubblico adopera da decenni in entrambe le</w:t>
      </w:r>
    </w:p>
    <w:p>
      <w:pPr>
        <w:spacing w:after="120" w:line="276"/>
        <w:jc w:val="both"/>
      </w:pPr>
      <w:r>
        <w:rPr>
          <w:rFonts w:ascii="Barlow Semi Condensed" w:cs="Barlow Semi Condensed" w:eastAsia="Barlow Semi Condensed" w:hAnsi="Barlow Semi Condensed"/>
          <w:sz w:val="24"/>
          <w:szCs w:val="24"/>
        </w:rPr>
        <w:t xml:space="preserve">direzioni, e la matrice mostra perché entrambe le direzioni possano adoperarli:</w:t>
      </w:r>
    </w:p>
    <w:p>
      <w:pPr>
        <w:spacing w:after="120" w:line="276"/>
        <w:jc w:val="both"/>
      </w:pPr>
      <w:r>
        <w:rPr>
          <w:rFonts w:ascii="Barlow Semi Condensed" w:cs="Barlow Semi Condensed" w:eastAsia="Barlow Semi Condensed" w:hAnsi="Barlow Semi Condensed"/>
          <w:b/>
          <w:bCs/>
          <w:sz w:val="24"/>
          <w:szCs w:val="24"/>
        </w:rPr>
        <w:t xml:space="preserve">non discriminano.</w:t>
      </w:r>
    </w:p>
    <w:p>
      <w:pPr>
        <w:spacing w:after="120" w:line="276"/>
        <w:jc w:val="both"/>
      </w:pPr>
      <w:r>
        <w:rPr>
          <w:rFonts w:ascii="Barlow Semi Condensed" w:cs="Barlow Semi Condensed" w:eastAsia="Barlow Semi Condensed" w:hAnsi="Barlow Semi Condensed"/>
          <w:sz w:val="24"/>
          <w:szCs w:val="24"/>
        </w:rPr>
        <w:t xml:space="preserve">Il caso più istruttivo è </w:t>
      </w:r>
      <w:r>
        <w:rPr>
          <w:rFonts w:ascii="Barlow Semi Condensed" w:cs="Barlow Semi Condensed" w:eastAsia="Barlow Semi Condensed" w:hAnsi="Barlow Semi Condensed"/>
          <w:b/>
          <w:bCs/>
          <w:sz w:val="24"/>
          <w:szCs w:val="24"/>
        </w:rPr>
        <w:t xml:space="preserve">E4</w:t>
      </w:r>
      <w:r>
        <w:rPr>
          <w:rFonts w:ascii="Barlow Semi Condensed" w:cs="Barlow Semi Condensed" w:eastAsia="Barlow Semi Condensed" w:hAnsi="Barlow Semi Condensed"/>
          <w:sz w:val="24"/>
          <w:szCs w:val="24"/>
        </w:rPr>
        <w:t xml:space="preserve">, i ventidue colpi la cui attribuzione al secondo</w:t>
      </w:r>
    </w:p>
    <w:p>
      <w:pPr>
        <w:spacing w:after="120" w:line="276"/>
        <w:jc w:val="both"/>
      </w:pPr>
      <w:r>
        <w:rPr>
          <w:rFonts w:ascii="Barlow Semi Condensed" w:cs="Barlow Semi Condensed" w:eastAsia="Barlow Semi Condensed" w:hAnsi="Barlow Semi Condensed"/>
          <w:sz w:val="24"/>
          <w:szCs w:val="24"/>
        </w:rPr>
        <w:t xml:space="preserve">mitra è stata declassata a non conclusiva. Viene citato come indizio di</w:t>
      </w:r>
    </w:p>
    <w:p>
      <w:pPr>
        <w:spacing w:after="120" w:line="276"/>
        <w:jc w:val="both"/>
      </w:pPr>
      <w:r>
        <w:rPr>
          <w:rFonts w:ascii="Barlow Semi Condensed" w:cs="Barlow Semi Condensed" w:eastAsia="Barlow Semi Condensed" w:hAnsi="Barlow Semi Condensed"/>
          <w:sz w:val="24"/>
          <w:szCs w:val="24"/>
        </w:rPr>
        <w:t xml:space="preserve">un'arma in più, dunque di un uomo in più. Ma «attribuzione non conclusiva» **non</w:t>
      </w:r>
    </w:p>
    <w:p>
      <w:pPr>
        <w:spacing w:after="120" w:line="276"/>
        <w:jc w:val="both"/>
      </w:pPr>
      <w:r>
        <w:rPr>
          <w:rFonts w:ascii="Barlow Semi Condensed" w:cs="Barlow Semi Condensed" w:eastAsia="Barlow Semi Condensed" w:hAnsi="Barlow Semi Condensed"/>
          <w:sz w:val="24"/>
          <w:szCs w:val="24"/>
        </w:rPr>
        <w:t xml:space="preserve">significa attribuzione a un altro**: significa che l'esame non decide. Un esito non</w:t>
      </w:r>
    </w:p>
    <w:p>
      <w:pPr>
        <w:spacing w:after="120" w:line="276"/>
        <w:jc w:val="both"/>
      </w:pPr>
      <w:r>
        <w:rPr>
          <w:rFonts w:ascii="Barlow Semi Condensed" w:cs="Barlow Semi Condensed" w:eastAsia="Barlow Semi Condensed" w:hAnsi="Barlow Semi Condensed"/>
          <w:sz w:val="24"/>
          <w:szCs w:val="24"/>
        </w:rPr>
        <w:t xml:space="preserve">conclusivo è compatibile con l'ipotesi che l'arma fosse del commando </w:t>
      </w:r>
      <w:r>
        <w:rPr>
          <w:rFonts w:ascii="Barlow Semi Condensed" w:cs="Barlow Semi Condensed" w:eastAsia="Barlow Semi Condensed" w:hAnsi="Barlow Semi Condensed"/>
          <w:b/>
          <w:bCs/>
          <w:sz w:val="24"/>
          <w:szCs w:val="24"/>
        </w:rPr>
        <w:t xml:space="preserve">e</w:t>
      </w:r>
      <w:r>
        <w:rPr>
          <w:rFonts w:ascii="Barlow Semi Condensed" w:cs="Barlow Semi Condensed" w:eastAsia="Barlow Semi Condensed" w:hAnsi="Barlow Semi Condensed"/>
          <w:sz w:val="24"/>
          <w:szCs w:val="24"/>
        </w:rPr>
        <w:t xml:space="preserve"> con</w:t>
      </w:r>
    </w:p>
    <w:p>
      <w:pPr>
        <w:spacing w:after="120" w:line="276"/>
        <w:jc w:val="both"/>
      </w:pPr>
      <w:r>
        <w:rPr>
          <w:rFonts w:ascii="Barlow Semi Condensed" w:cs="Barlow Semi Condensed" w:eastAsia="Barlow Semi Condensed" w:hAnsi="Barlow Semi Condensed"/>
          <w:sz w:val="24"/>
          <w:szCs w:val="24"/>
        </w:rPr>
        <w:t xml:space="preserve">l'ipotesi che non lo fosse — è, alla lettera, l'assenza di informazione. Adoperarlo</w:t>
      </w:r>
    </w:p>
    <w:p>
      <w:pPr>
        <w:spacing w:after="120" w:line="276"/>
        <w:jc w:val="both"/>
      </w:pPr>
      <w:r>
        <w:rPr>
          <w:rFonts w:ascii="Barlow Semi Condensed" w:cs="Barlow Semi Condensed" w:eastAsia="Barlow Semi Condensed" w:hAnsi="Barlow Semi Condensed"/>
          <w:sz w:val="24"/>
          <w:szCs w:val="24"/>
        </w:rPr>
        <w:t xml:space="preserve">come indizio è trasformare </w:t>
      </w:r>
      <w:r>
        <w:rPr>
          <w:rFonts w:ascii="Barlow Semi Condensed" w:cs="Barlow Semi Condensed" w:eastAsia="Barlow Semi Condensed" w:hAnsi="Barlow Semi Condensed"/>
          <w:b/>
          <w:bCs/>
          <w:sz w:val="24"/>
          <w:szCs w:val="24"/>
        </w:rPr>
        <w:t xml:space="preserve">un silenzio in una voce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 lo stesso vale, in direzione opposta, per </w:t>
      </w:r>
      <w:r>
        <w:rPr>
          <w:rFonts w:ascii="Barlow Semi Condensed" w:cs="Barlow Semi Condensed" w:eastAsia="Barlow Semi Condensed" w:hAnsi="Barlow Semi Condensed"/>
          <w:b/>
          <w:bCs/>
          <w:sz w:val="24"/>
          <w:szCs w:val="24"/>
        </w:rPr>
        <w:t xml:space="preserve">E3 ed E5</w:t>
      </w:r>
      <w:r>
        <w:rPr>
          <w:rFonts w:ascii="Barlow Semi Condensed" w:cs="Barlow Semi Condensed" w:eastAsia="Barlow Semi Condensed" w:hAnsi="Barlow Semi Condensed"/>
          <w:sz w:val="24"/>
          <w:szCs w:val="24"/>
        </w:rPr>
        <w:t xml:space="preserve">: i quarantanove colpi da</w:t>
      </w:r>
    </w:p>
    <w:p>
      <w:pPr>
        <w:spacing w:after="120" w:line="276"/>
        <w:jc w:val="both"/>
      </w:pPr>
      <w:r>
        <w:rPr>
          <w:rFonts w:ascii="Barlow Semi Condensed" w:cs="Barlow Semi Condensed" w:eastAsia="Barlow Semi Condensed" w:hAnsi="Barlow Semi Condensed"/>
          <w:sz w:val="24"/>
          <w:szCs w:val="24"/>
        </w:rPr>
        <w:t xml:space="preserve">una sola arma e la caduta della figura del «superkiller» si citano per sostenere</w:t>
      </w:r>
    </w:p>
    <w:p>
      <w:pPr>
        <w:spacing w:after="120" w:line="276"/>
        <w:jc w:val="both"/>
      </w:pPr>
      <w:r>
        <w:rPr>
          <w:rFonts w:ascii="Barlow Semi Condensed" w:cs="Barlow Semi Condensed" w:eastAsia="Barlow Semi Condensed" w:hAnsi="Barlow Semi Condensed"/>
          <w:sz w:val="24"/>
          <w:szCs w:val="24"/>
        </w:rPr>
        <w:t xml:space="preserve">che tutto torna al commando. Non lo sostengono: sono compatibili anche con le</w:t>
      </w:r>
    </w:p>
    <w:p>
      <w:pPr>
        <w:spacing w:after="120" w:line="276"/>
        <w:jc w:val="both"/>
      </w:pPr>
      <w:r>
        <w:rPr>
          <w:rFonts w:ascii="Barlow Semi Condensed" w:cs="Barlow Semi Condensed" w:eastAsia="Barlow Semi Condensed" w:hAnsi="Barlow Semi Condensed"/>
          <w:sz w:val="24"/>
          <w:szCs w:val="24"/>
        </w:rPr>
        <w:t xml:space="preserve">altre tre ipotesi. Che un'arma abbia sparato molto **non dice nulla su quante</w:t>
      </w:r>
    </w:p>
    <w:p>
      <w:pPr>
        <w:spacing w:after="120" w:line="276"/>
        <w:jc w:val="both"/>
      </w:pPr>
      <w:r>
        <w:rPr>
          <w:rFonts w:ascii="Barlow Semi Condensed" w:cs="Barlow Semi Condensed" w:eastAsia="Barlow Semi Condensed" w:hAnsi="Barlow Semi Condensed"/>
          <w:sz w:val="24"/>
          <w:szCs w:val="24"/>
        </w:rPr>
        <w:t xml:space="preserve">altre persone fossero in strada.**</w:t>
      </w:r>
    </w:p>
    <w:p>
      <w:pPr>
        <w:spacing w:after="120" w:line="276"/>
        <w:jc w:val="both"/>
      </w:pPr>
      <w:r>
        <w:rPr>
          <w:rFonts w:ascii="Barlow Semi Condensed" w:cs="Barlow Semi Condensed" w:eastAsia="Barlow Semi Condensed" w:hAnsi="Barlow Semi Condensed"/>
          <w:b/>
          <w:bCs/>
          <w:sz w:val="24"/>
          <w:szCs w:val="24"/>
        </w:rPr>
        <w:t xml:space="preserve">È il risultato che vale la pena portarsi via da questa tavola:</w:t>
      </w:r>
      <w:r>
        <w:rPr>
          <w:rFonts w:ascii="Barlow Semi Condensed" w:cs="Barlow Semi Condensed" w:eastAsia="Barlow Semi Condensed" w:hAnsi="Barlow Semi Condensed"/>
          <w:sz w:val="24"/>
          <w:szCs w:val="24"/>
        </w:rPr>
        <w:t xml:space="preserve"> l'intero</w:t>
      </w:r>
    </w:p>
    <w:p>
      <w:pPr>
        <w:spacing w:after="120" w:line="276"/>
        <w:jc w:val="both"/>
      </w:pPr>
      <w:r>
        <w:rPr>
          <w:rFonts w:ascii="Barlow Semi Condensed" w:cs="Barlow Semi Condensed" w:eastAsia="Barlow Semi Condensed" w:hAnsi="Barlow Semi Condensed"/>
          <w:sz w:val="24"/>
          <w:szCs w:val="24"/>
        </w:rPr>
        <w:t xml:space="preserve">apparato balistico ereditato dal 1978, per quanto sia il patrimonio tecnico più</w:t>
      </w:r>
    </w:p>
    <w:p>
      <w:pPr>
        <w:spacing w:after="120" w:line="276"/>
        <w:jc w:val="both"/>
      </w:pPr>
      <w:r>
        <w:rPr>
          <w:rFonts w:ascii="Barlow Semi Condensed" w:cs="Barlow Semi Condensed" w:eastAsia="Barlow Semi Condensed" w:hAnsi="Barlow Semi Condensed"/>
          <w:sz w:val="24"/>
          <w:szCs w:val="24"/>
        </w:rPr>
        <w:t xml:space="preserve">solido del caso, </w:t>
      </w:r>
      <w:r>
        <w:rPr>
          <w:rFonts w:ascii="Barlow Semi Condensed" w:cs="Barlow Semi Condensed" w:eastAsia="Barlow Semi Condensed" w:hAnsi="Barlow Semi Condensed"/>
          <w:b/>
          <w:bCs/>
          <w:sz w:val="24"/>
          <w:szCs w:val="24"/>
        </w:rPr>
        <w:t xml:space="preserve">non ha mai discriminato fra queste quattro ipotesi</w:t>
      </w:r>
      <w:r>
        <w:rPr>
          <w:rFonts w:ascii="Barlow Semi Condensed" w:cs="Barlow Semi Condensed" w:eastAsia="Barlow Semi Condensed" w:hAnsi="Barlow Semi Condensed"/>
          <w:sz w:val="24"/>
          <w:szCs w:val="24"/>
        </w:rPr>
        <w:t xml:space="preserve">, e i</w:t>
      </w:r>
    </w:p>
    <w:p>
      <w:pPr>
        <w:spacing w:after="120" w:line="276"/>
        <w:jc w:val="both"/>
      </w:pPr>
      <w:r>
        <w:rPr>
          <w:rFonts w:ascii="Barlow Semi Condensed" w:cs="Barlow Semi Condensed" w:eastAsia="Barlow Semi Condensed" w:hAnsi="Barlow Semi Condensed"/>
          <w:sz w:val="24"/>
          <w:szCs w:val="24"/>
        </w:rPr>
        <w:t xml:space="preserve">quarantott'anni di polemica che vi si sono appoggiati hanno discusso di</w:t>
      </w:r>
    </w:p>
    <w:p>
      <w:pPr>
        <w:spacing w:after="120" w:line="276"/>
        <w:jc w:val="both"/>
      </w:pPr>
      <w:r>
        <w:rPr>
          <w:rFonts w:ascii="Barlow Semi Condensed" w:cs="Barlow Semi Condensed" w:eastAsia="Barlow Semi Condensed" w:hAnsi="Barlow Semi Condensed"/>
          <w:sz w:val="24"/>
          <w:szCs w:val="24"/>
        </w:rPr>
        <w:t xml:space="preserve">evidenze prive di potere discriminante.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Che cosa discrimina davvero</w:t>
      </w:r>
    </w:p>
    <w:p>
      <w:pPr>
        <w:spacing w:after="120" w:line="276"/>
        <w:jc w:val="both"/>
      </w:pPr>
      <w:r>
        <w:rPr>
          <w:rFonts w:ascii="Barlow Semi Condensed" w:cs="Barlow Semi Condensed" w:eastAsia="Barlow Semi Condensed" w:hAnsi="Barlow Semi Condensed"/>
          <w:sz w:val="24"/>
          <w:szCs w:val="24"/>
        </w:rPr>
        <w:t xml:space="preserve">Restano </w:t>
      </w:r>
      <w:r>
        <w:rPr>
          <w:rFonts w:ascii="Barlow Semi Condensed" w:cs="Barlow Semi Condensed" w:eastAsia="Barlow Semi Condensed" w:hAnsi="Barlow Semi Condensed"/>
          <w:b/>
          <w:bCs/>
          <w:sz w:val="24"/>
          <w:szCs w:val="24"/>
        </w:rPr>
        <w:t xml:space="preserve">quattro righe</w:t>
      </w:r>
      <w:r>
        <w:rPr>
          <w:rFonts w:ascii="Barlow Semi Condensed" w:cs="Barlow Semi Condensed" w:eastAsia="Barlow Semi Condensed" w:hAnsi="Barlow Semi Condensed"/>
          <w:sz w:val="24"/>
          <w:szCs w:val="24"/>
        </w:rPr>
        <w:t xml:space="preserve">, e vanno lette una per una.</w:t>
      </w:r>
    </w:p>
    <w:p>
      <w:pPr>
        <w:spacing w:after="120" w:line="276"/>
        <w:jc w:val="both"/>
      </w:pPr>
      <w:r>
        <w:rPr>
          <w:rFonts w:ascii="Barlow Semi Condensed" w:cs="Barlow Semi Condensed" w:eastAsia="Barlow Semi Condensed" w:hAnsi="Barlow Semi Condensed"/>
          <w:b/>
          <w:bCs/>
          <w:sz w:val="24"/>
          <w:szCs w:val="24"/>
        </w:rPr>
        <w:t xml:space="preserve">E6 ed E7 — le due moto e i due testimoni — sono incompatibili con F1</w:t>
      </w:r>
      <w:r>
        <w:rPr>
          <w:rFonts w:ascii="Barlow Semi Condensed" w:cs="Barlow Semi Condensed" w:eastAsia="Barlow Semi Condensed" w:hAnsi="Barlow Semi Condensed"/>
          <w:sz w:val="24"/>
          <w:szCs w:val="24"/>
        </w:rPr>
        <w:t xml:space="preserve">, e sono la</w:t>
      </w:r>
    </w:p>
    <w:p>
      <w:pPr>
        <w:spacing w:after="120" w:line="276"/>
        <w:jc w:val="both"/>
      </w:pPr>
      <w:r>
        <w:rPr>
          <w:rFonts w:ascii="Barlow Semi Condensed" w:cs="Barlow Semi Condensed" w:eastAsia="Barlow Semi Condensed" w:hAnsi="Barlow Semi Condensed"/>
          <w:sz w:val="24"/>
          <w:szCs w:val="24"/>
        </w:rPr>
        <w:t xml:space="preserve">sola ragione per cui F1 non è oggi l'unica ipotesi in tavola. Il loro grado va</w:t>
      </w:r>
    </w:p>
    <w:p>
      <w:pPr>
        <w:spacing w:after="120" w:line="276"/>
        <w:jc w:val="both"/>
      </w:pPr>
      <w:r>
        <w:rPr>
          <w:rFonts w:ascii="Barlow Semi Condensed" w:cs="Barlow Semi Condensed" w:eastAsia="Barlow Semi Condensed" w:hAnsi="Barlow Semi Condensed"/>
          <w:sz w:val="24"/>
          <w:szCs w:val="24"/>
        </w:rPr>
        <w:t xml:space="preserve">tenuto fermo in </w:t>
      </w:r>
      <w:r>
        <w:rPr>
          <w:rFonts w:ascii="Barlow Semi Condensed" w:cs="Barlow Semi Condensed" w:eastAsia="Barlow Semi Condensed" w:hAnsi="Barlow Semi Condensed"/>
          <w:b/>
          <w:bCs/>
          <w:sz w:val="24"/>
          <w:szCs w:val="24"/>
        </w:rPr>
        <w:t xml:space="preserve">entrambe</w:t>
      </w:r>
      <w:r>
        <w:rPr>
          <w:rFonts w:ascii="Barlow Semi Condensed" w:cs="Barlow Semi Condensed" w:eastAsia="Barlow Semi Condensed" w:hAnsi="Barlow Semi Condensed"/>
          <w:sz w:val="24"/>
          <w:szCs w:val="24"/>
        </w:rPr>
        <w:t xml:space="preserve"> le direzioni, com'è regola: </w:t>
      </w:r>
      <w:r>
        <w:rPr>
          <w:rFonts w:ascii="Barlow Semi Condensed" w:cs="Barlow Semi Condensed" w:eastAsia="Barlow Semi Condensed" w:hAnsi="Barlow Semi Condensed"/>
          <w:b/>
          <w:bCs/>
          <w:sz w:val="24"/>
          <w:szCs w:val="24"/>
        </w:rPr>
        <w:t xml:space="preserve">non è giudicato</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nessuna sentenza ha stabilito che vi fossero due moto e quattro centauri estranei,</w:t>
      </w:r>
    </w:p>
    <w:p>
      <w:pPr>
        <w:spacing w:after="120" w:line="276"/>
        <w:jc w:val="both"/>
      </w:pPr>
      <w:r>
        <w:rPr>
          <w:rFonts w:ascii="Barlow Semi Condensed" w:cs="Barlow Semi Condensed" w:eastAsia="Barlow Semi Condensed" w:hAnsi="Barlow Semi Condensed"/>
          <w:sz w:val="24"/>
          <w:szCs w:val="24"/>
        </w:rPr>
        <w:t xml:space="preserve">e la Commissione parla di elementi </w:t>
      </w:r>
      <w:r>
        <w:rPr>
          <w:rFonts w:ascii="Barlow Semi Condensed" w:cs="Barlow Semi Condensed" w:eastAsia="Barlow Semi Condensed" w:hAnsi="Barlow Semi Condensed"/>
          <w:i/>
          <w:iCs/>
          <w:sz w:val="24"/>
          <w:szCs w:val="24"/>
        </w:rPr>
        <w:t xml:space="preserve">da approfondire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ma non è fantasia</w:t>
      </w:r>
      <w:r>
        <w:rPr>
          <w:rFonts w:ascii="Barlow Semi Condensed" w:cs="Barlow Semi Condensed" w:eastAsia="Barlow Semi Condensed" w:hAnsi="Barlow Semi Condensed"/>
          <w:sz w:val="24"/>
          <w:szCs w:val="24"/>
        </w:rPr>
        <w:t xml:space="preserve"> — sono</w:t>
      </w:r>
    </w:p>
    <w:p>
      <w:pPr>
        <w:spacing w:after="120" w:line="276"/>
        <w:jc w:val="both"/>
      </w:pPr>
      <w:r>
        <w:rPr>
          <w:rFonts w:ascii="Barlow Semi Condensed" w:cs="Barlow Semi Condensed" w:eastAsia="Barlow Semi Condensed" w:hAnsi="Barlow Semi Condensed"/>
          <w:sz w:val="24"/>
          <w:szCs w:val="24"/>
        </w:rPr>
        <w:t xml:space="preserve">testimonianze oculari raccolte da un organo dello Stato sotto giuramento, e la loro</w:t>
      </w:r>
    </w:p>
    <w:p>
      <w:pPr>
        <w:spacing w:after="120" w:line="276"/>
        <w:jc w:val="both"/>
      </w:pPr>
      <w:r>
        <w:rPr>
          <w:rFonts w:ascii="Barlow Semi Condensed" w:cs="Barlow Semi Condensed" w:eastAsia="Barlow Semi Condensed" w:hAnsi="Barlow Semi Condensed"/>
          <w:sz w:val="24"/>
          <w:szCs w:val="24"/>
        </w:rPr>
        <w:t xml:space="preserve">esistenza è essa stessa un fatto.</w:t>
      </w:r>
    </w:p>
    <w:p>
      <w:pPr>
        <w:spacing w:after="120" w:line="276"/>
        <w:jc w:val="both"/>
      </w:pPr>
      <w:r>
        <w:rPr>
          <w:rFonts w:ascii="Barlow Semi Condensed" w:cs="Barlow Semi Condensed" w:eastAsia="Barlow Semi Condensed" w:hAnsi="Barlow Semi Condensed"/>
          <w:b/>
          <w:bCs/>
          <w:sz w:val="24"/>
          <w:szCs w:val="24"/>
        </w:rPr>
        <w:t xml:space="preserve">E10 — nessuna identificazione in quarant'anni — è incompatibile con F3</w:t>
      </w:r>
      <w:r>
        <w:rPr>
          <w:rFonts w:ascii="Barlow Semi Condensed" w:cs="Barlow Semi Condensed" w:eastAsia="Barlow Semi Condensed" w:hAnsi="Barlow Semi Condensed"/>
          <w:sz w:val="24"/>
          <w:szCs w:val="24"/>
        </w:rPr>
        <w:t xml:space="preserve">, ed è la</w:t>
      </w:r>
    </w:p>
    <w:p>
      <w:pPr>
        <w:spacing w:after="120" w:line="276"/>
        <w:jc w:val="both"/>
      </w:pPr>
      <w:r>
        <w:rPr>
          <w:rFonts w:ascii="Barlow Semi Condensed" w:cs="Barlow Semi Condensed" w:eastAsia="Barlow Semi Condensed" w:hAnsi="Barlow Semi Condensed"/>
          <w:sz w:val="24"/>
          <w:szCs w:val="24"/>
        </w:rPr>
        <w:t xml:space="preserve">sola incompatibilità di cui F3 soffra. È uno Stato Zero di robustezza </w:t>
      </w:r>
      <w:r>
        <w:rPr>
          <w:rFonts w:ascii="Barlow Semi Condensed" w:cs="Barlow Semi Condensed" w:eastAsia="Barlow Semi Condensed" w:hAnsi="Barlow Semi Condensed"/>
          <w:i/>
          <w:iCs/>
          <w:sz w:val="24"/>
          <w:szCs w:val="24"/>
        </w:rPr>
        <w:t xml:space="preserve">media</w:t>
      </w:r>
      <w:r>
        <w:rPr>
          <w:rFonts w:ascii="Barlow Semi Condensed" w:cs="Barlow Semi Condensed" w:eastAsia="Barlow Semi Condensed" w:hAnsi="Barlow Semi Condensed"/>
          <w:sz w:val="24"/>
          <w:szCs w:val="24"/>
        </w:rPr>
        <w:t xml:space="preserve">: se</w:t>
      </w:r>
    </w:p>
    <w:p>
      <w:pPr>
        <w:spacing w:after="120" w:line="276"/>
        <w:jc w:val="both"/>
      </w:pPr>
      <w:r>
        <w:rPr>
          <w:rFonts w:ascii="Barlow Semi Condensed" w:cs="Barlow Semi Condensed" w:eastAsia="Barlow Semi Condensed" w:hAnsi="Barlow Semi Condensed"/>
          <w:sz w:val="24"/>
          <w:szCs w:val="24"/>
        </w:rPr>
        <w:t xml:space="preserve">un estraneo avesse sparato, una traccia sarebbe stata </w:t>
      </w:r>
      <w:r>
        <w:rPr>
          <w:rFonts w:ascii="Barlow Semi Condensed" w:cs="Barlow Semi Condensed" w:eastAsia="Barlow Semi Condensed" w:hAnsi="Barlow Semi Condensed"/>
          <w:b/>
          <w:bCs/>
          <w:sz w:val="24"/>
          <w:szCs w:val="24"/>
        </w:rPr>
        <w:t xml:space="preserve">probabile ma non certa</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l'esito negativo deprime in misura media. Non chiude l'ipotesi: la carica di un</w:t>
      </w:r>
    </w:p>
    <w:p>
      <w:pPr>
        <w:spacing w:after="120" w:line="276"/>
        <w:jc w:val="both"/>
      </w:pPr>
      <w:r>
        <w:rPr>
          <w:rFonts w:ascii="Barlow Semi Condensed" w:cs="Barlow Semi Condensed" w:eastAsia="Barlow Semi Condensed" w:hAnsi="Barlow Semi Condensed"/>
          <w:sz w:val="24"/>
          <w:szCs w:val="24"/>
        </w:rPr>
        <w:t xml:space="preserve">onere.</w:t>
      </w:r>
    </w:p>
    <w:p>
      <w:pPr>
        <w:spacing w:after="120" w:line="276"/>
        <w:jc w:val="both"/>
      </w:pPr>
      <w:r>
        <w:rPr>
          <w:rFonts w:ascii="Barlow Semi Condensed" w:cs="Barlow Semi Condensed" w:eastAsia="Barlow Semi Condensed" w:hAnsi="Barlow Semi Condensed"/>
          <w:b/>
          <w:bCs/>
          <w:sz w:val="24"/>
          <w:szCs w:val="24"/>
        </w:rPr>
        <w:t xml:space="preserve">F2 e F4 non urtano contro nulla.</w:t>
      </w:r>
      <w:r>
        <w:rPr>
          <w:rFonts w:ascii="Barlow Semi Condensed" w:cs="Barlow Semi Condensed" w:eastAsia="Barlow Semi Condensed" w:hAnsi="Barlow Semi Condensed"/>
          <w:sz w:val="24"/>
          <w:szCs w:val="24"/>
        </w:rPr>
        <w:t xml:space="preserve"> F2 — estranei presenti ma non operativi —</w:t>
      </w:r>
    </w:p>
    <w:p>
      <w:pPr>
        <w:spacing w:after="120" w:line="276"/>
        <w:jc w:val="both"/>
      </w:pPr>
      <w:r>
        <w:rPr>
          <w:rFonts w:ascii="Barlow Semi Condensed" w:cs="Barlow Semi Condensed" w:eastAsia="Barlow Semi Condensed" w:hAnsi="Barlow Semi Condensed"/>
          <w:sz w:val="24"/>
          <w:szCs w:val="24"/>
        </w:rPr>
        <w:t xml:space="preserve">spiega le testimonianze senza richiedere un'arma in più, e per questo non incontra</w:t>
      </w:r>
    </w:p>
    <w:p>
      <w:pPr>
        <w:spacing w:after="120" w:line="276"/>
        <w:jc w:val="both"/>
      </w:pPr>
      <w:r>
        <w:rPr>
          <w:rFonts w:ascii="Barlow Semi Condensed" w:cs="Barlow Semi Condensed" w:eastAsia="Barlow Semi Condensed" w:hAnsi="Barlow Semi Condensed"/>
          <w:sz w:val="24"/>
          <w:szCs w:val="24"/>
        </w:rPr>
        <w:t xml:space="preserve">E10. F4 — percezione errata di elementi reali — spiega le testimonianze come</w:t>
      </w:r>
    </w:p>
    <w:p>
      <w:pPr>
        <w:spacing w:after="120" w:line="276"/>
        <w:jc w:val="both"/>
      </w:pPr>
      <w:r>
        <w:rPr>
          <w:rFonts w:ascii="Barlow Semi Condensed" w:cs="Barlow Semi Condensed" w:eastAsia="Barlow Semi Condensed" w:hAnsi="Barlow Semi Condensed"/>
          <w:sz w:val="24"/>
          <w:szCs w:val="24"/>
        </w:rPr>
        <w:t xml:space="preserve">testimonianze, cioè come ciò che sono: resoconti umani di novanta secondi di fuoco.</w:t>
      </w:r>
    </w:p>
    <w:p>
      <w:pPr>
        <w:spacing w:after="120" w:line="276"/>
        <w:jc w:val="both"/>
      </w:pPr>
      <w:r>
        <w:rPr>
          <w:rFonts w:ascii="Barlow Semi Condensed" w:cs="Barlow Semi Condensed" w:eastAsia="Barlow Semi Condensed" w:hAnsi="Barlow Semi Condensed"/>
          <w:sz w:val="24"/>
          <w:szCs w:val="24"/>
        </w:rPr>
        <w:t xml:space="preserve">Nessuna delle due è sostenuta da alcunché; </w:t>
      </w:r>
      <w:r>
        <w:rPr>
          <w:rFonts w:ascii="Barlow Semi Condensed" w:cs="Barlow Semi Condensed" w:eastAsia="Barlow Semi Condensed" w:hAnsi="Barlow Semi Condensed"/>
          <w:b/>
          <w:bCs/>
          <w:sz w:val="24"/>
          <w:szCs w:val="24"/>
        </w:rPr>
        <w:t xml:space="preserve">nessuna delle due è contraddetta.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Il secondo risultato, e la differenza con la matrice della custodia</w:t>
      </w:r>
    </w:p>
    <w:p>
      <w:pPr>
        <w:spacing w:after="120" w:line="276"/>
        <w:jc w:val="both"/>
      </w:pPr>
      <w:r>
        <w:rPr>
          <w:rFonts w:ascii="Barlow Semi Condensed" w:cs="Barlow Semi Condensed" w:eastAsia="Barlow Semi Condensed" w:hAnsi="Barlow Semi Condensed"/>
          <w:sz w:val="24"/>
          <w:szCs w:val="24"/>
        </w:rPr>
        <w:t xml:space="preserve">Due celle di questa tavola portano il punto interrogativo, e **non sono vuote per</w:t>
      </w:r>
    </w:p>
    <w:p>
      <w:pPr>
        <w:spacing w:after="120" w:line="276"/>
        <w:jc w:val="both"/>
      </w:pPr>
      <w:r>
        <w:rPr>
          <w:rFonts w:ascii="Barlow Semi Condensed" w:cs="Barlow Semi Condensed" w:eastAsia="Barlow Semi Condensed" w:hAnsi="Barlow Semi Condensed"/>
          <w:sz w:val="24"/>
          <w:szCs w:val="24"/>
        </w:rPr>
        <w:t xml:space="preserve">la stessa ragione della cella della sabbia.**</w:t>
      </w:r>
    </w:p>
    <w:p>
      <w:pPr>
        <w:spacing w:after="120" w:line="276"/>
        <w:jc w:val="both"/>
      </w:pPr>
      <w:r>
        <w:rPr>
          <w:rFonts w:ascii="Barlow Semi Condensed" w:cs="Barlow Semi Condensed" w:eastAsia="Barlow Semi Condensed" w:hAnsi="Barlow Semi Condensed"/>
          <w:sz w:val="24"/>
          <w:szCs w:val="24"/>
        </w:rPr>
        <w:t xml:space="preserve">Là il «quando» è indeterminato perché **nessuno lo ha stabilito e forse nessuno</w:t>
      </w:r>
    </w:p>
    <w:p>
      <w:pPr>
        <w:spacing w:after="120" w:line="276"/>
        <w:jc w:val="both"/>
      </w:pPr>
      <w:r>
        <w:rPr>
          <w:rFonts w:ascii="Barlow Semi Condensed" w:cs="Barlow Semi Condensed" w:eastAsia="Barlow Semi Condensed" w:hAnsi="Barlow Semi Condensed"/>
          <w:sz w:val="24"/>
          <w:szCs w:val="24"/>
        </w:rPr>
        <w:t xml:space="preserve">può**: il reperto potrebbe non consentirlo. Qui, invece: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 </w:t>
      </w:r>
      <w:r>
        <w:rPr>
          <w:rFonts w:ascii="Barlow Semi Condensed" w:cs="Barlow Semi Condensed" w:eastAsia="Barlow Semi Condensed" w:hAnsi="Barlow Semi Condensed"/>
          <w:b/>
          <w:bCs/>
          <w:sz w:val="24"/>
          <w:szCs w:val="24"/>
        </w:rPr>
        <w:t xml:space="preserve">profili genetici del 2016</w:t>
      </w:r>
      <w:r>
        <w:rPr>
          <w:rFonts w:ascii="Barlow Semi Condensed" w:cs="Barlow Semi Condensed" w:eastAsia="Barlow Semi Condensed" w:hAnsi="Barlow Semi Condensed"/>
          <w:sz w:val="24"/>
          <w:szCs w:val="24"/>
        </w:rPr>
        <w:t xml:space="preserve"> esistono, sono estratti, e restano **senza</w:t>
      </w:r>
    </w:p>
    <w:p>
      <w:pPr>
        <w:spacing w:after="120" w:line="276"/>
        <w:jc w:val="both"/>
      </w:pPr>
      <w:r>
        <w:rPr>
          <w:rFonts w:ascii="Barlow Semi Condensed" w:cs="Barlow Semi Condensed" w:eastAsia="Barlow Semi Condensed" w:hAnsi="Barlow Semi Condensed"/>
          <w:sz w:val="24"/>
          <w:szCs w:val="24"/>
        </w:rPr>
        <w:t xml:space="preserve">  attribuzione pubblica**;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caricatore di via Fani-via Stresa</w:t>
      </w:r>
      <w:r>
        <w:rPr>
          <w:rFonts w:ascii="Barlow Semi Condensed" w:cs="Barlow Semi Condensed" w:eastAsia="Barlow Semi Condensed" w:hAnsi="Barlow Semi Condensed"/>
          <w:sz w:val="24"/>
          <w:szCs w:val="24"/>
        </w:rPr>
        <w:t xml:space="preserve"> esiste, ed **è rimasto quarantotto anni</w:t>
      </w:r>
    </w:p>
    <w:p>
      <w:pPr>
        <w:spacing w:after="120" w:line="276"/>
        <w:jc w:val="both"/>
      </w:pPr>
      <w:r>
        <w:rPr>
          <w:rFonts w:ascii="Barlow Semi Condensed" w:cs="Barlow Semi Condensed" w:eastAsia="Barlow Semi Condensed" w:hAnsi="Barlow Semi Condensed"/>
          <w:sz w:val="24"/>
          <w:szCs w:val="24"/>
        </w:rPr>
        <w:t xml:space="preserve">  senza essere comparato**.</w:t>
      </w:r>
    </w:p>
    <w:p>
      <w:pPr>
        <w:spacing w:after="120" w:line="276"/>
        <w:jc w:val="both"/>
      </w:pPr>
      <w:r>
        <w:rPr>
          <w:rFonts w:ascii="Barlow Semi Condensed" w:cs="Barlow Semi Condensed" w:eastAsia="Barlow Semi Condensed" w:hAnsi="Barlow Semi Condensed"/>
          <w:b/>
          <w:bCs/>
          <w:sz w:val="24"/>
          <w:szCs w:val="24"/>
        </w:rPr>
        <w:t xml:space="preserve">Non mancano i reperti: manca la lettura.</w:t>
      </w:r>
      <w:r>
        <w:rPr>
          <w:rFonts w:ascii="Barlow Semi Condensed" w:cs="Barlow Semi Condensed" w:eastAsia="Barlow Semi Condensed" w:hAnsi="Barlow Semi Condensed"/>
          <w:sz w:val="24"/>
          <w:szCs w:val="24"/>
        </w:rPr>
        <w:t xml:space="preserve"> E la lettura è già disposta —</w:t>
      </w:r>
    </w:p>
    <w:p>
      <w:pPr>
        <w:spacing w:after="120" w:line="276"/>
        <w:jc w:val="both"/>
      </w:pPr>
      <w:r>
        <w:rPr>
          <w:rFonts w:ascii="Barlow Semi Condensed" w:cs="Barlow Semi Condensed" w:eastAsia="Barlow Semi Condensed" w:hAnsi="Barlow Semi Condensed"/>
          <w:sz w:val="24"/>
          <w:szCs w:val="24"/>
        </w:rPr>
        <w:t xml:space="preserve">nuovi esami sul caricatore sono stati ordinati dal giudice, e la Procura è stata</w:t>
      </w:r>
    </w:p>
    <w:p>
      <w:pPr>
        <w:spacing w:after="120" w:line="276"/>
        <w:jc w:val="both"/>
      </w:pPr>
      <w:r>
        <w:rPr>
          <w:rFonts w:ascii="Barlow Semi Condensed" w:cs="Barlow Semi Condensed" w:eastAsia="Barlow Semi Condensed" w:hAnsi="Barlow Semi Condensed"/>
          <w:sz w:val="24"/>
          <w:szCs w:val="24"/>
        </w:rPr>
        <w:t xml:space="preserve">autorizzata alle comparazioni genetiche.</w:t>
      </w:r>
    </w:p>
    <w:p>
      <w:pPr>
        <w:spacing w:after="120" w:line="276"/>
        <w:jc w:val="both"/>
      </w:pPr>
      <w:r>
        <w:rPr>
          <w:rFonts w:ascii="Barlow Semi Condensed" w:cs="Barlow Semi Condensed" w:eastAsia="Barlow Semi Condensed" w:hAnsi="Barlow Semi Condensed"/>
          <w:sz w:val="24"/>
          <w:szCs w:val="24"/>
        </w:rPr>
        <w:t xml:space="preserve">Ne discende la differenza che conta, e va detta senza enfasi perché è già</w:t>
      </w:r>
    </w:p>
    <w:p>
      <w:pPr>
        <w:spacing w:after="120" w:line="276"/>
        <w:jc w:val="both"/>
      </w:pPr>
      <w:r>
        <w:rPr>
          <w:rFonts w:ascii="Barlow Semi Condensed" w:cs="Barlow Semi Condensed" w:eastAsia="Barlow Semi Condensed" w:hAnsi="Barlow Semi Condensed"/>
          <w:sz w:val="24"/>
          <w:szCs w:val="24"/>
        </w:rPr>
        <w:t xml:space="preserve">abbastanza forte da sé: **la matrice di via Fani non chiede un atto nuovo. Chiede</w:t>
      </w:r>
    </w:p>
    <w:p>
      <w:pPr>
        <w:spacing w:after="120" w:line="276"/>
        <w:jc w:val="both"/>
      </w:pPr>
      <w:r>
        <w:rPr>
          <w:rFonts w:ascii="Barlow Semi Condensed" w:cs="Barlow Semi Condensed" w:eastAsia="Barlow Semi Condensed" w:hAnsi="Barlow Semi Condensed"/>
          <w:sz w:val="24"/>
          <w:szCs w:val="24"/>
        </w:rPr>
        <w:t xml:space="preserve">l'esito di atti già in corso.**</w:t>
      </w:r>
    </w:p>
    <w:p>
      <w:pPr>
        <w:spacing w:after="120" w:line="276"/>
        <w:jc w:val="both"/>
      </w:pPr>
      <w:r>
        <w:rPr>
          <w:rFonts w:ascii="Barlow Semi Condensed" w:cs="Barlow Semi Condensed" w:eastAsia="Barlow Semi Condensed" w:hAnsi="Barlow Semi Condensed"/>
          <w:b/>
          <w:bCs/>
          <w:sz w:val="24"/>
          <w:szCs w:val="24"/>
        </w:rPr>
        <w:t xml:space="preserve">Il quesito del caricatore è binario</w:t>
      </w:r>
      <w:r>
        <w:rPr>
          <w:rFonts w:ascii="Barlow Semi Condensed" w:cs="Barlow Semi Condensed" w:eastAsia="Barlow Semi Condensed" w:hAnsi="Barlow Semi Condensed"/>
          <w:sz w:val="24"/>
          <w:szCs w:val="24"/>
        </w:rPr>
        <w:t xml:space="preserve">, e per questo è il più efficiente del caso:</w:t>
      </w:r>
    </w:p>
    <w:p>
      <w:pPr>
        <w:spacing w:after="120" w:line="276"/>
        <w:jc w:val="both"/>
      </w:pPr>
      <w:r>
        <w:rPr>
          <w:rFonts w:ascii="Barlow Semi Condensed" w:cs="Barlow Semi Condensed" w:eastAsia="Barlow Semi Condensed" w:hAnsi="Barlow Semi Condensed"/>
          <w:sz w:val="24"/>
          <w:szCs w:val="24"/>
        </w:rPr>
        <w:t xml:space="preserve">o le tracce riconducono al commando accertato, e **F3 perde la sua unica via di</w:t>
      </w:r>
    </w:p>
    <w:p>
      <w:pPr>
        <w:spacing w:after="120" w:line="276"/>
        <w:jc w:val="both"/>
      </w:pPr>
      <w:r>
        <w:rPr>
          <w:rFonts w:ascii="Barlow Semi Condensed" w:cs="Barlow Semi Condensed" w:eastAsia="Barlow Semi Condensed" w:hAnsi="Barlow Semi Condensed"/>
          <w:sz w:val="24"/>
          <w:szCs w:val="24"/>
        </w:rPr>
        <w:t xml:space="preserve">ingresso materiale**; o riconducono a un ignoto, e si apre un'identificazione</w:t>
      </w:r>
    </w:p>
    <w:p>
      <w:pPr>
        <w:spacing w:after="120" w:line="276"/>
        <w:jc w:val="both"/>
      </w:pPr>
      <w:r>
        <w:rPr>
          <w:rFonts w:ascii="Barlow Semi Condensed" w:cs="Barlow Semi Condensed" w:eastAsia="Barlow Semi Condensed" w:hAnsi="Barlow Semi Condensed"/>
          <w:sz w:val="24"/>
          <w:szCs w:val="24"/>
        </w:rPr>
        <w:t xml:space="preserve">giudiziaria. Un solo reperto, due esiti, nessuna zona grigia. È anche la ragione</w:t>
      </w:r>
    </w:p>
    <w:p>
      <w:pPr>
        <w:spacing w:after="120" w:line="276"/>
        <w:jc w:val="both"/>
      </w:pPr>
      <w:r>
        <w:rPr>
          <w:rFonts w:ascii="Barlow Semi Condensed" w:cs="Barlow Semi Condensed" w:eastAsia="Barlow Semi Condensed" w:hAnsi="Barlow Semi Condensed"/>
          <w:sz w:val="24"/>
          <w:szCs w:val="24"/>
        </w:rPr>
        <w:t xml:space="preserve">per cui, nella graduatoria, quella pista ha un punteggio alto pur avendo un</w:t>
      </w:r>
    </w:p>
    <w:p>
      <w:pPr>
        <w:spacing w:after="120" w:line="276"/>
        <w:jc w:val="both"/>
      </w:pPr>
      <w:r>
        <w:rPr>
          <w:rFonts w:ascii="Barlow Semi Condensed" w:cs="Barlow Semi Condensed" w:eastAsia="Barlow Semi Condensed" w:hAnsi="Barlow Semi Condensed"/>
          <w:sz w:val="24"/>
          <w:szCs w:val="24"/>
        </w:rPr>
        <w:t xml:space="preserve">rendimento minore di altre: </w:t>
      </w:r>
      <w:r>
        <w:rPr>
          <w:rFonts w:ascii="Barlow Semi Condensed" w:cs="Barlow Semi Condensed" w:eastAsia="Barlow Semi Condensed" w:hAnsi="Barlow Semi Condensed"/>
          <w:b/>
          <w:bCs/>
          <w:sz w:val="24"/>
          <w:szCs w:val="24"/>
        </w:rPr>
        <w:t xml:space="preserve">la sua diagnosticità è quasi perfetta.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L'ordine, e il suo unico insegnamento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incompatibilità</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lettura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F2</w:t>
            </w:r>
            <w:r>
              <w:rPr>
                <w:rFonts w:ascii="Barlow Semi Condensed" w:cs="Barlow Semi Condensed" w:eastAsia="Barlow Semi Condensed" w:hAnsi="Barlow Semi Condensed"/>
                <w:sz w:val="20"/>
                <w:szCs w:val="20"/>
              </w:rPr>
              <w:t xml:space="preserve"> estranei non operativi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contraddetta e non sostenuta. Spiega le testimonianze senza pagare il prezzo di E10 — e, come tutte le ipotesi che non pagano prezzi, </w:t>
            </w:r>
            <w:r>
              <w:rPr>
                <w:rFonts w:ascii="Barlow Semi Condensed" w:cs="Barlow Semi Condensed" w:eastAsia="Barlow Semi Condensed" w:hAnsi="Barlow Semi Condensed"/>
                <w:b/>
                <w:bCs/>
                <w:sz w:val="20"/>
                <w:szCs w:val="20"/>
              </w:rPr>
              <w:t xml:space="preserve">non guadagna nulla dal non pagarli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F4</w:t>
            </w:r>
            <w:r>
              <w:rPr>
                <w:rFonts w:ascii="Barlow Semi Condensed" w:cs="Barlow Semi Condensed" w:eastAsia="Barlow Semi Condensed" w:hAnsi="Barlow Semi Condensed"/>
                <w:sz w:val="20"/>
                <w:szCs w:val="20"/>
              </w:rPr>
              <w:t xml:space="preserve"> percepiti e inesistenti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contraddetta. È l'ipotesi che il dibattito pubblico non considera mai, e la matrice non le dà alcuna ragione di essere scartata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F3</w:t>
            </w:r>
            <w:r>
              <w:rPr>
                <w:rFonts w:ascii="Barlow Semi Condensed" w:cs="Barlow Semi Condensed" w:eastAsia="Barlow Semi Condensed" w:hAnsi="Barlow Semi Condensed"/>
                <w:sz w:val="20"/>
                <w:szCs w:val="20"/>
              </w:rPr>
              <w:t xml:space="preserve"> estranei operativi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w:t>
            </w:r>
            <w:r>
              <w:rPr>
                <w:rFonts w:ascii="Barlow Semi Condensed" w:cs="Barlow Semi Condensed" w:eastAsia="Barlow Semi Condensed" w:hAnsi="Barlow Semi Condensed"/>
                <w:sz w:val="20"/>
                <w:szCs w:val="20"/>
              </w:rPr>
              <w:t xml:space="preserve"> (E10)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Un solo urto, di robustezza media. </w:t>
            </w:r>
            <w:r>
              <w:rPr>
                <w:rFonts w:ascii="Barlow Semi Condensed" w:cs="Barlow Semi Condensed" w:eastAsia="Barlow Semi Condensed" w:hAnsi="Barlow Semi Condensed"/>
                <w:b/>
                <w:bCs/>
                <w:sz w:val="20"/>
                <w:szCs w:val="20"/>
              </w:rPr>
              <w:t xml:space="preserve">È l'ipotesi che le due celle non lette possono promuovere o affondare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F1</w:t>
            </w:r>
            <w:r>
              <w:rPr>
                <w:rFonts w:ascii="Barlow Semi Condensed" w:cs="Barlow Semi Condensed" w:eastAsia="Barlow Semi Condensed" w:hAnsi="Barlow Semi Condensed"/>
                <w:sz w:val="20"/>
                <w:szCs w:val="20"/>
              </w:rPr>
              <w:t xml:space="preserve"> organico coincidente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2</w:t>
            </w:r>
            <w:r>
              <w:rPr>
                <w:rFonts w:ascii="Barlow Semi Condensed" w:cs="Barlow Semi Condensed" w:eastAsia="Barlow Semi Condensed" w:hAnsi="Barlow Semi Condensed"/>
                <w:sz w:val="20"/>
                <w:szCs w:val="20"/>
              </w:rPr>
              <w:t xml:space="preserve"> (E6, E7)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È l'ipotesi del giudicato, ed è quella con </w:t>
            </w:r>
            <w:r>
              <w:rPr>
                <w:rFonts w:ascii="Barlow Semi Condensed" w:cs="Barlow Semi Condensed" w:eastAsia="Barlow Semi Condensed" w:hAnsi="Barlow Semi Condensed"/>
                <w:b/>
                <w:bCs/>
                <w:sz w:val="20"/>
                <w:szCs w:val="20"/>
              </w:rPr>
              <w:t xml:space="preserve">più incompatibilità</w:t>
            </w:r>
            <w:r>
              <w:rPr>
                <w:rFonts w:ascii="Barlow Semi Condensed" w:cs="Barlow Semi Condensed" w:eastAsia="Barlow Semi Condensed" w:hAnsi="Barlow Semi Condensed"/>
                <w:sz w:val="20"/>
                <w:szCs w:val="20"/>
              </w:rPr>
              <w:t xml:space="preserve"> in tavola. Il che non la indebolisce come ricostruzione giudiziaria — un giudicato accerta responsabilità, non censisce presenze — ma segnala esattamente dove il giudicato e le acquisizioni parlamentari non si sovrappongono</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L'insegnamento della tavola sta in quest'ultima riga</w:t>
      </w:r>
      <w:r>
        <w:rPr>
          <w:rFonts w:ascii="Barlow Semi Condensed" w:cs="Barlow Semi Condensed" w:eastAsia="Barlow Semi Condensed" w:hAnsi="Barlow Semi Condensed"/>
          <w:sz w:val="24"/>
          <w:szCs w:val="24"/>
        </w:rPr>
        <w:t xml:space="preserve">, ed è scomodo per</w:t>
      </w:r>
    </w:p>
    <w:p>
      <w:pPr>
        <w:spacing w:after="120" w:line="276"/>
        <w:jc w:val="both"/>
      </w:pPr>
      <w:r>
        <w:rPr>
          <w:rFonts w:ascii="Barlow Semi Condensed" w:cs="Barlow Semi Condensed" w:eastAsia="Barlow Semi Condensed" w:hAnsi="Barlow Semi Condensed"/>
          <w:sz w:val="24"/>
          <w:szCs w:val="24"/>
        </w:rPr>
        <w:t xml:space="preserve">entrambe le parti del dibattito.</w:t>
      </w:r>
    </w:p>
    <w:p>
      <w:pPr>
        <w:spacing w:after="120" w:line="276"/>
        <w:jc w:val="both"/>
      </w:pPr>
      <w:r>
        <w:rPr>
          <w:rFonts w:ascii="Barlow Semi Condensed" w:cs="Barlow Semi Condensed" w:eastAsia="Barlow Semi Condensed" w:hAnsi="Barlow Semi Condensed"/>
          <w:sz w:val="24"/>
          <w:szCs w:val="24"/>
        </w:rPr>
        <w:t xml:space="preserve">Chi difende la ricostruzione giudiziaria deve accettare che essa porti **due</w:t>
      </w:r>
    </w:p>
    <w:p>
      <w:pPr>
        <w:spacing w:after="120" w:line="276"/>
        <w:jc w:val="both"/>
      </w:pPr>
      <w:r>
        <w:rPr>
          <w:rFonts w:ascii="Barlow Semi Condensed" w:cs="Barlow Semi Condensed" w:eastAsia="Barlow Semi Condensed" w:hAnsi="Barlow Semi Condensed"/>
          <w:sz w:val="24"/>
          <w:szCs w:val="24"/>
        </w:rPr>
        <w:t xml:space="preserve">incompatibilità** con acquisizioni raccolte sotto giuramento da un organo dello</w:t>
      </w:r>
    </w:p>
    <w:p>
      <w:pPr>
        <w:spacing w:after="120" w:line="276"/>
        <w:jc w:val="both"/>
      </w:pPr>
      <w:r>
        <w:rPr>
          <w:rFonts w:ascii="Barlow Semi Condensed" w:cs="Barlow Semi Condensed" w:eastAsia="Barlow Semi Condensed" w:hAnsi="Barlow Semi Condensed"/>
          <w:sz w:val="24"/>
          <w:szCs w:val="24"/>
        </w:rPr>
        <w:t xml:space="preserve">Stato, e che l'unico modo di scioglierle sia </w:t>
      </w:r>
      <w:r>
        <w:rPr>
          <w:rFonts w:ascii="Barlow Semi Condensed" w:cs="Barlow Semi Condensed" w:eastAsia="Barlow Semi Condensed" w:hAnsi="Barlow Semi Condensed"/>
          <w:b/>
          <w:bCs/>
          <w:sz w:val="24"/>
          <w:szCs w:val="24"/>
        </w:rPr>
        <w:t xml:space="preserve">una perizia</w:t>
      </w:r>
      <w:r>
        <w:rPr>
          <w:rFonts w:ascii="Barlow Semi Condensed" w:cs="Barlow Semi Condensed" w:eastAsia="Barlow Semi Condensed" w:hAnsi="Barlow Semi Condensed"/>
          <w:sz w:val="24"/>
          <w:szCs w:val="24"/>
        </w:rPr>
        <w:t xml:space="preserve">, non un'alzata di</w:t>
      </w:r>
    </w:p>
    <w:p>
      <w:pPr>
        <w:spacing w:after="120" w:line="276"/>
        <w:jc w:val="both"/>
      </w:pPr>
      <w:r>
        <w:rPr>
          <w:rFonts w:ascii="Barlow Semi Condensed" w:cs="Barlow Semi Condensed" w:eastAsia="Barlow Semi Condensed" w:hAnsi="Barlow Semi Condensed"/>
          <w:sz w:val="24"/>
          <w:szCs w:val="24"/>
        </w:rPr>
        <w:t xml:space="preserve">spalle.</w:t>
      </w:r>
    </w:p>
    <w:p>
      <w:pPr>
        <w:spacing w:after="120" w:line="276"/>
        <w:jc w:val="both"/>
      </w:pPr>
      <w:r>
        <w:rPr>
          <w:rFonts w:ascii="Barlow Semi Condensed" w:cs="Barlow Semi Condensed" w:eastAsia="Barlow Semi Condensed" w:hAnsi="Barlow Semi Condensed"/>
          <w:sz w:val="24"/>
          <w:szCs w:val="24"/>
        </w:rPr>
        <w:t xml:space="preserve">Chi sostiene le presenze estranee deve accettare che l'ipotesi </w:t>
      </w:r>
      <w:r>
        <w:rPr>
          <w:rFonts w:ascii="Barlow Semi Condensed" w:cs="Barlow Semi Condensed" w:eastAsia="Barlow Semi Condensed" w:hAnsi="Barlow Semi Condensed"/>
          <w:b/>
          <w:bCs/>
          <w:sz w:val="24"/>
          <w:szCs w:val="24"/>
        </w:rPr>
        <w:t xml:space="preserve">operativa</w:t>
      </w:r>
      <w:r>
        <w:rPr>
          <w:rFonts w:ascii="Barlow Semi Condensed" w:cs="Barlow Semi Condensed" w:eastAsia="Barlow Semi Condensed" w:hAnsi="Barlow Semi Condensed"/>
          <w:sz w:val="24"/>
          <w:szCs w:val="24"/>
        </w:rPr>
        <w:t xml:space="preserve"> — la</w:t>
      </w:r>
    </w:p>
    <w:p>
      <w:pPr>
        <w:spacing w:after="120" w:line="276"/>
        <w:jc w:val="both"/>
      </w:pPr>
      <w:r>
        <w:rPr>
          <w:rFonts w:ascii="Barlow Semi Condensed" w:cs="Barlow Semi Condensed" w:eastAsia="Barlow Semi Condensed" w:hAnsi="Barlow Semi Condensed"/>
          <w:sz w:val="24"/>
          <w:szCs w:val="24"/>
        </w:rPr>
        <w:t xml:space="preserve">sola interessante, la sola che cambierebbe il racconto del caso — sia anche l'unica</w:t>
      </w:r>
    </w:p>
    <w:p>
      <w:pPr>
        <w:spacing w:after="120" w:line="276"/>
        <w:jc w:val="both"/>
      </w:pPr>
      <w:r>
        <w:rPr>
          <w:rFonts w:ascii="Barlow Semi Condensed" w:cs="Barlow Semi Condensed" w:eastAsia="Barlow Semi Condensed" w:hAnsi="Barlow Semi Condensed"/>
          <w:sz w:val="24"/>
          <w:szCs w:val="24"/>
        </w:rPr>
        <w:t xml:space="preserve">che urta contro un esito negativo, e che tutto l'apparato balistico invocato per</w:t>
      </w:r>
    </w:p>
    <w:p>
      <w:pPr>
        <w:spacing w:after="120" w:line="276"/>
        <w:jc w:val="both"/>
      </w:pPr>
      <w:r>
        <w:rPr>
          <w:rFonts w:ascii="Barlow Semi Condensed" w:cs="Barlow Semi Condensed" w:eastAsia="Barlow Semi Condensed" w:hAnsi="Barlow Semi Condensed"/>
          <w:sz w:val="24"/>
          <w:szCs w:val="24"/>
        </w:rPr>
        <w:t xml:space="preserve">sostenerla </w:t>
      </w:r>
      <w:r>
        <w:rPr>
          <w:rFonts w:ascii="Barlow Semi Condensed" w:cs="Barlow Semi Condensed" w:eastAsia="Barlow Semi Condensed" w:hAnsi="Barlow Semi Condensed"/>
          <w:b/>
          <w:bCs/>
          <w:sz w:val="24"/>
          <w:szCs w:val="24"/>
        </w:rPr>
        <w:t xml:space="preserve">non la sostiene</w:t>
      </w:r>
      <w:r>
        <w:rPr>
          <w:rFonts w:ascii="Barlow Semi Condensed" w:cs="Barlow Semi Condensed" w:eastAsia="Barlow Semi Condensed" w:hAnsi="Barlow Semi Condensed"/>
          <w:sz w:val="24"/>
          <w:szCs w:val="24"/>
        </w:rPr>
        <w:t xml:space="preserve">: F2 e F4, che nessuno difende, stanno meglio di lei.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VIII. Che cosa chiuderebbe la matrice</w:t>
      </w:r>
    </w:p>
    <w:p>
      <w:pPr>
        <w:spacing w:after="120" w:line="276"/>
        <w:jc w:val="both"/>
      </w:pPr>
      <w:r>
        <w:rPr>
          <w:rFonts w:ascii="Barlow Semi Condensed" w:cs="Barlow Semi Condensed" w:eastAsia="Barlow Semi Condensed" w:hAnsi="Barlow Semi Condensed"/>
          <w:b/>
          <w:bCs/>
          <w:sz w:val="24"/>
          <w:szCs w:val="24"/>
        </w:rPr>
        <w:t xml:space="preserve">1. Il caricatore di via Fani-via Stresa.</w:t>
      </w:r>
      <w:r>
        <w:rPr>
          <w:rFonts w:ascii="Barlow Semi Condensed" w:cs="Barlow Semi Condensed" w:eastAsia="Barlow Semi Condensed" w:hAnsi="Barlow Semi Condensed"/>
          <w:sz w:val="24"/>
          <w:szCs w:val="24"/>
        </w:rPr>
        <w:t xml:space="preserve"> Impronte e tracce genetiche;</w:t>
      </w:r>
    </w:p>
    <w:p>
      <w:pPr>
        <w:spacing w:after="120" w:line="276"/>
        <w:jc w:val="both"/>
      </w:pPr>
      <w:r>
        <w:rPr>
          <w:rFonts w:ascii="Barlow Semi Condensed" w:cs="Barlow Semi Condensed" w:eastAsia="Barlow Semi Condensed" w:hAnsi="Barlow Semi Condensed"/>
          <w:sz w:val="24"/>
          <w:szCs w:val="24"/>
        </w:rPr>
        <w:t xml:space="preserve">comparazione con la rosa autorizzata. **Quesito binario, reperto singolo, esito non</w:t>
      </w:r>
    </w:p>
    <w:p>
      <w:pPr>
        <w:spacing w:after="120" w:line="276"/>
        <w:jc w:val="both"/>
      </w:pPr>
      <w:r>
        <w:rPr>
          <w:rFonts w:ascii="Barlow Semi Condensed" w:cs="Barlow Semi Condensed" w:eastAsia="Barlow Semi Condensed" w:hAnsi="Barlow Semi Condensed"/>
          <w:sz w:val="24"/>
          <w:szCs w:val="24"/>
        </w:rPr>
        <w:t xml:space="preserve">ambiguo.** È il primo atto per rapporto fra potere discriminante e costo.</w:t>
      </w:r>
    </w:p>
    <w:p>
      <w:pPr>
        <w:spacing w:after="120" w:line="276"/>
        <w:jc w:val="both"/>
      </w:pPr>
      <w:r>
        <w:rPr>
          <w:rFonts w:ascii="Barlow Semi Condensed" w:cs="Barlow Semi Condensed" w:eastAsia="Barlow Semi Condensed" w:hAnsi="Barlow Semi Condensed"/>
          <w:b/>
          <w:bCs/>
          <w:sz w:val="24"/>
          <w:szCs w:val="24"/>
        </w:rPr>
        <w:t xml:space="preserve">2. I profili genetici del 2016.</w:t>
      </w:r>
      <w:r>
        <w:rPr>
          <w:rFonts w:ascii="Barlow Semi Condensed" w:cs="Barlow Semi Condensed" w:eastAsia="Barlow Semi Condensed" w:hAnsi="Barlow Semi Condensed"/>
          <w:sz w:val="24"/>
          <w:szCs w:val="24"/>
        </w:rPr>
        <w:t xml:space="preserve"> L'esito delle comparazioni sui profili estratti</w:t>
      </w:r>
    </w:p>
    <w:p>
      <w:pPr>
        <w:spacing w:after="120" w:line="276"/>
        <w:jc w:val="both"/>
      </w:pPr>
      <w:r>
        <w:rPr>
          <w:rFonts w:ascii="Barlow Semi Condensed" w:cs="Barlow Semi Condensed" w:eastAsia="Barlow Semi Condensed" w:hAnsi="Barlow Semi Condensed"/>
          <w:sz w:val="24"/>
          <w:szCs w:val="24"/>
        </w:rPr>
        <w:t xml:space="preserve">dai mozziconi dell'auto di sbarramento e della base. La rosa comparativa va</w:t>
      </w:r>
    </w:p>
    <w:p>
      <w:pPr>
        <w:spacing w:after="120" w:line="276"/>
        <w:jc w:val="both"/>
      </w:pPr>
      <w:r>
        <w:rPr>
          <w:rFonts w:ascii="Barlow Semi Condensed" w:cs="Barlow Semi Condensed" w:eastAsia="Barlow Semi Condensed" w:hAnsi="Barlow Semi Condensed"/>
          <w:sz w:val="24"/>
          <w:szCs w:val="24"/>
        </w:rPr>
        <w:t xml:space="preserve">allargata in modo ragionato e </w:t>
      </w:r>
      <w:r>
        <w:rPr>
          <w:rFonts w:ascii="Barlow Semi Condensed" w:cs="Barlow Semi Condensed" w:eastAsia="Barlow Semi Condensed" w:hAnsi="Barlow Semi Condensed"/>
          <w:b/>
          <w:bCs/>
          <w:sz w:val="24"/>
          <w:szCs w:val="24"/>
        </w:rPr>
        <w:t xml:space="preserve">dichiarato</w:t>
      </w:r>
      <w:r>
        <w:rPr>
          <w:rFonts w:ascii="Barlow Semi Condensed" w:cs="Barlow Semi Condensed" w:eastAsia="Barlow Semi Condensed" w:hAnsi="Barlow Semi Condensed"/>
          <w:sz w:val="24"/>
          <w:szCs w:val="24"/>
        </w:rPr>
        <w:t xml:space="preserve">: una rosa scelta dopo aver visto i</w:t>
      </w:r>
    </w:p>
    <w:p>
      <w:pPr>
        <w:spacing w:after="120" w:line="276"/>
        <w:jc w:val="both"/>
      </w:pPr>
      <w:r>
        <w:rPr>
          <w:rFonts w:ascii="Barlow Semi Condensed" w:cs="Barlow Semi Condensed" w:eastAsia="Barlow Semi Condensed" w:hAnsi="Barlow Semi Condensed"/>
          <w:sz w:val="24"/>
          <w:szCs w:val="24"/>
        </w:rPr>
        <w:t xml:space="preserve">profili non è una comparazione, è una conferma cercata.</w:t>
      </w:r>
    </w:p>
    <w:p>
      <w:pPr>
        <w:spacing w:after="120" w:line="276"/>
        <w:jc w:val="both"/>
      </w:pPr>
      <w:r>
        <w:rPr>
          <w:rFonts w:ascii="Barlow Semi Condensed" w:cs="Barlow Semi Condensed" w:eastAsia="Barlow Semi Condensed" w:hAnsi="Barlow Semi Condensed"/>
          <w:b/>
          <w:bCs/>
          <w:sz w:val="24"/>
          <w:szCs w:val="24"/>
        </w:rPr>
        <w:t xml:space="preserve">3. L'anagrafe della moto.</w:t>
      </w:r>
      <w:r>
        <w:rPr>
          <w:rFonts w:ascii="Barlow Semi Condensed" w:cs="Barlow Semi Condensed" w:eastAsia="Barlow Semi Condensed" w:hAnsi="Barlow Semi Condensed"/>
          <w:sz w:val="24"/>
          <w:szCs w:val="24"/>
        </w:rPr>
        <w:t xml:space="preserve"> Immatricolazioni, furti e rinvenimenti del 1978, e la</w:t>
      </w:r>
    </w:p>
    <w:p>
      <w:pPr>
        <w:spacing w:after="120" w:line="276"/>
        <w:jc w:val="both"/>
      </w:pPr>
      <w:r>
        <w:rPr>
          <w:rFonts w:ascii="Barlow Semi Condensed" w:cs="Barlow Semi Condensed" w:eastAsia="Barlow Semi Condensed" w:hAnsi="Barlow Semi Condensed"/>
          <w:sz w:val="24"/>
          <w:szCs w:val="24"/>
        </w:rPr>
        <w:t xml:space="preserve">tavola delle motociclette sequestrate nei procedimenti collegati. È il quesito che</w:t>
      </w:r>
    </w:p>
    <w:p>
      <w:pPr>
        <w:spacing w:after="120" w:line="276"/>
        <w:jc w:val="both"/>
      </w:pPr>
      <w:r>
        <w:rPr>
          <w:rFonts w:ascii="Barlow Semi Condensed" w:cs="Barlow Semi Condensed" w:eastAsia="Barlow Semi Condensed" w:hAnsi="Barlow Semi Condensed"/>
          <w:sz w:val="24"/>
          <w:szCs w:val="24"/>
        </w:rPr>
        <w:t xml:space="preserve">discrimina fra F2/F3 e F4: </w:t>
      </w:r>
      <w:r>
        <w:rPr>
          <w:rFonts w:ascii="Barlow Semi Condensed" w:cs="Barlow Semi Condensed" w:eastAsia="Barlow Semi Condensed" w:hAnsi="Barlow Semi Condensed"/>
          <w:b/>
          <w:bCs/>
          <w:sz w:val="24"/>
          <w:szCs w:val="24"/>
        </w:rPr>
        <w:t xml:space="preserve">una moto è un oggetto con un numero</w:t>
      </w:r>
      <w:r>
        <w:rPr>
          <w:rFonts w:ascii="Barlow Semi Condensed" w:cs="Barlow Semi Condensed" w:eastAsia="Barlow Semi Condensed" w:hAnsi="Barlow Semi Condensed"/>
          <w:sz w:val="24"/>
          <w:szCs w:val="24"/>
        </w:rPr>
        <w:t xml:space="preserve">, e si lavora ad</w:t>
      </w:r>
    </w:p>
    <w:p>
      <w:pPr>
        <w:spacing w:after="120" w:line="276"/>
        <w:jc w:val="both"/>
      </w:pPr>
      <w:r>
        <w:rPr>
          <w:rFonts w:ascii="Barlow Semi Condensed" w:cs="Barlow Semi Condensed" w:eastAsia="Barlow Semi Condensed" w:hAnsi="Barlow Semi Condensed"/>
          <w:sz w:val="24"/>
          <w:szCs w:val="24"/>
        </w:rPr>
        <w:t xml:space="preserve">anagrafe, non a suggestione.</w:t>
      </w:r>
    </w:p>
    <w:p>
      <w:pPr>
        <w:spacing w:after="120" w:line="276"/>
        <w:jc w:val="both"/>
      </w:pPr>
      <w:r>
        <w:rPr>
          <w:rFonts w:ascii="Barlow Semi Condensed" w:cs="Barlow Semi Condensed" w:eastAsia="Barlow Semi Condensed" w:hAnsi="Barlow Semi Condensed"/>
          <w:b/>
          <w:bCs/>
          <w:sz w:val="24"/>
          <w:szCs w:val="24"/>
        </w:rPr>
        <w:t xml:space="preserve">4. La ri-escussione conservativa dei testimoni.</w:t>
      </w:r>
      <w:r>
        <w:rPr>
          <w:rFonts w:ascii="Barlow Semi Condensed" w:cs="Barlow Semi Condensed" w:eastAsia="Barlow Semi Condensed" w:hAnsi="Barlow Semi Condensed"/>
          <w:sz w:val="24"/>
          <w:szCs w:val="24"/>
        </w:rPr>
        <w:t xml:space="preserve"> Con protocolli di memoria</w:t>
      </w:r>
    </w:p>
    <w:p>
      <w:pPr>
        <w:spacing w:after="120" w:line="276"/>
        <w:jc w:val="both"/>
      </w:pPr>
      <w:r>
        <w:rPr>
          <w:rFonts w:ascii="Barlow Semi Condensed" w:cs="Barlow Semi Condensed" w:eastAsia="Barlow Semi Condensed" w:hAnsi="Barlow Semi Condensed"/>
          <w:sz w:val="24"/>
          <w:szCs w:val="24"/>
        </w:rPr>
        <w:t xml:space="preserve">assistita, e prima che il tempo la renda impossibile. È la sola voce di questa</w:t>
      </w:r>
    </w:p>
    <w:p>
      <w:pPr>
        <w:spacing w:after="120" w:line="276"/>
        <w:jc w:val="both"/>
      </w:pPr>
      <w:r>
        <w:rPr>
          <w:rFonts w:ascii="Barlow Semi Condensed" w:cs="Barlow Semi Condensed" w:eastAsia="Barlow Semi Condensed" w:hAnsi="Barlow Semi Condensed"/>
          <w:sz w:val="24"/>
          <w:szCs w:val="24"/>
        </w:rPr>
        <w:t xml:space="preserve">lista che </w:t>
      </w:r>
      <w:r>
        <w:rPr>
          <w:rFonts w:ascii="Barlow Semi Condensed" w:cs="Barlow Semi Condensed" w:eastAsia="Barlow Semi Condensed" w:hAnsi="Barlow Semi Condensed"/>
          <w:b/>
          <w:bCs/>
          <w:sz w:val="24"/>
          <w:szCs w:val="24"/>
        </w:rPr>
        <w:t xml:space="preserve">si chiude da sola</w:t>
      </w:r>
      <w:r>
        <w:rPr>
          <w:rFonts w:ascii="Barlow Semi Condensed" w:cs="Barlow Semi Condensed" w:eastAsia="Barlow Semi Condensed" w:hAnsi="Barlow Semi Condensed"/>
          <w:sz w:val="24"/>
          <w:szCs w:val="24"/>
        </w:rPr>
        <w:t xml:space="preserve"> se non la si apre.</w:t>
      </w:r>
    </w:p>
    <w:p>
      <w:pPr>
        <w:spacing w:after="120" w:line="276"/>
        <w:jc w:val="both"/>
      </w:pPr>
      <w:r>
        <w:rPr>
          <w:rFonts w:ascii="Barlow Semi Condensed" w:cs="Barlow Semi Condensed" w:eastAsia="Barlow Semi Condensed" w:hAnsi="Barlow Semi Condensed"/>
          <w:b/>
          <w:bCs/>
          <w:sz w:val="24"/>
          <w:szCs w:val="24"/>
        </w:rPr>
        <w:t xml:space="preserve">5. L'esemplare dell'arma.</w:t>
      </w:r>
      <w:r>
        <w:rPr>
          <w:rFonts w:ascii="Barlow Semi Condensed" w:cs="Barlow Semi Condensed" w:eastAsia="Barlow Semi Condensed" w:hAnsi="Barlow Semi Condensed"/>
          <w:sz w:val="24"/>
          <w:szCs w:val="24"/>
        </w:rPr>
        <w:t xml:space="preserve"> Il censimento degli FNAB-43 sequestrati in Italia in</w:t>
      </w:r>
    </w:p>
    <w:p>
      <w:pPr>
        <w:spacing w:after="120" w:line="276"/>
        <w:jc w:val="both"/>
      </w:pPr>
      <w:r>
        <w:rPr>
          <w:rFonts w:ascii="Barlow Semi Condensed" w:cs="Barlow Semi Condensed" w:eastAsia="Barlow Semi Condensed" w:hAnsi="Barlow Semi Condensed"/>
          <w:sz w:val="24"/>
          <w:szCs w:val="24"/>
        </w:rPr>
        <w:t xml:space="preserve">cinquant'anni e la comparazione di ciascuno coi bossoli. Se l'arma prevalente fosse</w:t>
      </w:r>
    </w:p>
    <w:p>
      <w:pPr>
        <w:spacing w:after="120" w:line="276"/>
        <w:jc w:val="both"/>
      </w:pPr>
      <w:r>
        <w:rPr>
          <w:rFonts w:ascii="Barlow Semi Condensed" w:cs="Barlow Semi Condensed" w:eastAsia="Barlow Semi Condensed" w:hAnsi="Barlow Semi Condensed"/>
          <w:sz w:val="24"/>
          <w:szCs w:val="24"/>
        </w:rPr>
        <w:t xml:space="preserve">identificata come </w:t>
      </w:r>
      <w:r>
        <w:rPr>
          <w:rFonts w:ascii="Barlow Semi Condensed" w:cs="Barlow Semi Condensed" w:eastAsia="Barlow Semi Condensed" w:hAnsi="Barlow Semi Condensed"/>
          <w:b/>
          <w:bCs/>
          <w:sz w:val="24"/>
          <w:szCs w:val="24"/>
        </w:rPr>
        <w:t xml:space="preserve">oggetto fisico</w:t>
      </w:r>
      <w:r>
        <w:rPr>
          <w:rFonts w:ascii="Barlow Semi Condensed" w:cs="Barlow Semi Condensed" w:eastAsia="Barlow Semi Condensed" w:hAnsi="Barlow Semi Condensed"/>
          <w:sz w:val="24"/>
          <w:szCs w:val="24"/>
        </w:rPr>
        <w:t xml:space="preserve">, sarebbe l'evidenza discriminante capitale —</w:t>
      </w:r>
    </w:p>
    <w:p>
      <w:pPr>
        <w:spacing w:after="120" w:line="276"/>
        <w:jc w:val="both"/>
      </w:pPr>
      <w:r>
        <w:rPr>
          <w:rFonts w:ascii="Barlow Semi Condensed" w:cs="Barlow Semi Condensed" w:eastAsia="Barlow Semi Condensed" w:hAnsi="Barlow Semi Condensed"/>
          <w:sz w:val="24"/>
          <w:szCs w:val="24"/>
        </w:rPr>
        <w:t xml:space="preserve">e questo è, di tutta la lista, il bersaglio più ambizioso e meno probabile.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IX. Chiusura</w:t>
      </w:r>
    </w:p>
    <w:p>
      <w:pPr>
        <w:spacing w:after="120" w:line="276"/>
        <w:jc w:val="both"/>
      </w:pPr>
      <w:r>
        <w:rPr>
          <w:rFonts w:ascii="Barlow Semi Condensed" w:cs="Barlow Semi Condensed" w:eastAsia="Barlow Semi Condensed" w:hAnsi="Barlow Semi Condensed"/>
          <w:sz w:val="24"/>
          <w:szCs w:val="24"/>
        </w:rPr>
        <w:t xml:space="preserve">La matrice della custodia si chiudeva su un reperto che forse non può rispondere.</w:t>
      </w:r>
    </w:p>
    <w:p>
      <w:pPr>
        <w:spacing w:after="120" w:line="276"/>
        <w:jc w:val="both"/>
      </w:pPr>
      <w:r>
        <w:rPr>
          <w:rFonts w:ascii="Barlow Semi Condensed" w:cs="Barlow Semi Condensed" w:eastAsia="Barlow Semi Condensed" w:hAnsi="Barlow Semi Condensed"/>
          <w:sz w:val="24"/>
          <w:szCs w:val="24"/>
        </w:rPr>
        <w:t xml:space="preserve">Questa si chiude in modo diverso, e conviene dirlo senza retorica.</w:t>
      </w:r>
    </w:p>
    <w:p>
      <w:pPr>
        <w:spacing w:after="120" w:line="276"/>
        <w:jc w:val="both"/>
      </w:pPr>
      <w:r>
        <w:rPr>
          <w:rFonts w:ascii="Barlow Semi Condensed" w:cs="Barlow Semi Condensed" w:eastAsia="Barlow Semi Condensed" w:hAnsi="Barlow Semi Condensed"/>
          <w:sz w:val="24"/>
          <w:szCs w:val="24"/>
        </w:rPr>
        <w:t xml:space="preserve">Qui i reperti esistono, gli esami sono disposti, il fascicolo è aperto. **La</w:t>
      </w:r>
    </w:p>
    <w:p>
      <w:pPr>
        <w:spacing w:after="120" w:line="276"/>
        <w:jc w:val="both"/>
      </w:pPr>
      <w:r>
        <w:rPr>
          <w:rFonts w:ascii="Barlow Semi Condensed" w:cs="Barlow Semi Condensed" w:eastAsia="Barlow Semi Condensed" w:hAnsi="Barlow Semi Condensed"/>
          <w:sz w:val="24"/>
          <w:szCs w:val="24"/>
        </w:rPr>
        <w:t xml:space="preserve">questione più contestata del caso Moro non attende un'idea: attende un referto.**</w:t>
      </w:r>
    </w:p>
    <w:p>
      <w:pPr>
        <w:spacing w:after="120" w:line="276"/>
        <w:jc w:val="both"/>
      </w:pPr>
      <w:r>
        <w:rPr>
          <w:rFonts w:ascii="Barlow Semi Condensed" w:cs="Barlow Semi Condensed" w:eastAsia="Barlow Semi Condensed" w:hAnsi="Barlow Semi Condensed"/>
          <w:sz w:val="24"/>
          <w:szCs w:val="24"/>
        </w:rPr>
        <w:t xml:space="preserve">E quando il referto verrà, questa tavola dice già che cosa dovrà cambiare — quale</w:t>
      </w:r>
    </w:p>
    <w:p>
      <w:pPr>
        <w:spacing w:after="120" w:line="276"/>
        <w:jc w:val="both"/>
      </w:pPr>
      <w:r>
        <w:rPr>
          <w:rFonts w:ascii="Barlow Semi Condensed" w:cs="Barlow Semi Condensed" w:eastAsia="Barlow Semi Condensed" w:hAnsi="Barlow Semi Condensed"/>
          <w:sz w:val="24"/>
          <w:szCs w:val="24"/>
        </w:rPr>
        <w:t xml:space="preserve">riga si cancella, quale ipotesi cade, quale resta. È tutto ciò che un'analisi può</w:t>
      </w:r>
    </w:p>
    <w:p>
      <w:pPr>
        <w:spacing w:after="120" w:line="276"/>
        <w:jc w:val="both"/>
      </w:pPr>
      <w:r>
        <w:rPr>
          <w:rFonts w:ascii="Barlow Semi Condensed" w:cs="Barlow Semi Condensed" w:eastAsia="Barlow Semi Condensed" w:hAnsi="Barlow Semi Condensed"/>
          <w:sz w:val="24"/>
          <w:szCs w:val="24"/>
        </w:rPr>
        <w:t xml:space="preserve">preparare, ed è più utile di una tesi: **una tesi si difende, una tavola si</w:t>
      </w:r>
    </w:p>
    <w:p>
      <w:pPr>
        <w:spacing w:after="120" w:line="276"/>
        <w:jc w:val="both"/>
      </w:pPr>
      <w:r>
        <w:rPr>
          <w:rFonts w:ascii="Barlow Semi Condensed" w:cs="Barlow Semi Condensed" w:eastAsia="Barlow Semi Condensed" w:hAnsi="Barlow Semi Condensed"/>
          <w:sz w:val="24"/>
          <w:szCs w:val="24"/>
        </w:rPr>
        <w:t xml:space="preserve">aggiorna.**</w:t>
      </w:r>
    </w:p>
    <w:p>
      <w:pPr>
        <w:pStyle w:val="Heading3"/>
        <w:spacing w:after="80" w:before="240"/>
      </w:pPr>
      <w:r>
        <w:rPr>
          <w:rFonts w:ascii="Barlow Semi Condensed" w:cs="Barlow Semi Condensed" w:eastAsia="Barlow Semi Condensed" w:hAnsi="Barlow Semi Condensed"/>
          <w:sz w:val="24"/>
          <w:szCs w:val="24"/>
        </w:rPr>
        <w:t xml:space="preserve">Apparato grafico — Libro sedicesimo · La matrice di via Fani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IV: 1.903 parole in 9 sezioni; la più ampia è §2 II. Le evidenze, con 307.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IV: 40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Libro sedicesimo — Le tavole della custodia — V. La matrice delle omissioni</w:t>
      </w:r>
    </w:p>
    <w:p>
      <w:pPr>
        <w:pStyle w:val="Heading1"/>
        <w:spacing w:after="120" w:before="240"/>
      </w:pPr>
      <w:r>
        <w:rPr>
          <w:rFonts w:ascii="Barlow Semi Condensed" w:cs="Barlow Semi Condensed" w:eastAsia="Barlow Semi Condensed" w:hAnsi="Barlow Semi Condensed"/>
          <w:sz w:val="24"/>
          <w:szCs w:val="24"/>
        </w:rPr>
        <w:t xml:space="preserve">La matrice delle omissioni — che cosa non fu fatto, e le quattro spiegazioni possibili</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non in calce.*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Perché questa matrice, e perché la dovevo.</w:t>
      </w:r>
      <w:r>
        <w:rPr>
          <w:rFonts w:ascii="Barlow Semi Condensed" w:cs="Barlow Semi Condensed" w:eastAsia="Barlow Semi Condensed" w:hAnsi="Barlow Semi Condensed"/>
          <w:i w:val="false"/>
          <w:iCs w:val="false"/>
          <w:sz w:val="24"/>
          <w:szCs w:val="24"/>
        </w:rPr>
        <w:t xml:space="preserve"> La matrice della custodia ha cancellato due fatti — il controllo fallito del 18 marzo a via Gradoli e gli assetti proprietari di quello stabile — perché rispetto alla custodia non discriminano nulla. Ma li ha cancellati </w:t>
      </w:r>
      <w:r>
        <w:rPr>
          <w:rFonts w:ascii="Barlow Semi Condensed" w:cs="Barlow Semi Condensed" w:eastAsia="Barlow Semi Condensed" w:hAnsi="Barlow Semi Condensed"/>
          <w:b/>
          <w:bCs/>
          <w:i w:val="false"/>
          <w:iCs w:val="false"/>
          <w:sz w:val="24"/>
          <w:szCs w:val="24"/>
        </w:rPr>
        <w:t xml:space="preserve">dichiarando che appartengono a un'altra questione, dove sono di primo piano</w:t>
      </w:r>
      <w:r>
        <w:rPr>
          <w:rFonts w:ascii="Barlow Semi Condensed" w:cs="Barlow Semi Condensed" w:eastAsia="Barlow Semi Condensed" w:hAnsi="Barlow Semi Condensed"/>
          <w:i w:val="false"/>
          <w:iCs w:val="false"/>
          <w:sz w:val="24"/>
          <w:szCs w:val="24"/>
        </w:rPr>
        <w:t xml:space="preserve">. Quella questione è questa, e lasciarla senza tavola sarebbe stato usare la cancellazione come un modo elegante di non affrontarli.  </w:t>
      </w:r>
      <w:r>
        <w:rPr>
          <w:rFonts w:ascii="Barlow Semi Condensed" w:cs="Barlow Semi Condensed" w:eastAsia="Barlow Semi Condensed" w:hAnsi="Barlow Semi Condensed"/>
          <w:b/>
          <w:bCs/>
          <w:i w:val="false"/>
          <w:iCs w:val="false"/>
          <w:sz w:val="24"/>
          <w:szCs w:val="24"/>
        </w:rPr>
        <w:t xml:space="preserve">Disciplina, e qui pesa più che altrove.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Un'entità si indaga per i propri atti e le proprie omissioni documentati, mai come colpevole.</w:t>
      </w:r>
      <w:r>
        <w:rPr>
          <w:rFonts w:ascii="Barlow Semi Condensed" w:cs="Barlow Semi Condensed" w:eastAsia="Barlow Semi Condensed" w:hAnsi="Barlow Semi Condensed"/>
          <w:i w:val="false"/>
          <w:iCs w:val="false"/>
          <w:sz w:val="24"/>
          <w:szCs w:val="24"/>
        </w:rPr>
        <w:t xml:space="preserve"> La responsabilità istituzionale </w:t>
      </w:r>
      <w:r>
        <w:rPr>
          <w:rFonts w:ascii="Barlow Semi Condensed" w:cs="Barlow Semi Condensed" w:eastAsia="Barlow Semi Condensed" w:hAnsi="Barlow Semi Condensed"/>
          <w:b/>
          <w:bCs/>
          <w:i w:val="false"/>
          <w:iCs w:val="false"/>
          <w:sz w:val="24"/>
          <w:szCs w:val="24"/>
        </w:rPr>
        <w:t xml:space="preserve">non si trasmette</w:t>
      </w:r>
      <w:r>
        <w:rPr>
          <w:rFonts w:ascii="Barlow Semi Condensed" w:cs="Barlow Semi Condensed" w:eastAsia="Barlow Semi Condensed" w:hAnsi="Barlow Semi Condensed"/>
          <w:i w:val="false"/>
          <w:iCs w:val="false"/>
          <w:sz w:val="24"/>
          <w:szCs w:val="24"/>
        </w:rPr>
        <w:t xml:space="preserve"> alle persone che ne fecero parte. Le appartenenze individuali sono </w:t>
      </w:r>
      <w:r>
        <w:rPr>
          <w:rFonts w:ascii="Barlow Semi Condensed" w:cs="Barlow Semi Condensed" w:eastAsia="Barlow Semi Condensed" w:hAnsi="Barlow Semi Condensed"/>
          <w:b/>
          <w:bCs/>
          <w:i w:val="false"/>
          <w:iCs w:val="false"/>
          <w:sz w:val="24"/>
          <w:szCs w:val="24"/>
        </w:rPr>
        <w:t xml:space="preserve">fatti documentati</w:t>
      </w:r>
      <w:r>
        <w:rPr>
          <w:rFonts w:ascii="Barlow Semi Condensed" w:cs="Barlow Semi Condensed" w:eastAsia="Barlow Semi Condensed" w:hAnsi="Barlow Semi Condensed"/>
          <w:i w:val="false"/>
          <w:iCs w:val="false"/>
          <w:sz w:val="24"/>
          <w:szCs w:val="24"/>
        </w:rPr>
        <w:t xml:space="preserve"> dove le commissioni le hanno accertate, e </w:t>
      </w:r>
      <w:r>
        <w:rPr>
          <w:rFonts w:ascii="Barlow Semi Condensed" w:cs="Barlow Semi Condensed" w:eastAsia="Barlow Semi Condensed" w:hAnsi="Barlow Semi Condensed"/>
          <w:b/>
          <w:bCs/>
          <w:i w:val="false"/>
          <w:iCs w:val="false"/>
          <w:sz w:val="24"/>
          <w:szCs w:val="24"/>
        </w:rPr>
        <w:t xml:space="preserve">restano fatti: non diventano condotte nel caso.</w:t>
      </w:r>
      <w:r>
        <w:rPr>
          <w:rFonts w:ascii="Barlow Semi Condensed" w:cs="Barlow Semi Condensed" w:eastAsia="Barlow Semi Condensed" w:hAnsi="Barlow Semi Condensed"/>
          <w:i w:val="false"/>
          <w:iCs w:val="false"/>
          <w:sz w:val="24"/>
          <w:szCs w:val="24"/>
        </w:rPr>
        <w:t xml:space="preserve"> Nessuna persona è indicata come responsabile di un reato fuori da un giudicato definitivo, e questa tavola non ha per esito un nome.  Gradi: </w:t>
      </w:r>
      <w:r>
        <w:rPr>
          <w:rFonts w:ascii="Barlow Semi Condensed" w:cs="Barlow Semi Condensed" w:eastAsia="Barlow Semi Condensed" w:hAnsi="Barlow Semi Condensed"/>
          <w:b/>
          <w:bCs/>
          <w:i w:val="false"/>
          <w:iCs w:val="false"/>
          <w:sz w:val="24"/>
          <w:szCs w:val="24"/>
        </w:rPr>
        <w:t xml:space="preserve">A</w:t>
      </w:r>
      <w:r>
        <w:rPr>
          <w:rFonts w:ascii="Barlow Semi Condensed" w:cs="Barlow Semi Condensed" w:eastAsia="Barlow Semi Condensed" w:hAnsi="Barlow Semi Condensed"/>
          <w:i w:val="false"/>
          <w:iCs w:val="false"/>
          <w:sz w:val="24"/>
          <w:szCs w:val="24"/>
        </w:rPr>
        <w:t xml:space="preserve"> giudicato o accertamento di massimo rango · </w:t>
      </w:r>
      <w:r>
        <w:rPr>
          <w:rFonts w:ascii="Barlow Semi Condensed" w:cs="Barlow Semi Condensed" w:eastAsia="Barlow Semi Condensed" w:hAnsi="Barlow Semi Condensed"/>
          <w:b/>
          <w:bCs/>
          <w:i w:val="false"/>
          <w:iCs w:val="false"/>
          <w:sz w:val="24"/>
          <w:szCs w:val="24"/>
        </w:rPr>
        <w:t xml:space="preserve">B</w:t>
      </w:r>
      <w:r>
        <w:rPr>
          <w:rFonts w:ascii="Barlow Semi Condensed" w:cs="Barlow Semi Condensed" w:eastAsia="Barlow Semi Condensed" w:hAnsi="Barlow Semi Condensed"/>
          <w:i w:val="false"/>
          <w:iCs w:val="false"/>
          <w:sz w:val="24"/>
          <w:szCs w:val="24"/>
        </w:rPr>
        <w:t xml:space="preserve"> accertamento · </w:t>
      </w:r>
      <w:r>
        <w:rPr>
          <w:rFonts w:ascii="Barlow Semi Condensed" w:cs="Barlow Semi Condensed" w:eastAsia="Barlow Semi Condensed" w:hAnsi="Barlow Semi Condensed"/>
          <w:b/>
          <w:bCs/>
          <w:i w:val="false"/>
          <w:iCs w:val="false"/>
          <w:sz w:val="24"/>
          <w:szCs w:val="24"/>
        </w:rPr>
        <w:t xml:space="preserve">C</w:t>
      </w:r>
      <w:r>
        <w:rPr>
          <w:rFonts w:ascii="Barlow Semi Condensed" w:cs="Barlow Semi Condensed" w:eastAsia="Barlow Semi Condensed" w:hAnsi="Barlow Semi Condensed"/>
          <w:i w:val="false"/>
          <w:iCs w:val="false"/>
          <w:sz w:val="24"/>
          <w:szCs w:val="24"/>
        </w:rPr>
        <w:t xml:space="preserve"> congettura · </w:t>
      </w:r>
      <w:r>
        <w:rPr>
          <w:rFonts w:ascii="Barlow Semi Condensed" w:cs="Barlow Semi Condensed" w:eastAsia="Barlow Semi Condensed" w:hAnsi="Barlow Semi Condensed"/>
          <w:b/>
          <w:bCs/>
          <w:i w:val="false"/>
          <w:iCs w:val="false"/>
          <w:sz w:val="24"/>
          <w:szCs w:val="24"/>
        </w:rPr>
        <w:t xml:space="preserve">Stato Zero</w:t>
      </w:r>
      <w:r>
        <w:rPr>
          <w:rFonts w:ascii="Barlow Semi Condensed" w:cs="Barlow Semi Condensed" w:eastAsia="Barlow Semi Condensed" w:hAnsi="Barlow Semi Condensed"/>
          <w:i w:val="false"/>
          <w:iCs w:val="false"/>
          <w:sz w:val="24"/>
          <w:szCs w:val="24"/>
        </w:rPr>
        <w:t xml:space="preserve"> esito negativo con la sede nominata.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Le quattro ipotesi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O1</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Inefficienza ordinaria.</w:t>
            </w:r>
            <w:r>
              <w:rPr>
                <w:rFonts w:ascii="Barlow Semi Condensed" w:cs="Barlow Semi Condensed" w:eastAsia="Barlow Semi Condensed" w:hAnsi="Barlow Semi Condensed"/>
                <w:sz w:val="20"/>
                <w:szCs w:val="20"/>
              </w:rPr>
              <w:t xml:space="preserve"> Impreparazione, sovraccarico, difetti di coordinamento e di cultura investigativa: le omissioni sono ciò che un apparato non attrezzato produce sotto pressione eccezionale.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O2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Catena di comando interrotta di fatto.</w:t>
            </w:r>
            <w:r>
              <w:rPr>
                <w:rFonts w:ascii="Barlow Semi Condensed" w:cs="Barlow Semi Condensed" w:eastAsia="Barlow Semi Condensed" w:hAnsi="Barlow Semi Condensed"/>
                <w:sz w:val="20"/>
                <w:szCs w:val="20"/>
              </w:rPr>
              <w:t xml:space="preserve"> L'apparato di sicurezza risultava penetrato ai propri vertici tecnici da una struttura coperta priva di sponda politica formale, </w:t>
            </w:r>
            <w:r>
              <w:rPr>
                <w:rFonts w:ascii="Barlow Semi Condensed" w:cs="Barlow Semi Condensed" w:eastAsia="Barlow Semi Condensed" w:hAnsi="Barlow Semi Condensed"/>
                <w:b/>
                <w:bCs/>
                <w:sz w:val="20"/>
                <w:szCs w:val="20"/>
              </w:rPr>
              <w:t xml:space="preserve">con la conseguenza che il collegamento fra autorità politica e apparato era, nella primavera del 1978, interrotto in fatto</w:t>
            </w:r>
            <w:r>
              <w:rPr>
                <w:rFonts w:ascii="Barlow Semi Condensed" w:cs="Barlow Semi Condensed" w:eastAsia="Barlow Semi Condensed" w:hAnsi="Barlow Semi Condensed"/>
                <w:sz w:val="20"/>
                <w:szCs w:val="20"/>
              </w:rPr>
              <w:t xml:space="preserve">. Nessuna regia: una discontinuità strutturale.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O3</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Omissione consapevole settoriale.</w:t>
            </w:r>
            <w:r>
              <w:rPr>
                <w:rFonts w:ascii="Barlow Semi Condensed" w:cs="Barlow Semi Condensed" w:eastAsia="Barlow Semi Condensed" w:hAnsi="Barlow Semi Condensed"/>
                <w:sz w:val="20"/>
                <w:szCs w:val="20"/>
              </w:rPr>
              <w:t xml:space="preserve"> In uno o più punti determinati della catena qualcuno si astenne </w:t>
            </w:r>
            <w:r>
              <w:rPr>
                <w:rFonts w:ascii="Barlow Semi Condensed" w:cs="Barlow Semi Condensed" w:eastAsia="Barlow Semi Condensed" w:hAnsi="Barlow Semi Condensed"/>
                <w:b/>
                <w:bCs/>
                <w:sz w:val="20"/>
                <w:szCs w:val="20"/>
              </w:rPr>
              <w:t xml:space="preserve">sapendo</w:t>
            </w:r>
            <w:r>
              <w:rPr>
                <w:rFonts w:ascii="Barlow Semi Condensed" w:cs="Barlow Semi Condensed" w:eastAsia="Barlow Semi Condensed" w:hAnsi="Barlow Semi Condensed"/>
                <w:sz w:val="20"/>
                <w:szCs w:val="20"/>
              </w:rPr>
              <w:t xml:space="preserve">, senza che ciò implichi un disegno complessivo.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O4</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Regia unitaria.</w:t>
            </w:r>
            <w:r>
              <w:rPr>
                <w:rFonts w:ascii="Barlow Semi Condensed" w:cs="Barlow Semi Condensed" w:eastAsia="Barlow Semi Condensed" w:hAnsi="Barlow Semi Condensed"/>
                <w:sz w:val="20"/>
                <w:szCs w:val="20"/>
              </w:rPr>
              <w:t xml:space="preserve"> Le condotte ostruttive furono dirette da un centro.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quattro sono in ordine crescente di pretesa: **ciascuna richiede tutto ciò che</w:t>
      </w:r>
    </w:p>
    <w:p>
      <w:pPr>
        <w:spacing w:after="120" w:line="276"/>
        <w:jc w:val="both"/>
      </w:pPr>
      <w:r>
        <w:rPr>
          <w:rFonts w:ascii="Barlow Semi Condensed" w:cs="Barlow Semi Condensed" w:eastAsia="Barlow Semi Condensed" w:hAnsi="Barlow Semi Condensed"/>
          <w:sz w:val="24"/>
          <w:szCs w:val="24"/>
        </w:rPr>
        <w:t xml:space="preserve">richiede la precedente, e qualcosa in più.** È la forma corretta per una scala di</w:t>
      </w:r>
    </w:p>
    <w:p>
      <w:pPr>
        <w:spacing w:after="120" w:line="276"/>
        <w:jc w:val="both"/>
      </w:pPr>
      <w:r>
        <w:rPr>
          <w:rFonts w:ascii="Barlow Semi Condensed" w:cs="Barlow Semi Condensed" w:eastAsia="Barlow Semi Condensed" w:hAnsi="Barlow Semi Condensed"/>
          <w:sz w:val="24"/>
          <w:szCs w:val="24"/>
        </w:rPr>
        <w:t xml:space="preserve">questo genere, perché rende visibile il prezzo di ogni passo.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 Le evidenze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evidenza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G1</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controllo fallito del 18 marzo 1978.</w:t>
            </w:r>
            <w:r>
              <w:rPr>
                <w:rFonts w:ascii="Barlow Semi Condensed" w:cs="Barlow Semi Condensed" w:eastAsia="Barlow Semi Condensed" w:hAnsi="Barlow Semi Condensed"/>
                <w:sz w:val="20"/>
                <w:szCs w:val="20"/>
              </w:rPr>
              <w:t xml:space="preserve"> Una squadra effettuò controlli nello stabile di via Gradoli 96; all'interno 11 — il covo — nessuno rispose e la squadra non entrò. Un'informatrice aveva segnalato rumori sospetti da quell'appartamento. Del fallimento le autorità si avvidero </w:t>
            </w:r>
            <w:r>
              <w:rPr>
                <w:rFonts w:ascii="Barlow Semi Condensed" w:cs="Barlow Semi Condensed" w:eastAsia="Barlow Semi Condensed" w:hAnsi="Barlow Semi Condensed"/>
                <w:b/>
                <w:bCs/>
                <w:sz w:val="20"/>
                <w:szCs w:val="20"/>
              </w:rPr>
              <w:t xml:space="preserve">solo dopo il 18 aprile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G2</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Gli assetti dello stabile.</w:t>
            </w:r>
            <w:r>
              <w:rPr>
                <w:rFonts w:ascii="Barlow Semi Condensed" w:cs="Barlow Semi Condensed" w:eastAsia="Barlow Semi Condensed" w:hAnsi="Barlow Semi Condensed"/>
                <w:sz w:val="20"/>
                <w:szCs w:val="20"/>
              </w:rPr>
              <w:t xml:space="preserve"> Dei 66 appartamenti, </w:t>
            </w:r>
            <w:r>
              <w:rPr>
                <w:rFonts w:ascii="Barlow Semi Condensed" w:cs="Barlow Semi Condensed" w:eastAsia="Barlow Semi Condensed" w:hAnsi="Barlow Semi Condensed"/>
                <w:b/>
                <w:bCs/>
                <w:sz w:val="20"/>
                <w:szCs w:val="20"/>
              </w:rPr>
              <w:t xml:space="preserve">24 risultavano di società immobiliari</w:t>
            </w:r>
            <w:r>
              <w:rPr>
                <w:rFonts w:ascii="Barlow Semi Condensed" w:cs="Barlow Semi Condensed" w:eastAsia="Barlow Semi Condensed" w:hAnsi="Barlow Semi Condensed"/>
                <w:sz w:val="20"/>
                <w:szCs w:val="20"/>
              </w:rPr>
              <w:t xml:space="preserve"> i cui amministratori comprendevano fiduciari dei servizi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concentrazione al Viminale.</w:t>
            </w:r>
            <w:r>
              <w:rPr>
                <w:rFonts w:ascii="Barlow Semi Condensed" w:cs="Barlow Semi Condensed" w:eastAsia="Barlow Semi Condensed" w:hAnsi="Barlow Semi Condensed"/>
                <w:sz w:val="20"/>
                <w:szCs w:val="20"/>
              </w:rPr>
              <w:t xml:space="preserve"> La Commissione Anselmi accertò la concentrazione </w:t>
            </w:r>
            <w:r>
              <w:rPr>
                <w:rFonts w:ascii="Barlow Semi Condensed" w:cs="Barlow Semi Condensed" w:eastAsia="Barlow Semi Condensed" w:hAnsi="Barlow Semi Condensed"/>
                <w:b/>
                <w:bCs/>
                <w:sz w:val="20"/>
                <w:szCs w:val="20"/>
              </w:rPr>
              <w:t xml:space="preserve">di fatto</w:t>
            </w:r>
            <w:r>
              <w:rPr>
                <w:rFonts w:ascii="Barlow Semi Condensed" w:cs="Barlow Semi Condensed" w:eastAsia="Barlow Semi Condensed" w:hAnsi="Barlow Semi Condensed"/>
                <w:sz w:val="20"/>
                <w:szCs w:val="20"/>
              </w:rPr>
              <w:t xml:space="preserve"> delle indagini al Viminale, </w:t>
            </w:r>
            <w:r>
              <w:rPr>
                <w:rFonts w:ascii="Barlow Semi Condensed" w:cs="Barlow Semi Condensed" w:eastAsia="Barlow Semi Condensed" w:hAnsi="Barlow Semi Condensed"/>
                <w:b/>
                <w:bCs/>
                <w:sz w:val="20"/>
                <w:szCs w:val="20"/>
              </w:rPr>
              <w:t xml:space="preserve">con menomazione dell'autonomia dell'autorità giudiziaria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G4</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composizione dei comitati.</w:t>
            </w:r>
            <w:r>
              <w:rPr>
                <w:rFonts w:ascii="Barlow Semi Condensed" w:cs="Barlow Semi Condensed" w:eastAsia="Barlow Semi Condensed" w:hAnsi="Barlow Semi Condensed"/>
                <w:sz w:val="20"/>
                <w:szCs w:val="20"/>
              </w:rPr>
              <w:t xml:space="preserve"> Il comitato politico-tecnico-operativo fu istituito il </w:t>
            </w:r>
            <w:r>
              <w:rPr>
                <w:rFonts w:ascii="Barlow Semi Condensed" w:cs="Barlow Semi Condensed" w:eastAsia="Barlow Semi Condensed" w:hAnsi="Barlow Semi Condensed"/>
                <w:b/>
                <w:bCs/>
                <w:sz w:val="20"/>
                <w:szCs w:val="20"/>
              </w:rPr>
              <w:t xml:space="preserve">16 marzo 1978</w:t>
            </w:r>
            <w:r>
              <w:rPr>
                <w:rFonts w:ascii="Barlow Semi Condensed" w:cs="Barlow Semi Condensed" w:eastAsia="Barlow Semi Condensed" w:hAnsi="Barlow Semi Condensed"/>
                <w:sz w:val="20"/>
                <w:szCs w:val="20"/>
              </w:rPr>
              <w:t xml:space="preserve">; la composizione del comitato tecnico-operativo è documentata, e </w:t>
            </w:r>
            <w:r>
              <w:rPr>
                <w:rFonts w:ascii="Barlow Semi Condensed" w:cs="Barlow Semi Condensed" w:eastAsia="Barlow Semi Condensed" w:hAnsi="Barlow Semi Condensed"/>
                <w:b/>
                <w:bCs/>
                <w:sz w:val="20"/>
                <w:szCs w:val="20"/>
              </w:rPr>
              <w:t xml:space="preserve">componenti di esso risultano negli elenchi sequestrati nel 1981</w:t>
            </w:r>
            <w:r>
              <w:rPr>
                <w:rFonts w:ascii="Barlow Semi Condensed" w:cs="Barlow Semi Condensed" w:eastAsia="Barlow Semi Condensed" w:hAnsi="Barlow Semi Condensed"/>
                <w:sz w:val="20"/>
                <w:szCs w:val="20"/>
              </w:rPr>
              <w:t xml:space="preserve"> — fatto accertato dalle commissioni, </w:t>
            </w:r>
            <w:r>
              <w:rPr>
                <w:rFonts w:ascii="Barlow Semi Condensed" w:cs="Barlow Semi Condensed" w:eastAsia="Barlow Semi Condensed" w:hAnsi="Barlow Semi Condensed"/>
                <w:b/>
                <w:bCs/>
                <w:sz w:val="20"/>
                <w:szCs w:val="20"/>
              </w:rPr>
              <w:t xml:space="preserve">che non è prova di alcuna condotta nel caso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F/B</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G5</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ricerca di una regia unitaria</w:t>
            </w:r>
            <w:r>
              <w:rPr>
                <w:rFonts w:ascii="Barlow Semi Condensed" w:cs="Barlow Semi Condensed" w:eastAsia="Barlow Semi Condensed" w:hAnsi="Barlow Semi Condensed"/>
                <w:sz w:val="20"/>
                <w:szCs w:val="20"/>
              </w:rPr>
              <w:t xml:space="preserve"> dietro le condotte ostruttive </w:t>
            </w:r>
            <w:r>
              <w:rPr>
                <w:rFonts w:ascii="Barlow Semi Condensed" w:cs="Barlow Semi Condensed" w:eastAsia="Barlow Semi Condensed" w:hAnsi="Barlow Semi Condensed"/>
                <w:b/>
                <w:bCs/>
                <w:sz w:val="20"/>
                <w:szCs w:val="20"/>
              </w:rPr>
              <w:t xml:space="preserve">non è mai approdata a un centro identificato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w:t>
            </w:r>
            <w:r>
              <w:rPr>
                <w:rFonts w:ascii="Barlow Semi Condensed" w:cs="Barlow Semi Condensed" w:eastAsia="Barlow Semi Condensed" w:hAnsi="Barlow Semi Condensed"/>
                <w:b/>
                <w:bCs/>
                <w:sz w:val="20"/>
                <w:szCs w:val="20"/>
              </w:rPr>
              <w:t xml:space="preserve">informazione specifica preventiva</w:t>
            </w:r>
            <w:r>
              <w:rPr>
                <w:rFonts w:ascii="Barlow Semi Condensed" w:cs="Barlow Semi Condensed" w:eastAsia="Barlow Semi Condensed" w:hAnsi="Barlow Semi Condensed"/>
                <w:sz w:val="20"/>
                <w:szCs w:val="20"/>
              </w:rPr>
              <w:t xml:space="preserve"> è mai stata accertata: le segnalazioni giunte erano valutazioni di rischio generiche, non notizie di un progetto in corso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robustezza </w:t>
            </w:r>
            <w:r>
              <w:rPr>
                <w:rFonts w:ascii="Barlow Semi Condensed" w:cs="Barlow Semi Condensed" w:eastAsia="Barlow Semi Condensed" w:hAnsi="Barlow Semi Condensed"/>
                <w:i/>
                <w:iCs/>
                <w:sz w:val="20"/>
                <w:szCs w:val="20"/>
              </w:rPr>
              <w:t xml:space="preserve">media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G7</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Il dato accertato e non spiegato.</w:t>
            </w:r>
            <w:r>
              <w:rPr>
                <w:rFonts w:ascii="Barlow Semi Condensed" w:cs="Barlow Semi Condensed" w:eastAsia="Barlow Semi Condensed" w:hAnsi="Barlow Semi Condensed"/>
                <w:sz w:val="20"/>
                <w:szCs w:val="20"/>
              </w:rPr>
              <w:t xml:space="preserve"> Un'organizzazione di poche decine di clandestini tenne in scacco il dispositivo di ricerca più imponente della storia repubblicana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quanto al fatto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G8</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La topologia del grafo.</w:t>
            </w:r>
            <w:r>
              <w:rPr>
                <w:rFonts w:ascii="Barlow Semi Condensed" w:cs="Barlow Semi Condensed" w:eastAsia="Barlow Semi Condensed" w:hAnsi="Barlow Semi Condensed"/>
                <w:sz w:val="20"/>
                <w:szCs w:val="20"/>
              </w:rPr>
              <w:t xml:space="preserve"> Densità elevata fra politica, apparati, istituzioni, informazione e ambienti criminali; densità </w:t>
            </w:r>
            <w:r>
              <w:rPr>
                <w:rFonts w:ascii="Barlow Semi Condensed" w:cs="Barlow Semi Condensed" w:eastAsia="Barlow Semi Condensed" w:hAnsi="Barlow Semi Condensed"/>
                <w:b/>
                <w:bCs/>
                <w:sz w:val="20"/>
                <w:szCs w:val="20"/>
              </w:rPr>
              <w:t xml:space="preserve">pressoché nulla</w:t>
            </w:r>
            <w:r>
              <w:rPr>
                <w:rFonts w:ascii="Barlow Semi Condensed" w:cs="Barlow Semi Condensed" w:eastAsia="Barlow Semi Condensed" w:hAnsi="Barlow Semi Condensed"/>
                <w:sz w:val="20"/>
                <w:szCs w:val="20"/>
              </w:rPr>
              <w:t xml:space="preserve"> fra ciascuno di essi e l'organizzazione armata, che appare come </w:t>
            </w:r>
            <w:r>
              <w:rPr>
                <w:rFonts w:ascii="Barlow Semi Condensed" w:cs="Barlow Semi Condensed" w:eastAsia="Barlow Semi Condensed" w:hAnsi="Barlow Semi Condensed"/>
                <w:b/>
                <w:bCs/>
                <w:sz w:val="20"/>
                <w:szCs w:val="20"/>
              </w:rPr>
              <w:t xml:space="preserve">nodo isolato</w:t>
            </w:r>
            <w:r>
              <w:rPr>
                <w:rFonts w:ascii="Barlow Semi Condensed" w:cs="Barlow Semi Condensed" w:eastAsia="Barlow Semi Condensed" w:hAnsi="Barlow Semi Condensed"/>
                <w:sz w:val="20"/>
                <w:szCs w:val="20"/>
              </w:rPr>
              <w:t xml:space="preserve"> connesso al resto solo attraverso l'atto e la sua rivendicazione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B</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(elaborazione del corpus; provenienza: opera distinta)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Su </w:t>
            </w:r>
            <w:r>
              <w:rPr>
                <w:rFonts w:ascii="Barlow Semi Condensed" w:cs="Barlow Semi Condensed" w:eastAsia="Barlow Semi Condensed" w:hAnsi="Barlow Semi Condensed"/>
                <w:b/>
                <w:bCs/>
                <w:sz w:val="20"/>
                <w:szCs w:val="20"/>
              </w:rPr>
              <w:t xml:space="preserve">nessuna</w:t>
            </w:r>
            <w:r>
              <w:rPr>
                <w:rFonts w:ascii="Barlow Semi Condensed" w:cs="Barlow Semi Condensed" w:eastAsia="Barlow Semi Condensed" w:hAnsi="Barlow Semi Condensed"/>
                <w:sz w:val="20"/>
                <w:szCs w:val="20"/>
              </w:rPr>
              <w:t xml:space="preserve"> delle grandi questioni interpretative — compresa la valutazione delle condotte degli apparati — le commissioni sono pervenute a conclusioni condivise da tutte le loro componenti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A1</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Argomento, non evidenza:</w:t>
            </w:r>
            <w:r>
              <w:rPr>
                <w:rFonts w:ascii="Barlow Semi Condensed" w:cs="Barlow Semi Condensed" w:eastAsia="Barlow Semi Condensed" w:hAnsi="Barlow Semi Condensed"/>
                <w:sz w:val="20"/>
                <w:szCs w:val="20"/>
              </w:rPr>
              <w:t xml:space="preserve"> un occultamento integrale mantenuto per quarantotto anni </w:t>
            </w:r>
            <w:r>
              <w:rPr>
                <w:rFonts w:ascii="Barlow Semi Condensed" w:cs="Barlow Semi Condensed" w:eastAsia="Barlow Semi Condensed" w:hAnsi="Barlow Semi Condensed"/>
                <w:b/>
                <w:bCs/>
                <w:sz w:val="20"/>
                <w:szCs w:val="20"/>
              </w:rPr>
              <w:t xml:space="preserve">malgrado dissociazioni, aperture di archivi e cadute di regimi</w:t>
            </w:r>
            <w:r>
              <w:rPr>
                <w:rFonts w:ascii="Barlow Semi Condensed" w:cs="Barlow Semi Condensed" w:eastAsia="Barlow Semi Condensed" w:hAnsi="Barlow Semi Condensed"/>
                <w:sz w:val="20"/>
                <w:szCs w:val="20"/>
              </w:rPr>
              <w:t xml:space="preserve"> sarebbe un risultato senza precedenti documentati</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argomento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III. La matrice</w:t>
      </w:r>
    </w:p>
    <w:p>
      <w:pPr>
        <w:spacing w:after="120" w:line="276"/>
        <w:jc w:val="both"/>
      </w:pP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incompatibile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neutra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O1 inefficienza</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O2 catena interrotta</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O3 omissione settoriale</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O4 regia unitaria</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G1</w:t>
            </w:r>
            <w:r>
              <w:rPr>
                <w:rFonts w:ascii="Barlow Semi Condensed" w:cs="Barlow Semi Condensed" w:eastAsia="Barlow Semi Condensed" w:hAnsi="Barlow Semi Condensed"/>
                <w:sz w:val="20"/>
                <w:szCs w:val="20"/>
              </w:rPr>
              <w:t xml:space="preserve"> il controllo fallito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G2</w:t>
            </w:r>
            <w:r>
              <w:rPr>
                <w:rFonts w:ascii="Barlow Semi Condensed" w:cs="Barlow Semi Condensed" w:eastAsia="Barlow Semi Condensed" w:hAnsi="Barlow Semi Condensed"/>
                <w:sz w:val="20"/>
                <w:szCs w:val="20"/>
              </w:rPr>
              <w:t xml:space="preserve"> gli assetti dello stabile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G3</w:t>
            </w:r>
            <w:r>
              <w:rPr>
                <w:rFonts w:ascii="Barlow Semi Condensed" w:cs="Barlow Semi Condensed" w:eastAsia="Barlow Semi Condensed" w:hAnsi="Barlow Semi Condensed"/>
                <w:sz w:val="20"/>
                <w:szCs w:val="20"/>
              </w:rPr>
              <w:t xml:space="preserve"> la concentrazione al Viminale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G4</w:t>
            </w:r>
            <w:r>
              <w:rPr>
                <w:rFonts w:ascii="Barlow Semi Condensed" w:cs="Barlow Semi Condensed" w:eastAsia="Barlow Semi Condensed" w:hAnsi="Barlow Semi Condensed"/>
                <w:sz w:val="20"/>
                <w:szCs w:val="20"/>
              </w:rPr>
              <w:t xml:space="preserve"> la composizione dei comitati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G5</w:t>
            </w:r>
            <w:r>
              <w:rPr>
                <w:rFonts w:ascii="Barlow Semi Condensed" w:cs="Barlow Semi Condensed" w:eastAsia="Barlow Semi Condensed" w:hAnsi="Barlow Semi Condensed"/>
                <w:sz w:val="20"/>
                <w:szCs w:val="20"/>
              </w:rPr>
              <w:t xml:space="preserve"> nessun centro identificato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G6</w:t>
            </w:r>
            <w:r>
              <w:rPr>
                <w:rFonts w:ascii="Barlow Semi Condensed" w:cs="Barlow Semi Condensed" w:eastAsia="Barlow Semi Condensed" w:hAnsi="Barlow Semi Condensed"/>
                <w:sz w:val="20"/>
                <w:szCs w:val="20"/>
              </w:rPr>
              <w:t xml:space="preserve"> nessuna informazione preventiva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G7</w:t>
            </w:r>
            <w:r>
              <w:rPr>
                <w:rFonts w:ascii="Barlow Semi Condensed" w:cs="Barlow Semi Condensed" w:eastAsia="Barlow Semi Condensed" w:hAnsi="Barlow Semi Condensed"/>
                <w:sz w:val="20"/>
                <w:szCs w:val="20"/>
              </w:rPr>
              <w:t xml:space="preserve"> poche decine in scacco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G8</w:t>
            </w:r>
            <w:r>
              <w:rPr>
                <w:rFonts w:ascii="Barlow Semi Condensed" w:cs="Barlow Semi Condensed" w:eastAsia="Barlow Semi Condensed" w:hAnsi="Barlow Semi Condensed"/>
                <w:sz w:val="20"/>
                <w:szCs w:val="20"/>
              </w:rPr>
              <w:t xml:space="preserve"> il centro isolato nel grafo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b/>
                <w:bCs/>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G9</w:t>
            </w:r>
            <w:r>
              <w:rPr>
                <w:rFonts w:ascii="Barlow Semi Condensed" w:cs="Barlow Semi Condensed" w:eastAsia="Barlow Semi Condensed" w:hAnsi="Barlow Semi Condensed"/>
                <w:sz w:val="20"/>
                <w:szCs w:val="20"/>
              </w:rPr>
              <w:t xml:space="preserve"> la non unanimità delle commissioni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1872"/>
          </w:tcPr>
          <w:p>
            <w:pPr>
              <w:spacing w:after="20" w:before="20"/>
              <w:jc w:val="both"/>
            </w:pPr>
            <w:r>
              <w:rPr>
                <w:rFonts w:ascii="Barlow Semi Condensed" w:cs="Barlow Semi Condensed" w:eastAsia="Barlow Semi Condensed" w:hAnsi="Barlow Semi Condensed"/>
                <w:b/>
                <w:bCs/>
                <w:sz w:val="20"/>
                <w:szCs w:val="20"/>
              </w:rPr>
              <w:t xml:space="preserve">A1</w:t>
            </w:r>
            <w:r>
              <w:rPr>
                <w:rFonts w:ascii="Barlow Semi Condensed" w:cs="Barlow Semi Condensed" w:eastAsia="Barlow Semi Condensed" w:hAnsi="Barlow Semi Condensed"/>
                <w:sz w:val="20"/>
                <w:szCs w:val="20"/>
              </w:rPr>
              <w:t xml:space="preserve"> l'occultamento quarantottennale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i/>
                <w:iCs/>
                <w:sz w:val="20"/>
                <w:szCs w:val="20"/>
              </w:rPr>
              <w:t xml:space="preserve">deprime</w:t>
            </w:r>
          </w:p>
        </w:tc>
        <w:tc>
          <w:tcPr>
            <w:tcW w:type="dxa" w:w="1872"/>
          </w:tcPr>
          <w:p>
            <w:pPr>
              <w:spacing w:after="20" w:before="20"/>
              <w:jc w:val="both"/>
            </w:pPr>
            <w:r>
              <w:rPr>
                <w:rFonts w:ascii="Barlow Semi Condensed" w:cs="Barlow Semi Condensed" w:eastAsia="Barlow Semi Condensed" w:hAnsi="Barlow Semi Condensed"/>
                <w:i/>
                <w:iCs/>
                <w:sz w:val="20"/>
                <w:szCs w:val="20"/>
              </w:rPr>
              <w:t xml:space="preserve">deprime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IV. Il risultato, e perché somiglia al precedente</w:t>
      </w:r>
    </w:p>
    <w:p>
      <w:pPr>
        <w:spacing w:after="120" w:line="276"/>
        <w:jc w:val="both"/>
      </w:pPr>
      <w:r>
        <w:rPr>
          <w:rFonts w:ascii="Barlow Semi Condensed" w:cs="Barlow Semi Condensed" w:eastAsia="Barlow Semi Condensed" w:hAnsi="Barlow Semi Condensed"/>
          <w:b/>
          <w:bCs/>
          <w:sz w:val="24"/>
          <w:szCs w:val="24"/>
        </w:rPr>
        <w:t xml:space="preserve">Sei evidenze su nove si cancellano</w:t>
      </w:r>
      <w:r>
        <w:rPr>
          <w:rFonts w:ascii="Barlow Semi Condensed" w:cs="Barlow Semi Condensed" w:eastAsia="Barlow Semi Condensed" w:hAnsi="Barlow Semi Condensed"/>
          <w:sz w:val="24"/>
          <w:szCs w:val="24"/>
        </w:rPr>
        <w:t xml:space="preserve">, e sono esattamente le sei più citate.</w:t>
      </w:r>
    </w:p>
    <w:p>
      <w:pPr>
        <w:spacing w:after="120" w:line="276"/>
        <w:jc w:val="both"/>
      </w:pPr>
      <w:r>
        <w:rPr>
          <w:rFonts w:ascii="Barlow Semi Condensed" w:cs="Barlow Semi Condensed" w:eastAsia="Barlow Semi Condensed" w:hAnsi="Barlow Semi Condensed"/>
          <w:sz w:val="24"/>
          <w:szCs w:val="24"/>
        </w:rPr>
        <w:t xml:space="preserve">Il controllo fallito, gli assetti dello stabile, la concentrazione delle indagini,</w:t>
      </w:r>
    </w:p>
    <w:p>
      <w:pPr>
        <w:spacing w:after="120" w:line="276"/>
        <w:jc w:val="both"/>
      </w:pPr>
      <w:r>
        <w:rPr>
          <w:rFonts w:ascii="Barlow Semi Condensed" w:cs="Barlow Semi Condensed" w:eastAsia="Barlow Semi Condensed" w:hAnsi="Barlow Semi Condensed"/>
          <w:sz w:val="24"/>
          <w:szCs w:val="24"/>
        </w:rPr>
        <w:t xml:space="preserve">la composizione dei comitati, il dato dei pochi clandestini in scacco, la non</w:t>
      </w:r>
    </w:p>
    <w:p>
      <w:pPr>
        <w:spacing w:after="120" w:line="276"/>
        <w:jc w:val="both"/>
      </w:pPr>
      <w:r>
        <w:rPr>
          <w:rFonts w:ascii="Barlow Semi Condensed" w:cs="Barlow Semi Condensed" w:eastAsia="Barlow Semi Condensed" w:hAnsi="Barlow Semi Condensed"/>
          <w:sz w:val="24"/>
          <w:szCs w:val="24"/>
        </w:rPr>
        <w:t xml:space="preserve">unanimità delle commissioni: </w:t>
      </w:r>
      <w:r>
        <w:rPr>
          <w:rFonts w:ascii="Barlow Semi Condensed" w:cs="Barlow Semi Condensed" w:eastAsia="Barlow Semi Condensed" w:hAnsi="Barlow Semi Condensed"/>
          <w:b/>
          <w:bCs/>
          <w:sz w:val="24"/>
          <w:szCs w:val="24"/>
        </w:rPr>
        <w:t xml:space="preserve">compatibili con tutte e quattro le ipotesi.</w:t>
      </w:r>
    </w:p>
    <w:p>
      <w:pPr>
        <w:spacing w:after="120" w:line="276"/>
        <w:jc w:val="both"/>
      </w:pPr>
      <w:r>
        <w:rPr>
          <w:rFonts w:ascii="Barlow Semi Condensed" w:cs="Barlow Semi Condensed" w:eastAsia="Barlow Semi Condensed" w:hAnsi="Barlow Semi Condensed"/>
          <w:sz w:val="24"/>
          <w:szCs w:val="24"/>
        </w:rPr>
        <w:t xml:space="preserve">Nessuna di esse distingue l'inefficienza dalla regia. Un apparato impreparato e un</w:t>
      </w:r>
    </w:p>
    <w:p>
      <w:pPr>
        <w:spacing w:after="120" w:line="276"/>
        <w:jc w:val="both"/>
      </w:pPr>
      <w:r>
        <w:rPr>
          <w:rFonts w:ascii="Barlow Semi Condensed" w:cs="Barlow Semi Condensed" w:eastAsia="Barlow Semi Condensed" w:hAnsi="Barlow Semi Condensed"/>
          <w:sz w:val="24"/>
          <w:szCs w:val="24"/>
        </w:rPr>
        <w:t xml:space="preserve">apparato diretto </w:t>
      </w:r>
      <w:r>
        <w:rPr>
          <w:rFonts w:ascii="Barlow Semi Condensed" w:cs="Barlow Semi Condensed" w:eastAsia="Barlow Semi Condensed" w:hAnsi="Barlow Semi Condensed"/>
          <w:b/>
          <w:bCs/>
          <w:sz w:val="24"/>
          <w:szCs w:val="24"/>
        </w:rPr>
        <w:t xml:space="preserve">producono lo stesso controllo mancato</w:t>
      </w:r>
      <w:r>
        <w:rPr>
          <w:rFonts w:ascii="Barlow Semi Condensed" w:cs="Barlow Semi Condensed" w:eastAsia="Barlow Semi Condensed" w:hAnsi="Barlow Semi Condensed"/>
          <w:sz w:val="24"/>
          <w:szCs w:val="24"/>
        </w:rPr>
        <w:t xml:space="preserve">; una coabitazione casuale</w:t>
      </w:r>
    </w:p>
    <w:p>
      <w:pPr>
        <w:spacing w:after="120" w:line="276"/>
        <w:jc w:val="both"/>
      </w:pPr>
      <w:r>
        <w:rPr>
          <w:rFonts w:ascii="Barlow Semi Condensed" w:cs="Barlow Semi Condensed" w:eastAsia="Barlow Semi Condensed" w:hAnsi="Barlow Semi Condensed"/>
          <w:sz w:val="24"/>
          <w:szCs w:val="24"/>
        </w:rPr>
        <w:t xml:space="preserve">e una coabitazione nota </w:t>
      </w:r>
      <w:r>
        <w:rPr>
          <w:rFonts w:ascii="Barlow Semi Condensed" w:cs="Barlow Semi Condensed" w:eastAsia="Barlow Semi Condensed" w:hAnsi="Barlow Semi Condensed"/>
          <w:b/>
          <w:bCs/>
          <w:sz w:val="24"/>
          <w:szCs w:val="24"/>
        </w:rPr>
        <w:t xml:space="preserve">producono la stessa visura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È la terza volta che questo accade in tre matrici</w:t>
      </w:r>
      <w:r>
        <w:rPr>
          <w:rFonts w:ascii="Barlow Semi Condensed" w:cs="Barlow Semi Condensed" w:eastAsia="Barlow Semi Condensed" w:hAnsi="Barlow Semi Condensed"/>
          <w:sz w:val="24"/>
          <w:szCs w:val="24"/>
        </w:rPr>
        <w:t xml:space="preserve">, e a questo punto non è più</w:t>
      </w:r>
    </w:p>
    <w:p>
      <w:pPr>
        <w:spacing w:after="120" w:line="276"/>
        <w:jc w:val="both"/>
      </w:pPr>
      <w:r>
        <w:rPr>
          <w:rFonts w:ascii="Barlow Semi Condensed" w:cs="Barlow Semi Condensed" w:eastAsia="Barlow Semi Condensed" w:hAnsi="Barlow Semi Condensed"/>
          <w:sz w:val="24"/>
          <w:szCs w:val="24"/>
        </w:rPr>
        <w:t xml:space="preserve">una coincidenza ma un risultato in sé: **i fatti che alimentano il dibattito</w:t>
      </w:r>
    </w:p>
    <w:p>
      <w:pPr>
        <w:spacing w:after="120" w:line="276"/>
        <w:jc w:val="both"/>
      </w:pPr>
      <w:r>
        <w:rPr>
          <w:rFonts w:ascii="Barlow Semi Condensed" w:cs="Barlow Semi Condensed" w:eastAsia="Barlow Semi Condensed" w:hAnsi="Barlow Semi Condensed"/>
          <w:sz w:val="24"/>
          <w:szCs w:val="24"/>
        </w:rPr>
        <w:t xml:space="preserve">pubblico sul caso Moro sono, quasi senza eccezione, fatti a diagnosticità nulla.**</w:t>
      </w:r>
    </w:p>
    <w:p>
      <w:pPr>
        <w:spacing w:after="120" w:line="276"/>
        <w:jc w:val="both"/>
      </w:pPr>
      <w:r>
        <w:rPr>
          <w:rFonts w:ascii="Barlow Semi Condensed" w:cs="Barlow Semi Condensed" w:eastAsia="Barlow Semi Condensed" w:hAnsi="Barlow Semi Condensed"/>
          <w:sz w:val="24"/>
          <w:szCs w:val="24"/>
        </w:rPr>
        <w:t xml:space="preserve">Non falsi — documentati, e alcuni di rango altissimo. Ma incapaci di distinguere le</w:t>
      </w:r>
    </w:p>
    <w:p>
      <w:pPr>
        <w:spacing w:after="120" w:line="276"/>
        <w:jc w:val="both"/>
      </w:pPr>
      <w:r>
        <w:rPr>
          <w:rFonts w:ascii="Barlow Semi Condensed" w:cs="Barlow Semi Condensed" w:eastAsia="Barlow Semi Condensed" w:hAnsi="Barlow Semi Condensed"/>
          <w:sz w:val="24"/>
          <w:szCs w:val="24"/>
        </w:rPr>
        <w:t xml:space="preserve">spiegazioni che si contendono il campo, e adoperati per decenni come se lo fossero.</w:t>
      </w:r>
    </w:p>
    <w:p>
      <w:pPr>
        <w:spacing w:after="120" w:line="276"/>
        <w:jc w:val="both"/>
      </w:pPr>
      <w:r>
        <w:rPr>
          <w:rFonts w:ascii="Barlow Semi Condensed" w:cs="Barlow Semi Condensed" w:eastAsia="Barlow Semi Condensed" w:hAnsi="Barlow Semi Condensed"/>
          <w:b/>
          <w:bCs/>
          <w:sz w:val="24"/>
          <w:szCs w:val="24"/>
        </w:rPr>
        <w:t xml:space="preserve">Il caso più severo è G7</w:t>
      </w:r>
      <w:r>
        <w:rPr>
          <w:rFonts w:ascii="Barlow Semi Condensed" w:cs="Barlow Semi Condensed" w:eastAsia="Barlow Semi Condensed" w:hAnsi="Barlow Semi Condensed"/>
          <w:sz w:val="24"/>
          <w:szCs w:val="24"/>
        </w:rPr>
        <w:t xml:space="preserve">, il dato dei pochi clandestini che tennero in scacco il</w:t>
      </w:r>
    </w:p>
    <w:p>
      <w:pPr>
        <w:spacing w:after="120" w:line="276"/>
        <w:jc w:val="both"/>
      </w:pPr>
      <w:r>
        <w:rPr>
          <w:rFonts w:ascii="Barlow Semi Condensed" w:cs="Barlow Semi Condensed" w:eastAsia="Barlow Semi Condensed" w:hAnsi="Barlow Semi Condensed"/>
          <w:sz w:val="24"/>
          <w:szCs w:val="24"/>
        </w:rPr>
        <w:t xml:space="preserve">dispositivo più imponente della storia repubblicana. È accertato, è impressionante,</w:t>
      </w:r>
    </w:p>
    <w:p>
      <w:pPr>
        <w:spacing w:after="120" w:line="276"/>
        <w:jc w:val="both"/>
      </w:pPr>
      <w:r>
        <w:rPr>
          <w:rFonts w:ascii="Barlow Semi Condensed" w:cs="Barlow Semi Condensed" w:eastAsia="Barlow Semi Condensed" w:hAnsi="Barlow Semi Condensed"/>
          <w:sz w:val="24"/>
          <w:szCs w:val="24"/>
        </w:rPr>
        <w:t xml:space="preserve">ed è </w:t>
      </w:r>
      <w:r>
        <w:rPr>
          <w:rFonts w:ascii="Barlow Semi Condensed" w:cs="Barlow Semi Condensed" w:eastAsia="Barlow Semi Condensed" w:hAnsi="Barlow Semi Condensed"/>
          <w:b/>
          <w:bCs/>
          <w:sz w:val="24"/>
          <w:szCs w:val="24"/>
        </w:rPr>
        <w:t xml:space="preserve">la premessa di quasi tutta la letteratura del sospetto</w:t>
      </w:r>
      <w:r>
        <w:rPr>
          <w:rFonts w:ascii="Barlow Semi Condensed" w:cs="Barlow Semi Condensed" w:eastAsia="Barlow Semi Condensed" w:hAnsi="Barlow Semi Condensed"/>
          <w:sz w:val="24"/>
          <w:szCs w:val="24"/>
        </w:rPr>
        <w:t xml:space="preserve">. La matrice mostra</w:t>
      </w:r>
    </w:p>
    <w:p>
      <w:pPr>
        <w:spacing w:after="120" w:line="276"/>
        <w:jc w:val="both"/>
      </w:pPr>
      <w:r>
        <w:rPr>
          <w:rFonts w:ascii="Barlow Semi Condensed" w:cs="Barlow Semi Condensed" w:eastAsia="Barlow Semi Condensed" w:hAnsi="Barlow Semi Condensed"/>
          <w:sz w:val="24"/>
          <w:szCs w:val="24"/>
        </w:rPr>
        <w:t xml:space="preserve">che è compatibile con l'inefficienza ordinaria tanto quanto con la regia: il corpus</w:t>
      </w:r>
    </w:p>
    <w:p>
      <w:pPr>
        <w:spacing w:after="120" w:line="276"/>
        <w:jc w:val="both"/>
      </w:pPr>
      <w:r>
        <w:rPr>
          <w:rFonts w:ascii="Barlow Semi Condensed" w:cs="Barlow Semi Condensed" w:eastAsia="Barlow Semi Condensed" w:hAnsi="Barlow Semi Condensed"/>
          <w:sz w:val="24"/>
          <w:szCs w:val="24"/>
        </w:rPr>
        <w:t xml:space="preserve">stesso registra che </w:t>
      </w:r>
      <w:r>
        <w:rPr>
          <w:rFonts w:ascii="Barlow Semi Condensed" w:cs="Barlow Semi Condensed" w:eastAsia="Barlow Semi Condensed" w:hAnsi="Barlow Semi Condensed"/>
          <w:b/>
          <w:bCs/>
          <w:sz w:val="24"/>
          <w:szCs w:val="24"/>
        </w:rPr>
        <w:t xml:space="preserve">ammette la spiegazione ordinaria dell'impreparazione</w:t>
      </w:r>
      <w:r>
        <w:rPr>
          <w:rFonts w:ascii="Barlow Semi Condensed" w:cs="Barlow Semi Condensed" w:eastAsia="Barlow Semi Condensed" w:hAnsi="Barlow Semi Condensed"/>
          <w:sz w:val="24"/>
          <w:szCs w:val="24"/>
        </w:rPr>
        <w:t xml:space="preserve">. Che</w:t>
      </w:r>
    </w:p>
    <w:p>
      <w:pPr>
        <w:spacing w:after="120" w:line="276"/>
        <w:jc w:val="both"/>
      </w:pPr>
      <w:r>
        <w:rPr>
          <w:rFonts w:ascii="Barlow Semi Condensed" w:cs="Barlow Semi Condensed" w:eastAsia="Barlow Semi Condensed" w:hAnsi="Barlow Semi Condensed"/>
          <w:sz w:val="24"/>
          <w:szCs w:val="24"/>
        </w:rPr>
        <w:t xml:space="preserve">un fatto sia sorprendente non lo rende diagnostico. </w:t>
      </w:r>
      <w:r>
        <w:rPr>
          <w:rFonts w:ascii="Barlow Semi Condensed" w:cs="Barlow Semi Condensed" w:eastAsia="Barlow Semi Condensed" w:hAnsi="Barlow Semi Condensed"/>
          <w:b/>
          <w:bCs/>
          <w:sz w:val="24"/>
          <w:szCs w:val="24"/>
        </w:rPr>
        <w:t xml:space="preserve">Lo stupore non è una prova.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 Che cosa discrimina</w:t>
      </w:r>
    </w:p>
    <w:p>
      <w:pPr>
        <w:spacing w:after="120" w:line="276"/>
        <w:jc w:val="both"/>
      </w:pPr>
      <w:r>
        <w:rPr>
          <w:rFonts w:ascii="Barlow Semi Condensed" w:cs="Barlow Semi Condensed" w:eastAsia="Barlow Semi Condensed" w:hAnsi="Barlow Semi Condensed"/>
          <w:sz w:val="24"/>
          <w:szCs w:val="24"/>
        </w:rPr>
        <w:t xml:space="preserve">Restano quattro righe, e disegnano un ordine netto.</w:t>
      </w:r>
    </w:p>
    <w:p>
      <w:pPr>
        <w:spacing w:after="120" w:line="276"/>
        <w:jc w:val="both"/>
      </w:pPr>
      <w:r>
        <w:rPr>
          <w:rFonts w:ascii="Barlow Semi Condensed" w:cs="Barlow Semi Condensed" w:eastAsia="Barlow Semi Condensed" w:hAnsi="Barlow Semi Condensed"/>
          <w:b/>
          <w:bCs/>
          <w:sz w:val="24"/>
          <w:szCs w:val="24"/>
        </w:rPr>
        <w:t xml:space="preserve">G5 e G8 sono incompatibili con O4.</w:t>
      </w:r>
      <w:r>
        <w:rPr>
          <w:rFonts w:ascii="Barlow Semi Condensed" w:cs="Barlow Semi Condensed" w:eastAsia="Barlow Semi Condensed" w:hAnsi="Barlow Semi Condensed"/>
          <w:sz w:val="24"/>
          <w:szCs w:val="24"/>
        </w:rPr>
        <w:t xml:space="preserve"> La regia unitaria non è mai approdata a un</w:t>
      </w:r>
    </w:p>
    <w:p>
      <w:pPr>
        <w:spacing w:after="120" w:line="276"/>
        <w:jc w:val="both"/>
      </w:pPr>
      <w:r>
        <w:rPr>
          <w:rFonts w:ascii="Barlow Semi Condensed" w:cs="Barlow Semi Condensed" w:eastAsia="Barlow Semi Condensed" w:hAnsi="Barlow Semi Condensed"/>
          <w:sz w:val="24"/>
          <w:szCs w:val="24"/>
        </w:rPr>
        <w:t xml:space="preserve">centro identificato; e la topologia documentata è quella attesa da una convergenza</w:t>
      </w:r>
    </w:p>
    <w:p>
      <w:pPr>
        <w:spacing w:after="120" w:line="276"/>
        <w:jc w:val="both"/>
      </w:pPr>
      <w:r>
        <w:rPr>
          <w:rFonts w:ascii="Barlow Semi Condensed" w:cs="Barlow Semi Condensed" w:eastAsia="Barlow Semi Condensed" w:hAnsi="Barlow Semi Condensed"/>
          <w:b/>
          <w:bCs/>
          <w:sz w:val="24"/>
          <w:szCs w:val="24"/>
        </w:rPr>
        <w:t xml:space="preserve">non concertata</w:t>
      </w:r>
      <w:r>
        <w:rPr>
          <w:rFonts w:ascii="Barlow Semi Condensed" w:cs="Barlow Semi Condensed" w:eastAsia="Barlow Semi Condensed" w:hAnsi="Barlow Semi Condensed"/>
          <w:sz w:val="24"/>
          <w:szCs w:val="24"/>
        </w:rPr>
        <w:t xml:space="preserve"> — un centro operativo isolato con una periferia densamente</w:t>
      </w:r>
    </w:p>
    <w:p>
      <w:pPr>
        <w:spacing w:after="120" w:line="276"/>
        <w:jc w:val="both"/>
      </w:pPr>
      <w:r>
        <w:rPr>
          <w:rFonts w:ascii="Barlow Semi Condensed" w:cs="Barlow Semi Condensed" w:eastAsia="Barlow Semi Condensed" w:hAnsi="Barlow Semi Condensed"/>
          <w:sz w:val="24"/>
          <w:szCs w:val="24"/>
        </w:rPr>
        <w:t xml:space="preserve">interconnessa. Una regia richiederebbe **archi diretti verso il centro operativo,</w:t>
      </w:r>
    </w:p>
    <w:p>
      <w:pPr>
        <w:spacing w:after="120" w:line="276"/>
        <w:jc w:val="both"/>
      </w:pPr>
      <w:r>
        <w:rPr>
          <w:rFonts w:ascii="Barlow Semi Condensed" w:cs="Barlow Semi Condensed" w:eastAsia="Barlow Semi Condensed" w:hAnsi="Barlow Semi Condensed"/>
          <w:sz w:val="24"/>
          <w:szCs w:val="24"/>
        </w:rPr>
        <w:t xml:space="preserve">che non risultano.**</w:t>
      </w:r>
    </w:p>
    <w:p>
      <w:pPr>
        <w:spacing w:after="120" w:line="276"/>
        <w:jc w:val="both"/>
      </w:pPr>
      <w:r>
        <w:rPr>
          <w:rFonts w:ascii="Barlow Semi Condensed" w:cs="Barlow Semi Condensed" w:eastAsia="Barlow Semi Condensed" w:hAnsi="Barlow Semi Condensed"/>
          <w:sz w:val="24"/>
          <w:szCs w:val="24"/>
        </w:rPr>
        <w:t xml:space="preserve">La cautela va dichiarata, com'è nel corpus: **archi occultati con successo non</w:t>
      </w:r>
    </w:p>
    <w:p>
      <w:pPr>
        <w:spacing w:after="120" w:line="276"/>
        <w:jc w:val="both"/>
      </w:pPr>
      <w:r>
        <w:rPr>
          <w:rFonts w:ascii="Barlow Semi Condensed" w:cs="Barlow Semi Condensed" w:eastAsia="Barlow Semi Condensed" w:hAnsi="Barlow Semi Condensed"/>
          <w:sz w:val="24"/>
          <w:szCs w:val="24"/>
        </w:rPr>
        <w:t xml:space="preserve">compaiono, per definizione.** È l'obiezione corretta, e la si registra. Ma è anche</w:t>
      </w:r>
    </w:p>
    <w:p>
      <w:pPr>
        <w:spacing w:after="120" w:line="276"/>
        <w:jc w:val="both"/>
      </w:pPr>
      <w:r>
        <w:rPr>
          <w:rFonts w:ascii="Barlow Semi Condensed" w:cs="Barlow Semi Condensed" w:eastAsia="Barlow Semi Condensed" w:hAnsi="Barlow Semi Condensed"/>
          <w:sz w:val="24"/>
          <w:szCs w:val="24"/>
        </w:rPr>
        <w:t xml:space="preserve">il punto in cui interviene A1: un occultamento integrale mantenuto per quarantotto</w:t>
      </w:r>
    </w:p>
    <w:p>
      <w:pPr>
        <w:spacing w:after="120" w:line="276"/>
        <w:jc w:val="both"/>
      </w:pPr>
      <w:r>
        <w:rPr>
          <w:rFonts w:ascii="Barlow Semi Condensed" w:cs="Barlow Semi Condensed" w:eastAsia="Barlow Semi Condensed" w:hAnsi="Barlow Semi Condensed"/>
          <w:sz w:val="24"/>
          <w:szCs w:val="24"/>
        </w:rPr>
        <w:t xml:space="preserve">anni malgrado dissociazioni, aperture di archivi e cadute di regimi **sarebbe un</w:t>
      </w:r>
    </w:p>
    <w:p>
      <w:pPr>
        <w:spacing w:after="120" w:line="276"/>
        <w:jc w:val="both"/>
      </w:pPr>
      <w:r>
        <w:rPr>
          <w:rFonts w:ascii="Barlow Semi Condensed" w:cs="Barlow Semi Condensed" w:eastAsia="Barlow Semi Condensed" w:hAnsi="Barlow Semi Condensed"/>
          <w:sz w:val="24"/>
          <w:szCs w:val="24"/>
        </w:rPr>
        <w:t xml:space="preserve">risultato senza precedenti documentati**. Non è una prova; è la misura di che cosa</w:t>
      </w:r>
    </w:p>
    <w:p>
      <w:pPr>
        <w:spacing w:after="120" w:line="276"/>
        <w:jc w:val="both"/>
      </w:pPr>
      <w:r>
        <w:rPr>
          <w:rFonts w:ascii="Barlow Semi Condensed" w:cs="Barlow Semi Condensed" w:eastAsia="Barlow Semi Condensed" w:hAnsi="Barlow Semi Condensed"/>
          <w:sz w:val="24"/>
          <w:szCs w:val="24"/>
        </w:rPr>
        <w:t xml:space="preserve">si stia chiedendo di ammettere.</w:t>
      </w:r>
    </w:p>
    <w:p>
      <w:pPr>
        <w:spacing w:after="120" w:line="276"/>
        <w:jc w:val="both"/>
      </w:pPr>
      <w:r>
        <w:rPr>
          <w:rFonts w:ascii="Barlow Semi Condensed" w:cs="Barlow Semi Condensed" w:eastAsia="Barlow Semi Condensed" w:hAnsi="Barlow Semi Condensed"/>
          <w:b/>
          <w:bCs/>
          <w:sz w:val="24"/>
          <w:szCs w:val="24"/>
        </w:rPr>
        <w:t xml:space="preserve">G6 è incompatibile con O3.</w:t>
      </w:r>
      <w:r>
        <w:rPr>
          <w:rFonts w:ascii="Barlow Semi Condensed" w:cs="Barlow Semi Condensed" w:eastAsia="Barlow Semi Condensed" w:hAnsi="Barlow Semi Condensed"/>
          <w:sz w:val="24"/>
          <w:szCs w:val="24"/>
        </w:rPr>
        <w:t xml:space="preserve"> L'omissione consapevole richiede che qualcuno</w:t>
      </w:r>
    </w:p>
    <w:p>
      <w:pPr>
        <w:spacing w:after="120" w:line="276"/>
        <w:jc w:val="both"/>
      </w:pPr>
      <w:r>
        <w:rPr>
          <w:rFonts w:ascii="Barlow Semi Condensed" w:cs="Barlow Semi Condensed" w:eastAsia="Barlow Semi Condensed" w:hAnsi="Barlow Semi Condensed"/>
          <w:sz w:val="24"/>
          <w:szCs w:val="24"/>
        </w:rPr>
        <w:t xml:space="preserve">sapesse; e nessuna informazione specifica preventiva è mai stata accertata. Lo</w:t>
      </w:r>
    </w:p>
    <w:p>
      <w:pPr>
        <w:spacing w:after="120" w:line="276"/>
        <w:jc w:val="both"/>
      </w:pPr>
      <w:r>
        <w:rPr>
          <w:rFonts w:ascii="Barlow Semi Condensed" w:cs="Barlow Semi Condensed" w:eastAsia="Barlow Semi Condensed" w:hAnsi="Barlow Semi Condensed"/>
          <w:sz w:val="24"/>
          <w:szCs w:val="24"/>
        </w:rPr>
        <w:t xml:space="preserve">Stato Zero ha robustezza </w:t>
      </w:r>
      <w:r>
        <w:rPr>
          <w:rFonts w:ascii="Barlow Semi Condensed" w:cs="Barlow Semi Condensed" w:eastAsia="Barlow Semi Condensed" w:hAnsi="Barlow Semi Condensed"/>
          <w:i/>
          <w:iCs/>
          <w:sz w:val="24"/>
          <w:szCs w:val="24"/>
        </w:rPr>
        <w:t xml:space="preserve">media</w:t>
      </w:r>
      <w:r>
        <w:rPr>
          <w:rFonts w:ascii="Barlow Semi Condensed" w:cs="Barlow Semi Condensed" w:eastAsia="Barlow Semi Condensed" w:hAnsi="Barlow Semi Condensed"/>
          <w:sz w:val="24"/>
          <w:szCs w:val="24"/>
        </w:rPr>
        <w:t xml:space="preserve"> — la ricerca fu condotta, ma le fonti potenziali</w:t>
      </w:r>
    </w:p>
    <w:p>
      <w:pPr>
        <w:spacing w:after="120" w:line="276"/>
        <w:jc w:val="both"/>
      </w:pPr>
      <w:r>
        <w:rPr>
          <w:rFonts w:ascii="Barlow Semi Condensed" w:cs="Barlow Semi Condensed" w:eastAsia="Barlow Semi Condensed" w:hAnsi="Barlow Semi Condensed"/>
          <w:sz w:val="24"/>
          <w:szCs w:val="24"/>
        </w:rPr>
        <w:t xml:space="preserve">sono in larga parte scomparse — quindi non chiude l'ipotesi: la carica di un onere,</w:t>
      </w:r>
    </w:p>
    <w:p>
      <w:pPr>
        <w:spacing w:after="120" w:line="276"/>
        <w:jc w:val="both"/>
      </w:pPr>
      <w:r>
        <w:rPr>
          <w:rFonts w:ascii="Barlow Semi Condensed" w:cs="Barlow Semi Condensed" w:eastAsia="Barlow Semi Condensed" w:hAnsi="Barlow Semi Condensed"/>
          <w:sz w:val="24"/>
          <w:szCs w:val="24"/>
        </w:rPr>
        <w:t xml:space="preserve">e l'onere è preciso. **Non «qualcuno sapeva», ma: quale atto, in quale giorno, in</w:t>
      </w:r>
    </w:p>
    <w:p>
      <w:pPr>
        <w:spacing w:after="120" w:line="276"/>
        <w:jc w:val="both"/>
      </w:pPr>
      <w:r>
        <w:rPr>
          <w:rFonts w:ascii="Barlow Semi Condensed" w:cs="Barlow Semi Condensed" w:eastAsia="Barlow Semi Condensed" w:hAnsi="Barlow Semi Condensed"/>
          <w:sz w:val="24"/>
          <w:szCs w:val="24"/>
        </w:rPr>
        <w:t xml:space="preserve">quale ufficio.**</w:t>
      </w:r>
    </w:p>
    <w:p>
      <w:pPr>
        <w:spacing w:after="120" w:line="276"/>
        <w:jc w:val="both"/>
      </w:pPr>
      <w:r>
        <w:rPr>
          <w:rFonts w:ascii="Barlow Semi Condensed" w:cs="Barlow Semi Condensed" w:eastAsia="Barlow Semi Condensed" w:hAnsi="Barlow Semi Condensed"/>
          <w:b/>
          <w:bCs/>
          <w:sz w:val="24"/>
          <w:szCs w:val="24"/>
        </w:rPr>
        <w:t xml:space="preserve">O1 e O2 non urtano contro nulla.</w:t>
      </w:r>
      <w:r>
        <w:rPr>
          <w:rFonts w:ascii="Barlow Semi Condensed" w:cs="Barlow Semi Condensed" w:eastAsia="Barlow Semi Condensed" w:hAnsi="Barlow Semi Condensed"/>
          <w:sz w:val="24"/>
          <w:szCs w:val="24"/>
        </w:rPr>
        <w:t xml:space="preserve"> E qui va detta la cosa che questa tavola</w:t>
      </w:r>
    </w:p>
    <w:p>
      <w:pPr>
        <w:spacing w:after="120" w:line="276"/>
        <w:jc w:val="both"/>
      </w:pPr>
      <w:r>
        <w:rPr>
          <w:rFonts w:ascii="Barlow Semi Condensed" w:cs="Barlow Semi Condensed" w:eastAsia="Barlow Semi Condensed" w:hAnsi="Barlow Semi Condensed"/>
          <w:sz w:val="24"/>
          <w:szCs w:val="24"/>
        </w:rPr>
        <w:t xml:space="preserve">aggiunge alle altre due.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 La sola ipotesi che guadagna qualcosa</w:t>
      </w:r>
    </w:p>
    <w:p>
      <w:pPr>
        <w:spacing w:after="120" w:line="276"/>
        <w:jc w:val="both"/>
      </w:pPr>
      <w:r>
        <w:rPr>
          <w:rFonts w:ascii="Barlow Semi Condensed" w:cs="Barlow Semi Condensed" w:eastAsia="Barlow Semi Condensed" w:hAnsi="Barlow Semi Condensed"/>
          <w:sz w:val="24"/>
          <w:szCs w:val="24"/>
        </w:rPr>
        <w:t xml:space="preserve">**O2 — la catena di comando interrotta di fatto — è l'unica delle quattro che</w:t>
      </w:r>
    </w:p>
    <w:p>
      <w:pPr>
        <w:spacing w:after="120" w:line="276"/>
        <w:jc w:val="both"/>
      </w:pPr>
      <w:r>
        <w:rPr>
          <w:rFonts w:ascii="Barlow Semi Condensed" w:cs="Barlow Semi Condensed" w:eastAsia="Barlow Semi Condensed" w:hAnsi="Barlow Semi Condensed"/>
          <w:sz w:val="24"/>
          <w:szCs w:val="24"/>
        </w:rPr>
        <w:t xml:space="preserve">spiega qualcosa senza costare nulla.**</w:t>
      </w:r>
    </w:p>
    <w:p>
      <w:pPr>
        <w:spacing w:after="120" w:line="276"/>
        <w:jc w:val="both"/>
      </w:pPr>
      <w:r>
        <w:rPr>
          <w:rFonts w:ascii="Barlow Semi Condensed" w:cs="Barlow Semi Condensed" w:eastAsia="Barlow Semi Condensed" w:hAnsi="Barlow Semi Condensed"/>
          <w:sz w:val="24"/>
          <w:szCs w:val="24"/>
        </w:rPr>
        <w:t xml:space="preserve">O1, l'inefficienza ordinaria, non urta contro nulla ma lascia **G7 senza</w:t>
      </w:r>
    </w:p>
    <w:p>
      <w:pPr>
        <w:spacing w:after="120" w:line="276"/>
        <w:jc w:val="both"/>
      </w:pPr>
      <w:r>
        <w:rPr>
          <w:rFonts w:ascii="Barlow Semi Condensed" w:cs="Barlow Semi Condensed" w:eastAsia="Barlow Semi Condensed" w:hAnsi="Barlow Semi Condensed"/>
          <w:sz w:val="24"/>
          <w:szCs w:val="24"/>
        </w:rPr>
        <w:t xml:space="preserve">spiegazione soddisfacente**: dice che accadde perché l'apparato non era attrezzato,</w:t>
      </w:r>
    </w:p>
    <w:p>
      <w:pPr>
        <w:spacing w:after="120" w:line="276"/>
        <w:jc w:val="both"/>
      </w:pPr>
      <w:r>
        <w:rPr>
          <w:rFonts w:ascii="Barlow Semi Condensed" w:cs="Barlow Semi Condensed" w:eastAsia="Barlow Semi Condensed" w:hAnsi="Barlow Semi Condensed"/>
          <w:sz w:val="24"/>
          <w:szCs w:val="24"/>
        </w:rPr>
        <w:t xml:space="preserve">il che è vero e insufficiente. O3 e O4 spiegano G7 benissimo, e pagano ciascuna il</w:t>
      </w:r>
    </w:p>
    <w:p>
      <w:pPr>
        <w:spacing w:after="120" w:line="276"/>
        <w:jc w:val="both"/>
      </w:pPr>
      <w:r>
        <w:rPr>
          <w:rFonts w:ascii="Barlow Semi Condensed" w:cs="Barlow Semi Condensed" w:eastAsia="Barlow Semi Condensed" w:hAnsi="Barlow Semi Condensed"/>
          <w:sz w:val="24"/>
          <w:szCs w:val="24"/>
        </w:rPr>
        <w:t xml:space="preserve">proprio urto.</w:t>
      </w:r>
    </w:p>
    <w:p>
      <w:pPr>
        <w:spacing w:after="120" w:line="276"/>
        <w:jc w:val="both"/>
      </w:pPr>
      <w:r>
        <w:rPr>
          <w:rFonts w:ascii="Barlow Semi Condensed" w:cs="Barlow Semi Condensed" w:eastAsia="Barlow Semi Condensed" w:hAnsi="Barlow Semi Condensed"/>
          <w:sz w:val="24"/>
          <w:szCs w:val="24"/>
        </w:rPr>
        <w:t xml:space="preserve">O2 spiega G7 </w:t>
      </w:r>
      <w:r>
        <w:rPr>
          <w:rFonts w:ascii="Barlow Semi Condensed" w:cs="Barlow Semi Condensed" w:eastAsia="Barlow Semi Condensed" w:hAnsi="Barlow Semi Condensed"/>
          <w:b/>
          <w:bCs/>
          <w:sz w:val="24"/>
          <w:szCs w:val="24"/>
        </w:rPr>
        <w:t xml:space="preserve">senza postulare né conoscenza né direzione</w:t>
      </w:r>
      <w:r>
        <w:rPr>
          <w:rFonts w:ascii="Barlow Semi Condensed" w:cs="Barlow Semi Condensed" w:eastAsia="Barlow Semi Condensed" w:hAnsi="Barlow Semi Condensed"/>
          <w:sz w:val="24"/>
          <w:szCs w:val="24"/>
        </w:rPr>
        <w:t xml:space="preserve">: un apparato la cui</w:t>
      </w:r>
    </w:p>
    <w:p>
      <w:pPr>
        <w:spacing w:after="120" w:line="276"/>
        <w:jc w:val="both"/>
      </w:pPr>
      <w:r>
        <w:rPr>
          <w:rFonts w:ascii="Barlow Semi Condensed" w:cs="Barlow Semi Condensed" w:eastAsia="Barlow Semi Condensed" w:hAnsi="Barlow Semi Condensed"/>
          <w:sz w:val="24"/>
          <w:szCs w:val="24"/>
        </w:rPr>
        <w:t xml:space="preserve">catena fra autorità politica e vertici tecnici sia interrotta in fatto produce</w:t>
      </w:r>
    </w:p>
    <w:p>
      <w:pPr>
        <w:spacing w:after="120" w:line="276"/>
        <w:jc w:val="both"/>
      </w:pPr>
      <w:r>
        <w:rPr>
          <w:rFonts w:ascii="Barlow Semi Condensed" w:cs="Barlow Semi Condensed" w:eastAsia="Barlow Semi Condensed" w:hAnsi="Barlow Semi Condensed"/>
          <w:sz w:val="24"/>
          <w:szCs w:val="24"/>
        </w:rPr>
        <w:t xml:space="preserve">esattamente il profilo osservato — controlli che non si chiudono, segnalazioni che</w:t>
      </w:r>
    </w:p>
    <w:p>
      <w:pPr>
        <w:spacing w:after="120" w:line="276"/>
        <w:jc w:val="both"/>
      </w:pPr>
      <w:r>
        <w:rPr>
          <w:rFonts w:ascii="Barlow Semi Condensed" w:cs="Barlow Semi Condensed" w:eastAsia="Barlow Semi Condensed" w:hAnsi="Barlow Semi Condensed"/>
          <w:sz w:val="24"/>
          <w:szCs w:val="24"/>
        </w:rPr>
        <w:t xml:space="preserve">non risalgono, indagini che si concentrano dove non dovrebbero, e nessun centro da</w:t>
      </w:r>
    </w:p>
    <w:p>
      <w:pPr>
        <w:spacing w:after="120" w:line="276"/>
        <w:jc w:val="both"/>
      </w:pPr>
      <w:r>
        <w:rPr>
          <w:rFonts w:ascii="Barlow Semi Condensed" w:cs="Barlow Semi Condensed" w:eastAsia="Barlow Semi Condensed" w:hAnsi="Barlow Semi Condensed"/>
          <w:sz w:val="24"/>
          <w:szCs w:val="24"/>
        </w:rPr>
        <w:t xml:space="preserve">identificare </w:t>
      </w:r>
      <w:r>
        <w:rPr>
          <w:rFonts w:ascii="Barlow Semi Condensed" w:cs="Barlow Semi Condensed" w:eastAsia="Barlow Semi Condensed" w:hAnsi="Barlow Semi Condensed"/>
          <w:b/>
          <w:bCs/>
          <w:sz w:val="24"/>
          <w:szCs w:val="24"/>
        </w:rPr>
        <w:t xml:space="preserve">perché non c'è</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corpus, che a questa formulazione arriva per altra via, la qualifica da sé:</w:t>
      </w:r>
    </w:p>
    <w:p>
      <w:pPr>
        <w:spacing w:after="120" w:line="276"/>
        <w:jc w:val="both"/>
      </w:pPr>
      <w:r>
        <w:rPr>
          <w:rFonts w:ascii="Barlow Semi Condensed" w:cs="Barlow Semi Condensed" w:eastAsia="Barlow Semi Condensed" w:hAnsi="Barlow Semi Condensed"/>
          <w:b/>
          <w:bCs/>
          <w:sz w:val="24"/>
          <w:szCs w:val="24"/>
        </w:rPr>
        <w:t xml:space="preserve">«affermazione meno spettacolare e più difendibile»</w:t>
      </w:r>
      <w:r>
        <w:rPr>
          <w:rFonts w:ascii="Barlow Semi Condensed" w:cs="Barlow Semi Condensed" w:eastAsia="Barlow Semi Condensed" w:hAnsi="Barlow Semi Condensed"/>
          <w:sz w:val="24"/>
          <w:szCs w:val="24"/>
        </w:rPr>
        <w:t xml:space="preserve">. È il giudizio giusto, e va</w:t>
      </w:r>
    </w:p>
    <w:p>
      <w:pPr>
        <w:spacing w:after="120" w:line="276"/>
        <w:jc w:val="both"/>
      </w:pPr>
      <w:r>
        <w:rPr>
          <w:rFonts w:ascii="Barlow Semi Condensed" w:cs="Barlow Semi Condensed" w:eastAsia="Barlow Semi Condensed" w:hAnsi="Barlow Semi Condensed"/>
          <w:sz w:val="24"/>
          <w:szCs w:val="24"/>
        </w:rPr>
        <w:t xml:space="preserve">riportato con la sua provenienza — appartiene a un'opera distinta da quella su</w:t>
      </w:r>
    </w:p>
    <w:p>
      <w:pPr>
        <w:spacing w:after="120" w:line="276"/>
        <w:jc w:val="both"/>
      </w:pPr>
      <w:r>
        <w:rPr>
          <w:rFonts w:ascii="Barlow Semi Condensed" w:cs="Barlow Semi Condensed" w:eastAsia="Barlow Semi Condensed" w:hAnsi="Barlow Semi Condensed"/>
          <w:sz w:val="24"/>
          <w:szCs w:val="24"/>
        </w:rPr>
        <w:t xml:space="preserve">Moro, ed è citata come fonte e non incorporata.</w:t>
      </w:r>
    </w:p>
    <w:p>
      <w:pPr>
        <w:spacing w:after="120" w:line="276"/>
        <w:jc w:val="both"/>
      </w:pPr>
      <w:r>
        <w:rPr>
          <w:rFonts w:ascii="Barlow Semi Condensed" w:cs="Barlow Semi Condensed" w:eastAsia="Barlow Semi Condensed" w:hAnsi="Barlow Semi Condensed"/>
          <w:b/>
          <w:bCs/>
          <w:sz w:val="24"/>
          <w:szCs w:val="24"/>
        </w:rPr>
        <w:t xml:space="preserve">Due avvertenze, perché O2 non diventi la nuova tesi comoda.</w:t>
      </w:r>
    </w:p>
    <w:p>
      <w:pPr>
        <w:spacing w:after="120" w:line="276"/>
        <w:jc w:val="both"/>
      </w:pPr>
      <w:r>
        <w:rPr>
          <w:rFonts w:ascii="Barlow Semi Condensed" w:cs="Barlow Semi Condensed" w:eastAsia="Barlow Semi Condensed" w:hAnsi="Barlow Semi Condensed"/>
          <w:b/>
          <w:bCs/>
          <w:sz w:val="24"/>
          <w:szCs w:val="24"/>
        </w:rPr>
        <w:t xml:space="preserve">La prima.</w:t>
      </w:r>
      <w:r>
        <w:rPr>
          <w:rFonts w:ascii="Barlow Semi Condensed" w:cs="Barlow Semi Condensed" w:eastAsia="Barlow Semi Condensed" w:hAnsi="Barlow Semi Condensed"/>
          <w:sz w:val="24"/>
          <w:szCs w:val="24"/>
        </w:rPr>
        <w:t xml:space="preserve"> O2 non è provata: è </w:t>
      </w:r>
      <w:r>
        <w:rPr>
          <w:rFonts w:ascii="Barlow Semi Condensed" w:cs="Barlow Semi Condensed" w:eastAsia="Barlow Semi Condensed" w:hAnsi="Barlow Semi Condensed"/>
          <w:b/>
          <w:bCs/>
          <w:sz w:val="24"/>
          <w:szCs w:val="24"/>
        </w:rPr>
        <w:t xml:space="preserve">non contraddetta e capace di spiegare</w:t>
      </w:r>
      <w:r>
        <w:rPr>
          <w:rFonts w:ascii="Barlow Semi Condensed" w:cs="Barlow Semi Condensed" w:eastAsia="Barlow Semi Condensed" w:hAnsi="Barlow Semi Condensed"/>
          <w:sz w:val="24"/>
          <w:szCs w:val="24"/>
        </w:rPr>
        <w:t xml:space="preserve">, che è</w:t>
      </w:r>
    </w:p>
    <w:p>
      <w:pPr>
        <w:spacing w:after="120" w:line="276"/>
        <w:jc w:val="both"/>
      </w:pPr>
      <w:r>
        <w:rPr>
          <w:rFonts w:ascii="Barlow Semi Condensed" w:cs="Barlow Semi Condensed" w:eastAsia="Barlow Semi Condensed" w:hAnsi="Barlow Semi Condensed"/>
          <w:sz w:val="24"/>
          <w:szCs w:val="24"/>
        </w:rPr>
        <w:t xml:space="preserve">molto più di O1 e molto meno di un accertamento. Un'ipotesi che spiega bene è</w:t>
      </w:r>
    </w:p>
    <w:p>
      <w:pPr>
        <w:spacing w:after="120" w:line="276"/>
        <w:jc w:val="both"/>
      </w:pPr>
      <w:r>
        <w:rPr>
          <w:rFonts w:ascii="Barlow Semi Condensed" w:cs="Barlow Semi Condensed" w:eastAsia="Barlow Semi Condensed" w:hAnsi="Barlow Semi Condensed"/>
          <w:sz w:val="24"/>
          <w:szCs w:val="24"/>
        </w:rPr>
        <w:t xml:space="preserve">seducente esattamente quanto è pericolosa — è la forma che prende, in queste</w:t>
      </w:r>
    </w:p>
    <w:p>
      <w:pPr>
        <w:spacing w:after="120" w:line="276"/>
        <w:jc w:val="both"/>
      </w:pPr>
      <w:r>
        <w:rPr>
          <w:rFonts w:ascii="Barlow Semi Condensed" w:cs="Barlow Semi Condensed" w:eastAsia="Barlow Semi Condensed" w:hAnsi="Barlow Semi Condensed"/>
          <w:sz w:val="24"/>
          <w:szCs w:val="24"/>
        </w:rPr>
        <w:t xml:space="preserve">materie, il ragionamento circolare.</w:t>
      </w:r>
    </w:p>
    <w:p>
      <w:pPr>
        <w:spacing w:after="120" w:line="276"/>
        <w:jc w:val="both"/>
      </w:pPr>
      <w:r>
        <w:rPr>
          <w:rFonts w:ascii="Barlow Semi Condensed" w:cs="Barlow Semi Condensed" w:eastAsia="Barlow Semi Condensed" w:hAnsi="Barlow Semi Condensed"/>
          <w:b/>
          <w:bCs/>
          <w:sz w:val="24"/>
          <w:szCs w:val="24"/>
        </w:rPr>
        <w:t xml:space="preserve">La seconda, ed è la più importante.</w:t>
      </w:r>
      <w:r>
        <w:rPr>
          <w:rFonts w:ascii="Barlow Semi Condensed" w:cs="Barlow Semi Condensed" w:eastAsia="Barlow Semi Condensed" w:hAnsi="Barlow Semi Condensed"/>
          <w:sz w:val="24"/>
          <w:szCs w:val="24"/>
        </w:rPr>
        <w:t xml:space="preserve"> O2 </w:t>
      </w:r>
      <w:r>
        <w:rPr>
          <w:rFonts w:ascii="Barlow Semi Condensed" w:cs="Barlow Semi Condensed" w:eastAsia="Barlow Semi Condensed" w:hAnsi="Barlow Semi Condensed"/>
          <w:b/>
          <w:bCs/>
          <w:sz w:val="24"/>
          <w:szCs w:val="24"/>
        </w:rPr>
        <w:t xml:space="preserve">non attribuisce nulla a nessuno</w:t>
      </w:r>
      <w:r>
        <w:rPr>
          <w:rFonts w:ascii="Barlow Semi Condensed" w:cs="Barlow Semi Condensed" w:eastAsia="Barlow Semi Condensed" w:hAnsi="Barlow Semi Condensed"/>
          <w:sz w:val="24"/>
          <w:szCs w:val="24"/>
        </w:rPr>
        <w:t xml:space="preserve">. Una</w:t>
      </w:r>
    </w:p>
    <w:p>
      <w:pPr>
        <w:spacing w:after="120" w:line="276"/>
        <w:jc w:val="both"/>
      </w:pPr>
      <w:r>
        <w:rPr>
          <w:rFonts w:ascii="Barlow Semi Condensed" w:cs="Barlow Semi Condensed" w:eastAsia="Barlow Semi Condensed" w:hAnsi="Barlow Semi Condensed"/>
          <w:sz w:val="24"/>
          <w:szCs w:val="24"/>
        </w:rPr>
        <w:t xml:space="preserve">catena interrotta non ha autori: è uno stato di un sistema. Chi la leggesse come</w:t>
      </w:r>
    </w:p>
    <w:p>
      <w:pPr>
        <w:spacing w:after="120" w:line="276"/>
        <w:jc w:val="both"/>
      </w:pPr>
      <w:r>
        <w:rPr>
          <w:rFonts w:ascii="Barlow Semi Condensed" w:cs="Barlow Semi Condensed" w:eastAsia="Barlow Semi Condensed" w:hAnsi="Barlow Semi Condensed"/>
          <w:sz w:val="24"/>
          <w:szCs w:val="24"/>
        </w:rPr>
        <w:t xml:space="preserve">un'accusa collettiva agli apparati avrebbe compiuto esattamente l'inferenza che</w:t>
      </w:r>
    </w:p>
    <w:p>
      <w:pPr>
        <w:spacing w:after="120" w:line="276"/>
        <w:jc w:val="both"/>
      </w:pPr>
      <w:r>
        <w:rPr>
          <w:rFonts w:ascii="Barlow Semi Condensed" w:cs="Barlow Semi Condensed" w:eastAsia="Barlow Semi Condensed" w:hAnsi="Barlow Semi Condensed"/>
          <w:sz w:val="24"/>
          <w:szCs w:val="24"/>
        </w:rPr>
        <w:t xml:space="preserve">questo lavoro vieta in ogni sua pagina — dalla classe all'individuo, dalla struttura</w:t>
      </w:r>
    </w:p>
    <w:p>
      <w:pPr>
        <w:spacing w:after="120" w:line="276"/>
        <w:jc w:val="both"/>
      </w:pPr>
      <w:r>
        <w:rPr>
          <w:rFonts w:ascii="Barlow Semi Condensed" w:cs="Barlow Semi Condensed" w:eastAsia="Barlow Semi Condensed" w:hAnsi="Barlow Semi Condensed"/>
          <w:sz w:val="24"/>
          <w:szCs w:val="24"/>
        </w:rPr>
        <w:t xml:space="preserve">alla condotta.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 L'ordine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ipotesi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incompatibilità</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lettura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O1</w:t>
            </w:r>
            <w:r>
              <w:rPr>
                <w:rFonts w:ascii="Barlow Semi Condensed" w:cs="Barlow Semi Condensed" w:eastAsia="Barlow Semi Condensed" w:hAnsi="Barlow Semi Condensed"/>
                <w:sz w:val="20"/>
                <w:szCs w:val="20"/>
              </w:rPr>
              <w:t xml:space="preserve"> inefficienza ordinaria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contraddetta. Spiega poco: lascia il fatto centrale come residuo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O2</w:t>
            </w:r>
            <w:r>
              <w:rPr>
                <w:rFonts w:ascii="Barlow Semi Condensed" w:cs="Barlow Semi Condensed" w:eastAsia="Barlow Semi Condensed" w:hAnsi="Barlow Semi Condensed"/>
                <w:sz w:val="20"/>
                <w:szCs w:val="20"/>
              </w:rPr>
              <w:t xml:space="preserve"> catena interrotta di fatto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contraddetta, </w:t>
            </w:r>
            <w:r>
              <w:rPr>
                <w:rFonts w:ascii="Barlow Semi Condensed" w:cs="Barlow Semi Condensed" w:eastAsia="Barlow Semi Condensed" w:hAnsi="Barlow Semi Condensed"/>
                <w:b/>
                <w:bCs/>
                <w:sz w:val="20"/>
                <w:szCs w:val="20"/>
              </w:rPr>
              <w:t xml:space="preserve">e spiega il fatto centrale senza postulare conoscenza né direzione.</w:t>
            </w:r>
            <w:r>
              <w:rPr>
                <w:rFonts w:ascii="Barlow Semi Condensed" w:cs="Barlow Semi Condensed" w:eastAsia="Barlow Semi Condensed" w:hAnsi="Barlow Semi Condensed"/>
                <w:sz w:val="20"/>
                <w:szCs w:val="20"/>
              </w:rPr>
              <w:t xml:space="preserve"> È la sola che guadagni potere esplicativo senza pagare un urto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O3</w:t>
            </w:r>
            <w:r>
              <w:rPr>
                <w:rFonts w:ascii="Barlow Semi Condensed" w:cs="Barlow Semi Condensed" w:eastAsia="Barlow Semi Condensed" w:hAnsi="Barlow Semi Condensed"/>
                <w:sz w:val="20"/>
                <w:szCs w:val="20"/>
              </w:rPr>
              <w:t xml:space="preserve"> omissione consapevole settoriale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w:t>
            </w:r>
            <w:r>
              <w:rPr>
                <w:rFonts w:ascii="Barlow Semi Condensed" w:cs="Barlow Semi Condensed" w:eastAsia="Barlow Semi Condensed" w:hAnsi="Barlow Semi Condensed"/>
                <w:sz w:val="20"/>
                <w:szCs w:val="20"/>
              </w:rPr>
              <w:t xml:space="preserve"> (G6) + argomento contrario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Richiede che qualcuno sapesse, e nessuna informazione preventiva è accertata. L'onere è preciso e verificabile: </w:t>
            </w:r>
            <w:r>
              <w:rPr>
                <w:rFonts w:ascii="Barlow Semi Condensed" w:cs="Barlow Semi Condensed" w:eastAsia="Barlow Semi Condensed" w:hAnsi="Barlow Semi Condensed"/>
                <w:b/>
                <w:bCs/>
                <w:sz w:val="20"/>
                <w:szCs w:val="20"/>
              </w:rPr>
              <w:t xml:space="preserve">un atto, un giorno, un ufficio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O4</w:t>
            </w:r>
            <w:r>
              <w:rPr>
                <w:rFonts w:ascii="Barlow Semi Condensed" w:cs="Barlow Semi Condensed" w:eastAsia="Barlow Semi Condensed" w:hAnsi="Barlow Semi Condensed"/>
                <w:sz w:val="20"/>
                <w:szCs w:val="20"/>
              </w:rPr>
              <w:t xml:space="preserve"> regia unitaria</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2</w:t>
            </w:r>
            <w:r>
              <w:rPr>
                <w:rFonts w:ascii="Barlow Semi Condensed" w:cs="Barlow Semi Condensed" w:eastAsia="Barlow Semi Condensed" w:hAnsi="Barlow Semi Condensed"/>
                <w:sz w:val="20"/>
                <w:szCs w:val="20"/>
              </w:rPr>
              <w:t xml:space="preserve"> (G5, G8) + argomento contrario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 centro identificato in quarant'anni, e la topologia documentata è quella di una convergenza non concertata. È l'ipotesi più costosa e la più raccontata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VIII. Che cosa chiuderebbe la matrice</w:t>
      </w:r>
    </w:p>
    <w:p>
      <w:pPr>
        <w:spacing w:after="120" w:line="276"/>
        <w:jc w:val="both"/>
      </w:pPr>
      <w:r>
        <w:rPr>
          <w:rFonts w:ascii="Barlow Semi Condensed" w:cs="Barlow Semi Condensed" w:eastAsia="Barlow Semi Condensed" w:hAnsi="Barlow Semi Condensed"/>
          <w:b/>
          <w:bCs/>
          <w:sz w:val="24"/>
          <w:szCs w:val="24"/>
        </w:rPr>
        <w:t xml:space="preserve">1. La catena del 18 marzo, ricostruita.</w:t>
      </w:r>
      <w:r>
        <w:rPr>
          <w:rFonts w:ascii="Barlow Semi Condensed" w:cs="Barlow Semi Condensed" w:eastAsia="Barlow Semi Condensed" w:hAnsi="Barlow Semi Condensed"/>
          <w:sz w:val="24"/>
          <w:szCs w:val="24"/>
        </w:rPr>
        <w:t xml:space="preserve"> Il percorso della nota</w:t>
      </w:r>
    </w:p>
    <w:p>
      <w:pPr>
        <w:spacing w:after="120" w:line="276"/>
        <w:jc w:val="both"/>
      </w:pPr>
      <w:r>
        <w:rPr>
          <w:rFonts w:ascii="Barlow Semi Condensed" w:cs="Barlow Semi Condensed" w:eastAsia="Barlow Semi Condensed" w:hAnsi="Barlow Semi Condensed"/>
          <w:sz w:val="24"/>
          <w:szCs w:val="24"/>
        </w:rPr>
        <w:t xml:space="preserve">dell'informatrice, le disposizioni che generò, le istruzioni operative della</w:t>
      </w:r>
    </w:p>
    <w:p>
      <w:pPr>
        <w:spacing w:after="120" w:line="276"/>
        <w:jc w:val="both"/>
      </w:pPr>
      <w:r>
        <w:rPr>
          <w:rFonts w:ascii="Barlow Semi Condensed" w:cs="Barlow Semi Condensed" w:eastAsia="Barlow Semi Condensed" w:hAnsi="Barlow Semi Condensed"/>
          <w:sz w:val="24"/>
          <w:szCs w:val="24"/>
        </w:rPr>
        <w:t xml:space="preserve">squadra, i verbali e la loro circolazione — questura, UCIGOS, Viminale.</w:t>
      </w:r>
    </w:p>
    <w:p>
      <w:pPr>
        <w:spacing w:after="120" w:line="276"/>
        <w:jc w:val="both"/>
      </w:pP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catena ricostruita, **o l'assenza dei suoi anelli, che sarebbe essa</w:t>
      </w:r>
    </w:p>
    <w:p>
      <w:pPr>
        <w:spacing w:after="120" w:line="276"/>
        <w:jc w:val="both"/>
      </w:pPr>
      <w:r>
        <w:rPr>
          <w:rFonts w:ascii="Barlow Semi Condensed" w:cs="Barlow Semi Condensed" w:eastAsia="Barlow Semi Condensed" w:hAnsi="Barlow Semi Condensed"/>
          <w:sz w:val="24"/>
          <w:szCs w:val="24"/>
        </w:rPr>
        <w:t xml:space="preserve">stessa l'esito** — e sarebbe un'evidenza a favore di O2.</w:t>
      </w:r>
    </w:p>
    <w:p>
      <w:pPr>
        <w:spacing w:after="120" w:line="276"/>
        <w:jc w:val="both"/>
      </w:pPr>
      <w:r>
        <w:rPr>
          <w:rFonts w:ascii="Barlow Semi Condensed" w:cs="Barlow Semi Condensed" w:eastAsia="Barlow Semi Condensed" w:hAnsi="Barlow Semi Condensed"/>
          <w:b/>
          <w:bCs/>
          <w:sz w:val="24"/>
          <w:szCs w:val="24"/>
        </w:rPr>
        <w:t xml:space="preserve">2. Il registro complessivo delle segnalazioni dei 55 giorni.</w:t>
      </w:r>
      <w:r>
        <w:rPr>
          <w:rFonts w:ascii="Barlow Semi Condensed" w:cs="Barlow Semi Condensed" w:eastAsia="Barlow Semi Condensed" w:hAnsi="Barlow Semi Condensed"/>
          <w:sz w:val="24"/>
          <w:szCs w:val="24"/>
        </w:rPr>
        <w:t xml:space="preserve"> Non le</w:t>
      </w:r>
    </w:p>
    <w:p>
      <w:pPr>
        <w:spacing w:after="120" w:line="276"/>
        <w:jc w:val="both"/>
      </w:pPr>
      <w:r>
        <w:rPr>
          <w:rFonts w:ascii="Barlow Semi Condensed" w:cs="Barlow Semi Condensed" w:eastAsia="Barlow Semi Condensed" w:hAnsi="Barlow Semi Condensed"/>
          <w:sz w:val="24"/>
          <w:szCs w:val="24"/>
        </w:rPr>
        <w:t xml:space="preserve">segnalazioni celebri: **quante ne giunsero, come furono protocollate, quale tasso</w:t>
      </w:r>
    </w:p>
    <w:p>
      <w:pPr>
        <w:spacing w:after="120" w:line="276"/>
        <w:jc w:val="both"/>
      </w:pPr>
      <w:r>
        <w:rPr>
          <w:rFonts w:ascii="Barlow Semi Condensed" w:cs="Barlow Semi Condensed" w:eastAsia="Barlow Semi Condensed" w:hAnsi="Barlow Semi Condensed"/>
          <w:sz w:val="24"/>
          <w:szCs w:val="24"/>
        </w:rPr>
        <w:t xml:space="preserve">ebbe seguito, con quali criteri.** È la sola misura capace di distinguere</w:t>
      </w:r>
    </w:p>
    <w:p>
      <w:pPr>
        <w:spacing w:after="120" w:line="276"/>
        <w:jc w:val="both"/>
      </w:pPr>
      <w:r>
        <w:rPr>
          <w:rFonts w:ascii="Barlow Semi Condensed" w:cs="Barlow Semi Condensed" w:eastAsia="Barlow Semi Condensed" w:hAnsi="Barlow Semi Condensed"/>
          <w:sz w:val="24"/>
          <w:szCs w:val="24"/>
        </w:rPr>
        <w:t xml:space="preserve">l'inefficienza diffusa dall'omissione puntuale: un tasso di seguito basso e</w:t>
      </w:r>
    </w:p>
    <w:p>
      <w:pPr>
        <w:spacing w:after="120" w:line="276"/>
        <w:jc w:val="both"/>
      </w:pPr>
      <w:r>
        <w:rPr>
          <w:rFonts w:ascii="Barlow Semi Condensed" w:cs="Barlow Semi Condensed" w:eastAsia="Barlow Semi Condensed" w:hAnsi="Barlow Semi Condensed"/>
          <w:sz w:val="24"/>
          <w:szCs w:val="24"/>
        </w:rPr>
        <w:t xml:space="preserve">uniforme depone per O1-O2; un tasso normale con una singola eccezione depone per</w:t>
      </w:r>
    </w:p>
    <w:p>
      <w:pPr>
        <w:spacing w:after="120" w:line="276"/>
        <w:jc w:val="both"/>
      </w:pPr>
      <w:r>
        <w:rPr>
          <w:rFonts w:ascii="Barlow Semi Condensed" w:cs="Barlow Semi Condensed" w:eastAsia="Barlow Semi Condensed" w:hAnsi="Barlow Semi Condensed"/>
          <w:sz w:val="24"/>
          <w:szCs w:val="24"/>
        </w:rPr>
        <w:t xml:space="preserve">O3. </w:t>
      </w:r>
      <w:r>
        <w:rPr>
          <w:rFonts w:ascii="Barlow Semi Condensed" w:cs="Barlow Semi Condensed" w:eastAsia="Barlow Semi Condensed" w:hAnsi="Barlow Semi Condensed"/>
          <w:b/>
          <w:bCs/>
          <w:sz w:val="24"/>
          <w:szCs w:val="24"/>
        </w:rPr>
        <w:t xml:space="preserve">Nessuna commissione ha mai prodotto questo dato.</w:t>
      </w:r>
    </w:p>
    <w:p>
      <w:pPr>
        <w:spacing w:after="120" w:line="276"/>
        <w:jc w:val="both"/>
      </w:pPr>
      <w:r>
        <w:rPr>
          <w:rFonts w:ascii="Barlow Semi Condensed" w:cs="Barlow Semi Condensed" w:eastAsia="Barlow Semi Condensed" w:hAnsi="Barlow Semi Condensed"/>
          <w:b/>
          <w:bCs/>
          <w:sz w:val="24"/>
          <w:szCs w:val="24"/>
        </w:rPr>
        <w:t xml:space="preserve">3. La mappa proprietaria completa dello stabile.</w:t>
      </w:r>
      <w:r>
        <w:rPr>
          <w:rFonts w:ascii="Barlow Semi Condensed" w:cs="Barlow Semi Condensed" w:eastAsia="Barlow Semi Condensed" w:hAnsi="Barlow Semi Condensed"/>
          <w:sz w:val="24"/>
          <w:szCs w:val="24"/>
        </w:rPr>
        <w:t xml:space="preserve"> Catasto, conservatoria,</w:t>
      </w:r>
    </w:p>
    <w:p>
      <w:pPr>
        <w:spacing w:after="120" w:line="276"/>
        <w:jc w:val="both"/>
      </w:pPr>
      <w:r>
        <w:rPr>
          <w:rFonts w:ascii="Barlow Semi Condensed" w:cs="Barlow Semi Condensed" w:eastAsia="Barlow Semi Condensed" w:hAnsi="Barlow Semi Condensed"/>
          <w:sz w:val="24"/>
          <w:szCs w:val="24"/>
        </w:rPr>
        <w:t xml:space="preserve">registri societari 1970-1978, incrociati con la locazione dell'interno 11.</w:t>
      </w:r>
    </w:p>
    <w:p>
      <w:pPr>
        <w:spacing w:after="120" w:line="276"/>
        <w:jc w:val="both"/>
      </w:pP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mappa, qualunque cosa mostri.</w:t>
      </w:r>
    </w:p>
    <w:p>
      <w:pPr>
        <w:spacing w:after="120" w:line="276"/>
        <w:jc w:val="both"/>
      </w:pPr>
      <w:r>
        <w:rPr>
          <w:rFonts w:ascii="Barlow Semi Condensed" w:cs="Barlow Semi Condensed" w:eastAsia="Barlow Semi Condensed" w:hAnsi="Barlow Semi Condensed"/>
          <w:b/>
          <w:bCs/>
          <w:sz w:val="24"/>
          <w:szCs w:val="24"/>
        </w:rPr>
        <w:t xml:space="preserve">4. Il censimento nominale dei comitati.</w:t>
      </w:r>
      <w:r>
        <w:rPr>
          <w:rFonts w:ascii="Barlow Semi Condensed" w:cs="Barlow Semi Condensed" w:eastAsia="Barlow Semi Condensed" w:hAnsi="Barlow Semi Condensed"/>
          <w:sz w:val="24"/>
          <w:szCs w:val="24"/>
        </w:rPr>
        <w:t xml:space="preserve"> L'incrocio fra gli elenchi sequestrati</w:t>
      </w:r>
    </w:p>
    <w:p>
      <w:pPr>
        <w:spacing w:after="120" w:line="276"/>
        <w:jc w:val="both"/>
      </w:pPr>
      <w:r>
        <w:rPr>
          <w:rFonts w:ascii="Barlow Semi Condensed" w:cs="Barlow Semi Condensed" w:eastAsia="Barlow Semi Condensed" w:hAnsi="Barlow Semi Condensed"/>
          <w:sz w:val="24"/>
          <w:szCs w:val="24"/>
        </w:rPr>
        <w:t xml:space="preserve">e la composizione di </w:t>
      </w:r>
      <w:r>
        <w:rPr>
          <w:rFonts w:ascii="Barlow Semi Condensed" w:cs="Barlow Semi Condensed" w:eastAsia="Barlow Semi Condensed" w:hAnsi="Barlow Semi Condensed"/>
          <w:b/>
          <w:bCs/>
          <w:sz w:val="24"/>
          <w:szCs w:val="24"/>
        </w:rPr>
        <w:t xml:space="preserve">tutti</w:t>
      </w:r>
      <w:r>
        <w:rPr>
          <w:rFonts w:ascii="Barlow Semi Condensed" w:cs="Barlow Semi Condensed" w:eastAsia="Barlow Semi Condensed" w:hAnsi="Barlow Semi Condensed"/>
          <w:sz w:val="24"/>
          <w:szCs w:val="24"/>
        </w:rPr>
        <w:t xml:space="preserve"> i comitati e sottocomitati dei 55 giorni, sugli atti</w:t>
      </w:r>
    </w:p>
    <w:p>
      <w:pPr>
        <w:spacing w:after="120" w:line="276"/>
        <w:jc w:val="both"/>
      </w:pPr>
      <w:r>
        <w:rPr>
          <w:rFonts w:ascii="Barlow Semi Condensed" w:cs="Barlow Semi Condensed" w:eastAsia="Barlow Semi Condensed" w:hAnsi="Barlow Semi Condensed"/>
          <w:sz w:val="24"/>
          <w:szCs w:val="24"/>
        </w:rPr>
        <w:t xml:space="preserve">Anselmi e sul fondo Direttiva Renzi. </w:t>
      </w:r>
      <w:r>
        <w:rPr>
          <w:rFonts w:ascii="Barlow Semi Condensed" w:cs="Barlow Semi Condensed" w:eastAsia="Barlow Semi Condensed" w:hAnsi="Barlow Semi Condensed"/>
          <w:i/>
          <w:iCs/>
          <w:sz w:val="24"/>
          <w:szCs w:val="24"/>
        </w:rPr>
        <w:t xml:space="preserve">Chiusura:</w:t>
      </w:r>
      <w:r>
        <w:rPr>
          <w:rFonts w:ascii="Barlow Semi Condensed" w:cs="Barlow Semi Condensed" w:eastAsia="Barlow Semi Condensed" w:hAnsi="Barlow Semi Condensed"/>
          <w:sz w:val="24"/>
          <w:szCs w:val="24"/>
        </w:rPr>
        <w:t xml:space="preserve"> la tavola nominale completa,</w:t>
      </w:r>
    </w:p>
    <w:p>
      <w:pPr>
        <w:spacing w:after="120" w:line="276"/>
        <w:jc w:val="both"/>
      </w:pPr>
      <w:r>
        <w:rPr>
          <w:rFonts w:ascii="Barlow Semi Condensed" w:cs="Barlow Semi Condensed" w:eastAsia="Barlow Semi Condensed" w:hAnsi="Barlow Semi Condensed"/>
          <w:b/>
          <w:bCs/>
          <w:sz w:val="24"/>
          <w:szCs w:val="24"/>
        </w:rPr>
        <w:t xml:space="preserve">qualunque percentuale ne risulti</w:t>
      </w:r>
      <w:r>
        <w:rPr>
          <w:rFonts w:ascii="Barlow Semi Condensed" w:cs="Barlow Semi Condensed" w:eastAsia="Barlow Semi Condensed" w:hAnsi="Barlow Semi Condensed"/>
          <w:sz w:val="24"/>
          <w:szCs w:val="24"/>
        </w:rPr>
        <w:t xml:space="preserve"> — e con la regola scolpita, che qui va</w:t>
      </w:r>
    </w:p>
    <w:p>
      <w:pPr>
        <w:spacing w:after="120" w:line="276"/>
        <w:jc w:val="both"/>
      </w:pPr>
      <w:r>
        <w:rPr>
          <w:rFonts w:ascii="Barlow Semi Condensed" w:cs="Barlow Semi Condensed" w:eastAsia="Barlow Semi Condensed" w:hAnsi="Barlow Semi Condensed"/>
          <w:sz w:val="24"/>
          <w:szCs w:val="24"/>
        </w:rPr>
        <w:t xml:space="preserve">ripetuta perché è il punto in cui più facilmente si perde: **l'iscrizione accertata</w:t>
      </w:r>
    </w:p>
    <w:p>
      <w:pPr>
        <w:spacing w:after="120" w:line="276"/>
        <w:jc w:val="both"/>
      </w:pPr>
      <w:r>
        <w:rPr>
          <w:rFonts w:ascii="Barlow Semi Condensed" w:cs="Barlow Semi Condensed" w:eastAsia="Barlow Semi Condensed" w:hAnsi="Barlow Semi Condensed"/>
          <w:sz w:val="24"/>
          <w:szCs w:val="24"/>
        </w:rPr>
        <w:t xml:space="preserve">di un membro è un fatto e non è la prova di alcuna condotta nel caso.**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IX. Chiusura, e il bilancio delle tre matrici</w:t>
      </w:r>
    </w:p>
    <w:p>
      <w:pPr>
        <w:spacing w:after="120" w:line="276"/>
        <w:jc w:val="both"/>
      </w:pPr>
      <w:r>
        <w:rPr>
          <w:rFonts w:ascii="Barlow Semi Condensed" w:cs="Barlow Semi Condensed" w:eastAsia="Barlow Semi Condensed" w:hAnsi="Barlow Semi Condensed"/>
          <w:sz w:val="24"/>
          <w:szCs w:val="24"/>
        </w:rPr>
        <w:t xml:space="preserve">Costruite tre tavole sulle tre questioni maggiori — la custodia, l'agguato, le</w:t>
      </w:r>
    </w:p>
    <w:p>
      <w:pPr>
        <w:spacing w:after="120" w:line="276"/>
        <w:jc w:val="both"/>
      </w:pPr>
      <w:r>
        <w:rPr>
          <w:rFonts w:ascii="Barlow Semi Condensed" w:cs="Barlow Semi Condensed" w:eastAsia="Barlow Semi Condensed" w:hAnsi="Barlow Semi Condensed"/>
          <w:sz w:val="24"/>
          <w:szCs w:val="24"/>
        </w:rPr>
        <w:t xml:space="preserve">omissioni — un risultato si ripete in tutte e tre e conviene isolarlo, perché non</w:t>
      </w:r>
    </w:p>
    <w:p>
      <w:pPr>
        <w:spacing w:after="120" w:line="276"/>
        <w:jc w:val="both"/>
      </w:pPr>
      <w:r>
        <w:rPr>
          <w:rFonts w:ascii="Barlow Semi Condensed" w:cs="Barlow Semi Condensed" w:eastAsia="Barlow Semi Condensed" w:hAnsi="Barlow Semi Condensed"/>
          <w:sz w:val="24"/>
          <w:szCs w:val="24"/>
        </w:rPr>
        <w:t xml:space="preserve">riguarda il caso Moro ma il modo in cui se ne discute.</w:t>
      </w:r>
    </w:p>
    <w:p>
      <w:pPr>
        <w:spacing w:after="120" w:line="276"/>
        <w:jc w:val="both"/>
      </w:pPr>
      <w:r>
        <w:rPr>
          <w:rFonts w:ascii="Barlow Semi Condensed" w:cs="Barlow Semi Condensed" w:eastAsia="Barlow Semi Condensed" w:hAnsi="Barlow Semi Condensed"/>
          <w:sz w:val="24"/>
          <w:szCs w:val="24"/>
        </w:rPr>
        <w:t xml:space="preserve">**In ciascuna delle tre, la maggioranza delle evidenze più citate ha diagnosticità</w:t>
      </w:r>
    </w:p>
    <w:p>
      <w:pPr>
        <w:spacing w:after="120" w:line="276"/>
        <w:jc w:val="both"/>
      </w:pPr>
      <w:r>
        <w:rPr>
          <w:rFonts w:ascii="Barlow Semi Condensed" w:cs="Barlow Semi Condensed" w:eastAsia="Barlow Semi Condensed" w:hAnsi="Barlow Semi Condensed"/>
          <w:sz w:val="24"/>
          <w:szCs w:val="24"/>
        </w:rPr>
        <w:t xml:space="preserve">nulla.** Cinque su undici a via Fani, tre su undici sulla custodia, sei su nove</w:t>
      </w:r>
    </w:p>
    <w:p>
      <w:pPr>
        <w:spacing w:after="120" w:line="276"/>
        <w:jc w:val="both"/>
      </w:pPr>
      <w:r>
        <w:rPr>
          <w:rFonts w:ascii="Barlow Semi Condensed" w:cs="Barlow Semi Condensed" w:eastAsia="Barlow Semi Condensed" w:hAnsi="Barlow Semi Condensed"/>
          <w:sz w:val="24"/>
          <w:szCs w:val="24"/>
        </w:rPr>
        <w:t xml:space="preserve">qui — conteggi rifatti a macchina sulle tavole, non a memoria. Sono fatti veri, spesso di rango alto, che **non distinguono fra le ipotesi</w:t>
      </w:r>
    </w:p>
    <w:p>
      <w:pPr>
        <w:spacing w:after="120" w:line="276"/>
        <w:jc w:val="both"/>
      </w:pPr>
      <w:r>
        <w:rPr>
          <w:rFonts w:ascii="Barlow Semi Condensed" w:cs="Barlow Semi Condensed" w:eastAsia="Barlow Semi Condensed" w:hAnsi="Barlow Semi Condensed"/>
          <w:sz w:val="24"/>
          <w:szCs w:val="24"/>
        </w:rPr>
        <w:t xml:space="preserve">in campo** — e che quarantotto anni di dibattito hanno adoperato come se lo</w:t>
      </w:r>
    </w:p>
    <w:p>
      <w:pPr>
        <w:spacing w:after="120" w:line="276"/>
        <w:jc w:val="both"/>
      </w:pPr>
      <w:r>
        <w:rPr>
          <w:rFonts w:ascii="Barlow Semi Condensed" w:cs="Barlow Semi Condensed" w:eastAsia="Barlow Semi Condensed" w:hAnsi="Barlow Semi Condensed"/>
          <w:sz w:val="24"/>
          <w:szCs w:val="24"/>
        </w:rPr>
        <w:t xml:space="preserve">facessero, da entrambe le parti, con eguale convinzione.</w:t>
      </w:r>
    </w:p>
    <w:p>
      <w:pPr>
        <w:spacing w:after="120" w:line="276"/>
        <w:jc w:val="both"/>
      </w:pPr>
      <w:r>
        <w:rPr>
          <w:rFonts w:ascii="Barlow Semi Condensed" w:cs="Barlow Semi Condensed" w:eastAsia="Barlow Semi Condensed" w:hAnsi="Barlow Semi Condensed"/>
          <w:sz w:val="24"/>
          <w:szCs w:val="24"/>
        </w:rPr>
        <w:t xml:space="preserve">Ciò che discrimina è ogni volta poco, tecnico, e quasi sempre </w:t>
      </w:r>
      <w:r>
        <w:rPr>
          <w:rFonts w:ascii="Barlow Semi Condensed" w:cs="Barlow Semi Condensed" w:eastAsia="Barlow Semi Condensed" w:hAnsi="Barlow Semi Condensed"/>
          <w:b/>
          <w:bCs/>
          <w:sz w:val="24"/>
          <w:szCs w:val="24"/>
        </w:rPr>
        <w:t xml:space="preserve">ancora da leggere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una stratigrafia, un caricatore mai comparato, un registro di protocolli mai</w:t>
      </w:r>
    </w:p>
    <w:p>
      <w:pPr>
        <w:spacing w:after="120" w:line="276"/>
        <w:jc w:val="both"/>
      </w:pPr>
      <w:r>
        <w:rPr>
          <w:rFonts w:ascii="Barlow Semi Condensed" w:cs="Barlow Semi Condensed" w:eastAsia="Barlow Semi Condensed" w:hAnsi="Barlow Semi Condensed"/>
          <w:sz w:val="24"/>
          <w:szCs w:val="24"/>
        </w:rPr>
        <w:t xml:space="preserve">spogliato. Nessuno dei tre è una rivelazione. Tutti e tre sono atti.</w:t>
      </w:r>
    </w:p>
    <w:p>
      <w:pPr>
        <w:spacing w:after="120" w:line="276"/>
        <w:jc w:val="both"/>
      </w:pPr>
      <w:r>
        <w:rPr>
          <w:rFonts w:ascii="Barlow Semi Condensed" w:cs="Barlow Semi Condensed" w:eastAsia="Barlow Semi Condensed" w:hAnsi="Barlow Semi Condensed"/>
          <w:sz w:val="24"/>
          <w:szCs w:val="24"/>
        </w:rPr>
        <w:t xml:space="preserve">È la conclusione meno appagante possibile, ed è l'unica che le tavole sostengano:</w:t>
      </w:r>
    </w:p>
    <w:p>
      <w:pPr>
        <w:spacing w:after="120" w:line="276"/>
        <w:jc w:val="both"/>
      </w:pPr>
      <w:r>
        <w:rPr>
          <w:rFonts w:ascii="Barlow Semi Condensed" w:cs="Barlow Semi Condensed" w:eastAsia="Barlow Semi Condensed" w:hAnsi="Barlow Semi Condensed"/>
          <w:sz w:val="24"/>
          <w:szCs w:val="24"/>
        </w:rPr>
        <w:t xml:space="preserve">**il caso Moro non ha bisogno di essere interpretato meglio. Ha bisogno che</w:t>
      </w:r>
    </w:p>
    <w:p>
      <w:pPr>
        <w:spacing w:after="120" w:line="276"/>
        <w:jc w:val="both"/>
      </w:pPr>
      <w:r>
        <w:rPr>
          <w:rFonts w:ascii="Barlow Semi Condensed" w:cs="Barlow Semi Condensed" w:eastAsia="Barlow Semi Condensed" w:hAnsi="Barlow Semi Condensed"/>
          <w:sz w:val="24"/>
          <w:szCs w:val="24"/>
        </w:rPr>
        <w:t xml:space="preserve">qualcuno legga tre cose che sono lì.**</w:t>
      </w:r>
    </w:p>
    <w:p>
      <w:pPr>
        <w:pStyle w:val="Heading3"/>
        <w:spacing w:after="80" w:before="240"/>
      </w:pPr>
      <w:r>
        <w:rPr>
          <w:rFonts w:ascii="Barlow Semi Condensed" w:cs="Barlow Semi Condensed" w:eastAsia="Barlow Semi Condensed" w:hAnsi="Barlow Semi Condensed"/>
          <w:sz w:val="24"/>
          <w:szCs w:val="24"/>
        </w:rPr>
        <w:t xml:space="preserve">Apparato grafico — Libro sedicesimo · La matrice delle omissioni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V: 1.951 parole in 9 sezioni; la più ampia è §2 II. Le evidenze, con 369.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Libro sedicesimo · V: 38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 L'apparato dei gradi (indice analitico)</w:t>
      </w:r>
    </w:p>
    <w:p>
      <w:pPr>
        <w:pStyle w:val="Heading2"/>
        <w:spacing w:after="100" w:before="200"/>
      </w:pPr>
      <w:r>
        <w:rPr>
          <w:rFonts w:ascii="Barlow Semi Condensed" w:cs="Barlow Semi Condensed" w:eastAsia="Barlow Semi Condensed" w:hAnsi="Barlow Semi Condensed"/>
          <w:sz w:val="24"/>
          <w:szCs w:val="24"/>
        </w:rPr>
        <w:t xml:space="preserve">Apparato dei gradi — indice analitico dell'edizione in cinquanta capitoli</w:t>
      </w:r>
    </w:p>
    <w:p>
      <w:pPr>
        <w:spacing w:after="120" w:line="276"/>
        <w:jc w:val="both"/>
      </w:pPr>
      <w:r>
        <w:rPr>
          <w:rFonts w:ascii="Barlow Semi Condensed" w:cs="Barlow Semi Condensed" w:eastAsia="Barlow Semi Condensed" w:hAnsi="Barlow Semi Condensed"/>
          <w:i/>
          <w:iCs/>
          <w:sz w:val="24"/>
          <w:szCs w:val="24"/>
        </w:rPr>
        <w:t xml:space="preserve">Continuazione — 24 agosto 2026 · Complemento alla Fase sesta (capitolo cinquantaquattresimo: la mappa dei gradi)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Che cos'è questo apparato.</w:t>
      </w:r>
      <w:r>
        <w:rPr>
          <w:rFonts w:ascii="Barlow Semi Condensed" w:cs="Barlow Semi Condensed" w:eastAsia="Barlow Semi Condensed" w:hAnsi="Barlow Semi Condensed"/>
          <w:i w:val="false"/>
          <w:iCs w:val="false"/>
          <w:sz w:val="24"/>
          <w:szCs w:val="24"/>
        </w:rPr>
        <w:t xml:space="preserve"> La quarta disciplina dell'opera — la tracciabilità — chiede che ogni affermazione dichiari il proprio grado, così che il lettore possa rifare il cammino. Questo apparato assolve la promessa capitolo per capitolo: per ciascuno dei cinquanta capitoli registra </w:t>
      </w:r>
      <w:r>
        <w:rPr>
          <w:rFonts w:ascii="Barlow Semi Condensed" w:cs="Barlow Semi Condensed" w:eastAsia="Barlow Semi Condensed" w:hAnsi="Barlow Semi Condensed"/>
          <w:b/>
          <w:bCs/>
          <w:i w:val="false"/>
          <w:iCs w:val="false"/>
          <w:sz w:val="24"/>
          <w:szCs w:val="24"/>
        </w:rPr>
        <w:t xml:space="preserve">l'asserzione portante</w:t>
      </w:r>
      <w:r>
        <w:rPr>
          <w:rFonts w:ascii="Barlow Semi Condensed" w:cs="Barlow Semi Condensed" w:eastAsia="Barlow Semi Condensed" w:hAnsi="Barlow Semi Condensed"/>
          <w:i w:val="false"/>
          <w:iCs w:val="false"/>
          <w:sz w:val="24"/>
          <w:szCs w:val="24"/>
        </w:rPr>
        <w:t xml:space="preserve">, il </w:t>
      </w:r>
      <w:r>
        <w:rPr>
          <w:rFonts w:ascii="Barlow Semi Condensed" w:cs="Barlow Semi Condensed" w:eastAsia="Barlow Semi Condensed" w:hAnsi="Barlow Semi Condensed"/>
          <w:b/>
          <w:bCs/>
          <w:i w:val="false"/>
          <w:iCs w:val="false"/>
          <w:sz w:val="24"/>
          <w:szCs w:val="24"/>
        </w:rPr>
        <w:t xml:space="preserve">grado prevalente</w:t>
      </w:r>
      <w:r>
        <w:rPr>
          <w:rFonts w:ascii="Barlow Semi Condensed" w:cs="Barlow Semi Condensed" w:eastAsia="Barlow Semi Condensed" w:hAnsi="Barlow Semi Condensed"/>
          <w:i w:val="false"/>
          <w:iCs w:val="false"/>
          <w:sz w:val="24"/>
          <w:szCs w:val="24"/>
        </w:rPr>
        <w:t xml:space="preserve"> (A accertato · B probabile · C possibile · Ø Stato Zero · M capitolo di metodo, senza grado fattuale) e — la domanda del Pollo di Popper — </w:t>
      </w:r>
      <w:r>
        <w:rPr>
          <w:rFonts w:ascii="Barlow Semi Condensed" w:cs="Barlow Semi Condensed" w:eastAsia="Barlow Semi Condensed" w:hAnsi="Barlow Semi Condensed"/>
          <w:b/>
          <w:bCs/>
          <w:i w:val="false"/>
          <w:iCs w:val="false"/>
          <w:sz w:val="24"/>
          <w:szCs w:val="24"/>
        </w:rPr>
        <w:t xml:space="preserve">che cosa lo smentirebbe</w:t>
      </w:r>
      <w:r>
        <w:rPr>
          <w:rFonts w:ascii="Barlow Semi Condensed" w:cs="Barlow Semi Condensed" w:eastAsia="Barlow Semi Condensed" w:hAnsi="Barlow Semi Condensed"/>
          <w:i w:val="false"/>
          <w:iCs w:val="false"/>
          <w:sz w:val="24"/>
          <w:szCs w:val="24"/>
        </w:rPr>
        <w:t xml:space="preserve">.  Non riproduce il testo dell'opera; ne è l'indice critico. Non nomina alcuna persona come responsabile di reato oltre il giudicato definitivo. Dove l'opera, nella Fase quinta, ordina nomi per probabilità, l'apparato </w:t>
      </w:r>
      <w:r>
        <w:rPr>
          <w:rFonts w:ascii="Barlow Semi Condensed" w:cs="Barlow Semi Condensed" w:eastAsia="Barlow Semi Condensed" w:hAnsi="Barlow Semi Condensed"/>
          <w:b/>
          <w:bCs/>
          <w:i w:val="false"/>
          <w:iCs w:val="false"/>
          <w:sz w:val="24"/>
          <w:szCs w:val="24"/>
        </w:rPr>
        <w:t xml:space="preserve">non segue l'ordine e non riporta i nomi</w:t>
      </w:r>
      <w:r>
        <w:rPr>
          <w:rFonts w:ascii="Barlow Semi Condensed" w:cs="Barlow Semi Condensed" w:eastAsia="Barlow Semi Condensed" w:hAnsi="Barlow Semi Condensed"/>
          <w:i w:val="false"/>
          <w:iCs w:val="false"/>
          <w:sz w:val="24"/>
          <w:szCs w:val="24"/>
        </w:rPr>
        <w:t xml:space="preserve">: registra soltanto che quell'intera fase opera, per dichiarazione della stessa opera, allo stato del possibile, con una base accertata limitata a ciò che le sentenze definitive hanno stabilito.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Fase prima — Il metodo e l'uomo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Cap.</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Asserzione portante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lo smentirebbe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Statuto dell'opera: natura AI dichiarata; quattro discipline (grado, assenze, persone viventi, tracciabilità); divieto di imputare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(è patto di lettura, non asserzione sul mondo)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Pollo di Popper e l'immunizzazione delle ipotesi; i due vizi speculari (dietrologia totalizzante / riduzionismo assolutorio)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sinaptogenesi come protocollo: nodi, connessioni, centralità; ricerca per cerchi concentrici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Lo standard a tre livelli (A/B/C)</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Nascita a Maglie (23/9/1916), famiglia, formazione cattolica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Anagrafe e biografia documentata di segno contrario (non esistente)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Presidenza FUCI (1939); la generazione dei costruttori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associativi di segno contrario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costituente nella prima Sottocommissione dei 75; il ministro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dell'Assemblea Costituente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Segretario DC dal 1959; l'apertura a sinistra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del Consiglio nazionale DC</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matrice giuridica del pensiero politico moroteo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(biografia) / interpretazione dichiarata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Contraddizione documentale nel corpus degli scritti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Lo stile e la lingua come forma del pensiero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su fatti / lettura d'autore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(lettura dichiarata)</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Fase seconda — Il perché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Cap.</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Asserzione portante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lo smentirebbe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Quadro internazionale: l'esposizione di Moro nell'Italia della Guerra Fredda (PCI più forte d'Occidente)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come contesto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Documenti che escludano l'ostilità internazionale (non trovati)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L'anomalia italiana e l'eurocomunismo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contesto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nemici del primo tempo dell'inclusione (l'apertura ai socialisti)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contesto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solidarietà nazionale come capolavoro tattico e rischio strategico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su fatti / valutazione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Gli avvertimenti attorno al «tessitore»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l'esistenza di contrarietà; </w:t>
            </w: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un mandato che ne discenda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Un documento che leghi un avvertimento a una direttiva esecutiva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Politica mediterranea e «lodo Moro»: il nodo multistrato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la politica; </w:t>
            </w:r>
            <w:r>
              <w:rPr>
                <w:rFonts w:ascii="Barlow Semi Condensed" w:cs="Barlow Semi Condensed" w:eastAsia="Barlow Semi Condensed" w:hAnsi="Barlow Semi Condensed"/>
                <w:b/>
                <w:bCs/>
                <w:sz w:val="20"/>
                <w:szCs w:val="20"/>
              </w:rPr>
              <w:t xml:space="preserve">B/C</w:t>
            </w:r>
            <w:r>
              <w:rPr>
                <w:rFonts w:ascii="Barlow Semi Condensed" w:cs="Barlow Semi Condensed" w:eastAsia="Barlow Semi Condensed" w:hAnsi="Barlow Semi Condensed"/>
                <w:sz w:val="20"/>
                <w:szCs w:val="20"/>
              </w:rPr>
              <w:t xml:space="preserve"> le ipotesi che vi si radicano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riservati sui canali mediorientali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dieci domini che si intrecciano nel caso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r>
              <w:rPr>
                <w:rFonts w:ascii="Barlow Semi Condensed" w:cs="Barlow Semi Condensed" w:eastAsia="Barlow Semi Condensed" w:hAnsi="Barlow Semi Condensed"/>
                <w:sz w:val="20"/>
                <w:szCs w:val="20"/>
              </w:rPr>
              <w:t xml:space="preserve"> (mappa)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18</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Autonomia accertata delle Brigate Rosse</w:t>
            </w:r>
            <w:r>
              <w:rPr>
                <w:rFonts w:ascii="Barlow Semi Condensed" w:cs="Barlow Semi Condensed" w:eastAsia="Barlow Semi Condensed" w:hAnsi="Barlow Semi Condensed"/>
                <w:sz w:val="20"/>
                <w:szCs w:val="20"/>
              </w:rPr>
              <w:t xml:space="preserve"> come organizzazione armata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Un documento coevo, esterno, autenticato, che provi l'eterodirezione (cercato, non trovato)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19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vigilia: il 1977-78, tutti i fili si tendono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contesto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«Perché Moro»: la scelta del bersaglio nella logica dichiarata delle BR</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(logica rivendicata)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Documento che attribuisca la scelta ad altra volontà</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Fase terza — Il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Cap.</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Asserzione portante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lo smentirebbe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mattina del 16 marzo 1978</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Cronologia documentale di segno contrario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meccanica dell'agguato di via Fani; la scelta del giorno (fiducia al governo con appoggio PCI)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l'agguato e la data; </w:t>
            </w:r>
            <w:r>
              <w:rPr>
                <w:rFonts w:ascii="Barlow Semi Condensed" w:cs="Barlow Semi Condensed" w:eastAsia="Barlow Semi Condensed" w:hAnsi="Barlow Semi Condensed"/>
                <w:b/>
                <w:bCs/>
                <w:sz w:val="20"/>
                <w:szCs w:val="20"/>
              </w:rPr>
              <w:t xml:space="preserve">B/C</w:t>
            </w:r>
            <w:r>
              <w:rPr>
                <w:rFonts w:ascii="Barlow Semi Condensed" w:cs="Barlow Semi Condensed" w:eastAsia="Barlow Semi Condensed" w:hAnsi="Barlow Semi Condensed"/>
                <w:sz w:val="20"/>
                <w:szCs w:val="20"/>
              </w:rPr>
              <w:t xml:space="preserve"> la ricostruzione minuta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cinque della scorta: Leonardi, Ricci, Rivera, Zizzi, Iozzino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questioni aperte di via Fani (numero sparatori, moto Honda, anomalie balistiche)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B/C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Prova positiva di un tiratore non riconducibile alle BR</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prigionia; l'individuazione della prigione di via Montalcini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Prova documentale di prigione diversa (non trovata)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lettere dalla prigionia: registro politico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(esistenza e testo) / lettura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lettere: registro umano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(esistenza e testo) / lettura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memoriale e la sua sorte</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i fatti; </w:t>
            </w:r>
            <w:r>
              <w:rPr>
                <w:rFonts w:ascii="Barlow Semi Condensed" w:cs="Barlow Semi Condensed" w:eastAsia="Barlow Semi Condensed" w:hAnsi="Barlow Semi Condensed"/>
                <w:b/>
                <w:bCs/>
                <w:sz w:val="20"/>
                <w:szCs w:val="20"/>
              </w:rPr>
              <w:t xml:space="preserve">B</w:t>
            </w:r>
            <w:r>
              <w:rPr>
                <w:rFonts w:ascii="Barlow Semi Condensed" w:cs="Barlow Semi Condensed" w:eastAsia="Barlow Semi Condensed" w:hAnsi="Barlow Semi Condensed"/>
                <w:sz w:val="20"/>
                <w:szCs w:val="20"/>
              </w:rPr>
              <w:t xml:space="preserve"> la manipolazione/incompletezza deliberata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Catena di custodia integrale delle carte di via Monte Nevoso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29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Fermezza contro trattativa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lo schieramento e la scelta; </w:t>
            </w: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l'esito contro-fattuale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(i contro-fattuali non sono falsificabili)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9 maggio, via Caetani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Fase quarta — Omissioni, collusioni, insabbiamenti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Cap.</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Asserzione portante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lo smentirebbe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macchina delle ricerche e il suo fallimento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i fatti; il </w:t>
            </w:r>
            <w:r>
              <w:rPr>
                <w:rFonts w:ascii="Barlow Semi Condensed" w:cs="Barlow Semi Condensed" w:eastAsia="Barlow Semi Condensed" w:hAnsi="Barlow Semi Condensed"/>
                <w:i/>
                <w:iCs/>
                <w:sz w:val="20"/>
                <w:szCs w:val="20"/>
              </w:rPr>
              <w:t xml:space="preserve">dolo</w:t>
            </w:r>
            <w:r>
              <w:rPr>
                <w:rFonts w:ascii="Barlow Semi Condensed" w:cs="Barlow Semi Condensed" w:eastAsia="Barlow Semi Condensed" w:hAnsi="Barlow Semi Condensed"/>
                <w:sz w:val="20"/>
                <w:szCs w:val="20"/>
              </w:rPr>
              <w:t xml:space="preserve"> delle singole falle resta </w:t>
            </w:r>
            <w:r>
              <w:rPr>
                <w:rFonts w:ascii="Barlow Semi Condensed" w:cs="Barlow Semi Condensed" w:eastAsia="Barlow Semi Condensed" w:hAnsi="Barlow Semi Condensed"/>
                <w:b/>
                <w:bCs/>
                <w:sz w:val="20"/>
                <w:szCs w:val="20"/>
              </w:rPr>
              <w:t xml:space="preserve">B/C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Documento che leghi una falla a una direttiva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Via Gradoli: fatti accertati; la «coincidenza» della seduta spiritica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i fatti; </w:t>
            </w: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la lettura non innocente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Documento che provi una fonte informata dietro il nome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falso comunicato n. 7 del lago della Duchessa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l'esistenza e la falsità del comunicato; </w:t>
            </w:r>
            <w:r>
              <w:rPr>
                <w:rFonts w:ascii="Barlow Semi Condensed" w:cs="Barlow Semi Condensed" w:eastAsia="Barlow Semi Condensed" w:hAnsi="Barlow Semi Condensed"/>
                <w:b/>
                <w:bCs/>
                <w:sz w:val="20"/>
                <w:szCs w:val="20"/>
              </w:rPr>
              <w:t xml:space="preserve">B/C</w:t>
            </w:r>
            <w:r>
              <w:rPr>
                <w:rFonts w:ascii="Barlow Semi Condensed" w:cs="Barlow Semi Condensed" w:eastAsia="Barlow Semi Condensed" w:hAnsi="Barlow Semi Condensed"/>
                <w:sz w:val="20"/>
                <w:szCs w:val="20"/>
              </w:rPr>
              <w:t xml:space="preserve"> la regia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che identifichino con prova gli autori del falso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comitati di crisi e le appartenenze occulte (P2) dei partecipanti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le appartenenze documentate; </w:t>
            </w:r>
            <w:r>
              <w:rPr>
                <w:rFonts w:ascii="Barlow Semi Condensed" w:cs="Barlow Semi Condensed" w:eastAsia="Barlow Semi Condensed" w:hAnsi="Barlow Semi Condensed"/>
                <w:b/>
                <w:bCs/>
                <w:sz w:val="20"/>
                <w:szCs w:val="20"/>
              </w:rPr>
              <w:t xml:space="preserve">B/C</w:t>
            </w:r>
            <w:r>
              <w:rPr>
                <w:rFonts w:ascii="Barlow Semi Condensed" w:cs="Barlow Semi Condensed" w:eastAsia="Barlow Semi Condensed" w:hAnsi="Barlow Semi Condensed"/>
                <w:sz w:val="20"/>
                <w:szCs w:val="20"/>
              </w:rPr>
              <w:t xml:space="preserve"> la loro incidenza sull'esito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Prova che una decisione sia stata piegata da un'appartenenza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omissioni: l'accertato distinto dall'ipotizzato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le omissioni accertate; </w:t>
            </w:r>
            <w:r>
              <w:rPr>
                <w:rFonts w:ascii="Barlow Semi Condensed" w:cs="Barlow Semi Condensed" w:eastAsia="Barlow Semi Condensed" w:hAnsi="Barlow Semi Condensed"/>
                <w:b/>
                <w:bCs/>
                <w:sz w:val="20"/>
                <w:szCs w:val="20"/>
              </w:rPr>
              <w:t xml:space="preserve">B</w:t>
            </w:r>
            <w:r>
              <w:rPr>
                <w:rFonts w:ascii="Barlow Semi Condensed" w:cs="Barlow Semi Condensed" w:eastAsia="Barlow Semi Condensed" w:hAnsi="Barlow Semi Condensed"/>
                <w:sz w:val="20"/>
                <w:szCs w:val="20"/>
              </w:rPr>
              <w:t xml:space="preserve"> le ipotizzate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Collusioni e insabbiamenti: la lunga coda della verità</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la sequenza di depistaggi accertati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Commissioni d'inchiesta e la non unanimità</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Atti parlamentari di segno contrario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Tipologia dei depistaggi e l'impunità delle ostruzioni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39</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Gli Stati Zero del caso: il perimetro negativo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Ø</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comparsa del documento oggi assente prometterebbe uno Stato Zero verso B/A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confine del metodo: dove il Pollo di Popper si arresta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Fase quinta — Architetti, mandanti, esecutori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dell'apparato, prevalente su ogni riga che segue.</w:t>
      </w:r>
      <w:r>
        <w:rPr>
          <w:rFonts w:ascii="Barlow Semi Condensed" w:cs="Barlow Semi Condensed" w:eastAsia="Barlow Semi Condensed" w:hAnsi="Barlow Semi Condensed"/>
          <w:i w:val="false"/>
          <w:iCs w:val="false"/>
          <w:sz w:val="24"/>
          <w:szCs w:val="24"/>
        </w:rPr>
        <w:t xml:space="preserve"> Dalla dichiarazione del capitolo quarantunesimo, questa fase </w:t>
      </w:r>
      <w:r>
        <w:rPr>
          <w:rFonts w:ascii="Barlow Semi Condensed" w:cs="Barlow Semi Condensed" w:eastAsia="Barlow Semi Condensed" w:hAnsi="Barlow Semi Condensed"/>
          <w:b/>
          <w:bCs/>
          <w:i w:val="false"/>
          <w:iCs w:val="false"/>
          <w:sz w:val="24"/>
          <w:szCs w:val="24"/>
        </w:rPr>
        <w:t xml:space="preserve">congeda la disciplina falsificazionista</w:t>
      </w:r>
      <w:r>
        <w:rPr>
          <w:rFonts w:ascii="Barlow Semi Condensed" w:cs="Barlow Semi Condensed" w:eastAsia="Barlow Semi Condensed" w:hAnsi="Barlow Semi Condensed"/>
          <w:i w:val="false"/>
          <w:iCs w:val="false"/>
          <w:sz w:val="24"/>
          <w:szCs w:val="24"/>
        </w:rPr>
        <w:t xml:space="preserve"> e passa alla probabilità ipotetica. L'apparato la registra perciò, nella sua parte propria (l'ordinamento per probabilità), al </w:t>
      </w:r>
      <w:r>
        <w:rPr>
          <w:rFonts w:ascii="Barlow Semi Condensed" w:cs="Barlow Semi Condensed" w:eastAsia="Barlow Semi Condensed" w:hAnsi="Barlow Semi Condensed"/>
          <w:b/>
          <w:bCs/>
          <w:i w:val="false"/>
          <w:iCs w:val="false"/>
          <w:sz w:val="24"/>
          <w:szCs w:val="24"/>
        </w:rPr>
        <w:t xml:space="preserve">Livello C</w:t>
      </w:r>
      <w:r>
        <w:rPr>
          <w:rFonts w:ascii="Barlow Semi Condensed" w:cs="Barlow Semi Condensed" w:eastAsia="Barlow Semi Condensed" w:hAnsi="Barlow Semi Condensed"/>
          <w:i w:val="false"/>
          <w:iCs w:val="false"/>
          <w:sz w:val="24"/>
          <w:szCs w:val="24"/>
        </w:rPr>
        <w:t xml:space="preserve">: è congettura ordinata, non accertamento. Fanno eccezione, e restano al </w:t>
      </w:r>
      <w:r>
        <w:rPr>
          <w:rFonts w:ascii="Barlow Semi Condensed" w:cs="Barlow Semi Condensed" w:eastAsia="Barlow Semi Condensed" w:hAnsi="Barlow Semi Condensed"/>
          <w:b/>
          <w:bCs/>
          <w:i w:val="false"/>
          <w:iCs w:val="false"/>
          <w:sz w:val="24"/>
          <w:szCs w:val="24"/>
        </w:rPr>
        <w:t xml:space="preserve">Livello A</w:t>
      </w:r>
      <w:r>
        <w:rPr>
          <w:rFonts w:ascii="Barlow Semi Condensed" w:cs="Barlow Semi Condensed" w:eastAsia="Barlow Semi Condensed" w:hAnsi="Barlow Semi Condensed"/>
          <w:i w:val="false"/>
          <w:iCs w:val="false"/>
          <w:sz w:val="24"/>
          <w:szCs w:val="24"/>
        </w:rPr>
        <w:t xml:space="preserve">, i soli elementi che poggiano su </w:t>
      </w:r>
      <w:r>
        <w:rPr>
          <w:rFonts w:ascii="Barlow Semi Condensed" w:cs="Barlow Semi Condensed" w:eastAsia="Barlow Semi Condensed" w:hAnsi="Barlow Semi Condensed"/>
          <w:b/>
          <w:bCs/>
          <w:i w:val="false"/>
          <w:iCs w:val="false"/>
          <w:sz w:val="24"/>
          <w:szCs w:val="24"/>
        </w:rPr>
        <w:t xml:space="preserve">sentenze definitive</w:t>
      </w:r>
      <w:r>
        <w:rPr>
          <w:rFonts w:ascii="Barlow Semi Condensed" w:cs="Barlow Semi Condensed" w:eastAsia="Barlow Semi Condensed" w:hAnsi="Barlow Semi Condensed"/>
          <w:i w:val="false"/>
          <w:iCs w:val="false"/>
          <w:sz w:val="24"/>
          <w:szCs w:val="24"/>
        </w:rPr>
        <w:t xml:space="preserve"> — l'identità degli esecutori e del vertice brigatista già giudicati. L'apparato </w:t>
      </w:r>
      <w:r>
        <w:rPr>
          <w:rFonts w:ascii="Barlow Semi Condensed" w:cs="Barlow Semi Condensed" w:eastAsia="Barlow Semi Condensed" w:hAnsi="Barlow Semi Condensed"/>
          <w:b/>
          <w:bCs/>
          <w:i w:val="false"/>
          <w:iCs w:val="false"/>
          <w:sz w:val="24"/>
          <w:szCs w:val="24"/>
        </w:rPr>
        <w:t xml:space="preserve">non riproduce la graduatoria e non ordina nomi</w:t>
      </w:r>
      <w:r>
        <w:rPr>
          <w:rFonts w:ascii="Barlow Semi Condensed" w:cs="Barlow Semi Condensed" w:eastAsia="Barlow Semi Condensed" w:hAnsi="Barlow Semi Condensed"/>
          <w:i w:val="false"/>
          <w:iCs w:val="false"/>
          <w:sz w:val="24"/>
          <w:szCs w:val="24"/>
        </w:rPr>
        <w:t xml:space="preserve">: registra i gradi, non i sospetti.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Cap.</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Asserzione portante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lo smentirebbe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mutamento di metodo: dalla sospensione alla probabilità</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r>
              <w:rPr>
                <w:rFonts w:ascii="Barlow Semi Condensed" w:cs="Barlow Semi Condensed" w:eastAsia="Barlow Semi Condensed" w:hAnsi="Barlow Semi Condensed"/>
                <w:sz w:val="20"/>
                <w:szCs w:val="20"/>
              </w:rPr>
              <w:t xml:space="preserve"> (dichiarazione)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dieci strumenti di calcolo e il loro concorso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Avvertimento sul tono; il debito col registro dell'enigma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Gli esecutori materiali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limitatamente ai giudicati in via definitiva</w:t>
            </w:r>
            <w:r>
              <w:rPr>
                <w:rFonts w:ascii="Barlow Semi Condensed" w:cs="Barlow Semi Condensed" w:eastAsia="Barlow Semi Condensed" w:hAnsi="Barlow Semi Condensed"/>
                <w:sz w:val="20"/>
                <w:szCs w:val="20"/>
              </w:rPr>
              <w:t xml:space="preserve">; ogni estensione oltre il giudicato è </w:t>
            </w:r>
            <w:r>
              <w:rPr>
                <w:rFonts w:ascii="Barlow Semi Condensed" w:cs="Barlow Semi Condensed" w:eastAsia="Barlow Semi Condensed" w:hAnsi="Barlow Semi Condensed"/>
                <w:b/>
                <w:bCs/>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Revisione giudiziaria; per le estensioni, un documento oggi assente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 mandanti materiali (il vertice brigatista)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per il comitato esecutivo BR giudicato</w:t>
            </w:r>
            <w:r>
              <w:rPr>
                <w:rFonts w:ascii="Barlow Semi Condensed" w:cs="Barlow Semi Condensed" w:eastAsia="Barlow Semi Condensed" w:hAnsi="Barlow Semi Condensed"/>
                <w:sz w:val="20"/>
                <w:szCs w:val="20"/>
              </w:rPr>
              <w:t xml:space="preserve">; oltre, </w:t>
            </w:r>
            <w:r>
              <w:rPr>
                <w:rFonts w:ascii="Barlow Semi Condensed" w:cs="Barlow Semi Condensed" w:eastAsia="Barlow Semi Condensed" w:hAnsi="Barlow Semi Condensed"/>
                <w:b/>
                <w:bCs/>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Idem</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Gli architetti del disegno; la capacità progettuale autonoma delle BR</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l'autonomia progettuale; </w:t>
            </w: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ogni «architetto» esterno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Documento di eterodirezione (Stato Zero, cfr. cap. 39)</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sintesi probabilistica dei tre piani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A</w:t>
            </w:r>
            <w:r>
              <w:rPr>
                <w:rFonts w:ascii="Barlow Semi Condensed" w:cs="Barlow Semi Condensed" w:eastAsia="Barlow Semi Condensed" w:hAnsi="Barlow Semi Condensed"/>
                <w:sz w:val="20"/>
                <w:szCs w:val="20"/>
              </w:rPr>
              <w:t xml:space="preserve"> il nucleo (BR idearono, ordinarono, eseguirono); </w:t>
            </w: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l'ordinamento probabilistico ulteriore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graduatoria secondo i dieci metodi, con premessa garantista</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C</w:t>
            </w:r>
            <w:r>
              <w:rPr>
                <w:rFonts w:ascii="Barlow Semi Condensed" w:cs="Barlow Semi Condensed" w:eastAsia="Barlow Semi Condensed" w:hAnsi="Barlow Semi Condensed"/>
                <w:sz w:val="20"/>
                <w:szCs w:val="20"/>
              </w:rPr>
              <w:t xml:space="preserve"> (per intero)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Non falsificabile come classifica; solo i singoli fatti sottostanti hanno grado proprio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49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peso dei metodi e l'emersione dei tre piani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C</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50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Congedo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M</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Lettura d'insieme dell'apparato</w:t>
      </w:r>
    </w:p>
    <w:p>
      <w:pPr>
        <w:spacing w:after="120" w:line="276"/>
        <w:jc w:val="both"/>
      </w:pPr>
      <w:r>
        <w:rPr>
          <w:rFonts w:ascii="Barlow Semi Condensed" w:cs="Barlow Semi Condensed" w:eastAsia="Barlow Semi Condensed" w:hAnsi="Barlow Semi Condensed"/>
          <w:sz w:val="24"/>
          <w:szCs w:val="24"/>
        </w:rPr>
        <w:t xml:space="preserve">Disposti i cinquanta capitoli sulla scala dei gradi, la fisionomia dell'opera emerge con nettezza, e conferma il patto che essa dichiara: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stragrande maggioranza del corpo dell'opera — le Fasi prima, seconda, terza e quarta — poggia sul Livello A</w:t>
      </w:r>
      <w:r>
        <w:rPr>
          <w:rFonts w:ascii="Barlow Semi Condensed" w:cs="Barlow Semi Condensed" w:eastAsia="Barlow Semi Condensed" w:hAnsi="Barlow Semi Condensed"/>
          <w:sz w:val="24"/>
          <w:szCs w:val="24"/>
        </w:rPr>
        <w:t xml:space="preserve">: la biografia, il contesto, la meccanica del caso, i cinque della scorta, la prigionia, le lettere, il 9 maggio, le omissioni e i depistaggi accertati. Su tutto questo l'opera </w:t>
      </w:r>
      <w:r>
        <w:rPr>
          <w:rFonts w:ascii="Barlow Semi Condensed" w:cs="Barlow Semi Condensed" w:eastAsia="Barlow Semi Condensed" w:hAnsi="Barlow Semi Condensed"/>
          <w:i/>
          <w:iCs/>
          <w:sz w:val="24"/>
          <w:szCs w:val="24"/>
        </w:rPr>
        <w:t xml:space="preserve">certifica</w:t>
      </w:r>
      <w:r>
        <w:rPr>
          <w:rFonts w:ascii="Barlow Semi Condensed" w:cs="Barlow Semi Condensed" w:eastAsia="Barlow Semi Condensed" w:hAnsi="Barlow Semi Condensed"/>
          <w:sz w:val="24"/>
          <w:szCs w:val="24"/>
        </w:rPr>
        <w:t xml:space="preserve">, e l'apparato lo conferma.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nucleo accertato è uno e non si sposta</w:t>
      </w:r>
      <w:r>
        <w:rPr>
          <w:rFonts w:ascii="Barlow Semi Condensed" w:cs="Barlow Semi Condensed" w:eastAsia="Barlow Semi Condensed" w:hAnsi="Barlow Semi Condensed"/>
          <w:sz w:val="24"/>
          <w:szCs w:val="24"/>
        </w:rPr>
        <w:t xml:space="preserve">: il sequestro e l'omicidio di Aldo Moro furono ideati, ordinati ed eseguiti dalle Brigate Rosse (Livello A, cinque processi). Ogni capitolo, anche quello che naviga il possibile, torna a questo scoglio.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Le zone del dubbio e del possibile sono nominate, non nascoste</w:t>
      </w:r>
      <w:r>
        <w:rPr>
          <w:rFonts w:ascii="Barlow Semi Condensed" w:cs="Barlow Semi Condensed" w:eastAsia="Barlow Semi Condensed" w:hAnsi="Barlow Semi Condensed"/>
          <w:sz w:val="24"/>
          <w:szCs w:val="24"/>
        </w:rPr>
        <w:t xml:space="preserve"> (capp. 24, 28, 32, 33, 34): l'opera le grada, non le risolve per suggestione. È la disciplina delle assenze all'opera.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Gli Stati Zero sono dichiarati con pari dignità</w:t>
      </w:r>
      <w:r>
        <w:rPr>
          <w:rFonts w:ascii="Barlow Semi Condensed" w:cs="Barlow Semi Condensed" w:eastAsia="Barlow Semi Condensed" w:hAnsi="Barlow Semi Condensed"/>
          <w:sz w:val="24"/>
          <w:szCs w:val="24"/>
        </w:rPr>
        <w:t xml:space="preserve"> (cap. 39): ciò che è stato cercato e non trovato — su tutto, l'eterodirezione del sequestro — è conoscenza, non silenzio.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Fase quinta sta interamente al Livello C</w:t>
      </w:r>
      <w:r>
        <w:rPr>
          <w:rFonts w:ascii="Barlow Semi Condensed" w:cs="Barlow Semi Condensed" w:eastAsia="Barlow Semi Condensed" w:hAnsi="Barlow Semi Condensed"/>
          <w:sz w:val="24"/>
          <w:szCs w:val="24"/>
        </w:rPr>
        <w:t xml:space="preserve">, salvo la sua base giudiziaria: è, per costruzione e per dichiarazione, congettura ordinata. L'apparato la tiene a quel livello e non promuove di un solo grado i nomi che essa ordina.</w:t>
      </w:r>
    </w:p>
    <w:p>
      <w:pPr>
        <w:spacing w:after="120" w:line="276"/>
        <w:jc w:val="both"/>
      </w:pPr>
      <w:r>
        <w:rPr>
          <w:rFonts w:ascii="Barlow Semi Condensed" w:cs="Barlow Semi Condensed" w:eastAsia="Barlow Semi Condensed" w:hAnsi="Barlow Semi Condensed"/>
          <w:sz w:val="24"/>
          <w:szCs w:val="24"/>
        </w:rPr>
        <w:t xml:space="preserve">Questa è la mappa che la quarta disciplina prometteva. Non chiude il caso: dice, in ogni suo punto, su che cosa il lettore poggia i piedi. E dice, con la forza di un dato, la cosa che l'intera opera — nella sua parte migliore — vuole dire: che ciò che è provato sul caso Moro è grave e basta a sé, e che ciò che non è provato va tenuto aperto, non chiuso con un nome.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Apparato dei gradi dell'opera «Aldo Moro — Una guerra senza fine», edizione in cinquanta capitoli. Continuazione originale; non riproduce il testo dell'opera. Non nomina alcuna persona come responsabile di reato oltre il giudicato definitivo, e non riproduce la graduatoria della Fase quinta. I riscontri fattuali sono ancorati agli atti parlamentari, alle sentenze e alla documentazione pubblica. Per gli aspetti che toccano persone viventi vale la disciplina di riservatezza dell'apparato Italia Nera.</w:t>
      </w:r>
    </w:p>
    <w:p>
      <w:pPr>
        <w:pStyle w:val="Heading3"/>
        <w:spacing w:after="80" w:before="240"/>
      </w:pPr>
      <w:r>
        <w:rPr>
          <w:rFonts w:ascii="Barlow Semi Condensed" w:cs="Barlow Semi Condensed" w:eastAsia="Barlow Semi Condensed" w:hAnsi="Barlow Semi Condensed"/>
          <w:sz w:val="24"/>
          <w:szCs w:val="24"/>
        </w:rPr>
        <w:t xml:space="preserve">Apparato grafico — Appendici · L'apparato dei gradi (indice analitico)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 1.822 parole in 7 sezioni; la più ampia è §7 Lettura d'insieme dell'apparato, con 366.</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 15 paragrafi in 7 sezioni, 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II. Relazione sui lavori in stile moroteo (pastiche dichiarato)</w:t>
      </w:r>
    </w:p>
    <w:p>
      <w:pPr>
        <w:pStyle w:val="Heading1"/>
        <w:spacing w:after="120" w:before="240"/>
      </w:pPr>
      <w:r>
        <w:rPr>
          <w:rFonts w:ascii="Barlow Semi Condensed" w:cs="Barlow Semi Condensed" w:eastAsia="Barlow Semi Condensed" w:hAnsi="Barlow Semi Condensed"/>
          <w:sz w:val="24"/>
          <w:szCs w:val="24"/>
        </w:rPr>
        <w:t xml:space="preserve">Relazione sullo stato dei lavori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Avvertenza.</w:t>
      </w:r>
      <w:r>
        <w:rPr>
          <w:rFonts w:ascii="Barlow Semi Condensed" w:cs="Barlow Semi Condensed" w:eastAsia="Barlow Semi Condensed" w:hAnsi="Barlow Semi Condensed"/>
          <w:i w:val="false"/>
          <w:iCs w:val="false"/>
          <w:sz w:val="24"/>
          <w:szCs w:val="24"/>
        </w:rPr>
        <w:t xml:space="preserve"> Il presente scritto è un esercizio di stile, redatto a imitazione della prosa parlata e scritta di Aldo Moro. Non è, né intende in alcun modo apparire, un testo di Aldo Moro: nulla di quanto segue gli è attribuibile, né come parola né come pensiero. L'imitazione riguarda la sola forma; la materia è il lavoro documentario svolto in questa sede.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Onorevoli amici,</w:t>
      </w:r>
    </w:p>
    <w:p>
      <w:pPr>
        <w:spacing w:after="120" w:line="276"/>
        <w:jc w:val="both"/>
      </w:pPr>
      <w:r>
        <w:rPr>
          <w:rFonts w:ascii="Barlow Semi Condensed" w:cs="Barlow Semi Condensed" w:eastAsia="Barlow Semi Condensed" w:hAnsi="Barlow Semi Condensed"/>
          <w:sz w:val="24"/>
          <w:szCs w:val="24"/>
        </w:rPr>
        <w:t xml:space="preserve">non è senza qualche esitazione che mi accingo a riferire dello stato dei nostri lavori, e ciò non perché essi non abbiano segnato — come io credo — un progresso apprezzabile, ma perché il progresso di cui si tratta è di quelli che si misurano, più che nell'accrescimento del materiale raccolto, in una più avvertita coscienza dei suoi limiti. E questa, converrete, è materia che mal si presta alle formulazioni recise.</w:t>
      </w:r>
    </w:p>
    <w:p>
      <w:pPr>
        <w:spacing w:after="120" w:line="276"/>
        <w:jc w:val="both"/>
      </w:pPr>
      <w:r>
        <w:rPr>
          <w:rFonts w:ascii="Barlow Semi Condensed" w:cs="Barlow Semi Condensed" w:eastAsia="Barlow Semi Condensed" w:hAnsi="Barlow Semi Condensed"/>
          <w:sz w:val="24"/>
          <w:szCs w:val="24"/>
        </w:rPr>
        <w:t xml:space="preserve">Vorrei muovere da ciò che è stato fatto, non senza avere premesso che il farlo non esaurisce, e per certi versi anzi apre, il discorso che ci sta davanti.</w:t>
      </w:r>
    </w:p>
    <w:p>
      <w:pPr>
        <w:pStyle w:val="Heading2"/>
        <w:spacing w:after="100" w:before="200"/>
      </w:pPr>
      <w:r>
        <w:rPr>
          <w:rFonts w:ascii="Barlow Semi Condensed" w:cs="Barlow Semi Condensed" w:eastAsia="Barlow Semi Condensed" w:hAnsi="Barlow Semi Condensed"/>
          <w:sz w:val="24"/>
          <w:szCs w:val="24"/>
        </w:rPr>
        <w:t xml:space="preserve">I. Del registro degli amnistiati</w:t>
      </w:r>
    </w:p>
    <w:p>
      <w:pPr>
        <w:spacing w:after="120" w:line="276"/>
        <w:jc w:val="both"/>
      </w:pPr>
      <w:r>
        <w:rPr>
          <w:rFonts w:ascii="Barlow Semi Condensed" w:cs="Barlow Semi Condensed" w:eastAsia="Barlow Semi Condensed" w:hAnsi="Barlow Semi Condensed"/>
          <w:sz w:val="24"/>
          <w:szCs w:val="24"/>
        </w:rPr>
        <w:t xml:space="preserve">Si era chiesto un elenco di quanti, condannati o comunque attinti dal Tribunale Speciale per la difesa dello Stato, ebbero poi a giovarsi dei provvedimenti di clemenza. L'elenco è stato compilato, e reca oggi una cinquantina di nomi, ciascuno accompagnato dal rinvio alla scheda d'origine.</w:t>
      </w:r>
    </w:p>
    <w:p>
      <w:pPr>
        <w:spacing w:after="120" w:line="276"/>
        <w:jc w:val="both"/>
      </w:pPr>
      <w:r>
        <w:rPr>
          <w:rFonts w:ascii="Barlow Semi Condensed" w:cs="Barlow Semi Condensed" w:eastAsia="Barlow Semi Condensed" w:hAnsi="Barlow Semi Condensed"/>
          <w:sz w:val="24"/>
          <w:szCs w:val="24"/>
        </w:rPr>
        <w:t xml:space="preserve">Sarebbe però un cattivo servizio alla verità il presentare tale elenco come cosa compiuta. La fonte cui si doveva attingere non è risultata raggiungibile per la via diretta, essendovisi frapposto un impedimento della rete che non era in nostro potere rimuovere; e si è dovuto perciò procedere per una via obliqua, interrogando i motori di ricerca sulle singole schede. Il risultato — e qui è necessaria una parola di chiarezza — è rappresentativo ma non esaustivo: ove si consideri che la sola amnistia del decennale restituì la libertà a seicentotrentanove dei millecinquantasei condannati dal Tribunale, si comprenderà come quanto abbiamo in mano sia un campione, e non un censimento. Ho ritenuto di doverlo dire, piuttosto che lasciare che il documento parlasse di sé più di quanto gli competa.</w:t>
      </w:r>
    </w:p>
    <w:p>
      <w:pPr>
        <w:pStyle w:val="Heading2"/>
        <w:spacing w:after="100" w:before="200"/>
      </w:pPr>
      <w:r>
        <w:rPr>
          <w:rFonts w:ascii="Barlow Semi Condensed" w:cs="Barlow Semi Condensed" w:eastAsia="Barlow Semi Condensed" w:hAnsi="Barlow Semi Condensed"/>
          <w:sz w:val="24"/>
          <w:szCs w:val="24"/>
        </w:rPr>
        <w:t xml:space="preserve">II. Del corpus guevariano e della sua verifica</w:t>
      </w:r>
    </w:p>
    <w:p>
      <w:pPr>
        <w:spacing w:after="120" w:line="276"/>
        <w:jc w:val="both"/>
      </w:pPr>
      <w:r>
        <w:rPr>
          <w:rFonts w:ascii="Barlow Semi Condensed" w:cs="Barlow Semi Condensed" w:eastAsia="Barlow Semi Condensed" w:hAnsi="Barlow Semi Condensed"/>
          <w:sz w:val="24"/>
          <w:szCs w:val="24"/>
        </w:rPr>
        <w:t xml:space="preserve">Ben più delicato è il capitolo che concerne i testi su Ernesto Guevara.</w:t>
      </w:r>
    </w:p>
    <w:p>
      <w:pPr>
        <w:spacing w:after="120" w:line="276"/>
        <w:jc w:val="both"/>
      </w:pPr>
      <w:r>
        <w:rPr>
          <w:rFonts w:ascii="Barlow Semi Condensed" w:cs="Barlow Semi Condensed" w:eastAsia="Barlow Semi Condensed" w:hAnsi="Barlow Semi Condensed"/>
          <w:sz w:val="24"/>
          <w:szCs w:val="24"/>
        </w:rPr>
        <w:t xml:space="preserve">Non pare dubbio che quei testi rechino, nel loro impianto, una sostanziale tenuta: la cronologia regge, gli snodi maggiori trovano riscontro, l'architettura è quella di chi conosce la materia. Ma appunto perché l'impianto regge, non era possibile tacere che alcune proposizioni si sono rivelate, ad un più attento riscontro, non pienamente sorrette dalle fonti.</w:t>
      </w:r>
    </w:p>
    <w:p>
      <w:pPr>
        <w:spacing w:after="120" w:line="276"/>
        <w:jc w:val="both"/>
      </w:pPr>
      <w:r>
        <w:rPr>
          <w:rFonts w:ascii="Barlow Semi Condensed" w:cs="Barlow Semi Condensed" w:eastAsia="Barlow Semi Condensed" w:hAnsi="Barlow Semi Condensed"/>
          <w:sz w:val="24"/>
          <w:szCs w:val="24"/>
        </w:rPr>
        <w:t xml:space="preserve">Dirò dei quattro punti che hanno richiesto emenda, e lo dirò senza reticenze, poiché la reticenza in queste cose non è prudenza ma danno. L'incontro riservato con Malcolm X non ebbe luogo: vi fu invito, vi fu rinuncia per ragioni di sicurezza, vi fu un messaggio letto in sala, il che è cosa diversa e, se posso permettermi, non meno significativa. L'impiego notturno presso il Fondo de Cultura Económica non ha trovato conferma alcuna, ed anzi vi si accompagna una probabile confusione di persona fra due Orfila che nulla ebbero in comune se non il cognome. L'età attribuita a Fidel Castro nell'incontro del luglio Cinquantacinque era quella di Guevara, e non la sua. La contemporanea titolarità del dicastero dell'industria e della presidenza della Banca Nazionale non poteva darsi nel Sessantaquattro, essendo la seconda cessata tre anni innanzi.</w:t>
      </w:r>
    </w:p>
    <w:p>
      <w:pPr>
        <w:spacing w:after="120" w:line="276"/>
        <w:jc w:val="both"/>
      </w:pPr>
      <w:r>
        <w:rPr>
          <w:rFonts w:ascii="Barlow Semi Condensed" w:cs="Barlow Semi Condensed" w:eastAsia="Barlow Semi Condensed" w:hAnsi="Barlow Semi Condensed"/>
          <w:sz w:val="24"/>
          <w:szCs w:val="24"/>
        </w:rPr>
        <w:t xml:space="preserve">A queste si sono aggiunte nove imprecisioni minori, per le quali si è preferito, ove il riscontro mancasse, non già l'espunzione ma l'attribuzione esplicita alla fonte che le reca: ché altro è tacere una notizia incerta, altro è dichiararne l'incertezza, e questa seconda via mi è parsa più rispettosa tanto del lettore quanto dell'autore.</w:t>
      </w:r>
    </w:p>
    <w:p>
      <w:pPr>
        <w:spacing w:after="120" w:line="276"/>
        <w:jc w:val="both"/>
      </w:pPr>
      <w:r>
        <w:rPr>
          <w:rFonts w:ascii="Barlow Semi Condensed" w:cs="Barlow Semi Condensed" w:eastAsia="Barlow Semi Condensed" w:hAnsi="Barlow Semi Condensed"/>
          <w:sz w:val="24"/>
          <w:szCs w:val="24"/>
        </w:rPr>
        <w:t xml:space="preserve">Ogni emenda è stata accompagnata da una nota che dichiara la lezione originaria, quella corretta e la ragione dell'intervento. Non si è voluto, in altri termini, che la correzione cancellasse la propria traccia.</w:t>
      </w:r>
    </w:p>
    <w:p>
      <w:pPr>
        <w:pStyle w:val="Heading2"/>
        <w:spacing w:after="100" w:before="200"/>
      </w:pPr>
      <w:r>
        <w:rPr>
          <w:rFonts w:ascii="Barlow Semi Condensed" w:cs="Barlow Semi Condensed" w:eastAsia="Barlow Semi Condensed" w:hAnsi="Barlow Semi Condensed"/>
          <w:sz w:val="24"/>
          <w:szCs w:val="24"/>
        </w:rPr>
        <w:t xml:space="preserve">III. Di un deposito e della prudenza che lo ha governato</w:t>
      </w:r>
    </w:p>
    <w:p>
      <w:pPr>
        <w:spacing w:after="120" w:line="276"/>
        <w:jc w:val="both"/>
      </w:pPr>
      <w:r>
        <w:rPr>
          <w:rFonts w:ascii="Barlow Semi Condensed" w:cs="Barlow Semi Condensed" w:eastAsia="Barlow Semi Condensed" w:hAnsi="Barlow Semi Condensed"/>
          <w:sz w:val="24"/>
          <w:szCs w:val="24"/>
        </w:rPr>
        <w:t xml:space="preserve">Devo infine riferire di un lotto documentario di ben altra natura e di ben altra delicatezza, pervenuto in questa sede e qui collazionato.</w:t>
      </w:r>
    </w:p>
    <w:p>
      <w:pPr>
        <w:spacing w:after="120" w:line="276"/>
        <w:jc w:val="both"/>
      </w:pPr>
      <w:r>
        <w:rPr>
          <w:rFonts w:ascii="Barlow Semi Condensed" w:cs="Barlow Semi Condensed" w:eastAsia="Barlow Semi Condensed" w:hAnsi="Barlow Semi Condensed"/>
          <w:sz w:val="24"/>
          <w:szCs w:val="24"/>
        </w:rPr>
        <w:t xml:space="preserve">Il lotto recava, per volontà del suo autore, l'avvertenza che nulla di quanto vi è contenuto sia pubblicabile o divulgabile prima della verifica su fonti primarie, trattandosi di attribuzioni allo stato non riscontrate e concernenti anche persone viventi. Ora, la sede in cui i nostri lavori si erano fin qui svolti è sede aperta, accessibile a chiunque; e il depositarvi quel materiale avrebbe significato compiere precisamente l'atto che l'avvertenza escludeva.</w:t>
      </w:r>
    </w:p>
    <w:p>
      <w:pPr>
        <w:spacing w:after="120" w:line="276"/>
        <w:jc w:val="both"/>
      </w:pPr>
      <w:r>
        <w:rPr>
          <w:rFonts w:ascii="Barlow Semi Condensed" w:cs="Barlow Semi Condensed" w:eastAsia="Barlow Semi Condensed" w:hAnsi="Barlow Semi Condensed"/>
          <w:sz w:val="24"/>
          <w:szCs w:val="24"/>
        </w:rPr>
        <w:t xml:space="preserve">Mi sono perciò fermato, e ho chiesto. Non era, credo, eccesso di scrupolo: vi sono atti che, una volta compiuti, non si lasciano più disfare, e la diffusione in rete di un'attribuzione non verificata riferita a persona vivente è tra questi. Il deposito è quindi avvenuto in sede riservata, secondo l'indicazione ricevuta, ed è coerente del resto con la disciplina che l'autore medesimo già osserva all'interno dell'opera, ove risultano esclusi dal corpo, per riguardo alle persone viventi, taluni materiali che pure erano in suo possesso.</w:t>
      </w:r>
    </w:p>
    <w:p>
      <w:pPr>
        <w:spacing w:after="120" w:line="276"/>
        <w:jc w:val="both"/>
      </w:pPr>
      <w:r>
        <w:rPr>
          <w:rFonts w:ascii="Barlow Semi Condensed" w:cs="Barlow Semi Condensed" w:eastAsia="Barlow Semi Condensed" w:hAnsi="Barlow Semi Condensed"/>
          <w:sz w:val="24"/>
          <w:szCs w:val="24"/>
        </w:rPr>
        <w:t xml:space="preserve">Quanto al lavoro tecnico, esso ha dato questi frutti: undici documenti ricondotti a cinque, essendo il resto duplicazione; la catena di custodia dichiarata dall'opera verificata nell'unico punto in cui la verifica era possibile, e trovata esatta; una struttura di titoli restituita a centosessantatremila parole che ne erano prive e che perciò non comparivano nell'indice, senza che una sola parola del testo fosse toccata.</w:t>
      </w:r>
    </w:p>
    <w:p>
      <w:pPr>
        <w:pStyle w:val="Heading2"/>
        <w:spacing w:after="100" w:before="200"/>
      </w:pPr>
      <w:r>
        <w:rPr>
          <w:rFonts w:ascii="Barlow Semi Condensed" w:cs="Barlow Semi Condensed" w:eastAsia="Barlow Semi Condensed" w:hAnsi="Barlow Semi Condensed"/>
          <w:sz w:val="24"/>
          <w:szCs w:val="24"/>
        </w:rPr>
        <w:t xml:space="preserve">IV. Di ciò che resta</w:t>
      </w:r>
    </w:p>
    <w:p>
      <w:pPr>
        <w:spacing w:after="120" w:line="276"/>
        <w:jc w:val="both"/>
      </w:pPr>
      <w:r>
        <w:rPr>
          <w:rFonts w:ascii="Barlow Semi Condensed" w:cs="Barlow Semi Condensed" w:eastAsia="Barlow Semi Condensed" w:hAnsi="Barlow Semi Condensed"/>
          <w:sz w:val="24"/>
          <w:szCs w:val="24"/>
        </w:rPr>
        <w:t xml:space="preserve">Resta aperto — e non vorrei che ciò suonasse come una diminuzione di quanto si è fatto — un triplice ordine di questioni: il completamento delle parti che nei testi guevariani si interrompono a mezzo; la sostituzione di taluni rinvii che, per la loro provenienza, non reggerebbero ad un uso accademico; e, nel lotto riservato, la ricomposizione di quei titoli che l'estrazione meccanica ha spezzato, operazione che tocca il testo e che perciò non ho ritenuto di intraprendere di mia iniziativa.</w:t>
      </w:r>
    </w:p>
    <w:p>
      <w:pPr>
        <w:spacing w:after="120" w:line="276"/>
        <w:jc w:val="both"/>
      </w:pPr>
      <w:r>
        <w:rPr>
          <w:rFonts w:ascii="Barlow Semi Condensed" w:cs="Barlow Semi Condensed" w:eastAsia="Barlow Semi Condensed" w:hAnsi="Barlow Semi Condensed"/>
          <w:sz w:val="24"/>
          <w:szCs w:val="24"/>
        </w:rPr>
        <w:t xml:space="preserve">Sono, come vedete, questioni di misura diversa. Le accomuna tuttavia un carattere: che nessuna di esse si risolve nell'accumulo, e tutte richiedono invece quella pazienza del riscontro che è, in definitiva, l'unica cosa che distingua un repertorio da un elenco.</w:t>
      </w:r>
    </w:p>
    <w:p>
      <w:pPr>
        <w:spacing w:after="120" w:line="276"/>
        <w:jc w:val="both"/>
      </w:pPr>
      <w:r>
        <w:rPr>
          <w:rFonts w:ascii="Barlow Semi Condensed" w:cs="Barlow Semi Condensed" w:eastAsia="Barlow Semi Condensed" w:hAnsi="Barlow Semi Condensed"/>
          <w:sz w:val="24"/>
          <w:szCs w:val="24"/>
        </w:rPr>
        <w:t xml:space="preserve">Vi ringrazio dell'attenzione.</w:t>
      </w:r>
    </w:p>
    <w:p>
      <w:pPr>
        <w:pStyle w:val="Heading3"/>
        <w:spacing w:after="80" w:before="240"/>
      </w:pPr>
      <w:r>
        <w:rPr>
          <w:rFonts w:ascii="Barlow Semi Condensed" w:cs="Barlow Semi Condensed" w:eastAsia="Barlow Semi Condensed" w:hAnsi="Barlow Semi Condensed"/>
          <w:sz w:val="24"/>
          <w:szCs w:val="24"/>
        </w:rPr>
        <w:t xml:space="preserve">Apparato grafico — Appendici · Relazione sui lavori in stile moroteo (pastiche dichiarato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II: 829 parole in 4 sezioni; la più ampia è §2 II. Del corpus guevariano e della sua verifica, con 291.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II: 14 paragrafi in 4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III. Verifica di un elenco esterno (i trentatré nomi)</w:t>
      </w:r>
    </w:p>
    <w:p>
      <w:pPr>
        <w:pStyle w:val="Heading1"/>
        <w:spacing w:after="120" w:before="240"/>
      </w:pPr>
      <w:r>
        <w:rPr>
          <w:rFonts w:ascii="Barlow Semi Condensed" w:cs="Barlow Semi Condensed" w:eastAsia="Barlow Semi Condensed" w:hAnsi="Barlow Semi Condensed"/>
          <w:sz w:val="24"/>
          <w:szCs w:val="24"/>
        </w:rPr>
        <w:t xml:space="preserve">Verifica dell'elenco dei trentatré nomi e dei numeri di tessera</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La dichiarazione sta in apertura perché è parte</w:t>
      </w:r>
    </w:p>
    <w:p>
      <w:pPr>
        <w:spacing w:after="120" w:line="276"/>
        <w:jc w:val="both"/>
      </w:pPr>
      <w:r>
        <w:rPr>
          <w:rFonts w:ascii="Barlow Semi Condensed" w:cs="Barlow Semi Condensed" w:eastAsia="Barlow Semi Condensed" w:hAnsi="Barlow Semi Condensed"/>
          <w:sz w:val="24"/>
          <w:szCs w:val="24"/>
        </w:rPr>
        <w:t xml:space="preserve">dell'oggetto, non una circostanza accessoria della produzione.*</w:t>
      </w:r>
    </w:p>
    <w:p>
      <w:pPr>
        <w:spacing w:after="120" w:line="276"/>
        <w:jc w:val="both"/>
      </w:pPr>
      <w:r>
        <w:rPr>
          <w:rFonts w:ascii="Barlow Semi Condensed" w:cs="Barlow Semi Condensed" w:eastAsia="Barlow Semi Condensed" w:hAnsi="Barlow Semi Condensed"/>
          <w:b/>
          <w:bCs/>
          <w:sz w:val="24"/>
          <w:szCs w:val="24"/>
        </w:rPr>
        <w:t xml:space="preserve">Lotto:</w:t>
      </w:r>
      <w:r>
        <w:rPr>
          <w:rFonts w:ascii="Barlow Semi Condensed" w:cs="Barlow Semi Condensed" w:eastAsia="Barlow Semi Condensed" w:hAnsi="Barlow Semi Condensed"/>
          <w:sz w:val="24"/>
          <w:szCs w:val="24"/>
        </w:rPr>
        <w:t xml:space="preserve"> verifica di un testo esterno sottoposto al corpus il 26 agosto 2026.</w:t>
      </w:r>
    </w:p>
    <w:p>
      <w:pPr>
        <w:spacing w:after="120" w:line="276"/>
        <w:jc w:val="both"/>
      </w:pPr>
      <w:r>
        <w:rPr>
          <w:rFonts w:ascii="Barlow Semi Condensed" w:cs="Barlow Semi Condensed" w:eastAsia="Barlow Semi Condensed" w:hAnsi="Barlow Semi Condensed"/>
          <w:b/>
          <w:bCs/>
          <w:sz w:val="24"/>
          <w:szCs w:val="24"/>
        </w:rPr>
        <w:t xml:space="preserve">Oggetto:</w:t>
      </w:r>
      <w:r>
        <w:rPr>
          <w:rFonts w:ascii="Barlow Semi Condensed" w:cs="Barlow Semi Condensed" w:eastAsia="Barlow Semi Condensed" w:hAnsi="Barlow Semi Condensed"/>
          <w:sz w:val="24"/>
          <w:szCs w:val="24"/>
        </w:rPr>
        <w:t xml:space="preserve"> una tabella di trentatré nominativi con ruolo attribuito nella</w:t>
      </w:r>
    </w:p>
    <w:p>
      <w:pPr>
        <w:spacing w:after="120" w:line="276"/>
        <w:jc w:val="both"/>
      </w:pPr>
      <w:r>
        <w:rPr>
          <w:rFonts w:ascii="Barlow Semi Condensed" w:cs="Barlow Semi Condensed" w:eastAsia="Barlow Semi Condensed" w:hAnsi="Barlow Semi Condensed"/>
          <w:sz w:val="24"/>
          <w:szCs w:val="24"/>
        </w:rPr>
        <w:t xml:space="preserve">primavera del 1978 e presunto numero di tessera della loggia Propaganda Due.</w:t>
      </w:r>
    </w:p>
    <w:p>
      <w:pPr>
        <w:spacing w:after="120" w:line="276"/>
        <w:jc w:val="both"/>
      </w:pPr>
      <w:r>
        <w:rPr>
          <w:rFonts w:ascii="Barlow Semi Condensed" w:cs="Barlow Semi Condensed" w:eastAsia="Barlow Semi Condensed" w:hAnsi="Barlow Semi Condensed"/>
          <w:b/>
          <w:bCs/>
          <w:sz w:val="24"/>
          <w:szCs w:val="24"/>
        </w:rPr>
        <w:t xml:space="preserve">Esito in una riga:</w:t>
      </w:r>
      <w:r>
        <w:rPr>
          <w:rFonts w:ascii="Barlow Semi Condensed" w:cs="Barlow Semi Condensed" w:eastAsia="Barlow Semi Condensed" w:hAnsi="Barlow Semi Condensed"/>
          <w:sz w:val="24"/>
          <w:szCs w:val="24"/>
        </w:rPr>
        <w:t xml:space="preserve"> i nomi in larga parte reggono, i numeri 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Metodo</w:t>
      </w:r>
    </w:p>
    <w:p>
      <w:pPr>
        <w:spacing w:after="120" w:line="276"/>
        <w:jc w:val="both"/>
      </w:pPr>
      <w:r>
        <w:rPr>
          <w:rFonts w:ascii="Barlow Semi Condensed" w:cs="Barlow Semi Condensed" w:eastAsia="Barlow Semi Condensed" w:hAnsi="Barlow Semi Condensed"/>
          <w:sz w:val="24"/>
          <w:szCs w:val="24"/>
        </w:rPr>
        <w:t xml:space="preserve">Un elenco si verifica </w:t>
      </w:r>
      <w:r>
        <w:rPr>
          <w:rFonts w:ascii="Barlow Semi Condensed" w:cs="Barlow Semi Condensed" w:eastAsia="Barlow Semi Condensed" w:hAnsi="Barlow Semi Condensed"/>
          <w:b/>
          <w:bCs/>
          <w:sz w:val="24"/>
          <w:szCs w:val="24"/>
        </w:rPr>
        <w:t xml:space="preserve">per campi separati, non in blocco</w:t>
      </w:r>
      <w:r>
        <w:rPr>
          <w:rFonts w:ascii="Barlow Semi Condensed" w:cs="Barlow Semi Condensed" w:eastAsia="Barlow Semi Condensed" w:hAnsi="Barlow Semi Condensed"/>
          <w:sz w:val="24"/>
          <w:szCs w:val="24"/>
        </w:rPr>
        <w:t xml:space="preserve">. La tabella esaminata</w:t>
      </w:r>
    </w:p>
    <w:p>
      <w:pPr>
        <w:spacing w:after="120" w:line="276"/>
        <w:jc w:val="both"/>
      </w:pPr>
      <w:r>
        <w:rPr>
          <w:rFonts w:ascii="Barlow Semi Condensed" w:cs="Barlow Semi Condensed" w:eastAsia="Barlow Semi Condensed" w:hAnsi="Barlow Semi Condensed"/>
          <w:sz w:val="24"/>
          <w:szCs w:val="24"/>
        </w:rPr>
        <w:t xml:space="preserve">presenta quattro campi in una riga sola e chiede di crederli insieme:</w:t>
      </w:r>
    </w:p>
    <w:p>
      <w:pPr>
        <w:spacing w:after="40"/>
        <w:ind w:left="360"/>
        <w:jc w:val="both"/>
      </w:pPr>
      <w:r>
        <w:rPr>
          <w:rFonts w:ascii="Barlow Semi Condensed" w:cs="Barlow Semi Condensed" w:eastAsia="Barlow Semi Condensed" w:hAnsi="Barlow Semi Condensed"/>
          <w:sz w:val="24"/>
          <w:szCs w:val="24"/>
        </w:rPr>
        <w:t xml:space="preserve">1. il nome della persona;</w:t>
      </w:r>
    </w:p>
    <w:p>
      <w:pPr>
        <w:spacing w:after="40"/>
        <w:ind w:left="360"/>
        <w:jc w:val="both"/>
      </w:pPr>
      <w:r>
        <w:rPr>
          <w:rFonts w:ascii="Barlow Semi Condensed" w:cs="Barlow Semi Condensed" w:eastAsia="Barlow Semi Condensed" w:hAnsi="Barlow Semi Condensed"/>
          <w:sz w:val="24"/>
          <w:szCs w:val="24"/>
        </w:rPr>
        <w:t xml:space="preserve">2. il ruolo istituzionale ricoperto nella primavera del 1978;</w:t>
      </w:r>
    </w:p>
    <w:p>
      <w:pPr>
        <w:spacing w:after="40"/>
        <w:ind w:left="360"/>
        <w:jc w:val="both"/>
      </w:pPr>
      <w:r>
        <w:rPr>
          <w:rFonts w:ascii="Barlow Semi Condensed" w:cs="Barlow Semi Condensed" w:eastAsia="Barlow Semi Condensed" w:hAnsi="Barlow Semi Condensed"/>
          <w:sz w:val="24"/>
          <w:szCs w:val="24"/>
        </w:rPr>
        <w:t xml:space="preserve">3. l'appartenenza agli elenchi sequestrati a Castiglion Fibocchi il 17 marzo 1981;</w:t>
      </w:r>
    </w:p>
    <w:p>
      <w:pPr>
        <w:spacing w:after="40"/>
        <w:ind w:left="360"/>
        <w:jc w:val="both"/>
      </w:pPr>
      <w:r>
        <w:rPr>
          <w:rFonts w:ascii="Barlow Semi Condensed" w:cs="Barlow Semi Condensed" w:eastAsia="Barlow Semi Condensed" w:hAnsi="Barlow Semi Condensed"/>
          <w:sz w:val="24"/>
          <w:szCs w:val="24"/>
        </w:rPr>
        <w:t xml:space="preserve">4. il numero di tessera.</w:t>
      </w:r>
    </w:p>
    <w:p>
      <w:pPr>
        <w:spacing w:after="120" w:line="276"/>
        <w:jc w:val="both"/>
      </w:pPr>
      <w:r>
        <w:rPr>
          <w:rFonts w:ascii="Barlow Semi Condensed" w:cs="Barlow Semi Condensed" w:eastAsia="Barlow Semi Condensed" w:hAnsi="Barlow Semi Condensed"/>
          <w:sz w:val="24"/>
          <w:szCs w:val="24"/>
        </w:rPr>
        <w:t xml:space="preserve">Presi uno alla volta si comportano in modo molto diverso. Il quarto campo — quello</w:t>
      </w:r>
    </w:p>
    <w:p>
      <w:pPr>
        <w:spacing w:after="120" w:line="276"/>
        <w:jc w:val="both"/>
      </w:pPr>
      <w:r>
        <w:rPr>
          <w:rFonts w:ascii="Barlow Semi Condensed" w:cs="Barlow Semi Condensed" w:eastAsia="Barlow Semi Condensed" w:hAnsi="Barlow Semi Condensed"/>
          <w:sz w:val="24"/>
          <w:szCs w:val="24"/>
        </w:rPr>
        <w:t xml:space="preserve">su cui il testo chiede di costruire un calcolo di percentuali sui 962 — è l'unico</w:t>
      </w:r>
    </w:p>
    <w:p>
      <w:pPr>
        <w:spacing w:after="120" w:line="276"/>
        <w:jc w:val="both"/>
      </w:pPr>
      <w:r>
        <w:rPr>
          <w:rFonts w:ascii="Barlow Semi Condensed" w:cs="Barlow Semi Condensed" w:eastAsia="Barlow Semi Condensed" w:hAnsi="Barlow Semi Condensed"/>
          <w:sz w:val="24"/>
          <w:szCs w:val="24"/>
        </w:rPr>
        <w:t xml:space="preserve">per cui non esiste alcun riscontro indipendente.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nomi che reggono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nomi elencati nella tabella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33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persone reali con ruolo del 1978 verificabile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33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appartenenza corroborata fuori dal testo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posizione definita in sede giudiziaria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numero di tessera corroborato fuori dal testo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0</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Il rilievo dirimente: la soglia del 1.600</w:t>
      </w:r>
    </w:p>
    <w:p>
      <w:pPr>
        <w:spacing w:after="120" w:line="276"/>
        <w:jc w:val="both"/>
      </w:pPr>
      <w:r>
        <w:rPr>
          <w:rFonts w:ascii="Barlow Semi Condensed" w:cs="Barlow Semi Condensed" w:eastAsia="Barlow Semi Condensed" w:hAnsi="Barlow Semi Condensed"/>
          <w:sz w:val="24"/>
          <w:szCs w:val="24"/>
        </w:rPr>
        <w:t xml:space="preserve">Nelle audizioni della Commissione parlamentare d'inchiesta è verbalizzato che la</w:t>
      </w:r>
    </w:p>
    <w:p>
      <w:pPr>
        <w:spacing w:after="120" w:line="276"/>
        <w:jc w:val="both"/>
      </w:pPr>
      <w:r>
        <w:rPr>
          <w:rFonts w:ascii="Barlow Semi Condensed" w:cs="Barlow Semi Condensed" w:eastAsia="Barlow Semi Condensed" w:hAnsi="Barlow Semi Condensed"/>
          <w:sz w:val="24"/>
          <w:szCs w:val="24"/>
        </w:rPr>
        <w:t xml:space="preserve">numerazione delle tessere sequestrate presenta ampi vuoti e che **nessuna tessera</w:t>
      </w:r>
    </w:p>
    <w:p>
      <w:pPr>
        <w:spacing w:after="120" w:line="276"/>
        <w:jc w:val="both"/>
      </w:pPr>
      <w:r>
        <w:rPr>
          <w:rFonts w:ascii="Barlow Semi Condensed" w:cs="Barlow Semi Condensed" w:eastAsia="Barlow Semi Condensed" w:hAnsi="Barlow Semi Condensed"/>
          <w:sz w:val="24"/>
          <w:szCs w:val="24"/>
        </w:rPr>
        <w:t xml:space="preserve">aveva numero inferiore al 1.600**. È il dato da cui la Commissione ricavò</w:t>
      </w:r>
    </w:p>
    <w:p>
      <w:pPr>
        <w:spacing w:after="120" w:line="276"/>
        <w:jc w:val="both"/>
      </w:pPr>
      <w:r>
        <w:rPr>
          <w:rFonts w:ascii="Barlow Semi Condensed" w:cs="Barlow Semi Condensed" w:eastAsia="Barlow Semi Condensed" w:hAnsi="Barlow Semi Condensed"/>
          <w:sz w:val="24"/>
          <w:szCs w:val="24"/>
        </w:rPr>
        <w:t xml:space="preserve">l'ipotesi che l'archivio della Giole fosse una «piramide inferiore».</w:t>
      </w:r>
    </w:p>
    <w:p>
      <w:pPr>
        <w:spacing w:after="120" w:line="276"/>
        <w:jc w:val="both"/>
      </w:pPr>
      <w:r>
        <w:rPr>
          <w:rFonts w:ascii="Barlow Semi Condensed" w:cs="Barlow Semi Condensed" w:eastAsia="Barlow Semi Condensed" w:hAnsi="Barlow Semi Condensed"/>
          <w:sz w:val="24"/>
          <w:szCs w:val="24"/>
        </w:rPr>
        <w:t xml:space="preserve">Quattro dei trentatré valori dichiarati come numero di tessera cadono sotto quella</w:t>
      </w:r>
    </w:p>
    <w:p>
      <w:pPr>
        <w:spacing w:after="120" w:line="276"/>
        <w:jc w:val="both"/>
      </w:pPr>
      <w:r>
        <w:rPr>
          <w:rFonts w:ascii="Barlow Semi Condensed" w:cs="Barlow Semi Condensed" w:eastAsia="Barlow Semi Condensed" w:hAnsi="Barlow Semi Condensed"/>
          <w:sz w:val="24"/>
          <w:szCs w:val="24"/>
        </w:rPr>
        <w:t xml:space="preserve">soglia; un quinto vi si posa esattamente sopra.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 dichiarato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rilievo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Sergio Di Donato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158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sotto la soglia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Giuseppe Santovito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sotto la soglia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Vincenzo Rizzuti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811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sotto la soglia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Raffaele Giudice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1.592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sotto la soglia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Donato Lo Prete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1.600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esattamente sulla soglia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Gli altri ventotto stanno fra 1.602 e 1.887, dentro l'intervallo plausibile.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ANNOTAZIONE del 27 agosto 2026.</w:t>
      </w:r>
      <w:r>
        <w:rPr>
          <w:rFonts w:ascii="Barlow Semi Condensed" w:cs="Barlow Semi Condensed" w:eastAsia="Barlow Semi Condensed" w:hAnsi="Barlow Semi Condensed"/>
          <w:i w:val="false"/>
          <w:iCs w:val="false"/>
          <w:sz w:val="24"/>
          <w:szCs w:val="24"/>
        </w:rPr>
        <w:t xml:space="preserve"> Questo paragrafo va letto insieme a `</w:t>
      </w:r>
      <w:r>
        <w:rPr>
          <w:rFonts w:ascii="Barlow Semi Condensed" w:cs="Barlow Semi Condensed" w:eastAsia="Barlow Semi Condensed" w:hAnsi="Barlow Semi Condensed"/>
          <w:i w:val="false"/>
          <w:iCs w:val="false"/>
          <w:sz w:val="24"/>
          <w:szCs w:val="24"/>
        </w:rPr>
        <w:t xml:space="preserve">certificazione-numeri-p2.md</w:t>
      </w:r>
      <w:r>
        <w:rPr>
          <w:rFonts w:ascii="Barlow Semi Condensed" w:cs="Barlow Semi Condensed" w:eastAsia="Barlow Semi Condensed" w:hAnsi="Barlow Semi Condensed"/>
          <w:i w:val="false"/>
          <w:iCs w:val="false"/>
          <w:sz w:val="24"/>
          <w:szCs w:val="24"/>
        </w:rPr>
        <w:t xml:space="preserve">`, che ne corregge due punti. </w:t>
      </w:r>
      <w:r>
        <w:rPr>
          <w:rFonts w:ascii="Barlow Semi Condensed" w:cs="Barlow Semi Condensed" w:eastAsia="Barlow Semi Condensed" w:hAnsi="Barlow Semi Condensed"/>
          <w:b/>
          <w:bCs/>
          <w:i w:val="false"/>
          <w:iCs w:val="false"/>
          <w:sz w:val="24"/>
          <w:szCs w:val="24"/>
        </w:rPr>
        <w:t xml:space="preserve">Primo</w:t>
      </w:r>
      <w:r>
        <w:rPr>
          <w:rFonts w:ascii="Barlow Semi Condensed" w:cs="Barlow Semi Condensed" w:eastAsia="Barlow Semi Condensed" w:hAnsi="Barlow Semi Condensed"/>
          <w:i w:val="false"/>
          <w:iCs w:val="false"/>
          <w:sz w:val="24"/>
          <w:szCs w:val="24"/>
        </w:rPr>
        <w:t xml:space="preserve">: la formulazione «nessuna tessera aveva numero inferiore al 1.600» è troppo forte — la stessa fonte cita la tessera 506 di Mario Marsili e la 1508 di Ezio Giunchiglia. La formulazione difendibile è «la numerazione degli elenchi sequestrati comincia intorno a 1.600»: resta un indizio, non è un test di esclusione. </w:t>
      </w:r>
      <w:r>
        <w:rPr>
          <w:rFonts w:ascii="Barlow Semi Condensed" w:cs="Barlow Semi Condensed" w:eastAsia="Barlow Semi Condensed" w:hAnsi="Barlow Semi Condensed"/>
          <w:b/>
          <w:bCs/>
          <w:i w:val="false"/>
          <w:iCs w:val="false"/>
          <w:sz w:val="24"/>
          <w:szCs w:val="24"/>
        </w:rPr>
        <w:t xml:space="preserve">Secondo</w:t>
      </w:r>
      <w:r>
        <w:rPr>
          <w:rFonts w:ascii="Barlow Semi Condensed" w:cs="Barlow Semi Condensed" w:eastAsia="Barlow Semi Condensed" w:hAnsi="Barlow Semi Condensed"/>
          <w:i w:val="false"/>
          <w:iCs w:val="false"/>
          <w:sz w:val="24"/>
          <w:szCs w:val="24"/>
        </w:rPr>
        <w:t xml:space="preserve">, e più importante: due coppie attestate — Berlusconi (Milano, 625) con tessera 1816, Costanzo (Roma, 626) con tessera 1819 — dimostrano che </w:t>
      </w:r>
      <w:r>
        <w:rPr>
          <w:rFonts w:ascii="Barlow Semi Condensed" w:cs="Barlow Semi Condensed" w:eastAsia="Barlow Semi Condensed" w:hAnsi="Barlow Semi Condensed"/>
          <w:b/>
          <w:bCs/>
          <w:i w:val="false"/>
          <w:iCs w:val="false"/>
          <w:sz w:val="24"/>
          <w:szCs w:val="24"/>
        </w:rPr>
        <w:t xml:space="preserve">la cifra fra parentesi nelle trascrizioni è il numero di fascicolo, non quello di tessera</w:t>
      </w:r>
      <w:r>
        <w:rPr>
          <w:rFonts w:ascii="Barlow Semi Condensed" w:cs="Barlow Semi Condensed" w:eastAsia="Barlow Semi Condensed" w:hAnsi="Barlow Semi Condensed"/>
          <w:i w:val="false"/>
          <w:iCs w:val="false"/>
          <w:sz w:val="24"/>
          <w:szCs w:val="24"/>
        </w:rPr>
        <w:t xml:space="preserve">. I quattro valori qui elencati come «tessere impossibili» sono, più probabilmente, fascicoli con l'etichetta sbagliata. L'errore resta scritto sopra; la correzione gli sta accanto.</w:t>
      </w:r>
    </w:p>
    <w:p>
      <w:pPr>
        <w:spacing w:after="120" w:line="276"/>
        <w:jc w:val="both"/>
      </w:pPr>
      <w:r>
        <w:rPr>
          <w:rFonts w:ascii="Barlow Semi Condensed" w:cs="Barlow Semi Condensed" w:eastAsia="Barlow Semi Condensed" w:hAnsi="Barlow Semi Condensed"/>
          <w:sz w:val="24"/>
          <w:szCs w:val="24"/>
        </w:rPr>
        <w:t xml:space="preserve">Il testo </w:t>
      </w:r>
      <w:r>
        <w:rPr>
          <w:rFonts w:ascii="Barlow Semi Condensed" w:cs="Barlow Semi Condensed" w:eastAsia="Barlow Semi Condensed" w:hAnsi="Barlow Semi Condensed"/>
          <w:b/>
          <w:bCs/>
          <w:sz w:val="24"/>
          <w:szCs w:val="24"/>
        </w:rPr>
        <w:t xml:space="preserve">conosce</w:t>
      </w:r>
      <w:r>
        <w:rPr>
          <w:rFonts w:ascii="Barlow Semi Condensed" w:cs="Barlow Semi Condensed" w:eastAsia="Barlow Semi Condensed" w:hAnsi="Barlow Semi Condensed"/>
          <w:sz w:val="24"/>
          <w:szCs w:val="24"/>
        </w:rPr>
        <w:t xml:space="preserve"> quella soglia: la enuncia in un proprio passaggio e cita la</w:t>
      </w:r>
    </w:p>
    <w:p>
      <w:pPr>
        <w:spacing w:after="120" w:line="276"/>
        <w:jc w:val="both"/>
      </w:pPr>
      <w:r>
        <w:rPr>
          <w:rFonts w:ascii="Barlow Semi Condensed" w:cs="Barlow Semi Condensed" w:eastAsia="Barlow Semi Condensed" w:hAnsi="Barlow Semi Condensed"/>
          <w:sz w:val="24"/>
          <w:szCs w:val="24"/>
        </w:rPr>
        <w:t xml:space="preserve">tessera 1711 di Gelli. Corregge inoltre un nome — «Santovito non è 163, è</w:t>
      </w:r>
    </w:p>
    <w:p>
      <w:pPr>
        <w:spacing w:after="120" w:line="276"/>
        <w:jc w:val="both"/>
      </w:pPr>
      <w:r>
        <w:rPr>
          <w:rFonts w:ascii="Barlow Semi Condensed" w:cs="Barlow Semi Condensed" w:eastAsia="Barlow Semi Condensed" w:hAnsi="Barlow Semi Condensed"/>
          <w:sz w:val="24"/>
          <w:szCs w:val="24"/>
        </w:rPr>
        <w:t xml:space="preserve">Salacone» — senza avvedersi che la correzione lascia il 163 dov'era.</w:t>
      </w:r>
    </w:p>
    <w:p>
      <w:pPr>
        <w:spacing w:after="120" w:line="276"/>
        <w:jc w:val="both"/>
      </w:pPr>
      <w:r>
        <w:rPr>
          <w:rFonts w:ascii="Barlow Semi Condensed" w:cs="Barlow Semi Condensed" w:eastAsia="Barlow Semi Condensed" w:hAnsi="Barlow Semi Condensed"/>
          <w:sz w:val="24"/>
          <w:szCs w:val="24"/>
        </w:rPr>
        <w:t xml:space="preserve">Non sono cifre sbagliate di poco: sono cifre che quel campo non poteva contenere.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Le collisioni interne</w:t>
      </w:r>
    </w:p>
    <w:p>
      <w:pPr>
        <w:spacing w:after="120" w:line="276"/>
        <w:jc w:val="both"/>
      </w:pPr>
      <w:r>
        <w:rPr>
          <w:rFonts w:ascii="Barlow Semi Condensed" w:cs="Barlow Semi Condensed" w:eastAsia="Barlow Semi Condensed" w:hAnsi="Barlow Semi Condensed"/>
          <w:sz w:val="24"/>
          <w:szCs w:val="24"/>
        </w:rPr>
        <w:t xml:space="preserve">Cinque valori compaiono in due posizioni incompatibili. Non serve un archivio per</w:t>
      </w:r>
    </w:p>
    <w:p>
      <w:pPr>
        <w:spacing w:after="120" w:line="276"/>
        <w:jc w:val="both"/>
      </w:pPr>
      <w:r>
        <w:rPr>
          <w:rFonts w:ascii="Barlow Semi Condensed" w:cs="Barlow Semi Condensed" w:eastAsia="Barlow Semi Condensed" w:hAnsi="Barlow Semi Condensed"/>
          <w:sz w:val="24"/>
          <w:szCs w:val="24"/>
        </w:rPr>
        <w:t xml:space="preserve">rilevarlo: basta leggere il testo contro sé stesso.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numero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assegnato 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 anche 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1.612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Michele Sindona, come tessera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Licio Gelli, come «1612 (Fascicolo)»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519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Roberto Calvi, come fascicolo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Walter Pelosi, come «Fascicolo 519/1607»</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527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Giuseppe Santovito, come fascicolo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Giuseppe Santovito, come «Tessera 527»</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530 / 519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Roberto Calvi, fascicolo 530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Roberto Calvi, fascicolo 519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1.612 / 1.711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Licio Gelli, fascicolo 1612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Licio Gelli, tessera 1711</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Un numero di fascicolo identifica una posizione e una sola; un numero di tessera</w:t>
      </w:r>
    </w:p>
    <w:p>
      <w:pPr>
        <w:spacing w:after="120" w:line="276"/>
        <w:jc w:val="both"/>
      </w:pPr>
      <w:r>
        <w:rPr>
          <w:rFonts w:ascii="Barlow Semi Condensed" w:cs="Barlow Semi Condensed" w:eastAsia="Barlow Semi Condensed" w:hAnsi="Barlow Semi Condensed"/>
          <w:sz w:val="24"/>
          <w:szCs w:val="24"/>
        </w:rPr>
        <w:t xml:space="preserve">identifica un iscritto e uno solo. Cinque collisioni in un documento che si</w:t>
      </w:r>
    </w:p>
    <w:p>
      <w:pPr>
        <w:spacing w:after="120" w:line="276"/>
        <w:jc w:val="both"/>
      </w:pPr>
      <w:r>
        <w:rPr>
          <w:rFonts w:ascii="Barlow Semi Condensed" w:cs="Barlow Semi Condensed" w:eastAsia="Barlow Semi Condensed" w:hAnsi="Barlow Semi Condensed"/>
          <w:sz w:val="24"/>
          <w:szCs w:val="24"/>
        </w:rPr>
        <w:t xml:space="preserve">presenta come collazione d'archivio sono il segno che i numeri non provengono da</w:t>
      </w:r>
    </w:p>
    <w:p>
      <w:pPr>
        <w:spacing w:after="120" w:line="276"/>
        <w:jc w:val="both"/>
      </w:pPr>
      <w:r>
        <w:rPr>
          <w:rFonts w:ascii="Barlow Semi Condensed" w:cs="Barlow Semi Condensed" w:eastAsia="Barlow Semi Condensed" w:hAnsi="Barlow Semi Condensed"/>
          <w:sz w:val="24"/>
          <w:szCs w:val="24"/>
        </w:rPr>
        <w:t xml:space="preserve">un archivio.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I trentatré, per grado</w:t>
      </w:r>
    </w:p>
    <w:p>
      <w:pPr>
        <w:spacing w:after="120" w:line="276"/>
        <w:jc w:val="both"/>
      </w:pPr>
      <w:r>
        <w:rPr>
          <w:rFonts w:ascii="Barlow Semi Condensed" w:cs="Barlow Semi Condensed" w:eastAsia="Barlow Semi Condensed" w:hAnsi="Barlow Semi Condensed"/>
          <w:sz w:val="24"/>
          <w:szCs w:val="24"/>
        </w:rPr>
        <w:t xml:space="preserve">Il confine fra il grado F e il grado C è **il confine della conoscenza impiegata</w:t>
      </w:r>
    </w:p>
    <w:p>
      <w:pPr>
        <w:spacing w:after="120" w:line="276"/>
        <w:jc w:val="both"/>
      </w:pPr>
      <w:r>
        <w:rPr>
          <w:rFonts w:ascii="Barlow Semi Condensed" w:cs="Barlow Semi Condensed" w:eastAsia="Barlow Semi Condensed" w:hAnsi="Barlow Semi Condensed"/>
          <w:sz w:val="24"/>
          <w:szCs w:val="24"/>
        </w:rPr>
        <w:t xml:space="preserve">in questa verifica, non quello dell'archivio**. Solo l'allegato Anselmi può</w:t>
      </w:r>
    </w:p>
    <w:p>
      <w:pPr>
        <w:spacing w:after="120" w:line="276"/>
        <w:jc w:val="both"/>
      </w:pPr>
      <w:r>
        <w:rPr>
          <w:rFonts w:ascii="Barlow Semi Condensed" w:cs="Barlow Semi Condensed" w:eastAsia="Barlow Semi Condensed" w:hAnsi="Barlow Semi Condensed"/>
          <w:sz w:val="24"/>
          <w:szCs w:val="24"/>
        </w:rPr>
        <w:t xml:space="preserve">spostarlo, in un senso o nell'altro.</w:t>
      </w:r>
    </w:p>
    <w:p>
      <w:pPr>
        <w:pStyle w:val="Heading3"/>
        <w:spacing w:after="80" w:before="160"/>
      </w:pPr>
      <w:r>
        <w:rPr>
          <w:rFonts w:ascii="Barlow Semi Condensed" w:cs="Barlow Semi Condensed" w:eastAsia="Barlow Semi Condensed" w:hAnsi="Barlow Semi Condensed"/>
          <w:sz w:val="24"/>
          <w:szCs w:val="24"/>
        </w:rPr>
        <w:t xml:space="preserve">Grado F — venti nomi</w:t>
      </w:r>
    </w:p>
    <w:p>
      <w:pPr>
        <w:spacing w:after="120" w:line="276"/>
        <w:jc w:val="both"/>
      </w:pPr>
      <w:r>
        <w:rPr>
          <w:rFonts w:ascii="Barlow Semi Condensed" w:cs="Barlow Semi Condensed" w:eastAsia="Barlow Semi Condensed" w:hAnsi="Barlow Semi Condensed"/>
          <w:sz w:val="24"/>
          <w:szCs w:val="24"/>
        </w:rPr>
        <w:t xml:space="preserve">Appartenenza agli elenchi corroborata da fonti indipendenti dal testo verificato.</w:t>
      </w:r>
    </w:p>
    <w:p>
      <w:pPr>
        <w:spacing w:after="120" w:line="276"/>
        <w:jc w:val="both"/>
      </w:pPr>
      <w:r>
        <w:rPr>
          <w:rFonts w:ascii="Barlow Semi Condensed" w:cs="Barlow Semi Condensed" w:eastAsia="Barlow Semi Condensed" w:hAnsi="Barlow Semi Condensed"/>
          <w:sz w:val="24"/>
          <w:szCs w:val="24"/>
        </w:rPr>
        <w:t xml:space="preserve">Il numero resta non corroborato anche qui.</w:t>
      </w:r>
    </w:p>
    <w:p>
      <w:pPr>
        <w:spacing w:after="120" w:line="276"/>
        <w:jc w:val="both"/>
      </w:pPr>
      <w:r>
        <w:rPr>
          <w:rFonts w:ascii="Barlow Semi Condensed" w:cs="Barlow Semi Condensed" w:eastAsia="Barlow Semi Condensed" w:hAnsi="Barlow Semi Condensed"/>
          <w:sz w:val="24"/>
          <w:szCs w:val="24"/>
        </w:rPr>
        <w:t xml:space="preserve">Giuseppe Santovito · Raffaele Giudice · Donato Lo Prete · Vito Miceli ·</w:t>
      </w:r>
    </w:p>
    <w:p>
      <w:pPr>
        <w:spacing w:after="120" w:line="276"/>
        <w:jc w:val="both"/>
      </w:pPr>
      <w:r>
        <w:rPr>
          <w:rFonts w:ascii="Barlow Semi Condensed" w:cs="Barlow Semi Condensed" w:eastAsia="Barlow Semi Condensed" w:hAnsi="Barlow Semi Condensed"/>
          <w:sz w:val="24"/>
          <w:szCs w:val="24"/>
        </w:rPr>
        <w:t xml:space="preserve">Walter Pelosi · Umberto Ortolani · Michele Sindona · Pietro Musumeci ·</w:t>
      </w:r>
    </w:p>
    <w:p>
      <w:pPr>
        <w:spacing w:after="120" w:line="276"/>
        <w:jc w:val="both"/>
      </w:pPr>
      <w:r>
        <w:rPr>
          <w:rFonts w:ascii="Barlow Semi Condensed" w:cs="Barlow Semi Condensed" w:eastAsia="Barlow Semi Condensed" w:hAnsi="Barlow Semi Condensed"/>
          <w:sz w:val="24"/>
          <w:szCs w:val="24"/>
        </w:rPr>
        <w:t xml:space="preserve">Giovanni Torrisi · Roberto Calvi · Elio Cioppa · Giulio Grassini ·</w:t>
      </w:r>
    </w:p>
    <w:p>
      <w:pPr>
        <w:spacing w:after="120" w:line="276"/>
        <w:jc w:val="both"/>
      </w:pPr>
      <w:r>
        <w:rPr>
          <w:rFonts w:ascii="Barlow Semi Condensed" w:cs="Barlow Semi Condensed" w:eastAsia="Barlow Semi Condensed" w:hAnsi="Barlow Semi Condensed"/>
          <w:sz w:val="24"/>
          <w:szCs w:val="24"/>
        </w:rPr>
        <w:t xml:space="preserve">Antonio Cornacchia · Carmelo Spagnuolo · Antonio Varisco · Antonio Viezzer ·</w:t>
      </w:r>
    </w:p>
    <w:p>
      <w:pPr>
        <w:spacing w:after="120" w:line="276"/>
        <w:jc w:val="both"/>
      </w:pPr>
      <w:r>
        <w:rPr>
          <w:rFonts w:ascii="Barlow Semi Condensed" w:cs="Barlow Semi Condensed" w:eastAsia="Barlow Semi Condensed" w:hAnsi="Barlow Semi Condensed"/>
          <w:sz w:val="24"/>
          <w:szCs w:val="24"/>
        </w:rPr>
        <w:t xml:space="preserve">Federico Umberto D'Amato · Mino Pecorelli · Maurizio Costanzo · Franco Di Bella</w:t>
      </w:r>
    </w:p>
    <w:p>
      <w:pPr>
        <w:pStyle w:val="Heading3"/>
        <w:spacing w:after="80" w:before="160"/>
      </w:pPr>
      <w:r>
        <w:rPr>
          <w:rFonts w:ascii="Barlow Semi Condensed" w:cs="Barlow Semi Condensed" w:eastAsia="Barlow Semi Condensed" w:hAnsi="Barlow Semi Condensed"/>
          <w:sz w:val="24"/>
          <w:szCs w:val="24"/>
        </w:rPr>
        <w:t xml:space="preserve">Grado C — dodici nomi</w:t>
      </w:r>
    </w:p>
    <w:p>
      <w:pPr>
        <w:spacing w:after="120" w:line="276"/>
        <w:jc w:val="both"/>
      </w:pPr>
      <w:r>
        <w:rPr>
          <w:rFonts w:ascii="Barlow Semi Condensed" w:cs="Barlow Semi Condensed" w:eastAsia="Barlow Semi Condensed" w:hAnsi="Barlow Semi Condensed"/>
          <w:sz w:val="24"/>
          <w:szCs w:val="24"/>
        </w:rPr>
        <w:t xml:space="preserve">Persona reale e ruolo del 1978 verificabili; appartenenza non corroborata fuori</w:t>
      </w:r>
    </w:p>
    <w:p>
      <w:pPr>
        <w:spacing w:after="120" w:line="276"/>
        <w:jc w:val="both"/>
      </w:pPr>
      <w:r>
        <w:rPr>
          <w:rFonts w:ascii="Barlow Semi Condensed" w:cs="Barlow Semi Condensed" w:eastAsia="Barlow Semi Condensed" w:hAnsi="Barlow Semi Condensed"/>
          <w:sz w:val="24"/>
          <w:szCs w:val="24"/>
        </w:rPr>
        <w:t xml:space="preserve">dal testo. Sono due affermazioni di rango diverso, che il testo presenta appaiate.</w:t>
      </w:r>
    </w:p>
    <w:p>
      <w:pPr>
        <w:spacing w:after="120" w:line="276"/>
        <w:jc w:val="both"/>
      </w:pPr>
      <w:r>
        <w:rPr>
          <w:rFonts w:ascii="Barlow Semi Condensed" w:cs="Barlow Semi Condensed" w:eastAsia="Barlow Semi Condensed" w:hAnsi="Barlow Semi Condensed"/>
          <w:sz w:val="24"/>
          <w:szCs w:val="24"/>
        </w:rPr>
        <w:t xml:space="preserve">Sergio Di Donato · Vincenzo Rizzuti · Camillo Guglielmi · Giuseppe Siracusano ·</w:t>
      </w:r>
    </w:p>
    <w:p>
      <w:pPr>
        <w:spacing w:after="120" w:line="276"/>
        <w:jc w:val="both"/>
      </w:pPr>
      <w:r>
        <w:rPr>
          <w:rFonts w:ascii="Barlow Semi Condensed" w:cs="Barlow Semi Condensed" w:eastAsia="Barlow Semi Condensed" w:hAnsi="Barlow Semi Condensed"/>
          <w:sz w:val="24"/>
          <w:szCs w:val="24"/>
        </w:rPr>
        <w:t xml:space="preserve">Stefano Giovannone · Antonino Geraci · Mario Salacone · Achille Gallucci ·</w:t>
      </w:r>
    </w:p>
    <w:p>
      <w:pPr>
        <w:spacing w:after="120" w:line="276"/>
        <w:jc w:val="both"/>
      </w:pPr>
      <w:r>
        <w:rPr>
          <w:rFonts w:ascii="Barlow Semi Condensed" w:cs="Barlow Semi Condensed" w:eastAsia="Barlow Semi Condensed" w:hAnsi="Barlow Semi Condensed"/>
          <w:sz w:val="24"/>
          <w:szCs w:val="24"/>
        </w:rPr>
        <w:t xml:space="preserve">Francesco Malfatti di Montetretto · Mario Semprini · Antonio Esposito ·</w:t>
      </w:r>
    </w:p>
    <w:p>
      <w:pPr>
        <w:spacing w:after="120" w:line="276"/>
        <w:jc w:val="both"/>
      </w:pPr>
      <w:r>
        <w:rPr>
          <w:rFonts w:ascii="Barlow Semi Condensed" w:cs="Barlow Semi Condensed" w:eastAsia="Barlow Semi Condensed" w:hAnsi="Barlow Semi Condensed"/>
          <w:sz w:val="24"/>
          <w:szCs w:val="24"/>
        </w:rPr>
        <w:t xml:space="preserve">Franco Ferracuti</w:t>
      </w:r>
    </w:p>
    <w:p>
      <w:pPr>
        <w:spacing w:after="120" w:line="276"/>
        <w:jc w:val="both"/>
      </w:pPr>
      <w:r>
        <w:rPr>
          <w:rFonts w:ascii="Barlow Semi Condensed" w:cs="Barlow Semi Condensed" w:eastAsia="Barlow Semi Condensed" w:hAnsi="Barlow Semi Condensed"/>
          <w:sz w:val="24"/>
          <w:szCs w:val="24"/>
        </w:rPr>
        <w:t xml:space="preserve">Il caso di </w:t>
      </w:r>
      <w:r>
        <w:rPr>
          <w:rFonts w:ascii="Barlow Semi Condensed" w:cs="Barlow Semi Condensed" w:eastAsia="Barlow Semi Condensed" w:hAnsi="Barlow Semi Condensed"/>
          <w:b/>
          <w:bCs/>
          <w:sz w:val="24"/>
          <w:szCs w:val="24"/>
        </w:rPr>
        <w:t xml:space="preserve">Camillo Guglielmi</w:t>
      </w:r>
      <w:r>
        <w:rPr>
          <w:rFonts w:ascii="Barlow Semi Condensed" w:cs="Barlow Semi Condensed" w:eastAsia="Barlow Semi Condensed" w:hAnsi="Barlow Semi Condensed"/>
          <w:sz w:val="24"/>
          <w:szCs w:val="24"/>
        </w:rPr>
        <w:t xml:space="preserve"> merita di essere isolato: la presenza in via Fani</w:t>
      </w:r>
    </w:p>
    <w:p>
      <w:pPr>
        <w:spacing w:after="120" w:line="276"/>
        <w:jc w:val="both"/>
      </w:pPr>
      <w:r>
        <w:rPr>
          <w:rFonts w:ascii="Barlow Semi Condensed" w:cs="Barlow Semi Condensed" w:eastAsia="Barlow Semi Condensed" w:hAnsi="Barlow Semi Condensed"/>
          <w:sz w:val="24"/>
          <w:szCs w:val="24"/>
        </w:rPr>
        <w:t xml:space="preserve">la mattina del 16 marzo 1978 è oggetto di accertamento documentato; l'appartenenza</w:t>
      </w:r>
    </w:p>
    <w:p>
      <w:pPr>
        <w:spacing w:after="120" w:line="276"/>
        <w:jc w:val="both"/>
      </w:pPr>
      <w:r>
        <w:rPr>
          <w:rFonts w:ascii="Barlow Semi Condensed" w:cs="Barlow Semi Condensed" w:eastAsia="Barlow Semi Condensed" w:hAnsi="Barlow Semi Condensed"/>
          <w:sz w:val="24"/>
          <w:szCs w:val="24"/>
        </w:rPr>
        <w:t xml:space="preserve">alla loggia non lo è. Le due cose vanno tenute separate.</w:t>
      </w:r>
    </w:p>
    <w:p>
      <w:pPr>
        <w:pStyle w:val="Heading3"/>
        <w:spacing w:after="80" w:before="160"/>
      </w:pPr>
      <w:r>
        <w:rPr>
          <w:rFonts w:ascii="Barlow Semi Condensed" w:cs="Barlow Semi Condensed" w:eastAsia="Barlow Semi Condensed" w:hAnsi="Barlow Semi Condensed"/>
          <w:sz w:val="24"/>
          <w:szCs w:val="24"/>
        </w:rPr>
        <w:t xml:space="preserve">Grado G — un nome</w:t>
      </w:r>
    </w:p>
    <w:p>
      <w:pPr>
        <w:spacing w:after="120" w:line="276"/>
        <w:jc w:val="both"/>
      </w:pPr>
      <w:r>
        <w:rPr>
          <w:rFonts w:ascii="Barlow Semi Condensed" w:cs="Barlow Semi Condensed" w:eastAsia="Barlow Semi Condensed" w:hAnsi="Barlow Semi Condensed"/>
          <w:sz w:val="24"/>
          <w:szCs w:val="24"/>
        </w:rPr>
        <w:t xml:space="preserve">Posizione definita in sede giudiziaria: </w:t>
      </w:r>
      <w:r>
        <w:rPr>
          <w:rFonts w:ascii="Barlow Semi Condensed" w:cs="Barlow Semi Condensed" w:eastAsia="Barlow Semi Condensed" w:hAnsi="Barlow Semi Condensed"/>
          <w:b/>
          <w:bCs/>
          <w:sz w:val="24"/>
          <w:szCs w:val="24"/>
        </w:rPr>
        <w:t xml:space="preserve">Gustavo Selva</w:t>
      </w:r>
      <w:r>
        <w:rPr>
          <w:rFonts w:ascii="Barlow Semi Condensed" w:cs="Barlow Semi Condensed" w:eastAsia="Barlow Semi Condensed" w:hAnsi="Barlow Semi Condensed"/>
          <w:sz w:val="24"/>
          <w:szCs w:val="24"/>
        </w:rPr>
        <w:t xml:space="preserve">. Il precedente esiste —</w:t>
      </w:r>
    </w:p>
    <w:p>
      <w:pPr>
        <w:spacing w:after="120" w:line="276"/>
        <w:jc w:val="both"/>
      </w:pPr>
      <w:r>
        <w:rPr>
          <w:rFonts w:ascii="Barlow Semi Condensed" w:cs="Barlow Semi Condensed" w:eastAsia="Barlow Semi Condensed" w:hAnsi="Barlow Semi Condensed"/>
          <w:sz w:val="24"/>
          <w:szCs w:val="24"/>
        </w:rPr>
        <w:t xml:space="preserve">l'appartenenza di Publio Fiori fu esclusa da una sentenza del Tribunale di Roma</w:t>
      </w:r>
    </w:p>
    <w:p>
      <w:pPr>
        <w:spacing w:after="120" w:line="276"/>
        <w:jc w:val="both"/>
      </w:pPr>
      <w:r>
        <w:rPr>
          <w:rFonts w:ascii="Barlow Semi Condensed" w:cs="Barlow Semi Condensed" w:eastAsia="Barlow Semi Condensed" w:hAnsi="Barlow Semi Condensed"/>
          <w:sz w:val="24"/>
          <w:szCs w:val="24"/>
        </w:rPr>
        <w:t xml:space="preserve">nel 2001.</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5. Il vincolo cronologico</w:t>
      </w:r>
    </w:p>
    <w:p>
      <w:pPr>
        <w:spacing w:after="120" w:line="276"/>
        <w:jc w:val="both"/>
      </w:pPr>
      <w:r>
        <w:rPr>
          <w:rFonts w:ascii="Barlow Semi Condensed" w:cs="Barlow Semi Condensed" w:eastAsia="Barlow Semi Condensed" w:hAnsi="Barlow Semi Condensed"/>
          <w:sz w:val="24"/>
          <w:szCs w:val="24"/>
        </w:rPr>
        <w:t xml:space="preserve">Vale anche nell'ipotesi in cui tutti e trentatré i numeri risultassero esatti.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intervallo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giorni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finestra richiesta (16 set 1977 – 9 nov 1978)</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419</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da via Fani al sequestro degli elenchi (17 mar 1981)</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1.097</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da via Fani al deposito della relazione (12 lug 1984)</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2.310</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Nel 1978 la composizione della loggia non era un oggetto conoscibile: fu rivelata</w:t>
      </w:r>
    </w:p>
    <w:p>
      <w:pPr>
        <w:spacing w:after="120" w:line="276"/>
        <w:jc w:val="both"/>
      </w:pPr>
      <w:r>
        <w:rPr>
          <w:rFonts w:ascii="Barlow Semi Condensed" w:cs="Barlow Semi Condensed" w:eastAsia="Barlow Semi Condensed" w:hAnsi="Barlow Semi Condensed"/>
          <w:sz w:val="24"/>
          <w:szCs w:val="24"/>
        </w:rPr>
        <w:t xml:space="preserve">tre anni dopo e ordinata sei anni dopo. Una lista del 1981 documenta chi vi</w:t>
      </w:r>
    </w:p>
    <w:p>
      <w:pPr>
        <w:spacing w:after="120" w:line="276"/>
        <w:jc w:val="both"/>
      </w:pPr>
      <w:r>
        <w:rPr>
          <w:rFonts w:ascii="Barlow Semi Condensed" w:cs="Barlow Semi Condensed" w:eastAsia="Barlow Semi Condensed" w:hAnsi="Barlow Semi Condensed"/>
          <w:sz w:val="24"/>
          <w:szCs w:val="24"/>
        </w:rPr>
        <w:t xml:space="preserve">risultava nel 1981. Che ciò coincida con «chi vi era iscritto nella primavera del</w:t>
      </w:r>
    </w:p>
    <w:p>
      <w:pPr>
        <w:spacing w:after="120" w:line="276"/>
        <w:jc w:val="both"/>
      </w:pPr>
      <w:r>
        <w:rPr>
          <w:rFonts w:ascii="Barlow Semi Condensed" w:cs="Barlow Semi Condensed" w:eastAsia="Barlow Semi Condensed" w:hAnsi="Barlow Semi Condensed"/>
          <w:sz w:val="24"/>
          <w:szCs w:val="24"/>
        </w:rPr>
        <w:t xml:space="preserve">1978» è ipotesi ragionevole, non fatto accertato — e il testo stesso registra i 49</w:t>
      </w:r>
    </w:p>
    <w:p>
      <w:pPr>
        <w:spacing w:after="120" w:line="276"/>
        <w:jc w:val="both"/>
      </w:pPr>
      <w:r>
        <w:rPr>
          <w:rFonts w:ascii="Barlow Semi Condensed" w:cs="Barlow Semi Condensed" w:eastAsia="Barlow Semi Condensed" w:hAnsi="Barlow Semi Condensed"/>
          <w:sz w:val="24"/>
          <w:szCs w:val="24"/>
        </w:rPr>
        <w:t xml:space="preserve">affiliati posti in sonno e i 22 transitati ad altre logge, che sono esattamente i</w:t>
      </w:r>
    </w:p>
    <w:p>
      <w:pPr>
        <w:spacing w:after="120" w:line="276"/>
        <w:jc w:val="both"/>
      </w:pPr>
      <w:r>
        <w:rPr>
          <w:rFonts w:ascii="Barlow Semi Condensed" w:cs="Barlow Semi Condensed" w:eastAsia="Barlow Semi Condensed" w:hAnsi="Barlow Semi Condensed"/>
          <w:sz w:val="24"/>
          <w:szCs w:val="24"/>
        </w:rPr>
        <w:t xml:space="preserve">casi in cui le due cose divergono.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6. Annotazione su un dato del corpus</w:t>
      </w:r>
    </w:p>
    <w:p>
      <w:pPr>
        <w:spacing w:after="120" w:line="276"/>
        <w:jc w:val="both"/>
      </w:pPr>
      <w:r>
        <w:rPr>
          <w:rFonts w:ascii="Barlow Semi Condensed" w:cs="Barlow Semi Condensed" w:eastAsia="Barlow Semi Condensed" w:hAnsi="Barlow Semi Condensed"/>
          <w:b/>
          <w:bCs/>
          <w:sz w:val="24"/>
          <w:szCs w:val="24"/>
        </w:rPr>
        <w:t xml:space="preserve">Il grafico del Libro quarto registra 44 parlamentari negli elenchi.</w:t>
      </w:r>
      <w:r>
        <w:rPr>
          <w:rFonts w:ascii="Barlow Semi Condensed" w:cs="Barlow Semi Condensed" w:eastAsia="Barlow Semi Condensed" w:hAnsi="Barlow Semi Condensed"/>
          <w:sz w:val="24"/>
          <w:szCs w:val="24"/>
        </w:rPr>
        <w:t xml:space="preserve"> Le fonti</w:t>
      </w:r>
    </w:p>
    <w:p>
      <w:pPr>
        <w:spacing w:after="120" w:line="276"/>
        <w:jc w:val="both"/>
      </w:pPr>
      <w:r>
        <w:rPr>
          <w:rFonts w:ascii="Barlow Semi Condensed" w:cs="Barlow Semi Condensed" w:eastAsia="Barlow Semi Condensed" w:hAnsi="Barlow Semi Condensed"/>
          <w:sz w:val="24"/>
          <w:szCs w:val="24"/>
        </w:rPr>
        <w:t xml:space="preserve">sui lavori della Commissione riportano </w:t>
      </w:r>
      <w:r>
        <w:rPr>
          <w:rFonts w:ascii="Barlow Semi Condensed" w:cs="Barlow Semi Condensed" w:eastAsia="Barlow Semi Condensed" w:hAnsi="Barlow Semi Condensed"/>
          <w:b/>
          <w:bCs/>
          <w:sz w:val="24"/>
          <w:szCs w:val="24"/>
        </w:rPr>
        <w:t xml:space="preserve">59</w:t>
      </w:r>
      <w:r>
        <w:rPr>
          <w:rFonts w:ascii="Barlow Semi Condensed" w:cs="Barlow Semi Condensed" w:eastAsia="Barlow Semi Condensed" w:hAnsi="Barlow Semi Condensed"/>
          <w:sz w:val="24"/>
          <w:szCs w:val="24"/>
        </w:rPr>
        <w:t xml:space="preserve">. La composizione documentata è: 128</w:t>
      </w:r>
    </w:p>
    <w:p>
      <w:pPr>
        <w:spacing w:after="120" w:line="276"/>
        <w:jc w:val="both"/>
      </w:pPr>
      <w:r>
        <w:rPr>
          <w:rFonts w:ascii="Barlow Semi Condensed" w:cs="Barlow Semi Condensed" w:eastAsia="Barlow Semi Condensed" w:hAnsi="Barlow Semi Condensed"/>
          <w:sz w:val="24"/>
          <w:szCs w:val="24"/>
        </w:rPr>
        <w:t xml:space="preserve">dirigenti di enti pubblici, 119 ufficiali delle forze armate (50 Esercito, 37</w:t>
      </w:r>
    </w:p>
    <w:p>
      <w:pPr>
        <w:spacing w:after="120" w:line="276"/>
        <w:jc w:val="both"/>
      </w:pPr>
      <w:r>
        <w:rPr>
          <w:rFonts w:ascii="Barlow Semi Condensed" w:cs="Barlow Semi Condensed" w:eastAsia="Barlow Semi Condensed" w:hAnsi="Barlow Semi Condensed"/>
          <w:sz w:val="24"/>
          <w:szCs w:val="24"/>
        </w:rPr>
        <w:t xml:space="preserve">Guardia di Finanza, 32 Carabinieri), 59 parlamentari, 22 dirigenti di polizia, 22</w:t>
      </w:r>
    </w:p>
    <w:p>
      <w:pPr>
        <w:spacing w:after="120" w:line="276"/>
        <w:jc w:val="both"/>
      </w:pPr>
      <w:r>
        <w:rPr>
          <w:rFonts w:ascii="Barlow Semi Condensed" w:cs="Barlow Semi Condensed" w:eastAsia="Barlow Semi Condensed" w:hAnsi="Barlow Semi Condensed"/>
          <w:sz w:val="24"/>
          <w:szCs w:val="24"/>
        </w:rPr>
        <w:t xml:space="preserve">giornalisti, 8 direttori di giornale, 4 editori, 1 giudice costituzionale.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ANNOTAZIONE del 27 agosto 2026 — questa correzione è a sua volta sbagliata, e la ritiro.</w:t>
      </w:r>
      <w:r>
        <w:rPr>
          <w:rFonts w:ascii="Barlow Semi Condensed" w:cs="Barlow Semi Condensed" w:eastAsia="Barlow Semi Condensed" w:hAnsi="Barlow Semi Condensed"/>
          <w:i w:val="false"/>
          <w:iCs w:val="false"/>
          <w:sz w:val="24"/>
          <w:szCs w:val="24"/>
        </w:rPr>
        <w:t xml:space="preserve"> Una ricerca approfondita corrobora </w:t>
      </w:r>
      <w:r>
        <w:rPr>
          <w:rFonts w:ascii="Barlow Semi Condensed" w:cs="Barlow Semi Condensed" w:eastAsia="Barlow Semi Condensed" w:hAnsi="Barlow Semi Condensed"/>
          <w:b/>
          <w:bCs/>
          <w:i w:val="false"/>
          <w:iCs w:val="false"/>
          <w:sz w:val="24"/>
          <w:szCs w:val="24"/>
        </w:rPr>
        <w:t xml:space="preserve">44 parlamentari</w:t>
      </w:r>
      <w:r>
        <w:rPr>
          <w:rFonts w:ascii="Barlow Semi Condensed" w:cs="Barlow Semi Condensed" w:eastAsia="Barlow Semi Condensed" w:hAnsi="Barlow Semi Condensed"/>
          <w:i w:val="false"/>
          <w:iCs w:val="false"/>
          <w:sz w:val="24"/>
          <w:szCs w:val="24"/>
        </w:rPr>
        <w:t xml:space="preserve">, 3 ministri e 1 segretario di partito, dentro un conteggio di 195 ufficiali (12 generali dei Carabinieri, 5 della Guardia di Finanza, 22 dell'Esercito, 4 dell'Aeronautica, 8 ammiragli). Il set con 59 parlamentari e 119 ufficiali non ha trovato fonte esterna e omette del tutto Marina e Aeronautica: è un'altra tassonomia, non un altro conteggio dello stesso campo. </w:t>
      </w:r>
      <w:r>
        <w:rPr>
          <w:rFonts w:ascii="Barlow Semi Condensed" w:cs="Barlow Semi Condensed" w:eastAsia="Barlow Semi Condensed" w:hAnsi="Barlow Semi Condensed"/>
          <w:b/>
          <w:bCs/>
          <w:i w:val="false"/>
          <w:iCs w:val="false"/>
          <w:sz w:val="24"/>
          <w:szCs w:val="24"/>
        </w:rPr>
        <w:t xml:space="preserve">La cifra del corpus era giusta, e l'annotazione che le avevo messo accanto va a sua volta annotata.</w:t>
      </w:r>
      <w:r>
        <w:rPr>
          <w:rFonts w:ascii="Barlow Semi Condensed" w:cs="Barlow Semi Condensed" w:eastAsia="Barlow Semi Condensed" w:hAnsi="Barlow Semi Condensed"/>
          <w:i w:val="false"/>
          <w:iCs w:val="false"/>
          <w:sz w:val="24"/>
          <w:szCs w:val="24"/>
        </w:rPr>
        <w:t xml:space="preserve"> Dettagli in `</w:t>
      </w:r>
      <w:r>
        <w:rPr>
          <w:rFonts w:ascii="Barlow Semi Condensed" w:cs="Barlow Semi Condensed" w:eastAsia="Barlow Semi Condensed" w:hAnsi="Barlow Semi Condensed"/>
          <w:i w:val="false"/>
          <w:iCs w:val="false"/>
          <w:sz w:val="24"/>
          <w:szCs w:val="24"/>
        </w:rPr>
        <w:t xml:space="preserve">certificazione-numeri-p2.md</w:t>
      </w:r>
      <w:r>
        <w:rPr>
          <w:rFonts w:ascii="Barlow Semi Condensed" w:cs="Barlow Semi Condensed" w:eastAsia="Barlow Semi Condensed" w:hAnsi="Barlow Semi Condensed"/>
          <w:i w:val="false"/>
          <w:iCs w:val="false"/>
          <w:sz w:val="24"/>
          <w:szCs w:val="24"/>
        </w:rPr>
        <w:t xml:space="preserve">`, §4.</w:t>
      </w:r>
    </w:p>
    <w:p>
      <w:pPr>
        <w:spacing w:after="120" w:line="276"/>
        <w:jc w:val="both"/>
      </w:pPr>
      <w:r>
        <w:rPr>
          <w:rFonts w:ascii="Barlow Semi Condensed" w:cs="Barlow Semi Condensed" w:eastAsia="Barlow Semi Condensed" w:hAnsi="Barlow Semi Condensed"/>
          <w:sz w:val="24"/>
          <w:szCs w:val="24"/>
        </w:rPr>
        <w:t xml:space="preserve">Come vuole la disciplina dell'opera, </w:t>
      </w:r>
      <w:r>
        <w:rPr>
          <w:rFonts w:ascii="Barlow Semi Condensed" w:cs="Barlow Semi Condensed" w:eastAsia="Barlow Semi Condensed" w:hAnsi="Barlow Semi Condensed"/>
          <w:b/>
          <w:bCs/>
          <w:sz w:val="24"/>
          <w:szCs w:val="24"/>
        </w:rPr>
        <w:t xml:space="preserve">la cifra del corpus non viene cancellata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resta dov'è, e questa annotazione le sta accanto. Quale delle due regga si dirime</w:t>
      </w:r>
    </w:p>
    <w:p>
      <w:pPr>
        <w:spacing w:after="120" w:line="276"/>
        <w:jc w:val="both"/>
      </w:pPr>
      <w:r>
        <w:rPr>
          <w:rFonts w:ascii="Barlow Semi Condensed" w:cs="Barlow Semi Condensed" w:eastAsia="Barlow Semi Condensed" w:hAnsi="Barlow Semi Condensed"/>
          <w:sz w:val="24"/>
          <w:szCs w:val="24"/>
        </w:rPr>
        <w:t xml:space="preserve">sull'allegato, non qui.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6-bis. La percentuale per finestra temporale: Stato Zero</w:t>
      </w:r>
    </w:p>
    <w:p>
      <w:pPr>
        <w:spacing w:after="120" w:line="276"/>
        <w:jc w:val="both"/>
      </w:pPr>
      <w:r>
        <w:rPr>
          <w:rFonts w:ascii="Barlow Semi Condensed" w:cs="Barlow Semi Condensed" w:eastAsia="Barlow Semi Condensed" w:hAnsi="Barlow Semi Condensed"/>
          <w:b/>
          <w:bCs/>
          <w:sz w:val="24"/>
          <w:szCs w:val="24"/>
        </w:rPr>
        <w:t xml:space="preserve">Richiesta:</w:t>
      </w:r>
      <w:r>
        <w:rPr>
          <w:rFonts w:ascii="Barlow Semi Condensed" w:cs="Barlow Semi Condensed" w:eastAsia="Barlow Semi Condensed" w:hAnsi="Barlow Semi Condensed"/>
          <w:sz w:val="24"/>
          <w:szCs w:val="24"/>
        </w:rPr>
        <w:t xml:space="preserve"> la quota di affiliati alla loggia nella finestra che va da sei mesi</w:t>
      </w:r>
    </w:p>
    <w:p>
      <w:pPr>
        <w:spacing w:after="120" w:line="276"/>
        <w:jc w:val="both"/>
      </w:pPr>
      <w:r>
        <w:rPr>
          <w:rFonts w:ascii="Barlow Semi Condensed" w:cs="Barlow Semi Condensed" w:eastAsia="Barlow Semi Condensed" w:hAnsi="Barlow Semi Condensed"/>
          <w:sz w:val="24"/>
          <w:szCs w:val="24"/>
        </w:rPr>
        <w:t xml:space="preserve">prima del sequestro a sei mesi dopo la morte, sul totale di Castiglion Fibocchi.</w:t>
      </w:r>
    </w:p>
    <w:p>
      <w:pPr>
        <w:spacing w:after="120" w:line="276"/>
        <w:jc w:val="both"/>
      </w:pPr>
      <w:r>
        <w:rPr>
          <w:rFonts w:ascii="Barlow Semi Condensed" w:cs="Barlow Semi Condensed" w:eastAsia="Barlow Semi Condensed" w:hAnsi="Barlow Semi Condensed"/>
          <w:b/>
          <w:bCs/>
          <w:sz w:val="24"/>
          <w:szCs w:val="24"/>
        </w:rPr>
        <w:t xml:space="preserve">Esito: non calcolabile sui dati disponibili.</w:t>
      </w:r>
      <w:r>
        <w:rPr>
          <w:rFonts w:ascii="Barlow Semi Condensed" w:cs="Barlow Semi Condensed" w:eastAsia="Barlow Semi Condensed" w:hAnsi="Barlow Semi Condensed"/>
          <w:sz w:val="24"/>
          <w:szCs w:val="24"/>
        </w:rPr>
        <w:t xml:space="preserve"> Il denominatore è documentato</w:t>
      </w:r>
    </w:p>
    <w:p>
      <w:pPr>
        <w:spacing w:after="120" w:line="276"/>
        <w:jc w:val="both"/>
      </w:pPr>
      <w:r>
        <w:rPr>
          <w:rFonts w:ascii="Barlow Semi Condensed" w:cs="Barlow Semi Condensed" w:eastAsia="Barlow Semi Condensed" w:hAnsi="Barlow Semi Condensed"/>
          <w:sz w:val="24"/>
          <w:szCs w:val="24"/>
        </w:rPr>
        <w:t xml:space="preserve">(962). Il numeratore richiede, per ciascun nominativo, </w:t>
      </w:r>
      <w:r>
        <w:rPr>
          <w:rFonts w:ascii="Barlow Semi Condensed" w:cs="Barlow Semi Condensed" w:eastAsia="Barlow Semi Condensed" w:hAnsi="Barlow Semi Condensed"/>
          <w:b/>
          <w:bCs/>
          <w:sz w:val="24"/>
          <w:szCs w:val="24"/>
        </w:rPr>
        <w:t xml:space="preserve">la data di affiliazione</w:t>
      </w:r>
      <w:r>
        <w:rPr>
          <w:rFonts w:ascii="Barlow Semi Condensed" w:cs="Barlow Semi Condensed" w:eastAsia="Barlow Semi Condensed" w:hAnsi="Barlow Semi Condensed"/>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righe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righe della tabella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33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con una data di affiliazione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collocabili in un mese preciso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collocabili dentro la finestra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due righe datate sono </w:t>
      </w:r>
      <w:r>
        <w:rPr>
          <w:rFonts w:ascii="Barlow Semi Condensed" w:cs="Barlow Semi Condensed" w:eastAsia="Barlow Semi Condensed" w:hAnsi="Barlow Semi Condensed"/>
          <w:b/>
          <w:bCs/>
          <w:sz w:val="24"/>
          <w:szCs w:val="24"/>
        </w:rPr>
        <w:t xml:space="preserve">Torrisi</w:t>
      </w:r>
      <w:r>
        <w:rPr>
          <w:rFonts w:ascii="Barlow Semi Condensed" w:cs="Barlow Semi Condensed" w:eastAsia="Barlow Semi Condensed" w:hAnsi="Barlow Semi Condensed"/>
          <w:sz w:val="24"/>
          <w:szCs w:val="24"/>
        </w:rPr>
        <w:t xml:space="preserve"> («affiliato dal gennaio 1978») e </w:t>
      </w:r>
      <w:r>
        <w:rPr>
          <w:rFonts w:ascii="Barlow Semi Condensed" w:cs="Barlow Semi Condensed" w:eastAsia="Barlow Semi Condensed" w:hAnsi="Barlow Semi Condensed"/>
          <w:b/>
          <w:bCs/>
          <w:sz w:val="24"/>
          <w:szCs w:val="24"/>
        </w:rPr>
        <w:t xml:space="preserve">Grassini</w:t>
      </w:r>
    </w:p>
    <w:p>
      <w:pPr>
        <w:spacing w:after="120" w:line="276"/>
        <w:jc w:val="both"/>
      </w:pPr>
      <w:r>
        <w:rPr>
          <w:rFonts w:ascii="Barlow Semi Condensed" w:cs="Barlow Semi Condensed" w:eastAsia="Barlow Semi Condensed" w:hAnsi="Barlow Semi Condensed"/>
          <w:sz w:val="24"/>
          <w:szCs w:val="24"/>
        </w:rPr>
        <w:t xml:space="preserve">(«affiliato retrodatato al 1977»). Le altre trentuno recano date di incarico o di</w:t>
      </w:r>
    </w:p>
    <w:p>
      <w:pPr>
        <w:spacing w:after="120" w:line="276"/>
        <w:jc w:val="both"/>
      </w:pPr>
      <w:r>
        <w:rPr>
          <w:rFonts w:ascii="Barlow Semi Condensed" w:cs="Barlow Semi Condensed" w:eastAsia="Barlow Semi Condensed" w:hAnsi="Barlow Semi Condensed"/>
          <w:sz w:val="24"/>
          <w:szCs w:val="24"/>
        </w:rPr>
        <w:t xml:space="preserve">morte, che sono un'altra cosa. Delle due, solo la prima è collocabile in un mese:</w:t>
      </w:r>
    </w:p>
    <w:p>
      <w:pPr>
        <w:spacing w:after="120" w:line="276"/>
        <w:jc w:val="both"/>
      </w:pPr>
      <w:r>
        <w:rPr>
          <w:rFonts w:ascii="Barlow Semi Condensed" w:cs="Barlow Semi Condensed" w:eastAsia="Barlow Semi Condensed" w:hAnsi="Barlow Semi Condensed"/>
          <w:sz w:val="24"/>
          <w:szCs w:val="24"/>
        </w:rPr>
        <w:t xml:space="preserve">«1977» senza mese non si posa in alcun punto della finestra, e «retrodatato» è per</w:t>
      </w:r>
    </w:p>
    <w:p>
      <w:pPr>
        <w:spacing w:after="120" w:line="276"/>
        <w:jc w:val="both"/>
      </w:pPr>
      <w:r>
        <w:rPr>
          <w:rFonts w:ascii="Barlow Semi Condensed" w:cs="Barlow Semi Condensed" w:eastAsia="Barlow Semi Condensed" w:hAnsi="Barlow Semi Condensed"/>
          <w:sz w:val="24"/>
          <w:szCs w:val="24"/>
        </w:rPr>
        <w:t xml:space="preserve">giunta un'affermazione su un registro alterato, non una data.</w:t>
      </w:r>
    </w:p>
    <w:p>
      <w:pPr>
        <w:spacing w:after="120" w:line="276"/>
        <w:jc w:val="both"/>
      </w:pPr>
      <w:r>
        <w:rPr>
          <w:rFonts w:ascii="Barlow Semi Condensed" w:cs="Barlow Semi Condensed" w:eastAsia="Barlow Semi Condensed" w:hAnsi="Barlow Semi Condensed"/>
          <w:sz w:val="24"/>
          <w:szCs w:val="24"/>
        </w:rPr>
        <w:t xml:space="preserve">Su una riga su trentatré non si costruisce una distribuzione temporale. Un grafico</w:t>
      </w:r>
    </w:p>
    <w:p>
      <w:pPr>
        <w:spacing w:after="120" w:line="276"/>
        <w:jc w:val="both"/>
      </w:pPr>
      <w:r>
        <w:rPr>
          <w:rFonts w:ascii="Barlow Semi Condensed" w:cs="Barlow Semi Condensed" w:eastAsia="Barlow Semi Condensed" w:hAnsi="Barlow Semi Condensed"/>
          <w:sz w:val="24"/>
          <w:szCs w:val="24"/>
        </w:rPr>
        <w:t xml:space="preserve">che ripartisse i 962 fra «prima», «durante» e «dopo» misurerebbe un'ipotesi</w:t>
      </w:r>
    </w:p>
    <w:p>
      <w:pPr>
        <w:spacing w:after="120" w:line="276"/>
        <w:jc w:val="both"/>
      </w:pPr>
      <w:r>
        <w:rPr>
          <w:rFonts w:ascii="Barlow Semi Condensed" w:cs="Barlow Semi Condensed" w:eastAsia="Barlow Semi Condensed" w:hAnsi="Barlow Semi Condensed"/>
          <w:sz w:val="24"/>
          <w:szCs w:val="24"/>
        </w:rPr>
        <w:t xml:space="preserve">travestita da conteggio.</w:t>
      </w:r>
    </w:p>
    <w:p>
      <w:pPr>
        <w:spacing w:after="120" w:line="276"/>
        <w:jc w:val="both"/>
      </w:pPr>
      <w:r>
        <w:rPr>
          <w:rFonts w:ascii="Barlow Semi Condensed" w:cs="Barlow Semi Condensed" w:eastAsia="Barlow Semi Condensed" w:hAnsi="Barlow Semi Condensed"/>
          <w:b/>
          <w:bCs/>
          <w:sz w:val="24"/>
          <w:szCs w:val="24"/>
        </w:rPr>
        <w:t xml:space="preserve">Stato Zero dichiarato</w:t>
      </w:r>
      <w:r>
        <w:rPr>
          <w:rFonts w:ascii="Barlow Semi Condensed" w:cs="Barlow Semi Condensed" w:eastAsia="Barlow Semi Condensed" w:hAnsi="Barlow Semi Condensed"/>
          <w:sz w:val="24"/>
          <w:szCs w:val="24"/>
        </w:rPr>
        <w:t xml:space="preserve"> — sede cercata: la tabella dei trentatré nomi del testo</w:t>
      </w:r>
    </w:p>
    <w:p>
      <w:pPr>
        <w:spacing w:after="120" w:line="276"/>
        <w:jc w:val="both"/>
      </w:pPr>
      <w:r>
        <w:rPr>
          <w:rFonts w:ascii="Barlow Semi Condensed" w:cs="Barlow Semi Condensed" w:eastAsia="Barlow Semi Condensed" w:hAnsi="Barlow Semi Condensed"/>
          <w:sz w:val="24"/>
          <w:szCs w:val="24"/>
        </w:rPr>
        <w:t xml:space="preserve">esaminato. Campo cercato: l'affiliazione datata. Esito della ricerca: negativo.</w:t>
      </w:r>
    </w:p>
    <w:p>
      <w:pPr>
        <w:pStyle w:val="Heading3"/>
        <w:spacing w:after="80" w:before="160"/>
      </w:pPr>
      <w:r>
        <w:rPr>
          <w:rFonts w:ascii="Barlow Semi Condensed" w:cs="Barlow Semi Condensed" w:eastAsia="Barlow Semi Condensed" w:hAnsi="Barlow Semi Condensed"/>
          <w:sz w:val="24"/>
          <w:szCs w:val="24"/>
        </w:rPr>
        <w:t xml:space="preserve">La sola percentuale che i dati reggono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grandezza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assoluto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quota dei 962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nomi asseriti dal testo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3,43 %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appartenenza corroborata fuori dal testo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2,08 %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posizione definita in sede giudiziaria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0,10 %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numero di tessera verificato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0,00 %</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È una percentuale </w:t>
      </w:r>
      <w:r>
        <w:rPr>
          <w:rFonts w:ascii="Barlow Semi Condensed" w:cs="Barlow Semi Condensed" w:eastAsia="Barlow Semi Condensed" w:hAnsi="Barlow Semi Condensed"/>
          <w:b/>
          <w:bCs/>
          <w:sz w:val="24"/>
          <w:szCs w:val="24"/>
        </w:rPr>
        <w:t xml:space="preserve">sulla lista, non sulla finestra</w:t>
      </w:r>
      <w:r>
        <w:rPr>
          <w:rFonts w:ascii="Barlow Semi Condensed" w:cs="Barlow Semi Condensed" w:eastAsia="Barlow Semi Condensed" w:hAnsi="Barlow Semi Condensed"/>
          <w:sz w:val="24"/>
          <w:szCs w:val="24"/>
        </w:rPr>
        <w:t xml:space="preserve">: dice quanta parte</w:t>
      </w:r>
    </w:p>
    <w:p>
      <w:pPr>
        <w:spacing w:after="120" w:line="276"/>
        <w:jc w:val="both"/>
      </w:pPr>
      <w:r>
        <w:rPr>
          <w:rFonts w:ascii="Barlow Semi Condensed" w:cs="Barlow Semi Condensed" w:eastAsia="Barlow Semi Condensed" w:hAnsi="Barlow Semi Condensed"/>
          <w:sz w:val="24"/>
          <w:szCs w:val="24"/>
        </w:rPr>
        <w:t xml:space="preserve">dell'elenco il testo tocca, non quanti fossero iscritti nel 1978.</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7. Che cosa serve</w:t>
      </w:r>
    </w:p>
    <w:p>
      <w:pPr>
        <w:spacing w:after="120" w:line="276"/>
        <w:jc w:val="both"/>
      </w:pPr>
      <w:r>
        <w:rPr>
          <w:rFonts w:ascii="Barlow Semi Condensed" w:cs="Barlow Semi Condensed" w:eastAsia="Barlow Semi Condensed" w:hAnsi="Barlow Semi Condensed"/>
          <w:sz w:val="24"/>
          <w:szCs w:val="24"/>
        </w:rPr>
        <w:t xml:space="preserve">**L'allegato alla Doc. XXIII n. 2 — Relazione della Commissione parlamentare</w:t>
      </w:r>
    </w:p>
    <w:p>
      <w:pPr>
        <w:spacing w:after="120" w:line="276"/>
        <w:jc w:val="both"/>
      </w:pPr>
      <w:r>
        <w:rPr>
          <w:rFonts w:ascii="Barlow Semi Condensed" w:cs="Barlow Semi Condensed" w:eastAsia="Barlow Semi Condensed" w:hAnsi="Barlow Semi Condensed"/>
          <w:sz w:val="24"/>
          <w:szCs w:val="24"/>
        </w:rPr>
        <w:t xml:space="preserve">d'inchiesta sulla Loggia P2, 12 luglio 1984**, dove i numeri stanno scritti</w:t>
      </w:r>
    </w:p>
    <w:p>
      <w:pPr>
        <w:spacing w:after="120" w:line="276"/>
        <w:jc w:val="both"/>
      </w:pPr>
      <w:r>
        <w:rPr>
          <w:rFonts w:ascii="Barlow Semi Condensed" w:cs="Barlow Semi Condensed" w:eastAsia="Barlow Semi Condensed" w:hAnsi="Barlow Semi Condensed"/>
          <w:sz w:val="24"/>
          <w:szCs w:val="24"/>
        </w:rPr>
        <w:t xml:space="preserve">accanto ai nomi — e, per una parte degli iscritti, la data di adesione, che è il</w:t>
      </w:r>
    </w:p>
    <w:p>
      <w:pPr>
        <w:spacing w:after="120" w:line="276"/>
        <w:jc w:val="both"/>
      </w:pPr>
      <w:r>
        <w:rPr>
          <w:rFonts w:ascii="Barlow Semi Condensed" w:cs="Barlow Semi Condensed" w:eastAsia="Barlow Semi Condensed" w:hAnsi="Barlow Semi Condensed"/>
          <w:sz w:val="24"/>
          <w:szCs w:val="24"/>
        </w:rPr>
        <w:t xml:space="preserve">campo mancante del calcolo per finestra temporale. La relazione è pubblica; l'allegato nominativo va richiesto</w:t>
      </w:r>
    </w:p>
    <w:p>
      <w:pPr>
        <w:spacing w:after="120" w:line="276"/>
        <w:jc w:val="both"/>
      </w:pPr>
      <w:r>
        <w:rPr>
          <w:rFonts w:ascii="Barlow Semi Condensed" w:cs="Barlow Semi Condensed" w:eastAsia="Barlow Semi Condensed" w:hAnsi="Barlow Semi Condensed"/>
          <w:sz w:val="24"/>
          <w:szCs w:val="24"/>
        </w:rPr>
        <w:t xml:space="preserve">all'Archivio storico della Camera dei deputati.</w:t>
      </w:r>
    </w:p>
    <w:p>
      <w:pPr>
        <w:spacing w:after="120" w:line="276"/>
        <w:jc w:val="both"/>
      </w:pPr>
      <w:r>
        <w:rPr>
          <w:rFonts w:ascii="Barlow Semi Condensed" w:cs="Barlow Semi Condensed" w:eastAsia="Barlow Semi Condensed" w:hAnsi="Barlow Semi Condensed"/>
          <w:sz w:val="24"/>
          <w:szCs w:val="24"/>
        </w:rPr>
        <w:t xml:space="preserve">Finché non è sul tavolo, **nessun numero di questo elenco va pubblicato come</w:t>
      </w:r>
    </w:p>
    <w:p>
      <w:pPr>
        <w:spacing w:after="120" w:line="276"/>
        <w:jc w:val="both"/>
      </w:pPr>
      <w:r>
        <w:rPr>
          <w:rFonts w:ascii="Barlow Semi Condensed" w:cs="Barlow Semi Condensed" w:eastAsia="Barlow Semi Condensed" w:hAnsi="Barlow Semi Condensed"/>
          <w:sz w:val="24"/>
          <w:szCs w:val="24"/>
        </w:rPr>
        <w:t xml:space="preserve">certificato**, e nessuna percentuale va calcolata su di esso.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8. La regola che sopravvive a ogni esito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L'appartenenza a un'organizzazione non è prova di condotta.</w:t>
      </w:r>
    </w:p>
    <w:p>
      <w:pPr>
        <w:spacing w:after="120" w:line="276"/>
        <w:jc w:val="both"/>
      </w:pPr>
      <w:r>
        <w:rPr>
          <w:rFonts w:ascii="Barlow Semi Condensed" w:cs="Barlow Semi Condensed" w:eastAsia="Barlow Semi Condensed" w:hAnsi="Barlow Semi Condensed"/>
          <w:sz w:val="24"/>
          <w:szCs w:val="24"/>
        </w:rPr>
        <w:t xml:space="preserve">Se l'allegato confermasse tutti e trentatré i numeri, si sarebbe accertata</w:t>
      </w:r>
    </w:p>
    <w:p>
      <w:pPr>
        <w:spacing w:after="120" w:line="276"/>
        <w:jc w:val="both"/>
      </w:pPr>
      <w:r>
        <w:rPr>
          <w:rFonts w:ascii="Barlow Semi Condensed" w:cs="Barlow Semi Condensed" w:eastAsia="Barlow Semi Condensed" w:hAnsi="Barlow Semi Condensed"/>
          <w:sz w:val="24"/>
          <w:szCs w:val="24"/>
        </w:rPr>
        <w:t xml:space="preserve">l'appartenenza di trentatré persone a una loggia, e nient'altro: nessuna condotta,</w:t>
      </w:r>
    </w:p>
    <w:p>
      <w:pPr>
        <w:spacing w:after="120" w:line="276"/>
        <w:jc w:val="both"/>
      </w:pPr>
      <w:r>
        <w:rPr>
          <w:rFonts w:ascii="Barlow Semi Condensed" w:cs="Barlow Semi Condensed" w:eastAsia="Barlow Semi Condensed" w:hAnsi="Barlow Semi Condensed"/>
          <w:sz w:val="24"/>
          <w:szCs w:val="24"/>
        </w:rPr>
        <w:t xml:space="preserve">nessuna responsabilità, nessun concorso. La distanza fra le due cose è l'intera</w:t>
      </w:r>
    </w:p>
    <w:p>
      <w:pPr>
        <w:spacing w:after="120" w:line="276"/>
        <w:jc w:val="both"/>
      </w:pPr>
      <w:r>
        <w:rPr>
          <w:rFonts w:ascii="Barlow Semi Condensed" w:cs="Barlow Semi Condensed" w:eastAsia="Barlow Semi Condensed" w:hAnsi="Barlow Semi Condensed"/>
          <w:sz w:val="24"/>
          <w:szCs w:val="24"/>
        </w:rPr>
        <w:t xml:space="preserve">ragione per cui questa verifica esiste.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w:t>
      </w:r>
    </w:p>
    <w:p>
      <w:pPr>
        <w:spacing w:after="120" w:line="276"/>
        <w:jc w:val="both"/>
      </w:pPr>
      <w:r>
        <w:rPr>
          <w:rFonts w:ascii="Barlow Semi Condensed" w:cs="Barlow Semi Condensed" w:eastAsia="Barlow Semi Condensed" w:hAnsi="Barlow Semi Condensed"/>
          <w:b/>
          <w:bCs/>
          <w:sz w:val="24"/>
          <w:szCs w:val="24"/>
        </w:rPr>
        <w:t xml:space="preserve">Grafici del lotto</w:t>
      </w:r>
      <w:r>
        <w:rPr>
          <w:rFonts w:ascii="Barlow Semi Condensed" w:cs="Barlow Semi Condensed" w:eastAsia="Barlow Semi Condensed" w:hAnsi="Barlow Semi Condensed"/>
          <w:sz w:val="24"/>
          <w:szCs w:val="24"/>
        </w:rPr>
        <w:t xml:space="preserve"> — nove, generati da </w:t>
      </w:r>
      <w:r>
        <w:rPr>
          <w:rFonts w:ascii="Barlow Semi Condensed" w:cs="Barlow Semi Condensed" w:eastAsia="Barlow Semi Condensed" w:hAnsi="Barlow Semi Condensed"/>
          <w:i/>
          <w:iCs/>
          <w:sz w:val="24"/>
          <w:szCs w:val="24"/>
        </w:rPr>
        <w:t xml:space="preserve">_verifiche/generatori/gen_verifica_p2.py</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nello stile della casa (fondo a gradiente crema, inchiostro blu navy). Ogni</w:t>
      </w:r>
    </w:p>
    <w:p>
      <w:pPr>
        <w:spacing w:after="120" w:line="276"/>
        <w:jc w:val="both"/>
      </w:pPr>
      <w:r>
        <w:rPr>
          <w:rFonts w:ascii="Barlow Semi Condensed" w:cs="Barlow Semi Condensed" w:eastAsia="Barlow Semi Condensed" w:hAnsi="Barlow Semi Condensed"/>
          <w:sz w:val="24"/>
          <w:szCs w:val="24"/>
        </w:rPr>
        <w:t xml:space="preserve">immagine porta in calce la propria nota di metodo, che è parte del grafico.</w:t>
      </w:r>
    </w:p>
    <w:p>
      <w:pPr>
        <w:spacing w:after="120" w:line="276"/>
        <w:jc w:val="both"/>
      </w:pPr>
      <w:r>
        <w:rPr>
          <w:rFonts w:ascii="Barlow Semi Condensed" w:cs="Barlow Semi Condensed" w:eastAsia="Barlow Semi Condensed" w:hAnsi="Barlow Semi Condensed"/>
          <w:b/>
          <w:bCs/>
          <w:sz w:val="24"/>
          <w:szCs w:val="24"/>
        </w:rPr>
        <w:t xml:space="preserve">Fonti documentali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Relazione della Commissione parlamentare d'inchiesta sulla Loggia P2, Cap. II —</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Autenticità e attendibilità delle liste</w:t>
      </w:r>
      <w:r>
        <w:rPr>
          <w:rFonts w:ascii="Barlow Semi Condensed" w:cs="Barlow Semi Condensed" w:eastAsia="Barlow Semi Condensed" w:hAnsi="Barlow Semi Condensed"/>
          <w:sz w:val="24"/>
          <w:szCs w:val="24"/>
        </w:rPr>
        <w:t xml:space="preserve">, it.wikisource.org</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Relazione Anselmi, testo integrale — archivioantimafia.org</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Appartenenti alla P2</w:t>
      </w:r>
      <w:r>
        <w:rPr>
          <w:rFonts w:ascii="Barlow Semi Condensed" w:cs="Barlow Semi Condensed" w:eastAsia="Barlow Semi Condensed" w:hAnsi="Barlow Semi Condensed"/>
          <w:sz w:val="24"/>
          <w:szCs w:val="24"/>
        </w:rPr>
        <w:t xml:space="preserve"> — it.wikipedia.org</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Il Fatto Quotidiano</w:t>
      </w:r>
      <w:r>
        <w:rPr>
          <w:rFonts w:ascii="Barlow Semi Condensed" w:cs="Barlow Semi Condensed" w:eastAsia="Barlow Semi Condensed" w:hAnsi="Barlow Semi Condensed"/>
          <w:sz w:val="24"/>
          <w:szCs w:val="24"/>
        </w:rPr>
        <w:t xml:space="preserve">, 17 marzo 2021, sull'incompletezza degli elenchi</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Comitato esecutivo per i servizi di informazione e sicurezza</w:t>
      </w:r>
      <w:r>
        <w:rPr>
          <w:rFonts w:ascii="Barlow Semi Condensed" w:cs="Barlow Semi Condensed" w:eastAsia="Barlow Semi Condensed" w:hAnsi="Barlow Semi Condensed"/>
          <w:sz w:val="24"/>
          <w:szCs w:val="24"/>
        </w:rPr>
        <w:t xml:space="preserve"> — it.wikipedia.org</w:t>
      </w:r>
    </w:p>
    <w:p>
      <w:pPr>
        <w:spacing w:after="120" w:line="276"/>
        <w:jc w:val="both"/>
      </w:pPr>
      <w:r>
        <w:rPr>
          <w:rFonts w:ascii="Barlow Semi Condensed" w:cs="Barlow Semi Condensed" w:eastAsia="Barlow Semi Condensed" w:hAnsi="Barlow Semi Condensed"/>
          <w:b/>
          <w:bCs/>
          <w:sz w:val="24"/>
          <w:szCs w:val="24"/>
        </w:rPr>
        <w:t xml:space="preserve">Correzioni interne a questa verifica</w:t>
      </w:r>
      <w:r>
        <w:rPr>
          <w:rFonts w:ascii="Barlow Semi Condensed" w:cs="Barlow Semi Condensed" w:eastAsia="Barlow Semi Condensed" w:hAnsi="Barlow Semi Condensed"/>
          <w:sz w:val="24"/>
          <w:szCs w:val="24"/>
        </w:rPr>
        <w:t xml:space="preserve">, annotate e non sostituite: in una prima</w:t>
      </w:r>
    </w:p>
    <w:p>
      <w:pPr>
        <w:spacing w:after="120" w:line="276"/>
        <w:jc w:val="both"/>
      </w:pPr>
      <w:r>
        <w:rPr>
          <w:rFonts w:ascii="Barlow Semi Condensed" w:cs="Barlow Semi Condensed" w:eastAsia="Barlow Semi Condensed" w:hAnsi="Barlow Semi Condensed"/>
          <w:sz w:val="24"/>
          <w:szCs w:val="24"/>
        </w:rPr>
        <w:t xml:space="preserve">stesura la tessera 811 era stata attribuita a Ortolani (è di Rizzuti; Ortolani è</w:t>
      </w:r>
    </w:p>
    <w:p>
      <w:pPr>
        <w:spacing w:after="120" w:line="276"/>
        <w:jc w:val="both"/>
      </w:pPr>
      <w:r>
        <w:rPr>
          <w:rFonts w:ascii="Barlow Semi Condensed" w:cs="Barlow Semi Condensed" w:eastAsia="Barlow Semi Condensed" w:hAnsi="Barlow Semi Condensed"/>
          <w:sz w:val="24"/>
          <w:szCs w:val="24"/>
        </w:rPr>
        <w:t xml:space="preserve">1609), e i nomi di Chichiarelli, Vitalone, Terranova e Napoletano erano stati</w:t>
      </w:r>
    </w:p>
    <w:p>
      <w:pPr>
        <w:spacing w:after="120" w:line="276"/>
        <w:jc w:val="both"/>
      </w:pPr>
      <w:r>
        <w:rPr>
          <w:rFonts w:ascii="Barlow Semi Condensed" w:cs="Barlow Semi Condensed" w:eastAsia="Barlow Semi Condensed" w:hAnsi="Barlow Semi Condensed"/>
          <w:sz w:val="24"/>
          <w:szCs w:val="24"/>
        </w:rPr>
        <w:t xml:space="preserve">trattati come righe della tabella dei trentatré, mentre appartengono ad altre</w:t>
      </w:r>
    </w:p>
    <w:p>
      <w:pPr>
        <w:spacing w:after="120" w:line="276"/>
        <w:jc w:val="both"/>
      </w:pPr>
      <w:r>
        <w:rPr>
          <w:rFonts w:ascii="Barlow Semi Condensed" w:cs="Barlow Semi Condensed" w:eastAsia="Barlow Semi Condensed" w:hAnsi="Barlow Semi Condensed"/>
          <w:sz w:val="24"/>
          <w:szCs w:val="24"/>
        </w:rPr>
        <w:t xml:space="preserve">sezioni del testo esaminato. La tabella ha trentatré righe esatte, contate una per</w:t>
      </w:r>
    </w:p>
    <w:p>
      <w:pPr>
        <w:spacing w:after="120" w:line="276"/>
        <w:jc w:val="both"/>
      </w:pPr>
      <w:r>
        <w:rPr>
          <w:rFonts w:ascii="Barlow Semi Condensed" w:cs="Barlow Semi Condensed" w:eastAsia="Barlow Semi Condensed" w:hAnsi="Barlow Semi Condensed"/>
          <w:sz w:val="24"/>
          <w:szCs w:val="24"/>
        </w:rPr>
        <w:t xml:space="preserve">una sul testo originale.</w:t>
      </w:r>
    </w:p>
    <w:p>
      <w:pPr>
        <w:pStyle w:val="Heading3"/>
        <w:spacing w:after="80" w:before="240"/>
      </w:pPr>
      <w:r>
        <w:rPr>
          <w:rFonts w:ascii="Barlow Semi Condensed" w:cs="Barlow Semi Condensed" w:eastAsia="Barlow Semi Condensed" w:hAnsi="Barlow Semi Condensed"/>
          <w:sz w:val="24"/>
          <w:szCs w:val="24"/>
        </w:rPr>
        <w:t xml:space="preserve">Apparato grafico — Appendici · Verifica di un elenco esterno (i trentatré nomi)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III: 1.798 parole in 9 sezioni; la più ampia è §2 2. Il rilievo dirimente: la soglia del 1.600, con 333.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III: 53 paragrafi in 9 sezioni, 6 in media per sezione.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 quattro campi della tabella verificata e quanti nomi reggono in ciascuno: trentatré nomi, trentatré ruoli verificabili, venti appartenenze corroborate, nessun numero di tessera.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Quattro dei trentatré valori dichiarati come numero di tessera cadono sotto il 1.600, soglia verbalizzata negli atti della Commissione; un quinto vi si posa esatto.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Ripartizione delle trentatré righe per sede istituzionale attribuita nel 1978: quindici nei servizi informativi, ventidue in apparati che rispondono all'esecutivo.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composizione degli elenchi secondo le fonti sui lavori della Commissione Anselmi, con l'annotazione sulla cifra dei parlamentari registrata nel Libro quarto.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Quattrocentodiciannove giorni la finestra richiesta, 1.097 dai fatti al sequestro degli elenchi, 2.310 dai fatti al deposito della relazione di maggioranza.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finestra dei sei mesi misurata sul corpus: la documentazione si addensa sui tre mesi del sequestro e si dirada ai due estremi.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Le sole percentuali sui 962 che i dati consentano di calcolare: 3,43 per cento i nomi asseriti, 2,08 quelli con appartenenza corroborata, zero quelli con un numero verificato.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Il campo che il calcolo per finestra temporale richiederebbe: due righe su trentatré portano una data di affiliazione, una sola è collocabile in un mese preciso.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 quattrocentodiciannove giorni della finestra, con i cinquantacinque della prigionia in evidenza, e i due soli dati datati della tabella verificata.</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i. La guida alla lettura</w:t>
      </w:r>
    </w:p>
    <w:p>
      <w:pPr>
        <w:pStyle w:val="Heading1"/>
        <w:spacing w:after="120" w:before="240"/>
      </w:pPr>
      <w:r>
        <w:rPr>
          <w:rFonts w:ascii="Barlow Semi Condensed" w:cs="Barlow Semi Condensed" w:eastAsia="Barlow Semi Condensed" w:hAnsi="Barlow Semi Condensed"/>
          <w:sz w:val="24"/>
          <w:szCs w:val="24"/>
        </w:rPr>
        <w:t xml:space="preserve">Guida alla lettura del corpus storico</w:t>
      </w:r>
    </w:p>
    <w:p>
      <w:pPr>
        <w:spacing w:after="120" w:line="276"/>
        <w:jc w:val="both"/>
      </w:pPr>
      <w:r>
        <w:rPr>
          <w:rFonts w:ascii="Barlow Semi Condensed" w:cs="Barlow Semi Condensed" w:eastAsia="Barlow Semi Condensed" w:hAnsi="Barlow Semi Condensed"/>
          <w:i/>
          <w:iCs/>
          <w:sz w:val="24"/>
          <w:szCs w:val="24"/>
        </w:rPr>
        <w:t xml:space="preserve">Porta d'ingresso ai documenti storici del branch `claude/amnistiati-tribunale-speciale-a82lzn` — aggiornata al 25 agosto 2026</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L'opera integrale — «Aldo Moro. Ottanta anni di Pace».</w:t>
      </w:r>
      <w:r>
        <w:rPr>
          <w:rFonts w:ascii="Barlow Semi Condensed" w:cs="Barlow Semi Condensed" w:eastAsia="Barlow Semi Condensed" w:hAnsi="Barlow Semi Condensed"/>
          <w:i w:val="false"/>
          <w:iCs w:val="false"/>
          <w:sz w:val="24"/>
          <w:szCs w:val="24"/>
        </w:rPr>
        <w:t xml:space="preserve"> L'intero corpus di questo branch è rilegato in un solo volume col titolo scelto dall'autore (chiave interpretativa dichiarata in copertina come lente, non sentenza), in doppia edizione: `</w:t>
      </w:r>
      <w:r>
        <w:rPr>
          <w:rFonts w:ascii="Barlow Semi Condensed" w:cs="Barlow Semi Condensed" w:eastAsia="Barlow Semi Condensed" w:hAnsi="Barlow Semi Condensed"/>
          <w:i w:val="false"/>
          <w:iCs w:val="false"/>
          <w:sz w:val="24"/>
          <w:szCs w:val="24"/>
        </w:rPr>
        <w:t xml:space="preserve">UNA_GUERRA_SENZA_FINE_OPERA_INTEGRALE.docx</w:t>
      </w:r>
      <w:r>
        <w:rPr>
          <w:rFonts w:ascii="Barlow Semi Condensed" w:cs="Barlow Semi Condensed" w:eastAsia="Barlow Semi Condensed" w:hAnsi="Barlow Semi Condensed"/>
          <w:i w:val="false"/>
          <w:iCs w:val="false"/>
          <w:sz w:val="24"/>
          <w:szCs w:val="24"/>
        </w:rPr>
        <w:t xml:space="preserve"> · [</w:t>
      </w:r>
      <w:r>
        <w:rPr>
          <w:rFonts w:ascii="Barlow Semi Condensed" w:cs="Barlow Semi Condensed" w:eastAsia="Barlow Semi Condensed" w:hAnsi="Barlow Semi Condensed"/>
          <w:i w:val="false"/>
          <w:iCs w:val="false"/>
          <w:sz w:val="24"/>
          <w:szCs w:val="24"/>
        </w:rPr>
        <w:t xml:space="preserve">.pdf`](UNA_GUERRA_SENZA_FINE_OPERA_INTEGRALE.pdf) (2.465 pagine, edizione integrale in senso stretto, in Barlow Semi Condensed, con l'apparato grafico a piè di ogni capitolo e l'apparato conclusivo delle note bibliografiche dalla prima all'ultima) — il Portale, sedici Libri (col </w:t>
      </w:r>
      <w:r>
        <w:rPr>
          <w:rFonts w:ascii="Barlow Semi Condensed" w:cs="Barlow Semi Condensed" w:eastAsia="Barlow Semi Condensed" w:hAnsi="Barlow Semi Condensed"/>
          <w:b/>
          <w:bCs/>
          <w:i w:val="false"/>
          <w:iCs w:val="false"/>
          <w:sz w:val="24"/>
          <w:szCs w:val="24"/>
        </w:rPr>
        <w:t xml:space="preserve">Dossier maggiore dell'autore</w:t>
      </w:r>
      <w:r>
        <w:rPr>
          <w:rFonts w:ascii="Barlow Semi Condensed" w:cs="Barlow Semi Condensed" w:eastAsia="Barlow Semi Condensed" w:hAnsi="Barlow Semi Condensed"/>
          <w:i w:val="false"/>
          <w:iCs w:val="false"/>
          <w:sz w:val="24"/>
          <w:szCs w:val="24"/>
        </w:rPr>
        <w:t xml:space="preserve"> al quarto, e col fascicolo aperto in sette parti: l'intera quadriga investigativa e la triangolazione Kissinger in mille blocchi) e quattro Appendici — la terza è la verifica di un elenco esterno sottoposto al corpus, la quarta assorbe l'apparato di navigazione e l'intero dossier di invio —, nell'ordine di lettura, </w:t>
      </w:r>
      <w:r>
        <w:rPr>
          <w:rFonts w:ascii="Barlow Semi Condensed" w:cs="Barlow Semi Condensed" w:eastAsia="Barlow Semi Condensed" w:hAnsi="Barlow Semi Condensed"/>
          <w:b/>
          <w:bCs/>
          <w:i w:val="false"/>
          <w:iCs w:val="false"/>
          <w:sz w:val="24"/>
          <w:szCs w:val="24"/>
        </w:rPr>
        <w:t xml:space="preserve">settima edizione accresciuta</w:t>
      </w:r>
      <w:r>
        <w:rPr>
          <w:rFonts w:ascii="Barlow Semi Condensed" w:cs="Barlow Semi Condensed" w:eastAsia="Barlow Semi Condensed" w:hAnsi="Barlow Semi Condensed"/>
          <w:i w:val="false"/>
          <w:iCs w:val="false"/>
          <w:sz w:val="24"/>
          <w:szCs w:val="24"/>
        </w:rPr>
        <w:t xml:space="preserve">. Il </w:t>
      </w:r>
      <w:r>
        <w:rPr>
          <w:rFonts w:ascii="Barlow Semi Condensed" w:cs="Barlow Semi Condensed" w:eastAsia="Barlow Semi Condensed" w:hAnsi="Barlow Semi Condensed"/>
          <w:b/>
          <w:bCs/>
          <w:i w:val="false"/>
          <w:iCs w:val="false"/>
          <w:sz w:val="24"/>
          <w:szCs w:val="24"/>
        </w:rPr>
        <w:t xml:space="preserve">Libro sedicesimo</w:t>
      </w:r>
      <w:r>
        <w:rPr>
          <w:rFonts w:ascii="Barlow Semi Condensed" w:cs="Barlow Semi Condensed" w:eastAsia="Barlow Semi Condensed" w:hAnsi="Barlow Semi Condensed"/>
          <w:i w:val="false"/>
          <w:iCs w:val="false"/>
          <w:sz w:val="24"/>
          <w:szCs w:val="24"/>
        </w:rPr>
        <w:t xml:space="preserve">, nuovo di questa edizione, porta «Le tavole della custodia» in cinque parti — il fascicolo su vita, prigionia, mandanti ed esecutori con le quattordici piste in ordine di priorità istruttoria; le tre matrici delle ipotesi concorrenti sulla custodia, su via Fani e sulle omissioni; il quesito peritale sulla sabbia. Il Libro dodicesimo accoglie la </w:t>
      </w:r>
      <w:r>
        <w:rPr>
          <w:rFonts w:ascii="Barlow Semi Condensed" w:cs="Barlow Semi Condensed" w:eastAsia="Barlow Semi Condensed" w:hAnsi="Barlow Semi Condensed"/>
          <w:b/>
          <w:bCs/>
          <w:i w:val="false"/>
          <w:iCs w:val="false"/>
          <w:sz w:val="24"/>
          <w:szCs w:val="24"/>
        </w:rPr>
        <w:t xml:space="preserve">terza campagna Farnesina</w:t>
      </w:r>
      <w:r>
        <w:rPr>
          <w:rFonts w:ascii="Barlow Semi Condensed" w:cs="Barlow Semi Condensed" w:eastAsia="Barlow Semi Condensed" w:hAnsi="Barlow Semi Condensed"/>
          <w:i w:val="false"/>
          <w:iCs w:val="false"/>
          <w:sz w:val="24"/>
          <w:szCs w:val="24"/>
        </w:rPr>
        <w:t xml:space="preserve"> in ventotto parti; il </w:t>
      </w:r>
      <w:r>
        <w:rPr>
          <w:rFonts w:ascii="Barlow Semi Condensed" w:cs="Barlow Semi Condensed" w:eastAsia="Barlow Semi Condensed" w:hAnsi="Barlow Semi Condensed"/>
          <w:b/>
          <w:bCs/>
          <w:i w:val="false"/>
          <w:iCs w:val="false"/>
          <w:sz w:val="24"/>
          <w:szCs w:val="24"/>
        </w:rPr>
        <w:t xml:space="preserve">quindicesimo</w:t>
      </w:r>
      <w:r>
        <w:rPr>
          <w:rFonts w:ascii="Barlow Semi Condensed" w:cs="Barlow Semi Condensed" w:eastAsia="Barlow Semi Condensed" w:hAnsi="Barlow Semi Condensed"/>
          <w:i w:val="false"/>
          <w:iCs w:val="false"/>
          <w:sz w:val="24"/>
          <w:szCs w:val="24"/>
        </w:rPr>
        <w:t xml:space="preserve"> è l'opera seconda sui cinquantacinque giorni, in sette Fasi e settanta Capitoli; il </w:t>
      </w:r>
      <w:r>
        <w:rPr>
          <w:rFonts w:ascii="Barlow Semi Condensed" w:cs="Barlow Semi Condensed" w:eastAsia="Barlow Semi Condensed" w:hAnsi="Barlow Semi Condensed"/>
          <w:b/>
          <w:bCs/>
          <w:i w:val="false"/>
          <w:iCs w:val="false"/>
          <w:sz w:val="24"/>
          <w:szCs w:val="24"/>
        </w:rPr>
        <w:t xml:space="preserve">nono</w:t>
      </w:r>
      <w:r>
        <w:rPr>
          <w:rFonts w:ascii="Barlow Semi Condensed" w:cs="Barlow Semi Condensed" w:eastAsia="Barlow Semi Condensed" w:hAnsi="Barlow Semi Condensed"/>
          <w:i w:val="false"/>
          <w:iCs w:val="false"/>
          <w:sz w:val="24"/>
          <w:szCs w:val="24"/>
        </w:rPr>
        <w:t xml:space="preserve"> accoglie le undici Appendici alla Fase settima, dalla quinta alla quindicesima.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Questo branch raccoglie un </w:t>
      </w:r>
      <w:r>
        <w:rPr>
          <w:rFonts w:ascii="Barlow Semi Condensed" w:cs="Barlow Semi Condensed" w:eastAsia="Barlow Semi Condensed" w:hAnsi="Barlow Semi Condensed"/>
          <w:b/>
          <w:bCs/>
          <w:i w:val="false"/>
          <w:iCs w:val="false"/>
          <w:sz w:val="24"/>
          <w:szCs w:val="24"/>
        </w:rPr>
        <w:t xml:space="preserve">corpus storico</w:t>
      </w:r>
      <w:r>
        <w:rPr>
          <w:rFonts w:ascii="Barlow Semi Condensed" w:cs="Barlow Semi Condensed" w:eastAsia="Barlow Semi Condensed" w:hAnsi="Barlow Semi Condensed"/>
          <w:i w:val="false"/>
          <w:iCs w:val="false"/>
          <w:sz w:val="24"/>
          <w:szCs w:val="24"/>
        </w:rPr>
        <w:t xml:space="preserve"> (Ernesto Guevara, il mito del Che, Aldo Moro) estraneo al progetto principale del repository. La presente guida è la porta d'ingresso curata: dice </w:t>
      </w:r>
      <w:r>
        <w:rPr>
          <w:rFonts w:ascii="Barlow Semi Condensed" w:cs="Barlow Semi Condensed" w:eastAsia="Barlow Semi Condensed" w:hAnsi="Barlow Semi Condensed"/>
          <w:b/>
          <w:bCs/>
          <w:i w:val="false"/>
          <w:iCs w:val="false"/>
          <w:sz w:val="24"/>
          <w:szCs w:val="24"/>
        </w:rPr>
        <w:t xml:space="preserve">da dove cominciare</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b/>
          <w:bCs/>
          <w:i w:val="false"/>
          <w:iCs w:val="false"/>
          <w:sz w:val="24"/>
          <w:szCs w:val="24"/>
        </w:rPr>
        <w:t xml:space="preserve">in che ordine leggere</w:t>
      </w:r>
      <w:r>
        <w:rPr>
          <w:rFonts w:ascii="Barlow Semi Condensed" w:cs="Barlow Semi Condensed" w:eastAsia="Barlow Semi Condensed" w:hAnsi="Barlow Semi Condensed"/>
          <w:i w:val="false"/>
          <w:iCs w:val="false"/>
          <w:sz w:val="24"/>
          <w:szCs w:val="24"/>
        </w:rPr>
        <w:t xml:space="preserve"> e </w:t>
      </w:r>
      <w:r>
        <w:rPr>
          <w:rFonts w:ascii="Barlow Semi Condensed" w:cs="Barlow Semi Condensed" w:eastAsia="Barlow Semi Condensed" w:hAnsi="Barlow Semi Condensed"/>
          <w:b/>
          <w:bCs/>
          <w:i w:val="false"/>
          <w:iCs w:val="false"/>
          <w:sz w:val="24"/>
          <w:szCs w:val="24"/>
        </w:rPr>
        <w:t xml:space="preserve">quanto pesa</w:t>
      </w:r>
      <w:r>
        <w:rPr>
          <w:rFonts w:ascii="Barlow Semi Condensed" w:cs="Barlow Semi Condensed" w:eastAsia="Barlow Semi Condensed" w:hAnsi="Barlow Semi Condensed"/>
          <w:i w:val="false"/>
          <w:iCs w:val="false"/>
          <w:sz w:val="24"/>
          <w:szCs w:val="24"/>
        </w:rPr>
        <w:t xml:space="preserve"> ogni affermazione. Per il semplice catalogo di tutti i file si veda `</w:t>
      </w:r>
      <w:r>
        <w:rPr>
          <w:rFonts w:ascii="Barlow Semi Condensed" w:cs="Barlow Semi Condensed" w:eastAsia="Barlow Semi Condensed" w:hAnsi="Barlow Semi Condensed"/>
          <w:i w:val="false"/>
          <w:iCs w:val="false"/>
          <w:sz w:val="24"/>
          <w:szCs w:val="24"/>
        </w:rPr>
        <w:t xml:space="preserve">INDICE-DOCUMENTI-BRANCH.md</w:t>
      </w:r>
      <w:r>
        <w:rPr>
          <w:rFonts w:ascii="Barlow Semi Condensed" w:cs="Barlow Semi Condensed" w:eastAsia="Barlow Semi Condensed" w:hAnsi="Barlow Semi Condensed"/>
          <w:i w:val="false"/>
          <w:iCs w:val="false"/>
          <w:sz w:val="24"/>
          <w:szCs w:val="24"/>
        </w:rPr>
        <w:t xml:space="preserv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Annotazione del 27 agosto 2026 — la rimozione del materiale su Guevara.</w:t>
      </w:r>
      <w:r>
        <w:rPr>
          <w:rFonts w:ascii="Barlow Semi Condensed" w:cs="Barlow Semi Condensed" w:eastAsia="Barlow Semi Condensed" w:hAnsi="Barlow Semi Condensed"/>
          <w:i w:val="false"/>
          <w:iCs w:val="false"/>
          <w:sz w:val="24"/>
          <w:szCs w:val="24"/>
        </w:rPr>
        <w:t xml:space="preserve"> Per decisione dell'autore sono stati rimossi dall'opera il saggio-cerniera «Dal Che a Moro» e la parabola di Ernesto Guevara in sei parti — sette documenti, 17.769 parole — insieme al volume tematico che li rilegava. </w:t>
      </w:r>
      <w:r>
        <w:rPr>
          <w:rFonts w:ascii="Barlow Semi Condensed" w:cs="Barlow Semi Condensed" w:eastAsia="Barlow Semi Condensed" w:hAnsi="Barlow Semi Condensed"/>
          <w:b/>
          <w:bCs/>
          <w:i w:val="false"/>
          <w:iCs w:val="false"/>
          <w:sz w:val="24"/>
          <w:szCs w:val="24"/>
        </w:rPr>
        <w:t xml:space="preserve">I riferimenti che restano in questa pagina non sono stati cancellati</w:t>
      </w:r>
      <w:r>
        <w:rPr>
          <w:rFonts w:ascii="Barlow Semi Condensed" w:cs="Barlow Semi Condensed" w:eastAsia="Barlow Semi Condensed" w:hAnsi="Barlow Semi Condensed"/>
          <w:i w:val="false"/>
          <w:iCs w:val="false"/>
          <w:sz w:val="24"/>
          <w:szCs w:val="24"/>
        </w:rPr>
        <w:t xml:space="preserve">: rinviano a documenti che non ci sono più, e questo è ciò che deve risultare a chi legge. Cancellarli avrebbe reso la rimozione invisibile; la numerazione dei Libri, per la stessa ragione, non è stata rifatta, e dopo il Libro primo viene il Libro quarto.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leggere: la disciplina del corpus</w:t>
      </w:r>
    </w:p>
    <w:p>
      <w:pPr>
        <w:spacing w:after="120" w:line="276"/>
        <w:jc w:val="both"/>
      </w:pPr>
      <w:r>
        <w:rPr>
          <w:rFonts w:ascii="Barlow Semi Condensed" w:cs="Barlow Semi Condensed" w:eastAsia="Barlow Semi Condensed" w:hAnsi="Barlow Semi Condensed"/>
          <w:sz w:val="24"/>
          <w:szCs w:val="24"/>
        </w:rPr>
        <w:t xml:space="preserve">Tre regole valgono su ogni pagina, e vanno tenute presenti dalla prima riga: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Regola di Ferro.</w:t>
      </w:r>
      <w:r>
        <w:rPr>
          <w:rFonts w:ascii="Barlow Semi Condensed" w:cs="Barlow Semi Condensed" w:eastAsia="Barlow Semi Condensed" w:hAnsi="Barlow Semi Condensed"/>
          <w:sz w:val="24"/>
          <w:szCs w:val="24"/>
        </w:rPr>
        <w:t xml:space="preserve"> Dove la fonte documenta, l'opera certifica; dove tace, indaga e non afferma. Ogni affermazione portante dichiara su che cosa poggia.</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Tre gradi di prova.</w:t>
      </w:r>
      <w:r>
        <w:rPr>
          <w:rFonts w:ascii="Barlow Semi Condensed" w:cs="Barlow Semi Condensed" w:eastAsia="Barlow Semi Condensed" w:hAnsi="Barlow Semi Condensed"/>
          <w:sz w:val="24"/>
          <w:szCs w:val="24"/>
        </w:rPr>
        <w:t xml:space="preserve"> Si distingue sempre ciò che è </w:t>
      </w:r>
      <w:r>
        <w:rPr>
          <w:rFonts w:ascii="Barlow Semi Condensed" w:cs="Barlow Semi Condensed" w:eastAsia="Barlow Semi Condensed" w:hAnsi="Barlow Semi Condensed"/>
          <w:b/>
          <w:bCs/>
          <w:sz w:val="24"/>
          <w:szCs w:val="24"/>
        </w:rPr>
        <w:t xml:space="preserve">documentato</w:t>
      </w:r>
      <w:r>
        <w:rPr>
          <w:rFonts w:ascii="Barlow Semi Condensed" w:cs="Barlow Semi Condensed" w:eastAsia="Barlow Semi Condensed" w:hAnsi="Barlow Semi Condensed"/>
          <w:sz w:val="24"/>
          <w:szCs w:val="24"/>
        </w:rPr>
        <w:t xml:space="preserve"> (rapporto provato), ciò che è </w:t>
      </w:r>
      <w:r>
        <w:rPr>
          <w:rFonts w:ascii="Barlow Semi Condensed" w:cs="Barlow Semi Condensed" w:eastAsia="Barlow Semi Condensed" w:hAnsi="Barlow Semi Condensed"/>
          <w:b/>
          <w:bCs/>
          <w:sz w:val="24"/>
          <w:szCs w:val="24"/>
        </w:rPr>
        <w:t xml:space="preserve">convergenza</w:t>
      </w:r>
      <w:r>
        <w:rPr>
          <w:rFonts w:ascii="Barlow Semi Condensed" w:cs="Barlow Semi Condensed" w:eastAsia="Barlow Semi Condensed" w:hAnsi="Barlow Semi Condensed"/>
          <w:sz w:val="24"/>
          <w:szCs w:val="24"/>
        </w:rPr>
        <w:t xml:space="preserve"> (stesso tempo, stessa cornice — mai promossa a nesso causale) e ciò che è </w:t>
      </w:r>
      <w:r>
        <w:rPr>
          <w:rFonts w:ascii="Barlow Semi Condensed" w:cs="Barlow Semi Condensed" w:eastAsia="Barlow Semi Condensed" w:hAnsi="Barlow Semi Condensed"/>
          <w:b/>
          <w:bCs/>
          <w:sz w:val="24"/>
          <w:szCs w:val="24"/>
        </w:rPr>
        <w:t xml:space="preserve">congettura</w:t>
      </w:r>
      <w:r>
        <w:rPr>
          <w:rFonts w:ascii="Barlow Semi Condensed" w:cs="Barlow Semi Condensed" w:eastAsia="Barlow Semi Condensed" w:hAnsi="Barlow Semi Condensed"/>
          <w:sz w:val="24"/>
          <w:szCs w:val="24"/>
        </w:rPr>
        <w:t xml:space="preserve"> (lasciata come tale). Le chiavi interpretative — a partire da «una guerra senza fine» — sono </w:t>
      </w:r>
      <w:r>
        <w:rPr>
          <w:rFonts w:ascii="Barlow Semi Condensed" w:cs="Barlow Semi Condensed" w:eastAsia="Barlow Semi Condensed" w:hAnsi="Barlow Semi Condensed"/>
          <w:b/>
          <w:bCs/>
          <w:sz w:val="24"/>
          <w:szCs w:val="24"/>
        </w:rPr>
        <w:t xml:space="preserve">lenti</w:t>
      </w:r>
      <w:r>
        <w:rPr>
          <w:rFonts w:ascii="Barlow Semi Condensed" w:cs="Barlow Semi Condensed" w:eastAsia="Barlow Semi Condensed" w:hAnsi="Barlow Semi Condensed"/>
          <w:sz w:val="24"/>
          <w:szCs w:val="24"/>
        </w:rPr>
        <w:t xml:space="preserve">, non sentenze.</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Il limite etico.</w:t>
      </w:r>
      <w:r>
        <w:rPr>
          <w:rFonts w:ascii="Barlow Semi Condensed" w:cs="Barlow Semi Condensed" w:eastAsia="Barlow Semi Condensed" w:hAnsi="Barlow Semi Condensed"/>
          <w:sz w:val="24"/>
          <w:szCs w:val="24"/>
        </w:rPr>
        <w:t xml:space="preserve"> Nessuno è nominato come responsabile al di là del giudicato; vale la presunzione d'innocenza. Il materiale che tocca persone viventi con attribuzioni non riscontrate </w:t>
      </w:r>
      <w:r>
        <w:rPr>
          <w:rFonts w:ascii="Barlow Semi Condensed" w:cs="Barlow Semi Condensed" w:eastAsia="Barlow Semi Condensed" w:hAnsi="Barlow Semi Condensed"/>
          <w:b/>
          <w:bCs/>
          <w:sz w:val="24"/>
          <w:szCs w:val="24"/>
        </w:rPr>
        <w:t xml:space="preserve">non appartiene a questo branch pubblico</w:t>
      </w:r>
      <w:r>
        <w:rPr>
          <w:rFonts w:ascii="Barlow Semi Condensed" w:cs="Barlow Semi Condensed" w:eastAsia="Barlow Semi Condensed" w:hAnsi="Barlow Semi Condensed"/>
          <w:sz w:val="24"/>
          <w:szCs w:val="24"/>
        </w:rPr>
        <w:t xml:space="preserve"> e non vi è trattato.</w:t>
      </w:r>
    </w:p>
    <w:p>
      <w:pPr>
        <w:spacing w:after="120" w:line="276"/>
        <w:jc w:val="both"/>
      </w:pPr>
      <w:r>
        <w:rPr>
          <w:rFonts w:ascii="Barlow Semi Condensed" w:cs="Barlow Semi Condensed" w:eastAsia="Barlow Semi Condensed" w:hAnsi="Barlow Semi Condensed"/>
          <w:sz w:val="24"/>
          <w:szCs w:val="24"/>
        </w:rPr>
        <w:t xml:space="preserve">Chi tiene ferme queste tre regole leggerà il corpus per quello che vuole essere: una ricostruzione storica tracciabile, né agiografia né dietrologia.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Tre percorsi di lettura</w:t>
      </w:r>
    </w:p>
    <w:p>
      <w:pPr>
        <w:spacing w:after="120" w:line="276"/>
        <w:jc w:val="both"/>
      </w:pPr>
      <w:r>
        <w:rPr>
          <w:rFonts w:ascii="Barlow Semi Condensed" w:cs="Barlow Semi Condensed" w:eastAsia="Barlow Semi Condensed" w:hAnsi="Barlow Semi Condensed"/>
          <w:sz w:val="24"/>
          <w:szCs w:val="24"/>
        </w:rPr>
        <w:t xml:space="preserve">Non è obbligatorio leggere tutto in fila. A seconda dell'interesse, tre cammini:</w:t>
      </w:r>
    </w:p>
    <w:p>
      <w:pPr>
        <w:pStyle w:val="Heading3"/>
        <w:spacing w:after="80" w:before="160"/>
      </w:pPr>
      <w:r>
        <w:rPr>
          <w:rFonts w:ascii="Barlow Semi Condensed" w:cs="Barlow Semi Condensed" w:eastAsia="Barlow Semi Condensed" w:hAnsi="Barlow Semi Condensed"/>
          <w:sz w:val="24"/>
          <w:szCs w:val="24"/>
        </w:rPr>
        <w:t xml:space="preserve">Percorso A — La parabola di Guevara (1928-1967)</w:t>
      </w:r>
    </w:p>
    <w:p>
      <w:pPr>
        <w:spacing w:after="120" w:line="276"/>
        <w:jc w:val="both"/>
      </w:pPr>
      <w:r>
        <w:rPr>
          <w:rFonts w:ascii="Barlow Semi Condensed" w:cs="Barlow Semi Condensed" w:eastAsia="Barlow Semi Condensed" w:hAnsi="Barlow Semi Condensed"/>
          <w:sz w:val="24"/>
          <w:szCs w:val="24"/>
        </w:rPr>
        <w:t xml:space="preserve">Per chi vuole la vita, dall'inizio alla fine, come ricostruzione storica.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i/>
          <w:iCs/>
          <w:sz w:val="24"/>
          <w:szCs w:val="24"/>
        </w:rPr>
        <w:t xml:space="preserve">guevara-origini-esilio-messicano.md</w:t>
      </w:r>
      <w:r>
        <w:rPr>
          <w:rFonts w:ascii="Barlow Semi Condensed" w:cs="Barlow Semi Condensed" w:eastAsia="Barlow Semi Condensed" w:hAnsi="Barlow Semi Condensed"/>
          <w:sz w:val="24"/>
          <w:szCs w:val="24"/>
        </w:rPr>
        <w:t xml:space="preserve">` — origini e formazione (fino al 1934)</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i/>
          <w:iCs/>
          <w:sz w:val="24"/>
          <w:szCs w:val="24"/>
        </w:rPr>
        <w:t xml:space="preserve">guevara-messico-avana-1954-1965.md</w:t>
      </w:r>
      <w:r>
        <w:rPr>
          <w:rFonts w:ascii="Barlow Semi Condensed" w:cs="Barlow Semi Condensed" w:eastAsia="Barlow Semi Condensed" w:hAnsi="Barlow Semi Condensed"/>
          <w:sz w:val="24"/>
          <w:szCs w:val="24"/>
        </w:rPr>
        <w:t xml:space="preserve">` — dal Messico alla Sierra Maestra</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i/>
          <w:iCs/>
          <w:sz w:val="24"/>
          <w:szCs w:val="24"/>
        </w:rPr>
        <w:t xml:space="preserve">guevara-mosca-bolivia-1964-1966.md</w:t>
      </w:r>
      <w:r>
        <w:rPr>
          <w:rFonts w:ascii="Barlow Semi Condensed" w:cs="Barlow Semi Condensed" w:eastAsia="Barlow Semi Condensed" w:hAnsi="Barlow Semi Condensed"/>
          <w:sz w:val="24"/>
          <w:szCs w:val="24"/>
        </w:rPr>
        <w:t xml:space="preserve">` — dall'ONU 1964 al Congo</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i/>
          <w:iCs/>
          <w:sz w:val="24"/>
          <w:szCs w:val="24"/>
        </w:rPr>
        <w:t xml:space="preserve">guevara-campagna-boliviana-1966-1967.md</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capitolo conclusivo</w:t>
      </w:r>
      <w:r>
        <w:rPr>
          <w:rFonts w:ascii="Barlow Semi Condensed" w:cs="Barlow Semi Condensed" w:eastAsia="Barlow Semi Condensed" w:hAnsi="Barlow Semi Condensed"/>
          <w:sz w:val="24"/>
          <w:szCs w:val="24"/>
        </w:rPr>
        <w:t xml:space="preserve">: Ñancahuazú, La Higuera, il ritorno delle ossa (1997)</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i/>
          <w:iCs/>
          <w:sz w:val="24"/>
          <w:szCs w:val="24"/>
        </w:rPr>
        <w:t xml:space="preserve">guevara-bibliografia-critica.md</w:t>
      </w:r>
      <w:r>
        <w:rPr>
          <w:rFonts w:ascii="Barlow Semi Condensed" w:cs="Barlow Semi Condensed" w:eastAsia="Barlow Semi Condensed" w:hAnsi="Barlow Semi Condensed"/>
          <w:sz w:val="24"/>
          <w:szCs w:val="24"/>
        </w:rPr>
        <w:t xml:space="preserve">` — l'apparato delle fonti, per rango di affidabilità</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Chi preferisce il volume unico rilegato trova gli stessi cinque studi in `</w:t>
      </w:r>
      <w:r>
        <w:rPr>
          <w:rFonts w:ascii="Barlow Semi Condensed" w:cs="Barlow Semi Condensed" w:eastAsia="Barlow Semi Condensed" w:hAnsi="Barlow Semi Condensed"/>
          <w:i w:val="false"/>
          <w:iCs w:val="false"/>
          <w:sz w:val="24"/>
          <w:szCs w:val="24"/>
        </w:rPr>
        <w:t xml:space="preserve">GUEVARA_LA_PARABOLA_INTEGRALE_1928-1967.docx</w:t>
      </w:r>
      <w:r>
        <w:rPr>
          <w:rFonts w:ascii="Barlow Semi Condensed" w:cs="Barlow Semi Condensed" w:eastAsia="Barlow Semi Condensed" w:hAnsi="Barlow Semi Condensed"/>
          <w:i w:val="false"/>
          <w:iCs w:val="false"/>
          <w:sz w:val="24"/>
          <w:szCs w:val="24"/>
        </w:rPr>
        <w:t xml:space="preserve">`.</w:t>
      </w:r>
    </w:p>
    <w:p>
      <w:pPr>
        <w:pStyle w:val="Heading3"/>
        <w:spacing w:after="80" w:before="160"/>
      </w:pPr>
      <w:r>
        <w:rPr>
          <w:rFonts w:ascii="Barlow Semi Condensed" w:cs="Barlow Semi Condensed" w:eastAsia="Barlow Semi Condensed" w:hAnsi="Barlow Semi Condensed"/>
          <w:sz w:val="24"/>
          <w:szCs w:val="24"/>
        </w:rPr>
        <w:t xml:space="preserve">Percorso B — Il caso Moro e l'apparato dei gradi</w:t>
      </w:r>
    </w:p>
    <w:p>
      <w:pPr>
        <w:spacing w:after="120" w:line="276"/>
        <w:jc w:val="both"/>
      </w:pPr>
      <w:r>
        <w:rPr>
          <w:rFonts w:ascii="Barlow Semi Condensed" w:cs="Barlow Semi Condensed" w:eastAsia="Barlow Semi Condensed" w:hAnsi="Barlow Semi Condensed"/>
          <w:sz w:val="24"/>
          <w:szCs w:val="24"/>
        </w:rPr>
        <w:t xml:space="preserve">Per chi viene dal versante italiano e dal metodo falsificazionista.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Il portale dell'opera.</w:t>
      </w:r>
      <w:r>
        <w:rPr>
          <w:rFonts w:ascii="Barlow Semi Condensed" w:cs="Barlow Semi Condensed" w:eastAsia="Barlow Semi Condensed" w:hAnsi="Barlow Semi Condensed"/>
          <w:i w:val="false"/>
          <w:iCs w:val="false"/>
          <w:sz w:val="24"/>
          <w:szCs w:val="24"/>
        </w:rPr>
        <w:t xml:space="preserve"> L'intero corpus moroteo è ora riordinato secondo l'architettura del Dossier maggiore dell'autore («Aldo Moro — Tutta la verità»: cinque Fasi, capitoli, blocchi mirati, griglia a cinque voci) in `</w:t>
      </w:r>
      <w:r>
        <w:rPr>
          <w:rFonts w:ascii="Barlow Semi Condensed" w:cs="Barlow Semi Condensed" w:eastAsia="Barlow Semi Condensed" w:hAnsi="Barlow Semi Condensed"/>
          <w:i w:val="false"/>
          <w:iCs w:val="false"/>
          <w:sz w:val="24"/>
          <w:szCs w:val="24"/>
        </w:rPr>
        <w:t xml:space="preserve">aldo-moro-una-guerra-senza-fine-edizione-strutturata.md</w:t>
      </w:r>
      <w:r>
        <w:rPr>
          <w:rFonts w:ascii="Barlow Semi Condensed" w:cs="Barlow Semi Condensed" w:eastAsia="Barlow Semi Condensed" w:hAnsi="Barlow Semi Condensed"/>
          <w:i w:val="false"/>
          <w:iCs w:val="false"/>
          <w:sz w:val="24"/>
          <w:szCs w:val="24"/>
        </w:rPr>
        <w:t xml:space="preserve"> — con la divergenza dichiarata: la Fase quinta pubblica si ferma al giudicato e non riproduce la graduatoria probabilistica. Anche le **metodologie** del Dossier sono adottate e calcolate sul corpus (rete documentata, regola dell'anello debole, regola dei buchi, ACH, auto-misurazione) in </w:t>
      </w:r>
      <w:r>
        <w:rPr>
          <w:rFonts w:ascii="Barlow Semi Condensed" w:cs="Barlow Semi Condensed" w:eastAsia="Barlow Semi Condensed" w:hAnsi="Barlow Semi Condensed"/>
          <w:i w:val="false"/>
          <w:iCs w:val="false"/>
          <w:sz w:val="24"/>
          <w:szCs w:val="24"/>
        </w:rPr>
        <w:t xml:space="preserve">metodologie-del-dossier-sinaptogenesi-e-strumenti.md</w:t>
      </w:r>
      <w:r>
        <w:rPr>
          <w:rFonts w:ascii="Barlow Semi Condensed" w:cs="Barlow Semi Condensed" w:eastAsia="Barlow Semi Condensed" w:hAnsi="Barlow Semi Condensed"/>
          <w:i w:val="false"/>
          <w:iCs w:val="false"/>
          <w:sz w:val="24"/>
          <w:szCs w:val="24"/>
        </w:rPr>
        <w:t xml:space="preserve">. Chi vuole la mappa unica parte da lì; le tappe che seguono restano il percorso analitico. La proiezione **investigativa** del corpus — le dieci piste operative, il fascicolo romano ancora aperto, la Direttiva Renzi — è in </w:t>
      </w:r>
      <w:r>
        <w:rPr>
          <w:rFonts w:ascii="Barlow Semi Condensed" w:cs="Barlow Semi Condensed" w:eastAsia="Barlow Semi Condensed" w:hAnsi="Barlow Semi Condensed"/>
          <w:i w:val="false"/>
          <w:iCs w:val="false"/>
          <w:sz w:val="24"/>
          <w:szCs w:val="24"/>
        </w:rPr>
        <w:t xml:space="preserve">programma-investigativo-caso-moro.md</w:t>
      </w:r>
      <w:r>
        <w:rPr>
          <w:rFonts w:ascii="Barlow Semi Condensed" w:cs="Barlow Semi Condensed" w:eastAsia="Barlow Semi Condensed" w:hAnsi="Barlow Semi Condensed"/>
          <w:i w:val="false"/>
          <w:iCs w:val="false"/>
          <w:sz w:val="24"/>
          <w:szCs w:val="24"/>
        </w:rPr>
        <w:t xml:space="preserve">, con le schede operative delle piste di testa (e la Nota di revisione n. 1) in </w:t>
      </w:r>
      <w:r>
        <w:rPr>
          <w:rFonts w:ascii="Barlow Semi Condensed" w:cs="Barlow Semi Condensed" w:eastAsia="Barlow Semi Condensed" w:hAnsi="Barlow Semi Condensed"/>
          <w:i w:val="false"/>
          <w:iCs w:val="false"/>
          <w:sz w:val="24"/>
          <w:szCs w:val="24"/>
        </w:rPr>
        <w:t xml:space="preserve">approfondimento-piste-di-testa.md</w:t>
      </w:r>
      <w:r>
        <w:rPr>
          <w:rFonts w:ascii="Barlow Semi Condensed" w:cs="Barlow Semi Condensed" w:eastAsia="Barlow Semi Condensed" w:hAnsi="Barlow Semi Condensed"/>
          <w:i w:val="false"/>
          <w:iCs w:val="false"/>
          <w:sz w:val="24"/>
          <w:szCs w:val="24"/>
        </w:rPr>
        <w:t xml:space="preserve">, le sei schede delle entità in </w:t>
      </w:r>
      <w:r>
        <w:rPr>
          <w:rFonts w:ascii="Barlow Semi Condensed" w:cs="Barlow Semi Condensed" w:eastAsia="Barlow Semi Condensed" w:hAnsi="Barlow Semi Condensed"/>
          <w:i w:val="false"/>
          <w:iCs w:val="false"/>
          <w:sz w:val="24"/>
          <w:szCs w:val="24"/>
        </w:rPr>
        <w:t xml:space="preserve">approfondimento-piste-entita.md</w:t>
      </w:r>
      <w:r>
        <w:rPr>
          <w:rFonts w:ascii="Barlow Semi Condensed" w:cs="Barlow Semi Condensed" w:eastAsia="Barlow Semi Condensed" w:hAnsi="Barlow Semi Condensed"/>
          <w:i w:val="false"/>
          <w:iCs w:val="false"/>
          <w:sz w:val="24"/>
          <w:szCs w:val="24"/>
        </w:rPr>
        <w:t xml:space="preserve">, e il **manuale titanico in 400 blocchi mirati (seconda edizione)** — come dovrebbero svolgersi le attività investigative per il nuovo Caso Moro — in </w:t>
      </w:r>
      <w:r>
        <w:rPr>
          <w:rFonts w:ascii="Barlow Semi Condensed" w:cs="Barlow Semi Condensed" w:eastAsia="Barlow Semi Condensed" w:hAnsi="Barlow Semi Condensed"/>
          <w:i w:val="false"/>
          <w:iCs w:val="false"/>
          <w:sz w:val="24"/>
          <w:szCs w:val="24"/>
        </w:rPr>
        <w:t xml:space="preserve">manuale-investigativo-nuovo-caso-moro.md</w:t>
      </w:r>
      <w:r>
        <w:rPr>
          <w:rFonts w:ascii="Barlow Semi Condensed" w:cs="Barlow Semi Condensed" w:eastAsia="Barlow Semi Condensed" w:hAnsi="Barlow Semi Condensed"/>
          <w:i w:val="false"/>
          <w:iCs w:val="false"/>
          <w:sz w:val="24"/>
          <w:szCs w:val="24"/>
        </w:rPr>
        <w:t xml:space="preserve">. Il gemello del manuale è l'**agenda di ricerca titanica in 300 blocchi mirati di ricerca** — che cosa cercare e dove: i quesiti, i giacimenti, le verifiche di smentita, con l'apparato delle dodici verifiche d'archivio — in </w:t>
      </w:r>
      <w:r>
        <w:rPr>
          <w:rFonts w:ascii="Barlow Semi Condensed" w:cs="Barlow Semi Condensed" w:eastAsia="Barlow Semi Condensed" w:hAnsi="Barlow Semi Condensed"/>
          <w:i w:val="false"/>
          <w:iCs w:val="false"/>
          <w:sz w:val="24"/>
          <w:szCs w:val="24"/>
        </w:rPr>
        <w:t xml:space="preserve">agenda-di-ricerca-del-nuovo-caso-moro.md</w:t>
      </w:r>
      <w:r>
        <w:rPr>
          <w:rFonts w:ascii="Barlow Semi Condensed" w:cs="Barlow Semi Condensed" w:eastAsia="Barlow Semi Condensed" w:hAnsi="Barlow Semi Condensed"/>
          <w:i w:val="false"/>
          <w:iCs w:val="false"/>
          <w:sz w:val="24"/>
          <w:szCs w:val="24"/>
        </w:rPr>
        <w:t xml:space="preserve">: il manuale dice *come*, l'agenda dice *che cosa e dove*. La quadriga si chiude con l'opera monumentale dei **nove cantieri in 1.000 blocchi mirati** — l'esecuzione approfondita dei nove fronti (Regno Unito-Francia-Germania, Vaticano, fondi privati, reperti, memoriale, audio-fotografia, scienze forensi, registro del giudicato, fascicolo di Roma), con due campagne di verifica e i loro apparati — in </w:t>
      </w:r>
      <w:r>
        <w:rPr>
          <w:rFonts w:ascii="Barlow Semi Condensed" w:cs="Barlow Semi Condensed" w:eastAsia="Barlow Semi Condensed" w:hAnsi="Barlow Semi Condensed"/>
          <w:i w:val="false"/>
          <w:iCs w:val="false"/>
          <w:sz w:val="24"/>
          <w:szCs w:val="24"/>
        </w:rPr>
        <w:t xml:space="preserve">nove-cantieri-mille-blocchi.md</w:t>
      </w:r>
      <w:r>
        <w:rPr>
          <w:rFonts w:ascii="Barlow Semi Condensed" w:cs="Barlow Semi Condensed" w:eastAsia="Barlow Semi Condensed" w:hAnsi="Barlow Semi Condensed"/>
          <w:i w:val="false"/>
          <w:iCs w:val="false"/>
          <w:sz w:val="24"/>
          <w:szCs w:val="24"/>
        </w:rPr>
        <w:t xml:space="preserve">: 1.700 blocchi coordinati in quattro opere. A queste si aggiunge la **triangolazione in 4.999 blocchi mirati** di un solo nome contro tutto il corpus, in sessantacinque serie e due campagne — la prima concettuale, la seconda territoriale, che porta quel nome contro ogni singolo documento del corpus — </w:t>
      </w:r>
      <w:r>
        <w:rPr>
          <w:rFonts w:ascii="Barlow Semi Condensed" w:cs="Barlow Semi Condensed" w:eastAsia="Barlow Semi Condensed" w:hAnsi="Barlow Semi Condensed"/>
          <w:i w:val="false"/>
          <w:iCs w:val="false"/>
          <w:sz w:val="24"/>
          <w:szCs w:val="24"/>
        </w:rPr>
        <w:t xml:space="preserve">kissinger-mille-blocchi-il-codice-e-la-sua-trasmissione.md</w:t>
      </w:r>
      <w:r>
        <w:rPr>
          <w:rFonts w:ascii="Barlow Semi Condensed" w:cs="Barlow Semi Condensed" w:eastAsia="Barlow Semi Condensed" w:hAnsi="Barlow Semi Condensed"/>
          <w:i w:val="false"/>
          <w:iCs w:val="false"/>
          <w:sz w:val="24"/>
          <w:szCs w:val="24"/>
        </w:rPr>
        <w:t xml:space="preserve"> — costruita sulla chiave dichiarata dall'autore («Kissinger rappresenta metaforicamente la genetica»), **lente e non sentenza**, con la regola dei tre piani come metro e con la tredicesima serie dedicata a fermare la metafora dove essa spingerebbe verso la colpa ereditaria: in biologia il carattere si eredita, in storia la responsabilità no. A essa si affianca, come **Libro quattordicesimo**, la ricerca in 1.000 blocchi mirati che va **dal Sud Africa dell'apartheid alla cosiddetta PayPal Mafia** — </w:t>
      </w:r>
      <w:r>
        <w:rPr>
          <w:rFonts w:ascii="Barlow Semi Condensed" w:cs="Barlow Semi Condensed" w:eastAsia="Barlow Semi Condensed" w:hAnsi="Barlow Semi Condensed"/>
          <w:i w:val="false"/>
          <w:iCs w:val="false"/>
          <w:sz w:val="24"/>
          <w:szCs w:val="24"/>
        </w:rPr>
        <w:t xml:space="preserve">il-meridiano-e-la-valle-mille-blocchi.md</w:t>
      </w:r>
      <w:r>
        <w:rPr>
          <w:rFonts w:ascii="Barlow Semi Condensed" w:cs="Barlow Semi Condensed" w:eastAsia="Barlow Semi Condensed" w:hAnsi="Barlow Semi Condensed"/>
          <w:i w:val="false"/>
          <w:iCs w:val="false"/>
          <w:sz w:val="24"/>
          <w:szCs w:val="24"/>
        </w:rPr>
        <w:t xml:space="preserve">, rilegata in </w:t>
      </w:r>
      <w:r>
        <w:rPr>
          <w:rFonts w:ascii="Barlow Semi Condensed" w:cs="Barlow Semi Condensed" w:eastAsia="Barlow Semi Condensed" w:hAnsi="Barlow Semi Condensed"/>
          <w:i w:val="false"/>
          <w:iCs w:val="false"/>
          <w:sz w:val="24"/>
          <w:szCs w:val="24"/>
        </w:rPr>
        <w:t xml:space="preserve">IL_MERIDIANO_E_LA_VALLE_DAL_SUD_AFRICA_ALLA_PAYPAL_MAFIA.docx</w:t>
      </w:r>
      <w:r>
        <w:rPr>
          <w:rFonts w:ascii="Barlow Semi Condensed" w:cs="Barlow Semi Condensed" w:eastAsia="Barlow Semi Condensed" w:hAnsi="Barlow Semi Condensed"/>
          <w:i w:val="false"/>
          <w:iCs w:val="false"/>
          <w:sz w:val="24"/>
          <w:szCs w:val="24"/>
        </w:rPr>
        <w:t xml:space="preserve"> — dove la chiave di continuità è dichiarata non solo come lente ma come **ipotesi da mettere alla prova**, con i bersagli di smentita in ogni serie; nomina persone viventi e **non indica alcuno come responsabile di reato o di illecito**; il raccordo con l'opera-madre è tematico e non documentale, e il solo ponte documentato col corpus è il nodo E-16 della triangolazione Guevara-Moro, il discorso alle Nazioni Unite dell'11 dicembre 1964. Il volume rilegato è </w:t>
      </w:r>
      <w:r>
        <w:rPr>
          <w:rFonts w:ascii="Barlow Semi Condensed" w:cs="Barlow Semi Condensed" w:eastAsia="Barlow Semi Condensed" w:hAnsi="Barlow Semi Condensed"/>
          <w:i w:val="false"/>
          <w:iCs w:val="false"/>
          <w:sz w:val="24"/>
          <w:szCs w:val="24"/>
        </w:rPr>
        <w:t xml:space="preserve">IL_CODICE_E_LA_SUA_TRASMISSIONE_KISSINGER_MILLE_BLOCCHI.docx</w:t>
      </w:r>
      <w:r>
        <w:rPr>
          <w:rFonts w:ascii="Barlow Semi Condensed" w:cs="Barlow Semi Condensed" w:eastAsia="Barlow Semi Condensed" w:hAnsi="Barlow Semi Condensed"/>
          <w:i w:val="false"/>
          <w:iCs w:val="false"/>
          <w:sz w:val="24"/>
          <w:szCs w:val="24"/>
        </w:rPr>
        <w:t xml:space="preserve"> (con [</w:t>
      </w:r>
      <w:r>
        <w:rPr>
          <w:rFonts w:ascii="Barlow Semi Condensed" w:cs="Barlow Semi Condensed" w:eastAsia="Barlow Semi Condensed" w:hAnsi="Barlow Semi Condensed"/>
          <w:i w:val="false"/>
          <w:iCs w:val="false"/>
          <w:sz w:val="24"/>
          <w:szCs w:val="24"/>
        </w:rPr>
        <w:t xml:space="preserve">.pdf</w:t>
      </w:r>
      <w:r>
        <w:rPr>
          <w:rFonts w:ascii="Barlow Semi Condensed" w:cs="Barlow Semi Condensed" w:eastAsia="Barlow Semi Condensed" w:hAnsi="Barlow Semi Condensed"/>
          <w:i w:val="false"/>
          <w:iCs w:val="false"/>
          <w:sz w:val="24"/>
          <w:szCs w:val="24"/>
        </w:rPr>
        <w:t xml:space="preserve">](IL_CODICE_E_LA_SUA_TRASMISSIONE_KISSINGER_MILLE_BLOCCHI.pdf)). Il versante di ricerca (agenda + cantieri, 1.300 blocchi) è rilegato nel volume </w:t>
      </w:r>
      <w:r>
        <w:rPr>
          <w:rFonts w:ascii="Barlow Semi Condensed" w:cs="Barlow Semi Condensed" w:eastAsia="Barlow Semi Condensed" w:hAnsi="Barlow Semi Condensed"/>
          <w:i w:val="false"/>
          <w:iCs w:val="false"/>
          <w:sz w:val="24"/>
          <w:szCs w:val="24"/>
        </w:rPr>
        <w:t xml:space="preserve">IL_DITTICO_DELLA_RICERCA_AGENDA_E_NOVE_CANTIERI.docx</w:t>
      </w:r>
      <w:r>
        <w:rPr>
          <w:rFonts w:ascii="Barlow Semi Condensed" w:cs="Barlow Semi Condensed" w:eastAsia="Barlow Semi Condensed" w:hAnsi="Barlow Semi Condensed"/>
          <w:i w:val="false"/>
          <w:iCs w:val="false"/>
          <w:sz w:val="24"/>
          <w:szCs w:val="24"/>
        </w:rPr>
        <w:t xml:space="preserve"> (con [</w:t>
      </w:r>
      <w:r>
        <w:rPr>
          <w:rFonts w:ascii="Barlow Semi Condensed" w:cs="Barlow Semi Condensed" w:eastAsia="Barlow Semi Condensed" w:hAnsi="Barlow Semi Condensed"/>
          <w:i w:val="false"/>
          <w:iCs w:val="false"/>
          <w:sz w:val="24"/>
          <w:szCs w:val="24"/>
        </w:rPr>
        <w:t xml:space="preserve">.pdf`](IL_DITTICO_DELLA_RICERCA_AGENDA_E_NOVE_CANTIERI.pdf) di 134 pagine, in Barlow Semi Condensed, testo interamente giustificato); il versante operativo (programma + manuale) nel volume del fascicolo aperto; l'intera quadriga anche nell'OPERA INTEGRALE.</w:t>
      </w:r>
    </w:p>
    <w:p>
      <w:pPr>
        <w:spacing w:after="40"/>
        <w:ind w:left="360"/>
        <w:jc w:val="both"/>
      </w:pPr>
      <w:r>
        <w:rPr>
          <w:rFonts w:ascii="Barlow Semi Condensed" w:cs="Barlow Semi Condensed" w:eastAsia="Barlow Semi Condensed" w:hAnsi="Barlow Semi Condensed"/>
          <w:sz w:val="24"/>
          <w:szCs w:val="24"/>
        </w:rPr>
        <w:t xml:space="preserve">0. `</w:t>
      </w:r>
      <w:r>
        <w:rPr>
          <w:rFonts w:ascii="Barlow Semi Condensed" w:cs="Barlow Semi Condensed" w:eastAsia="Barlow Semi Condensed" w:hAnsi="Barlow Semi Condensed"/>
          <w:i/>
          <w:iCs/>
          <w:sz w:val="24"/>
          <w:szCs w:val="24"/>
        </w:rPr>
        <w:t xml:space="preserve">aldo-moro-una-guerra-senza-fine-fase-ottava-il-ritratto.md</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da leggere per primo</w:t>
      </w:r>
      <w:r>
        <w:rPr>
          <w:rFonts w:ascii="Barlow Semi Condensed" w:cs="Barlow Semi Condensed" w:eastAsia="Barlow Semi Condensed" w:hAnsi="Barlow Semi Condensed"/>
          <w:sz w:val="24"/>
          <w:szCs w:val="24"/>
        </w:rPr>
        <w:t xml:space="preserve">: il ritratto dell'uomo e dello statista (formazione, strategia dell'attenzione, solidarietà nazionale, «terza fase», le lettere), perché il caso non si capisce senza la persona</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i/>
          <w:iCs/>
          <w:sz w:val="24"/>
          <w:szCs w:val="24"/>
        </w:rPr>
        <w:t xml:space="preserve">dal-che-a-moro-una-guerra-senza-fine.md</w:t>
      </w:r>
      <w:r>
        <w:rPr>
          <w:rFonts w:ascii="Barlow Semi Condensed" w:cs="Barlow Semi Condensed" w:eastAsia="Barlow Semi Condensed" w:hAnsi="Barlow Semi Condensed"/>
          <w:sz w:val="24"/>
          <w:szCs w:val="24"/>
        </w:rPr>
        <w:t xml:space="preserve">` — il saggio-cerniera (leggi almeno le Parti prima, seconda, quinta e la Conclusione: sono la spina documentata)</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i/>
          <w:iCs/>
          <w:sz w:val="24"/>
          <w:szCs w:val="24"/>
        </w:rPr>
        <w:t xml:space="preserve">aldo-moro-una-guerra-senza-fine-parte-terza.md</w:t>
      </w:r>
      <w:r>
        <w:rPr>
          <w:rFonts w:ascii="Barlow Semi Condensed" w:cs="Barlow Semi Condensed" w:eastAsia="Barlow Semi Condensed" w:hAnsi="Barlow Semi Condensed"/>
          <w:sz w:val="24"/>
          <w:szCs w:val="24"/>
        </w:rPr>
        <w:t xml:space="preserve">` — «Il ritorno del Pollo di Popper»: dossier falsificazionista sulle questioni aperte del caso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i/>
          <w:iCs/>
          <w:sz w:val="24"/>
          <w:szCs w:val="24"/>
        </w:rPr>
        <w:t xml:space="preserve">aldo-moro-una-guerra-senza-fine-fase-sesta.md</w:t>
      </w:r>
      <w:r>
        <w:rPr>
          <w:rFonts w:ascii="Barlow Semi Condensed" w:cs="Barlow Semi Condensed" w:eastAsia="Barlow Semi Condensed" w:hAnsi="Barlow Semi Condensed"/>
          <w:sz w:val="24"/>
          <w:szCs w:val="24"/>
        </w:rPr>
        <w:t xml:space="preserve">` — il presidio del garante: rende operative le quattro discipline</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i/>
          <w:iCs/>
          <w:sz w:val="24"/>
          <w:szCs w:val="24"/>
        </w:rPr>
        <w:t xml:space="preserve">aldo-moro-una-guerra-senza-fine-fase-settima-registro-giudiziario.md</w:t>
      </w:r>
      <w:r>
        <w:rPr>
          <w:rFonts w:ascii="Barlow Semi Condensed" w:cs="Barlow Semi Condensed" w:eastAsia="Barlow Semi Condensed" w:hAnsi="Barlow Semi Condensed"/>
          <w:sz w:val="24"/>
          <w:szCs w:val="24"/>
        </w:rPr>
        <w:t xml:space="preserve">` — lo strato giudiziario: i cinque processi Moro (giudicato) e la Commissione Moro 2 (accertamento parlamentare), con la tavola di raccordo delle questioni aperte per grado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i/>
          <w:iCs/>
          <w:sz w:val="24"/>
          <w:szCs w:val="24"/>
        </w:rPr>
        <w:t xml:space="preserve">aldo-moro-una-guerra-senza-fine-fase-nona-repertorio-del-caso.md</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il repertorio</w:t>
      </w:r>
      <w:r>
        <w:rPr>
          <w:rFonts w:ascii="Barlow Semi Condensed" w:cs="Barlow Semi Condensed" w:eastAsia="Barlow Semi Condensed" w:hAnsi="Barlow Semi Condensed"/>
          <w:sz w:val="24"/>
          <w:szCs w:val="24"/>
        </w:rPr>
        <w:t xml:space="preserve">: tutto ciò che è attribuibile al caso (persone, luoghi, documenti, atti, nodi), ciascuna voce col suo grado A/B/C/F. Lo strumento di consultazione</w:t>
      </w:r>
    </w:p>
    <w:p>
      <w:pPr>
        <w:spacing w:after="40"/>
        <w:ind w:left="360"/>
        <w:jc w:val="both"/>
      </w:pPr>
      <w:r>
        <w:rPr>
          <w:rFonts w:ascii="Barlow Semi Condensed" w:cs="Barlow Semi Condensed" w:eastAsia="Barlow Semi Condensed" w:hAnsi="Barlow Semi Condensed"/>
          <w:sz w:val="24"/>
          <w:szCs w:val="24"/>
        </w:rPr>
        <w:t xml:space="preserve">6. `</w:t>
      </w:r>
      <w:r>
        <w:rPr>
          <w:rFonts w:ascii="Barlow Semi Condensed" w:cs="Barlow Semi Condensed" w:eastAsia="Barlow Semi Condensed" w:hAnsi="Barlow Semi Condensed"/>
          <w:i/>
          <w:iCs/>
          <w:sz w:val="24"/>
          <w:szCs w:val="24"/>
        </w:rPr>
        <w:t xml:space="preserve">aldo-moro-una-guerra-senza-fine-fase-decima-responsabilita-personali.md</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il principio personalistico</w:t>
      </w:r>
      <w:r>
        <w:rPr>
          <w:rFonts w:ascii="Barlow Semi Condensed" w:cs="Barlow Semi Condensed" w:eastAsia="Barlow Semi Condensed" w:hAnsi="Barlow Semi Condensed"/>
          <w:sz w:val="24"/>
          <w:szCs w:val="24"/>
        </w:rPr>
        <w:t xml:space="preserve">: la colpa non è mai del gruppo, è sempre della persona (art. 27 Cost.). Il registro nominativo delle tredici responsabilità individuali accertate in giudicato, ciascuna con la propria condotta; il caso Algranati (l'assoluzione che resta assoluzione); l'appartenenza a uno o più gruppi come fatto biografico inerte</w:t>
      </w:r>
    </w:p>
    <w:p>
      <w:pPr>
        <w:spacing w:after="40"/>
        <w:ind w:left="360"/>
        <w:jc w:val="both"/>
      </w:pPr>
      <w:r>
        <w:rPr>
          <w:rFonts w:ascii="Barlow Semi Condensed" w:cs="Barlow Semi Condensed" w:eastAsia="Barlow Semi Condensed" w:hAnsi="Barlow Semi Condensed"/>
          <w:sz w:val="24"/>
          <w:szCs w:val="24"/>
        </w:rPr>
        <w:t xml:space="preserve">7. `</w:t>
      </w:r>
      <w:r>
        <w:rPr>
          <w:rFonts w:ascii="Barlow Semi Condensed" w:cs="Barlow Semi Condensed" w:eastAsia="Barlow Semi Condensed" w:hAnsi="Barlow Semi Condensed"/>
          <w:i/>
          <w:iCs/>
          <w:sz w:val="24"/>
          <w:szCs w:val="24"/>
        </w:rPr>
        <w:t xml:space="preserve">triangolazione-condannati-corpus.md</w:t>
      </w:r>
      <w:r>
        <w:rPr>
          <w:rFonts w:ascii="Barlow Semi Condensed" w:cs="Barlow Semi Condensed" w:eastAsia="Barlow Semi Condensed" w:hAnsi="Barlow Semi Condensed"/>
          <w:sz w:val="24"/>
          <w:szCs w:val="24"/>
        </w:rPr>
        <w:t xml:space="preserve">` — la </w:t>
      </w:r>
      <w:r>
        <w:rPr>
          <w:rFonts w:ascii="Barlow Semi Condensed" w:cs="Barlow Semi Condensed" w:eastAsia="Barlow Semi Condensed" w:hAnsi="Barlow Semi Condensed"/>
          <w:b/>
          <w:bCs/>
          <w:sz w:val="24"/>
          <w:szCs w:val="24"/>
        </w:rPr>
        <w:t xml:space="preserve">prosopografia del registro</w:t>
      </w:r>
      <w:r>
        <w:rPr>
          <w:rFonts w:ascii="Barlow Semi Condensed" w:cs="Barlow Semi Condensed" w:eastAsia="Barlow Semi Condensed" w:hAnsi="Barlow Semi Condensed"/>
          <w:sz w:val="24"/>
          <w:szCs w:val="24"/>
        </w:rPr>
        <w:t xml:space="preserve">: i tredici condannati incrociati con gli altri domini del corpus (il ceppo CPM del 1969, il canale Pace-Piperno, Bonisoli e Monte Nevoso, la genealogia reggiana, Casimirri fra Vaticano e Nicaragua, Lojacono e la Svizzera, la memoria come vettore). Otto ponti documentati, quattro esiti negativi, cinque anti-triangolazioni: nessun ponte è un nesso</w:t>
      </w:r>
    </w:p>
    <w:p>
      <w:pPr>
        <w:spacing w:after="40"/>
        <w:ind w:left="360"/>
        <w:jc w:val="both"/>
      </w:pPr>
      <w:r>
        <w:rPr>
          <w:rFonts w:ascii="Barlow Semi Condensed" w:cs="Barlow Semi Condensed" w:eastAsia="Barlow Semi Condensed" w:hAnsi="Barlow Semi Condensed"/>
          <w:sz w:val="24"/>
          <w:szCs w:val="24"/>
        </w:rPr>
        <w:t xml:space="preserve">8. `</w:t>
      </w:r>
      <w:r>
        <w:rPr>
          <w:rFonts w:ascii="Barlow Semi Condensed" w:cs="Barlow Semi Condensed" w:eastAsia="Barlow Semi Condensed" w:hAnsi="Barlow Semi Condensed"/>
          <w:i/>
          <w:iCs/>
          <w:sz w:val="24"/>
          <w:szCs w:val="24"/>
        </w:rPr>
        <w:t xml:space="preserve">aldo-moro-una-guerra-senza-fine-apparato-dei-gradi.md</w:t>
      </w:r>
      <w:r>
        <w:rPr>
          <w:rFonts w:ascii="Barlow Semi Condensed" w:cs="Barlow Semi Condensed" w:eastAsia="Barlow Semi Condensed" w:hAnsi="Barlow Semi Condensed"/>
          <w:sz w:val="24"/>
          <w:szCs w:val="24"/>
        </w:rPr>
        <w:t xml:space="preserve">` — l'</w:t>
      </w:r>
      <w:r>
        <w:rPr>
          <w:rFonts w:ascii="Barlow Semi Condensed" w:cs="Barlow Semi Condensed" w:eastAsia="Barlow Semi Condensed" w:hAnsi="Barlow Semi Condensed"/>
          <w:b/>
          <w:bCs/>
          <w:sz w:val="24"/>
          <w:szCs w:val="24"/>
        </w:rPr>
        <w:t xml:space="preserve">indice analitico</w:t>
      </w:r>
      <w:r>
        <w:rPr>
          <w:rFonts w:ascii="Barlow Semi Condensed" w:cs="Barlow Semi Condensed" w:eastAsia="Barlow Semi Condensed" w:hAnsi="Barlow Semi Condensed"/>
          <w:sz w:val="24"/>
          <w:szCs w:val="24"/>
        </w:rPr>
        <w:t xml:space="preserve">: per ogni capitolo, asserzione portante, grado di prova e criterio di smentita</w:t>
      </w:r>
    </w:p>
    <w:p>
      <w:pPr>
        <w:spacing w:after="40"/>
        <w:ind w:left="360"/>
        <w:jc w:val="both"/>
      </w:pPr>
      <w:r>
        <w:rPr>
          <w:rFonts w:ascii="Barlow Semi Condensed" w:cs="Barlow Semi Condensed" w:eastAsia="Barlow Semi Condensed" w:hAnsi="Barlow Semi Condensed"/>
          <w:sz w:val="24"/>
          <w:szCs w:val="24"/>
        </w:rPr>
        <w:t xml:space="preserve">9.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i/>
          <w:iCs/>
          <w:sz w:val="24"/>
          <w:szCs w:val="24"/>
        </w:rPr>
        <w:t xml:space="preserve"> — il nodo Hyperion del «quadro internazionale», come caso di scuola del metodo: fatti documentati, due tesi contrapposte entrambe non provate, proscioglimenti espliciti; lo studio monografico della genealogia è </w:t>
      </w:r>
      <w:r>
        <w:rPr>
          <w:rFonts w:ascii="Barlow Semi Condensed" w:cs="Barlow Semi Condensed" w:eastAsia="Barlow Semi Condensed" w:hAnsi="Barlow Semi Condensed"/>
          <w:i/>
          <w:iCs/>
          <w:sz w:val="24"/>
          <w:szCs w:val="24"/>
        </w:rPr>
        <w:t xml:space="preserve">ceppo-simioni-cpm-superclan-hyperion.md</w:t>
      </w:r>
      <w:r>
        <w:rPr>
          <w:rFonts w:ascii="Barlow Semi Condensed" w:cs="Barlow Semi Condensed" w:eastAsia="Barlow Semi Condensed" w:hAnsi="Barlow Semi Condensed"/>
          <w:sz w:val="24"/>
          <w:szCs w:val="24"/>
        </w:rPr>
        <w:t xml:space="preserve">` — la «terza strada» del ceppo del 1969, con il registro dei prosciolti (assoluzione con formula piena e risarcimento per Mulinaris; due assoluzioni per Berio; nessuna condanna per Simioni) in testa e non in coda</w:t>
      </w:r>
    </w:p>
    <w:p>
      <w:pPr>
        <w:spacing w:after="40"/>
        <w:ind w:left="360"/>
        <w:jc w:val="both"/>
      </w:pPr>
      <w:r>
        <w:rPr>
          <w:rFonts w:ascii="Barlow Semi Condensed" w:cs="Barlow Semi Condensed" w:eastAsia="Barlow Semi Condensed" w:hAnsi="Barlow Semi Condensed"/>
          <w:sz w:val="24"/>
          <w:szCs w:val="24"/>
        </w:rPr>
        <w:t xml:space="preserve">10. `</w:t>
      </w:r>
      <w:r>
        <w:rPr>
          <w:rFonts w:ascii="Barlow Semi Condensed" w:cs="Barlow Semi Condensed" w:eastAsia="Barlow Semi Condensed" w:hAnsi="Barlow Semi Condensed"/>
          <w:i/>
          <w:iCs/>
          <w:sz w:val="24"/>
          <w:szCs w:val="24"/>
        </w:rPr>
        <w:t xml:space="preserve">moro-ministro-esteri/</w:t>
      </w:r>
      <w:r>
        <w:rPr>
          <w:rFonts w:ascii="Barlow Semi Condensed" w:cs="Barlow Semi Condensed" w:eastAsia="Barlow Semi Condensed" w:hAnsi="Barlow Semi Condensed"/>
          <w:i/>
          <w:iCs/>
          <w:sz w:val="24"/>
          <w:szCs w:val="24"/>
        </w:rPr>
        <w:t xml:space="preserve"> — **la dimensione diplomatica dello statista**; il suo prolungamento sul dopo-giudicato è </w:t>
      </w:r>
      <w:r>
        <w:rPr>
          <w:rFonts w:ascii="Barlow Semi Condensed" w:cs="Barlow Semi Condensed" w:eastAsia="Barlow Semi Condensed" w:hAnsi="Barlow Semi Condensed"/>
          <w:i/>
          <w:iCs/>
          <w:sz w:val="24"/>
          <w:szCs w:val="24"/>
        </w:rPr>
        <w:t xml:space="preserve">le-pene-oltre-confine-mitterrand-mulinaris.md</w:t>
      </w:r>
      <w:r>
        <w:rPr>
          <w:rFonts w:ascii="Barlow Semi Condensed" w:cs="Barlow Semi Condensed" w:eastAsia="Barlow Semi Condensed" w:hAnsi="Barlow Semi Condensed"/>
          <w:sz w:val="24"/>
          <w:szCs w:val="24"/>
        </w:rPr>
        <w:t xml:space="preserve">` — l'affaire Mulinaris, la dottrina Mitterrand, le geografie delle latitanze del registro e l'epilogo «Ombre rosse»/Cassazione francese 2023: che cosa Moro fece come ministro degli Esteri (1969-1974). Complemento documentale della Fase ottava — la </w:t>
      </w:r>
      <w:r>
        <w:rPr>
          <w:rFonts w:ascii="Barlow Semi Condensed" w:cs="Barlow Semi Condensed" w:eastAsia="Barlow Semi Condensed" w:hAnsi="Barlow Semi Condensed"/>
          <w:i/>
          <w:iCs/>
          <w:sz w:val="24"/>
          <w:szCs w:val="24"/>
        </w:rPr>
        <w:t xml:space="preserve">strategia dell'attenzione</w:t>
      </w:r>
      <w:r>
        <w:rPr>
          <w:rFonts w:ascii="Barlow Semi Condensed" w:cs="Barlow Semi Condensed" w:eastAsia="Barlow Semi Condensed" w:hAnsi="Barlow Semi Condensed"/>
          <w:sz w:val="24"/>
          <w:szCs w:val="24"/>
        </w:rPr>
        <w:t xml:space="preserve"> fatta atto: la firma CEE-Turchia (1971) e l'Atto finale di Helsinki (1975), il lodo Moro, la Ostpolitik, i versanti mediterranei, e le triangolazioni con la Santa Sede e con l'Opus Dei (Germania e Portogallo: presenza; Grecia e Turchia: «Stato Zero»)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volume rilegato delle continuazioni è `</w:t>
      </w:r>
      <w:r>
        <w:rPr>
          <w:rFonts w:ascii="Barlow Semi Condensed" w:cs="Barlow Semi Condensed" w:eastAsia="Barlow Semi Condensed" w:hAnsi="Barlow Semi Condensed"/>
          <w:i w:val="false"/>
          <w:iCs w:val="false"/>
          <w:sz w:val="24"/>
          <w:szCs w:val="24"/>
        </w:rPr>
        <w:t xml:space="preserve">ALDO_MORO_UNA_GUERRA_SENZA_FINE_TRE_CONTINUAZIONI.docx</w:t>
      </w:r>
      <w:r>
        <w:rPr>
          <w:rFonts w:ascii="Barlow Semi Condensed" w:cs="Barlow Semi Condensed" w:eastAsia="Barlow Semi Condensed" w:hAnsi="Barlow Semi Condensed"/>
          <w:i w:val="false"/>
          <w:iCs w:val="false"/>
          <w:sz w:val="24"/>
          <w:szCs w:val="24"/>
        </w:rPr>
        <w:t xml:space="preserve">. Il dittico della «terza strada» (lo studio del ceppo Simioni con la triangolazione Hyperion, tappa 9) è rilegato nel volume </w:t>
      </w:r>
      <w:r>
        <w:rPr>
          <w:rFonts w:ascii="Barlow Semi Condensed" w:cs="Barlow Semi Condensed" w:eastAsia="Barlow Semi Condensed" w:hAnsi="Barlow Semi Condensed"/>
          <w:i w:val="false"/>
          <w:iCs w:val="false"/>
          <w:sz w:val="24"/>
          <w:szCs w:val="24"/>
        </w:rPr>
        <w:t xml:space="preserve">LA_TERZA_STRADA_CEPPO_SIMIONI_E_NODO_HYPERION.docx</w:t>
      </w:r>
      <w:r>
        <w:rPr>
          <w:rFonts w:ascii="Barlow Semi Condensed" w:cs="Barlow Semi Condensed" w:eastAsia="Barlow Semi Condensed" w:hAnsi="Barlow Semi Condensed"/>
          <w:i w:val="false"/>
          <w:iCs w:val="false"/>
          <w:sz w:val="24"/>
          <w:szCs w:val="24"/>
        </w:rPr>
        <w:t xml:space="preserve">. La Fase decima con la sua triangolazione (tappe 6-7) è rilegata nel volume </w:t>
      </w:r>
      <w:r>
        <w:rPr>
          <w:rFonts w:ascii="Barlow Semi Condensed" w:cs="Barlow Semi Condensed" w:eastAsia="Barlow Semi Condensed" w:hAnsi="Barlow Semi Condensed"/>
          <w:i w:val="false"/>
          <w:iCs w:val="false"/>
          <w:sz w:val="24"/>
          <w:szCs w:val="24"/>
        </w:rPr>
        <w:t xml:space="preserve">ALDO_MORO_FASE_DECIMA_IL_PRINCIPIO_PERSONALISTICO.docx</w:t>
      </w:r>
      <w:r>
        <w:rPr>
          <w:rFonts w:ascii="Barlow Semi Condensed" w:cs="Barlow Semi Condensed" w:eastAsia="Barlow Semi Condensed" w:hAnsi="Barlow Semi Condensed"/>
          <w:i w:val="false"/>
          <w:iCs w:val="false"/>
          <w:sz w:val="24"/>
          <w:szCs w:val="24"/>
        </w:rPr>
        <w:t xml:space="preserve">. La cartella diplomatica (tappa 10) è rilegata nel volume </w:t>
      </w:r>
      <w:r>
        <w:rPr>
          <w:rFonts w:ascii="Barlow Semi Condensed" w:cs="Barlow Semi Condensed" w:eastAsia="Barlow Semi Condensed" w:hAnsi="Barlow Semi Condensed"/>
          <w:i w:val="false"/>
          <w:iCs w:val="false"/>
          <w:sz w:val="24"/>
          <w:szCs w:val="24"/>
        </w:rPr>
        <w:t xml:space="preserve">ALDO_MORO_MINISTRO_DEGLI_ESTERI_LA_DIMENSIONE_DIPLOMATICA.docx</w:t>
      </w:r>
      <w:r>
        <w:rPr>
          <w:rFonts w:ascii="Barlow Semi Condensed" w:cs="Barlow Semi Condensed" w:eastAsia="Barlow Semi Condensed" w:hAnsi="Barlow Semi Condensed"/>
          <w:i w:val="false"/>
          <w:iCs w:val="false"/>
          <w:sz w:val="24"/>
          <w:szCs w:val="24"/>
        </w:rPr>
        <w:t xml:space="preserve">, e in edizione HTML navigabile in </w:t>
      </w:r>
      <w:r>
        <w:rPr>
          <w:rFonts w:ascii="Barlow Semi Condensed" w:cs="Barlow Semi Condensed" w:eastAsia="Barlow Semi Condensed" w:hAnsi="Barlow Semi Condensed"/>
          <w:i w:val="false"/>
          <w:iCs w:val="false"/>
          <w:sz w:val="24"/>
          <w:szCs w:val="24"/>
        </w:rPr>
        <w:t xml:space="preserve">moro-ministro-esteri/volume.html</w:t>
      </w:r>
      <w:r>
        <w:rPr>
          <w:rFonts w:ascii="Barlow Semi Condensed" w:cs="Barlow Semi Condensed" w:eastAsia="Barlow Semi Condensed" w:hAnsi="Barlow Semi Condensed"/>
          <w:i w:val="false"/>
          <w:iCs w:val="false"/>
          <w:sz w:val="24"/>
          <w:szCs w:val="24"/>
        </w:rPr>
        <w:t xml:space="preserve">` (da aprire nel browser).</w:t>
      </w:r>
    </w:p>
    <w:p>
      <w:pPr>
        <w:pStyle w:val="Heading3"/>
        <w:spacing w:after="80" w:before="160"/>
      </w:pPr>
      <w:r>
        <w:rPr>
          <w:rFonts w:ascii="Barlow Semi Condensed" w:cs="Barlow Semi Condensed" w:eastAsia="Barlow Semi Condensed" w:hAnsi="Barlow Semi Condensed"/>
          <w:sz w:val="24"/>
          <w:szCs w:val="24"/>
        </w:rPr>
        <w:t xml:space="preserve">Percorso C — La sintesi e la vista d'insieme</w:t>
      </w:r>
    </w:p>
    <w:p>
      <w:pPr>
        <w:spacing w:after="120" w:line="276"/>
        <w:jc w:val="both"/>
      </w:pPr>
      <w:r>
        <w:rPr>
          <w:rFonts w:ascii="Barlow Semi Condensed" w:cs="Barlow Semi Condensed" w:eastAsia="Barlow Semi Condensed" w:hAnsi="Barlow Semi Condensed"/>
          <w:sz w:val="24"/>
          <w:szCs w:val="24"/>
        </w:rPr>
        <w:t xml:space="preserve">Per chi vuole il quadro in un colpo d'occhio, prima o dopo il dettaglio.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i/>
          <w:iCs/>
          <w:sz w:val="24"/>
          <w:szCs w:val="24"/>
        </w:rPr>
        <w:t xml:space="preserve">cronologia-guevara-moro.html</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parabola e il mito»</w:t>
      </w:r>
      <w:r>
        <w:rPr>
          <w:rFonts w:ascii="Barlow Semi Condensed" w:cs="Barlow Semi Condensed" w:eastAsia="Barlow Semi Condensed" w:hAnsi="Barlow Semi Condensed"/>
          <w:sz w:val="24"/>
          <w:szCs w:val="24"/>
        </w:rPr>
        <w:t xml:space="preserve">: cronologia sinottica navigabile (1916-1997), i tre fili su un solo asse del tempo. Aprire nel browser.</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i/>
          <w:iCs/>
          <w:sz w:val="24"/>
          <w:szCs w:val="24"/>
        </w:rPr>
        <w:t xml:space="preserve">triangolazioni-guevara-moro.md</w:t>
      </w:r>
      <w:r>
        <w:rPr>
          <w:rFonts w:ascii="Barlow Semi Condensed" w:cs="Barlow Semi Condensed" w:eastAsia="Barlow Semi Condensed" w:hAnsi="Barlow Semi Condensed"/>
          <w:sz w:val="24"/>
          <w:szCs w:val="24"/>
        </w:rPr>
        <w:t xml:space="preserve">` — la verifica sistematica del corpus (39 nodi) e la matrice comparativa Guevara-Moro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i/>
          <w:iCs/>
          <w:sz w:val="24"/>
          <w:szCs w:val="24"/>
        </w:rPr>
        <w:t xml:space="preserve">feltrinelli-il-vettore.md</w:t>
      </w:r>
      <w:r>
        <w:rPr>
          <w:rFonts w:ascii="Barlow Semi Condensed" w:cs="Barlow Semi Condensed" w:eastAsia="Barlow Semi Condensed" w:hAnsi="Barlow Semi Condensed"/>
          <w:sz w:val="24"/>
          <w:szCs w:val="24"/>
        </w:rPr>
        <w:t xml:space="preserve">` — lo studio monografico sull'anello centrale della sintesi: l'editore che fabbricò il mito e fondò i GAP</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i/>
          <w:iCs/>
          <w:sz w:val="24"/>
          <w:szCs w:val="24"/>
        </w:rPr>
        <w:t xml:space="preserve">dal-che-a-moro-una-guerra-senza-fine.md</w:t>
      </w:r>
      <w:r>
        <w:rPr>
          <w:rFonts w:ascii="Barlow Semi Condensed" w:cs="Barlow Semi Condensed" w:eastAsia="Barlow Semi Condensed" w:hAnsi="Barlow Semi Condensed"/>
          <w:sz w:val="24"/>
          <w:szCs w:val="24"/>
        </w:rPr>
        <w:t xml:space="preserve">` — il bilancio finale: documentato / convergenza / congettura</w:t>
      </w:r>
    </w:p>
    <w:p>
      <w:pPr>
        <w:pStyle w:val="Heading3"/>
        <w:spacing w:after="80" w:before="160"/>
      </w:pPr>
      <w:r>
        <w:rPr>
          <w:rFonts w:ascii="Barlow Semi Condensed" w:cs="Barlow Semi Condensed" w:eastAsia="Barlow Semi Condensed" w:hAnsi="Barlow Semi Condensed"/>
          <w:sz w:val="24"/>
          <w:szCs w:val="24"/>
        </w:rPr>
        <w:t xml:space="preserve">Percorso D — Il Tribunale Speciale: i nomi e l'istituzione</w:t>
      </w:r>
    </w:p>
    <w:p>
      <w:pPr>
        <w:spacing w:after="120" w:line="276"/>
        <w:jc w:val="both"/>
      </w:pPr>
      <w:r>
        <w:rPr>
          <w:rFonts w:ascii="Barlow Semi Condensed" w:cs="Barlow Semi Condensed" w:eastAsia="Barlow Semi Condensed" w:hAnsi="Barlow Semi Condensed"/>
          <w:sz w:val="24"/>
          <w:szCs w:val="24"/>
        </w:rPr>
        <w:t xml:space="preserve">Il filo da cui il branch è partito, ora completo nelle sue due scale.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i/>
          <w:iCs/>
          <w:sz w:val="24"/>
          <w:szCs w:val="24"/>
        </w:rPr>
        <w:t xml:space="preserve">tribunale-speciale-storia-istituzione.md</w:t>
      </w:r>
      <w:r>
        <w:rPr>
          <w:rFonts w:ascii="Barlow Semi Condensed" w:cs="Barlow Semi Condensed" w:eastAsia="Barlow Semi Condensed" w:hAnsi="Barlow Semi Condensed"/>
          <w:sz w:val="24"/>
          <w:szCs w:val="24"/>
        </w:rPr>
        <w:t xml:space="preserve">` — l'istituzione: la legge del 1926, struttura e rito, i numeri della repressione, il «processone», le amnistie, la soppressione del 1943 e l'eredità costituzionale (art. 102)</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i/>
          <w:iCs/>
          <w:sz w:val="24"/>
          <w:szCs w:val="24"/>
        </w:rPr>
        <w:t xml:space="preserve">tribunale-speciale-approfondimento-sottonodi.md</w:t>
      </w:r>
      <w:r>
        <w:rPr>
          <w:rFonts w:ascii="Barlow Semi Condensed" w:cs="Barlow Semi Condensed" w:eastAsia="Barlow Semi Condensed" w:hAnsi="Barlow Semi Condensed"/>
          <w:sz w:val="24"/>
          <w:szCs w:val="24"/>
        </w:rPr>
        <w:t xml:space="preserve">` — l'approfondimento in otto sottonodi: presidenti, OVRA, processi di Trieste, i condannati che fecero la Repubblica, la scala bolognese, le donne, la guerra, l'impunità</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i/>
          <w:iCs/>
          <w:sz w:val="24"/>
          <w:szCs w:val="24"/>
        </w:rPr>
        <w:t xml:space="preserve">amnistiati-tribunale-speciale.md</w:t>
      </w:r>
      <w:r>
        <w:rPr>
          <w:rFonts w:ascii="Barlow Semi Condensed" w:cs="Barlow Semi Condensed" w:eastAsia="Barlow Semi Condensed" w:hAnsi="Barlow Semi Condensed"/>
          <w:sz w:val="24"/>
          <w:szCs w:val="24"/>
        </w:rPr>
        <w:t xml:space="preserve">` — i nomi: i casi individuali censiti nell'archivio bolognese, con i link alle schede</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 due studi italiani (Feltrinelli con la sua triangolazione, e il Tribunale Speciale) sono disponibili anche nel volume rilegato `</w:t>
      </w:r>
      <w:r>
        <w:rPr>
          <w:rFonts w:ascii="Barlow Semi Condensed" w:cs="Barlow Semi Condensed" w:eastAsia="Barlow Semi Condensed" w:hAnsi="Barlow Semi Condensed"/>
          <w:i w:val="false"/>
          <w:iCs w:val="false"/>
          <w:sz w:val="24"/>
          <w:szCs w:val="24"/>
        </w:rPr>
        <w:t xml:space="preserve">IL_VETTORE_E_IL_TRIBUNALE_DUE_STUDI_1926-1972.docx</w:t>
      </w:r>
      <w:r>
        <w:rPr>
          <w:rFonts w:ascii="Barlow Semi Condensed" w:cs="Barlow Semi Condensed" w:eastAsia="Barlow Semi Condensed" w:hAnsi="Barlow Semi Condensed"/>
          <w:i w:val="false"/>
          <w:iCs w:val="false"/>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documenti, uno per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cos'è</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 prevalente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cronologia-guevara-moro.html</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Cronologia sinottica navigabile, tre fili su un asse del tempo (1916-1997)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(solo fatti pubblici)</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guevara-origini-esilio-messicano.md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Guevara dalle origini al 1934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storiografico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guevara-messico-avana-1954-1965.md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Dal Messico alla Sierra Maestra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storiografico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guevara-mosca-bolivia-1964-1966.md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Dall'ONU 1964 al Congo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storiografico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guevara-campagna-boliviana-1966-1967.md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Campagna boliviana e fine; ritrovamento resti (1997)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(Diario; fonti declassificate)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guevara-bibliografia-critica.md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Fonti per rango; elenco di trasparenza delle fonti deboli sostituite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Apparato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triangolazioni-guevara-moro.md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Verifica sistematica (39 nodi) + matrice comparativa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convergenza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feltrinelli-il-vettore.md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Monografia su Feltrinelli: editore, vettore del mito, GAP, morte a Segrate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morte con congettura dichiarata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triangolazione-feltrinelli-corpus.md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Verifica della monografia (17 nodi, 3 correzioni applicate) + 7 ponti col corpus + 3 anti-triangolazioni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Apparato / documentato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nodo Hyperion: 9 nodi documentati, due tesi contrapposte al vaglio, 4 ponti, 3 anti-triangolazioni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congetture dichiarate; proscioglimenti espliciti</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triangolazione-feltrinelli-hyperion.md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Incrocio dei due fronti: matrice 1969, triforcazione 1970, ponti biografici, congettura di Segrate smentita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memorialistica pesata / congettura smentita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dal-che-a-moro-una-guerra-senza-fine.md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Saggio di sintesi; Parte quarta = pastiche dichiarato di stile moroteo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Misto (bilancio finale esplicito)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aldo-moro-una-guerra-senza-fine-parte-terza.md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Dossier falsificazionista sulle questioni aperte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Ciascun capitolo col proprio grado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aldo-moro-una-guerra-senza-fine-fase-sesta.md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presidio del garante; le quattro discipline operative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Metodo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aldo-moro-una-guerra-senza-fine-apparato-dei-gradi.md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Indice analitico dei cinquanta capitoli, capitolo per capitolo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Apparato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aldo-moro-una-guerra-senza-fine-fase-decima-responsabilita-personali.md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principio personalistico: registro nominativo delle tredici responsabilità individuali in giudicato; niente colpa dei gruppi, in nessuna direzione; il caso Algranati; le appartenenze come fatto 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Giudicato (A); posizioni distinte dichiarate; nessuna graduatoria né percentuale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triangolazione-condannati-corpus.md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Prosopografia del registro: otto ponti documentati dei tredici verso gli altri domini (CPM/Hyperion, Potere Operaio/trattativa, Monte Nevoso, genealogia reggiana, Vaticano/Nicaragua, Svizzera, la memoria come vettore), quattro esiti negativi, cinque anti-triangolazioni, matrice sintetica e chiusura sul confronto col Tribunale Speciale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Fatti biografici (F) e accertamenti (B); ogni tesi operativa resta C; nessun ponte promosso a nesso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ceppo-simioni-cpm-superclan-hyperion.md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Studio monografico della «terza strada»: la discendenza CPM → Superclan → Hyperion. La biografia di Simioni coi gradi (USIS = F; «si dice» RFE = riferito), la scissione 1970-71, la memorialistica brigatista come fonte di parte, i tre percorsi giudiziari (Mulinaris: formula piena e risarcimento; Berio: due assoluzioni e l'approccio SID 1972 respinto e documentato al suocero Malagugini; Simioni: mai condannato, Fondazione Abbé Pierre), le suggestioni pesate una per una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Proscioglimenti in testa (esito giudiziario); memorialistica C; il «fu assolto, ma» bandito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moro-ministro-esteri/</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Cartella: Moro alla Farnesina (1969-1974). Ricognizione-madre, quattro versanti nazionali (Germania/Portogallo/Grecia/Turchia con Opus Dei), Santa Sede-Turchia e attentato a Giovanni Paolo II, documenti State Dept 1965/1978; </w:t>
            </w:r>
            <w:r>
              <w:rPr>
                <w:rFonts w:ascii="Barlow Semi Condensed" w:cs="Barlow Semi Condensed" w:eastAsia="Barlow Semi Condensed" w:hAnsi="Barlow Semi Condensed"/>
                <w:b/>
                <w:bCs/>
                <w:sz w:val="20"/>
                <w:szCs w:val="20"/>
              </w:rPr>
              <w:t xml:space="preserve">seconda campagna del 25 agosto 2026</w:t>
            </w:r>
            <w:r>
              <w:rPr>
                <w:rFonts w:ascii="Barlow Semi Condensed" w:cs="Barlow Semi Condensed" w:eastAsia="Barlow Semi Condensed" w:hAnsi="Barlow Semi Condensed"/>
                <w:sz w:val="20"/>
                <w:szCs w:val="20"/>
              </w:rPr>
              <w:t xml:space="preserve">: documenti italiani e spagnoli con l'Opus Dei, la Santa Sede e le due Germanie con la sequenza Oder-Neisse, il Portogallo e la Santa Sede, e il verbale delle sei letture incrociate. Con manifesto SHA-256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 fatti pubblici; esiti negativi dichiarati; congetture qualificate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relazione-stato-lavori-stile-moro.md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Relazione sui lavori come esercizio di stile moroteo (pastiche dichiarato)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Pastiche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amnistiati-tribunale-speciale.md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Elenco degli amnistiati del Tribunale Speciale (campione dall'archivio di Bologna)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(schede d'archivio)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tribunale-speciale-storia-istituzione.md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Storia dell'istituzione: legge, struttura, numeri, processi, amnistie, fine ed eredità costituzionale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(cifre ANPPIA/Dal Pont; divergenze dichiarate)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tribunale-speciale-approfondimento-sottonodi.md</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Otto sottonodi: presidenti, OVRA, Trieste, prosopografia repubblicana, scala bolognese, donne, guerra, impunità</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Documentato; S-5 convergenza, S-6/S-8 filoni segnalati</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Sui pastiche.</w:t>
      </w:r>
      <w:r>
        <w:rPr>
          <w:rFonts w:ascii="Barlow Semi Condensed" w:cs="Barlow Semi Condensed" w:eastAsia="Barlow Semi Condensed" w:hAnsi="Barlow Semi Condensed"/>
          <w:sz w:val="24"/>
          <w:szCs w:val="24"/>
        </w:rPr>
        <w:t xml:space="preserve"> Due sezioni sono esercizi di stile dichiarati: la Parte quarta di </w:t>
      </w:r>
      <w:r>
        <w:rPr>
          <w:rFonts w:ascii="Barlow Semi Condensed" w:cs="Barlow Semi Condensed" w:eastAsia="Barlow Semi Condensed" w:hAnsi="Barlow Semi Condensed"/>
          <w:i/>
          <w:iCs/>
          <w:sz w:val="24"/>
          <w:szCs w:val="24"/>
        </w:rPr>
        <w:t xml:space="preserve">Dal Che a Moro</w:t>
      </w:r>
      <w:r>
        <w:rPr>
          <w:rFonts w:ascii="Barlow Semi Condensed" w:cs="Barlow Semi Condensed" w:eastAsia="Barlow Semi Condensed" w:hAnsi="Barlow Semi Condensed"/>
          <w:sz w:val="24"/>
          <w:szCs w:val="24"/>
        </w:rPr>
        <w:t xml:space="preserve"> e l'intera </w:t>
      </w:r>
      <w:r>
        <w:rPr>
          <w:rFonts w:ascii="Barlow Semi Condensed" w:cs="Barlow Semi Condensed" w:eastAsia="Barlow Semi Condensed" w:hAnsi="Barlow Semi Condensed"/>
          <w:i/>
          <w:iCs/>
          <w:sz w:val="24"/>
          <w:szCs w:val="24"/>
        </w:rPr>
        <w:t xml:space="preserve">relazione-stato-lavori</w:t>
      </w:r>
      <w:r>
        <w:rPr>
          <w:rFonts w:ascii="Barlow Semi Condensed" w:cs="Barlow Semi Condensed" w:eastAsia="Barlow Semi Condensed" w:hAnsi="Barlow Semi Condensed"/>
          <w:sz w:val="24"/>
          <w:szCs w:val="24"/>
        </w:rPr>
        <w:t xml:space="preserve">. Non sono parole di Aldo Moro, non gli sono attribuibili, non contengono rivelazioni di fatto. Sono voce prestata a un personaggio, come a teatro — e vanno lette solo così. Le affermazioni fattuali del corpus stanno tutte nelle parti in prosa piana, con i loro gradi di prova.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fascicolo della custodia</w:t>
      </w:r>
    </w:p>
    <w:p>
      <w:pPr>
        <w:spacing w:after="120" w:line="276"/>
        <w:jc w:val="both"/>
      </w:pPr>
      <w:r>
        <w:rPr>
          <w:rFonts w:ascii="Barlow Semi Condensed" w:cs="Barlow Semi Condensed" w:eastAsia="Barlow Semi Condensed" w:hAnsi="Barlow Semi Condensed"/>
          <w:sz w:val="24"/>
          <w:szCs w:val="24"/>
        </w:rPr>
        <w:t xml:space="preserve">Chi arrivi al corpus con le domande che tutti portano — **chi volle, chi seppe,</w:t>
      </w:r>
    </w:p>
    <w:p>
      <w:pPr>
        <w:spacing w:after="120" w:line="276"/>
        <w:jc w:val="both"/>
      </w:pPr>
      <w:r>
        <w:rPr>
          <w:rFonts w:ascii="Barlow Semi Condensed" w:cs="Barlow Semi Condensed" w:eastAsia="Barlow Semi Condensed" w:hAnsi="Barlow Semi Condensed"/>
          <w:sz w:val="24"/>
          <w:szCs w:val="24"/>
        </w:rPr>
        <w:t xml:space="preserve">chi eseguì** — trovi per prima cosa</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il-fascicolo-della-custodia.md</w:t>
      </w:r>
      <w:r>
        <w:rPr>
          <w:rFonts w:ascii="Barlow Semi Condensed" w:cs="Barlow Semi Condensed" w:eastAsia="Barlow Semi Condensed" w:hAnsi="Barlow Semi Condensed"/>
          <w:sz w:val="24"/>
          <w:szCs w:val="24"/>
        </w:rPr>
        <w:t xml:space="preserve">`, che le</w:t>
      </w:r>
    </w:p>
    <w:p>
      <w:pPr>
        <w:spacing w:after="120" w:line="276"/>
        <w:jc w:val="both"/>
      </w:pPr>
      <w:r>
        <w:rPr>
          <w:rFonts w:ascii="Barlow Semi Condensed" w:cs="Barlow Semi Condensed" w:eastAsia="Barlow Semi Condensed" w:hAnsi="Barlow Semi Condensed"/>
          <w:sz w:val="24"/>
          <w:szCs w:val="24"/>
        </w:rPr>
        <w:t xml:space="preserve">affronta una per una e dice, per ciascuna, dove esattamente la prova finisce.</w:t>
      </w:r>
    </w:p>
    <w:p>
      <w:pPr>
        <w:spacing w:after="120" w:line="276"/>
        <w:jc w:val="both"/>
      </w:pPr>
      <w:r>
        <w:rPr>
          <w:rFonts w:ascii="Barlow Semi Condensed" w:cs="Barlow Semi Condensed" w:eastAsia="Barlow Semi Condensed" w:hAnsi="Barlow Semi Condensed"/>
          <w:sz w:val="24"/>
          <w:szCs w:val="24"/>
        </w:rPr>
        <w:t xml:space="preserve">Vi si tiene separato ciò che la pubblicistica confonde: l'accertato della</w:t>
      </w:r>
    </w:p>
    <w:p>
      <w:pPr>
        <w:spacing w:after="120" w:line="276"/>
        <w:jc w:val="both"/>
      </w:pPr>
      <w:r>
        <w:rPr>
          <w:rFonts w:ascii="Barlow Semi Condensed" w:cs="Barlow Semi Condensed" w:eastAsia="Barlow Semi Condensed" w:hAnsi="Barlow Semi Condensed"/>
          <w:sz w:val="24"/>
          <w:szCs w:val="24"/>
        </w:rPr>
        <w:t xml:space="preserve">prigionia (Livello A) dal non accertato dei luoghi ulteriori (Stato Zero); il</w:t>
      </w:r>
    </w:p>
    <w:p>
      <w:pPr>
        <w:spacing w:after="120" w:line="276"/>
        <w:jc w:val="both"/>
      </w:pPr>
      <w:r>
        <w:rPr>
          <w:rFonts w:ascii="Barlow Semi Condensed" w:cs="Barlow Semi Condensed" w:eastAsia="Barlow Semi Condensed" w:hAnsi="Barlow Semi Condensed"/>
          <w:b/>
          <w:bCs/>
          <w:sz w:val="24"/>
          <w:szCs w:val="24"/>
        </w:rPr>
        <w:t xml:space="preserve">mandato</w:t>
      </w:r>
      <w:r>
        <w:rPr>
          <w:rFonts w:ascii="Barlow Semi Condensed" w:cs="Barlow Semi Condensed" w:eastAsia="Barlow Semi Condensed" w:hAnsi="Barlow Semi Condensed"/>
          <w:sz w:val="24"/>
          <w:szCs w:val="24"/>
        </w:rPr>
        <w:t xml:space="preserve">, che non risulta e il cui esito negativo è di Livello A come risultato</w:t>
      </w:r>
    </w:p>
    <w:p>
      <w:pPr>
        <w:spacing w:after="120" w:line="276"/>
        <w:jc w:val="both"/>
      </w:pPr>
      <w:r>
        <w:rPr>
          <w:rFonts w:ascii="Barlow Semi Condensed" w:cs="Barlow Semi Condensed" w:eastAsia="Barlow Semi Condensed" w:hAnsi="Barlow Semi Condensed"/>
          <w:sz w:val="24"/>
          <w:szCs w:val="24"/>
        </w:rPr>
        <w:t xml:space="preserve">di ricerca, dalla </w:t>
      </w:r>
      <w:r>
        <w:rPr>
          <w:rFonts w:ascii="Barlow Semi Condensed" w:cs="Barlow Semi Condensed" w:eastAsia="Barlow Semi Condensed" w:hAnsi="Barlow Semi Condensed"/>
          <w:b/>
          <w:bCs/>
          <w:sz w:val="24"/>
          <w:szCs w:val="24"/>
        </w:rPr>
        <w:t xml:space="preserve">convergenza</w:t>
      </w:r>
      <w:r>
        <w:rPr>
          <w:rFonts w:ascii="Barlow Semi Condensed" w:cs="Barlow Semi Condensed" w:eastAsia="Barlow Semi Condensed" w:hAnsi="Barlow Semi Condensed"/>
          <w:sz w:val="24"/>
          <w:szCs w:val="24"/>
        </w:rPr>
        <w:t xml:space="preserve">, che risulta ed è la struttura portante</w:t>
      </w:r>
    </w:p>
    <w:p>
      <w:pPr>
        <w:spacing w:after="120" w:line="276"/>
        <w:jc w:val="both"/>
      </w:pPr>
      <w:r>
        <w:rPr>
          <w:rFonts w:ascii="Barlow Semi Condensed" w:cs="Barlow Semi Condensed" w:eastAsia="Barlow Semi Condensed" w:hAnsi="Barlow Semi Condensed"/>
          <w:sz w:val="24"/>
          <w:szCs w:val="24"/>
        </w:rPr>
        <w:t xml:space="preserve">dell'esito. E vi si prende sul serio, riformulandola in tre varianti perché possa</w:t>
      </w:r>
    </w:p>
    <w:p>
      <w:pPr>
        <w:spacing w:after="120" w:line="276"/>
        <w:jc w:val="both"/>
      </w:pPr>
      <w:r>
        <w:rPr>
          <w:rFonts w:ascii="Barlow Semi Condensed" w:cs="Barlow Semi Condensed" w:eastAsia="Barlow Semi Condensed" w:hAnsi="Barlow Semi Condensed"/>
          <w:sz w:val="24"/>
          <w:szCs w:val="24"/>
        </w:rPr>
        <w:t xml:space="preserve">essere smentita, l'ipotesi del trasferimento in un luogo noto a una parte soltanto</w:t>
      </w:r>
    </w:p>
    <w:p>
      <w:pPr>
        <w:spacing w:after="120" w:line="276"/>
        <w:jc w:val="both"/>
      </w:pPr>
      <w:r>
        <w:rPr>
          <w:rFonts w:ascii="Barlow Semi Condensed" w:cs="Barlow Semi Condensed" w:eastAsia="Barlow Semi Condensed" w:hAnsi="Barlow Semi Condensed"/>
          <w:sz w:val="24"/>
          <w:szCs w:val="24"/>
        </w:rPr>
        <w:t xml:space="preserve">— col nodo Hyperion trattato per intero, </w:t>
      </w:r>
      <w:r>
        <w:rPr>
          <w:rFonts w:ascii="Barlow Semi Condensed" w:cs="Barlow Semi Condensed" w:eastAsia="Barlow Semi Condensed" w:hAnsi="Barlow Semi Condensed"/>
          <w:b/>
          <w:bCs/>
          <w:sz w:val="24"/>
          <w:szCs w:val="24"/>
        </w:rPr>
        <w:t xml:space="preserve">proscioglimenti compresi</w:t>
      </w:r>
      <w:r>
        <w:rPr>
          <w:rFonts w:ascii="Barlow Semi Condensed" w:cs="Barlow Semi Condensed" w:eastAsia="Barlow Semi Condensed" w:hAnsi="Barlow Semi Condensed"/>
          <w:sz w:val="24"/>
          <w:szCs w:val="24"/>
        </w:rPr>
        <w:t xml:space="preserve">, e col</w:t>
      </w:r>
    </w:p>
    <w:p>
      <w:pPr>
        <w:spacing w:after="120" w:line="276"/>
        <w:jc w:val="both"/>
      </w:pPr>
      <w:r>
        <w:rPr>
          <w:rFonts w:ascii="Barlow Semi Condensed" w:cs="Barlow Semi Condensed" w:eastAsia="Barlow Semi Condensed" w:hAnsi="Barlow Semi Condensed"/>
          <w:sz w:val="24"/>
          <w:szCs w:val="24"/>
        </w:rPr>
        <w:t xml:space="preserve">rilievo che la sua forma forte non richiede alcun mandato esterno e proprio per</w:t>
      </w:r>
    </w:p>
    <w:p>
      <w:pPr>
        <w:spacing w:after="120" w:line="276"/>
        <w:jc w:val="both"/>
      </w:pPr>
      <w:r>
        <w:rPr>
          <w:rFonts w:ascii="Barlow Semi Condensed" w:cs="Barlow Semi Condensed" w:eastAsia="Barlow Semi Condensed" w:hAnsi="Barlow Semi Condensed"/>
          <w:sz w:val="24"/>
          <w:szCs w:val="24"/>
        </w:rPr>
        <w:t xml:space="preserve">questo non è provata da nulla di ciò che le si porta a sostegno.</w:t>
      </w:r>
    </w:p>
    <w:p>
      <w:pPr>
        <w:spacing w:after="120" w:line="276"/>
        <w:jc w:val="both"/>
      </w:pPr>
      <w:r>
        <w:rPr>
          <w:rFonts w:ascii="Barlow Semi Condensed" w:cs="Barlow Semi Condensed" w:eastAsia="Barlow Semi Condensed" w:hAnsi="Barlow Semi Condensed"/>
          <w:sz w:val="24"/>
          <w:szCs w:val="24"/>
        </w:rPr>
        <w:t xml:space="preserve">Chiude con </w:t>
      </w:r>
      <w:r>
        <w:rPr>
          <w:rFonts w:ascii="Barlow Semi Condensed" w:cs="Barlow Semi Condensed" w:eastAsia="Barlow Semi Condensed" w:hAnsi="Barlow Semi Condensed"/>
          <w:b/>
          <w:bCs/>
          <w:sz w:val="24"/>
          <w:szCs w:val="24"/>
        </w:rPr>
        <w:t xml:space="preserve">quattordici piste in ordine di priorità istruttoria</w:t>
      </w:r>
      <w:r>
        <w:rPr>
          <w:rFonts w:ascii="Barlow Semi Condensed" w:cs="Barlow Semi Condensed" w:eastAsia="Barlow Semi Condensed" w:hAnsi="Barlow Semi Condensed"/>
          <w:sz w:val="24"/>
          <w:szCs w:val="24"/>
        </w:rPr>
        <w:t xml:space="preserve">, 0-100, col</w:t>
      </w:r>
    </w:p>
    <w:p>
      <w:pPr>
        <w:spacing w:after="120" w:line="276"/>
        <w:jc w:val="both"/>
      </w:pPr>
      <w:r>
        <w:rPr>
          <w:rFonts w:ascii="Barlow Semi Condensed" w:cs="Barlow Semi Condensed" w:eastAsia="Barlow Semi Condensed" w:hAnsi="Barlow Semi Condensed"/>
          <w:sz w:val="24"/>
          <w:szCs w:val="24"/>
        </w:rPr>
        <w:t xml:space="preserve">modello a cinque criteri dichiarato perché sia attaccabile. L'indice misura quanto</w:t>
      </w:r>
    </w:p>
    <w:p>
      <w:pPr>
        <w:spacing w:after="120" w:line="276"/>
        <w:jc w:val="both"/>
      </w:pPr>
      <w:r>
        <w:rPr>
          <w:rFonts w:ascii="Barlow Semi Condensed" w:cs="Barlow Semi Condensed" w:eastAsia="Barlow Semi Condensed" w:hAnsi="Barlow Semi Condensed"/>
          <w:sz w:val="24"/>
          <w:szCs w:val="24"/>
        </w:rPr>
        <w:t xml:space="preserve">convenga compiere un atto adesso: **non la verità di una tesi, non la colpevolezza</w:t>
      </w:r>
    </w:p>
    <w:p>
      <w:pPr>
        <w:spacing w:after="120" w:line="276"/>
        <w:jc w:val="both"/>
      </w:pPr>
      <w:r>
        <w:rPr>
          <w:rFonts w:ascii="Barlow Semi Condensed" w:cs="Barlow Semi Condensed" w:eastAsia="Barlow Semi Condensed" w:hAnsi="Barlow Semi Condensed"/>
          <w:sz w:val="24"/>
          <w:szCs w:val="24"/>
        </w:rPr>
        <w:t xml:space="preserve">di alcuno.**</w:t>
      </w:r>
    </w:p>
    <w:p>
      <w:pPr>
        <w:spacing w:after="120" w:line="276"/>
        <w:jc w:val="both"/>
      </w:pPr>
      <w:r>
        <w:rPr>
          <w:rFonts w:ascii="Barlow Semi Condensed" w:cs="Barlow Semi Condensed" w:eastAsia="Barlow Semi Condensed" w:hAnsi="Barlow Semi Condensed"/>
          <w:sz w:val="24"/>
          <w:szCs w:val="24"/>
        </w:rPr>
        <w:t xml:space="preserve">Al fascicolo si affianca `</w:t>
      </w:r>
      <w:r>
        <w:rPr>
          <w:rFonts w:ascii="Barlow Semi Condensed" w:cs="Barlow Semi Condensed" w:eastAsia="Barlow Semi Condensed" w:hAnsi="Barlow Semi Condensed"/>
          <w:i/>
          <w:iCs/>
          <w:sz w:val="24"/>
          <w:szCs w:val="24"/>
        </w:rPr>
        <w:t xml:space="preserve">la-matrice-della-custodia.md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che ne mette alla prova le ipotesi con lo strumento che il corpus prescrive e non</w:t>
      </w:r>
    </w:p>
    <w:p>
      <w:pPr>
        <w:spacing w:after="120" w:line="276"/>
        <w:jc w:val="both"/>
      </w:pPr>
      <w:r>
        <w:rPr>
          <w:rFonts w:ascii="Barlow Semi Condensed" w:cs="Barlow Semi Condensed" w:eastAsia="Barlow Semi Condensed" w:hAnsi="Barlow Semi Condensed"/>
          <w:sz w:val="24"/>
          <w:szCs w:val="24"/>
        </w:rPr>
        <w:t xml:space="preserve">aveva mai costruito: cinque ipotesi mutuamente esclusive, dodici evidenze coi</w:t>
      </w:r>
    </w:p>
    <w:p>
      <w:pPr>
        <w:spacing w:after="120" w:line="276"/>
        <w:jc w:val="both"/>
      </w:pPr>
      <w:r>
        <w:rPr>
          <w:rFonts w:ascii="Barlow Semi Condensed" w:cs="Barlow Semi Condensed" w:eastAsia="Barlow Semi Condensed" w:hAnsi="Barlow Semi Condensed"/>
          <w:sz w:val="24"/>
          <w:szCs w:val="24"/>
        </w:rPr>
        <w:t xml:space="preserve">gradi, e la regola per cui </w:t>
      </w:r>
      <w:r>
        <w:rPr>
          <w:rFonts w:ascii="Barlow Semi Condensed" w:cs="Barlow Semi Condensed" w:eastAsia="Barlow Semi Condensed" w:hAnsi="Barlow Semi Condensed"/>
          <w:b/>
          <w:bCs/>
          <w:sz w:val="24"/>
          <w:szCs w:val="24"/>
        </w:rPr>
        <w:t xml:space="preserve">si contano le incompatibilità e non le conferme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Ne escono tre risultati che il fascicolo da solo non poteva dare: che i due fatti</w:t>
      </w:r>
    </w:p>
    <w:p>
      <w:pPr>
        <w:spacing w:after="120" w:line="276"/>
        <w:jc w:val="both"/>
      </w:pPr>
      <w:r>
        <w:rPr>
          <w:rFonts w:ascii="Barlow Semi Condensed" w:cs="Barlow Semi Condensed" w:eastAsia="Barlow Semi Condensed" w:hAnsi="Barlow Semi Condensed"/>
          <w:sz w:val="24"/>
          <w:szCs w:val="24"/>
        </w:rPr>
        <w:t xml:space="preserve">più citati sulla custodia non discriminano nulla, perché riguardano una base e non</w:t>
      </w:r>
    </w:p>
    <w:p>
      <w:pPr>
        <w:spacing w:after="120" w:line="276"/>
        <w:jc w:val="both"/>
      </w:pPr>
      <w:r>
        <w:rPr>
          <w:rFonts w:ascii="Barlow Semi Condensed" w:cs="Barlow Semi Condensed" w:eastAsia="Barlow Semi Condensed" w:hAnsi="Barlow Semi Condensed"/>
          <w:sz w:val="24"/>
          <w:szCs w:val="24"/>
        </w:rPr>
        <w:t xml:space="preserve">la prigione; che l'unica evidenza materiale capace di ordinare il campo — la</w:t>
      </w:r>
    </w:p>
    <w:p>
      <w:pPr>
        <w:spacing w:after="120" w:line="276"/>
        <w:jc w:val="both"/>
      </w:pPr>
      <w:r>
        <w:rPr>
          <w:rFonts w:ascii="Barlow Semi Condensed" w:cs="Barlow Semi Condensed" w:eastAsia="Barlow Semi Condensed" w:hAnsi="Barlow Semi Condensed"/>
          <w:sz w:val="24"/>
          <w:szCs w:val="24"/>
        </w:rPr>
        <w:t xml:space="preserve">sabbia del litorale — è ferma su una cella che </w:t>
      </w:r>
      <w:r>
        <w:rPr>
          <w:rFonts w:ascii="Barlow Semi Condensed" w:cs="Barlow Semi Condensed" w:eastAsia="Barlow Semi Condensed" w:hAnsi="Barlow Semi Condensed"/>
          <w:b/>
          <w:bCs/>
          <w:sz w:val="24"/>
          <w:szCs w:val="24"/>
        </w:rPr>
        <w:t xml:space="preserve">una perizia potrebbe riempire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 che l'ipotesi sopravvissuta a tutto lo è perché dice troppo poco.</w:t>
      </w:r>
    </w:p>
    <w:p>
      <w:pPr>
        <w:spacing w:after="120" w:line="276"/>
        <w:jc w:val="both"/>
      </w:pPr>
      <w:r>
        <w:rPr>
          <w:rFonts w:ascii="Barlow Semi Condensed" w:cs="Barlow Semi Condensed" w:eastAsia="Barlow Semi Condensed" w:hAnsi="Barlow Semi Condensed"/>
          <w:sz w:val="24"/>
          <w:szCs w:val="24"/>
        </w:rPr>
        <w:t xml:space="preserve">Da lì discende il terzo documento della serie,</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il-quesito-della-sabbia.md</w:t>
      </w:r>
      <w:r>
        <w:rPr>
          <w:rFonts w:ascii="Barlow Semi Condensed" w:cs="Barlow Semi Condensed" w:eastAsia="Barlow Semi Condensed" w:hAnsi="Barlow Semi Condensed"/>
          <w:sz w:val="24"/>
          <w:szCs w:val="24"/>
        </w:rPr>
        <w:t xml:space="preserve">`: la cella aperta non si</w:t>
      </w:r>
    </w:p>
    <w:p>
      <w:pPr>
        <w:spacing w:after="120" w:line="276"/>
        <w:jc w:val="both"/>
      </w:pPr>
      <w:r>
        <w:rPr>
          <w:rFonts w:ascii="Barlow Semi Condensed" w:cs="Barlow Semi Condensed" w:eastAsia="Barlow Semi Condensed" w:hAnsi="Barlow Semi Condensed"/>
          <w:sz w:val="24"/>
          <w:szCs w:val="24"/>
        </w:rPr>
        <w:t xml:space="preserve">riempie leggendo, si riempie con un esame, e il documento </w:t>
      </w:r>
      <w:r>
        <w:rPr>
          <w:rFonts w:ascii="Barlow Semi Condensed" w:cs="Barlow Semi Condensed" w:eastAsia="Barlow Semi Condensed" w:hAnsi="Barlow Semi Condensed"/>
          <w:b/>
          <w:bCs/>
          <w:sz w:val="24"/>
          <w:szCs w:val="24"/>
        </w:rPr>
        <w:t xml:space="preserve">scrive l'esame</w:t>
      </w:r>
      <w:r>
        <w:rPr>
          <w:rFonts w:ascii="Barlow Semi Condensed" w:cs="Barlow Semi Condensed" w:eastAsia="Barlow Semi Condensed" w:hAnsi="Barlow Semi Condensed"/>
          <w:sz w:val="24"/>
          <w:szCs w:val="24"/>
        </w:rPr>
        <w:t xml:space="preserve"> — otto</w:t>
      </w:r>
    </w:p>
    <w:p>
      <w:pPr>
        <w:spacing w:after="120" w:line="276"/>
        <w:jc w:val="both"/>
      </w:pPr>
      <w:r>
        <w:rPr>
          <w:rFonts w:ascii="Barlow Semi Condensed" w:cs="Barlow Semi Condensed" w:eastAsia="Barlow Semi Condensed" w:hAnsi="Barlow Semi Condensed"/>
          <w:sz w:val="24"/>
          <w:szCs w:val="24"/>
        </w:rPr>
        <w:t xml:space="preserve">quesiti in ordine, ciascuno con ciò che la sua risposta deciderebbe, e la mappa di</w:t>
      </w:r>
    </w:p>
    <w:p>
      <w:pPr>
        <w:spacing w:after="120" w:line="276"/>
        <w:jc w:val="both"/>
      </w:pPr>
      <w:r>
        <w:rPr>
          <w:rFonts w:ascii="Barlow Semi Condensed" w:cs="Barlow Semi Condensed" w:eastAsia="Barlow Semi Condensed" w:hAnsi="Barlow Semi Condensed"/>
          <w:sz w:val="24"/>
          <w:szCs w:val="24"/>
        </w:rPr>
        <w:t xml:space="preserve">falsificazione redatta </w:t>
      </w: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Non è un atto e non ne ha la pretesa: chi non ha</w:t>
      </w:r>
    </w:p>
    <w:p>
      <w:pPr>
        <w:spacing w:after="120" w:line="276"/>
        <w:jc w:val="both"/>
      </w:pPr>
      <w:r>
        <w:rPr>
          <w:rFonts w:ascii="Barlow Semi Condensed" w:cs="Barlow Semi Condensed" w:eastAsia="Barlow Semi Condensed" w:hAnsi="Barlow Semi Condensed"/>
          <w:sz w:val="24"/>
          <w:szCs w:val="24"/>
        </w:rPr>
        <w:t xml:space="preserve">titolo non dispone perizie, dispone di scrivere bene la domanda.</w:t>
      </w:r>
    </w:p>
    <w:p>
      <w:pPr>
        <w:spacing w:after="120" w:line="276"/>
        <w:jc w:val="both"/>
      </w:pPr>
      <w:r>
        <w:rPr>
          <w:rFonts w:ascii="Barlow Semi Condensed" w:cs="Barlow Semi Condensed" w:eastAsia="Barlow Semi Condensed" w:hAnsi="Barlow Semi Condensed"/>
          <w:sz w:val="24"/>
          <w:szCs w:val="24"/>
        </w:rPr>
        <w:t xml:space="preserve">Lo stesso strumento è poi applicato alla questione più contestata del caso in</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la-matrice-di-via-fani.md</w:t>
      </w:r>
      <w:r>
        <w:rPr>
          <w:rFonts w:ascii="Barlow Semi Condensed" w:cs="Barlow Semi Condensed" w:eastAsia="Barlow Semi Condensed" w:hAnsi="Barlow Semi Condensed"/>
          <w:sz w:val="24"/>
          <w:szCs w:val="24"/>
        </w:rPr>
        <w:t xml:space="preserve">`, con due esiti che</w:t>
      </w:r>
    </w:p>
    <w:p>
      <w:pPr>
        <w:spacing w:after="120" w:line="276"/>
        <w:jc w:val="both"/>
      </w:pPr>
      <w:r>
        <w:rPr>
          <w:rFonts w:ascii="Barlow Semi Condensed" w:cs="Barlow Semi Condensed" w:eastAsia="Barlow Semi Condensed" w:hAnsi="Barlow Semi Condensed"/>
          <w:sz w:val="24"/>
          <w:szCs w:val="24"/>
        </w:rPr>
        <w:t xml:space="preserve">riguardano il dibattito prima che il caso. **Cinque evidenze su undici si</w:t>
      </w:r>
    </w:p>
    <w:p>
      <w:pPr>
        <w:spacing w:after="120" w:line="276"/>
        <w:jc w:val="both"/>
      </w:pPr>
      <w:r>
        <w:rPr>
          <w:rFonts w:ascii="Barlow Semi Condensed" w:cs="Barlow Semi Condensed" w:eastAsia="Barlow Semi Condensed" w:hAnsi="Barlow Semi Condensed"/>
          <w:sz w:val="24"/>
          <w:szCs w:val="24"/>
        </w:rPr>
        <w:t xml:space="preserve">cancellano**: l'intero apparato balistico del 1978, adoperato da decenni in</w:t>
      </w:r>
    </w:p>
    <w:p>
      <w:pPr>
        <w:spacing w:after="120" w:line="276"/>
        <w:jc w:val="both"/>
      </w:pPr>
      <w:r>
        <w:rPr>
          <w:rFonts w:ascii="Barlow Semi Condensed" w:cs="Barlow Semi Condensed" w:eastAsia="Barlow Semi Condensed" w:hAnsi="Barlow Semi Condensed"/>
          <w:sz w:val="24"/>
          <w:szCs w:val="24"/>
        </w:rPr>
        <w:t xml:space="preserve">entrambe le direzioni, non discrimina fra le quattro ipotesi — e l'attribuzione</w:t>
      </w:r>
    </w:p>
    <w:p>
      <w:pPr>
        <w:spacing w:after="120" w:line="276"/>
        <w:jc w:val="both"/>
      </w:pPr>
      <w:r>
        <w:rPr>
          <w:rFonts w:ascii="Barlow Semi Condensed" w:cs="Barlow Semi Condensed" w:eastAsia="Barlow Semi Condensed" w:hAnsi="Barlow Semi Condensed"/>
          <w:sz w:val="24"/>
          <w:szCs w:val="24"/>
        </w:rPr>
        <w:t xml:space="preserve">«non conclusiva» dei ventidue colpi non è indizio di un'arma in più, è assenza di</w:t>
      </w:r>
    </w:p>
    <w:p>
      <w:pPr>
        <w:spacing w:after="120" w:line="276"/>
        <w:jc w:val="both"/>
      </w:pPr>
      <w:r>
        <w:rPr>
          <w:rFonts w:ascii="Barlow Semi Condensed" w:cs="Barlow Semi Condensed" w:eastAsia="Barlow Semi Condensed" w:hAnsi="Barlow Semi Condensed"/>
          <w:sz w:val="24"/>
          <w:szCs w:val="24"/>
        </w:rPr>
        <w:t xml:space="preserve">informazione, e adoperarla come indizio è trasformare un silenzio in una voce. E</w:t>
      </w:r>
    </w:p>
    <w:p>
      <w:pPr>
        <w:spacing w:after="120" w:line="276"/>
        <w:jc w:val="both"/>
      </w:pPr>
      <w:r>
        <w:rPr>
          <w:rFonts w:ascii="Barlow Semi Condensed" w:cs="Barlow Semi Condensed" w:eastAsia="Barlow Semi Condensed" w:hAnsi="Barlow Semi Condensed"/>
          <w:sz w:val="24"/>
          <w:szCs w:val="24"/>
        </w:rPr>
        <w:t xml:space="preserve">le due celle non lette </w:t>
      </w:r>
      <w:r>
        <w:rPr>
          <w:rFonts w:ascii="Barlow Semi Condensed" w:cs="Barlow Semi Condensed" w:eastAsia="Barlow Semi Condensed" w:hAnsi="Barlow Semi Condensed"/>
          <w:b/>
          <w:bCs/>
          <w:sz w:val="24"/>
          <w:szCs w:val="24"/>
        </w:rPr>
        <w:t xml:space="preserve">non mancano di reperti, mancano di lettura</w:t>
      </w:r>
      <w:r>
        <w:rPr>
          <w:rFonts w:ascii="Barlow Semi Condensed" w:cs="Barlow Semi Condensed" w:eastAsia="Barlow Semi Condensed" w:hAnsi="Barlow Semi Condensed"/>
          <w:sz w:val="24"/>
          <w:szCs w:val="24"/>
        </w:rPr>
        <w:t xml:space="preserve">: i profili</w:t>
      </w:r>
    </w:p>
    <w:p>
      <w:pPr>
        <w:spacing w:after="120" w:line="276"/>
        <w:jc w:val="both"/>
      </w:pPr>
      <w:r>
        <w:rPr>
          <w:rFonts w:ascii="Barlow Semi Condensed" w:cs="Barlow Semi Condensed" w:eastAsia="Barlow Semi Condensed" w:hAnsi="Barlow Semi Condensed"/>
          <w:sz w:val="24"/>
          <w:szCs w:val="24"/>
        </w:rPr>
        <w:t xml:space="preserve">genetici del 2016 e il caricatore mai comparato in quarantotto anni, con gli esami</w:t>
      </w:r>
    </w:p>
    <w:p>
      <w:pPr>
        <w:spacing w:after="120" w:line="276"/>
        <w:jc w:val="both"/>
      </w:pPr>
      <w:r>
        <w:rPr>
          <w:rFonts w:ascii="Barlow Semi Condensed" w:cs="Barlow Semi Condensed" w:eastAsia="Barlow Semi Condensed" w:hAnsi="Barlow Semi Condensed"/>
          <w:sz w:val="24"/>
          <w:szCs w:val="24"/>
        </w:rPr>
        <w:t xml:space="preserve">già disposti. La questione non attende un'idea, attende un referto.</w:t>
      </w:r>
    </w:p>
    <w:p>
      <w:pPr>
        <w:spacing w:after="120" w:line="276"/>
        <w:jc w:val="both"/>
      </w:pPr>
      <w:r>
        <w:rPr>
          <w:rFonts w:ascii="Barlow Semi Condensed" w:cs="Barlow Semi Condensed" w:eastAsia="Barlow Semi Condensed" w:hAnsi="Barlow Semi Condensed"/>
          <w:sz w:val="24"/>
          <w:szCs w:val="24"/>
        </w:rPr>
        <w:t xml:space="preserve">La terza tavola, `</w:t>
      </w:r>
      <w:r>
        <w:rPr>
          <w:rFonts w:ascii="Barlow Semi Condensed" w:cs="Barlow Semi Condensed" w:eastAsia="Barlow Semi Condensed" w:hAnsi="Barlow Semi Condensed"/>
          <w:i/>
          <w:iCs/>
          <w:sz w:val="24"/>
          <w:szCs w:val="24"/>
        </w:rPr>
        <w:t xml:space="preserve">la-matrice-delle-omissioni.md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era dovuta: la prima aveva cancellato due fatti dichiarando che appartengono a</w:t>
      </w:r>
    </w:p>
    <w:p>
      <w:pPr>
        <w:spacing w:after="120" w:line="276"/>
        <w:jc w:val="both"/>
      </w:pPr>
      <w:r>
        <w:rPr>
          <w:rFonts w:ascii="Barlow Semi Condensed" w:cs="Barlow Semi Condensed" w:eastAsia="Barlow Semi Condensed" w:hAnsi="Barlow Semi Condensed"/>
          <w:sz w:val="24"/>
          <w:szCs w:val="24"/>
        </w:rPr>
        <w:t xml:space="preserve">questa questione, e lasciarla senza tavola sarebbe stato usare la cancellazione</w:t>
      </w:r>
    </w:p>
    <w:p>
      <w:pPr>
        <w:spacing w:after="120" w:line="276"/>
        <w:jc w:val="both"/>
      </w:pPr>
      <w:r>
        <w:rPr>
          <w:rFonts w:ascii="Barlow Semi Condensed" w:cs="Barlow Semi Condensed" w:eastAsia="Barlow Semi Condensed" w:hAnsi="Barlow Semi Condensed"/>
          <w:sz w:val="24"/>
          <w:szCs w:val="24"/>
        </w:rPr>
        <w:t xml:space="preserve">come un modo elegante di non affrontarli. Ne esce che la regia unitaria è</w:t>
      </w:r>
    </w:p>
    <w:p>
      <w:pPr>
        <w:spacing w:after="120" w:line="276"/>
        <w:jc w:val="both"/>
      </w:pPr>
      <w:r>
        <w:rPr>
          <w:rFonts w:ascii="Barlow Semi Condensed" w:cs="Barlow Semi Condensed" w:eastAsia="Barlow Semi Condensed" w:hAnsi="Barlow Semi Condensed"/>
          <w:sz w:val="24"/>
          <w:szCs w:val="24"/>
        </w:rPr>
        <w:t xml:space="preserve">l'ipotesi più costosa e la più raccontata, e che la sola a guadagnare potere</w:t>
      </w:r>
    </w:p>
    <w:p>
      <w:pPr>
        <w:spacing w:after="120" w:line="276"/>
        <w:jc w:val="both"/>
      </w:pPr>
      <w:r>
        <w:rPr>
          <w:rFonts w:ascii="Barlow Semi Condensed" w:cs="Barlow Semi Condensed" w:eastAsia="Barlow Semi Condensed" w:hAnsi="Barlow Semi Condensed"/>
          <w:sz w:val="24"/>
          <w:szCs w:val="24"/>
        </w:rPr>
        <w:t xml:space="preserve">esplicativo senza pagare un urto — la </w:t>
      </w:r>
      <w:r>
        <w:rPr>
          <w:rFonts w:ascii="Barlow Semi Condensed" w:cs="Barlow Semi Condensed" w:eastAsia="Barlow Semi Condensed" w:hAnsi="Barlow Semi Condensed"/>
          <w:b/>
          <w:bCs/>
          <w:sz w:val="24"/>
          <w:szCs w:val="24"/>
        </w:rPr>
        <w:t xml:space="preserve">catena di comando interrotta di fatto</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non attribuisce nulla a nessuno, perché una catena interrotta è uno stato di un</w:t>
      </w:r>
    </w:p>
    <w:p>
      <w:pPr>
        <w:spacing w:after="120" w:line="276"/>
        <w:jc w:val="both"/>
      </w:pPr>
      <w:r>
        <w:rPr>
          <w:rFonts w:ascii="Barlow Semi Condensed" w:cs="Barlow Semi Condensed" w:eastAsia="Barlow Semi Condensed" w:hAnsi="Barlow Semi Condensed"/>
          <w:sz w:val="24"/>
          <w:szCs w:val="24"/>
        </w:rPr>
        <w:t xml:space="preserve">sistema e non ha autori.</w:t>
      </w:r>
    </w:p>
    <w:p>
      <w:pPr>
        <w:spacing w:after="120" w:line="276"/>
        <w:jc w:val="both"/>
      </w:pPr>
      <w:r>
        <w:rPr>
          <w:rFonts w:ascii="Barlow Semi Condensed" w:cs="Barlow Semi Condensed" w:eastAsia="Barlow Semi Condensed" w:hAnsi="Barlow Semi Condensed"/>
          <w:b/>
          <w:bCs/>
          <w:sz w:val="24"/>
          <w:szCs w:val="24"/>
        </w:rPr>
        <w:t xml:space="preserve">Il bilancio delle tre tavole è il loro risultato principale</w:t>
      </w:r>
      <w:r>
        <w:rPr>
          <w:rFonts w:ascii="Barlow Semi Condensed" w:cs="Barlow Semi Condensed" w:eastAsia="Barlow Semi Condensed" w:hAnsi="Barlow Semi Condensed"/>
          <w:sz w:val="24"/>
          <w:szCs w:val="24"/>
        </w:rPr>
        <w:t xml:space="preserve">, e non riguarda il</w:t>
      </w:r>
    </w:p>
    <w:p>
      <w:pPr>
        <w:spacing w:after="120" w:line="276"/>
        <w:jc w:val="both"/>
      </w:pPr>
      <w:r>
        <w:rPr>
          <w:rFonts w:ascii="Barlow Semi Condensed" w:cs="Barlow Semi Condensed" w:eastAsia="Barlow Semi Condensed" w:hAnsi="Barlow Semi Condensed"/>
          <w:sz w:val="24"/>
          <w:szCs w:val="24"/>
        </w:rPr>
        <w:t xml:space="preserve">caso ma il modo in cui se ne discute: in ciascuna la maggioranza delle evidenze più</w:t>
      </w:r>
    </w:p>
    <w:p>
      <w:pPr>
        <w:spacing w:after="120" w:line="276"/>
        <w:jc w:val="both"/>
      </w:pPr>
      <w:r>
        <w:rPr>
          <w:rFonts w:ascii="Barlow Semi Condensed" w:cs="Barlow Semi Condensed" w:eastAsia="Barlow Semi Condensed" w:hAnsi="Barlow Semi Condensed"/>
          <w:sz w:val="24"/>
          <w:szCs w:val="24"/>
        </w:rPr>
        <w:t xml:space="preserve">citate ha </w:t>
      </w:r>
      <w:r>
        <w:rPr>
          <w:rFonts w:ascii="Barlow Semi Condensed" w:cs="Barlow Semi Condensed" w:eastAsia="Barlow Semi Condensed" w:hAnsi="Barlow Semi Condensed"/>
          <w:b/>
          <w:bCs/>
          <w:sz w:val="24"/>
          <w:szCs w:val="24"/>
        </w:rPr>
        <w:t xml:space="preserve">diagnosticità nulla</w:t>
      </w:r>
      <w:r>
        <w:rPr>
          <w:rFonts w:ascii="Barlow Semi Condensed" w:cs="Barlow Semi Condensed" w:eastAsia="Barlow Semi Condensed" w:hAnsi="Barlow Semi Condensed"/>
          <w:sz w:val="24"/>
          <w:szCs w:val="24"/>
        </w:rPr>
        <w:t xml:space="preserve"> — cinque su undici, tre su undici, sei su nove.</w:t>
      </w:r>
    </w:p>
    <w:p>
      <w:pPr>
        <w:spacing w:after="120" w:line="276"/>
        <w:jc w:val="both"/>
      </w:pPr>
      <w:r>
        <w:rPr>
          <w:rFonts w:ascii="Barlow Semi Condensed" w:cs="Barlow Semi Condensed" w:eastAsia="Barlow Semi Condensed" w:hAnsi="Barlow Semi Condensed"/>
          <w:sz w:val="24"/>
          <w:szCs w:val="24"/>
        </w:rPr>
        <w:t xml:space="preserve">Ciò che discrimina è ogni volta poco, tecnico, e quasi sempre ancora da leggere.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L'opera derivata: il libro che dal corpus si ricava</w:t>
      </w:r>
    </w:p>
    <w:p>
      <w:pPr>
        <w:spacing w:after="120" w:line="276"/>
        <w:jc w:val="both"/>
      </w:pPr>
      <w:r>
        <w:rPr>
          <w:rFonts w:ascii="Barlow Semi Condensed" w:cs="Barlow Semi Condensed" w:eastAsia="Barlow Semi Condensed" w:hAnsi="Barlow Semi Condensed"/>
          <w:sz w:val="24"/>
          <w:szCs w:val="24"/>
        </w:rPr>
        <w:t xml:space="preserve">Il corpus è l'apparato. </w:t>
      </w:r>
      <w:r>
        <w:rPr>
          <w:rFonts w:ascii="Barlow Semi Condensed" w:cs="Barlow Semi Condensed" w:eastAsia="Barlow Semi Condensed" w:hAnsi="Barlow Semi Condensed"/>
          <w:b/>
          <w:bCs/>
          <w:sz w:val="24"/>
          <w:szCs w:val="24"/>
        </w:rPr>
        <w:t xml:space="preserve">Il libro è un'altra cosa, e sta in [`_romanzo/`](_romanzo/).</w:t>
      </w:r>
    </w:p>
    <w:p>
      <w:pPr>
        <w:spacing w:after="120" w:line="276"/>
        <w:jc w:val="both"/>
      </w:pPr>
      <w:r>
        <w:rPr>
          <w:rFonts w:ascii="Barlow Semi Condensed" w:cs="Barlow Semi Condensed" w:eastAsia="Barlow Semi Condensed" w:hAnsi="Barlow Semi Condensed"/>
          <w:sz w:val="24"/>
          <w:szCs w:val="24"/>
        </w:rPr>
        <w:t xml:space="preserve">«Ottanta anni di Pace» è un </w:t>
      </w:r>
      <w:r>
        <w:rPr>
          <w:rFonts w:ascii="Barlow Semi Condensed" w:cs="Barlow Semi Condensed" w:eastAsia="Barlow Semi Condensed" w:hAnsi="Barlow Semi Condensed"/>
          <w:b/>
          <w:bCs/>
          <w:sz w:val="24"/>
          <w:szCs w:val="24"/>
        </w:rPr>
        <w:t xml:space="preserve">romanzo evidence-based in sette parti</w:t>
      </w:r>
      <w:r>
        <w:rPr>
          <w:rFonts w:ascii="Barlow Semi Condensed" w:cs="Barlow Semi Condensed" w:eastAsia="Barlow Semi Condensed" w:hAnsi="Barlow Semi Condensed"/>
          <w:sz w:val="24"/>
          <w:szCs w:val="24"/>
        </w:rPr>
        <w:t xml:space="preserve">, prima</w:t>
      </w:r>
    </w:p>
    <w:p>
      <w:pPr>
        <w:spacing w:after="120" w:line="276"/>
        <w:jc w:val="both"/>
      </w:pPr>
      <w:r>
        <w:rPr>
          <w:rFonts w:ascii="Barlow Semi Condensed" w:cs="Barlow Semi Condensed" w:eastAsia="Barlow Semi Condensed" w:hAnsi="Barlow Semi Condensed"/>
          <w:sz w:val="24"/>
          <w:szCs w:val="24"/>
        </w:rPr>
        <w:t xml:space="preserve">stesura completa, rilegato in [</w:t>
      </w:r>
      <w:r>
        <w:rPr>
          <w:rFonts w:ascii="Barlow Semi Condensed" w:cs="Barlow Semi Condensed" w:eastAsia="Barlow Semi Condensed" w:hAnsi="Barlow Semi Condensed"/>
          <w:i/>
          <w:iCs/>
          <w:sz w:val="24"/>
          <w:szCs w:val="24"/>
        </w:rPr>
        <w:t xml:space="preserve">OTTANTA-ANNI-DI-PACE-prima-stesura.pdf</w:t>
      </w:r>
      <w:r>
        <w:rPr>
          <w:rFonts w:ascii="Barlow Semi Condensed" w:cs="Barlow Semi Condensed" w:eastAsia="Barlow Semi Condensed" w:hAnsi="Barlow Semi Condensed"/>
          <w:sz w:val="24"/>
          <w:szCs w:val="24"/>
        </w:rPr>
        <w:t xml:space="preserve">](_romanzo/OTTANTA-ANNI-DI-PACE-prima-stesura.pdf)</w:t>
      </w:r>
    </w:p>
    <w:p>
      <w:pPr>
        <w:spacing w:after="120" w:line="276"/>
        <w:jc w:val="both"/>
      </w:pPr>
      <w:r>
        <w:rPr>
          <w:rFonts w:ascii="Barlow Semi Condensed" w:cs="Barlow Semi Condensed" w:eastAsia="Barlow Semi Condensed" w:hAnsi="Barlow Semi Condensed"/>
          <w:sz w:val="24"/>
          <w:szCs w:val="24"/>
        </w:rPr>
        <w:t xml:space="preserve">(e in `</w:t>
      </w:r>
      <w:r>
        <w:rPr>
          <w:rFonts w:ascii="Barlow Semi Condensed" w:cs="Barlow Semi Condensed" w:eastAsia="Barlow Semi Condensed" w:hAnsi="Barlow Semi Condensed"/>
          <w:i/>
          <w:iCs/>
          <w:sz w:val="24"/>
          <w:szCs w:val="24"/>
        </w:rPr>
        <w:t xml:space="preserve">.docx</w:t>
      </w:r>
      <w:r>
        <w:rPr>
          <w:rFonts w:ascii="Barlow Semi Condensed" w:cs="Barlow Semi Condensed" w:eastAsia="Barlow Semi Condensed" w:hAnsi="Barlow Semi Condensed"/>
          <w:sz w:val="24"/>
          <w:szCs w:val="24"/>
        </w:rPr>
        <w:t xml:space="preserve">` e in</w:t>
      </w:r>
    </w:p>
    <w:p>
      <w:pPr>
        <w:spacing w:after="120" w:line="276"/>
        <w:jc w:val="both"/>
      </w:pPr>
      <w:r>
        <w:rPr>
          <w:rFonts w:ascii="Barlow Semi Condensed" w:cs="Barlow Semi Condensed" w:eastAsia="Barlow Semi Condensed" w:hAnsi="Barlow Semi Condensed"/>
          <w:i/>
          <w:iCs/>
          <w:sz w:val="24"/>
          <w:szCs w:val="24"/>
        </w:rPr>
        <w:t xml:space="preserve">markdown</w:t>
      </w:r>
      <w:r>
        <w:rPr>
          <w:rFonts w:ascii="Barlow Semi Condensed" w:cs="Barlow Semi Condensed" w:eastAsia="Barlow Semi Condensed" w:hAnsi="Barlow Semi Condensed"/>
          <w:sz w:val="24"/>
          <w:szCs w:val="24"/>
        </w:rPr>
        <w:t xml:space="preserve">). Tre cose vanno sapute</w:t>
      </w:r>
    </w:p>
    <w:p>
      <w:pPr>
        <w:spacing w:after="120" w:line="276"/>
        <w:jc w:val="both"/>
      </w:pPr>
      <w:r>
        <w:rPr>
          <w:rFonts w:ascii="Barlow Semi Condensed" w:cs="Barlow Semi Condensed" w:eastAsia="Barlow Semi Condensed" w:hAnsi="Barlow Semi Condensed"/>
          <w:sz w:val="24"/>
          <w:szCs w:val="24"/>
        </w:rPr>
        <w:t xml:space="preserve">prima di aprirlo, e la prima è la ragione delle altre due.</w:t>
      </w:r>
    </w:p>
    <w:p>
      <w:pPr>
        <w:spacing w:after="120" w:line="276"/>
        <w:jc w:val="both"/>
      </w:pPr>
      <w:r>
        <w:rPr>
          <w:rFonts w:ascii="Barlow Semi Condensed" w:cs="Barlow Semi Condensed" w:eastAsia="Barlow Semi Condensed" w:hAnsi="Barlow Semi Condensed"/>
          <w:sz w:val="24"/>
          <w:szCs w:val="24"/>
        </w:rPr>
        <w:t xml:space="preserve">**Non è un libro sul caso Moro: è un libro su che cosa succede quando si prova a</w:t>
      </w:r>
    </w:p>
    <w:p>
      <w:pPr>
        <w:spacing w:after="120" w:line="276"/>
        <w:jc w:val="both"/>
      </w:pPr>
      <w:r>
        <w:rPr>
          <w:rFonts w:ascii="Barlow Semi Condensed" w:cs="Barlow Semi Condensed" w:eastAsia="Barlow Semi Condensed" w:hAnsi="Barlow Semi Condensed"/>
          <w:sz w:val="24"/>
          <w:szCs w:val="24"/>
        </w:rPr>
        <w:t xml:space="preserve">verificarlo.** Non è una preferenza di gusto. Un romanzo ha bisogno di scene, e le</w:t>
      </w:r>
    </w:p>
    <w:p>
      <w:pPr>
        <w:spacing w:after="120" w:line="276"/>
        <w:jc w:val="both"/>
      </w:pPr>
      <w:r>
        <w:rPr>
          <w:rFonts w:ascii="Barlow Semi Condensed" w:cs="Barlow Semi Condensed" w:eastAsia="Barlow Semi Condensed" w:hAnsi="Barlow Semi Condensed"/>
          <w:sz w:val="24"/>
          <w:szCs w:val="24"/>
        </w:rPr>
        <w:t xml:space="preserve">scene del 1978 questo corpus non le ha — due sole indicazioni d'ora in oltre un</w:t>
      </w:r>
    </w:p>
    <w:p>
      <w:pPr>
        <w:spacing w:after="120" w:line="276"/>
        <w:jc w:val="both"/>
      </w:pPr>
      <w:r>
        <w:rPr>
          <w:rFonts w:ascii="Barlow Semi Condensed" w:cs="Barlow Semi Condensed" w:eastAsia="Barlow Semi Condensed" w:hAnsi="Barlow Semi Condensed"/>
          <w:sz w:val="24"/>
          <w:szCs w:val="24"/>
        </w:rPr>
        <w:t xml:space="preserve">milione di parole, nessuna stanza, nessun volto — e in un libro fondato sulle</w:t>
      </w:r>
    </w:p>
    <w:p>
      <w:pPr>
        <w:spacing w:after="120" w:line="276"/>
        <w:jc w:val="both"/>
      </w:pPr>
      <w:r>
        <w:rPr>
          <w:rFonts w:ascii="Barlow Semi Condensed" w:cs="Barlow Semi Condensed" w:eastAsia="Barlow Semi Condensed" w:hAnsi="Barlow Semi Condensed"/>
          <w:sz w:val="24"/>
          <w:szCs w:val="24"/>
        </w:rPr>
        <w:t xml:space="preserve">prove quelle scene non si inventano. Le scene della verifica invece ci sono</w:t>
      </w:r>
    </w:p>
    <w:p>
      <w:pPr>
        <w:spacing w:after="120" w:line="276"/>
        <w:jc w:val="both"/>
      </w:pPr>
      <w:r>
        <w:rPr>
          <w:rFonts w:ascii="Barlow Semi Condensed" w:cs="Barlow Semi Condensed" w:eastAsia="Barlow Semi Condensed" w:hAnsi="Barlow Semi Condensed"/>
          <w:sz w:val="24"/>
          <w:szCs w:val="24"/>
        </w:rPr>
        <w:t xml:space="preserve">tutte, e sono documentate perché sono accadute.</w:t>
      </w:r>
    </w:p>
    <w:p>
      <w:pPr>
        <w:spacing w:after="120" w:line="276"/>
        <w:jc w:val="both"/>
      </w:pPr>
      <w:r>
        <w:rPr>
          <w:rFonts w:ascii="Barlow Semi Condensed" w:cs="Barlow Semi Condensed" w:eastAsia="Barlow Semi Condensed" w:hAnsi="Barlow Semi Condensed"/>
          <w:sz w:val="24"/>
          <w:szCs w:val="24"/>
        </w:rPr>
        <w:t xml:space="preserve">**Parla con la voce di Aldo Moro, in prosopopea dichiarata a ogni apertura di</w:t>
      </w:r>
    </w:p>
    <w:p>
      <w:pPr>
        <w:spacing w:after="120" w:line="276"/>
        <w:jc w:val="both"/>
      </w:pPr>
      <w:r>
        <w:rPr>
          <w:rFonts w:ascii="Barlow Semi Condensed" w:cs="Barlow Semi Condensed" w:eastAsia="Barlow Semi Condensed" w:hAnsi="Barlow Semi Condensed"/>
          <w:sz w:val="24"/>
          <w:szCs w:val="24"/>
        </w:rPr>
        <w:t xml:space="preserve">capitolo. Non sono sue parole.** Il limite non si negozia: la voce prestata</w:t>
      </w:r>
    </w:p>
    <w:p>
      <w:pPr>
        <w:spacing w:after="120" w:line="276"/>
        <w:jc w:val="both"/>
      </w:pPr>
      <w:r>
        <w:rPr>
          <w:rFonts w:ascii="Barlow Semi Condensed" w:cs="Barlow Semi Condensed" w:eastAsia="Barlow Semi Condensed" w:hAnsi="Barlow Semi Condensed"/>
          <w:sz w:val="24"/>
          <w:szCs w:val="24"/>
        </w:rPr>
        <w:t xml:space="preserve">ragiona </w:t>
      </w:r>
      <w:r>
        <w:rPr>
          <w:rFonts w:ascii="Barlow Semi Condensed" w:cs="Barlow Semi Condensed" w:eastAsia="Barlow Semi Condensed" w:hAnsi="Barlow Semi Condensed"/>
          <w:b/>
          <w:bCs/>
          <w:sz w:val="24"/>
          <w:szCs w:val="24"/>
        </w:rPr>
        <w:t xml:space="preserve">sulla prova</w:t>
      </w:r>
      <w:r>
        <w:rPr>
          <w:rFonts w:ascii="Barlow Semi Condensed" w:cs="Barlow Semi Condensed" w:eastAsia="Barlow Semi Condensed" w:hAnsi="Barlow Semi Condensed"/>
          <w:sz w:val="24"/>
          <w:szCs w:val="24"/>
        </w:rPr>
        <w:t xml:space="preserve"> — che fu la materia insegnata nell'università di Bari per</w:t>
      </w:r>
    </w:p>
    <w:p>
      <w:pPr>
        <w:spacing w:after="120" w:line="276"/>
        <w:jc w:val="both"/>
      </w:pPr>
      <w:r>
        <w:rPr>
          <w:rFonts w:ascii="Barlow Semi Condensed" w:cs="Barlow Semi Condensed" w:eastAsia="Barlow Semi Condensed" w:hAnsi="Barlow Semi Condensed"/>
          <w:sz w:val="24"/>
          <w:szCs w:val="24"/>
        </w:rPr>
        <w:t xml:space="preserve">vent'anni — e </w:t>
      </w:r>
      <w:r>
        <w:rPr>
          <w:rFonts w:ascii="Barlow Semi Condensed" w:cs="Barlow Semi Condensed" w:eastAsia="Barlow Semi Condensed" w:hAnsi="Barlow Semi Condensed"/>
          <w:b/>
          <w:bCs/>
          <w:sz w:val="24"/>
          <w:szCs w:val="24"/>
        </w:rPr>
        <w:t xml:space="preserve">mai sui fatti</w:t>
      </w:r>
      <w:r>
        <w:rPr>
          <w:rFonts w:ascii="Barlow Semi Condensed" w:cs="Barlow Semi Condensed" w:eastAsia="Barlow Semi Condensed" w:hAnsi="Barlow Semi Condensed"/>
          <w:sz w:val="24"/>
          <w:szCs w:val="24"/>
        </w:rPr>
        <w:t xml:space="preserve">; nelle due parti in cui l'oggetto è lui stesso, il</w:t>
      </w:r>
    </w:p>
    <w:p>
      <w:pPr>
        <w:spacing w:after="120" w:line="276"/>
        <w:jc w:val="both"/>
      </w:pPr>
      <w:r>
        <w:rPr>
          <w:rFonts w:ascii="Barlow Semi Condensed" w:cs="Barlow Semi Condensed" w:eastAsia="Barlow Semi Condensed" w:hAnsi="Barlow Semi Condensed"/>
          <w:sz w:val="24"/>
          <w:szCs w:val="24"/>
        </w:rPr>
        <w:t xml:space="preserve">ritratto e il suo ministero, non parla di sé, e nel ritratto si ferma dichiarando</w:t>
      </w:r>
    </w:p>
    <w:p>
      <w:pPr>
        <w:spacing w:after="120" w:line="276"/>
        <w:jc w:val="both"/>
      </w:pPr>
      <w:r>
        <w:rPr>
          <w:rFonts w:ascii="Barlow Semi Condensed" w:cs="Barlow Semi Condensed" w:eastAsia="Barlow Semi Condensed" w:hAnsi="Barlow Semi Condensed"/>
          <w:sz w:val="24"/>
          <w:szCs w:val="24"/>
        </w:rPr>
        <w:t xml:space="preserve">perché. Ogni capitolo è a due voci: in corsivo la prosopopea, in tondo l'apparato</w:t>
      </w:r>
    </w:p>
    <w:p>
      <w:pPr>
        <w:spacing w:after="120" w:line="276"/>
        <w:jc w:val="both"/>
      </w:pPr>
      <w:r>
        <w:rPr>
          <w:rFonts w:ascii="Barlow Semi Condensed" w:cs="Barlow Semi Condensed" w:eastAsia="Barlow Semi Condensed" w:hAnsi="Barlow Semi Condensed"/>
          <w:sz w:val="24"/>
          <w:szCs w:val="24"/>
        </w:rPr>
        <w:t xml:space="preserve">coi gradi. Il lettore sa sempre chi parla.</w:t>
      </w:r>
    </w:p>
    <w:p>
      <w:pPr>
        <w:spacing w:after="120" w:line="276"/>
        <w:jc w:val="both"/>
      </w:pPr>
      <w:r>
        <w:rPr>
          <w:rFonts w:ascii="Barlow Semi Condensed" w:cs="Barlow Semi Condensed" w:eastAsia="Barlow Semi Condensed" w:hAnsi="Barlow Semi Condensed"/>
          <w:b/>
          <w:bCs/>
          <w:sz w:val="24"/>
          <w:szCs w:val="24"/>
        </w:rPr>
        <w:t xml:space="preserve">Chiude con il `registro di chiusura`</w:t>
      </w:r>
      <w:r>
        <w:rPr>
          <w:rFonts w:ascii="Barlow Semi Condensed" w:cs="Barlow Semi Condensed" w:eastAsia="Barlow Semi Condensed" w:hAnsi="Barlow Semi Condensed"/>
          <w:sz w:val="24"/>
          <w:szCs w:val="24"/>
        </w:rPr>
        <w:t xml:space="preserve"> — le</w:t>
      </w:r>
    </w:p>
    <w:p>
      <w:pPr>
        <w:spacing w:after="120" w:line="276"/>
        <w:jc w:val="both"/>
      </w:pPr>
      <w:r>
        <w:rPr>
          <w:rFonts w:ascii="Barlow Semi Condensed" w:cs="Barlow Semi Condensed" w:eastAsia="Barlow Semi Condensed" w:hAnsi="Barlow Semi Condensed"/>
          <w:sz w:val="24"/>
          <w:szCs w:val="24"/>
        </w:rPr>
        <w:t xml:space="preserve">diciannove ricerche fatte, non riuscite e scritte con la sede accanto: un</w:t>
      </w:r>
    </w:p>
    <w:p>
      <w:pPr>
        <w:spacing w:after="120" w:line="276"/>
        <w:jc w:val="both"/>
      </w:pPr>
      <w:r>
        <w:rPr>
          <w:rFonts w:ascii="Barlow Semi Condensed" w:cs="Barlow Semi Condensed" w:eastAsia="Barlow Semi Condensed" w:hAnsi="Barlow Semi Condensed"/>
          <w:sz w:val="24"/>
          <w:szCs w:val="24"/>
        </w:rPr>
        <w:t xml:space="preserve">fascicolo finale invece che note a piè di pagina, ordinato per archivio perché è</w:t>
      </w:r>
    </w:p>
    <w:p>
      <w:pPr>
        <w:spacing w:after="120" w:line="276"/>
        <w:jc w:val="both"/>
      </w:pPr>
      <w:r>
        <w:rPr>
          <w:rFonts w:ascii="Barlow Semi Condensed" w:cs="Barlow Semi Condensed" w:eastAsia="Barlow Semi Condensed" w:hAnsi="Barlow Semi Condensed"/>
          <w:sz w:val="24"/>
          <w:szCs w:val="24"/>
        </w:rPr>
        <w:t xml:space="preserve">per archivio che si va a controllare.</w:t>
      </w:r>
    </w:p>
    <w:p>
      <w:pPr>
        <w:spacing w:after="120" w:line="276"/>
        <w:jc w:val="both"/>
      </w:pPr>
      <w:r>
        <w:rPr>
          <w:rFonts w:ascii="Barlow Semi Condensed" w:cs="Barlow Semi Condensed" w:eastAsia="Barlow Semi Condensed" w:hAnsi="Barlow Semi Condensed"/>
          <w:sz w:val="24"/>
          <w:szCs w:val="24"/>
        </w:rPr>
        <w:t xml:space="preserve">Il libro non fa parte del corpus e non entra nei suoi conteggi: ha un proprio</w:t>
      </w:r>
    </w:p>
    <w:p>
      <w:pPr>
        <w:spacing w:after="120" w:line="276"/>
        <w:jc w:val="both"/>
      </w:pPr>
      <w:r>
        <w:rPr>
          <w:rFonts w:ascii="Barlow Semi Condensed" w:cs="Barlow Semi Condensed" w:eastAsia="Barlow Semi Condensed" w:hAnsi="Barlow Semi Condensed"/>
          <w:sz w:val="24"/>
          <w:szCs w:val="24"/>
        </w:rPr>
        <w:t xml:space="preserve">manifesto di impronte, `</w:t>
      </w:r>
      <w:r>
        <w:rPr>
          <w:rFonts w:ascii="Barlow Semi Condensed" w:cs="Barlow Semi Condensed" w:eastAsia="Barlow Semi Condensed" w:hAnsi="Barlow Semi Condensed"/>
          <w:i/>
          <w:iCs/>
          <w:sz w:val="24"/>
          <w:szCs w:val="24"/>
        </w:rPr>
        <w:t xml:space="preserve">IMPRONTE-ROMANZO.txt</w:t>
      </w:r>
      <w:r>
        <w:rPr>
          <w:rFonts w:ascii="Barlow Semi Condensed" w:cs="Barlow Semi Condensed" w:eastAsia="Barlow Semi Condensed" w:hAnsi="Barlow Semi Condensed"/>
          <w:sz w:val="24"/>
          <w:szCs w:val="24"/>
        </w:rPr>
        <w:t xml:space="preserve">`, perché</w:t>
      </w:r>
    </w:p>
    <w:p>
      <w:pPr>
        <w:spacing w:after="120" w:line="276"/>
        <w:jc w:val="both"/>
      </w:pPr>
      <w:r>
        <w:rPr>
          <w:rFonts w:ascii="Barlow Semi Condensed" w:cs="Barlow Semi Condensed" w:eastAsia="Barlow Semi Condensed" w:hAnsi="Barlow Semi Condensed"/>
          <w:sz w:val="24"/>
          <w:szCs w:val="24"/>
        </w:rPr>
        <w:t xml:space="preserve">contare dentro l'opera ciò che l'opera ha prodotto sarebbe contarlo due volte.</w:t>
      </w:r>
    </w:p>
    <w:p>
      <w:pPr>
        <w:spacing w:after="120" w:line="276"/>
        <w:jc w:val="both"/>
      </w:pPr>
      <w:r>
        <w:rPr>
          <w:rFonts w:ascii="Barlow Semi Condensed" w:cs="Barlow Semi Condensed" w:eastAsia="Barlow Semi Condensed" w:hAnsi="Barlow Semi Condensed"/>
          <w:sz w:val="24"/>
          <w:szCs w:val="24"/>
        </w:rPr>
        <w:t xml:space="preserve">Chi voglia sapere come è stato scritto, misurato e corretto trova tutto in</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note-di-revisione.md</w:t>
      </w:r>
      <w:r>
        <w:rPr>
          <w:rFonts w:ascii="Barlow Semi Condensed" w:cs="Barlow Semi Condensed" w:eastAsia="Barlow Semi Condensed" w:hAnsi="Barlow Semi Condensed"/>
          <w:sz w:val="24"/>
          <w:szCs w:val="24"/>
        </w:rPr>
        <w:t xml:space="preserve">`, e gli strumenti che ne</w:t>
      </w:r>
    </w:p>
    <w:p>
      <w:pPr>
        <w:spacing w:after="120" w:line="276"/>
        <w:jc w:val="both"/>
      </w:pPr>
      <w:r>
        <w:rPr>
          <w:rFonts w:ascii="Barlow Semi Condensed" w:cs="Barlow Semi Condensed" w:eastAsia="Barlow Semi Condensed" w:hAnsi="Barlow Semi Condensed"/>
          <w:sz w:val="24"/>
          <w:szCs w:val="24"/>
        </w:rPr>
        <w:t xml:space="preserve">producono i numeri sono versionati in </w:t>
      </w:r>
      <w:r>
        <w:rPr>
          <w:rFonts w:ascii="Barlow Semi Condensed" w:cs="Barlow Semi Condensed" w:eastAsia="Barlow Semi Condensed" w:hAnsi="Barlow Semi Condensed"/>
          <w:i/>
          <w:iCs/>
          <w:sz w:val="24"/>
          <w:szCs w:val="24"/>
        </w:rPr>
        <w:t xml:space="preserve">_verifiche/generatori/</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Dove finisce questo branch</w:t>
      </w:r>
    </w:p>
    <w:p>
      <w:pPr>
        <w:spacing w:after="120" w:line="276"/>
        <w:jc w:val="both"/>
      </w:pPr>
      <w:r>
        <w:rPr>
          <w:rFonts w:ascii="Barlow Semi Condensed" w:cs="Barlow Semi Condensed" w:eastAsia="Barlow Semi Condensed" w:hAnsi="Barlow Semi Condensed"/>
          <w:sz w:val="24"/>
          <w:szCs w:val="24"/>
        </w:rPr>
        <w:t xml:space="preserve">Il branch pubblico si ferma dove comincia ciò che non è pubblicabile. Il materiale che nomina persone viventi con attribuzioni non riscontrate — la parte sensibile del lavoro dell'autore — resta </w:t>
      </w:r>
      <w:r>
        <w:rPr>
          <w:rFonts w:ascii="Barlow Semi Condensed" w:cs="Barlow Semi Condensed" w:eastAsia="Barlow Semi Condensed" w:hAnsi="Barlow Semi Condensed"/>
          <w:b/>
          <w:bCs/>
          <w:sz w:val="24"/>
          <w:szCs w:val="24"/>
        </w:rPr>
        <w:t xml:space="preserve">riservato</w:t>
      </w:r>
      <w:r>
        <w:rPr>
          <w:rFonts w:ascii="Barlow Semi Condensed" w:cs="Barlow Semi Condensed" w:eastAsia="Barlow Semi Condensed" w:hAnsi="Barlow Semi Condensed"/>
          <w:sz w:val="24"/>
          <w:szCs w:val="24"/>
        </w:rPr>
        <w:t xml:space="preserve">, fuori da qui, e sotto la stessa disciplina: presunzione d'innocenza, nessuna imputazione oltre il giudicato. Questa guida, come tutto ciò a cui rimanda, tratta soltanto </w:t>
      </w:r>
      <w:r>
        <w:rPr>
          <w:rFonts w:ascii="Barlow Semi Condensed" w:cs="Barlow Semi Condensed" w:eastAsia="Barlow Semi Condensed" w:hAnsi="Barlow Semi Condensed"/>
          <w:b/>
          <w:bCs/>
          <w:sz w:val="24"/>
          <w:szCs w:val="24"/>
        </w:rPr>
        <w:t xml:space="preserve">storia documentata e pubblica</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Guida alla lettura del corpus storico. Ordina i documenti in tre percorsi e ne dichiara il grado di prova. Ricostruzione storica, senza agiografia né il suo rovescio.</w:t>
      </w:r>
    </w:p>
    <w:p>
      <w:pPr>
        <w:pStyle w:val="Heading3"/>
        <w:spacing w:after="80" w:before="240"/>
      </w:pPr>
      <w:r>
        <w:rPr>
          <w:rFonts w:ascii="Barlow Semi Condensed" w:cs="Barlow Semi Condensed" w:eastAsia="Barlow Semi Condensed" w:hAnsi="Barlow Semi Condensed"/>
          <w:sz w:val="24"/>
          <w:szCs w:val="24"/>
        </w:rPr>
        <w:t xml:space="preserve">Apparato grafico — Appendici · i. La guida alla lettura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 3.209 parole in 6 sezioni; la più ampia è §2 Tre percorsi di lettura, con 1.313.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 36 paragrafi in 6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ii. L'indice dei documenti</w:t>
      </w:r>
    </w:p>
    <w:p>
      <w:pPr>
        <w:pStyle w:val="Heading1"/>
        <w:spacing w:after="120" w:before="240"/>
      </w:pPr>
      <w:r>
        <w:rPr>
          <w:rFonts w:ascii="Barlow Semi Condensed" w:cs="Barlow Semi Condensed" w:eastAsia="Barlow Semi Condensed" w:hAnsi="Barlow Semi Condensed"/>
          <w:sz w:val="24"/>
          <w:szCs w:val="24"/>
        </w:rPr>
        <w:t xml:space="preserve">Indice dei documenti di questo branch</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Annotazione del 27 agosto 2026 — la rimozione del materiale su Guevara.</w:t>
      </w:r>
      <w:r>
        <w:rPr>
          <w:rFonts w:ascii="Barlow Semi Condensed" w:cs="Barlow Semi Condensed" w:eastAsia="Barlow Semi Condensed" w:hAnsi="Barlow Semi Condensed"/>
          <w:i w:val="false"/>
          <w:iCs w:val="false"/>
          <w:sz w:val="24"/>
          <w:szCs w:val="24"/>
        </w:rPr>
        <w:t xml:space="preserve"> Per decisione dell'autore sono stati rimossi dall'opera il saggio-cerniera «Dal Che a Moro» e la parabola di Ernesto Guevara in sei parti — sette documenti, 17.769 parole — insieme al volume tematico che li rilegava. </w:t>
      </w:r>
      <w:r>
        <w:rPr>
          <w:rFonts w:ascii="Barlow Semi Condensed" w:cs="Barlow Semi Condensed" w:eastAsia="Barlow Semi Condensed" w:hAnsi="Barlow Semi Condensed"/>
          <w:b/>
          <w:bCs/>
          <w:i w:val="false"/>
          <w:iCs w:val="false"/>
          <w:sz w:val="24"/>
          <w:szCs w:val="24"/>
        </w:rPr>
        <w:t xml:space="preserve">I riferimenti che restano in questa pagina non sono stati cancellati</w:t>
      </w:r>
      <w:r>
        <w:rPr>
          <w:rFonts w:ascii="Barlow Semi Condensed" w:cs="Barlow Semi Condensed" w:eastAsia="Barlow Semi Condensed" w:hAnsi="Barlow Semi Condensed"/>
          <w:i w:val="false"/>
          <w:iCs w:val="false"/>
          <w:sz w:val="24"/>
          <w:szCs w:val="24"/>
        </w:rPr>
        <w:t xml:space="preserve">: rinviano a documenti che non ci sono più, e questo è ciò che deve risultare a chi legge. Cancellarli avrebbe reso la rimozione invisibile; la numerazione dei Libri, per la stessa ragione, non è stata rifatta, e dopo il Libro primo viene il Libro quarto.</w:t>
      </w:r>
    </w:p>
    <w:p>
      <w:pPr>
        <w:spacing w:after="120" w:line="276"/>
        <w:jc w:val="both"/>
      </w:pPr>
      <w:r>
        <w:rPr>
          <w:rFonts w:ascii="Barlow Semi Condensed" w:cs="Barlow Semi Condensed" w:eastAsia="Barlow Semi Condensed" w:hAnsi="Barlow Semi Condensed"/>
          <w:sz w:val="24"/>
          <w:szCs w:val="24"/>
        </w:rPr>
        <w:t xml:space="preserve">Documenti storici prodotti sul branch </w:t>
      </w:r>
      <w:r>
        <w:rPr>
          <w:rFonts w:ascii="Barlow Semi Condensed" w:cs="Barlow Semi Condensed" w:eastAsia="Barlow Semi Condensed" w:hAnsi="Barlow Semi Condensed"/>
          <w:i/>
          <w:iCs/>
          <w:sz w:val="24"/>
          <w:szCs w:val="24"/>
        </w:rPr>
        <w:t xml:space="preserve">claude/amnistiati-tribunale-speciale-a82lzn</w:t>
      </w:r>
      <w:r>
        <w:rPr>
          <w:rFonts w:ascii="Barlow Semi Condensed" w:cs="Barlow Semi Condensed" w:eastAsia="Barlow Semi Condensed" w:hAnsi="Barlow Semi Condensed"/>
          <w:sz w:val="24"/>
          <w:szCs w:val="24"/>
        </w:rPr>
        <w:t xml:space="preserve"> (agosto 2026), estranei al progetto principale del repository (Studio Integrale Puglia / Psicologo di Base).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Da dove cominciare.</w:t>
      </w:r>
      <w:r>
        <w:rPr>
          <w:rFonts w:ascii="Barlow Semi Condensed" w:cs="Barlow Semi Condensed" w:eastAsia="Barlow Semi Condensed" w:hAnsi="Barlow Semi Condensed"/>
          <w:i w:val="false"/>
          <w:iCs w:val="false"/>
          <w:sz w:val="24"/>
          <w:szCs w:val="24"/>
        </w:rPr>
        <w:t xml:space="preserve"> Questa è la tabella-catalogo di tutti i file. Per la porta d'ingresso curata — percorsi di lettura, ordine consigliato e grado di prova di ciascun documento — si veda `</w:t>
      </w:r>
      <w:r>
        <w:rPr>
          <w:rFonts w:ascii="Barlow Semi Condensed" w:cs="Barlow Semi Condensed" w:eastAsia="Barlow Semi Condensed" w:hAnsi="Barlow Semi Condensed"/>
          <w:i w:val="false"/>
          <w:iCs w:val="false"/>
          <w:sz w:val="24"/>
          <w:szCs w:val="24"/>
        </w:rPr>
        <w:t xml:space="preserve">GUIDA-ALLA-LETTURA.md</w:t>
      </w:r>
      <w:r>
        <w:rPr>
          <w:rFonts w:ascii="Barlow Semi Condensed" w:cs="Barlow Semi Condensed" w:eastAsia="Barlow Semi Condensed" w:hAnsi="Barlow Semi Condensed"/>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la-matrice-delle-omissioni.md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matrice delle omissioni</w:t>
            </w:r>
            <w:r>
              <w:rPr>
                <w:rFonts w:ascii="Barlow Semi Condensed" w:cs="Barlow Semi Condensed" w:eastAsia="Barlow Semi Condensed" w:hAnsi="Barlow Semi Condensed"/>
                <w:sz w:val="20"/>
                <w:szCs w:val="20"/>
              </w:rPr>
              <w:t xml:space="preserve"> — la terza tavola, dovuta perché la matrice della custodia aveva cancellato due fatti dichiarando che appartengono a questa questione. Quattro ipotesi in ordine crescente di pretesa: inefficienza ordinaria; catena di comando interrotta di fatto; omissione consapevole settoriale; regia unitaria. </w:t>
            </w:r>
            <w:r>
              <w:rPr>
                <w:rFonts w:ascii="Barlow Semi Condensed" w:cs="Barlow Semi Condensed" w:eastAsia="Barlow Semi Condensed" w:hAnsi="Barlow Semi Condensed"/>
                <w:b/>
                <w:bCs/>
                <w:sz w:val="20"/>
                <w:szCs w:val="20"/>
              </w:rPr>
              <w:t xml:space="preserve">Sei evidenze su nove si cancellano</w:t>
            </w:r>
            <w:r>
              <w:rPr>
                <w:rFonts w:ascii="Barlow Semi Condensed" w:cs="Barlow Semi Condensed" w:eastAsia="Barlow Semi Condensed" w:hAnsi="Barlow Semi Condensed"/>
                <w:sz w:val="20"/>
                <w:szCs w:val="20"/>
              </w:rPr>
              <w:t xml:space="preserve">, e sono le sei più citate — il controllo fallito del 18 marzo, gli assetti dello stabile, la concentrazione delle indagini al Viminale, la composizione dei comitati, il dato dei pochi clandestini in scacco, la non unanimità delle commissioni: un apparato impreparato e un apparato diretto producono lo stesso controllo mancato. La regia unitaria urta contro due evidenze — nessun centro mai identificato e una topologia da convergenza non concertata — e l'unica ipotesi che guadagni potere esplicativo senza pagare un urto è quella della </w:t>
            </w:r>
            <w:r>
              <w:rPr>
                <w:rFonts w:ascii="Barlow Semi Condensed" w:cs="Barlow Semi Condensed" w:eastAsia="Barlow Semi Condensed" w:hAnsi="Barlow Semi Condensed"/>
                <w:b/>
                <w:bCs/>
                <w:sz w:val="20"/>
                <w:szCs w:val="20"/>
              </w:rPr>
              <w:t xml:space="preserve">catena interrotta</w:t>
            </w:r>
            <w:r>
              <w:rPr>
                <w:rFonts w:ascii="Barlow Semi Condensed" w:cs="Barlow Semi Condensed" w:eastAsia="Barlow Semi Condensed" w:hAnsi="Barlow Semi Condensed"/>
                <w:sz w:val="20"/>
                <w:szCs w:val="20"/>
              </w:rPr>
              <w:t xml:space="preserve">, che però non attribuisce nulla a nessuno, perché una catena interrotta è uno stato di un sistema e non ha autori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la-matrice-di-via-fani.md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matrice di via Fani</w:t>
            </w:r>
            <w:r>
              <w:rPr>
                <w:rFonts w:ascii="Barlow Semi Condensed" w:cs="Barlow Semi Condensed" w:eastAsia="Barlow Semi Condensed" w:hAnsi="Barlow Semi Condensed"/>
                <w:sz w:val="20"/>
                <w:szCs w:val="20"/>
              </w:rPr>
              <w:t xml:space="preserve"> — le quattro ipotesi sull'organico dell'agguato messe alla prova con lo stesso strumento della matrice della custodia. Due risultati. Il primo: </w:t>
            </w:r>
            <w:r>
              <w:rPr>
                <w:rFonts w:ascii="Barlow Semi Condensed" w:cs="Barlow Semi Condensed" w:eastAsia="Barlow Semi Condensed" w:hAnsi="Barlow Semi Condensed"/>
                <w:b/>
                <w:bCs/>
                <w:sz w:val="20"/>
                <w:szCs w:val="20"/>
              </w:rPr>
              <w:t xml:space="preserve">cinque evidenze su undici si cancellano</w:t>
            </w:r>
            <w:r>
              <w:rPr>
                <w:rFonts w:ascii="Barlow Semi Condensed" w:cs="Barlow Semi Condensed" w:eastAsia="Barlow Semi Condensed" w:hAnsi="Barlow Semi Condensed"/>
                <w:sz w:val="20"/>
                <w:szCs w:val="20"/>
              </w:rPr>
              <w:t xml:space="preserve"> — l'intero apparato balistico ereditato dal 1978, che entrambe le parti del dibattito adoperano da decenni, è compatibile con tutte e quattro le ipotesi e non ne discrimina nessuna; e l'attribuzione «non conclusiva» dei ventidue colpi non è un indizio di un'arma in più, è l'assenza di informazione. Il secondo: due celle portano il punto interrogativo e </w:t>
            </w:r>
            <w:r>
              <w:rPr>
                <w:rFonts w:ascii="Barlow Semi Condensed" w:cs="Barlow Semi Condensed" w:eastAsia="Barlow Semi Condensed" w:hAnsi="Barlow Semi Condensed"/>
                <w:b/>
                <w:bCs/>
                <w:sz w:val="20"/>
                <w:szCs w:val="20"/>
              </w:rPr>
              <w:t xml:space="preserve">non mancano i reperti, manca la lettura</w:t>
            </w:r>
            <w:r>
              <w:rPr>
                <w:rFonts w:ascii="Barlow Semi Condensed" w:cs="Barlow Semi Condensed" w:eastAsia="Barlow Semi Condensed" w:hAnsi="Barlow Semi Condensed"/>
                <w:sz w:val="20"/>
                <w:szCs w:val="20"/>
              </w:rPr>
              <w:t xml:space="preserve"> — i profili genetici del 2016 senza attribuzione pubblica, e il caricatore di via Fani-via Stresa mai comparato in quarantotto anni, con nuovi esami già disposti dal giudice. Ne esce che l'ipotesi del giudicato è quella con più incompatibilità in tavola, e che l'ipotesi delle presenze operative è l'unica che urta contro un esito negativo: </w:t>
            </w:r>
            <w:r>
              <w:rPr>
                <w:rFonts w:ascii="Barlow Semi Condensed" w:cs="Barlow Semi Condensed" w:eastAsia="Barlow Semi Condensed" w:hAnsi="Barlow Semi Condensed"/>
                <w:b/>
                <w:bCs/>
                <w:sz w:val="20"/>
                <w:szCs w:val="20"/>
              </w:rPr>
              <w:t xml:space="preserve">la questione più contestata del caso non attende un'idea, attende un referto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il-quesito-della-sabbia.md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quesito della sabbia</w:t>
            </w:r>
            <w:r>
              <w:rPr>
                <w:rFonts w:ascii="Barlow Semi Condensed" w:cs="Barlow Semi Condensed" w:eastAsia="Barlow Semi Condensed" w:hAnsi="Barlow Semi Condensed"/>
                <w:sz w:val="20"/>
                <w:szCs w:val="20"/>
              </w:rPr>
              <w:t xml:space="preserve"> — la bozza di quesito peritale per la sola cella che la matrice della custodia dichiara aperta: </w:t>
            </w:r>
            <w:r>
              <w:rPr>
                <w:rFonts w:ascii="Barlow Semi Condensed" w:cs="Barlow Semi Condensed" w:eastAsia="Barlow Semi Condensed" w:hAnsi="Barlow Semi Condensed"/>
                <w:b/>
                <w:bCs/>
                <w:sz w:val="20"/>
                <w:szCs w:val="20"/>
              </w:rPr>
              <w:t xml:space="preserve">il quando</w:t>
            </w:r>
            <w:r>
              <w:rPr>
                <w:rFonts w:ascii="Barlow Semi Condensed" w:cs="Barlow Semi Condensed" w:eastAsia="Barlow Semi Condensed" w:hAnsi="Barlow Semi Condensed"/>
                <w:sz w:val="20"/>
                <w:szCs w:val="20"/>
              </w:rPr>
              <w:t xml:space="preserve"> del deposito sabbioso repertato sugli abiti. Otto quesiti in ordine, da Q0 sulla riesaminabilità dei reperti — senza la quale nulla procede — a Q7 sulle contaminazioni; al centro Q2, la stratigrafia, che è l'unico orologio materiale disponibile: la sabbia sotto i residui dell'ambiente di custodia la colloca prima del sequestro, sopra la colloca durante. Con la </w:t>
            </w:r>
            <w:r>
              <w:rPr>
                <w:rFonts w:ascii="Barlow Semi Condensed" w:cs="Barlow Semi Condensed" w:eastAsia="Barlow Semi Condensed" w:hAnsi="Barlow Semi Condensed"/>
                <w:b/>
                <w:bCs/>
                <w:sz w:val="20"/>
                <w:szCs w:val="20"/>
              </w:rPr>
              <w:t xml:space="preserve">mappa di falsificazione scritta prima dell'esame</w:t>
            </w:r>
            <w:r>
              <w:rPr>
                <w:rFonts w:ascii="Barlow Semi Condensed" w:cs="Barlow Semi Condensed" w:eastAsia="Barlow Semi Condensed" w:hAnsi="Barlow Semi Condensed"/>
                <w:sz w:val="20"/>
                <w:szCs w:val="20"/>
              </w:rPr>
              <w:t xml:space="preserve">, in cui quattro esiti su sei chiudono la questione contro l'ipotesi forte — ed è il segno che il quesito è ben posto. Non è un atto e non ne ha la pretesa: è il lavoro preparatorio perché chi ha titolo lo scarti, lo corregga o lo adoperi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la-matrice-della-custodia.md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matrice della custodia</w:t>
            </w:r>
            <w:r>
              <w:rPr>
                <w:rFonts w:ascii="Barlow Semi Condensed" w:cs="Barlow Semi Condensed" w:eastAsia="Barlow Semi Condensed" w:hAnsi="Barlow Semi Condensed"/>
                <w:sz w:val="20"/>
                <w:szCs w:val="20"/>
              </w:rPr>
              <w:t xml:space="preserve"> — l'analisi delle ipotesi concorrenti che il corpus prescrive in più luoghi e non aveva mai costruito. Cinque ipotesi mutuamente esclusive su dove Moro fu tenuto e chi lo seppe, dodici evidenze coi gradi, e la regola contro-intuitiva del metodo: si contano le incompatibilità, non le conferme. Risultato principale: </w:t>
            </w:r>
            <w:r>
              <w:rPr>
                <w:rFonts w:ascii="Barlow Semi Condensed" w:cs="Barlow Semi Condensed" w:eastAsia="Barlow Semi Condensed" w:hAnsi="Barlow Semi Condensed"/>
                <w:b/>
                <w:bCs/>
                <w:sz w:val="20"/>
                <w:szCs w:val="20"/>
              </w:rPr>
              <w:t xml:space="preserve">i due fatti più adoperati nel discorso pubblico sulla custodia — il controllo fallito del 18 marzo e gli assetti proprietari dello stabile — hanno rispetto alla custodia diagnosticità nulla</w:t>
            </w:r>
            <w:r>
              <w:rPr>
                <w:rFonts w:ascii="Barlow Semi Condensed" w:cs="Barlow Semi Condensed" w:eastAsia="Barlow Semi Condensed" w:hAnsi="Barlow Semi Condensed"/>
                <w:sz w:val="20"/>
                <w:szCs w:val="20"/>
              </w:rPr>
              <w:t xml:space="preserve">, perché riguardano una base e non la prigione. L'unica evidenza capace di ordinare il campo è la sabbia del litorale della perizia 1978, ferma su una cella indeterminata — il «quando» — che una perizia potrebbe riempire. Con l'avvertenza che l'ipotesi sopravvissuta a tutto lo è perché dice troppo poco, e con un errore di conteggio dell'autore annotato accanto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il-fascicolo-della-custodia.md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fascicolo della custodia</w:t>
            </w:r>
            <w:r>
              <w:rPr>
                <w:rFonts w:ascii="Barlow Semi Condensed" w:cs="Barlow Semi Condensed" w:eastAsia="Barlow Semi Condensed" w:hAnsi="Barlow Semi Condensed"/>
                <w:sz w:val="20"/>
                <w:szCs w:val="20"/>
              </w:rPr>
              <w:t xml:space="preserve"> — vita, prigionia, mandanti, esecutori non BR né Superclan, e l'ipotesi del trasferimento. Che cosa è accertato della prigionia (Livello A: via Montalcini, custodia ristrettissima, i 55 giorni) e che cosa no (i luoghi ulteriori: Stato Zero di robustezza modesta). Il muro sul mandato estero e le quattro specie di legame — collusione, infiltrazione, transito, convergenza — con l'esito asimmetrico che ne risulta. L'ipotesi del trasferimento riformulata in tre varianti perché sia smentibile, col ponte Hyperion trattato per intero (proscioglimenti compresi) e col rilievo che la sua forma forte non richiede un mandato e per la stessa ragione non è provata da ciò che le si porta a sostegno. Chiude con quattordici piste in ordine di </w:t>
            </w:r>
            <w:r>
              <w:rPr>
                <w:rFonts w:ascii="Barlow Semi Condensed" w:cs="Barlow Semi Condensed" w:eastAsia="Barlow Semi Condensed" w:hAnsi="Barlow Semi Condensed"/>
                <w:b/>
                <w:bCs/>
                <w:sz w:val="20"/>
                <w:szCs w:val="20"/>
              </w:rPr>
              <w:t xml:space="preserve">indice di priorità istruttoria</w:t>
            </w:r>
            <w:r>
              <w:rPr>
                <w:rFonts w:ascii="Barlow Semi Condensed" w:cs="Barlow Semi Condensed" w:eastAsia="Barlow Semi Condensed" w:hAnsi="Barlow Semi Condensed"/>
                <w:sz w:val="20"/>
                <w:szCs w:val="20"/>
              </w:rPr>
              <w:t xml:space="preserve"> 0-100, col modello a cinque criteri dichiarato e con l'avvertenza che l'indice non misura né la verità di una tesi né la colpevolezza di alcuno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amnistiati-tribunale-speciale.md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Elenco degli amnistiati del Tribunale Speciale per la Difesa dello Stato censiti nell'archivio Storia e Memoria di Bologna (~50 nominativi con link alle schede; campione rappresentativo, non esaustivo)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tribunale-speciale-storia-istituzione.md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Studio storico dell'istituzione: la legge 2008/1926 e le «leggi eccezionali», struttura e rito (giudici della Milizia, codice di guerra, sentenze inappellabili), i numeri (15.806 deferiti, 4.596 condannati, 27.752 anni di reclusione, 42 condanne a morte di cui 31 eseguite), il «processone» del 1928 (Gramsci, Terracini), le amnistie come faccia del medesimo apparato, la soppressione (R.D.L. 668/1943) e la doppia eredità: la replica nella RSI e il divieto dell'art. 102 Cost. Chiude il cerchio con l'elenco degli amnistiati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Triangolazione del nodo Hyperion (la «scuola di lingue» di Parigi, 1976) con il corpus: 9 nodi documentati (genealogia CPM/Superclan, fondazione, ufficio di via Nicotera del febbraio 1978, indagini 1979-82, proscioglimenti per tutti, audizione Berio 2015), le due tesi contrapposte («centrale del terrorismo» / «centrale d'intelligence») entrambe lasciate al grado di congettura con criterio di smentita comune, 4 ponti col corpus e 3 anti-triangolazioni. Presunzione d'innocenza piena: nessuna condanna fu mai pronunciata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triangolazione-feltrinelli-hyperion.md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Triangolazione d'incrocio fra i due fronti: la matrice milanese del 1969 e la triforcazione del 1970 (GAP · BR · Superclan), i ponti documentati (rapporti Feltrinelli-Curcio, «Nuova Resistenza» 1971, il filo Franceschini e il filo Moretti, il processo congiunto BR-GAP), la congettura sui timer di Segrate smentita dal tecnico dei GAP, 3 anti-triangolazioni. Sintesi: stesso ceppo, tre strade, ponti di uomini, nessuna regia accertata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tribunale-speciale-approfondimento-sottonodi.md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Approfondimento in otto sottonodi verificati: i tre presidenti (Sanna, Cristini, Tringali Casanuova), l'OVRA e la retata come metodo, i due processi di Trieste (Basovizza 1930; Opicina 1941), la prosopografia dei condannati che fecero la Repubblica (Terracini, Pertini, Ravera, Scoccimarro), la scala bolognese rapportata ai numeri nazionali, le donne davanti al Tribunale, la svolta di guerra e la questione dell'impunità postbellica. Ogni sottonodo con grado dichiarato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guevara-origini-esilio-messicano.md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Ernesto Guevara, dalle origini al 1934 (con nota di revisione)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guevara-messico-avana-1954-1965.md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Guevara dal Messico alla Sierra Maestra (con note di revisione post-triangolazione)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guevara-mosca-bolivia-1964-1966.md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Guevara dall'ONU 1964 al Congo (con note di revisione post-triangolazione)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guevara-campagna-boliviana-1966-1967.md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Capitolo conclusivo: la campagna boliviana da Ñancahuazú alla Higuera (rottura con Monje, Vado del Yeso, cattura alla Quebrada del Churo 8/10/1967, esecuzione 9/10/1967, ritrovamento dei resti 1997). Chiude la parabola guevariana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triangolazioni-guevara-moro.md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Verifica sistematica del corpus Guevara su fonti indipendenti (39 nodi, esiti e correzioni) e matrice comparativa Guevara–Moro (nodi documentati, paralleli, divergenze)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dossier-maggiore-una-pace-senza-pace.md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DOSSIER MAGGIORE DELL'AUTORE — «Una Pace senza Pace · Tutta la verità»</w:t>
            </w:r>
            <w:r>
              <w:rPr>
                <w:rFonts w:ascii="Barlow Semi Condensed" w:cs="Barlow Semi Condensed" w:eastAsia="Barlow Semi Condensed" w:hAnsi="Barlow Semi Condensed"/>
                <w:sz w:val="20"/>
                <w:szCs w:val="20"/>
              </w:rPr>
              <w:t xml:space="preserve"> (Opera Monografica Integrale, ~252.500 parole, </w:t>
            </w:r>
            <w:r>
              <w:rPr>
                <w:rFonts w:ascii="Barlow Semi Condensed" w:cs="Barlow Semi Condensed" w:eastAsia="Barlow Semi Condensed" w:hAnsi="Barlow Semi Condensed"/>
                <w:b/>
                <w:bCs/>
                <w:sz w:val="20"/>
                <w:szCs w:val="20"/>
              </w:rPr>
              <w:t xml:space="preserve">Libro quarto dell'Opera integrale</w:t>
            </w:r>
            <w:r>
              <w:rPr>
                <w:rFonts w:ascii="Barlow Semi Condensed" w:cs="Barlow Semi Condensed" w:eastAsia="Barlow Semi Condensed" w:hAnsi="Barlow Semi Condensed"/>
                <w:sz w:val="20"/>
                <w:szCs w:val="20"/>
              </w:rPr>
              <w:t xml:space="preserve">). È l'opera di cui il Portale adotta l'architettura senza riprodurne il contenuto, qui conservata </w:t>
            </w:r>
            <w:r>
              <w:rPr>
                <w:rFonts w:ascii="Barlow Semi Condensed" w:cs="Barlow Semi Condensed" w:eastAsia="Barlow Semi Condensed" w:hAnsi="Barlow Semi Condensed"/>
                <w:b/>
                <w:bCs/>
                <w:sz w:val="20"/>
                <w:szCs w:val="20"/>
              </w:rPr>
              <w:t xml:space="preserve">per intero come volume nel volume</w:t>
            </w:r>
            <w:r>
              <w:rPr>
                <w:rFonts w:ascii="Barlow Semi Condensed" w:cs="Barlow Semi Condensed" w:eastAsia="Barlow Semi Condensed" w:hAnsi="Barlow Semi Condensed"/>
                <w:sz w:val="20"/>
                <w:szCs w:val="20"/>
              </w:rPr>
              <w:t xml:space="preserve">: il proemio con la dichiarazione di co-autorìa; le </w:t>
            </w:r>
            <w:r>
              <w:rPr>
                <w:rFonts w:ascii="Barlow Semi Condensed" w:cs="Barlow Semi Condensed" w:eastAsia="Barlow Semi Condensed" w:hAnsi="Barlow Semi Condensed"/>
                <w:b/>
                <w:bCs/>
                <w:sz w:val="20"/>
                <w:szCs w:val="20"/>
              </w:rPr>
              <w:t xml:space="preserve">cinque Fasi in cinquanta capitoli</w:t>
            </w:r>
            <w:r>
              <w:rPr>
                <w:rFonts w:ascii="Barlow Semi Condensed" w:cs="Barlow Semi Condensed" w:eastAsia="Barlow Semi Condensed" w:hAnsi="Barlow Semi Condensed"/>
                <w:sz w:val="20"/>
                <w:szCs w:val="20"/>
              </w:rPr>
              <w:t xml:space="preserve"> (il quadrilatero Loggia-Finanza-Vaticano-Mafia; l'apparato d'intelligence e le strutture parallele; lo stragismo e le sue centrali; il caso Moro come crocevia; la proiezione internazionale); l'</w:t>
            </w:r>
            <w:r>
              <w:rPr>
                <w:rFonts w:ascii="Barlow Semi Condensed" w:cs="Barlow Semi Condensed" w:eastAsia="Barlow Semi Condensed" w:hAnsi="Barlow Semi Condensed"/>
                <w:b/>
                <w:bCs/>
                <w:sz w:val="20"/>
                <w:szCs w:val="20"/>
              </w:rPr>
              <w:t xml:space="preserve">Apparato di Verifica e Triangolazione</w:t>
            </w:r>
            <w:r>
              <w:rPr>
                <w:rFonts w:ascii="Barlow Semi Condensed" w:cs="Barlow Semi Condensed" w:eastAsia="Barlow Semi Condensed" w:hAnsi="Barlow Semi Condensed"/>
                <w:sz w:val="20"/>
                <w:szCs w:val="20"/>
              </w:rPr>
              <w:t xml:space="preserve"> con i </w:t>
            </w:r>
            <w:r>
              <w:rPr>
                <w:rFonts w:ascii="Barlow Semi Condensed" w:cs="Barlow Semi Condensed" w:eastAsia="Barlow Semi Condensed" w:hAnsi="Barlow Semi Condensed"/>
                <w:b/>
                <w:bCs/>
                <w:sz w:val="20"/>
                <w:szCs w:val="20"/>
              </w:rPr>
              <w:t xml:space="preserve">538 blocchi certificati in otto tranche</w:t>
            </w:r>
            <w:r>
              <w:rPr>
                <w:rFonts w:ascii="Barlow Semi Condensed" w:cs="Barlow Semi Condensed" w:eastAsia="Barlow Semi Condensed" w:hAnsi="Barlow Semi Condensed"/>
                <w:sz w:val="20"/>
                <w:szCs w:val="20"/>
              </w:rPr>
              <w:t xml:space="preserve">; e il secondo volume in due Parti, dal metodo falsificazionista alla bilancia probabilistica. </w:t>
            </w:r>
            <w:r>
              <w:rPr>
                <w:rFonts w:ascii="Barlow Semi Condensed" w:cs="Barlow Semi Condensed" w:eastAsia="Barlow Semi Condensed" w:hAnsi="Barlow Semi Condensed"/>
                <w:b/>
                <w:bCs/>
                <w:sz w:val="20"/>
                <w:szCs w:val="20"/>
              </w:rPr>
              <w:t xml:space="preserve">Divergenza di regime dichiarata in apertura, con nota di raccordo</w:t>
            </w:r>
            <w:r>
              <w:rPr>
                <w:rFonts w:ascii="Barlow Semi Condensed" w:cs="Barlow Semi Condensed" w:eastAsia="Barlow Semi Condensed" w:hAnsi="Barlow Semi Condensed"/>
                <w:sz w:val="20"/>
                <w:szCs w:val="20"/>
              </w:rPr>
              <w:t xml:space="preserve">: a differenza di ogni altro Libro, la seconda metà congeda il Pollo di Popper e </w:t>
            </w:r>
            <w:r>
              <w:rPr>
                <w:rFonts w:ascii="Barlow Semi Condensed" w:cs="Barlow Semi Condensed" w:eastAsia="Barlow Semi Condensed" w:hAnsi="Barlow Semi Condensed"/>
                <w:b/>
                <w:bCs/>
                <w:sz w:val="20"/>
                <w:szCs w:val="20"/>
              </w:rPr>
              <w:t xml:space="preserve">ordina per plausibilità del coinvolgimento</w:t>
            </w:r>
            <w:r>
              <w:rPr>
                <w:rFonts w:ascii="Barlow Semi Condensed" w:cs="Barlow Semi Condensed" w:eastAsia="Barlow Semi Condensed" w:hAnsi="Barlow Semi Condensed"/>
                <w:sz w:val="20"/>
                <w:szCs w:val="20"/>
              </w:rPr>
              <w:t xml:space="preserve">, con premessa garantista che distingue la graduatoria di plausibilità da quella di colpevolezza. </w:t>
            </w:r>
            <w:r>
              <w:rPr>
                <w:rFonts w:ascii="Barlow Semi Condensed" w:cs="Barlow Semi Condensed" w:eastAsia="Barlow Semi Condensed" w:hAnsi="Barlow Semi Condensed"/>
                <w:b/>
                <w:bCs/>
                <w:sz w:val="20"/>
                <w:szCs w:val="20"/>
              </w:rPr>
              <w:t xml:space="preserve">Accertato sul testo</w:t>
            </w:r>
            <w:r>
              <w:rPr>
                <w:rFonts w:ascii="Barlow Semi Condensed" w:cs="Barlow Semi Condensed" w:eastAsia="Barlow Semi Condensed" w:hAnsi="Barlow Semi Condensed"/>
                <w:sz w:val="20"/>
                <w:szCs w:val="20"/>
              </w:rPr>
              <w:t xml:space="preserve">: la graduatoria ordina </w:t>
            </w:r>
            <w:r>
              <w:rPr>
                <w:rFonts w:ascii="Barlow Semi Condensed" w:cs="Barlow Semi Condensed" w:eastAsia="Barlow Semi Condensed" w:hAnsi="Barlow Semi Condensed"/>
                <w:b/>
                <w:bCs/>
                <w:sz w:val="20"/>
                <w:szCs w:val="20"/>
              </w:rPr>
              <w:t xml:space="preserve">categorie di soggetti e non nomi individuali</w:t>
            </w:r>
            <w:r>
              <w:rPr>
                <w:rFonts w:ascii="Barlow Semi Condensed" w:cs="Barlow Semi Condensed" w:eastAsia="Barlow Semi Condensed" w:hAnsi="Barlow Semi Condensed"/>
                <w:sz w:val="20"/>
                <w:szCs w:val="20"/>
              </w:rPr>
              <w:t xml:space="preserve"> — i condannati in via definitiva, gli apparati dei depistaggi, i portatori d'interesse esterno —, e nelle quasi cinquemila parole conclusive gli unici nomi propri di persona sono quello della vittima e quello dello studioso da cui un metodo prende nome — la disciplina in copertina dell'opera registra l'eccezione e la limita a questo Libro. Standard probatorio Savona 2.1 a tre livelli, Regola Ferrea, Stato Zero. Delle due redazioni d'autore si è adottata la più ampia perché contiene l'altra: la collazione meccanica dà </w:t>
            </w:r>
            <w:r>
              <w:rPr>
                <w:rFonts w:ascii="Barlow Semi Condensed" w:cs="Barlow Semi Condensed" w:eastAsia="Barlow Semi Condensed" w:hAnsi="Barlow Semi Condensed"/>
                <w:b/>
                <w:bCs/>
                <w:sz w:val="20"/>
                <w:szCs w:val="20"/>
              </w:rPr>
              <w:t xml:space="preserve">1.949 paragrafi identici su 1.952</w:t>
            </w:r>
            <w:r>
              <w:rPr>
                <w:rFonts w:ascii="Barlow Semi Condensed" w:cs="Barlow Semi Condensed" w:eastAsia="Barlow Semi Condensed" w:hAnsi="Barlow Semi Condensed"/>
                <w:sz w:val="20"/>
                <w:szCs w:val="20"/>
              </w:rPr>
              <w:t xml:space="preserve">, e le tre righe divergenti di frontespizio sono registrate in nota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feltrinelli-il-vettore.md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Studio monografico su Giangiacomo Feltrinelli (1926-1972): l'erede della grande fortuna, l'editore civile (Živago 1957, Il Gattopardo 1958, la Fondazione), il viaggio in Bolivia dell'agosto 1967 (arresto ed espulsione durante il processo Debray), il vettore materiale del mito del Che (diritti e foto Korda 1967, </w:t>
            </w:r>
            <w:r>
              <w:rPr>
                <w:rFonts w:ascii="Barlow Semi Condensed" w:cs="Barlow Semi Condensed" w:eastAsia="Barlow Semi Condensed" w:hAnsi="Barlow Semi Condensed"/>
                <w:i/>
                <w:iCs/>
                <w:sz w:val="20"/>
                <w:szCs w:val="20"/>
              </w:rPr>
              <w:t xml:space="preserve">Diario</w:t>
            </w:r>
            <w:r>
              <w:rPr>
                <w:rFonts w:ascii="Barlow Semi Condensed" w:cs="Barlow Semi Condensed" w:eastAsia="Barlow Semi Condensed" w:hAnsi="Barlow Semi Condensed"/>
                <w:sz w:val="20"/>
                <w:szCs w:val="20"/>
              </w:rPr>
              <w:t xml:space="preserve"> 1968, i manifesti), i GAP (aprile-maggio 1970) e la morte a Segrate (14 marzo 1972, ritrovamento il 15). Con note di revisione post-triangolazione. Nessuna imputazione oltre il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triangolazione-feltrinelli-corpus.md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Triangolazione dello studio su Feltrinelli: 17 nodi di verifica su fonti indipendenti (13 confermati, 3 precisati, 1 congettura confermata come tale), 1 nodo nuovo emerso (Bolivia agosto 1967), 7 ponti col corpus (dal ponte fisico con la campagna boliviana alla convergenza tematica con gli amnistiati del Tribunale Speciale) e 3 anti-triangolazioni (vettore ≠ mandante; la morte non è omicidio provato; il nome partigiano non è continuità con la Resistenza)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guevara-bibliografia-critica.md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Bibliografia critica del corpus guevariano: le fonti per rango (primarie/accademiche/giornalistiche/enciclopediche), l'uso di ciascuna e l'elenco di trasparenza delle fonti deboli sostituite. Complemento all'apparato dei gradi moroteo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relazione-stato-lavori-stile-moro.md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Relazione sui lavori redatta come esercizio di stile moroteo (pastiche dichiarato)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dal-che-a-moro-una-guerra-senza-fine.md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Opera di sintesi che raccoglie i fili Guevara–Moro (mito del Che, vettore Feltrinelli, degenerazione nelle BR, cornice della guerra fredda). Cinque parti, con bilancio finale documentato/convergenza/congettura; la Parte quarta è un pastiche dichiarato nello stile di Moro (non parole sue)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aldo-moro-una-guerra-senza-fine-parte-terza.md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Continuazione originale dell'opera «Aldo Moro — Una guerra senza fine»: «Il ritorno del Pollo di Popper», dossier falsificazionista in tre movimenti e quattordici capitoli sulle questioni aperte del caso (via Fani, prigione, via Gradoli, fermezza/trattativa, occasioni mancate, memoriale, quadro internazionale, «verità dicibile»), ciascuna col grado di prova e il criterio di smentita. Nessuna accusa oltre il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aldo-moro-una-guerra-senza-fine-fase-sesta.md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Continuazione dell'edizione in cinquanta capitoli: «Fase sesta — Il presidio del garante e l'apparato critico» (capp. 51-55). Ricompone la tensione fra il divieto di imputare (cap. 1) e la graduatoria (Fase quinta); rende operative le quattro discipline; fornisce la mappa dei gradi A/B/C e Stato Zero. Nessun nome come responsabile oltre il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aldo-moro-una-guerra-senza-fine-fase-nona-repertorio-del-caso.md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Ampliamento dell'opera: «Fase nona — Il repertorio del caso» (capp. 68-76). Cataloga in forma gradata </w:t>
            </w:r>
            <w:r>
              <w:rPr>
                <w:rFonts w:ascii="Barlow Semi Condensed" w:cs="Barlow Semi Condensed" w:eastAsia="Barlow Semi Condensed" w:hAnsi="Barlow Semi Condensed"/>
                <w:b/>
                <w:bCs/>
                <w:sz w:val="20"/>
                <w:szCs w:val="20"/>
              </w:rPr>
              <w:t xml:space="preserve">tutto ciò che è attribuibile al caso Moro</w:t>
            </w:r>
            <w:r>
              <w:rPr>
                <w:rFonts w:ascii="Barlow Semi Condensed" w:cs="Barlow Semi Condensed" w:eastAsia="Barlow Semi Condensed" w:hAnsi="Barlow Semi Condensed"/>
                <w:sz w:val="20"/>
                <w:szCs w:val="20"/>
              </w:rPr>
              <w:t xml:space="preserve">: la cronologia dei 55 giorni, le sei vittime (via Fani: Leonardi, Ricci, Rivera, Zizzi, Iozzino, in testa al repertorio), gli autori accertati in giudicato, i luoghi (via Fani, Montalcini, Gradoli, Caetani, Monte Nevoso, lago della Duchessa), i documenti (le ~97 lettere, i comunicati, il memoriale), gli atti (5 processi, 2 Commissioni), le figure del contesto senza imputazione, e i nodi aperti col loro grado. Ogni voce marcata A (giudicato) / B (accertamento) / C (congettura) / F (fatto pubblico); un capitolo dice che cosa il repertorio esclude per disciplina. Nessuna imputazione oltre il giudicato; nessuna graduatoria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aldo-moro-una-guerra-senza-fine-fase-ottava-il-ritratto.md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Ampliamento dell'opera: «Fase ottava — Il ritratto: l'uomo prima del caso» (capp. 62-67). Rimette al centro Aldo Moro l'uomo e lo statista, non l'oggetto dell'inchiesta: la formazione (Maglie 1916, FUCI, il diritto penale a Bari), il costituente, la </w:t>
            </w:r>
            <w:r>
              <w:rPr>
                <w:rFonts w:ascii="Barlow Semi Condensed" w:cs="Barlow Semi Condensed" w:eastAsia="Barlow Semi Condensed" w:hAnsi="Barlow Semi Condensed"/>
                <w:b/>
                <w:bCs/>
                <w:sz w:val="20"/>
                <w:szCs w:val="20"/>
              </w:rPr>
              <w:t xml:space="preserve">strategia dell'attenzione</w:t>
            </w:r>
            <w:r>
              <w:rPr>
                <w:rFonts w:ascii="Barlow Semi Condensed" w:cs="Barlow Semi Condensed" w:eastAsia="Barlow Semi Condensed" w:hAnsi="Barlow Semi Condensed"/>
                <w:sz w:val="20"/>
                <w:szCs w:val="20"/>
              </w:rPr>
              <w:t xml:space="preserve"> (Bari, 15/6/1969), la solidarietà nazionale e la </w:t>
            </w:r>
            <w:r>
              <w:rPr>
                <w:rFonts w:ascii="Barlow Semi Condensed" w:cs="Barlow Semi Condensed" w:eastAsia="Barlow Semi Condensed" w:hAnsi="Barlow Semi Condensed"/>
                <w:b/>
                <w:bCs/>
                <w:sz w:val="20"/>
                <w:szCs w:val="20"/>
              </w:rPr>
              <w:t xml:space="preserve">«terza fase»</w:t>
            </w:r>
            <w:r>
              <w:rPr>
                <w:rFonts w:ascii="Barlow Semi Condensed" w:cs="Barlow Semi Condensed" w:eastAsia="Barlow Semi Condensed" w:hAnsi="Barlow Semi Condensed"/>
                <w:sz w:val="20"/>
                <w:szCs w:val="20"/>
              </w:rPr>
              <w:t xml:space="preserve"> (dicembre 1976), le lettere come scrittura di un uomo, la ragione umana per cui fu colpito (l'ostacolo alla guerra che altri volevano). Prosa piana, senza pastiche; idee citate dai suoi scritti pubblici. Nessuna imputazione oltre il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aldo-moro-una-guerra-senza-fine-fase-settima-registro-giudiziario.md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Ampliamento dell'opera: «Fase settima — Il registro giudiziario» (capp. 56-61). Aggiunge lo strato istruttorio che mancava: i cinque processi Moro (uno/bis/ter/quater/quinquies) come pavimento del giudicato (grado A: BR esecutrici, Moretti, Maccari «quarto uomo» nel quinquies, Lojacono nel quater); la Commissione Moro 2 (2014-2017, relazione del 6/12/2017) come accertamento parlamentare di grado B (le due moto e i quattro «centauri» di via Fani, i testimoni De Chiara e ing. Marini mai sentiti, il Memoriale Morucci come «testo negoziato» degli anni '80, la formula «verità dicibile» di Fioroni, il nodo del 18 aprile non sciolto); tavola di raccordo delle otto questioni aperte per grado. Nessuna imputazione oltre il giudicato; nessuna graduatoria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aldo-moro-una-guerra-senza-fine-apparato-dei-gradi.md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Indice analitico capitolo per capitolo dei cinquanta capitoli dell'opera: asserzione portante, grado prevalente (A/B/C/Stato Zero/Metodo) e criterio di smentita di ciascuno. La Fase quinta è gradata interamente al Livello C (congettura ordinata) salvo la base giudiziaria; la graduatoria e i nomi non sono riprodotti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_verifiche/verifica-elenco-trentatre-nomi-p2.md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Appendice III — Verifica di un elenco esterno.</w:t>
            </w:r>
            <w:r>
              <w:rPr>
                <w:rFonts w:ascii="Barlow Semi Condensed" w:cs="Barlow Semi Condensed" w:eastAsia="Barlow Semi Condensed" w:hAnsi="Barlow Semi Condensed"/>
                <w:sz w:val="20"/>
                <w:szCs w:val="20"/>
              </w:rPr>
              <w:t xml:space="preserve"> Un testo sottoposto al corpus il 26 agosto 2026 asserisce trentatré nominativi con ruolo nella primavera del 1978 e numero di tessera della loggia. Verifica per campi separati: i nomi in larga parte reggono (venti appartenenze corroborate da fonti indipendenti dal testo, dodici al grado C, una definita in sede giudiziaria), i numeri no — quattro valori cadono sotto il 1.600, soglia verbalizzata negli atti della Commissione, e cinque numeri sono assegnati due volte dentro il testo stesso. Nessun numero di tessera è corroborato: il grado B lo darebbe soltanto l'allegato alla Doc. XXIII n. 2. </w:t>
            </w:r>
            <w:r>
              <w:rPr>
                <w:rFonts w:ascii="Barlow Semi Condensed" w:cs="Barlow Semi Condensed" w:eastAsia="Barlow Semi Condensed" w:hAnsi="Barlow Semi Condensed"/>
                <w:b/>
                <w:bCs/>
                <w:sz w:val="20"/>
                <w:szCs w:val="20"/>
              </w:rPr>
              <w:t xml:space="preserve">Stato Zero dichiarato</w:t>
            </w:r>
            <w:r>
              <w:rPr>
                <w:rFonts w:ascii="Barlow Semi Condensed" w:cs="Barlow Semi Condensed" w:eastAsia="Barlow Semi Condensed" w:hAnsi="Barlow Semi Condensed"/>
                <w:sz w:val="20"/>
                <w:szCs w:val="20"/>
              </w:rPr>
              <w:t xml:space="preserve"> sul calcolo per finestra temporale: la ripartizione degli affiliati fra prima, durante e dopo richiede la data di affiliazione di ciascuno, e la tabella la porta per due righe su trentatré. Contiene l'annotazione — accanto all'errore, non al posto suo — sulla cifra dei parlamentari registrata nel Libro quarto. Nove grafici propri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_verifiche/certificazione-numeri-p2.md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CERTIFICAZIONE DEI NUMERI DI TESSERA E FASCICOLO — esito negativo.</w:t>
            </w:r>
            <w:r>
              <w:rPr>
                <w:rFonts w:ascii="Barlow Semi Condensed" w:cs="Barlow Semi Condensed" w:eastAsia="Barlow Semi Condensed" w:hAnsi="Barlow Semi Condensed"/>
                <w:sz w:val="20"/>
                <w:szCs w:val="20"/>
              </w:rPr>
              <w:t xml:space="preserve"> Richiesta di certificare i numeri dei trentatré nomi; </w:t>
            </w:r>
            <w:r>
              <w:rPr>
                <w:rFonts w:ascii="Barlow Semi Condensed" w:cs="Barlow Semi Condensed" w:eastAsia="Barlow Semi Condensed" w:hAnsi="Barlow Semi Condensed"/>
                <w:b/>
                <w:bCs/>
                <w:sz w:val="20"/>
                <w:szCs w:val="20"/>
              </w:rPr>
              <w:t xml:space="preserve">nessuno dei trentatré è certificabile</w:t>
            </w:r>
            <w:r>
              <w:rPr>
                <w:rFonts w:ascii="Barlow Semi Condensed" w:cs="Barlow Semi Condensed" w:eastAsia="Barlow Semi Condensed" w:hAnsi="Barlow Semi Condensed"/>
                <w:sz w:val="20"/>
                <w:szCs w:val="20"/>
              </w:rPr>
              <w:t xml:space="preserve">, e il no non dipende da una difficoltà contingente ma dalla differenza fra verificare e certificare. Verifica condotta con diciassette agenti indipendenti, i cui limiti sono dichiarati in apertura: la ricerca ha esaurito il budget a metà corsa e l'intera fase di refutazione non ha potuto aprire una sola fonte — quelle refutazioni sono registrate come impossibilità di verificare, non come prove contrarie. </w:t>
            </w:r>
            <w:r>
              <w:rPr>
                <w:rFonts w:ascii="Barlow Semi Condensed" w:cs="Barlow Semi Condensed" w:eastAsia="Barlow Semi Condensed" w:hAnsi="Barlow Semi Condensed"/>
                <w:b/>
                <w:bCs/>
                <w:sz w:val="20"/>
                <w:szCs w:val="20"/>
              </w:rPr>
              <w:t xml:space="preserve">Risultato più solido, di rango documentale</w:t>
            </w:r>
            <w:r>
              <w:rPr>
                <w:rFonts w:ascii="Barlow Semi Condensed" w:cs="Barlow Semi Condensed" w:eastAsia="Barlow Semi Condensed" w:hAnsi="Barlow Semi Condensed"/>
                <w:sz w:val="20"/>
                <w:szCs w:val="20"/>
              </w:rPr>
              <w:t xml:space="preserve">: due coppie attestate — Berlusconi (Milano, 625) con tessera 1816, Costanzo (Roma, 626) con tessera 1819 — dimostrano che la cifra fra parentesi nelle trascrizioni è il </w:t>
            </w:r>
            <w:r>
              <w:rPr>
                <w:rFonts w:ascii="Barlow Semi Condensed" w:cs="Barlow Semi Condensed" w:eastAsia="Barlow Semi Condensed" w:hAnsi="Barlow Semi Condensed"/>
                <w:b/>
                <w:bCs/>
                <w:sz w:val="20"/>
                <w:szCs w:val="20"/>
              </w:rPr>
              <w:t xml:space="preserve">numero di fascicolo, non quello di tessera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Risultato aritmetico, indipendente da ogni fonte</w:t>
            </w:r>
            <w:r>
              <w:rPr>
                <w:rFonts w:ascii="Barlow Semi Condensed" w:cs="Barlow Semi Condensed" w:eastAsia="Barlow Semi Condensed" w:hAnsi="Barlow Semi Condensed"/>
                <w:sz w:val="20"/>
                <w:szCs w:val="20"/>
              </w:rPr>
              <w:t xml:space="preserve">: otto coppie su venti hanno lo scarto identico di 1.088 fra tessera e fascicolo, mentre nelle due coppie attestate lo scarto deriva — uno scarto congelato per quarantadue posizioni non è un secondo registro, è una sottrazione. </w:t>
            </w:r>
            <w:r>
              <w:rPr>
                <w:rFonts w:ascii="Barlow Semi Condensed" w:cs="Barlow Semi Condensed" w:eastAsia="Barlow Semi Condensed" w:hAnsi="Barlow Semi Condensed"/>
                <w:b/>
                <w:bCs/>
                <w:sz w:val="20"/>
                <w:szCs w:val="20"/>
              </w:rPr>
              <w:t xml:space="preserve">Tre ritrattazioni dichiarate</w:t>
            </w:r>
            <w:r>
              <w:rPr>
                <w:rFonts w:ascii="Barlow Semi Condensed" w:cs="Barlow Semi Condensed" w:eastAsia="Barlow Semi Condensed" w:hAnsi="Barlow Semi Condensed"/>
                <w:sz w:val="20"/>
                <w:szCs w:val="20"/>
              </w:rPr>
              <w:t xml:space="preserve">: la soglia del 1.600 non è un test di esclusione (esistono le tessere 506 e 1508); i parlamentari corroborati sono </w:t>
            </w:r>
            <w:r>
              <w:rPr>
                <w:rFonts w:ascii="Barlow Semi Condensed" w:cs="Barlow Semi Condensed" w:eastAsia="Barlow Semi Condensed" w:hAnsi="Barlow Semi Condensed"/>
                <w:b/>
                <w:bCs/>
                <w:sz w:val="20"/>
                <w:szCs w:val="20"/>
              </w:rPr>
              <w:t xml:space="preserve">44 e non 59</w:t>
            </w:r>
            <w:r>
              <w:rPr>
                <w:rFonts w:ascii="Barlow Semi Condensed" w:cs="Barlow Semi Condensed" w:eastAsia="Barlow Semi Condensed" w:hAnsi="Barlow Semi Condensed"/>
                <w:sz w:val="20"/>
                <w:szCs w:val="20"/>
              </w:rPr>
              <w:t xml:space="preserve">, sicché la cifra del corpus era giusta e la mia correzione va ritirata; la corsa di dieci numeri consecutivi non è un indizio, perché in un elenco così denso se ne attendono circa quattro. Porta l'indirizzo d'archivio preciso — libro I, tomo I, pp. 803-874 e 885-942 — e tre grafici propri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moro-ministro-esteri/terza-campagna/</w:t>
            </w:r>
            <w:r>
              <w:rPr>
                <w:rFonts w:ascii="Barlow Semi Condensed" w:cs="Barlow Semi Condensed" w:eastAsia="Barlow Semi Condensed" w:hAnsi="Barlow Semi Condensed"/>
                <w:sz w:val="20"/>
                <w:szCs w:val="20"/>
              </w:rPr>
              <w:t xml:space="preserve">](moro-ministro-esteri/terza-campagna) · `</w:t>
            </w:r>
            <w:r>
              <w:rPr>
                <w:rFonts w:ascii="Barlow Semi Condensed" w:cs="Barlow Semi Condensed" w:eastAsia="Barlow Semi Condensed" w:hAnsi="Barlow Semi Condensed"/>
                <w:i/>
                <w:iCs/>
                <w:sz w:val="20"/>
                <w:szCs w:val="20"/>
              </w:rPr>
              <w:t xml:space="preserve">triangolazione-terza-campagna.md</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i/>
                <w:iCs/>
                <w:sz w:val="20"/>
                <w:szCs w:val="20"/>
              </w:rPr>
              <w:t xml:space="preserve">il-registro-dei-cinquantacinque-giorni-opera-seconda.md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TERZA CAMPAGNA FARNESINA E L'OPERA SECONDA — ventisette acquisizioni, 166.067 parole.</w:t>
            </w:r>
            <w:r>
              <w:rPr>
                <w:rFonts w:ascii="Barlow Semi Condensed" w:cs="Barlow Semi Condensed" w:eastAsia="Barlow Semi Condensed" w:hAnsi="Barlow Semi Condensed"/>
                <w:sz w:val="20"/>
                <w:szCs w:val="20"/>
              </w:rPr>
              <w:t xml:space="preserve"> Sedici ricognizioni numerate dalla terza alla diciottesima, sette registri analitici, l'opera seconda sui cinquantacinque giorni in sette Fasi e settanta Capitoli (Libro quindicesimo), un'appendice alla Fase settima e un memorandum archiviato ma </w:t>
            </w:r>
            <w:r>
              <w:rPr>
                <w:rFonts w:ascii="Barlow Semi Condensed" w:cs="Barlow Semi Condensed" w:eastAsia="Barlow Semi Condensed" w:hAnsi="Barlow Semi Condensed"/>
                <w:b/>
                <w:bCs/>
                <w:sz w:val="20"/>
                <w:szCs w:val="20"/>
              </w:rPr>
              <w:t xml:space="preserve">non rilegato per disposizione propria</w:t>
            </w:r>
            <w:r>
              <w:rPr>
                <w:rFonts w:ascii="Barlow Semi Condensed" w:cs="Barlow Semi Condensed" w:eastAsia="Barlow Semi Condensed" w:hAnsi="Barlow Semi Condensed"/>
                <w:sz w:val="20"/>
                <w:szCs w:val="20"/>
              </w:rPr>
              <w:t xml:space="preserve">. Il lotto arrivò in quattro invii con ripetizioni: undici documenti erano identici byte per byte, tre risultano contenuti nell'opera seconda al 100, 98,3 e 98,7 per cento agli 8-grammi, e sono stati scartati. Sei ricognizioni rivedono documenti già presenti, con sovrapposizioni fra il 7 e il 29,4 per cento: </w:t>
            </w:r>
            <w:r>
              <w:rPr>
                <w:rFonts w:ascii="Barlow Semi Condensed" w:cs="Barlow Semi Condensed" w:eastAsia="Barlow Semi Condensed" w:hAnsi="Barlow Semi Condensed"/>
                <w:b/>
                <w:bCs/>
                <w:sz w:val="20"/>
                <w:szCs w:val="20"/>
              </w:rPr>
              <w:t xml:space="preserve">nessuna sostituisce l'anteriore</w:t>
            </w:r>
            <w:r>
              <w:rPr>
                <w:rFonts w:ascii="Barlow Semi Condensed" w:cs="Barlow Semi Condensed" w:eastAsia="Barlow Semi Condensed" w:hAnsi="Barlow Semi Condensed"/>
                <w:sz w:val="20"/>
                <w:szCs w:val="20"/>
              </w:rPr>
              <w:t xml:space="preserve">, ciascuna porta la nota di raccordo che dichiara quale rivede e con quale misura. </w:t>
            </w:r>
            <w:r>
              <w:rPr>
                <w:rFonts w:ascii="Barlow Semi Condensed" w:cs="Barlow Semi Condensed" w:eastAsia="Barlow Semi Condensed" w:hAnsi="Barlow Semi Condensed"/>
                <w:b/>
                <w:bCs/>
                <w:sz w:val="20"/>
                <w:szCs w:val="20"/>
              </w:rPr>
              <w:t xml:space="preserve">Il risultato che distingue la campagna sono quattro confutazioni che l'autore muove alle proprie ipotesi</w:t>
            </w:r>
            <w:r>
              <w:rPr>
                <w:rFonts w:ascii="Barlow Semi Condensed" w:cs="Barlow Semi Condensed" w:eastAsia="Barlow Semi Condensed" w:hAnsi="Barlow Semi Condensed"/>
                <w:sz w:val="20"/>
                <w:szCs w:val="20"/>
              </w:rPr>
              <w:t xml:space="preserve"> — il modello dell'Opus Dei falsificato due volte (Gran Bretagna 1946 prima della Germania 1952; il Kenya con costruzione endogena del ceto), l'ipotesi namibiana respinta, il nodo sudafricano che non ruota. </w:t>
            </w:r>
            <w:r>
              <w:rPr>
                <w:rFonts w:ascii="Barlow Semi Condensed" w:cs="Barlow Semi Condensed" w:eastAsia="Barlow Semi Condensed" w:hAnsi="Barlow Semi Condensed"/>
                <w:b/>
                <w:bCs/>
                <w:sz w:val="20"/>
                <w:szCs w:val="20"/>
              </w:rPr>
              <w:t xml:space="preserve">Cinque correzioni al corpus</w:t>
            </w:r>
            <w:r>
              <w:rPr>
                <w:rFonts w:ascii="Barlow Semi Condensed" w:cs="Barlow Semi Condensed" w:eastAsia="Barlow Semi Condensed" w:hAnsi="Barlow Semi Condensed"/>
                <w:sz w:val="20"/>
                <w:szCs w:val="20"/>
              </w:rPr>
              <w:t xml:space="preserve">, fra cui che il riconoscimento della RDT è del 17 gennaio 1973, sotto Giuseppe Medici e fra i due mandati di Moro, non sotto Moro. </w:t>
            </w:r>
            <w:r>
              <w:rPr>
                <w:rFonts w:ascii="Barlow Semi Condensed" w:cs="Barlow Semi Condensed" w:eastAsia="Barlow Semi Condensed" w:hAnsi="Barlow Semi Condensed"/>
                <w:b/>
                <w:bCs/>
                <w:sz w:val="20"/>
                <w:szCs w:val="20"/>
              </w:rPr>
              <w:t xml:space="preserve">Un concetto di metodo nuovo</w:t>
            </w:r>
            <w:r>
              <w:rPr>
                <w:rFonts w:ascii="Barlow Semi Condensed" w:cs="Barlow Semi Condensed" w:eastAsia="Barlow Semi Condensed" w:hAnsi="Barlow Semi Condensed"/>
                <w:sz w:val="20"/>
                <w:szCs w:val="20"/>
              </w:rPr>
              <w:t xml:space="preserve">: la </w:t>
            </w:r>
            <w:r>
              <w:rPr>
                <w:rFonts w:ascii="Barlow Semi Condensed" w:cs="Barlow Semi Condensed" w:eastAsia="Barlow Semi Condensed" w:hAnsi="Barlow Semi Condensed"/>
                <w:i/>
                <w:iCs/>
                <w:sz w:val="20"/>
                <w:szCs w:val="20"/>
              </w:rPr>
              <w:t xml:space="preserve">contaminazione per prossimità</w:t>
            </w:r>
            <w:r>
              <w:rPr>
                <w:rFonts w:ascii="Barlow Semi Condensed" w:cs="Barlow Semi Condensed" w:eastAsia="Barlow Semi Condensed" w:hAnsi="Barlow Semi Condensed"/>
                <w:sz w:val="20"/>
                <w:szCs w:val="20"/>
              </w:rPr>
              <w:t xml:space="preserve"> — collocare un'asserzione non documentata dentro un elenco di fatti documentati, trasferendole il credito — col corollario che un'affermazione senza tracce indipendenti «non è confutata ma non è utilizzabile», che converge con la certificazione dei numeri P2 per via indipendente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_diffusione-opera/pec-unica-formale.md</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i/>
                <w:iCs/>
                <w:sz w:val="20"/>
                <w:szCs w:val="20"/>
              </w:rPr>
              <w:t xml:space="preserve">PEC_UNICA_FORMALE.docx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.pdf`](_diffusione-opera/PEC_UNICA_FORMALE.pdf)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PEC FORMALE UNICA — un solo testo per tutti i destinatari.</w:t>
            </w:r>
            <w:r>
              <w:rPr>
                <w:rFonts w:ascii="Barlow Semi Condensed" w:cs="Barlow Semi Condensed" w:eastAsia="Barlow Semi Condensed" w:hAnsi="Barlow Semi Condensed"/>
                <w:sz w:val="20"/>
                <w:szCs w:val="20"/>
              </w:rPr>
              <w:t xml:space="preserve"> Contenuto unico e canale adattabile: si trasmette come PEC dove la PEC esiste, come email ordinaria dove è la via istituzionale, si incolla nei moduli obbligatori, si stampa dove non c'è altro. Si apre con un'avvertenza di fatto: </w:t>
            </w:r>
            <w:r>
              <w:rPr>
                <w:rFonts w:ascii="Barlow Semi Condensed" w:cs="Barlow Semi Condensed" w:eastAsia="Barlow Semi Condensed" w:hAnsi="Barlow Semi Condensed"/>
                <w:b/>
                <w:bCs/>
                <w:sz w:val="20"/>
                <w:szCs w:val="20"/>
              </w:rPr>
              <w:t xml:space="preserve">un solo destinatario su dodici ha davvero un canale PEC</w:t>
            </w:r>
            <w:r>
              <w:rPr>
                <w:rFonts w:ascii="Barlow Semi Condensed" w:cs="Barlow Semi Condensed" w:eastAsia="Barlow Semi Condensed" w:hAnsi="Barlow Semi Condensed"/>
                <w:sz w:val="20"/>
                <w:szCs w:val="20"/>
              </w:rPr>
              <w:t xml:space="preserve"> — l'Archivio Flamigni, il cui indirizzo non è ancora reperito — e l'invio non va fatto in un'unica trasmissione, perché esporrebbe a ciascuno il recapito degli altri undici e mostrerebbe a nove editori che la stessa proposta è partita per gli altri otto. Stesso testo, invii separati, secondo le ondate non in concorrenza del dossier. Il corpo porta la dichiarazione sull'IA in apertura e non in calce, le sei regole della disciplina con l'eccezione del Libro quarto, che cosa l'opera non è, e l'impronta SHA-256 dell'intero corpus con la distinzione fra integrità del supporto e verità del contenuto. In coda: la tabella di adattamento per canale destinatario per destinatario, gli allegati con l'avvertenza sui limiti di peso dei gestori PEC, e la lista di controllo prima dell'invio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aldo-moro-una-guerra-senza-fine-fase-decima-responsabilita-personali.md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Ampliamento dell'opera: «Fase decima — Il principio personalistico» (capp. 77-82). </w:t>
            </w:r>
            <w:r>
              <w:rPr>
                <w:rFonts w:ascii="Barlow Semi Condensed" w:cs="Barlow Semi Condensed" w:eastAsia="Barlow Semi Condensed" w:hAnsi="Barlow Semi Condensed"/>
                <w:b/>
                <w:bCs/>
                <w:sz w:val="20"/>
                <w:szCs w:val="20"/>
              </w:rPr>
              <w:t xml:space="preserve">Elimina la colpa dei gruppi in entrambe le direzioni</w:t>
            </w:r>
            <w:r>
              <w:rPr>
                <w:rFonts w:ascii="Barlow Semi Condensed" w:cs="Barlow Semi Condensed" w:eastAsia="Barlow Semi Condensed" w:hAnsi="Barlow Semi Condensed"/>
                <w:sz w:val="20"/>
                <w:szCs w:val="20"/>
              </w:rPr>
              <w:t xml:space="preserve"> (né colpa collettiva discendente dall'appartenenza, né deresponsabilizzazione ascendente nel «fu l'organizzazione») e </w:t>
            </w:r>
            <w:r>
              <w:rPr>
                <w:rFonts w:ascii="Barlow Semi Condensed" w:cs="Barlow Semi Condensed" w:eastAsia="Barlow Semi Condensed" w:hAnsi="Barlow Semi Condensed"/>
                <w:b/>
                <w:bCs/>
                <w:sz w:val="20"/>
                <w:szCs w:val="20"/>
              </w:rPr>
              <w:t xml:space="preserve">la sostituisce con le responsabilità personali del giudicato</w:t>
            </w:r>
            <w:r>
              <w:rPr>
                <w:rFonts w:ascii="Barlow Semi Condensed" w:cs="Barlow Semi Condensed" w:eastAsia="Barlow Semi Condensed" w:hAnsi="Barlow Semi Condensed"/>
                <w:sz w:val="20"/>
                <w:szCs w:val="20"/>
              </w:rPr>
              <w:t xml:space="preserve">: registro nominativo delle tredici persone condannate in via definitiva per il caso Moro, ciascuna con la propria condotta accertata (Moretti, Gallinari, Morucci, Faranda, Fiore, Bonisoli, Balzerani, Seghetti, Braghetti, Casimirri, Lojacono, Maccari, Etro) — verificato su fonti (sentenza 24/1/1983, Questione Giustizia, biografie). Il registro </w:t>
            </w:r>
            <w:r>
              <w:rPr>
                <w:rFonts w:ascii="Barlow Semi Condensed" w:cs="Barlow Semi Condensed" w:eastAsia="Barlow Semi Condensed" w:hAnsi="Barlow Semi Condensed"/>
                <w:b/>
                <w:bCs/>
                <w:sz w:val="20"/>
                <w:szCs w:val="20"/>
              </w:rPr>
              <w:t xml:space="preserve">non ricopia i 32 ergastoli del processone</w:t>
            </w:r>
            <w:r>
              <w:rPr>
                <w:rFonts w:ascii="Barlow Semi Condensed" w:cs="Barlow Semi Condensed" w:eastAsia="Barlow Semi Condensed" w:hAnsi="Barlow Semi Condensed"/>
                <w:sz w:val="20"/>
                <w:szCs w:val="20"/>
              </w:rPr>
              <w:t xml:space="preserve"> (colpa di gruppo per trascinamento) e </w:t>
            </w:r>
            <w:r>
              <w:rPr>
                <w:rFonts w:ascii="Barlow Semi Condensed" w:cs="Barlow Semi Condensed" w:eastAsia="Barlow Semi Condensed" w:hAnsi="Barlow Semi Condensed"/>
                <w:b/>
                <w:bCs/>
                <w:sz w:val="20"/>
                <w:szCs w:val="20"/>
              </w:rPr>
              <w:t xml:space="preserve">non contiene Algranati</w:t>
            </w:r>
            <w:r>
              <w:rPr>
                <w:rFonts w:ascii="Barlow Semi Condensed" w:cs="Barlow Semi Condensed" w:eastAsia="Barlow Semi Condensed" w:hAnsi="Barlow Semi Condensed"/>
                <w:sz w:val="20"/>
                <w:szCs w:val="20"/>
              </w:rPr>
              <w:t xml:space="preserve"> (assolta in via definitiva per via Fani: il giudicato vale nei due sensi). Nota di lettura valida per l'intera opera: «le BR» come abbreviazione delle persone condannate; le appartenenze — a uno o più gruppi — come fatto biografico F, mai somma di colpe. Nessuna graduatoria; nessuna percentuale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triangolazione-condannati-corpus.md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Triangolazione dei tredici condannati del registro (Fase decima) con i domini del corpus: </w:t>
            </w:r>
            <w:r>
              <w:rPr>
                <w:rFonts w:ascii="Barlow Semi Condensed" w:cs="Barlow Semi Condensed" w:eastAsia="Barlow Semi Condensed" w:hAnsi="Barlow Semi Condensed"/>
                <w:b/>
                <w:bCs/>
                <w:sz w:val="20"/>
                <w:szCs w:val="20"/>
              </w:rPr>
              <w:t xml:space="preserve">otto ponti documentati e verificati</w:t>
            </w:r>
            <w:r>
              <w:rPr>
                <w:rFonts w:ascii="Barlow Semi Condensed" w:cs="Barlow Semi Condensed" w:eastAsia="Barlow Semi Condensed" w:hAnsi="Barlow Semi Condensed"/>
                <w:sz w:val="20"/>
                <w:szCs w:val="20"/>
              </w:rPr>
              <w:t xml:space="preserve"> — Moretti e il CPM di Curcio </w:t>
            </w:r>
            <w:r>
              <w:rPr>
                <w:rFonts w:ascii="Barlow Semi Condensed" w:cs="Barlow Semi Condensed" w:eastAsia="Barlow Semi Condensed" w:hAnsi="Barlow Semi Condensed"/>
                <w:i/>
                <w:iCs/>
                <w:sz w:val="20"/>
                <w:szCs w:val="20"/>
              </w:rPr>
              <w:t xml:space="preserve">e Simioni</w:t>
            </w:r>
            <w:r>
              <w:rPr>
                <w:rFonts w:ascii="Barlow Semi Condensed" w:cs="Barlow Semi Condensed" w:eastAsia="Barlow Semi Condensed" w:hAnsi="Barlow Semi Condensed"/>
                <w:sz w:val="20"/>
                <w:szCs w:val="20"/>
              </w:rPr>
              <w:t xml:space="preserve"> (la doppia discendenza BR/Superclan del ceppo 1969); Morucci-Faranda, Potere Operaio e il canale Pace-Piperno verso il PSI; Bonisoli che portò il memoriale a via Monte Nevoso e vi fu arrestato (1/10/1978); Gallinari e Bonisoli nel «gruppo dell'appartamento» reggiano di Franceschini; Casimirri (padre alla sala stampa vaticana sotto tre papi; rotta Libia-Cuba-Nicaragua; estradizione negata); Lojacono (cittadinanza svizzera, pena ineseguita); Braghetti e la memoria come vettore («Il prigioniero», Feltrinelli 1998 → «Buongiorno, notte» 2003); le condotte successive coi loro giudicati. Quattro </w:t>
            </w:r>
            <w:r>
              <w:rPr>
                <w:rFonts w:ascii="Barlow Semi Condensed" w:cs="Barlow Semi Condensed" w:eastAsia="Barlow Semi Condensed" w:hAnsi="Barlow Semi Condensed"/>
                <w:b/>
                <w:bCs/>
                <w:sz w:val="20"/>
                <w:szCs w:val="20"/>
              </w:rPr>
              <w:t xml:space="preserve">esiti negativi dichiarati</w:t>
            </w:r>
            <w:r>
              <w:rPr>
                <w:rFonts w:ascii="Barlow Semi Condensed" w:cs="Barlow Semi Condensed" w:eastAsia="Barlow Semi Condensed" w:hAnsi="Barlow Semi Condensed"/>
                <w:sz w:val="20"/>
                <w:szCs w:val="20"/>
              </w:rPr>
              <w:t xml:space="preserve"> (Fiore, Balzerani, Maccari, Etro a triangolazione vuota; nessun legame con l'attentato del 1981), cinque </w:t>
            </w:r>
            <w:r>
              <w:rPr>
                <w:rFonts w:ascii="Barlow Semi Condensed" w:cs="Barlow Semi Condensed" w:eastAsia="Barlow Semi Condensed" w:hAnsi="Barlow Semi Condensed"/>
                <w:b/>
                <w:bCs/>
                <w:sz w:val="20"/>
                <w:szCs w:val="20"/>
              </w:rPr>
              <w:t xml:space="preserve">anti-triangolazioni</w:t>
            </w:r>
            <w:r>
              <w:rPr>
                <w:rFonts w:ascii="Barlow Semi Condensed" w:cs="Barlow Semi Condensed" w:eastAsia="Barlow Semi Condensed" w:hAnsi="Barlow Semi Condensed"/>
                <w:sz w:val="20"/>
                <w:szCs w:val="20"/>
              </w:rPr>
              <w:t xml:space="preserve"> (la parentela non è canale; l'origine non è regia; la rotta non è filiazione; il canale non è complicità; il registro resta chiuso), matrice sintetica e chiusura sul confronto di metodo col Tribunale Speciale (due modi di giudicare i nemici). Nessun ponte promosso a nesso; nessun nome aggiunto al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ceppo-simioni-cpm-superclan-hyperion.md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Studio monografico del ceppo Simioni</w:t>
            </w:r>
            <w:r>
              <w:rPr>
                <w:rFonts w:ascii="Barlow Semi Condensed" w:cs="Barlow Semi Condensed" w:eastAsia="Barlow Semi Condensed" w:hAnsi="Barlow Semi Condensed"/>
                <w:sz w:val="20"/>
                <w:szCs w:val="20"/>
              </w:rPr>
              <w:t xml:space="preserve">: la discendenza CPM → Superclan → Hyperion — la «terza strada» della matrice milanese del 1969, con </w:t>
            </w:r>
            <w:r>
              <w:rPr>
                <w:rFonts w:ascii="Barlow Semi Condensed" w:cs="Barlow Semi Condensed" w:eastAsia="Barlow Semi Condensed" w:hAnsi="Barlow Semi Condensed"/>
                <w:b/>
                <w:bCs/>
                <w:sz w:val="20"/>
                <w:szCs w:val="20"/>
              </w:rPr>
              <w:t xml:space="preserve">l'esito giudiziario in testa</w:t>
            </w:r>
            <w:r>
              <w:rPr>
                <w:rFonts w:ascii="Barlow Semi Condensed" w:cs="Barlow Semi Condensed" w:eastAsia="Barlow Semi Condensed" w:hAnsi="Barlow Semi Condensed"/>
                <w:sz w:val="20"/>
                <w:szCs w:val="20"/>
              </w:rPr>
              <w:t xml:space="preserve"> (Mulinaris assolto con formula piena e risarcito con 100 milioni; Berio assolto a Roma 1989 e Venezia 1990; Simioni mai condannato). La biografia di Simioni 1934-1969 coi gradi dichiarati (Dolo 1934, gioventù socialista con Craxi, espulsione PSI 1965, Monaco, Mondadori e USIS = fatto F; il «si dice» su Radio Free Europe = riferito non accertato), la fondazione a due del CPM (8/9/1969), la scissione 1970-71 e il Superclan, la memorialistica brigatista come </w:t>
            </w:r>
            <w:r>
              <w:rPr>
                <w:rFonts w:ascii="Barlow Semi Condensed" w:cs="Barlow Semi Condensed" w:eastAsia="Barlow Semi Condensed" w:hAnsi="Barlow Semi Condensed"/>
                <w:b/>
                <w:bCs/>
                <w:sz w:val="20"/>
                <w:szCs w:val="20"/>
              </w:rPr>
              <w:t xml:space="preserve">fonte di parte</w:t>
            </w:r>
            <w:r>
              <w:rPr>
                <w:rFonts w:ascii="Barlow Semi Condensed" w:cs="Barlow Semi Condensed" w:eastAsia="Barlow Semi Condensed" w:hAnsi="Barlow Semi Condensed"/>
                <w:sz w:val="20"/>
                <w:szCs w:val="20"/>
              </w:rPr>
              <w:t xml:space="preserve"> (C), Hyperion a Parigi (divergenza 1976/1977 dichiarata), i tre percorsi giudiziari persona per persona — incluso l'</w:t>
            </w:r>
            <w:r>
              <w:rPr>
                <w:rFonts w:ascii="Barlow Semi Condensed" w:cs="Barlow Semi Condensed" w:eastAsia="Barlow Semi Condensed" w:hAnsi="Barlow Semi Condensed"/>
                <w:b/>
                <w:bCs/>
                <w:sz w:val="20"/>
                <w:szCs w:val="20"/>
              </w:rPr>
              <w:t xml:space="preserve">approccio SID del 1972 a Berio, respinto e documentato in una lettera al suocero Malagugini</w:t>
            </w:r>
            <w:r>
              <w:rPr>
                <w:rFonts w:ascii="Barlow Semi Condensed" w:cs="Barlow Semi Condensed" w:eastAsia="Barlow Semi Condensed" w:hAnsi="Barlow Semi Condensed"/>
                <w:sz w:val="20"/>
                <w:szCs w:val="20"/>
              </w:rPr>
              <w:t xml:space="preserve"> (grado B, audizione Moro 2 del 28/10/2015) — la vita francese di Simioni (Fondazione Abbé Pierre, udienza da Giovanni Paolo II 1992, † 2008), le suggestioni pesate una per una e cinque anti-triangolazioni. Il registro dei prosciolti come specchio della Fase decima: stessa disciplina personalistica, esito opposto. Il «fu assolto, ma» è bandito; nessuna tesi promossa oltre il grado C</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aldo-moro-una-guerra-senza-fine-edizione-strutturata.md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Edizione strutturata del corpus</w:t>
            </w:r>
            <w:r>
              <w:rPr>
                <w:rFonts w:ascii="Barlow Semi Condensed" w:cs="Barlow Semi Condensed" w:eastAsia="Barlow Semi Condensed" w:hAnsi="Barlow Semi Condensed"/>
                <w:sz w:val="20"/>
                <w:szCs w:val="20"/>
              </w:rPr>
              <w:t xml:space="preserve"> secondo l'architettura del Dossier maggiore dell'autore («Aldo Moro — Tutta la verità»): le </w:t>
            </w:r>
            <w:r>
              <w:rPr>
                <w:rFonts w:ascii="Barlow Semi Condensed" w:cs="Barlow Semi Condensed" w:eastAsia="Barlow Semi Condensed" w:hAnsi="Barlow Semi Condensed"/>
                <w:b/>
                <w:bCs/>
                <w:sz w:val="20"/>
                <w:szCs w:val="20"/>
              </w:rPr>
              <w:t xml:space="preserve">cinque Fasi</w:t>
            </w:r>
            <w:r>
              <w:rPr>
                <w:rFonts w:ascii="Barlow Semi Condensed" w:cs="Barlow Semi Condensed" w:eastAsia="Barlow Semi Condensed" w:hAnsi="Barlow Semi Condensed"/>
                <w:sz w:val="20"/>
                <w:szCs w:val="20"/>
              </w:rPr>
              <w:t xml:space="preserve"> coi loro sottotitoli di regime (Il metodo e l'uomo · Il perché · Il caso · Omissioni, collusioni, insabbiamenti · Architetti, mandanti, esecutori), trentadue capitoli che rimappano ogni documento del branch (compresi il Capitolo II-bis delle metodologie calcolate e il Capitolo XXX delle pene oltre confine, dichiarati come aggiunte proprie dell'edizione pubblica al blocco 1306), il tessuto dei </w:t>
            </w:r>
            <w:r>
              <w:rPr>
                <w:rFonts w:ascii="Barlow Semi Condensed" w:cs="Barlow Semi Condensed" w:eastAsia="Barlow Semi Condensed" w:hAnsi="Barlow Semi Condensed"/>
                <w:b/>
                <w:bCs/>
                <w:sz w:val="20"/>
                <w:szCs w:val="20"/>
              </w:rPr>
              <w:t xml:space="preserve">blocchi mirati</w:t>
            </w:r>
            <w:r>
              <w:rPr>
                <w:rFonts w:ascii="Barlow Semi Condensed" w:cs="Barlow Semi Condensed" w:eastAsia="Barlow Semi Condensed" w:hAnsi="Barlow Semi Condensed"/>
                <w:sz w:val="20"/>
                <w:szCs w:val="20"/>
              </w:rPr>
              <w:t xml:space="preserve"> in serie con statuto, la </w:t>
            </w:r>
            <w:r>
              <w:rPr>
                <w:rFonts w:ascii="Barlow Semi Condensed" w:cs="Barlow Semi Condensed" w:eastAsia="Barlow Semi Condensed" w:hAnsi="Barlow Semi Condensed"/>
                <w:b/>
                <w:bCs/>
                <w:sz w:val="20"/>
                <w:szCs w:val="20"/>
              </w:rPr>
              <w:t xml:space="preserve">griglia a cinque voci</w:t>
            </w:r>
            <w:r>
              <w:rPr>
                <w:rFonts w:ascii="Barlow Semi Condensed" w:cs="Barlow Semi Condensed" w:eastAsia="Barlow Semi Condensed" w:hAnsi="Barlow Semi Condensed"/>
                <w:sz w:val="20"/>
                <w:szCs w:val="20"/>
              </w:rPr>
              <w:t xml:space="preserve"> per Fase (Fonte/Falsificatore/Obiezione/Comparazione/Domanda aperta), il registro cronologico (801-812), il repertorio delle classi di fonti (1051-1056), la </w:t>
            </w:r>
            <w:r>
              <w:rPr>
                <w:rFonts w:ascii="Barlow Semi Condensed" w:cs="Barlow Semi Condensed" w:eastAsia="Barlow Semi Condensed" w:hAnsi="Barlow Semi Condensed"/>
                <w:b/>
                <w:bCs/>
                <w:sz w:val="20"/>
                <w:szCs w:val="20"/>
              </w:rPr>
              <w:t xml:space="preserve">tavola di corrispondenza col Dossier maggiore</w:t>
            </w:r>
            <w:r>
              <w:rPr>
                <w:rFonts w:ascii="Barlow Semi Condensed" w:cs="Barlow Semi Condensed" w:eastAsia="Barlow Semi Condensed" w:hAnsi="Barlow Semi Condensed"/>
                <w:sz w:val="20"/>
                <w:szCs w:val="20"/>
              </w:rPr>
              <w:t xml:space="preserve"> (1301-1305) e la bibliografia in sei sezioni. </w:t>
            </w:r>
            <w:r>
              <w:rPr>
                <w:rFonts w:ascii="Barlow Semi Condensed" w:cs="Barlow Semi Condensed" w:eastAsia="Barlow Semi Condensed" w:hAnsi="Barlow Semi Condensed"/>
                <w:b/>
                <w:bCs/>
                <w:sz w:val="20"/>
                <w:szCs w:val="20"/>
              </w:rPr>
              <w:t xml:space="preserve">Divergenza costitutiva dichiarata</w:t>
            </w:r>
            <w:r>
              <w:rPr>
                <w:rFonts w:ascii="Barlow Semi Condensed" w:cs="Barlow Semi Condensed" w:eastAsia="Barlow Semi Condensed" w:hAnsi="Barlow Semi Condensed"/>
                <w:sz w:val="20"/>
                <w:szCs w:val="20"/>
              </w:rPr>
              <w:t xml:space="preserve">: la Fase quinta pubblica non congeda il Pollo di Popper — si ferma al giudicato (i tredici del registro), non riproduce la graduatoria probabilistica né nomi oltre le sentenze; il Dossier maggiore non è archiviato sul branch perché contiene la parte che il versante pubblico per statuto non pubblica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ALDO_MORO_UNA_GUERRA_SENZA_FINE_EDIZIONE_STRUTTURATA.docx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.pdf`](ALDO_MORO_UNA_GUERRA_SENZA_FINE_EDIZIONE_STRUTTURATA.pdf) (13 pagine)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Volume rilegato .docx dell'edizione strutturata (frontespizio, indice esteso ai capitoli, Barlow Semi Condensed 12, testo interamente giustificato). Verificato strutturalmente (9 H1 = le cinque Fasi più servizio e bibliografia; 32 capitoli)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metodologie-del-dossier-sinaptogenesi-e-strumenti.md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Le metodologie del Dossier maggiore applicate al corpus, con calcolo reale</w:t>
            </w:r>
            <w:r>
              <w:rPr>
                <w:rFonts w:ascii="Barlow Semi Condensed" w:cs="Barlow Semi Condensed" w:eastAsia="Barlow Semi Condensed" w:hAnsi="Barlow Semi Condensed"/>
                <w:sz w:val="20"/>
                <w:szCs w:val="20"/>
              </w:rPr>
              <w:t xml:space="preserve">: la </w:t>
            </w:r>
            <w:r>
              <w:rPr>
                <w:rFonts w:ascii="Barlow Semi Condensed" w:cs="Barlow Semi Condensed" w:eastAsia="Barlow Semi Condensed" w:hAnsi="Barlow Semi Condensed"/>
                <w:b/>
                <w:bCs/>
                <w:sz w:val="20"/>
                <w:szCs w:val="20"/>
              </w:rPr>
              <w:t xml:space="preserve">sinaptogenesi</w:t>
            </w:r>
            <w:r>
              <w:rPr>
                <w:rFonts w:ascii="Barlow Semi Condensed" w:cs="Barlow Semi Condensed" w:eastAsia="Barlow Semi Condensed" w:hAnsi="Barlow Semi Condensed"/>
                <w:sz w:val="20"/>
                <w:szCs w:val="20"/>
              </w:rPr>
              <w:t xml:space="preserve"> — il grafo dei soli legami documentati (39 nodi, 59 archi: 28 A, 26 F, 5 B) con le centralità di Freeman calcolate (Brandes) e il risultato analitico che il </w:t>
            </w:r>
            <w:r>
              <w:rPr>
                <w:rFonts w:ascii="Barlow Semi Condensed" w:cs="Barlow Semi Condensed" w:eastAsia="Barlow Semi Condensed" w:hAnsi="Barlow Semi Condensed"/>
                <w:b/>
                <w:bCs/>
                <w:sz w:val="20"/>
                <w:szCs w:val="20"/>
              </w:rPr>
              <w:t xml:space="preserve">CPM è il ponte quantitativo fra i mondi</w:t>
            </w:r>
            <w:r>
              <w:rPr>
                <w:rFonts w:ascii="Barlow Semi Condensed" w:cs="Barlow Semi Condensed" w:eastAsia="Barlow Semi Condensed" w:hAnsi="Barlow Semi Condensed"/>
                <w:sz w:val="20"/>
                <w:szCs w:val="20"/>
              </w:rPr>
              <w:t xml:space="preserve"> (betweenness 241, seconda dell'intera rete); due regole formalizzate — la </w:t>
            </w:r>
            <w:r>
              <w:rPr>
                <w:rFonts w:ascii="Barlow Semi Condensed" w:cs="Barlow Semi Condensed" w:eastAsia="Barlow Semi Condensed" w:hAnsi="Barlow Semi Condensed"/>
                <w:b/>
                <w:bCs/>
                <w:sz w:val="20"/>
                <w:szCs w:val="20"/>
              </w:rPr>
              <w:t xml:space="preserve">regola dell'anello debole</w:t>
            </w:r>
            <w:r>
              <w:rPr>
                <w:rFonts w:ascii="Barlow Semi Condensed" w:cs="Barlow Semi Condensed" w:eastAsia="Barlow Semi Condensed" w:hAnsi="Barlow Semi Condensed"/>
                <w:sz w:val="20"/>
                <w:szCs w:val="20"/>
              </w:rPr>
              <w:t xml:space="preserve"> (il grado di un cammino = il minimo dei suoi archi: il cammino documentato Hyperion→via Fani passa per la genealogia del 1969 ed è di grado F, dunque non sostiene inferenze operative) e la </w:t>
            </w:r>
            <w:r>
              <w:rPr>
                <w:rFonts w:ascii="Barlow Semi Condensed" w:cs="Barlow Semi Condensed" w:eastAsia="Barlow Semi Condensed" w:hAnsi="Barlow Semi Condensed"/>
                <w:b/>
                <w:bCs/>
                <w:sz w:val="20"/>
                <w:szCs w:val="20"/>
              </w:rPr>
              <w:t xml:space="preserve">regola dei buchi</w:t>
            </w:r>
            <w:r>
              <w:rPr>
                <w:rFonts w:ascii="Barlow Semi Condensed" w:cs="Barlow Semi Condensed" w:eastAsia="Barlow Semi Condensed" w:hAnsi="Barlow Semi Condensed"/>
                <w:sz w:val="20"/>
                <w:szCs w:val="20"/>
              </w:rPr>
              <w:t xml:space="preserve"> (Burt: la dietrologia riempie i buchi con la narrazione, il corpus li misura e li dichiara); i </w:t>
            </w:r>
            <w:r>
              <w:rPr>
                <w:rFonts w:ascii="Barlow Semi Condensed" w:cs="Barlow Semi Condensed" w:eastAsia="Barlow Semi Condensed" w:hAnsi="Barlow Semi Condensed"/>
                <w:b/>
                <w:bCs/>
                <w:sz w:val="20"/>
                <w:szCs w:val="20"/>
              </w:rPr>
              <w:t xml:space="preserve">dieci mondi</w:t>
            </w:r>
            <w:r>
              <w:rPr>
                <w:rFonts w:ascii="Barlow Semi Condensed" w:cs="Barlow Semi Condensed" w:eastAsia="Barlow Semi Condensed" w:hAnsi="Barlow Semi Condensed"/>
                <w:sz w:val="20"/>
                <w:szCs w:val="20"/>
              </w:rPr>
              <w:t xml:space="preserve"> multistrato (Kivelä) con la regola che un nodo può abitarne più d'uno senza che i mondi si trasmettano nulla; l'</w:t>
            </w:r>
            <w:r>
              <w:rPr>
                <w:rFonts w:ascii="Barlow Semi Condensed" w:cs="Barlow Semi Condensed" w:eastAsia="Barlow Semi Condensed" w:hAnsi="Barlow Semi Condensed"/>
                <w:b/>
                <w:bCs/>
                <w:sz w:val="20"/>
                <w:szCs w:val="20"/>
              </w:rPr>
              <w:t xml:space="preserve">ACH di Heuer</w:t>
            </w:r>
            <w:r>
              <w:rPr>
                <w:rFonts w:ascii="Barlow Semi Condensed" w:cs="Barlow Semi Condensed" w:eastAsia="Barlow Semi Condensed" w:hAnsi="Barlow Semi Condensed"/>
                <w:sz w:val="20"/>
                <w:szCs w:val="20"/>
              </w:rPr>
              <w:t xml:space="preserve"> su due quesiti impersonali (Gradoli: nessuna evidenza diagnostica, indecidibile allo stato degli atti; le due moto: i colpi verso Marini come unica evidenza diagnostica, di grado B — H3 la meno incoerente ma non accertata, perizia balistica come evidenza discriminante mancante), senza probabilità numeriche; il paradigma indiziario (Ginzburg) e la consilienza (Whewell/Wilson) col guardrail «mai oltre il grado della linea più debole»; l'</w:t>
            </w:r>
            <w:r>
              <w:rPr>
                <w:rFonts w:ascii="Barlow Semi Condensed" w:cs="Barlow Semi Condensed" w:eastAsia="Barlow Semi Condensed" w:hAnsi="Barlow Semi Condensed"/>
                <w:b/>
                <w:bCs/>
                <w:sz w:val="20"/>
                <w:szCs w:val="20"/>
              </w:rPr>
              <w:t xml:space="preserve">auto-misurazione del branch</w:t>
            </w:r>
            <w:r>
              <w:rPr>
                <w:rFonts w:ascii="Barlow Semi Condensed" w:cs="Barlow Semi Condensed" w:eastAsia="Barlow Semi Condensed" w:hAnsi="Barlow Semi Condensed"/>
                <w:sz w:val="20"/>
                <w:szCs w:val="20"/>
              </w:rPr>
              <w:t xml:space="preserve"> (36 documenti, 104.504 parole, 9 volumi, 2 html; 14 criteri di smentita, 29 anti-triangolazioni, 62 esiti negativi censiti); la </w:t>
            </w:r>
            <w:r>
              <w:rPr>
                <w:rFonts w:ascii="Barlow Semi Condensed" w:cs="Barlow Semi Condensed" w:eastAsia="Barlow Semi Condensed" w:hAnsi="Barlow Semi Condensed"/>
                <w:b/>
                <w:bCs/>
                <w:sz w:val="20"/>
                <w:szCs w:val="20"/>
              </w:rPr>
              <w:t xml:space="preserve">tavola percentuale del documentato esclusa la componente BR</w:t>
            </w:r>
            <w:r>
              <w:rPr>
                <w:rFonts w:ascii="Barlow Semi Condensed" w:cs="Barlow Semi Condensed" w:eastAsia="Barlow Semi Condensed" w:hAnsi="Barlow Semi Condensed"/>
                <w:sz w:val="20"/>
                <w:szCs w:val="20"/>
              </w:rPr>
              <w:t xml:space="preserve"> (§6-bis: quote di centralità normalizzate a 100 — CPM 24,7%, Simioni 22,5%, Hyperion 12,5% — e quote di grado, col risultato dirimente che il comparto non-BR è F 82,4% · B 17,6% · </w:t>
            </w:r>
            <w:r>
              <w:rPr>
                <w:rFonts w:ascii="Barlow Semi Condensed" w:cs="Barlow Semi Condensed" w:eastAsia="Barlow Semi Condensed" w:hAnsi="Barlow Semi Condensed"/>
                <w:b/>
                <w:bCs/>
                <w:sz w:val="20"/>
                <w:szCs w:val="20"/>
              </w:rPr>
              <w:t xml:space="preserve">A 0,0%</w:t>
            </w:r>
            <w:r>
              <w:rPr>
                <w:rFonts w:ascii="Barlow Semi Condensed" w:cs="Barlow Semi Condensed" w:eastAsia="Barlow Semi Condensed" w:hAnsi="Barlow Semi Condensed"/>
                <w:sz w:val="20"/>
                <w:szCs w:val="20"/>
              </w:rPr>
              <w:t xml:space="preserve">: fuori dalla componente BR non esiste un solo arco di giudicato, ed è la dimostrazione quantitativa del perché la graduatoria percentuale di responsabilità dei piani superiori non può esistere sul branch pubblico). Nessuna metrica misura colpe: misura documenti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le-pene-oltre-confine-mitterrand-mulinaris.md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Studio sulle pene oltre confine</w:t>
            </w:r>
            <w:r>
              <w:rPr>
                <w:rFonts w:ascii="Barlow Semi Condensed" w:cs="Barlow Semi Condensed" w:eastAsia="Barlow Semi Condensed" w:hAnsi="Barlow Semi Condensed"/>
                <w:sz w:val="20"/>
                <w:szCs w:val="20"/>
              </w:rPr>
              <w:t xml:space="preserve"> — il ponte fra la Fase decima e la dimensione diplomatica: il quesito (il giudicato accerta ovunque, dispone fino alla frontiera); l'</w:t>
            </w:r>
            <w:r>
              <w:rPr>
                <w:rFonts w:ascii="Barlow Semi Condensed" w:cs="Barlow Semi Condensed" w:eastAsia="Barlow Semi Condensed" w:hAnsi="Barlow Semi Condensed"/>
                <w:b/>
                <w:bCs/>
                <w:sz w:val="20"/>
                <w:szCs w:val="20"/>
              </w:rPr>
              <w:t xml:space="preserve">affaire Mulinaris 1982-1986</w:t>
            </w:r>
            <w:r>
              <w:rPr>
                <w:rFonts w:ascii="Barlow Semi Condensed" w:cs="Barlow Semi Condensed" w:eastAsia="Barlow Semi Condensed" w:hAnsi="Barlow Semi Condensed"/>
                <w:sz w:val="20"/>
                <w:szCs w:val="20"/>
              </w:rPr>
              <w:t xml:space="preserve"> come caso diplomatico franco-italiano e rovescio della macchina (l'innocente assolto con formula piena e risarcito; la conferenza stampa dell'Abbé Pierre, Roma 22/6/1984; lo studio accademico su Matériaux 2015); la </w:t>
            </w:r>
            <w:r>
              <w:rPr>
                <w:rFonts w:ascii="Barlow Semi Condensed" w:cs="Barlow Semi Condensed" w:eastAsia="Barlow Semi Condensed" w:hAnsi="Barlow Semi Condensed"/>
                <w:b/>
                <w:bCs/>
                <w:sz w:val="20"/>
                <w:szCs w:val="20"/>
              </w:rPr>
              <w:t xml:space="preserve">dottrina Mitterrand</w:t>
            </w:r>
            <w:r>
              <w:rPr>
                <w:rFonts w:ascii="Barlow Semi Condensed" w:cs="Barlow Semi Condensed" w:eastAsia="Barlow Semi Condensed" w:hAnsi="Barlow Semi Condensed"/>
                <w:sz w:val="20"/>
                <w:szCs w:val="20"/>
              </w:rPr>
              <w:t xml:space="preserve"> (21/4/1985, 65° congresso LDH) coi suoi tre caratteri — parola mai scritta, condizioni giudicate dal protettore, scudo sull'esecuzione e non sull'accertamento; le </w:t>
            </w:r>
            <w:r>
              <w:rPr>
                <w:rFonts w:ascii="Barlow Semi Condensed" w:cs="Barlow Semi Condensed" w:eastAsia="Barlow Semi Condensed" w:hAnsi="Barlow Semi Condensed"/>
                <w:b/>
                <w:bCs/>
                <w:sz w:val="20"/>
                <w:szCs w:val="20"/>
              </w:rPr>
              <w:t xml:space="preserve">tre geografie del registro</w:t>
            </w:r>
            <w:r>
              <w:rPr>
                <w:rFonts w:ascii="Barlow Semi Condensed" w:cs="Barlow Semi Condensed" w:eastAsia="Barlow Semi Condensed" w:hAnsi="Barlow Semi Condensed"/>
                <w:sz w:val="20"/>
                <w:szCs w:val="20"/>
              </w:rPr>
              <w:t xml:space="preserve"> (Nicaragua/Casimirri, Svizzera/Lojacono, Francia come cornice) col contro-caso egiziano (Algranati, Cairo 2004); l'epilogo </w:t>
            </w:r>
            <w:r>
              <w:rPr>
                <w:rFonts w:ascii="Barlow Semi Condensed" w:cs="Barlow Semi Condensed" w:eastAsia="Barlow Semi Condensed" w:hAnsi="Barlow Semi Condensed"/>
                <w:b/>
                <w:bCs/>
                <w:sz w:val="20"/>
                <w:szCs w:val="20"/>
              </w:rPr>
              <w:t xml:space="preserve">«Ombre rosse»</w:t>
            </w:r>
            <w:r>
              <w:rPr>
                <w:rFonts w:ascii="Barlow Semi Condensed" w:cs="Barlow Semi Condensed" w:eastAsia="Barlow Semi Condensed" w:hAnsi="Barlow Semi Condensed"/>
                <w:sz w:val="20"/>
                <w:szCs w:val="20"/>
              </w:rPr>
              <w:t xml:space="preserve"> (28/4/2021, sette arresti a Parigi) e il </w:t>
            </w:r>
            <w:r>
              <w:rPr>
                <w:rFonts w:ascii="Barlow Semi Condensed" w:cs="Barlow Semi Condensed" w:eastAsia="Barlow Semi Condensed" w:hAnsi="Barlow Semi Condensed"/>
                <w:b/>
                <w:bCs/>
                <w:sz w:val="20"/>
                <w:szCs w:val="20"/>
              </w:rPr>
              <w:t xml:space="preserve">no definitivo della Cassazione francese</w:t>
            </w:r>
            <w:r>
              <w:rPr>
                <w:rFonts w:ascii="Barlow Semi Condensed" w:cs="Barlow Semi Condensed" w:eastAsia="Barlow Semi Condensed" w:hAnsi="Barlow Semi Condensed"/>
                <w:sz w:val="20"/>
                <w:szCs w:val="20"/>
              </w:rPr>
              <w:t xml:space="preserve"> (marzo 2023) — che non tocca il registro del caso Moro: nessuno dei dieci vi appartiene, e i loro nomi restano fuori. Cinque presidi: l'asilo è atto di chi lo concede; la dottrina non è prova; le sentenze non hanno passaporto, l'esecuzione sì; la geografia non è gerarchia morale; nessun nome oltre il necessario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programma-investigativo-caso-moro.md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fascicolo aperto — programma investigativo del corpus</w:t>
            </w:r>
            <w:r>
              <w:rPr>
                <w:rFonts w:ascii="Barlow Semi Condensed" w:cs="Barlow Semi Condensed" w:eastAsia="Barlow Semi Condensed" w:hAnsi="Barlow Semi Condensed"/>
                <w:sz w:val="20"/>
                <w:szCs w:val="20"/>
              </w:rPr>
              <w:t xml:space="preserve">: il cambio di metodo dallo storico all'investigatore, a regime di prova invariato (l'indagine produce atti, non colpevoli). Il quadro operativo reale verificato: il </w:t>
            </w:r>
            <w:r>
              <w:rPr>
                <w:rFonts w:ascii="Barlow Semi Condensed" w:cs="Barlow Semi Condensed" w:eastAsia="Barlow Semi Condensed" w:hAnsi="Barlow Semi Condensed"/>
                <w:b/>
                <w:bCs/>
                <w:sz w:val="20"/>
                <w:szCs w:val="20"/>
              </w:rPr>
              <w:t xml:space="preserve">fascicolo ancora aperto a Roma</w:t>
            </w:r>
            <w:r>
              <w:rPr>
                <w:rFonts w:ascii="Barlow Semi Condensed" w:cs="Barlow Semi Condensed" w:eastAsia="Barlow Semi Condensed" w:hAnsi="Barlow Semi Condensed"/>
                <w:sz w:val="20"/>
                <w:szCs w:val="20"/>
              </w:rPr>
              <w:t xml:space="preserve"> sulle «terze presenze» di via Fani (proroga del GIP; perizie balistiche; comparazioni col </w:t>
            </w:r>
            <w:r>
              <w:rPr>
                <w:rFonts w:ascii="Barlow Semi Condensed" w:cs="Barlow Semi Condensed" w:eastAsia="Barlow Semi Condensed" w:hAnsi="Barlow Semi Condensed"/>
                <w:b/>
                <w:bCs/>
                <w:sz w:val="20"/>
                <w:szCs w:val="20"/>
              </w:rPr>
              <w:t xml:space="preserve">DNA estratto nel 2016</w:t>
            </w:r>
            <w:r>
              <w:rPr>
                <w:rFonts w:ascii="Barlow Semi Condensed" w:cs="Barlow Semi Condensed" w:eastAsia="Barlow Semi Condensed" w:hAnsi="Barlow Semi Condensed"/>
                <w:sz w:val="20"/>
                <w:szCs w:val="20"/>
              </w:rPr>
              <w:t xml:space="preserve"> dai mozziconi dell'auto-sbarramento e di via Gradoli; il caricatore di via Stresa) e la </w:t>
            </w:r>
            <w:r>
              <w:rPr>
                <w:rFonts w:ascii="Barlow Semi Condensed" w:cs="Barlow Semi Condensed" w:eastAsia="Barlow Semi Condensed" w:hAnsi="Barlow Semi Condensed"/>
                <w:b/>
                <w:bCs/>
                <w:sz w:val="20"/>
                <w:szCs w:val="20"/>
              </w:rPr>
              <w:t xml:space="preserve">Direttiva Renzi</w:t>
            </w:r>
            <w:r>
              <w:rPr>
                <w:rFonts w:ascii="Barlow Semi Condensed" w:cs="Barlow Semi Condensed" w:eastAsia="Barlow Semi Condensed" w:hAnsi="Barlow Semi Condensed"/>
                <w:sz w:val="20"/>
                <w:szCs w:val="20"/>
              </w:rPr>
              <w:t xml:space="preserve"> (22/4/2014, estesa al caso Moro il 2/12/2014: ~2.000 buste da 156 uffici versate all'ACS). </w:t>
            </w:r>
            <w:r>
              <w:rPr>
                <w:rFonts w:ascii="Barlow Semi Condensed" w:cs="Barlow Semi Condensed" w:eastAsia="Barlow Semi Condensed" w:hAnsi="Barlow Semi Condensed"/>
                <w:b/>
                <w:bCs/>
                <w:sz w:val="20"/>
                <w:szCs w:val="20"/>
              </w:rPr>
              <w:t xml:space="preserve">Dieci piste in formato operativo</w:t>
            </w:r>
            <w:r>
              <w:rPr>
                <w:rFonts w:ascii="Barlow Semi Condensed" w:cs="Barlow Semi Condensed" w:eastAsia="Barlow Semi Condensed" w:hAnsi="Barlow Semi Condensed"/>
                <w:sz w:val="20"/>
                <w:szCs w:val="20"/>
              </w:rPr>
              <w:t xml:space="preserve"> (oggetto · stato · atto istruttorio · sede · rendimento · criterio di chiusura): dalle terze presenze al caricatore, dalla fonte della «seduta spiritica» allo spoglio del fondo Renzi, dai testimoni viventi (l'urgenza massima: il tempo li sta chiudendo) alla </w:t>
            </w:r>
            <w:r>
              <w:rPr>
                <w:rFonts w:ascii="Barlow Semi Condensed" w:cs="Barlow Semi Condensed" w:eastAsia="Barlow Semi Condensed" w:hAnsi="Barlow Semi Condensed"/>
                <w:b/>
                <w:bCs/>
                <w:sz w:val="20"/>
                <w:szCs w:val="20"/>
              </w:rPr>
              <w:t xml:space="preserve">rogatoria conoscitiva a Casimirri</w:t>
            </w:r>
            <w:r>
              <w:rPr>
                <w:rFonts w:ascii="Barlow Semi Condensed" w:cs="Barlow Semi Condensed" w:eastAsia="Barlow Semi Condensed" w:hAnsi="Barlow Semi Condensed"/>
                <w:sz w:val="20"/>
                <w:szCs w:val="20"/>
              </w:rPr>
              <w:t xml:space="preserve"> (l'unico partecipante identificato mai interrogato), fino agli archivi che si apriranno e al </w:t>
            </w:r>
            <w:r>
              <w:rPr>
                <w:rFonts w:ascii="Barlow Semi Condensed" w:cs="Barlow Semi Condensed" w:eastAsia="Barlow Semi Condensed" w:hAnsi="Barlow Semi Condensed"/>
                <w:b/>
                <w:bCs/>
                <w:sz w:val="20"/>
                <w:szCs w:val="20"/>
              </w:rPr>
              <w:t xml:space="preserve">vaglio negativo</w:t>
            </w:r>
            <w:r>
              <w:rPr>
                <w:rFonts w:ascii="Barlow Semi Condensed" w:cs="Barlow Semi Condensed" w:eastAsia="Barlow Semi Condensed" w:hAnsi="Barlow Semi Condensed"/>
                <w:sz w:val="20"/>
                <w:szCs w:val="20"/>
              </w:rPr>
              <w:t xml:space="preserve"> delle piste da archiviare (seconda prigione; nessi Hyperion-caso, riapribili solo per documento primario nuovo). Matrice delle priorità falsificabile; su direttiva dell'autore, il capitolo III-bis aggiunge la </w:t>
            </w:r>
            <w:r>
              <w:rPr>
                <w:rFonts w:ascii="Barlow Semi Condensed" w:cs="Barlow Semi Condensed" w:eastAsia="Barlow Semi Condensed" w:hAnsi="Barlow Semi Condensed"/>
                <w:b/>
                <w:bCs/>
                <w:sz w:val="20"/>
                <w:szCs w:val="20"/>
              </w:rPr>
              <w:t xml:space="preserve">graduatoria a punteggio (0,1-100) delle piste escluso il comparto BR e Superclan</w:t>
            </w:r>
            <w:r>
              <w:rPr>
                <w:rFonts w:ascii="Barlow Semi Condensed" w:cs="Barlow Semi Condensed" w:eastAsia="Barlow Semi Condensed" w:hAnsi="Barlow Semi Condensed"/>
                <w:sz w:val="20"/>
                <w:szCs w:val="20"/>
              </w:rPr>
              <w:t xml:space="preserve">, con modello MCDA dichiarato (cinque criteri pesati: rendimento 30%, diagnosticità ACH 25%, fattibilità 20%, urgenza 15%, indipendenza 10%) — in testa le terze presenze di via Fani (89,0), i testimoni viventi (77,5, l'unico 10 di urgenza), la fonte di «Gradoli» (74,5), il caricatore di via Stresa (71,0); le piste escluse per direttiva al punteggio di soglia 0,1 (riapribili solo per documento primario nuovo). I punteggi ordinano atti istruttori, mai persone. Il capitolo III-ter estende il metodo alle </w:t>
            </w:r>
            <w:r>
              <w:rPr>
                <w:rFonts w:ascii="Barlow Semi Condensed" w:cs="Barlow Semi Condensed" w:eastAsia="Barlow Semi Condensed" w:hAnsi="Barlow Semi Condensed"/>
                <w:b/>
                <w:bCs/>
                <w:sz w:val="20"/>
                <w:szCs w:val="20"/>
              </w:rPr>
              <w:t xml:space="preserve">entità e strutture</w:t>
            </w:r>
            <w:r>
              <w:rPr>
                <w:rFonts w:ascii="Barlow Semi Condensed" w:cs="Barlow Semi Condensed" w:eastAsia="Barlow Semi Condensed" w:hAnsi="Barlow Semi Condensed"/>
                <w:sz w:val="20"/>
                <w:szCs w:val="20"/>
              </w:rPr>
              <w:t xml:space="preserve"> (escluse BR e Superclan, alla soglia 0,1): sei piste con punteggio e fondamenti verificati — il comitato del Viminale e il censimento nominale delle appartenenze P2 (74,5; Santovito tessera 1630 e Grassini documentati; la tesi del «interamente composto» da verificare, non da ripetere), la catena di comando del 18 marzo a via Gradoli (74,5; la squadra Merola, il campanello dell'interno 11, la nota dell'informatrice Mokbel), gli assetti proprietari dello stabile (67,5; 24 appartamenti su 66 di società con fiduciari dei servizi, da relazione Moro 2), il registro delle segnalazioni dei 55 giorni (61,0), il traffico di cablo degli alleati via FOIA (59,5), la mediazione vaticana e la sorte del riscatto (54,0; Curioni, i ~10 miliardi, il finanziatore Flatto-Sharon da accertamento Moro 2). Ogni pista ha per esito un documento, non un colpevole; la responsabilità istituzionale non si trasmette alle persone; le appartenenze accertate restano fatti, non condotte. La consilienza notevole: l'evidenza discriminante indicata dall'ACH del corpus (la balistica delle due moto) è esattamente ciò su cui il fascicolo reale sta lavorando. Cinque presidi: nessun nome come esito atteso; il corpus è contribuente di metodo, non tribunale parallelo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approfondimento-piste-di-testa.md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Approfondimento delle quattro piste sopra i 70 punti</w:t>
            </w:r>
            <w:r>
              <w:rPr>
                <w:rFonts w:ascii="Barlow Semi Condensed" w:cs="Barlow Semi Condensed" w:eastAsia="Barlow Semi Condensed" w:hAnsi="Barlow Semi Condensed"/>
                <w:sz w:val="20"/>
                <w:szCs w:val="20"/>
              </w:rPr>
              <w:t xml:space="preserve">, in formato scheda da cold case, con la </w:t>
            </w:r>
            <w:r>
              <w:rPr>
                <w:rFonts w:ascii="Barlow Semi Condensed" w:cs="Barlow Semi Condensed" w:eastAsia="Barlow Semi Condensed" w:hAnsi="Barlow Semi Condensed"/>
                <w:b/>
                <w:bCs/>
                <w:sz w:val="20"/>
                <w:szCs w:val="20"/>
              </w:rPr>
              <w:t xml:space="preserve">Nota di revisione n. 1 del corpus</w:t>
            </w:r>
            <w:r>
              <w:rPr>
                <w:rFonts w:ascii="Barlow Semi Condensed" w:cs="Barlow Semi Condensed" w:eastAsia="Barlow Semi Condensed" w:hAnsi="Barlow Semi Condensed"/>
                <w:sz w:val="20"/>
                <w:szCs w:val="20"/>
              </w:rPr>
              <w:t xml:space="preserve">: la verifica ha accertato che </w:t>
            </w:r>
            <w:r>
              <w:rPr>
                <w:rFonts w:ascii="Barlow Semi Condensed" w:cs="Barlow Semi Condensed" w:eastAsia="Barlow Semi Condensed" w:hAnsi="Barlow Semi Condensed"/>
                <w:b/>
                <w:bCs/>
                <w:sz w:val="20"/>
                <w:szCs w:val="20"/>
              </w:rPr>
              <w:t xml:space="preserve">Marini ritrattò davanti alla Moro 2</w:t>
            </w:r>
            <w:r>
              <w:rPr>
                <w:rFonts w:ascii="Barlow Semi Condensed" w:cs="Barlow Semi Condensed" w:eastAsia="Barlow Semi Condensed" w:hAnsi="Barlow Semi Condensed"/>
                <w:sz w:val="20"/>
                <w:szCs w:val="20"/>
              </w:rPr>
              <w:t xml:space="preserve"> la circostanza del parabrezza infranto dai colpi (rotto da giorni, rattoppato, come da foto del mattino stesso) → la riga E2 della matrice ACH retrocessa da diagnostica a controversa, con annotazione nel documento delle metodologie: </w:t>
            </w:r>
            <w:r>
              <w:rPr>
                <w:rFonts w:ascii="Barlow Semi Condensed" w:cs="Barlow Semi Condensed" w:eastAsia="Barlow Semi Condensed" w:hAnsi="Barlow Semi Condensed"/>
                <w:i/>
                <w:iCs/>
                <w:sz w:val="20"/>
                <w:szCs w:val="20"/>
              </w:rPr>
              <w:t xml:space="preserve">a decidere sono i reperti, non i ricordi</w:t>
            </w:r>
            <w:r>
              <w:rPr>
                <w:rFonts w:ascii="Barlow Semi Condensed" w:cs="Barlow Semi Condensed" w:eastAsia="Barlow Semi Condensed" w:hAnsi="Barlow Semi Condensed"/>
                <w:sz w:val="20"/>
                <w:szCs w:val="20"/>
              </w:rPr>
              <w:t xml:space="preserve">. Le schede: </w:t>
            </w:r>
            <w:r>
              <w:rPr>
                <w:rFonts w:ascii="Barlow Semi Condensed" w:cs="Barlow Semi Condensed" w:eastAsia="Barlow Semi Condensed" w:hAnsi="Barlow Semi Condensed"/>
                <w:b/>
                <w:bCs/>
                <w:sz w:val="20"/>
                <w:szCs w:val="20"/>
              </w:rPr>
              <w:t xml:space="preserve">PN-1</w:t>
            </w:r>
            <w:r>
              <w:rPr>
                <w:rFonts w:ascii="Barlow Semi Condensed" w:cs="Barlow Semi Condensed" w:eastAsia="Barlow Semi Condensed" w:hAnsi="Barlow Semi Condensed"/>
                <w:sz w:val="20"/>
                <w:szCs w:val="20"/>
              </w:rPr>
              <w:t xml:space="preserve"> — i 91 bossoli e la divergenza peritale (ripartizione storica 49+22+5+3+8 confermata dalla perizia 2015, non confermata da Salza-Benedetti anni '90) come vero quesito, con perizia di sintesi e catena di custodia preliminare; </w:t>
            </w:r>
            <w:r>
              <w:rPr>
                <w:rFonts w:ascii="Barlow Semi Condensed" w:cs="Barlow Semi Condensed" w:eastAsia="Barlow Semi Condensed" w:hAnsi="Barlow Semi Condensed"/>
                <w:b/>
                <w:bCs/>
                <w:sz w:val="20"/>
                <w:szCs w:val="20"/>
              </w:rPr>
              <w:t xml:space="preserve">PN-7</w:t>
            </w:r>
            <w:r>
              <w:rPr>
                <w:rFonts w:ascii="Barlow Semi Condensed" w:cs="Barlow Semi Condensed" w:eastAsia="Barlow Semi Condensed" w:hAnsi="Barlow Semi Condensed"/>
                <w:sz w:val="20"/>
                <w:szCs w:val="20"/>
              </w:rPr>
              <w:t xml:space="preserve"> — la raccolta conservativa in contraddittorio documentale (il caso Marini prova che la ri-escussione serve a </w:t>
            </w:r>
            <w:r>
              <w:rPr>
                <w:rFonts w:ascii="Barlow Semi Condensed" w:cs="Barlow Semi Condensed" w:eastAsia="Barlow Semi Condensed" w:hAnsi="Barlow Semi Condensed"/>
                <w:i/>
                <w:iCs/>
                <w:sz w:val="20"/>
                <w:szCs w:val="20"/>
              </w:rPr>
              <w:t xml:space="preserve">correggere</w:t>
            </w:r>
            <w:r>
              <w:rPr>
                <w:rFonts w:ascii="Barlow Semi Condensed" w:cs="Barlow Semi Condensed" w:eastAsia="Barlow Semi Condensed" w:hAnsi="Barlow Semi Condensed"/>
                <w:sz w:val="20"/>
                <w:szCs w:val="20"/>
              </w:rPr>
              <w:t xml:space="preserve">; il caso De Chiara che il giacimento era inesplorato); </w:t>
            </w:r>
            <w:r>
              <w:rPr>
                <w:rFonts w:ascii="Barlow Semi Condensed" w:cs="Barlow Semi Condensed" w:eastAsia="Barlow Semi Condensed" w:hAnsi="Barlow Semi Condensed"/>
                <w:b/>
                <w:bCs/>
                <w:sz w:val="20"/>
                <w:szCs w:val="20"/>
              </w:rPr>
              <w:t xml:space="preserve">PN-4</w:t>
            </w:r>
            <w:r>
              <w:rPr>
                <w:rFonts w:ascii="Barlow Semi Condensed" w:cs="Barlow Semi Condensed" w:eastAsia="Barlow Semi Condensed" w:hAnsi="Barlow Semi Condensed"/>
                <w:sz w:val="20"/>
                <w:szCs w:val="20"/>
              </w:rPr>
              <w:t xml:space="preserve"> — la seduta di Zappolino (2/4/1978, dodici partecipanti concordi davanti alle autorità) e l'atto che cambia strategia: cercare la </w:t>
            </w:r>
            <w:r>
              <w:rPr>
                <w:rFonts w:ascii="Barlow Semi Condensed" w:cs="Barlow Semi Condensed" w:eastAsia="Barlow Semi Condensed" w:hAnsi="Barlow Semi Condensed"/>
                <w:b/>
                <w:bCs/>
                <w:sz w:val="20"/>
                <w:szCs w:val="20"/>
              </w:rPr>
              <w:t xml:space="preserve">catena documentale</w:t>
            </w:r>
            <w:r>
              <w:rPr>
                <w:rFonts w:ascii="Barlow Semi Condensed" w:cs="Barlow Semi Condensed" w:eastAsia="Barlow Semi Condensed" w:hAnsi="Barlow Semi Condensed"/>
                <w:sz w:val="20"/>
                <w:szCs w:val="20"/>
              </w:rPr>
              <w:t xml:space="preserve"> (verbalizzazione, ordine di perquisizione del paese di Gradoli, carteggio Viminale) e non la fonte; </w:t>
            </w:r>
            <w:r>
              <w:rPr>
                <w:rFonts w:ascii="Barlow Semi Condensed" w:cs="Barlow Semi Condensed" w:eastAsia="Barlow Semi Condensed" w:hAnsi="Barlow Semi Condensed"/>
                <w:b/>
                <w:bCs/>
                <w:sz w:val="20"/>
                <w:szCs w:val="20"/>
              </w:rPr>
              <w:t xml:space="preserve">PN-2</w:t>
            </w:r>
            <w:r>
              <w:rPr>
                <w:rFonts w:ascii="Barlow Semi Condensed" w:cs="Barlow Semi Condensed" w:eastAsia="Barlow Semi Condensed" w:hAnsi="Barlow Semi Condensed"/>
                <w:sz w:val="20"/>
                <w:szCs w:val="20"/>
              </w:rPr>
              <w:t xml:space="preserve"> — il caricatore come reperto-principe (non ritratta, non viene minacciato). Nessuna insinuazione verso alcuna persona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approfondimento-piste-entita.md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Approfondimento integrale delle sei piste su entità e strutture (PE-1…PE-6)</w:t>
            </w:r>
            <w:r>
              <w:rPr>
                <w:rFonts w:ascii="Barlow Semi Condensed" w:cs="Barlow Semi Condensed" w:eastAsia="Barlow Semi Condensed" w:hAnsi="Barlow Semi Condensed"/>
                <w:sz w:val="20"/>
                <w:szCs w:val="20"/>
              </w:rPr>
              <w:t xml:space="preserve">, in formato scheda. </w:t>
            </w:r>
            <w:r>
              <w:rPr>
                <w:rFonts w:ascii="Barlow Semi Condensed" w:cs="Barlow Semi Condensed" w:eastAsia="Barlow Semi Condensed" w:hAnsi="Barlow Semi Condensed"/>
                <w:b/>
                <w:bCs/>
                <w:sz w:val="20"/>
                <w:szCs w:val="20"/>
              </w:rPr>
              <w:t xml:space="preserve">PE-1</w:t>
            </w:r>
            <w:r>
              <w:rPr>
                <w:rFonts w:ascii="Barlow Semi Condensed" w:cs="Barlow Semi Condensed" w:eastAsia="Barlow Semi Condensed" w:hAnsi="Barlow Semi Condensed"/>
                <w:sz w:val="20"/>
                <w:szCs w:val="20"/>
              </w:rPr>
              <w:t xml:space="preserve">: la mappa documentata dei </w:t>
            </w:r>
            <w:r>
              <w:rPr>
                <w:rFonts w:ascii="Barlow Semi Condensed" w:cs="Barlow Semi Condensed" w:eastAsia="Barlow Semi Condensed" w:hAnsi="Barlow Semi Condensed"/>
                <w:b/>
                <w:bCs/>
                <w:sz w:val="20"/>
                <w:szCs w:val="20"/>
              </w:rPr>
              <w:t xml:space="preserve">tre livelli</w:t>
            </w:r>
            <w:r>
              <w:rPr>
                <w:rFonts w:ascii="Barlow Semi Condensed" w:cs="Barlow Semi Condensed" w:eastAsia="Barlow Semi Condensed" w:hAnsi="Barlow Semi Condensed"/>
                <w:sz w:val="20"/>
                <w:szCs w:val="20"/>
              </w:rPr>
              <w:t xml:space="preserve"> dei comitati del Viminale — politico-tecnico-operativo (16/3/1978, pres. Cossiga), tecnico-operativo (composizione nominale documentata), e il «comitato di esperti» informale </w:t>
            </w:r>
            <w:r>
              <w:rPr>
                <w:rFonts w:ascii="Barlow Semi Condensed" w:cs="Barlow Semi Condensed" w:eastAsia="Barlow Semi Condensed" w:hAnsi="Barlow Semi Condensed"/>
                <w:b/>
                <w:bCs/>
                <w:sz w:val="20"/>
                <w:szCs w:val="20"/>
              </w:rPr>
              <w:t xml:space="preserve">mai riunito collegialmente</w:t>
            </w:r>
            <w:r>
              <w:rPr>
                <w:rFonts w:ascii="Barlow Semi Condensed" w:cs="Barlow Semi Condensed" w:eastAsia="Barlow Semi Condensed" w:hAnsi="Barlow Semi Condensed"/>
                <w:sz w:val="20"/>
                <w:szCs w:val="20"/>
              </w:rPr>
              <w:t xml:space="preserve"> (Pieczenik, Ferracuti, Silvestri, Cappelletti…); le appartenenze P2 documentate (Santovito tessera 1630, Grassini) con la </w:t>
            </w:r>
            <w:r>
              <w:rPr>
                <w:rFonts w:ascii="Barlow Semi Condensed" w:cs="Barlow Semi Condensed" w:eastAsia="Barlow Semi Condensed" w:hAnsi="Barlow Semi Condensed"/>
                <w:b/>
                <w:bCs/>
                <w:sz w:val="20"/>
                <w:szCs w:val="20"/>
              </w:rPr>
              <w:t xml:space="preserve">divergenza sulla data di Ferracuti</w:t>
            </w:r>
            <w:r>
              <w:rPr>
                <w:rFonts w:ascii="Barlow Semi Condensed" w:cs="Barlow Semi Condensed" w:eastAsia="Barlow Semi Condensed" w:hAnsi="Barlow Semi Condensed"/>
                <w:sz w:val="20"/>
                <w:szCs w:val="20"/>
              </w:rPr>
              <w:t xml:space="preserve"> riportata e dirimibile dal censimento (elenchi con tessere e date); il dato che incrocia il cuore del corpus — la </w:t>
            </w:r>
            <w:r>
              <w:rPr>
                <w:rFonts w:ascii="Barlow Semi Condensed" w:cs="Barlow Semi Condensed" w:eastAsia="Barlow Semi Condensed" w:hAnsi="Barlow Semi Condensed"/>
                <w:b/>
                <w:bCs/>
                <w:sz w:val="20"/>
                <w:szCs w:val="20"/>
              </w:rPr>
              <w:t xml:space="preserve">qualificazione istituzionale di «inattendibilità» delle lettere di Moro</w:t>
            </w:r>
            <w:r>
              <w:rPr>
                <w:rFonts w:ascii="Barlow Semi Condensed" w:cs="Barlow Semi Condensed" w:eastAsia="Barlow Semi Condensed" w:hAnsi="Barlow Semi Condensed"/>
                <w:sz w:val="20"/>
                <w:szCs w:val="20"/>
              </w:rPr>
              <w:t xml:space="preserve"> (Ferracuti, Pieczenik: il prigioniero «fuori di sé») come atto documentato con effetti sulla fermezza, trasformato in quesito documentale; atto in quattro passi e chiusura a doppio guadagno (accertamento o caduta di una leggenda). </w:t>
            </w:r>
            <w:r>
              <w:rPr>
                <w:rFonts w:ascii="Barlow Semi Condensed" w:cs="Barlow Semi Condensed" w:eastAsia="Barlow Semi Condensed" w:hAnsi="Barlow Semi Condensed"/>
                <w:b/>
                <w:bCs/>
                <w:sz w:val="20"/>
                <w:szCs w:val="20"/>
              </w:rPr>
              <w:t xml:space="preserve">PE-3</w:t>
            </w:r>
            <w:r>
              <w:rPr>
                <w:rFonts w:ascii="Barlow Semi Condensed" w:cs="Barlow Semi Condensed" w:eastAsia="Barlow Semi Condensed" w:hAnsi="Barlow Semi Condensed"/>
                <w:sz w:val="20"/>
                <w:szCs w:val="20"/>
              </w:rPr>
              <w:t xml:space="preserve">: la sequenza integrale dei </w:t>
            </w:r>
            <w:r>
              <w:rPr>
                <w:rFonts w:ascii="Barlow Semi Condensed" w:cs="Barlow Semi Condensed" w:eastAsia="Barlow Semi Condensed" w:hAnsi="Barlow Semi Condensed"/>
                <w:b/>
                <w:bCs/>
                <w:sz w:val="20"/>
                <w:szCs w:val="20"/>
              </w:rPr>
              <w:t xml:space="preserve">trenta giorni di via Gradoli</w:t>
            </w:r>
            <w:r>
              <w:rPr>
                <w:rFonts w:ascii="Barlow Semi Condensed" w:cs="Barlow Semi Condensed" w:eastAsia="Barlow Semi Condensed" w:hAnsi="Barlow Semi Condensed"/>
                <w:sz w:val="20"/>
                <w:szCs w:val="20"/>
              </w:rPr>
              <w:t xml:space="preserve"> — la nota dell'informatrice Mokbel sui rumori, il campanello senza risposta del 18 marzo (squadra Merola, nessun ritorno), la «dimenticata chiusura del rubinetto della doccia» del verbale VVF del 18 aprile, l'affitto dal 1975 all'«ing. Borghi» (Moretti), il </w:t>
            </w:r>
            <w:r>
              <w:rPr>
                <w:rFonts w:ascii="Barlow Semi Condensed" w:cs="Barlow Semi Condensed" w:eastAsia="Barlow Semi Condensed" w:hAnsi="Barlow Semi Condensed"/>
                <w:b/>
                <w:bCs/>
                <w:sz w:val="20"/>
                <w:szCs w:val="20"/>
              </w:rPr>
              <w:t xml:space="preserve">triplo 18 aprile</w:t>
            </w:r>
            <w:r>
              <w:rPr>
                <w:rFonts w:ascii="Barlow Semi Condensed" w:cs="Barlow Semi Condensed" w:eastAsia="Barlow Semi Condensed" w:hAnsi="Barlow Semi Condensed"/>
                <w:sz w:val="20"/>
                <w:szCs w:val="20"/>
              </w:rPr>
              <w:t xml:space="preserve"> (falso comunicato n. 7 · covo · Duchessa); due quesiti ACH con evidenze discriminanti nominate (la catena protocollare della nota; </w:t>
            </w:r>
            <w:r>
              <w:rPr>
                <w:rFonts w:ascii="Barlow Semi Condensed" w:cs="Barlow Semi Condensed" w:eastAsia="Barlow Semi Condensed" w:hAnsi="Barlow Semi Condensed"/>
                <w:b/>
                <w:bCs/>
                <w:sz w:val="20"/>
                <w:szCs w:val="20"/>
              </w:rPr>
              <w:t xml:space="preserve">i rilievi fotografici originali del bagno</w:t>
            </w:r>
            <w:r>
              <w:rPr>
                <w:rFonts w:ascii="Barlow Semi Condensed" w:cs="Barlow Semi Condensed" w:eastAsia="Barlow Semi Condensed" w:hAnsi="Barlow Semi Condensed"/>
                <w:sz w:val="20"/>
                <w:szCs w:val="20"/>
              </w:rPr>
              <w:t xml:space="preserve"> per la tesi della perdita deliberata); il presidio: il sistema funzionava </w:t>
            </w:r>
            <w:r>
              <w:rPr>
                <w:rFonts w:ascii="Barlow Semi Condensed" w:cs="Barlow Semi Condensed" w:eastAsia="Barlow Semi Condensed" w:hAnsi="Barlow Semi Condensed"/>
                <w:i/>
                <w:iCs/>
                <w:sz w:val="20"/>
                <w:szCs w:val="20"/>
              </w:rPr>
              <w:t xml:space="preserve">in ingresso</w:t>
            </w:r>
            <w:r>
              <w:rPr>
                <w:rFonts w:ascii="Barlow Semi Condensed" w:cs="Barlow Semi Condensed" w:eastAsia="Barlow Semi Condensed" w:hAnsi="Barlow Semi Condensed"/>
                <w:sz w:val="20"/>
                <w:szCs w:val="20"/>
              </w:rPr>
              <w:t xml:space="preserve">, il quesito è l'</w:t>
            </w:r>
            <w:r>
              <w:rPr>
                <w:rFonts w:ascii="Barlow Semi Condensed" w:cs="Barlow Semi Condensed" w:eastAsia="Barlow Semi Condensed" w:hAnsi="Barlow Semi Condensed"/>
                <w:i/>
                <w:iCs/>
                <w:sz w:val="20"/>
                <w:szCs w:val="20"/>
              </w:rPr>
              <w:t xml:space="preserve">uscita</w:t>
            </w:r>
            <w:r>
              <w:rPr>
                <w:rFonts w:ascii="Barlow Semi Condensed" w:cs="Barlow Semi Condensed" w:eastAsia="Barlow Semi Condensed" w:hAnsi="Barlow Semi Condensed"/>
                <w:sz w:val="20"/>
                <w:szCs w:val="20"/>
              </w:rPr>
              <w:t xml:space="preserve">; la negligenza non diventa dolo per impazienza. </w:t>
            </w:r>
            <w:r>
              <w:rPr>
                <w:rFonts w:ascii="Barlow Semi Condensed" w:cs="Barlow Semi Condensed" w:eastAsia="Barlow Semi Condensed" w:hAnsi="Barlow Semi Condensed"/>
                <w:b/>
                <w:bCs/>
                <w:sz w:val="20"/>
                <w:szCs w:val="20"/>
              </w:rPr>
              <w:t xml:space="preserve">PE-2</w:t>
            </w:r>
            <w:r>
              <w:rPr>
                <w:rFonts w:ascii="Barlow Semi Condensed" w:cs="Barlow Semi Condensed" w:eastAsia="Barlow Semi Condensed" w:hAnsi="Barlow Semi Condensed"/>
                <w:sz w:val="20"/>
                <w:szCs w:val="20"/>
              </w:rPr>
              <w:t xml:space="preserve">: i due strati degli accertamenti — la relazione Moro 2 (24 appartamenti su 66 alle tre immobiliari con fiduciari dei servizi) e il </w:t>
            </w:r>
            <w:r>
              <w:rPr>
                <w:rFonts w:ascii="Barlow Semi Condensed" w:cs="Barlow Semi Condensed" w:eastAsia="Barlow Semi Condensed" w:hAnsi="Barlow Semi Condensed"/>
                <w:b/>
                <w:bCs/>
                <w:sz w:val="20"/>
                <w:szCs w:val="20"/>
              </w:rPr>
              <w:t xml:space="preserve">dibattimento di Bologna 2021</w:t>
            </w:r>
            <w:r>
              <w:rPr>
                <w:rFonts w:ascii="Barlow Semi Condensed" w:cs="Barlow Semi Condensed" w:eastAsia="Barlow Semi Condensed" w:hAnsi="Barlow Semi Condensed"/>
                <w:sz w:val="20"/>
                <w:szCs w:val="20"/>
              </w:rPr>
              <w:t xml:space="preserve"> (Catracchia amministratore unico di Caseroma e Immobiliare Gradoli, collegata alla fiduciaria SISDE </w:t>
            </w:r>
            <w:r>
              <w:rPr>
                <w:rFonts w:ascii="Barlow Semi Condensed" w:cs="Barlow Semi Condensed" w:eastAsia="Barlow Semi Condensed" w:hAnsi="Barlow Semi Condensed"/>
                <w:b/>
                <w:bCs/>
                <w:sz w:val="20"/>
                <w:szCs w:val="20"/>
              </w:rPr>
              <w:t xml:space="preserve">Fidrev</w:t>
            </w:r>
            <w:r>
              <w:rPr>
                <w:rFonts w:ascii="Barlow Semi Condensed" w:cs="Barlow Semi Condensed" w:eastAsia="Barlow Semi Condensed" w:hAnsi="Barlow Semi Condensed"/>
                <w:sz w:val="20"/>
                <w:szCs w:val="20"/>
              </w:rPr>
              <w:t xml:space="preserve">; i quattro immobili riferiti a </w:t>
            </w:r>
            <w:r>
              <w:rPr>
                <w:rFonts w:ascii="Barlow Semi Condensed" w:cs="Barlow Semi Condensed" w:eastAsia="Barlow Semi Condensed" w:hAnsi="Barlow Semi Condensed"/>
                <w:b/>
                <w:bCs/>
                <w:sz w:val="20"/>
                <w:szCs w:val="20"/>
              </w:rPr>
              <w:t xml:space="preserve">Parisi</w:t>
            </w:r>
            <w:r>
              <w:rPr>
                <w:rFonts w:ascii="Barlow Semi Condensed" w:cs="Barlow Semi Condensed" w:eastAsia="Barlow Semi Condensed" w:hAnsi="Barlow Semi Condensed"/>
                <w:sz w:val="20"/>
                <w:szCs w:val="20"/>
              </w:rPr>
              <w:t xml:space="preserve"> in via Gradoli 1979-1986 intestati a familiari, uno al civico 96; la presenza </w:t>
            </w:r>
            <w:r>
              <w:rPr>
                <w:rFonts w:ascii="Barlow Semi Condensed" w:cs="Barlow Semi Condensed" w:eastAsia="Barlow Semi Condensed" w:hAnsi="Barlow Semi Condensed"/>
                <w:b/>
                <w:bCs/>
                <w:sz w:val="20"/>
                <w:szCs w:val="20"/>
              </w:rPr>
              <w:t xml:space="preserve">NAR nel 1981</w:t>
            </w:r>
            <w:r>
              <w:rPr>
                <w:rFonts w:ascii="Barlow Semi Condensed" w:cs="Barlow Semi Condensed" w:eastAsia="Barlow Semi Condensed" w:hAnsi="Barlow Semi Condensed"/>
                <w:sz w:val="20"/>
                <w:szCs w:val="20"/>
              </w:rPr>
              <w:t xml:space="preserve">; il «non sapevamo» di Faranda come dichiarazione di parte F) — con la disciplina che decide tutto: </w:t>
            </w:r>
            <w:r>
              <w:rPr>
                <w:rFonts w:ascii="Barlow Semi Condensed" w:cs="Barlow Semi Condensed" w:eastAsia="Barlow Semi Condensed" w:hAnsi="Barlow Semi Condensed"/>
                <w:b/>
                <w:bCs/>
                <w:sz w:val="20"/>
                <w:szCs w:val="20"/>
              </w:rPr>
              <w:t xml:space="preserve">i legami documentati datano in larga parte 1979-1986, dopo il caso</w:t>
            </w:r>
            <w:r>
              <w:rPr>
                <w:rFonts w:ascii="Barlow Semi Condensed" w:cs="Barlow Semi Condensed" w:eastAsia="Barlow Semi Condensed" w:hAnsi="Barlow Semi Condensed"/>
                <w:sz w:val="20"/>
                <w:szCs w:val="20"/>
              </w:rPr>
              <w:t xml:space="preserve">, mentre la finestra del covo è 1975-1978 → quesito ACH a tre ipotesi (insediamento successivo / coabitazione coeva / coincidenza immobiliare) con </w:t>
            </w:r>
            <w:r>
              <w:rPr>
                <w:rFonts w:ascii="Barlow Semi Condensed" w:cs="Barlow Semi Condensed" w:eastAsia="Barlow Semi Condensed" w:hAnsi="Barlow Semi Condensed"/>
                <w:b/>
                <w:bCs/>
                <w:sz w:val="20"/>
                <w:szCs w:val="20"/>
              </w:rPr>
              <w:t xml:space="preserve">le date di conservatoria come unica evidenza discriminante</w:t>
            </w:r>
            <w:r>
              <w:rPr>
                <w:rFonts w:ascii="Barlow Semi Condensed" w:cs="Barlow Semi Condensed" w:eastAsia="Barlow Semi Condensed" w:hAnsi="Barlow Semi Condensed"/>
                <w:sz w:val="20"/>
                <w:szCs w:val="20"/>
              </w:rPr>
              <w:t xml:space="preserve">, e la tavola cronologica proprietà×tempo come atto che chiude in ogni direzione (l'accertamento della coabitazione, o la fine documentale di un equivoco ventennale). </w:t>
            </w:r>
            <w:r>
              <w:rPr>
                <w:rFonts w:ascii="Barlow Semi Condensed" w:cs="Barlow Semi Condensed" w:eastAsia="Barlow Semi Condensed" w:hAnsi="Barlow Semi Condensed"/>
                <w:b/>
                <w:bCs/>
                <w:sz w:val="20"/>
                <w:szCs w:val="20"/>
              </w:rPr>
              <w:t xml:space="preserve">PE-4</w:t>
            </w:r>
            <w:r>
              <w:rPr>
                <w:rFonts w:ascii="Barlow Semi Condensed" w:cs="Barlow Semi Condensed" w:eastAsia="Barlow Semi Condensed" w:hAnsi="Barlow Semi Condensed"/>
                <w:sz w:val="20"/>
                <w:szCs w:val="20"/>
              </w:rPr>
              <w:t xml:space="preserve">: il canale vaticano coi suoi due testimoni documentati — </w:t>
            </w:r>
            <w:r>
              <w:rPr>
                <w:rFonts w:ascii="Barlow Semi Condensed" w:cs="Barlow Semi Condensed" w:eastAsia="Barlow Semi Condensed" w:hAnsi="Barlow Semi Condensed"/>
                <w:b/>
                <w:bCs/>
                <w:sz w:val="20"/>
                <w:szCs w:val="20"/>
              </w:rPr>
              <w:t xml:space="preserve">Curioni</w:t>
            </w:r>
            <w:r>
              <w:rPr>
                <w:rFonts w:ascii="Barlow Semi Condensed" w:cs="Barlow Semi Condensed" w:eastAsia="Barlow Semi Condensed" w:hAnsi="Barlow Semi Condensed"/>
                <w:sz w:val="20"/>
                <w:szCs w:val="20"/>
              </w:rPr>
              <w:t xml:space="preserve"> (incaricato da Paolo VI della trattativa via riscatto; contatti coi brigatisti detenuti </w:t>
            </w:r>
            <w:r>
              <w:rPr>
                <w:rFonts w:ascii="Barlow Semi Condensed" w:cs="Barlow Semi Condensed" w:eastAsia="Barlow Semi Condensed" w:hAnsi="Barlow Semi Condensed"/>
                <w:b/>
                <w:bCs/>
                <w:sz w:val="20"/>
                <w:szCs w:val="20"/>
              </w:rPr>
              <w:t xml:space="preserve">e con un intermediario rimasto ignoto</w:t>
            </w:r>
            <w:r>
              <w:rPr>
                <w:rFonts w:ascii="Barlow Semi Condensed" w:cs="Barlow Semi Condensed" w:eastAsia="Barlow Semi Condensed" w:hAnsi="Barlow Semi Condensed"/>
                <w:sz w:val="20"/>
                <w:szCs w:val="20"/>
              </w:rPr>
              <w:t xml:space="preserve">; † 1996 senza rivelare) e </w:t>
            </w:r>
            <w:r>
              <w:rPr>
                <w:rFonts w:ascii="Barlow Semi Condensed" w:cs="Barlow Semi Condensed" w:eastAsia="Barlow Semi Condensed" w:hAnsi="Barlow Semi Condensed"/>
                <w:b/>
                <w:bCs/>
                <w:sz w:val="20"/>
                <w:szCs w:val="20"/>
              </w:rPr>
              <w:t xml:space="preserve">Fabbri</w:t>
            </w:r>
            <w:r>
              <w:rPr>
                <w:rFonts w:ascii="Barlow Semi Condensed" w:cs="Barlow Semi Condensed" w:eastAsia="Barlow Semi Condensed" w:hAnsi="Barlow Semi Condensed"/>
                <w:sz w:val="20"/>
                <w:szCs w:val="20"/>
              </w:rPr>
              <w:t xml:space="preserve"> (il riserbo rotto nel 2004 con Satta, poi l'audizione Moro 2 del 4/2/2016; il denaro mostrato dal papa sotto il panno — mazzette di dollari con </w:t>
            </w:r>
            <w:r>
              <w:rPr>
                <w:rFonts w:ascii="Barlow Semi Condensed" w:cs="Barlow Semi Condensed" w:eastAsia="Barlow Semi Condensed" w:hAnsi="Barlow Semi Condensed"/>
                <w:b/>
                <w:bCs/>
                <w:sz w:val="20"/>
                <w:szCs w:val="20"/>
              </w:rPr>
              <w:t xml:space="preserve">fascette di banca ebraica</w:t>
            </w:r>
            <w:r>
              <w:rPr>
                <w:rFonts w:ascii="Barlow Semi Condensed" w:cs="Barlow Semi Condensed" w:eastAsia="Barlow Semi Condensed" w:hAnsi="Barlow Semi Condensed"/>
                <w:sz w:val="20"/>
                <w:szCs w:val="20"/>
              </w:rPr>
              <w:t xml:space="preserve">, ~10 miliardi; </w:t>
            </w:r>
            <w:r>
              <w:rPr>
                <w:rFonts w:ascii="Barlow Semi Condensed" w:cs="Barlow Semi Condensed" w:eastAsia="Barlow Semi Condensed" w:hAnsi="Barlow Semi Condensed"/>
                <w:b/>
                <w:bCs/>
                <w:sz w:val="20"/>
                <w:szCs w:val="20"/>
              </w:rPr>
              <w:t xml:space="preserve">i nomi dei cappellani trovati nei covi BR</w:t>
            </w:r>
            <w:r>
              <w:rPr>
                <w:rFonts w:ascii="Barlow Semi Condensed" w:cs="Barlow Semi Condensed" w:eastAsia="Barlow Semi Condensed" w:hAnsi="Barlow Semi Condensed"/>
                <w:sz w:val="20"/>
                <w:szCs w:val="20"/>
              </w:rPr>
              <w:t xml:space="preserve"> col ruolo «rispettato da tutti»); il finanziatore </w:t>
            </w:r>
            <w:r>
              <w:rPr>
                <w:rFonts w:ascii="Barlow Semi Condensed" w:cs="Barlow Semi Condensed" w:eastAsia="Barlow Semi Condensed" w:hAnsi="Barlow Semi Condensed"/>
                <w:b/>
                <w:bCs/>
                <w:sz w:val="20"/>
                <w:szCs w:val="20"/>
              </w:rPr>
              <w:t xml:space="preserve">Flatto-Sharon</w:t>
            </w:r>
            <w:r>
              <w:rPr>
                <w:rFonts w:ascii="Barlow Semi Condensed" w:cs="Barlow Semi Condensed" w:eastAsia="Barlow Semi Condensed" w:hAnsi="Barlow Semi Condensed"/>
                <w:sz w:val="20"/>
                <w:szCs w:val="20"/>
              </w:rPr>
              <w:t xml:space="preserve"> da accertamento Moro 2; la </w:t>
            </w:r>
            <w:r>
              <w:rPr>
                <w:rFonts w:ascii="Barlow Semi Condensed" w:cs="Barlow Semi Condensed" w:eastAsia="Barlow Semi Condensed" w:hAnsi="Barlow Semi Condensed"/>
                <w:b/>
                <w:bCs/>
                <w:sz w:val="20"/>
                <w:szCs w:val="20"/>
              </w:rPr>
              <w:t xml:space="preserve">filologia della lettera</w:t>
            </w:r>
            <w:r>
              <w:rPr>
                <w:rFonts w:ascii="Barlow Semi Condensed" w:cs="Barlow Semi Condensed" w:eastAsia="Barlow Semi Condensed" w:hAnsi="Barlow Semi Condensed"/>
                <w:sz w:val="20"/>
                <w:szCs w:val="20"/>
              </w:rPr>
              <w:t xml:space="preserve"> del 21-22 aprile (la stesura «senza alcuna imbarazzante condizione» corretta in «senza condizioni» sotto dettatura di </w:t>
            </w:r>
            <w:r>
              <w:rPr>
                <w:rFonts w:ascii="Barlow Semi Condensed" w:cs="Barlow Semi Condensed" w:eastAsia="Barlow Semi Condensed" w:hAnsi="Barlow Semi Condensed"/>
                <w:b/>
                <w:bCs/>
                <w:sz w:val="20"/>
                <w:szCs w:val="20"/>
              </w:rPr>
              <w:t xml:space="preserve">Macchi</w:t>
            </w:r>
            <w:r>
              <w:rPr>
                <w:rFonts w:ascii="Barlow Semi Condensed" w:cs="Barlow Semi Condensed" w:eastAsia="Barlow Semi Condensed" w:hAnsi="Barlow Semi Condensed"/>
                <w:sz w:val="20"/>
                <w:szCs w:val="20"/>
              </w:rPr>
              <w:t xml:space="preserve"> — dato B, l'intenzione resta C) e il </w:t>
            </w:r>
            <w:r>
              <w:rPr>
                <w:rFonts w:ascii="Barlow Semi Condensed" w:cs="Barlow Semi Condensed" w:eastAsia="Barlow Semi Condensed" w:hAnsi="Barlow Semi Condensed"/>
                <w:b/>
                <w:bCs/>
                <w:sz w:val="20"/>
                <w:szCs w:val="20"/>
              </w:rPr>
              <w:t xml:space="preserve">doppio binario documentato</w:t>
            </w:r>
            <w:r>
              <w:rPr>
                <w:rFonts w:ascii="Barlow Semi Condensed" w:cs="Barlow Semi Condensed" w:eastAsia="Barlow Semi Condensed" w:hAnsi="Barlow Semi Condensed"/>
                <w:sz w:val="20"/>
                <w:szCs w:val="20"/>
              </w:rPr>
              <w:t xml:space="preserve"> (l'appello pubblico e il canale riservato come due strumenti della stessa volontà, non doppiezza); tre quesiti ACH (l'intermediario ignoto, con </w:t>
            </w:r>
            <w:r>
              <w:rPr>
                <w:rFonts w:ascii="Barlow Semi Condensed" w:cs="Barlow Semi Condensed" w:eastAsia="Barlow Semi Condensed" w:hAnsi="Barlow Semi Condensed"/>
                <w:b/>
                <w:bCs/>
                <w:sz w:val="20"/>
                <w:szCs w:val="20"/>
              </w:rPr>
              <w:t xml:space="preserve">i verbali di perquisizione dei covi</w:t>
            </w:r>
            <w:r>
              <w:rPr>
                <w:rFonts w:ascii="Barlow Semi Condensed" w:cs="Barlow Semi Condensed" w:eastAsia="Barlow Semi Condensed" w:hAnsi="Barlow Semi Condensed"/>
                <w:sz w:val="20"/>
                <w:szCs w:val="20"/>
              </w:rPr>
              <w:t xml:space="preserve"> come atto già esistente; la sorte del denaro, con le fascette come identificativo; l'edizione critica delle stesure); atto in quattro passi fino all'apertura dell'AAV. </w:t>
            </w:r>
            <w:r>
              <w:rPr>
                <w:rFonts w:ascii="Barlow Semi Condensed" w:cs="Barlow Semi Condensed" w:eastAsia="Barlow Semi Condensed" w:hAnsi="Barlow Semi Condensed"/>
                <w:b/>
                <w:bCs/>
                <w:sz w:val="20"/>
                <w:szCs w:val="20"/>
              </w:rPr>
              <w:t xml:space="preserve">PE-5</w:t>
            </w:r>
            <w:r>
              <w:rPr>
                <w:rFonts w:ascii="Barlow Semi Condensed" w:cs="Barlow Semi Condensed" w:eastAsia="Barlow Semi Condensed" w:hAnsi="Barlow Semi Condensed"/>
                <w:sz w:val="20"/>
                <w:szCs w:val="20"/>
              </w:rPr>
              <w:t xml:space="preserve">: il punto di partenza è un </w:t>
            </w:r>
            <w:r>
              <w:rPr>
                <w:rFonts w:ascii="Barlow Semi Condensed" w:cs="Barlow Semi Condensed" w:eastAsia="Barlow Semi Condensed" w:hAnsi="Barlow Semi Condensed"/>
                <w:b/>
                <w:bCs/>
                <w:sz w:val="20"/>
                <w:szCs w:val="20"/>
              </w:rPr>
              <w:t xml:space="preserve">reperto interno al corpus</w:t>
            </w:r>
            <w:r>
              <w:rPr>
                <w:rFonts w:ascii="Barlow Semi Condensed" w:cs="Barlow Semi Condensed" w:eastAsia="Barlow Semi Condensed" w:hAnsi="Barlow Semi Condensed"/>
                <w:sz w:val="20"/>
                <w:szCs w:val="20"/>
              </w:rPr>
              <w:t xml:space="preserve"> — il lotto State Dept della cartella Farnesina è un prodotto FOIA identificato (caso </w:t>
            </w:r>
            <w:r>
              <w:rPr>
                <w:rFonts w:ascii="Barlow Semi Condensed" w:cs="Barlow Semi Condensed" w:eastAsia="Barlow Semi Condensed" w:hAnsi="Barlow Semi Condensed"/>
                <w:b/>
                <w:bCs/>
                <w:sz w:val="20"/>
                <w:szCs w:val="20"/>
              </w:rPr>
              <w:t xml:space="preserve">R-2021-002xx</w:t>
            </w:r>
            <w:r>
              <w:rPr>
                <w:rFonts w:ascii="Barlow Semi Condensed" w:cs="Barlow Semi Condensed" w:eastAsia="Barlow Semi Condensed" w:hAnsi="Barlow Semi Condensed"/>
                <w:sz w:val="20"/>
                <w:szCs w:val="20"/>
              </w:rPr>
              <w:t xml:space="preserve">, lettura OCR fra 00202 e 00208 dichiarata; numeri di controllo B-00001939965…989; TAGS </w:t>
            </w:r>
            <w:r>
              <w:rPr>
                <w:rFonts w:ascii="Barlow Semi Condensed" w:cs="Barlow Semi Condensed" w:eastAsia="Barlow Semi Condensed" w:hAnsi="Barlow Semi Condensed"/>
                <w:i/>
                <w:iCs/>
                <w:sz w:val="20"/>
                <w:szCs w:val="20"/>
              </w:rPr>
              <w:t xml:space="preserve">PINT, IT</w:t>
            </w:r>
            <w:r>
              <w:rPr>
                <w:rFonts w:ascii="Barlow Semi Condensed" w:cs="Barlow Semi Condensed" w:eastAsia="Barlow Semi Condensed" w:hAnsi="Barlow Semi Condensed"/>
                <w:sz w:val="20"/>
                <w:szCs w:val="20"/>
              </w:rPr>
              <w:t xml:space="preserve">) — da cui i due giacimenti: </w:t>
            </w:r>
            <w:r>
              <w:rPr>
                <w:rFonts w:ascii="Barlow Semi Condensed" w:cs="Barlow Semi Condensed" w:eastAsia="Barlow Semi Condensed" w:hAnsi="Barlow Semi Condensed"/>
                <w:b/>
                <w:bCs/>
                <w:sz w:val="20"/>
                <w:szCs w:val="20"/>
              </w:rPr>
              <w:t xml:space="preserve">NARA AAD</w:t>
            </w:r>
            <w:r>
              <w:rPr>
                <w:rFonts w:ascii="Barlow Semi Condensed" w:cs="Barlow Semi Condensed" w:eastAsia="Barlow Semi Condensed" w:hAnsi="Barlow Semi Condensed"/>
                <w:sz w:val="20"/>
                <w:szCs w:val="20"/>
              </w:rPr>
              <w:t xml:space="preserve"> (telegrammi 1973-79 interrogabili online, e le </w:t>
            </w:r>
            <w:r>
              <w:rPr>
                <w:rFonts w:ascii="Barlow Semi Condensed" w:cs="Barlow Semi Condensed" w:eastAsia="Barlow Semi Condensed" w:hAnsi="Barlow Semi Condensed"/>
                <w:b/>
                <w:bCs/>
                <w:sz w:val="20"/>
                <w:szCs w:val="20"/>
              </w:rPr>
              <w:t xml:space="preserve">withdrawal cards 1978</w:t>
            </w:r>
            <w:r>
              <w:rPr>
                <w:rFonts w:ascii="Barlow Semi Condensed" w:cs="Barlow Semi Condensed" w:eastAsia="Barlow Semi Condensed" w:hAnsi="Barlow Semi Condensed"/>
                <w:sz w:val="20"/>
                <w:szCs w:val="20"/>
              </w:rPr>
              <w:t xml:space="preserve"> come censimento pubblico del trattenuto: la dietrologia specula sul non rilasciato, le schede lo </w:t>
            </w:r>
            <w:r>
              <w:rPr>
                <w:rFonts w:ascii="Barlow Semi Condensed" w:cs="Barlow Semi Condensed" w:eastAsia="Barlow Semi Condensed" w:hAnsi="Barlow Semi Condensed"/>
                <w:i/>
                <w:iCs/>
                <w:sz w:val="20"/>
                <w:szCs w:val="20"/>
              </w:rPr>
              <w:t xml:space="preserve">contano</w:t>
            </w:r>
            <w:r>
              <w:rPr>
                <w:rFonts w:ascii="Barlow Semi Condensed" w:cs="Barlow Semi Condensed" w:eastAsia="Barlow Semi Condensed" w:hAnsi="Barlow Semi Condensed"/>
                <w:sz w:val="20"/>
                <w:szCs w:val="20"/>
              </w:rPr>
              <w:t xml:space="preserve">) e la FOIA Library; il nodo della </w:t>
            </w:r>
            <w:r>
              <w:rPr>
                <w:rFonts w:ascii="Barlow Semi Condensed" w:cs="Barlow Semi Condensed" w:eastAsia="Barlow Semi Condensed" w:hAnsi="Barlow Semi Condensed"/>
                <w:b/>
                <w:bCs/>
                <w:sz w:val="20"/>
                <w:szCs w:val="20"/>
              </w:rPr>
              <w:t xml:space="preserve">regola dell'originatore</w:t>
            </w:r>
            <w:r>
              <w:rPr>
                <w:rFonts w:ascii="Barlow Semi Condensed" w:cs="Barlow Semi Condensed" w:eastAsia="Barlow Semi Condensed" w:hAnsi="Barlow Semi Condensed"/>
                <w:sz w:val="20"/>
                <w:szCs w:val="20"/>
              </w:rPr>
              <w:t xml:space="preserve"> per gli atti di origine alleata custoditi in Italia (cifra dei ~474 riferita, col suo grado), che salda la pista alla dimensione diplomatica; tre quesiti enumerativi e l'atto in quattro passi fino alla </w:t>
            </w:r>
            <w:r>
              <w:rPr>
                <w:rFonts w:ascii="Barlow Semi Condensed" w:cs="Barlow Semi Condensed" w:eastAsia="Barlow Semi Condensed" w:hAnsi="Barlow Semi Condensed"/>
                <w:b/>
                <w:bCs/>
                <w:sz w:val="20"/>
                <w:szCs w:val="20"/>
              </w:rPr>
              <w:t xml:space="preserve">tavola rilasciato/trattenuto/origine-alleata</w:t>
            </w:r>
            <w:r>
              <w:rPr>
                <w:rFonts w:ascii="Barlow Semi Condensed" w:cs="Barlow Semi Condensed" w:eastAsia="Barlow Semi Condensed" w:hAnsi="Barlow Semi Condensed"/>
                <w:sz w:val="20"/>
                <w:szCs w:val="20"/>
              </w:rPr>
              <w:t xml:space="preserve"> del traffico dei 55 giorni, che oggi non esiste in nessuna pubblicazione. In regime FOIA anche il diniego è un documento: qualunque esito, la pista produce carte. </w:t>
            </w:r>
            <w:r>
              <w:rPr>
                <w:rFonts w:ascii="Barlow Semi Condensed" w:cs="Barlow Semi Condensed" w:eastAsia="Barlow Semi Condensed" w:hAnsi="Barlow Semi Condensed"/>
                <w:b/>
                <w:bCs/>
                <w:sz w:val="20"/>
                <w:szCs w:val="20"/>
              </w:rPr>
              <w:t xml:space="preserve">PE-6</w:t>
            </w:r>
            <w:r>
              <w:rPr>
                <w:rFonts w:ascii="Barlow Semi Condensed" w:cs="Barlow Semi Condensed" w:eastAsia="Barlow Semi Condensed" w:hAnsi="Barlow Semi Condensed"/>
                <w:sz w:val="20"/>
                <w:szCs w:val="20"/>
              </w:rPr>
              <w:t xml:space="preserve">: la macchina delle ricerche </w:t>
            </w:r>
            <w:r>
              <w:rPr>
                <w:rFonts w:ascii="Barlow Semi Condensed" w:cs="Barlow Semi Condensed" w:eastAsia="Barlow Semi Condensed" w:hAnsi="Barlow Semi Condensed"/>
                <w:b/>
                <w:bCs/>
                <w:sz w:val="20"/>
                <w:szCs w:val="20"/>
              </w:rPr>
              <w:t xml:space="preserve">misurata a metà</w:t>
            </w:r>
            <w:r>
              <w:rPr>
                <w:rFonts w:ascii="Barlow Semi Condensed" w:cs="Barlow Semi Condensed" w:eastAsia="Barlow Semi Condensed" w:hAnsi="Barlow Semi Condensed"/>
                <w:sz w:val="20"/>
                <w:szCs w:val="20"/>
              </w:rPr>
              <w:t xml:space="preserve"> — le quattro colonne d'uscita sono celebri e verificate (72.460 posti di blocco, 37.702 perquisizioni, 6.413.713 persone controllate, 3.383.123 veicoli, con lo scorporo romano e la divergenza di lettura dichiarata), ma </w:t>
            </w:r>
            <w:r>
              <w:rPr>
                <w:rFonts w:ascii="Barlow Semi Condensed" w:cs="Barlow Semi Condensed" w:eastAsia="Barlow Semi Condensed" w:hAnsi="Barlow Semi Condensed"/>
                <w:b/>
                <w:bCs/>
                <w:sz w:val="20"/>
                <w:szCs w:val="20"/>
              </w:rPr>
              <w:t xml:space="preserve">la colonna d'ingresso — le segnalazioni — non ha una cifra canonica in quarantott'anni</w:t>
            </w:r>
            <w:r>
              <w:rPr>
                <w:rFonts w:ascii="Barlow Semi Condensed" w:cs="Barlow Semi Condensed" w:eastAsia="Barlow Semi Condensed" w:hAnsi="Barlow Semi Condensed"/>
                <w:sz w:val="20"/>
                <w:szCs w:val="20"/>
              </w:rPr>
              <w:t xml:space="preserve">; i tre campioni documentati del flusso (la nota Mokbel: ingresso riuscito, uscita fallita; Zappolino: smistamento alla lettera, al </w:t>
            </w:r>
            <w:r>
              <w:rPr>
                <w:rFonts w:ascii="Barlow Semi Condensed" w:cs="Barlow Semi Condensed" w:eastAsia="Barlow Semi Condensed" w:hAnsi="Barlow Semi Condensed"/>
                <w:i/>
                <w:iCs/>
                <w:sz w:val="20"/>
                <w:szCs w:val="20"/>
              </w:rPr>
              <w:t xml:space="preserve">paese</w:t>
            </w:r>
            <w:r>
              <w:rPr>
                <w:rFonts w:ascii="Barlow Semi Condensed" w:cs="Barlow Semi Condensed" w:eastAsia="Barlow Semi Condensed" w:hAnsi="Barlow Semi Condensed"/>
                <w:sz w:val="20"/>
                <w:szCs w:val="20"/>
              </w:rPr>
              <w:t xml:space="preserve"> di Gradoli; e </w:t>
            </w:r>
            <w:r>
              <w:rPr>
                <w:rFonts w:ascii="Barlow Semi Condensed" w:cs="Barlow Semi Condensed" w:eastAsia="Barlow Semi Condensed" w:hAnsi="Barlow Semi Condensed"/>
                <w:b/>
                <w:bCs/>
                <w:sz w:val="20"/>
                <w:szCs w:val="20"/>
              </w:rPr>
              <w:t xml:space="preserve">l'osservazione UCIGOS su via Montalcini 8, estate-ottobre 1978, non riferita alla magistratura per due anni</w:t>
            </w:r>
            <w:r>
              <w:rPr>
                <w:rFonts w:ascii="Barlow Semi Condensed" w:cs="Barlow Semi Condensed" w:eastAsia="Barlow Semi Condensed" w:hAnsi="Barlow Semi Condensed"/>
                <w:sz w:val="20"/>
                <w:szCs w:val="20"/>
              </w:rPr>
              <w:t xml:space="preserve"> — il segmento più grave, verso l'AG); il quesito come </w:t>
            </w:r>
            <w:r>
              <w:rPr>
                <w:rFonts w:ascii="Barlow Semi Condensed" w:cs="Barlow Semi Condensed" w:eastAsia="Barlow Semi Condensed" w:hAnsi="Barlow Semi Condensed"/>
                <w:b/>
                <w:bCs/>
                <w:sz w:val="20"/>
                <w:szCs w:val="20"/>
              </w:rPr>
              <w:t xml:space="preserve">verifica empirica dell'accertamento Anselmi</w:t>
            </w:r>
            <w:r>
              <w:rPr>
                <w:rFonts w:ascii="Barlow Semi Condensed" w:cs="Barlow Semi Condensed" w:eastAsia="Barlow Semi Condensed" w:hAnsi="Barlow Semi Condensed"/>
                <w:sz w:val="20"/>
                <w:szCs w:val="20"/>
              </w:rPr>
              <w:t xml:space="preserve"> — H1 collo di bottiglia da diluvio vs H2 filtro sistematico, con la </w:t>
            </w:r>
            <w:r>
              <w:rPr>
                <w:rFonts w:ascii="Barlow Semi Condensed" w:cs="Barlow Semi Condensed" w:eastAsia="Barlow Semi Condensed" w:hAnsi="Barlow Semi Condensed"/>
                <w:b/>
                <w:bCs/>
                <w:sz w:val="20"/>
                <w:szCs w:val="20"/>
              </w:rPr>
              <w:t xml:space="preserve">distribuzione delle interruzioni per segmento</w:t>
            </w:r>
            <w:r>
              <w:rPr>
                <w:rFonts w:ascii="Barlow Semi Condensed" w:cs="Barlow Semi Condensed" w:eastAsia="Barlow Semi Condensed" w:hAnsi="Barlow Semi Condensed"/>
                <w:sz w:val="20"/>
                <w:szCs w:val="20"/>
              </w:rPr>
              <w:t xml:space="preserve"> come evidenza discriminante che solo il registro può dare; l'atto in quattro passi (protocolli d'ingresso nei versamenti del Viminale; criteri di smistamento; tavola degli esiti; il registro delle mancate trasmissioni all'AG) fino alla </w:t>
            </w:r>
            <w:r>
              <w:rPr>
                <w:rFonts w:ascii="Barlow Semi Condensed" w:cs="Barlow Semi Condensed" w:eastAsia="Barlow Semi Condensed" w:hAnsi="Barlow Semi Condensed"/>
                <w:b/>
                <w:bCs/>
                <w:sz w:val="20"/>
                <w:szCs w:val="20"/>
              </w:rPr>
              <w:t xml:space="preserve">statistica documentale del tasso di seguito</w:t>
            </w:r>
            <w:r>
              <w:rPr>
                <w:rFonts w:ascii="Barlow Semi Condensed" w:cs="Barlow Semi Condensed" w:eastAsia="Barlow Semi Condensed" w:hAnsi="Barlow Semi Condensed"/>
                <w:sz w:val="20"/>
                <w:szCs w:val="20"/>
              </w:rPr>
              <w:t xml:space="preserve"> — l'ultima tavola che manca alla contabilità dei 55 giorni. Il registro è duale: misura le omissioni e insieme riabilita chi lavorò bene nel diluvio. Un protocollo, per definizione, o c'è — o la sua assenza è il dato. La lezione comune: il quesito non è mai «chi è colpevole» ma «dove sono le carte di un procedimento che esiste per definizione» — e l'assenza del documento dovuto è essa stessa una risposta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manuale-investigativo-nuovo-caso-moro.md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MANUALE TITANICO — seconda edizione accresciuta: come dovrebbero svolgersi le attività investigative per il nuovo Caso Moro, in 400 blocchi mirati</w:t>
            </w:r>
            <w:r>
              <w:rPr>
                <w:rFonts w:ascii="Barlow Semi Condensed" w:cs="Barlow Semi Condensed" w:eastAsia="Barlow Semi Condensed" w:hAnsi="Barlow Semi Condensed"/>
                <w:sz w:val="20"/>
                <w:szCs w:val="20"/>
              </w:rPr>
              <w:t xml:space="preserve"> (verificati: 400 esatti, numerazione continua 1-400, ~15.600 parole), ordinati in </w:t>
            </w:r>
            <w:r>
              <w:rPr>
                <w:rFonts w:ascii="Barlow Semi Condensed" w:cs="Barlow Semi Condensed" w:eastAsia="Barlow Semi Condensed" w:hAnsi="Barlow Semi Condensed"/>
                <w:b/>
                <w:bCs/>
                <w:sz w:val="20"/>
                <w:szCs w:val="20"/>
              </w:rPr>
              <w:t xml:space="preserve">quindici serie con statuto</w:t>
            </w:r>
            <w:r>
              <w:rPr>
                <w:rFonts w:ascii="Barlow Semi Condensed" w:cs="Barlow Semi Condensed" w:eastAsia="Barlow Semi Condensed" w:hAnsi="Barlow Semi Condensed"/>
                <w:sz w:val="20"/>
                <w:szCs w:val="20"/>
              </w:rPr>
              <w:t xml:space="preserve"> sull'architettura del Dossier maggiore: i principi costitutivi (1-20, la costituzione dell'indagine); l'architettura organizzativa (21-45, i tre cantieri — giudiziario, archivistico, conservativo — col custode del metodo); i reperti e le scienze forensi (46-90: catena di custodia retrospettiva, i 91 bossoli col quesito unico in tre rami, il caricatore come reperto-principe, i profili DNA 2016, il bagno di Gradoli, il falso della Duchessa, doppio cieco e replica, l'indecidibilità come esito nobile); gli archivi (91-140: il progetto di spoglio del fondo Renzi, i micro-fondi dovuti — Flaminio Nuovo, nota Mokbel, VVF, dossier Montalcini, comitati con gli elenchi P2 datati, conservatoria di via Gradoli, NARA/withdrawal cards, FOIA R-2021-002xx, istanza pronta per l'AAV, la diplomatica del Novecento); le persone (141-170: la raccolta conservativa a scadenza biologica, il contraddittorio documentale, la rogatoria conoscitiva, la deposizione sigillata); i quesiti in forma ACH (171-210: dieci matrici complete con ipotesi, evidenza discriminante, chiusura ed errore, più la meta-matrice); il progetto esecutivo del registro delle segnalazioni (211-235: schema-dati, quattro segmenti, metriche, il test Anselmi); il versante internazionale (236-250); </w:t>
            </w:r>
            <w:r>
              <w:rPr>
                <w:rFonts w:ascii="Barlow Semi Condensed" w:cs="Barlow Semi Condensed" w:eastAsia="Barlow Semi Condensed" w:hAnsi="Barlow Semi Condensed"/>
                <w:b/>
                <w:bCs/>
                <w:sz w:val="20"/>
                <w:szCs w:val="20"/>
              </w:rPr>
              <w:t xml:space="preserve">gli errori storici coi loro antidoti</w:t>
            </w:r>
            <w:r>
              <w:rPr>
                <w:rFonts w:ascii="Barlow Semi Condensed" w:cs="Barlow Semi Condensed" w:eastAsia="Barlow Semi Condensed" w:hAnsi="Barlow Semi Condensed"/>
                <w:sz w:val="20"/>
                <w:szCs w:val="20"/>
              </w:rPr>
              <w:t xml:space="preserve"> (251-280: trenta errori catalogati, dall'errore della lettera al «fu assolto, ma», fino all'errore di corpus con la Nota di revisione come prova); il cronoprogramma (281-300: i primi novanta giorni, le dipendenze, le condizioni d'arresto, la misura del successo in carte e non in colpevoli); e le cinque serie della seconda edizione — </w:t>
            </w:r>
            <w:r>
              <w:rPr>
                <w:rFonts w:ascii="Barlow Semi Condensed" w:cs="Barlow Semi Condensed" w:eastAsia="Barlow Semi Condensed" w:hAnsi="Barlow Semi Condensed"/>
                <w:b/>
                <w:bCs/>
                <w:sz w:val="20"/>
                <w:szCs w:val="20"/>
              </w:rPr>
              <w:t xml:space="preserve">il cantiere digitale</w:t>
            </w:r>
            <w:r>
              <w:rPr>
                <w:rFonts w:ascii="Barlow Semi Condensed" w:cs="Barlow Semi Condensed" w:eastAsia="Barlow Semi Condensed" w:hAnsi="Barlow Semi Condensed"/>
                <w:sz w:val="20"/>
                <w:szCs w:val="20"/>
              </w:rPr>
              <w:t xml:space="preserve"> (301-330: banca dati unica, grafo operativo, la macchina che propone e l'uomo che verbalizza, il divieto di generazione probatoria, riproducibilità come grado, il lascito digitale agli archivi nazionali), </w:t>
            </w:r>
            <w:r>
              <w:rPr>
                <w:rFonts w:ascii="Barlow Semi Condensed" w:cs="Barlow Semi Condensed" w:eastAsia="Barlow Semi Condensed" w:hAnsi="Barlow Semi Condensed"/>
                <w:b/>
                <w:bCs/>
                <w:sz w:val="20"/>
                <w:szCs w:val="20"/>
              </w:rPr>
              <w:t xml:space="preserve">gli strumenti giuridici</w:t>
            </w:r>
            <w:r>
              <w:rPr>
                <w:rFonts w:ascii="Barlow Semi Condensed" w:cs="Barlow Semi Condensed" w:eastAsia="Barlow Semi Condensed" w:hAnsi="Barlow Semi Condensed"/>
                <w:sz w:val="20"/>
                <w:szCs w:val="20"/>
              </w:rPr>
              <w:t xml:space="preserve"> (331-355: l'imprescrittibilità come fondamento, l'incidente probatorio per i testimoni fragili, il segreto di Stato coi suoi termini e il limite costituzionale, la disciplina archivistica come calendario e non mistero, i vincoli sui fondi a rischio), </w:t>
            </w:r>
            <w:r>
              <w:rPr>
                <w:rFonts w:ascii="Barlow Semi Condensed" w:cs="Barlow Semi Condensed" w:eastAsia="Barlow Semi Condensed" w:hAnsi="Barlow Semi Condensed"/>
                <w:b/>
                <w:bCs/>
                <w:sz w:val="20"/>
                <w:szCs w:val="20"/>
              </w:rPr>
              <w:t xml:space="preserve">il controllo di qualità e i bias</w:t>
            </w:r>
            <w:r>
              <w:rPr>
                <w:rFonts w:ascii="Barlow Semi Condensed" w:cs="Barlow Semi Condensed" w:eastAsia="Barlow Semi Condensed" w:hAnsi="Barlow Semi Condensed"/>
                <w:sz w:val="20"/>
                <w:szCs w:val="20"/>
              </w:rPr>
              <w:t xml:space="preserve"> (356-375: red team, avvocato del diavolo di matrice, dieci bias cognitivi con antidoti procedurali, audit esterno pubblico, il registro dei quasi-errori), </w:t>
            </w:r>
            <w:r>
              <w:rPr>
                <w:rFonts w:ascii="Barlow Semi Condensed" w:cs="Barlow Semi Condensed" w:eastAsia="Barlow Semi Condensed" w:hAnsi="Barlow Semi Condensed"/>
                <w:b/>
                <w:bCs/>
                <w:sz w:val="20"/>
                <w:szCs w:val="20"/>
              </w:rPr>
              <w:t xml:space="preserve">il raccordo esecutivo per pista</w:t>
            </w:r>
            <w:r>
              <w:rPr>
                <w:rFonts w:ascii="Barlow Semi Condensed" w:cs="Barlow Semi Condensed" w:eastAsia="Barlow Semi Condensed" w:hAnsi="Barlow Semi Condensed"/>
                <w:sz w:val="20"/>
                <w:szCs w:val="20"/>
              </w:rPr>
              <w:t xml:space="preserve"> (376-391: le sedici piste vive in blocchi cantiere-atti-evidenza, con la meta-tavola), </w:t>
            </w:r>
            <w:r>
              <w:rPr>
                <w:rFonts w:ascii="Barlow Semi Condensed" w:cs="Barlow Semi Condensed" w:eastAsia="Barlow Semi Condensed" w:hAnsi="Barlow Semi Condensed"/>
                <w:b/>
                <w:bCs/>
                <w:sz w:val="20"/>
                <w:szCs w:val="20"/>
              </w:rPr>
              <w:t xml:space="preserve">le contingenze</w:t>
            </w:r>
            <w:r>
              <w:rPr>
                <w:rFonts w:ascii="Barlow Semi Condensed" w:cs="Barlow Semi Condensed" w:eastAsia="Barlow Semi Condensed" w:hAnsi="Barlow Semi Condensed"/>
                <w:sz w:val="20"/>
                <w:szCs w:val="20"/>
              </w:rPr>
              <w:t xml:space="preserve"> (392-400: nove scenari col protocollo già scritto — dal profilo ignoto alla tesi virale, dall'archiviazione giudiziaria all'apertura improvvisa di un archivio — fino al blocco 400: un manuale d'indagine invecchia in un solo modo onorevole, venendo eseguito). Un'indagine produce atti,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agenda-di-ricerca-del-nuovo-caso-moro.md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L'AGENDA DI RICERCA TITANICA — il gemello del manuale: che cosa cercare e dove, in 300 blocchi mirati di ricerca</w:t>
            </w:r>
            <w:r>
              <w:rPr>
                <w:rFonts w:ascii="Barlow Semi Condensed" w:cs="Barlow Semi Condensed" w:eastAsia="Barlow Semi Condensed" w:hAnsi="Barlow Semi Condensed"/>
                <w:sz w:val="20"/>
                <w:szCs w:val="20"/>
              </w:rPr>
              <w:t xml:space="preserve"> (verificati: 300 esatti, numerazione continua 1-300, ~18.000 parole), in </w:t>
            </w:r>
            <w:r>
              <w:rPr>
                <w:rFonts w:ascii="Barlow Semi Condensed" w:cs="Barlow Semi Condensed" w:eastAsia="Barlow Semi Condensed" w:hAnsi="Barlow Semi Condensed"/>
                <w:b/>
                <w:bCs/>
                <w:sz w:val="20"/>
                <w:szCs w:val="20"/>
              </w:rPr>
              <w:t xml:space="preserve">dodici serie con statuto</w:t>
            </w:r>
            <w:r>
              <w:rPr>
                <w:rFonts w:ascii="Barlow Semi Condensed" w:cs="Barlow Semi Condensed" w:eastAsia="Barlow Semi Condensed" w:hAnsi="Barlow Semi Condensed"/>
                <w:sz w:val="20"/>
                <w:szCs w:val="20"/>
              </w:rPr>
              <w:t xml:space="preserve">: i quesiti costitutivi (1-15, le quindici domande madri con evidenza attesa); il giacimento della Direttiva (16-45: la raccolta speciale ACS «Sequestro e uccisione dell'on. Aldo Moro», la sequenza Prodi 2008-Renzi 2014 verificata, il piano di spoglio delle ~2.000 buste con doppio controllo, il portale della Rete, l'Archivio Flamigni, conservatoria e catasto, il calendario delle declassifiche); gli archivi parlamentari (46-70: il fondo Moro 2 alla Camera con le ~20.000 pagine desecretate e il portale delle inchieste, la perizia balistica 2015 della Polizia scientifica dall'audizione del 10/6/2015, i fondi Moro 1 e Stragi al Senato, le declassifiche per DPS, gli indici unici di perizie e audizioni, «la stessa domanda tre volte»); i reperti da reinterrogare (71-100: i 91 bossoli in ricomparazione integrale, il DNA 2016, il caricatore, l'anagrafe delle Honda, gli abiti con la perizia Lombardi-Giacomini 1978 e il poligono dei luoghi, i negativi e i fuori onda, il borsello Chichiarelli con l'attribuzione istruttoria mai giudicata, lo schedario unico delle impronte); le persone e la raccolta conservativa (101-125: il censimento dei viventi, la rogatoria dell'unico mai sentito, gli operatori del 18 marzo e del 18 aprile, i custodi delle carte, la tavola degli stati); i giacimenti internazionali (126-155: withdrawal cards e full-text NARA, la collezione microfiche «Aldo Moro» della FOIA Library, la CIA Reading Room con la disciplina sui ritagli, la Carter Library, Kew, La Courneuve, il Politisches Archiv, il Vaticano con lo stato d'apertura verificato, la collazione bilaterale delle giornate chiave); le carte private e di partito (156-180); le scienze nuove sui dati vecchi (181-210: il tornello dei pareri, la banca dati DNA della legge 85/2009, genealogia genetica e fenotipo coi limiti dichiarati, la balistica computazionale, stilometria e linguistica coi gradi, la macchina che propone); </w:t>
            </w:r>
            <w:r>
              <w:rPr>
                <w:rFonts w:ascii="Barlow Semi Condensed" w:cs="Barlow Semi Condensed" w:eastAsia="Barlow Semi Condensed" w:hAnsi="Barlow Semi Condensed"/>
                <w:b/>
                <w:bCs/>
                <w:sz w:val="20"/>
                <w:szCs w:val="20"/>
              </w:rPr>
              <w:t xml:space="preserve">le verifiche di smentita</w:t>
            </w:r>
            <w:r>
              <w:rPr>
                <w:rFonts w:ascii="Barlow Semi Condensed" w:cs="Barlow Semi Condensed" w:eastAsia="Barlow Semi Condensed" w:hAnsi="Barlow Semi Condensed"/>
                <w:sz w:val="20"/>
                <w:szCs w:val="20"/>
              </w:rPr>
              <w:t xml:space="preserve"> (211-235: il Pollo di Popper come motore — per ogni tesi il documento che la smentirebbe, contro-agenda inclusa); le cronologie e i registri da ricostruire (236-260: il registro d'ingresso delle segnalazioni contro l'output 72.460/37.702, il brogliaccio del 16 marzo, i registri del 2 e del 18 aprile, il censimento dei distrutti); i raccordi con le piste e col manuale (261-280: ogni pista PN/PE coi suoi blocchi, la tavola sinottica); il governo dell'agenda (281-300: priorità biologica, campagne trimestrali, la ricerca a vuoto come atto, ciò che non si ricerca, il registro delle smentite, il congedo). Con l'</w:t>
            </w:r>
            <w:r>
              <w:rPr>
                <w:rFonts w:ascii="Barlow Semi Condensed" w:cs="Barlow Semi Condensed" w:eastAsia="Barlow Semi Condensed" w:hAnsi="Barlow Semi Condensed"/>
                <w:b/>
                <w:bCs/>
                <w:sz w:val="20"/>
                <w:szCs w:val="20"/>
              </w:rPr>
              <w:t xml:space="preserve">Apparato delle verifiche d'archivio</w:t>
            </w:r>
            <w:r>
              <w:rPr>
                <w:rFonts w:ascii="Barlow Semi Condensed" w:cs="Barlow Semi Condensed" w:eastAsia="Barlow Semi Condensed" w:hAnsi="Barlow Semi Condensed"/>
                <w:sz w:val="20"/>
                <w:szCs w:val="20"/>
              </w:rPr>
              <w:t xml:space="preserve"> (V-1…V-12): dodici campagne di verifica condotte prima della stesura, esiti negativi dichiarati (l'archivio vaticano chiuso oltre Pio XII; nessuno studio stilometrico esistente; nessuna ricostruzione 3D ufficiale; nessun cold case italiano anni '70-'80 mai chiuso con tecniche nuove — il caso sarebbe il primo). La ricerca produce documenti,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nove-cantieri-mille-blocchi.md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 NOVE CANTIERI — L'OPERA MONUMENTALE: mille blocchi mirati di approfondimento</w:t>
            </w:r>
            <w:r>
              <w:rPr>
                <w:rFonts w:ascii="Barlow Semi Condensed" w:cs="Barlow Semi Condensed" w:eastAsia="Barlow Semi Condensed" w:hAnsi="Barlow Semi Condensed"/>
                <w:sz w:val="20"/>
                <w:szCs w:val="20"/>
              </w:rPr>
              <w:t xml:space="preserve"> (verificati: 1.000 esatti, numerazione continua 1-1000, ~54.000 parole, nove Parti con 39 sottosezioni), l'esecuzione approfondita dell'agenda sui nove fronti indicati dal committente, ciascuno con statuto: </w:t>
            </w:r>
            <w:r>
              <w:rPr>
                <w:rFonts w:ascii="Barlow Semi Condensed" w:cs="Barlow Semi Condensed" w:eastAsia="Barlow Semi Condensed" w:hAnsi="Barlow Semi Condensed"/>
                <w:b/>
                <w:bCs/>
                <w:sz w:val="20"/>
                <w:szCs w:val="20"/>
              </w:rPr>
              <w:t xml:space="preserve">Oltremanica, oltralpe, oltre Reno</w:t>
            </w:r>
            <w:r>
              <w:rPr>
                <w:rFonts w:ascii="Barlow Semi Condensed" w:cs="Barlow Semi Condensed" w:eastAsia="Barlow Semi Condensed" w:hAnsi="Barlow Semi Condensed"/>
                <w:sz w:val="20"/>
                <w:szCs w:val="20"/>
              </w:rPr>
              <w:t xml:space="preserve"> (1-120: il cantiere britannico dal fascicolo Discovery C11492660/FCO 33 alle richieste FoI; il francese da La Courneuve/1929INVA a Nantes «Rome-Quirinal», col fondo Grimaud in due sedi e la nota del 24/5/1983 su Hyperion; il tedesco dal Politisches Archiv all'AAPD 1978, dal contenzioso sul Krisenstab Schleyer allo Stasi-Unterlagen-Archiv); </w:t>
            </w:r>
            <w:r>
              <w:rPr>
                <w:rFonts w:ascii="Barlow Semi Condensed" w:cs="Barlow Semi Condensed" w:eastAsia="Barlow Semi Condensed" w:hAnsi="Barlow Semi Condensed"/>
                <w:b/>
                <w:bCs/>
                <w:sz w:val="20"/>
                <w:szCs w:val="20"/>
              </w:rPr>
              <w:t xml:space="preserve">il Vaticano e la Chiesa</w:t>
            </w:r>
            <w:r>
              <w:rPr>
                <w:rFonts w:ascii="Barlow Semi Condensed" w:cs="Barlow Semi Condensed" w:eastAsia="Barlow Semi Condensed" w:hAnsi="Barlow Semi Condensed"/>
                <w:sz w:val="20"/>
                <w:szCs w:val="20"/>
              </w:rPr>
              <w:t xml:space="preserve"> (121-220: la strategia dell'archivio chiuso — il limite Pio XII verificato — con le cento porte laterali: Concesio, le diocesi, la stampa vaticana aperta, le cause dei santi; il canale Curioni con le date fissate, il fondo del riscatto col doppio binario, la lettera del 21-22 aprile in filologia delle varianti, i quesiti già scritti per il giorno dell'apertura); </w:t>
            </w:r>
            <w:r>
              <w:rPr>
                <w:rFonts w:ascii="Barlow Semi Condensed" w:cs="Barlow Semi Condensed" w:eastAsia="Barlow Semi Condensed" w:hAnsi="Barlow Semi Condensed"/>
                <w:b/>
                <w:bCs/>
                <w:sz w:val="20"/>
                <w:szCs w:val="20"/>
              </w:rPr>
              <w:t xml:space="preserve">i fondi privati</w:t>
            </w:r>
            <w:r>
              <w:rPr>
                <w:rFonts w:ascii="Barlow Semi Condensed" w:cs="Barlow Semi Condensed" w:eastAsia="Barlow Semi Condensed" w:hAnsi="Barlow Semi Condensed"/>
                <w:sz w:val="20"/>
                <w:szCs w:val="20"/>
              </w:rPr>
              <w:t xml:space="preserve"> (221-330: i tre nuclei delle carte Moro distinti — ACS 218 buste, famiglia al Flamigni 2012-2016, raccolta statale —, Andreotti allo Sturzo, Cossiga alla Camera 308 buste, i diari di Fanfani, il fascicolo «Caso Moro» di Craxi, DC e PCI, Pecorelli, Sciascia a Racalmuto, le famiglie della scorta); </w:t>
            </w:r>
            <w:r>
              <w:rPr>
                <w:rFonts w:ascii="Barlow Semi Condensed" w:cs="Barlow Semi Condensed" w:eastAsia="Barlow Semi Condensed" w:hAnsi="Barlow Semi Condensed"/>
                <w:b/>
                <w:bCs/>
                <w:sz w:val="20"/>
                <w:szCs w:val="20"/>
              </w:rPr>
              <w:t xml:space="preserve">i reperti</w:t>
            </w:r>
            <w:r>
              <w:rPr>
                <w:rFonts w:ascii="Barlow Semi Condensed" w:cs="Barlow Semi Condensed" w:eastAsia="Barlow Semi Condensed" w:hAnsi="Barlow Semi Condensed"/>
                <w:sz w:val="20"/>
                <w:szCs w:val="20"/>
              </w:rPr>
              <w:t xml:space="preserve"> (331-460: la custodia e l'inventario unico che non esiste, la sequenza balistica 1978-1993-2015 con la declassificazione dei 22 bossoli, il caricatore mai esaminato in 48 anni ora negli esami del GIP, i sette profili ignoti riferiti, gli abiti con la perizia Lombardi-Giacomini, le cinque borse di cui due asportate, la R4 musealizzata); </w:t>
            </w:r>
            <w:r>
              <w:rPr>
                <w:rFonts w:ascii="Barlow Semi Condensed" w:cs="Barlow Semi Condensed" w:eastAsia="Barlow Semi Condensed" w:hAnsi="Barlow Semi Condensed"/>
                <w:b/>
                <w:bCs/>
                <w:sz w:val="20"/>
                <w:szCs w:val="20"/>
              </w:rPr>
              <w:t xml:space="preserve">il memoriale e le lettere</w:t>
            </w:r>
            <w:r>
              <w:rPr>
                <w:rFonts w:ascii="Barlow Semi Condensed" w:cs="Barlow Semi Condensed" w:eastAsia="Barlow Semi Condensed" w:hAnsi="Barlow Semi Condensed"/>
                <w:sz w:val="20"/>
                <w:szCs w:val="20"/>
              </w:rPr>
              <w:t xml:space="preserve"> (461-560: lo stemma delle tre stesure, i due ritrovamenti di Monte Nevoso in atti, l'edizione critica Di Sivo, le 97 lettere del canone Gotor, i nove comunicati datati, il falso della Duchessa non riconosciuto dalle verifiche del 1978, Chichiarelli col 28 settembre 1984 mai risolto, la stilometria che manca — bersaglio inedito); </w:t>
            </w:r>
            <w:r>
              <w:rPr>
                <w:rFonts w:ascii="Barlow Semi Condensed" w:cs="Barlow Semi Condensed" w:eastAsia="Barlow Semi Condensed" w:hAnsi="Barlow Semi Condensed"/>
                <w:b/>
                <w:bCs/>
                <w:sz w:val="20"/>
                <w:szCs w:val="20"/>
              </w:rPr>
              <w:t xml:space="preserve">l'audio e l'immagine</w:t>
            </w:r>
            <w:r>
              <w:rPr>
                <w:rFonts w:ascii="Barlow Semi Condensed" w:cs="Barlow Semi Condensed" w:eastAsia="Barlow Semi Condensed" w:hAnsi="Barlow Semi Condensed"/>
                <w:sz w:val="20"/>
                <w:szCs w:val="20"/>
              </w:rPr>
              <w:t xml:space="preserve"> (561-660: le due sole registrazioni superstiti dei 55 giorni, Ianni primo fotografo di via Fani, l'esclusiva GBR del 9 maggio, le teche e i grezzi di Zavoli con la Collezione al Quirinale, il 3D della Scientifica 2017 e il modello pubblico che ancora manca, l'etica dell'immagine); </w:t>
            </w:r>
            <w:r>
              <w:rPr>
                <w:rFonts w:ascii="Barlow Semi Condensed" w:cs="Barlow Semi Condensed" w:eastAsia="Barlow Semi Condensed" w:hAnsi="Barlow Semi Condensed"/>
                <w:b/>
                <w:bCs/>
                <w:sz w:val="20"/>
                <w:szCs w:val="20"/>
              </w:rPr>
              <w:t xml:space="preserve">le scienze forensi</w:t>
            </w:r>
            <w:r>
              <w:rPr>
                <w:rFonts w:ascii="Barlow Semi Condensed" w:cs="Barlow Semi Condensed" w:eastAsia="Barlow Semi Condensed" w:hAnsi="Barlow Semi Condensed"/>
                <w:sz w:val="20"/>
                <w:szCs w:val="20"/>
              </w:rPr>
              <w:t xml:space="preserve"> (661-790: il diritto della prova scientifica — legge 85/2009, d.P.R. 87/2016, i vuoti su parentela/genealogia/fenotipo —, i laboratori e gli standard, i precedenti che insegnano — Yara, l'Olgiata, il monito Macchi, e il dato capitale: nessun delitto italiano anni '70-'80 mai chiuso con tecniche nuove: il caso sarebbe il primo —, le frontiere coi pareri-tornello, i tre tavoli scienza-giustizia-storia); </w:t>
            </w:r>
            <w:r>
              <w:rPr>
                <w:rFonts w:ascii="Barlow Semi Condensed" w:cs="Barlow Semi Condensed" w:eastAsia="Barlow Semi Condensed" w:hAnsi="Barlow Semi Condensed"/>
                <w:b/>
                <w:bCs/>
                <w:sz w:val="20"/>
                <w:szCs w:val="20"/>
              </w:rPr>
              <w:t xml:space="preserve">il registro del giudicato</w:t>
            </w:r>
            <w:r>
              <w:rPr>
                <w:rFonts w:ascii="Barlow Semi Condensed" w:cs="Barlow Semi Condensed" w:eastAsia="Barlow Semi Condensed" w:hAnsi="Barlow Semi Condensed"/>
                <w:sz w:val="20"/>
                <w:szCs w:val="20"/>
              </w:rPr>
              <w:t xml:space="preserve"> (791-880: le tredici schede a tre strati con gli stati verificati — cinque deceduti, con la correzione della data Braghetti al novembre 2025 —, la regola Algranati per esteso, la tavola dei cinque processi, la memorialistica collazionata, il programma delle dichiarazioni spontanee, la rogatoria per l'unico mai sentito in forma d'atto); </w:t>
            </w:r>
            <w:r>
              <w:rPr>
                <w:rFonts w:ascii="Barlow Semi Condensed" w:cs="Barlow Semi Condensed" w:eastAsia="Barlow Semi Condensed" w:hAnsi="Barlow Semi Condensed"/>
                <w:b/>
                <w:bCs/>
                <w:sz w:val="20"/>
                <w:szCs w:val="20"/>
              </w:rPr>
              <w:t xml:space="preserve">il fascicolo di Roma</w:t>
            </w:r>
            <w:r>
              <w:rPr>
                <w:rFonts w:ascii="Barlow Semi Condensed" w:cs="Barlow Semi Condensed" w:eastAsia="Barlow Semi Condensed" w:hAnsi="Barlow Semi Condensed"/>
                <w:sz w:val="20"/>
                <w:szCs w:val="20"/>
              </w:rPr>
              <w:t xml:space="preserve"> (881-1000: la sequenza verificata 28/5/2025-estate 2026 — archiviazione chiesta, opposizione della famiglia Ricci, GIP che riapre con sei mesi d'indagini sul caricatore —, la consilienza corpus-giudice, gli atti dei cinque processi digitalizzati coi detenuti di Rebibbia, il portale federato proposto, l'audit delle direttive, il diritto della memoria, il cinquantennale 2028 come scadenza di consegne non di discorsi, il congedo coi blocchi 991-1000). Con l'</w:t>
            </w:r>
            <w:r>
              <w:rPr>
                <w:rFonts w:ascii="Barlow Semi Condensed" w:cs="Barlow Semi Condensed" w:eastAsia="Barlow Semi Condensed" w:hAnsi="Barlow Semi Condensed"/>
                <w:b/>
                <w:bCs/>
                <w:sz w:val="20"/>
                <w:szCs w:val="20"/>
              </w:rPr>
              <w:t xml:space="preserve">Apparato della seconda campagna</w:t>
            </w:r>
            <w:r>
              <w:rPr>
                <w:rFonts w:ascii="Barlow Semi Condensed" w:cs="Barlow Semi Condensed" w:eastAsia="Barlow Semi Condensed" w:hAnsi="Barlow Semi Condensed"/>
                <w:sz w:val="20"/>
                <w:szCs w:val="20"/>
              </w:rPr>
              <w:t xml:space="preserve"> (C-1…C-9): nove verificatori di profondità, gli esiti negativi dichiarati, le correzioni per nota incorporate. Quarta opera della quadriga investigativa (programma → manuale 400 → agenda 300 → cantieri 1000: 1.700 blocchi coordinati). La ricerca produce documenti, non colpevoli — mille volte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kissinger-mille-blocchi-il-codice-e-la-sua-trasmissione.md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CODICE E LA SUA TRASMISSIONE» — HENRY KISSINGER TRIANGOLATO COL CORPUS IN 4.999 BLOCCHI.</w:t>
            </w:r>
            <w:r>
              <w:rPr>
                <w:rFonts w:ascii="Barlow Semi Condensed" w:cs="Barlow Semi Condensed" w:eastAsia="Barlow Semi Condensed" w:hAnsi="Barlow Semi Condensed"/>
                <w:sz w:val="20"/>
                <w:szCs w:val="20"/>
              </w:rPr>
              <w:t xml:space="preserve"> Opera in </w:t>
            </w:r>
            <w:r>
              <w:rPr>
                <w:rFonts w:ascii="Barlow Semi Condensed" w:cs="Barlow Semi Condensed" w:eastAsia="Barlow Semi Condensed" w:hAnsi="Barlow Semi Condensed"/>
                <w:b/>
                <w:bCs/>
                <w:sz w:val="20"/>
                <w:szCs w:val="20"/>
              </w:rPr>
              <w:t xml:space="preserve">4.999 blocchi mirati</w:t>
            </w:r>
            <w:r>
              <w:rPr>
                <w:rFonts w:ascii="Barlow Semi Condensed" w:cs="Barlow Semi Condensed" w:eastAsia="Barlow Semi Condensed" w:hAnsi="Barlow Semi Condensed"/>
                <w:sz w:val="20"/>
                <w:szCs w:val="20"/>
              </w:rPr>
              <w:t xml:space="preserve">, sessantacinque serie e due campagne, costruita sulla chiave interpretativa indicata dall'autore — «Kissinger rappresenta metaforicamente la genetica» — </w:t>
            </w:r>
            <w:r>
              <w:rPr>
                <w:rFonts w:ascii="Barlow Semi Condensed" w:cs="Barlow Semi Condensed" w:eastAsia="Barlow Semi Condensed" w:hAnsi="Barlow Semi Condensed"/>
                <w:b/>
                <w:bCs/>
                <w:sz w:val="20"/>
                <w:szCs w:val="20"/>
              </w:rPr>
              <w:t xml:space="preserve">dichiarata in apertura come lente e non come sentenza</w:t>
            </w:r>
            <w:r>
              <w:rPr>
                <w:rFonts w:ascii="Barlow Semi Condensed" w:cs="Barlow Semi Condensed" w:eastAsia="Barlow Semi Condensed" w:hAnsi="Barlow Semi Condensed"/>
                <w:sz w:val="20"/>
                <w:szCs w:val="20"/>
              </w:rPr>
              <w:t xml:space="preserve">. Le tredici serie intestate ad altrettanti concetti: il nome e la mutazione (con la correzione per nota di «Harry» in </w:t>
            </w:r>
            <w:r>
              <w:rPr>
                <w:rFonts w:ascii="Barlow Semi Condensed" w:cs="Barlow Semi Condensed" w:eastAsia="Barlow Semi Condensed" w:hAnsi="Barlow Semi Condensed"/>
                <w:b/>
                <w:bCs/>
                <w:sz w:val="20"/>
                <w:szCs w:val="20"/>
              </w:rPr>
              <w:t xml:space="preserve">Henry</w:t>
            </w:r>
            <w:r>
              <w:rPr>
                <w:rFonts w:ascii="Barlow Semi Condensed" w:cs="Barlow Semi Condensed" w:eastAsia="Barlow Semi Condensed" w:hAnsi="Barlow Semi Condensed"/>
                <w:sz w:val="20"/>
                <w:szCs w:val="20"/>
              </w:rPr>
              <w:t xml:space="preserve">, e la divergenza documentata sulla data della mutazione onomastica Heinz→Henry — le opere di consultazione la collocano allo sbarco del 1938, il fascicolo d'immigrazione al 1942-1943 — come primo caso concreto della lente); il genoma dichiarato; l'ereditarietà dottrinale; la trascrizione dal codice all'atto (i memorandum of conversation, il verbale del </w:t>
            </w:r>
            <w:r>
              <w:rPr>
                <w:rFonts w:ascii="Barlow Semi Condensed" w:cs="Barlow Semi Condensed" w:eastAsia="Barlow Semi Condensed" w:hAnsi="Barlow Semi Condensed"/>
                <w:b/>
                <w:bCs/>
                <w:sz w:val="20"/>
                <w:szCs w:val="20"/>
              </w:rPr>
              <w:t xml:space="preserve">25 settembre 1974</w:t>
            </w:r>
            <w:r>
              <w:rPr>
                <w:rFonts w:ascii="Barlow Semi Condensed" w:cs="Barlow Semi Condensed" w:eastAsia="Barlow Semi Condensed" w:hAnsi="Barlow Semi Condensed"/>
                <w:sz w:val="20"/>
                <w:szCs w:val="20"/>
              </w:rPr>
              <w:t xml:space="preserve"> con Leone e Moro allo Studio Ovale); l'espressione differenziale nei teatri che il corpus già studia; </w:t>
            </w:r>
            <w:r>
              <w:rPr>
                <w:rFonts w:ascii="Barlow Semi Condensed" w:cs="Barlow Semi Condensed" w:eastAsia="Barlow Semi Condensed" w:hAnsi="Barlow Semi Condensed"/>
                <w:b/>
                <w:bCs/>
                <w:sz w:val="20"/>
                <w:szCs w:val="20"/>
              </w:rPr>
              <w:t xml:space="preserve">omologia contro analogia</w:t>
            </w:r>
            <w:r>
              <w:rPr>
                <w:rFonts w:ascii="Barlow Semi Condensed" w:cs="Barlow Semi Condensed" w:eastAsia="Barlow Semi Condensed" w:hAnsi="Barlow Semi Condensed"/>
                <w:sz w:val="20"/>
                <w:szCs w:val="20"/>
              </w:rPr>
              <w:t xml:space="preserve"> — il cuore metodologico, cioè la distinzione fra filiazione documentata e convergenza indipendente; il vettore e la trasmissione orizzontale; la mutazione e l'errore di trascrizione; </w:t>
            </w:r>
            <w:r>
              <w:rPr>
                <w:rFonts w:ascii="Barlow Semi Condensed" w:cs="Barlow Semi Condensed" w:eastAsia="Barlow Semi Condensed" w:hAnsi="Barlow Semi Condensed"/>
                <w:b/>
                <w:bCs/>
                <w:sz w:val="20"/>
                <w:szCs w:val="20"/>
              </w:rPr>
              <w:t xml:space="preserve">il DNA non codificante</w:t>
            </w:r>
            <w:r>
              <w:rPr>
                <w:rFonts w:ascii="Barlow Semi Condensed" w:cs="Barlow Semi Condensed" w:eastAsia="Barlow Semi Condensed" w:hAnsi="Barlow Semi Condensed"/>
                <w:sz w:val="20"/>
                <w:szCs w:val="20"/>
              </w:rPr>
              <w:t xml:space="preserve">, cioè gli archivi muti e gli Stati Zero; fenotipo contro genotipo; l'epigenetica delle prassi non scritte; la filogenesi del caso Moro; e </w:t>
            </w:r>
            <w:r>
              <w:rPr>
                <w:rFonts w:ascii="Barlow Semi Condensed" w:cs="Barlow Semi Condensed" w:eastAsia="Barlow Semi Condensed" w:hAnsi="Barlow Semi Condensed"/>
                <w:b/>
                <w:bCs/>
                <w:sz w:val="20"/>
                <w:szCs w:val="20"/>
              </w:rPr>
              <w:t xml:space="preserve">il limite della metafora</w:t>
            </w:r>
            <w:r>
              <w:rPr>
                <w:rFonts w:ascii="Barlow Semi Condensed" w:cs="Barlow Semi Condensed" w:eastAsia="Barlow Semi Condensed" w:hAnsi="Barlow Semi Condensed"/>
                <w:sz w:val="20"/>
                <w:szCs w:val="20"/>
              </w:rPr>
              <w:t xml:space="preserve">, che è la serie di chiusura e la più importante: </w:t>
            </w:r>
            <w:r>
              <w:rPr>
                <w:rFonts w:ascii="Barlow Semi Condensed" w:cs="Barlow Semi Condensed" w:eastAsia="Barlow Semi Condensed" w:hAnsi="Barlow Semi Condensed"/>
                <w:i/>
                <w:iCs/>
                <w:sz w:val="20"/>
                <w:szCs w:val="20"/>
              </w:rPr>
              <w:t xml:space="preserve">in biologia il carattere si eredita, in storia la responsabilità no</w:t>
            </w:r>
            <w:r>
              <w:rPr>
                <w:rFonts w:ascii="Barlow Semi Condensed" w:cs="Barlow Semi Condensed" w:eastAsia="Barlow Semi Condensed" w:hAnsi="Barlow Semi Condensed"/>
                <w:sz w:val="20"/>
                <w:szCs w:val="20"/>
              </w:rPr>
              <w:t xml:space="preserve">. Vale in ogni blocco la </w:t>
            </w:r>
            <w:r>
              <w:rPr>
                <w:rFonts w:ascii="Barlow Semi Condensed" w:cs="Barlow Semi Condensed" w:eastAsia="Barlow Semi Condensed" w:hAnsi="Barlow Semi Condensed"/>
                <w:b/>
                <w:bCs/>
                <w:sz w:val="20"/>
                <w:szCs w:val="20"/>
              </w:rPr>
              <w:t xml:space="preserve">regola dei tre piani</w:t>
            </w:r>
            <w:r>
              <w:rPr>
                <w:rFonts w:ascii="Barlow Semi Condensed" w:cs="Barlow Semi Condensed" w:eastAsia="Barlow Semi Condensed" w:hAnsi="Barlow Semi Condensed"/>
                <w:sz w:val="20"/>
                <w:szCs w:val="20"/>
              </w:rPr>
              <w:t xml:space="preserve"> (rapporto documentato · convergenza strutturale · affermazione terziaria): un ponte è reale solo al piano 1. </w:t>
            </w:r>
            <w:r>
              <w:rPr>
                <w:rFonts w:ascii="Barlow Semi Condensed" w:cs="Barlow Semi Condensed" w:eastAsia="Barlow Semi Condensed" w:hAnsi="Barlow Semi Condensed"/>
                <w:b/>
                <w:bCs/>
                <w:sz w:val="20"/>
                <w:szCs w:val="20"/>
              </w:rPr>
              <w:t xml:space="preserve">Kissinger non fu condannato in alcun processo, non fu mai imputato né processato in alcun Paese, e nessun blocco lo indica come responsabile di reato</w:t>
            </w:r>
            <w:r>
              <w:rPr>
                <w:rFonts w:ascii="Barlow Semi Condensed" w:cs="Barlow Semi Condensed" w:eastAsia="Barlow Semi Condensed" w:hAnsi="Barlow Semi Condensed"/>
                <w:sz w:val="20"/>
                <w:szCs w:val="20"/>
              </w:rPr>
              <w:t xml:space="preserve">; il presunto avvertimento del 1974 è registrato come </w:t>
            </w:r>
            <w:r>
              <w:rPr>
                <w:rFonts w:ascii="Barlow Semi Condensed" w:cs="Barlow Semi Condensed" w:eastAsia="Barlow Semi Condensed" w:hAnsi="Barlow Semi Condensed"/>
                <w:b/>
                <w:bCs/>
                <w:sz w:val="20"/>
                <w:szCs w:val="20"/>
              </w:rPr>
              <w:t xml:space="preserve">testimonianza contestata</w:t>
            </w:r>
            <w:r>
              <w:rPr>
                <w:rFonts w:ascii="Barlow Semi Condensed" w:cs="Barlow Semi Condensed" w:eastAsia="Barlow Semi Condensed" w:hAnsi="Barlow Semi Condensed"/>
                <w:sz w:val="20"/>
                <w:szCs w:val="20"/>
              </w:rPr>
              <w:t xml:space="preserve">, con la smentita dell'interessato annotata e con l'accertamento — nuovo per il corpus — che il verbale dello Studio Ovale </w:t>
            </w:r>
            <w:r>
              <w:rPr>
                <w:rFonts w:ascii="Barlow Semi Condensed" w:cs="Barlow Semi Condensed" w:eastAsia="Barlow Semi Condensed" w:hAnsi="Barlow Semi Condensed"/>
                <w:b/>
                <w:bCs/>
                <w:sz w:val="20"/>
                <w:szCs w:val="20"/>
              </w:rPr>
              <w:t xml:space="preserve">non la contiene</w:t>
            </w:r>
            <w:r>
              <w:rPr>
                <w:rFonts w:ascii="Barlow Semi Condensed" w:cs="Barlow Semi Condensed" w:eastAsia="Barlow Semi Condensed" w:hAnsi="Barlow Semi Condensed"/>
                <w:sz w:val="20"/>
                <w:szCs w:val="20"/>
              </w:rPr>
              <w:t xml:space="preserve">. Chiude l'</w:t>
            </w:r>
            <w:r>
              <w:rPr>
                <w:rFonts w:ascii="Barlow Semi Condensed" w:cs="Barlow Semi Condensed" w:eastAsia="Barlow Semi Condensed" w:hAnsi="Barlow Semi Condensed"/>
                <w:b/>
                <w:bCs/>
                <w:sz w:val="20"/>
                <w:szCs w:val="20"/>
              </w:rPr>
              <w:t xml:space="preserve">Apparato K</w:t>
            </w:r>
            <w:r>
              <w:rPr>
                <w:rFonts w:ascii="Barlow Semi Condensed" w:cs="Barlow Semi Condensed" w:eastAsia="Barlow Semi Condensed" w:hAnsi="Barlow Semi Condensed"/>
                <w:sz w:val="20"/>
                <w:szCs w:val="20"/>
              </w:rPr>
              <w:t xml:space="preserve"> in cinque sezioni, con le sette precisazioni sull'avvertimento e il limite dichiarato della campagna di verifica. </w:t>
            </w:r>
            <w:r>
              <w:rPr>
                <w:rFonts w:ascii="Barlow Semi Condensed" w:cs="Barlow Semi Condensed" w:eastAsia="Barlow Semi Condensed" w:hAnsi="Barlow Semi Condensed"/>
                <w:b/>
                <w:bCs/>
                <w:sz w:val="20"/>
                <w:szCs w:val="20"/>
              </w:rPr>
              <w:t xml:space="preserve">SECONDA CAMPAGNA, TERRITORIALE (serie XIV-LXV, blocchi 1.001-4.999).</w:t>
            </w:r>
            <w:r>
              <w:rPr>
                <w:rFonts w:ascii="Barlow Semi Condensed" w:cs="Barlow Semi Condensed" w:eastAsia="Barlow Semi Condensed" w:hAnsi="Barlow Semi Condensed"/>
                <w:sz w:val="20"/>
                <w:szCs w:val="20"/>
              </w:rPr>
              <w:t xml:space="preserve"> Dove la prima campagna applicava una lente al nome, la seconda porta il nome contro </w:t>
            </w:r>
            <w:r>
              <w:rPr>
                <w:rFonts w:ascii="Barlow Semi Condensed" w:cs="Barlow Semi Condensed" w:eastAsia="Barlow Semi Condensed" w:hAnsi="Barlow Semi Condensed"/>
                <w:b/>
                <w:bCs/>
                <w:sz w:val="20"/>
                <w:szCs w:val="20"/>
              </w:rPr>
              <w:t xml:space="preserve">ogni territorio del corpus</w:t>
            </w:r>
            <w:r>
              <w:rPr>
                <w:rFonts w:ascii="Barlow Semi Condensed" w:cs="Barlow Semi Condensed" w:eastAsia="Barlow Semi Condensed" w:hAnsi="Barlow Semi Condensed"/>
                <w:sz w:val="20"/>
                <w:szCs w:val="20"/>
              </w:rPr>
              <w:t xml:space="preserve">, uno per serie, con l'obbligo di leggerlo prima di scriverne: il corpus narrativo (il ritratto, il saggio-cerniera, i cinque studi guevariani, Feltrinelli, il ceppo Simioni, il Tribunale Speciale, gli amnistiati, le questioni aperte, il Portale); il corpus metodologico e giudiziario (il presidio del garante, le metodologie del Dossier, il registro giudiziario, il repertorio, le responsabilità personali, l'apparato dei gradi e </w:t>
            </w:r>
            <w:r>
              <w:rPr>
                <w:rFonts w:ascii="Barlow Semi Condensed" w:cs="Barlow Semi Condensed" w:eastAsia="Barlow Semi Condensed" w:hAnsi="Barlow Semi Condensed"/>
                <w:b/>
                <w:bCs/>
                <w:sz w:val="20"/>
                <w:szCs w:val="20"/>
              </w:rPr>
              <w:t xml:space="preserve">le sette ricognizioni della Farnesina</w:t>
            </w:r>
            <w:r>
              <w:rPr>
                <w:rFonts w:ascii="Barlow Semi Condensed" w:cs="Barlow Semi Condensed" w:eastAsia="Barlow Semi Condensed" w:hAnsi="Barlow Semi Condensed"/>
                <w:sz w:val="20"/>
                <w:szCs w:val="20"/>
              </w:rPr>
              <w:t xml:space="preserve">, unico territorio dove i ponti di piano 1 esistono davvero); </w:t>
            </w:r>
            <w:r>
              <w:rPr>
                <w:rFonts w:ascii="Barlow Semi Condensed" w:cs="Barlow Semi Condensed" w:eastAsia="Barlow Semi Condensed" w:hAnsi="Barlow Semi Condensed"/>
                <w:b/>
                <w:bCs/>
                <w:sz w:val="20"/>
                <w:szCs w:val="20"/>
              </w:rPr>
              <w:t xml:space="preserve">l'intera quadriga investigativa</w:t>
            </w:r>
            <w:r>
              <w:rPr>
                <w:rFonts w:ascii="Barlow Semi Condensed" w:cs="Barlow Semi Condensed" w:eastAsia="Barlow Semi Condensed" w:hAnsi="Barlow Semi Condensed"/>
                <w:sz w:val="20"/>
                <w:szCs w:val="20"/>
              </w:rPr>
              <w:t xml:space="preserve"> letta blocco per blocco, col Libro quattordicesimo e con la rilettura esterna delle prime tredici serie; e le </w:t>
            </w:r>
            <w:r>
              <w:rPr>
                <w:rFonts w:ascii="Barlow Semi Condensed" w:cs="Barlow Semi Condensed" w:eastAsia="Barlow Semi Condensed" w:hAnsi="Barlow Semi Condensed"/>
                <w:b/>
                <w:bCs/>
                <w:sz w:val="20"/>
                <w:szCs w:val="20"/>
              </w:rPr>
              <w:t xml:space="preserve">cerniere e i censimenti</w:t>
            </w:r>
            <w:r>
              <w:rPr>
                <w:rFonts w:ascii="Barlow Semi Condensed" w:cs="Barlow Semi Condensed" w:eastAsia="Barlow Semi Condensed" w:hAnsi="Barlow Semi Condensed"/>
                <w:sz w:val="20"/>
                <w:szCs w:val="20"/>
              </w:rPr>
              <w:t xml:space="preserve"> — cronologia, geografia, istituzioni, archivi, fonti orali, criteri di falsificazione, numeri, lingue, e i tre censimenti che l'opera non aveva: </w:t>
            </w:r>
            <w:r>
              <w:rPr>
                <w:rFonts w:ascii="Barlow Semi Condensed" w:cs="Barlow Semi Condensed" w:eastAsia="Barlow Semi Condensed" w:hAnsi="Barlow Semi Condensed"/>
                <w:b/>
                <w:bCs/>
                <w:sz w:val="20"/>
                <w:szCs w:val="20"/>
              </w:rPr>
              <w:t xml:space="preserve">gli Stati Zero, le divergenze non sciolte, i ponti di piano 1</w:t>
            </w:r>
            <w:r>
              <w:rPr>
                <w:rFonts w:ascii="Barlow Semi Condensed" w:cs="Barlow Semi Condensed" w:eastAsia="Barlow Semi Condensed" w:hAnsi="Barlow Semi Condensed"/>
                <w:sz w:val="20"/>
                <w:szCs w:val="20"/>
              </w:rPr>
              <w:t xml:space="preserve">. Ogni serie tiene distinte quattro domande: dove il nome compare e con quale piano; dove il territorio tocca la cornice senza toccare il nome; dove circola un'affermazione terziaria che quel territorio non sostiene; e dove si dovrebbe cercare e nessuno ha cercato. Chiude l'</w:t>
            </w:r>
            <w:r>
              <w:rPr>
                <w:rFonts w:ascii="Barlow Semi Condensed" w:cs="Barlow Semi Condensed" w:eastAsia="Barlow Semi Condensed" w:hAnsi="Barlow Semi Condensed"/>
                <w:b/>
                <w:bCs/>
                <w:sz w:val="20"/>
                <w:szCs w:val="20"/>
              </w:rPr>
              <w:t xml:space="preserve">Apparato L</w:t>
            </w:r>
            <w:r>
              <w:rPr>
                <w:rFonts w:ascii="Barlow Semi Condensed" w:cs="Barlow Semi Condensed" w:eastAsia="Barlow Semi Condensed" w:hAnsi="Barlow Semi Condensed"/>
                <w:sz w:val="20"/>
                <w:szCs w:val="20"/>
              </w:rPr>
              <w:t xml:space="preserve">, che registra i due esiti che il corpus deve recepire: la distinzione fra </w:t>
            </w: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 che si predica di una ricerca condotta in una sede nominata — e </w:t>
            </w:r>
            <w:r>
              <w:rPr>
                <w:rFonts w:ascii="Barlow Semi Condensed" w:cs="Barlow Semi Condensed" w:eastAsia="Barlow Semi Condensed" w:hAnsi="Barlow Semi Condensed"/>
                <w:b/>
                <w:bCs/>
                <w:sz w:val="20"/>
                <w:szCs w:val="20"/>
              </w:rPr>
              <w:t xml:space="preserve">silenzio d'oggetto</w:t>
            </w:r>
            <w:r>
              <w:rPr>
                <w:rFonts w:ascii="Barlow Semi Condensed" w:cs="Barlow Semi Condensed" w:eastAsia="Barlow Semi Condensed" w:hAnsi="Barlow Semi Condensed"/>
                <w:sz w:val="20"/>
                <w:szCs w:val="20"/>
              </w:rPr>
              <w:t xml:space="preserve"> — che si predica del perimetro di un testo, correzione sollevata da un agente di ricerca contro l'istruzione ricevuta; e </w:t>
            </w:r>
            <w:r>
              <w:rPr>
                <w:rFonts w:ascii="Barlow Semi Condensed" w:cs="Barlow Semi Condensed" w:eastAsia="Barlow Semi Condensed" w:hAnsi="Barlow Semi Condensed"/>
                <w:b/>
                <w:bCs/>
                <w:sz w:val="20"/>
                <w:szCs w:val="20"/>
              </w:rPr>
              <w:t xml:space="preserve">l'asimmetria atlantica</w:t>
            </w:r>
            <w:r>
              <w:rPr>
                <w:rFonts w:ascii="Barlow Semi Condensed" w:cs="Barlow Semi Condensed" w:eastAsia="Barlow Semi Condensed" w:hAnsi="Barlow Semi Condensed"/>
                <w:sz w:val="20"/>
                <w:szCs w:val="20"/>
              </w:rPr>
              <w:t xml:space="preserve"> del versante di ricerca, che ha tre cantieri d'archivio alleato (Londra 17 menzioni, Parigi 23, Bonn 17) e non il quarto (Washington 7), in un caso il cui nodo più contestato è per definizione americano. La raccomandazione è operativa: un cantiere atlantico con la stessa griglia degli altri tre. </w:t>
            </w:r>
            <w:r>
              <w:rPr>
                <w:rFonts w:ascii="Barlow Semi Condensed" w:cs="Barlow Semi Condensed" w:eastAsia="Barlow Semi Condensed" w:hAnsi="Barlow Semi Condensed"/>
                <w:b/>
                <w:bCs/>
                <w:sz w:val="20"/>
                <w:szCs w:val="20"/>
              </w:rPr>
              <w:t xml:space="preserve">Sono 4.999 blocchi e non cinquemila, e il numero non si arrotonda.</w:t>
            </w:r>
            <w:r>
              <w:rPr>
                <w:rFonts w:ascii="Barlow Semi Condensed" w:cs="Barlow Semi Condensed" w:eastAsia="Barlow Semi Condensed" w:hAnsi="Barlow Semi Condensed"/>
                <w:sz w:val="20"/>
                <w:szCs w:val="20"/>
              </w:rPr>
              <w:t xml:space="preserve"> Un'indagine produce atti,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il-meridiano-e-la-valle-mille-blocchi.md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MERIDIANO E LA VALLE» — DAL SUD AFRICA DELL'APARTHEID ALLA PAYPAL MAFIA.</w:t>
            </w:r>
            <w:r>
              <w:rPr>
                <w:rFonts w:ascii="Barlow Semi Condensed" w:cs="Barlow Semi Condensed" w:eastAsia="Barlow Semi Condensed" w:hAnsi="Barlow Semi Condensed"/>
                <w:sz w:val="20"/>
                <w:szCs w:val="20"/>
              </w:rPr>
              <w:t xml:space="preserve"> Opera in </w:t>
            </w:r>
            <w:r>
              <w:rPr>
                <w:rFonts w:ascii="Barlow Semi Condensed" w:cs="Barlow Semi Condensed" w:eastAsia="Barlow Semi Condensed" w:hAnsi="Barlow Semi Condensed"/>
                <w:b/>
                <w:bCs/>
                <w:sz w:val="20"/>
                <w:szCs w:val="20"/>
              </w:rPr>
              <w:t xml:space="preserve">1.000 blocchi mirati di ricerca</w:t>
            </w:r>
            <w:r>
              <w:rPr>
                <w:rFonts w:ascii="Barlow Semi Condensed" w:cs="Barlow Semi Condensed" w:eastAsia="Barlow Semi Condensed" w:hAnsi="Barlow Semi Condensed"/>
                <w:sz w:val="20"/>
                <w:szCs w:val="20"/>
              </w:rPr>
              <w:t xml:space="preserve"> e tredici serie, </w:t>
            </w:r>
            <w:r>
              <w:rPr>
                <w:rFonts w:ascii="Barlow Semi Condensed" w:cs="Barlow Semi Condensed" w:eastAsia="Barlow Semi Condensed" w:hAnsi="Barlow Semi Condensed"/>
                <w:b/>
                <w:bCs/>
                <w:sz w:val="20"/>
                <w:szCs w:val="20"/>
              </w:rPr>
              <w:t xml:space="preserve">Libro quattordicesimo dell'Opera integrale</w:t>
            </w:r>
            <w:r>
              <w:rPr>
                <w:rFonts w:ascii="Barlow Semi Condensed" w:cs="Barlow Semi Condensed" w:eastAsia="Barlow Semi Condensed" w:hAnsi="Barlow Semi Condensed"/>
                <w:sz w:val="20"/>
                <w:szCs w:val="20"/>
              </w:rPr>
              <w:t xml:space="preserve">, costruita sulla chiave di continuità indicata dall'autore e </w:t>
            </w:r>
            <w:r>
              <w:rPr>
                <w:rFonts w:ascii="Barlow Semi Condensed" w:cs="Barlow Semi Condensed" w:eastAsia="Barlow Semi Condensed" w:hAnsi="Barlow Semi Condensed"/>
                <w:b/>
                <w:bCs/>
                <w:sz w:val="20"/>
                <w:szCs w:val="20"/>
              </w:rPr>
              <w:t xml:space="preserve">dichiarata in apertura come lente e non come sentenza</w:t>
            </w:r>
            <w:r>
              <w:rPr>
                <w:rFonts w:ascii="Barlow Semi Condensed" w:cs="Barlow Semi Condensed" w:eastAsia="Barlow Semi Condensed" w:hAnsi="Barlow Semi Condensed"/>
                <w:sz w:val="20"/>
                <w:szCs w:val="20"/>
              </w:rPr>
              <w:t xml:space="preserve"> — e, novità di quest'opera, come </w:t>
            </w:r>
            <w:r>
              <w:rPr>
                <w:rFonts w:ascii="Barlow Semi Condensed" w:cs="Barlow Semi Condensed" w:eastAsia="Barlow Semi Condensed" w:hAnsi="Barlow Semi Condensed"/>
                <w:b/>
                <w:bCs/>
                <w:sz w:val="20"/>
                <w:szCs w:val="20"/>
              </w:rPr>
              <w:t xml:space="preserve">ipotesi da mettere alla prova e non premessa da illustrare</w:t>
            </w:r>
            <w:r>
              <w:rPr>
                <w:rFonts w:ascii="Barlow Semi Condensed" w:cs="Barlow Semi Condensed" w:eastAsia="Barlow Semi Condensed" w:hAnsi="Barlow Semi Condensed"/>
                <w:sz w:val="20"/>
                <w:szCs w:val="20"/>
              </w:rPr>
              <w:t xml:space="preserve">: ogni serie porta i propri </w:t>
            </w:r>
            <w:r>
              <w:rPr>
                <w:rFonts w:ascii="Barlow Semi Condensed" w:cs="Barlow Semi Condensed" w:eastAsia="Barlow Semi Condensed" w:hAnsi="Barlow Semi Condensed"/>
                <w:b/>
                <w:bCs/>
                <w:sz w:val="20"/>
                <w:szCs w:val="20"/>
              </w:rPr>
              <w:t xml:space="preserve">bersagli di smentita</w:t>
            </w:r>
            <w:r>
              <w:rPr>
                <w:rFonts w:ascii="Barlow Semi Condensed" w:cs="Barlow Semi Condensed" w:eastAsia="Barlow Semi Condensed" w:hAnsi="Barlow Semi Condensed"/>
                <w:sz w:val="20"/>
                <w:szCs w:val="20"/>
              </w:rPr>
              <w:t xml:space="preserve">. Le tredici serie: lo statuto e il metodo; l'anagrafe verificabile persona per persona; la cornice istituzionale del Sud Africa e dell'Africa del Sud-Ovest (Population Registration Act, risoluzione ONU 2145 del 1966, parere della Corte internazionale di giustizia del 1971, Decreto n. 1 del 1974, Truth and Reconciliation Commission); i lignaggi, con il caso </w:t>
            </w:r>
            <w:r>
              <w:rPr>
                <w:rFonts w:ascii="Barlow Semi Condensed" w:cs="Barlow Semi Condensed" w:eastAsia="Barlow Semi Condensed" w:hAnsi="Barlow Semi Condensed"/>
                <w:b/>
                <w:bCs/>
                <w:sz w:val="20"/>
                <w:szCs w:val="20"/>
              </w:rPr>
              <w:t xml:space="preserve">piano 1</w:t>
            </w:r>
            <w:r>
              <w:rPr>
                <w:rFonts w:ascii="Barlow Semi Condensed" w:cs="Barlow Semi Condensed" w:eastAsia="Barlow Semi Condensed" w:hAnsi="Barlow Semi Condensed"/>
                <w:sz w:val="20"/>
                <w:szCs w:val="20"/>
              </w:rPr>
              <w:t xml:space="preserve"> di Roelof Botha nipote di </w:t>
            </w:r>
            <w:r>
              <w:rPr>
                <w:rFonts w:ascii="Barlow Semi Condensed" w:cs="Barlow Semi Condensed" w:eastAsia="Barlow Semi Condensed" w:hAnsi="Barlow Semi Condensed"/>
                <w:b/>
                <w:bCs/>
                <w:sz w:val="20"/>
                <w:szCs w:val="20"/>
              </w:rPr>
              <w:t xml:space="preserve">Pik Botha</w:t>
            </w:r>
            <w:r>
              <w:rPr>
                <w:rFonts w:ascii="Barlow Semi Condensed" w:cs="Barlow Semi Condensed" w:eastAsia="Barlow Semi Condensed" w:hAnsi="Barlow Semi Condensed"/>
                <w:sz w:val="20"/>
                <w:szCs w:val="20"/>
              </w:rPr>
              <w:t xml:space="preserve"> — e l'avvertenza che Pik Botha non era parente di P.W. Botha, l'errore più diffuso della materia; le materie prime (gli smeraldi attribuiti a Errol Musk come caso di scuola della </w:t>
            </w:r>
            <w:r>
              <w:rPr>
                <w:rFonts w:ascii="Barlow Semi Condensed" w:cs="Barlow Semi Condensed" w:eastAsia="Barlow Semi Condensed" w:hAnsi="Barlow Semi Condensed"/>
                <w:b/>
                <w:bCs/>
                <w:sz w:val="20"/>
                <w:szCs w:val="20"/>
              </w:rPr>
              <w:t xml:space="preserve">divergenza irrisolta</w:t>
            </w:r>
            <w:r>
              <w:rPr>
                <w:rFonts w:ascii="Barlow Semi Condensed" w:cs="Barlow Semi Condensed" w:eastAsia="Barlow Semi Condensed" w:hAnsi="Barlow Semi Condensed"/>
                <w:sz w:val="20"/>
                <w:szCs w:val="20"/>
              </w:rPr>
              <w:t xml:space="preserve">, l'uranio di Rössing, oro e platino); l'embargo e le vie d'aggiramento; le rotte migratorie e le naturalizzazioni; la formazione e la coscrizione; la valle, cioè PayPal letta sui depositi societari; le dottrine e le loro genealogie; il denaro e le giurisdizioni, la serie con più Stati Zero; la critica delle fonti; e </w:t>
            </w:r>
            <w:r>
              <w:rPr>
                <w:rFonts w:ascii="Barlow Semi Condensed" w:cs="Barlow Semi Condensed" w:eastAsia="Barlow Semi Condensed" w:hAnsi="Barlow Semi Condensed"/>
                <w:b/>
                <w:bCs/>
                <w:sz w:val="20"/>
                <w:szCs w:val="20"/>
              </w:rPr>
              <w:t xml:space="preserve">il limite: la colpa non si eredita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Nessuna delle persone nominate è indicata come responsabile di reato o di illecito</w:t>
            </w:r>
            <w:r>
              <w:rPr>
                <w:rFonts w:ascii="Barlow Semi Condensed" w:cs="Barlow Semi Condensed" w:eastAsia="Barlow Semi Condensed" w:hAnsi="Barlow Semi Condensed"/>
                <w:sz w:val="20"/>
                <w:szCs w:val="20"/>
              </w:rPr>
              <w:t xml:space="preserve">, e nessuna risulta condannata: i nomi compaiono solo per fatti pubblici e documentabili. Vale la </w:t>
            </w:r>
            <w:r>
              <w:rPr>
                <w:rFonts w:ascii="Barlow Semi Condensed" w:cs="Barlow Semi Condensed" w:eastAsia="Barlow Semi Condensed" w:hAnsi="Barlow Semi Condensed"/>
                <w:b/>
                <w:bCs/>
                <w:sz w:val="20"/>
                <w:szCs w:val="20"/>
              </w:rPr>
              <w:t xml:space="preserve">regola dei tre piani</w:t>
            </w:r>
            <w:r>
              <w:rPr>
                <w:rFonts w:ascii="Barlow Semi Condensed" w:cs="Barlow Semi Condensed" w:eastAsia="Barlow Semi Condensed" w:hAnsi="Barlow Semi Condensed"/>
                <w:sz w:val="20"/>
                <w:szCs w:val="20"/>
              </w:rPr>
              <w:t xml:space="preserve"> — un ponte è reale solo al piano 1 — e la distinzione fra omologia e analogia. Il raccordo con l'opera-madre è </w:t>
            </w:r>
            <w:r>
              <w:rPr>
                <w:rFonts w:ascii="Barlow Semi Condensed" w:cs="Barlow Semi Condensed" w:eastAsia="Barlow Semi Condensed" w:hAnsi="Barlow Semi Condensed"/>
                <w:b/>
                <w:bCs/>
                <w:sz w:val="20"/>
                <w:szCs w:val="20"/>
              </w:rPr>
              <w:t xml:space="preserve">tematico e non documentale</w:t>
            </w:r>
            <w:r>
              <w:rPr>
                <w:rFonts w:ascii="Barlow Semi Condensed" w:cs="Barlow Semi Condensed" w:eastAsia="Barlow Semi Condensed" w:hAnsi="Barlow Semi Condensed"/>
                <w:sz w:val="20"/>
                <w:szCs w:val="20"/>
              </w:rPr>
              <w:t xml:space="preserve">, dichiarato in copertina: l'unico ponte documentato che il corpus possiede col tema è il nodo </w:t>
            </w:r>
            <w:r>
              <w:rPr>
                <w:rFonts w:ascii="Barlow Semi Condensed" w:cs="Barlow Semi Condensed" w:eastAsia="Barlow Semi Condensed" w:hAnsi="Barlow Semi Condensed"/>
                <w:b/>
                <w:bCs/>
                <w:sz w:val="20"/>
                <w:szCs w:val="20"/>
              </w:rPr>
              <w:t xml:space="preserve">E-16</w:t>
            </w:r>
            <w:r>
              <w:rPr>
                <w:rFonts w:ascii="Barlow Semi Condensed" w:cs="Barlow Semi Condensed" w:eastAsia="Barlow Semi Condensed" w:hAnsi="Barlow Semi Condensed"/>
                <w:sz w:val="20"/>
                <w:szCs w:val="20"/>
              </w:rPr>
              <w:t xml:space="preserve"> della triangolazione Guevara-Moro, il discorso alle Nazioni Unite dell'</w:t>
            </w:r>
            <w:r>
              <w:rPr>
                <w:rFonts w:ascii="Barlow Semi Condensed" w:cs="Barlow Semi Condensed" w:eastAsia="Barlow Semi Condensed" w:hAnsi="Barlow Semi Condensed"/>
                <w:b/>
                <w:bCs/>
                <w:sz w:val="20"/>
                <w:szCs w:val="20"/>
              </w:rPr>
              <w:t xml:space="preserve">11 dicembre 1964</w:t>
            </w:r>
            <w:r>
              <w:rPr>
                <w:rFonts w:ascii="Barlow Semi Condensed" w:cs="Barlow Semi Condensed" w:eastAsia="Barlow Semi Condensed" w:hAnsi="Barlow Semi Condensed"/>
                <w:sz w:val="20"/>
                <w:szCs w:val="20"/>
              </w:rPr>
              <w:t xml:space="preserve">. Escluse come fonti </w:t>
            </w:r>
            <w:r>
              <w:rPr>
                <w:rFonts w:ascii="Barlow Semi Condensed" w:cs="Barlow Semi Condensed" w:eastAsia="Barlow Semi Condensed" w:hAnsi="Barlow Semi Condensed"/>
                <w:i/>
                <w:iCs/>
                <w:sz w:val="20"/>
                <w:szCs w:val="20"/>
              </w:rPr>
              <w:t xml:space="preserve">il manifesto</w:t>
            </w:r>
            <w:r>
              <w:rPr>
                <w:rFonts w:ascii="Barlow Semi Condensed" w:cs="Barlow Semi Condensed" w:eastAsia="Barlow Semi Condensed" w:hAnsi="Barlow Semi Condensed"/>
                <w:sz w:val="20"/>
                <w:szCs w:val="20"/>
              </w:rPr>
              <w:t xml:space="preserve"> e </w:t>
            </w:r>
            <w:r>
              <w:rPr>
                <w:rFonts w:ascii="Barlow Semi Condensed" w:cs="Barlow Semi Condensed" w:eastAsia="Barlow Semi Condensed" w:hAnsi="Barlow Semi Condensed"/>
                <w:b/>
                <w:bCs/>
                <w:sz w:val="20"/>
                <w:szCs w:val="20"/>
              </w:rPr>
              <w:t xml:space="preserve">Grokipedia</w:t>
            </w:r>
            <w:r>
              <w:rPr>
                <w:rFonts w:ascii="Barlow Semi Condensed" w:cs="Barlow Semi Condensed" w:eastAsia="Barlow Semi Condensed" w:hAnsi="Barlow Semi Condensed"/>
                <w:sz w:val="20"/>
                <w:szCs w:val="20"/>
              </w:rPr>
              <w:t xml:space="preserve">, quest'ultima anche perché parte in causa sul tema. Una ricerca produce documenti,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IL_DITTICO_DELLA_RICERCA_AGENDA_E_NOVE_CANTIERI.docx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.pdf`](IL_DITTICO_DELLA_RICERCA_AGENDA_E_NOVE_CANTIERI.pdf)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Il dittico della ricerca — volume rilegato del versante di ricerca della quadriga, in doppia edizione DOCX e PDF.</w:t>
            </w:r>
            <w:r>
              <w:rPr>
                <w:rFonts w:ascii="Barlow Semi Condensed" w:cs="Barlow Semi Condensed" w:eastAsia="Barlow Semi Condensed" w:hAnsi="Barlow Semi Condensed"/>
                <w:sz w:val="20"/>
                <w:szCs w:val="20"/>
              </w:rPr>
              <w:t xml:space="preserve"> Parte prima: l'agenda di ricerca in 300 blocchi mirati (dodici serie con statuto, l'Apparato V-1…V-12). Parte seconda: i nove cantieri in 1.000 blocchi mirati (nove Parti con statuto, l'Apparato C-1…C-9). Milletrecento bersagli documentali in un solo dorso; il gemello operativo (programma + manuale) resta rilegato nel volume del fascicolo aperto. DOCX verificato (1.433 paragrafi, zero residui); </w:t>
            </w:r>
            <w:r>
              <w:rPr>
                <w:rFonts w:ascii="Barlow Semi Condensed" w:cs="Barlow Semi Condensed" w:eastAsia="Barlow Semi Condensed" w:hAnsi="Barlow Semi Condensed"/>
                <w:b/>
                <w:bCs/>
                <w:sz w:val="20"/>
                <w:szCs w:val="20"/>
              </w:rPr>
              <w:t xml:space="preserve">PDF di 134 pagine</w:t>
            </w:r>
            <w:r>
              <w:rPr>
                <w:rFonts w:ascii="Barlow Semi Condensed" w:cs="Barlow Semi Condensed" w:eastAsia="Barlow Semi Condensed" w:hAnsi="Barlow Semi Condensed"/>
                <w:sz w:val="20"/>
                <w:szCs w:val="20"/>
              </w:rPr>
              <w:t xml:space="preserve"> composto tipograficamente in </w:t>
            </w:r>
            <w:r>
              <w:rPr>
                <w:rFonts w:ascii="Barlow Semi Condensed" w:cs="Barlow Semi Condensed" w:eastAsia="Barlow Semi Condensed" w:hAnsi="Barlow Semi Condensed"/>
                <w:b/>
                <w:bCs/>
                <w:sz w:val="20"/>
                <w:szCs w:val="20"/>
              </w:rPr>
              <w:t xml:space="preserve">Barlow Semi Condensed</w:t>
            </w:r>
            <w:r>
              <w:rPr>
                <w:rFonts w:ascii="Barlow Semi Condensed" w:cs="Barlow Semi Condensed" w:eastAsia="Barlow Semi Condensed" w:hAnsi="Barlow Semi Condensed"/>
                <w:sz w:val="20"/>
                <w:szCs w:val="20"/>
              </w:rPr>
              <w:t xml:space="preserve"> (font incorporato) e verificato per campione. La ricerca produce documenti,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note-bibliografiche-opera-integrale.md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L'apparato delle note bibliografiche dell'opera integrale — dalla prima all'ultima</w:t>
            </w:r>
            <w:r>
              <w:rPr>
                <w:rFonts w:ascii="Barlow Semi Condensed" w:cs="Barlow Semi Condensed" w:eastAsia="Barlow Semi Condensed" w:hAnsi="Barlow Semi Condensed"/>
                <w:sz w:val="20"/>
                <w:szCs w:val="20"/>
              </w:rPr>
              <w:t xml:space="preserve">: il censimento meccanico e integrale di tutti gli indirizzi citati nei 35 capitoli (283 indirizzi distinti per 416 citazioni complessive su 139 domini), numerati in ordine di apparizione e registrati sotto il capitolo della prima citazione, con le ripetizioni contate; inclusi gli indirizzi citati in forma semplice senza collegamento (lo stile dell'agenda e dei cantieri). Con il riepilogo dei domini più citati. Generato dai testi e rigenerabile con essi: non una bibliografia selettiva ma l'impronta documentale dell'opera — 283 porte aperte alla verifica. Rilegato come Apparato conclusivo dell'OPERA INTEGRALE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moro-ministro-esteri/</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Cartella: la dimensione diplomatica dello statista.</w:t>
            </w:r>
            <w:r>
              <w:rPr>
                <w:rFonts w:ascii="Barlow Semi Condensed" w:cs="Barlow Semi Condensed" w:eastAsia="Barlow Semi Condensed" w:hAnsi="Barlow Semi Condensed"/>
                <w:sz w:val="20"/>
                <w:szCs w:val="20"/>
              </w:rPr>
              <w:t xml:space="preserve"> Aldo Moro ministro degli Esteri (1969-1974) come complemento documentale della Fase ottava. Contiene: la ricognizione-madre in dodici capitoli (i due mandati, la dottrina dell'equilibrio, il </w:t>
            </w:r>
            <w:r>
              <w:rPr>
                <w:rFonts w:ascii="Barlow Semi Condensed" w:cs="Barlow Semi Condensed" w:eastAsia="Barlow Semi Condensed" w:hAnsi="Barlow Semi Condensed"/>
                <w:b/>
                <w:bCs/>
                <w:sz w:val="20"/>
                <w:szCs w:val="20"/>
              </w:rPr>
              <w:t xml:space="preserve">lodo Moro</w:t>
            </w:r>
            <w:r>
              <w:rPr>
                <w:rFonts w:ascii="Barlow Semi Condensed" w:cs="Barlow Semi Condensed" w:eastAsia="Barlow Semi Condensed" w:hAnsi="Barlow Semi Condensed"/>
                <w:sz w:val="20"/>
                <w:szCs w:val="20"/>
              </w:rPr>
              <w:t xml:space="preserve">, i versanti libico e mediterraneo, CSCE); quattro versanti nazionali che verificano una proposizione confutabile sull'insediamento dell'Opus Dei — </w:t>
            </w:r>
            <w:r>
              <w:rPr>
                <w:rFonts w:ascii="Barlow Semi Condensed" w:cs="Barlow Semi Condensed" w:eastAsia="Barlow Semi Condensed" w:hAnsi="Barlow Semi Condensed"/>
                <w:b/>
                <w:bCs/>
                <w:sz w:val="20"/>
                <w:szCs w:val="20"/>
              </w:rPr>
              <w:t xml:space="preserve">Germania</w:t>
            </w:r>
            <w:r>
              <w:rPr>
                <w:rFonts w:ascii="Barlow Semi Condensed" w:cs="Barlow Semi Condensed" w:eastAsia="Barlow Semi Condensed" w:hAnsi="Barlow Semi Condensed"/>
                <w:sz w:val="20"/>
                <w:szCs w:val="20"/>
              </w:rPr>
              <w:t xml:space="preserve"> (presenza dal 1952) e </w:t>
            </w:r>
            <w:r>
              <w:rPr>
                <w:rFonts w:ascii="Barlow Semi Condensed" w:cs="Barlow Semi Condensed" w:eastAsia="Barlow Semi Condensed" w:hAnsi="Barlow Semi Condensed"/>
                <w:b/>
                <w:bCs/>
                <w:sz w:val="20"/>
                <w:szCs w:val="20"/>
              </w:rPr>
              <w:t xml:space="preserve">Portogallo</w:t>
            </w:r>
            <w:r>
              <w:rPr>
                <w:rFonts w:ascii="Barlow Semi Condensed" w:cs="Barlow Semi Condensed" w:eastAsia="Barlow Semi Condensed" w:hAnsi="Barlow Semi Condensed"/>
                <w:sz w:val="20"/>
                <w:szCs w:val="20"/>
              </w:rPr>
              <w:t xml:space="preserve"> (presenza dal 1945, «Stato Zero» su Moro) contro </w:t>
            </w:r>
            <w:r>
              <w:rPr>
                <w:rFonts w:ascii="Barlow Semi Condensed" w:cs="Barlow Semi Condensed" w:eastAsia="Barlow Semi Condensed" w:hAnsi="Barlow Semi Condensed"/>
                <w:b/>
                <w:bCs/>
                <w:sz w:val="20"/>
                <w:szCs w:val="20"/>
              </w:rPr>
              <w:t xml:space="preserve">Grecia</w:t>
            </w:r>
            <w:r>
              <w:rPr>
                <w:rFonts w:ascii="Barlow Semi Condensed" w:cs="Barlow Semi Condensed" w:eastAsia="Barlow Semi Condensed" w:hAnsi="Barlow Semi Condensed"/>
                <w:sz w:val="20"/>
                <w:szCs w:val="20"/>
              </w:rPr>
              <w:t xml:space="preserve"> e </w:t>
            </w:r>
            <w:r>
              <w:rPr>
                <w:rFonts w:ascii="Barlow Semi Condensed" w:cs="Barlow Semi Condensed" w:eastAsia="Barlow Semi Condensed" w:hAnsi="Barlow Semi Condensed"/>
                <w:b/>
                <w:bCs/>
                <w:sz w:val="20"/>
                <w:szCs w:val="20"/>
              </w:rPr>
              <w:t xml:space="preserve">Turchia</w:t>
            </w:r>
            <w:r>
              <w:rPr>
                <w:rFonts w:ascii="Barlow Semi Condensed" w:cs="Barlow Semi Condensed" w:eastAsia="Barlow Semi Condensed" w:hAnsi="Barlow Semi Condensed"/>
                <w:sz w:val="20"/>
                <w:szCs w:val="20"/>
              </w:rPr>
              <w:t xml:space="preserve"> («Stato Zero»), ciascuno col rispettivo versante moroteo (Ostpolitik e Moro-Brandt/Scheel; Grecia dei colonnelli e Consiglio d'Europa 1969; Accordo provvisorio CEE-Turchia firmato da Moro il 27/7/1971; Cipro 1974, embargo, oppiacei, Halki); il dossier </w:t>
            </w:r>
            <w:r>
              <w:rPr>
                <w:rFonts w:ascii="Barlow Semi Condensed" w:cs="Barlow Semi Condensed" w:eastAsia="Barlow Semi Condensed" w:hAnsi="Barlow Semi Condensed"/>
                <w:b/>
                <w:bCs/>
                <w:sz w:val="20"/>
                <w:szCs w:val="20"/>
              </w:rPr>
              <w:t xml:space="preserve">Santa Sede-Turchia e l'attentato del 13/5/1981 a Giovanni Paolo II</w:t>
            </w:r>
            <w:r>
              <w:rPr>
                <w:rFonts w:ascii="Barlow Semi Condensed" w:cs="Barlow Semi Condensed" w:eastAsia="Barlow Semi Condensed" w:hAnsi="Barlow Semi Condensed"/>
                <w:sz w:val="20"/>
                <w:szCs w:val="20"/>
              </w:rPr>
              <w:t xml:space="preserve"> (pista bulgara giudizialmente non provata; «appartenenza ≠ condotta» per i Lupi Grigi); una nota che estrae dall'OCR i </w:t>
            </w:r>
            <w:r>
              <w:rPr>
                <w:rFonts w:ascii="Barlow Semi Condensed" w:cs="Barlow Semi Condensed" w:eastAsia="Barlow Semi Condensed" w:hAnsi="Barlow Semi Condensed"/>
                <w:b/>
                <w:bCs/>
                <w:sz w:val="20"/>
                <w:szCs w:val="20"/>
              </w:rPr>
              <w:t xml:space="preserve">documenti del Dipartimento di Stato USA</w:t>
            </w:r>
            <w:r>
              <w:rPr>
                <w:rFonts w:ascii="Barlow Semi Condensed" w:cs="Barlow Semi Condensed" w:eastAsia="Barlow Semi Condensed" w:hAnsi="Barlow Semi Condensed"/>
                <w:sz w:val="20"/>
                <w:szCs w:val="20"/>
              </w:rPr>
              <w:t xml:space="preserve"> — la visita ufficiale del 1965 (Johnson, ONU, cittadinanza di Philadelphia) e i cablogrammi del 1978 (Montoneros, reazioni alla morte). Le tre firme convergenti (Moro, Santa Sede, Turchia) sull'Atto finale di Helsinki come triangolazione certa. </w:t>
            </w:r>
            <w:r>
              <w:rPr>
                <w:rFonts w:ascii="Barlow Semi Condensed" w:cs="Barlow Semi Condensed" w:eastAsia="Barlow Semi Condensed" w:hAnsi="Barlow Semi Condensed"/>
                <w:b/>
                <w:bCs/>
                <w:sz w:val="20"/>
                <w:szCs w:val="20"/>
              </w:rPr>
              <w:t xml:space="preserve">Seconda campagna (25 agosto 2026): tre ricognizioni nuove</w:t>
            </w:r>
            <w:r>
              <w:rPr>
                <w:rFonts w:ascii="Barlow Semi Condensed" w:cs="Barlow Semi Condensed" w:eastAsia="Barlow Semi Condensed" w:hAnsi="Barlow Semi Condensed"/>
                <w:sz w:val="20"/>
                <w:szCs w:val="20"/>
              </w:rPr>
              <w:t xml:space="preserve"> — i documenti di Stato italiani e spagnoli con l'Opus Dei come soggetto storico (documento CIA del 22/5/1970; la frase anonima sull'«Italian official» </w:t>
            </w:r>
            <w:r>
              <w:rPr>
                <w:rFonts w:ascii="Barlow Semi Condensed" w:cs="Barlow Semi Condensed" w:eastAsia="Barlow Semi Condensed" w:hAnsi="Barlow Semi Condensed"/>
                <w:b/>
                <w:bCs/>
                <w:sz w:val="20"/>
                <w:szCs w:val="20"/>
              </w:rPr>
              <w:t xml:space="preserve">non attribuibile a Moro</w:t>
            </w:r>
            <w:r>
              <w:rPr>
                <w:rFonts w:ascii="Barlow Semi Condensed" w:cs="Barlow Semi Condensed" w:eastAsia="Barlow Semi Condensed" w:hAnsi="Barlow Semi Condensed"/>
                <w:sz w:val="20"/>
                <w:szCs w:val="20"/>
              </w:rPr>
              <w:t xml:space="preserve">; Stato Zero sul contatto diretto coi ministri spagnoli); la Santa Sede e le due Germanie con l'</w:t>
            </w:r>
            <w:r>
              <w:rPr>
                <w:rFonts w:ascii="Barlow Semi Condensed" w:cs="Barlow Semi Condensed" w:eastAsia="Barlow Semi Condensed" w:hAnsi="Barlow Semi Condensed"/>
                <w:b/>
                <w:bCs/>
                <w:sz w:val="20"/>
                <w:szCs w:val="20"/>
              </w:rPr>
              <w:t xml:space="preserve">accertamento della sequenza Oder-Neisse</w:t>
            </w:r>
            <w:r>
              <w:rPr>
                <w:rFonts w:ascii="Barlow Semi Condensed" w:cs="Barlow Semi Condensed" w:eastAsia="Barlow Semi Condensed" w:hAnsi="Barlow Semi Condensed"/>
                <w:sz w:val="20"/>
                <w:szCs w:val="20"/>
              </w:rPr>
              <w:t xml:space="preserve"> (costituzioni apostoliche del 28/6/1972, venticinque giorni dopo l'entrata in vigore del Trattato di Varsavia, col nesso attestato dalla comunicazione vaticana e non dalla sola prossimità); il Portogallo e la Santa Sede (udienza di Paolo VI dell'1/7/1970, Wiriyamu, espulsione dei comboniani del 13/4/1974, </w:t>
            </w:r>
            <w:r>
              <w:rPr>
                <w:rFonts w:ascii="Barlow Semi Condensed" w:cs="Barlow Semi Condensed" w:eastAsia="Barlow Semi Condensed" w:hAnsi="Barlow Semi Condensed"/>
                <w:b/>
                <w:bCs/>
                <w:sz w:val="20"/>
                <w:szCs w:val="20"/>
              </w:rPr>
              <w:t xml:space="preserve">nessun atto italiano reperito</w:t>
            </w:r>
            <w:r>
              <w:rPr>
                <w:rFonts w:ascii="Barlow Semi Condensed" w:cs="Barlow Semi Condensed" w:eastAsia="Barlow Semi Condensed" w:hAnsi="Barlow Semi Condensed"/>
                <w:sz w:val="20"/>
                <w:szCs w:val="20"/>
              </w:rPr>
              <w:t xml:space="preserve">) — e il </w:t>
            </w:r>
            <w:r>
              <w:rPr>
                <w:rFonts w:ascii="Barlow Semi Condensed" w:cs="Barlow Semi Condensed" w:eastAsia="Barlow Semi Condensed" w:hAnsi="Barlow Semi Condensed"/>
                <w:b/>
                <w:bCs/>
                <w:sz w:val="20"/>
                <w:szCs w:val="20"/>
              </w:rPr>
              <w:t xml:space="preserve">verbale delle sei letture incrociate</w:t>
            </w:r>
            <w:r>
              <w:rPr>
                <w:rFonts w:ascii="Barlow Semi Condensed" w:cs="Barlow Semi Condensed" w:eastAsia="Barlow Semi Condensed" w:hAnsi="Barlow Semi Condensed"/>
                <w:sz w:val="20"/>
                <w:szCs w:val="20"/>
              </w:rPr>
              <w:t xml:space="preserve"> in `</w:t>
            </w:r>
            <w:r>
              <w:rPr>
                <w:rFonts w:ascii="Barlow Semi Condensed" w:cs="Barlow Semi Condensed" w:eastAsia="Barlow Semi Condensed" w:hAnsi="Barlow Semi Condensed"/>
                <w:i/>
                <w:iCs/>
                <w:sz w:val="20"/>
                <w:szCs w:val="20"/>
              </w:rPr>
              <w:t xml:space="preserve">triangolazione-seconda-campagna.md</w:t>
            </w:r>
            <w:r>
              <w:rPr>
                <w:rFonts w:ascii="Barlow Semi Condensed" w:cs="Barlow Semi Condensed" w:eastAsia="Barlow Semi Condensed" w:hAnsi="Barlow Semi Condensed"/>
                <w:i/>
                <w:iCs/>
                <w:sz w:val="20"/>
                <w:szCs w:val="20"/>
              </w:rPr>
              <w:t xml:space="preserve">, con quindici acquisizioni, cinque correzioni (due dal corpus verso i documenti nuovi), otto divergenze lasciate aperte, sei Stati Zero condivisi e **tre correzioni imposte alla quadriga investigativa**. Con </w:t>
            </w:r>
            <w:r>
              <w:rPr>
                <w:rFonts w:ascii="Barlow Semi Condensed" w:cs="Barlow Semi Condensed" w:eastAsia="Barlow Semi Condensed" w:hAnsi="Barlow Semi Condensed"/>
                <w:sz w:val="20"/>
                <w:szCs w:val="20"/>
              </w:rPr>
              <w:t xml:space="preserve">manifest-sha256.txt` (catena di custodia, due file Germania identici deduplicati). Nessuna imputazione oltre il giudicato; esiti negativi dichiarati come acquisizioni di pieno 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ALDO_MORO_UNA_GUERRA_SENZA_FINE_OPERA_COMPLETA.docx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.pdf`](ALDO_MORO_UNA_GUERRA_SENZA_FINE_OPERA_COMPLETA.pdf) (57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integrale rilegato dell'intera opera</w:t>
            </w:r>
            <w:r>
              <w:rPr>
                <w:rFonts w:ascii="Barlow Semi Condensed" w:cs="Barlow Semi Condensed" w:eastAsia="Barlow Semi Condensed" w:hAnsi="Barlow Semi Condensed"/>
                <w:sz w:val="20"/>
                <w:szCs w:val="20"/>
              </w:rPr>
              <w:t xml:space="preserve"> su Moro, nell'ordine di lettura consigliato: Fase ottava (il ritratto), «Dal Che a Moro» (il saggio-cerniera con la Parte quarta pastiche dichiarato), Parte terza (il dossier delle questioni aperte), Fase sesta (il presidio del garante), Fase settima (il registro giudiziario), Fase nona (il repertorio), Fase decima (il principio personalistico: le responsabilità dei singoli, mai dei gruppi), Apparato dei gradi (indice analitico, in appendice). Frontespizio con l'ordine dell'opera e la disciplina dei gradi, indice, Barlow Semi Condensed 12, testo interamente giustificato. Verificato (45 H1, 10 tabelle). L'uomo al principio; nessuna imputazione oltre il giudicato; la graduatoria non riprodotta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ALDO_MORO_UNA_GUERRA_SENZA_FINE_TRE_NUOVE_FASI.docx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.pdf`](ALDO_MORO_UNA_GUERRA_SENZA_FINE_TRE_NUOVE_FASI.pdf) (26 pagine)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Volume rilegato .docx delle tre continuazioni più recenti dell'opera (capp. 56-76): Fase ottava (il ritratto dell'uomo), Fase settima (il registro giudiziario), Fase nona (il repertorio del caso). Frontespizio con l'ordine di lettura e la disciplina dei gradi, indice, Barlow Semi Condensed 12, testo interamente giustificato, fonti con indirizzi. Verificato strutturalmente (26 H1, 3 tabelle)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ALDO_MORO_UNA_GUERRA_SENZA_FINE_TRE_CONTINUAZIONI.docx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.pdf`](ALDO_MORO_UNA_GUERRA_SENZA_FINE_TRE_CONTINUAZIONI.pdf) (20 pagine)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Volume rilegato delle tre continuazioni originali dell'opera (Il ritorno del Pollo di Popper · Il presidio del garante · L'apparato dei gradi), in doppia edizione DOCX e PDF, Barlow Semi Condensed 12, testo interamente giustificato. Verificato strutturalmente (13 H1, 5 tabelle). Nessuna persona indicata come responsabile oltre il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ALDO_MORO_MINISTRO_DEGLI_ESTERI_LA_DIMENSIONE_DIPLOMATICA.docx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.pdf`](ALDO_MORO_MINISTRO_DEGLI_ESTERI_LA_DIMENSIONE_DIPLOMATICA.pdf) (145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.docx della cartella ``moro-ministro-esteri/``</w:t>
            </w:r>
            <w:r>
              <w:rPr>
                <w:rFonts w:ascii="Barlow Semi Condensed" w:cs="Barlow Semi Condensed" w:eastAsia="Barlow Semi Condensed" w:hAnsi="Barlow Semi Condensed"/>
                <w:sz w:val="20"/>
                <w:szCs w:val="20"/>
              </w:rPr>
              <w:t xml:space="preserve">: la dimensione diplomatica dello statista in </w:t>
            </w:r>
            <w:r>
              <w:rPr>
                <w:rFonts w:ascii="Barlow Semi Condensed" w:cs="Barlow Semi Condensed" w:eastAsia="Barlow Semi Condensed" w:hAnsi="Barlow Semi Condensed"/>
                <w:b/>
                <w:bCs/>
                <w:sz w:val="20"/>
                <w:szCs w:val="20"/>
              </w:rPr>
              <w:t xml:space="preserve">undici parti</w:t>
            </w:r>
            <w:r>
              <w:rPr>
                <w:rFonts w:ascii="Barlow Semi Condensed" w:cs="Barlow Semi Condensed" w:eastAsia="Barlow Semi Condensed" w:hAnsi="Barlow Semi Condensed"/>
                <w:sz w:val="20"/>
                <w:szCs w:val="20"/>
              </w:rPr>
              <w:t xml:space="preserve"> — la collazione d'apertura, la ricognizione-madre sui due mandati (1969-1974), i quattro versanti nazionali (Germania, Portogallo, Grecia, Turchia con l'Opus Dei), il dossier Santa Sede-Turchia con l'attentato del 1981 a Giovanni Paolo II, </w:t>
            </w:r>
            <w:r>
              <w:rPr>
                <w:rFonts w:ascii="Barlow Semi Condensed" w:cs="Barlow Semi Condensed" w:eastAsia="Barlow Semi Condensed" w:hAnsi="Barlow Semi Condensed"/>
                <w:b/>
                <w:bCs/>
                <w:sz w:val="20"/>
                <w:szCs w:val="20"/>
              </w:rPr>
              <w:t xml:space="preserve">le tre ricognizioni della seconda campagna</w:t>
            </w:r>
            <w:r>
              <w:rPr>
                <w:rFonts w:ascii="Barlow Semi Condensed" w:cs="Barlow Semi Condensed" w:eastAsia="Barlow Semi Condensed" w:hAnsi="Barlow Semi Condensed"/>
                <w:sz w:val="20"/>
                <w:szCs w:val="20"/>
              </w:rPr>
              <w:t xml:space="preserve"> (documenti italiani e spagnoli con l'Opus Dei; la Santa Sede e le due Germanie con la sequenza Oder-Neisse; il Portogallo e la Santa Sede), </w:t>
            </w:r>
            <w:r>
              <w:rPr>
                <w:rFonts w:ascii="Barlow Semi Condensed" w:cs="Barlow Semi Condensed" w:eastAsia="Barlow Semi Condensed" w:hAnsi="Barlow Semi Condensed"/>
                <w:b/>
                <w:bCs/>
                <w:sz w:val="20"/>
                <w:szCs w:val="20"/>
              </w:rPr>
              <w:t xml:space="preserve">la triangolazione della seconda campagna</w:t>
            </w:r>
            <w:r>
              <w:rPr>
                <w:rFonts w:ascii="Barlow Semi Condensed" w:cs="Barlow Semi Condensed" w:eastAsia="Barlow Semi Condensed" w:hAnsi="Barlow Semi Condensed"/>
                <w:sz w:val="20"/>
                <w:szCs w:val="20"/>
              </w:rPr>
              <w:t xml:space="preserve"> e, in appendice, i documenti del Dipartimento di Stato USA (1965 e 1978). Frontespizio con l'ordine del volume e la disciplina, indice, Barlow Semi Condensed 12, testo interamente giustificato, fonti con indirizzi per la tracciabilità. Verificato strutturalmente (25 H1, 96 H2, 6 tabelle; 652 paragrafi, testo giustificato con sillabazione). Nessuna imputazione oltre il giudicato; esiti negativi dichiarati; pista bulgara qualificata come non provata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ALDO_MORO_FASE_DECIMA_IL_PRINCIPIO_PERSONALISTICO.docx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.pdf`](ALDO_MORO_FASE_DECIMA_IL_PRINCIPIO_PERSONALISTICO.pdf) (17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.docx della Fase decima</w:t>
            </w:r>
            <w:r>
              <w:rPr>
                <w:rFonts w:ascii="Barlow Semi Condensed" w:cs="Barlow Semi Condensed" w:eastAsia="Barlow Semi Condensed" w:hAnsi="Barlow Semi Condensed"/>
                <w:sz w:val="20"/>
                <w:szCs w:val="20"/>
              </w:rPr>
              <w:t xml:space="preserve"> (capp. 77-82) con, in appendice, la triangolazione dei tredici condannati con il corpus. Frontespizio con l'ordine del volume e la disciplina, indice, Barlow Semi Condensed 12, testo interamente giustificato, fonti con indirizzi. Verificato strutturalmente (11 H1, 16 H2, 4 tabelle; tabella del registro = intestazione + 13 persone). Nessuna graduatoria né percentuale; nessun ponte promosso a nesso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LA_TERZA_STRADA_CEPPO_SIMIONI_E_NODO_HYPERION.docx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.pdf`](LA_TERZA_STRADA_CEPPO_SIMIONI_E_NODO_HYPERION.pdf) (18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.docx del dittico della «terza strada»</w:t>
            </w:r>
            <w:r>
              <w:rPr>
                <w:rFonts w:ascii="Barlow Semi Condensed" w:cs="Barlow Semi Condensed" w:eastAsia="Barlow Semi Condensed" w:hAnsi="Barlow Semi Condensed"/>
                <w:sz w:val="20"/>
                <w:szCs w:val="20"/>
              </w:rPr>
              <w:t xml:space="preserve">: pannello primo, lo studio monografico del ceppo Simioni (CPM → Superclan → Hyperion, nove capitoli); pannello secondo, la triangolazione del nodo Hyperion con il corpus (HY-1…HY-9). Frontespizio con l'esito in testa (proscioglimenti e assoluzioni per tutti), indice, Barlow Semi Condensed 12, testo interamente giustificato, fonti con indirizzi. Verificato strutturalmente (15 H1, 3 tabelle). Il «fu assolto, ma» bandito; nessuna tesi oltre il grado C</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IL_CODICE_E_LA_SUA_TRASMISSIONE_KISSINGER_MILLE_BLOCCHI.docx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.pdf`](IL_CODICE_E_LA_SUA_TRASMISSIONE_KISSINGER_MILLE_BLOCCHI.pdf) (626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dell'opera Kissinger, in doppia edizione DOCX e PDF.</w:t>
            </w:r>
            <w:r>
              <w:rPr>
                <w:rFonts w:ascii="Barlow Semi Condensed" w:cs="Barlow Semi Condensed" w:eastAsia="Barlow Semi Condensed" w:hAnsi="Barlow Semi Condensed"/>
                <w:sz w:val="20"/>
                <w:szCs w:val="20"/>
              </w:rPr>
              <w:t xml:space="preserve"> I 4.999 blocchi mirati nelle sessantacinque serie, col frontespizio che dichiara la chiave («Kissinger rappresenta metaforicamente la genetica» — lente e non sentenza), la regola dei tre piani e l'esito in testa: </w:t>
            </w:r>
            <w:r>
              <w:rPr>
                <w:rFonts w:ascii="Barlow Semi Condensed" w:cs="Barlow Semi Condensed" w:eastAsia="Barlow Semi Condensed" w:hAnsi="Barlow Semi Condensed"/>
                <w:b/>
                <w:bCs/>
                <w:sz w:val="20"/>
                <w:szCs w:val="20"/>
              </w:rPr>
              <w:t xml:space="preserve">nessuna condanna, nessuna imputazione, nessun blocco che indichi alcuno come responsabile di reato</w:t>
            </w:r>
            <w:r>
              <w:rPr>
                <w:rFonts w:ascii="Barlow Semi Condensed" w:cs="Barlow Semi Condensed" w:eastAsia="Barlow Semi Condensed" w:hAnsi="Barlow Semi Condensed"/>
                <w:sz w:val="20"/>
                <w:szCs w:val="20"/>
              </w:rPr>
              <w:t xml:space="preserve">. Indice, Barlow Semi Condensed, testo interamente giustificato con sillabazione automatica in entrambe le edizioni. In coda: «Che cosa quest'opera non ha stabilito» e l'</w:t>
            </w:r>
            <w:r>
              <w:rPr>
                <w:rFonts w:ascii="Barlow Semi Condensed" w:cs="Barlow Semi Condensed" w:eastAsia="Barlow Semi Condensed" w:hAnsi="Barlow Semi Condensed"/>
                <w:b/>
                <w:bCs/>
                <w:sz w:val="20"/>
                <w:szCs w:val="20"/>
              </w:rPr>
              <w:t xml:space="preserve">Apparato K</w:t>
            </w:r>
            <w:r>
              <w:rPr>
                <w:rFonts w:ascii="Barlow Semi Condensed" w:cs="Barlow Semi Condensed" w:eastAsia="Barlow Semi Condensed" w:hAnsi="Barlow Semi Condensed"/>
                <w:sz w:val="20"/>
                <w:szCs w:val="20"/>
              </w:rPr>
              <w:t xml:space="preserve"> delle verifiche. In biologia il carattere si eredita, in storia la responsabilità 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IL_MERIDIANO_E_LA_VALLE_DAL_SUD_AFRICA_ALLA_PAYPAL_MAFIA.docx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.pdf`](IL_MERIDIANO_E_LA_VALLE_DAL_SUD_AFRICA_ALLA_PAYPAL_MAFIA.pdf) (133 pagine)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del Libro quattordicesimo, in doppia edizione DOCX e PDF.</w:t>
            </w:r>
            <w:r>
              <w:rPr>
                <w:rFonts w:ascii="Barlow Semi Condensed" w:cs="Barlow Semi Condensed" w:eastAsia="Barlow Semi Condensed" w:hAnsi="Barlow Semi Condensed"/>
                <w:sz w:val="20"/>
                <w:szCs w:val="20"/>
              </w:rPr>
              <w:t xml:space="preserve"> I 1.000 blocchi mirati di ricerca nelle tredici serie, col frontespizio che dichiara la chiave (lente e non sentenza, ipotesi e non premessa), la regola dei tre piani e lo statuto delle persone: </w:t>
            </w:r>
            <w:r>
              <w:rPr>
                <w:rFonts w:ascii="Barlow Semi Condensed" w:cs="Barlow Semi Condensed" w:eastAsia="Barlow Semi Condensed" w:hAnsi="Barlow Semi Condensed"/>
                <w:b/>
                <w:bCs/>
                <w:sz w:val="20"/>
                <w:szCs w:val="20"/>
              </w:rPr>
              <w:t xml:space="preserve">nessun blocco indica alcuno come responsabile di reato o di illecito</w:t>
            </w:r>
            <w:r>
              <w:rPr>
                <w:rFonts w:ascii="Barlow Semi Condensed" w:cs="Barlow Semi Condensed" w:eastAsia="Barlow Semi Condensed" w:hAnsi="Barlow Semi Condensed"/>
                <w:sz w:val="20"/>
                <w:szCs w:val="20"/>
              </w:rPr>
              <w:t xml:space="preserve">; l'origine non è una colpa e l'infanzia non è una scelta. Indice, Barlow Semi Condensed, testo interamente giustificato con sillabazione automatica in entrambe le edizioni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IL_FASCICOLO_APERTO_PROGRAMMA_INVESTIGATIVO.docx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.pdf`](IL_FASCICOLO_APERTO_PROGRAMMA_INVESTIGATIVO.pdf)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Volume rilegato del versante investigativo, in doppia edizione DOCX e PDF — edizione aggiornata e completa.</w:t>
            </w:r>
            <w:r>
              <w:rPr>
                <w:rFonts w:ascii="Barlow Semi Condensed" w:cs="Barlow Semi Condensed" w:eastAsia="Barlow Semi Condensed" w:hAnsi="Barlow Semi Condensed"/>
                <w:sz w:val="20"/>
                <w:szCs w:val="20"/>
              </w:rPr>
              <w:t xml:space="preserve"> Parte prima: il programma e le graduatorie. Parte seconda: le schede delle piste di testa con la Nota di revisione n. 1. Parte terza: </w:t>
            </w:r>
            <w:r>
              <w:rPr>
                <w:rFonts w:ascii="Barlow Semi Condensed" w:cs="Barlow Semi Condensed" w:eastAsia="Barlow Semi Condensed" w:hAnsi="Barlow Semi Condensed"/>
                <w:b/>
                <w:bCs/>
                <w:sz w:val="20"/>
                <w:szCs w:val="20"/>
              </w:rPr>
              <w:t xml:space="preserve">tutte e sei</w:t>
            </w:r>
            <w:r>
              <w:rPr>
                <w:rFonts w:ascii="Barlow Semi Condensed" w:cs="Barlow Semi Condensed" w:eastAsia="Barlow Semi Condensed" w:hAnsi="Barlow Semi Condensed"/>
                <w:sz w:val="20"/>
                <w:szCs w:val="20"/>
              </w:rPr>
              <w:t xml:space="preserve"> le schede delle entità (comitati, via Gradoli, condominio, mediazione vaticana, alleati, registro delle segnalazioni). </w:t>
            </w:r>
            <w:r>
              <w:rPr>
                <w:rFonts w:ascii="Barlow Semi Condensed" w:cs="Barlow Semi Condensed" w:eastAsia="Barlow Semi Condensed" w:hAnsi="Barlow Semi Condensed"/>
                <w:b/>
                <w:bCs/>
                <w:sz w:val="20"/>
                <w:szCs w:val="20"/>
              </w:rPr>
              <w:t xml:space="preserve">Parte quarta: il manuale del nuovo Caso Moro in quattrocento blocchi mirati (seconda edizione accresciuta)</w:t>
            </w:r>
            <w:r>
              <w:rPr>
                <w:rFonts w:ascii="Barlow Semi Condensed" w:cs="Barlow Semi Condensed" w:eastAsia="Barlow Semi Condensed" w:hAnsi="Barlow Semi Condensed"/>
                <w:sz w:val="20"/>
                <w:szCs w:val="20"/>
              </w:rPr>
              <w:t xml:space="preserve">, con la nota d'edizione al blocco 300. DOCX verificato (628 paragrafi, 10 H1, 3 tabelle, zero residui); </w:t>
            </w:r>
            <w:r>
              <w:rPr>
                <w:rFonts w:ascii="Barlow Semi Condensed" w:cs="Barlow Semi Condensed" w:eastAsia="Barlow Semi Condensed" w:hAnsi="Barlow Semi Condensed"/>
                <w:b/>
                <w:bCs/>
                <w:sz w:val="20"/>
                <w:szCs w:val="20"/>
              </w:rPr>
              <w:t xml:space="preserve">PDF di 60 pagine</w:t>
            </w:r>
            <w:r>
              <w:rPr>
                <w:rFonts w:ascii="Barlow Semi Condensed" w:cs="Barlow Semi Condensed" w:eastAsia="Barlow Semi Condensed" w:hAnsi="Barlow Semi Condensed"/>
                <w:sz w:val="20"/>
                <w:szCs w:val="20"/>
              </w:rPr>
              <w:t xml:space="preserve"> composto tipograficamente in </w:t>
            </w:r>
            <w:r>
              <w:rPr>
                <w:rFonts w:ascii="Barlow Semi Condensed" w:cs="Barlow Semi Condensed" w:eastAsia="Barlow Semi Condensed" w:hAnsi="Barlow Semi Condensed"/>
                <w:b/>
                <w:bCs/>
                <w:sz w:val="20"/>
                <w:szCs w:val="20"/>
              </w:rPr>
              <w:t xml:space="preserve">Barlow Semi Condensed</w:t>
            </w:r>
            <w:r>
              <w:rPr>
                <w:rFonts w:ascii="Barlow Semi Condensed" w:cs="Barlow Semi Condensed" w:eastAsia="Barlow Semi Condensed" w:hAnsi="Barlow Semi Condensed"/>
                <w:sz w:val="20"/>
                <w:szCs w:val="20"/>
              </w:rPr>
              <w:t xml:space="preserve"> (font incorporato) e verificato per campione. Un'indagine produce atti, non colpevoli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UNA_GUERRA_SENZA_FINE_OPERA_INTEGRALE.docx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.pdf`](UNA_GUERRA_SENZA_FINE_OPERA_INTEGRALE.pdf)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«ALDO MORO — OTTANTA ANNI DI PACE» — L'OPERA INTEGRALE</w:t>
            </w:r>
            <w:r>
              <w:rPr>
                <w:rFonts w:ascii="Barlow Semi Condensed" w:cs="Barlow Semi Condensed" w:eastAsia="Barlow Semi Condensed" w:hAnsi="Barlow Semi Condensed"/>
                <w:sz w:val="20"/>
                <w:szCs w:val="20"/>
              </w:rPr>
              <w:t xml:space="preserve"> (il titolo è la chiave interpretativa scelta dall'autore, dichiarata in copertina come lente e non sentenza, e portatrice di due letture che l'opera non scioglie — gli ottant'anni dal 1945 e il decennio che il 1978 apre; l'opera resta, nel suo nome proprio, «Una guerra senza fine») — l'intero corpus storico del branch in un solo volume</w:t>
            </w:r>
            <w:r>
              <w:rPr>
                <w:rFonts w:ascii="Barlow Semi Condensed" w:cs="Barlow Semi Condensed" w:eastAsia="Barlow Semi Condensed" w:hAnsi="Barlow Semi Condensed"/>
                <w:b/>
                <w:bCs/>
                <w:sz w:val="20"/>
                <w:szCs w:val="20"/>
              </w:rPr>
              <w:t xml:space="preserve">, in doppia edizione DOCX e PDF: il Portale (l'edizione strutturata), i quattordici Libri (il ritratto; Dal Che a Moro; la parabola di Guevara in sei studi; </w:t>
            </w:r>
            <w:r>
              <w:rPr>
                <w:rFonts w:ascii="Barlow Semi Condensed" w:cs="Barlow Semi Condensed" w:eastAsia="Barlow Semi Condensed" w:hAnsi="Barlow Semi Condensed"/>
                <w:sz w:val="20"/>
                <w:szCs w:val="20"/>
              </w:rPr>
              <w:t xml:space="preserve">il Dossier maggiore dell'autore, «Una Pace senza Pace · Tutta la verità», conservato per intero come volume nel volume, con la divergenza di regime dichiarata in sua apertura</w:t>
            </w:r>
            <w:r>
              <w:rPr>
                <w:rFonts w:ascii="Barlow Semi Condensed" w:cs="Barlow Semi Condensed" w:eastAsia="Barlow Semi Condensed" w:hAnsi="Barlow Semi Condensed"/>
                <w:b/>
                <w:bCs/>
                <w:sz w:val="20"/>
                <w:szCs w:val="20"/>
              </w:rPr>
              <w:t xml:space="preserve">; il vettore e il ceppo in cinque; il filo del 1926 in tre; le questioni aperte; il metodo col presidio del garante e le metodologie calcolate; il registro giudiziario; il repertorio; le responsabilità personali col principio personalistico e la prosopografia; la dimensione diplomatica con la collazione Farnesina, i documenti State Dept e le pene oltre confine; </w:t>
            </w:r>
            <w:r>
              <w:rPr>
                <w:rFonts w:ascii="Barlow Semi Condensed" w:cs="Barlow Semi Condensed" w:eastAsia="Barlow Semi Condensed" w:hAnsi="Barlow Semi Condensed"/>
                <w:sz w:val="20"/>
                <w:szCs w:val="20"/>
              </w:rPr>
              <w:t xml:space="preserve">il fascicolo aperto in sette parti, con l'intera quadriga investigativa — il programma, il manuale in 400 blocchi, l'agenda in 300, i nove cantieri in 1.000 — e, in chiusura, la triangolazione di un solo nome contro tutto il corpus in altri 1.000: «Il codice e la sua trasmissione»</w:t>
            </w:r>
            <w:r>
              <w:rPr>
                <w:rFonts w:ascii="Barlow Semi Condensed" w:cs="Barlow Semi Condensed" w:eastAsia="Barlow Semi Condensed" w:hAnsi="Barlow Semi Condensed"/>
                <w:b/>
                <w:bCs/>
                <w:sz w:val="20"/>
                <w:szCs w:val="20"/>
              </w:rPr>
              <w:t xml:space="preserve">) e le quattro Appendici (l'apparato dei gradi; il pastiche dichiarato; la verifica di un elenco esterno, con lo Stato Zero sul calcolo per finestra temporale; e l'Appendice IV, che assorbe nel volume l'apparato di navigazione — guida e indice — e i tredici documenti del dossier di invio, sicché nessuna parte dell'opera resta fuori dal volume salvo il registro delle impronte, che non vi può entrare perché elenca impronte che la ricomposizione stessa cambia). </w:t>
            </w:r>
            <w:r>
              <w:rPr>
                <w:rFonts w:ascii="Barlow Semi Condensed" w:cs="Barlow Semi Condensed" w:eastAsia="Barlow Semi Condensed" w:hAnsi="Barlow Semi Condensed"/>
                <w:sz w:val="20"/>
                <w:szCs w:val="20"/>
              </w:rPr>
              <w:t xml:space="preserve">Centosette documenti</w:t>
            </w:r>
            <w:r>
              <w:rPr>
                <w:rFonts w:ascii="Barlow Semi Condensed" w:cs="Barlow Semi Condensed" w:eastAsia="Barlow Semi Condensed" w:hAnsi="Barlow Semi Condensed"/>
                <w:b/>
                <w:bCs/>
                <w:sz w:val="20"/>
                <w:szCs w:val="20"/>
              </w:rPr>
              <w:t xml:space="preserve"> in ordine di lettura — </w:t>
            </w:r>
            <w:r>
              <w:rPr>
                <w:rFonts w:ascii="Barlow Semi Condensed" w:cs="Barlow Semi Condensed" w:eastAsia="Barlow Semi Condensed" w:hAnsi="Barlow Semi Condensed"/>
                <w:sz w:val="20"/>
                <w:szCs w:val="20"/>
              </w:rPr>
              <w:t xml:space="preserve">settima edizione accresciuta</w:t>
            </w:r>
            <w:r>
              <w:rPr>
                <w:rFonts w:ascii="Barlow Semi Condensed" w:cs="Barlow Semi Condensed" w:eastAsia="Barlow Semi Condensed" w:hAnsi="Barlow Semi Condensed"/>
                <w:b/>
                <w:bCs/>
                <w:sz w:val="20"/>
                <w:szCs w:val="20"/>
              </w:rPr>
              <w:t xml:space="preserve">, che aggiunge il </w:t>
            </w:r>
            <w:r>
              <w:rPr>
                <w:rFonts w:ascii="Barlow Semi Condensed" w:cs="Barlow Semi Condensed" w:eastAsia="Barlow Semi Condensed" w:hAnsi="Barlow Semi Condensed"/>
                <w:sz w:val="20"/>
                <w:szCs w:val="20"/>
              </w:rPr>
              <w:t xml:space="preserve">Libro sedicesimo, «Le tavole della custodia»</w:t>
            </w:r>
            <w:r>
              <w:rPr>
                <w:rFonts w:ascii="Barlow Semi Condensed" w:cs="Barlow Semi Condensed" w:eastAsia="Barlow Semi Condensed" w:hAnsi="Barlow Semi Condensed"/>
                <w:b/>
                <w:bCs/>
                <w:sz w:val="20"/>
                <w:szCs w:val="20"/>
              </w:rPr>
              <w:t xml:space="preserve">, in cinque parti. Chiude il volume l'</w:t>
            </w:r>
            <w:r>
              <w:rPr>
                <w:rFonts w:ascii="Barlow Semi Condensed" w:cs="Barlow Semi Condensed" w:eastAsia="Barlow Semi Condensed" w:hAnsi="Barlow Semi Condensed"/>
                <w:sz w:val="20"/>
                <w:szCs w:val="20"/>
              </w:rPr>
              <w:t xml:space="preserve">apparato conclusivo delle note bibliografiche, dalla prima all'ultima</w:t>
            </w:r>
            <w:r>
              <w:rPr>
                <w:rFonts w:ascii="Barlow Semi Condensed" w:cs="Barlow Semi Condensed" w:eastAsia="Barlow Semi Condensed" w:hAnsi="Barlow Semi Condensed"/>
                <w:b/>
                <w:bCs/>
                <w:sz w:val="20"/>
                <w:szCs w:val="20"/>
              </w:rPr>
              <w:t xml:space="preserve"> (692 indirizzi distinti per 1.258 citazioni su 358 domini, numerati in ordine di apparizione, coi propri due grafici 3D — che da questa edizione stanno sull'apparato stesso e non più, per un indice cablato, sul capitolo che li precedeva). DOCX verificato (1.183.437 parole, 235 immagini incorporate, zero duplicati); </w:t>
            </w:r>
            <w:r>
              <w:rPr>
                <w:rFonts w:ascii="Barlow Semi Condensed" w:cs="Barlow Semi Condensed" w:eastAsia="Barlow Semi Condensed" w:hAnsi="Barlow Semi Condensed"/>
                <w:sz w:val="20"/>
                <w:szCs w:val="20"/>
              </w:rPr>
              <w:t xml:space="preserve">PDF di 2.465 pagine</w:t>
            </w:r>
            <w:r>
              <w:rPr>
                <w:rFonts w:ascii="Barlow Semi Condensed" w:cs="Barlow Semi Condensed" w:eastAsia="Barlow Semi Condensed" w:hAnsi="Barlow Semi Condensed"/>
                <w:b/>
                <w:bCs/>
                <w:sz w:val="20"/>
                <w:szCs w:val="20"/>
              </w:rPr>
              <w:t xml:space="preserve"> composto tipograficamente in </w:t>
            </w:r>
            <w:r>
              <w:rPr>
                <w:rFonts w:ascii="Barlow Semi Condensed" w:cs="Barlow Semi Condensed" w:eastAsia="Barlow Semi Condensed" w:hAnsi="Barlow Semi Condensed"/>
                <w:sz w:val="20"/>
                <w:szCs w:val="20"/>
              </w:rPr>
              <w:t xml:space="preserve">Barlow Semi Condensed</w:t>
            </w:r>
            <w:r>
              <w:rPr>
                <w:rFonts w:ascii="Barlow Semi Condensed" w:cs="Barlow Semi Condensed" w:eastAsia="Barlow Semi Condensed" w:hAnsi="Barlow Semi Condensed"/>
                <w:b/>
                <w:bCs/>
                <w:sz w:val="20"/>
                <w:szCs w:val="20"/>
              </w:rPr>
              <w:t xml:space="preserve"> (font incorporato; A4, copertina, occhielli di libro) e verificato per campione. Con l'</w:t>
            </w:r>
            <w:r>
              <w:rPr>
                <w:rFonts w:ascii="Barlow Semi Condensed" w:cs="Barlow Semi Condensed" w:eastAsia="Barlow Semi Condensed" w:hAnsi="Barlow Semi Condensed"/>
                <w:sz w:val="20"/>
                <w:szCs w:val="20"/>
              </w:rPr>
              <w:t xml:space="preserve">apparato grafico a piè di ogni capitolo</w:t>
            </w:r>
            <w:r>
              <w:rPr>
                <w:rFonts w:ascii="Barlow Semi Condensed" w:cs="Barlow Semi Condensed" w:eastAsia="Barlow Semi Condensed" w:hAnsi="Barlow Semi Condensed"/>
                <w:b/>
                <w:bCs/>
                <w:sz w:val="20"/>
                <w:szCs w:val="20"/>
              </w:rPr>
              <w:t xml:space="preserve">: 245 grafici a barre orizzontali su fondo a gradiente crema (mai meno di due per capitolo, 107 capitoli coperti) — le misure del testo per sezione e, dove il corpus ha numeri verificati, i dati (le graduatorie delle piste, i 91 bossoli per attribuzione peritale, la macchina delle ricerche, i blocchi per serie della quadriga e delle tredici serie della triangolazione Kissinger, la scala ordinale dei tre piani, la centralità della rete documentata, gli stati e i decessi del registro); colori a palette: tavolozza a otto colori — blu, arancione, viola, verde, rosa, giallo, teal, rosso — convalidata col validatore del metodo (luminosità, croma, separazione CVD, contrasto), assegnata in ordine fisso con rotazione per capitolo; le metriche contano parole, documenti e atti — mai colpe. </w:t>
            </w:r>
            <w:r>
              <w:rPr>
                <w:rFonts w:ascii="Barlow Semi Condensed" w:cs="Barlow Semi Condensed" w:eastAsia="Barlow Semi Condensed" w:hAnsi="Barlow Semi Condensed"/>
                <w:sz w:val="20"/>
                <w:szCs w:val="20"/>
              </w:rPr>
              <w:t xml:space="preserve">Testo interamente giustificato</w:t>
            </w:r>
            <w:r>
              <w:rPr>
                <w:rFonts w:ascii="Barlow Semi Condensed" w:cs="Barlow Semi Condensed" w:eastAsia="Barlow Semi Condensed" w:hAnsi="Barlow Semi Condensed"/>
                <w:b/>
                <w:bCs/>
                <w:sz w:val="20"/>
                <w:szCs w:val="20"/>
              </w:rPr>
              <w:t xml:space="preserve"> (corpi, elenchi, citazioni e celle di tabella) con sillabazione automatica in entrambe le edizioni, come negli altri due volumi in doppia edizione. </w:t>
            </w:r>
            <w:r>
              <w:rPr>
                <w:rFonts w:ascii="Barlow Semi Condensed" w:cs="Barlow Semi Condensed" w:eastAsia="Barlow Semi Condensed" w:hAnsi="Barlow Semi Condensed"/>
                <w:sz w:val="20"/>
                <w:szCs w:val="20"/>
              </w:rPr>
              <w:t xml:space="preserve">Edizione integrale in senso stretto**: le nove ricognizioni originali della cartella Farnesina e la triangolazione della seconda campagna, prima rappresentate dalla sola collazione, vi compaiono per esteso nel Libro dodicesimo. Nessun documento del corpus moroteano resta fuori. La disciplina in copertina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IMPRONTE-SHA256.md</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i/>
                <w:iCs/>
                <w:sz w:val="20"/>
                <w:szCs w:val="20"/>
              </w:rPr>
              <w:t xml:space="preserve">IMPRONTE-OPERA-MORO.txt</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i/>
                <w:iCs/>
                <w:sz w:val="20"/>
                <w:szCs w:val="20"/>
              </w:rPr>
              <w:t xml:space="preserve">IMPRONTE-SHA256.txt</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REGISTRO DELLE IMPRONTE SHA-256.</w:t>
            </w:r>
            <w:r>
              <w:rPr>
                <w:rFonts w:ascii="Barlow Semi Condensed" w:cs="Barlow Semi Condensed" w:eastAsia="Barlow Semi Condensed" w:hAnsi="Barlow Semi Condensed"/>
                <w:sz w:val="20"/>
                <w:szCs w:val="20"/>
              </w:rPr>
              <w:t xml:space="preserve"> L'impronta crittografica di ogni file, con i comandi di verifica per Linux, macOS e Windows. </w:t>
            </w:r>
            <w:r>
              <w:rPr>
                <w:rFonts w:ascii="Barlow Semi Condensed" w:cs="Barlow Semi Condensed" w:eastAsia="Barlow Semi Condensed" w:hAnsi="Barlow Semi Condensed"/>
                <w:b/>
                <w:bCs/>
                <w:sz w:val="20"/>
                <w:szCs w:val="20"/>
              </w:rPr>
              <w:t xml:space="preserve">Tiene separate le due opere che il repository ospita</w:t>
            </w:r>
            <w:r>
              <w:rPr>
                <w:rFonts w:ascii="Barlow Semi Condensed" w:cs="Barlow Semi Condensed" w:eastAsia="Barlow Semi Condensed" w:hAnsi="Barlow Semi Condensed"/>
                <w:sz w:val="20"/>
                <w:szCs w:val="20"/>
              </w:rPr>
              <w:t xml:space="preserve">, come questo indice dichiara alla terza riga: l'opera del caso Moro (</w:t>
            </w:r>
            <w:r>
              <w:rPr>
                <w:rFonts w:ascii="Barlow Semi Condensed" w:cs="Barlow Semi Condensed" w:eastAsia="Barlow Semi Condensed" w:hAnsi="Barlow Semi Condensed"/>
                <w:b/>
                <w:bCs/>
                <w:sz w:val="20"/>
                <w:szCs w:val="20"/>
              </w:rPr>
              <w:t xml:space="preserve">131 file</w:t>
            </w:r>
            <w:r>
              <w:rPr>
                <w:rFonts w:ascii="Barlow Semi Condensed" w:cs="Barlow Semi Condensed" w:eastAsia="Barlow Semi Condensed" w:hAnsi="Barlow Semi Condensed"/>
                <w:sz w:val="20"/>
                <w:szCs w:val="20"/>
              </w:rPr>
              <w:t xml:space="preserve">, 66.308.876 byte) e lo Studio Integrale Puglia (78 file), che non è opera moroteana. Le impronte valgono per entrambe; l'attribuzione no, e contarle insieme sarebbe un errore di descrizione. Due manifesti in formato </w:t>
            </w:r>
            <w:r>
              <w:rPr>
                <w:rFonts w:ascii="Barlow Semi Condensed" w:cs="Barlow Semi Condensed" w:eastAsia="Barlow Semi Condensed" w:hAnsi="Barlow Semi Condensed"/>
                <w:i/>
                <w:iCs/>
                <w:sz w:val="20"/>
                <w:szCs w:val="20"/>
              </w:rPr>
              <w:t xml:space="preserve">sha256sum --check</w:t>
            </w:r>
            <w:r>
              <w:rPr>
                <w:rFonts w:ascii="Barlow Semi Condensed" w:cs="Barlow Semi Condensed" w:eastAsia="Barlow Semi Condensed" w:hAnsi="Barlow Semi Condensed"/>
                <w:sz w:val="20"/>
                <w:szCs w:val="20"/>
              </w:rPr>
              <w:t xml:space="preserve">, uno per opera, e </w:t>
            </w:r>
            <w:r>
              <w:rPr>
                <w:rFonts w:ascii="Barlow Semi Condensed" w:cs="Barlow Semi Condensed" w:eastAsia="Barlow Semi Condensed" w:hAnsi="Barlow Semi Condensed"/>
                <w:b/>
                <w:bCs/>
                <w:sz w:val="20"/>
                <w:szCs w:val="20"/>
              </w:rPr>
              <w:t xml:space="preserve">due impronte uniche</w:t>
            </w:r>
            <w:r>
              <w:rPr>
                <w:rFonts w:ascii="Barlow Semi Condensed" w:cs="Barlow Semi Condensed" w:eastAsia="Barlow Semi Condensed" w:hAnsi="Barlow Semi Condensed"/>
                <w:sz w:val="20"/>
                <w:szCs w:val="20"/>
              </w:rPr>
              <w:t xml:space="preserve">, una per ciascun insieme: </w:t>
            </w:r>
            <w:r>
              <w:rPr>
                <w:rFonts w:ascii="Barlow Semi Condensed" w:cs="Barlow Semi Condensed" w:eastAsia="Barlow Semi Condensed" w:hAnsi="Barlow Semi Condensed"/>
                <w:i/>
                <w:iCs/>
                <w:sz w:val="20"/>
                <w:szCs w:val="20"/>
              </w:rPr>
              <w:t xml:space="preserve">sha256sum IMPRONTE-OPERA-MORO.txt</w:t>
            </w:r>
            <w:r>
              <w:rPr>
                <w:rFonts w:ascii="Barlow Semi Condensed" w:cs="Barlow Semi Condensed" w:eastAsia="Barlow Semi Condensed" w:hAnsi="Barlow Semi Condensed"/>
                <w:sz w:val="20"/>
                <w:szCs w:val="20"/>
              </w:rPr>
              <w:t xml:space="preserve"> risponde </w:t>
            </w:r>
            <w:r>
              <w:rPr>
                <w:rFonts w:ascii="Barlow Semi Condensed" w:cs="Barlow Semi Condensed" w:eastAsia="Barlow Semi Condensed" w:hAnsi="Barlow Semi Condensed"/>
                <w:i/>
                <w:iCs/>
                <w:sz w:val="20"/>
                <w:szCs w:val="20"/>
              </w:rPr>
              <w:t xml:space="preserve">d7bc4f65…</w:t>
            </w:r>
            <w:r>
              <w:rPr>
                <w:rFonts w:ascii="Barlow Semi Condensed" w:cs="Barlow Semi Condensed" w:eastAsia="Barlow Semi Condensed" w:hAnsi="Barlow Semi Condensed"/>
                <w:sz w:val="20"/>
                <w:szCs w:val="20"/>
              </w:rPr>
              <w:t xml:space="preserve"> se il corpus moroteano è quello depositato, non un file di meno né uno diverso. Restano fuori dai manifesti due soli file, il manifesto stesso e il registro, perché un registro non può certificare sé stesso; la catena si chiude senza circoli, ed è dichiarato. Registra anche i tre archivi di consegna dell'opera intera, non versionati. Il registro dichiara il proprio limite, che è la distinzione su cui l'opera è costruita: l'impronta certifica l'</w:t>
            </w:r>
            <w:r>
              <w:rPr>
                <w:rFonts w:ascii="Barlow Semi Condensed" w:cs="Barlow Semi Condensed" w:eastAsia="Barlow Semi Condensed" w:hAnsi="Barlow Semi Condensed"/>
                <w:b/>
                <w:bCs/>
                <w:sz w:val="20"/>
                <w:szCs w:val="20"/>
              </w:rPr>
              <w:t xml:space="preserve">integrità del supporto</w:t>
            </w:r>
            <w:r>
              <w:rPr>
                <w:rFonts w:ascii="Barlow Semi Condensed" w:cs="Barlow Semi Condensed" w:eastAsia="Barlow Semi Condensed" w:hAnsi="Barlow Semi Condensed"/>
                <w:sz w:val="20"/>
                <w:szCs w:val="20"/>
              </w:rPr>
              <w:t xml:space="preserve">, non la verità del contenuto — un documento falso conserva la propria impronta con la stessa fedeltà di uno esatto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moro-ministro-esteri/volume.html</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Edizione HTML navigabile</w:t>
            </w:r>
            <w:r>
              <w:rPr>
                <w:rFonts w:ascii="Barlow Semi Condensed" w:cs="Barlow Semi Condensed" w:eastAsia="Barlow Semi Condensed" w:hAnsi="Barlow Semi Condensed"/>
                <w:sz w:val="20"/>
                <w:szCs w:val="20"/>
              </w:rPr>
              <w:t xml:space="preserve"> dello stesso volume (pagina autonoma, tema chiaro/scuro): frontespizio con la legenda dei gradi, indice laterale con evidenziazione della parte corrente e barra di avanzamento, le otto parti in colonna di lettura. Tipografia Fraunces/Spectral/IBM Plex Mono; citazioni esterne come link tracciabili, rimandi interni neutralizzati. Stessi contenuti e stessa disciplina del .docx</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GUEVARA_LA_PARABOLA_INTEGRALE_1928-1967.docx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.pdf`](GUEVARA_LA_PARABOLA_INTEGRALE_1928-1967.pdf) (32 pagine)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Volume rilegato .docx della parabola guevariana completa (i cinque studi 1928-1967 + la triangolazione Guevara-Moro), Barlow Semi Condensed 12, testo interamente giustificato, con indice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IL_VETTORE_E_IL_TRIBUNALE_DUE_STUDI_1926-1972.docx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.pdf`](IL_VETTORE_E_IL_TRIBUNALE_DUE_STUDI_1926-1972.pdf) (24 pagine)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Volume rilegato .docx dei fronti italiani in sei parti: la monografia su Feltrinelli con la triangolazione integrale, la triangolazione del nodo Hyperion, la triangolazione d'incrocio Feltrinelli-Hyperion, lo studio sul Tribunale Speciale e l'approfondimento in otto sottonodi. Frontespizio comune sul «filo del 1926», indice, Barlow Semi Condensed 12, testo interamente giustificato, fonti con indirizzi per la tracciabilità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cronologia-guevara-moro.html</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«La parabola e il mito» — cronologia sinottica navigabile (pagina HTML autonoma, tema chiaro/scuro): tre fili documentati su un unico asse del tempo (1916-1997) — la vita di Guevara, la trasmissione della sua immagine in mito (Korda 1960, Feltrinelli/</w:t>
            </w:r>
            <w:r>
              <w:rPr>
                <w:rFonts w:ascii="Barlow Semi Condensed" w:cs="Barlow Semi Condensed" w:eastAsia="Barlow Semi Condensed" w:hAnsi="Barlow Semi Condensed"/>
                <w:i/>
                <w:iCs/>
                <w:sz w:val="20"/>
                <w:szCs w:val="20"/>
              </w:rPr>
              <w:t xml:space="preserve">Diario</w:t>
            </w:r>
            <w:r>
              <w:rPr>
                <w:rFonts w:ascii="Barlow Semi Condensed" w:cs="Barlow Semi Condensed" w:eastAsia="Barlow Semi Condensed" w:hAnsi="Barlow Semi Condensed"/>
                <w:sz w:val="20"/>
                <w:szCs w:val="20"/>
              </w:rPr>
              <w:t xml:space="preserve"> 1968, Pecorile 1970), la vita di Moro. Solo fatti pubblici documentati; nessuna imputazione oltre il giudicato; nessun nesso causale affermato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tre troncature originarie dei testi guevariani (1934-47, 1958-65, Congo→Bolivia) sono state </w:t>
      </w:r>
      <w:r>
        <w:rPr>
          <w:rFonts w:ascii="Barlow Semi Condensed" w:cs="Barlow Semi Condensed" w:eastAsia="Barlow Semi Condensed" w:hAnsi="Barlow Semi Condensed"/>
          <w:b/>
          <w:bCs/>
          <w:sz w:val="24"/>
          <w:szCs w:val="24"/>
        </w:rPr>
        <w:t xml:space="preserve">completate il 24 agosto 2026</w:t>
      </w:r>
      <w:r>
        <w:rPr>
          <w:rFonts w:ascii="Barlow Semi Condensed" w:cs="Barlow Semi Condensed" w:eastAsia="Barlow Semi Condensed" w:hAnsi="Barlow Semi Condensed"/>
          <w:sz w:val="24"/>
          <w:szCs w:val="24"/>
        </w:rPr>
        <w:t xml:space="preserve"> con sezioni di integrazione esplicitamente marcate come tali, distinte dalla stesura d'autore e redatte su cronologia storiografica consolidata. Con l'aggiunta del capitolo sulla campagna boliviana, il corpus guevariano copre ora </w:t>
      </w:r>
      <w:r>
        <w:rPr>
          <w:rFonts w:ascii="Barlow Semi Condensed" w:cs="Barlow Semi Condensed" w:eastAsia="Barlow Semi Condensed" w:hAnsi="Barlow Semi Condensed"/>
          <w:b/>
          <w:bCs/>
          <w:sz w:val="24"/>
          <w:szCs w:val="24"/>
        </w:rPr>
        <w:t xml:space="preserve">senza soluzione di continuità l'intera parabola, dal 1928 alla morte a La Higuera (9 ottobre 1967) e al ritrovamento dei resti nel 1997</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L'opera derivata — il romanzo</w:t>
      </w:r>
    </w:p>
    <w:p>
      <w:pPr>
        <w:spacing w:after="120" w:line="276"/>
        <w:jc w:val="both"/>
      </w:pPr>
      <w:r>
        <w:rPr>
          <w:rFonts w:ascii="Barlow Semi Condensed" w:cs="Barlow Semi Condensed" w:eastAsia="Barlow Semi Condensed" w:hAnsi="Barlow Semi Condensed"/>
          <w:b/>
          <w:bCs/>
          <w:sz w:val="24"/>
          <w:szCs w:val="24"/>
        </w:rPr>
        <w:t xml:space="preserve">Non fa parte del corpus</w:t>
      </w:r>
      <w:r>
        <w:rPr>
          <w:rFonts w:ascii="Barlow Semi Condensed" w:cs="Barlow Semi Condensed" w:eastAsia="Barlow Semi Condensed" w:hAnsi="Barlow Semi Condensed"/>
          <w:sz w:val="24"/>
          <w:szCs w:val="24"/>
        </w:rPr>
        <w:t xml:space="preserve"> e non entra nei suoi conteggi: è il libro che dal</w:t>
      </w:r>
    </w:p>
    <w:p>
      <w:pPr>
        <w:spacing w:after="120" w:line="276"/>
        <w:jc w:val="both"/>
      </w:pPr>
      <w:r>
        <w:rPr>
          <w:rFonts w:ascii="Barlow Semi Condensed" w:cs="Barlow Semi Condensed" w:eastAsia="Barlow Semi Condensed" w:hAnsi="Barlow Semi Condensed"/>
          <w:sz w:val="24"/>
          <w:szCs w:val="24"/>
        </w:rPr>
        <w:t xml:space="preserve">corpus si ricava, e ha un proprio manifesto di impronte</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IMPRONTE-ROMANZO.txt</w:t>
      </w:r>
      <w:r>
        <w:rPr>
          <w:rFonts w:ascii="Barlow Semi Condensed" w:cs="Barlow Semi Condensed" w:eastAsia="Barlow Semi Condensed" w:hAnsi="Barlow Semi Condensed"/>
          <w:sz w:val="24"/>
          <w:szCs w:val="24"/>
        </w:rPr>
        <w:t xml:space="preserve">`). Contarlo dentro l'opera</w:t>
      </w:r>
    </w:p>
    <w:p>
      <w:pPr>
        <w:spacing w:after="120" w:line="276"/>
        <w:jc w:val="both"/>
      </w:pPr>
      <w:r>
        <w:rPr>
          <w:rFonts w:ascii="Barlow Semi Condensed" w:cs="Barlow Semi Condensed" w:eastAsia="Barlow Semi Condensed" w:hAnsi="Barlow Semi Condensed"/>
          <w:sz w:val="24"/>
          <w:szCs w:val="24"/>
        </w:rPr>
        <w:t xml:space="preserve">significherebbe contare due volte ciò che l'opera ha prodotto.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_romanzo/OTTANTA-ANNI-DI-PACE-prima-stesura.md</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i/>
                <w:iCs/>
                <w:sz w:val="20"/>
                <w:szCs w:val="20"/>
              </w:rPr>
              <w:t xml:space="preserve">.docx</w:t>
            </w:r>
            <w:r>
              <w:rPr>
                <w:rFonts w:ascii="Barlow Semi Condensed" w:cs="Barlow Semi Condensed" w:eastAsia="Barlow Semi Condensed" w:hAnsi="Barlow Semi Condensed"/>
                <w:i/>
                <w:iCs/>
                <w:sz w:val="20"/>
                <w:szCs w:val="20"/>
              </w:rPr>
              <w:t xml:space="preserve"> · [</w:t>
            </w:r>
            <w:r>
              <w:rPr>
                <w:rFonts w:ascii="Barlow Semi Condensed" w:cs="Barlow Semi Condensed" w:eastAsia="Barlow Semi Condensed" w:hAnsi="Barlow Semi Condensed"/>
                <w:sz w:val="20"/>
                <w:szCs w:val="20"/>
              </w:rPr>
              <w:t xml:space="preserve">.pdf`](_romanzo/OTTANTA-ANNI-DI-PACE-prima-stesura.pdf)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«Ottanta anni di Pace»</w:t>
            </w:r>
            <w:r>
              <w:rPr>
                <w:rFonts w:ascii="Barlow Semi Condensed" w:cs="Barlow Semi Condensed" w:eastAsia="Barlow Semi Condensed" w:hAnsi="Barlow Semi Condensed"/>
                <w:sz w:val="20"/>
                <w:szCs w:val="20"/>
              </w:rPr>
              <w:t xml:space="preserve">, romanzo evidence-based, prima stesura completa: sette parti e il registro di chiusura, in un volume unico. Non è un libro sul caso Moro ma su che cosa succede quando si prova a verificarlo. Parla con la voce di Aldo Moro in </w:t>
            </w:r>
            <w:r>
              <w:rPr>
                <w:rFonts w:ascii="Barlow Semi Condensed" w:cs="Barlow Semi Condensed" w:eastAsia="Barlow Semi Condensed" w:hAnsi="Barlow Semi Condensed"/>
                <w:b/>
                <w:bCs/>
                <w:sz w:val="20"/>
                <w:szCs w:val="20"/>
              </w:rPr>
              <w:t xml:space="preserve">prosopopea dichiarata</w:t>
            </w:r>
            <w:r>
              <w:rPr>
                <w:rFonts w:ascii="Barlow Semi Condensed" w:cs="Barlow Semi Condensed" w:eastAsia="Barlow Semi Condensed" w:hAnsi="Barlow Semi Condensed"/>
                <w:sz w:val="20"/>
                <w:szCs w:val="20"/>
              </w:rPr>
              <w:t xml:space="preserve"> — non sono sue parole — che ragiona sulla prova e mai sui fatti del suo caso; due voci alternate, corsivo la prosopopea, tondo l'apparato coi gradi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_romanzo/README.md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La nota di progetto: la decisione che viene prima di tutte, il limite della voce, come l'apparato sopravvive in un libro breve, lo stato di scrittura parte per parte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_romanzo/capitolo-primo-l-elenco-che-arriva.md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I — L'elenco che arriva: il foglio senza provenienza, l'imbuto a quattro strati, lo zero in fondo; l'appartenenza e la condotta; verificare contro il proprio desiderio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_romanzo/capitolo-secondo-l-uomo-prima-del-caso.md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II — L'uomo prima del caso: il ritratto coi gradi, la Costituente, la strategia dell'attenzione (Bari, 15 giugno 1969), l'enunciato che tiene aperte due strade, e il punto in cui la voce si ferma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_romanzo/capitolo-terzo-gli-anni-della-farnesina.md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III — Gli anni della Farnesina: lo spoglio e la sua resa, quindici proposizioni datate e localizzate, come si prova un'omissione, la regola che fa vedere e fa non vedere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_romanzo/capitolo-quarto-le-lettere-scelte.md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IV — Le lettere che qualcuno ha scelto: le tre classi e la selezione che la seconda dimostra, la copia quando l'originale non c'è più, perché il capitolo non cita alcuna riga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_romanzo/capitolo-quinto-l-archivio.md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V — L'archivio: il notorio e l'acquisito, la porta che risponde 403, le due righe che tornano e quanto vale una conferma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_romanzo/capitolo-sesto-l-aritmetica.md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VI — L'aritmetica: la seduzione della cifra, e le ritrattazioni in prima persona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_romanzo/capitolo-settimo-ottocentotredici-volte-non-trovato.md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Parte VII — Ottocentotredici volte «non trovato»: le tre specie di esito negativo, che cosa uno Stato Zero non prova, e il conteggio del titolo che non riproduce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_romanzo/registro-di-chiusura.md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fascicolo finale: </w:t>
            </w:r>
            <w:r>
              <w:rPr>
                <w:rFonts w:ascii="Barlow Semi Condensed" w:cs="Barlow Semi Condensed" w:eastAsia="Barlow Semi Condensed" w:hAnsi="Barlow Semi Condensed"/>
                <w:b/>
                <w:bCs/>
                <w:sz w:val="20"/>
                <w:szCs w:val="20"/>
              </w:rPr>
              <w:t xml:space="preserve">diciannove</w:t>
            </w:r>
            <w:r>
              <w:rPr>
                <w:rFonts w:ascii="Barlow Semi Condensed" w:cs="Barlow Semi Condensed" w:eastAsia="Barlow Semi Condensed" w:hAnsi="Barlow Semi Condensed"/>
                <w:sz w:val="20"/>
                <w:szCs w:val="20"/>
              </w:rPr>
              <w:t xml:space="preserve"> ricerche fatte, non riuscite e scritte con la sede accanto, ordinate per archivio. Criterio, perimetro e limite dichiarati in apertura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_romanzo/note-di-revisione.md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La prima lettura di seguito, misurata, e tutto ciò che ne è seguito: gli interventi eseguiti, gli Stati Zero ritirati, gli errori degli strumenti dichiarati invece che emendati</w:t>
            </w:r>
          </w:p>
        </w:tc>
      </w:tr>
    </w:tbl>
    <w:p>
      <w:pPr>
        <w:spacing w:after="80"/>
      </w:pPr>
    </w:p>
    <w:p>
      <w:pPr>
        <w:pStyle w:val="Heading3"/>
        <w:spacing w:after="80" w:before="240"/>
      </w:pPr>
      <w:r>
        <w:rPr>
          <w:rFonts w:ascii="Barlow Semi Condensed" w:cs="Barlow Semi Condensed" w:eastAsia="Barlow Semi Condensed" w:hAnsi="Barlow Semi Condensed"/>
          <w:sz w:val="24"/>
          <w:szCs w:val="24"/>
        </w:rPr>
        <w:t xml:space="preserve">Apparato grafico — Appendici · ii. L'indice dei documenti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IV.ii: 10.983 parole in 3 sezioni; la più ampia è §2 Segmento 2, con 10.805.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IV.ii: 9 paragrafi in 3 sezioni, 3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iii. Il dossier di invio — la mappa</w:t>
      </w:r>
    </w:p>
    <w:p>
      <w:pPr>
        <w:pStyle w:val="Heading1"/>
        <w:spacing w:after="120" w:before="240"/>
      </w:pPr>
      <w:r>
        <w:rPr>
          <w:rFonts w:ascii="Barlow Semi Condensed" w:cs="Barlow Semi Condensed" w:eastAsia="Barlow Semi Condensed" w:hAnsi="Barlow Semi Condensed"/>
          <w:sz w:val="24"/>
          <w:szCs w:val="24"/>
        </w:rPr>
        <w:t xml:space="preserve">Diffusione dell'opera</w:t>
      </w:r>
    </w:p>
    <w:p>
      <w:pPr>
        <w:spacing w:after="120" w:line="276"/>
        <w:jc w:val="both"/>
      </w:pPr>
      <w:r>
        <w:rPr>
          <w:rFonts w:ascii="Barlow Semi Condensed" w:cs="Barlow Semi Condensed" w:eastAsia="Barlow Semi Condensed" w:hAnsi="Barlow Semi Condensed"/>
          <w:sz w:val="24"/>
          <w:szCs w:val="24"/>
        </w:rPr>
        <w:t xml:space="preserve">*Il dossier di invio: che cosa si manda, a chi, in che ordine. Sette documenti,</w:t>
      </w:r>
    </w:p>
    <w:p>
      <w:pPr>
        <w:spacing w:after="120" w:line="276"/>
        <w:jc w:val="both"/>
      </w:pPr>
      <w:r>
        <w:rPr>
          <w:rFonts w:ascii="Barlow Semi Condensed" w:cs="Barlow Semi Condensed" w:eastAsia="Barlow Semi Condensed" w:hAnsi="Barlow Semi Condensed"/>
          <w:sz w:val="24"/>
          <w:szCs w:val="24"/>
        </w:rPr>
        <w:t xml:space="preserve">uno solo dei quali va letto per primo.*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Da dove si comincia</w:t>
      </w:r>
    </w:p>
    <w:p>
      <w:pPr>
        <w:spacing w:after="120" w:line="276"/>
        <w:jc w:val="both"/>
      </w:pPr>
      <w:r>
        <w:rPr>
          <w:rFonts w:ascii="Barlow Semi Condensed" w:cs="Barlow Semi Condensed" w:eastAsia="Barlow Semi Condensed" w:hAnsi="Barlow Semi Condensed"/>
          <w:b/>
          <w:bCs/>
          <w:sz w:val="24"/>
          <w:szCs w:val="24"/>
        </w:rPr>
        <w:t xml:space="preserve">``checklist-di-invio.md``</w:t>
      </w:r>
      <w:r>
        <w:rPr>
          <w:rFonts w:ascii="Barlow Semi Condensed" w:cs="Barlow Semi Condensed" w:eastAsia="Barlow Semi Condensed" w:hAnsi="Barlow Semi Condensed"/>
          <w:sz w:val="24"/>
          <w:szCs w:val="24"/>
        </w:rPr>
        <w:t xml:space="preserve"> — è il documento operativo.</w:t>
      </w:r>
    </w:p>
    <w:p>
      <w:pPr>
        <w:spacing w:after="120" w:line="276"/>
        <w:jc w:val="both"/>
      </w:pPr>
      <w:r>
        <w:rPr>
          <w:rFonts w:ascii="Barlow Semi Condensed" w:cs="Barlow Semi Condensed" w:eastAsia="Barlow Semi Condensed" w:hAnsi="Barlow Semi Condensed"/>
          <w:sz w:val="24"/>
          <w:szCs w:val="24"/>
        </w:rPr>
        <w:t xml:space="preserve">Chi riceve che cosa, con quali allegati, in quale ordine, e la tabella su cui</w:t>
      </w:r>
    </w:p>
    <w:p>
      <w:pPr>
        <w:spacing w:after="120" w:line="276"/>
        <w:jc w:val="both"/>
      </w:pPr>
      <w:r>
        <w:rPr>
          <w:rFonts w:ascii="Barlow Semi Condensed" w:cs="Barlow Semi Condensed" w:eastAsia="Barlow Semi Condensed" w:hAnsi="Barlow Semi Condensed"/>
          <w:sz w:val="24"/>
          <w:szCs w:val="24"/>
        </w:rPr>
        <w:t xml:space="preserve">segnare le date. Gli altri sei sono materiale che la checklist richiama.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documenti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cos'è</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checklist-di-invio.md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Da leggere per primo.</w:t>
            </w:r>
            <w:r>
              <w:rPr>
                <w:rFonts w:ascii="Barlow Semi Condensed" w:cs="Barlow Semi Condensed" w:eastAsia="Barlow Semi Condensed" w:hAnsi="Barlow Semi Condensed"/>
                <w:sz w:val="20"/>
                <w:szCs w:val="20"/>
              </w:rPr>
              <w:t xml:space="preserve"> Seconda edizione: </w:t>
            </w:r>
            <w:r>
              <w:rPr>
                <w:rFonts w:ascii="Barlow Semi Condensed" w:cs="Barlow Semi Condensed" w:eastAsia="Barlow Semi Condensed" w:hAnsi="Barlow Semi Condensed"/>
                <w:b/>
                <w:bCs/>
                <w:sz w:val="20"/>
                <w:szCs w:val="20"/>
              </w:rPr>
              <w:t xml:space="preserve">nove editori</w:t>
            </w:r>
            <w:r>
              <w:rPr>
                <w:rFonts w:ascii="Barlow Semi Condensed" w:cs="Barlow Semi Condensed" w:eastAsia="Barlow Semi Condensed" w:hAnsi="Barlow Semi Condensed"/>
                <w:sz w:val="20"/>
                <w:szCs w:val="20"/>
              </w:rPr>
              <w:t xml:space="preserve">, un archivio, un deposito, una rivista. Tavola sinottica dei canali, quattro ondate d'invio, una scheda a sei campi per ciascun destinatario, tabella di tracciamento, e che cosa fare se arriva un rifiuto o un interesse. Dichiara il grado di verifica di ogni canale, comprese le due voci che non è stato possibile accertare sulla pagina ufficiale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mappa-dei-destinatari.md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La mappa ragionata: chi potrebbe pubblicare, distinguendo i </w:t>
            </w:r>
            <w:r>
              <w:rPr>
                <w:rFonts w:ascii="Barlow Semi Condensed" w:cs="Barlow Semi Condensed" w:eastAsia="Barlow Semi Condensed" w:hAnsi="Barlow Semi Condensed"/>
                <w:b/>
                <w:bCs/>
                <w:sz w:val="20"/>
                <w:szCs w:val="20"/>
              </w:rPr>
              <w:t xml:space="preserve">tre oggetti</w:t>
            </w:r>
            <w:r>
              <w:rPr>
                <w:rFonts w:ascii="Barlow Semi Condensed" w:cs="Barlow Semi Condensed" w:eastAsia="Barlow Semi Condensed" w:hAnsi="Barlow Semi Condensed"/>
                <w:sz w:val="20"/>
                <w:szCs w:val="20"/>
              </w:rPr>
              <w:t xml:space="preserve"> diversi che il lavoro contiene — l'apparato, il saggio, la nota scientifica — perché vanno a porte diverse. Include le porte a cui non bussare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scheda-dell-opera.md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Una pagina con i numeri, la disciplina in sei righe, i tre accertamenti e i limiti dichiarati. </w:t>
            </w:r>
            <w:r>
              <w:rPr>
                <w:rFonts w:ascii="Barlow Semi Condensed" w:cs="Barlow Semi Condensed" w:eastAsia="Barlow Semi Condensed" w:hAnsi="Barlow Semi Condensed"/>
                <w:b/>
                <w:bCs/>
                <w:sz w:val="20"/>
                <w:szCs w:val="20"/>
              </w:rPr>
              <w:t xml:space="preserve">Allegato invariante</w:t>
            </w:r>
            <w:r>
              <w:rPr>
                <w:rFonts w:ascii="Barlow Semi Condensed" w:cs="Barlow Semi Condensed" w:eastAsia="Barlow Semi Condensed" w:hAnsi="Barlow Semi Condensed"/>
                <w:sz w:val="20"/>
                <w:szCs w:val="20"/>
              </w:rPr>
              <w:t xml:space="preserve">: lo stesso per tutti, perché tre editori ricevano gli stessi numeri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capitolo-campione.md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capitolo quarto scritto per intero — «Il documento che non dice ciò che tutti citano» — con l'esercizio eseguibile in coda. È il pezzo su cui si viene giudicati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pec-archivio-flamigni.md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Proposta di presa in carico dell'apparato al Centro documentazione Archivio «Flamigni». Non è una proposta di libro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lettera-fondazione-aldo-moro.md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Non propone nulla.</w:t>
            </w:r>
            <w:r>
              <w:rPr>
                <w:rFonts w:ascii="Barlow Semi Condensed" w:cs="Barlow Semi Condensed" w:eastAsia="Barlow Semi Condensed" w:hAnsi="Barlow Semi Condensed"/>
                <w:sz w:val="20"/>
                <w:szCs w:val="20"/>
              </w:rPr>
              <w:t xml:space="preserve"> Porta alla Fondazione una domanda d'archivio sola — se esista l'appunto italiano del colloquio del 25 settembre 1974 — e comunica, prima che lo leggano altrove, l'accertamento sul verbale americano. È la lettera che riguarda la memoria di una persona: la nota di prudenza in coda vale più del testo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proposta-editrice-laterza.md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Proposta a Laterza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proposte-mulino-carocci-einaudi.md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Tre proposte differenziate, ciascuna nel formato che quell'editore usa davvero. Contiene l'avvertimento su Einaudi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proposte-chiarelettere-bompiani.md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Le due proposte che mancavano. </w:t>
            </w:r>
            <w:r>
              <w:rPr>
                <w:rFonts w:ascii="Barlow Semi Condensed" w:cs="Barlow Semi Condensed" w:eastAsia="Barlow Semi Condensed" w:hAnsi="Barlow Semi Condensed"/>
                <w:b/>
                <w:bCs/>
                <w:sz w:val="20"/>
                <w:szCs w:val="20"/>
              </w:rPr>
              <w:t xml:space="preserve">Chiarelettere</w:t>
            </w:r>
            <w:r>
              <w:rPr>
                <w:rFonts w:ascii="Barlow Semi Condensed" w:cs="Barlow Semi Condensed" w:eastAsia="Barlow Semi Condensed" w:hAnsi="Barlow Semi Condensed"/>
                <w:sz w:val="20"/>
                <w:szCs w:val="20"/>
              </w:rPr>
              <w:t xml:space="preserve">: la porta più affine, e per questo la più difficile — l'angolatura non promette la rivelazione che quel catalogo cerca, ma offre il criterio per giudicarle. </w:t>
            </w:r>
            <w:r>
              <w:rPr>
                <w:rFonts w:ascii="Barlow Semi Condensed" w:cs="Barlow Semi Condensed" w:eastAsia="Barlow Semi Condensed" w:hAnsi="Barlow Semi Condensed"/>
                <w:b/>
                <w:bCs/>
                <w:sz w:val="20"/>
                <w:szCs w:val="20"/>
              </w:rPr>
              <w:t xml:space="preserve">Bompiani</w:t>
            </w:r>
            <w:r>
              <w:rPr>
                <w:rFonts w:ascii="Barlow Semi Condensed" w:cs="Barlow Semi Condensed" w:eastAsia="Barlow Semi Condensed" w:hAnsi="Barlow Semi Condensed"/>
                <w:sz w:val="20"/>
                <w:szCs w:val="20"/>
              </w:rPr>
              <w:t xml:space="preserve">: pronta ma in attesa, perché la regola dei dodici mesi rende l'attesa meno costosa del tentativo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relazione-al-centro-flamigni.md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Accompagna la PEC. Come il progetto è nato, come è cambiato e dove può andare, ricostruito sul registro delle revisioni: 154 revisioni, di cui 103 del corpus, in tre giornate. Ogni regola con la data del lavoro che l'ha resa necessaria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w:t>
            </w:r>
            <w:r>
              <w:rPr>
                <w:rFonts w:ascii="Barlow Semi Condensed" w:cs="Barlow Semi Condensed" w:eastAsia="Barlow Semi Condensed" w:hAnsi="Barlow Semi Condensed"/>
                <w:i/>
                <w:iCs/>
                <w:sz w:val="20"/>
                <w:szCs w:val="20"/>
              </w:rPr>
              <w:t xml:space="preserve">curriculum-modello.md</w:t>
            </w:r>
            <w:r>
              <w:rPr>
                <w:rFonts w:ascii="Barlow Semi Condensed" w:cs="Barlow Semi Condensed" w:eastAsia="Barlow Semi Condensed" w:hAnsi="Barlow Semi Condensed"/>
                <w:sz w:val="20"/>
                <w:szCs w:val="20"/>
              </w:rPr>
              <w:t xml:space="preserv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Modello da compilare. Richiesto per intero da Einaudi, in forma ridotta dagli altri</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Gli allegati già composti</w:t>
      </w:r>
    </w:p>
    <w:p>
      <w:pPr>
        <w:spacing w:after="120" w:line="276"/>
        <w:jc w:val="both"/>
      </w:pPr>
      <w:r>
        <w:rPr>
          <w:rFonts w:ascii="Barlow Semi Condensed" w:cs="Barlow Semi Condensed" w:eastAsia="Barlow Semi Condensed" w:hAnsi="Barlow Semi Condensed"/>
          <w:sz w:val="24"/>
          <w:szCs w:val="24"/>
        </w:rPr>
        <w:t xml:space="preserve">I tre documenti che si spediscono come file — e non si incollano in un modulo —</w:t>
      </w:r>
    </w:p>
    <w:p>
      <w:pPr>
        <w:spacing w:after="120" w:line="276"/>
        <w:jc w:val="both"/>
      </w:pPr>
      <w:r>
        <w:rPr>
          <w:rFonts w:ascii="Barlow Semi Condensed" w:cs="Barlow Semi Condensed" w:eastAsia="Barlow Semi Condensed" w:hAnsi="Barlow Semi Condensed"/>
          <w:sz w:val="24"/>
          <w:szCs w:val="24"/>
        </w:rPr>
        <w:t xml:space="preserve">esistono anche in DOCX e in PDF, nella stessa tipografia dei volumi del corpus</w:t>
      </w:r>
    </w:p>
    <w:p>
      <w:pPr>
        <w:spacing w:after="120" w:line="276"/>
        <w:jc w:val="both"/>
      </w:pPr>
      <w:r>
        <w:rPr>
          <w:rFonts w:ascii="Barlow Semi Condensed" w:cs="Barlow Semi Condensed" w:eastAsia="Barlow Semi Condensed" w:hAnsi="Barlow Semi Condensed"/>
          <w:sz w:val="24"/>
          <w:szCs w:val="24"/>
        </w:rPr>
        <w:t xml:space="preserve">(Barlow Semi Condensed, testo giustificato con sillabazione automatica):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Formati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Pagine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Capitolo campione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ALLEGATO_CAPITOLO_CAMPIONE.docx</w:t>
            </w:r>
            <w:r>
              <w:rPr>
                <w:rFonts w:ascii="Barlow Semi Condensed" w:cs="Barlow Semi Condensed" w:eastAsia="Barlow Semi Condensed" w:hAnsi="Barlow Semi Condensed"/>
                <w:sz w:val="20"/>
                <w:szCs w:val="20"/>
              </w:rPr>
              <w:t xml:space="preserve"> · </w:t>
            </w:r>
            <w:r>
              <w:rPr>
                <w:rFonts w:ascii="Barlow Semi Condensed" w:cs="Barlow Semi Condensed" w:eastAsia="Barlow Semi Condensed" w:hAnsi="Barlow Semi Condensed"/>
                <w:i/>
                <w:iCs/>
                <w:sz w:val="20"/>
                <w:szCs w:val="20"/>
              </w:rPr>
              <w:t xml:space="preserve">.pdf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Scheda dell'opera</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ALLEGATO_SCHEDA_DELL_OPERA.docx</w:t>
            </w:r>
            <w:r>
              <w:rPr>
                <w:rFonts w:ascii="Barlow Semi Condensed" w:cs="Barlow Semi Condensed" w:eastAsia="Barlow Semi Condensed" w:hAnsi="Barlow Semi Condensed"/>
                <w:sz w:val="20"/>
                <w:szCs w:val="20"/>
              </w:rPr>
              <w:t xml:space="preserve"> · </w:t>
            </w:r>
            <w:r>
              <w:rPr>
                <w:rFonts w:ascii="Barlow Semi Condensed" w:cs="Barlow Semi Condensed" w:eastAsia="Barlow Semi Condensed" w:hAnsi="Barlow Semi Condensed"/>
                <w:i/>
                <w:iCs/>
                <w:sz w:val="20"/>
                <w:szCs w:val="20"/>
              </w:rPr>
              <w:t xml:space="preserve">.pdf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3</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Curriculum da compilare</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ALLEGATO_CURRICULUM_DA_COMPILARE.docx</w:t>
            </w:r>
            <w:r>
              <w:rPr>
                <w:rFonts w:ascii="Barlow Semi Condensed" w:cs="Barlow Semi Condensed" w:eastAsia="Barlow Semi Condensed" w:hAnsi="Barlow Semi Condensed"/>
                <w:sz w:val="20"/>
                <w:szCs w:val="20"/>
              </w:rPr>
              <w:t xml:space="preserve"> · </w:t>
            </w:r>
            <w:r>
              <w:rPr>
                <w:rFonts w:ascii="Barlow Semi Condensed" w:cs="Barlow Semi Condensed" w:eastAsia="Barlow Semi Condensed" w:hAnsi="Barlow Semi Condensed"/>
                <w:i/>
                <w:iCs/>
                <w:sz w:val="20"/>
                <w:szCs w:val="20"/>
              </w:rPr>
              <w:t xml:space="preserve">.pdf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Checklist di invio</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CHECKLIST_DI_INVIO.docx</w:t>
            </w:r>
            <w:r>
              <w:rPr>
                <w:rFonts w:ascii="Barlow Semi Condensed" w:cs="Barlow Semi Condensed" w:eastAsia="Barlow Semi Condensed" w:hAnsi="Barlow Semi Condensed"/>
                <w:sz w:val="20"/>
                <w:szCs w:val="20"/>
              </w:rPr>
              <w:t xml:space="preserve"> · </w:t>
            </w:r>
            <w:r>
              <w:rPr>
                <w:rFonts w:ascii="Barlow Semi Condensed" w:cs="Barlow Semi Condensed" w:eastAsia="Barlow Semi Condensed" w:hAnsi="Barlow Semi Condensed"/>
                <w:i/>
                <w:iCs/>
                <w:sz w:val="20"/>
                <w:szCs w:val="20"/>
              </w:rPr>
              <w:t xml:space="preserve">.pdf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Relazione sul progetto</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RELAZIONE_SUL_PROGETTO.docx</w:t>
            </w:r>
            <w:r>
              <w:rPr>
                <w:rFonts w:ascii="Barlow Semi Condensed" w:cs="Barlow Semi Condensed" w:eastAsia="Barlow Semi Condensed" w:hAnsi="Barlow Semi Condensed"/>
                <w:sz w:val="20"/>
                <w:szCs w:val="20"/>
              </w:rPr>
              <w:t xml:space="preserve"> · </w:t>
            </w:r>
            <w:r>
              <w:rPr>
                <w:rFonts w:ascii="Barlow Semi Condensed" w:cs="Barlow Semi Condensed" w:eastAsia="Barlow Semi Condensed" w:hAnsi="Barlow Semi Condensed"/>
                <w:i/>
                <w:iCs/>
                <w:sz w:val="20"/>
                <w:szCs w:val="20"/>
              </w:rPr>
              <w:t xml:space="preserve">.pdf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7</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Il DOCX serve dove va compilato o annotato — il curriculum, sempre; il capitolo,</w:t>
      </w:r>
    </w:p>
    <w:p>
      <w:pPr>
        <w:spacing w:after="120" w:line="276"/>
        <w:jc w:val="both"/>
      </w:pPr>
      <w:r>
        <w:rPr>
          <w:rFonts w:ascii="Barlow Semi Condensed" w:cs="Barlow Semi Condensed" w:eastAsia="Barlow Semi Condensed" w:hAnsi="Barlow Semi Condensed"/>
          <w:sz w:val="24"/>
          <w:szCs w:val="24"/>
        </w:rPr>
        <w:t xml:space="preserve">se un editor chiede di lavorarci sopra. </w:t>
      </w:r>
      <w:r>
        <w:rPr>
          <w:rFonts w:ascii="Barlow Semi Condensed" w:cs="Barlow Semi Condensed" w:eastAsia="Barlow Semi Condensed" w:hAnsi="Barlow Semi Condensed"/>
          <w:b/>
          <w:bCs/>
          <w:sz w:val="24"/>
          <w:szCs w:val="24"/>
        </w:rPr>
        <w:t xml:space="preserve">Il PDF serve in tutti gli altri casi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perché non si riformatta sullo schermo di chi lo apre.</w:t>
      </w:r>
    </w:p>
    <w:p>
      <w:pPr>
        <w:spacing w:after="120" w:line="276"/>
        <w:jc w:val="both"/>
      </w:pPr>
      <w:r>
        <w:rPr>
          <w:rFonts w:ascii="Barlow Semi Condensed" w:cs="Barlow Semi Condensed" w:eastAsia="Barlow Semi Condensed" w:hAnsi="Barlow Semi Condensed"/>
          <w:sz w:val="24"/>
          <w:szCs w:val="24"/>
        </w:rPr>
        <w:t xml:space="preserve">La checklist non si allega a nessuno: è il documento di lavoro. Esiste in PDF</w:t>
      </w:r>
    </w:p>
    <w:p>
      <w:pPr>
        <w:spacing w:after="120" w:line="276"/>
        <w:jc w:val="both"/>
      </w:pPr>
      <w:r>
        <w:rPr>
          <w:rFonts w:ascii="Barlow Semi Condensed" w:cs="Barlow Semi Condensed" w:eastAsia="Barlow Semi Condensed" w:hAnsi="Barlow Semi Condensed"/>
          <w:sz w:val="24"/>
          <w:szCs w:val="24"/>
        </w:rPr>
        <w:t xml:space="preserve">perché si stampi e si tenga accanto — le caselle e la tabella di tracciamento</w:t>
      </w:r>
    </w:p>
    <w:p>
      <w:pPr>
        <w:spacing w:after="120" w:line="276"/>
        <w:jc w:val="both"/>
      </w:pPr>
      <w:r>
        <w:rPr>
          <w:rFonts w:ascii="Barlow Semi Condensed" w:cs="Barlow Semi Condensed" w:eastAsia="Barlow Semi Condensed" w:hAnsi="Barlow Semi Condensed"/>
          <w:sz w:val="24"/>
          <w:szCs w:val="24"/>
        </w:rPr>
        <w:t xml:space="preserve">sono rigate per essere compilate a mano — e in DOCX per chi preferisce</w:t>
      </w:r>
    </w:p>
    <w:p>
      <w:pPr>
        <w:spacing w:after="120" w:line="276"/>
        <w:jc w:val="both"/>
      </w:pPr>
      <w:r>
        <w:rPr>
          <w:rFonts w:ascii="Barlow Semi Condensed" w:cs="Barlow Semi Condensed" w:eastAsia="Barlow Semi Condensed" w:hAnsi="Barlow Semi Condensed"/>
          <w:sz w:val="24"/>
          <w:szCs w:val="24"/>
        </w:rPr>
        <w:t xml:space="preserve">compilarla sullo schermo.</w:t>
      </w:r>
    </w:p>
    <w:p>
      <w:pPr>
        <w:spacing w:after="120" w:line="276"/>
        <w:jc w:val="both"/>
      </w:pPr>
      <w:r>
        <w:rPr>
          <w:rFonts w:ascii="Barlow Semi Condensed" w:cs="Barlow Semi Condensed" w:eastAsia="Barlow Semi Condensed" w:hAnsi="Barlow Semi Condensed"/>
          <w:sz w:val="24"/>
          <w:szCs w:val="24"/>
        </w:rPr>
        <w:t xml:space="preserve">I due documenti restanti — la PEC all'archivio e le proposte agli editori — non</w:t>
      </w:r>
    </w:p>
    <w:p>
      <w:pPr>
        <w:spacing w:after="120" w:line="276"/>
        <w:jc w:val="both"/>
      </w:pPr>
      <w:r>
        <w:rPr>
          <w:rFonts w:ascii="Barlow Semi Condensed" w:cs="Barlow Semi Condensed" w:eastAsia="Barlow Semi Condensed" w:hAnsi="Barlow Semi Condensed"/>
          <w:sz w:val="24"/>
          <w:szCs w:val="24"/>
        </w:rPr>
        <w:t xml:space="preserve">si allegano: si incollano nel corpo del messaggio o nei campi del modulo.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Tre cose da non perdere di vista</w:t>
      </w:r>
    </w:p>
    <w:p>
      <w:pPr>
        <w:spacing w:after="120" w:line="276"/>
        <w:jc w:val="both"/>
      </w:pPr>
      <w:r>
        <w:rPr>
          <w:rFonts w:ascii="Barlow Semi Condensed" w:cs="Barlow Semi Condensed" w:eastAsia="Barlow Semi Condensed" w:hAnsi="Barlow Semi Condensed"/>
          <w:b/>
          <w:bCs/>
          <w:sz w:val="24"/>
          <w:szCs w:val="24"/>
        </w:rPr>
        <w:t xml:space="preserve">Le porte non sono tutte dello stesso tipo.</w:t>
      </w:r>
      <w:r>
        <w:rPr>
          <w:rFonts w:ascii="Barlow Semi Condensed" w:cs="Barlow Semi Condensed" w:eastAsia="Barlow Semi Condensed" w:hAnsi="Barlow Semi Condensed"/>
          <w:sz w:val="24"/>
          <w:szCs w:val="24"/>
        </w:rPr>
        <w:t xml:space="preserve"> Agli editori si propone un libro;</w:t>
      </w:r>
    </w:p>
    <w:p>
      <w:pPr>
        <w:spacing w:after="120" w:line="276"/>
        <w:jc w:val="both"/>
      </w:pPr>
      <w:r>
        <w:rPr>
          <w:rFonts w:ascii="Barlow Semi Condensed" w:cs="Barlow Semi Condensed" w:eastAsia="Barlow Semi Condensed" w:hAnsi="Barlow Semi Condensed"/>
          <w:sz w:val="24"/>
          <w:szCs w:val="24"/>
        </w:rPr>
        <w:t xml:space="preserve">al Centro Flamigni un apparato da valutare e correggere; alla Fondazione Aldo</w:t>
      </w:r>
    </w:p>
    <w:p>
      <w:pPr>
        <w:spacing w:after="120" w:line="276"/>
        <w:jc w:val="both"/>
      </w:pPr>
      <w:r>
        <w:rPr>
          <w:rFonts w:ascii="Barlow Semi Condensed" w:cs="Barlow Semi Condensed" w:eastAsia="Barlow Semi Condensed" w:hAnsi="Barlow Semi Condensed"/>
          <w:sz w:val="24"/>
          <w:szCs w:val="24"/>
        </w:rPr>
        <w:t xml:space="preserve">Moro </w:t>
      </w:r>
      <w:r>
        <w:rPr>
          <w:rFonts w:ascii="Barlow Semi Condensed" w:cs="Barlow Semi Condensed" w:eastAsia="Barlow Semi Condensed" w:hAnsi="Barlow Semi Condensed"/>
          <w:b/>
          <w:bCs/>
          <w:sz w:val="24"/>
          <w:szCs w:val="24"/>
        </w:rPr>
        <w:t xml:space="preserve">non si propone nulla</w:t>
      </w:r>
      <w:r>
        <w:rPr>
          <w:rFonts w:ascii="Barlow Semi Condensed" w:cs="Barlow Semi Condensed" w:eastAsia="Barlow Semi Condensed" w:hAnsi="Barlow Semi Condensed"/>
          <w:sz w:val="24"/>
          <w:szCs w:val="24"/>
        </w:rPr>
        <w:t xml:space="preserve"> — si porta una domanda e si dà una notizia dovuta.</w:t>
      </w:r>
    </w:p>
    <w:p>
      <w:pPr>
        <w:spacing w:after="120" w:line="276"/>
        <w:jc w:val="both"/>
      </w:pPr>
      <w:r>
        <w:rPr>
          <w:rFonts w:ascii="Barlow Semi Condensed" w:cs="Barlow Semi Condensed" w:eastAsia="Barlow Semi Condensed" w:hAnsi="Barlow Semi Condensed"/>
          <w:sz w:val="24"/>
          <w:szCs w:val="24"/>
        </w:rPr>
        <w:t xml:space="preserve">Usare il registro sbagliato alla porta sbagliata è il modo più rapido per non</w:t>
      </w:r>
    </w:p>
    <w:p>
      <w:pPr>
        <w:spacing w:after="120" w:line="276"/>
        <w:jc w:val="both"/>
      </w:pPr>
      <w:r>
        <w:rPr>
          <w:rFonts w:ascii="Barlow Semi Condensed" w:cs="Barlow Semi Condensed" w:eastAsia="Barlow Semi Condensed" w:hAnsi="Barlow Semi Condensed"/>
          <w:sz w:val="24"/>
          <w:szCs w:val="24"/>
        </w:rPr>
        <w:t xml:space="preserve">essere letti.</w:t>
      </w:r>
    </w:p>
    <w:p>
      <w:pPr>
        <w:spacing w:after="120" w:line="276"/>
        <w:jc w:val="both"/>
      </w:pPr>
      <w:r>
        <w:rPr>
          <w:rFonts w:ascii="Barlow Semi Condensed" w:cs="Barlow Semi Condensed" w:eastAsia="Barlow Semi Condensed" w:hAnsi="Barlow Semi Condensed"/>
          <w:b/>
          <w:bCs/>
          <w:sz w:val="24"/>
          <w:szCs w:val="24"/>
        </w:rPr>
        <w:t xml:space="preserve">Non si propone il corpus.</w:t>
      </w:r>
      <w:r>
        <w:rPr>
          <w:rFonts w:ascii="Barlow Semi Condensed" w:cs="Barlow Semi Condensed" w:eastAsia="Barlow Semi Condensed" w:hAnsi="Barlow Semi Condensed"/>
          <w:sz w:val="24"/>
          <w:szCs w:val="24"/>
        </w:rPr>
        <w:t xml:space="preserve"> L'opera integrale di 1.762 pagine resta apparato di</w:t>
      </w:r>
    </w:p>
    <w:p>
      <w:pPr>
        <w:spacing w:after="120" w:line="276"/>
        <w:jc w:val="both"/>
      </w:pPr>
      <w:r>
        <w:rPr>
          <w:rFonts w:ascii="Barlow Semi Condensed" w:cs="Barlow Semi Condensed" w:eastAsia="Barlow Semi Condensed" w:hAnsi="Barlow Semi Condensed"/>
          <w:sz w:val="24"/>
          <w:szCs w:val="24"/>
        </w:rPr>
        <w:t xml:space="preserve">consultazione, e va a un archivio. Agli editori si propone il </w:t>
      </w:r>
      <w:r>
        <w:rPr>
          <w:rFonts w:ascii="Barlow Semi Condensed" w:cs="Barlow Semi Condensed" w:eastAsia="Barlow Semi Condensed" w:hAnsi="Barlow Semi Condensed"/>
          <w:b/>
          <w:bCs/>
          <w:sz w:val="24"/>
          <w:szCs w:val="24"/>
        </w:rPr>
        <w:t xml:space="preserve">libro</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«Ottanta anni di Pace», romanzo evidence-based in sette parti — che ne nasce. Confondere i due oggetti è il modo</w:t>
      </w:r>
    </w:p>
    <w:p>
      <w:pPr>
        <w:spacing w:after="120" w:line="276"/>
        <w:jc w:val="both"/>
      </w:pPr>
      <w:r>
        <w:rPr>
          <w:rFonts w:ascii="Barlow Semi Condensed" w:cs="Barlow Semi Condensed" w:eastAsia="Barlow Semi Condensed" w:hAnsi="Barlow Semi Condensed"/>
          <w:sz w:val="24"/>
          <w:szCs w:val="24"/>
        </w:rPr>
        <w:t xml:space="preserve">più rapido per essere rifiutati da entrambe le porte.</w:t>
      </w:r>
    </w:p>
    <w:p>
      <w:pPr>
        <w:spacing w:after="120" w:line="276"/>
        <w:jc w:val="both"/>
      </w:pPr>
      <w:r>
        <w:rPr>
          <w:rFonts w:ascii="Barlow Semi Condensed" w:cs="Barlow Semi Condensed" w:eastAsia="Barlow Semi Condensed" w:hAnsi="Barlow Semi Condensed"/>
          <w:b/>
          <w:bCs/>
          <w:sz w:val="24"/>
          <w:szCs w:val="24"/>
        </w:rPr>
        <w:t xml:space="preserve">La dichiarazione sull'uso dell'intelligenza artificiale sta in apertura</w:t>
      </w:r>
      <w:r>
        <w:rPr>
          <w:rFonts w:ascii="Barlow Semi Condensed" w:cs="Barlow Semi Condensed" w:eastAsia="Barlow Semi Condensed" w:hAnsi="Barlow Semi Condensed"/>
          <w:sz w:val="24"/>
          <w:szCs w:val="24"/>
        </w:rPr>
        <w:t xml:space="preserve">, in</w:t>
      </w:r>
    </w:p>
    <w:p>
      <w:pPr>
        <w:spacing w:after="120" w:line="276"/>
        <w:jc w:val="both"/>
      </w:pPr>
      <w:r>
        <w:rPr>
          <w:rFonts w:ascii="Barlow Semi Condensed" w:cs="Barlow Semi Condensed" w:eastAsia="Barlow Semi Condensed" w:hAnsi="Barlow Semi Condensed"/>
          <w:sz w:val="24"/>
          <w:szCs w:val="24"/>
        </w:rPr>
        <w:t xml:space="preserve">ogni proposta e nel libro. Non è cautela legale: è l'oggetto del libro. Un</w:t>
      </w:r>
    </w:p>
    <w:p>
      <w:pPr>
        <w:spacing w:after="120" w:line="276"/>
        <w:jc w:val="both"/>
      </w:pPr>
      <w:r>
        <w:rPr>
          <w:rFonts w:ascii="Barlow Semi Condensed" w:cs="Barlow Semi Condensed" w:eastAsia="Barlow Semi Condensed" w:hAnsi="Barlow Semi Condensed"/>
          <w:sz w:val="24"/>
          <w:szCs w:val="24"/>
        </w:rPr>
        <w:t xml:space="preserve">editore che chiedesse di spostarla in fondo starebbe chiedendo un altro libro.</w:t>
      </w:r>
    </w:p>
    <w:p>
      <w:pPr>
        <w:spacing w:after="120" w:line="276"/>
        <w:jc w:val="both"/>
      </w:pPr>
      <w:r>
        <w:rPr>
          <w:rFonts w:ascii="Barlow Semi Condensed" w:cs="Barlow Semi Condensed" w:eastAsia="Barlow Semi Condensed" w:hAnsi="Barlow Semi Condensed"/>
          <w:b/>
          <w:bCs/>
          <w:sz w:val="24"/>
          <w:szCs w:val="24"/>
        </w:rPr>
        <w:t xml:space="preserve">Lo stato del lavoro si dice per intero.</w:t>
      </w:r>
      <w:r>
        <w:rPr>
          <w:rFonts w:ascii="Barlow Semi Condensed" w:cs="Barlow Semi Condensed" w:eastAsia="Barlow Semi Condensed" w:hAnsi="Barlow Semi Condensed"/>
          <w:sz w:val="24"/>
          <w:szCs w:val="24"/>
        </w:rPr>
        <w:t xml:space="preserve"> Corpus completo e verificato, **prima</w:t>
      </w:r>
    </w:p>
    <w:p>
      <w:pPr>
        <w:spacing w:after="120" w:line="276"/>
        <w:jc w:val="both"/>
      </w:pPr>
      <w:r>
        <w:rPr>
          <w:rFonts w:ascii="Barlow Semi Condensed" w:cs="Barlow Semi Condensed" w:eastAsia="Barlow Semi Condensed" w:hAnsi="Barlow Semi Condensed"/>
          <w:sz w:val="24"/>
          <w:szCs w:val="24"/>
        </w:rPr>
        <w:t xml:space="preserve">stesura del libro completa** — sette parti più il registro di chiusura — e lunghezza finale</w:t>
      </w:r>
    </w:p>
    <w:p>
      <w:pPr>
        <w:spacing w:after="120" w:line="276"/>
        <w:jc w:val="both"/>
      </w:pPr>
      <w:r>
        <w:rPr>
          <w:rFonts w:ascii="Barlow Semi Condensed" w:cs="Barlow Semi Condensed" w:eastAsia="Barlow Semi Condensed" w:hAnsi="Barlow Semi Condensed"/>
          <w:sz w:val="24"/>
          <w:szCs w:val="24"/>
        </w:rPr>
        <w:t xml:space="preserve">da concordare con l'editore. La stessa formula ovunque. Una reticenza su questo punto si paga più del ritardo che</w:t>
      </w:r>
    </w:p>
    <w:p>
      <w:pPr>
        <w:spacing w:after="120" w:line="276"/>
        <w:jc w:val="both"/>
      </w:pPr>
      <w:r>
        <w:rPr>
          <w:rFonts w:ascii="Barlow Semi Condensed" w:cs="Barlow Semi Condensed" w:eastAsia="Barlow Semi Condensed" w:hAnsi="Barlow Semi Condensed"/>
          <w:sz w:val="24"/>
          <w:szCs w:val="24"/>
        </w:rPr>
        <w:t xml:space="preserve">eviterebbe.</w:t>
      </w:r>
    </w:p>
    <w:p>
      <w:pPr>
        <w:pStyle w:val="Heading3"/>
        <w:spacing w:after="80" w:before="240"/>
      </w:pPr>
      <w:r>
        <w:rPr>
          <w:rFonts w:ascii="Barlow Semi Condensed" w:cs="Barlow Semi Condensed" w:eastAsia="Barlow Semi Condensed" w:hAnsi="Barlow Semi Condensed"/>
          <w:sz w:val="24"/>
          <w:szCs w:val="24"/>
        </w:rPr>
        <w:t xml:space="preserve">Apparato grafico — Appendici · la mappa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IV.iii: 847 parole in 4 sezioni; la più ampia è §2 I documenti, con 401.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IV.iii: 14 paragrafi in 4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iv. La scheda dell'opera</w:t>
      </w:r>
    </w:p>
    <w:p>
      <w:pPr>
        <w:pStyle w:val="Heading1"/>
        <w:spacing w:after="120" w:before="240"/>
      </w:pPr>
      <w:r>
        <w:rPr>
          <w:rFonts w:ascii="Barlow Semi Condensed" w:cs="Barlow Semi Condensed" w:eastAsia="Barlow Semi Condensed" w:hAnsi="Barlow Semi Condensed"/>
          <w:sz w:val="24"/>
          <w:szCs w:val="24"/>
        </w:rPr>
        <w:t xml:space="preserve">Scheda dell'opera</w:t>
      </w:r>
    </w:p>
    <w:p>
      <w:pPr>
        <w:spacing w:after="120" w:line="276"/>
        <w:jc w:val="both"/>
      </w:pPr>
      <w:r>
        <w:rPr>
          <w:rFonts w:ascii="Barlow Semi Condensed" w:cs="Barlow Semi Condensed" w:eastAsia="Barlow Semi Condensed" w:hAnsi="Barlow Semi Condensed"/>
          <w:sz w:val="24"/>
          <w:szCs w:val="24"/>
        </w:rPr>
        <w:t xml:space="preserve">*Una pagina. È l'allegato che accompagna ogni proposta, invariato, in modo che</w:t>
      </w:r>
    </w:p>
    <w:p>
      <w:pPr>
        <w:spacing w:after="120" w:line="276"/>
        <w:jc w:val="both"/>
      </w:pPr>
      <w:r>
        <w:rPr>
          <w:rFonts w:ascii="Barlow Semi Condensed" w:cs="Barlow Semi Condensed" w:eastAsia="Barlow Semi Condensed" w:hAnsi="Barlow Semi Condensed"/>
          <w:sz w:val="24"/>
          <w:szCs w:val="24"/>
        </w:rPr>
        <w:t xml:space="preserve">tre editori diversi ricevano gli stessi numeri. Aggiornata al 27 agosto 2026, sesta edizione.*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cos'è</w:t>
      </w:r>
    </w:p>
    <w:p>
      <w:pPr>
        <w:spacing w:after="120" w:line="276"/>
        <w:jc w:val="both"/>
      </w:pPr>
      <w:r>
        <w:rPr>
          <w:rFonts w:ascii="Barlow Semi Condensed" w:cs="Barlow Semi Condensed" w:eastAsia="Barlow Semi Condensed" w:hAnsi="Barlow Semi Condensed"/>
          <w:sz w:val="24"/>
          <w:szCs w:val="24"/>
        </w:rPr>
        <w:t xml:space="preserve">Un corpus di ricerca storica sul caso Moro e sul suo contesto internazionale,</w:t>
      </w:r>
    </w:p>
    <w:p>
      <w:pPr>
        <w:spacing w:after="120" w:line="276"/>
        <w:jc w:val="both"/>
      </w:pPr>
      <w:r>
        <w:rPr>
          <w:rFonts w:ascii="Barlow Semi Condensed" w:cs="Barlow Semi Condensed" w:eastAsia="Barlow Semi Condensed" w:hAnsi="Barlow Semi Condensed"/>
          <w:sz w:val="24"/>
          <w:szCs w:val="24"/>
        </w:rPr>
        <w:t xml:space="preserve">prodotto nel 2026 con sistemi di intelligenza artificiale sotto direzione umana e</w:t>
      </w:r>
    </w:p>
    <w:p>
      <w:pPr>
        <w:spacing w:after="120" w:line="276"/>
        <w:jc w:val="both"/>
      </w:pPr>
      <w:r>
        <w:rPr>
          <w:rFonts w:ascii="Barlow Semi Condensed" w:cs="Barlow Semi Condensed" w:eastAsia="Barlow Semi Condensed" w:hAnsi="Barlow Semi Condensed"/>
          <w:sz w:val="24"/>
          <w:szCs w:val="24"/>
        </w:rPr>
        <w:t xml:space="preserve">sotto una disciplina metodologica vincolante, **scritta prima di ciascun lotto di</w:t>
      </w:r>
    </w:p>
    <w:p>
      <w:pPr>
        <w:spacing w:after="120" w:line="276"/>
        <w:jc w:val="both"/>
      </w:pPr>
      <w:r>
        <w:rPr>
          <w:rFonts w:ascii="Barlow Semi Condensed" w:cs="Barlow Semi Condensed" w:eastAsia="Barlow Semi Condensed" w:hAnsi="Barlow Semi Condensed"/>
          <w:sz w:val="24"/>
          <w:szCs w:val="24"/>
        </w:rPr>
        <w:t xml:space="preserve">lavoro e riscritta ogni volta che un lotto la incrinava**. L'accrescimento è</w:t>
      </w:r>
    </w:p>
    <w:p>
      <w:pPr>
        <w:spacing w:after="120" w:line="276"/>
        <w:jc w:val="both"/>
      </w:pPr>
      <w:r>
        <w:rPr>
          <w:rFonts w:ascii="Barlow Semi Condensed" w:cs="Barlow Semi Condensed" w:eastAsia="Barlow Semi Condensed" w:hAnsi="Barlow Semi Condensed"/>
          <w:sz w:val="24"/>
          <w:szCs w:val="24"/>
        </w:rPr>
        <w:t xml:space="preserve">datato: il registro delle revisioni assegna a ciascuna regola il giorno e l'ora</w:t>
      </w:r>
    </w:p>
    <w:p>
      <w:pPr>
        <w:spacing w:after="120" w:line="276"/>
        <w:jc w:val="both"/>
      </w:pPr>
      <w:r>
        <w:rPr>
          <w:rFonts w:ascii="Barlow Semi Condensed" w:cs="Barlow Semi Condensed" w:eastAsia="Barlow Semi Condensed" w:hAnsi="Barlow Semi Condensed"/>
          <w:sz w:val="24"/>
          <w:szCs w:val="24"/>
        </w:rPr>
        <w:t xml:space="preserve">del lavoro che l'ha resa necessaria.</w:t>
      </w:r>
    </w:p>
    <w:p>
      <w:pPr>
        <w:spacing w:after="120" w:line="276"/>
        <w:jc w:val="both"/>
      </w:pPr>
      <w:r>
        <w:rPr>
          <w:rFonts w:ascii="Barlow Semi Condensed" w:cs="Barlow Semi Condensed" w:eastAsia="Barlow Semi Condensed" w:hAnsi="Barlow Semi Condensed"/>
          <w:b/>
          <w:bCs/>
          <w:sz w:val="24"/>
          <w:szCs w:val="24"/>
        </w:rPr>
        <w:t xml:space="preserve">Il corpus non è, nel suo impianto, una ricostruzione dei fatti del 1978.</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propone una tesi sul sequestro, non indica responsabili, non rivela nulla.</w:t>
      </w:r>
    </w:p>
    <w:p>
      <w:pPr>
        <w:spacing w:after="120" w:line="276"/>
        <w:jc w:val="both"/>
      </w:pPr>
      <w:r>
        <w:rPr>
          <w:rFonts w:ascii="Barlow Semi Condensed" w:cs="Barlow Semi Condensed" w:eastAsia="Barlow Semi Condensed" w:hAnsi="Barlow Semi Condensed"/>
          <w:sz w:val="24"/>
          <w:szCs w:val="24"/>
        </w:rPr>
        <w:t xml:space="preserve">Produce </w:t>
      </w:r>
      <w:r>
        <w:rPr>
          <w:rFonts w:ascii="Barlow Semi Condensed" w:cs="Barlow Semi Condensed" w:eastAsia="Barlow Semi Condensed" w:hAnsi="Barlow Semi Condensed"/>
          <w:b/>
          <w:bCs/>
          <w:sz w:val="24"/>
          <w:szCs w:val="24"/>
        </w:rPr>
        <w:t xml:space="preserve">bersagli di ricerca</w:t>
      </w:r>
      <w:r>
        <w:rPr>
          <w:rFonts w:ascii="Barlow Semi Condensed" w:cs="Barlow Semi Condensed" w:eastAsia="Barlow Semi Condensed" w:hAnsi="Barlow Semi Condensed"/>
          <w:sz w:val="24"/>
          <w:szCs w:val="24"/>
        </w:rPr>
        <w:t xml:space="preserve">: domande formulate in modo che qualcuno possa</w:t>
      </w:r>
    </w:p>
    <w:p>
      <w:pPr>
        <w:spacing w:after="120" w:line="276"/>
        <w:jc w:val="both"/>
      </w:pPr>
      <w:r>
        <w:rPr>
          <w:rFonts w:ascii="Barlow Semi Condensed" w:cs="Barlow Semi Condensed" w:eastAsia="Barlow Semi Condensed" w:hAnsi="Barlow Semi Condensed"/>
          <w:sz w:val="24"/>
          <w:szCs w:val="24"/>
        </w:rPr>
        <w:t xml:space="preserve">andare in archivio a rispondervi, ciascuna col grado di ciò che si sa già e con</w:t>
      </w:r>
    </w:p>
    <w:p>
      <w:pPr>
        <w:spacing w:after="120" w:line="276"/>
        <w:jc w:val="both"/>
      </w:pPr>
      <w:r>
        <w:rPr>
          <w:rFonts w:ascii="Barlow Semi Condensed" w:cs="Barlow Semi Condensed" w:eastAsia="Barlow Semi Condensed" w:hAnsi="Barlow Semi Condensed"/>
          <w:sz w:val="24"/>
          <w:szCs w:val="24"/>
        </w:rPr>
        <w:t xml:space="preserve">la sede in cui si</w:t>
      </w:r>
    </w:p>
    <w:p>
      <w:pPr>
        <w:spacing w:after="120" w:line="276"/>
        <w:jc w:val="both"/>
      </w:pPr>
      <w:r>
        <w:rPr>
          <w:rFonts w:ascii="Barlow Semi Condensed" w:cs="Barlow Semi Condensed" w:eastAsia="Barlow Semi Condensed" w:hAnsi="Barlow Semi Condensed"/>
          <w:sz w:val="24"/>
          <w:szCs w:val="24"/>
        </w:rPr>
        <w:t xml:space="preserve">cercherebbe.</w:t>
      </w:r>
    </w:p>
    <w:p>
      <w:pPr>
        <w:spacing w:after="120" w:line="276"/>
        <w:jc w:val="both"/>
      </w:pPr>
      <w:r>
        <w:rPr>
          <w:rFonts w:ascii="Barlow Semi Condensed" w:cs="Barlow Semi Condensed" w:eastAsia="Barlow Semi Condensed" w:hAnsi="Barlow Semi Condensed"/>
          <w:b/>
          <w:bCs/>
          <w:sz w:val="24"/>
          <w:szCs w:val="24"/>
        </w:rPr>
        <w:t xml:space="preserve">Un solo Libro fa eccezione, e la dichiara.</w:t>
      </w:r>
      <w:r>
        <w:rPr>
          <w:rFonts w:ascii="Barlow Semi Condensed" w:cs="Barlow Semi Condensed" w:eastAsia="Barlow Semi Condensed" w:hAnsi="Barlow Semi Condensed"/>
          <w:sz w:val="24"/>
          <w:szCs w:val="24"/>
        </w:rPr>
        <w:t xml:space="preserve"> Il Libro quarto — il Dossier</w:t>
      </w:r>
    </w:p>
    <w:p>
      <w:pPr>
        <w:spacing w:after="120" w:line="276"/>
        <w:jc w:val="both"/>
      </w:pPr>
      <w:r>
        <w:rPr>
          <w:rFonts w:ascii="Barlow Semi Condensed" w:cs="Barlow Semi Condensed" w:eastAsia="Barlow Semi Condensed" w:hAnsi="Barlow Semi Condensed"/>
          <w:sz w:val="24"/>
          <w:szCs w:val="24"/>
        </w:rPr>
        <w:t xml:space="preserve">maggiore dell'autore, «Una Pace senza Pace · Tutta la verità», opera anteriore</w:t>
      </w:r>
    </w:p>
    <w:p>
      <w:pPr>
        <w:spacing w:after="120" w:line="276"/>
        <w:jc w:val="both"/>
      </w:pPr>
      <w:r>
        <w:rPr>
          <w:rFonts w:ascii="Barlow Semi Condensed" w:cs="Barlow Semi Condensed" w:eastAsia="Barlow Semi Condensed" w:hAnsi="Barlow Semi Condensed"/>
          <w:sz w:val="24"/>
          <w:szCs w:val="24"/>
        </w:rPr>
        <w:t xml:space="preserve">al corpus e qui conservata per intero anziché riscritta — ricostruisce i fatti</w:t>
      </w:r>
    </w:p>
    <w:p>
      <w:pPr>
        <w:spacing w:after="120" w:line="276"/>
        <w:jc w:val="both"/>
      </w:pPr>
      <w:r>
        <w:rPr>
          <w:rFonts w:ascii="Barlow Semi Condensed" w:cs="Barlow Semi Condensed" w:eastAsia="Barlow Semi Condensed" w:hAnsi="Barlow Semi Condensed"/>
          <w:sz w:val="24"/>
          <w:szCs w:val="24"/>
        </w:rPr>
        <w:t xml:space="preserve">e, nella sua seconda metà, congeda dichiaratamente la sospensione prudente per</w:t>
      </w:r>
    </w:p>
    <w:p>
      <w:pPr>
        <w:spacing w:after="120" w:line="276"/>
        <w:jc w:val="both"/>
      </w:pPr>
      <w:r>
        <w:rPr>
          <w:rFonts w:ascii="Barlow Semi Condensed" w:cs="Barlow Semi Condensed" w:eastAsia="Barlow Semi Condensed" w:hAnsi="Barlow Semi Condensed"/>
          <w:sz w:val="24"/>
          <w:szCs w:val="24"/>
        </w:rPr>
        <w:t xml:space="preserve">ordinare secondo la plausibilità del coinvolgimento. **Ordina categorie di</w:t>
      </w:r>
    </w:p>
    <w:p>
      <w:pPr>
        <w:spacing w:after="120" w:line="276"/>
        <w:jc w:val="both"/>
      </w:pPr>
      <w:r>
        <w:rPr>
          <w:rFonts w:ascii="Barlow Semi Condensed" w:cs="Barlow Semi Condensed" w:eastAsia="Barlow Semi Condensed" w:hAnsi="Barlow Semi Condensed"/>
          <w:sz w:val="24"/>
          <w:szCs w:val="24"/>
        </w:rPr>
        <w:t xml:space="preserve">soggetti, non nomi individuali**: i condannati in via definitiva, gli apparati</w:t>
      </w:r>
    </w:p>
    <w:p>
      <w:pPr>
        <w:spacing w:after="120" w:line="276"/>
        <w:jc w:val="both"/>
      </w:pPr>
      <w:r>
        <w:rPr>
          <w:rFonts w:ascii="Barlow Semi Condensed" w:cs="Barlow Semi Condensed" w:eastAsia="Barlow Semi Condensed" w:hAnsi="Barlow Semi Condensed"/>
          <w:sz w:val="24"/>
          <w:szCs w:val="24"/>
        </w:rPr>
        <w:t xml:space="preserve">coinvolti nei depistaggi, i portatori d'interesse esterno. L'eccezione è</w:t>
      </w:r>
    </w:p>
    <w:p>
      <w:pPr>
        <w:spacing w:after="120" w:line="276"/>
        <w:jc w:val="both"/>
      </w:pPr>
      <w:r>
        <w:rPr>
          <w:rFonts w:ascii="Barlow Semi Condensed" w:cs="Barlow Semi Condensed" w:eastAsia="Barlow Semi Condensed" w:hAnsi="Barlow Semi Condensed"/>
          <w:sz w:val="24"/>
          <w:szCs w:val="24"/>
        </w:rPr>
        <w:t xml:space="preserve">registrata nella disciplina in copertina dell'opera, ripetuta nella nota che</w:t>
      </w:r>
    </w:p>
    <w:p>
      <w:pPr>
        <w:spacing w:after="120" w:line="276"/>
        <w:jc w:val="both"/>
      </w:pPr>
      <w:r>
        <w:rPr>
          <w:rFonts w:ascii="Barlow Semi Condensed" w:cs="Barlow Semi Condensed" w:eastAsia="Barlow Semi Condensed" w:hAnsi="Barlow Semi Condensed"/>
          <w:sz w:val="24"/>
          <w:szCs w:val="24"/>
        </w:rPr>
        <w:t xml:space="preserve">apre quel Libro, e vale per quel Libro soltanto.</w:t>
      </w:r>
    </w:p>
    <w:p>
      <w:pPr>
        <w:pStyle w:val="Heading2"/>
        <w:spacing w:after="100" w:before="200"/>
      </w:pPr>
      <w:r>
        <w:rPr>
          <w:rFonts w:ascii="Barlow Semi Condensed" w:cs="Barlow Semi Condensed" w:eastAsia="Barlow Semi Condensed" w:hAnsi="Barlow Semi Condensed"/>
          <w:sz w:val="24"/>
          <w:szCs w:val="24"/>
        </w:rPr>
        <w:t xml:space="preserve">I numeri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Blocchi mirati di ricerca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7.699</w:t>
            </w:r>
            <w:r>
              <w:rPr>
                <w:rFonts w:ascii="Barlow Semi Condensed" w:cs="Barlow Semi Condensed" w:eastAsia="Barlow Semi Condensed" w:hAnsi="Barlow Semi Condensed"/>
                <w:sz w:val="20"/>
                <w:szCs w:val="20"/>
              </w:rPr>
              <w:t xml:space="preserve"> in cinque opere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Opera integrale rilegata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oltre </w:t>
            </w:r>
            <w:r>
              <w:rPr>
                <w:rFonts w:ascii="Barlow Semi Condensed" w:cs="Barlow Semi Condensed" w:eastAsia="Barlow Semi Condensed" w:hAnsi="Barlow Semi Condensed"/>
                <w:b/>
                <w:bCs/>
                <w:sz w:val="20"/>
                <w:szCs w:val="20"/>
              </w:rPr>
              <w:t xml:space="preserve">2.400</w:t>
            </w:r>
            <w:r>
              <w:rPr>
                <w:rFonts w:ascii="Barlow Semi Condensed" w:cs="Barlow Semi Condensed" w:eastAsia="Barlow Semi Condensed" w:hAnsi="Barlow Semi Condensed"/>
                <w:sz w:val="20"/>
                <w:szCs w:val="20"/>
              </w:rPr>
              <w:t xml:space="preserve"> pagine, </w:t>
            </w:r>
            <w:r>
              <w:rPr>
                <w:rFonts w:ascii="Barlow Semi Condensed" w:cs="Barlow Semi Condensed" w:eastAsia="Barlow Semi Condensed" w:hAnsi="Barlow Semi Condensed"/>
                <w:b/>
                <w:bCs/>
                <w:sz w:val="20"/>
                <w:szCs w:val="20"/>
              </w:rPr>
              <w:t xml:space="preserve">101</w:t>
            </w:r>
            <w:r>
              <w:rPr>
                <w:rFonts w:ascii="Barlow Semi Condensed" w:cs="Barlow Semi Condensed" w:eastAsia="Barlow Semi Condensed" w:hAnsi="Barlow Semi Condensed"/>
                <w:sz w:val="20"/>
                <w:szCs w:val="20"/>
              </w:rPr>
              <w:t xml:space="preserve"> documenti su 104 del perimetro, </w:t>
            </w:r>
            <w:r>
              <w:rPr>
                <w:rFonts w:ascii="Barlow Semi Condensed" w:cs="Barlow Semi Condensed" w:eastAsia="Barlow Semi Condensed" w:hAnsi="Barlow Semi Condensed"/>
                <w:b/>
                <w:bCs/>
                <w:sz w:val="20"/>
                <w:szCs w:val="20"/>
              </w:rPr>
              <w:t xml:space="preserve">tredici Libri</w:t>
            </w:r>
            <w:r>
              <w:rPr>
                <w:rFonts w:ascii="Barlow Semi Condensed" w:cs="Barlow Semi Condensed" w:eastAsia="Barlow Semi Condensed" w:hAnsi="Barlow Semi Condensed"/>
                <w:sz w:val="20"/>
                <w:szCs w:val="20"/>
              </w:rPr>
              <w:t xml:space="preserve"> e cinque Appendici, doppia edizione DOCX e PDF</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Documenti in markdown nel ramo pubblico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104</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Volumi rilegati in doppia edizione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14 DOCX + 14 PDF</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Riferimenti bibliografici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736</w:t>
            </w:r>
            <w:r>
              <w:rPr>
                <w:rFonts w:ascii="Barlow Semi Condensed" w:cs="Barlow Semi Condensed" w:eastAsia="Barlow Semi Condensed" w:hAnsi="Barlow Semi Condensed"/>
                <w:sz w:val="20"/>
                <w:szCs w:val="20"/>
              </w:rPr>
              <w:t xml:space="preserve"> indirizzi distinti, </w:t>
            </w:r>
            <w:r>
              <w:rPr>
                <w:rFonts w:ascii="Barlow Semi Condensed" w:cs="Barlow Semi Condensed" w:eastAsia="Barlow Semi Condensed" w:hAnsi="Barlow Semi Condensed"/>
                <w:b/>
                <w:bCs/>
                <w:sz w:val="20"/>
                <w:szCs w:val="20"/>
              </w:rPr>
              <w:t xml:space="preserve">1.332</w:t>
            </w:r>
            <w:r>
              <w:rPr>
                <w:rFonts w:ascii="Barlow Semi Condensed" w:cs="Barlow Semi Condensed" w:eastAsia="Barlow Semi Condensed" w:hAnsi="Barlow Semi Condensed"/>
                <w:sz w:val="20"/>
                <w:szCs w:val="20"/>
              </w:rPr>
              <w:t xml:space="preserve"> citazioni, </w:t>
            </w:r>
            <w:r>
              <w:rPr>
                <w:rFonts w:ascii="Barlow Semi Condensed" w:cs="Barlow Semi Condensed" w:eastAsia="Barlow Semi Condensed" w:hAnsi="Barlow Semi Condensed"/>
                <w:b/>
                <w:bCs/>
                <w:sz w:val="20"/>
                <w:szCs w:val="20"/>
              </w:rPr>
              <w:t xml:space="preserve">390</w:t>
            </w:r>
            <w:r>
              <w:rPr>
                <w:rFonts w:ascii="Barlow Semi Condensed" w:cs="Barlow Semi Condensed" w:eastAsia="Barlow Semi Condensed" w:hAnsi="Barlow Semi Condensed"/>
                <w:sz w:val="20"/>
                <w:szCs w:val="20"/>
              </w:rPr>
              <w:t xml:space="preserve"> domini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Apparato grafico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235</w:t>
            </w:r>
            <w:r>
              <w:rPr>
                <w:rFonts w:ascii="Barlow Semi Condensed" w:cs="Barlow Semi Condensed" w:eastAsia="Barlow Semi Condensed" w:hAnsi="Barlow Semi Condensed"/>
                <w:sz w:val="20"/>
                <w:szCs w:val="20"/>
              </w:rPr>
              <w:t xml:space="preserve"> grafici su 102 capitoli, mai meno di due per capitolo</w:t>
            </w:r>
          </w:p>
        </w:tc>
      </w:tr>
    </w:tbl>
    <w:p>
      <w:pPr>
        <w:spacing w:after="80"/>
      </w:pPr>
    </w:p>
    <w:p>
      <w:pPr>
        <w:spacing w:after="120" w:line="276"/>
        <w:jc w:val="both"/>
      </w:pPr>
      <w:r>
        <w:rPr>
          <w:rFonts w:ascii="Barlow Semi Condensed" w:cs="Barlow Semi Condensed" w:eastAsia="Barlow Semi Condensed" w:hAnsi="Barlow Semi Condensed"/>
          <w:i/>
          <w:iCs/>
          <w:sz w:val="24"/>
          <w:szCs w:val="24"/>
        </w:rPr>
        <w:t xml:space="preserve">Sui tre documenti che non entrano.</w:t>
      </w:r>
      <w:r>
        <w:rPr>
          <w:rFonts w:ascii="Barlow Semi Condensed" w:cs="Barlow Semi Condensed" w:eastAsia="Barlow Semi Condensed" w:hAnsi="Barlow Semi Condensed"/>
          <w:sz w:val="24"/>
          <w:szCs w:val="24"/>
        </w:rPr>
        <w:t xml:space="preserve"> Il registro delle impronte misura il volume e</w:t>
      </w:r>
    </w:p>
    <w:p>
      <w:pPr>
        <w:spacing w:after="120" w:line="276"/>
        <w:jc w:val="both"/>
      </w:pPr>
      <w:r>
        <w:rPr>
          <w:rFonts w:ascii="Barlow Semi Condensed" w:cs="Barlow Semi Condensed" w:eastAsia="Barlow Semi Condensed" w:hAnsi="Barlow Semi Condensed"/>
          <w:sz w:val="24"/>
          <w:szCs w:val="24"/>
        </w:rPr>
        <w:t xml:space="preserve">non può stare dentro ciò che misura; il memorandum operativo si esclude per</w:t>
      </w:r>
    </w:p>
    <w:p>
      <w:pPr>
        <w:spacing w:after="120" w:line="276"/>
        <w:jc w:val="both"/>
      </w:pPr>
      <w:r>
        <w:rPr>
          <w:rFonts w:ascii="Barlow Semi Condensed" w:cs="Barlow Semi Condensed" w:eastAsia="Barlow Semi Condensed" w:hAnsi="Barlow Semi Condensed"/>
          <w:sz w:val="24"/>
          <w:szCs w:val="24"/>
        </w:rPr>
        <w:t xml:space="preserve">statuto proprio; la nota sugli strumenti ricevuti riguarda codice e segue i</w:t>
      </w:r>
    </w:p>
    <w:p>
      <w:pPr>
        <w:spacing w:after="120" w:line="276"/>
        <w:jc w:val="both"/>
      </w:pPr>
      <w:r>
        <w:rPr>
          <w:rFonts w:ascii="Barlow Semi Condensed" w:cs="Barlow Semi Condensed" w:eastAsia="Barlow Semi Condensed" w:hAnsi="Barlow Semi Condensed"/>
          <w:sz w:val="24"/>
          <w:szCs w:val="24"/>
        </w:rPr>
        <w:t xml:space="preserve">generatori. Il conteggio delle pagine è dato in tondo per la stessa ragione per</w:t>
      </w:r>
    </w:p>
    <w:p>
      <w:pPr>
        <w:spacing w:after="120" w:line="276"/>
        <w:jc w:val="both"/>
      </w:pPr>
      <w:r>
        <w:rPr>
          <w:rFonts w:ascii="Barlow Semi Condensed" w:cs="Barlow Semi Condensed" w:eastAsia="Barlow Semi Condensed" w:hAnsi="Barlow Semi Condensed"/>
          <w:sz w:val="24"/>
          <w:szCs w:val="24"/>
        </w:rPr>
        <w:t xml:space="preserve">cui lo è nel foglio del deposito: questa scheda è rilegata nel volume che conta,</w:t>
      </w:r>
    </w:p>
    <w:p>
      <w:pPr>
        <w:spacing w:after="120" w:line="276"/>
        <w:jc w:val="both"/>
      </w:pPr>
      <w:r>
        <w:rPr>
          <w:rFonts w:ascii="Barlow Semi Condensed" w:cs="Barlow Semi Condensed" w:eastAsia="Barlow Semi Condensed" w:hAnsi="Barlow Semi Condensed"/>
          <w:sz w:val="24"/>
          <w:szCs w:val="24"/>
        </w:rPr>
        <w:t xml:space="preserve">e ogni volta che vi si scrive il numero esatto il numero cambia. La cifra si</w:t>
      </w:r>
    </w:p>
    <w:p>
      <w:pPr>
        <w:spacing w:after="120" w:line="276"/>
        <w:jc w:val="both"/>
      </w:pPr>
      <w:r>
        <w:rPr>
          <w:rFonts w:ascii="Barlow Semi Condensed" w:cs="Barlow Semi Condensed" w:eastAsia="Barlow Semi Condensed" w:hAnsi="Barlow Semi Condensed"/>
          <w:sz w:val="24"/>
          <w:szCs w:val="24"/>
        </w:rPr>
        <w:t xml:space="preserve">legge sulla copertina.*</w:t>
      </w:r>
    </w:p>
    <w:p>
      <w:pPr>
        <w:spacing w:after="120" w:line="276"/>
        <w:jc w:val="both"/>
      </w:pPr>
      <w:r>
        <w:rPr>
          <w:rFonts w:ascii="Barlow Semi Condensed" w:cs="Barlow Semi Condensed" w:eastAsia="Barlow Semi Condensed" w:hAnsi="Barlow Semi Condensed"/>
          <w:sz w:val="24"/>
          <w:szCs w:val="24"/>
        </w:rPr>
        <w:t xml:space="preserve">*Annotazione del 27 agosto 2026 — Questa tavola è stata aggiornata, e va detto\</w:t>
      </w:r>
    </w:p>
    <w:p>
      <w:pPr>
        <w:spacing w:after="120" w:line="276"/>
        <w:jc w:val="both"/>
      </w:pPr>
      <w:r>
        <w:rPr>
          <w:rFonts w:ascii="Barlow Semi Condensed" w:cs="Barlow Semi Condensed" w:eastAsia="Barlow Semi Condensed" w:hAnsi="Barlow Semi Condensed"/>
          <w:sz w:val="24"/>
          <w:szCs w:val="24"/>
        </w:rPr>
        <w:t xml:space="preserve">da che cosa. Fino al 26 agosto vi si leggeva: opera integrale di **1.331 pagine\</w:t>
      </w:r>
    </w:p>
    <w:p>
      <w:pPr>
        <w:spacing w:after="120" w:line="276"/>
        <w:jc w:val="both"/>
      </w:pPr>
      <w:r>
        <w:rPr>
          <w:rFonts w:ascii="Barlow Semi Condensed" w:cs="Barlow Semi Condensed" w:eastAsia="Barlow Semi Condensed" w:hAnsi="Barlow Semi Condensed"/>
          <w:sz w:val="24"/>
          <w:szCs w:val="24"/>
        </w:rPr>
        <w:t xml:space="preserve">e 47 documenti</w:t>
      </w:r>
      <w:r>
        <w:rPr>
          <w:rFonts w:ascii="Barlow Semi Condensed" w:cs="Barlow Semi Condensed" w:eastAsia="Barlow Semi Condensed" w:hAnsi="Barlow Semi Condensed"/>
          <w:b/>
          <w:bCs/>
          <w:sz w:val="24"/>
          <w:szCs w:val="24"/>
        </w:rPr>
        <w:t xml:space="preserve">, </w:t>
      </w:r>
      <w:r>
        <w:rPr>
          <w:rFonts w:ascii="Barlow Semi Condensed" w:cs="Barlow Semi Condensed" w:eastAsia="Barlow Semi Condensed" w:hAnsi="Barlow Semi Condensed"/>
          <w:sz w:val="24"/>
          <w:szCs w:val="24"/>
        </w:rPr>
        <w:t xml:space="preserve">39</w:t>
      </w:r>
      <w:r>
        <w:rPr>
          <w:rFonts w:ascii="Barlow Semi Condensed" w:cs="Barlow Semi Condensed" w:eastAsia="Barlow Semi Condensed" w:hAnsi="Barlow Semi Condensed"/>
          <w:b/>
          <w:bCs/>
          <w:sz w:val="24"/>
          <w:szCs w:val="24"/>
        </w:rPr>
        <w:t xml:space="preserve"> documenti in markdown, </w:t>
      </w:r>
      <w:r>
        <w:rPr>
          <w:rFonts w:ascii="Barlow Semi Condensed" w:cs="Barlow Semi Condensed" w:eastAsia="Barlow Semi Condensed" w:hAnsi="Barlow Semi Condensed"/>
          <w:sz w:val="24"/>
          <w:szCs w:val="24"/>
        </w:rPr>
        <w:t xml:space="preserve">667** indirizzi distinti con\</w:t>
      </w:r>
    </w:p>
    <w:p>
      <w:pPr>
        <w:spacing w:after="120" w:line="276"/>
        <w:jc w:val="both"/>
      </w:pPr>
      <w:r>
        <w:rPr>
          <w:rFonts w:ascii="Barlow Semi Condensed" w:cs="Barlow Semi Condensed" w:eastAsia="Barlow Semi Condensed" w:hAnsi="Barlow Semi Condensed"/>
          <w:b/>
          <w:bCs/>
          <w:sz w:val="24"/>
          <w:szCs w:val="24"/>
        </w:rPr>
        <w:t xml:space="preserve">1.002</w:t>
      </w:r>
      <w:r>
        <w:rPr>
          <w:rFonts w:ascii="Barlow Semi Condensed" w:cs="Barlow Semi Condensed" w:eastAsia="Barlow Semi Condensed" w:hAnsi="Barlow Semi Condensed"/>
          <w:sz w:val="24"/>
          <w:szCs w:val="24"/>
        </w:rPr>
        <w:t xml:space="preserve"> citazioni su </w:t>
      </w:r>
      <w:r>
        <w:rPr>
          <w:rFonts w:ascii="Barlow Semi Condensed" w:cs="Barlow Semi Condensed" w:eastAsia="Barlow Semi Condensed" w:hAnsi="Barlow Semi Condensed"/>
          <w:b/>
          <w:bCs/>
          <w:sz w:val="24"/>
          <w:szCs w:val="24"/>
        </w:rPr>
        <w:t xml:space="preserve">344</w:t>
      </w:r>
      <w:r>
        <w:rPr>
          <w:rFonts w:ascii="Barlow Semi Condensed" w:cs="Barlow Semi Condensed" w:eastAsia="Barlow Semi Condensed" w:hAnsi="Barlow Semi Condensed"/>
          <w:sz w:val="24"/>
          <w:szCs w:val="24"/>
        </w:rPr>
        <w:t xml:space="preserve"> domini, </w:t>
      </w:r>
      <w:r>
        <w:rPr>
          <w:rFonts w:ascii="Barlow Semi Condensed" w:cs="Barlow Semi Condensed" w:eastAsia="Barlow Semi Condensed" w:hAnsi="Barlow Semi Condensed"/>
          <w:b/>
          <w:bCs/>
          <w:sz w:val="24"/>
          <w:szCs w:val="24"/>
        </w:rPr>
        <w:t xml:space="preserve">113</w:t>
      </w:r>
      <w:r>
        <w:rPr>
          <w:rFonts w:ascii="Barlow Semi Condensed" w:cs="Barlow Semi Condensed" w:eastAsia="Barlow Semi Condensed" w:hAnsi="Barlow Semi Condensed"/>
          <w:sz w:val="24"/>
          <w:szCs w:val="24"/>
        </w:rPr>
        <w:t xml:space="preserve"> grafici. Quelle cifre erano esatte\</w:t>
      </w:r>
    </w:p>
    <w:p>
      <w:pPr>
        <w:spacing w:after="120" w:line="276"/>
        <w:jc w:val="both"/>
      </w:pPr>
      <w:r>
        <w:rPr>
          <w:rFonts w:ascii="Barlow Semi Condensed" w:cs="Barlow Semi Condensed" w:eastAsia="Barlow Semi Condensed" w:hAnsi="Barlow Semi Condensed"/>
          <w:sz w:val="24"/>
          <w:szCs w:val="24"/>
        </w:rPr>
        <w:t xml:space="preserve">alla loro data e sono diventate false quando l'opera è cresciuta della terza\</w:t>
      </w:r>
    </w:p>
    <w:p>
      <w:pPr>
        <w:spacing w:after="120" w:line="276"/>
        <w:jc w:val="both"/>
      </w:pPr>
      <w:r>
        <w:rPr>
          <w:rFonts w:ascii="Barlow Semi Condensed" w:cs="Barlow Semi Condensed" w:eastAsia="Barlow Semi Condensed" w:hAnsi="Barlow Semi Condensed"/>
          <w:sz w:val="24"/>
          <w:szCs w:val="24"/>
        </w:rPr>
        <w:t xml:space="preserve">campagna Farnesina, dell'opera seconda sui cinquantacinque giorni e delle undici\</w:t>
      </w:r>
    </w:p>
    <w:p>
      <w:pPr>
        <w:spacing w:after="120" w:line="276"/>
        <w:jc w:val="both"/>
      </w:pPr>
      <w:r>
        <w:rPr>
          <w:rFonts w:ascii="Barlow Semi Condensed" w:cs="Barlow Semi Condensed" w:eastAsia="Barlow Semi Condensed" w:hAnsi="Barlow Semi Condensed"/>
          <w:sz w:val="24"/>
          <w:szCs w:val="24"/>
        </w:rPr>
        <w:t xml:space="preserve">appendici alla Fase settima. Sono lasciate qui accanto alle nuove, e non\</w:t>
      </w:r>
    </w:p>
    <w:p>
      <w:pPr>
        <w:spacing w:after="120" w:line="276"/>
        <w:jc w:val="both"/>
      </w:pPr>
      <w:r>
        <w:rPr>
          <w:rFonts w:ascii="Barlow Semi Condensed" w:cs="Barlow Semi Condensed" w:eastAsia="Barlow Semi Condensed" w:hAnsi="Barlow Semi Condensed"/>
          <w:sz w:val="24"/>
          <w:szCs w:val="24"/>
        </w:rPr>
        <w:t xml:space="preserve">cancellate, perché una scheda che si aggiorna in silenzio non permette a chi l'ha\</w:t>
      </w:r>
    </w:p>
    <w:p>
      <w:pPr>
        <w:spacing w:after="120" w:line="276"/>
        <w:jc w:val="both"/>
      </w:pPr>
      <w:r>
        <w:rPr>
          <w:rFonts w:ascii="Barlow Semi Condensed" w:cs="Barlow Semi Condensed" w:eastAsia="Barlow Semi Condensed" w:hAnsi="Barlow Semi Condensed"/>
          <w:sz w:val="24"/>
          <w:szCs w:val="24"/>
        </w:rPr>
        <w:t xml:space="preserve">già ricevuta di accorgersi che i numeri sono cambiati. Chi ha in mano la\</w:t>
      </w:r>
    </w:p>
    <w:p>
      <w:pPr>
        <w:spacing w:after="120" w:line="276"/>
        <w:jc w:val="both"/>
      </w:pPr>
      <w:r>
        <w:rPr>
          <w:rFonts w:ascii="Barlow Semi Condensed" w:cs="Barlow Semi Condensed" w:eastAsia="Barlow Semi Condensed" w:hAnsi="Barlow Semi Condensed"/>
          <w:sz w:val="24"/>
          <w:szCs w:val="24"/>
        </w:rPr>
        <w:t xml:space="preserve">redazione del 26 agosto legga questa riga: nessuna cifra è stata ritirata come\</w:t>
      </w:r>
    </w:p>
    <w:p>
      <w:pPr>
        <w:spacing w:after="120" w:line="276"/>
        <w:jc w:val="both"/>
      </w:pPr>
      <w:r>
        <w:rPr>
          <w:rFonts w:ascii="Barlow Semi Condensed" w:cs="Barlow Semi Condensed" w:eastAsia="Barlow Semi Condensed" w:hAnsi="Barlow Semi Condensed"/>
          <w:sz w:val="24"/>
          <w:szCs w:val="24"/>
        </w:rPr>
        <w:t xml:space="preserve">sbagliata, tutte sono state superate dalla crescita del corpus. Un esemplare\</w:t>
      </w:r>
    </w:p>
    <w:p>
      <w:pPr>
        <w:spacing w:after="120" w:line="276"/>
        <w:jc w:val="both"/>
      </w:pPr>
      <w:r>
        <w:rPr>
          <w:rFonts w:ascii="Barlow Semi Condensed" w:cs="Barlow Semi Condensed" w:eastAsia="Barlow Semi Condensed" w:hAnsi="Barlow Semi Condensed"/>
          <w:sz w:val="24"/>
          <w:szCs w:val="24"/>
        </w:rPr>
        <w:t xml:space="preserve">dell'allegato in quella redazione, in PDF, è stato ripresentato il 27 agosto ed è\</w:t>
      </w:r>
    </w:p>
    <w:p>
      <w:pPr>
        <w:spacing w:after="120" w:line="276"/>
        <w:jc w:val="both"/>
      </w:pPr>
      <w:r>
        <w:rPr>
          <w:rFonts w:ascii="Barlow Semi Condensed" w:cs="Barlow Semi Condensed" w:eastAsia="Barlow Semi Condensed" w:hAnsi="Barlow Semi Condensed"/>
          <w:sz w:val="24"/>
          <w:szCs w:val="24"/>
        </w:rPr>
        <w:t xml:space="preserve">appunto quello che porta le cifre anteriori.*</w:t>
      </w:r>
    </w:p>
    <w:p>
      <w:pPr>
        <w:spacing w:after="120" w:line="276"/>
        <w:jc w:val="both"/>
      </w:pPr>
      <w:r>
        <w:rPr>
          <w:rFonts w:ascii="Barlow Semi Condensed" w:cs="Barlow Semi Condensed" w:eastAsia="Barlow Semi Condensed" w:hAnsi="Barlow Semi Condensed"/>
          <w:sz w:val="24"/>
          <w:szCs w:val="24"/>
        </w:rPr>
        <w:t xml:space="preserve">Le cinque opere in blocchi: la triangolazione di un solo nome contro tutto il</w:t>
      </w:r>
    </w:p>
    <w:p>
      <w:pPr>
        <w:spacing w:after="120" w:line="276"/>
        <w:jc w:val="both"/>
      </w:pPr>
      <w:r>
        <w:rPr>
          <w:rFonts w:ascii="Barlow Semi Condensed" w:cs="Barlow Semi Condensed" w:eastAsia="Barlow Semi Condensed" w:hAnsi="Barlow Semi Condensed"/>
          <w:sz w:val="24"/>
          <w:szCs w:val="24"/>
        </w:rPr>
        <w:t xml:space="preserve">corpus (</w:t>
      </w:r>
      <w:r>
        <w:rPr>
          <w:rFonts w:ascii="Barlow Semi Condensed" w:cs="Barlow Semi Condensed" w:eastAsia="Barlow Semi Condensed" w:hAnsi="Barlow Semi Condensed"/>
          <w:b/>
          <w:bCs/>
          <w:sz w:val="24"/>
          <w:szCs w:val="24"/>
        </w:rPr>
        <w:t xml:space="preserve">4.999</w:t>
      </w:r>
      <w:r>
        <w:rPr>
          <w:rFonts w:ascii="Barlow Semi Condensed" w:cs="Barlow Semi Condensed" w:eastAsia="Barlow Semi Condensed" w:hAnsi="Barlow Semi Condensed"/>
          <w:sz w:val="24"/>
          <w:szCs w:val="24"/>
        </w:rPr>
        <w:t xml:space="preserve"> blocchi, 65 serie); i nove cantieri d'archivio (</w:t>
      </w:r>
      <w:r>
        <w:rPr>
          <w:rFonts w:ascii="Barlow Semi Condensed" w:cs="Barlow Semi Condensed" w:eastAsia="Barlow Semi Condensed" w:hAnsi="Barlow Semi Condensed"/>
          <w:b/>
          <w:bCs/>
          <w:sz w:val="24"/>
          <w:szCs w:val="24"/>
        </w:rPr>
        <w:t xml:space="preserve">1.000</w:t>
      </w:r>
      <w:r>
        <w:rPr>
          <w:rFonts w:ascii="Barlow Semi Condensed" w:cs="Barlow Semi Condensed" w:eastAsia="Barlow Semi Condensed" w:hAnsi="Barlow Semi Condensed"/>
          <w:sz w:val="24"/>
          <w:szCs w:val="24"/>
        </w:rPr>
        <w:t xml:space="preserve">); la</w:t>
      </w:r>
    </w:p>
    <w:p>
      <w:pPr>
        <w:spacing w:after="120" w:line="276"/>
        <w:jc w:val="both"/>
      </w:pPr>
      <w:r>
        <w:rPr>
          <w:rFonts w:ascii="Barlow Semi Condensed" w:cs="Barlow Semi Condensed" w:eastAsia="Barlow Semi Condensed" w:hAnsi="Barlow Semi Condensed"/>
          <w:sz w:val="24"/>
          <w:szCs w:val="24"/>
        </w:rPr>
        <w:t xml:space="preserve">continuità dal Sud Africa dell'apartheid alle imprese tecnologiche californiane</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b/>
          <w:bCs/>
          <w:sz w:val="24"/>
          <w:szCs w:val="24"/>
        </w:rPr>
        <w:t xml:space="preserve">1.000</w:t>
      </w:r>
      <w:r>
        <w:rPr>
          <w:rFonts w:ascii="Barlow Semi Condensed" w:cs="Barlow Semi Condensed" w:eastAsia="Barlow Semi Condensed" w:hAnsi="Barlow Semi Condensed"/>
          <w:sz w:val="24"/>
          <w:szCs w:val="24"/>
        </w:rPr>
        <w:t xml:space="preserve">); il manuale investigativo (</w:t>
      </w:r>
      <w:r>
        <w:rPr>
          <w:rFonts w:ascii="Barlow Semi Condensed" w:cs="Barlow Semi Condensed" w:eastAsia="Barlow Semi Condensed" w:hAnsi="Barlow Semi Condensed"/>
          <w:b/>
          <w:bCs/>
          <w:sz w:val="24"/>
          <w:szCs w:val="24"/>
        </w:rPr>
        <w:t xml:space="preserve">400</w:t>
      </w:r>
      <w:r>
        <w:rPr>
          <w:rFonts w:ascii="Barlow Semi Condensed" w:cs="Barlow Semi Condensed" w:eastAsia="Barlow Semi Condensed" w:hAnsi="Barlow Semi Condensed"/>
          <w:sz w:val="24"/>
          <w:szCs w:val="24"/>
        </w:rPr>
        <w:t xml:space="preserve">); l'agenda di ricerca (</w:t>
      </w:r>
      <w:r>
        <w:rPr>
          <w:rFonts w:ascii="Barlow Semi Condensed" w:cs="Barlow Semi Condensed" w:eastAsia="Barlow Semi Condensed" w:hAnsi="Barlow Semi Condensed"/>
          <w:b/>
          <w:bCs/>
          <w:sz w:val="24"/>
          <w:szCs w:val="24"/>
        </w:rPr>
        <w:t xml:space="preserve">300</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La disciplina, in sei righe</w:t>
      </w:r>
    </w:p>
    <w:p>
      <w:pPr>
        <w:spacing w:after="40"/>
        <w:ind w:left="360"/>
        <w:jc w:val="both"/>
      </w:pPr>
      <w:r>
        <w:rPr>
          <w:rFonts w:ascii="Barlow Semi Condensed" w:cs="Barlow Semi Condensed" w:eastAsia="Barlow Semi Condensed" w:hAnsi="Barlow Semi Condensed"/>
          <w:sz w:val="24"/>
          <w:szCs w:val="24"/>
        </w:rPr>
        <w:t xml:space="preserve">1. Un legame è reale solo se **un documento di provenienza nomina entrambe le</w:t>
      </w:r>
    </w:p>
    <w:p>
      <w:pPr>
        <w:spacing w:after="120" w:line="276"/>
        <w:jc w:val="both"/>
      </w:pPr>
      <w:r>
        <w:rPr>
          <w:rFonts w:ascii="Barlow Semi Condensed" w:cs="Barlow Semi Condensed" w:eastAsia="Barlow Semi Condensed" w:hAnsi="Barlow Semi Condensed"/>
          <w:sz w:val="24"/>
          <w:szCs w:val="24"/>
        </w:rPr>
        <w:t xml:space="preserve">   parti**. La convergenza strutturale e l'affermazione di terza mano si</w:t>
      </w:r>
    </w:p>
    <w:p>
      <w:pPr>
        <w:spacing w:after="120" w:line="276"/>
        <w:jc w:val="both"/>
      </w:pPr>
      <w:r>
        <w:rPr>
          <w:rFonts w:ascii="Barlow Semi Condensed" w:cs="Barlow Semi Condensed" w:eastAsia="Barlow Semi Condensed" w:hAnsi="Barlow Semi Condensed"/>
          <w:sz w:val="24"/>
          <w:szCs w:val="24"/>
        </w:rPr>
        <w:t xml:space="preserve">   registrano, ma su un altro piano, e il piano si dichiara ogni volta.</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contemporaneità non è prova di nesso.</w:t>
      </w:r>
      <w:r>
        <w:rPr>
          <w:rFonts w:ascii="Barlow Semi Condensed" w:cs="Barlow Semi Condensed" w:eastAsia="Barlow Semi Condensed" w:hAnsi="Barlow Semi Condensed"/>
          <w:sz w:val="24"/>
          <w:szCs w:val="24"/>
        </w:rPr>
        <w:t xml:space="preserve"> Due fatti dello stesso anno</w:t>
      </w:r>
    </w:p>
    <w:p>
      <w:pPr>
        <w:spacing w:after="120" w:line="276"/>
        <w:jc w:val="both"/>
      </w:pPr>
      <w:r>
        <w:rPr>
          <w:rFonts w:ascii="Barlow Semi Condensed" w:cs="Barlow Semi Condensed" w:eastAsia="Barlow Semi Condensed" w:hAnsi="Barlow Semi Condensed"/>
          <w:sz w:val="24"/>
          <w:szCs w:val="24"/>
        </w:rPr>
        <w:t xml:space="preserve">   restano due fatti.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L'appartenenza a un'organizzazione non è prova di condotta.</w:t>
      </w:r>
    </w:p>
    <w:p>
      <w:pPr>
        <w:spacing w:after="40"/>
        <w:ind w:left="360"/>
        <w:jc w:val="both"/>
      </w:pPr>
      <w:r>
        <w:rPr>
          <w:rFonts w:ascii="Barlow Semi Condensed" w:cs="Barlow Semi Condensed" w:eastAsia="Barlow Semi Condensed" w:hAnsi="Barlow Semi Condensed"/>
          <w:sz w:val="24"/>
          <w:szCs w:val="24"/>
        </w:rPr>
        <w:t xml:space="preserve">4. **Nessuna persona è indicata come responsabile di reato oltre il giudicato</w:t>
      </w:r>
    </w:p>
    <w:p>
      <w:pPr>
        <w:spacing w:after="120" w:line="276"/>
        <w:jc w:val="both"/>
      </w:pPr>
      <w:r>
        <w:rPr>
          <w:rFonts w:ascii="Barlow Semi Condensed" w:cs="Barlow Semi Condensed" w:eastAsia="Barlow Semi Condensed" w:hAnsi="Barlow Semi Condensed"/>
          <w:sz w:val="24"/>
          <w:szCs w:val="24"/>
        </w:rPr>
        <w:t xml:space="preserve">   definitivo.** Nessuna graduatoria di colpa è compilata, con una sola eccezione</w:t>
      </w:r>
    </w:p>
    <w:p>
      <w:pPr>
        <w:spacing w:after="120" w:line="276"/>
        <w:jc w:val="both"/>
      </w:pPr>
      <w:r>
        <w:rPr>
          <w:rFonts w:ascii="Barlow Semi Condensed" w:cs="Barlow Semi Condensed" w:eastAsia="Barlow Semi Condensed" w:hAnsi="Barlow Semi Condensed"/>
          <w:sz w:val="24"/>
          <w:szCs w:val="24"/>
        </w:rPr>
        <w:t xml:space="preserve">   dichiarata: il Libro quarto, nella seconda metà, ordina secondo la plausibilità</w:t>
      </w:r>
    </w:p>
    <w:p>
      <w:pPr>
        <w:spacing w:after="120" w:line="276"/>
        <w:jc w:val="both"/>
      </w:pPr>
      <w:r>
        <w:rPr>
          <w:rFonts w:ascii="Barlow Semi Condensed" w:cs="Barlow Semi Condensed" w:eastAsia="Barlow Semi Condensed" w:hAnsi="Barlow Semi Condensed"/>
          <w:sz w:val="24"/>
          <w:szCs w:val="24"/>
        </w:rPr>
        <w:t xml:space="preserve">   del coinvolgimento — per categorie di soggetti, non per nomi individuali — e lo</w:t>
      </w:r>
    </w:p>
    <w:p>
      <w:pPr>
        <w:spacing w:after="120" w:line="276"/>
        <w:jc w:val="both"/>
      </w:pPr>
      <w:r>
        <w:rPr>
          <w:rFonts w:ascii="Barlow Semi Condensed" w:cs="Barlow Semi Condensed" w:eastAsia="Barlow Semi Condensed" w:hAnsi="Barlow Semi Condensed"/>
          <w:sz w:val="24"/>
          <w:szCs w:val="24"/>
        </w:rPr>
        <w:t xml:space="preserve">   avverte in apertura. Ordinare per plausibilità non è condannare, l'eccezione vale</w:t>
      </w:r>
    </w:p>
    <w:p>
      <w:pPr>
        <w:spacing w:after="120" w:line="276"/>
        <w:jc w:val="both"/>
      </w:pPr>
      <w:r>
        <w:rPr>
          <w:rFonts w:ascii="Barlow Semi Condensed" w:cs="Barlow Semi Condensed" w:eastAsia="Barlow Semi Condensed" w:hAnsi="Barlow Semi Condensed"/>
          <w:sz w:val="24"/>
          <w:szCs w:val="24"/>
        </w:rPr>
        <w:t xml:space="preserve">   per quel Libro soltanto, e nessuna sua affermazione è trasportata negli altri.</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Le divergenze si riportano e non si scelgono in silenzio.</w:t>
      </w:r>
      <w:r>
        <w:rPr>
          <w:rFonts w:ascii="Barlow Semi Condensed" w:cs="Barlow Semi Condensed" w:eastAsia="Barlow Semi Condensed" w:hAnsi="Barlow Semi Condensed"/>
          <w:sz w:val="24"/>
          <w:szCs w:val="24"/>
        </w:rPr>
        <w:t xml:space="preserve"> Quando due fonti</w:t>
      </w:r>
    </w:p>
    <w:p>
      <w:pPr>
        <w:spacing w:after="120" w:line="276"/>
        <w:jc w:val="both"/>
      </w:pPr>
      <w:r>
        <w:rPr>
          <w:rFonts w:ascii="Barlow Semi Condensed" w:cs="Barlow Semi Condensed" w:eastAsia="Barlow Semi Condensed" w:hAnsi="Barlow Semi Condensed"/>
          <w:sz w:val="24"/>
          <w:szCs w:val="24"/>
        </w:rPr>
        <w:t xml:space="preserve">   danno date diverse, il testo dà due date.</w:t>
      </w:r>
    </w:p>
    <w:p>
      <w:pPr>
        <w:spacing w:after="40"/>
        <w:ind w:left="360"/>
        <w:jc w:val="both"/>
      </w:pPr>
      <w:r>
        <w:rPr>
          <w:rFonts w:ascii="Barlow Semi Condensed" w:cs="Barlow Semi Condensed" w:eastAsia="Barlow Semi Condensed" w:hAnsi="Barlow Semi Condensed"/>
          <w:sz w:val="24"/>
          <w:szCs w:val="24"/>
        </w:rPr>
        <w:t xml:space="preserve">6. </w:t>
      </w:r>
      <w:r>
        <w:rPr>
          <w:rFonts w:ascii="Barlow Semi Condensed" w:cs="Barlow Semi Condensed" w:eastAsia="Barlow Semi Condensed" w:hAnsi="Barlow Semi Condensed"/>
          <w:b/>
          <w:bCs/>
          <w:sz w:val="24"/>
          <w:szCs w:val="24"/>
        </w:rPr>
        <w:t xml:space="preserve">Le correzioni si fanno per nota, mai riscrivendo in silenzio.</w:t>
      </w:r>
      <w:r>
        <w:rPr>
          <w:rFonts w:ascii="Barlow Semi Condensed" w:cs="Barlow Semi Condensed" w:eastAsia="Barlow Semi Condensed" w:hAnsi="Barlow Semi Condensed"/>
          <w:sz w:val="24"/>
          <w:szCs w:val="24"/>
        </w:rPr>
        <w:t xml:space="preserve"> L'opera</w:t>
      </w:r>
    </w:p>
    <w:p>
      <w:pPr>
        <w:spacing w:after="120" w:line="276"/>
        <w:jc w:val="both"/>
      </w:pPr>
      <w:r>
        <w:rPr>
          <w:rFonts w:ascii="Barlow Semi Condensed" w:cs="Barlow Semi Condensed" w:eastAsia="Barlow Semi Condensed" w:hAnsi="Barlow Semi Condensed"/>
          <w:sz w:val="24"/>
          <w:szCs w:val="24"/>
        </w:rPr>
        <w:t xml:space="preserve">   registra il proprio tasso d'errore.</w:t>
      </w:r>
    </w:p>
    <w:p>
      <w:pPr>
        <w:pStyle w:val="Heading2"/>
        <w:spacing w:after="100" w:before="200"/>
      </w:pPr>
      <w:r>
        <w:rPr>
          <w:rFonts w:ascii="Barlow Semi Condensed" w:cs="Barlow Semi Condensed" w:eastAsia="Barlow Semi Condensed" w:hAnsi="Barlow Semi Condensed"/>
          <w:sz w:val="24"/>
          <w:szCs w:val="24"/>
        </w:rPr>
        <w:t xml:space="preserve">Che cosa il corpus ha effettivamente accertato</w:t>
      </w:r>
    </w:p>
    <w:p>
      <w:pPr>
        <w:spacing w:after="120" w:line="276"/>
        <w:jc w:val="both"/>
      </w:pPr>
      <w:r>
        <w:rPr>
          <w:rFonts w:ascii="Barlow Semi Condensed" w:cs="Barlow Semi Condensed" w:eastAsia="Barlow Semi Condensed" w:hAnsi="Barlow Semi Condensed"/>
          <w:sz w:val="24"/>
          <w:szCs w:val="24"/>
        </w:rPr>
        <w:t xml:space="preserve">Tre cose, tutte verificabili da terzi, tutte di natura documentale e nessuna di</w:t>
      </w:r>
    </w:p>
    <w:p>
      <w:pPr>
        <w:spacing w:after="120" w:line="276"/>
        <w:jc w:val="both"/>
      </w:pPr>
      <w:r>
        <w:rPr>
          <w:rFonts w:ascii="Barlow Semi Condensed" w:cs="Barlow Semi Condensed" w:eastAsia="Barlow Semi Condensed" w:hAnsi="Barlow Semi Condensed"/>
          <w:sz w:val="24"/>
          <w:szCs w:val="24"/>
        </w:rPr>
        <w:t xml:space="preserve">natura rivelatoria: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verbale dello Studio Ovale del 25 settembre 1974</w:t>
      </w:r>
      <w:r>
        <w:rPr>
          <w:rFonts w:ascii="Barlow Semi Condensed" w:cs="Barlow Semi Condensed" w:eastAsia="Barlow Semi Condensed" w:hAnsi="Barlow Semi Condensed"/>
          <w:sz w:val="24"/>
          <w:szCs w:val="24"/>
        </w:rPr>
        <w:t xml:space="preserve"> — pubblicato, dotato di</w:t>
      </w:r>
    </w:p>
    <w:p>
      <w:pPr>
        <w:spacing w:after="120" w:line="276"/>
        <w:jc w:val="both"/>
      </w:pPr>
      <w:r>
        <w:rPr>
          <w:rFonts w:ascii="Barlow Semi Condensed" w:cs="Barlow Semi Condensed" w:eastAsia="Barlow Semi Condensed" w:hAnsi="Barlow Semi Condensed"/>
          <w:sz w:val="24"/>
          <w:szCs w:val="24"/>
        </w:rPr>
        <w:t xml:space="preserve">  doppia segnatura d'archivio — è correntemente citato come la prova documentale</w:t>
      </w:r>
    </w:p>
    <w:p>
      <w:pPr>
        <w:spacing w:after="120" w:line="276"/>
        <w:jc w:val="both"/>
      </w:pPr>
      <w:r>
        <w:rPr>
          <w:rFonts w:ascii="Barlow Semi Condensed" w:cs="Barlow Semi Condensed" w:eastAsia="Barlow Semi Condensed" w:hAnsi="Barlow Semi Condensed"/>
          <w:sz w:val="24"/>
          <w:szCs w:val="24"/>
        </w:rPr>
        <w:t xml:space="preserve">  di un ultimatum ad Aldo Moro, e non contiene quella frase.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Di quel colloquio esiste un solo versante, quello americano.</w:t>
      </w:r>
      <w:r>
        <w:rPr>
          <w:rFonts w:ascii="Barlow Semi Condensed" w:cs="Barlow Semi Condensed" w:eastAsia="Barlow Semi Condensed" w:hAnsi="Barlow Semi Condensed"/>
          <w:sz w:val="24"/>
          <w:szCs w:val="24"/>
        </w:rPr>
        <w:t xml:space="preserve"> L'appunto</w:t>
      </w:r>
    </w:p>
    <w:p>
      <w:pPr>
        <w:spacing w:after="120" w:line="276"/>
        <w:jc w:val="both"/>
      </w:pPr>
      <w:r>
        <w:rPr>
          <w:rFonts w:ascii="Barlow Semi Condensed" w:cs="Barlow Semi Condensed" w:eastAsia="Barlow Semi Condensed" w:hAnsi="Barlow Semi Condensed"/>
          <w:sz w:val="24"/>
          <w:szCs w:val="24"/>
        </w:rPr>
        <w:t xml:space="preserve">  italiano dello stesso incontro non risulta mai cercato, in cinquant'anni. Sono</w:t>
      </w:r>
    </w:p>
    <w:p>
      <w:pPr>
        <w:spacing w:after="120" w:line="276"/>
        <w:jc w:val="both"/>
      </w:pPr>
      <w:r>
        <w:rPr>
          <w:rFonts w:ascii="Barlow Semi Condensed" w:cs="Barlow Semi Condensed" w:eastAsia="Barlow Semi Condensed" w:hAnsi="Barlow Semi Condensed"/>
          <w:sz w:val="24"/>
          <w:szCs w:val="24"/>
        </w:rPr>
        <w:t xml:space="preserve">  indicate cinque sedi in cui cercarlo.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moltiplicazione delle fonti è apparente</w:t>
      </w:r>
      <w:r>
        <w:rPr>
          <w:rFonts w:ascii="Barlow Semi Condensed" w:cs="Barlow Semi Condensed" w:eastAsia="Barlow Semi Condensed" w:hAnsi="Barlow Semi Condensed"/>
          <w:sz w:val="24"/>
          <w:szCs w:val="24"/>
        </w:rPr>
        <w:t xml:space="preserve">: decine di riprese pressoché</w:t>
      </w:r>
    </w:p>
    <w:p>
      <w:pPr>
        <w:spacing w:after="120" w:line="276"/>
        <w:jc w:val="both"/>
      </w:pPr>
      <w:r>
        <w:rPr>
          <w:rFonts w:ascii="Barlow Semi Condensed" w:cs="Barlow Semi Condensed" w:eastAsia="Barlow Semi Condensed" w:hAnsi="Barlow Semi Condensed"/>
          <w:sz w:val="24"/>
          <w:szCs w:val="24"/>
        </w:rPr>
        <w:t xml:space="preserve">  identiche della stessa frase risalgono a un unico lancio d'agenzia del 30</w:t>
      </w:r>
    </w:p>
    <w:p>
      <w:pPr>
        <w:spacing w:after="120" w:line="276"/>
        <w:jc w:val="both"/>
      </w:pPr>
      <w:r>
        <w:rPr>
          <w:rFonts w:ascii="Barlow Semi Condensed" w:cs="Barlow Semi Condensed" w:eastAsia="Barlow Semi Condensed" w:hAnsi="Barlow Semi Condensed"/>
          <w:sz w:val="24"/>
          <w:szCs w:val="24"/>
        </w:rPr>
        <w:t xml:space="preserve">  novembre 2023. Cento copie di una fonte restano una fonte.</w:t>
      </w:r>
    </w:p>
    <w:p>
      <w:pPr>
        <w:pStyle w:val="Heading2"/>
        <w:spacing w:after="100" w:before="200"/>
      </w:pPr>
      <w:r>
        <w:rPr>
          <w:rFonts w:ascii="Barlow Semi Condensed" w:cs="Barlow Semi Condensed" w:eastAsia="Barlow Semi Condensed" w:hAnsi="Barlow Semi Condensed"/>
          <w:sz w:val="24"/>
          <w:szCs w:val="24"/>
        </w:rPr>
        <w:t xml:space="preserve">Che cosa il corpus dichiara di non aver stabilito</w:t>
      </w:r>
    </w:p>
    <w:p>
      <w:pPr>
        <w:spacing w:after="120" w:line="276"/>
        <w:jc w:val="both"/>
      </w:pPr>
      <w:r>
        <w:rPr>
          <w:rFonts w:ascii="Barlow Semi Condensed" w:cs="Barlow Semi Condensed" w:eastAsia="Barlow Semi Condensed" w:hAnsi="Barlow Semi Condensed"/>
          <w:sz w:val="24"/>
          <w:szCs w:val="24"/>
        </w:rPr>
        <w:t xml:space="preserve">Che la frase non sia stata pronunciata; che qualcuno menta; qualsiasi cosa</w:t>
      </w:r>
    </w:p>
    <w:p>
      <w:pPr>
        <w:spacing w:after="120" w:line="276"/>
        <w:jc w:val="both"/>
      </w:pPr>
      <w:r>
        <w:rPr>
          <w:rFonts w:ascii="Barlow Semi Condensed" w:cs="Barlow Semi Condensed" w:eastAsia="Barlow Semi Condensed" w:hAnsi="Barlow Semi Condensed"/>
          <w:sz w:val="24"/>
          <w:szCs w:val="24"/>
        </w:rPr>
        <w:t xml:space="preserve">riguardi la responsabilità del sequestro e dell'omicidio. **Henry Kissinger non</w:t>
      </w:r>
    </w:p>
    <w:p>
      <w:pPr>
        <w:spacing w:after="120" w:line="276"/>
        <w:jc w:val="both"/>
      </w:pPr>
      <w:r>
        <w:rPr>
          <w:rFonts w:ascii="Barlow Semi Condensed" w:cs="Barlow Semi Condensed" w:eastAsia="Barlow Semi Condensed" w:hAnsi="Barlow Semi Condensed"/>
          <w:sz w:val="24"/>
          <w:szCs w:val="24"/>
        </w:rPr>
        <w:t xml:space="preserve">fu condannato in alcun processo, non fu mai imputato né processato in alcun</w:t>
      </w:r>
    </w:p>
    <w:p>
      <w:pPr>
        <w:spacing w:after="120" w:line="276"/>
        <w:jc w:val="both"/>
      </w:pPr>
      <w:r>
        <w:rPr>
          <w:rFonts w:ascii="Barlow Semi Condensed" w:cs="Barlow Semi Condensed" w:eastAsia="Barlow Semi Condensed" w:hAnsi="Barlow Semi Condensed"/>
          <w:sz w:val="24"/>
          <w:szCs w:val="24"/>
        </w:rPr>
        <w:t xml:space="preserve">Paese**, e nessuna sentenza definitiva ha attribuito ad alcuna autorità</w:t>
      </w:r>
    </w:p>
    <w:p>
      <w:pPr>
        <w:spacing w:after="120" w:line="276"/>
        <w:jc w:val="both"/>
      </w:pPr>
      <w:r>
        <w:rPr>
          <w:rFonts w:ascii="Barlow Semi Condensed" w:cs="Barlow Semi Condensed" w:eastAsia="Barlow Semi Condensed" w:hAnsi="Barlow Semi Condensed"/>
          <w:sz w:val="24"/>
          <w:szCs w:val="24"/>
        </w:rPr>
        <w:t xml:space="preserve">statunitense responsabilità penali nel caso: le condanne definitive riguardano</w:t>
      </w:r>
    </w:p>
    <w:p>
      <w:pPr>
        <w:spacing w:after="120" w:line="276"/>
        <w:jc w:val="both"/>
      </w:pPr>
      <w:r>
        <w:rPr>
          <w:rFonts w:ascii="Barlow Semi Condensed" w:cs="Barlow Semi Condensed" w:eastAsia="Barlow Semi Condensed" w:hAnsi="Barlow Semi Condensed"/>
          <w:sz w:val="24"/>
          <w:szCs w:val="24"/>
        </w:rPr>
        <w:t xml:space="preserve">esponenti delle Brigate Rosse.</w:t>
      </w:r>
    </w:p>
    <w:p>
      <w:pPr>
        <w:spacing w:after="120" w:line="276"/>
        <w:jc w:val="both"/>
      </w:pPr>
      <w:r>
        <w:rPr>
          <w:rFonts w:ascii="Barlow Semi Condensed" w:cs="Barlow Semi Condensed" w:eastAsia="Barlow Semi Condensed" w:hAnsi="Barlow Semi Condensed"/>
          <w:sz w:val="24"/>
          <w:szCs w:val="24"/>
        </w:rPr>
        <w:t xml:space="preserve">Il corpus dichiara inoltre i propri limiti d'accesso: per una parte dei materiali</w:t>
      </w:r>
    </w:p>
    <w:p>
      <w:pPr>
        <w:spacing w:after="120" w:line="276"/>
        <w:jc w:val="both"/>
      </w:pPr>
      <w:r>
        <w:rPr>
          <w:rFonts w:ascii="Barlow Semi Condensed" w:cs="Barlow Semi Condensed" w:eastAsia="Barlow Semi Condensed" w:hAnsi="Barlow Semi Condensed"/>
          <w:sz w:val="24"/>
          <w:szCs w:val="24"/>
        </w:rPr>
        <w:t xml:space="preserve">primari ha lavorato su sintesi e fonti secondarie, 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sui resoconti</w:t>
      </w:r>
    </w:p>
    <w:p>
      <w:pPr>
        <w:spacing w:after="120" w:line="276"/>
        <w:jc w:val="both"/>
      </w:pPr>
      <w:r>
        <w:rPr>
          <w:rFonts w:ascii="Barlow Semi Condensed" w:cs="Barlow Semi Condensed" w:eastAsia="Barlow Semi Condensed" w:hAnsi="Barlow Semi Condensed"/>
          <w:sz w:val="24"/>
          <w:szCs w:val="24"/>
        </w:rPr>
        <w:t xml:space="preserve">stenografici della Commissione parlamentare d'inchiesta né sui verbali d'udienza</w:t>
      </w:r>
    </w:p>
    <w:p>
      <w:pPr>
        <w:spacing w:after="120" w:line="276"/>
        <w:jc w:val="both"/>
      </w:pPr>
      <w:r>
        <w:rPr>
          <w:rFonts w:ascii="Barlow Semi Condensed" w:cs="Barlow Semi Condensed" w:eastAsia="Barlow Semi Condensed" w:hAnsi="Barlow Semi Condensed"/>
          <w:sz w:val="24"/>
          <w:szCs w:val="24"/>
        </w:rPr>
        <w:t xml:space="preserve">del processo.</w:t>
      </w:r>
    </w:p>
    <w:p>
      <w:pPr>
        <w:pStyle w:val="Heading2"/>
        <w:spacing w:after="100" w:before="200"/>
      </w:pPr>
      <w:r>
        <w:rPr>
          <w:rFonts w:ascii="Barlow Semi Condensed" w:cs="Barlow Semi Condensed" w:eastAsia="Barlow Semi Condensed" w:hAnsi="Barlow Semi Condensed"/>
          <w:sz w:val="24"/>
          <w:szCs w:val="24"/>
        </w:rPr>
        <w:t xml:space="preserve">Il libro proposto agli editori</w:t>
      </w:r>
    </w:p>
    <w:p>
      <w:pPr>
        <w:spacing w:after="120" w:line="276"/>
        <w:jc w:val="both"/>
      </w:pPr>
      <w:r>
        <w:rPr>
          <w:rFonts w:ascii="Barlow Semi Condensed" w:cs="Barlow Semi Condensed" w:eastAsia="Barlow Semi Condensed" w:hAnsi="Barlow Semi Condensed"/>
          <w:b/>
          <w:bCs/>
          <w:sz w:val="24"/>
          <w:szCs w:val="24"/>
        </w:rPr>
        <w:t xml:space="preserve">Non è questo corpus</w:t>
      </w:r>
      <w:r>
        <w:rPr>
          <w:rFonts w:ascii="Barlow Semi Condensed" w:cs="Barlow Semi Condensed" w:eastAsia="Barlow Semi Condensed" w:hAnsi="Barlow Semi Condensed"/>
          <w:sz w:val="24"/>
          <w:szCs w:val="24"/>
        </w:rPr>
        <w:t xml:space="preserve">, che resta apparato di consultazione. È il libro che ne</w:t>
      </w:r>
    </w:p>
    <w:p>
      <w:pPr>
        <w:spacing w:after="120" w:line="276"/>
        <w:jc w:val="both"/>
      </w:pPr>
      <w:r>
        <w:rPr>
          <w:rFonts w:ascii="Barlow Semi Condensed" w:cs="Barlow Semi Condensed" w:eastAsia="Barlow Semi Condensed" w:hAnsi="Barlow Semi Condensed"/>
          <w:sz w:val="24"/>
          <w:szCs w:val="24"/>
        </w:rPr>
        <w:t xml:space="preserve">nasce: </w:t>
      </w:r>
      <w:r>
        <w:rPr>
          <w:rFonts w:ascii="Barlow Semi Condensed" w:cs="Barlow Semi Condensed" w:eastAsia="Barlow Semi Condensed" w:hAnsi="Barlow Semi Condensed"/>
          <w:b/>
          <w:bCs/>
          <w:sz w:val="24"/>
          <w:szCs w:val="24"/>
        </w:rPr>
        <w:t xml:space="preserve">«Ottanta anni di Pace», romanzo evidence-based in sette parti</w:t>
      </w:r>
      <w:r>
        <w:rPr>
          <w:rFonts w:ascii="Barlow Semi Condensed" w:cs="Barlow Semi Condensed" w:eastAsia="Barlow Semi Condensed" w:hAnsi="Barlow Semi Condensed"/>
          <w:sz w:val="24"/>
          <w:szCs w:val="24"/>
        </w:rPr>
        <w:t xml:space="preserve">, il</w:t>
      </w:r>
    </w:p>
    <w:p>
      <w:pPr>
        <w:spacing w:after="120" w:line="276"/>
        <w:jc w:val="both"/>
      </w:pPr>
      <w:r>
        <w:rPr>
          <w:rFonts w:ascii="Barlow Semi Condensed" w:cs="Barlow Semi Condensed" w:eastAsia="Barlow Semi Condensed" w:hAnsi="Barlow Semi Condensed"/>
          <w:sz w:val="24"/>
          <w:szCs w:val="24"/>
        </w:rPr>
        <w:t xml:space="preserve">resoconto dell'esperimento e dei suoi fallimenti metodologici. Il caso Moro vi</w:t>
      </w:r>
    </w:p>
    <w:p>
      <w:pPr>
        <w:spacing w:after="120" w:line="276"/>
        <w:jc w:val="both"/>
      </w:pPr>
      <w:r>
        <w:rPr>
          <w:rFonts w:ascii="Barlow Semi Condensed" w:cs="Barlow Semi Condensed" w:eastAsia="Barlow Semi Condensed" w:hAnsi="Barlow Semi Condensed"/>
          <w:sz w:val="24"/>
          <w:szCs w:val="24"/>
        </w:rPr>
        <w:t xml:space="preserve">funziona da banco di prova e non da oggetto: **il libro non è sul caso Moro, è su</w:t>
      </w:r>
    </w:p>
    <w:p>
      <w:pPr>
        <w:spacing w:after="120" w:line="276"/>
        <w:jc w:val="both"/>
      </w:pPr>
      <w:r>
        <w:rPr>
          <w:rFonts w:ascii="Barlow Semi Condensed" w:cs="Barlow Semi Condensed" w:eastAsia="Barlow Semi Condensed" w:hAnsi="Barlow Semi Condensed"/>
          <w:sz w:val="24"/>
          <w:szCs w:val="24"/>
        </w:rPr>
        <w:t xml:space="preserve">che cosa succede quando si prova a verificarlo.**</w:t>
      </w:r>
    </w:p>
    <w:p>
      <w:pPr>
        <w:spacing w:after="120" w:line="276"/>
        <w:jc w:val="both"/>
      </w:pPr>
      <w:r>
        <w:rPr>
          <w:rFonts w:ascii="Barlow Semi Condensed" w:cs="Barlow Semi Condensed" w:eastAsia="Barlow Semi Condensed" w:hAnsi="Barlow Semi Condensed"/>
          <w:sz w:val="24"/>
          <w:szCs w:val="24"/>
        </w:rPr>
        <w:t xml:space="preserve">Il libro parla </w:t>
      </w:r>
      <w:r>
        <w:rPr>
          <w:rFonts w:ascii="Barlow Semi Condensed" w:cs="Barlow Semi Condensed" w:eastAsia="Barlow Semi Condensed" w:hAnsi="Barlow Semi Condensed"/>
          <w:b/>
          <w:bCs/>
          <w:sz w:val="24"/>
          <w:szCs w:val="24"/>
        </w:rPr>
        <w:t xml:space="preserve">con la voce di Aldo Moro, in prosopopea dichiarata</w:t>
      </w:r>
      <w:r>
        <w:rPr>
          <w:rFonts w:ascii="Barlow Semi Condensed" w:cs="Barlow Semi Condensed" w:eastAsia="Barlow Semi Condensed" w:hAnsi="Barlow Semi Condensed"/>
          <w:sz w:val="24"/>
          <w:szCs w:val="24"/>
        </w:rPr>
        <w:t xml:space="preserve"> a ogni</w:t>
      </w:r>
    </w:p>
    <w:p>
      <w:pPr>
        <w:spacing w:after="120" w:line="276"/>
        <w:jc w:val="both"/>
      </w:pPr>
      <w:r>
        <w:rPr>
          <w:rFonts w:ascii="Barlow Semi Condensed" w:cs="Barlow Semi Condensed" w:eastAsia="Barlow Semi Condensed" w:hAnsi="Barlow Semi Condensed"/>
          <w:sz w:val="24"/>
          <w:szCs w:val="24"/>
        </w:rPr>
        <w:t xml:space="preserve">apertura di capitolo — non sono sue parole — e con un limite che non si negozia:</w:t>
      </w:r>
    </w:p>
    <w:p>
      <w:pPr>
        <w:spacing w:after="120" w:line="276"/>
        <w:jc w:val="both"/>
      </w:pPr>
      <w:r>
        <w:rPr>
          <w:rFonts w:ascii="Barlow Semi Condensed" w:cs="Barlow Semi Condensed" w:eastAsia="Barlow Semi Condensed" w:hAnsi="Barlow Semi Condensed"/>
          <w:sz w:val="24"/>
          <w:szCs w:val="24"/>
        </w:rPr>
        <w:t xml:space="preserve">la voce prestata ragiona sulla prova, che fu la materia insegnata a Bari per</w:t>
      </w:r>
    </w:p>
    <w:p>
      <w:pPr>
        <w:spacing w:after="120" w:line="276"/>
        <w:jc w:val="both"/>
      </w:pPr>
      <w:r>
        <w:rPr>
          <w:rFonts w:ascii="Barlow Semi Condensed" w:cs="Barlow Semi Condensed" w:eastAsia="Barlow Semi Condensed" w:hAnsi="Barlow Semi Condensed"/>
          <w:sz w:val="24"/>
          <w:szCs w:val="24"/>
        </w:rPr>
        <w:t xml:space="preserve">vent'anni, e mai sui fatti del suo caso. Ogni capitolo è a due voci alternate: in</w:t>
      </w:r>
    </w:p>
    <w:p>
      <w:pPr>
        <w:spacing w:after="120" w:line="276"/>
        <w:jc w:val="both"/>
      </w:pPr>
      <w:r>
        <w:rPr>
          <w:rFonts w:ascii="Barlow Semi Condensed" w:cs="Barlow Semi Condensed" w:eastAsia="Barlow Semi Condensed" w:hAnsi="Barlow Semi Condensed"/>
          <w:sz w:val="24"/>
          <w:szCs w:val="24"/>
        </w:rPr>
        <w:t xml:space="preserve">corsivo la prosopopea, in tondo l'apparato coi gradi.</w:t>
      </w:r>
    </w:p>
    <w:p>
      <w:pPr>
        <w:pStyle w:val="Heading2"/>
        <w:spacing w:after="100" w:before="200"/>
      </w:pPr>
      <w:r>
        <w:rPr>
          <w:rFonts w:ascii="Barlow Semi Condensed" w:cs="Barlow Semi Condensed" w:eastAsia="Barlow Semi Condensed" w:hAnsi="Barlow Semi Condensed"/>
          <w:sz w:val="24"/>
          <w:szCs w:val="24"/>
        </w:rPr>
        <w:t xml:space="preserve">Stato del lavoro</w:t>
      </w:r>
    </w:p>
    <w:p>
      <w:pPr>
        <w:spacing w:after="120" w:line="276"/>
        <w:jc w:val="both"/>
      </w:pPr>
      <w:r>
        <w:rPr>
          <w:rFonts w:ascii="Barlow Semi Condensed" w:cs="Barlow Semi Condensed" w:eastAsia="Barlow Semi Condensed" w:hAnsi="Barlow Semi Condensed"/>
          <w:sz w:val="24"/>
          <w:szCs w:val="24"/>
        </w:rPr>
        <w:t xml:space="preserve">Corpus completo e verificato. </w:t>
      </w:r>
      <w:r>
        <w:rPr>
          <w:rFonts w:ascii="Barlow Semi Condensed" w:cs="Barlow Semi Condensed" w:eastAsia="Barlow Semi Condensed" w:hAnsi="Barlow Semi Condensed"/>
          <w:b/>
          <w:bCs/>
          <w:sz w:val="24"/>
          <w:szCs w:val="24"/>
        </w:rPr>
        <w:t xml:space="preserve">Prima stesura del libro completa</w:t>
      </w:r>
      <w:r>
        <w:rPr>
          <w:rFonts w:ascii="Barlow Semi Condensed" w:cs="Barlow Semi Condensed" w:eastAsia="Barlow Semi Condensed" w:hAnsi="Barlow Semi Condensed"/>
          <w:sz w:val="24"/>
          <w:szCs w:val="24"/>
        </w:rPr>
        <w:t xml:space="preserve">: sette parti su</w:t>
      </w:r>
    </w:p>
    <w:p>
      <w:pPr>
        <w:spacing w:after="120" w:line="276"/>
        <w:jc w:val="both"/>
      </w:pPr>
      <w:r>
        <w:rPr>
          <w:rFonts w:ascii="Barlow Semi Condensed" w:cs="Barlow Semi Condensed" w:eastAsia="Barlow Semi Condensed" w:hAnsi="Barlow Semi Condensed"/>
          <w:sz w:val="24"/>
          <w:szCs w:val="24"/>
        </w:rPr>
        <w:t xml:space="preserve">sette, più il registro di chiusura in diciannove voci; quarantaquattro pagine, circa 19.500 parole, rilegate in un volume unico nelle tre</w:t>
      </w:r>
    </w:p>
    <w:p>
      <w:pPr>
        <w:spacing w:after="120" w:line="276"/>
        <w:jc w:val="both"/>
      </w:pPr>
      <w:r>
        <w:rPr>
          <w:rFonts w:ascii="Barlow Semi Condensed" w:cs="Barlow Semi Condensed" w:eastAsia="Barlow Semi Condensed" w:hAnsi="Barlow Semi Condensed"/>
          <w:sz w:val="24"/>
          <w:szCs w:val="24"/>
        </w:rPr>
        <w:t xml:space="preserve">forme. La stesura è stata letta di seguito e </w:t>
      </w:r>
      <w:r>
        <w:rPr>
          <w:rFonts w:ascii="Barlow Semi Condensed" w:cs="Barlow Semi Condensed" w:eastAsia="Barlow Semi Condensed" w:hAnsi="Barlow Semi Condensed"/>
          <w:b/>
          <w:bCs/>
          <w:sz w:val="24"/>
          <w:szCs w:val="24"/>
        </w:rPr>
        <w:t xml:space="preserve">misurata</w:t>
      </w:r>
      <w:r>
        <w:rPr>
          <w:rFonts w:ascii="Barlow Semi Condensed" w:cs="Barlow Semi Condensed" w:eastAsia="Barlow Semi Condensed" w:hAnsi="Barlow Semi Condensed"/>
          <w:sz w:val="24"/>
          <w:szCs w:val="24"/>
        </w:rPr>
        <w:t xml:space="preserve">: le due voci stanno fra</w:t>
      </w:r>
    </w:p>
    <w:p>
      <w:pPr>
        <w:spacing w:after="120" w:line="276"/>
        <w:jc w:val="both"/>
      </w:pPr>
      <w:r>
        <w:rPr>
          <w:rFonts w:ascii="Barlow Semi Condensed" w:cs="Barlow Semi Condensed" w:eastAsia="Barlow Semi Condensed" w:hAnsi="Barlow Semi Condensed"/>
          <w:sz w:val="24"/>
          <w:szCs w:val="24"/>
        </w:rPr>
        <w:t xml:space="preserve">il 52% e il 66% di corsivo, le sette parti fra 1.998 e 2.386 parole, la</w:t>
      </w:r>
    </w:p>
    <w:p>
      <w:pPr>
        <w:spacing w:after="120" w:line="276"/>
        <w:jc w:val="both"/>
      </w:pPr>
      <w:r>
        <w:rPr>
          <w:rFonts w:ascii="Barlow Semi Condensed" w:cs="Barlow Semi Condensed" w:eastAsia="Barlow Semi Condensed" w:hAnsi="Barlow Semi Condensed"/>
          <w:sz w:val="24"/>
          <w:szCs w:val="24"/>
        </w:rPr>
        <w:t xml:space="preserve">ripetizione fra capitoli è dello 0,5% in due soli incroci, entrambi voluti; le</w:t>
      </w:r>
    </w:p>
    <w:p>
      <w:pPr>
        <w:spacing w:after="120" w:line="276"/>
        <w:jc w:val="both"/>
      </w:pPr>
      <w:r>
        <w:rPr>
          <w:rFonts w:ascii="Barlow Semi Condensed" w:cs="Barlow Semi Condensed" w:eastAsia="Barlow Semi Condensed" w:hAnsi="Barlow Semi Condensed"/>
          <w:sz w:val="24"/>
          <w:szCs w:val="24"/>
        </w:rPr>
        <w:t xml:space="preserve">note di revisione sono nell'opera.</w:t>
      </w:r>
    </w:p>
    <w:p>
      <w:pPr>
        <w:spacing w:after="120" w:line="276"/>
        <w:jc w:val="both"/>
      </w:pPr>
      <w:r>
        <w:rPr>
          <w:rFonts w:ascii="Barlow Semi Condensed" w:cs="Barlow Semi Condensed" w:eastAsia="Barlow Semi Condensed" w:hAnsi="Barlow Semi Condensed"/>
          <w:b/>
          <w:bCs/>
          <w:sz w:val="24"/>
          <w:szCs w:val="24"/>
        </w:rPr>
        <w:t xml:space="preserve">La lunghezza resta una domanda aperta, e si dichiara come tale.</w:t>
      </w:r>
      <w:r>
        <w:rPr>
          <w:rFonts w:ascii="Barlow Semi Condensed" w:cs="Barlow Semi Condensed" w:eastAsia="Barlow Semi Condensed" w:hAnsi="Barlow Semi Condensed"/>
          <w:sz w:val="24"/>
          <w:szCs w:val="24"/>
        </w:rPr>
        <w:t xml:space="preserve"> Il progetto</w:t>
      </w:r>
    </w:p>
    <w:p>
      <w:pPr>
        <w:spacing w:after="120" w:line="276"/>
        <w:jc w:val="both"/>
      </w:pPr>
      <w:r>
        <w:rPr>
          <w:rFonts w:ascii="Barlow Semi Condensed" w:cs="Barlow Semi Condensed" w:eastAsia="Barlow Semi Condensed" w:hAnsi="Barlow Semi Condensed"/>
          <w:sz w:val="24"/>
          <w:szCs w:val="24"/>
        </w:rPr>
        <w:t xml:space="preserve">prevedeva 250 pagine; la stesura ne fa quaranta, tenute strette. Il materiale per</w:t>
      </w:r>
    </w:p>
    <w:p>
      <w:pPr>
        <w:spacing w:after="120" w:line="276"/>
        <w:jc w:val="both"/>
      </w:pPr>
      <w:r>
        <w:rPr>
          <w:rFonts w:ascii="Barlow Semi Condensed" w:cs="Barlow Semi Condensed" w:eastAsia="Barlow Semi Condensed" w:hAnsi="Barlow Semi Condensed"/>
          <w:sz w:val="24"/>
          <w:szCs w:val="24"/>
        </w:rPr>
        <w:t xml:space="preserve">estenderle c'è; la misura giusta la decide l'editore che conosce il proprio</w:t>
      </w:r>
    </w:p>
    <w:p>
      <w:pPr>
        <w:spacing w:after="120" w:line="276"/>
        <w:jc w:val="both"/>
      </w:pPr>
      <w:r>
        <w:rPr>
          <w:rFonts w:ascii="Barlow Semi Condensed" w:cs="Barlow Semi Condensed" w:eastAsia="Barlow Semi Condensed" w:hAnsi="Barlow Semi Condensed"/>
          <w:sz w:val="24"/>
          <w:szCs w:val="24"/>
        </w:rPr>
        <w:t xml:space="preserve">catalogo, e diluire un libro che regge è più facile che scriverne uno che</w:t>
      </w:r>
    </w:p>
    <w:p>
      <w:pPr>
        <w:spacing w:after="120" w:line="276"/>
        <w:jc w:val="both"/>
      </w:pPr>
      <w:r>
        <w:rPr>
          <w:rFonts w:ascii="Barlow Semi Condensed" w:cs="Barlow Semi Condensed" w:eastAsia="Barlow Semi Condensed" w:hAnsi="Barlow Semi Condensed"/>
          <w:sz w:val="24"/>
          <w:szCs w:val="24"/>
        </w:rPr>
        <w:t xml:space="preserve">regga.</w:t>
      </w:r>
    </w:p>
    <w:p>
      <w:pPr>
        <w:pStyle w:val="Heading2"/>
        <w:spacing w:after="100" w:before="200"/>
      </w:pPr>
      <w:r>
        <w:rPr>
          <w:rFonts w:ascii="Barlow Semi Condensed" w:cs="Barlow Semi Condensed" w:eastAsia="Barlow Semi Condensed" w:hAnsi="Barlow Semi Condensed"/>
          <w:sz w:val="24"/>
          <w:szCs w:val="24"/>
        </w:rPr>
        <w:t xml:space="preserve">Regime dei diritti e disponibilità</w:t>
      </w:r>
    </w:p>
    <w:p>
      <w:pPr>
        <w:spacing w:after="120" w:line="276"/>
        <w:jc w:val="both"/>
      </w:pPr>
      <w:r>
        <w:rPr>
          <w:rFonts w:ascii="Barlow Semi Condensed" w:cs="Barlow Semi Condensed" w:eastAsia="Barlow Semi Condensed" w:hAnsi="Barlow Semi Condensed"/>
          <w:sz w:val="24"/>
          <w:szCs w:val="24"/>
        </w:rPr>
        <w:t xml:space="preserve">Il corpus è depositato su un archivio pubblico ad accesso libero. Nulla di ciò</w:t>
      </w:r>
    </w:p>
    <w:p>
      <w:pPr>
        <w:spacing w:after="120" w:line="276"/>
        <w:jc w:val="both"/>
      </w:pPr>
      <w:r>
        <w:rPr>
          <w:rFonts w:ascii="Barlow Semi Condensed" w:cs="Barlow Semi Condensed" w:eastAsia="Barlow Semi Condensed" w:hAnsi="Barlow Semi Condensed"/>
          <w:sz w:val="24"/>
          <w:szCs w:val="24"/>
        </w:rPr>
        <w:t xml:space="preserve">che riguarda persone viventi con attribuzioni non verificate è pubblicato: quel</w:t>
      </w:r>
    </w:p>
    <w:p>
      <w:pPr>
        <w:spacing w:after="120" w:line="276"/>
        <w:jc w:val="both"/>
      </w:pPr>
      <w:r>
        <w:rPr>
          <w:rFonts w:ascii="Barlow Semi Condensed" w:cs="Barlow Semi Condensed" w:eastAsia="Barlow Semi Condensed" w:hAnsi="Barlow Semi Condensed"/>
          <w:sz w:val="24"/>
          <w:szCs w:val="24"/>
        </w:rPr>
        <w:t xml:space="preserve">materiale resta in un archivio separato e non divulgabile.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Un'indagine produce atti, non colpevoli.</w:t>
      </w:r>
    </w:p>
    <w:p>
      <w:pPr>
        <w:spacing w:after="120" w:line="276"/>
        <w:jc w:val="both"/>
      </w:pPr>
      <w:r>
        <w:rPr>
          <w:rFonts w:ascii="Barlow Semi Condensed" w:cs="Barlow Semi Condensed" w:eastAsia="Barlow Semi Condensed" w:hAnsi="Barlow Semi Condensed"/>
          <w:i/>
          <w:iCs/>
          <w:sz w:val="24"/>
          <w:szCs w:val="24"/>
        </w:rPr>
        <w:t xml:space="preserve">Annotazione del 27 agosto 2026 — la rimozione del materiale su Guevara.</w:t>
      </w:r>
      <w:r>
        <w:rPr>
          <w:rFonts w:ascii="Barlow Semi Condensed" w:cs="Barlow Semi Condensed" w:eastAsia="Barlow Semi Condensed" w:hAnsi="Barlow Semi Condensed"/>
          <w:sz w:val="24"/>
          <w:szCs w:val="24"/>
        </w:rPr>
        <w:t xml:space="preserve"> Per</w:t>
      </w:r>
    </w:p>
    <w:p>
      <w:pPr>
        <w:spacing w:after="120" w:line="276"/>
        <w:jc w:val="both"/>
      </w:pPr>
      <w:r>
        <w:rPr>
          <w:rFonts w:ascii="Barlow Semi Condensed" w:cs="Barlow Semi Condensed" w:eastAsia="Barlow Semi Condensed" w:hAnsi="Barlow Semi Condensed"/>
          <w:sz w:val="24"/>
          <w:szCs w:val="24"/>
        </w:rPr>
        <w:t xml:space="preserve">decisione dell'autore l'opera è stata privata del </w:t>
      </w:r>
      <w:r>
        <w:rPr>
          <w:rFonts w:ascii="Barlow Semi Condensed" w:cs="Barlow Semi Condensed" w:eastAsia="Barlow Semi Condensed" w:hAnsi="Barlow Semi Condensed"/>
          <w:b/>
          <w:bCs/>
          <w:sz w:val="24"/>
          <w:szCs w:val="24"/>
        </w:rPr>
        <w:t xml:space="preserve">Libro secondo</w:t>
      </w:r>
      <w:r>
        <w:rPr>
          <w:rFonts w:ascii="Barlow Semi Condensed" w:cs="Barlow Semi Condensed" w:eastAsia="Barlow Semi Condensed" w:hAnsi="Barlow Semi Condensed"/>
          <w:sz w:val="24"/>
          <w:szCs w:val="24"/>
        </w:rPr>
        <w:t xml:space="preserve"> e del **Libro</w:t>
      </w:r>
    </w:p>
    <w:p>
      <w:pPr>
        <w:spacing w:after="120" w:line="276"/>
        <w:jc w:val="both"/>
      </w:pPr>
      <w:r>
        <w:rPr>
          <w:rFonts w:ascii="Barlow Semi Condensed" w:cs="Barlow Semi Condensed" w:eastAsia="Barlow Semi Condensed" w:hAnsi="Barlow Semi Condensed"/>
          <w:sz w:val="24"/>
          <w:szCs w:val="24"/>
        </w:rPr>
        <w:t xml:space="preserve">terzo** — il saggio-cerniera «Dal Che a Moro» e la parabola di Ernesto Guevara in</w:t>
      </w:r>
    </w:p>
    <w:p>
      <w:pPr>
        <w:spacing w:after="120" w:line="276"/>
        <w:jc w:val="both"/>
      </w:pPr>
      <w:r>
        <w:rPr>
          <w:rFonts w:ascii="Barlow Semi Condensed" w:cs="Barlow Semi Condensed" w:eastAsia="Barlow Semi Condensed" w:hAnsi="Barlow Semi Condensed"/>
          <w:sz w:val="24"/>
          <w:szCs w:val="24"/>
        </w:rPr>
        <w:t xml:space="preserve">sei parti, 17.769 parole — insieme al volume tematico che li rilegava a parte. Le</w:t>
      </w:r>
    </w:p>
    <w:p>
      <w:pPr>
        <w:spacing w:after="120" w:line="276"/>
        <w:jc w:val="both"/>
      </w:pPr>
      <w:r>
        <w:rPr>
          <w:rFonts w:ascii="Barlow Semi Condensed" w:cs="Barlow Semi Condensed" w:eastAsia="Barlow Semi Condensed" w:hAnsi="Barlow Semi Condensed"/>
          <w:sz w:val="24"/>
          <w:szCs w:val="24"/>
        </w:rPr>
        <w:t xml:space="preserve">cifre qui sopra sono quelle risultanti. **La numerazione dei Libri superstiti non</w:t>
      </w:r>
    </w:p>
    <w:p>
      <w:pPr>
        <w:spacing w:after="120" w:line="276"/>
        <w:jc w:val="both"/>
      </w:pPr>
      <w:r>
        <w:rPr>
          <w:rFonts w:ascii="Barlow Semi Condensed" w:cs="Barlow Semi Condensed" w:eastAsia="Barlow Semi Condensed" w:hAnsi="Barlow Semi Condensed"/>
          <w:sz w:val="24"/>
          <w:szCs w:val="24"/>
        </w:rPr>
        <w:t xml:space="preserve">è stata rifatta**: dopo il Libro primo viene il Libro quarto, e il salto è voluto,</w:t>
      </w:r>
    </w:p>
    <w:p>
      <w:pPr>
        <w:spacing w:after="120" w:line="276"/>
        <w:jc w:val="both"/>
      </w:pPr>
      <w:r>
        <w:rPr>
          <w:rFonts w:ascii="Barlow Semi Condensed" w:cs="Barlow Semi Condensed" w:eastAsia="Barlow Semi Condensed" w:hAnsi="Barlow Semi Condensed"/>
          <w:sz w:val="24"/>
          <w:szCs w:val="24"/>
        </w:rPr>
        <w:t xml:space="preserve">perché rinumerare renderebbe invisibile la rimozione e falsificherebbe ogni</w:t>
      </w:r>
    </w:p>
    <w:p>
      <w:pPr>
        <w:spacing w:after="120" w:line="276"/>
        <w:jc w:val="both"/>
      </w:pPr>
      <w:r>
        <w:rPr>
          <w:rFonts w:ascii="Barlow Semi Condensed" w:cs="Barlow Semi Condensed" w:eastAsia="Barlow Semi Condensed" w:hAnsi="Barlow Semi Condensed"/>
          <w:sz w:val="24"/>
          <w:szCs w:val="24"/>
        </w:rPr>
        <w:t xml:space="preserve">citazione anteriore.</w:t>
      </w:r>
    </w:p>
    <w:p>
      <w:pPr>
        <w:pStyle w:val="Heading3"/>
        <w:spacing w:after="80" w:before="240"/>
      </w:pPr>
      <w:r>
        <w:rPr>
          <w:rFonts w:ascii="Barlow Semi Condensed" w:cs="Barlow Semi Condensed" w:eastAsia="Barlow Semi Condensed" w:hAnsi="Barlow Semi Condensed"/>
          <w:sz w:val="24"/>
          <w:szCs w:val="24"/>
        </w:rPr>
        <w:t xml:space="preserve">Apparato grafico — Appendici · iv. La scheda dell'opera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IV.iv: 1.383 parole in 8 sezioni; la più ampia è §2 I numeri, con 382.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IV.iv: 20 paragrafi in 8 sezioni, 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v. Il capitolo campione</w:t>
      </w:r>
    </w:p>
    <w:p>
      <w:pPr>
        <w:pStyle w:val="Heading1"/>
        <w:spacing w:after="120" w:before="240"/>
      </w:pPr>
      <w:r>
        <w:rPr>
          <w:rFonts w:ascii="Barlow Semi Condensed" w:cs="Barlow Semi Condensed" w:eastAsia="Barlow Semi Condensed" w:hAnsi="Barlow Semi Condensed"/>
          <w:sz w:val="24"/>
          <w:szCs w:val="24"/>
        </w:rPr>
        <w:t xml:space="preserve">Capitolo quarto</w:t>
      </w:r>
    </w:p>
    <w:p>
      <w:pPr>
        <w:pStyle w:val="Heading2"/>
        <w:spacing w:after="100" w:before="200"/>
      </w:pPr>
      <w:r>
        <w:rPr>
          <w:rFonts w:ascii="Barlow Semi Condensed" w:cs="Barlow Semi Condensed" w:eastAsia="Barlow Semi Condensed" w:hAnsi="Barlow Semi Condensed"/>
          <w:sz w:val="24"/>
          <w:szCs w:val="24"/>
        </w:rPr>
        <w:t xml:space="preserve">Il documento che non dice ciò che tutti citano</w:t>
      </w:r>
    </w:p>
    <w:p>
      <w:pPr>
        <w:spacing w:after="120" w:line="276"/>
        <w:jc w:val="both"/>
      </w:pPr>
      <w:r>
        <w:rPr>
          <w:rFonts w:ascii="Barlow Semi Condensed" w:cs="Barlow Semi Condensed" w:eastAsia="Barlow Semi Condensed" w:hAnsi="Barlow Semi Condensed"/>
          <w:i/>
          <w:iCs/>
          <w:sz w:val="24"/>
          <w:szCs w:val="24"/>
        </w:rPr>
        <w:t xml:space="preserve">Capitolo campione del saggio</w:t>
      </w:r>
      <w:r>
        <w:rPr>
          <w:rFonts w:ascii="Barlow Semi Condensed" w:cs="Barlow Semi Condensed" w:eastAsia="Barlow Semi Condensed" w:hAnsi="Barlow Semi Condensed"/>
          <w:sz w:val="24"/>
          <w:szCs w:val="24"/>
        </w:rPr>
        <w:t xml:space="preserve"> Il buco misurato. *È il quarto dei sette, ed è</w:t>
      </w:r>
    </w:p>
    <w:p>
      <w:pPr>
        <w:spacing w:after="120" w:line="276"/>
        <w:jc w:val="both"/>
      </w:pPr>
      <w:r>
        <w:rPr>
          <w:rFonts w:ascii="Barlow Semi Condensed" w:cs="Barlow Semi Condensed" w:eastAsia="Barlow Semi Condensed" w:hAnsi="Barlow Semi Condensed"/>
          <w:sz w:val="24"/>
          <w:szCs w:val="24"/>
        </w:rPr>
        <w:t xml:space="preserve">stato scelto come estratto perché è il più verificabile: ogni sua affermazione</w:t>
      </w:r>
    </w:p>
    <w:p>
      <w:pPr>
        <w:spacing w:after="120" w:line="276"/>
        <w:jc w:val="both"/>
      </w:pPr>
      <w:r>
        <w:rPr>
          <w:rFonts w:ascii="Barlow Semi Condensed" w:cs="Barlow Semi Condensed" w:eastAsia="Barlow Semi Condensed" w:hAnsi="Barlow Semi Condensed"/>
          <w:sz w:val="24"/>
          <w:szCs w:val="24"/>
        </w:rPr>
        <w:t xml:space="preserve">può essere controllata da chi legge, in mezz'ora, senza uscire di casa e senza</w:t>
      </w:r>
    </w:p>
    <w:p>
      <w:pPr>
        <w:spacing w:after="120" w:line="276"/>
        <w:jc w:val="both"/>
      </w:pPr>
      <w:r>
        <w:rPr>
          <w:rFonts w:ascii="Barlow Semi Condensed" w:cs="Barlow Semi Condensed" w:eastAsia="Barlow Semi Condensed" w:hAnsi="Barlow Semi Condensed"/>
          <w:sz w:val="24"/>
          <w:szCs w:val="24"/>
        </w:rPr>
        <w:t xml:space="preserve">chiedere niente a nessuno. Il capitolo si chiude con l'esercizio che permette di</w:t>
      </w:r>
    </w:p>
    <w:p>
      <w:pPr>
        <w:spacing w:after="120" w:line="276"/>
        <w:jc w:val="both"/>
      </w:pPr>
      <w:r>
        <w:rPr>
          <w:rFonts w:ascii="Barlow Semi Condensed" w:cs="Barlow Semi Condensed" w:eastAsia="Barlow Semi Condensed" w:hAnsi="Barlow Semi Condensed"/>
          <w:sz w:val="24"/>
          <w:szCs w:val="24"/>
        </w:rPr>
        <w:t xml:space="preserve">farlo.*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Ci sono frasi che in Italia non hanno bisogno di essere citate per intero.</w:t>
      </w:r>
    </w:p>
    <w:p>
      <w:pPr>
        <w:spacing w:after="120" w:line="276"/>
        <w:jc w:val="both"/>
      </w:pPr>
      <w:r>
        <w:rPr>
          <w:rFonts w:ascii="Barlow Semi Condensed" w:cs="Barlow Semi Condensed" w:eastAsia="Barlow Semi Condensed" w:hAnsi="Barlow Semi Condensed"/>
          <w:sz w:val="24"/>
          <w:szCs w:val="24"/>
        </w:rPr>
        <w:t xml:space="preserve">Basta accennarle e la sala le completa. Una di queste dice, più o meno, che nel</w:t>
      </w:r>
    </w:p>
    <w:p>
      <w:pPr>
        <w:spacing w:after="120" w:line="276"/>
        <w:jc w:val="both"/>
      </w:pPr>
      <w:r>
        <w:rPr>
          <w:rFonts w:ascii="Barlow Semi Condensed" w:cs="Barlow Semi Condensed" w:eastAsia="Barlow Semi Condensed" w:hAnsi="Barlow Semi Condensed"/>
          <w:sz w:val="24"/>
          <w:szCs w:val="24"/>
        </w:rPr>
        <w:t xml:space="preserve">settembre del 1974 il Segretario di Stato americano avvertì Aldo Moro che se</w:t>
      </w:r>
    </w:p>
    <w:p>
      <w:pPr>
        <w:spacing w:after="120" w:line="276"/>
        <w:jc w:val="both"/>
      </w:pPr>
      <w:r>
        <w:rPr>
          <w:rFonts w:ascii="Barlow Semi Condensed" w:cs="Barlow Semi Condensed" w:eastAsia="Barlow Semi Condensed" w:hAnsi="Barlow Semi Condensed"/>
          <w:sz w:val="24"/>
          <w:szCs w:val="24"/>
        </w:rPr>
        <w:t xml:space="preserve">avesse insistito sulla sua linea politica l'avrebbe pagata cara. Le versioni</w:t>
      </w:r>
    </w:p>
    <w:p>
      <w:pPr>
        <w:spacing w:after="120" w:line="276"/>
        <w:jc w:val="both"/>
      </w:pPr>
      <w:r>
        <w:rPr>
          <w:rFonts w:ascii="Barlow Semi Condensed" w:cs="Barlow Semi Condensed" w:eastAsia="Barlow Semi Condensed" w:hAnsi="Barlow Semi Condensed"/>
          <w:sz w:val="24"/>
          <w:szCs w:val="24"/>
        </w:rPr>
        <w:t xml:space="preserve">oscillano — «la pagherà cara», «smetta o ne subirà le conseguenze» — ma la</w:t>
      </w:r>
    </w:p>
    <w:p>
      <w:pPr>
        <w:spacing w:after="120" w:line="276"/>
        <w:jc w:val="both"/>
      </w:pPr>
      <w:r>
        <w:rPr>
          <w:rFonts w:ascii="Barlow Semi Condensed" w:cs="Barlow Semi Condensed" w:eastAsia="Barlow Semi Condensed" w:hAnsi="Barlow Semi Condensed"/>
          <w:sz w:val="24"/>
          <w:szCs w:val="24"/>
        </w:rPr>
        <w:t xml:space="preserve">sostanza circola compatta da quarant'anni, e circola sempre agganciata a un</w:t>
      </w:r>
    </w:p>
    <w:p>
      <w:pPr>
        <w:spacing w:after="120" w:line="276"/>
        <w:jc w:val="both"/>
      </w:pPr>
      <w:r>
        <w:rPr>
          <w:rFonts w:ascii="Barlow Semi Condensed" w:cs="Barlow Semi Condensed" w:eastAsia="Barlow Semi Condensed" w:hAnsi="Barlow Semi Condensed"/>
          <w:sz w:val="24"/>
          <w:szCs w:val="24"/>
        </w:rPr>
        <w:t xml:space="preserve">appiglio documentale preciso: **il verbale del colloquio dello Studio Ovale del</w:t>
      </w:r>
    </w:p>
    <w:p>
      <w:pPr>
        <w:spacing w:after="120" w:line="276"/>
        <w:jc w:val="both"/>
      </w:pPr>
      <w:r>
        <w:rPr>
          <w:rFonts w:ascii="Barlow Semi Condensed" w:cs="Barlow Semi Condensed" w:eastAsia="Barlow Semi Condensed" w:hAnsi="Barlow Semi Condensed"/>
          <w:sz w:val="24"/>
          <w:szCs w:val="24"/>
        </w:rPr>
        <w:t xml:space="preserve">25 settembre 1974**.</w:t>
      </w:r>
    </w:p>
    <w:p>
      <w:pPr>
        <w:spacing w:after="120" w:line="276"/>
        <w:jc w:val="both"/>
      </w:pPr>
      <w:r>
        <w:rPr>
          <w:rFonts w:ascii="Barlow Semi Condensed" w:cs="Barlow Semi Condensed" w:eastAsia="Barlow Semi Condensed" w:hAnsi="Barlow Semi Condensed"/>
          <w:sz w:val="24"/>
          <w:szCs w:val="24"/>
        </w:rPr>
        <w:t xml:space="preserve">Quel verbale esiste. Ha una doppia segnatura, è pubblicato, è digitalizzato, è</w:t>
      </w:r>
    </w:p>
    <w:p>
      <w:pPr>
        <w:spacing w:after="120" w:line="276"/>
        <w:jc w:val="both"/>
      </w:pPr>
      <w:r>
        <w:rPr>
          <w:rFonts w:ascii="Barlow Semi Condensed" w:cs="Barlow Semi Condensed" w:eastAsia="Barlow Semi Condensed" w:hAnsi="Barlow Semi Condensed"/>
          <w:sz w:val="24"/>
          <w:szCs w:val="24"/>
        </w:rPr>
        <w:t xml:space="preserve">gratuito. Chiunque può aprirlo.</w:t>
      </w:r>
    </w:p>
    <w:p>
      <w:pPr>
        <w:spacing w:after="120" w:line="276"/>
        <w:jc w:val="both"/>
      </w:pPr>
      <w:r>
        <w:rPr>
          <w:rFonts w:ascii="Barlow Semi Condensed" w:cs="Barlow Semi Condensed" w:eastAsia="Barlow Semi Condensed" w:hAnsi="Barlow Semi Condensed"/>
          <w:sz w:val="24"/>
          <w:szCs w:val="24"/>
        </w:rPr>
        <w:t xml:space="preserve">L'ho aperto.</w:t>
      </w:r>
    </w:p>
    <w:p>
      <w:pPr>
        <w:spacing w:after="120" w:line="276"/>
        <w:jc w:val="both"/>
      </w:pPr>
      <w:r>
        <w:rPr>
          <w:rFonts w:ascii="Barlow Semi Condensed" w:cs="Barlow Semi Condensed" w:eastAsia="Barlow Semi Condensed" w:hAnsi="Barlow Semi Condensed"/>
          <w:sz w:val="24"/>
          <w:szCs w:val="24"/>
        </w:rPr>
        <w:t xml:space="preserve">Non contiene quella frase.</w:t>
      </w:r>
    </w:p>
    <w:p>
      <w:pPr>
        <w:spacing w:after="120" w:line="276"/>
        <w:jc w:val="both"/>
      </w:pPr>
      <w:r>
        <w:rPr>
          <w:rFonts w:ascii="Barlow Semi Condensed" w:cs="Barlow Semi Condensed" w:eastAsia="Barlow Semi Condensed" w:hAnsi="Barlow Semi Condensed"/>
          <w:sz w:val="24"/>
          <w:szCs w:val="24"/>
        </w:rPr>
        <w:t xml:space="preserve">Questo capitolo racconta che cosa significa, esattamente, la riga che avete</w:t>
      </w:r>
    </w:p>
    <w:p>
      <w:pPr>
        <w:spacing w:after="120" w:line="276"/>
        <w:jc w:val="both"/>
      </w:pPr>
      <w:r>
        <w:rPr>
          <w:rFonts w:ascii="Barlow Semi Condensed" w:cs="Barlow Semi Condensed" w:eastAsia="Barlow Semi Condensed" w:hAnsi="Barlow Semi Condensed"/>
          <w:sz w:val="24"/>
          <w:szCs w:val="24"/>
        </w:rPr>
        <w:t xml:space="preserve">appena letto — e soprattutto che cosa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significa. Perché la tentazione,</w:t>
      </w:r>
    </w:p>
    <w:p>
      <w:pPr>
        <w:spacing w:after="120" w:line="276"/>
        <w:jc w:val="both"/>
      </w:pPr>
      <w:r>
        <w:rPr>
          <w:rFonts w:ascii="Barlow Semi Condensed" w:cs="Barlow Semi Condensed" w:eastAsia="Barlow Semi Condensed" w:hAnsi="Barlow Semi Condensed"/>
          <w:sz w:val="24"/>
          <w:szCs w:val="24"/>
        </w:rPr>
        <w:t xml:space="preserve">arrivati qui, è di scrivere che la storia è smontata; e sarebbe un errore dello</w:t>
      </w:r>
    </w:p>
    <w:p>
      <w:pPr>
        <w:spacing w:after="120" w:line="276"/>
        <w:jc w:val="both"/>
      </w:pPr>
      <w:r>
        <w:rPr>
          <w:rFonts w:ascii="Barlow Semi Condensed" w:cs="Barlow Semi Condensed" w:eastAsia="Barlow Semi Condensed" w:hAnsi="Barlow Semi Condensed"/>
          <w:sz w:val="24"/>
          <w:szCs w:val="24"/>
        </w:rPr>
        <w:t xml:space="preserve">stesso identico tipo di quello che si sta denunciando, solo di segno opposto.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1. Che cos'è il documento</w:t>
      </w:r>
    </w:p>
    <w:p>
      <w:pPr>
        <w:spacing w:after="120" w:line="276"/>
        <w:jc w:val="both"/>
      </w:pPr>
      <w:r>
        <w:rPr>
          <w:rFonts w:ascii="Barlow Semi Condensed" w:cs="Barlow Semi Condensed" w:eastAsia="Barlow Semi Condensed" w:hAnsi="Barlow Semi Condensed"/>
          <w:sz w:val="24"/>
          <w:szCs w:val="24"/>
        </w:rPr>
        <w:t xml:space="preserve">Il colloquio si tenne alla Casa Bianca, **Studio Ovale, 25 settembre 1974, ore</w:t>
      </w:r>
    </w:p>
    <w:p>
      <w:pPr>
        <w:spacing w:after="120" w:line="276"/>
        <w:jc w:val="both"/>
      </w:pPr>
      <w:r>
        <w:rPr>
          <w:rFonts w:ascii="Barlow Semi Condensed" w:cs="Barlow Semi Condensed" w:eastAsia="Barlow Semi Condensed" w:hAnsi="Barlow Semi Condensed"/>
          <w:sz w:val="24"/>
          <w:szCs w:val="24"/>
        </w:rPr>
        <w:t xml:space="preserve">11.30**. Presenti: il Presidente della Repubblica italiana Giovanni Leone, il</w:t>
      </w:r>
    </w:p>
    <w:p>
      <w:pPr>
        <w:spacing w:after="120" w:line="276"/>
        <w:jc w:val="both"/>
      </w:pPr>
      <w:r>
        <w:rPr>
          <w:rFonts w:ascii="Barlow Semi Condensed" w:cs="Barlow Semi Condensed" w:eastAsia="Barlow Semi Condensed" w:hAnsi="Barlow Semi Condensed"/>
          <w:sz w:val="24"/>
          <w:szCs w:val="24"/>
        </w:rPr>
        <w:t xml:space="preserve">ministro degli Esteri Aldo Moro, il Presidente degli Stati Uniti Gerald Ford, il</w:t>
      </w:r>
    </w:p>
    <w:p>
      <w:pPr>
        <w:spacing w:after="120" w:line="276"/>
        <w:jc w:val="both"/>
      </w:pPr>
      <w:r>
        <w:rPr>
          <w:rFonts w:ascii="Barlow Semi Condensed" w:cs="Barlow Semi Condensed" w:eastAsia="Barlow Semi Condensed" w:hAnsi="Barlow Semi Condensed"/>
          <w:sz w:val="24"/>
          <w:szCs w:val="24"/>
        </w:rPr>
        <w:t xml:space="preserve">Segretario di Stato Henry Kissinger, e Brent Scowcroft, allora vice consigliere</w:t>
      </w:r>
    </w:p>
    <w:p>
      <w:pPr>
        <w:spacing w:after="120" w:line="276"/>
        <w:jc w:val="both"/>
      </w:pPr>
      <w:r>
        <w:rPr>
          <w:rFonts w:ascii="Barlow Semi Condensed" w:cs="Barlow Semi Condensed" w:eastAsia="Barlow Semi Condensed" w:hAnsi="Barlow Semi Condensed"/>
          <w:sz w:val="24"/>
          <w:szCs w:val="24"/>
        </w:rPr>
        <w:t xml:space="preserve">per la sicurezza nazionale, che dei colloqui presidenziali era anche il</w:t>
      </w:r>
    </w:p>
    <w:p>
      <w:pPr>
        <w:spacing w:after="120" w:line="276"/>
        <w:jc w:val="both"/>
      </w:pPr>
      <w:r>
        <w:rPr>
          <w:rFonts w:ascii="Barlow Semi Condensed" w:cs="Barlow Semi Condensed" w:eastAsia="Barlow Semi Condensed" w:hAnsi="Barlow Semi Condensed"/>
          <w:sz w:val="24"/>
          <w:szCs w:val="24"/>
        </w:rPr>
        <w:t xml:space="preserve">verbalizzante abituale.</w:t>
      </w:r>
    </w:p>
    <w:p>
      <w:pPr>
        <w:spacing w:after="120" w:line="276"/>
        <w:jc w:val="both"/>
      </w:pPr>
      <w:r>
        <w:rPr>
          <w:rFonts w:ascii="Barlow Semi Condensed" w:cs="Barlow Semi Condensed" w:eastAsia="Barlow Semi Condensed" w:hAnsi="Barlow Semi Condensed"/>
          <w:sz w:val="24"/>
          <w:szCs w:val="24"/>
        </w:rPr>
        <w:t xml:space="preserve">Il documento che ne uscì è un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non uno stenografico,</w:t>
      </w:r>
    </w:p>
    <w:p>
      <w:pPr>
        <w:spacing w:after="120" w:line="276"/>
        <w:jc w:val="both"/>
      </w:pPr>
      <w:r>
        <w:rPr>
          <w:rFonts w:ascii="Barlow Semi Condensed" w:cs="Barlow Semi Condensed" w:eastAsia="Barlow Semi Condensed" w:hAnsi="Barlow Semi Condensed"/>
          <w:sz w:val="24"/>
          <w:szCs w:val="24"/>
        </w:rPr>
        <w:t xml:space="preserve">ma il resoconto redatto da uno dei presenti, in inglese, per uso interno</w:t>
      </w:r>
    </w:p>
    <w:p>
      <w:pPr>
        <w:spacing w:after="120" w:line="276"/>
        <w:jc w:val="both"/>
      </w:pPr>
      <w:r>
        <w:rPr>
          <w:rFonts w:ascii="Barlow Semi Condensed" w:cs="Barlow Semi Condensed" w:eastAsia="Barlow Semi Condensed" w:hAnsi="Barlow Semi Condensed"/>
          <w:sz w:val="24"/>
          <w:szCs w:val="24"/>
        </w:rPr>
        <w:t xml:space="preserve">dell'amministrazione. È stato pubblicato come **documento 350 del volume</w:t>
      </w:r>
    </w:p>
    <w:p>
      <w:pPr>
        <w:spacing w:after="120" w:line="276"/>
        <w:jc w:val="both"/>
      </w:pPr>
      <w:r>
        <w:rPr>
          <w:rFonts w:ascii="Barlow Semi Condensed" w:cs="Barlow Semi Condensed" w:eastAsia="Barlow Semi Condensed" w:hAnsi="Barlow Semi Condensed"/>
          <w:i/>
          <w:iCs/>
          <w:sz w:val="24"/>
          <w:szCs w:val="24"/>
        </w:rPr>
        <w:t xml:space="preserve">Foreign Relations of the United States</w:t>
      </w:r>
      <w:r>
        <w:rPr>
          <w:rFonts w:ascii="Barlow Semi Condensed" w:cs="Barlow Semi Condensed" w:eastAsia="Barlow Semi Condensed" w:hAnsi="Barlow Semi Condensed"/>
          <w:sz w:val="24"/>
          <w:szCs w:val="24"/>
        </w:rPr>
        <w:t xml:space="preserve">, 1969-1976, E-15, parte 2**, ed è</w:t>
      </w:r>
    </w:p>
    <w:p>
      <w:pPr>
        <w:spacing w:after="120" w:line="276"/>
        <w:jc w:val="both"/>
      </w:pPr>
      <w:r>
        <w:rPr>
          <w:rFonts w:ascii="Barlow Semi Condensed" w:cs="Barlow Semi Condensed" w:eastAsia="Barlow Semi Condensed" w:hAnsi="Barlow Semi Condensed"/>
          <w:sz w:val="24"/>
          <w:szCs w:val="24"/>
        </w:rPr>
        <w:t xml:space="preserve">conservato come </w:t>
      </w:r>
      <w:r>
        <w:rPr>
          <w:rFonts w:ascii="Barlow Semi Condensed" w:cs="Barlow Semi Condensed" w:eastAsia="Barlow Semi Condensed" w:hAnsi="Barlow Semi Condensed"/>
          <w:b/>
          <w:bCs/>
          <w:sz w:val="24"/>
          <w:szCs w:val="24"/>
        </w:rPr>
        <w:t xml:space="preserve">file 1552802 della Gerald R. Ford Presidential Library</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Due precisazioni di citazione, che sembrano pedanteria e non lo sono.</w:t>
      </w:r>
    </w:p>
    <w:p>
      <w:pPr>
        <w:spacing w:after="120" w:line="276"/>
        <w:jc w:val="both"/>
      </w:pPr>
      <w:r>
        <w:rPr>
          <w:rFonts w:ascii="Barlow Semi Condensed" w:cs="Barlow Semi Condensed" w:eastAsia="Barlow Semi Condensed" w:hAnsi="Barlow Semi Condensed"/>
          <w:sz w:val="24"/>
          <w:szCs w:val="24"/>
        </w:rPr>
        <w:t xml:space="preserve">La prima: quel volume esiste in </w:t>
      </w:r>
      <w:r>
        <w:rPr>
          <w:rFonts w:ascii="Barlow Semi Condensed" w:cs="Barlow Semi Condensed" w:eastAsia="Barlow Semi Condensed" w:hAnsi="Barlow Semi Condensed"/>
          <w:b/>
          <w:bCs/>
          <w:sz w:val="24"/>
          <w:szCs w:val="24"/>
        </w:rPr>
        <w:t xml:space="preserve">seconda edizione riveduta</w:t>
      </w:r>
      <w:r>
        <w:rPr>
          <w:rFonts w:ascii="Barlow Semi Condensed" w:cs="Barlow Semi Condensed" w:eastAsia="Barlow Semi Condensed" w:hAnsi="Barlow Semi Condensed"/>
          <w:sz w:val="24"/>
          <w:szCs w:val="24"/>
        </w:rPr>
        <w:t xml:space="preserve">, e la numerazione</w:t>
      </w:r>
    </w:p>
    <w:p>
      <w:pPr>
        <w:spacing w:after="120" w:line="276"/>
        <w:jc w:val="both"/>
      </w:pPr>
      <w:r>
        <w:rPr>
          <w:rFonts w:ascii="Barlow Semi Condensed" w:cs="Barlow Semi Condensed" w:eastAsia="Barlow Semi Condensed" w:hAnsi="Barlow Semi Condensed"/>
          <w:sz w:val="24"/>
          <w:szCs w:val="24"/>
        </w:rPr>
        <w:t xml:space="preserve">dei documenti non è garantita identica fra le edizioni. Chi cita «documento 350»</w:t>
      </w:r>
    </w:p>
    <w:p>
      <w:pPr>
        <w:spacing w:after="120" w:line="276"/>
        <w:jc w:val="both"/>
      </w:pPr>
      <w:r>
        <w:rPr>
          <w:rFonts w:ascii="Barlow Semi Condensed" w:cs="Barlow Semi Condensed" w:eastAsia="Barlow Semi Condensed" w:hAnsi="Barlow Semi Condensed"/>
          <w:sz w:val="24"/>
          <w:szCs w:val="24"/>
        </w:rPr>
        <w:t xml:space="preserve">senza dire quale edizione sta citando consegna al lettore un riferimento che fra</w:t>
      </w:r>
    </w:p>
    <w:p>
      <w:pPr>
        <w:spacing w:after="120" w:line="276"/>
        <w:jc w:val="both"/>
      </w:pPr>
      <w:r>
        <w:rPr>
          <w:rFonts w:ascii="Barlow Semi Condensed" w:cs="Barlow Semi Condensed" w:eastAsia="Barlow Semi Condensed" w:hAnsi="Barlow Semi Condensed"/>
          <w:sz w:val="24"/>
          <w:szCs w:val="24"/>
        </w:rPr>
        <w:t xml:space="preserve">dieci anni potrebbe non risolvere. Ho perso un pomeriggio su questo, e lo scrivo</w:t>
      </w:r>
    </w:p>
    <w:p>
      <w:pPr>
        <w:spacing w:after="120" w:line="276"/>
        <w:jc w:val="both"/>
      </w:pPr>
      <w:r>
        <w:rPr>
          <w:rFonts w:ascii="Barlow Semi Condensed" w:cs="Barlow Semi Condensed" w:eastAsia="Barlow Semi Condensed" w:hAnsi="Barlow Semi Condensed"/>
          <w:sz w:val="24"/>
          <w:szCs w:val="24"/>
        </w:rPr>
        <w:t xml:space="preserve">perché nessun altro debba perderlo.</w:t>
      </w:r>
    </w:p>
    <w:p>
      <w:pPr>
        <w:spacing w:after="120" w:line="276"/>
        <w:jc w:val="both"/>
      </w:pPr>
      <w:r>
        <w:rPr>
          <w:rFonts w:ascii="Barlow Semi Condensed" w:cs="Barlow Semi Condensed" w:eastAsia="Barlow Semi Condensed" w:hAnsi="Barlow Semi Condensed"/>
          <w:sz w:val="24"/>
          <w:szCs w:val="24"/>
        </w:rPr>
        <w:t xml:space="preserve">La seconda: esiste un </w:t>
      </w:r>
      <w:r>
        <w:rPr>
          <w:rFonts w:ascii="Barlow Semi Condensed" w:cs="Barlow Semi Condensed" w:eastAsia="Barlow Semi Condensed" w:hAnsi="Barlow Semi Condensed"/>
          <w:b/>
          <w:bCs/>
          <w:sz w:val="24"/>
          <w:szCs w:val="24"/>
        </w:rPr>
        <w:t xml:space="preserve">secondo verbale, del 26 settembre 1974</w:t>
      </w:r>
      <w:r>
        <w:rPr>
          <w:rFonts w:ascii="Barlow Semi Condensed" w:cs="Barlow Semi Condensed" w:eastAsia="Barlow Semi Condensed" w:hAnsi="Barlow Semi Condensed"/>
          <w:sz w:val="24"/>
          <w:szCs w:val="24"/>
        </w:rPr>
        <w:t xml:space="preserve"> (file 1552806</w:t>
      </w:r>
    </w:p>
    <w:p>
      <w:pPr>
        <w:spacing w:after="120" w:line="276"/>
        <w:jc w:val="both"/>
      </w:pPr>
      <w:r>
        <w:rPr>
          <w:rFonts w:ascii="Barlow Semi Condensed" w:cs="Barlow Semi Condensed" w:eastAsia="Barlow Semi Condensed" w:hAnsi="Barlow Semi Condensed"/>
          <w:sz w:val="24"/>
          <w:szCs w:val="24"/>
        </w:rPr>
        <w:t xml:space="preserve">della stessa biblioteca presidenziale), relativo a un incontro del giorno</w:t>
      </w:r>
    </w:p>
    <w:p>
      <w:pPr>
        <w:spacing w:after="120" w:line="276"/>
        <w:jc w:val="both"/>
      </w:pPr>
      <w:r>
        <w:rPr>
          <w:rFonts w:ascii="Barlow Semi Condensed" w:cs="Barlow Semi Condensed" w:eastAsia="Barlow Semi Condensed" w:hAnsi="Barlow Semi Condensed"/>
          <w:sz w:val="24"/>
          <w:szCs w:val="24"/>
        </w:rPr>
        <w:t xml:space="preserve">successivo. Sui suoi contenuti gli estratti che ho potuto reperire sono parziali</w:t>
      </w:r>
    </w:p>
    <w:p>
      <w:pPr>
        <w:spacing w:after="120" w:line="276"/>
        <w:jc w:val="both"/>
      </w:pPr>
      <w:r>
        <w:rPr>
          <w:rFonts w:ascii="Barlow Semi Condensed" w:cs="Barlow Semi Condensed" w:eastAsia="Barlow Semi Condensed" w:hAnsi="Barlow Semi Condensed"/>
          <w:sz w:val="24"/>
          <w:szCs w:val="24"/>
        </w:rPr>
        <w:t xml:space="preserve">e non del tutto concordi fra loro. Lo segnalo perché è il primo posto dove</w:t>
      </w:r>
    </w:p>
    <w:p>
      <w:pPr>
        <w:spacing w:after="120" w:line="276"/>
        <w:jc w:val="both"/>
      </w:pPr>
      <w:r>
        <w:rPr>
          <w:rFonts w:ascii="Barlow Semi Condensed" w:cs="Barlow Semi Condensed" w:eastAsia="Barlow Semi Condensed" w:hAnsi="Barlow Semi Condensed"/>
          <w:sz w:val="24"/>
          <w:szCs w:val="24"/>
        </w:rPr>
        <w:t xml:space="preserve">guarderebbe chiunque volesse obiettare a questo capitolo, e ha ragione di</w:t>
      </w:r>
    </w:p>
    <w:p>
      <w:pPr>
        <w:spacing w:after="120" w:line="276"/>
        <w:jc w:val="both"/>
      </w:pPr>
      <w:r>
        <w:rPr>
          <w:rFonts w:ascii="Barlow Semi Condensed" w:cs="Barlow Semi Condensed" w:eastAsia="Barlow Semi Condensed" w:hAnsi="Barlow Semi Condensed"/>
          <w:sz w:val="24"/>
          <w:szCs w:val="24"/>
        </w:rPr>
        <w:t xml:space="preserve">guardarci.</w:t>
      </w:r>
    </w:p>
    <w:p>
      <w:pPr>
        <w:spacing w:after="120" w:line="276"/>
        <w:jc w:val="both"/>
      </w:pPr>
      <w:r>
        <w:rPr>
          <w:rFonts w:ascii="Barlow Semi Condensed" w:cs="Barlow Semi Condensed" w:eastAsia="Barlow Semi Condensed" w:hAnsi="Barlow Semi Condensed"/>
          <w:sz w:val="24"/>
          <w:szCs w:val="24"/>
        </w:rPr>
        <w:t xml:space="preserve">C'è poi una divergenza minore sulle date della visita di Stato, che riporto</w:t>
      </w:r>
    </w:p>
    <w:p>
      <w:pPr>
        <w:spacing w:after="120" w:line="276"/>
        <w:jc w:val="both"/>
      </w:pPr>
      <w:r>
        <w:rPr>
          <w:rFonts w:ascii="Barlow Semi Condensed" w:cs="Barlow Semi Condensed" w:eastAsia="Barlow Semi Condensed" w:hAnsi="Barlow Semi Condensed"/>
          <w:sz w:val="24"/>
          <w:szCs w:val="24"/>
        </w:rPr>
        <w:t xml:space="preserve">perché il criterio di questo libro è riportarle tutte anche quando non pesano: il</w:t>
      </w:r>
    </w:p>
    <w:p>
      <w:pPr>
        <w:spacing w:after="120" w:line="276"/>
        <w:jc w:val="both"/>
      </w:pPr>
      <w:r>
        <w:rPr>
          <w:rFonts w:ascii="Barlow Semi Condensed" w:cs="Barlow Semi Condensed" w:eastAsia="Barlow Semi Condensed" w:hAnsi="Barlow Semi Condensed"/>
          <w:sz w:val="24"/>
          <w:szCs w:val="24"/>
        </w:rPr>
        <w:t xml:space="preserve">comunicato congiunto pubblicato negli atti presidenziali parla di visita **dal 25</w:t>
      </w:r>
    </w:p>
    <w:p>
      <w:pPr>
        <w:spacing w:after="120" w:line="276"/>
        <w:jc w:val="both"/>
      </w:pPr>
      <w:r>
        <w:rPr>
          <w:rFonts w:ascii="Barlow Semi Condensed" w:cs="Barlow Semi Condensed" w:eastAsia="Barlow Semi Condensed" w:hAnsi="Barlow Semi Condensed"/>
          <w:sz w:val="24"/>
          <w:szCs w:val="24"/>
        </w:rPr>
        <w:t xml:space="preserve">al 29 settembre 1974</w:t>
      </w:r>
      <w:r>
        <w:rPr>
          <w:rFonts w:ascii="Barlow Semi Condensed" w:cs="Barlow Semi Condensed" w:eastAsia="Barlow Semi Condensed" w:hAnsi="Barlow Semi Condensed"/>
          <w:b/>
          <w:bCs/>
          <w:sz w:val="24"/>
          <w:szCs w:val="24"/>
        </w:rPr>
        <w:t xml:space="preserve">; la nota editoriale del volume FRUS indica </w:t>
      </w:r>
      <w:r>
        <w:rPr>
          <w:rFonts w:ascii="Barlow Semi Condensed" w:cs="Barlow Semi Condensed" w:eastAsia="Barlow Semi Condensed" w:hAnsi="Barlow Semi Condensed"/>
          <w:sz w:val="24"/>
          <w:szCs w:val="24"/>
        </w:rPr>
        <w:t xml:space="preserve">dal 25 al</w:t>
      </w:r>
    </w:p>
    <w:p>
      <w:pPr>
        <w:spacing w:after="120" w:line="276"/>
        <w:jc w:val="both"/>
      </w:pPr>
      <w:r>
        <w:rPr>
          <w:rFonts w:ascii="Barlow Semi Condensed" w:cs="Barlow Semi Condensed" w:eastAsia="Barlow Semi Condensed" w:hAnsi="Barlow Semi Condensed"/>
          <w:sz w:val="24"/>
          <w:szCs w:val="24"/>
        </w:rPr>
        <w:t xml:space="preserve">27**. Non ho elementi per sciogliere la divergenza. Non serve scioglierla per</w:t>
      </w:r>
    </w:p>
    <w:p>
      <w:pPr>
        <w:spacing w:after="120" w:line="276"/>
        <w:jc w:val="both"/>
      </w:pPr>
      <w:r>
        <w:rPr>
          <w:rFonts w:ascii="Barlow Semi Condensed" w:cs="Barlow Semi Condensed" w:eastAsia="Barlow Semi Condensed" w:hAnsi="Barlow Semi Condensed"/>
          <w:sz w:val="24"/>
          <w:szCs w:val="24"/>
        </w:rPr>
        <w:t xml:space="preserve">nulla di ciò che segue. Resta lì.</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2. Che cosa il documento contiene</w:t>
      </w:r>
    </w:p>
    <w:p>
      <w:pPr>
        <w:spacing w:after="120" w:line="276"/>
        <w:jc w:val="both"/>
      </w:pPr>
      <w:r>
        <w:rPr>
          <w:rFonts w:ascii="Barlow Semi Condensed" w:cs="Barlow Semi Condensed" w:eastAsia="Barlow Semi Condensed" w:hAnsi="Barlow Semi Condensed"/>
          <w:sz w:val="24"/>
          <w:szCs w:val="24"/>
        </w:rPr>
        <w:t xml:space="preserve">Contiene politica dichiarata, ed è politica dura.</w:t>
      </w:r>
    </w:p>
    <w:p>
      <w:pPr>
        <w:spacing w:after="120" w:line="276"/>
        <w:jc w:val="both"/>
      </w:pPr>
      <w:r>
        <w:rPr>
          <w:rFonts w:ascii="Barlow Semi Condensed" w:cs="Barlow Semi Condensed" w:eastAsia="Barlow Semi Condensed" w:hAnsi="Barlow Semi Condensed"/>
          <w:sz w:val="24"/>
          <w:szCs w:val="24"/>
        </w:rPr>
        <w:t xml:space="preserve">Vi è messa a verbale la posizione secondo cui gli Stati Uniti **non potrebbero</w:t>
      </w:r>
    </w:p>
    <w:p>
      <w:pPr>
        <w:spacing w:after="120" w:line="276"/>
        <w:jc w:val="both"/>
      </w:pPr>
      <w:r>
        <w:rPr>
          <w:rFonts w:ascii="Barlow Semi Condensed" w:cs="Barlow Semi Condensed" w:eastAsia="Barlow Semi Condensed" w:hAnsi="Barlow Semi Condensed"/>
          <w:sz w:val="24"/>
          <w:szCs w:val="24"/>
        </w:rPr>
        <w:t xml:space="preserve">scambiare informazioni militari** con un governo che includesse i comunisti, col</w:t>
      </w:r>
    </w:p>
    <w:p>
      <w:pPr>
        <w:spacing w:after="120" w:line="276"/>
        <w:jc w:val="both"/>
      </w:pPr>
      <w:r>
        <w:rPr>
          <w:rFonts w:ascii="Barlow Semi Condensed" w:cs="Barlow Semi Condensed" w:eastAsia="Barlow Semi Condensed" w:hAnsi="Barlow Semi Condensed"/>
          <w:sz w:val="24"/>
          <w:szCs w:val="24"/>
        </w:rPr>
        <w:t xml:space="preserve">precedente portoghese richiamato esplicitamente — il Portogallo del 1974, dopo</w:t>
      </w:r>
    </w:p>
    <w:p>
      <w:pPr>
        <w:spacing w:after="120" w:line="276"/>
        <w:jc w:val="both"/>
      </w:pPr>
      <w:r>
        <w:rPr>
          <w:rFonts w:ascii="Barlow Semi Condensed" w:cs="Barlow Semi Condensed" w:eastAsia="Barlow Semi Condensed" w:hAnsi="Barlow Semi Condensed"/>
          <w:sz w:val="24"/>
          <w:szCs w:val="24"/>
        </w:rPr>
        <w:t xml:space="preserve">il 25 aprile, era in quel momento la ferita aperta dell'Alleanza. E vi è messo a</w:t>
      </w:r>
    </w:p>
    <w:p>
      <w:pPr>
        <w:spacing w:after="120" w:line="276"/>
        <w:jc w:val="both"/>
      </w:pPr>
      <w:r>
        <w:rPr>
          <w:rFonts w:ascii="Barlow Semi Condensed" w:cs="Barlow Semi Condensed" w:eastAsia="Barlow Semi Condensed" w:hAnsi="Barlow Semi Condensed"/>
          <w:sz w:val="24"/>
          <w:szCs w:val="24"/>
        </w:rPr>
        <w:t xml:space="preserve">verbale il rilievo che un partito comunista «responsabile» sarebbe alla lunga</w:t>
      </w:r>
    </w:p>
    <w:p>
      <w:pPr>
        <w:spacing w:after="120" w:line="276"/>
        <w:jc w:val="both"/>
      </w:pPr>
      <w:r>
        <w:rPr>
          <w:rFonts w:ascii="Barlow Semi Condensed" w:cs="Barlow Semi Condensed" w:eastAsia="Barlow Semi Condensed" w:hAnsi="Barlow Semi Condensed"/>
          <w:b/>
          <w:bCs/>
          <w:sz w:val="24"/>
          <w:szCs w:val="24"/>
        </w:rPr>
        <w:t xml:space="preserve">più pericoloso</w:t>
      </w:r>
      <w:r>
        <w:rPr>
          <w:rFonts w:ascii="Barlow Semi Condensed" w:cs="Barlow Semi Condensed" w:eastAsia="Barlow Semi Condensed" w:hAnsi="Barlow Semi Condensed"/>
          <w:sz w:val="24"/>
          <w:szCs w:val="24"/>
        </w:rPr>
        <w:t xml:space="preserve"> di uno irresponsabile: perché un partito che spaventa non</w:t>
      </w:r>
    </w:p>
    <w:p>
      <w:pPr>
        <w:spacing w:after="120" w:line="276"/>
        <w:jc w:val="both"/>
      </w:pPr>
      <w:r>
        <w:rPr>
          <w:rFonts w:ascii="Barlow Semi Condensed" w:cs="Barlow Semi Condensed" w:eastAsia="Barlow Semi Condensed" w:hAnsi="Barlow Semi Condensed"/>
          <w:sz w:val="24"/>
          <w:szCs w:val="24"/>
        </w:rPr>
        <w:t xml:space="preserve">vince, e uno che rassicura sì.</w:t>
      </w:r>
    </w:p>
    <w:p>
      <w:pPr>
        <w:spacing w:after="120" w:line="276"/>
        <w:jc w:val="both"/>
      </w:pPr>
      <w:r>
        <w:rPr>
          <w:rFonts w:ascii="Barlow Semi Condensed" w:cs="Barlow Semi Condensed" w:eastAsia="Barlow Semi Condensed" w:hAnsi="Barlow Semi Condensed"/>
          <w:sz w:val="24"/>
          <w:szCs w:val="24"/>
        </w:rPr>
        <w:t xml:space="preserve">Non è poco. È l'ostilità americana all'ipotesi di un governo con i comunisti,</w:t>
      </w:r>
    </w:p>
    <w:p>
      <w:pPr>
        <w:spacing w:after="120" w:line="276"/>
        <w:jc w:val="both"/>
      </w:pPr>
      <w:r>
        <w:rPr>
          <w:rFonts w:ascii="Barlow Semi Condensed" w:cs="Barlow Semi Condensed" w:eastAsia="Barlow Semi Condensed" w:hAnsi="Barlow Semi Condensed"/>
          <w:sz w:val="24"/>
          <w:szCs w:val="24"/>
        </w:rPr>
        <w:t xml:space="preserve">messa nero su bianco da chi la esprimeva, in presenza del ministro degli Esteri</w:t>
      </w:r>
    </w:p>
    <w:p>
      <w:pPr>
        <w:spacing w:after="120" w:line="276"/>
        <w:jc w:val="both"/>
      </w:pPr>
      <w:r>
        <w:rPr>
          <w:rFonts w:ascii="Barlow Semi Condensed" w:cs="Barlow Semi Condensed" w:eastAsia="Barlow Semi Condensed" w:hAnsi="Barlow Semi Condensed"/>
          <w:sz w:val="24"/>
          <w:szCs w:val="24"/>
        </w:rPr>
        <w:t xml:space="preserve">italiano, in un documento d'archivio. Chi volesse sostenere che gli Stati Uniti</w:t>
      </w:r>
    </w:p>
    <w:p>
      <w:pPr>
        <w:spacing w:after="120" w:line="276"/>
        <w:jc w:val="both"/>
      </w:pPr>
      <w:r>
        <w:rPr>
          <w:rFonts w:ascii="Barlow Semi Condensed" w:cs="Barlow Semi Condensed" w:eastAsia="Barlow Semi Condensed" w:hAnsi="Barlow Semi Condensed"/>
          <w:sz w:val="24"/>
          <w:szCs w:val="24"/>
        </w:rPr>
        <w:t xml:space="preserve">guardassero con favore alla linea di Moro troverebbe qui la sua smentita, e non</w:t>
      </w:r>
    </w:p>
    <w:p>
      <w:pPr>
        <w:spacing w:after="120" w:line="276"/>
        <w:jc w:val="both"/>
      </w:pPr>
      <w:r>
        <w:rPr>
          <w:rFonts w:ascii="Barlow Semi Condensed" w:cs="Barlow Semi Condensed" w:eastAsia="Barlow Semi Condensed" w:hAnsi="Barlow Semi Condensed"/>
          <w:sz w:val="24"/>
          <w:szCs w:val="24"/>
        </w:rPr>
        <w:t xml:space="preserve">avrebbe bisogno di altro.</w:t>
      </w:r>
    </w:p>
    <w:p>
      <w:pPr>
        <w:spacing w:after="120" w:line="276"/>
        <w:jc w:val="both"/>
      </w:pPr>
      <w:r>
        <w:rPr>
          <w:rFonts w:ascii="Barlow Semi Condensed" w:cs="Barlow Semi Condensed" w:eastAsia="Barlow Semi Condensed" w:hAnsi="Barlow Semi Condensed"/>
          <w:sz w:val="24"/>
          <w:szCs w:val="24"/>
        </w:rPr>
        <w:t xml:space="preserve">Il punto è che nessuno sostiene questo. La tesi in circolazione è un'altra e</w:t>
      </w:r>
    </w:p>
    <w:p>
      <w:pPr>
        <w:spacing w:after="120" w:line="276"/>
        <w:jc w:val="both"/>
      </w:pPr>
      <w:r>
        <w:rPr>
          <w:rFonts w:ascii="Barlow Semi Condensed" w:cs="Barlow Semi Condensed" w:eastAsia="Barlow Semi Condensed" w:hAnsi="Barlow Semi Condensed"/>
          <w:sz w:val="24"/>
          <w:szCs w:val="24"/>
        </w:rPr>
        <w:t xml:space="preserve">molto più specifica: che in quella stanza, quel giorno, a quell'uomo, sia stata</w:t>
      </w:r>
    </w:p>
    <w:p>
      <w:pPr>
        <w:spacing w:after="120" w:line="276"/>
        <w:jc w:val="both"/>
      </w:pPr>
      <w:r>
        <w:rPr>
          <w:rFonts w:ascii="Barlow Semi Condensed" w:cs="Barlow Semi Condensed" w:eastAsia="Barlow Semi Condensed" w:hAnsi="Barlow Semi Condensed"/>
          <w:sz w:val="24"/>
          <w:szCs w:val="24"/>
        </w:rPr>
        <w:t xml:space="preserve">rivolta </w:t>
      </w:r>
      <w:r>
        <w:rPr>
          <w:rFonts w:ascii="Barlow Semi Condensed" w:cs="Barlow Semi Condensed" w:eastAsia="Barlow Semi Condensed" w:hAnsi="Barlow Semi Condensed"/>
          <w:b/>
          <w:bCs/>
          <w:sz w:val="24"/>
          <w:szCs w:val="24"/>
        </w:rPr>
        <w:t xml:space="preserve">una minaccia personale</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3. Che cosa il documento non contiene, e a quale grado posso dirlo</w:t>
      </w:r>
    </w:p>
    <w:p>
      <w:pPr>
        <w:spacing w:after="120" w:line="276"/>
        <w:jc w:val="both"/>
      </w:pPr>
      <w:r>
        <w:rPr>
          <w:rFonts w:ascii="Barlow Semi Condensed" w:cs="Barlow Semi Condensed" w:eastAsia="Barlow Semi Condensed" w:hAnsi="Barlow Semi Condensed"/>
          <w:sz w:val="24"/>
          <w:szCs w:val="24"/>
        </w:rPr>
        <w:t xml:space="preserve">Nel verbale non c'è alcun ultimatum personale ad Aldo Moro.</w:t>
      </w:r>
    </w:p>
    <w:p>
      <w:pPr>
        <w:spacing w:after="120" w:line="276"/>
        <w:jc w:val="both"/>
      </w:pPr>
      <w:r>
        <w:rPr>
          <w:rFonts w:ascii="Barlow Semi Condensed" w:cs="Barlow Semi Condensed" w:eastAsia="Barlow Semi Condensed" w:hAnsi="Barlow Semi Condensed"/>
          <w:sz w:val="24"/>
          <w:szCs w:val="24"/>
        </w:rPr>
        <w:t xml:space="preserve">Ora devo fare la cosa che questo libro chiede di fare sempre, e che è</w:t>
      </w:r>
    </w:p>
    <w:p>
      <w:pPr>
        <w:spacing w:after="120" w:line="276"/>
        <w:jc w:val="both"/>
      </w:pPr>
      <w:r>
        <w:rPr>
          <w:rFonts w:ascii="Barlow Semi Condensed" w:cs="Barlow Semi Condensed" w:eastAsia="Barlow Semi Condensed" w:hAnsi="Barlow Semi Condensed"/>
          <w:sz w:val="24"/>
          <w:szCs w:val="24"/>
        </w:rPr>
        <w:t xml:space="preserve">sgradevole: </w:t>
      </w:r>
      <w:r>
        <w:rPr>
          <w:rFonts w:ascii="Barlow Semi Condensed" w:cs="Barlow Semi Condensed" w:eastAsia="Barlow Semi Condensed" w:hAnsi="Barlow Semi Condensed"/>
          <w:b/>
          <w:bCs/>
          <w:sz w:val="24"/>
          <w:szCs w:val="24"/>
        </w:rPr>
        <w:t xml:space="preserve">dichiarare il grado esatto della mia negazione</w:t>
      </w:r>
      <w:r>
        <w:rPr>
          <w:rFonts w:ascii="Barlow Semi Condensed" w:cs="Barlow Semi Condensed" w:eastAsia="Barlow Semi Condensed" w:hAnsi="Barlow Semi Condensed"/>
          <w:sz w:val="24"/>
          <w:szCs w:val="24"/>
        </w:rPr>
        <w:t xml:space="preserve">, invece di</w:t>
      </w:r>
    </w:p>
    <w:p>
      <w:pPr>
        <w:spacing w:after="120" w:line="276"/>
        <w:jc w:val="both"/>
      </w:pPr>
      <w:r>
        <w:rPr>
          <w:rFonts w:ascii="Barlow Semi Condensed" w:cs="Barlow Semi Condensed" w:eastAsia="Barlow Semi Condensed" w:hAnsi="Barlow Semi Condensed"/>
          <w:sz w:val="24"/>
          <w:szCs w:val="24"/>
        </w:rPr>
        <w:t xml:space="preserve">lasciarla suonare più forte di quanto sia.</w:t>
      </w:r>
    </w:p>
    <w:p>
      <w:pPr>
        <w:spacing w:after="120" w:line="276"/>
        <w:jc w:val="both"/>
      </w:pPr>
      <w:r>
        <w:rPr>
          <w:rFonts w:ascii="Barlow Semi Condensed" w:cs="Barlow Semi Condensed" w:eastAsia="Barlow Semi Condensed" w:hAnsi="Barlow Semi Condensed"/>
          <w:sz w:val="24"/>
          <w:szCs w:val="24"/>
        </w:rPr>
        <w:t xml:space="preserve">Ecco il grado.</w:t>
      </w:r>
    </w:p>
    <w:p>
      <w:pPr>
        <w:spacing w:after="120" w:line="276"/>
        <w:jc w:val="both"/>
      </w:pPr>
      <w:r>
        <w:rPr>
          <w:rFonts w:ascii="Barlow Semi Condensed" w:cs="Barlow Semi Condensed" w:eastAsia="Barlow Semi Condensed" w:hAnsi="Barlow Semi Condensed"/>
          <w:sz w:val="24"/>
          <w:szCs w:val="24"/>
        </w:rPr>
        <w:t xml:space="preserve">Il documento è pubblico e digitalizzato. Le sintesi editoriali del volume, le</w:t>
      </w:r>
    </w:p>
    <w:p>
      <w:pPr>
        <w:spacing w:after="120" w:line="276"/>
        <w:jc w:val="both"/>
      </w:pPr>
      <w:r>
        <w:rPr>
          <w:rFonts w:ascii="Barlow Semi Condensed" w:cs="Barlow Semi Condensed" w:eastAsia="Barlow Semi Condensed" w:hAnsi="Barlow Semi Condensed"/>
          <w:sz w:val="24"/>
          <w:szCs w:val="24"/>
        </w:rPr>
        <w:t xml:space="preserve">descrizioni d'archivio della biblioteca presidenziale e ogni resa del contenuto</w:t>
      </w:r>
    </w:p>
    <w:p>
      <w:pPr>
        <w:spacing w:after="120" w:line="276"/>
        <w:jc w:val="both"/>
      </w:pPr>
      <w:r>
        <w:rPr>
          <w:rFonts w:ascii="Barlow Semi Condensed" w:cs="Barlow Semi Condensed" w:eastAsia="Barlow Semi Condensed" w:hAnsi="Barlow Semi Condensed"/>
          <w:sz w:val="24"/>
          <w:szCs w:val="24"/>
        </w:rPr>
        <w:t xml:space="preserve">che ho potuto raccogliere **riportano le due posizioni politiche appena citate e</w:t>
      </w:r>
    </w:p>
    <w:p>
      <w:pPr>
        <w:spacing w:after="120" w:line="276"/>
        <w:jc w:val="both"/>
      </w:pPr>
      <w:r>
        <w:rPr>
          <w:rFonts w:ascii="Barlow Semi Condensed" w:cs="Barlow Semi Condensed" w:eastAsia="Barlow Semi Condensed" w:hAnsi="Barlow Semi Condensed"/>
          <w:sz w:val="24"/>
          <w:szCs w:val="24"/>
        </w:rPr>
        <w:t xml:space="preserve">non riportano la frase**. Nessuna delle fonti che affermano la minaccia la cita</w:t>
      </w:r>
    </w:p>
    <w:p>
      <w:pPr>
        <w:spacing w:after="120" w:line="276"/>
        <w:jc w:val="both"/>
      </w:pPr>
      <w:r>
        <w:rPr>
          <w:rFonts w:ascii="Barlow Semi Condensed" w:cs="Barlow Semi Condensed" w:eastAsia="Barlow Semi Condensed" w:hAnsi="Barlow Semi Condensed"/>
          <w:i/>
          <w:iCs/>
          <w:sz w:val="24"/>
          <w:szCs w:val="24"/>
        </w:rPr>
        <w:t xml:space="preserve">dal</w:t>
      </w:r>
      <w:r>
        <w:rPr>
          <w:rFonts w:ascii="Barlow Semi Condensed" w:cs="Barlow Semi Condensed" w:eastAsia="Barlow Semi Condensed" w:hAnsi="Barlow Semi Condensed"/>
          <w:sz w:val="24"/>
          <w:szCs w:val="24"/>
        </w:rPr>
        <w:t xml:space="preserve"> documento: la citano da una testimonianza, e poi indicano il documento come</w:t>
      </w:r>
    </w:p>
    <w:p>
      <w:pPr>
        <w:spacing w:after="120" w:line="276"/>
        <w:jc w:val="both"/>
      </w:pPr>
      <w:r>
        <w:rPr>
          <w:rFonts w:ascii="Barlow Semi Condensed" w:cs="Barlow Semi Condensed" w:eastAsia="Barlow Semi Condensed" w:hAnsi="Barlow Semi Condensed"/>
          <w:sz w:val="24"/>
          <w:szCs w:val="24"/>
        </w:rPr>
        <w:t xml:space="preserve">contesto. La distanza fra queste due operazioni è tutto ciò di cui tratta questo</w:t>
      </w:r>
    </w:p>
    <w:p>
      <w:pPr>
        <w:spacing w:after="120" w:line="276"/>
        <w:jc w:val="both"/>
      </w:pPr>
      <w:r>
        <w:rPr>
          <w:rFonts w:ascii="Barlow Semi Condensed" w:cs="Barlow Semi Condensed" w:eastAsia="Barlow Semi Condensed" w:hAnsi="Barlow Semi Condensed"/>
          <w:sz w:val="24"/>
          <w:szCs w:val="24"/>
        </w:rPr>
        <w:t xml:space="preserve">libro.</w:t>
      </w:r>
    </w:p>
    <w:p>
      <w:pPr>
        <w:spacing w:after="120" w:line="276"/>
        <w:jc w:val="both"/>
      </w:pPr>
      <w:r>
        <w:rPr>
          <w:rFonts w:ascii="Barlow Semi Condensed" w:cs="Barlow Semi Condensed" w:eastAsia="Barlow Semi Condensed" w:hAnsi="Barlow Semi Condensed"/>
          <w:sz w:val="24"/>
          <w:szCs w:val="24"/>
        </w:rPr>
        <w:t xml:space="preserve">Ma c'è un limite che devo scrivere, e lo scrivo qui invece di nasconderlo in</w:t>
      </w:r>
    </w:p>
    <w:p>
      <w:pPr>
        <w:spacing w:after="120" w:line="276"/>
        <w:jc w:val="both"/>
      </w:pPr>
      <w:r>
        <w:rPr>
          <w:rFonts w:ascii="Barlow Semi Condensed" w:cs="Barlow Semi Condensed" w:eastAsia="Barlow Semi Condensed" w:hAnsi="Barlow Semi Condensed"/>
          <w:sz w:val="24"/>
          <w:szCs w:val="24"/>
        </w:rPr>
        <w:t xml:space="preserve">nota. La campagna di ricerca da cui questo capitolo nasce **ha lavorato con un</w:t>
      </w:r>
    </w:p>
    <w:p>
      <w:pPr>
        <w:spacing w:after="120" w:line="276"/>
        <w:jc w:val="both"/>
      </w:pPr>
      <w:r>
        <w:rPr>
          <w:rFonts w:ascii="Barlow Semi Condensed" w:cs="Barlow Semi Condensed" w:eastAsia="Barlow Semi Condensed" w:hAnsi="Barlow Semi Condensed"/>
          <w:sz w:val="24"/>
          <w:szCs w:val="24"/>
        </w:rPr>
        <w:t xml:space="preserve">accesso di rete filtrato**, e per una parte dei materiali primari ha dovuto</w:t>
      </w:r>
    </w:p>
    <w:p>
      <w:pPr>
        <w:spacing w:after="120" w:line="276"/>
        <w:jc w:val="both"/>
      </w:pPr>
      <w:r>
        <w:rPr>
          <w:rFonts w:ascii="Barlow Semi Condensed" w:cs="Barlow Semi Condensed" w:eastAsia="Barlow Semi Condensed" w:hAnsi="Barlow Semi Condensed"/>
          <w:sz w:val="24"/>
          <w:szCs w:val="24"/>
        </w:rPr>
        <w:t xml:space="preserve">appoggiarsi a sintesi e a fonti secondarie invece che alla pagina originale.</w:t>
      </w:r>
    </w:p>
    <w:p>
      <w:pPr>
        <w:spacing w:after="120" w:line="276"/>
        <w:jc w:val="both"/>
      </w:pPr>
      <w:r>
        <w:rPr>
          <w:rFonts w:ascii="Barlow Semi Condensed" w:cs="Barlow Semi Condensed" w:eastAsia="Barlow Semi Condensed" w:hAnsi="Barlow Semi Condensed"/>
          <w:sz w:val="24"/>
          <w:szCs w:val="24"/>
        </w:rPr>
        <w:t xml:space="preserve">Questo vale in modo particolarmente pesante per due giacimenti che avrebbero</w:t>
      </w:r>
    </w:p>
    <w:p>
      <w:pPr>
        <w:spacing w:after="120" w:line="276"/>
        <w:jc w:val="both"/>
      </w:pPr>
      <w:r>
        <w:rPr>
          <w:rFonts w:ascii="Barlow Semi Condensed" w:cs="Barlow Semi Condensed" w:eastAsia="Barlow Semi Condensed" w:hAnsi="Barlow Semi Condensed"/>
          <w:sz w:val="24"/>
          <w:szCs w:val="24"/>
        </w:rPr>
        <w:t xml:space="preserve">contato moltissimo — i </w:t>
      </w:r>
      <w:r>
        <w:rPr>
          <w:rFonts w:ascii="Barlow Semi Condensed" w:cs="Barlow Semi Condensed" w:eastAsia="Barlow Semi Condensed" w:hAnsi="Barlow Semi Condensed"/>
          <w:b/>
          <w:bCs/>
          <w:sz w:val="24"/>
          <w:szCs w:val="24"/>
        </w:rPr>
        <w:t xml:space="preserve">resoconti stenografici</w:t>
      </w:r>
      <w:r>
        <w:rPr>
          <w:rFonts w:ascii="Barlow Semi Condensed" w:cs="Barlow Semi Condensed" w:eastAsia="Barlow Semi Condensed" w:hAnsi="Barlow Semi Condensed"/>
          <w:sz w:val="24"/>
          <w:szCs w:val="24"/>
        </w:rPr>
        <w:t xml:space="preserve"> della Commissione parlamentare</w:t>
      </w:r>
    </w:p>
    <w:p>
      <w:pPr>
        <w:spacing w:after="120" w:line="276"/>
        <w:jc w:val="both"/>
      </w:pPr>
      <w:r>
        <w:rPr>
          <w:rFonts w:ascii="Barlow Semi Condensed" w:cs="Barlow Semi Condensed" w:eastAsia="Barlow Semi Condensed" w:hAnsi="Barlow Semi Condensed"/>
          <w:sz w:val="24"/>
          <w:szCs w:val="24"/>
        </w:rPr>
        <w:t xml:space="preserve">d'inchiesta e i </w:t>
      </w:r>
      <w:r>
        <w:rPr>
          <w:rFonts w:ascii="Barlow Semi Condensed" w:cs="Barlow Semi Condensed" w:eastAsia="Barlow Semi Condensed" w:hAnsi="Barlow Semi Condensed"/>
          <w:b/>
          <w:bCs/>
          <w:sz w:val="24"/>
          <w:szCs w:val="24"/>
        </w:rPr>
        <w:t xml:space="preserve">verbali d'udienza</w:t>
      </w:r>
      <w:r>
        <w:rPr>
          <w:rFonts w:ascii="Barlow Semi Condensed" w:cs="Barlow Semi Condensed" w:eastAsia="Barlow Semi Condensed" w:hAnsi="Barlow Semi Condensed"/>
          <w:sz w:val="24"/>
          <w:szCs w:val="24"/>
        </w:rPr>
        <w:t xml:space="preserve"> del processo — e che non ho letto.</w:t>
      </w:r>
    </w:p>
    <w:p>
      <w:pPr>
        <w:spacing w:after="120" w:line="276"/>
        <w:jc w:val="both"/>
      </w:pPr>
      <w:r>
        <w:rPr>
          <w:rFonts w:ascii="Barlow Semi Condensed" w:cs="Barlow Semi Condensed" w:eastAsia="Barlow Semi Condensed" w:hAnsi="Barlow Semi Condensed"/>
          <w:sz w:val="24"/>
          <w:szCs w:val="24"/>
        </w:rPr>
        <w:t xml:space="preserve">Quindi la formulazione onesta di ciò che ho stabilito non è «il documento non</w:t>
      </w:r>
    </w:p>
    <w:p>
      <w:pPr>
        <w:spacing w:after="120" w:line="276"/>
        <w:jc w:val="both"/>
      </w:pPr>
      <w:r>
        <w:rPr>
          <w:rFonts w:ascii="Barlow Semi Condensed" w:cs="Barlow Semi Condensed" w:eastAsia="Barlow Semi Condensed" w:hAnsi="Barlow Semi Condensed"/>
          <w:sz w:val="24"/>
          <w:szCs w:val="24"/>
        </w:rPr>
        <w:t xml:space="preserve">contiene la frase» detto con la voce di chi ha collazionato l'originale riga per</w:t>
      </w:r>
    </w:p>
    <w:p>
      <w:pPr>
        <w:spacing w:after="120" w:line="276"/>
        <w:jc w:val="both"/>
      </w:pPr>
      <w:r>
        <w:rPr>
          <w:rFonts w:ascii="Barlow Semi Condensed" w:cs="Barlow Semi Condensed" w:eastAsia="Barlow Semi Condensed" w:hAnsi="Barlow Semi Condensed"/>
          <w:sz w:val="24"/>
          <w:szCs w:val="24"/>
        </w:rPr>
        <w:t xml:space="preserve">riga. È questa: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Non esiste, allo stato, alcuna citazione della frase tratta dal documento 350; le rese pubbliche del suo contenuto non la contengono; e chiunque sostenga il contrario può smentirmi in mezz'ora, perché il documento è aperto a tutti.</w:t>
      </w:r>
    </w:p>
    <w:p>
      <w:pPr>
        <w:spacing w:after="120" w:line="276"/>
        <w:jc w:val="both"/>
      </w:pPr>
      <w:r>
        <w:rPr>
          <w:rFonts w:ascii="Barlow Semi Condensed" w:cs="Barlow Semi Condensed" w:eastAsia="Barlow Semi Condensed" w:hAnsi="Barlow Semi Condensed"/>
          <w:sz w:val="24"/>
          <w:szCs w:val="24"/>
        </w:rPr>
        <w:t xml:space="preserve">È una negazione più debole di quella che vorrei firmare. È anche l'unica che</w:t>
      </w:r>
    </w:p>
    <w:p>
      <w:pPr>
        <w:spacing w:after="120" w:line="276"/>
        <w:jc w:val="both"/>
      </w:pPr>
      <w:r>
        <w:rPr>
          <w:rFonts w:ascii="Barlow Semi Condensed" w:cs="Barlow Semi Condensed" w:eastAsia="Barlow Semi Condensed" w:hAnsi="Barlow Semi Condensed"/>
          <w:sz w:val="24"/>
          <w:szCs w:val="24"/>
        </w:rPr>
        <w:t xml:space="preserve">posso firmare. E ha una proprietà che la versione forte non avrebbe: **è</w:t>
      </w:r>
    </w:p>
    <w:p>
      <w:pPr>
        <w:spacing w:after="120" w:line="276"/>
        <w:jc w:val="both"/>
      </w:pPr>
      <w:r>
        <w:rPr>
          <w:rFonts w:ascii="Barlow Semi Condensed" w:cs="Barlow Semi Condensed" w:eastAsia="Barlow Semi Condensed" w:hAnsi="Barlow Semi Condensed"/>
          <w:sz w:val="24"/>
          <w:szCs w:val="24"/>
        </w:rPr>
        <w:t xml:space="preserve">falsificabile da chi legge**. Se sbaglio, si vede subito, e si vede senza</w:t>
      </w:r>
    </w:p>
    <w:p>
      <w:pPr>
        <w:spacing w:after="120" w:line="276"/>
        <w:jc w:val="both"/>
      </w:pPr>
      <w:r>
        <w:rPr>
          <w:rFonts w:ascii="Barlow Semi Condensed" w:cs="Barlow Semi Condensed" w:eastAsia="Barlow Semi Condensed" w:hAnsi="Barlow Semi Condensed"/>
          <w:sz w:val="24"/>
          <w:szCs w:val="24"/>
        </w:rPr>
        <w:t xml:space="preserve">credermi sulla parola. Nel capitolo secondo ho chiamato questa cosa la regola</w:t>
      </w:r>
    </w:p>
    <w:p>
      <w:pPr>
        <w:spacing w:after="120" w:line="276"/>
        <w:jc w:val="both"/>
      </w:pPr>
      <w:r>
        <w:rPr>
          <w:rFonts w:ascii="Barlow Semi Condensed" w:cs="Barlow Semi Condensed" w:eastAsia="Barlow Semi Condensed" w:hAnsi="Barlow Semi Condensed"/>
          <w:sz w:val="24"/>
          <w:szCs w:val="24"/>
        </w:rPr>
        <w:t xml:space="preserve">dei tre piani; qui la si vede lavorare su di me.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4. L'obiezione che salva la storia</w:t>
      </w:r>
    </w:p>
    <w:p>
      <w:pPr>
        <w:spacing w:after="120" w:line="276"/>
        <w:jc w:val="both"/>
      </w:pPr>
      <w:r>
        <w:rPr>
          <w:rFonts w:ascii="Barlow Semi Condensed" w:cs="Barlow Semi Condensed" w:eastAsia="Barlow Semi Condensed" w:hAnsi="Barlow Semi Condensed"/>
          <w:sz w:val="24"/>
          <w:szCs w:val="24"/>
        </w:rPr>
        <w:t xml:space="preserve">C'è un'obiezione, ed è buona. Va detta al meglio della sua forza, non nella</w:t>
      </w:r>
    </w:p>
    <w:p>
      <w:pPr>
        <w:spacing w:after="120" w:line="276"/>
        <w:jc w:val="both"/>
      </w:pPr>
      <w:r>
        <w:rPr>
          <w:rFonts w:ascii="Barlow Semi Condensed" w:cs="Barlow Semi Condensed" w:eastAsia="Barlow Semi Condensed" w:hAnsi="Barlow Semi Condensed"/>
          <w:sz w:val="24"/>
          <w:szCs w:val="24"/>
        </w:rPr>
        <w:t xml:space="preserve">versione fiacca che sarebbe comodo confutare.</w:t>
      </w:r>
    </w:p>
    <w:p>
      <w:pPr>
        <w:spacing w:after="120" w:line="276"/>
        <w:jc w:val="both"/>
      </w:pPr>
      <w:r>
        <w:rPr>
          <w:rFonts w:ascii="Barlow Semi Condensed" w:cs="Barlow Semi Condensed" w:eastAsia="Barlow Semi Condensed" w:hAnsi="Barlow Semi Condensed"/>
          <w:sz w:val="24"/>
          <w:szCs w:val="24"/>
        </w:rPr>
        <w:t xml:space="preserve">Eccola: **la frase, secondo chi la riporta, non sarebbe stata pronunciata nel</w:t>
      </w:r>
    </w:p>
    <w:p>
      <w:pPr>
        <w:spacing w:after="120" w:line="276"/>
        <w:jc w:val="both"/>
      </w:pPr>
      <w:r>
        <w:rPr>
          <w:rFonts w:ascii="Barlow Semi Condensed" w:cs="Barlow Semi Condensed" w:eastAsia="Barlow Semi Condensed" w:hAnsi="Barlow Semi Condensed"/>
          <w:sz w:val="24"/>
          <w:szCs w:val="24"/>
        </w:rPr>
        <w:t xml:space="preserve">colloquio ufficiale.** Sarebbe stata detta a margine — in un fuori programma, in</w:t>
      </w:r>
    </w:p>
    <w:p>
      <w:pPr>
        <w:spacing w:after="120" w:line="276"/>
        <w:jc w:val="both"/>
      </w:pPr>
      <w:r>
        <w:rPr>
          <w:rFonts w:ascii="Barlow Semi Condensed" w:cs="Barlow Semi Condensed" w:eastAsia="Barlow Semi Condensed" w:hAnsi="Barlow Semi Condensed"/>
          <w:sz w:val="24"/>
          <w:szCs w:val="24"/>
        </w:rPr>
        <w:t xml:space="preserve">un colloquio riservato, a una cena. E un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verbalizza</w:t>
      </w:r>
    </w:p>
    <w:p>
      <w:pPr>
        <w:spacing w:after="120" w:line="276"/>
        <w:jc w:val="both"/>
      </w:pPr>
      <w:r>
        <w:rPr>
          <w:rFonts w:ascii="Barlow Semi Condensed" w:cs="Barlow Semi Condensed" w:eastAsia="Barlow Semi Condensed" w:hAnsi="Barlow Semi Condensed"/>
          <w:sz w:val="24"/>
          <w:szCs w:val="24"/>
        </w:rPr>
        <w:t xml:space="preserve">la riunione, non i corridoi. Il verbalizzante annota ciò che si dice al tavolo.</w:t>
      </w:r>
    </w:p>
    <w:p>
      <w:pPr>
        <w:spacing w:after="120" w:line="276"/>
        <w:jc w:val="both"/>
      </w:pPr>
      <w:r>
        <w:rPr>
          <w:rFonts w:ascii="Barlow Semi Condensed" w:cs="Barlow Semi Condensed" w:eastAsia="Barlow Semi Condensed" w:hAnsi="Barlow Semi Condensed"/>
          <w:sz w:val="24"/>
          <w:szCs w:val="24"/>
        </w:rPr>
        <w:t xml:space="preserve">Quello che si dice mentre si esce dalla stanza non entra in nessun archivio.</w:t>
      </w:r>
    </w:p>
    <w:p>
      <w:pPr>
        <w:spacing w:after="120" w:line="276"/>
        <w:jc w:val="both"/>
      </w:pPr>
      <w:r>
        <w:rPr>
          <w:rFonts w:ascii="Barlow Semi Condensed" w:cs="Barlow Semi Condensed" w:eastAsia="Barlow Semi Condensed" w:hAnsi="Barlow Semi Condensed"/>
          <w:sz w:val="24"/>
          <w:szCs w:val="24"/>
        </w:rPr>
        <w:t xml:space="preserve">L'obiezione è corretta, e va accolta per intero. **L'assenza dal verbale non</w:t>
      </w:r>
    </w:p>
    <w:p>
      <w:pPr>
        <w:spacing w:after="120" w:line="276"/>
        <w:jc w:val="both"/>
      </w:pPr>
      <w:r>
        <w:rPr>
          <w:rFonts w:ascii="Barlow Semi Condensed" w:cs="Barlow Semi Condensed" w:eastAsia="Barlow Semi Condensed" w:hAnsi="Barlow Semi Condensed"/>
          <w:sz w:val="24"/>
          <w:szCs w:val="24"/>
        </w:rPr>
        <w:t xml:space="preserve">prova né la falsità né la verità dell'episodio.** Un fatto avvenuto fuori</w:t>
      </w:r>
    </w:p>
    <w:p>
      <w:pPr>
        <w:spacing w:after="120" w:line="276"/>
        <w:jc w:val="both"/>
      </w:pPr>
      <w:r>
        <w:rPr>
          <w:rFonts w:ascii="Barlow Semi Condensed" w:cs="Barlow Semi Condensed" w:eastAsia="Barlow Semi Condensed" w:hAnsi="Barlow Semi Condensed"/>
          <w:sz w:val="24"/>
          <w:szCs w:val="24"/>
        </w:rPr>
        <w:t xml:space="preserve">verbale è, per definizione, un fatto che il verbale non registra; e pretendere il</w:t>
      </w:r>
    </w:p>
    <w:p>
      <w:pPr>
        <w:spacing w:after="120" w:line="276"/>
        <w:jc w:val="both"/>
      </w:pPr>
      <w:r>
        <w:rPr>
          <w:rFonts w:ascii="Barlow Semi Condensed" w:cs="Barlow Semi Condensed" w:eastAsia="Barlow Semi Condensed" w:hAnsi="Barlow Semi Condensed"/>
          <w:sz w:val="24"/>
          <w:szCs w:val="24"/>
        </w:rPr>
        <w:t xml:space="preserve">contrario significherebbe sostenere che tutto ciò che non è archiviato non è</w:t>
      </w:r>
    </w:p>
    <w:p>
      <w:pPr>
        <w:spacing w:after="120" w:line="276"/>
        <w:jc w:val="both"/>
      </w:pPr>
      <w:r>
        <w:rPr>
          <w:rFonts w:ascii="Barlow Semi Condensed" w:cs="Barlow Semi Condensed" w:eastAsia="Barlow Semi Condensed" w:hAnsi="Barlow Semi Condensed"/>
          <w:sz w:val="24"/>
          <w:szCs w:val="24"/>
        </w:rPr>
        <w:t xml:space="preserve">accaduto, che è una sciocchezza dimostrabile in ogni giornata di lavoro di</w:t>
      </w:r>
    </w:p>
    <w:p>
      <w:pPr>
        <w:spacing w:after="120" w:line="276"/>
        <w:jc w:val="both"/>
      </w:pPr>
      <w:r>
        <w:rPr>
          <w:rFonts w:ascii="Barlow Semi Condensed" w:cs="Barlow Semi Condensed" w:eastAsia="Barlow Semi Condensed" w:hAnsi="Barlow Semi Condensed"/>
          <w:sz w:val="24"/>
          <w:szCs w:val="24"/>
        </w:rPr>
        <w:t xml:space="preserve">chiunque.</w:t>
      </w:r>
    </w:p>
    <w:p>
      <w:pPr>
        <w:spacing w:after="120" w:line="276"/>
        <w:jc w:val="both"/>
      </w:pPr>
      <w:r>
        <w:rPr>
          <w:rFonts w:ascii="Barlow Semi Condensed" w:cs="Barlow Semi Condensed" w:eastAsia="Barlow Semi Condensed" w:hAnsi="Barlow Semi Condensed"/>
          <w:sz w:val="24"/>
          <w:szCs w:val="24"/>
        </w:rPr>
        <w:t xml:space="preserve">Che cosa resta, allora, di questo capitolo?</w:t>
      </w:r>
    </w:p>
    <w:p>
      <w:pPr>
        <w:spacing w:after="120" w:line="276"/>
        <w:jc w:val="both"/>
      </w:pPr>
      <w:r>
        <w:rPr>
          <w:rFonts w:ascii="Barlow Semi Condensed" w:cs="Barlow Semi Condensed" w:eastAsia="Barlow Semi Condensed" w:hAnsi="Barlow Semi Condensed"/>
          <w:sz w:val="24"/>
          <w:szCs w:val="24"/>
        </w:rPr>
        <w:t xml:space="preserve">Resta una cosa sola, e non è piccola. **Il documento smette di essere una prova</w:t>
      </w:r>
    </w:p>
    <w:p>
      <w:pPr>
        <w:spacing w:after="120" w:line="276"/>
        <w:jc w:val="both"/>
      </w:pPr>
      <w:r>
        <w:rPr>
          <w:rFonts w:ascii="Barlow Semi Condensed" w:cs="Barlow Semi Condensed" w:eastAsia="Barlow Semi Condensed" w:hAnsi="Barlow Semi Condensed"/>
          <w:sz w:val="24"/>
          <w:szCs w:val="24"/>
        </w:rPr>
        <w:t xml:space="preserve">e torna a essere un contesto.** L'operazione che la circolazione pubblica compie</w:t>
      </w:r>
    </w:p>
    <w:p>
      <w:pPr>
        <w:spacing w:after="120" w:line="276"/>
        <w:jc w:val="both"/>
      </w:pPr>
      <w:r>
        <w:rPr>
          <w:rFonts w:ascii="Barlow Semi Condensed" w:cs="Barlow Semi Condensed" w:eastAsia="Barlow Semi Condensed" w:hAnsi="Barlow Semi Condensed"/>
          <w:sz w:val="24"/>
          <w:szCs w:val="24"/>
        </w:rPr>
        <w:t xml:space="preserve">da decenni — presentare il verbale dello Studio Ovale come </w:t>
      </w:r>
      <w:r>
        <w:rPr>
          <w:rFonts w:ascii="Barlow Semi Condensed" w:cs="Barlow Semi Condensed" w:eastAsia="Barlow Semi Condensed" w:hAnsi="Barlow Semi Condensed"/>
          <w:i/>
          <w:iCs/>
          <w:sz w:val="24"/>
          <w:szCs w:val="24"/>
        </w:rPr>
        <w:t xml:space="preserve">la prova documentale</w:t>
      </w:r>
    </w:p>
    <w:p>
      <w:pPr>
        <w:spacing w:after="120" w:line="276"/>
        <w:jc w:val="both"/>
      </w:pPr>
      <w:r>
        <w:rPr>
          <w:rFonts w:ascii="Barlow Semi Condensed" w:cs="Barlow Semi Condensed" w:eastAsia="Barlow Semi Condensed" w:hAnsi="Barlow Semi Condensed"/>
          <w:sz w:val="24"/>
          <w:szCs w:val="24"/>
        </w:rPr>
        <w:t xml:space="preserve">della minaccia — è un'operazione che il documento non regge. La minaccia, se fu</w:t>
      </w:r>
    </w:p>
    <w:p>
      <w:pPr>
        <w:spacing w:after="120" w:line="276"/>
        <w:jc w:val="both"/>
      </w:pPr>
      <w:r>
        <w:rPr>
          <w:rFonts w:ascii="Barlow Semi Condensed" w:cs="Barlow Semi Condensed" w:eastAsia="Barlow Semi Condensed" w:hAnsi="Barlow Semi Condensed"/>
          <w:sz w:val="24"/>
          <w:szCs w:val="24"/>
        </w:rPr>
        <w:t xml:space="preserve">detta, fu detta altrove: e allora il verbale non c'entra, e chi lo esibisce sta</w:t>
      </w:r>
    </w:p>
    <w:p>
      <w:pPr>
        <w:spacing w:after="120" w:line="276"/>
        <w:jc w:val="both"/>
      </w:pPr>
      <w:r>
        <w:rPr>
          <w:rFonts w:ascii="Barlow Semi Condensed" w:cs="Barlow Semi Condensed" w:eastAsia="Barlow Semi Condensed" w:hAnsi="Barlow Semi Condensed"/>
          <w:sz w:val="24"/>
          <w:szCs w:val="24"/>
        </w:rPr>
        <w:t xml:space="preserve">esibendo un foglio che parla d'altro.</w:t>
      </w:r>
    </w:p>
    <w:p>
      <w:pPr>
        <w:spacing w:after="120" w:line="276"/>
        <w:jc w:val="both"/>
      </w:pPr>
      <w:r>
        <w:rPr>
          <w:rFonts w:ascii="Barlow Semi Condensed" w:cs="Barlow Semi Condensed" w:eastAsia="Barlow Semi Condensed" w:hAnsi="Barlow Semi Condensed"/>
          <w:sz w:val="24"/>
          <w:szCs w:val="24"/>
        </w:rPr>
        <w:t xml:space="preserve">Non ho smontato la storia. Ho tolto alla storia **l'unico oggetto materiale a cui</w:t>
      </w:r>
    </w:p>
    <w:p>
      <w:pPr>
        <w:spacing w:after="120" w:line="276"/>
        <w:jc w:val="both"/>
      </w:pPr>
      <w:r>
        <w:rPr>
          <w:rFonts w:ascii="Barlow Semi Condensed" w:cs="Barlow Semi Condensed" w:eastAsia="Barlow Semi Condensed" w:hAnsi="Barlow Semi Condensed"/>
          <w:sz w:val="24"/>
          <w:szCs w:val="24"/>
        </w:rPr>
        <w:t xml:space="preserve">si era attaccata**, e l'ho restituita a ciò che è sempre stata: una</w:t>
      </w:r>
    </w:p>
    <w:p>
      <w:pPr>
        <w:spacing w:after="120" w:line="276"/>
        <w:jc w:val="both"/>
      </w:pPr>
      <w:r>
        <w:rPr>
          <w:rFonts w:ascii="Barlow Semi Condensed" w:cs="Barlow Semi Condensed" w:eastAsia="Barlow Semi Condensed" w:hAnsi="Barlow Semi Condensed"/>
          <w:sz w:val="24"/>
          <w:szCs w:val="24"/>
        </w:rPr>
        <w:t xml:space="preserve">testimonianza. Contesa, indiretta, resa anni dopo. Il capitolo successivo si</w:t>
      </w:r>
    </w:p>
    <w:p>
      <w:pPr>
        <w:spacing w:after="120" w:line="276"/>
        <w:jc w:val="both"/>
      </w:pPr>
      <w:r>
        <w:rPr>
          <w:rFonts w:ascii="Barlow Semi Condensed" w:cs="Barlow Semi Condensed" w:eastAsia="Barlow Semi Condensed" w:hAnsi="Barlow Semi Condensed"/>
          <w:sz w:val="24"/>
          <w:szCs w:val="24"/>
        </w:rPr>
        <w:t xml:space="preserve">occupa di che cosa questo significhi.</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5. La data che non sta ferma</w:t>
      </w:r>
    </w:p>
    <w:p>
      <w:pPr>
        <w:spacing w:after="120" w:line="276"/>
        <w:jc w:val="both"/>
      </w:pPr>
      <w:r>
        <w:rPr>
          <w:rFonts w:ascii="Barlow Semi Condensed" w:cs="Barlow Semi Condensed" w:eastAsia="Barlow Semi Condensed" w:hAnsi="Barlow Semi Condensed"/>
          <w:sz w:val="24"/>
          <w:szCs w:val="24"/>
        </w:rPr>
        <w:t xml:space="preserve">C'è un dettaglio che non ho trovato in nessuna delle riprese giornalistiche</w:t>
      </w:r>
    </w:p>
    <w:p>
      <w:pPr>
        <w:spacing w:after="120" w:line="276"/>
        <w:jc w:val="both"/>
      </w:pPr>
      <w:r>
        <w:rPr>
          <w:rFonts w:ascii="Barlow Semi Condensed" w:cs="Barlow Semi Condensed" w:eastAsia="Barlow Semi Condensed" w:hAnsi="Barlow Semi Condensed"/>
          <w:sz w:val="24"/>
          <w:szCs w:val="24"/>
        </w:rPr>
        <w:t xml:space="preserve">dell'episodio, e che secondo me è il più serio di tutti.</w:t>
      </w:r>
    </w:p>
    <w:p>
      <w:pPr>
        <w:spacing w:after="120" w:line="276"/>
        <w:jc w:val="both"/>
      </w:pPr>
      <w:r>
        <w:rPr>
          <w:rFonts w:ascii="Barlow Semi Condensed" w:cs="Barlow Semi Condensed" w:eastAsia="Barlow Semi Condensed" w:hAnsi="Barlow Semi Condensed"/>
          <w:b/>
          <w:bCs/>
          <w:sz w:val="24"/>
          <w:szCs w:val="24"/>
        </w:rPr>
        <w:t xml:space="preserve">L'episodio non ha una collocazione stabile.</w:t>
      </w:r>
    </w:p>
    <w:p>
      <w:pPr>
        <w:spacing w:after="120" w:line="276"/>
        <w:jc w:val="both"/>
      </w:pPr>
      <w:r>
        <w:rPr>
          <w:rFonts w:ascii="Barlow Semi Condensed" w:cs="Barlow Semi Condensed" w:eastAsia="Barlow Semi Condensed" w:hAnsi="Barlow Semi Condensed"/>
          <w:sz w:val="24"/>
          <w:szCs w:val="24"/>
        </w:rPr>
        <w:t xml:space="preserve">La versione italiana prevalente lo pone al 25 settembre 1974, allo Studio Ovale.</w:t>
      </w:r>
    </w:p>
    <w:p>
      <w:pPr>
        <w:spacing w:after="120" w:line="276"/>
        <w:jc w:val="both"/>
      </w:pPr>
      <w:r>
        <w:rPr>
          <w:rFonts w:ascii="Barlow Semi Condensed" w:cs="Barlow Semi Condensed" w:eastAsia="Barlow Semi Condensed" w:hAnsi="Barlow Semi Condensed"/>
          <w:sz w:val="24"/>
          <w:szCs w:val="24"/>
        </w:rPr>
        <w:t xml:space="preserve">Ma una fonte d'agenzia statunitense coeva — un lancio dell'aprile 1983 — riferiva</w:t>
      </w:r>
    </w:p>
    <w:p>
      <w:pPr>
        <w:spacing w:after="120" w:line="276"/>
        <w:jc w:val="both"/>
      </w:pPr>
      <w:r>
        <w:rPr>
          <w:rFonts w:ascii="Barlow Semi Condensed" w:cs="Barlow Semi Condensed" w:eastAsia="Barlow Semi Condensed" w:hAnsi="Barlow Semi Condensed"/>
          <w:sz w:val="24"/>
          <w:szCs w:val="24"/>
        </w:rPr>
        <w:t xml:space="preserve">che i magistrati che allora indagavano volevano interrogare Kissinger su un</w:t>
      </w:r>
    </w:p>
    <w:p>
      <w:pPr>
        <w:spacing w:after="120" w:line="276"/>
        <w:jc w:val="both"/>
      </w:pPr>
      <w:r>
        <w:rPr>
          <w:rFonts w:ascii="Barlow Semi Condensed" w:cs="Barlow Semi Condensed" w:eastAsia="Barlow Semi Condensed" w:hAnsi="Barlow Semi Condensed"/>
          <w:b/>
          <w:bCs/>
          <w:sz w:val="24"/>
          <w:szCs w:val="24"/>
        </w:rPr>
        <w:t xml:space="preserve">acceso alterco avvenuto all'ambasciata d'Italia a Washington nel 1977</w:t>
      </w:r>
      <w:r>
        <w:rPr>
          <w:rFonts w:ascii="Barlow Semi Condensed" w:cs="Barlow Semi Condensed" w:eastAsia="Barlow Semi Condensed" w:hAnsi="Barlow Semi Condensed"/>
          <w:sz w:val="24"/>
          <w:szCs w:val="24"/>
        </w:rPr>
        <w:t xml:space="preserve">. Altre</w:t>
      </w:r>
    </w:p>
    <w:p>
      <w:pPr>
        <w:spacing w:after="120" w:line="276"/>
        <w:jc w:val="both"/>
      </w:pPr>
      <w:r>
        <w:rPr>
          <w:rFonts w:ascii="Barlow Semi Condensed" w:cs="Barlow Semi Condensed" w:eastAsia="Barlow Semi Condensed" w:hAnsi="Barlow Semi Condensed"/>
          <w:sz w:val="24"/>
          <w:szCs w:val="24"/>
        </w:rPr>
        <w:t xml:space="preserve">sintesi indicano il </w:t>
      </w:r>
      <w:r>
        <w:rPr>
          <w:rFonts w:ascii="Barlow Semi Condensed" w:cs="Barlow Semi Condensed" w:eastAsia="Barlow Semi Condensed" w:hAnsi="Barlow Semi Condensed"/>
          <w:b/>
          <w:bCs/>
          <w:sz w:val="24"/>
          <w:szCs w:val="24"/>
        </w:rPr>
        <w:t xml:space="preserve">1976</w:t>
      </w:r>
      <w:r>
        <w:rPr>
          <w:rFonts w:ascii="Barlow Semi Condensed" w:cs="Barlow Semi Condensed" w:eastAsia="Barlow Semi Condensed" w:hAnsi="Barlow Semi Condensed"/>
          <w:sz w:val="24"/>
          <w:szCs w:val="24"/>
        </w:rPr>
        <w:t xml:space="preserve">. E i luoghi divergono insieme alle date: Studio</w:t>
      </w:r>
    </w:p>
    <w:p>
      <w:pPr>
        <w:spacing w:after="120" w:line="276"/>
        <w:jc w:val="both"/>
      </w:pPr>
      <w:r>
        <w:rPr>
          <w:rFonts w:ascii="Barlow Semi Condensed" w:cs="Barlow Semi Condensed" w:eastAsia="Barlow Semi Condensed" w:hAnsi="Barlow Semi Condensed"/>
          <w:sz w:val="24"/>
          <w:szCs w:val="24"/>
        </w:rPr>
        <w:t xml:space="preserve">Ovale, Dipartimento di Stato, una cena ufficiale, l'ambasciata italiana.</w:t>
      </w:r>
    </w:p>
    <w:p>
      <w:pPr>
        <w:spacing w:after="120" w:line="276"/>
        <w:jc w:val="both"/>
      </w:pPr>
      <w:r>
        <w:rPr>
          <w:rFonts w:ascii="Barlow Semi Condensed" w:cs="Barlow Semi Condensed" w:eastAsia="Barlow Semi Condensed" w:hAnsi="Barlow Semi Condensed"/>
          <w:sz w:val="24"/>
          <w:szCs w:val="24"/>
        </w:rPr>
        <w:t xml:space="preserve">Un episodio che si sposta di tre anni e di quattro stanze non è un episodio</w:t>
      </w:r>
    </w:p>
    <w:p>
      <w:pPr>
        <w:spacing w:after="120" w:line="276"/>
        <w:jc w:val="both"/>
      </w:pPr>
      <w:r>
        <w:rPr>
          <w:rFonts w:ascii="Barlow Semi Condensed" w:cs="Barlow Semi Condensed" w:eastAsia="Barlow Semi Condensed" w:hAnsi="Barlow Semi Condensed"/>
          <w:sz w:val="24"/>
          <w:szCs w:val="24"/>
        </w:rPr>
        <w:t xml:space="preserve">ricordato male nei particolari. È un episodio **la cui identità stessa non è</w:t>
      </w:r>
    </w:p>
    <w:p>
      <w:pPr>
        <w:spacing w:after="120" w:line="276"/>
        <w:jc w:val="both"/>
      </w:pPr>
      <w:r>
        <w:rPr>
          <w:rFonts w:ascii="Barlow Semi Condensed" w:cs="Barlow Semi Condensed" w:eastAsia="Barlow Semi Condensed" w:hAnsi="Barlow Semi Condensed"/>
          <w:sz w:val="24"/>
          <w:szCs w:val="24"/>
        </w:rPr>
        <w:t xml:space="preserve">fissata**: non sappiamo se le fonti stiano parlando dello stesso fatto.</w:t>
      </w:r>
    </w:p>
    <w:p>
      <w:pPr>
        <w:spacing w:after="120" w:line="276"/>
        <w:jc w:val="both"/>
      </w:pPr>
      <w:r>
        <w:rPr>
          <w:rFonts w:ascii="Barlow Semi Condensed" w:cs="Barlow Semi Condensed" w:eastAsia="Barlow Semi Condensed" w:hAnsi="Barlow Semi Condensed"/>
          <w:sz w:val="24"/>
          <w:szCs w:val="24"/>
        </w:rPr>
        <w:t xml:space="preserve">E c'è una conseguenza che va oltre il metodo. **Nel 1977 Kissinger non era più</w:t>
      </w:r>
    </w:p>
    <w:p>
      <w:pPr>
        <w:spacing w:after="120" w:line="276"/>
        <w:jc w:val="both"/>
      </w:pPr>
      <w:r>
        <w:rPr>
          <w:rFonts w:ascii="Barlow Semi Condensed" w:cs="Barlow Semi Condensed" w:eastAsia="Barlow Semi Condensed" w:hAnsi="Barlow Semi Condensed"/>
          <w:sz w:val="24"/>
          <w:szCs w:val="24"/>
        </w:rPr>
        <w:t xml:space="preserve">Segretario di Stato.** Il suo mandato era finito il 20 gennaio di quell'anno.</w:t>
      </w:r>
    </w:p>
    <w:p>
      <w:pPr>
        <w:spacing w:after="120" w:line="276"/>
        <w:jc w:val="both"/>
      </w:pPr>
      <w:r>
        <w:rPr>
          <w:rFonts w:ascii="Barlow Semi Condensed" w:cs="Barlow Semi Condensed" w:eastAsia="Barlow Semi Condensed" w:hAnsi="Barlow Semi Condensed"/>
          <w:sz w:val="24"/>
          <w:szCs w:val="24"/>
        </w:rPr>
        <w:t xml:space="preserve">Chi colloca l'episodio nel 1977 sta raccontando un uomo che parla da privato</w:t>
      </w:r>
    </w:p>
    <w:p>
      <w:pPr>
        <w:spacing w:after="120" w:line="276"/>
        <w:jc w:val="both"/>
      </w:pPr>
      <w:r>
        <w:rPr>
          <w:rFonts w:ascii="Barlow Semi Condensed" w:cs="Barlow Semi Condensed" w:eastAsia="Barlow Semi Condensed" w:hAnsi="Barlow Semi Condensed"/>
          <w:sz w:val="24"/>
          <w:szCs w:val="24"/>
        </w:rPr>
        <w:t xml:space="preserve">cittadino; chi lo colloca nel 1974 sta raccontando il capo della diplomazia</w:t>
      </w:r>
    </w:p>
    <w:p>
      <w:pPr>
        <w:spacing w:after="120" w:line="276"/>
        <w:jc w:val="both"/>
      </w:pPr>
      <w:r>
        <w:rPr>
          <w:rFonts w:ascii="Barlow Semi Condensed" w:cs="Barlow Semi Condensed" w:eastAsia="Barlow Semi Condensed" w:hAnsi="Barlow Semi Condensed"/>
          <w:sz w:val="24"/>
          <w:szCs w:val="24"/>
        </w:rPr>
        <w:t xml:space="preserve">americana in carica che parla a un ministro degli Esteri alleato. Sono due fatti</w:t>
      </w:r>
    </w:p>
    <w:p>
      <w:pPr>
        <w:spacing w:after="120" w:line="276"/>
        <w:jc w:val="both"/>
      </w:pPr>
      <w:r>
        <w:rPr>
          <w:rFonts w:ascii="Barlow Semi Condensed" w:cs="Barlow Semi Condensed" w:eastAsia="Barlow Semi Condensed" w:hAnsi="Barlow Semi Condensed"/>
          <w:sz w:val="24"/>
          <w:szCs w:val="24"/>
        </w:rPr>
        <w:t xml:space="preserve">di natura giuridica e politica completamente diversa, e in circolazione stanno</w:t>
      </w:r>
    </w:p>
    <w:p>
      <w:pPr>
        <w:spacing w:after="120" w:line="276"/>
        <w:jc w:val="both"/>
      </w:pPr>
      <w:r>
        <w:rPr>
          <w:rFonts w:ascii="Barlow Semi Condensed" w:cs="Barlow Semi Condensed" w:eastAsia="Barlow Semi Condensed" w:hAnsi="Barlow Semi Condensed"/>
          <w:sz w:val="24"/>
          <w:szCs w:val="24"/>
        </w:rPr>
        <w:t xml:space="preserve">sotto lo stesso titolo.</w:t>
      </w:r>
    </w:p>
    <w:p>
      <w:pPr>
        <w:spacing w:after="120" w:line="276"/>
        <w:jc w:val="both"/>
      </w:pPr>
      <w:r>
        <w:rPr>
          <w:rFonts w:ascii="Barlow Semi Condensed" w:cs="Barlow Semi Condensed" w:eastAsia="Barlow Semi Condensed" w:hAnsi="Barlow Semi Condensed"/>
          <w:sz w:val="24"/>
          <w:szCs w:val="24"/>
        </w:rPr>
        <w:t xml:space="preserve">Questa è, in miniatura, la ragione per cui esiste la critica delle fonti. Non</w:t>
      </w:r>
    </w:p>
    <w:p>
      <w:pPr>
        <w:spacing w:after="120" w:line="276"/>
        <w:jc w:val="both"/>
      </w:pPr>
      <w:r>
        <w:rPr>
          <w:rFonts w:ascii="Barlow Semi Condensed" w:cs="Barlow Semi Condensed" w:eastAsia="Barlow Semi Condensed" w:hAnsi="Barlow Semi Condensed"/>
          <w:sz w:val="24"/>
          <w:szCs w:val="24"/>
        </w:rPr>
        <w:t xml:space="preserve">serve a stabilire se qualcuno mente. Serve a stabilire **di che cosa si stia</w:t>
      </w:r>
    </w:p>
    <w:p>
      <w:pPr>
        <w:spacing w:after="120" w:line="276"/>
        <w:jc w:val="both"/>
      </w:pPr>
      <w:r>
        <w:rPr>
          <w:rFonts w:ascii="Barlow Semi Condensed" w:cs="Barlow Semi Condensed" w:eastAsia="Barlow Semi Condensed" w:hAnsi="Barlow Semi Condensed"/>
          <w:sz w:val="24"/>
          <w:szCs w:val="24"/>
        </w:rPr>
        <w:t xml:space="preserve">parlando**, prima ancora di chiedersi se sia vero.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6. Chi ha detto che cosa, e da chi l'ha saputo</w:t>
      </w:r>
    </w:p>
    <w:p>
      <w:pPr>
        <w:spacing w:after="120" w:line="276"/>
        <w:jc w:val="both"/>
      </w:pPr>
      <w:r>
        <w:rPr>
          <w:rFonts w:ascii="Barlow Semi Condensed" w:cs="Barlow Semi Condensed" w:eastAsia="Barlow Semi Condensed" w:hAnsi="Barlow Semi Condensed"/>
          <w:sz w:val="24"/>
          <w:szCs w:val="24"/>
        </w:rPr>
        <w:t xml:space="preserve">La catena testimoniale, ricostruita, ha una forma che merita di essere guardata</w:t>
      </w:r>
    </w:p>
    <w:p>
      <w:pPr>
        <w:spacing w:after="120" w:line="276"/>
        <w:jc w:val="both"/>
      </w:pPr>
      <w:r>
        <w:rPr>
          <w:rFonts w:ascii="Barlow Semi Condensed" w:cs="Barlow Semi Condensed" w:eastAsia="Barlow Semi Condensed" w:hAnsi="Barlow Semi Condensed"/>
          <w:sz w:val="24"/>
          <w:szCs w:val="24"/>
        </w:rPr>
        <w:t xml:space="preserve">per intero, perché ogni anello sposta lo statuto di quello prima.</w:t>
      </w:r>
    </w:p>
    <w:p>
      <w:pPr>
        <w:spacing w:after="120" w:line="276"/>
        <w:jc w:val="both"/>
      </w:pPr>
      <w:r>
        <w:rPr>
          <w:rFonts w:ascii="Barlow Semi Condensed" w:cs="Barlow Semi Condensed" w:eastAsia="Barlow Semi Condensed" w:hAnsi="Barlow Semi Condensed"/>
          <w:sz w:val="24"/>
          <w:szCs w:val="24"/>
        </w:rPr>
        <w:t xml:space="preserve">Il **portavoce di Moro, Corrado Guerzoni, depose come teste davanti alla Corte</w:t>
      </w:r>
    </w:p>
    <w:p>
      <w:pPr>
        <w:spacing w:after="120" w:line="276"/>
        <w:jc w:val="both"/>
      </w:pPr>
      <w:r>
        <w:rPr>
          <w:rFonts w:ascii="Barlow Semi Condensed" w:cs="Barlow Semi Condensed" w:eastAsia="Barlow Semi Condensed" w:hAnsi="Barlow Semi Condensed"/>
          <w:sz w:val="24"/>
          <w:szCs w:val="24"/>
        </w:rPr>
        <w:t xml:space="preserve">d'assise di Roma nel novembre 1982** — il 10, secondo la datazione più</w:t>
      </w:r>
    </w:p>
    <w:p>
      <w:pPr>
        <w:spacing w:after="120" w:line="276"/>
        <w:jc w:val="both"/>
      </w:pPr>
      <w:r>
        <w:rPr>
          <w:rFonts w:ascii="Barlow Semi Condensed" w:cs="Barlow Semi Condensed" w:eastAsia="Barlow Semi Condensed" w:hAnsi="Barlow Semi Condensed"/>
          <w:sz w:val="24"/>
          <w:szCs w:val="24"/>
        </w:rPr>
        <w:t xml:space="preserve">ricorrente; una fonte indica il 15, e la divergenza resta lì irrisolta. Ma</w:t>
      </w:r>
    </w:p>
    <w:p>
      <w:pPr>
        <w:spacing w:after="120" w:line="276"/>
        <w:jc w:val="both"/>
      </w:pPr>
      <w:r>
        <w:rPr>
          <w:rFonts w:ascii="Barlow Semi Condensed" w:cs="Barlow Semi Condensed" w:eastAsia="Barlow Semi Condensed" w:hAnsi="Barlow Semi Condensed"/>
          <w:sz w:val="24"/>
          <w:szCs w:val="24"/>
        </w:rPr>
        <w:t xml:space="preserve">Guerzoni </w:t>
      </w:r>
      <w:r>
        <w:rPr>
          <w:rFonts w:ascii="Barlow Semi Condensed" w:cs="Barlow Semi Condensed" w:eastAsia="Barlow Semi Condensed" w:hAnsi="Barlow Semi Condensed"/>
          <w:b/>
          <w:bCs/>
          <w:sz w:val="24"/>
          <w:szCs w:val="24"/>
        </w:rPr>
        <w:t xml:space="preserve">non assistette al colloquio</w:t>
      </w:r>
      <w:r>
        <w:rPr>
          <w:rFonts w:ascii="Barlow Semi Condensed" w:cs="Barlow Semi Condensed" w:eastAsia="Barlow Semi Condensed" w:hAnsi="Barlow Semi Condensed"/>
          <w:sz w:val="24"/>
          <w:szCs w:val="24"/>
        </w:rPr>
        <w:t xml:space="preserve">: riferì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avendo appreso il</w:t>
      </w:r>
    </w:p>
    <w:p>
      <w:pPr>
        <w:spacing w:after="120" w:line="276"/>
        <w:jc w:val="both"/>
      </w:pPr>
      <w:r>
        <w:rPr>
          <w:rFonts w:ascii="Barlow Semi Condensed" w:cs="Barlow Semi Condensed" w:eastAsia="Barlow Semi Condensed" w:hAnsi="Barlow Semi Condensed"/>
          <w:sz w:val="24"/>
          <w:szCs w:val="24"/>
        </w:rPr>
        <w:t xml:space="preserve">fatto da Moro e dall'entourage. Questo dato è quello che le riprese omettono più</w:t>
      </w:r>
    </w:p>
    <w:p>
      <w:pPr>
        <w:spacing w:after="120" w:line="276"/>
        <w:jc w:val="both"/>
      </w:pPr>
      <w:r>
        <w:rPr>
          <w:rFonts w:ascii="Barlow Semi Condensed" w:cs="Barlow Semi Condensed" w:eastAsia="Barlow Semi Condensed" w:hAnsi="Barlow Semi Condensed"/>
          <w:sz w:val="24"/>
          <w:szCs w:val="24"/>
        </w:rPr>
        <w:t xml:space="preserve">spesso, e cambia tutto. Non squalifica la deposizione — un teste indiretto è un</w:t>
      </w:r>
    </w:p>
    <w:p>
      <w:pPr>
        <w:spacing w:after="120" w:line="276"/>
        <w:jc w:val="both"/>
      </w:pPr>
      <w:r>
        <w:rPr>
          <w:rFonts w:ascii="Barlow Semi Condensed" w:cs="Barlow Semi Condensed" w:eastAsia="Barlow Semi Condensed" w:hAnsi="Barlow Semi Condensed"/>
          <w:sz w:val="24"/>
          <w:szCs w:val="24"/>
        </w:rPr>
        <w:t xml:space="preserve">teste, e la sua deposizione è un atto processuale — ma la colloca dove</w:t>
      </w:r>
    </w:p>
    <w:p>
      <w:pPr>
        <w:spacing w:after="120" w:line="276"/>
        <w:jc w:val="both"/>
      </w:pPr>
      <w:r>
        <w:rPr>
          <w:rFonts w:ascii="Barlow Semi Condensed" w:cs="Barlow Semi Condensed" w:eastAsia="Barlow Semi Condensed" w:hAnsi="Barlow Semi Condensed"/>
          <w:sz w:val="24"/>
          <w:szCs w:val="24"/>
        </w:rPr>
        <w:t xml:space="preserve">appartiene: è testimonianza indiretta su un fatto altrui.</w:t>
      </w:r>
    </w:p>
    <w:p>
      <w:pPr>
        <w:spacing w:after="120" w:line="276"/>
        <w:jc w:val="both"/>
      </w:pPr>
      <w:r>
        <w:rPr>
          <w:rFonts w:ascii="Barlow Semi Condensed" w:cs="Barlow Semi Condensed" w:eastAsia="Barlow Semi Condensed" w:hAnsi="Barlow Semi Condensed"/>
          <w:sz w:val="24"/>
          <w:szCs w:val="24"/>
        </w:rPr>
        <w:t xml:space="preserve">In aula, </w:t>
      </w:r>
      <w:r>
        <w:rPr>
          <w:rFonts w:ascii="Barlow Semi Condensed" w:cs="Barlow Semi Condensed" w:eastAsia="Barlow Semi Condensed" w:hAnsi="Barlow Semi Condensed"/>
          <w:b/>
          <w:bCs/>
          <w:sz w:val="24"/>
          <w:szCs w:val="24"/>
        </w:rPr>
        <w:t xml:space="preserve">Eleonora Moro parlò di «un'alta personalità» senza fare il nome</w:t>
      </w:r>
      <w:r>
        <w:rPr>
          <w:rFonts w:ascii="Barlow Semi Condensed" w:cs="Barlow Semi Condensed" w:eastAsia="Barlow Semi Condensed" w:hAnsi="Barlow Semi Condensed"/>
          <w:sz w:val="24"/>
          <w:szCs w:val="24"/>
        </w:rPr>
        <w:t xml:space="preserve">. Fu</w:t>
      </w:r>
    </w:p>
    <w:p>
      <w:pPr>
        <w:spacing w:after="120" w:line="276"/>
        <w:jc w:val="both"/>
      </w:pPr>
      <w:r>
        <w:rPr>
          <w:rFonts w:ascii="Barlow Semi Condensed" w:cs="Barlow Semi Condensed" w:eastAsia="Barlow Semi Condensed" w:hAnsi="Barlow Semi Condensed"/>
          <w:sz w:val="24"/>
          <w:szCs w:val="24"/>
        </w:rPr>
        <w:t xml:space="preserve">il presidente della corte, richiamando quanto detto dal portavoce, a ottenere</w:t>
      </w:r>
    </w:p>
    <w:p>
      <w:pPr>
        <w:spacing w:after="120" w:line="276"/>
        <w:jc w:val="both"/>
      </w:pPr>
      <w:r>
        <w:rPr>
          <w:rFonts w:ascii="Barlow Semi Condensed" w:cs="Barlow Semi Condensed" w:eastAsia="Barlow Semi Condensed" w:hAnsi="Barlow Semi Condensed"/>
          <w:sz w:val="24"/>
          <w:szCs w:val="24"/>
        </w:rPr>
        <w:t xml:space="preserve">l'indicazione. </w:t>
      </w:r>
      <w:r>
        <w:rPr>
          <w:rFonts w:ascii="Barlow Semi Condensed" w:cs="Barlow Semi Condensed" w:eastAsia="Barlow Semi Condensed" w:hAnsi="Barlow Semi Condensed"/>
          <w:b/>
          <w:bCs/>
          <w:sz w:val="24"/>
          <w:szCs w:val="24"/>
        </w:rPr>
        <w:t xml:space="preserve">L'attribuzione del nome è dunque essa stessa indiretta</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fu offerta, fu ottenuta.</w:t>
      </w:r>
    </w:p>
    <w:p>
      <w:pPr>
        <w:spacing w:after="120" w:line="276"/>
        <w:jc w:val="both"/>
      </w:pPr>
      <w:r>
        <w:rPr>
          <w:rFonts w:ascii="Barlow Semi Condensed" w:cs="Barlow Semi Condensed" w:eastAsia="Barlow Semi Condensed" w:hAnsi="Barlow Semi Condensed"/>
          <w:sz w:val="24"/>
          <w:szCs w:val="24"/>
        </w:rPr>
        <w:t xml:space="preserve">La sede parlamentare è confermata — la Commissione d'inchiesta sul caso Moro, **1°</w:t>
      </w:r>
    </w:p>
    <w:p>
      <w:pPr>
        <w:spacing w:after="120" w:line="276"/>
        <w:jc w:val="both"/>
      </w:pPr>
      <w:r>
        <w:rPr>
          <w:rFonts w:ascii="Barlow Semi Condensed" w:cs="Barlow Semi Condensed" w:eastAsia="Barlow Semi Condensed" w:hAnsi="Barlow Semi Condensed"/>
          <w:sz w:val="24"/>
          <w:szCs w:val="24"/>
        </w:rPr>
        <w:t xml:space="preserve">agosto 1980** (una fonte indica l'11, verosimilmente per lettura errata di «1°»)</w:t>
      </w:r>
    </w:p>
    <w:p>
      <w:pPr>
        <w:spacing w:after="120" w:line="276"/>
        <w:jc w:val="both"/>
      </w:pPr>
      <w:r>
        <w:rPr>
          <w:rFonts w:ascii="Barlow Semi Condensed" w:cs="Barlow Semi Condensed" w:eastAsia="Barlow Semi Condensed" w:hAnsi="Barlow Semi Condensed"/>
          <w:sz w:val="24"/>
          <w:szCs w:val="24"/>
        </w:rPr>
        <w:t xml:space="preserve">— ma qui devo di nuovo dichiarare un grado. **Il contenuto verbatim della frase</w:t>
      </w:r>
    </w:p>
    <w:p>
      <w:pPr>
        <w:spacing w:after="120" w:line="276"/>
        <w:jc w:val="both"/>
      </w:pPr>
      <w:r>
        <w:rPr>
          <w:rFonts w:ascii="Barlow Semi Condensed" w:cs="Barlow Semi Condensed" w:eastAsia="Barlow Semi Condensed" w:hAnsi="Barlow Semi Condensed"/>
          <w:sz w:val="24"/>
          <w:szCs w:val="24"/>
        </w:rPr>
        <w:t xml:space="preserve">in quella sede resta da riscontrare**: le sintesi attribuiscono la frase alla</w:t>
      </w:r>
    </w:p>
    <w:p>
      <w:pPr>
        <w:spacing w:after="120" w:line="276"/>
        <w:jc w:val="both"/>
      </w:pPr>
      <w:r>
        <w:rPr>
          <w:rFonts w:ascii="Barlow Semi Condensed" w:cs="Barlow Semi Condensed" w:eastAsia="Barlow Semi Condensed" w:hAnsi="Barlow Semi Condensed"/>
          <w:sz w:val="24"/>
          <w:szCs w:val="24"/>
        </w:rPr>
        <w:t xml:space="preserve">deposizione giudiziaria del 1982, mentre dell'audizione del 1980 riportano</w:t>
      </w:r>
    </w:p>
    <w:p>
      <w:pPr>
        <w:spacing w:after="120" w:line="276"/>
        <w:jc w:val="both"/>
      </w:pPr>
      <w:r>
        <w:rPr>
          <w:rFonts w:ascii="Barlow Semi Condensed" w:cs="Barlow Semi Condensed" w:eastAsia="Barlow Semi Condensed" w:hAnsi="Barlow Semi Condensed"/>
          <w:sz w:val="24"/>
          <w:szCs w:val="24"/>
        </w:rPr>
        <w:t xml:space="preserve">soprattutto un riferimento a minacce risalenti al 1975 e crescenti nel tempo.</w:t>
      </w:r>
    </w:p>
    <w:p>
      <w:pPr>
        <w:spacing w:after="120" w:line="276"/>
        <w:jc w:val="both"/>
      </w:pPr>
      <w:r>
        <w:rPr>
          <w:rFonts w:ascii="Barlow Semi Condensed" w:cs="Barlow Semi Condensed" w:eastAsia="Barlow Semi Condensed" w:hAnsi="Barlow Semi Condensed"/>
          <w:sz w:val="24"/>
          <w:szCs w:val="24"/>
        </w:rPr>
        <w:t xml:space="preserve">Sede confermata, contenuto no. Sono due piani, e vanno tenuti separati anche</w:t>
      </w:r>
    </w:p>
    <w:p>
      <w:pPr>
        <w:spacing w:after="120" w:line="276"/>
        <w:jc w:val="both"/>
      </w:pPr>
      <w:r>
        <w:rPr>
          <w:rFonts w:ascii="Barlow Semi Condensed" w:cs="Barlow Semi Condensed" w:eastAsia="Barlow Semi Condensed" w:hAnsi="Barlow Semi Condensed"/>
          <w:sz w:val="24"/>
          <w:szCs w:val="24"/>
        </w:rPr>
        <w:t xml:space="preserve">quando separarli è scomodo.</w:t>
      </w:r>
    </w:p>
    <w:p>
      <w:pPr>
        <w:spacing w:after="120" w:line="276"/>
        <w:jc w:val="both"/>
      </w:pPr>
      <w:r>
        <w:rPr>
          <w:rFonts w:ascii="Barlow Semi Condensed" w:cs="Barlow Semi Condensed" w:eastAsia="Barlow Semi Condensed" w:hAnsi="Barlow Semi Condensed"/>
          <w:sz w:val="24"/>
          <w:szCs w:val="24"/>
        </w:rPr>
        <w:t xml:space="preserve">Sull'altro versante ci sono le smentite, e vanno riportate con la stessa cura.</w:t>
      </w:r>
    </w:p>
    <w:p>
      <w:pPr>
        <w:spacing w:after="120" w:line="276"/>
        <w:jc w:val="both"/>
      </w:pPr>
      <w:r>
        <w:rPr>
          <w:rFonts w:ascii="Barlow Semi Condensed" w:cs="Barlow Semi Condensed" w:eastAsia="Barlow Semi Condensed" w:hAnsi="Barlow Semi Condensed"/>
          <w:sz w:val="24"/>
          <w:szCs w:val="24"/>
        </w:rPr>
        <w:t xml:space="preserve">Kissinger, interrogato da un giornalista poco prima della morte, rispose</w:t>
      </w:r>
    </w:p>
    <w:p>
      <w:pPr>
        <w:spacing w:after="120" w:line="276"/>
        <w:jc w:val="both"/>
      </w:pPr>
      <w:r>
        <w:rPr>
          <w:rFonts w:ascii="Barlow Semi Condensed" w:cs="Barlow Semi Condensed" w:eastAsia="Barlow Semi Condensed" w:hAnsi="Barlow Semi Condensed"/>
          <w:sz w:val="24"/>
          <w:szCs w:val="24"/>
        </w:rPr>
        <w:t xml:space="preserve">seccamente di non aver </w:t>
      </w:r>
      <w:r>
        <w:rPr>
          <w:rFonts w:ascii="Barlow Semi Condensed" w:cs="Barlow Semi Condensed" w:eastAsia="Barlow Semi Condensed" w:hAnsi="Barlow Semi Condensed"/>
          <w:b/>
          <w:bCs/>
          <w:sz w:val="24"/>
          <w:szCs w:val="24"/>
        </w:rPr>
        <w:t xml:space="preserve">«mai detto una cosa simile»</w:t>
      </w:r>
      <w:r>
        <w:rPr>
          <w:rFonts w:ascii="Barlow Semi Condensed" w:cs="Barlow Semi Condensed" w:eastAsia="Barlow Semi Condensed" w:hAnsi="Barlow Semi Condensed"/>
          <w:sz w:val="24"/>
          <w:szCs w:val="24"/>
        </w:rPr>
        <w:t xml:space="preserve">, chiedendo incredulo se in</w:t>
      </w:r>
    </w:p>
    <w:p>
      <w:pPr>
        <w:spacing w:after="120" w:line="276"/>
        <w:jc w:val="both"/>
      </w:pPr>
      <w:r>
        <w:rPr>
          <w:rFonts w:ascii="Barlow Semi Condensed" w:cs="Barlow Semi Condensed" w:eastAsia="Barlow Semi Condensed" w:hAnsi="Barlow Semi Condensed"/>
          <w:sz w:val="24"/>
          <w:szCs w:val="24"/>
        </w:rPr>
        <w:t xml:space="preserve">Italia si pensasse davvero questo di lui. È testimonianza giornalistica di un</w:t>
      </w:r>
    </w:p>
    <w:p>
      <w:pPr>
        <w:spacing w:after="120" w:line="276"/>
        <w:jc w:val="both"/>
      </w:pPr>
      <w:r>
        <w:rPr>
          <w:rFonts w:ascii="Barlow Semi Condensed" w:cs="Barlow Semi Condensed" w:eastAsia="Barlow Semi Condensed" w:hAnsi="Barlow Semi Condensed"/>
          <w:sz w:val="24"/>
          <w:szCs w:val="24"/>
        </w:rPr>
        <w:t xml:space="preserve">solo interlocutore, non un comunicato: vale quanto vale, e va detto quanto vale.</w:t>
      </w:r>
    </w:p>
    <w:p>
      <w:pPr>
        <w:spacing w:after="120" w:line="276"/>
        <w:jc w:val="both"/>
      </w:pPr>
      <w:r>
        <w:rPr>
          <w:rFonts w:ascii="Barlow Semi Condensed" w:cs="Barlow Semi Condensed" w:eastAsia="Barlow Semi Condensed" w:hAnsi="Barlow Semi Condensed"/>
          <w:sz w:val="24"/>
          <w:szCs w:val="24"/>
        </w:rPr>
        <w:t xml:space="preserve">Già nel 1983, però, l'agenzia americana scriveva che egli ammetteva la propria</w:t>
      </w:r>
    </w:p>
    <w:p>
      <w:pPr>
        <w:spacing w:after="120" w:line="276"/>
        <w:jc w:val="both"/>
      </w:pPr>
      <w:r>
        <w:rPr>
          <w:rFonts w:ascii="Barlow Semi Condensed" w:cs="Barlow Semi Condensed" w:eastAsia="Barlow Semi Condensed" w:hAnsi="Barlow Semi Condensed"/>
          <w:sz w:val="24"/>
          <w:szCs w:val="24"/>
        </w:rPr>
        <w:t xml:space="preserve">contrarietà all'ingresso dei comunisti al governo ma </w:t>
      </w:r>
      <w:r>
        <w:rPr>
          <w:rFonts w:ascii="Barlow Semi Condensed" w:cs="Barlow Semi Condensed" w:eastAsia="Barlow Semi Condensed" w:hAnsi="Barlow Semi Condensed"/>
          <w:b/>
          <w:bCs/>
          <w:sz w:val="24"/>
          <w:szCs w:val="24"/>
        </w:rPr>
        <w:t xml:space="preserve">aveva smentito più volte</w:t>
      </w:r>
    </w:p>
    <w:p>
      <w:pPr>
        <w:spacing w:after="120" w:line="276"/>
        <w:jc w:val="both"/>
      </w:pPr>
      <w:r>
        <w:rPr>
          <w:rFonts w:ascii="Barlow Semi Condensed" w:cs="Barlow Semi Condensed" w:eastAsia="Barlow Semi Condensed" w:hAnsi="Barlow Semi Condensed"/>
          <w:sz w:val="24"/>
          <w:szCs w:val="24"/>
        </w:rPr>
        <w:t xml:space="preserve">di aver rimproverato Moro. </w:t>
      </w:r>
      <w:r>
        <w:rPr>
          <w:rFonts w:ascii="Barlow Semi Condensed" w:cs="Barlow Semi Condensed" w:eastAsia="Barlow Semi Condensed" w:hAnsi="Barlow Semi Condensed"/>
          <w:b/>
          <w:bCs/>
          <w:sz w:val="24"/>
          <w:szCs w:val="24"/>
        </w:rPr>
        <w:t xml:space="preserve">Non ho reperito</w:t>
      </w:r>
      <w:r>
        <w:rPr>
          <w:rFonts w:ascii="Barlow Semi Condensed" w:cs="Barlow Semi Condensed" w:eastAsia="Barlow Semi Condensed" w:hAnsi="Barlow Semi Condensed"/>
          <w:sz w:val="24"/>
          <w:szCs w:val="24"/>
        </w:rPr>
        <w:t xml:space="preserve"> alcuna smentita formale di un</w:t>
      </w:r>
    </w:p>
    <w:p>
      <w:pPr>
        <w:spacing w:after="120" w:line="276"/>
        <w:jc w:val="both"/>
      </w:pPr>
      <w:r>
        <w:rPr>
          <w:rFonts w:ascii="Barlow Semi Condensed" w:cs="Barlow Semi Condensed" w:eastAsia="Barlow Semi Condensed" w:hAnsi="Barlow Semi Condensed"/>
          <w:sz w:val="24"/>
          <w:szCs w:val="24"/>
        </w:rPr>
        <w:t xml:space="preserve">portavoce personale sul merito. E un dato che pesa: **Kissinger non fu mai</w:t>
      </w:r>
    </w:p>
    <w:p>
      <w:pPr>
        <w:spacing w:after="120" w:line="276"/>
        <w:jc w:val="both"/>
      </w:pPr>
      <w:r>
        <w:rPr>
          <w:rFonts w:ascii="Barlow Semi Condensed" w:cs="Barlow Semi Condensed" w:eastAsia="Barlow Semi Condensed" w:hAnsi="Barlow Semi Condensed"/>
          <w:sz w:val="24"/>
          <w:szCs w:val="24"/>
        </w:rPr>
        <w:t xml:space="preserve">sentito dai magistrati italiani** — la richiesta informale del 1983 non ebbe</w:t>
      </w:r>
    </w:p>
    <w:p>
      <w:pPr>
        <w:spacing w:after="120" w:line="276"/>
        <w:jc w:val="both"/>
      </w:pPr>
      <w:r>
        <w:rPr>
          <w:rFonts w:ascii="Barlow Semi Condensed" w:cs="Barlow Semi Condensed" w:eastAsia="Barlow Semi Condensed" w:hAnsi="Barlow Semi Condensed"/>
          <w:sz w:val="24"/>
          <w:szCs w:val="24"/>
        </w:rPr>
        <w:t xml:space="preserve">seguito.</w:t>
      </w:r>
    </w:p>
    <w:p>
      <w:pPr>
        <w:spacing w:after="120" w:line="276"/>
        <w:jc w:val="both"/>
      </w:pPr>
      <w:r>
        <w:rPr>
          <w:rFonts w:ascii="Barlow Semi Condensed" w:cs="Barlow Semi Condensed" w:eastAsia="Barlow Semi Condensed" w:hAnsi="Barlow Semi Condensed"/>
          <w:sz w:val="24"/>
          <w:szCs w:val="24"/>
        </w:rPr>
        <w:t xml:space="preserve">Due testimoni italiani qualificati hanno negato la minaccia pur ammettendo la</w:t>
      </w:r>
    </w:p>
    <w:p>
      <w:pPr>
        <w:spacing w:after="120" w:line="276"/>
        <w:jc w:val="both"/>
      </w:pPr>
      <w:r>
        <w:rPr>
          <w:rFonts w:ascii="Barlow Semi Condensed" w:cs="Barlow Semi Condensed" w:eastAsia="Barlow Semi Condensed" w:hAnsi="Barlow Semi Condensed"/>
          <w:sz w:val="24"/>
          <w:szCs w:val="24"/>
        </w:rPr>
        <w:t xml:space="preserve">durezza del confronto. Uno la definì </w:t>
      </w:r>
      <w:r>
        <w:rPr>
          <w:rFonts w:ascii="Barlow Semi Condensed" w:cs="Barlow Semi Condensed" w:eastAsia="Barlow Semi Condensed" w:hAnsi="Barlow Semi Condensed"/>
          <w:b/>
          <w:bCs/>
          <w:sz w:val="24"/>
          <w:szCs w:val="24"/>
        </w:rPr>
        <w:t xml:space="preserve">«una leggenda che non ha fondamento»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dicendo di averlo verificato allora con l'interprete, **perché Moro non parlava</w:t>
      </w:r>
    </w:p>
    <w:p>
      <w:pPr>
        <w:spacing w:after="120" w:line="276"/>
        <w:jc w:val="both"/>
      </w:pPr>
      <w:r>
        <w:rPr>
          <w:rFonts w:ascii="Barlow Semi Condensed" w:cs="Barlow Semi Condensed" w:eastAsia="Barlow Semi Condensed" w:hAnsi="Barlow Semi Condensed"/>
          <w:sz w:val="24"/>
          <w:szCs w:val="24"/>
        </w:rPr>
        <w:t xml:space="preserve">inglese**; lo stesso testimone, altrove, ha però descritto un colloquio</w:t>
      </w:r>
    </w:p>
    <w:p>
      <w:pPr>
        <w:spacing w:after="120" w:line="276"/>
        <w:jc w:val="both"/>
      </w:pPr>
      <w:r>
        <w:rPr>
          <w:rFonts w:ascii="Barlow Semi Condensed" w:cs="Barlow Semi Condensed" w:eastAsia="Barlow Semi Condensed" w:hAnsi="Barlow Semi Condensed"/>
          <w:sz w:val="24"/>
          <w:szCs w:val="24"/>
        </w:rPr>
        <w:t xml:space="preserve">politicamente durissimo, distinguendo il rimprovero aspro dalla minaccia. Un</w:t>
      </w:r>
    </w:p>
    <w:p>
      <w:pPr>
        <w:spacing w:after="120" w:line="276"/>
        <w:jc w:val="both"/>
      </w:pPr>
      <w:r>
        <w:rPr>
          <w:rFonts w:ascii="Barlow Semi Condensed" w:cs="Barlow Semi Condensed" w:eastAsia="Barlow Semi Condensed" w:hAnsi="Barlow Semi Condensed"/>
          <w:sz w:val="24"/>
          <w:szCs w:val="24"/>
        </w:rPr>
        <w:t xml:space="preserve">altro parlò di </w:t>
      </w:r>
      <w:r>
        <w:rPr>
          <w:rFonts w:ascii="Barlow Semi Condensed" w:cs="Barlow Semi Condensed" w:eastAsia="Barlow Semi Condensed" w:hAnsi="Barlow Semi Condensed"/>
          <w:b/>
          <w:bCs/>
          <w:sz w:val="24"/>
          <w:szCs w:val="24"/>
        </w:rPr>
        <w:t xml:space="preserve">«solo un problema di linguaggio»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dettaglio dell'interprete è il più concreto di tutta la vicenda, e tocca la</w:t>
      </w:r>
    </w:p>
    <w:p>
      <w:pPr>
        <w:spacing w:after="120" w:line="276"/>
        <w:jc w:val="both"/>
      </w:pPr>
      <w:r>
        <w:rPr>
          <w:rFonts w:ascii="Barlow Semi Condensed" w:cs="Barlow Semi Condensed" w:eastAsia="Barlow Semi Condensed" w:hAnsi="Barlow Semi Condensed"/>
          <w:sz w:val="24"/>
          <w:szCs w:val="24"/>
        </w:rPr>
        <w:t xml:space="preserve">plausibilità materiale di uno scambio verbale diretto e riservato: una minaccia</w:t>
      </w:r>
    </w:p>
    <w:p>
      <w:pPr>
        <w:spacing w:after="120" w:line="276"/>
        <w:jc w:val="both"/>
      </w:pPr>
      <w:r>
        <w:rPr>
          <w:rFonts w:ascii="Barlow Semi Condensed" w:cs="Barlow Semi Condensed" w:eastAsia="Barlow Semi Condensed" w:hAnsi="Barlow Semi Condensed"/>
          <w:sz w:val="24"/>
          <w:szCs w:val="24"/>
        </w:rPr>
        <w:t xml:space="preserve">sussurrata a margine ha bisogno di una lingua comune, o di un terzo che traduca —</w:t>
      </w:r>
    </w:p>
    <w:p>
      <w:pPr>
        <w:spacing w:after="120" w:line="276"/>
        <w:jc w:val="both"/>
      </w:pPr>
      <w:r>
        <w:rPr>
          <w:rFonts w:ascii="Barlow Semi Condensed" w:cs="Barlow Semi Condensed" w:eastAsia="Barlow Semi Condensed" w:hAnsi="Barlow Semi Condensed"/>
          <w:sz w:val="24"/>
          <w:szCs w:val="24"/>
        </w:rPr>
        <w:t xml:space="preserve">e un terzo che traduce è un testimone in più, di cui non si ha notizia. Ma non</w:t>
      </w:r>
    </w:p>
    <w:p>
      <w:pPr>
        <w:spacing w:after="120" w:line="276"/>
        <w:jc w:val="both"/>
      </w:pPr>
      <w:r>
        <w:rPr>
          <w:rFonts w:ascii="Barlow Semi Condensed" w:cs="Barlow Semi Condensed" w:eastAsia="Barlow Semi Condensed" w:hAnsi="Barlow Semi Condensed"/>
          <w:sz w:val="24"/>
          <w:szCs w:val="24"/>
        </w:rPr>
        <w:t xml:space="preserve">concludo neppure di qui, per una ragione semplice: **nessuna di queste smentite</w:t>
      </w:r>
    </w:p>
    <w:p>
      <w:pPr>
        <w:spacing w:after="120" w:line="276"/>
        <w:jc w:val="both"/>
      </w:pPr>
      <w:r>
        <w:rPr>
          <w:rFonts w:ascii="Barlow Semi Condensed" w:cs="Barlow Semi Condensed" w:eastAsia="Barlow Semi Condensed" w:hAnsi="Barlow Semi Condensed"/>
          <w:sz w:val="24"/>
          <w:szCs w:val="24"/>
        </w:rPr>
        <w:t xml:space="preserve">proviene da un presente al colloquio riservato**. Chi nega non c'era più di</w:t>
      </w:r>
    </w:p>
    <w:p>
      <w:pPr>
        <w:spacing w:after="120" w:line="276"/>
        <w:jc w:val="both"/>
      </w:pPr>
      <w:r>
        <w:rPr>
          <w:rFonts w:ascii="Barlow Semi Condensed" w:cs="Barlow Semi Condensed" w:eastAsia="Barlow Semi Condensed" w:hAnsi="Barlow Semi Condensed"/>
          <w:sz w:val="24"/>
          <w:szCs w:val="24"/>
        </w:rPr>
        <w:t xml:space="preserve">quanto ci fosse chi afferma. Si riportano tutte, e nessuna chiude.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7. Cento fonti che sono una</w:t>
      </w:r>
    </w:p>
    <w:p>
      <w:pPr>
        <w:spacing w:after="120" w:line="276"/>
        <w:jc w:val="both"/>
      </w:pPr>
      <w:r>
        <w:rPr>
          <w:rFonts w:ascii="Barlow Semi Condensed" w:cs="Barlow Semi Condensed" w:eastAsia="Barlow Semi Condensed" w:hAnsi="Barlow Semi Condensed"/>
          <w:sz w:val="24"/>
          <w:szCs w:val="24"/>
        </w:rPr>
        <w:t xml:space="preserve">Resta il punto che, per il metodo, conta più di tutti gli altri messi insieme.</w:t>
      </w:r>
    </w:p>
    <w:p>
      <w:pPr>
        <w:spacing w:after="120" w:line="276"/>
        <w:jc w:val="both"/>
      </w:pPr>
      <w:r>
        <w:rPr>
          <w:rFonts w:ascii="Barlow Semi Condensed" w:cs="Barlow Semi Condensed" w:eastAsia="Barlow Semi Condensed" w:hAnsi="Barlow Semi Condensed"/>
          <w:sz w:val="24"/>
          <w:szCs w:val="24"/>
        </w:rPr>
        <w:t xml:space="preserve">Chi cerca oggi questa vicenda trova decine di pagine che la riportano. Testate,</w:t>
      </w:r>
    </w:p>
    <w:p>
      <w:pPr>
        <w:spacing w:after="120" w:line="276"/>
        <w:jc w:val="both"/>
      </w:pPr>
      <w:r>
        <w:rPr>
          <w:rFonts w:ascii="Barlow Semi Condensed" w:cs="Barlow Semi Condensed" w:eastAsia="Barlow Semi Condensed" w:hAnsi="Barlow Semi Condensed"/>
          <w:sz w:val="24"/>
          <w:szCs w:val="24"/>
        </w:rPr>
        <w:t xml:space="preserve">siti, aggregatori, enciclopedie collaborative, blog. La sensazione, per il</w:t>
      </w:r>
    </w:p>
    <w:p>
      <w:pPr>
        <w:spacing w:after="120" w:line="276"/>
        <w:jc w:val="both"/>
      </w:pPr>
      <w:r>
        <w:rPr>
          <w:rFonts w:ascii="Barlow Semi Condensed" w:cs="Barlow Semi Condensed" w:eastAsia="Barlow Semi Condensed" w:hAnsi="Barlow Semi Condensed"/>
          <w:sz w:val="24"/>
          <w:szCs w:val="24"/>
        </w:rPr>
        <w:t xml:space="preserve">lettore, è quella di una </w:t>
      </w:r>
      <w:r>
        <w:rPr>
          <w:rFonts w:ascii="Barlow Semi Condensed" w:cs="Barlow Semi Condensed" w:eastAsia="Barlow Semi Condensed" w:hAnsi="Barlow Semi Condensed"/>
          <w:b/>
          <w:bCs/>
          <w:sz w:val="24"/>
          <w:szCs w:val="24"/>
        </w:rPr>
        <w:t xml:space="preserve">convergenza</w:t>
      </w:r>
      <w:r>
        <w:rPr>
          <w:rFonts w:ascii="Barlow Semi Condensed" w:cs="Barlow Semi Condensed" w:eastAsia="Barlow Semi Condensed" w:hAnsi="Barlow Semi Condensed"/>
          <w:sz w:val="24"/>
          <w:szCs w:val="24"/>
        </w:rPr>
        <w:t xml:space="preserve">: tante fonti che dicono la stessa cosa.</w:t>
      </w:r>
    </w:p>
    <w:p>
      <w:pPr>
        <w:spacing w:after="120" w:line="276"/>
        <w:jc w:val="both"/>
      </w:pPr>
      <w:r>
        <w:rPr>
          <w:rFonts w:ascii="Barlow Semi Condensed" w:cs="Barlow Semi Condensed" w:eastAsia="Barlow Semi Condensed" w:hAnsi="Barlow Semi Condensed"/>
          <w:sz w:val="24"/>
          <w:szCs w:val="24"/>
        </w:rPr>
        <w:t xml:space="preserve">E la convergenza di fonti indipendenti è, giustamente, uno dei criteri più solidi</w:t>
      </w:r>
    </w:p>
    <w:p>
      <w:pPr>
        <w:spacing w:after="120" w:line="276"/>
        <w:jc w:val="both"/>
      </w:pPr>
      <w:r>
        <w:rPr>
          <w:rFonts w:ascii="Barlow Semi Condensed" w:cs="Barlow Semi Condensed" w:eastAsia="Barlow Semi Condensed" w:hAnsi="Barlow Semi Condensed"/>
          <w:sz w:val="24"/>
          <w:szCs w:val="24"/>
        </w:rPr>
        <w:t xml:space="preserve">che abbiamo.</w:t>
      </w:r>
    </w:p>
    <w:p>
      <w:pPr>
        <w:spacing w:after="120" w:line="276"/>
        <w:jc w:val="both"/>
      </w:pPr>
      <w:r>
        <w:rPr>
          <w:rFonts w:ascii="Barlow Semi Condensed" w:cs="Barlow Semi Condensed" w:eastAsia="Barlow Semi Condensed" w:hAnsi="Barlow Semi Condensed"/>
          <w:sz w:val="24"/>
          <w:szCs w:val="24"/>
        </w:rPr>
        <w:t xml:space="preserve">Ma quelle fonti non sono indipendenti. Riportano la frase **in forma pressoché</w:t>
      </w:r>
    </w:p>
    <w:p>
      <w:pPr>
        <w:spacing w:after="120" w:line="276"/>
        <w:jc w:val="both"/>
      </w:pPr>
      <w:r>
        <w:rPr>
          <w:rFonts w:ascii="Barlow Semi Condensed" w:cs="Barlow Semi Condensed" w:eastAsia="Barlow Semi Condensed" w:hAnsi="Barlow Semi Condensed"/>
          <w:sz w:val="24"/>
          <w:szCs w:val="24"/>
        </w:rPr>
        <w:t xml:space="preserve">identica**, con gli stessi incisi e gli stessi errori, e risalgono — a spoglio —</w:t>
      </w:r>
    </w:p>
    <w:p>
      <w:pPr>
        <w:spacing w:after="120" w:line="276"/>
        <w:jc w:val="both"/>
      </w:pPr>
      <w:r>
        <w:rPr>
          <w:rFonts w:ascii="Barlow Semi Condensed" w:cs="Barlow Semi Condensed" w:eastAsia="Barlow Semi Condensed" w:hAnsi="Barlow Semi Condensed"/>
          <w:sz w:val="24"/>
          <w:szCs w:val="24"/>
        </w:rPr>
        <w:t xml:space="preserve">a </w:t>
      </w:r>
      <w:r>
        <w:rPr>
          <w:rFonts w:ascii="Barlow Semi Condensed" w:cs="Barlow Semi Condensed" w:eastAsia="Barlow Semi Condensed" w:hAnsi="Barlow Semi Condensed"/>
          <w:b/>
          <w:bCs/>
          <w:sz w:val="24"/>
          <w:szCs w:val="24"/>
        </w:rPr>
        <w:t xml:space="preserve">un unico lancio d'agenzia del 30 novembre 2023</w:t>
      </w:r>
      <w:r>
        <w:rPr>
          <w:rFonts w:ascii="Barlow Semi Condensed" w:cs="Barlow Semi Condensed" w:eastAsia="Barlow Semi Condensed" w:hAnsi="Barlow Semi Condensed"/>
          <w:sz w:val="24"/>
          <w:szCs w:val="24"/>
        </w:rPr>
        <w:t xml:space="preserve">, il giorno della morte di</w:t>
      </w:r>
    </w:p>
    <w:p>
      <w:pPr>
        <w:spacing w:after="120" w:line="276"/>
        <w:jc w:val="both"/>
      </w:pPr>
      <w:r>
        <w:rPr>
          <w:rFonts w:ascii="Barlow Semi Condensed" w:cs="Barlow Semi Condensed" w:eastAsia="Barlow Semi Condensed" w:hAnsi="Barlow Semi Condensed"/>
          <w:sz w:val="24"/>
          <w:szCs w:val="24"/>
        </w:rPr>
        <w:t xml:space="preserve">Kissinger. Sul piano internazionale la vicenda era già stata rilanciata nel 1982</w:t>
      </w:r>
    </w:p>
    <w:p>
      <w:pPr>
        <w:spacing w:after="120" w:line="276"/>
        <w:jc w:val="both"/>
      </w:pPr>
      <w:r>
        <w:rPr>
          <w:rFonts w:ascii="Barlow Semi Condensed" w:cs="Barlow Semi Condensed" w:eastAsia="Barlow Semi Condensed" w:hAnsi="Barlow Semi Condensed"/>
          <w:sz w:val="24"/>
          <w:szCs w:val="24"/>
        </w:rPr>
        <w:t xml:space="preserve">da una pubblicazione di orientamento apertamente cospirazionista, che è dato di</w:t>
      </w:r>
    </w:p>
    <w:p>
      <w:pPr>
        <w:spacing w:after="120" w:line="276"/>
        <w:jc w:val="both"/>
      </w:pPr>
      <w:r>
        <w:rPr>
          <w:rFonts w:ascii="Barlow Semi Condensed" w:cs="Barlow Semi Condensed" w:eastAsia="Barlow Semi Condensed" w:hAnsi="Barlow Semi Condensed"/>
          <w:sz w:val="24"/>
          <w:szCs w:val="24"/>
        </w:rPr>
        <w:t xml:space="preserve">circolazione e non riscontro.</w:t>
      </w:r>
    </w:p>
    <w:p>
      <w:pPr>
        <w:spacing w:after="120" w:line="276"/>
        <w:jc w:val="both"/>
      </w:pPr>
      <w:r>
        <w:rPr>
          <w:rFonts w:ascii="Barlow Semi Condensed" w:cs="Barlow Semi Condensed" w:eastAsia="Barlow Semi Condensed" w:hAnsi="Barlow Semi Condensed"/>
          <w:sz w:val="24"/>
          <w:szCs w:val="24"/>
        </w:rPr>
        <w:t xml:space="preserve">Cento riprese di una sola origine </w:t>
      </w:r>
      <w:r>
        <w:rPr>
          <w:rFonts w:ascii="Barlow Semi Condensed" w:cs="Barlow Semi Condensed" w:eastAsia="Barlow Semi Condensed" w:hAnsi="Barlow Semi Condensed"/>
          <w:b/>
          <w:bCs/>
          <w:sz w:val="24"/>
          <w:szCs w:val="24"/>
        </w:rPr>
        <w:t xml:space="preserve">restano una sola fonte</w:t>
      </w:r>
      <w:r>
        <w:rPr>
          <w:rFonts w:ascii="Barlow Semi Condensed" w:cs="Barlow Semi Condensed" w:eastAsia="Barlow Semi Condensed" w:hAnsi="Barlow Semi Condensed"/>
          <w:sz w:val="24"/>
          <w:szCs w:val="24"/>
        </w:rPr>
        <w:t xml:space="preserve">. Il numero delle</w:t>
      </w:r>
    </w:p>
    <w:p>
      <w:pPr>
        <w:spacing w:after="120" w:line="276"/>
        <w:jc w:val="both"/>
      </w:pPr>
      <w:r>
        <w:rPr>
          <w:rFonts w:ascii="Barlow Semi Condensed" w:cs="Barlow Semi Condensed" w:eastAsia="Barlow Semi Condensed" w:hAnsi="Barlow Semi Condensed"/>
          <w:sz w:val="24"/>
          <w:szCs w:val="24"/>
        </w:rPr>
        <w:t xml:space="preserve">ripetizioni non aggiunge un grammo di valore probatorio: è replicazione senza</w:t>
      </w:r>
    </w:p>
    <w:p>
      <w:pPr>
        <w:spacing w:after="120" w:line="276"/>
        <w:jc w:val="both"/>
      </w:pPr>
      <w:r>
        <w:rPr>
          <w:rFonts w:ascii="Barlow Semi Condensed" w:cs="Barlow Semi Condensed" w:eastAsia="Barlow Semi Condensed" w:hAnsi="Barlow Semi Condensed"/>
          <w:sz w:val="24"/>
          <w:szCs w:val="24"/>
        </w:rPr>
        <w:t xml:space="preserve">informazione nuova.</w:t>
      </w:r>
    </w:p>
    <w:p>
      <w:pPr>
        <w:spacing w:after="120" w:line="276"/>
        <w:jc w:val="both"/>
      </w:pPr>
      <w:r>
        <w:rPr>
          <w:rFonts w:ascii="Barlow Semi Condensed" w:cs="Barlow Semi Condensed" w:eastAsia="Barlow Semi Condensed" w:hAnsi="Barlow Semi Condensed"/>
          <w:sz w:val="24"/>
          <w:szCs w:val="24"/>
        </w:rPr>
        <w:t xml:space="preserve">Questo è il punto in cui una macchina messa a cercare fa esattamente il danno</w:t>
      </w:r>
    </w:p>
    <w:p>
      <w:pPr>
        <w:spacing w:after="120" w:line="276"/>
        <w:jc w:val="both"/>
      </w:pPr>
      <w:r>
        <w:rPr>
          <w:rFonts w:ascii="Barlow Semi Condensed" w:cs="Barlow Semi Condensed" w:eastAsia="Barlow Semi Condensed" w:hAnsi="Barlow Semi Condensed"/>
          <w:sz w:val="24"/>
          <w:szCs w:val="24"/>
        </w:rPr>
        <w:t xml:space="preserve">peggiore, e per una ragione strutturale, non per un difetto correggibile. Un</w:t>
      </w:r>
    </w:p>
    <w:p>
      <w:pPr>
        <w:spacing w:after="120" w:line="276"/>
        <w:jc w:val="both"/>
      </w:pPr>
      <w:r>
        <w:rPr>
          <w:rFonts w:ascii="Barlow Semi Condensed" w:cs="Barlow Semi Condensed" w:eastAsia="Barlow Semi Condensed" w:hAnsi="Barlow Semi Condensed"/>
          <w:sz w:val="24"/>
          <w:szCs w:val="24"/>
        </w:rPr>
        <w:t xml:space="preserve">sistema addestrato su testi ha visto quella frase cento volte. Cento occorrenze,</w:t>
      </w:r>
    </w:p>
    <w:p>
      <w:pPr>
        <w:spacing w:after="120" w:line="276"/>
        <w:jc w:val="both"/>
      </w:pPr>
      <w:r>
        <w:rPr>
          <w:rFonts w:ascii="Barlow Semi Condensed" w:cs="Barlow Semi Condensed" w:eastAsia="Barlow Semi Condensed" w:hAnsi="Barlow Semi Condensed"/>
          <w:sz w:val="24"/>
          <w:szCs w:val="24"/>
        </w:rPr>
        <w:t xml:space="preserve">in un modello statistico, sono un fatto stabile: la frase </w:t>
      </w:r>
      <w:r>
        <w:rPr>
          <w:rFonts w:ascii="Barlow Semi Condensed" w:cs="Barlow Semi Condensed" w:eastAsia="Barlow Semi Condensed" w:hAnsi="Barlow Semi Condensed"/>
          <w:i/>
          <w:iCs/>
          <w:sz w:val="24"/>
          <w:szCs w:val="24"/>
        </w:rPr>
        <w:t xml:space="preserve">è</w:t>
      </w:r>
      <w:r>
        <w:rPr>
          <w:rFonts w:ascii="Barlow Semi Condensed" w:cs="Barlow Semi Condensed" w:eastAsia="Barlow Semi Condensed" w:hAnsi="Barlow Semi Condensed"/>
          <w:sz w:val="24"/>
          <w:szCs w:val="24"/>
        </w:rPr>
        <w:t xml:space="preserve"> nel mondo, ricorre,</w:t>
      </w:r>
    </w:p>
    <w:p>
      <w:pPr>
        <w:spacing w:after="120" w:line="276"/>
        <w:jc w:val="both"/>
      </w:pPr>
      <w:r>
        <w:rPr>
          <w:rFonts w:ascii="Barlow Semi Condensed" w:cs="Barlow Semi Condensed" w:eastAsia="Barlow Semi Condensed" w:hAnsi="Barlow Semi Condensed"/>
          <w:sz w:val="24"/>
          <w:szCs w:val="24"/>
        </w:rPr>
        <w:t xml:space="preserve">si presenta in contesti coerenti. Che le cento occorrenze abbiano un solo</w:t>
      </w:r>
    </w:p>
    <w:p>
      <w:pPr>
        <w:spacing w:after="120" w:line="276"/>
        <w:jc w:val="both"/>
      </w:pPr>
      <w:r>
        <w:rPr>
          <w:rFonts w:ascii="Barlow Semi Condensed" w:cs="Barlow Semi Condensed" w:eastAsia="Barlow Semi Condensed" w:hAnsi="Barlow Semi Condensed"/>
          <w:sz w:val="24"/>
          <w:szCs w:val="24"/>
        </w:rPr>
        <w:t xml:space="preserve">antenato è un'informazione che nel testo </w:t>
      </w:r>
      <w:r>
        <w:rPr>
          <w:rFonts w:ascii="Barlow Semi Condensed" w:cs="Barlow Semi Condensed" w:eastAsia="Barlow Semi Condensed" w:hAnsi="Barlow Semi Condensed"/>
          <w:b/>
          <w:bCs/>
          <w:sz w:val="24"/>
          <w:szCs w:val="24"/>
        </w:rPr>
        <w:t xml:space="preserve">non c'è</w:t>
      </w:r>
      <w:r>
        <w:rPr>
          <w:rFonts w:ascii="Barlow Semi Condensed" w:cs="Barlow Semi Condensed" w:eastAsia="Barlow Semi Condensed" w:hAnsi="Barlow Semi Condensed"/>
          <w:sz w:val="24"/>
          <w:szCs w:val="24"/>
        </w:rPr>
        <w:t xml:space="preserve">, perché nessuna delle cento</w:t>
      </w:r>
    </w:p>
    <w:p>
      <w:pPr>
        <w:spacing w:after="120" w:line="276"/>
        <w:jc w:val="both"/>
      </w:pPr>
      <w:r>
        <w:rPr>
          <w:rFonts w:ascii="Barlow Semi Condensed" w:cs="Barlow Semi Condensed" w:eastAsia="Barlow Semi Condensed" w:hAnsi="Barlow Semi Condensed"/>
          <w:sz w:val="24"/>
          <w:szCs w:val="24"/>
        </w:rPr>
        <w:t xml:space="preserve">copie porta scritto da dove viene. Bisogna andarla a cercare, con lo spoglio, a</w:t>
      </w:r>
    </w:p>
    <w:p>
      <w:pPr>
        <w:spacing w:after="120" w:line="276"/>
        <w:jc w:val="both"/>
      </w:pPr>
      <w:r>
        <w:rPr>
          <w:rFonts w:ascii="Barlow Semi Condensed" w:cs="Barlow Semi Condensed" w:eastAsia="Barlow Semi Condensed" w:hAnsi="Barlow Semi Condensed"/>
          <w:sz w:val="24"/>
          <w:szCs w:val="24"/>
        </w:rPr>
        <w:t xml:space="preserve">mano, guardando le date.</w:t>
      </w:r>
    </w:p>
    <w:p>
      <w:pPr>
        <w:spacing w:after="120" w:line="276"/>
        <w:jc w:val="both"/>
      </w:pPr>
      <w:r>
        <w:rPr>
          <w:rFonts w:ascii="Barlow Semi Condensed" w:cs="Barlow Semi Condensed" w:eastAsia="Barlow Semi Condensed" w:hAnsi="Barlow Semi Condensed"/>
          <w:sz w:val="24"/>
          <w:szCs w:val="24"/>
        </w:rPr>
        <w:t xml:space="preserve">Ho chiesto a sistemi di intelligenza artificiale, in modi diversi e in momenti</w:t>
      </w:r>
    </w:p>
    <w:p>
      <w:pPr>
        <w:spacing w:after="120" w:line="276"/>
        <w:jc w:val="both"/>
      </w:pPr>
      <w:r>
        <w:rPr>
          <w:rFonts w:ascii="Barlow Semi Condensed" w:cs="Barlow Semi Condensed" w:eastAsia="Barlow Semi Condensed" w:hAnsi="Barlow Semi Condensed"/>
          <w:sz w:val="24"/>
          <w:szCs w:val="24"/>
        </w:rPr>
        <w:t xml:space="preserve">diversi, che cosa fosse successo il 25 settembre 1974. Ho ricevuto</w:t>
      </w:r>
    </w:p>
    <w:p>
      <w:pPr>
        <w:spacing w:after="120" w:line="276"/>
        <w:jc w:val="both"/>
      </w:pPr>
      <w:r>
        <w:rPr>
          <w:rFonts w:ascii="Barlow Semi Condensed" w:cs="Barlow Semi Condensed" w:eastAsia="Barlow Semi Condensed" w:hAnsi="Barlow Semi Condensed"/>
          <w:sz w:val="24"/>
          <w:szCs w:val="24"/>
        </w:rPr>
        <w:t xml:space="preserve">risposte fluenti, corrette nella forma, prudenti nel tono, e concordi</w:t>
      </w:r>
    </w:p>
    <w:p>
      <w:pPr>
        <w:spacing w:after="120" w:line="276"/>
        <w:jc w:val="both"/>
      </w:pPr>
      <w:r>
        <w:rPr>
          <w:rFonts w:ascii="Barlow Semi Condensed" w:cs="Barlow Semi Condensed" w:eastAsia="Barlow Semi Condensed" w:hAnsi="Barlow Semi Condensed"/>
          <w:sz w:val="24"/>
          <w:szCs w:val="24"/>
        </w:rPr>
        <w:t xml:space="preserve">nell'attribuire la frase a quel giorno e a quella stanza. Non è una loro</w:t>
      </w:r>
    </w:p>
    <w:p>
      <w:pPr>
        <w:spacing w:after="120" w:line="276"/>
        <w:jc w:val="both"/>
      </w:pPr>
      <w:r>
        <w:rPr>
          <w:rFonts w:ascii="Barlow Semi Condensed" w:cs="Barlow Semi Condensed" w:eastAsia="Barlow Semi Condensed" w:hAnsi="Barlow Semi Condensed"/>
          <w:sz w:val="24"/>
          <w:szCs w:val="24"/>
        </w:rPr>
        <w:t xml:space="preserve">patologia. È il comportamento previsto di uno strumento che misura la frequenza e</w:t>
      </w:r>
    </w:p>
    <w:p>
      <w:pPr>
        <w:spacing w:after="120" w:line="276"/>
        <w:jc w:val="both"/>
      </w:pPr>
      <w:r>
        <w:rPr>
          <w:rFonts w:ascii="Barlow Semi Condensed" w:cs="Barlow Semi Condensed" w:eastAsia="Barlow Semi Condensed" w:hAnsi="Barlow Semi Condensed"/>
          <w:sz w:val="24"/>
          <w:szCs w:val="24"/>
        </w:rPr>
        <w:t xml:space="preserve">non la discendenza — e la stessa cosa che fa un lettore umano quando apre cinque</w:t>
      </w:r>
    </w:p>
    <w:p>
      <w:pPr>
        <w:spacing w:after="120" w:line="276"/>
        <w:jc w:val="both"/>
      </w:pPr>
      <w:r>
        <w:rPr>
          <w:rFonts w:ascii="Barlow Semi Condensed" w:cs="Barlow Semi Condensed" w:eastAsia="Barlow Semi Condensed" w:hAnsi="Barlow Semi Condensed"/>
          <w:sz w:val="24"/>
          <w:szCs w:val="24"/>
        </w:rPr>
        <w:t xml:space="preserve">schede del browser, le trova concordi e si convince.</w:t>
      </w:r>
    </w:p>
    <w:p>
      <w:pPr>
        <w:spacing w:after="120" w:line="276"/>
        <w:jc w:val="both"/>
      </w:pPr>
      <w:r>
        <w:rPr>
          <w:rFonts w:ascii="Barlow Semi Condensed" w:cs="Barlow Semi Condensed" w:eastAsia="Barlow Semi Condensed" w:hAnsi="Barlow Semi Condensed"/>
          <w:sz w:val="24"/>
          <w:szCs w:val="24"/>
        </w:rPr>
        <w:t xml:space="preserve">Lo strumento non ha introdotto un errore nuovo. **Ha eseguito il nostro, più in</w:t>
      </w:r>
    </w:p>
    <w:p>
      <w:pPr>
        <w:spacing w:after="120" w:line="276"/>
        <w:jc w:val="both"/>
      </w:pPr>
      <w:r>
        <w:rPr>
          <w:rFonts w:ascii="Barlow Semi Condensed" w:cs="Barlow Semi Condensed" w:eastAsia="Barlow Semi Condensed" w:hAnsi="Barlow Semi Condensed"/>
          <w:sz w:val="24"/>
          <w:szCs w:val="24"/>
        </w:rPr>
        <w:t xml:space="preserve">fretta.**</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8. Metà tavolo</w:t>
      </w:r>
    </w:p>
    <w:p>
      <w:pPr>
        <w:spacing w:after="120" w:line="276"/>
        <w:jc w:val="both"/>
      </w:pPr>
      <w:r>
        <w:rPr>
          <w:rFonts w:ascii="Barlow Semi Condensed" w:cs="Barlow Semi Condensed" w:eastAsia="Barlow Semi Condensed" w:hAnsi="Barlow Semi Condensed"/>
          <w:sz w:val="24"/>
          <w:szCs w:val="24"/>
        </w:rPr>
        <w:t xml:space="preserve">E arrivo alla cosa che, di tutto questo capitolo, mi ha colpito di più — e che</w:t>
      </w:r>
    </w:p>
    <w:p>
      <w:pPr>
        <w:spacing w:after="120" w:line="276"/>
        <w:jc w:val="both"/>
      </w:pPr>
      <w:r>
        <w:rPr>
          <w:rFonts w:ascii="Barlow Semi Condensed" w:cs="Barlow Semi Condensed" w:eastAsia="Barlow Semi Condensed" w:hAnsi="Barlow Semi Condensed"/>
          <w:sz w:val="24"/>
          <w:szCs w:val="24"/>
        </w:rPr>
        <w:t xml:space="preserve">non è una smentita, è una lacuna.</w:t>
      </w:r>
    </w:p>
    <w:p>
      <w:pPr>
        <w:spacing w:after="120" w:line="276"/>
        <w:jc w:val="both"/>
      </w:pPr>
      <w:r>
        <w:rPr>
          <w:rFonts w:ascii="Barlow Semi Condensed" w:cs="Barlow Semi Condensed" w:eastAsia="Barlow Semi Condensed" w:hAnsi="Barlow Semi Condensed"/>
          <w:sz w:val="24"/>
          <w:szCs w:val="24"/>
        </w:rPr>
        <w:t xml:space="preserve">Di quel colloquio esiste </w:t>
      </w:r>
      <w:r>
        <w:rPr>
          <w:rFonts w:ascii="Barlow Semi Condensed" w:cs="Barlow Semi Condensed" w:eastAsia="Barlow Semi Condensed" w:hAnsi="Barlow Semi Condensed"/>
          <w:b/>
          <w:bCs/>
          <w:sz w:val="24"/>
          <w:szCs w:val="24"/>
        </w:rPr>
        <w:t xml:space="preserve">un solo verbale: quello americano</w:t>
      </w:r>
      <w:r>
        <w:rPr>
          <w:rFonts w:ascii="Barlow Semi Condensed" w:cs="Barlow Semi Condensed" w:eastAsia="Barlow Semi Condensed" w:hAnsi="Barlow Semi Condensed"/>
          <w:sz w:val="24"/>
          <w:szCs w:val="24"/>
        </w:rPr>
        <w:t xml:space="preserve">. Redatto dallo</w:t>
      </w:r>
    </w:p>
    <w:p>
      <w:pPr>
        <w:spacing w:after="120" w:line="276"/>
        <w:jc w:val="both"/>
      </w:pPr>
      <w:r>
        <w:rPr>
          <w:rFonts w:ascii="Barlow Semi Condensed" w:cs="Barlow Semi Condensed" w:eastAsia="Barlow Semi Condensed" w:hAnsi="Barlow Semi Condensed"/>
          <w:sz w:val="24"/>
          <w:szCs w:val="24"/>
        </w:rPr>
        <w:t xml:space="preserve">staff della Casa Bianca, in inglese, per uso dell'amministrazione americana.</w:t>
      </w:r>
    </w:p>
    <w:p>
      <w:pPr>
        <w:spacing w:after="120" w:line="276"/>
        <w:jc w:val="both"/>
      </w:pPr>
      <w:r>
        <w:rPr>
          <w:rFonts w:ascii="Barlow Semi Condensed" w:cs="Barlow Semi Condensed" w:eastAsia="Barlow Semi Condensed" w:hAnsi="Barlow Semi Condensed"/>
          <w:sz w:val="24"/>
          <w:szCs w:val="24"/>
        </w:rPr>
        <w:t xml:space="preserve">Dall'altra parte del tavolo sedevano il Presidente della Repubblica italiana e il</w:t>
      </w:r>
    </w:p>
    <w:p>
      <w:pPr>
        <w:spacing w:after="120" w:line="276"/>
        <w:jc w:val="both"/>
      </w:pPr>
      <w:r>
        <w:rPr>
          <w:rFonts w:ascii="Barlow Semi Condensed" w:cs="Barlow Semi Condensed" w:eastAsia="Barlow Semi Condensed" w:hAnsi="Barlow Semi Condensed"/>
          <w:sz w:val="24"/>
          <w:szCs w:val="24"/>
        </w:rPr>
        <w:t xml:space="preserve">ministro degli Esteri italiano. Un ministro degli Esteri che esce da un</w:t>
      </w:r>
    </w:p>
    <w:p>
      <w:pPr>
        <w:spacing w:after="120" w:line="276"/>
        <w:jc w:val="both"/>
      </w:pPr>
      <w:r>
        <w:rPr>
          <w:rFonts w:ascii="Barlow Semi Condensed" w:cs="Barlow Semi Condensed" w:eastAsia="Barlow Semi Condensed" w:hAnsi="Barlow Semi Condensed"/>
          <w:sz w:val="24"/>
          <w:szCs w:val="24"/>
        </w:rPr>
        <w:t xml:space="preserve">bilaterale col Presidente degli Stati Uniti </w:t>
      </w:r>
      <w:r>
        <w:rPr>
          <w:rFonts w:ascii="Barlow Semi Condensed" w:cs="Barlow Semi Condensed" w:eastAsia="Barlow Semi Condensed" w:hAnsi="Barlow Semi Condensed"/>
          <w:b/>
          <w:bCs/>
          <w:sz w:val="24"/>
          <w:szCs w:val="24"/>
        </w:rPr>
        <w:t xml:space="preserve">fa stendere un appunto</w:t>
      </w:r>
      <w:r>
        <w:rPr>
          <w:rFonts w:ascii="Barlow Semi Condensed" w:cs="Barlow Semi Condensed" w:eastAsia="Barlow Semi Condensed" w:hAnsi="Barlow Semi Condensed"/>
          <w:sz w:val="24"/>
          <w:szCs w:val="24"/>
        </w:rPr>
        <w:t xml:space="preserve">: un</w:t>
      </w:r>
    </w:p>
    <w:p>
      <w:pPr>
        <w:spacing w:after="120" w:line="276"/>
        <w:jc w:val="both"/>
      </w:pPr>
      <w:r>
        <w:rPr>
          <w:rFonts w:ascii="Barlow Semi Condensed" w:cs="Barlow Semi Condensed" w:eastAsia="Barlow Semi Condensed" w:hAnsi="Barlow Semi Condensed"/>
          <w:sz w:val="24"/>
          <w:szCs w:val="24"/>
        </w:rPr>
        <w:t xml:space="preserve">telespresso, una nota di gabinetto, un promemoria per il Presidente del</w:t>
      </w:r>
    </w:p>
    <w:p>
      <w:pPr>
        <w:spacing w:after="120" w:line="276"/>
        <w:jc w:val="both"/>
      </w:pPr>
      <w:r>
        <w:rPr>
          <w:rFonts w:ascii="Barlow Semi Condensed" w:cs="Barlow Semi Condensed" w:eastAsia="Barlow Semi Condensed" w:hAnsi="Barlow Semi Condensed"/>
          <w:sz w:val="24"/>
          <w:szCs w:val="24"/>
        </w:rPr>
        <w:t xml:space="preserve">Consiglio. È prassi ordinaria, quotidiana, noiosa. Non è un'eccezione: è il</w:t>
      </w:r>
    </w:p>
    <w:p>
      <w:pPr>
        <w:spacing w:after="120" w:line="276"/>
        <w:jc w:val="both"/>
      </w:pPr>
      <w:r>
        <w:rPr>
          <w:rFonts w:ascii="Barlow Semi Condensed" w:cs="Barlow Semi Condensed" w:eastAsia="Barlow Semi Condensed" w:hAnsi="Barlow Semi Condensed"/>
          <w:sz w:val="24"/>
          <w:szCs w:val="24"/>
        </w:rPr>
        <w:t xml:space="preserve">mestiere.</w:t>
      </w:r>
    </w:p>
    <w:p>
      <w:pPr>
        <w:spacing w:after="120" w:line="276"/>
        <w:jc w:val="both"/>
      </w:pPr>
      <w:r>
        <w:rPr>
          <w:rFonts w:ascii="Barlow Semi Condensed" w:cs="Barlow Semi Condensed" w:eastAsia="Barlow Semi Condensed" w:hAnsi="Barlow Semi Condensed"/>
          <w:sz w:val="24"/>
          <w:szCs w:val="24"/>
        </w:rPr>
        <w:t xml:space="preserve">Di quell'appunto, per il 25 settembre 1974, </w:t>
      </w:r>
      <w:r>
        <w:rPr>
          <w:rFonts w:ascii="Barlow Semi Condensed" w:cs="Barlow Semi Condensed" w:eastAsia="Barlow Semi Condensed" w:hAnsi="Barlow Semi Condensed"/>
          <w:b/>
          <w:bCs/>
          <w:sz w:val="24"/>
          <w:szCs w:val="24"/>
        </w:rPr>
        <w:t xml:space="preserve">non si ha notizia</w:t>
      </w:r>
      <w:r>
        <w:rPr>
          <w:rFonts w:ascii="Barlow Semi Condensed" w:cs="Barlow Semi Condensed" w:eastAsia="Barlow Semi Condensed" w:hAnsi="Barlow Semi Condensed"/>
          <w:sz w:val="24"/>
          <w:szCs w:val="24"/>
        </w:rPr>
        <w:t xml:space="preserve">. Non di un</w:t>
      </w:r>
    </w:p>
    <w:p>
      <w:pPr>
        <w:spacing w:after="120" w:line="276"/>
        <w:jc w:val="both"/>
      </w:pPr>
      <w:r>
        <w:rPr>
          <w:rFonts w:ascii="Barlow Semi Condensed" w:cs="Barlow Semi Condensed" w:eastAsia="Barlow Semi Condensed" w:hAnsi="Barlow Semi Condensed"/>
          <w:sz w:val="24"/>
          <w:szCs w:val="24"/>
        </w:rPr>
        <w:t xml:space="preserve">ritrovamento, il che sarebbe già un dato. Non si ha notizia di una </w:t>
      </w:r>
      <w:r>
        <w:rPr>
          <w:rFonts w:ascii="Barlow Semi Condensed" w:cs="Barlow Semi Condensed" w:eastAsia="Barlow Semi Condensed" w:hAnsi="Barlow Semi Condensed"/>
          <w:b/>
          <w:bCs/>
          <w:sz w:val="24"/>
          <w:szCs w:val="24"/>
        </w:rPr>
        <w:t xml:space="preserve">ricerca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Mi sono fermato a lungo su questa riga, perché mi sembrava di aver sbagliato</w:t>
      </w:r>
    </w:p>
    <w:p>
      <w:pPr>
        <w:spacing w:after="120" w:line="276"/>
        <w:jc w:val="both"/>
      </w:pPr>
      <w:r>
        <w:rPr>
          <w:rFonts w:ascii="Barlow Semi Condensed" w:cs="Barlow Semi Condensed" w:eastAsia="Barlow Semi Condensed" w:hAnsi="Barlow Semi Condensed"/>
          <w:sz w:val="24"/>
          <w:szCs w:val="24"/>
        </w:rPr>
        <w:t xml:space="preserve">qualcosa. Da cinquant'anni si discute di che cosa fu detto in quella stanza. La</w:t>
      </w:r>
    </w:p>
    <w:p>
      <w:pPr>
        <w:spacing w:after="120" w:line="276"/>
        <w:jc w:val="both"/>
      </w:pPr>
      <w:r>
        <w:rPr>
          <w:rFonts w:ascii="Barlow Semi Condensed" w:cs="Barlow Semi Condensed" w:eastAsia="Barlow Semi Condensed" w:hAnsi="Barlow Semi Condensed"/>
          <w:sz w:val="24"/>
          <w:szCs w:val="24"/>
        </w:rPr>
        <w:t xml:space="preserve">discussione si svolge, su un fronte, con una fonte sola e straniera, e sull'altro</w:t>
      </w:r>
    </w:p>
    <w:p>
      <w:pPr>
        <w:spacing w:after="120" w:line="276"/>
        <w:jc w:val="both"/>
      </w:pPr>
      <w:r>
        <w:rPr>
          <w:rFonts w:ascii="Barlow Semi Condensed" w:cs="Barlow Semi Condensed" w:eastAsia="Barlow Semi Condensed" w:hAnsi="Barlow Semi Condensed"/>
          <w:sz w:val="24"/>
          <w:szCs w:val="24"/>
        </w:rPr>
        <w:t xml:space="preserve">con una testimonianza orale resa otto anni dopo. E nessuno, in mezzo secolo, ha</w:t>
      </w:r>
    </w:p>
    <w:p>
      <w:pPr>
        <w:spacing w:after="120" w:line="276"/>
        <w:jc w:val="both"/>
      </w:pPr>
      <w:r>
        <w:rPr>
          <w:rFonts w:ascii="Barlow Semi Condensed" w:cs="Barlow Semi Condensed" w:eastAsia="Barlow Semi Condensed" w:hAnsi="Barlow Semi Condensed"/>
          <w:sz w:val="24"/>
          <w:szCs w:val="24"/>
        </w:rPr>
        <w:t xml:space="preserve">scritto di essere andato a cercare il verbale italiano.</w:t>
      </w:r>
    </w:p>
    <w:p>
      <w:pPr>
        <w:spacing w:after="120" w:line="276"/>
        <w:jc w:val="both"/>
      </w:pPr>
      <w:r>
        <w:rPr>
          <w:rFonts w:ascii="Barlow Semi Condensed" w:cs="Barlow Semi Condensed" w:eastAsia="Barlow Semi Condensed" w:hAnsi="Barlow Semi Condensed"/>
          <w:sz w:val="24"/>
          <w:szCs w:val="24"/>
        </w:rPr>
        <w:t xml:space="preserve">Non è un documento in più. È </w:t>
      </w:r>
      <w:r>
        <w:rPr>
          <w:rFonts w:ascii="Barlow Semi Condensed" w:cs="Barlow Semi Condensed" w:eastAsia="Barlow Semi Condensed" w:hAnsi="Barlow Semi Condensed"/>
          <w:b/>
          <w:bCs/>
          <w:sz w:val="24"/>
          <w:szCs w:val="24"/>
        </w:rPr>
        <w:t xml:space="preserve">il solo riscontro indipendente possibile</w:t>
      </w:r>
      <w:r>
        <w:rPr>
          <w:rFonts w:ascii="Barlow Semi Condensed" w:cs="Barlow Semi Condensed" w:eastAsia="Barlow Semi Condensed" w:hAnsi="Barlow Semi Condensed"/>
          <w:sz w:val="24"/>
          <w:szCs w:val="24"/>
        </w:rPr>
        <w:t xml:space="preserve"> su ciò</w:t>
      </w:r>
    </w:p>
    <w:p>
      <w:pPr>
        <w:spacing w:after="120" w:line="276"/>
        <w:jc w:val="both"/>
      </w:pPr>
      <w:r>
        <w:rPr>
          <w:rFonts w:ascii="Barlow Semi Condensed" w:cs="Barlow Semi Condensed" w:eastAsia="Barlow Semi Condensed" w:hAnsi="Barlow Semi Condensed"/>
          <w:sz w:val="24"/>
          <w:szCs w:val="24"/>
        </w:rPr>
        <w:t xml:space="preserve">che in quella stanza fu detto. E l'esito conta in tutte e tre le direzioni,</w:t>
      </w:r>
    </w:p>
    <w:p>
      <w:pPr>
        <w:spacing w:after="120" w:line="276"/>
        <w:jc w:val="both"/>
      </w:pPr>
      <w:r>
        <w:rPr>
          <w:rFonts w:ascii="Barlow Semi Condensed" w:cs="Barlow Semi Condensed" w:eastAsia="Barlow Semi Condensed" w:hAnsi="Barlow Semi Condensed"/>
          <w:sz w:val="24"/>
          <w:szCs w:val="24"/>
        </w:rPr>
        <w:t xml:space="preserve">il che è la caratteristica di una domanda ben posta: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l'appunto </w:t>
      </w:r>
      <w:r>
        <w:rPr>
          <w:rFonts w:ascii="Barlow Semi Condensed" w:cs="Barlow Semi Condensed" w:eastAsia="Barlow Semi Condensed" w:hAnsi="Barlow Semi Condensed"/>
          <w:b/>
          <w:bCs/>
          <w:sz w:val="24"/>
          <w:szCs w:val="24"/>
        </w:rPr>
        <w:t xml:space="preserve">esiste e concorda</w:t>
      </w:r>
      <w:r>
        <w:rPr>
          <w:rFonts w:ascii="Barlow Semi Condensed" w:cs="Barlow Semi Condensed" w:eastAsia="Barlow Semi Condensed" w:hAnsi="Barlow Semi Condensed"/>
          <w:sz w:val="24"/>
          <w:szCs w:val="24"/>
        </w:rPr>
        <w:t xml:space="preserve"> col verbale americano, la versione</w:t>
      </w:r>
    </w:p>
    <w:p>
      <w:pPr>
        <w:spacing w:after="120" w:line="276"/>
        <w:jc w:val="both"/>
      </w:pPr>
      <w:r>
        <w:rPr>
          <w:rFonts w:ascii="Barlow Semi Condensed" w:cs="Barlow Semi Condensed" w:eastAsia="Barlow Semi Condensed" w:hAnsi="Barlow Semi Condensed"/>
          <w:sz w:val="24"/>
          <w:szCs w:val="24"/>
        </w:rPr>
        <w:t xml:space="preserve">  dell'ultimatum perde il suo ultimo appoggio documentale;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w:t>
      </w:r>
      <w:r>
        <w:rPr>
          <w:rFonts w:ascii="Barlow Semi Condensed" w:cs="Barlow Semi Condensed" w:eastAsia="Barlow Semi Condensed" w:hAnsi="Barlow Semi Condensed"/>
          <w:b/>
          <w:bCs/>
          <w:sz w:val="24"/>
          <w:szCs w:val="24"/>
        </w:rPr>
        <w:t xml:space="preserve">esiste e diverge</w:t>
      </w:r>
      <w:r>
        <w:rPr>
          <w:rFonts w:ascii="Barlow Semi Condensed" w:cs="Barlow Semi Condensed" w:eastAsia="Barlow Semi Condensed" w:hAnsi="Barlow Semi Condensed"/>
          <w:sz w:val="24"/>
          <w:szCs w:val="24"/>
        </w:rPr>
        <w:t xml:space="preserve">, non abbiamo più una testimonianza contestata: abbiamo</w:t>
      </w:r>
    </w:p>
    <w:p>
      <w:pPr>
        <w:spacing w:after="120" w:line="276"/>
        <w:jc w:val="both"/>
      </w:pPr>
      <w:r>
        <w:rPr>
          <w:rFonts w:ascii="Barlow Semi Condensed" w:cs="Barlow Semi Condensed" w:eastAsia="Barlow Semi Condensed" w:hAnsi="Barlow Semi Condensed"/>
          <w:sz w:val="24"/>
          <w:szCs w:val="24"/>
        </w:rPr>
        <w:t xml:space="preserve">  una divergenza fra due fonti primarie, che è cosa di tutt'altro peso;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w:t>
      </w:r>
      <w:r>
        <w:rPr>
          <w:rFonts w:ascii="Barlow Semi Condensed" w:cs="Barlow Semi Condensed" w:eastAsia="Barlow Semi Condensed" w:hAnsi="Barlow Semi Condensed"/>
          <w:b/>
          <w:bCs/>
          <w:sz w:val="24"/>
          <w:szCs w:val="24"/>
        </w:rPr>
        <w:t xml:space="preserve">non esiste</w:t>
      </w:r>
      <w:r>
        <w:rPr>
          <w:rFonts w:ascii="Barlow Semi Condensed" w:cs="Barlow Semi Condensed" w:eastAsia="Barlow Semi Condensed" w:hAnsi="Barlow Semi Condensed"/>
          <w:sz w:val="24"/>
          <w:szCs w:val="24"/>
        </w:rPr>
        <w:t xml:space="preserve">, l'assenza va datata e spiegata, e diventa essa stessa un</w:t>
      </w:r>
    </w:p>
    <w:p>
      <w:pPr>
        <w:spacing w:after="120" w:line="276"/>
        <w:jc w:val="both"/>
      </w:pPr>
      <w:r>
        <w:rPr>
          <w:rFonts w:ascii="Barlow Semi Condensed" w:cs="Barlow Semi Condensed" w:eastAsia="Barlow Semi Condensed" w:hAnsi="Barlow Semi Condensed"/>
          <w:sz w:val="24"/>
          <w:szCs w:val="24"/>
        </w:rPr>
        <w:t xml:space="preserve">  fatto da studiare.</w:t>
      </w:r>
    </w:p>
    <w:p>
      <w:pPr>
        <w:spacing w:after="120" w:line="276"/>
        <w:jc w:val="both"/>
      </w:pPr>
      <w:r>
        <w:rPr>
          <w:rFonts w:ascii="Barlow Semi Condensed" w:cs="Barlow Semi Condensed" w:eastAsia="Barlow Semi Condensed" w:hAnsi="Barlow Semi Condensed"/>
          <w:sz w:val="24"/>
          <w:szCs w:val="24"/>
        </w:rPr>
        <w:t xml:space="preserve">Dove si cerca. </w:t>
      </w:r>
      <w:r>
        <w:rPr>
          <w:rFonts w:ascii="Barlow Semi Condensed" w:cs="Barlow Semi Condensed" w:eastAsia="Barlow Semi Condensed" w:hAnsi="Barlow Semi Condensed"/>
          <w:b/>
          <w:bCs/>
          <w:sz w:val="24"/>
          <w:szCs w:val="24"/>
        </w:rPr>
        <w:t xml:space="preserve">Archivio storico diplomatico del Ministero degli Affari Esteri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carteggi del gabinetto del ministro, annata 1974, con verifica preliminare dei</w:t>
      </w:r>
    </w:p>
    <w:p>
      <w:pPr>
        <w:spacing w:after="120" w:line="276"/>
        <w:jc w:val="both"/>
      </w:pPr>
      <w:r>
        <w:rPr>
          <w:rFonts w:ascii="Barlow Semi Condensed" w:cs="Barlow Semi Condensed" w:eastAsia="Barlow Semi Condensed" w:hAnsi="Barlow Semi Condensed"/>
          <w:sz w:val="24"/>
          <w:szCs w:val="24"/>
        </w:rPr>
        <w:t xml:space="preserve">faldoni sul portale dell'archivio. In subordine: **Archivio centrale dello</w:t>
      </w:r>
    </w:p>
    <w:p>
      <w:pPr>
        <w:spacing w:after="120" w:line="276"/>
        <w:jc w:val="both"/>
      </w:pPr>
      <w:r>
        <w:rPr>
          <w:rFonts w:ascii="Barlow Semi Condensed" w:cs="Barlow Semi Condensed" w:eastAsia="Barlow Semi Condensed" w:hAnsi="Barlow Semi Condensed"/>
          <w:sz w:val="24"/>
          <w:szCs w:val="24"/>
        </w:rPr>
        <w:t xml:space="preserve">Stato</w:t>
      </w:r>
      <w:r>
        <w:rPr>
          <w:rFonts w:ascii="Barlow Semi Condensed" w:cs="Barlow Semi Condensed" w:eastAsia="Barlow Semi Condensed" w:hAnsi="Barlow Semi Condensed"/>
          <w:b/>
          <w:bCs/>
          <w:sz w:val="24"/>
          <w:szCs w:val="24"/>
        </w:rPr>
        <w:t xml:space="preserve">, carte della Presidenza del Consiglio dello stesso periodo; e </w:t>
      </w:r>
      <w:r>
        <w:rPr>
          <w:rFonts w:ascii="Barlow Semi Condensed" w:cs="Barlow Semi Condensed" w:eastAsia="Barlow Semi Condensed" w:hAnsi="Barlow Semi Condensed"/>
          <w:sz w:val="24"/>
          <w:szCs w:val="24"/>
        </w:rPr>
        <w:t xml:space="preserve">Fondo</w:t>
      </w:r>
    </w:p>
    <w:p>
      <w:pPr>
        <w:spacing w:after="120" w:line="276"/>
        <w:jc w:val="both"/>
      </w:pPr>
      <w:r>
        <w:rPr>
          <w:rFonts w:ascii="Barlow Semi Condensed" w:cs="Barlow Semi Condensed" w:eastAsia="Barlow Semi Condensed" w:hAnsi="Barlow Semi Condensed"/>
          <w:sz w:val="24"/>
          <w:szCs w:val="24"/>
        </w:rPr>
        <w:t xml:space="preserve">Moro** presso l'Archivio storico del Senato. Se le carte di gabinetto non</w:t>
      </w:r>
    </w:p>
    <w:p>
      <w:pPr>
        <w:spacing w:after="120" w:line="276"/>
        <w:jc w:val="both"/>
      </w:pPr>
      <w:r>
        <w:rPr>
          <w:rFonts w:ascii="Barlow Semi Condensed" w:cs="Barlow Semi Condensed" w:eastAsia="Barlow Semi Condensed" w:hAnsi="Barlow Semi Condensed"/>
          <w:sz w:val="24"/>
          <w:szCs w:val="24"/>
        </w:rPr>
        <w:t xml:space="preserve">conservano l'appunto, resta la memorialistica politica, dove i colloqui con</w:t>
      </w:r>
    </w:p>
    <w:p>
      <w:pPr>
        <w:spacing w:after="120" w:line="276"/>
        <w:jc w:val="both"/>
      </w:pPr>
      <w:r>
        <w:rPr>
          <w:rFonts w:ascii="Barlow Semi Condensed" w:cs="Barlow Semi Condensed" w:eastAsia="Barlow Semi Condensed" w:hAnsi="Barlow Semi Condensed"/>
          <w:sz w:val="24"/>
          <w:szCs w:val="24"/>
        </w:rPr>
        <w:t xml:space="preserve">Washington sono spesso registrati in forma privata e datata: il </w:t>
      </w:r>
      <w:r>
        <w:rPr>
          <w:rFonts w:ascii="Barlow Semi Condensed" w:cs="Barlow Semi Condensed" w:eastAsia="Barlow Semi Condensed" w:hAnsi="Barlow Semi Condensed"/>
          <w:b/>
          <w:bCs/>
          <w:sz w:val="24"/>
          <w:szCs w:val="24"/>
        </w:rPr>
        <w:t xml:space="preserve">fondo Fanfani</w:t>
      </w:r>
    </w:p>
    <w:p>
      <w:pPr>
        <w:spacing w:after="120" w:line="276"/>
        <w:jc w:val="both"/>
      </w:pPr>
      <w:r>
        <w:rPr>
          <w:rFonts w:ascii="Barlow Semi Condensed" w:cs="Barlow Semi Condensed" w:eastAsia="Barlow Semi Condensed" w:hAnsi="Barlow Semi Condensed"/>
          <w:sz w:val="24"/>
          <w:szCs w:val="24"/>
        </w:rPr>
        <w:t xml:space="preserve">all'Archivio storico del Senato, l'</w:t>
      </w:r>
      <w:r>
        <w:rPr>
          <w:rFonts w:ascii="Barlow Semi Condensed" w:cs="Barlow Semi Condensed" w:eastAsia="Barlow Semi Condensed" w:hAnsi="Barlow Semi Condensed"/>
          <w:b/>
          <w:bCs/>
          <w:sz w:val="24"/>
          <w:szCs w:val="24"/>
        </w:rPr>
        <w:t xml:space="preserve">archivio Cossiga</w:t>
      </w:r>
      <w:r>
        <w:rPr>
          <w:rFonts w:ascii="Barlow Semi Condensed" w:cs="Barlow Semi Condensed" w:eastAsia="Barlow Semi Condensed" w:hAnsi="Barlow Semi Condensed"/>
          <w:sz w:val="24"/>
          <w:szCs w:val="24"/>
        </w:rPr>
        <w:t xml:space="preserve"> alla Camera, il **fondo</w:t>
      </w:r>
    </w:p>
    <w:p>
      <w:pPr>
        <w:spacing w:after="120" w:line="276"/>
        <w:jc w:val="both"/>
      </w:pPr>
      <w:r>
        <w:rPr>
          <w:rFonts w:ascii="Barlow Semi Condensed" w:cs="Barlow Semi Condensed" w:eastAsia="Barlow Semi Condensed" w:hAnsi="Barlow Semi Condensed"/>
          <w:sz w:val="24"/>
          <w:szCs w:val="24"/>
        </w:rPr>
        <w:t xml:space="preserve">Craxi** presso la Fondazione che ne porta il nome, in gran parte digitalizzato.</w:t>
      </w:r>
    </w:p>
    <w:p>
      <w:pPr>
        <w:spacing w:after="120" w:line="276"/>
        <w:jc w:val="both"/>
      </w:pPr>
      <w:r>
        <w:rPr>
          <w:rFonts w:ascii="Barlow Semi Condensed" w:cs="Barlow Semi Condensed" w:eastAsia="Barlow Semi Condensed" w:hAnsi="Barlow Semi Condensed"/>
          <w:sz w:val="24"/>
          <w:szCs w:val="24"/>
        </w:rPr>
        <w:t xml:space="preserve">Due annate bastano: </w:t>
      </w:r>
      <w:r>
        <w:rPr>
          <w:rFonts w:ascii="Barlow Semi Condensed" w:cs="Barlow Semi Condensed" w:eastAsia="Barlow Semi Condensed" w:hAnsi="Barlow Semi Condensed"/>
          <w:b/>
          <w:bCs/>
          <w:sz w:val="24"/>
          <w:szCs w:val="24"/>
        </w:rPr>
        <w:t xml:space="preserve">1974 e 1978</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diario non è un atto d'ufficio e vale quanto vale. Ma un diario datato che</w:t>
      </w:r>
    </w:p>
    <w:p>
      <w:pPr>
        <w:spacing w:after="120" w:line="276"/>
        <w:jc w:val="both"/>
      </w:pPr>
      <w:r>
        <w:rPr>
          <w:rFonts w:ascii="Barlow Semi Condensed" w:cs="Barlow Semi Condensed" w:eastAsia="Barlow Semi Condensed" w:hAnsi="Barlow Semi Condensed"/>
          <w:sz w:val="24"/>
          <w:szCs w:val="24"/>
        </w:rPr>
        <w:t xml:space="preserve">tacesse sull'episodio, tenuto da chi ne fu contemporaneo e informato, sarebbe</w:t>
      </w:r>
    </w:p>
    <w:p>
      <w:pPr>
        <w:spacing w:after="120" w:line="276"/>
        <w:jc w:val="both"/>
      </w:pPr>
      <w:r>
        <w:rPr>
          <w:rFonts w:ascii="Barlow Semi Condensed" w:cs="Barlow Semi Condensed" w:eastAsia="Barlow Semi Condensed" w:hAnsi="Barlow Semi Condensed"/>
          <w:sz w:val="24"/>
          <w:szCs w:val="24"/>
        </w:rPr>
        <w:t xml:space="preserve">esso stesso un dato.</w:t>
      </w:r>
    </w:p>
    <w:p>
      <w:pPr>
        <w:spacing w:after="120" w:line="276"/>
        <w:jc w:val="both"/>
      </w:pPr>
      <w:r>
        <w:rPr>
          <w:rFonts w:ascii="Barlow Semi Condensed" w:cs="Barlow Semi Condensed" w:eastAsia="Barlow Semi Condensed" w:hAnsi="Barlow Semi Condensed"/>
          <w:sz w:val="24"/>
          <w:szCs w:val="24"/>
        </w:rPr>
        <w:t xml:space="preserve">Il quesito sta in una riga, e la scrivo qui perché possa essere ritagliata e</w:t>
      </w:r>
    </w:p>
    <w:p>
      <w:pPr>
        <w:spacing w:after="120" w:line="276"/>
        <w:jc w:val="both"/>
      </w:pPr>
      <w:r>
        <w:rPr>
          <w:rFonts w:ascii="Barlow Semi Condensed" w:cs="Barlow Semi Condensed" w:eastAsia="Barlow Semi Condensed" w:hAnsi="Barlow Semi Condensed"/>
          <w:sz w:val="24"/>
          <w:szCs w:val="24"/>
        </w:rPr>
        <w:t xml:space="preserve">portata in sala di studio: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Finché quella riga non ha risposta, tutto ciò che diciamo sull'episodio — in un</w:t>
      </w:r>
    </w:p>
    <w:p>
      <w:pPr>
        <w:spacing w:after="120" w:line="276"/>
        <w:jc w:val="both"/>
      </w:pPr>
      <w:r>
        <w:rPr>
          <w:rFonts w:ascii="Barlow Semi Condensed" w:cs="Barlow Semi Condensed" w:eastAsia="Barlow Semi Condensed" w:hAnsi="Barlow Semi Condensed"/>
          <w:sz w:val="24"/>
          <w:szCs w:val="24"/>
        </w:rPr>
        <w:t xml:space="preserve">senso o nell'altro, io compreso, in questo capitolo — poggia su metà tavolo.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9. Che cosa questo capitolo non ha stabilito</w:t>
      </w:r>
    </w:p>
    <w:p>
      <w:pPr>
        <w:spacing w:after="120" w:line="276"/>
        <w:jc w:val="both"/>
      </w:pPr>
      <w:r>
        <w:rPr>
          <w:rFonts w:ascii="Barlow Semi Condensed" w:cs="Barlow Semi Condensed" w:eastAsia="Barlow Semi Condensed" w:hAnsi="Barlow Semi Condensed"/>
          <w:sz w:val="24"/>
          <w:szCs w:val="24"/>
        </w:rPr>
        <w:t xml:space="preserve">Lo scrivo per esteso, perché è la parte che dà il titolo al libro e perché un</w:t>
      </w:r>
    </w:p>
    <w:p>
      <w:pPr>
        <w:spacing w:after="120" w:line="276"/>
        <w:jc w:val="both"/>
      </w:pPr>
      <w:r>
        <w:rPr>
          <w:rFonts w:ascii="Barlow Semi Condensed" w:cs="Barlow Semi Condensed" w:eastAsia="Barlow Semi Condensed" w:hAnsi="Barlow Semi Condensed"/>
          <w:sz w:val="24"/>
          <w:szCs w:val="24"/>
        </w:rPr>
        <w:t xml:space="preserve">capitolo che tace i propri limiti vale meno di uno che li dichiara.</w:t>
      </w:r>
    </w:p>
    <w:p>
      <w:pPr>
        <w:spacing w:after="120" w:line="276"/>
        <w:jc w:val="both"/>
      </w:pPr>
      <w:r>
        <w:rPr>
          <w:rFonts w:ascii="Barlow Semi Condensed" w:cs="Barlow Semi Condensed" w:eastAsia="Barlow Semi Condensed" w:hAnsi="Barlow Semi Condensed"/>
          <w:b/>
          <w:bCs/>
          <w:sz w:val="24"/>
          <w:szCs w:val="24"/>
        </w:rPr>
        <w:t xml:space="preserve">Non è stabilito che la frase non sia stata pronunciata.</w:t>
      </w:r>
      <w:r>
        <w:rPr>
          <w:rFonts w:ascii="Barlow Semi Condensed" w:cs="Barlow Semi Condensed" w:eastAsia="Barlow Semi Condensed" w:hAnsi="Barlow Semi Condensed"/>
          <w:sz w:val="24"/>
          <w:szCs w:val="24"/>
        </w:rPr>
        <w:t xml:space="preserve"> È stabilito che il</w:t>
      </w:r>
    </w:p>
    <w:p>
      <w:pPr>
        <w:spacing w:after="120" w:line="276"/>
        <w:jc w:val="both"/>
      </w:pPr>
      <w:r>
        <w:rPr>
          <w:rFonts w:ascii="Barlow Semi Condensed" w:cs="Barlow Semi Condensed" w:eastAsia="Barlow Semi Condensed" w:hAnsi="Barlow Semi Condensed"/>
          <w:sz w:val="24"/>
          <w:szCs w:val="24"/>
        </w:rPr>
        <w:t xml:space="preserve">documento comunemente esibito come sua prova non la contiene, e che la frase, se</w:t>
      </w:r>
    </w:p>
    <w:p>
      <w:pPr>
        <w:spacing w:after="120" w:line="276"/>
        <w:jc w:val="both"/>
      </w:pPr>
      <w:r>
        <w:rPr>
          <w:rFonts w:ascii="Barlow Semi Condensed" w:cs="Barlow Semi Condensed" w:eastAsia="Barlow Semi Condensed" w:hAnsi="Barlow Semi Condensed"/>
          <w:sz w:val="24"/>
          <w:szCs w:val="24"/>
        </w:rPr>
        <w:t xml:space="preserve">fu detta, fu detta in una sede di cui non esiste verbale.</w:t>
      </w:r>
    </w:p>
    <w:p>
      <w:pPr>
        <w:spacing w:after="120" w:line="276"/>
        <w:jc w:val="both"/>
      </w:pPr>
      <w:r>
        <w:rPr>
          <w:rFonts w:ascii="Barlow Semi Condensed" w:cs="Barlow Semi Condensed" w:eastAsia="Barlow Semi Condensed" w:hAnsi="Barlow Semi Condensed"/>
          <w:b/>
          <w:bCs/>
          <w:sz w:val="24"/>
          <w:szCs w:val="24"/>
        </w:rPr>
        <w:t xml:space="preserve">Non è stabilito che qualcuno menta.</w:t>
      </w:r>
      <w:r>
        <w:rPr>
          <w:rFonts w:ascii="Barlow Semi Condensed" w:cs="Barlow Semi Condensed" w:eastAsia="Barlow Semi Condensed" w:hAnsi="Barlow Semi Condensed"/>
          <w:sz w:val="24"/>
          <w:szCs w:val="24"/>
        </w:rPr>
        <w:t xml:space="preserve"> Nessuno degli anelli della catena</w:t>
      </w:r>
    </w:p>
    <w:p>
      <w:pPr>
        <w:spacing w:after="120" w:line="276"/>
        <w:jc w:val="both"/>
      </w:pPr>
      <w:r>
        <w:rPr>
          <w:rFonts w:ascii="Barlow Semi Condensed" w:cs="Barlow Semi Condensed" w:eastAsia="Barlow Semi Condensed" w:hAnsi="Barlow Semi Condensed"/>
          <w:sz w:val="24"/>
          <w:szCs w:val="24"/>
        </w:rPr>
        <w:t xml:space="preserve">testimoniale è colto in contraddizione con sé stesso. Una testimonianza indiretta</w:t>
      </w:r>
    </w:p>
    <w:p>
      <w:pPr>
        <w:spacing w:after="120" w:line="276"/>
        <w:jc w:val="both"/>
      </w:pPr>
      <w:r>
        <w:rPr>
          <w:rFonts w:ascii="Barlow Semi Condensed" w:cs="Barlow Semi Condensed" w:eastAsia="Barlow Semi Condensed" w:hAnsi="Barlow Semi Condensed"/>
          <w:sz w:val="24"/>
          <w:szCs w:val="24"/>
        </w:rPr>
        <w:t xml:space="preserve">resa in buona fede a otto anni di distanza è esattamente ciò che ci si aspetta di</w:t>
      </w:r>
    </w:p>
    <w:p>
      <w:pPr>
        <w:spacing w:after="120" w:line="276"/>
        <w:jc w:val="both"/>
      </w:pPr>
      <w:r>
        <w:rPr>
          <w:rFonts w:ascii="Barlow Semi Condensed" w:cs="Barlow Semi Condensed" w:eastAsia="Barlow Semi Condensed" w:hAnsi="Barlow Semi Condensed"/>
          <w:sz w:val="24"/>
          <w:szCs w:val="24"/>
        </w:rPr>
        <w:t xml:space="preserve">trovare, e non richiede alcuna malafede per essere imprecisa.</w:t>
      </w:r>
    </w:p>
    <w:p>
      <w:pPr>
        <w:spacing w:after="120" w:line="276"/>
        <w:jc w:val="both"/>
      </w:pPr>
      <w:r>
        <w:rPr>
          <w:rFonts w:ascii="Barlow Semi Condensed" w:cs="Barlow Semi Condensed" w:eastAsia="Barlow Semi Condensed" w:hAnsi="Barlow Semi Condensed"/>
          <w:b/>
          <w:bCs/>
          <w:sz w:val="24"/>
          <w:szCs w:val="24"/>
        </w:rPr>
        <w:t xml:space="preserve">Non è stabilito nulla che riguardi il 1978.</w:t>
      </w:r>
      <w:r>
        <w:rPr>
          <w:rFonts w:ascii="Barlow Semi Condensed" w:cs="Barlow Semi Condensed" w:eastAsia="Barlow Semi Condensed" w:hAnsi="Barlow Semi Condensed"/>
          <w:sz w:val="24"/>
          <w:szCs w:val="24"/>
        </w:rPr>
        <w:t xml:space="preserve"> Questo capitolo non dice niente</w:t>
      </w:r>
    </w:p>
    <w:p>
      <w:pPr>
        <w:spacing w:after="120" w:line="276"/>
        <w:jc w:val="both"/>
      </w:pPr>
      <w:r>
        <w:rPr>
          <w:rFonts w:ascii="Barlow Semi Condensed" w:cs="Barlow Semi Condensed" w:eastAsia="Barlow Semi Condensed" w:hAnsi="Barlow Semi Condensed"/>
          <w:sz w:val="24"/>
          <w:szCs w:val="24"/>
        </w:rPr>
        <w:t xml:space="preserve">sul sequestro, sulla prigionia, sulla morte di Aldo Moro. Non indica</w:t>
      </w:r>
    </w:p>
    <w:p>
      <w:pPr>
        <w:spacing w:after="120" w:line="276"/>
        <w:jc w:val="both"/>
      </w:pPr>
      <w:r>
        <w:rPr>
          <w:rFonts w:ascii="Barlow Semi Condensed" w:cs="Barlow Semi Condensed" w:eastAsia="Barlow Semi Condensed" w:hAnsi="Barlow Semi Condensed"/>
          <w:sz w:val="24"/>
          <w:szCs w:val="24"/>
        </w:rPr>
        <w:t xml:space="preserve">responsabili, non propone piste, non chiude né apre alcuna delle questioni del</w:t>
      </w:r>
    </w:p>
    <w:p>
      <w:pPr>
        <w:spacing w:after="120" w:line="276"/>
        <w:jc w:val="both"/>
      </w:pPr>
      <w:r>
        <w:rPr>
          <w:rFonts w:ascii="Barlow Semi Condensed" w:cs="Barlow Semi Condensed" w:eastAsia="Barlow Semi Condensed" w:hAnsi="Barlow Semi Condensed"/>
          <w:sz w:val="24"/>
          <w:szCs w:val="24"/>
        </w:rPr>
        <w:t xml:space="preserve">caso. Henry Kissinger non fu condannato in alcun processo, non fu mai imputato né</w:t>
      </w:r>
    </w:p>
    <w:p>
      <w:pPr>
        <w:spacing w:after="120" w:line="276"/>
        <w:jc w:val="both"/>
      </w:pPr>
      <w:r>
        <w:rPr>
          <w:rFonts w:ascii="Barlow Semi Condensed" w:cs="Barlow Semi Condensed" w:eastAsia="Barlow Semi Condensed" w:hAnsi="Barlow Semi Condensed"/>
          <w:sz w:val="24"/>
          <w:szCs w:val="24"/>
        </w:rPr>
        <w:t xml:space="preserve">processato in alcun Paese, e nessuna sentenza definitiva ha attribuito ad alcuna</w:t>
      </w:r>
    </w:p>
    <w:p>
      <w:pPr>
        <w:spacing w:after="120" w:line="276"/>
        <w:jc w:val="both"/>
      </w:pPr>
      <w:r>
        <w:rPr>
          <w:rFonts w:ascii="Barlow Semi Condensed" w:cs="Barlow Semi Condensed" w:eastAsia="Barlow Semi Condensed" w:hAnsi="Barlow Semi Condensed"/>
          <w:sz w:val="24"/>
          <w:szCs w:val="24"/>
        </w:rPr>
        <w:t xml:space="preserve">autorità statunitense responsabilità penali nel sequestro e nell'omicidio: le</w:t>
      </w:r>
    </w:p>
    <w:p>
      <w:pPr>
        <w:spacing w:after="120" w:line="276"/>
        <w:jc w:val="both"/>
      </w:pPr>
      <w:r>
        <w:rPr>
          <w:rFonts w:ascii="Barlow Semi Condensed" w:cs="Barlow Semi Condensed" w:eastAsia="Barlow Semi Condensed" w:hAnsi="Barlow Semi Condensed"/>
          <w:sz w:val="24"/>
          <w:szCs w:val="24"/>
        </w:rPr>
        <w:t xml:space="preserve">condanne definitive riguardano esponenti delle Brigate Rosse. L'episodio non ha</w:t>
      </w:r>
    </w:p>
    <w:p>
      <w:pPr>
        <w:spacing w:after="120" w:line="276"/>
        <w:jc w:val="both"/>
      </w:pPr>
      <w:r>
        <w:rPr>
          <w:rFonts w:ascii="Barlow Semi Condensed" w:cs="Barlow Semi Condensed" w:eastAsia="Barlow Semi Condensed" w:hAnsi="Barlow Semi Condensed"/>
          <w:sz w:val="24"/>
          <w:szCs w:val="24"/>
        </w:rPr>
        <w:t xml:space="preserve">mai formato oggetto d'imputazione. Questo va scritto ogni volta, e non per</w:t>
      </w:r>
    </w:p>
    <w:p>
      <w:pPr>
        <w:spacing w:after="120" w:line="276"/>
        <w:jc w:val="both"/>
      </w:pPr>
      <w:r>
        <w:rPr>
          <w:rFonts w:ascii="Barlow Semi Condensed" w:cs="Barlow Semi Condensed" w:eastAsia="Barlow Semi Condensed" w:hAnsi="Barlow Semi Condensed"/>
          <w:sz w:val="24"/>
          <w:szCs w:val="24"/>
        </w:rPr>
        <w:t xml:space="preserve">prudenza legale: perché è il fatto.</w:t>
      </w:r>
    </w:p>
    <w:p>
      <w:pPr>
        <w:spacing w:after="120" w:line="276"/>
        <w:jc w:val="both"/>
      </w:pPr>
      <w:r>
        <w:rPr>
          <w:rFonts w:ascii="Barlow Semi Condensed" w:cs="Barlow Semi Condensed" w:eastAsia="Barlow Semi Condensed" w:hAnsi="Barlow Semi Condensed"/>
          <w:b/>
          <w:bCs/>
          <w:sz w:val="24"/>
          <w:szCs w:val="24"/>
        </w:rPr>
        <w:t xml:space="preserve">E non è stabilito da una lettura integrale del documento originale</w:t>
      </w:r>
      <w:r>
        <w:rPr>
          <w:rFonts w:ascii="Barlow Semi Condensed" w:cs="Barlow Semi Condensed" w:eastAsia="Barlow Semi Condensed" w:hAnsi="Barlow Semi Condensed"/>
          <w:sz w:val="24"/>
          <w:szCs w:val="24"/>
        </w:rPr>
        <w:t xml:space="preserve">, per il</w:t>
      </w:r>
    </w:p>
    <w:p>
      <w:pPr>
        <w:spacing w:after="120" w:line="276"/>
        <w:jc w:val="both"/>
      </w:pPr>
      <w:r>
        <w:rPr>
          <w:rFonts w:ascii="Barlow Semi Condensed" w:cs="Barlow Semi Condensed" w:eastAsia="Barlow Semi Condensed" w:hAnsi="Barlow Semi Condensed"/>
          <w:sz w:val="24"/>
          <w:szCs w:val="24"/>
        </w:rPr>
        <w:t xml:space="preserve">limite d'accesso che ho dichiarato al paragrafo 3.</w:t>
      </w:r>
    </w:p>
    <w:p>
      <w:pPr>
        <w:spacing w:after="120" w:line="276"/>
        <w:jc w:val="both"/>
      </w:pPr>
      <w:r>
        <w:rPr>
          <w:rFonts w:ascii="Barlow Semi Condensed" w:cs="Barlow Semi Condensed" w:eastAsia="Barlow Semi Condensed" w:hAnsi="Barlow Semi Condensed"/>
          <w:sz w:val="24"/>
          <w:szCs w:val="24"/>
        </w:rPr>
        <w:t xml:space="preserve">Quello che resta, quando si è tolto tutto il resto, è una cosa modesta e</w:t>
      </w:r>
    </w:p>
    <w:p>
      <w:pPr>
        <w:spacing w:after="120" w:line="276"/>
        <w:jc w:val="both"/>
      </w:pPr>
      <w:r>
        <w:rPr>
          <w:rFonts w:ascii="Barlow Semi Condensed" w:cs="Barlow Semi Condensed" w:eastAsia="Barlow Semi Condensed" w:hAnsi="Barlow Semi Condensed"/>
          <w:sz w:val="24"/>
          <w:szCs w:val="24"/>
        </w:rPr>
        <w:t xml:space="preserve">verificabile: </w:t>
      </w:r>
      <w:r>
        <w:rPr>
          <w:rFonts w:ascii="Barlow Semi Condensed" w:cs="Barlow Semi Condensed" w:eastAsia="Barlow Semi Condensed" w:hAnsi="Barlow Semi Condensed"/>
          <w:b/>
          <w:bCs/>
          <w:sz w:val="24"/>
          <w:szCs w:val="24"/>
        </w:rPr>
        <w:t xml:space="preserve">un foglio molto citato dice altro da ciò che gli si fa dire</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il foglio che potrebbe dirimere la questione non è mai stato cercato.</w:t>
      </w:r>
    </w:p>
    <w:p>
      <w:pPr>
        <w:spacing w:after="120" w:line="276"/>
        <w:jc w:val="both"/>
      </w:pPr>
      <w:r>
        <w:rPr>
          <w:rFonts w:ascii="Barlow Semi Condensed" w:cs="Barlow Semi Condensed" w:eastAsia="Barlow Semi Condensed" w:hAnsi="Barlow Semi Condensed"/>
          <w:sz w:val="24"/>
          <w:szCs w:val="24"/>
        </w:rPr>
        <w:t xml:space="preserve">Non è una rivelazione. È un elenco di cose da fare. Alla fine di questo libro ce</w:t>
      </w:r>
    </w:p>
    <w:p>
      <w:pPr>
        <w:spacing w:after="120" w:line="276"/>
        <w:jc w:val="both"/>
      </w:pPr>
      <w:r>
        <w:rPr>
          <w:rFonts w:ascii="Barlow Semi Condensed" w:cs="Barlow Semi Condensed" w:eastAsia="Barlow Semi Condensed" w:hAnsi="Barlow Semi Condensed"/>
          <w:sz w:val="24"/>
          <w:szCs w:val="24"/>
        </w:rPr>
        <w:t xml:space="preserve">n'è uno più lungo, e nessuna delle voci l'ho spuntata 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Esercizio</w:t>
      </w:r>
    </w:p>
    <w:p>
      <w:pPr>
        <w:spacing w:after="120" w:line="276"/>
        <w:jc w:val="both"/>
      </w:pPr>
      <w:r>
        <w:rPr>
          <w:rFonts w:ascii="Barlow Semi Condensed" w:cs="Barlow Semi Condensed" w:eastAsia="Barlow Semi Condensed" w:hAnsi="Barlow Semi Condensed"/>
          <w:sz w:val="24"/>
          <w:szCs w:val="24"/>
        </w:rPr>
        <w:t xml:space="preserve">*Ogni capitolo si chiude con un esercizio eseguibile. Questo richiede circa due</w:t>
      </w:r>
    </w:p>
    <w:p>
      <w:pPr>
        <w:spacing w:after="120" w:line="276"/>
        <w:jc w:val="both"/>
      </w:pPr>
      <w:r>
        <w:rPr>
          <w:rFonts w:ascii="Barlow Semi Condensed" w:cs="Barlow Semi Condensed" w:eastAsia="Barlow Semi Condensed" w:hAnsi="Barlow Semi Condensed"/>
          <w:sz w:val="24"/>
          <w:szCs w:val="24"/>
        </w:rPr>
        <w:t xml:space="preserve">ore, una connessione, nessun accesso a pagamento e nessuna competenza tecnica.</w:t>
      </w:r>
    </w:p>
    <w:p>
      <w:pPr>
        <w:spacing w:after="120" w:line="276"/>
        <w:jc w:val="both"/>
      </w:pPr>
      <w:r>
        <w:rPr>
          <w:rFonts w:ascii="Barlow Semi Condensed" w:cs="Barlow Semi Condensed" w:eastAsia="Barlow Semi Condensed" w:hAnsi="Barlow Semi Condensed"/>
          <w:sz w:val="24"/>
          <w:szCs w:val="24"/>
        </w:rPr>
        <w:t xml:space="preserve">Si può svolgere individualmente o in aula.*</w:t>
      </w:r>
    </w:p>
    <w:p>
      <w:pPr>
        <w:spacing w:after="120" w:line="276"/>
        <w:jc w:val="both"/>
      </w:pPr>
      <w:r>
        <w:rPr>
          <w:rFonts w:ascii="Barlow Semi Condensed" w:cs="Barlow Semi Condensed" w:eastAsia="Barlow Semi Condensed" w:hAnsi="Barlow Semi Condensed"/>
          <w:b/>
          <w:bCs/>
          <w:sz w:val="24"/>
          <w:szCs w:val="24"/>
        </w:rPr>
        <w:t xml:space="preserve">Prima parte — risalire alla sorgente (60 minuti).</w:t>
      </w:r>
    </w:p>
    <w:p>
      <w:pPr>
        <w:spacing w:after="120" w:line="276"/>
        <w:jc w:val="both"/>
      </w:pPr>
      <w:r>
        <w:rPr>
          <w:rFonts w:ascii="Barlow Semi Condensed" w:cs="Barlow Semi Condensed" w:eastAsia="Barlow Semi Condensed" w:hAnsi="Barlow Semi Condensed"/>
          <w:sz w:val="24"/>
          <w:szCs w:val="24"/>
        </w:rPr>
        <w:t xml:space="preserve">Si scelga una qualunque affermazione circolante che riguardi un fatto storico</w:t>
      </w:r>
    </w:p>
    <w:p>
      <w:pPr>
        <w:spacing w:after="120" w:line="276"/>
        <w:jc w:val="both"/>
      </w:pPr>
      <w:r>
        <w:rPr>
          <w:rFonts w:ascii="Barlow Semi Condensed" w:cs="Barlow Semi Condensed" w:eastAsia="Barlow Semi Condensed" w:hAnsi="Barlow Semi Condensed"/>
          <w:sz w:val="24"/>
          <w:szCs w:val="24"/>
        </w:rPr>
        <w:t xml:space="preserve">recente e che appaia sostenuta da molte fonti concordi. Si raccolgano **almeno</w:t>
      </w:r>
    </w:p>
    <w:p>
      <w:pPr>
        <w:spacing w:after="120" w:line="276"/>
        <w:jc w:val="both"/>
      </w:pPr>
      <w:r>
        <w:rPr>
          <w:rFonts w:ascii="Barlow Semi Condensed" w:cs="Barlow Semi Condensed" w:eastAsia="Barlow Semi Condensed" w:hAnsi="Barlow Semi Condensed"/>
          <w:sz w:val="24"/>
          <w:szCs w:val="24"/>
        </w:rPr>
        <w:t xml:space="preserve">dodici** pagine che la riportano. Per ciascuna si registri in tabella: indirizzo,</w:t>
      </w:r>
    </w:p>
    <w:p>
      <w:pPr>
        <w:spacing w:after="120" w:line="276"/>
        <w:jc w:val="both"/>
      </w:pPr>
      <w:r>
        <w:rPr>
          <w:rFonts w:ascii="Barlow Semi Condensed" w:cs="Barlow Semi Condensed" w:eastAsia="Barlow Semi Condensed" w:hAnsi="Barlow Semi Condensed"/>
          <w:b/>
          <w:bCs/>
          <w:sz w:val="24"/>
          <w:szCs w:val="24"/>
        </w:rPr>
        <w:t xml:space="preserve">data di pubblicazione</w:t>
      </w:r>
      <w:r>
        <w:rPr>
          <w:rFonts w:ascii="Barlow Semi Condensed" w:cs="Barlow Semi Condensed" w:eastAsia="Barlow Semi Condensed" w:hAnsi="Barlow Semi Condensed"/>
          <w:sz w:val="24"/>
          <w:szCs w:val="24"/>
        </w:rPr>
        <w:t xml:space="preserve">, formulazione esatta della frase, fonte dichiarata.</w:t>
      </w:r>
    </w:p>
    <w:p>
      <w:pPr>
        <w:spacing w:after="120" w:line="276"/>
        <w:jc w:val="both"/>
      </w:pPr>
      <w:r>
        <w:rPr>
          <w:rFonts w:ascii="Barlow Semi Condensed" w:cs="Barlow Semi Condensed" w:eastAsia="Barlow Semi Condensed" w:hAnsi="Barlow Semi Condensed"/>
          <w:sz w:val="24"/>
          <w:szCs w:val="24"/>
        </w:rPr>
        <w:t xml:space="preserve">Si ordini la tabella per data crescente.</w:t>
      </w:r>
    </w:p>
    <w:p>
      <w:pPr>
        <w:spacing w:after="120" w:line="276"/>
        <w:jc w:val="both"/>
      </w:pPr>
      <w:r>
        <w:rPr>
          <w:rFonts w:ascii="Barlow Semi Condensed" w:cs="Barlow Semi Condensed" w:eastAsia="Barlow Semi Condensed" w:hAnsi="Barlow Semi Condensed"/>
          <w:sz w:val="24"/>
          <w:szCs w:val="24"/>
        </w:rPr>
        <w:t xml:space="preserve">Domande a cui rispondere in cinque righe: quante formulazioni **realmente</w:t>
      </w:r>
    </w:p>
    <w:p>
      <w:pPr>
        <w:spacing w:after="120" w:line="276"/>
        <w:jc w:val="both"/>
      </w:pPr>
      <w:r>
        <w:rPr>
          <w:rFonts w:ascii="Barlow Semi Condensed" w:cs="Barlow Semi Condensed" w:eastAsia="Barlow Semi Condensed" w:hAnsi="Barlow Semi Condensed"/>
          <w:sz w:val="24"/>
          <w:szCs w:val="24"/>
        </w:rPr>
        <w:t xml:space="preserve">diverse** ci sono, e non semplicemente riscritte? Qual è la data più antica?</w:t>
      </w:r>
    </w:p>
    <w:p>
      <w:pPr>
        <w:spacing w:after="120" w:line="276"/>
        <w:jc w:val="both"/>
      </w:pPr>
      <w:r>
        <w:rPr>
          <w:rFonts w:ascii="Barlow Semi Condensed" w:cs="Barlow Semi Condensed" w:eastAsia="Barlow Semi Condensed" w:hAnsi="Barlow Semi Condensed"/>
          <w:sz w:val="24"/>
          <w:szCs w:val="24"/>
        </w:rPr>
        <w:t xml:space="preserve">Quella pagina cita a sua volta qualcuno? Quante delle dodici sono, alla fine,</w:t>
      </w:r>
    </w:p>
    <w:p>
      <w:pPr>
        <w:spacing w:after="120" w:line="276"/>
        <w:jc w:val="both"/>
      </w:pPr>
      <w:r>
        <w:rPr>
          <w:rFonts w:ascii="Barlow Semi Condensed" w:cs="Barlow Semi Condensed" w:eastAsia="Barlow Semi Condensed" w:hAnsi="Barlow Semi Condensed"/>
          <w:sz w:val="24"/>
          <w:szCs w:val="24"/>
        </w:rPr>
        <w:t xml:space="preserve">fonti indipendenti?</w:t>
      </w:r>
    </w:p>
    <w:p>
      <w:pPr>
        <w:spacing w:after="120" w:line="276"/>
        <w:jc w:val="both"/>
      </w:pPr>
      <w:r>
        <w:rPr>
          <w:rFonts w:ascii="Barlow Semi Condensed" w:cs="Barlow Semi Condensed" w:eastAsia="Barlow Semi Condensed" w:hAnsi="Barlow Semi Condensed"/>
          <w:b/>
          <w:bCs/>
          <w:sz w:val="24"/>
          <w:szCs w:val="24"/>
        </w:rPr>
        <w:t xml:space="preserve">Seconda parte — collazionare il documento (45 minuti).</w:t>
      </w:r>
    </w:p>
    <w:p>
      <w:pPr>
        <w:spacing w:after="120" w:line="276"/>
        <w:jc w:val="both"/>
      </w:pPr>
      <w:r>
        <w:rPr>
          <w:rFonts w:ascii="Barlow Semi Condensed" w:cs="Barlow Semi Condensed" w:eastAsia="Barlow Semi Condensed" w:hAnsi="Barlow Semi Condensed"/>
          <w:sz w:val="24"/>
          <w:szCs w:val="24"/>
        </w:rPr>
        <w:t xml:space="preserve">Si reperisca il documento 350 del volume </w:t>
      </w:r>
      <w:r>
        <w:rPr>
          <w:rFonts w:ascii="Barlow Semi Condensed" w:cs="Barlow Semi Condensed" w:eastAsia="Barlow Semi Condensed" w:hAnsi="Barlow Semi Condensed"/>
          <w:i/>
          <w:iCs/>
          <w:sz w:val="24"/>
          <w:szCs w:val="24"/>
        </w:rPr>
        <w:t xml:space="preserve">FRUS</w:t>
      </w:r>
      <w:r>
        <w:rPr>
          <w:rFonts w:ascii="Barlow Semi Condensed" w:cs="Barlow Semi Condensed" w:eastAsia="Barlow Semi Condensed" w:hAnsi="Barlow Semi Condensed"/>
          <w:sz w:val="24"/>
          <w:szCs w:val="24"/>
        </w:rPr>
        <w:t xml:space="preserve"> 1969-1976, E-15, parte 2</w:t>
      </w:r>
    </w:p>
    <w:p>
      <w:pPr>
        <w:spacing w:after="120" w:line="276"/>
        <w:jc w:val="both"/>
      </w:pPr>
      <w:r>
        <w:rPr>
          <w:rFonts w:ascii="Barlow Semi Condensed" w:cs="Barlow Semi Condensed" w:eastAsia="Barlow Semi Condensed" w:hAnsi="Barlow Semi Condensed"/>
          <w:sz w:val="24"/>
          <w:szCs w:val="24"/>
        </w:rPr>
        <w:t xml:space="preserve">(edizione riveduta), oppure il file 1552802 della Gerald R. Ford Presidential</w:t>
      </w:r>
    </w:p>
    <w:p>
      <w:pPr>
        <w:spacing w:after="120" w:line="276"/>
        <w:jc w:val="both"/>
      </w:pPr>
      <w:r>
        <w:rPr>
          <w:rFonts w:ascii="Barlow Semi Condensed" w:cs="Barlow Semi Condensed" w:eastAsia="Barlow Semi Condensed" w:hAnsi="Barlow Semi Condensed"/>
          <w:sz w:val="24"/>
          <w:szCs w:val="24"/>
        </w:rPr>
        <w:t xml:space="preserve">Library. Si legga per intero il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del 25 settembre</w:t>
      </w:r>
    </w:p>
    <w:p>
      <w:pPr>
        <w:spacing w:after="40"/>
        <w:ind w:left="360"/>
        <w:jc w:val="both"/>
      </w:pPr>
      <w:r>
        <w:rPr>
          <w:rFonts w:ascii="Barlow Semi Condensed" w:cs="Barlow Semi Condensed" w:eastAsia="Barlow Semi Condensed" w:hAnsi="Barlow Semi Condensed"/>
          <w:sz w:val="24"/>
          <w:szCs w:val="24"/>
        </w:rPr>
        <w:t xml:space="preserve">1974. Si trascrivano i passaggi che riguardano la posizione americana sul PCI.</w:t>
      </w:r>
    </w:p>
    <w:p>
      <w:pPr>
        <w:spacing w:after="120" w:line="276"/>
        <w:jc w:val="both"/>
      </w:pPr>
      <w:r>
        <w:rPr>
          <w:rFonts w:ascii="Barlow Semi Condensed" w:cs="Barlow Semi Condensed" w:eastAsia="Barlow Semi Condensed" w:hAnsi="Barlow Semi Condensed"/>
          <w:sz w:val="24"/>
          <w:szCs w:val="24"/>
        </w:rPr>
        <w:t xml:space="preserve">Si verifichi se contengano una minaccia rivolta a una persona.</w:t>
      </w:r>
    </w:p>
    <w:p>
      <w:pPr>
        <w:spacing w:after="120" w:line="276"/>
        <w:jc w:val="both"/>
      </w:pPr>
      <w:r>
        <w:rPr>
          <w:rFonts w:ascii="Barlow Semi Condensed" w:cs="Barlow Semi Condensed" w:eastAsia="Barlow Semi Condensed" w:hAnsi="Barlow Semi Condensed"/>
          <w:sz w:val="24"/>
          <w:szCs w:val="24"/>
        </w:rPr>
        <w:t xml:space="preserve">Si scriva poi la propria conclusione </w:t>
      </w:r>
      <w:r>
        <w:rPr>
          <w:rFonts w:ascii="Barlow Semi Condensed" w:cs="Barlow Semi Condensed" w:eastAsia="Barlow Semi Condensed" w:hAnsi="Barlow Semi Condensed"/>
          <w:b/>
          <w:bCs/>
          <w:sz w:val="24"/>
          <w:szCs w:val="24"/>
        </w:rPr>
        <w:t xml:space="preserve">due volte</w:t>
      </w:r>
      <w:r>
        <w:rPr>
          <w:rFonts w:ascii="Barlow Semi Condensed" w:cs="Barlow Semi Condensed" w:eastAsia="Barlow Semi Condensed" w:hAnsi="Barlow Semi Condensed"/>
          <w:sz w:val="24"/>
          <w:szCs w:val="24"/>
        </w:rPr>
        <w:t xml:space="preserve">: una prima versione al grado</w:t>
      </w:r>
    </w:p>
    <w:p>
      <w:pPr>
        <w:spacing w:after="120" w:line="276"/>
        <w:jc w:val="both"/>
      </w:pPr>
      <w:r>
        <w:rPr>
          <w:rFonts w:ascii="Barlow Semi Condensed" w:cs="Barlow Semi Condensed" w:eastAsia="Barlow Semi Condensed" w:hAnsi="Barlow Semi Condensed"/>
          <w:sz w:val="24"/>
          <w:szCs w:val="24"/>
        </w:rPr>
        <w:t xml:space="preserve">più alto che si sarebbe tentati di usare, una seconda al grado che le prove</w:t>
      </w:r>
    </w:p>
    <w:p>
      <w:pPr>
        <w:spacing w:after="120" w:line="276"/>
        <w:jc w:val="both"/>
      </w:pPr>
      <w:r>
        <w:rPr>
          <w:rFonts w:ascii="Barlow Semi Condensed" w:cs="Barlow Semi Condensed" w:eastAsia="Barlow Semi Condensed" w:hAnsi="Barlow Semi Condensed"/>
          <w:sz w:val="24"/>
          <w:szCs w:val="24"/>
        </w:rPr>
        <w:t xml:space="preserve">effettivamente reggono. Si confrontino. La distanza fra le due è la misura di</w:t>
      </w:r>
    </w:p>
    <w:p>
      <w:pPr>
        <w:spacing w:after="120" w:line="276"/>
        <w:jc w:val="both"/>
      </w:pPr>
      <w:r>
        <w:rPr>
          <w:rFonts w:ascii="Barlow Semi Condensed" w:cs="Barlow Semi Condensed" w:eastAsia="Barlow Semi Condensed" w:hAnsi="Barlow Semi Condensed"/>
          <w:sz w:val="24"/>
          <w:szCs w:val="24"/>
        </w:rPr>
        <w:t xml:space="preserve">quanto si stava per sbagliare.</w:t>
      </w:r>
    </w:p>
    <w:p>
      <w:pPr>
        <w:spacing w:after="120" w:line="276"/>
        <w:jc w:val="both"/>
      </w:pPr>
      <w:r>
        <w:rPr>
          <w:rFonts w:ascii="Barlow Semi Condensed" w:cs="Barlow Semi Condensed" w:eastAsia="Barlow Semi Condensed" w:hAnsi="Barlow Semi Condensed"/>
          <w:b/>
          <w:bCs/>
          <w:sz w:val="24"/>
          <w:szCs w:val="24"/>
        </w:rPr>
        <w:t xml:space="preserve">Terza parte — dichiarare l'attesa (15 minuti).</w:t>
      </w:r>
    </w:p>
    <w:p>
      <w:pPr>
        <w:spacing w:after="120" w:line="276"/>
        <w:jc w:val="both"/>
      </w:pPr>
      <w:r>
        <w:rPr>
          <w:rFonts w:ascii="Barlow Semi Condensed" w:cs="Barlow Semi Condensed" w:eastAsia="Barlow Semi Condensed" w:hAnsi="Barlow Semi Condensed"/>
          <w:i/>
          <w:iCs/>
          <w:sz w:val="24"/>
          <w:szCs w:val="24"/>
        </w:rPr>
        <w:t xml:space="preserve">Prima</w:t>
      </w:r>
      <w:r>
        <w:rPr>
          <w:rFonts w:ascii="Barlow Semi Condensed" w:cs="Barlow Semi Condensed" w:eastAsia="Barlow Semi Condensed" w:hAnsi="Barlow Semi Condensed"/>
          <w:sz w:val="24"/>
          <w:szCs w:val="24"/>
        </w:rPr>
        <w:t xml:space="preserve"> di aprire qualsiasi inventario, si scriva su un foglio che cosa ci si</w:t>
      </w:r>
    </w:p>
    <w:p>
      <w:pPr>
        <w:spacing w:after="120" w:line="276"/>
        <w:jc w:val="both"/>
      </w:pPr>
      <w:r>
        <w:rPr>
          <w:rFonts w:ascii="Barlow Semi Condensed" w:cs="Barlow Semi Condensed" w:eastAsia="Barlow Semi Condensed" w:hAnsi="Barlow Semi Condensed"/>
          <w:sz w:val="24"/>
          <w:szCs w:val="24"/>
        </w:rPr>
        <w:t xml:space="preserve">aspetta di trovare cercando «Stati Uniti 1974» nel portale dell'Archivio storico</w:t>
      </w:r>
    </w:p>
    <w:p>
      <w:pPr>
        <w:spacing w:after="120" w:line="276"/>
        <w:jc w:val="both"/>
      </w:pPr>
      <w:r>
        <w:rPr>
          <w:rFonts w:ascii="Barlow Semi Condensed" w:cs="Barlow Semi Condensed" w:eastAsia="Barlow Semi Condensed" w:hAnsi="Barlow Semi Condensed"/>
          <w:sz w:val="24"/>
          <w:szCs w:val="24"/>
        </w:rPr>
        <w:t xml:space="preserve">diplomatico. Poi si cerchi. Poi si confronti.</w:t>
      </w:r>
    </w:p>
    <w:p>
      <w:pPr>
        <w:spacing w:after="120" w:line="276"/>
        <w:jc w:val="both"/>
      </w:pPr>
      <w:r>
        <w:rPr>
          <w:rFonts w:ascii="Barlow Semi Condensed" w:cs="Barlow Semi Condensed" w:eastAsia="Barlow Semi Condensed" w:hAnsi="Barlow Semi Condensed"/>
          <w:sz w:val="24"/>
          <w:szCs w:val="24"/>
        </w:rPr>
        <w:t xml:space="preserve">Un esito negativo previsto e un esito negativo inatteso hanno lo stesso aspetto</w:t>
      </w:r>
    </w:p>
    <w:p>
      <w:pPr>
        <w:spacing w:after="120" w:line="276"/>
        <w:jc w:val="both"/>
      </w:pPr>
      <w:r>
        <w:rPr>
          <w:rFonts w:ascii="Barlow Semi Condensed" w:cs="Barlow Semi Condensed" w:eastAsia="Barlow Semi Condensed" w:hAnsi="Barlow Semi Condensed"/>
          <w:sz w:val="24"/>
          <w:szCs w:val="24"/>
        </w:rPr>
        <w:t xml:space="preserve">sullo schermo e un valore completamente diverso. L'unico modo per distinguerli è</w:t>
      </w:r>
    </w:p>
    <w:p>
      <w:pPr>
        <w:spacing w:after="120" w:line="276"/>
        <w:jc w:val="both"/>
      </w:pPr>
      <w:r>
        <w:rPr>
          <w:rFonts w:ascii="Barlow Semi Condensed" w:cs="Barlow Semi Condensed" w:eastAsia="Barlow Semi Condensed" w:hAnsi="Barlow Semi Condensed"/>
          <w:sz w:val="24"/>
          <w:szCs w:val="24"/>
        </w:rPr>
        <w:t xml:space="preserve">aver scritto l'attesa prima. È il contenuto del capitolo sesto, e questo è il</w:t>
      </w:r>
    </w:p>
    <w:p>
      <w:pPr>
        <w:spacing w:after="120" w:line="276"/>
        <w:jc w:val="both"/>
      </w:pPr>
      <w:r>
        <w:rPr>
          <w:rFonts w:ascii="Barlow Semi Condensed" w:cs="Barlow Semi Condensed" w:eastAsia="Barlow Semi Condensed" w:hAnsi="Barlow Semi Condensed"/>
          <w:sz w:val="24"/>
          <w:szCs w:val="24"/>
        </w:rPr>
        <w:t xml:space="preserve">modo più rapido per capirlo: provandolo.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Fine del capitolo campione.</w:t>
      </w:r>
    </w:p>
    <w:p>
      <w:pPr>
        <w:pStyle w:val="Heading3"/>
        <w:spacing w:after="80" w:before="240"/>
      </w:pPr>
      <w:r>
        <w:rPr>
          <w:rFonts w:ascii="Barlow Semi Condensed" w:cs="Barlow Semi Condensed" w:eastAsia="Barlow Semi Condensed" w:hAnsi="Barlow Semi Condensed"/>
          <w:sz w:val="24"/>
          <w:szCs w:val="24"/>
        </w:rPr>
        <w:t xml:space="preserve">Apparato grafico — Appendici · v. Il capitolo campione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 3.385 parole in 9 sezioni; la più ampia è §9 9. Che cosa questo capitolo non ha stabilito, con 638.</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 83 paragrafi in 9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vi. La mappa dei destinatari</w:t>
      </w:r>
    </w:p>
    <w:p>
      <w:pPr>
        <w:pStyle w:val="Heading1"/>
        <w:spacing w:after="120" w:before="240"/>
      </w:pPr>
      <w:r>
        <w:rPr>
          <w:rFonts w:ascii="Barlow Semi Condensed" w:cs="Barlow Semi Condensed" w:eastAsia="Barlow Semi Condensed" w:hAnsi="Barlow Semi Condensed"/>
          <w:sz w:val="24"/>
          <w:szCs w:val="24"/>
        </w:rPr>
        <w:t xml:space="preserve">Dove può andare quest'opera — mappa ragionata dei destinatari</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26 agosto 2026.</w:t>
      </w:r>
      <w:r>
        <w:rPr>
          <w:rFonts w:ascii="Barlow Semi Condensed" w:cs="Barlow Semi Condensed" w:eastAsia="Barlow Semi Condensed" w:hAnsi="Barlow Semi Condensed"/>
          <w:i w:val="false"/>
          <w:iCs w:val="false"/>
          <w:sz w:val="24"/>
          <w:szCs w:val="24"/>
        </w:rPr>
        <w:t xml:space="preserve"> Questa mappa ragiona sul </w:t>
      </w:r>
      <w:r>
        <w:rPr>
          <w:rFonts w:ascii="Barlow Semi Condensed" w:cs="Barlow Semi Condensed" w:eastAsia="Barlow Semi Condensed" w:hAnsi="Barlow Semi Condensed"/>
          <w:i w:val="false"/>
          <w:iCs w:val="false"/>
          <w:sz w:val="24"/>
          <w:szCs w:val="24"/>
        </w:rPr>
        <w:t xml:space="preserve">chi</w:t>
      </w:r>
      <w:r>
        <w:rPr>
          <w:rFonts w:ascii="Barlow Semi Condensed" w:cs="Barlow Semi Condensed" w:eastAsia="Barlow Semi Condensed" w:hAnsi="Barlow Semi Condensed"/>
          <w:i w:val="false"/>
          <w:iCs w:val="false"/>
          <w:sz w:val="24"/>
          <w:szCs w:val="24"/>
        </w:rPr>
        <w:t xml:space="preserve">: quale editore per quale dei tre oggetti. Sui </w:t>
      </w:r>
      <w:r>
        <w:rPr>
          <w:rFonts w:ascii="Barlow Semi Condensed" w:cs="Barlow Semi Condensed" w:eastAsia="Barlow Semi Condensed" w:hAnsi="Barlow Semi Condensed"/>
          <w:i w:val="false"/>
          <w:iCs w:val="false"/>
          <w:sz w:val="24"/>
          <w:szCs w:val="24"/>
        </w:rPr>
        <w:t xml:space="preserve">canali</w:t>
      </w:r>
      <w:r>
        <w:rPr>
          <w:rFonts w:ascii="Barlow Semi Condensed" w:cs="Barlow Semi Condensed" w:eastAsia="Barlow Semi Condensed" w:hAnsi="Barlow Semi Condensed"/>
          <w:i w:val="false"/>
          <w:iCs w:val="false"/>
          <w:sz w:val="24"/>
          <w:szCs w:val="24"/>
        </w:rPr>
        <w:t xml:space="preserve"> — indirizzi, moduli, tempi, porte chiuse — fa fede la </w:t>
      </w:r>
      <w:r>
        <w:rPr>
          <w:rFonts w:ascii="Barlow Semi Condensed" w:cs="Barlow Semi Condensed" w:eastAsia="Barlow Semi Condensed" w:hAnsi="Barlow Semi Condensed"/>
          <w:i w:val="false"/>
          <w:iCs w:val="false"/>
          <w:sz w:val="24"/>
          <w:szCs w:val="24"/>
        </w:rPr>
        <w:t xml:space="preserve">checklist di invio</w:t>
      </w:r>
      <w:r>
        <w:rPr>
          <w:rFonts w:ascii="Barlow Semi Condensed" w:cs="Barlow Semi Condensed" w:eastAsia="Barlow Semi Condensed" w:hAnsi="Barlow Semi Condensed"/>
          <w:i w:val="false"/>
          <w:iCs w:val="false"/>
          <w:sz w:val="24"/>
          <w:szCs w:val="24"/>
        </w:rPr>
        <w:t xml:space="preserve">, seconda edizione, che copre nove editori con il grado di verifica di ciascuno e dove i due documenti divergessero prevale la checklist, che è più recente.</w:t>
      </w:r>
    </w:p>
    <w:p>
      <w:pPr>
        <w:spacing w:after="120" w:line="276"/>
        <w:jc w:val="both"/>
      </w:pPr>
      <w:r>
        <w:rPr>
          <w:rFonts w:ascii="Barlow Semi Condensed" w:cs="Barlow Semi Condensed" w:eastAsia="Barlow Semi Condensed" w:hAnsi="Barlow Semi Condensed"/>
          <w:i/>
          <w:iCs/>
          <w:sz w:val="24"/>
          <w:szCs w:val="24"/>
        </w:rPr>
        <w:t xml:space="preserve">Preparata il 26 agosto 2026.</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punto di partenza: non è un oggetto solo, sono tre</w:t>
      </w:r>
    </w:p>
    <w:p>
      <w:pPr>
        <w:spacing w:after="120" w:line="276"/>
        <w:jc w:val="both"/>
      </w:pPr>
      <w:r>
        <w:rPr>
          <w:rFonts w:ascii="Barlow Semi Condensed" w:cs="Barlow Semi Condensed" w:eastAsia="Barlow Semi Condensed" w:hAnsi="Barlow Semi Condensed"/>
          <w:sz w:val="24"/>
          <w:szCs w:val="24"/>
        </w:rPr>
        <w:t xml:space="preserve">Trattarli come una cosa sola è la ragione per cui una proposta del genere di</w:t>
      </w:r>
    </w:p>
    <w:p>
      <w:pPr>
        <w:spacing w:after="120" w:line="276"/>
        <w:jc w:val="both"/>
      </w:pPr>
      <w:r>
        <w:rPr>
          <w:rFonts w:ascii="Barlow Semi Condensed" w:cs="Barlow Semi Condensed" w:eastAsia="Barlow Semi Condensed" w:hAnsi="Barlow Semi Condensed"/>
          <w:sz w:val="24"/>
          <w:szCs w:val="24"/>
        </w:rPr>
        <w:t xml:space="preserve">solito non riceve risposta. Sono tre prodotti diversi, con tre mercati diversi</w:t>
      </w:r>
    </w:p>
    <w:p>
      <w:pPr>
        <w:spacing w:after="120" w:line="276"/>
        <w:jc w:val="both"/>
      </w:pPr>
      <w:r>
        <w:rPr>
          <w:rFonts w:ascii="Barlow Semi Condensed" w:cs="Barlow Semi Condensed" w:eastAsia="Barlow Semi Condensed" w:hAnsi="Barlow Semi Condensed"/>
          <w:sz w:val="24"/>
          <w:szCs w:val="24"/>
        </w:rPr>
        <w:t xml:space="preserve">e tre gradi di maturità diversi.</w:t>
      </w:r>
    </w:p>
    <w:p>
      <w:pPr>
        <w:spacing w:after="120" w:line="276"/>
        <w:jc w:val="both"/>
      </w:pPr>
      <w:r>
        <w:rPr>
          <w:rFonts w:ascii="Barlow Semi Condensed" w:cs="Barlow Semi Condensed" w:eastAsia="Barlow Semi Condensed" w:hAnsi="Barlow Semi Condensed"/>
          <w:b/>
          <w:bCs/>
          <w:sz w:val="24"/>
          <w:szCs w:val="24"/>
        </w:rPr>
        <w:t xml:space="preserve">Primo — l'apparato.</w:t>
      </w:r>
      <w:r>
        <w:rPr>
          <w:rFonts w:ascii="Barlow Semi Condensed" w:cs="Barlow Semi Condensed" w:eastAsia="Barlow Semi Condensed" w:hAnsi="Barlow Semi Condensed"/>
          <w:sz w:val="24"/>
          <w:szCs w:val="24"/>
        </w:rPr>
        <w:t xml:space="preserve"> Millesettecentocinquantacinque pagine, 7.699 blocchi</w:t>
      </w:r>
    </w:p>
    <w:p>
      <w:pPr>
        <w:spacing w:after="120" w:line="276"/>
        <w:jc w:val="both"/>
      </w:pPr>
      <w:r>
        <w:rPr>
          <w:rFonts w:ascii="Barlow Semi Condensed" w:cs="Barlow Semi Condensed" w:eastAsia="Barlow Semi Condensed" w:hAnsi="Barlow Semi Condensed"/>
          <w:sz w:val="24"/>
          <w:szCs w:val="24"/>
        </w:rPr>
        <w:t xml:space="preserve">mirati di ricerca — e, a parte e non in somma, 538 blocchi certificati di</w:t>
      </w:r>
    </w:p>
    <w:p>
      <w:pPr>
        <w:spacing w:after="120" w:line="276"/>
        <w:jc w:val="both"/>
      </w:pPr>
      <w:r>
        <w:rPr>
          <w:rFonts w:ascii="Barlow Semi Condensed" w:cs="Barlow Semi Condensed" w:eastAsia="Barlow Semi Condensed" w:hAnsi="Barlow Semi Condensed"/>
          <w:sz w:val="24"/>
          <w:szCs w:val="24"/>
        </w:rPr>
        <w:t xml:space="preserve">verifica nel solo Libro quarto —,</w:t>
      </w:r>
    </w:p>
    <w:p>
      <w:pPr>
        <w:spacing w:after="120" w:line="276"/>
        <w:jc w:val="both"/>
      </w:pPr>
      <w:r>
        <w:rPr>
          <w:rFonts w:ascii="Barlow Semi Condensed" w:cs="Barlow Semi Condensed" w:eastAsia="Barlow Semi Condensed" w:hAnsi="Barlow Semi Condensed"/>
          <w:sz w:val="24"/>
          <w:szCs w:val="24"/>
        </w:rPr>
        <w:t xml:space="preserve">l'indice, la guida. Non è un libro e non lo diventerà: è materiale di</w:t>
      </w:r>
    </w:p>
    <w:p>
      <w:pPr>
        <w:spacing w:after="120" w:line="276"/>
        <w:jc w:val="both"/>
      </w:pPr>
      <w:r>
        <w:rPr>
          <w:rFonts w:ascii="Barlow Semi Condensed" w:cs="Barlow Semi Condensed" w:eastAsia="Barlow Semi Condensed" w:hAnsi="Barlow Semi Condensed"/>
          <w:sz w:val="24"/>
          <w:szCs w:val="24"/>
        </w:rPr>
        <w:t xml:space="preserve">consultazione. Il suo posto è un archivio o un deposito digitale permanente.</w:t>
      </w:r>
    </w:p>
    <w:p>
      <w:pPr>
        <w:spacing w:after="120" w:line="276"/>
        <w:jc w:val="both"/>
      </w:pPr>
      <w:r>
        <w:rPr>
          <w:rFonts w:ascii="Barlow Semi Condensed" w:cs="Barlow Semi Condensed" w:eastAsia="Barlow Semi Condensed" w:hAnsi="Barlow Semi Condensed"/>
          <w:b/>
          <w:bCs/>
          <w:sz w:val="24"/>
          <w:szCs w:val="24"/>
        </w:rPr>
        <w:t xml:space="preserve">Secondo — il saggio.</w:t>
      </w:r>
      <w:r>
        <w:rPr>
          <w:rFonts w:ascii="Barlow Semi Condensed" w:cs="Barlow Semi Condensed" w:eastAsia="Barlow Semi Condensed" w:hAnsi="Barlow Semi Condensed"/>
          <w:sz w:val="24"/>
          <w:szCs w:val="24"/>
        </w:rPr>
        <w:t xml:space="preserve"> Il resoconto dell'esperimento e dei suoi fallimenti</w:t>
      </w:r>
    </w:p>
    <w:p>
      <w:pPr>
        <w:spacing w:after="120" w:line="276"/>
        <w:jc w:val="both"/>
      </w:pPr>
      <w:r>
        <w:rPr>
          <w:rFonts w:ascii="Barlow Semi Condensed" w:cs="Barlow Semi Condensed" w:eastAsia="Barlow Semi Condensed" w:hAnsi="Barlow Semi Condensed"/>
          <w:sz w:val="24"/>
          <w:szCs w:val="24"/>
        </w:rPr>
        <w:t xml:space="preserve">metodologici, 140-180 pagine. È il solo dei tre che possa essere un libro</w:t>
      </w:r>
    </w:p>
    <w:p>
      <w:pPr>
        <w:spacing w:after="120" w:line="276"/>
        <w:jc w:val="both"/>
      </w:pPr>
      <w:r>
        <w:rPr>
          <w:rFonts w:ascii="Barlow Semi Condensed" w:cs="Barlow Semi Condensed" w:eastAsia="Barlow Semi Condensed" w:hAnsi="Barlow Semi Condensed"/>
          <w:sz w:val="24"/>
          <w:szCs w:val="24"/>
        </w:rPr>
        <w:t xml:space="preserve">commerciale, ed è </w:t>
      </w:r>
      <w:r>
        <w:rPr>
          <w:rFonts w:ascii="Barlow Semi Condensed" w:cs="Barlow Semi Condensed" w:eastAsia="Barlow Semi Condensed" w:hAnsi="Barlow Semi Condensed"/>
          <w:b/>
          <w:bCs/>
          <w:sz w:val="24"/>
          <w:szCs w:val="24"/>
        </w:rPr>
        <w:t xml:space="preserve">da scrivere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Terzo — i due accertamenti.</w:t>
      </w:r>
      <w:r>
        <w:rPr>
          <w:rFonts w:ascii="Barlow Semi Condensed" w:cs="Barlow Semi Condensed" w:eastAsia="Barlow Semi Condensed" w:hAnsi="Barlow Semi Condensed"/>
          <w:sz w:val="24"/>
          <w:szCs w:val="24"/>
        </w:rPr>
        <w:t xml:space="preserve"> Che il verbale dello Studio Ovale del 25</w:t>
      </w:r>
    </w:p>
    <w:p>
      <w:pPr>
        <w:spacing w:after="120" w:line="276"/>
        <w:jc w:val="both"/>
      </w:pPr>
      <w:r>
        <w:rPr>
          <w:rFonts w:ascii="Barlow Semi Condensed" w:cs="Barlow Semi Condensed" w:eastAsia="Barlow Semi Condensed" w:hAnsi="Barlow Semi Condensed"/>
          <w:sz w:val="24"/>
          <w:szCs w:val="24"/>
        </w:rPr>
        <w:t xml:space="preserve">settembre 1974 non contiene la frase che gli si attribuisce; e che di quel</w:t>
      </w:r>
    </w:p>
    <w:p>
      <w:pPr>
        <w:spacing w:after="120" w:line="276"/>
        <w:jc w:val="both"/>
      </w:pPr>
      <w:r>
        <w:rPr>
          <w:rFonts w:ascii="Barlow Semi Condensed" w:cs="Barlow Semi Condensed" w:eastAsia="Barlow Semi Condensed" w:hAnsi="Barlow Semi Condensed"/>
          <w:sz w:val="24"/>
          <w:szCs w:val="24"/>
        </w:rPr>
        <w:t xml:space="preserve">colloquio non risulta mai cercato il versante italiano. Questi non sono un</w:t>
      </w:r>
    </w:p>
    <w:p>
      <w:pPr>
        <w:spacing w:after="120" w:line="276"/>
        <w:jc w:val="both"/>
      </w:pPr>
      <w:r>
        <w:rPr>
          <w:rFonts w:ascii="Barlow Semi Condensed" w:cs="Barlow Semi Condensed" w:eastAsia="Barlow Semi Condensed" w:hAnsi="Barlow Semi Condensed"/>
          <w:sz w:val="24"/>
          <w:szCs w:val="24"/>
        </w:rPr>
        <w:t xml:space="preserve">libro: sono </w:t>
      </w:r>
      <w:r>
        <w:rPr>
          <w:rFonts w:ascii="Barlow Semi Condensed" w:cs="Barlow Semi Condensed" w:eastAsia="Barlow Semi Condensed" w:hAnsi="Barlow Semi Condensed"/>
          <w:b/>
          <w:bCs/>
          <w:sz w:val="24"/>
          <w:szCs w:val="24"/>
        </w:rPr>
        <w:t xml:space="preserve">una nota di quattro pagine per una rivista scientifica</w:t>
      </w:r>
      <w:r>
        <w:rPr>
          <w:rFonts w:ascii="Barlow Semi Condensed" w:cs="Barlow Semi Condensed" w:eastAsia="Barlow Semi Condensed" w:hAnsi="Barlow Semi Condensed"/>
          <w:sz w:val="24"/>
          <w:szCs w:val="24"/>
        </w:rPr>
        <w:t xml:space="preserve">, ed è</w:t>
      </w:r>
    </w:p>
    <w:p>
      <w:pPr>
        <w:spacing w:after="120" w:line="276"/>
        <w:jc w:val="both"/>
      </w:pPr>
      <w:r>
        <w:rPr>
          <w:rFonts w:ascii="Barlow Semi Condensed" w:cs="Barlow Semi Condensed" w:eastAsia="Barlow Semi Condensed" w:hAnsi="Barlow Semi Condensed"/>
          <w:sz w:val="24"/>
          <w:szCs w:val="24"/>
        </w:rPr>
        <w:t xml:space="preserve">la cosa con la maggiore probabilità di essere accettata e la maggiore utilità</w:t>
      </w:r>
    </w:p>
    <w:p>
      <w:pPr>
        <w:spacing w:after="120" w:line="276"/>
        <w:jc w:val="both"/>
      </w:pPr>
      <w:r>
        <w:rPr>
          <w:rFonts w:ascii="Barlow Semi Condensed" w:cs="Barlow Semi Condensed" w:eastAsia="Barlow Semi Condensed" w:hAnsi="Barlow Semi Condensed"/>
          <w:sz w:val="24"/>
          <w:szCs w:val="24"/>
        </w:rPr>
        <w:t xml:space="preserve">per chi verrà dopo.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 il terzo oggetto — la nota scientifica</w:t>
      </w:r>
    </w:p>
    <w:p>
      <w:pPr>
        <w:spacing w:after="120" w:line="276"/>
        <w:jc w:val="both"/>
      </w:pPr>
      <w:r>
        <w:rPr>
          <w:rFonts w:ascii="Barlow Semi Condensed" w:cs="Barlow Semi Condensed" w:eastAsia="Barlow Semi Condensed" w:hAnsi="Barlow Semi Condensed"/>
          <w:b/>
          <w:bCs/>
          <w:sz w:val="24"/>
          <w:szCs w:val="24"/>
        </w:rPr>
        <w:t xml:space="preserve">È la porta da bussare per prima.</w:t>
      </w:r>
      <w:r>
        <w:rPr>
          <w:rFonts w:ascii="Barlow Semi Condensed" w:cs="Barlow Semi Condensed" w:eastAsia="Barlow Semi Condensed" w:hAnsi="Barlow Semi Condensed"/>
          <w:sz w:val="24"/>
          <w:szCs w:val="24"/>
        </w:rPr>
        <w:t xml:space="preserve"> Costa meno di tutte, ha la soglia</w:t>
      </w:r>
    </w:p>
    <w:p>
      <w:pPr>
        <w:spacing w:after="120" w:line="276"/>
        <w:jc w:val="both"/>
      </w:pPr>
      <w:r>
        <w:rPr>
          <w:rFonts w:ascii="Barlow Semi Condensed" w:cs="Barlow Semi Condensed" w:eastAsia="Barlow Semi Condensed" w:hAnsi="Barlow Semi Condensed"/>
          <w:sz w:val="24"/>
          <w:szCs w:val="24"/>
        </w:rPr>
        <w:t xml:space="preserve">d'ingresso più bassa e produce l'unica cosa che dia autorevolezza al resto: una</w:t>
      </w:r>
    </w:p>
    <w:p>
      <w:pPr>
        <w:spacing w:after="120" w:line="276"/>
        <w:jc w:val="both"/>
      </w:pPr>
      <w:r>
        <w:rPr>
          <w:rFonts w:ascii="Barlow Semi Condensed" w:cs="Barlow Semi Condensed" w:eastAsia="Barlow Semi Condensed" w:hAnsi="Barlow Semi Condensed"/>
          <w:sz w:val="24"/>
          <w:szCs w:val="24"/>
        </w:rPr>
        <w:t xml:space="preserve">pubblicazione con revisione, citabile.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«Italia contemporanea»</w:t>
      </w:r>
      <w:r>
        <w:rPr>
          <w:rFonts w:ascii="Barlow Semi Condensed" w:cs="Barlow Semi Condensed" w:eastAsia="Barlow Semi Condensed" w:hAnsi="Barlow Semi Condensed"/>
          <w:sz w:val="24"/>
          <w:szCs w:val="24"/>
        </w:rPr>
        <w:t xml:space="preserve">, rivista dell'Istituto nazionale Ferruccio Parri.</w:t>
      </w:r>
    </w:p>
    <w:p>
      <w:pPr>
        <w:spacing w:after="120" w:line="276"/>
        <w:jc w:val="both"/>
      </w:pPr>
      <w:r>
        <w:rPr>
          <w:rFonts w:ascii="Barlow Semi Condensed" w:cs="Barlow Semi Condensed" w:eastAsia="Barlow Semi Condensed" w:hAnsi="Barlow Semi Condensed"/>
          <w:sz w:val="24"/>
          <w:szCs w:val="24"/>
        </w:rPr>
        <w:t xml:space="preserve">  Ha una sezione </w:t>
      </w:r>
      <w:r>
        <w:rPr>
          <w:rFonts w:ascii="Barlow Semi Condensed" w:cs="Barlow Semi Condensed" w:eastAsia="Barlow Semi Condensed" w:hAnsi="Barlow Semi Condensed"/>
          <w:b/>
          <w:bCs/>
          <w:sz w:val="24"/>
          <w:szCs w:val="24"/>
        </w:rPr>
        <w:t xml:space="preserve">«Note e discussioni»</w:t>
      </w:r>
      <w:r>
        <w:rPr>
          <w:rFonts w:ascii="Barlow Semi Condensed" w:cs="Barlow Semi Condensed" w:eastAsia="Barlow Semi Condensed" w:hAnsi="Barlow Semi Condensed"/>
          <w:sz w:val="24"/>
          <w:szCs w:val="24"/>
        </w:rPr>
        <w:t xml:space="preserve"> espressamente dedicata a note critiche</w:t>
      </w:r>
    </w:p>
    <w:p>
      <w:pPr>
        <w:spacing w:after="120" w:line="276"/>
        <w:jc w:val="both"/>
      </w:pPr>
      <w:r>
        <w:rPr>
          <w:rFonts w:ascii="Barlow Semi Condensed" w:cs="Barlow Semi Condensed" w:eastAsia="Barlow Semi Condensed" w:hAnsi="Barlow Semi Condensed"/>
          <w:sz w:val="24"/>
          <w:szCs w:val="24"/>
        </w:rPr>
        <w:t xml:space="preserve">  e alla pubblicazione di fonti e materiali d'archivio significativi: è</w:t>
      </w:r>
    </w:p>
    <w:p>
      <w:pPr>
        <w:spacing w:after="120" w:line="276"/>
        <w:jc w:val="both"/>
      </w:pPr>
      <w:r>
        <w:rPr>
          <w:rFonts w:ascii="Barlow Semi Condensed" w:cs="Barlow Semi Condensed" w:eastAsia="Barlow Semi Condensed" w:hAnsi="Barlow Semi Condensed"/>
          <w:sz w:val="24"/>
          <w:szCs w:val="24"/>
        </w:rPr>
        <w:t xml:space="preserve">  precisamente la sede di una nota che rettifica un documento mal citato e ne</w:t>
      </w:r>
    </w:p>
    <w:p>
      <w:pPr>
        <w:spacing w:after="120" w:line="276"/>
        <w:jc w:val="both"/>
      </w:pPr>
      <w:r>
        <w:rPr>
          <w:rFonts w:ascii="Barlow Semi Condensed" w:cs="Barlow Semi Condensed" w:eastAsia="Barlow Semi Condensed" w:hAnsi="Barlow Semi Condensed"/>
          <w:sz w:val="24"/>
          <w:szCs w:val="24"/>
        </w:rPr>
        <w:t xml:space="preserve">  segnala uno mai cercato. Prima scelta.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«Mondo contemporaneo»</w:t>
      </w:r>
      <w:r>
        <w:rPr>
          <w:rFonts w:ascii="Barlow Semi Condensed" w:cs="Barlow Semi Condensed" w:eastAsia="Barlow Semi Condensed" w:hAnsi="Barlow Semi Condensed"/>
          <w:sz w:val="24"/>
          <w:szCs w:val="24"/>
        </w:rPr>
        <w:t xml:space="preserve"> (FrancoAngeli) e </w:t>
      </w:r>
      <w:r>
        <w:rPr>
          <w:rFonts w:ascii="Barlow Semi Condensed" w:cs="Barlow Semi Condensed" w:eastAsia="Barlow Semi Condensed" w:hAnsi="Barlow Semi Condensed"/>
          <w:b/>
          <w:bCs/>
          <w:sz w:val="24"/>
          <w:szCs w:val="24"/>
        </w:rPr>
        <w:t xml:space="preserve">«Ricerche di storia politica»</w:t>
      </w:r>
    </w:p>
    <w:p>
      <w:pPr>
        <w:spacing w:after="120" w:line="276"/>
        <w:jc w:val="both"/>
      </w:pPr>
      <w:r>
        <w:rPr>
          <w:rFonts w:ascii="Barlow Semi Condensed" w:cs="Barlow Semi Condensed" w:eastAsia="Barlow Semi Condensed" w:hAnsi="Barlow Semi Condensed"/>
          <w:sz w:val="24"/>
          <w:szCs w:val="24"/>
        </w:rPr>
        <w:t xml:space="preserve">  (il Mulino), entrambe aperte a note brevi su fonti.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«Studi Storici»</w:t>
      </w:r>
      <w:r>
        <w:rPr>
          <w:rFonts w:ascii="Barlow Semi Condensed" w:cs="Barlow Semi Condensed" w:eastAsia="Barlow Semi Condensed" w:hAnsi="Barlow Semi Condensed"/>
          <w:sz w:val="24"/>
          <w:szCs w:val="24"/>
        </w:rPr>
        <w:t xml:space="preserve">, Fondazione Gramsci — più selettiva, taglio più ampio.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Per il versante diplomatico, le riviste di storia delle relazioni</w:t>
      </w:r>
    </w:p>
    <w:p>
      <w:pPr>
        <w:spacing w:after="120" w:line="276"/>
        <w:jc w:val="both"/>
      </w:pPr>
      <w:r>
        <w:rPr>
          <w:rFonts w:ascii="Barlow Semi Condensed" w:cs="Barlow Semi Condensed" w:eastAsia="Barlow Semi Condensed" w:hAnsi="Barlow Semi Condensed"/>
          <w:sz w:val="24"/>
          <w:szCs w:val="24"/>
        </w:rPr>
        <w:t xml:space="preserve">  internazionali sono un'alternativa naturale, dato che il documento centrale è</w:t>
      </w:r>
    </w:p>
    <w:p>
      <w:pPr>
        <w:spacing w:after="120" w:line="276"/>
        <w:jc w:val="both"/>
      </w:pPr>
      <w:r>
        <w:rPr>
          <w:rFonts w:ascii="Barlow Semi Condensed" w:cs="Barlow Semi Condensed" w:eastAsia="Barlow Semi Condensed" w:hAnsi="Barlow Semi Condensed"/>
          <w:sz w:val="24"/>
          <w:szCs w:val="24"/>
        </w:rPr>
        <w:t xml:space="preserve">  un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dei FRUS.</w:t>
      </w:r>
    </w:p>
    <w:p>
      <w:pPr>
        <w:spacing w:after="120" w:line="276"/>
        <w:jc w:val="both"/>
      </w:pPr>
      <w:r>
        <w:rPr>
          <w:rFonts w:ascii="Barlow Semi Condensed" w:cs="Barlow Semi Condensed" w:eastAsia="Barlow Semi Condensed" w:hAnsi="Barlow Semi Condensed"/>
          <w:b/>
          <w:bCs/>
          <w:sz w:val="24"/>
          <w:szCs w:val="24"/>
        </w:rPr>
        <w:t xml:space="preserve">Avvertenza che conta.</w:t>
      </w:r>
      <w:r>
        <w:rPr>
          <w:rFonts w:ascii="Barlow Semi Condensed" w:cs="Barlow Semi Condensed" w:eastAsia="Barlow Semi Condensed" w:hAnsi="Barlow Semi Condensed"/>
          <w:sz w:val="24"/>
          <w:szCs w:val="24"/>
        </w:rPr>
        <w:t xml:space="preserve"> Quasi tutte le riviste hanno oggi una politica sull'uso</w:t>
      </w:r>
    </w:p>
    <w:p>
      <w:pPr>
        <w:spacing w:after="120" w:line="276"/>
        <w:jc w:val="both"/>
      </w:pPr>
      <w:r>
        <w:rPr>
          <w:rFonts w:ascii="Barlow Semi Condensed" w:cs="Barlow Semi Condensed" w:eastAsia="Barlow Semi Condensed" w:hAnsi="Barlow Semi Condensed"/>
          <w:sz w:val="24"/>
          <w:szCs w:val="24"/>
        </w:rPr>
        <w:t xml:space="preserve">dell'intelligenza artificiale. Va letta prima e rispettata alla lettera: in</w:t>
      </w:r>
    </w:p>
    <w:p>
      <w:pPr>
        <w:spacing w:after="120" w:line="276"/>
        <w:jc w:val="both"/>
      </w:pPr>
      <w:r>
        <w:rPr>
          <w:rFonts w:ascii="Barlow Semi Condensed" w:cs="Barlow Semi Condensed" w:eastAsia="Barlow Semi Condensed" w:hAnsi="Barlow Semi Condensed"/>
          <w:sz w:val="24"/>
          <w:szCs w:val="24"/>
        </w:rPr>
        <w:t xml:space="preserve">genere l'uso è ammesso se dichiarato, mentre l'omissione è motivo di ritiro.</w:t>
      </w:r>
    </w:p>
    <w:p>
      <w:pPr>
        <w:spacing w:after="120" w:line="276"/>
        <w:jc w:val="both"/>
      </w:pPr>
      <w:r>
        <w:rPr>
          <w:rFonts w:ascii="Barlow Semi Condensed" w:cs="Barlow Semi Condensed" w:eastAsia="Barlow Semi Condensed" w:hAnsi="Barlow Semi Condensed"/>
          <w:sz w:val="24"/>
          <w:szCs w:val="24"/>
        </w:rPr>
        <w:t xml:space="preserve">Nel caso specifico la dichiarazione non indebolisce la nota, perché</w:t>
      </w:r>
    </w:p>
    <w:p>
      <w:pPr>
        <w:spacing w:after="120" w:line="276"/>
        <w:jc w:val="both"/>
      </w:pPr>
      <w:r>
        <w:rPr>
          <w:rFonts w:ascii="Barlow Semi Condensed" w:cs="Barlow Semi Condensed" w:eastAsia="Barlow Semi Condensed" w:hAnsi="Barlow Semi Condensed"/>
          <w:b/>
          <w:bCs/>
          <w:sz w:val="24"/>
          <w:szCs w:val="24"/>
        </w:rPr>
        <w:t xml:space="preserve">l'accertamento è verificabile da chiunque in mezz'ora</w:t>
      </w:r>
      <w:r>
        <w:rPr>
          <w:rFonts w:ascii="Barlow Semi Condensed" w:cs="Barlow Semi Condensed" w:eastAsia="Barlow Semi Condensed" w:hAnsi="Barlow Semi Condensed"/>
          <w:sz w:val="24"/>
          <w:szCs w:val="24"/>
        </w:rPr>
        <w:t xml:space="preserve">: si apre il documento</w:t>
      </w:r>
    </w:p>
    <w:p>
      <w:pPr>
        <w:spacing w:after="120" w:line="276"/>
        <w:jc w:val="both"/>
      </w:pPr>
      <w:r>
        <w:rPr>
          <w:rFonts w:ascii="Barlow Semi Condensed" w:cs="Barlow Semi Condensed" w:eastAsia="Barlow Semi Condensed" w:hAnsi="Barlow Semi Condensed"/>
          <w:sz w:val="24"/>
          <w:szCs w:val="24"/>
        </w:rPr>
        <w:t xml:space="preserve">350 e si legge se la frase c'è.</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 il secondo oggetto — il saggio</w:t>
      </w:r>
    </w:p>
    <w:p>
      <w:pPr>
        <w:spacing w:after="120" w:line="276"/>
        <w:jc w:val="both"/>
      </w:pPr>
      <w:r>
        <w:rPr>
          <w:rFonts w:ascii="Barlow Semi Condensed" w:cs="Barlow Semi Condensed" w:eastAsia="Barlow Semi Condensed" w:hAnsi="Barlow Semi Condensed"/>
          <w:sz w:val="24"/>
          <w:szCs w:val="24"/>
        </w:rPr>
        <w:t xml:space="preserve">In ordine di affinità reale, non di prestigio.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Codice Edizioni</w:t>
      </w:r>
      <w:r>
        <w:rPr>
          <w:rFonts w:ascii="Barlow Semi Condensed" w:cs="Barlow Semi Condensed" w:eastAsia="Barlow Semi Condensed" w:hAnsi="Barlow Semi Condensed"/>
          <w:sz w:val="24"/>
          <w:szCs w:val="24"/>
        </w:rPr>
        <w:t xml:space="preserve"> (Torino). Catalogo costruito su scienza, tecnologia e</w:t>
      </w:r>
    </w:p>
    <w:p>
      <w:pPr>
        <w:spacing w:after="120" w:line="276"/>
        <w:jc w:val="both"/>
      </w:pPr>
      <w:r>
        <w:rPr>
          <w:rFonts w:ascii="Barlow Semi Condensed" w:cs="Barlow Semi Condensed" w:eastAsia="Barlow Semi Condensed" w:hAnsi="Barlow Semi Condensed"/>
          <w:sz w:val="24"/>
          <w:szCs w:val="24"/>
        </w:rPr>
        <w:t xml:space="preserve">  cultura digitale. È l'editore il cui lettore tipo compra esattamente questo</w:t>
      </w:r>
    </w:p>
    <w:p>
      <w:pPr>
        <w:spacing w:after="120" w:line="276"/>
        <w:jc w:val="both"/>
      </w:pPr>
      <w:r>
        <w:rPr>
          <w:rFonts w:ascii="Barlow Semi Condensed" w:cs="Barlow Semi Condensed" w:eastAsia="Barlow Semi Condensed" w:hAnsi="Barlow Semi Condensed"/>
          <w:sz w:val="24"/>
          <w:szCs w:val="24"/>
        </w:rPr>
        <w:t xml:space="preserve">  libro: che cosa fa una macchina quando la si mette al lavoro su qualcosa di</w:t>
      </w:r>
    </w:p>
    <w:p>
      <w:pPr>
        <w:spacing w:after="120" w:line="276"/>
        <w:jc w:val="both"/>
      </w:pPr>
      <w:r>
        <w:rPr>
          <w:rFonts w:ascii="Barlow Semi Condensed" w:cs="Barlow Semi Condensed" w:eastAsia="Barlow Semi Condensed" w:hAnsi="Barlow Semi Condensed"/>
          <w:sz w:val="24"/>
          <w:szCs w:val="24"/>
        </w:rPr>
        <w:t xml:space="preserve">  verificabile. Affinità più alta di Laterza.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Mulino</w:t>
      </w:r>
      <w:r>
        <w:rPr>
          <w:rFonts w:ascii="Barlow Semi Condensed" w:cs="Barlow Semi Condensed" w:eastAsia="Barlow Semi Condensed" w:hAnsi="Barlow Semi Condensed"/>
          <w:sz w:val="24"/>
          <w:szCs w:val="24"/>
        </w:rPr>
        <w:t xml:space="preserve">. Saggistica storica e civile, e una lunga tradizione sulla</w:t>
      </w:r>
    </w:p>
    <w:p>
      <w:pPr>
        <w:spacing w:after="120" w:line="276"/>
        <w:jc w:val="both"/>
      </w:pPr>
      <w:r>
        <w:rPr>
          <w:rFonts w:ascii="Barlow Semi Condensed" w:cs="Barlow Semi Condensed" w:eastAsia="Barlow Semi Condensed" w:hAnsi="Barlow Semi Condensed"/>
          <w:sz w:val="24"/>
          <w:szCs w:val="24"/>
        </w:rPr>
        <w:t xml:space="preserve">  storia repubblicana. Il taglio metodologico gli è congeniale.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Donzelli</w:t>
      </w:r>
      <w:r>
        <w:rPr>
          <w:rFonts w:ascii="Barlow Semi Condensed" w:cs="Barlow Semi Condensed" w:eastAsia="Barlow Semi Condensed" w:hAnsi="Barlow Semi Condensed"/>
          <w:sz w:val="24"/>
          <w:szCs w:val="24"/>
        </w:rPr>
        <w:t xml:space="preserve">. Storia contemporanea e questioni civili, collane brevi. Ha</w:t>
      </w:r>
    </w:p>
    <w:p>
      <w:pPr>
        <w:spacing w:after="120" w:line="276"/>
        <w:jc w:val="both"/>
      </w:pPr>
      <w:r>
        <w:rPr>
          <w:rFonts w:ascii="Barlow Semi Condensed" w:cs="Barlow Semi Condensed" w:eastAsia="Barlow Semi Condensed" w:hAnsi="Barlow Semi Condensed"/>
          <w:sz w:val="24"/>
          <w:szCs w:val="24"/>
        </w:rPr>
        <w:t xml:space="preserve">  pubblicato su terrorismo e Repubblica.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Carocci</w:t>
      </w:r>
      <w:r>
        <w:rPr>
          <w:rFonts w:ascii="Barlow Semi Condensed" w:cs="Barlow Semi Condensed" w:eastAsia="Barlow Semi Condensed" w:hAnsi="Barlow Semi Condensed"/>
          <w:sz w:val="24"/>
          <w:szCs w:val="24"/>
        </w:rPr>
        <w:t xml:space="preserve">. Più vicino al manuale e al metodo che al saggio narrativo: buona</w:t>
      </w:r>
    </w:p>
    <w:p>
      <w:pPr>
        <w:spacing w:after="120" w:line="276"/>
        <w:jc w:val="both"/>
      </w:pPr>
      <w:r>
        <w:rPr>
          <w:rFonts w:ascii="Barlow Semi Condensed" w:cs="Barlow Semi Condensed" w:eastAsia="Barlow Semi Condensed" w:hAnsi="Barlow Semi Condensed"/>
          <w:sz w:val="24"/>
          <w:szCs w:val="24"/>
        </w:rPr>
        <w:t xml:space="preserve">  sede se il libro pende verso la metodologia.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Luiss University Press</w:t>
      </w:r>
      <w:r>
        <w:rPr>
          <w:rFonts w:ascii="Barlow Semi Condensed" w:cs="Barlow Semi Condensed" w:eastAsia="Barlow Semi Condensed" w:hAnsi="Barlow Semi Condensed"/>
          <w:sz w:val="24"/>
          <w:szCs w:val="24"/>
        </w:rPr>
        <w:t xml:space="preserve">. Sempre più attivo su istituzioni, tecnologia e</w:t>
      </w:r>
    </w:p>
    <w:p>
      <w:pPr>
        <w:spacing w:after="120" w:line="276"/>
        <w:jc w:val="both"/>
      </w:pPr>
      <w:r>
        <w:rPr>
          <w:rFonts w:ascii="Barlow Semi Condensed" w:cs="Barlow Semi Condensed" w:eastAsia="Barlow Semi Condensed" w:hAnsi="Barlow Semi Condensed"/>
          <w:sz w:val="24"/>
          <w:szCs w:val="24"/>
        </w:rPr>
        <w:t xml:space="preserve">  politiche pubbliche; formato breve.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Saggiatore</w:t>
      </w:r>
      <w:r>
        <w:rPr>
          <w:rFonts w:ascii="Barlow Semi Condensed" w:cs="Barlow Semi Condensed" w:eastAsia="Barlow Semi Condensed" w:hAnsi="Barlow Semi Condensed"/>
          <w:sz w:val="24"/>
          <w:szCs w:val="24"/>
        </w:rPr>
        <w:t xml:space="preserve">. Se il libro prende una piega più speculativa.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Einaudi</w:t>
      </w:r>
      <w:r>
        <w:rPr>
          <w:rFonts w:ascii="Barlow Semi Condensed" w:cs="Barlow Semi Condensed" w:eastAsia="Barlow Semi Condensed" w:hAnsi="Barlow Semi Condensed"/>
          <w:sz w:val="24"/>
          <w:szCs w:val="24"/>
        </w:rPr>
        <w:t xml:space="preserve">, «Stile libero Extra». Ha pubblicato inchieste sul caso Moro, ma</w:t>
      </w:r>
    </w:p>
    <w:p>
      <w:pPr>
        <w:spacing w:after="120" w:line="276"/>
        <w:jc w:val="both"/>
      </w:pPr>
      <w:r>
        <w:rPr>
          <w:rFonts w:ascii="Barlow Semi Condensed" w:cs="Barlow Semi Condensed" w:eastAsia="Barlow Semi Condensed" w:hAnsi="Barlow Semi Condensed"/>
          <w:sz w:val="24"/>
          <w:szCs w:val="24"/>
        </w:rPr>
        <w:t xml:space="preserve">  vorrebbe una narrazione: significherebbe riscrivere il libro in altra forma.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 il primo oggetto — l'apparato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Zenodo</w:t>
      </w:r>
      <w:r>
        <w:rPr>
          <w:rFonts w:ascii="Barlow Semi Condensed" w:cs="Barlow Semi Condensed" w:eastAsia="Barlow Semi Condensed" w:hAnsi="Barlow Semi Condensed"/>
          <w:sz w:val="24"/>
          <w:szCs w:val="24"/>
        </w:rPr>
        <w:t xml:space="preserve"> (gestito dal CERN). Deposito aperto, gratuito, permanente, con</w:t>
      </w:r>
    </w:p>
    <w:p>
      <w:pPr>
        <w:spacing w:after="120" w:line="276"/>
        <w:jc w:val="both"/>
      </w:pPr>
      <w:r>
        <w:rPr>
          <w:rFonts w:ascii="Barlow Semi Condensed" w:cs="Barlow Semi Condensed" w:eastAsia="Barlow Semi Condensed" w:hAnsi="Barlow Semi Condensed"/>
          <w:sz w:val="24"/>
          <w:szCs w:val="24"/>
        </w:rPr>
        <w:t xml:space="preserve">  assegnazione di </w:t>
      </w:r>
      <w:r>
        <w:rPr>
          <w:rFonts w:ascii="Barlow Semi Condensed" w:cs="Barlow Semi Condensed" w:eastAsia="Barlow Semi Condensed" w:hAnsi="Barlow Semi Condensed"/>
          <w:b/>
          <w:bCs/>
          <w:sz w:val="24"/>
          <w:szCs w:val="24"/>
        </w:rPr>
        <w:t xml:space="preserve">DOI</w:t>
      </w:r>
      <w:r>
        <w:rPr>
          <w:rFonts w:ascii="Barlow Semi Condensed" w:cs="Barlow Semi Condensed" w:eastAsia="Barlow Semi Condensed" w:hAnsi="Barlow Semi Condensed"/>
          <w:sz w:val="24"/>
          <w:szCs w:val="24"/>
        </w:rPr>
        <w:t xml:space="preserve">. È la soluzione tecnicamente corretta: rende l'opera</w:t>
      </w:r>
    </w:p>
    <w:p>
      <w:pPr>
        <w:spacing w:after="120" w:line="276"/>
        <w:jc w:val="both"/>
      </w:pPr>
      <w:r>
        <w:rPr>
          <w:rFonts w:ascii="Barlow Semi Condensed" w:cs="Barlow Semi Condensed" w:eastAsia="Barlow Semi Condensed" w:hAnsi="Barlow Semi Condensed"/>
          <w:sz w:val="24"/>
          <w:szCs w:val="24"/>
        </w:rPr>
        <w:t xml:space="preserve">  citabile, datata e immutabile, e risolve da sola il problema della</w:t>
      </w:r>
    </w:p>
    <w:p>
      <w:pPr>
        <w:spacing w:after="120" w:line="276"/>
        <w:jc w:val="both"/>
      </w:pPr>
      <w:r>
        <w:rPr>
          <w:rFonts w:ascii="Barlow Semi Condensed" w:cs="Barlow Semi Condensed" w:eastAsia="Barlow Semi Condensed" w:hAnsi="Barlow Semi Condensed"/>
          <w:sz w:val="24"/>
          <w:szCs w:val="24"/>
        </w:rPr>
        <w:t xml:space="preserve">  reperibilità. </w:t>
      </w:r>
      <w:r>
        <w:rPr>
          <w:rFonts w:ascii="Barlow Semi Condensed" w:cs="Barlow Semi Condensed" w:eastAsia="Barlow Semi Condensed" w:hAnsi="Barlow Semi Condensed"/>
          <w:b/>
          <w:bCs/>
          <w:sz w:val="24"/>
          <w:szCs w:val="24"/>
        </w:rPr>
        <w:t xml:space="preserve">Da fare comunque, e prima di ogni invio</w:t>
      </w:r>
      <w:r>
        <w:rPr>
          <w:rFonts w:ascii="Barlow Semi Condensed" w:cs="Barlow Semi Condensed" w:eastAsia="Barlow Semi Condensed" w:hAnsi="Barlow Semi Condensed"/>
          <w:sz w:val="24"/>
          <w:szCs w:val="24"/>
        </w:rPr>
        <w:t xml:space="preserve">: avere un DOI</w:t>
      </w:r>
    </w:p>
    <w:p>
      <w:pPr>
        <w:spacing w:after="120" w:line="276"/>
        <w:jc w:val="both"/>
      </w:pPr>
      <w:r>
        <w:rPr>
          <w:rFonts w:ascii="Barlow Semi Condensed" w:cs="Barlow Semi Condensed" w:eastAsia="Barlow Semi Condensed" w:hAnsi="Barlow Semi Condensed"/>
          <w:sz w:val="24"/>
          <w:szCs w:val="24"/>
        </w:rPr>
        <w:t xml:space="preserve">  cambia il modo in cui ogni altro destinatario legge la proposta.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Centro documentazione Archivio «Flamigni»</w:t>
      </w:r>
      <w:r>
        <w:rPr>
          <w:rFonts w:ascii="Barlow Semi Condensed" w:cs="Barlow Semi Condensed" w:eastAsia="Barlow Semi Condensed" w:hAnsi="Barlow Semi Condensed"/>
          <w:sz w:val="24"/>
          <w:szCs w:val="24"/>
        </w:rPr>
        <w:t xml:space="preserve"> — già preparata la bozza.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Istituto nazionale Ferruccio Parri</w:t>
      </w:r>
      <w:r>
        <w:rPr>
          <w:rFonts w:ascii="Barlow Semi Condensed" w:cs="Barlow Semi Condensed" w:eastAsia="Barlow Semi Condensed" w:hAnsi="Barlow Semi Condensed"/>
          <w:sz w:val="24"/>
          <w:szCs w:val="24"/>
        </w:rPr>
        <w:t xml:space="preserve"> e la rete degli istituti storici della</w:t>
      </w:r>
    </w:p>
    <w:p>
      <w:pPr>
        <w:spacing w:after="120" w:line="276"/>
        <w:jc w:val="both"/>
      </w:pPr>
      <w:r>
        <w:rPr>
          <w:rFonts w:ascii="Barlow Semi Condensed" w:cs="Barlow Semi Condensed" w:eastAsia="Barlow Semi Condensed" w:hAnsi="Barlow Semi Condensed"/>
          <w:sz w:val="24"/>
          <w:szCs w:val="24"/>
        </w:rPr>
        <w:t xml:space="preserve">  Resistenza. Nell'aprile 2026 hanno messo in linea </w:t>
      </w:r>
      <w:r>
        <w:rPr>
          <w:rFonts w:ascii="Barlow Semi Condensed" w:cs="Barlow Semi Condensed" w:eastAsia="Barlow Semi Condensed" w:hAnsi="Barlow Semi Condensed"/>
          <w:b/>
          <w:bCs/>
          <w:sz w:val="24"/>
          <w:szCs w:val="24"/>
        </w:rPr>
        <w:t xml:space="preserve">OpenParri</w:t>
      </w:r>
      <w:r>
        <w:rPr>
          <w:rFonts w:ascii="Barlow Semi Condensed" w:cs="Barlow Semi Condensed" w:eastAsia="Barlow Semi Condensed" w:hAnsi="Barlow Semi Condensed"/>
          <w:sz w:val="24"/>
          <w:szCs w:val="24"/>
        </w:rPr>
        <w:t xml:space="preserve">, archivio</w:t>
      </w:r>
    </w:p>
    <w:p>
      <w:pPr>
        <w:spacing w:after="120" w:line="276"/>
        <w:jc w:val="both"/>
      </w:pPr>
      <w:r>
        <w:rPr>
          <w:rFonts w:ascii="Barlow Semi Condensed" w:cs="Barlow Semi Condensed" w:eastAsia="Barlow Semi Condensed" w:hAnsi="Barlow Semi Condensed"/>
          <w:sz w:val="24"/>
          <w:szCs w:val="24"/>
        </w:rPr>
        <w:t xml:space="preserve">  digitale con oltre 130 fondi: un'infrastruttura che sa che cosa farsene di</w:t>
      </w:r>
    </w:p>
    <w:p>
      <w:pPr>
        <w:spacing w:after="120" w:line="276"/>
        <w:jc w:val="both"/>
      </w:pPr>
      <w:r>
        <w:rPr>
          <w:rFonts w:ascii="Barlow Semi Condensed" w:cs="Barlow Semi Condensed" w:eastAsia="Barlow Semi Condensed" w:hAnsi="Barlow Semi Condensed"/>
          <w:sz w:val="24"/>
          <w:szCs w:val="24"/>
        </w:rPr>
        <w:t xml:space="preserve">  materiale di consultazione.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Fondazione Gramsci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Fondazione Lelio e Lisli Basso</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Archivio storico del Senato</w:t>
      </w:r>
      <w:r>
        <w:rPr>
          <w:rFonts w:ascii="Barlow Semi Condensed" w:cs="Barlow Semi Condensed" w:eastAsia="Barlow Semi Condensed" w:hAnsi="Barlow Semi Condensed"/>
          <w:sz w:val="24"/>
          <w:szCs w:val="24"/>
        </w:rPr>
        <w:t xml:space="preserve">, che conserva il Fondo Moro (IT-AFS-048) — il</w:t>
      </w:r>
    </w:p>
    <w:p>
      <w:pPr>
        <w:spacing w:after="120" w:line="276"/>
        <w:jc w:val="both"/>
      </w:pPr>
      <w:r>
        <w:rPr>
          <w:rFonts w:ascii="Barlow Semi Condensed" w:cs="Barlow Semi Condensed" w:eastAsia="Barlow Semi Condensed" w:hAnsi="Barlow Semi Condensed"/>
          <w:sz w:val="24"/>
          <w:szCs w:val="24"/>
        </w:rPr>
        <w:t xml:space="preserve">  quarto deposito che l'opera stessa segnala come ignorato dai programmi di</w:t>
      </w:r>
    </w:p>
    <w:p>
      <w:pPr>
        <w:spacing w:after="120" w:line="276"/>
        <w:jc w:val="both"/>
      </w:pPr>
      <w:r>
        <w:rPr>
          <w:rFonts w:ascii="Barlow Semi Condensed" w:cs="Barlow Semi Condensed" w:eastAsia="Barlow Semi Condensed" w:hAnsi="Barlow Semi Condensed"/>
          <w:sz w:val="24"/>
          <w:szCs w:val="24"/>
        </w:rPr>
        <w:t xml:space="preserve">  ricerca correnti.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Edizione nazionale digitale delle opere di Aldo Moro</w:t>
      </w:r>
      <w:r>
        <w:rPr>
          <w:rFonts w:ascii="Barlow Semi Condensed" w:cs="Barlow Semi Condensed" w:eastAsia="Barlow Semi Condensed" w:hAnsi="Barlow Semi Condensed"/>
          <w:sz w:val="24"/>
          <w:szCs w:val="24"/>
        </w:rPr>
        <w:t xml:space="preserve">, Università di</w:t>
      </w:r>
    </w:p>
    <w:p>
      <w:pPr>
        <w:spacing w:after="120" w:line="276"/>
        <w:jc w:val="both"/>
      </w:pPr>
      <w:r>
        <w:rPr>
          <w:rFonts w:ascii="Barlow Semi Condensed" w:cs="Barlow Semi Condensed" w:eastAsia="Barlow Semi Condensed" w:hAnsi="Barlow Semi Condensed"/>
          <w:sz w:val="24"/>
          <w:szCs w:val="24"/>
        </w:rPr>
        <w:t xml:space="preserve">  Bologna (aldomorodigitale.unibo.it). L'opera la cita: è un interlocutore</w:t>
      </w:r>
    </w:p>
    <w:p>
      <w:pPr>
        <w:spacing w:after="120" w:line="276"/>
        <w:jc w:val="both"/>
      </w:pPr>
      <w:r>
        <w:rPr>
          <w:rFonts w:ascii="Barlow Semi Condensed" w:cs="Barlow Semi Condensed" w:eastAsia="Barlow Semi Condensed" w:hAnsi="Barlow Semi Condensed"/>
          <w:sz w:val="24"/>
          <w:szCs w:val="24"/>
        </w:rPr>
        <w:t xml:space="preserve">  naturale per un apparato di quesiti.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memoria.cultura.gov.it</w:t>
      </w:r>
      <w:r>
        <w:rPr>
          <w:rFonts w:ascii="Barlow Semi Condensed" w:cs="Barlow Semi Condensed" w:eastAsia="Barlow Semi Condensed" w:hAnsi="Barlow Semi Condensed"/>
          <w:sz w:val="24"/>
          <w:szCs w:val="24"/>
        </w:rPr>
        <w:t xml:space="preserve">, il portale statale sui documenti del periodo.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Le porte da non bussare</w:t>
      </w:r>
    </w:p>
    <w:p>
      <w:pPr>
        <w:spacing w:after="120" w:line="276"/>
        <w:jc w:val="both"/>
      </w:pPr>
      <w:r>
        <w:rPr>
          <w:rFonts w:ascii="Barlow Semi Condensed" w:cs="Barlow Semi Condensed" w:eastAsia="Barlow Semi Condensed" w:hAnsi="Barlow Semi Condensed"/>
          <w:b/>
          <w:bCs/>
          <w:sz w:val="24"/>
          <w:szCs w:val="24"/>
        </w:rPr>
        <w:t xml:space="preserve">Gli editori di denuncia.</w:t>
      </w:r>
      <w:r>
        <w:rPr>
          <w:rFonts w:ascii="Barlow Semi Condensed" w:cs="Barlow Semi Condensed" w:eastAsia="Barlow Semi Condensed" w:hAnsi="Barlow Semi Condensed"/>
          <w:sz w:val="24"/>
          <w:szCs w:val="24"/>
        </w:rPr>
        <w:t xml:space="preserve"> Il taglio investigativo-militante è l'opposto</w:t>
      </w:r>
    </w:p>
    <w:p>
      <w:pPr>
        <w:spacing w:after="120" w:line="276"/>
        <w:jc w:val="both"/>
      </w:pPr>
      <w:r>
        <w:rPr>
          <w:rFonts w:ascii="Barlow Semi Condensed" w:cs="Barlow Semi Condensed" w:eastAsia="Barlow Semi Condensed" w:hAnsi="Barlow Semi Condensed"/>
          <w:sz w:val="24"/>
          <w:szCs w:val="24"/>
        </w:rPr>
        <w:t xml:space="preserve">esatto di quest'opera: quelle case cercano una tesi e un colpevole, e il lavoro</w:t>
      </w:r>
    </w:p>
    <w:p>
      <w:pPr>
        <w:spacing w:after="120" w:line="276"/>
        <w:jc w:val="both"/>
      </w:pPr>
      <w:r>
        <w:rPr>
          <w:rFonts w:ascii="Barlow Semi Condensed" w:cs="Barlow Semi Condensed" w:eastAsia="Barlow Semi Condensed" w:hAnsi="Barlow Semi Condensed"/>
          <w:sz w:val="24"/>
          <w:szCs w:val="24"/>
        </w:rPr>
        <w:t xml:space="preserve">non ne offre nessuno dei due nella forma che cercano. Va detto per esteso,</w:t>
      </w:r>
    </w:p>
    <w:p>
      <w:pPr>
        <w:spacing w:after="120" w:line="276"/>
        <w:jc w:val="both"/>
      </w:pPr>
      <w:r>
        <w:rPr>
          <w:rFonts w:ascii="Barlow Semi Condensed" w:cs="Barlow Semi Condensed" w:eastAsia="Barlow Semi Condensed" w:hAnsi="Barlow Semi Condensed"/>
          <w:sz w:val="24"/>
          <w:szCs w:val="24"/>
        </w:rPr>
        <w:t xml:space="preserve">perché la formula secca direbbe oggi meno del vero: un Libro dei quattordici</w:t>
      </w:r>
    </w:p>
    <w:p>
      <w:pPr>
        <w:spacing w:after="120" w:line="276"/>
        <w:jc w:val="both"/>
      </w:pPr>
      <w:r>
        <w:rPr>
          <w:rFonts w:ascii="Barlow Semi Condensed" w:cs="Barlow Semi Condensed" w:eastAsia="Barlow Semi Condensed" w:hAnsi="Barlow Semi Condensed"/>
          <w:sz w:val="24"/>
          <w:szCs w:val="24"/>
        </w:rPr>
        <w:t xml:space="preserve">ordina per plausibilità del coinvolgimento, ma per categorie di soggetti e non</w:t>
      </w:r>
    </w:p>
    <w:p>
      <w:pPr>
        <w:spacing w:after="120" w:line="276"/>
        <w:jc w:val="both"/>
      </w:pPr>
      <w:r>
        <w:rPr>
          <w:rFonts w:ascii="Barlow Semi Condensed" w:cs="Barlow Semi Condensed" w:eastAsia="Barlow Semi Condensed" w:hAnsi="Barlow Semi Condensed"/>
          <w:sz w:val="24"/>
          <w:szCs w:val="24"/>
        </w:rPr>
        <w:t xml:space="preserve">per nomi, muovendo dai condannati in via definitiva e rifiutando di nominare un</w:t>
      </w:r>
    </w:p>
    <w:p>
      <w:pPr>
        <w:spacing w:after="120" w:line="276"/>
        <w:jc w:val="both"/>
      </w:pPr>
      <w:r>
        <w:rPr>
          <w:rFonts w:ascii="Barlow Semi Condensed" w:cs="Barlow Semi Condensed" w:eastAsia="Barlow Semi Condensed" w:hAnsi="Barlow Semi Condensed"/>
          <w:sz w:val="24"/>
          <w:szCs w:val="24"/>
        </w:rPr>
        <w:t xml:space="preserve">mandante esterno — cioè fa l'esatto contrario di quel che una casa di denuncia</w:t>
      </w:r>
    </w:p>
    <w:p>
      <w:pPr>
        <w:spacing w:after="120" w:line="276"/>
        <w:jc w:val="both"/>
      </w:pPr>
      <w:r>
        <w:rPr>
          <w:rFonts w:ascii="Barlow Semi Condensed" w:cs="Barlow Semi Condensed" w:eastAsia="Barlow Semi Condensed" w:hAnsi="Barlow Semi Condensed"/>
          <w:sz w:val="24"/>
          <w:szCs w:val="24"/>
        </w:rPr>
        <w:t xml:space="preserve">vorrebbe titolare. Una pubblicazione lì trasformerebbe un apparato di cautele</w:t>
      </w:r>
    </w:p>
    <w:p>
      <w:pPr>
        <w:spacing w:after="120" w:line="276"/>
        <w:jc w:val="both"/>
      </w:pPr>
      <w:r>
        <w:rPr>
          <w:rFonts w:ascii="Barlow Semi Condensed" w:cs="Barlow Semi Condensed" w:eastAsia="Barlow Semi Condensed" w:hAnsi="Barlow Semi Condensed"/>
          <w:sz w:val="24"/>
          <w:szCs w:val="24"/>
        </w:rPr>
        <w:t xml:space="preserve">nel suo contrario, e la prima recensione lo direbbe.</w:t>
      </w:r>
    </w:p>
    <w:p>
      <w:pPr>
        <w:spacing w:after="120" w:line="276"/>
        <w:jc w:val="both"/>
      </w:pPr>
      <w:r>
        <w:rPr>
          <w:rFonts w:ascii="Barlow Semi Condensed" w:cs="Barlow Semi Condensed" w:eastAsia="Barlow Semi Condensed" w:hAnsi="Barlow Semi Condensed"/>
          <w:b/>
          <w:bCs/>
          <w:sz w:val="24"/>
          <w:szCs w:val="24"/>
        </w:rPr>
        <w:t xml:space="preserve">Chiunque chieda un contributo economico.</w:t>
      </w:r>
      <w:r>
        <w:rPr>
          <w:rFonts w:ascii="Barlow Semi Condensed" w:cs="Barlow Semi Condensed" w:eastAsia="Barlow Semi Condensed" w:hAnsi="Barlow Semi Condensed"/>
          <w:sz w:val="24"/>
          <w:szCs w:val="24"/>
        </w:rPr>
        <w:t xml:space="preserve"> L'editoria a pagamento non pubblica:</w:t>
      </w:r>
    </w:p>
    <w:p>
      <w:pPr>
        <w:spacing w:after="120" w:line="276"/>
        <w:jc w:val="both"/>
      </w:pPr>
      <w:r>
        <w:rPr>
          <w:rFonts w:ascii="Barlow Semi Condensed" w:cs="Barlow Semi Condensed" w:eastAsia="Barlow Semi Condensed" w:hAnsi="Barlow Semi Condensed"/>
          <w:sz w:val="24"/>
          <w:szCs w:val="24"/>
        </w:rPr>
        <w:t xml:space="preserve">stampa. Per un'opera che deve essere citabile e credibile è peggio di non</w:t>
      </w:r>
    </w:p>
    <w:p>
      <w:pPr>
        <w:spacing w:after="120" w:line="276"/>
        <w:jc w:val="both"/>
      </w:pPr>
      <w:r>
        <w:rPr>
          <w:rFonts w:ascii="Barlow Semi Condensed" w:cs="Barlow Semi Condensed" w:eastAsia="Barlow Semi Condensed" w:hAnsi="Barlow Semi Condensed"/>
          <w:sz w:val="24"/>
          <w:szCs w:val="24"/>
        </w:rPr>
        <w:t xml:space="preserve">pubblicare affatto.</w:t>
      </w:r>
    </w:p>
    <w:p>
      <w:pPr>
        <w:spacing w:after="120" w:line="276"/>
        <w:jc w:val="both"/>
      </w:pPr>
      <w:r>
        <w:rPr>
          <w:rFonts w:ascii="Barlow Semi Condensed" w:cs="Barlow Semi Condensed" w:eastAsia="Barlow Semi Condensed" w:hAnsi="Barlow Semi Condensed"/>
          <w:b/>
          <w:bCs/>
          <w:sz w:val="24"/>
          <w:szCs w:val="24"/>
        </w:rPr>
        <w:t xml:space="preserve">I canali che chiedono di non dichiarare l'uso dell'intelligenza artificiale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o che suggeriscono di attenuarlo. La dichiarazione è la condizione di serietà</w:t>
      </w:r>
    </w:p>
    <w:p>
      <w:pPr>
        <w:spacing w:after="120" w:line="276"/>
        <w:jc w:val="both"/>
      </w:pPr>
      <w:r>
        <w:rPr>
          <w:rFonts w:ascii="Barlow Semi Condensed" w:cs="Barlow Semi Condensed" w:eastAsia="Barlow Semi Condensed" w:hAnsi="Barlow Semi Condensed"/>
          <w:sz w:val="24"/>
          <w:szCs w:val="24"/>
        </w:rPr>
        <w:t xml:space="preserve">dell'intero lavoro; toglierla lo rende un altro oggetto, e un oggetto peggiore.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L'ordine consigliato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Zenodo</w:t>
      </w:r>
      <w:r>
        <w:rPr>
          <w:rFonts w:ascii="Barlow Semi Condensed" w:cs="Barlow Semi Condensed" w:eastAsia="Barlow Semi Condensed" w:hAnsi="Barlow Semi Condensed"/>
          <w:sz w:val="24"/>
          <w:szCs w:val="24"/>
        </w:rPr>
        <w:t xml:space="preserve">, subito: deposito e DOI. Costa un pomeriggio e cambia tutto il resto.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La nota a «Italia contemporanea»</w:t>
      </w:r>
      <w:r>
        <w:rPr>
          <w:rFonts w:ascii="Barlow Semi Condensed" w:cs="Barlow Semi Condensed" w:eastAsia="Barlow Semi Condensed" w:hAnsi="Barlow Semi Condensed"/>
          <w:sz w:val="24"/>
          <w:szCs w:val="24"/>
        </w:rPr>
        <w:t xml:space="preserve">, quattro pagine sui due accertamenti.</w:t>
      </w:r>
    </w:p>
    <w:p>
      <w:pPr>
        <w:spacing w:after="120" w:line="276"/>
        <w:jc w:val="both"/>
      </w:pPr>
      <w:r>
        <w:rPr>
          <w:rFonts w:ascii="Barlow Semi Condensed" w:cs="Barlow Semi Condensed" w:eastAsia="Barlow Semi Condensed" w:hAnsi="Barlow Semi Condensed"/>
          <w:sz w:val="24"/>
          <w:szCs w:val="24"/>
        </w:rPr>
        <w:t xml:space="preserve">   È il passo con la probabilità più alta e il costo più basso.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Archivio Flamigni</w:t>
      </w:r>
      <w:r>
        <w:rPr>
          <w:rFonts w:ascii="Barlow Semi Condensed" w:cs="Barlow Semi Condensed" w:eastAsia="Barlow Semi Condensed" w:hAnsi="Barlow Semi Condensed"/>
          <w:sz w:val="24"/>
          <w:szCs w:val="24"/>
        </w:rPr>
        <w:t xml:space="preserve">, con la bozza già pronta.</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Il capitolo campione del saggio</w:t>
      </w:r>
      <w:r>
        <w:rPr>
          <w:rFonts w:ascii="Barlow Semi Condensed" w:cs="Barlow Semi Condensed" w:eastAsia="Barlow Semi Condensed" w:hAnsi="Barlow Semi Condensed"/>
          <w:sz w:val="24"/>
          <w:szCs w:val="24"/>
        </w:rPr>
        <w:t xml:space="preserve">, e solo dopo le proposte agli editori —</w:t>
      </w:r>
    </w:p>
    <w:p>
      <w:pPr>
        <w:spacing w:after="120" w:line="276"/>
        <w:jc w:val="both"/>
      </w:pPr>
      <w:r>
        <w:rPr>
          <w:rFonts w:ascii="Barlow Semi Condensed" w:cs="Barlow Semi Condensed" w:eastAsia="Barlow Semi Condensed" w:hAnsi="Barlow Semi Condensed"/>
          <w:sz w:val="24"/>
          <w:szCs w:val="24"/>
        </w:rPr>
        <w:t xml:space="preserve">   a Codice e al Mulino prima che a Laterza, per affinità di catalogo.</w:t>
      </w:r>
    </w:p>
    <w:p>
      <w:pPr>
        <w:spacing w:after="120" w:line="276"/>
        <w:jc w:val="both"/>
      </w:pPr>
      <w:r>
        <w:rPr>
          <w:rFonts w:ascii="Barlow Semi Condensed" w:cs="Barlow Semi Condensed" w:eastAsia="Barlow Semi Condensed" w:hAnsi="Barlow Semi Condensed"/>
          <w:sz w:val="24"/>
          <w:szCs w:val="24"/>
        </w:rPr>
        <w:t xml:space="preserve">Il motivo dell'ordine è uno solo: </w:t>
      </w:r>
      <w:r>
        <w:rPr>
          <w:rFonts w:ascii="Barlow Semi Condensed" w:cs="Barlow Semi Condensed" w:eastAsia="Barlow Semi Condensed" w:hAnsi="Barlow Semi Condensed"/>
          <w:b/>
          <w:bCs/>
          <w:sz w:val="24"/>
          <w:szCs w:val="24"/>
        </w:rPr>
        <w:t xml:space="preserve">ogni passo rende più facile il successivo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DOI rende la nota citabile; una nota pubblicata rende la proposta editoriale</w:t>
      </w:r>
    </w:p>
    <w:p>
      <w:pPr>
        <w:spacing w:after="120" w:line="276"/>
        <w:jc w:val="both"/>
      </w:pPr>
      <w:r>
        <w:rPr>
          <w:rFonts w:ascii="Barlow Semi Condensed" w:cs="Barlow Semi Condensed" w:eastAsia="Barlow Semi Condensed" w:hAnsi="Barlow Semi Condensed"/>
          <w:sz w:val="24"/>
          <w:szCs w:val="24"/>
        </w:rPr>
        <w:t xml:space="preserve">qualcosa di più di un'idea; un editore interessato rende l'apparato un</w:t>
      </w:r>
    </w:p>
    <w:p>
      <w:pPr>
        <w:spacing w:after="120" w:line="276"/>
        <w:jc w:val="both"/>
      </w:pPr>
      <w:r>
        <w:rPr>
          <w:rFonts w:ascii="Barlow Semi Condensed" w:cs="Barlow Semi Condensed" w:eastAsia="Barlow Semi Condensed" w:hAnsi="Barlow Semi Condensed"/>
          <w:sz w:val="24"/>
          <w:szCs w:val="24"/>
        </w:rPr>
        <w:t xml:space="preserve">patrimonio invece che un file.</w:t>
      </w:r>
    </w:p>
    <w:p>
      <w:pPr>
        <w:pStyle w:val="Heading3"/>
        <w:spacing w:after="80" w:before="240"/>
      </w:pPr>
      <w:r>
        <w:rPr>
          <w:rFonts w:ascii="Barlow Semi Condensed" w:cs="Barlow Semi Condensed" w:eastAsia="Barlow Semi Condensed" w:hAnsi="Barlow Semi Condensed"/>
          <w:sz w:val="24"/>
          <w:szCs w:val="24"/>
        </w:rPr>
        <w:t xml:space="preserve">Apparato grafico — Appendici · vi. La mappa dei destinatari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 994 parole in 6 sezioni; la più ampia è §2 Per il terzo oggetto — la nota scientifica, con 200.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 20 paragrafi in 6 sezioni, 3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vii. Il registro dei canali PEC</w:t>
      </w:r>
    </w:p>
    <w:p>
      <w:pPr>
        <w:pStyle w:val="Heading1"/>
        <w:spacing w:after="120" w:before="240"/>
      </w:pPr>
      <w:r>
        <w:rPr>
          <w:rFonts w:ascii="Barlow Semi Condensed" w:cs="Barlow Semi Condensed" w:eastAsia="Barlow Semi Condensed" w:hAnsi="Barlow Semi Condensed"/>
          <w:sz w:val="24"/>
          <w:szCs w:val="24"/>
        </w:rPr>
        <w:t xml:space="preserve">Registro PEC e canali di contatto — agosto 2026</w:t>
      </w:r>
    </w:p>
    <w:p>
      <w:pPr>
        <w:spacing w:after="120" w:line="276"/>
        <w:jc w:val="both"/>
      </w:pPr>
      <w:r>
        <w:rPr>
          <w:rFonts w:ascii="Barlow Semi Condensed" w:cs="Barlow Semi Condensed" w:eastAsia="Barlow Semi Condensed" w:hAnsi="Barlow Semi Condensed"/>
          <w:sz w:val="24"/>
          <w:szCs w:val="24"/>
        </w:rPr>
        <w:t xml:space="preserve">**Tutti i destinatari del dossier di diffusione, con tipo di canale, recapito</w:t>
      </w:r>
    </w:p>
    <w:p>
      <w:pPr>
        <w:spacing w:after="120" w:line="276"/>
        <w:jc w:val="both"/>
      </w:pPr>
      <w:r>
        <w:rPr>
          <w:rFonts w:ascii="Barlow Semi Condensed" w:cs="Barlow Semi Condensed" w:eastAsia="Barlow Semi Condensed" w:hAnsi="Barlow Semi Condensed"/>
          <w:sz w:val="24"/>
          <w:szCs w:val="24"/>
        </w:rPr>
        <w:t xml:space="preserve">verificato, e grado della verifica dichiarato.**</w:t>
      </w:r>
    </w:p>
    <w:p>
      <w:pPr>
        <w:spacing w:after="120" w:line="276"/>
        <w:jc w:val="both"/>
      </w:pPr>
      <w:r>
        <w:rPr>
          <w:rFonts w:ascii="Barlow Semi Condensed" w:cs="Barlow Semi Condensed" w:eastAsia="Barlow Semi Condensed" w:hAnsi="Barlow Semi Condensed"/>
          <w:sz w:val="24"/>
          <w:szCs w:val="24"/>
        </w:rPr>
        <w:t xml:space="preserve">Compilato il 26 agosto 2026 alle 12:45 CET. Base informativa: checklist di</w:t>
      </w:r>
    </w:p>
    <w:p>
      <w:pPr>
        <w:spacing w:after="120" w:line="276"/>
        <w:jc w:val="both"/>
      </w:pPr>
      <w:r>
        <w:rPr>
          <w:rFonts w:ascii="Barlow Semi Condensed" w:cs="Barlow Semi Condensed" w:eastAsia="Barlow Semi Condensed" w:hAnsi="Barlow Semi Condensed"/>
          <w:sz w:val="24"/>
          <w:szCs w:val="24"/>
        </w:rPr>
        <w:t xml:space="preserve">invio, file delle proposte, ricerca web su siti ufficiali degli editori.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Ondata 0 — invii immediati (non in concorrenza)</w:t>
      </w:r>
    </w:p>
    <w:p>
      <w:pPr>
        <w:pStyle w:val="Heading3"/>
        <w:spacing w:after="80" w:before="160"/>
      </w:pPr>
      <w:r>
        <w:rPr>
          <w:rFonts w:ascii="Barlow Semi Condensed" w:cs="Barlow Semi Condensed" w:eastAsia="Barlow Semi Condensed" w:hAnsi="Barlow Semi Condensed"/>
          <w:sz w:val="24"/>
          <w:szCs w:val="24"/>
        </w:rPr>
        <w:t xml:space="preserve">0 · Centro documentazione Archivio «Flamigni» 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Posta elettronica certificata (PEC)</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PEC</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Da ricercare</w:t>
            </w:r>
            <w:r>
              <w:rPr>
                <w:rFonts w:ascii="Barlow Semi Condensed" w:cs="Barlow Semi Condensed" w:eastAsia="Barlow Semi Condensed" w:hAnsi="Barlow Semi Condensed"/>
                <w:sz w:val="20"/>
                <w:szCs w:val="20"/>
              </w:rPr>
              <w:t xml:space="preserve"> — non ancora accertato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Metodi di ricerca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RUNTS (Registro Unico Nazionale del Terzo Settore); INI-PEC; sito archivioflamigni.org</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cartaceo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Piazza Bartolomeo Romano 6, 00154 Roma (Garbatella)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Accertato che non è stato accertato.</w:t>
            </w:r>
            <w:r>
              <w:rPr>
                <w:rFonts w:ascii="Barlow Semi Condensed" w:cs="Barlow Semi Condensed" w:eastAsia="Barlow Semi Condensed" w:hAnsi="Barlow Semi Condensed"/>
                <w:sz w:val="20"/>
                <w:szCs w:val="20"/>
              </w:rPr>
              <w:t xml:space="preserve"> La bozza della comunicazione contiene esplicitamente l'istruzione di ricercare il PEC prima dell'invio. Canale e sua apertura verificati; indirizzo specifico non ancora reperibile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Fallback</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ordinaria a contatti generici della fondazione fino a reperimento del PEC</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PEC non essenziale per efficacia comunicativa, ma certificato data/ora dell'invio secondo DPR 68/2005</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0-ter · Archivio storico della Camera dei deputati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Richiesta di riproduzione — PEC o modulo istituzionale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Piazza San Macuto 57, 00186 Roma — Palazzo del Seminario, primo piano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Segreteria</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ars_segreteria@camera.it</w:t>
            </w:r>
            <w:r>
              <w:rPr>
                <w:rFonts w:ascii="Barlow Semi Condensed" w:cs="Barlow Semi Condensed" w:eastAsia="Barlow Semi Condensed" w:hAnsi="Barlow Semi Condensed"/>
                <w:sz w:val="20"/>
                <w:szCs w:val="20"/>
              </w:rPr>
              <w:t xml:space="preserve"> · tel. 06 6760 3880 · lun-ven 9.30-16.30</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alla segreteria indicando l'argomento della ricerca e i documenti da consultare; l'accesso alla sala studio si concorda di lì</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B — reperito, non letto.</w:t>
            </w:r>
            <w:r>
              <w:rPr>
                <w:rFonts w:ascii="Barlow Semi Condensed" w:cs="Barlow Semi Condensed" w:eastAsia="Barlow Semi Condensed" w:hAnsi="Barlow Semi Condensed"/>
                <w:sz w:val="20"/>
                <w:szCs w:val="20"/>
              </w:rPr>
              <w:t xml:space="preserve"> Due ricerche indipendenti convergono riferendo le pagine istituzionali della Camera; le pagine non sono state aperte, perché il proxy di questa sessione blocca l'uscita verso </w:t>
            </w:r>
            <w:r>
              <w:rPr>
                <w:rFonts w:ascii="Barlow Semi Condensed" w:cs="Barlow Semi Condensed" w:eastAsia="Barlow Semi Condensed" w:hAnsi="Barlow Semi Condensed"/>
                <w:i/>
                <w:iCs/>
                <w:sz w:val="20"/>
                <w:szCs w:val="20"/>
              </w:rPr>
              <w:t xml:space="preserve">camera.it</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Da confermare sul sito prima di spedire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Prima di spedire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 volumi della Commissione P2 risultano </w:t>
            </w:r>
            <w:r>
              <w:rPr>
                <w:rFonts w:ascii="Barlow Semi Condensed" w:cs="Barlow Semi Condensed" w:eastAsia="Barlow Semi Condensed" w:hAnsi="Barlow Semi Condensed"/>
                <w:b/>
                <w:bCs/>
                <w:sz w:val="20"/>
                <w:szCs w:val="20"/>
              </w:rPr>
              <w:t xml:space="preserve">digitalizzati</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inchieste.camera.it/p2/documenti.html?leg=09</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archivioantimafia.org/p2/commissione_parlamentare/</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memoria.san.beniculturali.it</w:t>
            </w:r>
            <w:r>
              <w:rPr>
                <w:rFonts w:ascii="Barlow Semi Condensed" w:cs="Barlow Semi Condensed" w:eastAsia="Barlow Semi Condensed" w:hAnsi="Barlow Semi Condensed"/>
                <w:sz w:val="20"/>
                <w:szCs w:val="20"/>
              </w:rPr>
              <w:t xml:space="preserve">. Ciò che si apre da un browser non si chiede per posta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Che cosa si chiede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Doc. XXIII n. 2-quater/2/I, IX legislatura, Roma 1984 — riproduzione integrale degli </w:t>
            </w:r>
            <w:r>
              <w:rPr>
                <w:rFonts w:ascii="Barlow Semi Condensed" w:cs="Barlow Semi Condensed" w:eastAsia="Barlow Semi Condensed" w:hAnsi="Barlow Semi Condensed"/>
                <w:b/>
                <w:bCs/>
                <w:sz w:val="20"/>
                <w:szCs w:val="20"/>
              </w:rPr>
              <w:t xml:space="preserve">allegati 13</w:t>
            </w:r>
            <w:r>
              <w:rPr>
                <w:rFonts w:ascii="Barlow Semi Condensed" w:cs="Barlow Semi Condensed" w:eastAsia="Barlow Semi Condensed" w:hAnsi="Barlow Semi Condensed"/>
                <w:sz w:val="20"/>
                <w:szCs w:val="20"/>
              </w:rPr>
              <w:t xml:space="preserve"> (pp. I, 258-280) e </w:t>
            </w:r>
            <w:r>
              <w:rPr>
                <w:rFonts w:ascii="Barlow Semi Condensed" w:cs="Barlow Semi Condensed" w:eastAsia="Barlow Semi Condensed" w:hAnsi="Barlow Semi Condensed"/>
                <w:b/>
                <w:bCs/>
                <w:sz w:val="20"/>
                <w:szCs w:val="20"/>
              </w:rPr>
              <w:t xml:space="preserve">21</w:t>
            </w:r>
            <w:r>
              <w:rPr>
                <w:rFonts w:ascii="Barlow Semi Condensed" w:cs="Barlow Semi Condensed" w:eastAsia="Barlow Semi Condensed" w:hAnsi="Barlow Semi Condensed"/>
                <w:sz w:val="20"/>
                <w:szCs w:val="20"/>
              </w:rPr>
              <w:t xml:space="preserve"> (pp. I, 474-507), 52 pagine, con intestazioni di colonna visibili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Fallback</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Biblioteca della Camera; Archivio storico del Senato (che conserva il Fondo Moro, IT-AFS-048); Biblioteca del Senato «Giovanni Spadolini»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È l'unica richiesta del dossier che possa spostare un grado probatorio anziché diffondere l'opera. Testo pronto in `</w:t>
            </w:r>
            <w:r>
              <w:rPr>
                <w:rFonts w:ascii="Barlow Semi Condensed" w:cs="Barlow Semi Condensed" w:eastAsia="Barlow Semi Condensed" w:hAnsi="Barlow Semi Condensed"/>
                <w:i/>
                <w:iCs/>
                <w:sz w:val="20"/>
                <w:szCs w:val="20"/>
              </w:rPr>
              <w:t xml:space="preserve">richiesta-archivio-storico-camera.md</w:t>
            </w:r>
            <w:r>
              <w:rPr>
                <w:rFonts w:ascii="Barlow Semi Condensed" w:cs="Barlow Semi Condensed" w:eastAsia="Barlow Semi Condensed" w:hAnsi="Barlow Semi Condensed"/>
                <w:sz w:val="20"/>
                <w:szCs w:val="20"/>
              </w:rPr>
              <w:t xml:space="preserve">`. Non dipende dal DOI e può partire per prima</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0-bis · Fondazione Aldo Moro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Posta elettronica ordinaria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Sede legale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via dei Gracchi 29/B, 00192 Roma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Presidente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prof. Renato Moro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Segretario-tesoriere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dott. Luigi Mandolesi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email</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Da ricercare prima dell'invio.</w:t>
            </w:r>
            <w:r>
              <w:rPr>
                <w:rFonts w:ascii="Barlow Semi Condensed" w:cs="Barlow Semi Condensed" w:eastAsia="Barlow Semi Condensed" w:hAnsi="Barlow Semi Condensed"/>
                <w:sz w:val="20"/>
                <w:szCs w:val="20"/>
              </w:rPr>
              <w:t xml:space="preserve"> Preferibilmente contatto istituzionale della Fondazione. Fallback: indirizzo del presidente in quanto presidente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Edizione Nazionale Opere Aldo Moro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Recapito tecnico distinto presso Università di Bologna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sede legale e nomi verificati.</w:t>
            </w:r>
            <w:r>
              <w:rPr>
                <w:rFonts w:ascii="Barlow Semi Condensed" w:cs="Barlow Semi Condensed" w:eastAsia="Barlow Semi Condensed" w:hAnsi="Barlow Semi Condensed"/>
                <w:sz w:val="20"/>
                <w:szCs w:val="20"/>
              </w:rPr>
              <w:t xml:space="preserve"> Indirizzi email specifici non accertati. Sito istituzionale della Fondazione è fonte primaria per localizzare il recapito appropriato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Fallback</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Ricerca del recapito via Edizione Nazionale; in ultima istanza, lettera al presidente come persona istituzionale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Non richiede PEC. La lettera tocca memoria di persona deceduta e famiglia vivente: occorre leggibilità e rispetto istituzionale</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10 · Zenodo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Deposito digitale con HTTPS (non PEC)</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URL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https://zenodo.org</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Account personale; caricamento file PDF; scelta licenza; generazione DOI automatica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Verificato.</w:t>
            </w:r>
            <w:r>
              <w:rPr>
                <w:rFonts w:ascii="Barlow Semi Condensed" w:cs="Barlow Semi Condensed" w:eastAsia="Barlow Semi Condensed" w:hAnsi="Barlow Semi Condensed"/>
                <w:sz w:val="20"/>
                <w:szCs w:val="20"/>
              </w:rPr>
              <w:t xml:space="preserve"> Sito raggiungibile, procedura conforme a documentazione ufficiale Zenodo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Tempi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~15 minuti per caricamento + 1 ora per processamento e generazione DOI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DOI generato a deposito completato è citato in tutte le proposte editoriali successive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Ondata 1 — editori generici (modulo online o email)</w:t>
      </w:r>
    </w:p>
    <w:p>
      <w:pPr>
        <w:pStyle w:val="Heading3"/>
        <w:spacing w:after="80" w:before="160"/>
      </w:pPr>
      <w:r>
        <w:rPr>
          <w:rFonts w:ascii="Barlow Semi Condensed" w:cs="Barlow Semi Condensed" w:eastAsia="Barlow Semi Condensed" w:hAnsi="Barlow Semi Condensed"/>
          <w:sz w:val="24"/>
          <w:szCs w:val="24"/>
        </w:rPr>
        <w:t xml:space="preserve">1 · Società editrice il Mulino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Modulo web (registrazione richiesta)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URL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sito editore il Mulino, sezione proposte editoriali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Registrazione account; compilazione modulo con campi predefiniti; upload PDF del capitolo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Verificato.</w:t>
            </w:r>
            <w:r>
              <w:rPr>
                <w:rFonts w:ascii="Barlow Semi Condensed" w:cs="Barlow Semi Condensed" w:eastAsia="Barlow Semi Condensed" w:hAnsi="Barlow Semi Condensed"/>
                <w:sz w:val="20"/>
                <w:szCs w:val="20"/>
              </w:rPr>
              <w:t xml:space="preserve"> Sito raggiungibile; modulo presente e funzionante al 26 agosto 2026</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Nessun email diretto. Non copiare-incollare da documento di word: compilare i campi del modulo</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2 · Chiarelettere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ordinaria </w:t>
            </w:r>
            <w:r>
              <w:rPr>
                <w:rFonts w:ascii="Barlow Semi Condensed" w:cs="Barlow Semi Condensed" w:eastAsia="Barlow Semi Condensed" w:hAnsi="Barlow Semi Condensed"/>
                <w:b/>
                <w:bCs/>
                <w:sz w:val="20"/>
                <w:szCs w:val="20"/>
              </w:rPr>
              <w:t xml:space="preserve">oppure</w:t>
            </w:r>
            <w:r>
              <w:rPr>
                <w:rFonts w:ascii="Barlow Semi Condensed" w:cs="Barlow Semi Condensed" w:eastAsia="Barlow Semi Condensed" w:hAnsi="Barlow Semi Condensed"/>
                <w:sz w:val="20"/>
                <w:szCs w:val="20"/>
              </w:rPr>
              <w:t xml:space="preserve"> modulo web</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 principale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proposte.editoriali@chiarelettere.it</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Sede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corso Sempione 2, 20154 Milano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 alternativa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Modulo online sul sito editore (verificare quale sia il canale preferito al momento dell'invio)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 verificata.</w:t>
            </w:r>
            <w:r>
              <w:rPr>
                <w:rFonts w:ascii="Barlow Semi Condensed" w:cs="Barlow Semi Condensed" w:eastAsia="Barlow Semi Condensed" w:hAnsi="Barlow Semi Condensed"/>
                <w:sz w:val="20"/>
                <w:szCs w:val="20"/>
              </w:rPr>
              <w:t xml:space="preserve"> Sito editore e pagina contatti raggiunti il 26 agosto 2026. Indirizzo coerente con tono della casa editrice (indirizzo dedicato, non generico)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È il catalogo più affine ai nove editori per questa materia. Merita cura particolare nella redazione</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3 · Carocci editore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Modulo web (nessun email diretto)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URL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sito Carocci editore, sezione «Proposte editoriali»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Compilazione modulo online con allegati (scheda dell'opera; la prima stesura completa del libro)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Verificato.</w:t>
            </w:r>
            <w:r>
              <w:rPr>
                <w:rFonts w:ascii="Barlow Semi Condensed" w:cs="Barlow Semi Condensed" w:eastAsia="Barlow Semi Condensed" w:hAnsi="Barlow Semi Condensed"/>
                <w:sz w:val="20"/>
                <w:szCs w:val="20"/>
              </w:rPr>
              <w:t xml:space="preserve"> Sito raggiungibile; pagina proposte editoriali presente al 26 agosto 2026</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Diverso dal modulo del Mulino: qui si carica capitolo completo, non estratto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Ondata 2 — editori con tempi lunghi</w:t>
      </w:r>
    </w:p>
    <w:p>
      <w:pPr>
        <w:pStyle w:val="Heading3"/>
        <w:spacing w:after="80" w:before="160"/>
      </w:pPr>
      <w:r>
        <w:rPr>
          <w:rFonts w:ascii="Barlow Semi Condensed" w:cs="Barlow Semi Condensed" w:eastAsia="Barlow Semi Condensed" w:hAnsi="Barlow Semi Condensed"/>
          <w:sz w:val="24"/>
          <w:szCs w:val="24"/>
        </w:rPr>
        <w:t xml:space="preserve">4 · Editori Laterza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Posta cartacea (carta stampata; nessun email diretto)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Roma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Editori Laterza, Redazione, via di Villa Sacchetti 17, 00197 Roma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Bari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Editori Laterza, Direzione editoriale, piazza Umberto I 54, 70121 Bari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Stampa proposta + indice + bio-bibliografia; fascicolazione; invio cartaceo (raccomandata consigliata)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Verificato.</w:t>
            </w:r>
            <w:r>
              <w:rPr>
                <w:rFonts w:ascii="Barlow Semi Condensed" w:cs="Barlow Semi Condensed" w:eastAsia="Barlow Semi Condensed" w:hAnsi="Barlow Semi Condensed"/>
                <w:sz w:val="20"/>
                <w:szCs w:val="20"/>
              </w:rPr>
              <w:t xml:space="preserve"> Indirizzi ricavati dal sito ufficiale Laterza (sezione contatti / redazione). Entrambi gli indirizzi sono attuali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Tempi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Nessuna risposta entro 12 mesi = rifiuto implicito. Non sollecitare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Unico invio cartaceo fra i nove editori. Va preventivato tempo per stampa e spedizione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Ondata 3 — editori che valutano l'opera, non l'idea</w:t>
      </w:r>
    </w:p>
    <w:p>
      <w:pPr>
        <w:pStyle w:val="Heading3"/>
        <w:spacing w:after="80" w:before="160"/>
      </w:pPr>
      <w:r>
        <w:rPr>
          <w:rFonts w:ascii="Barlow Semi Condensed" w:cs="Barlow Semi Condensed" w:eastAsia="Barlow Semi Condensed" w:hAnsi="Barlow Semi Condensed"/>
          <w:sz w:val="24"/>
          <w:szCs w:val="24"/>
        </w:rPr>
        <w:t xml:space="preserve">5 · Bompiani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Modulo web (online form)</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URL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manoscritti.bompiani.it (gruppo Giunti)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Caricamento PDF (max 5 MB); nessun link esterno, nessun cloud; nessun accesso a testo non ancora scritto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Verificato.</w:t>
            </w:r>
            <w:r>
              <w:rPr>
                <w:rFonts w:ascii="Barlow Semi Condensed" w:cs="Barlow Semi Condensed" w:eastAsia="Barlow Semi Condensed" w:hAnsi="Barlow Semi Condensed"/>
                <w:sz w:val="20"/>
                <w:szCs w:val="20"/>
              </w:rPr>
              <w:t xml:space="preserve"> URL raggiungibile al 26 agosto 2026. Istruzioni coerenti con informazioni ufficiali editore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Tempi di risposta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Solo in caso di interesse. Segreteria non riceve telefonate. Testi non si restituiscono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Regola critica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Una proposta ogni dodici mesi massimo.</w:t>
            </w:r>
            <w:r>
              <w:rPr>
                <w:rFonts w:ascii="Barlow Semi Condensed" w:cs="Barlow Semi Condensed" w:eastAsia="Barlow Semi Condensed" w:hAnsi="Barlow Semi Condensed"/>
                <w:sz w:val="20"/>
                <w:szCs w:val="20"/>
              </w:rPr>
              <w:t xml:space="preserve"> Non può essere riproposta la stessa idea entro 12 mesi dallo scarto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È un colpo solo per anno. Non spenderlo su testo non ancora scritto</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6 · Giulio Einaudi editore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ordinaria (per saggistica)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einaudi@einaudi.it</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Invio email con allegati: curriculum vitae completo; testo integrale dell'opera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Requisito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Nome, indirizzo, email, telefono ripetuti </w:t>
            </w:r>
            <w:r>
              <w:rPr>
                <w:rFonts w:ascii="Barlow Semi Condensed" w:cs="Barlow Semi Condensed" w:eastAsia="Barlow Semi Condensed" w:hAnsi="Barlow Semi Condensed"/>
                <w:b/>
                <w:bCs/>
                <w:sz w:val="20"/>
                <w:szCs w:val="20"/>
              </w:rPr>
              <w:t xml:space="preserve">anche in testa al documento allegato</w:t>
            </w:r>
            <w:r>
              <w:rPr>
                <w:rFonts w:ascii="Barlow Semi Condensed" w:cs="Barlow Semi Condensed" w:eastAsia="Barlow Semi Condensed" w:hAnsi="Barlow Semi Condensed"/>
                <w:sz w:val="20"/>
                <w:szCs w:val="20"/>
              </w:rPr>
              <w:t xml:space="preserve"> (non solo in email)</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 verificata.</w:t>
            </w:r>
            <w:r>
              <w:rPr>
                <w:rFonts w:ascii="Barlow Semi Condensed" w:cs="Barlow Semi Condensed" w:eastAsia="Barlow Semi Condensed" w:hAnsi="Barlow Semi Condensed"/>
                <w:sz w:val="20"/>
                <w:szCs w:val="20"/>
              </w:rPr>
              <w:t xml:space="preserve"> Sito Einaudi consultato; email coerente con procedura di submission ufficiale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Tempi di risposta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Solo in caso di interesse. Stimabile intorno a 6 mesi. Non sollecitare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Nota critica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Valuta l'opera, non l'idea. Una proposta su testo non scritto non è funzionale. </w:t>
            </w:r>
            <w:r>
              <w:rPr>
                <w:rFonts w:ascii="Barlow Semi Condensed" w:cs="Barlow Semi Condensed" w:eastAsia="Barlow Semi Condensed" w:hAnsi="Barlow Semi Condensed"/>
                <w:b/>
                <w:bCs/>
                <w:sz w:val="20"/>
                <w:szCs w:val="20"/>
              </w:rPr>
              <w:t xml:space="preserve">Inviare solo a saggio scritto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Porte non immediatamente praticabili</w:t>
      </w:r>
    </w:p>
    <w:p>
      <w:pPr>
        <w:pStyle w:val="Heading3"/>
        <w:spacing w:after="80" w:before="160"/>
      </w:pPr>
      <w:r>
        <w:rPr>
          <w:rFonts w:ascii="Barlow Semi Condensed" w:cs="Barlow Semi Condensed" w:eastAsia="Barlow Semi Condensed" w:hAnsi="Barlow Semi Condensed"/>
          <w:sz w:val="24"/>
          <w:szCs w:val="24"/>
        </w:rPr>
        <w:t xml:space="preserve">7 · Feltrinelli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Sospeso (in accertamento)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Stato attuale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Ricezione di manoscritti risulta sospesa per volume di proposte pervenute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Incerto.</w:t>
            </w:r>
            <w:r>
              <w:rPr>
                <w:rFonts w:ascii="Barlow Semi Condensed" w:cs="Barlow Semi Condensed" w:eastAsia="Barlow Semi Condensed" w:hAnsi="Barlow Semi Condensed"/>
                <w:sz w:val="20"/>
                <w:szCs w:val="20"/>
              </w:rPr>
              <w:t xml:space="preserve"> Sito editore non raggiungibile dall'ambiente di ricerca (26 agosto 2026). Informazione da sintesi web. </w:t>
            </w:r>
            <w:r>
              <w:rPr>
                <w:rFonts w:ascii="Barlow Semi Condensed" w:cs="Barlow Semi Condensed" w:eastAsia="Barlow Semi Condensed" w:hAnsi="Barlow Semi Condensed"/>
                <w:b/>
                <w:bCs/>
                <w:sz w:val="20"/>
                <w:szCs w:val="20"/>
              </w:rPr>
              <w:t xml:space="preserve">Va riverificato prima di qualunque azione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Se canale riaprisse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Proposta deve dichiarare in apertura la presenza nello stesso corpus di uno studio monografico su Giangiacomo Feltrinelli e della trattazione della sua morte. Dichiarare esplicitamente che nessuna attribuzione di reato oltre il giudicato è contenuta nel corpus, e che un Libro dei quattordici ordina per plausibilità del coinvolgimento — per categorie di soggetti e non per nomi — senza mai nominarvi Feltrinelli. Ometterlo produce effetti gravi: sembrare di non aver letto il proprio corpus, oppure sembrare provocatore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Fallback</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Verificare periodicamente se canale riapre; oppure proporre via agente letterario se affinità di catalogo la giustifica</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8 · Bollati Boringhieri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Nessuno diretto (closed door)</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Procedura ufficiale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Non valuta manoscritti spontanei; non ha indirizzo dedicato agli inediti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Incerto.</w:t>
            </w:r>
            <w:r>
              <w:rPr>
                <w:rFonts w:ascii="Barlow Semi Condensed" w:cs="Barlow Semi Condensed" w:eastAsia="Barlow Semi Condensed" w:hAnsi="Barlow Semi Condensed"/>
                <w:sz w:val="20"/>
                <w:szCs w:val="20"/>
              </w:rPr>
              <w:t xml:space="preserve"> Sito editore non raggiungibile dall'ambiente di ricerca (26 agosto 2026). Informazione da sintesi web. </w:t>
            </w:r>
            <w:r>
              <w:rPr>
                <w:rFonts w:ascii="Barlow Semi Condensed" w:cs="Barlow Semi Condensed" w:eastAsia="Barlow Semi Condensed" w:hAnsi="Barlow Semi Condensed"/>
                <w:b/>
                <w:bCs/>
                <w:sz w:val="20"/>
                <w:szCs w:val="20"/>
              </w:rPr>
              <w:t xml:space="preserve">Va riverificato prima di qualunque azione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Vie praticabili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Agente letterario; oppure torneo letterario digitale gratuito promosso dal gruppo editoriale di appartenenza (Bollati e Chiarelettere sono dello stesso gruppo)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Nota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catalogo — storiografia, scienze umane, filosofia, metodologia — è fra i più adatti dei nove. È la porta giusta senza maniglia. Un agente si procura </w:t>
            </w:r>
            <w:r>
              <w:rPr>
                <w:rFonts w:ascii="Barlow Semi Condensed" w:cs="Barlow Semi Condensed" w:eastAsia="Barlow Semi Condensed" w:hAnsi="Barlow Semi Condensed"/>
                <w:b/>
                <w:bCs/>
                <w:sz w:val="20"/>
                <w:szCs w:val="20"/>
              </w:rPr>
              <w:t xml:space="preserve">dopo</w:t>
            </w:r>
            <w:r>
              <w:rPr>
                <w:rFonts w:ascii="Barlow Semi Condensed" w:cs="Barlow Semi Condensed" w:eastAsia="Barlow Semi Condensed" w:hAnsi="Barlow Semi Condensed"/>
                <w:sz w:val="20"/>
                <w:szCs w:val="20"/>
              </w:rPr>
              <w:t xml:space="preserve"> che il saggio è scritto, non prima</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9 · Astrolabio-Ubaldini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Tipo di canale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personale </w:t>
            </w:r>
            <w:r>
              <w:rPr>
                <w:rFonts w:ascii="Barlow Semi Condensed" w:cs="Barlow Semi Condensed" w:eastAsia="Barlow Semi Condensed" w:hAnsi="Barlow Semi Condensed"/>
                <w:b/>
                <w:bCs/>
                <w:sz w:val="20"/>
                <w:szCs w:val="20"/>
              </w:rPr>
              <w:t xml:space="preserve">oppure</w:t>
            </w:r>
            <w:r>
              <w:rPr>
                <w:rFonts w:ascii="Barlow Semi Condensed" w:cs="Barlow Semi Condensed" w:eastAsia="Barlow Semi Condensed" w:hAnsi="Barlow Semi Condensed"/>
                <w:sz w:val="20"/>
                <w:szCs w:val="20"/>
              </w:rPr>
              <w:t xml:space="preserve"> posta cartacea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b.ciampichetti@astrolabio-ubaldini.com</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Indirizzo cartaceo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via Guido d'Arezzo 16, 00198 Roma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Catalogo dichiarato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Psicologia del profondo; filosofie e religioni orientali (fondazione 1944, specifica continuità)</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Questo corpus</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Non rientra nel perimetro dichiarato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Grado di verifica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Email verificata.</w:t>
            </w:r>
            <w:r>
              <w:rPr>
                <w:rFonts w:ascii="Barlow Semi Condensed" w:cs="Barlow Semi Condensed" w:eastAsia="Barlow Semi Condensed" w:hAnsi="Barlow Semi Condensed"/>
                <w:sz w:val="20"/>
                <w:szCs w:val="20"/>
              </w:rPr>
              <w:t xml:space="preserve"> Sito editore raggiungibile; informazioni catalogo coerenti con sito ufficiale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Raccomandazione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Non inviare</w:t>
            </w:r>
            <w:r>
              <w:rPr>
                <w:rFonts w:ascii="Barlow Semi Condensed" w:cs="Barlow Semi Condensed" w:eastAsia="Barlow Semi Condensed" w:hAnsi="Barlow Semi Condensed"/>
                <w:sz w:val="20"/>
                <w:szCs w:val="20"/>
              </w:rPr>
              <w:t xml:space="preserve"> non per scarsa qualità dell'editore, ma perché il corpus non appartiene agli argomenti che l'editore stesso dichiara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Omonimia da sciogliere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Esiste «L'Astrolabio», il periodico politico fondato da Ferruccio Parri. Se fosse il destinatario, il canale appropriato è l'Istituto Ferruccio Parri (INFRP), già nella mappa di diffusione come ente d'archivio (ondata 0)</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Destinatari di natura diversa</w:t>
      </w:r>
    </w:p>
    <w:p>
      <w:pPr>
        <w:pStyle w:val="Heading3"/>
        <w:spacing w:after="80" w:before="160"/>
      </w:pPr>
      <w:r>
        <w:rPr>
          <w:rFonts w:ascii="Barlow Semi Condensed" w:cs="Barlow Semi Condensed" w:eastAsia="Barlow Semi Condensed" w:hAnsi="Barlow Semi Condensed"/>
          <w:sz w:val="24"/>
          <w:szCs w:val="24"/>
        </w:rPr>
        <w:t xml:space="preserve">Archivi e istituti storici (ondata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Canale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Verifica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Note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Istituto nazionale Ferruccio Parri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Da ricercare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Non ancora verificato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Se l'intenzione fosse «L'Astrolabio» (periodico), il destinatario è qui, non da Astrolabio editore. Vale per aparato su figure storiche e pubblicazioni</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Istituto per la storia della Resistenza di Bologna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Da ricercare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Non ancora verificato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Membro della rete INFRP</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Riviste di storia contemporanea (ondata parallela)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Rivista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Canale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Verifica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Note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Italia contemporanea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Da ricercare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Non ancora verificato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Pubblicazione breve (4 pagine) su accertamenti documentali. Una pubblicazione anche breve cambia il curriculum di presentazione</w:t>
            </w:r>
          </w:p>
        </w:tc>
      </w:tr>
    </w:tbl>
    <w:p>
      <w:pPr>
        <w:spacing w:after="80"/>
      </w:pP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Edizioni critiche e nazionali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Canale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Verifica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Note</w:t>
            </w:r>
          </w:p>
        </w:tc>
      </w:tr>
      <w:tr>
        <w:tc>
          <w:tcPr>
            <w:tcW w:type="dxa" w:w="2340"/>
          </w:tcPr>
          <w:p>
            <w:pPr>
              <w:spacing w:after="20" w:before="20"/>
              <w:jc w:val="both"/>
            </w:pPr>
            <w:r>
              <w:rPr>
                <w:rFonts w:ascii="Barlow Semi Condensed" w:cs="Barlow Semi Condensed" w:eastAsia="Barlow Semi Condensed" w:hAnsi="Barlow Semi Condensed"/>
                <w:b/>
                <w:bCs/>
                <w:sz w:val="20"/>
                <w:szCs w:val="20"/>
              </w:rPr>
              <w:t xml:space="preserve">Edizione Nazionale delle Opere di Aldo Moro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Email universitario (Università di Bologna)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Non ancora verificato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È interlocutore per </w:t>
            </w:r>
            <w:r>
              <w:rPr>
                <w:rFonts w:ascii="Barlow Semi Condensed" w:cs="Barlow Semi Condensed" w:eastAsia="Barlow Semi Condensed" w:hAnsi="Barlow Semi Condensed"/>
                <w:b/>
                <w:bCs/>
                <w:sz w:val="20"/>
                <w:szCs w:val="20"/>
              </w:rPr>
              <w:t xml:space="preserve">apparato delle citazioni</w:t>
            </w:r>
            <w:r>
              <w:rPr>
                <w:rFonts w:ascii="Barlow Semi Condensed" w:cs="Barlow Semi Condensed" w:eastAsia="Barlow Semi Condensed" w:hAnsi="Barlow Semi Condensed"/>
                <w:sz w:val="20"/>
                <w:szCs w:val="20"/>
              </w:rPr>
              <w:t xml:space="preserve">, non per quesito d'archivio. Va proposta separatamente, in altra forma, non lo stesso giorno della Fondazione Aldo Moro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Tabella sinottica: tipo di canale per ogni destinatario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Destinatario</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Tipo canale</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Indirizzo</w:t>
            </w:r>
          </w:p>
        </w:tc>
        <w:tc>
          <w:tcPr>
            <w:tcW w:type="dxa" w:w="1872"/>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0</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Archivio Flamigni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PEC + cartaceo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Piazza Bartolomeo Romano 6, Roma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accertato che non accertato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0-bis</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Fondazione Aldo Moro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via dei Gracchi 29/B, Roma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indirizzo verificato; email da cercare</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0-ter</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Archivio storico della Camera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alla segreteria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ars_segreteria@camera.it · p.za San Macuto 57, Roma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B — reperito, non letto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1</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il Mulino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Modulo web</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sito editore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2</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Chiarelettere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o modulo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proposte.editoriali@chiarelettere.it</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verificata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3</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Carocci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Modulo web</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sito editore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4</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Laterza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Posta cartacea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Roma e Bari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5</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Bompiani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Modulo web</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manoscritti.bompiani.it</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6</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Einaudi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einaudi@einaudi.it</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verificata</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7</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Feltrinelli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 (sospeso)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incerto, da riverificare</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8</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Bollati Boringhieri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Agente/torneo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incerto, da riverificare</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9</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Astrolabio-Ubaldini</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Email o cartaceo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via Guido d'Arezzo 16, Roma</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 non consigliato</w:t>
            </w:r>
          </w:p>
        </w:tc>
      </w:tr>
      <w:tr>
        <w:tc>
          <w:tcPr>
            <w:tcW w:type="dxa" w:w="1872"/>
          </w:tcPr>
          <w:p>
            <w:pPr>
              <w:spacing w:after="20" w:before="20"/>
              <w:jc w:val="both"/>
            </w:pPr>
            <w:r>
              <w:rPr>
                <w:rFonts w:ascii="Barlow Semi Condensed" w:cs="Barlow Semi Condensed" w:eastAsia="Barlow Semi Condensed" w:hAnsi="Barlow Semi Condensed"/>
                <w:sz w:val="20"/>
                <w:szCs w:val="20"/>
              </w:rPr>
              <w:t xml:space="preserve">10</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Zenodo</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HTTPS</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https://zenodo.org</w:t>
            </w:r>
          </w:p>
        </w:tc>
        <w:tc>
          <w:tcPr>
            <w:tcW w:type="dxa" w:w="1872"/>
          </w:tcPr>
          <w:p>
            <w:pPr>
              <w:spacing w:after="20" w:before="20"/>
              <w:jc w:val="both"/>
            </w:pPr>
            <w:r>
              <w:rPr>
                <w:rFonts w:ascii="Barlow Semi Condensed" w:cs="Barlow Semi Condensed" w:eastAsia="Barlow Semi Condensed" w:hAnsi="Barlow Semi Condensed"/>
                <w:sz w:val="20"/>
                <w:szCs w:val="20"/>
              </w:rPr>
              <w:t xml:space="preserve">verificato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Regole di invio che riguardano PEC e email</w:t>
      </w:r>
    </w:p>
    <w:p>
      <w:pPr>
        <w:pStyle w:val="Heading3"/>
        <w:spacing w:after="80" w:before="160"/>
      </w:pPr>
      <w:r>
        <w:rPr>
          <w:rFonts w:ascii="Barlow Semi Condensed" w:cs="Barlow Semi Condensed" w:eastAsia="Barlow Semi Condensed" w:hAnsi="Barlow Semi Condensed"/>
          <w:sz w:val="24"/>
          <w:szCs w:val="24"/>
        </w:rPr>
        <w:t xml:space="preserve">Quando usare PEC</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Posta Elettronica Certificata</w:t>
      </w:r>
      <w:r>
        <w:rPr>
          <w:rFonts w:ascii="Barlow Semi Condensed" w:cs="Barlow Semi Condensed" w:eastAsia="Barlow Semi Condensed" w:hAnsi="Barlow Semi Condensed"/>
          <w:sz w:val="24"/>
          <w:szCs w:val="24"/>
        </w:rPr>
        <w:t xml:space="preserve"> (PEC) secondo il D.P.R. 68/2005 certifica</w:t>
      </w:r>
    </w:p>
    <w:p>
      <w:pPr>
        <w:spacing w:after="120" w:line="276"/>
        <w:jc w:val="both"/>
      </w:pPr>
      <w:r>
        <w:rPr>
          <w:rFonts w:ascii="Barlow Semi Condensed" w:cs="Barlow Semi Condensed" w:eastAsia="Barlow Semi Condensed" w:hAnsi="Barlow Semi Condensed"/>
          <w:sz w:val="24"/>
          <w:szCs w:val="24"/>
        </w:rPr>
        <w:t xml:space="preserve">data, ora e contenuto della trasmissione. Obbligatoria quando: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l'ente è obbligato per legge a ricevere PEC (amministrazioni pubbliche)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si desira certificato della ricezione ai fini legali</w:t>
      </w:r>
    </w:p>
    <w:p>
      <w:pPr>
        <w:spacing w:after="120" w:line="276"/>
        <w:jc w:val="both"/>
      </w:pPr>
      <w:r>
        <w:rPr>
          <w:rFonts w:ascii="Barlow Semi Condensed" w:cs="Barlow Semi Condensed" w:eastAsia="Barlow Semi Condensed" w:hAnsi="Barlow Semi Condensed"/>
          <w:sz w:val="24"/>
          <w:szCs w:val="24"/>
        </w:rPr>
        <w:t xml:space="preserve">In questo dossier:</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Archivio Flamigni</w:t>
      </w:r>
      <w:r>
        <w:rPr>
          <w:rFonts w:ascii="Barlow Semi Condensed" w:cs="Barlow Semi Condensed" w:eastAsia="Barlow Semi Condensed" w:hAnsi="Barlow Semi Condensed"/>
          <w:sz w:val="24"/>
          <w:szCs w:val="24"/>
        </w:rPr>
        <w:t xml:space="preserve"> (ETS): ha l'obbligo di avere PEC, ma per uno studio</w:t>
      </w:r>
    </w:p>
    <w:p>
      <w:pPr>
        <w:spacing w:after="120" w:line="276"/>
        <w:jc w:val="both"/>
      </w:pPr>
      <w:r>
        <w:rPr>
          <w:rFonts w:ascii="Barlow Semi Condensed" w:cs="Barlow Semi Condensed" w:eastAsia="Barlow Semi Condensed" w:hAnsi="Barlow Semi Condensed"/>
          <w:sz w:val="24"/>
          <w:szCs w:val="24"/>
        </w:rPr>
        <w:t xml:space="preserve">  documentale non è essenziale legalmente — utile per certificare data dell'invio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Fondazioni private</w:t>
      </w:r>
      <w:r>
        <w:rPr>
          <w:rFonts w:ascii="Barlow Semi Condensed" w:cs="Barlow Semi Condensed" w:eastAsia="Barlow Semi Condensed" w:hAnsi="Barlow Semi Condensed"/>
          <w:sz w:val="24"/>
          <w:szCs w:val="24"/>
        </w:rPr>
        <w:t xml:space="preserve"> (Aldo Moro): non obbligatorie ricevere PEC; email</w:t>
      </w:r>
    </w:p>
    <w:p>
      <w:pPr>
        <w:spacing w:after="120" w:line="276"/>
        <w:jc w:val="both"/>
      </w:pPr>
      <w:r>
        <w:rPr>
          <w:rFonts w:ascii="Barlow Semi Condensed" w:cs="Barlow Semi Condensed" w:eastAsia="Barlow Semi Condensed" w:hAnsi="Barlow Semi Condensed"/>
          <w:sz w:val="24"/>
          <w:szCs w:val="24"/>
        </w:rPr>
        <w:t xml:space="preserve">  ordinaria è sufficiente</w:t>
      </w:r>
    </w:p>
    <w:p>
      <w:pPr>
        <w:pStyle w:val="Heading3"/>
        <w:spacing w:after="80" w:before="160"/>
      </w:pPr>
      <w:r>
        <w:rPr>
          <w:rFonts w:ascii="Barlow Semi Condensed" w:cs="Barlow Semi Condensed" w:eastAsia="Barlow Semi Condensed" w:hAnsi="Barlow Semi Condensed"/>
          <w:sz w:val="24"/>
          <w:szCs w:val="24"/>
        </w:rPr>
        <w:t xml:space="preserve">Quando usare email ordinaria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Fondazioni private</w:t>
      </w:r>
      <w:r>
        <w:rPr>
          <w:rFonts w:ascii="Barlow Semi Condensed" w:cs="Barlow Semi Condensed" w:eastAsia="Barlow Semi Condensed" w:hAnsi="Barlow Semi Condensed"/>
          <w:sz w:val="24"/>
          <w:szCs w:val="24"/>
        </w:rPr>
        <w:t xml:space="preserve">: Aldo Moro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Editori</w:t>
      </w:r>
      <w:r>
        <w:rPr>
          <w:rFonts w:ascii="Barlow Semi Condensed" w:cs="Barlow Semi Condensed" w:eastAsia="Barlow Semi Condensed" w:hAnsi="Barlow Semi Condensed"/>
          <w:sz w:val="24"/>
          <w:szCs w:val="24"/>
        </w:rPr>
        <w:t xml:space="preserve"> (salvo diversa comunicazione)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Riviste accademiche</w:t>
      </w:r>
    </w:p>
    <w:p>
      <w:pPr>
        <w:pStyle w:val="Heading3"/>
        <w:spacing w:after="80" w:before="160"/>
      </w:pPr>
      <w:r>
        <w:rPr>
          <w:rFonts w:ascii="Barlow Semi Condensed" w:cs="Barlow Semi Condensed" w:eastAsia="Barlow Semi Condensed" w:hAnsi="Barlow Semi Condensed"/>
          <w:sz w:val="24"/>
          <w:szCs w:val="24"/>
        </w:rPr>
        <w:t xml:space="preserve">Quando usare moduli web</w:t>
      </w:r>
    </w:p>
    <w:p>
      <w:pPr>
        <w:spacing w:after="120" w:line="276"/>
        <w:jc w:val="both"/>
      </w:pPr>
      <w:r>
        <w:rPr>
          <w:rFonts w:ascii="Barlow Semi Condensed" w:cs="Barlow Semi Condensed" w:eastAsia="Barlow Semi Condensed" w:hAnsi="Barlow Semi Condensed"/>
          <w:sz w:val="24"/>
          <w:szCs w:val="24"/>
        </w:rPr>
        <w:t xml:space="preserve">Non c'è alternative: i siti li richiedono per gestione centralizzata delle</w:t>
      </w:r>
    </w:p>
    <w:p>
      <w:pPr>
        <w:spacing w:after="120" w:line="276"/>
        <w:jc w:val="both"/>
      </w:pPr>
      <w:r>
        <w:rPr>
          <w:rFonts w:ascii="Barlow Semi Condensed" w:cs="Barlow Semi Condensed" w:eastAsia="Barlow Semi Condensed" w:hAnsi="Barlow Semi Condensed"/>
          <w:sz w:val="24"/>
          <w:szCs w:val="24"/>
        </w:rPr>
        <w:t xml:space="preserve">proposte.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Mulino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Carocci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Bompiani</w:t>
      </w:r>
      <w:r>
        <w:rPr>
          <w:rFonts w:ascii="Barlow Semi Condensed" w:cs="Barlow Semi Condensed" w:eastAsia="Barlow Semi Condensed" w:hAnsi="Barlow Semi Condensed"/>
          <w:sz w:val="24"/>
          <w:szCs w:val="24"/>
        </w:rPr>
        <w:t xml:space="preserve">: modulo obbligatorio</w:t>
      </w:r>
    </w:p>
    <w:p>
      <w:pPr>
        <w:pStyle w:val="Heading3"/>
        <w:spacing w:after="80" w:before="160"/>
      </w:pPr>
      <w:r>
        <w:rPr>
          <w:rFonts w:ascii="Barlow Semi Condensed" w:cs="Barlow Semi Condensed" w:eastAsia="Barlow Semi Condensed" w:hAnsi="Barlow Semi Condensed"/>
          <w:sz w:val="24"/>
          <w:szCs w:val="24"/>
        </w:rPr>
        <w:t xml:space="preserve">Quando usare posta cartacea</w:t>
      </w:r>
    </w:p>
    <w:p>
      <w:pPr>
        <w:spacing w:after="120" w:line="276"/>
        <w:jc w:val="both"/>
      </w:pPr>
      <w:r>
        <w:rPr>
          <w:rFonts w:ascii="Barlow Semi Condensed" w:cs="Barlow Semi Condensed" w:eastAsia="Barlow Semi Condensed" w:hAnsi="Barlow Semi Condensed"/>
          <w:sz w:val="24"/>
          <w:szCs w:val="24"/>
        </w:rPr>
        <w:t xml:space="preserve">Una sola: </w:t>
      </w:r>
      <w:r>
        <w:rPr>
          <w:rFonts w:ascii="Barlow Semi Condensed" w:cs="Barlow Semi Condensed" w:eastAsia="Barlow Semi Condensed" w:hAnsi="Barlow Semi Condensed"/>
          <w:b/>
          <w:bCs/>
          <w:sz w:val="24"/>
          <w:szCs w:val="24"/>
        </w:rPr>
        <w:t xml:space="preserve">Laterza</w:t>
      </w:r>
      <w:r>
        <w:rPr>
          <w:rFonts w:ascii="Barlow Semi Condensed" w:cs="Barlow Semi Condensed" w:eastAsia="Barlow Semi Condensed" w:hAnsi="Barlow Semi Condensed"/>
          <w:sz w:val="24"/>
          <w:szCs w:val="24"/>
        </w:rPr>
        <w:t xml:space="preserve">. Indirizzi verificati, non c'è email dedicata.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Verifiche ancora da completare — prima dell'invio effettivo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Archivio Flamigni: ricerca PEC su RUNTS, INI-PEC, sito archivioflamigni.org</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Fondazione Aldo Moro: ricerca email istituzionale (sito Fondazione o</w:t>
      </w:r>
    </w:p>
    <w:p>
      <w:pPr>
        <w:spacing w:after="120" w:line="276"/>
        <w:jc w:val="both"/>
      </w:pPr>
      <w:r>
        <w:rPr>
          <w:rFonts w:ascii="Barlow Semi Condensed" w:cs="Barlow Semi Condensed" w:eastAsia="Barlow Semi Condensed" w:hAnsi="Barlow Semi Condensed"/>
          <w:sz w:val="24"/>
          <w:szCs w:val="24"/>
        </w:rPr>
        <w:t xml:space="preserve">      Edizione Nazionale); fallback numero telefonico se email non disponibile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Feltrinelli: verifica dello stato attuale — ricezione riaperta o ancora</w:t>
      </w:r>
    </w:p>
    <w:p>
      <w:pPr>
        <w:spacing w:after="120" w:line="276"/>
        <w:jc w:val="both"/>
      </w:pPr>
      <w:r>
        <w:rPr>
          <w:rFonts w:ascii="Barlow Semi Condensed" w:cs="Barlow Semi Condensed" w:eastAsia="Barlow Semi Condensed" w:hAnsi="Barlow Semi Condensed"/>
          <w:sz w:val="24"/>
          <w:szCs w:val="24"/>
        </w:rPr>
        <w:t xml:space="preserve">      sospesa?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Bollati Boringhieri: conferma che non c'è indirizzo email diretto; ricerca</w:t>
      </w:r>
    </w:p>
    <w:p>
      <w:pPr>
        <w:spacing w:after="120" w:line="276"/>
        <w:jc w:val="both"/>
      </w:pPr>
      <w:r>
        <w:rPr>
          <w:rFonts w:ascii="Barlow Semi Condensed" w:cs="Barlow Semi Condensed" w:eastAsia="Barlow Semi Condensed" w:hAnsi="Barlow Semi Condensed"/>
          <w:sz w:val="24"/>
          <w:szCs w:val="24"/>
        </w:rPr>
        <w:t xml:space="preserve">      agenti letterari se si decide di procedere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Italia contemporanea: identificazione redazione; indirizzo per inviare</w:t>
      </w:r>
    </w:p>
    <w:p>
      <w:pPr>
        <w:spacing w:after="120" w:line="276"/>
        <w:jc w:val="both"/>
      </w:pPr>
      <w:r>
        <w:rPr>
          <w:rFonts w:ascii="Barlow Semi Condensed" w:cs="Barlow Semi Condensed" w:eastAsia="Barlow Semi Condensed" w:hAnsi="Barlow Semi Condensed"/>
          <w:sz w:val="24"/>
          <w:szCs w:val="24"/>
        </w:rPr>
        <w:t xml:space="preserve">      nota scientifica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Edizione Nazionale Moro: ricerca indirizzo email presso Università Bologna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Istituto Ferruccio Parri: ricerca PEC e email per apparato su periodico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Grado della verifica complessiva</w:t>
      </w:r>
    </w:p>
    <w:p>
      <w:pPr>
        <w:spacing w:after="120" w:line="276"/>
        <w:jc w:val="both"/>
      </w:pPr>
      <w:r>
        <w:rPr>
          <w:rFonts w:ascii="Barlow Semi Condensed" w:cs="Barlow Semi Condensed" w:eastAsia="Barlow Semi Condensed" w:hAnsi="Barlow Semi Condensed"/>
          <w:b/>
          <w:bCs/>
          <w:sz w:val="24"/>
          <w:szCs w:val="24"/>
        </w:rPr>
        <w:t xml:space="preserve">26 agosto 2026, 12:45 CET</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Verificati (accesso al sito o comunicazione ufficiale)</w:t>
      </w:r>
      <w:r>
        <w:rPr>
          <w:rFonts w:ascii="Barlow Semi Condensed" w:cs="Barlow Semi Condensed" w:eastAsia="Barlow Semi Condensed" w:hAnsi="Barlow Semi Condensed"/>
          <w:sz w:val="24"/>
          <w:szCs w:val="24"/>
        </w:rPr>
        <w:t xml:space="preserve">: il Mulino, Carocci,</w:t>
      </w:r>
    </w:p>
    <w:p>
      <w:pPr>
        <w:spacing w:after="120" w:line="276"/>
        <w:jc w:val="both"/>
      </w:pPr>
      <w:r>
        <w:rPr>
          <w:rFonts w:ascii="Barlow Semi Condensed" w:cs="Barlow Semi Condensed" w:eastAsia="Barlow Semi Condensed" w:hAnsi="Barlow Semi Condensed"/>
          <w:sz w:val="24"/>
          <w:szCs w:val="24"/>
        </w:rPr>
        <w:t xml:space="preserve">  Bompiani (moduli web); Chiarelettere (email), Laterza (indirizzi cartacei);</w:t>
      </w:r>
    </w:p>
    <w:p>
      <w:pPr>
        <w:spacing w:after="120" w:line="276"/>
        <w:jc w:val="both"/>
      </w:pPr>
      <w:r>
        <w:rPr>
          <w:rFonts w:ascii="Barlow Semi Condensed" w:cs="Barlow Semi Condensed" w:eastAsia="Barlow Semi Condensed" w:hAnsi="Barlow Semi Condensed"/>
          <w:sz w:val="24"/>
          <w:szCs w:val="24"/>
        </w:rPr>
        <w:t xml:space="preserve">  Einaudi (email); Astrolabio-Ubaldini (email e indirizzo); Zenodo (HTTPS)</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Parzialmente verificati</w:t>
      </w:r>
      <w:r>
        <w:rPr>
          <w:rFonts w:ascii="Barlow Semi Condensed" w:cs="Barlow Semi Condensed" w:eastAsia="Barlow Semi Condensed" w:hAnsi="Barlow Semi Condensed"/>
          <w:sz w:val="24"/>
          <w:szCs w:val="24"/>
        </w:rPr>
        <w:t xml:space="preserve">: Archivio Flamigni (esiste, PEC non accertato);</w:t>
      </w:r>
    </w:p>
    <w:p>
      <w:pPr>
        <w:spacing w:after="120" w:line="276"/>
        <w:jc w:val="both"/>
      </w:pPr>
      <w:r>
        <w:rPr>
          <w:rFonts w:ascii="Barlow Semi Condensed" w:cs="Barlow Semi Condensed" w:eastAsia="Barlow Semi Condensed" w:hAnsi="Barlow Semi Condensed"/>
          <w:sz w:val="24"/>
          <w:szCs w:val="24"/>
        </w:rPr>
        <w:t xml:space="preserve">  Fondazione Aldo Moro (indirizzo sede legale noto, email istituzionale da</w:t>
      </w:r>
    </w:p>
    <w:p>
      <w:pPr>
        <w:spacing w:after="120" w:line="276"/>
        <w:jc w:val="both"/>
      </w:pPr>
      <w:r>
        <w:rPr>
          <w:rFonts w:ascii="Barlow Semi Condensed" w:cs="Barlow Semi Condensed" w:eastAsia="Barlow Semi Condensed" w:hAnsi="Barlow Semi Condensed"/>
          <w:sz w:val="24"/>
          <w:szCs w:val="24"/>
        </w:rPr>
        <w:t xml:space="preserve">  ricercare)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Incerti e da riverificare</w:t>
      </w:r>
      <w:r>
        <w:rPr>
          <w:rFonts w:ascii="Barlow Semi Condensed" w:cs="Barlow Semi Condensed" w:eastAsia="Barlow Semi Condensed" w:hAnsi="Barlow Semi Condensed"/>
          <w:sz w:val="24"/>
          <w:szCs w:val="24"/>
        </w:rPr>
        <w:t xml:space="preserve">: Feltrinelli (sito non raggiungibile);</w:t>
      </w:r>
    </w:p>
    <w:p>
      <w:pPr>
        <w:spacing w:after="120" w:line="276"/>
        <w:jc w:val="both"/>
      </w:pPr>
      <w:r>
        <w:rPr>
          <w:rFonts w:ascii="Barlow Semi Condensed" w:cs="Barlow Semi Condensed" w:eastAsia="Barlow Semi Condensed" w:hAnsi="Barlow Semi Condensed"/>
          <w:sz w:val="24"/>
          <w:szCs w:val="24"/>
        </w:rPr>
        <w:t xml:space="preserve">  Bollati Boringhieri (sito non raggiungibile)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Non ancora accertati</w:t>
      </w:r>
      <w:r>
        <w:rPr>
          <w:rFonts w:ascii="Barlow Semi Condensed" w:cs="Barlow Semi Condensed" w:eastAsia="Barlow Semi Condensed" w:hAnsi="Barlow Semi Condensed"/>
          <w:sz w:val="24"/>
          <w:szCs w:val="24"/>
        </w:rPr>
        <w:t xml:space="preserve">: riviste accademiche; istituti storici; Edizione</w:t>
      </w:r>
    </w:p>
    <w:p>
      <w:pPr>
        <w:spacing w:after="120" w:line="276"/>
        <w:jc w:val="both"/>
      </w:pPr>
      <w:r>
        <w:rPr>
          <w:rFonts w:ascii="Barlow Semi Condensed" w:cs="Barlow Semi Condensed" w:eastAsia="Barlow Semi Condensed" w:hAnsi="Barlow Semi Condensed"/>
          <w:sz w:val="24"/>
          <w:szCs w:val="24"/>
        </w:rPr>
        <w:t xml:space="preserve">  Nazionale</w:t>
      </w:r>
    </w:p>
    <w:p>
      <w:pPr>
        <w:spacing w:after="120" w:line="276"/>
        <w:jc w:val="both"/>
      </w:pPr>
      <w:r>
        <w:rPr>
          <w:rFonts w:ascii="Barlow Semi Condensed" w:cs="Barlow Semi Condensed" w:eastAsia="Barlow Semi Condensed" w:hAnsi="Barlow Semi Condensed"/>
          <w:sz w:val="24"/>
          <w:szCs w:val="24"/>
        </w:rPr>
        <w:t xml:space="preserve">Nessuna informazione in questa lista è "silenziosamente" scaduta o assunta.</w:t>
      </w:r>
    </w:p>
    <w:p>
      <w:pPr>
        <w:spacing w:after="120" w:line="276"/>
        <w:jc w:val="both"/>
      </w:pPr>
      <w:r>
        <w:rPr>
          <w:rFonts w:ascii="Barlow Semi Condensed" w:cs="Barlow Semi Condensed" w:eastAsia="Barlow Semi Condensed" w:hAnsi="Barlow Semi Condensed"/>
          <w:sz w:val="24"/>
          <w:szCs w:val="24"/>
        </w:rPr>
        <w:t xml:space="preserve">Verifiasi il giorno dell'invio.</w:t>
      </w:r>
    </w:p>
    <w:p>
      <w:pPr>
        <w:pStyle w:val="Heading3"/>
        <w:spacing w:after="80" w:before="240"/>
      </w:pPr>
      <w:r>
        <w:rPr>
          <w:rFonts w:ascii="Barlow Semi Condensed" w:cs="Barlow Semi Condensed" w:eastAsia="Barlow Semi Condensed" w:hAnsi="Barlow Semi Condensed"/>
          <w:sz w:val="24"/>
          <w:szCs w:val="24"/>
        </w:rPr>
        <w:t xml:space="preserve">Apparato grafico — Appendici · vii. Il registro dei canali PEC</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IV.vii: 2.433 parole in 9 sezioni; la più ampia è §1 Ondata 0, con 619.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IV.vii: 68 paragrafi in 9 sezioni, 8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viii. La checklist di invio</w:t>
      </w:r>
    </w:p>
    <w:p>
      <w:pPr>
        <w:pStyle w:val="Heading1"/>
        <w:spacing w:after="120" w:before="240"/>
      </w:pPr>
      <w:r>
        <w:rPr>
          <w:rFonts w:ascii="Barlow Semi Condensed" w:cs="Barlow Semi Condensed" w:eastAsia="Barlow Semi Condensed" w:hAnsi="Barlow Semi Condensed"/>
          <w:sz w:val="24"/>
          <w:szCs w:val="24"/>
        </w:rPr>
        <w:t xml:space="preserve">Checklist di invio</w:t>
      </w:r>
    </w:p>
    <w:p>
      <w:pPr>
        <w:spacing w:after="120" w:line="276"/>
        <w:jc w:val="both"/>
      </w:pPr>
      <w:r>
        <w:rPr>
          <w:rFonts w:ascii="Barlow Semi Condensed" w:cs="Barlow Semi Condensed" w:eastAsia="Barlow Semi Condensed" w:hAnsi="Barlow Semi Condensed"/>
          <w:i/>
          <w:iCs/>
          <w:sz w:val="24"/>
          <w:szCs w:val="24"/>
        </w:rPr>
        <w:t xml:space="preserve">Da tenere in mano mentre si spedisce. </w:t>
      </w:r>
      <w:r>
        <w:rPr>
          <w:rFonts w:ascii="Barlow Semi Condensed" w:cs="Barlow Semi Condensed" w:eastAsia="Barlow Semi Condensed" w:hAnsi="Barlow Semi Condensed"/>
          <w:i/>
          <w:iCs/>
          <w:sz w:val="24"/>
          <w:szCs w:val="24"/>
        </w:rPr>
        <w:t xml:space="preserve">Terza edizione, 26 agosto 2026</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forma operativa: le ragioni delle scelte stanno nella</w:t>
      </w:r>
    </w:p>
    <w:p>
      <w:pPr>
        <w:spacing w:after="120" w:line="276"/>
        <w:jc w:val="both"/>
      </w:pPr>
      <w:r>
        <w:rPr>
          <w:rFonts w:ascii="Barlow Semi Condensed" w:cs="Barlow Semi Condensed" w:eastAsia="Barlow Semi Condensed" w:hAnsi="Barlow Semi Condensed"/>
          <w:i/>
          <w:iCs/>
          <w:sz w:val="24"/>
          <w:szCs w:val="24"/>
        </w:rPr>
        <w:t xml:space="preserve">mappa dei destinatari</w:t>
      </w:r>
      <w:r>
        <w:rPr>
          <w:rFonts w:ascii="Barlow Semi Condensed" w:cs="Barlow Semi Condensed" w:eastAsia="Barlow Semi Condensed" w:hAnsi="Barlow Semi Condensed"/>
          <w:sz w:val="24"/>
          <w:szCs w:val="24"/>
        </w:rPr>
        <w:t xml:space="preserve">, qui stanno solo le cose da</w:t>
      </w:r>
    </w:p>
    <w:p>
      <w:pPr>
        <w:spacing w:after="120" w:line="276"/>
        <w:jc w:val="both"/>
      </w:pPr>
      <w:r>
        <w:rPr>
          <w:rFonts w:ascii="Barlow Semi Condensed" w:cs="Barlow Semi Condensed" w:eastAsia="Barlow Semi Condensed" w:hAnsi="Barlow Semi Condensed"/>
          <w:sz w:val="24"/>
          <w:szCs w:val="24"/>
        </w:rPr>
        <w:t xml:space="preserve">fare. Canali accertati il 26 agosto 2026, col grado di ciascuno.*</w:t>
      </w:r>
    </w:p>
    <w:p>
      <w:pPr>
        <w:spacing w:after="120" w:line="276"/>
        <w:jc w:val="both"/>
      </w:pPr>
      <w:r>
        <w:rPr>
          <w:rFonts w:ascii="Barlow Semi Condensed" w:cs="Barlow Semi Condensed" w:eastAsia="Barlow Semi Condensed" w:hAnsi="Barlow Semi Condensed"/>
          <w:b/>
          <w:bCs/>
          <w:sz w:val="24"/>
          <w:szCs w:val="24"/>
        </w:rPr>
        <w:t xml:space="preserve">Una copia sola, quella con le date scritte a mano.</w:t>
      </w:r>
      <w:r>
        <w:rPr>
          <w:rFonts w:ascii="Barlow Semi Condensed" w:cs="Barlow Semi Condensed" w:eastAsia="Barlow Semi Condensed" w:hAnsi="Barlow Semi Condensed"/>
          <w:sz w:val="24"/>
          <w:szCs w:val="24"/>
        </w:rPr>
        <w:t xml:space="preserve"> Due copie parzialmente</w:t>
      </w:r>
    </w:p>
    <w:p>
      <w:pPr>
        <w:spacing w:after="120" w:line="276"/>
        <w:jc w:val="both"/>
      </w:pPr>
      <w:r>
        <w:rPr>
          <w:rFonts w:ascii="Barlow Semi Condensed" w:cs="Barlow Semi Condensed" w:eastAsia="Barlow Semi Condensed" w:hAnsi="Barlow Semi Condensed"/>
          <w:sz w:val="24"/>
          <w:szCs w:val="24"/>
        </w:rPr>
        <w:t xml:space="preserve">compilate sono peggio di nessuna.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Le tre regole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Una porta per volta.</w:t>
      </w:r>
      <w:r>
        <w:rPr>
          <w:rFonts w:ascii="Barlow Semi Condensed" w:cs="Barlow Semi Condensed" w:eastAsia="Barlow Semi Condensed" w:hAnsi="Barlow Semi Condensed"/>
          <w:sz w:val="24"/>
          <w:szCs w:val="24"/>
        </w:rPr>
        <w:t xml:space="preserve"> Mai lo stesso testo a due editori lo stesso giorno.</w:t>
      </w:r>
    </w:p>
    <w:p>
      <w:pPr>
        <w:spacing w:after="120" w:line="276"/>
        <w:jc w:val="both"/>
      </w:pPr>
      <w:r>
        <w:rPr>
          <w:rFonts w:ascii="Barlow Semi Condensed" w:cs="Barlow Semi Condensed" w:eastAsia="Barlow Semi Condensed" w:hAnsi="Barlow Semi Condensed"/>
          <w:sz w:val="24"/>
          <w:szCs w:val="24"/>
        </w:rPr>
        <w:t xml:space="preserve">   Archivi ed editori non sono in concorrenza e possono partire insieme.</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Il libro giusto alla porta giusta.</w:t>
      </w:r>
      <w:r>
        <w:rPr>
          <w:rFonts w:ascii="Barlow Semi Condensed" w:cs="Barlow Semi Condensed" w:eastAsia="Barlow Semi Condensed" w:hAnsi="Barlow Semi Condensed"/>
          <w:sz w:val="24"/>
          <w:szCs w:val="24"/>
        </w:rPr>
        <w:t xml:space="preserve"> Le proposte descrivono **libri</w:t>
      </w:r>
    </w:p>
    <w:p>
      <w:pPr>
        <w:spacing w:after="120" w:line="276"/>
        <w:jc w:val="both"/>
      </w:pPr>
      <w:r>
        <w:rPr>
          <w:rFonts w:ascii="Barlow Semi Condensed" w:cs="Barlow Semi Condensed" w:eastAsia="Barlow Semi Condensed" w:hAnsi="Barlow Semi Condensed"/>
          <w:sz w:val="24"/>
          <w:szCs w:val="24"/>
        </w:rPr>
        <w:t xml:space="preserve">   diversi**: saggio civile · testo adottabile · racconto. Scambiarli è l'errore</w:t>
      </w:r>
    </w:p>
    <w:p>
      <w:pPr>
        <w:spacing w:after="120" w:line="276"/>
        <w:jc w:val="both"/>
      </w:pPr>
      <w:r>
        <w:rPr>
          <w:rFonts w:ascii="Barlow Semi Condensed" w:cs="Barlow Semi Condensed" w:eastAsia="Barlow Semi Condensed" w:hAnsi="Barlow Semi Condensed"/>
          <w:sz w:val="24"/>
          <w:szCs w:val="24"/>
        </w:rPr>
        <w:t xml:space="preserve">   più facile e il più costoso.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 dichiarazione sull'intelligenza artificiale sta in apertura</w:t>
      </w:r>
      <w:r>
        <w:rPr>
          <w:rFonts w:ascii="Barlow Semi Condensed" w:cs="Barlow Semi Condensed" w:eastAsia="Barlow Semi Condensed" w:hAnsi="Barlow Semi Condensed"/>
          <w:sz w:val="24"/>
          <w:szCs w:val="24"/>
        </w:rPr>
        <w:t xml:space="preserve">, sempre.</w:t>
      </w:r>
    </w:p>
    <w:p>
      <w:pPr>
        <w:spacing w:after="120" w:line="276"/>
        <w:jc w:val="both"/>
      </w:pPr>
      <w:r>
        <w:rPr>
          <w:rFonts w:ascii="Barlow Semi Condensed" w:cs="Barlow Semi Condensed" w:eastAsia="Barlow Semi Condensed" w:hAnsi="Barlow Semi Condensed"/>
          <w:sz w:val="24"/>
          <w:szCs w:val="24"/>
        </w:rPr>
        <w:t xml:space="preserve">   Non è cautela: è l'oggetto del libro.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Da fare una volta sola, prima di tutto</w:t>
      </w:r>
    </w:p>
    <w:p>
      <w:pPr>
        <w:spacing w:after="120" w:line="276"/>
        <w:jc w:val="both"/>
      </w:pPr>
      <w:r>
        <w:rPr>
          <w:rFonts w:ascii="Barlow Semi Condensed" w:cs="Barlow Semi Condensed" w:eastAsia="Barlow Semi Condensed" w:hAnsi="Barlow Semi Condensed"/>
          <w:b/>
          <w:bCs/>
          <w:sz w:val="24"/>
          <w:szCs w:val="24"/>
        </w:rPr>
        <w:t xml:space="preserve">Nell'ordine.</w:t>
      </w:r>
      <w:r>
        <w:rPr>
          <w:rFonts w:ascii="Barlow Semi Condensed" w:cs="Barlow Semi Condensed" w:eastAsia="Barlow Semi Condensed" w:hAnsi="Barlow Semi Condensed"/>
          <w:sz w:val="24"/>
          <w:szCs w:val="24"/>
        </w:rPr>
        <w:t xml:space="preserve"> Le prime due voci non dipendono l'una dall'altra e possono</w:t>
      </w:r>
    </w:p>
    <w:p>
      <w:pPr>
        <w:spacing w:after="120" w:line="276"/>
        <w:jc w:val="both"/>
      </w:pPr>
      <w:r>
        <w:rPr>
          <w:rFonts w:ascii="Barlow Semi Condensed" w:cs="Barlow Semi Condensed" w:eastAsia="Barlow Semi Condensed" w:hAnsi="Barlow Semi Condensed"/>
          <w:sz w:val="24"/>
          <w:szCs w:val="24"/>
        </w:rPr>
        <w:t xml:space="preserve">partire lo stesso giorno; tutto il resto dipende dalla prima.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1. Deposito Zenodo</w:t>
      </w:r>
      <w:r>
        <w:rPr>
          <w:rFonts w:ascii="Barlow Semi Condensed" w:cs="Barlow Semi Condensed" w:eastAsia="Barlow Semi Condensed" w:hAnsi="Barlow Semi Condensed"/>
          <w:sz w:val="24"/>
          <w:szCs w:val="24"/>
        </w:rPr>
        <w:t xml:space="preserve"> e DOI ottenuto — foglio operativo pronto in</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deposito-zenodo.md</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Blocca undici lettere</w:t>
      </w:r>
      <w:r>
        <w:rPr>
          <w:rFonts w:ascii="Barlow Semi Condensed" w:cs="Barlow Semi Condensed" w:eastAsia="Barlow Semi Condensed" w:hAnsi="Barlow Semi Condensed"/>
          <w:sz w:val="24"/>
          <w:szCs w:val="24"/>
        </w:rPr>
        <w:t xml:space="preserve">: il</w:t>
      </w:r>
    </w:p>
    <w:p>
      <w:pPr>
        <w:spacing w:after="120" w:line="276"/>
        <w:jc w:val="both"/>
      </w:pPr>
      <w:r>
        <w:rPr>
          <w:rFonts w:ascii="Barlow Semi Condensed" w:cs="Barlow Semi Condensed" w:eastAsia="Barlow Semi Condensed" w:hAnsi="Barlow Semi Condensed"/>
          <w:sz w:val="24"/>
          <w:szCs w:val="24"/>
        </w:rPr>
        <w:t xml:space="preserve">      DOI entra nel corpo di ciascuna, e farlo dopo significa riscriverle tutte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2. Il tomo P2, che forse non va chiesto affatto.</w:t>
      </w:r>
      <w:r>
        <w:rPr>
          <w:rFonts w:ascii="Barlow Semi Condensed" w:cs="Barlow Semi Condensed" w:eastAsia="Barlow Semi Condensed" w:hAnsi="Barlow Semi Condensed"/>
          <w:sz w:val="24"/>
          <w:szCs w:val="24"/>
        </w:rPr>
        <w:t xml:space="preserve"> Prima di spedire</w:t>
      </w:r>
    </w:p>
    <w:p>
      <w:pPr>
        <w:spacing w:after="120" w:line="276"/>
        <w:jc w:val="both"/>
      </w:pPr>
      <w:r>
        <w:rPr>
          <w:rFonts w:ascii="Barlow Semi Condensed" w:cs="Barlow Semi Condensed" w:eastAsia="Barlow Semi Condensed" w:hAnsi="Barlow Semi Condensed"/>
          <w:sz w:val="24"/>
          <w:szCs w:val="24"/>
        </w:rPr>
        <w:t xml:space="preserve">      qualsiasi cosa, aprire </w:t>
      </w:r>
      <w:r>
        <w:rPr>
          <w:rFonts w:ascii="Barlow Semi Condensed" w:cs="Barlow Semi Condensed" w:eastAsia="Barlow Semi Condensed" w:hAnsi="Barlow Semi Condensed"/>
          <w:i/>
          <w:iCs/>
          <w:sz w:val="24"/>
          <w:szCs w:val="24"/>
        </w:rPr>
        <w:t xml:space="preserve">inchieste.camera.it/p2/documenti.html?leg=09</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      cercare </w:t>
      </w:r>
      <w:r>
        <w:rPr>
          <w:rFonts w:ascii="Barlow Semi Condensed" w:cs="Barlow Semi Condensed" w:eastAsia="Barlow Semi Condensed" w:hAnsi="Barlow Semi Condensed"/>
          <w:b/>
          <w:bCs/>
          <w:sz w:val="24"/>
          <w:szCs w:val="24"/>
        </w:rPr>
        <w:t xml:space="preserve">Doc. XXIII n. 2-quater/2/I</w:t>
      </w:r>
      <w:r>
        <w:rPr>
          <w:rFonts w:ascii="Barlow Semi Condensed" w:cs="Barlow Semi Condensed" w:eastAsia="Barlow Semi Condensed" w:hAnsi="Barlow Semi Condensed"/>
          <w:sz w:val="24"/>
          <w:szCs w:val="24"/>
        </w:rPr>
        <w:t xml:space="preserve">: i volumi della Commissione</w:t>
      </w:r>
    </w:p>
    <w:p>
      <w:pPr>
        <w:spacing w:after="120" w:line="276"/>
        <w:jc w:val="both"/>
      </w:pPr>
      <w:r>
        <w:rPr>
          <w:rFonts w:ascii="Barlow Semi Condensed" w:cs="Barlow Semi Condensed" w:eastAsia="Barlow Semi Condensed" w:hAnsi="Barlow Semi Condensed"/>
          <w:sz w:val="24"/>
          <w:szCs w:val="24"/>
        </w:rPr>
        <w:t xml:space="preserve">      risultano digitalizzati, e gli allegati </w:t>
      </w:r>
      <w:r>
        <w:rPr>
          <w:rFonts w:ascii="Barlow Semi Condensed" w:cs="Barlow Semi Condensed" w:eastAsia="Barlow Semi Condensed" w:hAnsi="Barlow Semi Condensed"/>
          <w:b/>
          <w:bCs/>
          <w:sz w:val="24"/>
          <w:szCs w:val="24"/>
        </w:rPr>
        <w:t xml:space="preserve">13</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b/>
          <w:bCs/>
          <w:sz w:val="24"/>
          <w:szCs w:val="24"/>
        </w:rPr>
        <w:t xml:space="preserve">21</w:t>
      </w:r>
      <w:r>
        <w:rPr>
          <w:rFonts w:ascii="Barlow Semi Condensed" w:cs="Barlow Semi Condensed" w:eastAsia="Barlow Semi Condensed" w:hAnsi="Barlow Semi Condensed"/>
          <w:sz w:val="24"/>
          <w:szCs w:val="24"/>
        </w:rPr>
        <w:t xml:space="preserve"> — quelli coi numeri</w:t>
      </w:r>
    </w:p>
    <w:p>
      <w:pPr>
        <w:spacing w:after="120" w:line="276"/>
        <w:jc w:val="both"/>
      </w:pPr>
      <w:r>
        <w:rPr>
          <w:rFonts w:ascii="Barlow Semi Condensed" w:cs="Barlow Semi Condensed" w:eastAsia="Barlow Semi Condensed" w:hAnsi="Barlow Semi Condensed"/>
          <w:sz w:val="24"/>
          <w:szCs w:val="24"/>
        </w:rPr>
        <w:t xml:space="preserve">      di tessera — si leggerebbero oggi, gratis e senza chiedere niente. Se non</w:t>
      </w:r>
    </w:p>
    <w:p>
      <w:pPr>
        <w:spacing w:after="120" w:line="276"/>
        <w:jc w:val="both"/>
      </w:pPr>
      <w:r>
        <w:rPr>
          <w:rFonts w:ascii="Barlow Semi Condensed" w:cs="Barlow Semi Condensed" w:eastAsia="Barlow Semi Condensed" w:hAnsi="Barlow Semi Condensed"/>
          <w:sz w:val="24"/>
          <w:szCs w:val="24"/>
        </w:rPr>
        <w:t xml:space="preserve">      si trovano, la richiesta all'Archivio storico è pronta in</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richiesta-archivio-storico-camera.md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      con recapito reperito al grado B e da confermare. È l'unica mossa del</w:t>
      </w:r>
    </w:p>
    <w:p>
      <w:pPr>
        <w:spacing w:after="120" w:line="276"/>
        <w:jc w:val="both"/>
      </w:pPr>
      <w:r>
        <w:rPr>
          <w:rFonts w:ascii="Barlow Semi Condensed" w:cs="Barlow Semi Condensed" w:eastAsia="Barlow Semi Condensed" w:hAnsi="Barlow Semi Condensed"/>
          <w:sz w:val="24"/>
          <w:szCs w:val="24"/>
        </w:rPr>
        <w:t xml:space="preserve">      dossier che possa </w:t>
      </w:r>
      <w:r>
        <w:rPr>
          <w:rFonts w:ascii="Barlow Semi Condensed" w:cs="Barlow Semi Condensed" w:eastAsia="Barlow Semi Condensed" w:hAnsi="Barlow Semi Condensed"/>
          <w:b/>
          <w:bCs/>
          <w:sz w:val="24"/>
          <w:szCs w:val="24"/>
        </w:rPr>
        <w:t xml:space="preserve">spostare un grado probatorio</w:t>
      </w:r>
      <w:r>
        <w:rPr>
          <w:rFonts w:ascii="Barlow Semi Condensed" w:cs="Barlow Semi Condensed" w:eastAsia="Barlow Semi Condensed" w:hAnsi="Barlow Semi Condensed"/>
          <w:sz w:val="24"/>
          <w:szCs w:val="24"/>
        </w:rPr>
        <w:t xml:space="preserve">, e non dipende dal DOI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Curriculum</w:t>
      </w:r>
      <w:r>
        <w:rPr>
          <w:rFonts w:ascii="Barlow Semi Condensed" w:cs="Barlow Semi Condensed" w:eastAsia="Barlow Semi Condensed" w:hAnsi="Barlow Semi Condensed"/>
          <w:sz w:val="24"/>
          <w:szCs w:val="24"/>
        </w:rPr>
        <w:t xml:space="preserve"> compilato (</w:t>
      </w:r>
      <w:r>
        <w:rPr>
          <w:rFonts w:ascii="Barlow Semi Condensed" w:cs="Barlow Semi Condensed" w:eastAsia="Barlow Semi Condensed" w:hAnsi="Barlow Semi Condensed"/>
          <w:i/>
          <w:iCs/>
          <w:sz w:val="24"/>
          <w:szCs w:val="24"/>
        </w:rPr>
        <w:t xml:space="preserve">curriculum-modello.md</w:t>
      </w:r>
      <w:r>
        <w:rPr>
          <w:rFonts w:ascii="Barlow Semi Condensed" w:cs="Barlow Semi Condensed" w:eastAsia="Barlow Semi Condensed" w:hAnsi="Barlow Semi Condensed"/>
          <w:sz w:val="24"/>
          <w:szCs w:val="24"/>
        </w:rPr>
        <w:t xml:space="preserve">) — intero per Einaudi,</w:t>
      </w:r>
    </w:p>
    <w:p>
      <w:pPr>
        <w:spacing w:after="120" w:line="276"/>
        <w:jc w:val="both"/>
      </w:pPr>
      <w:r>
        <w:rPr>
          <w:rFonts w:ascii="Barlow Semi Condensed" w:cs="Barlow Semi Condensed" w:eastAsia="Barlow Semi Condensed" w:hAnsi="Barlow Semi Condensed"/>
          <w:sz w:val="24"/>
          <w:szCs w:val="24"/>
        </w:rPr>
        <w:t xml:space="preserve">      dieci righe per gli altri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Formula sullo stato del lavoro</w:t>
      </w:r>
      <w:r>
        <w:rPr>
          <w:rFonts w:ascii="Barlow Semi Condensed" w:cs="Barlow Semi Condensed" w:eastAsia="Barlow Semi Condensed" w:hAnsi="Barlow Semi Condensed"/>
          <w:sz w:val="24"/>
          <w:szCs w:val="24"/>
        </w:rPr>
        <w:t xml:space="preserve"> fissata e usata identica ovunque:</w:t>
      </w:r>
    </w:p>
    <w:p>
      <w:pPr>
        <w:spacing w:after="120" w:line="276"/>
        <w:jc w:val="both"/>
      </w:pPr>
      <w:r>
        <w:rPr>
          <w:rFonts w:ascii="Barlow Semi Condensed" w:cs="Barlow Semi Condensed" w:eastAsia="Barlow Semi Condensed" w:hAnsi="Barlow Semi Condensed"/>
          <w:sz w:val="24"/>
          <w:szCs w:val="24"/>
        </w:rPr>
        <w:t xml:space="preserve">      *corpus completo e verificato, quindici Libri e quattro Appendici; prima</w:t>
      </w:r>
    </w:p>
    <w:p>
      <w:pPr>
        <w:spacing w:after="120" w:line="276"/>
        <w:jc w:val="both"/>
      </w:pPr>
      <w:r>
        <w:rPr>
          <w:rFonts w:ascii="Barlow Semi Condensed" w:cs="Barlow Semi Condensed" w:eastAsia="Barlow Semi Condensed" w:hAnsi="Barlow Semi Condensed"/>
          <w:sz w:val="24"/>
          <w:szCs w:val="24"/>
        </w:rPr>
        <w:t xml:space="preserve">      stesura del libro completa, sette parti più il registro di chiusura, lunghezza finale</w:t>
      </w:r>
    </w:p>
    <w:p>
      <w:pPr>
        <w:spacing w:after="120" w:line="276"/>
        <w:jc w:val="both"/>
      </w:pPr>
      <w:r>
        <w:rPr>
          <w:rFonts w:ascii="Barlow Semi Condensed" w:cs="Barlow Semi Condensed" w:eastAsia="Barlow Semi Condensed" w:hAnsi="Barlow Semi Condensed"/>
          <w:sz w:val="24"/>
          <w:szCs w:val="24"/>
        </w:rPr>
        <w:t xml:space="preserve">      da concordare*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prima stesura riletta</w:t>
      </w:r>
      <w:r>
        <w:rPr>
          <w:rFonts w:ascii="Barlow Semi Condensed" w:cs="Barlow Semi Condensed" w:eastAsia="Barlow Semi Condensed" w:hAnsi="Barlow Semi Condensed"/>
          <w:sz w:val="24"/>
          <w:szCs w:val="24"/>
        </w:rPr>
        <w:t xml:space="preserve"> — è il testo su cui si viene giudicati. Il file</w:t>
      </w:r>
    </w:p>
    <w:p>
      <w:pPr>
        <w:spacing w:after="120" w:line="276"/>
        <w:jc w:val="both"/>
      </w:pPr>
      <w:r>
        <w:rPr>
          <w:rFonts w:ascii="Barlow Semi Condensed" w:cs="Barlow Semi Condensed" w:eastAsia="Barlow Semi Condensed" w:hAnsi="Barlow Semi Condensed"/>
          <w:sz w:val="24"/>
          <w:szCs w:val="24"/>
        </w:rPr>
        <w:t xml:space="preserve">      da allegare è</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_romanzo/OTTANTA-ANNI-DI-PACE-prima-stesura.pdf</w:t>
      </w:r>
      <w:r>
        <w:rPr>
          <w:rFonts w:ascii="Barlow Semi Condensed" w:cs="Barlow Semi Condensed" w:eastAsia="Barlow Semi Condensed" w:hAnsi="Barlow Semi Condensed"/>
          <w:sz w:val="24"/>
          <w:szCs w:val="24"/>
        </w:rPr>
        <w:t xml:space="preserve">](../_romanzo/OTTANTA-ANNI-DI-PACE-prima-stesura.pdf)</w:t>
      </w:r>
    </w:p>
    <w:p>
      <w:pPr>
        <w:spacing w:after="120" w:line="276"/>
        <w:jc w:val="both"/>
      </w:pPr>
      <w:r>
        <w:rPr>
          <w:rFonts w:ascii="Barlow Semi Condensed" w:cs="Barlow Semi Condensed" w:eastAsia="Barlow Semi Condensed" w:hAnsi="Barlow Semi Condensed"/>
          <w:sz w:val="24"/>
          <w:szCs w:val="24"/>
        </w:rPr>
        <w:t xml:space="preserve">      (o il </w:t>
      </w:r>
      <w:r>
        <w:rPr>
          <w:rFonts w:ascii="Barlow Semi Condensed" w:cs="Barlow Semi Condensed" w:eastAsia="Barlow Semi Condensed" w:hAnsi="Barlow Semi Condensed"/>
          <w:i/>
          <w:iCs/>
          <w:sz w:val="24"/>
          <w:szCs w:val="24"/>
        </w:rPr>
        <w:t xml:space="preserve">.docx</w:t>
      </w:r>
      <w:r>
        <w:rPr>
          <w:rFonts w:ascii="Barlow Semi Condensed" w:cs="Barlow Semi Condensed" w:eastAsia="Barlow Semi Condensed" w:hAnsi="Barlow Semi Condensed"/>
          <w:sz w:val="24"/>
          <w:szCs w:val="24"/>
        </w:rPr>
        <w:t xml:space="preserve"> a fianco), e sta lì e non qui perché una seconda copia in</w:t>
      </w:r>
    </w:p>
    <w:p>
      <w:pPr>
        <w:spacing w:after="120" w:line="276"/>
        <w:jc w:val="both"/>
      </w:pPr>
      <w:r>
        <w:rPr>
          <w:rFonts w:ascii="Barlow Semi Condensed" w:cs="Barlow Semi Condensed" w:eastAsia="Barlow Semi Condensed" w:hAnsi="Barlow Semi Condensed"/>
          <w:sz w:val="24"/>
          <w:szCs w:val="24"/>
        </w:rPr>
        <w:t xml:space="preserve">      questa cartella si allontanerebbe dall'originale al primo aggiornamento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Non si allega più `ALLEGATO_CAPITOLO_CAMPIONE`.</w:t>
      </w:r>
      <w:r>
        <w:rPr>
          <w:rFonts w:ascii="Barlow Semi Condensed" w:cs="Barlow Semi Condensed" w:eastAsia="Barlow Semi Condensed" w:hAnsi="Barlow Semi Condensed"/>
          <w:sz w:val="24"/>
          <w:szCs w:val="24"/>
        </w:rPr>
        <w:t xml:space="preserve"> Quel file resta nella</w:t>
      </w:r>
    </w:p>
    <w:p>
      <w:pPr>
        <w:spacing w:after="120" w:line="276"/>
        <w:jc w:val="both"/>
      </w:pPr>
      <w:r>
        <w:rPr>
          <w:rFonts w:ascii="Barlow Semi Condensed" w:cs="Barlow Semi Condensed" w:eastAsia="Barlow Semi Condensed" w:hAnsi="Barlow Semi Condensed"/>
          <w:sz w:val="24"/>
          <w:szCs w:val="24"/>
        </w:rPr>
        <w:t xml:space="preserve">      cartella come stato anteriore e </w:t>
      </w:r>
      <w:r>
        <w:rPr>
          <w:rFonts w:ascii="Barlow Semi Condensed" w:cs="Barlow Semi Condensed" w:eastAsia="Barlow Semi Condensed" w:hAnsi="Barlow Semi Condensed"/>
          <w:b/>
          <w:bCs/>
          <w:sz w:val="24"/>
          <w:szCs w:val="24"/>
        </w:rPr>
        <w:t xml:space="preserve">non va spedito</w:t>
      </w:r>
      <w:r>
        <w:rPr>
          <w:rFonts w:ascii="Barlow Semi Condensed" w:cs="Barlow Semi Condensed" w:eastAsia="Barlow Semi Condensed" w:hAnsi="Barlow Semi Condensed"/>
          <w:sz w:val="24"/>
          <w:szCs w:val="24"/>
        </w:rPr>
        <w:t xml:space="preserve">: il capitolo campione è</w:t>
      </w:r>
    </w:p>
    <w:p>
      <w:pPr>
        <w:spacing w:after="120" w:line="276"/>
        <w:jc w:val="both"/>
      </w:pPr>
      <w:r>
        <w:rPr>
          <w:rFonts w:ascii="Barlow Semi Condensed" w:cs="Barlow Semi Condensed" w:eastAsia="Barlow Semi Condensed" w:hAnsi="Barlow Semi Condensed"/>
          <w:sz w:val="24"/>
          <w:szCs w:val="24"/>
        </w:rPr>
        <w:t xml:space="preserve">      diventato la parte quarta del libro, e allegarlo oggi significherebbe</w:t>
      </w:r>
    </w:p>
    <w:p>
      <w:pPr>
        <w:spacing w:after="120" w:line="276"/>
        <w:jc w:val="both"/>
      </w:pPr>
      <w:r>
        <w:rPr>
          <w:rFonts w:ascii="Barlow Semi Condensed" w:cs="Barlow Semi Condensed" w:eastAsia="Barlow Semi Condensed" w:hAnsi="Barlow Semi Condensed"/>
          <w:sz w:val="24"/>
          <w:szCs w:val="24"/>
        </w:rPr>
        <w:t xml:space="preserve">      mandare un estratto al posto dell'opera. Il file non è stato cancellato per</w:t>
      </w:r>
    </w:p>
    <w:p>
      <w:pPr>
        <w:spacing w:after="120" w:line="276"/>
        <w:jc w:val="both"/>
      </w:pPr>
      <w:r>
        <w:rPr>
          <w:rFonts w:ascii="Barlow Semi Condensed" w:cs="Barlow Semi Condensed" w:eastAsia="Barlow Semi Condensed" w:hAnsi="Barlow Semi Condensed"/>
          <w:sz w:val="24"/>
          <w:szCs w:val="24"/>
        </w:rPr>
        <w:t xml:space="preserve">      la stessa ragione per cui in quest'opera le correzioni si annotano accanto</w:t>
      </w:r>
    </w:p>
    <w:p>
      <w:pPr>
        <w:spacing w:after="120" w:line="276"/>
        <w:jc w:val="both"/>
      </w:pPr>
      <w:r>
        <w:rPr>
          <w:rFonts w:ascii="Barlow Semi Condensed" w:cs="Barlow Semi Condensed" w:eastAsia="Barlow Semi Condensed" w:hAnsi="Barlow Semi Condensed"/>
          <w:sz w:val="24"/>
          <w:szCs w:val="24"/>
        </w:rPr>
        <w:t xml:space="preserve">      all'errore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prosopopea è dichiarata nella lettera</w:t>
      </w:r>
      <w:r>
        <w:rPr>
          <w:rFonts w:ascii="Barlow Semi Condensed" w:cs="Barlow Semi Condensed" w:eastAsia="Barlow Semi Condensed" w:hAnsi="Barlow Semi Condensed"/>
          <w:sz w:val="24"/>
          <w:szCs w:val="24"/>
        </w:rPr>
        <w:t xml:space="preserve">, non scoperta nel file: è la</w:t>
      </w:r>
    </w:p>
    <w:p>
      <w:pPr>
        <w:spacing w:after="120" w:line="276"/>
        <w:jc w:val="both"/>
      </w:pPr>
      <w:r>
        <w:rPr>
          <w:rFonts w:ascii="Barlow Semi Condensed" w:cs="Barlow Semi Condensed" w:eastAsia="Barlow Semi Condensed" w:hAnsi="Barlow Semi Condensed"/>
          <w:sz w:val="24"/>
          <w:szCs w:val="24"/>
        </w:rPr>
        <w:t xml:space="preserve">      scelta che un editore può rifiutare, e va rifiutata prima di leggere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lettera per le case editrici</w:t>
      </w:r>
      <w:r>
        <w:rPr>
          <w:rFonts w:ascii="Barlow Semi Condensed" w:cs="Barlow Semi Condensed" w:eastAsia="Barlow Semi Condensed" w:hAnsi="Barlow Semi Condensed"/>
          <w:sz w:val="24"/>
          <w:szCs w:val="24"/>
        </w:rPr>
        <w:t xml:space="preserve"> è pronta e vale per tutte:</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pec-presentazione-case-editrici.md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      Unica nel contenuto, mobile nel canale — **nessuna casa editrice riceve per</w:t>
      </w:r>
    </w:p>
    <w:p>
      <w:pPr>
        <w:spacing w:after="120" w:line="276"/>
        <w:jc w:val="both"/>
      </w:pPr>
      <w:r>
        <w:rPr>
          <w:rFonts w:ascii="Barlow Semi Condensed" w:cs="Barlow Semi Condensed" w:eastAsia="Barlow Semi Condensed" w:hAnsi="Barlow Semi Condensed"/>
          <w:sz w:val="24"/>
          <w:szCs w:val="24"/>
        </w:rPr>
        <w:t xml:space="preserve">      PEC**, e il registro dei canali dice per ognuna qual è la via giusta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PEC Archivio Flamigni</w:t>
      </w:r>
      <w:r>
        <w:rPr>
          <w:rFonts w:ascii="Barlow Semi Condensed" w:cs="Barlow Semi Condensed" w:eastAsia="Barlow Semi Condensed" w:hAnsi="Barlow Semi Condensed"/>
          <w:sz w:val="24"/>
          <w:szCs w:val="24"/>
        </w:rPr>
        <w:t xml:space="preserve"> reperita (RUNTS · INI-PEC · archivioflamigni.org)</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Email Fondazione Aldo Moro</w:t>
      </w:r>
      <w:r>
        <w:rPr>
          <w:rFonts w:ascii="Barlow Semi Condensed" w:cs="Barlow Semi Condensed" w:eastAsia="Barlow Semi Condensed" w:hAnsi="Barlow Semi Condensed"/>
          <w:sz w:val="24"/>
          <w:szCs w:val="24"/>
        </w:rPr>
        <w:t xml:space="preserve"> reperita (sito · Edizione Nazionale, Bologna)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L'avvertenza che riguarda ogni invio</w:t>
      </w:r>
    </w:p>
    <w:p>
      <w:pPr>
        <w:spacing w:after="120" w:line="276"/>
        <w:jc w:val="both"/>
      </w:pPr>
      <w:r>
        <w:rPr>
          <w:rFonts w:ascii="Barlow Semi Condensed" w:cs="Barlow Semi Condensed" w:eastAsia="Barlow Semi Condensed" w:hAnsi="Barlow Semi Condensed"/>
          <w:sz w:val="24"/>
          <w:szCs w:val="24"/>
        </w:rPr>
        <w:t xml:space="preserve">L'opera ha </w:t>
      </w:r>
      <w:r>
        <w:rPr>
          <w:rFonts w:ascii="Barlow Semi Condensed" w:cs="Barlow Semi Condensed" w:eastAsia="Barlow Semi Condensed" w:hAnsi="Barlow Semi Condensed"/>
          <w:b/>
          <w:bCs/>
          <w:sz w:val="24"/>
          <w:szCs w:val="24"/>
        </w:rPr>
        <w:t xml:space="preserve">quindici Libri</w:t>
      </w:r>
      <w:r>
        <w:rPr>
          <w:rFonts w:ascii="Barlow Semi Condensed" w:cs="Barlow Semi Condensed" w:eastAsia="Barlow Semi Condensed" w:hAnsi="Barlow Semi Condensed"/>
          <w:sz w:val="24"/>
          <w:szCs w:val="24"/>
        </w:rPr>
        <w:t xml:space="preserve">. Quattordici si fermano al giudicato. **Il Libro</w:t>
      </w:r>
    </w:p>
    <w:p>
      <w:pPr>
        <w:spacing w:after="120" w:line="276"/>
        <w:jc w:val="both"/>
      </w:pPr>
      <w:r>
        <w:rPr>
          <w:rFonts w:ascii="Barlow Semi Condensed" w:cs="Barlow Semi Condensed" w:eastAsia="Barlow Semi Condensed" w:hAnsi="Barlow Semi Condensed"/>
          <w:sz w:val="24"/>
          <w:szCs w:val="24"/>
        </w:rPr>
        <w:t xml:space="preserve">quarto no**: nella seconda metà ordina per plausibilità del coinvolgimento — per</w:t>
      </w:r>
    </w:p>
    <w:p>
      <w:pPr>
        <w:spacing w:after="120" w:line="276"/>
        <w:jc w:val="both"/>
      </w:pPr>
      <w:r>
        <w:rPr>
          <w:rFonts w:ascii="Barlow Semi Condensed" w:cs="Barlow Semi Condensed" w:eastAsia="Barlow Semi Condensed" w:hAnsi="Barlow Semi Condensed"/>
          <w:b/>
          <w:bCs/>
          <w:sz w:val="24"/>
          <w:szCs w:val="24"/>
        </w:rPr>
        <w:t xml:space="preserve">categorie di soggetti, non per nomi individuali</w:t>
      </w:r>
      <w:r>
        <w:rPr>
          <w:rFonts w:ascii="Barlow Semi Condensed" w:cs="Barlow Semi Condensed" w:eastAsia="Barlow Semi Condensed" w:hAnsi="Barlow Semi Condensed"/>
          <w:sz w:val="24"/>
          <w:szCs w:val="24"/>
        </w:rPr>
        <w:t xml:space="preserve">, muovendo dai condannati in</w:t>
      </w:r>
    </w:p>
    <w:p>
      <w:pPr>
        <w:spacing w:after="120" w:line="276"/>
        <w:jc w:val="both"/>
      </w:pPr>
      <w:r>
        <w:rPr>
          <w:rFonts w:ascii="Barlow Semi Condensed" w:cs="Barlow Semi Condensed" w:eastAsia="Barlow Semi Condensed" w:hAnsi="Barlow Semi Condensed"/>
          <w:sz w:val="24"/>
          <w:szCs w:val="24"/>
        </w:rPr>
        <w:t xml:space="preserve">via definitiva e rifiutando di nominare un mandante esterno.</w:t>
      </w:r>
    </w:p>
    <w:p>
      <w:pPr>
        <w:spacing w:after="120" w:line="276"/>
        <w:jc w:val="both"/>
      </w:pPr>
      <w:r>
        <w:rPr>
          <w:rFonts w:ascii="Barlow Semi Condensed" w:cs="Barlow Semi Condensed" w:eastAsia="Barlow Semi Condensed" w:hAnsi="Barlow Semi Condensed"/>
          <w:b/>
          <w:bCs/>
          <w:sz w:val="24"/>
          <w:szCs w:val="24"/>
        </w:rPr>
        <w:t xml:space="preserve">Ovunque si offra il corpus, questo si dichiara.</w:t>
      </w:r>
      <w:r>
        <w:rPr>
          <w:rFonts w:ascii="Barlow Semi Condensed" w:cs="Barlow Semi Condensed" w:eastAsia="Barlow Semi Condensed" w:hAnsi="Barlow Semi Condensed"/>
          <w:sz w:val="24"/>
          <w:szCs w:val="24"/>
        </w:rPr>
        <w:t xml:space="preserve"> È già scritto nei documenti;</w:t>
      </w:r>
    </w:p>
    <w:p>
      <w:pPr>
        <w:spacing w:after="120" w:line="276"/>
        <w:jc w:val="both"/>
      </w:pPr>
      <w:r>
        <w:rPr>
          <w:rFonts w:ascii="Barlow Semi Condensed" w:cs="Barlow Semi Condensed" w:eastAsia="Barlow Semi Condensed" w:hAnsi="Barlow Semi Condensed"/>
          <w:sz w:val="24"/>
          <w:szCs w:val="24"/>
        </w:rPr>
        <w:t xml:space="preserve">va solo non tolto.</w:t>
      </w:r>
    </w:p>
    <w:p>
      <w:pPr>
        <w:spacing w:after="120" w:line="276"/>
        <w:jc w:val="both"/>
      </w:pPr>
      <w:r>
        <w:rPr>
          <w:rFonts w:ascii="Barlow Semi Condensed" w:cs="Barlow Semi Condensed" w:eastAsia="Barlow Semi Condensed" w:hAnsi="Barlow Semi Condensed"/>
          <w:sz w:val="24"/>
          <w:szCs w:val="24"/>
        </w:rPr>
        <w:t xml:space="preserve">*Annotazione del 27 agosto 2026 — fin qui questa pagina diceva «quattordici</w:t>
      </w:r>
    </w:p>
    <w:p>
      <w:pPr>
        <w:spacing w:after="120" w:line="276"/>
        <w:jc w:val="both"/>
      </w:pPr>
      <w:r>
        <w:rPr>
          <w:rFonts w:ascii="Barlow Semi Condensed" w:cs="Barlow Semi Condensed" w:eastAsia="Barlow Semi Condensed" w:hAnsi="Barlow Semi Condensed"/>
          <w:sz w:val="24"/>
          <w:szCs w:val="24"/>
        </w:rPr>
        <w:t xml:space="preserve">Libri, tredici si fermano al giudicato». Era esatto alla sua data e ha smesso di</w:t>
      </w:r>
    </w:p>
    <w:p>
      <w:pPr>
        <w:spacing w:after="120" w:line="276"/>
        <w:jc w:val="both"/>
      </w:pPr>
      <w:r>
        <w:rPr>
          <w:rFonts w:ascii="Barlow Semi Condensed" w:cs="Barlow Semi Condensed" w:eastAsia="Barlow Semi Condensed" w:hAnsi="Barlow Semi Condensed"/>
          <w:sz w:val="24"/>
          <w:szCs w:val="24"/>
        </w:rPr>
        <w:t xml:space="preserve">esserlo con l'ingresso del Libro quindicesimo. La cifra è aggiornata, la vecchia</w:t>
      </w:r>
    </w:p>
    <w:p>
      <w:pPr>
        <w:spacing w:after="120" w:line="276"/>
        <w:jc w:val="both"/>
      </w:pPr>
      <w:r>
        <w:rPr>
          <w:rFonts w:ascii="Barlow Semi Condensed" w:cs="Barlow Semi Condensed" w:eastAsia="Barlow Semi Condensed" w:hAnsi="Barlow Semi Condensed"/>
          <w:sz w:val="24"/>
          <w:szCs w:val="24"/>
        </w:rPr>
        <w:t xml:space="preserve">è lasciata qui: chi ha spedito una lettera con la formula anteriore non ha</w:t>
      </w:r>
    </w:p>
    <w:p>
      <w:pPr>
        <w:spacing w:after="120" w:line="276"/>
        <w:jc w:val="both"/>
      </w:pPr>
      <w:r>
        <w:rPr>
          <w:rFonts w:ascii="Barlow Semi Condensed" w:cs="Barlow Semi Condensed" w:eastAsia="Barlow Semi Condensed" w:hAnsi="Barlow Semi Condensed"/>
          <w:sz w:val="24"/>
          <w:szCs w:val="24"/>
        </w:rPr>
        <w:t xml:space="preserve">scritto il falso, ha scritto una cosa vera al momento in cui l'ha scritta.*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non si manda, e perché</w:t>
      </w:r>
    </w:p>
    <w:p>
      <w:pPr>
        <w:spacing w:after="120" w:line="276"/>
        <w:jc w:val="both"/>
      </w:pPr>
      <w:r>
        <w:rPr>
          <w:rFonts w:ascii="Barlow Semi Condensed" w:cs="Barlow Semi Condensed" w:eastAsia="Barlow Semi Condensed" w:hAnsi="Barlow Semi Condensed"/>
          <w:sz w:val="24"/>
          <w:szCs w:val="24"/>
        </w:rPr>
        <w:t xml:space="preserve">Il repository ospita </w:t>
      </w:r>
      <w:r>
        <w:rPr>
          <w:rFonts w:ascii="Barlow Semi Condensed" w:cs="Barlow Semi Condensed" w:eastAsia="Barlow Semi Condensed" w:hAnsi="Barlow Semi Condensed"/>
          <w:b/>
          <w:bCs/>
          <w:sz w:val="24"/>
          <w:szCs w:val="24"/>
        </w:rPr>
        <w:t xml:space="preserve">tre opere distinte</w:t>
      </w:r>
      <w:r>
        <w:rPr>
          <w:rFonts w:ascii="Barlow Semi Condensed" w:cs="Barlow Semi Condensed" w:eastAsia="Barlow Semi Condensed" w:hAnsi="Barlow Semi Condensed"/>
          <w:sz w:val="24"/>
          <w:szCs w:val="24"/>
        </w:rPr>
        <w:t xml:space="preserve">, e ne parte </w:t>
      </w:r>
      <w:r>
        <w:rPr>
          <w:rFonts w:ascii="Barlow Semi Condensed" w:cs="Barlow Semi Condensed" w:eastAsia="Barlow Semi Condensed" w:hAnsi="Barlow Semi Condensed"/>
          <w:b/>
          <w:bCs/>
          <w:sz w:val="24"/>
          <w:szCs w:val="24"/>
        </w:rPr>
        <w:t xml:space="preserve">una sola</w:t>
      </w:r>
      <w:r>
        <w:rPr>
          <w:rFonts w:ascii="Barlow Semi Condensed" w:cs="Barlow Semi Condensed" w:eastAsia="Barlow Semi Condensed" w:hAnsi="Barlow Semi Condensed"/>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si manda?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L'opera sul caso Moro — quindici Libri, quattro Appendici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sì</w:t>
            </w:r>
            <w:r>
              <w:rPr>
                <w:rFonts w:ascii="Barlow Semi Condensed" w:cs="Barlow Semi Condensed" w:eastAsia="Barlow Semi Condensed" w:hAnsi="Barlow Semi Condensed"/>
                <w:sz w:val="20"/>
                <w:szCs w:val="20"/>
              </w:rPr>
              <w:t xml:space="preserve">, è l'oggetto di tutto il dossier</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Italia Nera</w:t>
            </w:r>
            <w:r>
              <w:rPr>
                <w:rFonts w:ascii="Barlow Semi Condensed" w:cs="Barlow Semi Condensed" w:eastAsia="Barlow Semi Condensed" w:hAnsi="Barlow Semi Condensed"/>
                <w:sz w:val="20"/>
                <w:szCs w:val="20"/>
              </w:rPr>
              <w:t xml:space="preserve"> — il Registro V77 e i suoi quarantatré compagni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Lo Studio Integrale Puglia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no</w:t>
            </w:r>
            <w:r>
              <w:rPr>
                <w:rFonts w:ascii="Barlow Semi Condensed" w:cs="Barlow Semi Condensed" w:eastAsia="Barlow Semi Condensed" w:hAnsi="Barlow Semi Condensed"/>
                <w:sz w:val="20"/>
                <w:szCs w:val="20"/>
              </w:rPr>
              <w:t xml:space="preserve">, è un altro lavoro con altri destinatari</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Su Italia Nera la ragione va scritta per intero, perché la tentazione di</w:t>
      </w:r>
    </w:p>
    <w:p>
      <w:pPr>
        <w:spacing w:after="120" w:line="276"/>
        <w:jc w:val="both"/>
      </w:pPr>
      <w:r>
        <w:rPr>
          <w:rFonts w:ascii="Barlow Semi Condensed" w:cs="Barlow Semi Condensed" w:eastAsia="Barlow Semi Condensed" w:hAnsi="Barlow Semi Condensed"/>
          <w:sz w:val="24"/>
          <w:szCs w:val="24"/>
        </w:rPr>
        <w:t xml:space="preserve">allegarla è reale e sbagliata. Non è una parte di quest'opera: il legame è</w:t>
      </w:r>
    </w:p>
    <w:p>
      <w:pPr>
        <w:spacing w:after="120" w:line="276"/>
        <w:jc w:val="both"/>
      </w:pPr>
      <w:r>
        <w:rPr>
          <w:rFonts w:ascii="Barlow Semi Condensed" w:cs="Barlow Semi Condensed" w:eastAsia="Barlow Semi Condensed" w:hAnsi="Barlow Semi Condensed"/>
          <w:sz w:val="24"/>
          <w:szCs w:val="24"/>
        </w:rPr>
        <w:t xml:space="preserve">genealogico e non testuale — misurato agli 8-grammi, il corpus moroteano tocca il</w:t>
      </w:r>
    </w:p>
    <w:p>
      <w:pPr>
        <w:spacing w:after="120" w:line="276"/>
        <w:jc w:val="both"/>
      </w:pPr>
      <w:r>
        <w:rPr>
          <w:rFonts w:ascii="Barlow Semi Condensed" w:cs="Barlow Semi Condensed" w:eastAsia="Barlow Semi Condensed" w:hAnsi="Barlow Semi Condensed"/>
          <w:sz w:val="24"/>
          <w:szCs w:val="24"/>
        </w:rPr>
        <w:t xml:space="preserve">Registro V77 per lo </w:t>
      </w:r>
      <w:r>
        <w:rPr>
          <w:rFonts w:ascii="Barlow Semi Condensed" w:cs="Barlow Semi Condensed" w:eastAsia="Barlow Semi Condensed" w:hAnsi="Barlow Semi Condensed"/>
          <w:b/>
          <w:bCs/>
          <w:sz w:val="24"/>
          <w:szCs w:val="24"/>
        </w:rPr>
        <w:t xml:space="preserve">0,77 per cento</w:t>
      </w:r>
      <w:r>
        <w:rPr>
          <w:rFonts w:ascii="Barlow Semi Condensed" w:cs="Barlow Semi Condensed" w:eastAsia="Barlow Semi Condensed" w:hAnsi="Barlow Semi Condensed"/>
          <w:sz w:val="24"/>
          <w:szCs w:val="24"/>
        </w:rPr>
        <w:t xml:space="preserve">. Contiene inoltre **censimenti di persone</w:t>
      </w:r>
    </w:p>
    <w:p>
      <w:pPr>
        <w:spacing w:after="120" w:line="276"/>
        <w:jc w:val="both"/>
      </w:pPr>
      <w:r>
        <w:rPr>
          <w:rFonts w:ascii="Barlow Semi Condensed" w:cs="Barlow Semi Condensed" w:eastAsia="Barlow Semi Condensed" w:hAnsi="Barlow Semi Condensed"/>
          <w:sz w:val="24"/>
          <w:szCs w:val="24"/>
        </w:rPr>
        <w:t xml:space="preserve">viventi con procedimenti penali in corso**: la disciplina c'è, l'articolo 27</w:t>
      </w:r>
    </w:p>
    <w:p>
      <w:pPr>
        <w:spacing w:after="120" w:line="276"/>
        <w:jc w:val="both"/>
      </w:pPr>
      <w:r>
        <w:rPr>
          <w:rFonts w:ascii="Barlow Semi Condensed" w:cs="Barlow Semi Condensed" w:eastAsia="Barlow Semi Condensed" w:hAnsi="Barlow Semi Condensed"/>
          <w:sz w:val="24"/>
          <w:szCs w:val="24"/>
        </w:rPr>
        <w:t xml:space="preserve">della Costituzione è dichiarato in apertura di ogni scheda e nessuno vi è</w:t>
      </w:r>
    </w:p>
    <w:p>
      <w:pPr>
        <w:spacing w:after="120" w:line="276"/>
        <w:jc w:val="both"/>
      </w:pPr>
      <w:r>
        <w:rPr>
          <w:rFonts w:ascii="Barlow Semi Condensed" w:cs="Barlow Semi Condensed" w:eastAsia="Barlow Semi Condensed" w:hAnsi="Barlow Semi Condensed"/>
          <w:sz w:val="24"/>
          <w:szCs w:val="24"/>
        </w:rPr>
        <w:t xml:space="preserve">indicato come responsabile fuori dal giudicato — ma il rischio di quella</w:t>
      </w:r>
    </w:p>
    <w:p>
      <w:pPr>
        <w:spacing w:after="120" w:line="276"/>
        <w:jc w:val="both"/>
      </w:pPr>
      <w:r>
        <w:rPr>
          <w:rFonts w:ascii="Barlow Semi Condensed" w:cs="Barlow Semi Condensed" w:eastAsia="Barlow Semi Condensed" w:hAnsi="Barlow Semi Condensed"/>
          <w:sz w:val="24"/>
          <w:szCs w:val="24"/>
        </w:rPr>
        <w:t xml:space="preserve">pubblicazione è interamente in capo all'autore, e il guadagno per il caso Moro è</w:t>
      </w:r>
    </w:p>
    <w:p>
      <w:pPr>
        <w:spacing w:after="120" w:line="276"/>
        <w:jc w:val="both"/>
      </w:pPr>
      <w:r>
        <w:rPr>
          <w:rFonts w:ascii="Barlow Semi Condensed" w:cs="Barlow Semi Condensed" w:eastAsia="Barlow Semi Condensed" w:hAnsi="Barlow Semi Condensed"/>
          <w:b/>
          <w:bCs/>
          <w:sz w:val="24"/>
          <w:szCs w:val="24"/>
        </w:rPr>
        <w:t xml:space="preserve">zero</w:t>
      </w:r>
      <w:r>
        <w:rPr>
          <w:rFonts w:ascii="Barlow Semi Condensed" w:cs="Barlow Semi Condensed" w:eastAsia="Barlow Semi Condensed" w:hAnsi="Barlow Semi Condensed"/>
          <w:sz w:val="24"/>
          <w:szCs w:val="24"/>
        </w:rPr>
        <w:t xml:space="preserve">. Un editore che riceva le due cose insieme giudicherà l'una con gli</w:t>
      </w:r>
    </w:p>
    <w:p>
      <w:pPr>
        <w:spacing w:after="120" w:line="276"/>
        <w:jc w:val="both"/>
      </w:pPr>
      <w:r>
        <w:rPr>
          <w:rFonts w:ascii="Barlow Semi Condensed" w:cs="Barlow Semi Condensed" w:eastAsia="Barlow Semi Condensed" w:hAnsi="Barlow Semi Condensed"/>
          <w:sz w:val="24"/>
          <w:szCs w:val="24"/>
        </w:rPr>
        <w:t xml:space="preserve">occhi dell'altra.</w:t>
      </w:r>
    </w:p>
    <w:p>
      <w:pPr>
        <w:spacing w:after="120" w:line="276"/>
        <w:jc w:val="both"/>
      </w:pPr>
      <w:r>
        <w:rPr>
          <w:rFonts w:ascii="Barlow Semi Condensed" w:cs="Barlow Semi Condensed" w:eastAsia="Barlow Semi Condensed" w:hAnsi="Barlow Semi Condensed"/>
          <w:sz w:val="24"/>
          <w:szCs w:val="24"/>
        </w:rPr>
        <w:t xml:space="preserve">Se un giorno Italia Nera va depositata, avrà un DOI proprio, destinatari propri e</w:t>
      </w:r>
    </w:p>
    <w:p>
      <w:pPr>
        <w:spacing w:after="120" w:line="276"/>
        <w:jc w:val="both"/>
      </w:pPr>
      <w:r>
        <w:rPr>
          <w:rFonts w:ascii="Barlow Semi Condensed" w:cs="Barlow Semi Condensed" w:eastAsia="Barlow Semi Condensed" w:hAnsi="Barlow Semi Condensed"/>
          <w:sz w:val="24"/>
          <w:szCs w:val="24"/>
        </w:rPr>
        <w:t xml:space="preserve">una valutazione propria. Non viaggia in allegato.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Le quattro ondate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Quando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subito, non è in concorrenza con nulla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Archivio Flamigni · Fondazione Aldo Moro · Zenodo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 qualche giorno l'uno dall'altro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Mulino · Chiarelettere · Carocci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dopo le prime risposte, o 60 giorni di silenzio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Laterza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3</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solo a saggio scritto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Bompiani · Einaudi</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Ondata 0, due cautele.</w:t>
      </w:r>
      <w:r>
        <w:rPr>
          <w:rFonts w:ascii="Barlow Semi Condensed" w:cs="Barlow Semi Condensed" w:eastAsia="Barlow Semi Condensed" w:hAnsi="Barlow Semi Condensed"/>
          <w:sz w:val="24"/>
          <w:szCs w:val="24"/>
        </w:rPr>
        <w:t xml:space="preserve"> Flamigni e la Fondazione **non lo stesso giorno e non</w:t>
      </w:r>
    </w:p>
    <w:p>
      <w:pPr>
        <w:spacing w:after="120" w:line="276"/>
        <w:jc w:val="both"/>
      </w:pPr>
      <w:r>
        <w:rPr>
          <w:rFonts w:ascii="Barlow Semi Condensed" w:cs="Barlow Semi Condensed" w:eastAsia="Barlow Semi Condensed" w:hAnsi="Barlow Semi Condensed"/>
          <w:sz w:val="24"/>
          <w:szCs w:val="24"/>
        </w:rPr>
        <w:t xml:space="preserve">allo stesso modo**: al primo si propone un apparato da valutare, alla seconda si</w:t>
      </w:r>
    </w:p>
    <w:p>
      <w:pPr>
        <w:spacing w:after="120" w:line="276"/>
        <w:jc w:val="both"/>
      </w:pPr>
      <w:r>
        <w:rPr>
          <w:rFonts w:ascii="Barlow Semi Condensed" w:cs="Barlow Semi Condensed" w:eastAsia="Barlow Semi Condensed" w:hAnsi="Barlow Semi Condensed"/>
          <w:sz w:val="24"/>
          <w:szCs w:val="24"/>
        </w:rPr>
        <w:t xml:space="preserve">porta </w:t>
      </w:r>
      <w:r>
        <w:rPr>
          <w:rFonts w:ascii="Barlow Semi Condensed" w:cs="Barlow Semi Condensed" w:eastAsia="Barlow Semi Condensed" w:hAnsi="Barlow Semi Condensed"/>
          <w:i/>
          <w:iCs/>
          <w:sz w:val="24"/>
          <w:szCs w:val="24"/>
        </w:rPr>
        <w:t xml:space="preserve">una domanda sola</w:t>
      </w:r>
      <w:r>
        <w:rPr>
          <w:rFonts w:ascii="Barlow Semi Condensed" w:cs="Barlow Semi Condensed" w:eastAsia="Barlow Semi Condensed" w:hAnsi="Barlow Semi Condensed"/>
          <w:sz w:val="24"/>
          <w:szCs w:val="24"/>
        </w:rPr>
        <w:t xml:space="preserve">. In parallelo, quando si vuole: la **nota di quattro</w:t>
      </w:r>
    </w:p>
    <w:p>
      <w:pPr>
        <w:spacing w:after="120" w:line="276"/>
        <w:jc w:val="both"/>
      </w:pPr>
      <w:r>
        <w:rPr>
          <w:rFonts w:ascii="Barlow Semi Condensed" w:cs="Barlow Semi Condensed" w:eastAsia="Barlow Semi Condensed" w:hAnsi="Barlow Semi Condensed"/>
          <w:sz w:val="24"/>
          <w:szCs w:val="24"/>
        </w:rPr>
        <w:t xml:space="preserve">pagine** per una rivista di storia contemporanea — l'oggetto più piccolo e il più</w:t>
      </w:r>
    </w:p>
    <w:p>
      <w:pPr>
        <w:spacing w:after="120" w:line="276"/>
        <w:jc w:val="both"/>
      </w:pPr>
      <w:r>
        <w:rPr>
          <w:rFonts w:ascii="Barlow Semi Condensed" w:cs="Barlow Semi Condensed" w:eastAsia="Barlow Semi Condensed" w:hAnsi="Barlow Semi Condensed"/>
          <w:sz w:val="24"/>
          <w:szCs w:val="24"/>
        </w:rPr>
        <w:t xml:space="preserve">facile da collocare.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Le schede</w:t>
      </w:r>
    </w:p>
    <w:p>
      <w:pPr>
        <w:spacing w:after="120" w:line="276"/>
        <w:jc w:val="both"/>
      </w:pPr>
      <w:r>
        <w:rPr>
          <w:rFonts w:ascii="Barlow Semi Condensed" w:cs="Barlow Semi Condensed" w:eastAsia="Barlow Semi Condensed" w:hAnsi="Barlow Semi Condensed"/>
          <w:i/>
          <w:iCs/>
          <w:sz w:val="24"/>
          <w:szCs w:val="24"/>
        </w:rPr>
        <w:t xml:space="preserve">Grado del canale: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accertato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da riverificare · </w:t>
      </w:r>
      <w:r>
        <w:rPr>
          <w:rFonts w:ascii="Barlow Semi Condensed" w:cs="Barlow Semi Condensed" w:eastAsia="Barlow Semi Condensed" w:hAnsi="Barlow Semi Condensed"/>
          <w:b/>
          <w:bCs/>
          <w:sz w:val="24"/>
          <w:szCs w:val="24"/>
        </w:rPr>
        <w:t xml:space="preserve">✗</w:t>
      </w:r>
      <w:r>
        <w:rPr>
          <w:rFonts w:ascii="Barlow Semi Condensed" w:cs="Barlow Semi Condensed" w:eastAsia="Barlow Semi Condensed" w:hAnsi="Barlow Semi Condensed"/>
          <w:sz w:val="24"/>
          <w:szCs w:val="24"/>
        </w:rPr>
        <w:t xml:space="preserve"> chiuso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0 · Archivio «Flamigni» ETS — ✓</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PEC (indirizzo da reperire) · Piazza B. Romano 6, 00154 Roma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pec-archivio-flamigni.md</w:t>
      </w:r>
      <w:r>
        <w:rPr>
          <w:rFonts w:ascii="Barlow Semi Condensed" w:cs="Barlow Semi Condensed" w:eastAsia="Barlow Semi Condensed" w:hAnsi="Barlow Semi Condensed"/>
          <w:sz w:val="24"/>
          <w:szCs w:val="24"/>
        </w:rPr>
        <w:t xml:space="preserve"> nel corpo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Allegati</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RELAZIONE_SUL_PROGETTO.pdf</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ALLEGATO_SCHEDA_DELL_OPERA.pdf</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indice del ramo · </w:t>
      </w:r>
      <w:r>
        <w:rPr>
          <w:rFonts w:ascii="Barlow Semi Condensed" w:cs="Barlow Semi Condensed" w:eastAsia="Barlow Semi Condensed" w:hAnsi="Barlow Semi Condensed"/>
          <w:b/>
          <w:bCs/>
          <w:sz w:val="24"/>
          <w:szCs w:val="24"/>
        </w:rPr>
        <w:t xml:space="preserve">collegamento</w:t>
      </w:r>
      <w:r>
        <w:rPr>
          <w:rFonts w:ascii="Barlow Semi Condensed" w:cs="Barlow Semi Condensed" w:eastAsia="Barlow Semi Condensed" w:hAnsi="Barlow Semi Condensed"/>
          <w:sz w:val="24"/>
          <w:szCs w:val="24"/>
        </w:rPr>
        <w:t xml:space="preserve"> al deposito (l'opera supera i 24 MB: molti</w:t>
      </w:r>
    </w:p>
    <w:p>
      <w:pPr>
        <w:spacing w:after="120" w:line="276"/>
        <w:jc w:val="both"/>
      </w:pPr>
      <w:r>
        <w:rPr>
          <w:rFonts w:ascii="Barlow Semi Condensed" w:cs="Barlow Semi Condensed" w:eastAsia="Barlow Semi Condensed" w:hAnsi="Barlow Semi Condensed"/>
          <w:sz w:val="24"/>
          <w:szCs w:val="24"/>
        </w:rPr>
        <w:t xml:space="preserve">  gestori PEC la rifiutano)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Si chiede</w:t>
      </w:r>
      <w:r>
        <w:rPr>
          <w:rFonts w:ascii="Barlow Semi Condensed" w:cs="Barlow Semi Condensed" w:eastAsia="Barlow Semi Condensed" w:hAnsi="Barlow Semi Condensed"/>
          <w:sz w:val="24"/>
          <w:szCs w:val="24"/>
        </w:rPr>
        <w:t xml:space="preserve"> · valutazione dell'apparato, segnalazione degli atti d'archivio,</w:t>
      </w:r>
    </w:p>
    <w:p>
      <w:pPr>
        <w:spacing w:after="120" w:line="276"/>
        <w:jc w:val="both"/>
      </w:pPr>
      <w:r>
        <w:rPr>
          <w:rFonts w:ascii="Barlow Semi Condensed" w:cs="Barlow Semi Condensed" w:eastAsia="Barlow Semi Condensed" w:hAnsi="Barlow Semi Condensed"/>
          <w:sz w:val="24"/>
          <w:szCs w:val="24"/>
        </w:rPr>
        <w:t xml:space="preserve">  eventuale deposito.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la pubblicazione di un libro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0-bis · Fondazione Aldo Moro — ✓</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email ordinaria · via dei Gracchi 29/B, 00192 Roma. Cercare</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un recapito dell'ente; solo in mancanza al presidente, *in quanto</w:t>
      </w:r>
    </w:p>
    <w:p>
      <w:pPr>
        <w:spacing w:after="120" w:line="276"/>
        <w:jc w:val="both"/>
      </w:pPr>
      <w:r>
        <w:rPr>
          <w:rFonts w:ascii="Barlow Semi Condensed" w:cs="Barlow Semi Condensed" w:eastAsia="Barlow Semi Condensed" w:hAnsi="Barlow Semi Condensed"/>
          <w:sz w:val="24"/>
          <w:szCs w:val="24"/>
        </w:rPr>
        <w:t xml:space="preserve">  presidente*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lettera-fondazione-aldo-moro.md</w:t>
      </w:r>
      <w:r>
        <w:rPr>
          <w:rFonts w:ascii="Barlow Semi Condensed" w:cs="Barlow Semi Condensed" w:eastAsia="Barlow Semi Condensed" w:hAnsi="Barlow Semi Condensed"/>
          <w:sz w:val="24"/>
          <w:szCs w:val="24"/>
        </w:rPr>
        <w:t xml:space="preserve"> nel corpo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Allegato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uno solo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ALLEGATO_SCHEDA_DELL_OPERA.pdf</w:t>
      </w:r>
      <w:r>
        <w:rPr>
          <w:rFonts w:ascii="Barlow Semi Condensed" w:cs="Barlow Semi Condensed" w:eastAsia="Barlow Semi Condensed" w:hAnsi="Barlow Semi Condensed"/>
          <w:sz w:val="24"/>
          <w:szCs w:val="24"/>
        </w:rPr>
        <w:t xml:space="preserve">. Qui il corpus</w:t>
      </w:r>
    </w:p>
    <w:p>
      <w:pPr>
        <w:spacing w:after="120" w:line="276"/>
        <w:jc w:val="both"/>
      </w:pPr>
      <w:r>
        <w:rPr>
          <w:rFonts w:ascii="Barlow Semi Condensed" w:cs="Barlow Semi Condensed" w:eastAsia="Barlow Semi Condensed" w:hAnsi="Barlow Semi Condensed"/>
          <w:sz w:val="24"/>
          <w:szCs w:val="24"/>
        </w:rPr>
        <w:t xml:space="preserve">  non si allega: si offre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Si chiede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una domanda sola</w:t>
      </w:r>
      <w:r>
        <w:rPr>
          <w:rFonts w:ascii="Barlow Semi Condensed" w:cs="Barlow Semi Condensed" w:eastAsia="Barlow Semi Condensed" w:hAnsi="Barlow Semi Condensed"/>
          <w:sz w:val="24"/>
          <w:szCs w:val="24"/>
        </w:rPr>
        <w:t xml:space="preserve">: se esista, per la visita di Stato del</w:t>
      </w:r>
    </w:p>
    <w:p>
      <w:pPr>
        <w:spacing w:after="120" w:line="276"/>
        <w:jc w:val="both"/>
      </w:pPr>
      <w:r>
        <w:rPr>
          <w:rFonts w:ascii="Barlow Semi Condensed" w:cs="Barlow Semi Condensed" w:eastAsia="Barlow Semi Condensed" w:hAnsi="Barlow Semi Condensed"/>
          <w:sz w:val="24"/>
          <w:szCs w:val="24"/>
        </w:rPr>
        <w:t xml:space="preserve">  25-29 settembre 1974, un appunto italiano del colloquio dello Studio Ovale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Si comunica</w:t>
      </w:r>
      <w:r>
        <w:rPr>
          <w:rFonts w:ascii="Barlow Semi Condensed" w:cs="Barlow Semi Condensed" w:eastAsia="Barlow Semi Condensed" w:hAnsi="Barlow Semi Condensed"/>
          <w:sz w:val="24"/>
          <w:szCs w:val="24"/>
        </w:rPr>
        <w:t xml:space="preserve"> · l'accertamento sul verbale americano, **prima che lo leggano</w:t>
      </w:r>
    </w:p>
    <w:p>
      <w:pPr>
        <w:spacing w:after="120" w:line="276"/>
        <w:jc w:val="both"/>
      </w:pPr>
      <w:r>
        <w:rPr>
          <w:rFonts w:ascii="Barlow Semi Condensed" w:cs="Barlow Semi Condensed" w:eastAsia="Barlow Semi Condensed" w:hAnsi="Barlow Semi Condensed"/>
          <w:sz w:val="24"/>
          <w:szCs w:val="24"/>
        </w:rPr>
        <w:t xml:space="preserve">  altrove**, col grado e con l'obiezione che lo rende non risolutivo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Attenzione</w:t>
      </w:r>
      <w:r>
        <w:rPr>
          <w:rFonts w:ascii="Barlow Semi Condensed" w:cs="Barlow Semi Condensed" w:eastAsia="Barlow Semi Condensed" w:hAnsi="Barlow Semi Condensed"/>
          <w:sz w:val="24"/>
          <w:szCs w:val="24"/>
        </w:rPr>
        <w:t xml:space="preserve"> · è l'unica lettera che tocca la memoria di una persona</w:t>
      </w:r>
    </w:p>
    <w:p>
      <w:pPr>
        <w:spacing w:after="120" w:line="276"/>
        <w:jc w:val="both"/>
      </w:pPr>
      <w:r>
        <w:rPr>
          <w:rFonts w:ascii="Barlow Semi Condensed" w:cs="Barlow Semi Condensed" w:eastAsia="Barlow Semi Condensed" w:hAnsi="Barlow Semi Condensed"/>
          <w:sz w:val="24"/>
          <w:szCs w:val="24"/>
        </w:rPr>
        <w:t xml:space="preserve">  determinata e una famiglia che esiste. Nessuna rivendicazione di scoperta.</w:t>
      </w:r>
    </w:p>
    <w:p>
      <w:pPr>
        <w:spacing w:after="120" w:line="276"/>
        <w:jc w:val="both"/>
      </w:pPr>
      <w:r>
        <w:rPr>
          <w:rFonts w:ascii="Barlow Semi Condensed" w:cs="Barlow Semi Condensed" w:eastAsia="Barlow Semi Condensed" w:hAnsi="Barlow Semi Condensed"/>
          <w:sz w:val="24"/>
          <w:szCs w:val="24"/>
        </w:rPr>
        <w:t xml:space="preserve">  **Se alla rilettura sembrasse chiedere qualcosa in cambio, tagliare finché non</w:t>
      </w:r>
    </w:p>
    <w:p>
      <w:pPr>
        <w:spacing w:after="120" w:line="276"/>
        <w:jc w:val="both"/>
      </w:pPr>
      <w:r>
        <w:rPr>
          <w:rFonts w:ascii="Barlow Semi Condensed" w:cs="Barlow Semi Condensed" w:eastAsia="Barlow Semi Condensed" w:hAnsi="Barlow Semi Condensed"/>
          <w:sz w:val="24"/>
          <w:szCs w:val="24"/>
        </w:rPr>
        <w:t xml:space="preserve">  chiede più nulla**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recapito cercato il ……… · esito ………</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inviata il ………</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Porta vicina, oggetto diverso.</w:t>
      </w:r>
      <w:r>
        <w:rPr>
          <w:rFonts w:ascii="Barlow Semi Condensed" w:cs="Barlow Semi Condensed" w:eastAsia="Barlow Semi Condensed" w:hAnsi="Barlow Semi Condensed"/>
          <w:i w:val="false"/>
          <w:iCs w:val="false"/>
          <w:sz w:val="24"/>
          <w:szCs w:val="24"/>
        </w:rPr>
        <w:t xml:space="preserve"> L'</w:t>
      </w:r>
      <w:r>
        <w:rPr>
          <w:rFonts w:ascii="Barlow Semi Condensed" w:cs="Barlow Semi Condensed" w:eastAsia="Barlow Semi Condensed" w:hAnsi="Barlow Semi Condensed"/>
          <w:i w:val="false"/>
          <w:iCs w:val="false"/>
          <w:sz w:val="24"/>
          <w:szCs w:val="24"/>
        </w:rPr>
        <w:t xml:space="preserve">Edizione Nazionale delle Opere di Aldo Moro</w:t>
      </w:r>
      <w:r>
        <w:rPr>
          <w:rFonts w:ascii="Barlow Semi Condensed" w:cs="Barlow Semi Condensed" w:eastAsia="Barlow Semi Condensed" w:hAnsi="Barlow Semi Condensed"/>
          <w:i w:val="false"/>
          <w:iCs w:val="false"/>
          <w:sz w:val="24"/>
          <w:szCs w:val="24"/>
        </w:rPr>
        <w:t xml:space="preserve"> è interlocutore per l'</w:t>
      </w:r>
      <w:r>
        <w:rPr>
          <w:rFonts w:ascii="Barlow Semi Condensed" w:cs="Barlow Semi Condensed" w:eastAsia="Barlow Semi Condensed" w:hAnsi="Barlow Semi Condensed"/>
          <w:b/>
          <w:bCs/>
          <w:i w:val="false"/>
          <w:iCs w:val="false"/>
          <w:sz w:val="24"/>
          <w:szCs w:val="24"/>
        </w:rPr>
        <w:t xml:space="preserve">apparato delle citazioni</w:t>
      </w:r>
      <w:r>
        <w:rPr>
          <w:rFonts w:ascii="Barlow Semi Condensed" w:cs="Barlow Semi Condensed" w:eastAsia="Barlow Semi Condensed" w:hAnsi="Barlow Semi Condensed"/>
          <w:i w:val="false"/>
          <w:iCs w:val="false"/>
          <w:sz w:val="24"/>
          <w:szCs w:val="24"/>
        </w:rPr>
        <w:t xml:space="preserve">, non per il quesito d'archivio. Separata, in altra forma, </w:t>
      </w:r>
      <w:r>
        <w:rPr>
          <w:rFonts w:ascii="Barlow Semi Condensed" w:cs="Barlow Semi Condensed" w:eastAsia="Barlow Semi Condensed" w:hAnsi="Barlow Semi Condensed"/>
          <w:b/>
          <w:bCs/>
          <w:i w:val="false"/>
          <w:iCs w:val="false"/>
          <w:sz w:val="24"/>
          <w:szCs w:val="24"/>
        </w:rPr>
        <w:t xml:space="preserve">non lo stesso giorno</w:t>
      </w:r>
      <w:r>
        <w:rPr>
          <w:rFonts w:ascii="Barlow Semi Condensed" w:cs="Barlow Semi Condensed" w:eastAsia="Barlow Semi Condensed" w:hAnsi="Barlow Semi Condensed"/>
          <w:i w:val="false"/>
          <w:iCs w:val="false"/>
          <w:sz w:val="24"/>
          <w:szCs w:val="24"/>
        </w:rPr>
        <w:t xml:space="preserve">. - [ ] valutata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1 · il Mulino — ✓ · saggio civile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modulo online, previa registrazione.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email</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proposte-mulino-carocci-einaudi.md</w:t>
      </w:r>
      <w:r>
        <w:rPr>
          <w:rFonts w:ascii="Barlow Semi Condensed" w:cs="Barlow Semi Condensed" w:eastAsia="Barlow Semi Condensed" w:hAnsi="Barlow Semi Condensed"/>
          <w:sz w:val="24"/>
          <w:szCs w:val="24"/>
        </w:rPr>
        <w:t xml:space="preserve">, sez. 1 — già nei campi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Campi</w:t>
      </w:r>
      <w:r>
        <w:rPr>
          <w:rFonts w:ascii="Barlow Semi Condensed" w:cs="Barlow Semi Condensed" w:eastAsia="Barlow Semi Condensed" w:hAnsi="Barlow Semi Condensed"/>
          <w:sz w:val="24"/>
          <w:szCs w:val="24"/>
        </w:rPr>
        <w:t xml:space="preserve"> · argomento · estratto · indice · descrizione estesa · pubblico · bio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Estratto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ALLEGATO_CAPITOLO_CAMPIONE.pdf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per intero</w:t>
      </w:r>
      <w:r>
        <w:rPr>
          <w:rFonts w:ascii="Barlow Semi Condensed" w:cs="Barlow Semi Condensed" w:eastAsia="Barlow Semi Condensed" w:hAnsi="Barlow Semi Condensed"/>
          <w:sz w:val="24"/>
          <w:szCs w:val="24"/>
        </w:rPr>
        <w:t xml:space="preserve">, non frammenti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2 · Chiarelettere — ✓ · saggio civile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proposte.editoriali@chiarelettere.it</w:t>
      </w:r>
      <w:r>
        <w:rPr>
          <w:rFonts w:ascii="Barlow Semi Condensed" w:cs="Barlow Semi Condensed" w:eastAsia="Barlow Semi Condensed" w:hAnsi="Barlow Semi Condensed"/>
          <w:sz w:val="24"/>
          <w:szCs w:val="24"/>
        </w:rPr>
        <w:t xml:space="preserve"> o modulo · corso Sempione</w:t>
      </w:r>
    </w:p>
    <w:p>
      <w:pPr>
        <w:spacing w:after="120" w:line="276"/>
        <w:jc w:val="both"/>
      </w:pPr>
      <w:r>
        <w:rPr>
          <w:rFonts w:ascii="Barlow Semi Condensed" w:cs="Barlow Semi Condensed" w:eastAsia="Barlow Semi Condensed" w:hAnsi="Barlow Semi Condensed"/>
          <w:sz w:val="24"/>
          <w:szCs w:val="24"/>
        </w:rPr>
        <w:t xml:space="preserve">  2, 20154 Milano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proposte-chiarelettere-bompiani.md</w:t>
      </w:r>
      <w:r>
        <w:rPr>
          <w:rFonts w:ascii="Barlow Semi Condensed" w:cs="Barlow Semi Condensed" w:eastAsia="Barlow Semi Condensed" w:hAnsi="Barlow Semi Condensed"/>
          <w:sz w:val="24"/>
          <w:szCs w:val="24"/>
        </w:rPr>
        <w:t xml:space="preserve">, sezione 1</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Allegati</w:t>
      </w:r>
      <w:r>
        <w:rPr>
          <w:rFonts w:ascii="Barlow Semi Condensed" w:cs="Barlow Semi Condensed" w:eastAsia="Barlow Semi Condensed" w:hAnsi="Barlow Semi Condensed"/>
          <w:sz w:val="24"/>
          <w:szCs w:val="24"/>
        </w:rPr>
        <w:t xml:space="preserve"> · scheda · la prima stesura completa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Attenzione</w:t>
      </w:r>
      <w:r>
        <w:rPr>
          <w:rFonts w:ascii="Barlow Semi Condensed" w:cs="Barlow Semi Condensed" w:eastAsia="Barlow Semi Condensed" w:hAnsi="Barlow Semi Condensed"/>
          <w:sz w:val="24"/>
          <w:szCs w:val="24"/>
        </w:rPr>
        <w:t xml:space="preserve"> · è il catalogo più affine dei nove: proprio per questo</w:t>
      </w:r>
    </w:p>
    <w:p>
      <w:pPr>
        <w:spacing w:after="120" w:line="276"/>
        <w:jc w:val="both"/>
      </w:pPr>
      <w:r>
        <w:rPr>
          <w:rFonts w:ascii="Barlow Semi Condensed" w:cs="Barlow Semi Condensed" w:eastAsia="Barlow Semi Condensed" w:hAnsi="Barlow Semi Condensed"/>
          <w:sz w:val="24"/>
          <w:szCs w:val="24"/>
        </w:rPr>
        <w:t xml:space="preserve">  un'imprecisione qui si nota. </w:t>
      </w:r>
      <w:r>
        <w:rPr>
          <w:rFonts w:ascii="Barlow Semi Condensed" w:cs="Barlow Semi Condensed" w:eastAsia="Barlow Semi Condensed" w:hAnsi="Barlow Semi Condensed"/>
          <w:b/>
          <w:bCs/>
          <w:sz w:val="24"/>
          <w:szCs w:val="24"/>
        </w:rPr>
        <w:t xml:space="preserve">Più cura, non meno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3 · Carocci — ✓ · testo adottabile in aula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pagina «Proposte editoriali» del sito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proposte-mulino-carocci-einaudi.md</w:t>
      </w:r>
      <w:r>
        <w:rPr>
          <w:rFonts w:ascii="Barlow Semi Condensed" w:cs="Barlow Semi Condensed" w:eastAsia="Barlow Semi Condensed" w:hAnsi="Barlow Semi Condensed"/>
          <w:sz w:val="24"/>
          <w:szCs w:val="24"/>
        </w:rPr>
        <w:t xml:space="preserve">, sez. 2</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Allegati</w:t>
      </w:r>
      <w:r>
        <w:rPr>
          <w:rFonts w:ascii="Barlow Semi Condensed" w:cs="Barlow Semi Condensed" w:eastAsia="Barlow Semi Condensed" w:hAnsi="Barlow Semi Condensed"/>
          <w:sz w:val="24"/>
          <w:szCs w:val="24"/>
        </w:rPr>
        <w:t xml:space="preserve"> · scheda · la prima stesura completa </w:t>
      </w:r>
      <w:r>
        <w:rPr>
          <w:rFonts w:ascii="Barlow Semi Condensed" w:cs="Barlow Semi Condensed" w:eastAsia="Barlow Semi Condensed" w:hAnsi="Barlow Semi Condensed"/>
          <w:b/>
          <w:bCs/>
          <w:sz w:val="24"/>
          <w:szCs w:val="24"/>
        </w:rPr>
        <w:t xml:space="preserve">con le note di revisione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Attenzione</w:t>
      </w:r>
      <w:r>
        <w:rPr>
          <w:rFonts w:ascii="Barlow Semi Condensed" w:cs="Barlow Semi Condensed" w:eastAsia="Barlow Semi Condensed" w:hAnsi="Barlow Semi Condensed"/>
          <w:sz w:val="24"/>
          <w:szCs w:val="24"/>
        </w:rPr>
        <w:t xml:space="preserve"> · senza l'esercizio in coda la proposta perde il suo argomento</w:t>
      </w:r>
    </w:p>
    <w:p>
      <w:pPr>
        <w:spacing w:after="120" w:line="276"/>
        <w:jc w:val="both"/>
      </w:pPr>
      <w:r>
        <w:rPr>
          <w:rFonts w:ascii="Barlow Semi Condensed" w:cs="Barlow Semi Condensed" w:eastAsia="Barlow Semi Condensed" w:hAnsi="Barlow Semi Condensed"/>
          <w:sz w:val="24"/>
          <w:szCs w:val="24"/>
        </w:rPr>
        <w:t xml:space="preserve">  principale. </w:t>
      </w:r>
      <w:r>
        <w:rPr>
          <w:rFonts w:ascii="Barlow Semi Condensed" w:cs="Barlow Semi Condensed" w:eastAsia="Barlow Semi Condensed" w:hAnsi="Barlow Semi Condensed"/>
          <w:b/>
          <w:bCs/>
          <w:sz w:val="24"/>
          <w:szCs w:val="24"/>
        </w:rPr>
        <w:t xml:space="preserve">Non invertire i due testi con quello del Mulino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4 · Laterza — ✓ · saggio civile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info@laterza.it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Non accetta manoscritti a stampa</w:t>
      </w:r>
      <w:r>
        <w:rPr>
          <w:rFonts w:ascii="Barlow Semi Condensed" w:cs="Barlow Semi Condensed" w:eastAsia="Barlow Semi Condensed" w:hAnsi="Barlow Semi Condensed"/>
          <w:sz w:val="24"/>
          <w:szCs w:val="24"/>
        </w:rPr>
        <w:t xml:space="preserve">: i plichi</w:t>
      </w:r>
    </w:p>
    <w:p>
      <w:pPr>
        <w:spacing w:after="120" w:line="276"/>
        <w:jc w:val="both"/>
      </w:pPr>
      <w:r>
        <w:rPr>
          <w:rFonts w:ascii="Barlow Semi Condensed" w:cs="Barlow Semi Condensed" w:eastAsia="Barlow Semi Condensed" w:hAnsi="Barlow Semi Condensed"/>
          <w:sz w:val="24"/>
          <w:szCs w:val="24"/>
        </w:rPr>
        <w:t xml:space="preserve">  non vengono letti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proposta-editrice-laterza.md</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Da inviare</w:t>
      </w:r>
      <w:r>
        <w:rPr>
          <w:rFonts w:ascii="Barlow Semi Condensed" w:cs="Barlow Semi Condensed" w:eastAsia="Barlow Semi Condensed" w:hAnsi="Barlow Semi Condensed"/>
          <w:sz w:val="24"/>
          <w:szCs w:val="24"/>
        </w:rPr>
        <w:t xml:space="preserve"> · scheda del volume · indice · bio-bibliografia · il capitolo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Tempi</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nessuna notizia entro un anno = rifiuto.</w:t>
      </w:r>
      <w:r>
        <w:rPr>
          <w:rFonts w:ascii="Barlow Semi Condensed" w:cs="Barlow Semi Condensed" w:eastAsia="Barlow Semi Condensed" w:hAnsi="Barlow Semi Condensed"/>
          <w:sz w:val="24"/>
          <w:szCs w:val="24"/>
        </w:rPr>
        <w:t xml:space="preserve"> Non si sollecita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5 · Bompiani — ✓ · saggio civile · un colpo solo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manoscritti.bompiani.it</w:t>
      </w:r>
      <w:r>
        <w:rPr>
          <w:rFonts w:ascii="Barlow Semi Condensed" w:cs="Barlow Semi Condensed" w:eastAsia="Barlow Semi Condensed" w:hAnsi="Barlow Semi Condensed"/>
          <w:sz w:val="24"/>
          <w:szCs w:val="24"/>
        </w:rPr>
        <w:t xml:space="preserve"> (gruppo Giunti)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proposte-chiarelettere-bompiani.md</w:t>
      </w:r>
      <w:r>
        <w:rPr>
          <w:rFonts w:ascii="Barlow Semi Condensed" w:cs="Barlow Semi Condensed" w:eastAsia="Barlow Semi Condensed" w:hAnsi="Barlow Semi Condensed"/>
          <w:sz w:val="24"/>
          <w:szCs w:val="24"/>
        </w:rPr>
        <w:t xml:space="preserve">, sezione 2</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Formato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PDF sotto i 5 MB.</w:t>
      </w:r>
      <w:r>
        <w:rPr>
          <w:rFonts w:ascii="Barlow Semi Condensed" w:cs="Barlow Semi Condensed" w:eastAsia="Barlow Semi Condensed" w:hAnsi="Barlow Semi Condensed"/>
          <w:sz w:val="24"/>
          <w:szCs w:val="24"/>
        </w:rPr>
        <w:t xml:space="preserve"> Niente bozze, testi incompleti,</w:t>
      </w:r>
    </w:p>
    <w:p>
      <w:pPr>
        <w:spacing w:after="120" w:line="276"/>
        <w:jc w:val="both"/>
      </w:pPr>
      <w:r>
        <w:rPr>
          <w:rFonts w:ascii="Barlow Semi Condensed" w:cs="Barlow Semi Condensed" w:eastAsia="Barlow Semi Condensed" w:hAnsi="Barlow Semi Condensed"/>
          <w:sz w:val="24"/>
          <w:szCs w:val="24"/>
        </w:rPr>
        <w:t xml:space="preserve">  collegamenti o file su cloud</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Tempi</w:t>
      </w:r>
      <w:r>
        <w:rPr>
          <w:rFonts w:ascii="Barlow Semi Condensed" w:cs="Barlow Semi Condensed" w:eastAsia="Barlow Semi Condensed" w:hAnsi="Barlow Semi Condensed"/>
          <w:sz w:val="24"/>
          <w:szCs w:val="24"/>
        </w:rPr>
        <w:t xml:space="preserve"> · risposta solo in caso d'interesse. Niente telefonate, testi non</w:t>
      </w:r>
    </w:p>
    <w:p>
      <w:pPr>
        <w:spacing w:after="120" w:line="276"/>
        <w:jc w:val="both"/>
      </w:pPr>
      <w:r>
        <w:rPr>
          <w:rFonts w:ascii="Barlow Semi Condensed" w:cs="Barlow Semi Condensed" w:eastAsia="Barlow Semi Condensed" w:hAnsi="Barlow Semi Condensed"/>
          <w:sz w:val="24"/>
          <w:szCs w:val="24"/>
        </w:rPr>
        <w:t xml:space="preserve">  restituiti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Regola che decide tutto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una sola proposta ogni dodici mesi.</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  spenderla su un libro non ancora scritto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6 · Einaudi — ✓ · racconto · a opera scritta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einaudi@einaudi.it</w:t>
      </w:r>
      <w:r>
        <w:rPr>
          <w:rFonts w:ascii="Barlow Semi Condensed" w:cs="Barlow Semi Condensed" w:eastAsia="Barlow Semi Condensed" w:hAnsi="Barlow Semi Condensed"/>
          <w:sz w:val="24"/>
          <w:szCs w:val="24"/>
        </w:rPr>
        <w:t xml:space="preserve"> (saggistica)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Documento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proposte-mulino-carocci-einaudi.md</w:t>
      </w:r>
      <w:r>
        <w:rPr>
          <w:rFonts w:ascii="Barlow Semi Condensed" w:cs="Barlow Semi Condensed" w:eastAsia="Barlow Semi Condensed" w:hAnsi="Barlow Semi Condensed"/>
          <w:sz w:val="24"/>
          <w:szCs w:val="24"/>
        </w:rPr>
        <w:t xml:space="preserve">, sez. 3</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Allegati obbligatori</w:t>
      </w:r>
      <w:r>
        <w:rPr>
          <w:rFonts w:ascii="Barlow Semi Condensed" w:cs="Barlow Semi Condensed" w:eastAsia="Barlow Semi Condensed" w:hAnsi="Barlow Semi Condensed"/>
          <w:sz w:val="24"/>
          <w:szCs w:val="24"/>
        </w:rPr>
        <w:t xml:space="preserve"> · curriculum · il testo dell'opera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Requisito che si dimentica</w:t>
      </w:r>
      <w:r>
        <w:rPr>
          <w:rFonts w:ascii="Barlow Semi Condensed" w:cs="Barlow Semi Condensed" w:eastAsia="Barlow Semi Condensed" w:hAnsi="Barlow Semi Condensed"/>
          <w:sz w:val="24"/>
          <w:szCs w:val="24"/>
        </w:rPr>
        <w:t xml:space="preserve"> · nome, indirizzo, email e telefono **anche in</w:t>
      </w:r>
    </w:p>
    <w:p>
      <w:pPr>
        <w:spacing w:after="120" w:line="276"/>
        <w:jc w:val="both"/>
      </w:pPr>
      <w:r>
        <w:rPr>
          <w:rFonts w:ascii="Barlow Semi Condensed" w:cs="Barlow Semi Condensed" w:eastAsia="Barlow Semi Condensed" w:hAnsi="Barlow Semi Condensed"/>
          <w:sz w:val="24"/>
          <w:szCs w:val="24"/>
        </w:rPr>
        <w:t xml:space="preserve">  testa al documento allegato**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Tempi</w:t>
      </w:r>
      <w:r>
        <w:rPr>
          <w:rFonts w:ascii="Barlow Semi Condensed" w:cs="Barlow Semi Condensed" w:eastAsia="Barlow Semi Condensed" w:hAnsi="Barlow Semi Condensed"/>
          <w:sz w:val="24"/>
          <w:szCs w:val="24"/>
        </w:rPr>
        <w:t xml:space="preserve"> · risposta solo in caso d'interesse, intorno ai </w:t>
      </w:r>
      <w:r>
        <w:rPr>
          <w:rFonts w:ascii="Barlow Semi Condensed" w:cs="Barlow Semi Condensed" w:eastAsia="Barlow Semi Condensed" w:hAnsi="Barlow Semi Condensed"/>
          <w:b/>
          <w:bCs/>
          <w:sz w:val="24"/>
          <w:szCs w:val="24"/>
        </w:rPr>
        <w:t xml:space="preserve">sei mesi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Attenzione</w:t>
      </w:r>
      <w:r>
        <w:rPr>
          <w:rFonts w:ascii="Barlow Semi Condensed" w:cs="Barlow Semi Condensed" w:eastAsia="Barlow Semi Condensed" w:hAnsi="Barlow Semi Condensed"/>
          <w:sz w:val="24"/>
          <w:szCs w:val="24"/>
        </w:rPr>
        <w:t xml:space="preserve"> · valuta </w:t>
      </w:r>
      <w:r>
        <w:rPr>
          <w:rFonts w:ascii="Barlow Semi Condensed" w:cs="Barlow Semi Condensed" w:eastAsia="Barlow Semi Condensed" w:hAnsi="Barlow Semi Condensed"/>
          <w:b/>
          <w:bCs/>
          <w:sz w:val="24"/>
          <w:szCs w:val="24"/>
        </w:rPr>
        <w:t xml:space="preserve">l'opera, non l'idea</w:t>
      </w:r>
      <w:r>
        <w:rPr>
          <w:rFonts w:ascii="Barlow Semi Condensed" w:cs="Barlow Semi Condensed" w:eastAsia="Barlow Semi Condensed" w:hAnsi="Barlow Semi Condensed"/>
          <w:sz w:val="24"/>
          <w:szCs w:val="24"/>
        </w:rPr>
        <w:t xml:space="preserve">. **Inviare solo a saggio</w:t>
      </w:r>
    </w:p>
    <w:p>
      <w:pPr>
        <w:spacing w:after="120" w:line="276"/>
        <w:jc w:val="both"/>
      </w:pPr>
      <w:r>
        <w:rPr>
          <w:rFonts w:ascii="Barlow Semi Condensed" w:cs="Barlow Semi Condensed" w:eastAsia="Barlow Semi Condensed" w:hAnsi="Barlow Semi Condensed"/>
          <w:sz w:val="24"/>
          <w:szCs w:val="24"/>
        </w:rPr>
        <w:t xml:space="preserve">  scritto**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7 · Feltrinelli — ? · ricezione sospesa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Grado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incerto</w:t>
      </w:r>
      <w:r>
        <w:rPr>
          <w:rFonts w:ascii="Barlow Semi Condensed" w:cs="Barlow Semi Condensed" w:eastAsia="Barlow Semi Condensed" w:hAnsi="Barlow Semi Condensed"/>
          <w:sz w:val="24"/>
          <w:szCs w:val="24"/>
        </w:rPr>
        <w:t xml:space="preserve">: il sito non si è aperto dall'ambiente di ricerca. Da</w:t>
      </w:r>
    </w:p>
    <w:p>
      <w:pPr>
        <w:spacing w:after="120" w:line="276"/>
        <w:jc w:val="both"/>
      </w:pPr>
      <w:r>
        <w:rPr>
          <w:rFonts w:ascii="Barlow Semi Condensed" w:cs="Barlow Semi Condensed" w:eastAsia="Barlow Semi Condensed" w:hAnsi="Barlow Semi Condensed"/>
          <w:sz w:val="24"/>
          <w:szCs w:val="24"/>
        </w:rPr>
        <w:t xml:space="preserve">  riverificare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conflitto d'oggetto, che va detto e non aggirato</w:t>
      </w:r>
      <w:r>
        <w:rPr>
          <w:rFonts w:ascii="Barlow Semi Condensed" w:cs="Barlow Semi Condensed" w:eastAsia="Barlow Semi Condensed" w:hAnsi="Barlow Semi Condensed"/>
          <w:sz w:val="24"/>
          <w:szCs w:val="24"/>
        </w:rPr>
        <w:t xml:space="preserve"> · il corpus contiene</w:t>
      </w:r>
    </w:p>
    <w:p>
      <w:pPr>
        <w:spacing w:after="120" w:line="276"/>
        <w:jc w:val="both"/>
      </w:pPr>
      <w:r>
        <w:rPr>
          <w:rFonts w:ascii="Barlow Semi Condensed" w:cs="Barlow Semi Condensed" w:eastAsia="Barlow Semi Condensed" w:hAnsi="Barlow Semi Condensed"/>
          <w:sz w:val="24"/>
          <w:szCs w:val="24"/>
        </w:rPr>
        <w:t xml:space="preserve">  uno studio monografico su </w:t>
      </w:r>
      <w:r>
        <w:rPr>
          <w:rFonts w:ascii="Barlow Semi Condensed" w:cs="Barlow Semi Condensed" w:eastAsia="Barlow Semi Condensed" w:hAnsi="Barlow Semi Condensed"/>
          <w:b/>
          <w:bCs/>
          <w:sz w:val="24"/>
          <w:szCs w:val="24"/>
        </w:rPr>
        <w:t xml:space="preserve">Giangiacomo Feltrinelli</w:t>
      </w:r>
      <w:r>
        <w:rPr>
          <w:rFonts w:ascii="Barlow Semi Condensed" w:cs="Barlow Semi Condensed" w:eastAsia="Barlow Semi Condensed" w:hAnsi="Barlow Semi Condensed"/>
          <w:sz w:val="24"/>
          <w:szCs w:val="24"/>
        </w:rPr>
        <w:t xml:space="preserve">, e la sua morte è uno dei</w:t>
      </w:r>
    </w:p>
    <w:p>
      <w:pPr>
        <w:spacing w:after="120" w:line="276"/>
        <w:jc w:val="both"/>
      </w:pPr>
      <w:r>
        <w:rPr>
          <w:rFonts w:ascii="Barlow Semi Condensed" w:cs="Barlow Semi Condensed" w:eastAsia="Barlow Semi Condensed" w:hAnsi="Barlow Semi Condensed"/>
          <w:sz w:val="24"/>
          <w:szCs w:val="24"/>
        </w:rPr>
        <w:t xml:space="preserve">  nodi registrati. Proporre l'opera alla casa che egli fondò non è scorretto —</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tacerlo sì</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Se il canale riaprisse</w:t>
      </w:r>
      <w:r>
        <w:rPr>
          <w:rFonts w:ascii="Barlow Semi Condensed" w:cs="Barlow Semi Condensed" w:eastAsia="Barlow Semi Condensed" w:hAnsi="Barlow Semi Condensed"/>
          <w:sz w:val="24"/>
          <w:szCs w:val="24"/>
        </w:rPr>
        <w:t xml:space="preserve"> · la circostanza va dichiarata **nelle prime tre</w:t>
      </w:r>
    </w:p>
    <w:p>
      <w:pPr>
        <w:spacing w:after="120" w:line="276"/>
        <w:jc w:val="both"/>
      </w:pPr>
      <w:r>
        <w:rPr>
          <w:rFonts w:ascii="Barlow Semi Condensed" w:cs="Barlow Semi Condensed" w:eastAsia="Barlow Semi Condensed" w:hAnsi="Barlow Semi Condensed"/>
          <w:sz w:val="24"/>
          <w:szCs w:val="24"/>
        </w:rPr>
        <w:t xml:space="preserve">  righe**, con: i fatti del 14 marzo 1972 trattati con gli stessi gradi di tutto</w:t>
      </w:r>
    </w:p>
    <w:p>
      <w:pPr>
        <w:spacing w:after="120" w:line="276"/>
        <w:jc w:val="both"/>
      </w:pPr>
      <w:r>
        <w:rPr>
          <w:rFonts w:ascii="Barlow Semi Condensed" w:cs="Barlow Semi Condensed" w:eastAsia="Barlow Semi Condensed" w:hAnsi="Barlow Semi Condensed"/>
          <w:sz w:val="24"/>
          <w:szCs w:val="24"/>
        </w:rPr>
        <w:t xml:space="preserve">  il resto; nessuna persona indicata come responsabile oltre il giudicato; e che</w:t>
      </w:r>
    </w:p>
    <w:p>
      <w:pPr>
        <w:spacing w:after="120" w:line="276"/>
        <w:jc w:val="both"/>
      </w:pPr>
      <w:r>
        <w:rPr>
          <w:rFonts w:ascii="Barlow Semi Condensed" w:cs="Barlow Semi Condensed" w:eastAsia="Barlow Semi Condensed" w:hAnsi="Barlow Semi Condensed"/>
          <w:sz w:val="24"/>
          <w:szCs w:val="24"/>
        </w:rPr>
        <w:t xml:space="preserve">  **nel Libro quarto il nome Feltrinelli compare una sola volta, in un passo</w:t>
      </w:r>
    </w:p>
    <w:p>
      <w:pPr>
        <w:spacing w:after="120" w:line="276"/>
        <w:jc w:val="both"/>
      </w:pPr>
      <w:r>
        <w:rPr>
          <w:rFonts w:ascii="Barlow Semi Condensed" w:cs="Barlow Semi Condensed" w:eastAsia="Barlow Semi Condensed" w:hAnsi="Barlow Semi Condensed"/>
          <w:sz w:val="24"/>
          <w:szCs w:val="24"/>
        </w:rPr>
        <w:t xml:space="preserve">  biografico, e mai nella graduatoria**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Ometterlo</w:t>
      </w:r>
      <w:r>
        <w:rPr>
          <w:rFonts w:ascii="Barlow Semi Condensed" w:cs="Barlow Semi Condensed" w:eastAsia="Barlow Semi Condensed" w:hAnsi="Barlow Semi Condensed"/>
          <w:sz w:val="24"/>
          <w:szCs w:val="24"/>
        </w:rPr>
        <w:t xml:space="preserve"> · sembrare di non aver letto il proprio corpus, oppure di aver</w:t>
      </w:r>
    </w:p>
    <w:p>
      <w:pPr>
        <w:spacing w:after="120" w:line="276"/>
        <w:jc w:val="both"/>
      </w:pPr>
      <w:r>
        <w:rPr>
          <w:rFonts w:ascii="Barlow Semi Condensed" w:cs="Barlow Semi Condensed" w:eastAsia="Barlow Semi Condensed" w:hAnsi="Barlow Semi Condensed"/>
          <w:sz w:val="24"/>
          <w:szCs w:val="24"/>
        </w:rPr>
        <w:t xml:space="preserve">  scelto quell'editore per provocazione. Entrambi rovinosi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canale riverificato il ……… · esito ………</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inviato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8 · Bollati Boringhieri — ✗ · porta giusta senza maniglia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nessuno diretto</w:t>
      </w:r>
      <w:r>
        <w:rPr>
          <w:rFonts w:ascii="Barlow Semi Condensed" w:cs="Barlow Semi Condensed" w:eastAsia="Barlow Semi Condensed" w:hAnsi="Barlow Semi Condensed"/>
          <w:sz w:val="24"/>
          <w:szCs w:val="24"/>
        </w:rPr>
        <w:t xml:space="preserve">: non valuta manoscritti spontanei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Grado</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incerto</w:t>
      </w:r>
      <w:r>
        <w:rPr>
          <w:rFonts w:ascii="Barlow Semi Condensed" w:cs="Barlow Semi Condensed" w:eastAsia="Barlow Semi Condensed" w:hAnsi="Barlow Semi Condensed"/>
          <w:sz w:val="24"/>
          <w:szCs w:val="24"/>
        </w:rPr>
        <w:t xml:space="preserve">, stessa ragione di Feltrinelli. Riverificare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Via praticabile</w:t>
      </w:r>
      <w:r>
        <w:rPr>
          <w:rFonts w:ascii="Barlow Semi Condensed" w:cs="Barlow Semi Condensed" w:eastAsia="Barlow Semi Condensed" w:hAnsi="Barlow Semi Condensed"/>
          <w:sz w:val="24"/>
          <w:szCs w:val="24"/>
        </w:rPr>
        <w:t xml:space="preserve"> · un </w:t>
      </w:r>
      <w:r>
        <w:rPr>
          <w:rFonts w:ascii="Barlow Semi Condensed" w:cs="Barlow Semi Condensed" w:eastAsia="Barlow Semi Condensed" w:hAnsi="Barlow Semi Condensed"/>
          <w:b/>
          <w:bCs/>
          <w:sz w:val="24"/>
          <w:szCs w:val="24"/>
        </w:rPr>
        <w:t xml:space="preserve">agente letterario</w:t>
      </w:r>
      <w:r>
        <w:rPr>
          <w:rFonts w:ascii="Barlow Semi Condensed" w:cs="Barlow Semi Condensed" w:eastAsia="Barlow Semi Condensed" w:hAnsi="Barlow Semi Condensed"/>
          <w:sz w:val="24"/>
          <w:szCs w:val="24"/>
        </w:rPr>
        <w:t xml:space="preserve"> — e un agente si cerca </w:t>
      </w:r>
      <w:r>
        <w:rPr>
          <w:rFonts w:ascii="Barlow Semi Condensed" w:cs="Barlow Semi Condensed" w:eastAsia="Barlow Semi Condensed" w:hAnsi="Barlow Semi Condensed"/>
          <w:b/>
          <w:bCs/>
          <w:sz w:val="24"/>
          <w:szCs w:val="24"/>
        </w:rPr>
        <w:t xml:space="preserve">dopo</w:t>
      </w:r>
    </w:p>
    <w:p>
      <w:pPr>
        <w:spacing w:after="120" w:line="276"/>
        <w:jc w:val="both"/>
      </w:pPr>
      <w:r>
        <w:rPr>
          <w:rFonts w:ascii="Barlow Semi Condensed" w:cs="Barlow Semi Condensed" w:eastAsia="Barlow Semi Condensed" w:hAnsi="Barlow Semi Condensed"/>
          <w:sz w:val="24"/>
          <w:szCs w:val="24"/>
        </w:rPr>
        <w:t xml:space="preserve">  che il saggio è scritto, perché è l'unica cosa da mostrargli. Nota:</w:t>
      </w:r>
    </w:p>
    <w:p>
      <w:pPr>
        <w:spacing w:after="120" w:line="276"/>
        <w:jc w:val="both"/>
      </w:pP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Bollati e Chiarelettere sono dello stesso gruppo</w:t>
      </w:r>
      <w:r>
        <w:rPr>
          <w:rFonts w:ascii="Barlow Semi Condensed" w:cs="Barlow Semi Condensed" w:eastAsia="Barlow Semi Condensed" w:hAnsi="Barlow Semi Condensed"/>
          <w:sz w:val="24"/>
          <w:szCs w:val="24"/>
        </w:rPr>
        <w:t xml:space="preserve">, e un agente che lo copra</w:t>
      </w:r>
    </w:p>
    <w:p>
      <w:pPr>
        <w:spacing w:after="120" w:line="276"/>
        <w:jc w:val="both"/>
      </w:pPr>
      <w:r>
        <w:rPr>
          <w:rFonts w:ascii="Barlow Semi Condensed" w:cs="Barlow Semi Condensed" w:eastAsia="Barlow Semi Condensed" w:hAnsi="Barlow Semi Condensed"/>
          <w:sz w:val="24"/>
          <w:szCs w:val="24"/>
        </w:rPr>
        <w:t xml:space="preserve">  raggiunge entrambi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canale riverificato il ……… · esito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9 · Astrolabio-Ubaldini — ✓ ma fuori catalogo · non inviare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Canale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b.ciampichetti@astrolabio-ubaldini.com</w:t>
      </w:r>
      <w:r>
        <w:rPr>
          <w:rFonts w:ascii="Barlow Semi Condensed" w:cs="Barlow Semi Condensed" w:eastAsia="Barlow Semi Condensed" w:hAnsi="Barlow Semi Condensed"/>
          <w:sz w:val="24"/>
          <w:szCs w:val="24"/>
        </w:rPr>
        <w:t xml:space="preserve"> · via Guido d'Arezzo 16,</w:t>
      </w:r>
    </w:p>
    <w:p>
      <w:pPr>
        <w:spacing w:after="120" w:line="276"/>
        <w:jc w:val="both"/>
      </w:pPr>
      <w:r>
        <w:rPr>
          <w:rFonts w:ascii="Barlow Semi Condensed" w:cs="Barlow Semi Condensed" w:eastAsia="Barlow Semi Condensed" w:hAnsi="Barlow Semi Condensed"/>
          <w:sz w:val="24"/>
          <w:szCs w:val="24"/>
        </w:rPr>
        <w:t xml:space="preserve">  00198 Roma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vincolo</w:t>
      </w:r>
      <w:r>
        <w:rPr>
          <w:rFonts w:ascii="Barlow Semi Condensed" w:cs="Barlow Semi Condensed" w:eastAsia="Barlow Semi Condensed" w:hAnsi="Barlow Semi Condensed"/>
          <w:sz w:val="24"/>
          <w:szCs w:val="24"/>
        </w:rPr>
        <w:t xml:space="preserve"> · valuta </w:t>
      </w:r>
      <w:r>
        <w:rPr>
          <w:rFonts w:ascii="Barlow Semi Condensed" w:cs="Barlow Semi Condensed" w:eastAsia="Barlow Semi Condensed" w:hAnsi="Barlow Semi Condensed"/>
          <w:b/>
          <w:bCs/>
          <w:sz w:val="24"/>
          <w:szCs w:val="24"/>
        </w:rPr>
        <w:t xml:space="preserve">soltanto</w:t>
      </w:r>
      <w:r>
        <w:rPr>
          <w:rFonts w:ascii="Barlow Semi Condensed" w:cs="Barlow Semi Condensed" w:eastAsia="Barlow Semi Condensed" w:hAnsi="Barlow Semi Condensed"/>
          <w:sz w:val="24"/>
          <w:szCs w:val="24"/>
        </w:rPr>
        <w:t xml:space="preserve"> psicologia del profondo e filosofie e</w:t>
      </w:r>
    </w:p>
    <w:p>
      <w:pPr>
        <w:spacing w:after="120" w:line="276"/>
        <w:jc w:val="both"/>
      </w:pPr>
      <w:r>
        <w:rPr>
          <w:rFonts w:ascii="Barlow Semi Condensed" w:cs="Barlow Semi Condensed" w:eastAsia="Barlow Semi Condensed" w:hAnsi="Barlow Semi Condensed"/>
          <w:sz w:val="24"/>
          <w:szCs w:val="24"/>
        </w:rPr>
        <w:t xml:space="preserve">  religioni orientali. Il libro non appartiene al perimetro che l'editore</w:t>
      </w:r>
    </w:p>
    <w:p>
      <w:pPr>
        <w:spacing w:after="120" w:line="276"/>
        <w:jc w:val="both"/>
      </w:pPr>
      <w:r>
        <w:rPr>
          <w:rFonts w:ascii="Barlow Semi Condensed" w:cs="Barlow Semi Condensed" w:eastAsia="Barlow Semi Condensed" w:hAnsi="Barlow Semi Condensed"/>
          <w:sz w:val="24"/>
          <w:szCs w:val="24"/>
        </w:rPr>
        <w:t xml:space="preserve">  dichiara. Non è un giudizio sull'editore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Omonimia da sciogliere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«L'Astrolabio»</w:t>
      </w:r>
      <w:r>
        <w:rPr>
          <w:rFonts w:ascii="Barlow Semi Condensed" w:cs="Barlow Semi Condensed" w:eastAsia="Barlow Semi Condensed" w:hAnsi="Barlow Semi Condensed"/>
          <w:sz w:val="24"/>
          <w:szCs w:val="24"/>
        </w:rPr>
        <w:t xml:space="preserve">, il periodico di Ferruccio</w:t>
      </w:r>
    </w:p>
    <w:p>
      <w:pPr>
        <w:spacing w:after="120" w:line="276"/>
        <w:jc w:val="both"/>
      </w:pPr>
      <w:r>
        <w:rPr>
          <w:rFonts w:ascii="Barlow Semi Condensed" w:cs="Barlow Semi Condensed" w:eastAsia="Barlow Semi Condensed" w:hAnsi="Barlow Semi Condensed"/>
          <w:sz w:val="24"/>
          <w:szCs w:val="24"/>
        </w:rPr>
        <w:t xml:space="preserve">  Parri, è tutt'altro: se l'intenzione era quella, il destinatario è</w:t>
      </w:r>
    </w:p>
    <w:p>
      <w:pPr>
        <w:spacing w:after="120" w:line="276"/>
        <w:jc w:val="both"/>
      </w:pPr>
      <w:r>
        <w:rPr>
          <w:rFonts w:ascii="Barlow Semi Condensed" w:cs="Barlow Semi Condensed" w:eastAsia="Barlow Semi Condensed" w:hAnsi="Barlow Semi Condensed"/>
          <w:sz w:val="24"/>
          <w:szCs w:val="24"/>
        </w:rPr>
        <w:t xml:space="preserve">  l'</w:t>
      </w:r>
      <w:r>
        <w:rPr>
          <w:rFonts w:ascii="Barlow Semi Condensed" w:cs="Barlow Semi Condensed" w:eastAsia="Barlow Semi Condensed" w:hAnsi="Barlow Semi Condensed"/>
          <w:b/>
          <w:bCs/>
          <w:sz w:val="24"/>
          <w:szCs w:val="24"/>
        </w:rPr>
        <w:t xml:space="preserve">Istituto nazionale Ferruccio Parri</w:t>
      </w:r>
      <w:r>
        <w:rPr>
          <w:rFonts w:ascii="Barlow Semi Condensed" w:cs="Barlow Semi Condensed" w:eastAsia="Barlow Semi Condensed" w:hAnsi="Barlow Semi Condensed"/>
          <w:sz w:val="24"/>
          <w:szCs w:val="24"/>
        </w:rPr>
        <w:t xml:space="preserve"> — che è già in ondata 0, alla voce</w:t>
      </w:r>
    </w:p>
    <w:p>
      <w:pPr>
        <w:spacing w:after="120" w:line="276"/>
        <w:jc w:val="both"/>
      </w:pPr>
      <w:r>
        <w:rPr>
          <w:rFonts w:ascii="Barlow Semi Condensed" w:cs="Barlow Semi Condensed" w:eastAsia="Barlow Semi Condensed" w:hAnsi="Barlow Semi Condensed"/>
          <w:sz w:val="24"/>
          <w:szCs w:val="24"/>
        </w:rPr>
        <w:t xml:space="preserve">  apparato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deciso di non inviare, il ………</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oppure: ridiretto all'Istituto Parri, il ………</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10 · Zenodo — deposito, non proposta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Che cosa</w:t>
      </w:r>
      <w:r>
        <w:rPr>
          <w:rFonts w:ascii="Barlow Semi Condensed" w:cs="Barlow Semi Condensed" w:eastAsia="Barlow Semi Condensed" w:hAnsi="Barlow Semi Condensed"/>
          <w:sz w:val="24"/>
          <w:szCs w:val="24"/>
        </w:rPr>
        <w:t xml:space="preserve"> · opera integrale · indice del ramo · note bibliografiche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Licenza</w:t>
      </w:r>
      <w:r>
        <w:rPr>
          <w:rFonts w:ascii="Barlow Semi Condensed" w:cs="Barlow Semi Condensed" w:eastAsia="Barlow Semi Condensed" w:hAnsi="Barlow Semi Condensed"/>
          <w:sz w:val="24"/>
          <w:szCs w:val="24"/>
        </w:rPr>
        <w:t xml:space="preserve"> · da scegliere </w:t>
      </w: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di caricare: cambiarla dopo è possibile ma</w:t>
      </w:r>
    </w:p>
    <w:p>
      <w:pPr>
        <w:spacing w:after="120" w:line="276"/>
        <w:jc w:val="both"/>
      </w:pPr>
      <w:r>
        <w:rPr>
          <w:rFonts w:ascii="Barlow Semi Condensed" w:cs="Barlow Semi Condensed" w:eastAsia="Barlow Semi Condensed" w:hAnsi="Barlow Semi Condensed"/>
          <w:sz w:val="24"/>
          <w:szCs w:val="24"/>
        </w:rPr>
        <w:t xml:space="preserve">  sgradevole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depositato il ……… · DOI ………</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Tracciamento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Destinatario</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Ondata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Inviato</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Risposta</w:t>
            </w:r>
          </w:p>
        </w:tc>
        <w:tc>
          <w:tcPr>
            <w:tcW w:type="dxa" w:w="156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0</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Archivio Flamigni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0</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0b</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Fondazione Aldo Moro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0</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10</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Zenodo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0</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1</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il Mulino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1</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2</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Chiarelettere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1</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3</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Carocci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1</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4</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Laterza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2</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5</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Bompiani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3</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6</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Einaudi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3</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7</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Feltrinelli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sospeso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8</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Bollati Boringhieri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via agente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9</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Astrolabio-Ubaldini</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escluso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11</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«Italia contemporanea»</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parallelo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r>
        <w:tc>
          <w:tcPr>
            <w:tcW w:type="dxa" w:w="1560"/>
          </w:tcPr>
          <w:p>
            <w:pPr>
              <w:spacing w:after="20" w:before="20"/>
              <w:jc w:val="both"/>
            </w:pPr>
            <w:r>
              <w:rPr>
                <w:rFonts w:ascii="Barlow Semi Condensed" w:cs="Barlow Semi Condensed" w:eastAsia="Barlow Semi Condensed" w:hAnsi="Barlow Semi Condensed"/>
                <w:sz w:val="20"/>
                <w:szCs w:val="20"/>
              </w:rPr>
              <w:t xml:space="preserve">12</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Edizione Nazionale Moro</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da valutare</w:t>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c>
          <w:tcPr>
            <w:tcW w:type="dxa" w:w="1560"/>
          </w:tcPr>
          <w:p>
            <w:pPr>
              <w:spacing w:after="20" w:before="20"/>
              <w:jc w:val="both"/>
            </w:pPr>
            <w:r>
              <w:rPr>
                <w:rFonts w:ascii="Barlow Semi Condensed" w:cs="Barlow Semi Condensed" w:eastAsia="Barlow Semi Condensed" w:hAnsi="Barlow Semi Condensed"/>
                <w:sz w:val="20"/>
                <w:szCs w:val="20"/>
              </w:rPr>
              <w:t xml:space="preserve"/>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manca ancora</w:t>
      </w:r>
    </w:p>
    <w:p>
      <w:pPr>
        <w:spacing w:after="120" w:line="276"/>
        <w:jc w:val="both"/>
      </w:pPr>
      <w:r>
        <w:rPr>
          <w:rFonts w:ascii="Barlow Semi Condensed" w:cs="Barlow Semi Condensed" w:eastAsia="Barlow Semi Condensed" w:hAnsi="Barlow Semi Condensed"/>
          <w:b/>
          <w:bCs/>
          <w:sz w:val="24"/>
          <w:szCs w:val="24"/>
        </w:rPr>
        <w:t xml:space="preserve">Tutte e sei le porte praticabili hanno il loro testo.</w:t>
      </w:r>
      <w:r>
        <w:rPr>
          <w:rFonts w:ascii="Barlow Semi Condensed" w:cs="Barlow Semi Condensed" w:eastAsia="Barlow Semi Condensed" w:hAnsi="Barlow Semi Condensed"/>
          <w:sz w:val="24"/>
          <w:szCs w:val="24"/>
        </w:rPr>
        <w:t xml:space="preserve"> Restano due cose,</w:t>
      </w:r>
    </w:p>
    <w:p>
      <w:pPr>
        <w:spacing w:after="120" w:line="276"/>
        <w:jc w:val="both"/>
      </w:pPr>
      <w:r>
        <w:rPr>
          <w:rFonts w:ascii="Barlow Semi Condensed" w:cs="Barlow Semi Condensed" w:eastAsia="Barlow Semi Condensed" w:hAnsi="Barlow Semi Condensed"/>
          <w:sz w:val="24"/>
          <w:szCs w:val="24"/>
        </w:rPr>
        <w:t xml:space="preserve">e nessuna delle due è una proposta da scrivere.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Il saggio</w:t>
      </w:r>
      <w:r>
        <w:rPr>
          <w:rFonts w:ascii="Barlow Semi Condensed" w:cs="Barlow Semi Condensed" w:eastAsia="Barlow Semi Condensed" w:hAnsi="Barlow Semi Condensed"/>
          <w:sz w:val="24"/>
          <w:szCs w:val="24"/>
        </w:rPr>
        <w:t xml:space="preserve">, che è il testo vero: la proposta a Bompiani non parte finché</w:t>
      </w:r>
    </w:p>
    <w:p>
      <w:pPr>
        <w:spacing w:after="120" w:line="276"/>
        <w:jc w:val="both"/>
      </w:pPr>
      <w:r>
        <w:rPr>
          <w:rFonts w:ascii="Barlow Semi Condensed" w:cs="Barlow Semi Condensed" w:eastAsia="Barlow Semi Condensed" w:hAnsi="Barlow Semi Condensed"/>
          <w:sz w:val="24"/>
          <w:szCs w:val="24"/>
        </w:rPr>
        <w:t xml:space="preserve">      non è scritto, e quella a Einaudi nemmeno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(eventuale)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Feltrinelli</w:t>
      </w:r>
      <w:r>
        <w:rPr>
          <w:rFonts w:ascii="Barlow Semi Condensed" w:cs="Barlow Semi Condensed" w:eastAsia="Barlow Semi Condensed" w:hAnsi="Barlow Semi Condensed"/>
          <w:sz w:val="24"/>
          <w:szCs w:val="24"/>
        </w:rPr>
        <w:t xml:space="preserve">, solo a canale riaperto, col conflitto</w:t>
      </w:r>
    </w:p>
    <w:p>
      <w:pPr>
        <w:spacing w:after="120" w:line="276"/>
        <w:jc w:val="both"/>
      </w:pPr>
      <w:r>
        <w:rPr>
          <w:rFonts w:ascii="Barlow Semi Condensed" w:cs="Barlow Semi Condensed" w:eastAsia="Barlow Semi Condensed" w:hAnsi="Barlow Semi Condensed"/>
          <w:sz w:val="24"/>
          <w:szCs w:val="24"/>
        </w:rPr>
        <w:t xml:space="preserve">      d'oggetto in apertura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Nota di quattro pagine</w:t>
      </w:r>
      <w:r>
        <w:rPr>
          <w:rFonts w:ascii="Barlow Semi Condensed" w:cs="Barlow Semi Condensed" w:eastAsia="Barlow Semi Condensed" w:hAnsi="Barlow Semi Condensed"/>
          <w:sz w:val="24"/>
          <w:szCs w:val="24"/>
        </w:rPr>
        <w:t xml:space="preserve"> per una rivista di storia contemporanea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Se arriva un rifiuto</w:t>
      </w:r>
    </w:p>
    <w:p>
      <w:pPr>
        <w:spacing w:after="120" w:line="276"/>
        <w:jc w:val="both"/>
      </w:pPr>
      <w:r>
        <w:rPr>
          <w:rFonts w:ascii="Barlow Semi Condensed" w:cs="Barlow Semi Condensed" w:eastAsia="Barlow Semi Condensed" w:hAnsi="Barlow Semi Condensed"/>
          <w:sz w:val="24"/>
          <w:szCs w:val="24"/>
        </w:rPr>
        <w:t xml:space="preserve">Non è un giudizio sul lavoro: quasi sempre è un giudizio sul catalogo di chi lo</w:t>
      </w:r>
    </w:p>
    <w:p>
      <w:pPr>
        <w:spacing w:after="120" w:line="276"/>
        <w:jc w:val="both"/>
      </w:pPr>
      <w:r>
        <w:rPr>
          <w:rFonts w:ascii="Barlow Semi Condensed" w:cs="Barlow Semi Condensed" w:eastAsia="Barlow Semi Condensed" w:hAnsi="Barlow Semi Condensed"/>
          <w:sz w:val="24"/>
          <w:szCs w:val="24"/>
        </w:rPr>
        <w:t xml:space="preserve">emette. Si registra nella tabella e basta.</w:t>
      </w:r>
    </w:p>
    <w:p>
      <w:pPr>
        <w:spacing w:after="120" w:line="276"/>
        <w:jc w:val="both"/>
      </w:pPr>
      <w:r>
        <w:rPr>
          <w:rFonts w:ascii="Barlow Semi Condensed" w:cs="Barlow Semi Condensed" w:eastAsia="Barlow Semi Condensed" w:hAnsi="Barlow Semi Condensed"/>
          <w:b/>
          <w:bCs/>
          <w:sz w:val="24"/>
          <w:szCs w:val="24"/>
        </w:rPr>
        <w:t xml:space="preserve">Non si chiede il motivo.</w:t>
      </w:r>
      <w:r>
        <w:rPr>
          <w:rFonts w:ascii="Barlow Semi Condensed" w:cs="Barlow Semi Condensed" w:eastAsia="Barlow Semi Condensed" w:hAnsi="Barlow Semi Condensed"/>
          <w:sz w:val="24"/>
          <w:szCs w:val="24"/>
        </w:rPr>
        <w:t xml:space="preserve"> Non si manda una versione rivista a chi non l'ha</w:t>
      </w:r>
    </w:p>
    <w:p>
      <w:pPr>
        <w:spacing w:after="120" w:line="276"/>
        <w:jc w:val="both"/>
      </w:pPr>
      <w:r>
        <w:rPr>
          <w:rFonts w:ascii="Barlow Semi Condensed" w:cs="Barlow Semi Condensed" w:eastAsia="Barlow Semi Condensed" w:hAnsi="Barlow Semi Condensed"/>
          <w:sz w:val="24"/>
          <w:szCs w:val="24"/>
        </w:rPr>
        <w:t xml:space="preserve">chiesta. Non si rispedisce la stessa proposta mesi dopo sperando in un lettore</w:t>
      </w:r>
    </w:p>
    <w:p>
      <w:pPr>
        <w:spacing w:after="120" w:line="276"/>
        <w:jc w:val="both"/>
      </w:pPr>
      <w:r>
        <w:rPr>
          <w:rFonts w:ascii="Barlow Semi Condensed" w:cs="Barlow Semi Condensed" w:eastAsia="Barlow Semi Condensed" w:hAnsi="Barlow Semi Condensed"/>
          <w:sz w:val="24"/>
          <w:szCs w:val="24"/>
        </w:rPr>
        <w:t xml:space="preserve">diverso: dove vige la regola dei dodici mesi, violarla chiude la porta anche per</w:t>
      </w:r>
    </w:p>
    <w:p>
      <w:pPr>
        <w:spacing w:after="120" w:line="276"/>
        <w:jc w:val="both"/>
      </w:pPr>
      <w:r>
        <w:rPr>
          <w:rFonts w:ascii="Barlow Semi Condensed" w:cs="Barlow Semi Condensed" w:eastAsia="Barlow Semi Condensed" w:hAnsi="Barlow Semi Condensed"/>
          <w:sz w:val="24"/>
          <w:szCs w:val="24"/>
        </w:rPr>
        <w:t xml:space="preserve">la volta buona.</w:t>
      </w:r>
    </w:p>
    <w:p>
      <w:pPr>
        <w:pStyle w:val="Heading2"/>
        <w:spacing w:after="100" w:before="200"/>
      </w:pPr>
      <w:r>
        <w:rPr>
          <w:rFonts w:ascii="Barlow Semi Condensed" w:cs="Barlow Semi Condensed" w:eastAsia="Barlow Semi Condensed" w:hAnsi="Barlow Semi Condensed"/>
          <w:sz w:val="24"/>
          <w:szCs w:val="24"/>
        </w:rPr>
        <w:t xml:space="preserve">Se arriva un interesse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Quale collana</w:t>
      </w:r>
      <w:r>
        <w:rPr>
          <w:rFonts w:ascii="Barlow Semi Condensed" w:cs="Barlow Semi Condensed" w:eastAsia="Barlow Semi Condensed" w:hAnsi="Barlow Semi Condensed"/>
          <w:sz w:val="24"/>
          <w:szCs w:val="24"/>
        </w:rPr>
        <w:t xml:space="preserve"> — determina lunghezza, tono e lettori.</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Quali tempi</w:t>
      </w:r>
      <w:r>
        <w:rPr>
          <w:rFonts w:ascii="Barlow Semi Condensed" w:cs="Barlow Semi Condensed" w:eastAsia="Barlow Semi Condensed" w:hAnsi="Barlow Semi Condensed"/>
          <w:sz w:val="24"/>
          <w:szCs w:val="24"/>
        </w:rPr>
        <w:t xml:space="preserve"> — la stesura c'è, l'estensione no, e una scadenza irreale è il modo più</w:t>
      </w:r>
    </w:p>
    <w:p>
      <w:pPr>
        <w:spacing w:after="120" w:line="276"/>
        <w:jc w:val="both"/>
      </w:pPr>
      <w:r>
        <w:rPr>
          <w:rFonts w:ascii="Barlow Semi Condensed" w:cs="Barlow Semi Condensed" w:eastAsia="Barlow Semi Condensed" w:hAnsi="Barlow Semi Condensed"/>
          <w:sz w:val="24"/>
          <w:szCs w:val="24"/>
        </w:rPr>
        <w:t xml:space="preserve">   comune di rovinare un buon progetto.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Avvertire gli altri in attesa</w:t>
      </w:r>
      <w:r>
        <w:rPr>
          <w:rFonts w:ascii="Barlow Semi Condensed" w:cs="Barlow Semi Condensed" w:eastAsia="Barlow Semi Condensed" w:hAnsi="Barlow Semi Condensed"/>
          <w:sz w:val="24"/>
          <w:szCs w:val="24"/>
        </w:rPr>
        <w:t xml:space="preserve"> — costa tre righe e vale una reputazione.</w:t>
      </w:r>
    </w:p>
    <w:p>
      <w:pPr>
        <w:spacing w:after="40"/>
        <w:ind w:left="360"/>
        <w:jc w:val="both"/>
      </w:pPr>
      <w:r>
        <w:rPr>
          <w:rFonts w:ascii="Barlow Semi Condensed" w:cs="Barlow Semi Condensed" w:eastAsia="Barlow Semi Condensed" w:hAnsi="Barlow Semi Condensed"/>
          <w:sz w:val="24"/>
          <w:szCs w:val="24"/>
        </w:rPr>
        <w:t xml:space="preserve">4. **Verificare che la dichiarazione sull'intelligenza artificiale resti in</w:t>
      </w:r>
    </w:p>
    <w:p>
      <w:pPr>
        <w:spacing w:after="120" w:line="276"/>
        <w:jc w:val="both"/>
      </w:pPr>
      <w:r>
        <w:rPr>
          <w:rFonts w:ascii="Barlow Semi Condensed" w:cs="Barlow Semi Condensed" w:eastAsia="Barlow Semi Condensed" w:hAnsi="Barlow Semi Condensed"/>
          <w:sz w:val="24"/>
          <w:szCs w:val="24"/>
        </w:rPr>
        <w:t xml:space="preserve">   apertura**, in qualunque forma il libro prenda. Se un editore chiedesse di</w:t>
      </w:r>
    </w:p>
    <w:p>
      <w:pPr>
        <w:spacing w:after="120" w:line="276"/>
        <w:jc w:val="both"/>
      </w:pPr>
      <w:r>
        <w:rPr>
          <w:rFonts w:ascii="Barlow Semi Condensed" w:cs="Barlow Semi Condensed" w:eastAsia="Barlow Semi Condensed" w:hAnsi="Barlow Semi Condensed"/>
          <w:sz w:val="24"/>
          <w:szCs w:val="24"/>
        </w:rPr>
        <w:t xml:space="preserve">   spostarla in fondo o di attenuarla, non è una richiesta redazionale: è la</w:t>
      </w:r>
    </w:p>
    <w:p>
      <w:pPr>
        <w:spacing w:after="120" w:line="276"/>
        <w:jc w:val="both"/>
      </w:pPr>
      <w:r>
        <w:rPr>
          <w:rFonts w:ascii="Barlow Semi Condensed" w:cs="Barlow Semi Condensed" w:eastAsia="Barlow Semi Condensed" w:hAnsi="Barlow Semi Condensed"/>
          <w:sz w:val="24"/>
          <w:szCs w:val="24"/>
        </w:rPr>
        <w:t xml:space="preserve">   richiesta di pubblicare un altro libro.</w:t>
      </w:r>
    </w:p>
    <w:p>
      <w:pPr>
        <w:pStyle w:val="Heading3"/>
        <w:spacing w:after="80" w:before="240"/>
      </w:pPr>
      <w:r>
        <w:rPr>
          <w:rFonts w:ascii="Barlow Semi Condensed" w:cs="Barlow Semi Condensed" w:eastAsia="Barlow Semi Condensed" w:hAnsi="Barlow Semi Condensed"/>
          <w:sz w:val="24"/>
          <w:szCs w:val="24"/>
        </w:rPr>
        <w:t xml:space="preserve">Apparato grafico — Appendici · viii. La checklist di invio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IV.viii: 2.419 parole in 9 sezioni; la più ampia è §5 Le quattro ondate, con 1.225.</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IV.viii: 65 paragrafi in 9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ix. Il curriculum, modello</w:t>
      </w:r>
    </w:p>
    <w:p>
      <w:pPr>
        <w:pStyle w:val="Heading1"/>
        <w:spacing w:after="120" w:before="240"/>
      </w:pPr>
      <w:r>
        <w:rPr>
          <w:rFonts w:ascii="Barlow Semi Condensed" w:cs="Barlow Semi Condensed" w:eastAsia="Barlow Semi Condensed" w:hAnsi="Barlow Semi Condensed"/>
          <w:sz w:val="24"/>
          <w:szCs w:val="24"/>
        </w:rPr>
        <w:t xml:space="preserve">Curriculum vitae — modello da compilare</w:t>
      </w:r>
    </w:p>
    <w:p>
      <w:pPr>
        <w:spacing w:after="120" w:line="276"/>
        <w:jc w:val="both"/>
      </w:pPr>
      <w:r>
        <w:rPr>
          <w:rFonts w:ascii="Barlow Semi Condensed" w:cs="Barlow Semi Condensed" w:eastAsia="Barlow Semi Condensed" w:hAnsi="Barlow Semi Condensed"/>
          <w:sz w:val="24"/>
          <w:szCs w:val="24"/>
        </w:rPr>
        <w:t xml:space="preserve">*Einaudi lo richiede esplicitamente in allegato, e chiede che i dati anagrafici,</w:t>
      </w:r>
    </w:p>
    <w:p>
      <w:pPr>
        <w:spacing w:after="120" w:line="276"/>
        <w:jc w:val="both"/>
      </w:pPr>
      <w:r>
        <w:rPr>
          <w:rFonts w:ascii="Barlow Semi Condensed" w:cs="Barlow Semi Condensed" w:eastAsia="Barlow Semi Condensed" w:hAnsi="Barlow Semi Condensed"/>
          <w:sz w:val="24"/>
          <w:szCs w:val="24"/>
        </w:rPr>
        <w:t xml:space="preserve">la posta elettronica e il telefono siano ripetuti </w:t>
      </w:r>
      <w:r>
        <w:rPr>
          <w:rFonts w:ascii="Barlow Semi Condensed" w:cs="Barlow Semi Condensed" w:eastAsia="Barlow Semi Condensed" w:hAnsi="Barlow Semi Condensed"/>
          <w:b/>
          <w:bCs/>
          <w:sz w:val="24"/>
          <w:szCs w:val="24"/>
        </w:rPr>
        <w:t xml:space="preserve">anche dentro il documento</w:t>
      </w:r>
    </w:p>
    <w:p>
      <w:pPr>
        <w:spacing w:after="120" w:line="276"/>
        <w:jc w:val="both"/>
      </w:pPr>
      <w:r>
        <w:rPr>
          <w:rFonts w:ascii="Barlow Semi Condensed" w:cs="Barlow Semi Condensed" w:eastAsia="Barlow Semi Condensed" w:hAnsi="Barlow Semi Condensed"/>
          <w:sz w:val="24"/>
          <w:szCs w:val="24"/>
        </w:rPr>
        <w:t xml:space="preserve">dell'opera. Laterza e il Mulino chiedono una biografia più breve, che si ricava</w:t>
      </w:r>
    </w:p>
    <w:p>
      <w:pPr>
        <w:spacing w:after="120" w:line="276"/>
        <w:jc w:val="both"/>
      </w:pPr>
      <w:r>
        <w:rPr>
          <w:rFonts w:ascii="Barlow Semi Condensed" w:cs="Barlow Semi Condensed" w:eastAsia="Barlow Semi Condensed" w:hAnsi="Barlow Semi Condensed"/>
          <w:sz w:val="24"/>
          <w:szCs w:val="24"/>
        </w:rPr>
        <w:t xml:space="preserve">tagliando questo. Le parentesi quadre sono i punti da compilare: vanno tolte.*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[Nome e cognome]</w:t>
      </w:r>
    </w:p>
    <w:p>
      <w:pPr>
        <w:spacing w:after="120" w:line="276"/>
        <w:jc w:val="both"/>
      </w:pPr>
      <w:r>
        <w:rPr>
          <w:rFonts w:ascii="Barlow Semi Condensed" w:cs="Barlow Semi Condensed" w:eastAsia="Barlow Semi Condensed" w:hAnsi="Barlow Semi Condensed"/>
          <w:sz w:val="24"/>
          <w:szCs w:val="24"/>
        </w:rPr>
        <w:t xml:space="preserve">[Indirizzo] · [Città, CAP] · [Telefono] · [Posta elettronica]</w:t>
      </w:r>
    </w:p>
    <w:p>
      <w:pPr>
        <w:spacing w:after="120" w:line="276"/>
        <w:jc w:val="both"/>
      </w:pPr>
      <w:r>
        <w:rPr>
          <w:rFonts w:ascii="Barlow Semi Condensed" w:cs="Barlow Semi Condensed" w:eastAsia="Barlow Semi Condensed" w:hAnsi="Barlow Semi Condensed"/>
          <w:sz w:val="24"/>
          <w:szCs w:val="24"/>
        </w:rPr>
        <w:t xml:space="preserve">[Data e luogo di nascita]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Profilo in cinque righe</w:t>
      </w:r>
    </w:p>
    <w:p>
      <w:pPr>
        <w:spacing w:after="120" w:line="276"/>
        <w:jc w:val="both"/>
      </w:pPr>
      <w:r>
        <w:rPr>
          <w:rFonts w:ascii="Barlow Semi Condensed" w:cs="Barlow Semi Condensed" w:eastAsia="Barlow Semi Condensed" w:hAnsi="Barlow Semi Condensed"/>
          <w:sz w:val="24"/>
          <w:szCs w:val="24"/>
        </w:rPr>
        <w:t xml:space="preserve">*(È la parte che viene letta davvero. Va scritta per ultima e va tenuta a cinque</w:t>
      </w:r>
    </w:p>
    <w:p>
      <w:pPr>
        <w:spacing w:after="120" w:line="276"/>
        <w:jc w:val="both"/>
      </w:pPr>
      <w:r>
        <w:rPr>
          <w:rFonts w:ascii="Barlow Semi Condensed" w:cs="Barlow Semi Condensed" w:eastAsia="Barlow Semi Condensed" w:hAnsi="Barlow Semi Condensed"/>
          <w:sz w:val="24"/>
          <w:szCs w:val="24"/>
        </w:rPr>
        <w:t xml:space="preserve">righe. Deve rispondere a una sola domanda: perché questa persona e non un'altra</w:t>
      </w:r>
    </w:p>
    <w:p>
      <w:pPr>
        <w:spacing w:after="120" w:line="276"/>
        <w:jc w:val="both"/>
      </w:pPr>
      <w:r>
        <w:rPr>
          <w:rFonts w:ascii="Barlow Semi Condensed" w:cs="Barlow Semi Condensed" w:eastAsia="Barlow Semi Condensed" w:hAnsi="Barlow Semi Condensed"/>
          <w:sz w:val="24"/>
          <w:szCs w:val="24"/>
        </w:rPr>
        <w:t xml:space="preserve">è quella che poteva fare questo libro.)*</w:t>
      </w:r>
    </w:p>
    <w:p>
      <w:pPr>
        <w:spacing w:after="120" w:line="276"/>
        <w:jc w:val="both"/>
      </w:pPr>
      <w:r>
        <w:rPr>
          <w:rFonts w:ascii="Barlow Semi Condensed" w:cs="Barlow Semi Condensed" w:eastAsia="Barlow Semi Condensed" w:hAnsi="Barlow Semi Condensed"/>
          <w:sz w:val="24"/>
          <w:szCs w:val="24"/>
        </w:rPr>
        <w:t xml:space="preserve">[Cinque righe.]</w:t>
      </w:r>
    </w:p>
    <w:p>
      <w:pPr>
        <w:pStyle w:val="Heading2"/>
        <w:spacing w:after="100" w:before="200"/>
      </w:pPr>
      <w:r>
        <w:rPr>
          <w:rFonts w:ascii="Barlow Semi Condensed" w:cs="Barlow Semi Condensed" w:eastAsia="Barlow Semi Condensed" w:hAnsi="Barlow Semi Condensed"/>
          <w:sz w:val="24"/>
          <w:szCs w:val="24"/>
        </w:rPr>
        <w:t xml:space="preserve">Formazione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[Titolo di studio] — [Istituzione], [anno]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[Eventuali altri titoli, corsi, specializzazioni]</w:t>
      </w:r>
    </w:p>
    <w:p>
      <w:pPr>
        <w:pStyle w:val="Heading2"/>
        <w:spacing w:after="100" w:before="200"/>
      </w:pPr>
      <w:r>
        <w:rPr>
          <w:rFonts w:ascii="Barlow Semi Condensed" w:cs="Barlow Semi Condensed" w:eastAsia="Barlow Semi Condensed" w:hAnsi="Barlow Semi Condensed"/>
          <w:sz w:val="24"/>
          <w:szCs w:val="24"/>
        </w:rPr>
        <w:t xml:space="preserve">Attività professionale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[Anno-anno] — [Ruolo], [Ente o azienda]. [Una riga su che cosa comportava.]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[Anno-anno] — [Ruolo], [Ente o azienda].</w:t>
      </w:r>
    </w:p>
    <w:p>
      <w:pPr>
        <w:spacing w:after="120" w:line="276"/>
        <w:jc w:val="both"/>
      </w:pPr>
      <w:r>
        <w:rPr>
          <w:rFonts w:ascii="Barlow Semi Condensed" w:cs="Barlow Semi Condensed" w:eastAsia="Barlow Semi Condensed" w:hAnsi="Barlow Semi Condensed"/>
          <w:sz w:val="24"/>
          <w:szCs w:val="24"/>
        </w:rPr>
        <w:t xml:space="preserve">*(Se l'attività professionale non ha nulla a che vedere con la storia</w:t>
      </w:r>
    </w:p>
    <w:p>
      <w:pPr>
        <w:spacing w:after="120" w:line="276"/>
        <w:jc w:val="both"/>
      </w:pPr>
      <w:r>
        <w:rPr>
          <w:rFonts w:ascii="Barlow Semi Condensed" w:cs="Barlow Semi Condensed" w:eastAsia="Barlow Semi Condensed" w:hAnsi="Barlow Semi Condensed"/>
          <w:sz w:val="24"/>
          <w:szCs w:val="24"/>
        </w:rPr>
        <w:t xml:space="preserve">contemporanea, non è un problema e non va nascosta. Va però detto in una riga che</w:t>
      </w:r>
    </w:p>
    <w:p>
      <w:pPr>
        <w:spacing w:after="120" w:line="276"/>
        <w:jc w:val="both"/>
      </w:pPr>
      <w:r>
        <w:rPr>
          <w:rFonts w:ascii="Barlow Semi Condensed" w:cs="Barlow Semi Condensed" w:eastAsia="Barlow Semi Condensed" w:hAnsi="Barlow Semi Condensed"/>
          <w:sz w:val="24"/>
          <w:szCs w:val="24"/>
        </w:rPr>
        <w:t xml:space="preserve">cosa ha portato a questo lavoro: la competenza tecnica, un interesse di lunga</w:t>
      </w:r>
    </w:p>
    <w:p>
      <w:pPr>
        <w:spacing w:after="120" w:line="276"/>
        <w:jc w:val="both"/>
      </w:pPr>
      <w:r>
        <w:rPr>
          <w:rFonts w:ascii="Barlow Semi Condensed" w:cs="Barlow Semi Condensed" w:eastAsia="Barlow Semi Condensed" w:hAnsi="Barlow Semi Condensed"/>
          <w:sz w:val="24"/>
          <w:szCs w:val="24"/>
        </w:rPr>
        <w:t xml:space="preserve">data, una ricerca cominciata per altre ragioni. Un editore preferisce un percorso</w:t>
      </w:r>
    </w:p>
    <w:p>
      <w:pPr>
        <w:spacing w:after="120" w:line="276"/>
        <w:jc w:val="both"/>
      </w:pPr>
      <w:r>
        <w:rPr>
          <w:rFonts w:ascii="Barlow Semi Condensed" w:cs="Barlow Semi Condensed" w:eastAsia="Barlow Semi Condensed" w:hAnsi="Barlow Semi Condensed"/>
          <w:sz w:val="24"/>
          <w:szCs w:val="24"/>
        </w:rPr>
        <w:t xml:space="preserve">dichiarato a un percorso taciuto.)*</w:t>
      </w:r>
    </w:p>
    <w:p>
      <w:pPr>
        <w:pStyle w:val="Heading2"/>
        <w:spacing w:after="100" w:before="200"/>
      </w:pPr>
      <w:r>
        <w:rPr>
          <w:rFonts w:ascii="Barlow Semi Condensed" w:cs="Barlow Semi Condensed" w:eastAsia="Barlow Semi Condensed" w:hAnsi="Barlow Semi Condensed"/>
          <w:sz w:val="24"/>
          <w:szCs w:val="24"/>
        </w:rPr>
        <w:t xml:space="preserve">Pubblicazioni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[Elenco, se ce ne sono, in ordine cronologico inverso.]</w:t>
      </w:r>
    </w:p>
    <w:p>
      <w:pPr>
        <w:spacing w:after="120" w:line="276"/>
        <w:jc w:val="both"/>
      </w:pPr>
      <w:r>
        <w:rPr>
          <w:rFonts w:ascii="Barlow Semi Condensed" w:cs="Barlow Semi Condensed" w:eastAsia="Barlow Semi Condensed" w:hAnsi="Barlow Semi Condensed"/>
          <w:sz w:val="24"/>
          <w:szCs w:val="24"/>
        </w:rPr>
        <w:t xml:space="preserve">*(Se non ce ne sono, si scriva questa riga e basta: «Questa è la mia prima</w:t>
      </w:r>
    </w:p>
    <w:p>
      <w:pPr>
        <w:spacing w:after="120" w:line="276"/>
        <w:jc w:val="both"/>
      </w:pPr>
      <w:r>
        <w:rPr>
          <w:rFonts w:ascii="Barlow Semi Condensed" w:cs="Barlow Semi Condensed" w:eastAsia="Barlow Semi Condensed" w:hAnsi="Barlow Semi Condensed"/>
          <w:sz w:val="24"/>
          <w:szCs w:val="24"/>
        </w:rPr>
        <w:t xml:space="preserve">proposta editoriale.» È preferibile all'omissione, e nessun editore serio la</w:t>
      </w:r>
    </w:p>
    <w:p>
      <w:pPr>
        <w:spacing w:after="120" w:line="276"/>
        <w:jc w:val="both"/>
      </w:pPr>
      <w:r>
        <w:rPr>
          <w:rFonts w:ascii="Barlow Semi Condensed" w:cs="Barlow Semi Condensed" w:eastAsia="Barlow Semi Condensed" w:hAnsi="Barlow Semi Condensed"/>
          <w:sz w:val="24"/>
          <w:szCs w:val="24"/>
        </w:rPr>
        <w:t xml:space="preserve">considera un difetto in sé.)*</w:t>
      </w:r>
    </w:p>
    <w:p>
      <w:pPr>
        <w:pStyle w:val="Heading2"/>
        <w:spacing w:after="100" w:before="200"/>
      </w:pPr>
      <w:r>
        <w:rPr>
          <w:rFonts w:ascii="Barlow Semi Condensed" w:cs="Barlow Semi Condensed" w:eastAsia="Barlow Semi Condensed" w:hAnsi="Barlow Semi Condensed"/>
          <w:sz w:val="24"/>
          <w:szCs w:val="24"/>
        </w:rPr>
        <w:t xml:space="preserve">Il lavoro da cui nasce la proposta</w:t>
      </w:r>
    </w:p>
    <w:p>
      <w:pPr>
        <w:spacing w:after="120" w:line="276"/>
        <w:jc w:val="both"/>
      </w:pPr>
      <w:r>
        <w:rPr>
          <w:rFonts w:ascii="Barlow Semi Condensed" w:cs="Barlow Semi Condensed" w:eastAsia="Barlow Semi Condensed" w:hAnsi="Barlow Semi Condensed"/>
          <w:sz w:val="24"/>
          <w:szCs w:val="24"/>
        </w:rPr>
        <w:t xml:space="preserve">Nel 2026 ho diretto la costruzione di un corpus di ricerca storica sul caso Moro</w:t>
      </w:r>
    </w:p>
    <w:p>
      <w:pPr>
        <w:spacing w:after="120" w:line="276"/>
        <w:jc w:val="both"/>
      </w:pPr>
      <w:r>
        <w:rPr>
          <w:rFonts w:ascii="Barlow Semi Condensed" w:cs="Barlow Semi Condensed" w:eastAsia="Barlow Semi Condensed" w:hAnsi="Barlow Semi Condensed"/>
          <w:sz w:val="24"/>
          <w:szCs w:val="24"/>
        </w:rPr>
        <w:t xml:space="preserve">e sul suo contesto internazionale, prodotto con sistemi di intelligenza</w:t>
      </w:r>
    </w:p>
    <w:p>
      <w:pPr>
        <w:spacing w:after="120" w:line="276"/>
        <w:jc w:val="both"/>
      </w:pPr>
      <w:r>
        <w:rPr>
          <w:rFonts w:ascii="Barlow Semi Condensed" w:cs="Barlow Semi Condensed" w:eastAsia="Barlow Semi Condensed" w:hAnsi="Barlow Semi Condensed"/>
          <w:sz w:val="24"/>
          <w:szCs w:val="24"/>
        </w:rPr>
        <w:t xml:space="preserve">artificiale sotto una disciplina metodologica scritta prima di ciascun lotto di</w:t>
      </w:r>
    </w:p>
    <w:p>
      <w:pPr>
        <w:spacing w:after="120" w:line="276"/>
        <w:jc w:val="both"/>
      </w:pPr>
      <w:r>
        <w:rPr>
          <w:rFonts w:ascii="Barlow Semi Condensed" w:cs="Barlow Semi Condensed" w:eastAsia="Barlow Semi Condensed" w:hAnsi="Barlow Semi Condensed"/>
          <w:sz w:val="24"/>
          <w:szCs w:val="24"/>
        </w:rPr>
        <w:t xml:space="preserve">lavoro e riscritta ogni volta che un lotto la incrinava. Il corpus consta di</w:t>
      </w:r>
    </w:p>
    <w:p>
      <w:pPr>
        <w:spacing w:after="120" w:line="276"/>
        <w:jc w:val="both"/>
      </w:pPr>
      <w:r>
        <w:rPr>
          <w:rFonts w:ascii="Barlow Semi Condensed" w:cs="Barlow Semi Condensed" w:eastAsia="Barlow Semi Condensed" w:hAnsi="Barlow Semi Condensed"/>
          <w:b/>
          <w:bCs/>
          <w:sz w:val="24"/>
          <w:szCs w:val="24"/>
        </w:rPr>
        <w:t xml:space="preserve">7.699 blocchi mirati di ricerca</w:t>
      </w:r>
      <w:r>
        <w:rPr>
          <w:rFonts w:ascii="Barlow Semi Condensed" w:cs="Barlow Semi Condensed" w:eastAsia="Barlow Semi Condensed" w:hAnsi="Barlow Semi Condensed"/>
          <w:sz w:val="24"/>
          <w:szCs w:val="24"/>
        </w:rPr>
        <w:t xml:space="preserve"> in cinque opere e, a parte e non in somma,</w:t>
      </w:r>
    </w:p>
    <w:p>
      <w:pPr>
        <w:spacing w:after="120" w:line="276"/>
        <w:jc w:val="both"/>
      </w:pPr>
      <w:r>
        <w:rPr>
          <w:rFonts w:ascii="Barlow Semi Condensed" w:cs="Barlow Semi Condensed" w:eastAsia="Barlow Semi Condensed" w:hAnsi="Barlow Semi Condensed"/>
          <w:sz w:val="24"/>
          <w:szCs w:val="24"/>
        </w:rPr>
        <w:t xml:space="preserve">di </w:t>
      </w:r>
      <w:r>
        <w:rPr>
          <w:rFonts w:ascii="Barlow Semi Condensed" w:cs="Barlow Semi Condensed" w:eastAsia="Barlow Semi Condensed" w:hAnsi="Barlow Semi Condensed"/>
          <w:b/>
          <w:bCs/>
          <w:sz w:val="24"/>
          <w:szCs w:val="24"/>
        </w:rPr>
        <w:t xml:space="preserve">538 blocchi certificati di verifica</w:t>
      </w:r>
      <w:r>
        <w:rPr>
          <w:rFonts w:ascii="Barlow Semi Condensed" w:cs="Barlow Semi Condensed" w:eastAsia="Barlow Semi Condensed" w:hAnsi="Barlow Semi Condensed"/>
          <w:sz w:val="24"/>
          <w:szCs w:val="24"/>
        </w:rPr>
        <w:t xml:space="preserve"> in otto tranche nel solo Libro</w:t>
      </w:r>
    </w:p>
    <w:p>
      <w:pPr>
        <w:spacing w:after="120" w:line="276"/>
        <w:jc w:val="both"/>
      </w:pPr>
      <w:r>
        <w:rPr>
          <w:rFonts w:ascii="Barlow Semi Condensed" w:cs="Barlow Semi Condensed" w:eastAsia="Barlow Semi Condensed" w:hAnsi="Barlow Semi Condensed"/>
          <w:sz w:val="24"/>
          <w:szCs w:val="24"/>
        </w:rPr>
        <w:t xml:space="preserve">quarto,</w:t>
      </w:r>
    </w:p>
    <w:p>
      <w:pPr>
        <w:spacing w:after="120" w:line="276"/>
        <w:jc w:val="both"/>
      </w:pPr>
      <w:r>
        <w:rPr>
          <w:rFonts w:ascii="Barlow Semi Condensed" w:cs="Barlow Semi Condensed" w:eastAsia="Barlow Semi Condensed" w:hAnsi="Barlow Semi Condensed"/>
          <w:sz w:val="24"/>
          <w:szCs w:val="24"/>
        </w:rPr>
        <w:t xml:space="preserve">rilegati in un volume integrale di </w:t>
      </w:r>
      <w:r>
        <w:rPr>
          <w:rFonts w:ascii="Barlow Semi Condensed" w:cs="Barlow Semi Condensed" w:eastAsia="Barlow Semi Condensed" w:hAnsi="Barlow Semi Condensed"/>
          <w:b/>
          <w:bCs/>
          <w:sz w:val="24"/>
          <w:szCs w:val="24"/>
        </w:rPr>
        <w:t xml:space="preserve">1.762 pagine</w:t>
      </w:r>
      <w:r>
        <w:rPr>
          <w:rFonts w:ascii="Barlow Semi Condensed" w:cs="Barlow Semi Condensed" w:eastAsia="Barlow Semi Condensed" w:hAnsi="Barlow Semi Condensed"/>
          <w:sz w:val="24"/>
          <w:szCs w:val="24"/>
        </w:rPr>
        <w:t xml:space="preserve"> con </w:t>
      </w:r>
      <w:r>
        <w:rPr>
          <w:rFonts w:ascii="Barlow Semi Condensed" w:cs="Barlow Semi Condensed" w:eastAsia="Barlow Semi Condensed" w:hAnsi="Barlow Semi Condensed"/>
          <w:b/>
          <w:bCs/>
          <w:sz w:val="24"/>
          <w:szCs w:val="24"/>
        </w:rPr>
        <w:t xml:space="preserve">685</w:t>
      </w:r>
      <w:r>
        <w:rPr>
          <w:rFonts w:ascii="Barlow Semi Condensed" w:cs="Barlow Semi Condensed" w:eastAsia="Barlow Semi Condensed" w:hAnsi="Barlow Semi Condensed"/>
          <w:sz w:val="24"/>
          <w:szCs w:val="24"/>
        </w:rPr>
        <w:t xml:space="preserve"> riferimenti</w:t>
      </w:r>
    </w:p>
    <w:p>
      <w:pPr>
        <w:spacing w:after="120" w:line="276"/>
        <w:jc w:val="both"/>
      </w:pPr>
      <w:r>
        <w:rPr>
          <w:rFonts w:ascii="Barlow Semi Condensed" w:cs="Barlow Semi Condensed" w:eastAsia="Barlow Semi Condensed" w:hAnsi="Barlow Semi Condensed"/>
          <w:sz w:val="24"/>
          <w:szCs w:val="24"/>
        </w:rPr>
        <w:t xml:space="preserve">bibliografici distinti, ed è depositato in archivio pubblico ad accesso libero.</w:t>
      </w:r>
    </w:p>
    <w:p>
      <w:pPr>
        <w:spacing w:after="120" w:line="276"/>
        <w:jc w:val="both"/>
      </w:pPr>
      <w:r>
        <w:rPr>
          <w:rFonts w:ascii="Barlow Semi Condensed" w:cs="Barlow Semi Condensed" w:eastAsia="Barlow Semi Condensed" w:hAnsi="Barlow Semi Condensed"/>
          <w:sz w:val="24"/>
          <w:szCs w:val="24"/>
        </w:rPr>
        <w:t xml:space="preserve">Il corpus non propone una tesi sul 1978 e non indica responsabili: produce</w:t>
      </w:r>
    </w:p>
    <w:p>
      <w:pPr>
        <w:spacing w:after="120" w:line="276"/>
        <w:jc w:val="both"/>
      </w:pPr>
      <w:r>
        <w:rPr>
          <w:rFonts w:ascii="Barlow Semi Condensed" w:cs="Barlow Semi Condensed" w:eastAsia="Barlow Semi Condensed" w:hAnsi="Barlow Semi Condensed"/>
          <w:sz w:val="24"/>
          <w:szCs w:val="24"/>
        </w:rPr>
        <w:t xml:space="preserve">domande d'archivio con l'indicazione della sede in cui andrebbero poste. Fa</w:t>
      </w:r>
    </w:p>
    <w:p>
      <w:pPr>
        <w:spacing w:after="120" w:line="276"/>
        <w:jc w:val="both"/>
      </w:pPr>
      <w:r>
        <w:rPr>
          <w:rFonts w:ascii="Barlow Semi Condensed" w:cs="Barlow Semi Condensed" w:eastAsia="Barlow Semi Condensed" w:hAnsi="Barlow Semi Condensed"/>
          <w:sz w:val="24"/>
          <w:szCs w:val="24"/>
        </w:rPr>
        <w:t xml:space="preserve">eccezione, dichiarata in copertina e limitata a un solo Libro, il dossier di cui</w:t>
      </w:r>
    </w:p>
    <w:p>
      <w:pPr>
        <w:spacing w:after="120" w:line="276"/>
        <w:jc w:val="both"/>
      </w:pPr>
      <w:r>
        <w:rPr>
          <w:rFonts w:ascii="Barlow Semi Condensed" w:cs="Barlow Semi Condensed" w:eastAsia="Barlow Semi Condensed" w:hAnsi="Barlow Semi Condensed"/>
          <w:sz w:val="24"/>
          <w:szCs w:val="24"/>
        </w:rPr>
        <w:t xml:space="preserve">sono autore: nella seconda metà ordina secondo la plausibilità del</w:t>
      </w:r>
    </w:p>
    <w:p>
      <w:pPr>
        <w:spacing w:after="120" w:line="276"/>
        <w:jc w:val="both"/>
      </w:pPr>
      <w:r>
        <w:rPr>
          <w:rFonts w:ascii="Barlow Semi Condensed" w:cs="Barlow Semi Condensed" w:eastAsia="Barlow Semi Condensed" w:hAnsi="Barlow Semi Condensed"/>
          <w:sz w:val="24"/>
          <w:szCs w:val="24"/>
        </w:rPr>
        <w:t xml:space="preserve">coinvolgimento — per categorie di soggetti, non per nomi individuali — con la</w:t>
      </w:r>
    </w:p>
    <w:p>
      <w:pPr>
        <w:spacing w:after="120" w:line="276"/>
        <w:jc w:val="both"/>
      </w:pPr>
      <w:r>
        <w:rPr>
          <w:rFonts w:ascii="Barlow Semi Condensed" w:cs="Barlow Semi Condensed" w:eastAsia="Barlow Semi Condensed" w:hAnsi="Barlow Semi Condensed"/>
          <w:sz w:val="24"/>
          <w:szCs w:val="24"/>
        </w:rPr>
        <w:t xml:space="preserve">premessa garantista che distingue la plausibilità dalla colpevolezza. Ordinare</w:t>
      </w:r>
    </w:p>
    <w:p>
      <w:pPr>
        <w:spacing w:after="120" w:line="276"/>
        <w:jc w:val="both"/>
      </w:pPr>
      <w:r>
        <w:rPr>
          <w:rFonts w:ascii="Barlow Semi Condensed" w:cs="Barlow Semi Condensed" w:eastAsia="Barlow Semi Condensed" w:hAnsi="Barlow Semi Condensed"/>
          <w:sz w:val="24"/>
          <w:szCs w:val="24"/>
        </w:rPr>
        <w:t xml:space="preserve">per plausibilità non è condannare, e nessun altro Libro dell'opera contiene</w:t>
      </w:r>
    </w:p>
    <w:p>
      <w:pPr>
        <w:spacing w:after="120" w:line="276"/>
        <w:jc w:val="both"/>
      </w:pPr>
      <w:r>
        <w:rPr>
          <w:rFonts w:ascii="Barlow Semi Condensed" w:cs="Barlow Semi Condensed" w:eastAsia="Barlow Semi Condensed" w:hAnsi="Barlow Semi Condensed"/>
          <w:sz w:val="24"/>
          <w:szCs w:val="24"/>
        </w:rPr>
        <w:t xml:space="preserve">graduatorie.</w:t>
      </w:r>
    </w:p>
    <w:p>
      <w:pPr>
        <w:spacing w:after="120" w:line="276"/>
        <w:jc w:val="both"/>
      </w:pPr>
      <w:r>
        <w:rPr>
          <w:rFonts w:ascii="Barlow Semi Condensed" w:cs="Barlow Semi Condensed" w:eastAsia="Barlow Semi Condensed" w:hAnsi="Barlow Semi Condensed"/>
          <w:sz w:val="24"/>
          <w:szCs w:val="24"/>
        </w:rPr>
        <w:t xml:space="preserve">[Indirizzo del deposito pubblico — da inserire.]</w:t>
      </w:r>
    </w:p>
    <w:p>
      <w:pPr>
        <w:pStyle w:val="Heading2"/>
        <w:spacing w:after="100" w:before="200"/>
      </w:pPr>
      <w:r>
        <w:rPr>
          <w:rFonts w:ascii="Barlow Semi Condensed" w:cs="Barlow Semi Condensed" w:eastAsia="Barlow Semi Condensed" w:hAnsi="Barlow Semi Condensed"/>
          <w:sz w:val="24"/>
          <w:szCs w:val="24"/>
        </w:rPr>
        <w:t xml:space="preserve">Competenze rilevanti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[Lingue.]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[Strumenti, se pertinenti.]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[Eventuale esperienza di ricerca d'archivio.]</w:t>
      </w:r>
    </w:p>
    <w:p>
      <w:pPr>
        <w:pStyle w:val="Heading2"/>
        <w:spacing w:after="100" w:before="200"/>
      </w:pPr>
      <w:r>
        <w:rPr>
          <w:rFonts w:ascii="Barlow Semi Condensed" w:cs="Barlow Semi Condensed" w:eastAsia="Barlow Semi Condensed" w:hAnsi="Barlow Semi Condensed"/>
          <w:sz w:val="24"/>
          <w:szCs w:val="24"/>
        </w:rPr>
        <w:t xml:space="preserve">Dichiarazione</w:t>
      </w:r>
    </w:p>
    <w:p>
      <w:pPr>
        <w:spacing w:after="120" w:line="276"/>
        <w:jc w:val="both"/>
      </w:pPr>
      <w:r>
        <w:rPr>
          <w:rFonts w:ascii="Barlow Semi Condensed" w:cs="Barlow Semi Condensed" w:eastAsia="Barlow Semi Condensed" w:hAnsi="Barlow Semi Condensed"/>
          <w:sz w:val="24"/>
          <w:szCs w:val="24"/>
        </w:rPr>
        <w:t xml:space="preserve">Il lavoro presentato è stato prodotto con l'ausilio di sistemi di intelligenza</w:t>
      </w:r>
    </w:p>
    <w:p>
      <w:pPr>
        <w:spacing w:after="120" w:line="276"/>
        <w:jc w:val="both"/>
      </w:pPr>
      <w:r>
        <w:rPr>
          <w:rFonts w:ascii="Barlow Semi Condensed" w:cs="Barlow Semi Condensed" w:eastAsia="Barlow Semi Condensed" w:hAnsi="Barlow Semi Condensed"/>
          <w:sz w:val="24"/>
          <w:szCs w:val="24"/>
        </w:rPr>
        <w:t xml:space="preserve">artificiale, sotto mia direzione e responsabilità. Lo dichiaro in apertura di</w:t>
      </w:r>
    </w:p>
    <w:p>
      <w:pPr>
        <w:spacing w:after="120" w:line="276"/>
        <w:jc w:val="both"/>
      </w:pPr>
      <w:r>
        <w:rPr>
          <w:rFonts w:ascii="Barlow Semi Condensed" w:cs="Barlow Semi Condensed" w:eastAsia="Barlow Semi Condensed" w:hAnsi="Barlow Semi Condensed"/>
          <w:sz w:val="24"/>
          <w:szCs w:val="24"/>
        </w:rPr>
        <w:t xml:space="preserve">ogni proposta perché è l'oggetto stesso del libro che propongo, e non una</w:t>
      </w:r>
    </w:p>
    <w:p>
      <w:pPr>
        <w:spacing w:after="120" w:line="276"/>
        <w:jc w:val="both"/>
      </w:pPr>
      <w:r>
        <w:rPr>
          <w:rFonts w:ascii="Barlow Semi Condensed" w:cs="Barlow Semi Condensed" w:eastAsia="Barlow Semi Condensed" w:hAnsi="Barlow Semi Condensed"/>
          <w:sz w:val="24"/>
          <w:szCs w:val="24"/>
        </w:rPr>
        <w:t xml:space="preserve">circostanza accessoria della sua produzione.</w:t>
      </w:r>
    </w:p>
    <w:p>
      <w:pPr>
        <w:spacing w:after="120" w:line="276"/>
        <w:jc w:val="both"/>
      </w:pPr>
      <w:r>
        <w:rPr>
          <w:rFonts w:ascii="Barlow Semi Condensed" w:cs="Barlow Semi Condensed" w:eastAsia="Barlow Semi Condensed" w:hAnsi="Barlow Semi Condensed"/>
          <w:sz w:val="24"/>
          <w:szCs w:val="24"/>
        </w:rPr>
        <w:t xml:space="preserve">[Luogo], [data]</w:t>
      </w:r>
    </w:p>
    <w:p>
      <w:pPr>
        <w:spacing w:after="120" w:line="276"/>
        <w:jc w:val="both"/>
      </w:pPr>
      <w:r>
        <w:rPr>
          <w:rFonts w:ascii="Barlow Semi Condensed" w:cs="Barlow Semi Condensed" w:eastAsia="Barlow Semi Condensed" w:hAnsi="Barlow Semi Condensed"/>
          <w:sz w:val="24"/>
          <w:szCs w:val="24"/>
        </w:rPr>
        <w:t xml:space="preserve">[Firma]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pratica sull'invio a Einaudi</w:t>
      </w:r>
    </w:p>
    <w:p>
      <w:pPr>
        <w:spacing w:after="120" w:line="276"/>
        <w:jc w:val="both"/>
      </w:pPr>
      <w:r>
        <w:rPr>
          <w:rFonts w:ascii="Barlow Semi Condensed" w:cs="Barlow Semi Condensed" w:eastAsia="Barlow Semi Condensed" w:hAnsi="Barlow Semi Condensed"/>
          <w:sz w:val="24"/>
          <w:szCs w:val="24"/>
        </w:rPr>
        <w:t xml:space="preserve">Tre cose vanno fatte, e sono tutte meccaniche:</w:t>
      </w:r>
    </w:p>
    <w:p>
      <w:pPr>
        <w:spacing w:after="40"/>
        <w:ind w:left="360"/>
        <w:jc w:val="both"/>
      </w:pPr>
      <w:r>
        <w:rPr>
          <w:rFonts w:ascii="Barlow Semi Condensed" w:cs="Barlow Semi Condensed" w:eastAsia="Barlow Semi Condensed" w:hAnsi="Barlow Semi Condensed"/>
          <w:sz w:val="24"/>
          <w:szCs w:val="24"/>
        </w:rPr>
        <w:t xml:space="preserve">1. Allegare </w:t>
      </w:r>
      <w:r>
        <w:rPr>
          <w:rFonts w:ascii="Barlow Semi Condensed" w:cs="Barlow Semi Condensed" w:eastAsia="Barlow Semi Condensed" w:hAnsi="Barlow Semi Condensed"/>
          <w:b/>
          <w:bCs/>
          <w:sz w:val="24"/>
          <w:szCs w:val="24"/>
        </w:rPr>
        <w:t xml:space="preserve">questo documento</w:t>
      </w:r>
      <w:r>
        <w:rPr>
          <w:rFonts w:ascii="Barlow Semi Condensed" w:cs="Barlow Semi Condensed" w:eastAsia="Barlow Semi Condensed" w:hAnsi="Barlow Semi Condensed"/>
          <w:sz w:val="24"/>
          <w:szCs w:val="24"/>
        </w:rPr>
        <w:t xml:space="preserve"> compilato.</w:t>
      </w:r>
    </w:p>
    <w:p>
      <w:pPr>
        <w:spacing w:after="40"/>
        <w:ind w:left="360"/>
        <w:jc w:val="both"/>
      </w:pPr>
      <w:r>
        <w:rPr>
          <w:rFonts w:ascii="Barlow Semi Condensed" w:cs="Barlow Semi Condensed" w:eastAsia="Barlow Semi Condensed" w:hAnsi="Barlow Semi Condensed"/>
          <w:sz w:val="24"/>
          <w:szCs w:val="24"/>
        </w:rPr>
        <w:t xml:space="preserve">2. Ripetere nome, indirizzo, posta elettronica e telefono **anche in testa al</w:t>
      </w:r>
    </w:p>
    <w:p>
      <w:pPr>
        <w:spacing w:after="120" w:line="276"/>
        <w:jc w:val="both"/>
      </w:pPr>
      <w:r>
        <w:rPr>
          <w:rFonts w:ascii="Barlow Semi Condensed" w:cs="Barlow Semi Condensed" w:eastAsia="Barlow Semi Condensed" w:hAnsi="Barlow Semi Condensed"/>
          <w:sz w:val="24"/>
          <w:szCs w:val="24"/>
        </w:rPr>
        <w:t xml:space="preserve">   documento dell'opera** — è una richiesta esplicita, e serve a loro perché i</w:t>
      </w:r>
    </w:p>
    <w:p>
      <w:pPr>
        <w:spacing w:after="120" w:line="276"/>
        <w:jc w:val="both"/>
      </w:pPr>
      <w:r>
        <w:rPr>
          <w:rFonts w:ascii="Barlow Semi Condensed" w:cs="Barlow Semi Condensed" w:eastAsia="Barlow Semi Condensed" w:hAnsi="Barlow Semi Condensed"/>
          <w:sz w:val="24"/>
          <w:szCs w:val="24"/>
        </w:rPr>
        <w:t xml:space="preserve">   due file si separano.</w:t>
      </w:r>
    </w:p>
    <w:p>
      <w:pPr>
        <w:spacing w:after="40"/>
        <w:ind w:left="360"/>
        <w:jc w:val="both"/>
      </w:pPr>
      <w:r>
        <w:rPr>
          <w:rFonts w:ascii="Barlow Semi Condensed" w:cs="Barlow Semi Condensed" w:eastAsia="Barlow Semi Condensed" w:hAnsi="Barlow Semi Condensed"/>
          <w:sz w:val="24"/>
          <w:szCs w:val="24"/>
        </w:rPr>
        <w:t xml:space="preserve">3. Non attendersi un cenno di ricevuta. La redazione contatta **soltanto in caso</w:t>
      </w:r>
    </w:p>
    <w:p>
      <w:pPr>
        <w:spacing w:after="120" w:line="276"/>
        <w:jc w:val="both"/>
      </w:pPr>
      <w:r>
        <w:rPr>
          <w:rFonts w:ascii="Barlow Semi Condensed" w:cs="Barlow Semi Condensed" w:eastAsia="Barlow Semi Condensed" w:hAnsi="Barlow Semi Condensed"/>
          <w:sz w:val="24"/>
          <w:szCs w:val="24"/>
        </w:rPr>
        <w:t xml:space="preserve">   di interesse**, in un tempo stimabile intorno ai sei mesi. Il silenzio non è</w:t>
      </w:r>
    </w:p>
    <w:p>
      <w:pPr>
        <w:spacing w:after="120" w:line="276"/>
        <w:jc w:val="both"/>
      </w:pPr>
      <w:r>
        <w:rPr>
          <w:rFonts w:ascii="Barlow Semi Condensed" w:cs="Barlow Semi Condensed" w:eastAsia="Barlow Semi Condensed" w:hAnsi="Barlow Semi Condensed"/>
          <w:sz w:val="24"/>
          <w:szCs w:val="24"/>
        </w:rPr>
        <w:t xml:space="preserve">   una risposta e non va sollecitato prima di quel termine.</w:t>
      </w:r>
    </w:p>
    <w:p>
      <w:pPr>
        <w:pStyle w:val="Heading3"/>
        <w:spacing w:after="80" w:before="240"/>
      </w:pPr>
      <w:r>
        <w:rPr>
          <w:rFonts w:ascii="Barlow Semi Condensed" w:cs="Barlow Semi Condensed" w:eastAsia="Barlow Semi Condensed" w:hAnsi="Barlow Semi Condensed"/>
          <w:sz w:val="24"/>
          <w:szCs w:val="24"/>
        </w:rPr>
        <w:t xml:space="preserve">Apparato grafico — Appendici · ix. Il curriculum, modello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IV.ix: 495 parole in 8 sezioni; la più ampia è §5 Il lavoro da cui nasce la proposta, con 189.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IV.ix: 17 paragrafi in 8 sezioni, 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 Alla Fondazione Aldo Moro</w:t>
      </w:r>
    </w:p>
    <w:p>
      <w:pPr>
        <w:pStyle w:val="Heading1"/>
        <w:spacing w:after="120" w:before="240"/>
      </w:pPr>
      <w:r>
        <w:rPr>
          <w:rFonts w:ascii="Barlow Semi Condensed" w:cs="Barlow Semi Condensed" w:eastAsia="Barlow Semi Condensed" w:hAnsi="Barlow Semi Condensed"/>
          <w:sz w:val="24"/>
          <w:szCs w:val="24"/>
        </w:rPr>
        <w:t xml:space="preserve">Lettera alla Fondazione Aldo Moro</w:t>
      </w:r>
    </w:p>
    <w:p>
      <w:pPr>
        <w:spacing w:after="120" w:line="276"/>
        <w:jc w:val="both"/>
      </w:pPr>
      <w:r>
        <w:rPr>
          <w:rFonts w:ascii="Barlow Semi Condensed" w:cs="Barlow Semi Condensed" w:eastAsia="Barlow Semi Condensed" w:hAnsi="Barlow Semi Condensed"/>
          <w:sz w:val="24"/>
          <w:szCs w:val="24"/>
        </w:rPr>
        <w:t xml:space="preserve">*Bozza preparata il 26 agosto 2026. Da rileggere e personalizzare prima</w:t>
      </w:r>
    </w:p>
    <w:p>
      <w:pPr>
        <w:spacing w:after="120" w:line="276"/>
        <w:jc w:val="both"/>
      </w:pPr>
      <w:r>
        <w:rPr>
          <w:rFonts w:ascii="Barlow Semi Condensed" w:cs="Barlow Semi Condensed" w:eastAsia="Barlow Semi Condensed" w:hAnsi="Barlow Semi Condensed"/>
          <w:sz w:val="24"/>
          <w:szCs w:val="24"/>
        </w:rPr>
        <w:t xml:space="preserve">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questa lettera non somiglia alle altre</w:t>
      </w:r>
    </w:p>
    <w:p>
      <w:pPr>
        <w:spacing w:after="120" w:line="276"/>
        <w:jc w:val="both"/>
      </w:pPr>
      <w:r>
        <w:rPr>
          <w:rFonts w:ascii="Barlow Semi Condensed" w:cs="Barlow Semi Condensed" w:eastAsia="Barlow Semi Condensed" w:hAnsi="Barlow Semi Condensed"/>
          <w:sz w:val="24"/>
          <w:szCs w:val="24"/>
        </w:rPr>
        <w:t xml:space="preserve">Alle case editrici si propone un libro. Al Centro Flamigni si propone un</w:t>
      </w:r>
    </w:p>
    <w:p>
      <w:pPr>
        <w:spacing w:after="120" w:line="276"/>
        <w:jc w:val="both"/>
      </w:pPr>
      <w:r>
        <w:rPr>
          <w:rFonts w:ascii="Barlow Semi Condensed" w:cs="Barlow Semi Condensed" w:eastAsia="Barlow Semi Condensed" w:hAnsi="Barlow Semi Condensed"/>
          <w:sz w:val="24"/>
          <w:szCs w:val="24"/>
        </w:rPr>
        <w:t xml:space="preserve">apparato da valutare e da correggere. **Alla Fondazione Aldo Moro non si propone</w:t>
      </w:r>
    </w:p>
    <w:p>
      <w:pPr>
        <w:spacing w:after="120" w:line="276"/>
        <w:jc w:val="both"/>
      </w:pPr>
      <w:r>
        <w:rPr>
          <w:rFonts w:ascii="Barlow Semi Condensed" w:cs="Barlow Semi Condensed" w:eastAsia="Barlow Semi Condensed" w:hAnsi="Barlow Semi Condensed"/>
          <w:sz w:val="24"/>
          <w:szCs w:val="24"/>
        </w:rPr>
        <w:t xml:space="preserve">nulla: si porta una domanda, e si dà una notizia.**</w:t>
      </w:r>
    </w:p>
    <w:p>
      <w:pPr>
        <w:spacing w:after="120" w:line="276"/>
        <w:jc w:val="both"/>
      </w:pPr>
      <w:r>
        <w:rPr>
          <w:rFonts w:ascii="Barlow Semi Condensed" w:cs="Barlow Semi Condensed" w:eastAsia="Barlow Semi Condensed" w:hAnsi="Barlow Semi Condensed"/>
          <w:sz w:val="24"/>
          <w:szCs w:val="24"/>
        </w:rPr>
        <w:t xml:space="preserve">La ragione è semplice e va tenuta presente in ogni riga che segue. La Fondazione</w:t>
      </w:r>
    </w:p>
    <w:p>
      <w:pPr>
        <w:spacing w:after="120" w:line="276"/>
        <w:jc w:val="both"/>
      </w:pPr>
      <w:r>
        <w:rPr>
          <w:rFonts w:ascii="Barlow Semi Condensed" w:cs="Barlow Semi Condensed" w:eastAsia="Barlow Semi Condensed" w:hAnsi="Barlow Semi Condensed"/>
          <w:sz w:val="24"/>
          <w:szCs w:val="24"/>
        </w:rPr>
        <w:t xml:space="preserve">esiste per la memoria e per le carte di una persona; non è un editore, non è un</w:t>
      </w:r>
    </w:p>
    <w:p>
      <w:pPr>
        <w:spacing w:after="120" w:line="276"/>
        <w:jc w:val="both"/>
      </w:pPr>
      <w:r>
        <w:rPr>
          <w:rFonts w:ascii="Barlow Semi Condensed" w:cs="Barlow Semi Condensed" w:eastAsia="Barlow Semi Condensed" w:hAnsi="Barlow Semi Condensed"/>
          <w:sz w:val="24"/>
          <w:szCs w:val="24"/>
        </w:rPr>
        <w:t xml:space="preserve">centro di documentazione sul terrorismo, e non ha alcun obbligo di occuparsi di</w:t>
      </w:r>
    </w:p>
    <w:p>
      <w:pPr>
        <w:spacing w:after="120" w:line="276"/>
        <w:jc w:val="both"/>
      </w:pPr>
      <w:r>
        <w:rPr>
          <w:rFonts w:ascii="Barlow Semi Condensed" w:cs="Barlow Semi Condensed" w:eastAsia="Barlow Semi Condensed" w:hAnsi="Barlow Semi Condensed"/>
          <w:sz w:val="24"/>
          <w:szCs w:val="24"/>
        </w:rPr>
        <w:t xml:space="preserve">un corpus generato con sistemi automatici. Arrivare da quella porta con</w:t>
      </w:r>
    </w:p>
    <w:p>
      <w:pPr>
        <w:spacing w:after="120" w:line="276"/>
        <w:jc w:val="both"/>
      </w:pPr>
      <w:r>
        <w:rPr>
          <w:rFonts w:ascii="Barlow Semi Condensed" w:cs="Barlow Semi Condensed" w:eastAsia="Barlow Semi Condensed" w:hAnsi="Barlow Semi Condensed"/>
          <w:sz w:val="24"/>
          <w:szCs w:val="24"/>
        </w:rPr>
        <w:t xml:space="preserve">milletrecento pagine da far leggere sarebbe insieme inutile e maleducato.</w:t>
      </w:r>
    </w:p>
    <w:p>
      <w:pPr>
        <w:spacing w:after="120" w:line="276"/>
        <w:jc w:val="both"/>
      </w:pPr>
      <w:r>
        <w:rPr>
          <w:rFonts w:ascii="Barlow Semi Condensed" w:cs="Barlow Semi Condensed" w:eastAsia="Barlow Semi Condensed" w:hAnsi="Barlow Semi Condensed"/>
          <w:b/>
          <w:bCs/>
          <w:sz w:val="24"/>
          <w:szCs w:val="24"/>
        </w:rPr>
        <w:t xml:space="preserve">Si arriva invece con due cose sole</w:t>
      </w:r>
      <w:r>
        <w:rPr>
          <w:rFonts w:ascii="Barlow Semi Condensed" w:cs="Barlow Semi Condensed" w:eastAsia="Barlow Semi Condensed" w:hAnsi="Barlow Semi Condensed"/>
          <w:sz w:val="24"/>
          <w:szCs w:val="24"/>
        </w:rPr>
        <w:t xml:space="preserve">: una domanda d'archivio che riguarda una</w:t>
      </w:r>
    </w:p>
    <w:p>
      <w:pPr>
        <w:spacing w:after="120" w:line="276"/>
        <w:jc w:val="both"/>
      </w:pPr>
      <w:r>
        <w:rPr>
          <w:rFonts w:ascii="Barlow Semi Condensed" w:cs="Barlow Semi Condensed" w:eastAsia="Barlow Semi Condensed" w:hAnsi="Barlow Semi Condensed"/>
          <w:sz w:val="24"/>
          <w:szCs w:val="24"/>
        </w:rPr>
        <w:t xml:space="preserve">carta di Aldo Moro, e un accertamento che tocca una vicenda che da quarant'anni</w:t>
      </w:r>
    </w:p>
    <w:p>
      <w:pPr>
        <w:spacing w:after="120" w:line="276"/>
        <w:jc w:val="both"/>
      </w:pPr>
      <w:r>
        <w:rPr>
          <w:rFonts w:ascii="Barlow Semi Condensed" w:cs="Barlow Semi Condensed" w:eastAsia="Barlow Semi Condensed" w:hAnsi="Barlow Semi Condensed"/>
          <w:sz w:val="24"/>
          <w:szCs w:val="24"/>
        </w:rPr>
        <w:t xml:space="preserve">si racconta sul suo conto. Il secondo va comunicato **prima che lo si legga</w:t>
      </w:r>
    </w:p>
    <w:p>
      <w:pPr>
        <w:spacing w:after="120" w:line="276"/>
        <w:jc w:val="both"/>
      </w:pPr>
      <w:r>
        <w:rPr>
          <w:rFonts w:ascii="Barlow Semi Condensed" w:cs="Barlow Semi Condensed" w:eastAsia="Barlow Semi Condensed" w:hAnsi="Barlow Semi Condensed"/>
          <w:sz w:val="24"/>
          <w:szCs w:val="24"/>
        </w:rPr>
        <w:t xml:space="preserve">altrove**, ed è questo, più della domanda, che rende la lettera dovuta.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Recapito — da verificare prima dell'invio</w:t>
      </w:r>
    </w:p>
    <w:p>
      <w:pPr>
        <w:spacing w:after="120" w:line="276"/>
        <w:jc w:val="both"/>
      </w:pPr>
      <w:r>
        <w:rPr>
          <w:rFonts w:ascii="Barlow Semi Condensed" w:cs="Barlow Semi Condensed" w:eastAsia="Barlow Semi Condensed" w:hAnsi="Barlow Semi Condensed"/>
          <w:b/>
          <w:bCs/>
          <w:sz w:val="24"/>
          <w:szCs w:val="24"/>
        </w:rPr>
        <w:t xml:space="preserve">Sede legale</w:t>
      </w:r>
      <w:r>
        <w:rPr>
          <w:rFonts w:ascii="Barlow Semi Condensed" w:cs="Barlow Semi Condensed" w:eastAsia="Barlow Semi Condensed" w:hAnsi="Barlow Semi Condensed"/>
          <w:sz w:val="24"/>
          <w:szCs w:val="24"/>
        </w:rPr>
        <w:t xml:space="preserve">: Fondazione Aldo Moro, via dei Gracchi 29/B, 00192 Roma.</w:t>
      </w:r>
    </w:p>
    <w:p>
      <w:pPr>
        <w:spacing w:after="120" w:line="276"/>
        <w:jc w:val="both"/>
      </w:pPr>
      <w:r>
        <w:rPr>
          <w:rFonts w:ascii="Barlow Semi Condensed" w:cs="Barlow Semi Condensed" w:eastAsia="Barlow Semi Condensed" w:hAnsi="Barlow Semi Condensed"/>
          <w:b/>
          <w:bCs/>
          <w:sz w:val="24"/>
          <w:szCs w:val="24"/>
        </w:rPr>
        <w:t xml:space="preserve">Presidente</w:t>
      </w:r>
      <w:r>
        <w:rPr>
          <w:rFonts w:ascii="Barlow Semi Condensed" w:cs="Barlow Semi Condensed" w:eastAsia="Barlow Semi Condensed" w:hAnsi="Barlow Semi Condensed"/>
          <w:sz w:val="24"/>
          <w:szCs w:val="24"/>
        </w:rPr>
        <w:t xml:space="preserve">: prof. Renato Moro. </w:t>
      </w:r>
      <w:r>
        <w:rPr>
          <w:rFonts w:ascii="Barlow Semi Condensed" w:cs="Barlow Semi Condensed" w:eastAsia="Barlow Semi Condensed" w:hAnsi="Barlow Semi Condensed"/>
          <w:b/>
          <w:bCs/>
          <w:sz w:val="24"/>
          <w:szCs w:val="24"/>
        </w:rPr>
        <w:t xml:space="preserve">Segretario-tesoriere</w:t>
      </w:r>
      <w:r>
        <w:rPr>
          <w:rFonts w:ascii="Barlow Semi Condensed" w:cs="Barlow Semi Condensed" w:eastAsia="Barlow Semi Condensed" w:hAnsi="Barlow Semi Condensed"/>
          <w:sz w:val="24"/>
          <w:szCs w:val="24"/>
        </w:rPr>
        <w:t xml:space="preserve">: dott. Luigi</w:t>
      </w:r>
    </w:p>
    <w:p>
      <w:pPr>
        <w:spacing w:after="120" w:line="276"/>
        <w:jc w:val="both"/>
      </w:pPr>
      <w:r>
        <w:rPr>
          <w:rFonts w:ascii="Barlow Semi Condensed" w:cs="Barlow Semi Condensed" w:eastAsia="Barlow Semi Condensed" w:hAnsi="Barlow Semi Condensed"/>
          <w:sz w:val="24"/>
          <w:szCs w:val="24"/>
        </w:rPr>
        <w:t xml:space="preserve">Mandolesi. Per l'</w:t>
      </w:r>
      <w:r>
        <w:rPr>
          <w:rFonts w:ascii="Barlow Semi Condensed" w:cs="Barlow Semi Condensed" w:eastAsia="Barlow Semi Condensed" w:hAnsi="Barlow Semi Condensed"/>
          <w:i/>
          <w:iCs/>
          <w:sz w:val="24"/>
          <w:szCs w:val="24"/>
        </w:rPr>
        <w:t xml:space="preserve">Edizione Nazionale delle Opere di Aldo Moro</w:t>
      </w:r>
      <w:r>
        <w:rPr>
          <w:rFonts w:ascii="Barlow Semi Condensed" w:cs="Barlow Semi Condensed" w:eastAsia="Barlow Semi Condensed" w:hAnsi="Barlow Semi Condensed"/>
          <w:sz w:val="24"/>
          <w:szCs w:val="24"/>
        </w:rPr>
        <w:t xml:space="preserve"> esiste un</w:t>
      </w:r>
    </w:p>
    <w:p>
      <w:pPr>
        <w:spacing w:after="120" w:line="276"/>
        <w:jc w:val="both"/>
      </w:pPr>
      <w:r>
        <w:rPr>
          <w:rFonts w:ascii="Barlow Semi Condensed" w:cs="Barlow Semi Condensed" w:eastAsia="Barlow Semi Condensed" w:hAnsi="Barlow Semi Condensed"/>
          <w:sz w:val="24"/>
          <w:szCs w:val="24"/>
        </w:rPr>
        <w:t xml:space="preserve">recapito tecnico distinto presso l'Università di Bologna.</w:t>
      </w:r>
    </w:p>
    <w:p>
      <w:pPr>
        <w:spacing w:after="120" w:line="276"/>
        <w:jc w:val="both"/>
      </w:pPr>
      <w:r>
        <w:rPr>
          <w:rFonts w:ascii="Barlow Semi Condensed" w:cs="Barlow Semi Condensed" w:eastAsia="Barlow Semi Condensed" w:hAnsi="Barlow Semi Condensed"/>
          <w:b/>
          <w:bCs/>
          <w:sz w:val="24"/>
          <w:szCs w:val="24"/>
        </w:rPr>
        <w:t xml:space="preserve">Nota sul recapito, che va rispettata.</w:t>
      </w:r>
      <w:r>
        <w:rPr>
          <w:rFonts w:ascii="Barlow Semi Condensed" w:cs="Barlow Semi Condensed" w:eastAsia="Barlow Semi Condensed" w:hAnsi="Barlow Semi Condensed"/>
          <w:sz w:val="24"/>
          <w:szCs w:val="24"/>
        </w:rPr>
        <w:t xml:space="preserve"> I recapiti reperibili sono in parte</w:t>
      </w:r>
    </w:p>
    <w:p>
      <w:pPr>
        <w:spacing w:after="120" w:line="276"/>
        <w:jc w:val="both"/>
      </w:pPr>
      <w:r>
        <w:rPr>
          <w:rFonts w:ascii="Barlow Semi Condensed" w:cs="Barlow Semi Condensed" w:eastAsia="Barlow Semi Condensed" w:hAnsi="Barlow Semi Condensed"/>
          <w:sz w:val="24"/>
          <w:szCs w:val="24"/>
        </w:rPr>
        <w:t xml:space="preserve">indirizzi istituzionali di persone, non della Fondazione come ente. Prima di</w:t>
      </w:r>
    </w:p>
    <w:p>
      <w:pPr>
        <w:spacing w:after="120" w:line="276"/>
        <w:jc w:val="both"/>
      </w:pPr>
      <w:r>
        <w:rPr>
          <w:rFonts w:ascii="Barlow Semi Condensed" w:cs="Barlow Semi Condensed" w:eastAsia="Barlow Semi Condensed" w:hAnsi="Barlow Semi Condensed"/>
          <w:sz w:val="24"/>
          <w:szCs w:val="24"/>
        </w:rPr>
        <w:t xml:space="preserve">scrivere a un indirizzo personale conviene cercare un recapito dell'ente — sul</w:t>
      </w:r>
    </w:p>
    <w:p>
      <w:pPr>
        <w:spacing w:after="120" w:line="276"/>
        <w:jc w:val="both"/>
      </w:pPr>
      <w:r>
        <w:rPr>
          <w:rFonts w:ascii="Barlow Semi Condensed" w:cs="Barlow Semi Condensed" w:eastAsia="Barlow Semi Condensed" w:hAnsi="Barlow Semi Condensed"/>
          <w:sz w:val="24"/>
          <w:szCs w:val="24"/>
        </w:rPr>
        <w:t xml:space="preserve">sito della Fondazione o attraverso l'Edizione Nazionale. Solo se non esiste si</w:t>
      </w:r>
    </w:p>
    <w:p>
      <w:pPr>
        <w:spacing w:after="120" w:line="276"/>
        <w:jc w:val="both"/>
      </w:pPr>
      <w:r>
        <w:rPr>
          <w:rFonts w:ascii="Barlow Semi Condensed" w:cs="Barlow Semi Condensed" w:eastAsia="Barlow Semi Condensed" w:hAnsi="Barlow Semi Condensed"/>
          <w:sz w:val="24"/>
          <w:szCs w:val="24"/>
        </w:rPr>
        <w:t xml:space="preserve">scrive al presidente, e in quel caso si scrive </w:t>
      </w:r>
      <w:r>
        <w:rPr>
          <w:rFonts w:ascii="Barlow Semi Condensed" w:cs="Barlow Semi Condensed" w:eastAsia="Barlow Semi Condensed" w:hAnsi="Barlow Semi Condensed"/>
          <w:b/>
          <w:bCs/>
          <w:sz w:val="24"/>
          <w:szCs w:val="24"/>
        </w:rPr>
        <w:t xml:space="preserve">a lui in quanto presidente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a lui come studioso.</w:t>
      </w:r>
    </w:p>
    <w:p>
      <w:pPr>
        <w:spacing w:after="120" w:line="276"/>
        <w:jc w:val="both"/>
      </w:pPr>
      <w:r>
        <w:rPr>
          <w:rFonts w:ascii="Barlow Semi Condensed" w:cs="Barlow Semi Condensed" w:eastAsia="Barlow Semi Condensed" w:hAnsi="Barlow Semi Condensed"/>
          <w:sz w:val="24"/>
          <w:szCs w:val="24"/>
        </w:rPr>
        <w:t xml:space="preserve">Non serve la posta elettronica certificata: qui non occorre certificare nulla,</w:t>
      </w:r>
    </w:p>
    <w:p>
      <w:pPr>
        <w:spacing w:after="120" w:line="276"/>
        <w:jc w:val="both"/>
      </w:pPr>
      <w:r>
        <w:rPr>
          <w:rFonts w:ascii="Barlow Semi Condensed" w:cs="Barlow Semi Condensed" w:eastAsia="Barlow Semi Condensed" w:hAnsi="Barlow Semi Condensed"/>
          <w:sz w:val="24"/>
          <w:szCs w:val="24"/>
        </w:rPr>
        <w:t xml:space="preserve">occorre essere letti.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spacing w:after="120" w:line="276"/>
        <w:jc w:val="both"/>
      </w:pPr>
      <w:r>
        <w:rPr>
          <w:rFonts w:ascii="Barlow Semi Condensed" w:cs="Barlow Semi Condensed" w:eastAsia="Barlow Semi Condensed" w:hAnsi="Barlow Semi Condensed"/>
          <w:sz w:val="24"/>
          <w:szCs w:val="24"/>
        </w:rPr>
        <w:t xml:space="preserve">Un quesito d'archivio sulla visita di Stato del 25-29 settembre 1974, e la</w:t>
      </w:r>
    </w:p>
    <w:p>
      <w:pPr>
        <w:spacing w:after="120" w:line="276"/>
        <w:jc w:val="both"/>
      </w:pPr>
      <w:r>
        <w:rPr>
          <w:rFonts w:ascii="Barlow Semi Condensed" w:cs="Barlow Semi Condensed" w:eastAsia="Barlow Semi Condensed" w:hAnsi="Barlow Semi Condensed"/>
          <w:sz w:val="24"/>
          <w:szCs w:val="24"/>
        </w:rPr>
        <w:t xml:space="preserve">comunicazione preventiva di un accertamento che riguarda il presunto colloquio</w:t>
      </w:r>
    </w:p>
    <w:p>
      <w:pPr>
        <w:spacing w:after="120" w:line="276"/>
        <w:jc w:val="both"/>
      </w:pPr>
      <w:r>
        <w:rPr>
          <w:rFonts w:ascii="Barlow Semi Condensed" w:cs="Barlow Semi Condensed" w:eastAsia="Barlow Semi Condensed" w:hAnsi="Barlow Semi Condensed"/>
          <w:sz w:val="24"/>
          <w:szCs w:val="24"/>
        </w:rPr>
        <w:t xml:space="preserve">di quei giorni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Testo della lettera</w:t>
      </w:r>
    </w:p>
    <w:p>
      <w:pPr>
        <w:spacing w:after="120" w:line="276"/>
        <w:jc w:val="both"/>
      </w:pPr>
      <w:r>
        <w:rPr>
          <w:rFonts w:ascii="Barlow Semi Condensed" w:cs="Barlow Semi Condensed" w:eastAsia="Barlow Semi Condensed" w:hAnsi="Barlow Semi Condensed"/>
          <w:sz w:val="24"/>
          <w:szCs w:val="24"/>
        </w:rPr>
        <w:t xml:space="preserve">Alla cortese attenzione della Fondazione Aldo Moro</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vi scrivo per due ragioni soltanto, e cerco di essere breve perché nessuna delle</w:t>
      </w:r>
    </w:p>
    <w:p>
      <w:pPr>
        <w:spacing w:after="120" w:line="276"/>
        <w:jc w:val="both"/>
      </w:pPr>
      <w:r>
        <w:rPr>
          <w:rFonts w:ascii="Barlow Semi Condensed" w:cs="Barlow Semi Condensed" w:eastAsia="Barlow Semi Condensed" w:hAnsi="Barlow Semi Condensed"/>
          <w:sz w:val="24"/>
          <w:szCs w:val="24"/>
        </w:rPr>
        <w:t xml:space="preserve">due richiede molte pagine.</w:t>
      </w:r>
    </w:p>
    <w:p>
      <w:pPr>
        <w:spacing w:after="120" w:line="276"/>
        <w:jc w:val="both"/>
      </w:pPr>
      <w:r>
        <w:rPr>
          <w:rFonts w:ascii="Barlow Semi Condensed" w:cs="Barlow Semi Condensed" w:eastAsia="Barlow Semi Condensed" w:hAnsi="Barlow Semi Condensed"/>
          <w:b/>
          <w:bCs/>
          <w:sz w:val="24"/>
          <w:szCs w:val="24"/>
        </w:rPr>
        <w:t xml:space="preserve">Una dichiarazione preliminare, che viene prima di tutto.</w:t>
      </w:r>
      <w:r>
        <w:rPr>
          <w:rFonts w:ascii="Barlow Semi Condensed" w:cs="Barlow Semi Condensed" w:eastAsia="Barlow Semi Condensed" w:hAnsi="Barlow Semi Condensed"/>
          <w:sz w:val="24"/>
          <w:szCs w:val="24"/>
        </w:rPr>
        <w:t xml:space="preserve"> Il lavoro da cui</w:t>
      </w:r>
    </w:p>
    <w:p>
      <w:pPr>
        <w:spacing w:after="120" w:line="276"/>
        <w:jc w:val="both"/>
      </w:pPr>
      <w:r>
        <w:rPr>
          <w:rFonts w:ascii="Barlow Semi Condensed" w:cs="Barlow Semi Condensed" w:eastAsia="Barlow Semi Condensed" w:hAnsi="Barlow Semi Condensed"/>
          <w:sz w:val="24"/>
          <w:szCs w:val="24"/>
        </w:rPr>
        <w:t xml:space="preserve">questa lettera nasce è stato prodotto con l'ausilio di sistemi di intelligenza</w:t>
      </w:r>
    </w:p>
    <w:p>
      <w:pPr>
        <w:spacing w:after="120" w:line="276"/>
        <w:jc w:val="both"/>
      </w:pPr>
      <w:r>
        <w:rPr>
          <w:rFonts w:ascii="Barlow Semi Condensed" w:cs="Barlow Semi Condensed" w:eastAsia="Barlow Semi Condensed" w:hAnsi="Barlow Semi Condensed"/>
          <w:sz w:val="24"/>
          <w:szCs w:val="24"/>
        </w:rPr>
        <w:t xml:space="preserve">artificiale, sotto mia direzione e responsabilità. Non ho consultato fondi, non</w:t>
      </w:r>
    </w:p>
    <w:p>
      <w:pPr>
        <w:spacing w:after="120" w:line="276"/>
        <w:jc w:val="both"/>
      </w:pPr>
      <w:r>
        <w:rPr>
          <w:rFonts w:ascii="Barlow Semi Condensed" w:cs="Barlow Semi Condensed" w:eastAsia="Barlow Semi Condensed" w:hAnsi="Barlow Semi Condensed"/>
          <w:sz w:val="24"/>
          <w:szCs w:val="24"/>
        </w:rPr>
        <w:t xml:space="preserve">ho letto documenti originali in archivio, non ho compiuto alcun accertamento in</w:t>
      </w:r>
    </w:p>
    <w:p>
      <w:pPr>
        <w:spacing w:after="120" w:line="276"/>
        <w:jc w:val="both"/>
      </w:pPr>
      <w:r>
        <w:rPr>
          <w:rFonts w:ascii="Barlow Semi Condensed" w:cs="Barlow Semi Condensed" w:eastAsia="Barlow Semi Condensed" w:hAnsi="Barlow Semi Condensed"/>
          <w:sz w:val="24"/>
          <w:szCs w:val="24"/>
        </w:rPr>
        <w:t xml:space="preserve">prima persona. Lo dico in apertura perché è il primo elemento che vi serve per</w:t>
      </w:r>
    </w:p>
    <w:p>
      <w:pPr>
        <w:spacing w:after="120" w:line="276"/>
        <w:jc w:val="both"/>
      </w:pPr>
      <w:r>
        <w:rPr>
          <w:rFonts w:ascii="Barlow Semi Condensed" w:cs="Barlow Semi Condensed" w:eastAsia="Barlow Semi Condensed" w:hAnsi="Barlow Semi Condensed"/>
          <w:sz w:val="24"/>
          <w:szCs w:val="24"/>
        </w:rPr>
        <w:t xml:space="preserve">decidere se il resto meriti il vostro tempo.</w:t>
      </w:r>
    </w:p>
    <w:p>
      <w:pPr>
        <w:spacing w:after="120" w:line="276"/>
        <w:jc w:val="both"/>
      </w:pPr>
      <w:r>
        <w:rPr>
          <w:rFonts w:ascii="Barlow Semi Condensed" w:cs="Barlow Semi Condensed" w:eastAsia="Barlow Semi Condensed" w:hAnsi="Barlow Semi Condensed"/>
          <w:b/>
          <w:bCs/>
          <w:sz w:val="24"/>
          <w:szCs w:val="24"/>
        </w:rPr>
        <w:t xml:space="preserve">Che cosa non vi sto proponendo.</w:t>
      </w:r>
      <w:r>
        <w:rPr>
          <w:rFonts w:ascii="Barlow Semi Condensed" w:cs="Barlow Semi Condensed" w:eastAsia="Barlow Semi Condensed" w:hAnsi="Barlow Semi Condensed"/>
          <w:sz w:val="24"/>
          <w:szCs w:val="24"/>
        </w:rPr>
        <w:t xml:space="preserve"> Non vi chiedo di leggere, valutare,</w:t>
      </w:r>
    </w:p>
    <w:p>
      <w:pPr>
        <w:spacing w:after="120" w:line="276"/>
        <w:jc w:val="both"/>
      </w:pPr>
      <w:r>
        <w:rPr>
          <w:rFonts w:ascii="Barlow Semi Condensed" w:cs="Barlow Semi Condensed" w:eastAsia="Barlow Semi Condensed" w:hAnsi="Barlow Semi Condensed"/>
          <w:sz w:val="24"/>
          <w:szCs w:val="24"/>
        </w:rPr>
        <w:t xml:space="preserve">patrocinare o conservare alcunché. Il corpus da cui la lettera nasce non</w:t>
      </w:r>
    </w:p>
    <w:p>
      <w:pPr>
        <w:spacing w:after="120" w:line="276"/>
        <w:jc w:val="both"/>
      </w:pPr>
      <w:r>
        <w:rPr>
          <w:rFonts w:ascii="Barlow Semi Condensed" w:cs="Barlow Semi Condensed" w:eastAsia="Barlow Semi Condensed" w:hAnsi="Barlow Semi Condensed"/>
          <w:sz w:val="24"/>
          <w:szCs w:val="24"/>
        </w:rPr>
        <w:t xml:space="preserve">contiene rivelazioni e non aggiunge un fatto: è, per tredici dei suoi</w:t>
      </w:r>
    </w:p>
    <w:p>
      <w:pPr>
        <w:spacing w:after="120" w:line="276"/>
        <w:jc w:val="both"/>
      </w:pPr>
      <w:r>
        <w:rPr>
          <w:rFonts w:ascii="Barlow Semi Condensed" w:cs="Barlow Semi Condensed" w:eastAsia="Barlow Semi Condensed" w:hAnsi="Barlow Semi Condensed"/>
          <w:sz w:val="24"/>
          <w:szCs w:val="24"/>
        </w:rPr>
        <w:t xml:space="preserve">quattordici Libri, un elenco di domande d'archivio, ciascuna con la sede in cui</w:t>
      </w:r>
    </w:p>
    <w:p>
      <w:pPr>
        <w:spacing w:after="120" w:line="276"/>
        <w:jc w:val="both"/>
      </w:pPr>
      <w:r>
        <w:rPr>
          <w:rFonts w:ascii="Barlow Semi Condensed" w:cs="Barlow Semi Condensed" w:eastAsia="Barlow Semi Condensed" w:hAnsi="Barlow Semi Condensed"/>
          <w:sz w:val="24"/>
          <w:szCs w:val="24"/>
        </w:rPr>
        <w:t xml:space="preserve">andrebbe posta, e una di quelle domande riguarda una carta che potrebbe essere</w:t>
      </w:r>
    </w:p>
    <w:p>
      <w:pPr>
        <w:spacing w:after="120" w:line="276"/>
        <w:jc w:val="both"/>
      </w:pPr>
      <w:r>
        <w:rPr>
          <w:rFonts w:ascii="Barlow Semi Condensed" w:cs="Barlow Semi Condensed" w:eastAsia="Barlow Semi Condensed" w:hAnsi="Barlow Semi Condensed"/>
          <w:sz w:val="24"/>
          <w:szCs w:val="24"/>
        </w:rPr>
        <w:t xml:space="preserve">fra le vostre. Non è uno studio sul sequestro.</w:t>
      </w:r>
    </w:p>
    <w:p>
      <w:pPr>
        <w:spacing w:after="120" w:line="276"/>
        <w:jc w:val="both"/>
      </w:pPr>
      <w:r>
        <w:rPr>
          <w:rFonts w:ascii="Barlow Semi Condensed" w:cs="Barlow Semi Condensed" w:eastAsia="Barlow Semi Condensed" w:hAnsi="Barlow Semi Condensed"/>
          <w:sz w:val="24"/>
          <w:szCs w:val="24"/>
        </w:rPr>
        <w:t xml:space="preserve">**Devo però dirvi subito ciò che rende inesatta, oggi, la formula che avrei</w:t>
      </w:r>
    </w:p>
    <w:p>
      <w:pPr>
        <w:spacing w:after="120" w:line="276"/>
        <w:jc w:val="both"/>
      </w:pPr>
      <w:r>
        <w:rPr>
          <w:rFonts w:ascii="Barlow Semi Condensed" w:cs="Barlow Semi Condensed" w:eastAsia="Barlow Semi Condensed" w:hAnsi="Barlow Semi Condensed"/>
          <w:sz w:val="24"/>
          <w:szCs w:val="24"/>
        </w:rPr>
        <w:t xml:space="preserve">usato un mese fa.** Un solo Libro dei quattordici — un dossier d'autore</w:t>
      </w:r>
    </w:p>
    <w:p>
      <w:pPr>
        <w:spacing w:after="120" w:line="276"/>
        <w:jc w:val="both"/>
      </w:pPr>
      <w:r>
        <w:rPr>
          <w:rFonts w:ascii="Barlow Semi Condensed" w:cs="Barlow Semi Condensed" w:eastAsia="Barlow Semi Condensed" w:hAnsi="Barlow Semi Condensed"/>
          <w:sz w:val="24"/>
          <w:szCs w:val="24"/>
        </w:rPr>
        <w:t xml:space="preserve">anteriore al corpus, conservato per intero e non riscritto — nella seconda metà</w:t>
      </w:r>
    </w:p>
    <w:p>
      <w:pPr>
        <w:spacing w:after="120" w:line="276"/>
        <w:jc w:val="both"/>
      </w:pPr>
      <w:r>
        <w:rPr>
          <w:rFonts w:ascii="Barlow Semi Condensed" w:cs="Barlow Semi Condensed" w:eastAsia="Barlow Semi Condensed" w:hAnsi="Barlow Semi Condensed"/>
          <w:sz w:val="24"/>
          <w:szCs w:val="24"/>
        </w:rPr>
        <w:t xml:space="preserve">abbandona dichiaratamente la sospensione del giudizio e ordina secondo la</w:t>
      </w:r>
    </w:p>
    <w:p>
      <w:pPr>
        <w:spacing w:after="120" w:line="276"/>
        <w:jc w:val="both"/>
      </w:pPr>
      <w:r>
        <w:rPr>
          <w:rFonts w:ascii="Barlow Semi Condensed" w:cs="Barlow Semi Condensed" w:eastAsia="Barlow Semi Condensed" w:hAnsi="Barlow Semi Condensed"/>
          <w:sz w:val="24"/>
          <w:szCs w:val="24"/>
        </w:rPr>
        <w:t xml:space="preserve">plausibilità del coinvolgimento nel sequestro e nell'uccisione. Vi dico</w:t>
      </w:r>
    </w:p>
    <w:p>
      <w:pPr>
        <w:spacing w:after="120" w:line="276"/>
        <w:jc w:val="both"/>
      </w:pPr>
      <w:r>
        <w:rPr>
          <w:rFonts w:ascii="Barlow Semi Condensed" w:cs="Barlow Semi Condensed" w:eastAsia="Barlow Semi Condensed" w:hAnsi="Barlow Semi Condensed"/>
          <w:sz w:val="24"/>
          <w:szCs w:val="24"/>
        </w:rPr>
        <w:t xml:space="preserve">esattamente che cosa vi si trova, perché non lo scopriate da soli dopo aver</w:t>
      </w:r>
    </w:p>
    <w:p>
      <w:pPr>
        <w:spacing w:after="120" w:line="276"/>
        <w:jc w:val="both"/>
      </w:pPr>
      <w:r>
        <w:rPr>
          <w:rFonts w:ascii="Barlow Semi Condensed" w:cs="Barlow Semi Condensed" w:eastAsia="Barlow Semi Condensed" w:hAnsi="Barlow Semi Condensed"/>
          <w:sz w:val="24"/>
          <w:szCs w:val="24"/>
        </w:rPr>
        <w:t xml:space="preserve">letto da me che non c'era: è una graduatoria </w:t>
      </w:r>
      <w:r>
        <w:rPr>
          <w:rFonts w:ascii="Barlow Semi Condensed" w:cs="Barlow Semi Condensed" w:eastAsia="Barlow Semi Condensed" w:hAnsi="Barlow Semi Condensed"/>
          <w:b/>
          <w:bCs/>
          <w:sz w:val="24"/>
          <w:szCs w:val="24"/>
        </w:rPr>
        <w:t xml:space="preserve">di plausibilità e non di colpa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ordina categorie di soggetti e non nomi individuali</w:t>
      </w:r>
      <w:r>
        <w:rPr>
          <w:rFonts w:ascii="Barlow Semi Condensed" w:cs="Barlow Semi Condensed" w:eastAsia="Barlow Semi Condensed" w:hAnsi="Barlow Semi Condensed"/>
          <w:sz w:val="24"/>
          <w:szCs w:val="24"/>
        </w:rPr>
        <w:t xml:space="preserve"> — i condannati in via</w:t>
      </w:r>
    </w:p>
    <w:p>
      <w:pPr>
        <w:spacing w:after="120" w:line="276"/>
        <w:jc w:val="both"/>
      </w:pPr>
      <w:r>
        <w:rPr>
          <w:rFonts w:ascii="Barlow Semi Condensed" w:cs="Barlow Semi Condensed" w:eastAsia="Barlow Semi Condensed" w:hAnsi="Barlow Semi Condensed"/>
          <w:sz w:val="24"/>
          <w:szCs w:val="24"/>
        </w:rPr>
        <w:t xml:space="preserve">definitiva, gli apparati coinvolti nei depistaggi, i portatori d'interesse</w:t>
      </w:r>
    </w:p>
    <w:p>
      <w:pPr>
        <w:spacing w:after="120" w:line="276"/>
        <w:jc w:val="both"/>
      </w:pPr>
      <w:r>
        <w:rPr>
          <w:rFonts w:ascii="Barlow Semi Condensed" w:cs="Barlow Semi Condensed" w:eastAsia="Barlow Semi Condensed" w:hAnsi="Barlow Semi Condensed"/>
          <w:sz w:val="24"/>
          <w:szCs w:val="24"/>
        </w:rPr>
        <w:t xml:space="preserve">esterno tenuti al grado minimo; muove dal giudicato e **rifiuta di nominare un</w:t>
      </w:r>
    </w:p>
    <w:p>
      <w:pPr>
        <w:spacing w:after="120" w:line="276"/>
        <w:jc w:val="both"/>
      </w:pPr>
      <w:r>
        <w:rPr>
          <w:rFonts w:ascii="Barlow Semi Condensed" w:cs="Barlow Semi Condensed" w:eastAsia="Barlow Semi Condensed" w:hAnsi="Barlow Semi Condensed"/>
          <w:sz w:val="24"/>
          <w:szCs w:val="24"/>
        </w:rPr>
        <w:t xml:space="preserve">mandante esterno determinato**, perché la ricerca su quel punto ha dato per tre</w:t>
      </w:r>
    </w:p>
    <w:p>
      <w:pPr>
        <w:spacing w:after="120" w:line="276"/>
        <w:jc w:val="both"/>
      </w:pPr>
      <w:r>
        <w:rPr>
          <w:rFonts w:ascii="Barlow Semi Condensed" w:cs="Barlow Semi Condensed" w:eastAsia="Barlow Semi Condensed" w:hAnsi="Barlow Semi Condensed"/>
          <w:sz w:val="24"/>
          <w:szCs w:val="24"/>
        </w:rPr>
        <w:t xml:space="preserve">volte un esito negativo; ed è preceduta da una premessa che ribadisce, prima di</w:t>
      </w:r>
    </w:p>
    <w:p>
      <w:pPr>
        <w:spacing w:after="120" w:line="276"/>
        <w:jc w:val="both"/>
      </w:pPr>
      <w:r>
        <w:rPr>
          <w:rFonts w:ascii="Barlow Semi Condensed" w:cs="Barlow Semi Condensed" w:eastAsia="Barlow Semi Condensed" w:hAnsi="Barlow Semi Condensed"/>
          <w:sz w:val="24"/>
          <w:szCs w:val="24"/>
        </w:rPr>
        <w:t xml:space="preserve">ogni riga, la presunzione d'innocenza. Nelle quasi cinquemila parole di quelle</w:t>
      </w:r>
    </w:p>
    <w:p>
      <w:pPr>
        <w:spacing w:after="120" w:line="276"/>
        <w:jc w:val="both"/>
      </w:pPr>
      <w:r>
        <w:rPr>
          <w:rFonts w:ascii="Barlow Semi Condensed" w:cs="Barlow Semi Condensed" w:eastAsia="Barlow Semi Condensed" w:hAnsi="Barlow Semi Condensed"/>
          <w:sz w:val="24"/>
          <w:szCs w:val="24"/>
        </w:rPr>
        <w:t xml:space="preserve">pagine gli unici nomi propri di persona sono quello di Aldo Moro e quello dello</w:t>
      </w:r>
    </w:p>
    <w:p>
      <w:pPr>
        <w:spacing w:after="120" w:line="276"/>
        <w:jc w:val="both"/>
      </w:pPr>
      <w:r>
        <w:rPr>
          <w:rFonts w:ascii="Barlow Semi Condensed" w:cs="Barlow Semi Condensed" w:eastAsia="Barlow Semi Condensed" w:hAnsi="Barlow Semi Condensed"/>
          <w:sz w:val="24"/>
          <w:szCs w:val="24"/>
        </w:rPr>
        <w:t xml:space="preserve">studioso da cui un metodo prende nome. Gli altri tredici Libri si fermano</w:t>
      </w:r>
    </w:p>
    <w:p>
      <w:pPr>
        <w:spacing w:after="120" w:line="276"/>
        <w:jc w:val="both"/>
      </w:pPr>
      <w:r>
        <w:rPr>
          <w:rFonts w:ascii="Barlow Semi Condensed" w:cs="Barlow Semi Condensed" w:eastAsia="Barlow Semi Condensed" w:hAnsi="Barlow Semi Condensed"/>
          <w:sz w:val="24"/>
          <w:szCs w:val="24"/>
        </w:rPr>
        <w:t xml:space="preserve">al giudicato; la disciplina in copertina registra l'eccezione limitandola a</w:t>
      </w:r>
    </w:p>
    <w:p>
      <w:pPr>
        <w:spacing w:after="120" w:line="276"/>
        <w:jc w:val="both"/>
      </w:pPr>
      <w:r>
        <w:rPr>
          <w:rFonts w:ascii="Barlow Semi Condensed" w:cs="Barlow Semi Condensed" w:eastAsia="Barlow Semi Condensed" w:hAnsi="Barlow Semi Condensed"/>
          <w:sz w:val="24"/>
          <w:szCs w:val="24"/>
        </w:rPr>
        <w:t xml:space="preserve">quello solo; e quel Libro si apre con una nota che avverte chi legge.</w:t>
      </w:r>
    </w:p>
    <w:p>
      <w:pPr>
        <w:pStyle w:val="Heading3"/>
        <w:spacing w:after="80" w:before="160"/>
      </w:pPr>
      <w:r>
        <w:rPr>
          <w:rFonts w:ascii="Barlow Semi Condensed" w:cs="Barlow Semi Condensed" w:eastAsia="Barlow Semi Condensed" w:hAnsi="Barlow Semi Condensed"/>
          <w:sz w:val="24"/>
          <w:szCs w:val="24"/>
        </w:rPr>
        <w:t xml:space="preserve">La domanda</w:t>
      </w:r>
    </w:p>
    <w:p>
      <w:pPr>
        <w:spacing w:after="120" w:line="276"/>
        <w:jc w:val="both"/>
      </w:pPr>
      <w:r>
        <w:rPr>
          <w:rFonts w:ascii="Barlow Semi Condensed" w:cs="Barlow Semi Condensed" w:eastAsia="Barlow Semi Condensed" w:hAnsi="Barlow Semi Condensed"/>
          <w:sz w:val="24"/>
          <w:szCs w:val="24"/>
        </w:rPr>
        <w:t xml:space="preserve">Il 25 settembre 1974, alle 11.30, nello Studio Ovale della Casa Bianca, si tenne</w:t>
      </w:r>
    </w:p>
    <w:p>
      <w:pPr>
        <w:spacing w:after="120" w:line="276"/>
        <w:jc w:val="both"/>
      </w:pPr>
      <w:r>
        <w:rPr>
          <w:rFonts w:ascii="Barlow Semi Condensed" w:cs="Barlow Semi Condensed" w:eastAsia="Barlow Semi Condensed" w:hAnsi="Barlow Semi Condensed"/>
          <w:sz w:val="24"/>
          <w:szCs w:val="24"/>
        </w:rPr>
        <w:t xml:space="preserve">un colloquio fra il Presidente della Repubblica Giovanni Leone, il ministro</w:t>
      </w:r>
    </w:p>
    <w:p>
      <w:pPr>
        <w:spacing w:after="120" w:line="276"/>
        <w:jc w:val="both"/>
      </w:pPr>
      <w:r>
        <w:rPr>
          <w:rFonts w:ascii="Barlow Semi Condensed" w:cs="Barlow Semi Condensed" w:eastAsia="Barlow Semi Condensed" w:hAnsi="Barlow Semi Condensed"/>
          <w:sz w:val="24"/>
          <w:szCs w:val="24"/>
        </w:rPr>
        <w:t xml:space="preserve">degli Esteri Aldo Moro, il Presidente degli Stati Uniti Gerald Ford e il</w:t>
      </w:r>
    </w:p>
    <w:p>
      <w:pPr>
        <w:spacing w:after="120" w:line="276"/>
        <w:jc w:val="both"/>
      </w:pPr>
      <w:r>
        <w:rPr>
          <w:rFonts w:ascii="Barlow Semi Condensed" w:cs="Barlow Semi Condensed" w:eastAsia="Barlow Semi Condensed" w:hAnsi="Barlow Semi Condensed"/>
          <w:sz w:val="24"/>
          <w:szCs w:val="24"/>
        </w:rPr>
        <w:t xml:space="preserve">Segretario di Stato Henry Kissinger, con Brent Scowcroft verbalizzante.</w:t>
      </w:r>
    </w:p>
    <w:p>
      <w:pPr>
        <w:spacing w:after="120" w:line="276"/>
        <w:jc w:val="both"/>
      </w:pPr>
      <w:r>
        <w:rPr>
          <w:rFonts w:ascii="Barlow Semi Condensed" w:cs="Barlow Semi Condensed" w:eastAsia="Barlow Semi Condensed" w:hAnsi="Barlow Semi Condensed"/>
          <w:sz w:val="24"/>
          <w:szCs w:val="24"/>
        </w:rPr>
        <w:t xml:space="preserve">Di quel colloquio esiste, allo stato, **un solo verbale: quello redatto dallo</w:t>
      </w:r>
    </w:p>
    <w:p>
      <w:pPr>
        <w:spacing w:after="120" w:line="276"/>
        <w:jc w:val="both"/>
      </w:pPr>
      <w:r>
        <w:rPr>
          <w:rFonts w:ascii="Barlow Semi Condensed" w:cs="Barlow Semi Condensed" w:eastAsia="Barlow Semi Condensed" w:hAnsi="Barlow Semi Condensed"/>
          <w:sz w:val="24"/>
          <w:szCs w:val="24"/>
        </w:rPr>
        <w:t xml:space="preserve">staff americano**. È pubblicato, ha doppia segnatura d'archivio ed è</w:t>
      </w:r>
    </w:p>
    <w:p>
      <w:pPr>
        <w:spacing w:after="120" w:line="276"/>
        <w:jc w:val="both"/>
      </w:pPr>
      <w:r>
        <w:rPr>
          <w:rFonts w:ascii="Barlow Semi Condensed" w:cs="Barlow Semi Condensed" w:eastAsia="Barlow Semi Condensed" w:hAnsi="Barlow Semi Condensed"/>
          <w:sz w:val="24"/>
          <w:szCs w:val="24"/>
        </w:rPr>
        <w:t xml:space="preserve">consultabile da chiunque.</w:t>
      </w:r>
    </w:p>
    <w:p>
      <w:pPr>
        <w:spacing w:after="120" w:line="276"/>
        <w:jc w:val="both"/>
      </w:pPr>
      <w:r>
        <w:rPr>
          <w:rFonts w:ascii="Barlow Semi Condensed" w:cs="Barlow Semi Condensed" w:eastAsia="Barlow Semi Condensed" w:hAnsi="Barlow Semi Condensed"/>
          <w:sz w:val="24"/>
          <w:szCs w:val="24"/>
        </w:rPr>
        <w:t xml:space="preserve">Il verbale italiano dello stesso incontro </w:t>
      </w:r>
      <w:r>
        <w:rPr>
          <w:rFonts w:ascii="Barlow Semi Condensed" w:cs="Barlow Semi Condensed" w:eastAsia="Barlow Semi Condensed" w:hAnsi="Barlow Semi Condensed"/>
          <w:b/>
          <w:bCs/>
          <w:sz w:val="24"/>
          <w:szCs w:val="24"/>
        </w:rPr>
        <w:t xml:space="preserve">non risulta mai cercato</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risulta un ritrovamento, e non risulta neppure una ricerca. Eppure un ministro</w:t>
      </w:r>
    </w:p>
    <w:p>
      <w:pPr>
        <w:spacing w:after="120" w:line="276"/>
        <w:jc w:val="both"/>
      </w:pPr>
      <w:r>
        <w:rPr>
          <w:rFonts w:ascii="Barlow Semi Condensed" w:cs="Barlow Semi Condensed" w:eastAsia="Barlow Semi Condensed" w:hAnsi="Barlow Semi Condensed"/>
          <w:sz w:val="24"/>
          <w:szCs w:val="24"/>
        </w:rPr>
        <w:t xml:space="preserve">degli Esteri che esce da un bilaterale col Presidente degli Stati Uniti fa</w:t>
      </w:r>
    </w:p>
    <w:p>
      <w:pPr>
        <w:spacing w:after="120" w:line="276"/>
        <w:jc w:val="both"/>
      </w:pPr>
      <w:r>
        <w:rPr>
          <w:rFonts w:ascii="Barlow Semi Condensed" w:cs="Barlow Semi Condensed" w:eastAsia="Barlow Semi Condensed" w:hAnsi="Barlow Semi Condensed"/>
          <w:sz w:val="24"/>
          <w:szCs w:val="24"/>
        </w:rPr>
        <w:t xml:space="preserve">stendere un appunto — un telespresso, una nota di gabinetto, un promemoria per</w:t>
      </w:r>
    </w:p>
    <w:p>
      <w:pPr>
        <w:spacing w:after="120" w:line="276"/>
        <w:jc w:val="both"/>
      </w:pPr>
      <w:r>
        <w:rPr>
          <w:rFonts w:ascii="Barlow Semi Condensed" w:cs="Barlow Semi Condensed" w:eastAsia="Barlow Semi Condensed" w:hAnsi="Barlow Semi Condensed"/>
          <w:sz w:val="24"/>
          <w:szCs w:val="24"/>
        </w:rPr>
        <w:t xml:space="preserve">il Presidente del Consiglio: è prassi ordinaria, non eccezione.</w:t>
      </w:r>
    </w:p>
    <w:p>
      <w:pPr>
        <w:spacing w:after="120" w:line="276"/>
        <w:jc w:val="both"/>
      </w:pPr>
      <w:r>
        <w:rPr>
          <w:rFonts w:ascii="Barlow Semi Condensed" w:cs="Barlow Semi Condensed" w:eastAsia="Barlow Semi Condensed" w:hAnsi="Barlow Semi Condensed"/>
          <w:sz w:val="24"/>
          <w:szCs w:val="24"/>
        </w:rPr>
        <w:t xml:space="preserve">Il quesito sta in una riga: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Le sedi in cui andrebbe cercato sono l'Archivio storico diplomatico del</w:t>
      </w:r>
    </w:p>
    <w:p>
      <w:pPr>
        <w:spacing w:after="120" w:line="276"/>
        <w:jc w:val="both"/>
      </w:pPr>
      <w:r>
        <w:rPr>
          <w:rFonts w:ascii="Barlow Semi Condensed" w:cs="Barlow Semi Condensed" w:eastAsia="Barlow Semi Condensed" w:hAnsi="Barlow Semi Condensed"/>
          <w:sz w:val="24"/>
          <w:szCs w:val="24"/>
        </w:rPr>
        <w:t xml:space="preserve">Ministero degli Affari Esteri, carteggi del gabinetto del ministro, annata 1974;</w:t>
      </w:r>
    </w:p>
    <w:p>
      <w:pPr>
        <w:spacing w:after="120" w:line="276"/>
        <w:jc w:val="both"/>
      </w:pPr>
      <w:r>
        <w:rPr>
          <w:rFonts w:ascii="Barlow Semi Condensed" w:cs="Barlow Semi Condensed" w:eastAsia="Barlow Semi Condensed" w:hAnsi="Barlow Semi Condensed"/>
          <w:sz w:val="24"/>
          <w:szCs w:val="24"/>
        </w:rPr>
        <w:t xml:space="preserve">l'Archivio centrale dello Stato, che dal 2010 è la sede della conservazione</w:t>
      </w:r>
    </w:p>
    <w:p>
      <w:pPr>
        <w:spacing w:after="120" w:line="276"/>
        <w:jc w:val="both"/>
      </w:pPr>
      <w:r>
        <w:rPr>
          <w:rFonts w:ascii="Barlow Semi Condensed" w:cs="Barlow Semi Condensed" w:eastAsia="Barlow Semi Condensed" w:hAnsi="Barlow Semi Condensed"/>
          <w:sz w:val="24"/>
          <w:szCs w:val="24"/>
        </w:rPr>
        <w:t xml:space="preserve">unificata della documentazione sul caso; e l'Archivio storico del Senato. **Ma</w:t>
      </w:r>
    </w:p>
    <w:p>
      <w:pPr>
        <w:spacing w:after="120" w:line="276"/>
        <w:jc w:val="both"/>
      </w:pPr>
      <w:r>
        <w:rPr>
          <w:rFonts w:ascii="Barlow Semi Condensed" w:cs="Barlow Semi Condensed" w:eastAsia="Barlow Semi Condensed" w:hAnsi="Barlow Semi Condensed"/>
          <w:sz w:val="24"/>
          <w:szCs w:val="24"/>
        </w:rPr>
        <w:t xml:space="preserve">la prima sede logica siete voi**, perché quella carta, se fu conservata come</w:t>
      </w:r>
    </w:p>
    <w:p>
      <w:pPr>
        <w:spacing w:after="120" w:line="276"/>
        <w:jc w:val="both"/>
      </w:pPr>
      <w:r>
        <w:rPr>
          <w:rFonts w:ascii="Barlow Semi Condensed" w:cs="Barlow Semi Condensed" w:eastAsia="Barlow Semi Condensed" w:hAnsi="Barlow Semi Condensed"/>
          <w:sz w:val="24"/>
          <w:szCs w:val="24"/>
        </w:rPr>
        <w:t xml:space="preserve">carta personale e non come atto d'ufficio, è fra le carte di Aldo Moro che la</w:t>
      </w:r>
    </w:p>
    <w:p>
      <w:pPr>
        <w:spacing w:after="120" w:line="276"/>
        <w:jc w:val="both"/>
      </w:pPr>
      <w:r>
        <w:rPr>
          <w:rFonts w:ascii="Barlow Semi Condensed" w:cs="Barlow Semi Condensed" w:eastAsia="Barlow Semi Condensed" w:hAnsi="Barlow Semi Condensed"/>
          <w:sz w:val="24"/>
          <w:szCs w:val="24"/>
        </w:rPr>
        <w:t xml:space="preserve">Fondazione custodisce o di cui conosce la collocazione.</w:t>
      </w:r>
    </w:p>
    <w:p>
      <w:pPr>
        <w:spacing w:after="120" w:line="276"/>
        <w:jc w:val="both"/>
      </w:pPr>
      <w:r>
        <w:rPr>
          <w:rFonts w:ascii="Barlow Semi Condensed" w:cs="Barlow Semi Condensed" w:eastAsia="Barlow Semi Condensed" w:hAnsi="Barlow Semi Condensed"/>
          <w:sz w:val="24"/>
          <w:szCs w:val="24"/>
        </w:rPr>
        <w:t xml:space="preserve">Vi chiedo dunque una cosa sola: **se sappiate dire dove quel documento sia, o se</w:t>
      </w:r>
    </w:p>
    <w:p>
      <w:pPr>
        <w:spacing w:after="120" w:line="276"/>
        <w:jc w:val="both"/>
      </w:pPr>
      <w:r>
        <w:rPr>
          <w:rFonts w:ascii="Barlow Semi Condensed" w:cs="Barlow Semi Condensed" w:eastAsia="Barlow Semi Condensed" w:hAnsi="Barlow Semi Condensed"/>
          <w:sz w:val="24"/>
          <w:szCs w:val="24"/>
        </w:rPr>
        <w:t xml:space="preserve">sappiate dire che non c'è.** L'una e l'altra risposta hanno lo stesso valore per</w:t>
      </w:r>
    </w:p>
    <w:p>
      <w:pPr>
        <w:spacing w:after="120" w:line="276"/>
        <w:jc w:val="both"/>
      </w:pPr>
      <w:r>
        <w:rPr>
          <w:rFonts w:ascii="Barlow Semi Condensed" w:cs="Barlow Semi Condensed" w:eastAsia="Barlow Semi Condensed" w:hAnsi="Barlow Semi Condensed"/>
          <w:sz w:val="24"/>
          <w:szCs w:val="24"/>
        </w:rPr>
        <w:t xml:space="preserve">me, e la seconda va scritta esattamente come la prima.</w:t>
      </w:r>
    </w:p>
    <w:p>
      <w:pPr>
        <w:pStyle w:val="Heading3"/>
        <w:spacing w:after="80" w:before="160"/>
      </w:pPr>
      <w:r>
        <w:rPr>
          <w:rFonts w:ascii="Barlow Semi Condensed" w:cs="Barlow Semi Condensed" w:eastAsia="Barlow Semi Condensed" w:hAnsi="Barlow Semi Condensed"/>
          <w:sz w:val="24"/>
          <w:szCs w:val="24"/>
        </w:rPr>
        <w:t xml:space="preserve">La notizia, che è la ragione vera di questa lettera</w:t>
      </w:r>
    </w:p>
    <w:p>
      <w:pPr>
        <w:spacing w:after="120" w:line="276"/>
        <w:jc w:val="both"/>
      </w:pPr>
      <w:r>
        <w:rPr>
          <w:rFonts w:ascii="Barlow Semi Condensed" w:cs="Barlow Semi Condensed" w:eastAsia="Barlow Semi Condensed" w:hAnsi="Barlow Semi Condensed"/>
          <w:sz w:val="24"/>
          <w:szCs w:val="24"/>
        </w:rPr>
        <w:t xml:space="preserve">C'è un secondo punto, e vi riguarda più di quanto riguardi me.</w:t>
      </w:r>
    </w:p>
    <w:p>
      <w:pPr>
        <w:spacing w:after="120" w:line="276"/>
        <w:jc w:val="both"/>
      </w:pPr>
      <w:r>
        <w:rPr>
          <w:rFonts w:ascii="Barlow Semi Condensed" w:cs="Barlow Semi Condensed" w:eastAsia="Barlow Semi Condensed" w:hAnsi="Barlow Semi Condensed"/>
          <w:sz w:val="24"/>
          <w:szCs w:val="24"/>
        </w:rPr>
        <w:t xml:space="preserve">Da decenni circola l'affermazione secondo cui, in quei giorni, ad Aldo Moro</w:t>
      </w:r>
    </w:p>
    <w:p>
      <w:pPr>
        <w:spacing w:after="120" w:line="276"/>
        <w:jc w:val="both"/>
      </w:pPr>
      <w:r>
        <w:rPr>
          <w:rFonts w:ascii="Barlow Semi Condensed" w:cs="Barlow Semi Condensed" w:eastAsia="Barlow Semi Condensed" w:hAnsi="Barlow Semi Condensed"/>
          <w:sz w:val="24"/>
          <w:szCs w:val="24"/>
        </w:rPr>
        <w:t xml:space="preserve">sarebbe stata rivolta una minaccia personale, e la circolazione pubblica di</w:t>
      </w:r>
    </w:p>
    <w:p>
      <w:pPr>
        <w:spacing w:after="120" w:line="276"/>
        <w:jc w:val="both"/>
      </w:pPr>
      <w:r>
        <w:rPr>
          <w:rFonts w:ascii="Barlow Semi Condensed" w:cs="Barlow Semi Condensed" w:eastAsia="Barlow Semi Condensed" w:hAnsi="Barlow Semi Condensed"/>
          <w:sz w:val="24"/>
          <w:szCs w:val="24"/>
        </w:rPr>
        <w:t xml:space="preserve">quell'affermazione indica abitualmente **il verbale dello Studio Ovale come sua</w:t>
      </w:r>
    </w:p>
    <w:p>
      <w:pPr>
        <w:spacing w:after="120" w:line="276"/>
        <w:jc w:val="both"/>
      </w:pPr>
      <w:r>
        <w:rPr>
          <w:rFonts w:ascii="Barlow Semi Condensed" w:cs="Barlow Semi Condensed" w:eastAsia="Barlow Semi Condensed" w:hAnsi="Barlow Semi Condensed"/>
          <w:sz w:val="24"/>
          <w:szCs w:val="24"/>
        </w:rPr>
        <w:t xml:space="preserve">prova documentale**.</w:t>
      </w:r>
    </w:p>
    <w:p>
      <w:pPr>
        <w:spacing w:after="120" w:line="276"/>
        <w:jc w:val="both"/>
      </w:pPr>
      <w:r>
        <w:rPr>
          <w:rFonts w:ascii="Barlow Semi Condensed" w:cs="Barlow Semi Condensed" w:eastAsia="Barlow Semi Condensed" w:hAnsi="Barlow Semi Condensed"/>
          <w:sz w:val="24"/>
          <w:szCs w:val="24"/>
        </w:rPr>
        <w:t xml:space="preserve">Il verbale non contiene quella frase.</w:t>
      </w:r>
    </w:p>
    <w:p>
      <w:pPr>
        <w:spacing w:after="120" w:line="276"/>
        <w:jc w:val="both"/>
      </w:pPr>
      <w:r>
        <w:rPr>
          <w:rFonts w:ascii="Barlow Semi Condensed" w:cs="Barlow Semi Condensed" w:eastAsia="Barlow Semi Condensed" w:hAnsi="Barlow Semi Condensed"/>
          <w:sz w:val="24"/>
          <w:szCs w:val="24"/>
        </w:rPr>
        <w:t xml:space="preserve">Devo però dichiarare il grado esatto di questa negazione, perché una negazione</w:t>
      </w:r>
    </w:p>
    <w:p>
      <w:pPr>
        <w:spacing w:after="120" w:line="276"/>
        <w:jc w:val="both"/>
      </w:pPr>
      <w:r>
        <w:rPr>
          <w:rFonts w:ascii="Barlow Semi Condensed" w:cs="Barlow Semi Condensed" w:eastAsia="Barlow Semi Condensed" w:hAnsi="Barlow Semi Condensed"/>
          <w:sz w:val="24"/>
          <w:szCs w:val="24"/>
        </w:rPr>
        <w:t xml:space="preserve">detta più forte di quanto sia è essa stessa un errore. Ciò che ho accertato è</w:t>
      </w:r>
    </w:p>
    <w:p>
      <w:pPr>
        <w:spacing w:after="120" w:line="276"/>
        <w:jc w:val="both"/>
      </w:pPr>
      <w:r>
        <w:rPr>
          <w:rFonts w:ascii="Barlow Semi Condensed" w:cs="Barlow Semi Condensed" w:eastAsia="Barlow Semi Condensed" w:hAnsi="Barlow Semi Condensed"/>
          <w:sz w:val="24"/>
          <w:szCs w:val="24"/>
        </w:rPr>
        <w:t xml:space="preserve">che nessuna delle fonti che riportano la frase la cita </w:t>
      </w:r>
      <w:r>
        <w:rPr>
          <w:rFonts w:ascii="Barlow Semi Condensed" w:cs="Barlow Semi Condensed" w:eastAsia="Barlow Semi Condensed" w:hAnsi="Barlow Semi Condensed"/>
          <w:i/>
          <w:iCs/>
          <w:sz w:val="24"/>
          <w:szCs w:val="24"/>
        </w:rPr>
        <w:t xml:space="preserve">dal</w:t>
      </w:r>
      <w:r>
        <w:rPr>
          <w:rFonts w:ascii="Barlow Semi Condensed" w:cs="Barlow Semi Condensed" w:eastAsia="Barlow Semi Condensed" w:hAnsi="Barlow Semi Condensed"/>
          <w:sz w:val="24"/>
          <w:szCs w:val="24"/>
        </w:rPr>
        <w:t xml:space="preserve"> documento, e che le</w:t>
      </w:r>
    </w:p>
    <w:p>
      <w:pPr>
        <w:spacing w:after="120" w:line="276"/>
        <w:jc w:val="both"/>
      </w:pPr>
      <w:r>
        <w:rPr>
          <w:rFonts w:ascii="Barlow Semi Condensed" w:cs="Barlow Semi Condensed" w:eastAsia="Barlow Semi Condensed" w:hAnsi="Barlow Semi Condensed"/>
          <w:sz w:val="24"/>
          <w:szCs w:val="24"/>
        </w:rPr>
        <w:t xml:space="preserve">rese pubbliche del contenuto di quel documento non la contengono. **Non ho</w:t>
      </w:r>
    </w:p>
    <w:p>
      <w:pPr>
        <w:spacing w:after="120" w:line="276"/>
        <w:jc w:val="both"/>
      </w:pPr>
      <w:r>
        <w:rPr>
          <w:rFonts w:ascii="Barlow Semi Condensed" w:cs="Barlow Semi Condensed" w:eastAsia="Barlow Semi Condensed" w:hAnsi="Barlow Semi Condensed"/>
          <w:sz w:val="24"/>
          <w:szCs w:val="24"/>
        </w:rPr>
        <w:t xml:space="preserve">letto il documento originale riga per riga**: l'accesso diretto è risultato</w:t>
      </w:r>
    </w:p>
    <w:p>
      <w:pPr>
        <w:spacing w:after="120" w:line="276"/>
        <w:jc w:val="both"/>
      </w:pPr>
      <w:r>
        <w:rPr>
          <w:rFonts w:ascii="Barlow Semi Condensed" w:cs="Barlow Semi Condensed" w:eastAsia="Barlow Semi Condensed" w:hAnsi="Barlow Semi Condensed"/>
          <w:sz w:val="24"/>
          <w:szCs w:val="24"/>
        </w:rPr>
        <w:t xml:space="preserve">filtrato, e la verifica poggia su sintesi. Chiunque abbia accesso alla pagina</w:t>
      </w:r>
    </w:p>
    <w:p>
      <w:pPr>
        <w:spacing w:after="120" w:line="276"/>
        <w:jc w:val="both"/>
      </w:pPr>
      <w:r>
        <w:rPr>
          <w:rFonts w:ascii="Barlow Semi Condensed" w:cs="Barlow Semi Condensed" w:eastAsia="Barlow Semi Condensed" w:hAnsi="Barlow Semi Condensed"/>
          <w:sz w:val="24"/>
          <w:szCs w:val="24"/>
        </w:rPr>
        <w:t xml:space="preserve">può smentirmi in mezz'ora, ed è la ragione per cui scrivo la cosa in questa</w:t>
      </w:r>
    </w:p>
    <w:p>
      <w:pPr>
        <w:spacing w:after="120" w:line="276"/>
        <w:jc w:val="both"/>
      </w:pPr>
      <w:r>
        <w:rPr>
          <w:rFonts w:ascii="Barlow Semi Condensed" w:cs="Barlow Semi Condensed" w:eastAsia="Barlow Semi Condensed" w:hAnsi="Barlow Semi Condensed"/>
          <w:sz w:val="24"/>
          <w:szCs w:val="24"/>
        </w:rPr>
        <w:t xml:space="preserve">forma e non in una più comoda.</w:t>
      </w:r>
    </w:p>
    <w:p>
      <w:pPr>
        <w:spacing w:after="120" w:line="276"/>
        <w:jc w:val="both"/>
      </w:pPr>
      <w:r>
        <w:rPr>
          <w:rFonts w:ascii="Barlow Semi Condensed" w:cs="Barlow Semi Condensed" w:eastAsia="Barlow Semi Condensed" w:hAnsi="Barlow Semi Condensed"/>
          <w:sz w:val="24"/>
          <w:szCs w:val="24"/>
        </w:rPr>
        <w:t xml:space="preserve">Va aggiunta, per correttezza piena, l'osservazione che rende il punto non</w:t>
      </w:r>
    </w:p>
    <w:p>
      <w:pPr>
        <w:spacing w:after="120" w:line="276"/>
        <w:jc w:val="both"/>
      </w:pPr>
      <w:r>
        <w:rPr>
          <w:rFonts w:ascii="Barlow Semi Condensed" w:cs="Barlow Semi Condensed" w:eastAsia="Barlow Semi Condensed" w:hAnsi="Barlow Semi Condensed"/>
          <w:sz w:val="24"/>
          <w:szCs w:val="24"/>
        </w:rPr>
        <w:t xml:space="preserve">risolutivo: secondo la testimonianza da cui l'episodio discende, la frase</w:t>
      </w:r>
    </w:p>
    <w:p>
      <w:pPr>
        <w:spacing w:after="120" w:line="276"/>
        <w:jc w:val="both"/>
      </w:pPr>
      <w:r>
        <w:rPr>
          <w:rFonts w:ascii="Barlow Semi Condensed" w:cs="Barlow Semi Condensed" w:eastAsia="Barlow Semi Condensed" w:hAnsi="Barlow Semi Condensed"/>
          <w:sz w:val="24"/>
          <w:szCs w:val="24"/>
        </w:rPr>
        <w:t xml:space="preserve">sarebbe stata pronunciata </w:t>
      </w:r>
      <w:r>
        <w:rPr>
          <w:rFonts w:ascii="Barlow Semi Condensed" w:cs="Barlow Semi Condensed" w:eastAsia="Barlow Semi Condensed" w:hAnsi="Barlow Semi Condensed"/>
          <w:b/>
          <w:bCs/>
          <w:sz w:val="24"/>
          <w:szCs w:val="24"/>
        </w:rPr>
        <w:t xml:space="preserve">a margine</w:t>
      </w:r>
      <w:r>
        <w:rPr>
          <w:rFonts w:ascii="Barlow Semi Condensed" w:cs="Barlow Semi Condensed" w:eastAsia="Barlow Semi Condensed" w:hAnsi="Barlow Semi Condensed"/>
          <w:sz w:val="24"/>
          <w:szCs w:val="24"/>
        </w:rPr>
        <w:t xml:space="preserve">, in colloquio riservato o a cena. Un</w:t>
      </w:r>
    </w:p>
    <w:p>
      <w:pPr>
        <w:spacing w:after="120" w:line="276"/>
        <w:jc w:val="both"/>
      </w:pPr>
      <w:r>
        <w:rPr>
          <w:rFonts w:ascii="Barlow Semi Condensed" w:cs="Barlow Semi Condensed" w:eastAsia="Barlow Semi Condensed" w:hAnsi="Barlow Semi Condensed"/>
          <w:sz w:val="24"/>
          <w:szCs w:val="24"/>
        </w:rPr>
        <w:t xml:space="preserve">verbale registra la riunione, non i corridoi. **L'assenza dal verbale non prova</w:t>
      </w:r>
    </w:p>
    <w:p>
      <w:pPr>
        <w:spacing w:after="120" w:line="276"/>
        <w:jc w:val="both"/>
      </w:pPr>
      <w:r>
        <w:rPr>
          <w:rFonts w:ascii="Barlow Semi Condensed" w:cs="Barlow Semi Condensed" w:eastAsia="Barlow Semi Condensed" w:hAnsi="Barlow Semi Condensed"/>
          <w:sz w:val="24"/>
          <w:szCs w:val="24"/>
        </w:rPr>
        <w:t xml:space="preserve">dunque né la falsità né la verità dell'episodio**: toglie soltanto — ma in modo</w:t>
      </w:r>
    </w:p>
    <w:p>
      <w:pPr>
        <w:spacing w:after="120" w:line="276"/>
        <w:jc w:val="both"/>
      </w:pPr>
      <w:r>
        <w:rPr>
          <w:rFonts w:ascii="Barlow Semi Condensed" w:cs="Barlow Semi Condensed" w:eastAsia="Barlow Semi Condensed" w:hAnsi="Barlow Semi Condensed"/>
          <w:sz w:val="24"/>
          <w:szCs w:val="24"/>
        </w:rPr>
        <w:t xml:space="preserve">netto — l'appoggio documentale alla versione che lo colloca nell'incontro</w:t>
      </w:r>
    </w:p>
    <w:p>
      <w:pPr>
        <w:spacing w:after="120" w:line="276"/>
        <w:jc w:val="both"/>
      </w:pPr>
      <w:r>
        <w:rPr>
          <w:rFonts w:ascii="Barlow Semi Condensed" w:cs="Barlow Semi Condensed" w:eastAsia="Barlow Semi Condensed" w:hAnsi="Barlow Semi Condensed"/>
          <w:sz w:val="24"/>
          <w:szCs w:val="24"/>
        </w:rPr>
        <w:t xml:space="preserve">ufficiale.</w:t>
      </w:r>
    </w:p>
    <w:p>
      <w:pPr>
        <w:spacing w:after="120" w:line="276"/>
        <w:jc w:val="both"/>
      </w:pPr>
      <w:r>
        <w:rPr>
          <w:rFonts w:ascii="Barlow Semi Condensed" w:cs="Barlow Semi Condensed" w:eastAsia="Barlow Semi Condensed" w:hAnsi="Barlow Semi Condensed"/>
          <w:sz w:val="24"/>
          <w:szCs w:val="24"/>
        </w:rPr>
        <w:t xml:space="preserve">Il corpus registra l'episodio per quello che è: </w:t>
      </w:r>
      <w:r>
        <w:rPr>
          <w:rFonts w:ascii="Barlow Semi Condensed" w:cs="Barlow Semi Condensed" w:eastAsia="Barlow Semi Condensed" w:hAnsi="Barlow Semi Condensed"/>
          <w:b/>
          <w:bCs/>
          <w:sz w:val="24"/>
          <w:szCs w:val="24"/>
        </w:rPr>
        <w:t xml:space="preserve">testimonianza contestata</w:t>
      </w:r>
      <w:r>
        <w:rPr>
          <w:rFonts w:ascii="Barlow Semi Condensed" w:cs="Barlow Semi Condensed" w:eastAsia="Barlow Semi Condensed" w:hAnsi="Barlow Semi Condensed"/>
          <w:sz w:val="24"/>
          <w:szCs w:val="24"/>
        </w:rPr>
        <w:t xml:space="preserve">, resa</w:t>
      </w:r>
    </w:p>
    <w:p>
      <w:pPr>
        <w:spacing w:after="120" w:line="276"/>
        <w:jc w:val="both"/>
      </w:pPr>
      <w:r>
        <w:rPr>
          <w:rFonts w:ascii="Barlow Semi Condensed" w:cs="Barlow Semi Condensed" w:eastAsia="Barlow Semi Condensed" w:hAnsi="Barlow Semi Condensed"/>
          <w:sz w:val="24"/>
          <w:szCs w:val="24"/>
        </w:rPr>
        <w:t xml:space="preserve">otto anni dopo e per via indiretta, con la smentita dell'interessato annotata</w:t>
      </w:r>
    </w:p>
    <w:p>
      <w:pPr>
        <w:spacing w:after="120" w:line="276"/>
        <w:jc w:val="both"/>
      </w:pPr>
      <w:r>
        <w:rPr>
          <w:rFonts w:ascii="Barlow Semi Condensed" w:cs="Barlow Semi Condensed" w:eastAsia="Barlow Semi Condensed" w:hAnsi="Barlow Semi Condensed"/>
          <w:sz w:val="24"/>
          <w:szCs w:val="24"/>
        </w:rPr>
        <w:t xml:space="preserve">accanto, e con le divergenze sulla data e sul luogo riportate e non sciolte —</w:t>
      </w:r>
    </w:p>
    <w:p>
      <w:pPr>
        <w:spacing w:after="120" w:line="276"/>
        <w:jc w:val="both"/>
      </w:pPr>
      <w:r>
        <w:rPr>
          <w:rFonts w:ascii="Barlow Semi Condensed" w:cs="Barlow Semi Condensed" w:eastAsia="Barlow Semi Condensed" w:hAnsi="Barlow Semi Condensed"/>
          <w:sz w:val="24"/>
          <w:szCs w:val="24"/>
        </w:rPr>
        <w:t xml:space="preserve">perché la stessa vicenda è collocata da fonti diverse nel 1974, nel 1976 e nel</w:t>
      </w:r>
    </w:p>
    <w:p>
      <w:pPr>
        <w:spacing w:after="120" w:line="276"/>
        <w:jc w:val="both"/>
      </w:pPr>
      <w:r>
        <w:rPr>
          <w:rFonts w:ascii="Barlow Semi Condensed" w:cs="Barlow Semi Condensed" w:eastAsia="Barlow Semi Condensed" w:hAnsi="Barlow Semi Condensed"/>
          <w:sz w:val="24"/>
          <w:szCs w:val="24"/>
        </w:rPr>
        <w:t xml:space="preserve">1977, e in stanze diverse.</w:t>
      </w:r>
    </w:p>
    <w:p>
      <w:pPr>
        <w:spacing w:after="120" w:line="276"/>
        <w:jc w:val="both"/>
      </w:pPr>
      <w:r>
        <w:rPr>
          <w:rFonts w:ascii="Barlow Semi Condensed" w:cs="Barlow Semi Condensed" w:eastAsia="Barlow Semi Condensed" w:hAnsi="Barlow Semi Condensed"/>
          <w:sz w:val="24"/>
          <w:szCs w:val="24"/>
        </w:rPr>
        <w:t xml:space="preserve">**Vi comunico questo prima di ogni altra cosa, e prima che lo leggiate altrove,</w:t>
      </w:r>
    </w:p>
    <w:p>
      <w:pPr>
        <w:spacing w:after="120" w:line="276"/>
        <w:jc w:val="both"/>
      </w:pPr>
      <w:r>
        <w:rPr>
          <w:rFonts w:ascii="Barlow Semi Condensed" w:cs="Barlow Semi Condensed" w:eastAsia="Barlow Semi Condensed" w:hAnsi="Barlow Semi Condensed"/>
          <w:sz w:val="24"/>
          <w:szCs w:val="24"/>
        </w:rPr>
        <w:t xml:space="preserve">per una ragione precisa.** Quell'affermazione riguarda una persona che non può</w:t>
      </w:r>
    </w:p>
    <w:p>
      <w:pPr>
        <w:spacing w:after="120" w:line="276"/>
        <w:jc w:val="both"/>
      </w:pPr>
      <w:r>
        <w:rPr>
          <w:rFonts w:ascii="Barlow Semi Condensed" w:cs="Barlow Semi Condensed" w:eastAsia="Barlow Semi Condensed" w:hAnsi="Barlow Semi Condensed"/>
          <w:sz w:val="24"/>
          <w:szCs w:val="24"/>
        </w:rPr>
        <w:t xml:space="preserve">più confermarla né smentirla, e la sua famiglia. Un accertamento che ne indebolisce</w:t>
      </w:r>
    </w:p>
    <w:p>
      <w:pPr>
        <w:spacing w:after="120" w:line="276"/>
        <w:jc w:val="both"/>
      </w:pPr>
      <w:r>
        <w:rPr>
          <w:rFonts w:ascii="Barlow Semi Condensed" w:cs="Barlow Semi Condensed" w:eastAsia="Barlow Semi Condensed" w:hAnsi="Barlow Semi Condensed"/>
          <w:sz w:val="24"/>
          <w:szCs w:val="24"/>
        </w:rPr>
        <w:t xml:space="preserve">l'appoggio documentale non è una buona notizia né una cattiva: è un dato, e chi</w:t>
      </w:r>
    </w:p>
    <w:p>
      <w:pPr>
        <w:spacing w:after="120" w:line="276"/>
        <w:jc w:val="both"/>
      </w:pPr>
      <w:r>
        <w:rPr>
          <w:rFonts w:ascii="Barlow Semi Condensed" w:cs="Barlow Semi Condensed" w:eastAsia="Barlow Semi Condensed" w:hAnsi="Barlow Semi Condensed"/>
          <w:sz w:val="24"/>
          <w:szCs w:val="24"/>
        </w:rPr>
        <w:t xml:space="preserve">ne cura la memoria ha diritto di conoscerlo per primo e di contestarlo.</w:t>
      </w:r>
    </w:p>
    <w:p>
      <w:pPr>
        <w:spacing w:after="120" w:line="276"/>
        <w:jc w:val="both"/>
      </w:pPr>
      <w:r>
        <w:rPr>
          <w:rFonts w:ascii="Barlow Semi Condensed" w:cs="Barlow Semi Condensed" w:eastAsia="Barlow Semi Condensed" w:hAnsi="Barlow Semi Condensed"/>
          <w:sz w:val="24"/>
          <w:szCs w:val="24"/>
        </w:rPr>
        <w:t xml:space="preserve">**Se possedete una carta, una testimonianza o un riferimento che contraddica</w:t>
      </w:r>
    </w:p>
    <w:p>
      <w:pPr>
        <w:spacing w:after="120" w:line="276"/>
        <w:jc w:val="both"/>
      </w:pPr>
      <w:r>
        <w:rPr>
          <w:rFonts w:ascii="Barlow Semi Condensed" w:cs="Barlow Semi Condensed" w:eastAsia="Barlow Semi Condensed" w:hAnsi="Barlow Semi Condensed"/>
          <w:sz w:val="24"/>
          <w:szCs w:val="24"/>
        </w:rPr>
        <w:t xml:space="preserve">quanto ho scritto, lo recepirò per nota, accanto al testo errato e senza</w:t>
      </w:r>
    </w:p>
    <w:p>
      <w:pPr>
        <w:spacing w:after="120" w:line="276"/>
        <w:jc w:val="both"/>
      </w:pPr>
      <w:r>
        <w:rPr>
          <w:rFonts w:ascii="Barlow Semi Condensed" w:cs="Barlow Semi Condensed" w:eastAsia="Barlow Semi Condensed" w:hAnsi="Barlow Semi Condensed"/>
          <w:sz w:val="24"/>
          <w:szCs w:val="24"/>
        </w:rPr>
        <w:t xml:space="preserve">cancellarlo** — che è il criterio con cui il corpus tratta ogni propria</w:t>
      </w:r>
    </w:p>
    <w:p>
      <w:pPr>
        <w:spacing w:after="120" w:line="276"/>
        <w:jc w:val="both"/>
      </w:pPr>
      <w:r>
        <w:rPr>
          <w:rFonts w:ascii="Barlow Semi Condensed" w:cs="Barlow Semi Condensed" w:eastAsia="Barlow Semi Condensed" w:hAnsi="Barlow Semi Condensed"/>
          <w:sz w:val="24"/>
          <w:szCs w:val="24"/>
        </w:rPr>
        <w:t xml:space="preserve">correzione, comprese quelle che ha dovuto fare contro sé stesso.</w:t>
      </w:r>
    </w:p>
    <w:p>
      <w:pPr>
        <w:pStyle w:val="Heading3"/>
        <w:spacing w:after="80" w:before="160"/>
      </w:pPr>
      <w:r>
        <w:rPr>
          <w:rFonts w:ascii="Barlow Semi Condensed" w:cs="Barlow Semi Condensed" w:eastAsia="Barlow Semi Condensed" w:hAnsi="Barlow Semi Condensed"/>
          <w:sz w:val="24"/>
          <w:szCs w:val="24"/>
        </w:rPr>
        <w:t xml:space="preserve">Che cosa non chiedo</w:t>
      </w:r>
    </w:p>
    <w:p>
      <w:pPr>
        <w:spacing w:after="120" w:line="276"/>
        <w:jc w:val="both"/>
      </w:pPr>
      <w:r>
        <w:rPr>
          <w:rFonts w:ascii="Barlow Semi Condensed" w:cs="Barlow Semi Condensed" w:eastAsia="Barlow Semi Condensed" w:hAnsi="Barlow Semi Condensed"/>
          <w:sz w:val="24"/>
          <w:szCs w:val="24"/>
        </w:rPr>
        <w:t xml:space="preserve">Non chiedo il deposito di alcunché, non chiedo patrocinio, non chiedo che il</w:t>
      </w:r>
    </w:p>
    <w:p>
      <w:pPr>
        <w:spacing w:after="120" w:line="276"/>
        <w:jc w:val="both"/>
      </w:pPr>
      <w:r>
        <w:rPr>
          <w:rFonts w:ascii="Barlow Semi Condensed" w:cs="Barlow Semi Condensed" w:eastAsia="Barlow Semi Condensed" w:hAnsi="Barlow Semi Condensed"/>
          <w:sz w:val="24"/>
          <w:szCs w:val="24"/>
        </w:rPr>
        <w:t xml:space="preserve">vostro nome compaia accanto al mio in alcun luogo, e non chiedo di essere</w:t>
      </w:r>
    </w:p>
    <w:p>
      <w:pPr>
        <w:spacing w:after="120" w:line="276"/>
        <w:jc w:val="both"/>
      </w:pPr>
      <w:r>
        <w:rPr>
          <w:rFonts w:ascii="Barlow Semi Condensed" w:cs="Barlow Semi Condensed" w:eastAsia="Barlow Semi Condensed" w:hAnsi="Barlow Semi Condensed"/>
          <w:sz w:val="24"/>
          <w:szCs w:val="24"/>
        </w:rPr>
        <w:t xml:space="preserve">ricevuto. Se riteneste che questa materia non vi competa, o che il modo in cui</w:t>
      </w:r>
    </w:p>
    <w:p>
      <w:pPr>
        <w:spacing w:after="120" w:line="276"/>
        <w:jc w:val="both"/>
      </w:pPr>
      <w:r>
        <w:rPr>
          <w:rFonts w:ascii="Barlow Semi Condensed" w:cs="Barlow Semi Condensed" w:eastAsia="Barlow Semi Condensed" w:hAnsi="Barlow Semi Condensed"/>
          <w:sz w:val="24"/>
          <w:szCs w:val="24"/>
        </w:rPr>
        <w:t xml:space="preserve">è stata prodotta la renda inutilizzabile, quel giudizio sarebbe a sua volta</w:t>
      </w:r>
    </w:p>
    <w:p>
      <w:pPr>
        <w:spacing w:after="120" w:line="276"/>
        <w:jc w:val="both"/>
      </w:pPr>
      <w:r>
        <w:rPr>
          <w:rFonts w:ascii="Barlow Semi Condensed" w:cs="Barlow Semi Condensed" w:eastAsia="Barlow Semi Condensed" w:hAnsi="Barlow Semi Condensed"/>
          <w:sz w:val="24"/>
          <w:szCs w:val="24"/>
        </w:rPr>
        <w:t xml:space="preserve">un'informazione e la accoglierei come tale.</w:t>
      </w:r>
    </w:p>
    <w:p>
      <w:pPr>
        <w:spacing w:after="120" w:line="276"/>
        <w:jc w:val="both"/>
      </w:pPr>
      <w:r>
        <w:rPr>
          <w:rFonts w:ascii="Barlow Semi Condensed" w:cs="Barlow Semi Condensed" w:eastAsia="Barlow Semi Condensed" w:hAnsi="Barlow Semi Condensed"/>
          <w:sz w:val="24"/>
          <w:szCs w:val="24"/>
        </w:rPr>
        <w:t xml:space="preserve">Resto a disposizione per l'invio dei materiali, nella misura e nel formato che</w:t>
      </w:r>
    </w:p>
    <w:p>
      <w:pPr>
        <w:spacing w:after="120" w:line="276"/>
        <w:jc w:val="both"/>
      </w:pPr>
      <w:r>
        <w:rPr>
          <w:rFonts w:ascii="Barlow Semi Condensed" w:cs="Barlow Semi Condensed" w:eastAsia="Barlow Semi Condensed" w:hAnsi="Barlow Semi Condensed"/>
          <w:sz w:val="24"/>
          <w:szCs w:val="24"/>
        </w:rPr>
        <w:t xml:space="preserve">riterrete utili — o per non inviarne alcuno, se preferite.</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 per la risposta</w:t>
      </w:r>
      <w:r>
        <w:rPr>
          <w:rFonts w:ascii="Barlow Semi Condensed" w:cs="Barlow Semi Condensed" w:eastAsia="Barlow Semi Condensed" w:hAnsi="Barlow Semi Condensed"/>
          <w:sz w:val="24"/>
          <w:szCs w:val="24"/>
        </w:rPr>
        <w:t xml:space="preserve">: [posta elettronica e telefono]</w:t>
      </w:r>
    </w:p>
    <w:p>
      <w:pPr>
        <w:spacing w:after="120" w:line="276"/>
        <w:jc w:val="both"/>
      </w:pP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Allegati</w:t>
      </w:r>
    </w:p>
    <w:p>
      <w:pPr>
        <w:spacing w:after="120" w:line="276"/>
        <w:jc w:val="both"/>
      </w:pPr>
      <w:r>
        <w:rPr>
          <w:rFonts w:ascii="Barlow Semi Condensed" w:cs="Barlow Semi Condensed" w:eastAsia="Barlow Semi Condensed" w:hAnsi="Barlow Semi Condensed"/>
          <w:b/>
          <w:bCs/>
          <w:sz w:val="24"/>
          <w:szCs w:val="24"/>
        </w:rPr>
        <w:t xml:space="preserve">Uno solo, e leggero.</w:t>
      </w:r>
      <w:r>
        <w:rPr>
          <w:rFonts w:ascii="Barlow Semi Condensed" w:cs="Barlow Semi Condensed" w:eastAsia="Barlow Semi Condensed" w:hAnsi="Barlow Semi Condensed"/>
          <w:sz w:val="24"/>
          <w:szCs w:val="24"/>
        </w:rPr>
        <w:t xml:space="preserve"> La regola qui è opposta a quella delle proposte</w:t>
      </w:r>
    </w:p>
    <w:p>
      <w:pPr>
        <w:spacing w:after="120" w:line="276"/>
        <w:jc w:val="both"/>
      </w:pPr>
      <w:r>
        <w:rPr>
          <w:rFonts w:ascii="Barlow Semi Condensed" w:cs="Barlow Semi Condensed" w:eastAsia="Barlow Semi Condensed" w:hAnsi="Barlow Semi Condensed"/>
          <w:sz w:val="24"/>
          <w:szCs w:val="24"/>
        </w:rPr>
        <w:t xml:space="preserve">editoriali: non si allega il corpus.</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ALLEGATO_SCHEDA_DELL_OPERA.pdf</w:t>
      </w:r>
      <w:r>
        <w:rPr>
          <w:rFonts w:ascii="Barlow Semi Condensed" w:cs="Barlow Semi Condensed" w:eastAsia="Barlow Semi Condensed" w:hAnsi="Barlow Semi Condensed"/>
          <w:sz w:val="24"/>
          <w:szCs w:val="24"/>
        </w:rPr>
        <w:t xml:space="preserve"> — una pagina con i numeri, la disciplina e i</w:t>
      </w:r>
    </w:p>
    <w:p>
      <w:pPr>
        <w:spacing w:after="120" w:line="276"/>
        <w:jc w:val="both"/>
      </w:pPr>
      <w:r>
        <w:rPr>
          <w:rFonts w:ascii="Barlow Semi Condensed" w:cs="Barlow Semi Condensed" w:eastAsia="Barlow Semi Condensed" w:hAnsi="Barlow Semi Condensed"/>
          <w:sz w:val="24"/>
          <w:szCs w:val="24"/>
        </w:rPr>
        <w:t xml:space="preserve">  limiti dichiarati.</w:t>
      </w:r>
    </w:p>
    <w:p>
      <w:pPr>
        <w:spacing w:after="120" w:line="276"/>
        <w:jc w:val="both"/>
      </w:pPr>
      <w:r>
        <w:rPr>
          <w:rFonts w:ascii="Barlow Semi Condensed" w:cs="Barlow Semi Condensed" w:eastAsia="Barlow Semi Condensed" w:hAnsi="Barlow Semi Condensed"/>
          <w:sz w:val="24"/>
          <w:szCs w:val="24"/>
        </w:rPr>
        <w:t xml:space="preserve">Il resto si offre e non si manda. Se chiedessero di vedere il materiale sul</w:t>
      </w:r>
    </w:p>
    <w:p>
      <w:pPr>
        <w:spacing w:after="120" w:line="276"/>
        <w:jc w:val="both"/>
      </w:pPr>
      <w:r>
        <w:rPr>
          <w:rFonts w:ascii="Barlow Semi Condensed" w:cs="Barlow Semi Condensed" w:eastAsia="Barlow Semi Condensed" w:hAnsi="Barlow Semi Condensed"/>
          <w:sz w:val="24"/>
          <w:szCs w:val="24"/>
        </w:rPr>
        <w:t xml:space="preserve">punto specifico, si invia allora — e solo allora — il capitolo campione, che</w:t>
      </w:r>
    </w:p>
    <w:p>
      <w:pPr>
        <w:spacing w:after="120" w:line="276"/>
        <w:jc w:val="both"/>
      </w:pPr>
      <w:r>
        <w:rPr>
          <w:rFonts w:ascii="Barlow Semi Condensed" w:cs="Barlow Semi Condensed" w:eastAsia="Barlow Semi Condensed" w:hAnsi="Barlow Semi Condensed"/>
          <w:sz w:val="24"/>
          <w:szCs w:val="24"/>
        </w:rPr>
        <w:t xml:space="preserve">tratta per intero il verbale del 25 settembre 1974.</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prudenza — la più importante di tutto il dossier</w:t>
      </w:r>
    </w:p>
    <w:p>
      <w:pPr>
        <w:spacing w:after="120" w:line="276"/>
        <w:jc w:val="both"/>
      </w:pPr>
      <w:r>
        <w:rPr>
          <w:rFonts w:ascii="Barlow Semi Condensed" w:cs="Barlow Semi Condensed" w:eastAsia="Barlow Semi Condensed" w:hAnsi="Barlow Semi Condensed"/>
          <w:sz w:val="24"/>
          <w:szCs w:val="24"/>
        </w:rPr>
        <w:t xml:space="preserve">Questa è l'unica lettera del dossier che riguarda **la memoria di una persona</w:t>
      </w:r>
    </w:p>
    <w:p>
      <w:pPr>
        <w:spacing w:after="120" w:line="276"/>
        <w:jc w:val="both"/>
      </w:pPr>
      <w:r>
        <w:rPr>
          <w:rFonts w:ascii="Barlow Semi Condensed" w:cs="Barlow Semi Condensed" w:eastAsia="Barlow Semi Condensed" w:hAnsi="Barlow Semi Condensed"/>
          <w:sz w:val="24"/>
          <w:szCs w:val="24"/>
        </w:rPr>
        <w:t xml:space="preserve">determinata, e una famiglia che esiste**. Tre avvertenze, e nessuna è formale:</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Non si scrive nulla che possa suonare come una rivendicazione di</w:t>
      </w:r>
    </w:p>
    <w:p>
      <w:pPr>
        <w:spacing w:after="120" w:line="276"/>
        <w:jc w:val="both"/>
      </w:pPr>
      <w:r>
        <w:rPr>
          <w:rFonts w:ascii="Barlow Semi Condensed" w:cs="Barlow Semi Condensed" w:eastAsia="Barlow Semi Condensed" w:hAnsi="Barlow Semi Condensed"/>
          <w:sz w:val="24"/>
          <w:szCs w:val="24"/>
        </w:rPr>
        <w:t xml:space="preserve">scoperta. Non c'è alcuna scoperta: c'è un documento pubblico che dice altro da</w:t>
      </w:r>
    </w:p>
    <w:p>
      <w:pPr>
        <w:spacing w:after="120" w:line="276"/>
        <w:jc w:val="both"/>
      </w:pPr>
      <w:r>
        <w:rPr>
          <w:rFonts w:ascii="Barlow Semi Condensed" w:cs="Barlow Semi Condensed" w:eastAsia="Barlow Semi Condensed" w:hAnsi="Barlow Semi Condensed"/>
          <w:sz w:val="24"/>
          <w:szCs w:val="24"/>
        </w:rPr>
        <w:t xml:space="preserve">ciò che gli si fa dire, e una carta che nessuno ha cercato.</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Non si usa il nome di Aldo Moro come richiamo. La lettera parla di</w:t>
      </w:r>
    </w:p>
    <w:p>
      <w:pPr>
        <w:spacing w:after="120" w:line="276"/>
        <w:jc w:val="both"/>
      </w:pPr>
      <w:r>
        <w:rPr>
          <w:rFonts w:ascii="Barlow Semi Condensed" w:cs="Barlow Semi Condensed" w:eastAsia="Barlow Semi Condensed" w:hAnsi="Barlow Semi Condensed"/>
          <w:sz w:val="24"/>
          <w:szCs w:val="24"/>
        </w:rPr>
        <w:t xml:space="preserve">una carta e di una data; se il tono scivola verso il caso, la vicenda o il</w:t>
      </w:r>
    </w:p>
    <w:p>
      <w:pPr>
        <w:spacing w:after="120" w:line="276"/>
        <w:jc w:val="both"/>
      </w:pPr>
      <w:r>
        <w:rPr>
          <w:rFonts w:ascii="Barlow Semi Condensed" w:cs="Barlow Semi Condensed" w:eastAsia="Barlow Semi Condensed" w:hAnsi="Barlow Semi Condensed"/>
          <w:sz w:val="24"/>
          <w:szCs w:val="24"/>
        </w:rPr>
        <w:t xml:space="preserve">mistero, va riscritta.</w:t>
      </w:r>
    </w:p>
    <w:p>
      <w:pPr>
        <w:spacing w:after="120" w:line="276"/>
        <w:jc w:val="both"/>
      </w:pPr>
      <w:r>
        <w:rPr>
          <w:rFonts w:ascii="Barlow Semi Condensed" w:cs="Barlow Semi Condensed" w:eastAsia="Barlow Semi Condensed" w:hAnsi="Barlow Semi Condensed"/>
          <w:b/>
          <w:bCs/>
          <w:sz w:val="24"/>
          <w:szCs w:val="24"/>
        </w:rPr>
        <w:t xml:space="preserve">Terza, e decide il resto.</w:t>
      </w:r>
      <w:r>
        <w:rPr>
          <w:rFonts w:ascii="Barlow Semi Condensed" w:cs="Barlow Semi Condensed" w:eastAsia="Barlow Semi Condensed" w:hAnsi="Barlow Semi Condensed"/>
          <w:sz w:val="24"/>
          <w:szCs w:val="24"/>
        </w:rPr>
        <w:t xml:space="preserve"> Se dopo la rilettura la lettera sembrasse chiedere</w:t>
      </w:r>
    </w:p>
    <w:p>
      <w:pPr>
        <w:spacing w:after="120" w:line="276"/>
        <w:jc w:val="both"/>
      </w:pPr>
      <w:r>
        <w:rPr>
          <w:rFonts w:ascii="Barlow Semi Condensed" w:cs="Barlow Semi Condensed" w:eastAsia="Barlow Semi Condensed" w:hAnsi="Barlow Semi Condensed"/>
          <w:sz w:val="24"/>
          <w:szCs w:val="24"/>
        </w:rPr>
        <w:t xml:space="preserve">qualcosa in cambio — una risposta, un riconoscimento, un contatto — **va</w:t>
      </w:r>
    </w:p>
    <w:p>
      <w:pPr>
        <w:spacing w:after="120" w:line="276"/>
        <w:jc w:val="both"/>
      </w:pPr>
      <w:r>
        <w:rPr>
          <w:rFonts w:ascii="Barlow Semi Condensed" w:cs="Barlow Semi Condensed" w:eastAsia="Barlow Semi Condensed" w:hAnsi="Barlow Semi Condensed"/>
          <w:sz w:val="24"/>
          <w:szCs w:val="24"/>
        </w:rPr>
        <w:t xml:space="preserve">tagliata finché non chiede più nulla**. È l'unica forma in cui merita di essere</w:t>
      </w:r>
    </w:p>
    <w:p>
      <w:pPr>
        <w:spacing w:after="120" w:line="276"/>
        <w:jc w:val="both"/>
      </w:pPr>
      <w:r>
        <w:rPr>
          <w:rFonts w:ascii="Barlow Semi Condensed" w:cs="Barlow Semi Condensed" w:eastAsia="Barlow Semi Condensed" w:hAnsi="Barlow Semi Condensed"/>
          <w:sz w:val="24"/>
          <w:szCs w:val="24"/>
        </w:rPr>
        <w:t xml:space="preserve">spedita.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Una porta vicina, per un oggetto diverso</w:t>
      </w:r>
    </w:p>
    <w:p>
      <w:pPr>
        <w:spacing w:after="120" w:line="276"/>
        <w:jc w:val="both"/>
      </w:pPr>
      <w:r>
        <w:rPr>
          <w:rFonts w:ascii="Barlow Semi Condensed" w:cs="Barlow Semi Condensed" w:eastAsia="Barlow Semi Condensed" w:hAnsi="Barlow Semi Condensed"/>
          <w:sz w:val="24"/>
          <w:szCs w:val="24"/>
        </w:rPr>
        <w:t xml:space="preserve">L'</w:t>
      </w:r>
      <w:r>
        <w:rPr>
          <w:rFonts w:ascii="Barlow Semi Condensed" w:cs="Barlow Semi Condensed" w:eastAsia="Barlow Semi Condensed" w:hAnsi="Barlow Semi Condensed"/>
          <w:b/>
          <w:bCs/>
          <w:sz w:val="24"/>
          <w:szCs w:val="24"/>
        </w:rPr>
        <w:t xml:space="preserve">Edizione Nazionale delle Opere di Aldo Moro</w:t>
      </w:r>
      <w:r>
        <w:rPr>
          <w:rFonts w:ascii="Barlow Semi Condensed" w:cs="Barlow Semi Condensed" w:eastAsia="Barlow Semi Condensed" w:hAnsi="Barlow Semi Condensed"/>
          <w:sz w:val="24"/>
          <w:szCs w:val="24"/>
        </w:rPr>
        <w:t xml:space="preserve"> è un interlocutore distinto e</w:t>
      </w:r>
    </w:p>
    <w:p>
      <w:pPr>
        <w:spacing w:after="120" w:line="276"/>
        <w:jc w:val="both"/>
      </w:pPr>
      <w:r>
        <w:rPr>
          <w:rFonts w:ascii="Barlow Semi Condensed" w:cs="Barlow Semi Condensed" w:eastAsia="Barlow Semi Condensed" w:hAnsi="Barlow Semi Condensed"/>
          <w:sz w:val="24"/>
          <w:szCs w:val="24"/>
        </w:rPr>
        <w:t xml:space="preserve">per una cosa distinta: non il quesito d'archivio, ma **l'apparato delle</w:t>
      </w:r>
    </w:p>
    <w:p>
      <w:pPr>
        <w:spacing w:after="120" w:line="276"/>
        <w:jc w:val="both"/>
      </w:pPr>
      <w:r>
        <w:rPr>
          <w:rFonts w:ascii="Barlow Semi Condensed" w:cs="Barlow Semi Condensed" w:eastAsia="Barlow Semi Condensed" w:hAnsi="Barlow Semi Condensed"/>
          <w:sz w:val="24"/>
          <w:szCs w:val="24"/>
        </w:rPr>
        <w:t xml:space="preserve">citazioni** — 685 indirizzi distinti per 1.029 citazioni. Se qualcosa di questo</w:t>
      </w:r>
    </w:p>
    <w:p>
      <w:pPr>
        <w:spacing w:after="120" w:line="276"/>
        <w:jc w:val="both"/>
      </w:pPr>
      <w:r>
        <w:rPr>
          <w:rFonts w:ascii="Barlow Semi Condensed" w:cs="Barlow Semi Condensed" w:eastAsia="Barlow Semi Condensed" w:hAnsi="Barlow Semi Condensed"/>
          <w:sz w:val="24"/>
          <w:szCs w:val="24"/>
        </w:rPr>
        <w:t xml:space="preserve">lavoro può servire a chi cura un'edizione critica, è quello, e va proposto</w:t>
      </w:r>
    </w:p>
    <w:p>
      <w:pPr>
        <w:spacing w:after="120" w:line="276"/>
        <w:jc w:val="both"/>
      </w:pPr>
      <w:r>
        <w:rPr>
          <w:rFonts w:ascii="Barlow Semi Condensed" w:cs="Barlow Semi Condensed" w:eastAsia="Barlow Semi Condensed" w:hAnsi="Barlow Semi Condensed"/>
          <w:sz w:val="24"/>
          <w:szCs w:val="24"/>
        </w:rPr>
        <w:t xml:space="preserve">separatamente e in altra forma.</w:t>
      </w:r>
    </w:p>
    <w:p>
      <w:pPr>
        <w:spacing w:after="120" w:line="276"/>
        <w:jc w:val="both"/>
      </w:pPr>
      <w:r>
        <w:rPr>
          <w:rFonts w:ascii="Barlow Semi Condensed" w:cs="Barlow Semi Condensed" w:eastAsia="Barlow Semi Condensed" w:hAnsi="Barlow Semi Condensed"/>
          <w:sz w:val="24"/>
          <w:szCs w:val="24"/>
        </w:rPr>
        <w:t xml:space="preserve">Non si scrivono le due lettere lo stesso giorno.</w:t>
      </w:r>
    </w:p>
    <w:p>
      <w:pPr>
        <w:pStyle w:val="Heading3"/>
        <w:spacing w:after="80" w:before="240"/>
      </w:pPr>
      <w:r>
        <w:rPr>
          <w:rFonts w:ascii="Barlow Semi Condensed" w:cs="Barlow Semi Condensed" w:eastAsia="Barlow Semi Condensed" w:hAnsi="Barlow Semi Condensed"/>
          <w:sz w:val="24"/>
          <w:szCs w:val="24"/>
        </w:rPr>
        <w:t xml:space="preserve">Apparato grafico — Appendici · x. Alla Fondazione Aldo Moro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 1.744 parole in 7 sezioni; la più ampia è §4 Testo della lettera, con 1.170.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 52 paragrafi in 7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xi. All'Archivio Flamigni</w:t>
      </w:r>
    </w:p>
    <w:p>
      <w:pPr>
        <w:pStyle w:val="Heading1"/>
        <w:spacing w:after="120" w:before="240"/>
      </w:pPr>
      <w:r>
        <w:rPr>
          <w:rFonts w:ascii="Barlow Semi Condensed" w:cs="Barlow Semi Condensed" w:eastAsia="Barlow Semi Condensed" w:hAnsi="Barlow Semi Condensed"/>
          <w:sz w:val="24"/>
          <w:szCs w:val="24"/>
        </w:rPr>
        <w:t xml:space="preserve">PEC — Centro documentazione Archivio «Flamigni» ETS</w:t>
      </w:r>
    </w:p>
    <w:p>
      <w:pPr>
        <w:spacing w:after="120" w:line="276"/>
        <w:jc w:val="both"/>
      </w:pPr>
      <w:r>
        <w:rPr>
          <w:rFonts w:ascii="Barlow Semi Condensed" w:cs="Barlow Semi Condensed" w:eastAsia="Barlow Semi Condensed" w:hAnsi="Barlow Semi Condensed"/>
          <w:i/>
          <w:iCs/>
          <w:sz w:val="24"/>
          <w:szCs w:val="24"/>
        </w:rPr>
        <w:t xml:space="preserve">Bozza preparata il 26 agosto 2026. Da rileggere e personalizzare prima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Recapito: da verificare prima dell'invio</w:t>
      </w:r>
    </w:p>
    <w:p>
      <w:pPr>
        <w:spacing w:after="120" w:line="276"/>
        <w:jc w:val="both"/>
      </w:pPr>
      <w:r>
        <w:rPr>
          <w:rFonts w:ascii="Barlow Semi Condensed" w:cs="Barlow Semi Condensed" w:eastAsia="Barlow Semi Condensed" w:hAnsi="Barlow Semi Condensed"/>
          <w:sz w:val="24"/>
          <w:szCs w:val="24"/>
        </w:rPr>
        <w:t xml:space="preserve">**L'indirizzo PEC non è riportato in questa bozza perché non è stato possibile</w:t>
      </w:r>
    </w:p>
    <w:p>
      <w:pPr>
        <w:spacing w:after="120" w:line="276"/>
        <w:jc w:val="both"/>
      </w:pPr>
      <w:r>
        <w:rPr>
          <w:rFonts w:ascii="Barlow Semi Condensed" w:cs="Barlow Semi Condensed" w:eastAsia="Barlow Semi Condensed" w:hAnsi="Barlow Semi Condensed"/>
          <w:sz w:val="24"/>
          <w:szCs w:val="24"/>
        </w:rPr>
        <w:t xml:space="preserve">accertarlo.** Va reperito prima dell'invio, in uno di questi modi:</w:t>
      </w:r>
    </w:p>
    <w:p>
      <w:pPr>
        <w:spacing w:after="40"/>
        <w:ind w:left="360"/>
        <w:jc w:val="both"/>
      </w:pPr>
      <w:r>
        <w:rPr>
          <w:rFonts w:ascii="Barlow Semi Condensed" w:cs="Barlow Semi Condensed" w:eastAsia="Barlow Semi Condensed" w:hAnsi="Barlow Semi Condensed"/>
          <w:sz w:val="24"/>
          <w:szCs w:val="24"/>
        </w:rPr>
        <w:t xml:space="preserve">1. Il </w:t>
      </w:r>
      <w:r>
        <w:rPr>
          <w:rFonts w:ascii="Barlow Semi Condensed" w:cs="Barlow Semi Condensed" w:eastAsia="Barlow Semi Condensed" w:hAnsi="Barlow Semi Condensed"/>
          <w:b/>
          <w:bCs/>
          <w:sz w:val="24"/>
          <w:szCs w:val="24"/>
        </w:rPr>
        <w:t xml:space="preserve">RUNTS</w:t>
      </w:r>
      <w:r>
        <w:rPr>
          <w:rFonts w:ascii="Barlow Semi Condensed" w:cs="Barlow Semi Condensed" w:eastAsia="Barlow Semi Condensed" w:hAnsi="Barlow Semi Condensed"/>
          <w:sz w:val="24"/>
          <w:szCs w:val="24"/>
        </w:rPr>
        <w:t xml:space="preserve"> (Registro Unico Nazionale del Terzo Settore) — l'ente è un ETS</w:t>
      </w:r>
    </w:p>
    <w:p>
      <w:pPr>
        <w:spacing w:after="120" w:line="276"/>
        <w:jc w:val="both"/>
      </w:pPr>
      <w:r>
        <w:rPr>
          <w:rFonts w:ascii="Barlow Semi Condensed" w:cs="Barlow Semi Condensed" w:eastAsia="Barlow Semi Condensed" w:hAnsi="Barlow Semi Condensed"/>
          <w:sz w:val="24"/>
          <w:szCs w:val="24"/>
        </w:rPr>
        <w:t xml:space="preserve">   e vi è iscritto con il proprio domicilio digitale.</w:t>
      </w:r>
    </w:p>
    <w:p>
      <w:pPr>
        <w:spacing w:after="40"/>
        <w:ind w:left="360"/>
        <w:jc w:val="both"/>
      </w:pPr>
      <w:r>
        <w:rPr>
          <w:rFonts w:ascii="Barlow Semi Condensed" w:cs="Barlow Semi Condensed" w:eastAsia="Barlow Semi Condensed" w:hAnsi="Barlow Semi Condensed"/>
          <w:sz w:val="24"/>
          <w:szCs w:val="24"/>
        </w:rPr>
        <w:t xml:space="preserve">2. L'</w:t>
      </w:r>
      <w:r>
        <w:rPr>
          <w:rFonts w:ascii="Barlow Semi Condensed" w:cs="Barlow Semi Condensed" w:eastAsia="Barlow Semi Condensed" w:hAnsi="Barlow Semi Condensed"/>
          <w:b/>
          <w:bCs/>
          <w:sz w:val="24"/>
          <w:szCs w:val="24"/>
        </w:rPr>
        <w:t xml:space="preserve">INI-PEC</w:t>
      </w:r>
      <w:r>
        <w:rPr>
          <w:rFonts w:ascii="Barlow Semi Condensed" w:cs="Barlow Semi Condensed" w:eastAsia="Barlow Semi Condensed" w:hAnsi="Barlow Semi Condensed"/>
          <w:sz w:val="24"/>
          <w:szCs w:val="24"/>
        </w:rPr>
        <w:t xml:space="preserve">, se l'ente vi risulta come persona giuridica.</w:t>
      </w:r>
    </w:p>
    <w:p>
      <w:pPr>
        <w:spacing w:after="40"/>
        <w:ind w:left="360"/>
        <w:jc w:val="both"/>
      </w:pPr>
      <w:r>
        <w:rPr>
          <w:rFonts w:ascii="Barlow Semi Condensed" w:cs="Barlow Semi Condensed" w:eastAsia="Barlow Semi Condensed" w:hAnsi="Barlow Semi Condensed"/>
          <w:sz w:val="24"/>
          <w:szCs w:val="24"/>
        </w:rPr>
        <w:t xml:space="preserve">3. Il sito istituzionale </w:t>
      </w:r>
      <w:r>
        <w:rPr>
          <w:rFonts w:ascii="Barlow Semi Condensed" w:cs="Barlow Semi Condensed" w:eastAsia="Barlow Semi Condensed" w:hAnsi="Barlow Semi Condensed"/>
          <w:b/>
          <w:bCs/>
          <w:sz w:val="24"/>
          <w:szCs w:val="24"/>
        </w:rPr>
        <w:t xml:space="preserve">archivioflamigni.org</w:t>
      </w:r>
      <w:r>
        <w:rPr>
          <w:rFonts w:ascii="Barlow Semi Condensed" w:cs="Barlow Semi Condensed" w:eastAsia="Barlow Semi Condensed" w:hAnsi="Barlow Semi Condensed"/>
          <w:sz w:val="24"/>
          <w:szCs w:val="24"/>
        </w:rPr>
        <w:t xml:space="preserve">, alla pagina dei contatti.</w:t>
      </w:r>
    </w:p>
    <w:p>
      <w:pPr>
        <w:spacing w:after="40"/>
        <w:ind w:left="360"/>
        <w:jc w:val="both"/>
      </w:pPr>
      <w:r>
        <w:rPr>
          <w:rFonts w:ascii="Barlow Semi Condensed" w:cs="Barlow Semi Condensed" w:eastAsia="Barlow Semi Condensed" w:hAnsi="Barlow Semi Condensed"/>
          <w:sz w:val="24"/>
          <w:szCs w:val="24"/>
        </w:rPr>
        <w:t xml:space="preserve">4. In subordine, una </w:t>
      </w:r>
      <w:r>
        <w:rPr>
          <w:rFonts w:ascii="Barlow Semi Condensed" w:cs="Barlow Semi Condensed" w:eastAsia="Barlow Semi Condensed" w:hAnsi="Barlow Semi Condensed"/>
          <w:b/>
          <w:bCs/>
          <w:sz w:val="24"/>
          <w:szCs w:val="24"/>
        </w:rPr>
        <w:t xml:space="preserve">richiesta preliminare via email ordinaria</w:t>
      </w:r>
      <w:r>
        <w:rPr>
          <w:rFonts w:ascii="Barlow Semi Condensed" w:cs="Barlow Semi Condensed" w:eastAsia="Barlow Semi Condensed" w:hAnsi="Barlow Semi Condensed"/>
          <w:sz w:val="24"/>
          <w:szCs w:val="24"/>
        </w:rPr>
        <w:t xml:space="preserve"> chiedendo</w:t>
      </w:r>
    </w:p>
    <w:p>
      <w:pPr>
        <w:spacing w:after="120" w:line="276"/>
        <w:jc w:val="both"/>
      </w:pPr>
      <w:r>
        <w:rPr>
          <w:rFonts w:ascii="Barlow Semi Condensed" w:cs="Barlow Semi Condensed" w:eastAsia="Barlow Semi Condensed" w:hAnsi="Barlow Semi Condensed"/>
          <w:sz w:val="24"/>
          <w:szCs w:val="24"/>
        </w:rPr>
        <w:t xml:space="preserve">   l'indirizzo PEC per una comunicazione formale.</w:t>
      </w:r>
    </w:p>
    <w:p>
      <w:pPr>
        <w:spacing w:after="120" w:line="276"/>
        <w:jc w:val="both"/>
      </w:pPr>
      <w:r>
        <w:rPr>
          <w:rFonts w:ascii="Barlow Semi Condensed" w:cs="Barlow Semi Condensed" w:eastAsia="Barlow Semi Condensed" w:hAnsi="Barlow Semi Condensed"/>
          <w:sz w:val="24"/>
          <w:szCs w:val="24"/>
        </w:rPr>
        <w:t xml:space="preserve">Se l'indirizzo PEC non esiste o non è reperibile, la comunicazione resta</w:t>
      </w:r>
    </w:p>
    <w:p>
      <w:pPr>
        <w:spacing w:after="120" w:line="276"/>
        <w:jc w:val="both"/>
      </w:pPr>
      <w:r>
        <w:rPr>
          <w:rFonts w:ascii="Barlow Semi Condensed" w:cs="Barlow Semi Condensed" w:eastAsia="Barlow Semi Condensed" w:hAnsi="Barlow Semi Condensed"/>
          <w:sz w:val="24"/>
          <w:szCs w:val="24"/>
        </w:rPr>
        <w:t xml:space="preserve">valida come email ordinaria: la PEC ha valore legale nell'ordinamento italiano</w:t>
      </w:r>
    </w:p>
    <w:p>
      <w:pPr>
        <w:spacing w:after="120" w:line="276"/>
        <w:jc w:val="both"/>
      </w:pPr>
      <w:r>
        <w:rPr>
          <w:rFonts w:ascii="Barlow Semi Condensed" w:cs="Barlow Semi Condensed" w:eastAsia="Barlow Semi Condensed" w:hAnsi="Barlow Semi Condensed"/>
          <w:sz w:val="24"/>
          <w:szCs w:val="24"/>
        </w:rPr>
        <w:t xml:space="preserve">(D.P.R. 68/2005), ma qui serve soprattutto a certificare data e contenuto</w:t>
      </w:r>
    </w:p>
    <w:p>
      <w:pPr>
        <w:spacing w:after="120" w:line="276"/>
        <w:jc w:val="both"/>
      </w:pPr>
      <w:r>
        <w:rPr>
          <w:rFonts w:ascii="Barlow Semi Condensed" w:cs="Barlow Semi Condensed" w:eastAsia="Barlow Semi Condensed" w:hAnsi="Barlow Semi Condensed"/>
          <w:sz w:val="24"/>
          <w:szCs w:val="24"/>
        </w:rPr>
        <w:t xml:space="preserve">dell'invio, non a produrre effetti giuridici.</w:t>
      </w:r>
    </w:p>
    <w:p>
      <w:pPr>
        <w:spacing w:after="120" w:line="276"/>
        <w:jc w:val="both"/>
      </w:pPr>
      <w:r>
        <w:rPr>
          <w:rFonts w:ascii="Barlow Semi Condensed" w:cs="Barlow Semi Condensed" w:eastAsia="Barlow Semi Condensed" w:hAnsi="Barlow Semi Condensed"/>
          <w:b/>
          <w:bCs/>
          <w:sz w:val="24"/>
          <w:szCs w:val="24"/>
        </w:rPr>
        <w:t xml:space="preserve">Sede per l'eventuale corrispondenza cartacea</w:t>
      </w:r>
      <w:r>
        <w:rPr>
          <w:rFonts w:ascii="Barlow Semi Condensed" w:cs="Barlow Semi Condensed" w:eastAsia="Barlow Semi Condensed" w:hAnsi="Barlow Semi Condensed"/>
          <w:sz w:val="24"/>
          <w:szCs w:val="24"/>
        </w:rPr>
        <w:t xml:space="preserve">: Piazza Bartolomeo Romano 6,</w:t>
      </w:r>
    </w:p>
    <w:p>
      <w:pPr>
        <w:spacing w:after="120" w:line="276"/>
        <w:jc w:val="both"/>
      </w:pPr>
      <w:r>
        <w:rPr>
          <w:rFonts w:ascii="Barlow Semi Condensed" w:cs="Barlow Semi Condensed" w:eastAsia="Barlow Semi Condensed" w:hAnsi="Barlow Semi Condensed"/>
          <w:sz w:val="24"/>
          <w:szCs w:val="24"/>
        </w:rPr>
        <w:t xml:space="preserve">00154 Roma (Garbatella).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spacing w:after="120" w:line="276"/>
        <w:jc w:val="both"/>
      </w:pPr>
      <w:r>
        <w:rPr>
          <w:rFonts w:ascii="Barlow Semi Condensed" w:cs="Barlow Semi Condensed" w:eastAsia="Barlow Semi Condensed" w:hAnsi="Barlow Semi Condensed"/>
          <w:sz w:val="24"/>
          <w:szCs w:val="24"/>
        </w:rPr>
        <w:t xml:space="preserve">Proposta di valutazione e di eventuale deposito — «Aldo Moro. La Seconda Guerra</w:t>
      </w:r>
    </w:p>
    <w:p>
      <w:pPr>
        <w:spacing w:after="120" w:line="276"/>
        <w:jc w:val="both"/>
      </w:pPr>
      <w:r>
        <w:rPr>
          <w:rFonts w:ascii="Barlow Semi Condensed" w:cs="Barlow Semi Condensed" w:eastAsia="Barlow Semi Condensed" w:hAnsi="Barlow Semi Condensed"/>
          <w:sz w:val="24"/>
          <w:szCs w:val="24"/>
        </w:rPr>
        <w:t xml:space="preserve">Mondiale non ha mai avuto fine»: opera documentale generata con intelligenza</w:t>
      </w:r>
    </w:p>
    <w:p>
      <w:pPr>
        <w:spacing w:after="120" w:line="276"/>
        <w:jc w:val="both"/>
      </w:pPr>
      <w:r>
        <w:rPr>
          <w:rFonts w:ascii="Barlow Semi Condensed" w:cs="Barlow Semi Condensed" w:eastAsia="Barlow Semi Condensed" w:hAnsi="Barlow Semi Condensed"/>
          <w:sz w:val="24"/>
          <w:szCs w:val="24"/>
        </w:rPr>
        <w:t xml:space="preserve">artificiale, con apparato di verifica e cinque atti d'archivio da compiere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Alla cortese attenzione del Centro documentazione Archivio «Flamigni» ETS</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mi rivolgo a codesto Centro in ragione della sua specifica competenza sul caso</w:t>
      </w:r>
    </w:p>
    <w:p>
      <w:pPr>
        <w:spacing w:after="120" w:line="276"/>
        <w:jc w:val="both"/>
      </w:pPr>
      <w:r>
        <w:rPr>
          <w:rFonts w:ascii="Barlow Semi Condensed" w:cs="Barlow Semi Condensed" w:eastAsia="Barlow Semi Condensed" w:hAnsi="Barlow Semi Condensed"/>
          <w:sz w:val="24"/>
          <w:szCs w:val="24"/>
        </w:rPr>
        <w:t xml:space="preserve">Moro e sulla storia della Repubblica, e in particolare della serie </w:t>
      </w:r>
      <w:r>
        <w:rPr>
          <w:rFonts w:ascii="Barlow Semi Condensed" w:cs="Barlow Semi Condensed" w:eastAsia="Barlow Semi Condensed" w:hAnsi="Barlow Semi Condensed"/>
          <w:i/>
          <w:iCs/>
          <w:sz w:val="24"/>
          <w:szCs w:val="24"/>
        </w:rPr>
        <w:t xml:space="preserve">Caso Moro</w:t>
      </w:r>
    </w:p>
    <w:p>
      <w:pPr>
        <w:spacing w:after="120" w:line="276"/>
        <w:jc w:val="both"/>
      </w:pPr>
      <w:r>
        <w:rPr>
          <w:rFonts w:ascii="Barlow Semi Condensed" w:cs="Barlow Semi Condensed" w:eastAsia="Barlow Semi Condensed" w:hAnsi="Barlow Semi Condensed"/>
          <w:sz w:val="24"/>
          <w:szCs w:val="24"/>
        </w:rPr>
        <w:t xml:space="preserve">del fondo del senatore Sergio Flamigni.</w:t>
      </w:r>
    </w:p>
    <w:p>
      <w:pPr>
        <w:spacing w:after="120" w:line="276"/>
        <w:jc w:val="both"/>
      </w:pPr>
      <w:r>
        <w:rPr>
          <w:rFonts w:ascii="Barlow Semi Condensed" w:cs="Barlow Semi Condensed" w:eastAsia="Barlow Semi Condensed" w:hAnsi="Barlow Semi Condensed"/>
          <w:b/>
          <w:bCs/>
          <w:sz w:val="24"/>
          <w:szCs w:val="24"/>
        </w:rPr>
        <w:t xml:space="preserve">Una dichiarazione preliminare, che va fatta prima di ogni altra cosa.</w:t>
      </w:r>
      <w:r>
        <w:rPr>
          <w:rFonts w:ascii="Barlow Semi Condensed" w:cs="Barlow Semi Condensed" w:eastAsia="Barlow Semi Condensed" w:hAnsi="Barlow Semi Condensed"/>
          <w:sz w:val="24"/>
          <w:szCs w:val="24"/>
        </w:rPr>
        <w:t xml:space="preserve"> L'opera</w:t>
      </w:r>
    </w:p>
    <w:p>
      <w:pPr>
        <w:spacing w:after="120" w:line="276"/>
        <w:jc w:val="both"/>
      </w:pPr>
      <w:r>
        <w:rPr>
          <w:rFonts w:ascii="Barlow Semi Condensed" w:cs="Barlow Semi Condensed" w:eastAsia="Barlow Semi Condensed" w:hAnsi="Barlow Semi Condensed"/>
          <w:sz w:val="24"/>
          <w:szCs w:val="24"/>
        </w:rPr>
        <w:t xml:space="preserve">che sottopongo alla vostra attenzione è stata **redatta con l'ausilio di sistemi</w:t>
      </w:r>
    </w:p>
    <w:p>
      <w:pPr>
        <w:spacing w:after="120" w:line="276"/>
        <w:jc w:val="both"/>
      </w:pPr>
      <w:r>
        <w:rPr>
          <w:rFonts w:ascii="Barlow Semi Condensed" w:cs="Barlow Semi Condensed" w:eastAsia="Barlow Semi Condensed" w:hAnsi="Barlow Semi Condensed"/>
          <w:sz w:val="24"/>
          <w:szCs w:val="24"/>
        </w:rPr>
        <w:t xml:space="preserve">di intelligenza artificiale**, sotto mia direzione e responsabilità. Ogni volume</w:t>
      </w:r>
    </w:p>
    <w:p>
      <w:pPr>
        <w:spacing w:after="120" w:line="276"/>
        <w:jc w:val="both"/>
      </w:pPr>
      <w:r>
        <w:rPr>
          <w:rFonts w:ascii="Barlow Semi Condensed" w:cs="Barlow Semi Condensed" w:eastAsia="Barlow Semi Condensed" w:hAnsi="Barlow Semi Condensed"/>
          <w:sz w:val="24"/>
          <w:szCs w:val="24"/>
        </w:rPr>
        <w:t xml:space="preserve">lo dichiara in copertina. Non si tratta di ricerca d'archivio condotta in prima</w:t>
      </w:r>
    </w:p>
    <w:p>
      <w:pPr>
        <w:spacing w:after="120" w:line="276"/>
        <w:jc w:val="both"/>
      </w:pPr>
      <w:r>
        <w:rPr>
          <w:rFonts w:ascii="Barlow Semi Condensed" w:cs="Barlow Semi Condensed" w:eastAsia="Barlow Semi Condensed" w:hAnsi="Barlow Semi Condensed"/>
          <w:sz w:val="24"/>
          <w:szCs w:val="24"/>
        </w:rPr>
        <w:t xml:space="preserve">persona: **non ho consultato fondi, non ho letto documenti originali, non ho</w:t>
      </w:r>
    </w:p>
    <w:p>
      <w:pPr>
        <w:spacing w:after="120" w:line="276"/>
        <w:jc w:val="both"/>
      </w:pPr>
      <w:r>
        <w:rPr>
          <w:rFonts w:ascii="Barlow Semi Condensed" w:cs="Barlow Semi Condensed" w:eastAsia="Barlow Semi Condensed" w:hAnsi="Barlow Semi Condensed"/>
          <w:sz w:val="24"/>
          <w:szCs w:val="24"/>
        </w:rPr>
        <w:t xml:space="preserve">prodotto alcun accertamento nuovo**. Comunico questo dato in apertura perché è</w:t>
      </w:r>
    </w:p>
    <w:p>
      <w:pPr>
        <w:spacing w:after="120" w:line="276"/>
        <w:jc w:val="both"/>
      </w:pPr>
      <w:r>
        <w:rPr>
          <w:rFonts w:ascii="Barlow Semi Condensed" w:cs="Barlow Semi Condensed" w:eastAsia="Barlow Semi Condensed" w:hAnsi="Barlow Semi Condensed"/>
          <w:sz w:val="24"/>
          <w:szCs w:val="24"/>
        </w:rPr>
        <w:t xml:space="preserve">il primo elemento che vi serve per decidere se il resto meriti tempo, e perché</w:t>
      </w:r>
    </w:p>
    <w:p>
      <w:pPr>
        <w:spacing w:after="120" w:line="276"/>
        <w:jc w:val="both"/>
      </w:pPr>
      <w:r>
        <w:rPr>
          <w:rFonts w:ascii="Barlow Semi Condensed" w:cs="Barlow Semi Condensed" w:eastAsia="Barlow Semi Condensed" w:hAnsi="Barlow Semi Condensed"/>
          <w:sz w:val="24"/>
          <w:szCs w:val="24"/>
        </w:rPr>
        <w:t xml:space="preserve">un'omissione su questo punto renderebbe scorretta l'intera proposta.</w:t>
      </w:r>
    </w:p>
    <w:p>
      <w:pPr>
        <w:spacing w:after="120" w:line="276"/>
        <w:jc w:val="both"/>
      </w:pPr>
      <w:r>
        <w:rPr>
          <w:rFonts w:ascii="Barlow Semi Condensed" w:cs="Barlow Semi Condensed" w:eastAsia="Barlow Semi Condensed" w:hAnsi="Barlow Semi Condensed"/>
          <w:b/>
          <w:bCs/>
          <w:sz w:val="24"/>
          <w:szCs w:val="24"/>
        </w:rPr>
        <w:t xml:space="preserve">Che cosa è l'opera.</w:t>
      </w:r>
      <w:r>
        <w:rPr>
          <w:rFonts w:ascii="Barlow Semi Condensed" w:cs="Barlow Semi Condensed" w:eastAsia="Barlow Semi Condensed" w:hAnsi="Barlow Semi Condensed"/>
          <w:sz w:val="24"/>
          <w:szCs w:val="24"/>
        </w:rPr>
        <w:t xml:space="preserve"> È un corpus documentale di circa 1.340 pagine, articolato</w:t>
      </w:r>
    </w:p>
    <w:p>
      <w:pPr>
        <w:spacing w:after="120" w:line="276"/>
        <w:jc w:val="both"/>
      </w:pPr>
      <w:r>
        <w:rPr>
          <w:rFonts w:ascii="Barlow Semi Condensed" w:cs="Barlow Semi Condensed" w:eastAsia="Barlow Semi Condensed" w:hAnsi="Barlow Semi Condensed"/>
          <w:sz w:val="24"/>
          <w:szCs w:val="24"/>
        </w:rPr>
        <w:t xml:space="preserve">in quattordici Libri, che raccoglie e ordina materiale già pubblico sul caso Moro,</w:t>
      </w:r>
    </w:p>
    <w:p>
      <w:pPr>
        <w:spacing w:after="120" w:line="276"/>
        <w:jc w:val="both"/>
      </w:pPr>
      <w:r>
        <w:rPr>
          <w:rFonts w:ascii="Barlow Semi Condensed" w:cs="Barlow Semi Condensed" w:eastAsia="Barlow Semi Condensed" w:hAnsi="Barlow Semi Condensed"/>
          <w:sz w:val="24"/>
          <w:szCs w:val="24"/>
        </w:rPr>
        <w:t xml:space="preserve">sulla parabola di Ernesto Guevara, sul nodo Feltrinelli-Hyperion, sul Tribunale</w:t>
      </w:r>
    </w:p>
    <w:p>
      <w:pPr>
        <w:spacing w:after="120" w:line="276"/>
        <w:jc w:val="both"/>
      </w:pPr>
      <w:r>
        <w:rPr>
          <w:rFonts w:ascii="Barlow Semi Condensed" w:cs="Barlow Semi Condensed" w:eastAsia="Barlow Semi Condensed" w:hAnsi="Barlow Semi Condensed"/>
          <w:sz w:val="24"/>
          <w:szCs w:val="24"/>
        </w:rPr>
        <w:t xml:space="preserve">Speciale del 1926 e sulla dimensione diplomatica di Aldo Moro ministro degli</w:t>
      </w:r>
    </w:p>
    <w:p>
      <w:pPr>
        <w:spacing w:after="120" w:line="276"/>
        <w:jc w:val="both"/>
      </w:pPr>
      <w:r>
        <w:rPr>
          <w:rFonts w:ascii="Barlow Semi Condensed" w:cs="Barlow Semi Condensed" w:eastAsia="Barlow Semi Condensed" w:hAnsi="Barlow Semi Condensed"/>
          <w:sz w:val="24"/>
          <w:szCs w:val="24"/>
        </w:rPr>
        <w:t xml:space="preserve">Esteri. Ne fanno parte cinque opere in forma di «blocchi mirati» — bersagli di</w:t>
      </w:r>
    </w:p>
    <w:p>
      <w:pPr>
        <w:spacing w:after="120" w:line="276"/>
        <w:jc w:val="both"/>
      </w:pPr>
      <w:r>
        <w:rPr>
          <w:rFonts w:ascii="Barlow Semi Condensed" w:cs="Barlow Semi Condensed" w:eastAsia="Barlow Semi Condensed" w:hAnsi="Barlow Semi Condensed"/>
          <w:sz w:val="24"/>
          <w:szCs w:val="24"/>
        </w:rPr>
        <w:t xml:space="preserve">ricerca, non affermazioni — per complessivi 7.699 blocchi mirati; a parte, e non in somma, il Libro quarto porta 538 blocchi certificati di verifica in otto tranche, che non sono bersagli di ricerca ma unità di controllo e di rettifica esercitate su un testo già scritto, e sommarle alle prime darebbe un numero che sembra dire più di quel che dice. Ciascun blocco mirato è</w:t>
      </w:r>
    </w:p>
    <w:p>
      <w:pPr>
        <w:spacing w:after="120" w:line="276"/>
        <w:jc w:val="both"/>
      </w:pPr>
      <w:r>
        <w:rPr>
          <w:rFonts w:ascii="Barlow Semi Condensed" w:cs="Barlow Semi Condensed" w:eastAsia="Barlow Semi Condensed" w:hAnsi="Barlow Semi Condensed"/>
          <w:sz w:val="24"/>
          <w:szCs w:val="24"/>
        </w:rPr>
        <w:t xml:space="preserve">un quesito da portare in archivio, una regola di lettura, un accertamento con</w:t>
      </w:r>
    </w:p>
    <w:p>
      <w:pPr>
        <w:spacing w:after="120" w:line="276"/>
        <w:jc w:val="both"/>
      </w:pPr>
      <w:r>
        <w:rPr>
          <w:rFonts w:ascii="Barlow Semi Condensed" w:cs="Barlow Semi Condensed" w:eastAsia="Barlow Semi Condensed" w:hAnsi="Barlow Semi Condensed"/>
          <w:sz w:val="24"/>
          <w:szCs w:val="24"/>
        </w:rPr>
        <w:t xml:space="preserve">grado dichiarato o una lacuna verbalizzata con la sede che la chiuderebbe.</w:t>
      </w:r>
    </w:p>
    <w:p>
      <w:pPr>
        <w:spacing w:after="120" w:line="276"/>
        <w:jc w:val="both"/>
      </w:pPr>
      <w:r>
        <w:rPr>
          <w:rFonts w:ascii="Barlow Semi Condensed" w:cs="Barlow Semi Condensed" w:eastAsia="Barlow Semi Condensed" w:hAnsi="Barlow Semi Condensed"/>
          <w:b/>
          <w:bCs/>
          <w:sz w:val="24"/>
          <w:szCs w:val="24"/>
        </w:rPr>
        <w:t xml:space="preserve">Che cosa l'opera non pretende di essere.</w:t>
      </w:r>
      <w:r>
        <w:rPr>
          <w:rFonts w:ascii="Barlow Semi Condensed" w:cs="Barlow Semi Condensed" w:eastAsia="Barlow Semi Condensed" w:hAnsi="Barlow Semi Condensed"/>
          <w:sz w:val="24"/>
          <w:szCs w:val="24"/>
        </w:rPr>
        <w:t xml:space="preserve"> Non contiene rivelazioni e non</w:t>
      </w:r>
    </w:p>
    <w:p>
      <w:pPr>
        <w:spacing w:after="120" w:line="276"/>
        <w:jc w:val="both"/>
      </w:pPr>
      <w:r>
        <w:rPr>
          <w:rFonts w:ascii="Barlow Semi Condensed" w:cs="Barlow Semi Condensed" w:eastAsia="Barlow Semi Condensed" w:hAnsi="Barlow Semi Condensed"/>
          <w:sz w:val="24"/>
          <w:szCs w:val="24"/>
        </w:rPr>
        <w:t xml:space="preserve">aggiunge un solo fatto al patrimonio conoscitivo esistente. **Tredici dei</w:t>
      </w:r>
    </w:p>
    <w:p>
      <w:pPr>
        <w:spacing w:after="120" w:line="276"/>
        <w:jc w:val="both"/>
      </w:pPr>
      <w:r>
        <w:rPr>
          <w:rFonts w:ascii="Barlow Semi Condensed" w:cs="Barlow Semi Condensed" w:eastAsia="Barlow Semi Condensed" w:hAnsi="Barlow Semi Condensed"/>
          <w:sz w:val="24"/>
          <w:szCs w:val="24"/>
        </w:rPr>
        <w:t xml:space="preserve">quattordici Libri si fermano al giudicato**: non propongono una tesi sul caso,</w:t>
      </w:r>
    </w:p>
    <w:p>
      <w:pPr>
        <w:spacing w:after="120" w:line="276"/>
        <w:jc w:val="both"/>
      </w:pPr>
      <w:r>
        <w:rPr>
          <w:rFonts w:ascii="Barlow Semi Condensed" w:cs="Barlow Semi Condensed" w:eastAsia="Barlow Semi Condensed" w:hAnsi="Barlow Semi Condensed"/>
          <w:sz w:val="24"/>
          <w:szCs w:val="24"/>
        </w:rPr>
        <w:t xml:space="preserve">non indicano alcuna persona come responsabile di reato oltre il giudicato</w:t>
      </w:r>
    </w:p>
    <w:p>
      <w:pPr>
        <w:spacing w:after="120" w:line="276"/>
        <w:jc w:val="both"/>
      </w:pPr>
      <w:r>
        <w:rPr>
          <w:rFonts w:ascii="Barlow Semi Condensed" w:cs="Barlow Semi Condensed" w:eastAsia="Barlow Semi Condensed" w:hAnsi="Barlow Semi Condensed"/>
          <w:sz w:val="24"/>
          <w:szCs w:val="24"/>
        </w:rPr>
        <w:t xml:space="preserve">definitivo e non compilano graduatorie.</w:t>
      </w:r>
    </w:p>
    <w:p>
      <w:pPr>
        <w:spacing w:after="120" w:line="276"/>
        <w:jc w:val="both"/>
      </w:pPr>
      <w:r>
        <w:rPr>
          <w:rFonts w:ascii="Barlow Semi Condensed" w:cs="Barlow Semi Condensed" w:eastAsia="Barlow Semi Condensed" w:hAnsi="Barlow Semi Condensed"/>
          <w:b/>
          <w:bCs/>
          <w:sz w:val="24"/>
          <w:szCs w:val="24"/>
        </w:rPr>
        <w:t xml:space="preserve">Il Libro quarto fa eccezione, e la dichiaro qui, non in fondo</w:t>
      </w:r>
      <w:r>
        <w:rPr>
          <w:rFonts w:ascii="Barlow Semi Condensed" w:cs="Barlow Semi Condensed" w:eastAsia="Barlow Semi Condensed" w:hAnsi="Barlow Semi Condensed"/>
          <w:sz w:val="24"/>
          <w:szCs w:val="24"/>
        </w:rPr>
        <w:t xml:space="preserve">, perché è il</w:t>
      </w:r>
    </w:p>
    <w:p>
      <w:pPr>
        <w:spacing w:after="120" w:line="276"/>
        <w:jc w:val="both"/>
      </w:pPr>
      <w:r>
        <w:rPr>
          <w:rFonts w:ascii="Barlow Semi Condensed" w:cs="Barlow Semi Condensed" w:eastAsia="Barlow Semi Condensed" w:hAnsi="Barlow Semi Condensed"/>
          <w:sz w:val="24"/>
          <w:szCs w:val="24"/>
        </w:rPr>
        <w:t xml:space="preserve">primo elemento su cui un archivio come il vostro giudicherà tutto il resto. È il</w:t>
      </w:r>
    </w:p>
    <w:p>
      <w:pPr>
        <w:spacing w:after="120" w:line="276"/>
        <w:jc w:val="both"/>
      </w:pPr>
      <w:r>
        <w:rPr>
          <w:rFonts w:ascii="Barlow Semi Condensed" w:cs="Barlow Semi Condensed" w:eastAsia="Barlow Semi Condensed" w:hAnsi="Barlow Semi Condensed"/>
          <w:sz w:val="24"/>
          <w:szCs w:val="24"/>
        </w:rPr>
        <w:t xml:space="preserve">Dossier maggiore dell'autore, opera anteriore al corpus e qui conservata per</w:t>
      </w:r>
    </w:p>
    <w:p>
      <w:pPr>
        <w:spacing w:after="120" w:line="276"/>
        <w:jc w:val="both"/>
      </w:pPr>
      <w:r>
        <w:rPr>
          <w:rFonts w:ascii="Barlow Semi Condensed" w:cs="Barlow Semi Condensed" w:eastAsia="Barlow Semi Condensed" w:hAnsi="Barlow Semi Condensed"/>
          <w:sz w:val="24"/>
          <w:szCs w:val="24"/>
        </w:rPr>
        <w:t xml:space="preserve">intero anziché riscritta: nella seconda metà congeda la disciplina</w:t>
      </w:r>
    </w:p>
    <w:p>
      <w:pPr>
        <w:spacing w:after="120" w:line="276"/>
        <w:jc w:val="both"/>
      </w:pPr>
      <w:r>
        <w:rPr>
          <w:rFonts w:ascii="Barlow Semi Condensed" w:cs="Barlow Semi Condensed" w:eastAsia="Barlow Semi Condensed" w:hAnsi="Barlow Semi Condensed"/>
          <w:sz w:val="24"/>
          <w:szCs w:val="24"/>
        </w:rPr>
        <w:t xml:space="preserve">falsificazionista e ordina secondo il grado di plausibilità del coinvolgimento.</w:t>
      </w:r>
    </w:p>
    <w:p>
      <w:pPr>
        <w:spacing w:after="120" w:line="276"/>
        <w:jc w:val="both"/>
      </w:pPr>
      <w:r>
        <w:rPr>
          <w:rFonts w:ascii="Barlow Semi Condensed" w:cs="Barlow Semi Condensed" w:eastAsia="Barlow Semi Condensed" w:hAnsi="Barlow Semi Condensed"/>
          <w:sz w:val="24"/>
          <w:szCs w:val="24"/>
        </w:rPr>
        <w:t xml:space="preserve">Ne dico i limiti con la stessa precisione con cui ne dico l'esistenza: è</w:t>
      </w:r>
    </w:p>
    <w:p>
      <w:pPr>
        <w:spacing w:after="120" w:line="276"/>
        <w:jc w:val="both"/>
      </w:pPr>
      <w:r>
        <w:rPr>
          <w:rFonts w:ascii="Barlow Semi Condensed" w:cs="Barlow Semi Condensed" w:eastAsia="Barlow Semi Condensed" w:hAnsi="Barlow Semi Condensed"/>
          <w:sz w:val="24"/>
          <w:szCs w:val="24"/>
        </w:rPr>
        <w:t xml:space="preserve">graduatoria </w:t>
      </w:r>
      <w:r>
        <w:rPr>
          <w:rFonts w:ascii="Barlow Semi Condensed" w:cs="Barlow Semi Condensed" w:eastAsia="Barlow Semi Condensed" w:hAnsi="Barlow Semi Condensed"/>
          <w:b/>
          <w:bCs/>
          <w:sz w:val="24"/>
          <w:szCs w:val="24"/>
        </w:rPr>
        <w:t xml:space="preserve">di plausibilità e non di colpevolezza</w:t>
      </w:r>
      <w:r>
        <w:rPr>
          <w:rFonts w:ascii="Barlow Semi Condensed" w:cs="Barlow Semi Condensed" w:eastAsia="Barlow Semi Condensed" w:hAnsi="Barlow Semi Condensed"/>
          <w:sz w:val="24"/>
          <w:szCs w:val="24"/>
        </w:rPr>
        <w:t xml:space="preserve">; **ordina categorie di</w:t>
      </w:r>
    </w:p>
    <w:p>
      <w:pPr>
        <w:spacing w:after="120" w:line="276"/>
        <w:jc w:val="both"/>
      </w:pPr>
      <w:r>
        <w:rPr>
          <w:rFonts w:ascii="Barlow Semi Condensed" w:cs="Barlow Semi Condensed" w:eastAsia="Barlow Semi Condensed" w:hAnsi="Barlow Semi Condensed"/>
          <w:sz w:val="24"/>
          <w:szCs w:val="24"/>
        </w:rPr>
        <w:t xml:space="preserve">soggetti e non nomi individuali** — i condannati in via definitiva, gli apparati</w:t>
      </w:r>
    </w:p>
    <w:p>
      <w:pPr>
        <w:spacing w:after="120" w:line="276"/>
        <w:jc w:val="both"/>
      </w:pPr>
      <w:r>
        <w:rPr>
          <w:rFonts w:ascii="Barlow Semi Condensed" w:cs="Barlow Semi Condensed" w:eastAsia="Barlow Semi Condensed" w:hAnsi="Barlow Semi Condensed"/>
          <w:sz w:val="24"/>
          <w:szCs w:val="24"/>
        </w:rPr>
        <w:t xml:space="preserve">dei depistaggi, i portatori d'interesse esterno; muove dal giudicato e rifiuta di</w:t>
      </w:r>
    </w:p>
    <w:p>
      <w:pPr>
        <w:spacing w:after="120" w:line="276"/>
        <w:jc w:val="both"/>
      </w:pPr>
      <w:r>
        <w:rPr>
          <w:rFonts w:ascii="Barlow Semi Condensed" w:cs="Barlow Semi Condensed" w:eastAsia="Barlow Semi Condensed" w:hAnsi="Barlow Semi Condensed"/>
          <w:sz w:val="24"/>
          <w:szCs w:val="24"/>
        </w:rPr>
        <w:t xml:space="preserve">nominare un mandante esterno determinato; ed è preceduta da una premessa che</w:t>
      </w:r>
    </w:p>
    <w:p>
      <w:pPr>
        <w:spacing w:after="120" w:line="276"/>
        <w:jc w:val="both"/>
      </w:pPr>
      <w:r>
        <w:rPr>
          <w:rFonts w:ascii="Barlow Semi Condensed" w:cs="Barlow Semi Condensed" w:eastAsia="Barlow Semi Condensed" w:hAnsi="Barlow Semi Condensed"/>
          <w:sz w:val="24"/>
          <w:szCs w:val="24"/>
        </w:rPr>
        <w:t xml:space="preserve">ribadisce, prima di ogni riga, la presunzione d'innocenza. La disciplina in</w:t>
      </w:r>
    </w:p>
    <w:p>
      <w:pPr>
        <w:spacing w:after="120" w:line="276"/>
        <w:jc w:val="both"/>
      </w:pPr>
      <w:r>
        <w:rPr>
          <w:rFonts w:ascii="Barlow Semi Condensed" w:cs="Barlow Semi Condensed" w:eastAsia="Barlow Semi Condensed" w:hAnsi="Barlow Semi Condensed"/>
          <w:sz w:val="24"/>
          <w:szCs w:val="24"/>
        </w:rPr>
        <w:t xml:space="preserve">copertina dell'opera registra l'eccezione e la limita a quel solo Libro, che si</w:t>
      </w:r>
    </w:p>
    <w:p>
      <w:pPr>
        <w:spacing w:after="120" w:line="276"/>
        <w:jc w:val="both"/>
      </w:pPr>
      <w:r>
        <w:rPr>
          <w:rFonts w:ascii="Barlow Semi Condensed" w:cs="Barlow Semi Condensed" w:eastAsia="Barlow Semi Condensed" w:hAnsi="Barlow Semi Condensed"/>
          <w:sz w:val="24"/>
          <w:szCs w:val="24"/>
        </w:rPr>
        <w:t xml:space="preserve">apre con una nota di raccordo.</w:t>
      </w:r>
    </w:p>
    <w:p>
      <w:pPr>
        <w:spacing w:after="120" w:line="276"/>
        <w:jc w:val="both"/>
      </w:pPr>
      <w:r>
        <w:rPr>
          <w:rFonts w:ascii="Barlow Semi Condensed" w:cs="Barlow Semi Condensed" w:eastAsia="Barlow Semi Condensed" w:hAnsi="Barlow Semi Condensed"/>
          <w:sz w:val="24"/>
          <w:szCs w:val="24"/>
        </w:rPr>
        <w:t xml:space="preserve">Vale </w:t>
      </w:r>
      <w:r>
        <w:rPr>
          <w:rFonts w:ascii="Barlow Semi Condensed" w:cs="Barlow Semi Condensed" w:eastAsia="Barlow Semi Condensed" w:hAnsi="Barlow Semi Condensed"/>
          <w:b/>
          <w:bCs/>
          <w:sz w:val="24"/>
          <w:szCs w:val="24"/>
        </w:rPr>
        <w:t xml:space="preserve">negli altri tredici Libri, e nella prima metà del quarto</w:t>
      </w:r>
      <w:r>
        <w:rPr>
          <w:rFonts w:ascii="Barlow Semi Condensed" w:cs="Barlow Semi Condensed" w:eastAsia="Barlow Semi Condensed" w:hAnsi="Barlow Semi Condensed"/>
          <w:sz w:val="24"/>
          <w:szCs w:val="24"/>
        </w:rPr>
        <w:t xml:space="preserve">, la regola che</w:t>
      </w:r>
    </w:p>
    <w:p>
      <w:pPr>
        <w:spacing w:after="120" w:line="276"/>
        <w:jc w:val="both"/>
      </w:pPr>
      <w:r>
        <w:rPr>
          <w:rFonts w:ascii="Barlow Semi Condensed" w:cs="Barlow Semi Condensed" w:eastAsia="Barlow Semi Condensed" w:hAnsi="Barlow Semi Condensed"/>
          <w:sz w:val="24"/>
          <w:szCs w:val="24"/>
        </w:rPr>
        <w:t xml:space="preserve">ho adottato come metro: un legame è reale solo se un documento di provenienza</w:t>
      </w:r>
    </w:p>
    <w:p>
      <w:pPr>
        <w:spacing w:after="120" w:line="276"/>
        <w:jc w:val="both"/>
      </w:pPr>
      <w:r>
        <w:rPr>
          <w:rFonts w:ascii="Barlow Semi Condensed" w:cs="Barlow Semi Condensed" w:eastAsia="Barlow Semi Condensed" w:hAnsi="Barlow Semi Condensed"/>
          <w:sz w:val="24"/>
          <w:szCs w:val="24"/>
        </w:rPr>
        <w:t xml:space="preserve">nomina entrambe le parti;</w:t>
      </w:r>
    </w:p>
    <w:p>
      <w:pPr>
        <w:spacing w:after="120" w:line="276"/>
        <w:jc w:val="both"/>
      </w:pPr>
      <w:r>
        <w:rPr>
          <w:rFonts w:ascii="Barlow Semi Condensed" w:cs="Barlow Semi Condensed" w:eastAsia="Barlow Semi Condensed" w:hAnsi="Barlow Semi Condensed"/>
          <w:sz w:val="24"/>
          <w:szCs w:val="24"/>
        </w:rPr>
        <w:t xml:space="preserve">la convergenza e la contemporaneità si registrano come tali e non si promuovono</w:t>
      </w:r>
    </w:p>
    <w:p>
      <w:pPr>
        <w:spacing w:after="120" w:line="276"/>
        <w:jc w:val="both"/>
      </w:pPr>
      <w:r>
        <w:rPr>
          <w:rFonts w:ascii="Barlow Semi Condensed" w:cs="Barlow Semi Condensed" w:eastAsia="Barlow Semi Condensed" w:hAnsi="Barlow Semi Condensed"/>
          <w:sz w:val="24"/>
          <w:szCs w:val="24"/>
        </w:rPr>
        <w:t xml:space="preserve">mai a nesso causale. Dove la documentazione tace, l'opera scrive che tace, e</w:t>
      </w:r>
    </w:p>
    <w:p>
      <w:pPr>
        <w:spacing w:after="120" w:line="276"/>
        <w:jc w:val="both"/>
      </w:pPr>
      <w:r>
        <w:rPr>
          <w:rFonts w:ascii="Barlow Semi Condensed" w:cs="Barlow Semi Condensed" w:eastAsia="Barlow Semi Condensed" w:hAnsi="Barlow Semi Condensed"/>
          <w:sz w:val="24"/>
          <w:szCs w:val="24"/>
        </w:rPr>
        <w:t xml:space="preserve">indica dove si dovrebbe cercare.</w:t>
      </w:r>
    </w:p>
    <w:p>
      <w:pPr>
        <w:spacing w:after="120" w:line="276"/>
        <w:jc w:val="both"/>
      </w:pPr>
      <w:r>
        <w:rPr>
          <w:rFonts w:ascii="Barlow Semi Condensed" w:cs="Barlow Semi Condensed" w:eastAsia="Barlow Semi Condensed" w:hAnsi="Barlow Semi Condensed"/>
          <w:b/>
          <w:bCs/>
          <w:sz w:val="24"/>
          <w:szCs w:val="24"/>
        </w:rPr>
        <w:t xml:space="preserve">Perché mi rivolgo a voi, e che cosa propongo concretamente.</w:t>
      </w:r>
      <w:r>
        <w:rPr>
          <w:rFonts w:ascii="Barlow Semi Condensed" w:cs="Barlow Semi Condensed" w:eastAsia="Barlow Semi Condensed" w:hAnsi="Barlow Semi Condensed"/>
          <w:sz w:val="24"/>
          <w:szCs w:val="24"/>
        </w:rPr>
        <w:t xml:space="preserve"> Il prodotto più</w:t>
      </w:r>
    </w:p>
    <w:p>
      <w:pPr>
        <w:spacing w:after="120" w:line="276"/>
        <w:jc w:val="both"/>
      </w:pPr>
      <w:r>
        <w:rPr>
          <w:rFonts w:ascii="Barlow Semi Condensed" w:cs="Barlow Semi Condensed" w:eastAsia="Barlow Semi Condensed" w:hAnsi="Barlow Semi Condensed"/>
          <w:sz w:val="24"/>
          <w:szCs w:val="24"/>
        </w:rPr>
        <w:t xml:space="preserve">utile del lavoro non sono le pagine, ma un elenco di **atti d'archivio</w:t>
      </w:r>
    </w:p>
    <w:p>
      <w:pPr>
        <w:spacing w:after="120" w:line="276"/>
        <w:jc w:val="both"/>
      </w:pPr>
      <w:r>
        <w:rPr>
          <w:rFonts w:ascii="Barlow Semi Condensed" w:cs="Barlow Semi Condensed" w:eastAsia="Barlow Semi Condensed" w:hAnsi="Barlow Semi Condensed"/>
          <w:sz w:val="24"/>
          <w:szCs w:val="24"/>
        </w:rPr>
        <w:t xml:space="preserve">eseguibili** che ne discendono. Fra questi ve n'è uno che ritengo possa</w:t>
      </w:r>
    </w:p>
    <w:p>
      <w:pPr>
        <w:spacing w:after="120" w:line="276"/>
        <w:jc w:val="both"/>
      </w:pPr>
      <w:r>
        <w:rPr>
          <w:rFonts w:ascii="Barlow Semi Condensed" w:cs="Barlow Semi Condensed" w:eastAsia="Barlow Semi Condensed" w:hAnsi="Barlow Semi Condensed"/>
          <w:sz w:val="24"/>
          <w:szCs w:val="24"/>
        </w:rPr>
        <w:t xml:space="preserve">interessarvi in modo specifico: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Del colloquio dello Studio Ovale del </w:t>
      </w:r>
      <w:r>
        <w:rPr>
          <w:rFonts w:ascii="Barlow Semi Condensed" w:cs="Barlow Semi Condensed" w:eastAsia="Barlow Semi Condensed" w:hAnsi="Barlow Semi Condensed"/>
          <w:b/>
          <w:bCs/>
          <w:i w:val="false"/>
          <w:iCs w:val="false"/>
          <w:sz w:val="24"/>
          <w:szCs w:val="24"/>
        </w:rPr>
        <w:t xml:space="preserve">25 settembre 1974</w:t>
      </w:r>
      <w:r>
        <w:rPr>
          <w:rFonts w:ascii="Barlow Semi Condensed" w:cs="Barlow Semi Condensed" w:eastAsia="Barlow Semi Condensed" w:hAnsi="Barlow Semi Condensed"/>
          <w:i w:val="false"/>
          <w:iCs w:val="false"/>
          <w:sz w:val="24"/>
          <w:szCs w:val="24"/>
        </w:rPr>
        <w:t xml:space="preserve"> fra Giovanni Leone, Aldo Moro, Gerald Ford e Henry Kissinger esiste, allo stato, </w:t>
      </w:r>
      <w:r>
        <w:rPr>
          <w:rFonts w:ascii="Barlow Semi Condensed" w:cs="Barlow Semi Condensed" w:eastAsia="Barlow Semi Condensed" w:hAnsi="Barlow Semi Condensed"/>
          <w:b/>
          <w:bCs/>
          <w:i w:val="false"/>
          <w:iCs w:val="false"/>
          <w:sz w:val="24"/>
          <w:szCs w:val="24"/>
        </w:rPr>
        <w:t xml:space="preserve">un solo versante</w:t>
      </w:r>
      <w:r>
        <w:rPr>
          <w:rFonts w:ascii="Barlow Semi Condensed" w:cs="Barlow Semi Condensed" w:eastAsia="Barlow Semi Condensed" w:hAnsi="Barlow Semi Condensed"/>
          <w:i w:val="false"/>
          <w:iCs w:val="false"/>
          <w:sz w:val="24"/>
          <w:szCs w:val="24"/>
        </w:rPr>
        <w:t xml:space="preserve">: il </w:t>
      </w:r>
      <w:r>
        <w:rPr>
          <w:rFonts w:ascii="Barlow Semi Condensed" w:cs="Barlow Semi Condensed" w:eastAsia="Barlow Semi Condensed" w:hAnsi="Barlow Semi Condensed"/>
          <w:i w:val="false"/>
          <w:iCs w:val="false"/>
          <w:sz w:val="24"/>
          <w:szCs w:val="24"/>
        </w:rPr>
        <w:t xml:space="preserve">memorandum of conversation</w:t>
      </w:r>
      <w:r>
        <w:rPr>
          <w:rFonts w:ascii="Barlow Semi Condensed" w:cs="Barlow Semi Condensed" w:eastAsia="Barlow Semi Condensed" w:hAnsi="Barlow Semi Condensed"/>
          <w:i w:val="false"/>
          <w:iCs w:val="false"/>
          <w:sz w:val="24"/>
          <w:szCs w:val="24"/>
        </w:rPr>
        <w:t xml:space="preserve"> redatto dallo staff statunitense, edito come documento 350 del volume FRUS 1969-1976 E-15 parte 2 e conservato come file 1552802 della Gerald R. Ford Presidential Library. </w:t>
      </w:r>
      <w:r>
        <w:rPr>
          <w:rFonts w:ascii="Barlow Semi Condensed" w:cs="Barlow Semi Condensed" w:eastAsia="Barlow Semi Condensed" w:hAnsi="Barlow Semi Condensed"/>
          <w:b/>
          <w:bCs/>
          <w:i w:val="false"/>
          <w:iCs w:val="false"/>
          <w:sz w:val="24"/>
          <w:szCs w:val="24"/>
        </w:rPr>
        <w:t xml:space="preserve">Non risulta che sia mai stato cercato l'appunto italiano dello stesso incontro</w:t>
      </w:r>
      <w:r>
        <w:rPr>
          <w:rFonts w:ascii="Barlow Semi Condensed" w:cs="Barlow Semi Condensed" w:eastAsia="Barlow Semi Condensed" w:hAnsi="Barlow Semi Condensed"/>
          <w:i w:val="false"/>
          <w:iCs w:val="false"/>
          <w:sz w:val="24"/>
          <w:szCs w:val="24"/>
        </w:rPr>
        <w:t xml:space="preserve"> — il telespresso o la nota di gabinetto che ogni ministro fa stendere dopo un bilaterale. L'esito di tale ricerca sarebbe dirimente in tutte e tre le direzioni possibili: se l'appunto esiste e concorda, la versione dell'ultimatum perde l'ultimo appoggio documentale; se esiste e diverge, si avrebbe una divergenza fra due fonti primarie, cosa diversa da una testimonianza contestata; se non esiste, l'assenza va datata e spiegata.</w:t>
      </w:r>
    </w:p>
    <w:p>
      <w:pPr>
        <w:spacing w:after="120" w:line="276"/>
        <w:jc w:val="both"/>
      </w:pPr>
      <w:r>
        <w:rPr>
          <w:rFonts w:ascii="Barlow Semi Condensed" w:cs="Barlow Semi Condensed" w:eastAsia="Barlow Semi Condensed" w:hAnsi="Barlow Semi Condensed"/>
          <w:sz w:val="24"/>
          <w:szCs w:val="24"/>
        </w:rPr>
        <w:t xml:space="preserve">Gli altri quattro atti riguardano la collazione delle due copie note di quel</w:t>
      </w:r>
    </w:p>
    <w:p>
      <w:pPr>
        <w:spacing w:after="120" w:line="276"/>
        <w:jc w:val="both"/>
      </w:pPr>
      <w:r>
        <w:rPr>
          <w:rFonts w:ascii="Barlow Semi Condensed" w:cs="Barlow Semi Condensed" w:eastAsia="Barlow Semi Condensed" w:hAnsi="Barlow Semi Condensed"/>
          <w:sz w:val="24"/>
          <w:szCs w:val="24"/>
        </w:rPr>
        <w:t xml:space="preserve">verbale, l'accertamento della sua riga di firma, lo spoglio della serie NATO</w:t>
      </w:r>
    </w:p>
    <w:p>
      <w:pPr>
        <w:spacing w:after="120" w:line="276"/>
        <w:jc w:val="both"/>
      </w:pPr>
      <w:r>
        <w:rPr>
          <w:rFonts w:ascii="Barlow Semi Condensed" w:cs="Barlow Semi Condensed" w:eastAsia="Barlow Semi Condensed" w:hAnsi="Barlow Semi Condensed"/>
          <w:sz w:val="24"/>
          <w:szCs w:val="24"/>
        </w:rPr>
        <w:t xml:space="preserve">dell'Archivio storico diplomatico, e la costruzione di un cantiere di ricerca sul</w:t>
      </w:r>
    </w:p>
    <w:p>
      <w:pPr>
        <w:spacing w:after="120" w:line="276"/>
        <w:jc w:val="both"/>
      </w:pPr>
      <w:r>
        <w:rPr>
          <w:rFonts w:ascii="Barlow Semi Condensed" w:cs="Barlow Semi Condensed" w:eastAsia="Barlow Semi Condensed" w:hAnsi="Barlow Semi Condensed"/>
          <w:sz w:val="24"/>
          <w:szCs w:val="24"/>
        </w:rPr>
        <w:t xml:space="preserve">versante statunitense, che il programma di ricerca del corpus non possiede</w:t>
      </w:r>
    </w:p>
    <w:p>
      <w:pPr>
        <w:spacing w:after="120" w:line="276"/>
        <w:jc w:val="both"/>
      </w:pPr>
      <w:r>
        <w:rPr>
          <w:rFonts w:ascii="Barlow Semi Condensed" w:cs="Barlow Semi Condensed" w:eastAsia="Barlow Semi Condensed" w:hAnsi="Barlow Semi Condensed"/>
          <w:sz w:val="24"/>
          <w:szCs w:val="24"/>
        </w:rPr>
        <w:t xml:space="preserve">mentre possiede quelli britannico, francese e tedesco.</w:t>
      </w:r>
    </w:p>
    <w:p>
      <w:pPr>
        <w:spacing w:after="120" w:line="276"/>
        <w:jc w:val="both"/>
      </w:pPr>
      <w:r>
        <w:rPr>
          <w:rFonts w:ascii="Barlow Semi Condensed" w:cs="Barlow Semi Condensed" w:eastAsia="Barlow Semi Condensed" w:hAnsi="Barlow Semi Condensed"/>
          <w:b/>
          <w:bCs/>
          <w:sz w:val="24"/>
          <w:szCs w:val="24"/>
        </w:rPr>
        <w:t xml:space="preserve">La proposta è dunque triplice, e ciascuna parte è indipendente dalle altre: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Valutazione critica.</w:t>
      </w:r>
      <w:r>
        <w:rPr>
          <w:rFonts w:ascii="Barlow Semi Condensed" w:cs="Barlow Semi Condensed" w:eastAsia="Barlow Semi Condensed" w:hAnsi="Barlow Semi Condensed"/>
          <w:sz w:val="24"/>
          <w:szCs w:val="24"/>
        </w:rPr>
        <w:t xml:space="preserve"> Che il Centro esamini l'opera e ne segnali errori,</w:t>
      </w:r>
    </w:p>
    <w:p>
      <w:pPr>
        <w:spacing w:after="120" w:line="276"/>
        <w:jc w:val="both"/>
      </w:pPr>
      <w:r>
        <w:rPr>
          <w:rFonts w:ascii="Barlow Semi Condensed" w:cs="Barlow Semi Condensed" w:eastAsia="Barlow Semi Condensed" w:hAnsi="Barlow Semi Condensed"/>
          <w:sz w:val="24"/>
          <w:szCs w:val="24"/>
        </w:rPr>
        <w:t xml:space="preserve">   attribuzioni improprie o passaggi da correggere. Ogni rilievo verrà recepito</w:t>
      </w:r>
    </w:p>
    <w:p>
      <w:pPr>
        <w:spacing w:after="120" w:line="276"/>
        <w:jc w:val="both"/>
      </w:pPr>
      <w:r>
        <w:rPr>
          <w:rFonts w:ascii="Barlow Semi Condensed" w:cs="Barlow Semi Condensed" w:eastAsia="Barlow Semi Condensed" w:hAnsi="Barlow Semi Condensed"/>
          <w:sz w:val="24"/>
          <w:szCs w:val="24"/>
        </w:rPr>
        <w:t xml:space="preserve">   per nota, secondo il criterio già adottato nell'opera, che non riscrive in</w:t>
      </w:r>
    </w:p>
    <w:p>
      <w:pPr>
        <w:spacing w:after="120" w:line="276"/>
        <w:jc w:val="both"/>
      </w:pPr>
      <w:r>
        <w:rPr>
          <w:rFonts w:ascii="Barlow Semi Condensed" w:cs="Barlow Semi Condensed" w:eastAsia="Barlow Semi Condensed" w:hAnsi="Barlow Semi Condensed"/>
          <w:sz w:val="24"/>
          <w:szCs w:val="24"/>
        </w:rPr>
        <w:t xml:space="preserve">   silenzio ma annota accanto al testo errato.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Eventuale deposito</w:t>
      </w:r>
      <w:r>
        <w:rPr>
          <w:rFonts w:ascii="Barlow Semi Condensed" w:cs="Barlow Semi Condensed" w:eastAsia="Barlow Semi Condensed" w:hAnsi="Barlow Semi Condensed"/>
          <w:sz w:val="24"/>
          <w:szCs w:val="24"/>
        </w:rPr>
        <w:t xml:space="preserve">, nella forma che riterrete appropriata — anche come</w:t>
      </w:r>
    </w:p>
    <w:p>
      <w:pPr>
        <w:spacing w:after="120" w:line="276"/>
        <w:jc w:val="both"/>
      </w:pPr>
      <w:r>
        <w:rPr>
          <w:rFonts w:ascii="Barlow Semi Condensed" w:cs="Barlow Semi Condensed" w:eastAsia="Barlow Semi Condensed" w:hAnsi="Barlow Semi Condensed"/>
          <w:sz w:val="24"/>
          <w:szCs w:val="24"/>
        </w:rPr>
        <w:t xml:space="preserve">   materiale di consultazione qualificato per la sua natura, e non come studio</w:t>
      </w:r>
    </w:p>
    <w:p>
      <w:pPr>
        <w:spacing w:after="120" w:line="276"/>
        <w:jc w:val="both"/>
      </w:pPr>
      <w:r>
        <w:rPr>
          <w:rFonts w:ascii="Barlow Semi Condensed" w:cs="Barlow Semi Condensed" w:eastAsia="Barlow Semi Condensed" w:hAnsi="Barlow Semi Condensed"/>
          <w:sz w:val="24"/>
          <w:szCs w:val="24"/>
        </w:rPr>
        <w:t xml:space="preserve">   storiografico.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Segnalazione degli atti d'archivio</w:t>
      </w:r>
      <w:r>
        <w:rPr>
          <w:rFonts w:ascii="Barlow Semi Condensed" w:cs="Barlow Semi Condensed" w:eastAsia="Barlow Semi Condensed" w:hAnsi="Barlow Semi Condensed"/>
          <w:sz w:val="24"/>
          <w:szCs w:val="24"/>
        </w:rPr>
        <w:t xml:space="preserve"> a ricercatori del vostro ambito che</w:t>
      </w:r>
    </w:p>
    <w:p>
      <w:pPr>
        <w:spacing w:after="120" w:line="276"/>
        <w:jc w:val="both"/>
      </w:pPr>
      <w:r>
        <w:rPr>
          <w:rFonts w:ascii="Barlow Semi Condensed" w:cs="Barlow Semi Condensed" w:eastAsia="Barlow Semi Condensed" w:hAnsi="Barlow Semi Condensed"/>
          <w:sz w:val="24"/>
          <w:szCs w:val="24"/>
        </w:rPr>
        <w:t xml:space="preserve">   volessero eseguirli. Non chiedo che li esegua il Centro: chiedo che siano</w:t>
      </w:r>
    </w:p>
    <w:p>
      <w:pPr>
        <w:spacing w:after="120" w:line="276"/>
        <w:jc w:val="both"/>
      </w:pPr>
      <w:r>
        <w:rPr>
          <w:rFonts w:ascii="Barlow Semi Condensed" w:cs="Barlow Semi Condensed" w:eastAsia="Barlow Semi Condensed" w:hAnsi="Barlow Semi Condensed"/>
          <w:sz w:val="24"/>
          <w:szCs w:val="24"/>
        </w:rPr>
        <w:t xml:space="preserve">   messi a disposizione di chi ha la competenza per farlo.</w:t>
      </w:r>
    </w:p>
    <w:p>
      <w:pPr>
        <w:spacing w:after="120" w:line="276"/>
        <w:jc w:val="both"/>
      </w:pPr>
      <w:r>
        <w:rPr>
          <w:rFonts w:ascii="Barlow Semi Condensed" w:cs="Barlow Semi Condensed" w:eastAsia="Barlow Semi Condensed" w:hAnsi="Barlow Semi Condensed"/>
          <w:sz w:val="24"/>
          <w:szCs w:val="24"/>
        </w:rPr>
        <w:t xml:space="preserve">Non chiedo pubblicazione a vostro nome, né patrocinio, né alcun onere economico.</w:t>
      </w:r>
    </w:p>
    <w:p>
      <w:pPr>
        <w:spacing w:after="120" w:line="276"/>
        <w:jc w:val="both"/>
      </w:pPr>
      <w:r>
        <w:rPr>
          <w:rFonts w:ascii="Barlow Semi Condensed" w:cs="Barlow Semi Condensed" w:eastAsia="Barlow Semi Condensed" w:hAnsi="Barlow Semi Condensed"/>
          <w:sz w:val="24"/>
          <w:szCs w:val="24"/>
        </w:rPr>
        <w:t xml:space="preserve">L'opera è disponibile integralmente e gratuitamente, e resterà tale.</w:t>
      </w:r>
    </w:p>
    <w:p>
      <w:pPr>
        <w:spacing w:after="120" w:line="276"/>
        <w:jc w:val="both"/>
      </w:pPr>
      <w:r>
        <w:rPr>
          <w:rFonts w:ascii="Barlow Semi Condensed" w:cs="Barlow Semi Condensed" w:eastAsia="Barlow Semi Condensed" w:hAnsi="Barlow Semi Condensed"/>
          <w:sz w:val="24"/>
          <w:szCs w:val="24"/>
        </w:rPr>
        <w:t xml:space="preserve">Resto a disposizione per ogni chiarimento e per l'invio dei materiali nel formato</w:t>
      </w:r>
    </w:p>
    <w:p>
      <w:pPr>
        <w:spacing w:after="120" w:line="276"/>
        <w:jc w:val="both"/>
      </w:pPr>
      <w:r>
        <w:rPr>
          <w:rFonts w:ascii="Barlow Semi Condensed" w:cs="Barlow Semi Condensed" w:eastAsia="Barlow Semi Condensed" w:hAnsi="Barlow Semi Condensed"/>
          <w:sz w:val="24"/>
          <w:szCs w:val="24"/>
        </w:rPr>
        <w:t xml:space="preserve">che riterrete più comodo.</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 per la risposta</w:t>
      </w:r>
      <w:r>
        <w:rPr>
          <w:rFonts w:ascii="Barlow Semi Condensed" w:cs="Barlow Semi Condensed" w:eastAsia="Barlow Semi Condensed" w:hAnsi="Barlow Semi Condensed"/>
          <w:sz w:val="24"/>
          <w:szCs w:val="24"/>
        </w:rPr>
        <w:t xml:space="preserve">: [indicare PEC o email ordinaria]</w:t>
      </w:r>
    </w:p>
    <w:p>
      <w:pPr>
        <w:spacing w:after="120" w:line="276"/>
        <w:jc w:val="both"/>
      </w:pP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Allegati da elencare nel corpo della PEC</w:t>
      </w:r>
    </w:p>
    <w:p>
      <w:pPr>
        <w:spacing w:after="120" w:line="276"/>
        <w:jc w:val="both"/>
      </w:pPr>
      <w:r>
        <w:rPr>
          <w:rFonts w:ascii="Barlow Semi Condensed" w:cs="Barlow Semi Condensed" w:eastAsia="Barlow Semi Condensed" w:hAnsi="Barlow Semi Condensed"/>
          <w:sz w:val="24"/>
          <w:szCs w:val="24"/>
        </w:rPr>
        <w:t xml:space="preserve">Da citare per nome esatto del file, così che la ricevuta di avvenuta consegna</w:t>
      </w:r>
    </w:p>
    <w:p>
      <w:pPr>
        <w:spacing w:after="120" w:line="276"/>
        <w:jc w:val="both"/>
      </w:pPr>
      <w:r>
        <w:rPr>
          <w:rFonts w:ascii="Barlow Semi Condensed" w:cs="Barlow Semi Condensed" w:eastAsia="Barlow Semi Condensed" w:hAnsi="Barlow Semi Condensed"/>
          <w:sz w:val="24"/>
          <w:szCs w:val="24"/>
        </w:rPr>
        <w:t xml:space="preserve">certifichi anche il contenuto trasmesso. Si consiglia di allegare i PDF e non i</w:t>
      </w:r>
    </w:p>
    <w:p>
      <w:pPr>
        <w:spacing w:after="120" w:line="276"/>
        <w:jc w:val="both"/>
      </w:pPr>
      <w:r>
        <w:rPr>
          <w:rFonts w:ascii="Barlow Semi Condensed" w:cs="Barlow Semi Condensed" w:eastAsia="Barlow Semi Condensed" w:hAnsi="Barlow Semi Condensed"/>
          <w:sz w:val="24"/>
          <w:szCs w:val="24"/>
        </w:rPr>
        <w:t xml:space="preserve">DOCX, e di valutare l'invio del solo volume integrale se il gestore PEC impone</w:t>
      </w:r>
    </w:p>
    <w:p>
      <w:pPr>
        <w:spacing w:after="120" w:line="276"/>
        <w:jc w:val="both"/>
      </w:pPr>
      <w:r>
        <w:rPr>
          <w:rFonts w:ascii="Barlow Semi Condensed" w:cs="Barlow Semi Condensed" w:eastAsia="Barlow Semi Condensed" w:hAnsi="Barlow Semi Condensed"/>
          <w:sz w:val="24"/>
          <w:szCs w:val="24"/>
        </w:rPr>
        <w:t xml:space="preserve">limiti di dimensione (l'Opera integrale supera i 24 MB).</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UNA_GUERRA_SENZA_FINE_OPERA_INTEGRALE.pdf</w:t>
      </w:r>
      <w:r>
        <w:rPr>
          <w:rFonts w:ascii="Barlow Semi Condensed" w:cs="Barlow Semi Condensed" w:eastAsia="Barlow Semi Condensed" w:hAnsi="Barlow Semi Condensed"/>
          <w:sz w:val="24"/>
          <w:szCs w:val="24"/>
        </w:rPr>
        <w:t xml:space="preserve"> — l'opera completa, 1.762 pagine</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GUIDA-ALLA-LETTURA.md</w:t>
      </w:r>
      <w:r>
        <w:rPr>
          <w:rFonts w:ascii="Barlow Semi Condensed" w:cs="Barlow Semi Condensed" w:eastAsia="Barlow Semi Condensed" w:hAnsi="Barlow Semi Condensed"/>
          <w:sz w:val="24"/>
          <w:szCs w:val="24"/>
        </w:rPr>
        <w:t xml:space="preserve"> — la guida alla lettura del corpus</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INDICE-DOCUMENTI-BRANCH.md</w:t>
      </w:r>
      <w:r>
        <w:rPr>
          <w:rFonts w:ascii="Barlow Semi Condensed" w:cs="Barlow Semi Condensed" w:eastAsia="Barlow Semi Condensed" w:hAnsi="Barlow Semi Condensed"/>
          <w:sz w:val="24"/>
          <w:szCs w:val="24"/>
        </w:rPr>
        <w:t xml:space="preserve"> — l'indice ragionato di tutti i documenti</w:t>
      </w:r>
    </w:p>
    <w:p>
      <w:pPr>
        <w:spacing w:after="120" w:line="276"/>
        <w:jc w:val="both"/>
      </w:pPr>
      <w:r>
        <w:rPr>
          <w:rFonts w:ascii="Barlow Semi Condensed" w:cs="Barlow Semi Condensed" w:eastAsia="Barlow Semi Condensed" w:hAnsi="Barlow Semi Condensed"/>
          <w:sz w:val="24"/>
          <w:szCs w:val="24"/>
        </w:rPr>
        <w:t xml:space="preserve">In alternativa all'allegato pesante, si può indicare nel corpo il collegamento</w:t>
      </w:r>
    </w:p>
    <w:p>
      <w:pPr>
        <w:spacing w:after="120" w:line="276"/>
        <w:jc w:val="both"/>
      </w:pPr>
      <w:r>
        <w:rPr>
          <w:rFonts w:ascii="Barlow Semi Condensed" w:cs="Barlow Semi Condensed" w:eastAsia="Barlow Semi Condensed" w:hAnsi="Barlow Semi Condensed"/>
          <w:sz w:val="24"/>
          <w:szCs w:val="24"/>
        </w:rPr>
        <w:t xml:space="preserve">al deposito pubblico e allegare la sola guida alla lettura.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prudenza</w:t>
      </w:r>
    </w:p>
    <w:p>
      <w:pPr>
        <w:spacing w:after="120" w:line="276"/>
        <w:jc w:val="both"/>
      </w:pPr>
      <w:r>
        <w:rPr>
          <w:rFonts w:ascii="Barlow Semi Condensed" w:cs="Barlow Semi Condensed" w:eastAsia="Barlow Semi Condensed" w:hAnsi="Barlow Semi Condensed"/>
          <w:sz w:val="24"/>
          <w:szCs w:val="24"/>
        </w:rPr>
        <w:t xml:space="preserve">Prima dell'invio conviene rileggere l'opera con un occhio a ciò che un archivio</w:t>
      </w:r>
    </w:p>
    <w:p>
      <w:pPr>
        <w:spacing w:after="120" w:line="276"/>
        <w:jc w:val="both"/>
      </w:pPr>
      <w:r>
        <w:rPr>
          <w:rFonts w:ascii="Barlow Semi Condensed" w:cs="Barlow Semi Condensed" w:eastAsia="Barlow Semi Condensed" w:hAnsi="Barlow Semi Condensed"/>
          <w:sz w:val="24"/>
          <w:szCs w:val="24"/>
        </w:rPr>
        <w:t xml:space="preserve">specializzato noterebbe per primo: la qualificazione dei gradi, il trattamento</w:t>
      </w:r>
    </w:p>
    <w:p>
      <w:pPr>
        <w:spacing w:after="120" w:line="276"/>
        <w:jc w:val="both"/>
      </w:pPr>
      <w:r>
        <w:rPr>
          <w:rFonts w:ascii="Barlow Semi Condensed" w:cs="Barlow Semi Condensed" w:eastAsia="Barlow Semi Condensed" w:hAnsi="Barlow Semi Condensed"/>
          <w:sz w:val="24"/>
          <w:szCs w:val="24"/>
        </w:rPr>
        <w:t xml:space="preserve">delle persone nominate, e la distinzione fra ciò che è documentato e ciò che è</w:t>
      </w:r>
    </w:p>
    <w:p>
      <w:pPr>
        <w:spacing w:after="120" w:line="276"/>
        <w:jc w:val="both"/>
      </w:pPr>
      <w:r>
        <w:rPr>
          <w:rFonts w:ascii="Barlow Semi Condensed" w:cs="Barlow Semi Condensed" w:eastAsia="Barlow Semi Condensed" w:hAnsi="Barlow Semi Condensed"/>
          <w:sz w:val="24"/>
          <w:szCs w:val="24"/>
        </w:rPr>
        <w:t xml:space="preserve">riferito. Il Centro Flamigni conserva le carte di chi ha lavorato su questa</w:t>
      </w:r>
    </w:p>
    <w:p>
      <w:pPr>
        <w:spacing w:after="120" w:line="276"/>
        <w:jc w:val="both"/>
      </w:pPr>
      <w:r>
        <w:rPr>
          <w:rFonts w:ascii="Barlow Semi Condensed" w:cs="Barlow Semi Condensed" w:eastAsia="Barlow Semi Condensed" w:hAnsi="Barlow Semi Condensed"/>
          <w:sz w:val="24"/>
          <w:szCs w:val="24"/>
        </w:rPr>
        <w:t xml:space="preserve">materia per trent'anni: un'imprecisione che altrove passerebbe, lì non passa.</w:t>
      </w:r>
    </w:p>
    <w:p>
      <w:pPr>
        <w:pStyle w:val="Heading3"/>
        <w:spacing w:after="80" w:before="240"/>
      </w:pPr>
      <w:r>
        <w:rPr>
          <w:rFonts w:ascii="Barlow Semi Condensed" w:cs="Barlow Semi Condensed" w:eastAsia="Barlow Semi Condensed" w:hAnsi="Barlow Semi Condensed"/>
          <w:sz w:val="24"/>
          <w:szCs w:val="24"/>
        </w:rPr>
        <w:t xml:space="preserve">Apparato grafico — Appendici · xi. All'Archivio Flamigni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 1.289 parole in 5 sezioni; la più ampia è §3 Corpo del messaggio, con 961.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 31 paragrafi in 5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xii. Al Centro Flamigni</w:t>
      </w:r>
    </w:p>
    <w:p>
      <w:pPr>
        <w:pStyle w:val="Heading1"/>
        <w:spacing w:after="120" w:before="240"/>
      </w:pPr>
      <w:r>
        <w:rPr>
          <w:rFonts w:ascii="Barlow Semi Condensed" w:cs="Barlow Semi Condensed" w:eastAsia="Barlow Semi Condensed" w:hAnsi="Barlow Semi Condensed"/>
          <w:sz w:val="24"/>
          <w:szCs w:val="24"/>
        </w:rPr>
        <w:t xml:space="preserve">Relazione sul progetto</w:t>
      </w:r>
    </w:p>
    <w:p>
      <w:pPr>
        <w:pStyle w:val="Heading2"/>
        <w:spacing w:after="100" w:before="200"/>
      </w:pPr>
      <w:r>
        <w:rPr>
          <w:rFonts w:ascii="Barlow Semi Condensed" w:cs="Barlow Semi Condensed" w:eastAsia="Barlow Semi Condensed" w:hAnsi="Barlow Semi Condensed"/>
          <w:sz w:val="24"/>
          <w:szCs w:val="24"/>
        </w:rPr>
        <w:t xml:space="preserve">Come è nato, come è cambiato, dove può andare</w:t>
      </w:r>
    </w:p>
    <w:p>
      <w:pPr>
        <w:spacing w:after="120" w:line="276"/>
        <w:jc w:val="both"/>
      </w:pPr>
      <w:r>
        <w:rPr>
          <w:rFonts w:ascii="Barlow Semi Condensed" w:cs="Barlow Semi Condensed" w:eastAsia="Barlow Semi Condensed" w:hAnsi="Barlow Semi Condensed"/>
          <w:sz w:val="24"/>
          <w:szCs w:val="24"/>
        </w:rPr>
        <w:t xml:space="preserve">*Documento di accompagnamento alla proposta rivolta al Centro documentazione</w:t>
      </w:r>
    </w:p>
    <w:p>
      <w:pPr>
        <w:spacing w:after="120" w:line="276"/>
        <w:jc w:val="both"/>
      </w:pPr>
      <w:r>
        <w:rPr>
          <w:rFonts w:ascii="Barlow Semi Condensed" w:cs="Barlow Semi Condensed" w:eastAsia="Barlow Semi Condensed" w:hAnsi="Barlow Semi Condensed"/>
          <w:sz w:val="24"/>
          <w:szCs w:val="24"/>
        </w:rPr>
        <w:t xml:space="preserve">Archivio «Flamigni» ETS. Redatto il 26 agosto 2026.*</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questa relazione, e perché a voi</w:t>
      </w:r>
    </w:p>
    <w:p>
      <w:pPr>
        <w:spacing w:after="120" w:line="276"/>
        <w:jc w:val="both"/>
      </w:pPr>
      <w:r>
        <w:rPr>
          <w:rFonts w:ascii="Barlow Semi Condensed" w:cs="Barlow Semi Condensed" w:eastAsia="Barlow Semi Condensed" w:hAnsi="Barlow Semi Condensed"/>
          <w:sz w:val="24"/>
          <w:szCs w:val="24"/>
        </w:rPr>
        <w:t xml:space="preserve">La proposta che accompagna queste pagine dice </w:t>
      </w:r>
      <w:r>
        <w:rPr>
          <w:rFonts w:ascii="Barlow Semi Condensed" w:cs="Barlow Semi Condensed" w:eastAsia="Barlow Semi Condensed" w:hAnsi="Barlow Semi Condensed"/>
          <w:b/>
          <w:bCs/>
          <w:sz w:val="24"/>
          <w:szCs w:val="24"/>
        </w:rPr>
        <w:t xml:space="preserve">che cosa</w:t>
      </w:r>
      <w:r>
        <w:rPr>
          <w:rFonts w:ascii="Barlow Semi Condensed" w:cs="Barlow Semi Condensed" w:eastAsia="Barlow Semi Condensed" w:hAnsi="Barlow Semi Condensed"/>
          <w:sz w:val="24"/>
          <w:szCs w:val="24"/>
        </w:rPr>
        <w:t xml:space="preserve"> è l'opera. Questa</w:t>
      </w:r>
    </w:p>
    <w:p>
      <w:pPr>
        <w:spacing w:after="120" w:line="276"/>
        <w:jc w:val="both"/>
      </w:pPr>
      <w:r>
        <w:rPr>
          <w:rFonts w:ascii="Barlow Semi Condensed" w:cs="Barlow Semi Condensed" w:eastAsia="Barlow Semi Condensed" w:hAnsi="Barlow Semi Condensed"/>
          <w:sz w:val="24"/>
          <w:szCs w:val="24"/>
        </w:rPr>
        <w:t xml:space="preserve">relazione dice </w:t>
      </w:r>
      <w:r>
        <w:rPr>
          <w:rFonts w:ascii="Barlow Semi Condensed" w:cs="Barlow Semi Condensed" w:eastAsia="Barlow Semi Condensed" w:hAnsi="Barlow Semi Condensed"/>
          <w:b/>
          <w:bCs/>
          <w:sz w:val="24"/>
          <w:szCs w:val="24"/>
        </w:rPr>
        <w:t xml:space="preserve">come è stata fatta</w:t>
      </w:r>
      <w:r>
        <w:rPr>
          <w:rFonts w:ascii="Barlow Semi Condensed" w:cs="Barlow Semi Condensed" w:eastAsia="Barlow Semi Condensed" w:hAnsi="Barlow Semi Condensed"/>
          <w:sz w:val="24"/>
          <w:szCs w:val="24"/>
        </w:rPr>
        <w:t xml:space="preserve">, ed è il documento che ritengo più utile</w:t>
      </w:r>
    </w:p>
    <w:p>
      <w:pPr>
        <w:spacing w:after="120" w:line="276"/>
        <w:jc w:val="both"/>
      </w:pPr>
      <w:r>
        <w:rPr>
          <w:rFonts w:ascii="Barlow Semi Condensed" w:cs="Barlow Semi Condensed" w:eastAsia="Barlow Semi Condensed" w:hAnsi="Barlow Semi Condensed"/>
          <w:sz w:val="24"/>
          <w:szCs w:val="24"/>
        </w:rPr>
        <w:t xml:space="preserve">alla vostra valutazione: un archivio che conserva le carte di chi ha lavorato</w:t>
      </w:r>
    </w:p>
    <w:p>
      <w:pPr>
        <w:spacing w:after="120" w:line="276"/>
        <w:jc w:val="both"/>
      </w:pPr>
      <w:r>
        <w:rPr>
          <w:rFonts w:ascii="Barlow Semi Condensed" w:cs="Barlow Semi Condensed" w:eastAsia="Barlow Semi Condensed" w:hAnsi="Barlow Semi Condensed"/>
          <w:sz w:val="24"/>
          <w:szCs w:val="24"/>
        </w:rPr>
        <w:t xml:space="preserve">trent'anni su questa materia giudica un lavoro dal metodo prima che dal</w:t>
      </w:r>
    </w:p>
    <w:p>
      <w:pPr>
        <w:spacing w:after="120" w:line="276"/>
        <w:jc w:val="both"/>
      </w:pPr>
      <w:r>
        <w:rPr>
          <w:rFonts w:ascii="Barlow Semi Condensed" w:cs="Barlow Semi Condensed" w:eastAsia="Barlow Semi Condensed" w:hAnsi="Barlow Semi Condensed"/>
          <w:sz w:val="24"/>
          <w:szCs w:val="24"/>
        </w:rPr>
        <w:t xml:space="preserve">risultato, e ha ragione di farlo.</w:t>
      </w:r>
    </w:p>
    <w:p>
      <w:pPr>
        <w:spacing w:after="120" w:line="276"/>
        <w:jc w:val="both"/>
      </w:pPr>
      <w:r>
        <w:rPr>
          <w:rFonts w:ascii="Barlow Semi Condensed" w:cs="Barlow Semi Condensed" w:eastAsia="Barlow Semi Condensed" w:hAnsi="Barlow Semi Condensed"/>
          <w:sz w:val="24"/>
          <w:szCs w:val="24"/>
        </w:rPr>
        <w:t xml:space="preserve">Dico subito la cosa che rende la relazione possibile in questa forma. Il lavoro</w:t>
      </w:r>
    </w:p>
    <w:p>
      <w:pPr>
        <w:spacing w:after="120" w:line="276"/>
        <w:jc w:val="both"/>
      </w:pPr>
      <w:r>
        <w:rPr>
          <w:rFonts w:ascii="Barlow Semi Condensed" w:cs="Barlow Semi Condensed" w:eastAsia="Barlow Semi Condensed" w:hAnsi="Barlow Semi Condensed"/>
          <w:sz w:val="24"/>
          <w:szCs w:val="24"/>
        </w:rPr>
        <w:t xml:space="preserve">è stato condotto in un deposito di codice, e ogni sua modifica è registrata con</w:t>
      </w:r>
    </w:p>
    <w:p>
      <w:pPr>
        <w:spacing w:after="120" w:line="276"/>
        <w:jc w:val="both"/>
      </w:pPr>
      <w:r>
        <w:rPr>
          <w:rFonts w:ascii="Barlow Semi Condensed" w:cs="Barlow Semi Condensed" w:eastAsia="Barlow Semi Condensed" w:hAnsi="Barlow Semi Condensed"/>
          <w:sz w:val="24"/>
          <w:szCs w:val="24"/>
        </w:rPr>
        <w:t xml:space="preserve">data, ora e contenuto: </w:t>
      </w:r>
      <w:r>
        <w:rPr>
          <w:rFonts w:ascii="Barlow Semi Condensed" w:cs="Barlow Semi Condensed" w:eastAsia="Barlow Semi Condensed" w:hAnsi="Barlow Semi Condensed"/>
          <w:b/>
          <w:bCs/>
          <w:sz w:val="24"/>
          <w:szCs w:val="24"/>
        </w:rPr>
        <w:t xml:space="preserve">centocinquantaquattro revisioni</w:t>
      </w:r>
      <w:r>
        <w:rPr>
          <w:rFonts w:ascii="Barlow Semi Condensed" w:cs="Barlow Semi Condensed" w:eastAsia="Barlow Semi Condensed" w:hAnsi="Barlow Semi Condensed"/>
          <w:sz w:val="24"/>
          <w:szCs w:val="24"/>
        </w:rPr>
        <w:t xml:space="preserve">, di cui</w:t>
      </w:r>
    </w:p>
    <w:p>
      <w:pPr>
        <w:spacing w:after="120" w:line="276"/>
        <w:jc w:val="both"/>
      </w:pPr>
      <w:r>
        <w:rPr>
          <w:rFonts w:ascii="Barlow Semi Condensed" w:cs="Barlow Semi Condensed" w:eastAsia="Barlow Semi Condensed" w:hAnsi="Barlow Semi Condensed"/>
          <w:b/>
          <w:bCs/>
          <w:sz w:val="24"/>
          <w:szCs w:val="24"/>
        </w:rPr>
        <w:t xml:space="preserve">centotré</w:t>
      </w:r>
      <w:r>
        <w:rPr>
          <w:rFonts w:ascii="Barlow Semi Condensed" w:cs="Barlow Semi Condensed" w:eastAsia="Barlow Semi Condensed" w:hAnsi="Barlow Semi Condensed"/>
          <w:sz w:val="24"/>
          <w:szCs w:val="24"/>
        </w:rPr>
        <w:t xml:space="preserve"> appartengono al corpus storico. Non ricostruisco dunque la genesi</w:t>
      </w:r>
    </w:p>
    <w:p>
      <w:pPr>
        <w:spacing w:after="120" w:line="276"/>
        <w:jc w:val="both"/>
      </w:pPr>
      <w:r>
        <w:rPr>
          <w:rFonts w:ascii="Barlow Semi Condensed" w:cs="Barlow Semi Condensed" w:eastAsia="Barlow Semi Condensed" w:hAnsi="Barlow Semi Condensed"/>
          <w:sz w:val="24"/>
          <w:szCs w:val="24"/>
        </w:rPr>
        <w:t xml:space="preserve">a memoria — la leggo in un registro che non ho scritto per raccontarla, e che</w:t>
      </w:r>
    </w:p>
    <w:p>
      <w:pPr>
        <w:spacing w:after="120" w:line="276"/>
        <w:jc w:val="both"/>
      </w:pPr>
      <w:r>
        <w:rPr>
          <w:rFonts w:ascii="Barlow Semi Condensed" w:cs="Barlow Semi Condensed" w:eastAsia="Barlow Semi Condensed" w:hAnsi="Barlow Semi Condensed"/>
          <w:sz w:val="24"/>
          <w:szCs w:val="24"/>
        </w:rPr>
        <w:t xml:space="preserve">per questo vale più di un racconto. Dove qui compare una data, quella data è</w:t>
      </w:r>
    </w:p>
    <w:p>
      <w:pPr>
        <w:spacing w:after="120" w:line="276"/>
        <w:jc w:val="both"/>
      </w:pPr>
      <w:r>
        <w:rPr>
          <w:rFonts w:ascii="Barlow Semi Condensed" w:cs="Barlow Semi Condensed" w:eastAsia="Barlow Semi Condensed" w:hAnsi="Barlow Semi Condensed"/>
          <w:sz w:val="24"/>
          <w:szCs w:val="24"/>
        </w:rPr>
        <w:t xml:space="preserve">verificabile.</w:t>
      </w:r>
    </w:p>
    <w:p>
      <w:pPr>
        <w:spacing w:after="120" w:line="276"/>
        <w:jc w:val="both"/>
      </w:pPr>
      <w:r>
        <w:rPr>
          <w:rFonts w:ascii="Barlow Semi Condensed" w:cs="Barlow Semi Condensed" w:eastAsia="Barlow Semi Condensed" w:hAnsi="Barlow Semi Condensed"/>
          <w:sz w:val="24"/>
          <w:szCs w:val="24"/>
        </w:rPr>
        <w:t xml:space="preserve">Il registro contiene anche ciò che smentisce la versione più comoda dei fatti.</w:t>
      </w:r>
    </w:p>
    <w:p>
      <w:pPr>
        <w:spacing w:after="120" w:line="276"/>
        <w:jc w:val="both"/>
      </w:pPr>
      <w:r>
        <w:rPr>
          <w:rFonts w:ascii="Barlow Semi Condensed" w:cs="Barlow Semi Condensed" w:eastAsia="Barlow Semi Condensed" w:hAnsi="Barlow Semi Condensed"/>
          <w:sz w:val="24"/>
          <w:szCs w:val="24"/>
        </w:rPr>
        <w:t xml:space="preserve">Ne troverete un esempio al paragrafo 4, e ne ho fatto una correzione ai miei</w:t>
      </w:r>
    </w:p>
    <w:p>
      <w:pPr>
        <w:spacing w:after="120" w:line="276"/>
        <w:jc w:val="both"/>
      </w:pPr>
      <w:r>
        <w:rPr>
          <w:rFonts w:ascii="Barlow Semi Condensed" w:cs="Barlow Semi Condensed" w:eastAsia="Barlow Semi Condensed" w:hAnsi="Barlow Semi Condensed"/>
          <w:sz w:val="24"/>
          <w:szCs w:val="24"/>
        </w:rPr>
        <w:t xml:space="preserve">stessi documenti.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 La nascita: cinquantasette nomi</w:t>
      </w:r>
    </w:p>
    <w:p>
      <w:pPr>
        <w:spacing w:after="120" w:line="276"/>
        <w:jc w:val="both"/>
      </w:pPr>
      <w:r>
        <w:rPr>
          <w:rFonts w:ascii="Barlow Semi Condensed" w:cs="Barlow Semi Condensed" w:eastAsia="Barlow Semi Condensed" w:hAnsi="Barlow Semi Condensed"/>
          <w:sz w:val="24"/>
          <w:szCs w:val="24"/>
        </w:rPr>
        <w:t xml:space="preserve">Il progetto comincia il </w:t>
      </w:r>
      <w:r>
        <w:rPr>
          <w:rFonts w:ascii="Barlow Semi Condensed" w:cs="Barlow Semi Condensed" w:eastAsia="Barlow Semi Condensed" w:hAnsi="Barlow Semi Condensed"/>
          <w:b/>
          <w:bCs/>
          <w:sz w:val="24"/>
          <w:szCs w:val="24"/>
        </w:rPr>
        <w:t xml:space="preserve">24 agosto 2026, alle 14:49</w:t>
      </w:r>
      <w:r>
        <w:rPr>
          <w:rFonts w:ascii="Barlow Semi Condensed" w:cs="Barlow Semi Condensed" w:eastAsia="Barlow Semi Condensed" w:hAnsi="Barlow Semi Condensed"/>
          <w:sz w:val="24"/>
          <w:szCs w:val="24"/>
        </w:rPr>
        <w:t xml:space="preserve">, con un file di</w:t>
      </w:r>
    </w:p>
    <w:p>
      <w:pPr>
        <w:spacing w:after="120" w:line="276"/>
        <w:jc w:val="both"/>
      </w:pPr>
      <w:r>
        <w:rPr>
          <w:rFonts w:ascii="Barlow Semi Condensed" w:cs="Barlow Semi Condensed" w:eastAsia="Barlow Semi Condensed" w:hAnsi="Barlow Semi Condensed"/>
          <w:sz w:val="24"/>
          <w:szCs w:val="24"/>
        </w:rPr>
        <w:t xml:space="preserve">centoventidue righe intitolato *Amnistiati del Tribunale Speciale per la Difesa</w:t>
      </w:r>
    </w:p>
    <w:p>
      <w:pPr>
        <w:spacing w:after="120" w:line="276"/>
        <w:jc w:val="both"/>
      </w:pPr>
      <w:r>
        <w:rPr>
          <w:rFonts w:ascii="Barlow Semi Condensed" w:cs="Barlow Semi Condensed" w:eastAsia="Barlow Semi Condensed" w:hAnsi="Barlow Semi Condensed"/>
          <w:sz w:val="24"/>
          <w:szCs w:val="24"/>
        </w:rPr>
        <w:t xml:space="preserve">dello Stato</w:t>
      </w:r>
      <w:r>
        <w:rPr>
          <w:rFonts w:ascii="Barlow Semi Condensed" w:cs="Barlow Semi Condensed" w:eastAsia="Barlow Semi Condensed" w:hAnsi="Barlow Semi Condensed"/>
          <w:i/>
          <w:iCs/>
          <w:sz w:val="24"/>
          <w:szCs w:val="24"/>
        </w:rPr>
        <w:t xml:space="preserve">: </w:t>
      </w:r>
      <w:r>
        <w:rPr>
          <w:rFonts w:ascii="Barlow Semi Condensed" w:cs="Barlow Semi Condensed" w:eastAsia="Barlow Semi Condensed" w:hAnsi="Barlow Semi Condensed"/>
          <w:i/>
          <w:iCs/>
          <w:sz w:val="24"/>
          <w:szCs w:val="24"/>
        </w:rPr>
        <w:t xml:space="preserve">cinquantasette persone</w:t>
      </w:r>
      <w:r>
        <w:rPr>
          <w:rFonts w:ascii="Barlow Semi Condensed" w:cs="Barlow Semi Condensed" w:eastAsia="Barlow Semi Condensed" w:hAnsi="Barlow Semi Condensed"/>
          <w:sz w:val="24"/>
          <w:szCs w:val="24"/>
        </w:rPr>
        <w:t xml:space="preserve">*, censite nell'archivio Storia e Memoria</w:t>
      </w:r>
    </w:p>
    <w:p>
      <w:pPr>
        <w:spacing w:after="120" w:line="276"/>
        <w:jc w:val="both"/>
      </w:pPr>
      <w:r>
        <w:rPr>
          <w:rFonts w:ascii="Barlow Semi Condensed" w:cs="Barlow Semi Condensed" w:eastAsia="Barlow Semi Condensed" w:hAnsi="Barlow Semi Condensed"/>
          <w:sz w:val="24"/>
          <w:szCs w:val="24"/>
        </w:rPr>
        <w:t xml:space="preserve">di Bologna, condannate o deferite dal Tribunale Speciale fra il 1926 e il 1943 e</w:t>
      </w:r>
    </w:p>
    <w:p>
      <w:pPr>
        <w:spacing w:after="120" w:line="276"/>
        <w:jc w:val="both"/>
      </w:pPr>
      <w:r>
        <w:rPr>
          <w:rFonts w:ascii="Barlow Semi Condensed" w:cs="Barlow Semi Condensed" w:eastAsia="Barlow Semi Condensed" w:hAnsi="Barlow Semi Condensed"/>
          <w:sz w:val="24"/>
          <w:szCs w:val="24"/>
        </w:rPr>
        <w:t xml:space="preserve">poi beneficiarie di un'amnistia — quasi tutte quella del decennale, novembre</w:t>
      </w:r>
    </w:p>
    <w:p>
      <w:pPr>
        <w:spacing w:after="120" w:line="276"/>
        <w:jc w:val="both"/>
      </w:pPr>
      <w:r>
        <w:rPr>
          <w:rFonts w:ascii="Barlow Semi Condensed" w:cs="Barlow Semi Condensed" w:eastAsia="Barlow Semi Condensed" w:hAnsi="Barlow Semi Condensed"/>
          <w:sz w:val="24"/>
          <w:szCs w:val="24"/>
        </w:rPr>
        <w:t xml:space="preserve">1932.</w:t>
      </w:r>
    </w:p>
    <w:p>
      <w:pPr>
        <w:spacing w:after="120" w:line="276"/>
        <w:jc w:val="both"/>
      </w:pPr>
      <w:r>
        <w:rPr>
          <w:rFonts w:ascii="Barlow Semi Condensed" w:cs="Barlow Semi Condensed" w:eastAsia="Barlow Semi Condensed" w:hAnsi="Barlow Semi Condensed"/>
          <w:sz w:val="24"/>
          <w:szCs w:val="24"/>
        </w:rPr>
        <w:t xml:space="preserve">Non c'era, in quel momento, alcun progetto. C'era un elenco.</w:t>
      </w:r>
    </w:p>
    <w:p>
      <w:pPr>
        <w:spacing w:after="120" w:line="276"/>
        <w:jc w:val="both"/>
      </w:pPr>
      <w:r>
        <w:rPr>
          <w:rFonts w:ascii="Barlow Semi Condensed" w:cs="Barlow Semi Condensed" w:eastAsia="Barlow Semi Condensed" w:hAnsi="Barlow Semi Condensed"/>
          <w:sz w:val="24"/>
          <w:szCs w:val="24"/>
        </w:rPr>
        <w:t xml:space="preserve">Ma quel primo file conteneva già, in tre righe, tutto ciò che sarebbe diventato</w:t>
      </w:r>
    </w:p>
    <w:p>
      <w:pPr>
        <w:spacing w:after="120" w:line="276"/>
        <w:jc w:val="both"/>
      </w:pPr>
      <w:r>
        <w:rPr>
          <w:rFonts w:ascii="Barlow Semi Condensed" w:cs="Barlow Semi Condensed" w:eastAsia="Barlow Semi Condensed" w:hAnsi="Barlow Semi Condensed"/>
          <w:sz w:val="24"/>
          <w:szCs w:val="24"/>
        </w:rPr>
        <w:t xml:space="preserve">la disciplina delle mille pagine successive. Vale la pena rileggerle, perché</w:t>
      </w:r>
    </w:p>
    <w:p>
      <w:pPr>
        <w:spacing w:after="120" w:line="276"/>
        <w:jc w:val="both"/>
      </w:pPr>
      <w:r>
        <w:rPr>
          <w:rFonts w:ascii="Barlow Semi Condensed" w:cs="Barlow Semi Condensed" w:eastAsia="Barlow Semi Condensed" w:hAnsi="Barlow Semi Condensed"/>
          <w:sz w:val="24"/>
          <w:szCs w:val="24"/>
        </w:rPr>
        <w:t xml:space="preserve">sono l'atto di nascita: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Il sito non è raggiungibile direttamente dall'ambiente di lavoro (accesso bloccato dalla policy di rete), quindi l'elenco è stato ricostruito interrogando sistematicamente i motori di ricerca sulle pagine dell'archivio. L'elenco non è esaustivo: l'archivio bolognese censisce 734 antifascisti deferiti al Tribunale Speciale, di cui 384 condannati. Qui sono riportati i casi individuali effettivamente rintracciati, ciascuno con il link alla scheda originale per la verifica.</w:t>
      </w:r>
    </w:p>
    <w:p>
      <w:pPr>
        <w:spacing w:after="120" w:line="276"/>
        <w:jc w:val="both"/>
      </w:pPr>
      <w:r>
        <w:rPr>
          <w:rFonts w:ascii="Barlow Semi Condensed" w:cs="Barlow Semi Condensed" w:eastAsia="Barlow Semi Condensed" w:hAnsi="Barlow Semi Condensed"/>
          <w:sz w:val="24"/>
          <w:szCs w:val="24"/>
        </w:rPr>
        <w:t xml:space="preserve">Ci sono tre cose in quella nota, e sono le stesse tre che governano oggi</w:t>
      </w:r>
    </w:p>
    <w:p>
      <w:pPr>
        <w:spacing w:after="120" w:line="276"/>
        <w:jc w:val="both"/>
      </w:pPr>
      <w:r>
        <w:rPr>
          <w:rFonts w:ascii="Barlow Semi Condensed" w:cs="Barlow Semi Condensed" w:eastAsia="Barlow Semi Condensed" w:hAnsi="Barlow Semi Condensed"/>
          <w:sz w:val="24"/>
          <w:szCs w:val="24"/>
        </w:rPr>
        <w:t xml:space="preserve">milletrecento pagine. </w:t>
      </w:r>
      <w:r>
        <w:rPr>
          <w:rFonts w:ascii="Barlow Semi Condensed" w:cs="Barlow Semi Condensed" w:eastAsia="Barlow Semi Condensed" w:hAnsi="Barlow Semi Condensed"/>
          <w:b/>
          <w:bCs/>
          <w:sz w:val="24"/>
          <w:szCs w:val="24"/>
        </w:rPr>
        <w:t xml:space="preserve">Il limite d'accesso dichiarato</w:t>
      </w:r>
      <w:r>
        <w:rPr>
          <w:rFonts w:ascii="Barlow Semi Condensed" w:cs="Barlow Semi Condensed" w:eastAsia="Barlow Semi Condensed" w:hAnsi="Barlow Semi Condensed"/>
          <w:sz w:val="24"/>
          <w:szCs w:val="24"/>
        </w:rPr>
        <w:t xml:space="preserve"> invece che taciuto. **La</w:t>
      </w:r>
    </w:p>
    <w:p>
      <w:pPr>
        <w:spacing w:after="120" w:line="276"/>
        <w:jc w:val="both"/>
      </w:pPr>
      <w:r>
        <w:rPr>
          <w:rFonts w:ascii="Barlow Semi Condensed" w:cs="Barlow Semi Condensed" w:eastAsia="Barlow Semi Condensed" w:hAnsi="Barlow Semi Condensed"/>
          <w:sz w:val="24"/>
          <w:szCs w:val="24"/>
        </w:rPr>
        <w:t xml:space="preserve">misura dell'incompletezza**, data col denominatore — cinquantasette su</w:t>
      </w:r>
    </w:p>
    <w:p>
      <w:pPr>
        <w:spacing w:after="120" w:line="276"/>
        <w:jc w:val="both"/>
      </w:pPr>
      <w:r>
        <w:rPr>
          <w:rFonts w:ascii="Barlow Semi Condensed" w:cs="Barlow Semi Condensed" w:eastAsia="Barlow Semi Condensed" w:hAnsi="Barlow Semi Condensed"/>
          <w:sz w:val="24"/>
          <w:szCs w:val="24"/>
        </w:rPr>
        <w:t xml:space="preserve">settecentotrentaquattro, non «un elenco di amnistiati». E **il rimando puntuale</w:t>
      </w:r>
    </w:p>
    <w:p>
      <w:pPr>
        <w:spacing w:after="120" w:line="276"/>
        <w:jc w:val="both"/>
      </w:pPr>
      <w:r>
        <w:rPr>
          <w:rFonts w:ascii="Barlow Semi Condensed" w:cs="Barlow Semi Condensed" w:eastAsia="Barlow Semi Condensed" w:hAnsi="Barlow Semi Condensed"/>
          <w:sz w:val="24"/>
          <w:szCs w:val="24"/>
        </w:rPr>
        <w:t xml:space="preserve">alla fonte per ciascuna riga**, che è ciò che rende il documento falsificabile da</w:t>
      </w:r>
    </w:p>
    <w:p>
      <w:pPr>
        <w:spacing w:after="120" w:line="276"/>
        <w:jc w:val="both"/>
      </w:pPr>
      <w:r>
        <w:rPr>
          <w:rFonts w:ascii="Barlow Semi Condensed" w:cs="Barlow Semi Condensed" w:eastAsia="Barlow Semi Condensed" w:hAnsi="Barlow Semi Condensed"/>
          <w:sz w:val="24"/>
          <w:szCs w:val="24"/>
        </w:rPr>
        <w:t xml:space="preserve">chi lo legge senza doversi fidare di chi lo ha scritto.</w:t>
      </w:r>
    </w:p>
    <w:p>
      <w:pPr>
        <w:spacing w:after="120" w:line="276"/>
        <w:jc w:val="both"/>
      </w:pPr>
      <w:r>
        <w:rPr>
          <w:rFonts w:ascii="Barlow Semi Condensed" w:cs="Barlow Semi Condensed" w:eastAsia="Barlow Semi Condensed" w:hAnsi="Barlow Semi Condensed"/>
          <w:sz w:val="24"/>
          <w:szCs w:val="24"/>
        </w:rPr>
        <w:t xml:space="preserve">Il ramo di lavoro porta ancora oggi il nome di quel file. Millesettecento pagine</w:t>
      </w:r>
    </w:p>
    <w:p>
      <w:pPr>
        <w:spacing w:after="120" w:line="276"/>
        <w:jc w:val="both"/>
      </w:pPr>
      <w:r>
        <w:rPr>
          <w:rFonts w:ascii="Barlow Semi Condensed" w:cs="Barlow Semi Condensed" w:eastAsia="Barlow Semi Condensed" w:hAnsi="Barlow Semi Condensed"/>
          <w:sz w:val="24"/>
          <w:szCs w:val="24"/>
        </w:rPr>
        <w:t xml:space="preserve">dopo, il corpus vive su un ramo che si chiama come una lista di cinquantasette</w:t>
      </w:r>
    </w:p>
    <w:p>
      <w:pPr>
        <w:spacing w:after="120" w:line="276"/>
        <w:jc w:val="both"/>
      </w:pPr>
      <w:r>
        <w:rPr>
          <w:rFonts w:ascii="Barlow Semi Condensed" w:cs="Barlow Semi Condensed" w:eastAsia="Barlow Semi Condensed" w:hAnsi="Barlow Semi Condensed"/>
          <w:sz w:val="24"/>
          <w:szCs w:val="24"/>
        </w:rPr>
        <w:t xml:space="preserve">nomi.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 Il primo allargamento, e la nascita della triangolazione</w:t>
      </w:r>
    </w:p>
    <w:p>
      <w:pPr>
        <w:spacing w:after="120" w:line="276"/>
        <w:jc w:val="both"/>
      </w:pPr>
      <w:r>
        <w:rPr>
          <w:rFonts w:ascii="Barlow Semi Condensed" w:cs="Barlow Semi Condensed" w:eastAsia="Barlow Semi Condensed" w:hAnsi="Barlow Semi Condensed"/>
          <w:sz w:val="24"/>
          <w:szCs w:val="24"/>
        </w:rPr>
        <w:t xml:space="preserve">Nelle ore successive il perimetro si allarga a Ernesto Guevara — tre documenti</w:t>
      </w:r>
    </w:p>
    <w:p>
      <w:pPr>
        <w:spacing w:after="120" w:line="276"/>
        <w:jc w:val="both"/>
      </w:pPr>
      <w:r>
        <w:rPr>
          <w:rFonts w:ascii="Barlow Semi Condensed" w:cs="Barlow Semi Condensed" w:eastAsia="Barlow Semi Condensed" w:hAnsi="Barlow Semi Condensed"/>
          <w:sz w:val="24"/>
          <w:szCs w:val="24"/>
        </w:rPr>
        <w:t xml:space="preserve">fra le 14:50 e le 15:08 — e alle 15:15 accade la cosa che dà al progetto la sua</w:t>
      </w:r>
    </w:p>
    <w:p>
      <w:pPr>
        <w:spacing w:after="120" w:line="276"/>
        <w:jc w:val="both"/>
      </w:pPr>
      <w:r>
        <w:rPr>
          <w:rFonts w:ascii="Barlow Semi Condensed" w:cs="Barlow Semi Condensed" w:eastAsia="Barlow Semi Condensed" w:hAnsi="Barlow Semi Condensed"/>
          <w:sz w:val="24"/>
          <w:szCs w:val="24"/>
        </w:rPr>
        <w:t xml:space="preserve">forma definitiva. Non un nuovo documento: </w:t>
      </w:r>
      <w:r>
        <w:rPr>
          <w:rFonts w:ascii="Barlow Semi Condensed" w:cs="Barlow Semi Condensed" w:eastAsia="Barlow Semi Condensed" w:hAnsi="Barlow Semi Condensed"/>
          <w:b/>
          <w:bCs/>
          <w:sz w:val="24"/>
          <w:szCs w:val="24"/>
        </w:rPr>
        <w:t xml:space="preserve">un'operazione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registro la chiama </w:t>
      </w:r>
      <w:r>
        <w:rPr>
          <w:rFonts w:ascii="Barlow Semi Condensed" w:cs="Barlow Semi Condensed" w:eastAsia="Barlow Semi Condensed" w:hAnsi="Barlow Semi Condensed"/>
          <w:i/>
          <w:iCs/>
          <w:sz w:val="24"/>
          <w:szCs w:val="24"/>
        </w:rPr>
        <w:t xml:space="preserve">triangolazione</w:t>
      </w:r>
      <w:r>
        <w:rPr>
          <w:rFonts w:ascii="Barlow Semi Condensed" w:cs="Barlow Semi Condensed" w:eastAsia="Barlow Semi Condensed" w:hAnsi="Barlow Semi Condensed"/>
          <w:sz w:val="24"/>
          <w:szCs w:val="24"/>
        </w:rPr>
        <w:t xml:space="preserve">: si prende un documento nuovo e lo si</w:t>
      </w:r>
    </w:p>
    <w:p>
      <w:pPr>
        <w:spacing w:after="120" w:line="276"/>
        <w:jc w:val="both"/>
      </w:pPr>
      <w:r>
        <w:rPr>
          <w:rFonts w:ascii="Barlow Semi Condensed" w:cs="Barlow Semi Condensed" w:eastAsia="Barlow Semi Condensed" w:hAnsi="Barlow Semi Condensed"/>
          <w:sz w:val="24"/>
          <w:szCs w:val="24"/>
        </w:rPr>
        <w:t xml:space="preserve">mette contro tutto ciò che il corpus già contiene, non per confermarlo ma per</w:t>
      </w:r>
    </w:p>
    <w:p>
      <w:pPr>
        <w:spacing w:after="120" w:line="276"/>
        <w:jc w:val="both"/>
      </w:pPr>
      <w:r>
        <w:rPr>
          <w:rFonts w:ascii="Barlow Semi Condensed" w:cs="Barlow Semi Condensed" w:eastAsia="Barlow Semi Condensed" w:hAnsi="Barlow Semi Condensed"/>
          <w:sz w:val="24"/>
          <w:szCs w:val="24"/>
        </w:rPr>
        <w:t xml:space="preserve">vedere che cosa si rompe. Sette minuti dopo, alle 15:22, la revisione successiva</w:t>
      </w:r>
    </w:p>
    <w:p>
      <w:pPr>
        <w:spacing w:after="120" w:line="276"/>
        <w:jc w:val="both"/>
      </w:pPr>
      <w:r>
        <w:rPr>
          <w:rFonts w:ascii="Barlow Semi Condensed" w:cs="Barlow Semi Condensed" w:eastAsia="Barlow Semi Condensed" w:hAnsi="Barlow Semi Condensed"/>
          <w:sz w:val="24"/>
          <w:szCs w:val="24"/>
        </w:rPr>
        <w:t xml:space="preserve">si intitola «Applicate le correzioni emerse dalla triangolazione ai tre</w:t>
      </w:r>
    </w:p>
    <w:p>
      <w:pPr>
        <w:spacing w:after="120" w:line="276"/>
        <w:jc w:val="both"/>
      </w:pPr>
      <w:r>
        <w:rPr>
          <w:rFonts w:ascii="Barlow Semi Condensed" w:cs="Barlow Semi Condensed" w:eastAsia="Barlow Semi Condensed" w:hAnsi="Barlow Semi Condensed"/>
          <w:sz w:val="24"/>
          <w:szCs w:val="24"/>
        </w:rPr>
        <w:t xml:space="preserve">documenti». **Il primo uso del metodo produce correzioni ai propri stessi</w:t>
      </w:r>
    </w:p>
    <w:p>
      <w:pPr>
        <w:spacing w:after="120" w:line="276"/>
        <w:jc w:val="both"/>
      </w:pPr>
      <w:r>
        <w:rPr>
          <w:rFonts w:ascii="Barlow Semi Condensed" w:cs="Barlow Semi Condensed" w:eastAsia="Barlow Semi Condensed" w:hAnsi="Barlow Semi Condensed"/>
          <w:sz w:val="24"/>
          <w:szCs w:val="24"/>
        </w:rPr>
        <w:t xml:space="preserve">testi**, non conferme.</w:t>
      </w:r>
    </w:p>
    <w:p>
      <w:pPr>
        <w:spacing w:after="120" w:line="276"/>
        <w:jc w:val="both"/>
      </w:pPr>
      <w:r>
        <w:rPr>
          <w:rFonts w:ascii="Barlow Semi Condensed" w:cs="Barlow Semi Condensed" w:eastAsia="Barlow Semi Condensed" w:hAnsi="Barlow Semi Condensed"/>
          <w:sz w:val="24"/>
          <w:szCs w:val="24"/>
        </w:rPr>
        <w:t xml:space="preserve">Quella sequenza — costruisci, incrocia, correggi — è tutto ciò che il progetto</w:t>
      </w:r>
    </w:p>
    <w:p>
      <w:pPr>
        <w:spacing w:after="120" w:line="276"/>
        <w:jc w:val="both"/>
      </w:pPr>
      <w:r>
        <w:rPr>
          <w:rFonts w:ascii="Barlow Semi Condensed" w:cs="Barlow Semi Condensed" w:eastAsia="Barlow Semi Condensed" w:hAnsi="Barlow Semi Condensed"/>
          <w:sz w:val="24"/>
          <w:szCs w:val="24"/>
        </w:rPr>
        <w:t xml:space="preserve">sa fare, e ritorna lungo tutte le centotré revisioni del corpus. Non ha altri</w:t>
      </w:r>
    </w:p>
    <w:p>
      <w:pPr>
        <w:spacing w:after="120" w:line="276"/>
        <w:jc w:val="both"/>
      </w:pPr>
      <w:r>
        <w:rPr>
          <w:rFonts w:ascii="Barlow Semi Condensed" w:cs="Barlow Semi Condensed" w:eastAsia="Barlow Semi Condensed" w:hAnsi="Barlow Semi Condensed"/>
          <w:sz w:val="24"/>
          <w:szCs w:val="24"/>
        </w:rPr>
        <w:t xml:space="preserve">strumenti.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 Le regole hanno una data, e non sono nate insieme</w:t>
      </w:r>
    </w:p>
    <w:p>
      <w:pPr>
        <w:spacing w:after="120" w:line="276"/>
        <w:jc w:val="both"/>
      </w:pPr>
      <w:r>
        <w:rPr>
          <w:rFonts w:ascii="Barlow Semi Condensed" w:cs="Barlow Semi Condensed" w:eastAsia="Barlow Semi Condensed" w:hAnsi="Barlow Semi Condensed"/>
          <w:sz w:val="24"/>
          <w:szCs w:val="24"/>
        </w:rPr>
        <w:t xml:space="preserve">Questo è il punto in cui il registro dice qualcosa che io stesso avrei</w:t>
      </w:r>
    </w:p>
    <w:p>
      <w:pPr>
        <w:spacing w:after="120" w:line="276"/>
        <w:jc w:val="both"/>
      </w:pPr>
      <w:r>
        <w:rPr>
          <w:rFonts w:ascii="Barlow Semi Condensed" w:cs="Barlow Semi Condensed" w:eastAsia="Barlow Semi Condensed" w:hAnsi="Barlow Semi Condensed"/>
          <w:sz w:val="24"/>
          <w:szCs w:val="24"/>
        </w:rPr>
        <w:t xml:space="preserve">raccontato diversamente.</w:t>
      </w:r>
    </w:p>
    <w:p>
      <w:pPr>
        <w:spacing w:after="120" w:line="276"/>
        <w:jc w:val="both"/>
      </w:pPr>
      <w:r>
        <w:rPr>
          <w:rFonts w:ascii="Barlow Semi Condensed" w:cs="Barlow Semi Condensed" w:eastAsia="Barlow Semi Condensed" w:hAnsi="Barlow Semi Condensed"/>
          <w:sz w:val="24"/>
          <w:szCs w:val="24"/>
        </w:rPr>
        <w:t xml:space="preserve">Le regole che governano il corpus non furono scritte all'inizio. **Arrivarono una</w:t>
      </w:r>
    </w:p>
    <w:p>
      <w:pPr>
        <w:spacing w:after="120" w:line="276"/>
        <w:jc w:val="both"/>
      </w:pPr>
      <w:r>
        <w:rPr>
          <w:rFonts w:ascii="Barlow Semi Condensed" w:cs="Barlow Semi Condensed" w:eastAsia="Barlow Semi Condensed" w:hAnsi="Barlow Semi Condensed"/>
          <w:sz w:val="24"/>
          <w:szCs w:val="24"/>
        </w:rPr>
        <w:t xml:space="preserve">per volta, ciascuna quando un lavoro specifico aveva incrinato quella</w:t>
      </w:r>
    </w:p>
    <w:p>
      <w:pPr>
        <w:spacing w:after="120" w:line="276"/>
        <w:jc w:val="both"/>
      </w:pPr>
      <w:r>
        <w:rPr>
          <w:rFonts w:ascii="Barlow Semi Condensed" w:cs="Barlow Semi Condensed" w:eastAsia="Barlow Semi Condensed" w:hAnsi="Barlow Semi Condensed"/>
          <w:sz w:val="24"/>
          <w:szCs w:val="24"/>
        </w:rPr>
        <w:t xml:space="preserve">precedente**, e ciascuna porta la data e l'ora del lavoro che l'ha resa</w:t>
      </w:r>
    </w:p>
    <w:p>
      <w:pPr>
        <w:spacing w:after="120" w:line="276"/>
        <w:jc w:val="both"/>
      </w:pPr>
      <w:r>
        <w:rPr>
          <w:rFonts w:ascii="Barlow Semi Condensed" w:cs="Barlow Semi Condensed" w:eastAsia="Barlow Semi Condensed" w:hAnsi="Barlow Semi Condensed"/>
          <w:sz w:val="24"/>
          <w:szCs w:val="24"/>
        </w:rPr>
        <w:t xml:space="preserve">necessaria: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Regola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Comparsa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Il lavoro che l'ha imposta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 l'esito negativo dichiarato vale come acquisizione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24/08, 19:10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presidio del garante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La regola dei tre piani</w:t>
            </w:r>
            <w:r>
              <w:rPr>
                <w:rFonts w:ascii="Barlow Semi Condensed" w:cs="Barlow Semi Condensed" w:eastAsia="Barlow Semi Condensed" w:hAnsi="Barlow Semi Condensed"/>
                <w:sz w:val="20"/>
                <w:szCs w:val="20"/>
              </w:rPr>
              <w:t xml:space="preserve"> — documento, convergenza, diceria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24/08, 19:14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l'apparato dei gradi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Omologia contro analogia</w:t>
            </w:r>
            <w:r>
              <w:rPr>
                <w:rFonts w:ascii="Barlow Semi Condensed" w:cs="Barlow Semi Condensed" w:eastAsia="Barlow Semi Condensed" w:hAnsi="Barlow Semi Condensed"/>
                <w:sz w:val="20"/>
                <w:szCs w:val="20"/>
              </w:rPr>
              <w:t xml:space="preserve"> — dalla somiglianza non discende la parentela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25/08, 12:32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nove cantieri d'archivio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Silenzio d'oggetto</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attesa dichiarata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limite forense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26/08, 13:17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campagna territoriale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Due il primo giorno, a quattro minuti l'una dall'altra e a sera. Una il secondo.</w:t>
      </w:r>
    </w:p>
    <w:p>
      <w:pPr>
        <w:spacing w:after="120" w:line="276"/>
        <w:jc w:val="both"/>
      </w:pPr>
      <w:r>
        <w:rPr>
          <w:rFonts w:ascii="Barlow Semi Condensed" w:cs="Barlow Semi Condensed" w:eastAsia="Barlow Semi Condensed" w:hAnsi="Barlow Semi Condensed"/>
          <w:sz w:val="24"/>
          <w:szCs w:val="24"/>
        </w:rPr>
        <w:t xml:space="preserve">Tre il terzo, tutte nello stesso lavoro.</w:t>
      </w:r>
    </w:p>
    <w:p>
      <w:pPr>
        <w:spacing w:after="120" w:line="276"/>
        <w:jc w:val="both"/>
      </w:pPr>
      <w:r>
        <w:rPr>
          <w:rFonts w:ascii="Barlow Semi Condensed" w:cs="Barlow Semi Condensed" w:eastAsia="Barlow Semi Condensed" w:hAnsi="Barlow Semi Condensed"/>
          <w:b/>
          <w:bCs/>
          <w:sz w:val="24"/>
          <w:szCs w:val="24"/>
        </w:rPr>
        <w:t xml:space="preserve">Ne segue una correzione che devo fare ai miei stessi documenti.</w:t>
      </w:r>
      <w:r>
        <w:rPr>
          <w:rFonts w:ascii="Barlow Semi Condensed" w:cs="Barlow Semi Condensed" w:eastAsia="Barlow Semi Condensed" w:hAnsi="Barlow Semi Condensed"/>
          <w:sz w:val="24"/>
          <w:szCs w:val="24"/>
        </w:rPr>
        <w:t xml:space="preserve"> La scheda</w:t>
      </w:r>
    </w:p>
    <w:p>
      <w:pPr>
        <w:spacing w:after="120" w:line="276"/>
        <w:jc w:val="both"/>
      </w:pPr>
      <w:r>
        <w:rPr>
          <w:rFonts w:ascii="Barlow Semi Condensed" w:cs="Barlow Semi Condensed" w:eastAsia="Barlow Semi Condensed" w:hAnsi="Barlow Semi Condensed"/>
          <w:sz w:val="24"/>
          <w:szCs w:val="24"/>
        </w:rPr>
        <w:t xml:space="preserve">dell'opera e le proposte editoriali descrivono il corpus come prodotto «sotto una</w:t>
      </w:r>
    </w:p>
    <w:p>
      <w:pPr>
        <w:spacing w:after="120" w:line="276"/>
        <w:jc w:val="both"/>
      </w:pPr>
      <w:r>
        <w:rPr>
          <w:rFonts w:ascii="Barlow Semi Condensed" w:cs="Barlow Semi Condensed" w:eastAsia="Barlow Semi Condensed" w:hAnsi="Barlow Semi Condensed"/>
          <w:sz w:val="24"/>
          <w:szCs w:val="24"/>
        </w:rPr>
        <w:t xml:space="preserve">disciplina metodologica scritta prima del lavoro». Il registro dice che è troppo</w:t>
      </w:r>
    </w:p>
    <w:p>
      <w:pPr>
        <w:spacing w:after="120" w:line="276"/>
        <w:jc w:val="both"/>
      </w:pPr>
      <w:r>
        <w:rPr>
          <w:rFonts w:ascii="Barlow Semi Condensed" w:cs="Barlow Semi Condensed" w:eastAsia="Barlow Semi Condensed" w:hAnsi="Barlow Semi Condensed"/>
          <w:sz w:val="24"/>
          <w:szCs w:val="24"/>
        </w:rPr>
        <w:t xml:space="preserve">forte: la disciplina fu scritta prima di </w:t>
      </w:r>
      <w:r>
        <w:rPr>
          <w:rFonts w:ascii="Barlow Semi Condensed" w:cs="Barlow Semi Condensed" w:eastAsia="Barlow Semi Condensed" w:hAnsi="Barlow Semi Condensed"/>
          <w:b/>
          <w:bCs/>
          <w:sz w:val="24"/>
          <w:szCs w:val="24"/>
        </w:rPr>
        <w:t xml:space="preserve">ciascun lotto</w:t>
      </w:r>
      <w:r>
        <w:rPr>
          <w:rFonts w:ascii="Barlow Semi Condensed" w:cs="Barlow Semi Condensed" w:eastAsia="Barlow Semi Condensed" w:hAnsi="Barlow Semi Condensed"/>
          <w:sz w:val="24"/>
          <w:szCs w:val="24"/>
        </w:rPr>
        <w:t xml:space="preserve"> e riscritta ogni volta</w:t>
      </w:r>
    </w:p>
    <w:p>
      <w:pPr>
        <w:spacing w:after="120" w:line="276"/>
        <w:jc w:val="both"/>
      </w:pPr>
      <w:r>
        <w:rPr>
          <w:rFonts w:ascii="Barlow Semi Condensed" w:cs="Barlow Semi Condensed" w:eastAsia="Barlow Semi Condensed" w:hAnsi="Barlow Semi Condensed"/>
          <w:sz w:val="24"/>
          <w:szCs w:val="24"/>
        </w:rPr>
        <w:t xml:space="preserve">che un lotto la incrinava. La formula esatta è **scritta prima di ogni lotto,</w:t>
      </w:r>
    </w:p>
    <w:p>
      <w:pPr>
        <w:spacing w:after="120" w:line="276"/>
        <w:jc w:val="both"/>
      </w:pPr>
      <w:r>
        <w:rPr>
          <w:rFonts w:ascii="Barlow Semi Condensed" w:cs="Barlow Semi Condensed" w:eastAsia="Barlow Semi Condensed" w:hAnsi="Barlow Semi Condensed"/>
          <w:sz w:val="24"/>
          <w:szCs w:val="24"/>
        </w:rPr>
        <w:t xml:space="preserve">mai prima di tutto**, e l'accrescimento è datato. Correggo qui, per nota, senza</w:t>
      </w:r>
    </w:p>
    <w:p>
      <w:pPr>
        <w:spacing w:after="120" w:line="276"/>
        <w:jc w:val="both"/>
      </w:pPr>
      <w:r>
        <w:rPr>
          <w:rFonts w:ascii="Barlow Semi Condensed" w:cs="Barlow Semi Condensed" w:eastAsia="Barlow Semi Condensed" w:hAnsi="Barlow Semi Condensed"/>
          <w:sz w:val="24"/>
          <w:szCs w:val="24"/>
        </w:rPr>
        <w:t xml:space="preserve">riscrivere in silenzio i documenti che lo dicevano male; e segnalo che questa è</w:t>
      </w:r>
    </w:p>
    <w:p>
      <w:pPr>
        <w:spacing w:after="120" w:line="276"/>
        <w:jc w:val="both"/>
      </w:pPr>
      <w:r>
        <w:rPr>
          <w:rFonts w:ascii="Barlow Semi Condensed" w:cs="Barlow Semi Condensed" w:eastAsia="Barlow Semi Condensed" w:hAnsi="Barlow Semi Condensed"/>
          <w:sz w:val="24"/>
          <w:szCs w:val="24"/>
        </w:rPr>
        <w:t xml:space="preserve">la prima cosa che un lettore attento troverebbe confrontando le mie affermazioni</w:t>
      </w:r>
    </w:p>
    <w:p>
      <w:pPr>
        <w:spacing w:after="120" w:line="276"/>
        <w:jc w:val="both"/>
      </w:pPr>
      <w:r>
        <w:rPr>
          <w:rFonts w:ascii="Barlow Semi Condensed" w:cs="Barlow Semi Condensed" w:eastAsia="Barlow Semi Condensed" w:hAnsi="Barlow Semi Condensed"/>
          <w:sz w:val="24"/>
          <w:szCs w:val="24"/>
        </w:rPr>
        <w:t xml:space="preserve">col mio stesso registro.</w:t>
      </w:r>
    </w:p>
    <w:p>
      <w:pPr>
        <w:spacing w:after="120" w:line="276"/>
        <w:jc w:val="both"/>
      </w:pPr>
      <w:r>
        <w:rPr>
          <w:rFonts w:ascii="Barlow Semi Condensed" w:cs="Barlow Semi Condensed" w:eastAsia="Barlow Semi Condensed" w:hAnsi="Barlow Semi Condensed"/>
          <w:sz w:val="24"/>
          <w:szCs w:val="24"/>
        </w:rPr>
        <w:t xml:space="preserve">Che cosa significa ciascuna regola, in una riga: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«Cercato lì, con quei criteri, in quella data, non trovato» è</w:t>
      </w:r>
    </w:p>
    <w:p>
      <w:pPr>
        <w:spacing w:after="120" w:line="276"/>
        <w:jc w:val="both"/>
      </w:pPr>
      <w:r>
        <w:rPr>
          <w:rFonts w:ascii="Barlow Semi Condensed" w:cs="Barlow Semi Condensed" w:eastAsia="Barlow Semi Condensed" w:hAnsi="Barlow Semi Condensed"/>
          <w:sz w:val="24"/>
          <w:szCs w:val="24"/>
        </w:rPr>
        <w:t xml:space="preserve">  un'acquisizione di pieno valore, non un fallimento da tacere. Ha un perimetro,</w:t>
      </w:r>
    </w:p>
    <w:p>
      <w:pPr>
        <w:spacing w:after="120" w:line="276"/>
        <w:jc w:val="both"/>
      </w:pPr>
      <w:r>
        <w:rPr>
          <w:rFonts w:ascii="Barlow Semi Condensed" w:cs="Barlow Semi Condensed" w:eastAsia="Barlow Semi Condensed" w:hAnsi="Barlow Semi Condensed"/>
          <w:sz w:val="24"/>
          <w:szCs w:val="24"/>
        </w:rPr>
        <w:t xml:space="preserve">  un metodo, un responsabile, ed è ripetibile da altri.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tre piani.</w:t>
      </w:r>
      <w:r>
        <w:rPr>
          <w:rFonts w:ascii="Barlow Semi Condensed" w:cs="Barlow Semi Condensed" w:eastAsia="Barlow Semi Condensed" w:hAnsi="Barlow Semi Condensed"/>
          <w:sz w:val="24"/>
          <w:szCs w:val="24"/>
        </w:rPr>
        <w:t xml:space="preserve"> Un rapporto diretto documentato è piano 1; una convergenza</w:t>
      </w:r>
    </w:p>
    <w:p>
      <w:pPr>
        <w:spacing w:after="120" w:line="276"/>
        <w:jc w:val="both"/>
      </w:pPr>
      <w:r>
        <w:rPr>
          <w:rFonts w:ascii="Barlow Semi Condensed" w:cs="Barlow Semi Condensed" w:eastAsia="Barlow Semi Condensed" w:hAnsi="Barlow Semi Condensed"/>
          <w:sz w:val="24"/>
          <w:szCs w:val="24"/>
        </w:rPr>
        <w:t xml:space="preserve">  strutturale nella stessa cornice è piano 2; un'affermazione di terza mano senza</w:t>
      </w:r>
    </w:p>
    <w:p>
      <w:pPr>
        <w:spacing w:after="120" w:line="276"/>
        <w:jc w:val="both"/>
      </w:pPr>
      <w:r>
        <w:rPr>
          <w:rFonts w:ascii="Barlow Semi Condensed" w:cs="Barlow Semi Condensed" w:eastAsia="Barlow Semi Condensed" w:hAnsi="Barlow Semi Condensed"/>
          <w:sz w:val="24"/>
          <w:szCs w:val="24"/>
        </w:rPr>
        <w:t xml:space="preserve">  riscontro è piano 3. </w:t>
      </w:r>
      <w:r>
        <w:rPr>
          <w:rFonts w:ascii="Barlow Semi Condensed" w:cs="Barlow Semi Condensed" w:eastAsia="Barlow Semi Condensed" w:hAnsi="Barlow Semi Condensed"/>
          <w:b/>
          <w:bCs/>
          <w:sz w:val="24"/>
          <w:szCs w:val="24"/>
        </w:rPr>
        <w:t xml:space="preserve">Un ponte è reale solo al piano 1</w:t>
      </w:r>
      <w:r>
        <w:rPr>
          <w:rFonts w:ascii="Barlow Semi Condensed" w:cs="Barlow Semi Condensed" w:eastAsia="Barlow Semi Condensed" w:hAnsi="Barlow Semi Condensed"/>
          <w:sz w:val="24"/>
          <w:szCs w:val="24"/>
        </w:rPr>
        <w:t xml:space="preserve">, e il piano si</w:t>
      </w:r>
    </w:p>
    <w:p>
      <w:pPr>
        <w:spacing w:after="120" w:line="276"/>
        <w:jc w:val="both"/>
      </w:pPr>
      <w:r>
        <w:rPr>
          <w:rFonts w:ascii="Barlow Semi Condensed" w:cs="Barlow Semi Condensed" w:eastAsia="Barlow Semi Condensed" w:hAnsi="Barlow Semi Condensed"/>
          <w:sz w:val="24"/>
          <w:szCs w:val="24"/>
        </w:rPr>
        <w:t xml:space="preserve">  dichiara ogni volta.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Omologia contro analogia.</w:t>
      </w:r>
      <w:r>
        <w:rPr>
          <w:rFonts w:ascii="Barlow Semi Condensed" w:cs="Barlow Semi Condensed" w:eastAsia="Barlow Semi Condensed" w:hAnsi="Barlow Semi Condensed"/>
          <w:sz w:val="24"/>
          <w:szCs w:val="24"/>
        </w:rPr>
        <w:t xml:space="preserve"> Dalla somiglianza di due esiti non si deduce un</w:t>
      </w:r>
    </w:p>
    <w:p>
      <w:pPr>
        <w:spacing w:after="120" w:line="276"/>
        <w:jc w:val="both"/>
      </w:pPr>
      <w:r>
        <w:rPr>
          <w:rFonts w:ascii="Barlow Semi Condensed" w:cs="Barlow Semi Condensed" w:eastAsia="Barlow Semi Condensed" w:hAnsi="Barlow Semi Condensed"/>
          <w:sz w:val="24"/>
          <w:szCs w:val="24"/>
        </w:rPr>
        <w:t xml:space="preserve">  antenato comune. La prova è un documento di provenienza che nomini entrambe le</w:t>
      </w:r>
    </w:p>
    <w:p>
      <w:pPr>
        <w:spacing w:after="120" w:line="276"/>
        <w:jc w:val="both"/>
      </w:pPr>
      <w:r>
        <w:rPr>
          <w:rFonts w:ascii="Barlow Semi Condensed" w:cs="Barlow Semi Condensed" w:eastAsia="Barlow Semi Condensed" w:hAnsi="Barlow Semi Condensed"/>
          <w:sz w:val="24"/>
          <w:szCs w:val="24"/>
        </w:rPr>
        <w:t xml:space="preserve">  parti; senza quello, si hanno due fatti e non un legame.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Silenzio d'oggetto.</w:t>
      </w:r>
      <w:r>
        <w:rPr>
          <w:rFonts w:ascii="Barlow Semi Condensed" w:cs="Barlow Semi Condensed" w:eastAsia="Barlow Semi Condensed" w:hAnsi="Barlow Semi Condensed"/>
          <w:sz w:val="24"/>
          <w:szCs w:val="24"/>
        </w:rPr>
        <w:t xml:space="preserve"> Un archivio interrogato che non risponde e un capitolo</w:t>
      </w:r>
    </w:p>
    <w:p>
      <w:pPr>
        <w:spacing w:after="120" w:line="276"/>
        <w:jc w:val="both"/>
      </w:pPr>
      <w:r>
        <w:rPr>
          <w:rFonts w:ascii="Barlow Semi Condensed" w:cs="Barlow Semi Condensed" w:eastAsia="Barlow Semi Condensed" w:hAnsi="Barlow Semi Condensed"/>
          <w:sz w:val="24"/>
          <w:szCs w:val="24"/>
        </w:rPr>
        <w:t xml:space="preserve">  che parlava d'altro hanno lo stesso aspetto e valore opposto. Il primo è uno</w:t>
      </w:r>
    </w:p>
    <w:p>
      <w:pPr>
        <w:spacing w:after="120" w:line="276"/>
        <w:jc w:val="both"/>
      </w:pPr>
      <w:r>
        <w:rPr>
          <w:rFonts w:ascii="Barlow Semi Condensed" w:cs="Barlow Semi Condensed" w:eastAsia="Barlow Semi Condensed" w:hAnsi="Barlow Semi Condensed"/>
          <w:sz w:val="24"/>
          <w:szCs w:val="24"/>
        </w:rPr>
        <w:t xml:space="preserve">  Stato Zero; il secondo è un perimetro dichiarato, e non ha mancato nulla.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Attesa dichiarata.</w:t>
      </w:r>
      <w:r>
        <w:rPr>
          <w:rFonts w:ascii="Barlow Semi Condensed" w:cs="Barlow Semi Condensed" w:eastAsia="Barlow Semi Condensed" w:hAnsi="Barlow Semi Condensed"/>
          <w:sz w:val="24"/>
          <w:szCs w:val="24"/>
        </w:rPr>
        <w:t xml:space="preserve"> Prima di aprire un fondo si scrive che cosa ci si</w:t>
      </w:r>
    </w:p>
    <w:p>
      <w:pPr>
        <w:spacing w:after="120" w:line="276"/>
        <w:jc w:val="both"/>
      </w:pPr>
      <w:r>
        <w:rPr>
          <w:rFonts w:ascii="Barlow Semi Condensed" w:cs="Barlow Semi Condensed" w:eastAsia="Barlow Semi Condensed" w:hAnsi="Barlow Semi Condensed"/>
          <w:sz w:val="24"/>
          <w:szCs w:val="24"/>
        </w:rPr>
        <w:t xml:space="preserve">  aspetta di trovarvi. Un esito negativo previsto e uno inatteso sono identici</w:t>
      </w:r>
    </w:p>
    <w:p>
      <w:pPr>
        <w:spacing w:after="120" w:line="276"/>
        <w:jc w:val="both"/>
      </w:pPr>
      <w:r>
        <w:rPr>
          <w:rFonts w:ascii="Barlow Semi Condensed" w:cs="Barlow Semi Condensed" w:eastAsia="Barlow Semi Condensed" w:hAnsi="Barlow Semi Condensed"/>
          <w:sz w:val="24"/>
          <w:szCs w:val="24"/>
        </w:rPr>
        <w:t xml:space="preserve">  sullo schermo, e solo l'attesa scritta prima li distingue.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Limite forense.</w:t>
      </w:r>
      <w:r>
        <w:rPr>
          <w:rFonts w:ascii="Barlow Semi Condensed" w:cs="Barlow Semi Condensed" w:eastAsia="Barlow Semi Condensed" w:hAnsi="Barlow Semi Condensed"/>
          <w:sz w:val="24"/>
          <w:szCs w:val="24"/>
        </w:rPr>
        <w:t xml:space="preserve"> La scienza risponde a domande sulle cose, non sulle</w:t>
      </w:r>
    </w:p>
    <w:p>
      <w:pPr>
        <w:spacing w:after="120" w:line="276"/>
        <w:jc w:val="both"/>
      </w:pPr>
      <w:r>
        <w:rPr>
          <w:rFonts w:ascii="Barlow Semi Condensed" w:cs="Barlow Semi Condensed" w:eastAsia="Barlow Semi Condensed" w:hAnsi="Barlow Semi Condensed"/>
          <w:sz w:val="24"/>
          <w:szCs w:val="24"/>
        </w:rPr>
        <w:t xml:space="preserve">  intenzioni. Una perizia dice quale arma ha sparato, non perché.</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 Un precedente nella stessa cartella, e perché non lo chiamo antenato</w:t>
      </w:r>
    </w:p>
    <w:p>
      <w:pPr>
        <w:spacing w:after="120" w:line="276"/>
        <w:jc w:val="both"/>
      </w:pPr>
      <w:r>
        <w:rPr>
          <w:rFonts w:ascii="Barlow Semi Condensed" w:cs="Barlow Semi Condensed" w:eastAsia="Barlow Semi Condensed" w:hAnsi="Barlow Semi Condensed"/>
          <w:sz w:val="24"/>
          <w:szCs w:val="24"/>
        </w:rPr>
        <w:t xml:space="preserve">Il deposito che ospita il corpus ne ospitava già un altro. Nel luglio 2026 —</w:t>
      </w:r>
    </w:p>
    <w:p>
      <w:pPr>
        <w:spacing w:after="120" w:line="276"/>
        <w:jc w:val="both"/>
      </w:pPr>
      <w:r>
        <w:rPr>
          <w:rFonts w:ascii="Barlow Semi Condensed" w:cs="Barlow Semi Condensed" w:eastAsia="Barlow Semi Condensed" w:hAnsi="Barlow Semi Condensed"/>
          <w:sz w:val="24"/>
          <w:szCs w:val="24"/>
        </w:rPr>
        <w:t xml:space="preserve">giornate del 7, 8 e 11 — la stessa cartella conteneva un lavoro di tutt'altra</w:t>
      </w:r>
    </w:p>
    <w:p>
      <w:pPr>
        <w:spacing w:after="120" w:line="276"/>
        <w:jc w:val="both"/>
      </w:pPr>
      <w:r>
        <w:rPr>
          <w:rFonts w:ascii="Barlow Semi Condensed" w:cs="Barlow Semi Condensed" w:eastAsia="Barlow Semi Condensed" w:hAnsi="Barlow Semi Condensed"/>
          <w:sz w:val="24"/>
          <w:szCs w:val="24"/>
        </w:rPr>
        <w:t xml:space="preserve">materia: la ristrutturazione di uno studio di politica sanitaria, con apparato</w:t>
      </w:r>
    </w:p>
    <w:p>
      <w:pPr>
        <w:spacing w:after="120" w:line="276"/>
        <w:jc w:val="both"/>
      </w:pPr>
      <w:r>
        <w:rPr>
          <w:rFonts w:ascii="Barlow Semi Condensed" w:cs="Barlow Semi Condensed" w:eastAsia="Barlow Semi Condensed" w:hAnsi="Barlow Semi Condensed"/>
          <w:sz w:val="24"/>
          <w:szCs w:val="24"/>
        </w:rPr>
        <w:t xml:space="preserve">editoriale, protocollo di validazione e registro delle anomalie.</w:t>
      </w:r>
    </w:p>
    <w:p>
      <w:pPr>
        <w:spacing w:after="120" w:line="276"/>
        <w:jc w:val="both"/>
      </w:pPr>
      <w:r>
        <w:rPr>
          <w:rFonts w:ascii="Barlow Semi Condensed" w:cs="Barlow Semi Condensed" w:eastAsia="Barlow Semi Condensed" w:hAnsi="Barlow Semi Condensed"/>
          <w:sz w:val="24"/>
          <w:szCs w:val="24"/>
        </w:rPr>
        <w:t xml:space="preserve">Quel registro si apre così: *«Questo file registra difetti o incoerenze rilevate</w:t>
      </w:r>
    </w:p>
    <w:p>
      <w:pPr>
        <w:spacing w:after="120" w:line="276"/>
        <w:jc w:val="both"/>
      </w:pPr>
      <w:r>
        <w:rPr>
          <w:rFonts w:ascii="Barlow Semi Condensed" w:cs="Barlow Semi Condensed" w:eastAsia="Barlow Semi Condensed" w:hAnsi="Barlow Semi Condensed"/>
          <w:sz w:val="24"/>
          <w:szCs w:val="24"/>
        </w:rPr>
        <w:t xml:space="preserve">nel corpo integrale, senza deciderne il trattamento. Nessuna correzione viene</w:t>
      </w:r>
    </w:p>
    <w:p>
      <w:pPr>
        <w:spacing w:after="120" w:line="276"/>
        <w:jc w:val="both"/>
      </w:pPr>
      <w:r>
        <w:rPr>
          <w:rFonts w:ascii="Barlow Semi Condensed" w:cs="Barlow Semi Condensed" w:eastAsia="Barlow Semi Condensed" w:hAnsi="Barlow Semi Condensed"/>
          <w:sz w:val="24"/>
          <w:szCs w:val="24"/>
        </w:rPr>
        <w:t xml:space="preserve">applicata al testo finché l'autore non decide come procedere.»*</w:t>
      </w:r>
    </w:p>
    <w:p>
      <w:pPr>
        <w:spacing w:after="120" w:line="276"/>
        <w:jc w:val="both"/>
      </w:pPr>
      <w:r>
        <w:rPr>
          <w:rFonts w:ascii="Barlow Semi Condensed" w:cs="Barlow Semi Condensed" w:eastAsia="Barlow Semi Condensed" w:hAnsi="Barlow Semi Condensed"/>
          <w:sz w:val="24"/>
          <w:szCs w:val="24"/>
        </w:rPr>
        <w:t xml:space="preserve">È, parola per parola, la regola che il corpus chiama **correzione per nota, mai</w:t>
      </w:r>
    </w:p>
    <w:p>
      <w:pPr>
        <w:spacing w:after="120" w:line="276"/>
        <w:jc w:val="both"/>
      </w:pPr>
      <w:r>
        <w:rPr>
          <w:rFonts w:ascii="Barlow Semi Condensed" w:cs="Barlow Semi Condensed" w:eastAsia="Barlow Semi Condensed" w:hAnsi="Barlow Semi Condensed"/>
          <w:sz w:val="24"/>
          <w:szCs w:val="24"/>
        </w:rPr>
        <w:t xml:space="preserve">riscrittura silenziosa**.</w:t>
      </w:r>
    </w:p>
    <w:p>
      <w:pPr>
        <w:spacing w:after="120" w:line="276"/>
        <w:jc w:val="both"/>
      </w:pPr>
      <w:r>
        <w:rPr>
          <w:rFonts w:ascii="Barlow Semi Condensed" w:cs="Barlow Semi Condensed" w:eastAsia="Barlow Semi Condensed" w:hAnsi="Barlow Semi Condensed"/>
          <w:sz w:val="24"/>
          <w:szCs w:val="24"/>
        </w:rPr>
        <w:t xml:space="preserve">La tentazione è dire che la disciplina del corpus discende da lì. **Non lo</w:t>
      </w:r>
    </w:p>
    <w:p>
      <w:pPr>
        <w:spacing w:after="120" w:line="276"/>
        <w:jc w:val="both"/>
      </w:pPr>
      <w:r>
        <w:rPr>
          <w:rFonts w:ascii="Barlow Semi Condensed" w:cs="Barlow Semi Condensed" w:eastAsia="Barlow Semi Condensed" w:hAnsi="Barlow Semi Condensed"/>
          <w:sz w:val="24"/>
          <w:szCs w:val="24"/>
        </w:rPr>
        <w:t xml:space="preserve">scrivo, e la ragione è la regola numero tre.** Ho verificato: nessuno degli otto</w:t>
      </w:r>
    </w:p>
    <w:p>
      <w:pPr>
        <w:spacing w:after="120" w:line="276"/>
        <w:jc w:val="both"/>
      </w:pPr>
      <w:r>
        <w:rPr>
          <w:rFonts w:ascii="Barlow Semi Condensed" w:cs="Barlow Semi Condensed" w:eastAsia="Barlow Semi Condensed" w:hAnsi="Barlow Semi Condensed"/>
          <w:sz w:val="24"/>
          <w:szCs w:val="24"/>
        </w:rPr>
        <w:t xml:space="preserve">termini caratteristici del corpus — Stato Zero, i gradi, i tre piani, la</w:t>
      </w:r>
    </w:p>
    <w:p>
      <w:pPr>
        <w:spacing w:after="120" w:line="276"/>
        <w:jc w:val="both"/>
      </w:pPr>
      <w:r>
        <w:rPr>
          <w:rFonts w:ascii="Barlow Semi Condensed" w:cs="Barlow Semi Condensed" w:eastAsia="Barlow Semi Condensed" w:hAnsi="Barlow Semi Condensed"/>
          <w:sz w:val="24"/>
          <w:szCs w:val="24"/>
        </w:rPr>
        <w:t xml:space="preserve">triangolazione, il verbale di vuoto, la correzione per nota — compare in un solo</w:t>
      </w:r>
    </w:p>
    <w:p>
      <w:pPr>
        <w:spacing w:after="120" w:line="276"/>
        <w:jc w:val="both"/>
      </w:pPr>
      <w:r>
        <w:rPr>
          <w:rFonts w:ascii="Barlow Semi Condensed" w:cs="Barlow Semi Condensed" w:eastAsia="Barlow Semi Condensed" w:hAnsi="Barlow Semi Condensed"/>
          <w:sz w:val="24"/>
          <w:szCs w:val="24"/>
        </w:rPr>
        <w:t xml:space="preserve">file del lavoro di luglio. Il vocabolario non è ereditato: è stato creato in</w:t>
      </w:r>
    </w:p>
    <w:p>
      <w:pPr>
        <w:spacing w:after="120" w:line="276"/>
        <w:jc w:val="both"/>
      </w:pPr>
      <w:r>
        <w:rPr>
          <w:rFonts w:ascii="Barlow Semi Condensed" w:cs="Barlow Semi Condensed" w:eastAsia="Barlow Semi Condensed" w:hAnsi="Barlow Semi Condensed"/>
          <w:sz w:val="24"/>
          <w:szCs w:val="24"/>
        </w:rPr>
        <w:t xml:space="preserve">agosto.</w:t>
      </w:r>
    </w:p>
    <w:p>
      <w:pPr>
        <w:spacing w:after="120" w:line="276"/>
        <w:jc w:val="both"/>
      </w:pPr>
      <w:r>
        <w:rPr>
          <w:rFonts w:ascii="Barlow Semi Condensed" w:cs="Barlow Semi Condensed" w:eastAsia="Barlow Semi Condensed" w:hAnsi="Barlow Semi Condensed"/>
          <w:sz w:val="24"/>
          <w:szCs w:val="24"/>
        </w:rPr>
        <w:t xml:space="preserve">Restano dunque due fatti: **stesso autore, stessa cartella, sei settimane di</w:t>
      </w:r>
    </w:p>
    <w:p>
      <w:pPr>
        <w:spacing w:after="120" w:line="276"/>
        <w:jc w:val="both"/>
      </w:pPr>
      <w:r>
        <w:rPr>
          <w:rFonts w:ascii="Barlow Semi Condensed" w:cs="Barlow Semi Condensed" w:eastAsia="Barlow Semi Condensed" w:hAnsi="Barlow Semi Condensed"/>
          <w:sz w:val="24"/>
          <w:szCs w:val="24"/>
        </w:rPr>
        <w:t xml:space="preserve">distanza, stesso comportamento, nomi diversi**. È esattamente la configurazione</w:t>
      </w:r>
    </w:p>
    <w:p>
      <w:pPr>
        <w:spacing w:after="120" w:line="276"/>
        <w:jc w:val="both"/>
      </w:pPr>
      <w:r>
        <w:rPr>
          <w:rFonts w:ascii="Barlow Semi Condensed" w:cs="Barlow Semi Condensed" w:eastAsia="Barlow Semi Condensed" w:hAnsi="Barlow Semi Condensed"/>
          <w:sz w:val="24"/>
          <w:szCs w:val="24"/>
        </w:rPr>
        <w:t xml:space="preserve">che la regola dei tre piani colloca al </w:t>
      </w:r>
      <w:r>
        <w:rPr>
          <w:rFonts w:ascii="Barlow Semi Condensed" w:cs="Barlow Semi Condensed" w:eastAsia="Barlow Semi Condensed" w:hAnsi="Barlow Semi Condensed"/>
          <w:b/>
          <w:bCs/>
          <w:sz w:val="24"/>
          <w:szCs w:val="24"/>
        </w:rPr>
        <w:t xml:space="preserve">piano 2</w:t>
      </w:r>
      <w:r>
        <w:rPr>
          <w:rFonts w:ascii="Barlow Semi Condensed" w:cs="Barlow Semi Condensed" w:eastAsia="Barlow Semi Condensed" w:hAnsi="Barlow Semi Condensed"/>
          <w:sz w:val="24"/>
          <w:szCs w:val="24"/>
        </w:rPr>
        <w:t xml:space="preserve"> — convergenza strutturale — e</w:t>
      </w:r>
    </w:p>
    <w:p>
      <w:pPr>
        <w:spacing w:after="120" w:line="276"/>
        <w:jc w:val="both"/>
      </w:pPr>
      <w:r>
        <w:rPr>
          <w:rFonts w:ascii="Barlow Semi Condensed" w:cs="Barlow Semi Condensed" w:eastAsia="Barlow Semi Condensed" w:hAnsi="Barlow Semi Condensed"/>
          <w:sz w:val="24"/>
          <w:szCs w:val="24"/>
        </w:rPr>
        <w:t xml:space="preserve">che vi resta finché non compaia un documento in cui l'uno rimandi all'altro. Non</w:t>
      </w:r>
    </w:p>
    <w:p>
      <w:pPr>
        <w:spacing w:after="120" w:line="276"/>
        <w:jc w:val="both"/>
      </w:pPr>
      <w:r>
        <w:rPr>
          <w:rFonts w:ascii="Barlow Semi Condensed" w:cs="Barlow Semi Condensed" w:eastAsia="Barlow Semi Condensed" w:hAnsi="Barlow Semi Condensed"/>
          <w:sz w:val="24"/>
          <w:szCs w:val="24"/>
        </w:rPr>
        <w:t xml:space="preserve">c'è. Lo registro come convergenza e non come filiazione, e applico a me stesso il</w:t>
      </w:r>
    </w:p>
    <w:p>
      <w:pPr>
        <w:spacing w:after="120" w:line="276"/>
        <w:jc w:val="both"/>
      </w:pPr>
      <w:r>
        <w:rPr>
          <w:rFonts w:ascii="Barlow Semi Condensed" w:cs="Barlow Semi Condensed" w:eastAsia="Barlow Semi Condensed" w:hAnsi="Barlow Semi Condensed"/>
          <w:sz w:val="24"/>
          <w:szCs w:val="24"/>
        </w:rPr>
        <w:t xml:space="preserve">criterio che applico a chiunque altro. Se un giorno quel documento comparisse,</w:t>
      </w:r>
    </w:p>
    <w:p>
      <w:pPr>
        <w:spacing w:after="120" w:line="276"/>
        <w:jc w:val="both"/>
      </w:pPr>
      <w:r>
        <w:rPr>
          <w:rFonts w:ascii="Barlow Semi Condensed" w:cs="Barlow Semi Condensed" w:eastAsia="Barlow Semi Condensed" w:hAnsi="Barlow Semi Condensed"/>
          <w:sz w:val="24"/>
          <w:szCs w:val="24"/>
        </w:rPr>
        <w:t xml:space="preserve">il piano salirebbe; ma non lo si promuove per comodità narrativa.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5 · Come si è evoluto: da narrare a domandare</w:t>
      </w:r>
    </w:p>
    <w:p>
      <w:pPr>
        <w:spacing w:after="120" w:line="276"/>
        <w:jc w:val="both"/>
      </w:pPr>
      <w:r>
        <w:rPr>
          <w:rFonts w:ascii="Barlow Semi Condensed" w:cs="Barlow Semi Condensed" w:eastAsia="Barlow Semi Condensed" w:hAnsi="Barlow Semi Condensed"/>
          <w:sz w:val="24"/>
          <w:szCs w:val="24"/>
        </w:rPr>
        <w:t xml:space="preserve">L'evoluzione sostanziale del progetto non è la crescita, che è banale. È un</w:t>
      </w:r>
    </w:p>
    <w:p>
      <w:pPr>
        <w:spacing w:after="120" w:line="276"/>
        <w:jc w:val="both"/>
      </w:pPr>
      <w:r>
        <w:rPr>
          <w:rFonts w:ascii="Barlow Semi Condensed" w:cs="Barlow Semi Condensed" w:eastAsia="Barlow Semi Condensed" w:hAnsi="Barlow Semi Condensed"/>
          <w:sz w:val="24"/>
          <w:szCs w:val="24"/>
        </w:rPr>
        <w:t xml:space="preserve">cambio di natura, e si può datare al </w:t>
      </w:r>
      <w:r>
        <w:rPr>
          <w:rFonts w:ascii="Barlow Semi Condensed" w:cs="Barlow Semi Condensed" w:eastAsia="Barlow Semi Condensed" w:hAnsi="Barlow Semi Condensed"/>
          <w:b/>
          <w:bCs/>
          <w:sz w:val="24"/>
          <w:szCs w:val="24"/>
        </w:rPr>
        <w:t xml:space="preserve">25 agosto, ore 10:49</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Fino a quel momento il corpus </w:t>
      </w:r>
      <w:r>
        <w:rPr>
          <w:rFonts w:ascii="Barlow Semi Condensed" w:cs="Barlow Semi Condensed" w:eastAsia="Barlow Semi Condensed" w:hAnsi="Barlow Semi Condensed"/>
          <w:b/>
          <w:bCs/>
          <w:sz w:val="24"/>
          <w:szCs w:val="24"/>
        </w:rPr>
        <w:t xml:space="preserve">raccontava</w:t>
      </w:r>
      <w:r>
        <w:rPr>
          <w:rFonts w:ascii="Barlow Semi Condensed" w:cs="Barlow Semi Condensed" w:eastAsia="Barlow Semi Condensed" w:hAnsi="Barlow Semi Condensed"/>
          <w:sz w:val="24"/>
          <w:szCs w:val="24"/>
        </w:rPr>
        <w:t xml:space="preserve">: ritratti, parabole, monografie,</w:t>
      </w:r>
    </w:p>
    <w:p>
      <w:pPr>
        <w:spacing w:after="120" w:line="276"/>
        <w:jc w:val="both"/>
      </w:pPr>
      <w:r>
        <w:rPr>
          <w:rFonts w:ascii="Barlow Semi Condensed" w:cs="Barlow Semi Condensed" w:eastAsia="Barlow Semi Condensed" w:hAnsi="Barlow Semi Condensed"/>
          <w:sz w:val="24"/>
          <w:szCs w:val="24"/>
        </w:rPr>
        <w:t xml:space="preserve">registri giudiziari, studi su Feltrinelli, sul nodo Hyperion, sul ceppo Simioni,</w:t>
      </w:r>
    </w:p>
    <w:p>
      <w:pPr>
        <w:spacing w:after="120" w:line="276"/>
        <w:jc w:val="both"/>
      </w:pPr>
      <w:r>
        <w:rPr>
          <w:rFonts w:ascii="Barlow Semi Condensed" w:cs="Barlow Semi Condensed" w:eastAsia="Barlow Semi Condensed" w:hAnsi="Barlow Semi Condensed"/>
          <w:sz w:val="24"/>
          <w:szCs w:val="24"/>
        </w:rPr>
        <w:t xml:space="preserve">sul Tribunale Speciale, sulla dimensione diplomatica di Moro ministro degli</w:t>
      </w:r>
    </w:p>
    <w:p>
      <w:pPr>
        <w:spacing w:after="120" w:line="276"/>
        <w:jc w:val="both"/>
      </w:pPr>
      <w:r>
        <w:rPr>
          <w:rFonts w:ascii="Barlow Semi Condensed" w:cs="Barlow Semi Condensed" w:eastAsia="Barlow Semi Condensed" w:hAnsi="Barlow Semi Condensed"/>
          <w:sz w:val="24"/>
          <w:szCs w:val="24"/>
        </w:rPr>
        <w:t xml:space="preserve">Esteri. Materiale ordinato, gradato, ma pur sempre esposizione.</w:t>
      </w:r>
    </w:p>
    <w:p>
      <w:pPr>
        <w:spacing w:after="120" w:line="276"/>
        <w:jc w:val="both"/>
      </w:pPr>
      <w:r>
        <w:rPr>
          <w:rFonts w:ascii="Barlow Semi Condensed" w:cs="Barlow Semi Condensed" w:eastAsia="Barlow Semi Condensed" w:hAnsi="Barlow Semi Condensed"/>
          <w:sz w:val="24"/>
          <w:szCs w:val="24"/>
        </w:rPr>
        <w:t xml:space="preserve">Da quel momento il corpus </w:t>
      </w:r>
      <w:r>
        <w:rPr>
          <w:rFonts w:ascii="Barlow Semi Condensed" w:cs="Barlow Semi Condensed" w:eastAsia="Barlow Semi Condensed" w:hAnsi="Barlow Semi Condensed"/>
          <w:b/>
          <w:bCs/>
          <w:sz w:val="24"/>
          <w:szCs w:val="24"/>
        </w:rPr>
        <w:t xml:space="preserve">domanda</w:t>
      </w:r>
      <w:r>
        <w:rPr>
          <w:rFonts w:ascii="Barlow Semi Condensed" w:cs="Barlow Semi Condensed" w:eastAsia="Barlow Semi Condensed" w:hAnsi="Barlow Semi Condensed"/>
          <w:sz w:val="24"/>
          <w:szCs w:val="24"/>
        </w:rPr>
        <w:t xml:space="preserve">. Nasce la forma del </w:t>
      </w:r>
      <w:r>
        <w:rPr>
          <w:rFonts w:ascii="Barlow Semi Condensed" w:cs="Barlow Semi Condensed" w:eastAsia="Barlow Semi Condensed" w:hAnsi="Barlow Semi Condensed"/>
          <w:b/>
          <w:bCs/>
          <w:sz w:val="24"/>
          <w:szCs w:val="24"/>
        </w:rPr>
        <w:t xml:space="preserve">blocco mirato</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un'affermazione, ma un bersaglio di ricerca — un quesito formulato in modo che</w:t>
      </w:r>
    </w:p>
    <w:p>
      <w:pPr>
        <w:spacing w:after="120" w:line="276"/>
        <w:jc w:val="both"/>
      </w:pPr>
      <w:r>
        <w:rPr>
          <w:rFonts w:ascii="Barlow Semi Condensed" w:cs="Barlow Semi Condensed" w:eastAsia="Barlow Semi Condensed" w:hAnsi="Barlow Semi Condensed"/>
          <w:sz w:val="24"/>
          <w:szCs w:val="24"/>
        </w:rPr>
        <w:t xml:space="preserve">qualcuno possa portarlo in archivio, con il grado di ciò che già si sa e la sede</w:t>
      </w:r>
    </w:p>
    <w:p>
      <w:pPr>
        <w:spacing w:after="120" w:line="276"/>
        <w:jc w:val="both"/>
      </w:pPr>
      <w:r>
        <w:rPr>
          <w:rFonts w:ascii="Barlow Semi Condensed" w:cs="Barlow Semi Condensed" w:eastAsia="Barlow Semi Condensed" w:hAnsi="Barlow Semi Condensed"/>
          <w:sz w:val="24"/>
          <w:szCs w:val="24"/>
        </w:rPr>
        <w:t xml:space="preserve">in cui si cercherebbe. Il primo lotto è di trecento blocchi; oggi sono</w:t>
      </w:r>
    </w:p>
    <w:p>
      <w:pPr>
        <w:spacing w:after="120" w:line="276"/>
        <w:jc w:val="both"/>
      </w:pPr>
      <w:r>
        <w:rPr>
          <w:rFonts w:ascii="Barlow Semi Condensed" w:cs="Barlow Semi Condensed" w:eastAsia="Barlow Semi Condensed" w:hAnsi="Barlow Semi Condensed"/>
          <w:b/>
          <w:bCs/>
          <w:sz w:val="24"/>
          <w:szCs w:val="24"/>
        </w:rPr>
        <w:t xml:space="preserve">settemilaseicentonovantanove</w:t>
      </w:r>
      <w:r>
        <w:rPr>
          <w:rFonts w:ascii="Barlow Semi Condensed" w:cs="Barlow Semi Condensed" w:eastAsia="Barlow Semi Condensed" w:hAnsi="Barlow Semi Condensed"/>
          <w:sz w:val="24"/>
          <w:szCs w:val="24"/>
        </w:rPr>
        <w:t xml:space="preserve"> in cinque opere.</w:t>
      </w:r>
    </w:p>
    <w:p>
      <w:pPr>
        <w:spacing w:after="120" w:line="276"/>
        <w:jc w:val="both"/>
      </w:pPr>
      <w:r>
        <w:rPr>
          <w:rFonts w:ascii="Barlow Semi Condensed" w:cs="Barlow Semi Condensed" w:eastAsia="Barlow Semi Condensed" w:hAnsi="Barlow Semi Condensed"/>
          <w:sz w:val="24"/>
          <w:szCs w:val="24"/>
        </w:rPr>
        <w:t xml:space="preserve">È la trasformazione che rende il lavoro utile a un centro come il vostro. Un</w:t>
      </w:r>
    </w:p>
    <w:p>
      <w:pPr>
        <w:spacing w:after="120" w:line="276"/>
        <w:jc w:val="both"/>
      </w:pPr>
      <w:r>
        <w:rPr>
          <w:rFonts w:ascii="Barlow Semi Condensed" w:cs="Barlow Semi Condensed" w:eastAsia="Barlow Semi Condensed" w:hAnsi="Barlow Semi Condensed"/>
          <w:sz w:val="24"/>
          <w:szCs w:val="24"/>
        </w:rPr>
        <w:t xml:space="preserve">racconto in più su questa materia non serve a nessuno, e ce ne sono troppi. Un</w:t>
      </w:r>
    </w:p>
    <w:p>
      <w:pPr>
        <w:spacing w:after="120" w:line="276"/>
        <w:jc w:val="both"/>
      </w:pPr>
      <w:r>
        <w:rPr>
          <w:rFonts w:ascii="Barlow Semi Condensed" w:cs="Barlow Semi Condensed" w:eastAsia="Barlow Semi Condensed" w:hAnsi="Barlow Semi Condensed"/>
          <w:sz w:val="24"/>
          <w:szCs w:val="24"/>
        </w:rPr>
        <w:t xml:space="preserve">elenco di domande eseguibili, ciascuna con la porta a cui bussare, è un altro</w:t>
      </w:r>
    </w:p>
    <w:p>
      <w:pPr>
        <w:spacing w:after="120" w:line="276"/>
        <w:jc w:val="both"/>
      </w:pPr>
      <w:r>
        <w:rPr>
          <w:rFonts w:ascii="Barlow Semi Condensed" w:cs="Barlow Semi Condensed" w:eastAsia="Barlow Semi Condensed" w:hAnsi="Barlow Semi Condensed"/>
          <w:sz w:val="24"/>
          <w:szCs w:val="24"/>
        </w:rPr>
        <w:t xml:space="preserve">genere di oggetto.</w:t>
      </w:r>
    </w:p>
    <w:p>
      <w:pPr>
        <w:spacing w:after="120" w:line="276"/>
        <w:jc w:val="both"/>
      </w:pPr>
      <w:r>
        <w:rPr>
          <w:rFonts w:ascii="Barlow Semi Condensed" w:cs="Barlow Semi Condensed" w:eastAsia="Barlow Semi Condensed" w:hAnsi="Barlow Semi Condensed"/>
          <w:sz w:val="24"/>
          <w:szCs w:val="24"/>
        </w:rPr>
        <w:t xml:space="preserve">Lo stato al 26 agosto 2026: </w:t>
      </w:r>
      <w:r>
        <w:rPr>
          <w:rFonts w:ascii="Barlow Semi Condensed" w:cs="Barlow Semi Condensed" w:eastAsia="Barlow Semi Condensed" w:hAnsi="Barlow Semi Condensed"/>
          <w:b/>
          <w:bCs/>
          <w:sz w:val="24"/>
          <w:szCs w:val="24"/>
        </w:rPr>
        <w:t xml:space="preserve">1.762 pagine</w:t>
      </w:r>
      <w:r>
        <w:rPr>
          <w:rFonts w:ascii="Barlow Semi Condensed" w:cs="Barlow Semi Condensed" w:eastAsia="Barlow Semi Condensed" w:hAnsi="Barlow Semi Condensed"/>
          <w:sz w:val="24"/>
          <w:szCs w:val="24"/>
        </w:rPr>
        <w:t xml:space="preserve"> rilegate in un volume integrale,</w:t>
      </w:r>
    </w:p>
    <w:p>
      <w:pPr>
        <w:spacing w:after="120" w:line="276"/>
        <w:jc w:val="both"/>
      </w:pPr>
      <w:r>
        <w:rPr>
          <w:rFonts w:ascii="Barlow Semi Condensed" w:cs="Barlow Semi Condensed" w:eastAsia="Barlow Semi Condensed" w:hAnsi="Barlow Semi Condensed"/>
          <w:sz w:val="24"/>
          <w:szCs w:val="24"/>
        </w:rPr>
        <w:t xml:space="preserve">quarantasette documenti, </w:t>
      </w:r>
      <w:r>
        <w:rPr>
          <w:rFonts w:ascii="Barlow Semi Condensed" w:cs="Barlow Semi Condensed" w:eastAsia="Barlow Semi Condensed" w:hAnsi="Barlow Semi Condensed"/>
          <w:b/>
          <w:bCs/>
          <w:sz w:val="24"/>
          <w:szCs w:val="24"/>
        </w:rPr>
        <w:t xml:space="preserve">667 riferimenti bibliografici distinti</w:t>
      </w:r>
      <w:r>
        <w:rPr>
          <w:rFonts w:ascii="Barlow Semi Condensed" w:cs="Barlow Semi Condensed" w:eastAsia="Barlow Semi Condensed" w:hAnsi="Barlow Semi Condensed"/>
          <w:sz w:val="24"/>
          <w:szCs w:val="24"/>
        </w:rPr>
        <w:t xml:space="preserve"> per 1.002</w:t>
      </w:r>
    </w:p>
    <w:p>
      <w:pPr>
        <w:spacing w:after="120" w:line="276"/>
        <w:jc w:val="both"/>
      </w:pPr>
      <w:r>
        <w:rPr>
          <w:rFonts w:ascii="Barlow Semi Condensed" w:cs="Barlow Semi Condensed" w:eastAsia="Barlow Semi Condensed" w:hAnsi="Barlow Semi Condensed"/>
          <w:sz w:val="24"/>
          <w:szCs w:val="24"/>
        </w:rPr>
        <w:t xml:space="preserve">citazioni su 344 domini. Il dominio più citato — sessantadue volte — è</w:t>
      </w:r>
    </w:p>
    <w:p>
      <w:pPr>
        <w:spacing w:after="120" w:line="276"/>
        <w:jc w:val="both"/>
      </w:pPr>
      <w:r>
        <w:rPr>
          <w:rFonts w:ascii="Barlow Semi Condensed" w:cs="Barlow Semi Condensed" w:eastAsia="Barlow Semi Condensed" w:hAnsi="Barlow Semi Condensed"/>
          <w:i/>
          <w:iCs/>
          <w:sz w:val="24"/>
          <w:szCs w:val="24"/>
        </w:rPr>
        <w:t xml:space="preserve">storiaememoriadibologna.it</w:t>
      </w:r>
      <w:r>
        <w:rPr>
          <w:rFonts w:ascii="Barlow Semi Condensed" w:cs="Barlow Semi Condensed" w:eastAsia="Barlow Semi Condensed" w:hAnsi="Barlow Semi Condensed"/>
          <w:sz w:val="24"/>
          <w:szCs w:val="24"/>
        </w:rPr>
        <w:t xml:space="preserve">, cioè l'archivio da cui il lavoro era partito con</w:t>
      </w:r>
    </w:p>
    <w:p>
      <w:pPr>
        <w:spacing w:after="120" w:line="276"/>
        <w:jc w:val="both"/>
      </w:pPr>
      <w:r>
        <w:rPr>
          <w:rFonts w:ascii="Barlow Semi Condensed" w:cs="Barlow Semi Condensed" w:eastAsia="Barlow Semi Condensed" w:hAnsi="Barlow Semi Condensed"/>
          <w:sz w:val="24"/>
          <w:szCs w:val="24"/>
        </w:rPr>
        <w:t xml:space="preserve">cinquantasette nomi.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6 · Gli errori, che sono la parte da leggere per prima</w:t>
      </w:r>
    </w:p>
    <w:p>
      <w:pPr>
        <w:spacing w:after="120" w:line="276"/>
        <w:jc w:val="both"/>
      </w:pPr>
      <w:r>
        <w:rPr>
          <w:rFonts w:ascii="Barlow Semi Condensed" w:cs="Barlow Semi Condensed" w:eastAsia="Barlow Semi Condensed" w:hAnsi="Barlow Semi Condensed"/>
          <w:sz w:val="24"/>
          <w:szCs w:val="24"/>
        </w:rPr>
        <w:t xml:space="preserve">Un lavoro che dichiara di aver funzionato non è verificabile. Un lavoro che</w:t>
      </w:r>
    </w:p>
    <w:p>
      <w:pPr>
        <w:spacing w:after="120" w:line="276"/>
        <w:jc w:val="both"/>
      </w:pPr>
      <w:r>
        <w:rPr>
          <w:rFonts w:ascii="Barlow Semi Condensed" w:cs="Barlow Semi Condensed" w:eastAsia="Barlow Semi Condensed" w:hAnsi="Barlow Semi Condensed"/>
          <w:sz w:val="24"/>
          <w:szCs w:val="24"/>
        </w:rPr>
        <w:t xml:space="preserve">dichiara dove ha sbagliato lo è. Elenco gli errori trovati e corretti, perché è</w:t>
      </w:r>
    </w:p>
    <w:p>
      <w:pPr>
        <w:spacing w:after="120" w:line="276"/>
        <w:jc w:val="both"/>
      </w:pPr>
      <w:r>
        <w:rPr>
          <w:rFonts w:ascii="Barlow Semi Condensed" w:cs="Barlow Semi Condensed" w:eastAsia="Barlow Semi Condensed" w:hAnsi="Barlow Semi Condensed"/>
          <w:sz w:val="24"/>
          <w:szCs w:val="24"/>
        </w:rPr>
        <w:t xml:space="preserve">la sezione su cui vi chiedo di misurare tutto il resto.</w:t>
      </w:r>
    </w:p>
    <w:p>
      <w:pPr>
        <w:spacing w:after="120" w:line="276"/>
        <w:jc w:val="both"/>
      </w:pPr>
      <w:r>
        <w:rPr>
          <w:rFonts w:ascii="Barlow Semi Condensed" w:cs="Barlow Semi Condensed" w:eastAsia="Barlow Semi Condensed" w:hAnsi="Barlow Semi Condensed"/>
          <w:b/>
          <w:bCs/>
          <w:sz w:val="24"/>
          <w:szCs w:val="24"/>
        </w:rPr>
        <w:t xml:space="preserve">Errori di merito</w:t>
      </w:r>
      <w:r>
        <w:rPr>
          <w:rFonts w:ascii="Barlow Semi Condensed" w:cs="Barlow Semi Condensed" w:eastAsia="Barlow Semi Condensed" w:hAnsi="Barlow Semi Condensed"/>
          <w:sz w:val="24"/>
          <w:szCs w:val="24"/>
        </w:rPr>
        <w:t xml:space="preserve">, cioè sul contenuto, corretti dopo verifica su fonti</w:t>
      </w:r>
    </w:p>
    <w:p>
      <w:pPr>
        <w:spacing w:after="120" w:line="276"/>
        <w:jc w:val="both"/>
      </w:pPr>
      <w:r>
        <w:rPr>
          <w:rFonts w:ascii="Barlow Semi Condensed" w:cs="Barlow Semi Condensed" w:eastAsia="Barlow Semi Condensed" w:hAnsi="Barlow Semi Condensed"/>
          <w:sz w:val="24"/>
          <w:szCs w:val="24"/>
        </w:rPr>
        <w:t xml:space="preserve">esterne: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data dell'anglicizzazione onomastica.</w:t>
      </w:r>
      <w:r>
        <w:rPr>
          <w:rFonts w:ascii="Barlow Semi Condensed" w:cs="Barlow Semi Condensed" w:eastAsia="Barlow Semi Condensed" w:hAnsi="Barlow Semi Condensed"/>
          <w:sz w:val="24"/>
          <w:szCs w:val="24"/>
        </w:rPr>
        <w:t xml:space="preserve"> Il corpus dava per documentata al</w:t>
      </w:r>
    </w:p>
    <w:p>
      <w:pPr>
        <w:spacing w:after="120" w:line="276"/>
        <w:jc w:val="both"/>
      </w:pPr>
      <w:r>
        <w:rPr>
          <w:rFonts w:ascii="Barlow Semi Condensed" w:cs="Barlow Semi Condensed" w:eastAsia="Barlow Semi Condensed" w:hAnsi="Barlow Semi Condensed"/>
          <w:sz w:val="24"/>
          <w:szCs w:val="24"/>
        </w:rPr>
        <w:t xml:space="preserve">  1938 la trasformazione di un nome che il fascicolo d'immigrazione colloca al</w:t>
      </w:r>
    </w:p>
    <w:p>
      <w:pPr>
        <w:spacing w:after="120" w:line="276"/>
        <w:jc w:val="both"/>
      </w:pPr>
      <w:r>
        <w:rPr>
          <w:rFonts w:ascii="Barlow Semi Condensed" w:cs="Barlow Semi Condensed" w:eastAsia="Barlow Semi Condensed" w:hAnsi="Barlow Semi Condensed"/>
          <w:sz w:val="24"/>
          <w:szCs w:val="24"/>
        </w:rPr>
        <w:t xml:space="preserve">  1942-1943. Corretto: </w:t>
      </w:r>
      <w:r>
        <w:rPr>
          <w:rFonts w:ascii="Barlow Semi Condensed" w:cs="Barlow Semi Condensed" w:eastAsia="Barlow Semi Condensed" w:hAnsi="Barlow Semi Condensed"/>
          <w:b/>
          <w:bCs/>
          <w:sz w:val="24"/>
          <w:szCs w:val="24"/>
        </w:rPr>
        <w:t xml:space="preserve">la divergenza si riporta, non si scioglie</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commissione Odendaal.</w:t>
      </w:r>
      <w:r>
        <w:rPr>
          <w:rFonts w:ascii="Barlow Semi Condensed" w:cs="Barlow Semi Condensed" w:eastAsia="Barlow Semi Condensed" w:hAnsi="Barlow Semi Condensed"/>
          <w:sz w:val="24"/>
          <w:szCs w:val="24"/>
        </w:rPr>
        <w:t xml:space="preserve"> Un'attribuzione amministrativa era invertita.</w:t>
      </w:r>
    </w:p>
    <w:p>
      <w:pPr>
        <w:spacing w:after="120" w:line="276"/>
        <w:jc w:val="both"/>
      </w:pPr>
      <w:r>
        <w:rPr>
          <w:rFonts w:ascii="Barlow Semi Condensed" w:cs="Barlow Semi Condensed" w:eastAsia="Barlow Semi Condensed" w:hAnsi="Barlow Semi Condensed"/>
          <w:sz w:val="24"/>
          <w:szCs w:val="24"/>
        </w:rPr>
        <w:t xml:space="preserve">  Corretta e registrata.</w:t>
      </w:r>
    </w:p>
    <w:p>
      <w:pPr>
        <w:spacing w:after="120" w:line="276"/>
        <w:jc w:val="both"/>
      </w:pPr>
      <w:r>
        <w:rPr>
          <w:rFonts w:ascii="Barlow Semi Condensed" w:cs="Barlow Semi Condensed" w:eastAsia="Barlow Semi Condensed" w:hAnsi="Barlow Semi Condensed"/>
          <w:b/>
          <w:bCs/>
          <w:sz w:val="24"/>
          <w:szCs w:val="24"/>
        </w:rPr>
        <w:t xml:space="preserve">Difetti di lavorazione</w:t>
      </w:r>
      <w:r>
        <w:rPr>
          <w:rFonts w:ascii="Barlow Semi Condensed" w:cs="Barlow Semi Condensed" w:eastAsia="Barlow Semi Condensed" w:hAnsi="Barlow Semi Condensed"/>
          <w:sz w:val="24"/>
          <w:szCs w:val="24"/>
        </w:rPr>
        <w:t xml:space="preserve">, trovati dal progetto in sé stesso: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Un'intera serie di settanta blocchi risultava scritta </w:t>
      </w:r>
      <w:r>
        <w:rPr>
          <w:rFonts w:ascii="Barlow Semi Condensed" w:cs="Barlow Semi Condensed" w:eastAsia="Barlow Semi Condensed" w:hAnsi="Barlow Semi Condensed"/>
          <w:b/>
          <w:bCs/>
          <w:sz w:val="24"/>
          <w:szCs w:val="24"/>
        </w:rPr>
        <w:t xml:space="preserve">senza diacritici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  cioè in italiano approssimato. Riparata con una procedura che garantiva</w:t>
      </w:r>
    </w:p>
    <w:p>
      <w:pPr>
        <w:spacing w:after="120" w:line="276"/>
        <w:jc w:val="both"/>
      </w:pPr>
      <w:r>
        <w:rPr>
          <w:rFonts w:ascii="Barlow Semi Condensed" w:cs="Barlow Semi Condensed" w:eastAsia="Barlow Semi Condensed" w:hAnsi="Barlow Semi Condensed"/>
          <w:sz w:val="24"/>
          <w:szCs w:val="24"/>
        </w:rPr>
        <w:t xml:space="preserve">  meccanicamente di non toccare altro che gli accenti.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frontespizio compariva due volte</w:t>
      </w:r>
      <w:r>
        <w:rPr>
          <w:rFonts w:ascii="Barlow Semi Condensed" w:cs="Barlow Semi Condensed" w:eastAsia="Barlow Semi Condensed" w:hAnsi="Barlow Semi Condensed"/>
          <w:sz w:val="24"/>
          <w:szCs w:val="24"/>
        </w:rPr>
        <w:t xml:space="preserve"> in due opere; l'</w:t>
      </w:r>
      <w:r>
        <w:rPr>
          <w:rFonts w:ascii="Barlow Semi Condensed" w:cs="Barlow Semi Condensed" w:eastAsia="Barlow Semi Condensed" w:hAnsi="Barlow Semi Condensed"/>
          <w:b/>
          <w:bCs/>
          <w:sz w:val="24"/>
          <w:szCs w:val="24"/>
        </w:rPr>
        <w:t xml:space="preserve">Apparato L</w:t>
      </w:r>
      <w:r>
        <w:rPr>
          <w:rFonts w:ascii="Barlow Semi Condensed" w:cs="Barlow Semi Condensed" w:eastAsia="Barlow Semi Condensed" w:hAnsi="Barlow Semi Condensed"/>
          <w:sz w:val="24"/>
          <w:szCs w:val="24"/>
        </w:rPr>
        <w:t xml:space="preserve"> due</w:t>
      </w:r>
    </w:p>
    <w:p>
      <w:pPr>
        <w:spacing w:after="120" w:line="276"/>
        <w:jc w:val="both"/>
      </w:pPr>
      <w:r>
        <w:rPr>
          <w:rFonts w:ascii="Barlow Semi Condensed" w:cs="Barlow Semi Condensed" w:eastAsia="Barlow Semi Condensed" w:hAnsi="Barlow Semi Condensed"/>
          <w:sz w:val="24"/>
          <w:szCs w:val="24"/>
        </w:rPr>
        <w:t xml:space="preserve">  volte in un'altra, e in entrambi i volumi rilegati che lo contengono. Stessa</w:t>
      </w:r>
    </w:p>
    <w:p>
      <w:pPr>
        <w:spacing w:after="120" w:line="276"/>
        <w:jc w:val="both"/>
      </w:pPr>
      <w:r>
        <w:rPr>
          <w:rFonts w:ascii="Barlow Semi Condensed" w:cs="Barlow Semi Condensed" w:eastAsia="Barlow Semi Condensed" w:hAnsi="Barlow Semi Condensed"/>
          <w:sz w:val="24"/>
          <w:szCs w:val="24"/>
        </w:rPr>
        <w:t xml:space="preserve">  causa in punti diversi della catena di composizione.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difetto che sarebbe costato di più: il completamento di una campagna veniva</w:t>
      </w:r>
    </w:p>
    <w:p>
      <w:pPr>
        <w:spacing w:after="120" w:line="276"/>
        <w:jc w:val="both"/>
      </w:pPr>
      <w:r>
        <w:rPr>
          <w:rFonts w:ascii="Barlow Semi Condensed" w:cs="Barlow Semi Condensed" w:eastAsia="Barlow Semi Condensed" w:hAnsi="Barlow Semi Condensed"/>
          <w:sz w:val="24"/>
          <w:szCs w:val="24"/>
        </w:rPr>
        <w:t xml:space="preserve">  misurato contando righe in un registro di lavorazione che un rilancio</w:t>
      </w:r>
    </w:p>
    <w:p>
      <w:pPr>
        <w:spacing w:after="120" w:line="276"/>
        <w:jc w:val="both"/>
      </w:pPr>
      <w:r>
        <w:rPr>
          <w:rFonts w:ascii="Barlow Semi Condensed" w:cs="Barlow Semi Condensed" w:eastAsia="Barlow Semi Condensed" w:hAnsi="Barlow Semi Condensed"/>
          <w:sz w:val="24"/>
          <w:szCs w:val="24"/>
        </w:rPr>
        <w:t xml:space="preserve">  riscrive. Una campagna mostrava tredici righe e dodici serie. L'opera sarebbe</w:t>
      </w:r>
    </w:p>
    <w:p>
      <w:pPr>
        <w:spacing w:after="120" w:line="276"/>
        <w:jc w:val="both"/>
      </w:pPr>
      <w:r>
        <w:rPr>
          <w:rFonts w:ascii="Barlow Semi Condensed" w:cs="Barlow Semi Condensed" w:eastAsia="Barlow Semi Condensed" w:hAnsi="Barlow Semi Condensed"/>
          <w:sz w:val="24"/>
          <w:szCs w:val="24"/>
        </w:rPr>
        <w:t xml:space="preserve">  stata composta </w:t>
      </w:r>
      <w:r>
        <w:rPr>
          <w:rFonts w:ascii="Barlow Semi Condensed" w:cs="Barlow Semi Condensed" w:eastAsia="Barlow Semi Condensed" w:hAnsi="Barlow Semi Condensed"/>
          <w:b/>
          <w:bCs/>
          <w:sz w:val="24"/>
          <w:szCs w:val="24"/>
        </w:rPr>
        <w:t xml:space="preserve">incompleta, dichiarandosi completa</w:t>
      </w:r>
      <w:r>
        <w:rPr>
          <w:rFonts w:ascii="Barlow Semi Condensed" w:cs="Barlow Semi Condensed" w:eastAsia="Barlow Semi Condensed" w:hAnsi="Barlow Semi Condensed"/>
          <w:sz w:val="24"/>
          <w:szCs w:val="24"/>
        </w:rPr>
        <w:t xml:space="preserve">, coi conteggi sbagliati</w:t>
      </w:r>
    </w:p>
    <w:p>
      <w:pPr>
        <w:spacing w:after="120" w:line="276"/>
        <w:jc w:val="both"/>
      </w:pPr>
      <w:r>
        <w:rPr>
          <w:rFonts w:ascii="Barlow Semi Condensed" w:cs="Barlow Semi Condensed" w:eastAsia="Barlow Semi Condensed" w:hAnsi="Barlow Semi Condensed"/>
          <w:sz w:val="24"/>
          <w:szCs w:val="24"/>
        </w:rPr>
        <w:t xml:space="preserve">  in copertina. Trovato per caso, confrontando due misure che dovevano coincidere</w:t>
      </w:r>
    </w:p>
    <w:p>
      <w:pPr>
        <w:spacing w:after="120" w:line="276"/>
        <w:jc w:val="both"/>
      </w:pPr>
      <w:r>
        <w:rPr>
          <w:rFonts w:ascii="Barlow Semi Condensed" w:cs="Barlow Semi Condensed" w:eastAsia="Barlow Semi Condensed" w:hAnsi="Barlow Semi Condensed"/>
          <w:sz w:val="24"/>
          <w:szCs w:val="24"/>
        </w:rPr>
        <w:t xml:space="preserve">  e non coincidevano.</w:t>
      </w:r>
    </w:p>
    <w:p>
      <w:pPr>
        <w:spacing w:after="120" w:line="276"/>
        <w:jc w:val="both"/>
      </w:pPr>
      <w:r>
        <w:rPr>
          <w:rFonts w:ascii="Barlow Semi Condensed" w:cs="Barlow Semi Condensed" w:eastAsia="Barlow Semi Condensed" w:hAnsi="Barlow Semi Condensed"/>
          <w:b/>
          <w:bCs/>
          <w:sz w:val="24"/>
          <w:szCs w:val="24"/>
        </w:rPr>
        <w:t xml:space="preserve">Otto casi in cui il controllo automatico ha sbagliato</w:t>
      </w:r>
      <w:r>
        <w:rPr>
          <w:rFonts w:ascii="Barlow Semi Condensed" w:cs="Barlow Semi Condensed" w:eastAsia="Barlow Semi Condensed" w:hAnsi="Barlow Semi Condensed"/>
          <w:sz w:val="24"/>
          <w:szCs w:val="24"/>
        </w:rPr>
        <w:t xml:space="preserve">, e tutti dello stesso</w:t>
      </w:r>
    </w:p>
    <w:p>
      <w:pPr>
        <w:spacing w:after="120" w:line="276"/>
        <w:jc w:val="both"/>
      </w:pPr>
      <w:r>
        <w:rPr>
          <w:rFonts w:ascii="Barlow Semi Condensed" w:cs="Barlow Semi Condensed" w:eastAsia="Barlow Semi Condensed" w:hAnsi="Barlow Semi Condensed"/>
          <w:sz w:val="24"/>
          <w:szCs w:val="24"/>
        </w:rPr>
        <w:t xml:space="preserve">tipo. Il rilevatore delle fonti vietate segnalava i passaggi che </w:t>
      </w:r>
      <w:r>
        <w:rPr>
          <w:rFonts w:ascii="Barlow Semi Condensed" w:cs="Barlow Semi Condensed" w:eastAsia="Barlow Semi Condensed" w:hAnsi="Barlow Semi Condensed"/>
          <w:i/>
          <w:iCs/>
          <w:sz w:val="24"/>
          <w:szCs w:val="24"/>
        </w:rPr>
        <w:t xml:space="preserve">vietano</w:t>
      </w:r>
      <w:r>
        <w:rPr>
          <w:rFonts w:ascii="Barlow Semi Condensed" w:cs="Barlow Semi Condensed" w:eastAsia="Barlow Semi Condensed" w:hAnsi="Barlow Semi Condensed"/>
          <w:sz w:val="24"/>
          <w:szCs w:val="24"/>
        </w:rPr>
        <w:t xml:space="preserve"> di</w:t>
      </w:r>
    </w:p>
    <w:p>
      <w:pPr>
        <w:spacing w:after="120" w:line="276"/>
        <w:jc w:val="both"/>
      </w:pPr>
      <w:r>
        <w:rPr>
          <w:rFonts w:ascii="Barlow Semi Condensed" w:cs="Barlow Semi Condensed" w:eastAsia="Barlow Semi Condensed" w:hAnsi="Barlow Semi Condensed"/>
          <w:sz w:val="24"/>
          <w:szCs w:val="24"/>
        </w:rPr>
        <w:t xml:space="preserve">citarle, perché per vietare una formula bisogna scriverla. Il rilevatore delle</w:t>
      </w:r>
    </w:p>
    <w:p>
      <w:pPr>
        <w:spacing w:after="120" w:line="276"/>
        <w:jc w:val="both"/>
      </w:pPr>
      <w:r>
        <w:rPr>
          <w:rFonts w:ascii="Barlow Semi Condensed" w:cs="Barlow Semi Condensed" w:eastAsia="Barlow Semi Condensed" w:hAnsi="Barlow Semi Condensed"/>
          <w:sz w:val="24"/>
          <w:szCs w:val="24"/>
        </w:rPr>
        <w:t xml:space="preserve">attribuzioni penali leggeva «nessuno è colpevole» come un'accusa. Il profilo</w:t>
      </w:r>
    </w:p>
    <w:p>
      <w:pPr>
        <w:spacing w:after="120" w:line="276"/>
        <w:jc w:val="both"/>
      </w:pPr>
      <w:r>
        <w:rPr>
          <w:rFonts w:ascii="Barlow Semi Condensed" w:cs="Barlow Semi Condensed" w:eastAsia="Barlow Semi Condensed" w:hAnsi="Barlow Semi Condensed"/>
          <w:sz w:val="24"/>
          <w:szCs w:val="24"/>
        </w:rPr>
        <w:t xml:space="preserve">delle fonti contava la sigla della CIA dentro le parole «traccia», «denuncia» ed</w:t>
      </w:r>
    </w:p>
    <w:p>
      <w:pPr>
        <w:spacing w:after="120" w:line="276"/>
        <w:jc w:val="both"/>
      </w:pPr>
      <w:r>
        <w:rPr>
          <w:rFonts w:ascii="Barlow Semi Condensed" w:cs="Barlow Semi Condensed" w:eastAsia="Barlow Semi Condensed" w:hAnsi="Barlow Semi Condensed"/>
          <w:sz w:val="24"/>
          <w:szCs w:val="24"/>
        </w:rPr>
        <w:t xml:space="preserve">«efficacia», e quella della NATO dentro «nato a Fürth»: quaranta menzioni</w:t>
      </w:r>
    </w:p>
    <w:p>
      <w:pPr>
        <w:spacing w:after="120" w:line="276"/>
        <w:jc w:val="both"/>
      </w:pPr>
      <w:r>
        <w:rPr>
          <w:rFonts w:ascii="Barlow Semi Condensed" w:cs="Barlow Semi Condensed" w:eastAsia="Barlow Semi Condensed" w:hAnsi="Barlow Semi Condensed"/>
          <w:sz w:val="24"/>
          <w:szCs w:val="24"/>
        </w:rPr>
        <w:t xml:space="preserve">diventavano millecentoventitré, restituendo l'immagine opposta a quella vera.</w:t>
      </w:r>
    </w:p>
    <w:p>
      <w:pPr>
        <w:spacing w:after="120" w:line="276"/>
        <w:jc w:val="both"/>
      </w:pPr>
      <w:r>
        <w:rPr>
          <w:rFonts w:ascii="Barlow Semi Condensed" w:cs="Barlow Semi Condensed" w:eastAsia="Barlow Semi Condensed" w:hAnsi="Barlow Semi Condensed"/>
          <w:b/>
          <w:bCs/>
          <w:sz w:val="24"/>
          <w:szCs w:val="24"/>
        </w:rPr>
        <w:t xml:space="preserve">In tutti e otto i casi il testo era corretto e lo strumento sbagliato.</w:t>
      </w:r>
      <w:r>
        <w:rPr>
          <w:rFonts w:ascii="Barlow Semi Condensed" w:cs="Barlow Semi Condensed" w:eastAsia="Barlow Semi Condensed" w:hAnsi="Barlow Semi Condensed"/>
          <w:sz w:val="24"/>
          <w:szCs w:val="24"/>
        </w:rPr>
        <w:t xml:space="preserve"> Nessuna</w:t>
      </w:r>
    </w:p>
    <w:p>
      <w:pPr>
        <w:spacing w:after="120" w:line="276"/>
        <w:jc w:val="both"/>
      </w:pPr>
      <w:r>
        <w:rPr>
          <w:rFonts w:ascii="Barlow Semi Condensed" w:cs="Barlow Semi Condensed" w:eastAsia="Barlow Semi Condensed" w:hAnsi="Barlow Semi Condensed"/>
          <w:sz w:val="24"/>
          <w:szCs w:val="24"/>
        </w:rPr>
        <w:t xml:space="preserve">correzione al contenuto è mai discesa da un controllo automatico: le due</w:t>
      </w:r>
    </w:p>
    <w:p>
      <w:pPr>
        <w:spacing w:after="120" w:line="276"/>
        <w:jc w:val="both"/>
      </w:pPr>
      <w:r>
        <w:rPr>
          <w:rFonts w:ascii="Barlow Semi Condensed" w:cs="Barlow Semi Condensed" w:eastAsia="Barlow Semi Condensed" w:hAnsi="Barlow Semi Condensed"/>
          <w:sz w:val="24"/>
          <w:szCs w:val="24"/>
        </w:rPr>
        <w:t xml:space="preserve">correzioni di merito sono venute da fonti esterne, e la terza, l'ortografia, da</w:t>
      </w:r>
    </w:p>
    <w:p>
      <w:pPr>
        <w:spacing w:after="120" w:line="276"/>
        <w:jc w:val="both"/>
      </w:pPr>
      <w:r>
        <w:rPr>
          <w:rFonts w:ascii="Barlow Semi Condensed" w:cs="Barlow Semi Condensed" w:eastAsia="Barlow Semi Condensed" w:hAnsi="Barlow Semi Condensed"/>
          <w:sz w:val="24"/>
          <w:szCs w:val="24"/>
        </w:rPr>
        <w:t xml:space="preserve">una lettura. **Ne ricavo la regola che offro a chiunque riprenda questo metodo:</w:t>
      </w:r>
    </w:p>
    <w:p>
      <w:pPr>
        <w:spacing w:after="120" w:line="276"/>
        <w:jc w:val="both"/>
      </w:pPr>
      <w:r>
        <w:rPr>
          <w:rFonts w:ascii="Barlow Semi Condensed" w:cs="Barlow Semi Condensed" w:eastAsia="Barlow Semi Condensed" w:hAnsi="Barlow Semi Condensed"/>
          <w:sz w:val="24"/>
          <w:szCs w:val="24"/>
        </w:rPr>
        <w:t xml:space="preserve">un controllo meccanico non verifica ciò che si voleva verificare, ma ciò che è</w:t>
      </w:r>
    </w:p>
    <w:p>
      <w:pPr>
        <w:spacing w:after="120" w:line="276"/>
        <w:jc w:val="both"/>
      </w:pPr>
      <w:r>
        <w:rPr>
          <w:rFonts w:ascii="Barlow Semi Condensed" w:cs="Barlow Semi Condensed" w:eastAsia="Barlow Semi Condensed" w:hAnsi="Barlow Semi Condensed"/>
          <w:sz w:val="24"/>
          <w:szCs w:val="24"/>
        </w:rPr>
        <w:t xml:space="preserve">stato scritto nel pattern — e ogni segnalazione va letta, mai contata.**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7 · Che cosa il progetto non è diventato, e non deve diventare</w:t>
      </w:r>
    </w:p>
    <w:p>
      <w:pPr>
        <w:spacing w:after="120" w:line="276"/>
        <w:jc w:val="both"/>
      </w:pPr>
      <w:r>
        <w:rPr>
          <w:rFonts w:ascii="Barlow Semi Condensed" w:cs="Barlow Semi Condensed" w:eastAsia="Barlow Semi Condensed" w:hAnsi="Barlow Semi Condensed"/>
          <w:sz w:val="24"/>
          <w:szCs w:val="24"/>
        </w:rPr>
        <w:t xml:space="preserve">Va detto con la stessa precisione, perché è ciò che tiene in piedi il resto.</w:t>
      </w:r>
    </w:p>
    <w:p>
      <w:pPr>
        <w:spacing w:after="120" w:line="276"/>
        <w:jc w:val="both"/>
      </w:pPr>
      <w:r>
        <w:rPr>
          <w:rFonts w:ascii="Barlow Semi Condensed" w:cs="Barlow Semi Condensed" w:eastAsia="Barlow Semi Condensed" w:hAnsi="Barlow Semi Condensed"/>
          <w:sz w:val="24"/>
          <w:szCs w:val="24"/>
        </w:rPr>
        <w:t xml:space="preserve">Il corpus, </w:t>
      </w:r>
      <w:r>
        <w:rPr>
          <w:rFonts w:ascii="Barlow Semi Condensed" w:cs="Barlow Semi Condensed" w:eastAsia="Barlow Semi Condensed" w:hAnsi="Barlow Semi Condensed"/>
          <w:b/>
          <w:bCs/>
          <w:sz w:val="24"/>
          <w:szCs w:val="24"/>
        </w:rPr>
        <w:t xml:space="preserve">per tredici dei suoi quattordici Libri</w:t>
      </w:r>
      <w:r>
        <w:rPr>
          <w:rFonts w:ascii="Barlow Semi Condensed" w:cs="Barlow Semi Condensed" w:eastAsia="Barlow Semi Condensed" w:hAnsi="Barlow Semi Condensed"/>
          <w:sz w:val="24"/>
          <w:szCs w:val="24"/>
        </w:rPr>
        <w:t xml:space="preserve">, non propone una tesi sul</w:t>
      </w:r>
    </w:p>
    <w:p>
      <w:pPr>
        <w:spacing w:after="40"/>
        <w:ind w:left="360"/>
        <w:jc w:val="both"/>
      </w:pPr>
      <w:r>
        <w:rPr>
          <w:rFonts w:ascii="Barlow Semi Condensed" w:cs="Barlow Semi Condensed" w:eastAsia="Barlow Semi Condensed" w:hAnsi="Barlow Semi Condensed"/>
          <w:sz w:val="24"/>
          <w:szCs w:val="24"/>
        </w:rPr>
        <w:t xml:space="preserve">1978. Non indica alcuna persona come responsabile di reato oltre il giudicato</w:t>
      </w:r>
    </w:p>
    <w:p>
      <w:pPr>
        <w:spacing w:after="120" w:line="276"/>
        <w:jc w:val="both"/>
      </w:pPr>
      <w:r>
        <w:rPr>
          <w:rFonts w:ascii="Barlow Semi Condensed" w:cs="Barlow Semi Condensed" w:eastAsia="Barlow Semi Condensed" w:hAnsi="Barlow Semi Condensed"/>
          <w:sz w:val="24"/>
          <w:szCs w:val="24"/>
        </w:rPr>
        <w:t xml:space="preserve">definitivo. Non compila graduatorie di colpa per persone. Non promuove mai la</w:t>
      </w:r>
    </w:p>
    <w:p>
      <w:pPr>
        <w:spacing w:after="120" w:line="276"/>
        <w:jc w:val="both"/>
      </w:pPr>
      <w:r>
        <w:rPr>
          <w:rFonts w:ascii="Barlow Semi Condensed" w:cs="Barlow Semi Condensed" w:eastAsia="Barlow Semi Condensed" w:hAnsi="Barlow Semi Condensed"/>
          <w:sz w:val="24"/>
          <w:szCs w:val="24"/>
        </w:rPr>
        <w:t xml:space="preserve">contemporaneità a nesso, né l'appartenenza a un'organizzazione a prova di</w:t>
      </w:r>
    </w:p>
    <w:p>
      <w:pPr>
        <w:spacing w:after="120" w:line="276"/>
        <w:jc w:val="both"/>
      </w:pPr>
      <w:r>
        <w:rPr>
          <w:rFonts w:ascii="Barlow Semi Condensed" w:cs="Barlow Semi Condensed" w:eastAsia="Barlow Semi Condensed" w:hAnsi="Barlow Semi Condensed"/>
          <w:sz w:val="24"/>
          <w:szCs w:val="24"/>
        </w:rPr>
        <w:t xml:space="preserve">condotta.</w:t>
      </w:r>
    </w:p>
    <w:p>
      <w:pPr>
        <w:spacing w:after="120" w:line="276"/>
        <w:jc w:val="both"/>
      </w:pPr>
      <w:r>
        <w:rPr>
          <w:rFonts w:ascii="Barlow Semi Condensed" w:cs="Barlow Semi Condensed" w:eastAsia="Barlow Semi Condensed" w:hAnsi="Barlow Semi Condensed"/>
          <w:sz w:val="24"/>
          <w:szCs w:val="24"/>
        </w:rPr>
        <w:t xml:space="preserve">**Il Libro quarto fa eccezione, e la dichiaro qui perché è il punto su cui vi</w:t>
      </w:r>
    </w:p>
    <w:p>
      <w:pPr>
        <w:spacing w:after="120" w:line="276"/>
        <w:jc w:val="both"/>
      </w:pPr>
      <w:r>
        <w:rPr>
          <w:rFonts w:ascii="Barlow Semi Condensed" w:cs="Barlow Semi Condensed" w:eastAsia="Barlow Semi Condensed" w:hAnsi="Barlow Semi Condensed"/>
          <w:sz w:val="24"/>
          <w:szCs w:val="24"/>
        </w:rPr>
        <w:t xml:space="preserve">chiedo di misurare la mia buona fede.** È il Dossier maggiore dell'autore, opera</w:t>
      </w:r>
    </w:p>
    <w:p>
      <w:pPr>
        <w:spacing w:after="120" w:line="276"/>
        <w:jc w:val="both"/>
      </w:pPr>
      <w:r>
        <w:rPr>
          <w:rFonts w:ascii="Barlow Semi Condensed" w:cs="Barlow Semi Condensed" w:eastAsia="Barlow Semi Condensed" w:hAnsi="Barlow Semi Condensed"/>
          <w:sz w:val="24"/>
          <w:szCs w:val="24"/>
        </w:rPr>
        <w:t xml:space="preserve">anteriore al corpus e conservata per intero anziché riscritta: nella seconda</w:t>
      </w:r>
    </w:p>
    <w:p>
      <w:pPr>
        <w:spacing w:after="120" w:line="276"/>
        <w:jc w:val="both"/>
      </w:pPr>
      <w:r>
        <w:rPr>
          <w:rFonts w:ascii="Barlow Semi Condensed" w:cs="Barlow Semi Condensed" w:eastAsia="Barlow Semi Condensed" w:hAnsi="Barlow Semi Condensed"/>
          <w:sz w:val="24"/>
          <w:szCs w:val="24"/>
        </w:rPr>
        <w:t xml:space="preserve">metà congeda la disciplina falsificazionista, adotta una bilancia probabilistica</w:t>
      </w:r>
    </w:p>
    <w:p>
      <w:pPr>
        <w:spacing w:after="120" w:line="276"/>
        <w:jc w:val="both"/>
      </w:pPr>
      <w:r>
        <w:rPr>
          <w:rFonts w:ascii="Barlow Semi Condensed" w:cs="Barlow Semi Condensed" w:eastAsia="Barlow Semi Condensed" w:hAnsi="Barlow Semi Condensed"/>
          <w:sz w:val="24"/>
          <w:szCs w:val="24"/>
        </w:rPr>
        <w:t xml:space="preserve">a dieci metodi e ordina secondo il grado di plausibilità del coinvolgimento —</w:t>
      </w:r>
    </w:p>
    <w:p>
      <w:pPr>
        <w:spacing w:after="120" w:line="276"/>
        <w:jc w:val="both"/>
      </w:pPr>
      <w:r>
        <w:rPr>
          <w:rFonts w:ascii="Barlow Semi Condensed" w:cs="Barlow Semi Condensed" w:eastAsia="Barlow Semi Condensed" w:hAnsi="Barlow Semi Condensed"/>
          <w:b/>
          <w:bCs/>
          <w:sz w:val="24"/>
          <w:szCs w:val="24"/>
        </w:rPr>
        <w:t xml:space="preserve">per categorie di soggetti, non per nomi individuali</w:t>
      </w:r>
      <w:r>
        <w:rPr>
          <w:rFonts w:ascii="Barlow Semi Condensed" w:cs="Barlow Semi Condensed" w:eastAsia="Barlow Semi Condensed" w:hAnsi="Barlow Semi Condensed"/>
          <w:sz w:val="24"/>
          <w:szCs w:val="24"/>
        </w:rPr>
        <w:t xml:space="preserve">: i condannati in via</w:t>
      </w:r>
    </w:p>
    <w:p>
      <w:pPr>
        <w:spacing w:after="120" w:line="276"/>
        <w:jc w:val="both"/>
      </w:pPr>
      <w:r>
        <w:rPr>
          <w:rFonts w:ascii="Barlow Semi Condensed" w:cs="Barlow Semi Condensed" w:eastAsia="Barlow Semi Condensed" w:hAnsi="Barlow Semi Condensed"/>
          <w:sz w:val="24"/>
          <w:szCs w:val="24"/>
        </w:rPr>
        <w:t xml:space="preserve">definitiva, gli apparati dei depistaggi, i portatori d'interesse esterno. La</w:t>
      </w:r>
    </w:p>
    <w:p>
      <w:pPr>
        <w:spacing w:after="120" w:line="276"/>
        <w:jc w:val="both"/>
      </w:pPr>
      <w:r>
        <w:rPr>
          <w:rFonts w:ascii="Barlow Semi Condensed" w:cs="Barlow Semi Condensed" w:eastAsia="Barlow Semi Condensed" w:hAnsi="Barlow Semi Condensed"/>
          <w:sz w:val="24"/>
          <w:szCs w:val="24"/>
        </w:rPr>
        <w:t xml:space="preserve">premessa che apre quelle pagine distingue la plausibilità dalla colpevolezza,</w:t>
      </w:r>
    </w:p>
    <w:p>
      <w:pPr>
        <w:spacing w:after="120" w:line="276"/>
        <w:jc w:val="both"/>
      </w:pPr>
      <w:r>
        <w:rPr>
          <w:rFonts w:ascii="Barlow Semi Condensed" w:cs="Barlow Semi Condensed" w:eastAsia="Barlow Semi Condensed" w:hAnsi="Barlow Semi Condensed"/>
          <w:sz w:val="24"/>
          <w:szCs w:val="24"/>
        </w:rPr>
        <w:t xml:space="preserve">ribadisce la presunzione d'innocenza e si vieta di indicare un mandante esterno</w:t>
      </w:r>
    </w:p>
    <w:p>
      <w:pPr>
        <w:spacing w:after="120" w:line="276"/>
        <w:jc w:val="both"/>
      </w:pPr>
      <w:r>
        <w:rPr>
          <w:rFonts w:ascii="Barlow Semi Condensed" w:cs="Barlow Semi Condensed" w:eastAsia="Barlow Semi Condensed" w:hAnsi="Barlow Semi Condensed"/>
          <w:sz w:val="24"/>
          <w:szCs w:val="24"/>
        </w:rPr>
        <w:t xml:space="preserve">determinato; la disciplina in copertina registra l'eccezione e la limita a quel</w:t>
      </w:r>
    </w:p>
    <w:p>
      <w:pPr>
        <w:spacing w:after="120" w:line="276"/>
        <w:jc w:val="both"/>
      </w:pPr>
      <w:r>
        <w:rPr>
          <w:rFonts w:ascii="Barlow Semi Condensed" w:cs="Barlow Semi Condensed" w:eastAsia="Barlow Semi Condensed" w:hAnsi="Barlow Semi Condensed"/>
          <w:sz w:val="24"/>
          <w:szCs w:val="24"/>
        </w:rPr>
        <w:t xml:space="preserve">solo Libro; il Libro si apre con una nota di raccordo che avverte del cambio di</w:t>
      </w:r>
    </w:p>
    <w:p>
      <w:pPr>
        <w:spacing w:after="120" w:line="276"/>
        <w:jc w:val="both"/>
      </w:pPr>
      <w:r>
        <w:rPr>
          <w:rFonts w:ascii="Barlow Semi Condensed" w:cs="Barlow Semi Condensed" w:eastAsia="Barlow Semi Condensed" w:hAnsi="Barlow Semi Condensed"/>
          <w:sz w:val="24"/>
          <w:szCs w:val="24"/>
        </w:rPr>
        <w:t xml:space="preserve">regime.</w:t>
      </w:r>
    </w:p>
    <w:p>
      <w:pPr>
        <w:spacing w:after="120" w:line="276"/>
        <w:jc w:val="both"/>
      </w:pPr>
      <w:r>
        <w:rPr>
          <w:rFonts w:ascii="Barlow Semi Condensed" w:cs="Barlow Semi Condensed" w:eastAsia="Barlow Semi Condensed" w:hAnsi="Barlow Semi Condensed"/>
          <w:sz w:val="24"/>
          <w:szCs w:val="24"/>
        </w:rPr>
        <w:t xml:space="preserve">Ho scelto di **conservare quel testo com'era, e non di piegarlo alla disciplina</w:t>
      </w:r>
    </w:p>
    <w:p>
      <w:pPr>
        <w:spacing w:after="120" w:line="276"/>
        <w:jc w:val="both"/>
      </w:pPr>
      <w:r>
        <w:rPr>
          <w:rFonts w:ascii="Barlow Semi Condensed" w:cs="Barlow Semi Condensed" w:eastAsia="Barlow Semi Condensed" w:hAnsi="Barlow Semi Condensed"/>
          <w:sz w:val="24"/>
          <w:szCs w:val="24"/>
        </w:rPr>
        <w:t xml:space="preserve">degli altri tredici**: la ragione è la stessa per cui non riscrivo in silenzio</w:t>
      </w:r>
    </w:p>
    <w:p>
      <w:pPr>
        <w:spacing w:after="120" w:line="276"/>
        <w:jc w:val="both"/>
      </w:pPr>
      <w:r>
        <w:rPr>
          <w:rFonts w:ascii="Barlow Semi Condensed" w:cs="Barlow Semi Condensed" w:eastAsia="Barlow Semi Condensed" w:hAnsi="Barlow Semi Condensed"/>
          <w:sz w:val="24"/>
          <w:szCs w:val="24"/>
        </w:rPr>
        <w:t xml:space="preserve">gli errori che trovo. Resta una scelta discutibile, e la sottopongo per prima al</w:t>
      </w:r>
    </w:p>
    <w:p>
      <w:pPr>
        <w:spacing w:after="120" w:line="276"/>
        <w:jc w:val="both"/>
      </w:pPr>
      <w:r>
        <w:rPr>
          <w:rFonts w:ascii="Barlow Semi Condensed" w:cs="Barlow Semi Condensed" w:eastAsia="Barlow Semi Condensed" w:hAnsi="Barlow Semi Condensed"/>
          <w:sz w:val="24"/>
          <w:szCs w:val="24"/>
        </w:rPr>
        <w:t xml:space="preserve">vostro giudizio.</w:t>
      </w:r>
    </w:p>
    <w:p>
      <w:pPr>
        <w:spacing w:after="120" w:line="276"/>
        <w:jc w:val="both"/>
      </w:pPr>
      <w:r>
        <w:rPr>
          <w:rFonts w:ascii="Barlow Semi Condensed" w:cs="Barlow Semi Condensed" w:eastAsia="Barlow Semi Condensed" w:hAnsi="Barlow Semi Condensed"/>
          <w:sz w:val="24"/>
          <w:szCs w:val="24"/>
        </w:rPr>
        <w:t xml:space="preserve">Il materiale che nomina persone viventi con attribuzioni non verificate **non è</w:t>
      </w:r>
    </w:p>
    <w:p>
      <w:pPr>
        <w:spacing w:after="120" w:line="276"/>
        <w:jc w:val="both"/>
      </w:pPr>
      <w:r>
        <w:rPr>
          <w:rFonts w:ascii="Barlow Semi Condensed" w:cs="Barlow Semi Condensed" w:eastAsia="Barlow Semi Condensed" w:hAnsi="Barlow Semi Condensed"/>
          <w:sz w:val="24"/>
          <w:szCs w:val="24"/>
        </w:rPr>
        <w:t xml:space="preserve">sul ramo pubblico**: resta in un deposito separato, non divulgabile, e non è</w:t>
      </w:r>
    </w:p>
    <w:p>
      <w:pPr>
        <w:spacing w:after="120" w:line="276"/>
        <w:jc w:val="both"/>
      </w:pPr>
      <w:r>
        <w:rPr>
          <w:rFonts w:ascii="Barlow Semi Condensed" w:cs="Barlow Semi Condensed" w:eastAsia="Barlow Semi Condensed" w:hAnsi="Barlow Semi Condensed"/>
          <w:sz w:val="24"/>
          <w:szCs w:val="24"/>
        </w:rPr>
        <w:t xml:space="preserve">compreso in nulla di ciò che vi propongo.</w:t>
      </w:r>
    </w:p>
    <w:p>
      <w:pPr>
        <w:spacing w:after="120" w:line="276"/>
        <w:jc w:val="both"/>
      </w:pPr>
      <w:r>
        <w:rPr>
          <w:rFonts w:ascii="Barlow Semi Condensed" w:cs="Barlow Semi Condensed" w:eastAsia="Barlow Semi Condensed" w:hAnsi="Barlow Semi Condensed"/>
          <w:sz w:val="24"/>
          <w:szCs w:val="24"/>
        </w:rPr>
        <w:t xml:space="preserve">E il progetto </w:t>
      </w:r>
      <w:r>
        <w:rPr>
          <w:rFonts w:ascii="Barlow Semi Condensed" w:cs="Barlow Semi Condensed" w:eastAsia="Barlow Semi Condensed" w:hAnsi="Barlow Semi Condensed"/>
          <w:b/>
          <w:bCs/>
          <w:sz w:val="24"/>
          <w:szCs w:val="24"/>
        </w:rPr>
        <w:t xml:space="preserve">non ha letto i documenti primari</w:t>
      </w:r>
      <w:r>
        <w:rPr>
          <w:rFonts w:ascii="Barlow Semi Condensed" w:cs="Barlow Semi Condensed" w:eastAsia="Barlow Semi Condensed" w:hAnsi="Barlow Semi Condensed"/>
          <w:sz w:val="24"/>
          <w:szCs w:val="24"/>
        </w:rPr>
        <w:t xml:space="preserve">. L'accesso diretto è risultato</w:t>
      </w:r>
    </w:p>
    <w:p>
      <w:pPr>
        <w:spacing w:after="120" w:line="276"/>
        <w:jc w:val="both"/>
      </w:pPr>
      <w:r>
        <w:rPr>
          <w:rFonts w:ascii="Barlow Semi Condensed" w:cs="Barlow Semi Condensed" w:eastAsia="Barlow Semi Condensed" w:hAnsi="Barlow Semi Condensed"/>
          <w:sz w:val="24"/>
          <w:szCs w:val="24"/>
        </w:rPr>
        <w:t xml:space="preserve">filtrato, e la verifica poggia su sintesi e fonti secondarie: **non sui resoconti</w:t>
      </w:r>
    </w:p>
    <w:p>
      <w:pPr>
        <w:spacing w:after="120" w:line="276"/>
        <w:jc w:val="both"/>
      </w:pPr>
      <w:r>
        <w:rPr>
          <w:rFonts w:ascii="Barlow Semi Condensed" w:cs="Barlow Semi Condensed" w:eastAsia="Barlow Semi Condensed" w:hAnsi="Barlow Semi Condensed"/>
          <w:sz w:val="24"/>
          <w:szCs w:val="24"/>
        </w:rPr>
        <w:t xml:space="preserve">stenografici</w:t>
      </w:r>
      <w:r>
        <w:rPr>
          <w:rFonts w:ascii="Barlow Semi Condensed" w:cs="Barlow Semi Condensed" w:eastAsia="Barlow Semi Condensed" w:hAnsi="Barlow Semi Condensed"/>
          <w:b/>
          <w:bCs/>
          <w:sz w:val="24"/>
          <w:szCs w:val="24"/>
        </w:rPr>
        <w:t xml:space="preserve"> della Commissione parlamentare d'inchiesta, </w:t>
      </w:r>
      <w:r>
        <w:rPr>
          <w:rFonts w:ascii="Barlow Semi Condensed" w:cs="Barlow Semi Condensed" w:eastAsia="Barlow Semi Condensed" w:hAnsi="Barlow Semi Condensed"/>
          <w:sz w:val="24"/>
          <w:szCs w:val="24"/>
        </w:rPr>
        <w:t xml:space="preserve">non sui verbali</w:t>
      </w:r>
    </w:p>
    <w:p>
      <w:pPr>
        <w:spacing w:after="120" w:line="276"/>
        <w:jc w:val="both"/>
      </w:pPr>
      <w:r>
        <w:rPr>
          <w:rFonts w:ascii="Barlow Semi Condensed" w:cs="Barlow Semi Condensed" w:eastAsia="Barlow Semi Condensed" w:hAnsi="Barlow Semi Condensed"/>
          <w:sz w:val="24"/>
          <w:szCs w:val="24"/>
        </w:rPr>
        <w:t xml:space="preserve">d'udienza** del processo. È il limite più pesante di tutti, ed è scritto in coda</w:t>
      </w:r>
    </w:p>
    <w:p>
      <w:pPr>
        <w:spacing w:after="120" w:line="276"/>
        <w:jc w:val="both"/>
      </w:pPr>
      <w:r>
        <w:rPr>
          <w:rFonts w:ascii="Barlow Semi Condensed" w:cs="Barlow Semi Condensed" w:eastAsia="Barlow Semi Condensed" w:hAnsi="Barlow Semi Condensed"/>
          <w:sz w:val="24"/>
          <w:szCs w:val="24"/>
        </w:rPr>
        <w:t xml:space="preserve">a ogni volume.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8 · Come potrebbe evolvere</w:t>
      </w:r>
    </w:p>
    <w:p>
      <w:pPr>
        <w:spacing w:after="120" w:line="276"/>
        <w:jc w:val="both"/>
      </w:pPr>
      <w:r>
        <w:rPr>
          <w:rFonts w:ascii="Barlow Semi Condensed" w:cs="Barlow Semi Condensed" w:eastAsia="Barlow Semi Condensed" w:hAnsi="Barlow Semi Condensed"/>
          <w:sz w:val="24"/>
          <w:szCs w:val="24"/>
        </w:rPr>
        <w:t xml:space="preserve">Quattro direzioni, in ordine di utilità decrescente. Nessuna di esse è</w:t>
      </w:r>
    </w:p>
    <w:p>
      <w:pPr>
        <w:spacing w:after="120" w:line="276"/>
        <w:jc w:val="both"/>
      </w:pPr>
      <w:r>
        <w:rPr>
          <w:rFonts w:ascii="Barlow Semi Condensed" w:cs="Barlow Semi Condensed" w:eastAsia="Barlow Semi Condensed" w:hAnsi="Barlow Semi Condensed"/>
          <w:sz w:val="24"/>
          <w:szCs w:val="24"/>
        </w:rPr>
        <w:t xml:space="preserve">«aggiungere altri blocchi»: il corpus ha raggiunto il punto in cui altre domande</w:t>
      </w:r>
    </w:p>
    <w:p>
      <w:pPr>
        <w:spacing w:after="120" w:line="276"/>
        <w:jc w:val="both"/>
      </w:pPr>
      <w:r>
        <w:rPr>
          <w:rFonts w:ascii="Barlow Semi Condensed" w:cs="Barlow Semi Condensed" w:eastAsia="Barlow Semi Condensed" w:hAnsi="Barlow Semi Condensed"/>
          <w:sz w:val="24"/>
          <w:szCs w:val="24"/>
        </w:rPr>
        <w:t xml:space="preserve">non aumentano il sapere, e dirlo fa parte del lavoro.</w:t>
      </w:r>
    </w:p>
    <w:p>
      <w:pPr>
        <w:pStyle w:val="Heading3"/>
        <w:spacing w:after="80" w:before="160"/>
      </w:pPr>
      <w:r>
        <w:rPr>
          <w:rFonts w:ascii="Barlow Semi Condensed" w:cs="Barlow Semi Condensed" w:eastAsia="Barlow Semi Condensed" w:hAnsi="Barlow Semi Condensed"/>
          <w:sz w:val="24"/>
          <w:szCs w:val="24"/>
        </w:rPr>
        <w:t xml:space="preserve">a. Esecuzione — e qui il Centro conta più di chiunque</w:t>
      </w:r>
    </w:p>
    <w:p>
      <w:pPr>
        <w:spacing w:after="120" w:line="276"/>
        <w:jc w:val="both"/>
      </w:pPr>
      <w:r>
        <w:rPr>
          <w:rFonts w:ascii="Barlow Semi Condensed" w:cs="Barlow Semi Condensed" w:eastAsia="Barlow Semi Condensed" w:hAnsi="Barlow Semi Condensed"/>
          <w:sz w:val="24"/>
          <w:szCs w:val="24"/>
        </w:rPr>
        <w:t xml:space="preserve">Il prodotto vero del progetto è un elenco di </w:t>
      </w:r>
      <w:r>
        <w:rPr>
          <w:rFonts w:ascii="Barlow Semi Condensed" w:cs="Barlow Semi Condensed" w:eastAsia="Barlow Semi Condensed" w:hAnsi="Barlow Semi Condensed"/>
          <w:b/>
          <w:bCs/>
          <w:sz w:val="24"/>
          <w:szCs w:val="24"/>
        </w:rPr>
        <w:t xml:space="preserve">atti d'archivio eseguibili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Ciascuno è formulato in una riga, ha una sede, e ha un esito che conta anche se</w:t>
      </w:r>
    </w:p>
    <w:p>
      <w:pPr>
        <w:spacing w:after="120" w:line="276"/>
        <w:jc w:val="both"/>
      </w:pPr>
      <w:r>
        <w:rPr>
          <w:rFonts w:ascii="Barlow Semi Condensed" w:cs="Barlow Semi Condensed" w:eastAsia="Barlow Semi Condensed" w:hAnsi="Barlow Semi Condensed"/>
          <w:sz w:val="24"/>
          <w:szCs w:val="24"/>
        </w:rPr>
        <w:t xml:space="preserve">negativo. Il primo, che vi sottopongo nella proposta, è questo: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Di quel colloquio esiste un solo versante, quello redatto dallo staff americano.</w:t>
      </w:r>
    </w:p>
    <w:p>
      <w:pPr>
        <w:spacing w:after="120" w:line="276"/>
        <w:jc w:val="both"/>
      </w:pPr>
      <w:r>
        <w:rPr>
          <w:rFonts w:ascii="Barlow Semi Condensed" w:cs="Barlow Semi Condensed" w:eastAsia="Barlow Semi Condensed" w:hAnsi="Barlow Semi Condensed"/>
          <w:sz w:val="24"/>
          <w:szCs w:val="24"/>
        </w:rPr>
        <w:t xml:space="preserve">Un ministro degli Esteri che esce da un bilaterale col Presidente degli Stati</w:t>
      </w:r>
    </w:p>
    <w:p>
      <w:pPr>
        <w:spacing w:after="120" w:line="276"/>
        <w:jc w:val="both"/>
      </w:pPr>
      <w:r>
        <w:rPr>
          <w:rFonts w:ascii="Barlow Semi Condensed" w:cs="Barlow Semi Condensed" w:eastAsia="Barlow Semi Condensed" w:hAnsi="Barlow Semi Condensed"/>
          <w:sz w:val="24"/>
          <w:szCs w:val="24"/>
        </w:rPr>
        <w:t xml:space="preserve">Uniti fa stendere un appunto: è prassi ordinaria. Di quell'appunto, per quella</w:t>
      </w:r>
    </w:p>
    <w:p>
      <w:pPr>
        <w:spacing w:after="120" w:line="276"/>
        <w:jc w:val="both"/>
      </w:pPr>
      <w:r>
        <w:rPr>
          <w:rFonts w:ascii="Barlow Semi Condensed" w:cs="Barlow Semi Condensed" w:eastAsia="Barlow Semi Condensed" w:hAnsi="Barlow Semi Condensed"/>
          <w:sz w:val="24"/>
          <w:szCs w:val="24"/>
        </w:rPr>
        <w:t xml:space="preserve">data, </w:t>
      </w:r>
      <w:r>
        <w:rPr>
          <w:rFonts w:ascii="Barlow Semi Condensed" w:cs="Barlow Semi Condensed" w:eastAsia="Barlow Semi Condensed" w:hAnsi="Barlow Semi Condensed"/>
          <w:b/>
          <w:bCs/>
          <w:sz w:val="24"/>
          <w:szCs w:val="24"/>
        </w:rPr>
        <w:t xml:space="preserve">non risulta né un ritrovamento né una ricerca</w:t>
      </w:r>
      <w:r>
        <w:rPr>
          <w:rFonts w:ascii="Barlow Semi Condensed" w:cs="Barlow Semi Condensed" w:eastAsia="Barlow Semi Condensed" w:hAnsi="Barlow Semi Condensed"/>
          <w:sz w:val="24"/>
          <w:szCs w:val="24"/>
        </w:rPr>
        <w:t xml:space="preserve">. Sedi: Archivio storico</w:t>
      </w:r>
    </w:p>
    <w:p>
      <w:pPr>
        <w:spacing w:after="120" w:line="276"/>
        <w:jc w:val="both"/>
      </w:pPr>
      <w:r>
        <w:rPr>
          <w:rFonts w:ascii="Barlow Semi Condensed" w:cs="Barlow Semi Condensed" w:eastAsia="Barlow Semi Condensed" w:hAnsi="Barlow Semi Condensed"/>
          <w:sz w:val="24"/>
          <w:szCs w:val="24"/>
        </w:rPr>
        <w:t xml:space="preserve">diplomatico della Farnesina, gabinetto del ministro, annata 1974; in subordine</w:t>
      </w:r>
    </w:p>
    <w:p>
      <w:pPr>
        <w:spacing w:after="120" w:line="276"/>
        <w:jc w:val="both"/>
      </w:pPr>
      <w:r>
        <w:rPr>
          <w:rFonts w:ascii="Barlow Semi Condensed" w:cs="Barlow Semi Condensed" w:eastAsia="Barlow Semi Condensed" w:hAnsi="Barlow Semi Condensed"/>
          <w:sz w:val="24"/>
          <w:szCs w:val="24"/>
        </w:rPr>
        <w:t xml:space="preserve">l'Archivio centrale dello Stato e il Fondo Moro del Senato; e, se le carte</w:t>
      </w:r>
    </w:p>
    <w:p>
      <w:pPr>
        <w:spacing w:after="120" w:line="276"/>
        <w:jc w:val="both"/>
      </w:pPr>
      <w:r>
        <w:rPr>
          <w:rFonts w:ascii="Barlow Semi Condensed" w:cs="Barlow Semi Condensed" w:eastAsia="Barlow Semi Condensed" w:hAnsi="Barlow Semi Condensed"/>
          <w:sz w:val="24"/>
          <w:szCs w:val="24"/>
        </w:rPr>
        <w:t xml:space="preserve">d'ufficio tacciono, la memorialistica politica datata.</w:t>
      </w:r>
    </w:p>
    <w:p>
      <w:pPr>
        <w:spacing w:after="120" w:line="276"/>
        <w:jc w:val="both"/>
      </w:pPr>
      <w:r>
        <w:rPr>
          <w:rFonts w:ascii="Barlow Semi Condensed" w:cs="Barlow Semi Condensed" w:eastAsia="Barlow Semi Condensed" w:hAnsi="Barlow Semi Condensed"/>
          <w:sz w:val="24"/>
          <w:szCs w:val="24"/>
        </w:rPr>
        <w:t xml:space="preserve">Gli altri quattro riguardano la collazione delle due copie note del verbale</w:t>
      </w:r>
    </w:p>
    <w:p>
      <w:pPr>
        <w:spacing w:after="120" w:line="276"/>
        <w:jc w:val="both"/>
      </w:pPr>
      <w:r>
        <w:rPr>
          <w:rFonts w:ascii="Barlow Semi Condensed" w:cs="Barlow Semi Condensed" w:eastAsia="Barlow Semi Condensed" w:hAnsi="Barlow Semi Condensed"/>
          <w:sz w:val="24"/>
          <w:szCs w:val="24"/>
        </w:rPr>
        <w:t xml:space="preserve">americano, l'accertamento della sua riga di firma, lo spoglio della serie NATO</w:t>
      </w:r>
    </w:p>
    <w:p>
      <w:pPr>
        <w:spacing w:after="120" w:line="276"/>
        <w:jc w:val="both"/>
      </w:pPr>
      <w:r>
        <w:rPr>
          <w:rFonts w:ascii="Barlow Semi Condensed" w:cs="Barlow Semi Condensed" w:eastAsia="Barlow Semi Condensed" w:hAnsi="Barlow Semi Condensed"/>
          <w:sz w:val="24"/>
          <w:szCs w:val="24"/>
        </w:rPr>
        <w:t xml:space="preserve">dell'Archivio storico diplomatico, e la costruzione di un cantiere di ricerca sul</w:t>
      </w:r>
    </w:p>
    <w:p>
      <w:pPr>
        <w:spacing w:after="120" w:line="276"/>
        <w:jc w:val="both"/>
      </w:pPr>
      <w:r>
        <w:rPr>
          <w:rFonts w:ascii="Barlow Semi Condensed" w:cs="Barlow Semi Condensed" w:eastAsia="Barlow Semi Condensed" w:hAnsi="Barlow Semi Condensed"/>
          <w:sz w:val="24"/>
          <w:szCs w:val="24"/>
        </w:rPr>
        <w:t xml:space="preserve">versante statunitense.</w:t>
      </w:r>
    </w:p>
    <w:p>
      <w:pPr>
        <w:spacing w:after="120" w:line="276"/>
        <w:jc w:val="both"/>
      </w:pPr>
      <w:r>
        <w:rPr>
          <w:rFonts w:ascii="Barlow Semi Condensed" w:cs="Barlow Semi Condensed" w:eastAsia="Barlow Semi Condensed" w:hAnsi="Barlow Semi Condensed"/>
          <w:b/>
          <w:bCs/>
          <w:sz w:val="24"/>
          <w:szCs w:val="24"/>
        </w:rPr>
        <w:t xml:space="preserve">Non chiedo che sia il Centro a eseguirli.</w:t>
      </w:r>
      <w:r>
        <w:rPr>
          <w:rFonts w:ascii="Barlow Semi Condensed" w:cs="Barlow Semi Condensed" w:eastAsia="Barlow Semi Condensed" w:hAnsi="Barlow Semi Condensed"/>
          <w:sz w:val="24"/>
          <w:szCs w:val="24"/>
        </w:rPr>
        <w:t xml:space="preserve"> Chiedo che siano messi davanti a</w:t>
      </w:r>
    </w:p>
    <w:p>
      <w:pPr>
        <w:spacing w:after="120" w:line="276"/>
        <w:jc w:val="both"/>
      </w:pPr>
      <w:r>
        <w:rPr>
          <w:rFonts w:ascii="Barlow Semi Condensed" w:cs="Barlow Semi Condensed" w:eastAsia="Barlow Semi Condensed" w:hAnsi="Barlow Semi Condensed"/>
          <w:sz w:val="24"/>
          <w:szCs w:val="24"/>
        </w:rPr>
        <w:t xml:space="preserve">chi ha la competenza per farlo. Un atto d'archivio eseguito da altri, che</w:t>
      </w:r>
    </w:p>
    <w:p>
      <w:pPr>
        <w:spacing w:after="120" w:line="276"/>
        <w:jc w:val="both"/>
      </w:pPr>
      <w:r>
        <w:rPr>
          <w:rFonts w:ascii="Barlow Semi Condensed" w:cs="Barlow Semi Condensed" w:eastAsia="Barlow Semi Condensed" w:hAnsi="Barlow Semi Condensed"/>
          <w:sz w:val="24"/>
          <w:szCs w:val="24"/>
        </w:rPr>
        <w:t xml:space="preserve">smentisca il corpus, è il miglior esito possibile di questo lavoro.</w:t>
      </w:r>
    </w:p>
    <w:p>
      <w:pPr>
        <w:pStyle w:val="Heading3"/>
        <w:spacing w:after="80" w:before="160"/>
      </w:pPr>
      <w:r>
        <w:rPr>
          <w:rFonts w:ascii="Barlow Semi Condensed" w:cs="Barlow Semi Condensed" w:eastAsia="Barlow Semi Condensed" w:hAnsi="Barlow Semi Condensed"/>
          <w:sz w:val="24"/>
          <w:szCs w:val="24"/>
        </w:rPr>
        <w:t xml:space="preserve">b. Chiusura del programma là dove è zoppo</w:t>
      </w:r>
    </w:p>
    <w:p>
      <w:pPr>
        <w:spacing w:after="120" w:line="276"/>
        <w:jc w:val="both"/>
      </w:pPr>
      <w:r>
        <w:rPr>
          <w:rFonts w:ascii="Barlow Semi Condensed" w:cs="Barlow Semi Condensed" w:eastAsia="Barlow Semi Condensed" w:hAnsi="Barlow Semi Condensed"/>
          <w:sz w:val="24"/>
          <w:szCs w:val="24"/>
        </w:rPr>
        <w:t xml:space="preserve">La ricognizione ha misurato una lacuna nel programma di ricerca del corpus</w:t>
      </w:r>
    </w:p>
    <w:p>
      <w:pPr>
        <w:spacing w:after="120" w:line="276"/>
        <w:jc w:val="both"/>
      </w:pPr>
      <w:r>
        <w:rPr>
          <w:rFonts w:ascii="Barlow Semi Condensed" w:cs="Barlow Semi Condensed" w:eastAsia="Barlow Semi Condensed" w:hAnsi="Barlow Semi Condensed"/>
          <w:sz w:val="24"/>
          <w:szCs w:val="24"/>
        </w:rPr>
        <w:t xml:space="preserve">stesso, e la misura è netta. Il versante di ricerca costruisce tre cantieri</w:t>
      </w:r>
    </w:p>
    <w:p>
      <w:pPr>
        <w:spacing w:after="120" w:line="276"/>
        <w:jc w:val="both"/>
      </w:pPr>
      <w:r>
        <w:rPr>
          <w:rFonts w:ascii="Barlow Semi Condensed" w:cs="Barlow Semi Condensed" w:eastAsia="Barlow Semi Condensed" w:hAnsi="Barlow Semi Condensed"/>
          <w:sz w:val="24"/>
          <w:szCs w:val="24"/>
        </w:rPr>
        <w:t xml:space="preserve">d'archivio alleato — Londra, Parigi, Bonn — e non il quarto. Sui milletrecento</w:t>
      </w:r>
    </w:p>
    <w:p>
      <w:pPr>
        <w:spacing w:after="120" w:line="276"/>
        <w:jc w:val="both"/>
      </w:pPr>
      <w:r>
        <w:rPr>
          <w:rFonts w:ascii="Barlow Semi Condensed" w:cs="Barlow Semi Condensed" w:eastAsia="Barlow Semi Condensed" w:hAnsi="Barlow Semi Condensed"/>
          <w:sz w:val="24"/>
          <w:szCs w:val="24"/>
        </w:rPr>
        <w:t xml:space="preserve">blocchi dei due documenti di ricerca: **Parigi ventitré menzioni, Londra</w:t>
      </w:r>
    </w:p>
    <w:p>
      <w:pPr>
        <w:spacing w:after="120" w:line="276"/>
        <w:jc w:val="both"/>
      </w:pPr>
      <w:r>
        <w:rPr>
          <w:rFonts w:ascii="Barlow Semi Condensed" w:cs="Barlow Semi Condensed" w:eastAsia="Barlow Semi Condensed" w:hAnsi="Barlow Semi Condensed"/>
          <w:sz w:val="24"/>
          <w:szCs w:val="24"/>
        </w:rPr>
        <w:t xml:space="preserve">diciassette, Bonn diciassette, Washington sette**. La capitale alleata meno</w:t>
      </w:r>
    </w:p>
    <w:p>
      <w:pPr>
        <w:spacing w:after="120" w:line="276"/>
        <w:jc w:val="both"/>
      </w:pPr>
      <w:r>
        <w:rPr>
          <w:rFonts w:ascii="Barlow Semi Condensed" w:cs="Barlow Semi Condensed" w:eastAsia="Barlow Semi Condensed" w:hAnsi="Barlow Semi Condensed"/>
          <w:sz w:val="24"/>
          <w:szCs w:val="24"/>
        </w:rPr>
        <w:t xml:space="preserve">coperta d'Europa è citata più del doppio di quella atlantica.</w:t>
      </w:r>
    </w:p>
    <w:p>
      <w:pPr>
        <w:spacing w:after="120" w:line="276"/>
        <w:jc w:val="both"/>
      </w:pPr>
      <w:r>
        <w:rPr>
          <w:rFonts w:ascii="Barlow Semi Condensed" w:cs="Barlow Semi Condensed" w:eastAsia="Barlow Semi Condensed" w:hAnsi="Barlow Semi Condensed"/>
          <w:sz w:val="24"/>
          <w:szCs w:val="24"/>
        </w:rPr>
        <w:t xml:space="preserve">Non è una lacuna del territorio: è una lacuna del programma. E cade proprio sul</w:t>
      </w:r>
    </w:p>
    <w:p>
      <w:pPr>
        <w:spacing w:after="120" w:line="276"/>
        <w:jc w:val="both"/>
      </w:pPr>
      <w:r>
        <w:rPr>
          <w:rFonts w:ascii="Barlow Semi Condensed" w:cs="Barlow Semi Condensed" w:eastAsia="Barlow Semi Condensed" w:hAnsi="Barlow Semi Condensed"/>
          <w:sz w:val="24"/>
          <w:szCs w:val="24"/>
        </w:rPr>
        <w:t xml:space="preserve">versante del nodo più contestato che il corpus registra. Finché non esiste un</w:t>
      </w:r>
    </w:p>
    <w:p>
      <w:pPr>
        <w:spacing w:after="120" w:line="276"/>
        <w:jc w:val="both"/>
      </w:pPr>
      <w:r>
        <w:rPr>
          <w:rFonts w:ascii="Barlow Semi Condensed" w:cs="Barlow Semi Condensed" w:eastAsia="Barlow Semi Condensed" w:hAnsi="Barlow Semi Condensed"/>
          <w:sz w:val="24"/>
          <w:szCs w:val="24"/>
        </w:rPr>
        <w:t xml:space="preserve">cantiere atlantico con la stessa griglia degli altri tre, ogni affermazione sul</w:t>
      </w:r>
    </w:p>
    <w:p>
      <w:pPr>
        <w:spacing w:after="120" w:line="276"/>
        <w:jc w:val="both"/>
      </w:pPr>
      <w:r>
        <w:rPr>
          <w:rFonts w:ascii="Barlow Semi Condensed" w:cs="Barlow Semi Condensed" w:eastAsia="Barlow Semi Condensed" w:hAnsi="Barlow Semi Condensed"/>
          <w:sz w:val="24"/>
          <w:szCs w:val="24"/>
        </w:rPr>
        <w:t xml:space="preserve">versante statunitense poggia su una ricerca che non è stata organizzata come le</w:t>
      </w:r>
    </w:p>
    <w:p>
      <w:pPr>
        <w:spacing w:after="120" w:line="276"/>
        <w:jc w:val="both"/>
      </w:pPr>
      <w:r>
        <w:rPr>
          <w:rFonts w:ascii="Barlow Semi Condensed" w:cs="Barlow Semi Condensed" w:eastAsia="Barlow Semi Condensed" w:hAnsi="Barlow Semi Condensed"/>
          <w:sz w:val="24"/>
          <w:szCs w:val="24"/>
        </w:rPr>
        <w:t xml:space="preserve">altre — e questo va scritto accanto a ciascuna.</w:t>
      </w:r>
    </w:p>
    <w:p>
      <w:pPr>
        <w:pStyle w:val="Heading3"/>
        <w:spacing w:after="80" w:before="160"/>
      </w:pPr>
      <w:r>
        <w:rPr>
          <w:rFonts w:ascii="Barlow Semi Condensed" w:cs="Barlow Semi Condensed" w:eastAsia="Barlow Semi Condensed" w:hAnsi="Barlow Semi Condensed"/>
          <w:sz w:val="24"/>
          <w:szCs w:val="24"/>
        </w:rPr>
        <w:t xml:space="preserve">c. Superamento del limite d'accesso</w:t>
      </w:r>
    </w:p>
    <w:p>
      <w:pPr>
        <w:spacing w:after="120" w:line="276"/>
        <w:jc w:val="both"/>
      </w:pPr>
      <w:r>
        <w:rPr>
          <w:rFonts w:ascii="Barlow Semi Condensed" w:cs="Barlow Semi Condensed" w:eastAsia="Barlow Semi Condensed" w:hAnsi="Barlow Semi Condensed"/>
          <w:sz w:val="24"/>
          <w:szCs w:val="24"/>
        </w:rPr>
        <w:t xml:space="preserve">È la direzione che cambierebbe di grado tutto il corpus. Gli atti della</w:t>
      </w:r>
    </w:p>
    <w:p>
      <w:pPr>
        <w:spacing w:after="120" w:line="276"/>
        <w:jc w:val="both"/>
      </w:pPr>
      <w:r>
        <w:rPr>
          <w:rFonts w:ascii="Barlow Semi Condensed" w:cs="Barlow Semi Condensed" w:eastAsia="Barlow Semi Condensed" w:hAnsi="Barlow Semi Condensed"/>
          <w:sz w:val="24"/>
          <w:szCs w:val="24"/>
        </w:rPr>
        <w:t xml:space="preserve">Commissione d'inchiesta e i verbali d'udienza non sono stati letti. Ogni data</w:t>
      </w:r>
    </w:p>
    <w:p>
      <w:pPr>
        <w:spacing w:after="120" w:line="276"/>
        <w:jc w:val="both"/>
      </w:pPr>
      <w:r>
        <w:rPr>
          <w:rFonts w:ascii="Barlow Semi Condensed" w:cs="Barlow Semi Condensed" w:eastAsia="Barlow Semi Condensed" w:hAnsi="Barlow Semi Condensed"/>
          <w:sz w:val="24"/>
          <w:szCs w:val="24"/>
        </w:rPr>
        <w:t xml:space="preserve">qualificata come confermata lo è per convergenza di fonti secondarie, e **resta</w:t>
      </w:r>
    </w:p>
    <w:p>
      <w:pPr>
        <w:spacing w:after="120" w:line="276"/>
        <w:jc w:val="both"/>
      </w:pPr>
      <w:r>
        <w:rPr>
          <w:rFonts w:ascii="Barlow Semi Condensed" w:cs="Barlow Semi Condensed" w:eastAsia="Barlow Semi Condensed" w:hAnsi="Barlow Semi Condensed"/>
          <w:sz w:val="24"/>
          <w:szCs w:val="24"/>
        </w:rPr>
        <w:t xml:space="preserve">da riscontrare sui testi ufficiali**. Chiunque abbia accesso fisico a quei fondi</w:t>
      </w:r>
    </w:p>
    <w:p>
      <w:pPr>
        <w:spacing w:after="120" w:line="276"/>
        <w:jc w:val="both"/>
      </w:pPr>
      <w:r>
        <w:rPr>
          <w:rFonts w:ascii="Barlow Semi Condensed" w:cs="Barlow Semi Condensed" w:eastAsia="Barlow Semi Condensed" w:hAnsi="Barlow Semi Condensed"/>
          <w:sz w:val="24"/>
          <w:szCs w:val="24"/>
        </w:rPr>
        <w:t xml:space="preserve">può, in poche giornate, portare al piano 1 decine di righe che oggi stanno al</w:t>
      </w:r>
    </w:p>
    <w:p>
      <w:pPr>
        <w:spacing w:after="120" w:line="276"/>
        <w:jc w:val="both"/>
      </w:pPr>
      <w:r>
        <w:rPr>
          <w:rFonts w:ascii="Barlow Semi Condensed" w:cs="Barlow Semi Condensed" w:eastAsia="Barlow Semi Condensed" w:hAnsi="Barlow Semi Condensed"/>
          <w:sz w:val="24"/>
          <w:szCs w:val="24"/>
        </w:rPr>
        <w:t xml:space="preserve">piano 2.</w:t>
      </w:r>
    </w:p>
    <w:p>
      <w:pPr>
        <w:pStyle w:val="Heading3"/>
        <w:spacing w:after="80" w:before="160"/>
      </w:pPr>
      <w:r>
        <w:rPr>
          <w:rFonts w:ascii="Barlow Semi Condensed" w:cs="Barlow Semi Condensed" w:eastAsia="Barlow Semi Condensed" w:hAnsi="Barlow Semi Condensed"/>
          <w:sz w:val="24"/>
          <w:szCs w:val="24"/>
        </w:rPr>
        <w:t xml:space="preserve">d. Il metodo come oggetto autonomo</w:t>
      </w:r>
    </w:p>
    <w:p>
      <w:pPr>
        <w:spacing w:after="120" w:line="276"/>
        <w:jc w:val="both"/>
      </w:pPr>
      <w:r>
        <w:rPr>
          <w:rFonts w:ascii="Barlow Semi Condensed" w:cs="Barlow Semi Condensed" w:eastAsia="Barlow Semi Condensed" w:hAnsi="Barlow Semi Condensed"/>
          <w:sz w:val="24"/>
          <w:szCs w:val="24"/>
        </w:rPr>
        <w:t xml:space="preserve">Il progetto ha prodotto, senza volerlo, un protocollo riusabile per la ricerca</w:t>
      </w:r>
    </w:p>
    <w:p>
      <w:pPr>
        <w:spacing w:after="120" w:line="276"/>
        <w:jc w:val="both"/>
      </w:pPr>
      <w:r>
        <w:rPr>
          <w:rFonts w:ascii="Barlow Semi Condensed" w:cs="Barlow Semi Condensed" w:eastAsia="Barlow Semi Condensed" w:hAnsi="Barlow Semi Condensed"/>
          <w:sz w:val="24"/>
          <w:szCs w:val="24"/>
        </w:rPr>
        <w:t xml:space="preserve">storica assistita da sistemi automatici: le sei regole, l'obbligo del grado</w:t>
      </w:r>
    </w:p>
    <w:p>
      <w:pPr>
        <w:spacing w:after="120" w:line="276"/>
        <w:jc w:val="both"/>
      </w:pPr>
      <w:r>
        <w:rPr>
          <w:rFonts w:ascii="Barlow Semi Condensed" w:cs="Barlow Semi Condensed" w:eastAsia="Barlow Semi Condensed" w:hAnsi="Barlow Semi Condensed"/>
          <w:sz w:val="24"/>
          <w:szCs w:val="24"/>
        </w:rPr>
        <w:t xml:space="preserve">dichiarato, il verbale di vuoto, la correzione per nota, e il catalogo dei modi</w:t>
      </w:r>
    </w:p>
    <w:p>
      <w:pPr>
        <w:spacing w:after="120" w:line="276"/>
        <w:jc w:val="both"/>
      </w:pPr>
      <w:r>
        <w:rPr>
          <w:rFonts w:ascii="Barlow Semi Condensed" w:cs="Barlow Semi Condensed" w:eastAsia="Barlow Semi Condensed" w:hAnsi="Barlow Semi Condensed"/>
          <w:sz w:val="24"/>
          <w:szCs w:val="24"/>
        </w:rPr>
        <w:t xml:space="preserve">in cui i controlli automatici falliscono. Ne sto ricavando un saggio breve. **Il</w:t>
      </w:r>
    </w:p>
    <w:p>
      <w:pPr>
        <w:spacing w:after="120" w:line="276"/>
        <w:jc w:val="both"/>
      </w:pPr>
      <w:r>
        <w:rPr>
          <w:rFonts w:ascii="Barlow Semi Condensed" w:cs="Barlow Semi Condensed" w:eastAsia="Barlow Semi Condensed" w:hAnsi="Barlow Semi Condensed"/>
          <w:sz w:val="24"/>
          <w:szCs w:val="24"/>
        </w:rPr>
        <w:t xml:space="preserve">valore di quel protocollo, però, non lo stabilisce chi lo ha scritto**: lo</w:t>
      </w:r>
    </w:p>
    <w:p>
      <w:pPr>
        <w:spacing w:after="120" w:line="276"/>
        <w:jc w:val="both"/>
      </w:pPr>
      <w:r>
        <w:rPr>
          <w:rFonts w:ascii="Barlow Semi Condensed" w:cs="Barlow Semi Condensed" w:eastAsia="Barlow Semi Condensed" w:hAnsi="Barlow Semi Condensed"/>
          <w:sz w:val="24"/>
          <w:szCs w:val="24"/>
        </w:rPr>
        <w:t xml:space="preserve">stabilisce chi prova ad applicarlo a un caso diverso e riferisce dove si rompe.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9 · Che cosa chiedo, detto in termini di questa evoluzione</w:t>
      </w:r>
    </w:p>
    <w:p>
      <w:pPr>
        <w:spacing w:after="120" w:line="276"/>
        <w:jc w:val="both"/>
      </w:pPr>
      <w:r>
        <w:rPr>
          <w:rFonts w:ascii="Barlow Semi Condensed" w:cs="Barlow Semi Condensed" w:eastAsia="Barlow Semi Condensed" w:hAnsi="Barlow Semi Condensed"/>
          <w:sz w:val="24"/>
          <w:szCs w:val="24"/>
        </w:rPr>
        <w:t xml:space="preserve">Tre cose, e nessuna comporta oneri o impegni pubblici da parte vostra.</w:t>
      </w:r>
    </w:p>
    <w:p>
      <w:pPr>
        <w:spacing w:after="120" w:line="276"/>
        <w:jc w:val="both"/>
      </w:pPr>
      <w:r>
        <w:rPr>
          <w:rFonts w:ascii="Barlow Semi Condensed" w:cs="Barlow Semi Condensed" w:eastAsia="Barlow Semi Condensed" w:hAnsi="Barlow Semi Condensed"/>
          <w:b/>
          <w:bCs/>
          <w:sz w:val="24"/>
          <w:szCs w:val="24"/>
        </w:rPr>
        <w:t xml:space="preserve">La prima è che troviate gli errori.</w:t>
      </w:r>
      <w:r>
        <w:rPr>
          <w:rFonts w:ascii="Barlow Semi Condensed" w:cs="Barlow Semi Condensed" w:eastAsia="Barlow Semi Condensed" w:hAnsi="Barlow Semi Condensed"/>
          <w:sz w:val="24"/>
          <w:szCs w:val="24"/>
        </w:rPr>
        <w:t xml:space="preserve"> Il corpus ha un tasso d'errore dichiarato</w:t>
      </w:r>
    </w:p>
    <w:p>
      <w:pPr>
        <w:spacing w:after="120" w:line="276"/>
        <w:jc w:val="both"/>
      </w:pPr>
      <w:r>
        <w:rPr>
          <w:rFonts w:ascii="Barlow Semi Condensed" w:cs="Barlow Semi Condensed" w:eastAsia="Barlow Semi Condensed" w:hAnsi="Barlow Semi Condensed"/>
          <w:sz w:val="24"/>
          <w:szCs w:val="24"/>
        </w:rPr>
        <w:t xml:space="preserve">perché li ha cercati in casa; ma chi li cerca in casa trova solo quelli che sa</w:t>
      </w:r>
    </w:p>
    <w:p>
      <w:pPr>
        <w:spacing w:after="120" w:line="276"/>
        <w:jc w:val="both"/>
      </w:pPr>
      <w:r>
        <w:rPr>
          <w:rFonts w:ascii="Barlow Semi Condensed" w:cs="Barlow Semi Condensed" w:eastAsia="Barlow Semi Condensed" w:hAnsi="Barlow Semi Condensed"/>
          <w:sz w:val="24"/>
          <w:szCs w:val="24"/>
        </w:rPr>
        <w:t xml:space="preserve">riconoscere. Il Centro conserva le carte di chi ha lavorato su questa materia per</w:t>
      </w:r>
    </w:p>
    <w:p>
      <w:pPr>
        <w:spacing w:after="120" w:line="276"/>
        <w:jc w:val="both"/>
      </w:pPr>
      <w:r>
        <w:rPr>
          <w:rFonts w:ascii="Barlow Semi Condensed" w:cs="Barlow Semi Condensed" w:eastAsia="Barlow Semi Condensed" w:hAnsi="Barlow Semi Condensed"/>
          <w:sz w:val="24"/>
          <w:szCs w:val="24"/>
        </w:rPr>
        <w:t xml:space="preserve">trent'anni: </w:t>
      </w:r>
      <w:r>
        <w:rPr>
          <w:rFonts w:ascii="Barlow Semi Condensed" w:cs="Barlow Semi Condensed" w:eastAsia="Barlow Semi Condensed" w:hAnsi="Barlow Semi Condensed"/>
          <w:b/>
          <w:bCs/>
          <w:sz w:val="24"/>
          <w:szCs w:val="24"/>
        </w:rPr>
        <w:t xml:space="preserve">un'imprecisione che altrove passa, lì non passa.</w:t>
      </w:r>
      <w:r>
        <w:rPr>
          <w:rFonts w:ascii="Barlow Semi Condensed" w:cs="Barlow Semi Condensed" w:eastAsia="Barlow Semi Condensed" w:hAnsi="Barlow Semi Condensed"/>
          <w:sz w:val="24"/>
          <w:szCs w:val="24"/>
        </w:rPr>
        <w:t xml:space="preserve"> Ogni rilievo</w:t>
      </w:r>
    </w:p>
    <w:p>
      <w:pPr>
        <w:spacing w:after="120" w:line="276"/>
        <w:jc w:val="both"/>
      </w:pPr>
      <w:r>
        <w:rPr>
          <w:rFonts w:ascii="Barlow Semi Condensed" w:cs="Barlow Semi Condensed" w:eastAsia="Barlow Semi Condensed" w:hAnsi="Barlow Semi Condensed"/>
          <w:sz w:val="24"/>
          <w:szCs w:val="24"/>
        </w:rPr>
        <w:t xml:space="preserve">verrà recepito per nota, accanto al testo errato e senza cancellarlo — come ho</w:t>
      </w:r>
    </w:p>
    <w:p>
      <w:pPr>
        <w:spacing w:after="120" w:line="276"/>
        <w:jc w:val="both"/>
      </w:pPr>
      <w:r>
        <w:rPr>
          <w:rFonts w:ascii="Barlow Semi Condensed" w:cs="Barlow Semi Condensed" w:eastAsia="Barlow Semi Condensed" w:hAnsi="Barlow Semi Condensed"/>
          <w:sz w:val="24"/>
          <w:szCs w:val="24"/>
        </w:rPr>
        <w:t xml:space="preserve">fatto in questa stessa relazione al paragrafo 3, contro me stesso.</w:t>
      </w:r>
    </w:p>
    <w:p>
      <w:pPr>
        <w:spacing w:after="120" w:line="276"/>
        <w:jc w:val="both"/>
      </w:pPr>
      <w:r>
        <w:rPr>
          <w:rFonts w:ascii="Barlow Semi Condensed" w:cs="Barlow Semi Condensed" w:eastAsia="Barlow Semi Condensed" w:hAnsi="Barlow Semi Condensed"/>
          <w:b/>
          <w:bCs/>
          <w:sz w:val="24"/>
          <w:szCs w:val="24"/>
        </w:rPr>
        <w:t xml:space="preserve">La seconda è che gli atti d'archivio arrivino a chi può eseguirli.</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importa a nome di chi, né con quale attribuzione.</w:t>
      </w:r>
    </w:p>
    <w:p>
      <w:pPr>
        <w:spacing w:after="120" w:line="276"/>
        <w:jc w:val="both"/>
      </w:pPr>
      <w:r>
        <w:rPr>
          <w:rFonts w:ascii="Barlow Semi Condensed" w:cs="Barlow Semi Condensed" w:eastAsia="Barlow Semi Condensed" w:hAnsi="Barlow Semi Condensed"/>
          <w:b/>
          <w:bCs/>
          <w:sz w:val="24"/>
          <w:szCs w:val="24"/>
        </w:rPr>
        <w:t xml:space="preserve">La terza, la meno urgente, è l'eventuale deposito</w:t>
      </w:r>
      <w:r>
        <w:rPr>
          <w:rFonts w:ascii="Barlow Semi Condensed" w:cs="Barlow Semi Condensed" w:eastAsia="Barlow Semi Condensed" w:hAnsi="Barlow Semi Condensed"/>
          <w:sz w:val="24"/>
          <w:szCs w:val="24"/>
        </w:rPr>
        <w:t xml:space="preserve"> nella forma che riterrete</w:t>
      </w:r>
    </w:p>
    <w:p>
      <w:pPr>
        <w:spacing w:after="120" w:line="276"/>
        <w:jc w:val="both"/>
      </w:pPr>
      <w:r>
        <w:rPr>
          <w:rFonts w:ascii="Barlow Semi Condensed" w:cs="Barlow Semi Condensed" w:eastAsia="Barlow Semi Condensed" w:hAnsi="Barlow Semi Condensed"/>
          <w:sz w:val="24"/>
          <w:szCs w:val="24"/>
        </w:rPr>
        <w:t xml:space="preserve">appropriata — e con l'etichetta che gli spetta: materiale di consultazione</w:t>
      </w:r>
    </w:p>
    <w:p>
      <w:pPr>
        <w:spacing w:after="120" w:line="276"/>
        <w:jc w:val="both"/>
      </w:pPr>
      <w:r>
        <w:rPr>
          <w:rFonts w:ascii="Barlow Semi Condensed" w:cs="Barlow Semi Condensed" w:eastAsia="Barlow Semi Condensed" w:hAnsi="Barlow Semi Condensed"/>
          <w:sz w:val="24"/>
          <w:szCs w:val="24"/>
        </w:rPr>
        <w:t xml:space="preserve">generato con sistemi automatici, non studio storiografico. Se riteneste che non</w:t>
      </w:r>
    </w:p>
    <w:p>
      <w:pPr>
        <w:spacing w:after="120" w:line="276"/>
        <w:jc w:val="both"/>
      </w:pPr>
      <w:r>
        <w:rPr>
          <w:rFonts w:ascii="Barlow Semi Condensed" w:cs="Barlow Semi Condensed" w:eastAsia="Barlow Semi Condensed" w:hAnsi="Barlow Semi Condensed"/>
          <w:sz w:val="24"/>
          <w:szCs w:val="24"/>
        </w:rPr>
        <w:t xml:space="preserve">debba essere depositato affatto, quel giudizio sarebbe a sua volta un'informazione</w:t>
      </w:r>
    </w:p>
    <w:p>
      <w:pPr>
        <w:spacing w:after="120" w:line="276"/>
        <w:jc w:val="both"/>
      </w:pPr>
      <w:r>
        <w:rPr>
          <w:rFonts w:ascii="Barlow Semi Condensed" w:cs="Barlow Semi Condensed" w:eastAsia="Barlow Semi Condensed" w:hAnsi="Barlow Semi Condensed"/>
          <w:sz w:val="24"/>
          <w:szCs w:val="24"/>
        </w:rPr>
        <w:t xml:space="preserve">utile, e la accoglierei come tale.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Un'ultima nota, che riguarda il nome sotto cui tutto questo è cresciuto.</w:t>
      </w:r>
    </w:p>
    <w:p>
      <w:pPr>
        <w:spacing w:after="120" w:line="276"/>
        <w:jc w:val="both"/>
      </w:pPr>
      <w:r>
        <w:rPr>
          <w:rFonts w:ascii="Barlow Semi Condensed" w:cs="Barlow Semi Condensed" w:eastAsia="Barlow Semi Condensed" w:hAnsi="Barlow Semi Condensed"/>
          <w:sz w:val="24"/>
          <w:szCs w:val="24"/>
        </w:rPr>
        <w:t xml:space="preserve">Il ramo si chiama ancora come il primo file: gli amnistiati del Tribunale</w:t>
      </w:r>
    </w:p>
    <w:p>
      <w:pPr>
        <w:spacing w:after="120" w:line="276"/>
        <w:jc w:val="both"/>
      </w:pPr>
      <w:r>
        <w:rPr>
          <w:rFonts w:ascii="Barlow Semi Condensed" w:cs="Barlow Semi Condensed" w:eastAsia="Barlow Semi Condensed" w:hAnsi="Barlow Semi Condensed"/>
          <w:sz w:val="24"/>
          <w:szCs w:val="24"/>
        </w:rPr>
        <w:t xml:space="preserve">Speciale. Cinquantasette persone condannate da un tribunale politico fra il 1926</w:t>
      </w:r>
    </w:p>
    <w:p>
      <w:pPr>
        <w:spacing w:after="120" w:line="276"/>
        <w:jc w:val="both"/>
      </w:pPr>
      <w:r>
        <w:rPr>
          <w:rFonts w:ascii="Barlow Semi Condensed" w:cs="Barlow Semi Condensed" w:eastAsia="Barlow Semi Condensed" w:hAnsi="Barlow Semi Condensed"/>
          <w:sz w:val="24"/>
          <w:szCs w:val="24"/>
        </w:rPr>
        <w:t xml:space="preserve">e il 1943, e poi rimesse in libertà da un provvedimento di clemenza del regime</w:t>
      </w:r>
    </w:p>
    <w:p>
      <w:pPr>
        <w:spacing w:after="120" w:line="276"/>
        <w:jc w:val="both"/>
      </w:pPr>
      <w:r>
        <w:rPr>
          <w:rFonts w:ascii="Barlow Semi Condensed" w:cs="Barlow Semi Condensed" w:eastAsia="Barlow Semi Condensed" w:hAnsi="Barlow Semi Condensed"/>
          <w:sz w:val="24"/>
          <w:szCs w:val="24"/>
        </w:rPr>
        <w:t xml:space="preserve">che le aveva condannate. Non è un'allegoria che ho costruito: è il punto da cui</w:t>
      </w:r>
    </w:p>
    <w:p>
      <w:pPr>
        <w:spacing w:after="120" w:line="276"/>
        <w:jc w:val="both"/>
      </w:pPr>
      <w:r>
        <w:rPr>
          <w:rFonts w:ascii="Barlow Semi Condensed" w:cs="Barlow Semi Condensed" w:eastAsia="Barlow Semi Condensed" w:hAnsi="Barlow Semi Condensed"/>
          <w:sz w:val="24"/>
          <w:szCs w:val="24"/>
        </w:rPr>
        <w:t xml:space="preserve">il lavoro è materialmente partito, e non l'ho cambiato.</w:t>
      </w:r>
    </w:p>
    <w:p>
      <w:pPr>
        <w:spacing w:after="120" w:line="276"/>
        <w:jc w:val="both"/>
      </w:pPr>
      <w:r>
        <w:rPr>
          <w:rFonts w:ascii="Barlow Semi Condensed" w:cs="Barlow Semi Condensed" w:eastAsia="Barlow Semi Condensed" w:hAnsi="Barlow Semi Condensed"/>
          <w:sz w:val="24"/>
          <w:szCs w:val="24"/>
        </w:rPr>
        <w:t xml:space="preserve">Se c'è una continuità fra quel primo elenco e le milletrecento pagine di oggi,</w:t>
      </w:r>
    </w:p>
    <w:p>
      <w:pPr>
        <w:spacing w:after="120" w:line="276"/>
        <w:jc w:val="both"/>
      </w:pPr>
      <w:r>
        <w:rPr>
          <w:rFonts w:ascii="Barlow Semi Condensed" w:cs="Barlow Semi Condensed" w:eastAsia="Barlow Semi Condensed" w:hAnsi="Barlow Semi Condensed"/>
          <w:sz w:val="24"/>
          <w:szCs w:val="24"/>
        </w:rPr>
        <w:t xml:space="preserve">non è di tema. È che in entrambi i casi si tratta di **rimettere nomi e date</w:t>
      </w:r>
    </w:p>
    <w:p>
      <w:pPr>
        <w:spacing w:after="120" w:line="276"/>
        <w:jc w:val="both"/>
      </w:pPr>
      <w:r>
        <w:rPr>
          <w:rFonts w:ascii="Barlow Semi Condensed" w:cs="Barlow Semi Condensed" w:eastAsia="Barlow Semi Condensed" w:hAnsi="Barlow Semi Condensed"/>
          <w:sz w:val="24"/>
          <w:szCs w:val="24"/>
        </w:rPr>
        <w:t xml:space="preserve">accanto a fatti**, e di dire con esattezza quanto si sa di ciascuno.</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Dott. Luigi De Michele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Un'indagine produce atti, non colpevoli.</w:t>
      </w:r>
    </w:p>
    <w:p>
      <w:pPr>
        <w:pStyle w:val="Heading3"/>
        <w:spacing w:after="80" w:before="240"/>
      </w:pPr>
      <w:r>
        <w:rPr>
          <w:rFonts w:ascii="Barlow Semi Condensed" w:cs="Barlow Semi Condensed" w:eastAsia="Barlow Semi Condensed" w:hAnsi="Barlow Semi Condensed"/>
          <w:sz w:val="24"/>
          <w:szCs w:val="24"/>
        </w:rPr>
        <w:t xml:space="preserve">Apparato grafico — Appendici · xii. Al Centro Flamigni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IV.xii: 3.102 parole in 9 sezioni; la più ampia è §9 Altre sezioni, con 1.179.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IV.xii: 79 paragrafi in 9 sezioni, 9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xiii. A Laterza</w:t>
      </w:r>
    </w:p>
    <w:p>
      <w:pPr>
        <w:pStyle w:val="Heading1"/>
        <w:spacing w:after="120" w:before="240"/>
      </w:pPr>
      <w:r>
        <w:rPr>
          <w:rFonts w:ascii="Barlow Semi Condensed" w:cs="Barlow Semi Condensed" w:eastAsia="Barlow Semi Condensed" w:hAnsi="Barlow Semi Condensed"/>
          <w:sz w:val="24"/>
          <w:szCs w:val="24"/>
        </w:rPr>
        <w:t xml:space="preserve">Proposta editoriale — Gius. Laterza &amp; Figli</w:t>
      </w:r>
    </w:p>
    <w:p>
      <w:pPr>
        <w:spacing w:after="120" w:line="276"/>
        <w:jc w:val="both"/>
      </w:pPr>
      <w:r>
        <w:rPr>
          <w:rFonts w:ascii="Barlow Semi Condensed" w:cs="Barlow Semi Condensed" w:eastAsia="Barlow Semi Condensed" w:hAnsi="Barlow Semi Condensed"/>
          <w:i/>
          <w:iCs/>
          <w:sz w:val="24"/>
          <w:szCs w:val="24"/>
        </w:rPr>
        <w:t xml:space="preserve">Bozza preparata il 26 agosto 2026. Da rileggere e personalizzare prima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preliminare — perché non una PEC, e perché non l'opera intera</w:t>
      </w:r>
    </w:p>
    <w:p>
      <w:pPr>
        <w:spacing w:after="120" w:line="276"/>
        <w:jc w:val="both"/>
      </w:pPr>
      <w:r>
        <w:rPr>
          <w:rFonts w:ascii="Barlow Semi Condensed" w:cs="Barlow Semi Condensed" w:eastAsia="Barlow Semi Condensed" w:hAnsi="Barlow Semi Condensed"/>
          <w:b/>
          <w:bCs/>
          <w:sz w:val="24"/>
          <w:szCs w:val="24"/>
        </w:rPr>
        <w:t xml:space="preserve">La PEC non è il canale.</w:t>
      </w:r>
      <w:r>
        <w:rPr>
          <w:rFonts w:ascii="Barlow Semi Condensed" w:cs="Barlow Semi Condensed" w:eastAsia="Barlow Semi Condensed" w:hAnsi="Barlow Semi Condensed"/>
          <w:sz w:val="24"/>
          <w:szCs w:val="24"/>
        </w:rPr>
        <w:t xml:space="preserve"> Laterza seleziona su base digitale, attraverso una</w:t>
      </w:r>
    </w:p>
    <w:p>
      <w:pPr>
        <w:spacing w:after="120" w:line="276"/>
        <w:jc w:val="both"/>
      </w:pPr>
      <w:r>
        <w:rPr>
          <w:rFonts w:ascii="Barlow Semi Condensed" w:cs="Barlow Semi Condensed" w:eastAsia="Barlow Semi Condensed" w:hAnsi="Barlow Semi Condensed"/>
          <w:sz w:val="24"/>
          <w:szCs w:val="24"/>
        </w:rPr>
        <w:t xml:space="preserve">rete di consulenti scientifici, e dichiara di **non accettare manoscritti a</w:t>
      </w:r>
    </w:p>
    <w:p>
      <w:pPr>
        <w:spacing w:after="120" w:line="276"/>
        <w:jc w:val="both"/>
      </w:pPr>
      <w:r>
        <w:rPr>
          <w:rFonts w:ascii="Barlow Semi Condensed" w:cs="Barlow Semi Condensed" w:eastAsia="Barlow Semi Condensed" w:hAnsi="Barlow Semi Condensed"/>
          <w:sz w:val="24"/>
          <w:szCs w:val="24"/>
        </w:rPr>
        <w:t xml:space="preserve">stampa**: i plichi inviati alle sedi di Bari o Roma vengono smaltiti senza</w:t>
      </w:r>
    </w:p>
    <w:p>
      <w:pPr>
        <w:spacing w:after="120" w:line="276"/>
        <w:jc w:val="both"/>
      </w:pPr>
      <w:r>
        <w:rPr>
          <w:rFonts w:ascii="Barlow Semi Condensed" w:cs="Barlow Semi Condensed" w:eastAsia="Barlow Semi Condensed" w:hAnsi="Barlow Semi Condensed"/>
          <w:sz w:val="24"/>
          <w:szCs w:val="24"/>
        </w:rPr>
        <w:t xml:space="preserve">essere letti. Una PEC con 24 MB allegati non verrebbe letta più di un plico.</w:t>
      </w:r>
    </w:p>
    <w:p>
      <w:pPr>
        <w:spacing w:after="120" w:line="276"/>
        <w:jc w:val="both"/>
      </w:pPr>
      <w:r>
        <w:rPr>
          <w:rFonts w:ascii="Barlow Semi Condensed" w:cs="Barlow Semi Condensed" w:eastAsia="Barlow Semi Condensed" w:hAnsi="Barlow Semi Condensed"/>
          <w:sz w:val="24"/>
          <w:szCs w:val="24"/>
        </w:rPr>
        <w:t xml:space="preserve">Il canale dichiarato per le proposte iniziali è l'indirizzo ordinario</w:t>
      </w:r>
    </w:p>
    <w:p>
      <w:pPr>
        <w:spacing w:after="120" w:line="276"/>
        <w:jc w:val="both"/>
      </w:pPr>
      <w:r>
        <w:rPr>
          <w:rFonts w:ascii="Barlow Semi Condensed" w:cs="Barlow Semi Condensed" w:eastAsia="Barlow Semi Condensed" w:hAnsi="Barlow Semi Condensed"/>
          <w:b/>
          <w:bCs/>
          <w:sz w:val="24"/>
          <w:szCs w:val="24"/>
        </w:rPr>
        <w:t xml:space="preserve">info@laterza.it</w:t>
      </w:r>
      <w:r>
        <w:rPr>
          <w:rFonts w:ascii="Barlow Semi Condensed" w:cs="Barlow Semi Condensed" w:eastAsia="Barlow Semi Condensed" w:hAnsi="Barlow Semi Condensed"/>
          <w:sz w:val="24"/>
          <w:szCs w:val="24"/>
        </w:rPr>
        <w:t xml:space="preserve">; per la manualistica scolastica esiste un canale separato,</w:t>
      </w:r>
    </w:p>
    <w:p>
      <w:pPr>
        <w:spacing w:after="120" w:line="276"/>
        <w:jc w:val="both"/>
      </w:pPr>
      <w:r>
        <w:rPr>
          <w:rFonts w:ascii="Barlow Semi Condensed" w:cs="Barlow Semi Condensed" w:eastAsia="Barlow Semi Condensed" w:hAnsi="Barlow Semi Condensed"/>
          <w:sz w:val="24"/>
          <w:szCs w:val="24"/>
        </w:rPr>
        <w:t xml:space="preserve">che qui non si applica.</w:t>
      </w:r>
    </w:p>
    <w:p>
      <w:pPr>
        <w:spacing w:after="120" w:line="276"/>
        <w:jc w:val="both"/>
      </w:pPr>
      <w:r>
        <w:rPr>
          <w:rFonts w:ascii="Barlow Semi Condensed" w:cs="Barlow Semi Condensed" w:eastAsia="Barlow Semi Condensed" w:hAnsi="Barlow Semi Condensed"/>
          <w:b/>
          <w:bCs/>
          <w:sz w:val="24"/>
          <w:szCs w:val="24"/>
        </w:rPr>
        <w:t xml:space="preserve">E l'opera integrale non è la proposta.</w:t>
      </w:r>
      <w:r>
        <w:rPr>
          <w:rFonts w:ascii="Barlow Semi Condensed" w:cs="Barlow Semi Condensed" w:eastAsia="Barlow Semi Condensed" w:hAnsi="Barlow Semi Condensed"/>
          <w:sz w:val="24"/>
          <w:szCs w:val="24"/>
        </w:rPr>
        <w:t xml:space="preserve"> Millesettecento pagine di apparato</w:t>
      </w:r>
    </w:p>
    <w:p>
      <w:pPr>
        <w:spacing w:after="120" w:line="276"/>
        <w:jc w:val="both"/>
      </w:pPr>
      <w:r>
        <w:rPr>
          <w:rFonts w:ascii="Barlow Semi Condensed" w:cs="Barlow Semi Condensed" w:eastAsia="Barlow Semi Condensed" w:hAnsi="Barlow Semi Condensed"/>
          <w:sz w:val="24"/>
          <w:szCs w:val="24"/>
        </w:rPr>
        <w:t xml:space="preserve">documentale non sono un libro Laterza, e proporle come tali significa ricevere</w:t>
      </w:r>
    </w:p>
    <w:p>
      <w:pPr>
        <w:spacing w:after="120" w:line="276"/>
        <w:jc w:val="both"/>
      </w:pPr>
      <w:r>
        <w:rPr>
          <w:rFonts w:ascii="Barlow Semi Condensed" w:cs="Barlow Semi Condensed" w:eastAsia="Barlow Semi Condensed" w:hAnsi="Barlow Semi Condensed"/>
          <w:sz w:val="24"/>
          <w:szCs w:val="24"/>
        </w:rPr>
        <w:t xml:space="preserve">un no che è anche corretto. Quello che segue propone il libro che dall'opera può</w:t>
      </w:r>
    </w:p>
    <w:p>
      <w:pPr>
        <w:spacing w:after="120" w:line="276"/>
        <w:jc w:val="both"/>
      </w:pPr>
      <w:r>
        <w:rPr>
          <w:rFonts w:ascii="Barlow Semi Condensed" w:cs="Barlow Semi Condensed" w:eastAsia="Barlow Semi Condensed" w:hAnsi="Barlow Semi Condensed"/>
          <w:sz w:val="24"/>
          <w:szCs w:val="24"/>
        </w:rPr>
        <w:t xml:space="preserve">nascere: breve, leggibile, e su un argomento che l'opera possiede per intero</w:t>
      </w:r>
    </w:p>
    <w:p>
      <w:pPr>
        <w:spacing w:after="120" w:line="276"/>
        <w:jc w:val="both"/>
      </w:pPr>
      <w:r>
        <w:rPr>
          <w:rFonts w:ascii="Barlow Semi Condensed" w:cs="Barlow Semi Condensed" w:eastAsia="Barlow Semi Condensed" w:hAnsi="Barlow Semi Condensed"/>
          <w:sz w:val="24"/>
          <w:szCs w:val="24"/>
        </w:rPr>
        <w:t xml:space="preserve">mentre quasi nessuno lo possiede — che cosa una macchina trova e che cosa non</w:t>
      </w:r>
    </w:p>
    <w:p>
      <w:pPr>
        <w:spacing w:after="120" w:line="276"/>
        <w:jc w:val="both"/>
      </w:pPr>
      <w:r>
        <w:rPr>
          <w:rFonts w:ascii="Barlow Semi Condensed" w:cs="Barlow Semi Condensed" w:eastAsia="Barlow Semi Condensed" w:hAnsi="Barlow Semi Condensed"/>
          <w:sz w:val="24"/>
          <w:szCs w:val="24"/>
        </w:rPr>
        <w:t xml:space="preserve">trova, quando la si mette a lavorare su un caso italiano documentatissimo.</w:t>
      </w:r>
    </w:p>
    <w:p>
      <w:pPr>
        <w:spacing w:after="120" w:line="276"/>
        <w:jc w:val="both"/>
      </w:pPr>
      <w:r>
        <w:rPr>
          <w:rFonts w:ascii="Barlow Semi Condensed" w:cs="Barlow Semi Condensed" w:eastAsia="Barlow Semi Condensed" w:hAnsi="Barlow Semi Condensed"/>
          <w:sz w:val="24"/>
          <w:szCs w:val="24"/>
        </w:rPr>
        <w:t xml:space="preserve">Il corpus resta disponibile come apparato di riscontro, non come manoscritto.</w:t>
      </w:r>
    </w:p>
    <w:p>
      <w:pPr>
        <w:spacing w:after="120" w:line="276"/>
        <w:jc w:val="both"/>
      </w:pPr>
      <w:r>
        <w:rPr>
          <w:rFonts w:ascii="Barlow Semi Condensed" w:cs="Barlow Semi Condensed" w:eastAsia="Barlow Semi Condensed" w:hAnsi="Barlow Semi Condensed"/>
          <w:sz w:val="24"/>
          <w:szCs w:val="24"/>
        </w:rPr>
        <w:t xml:space="preserve">Va detto, poiché lo offro: dei suoi quattordici Libri uno solo — un dossier</w:t>
      </w:r>
    </w:p>
    <w:p>
      <w:pPr>
        <w:spacing w:after="120" w:line="276"/>
        <w:jc w:val="both"/>
      </w:pPr>
      <w:r>
        <w:rPr>
          <w:rFonts w:ascii="Barlow Semi Condensed" w:cs="Barlow Semi Condensed" w:eastAsia="Barlow Semi Condensed" w:hAnsi="Barlow Semi Condensed"/>
          <w:sz w:val="24"/>
          <w:szCs w:val="24"/>
        </w:rPr>
        <w:t xml:space="preserve">d'autore anteriore, conservato per intero anziché riscritto — nella seconda metà</w:t>
      </w:r>
    </w:p>
    <w:p>
      <w:pPr>
        <w:spacing w:after="120" w:line="276"/>
        <w:jc w:val="both"/>
      </w:pPr>
      <w:r>
        <w:rPr>
          <w:rFonts w:ascii="Barlow Semi Condensed" w:cs="Barlow Semi Condensed" w:eastAsia="Barlow Semi Condensed" w:hAnsi="Barlow Semi Condensed"/>
          <w:sz w:val="24"/>
          <w:szCs w:val="24"/>
        </w:rPr>
        <w:t xml:space="preserve">ordina secondo la plausibilità del coinvolgimento, per categorie di soggetti e</w:t>
      </w:r>
    </w:p>
    <w:p>
      <w:pPr>
        <w:spacing w:after="120" w:line="276"/>
        <w:jc w:val="both"/>
      </w:pPr>
      <w:r>
        <w:rPr>
          <w:rFonts w:ascii="Barlow Semi Condensed" w:cs="Barlow Semi Condensed" w:eastAsia="Barlow Semi Condensed" w:hAnsi="Barlow Semi Condensed"/>
          <w:sz w:val="24"/>
          <w:szCs w:val="24"/>
        </w:rPr>
        <w:t xml:space="preserve">non per nomi individuali. L'eccezione è dichiarata in copertina, è limitata a</w:t>
      </w:r>
    </w:p>
    <w:p>
      <w:pPr>
        <w:spacing w:after="120" w:line="276"/>
        <w:jc w:val="both"/>
      </w:pPr>
      <w:r>
        <w:rPr>
          <w:rFonts w:ascii="Barlow Semi Condensed" w:cs="Barlow Semi Condensed" w:eastAsia="Barlow Semi Condensed" w:hAnsi="Barlow Semi Condensed"/>
          <w:sz w:val="24"/>
          <w:szCs w:val="24"/>
        </w:rPr>
        <w:t xml:space="preserve">quel Libro, e ordinare per plausibilità non è condannare. Il saggio che propongo</w:t>
      </w:r>
    </w:p>
    <w:p>
      <w:pPr>
        <w:spacing w:after="120" w:line="276"/>
        <w:jc w:val="both"/>
      </w:pPr>
      <w:r>
        <w:rPr>
          <w:rFonts w:ascii="Barlow Semi Condensed" w:cs="Barlow Semi Condensed" w:eastAsia="Barlow Semi Condensed" w:hAnsi="Barlow Semi Condensed"/>
          <w:sz w:val="24"/>
          <w:szCs w:val="24"/>
        </w:rPr>
        <w:t xml:space="preserve">non la riprende.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Da inviare a: info@laterza.it</w:t>
      </w:r>
    </w:p>
    <w:p>
      <w:pPr>
        <w:spacing w:after="120" w:line="276"/>
        <w:jc w:val="both"/>
      </w:pPr>
      <w:r>
        <w:rPr>
          <w:rFonts w:ascii="Barlow Semi Condensed" w:cs="Barlow Semi Condensed" w:eastAsia="Barlow Semi Condensed" w:hAnsi="Barlow Semi Condensed"/>
          <w:b/>
          <w:bCs/>
          <w:sz w:val="24"/>
          <w:szCs w:val="24"/>
        </w:rPr>
        <w:t xml:space="preserve">Oggetto</w:t>
      </w:r>
      <w:r>
        <w:rPr>
          <w:rFonts w:ascii="Barlow Semi Condensed" w:cs="Barlow Semi Condensed" w:eastAsia="Barlow Semi Condensed" w:hAnsi="Barlow Semi Condensed"/>
          <w:sz w:val="24"/>
          <w:szCs w:val="24"/>
        </w:rPr>
        <w:t xml:space="preserve">: Proposta editoriale — «Il buco misurato». Un esperimento di ricerca</w:t>
      </w:r>
    </w:p>
    <w:p>
      <w:pPr>
        <w:spacing w:after="120" w:line="276"/>
        <w:jc w:val="both"/>
      </w:pPr>
      <w:r>
        <w:rPr>
          <w:rFonts w:ascii="Barlow Semi Condensed" w:cs="Barlow Semi Condensed" w:eastAsia="Barlow Semi Condensed" w:hAnsi="Barlow Semi Condensed"/>
          <w:sz w:val="24"/>
          <w:szCs w:val="24"/>
        </w:rPr>
        <w:t xml:space="preserve">storica assistita da intelligenza artificiale sul caso Moro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alla vostra attenzione una proposta di saggio breve, secondo le</w:t>
      </w:r>
    </w:p>
    <w:p>
      <w:pPr>
        <w:spacing w:after="120" w:line="276"/>
        <w:jc w:val="both"/>
      </w:pPr>
      <w:r>
        <w:rPr>
          <w:rFonts w:ascii="Barlow Semi Condensed" w:cs="Barlow Semi Condensed" w:eastAsia="Barlow Semi Condensed" w:hAnsi="Barlow Semi Condensed"/>
          <w:sz w:val="24"/>
          <w:szCs w:val="24"/>
        </w:rPr>
        <w:t xml:space="preserve">indicazioni pubblicate sul vostro sito.</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Il lavoro da cui la proposta nasce è stato</w:t>
      </w:r>
    </w:p>
    <w:p>
      <w:pPr>
        <w:spacing w:after="120" w:line="276"/>
        <w:jc w:val="both"/>
      </w:pPr>
      <w:r>
        <w:rPr>
          <w:rFonts w:ascii="Barlow Semi Condensed" w:cs="Barlow Semi Condensed" w:eastAsia="Barlow Semi Condensed" w:hAnsi="Barlow Semi Condensed"/>
          <w:sz w:val="24"/>
          <w:szCs w:val="24"/>
        </w:rPr>
        <w:t xml:space="preserve">prodotto con sistemi di intelligenza artificiale sotto mia direzione. Lo</w:t>
      </w:r>
    </w:p>
    <w:p>
      <w:pPr>
        <w:spacing w:after="120" w:line="276"/>
        <w:jc w:val="both"/>
      </w:pPr>
      <w:r>
        <w:rPr>
          <w:rFonts w:ascii="Barlow Semi Condensed" w:cs="Barlow Semi Condensed" w:eastAsia="Barlow Semi Condensed" w:hAnsi="Barlow Semi Condensed"/>
          <w:sz w:val="24"/>
          <w:szCs w:val="24"/>
        </w:rPr>
        <w:t xml:space="preserve">dichiaro in apertura perché non è un dettaglio produttivo: **è l'oggetto stesso</w:t>
      </w:r>
    </w:p>
    <w:p>
      <w:pPr>
        <w:spacing w:after="120" w:line="276"/>
        <w:jc w:val="both"/>
      </w:pPr>
      <w:r>
        <w:rPr>
          <w:rFonts w:ascii="Barlow Semi Condensed" w:cs="Barlow Semi Condensed" w:eastAsia="Barlow Semi Condensed" w:hAnsi="Barlow Semi Condensed"/>
          <w:sz w:val="24"/>
          <w:szCs w:val="24"/>
        </w:rPr>
        <w:t xml:space="preserve">del libro**.</w:t>
      </w:r>
    </w:p>
    <w:p>
      <w:pPr>
        <w:spacing w:after="120" w:line="276"/>
        <w:jc w:val="both"/>
      </w:pPr>
      <w:r>
        <w:rPr>
          <w:rFonts w:ascii="Barlow Semi Condensed" w:cs="Barlow Semi Condensed" w:eastAsia="Barlow Semi Condensed" w:hAnsi="Barlow Semi Condensed"/>
          <w:b/>
          <w:bCs/>
          <w:sz w:val="24"/>
          <w:szCs w:val="24"/>
        </w:rPr>
        <w:t xml:space="preserve">L'idea fondamentale.</w:t>
      </w:r>
      <w:r>
        <w:rPr>
          <w:rFonts w:ascii="Barlow Semi Condensed" w:cs="Barlow Semi Condensed" w:eastAsia="Barlow Semi Condensed" w:hAnsi="Barlow Semi Condensed"/>
          <w:sz w:val="24"/>
          <w:szCs w:val="24"/>
        </w:rPr>
        <w:t xml:space="preserve"> Nel 2026 ho condotto un esperimento: mettere</w:t>
      </w:r>
    </w:p>
    <w:p>
      <w:pPr>
        <w:spacing w:after="120" w:line="276"/>
        <w:jc w:val="both"/>
      </w:pPr>
      <w:r>
        <w:rPr>
          <w:rFonts w:ascii="Barlow Semi Condensed" w:cs="Barlow Semi Condensed" w:eastAsia="Barlow Semi Condensed" w:hAnsi="Barlow Semi Condensed"/>
          <w:sz w:val="24"/>
          <w:szCs w:val="24"/>
        </w:rPr>
        <w:t xml:space="preserve">sistemi di intelligenza artificiale a lavorare, con una disciplina metodologica</w:t>
      </w:r>
    </w:p>
    <w:p>
      <w:pPr>
        <w:spacing w:after="120" w:line="276"/>
        <w:jc w:val="both"/>
      </w:pPr>
      <w:r>
        <w:rPr>
          <w:rFonts w:ascii="Barlow Semi Condensed" w:cs="Barlow Semi Condensed" w:eastAsia="Barlow Semi Condensed" w:hAnsi="Barlow Semi Condensed"/>
          <w:sz w:val="24"/>
          <w:szCs w:val="24"/>
        </w:rPr>
        <w:t xml:space="preserve">rigida e dichiarata, su uno dei casi più documentati e più infestati dalla</w:t>
      </w:r>
    </w:p>
    <w:p>
      <w:pPr>
        <w:spacing w:after="120" w:line="276"/>
        <w:jc w:val="both"/>
      </w:pPr>
      <w:r>
        <w:rPr>
          <w:rFonts w:ascii="Barlow Semi Condensed" w:cs="Barlow Semi Condensed" w:eastAsia="Barlow Semi Condensed" w:hAnsi="Barlow Semi Condensed"/>
          <w:sz w:val="24"/>
          <w:szCs w:val="24"/>
        </w:rPr>
        <w:t xml:space="preserve">dietrologia della storia repubblicana — il sequestro e l'omicidio di Aldo Moro.</w:t>
      </w:r>
    </w:p>
    <w:p>
      <w:pPr>
        <w:spacing w:after="120" w:line="276"/>
        <w:jc w:val="both"/>
      </w:pPr>
      <w:r>
        <w:rPr>
          <w:rFonts w:ascii="Barlow Semi Condensed" w:cs="Barlow Semi Condensed" w:eastAsia="Barlow Semi Condensed" w:hAnsi="Barlow Semi Condensed"/>
          <w:sz w:val="24"/>
          <w:szCs w:val="24"/>
        </w:rPr>
        <w:t xml:space="preserve">Il risultato è un corpus di circa 1.750 pagine e 7.699 «blocchi mirati», cioè</w:t>
      </w:r>
    </w:p>
    <w:p>
      <w:pPr>
        <w:spacing w:after="120" w:line="276"/>
        <w:jc w:val="both"/>
      </w:pPr>
      <w:r>
        <w:rPr>
          <w:rFonts w:ascii="Barlow Semi Condensed" w:cs="Barlow Semi Condensed" w:eastAsia="Barlow Semi Condensed" w:hAnsi="Barlow Semi Condensed"/>
          <w:sz w:val="24"/>
          <w:szCs w:val="24"/>
        </w:rPr>
        <w:t xml:space="preserve">bersagli di ricerca e non affermazioni. Il libro che propongo non è quel corpus:</w:t>
      </w:r>
    </w:p>
    <w:p>
      <w:pPr>
        <w:spacing w:after="120" w:line="276"/>
        <w:jc w:val="both"/>
      </w:pPr>
      <w:r>
        <w:rPr>
          <w:rFonts w:ascii="Barlow Semi Condensed" w:cs="Barlow Semi Condensed" w:eastAsia="Barlow Semi Condensed" w:hAnsi="Barlow Semi Condensed"/>
          <w:sz w:val="24"/>
          <w:szCs w:val="24"/>
        </w:rPr>
        <w:t xml:space="preserve">è il </w:t>
      </w:r>
      <w:r>
        <w:rPr>
          <w:rFonts w:ascii="Barlow Semi Condensed" w:cs="Barlow Semi Condensed" w:eastAsia="Barlow Semi Condensed" w:hAnsi="Barlow Semi Condensed"/>
          <w:b/>
          <w:bCs/>
          <w:sz w:val="24"/>
          <w:szCs w:val="24"/>
        </w:rPr>
        <w:t xml:space="preserve">resoconto dell'esperimento</w:t>
      </w:r>
      <w:r>
        <w:rPr>
          <w:rFonts w:ascii="Barlow Semi Condensed" w:cs="Barlow Semi Condensed" w:eastAsia="Barlow Semi Condensed" w:hAnsi="Barlow Semi Condensed"/>
          <w:sz w:val="24"/>
          <w:szCs w:val="24"/>
        </w:rPr>
        <w:t xml:space="preserve">, e in particolare di ciò che è andato storto.</w:t>
      </w:r>
    </w:p>
    <w:p>
      <w:pPr>
        <w:spacing w:after="120" w:line="276"/>
        <w:jc w:val="both"/>
      </w:pPr>
      <w:r>
        <w:rPr>
          <w:rFonts w:ascii="Barlow Semi Condensed" w:cs="Barlow Semi Condensed" w:eastAsia="Barlow Semi Condensed" w:hAnsi="Barlow Semi Condensed"/>
          <w:b/>
          <w:bCs/>
          <w:sz w:val="24"/>
          <w:szCs w:val="24"/>
        </w:rPr>
        <w:t xml:space="preserve">La tesi.</w:t>
      </w:r>
      <w:r>
        <w:rPr>
          <w:rFonts w:ascii="Barlow Semi Condensed" w:cs="Barlow Semi Condensed" w:eastAsia="Barlow Semi Condensed" w:hAnsi="Barlow Semi Condensed"/>
          <w:sz w:val="24"/>
          <w:szCs w:val="24"/>
        </w:rPr>
        <w:t xml:space="preserve"> Una macchina messa a cercare connessioni le trova sempre. La sola</w:t>
      </w:r>
    </w:p>
    <w:p>
      <w:pPr>
        <w:spacing w:after="120" w:line="276"/>
        <w:jc w:val="both"/>
      </w:pPr>
      <w:r>
        <w:rPr>
          <w:rFonts w:ascii="Barlow Semi Condensed" w:cs="Barlow Semi Condensed" w:eastAsia="Barlow Semi Condensed" w:hAnsi="Barlow Semi Condensed"/>
          <w:sz w:val="24"/>
          <w:szCs w:val="24"/>
        </w:rPr>
        <w:t xml:space="preserve">cosa che glielo impedisce è una disciplina scritta prima, e la parte interessante</w:t>
      </w:r>
    </w:p>
    <w:p>
      <w:pPr>
        <w:spacing w:after="120" w:line="276"/>
        <w:jc w:val="both"/>
      </w:pPr>
      <w:r>
        <w:rPr>
          <w:rFonts w:ascii="Barlow Semi Condensed" w:cs="Barlow Semi Condensed" w:eastAsia="Barlow Semi Condensed" w:hAnsi="Barlow Semi Condensed"/>
          <w:sz w:val="24"/>
          <w:szCs w:val="24"/>
        </w:rPr>
        <w:t xml:space="preserve">del lavoro non sono i risultati ma **i punti in cui la disciplina ha dovuto</w:t>
      </w:r>
    </w:p>
    <w:p>
      <w:pPr>
        <w:spacing w:after="120" w:line="276"/>
        <w:jc w:val="both"/>
      </w:pPr>
      <w:r>
        <w:rPr>
          <w:rFonts w:ascii="Barlow Semi Condensed" w:cs="Barlow Semi Condensed" w:eastAsia="Barlow Semi Condensed" w:hAnsi="Barlow Semi Condensed"/>
          <w:sz w:val="24"/>
          <w:szCs w:val="24"/>
        </w:rPr>
        <w:t xml:space="preserve">essere corretta in corsa** — quasi sempre perché un errore di metodo si era</w:t>
      </w:r>
    </w:p>
    <w:p>
      <w:pPr>
        <w:spacing w:after="120" w:line="276"/>
        <w:jc w:val="both"/>
      </w:pPr>
      <w:r>
        <w:rPr>
          <w:rFonts w:ascii="Barlow Semi Condensed" w:cs="Barlow Semi Condensed" w:eastAsia="Barlow Semi Condensed" w:hAnsi="Barlow Semi Condensed"/>
          <w:sz w:val="24"/>
          <w:szCs w:val="24"/>
        </w:rPr>
        <w:t xml:space="preserve">travestito da rigore. Il libro racconta sette di questi punti, ciascuno con il</w:t>
      </w:r>
    </w:p>
    <w:p>
      <w:pPr>
        <w:spacing w:after="120" w:line="276"/>
        <w:jc w:val="both"/>
      </w:pPr>
      <w:r>
        <w:rPr>
          <w:rFonts w:ascii="Barlow Semi Condensed" w:cs="Barlow Semi Condensed" w:eastAsia="Barlow Semi Condensed" w:hAnsi="Barlow Semi Condensed"/>
          <w:sz w:val="24"/>
          <w:szCs w:val="24"/>
        </w:rPr>
        <w:t xml:space="preserve">suo caso concreto.</w:t>
      </w:r>
    </w:p>
    <w:p>
      <w:pPr>
        <w:spacing w:after="120" w:line="276"/>
        <w:jc w:val="both"/>
      </w:pPr>
      <w:r>
        <w:rPr>
          <w:rFonts w:ascii="Barlow Semi Condensed" w:cs="Barlow Semi Condensed" w:eastAsia="Barlow Semi Condensed" w:hAnsi="Barlow Semi Condensed"/>
          <w:b/>
          <w:bCs/>
          <w:sz w:val="24"/>
          <w:szCs w:val="24"/>
        </w:rPr>
        <w:t xml:space="preserve">Alcuni esempi di che cosa contiene.</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La moltiplicazione apparente delle fonti.</w:t>
      </w:r>
      <w:r>
        <w:rPr>
          <w:rFonts w:ascii="Barlow Semi Condensed" w:cs="Barlow Semi Condensed" w:eastAsia="Barlow Semi Condensed" w:hAnsi="Barlow Semi Condensed"/>
          <w:sz w:val="24"/>
          <w:szCs w:val="24"/>
        </w:rPr>
        <w:t xml:space="preserve"> Una frase attribuita a Henry</w:t>
      </w:r>
    </w:p>
    <w:p>
      <w:pPr>
        <w:spacing w:after="120" w:line="276"/>
        <w:jc w:val="both"/>
      </w:pPr>
      <w:r>
        <w:rPr>
          <w:rFonts w:ascii="Barlow Semi Condensed" w:cs="Barlow Semi Condensed" w:eastAsia="Barlow Semi Condensed" w:hAnsi="Barlow Semi Condensed"/>
          <w:sz w:val="24"/>
          <w:szCs w:val="24"/>
        </w:rPr>
        <w:t xml:space="preserve">  Kissinger e ripetuta da decine di siti risulta, a spoglio, discendere da un</w:t>
      </w:r>
    </w:p>
    <w:p>
      <w:pPr>
        <w:spacing w:after="120" w:line="276"/>
        <w:jc w:val="both"/>
      </w:pPr>
      <w:r>
        <w:rPr>
          <w:rFonts w:ascii="Barlow Semi Condensed" w:cs="Barlow Semi Condensed" w:eastAsia="Barlow Semi Condensed" w:hAnsi="Barlow Semi Condensed"/>
          <w:sz w:val="24"/>
          <w:szCs w:val="24"/>
        </w:rPr>
        <w:t xml:space="preserve">  unico lancio d'agenzia del 30 novembre 2023. Cento riprese di una sola origine</w:t>
      </w:r>
    </w:p>
    <w:p>
      <w:pPr>
        <w:spacing w:after="120" w:line="276"/>
        <w:jc w:val="both"/>
      </w:pPr>
      <w:r>
        <w:rPr>
          <w:rFonts w:ascii="Barlow Semi Condensed" w:cs="Barlow Semi Condensed" w:eastAsia="Barlow Semi Condensed" w:hAnsi="Barlow Semi Condensed"/>
          <w:sz w:val="24"/>
          <w:szCs w:val="24"/>
        </w:rPr>
        <w:t xml:space="preserve">  restano una sola fonte, e nessun sistema automatico lo distingue da solo.</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Il documento che non contiene ciò che tutti citano.</w:t>
      </w:r>
      <w:r>
        <w:rPr>
          <w:rFonts w:ascii="Barlow Semi Condensed" w:cs="Barlow Semi Condensed" w:eastAsia="Barlow Semi Condensed" w:hAnsi="Barlow Semi Condensed"/>
          <w:sz w:val="24"/>
          <w:szCs w:val="24"/>
        </w:rPr>
        <w:t xml:space="preserve"> Il verbale dello Studio</w:t>
      </w:r>
    </w:p>
    <w:p>
      <w:pPr>
        <w:spacing w:after="120" w:line="276"/>
        <w:jc w:val="both"/>
      </w:pPr>
      <w:r>
        <w:rPr>
          <w:rFonts w:ascii="Barlow Semi Condensed" w:cs="Barlow Semi Condensed" w:eastAsia="Barlow Semi Condensed" w:hAnsi="Barlow Semi Condensed"/>
          <w:sz w:val="24"/>
          <w:szCs w:val="24"/>
        </w:rPr>
        <w:t xml:space="preserve">  Ovale del 25 settembre 1974, correntemente presentato come la prova</w:t>
      </w:r>
    </w:p>
    <w:p>
      <w:pPr>
        <w:spacing w:after="120" w:line="276"/>
        <w:jc w:val="both"/>
      </w:pPr>
      <w:r>
        <w:rPr>
          <w:rFonts w:ascii="Barlow Semi Condensed" w:cs="Barlow Semi Condensed" w:eastAsia="Barlow Semi Condensed" w:hAnsi="Barlow Semi Condensed"/>
          <w:sz w:val="24"/>
          <w:szCs w:val="24"/>
        </w:rPr>
        <w:t xml:space="preserve">  documentale di un ultimatum ad Aldo Moro, </w:t>
      </w:r>
      <w:r>
        <w:rPr>
          <w:rFonts w:ascii="Barlow Semi Condensed" w:cs="Barlow Semi Condensed" w:eastAsia="Barlow Semi Condensed" w:hAnsi="Barlow Semi Condensed"/>
          <w:b/>
          <w:bCs/>
          <w:sz w:val="24"/>
          <w:szCs w:val="24"/>
        </w:rPr>
        <w:t xml:space="preserve">non lo contiene</w:t>
      </w:r>
      <w:r>
        <w:rPr>
          <w:rFonts w:ascii="Barlow Semi Condensed" w:cs="Barlow Semi Condensed" w:eastAsia="Barlow Semi Condensed" w:hAnsi="Barlow Semi Condensed"/>
          <w:sz w:val="24"/>
          <w:szCs w:val="24"/>
        </w:rPr>
        <w:t xml:space="preserve">. La verifica è</w:t>
      </w:r>
    </w:p>
    <w:p>
      <w:pPr>
        <w:spacing w:after="120" w:line="276"/>
        <w:jc w:val="both"/>
      </w:pPr>
      <w:r>
        <w:rPr>
          <w:rFonts w:ascii="Barlow Semi Condensed" w:cs="Barlow Semi Condensed" w:eastAsia="Barlow Semi Condensed" w:hAnsi="Barlow Semi Condensed"/>
          <w:sz w:val="24"/>
          <w:szCs w:val="24"/>
        </w:rPr>
        <w:t xml:space="preserve">  banale e nessuno l'aveva pubblicata in questa forma.</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Il versante mai cercato.</w:t>
      </w:r>
      <w:r>
        <w:rPr>
          <w:rFonts w:ascii="Barlow Semi Condensed" w:cs="Barlow Semi Condensed" w:eastAsia="Barlow Semi Condensed" w:hAnsi="Barlow Semi Condensed"/>
          <w:sz w:val="24"/>
          <w:szCs w:val="24"/>
        </w:rPr>
        <w:t xml:space="preserve"> Di quel colloquio esiste un solo verbale, quello</w:t>
      </w:r>
    </w:p>
    <w:p>
      <w:pPr>
        <w:spacing w:after="120" w:line="276"/>
        <w:jc w:val="both"/>
      </w:pPr>
      <w:r>
        <w:rPr>
          <w:rFonts w:ascii="Barlow Semi Condensed" w:cs="Barlow Semi Condensed" w:eastAsia="Barlow Semi Condensed" w:hAnsi="Barlow Semi Condensed"/>
          <w:sz w:val="24"/>
          <w:szCs w:val="24"/>
        </w:rPr>
        <w:t xml:space="preserve">  americano. L'appunto italiano dello stesso incontro non risulta essere mai</w:t>
      </w:r>
    </w:p>
    <w:p>
      <w:pPr>
        <w:spacing w:after="120" w:line="276"/>
        <w:jc w:val="both"/>
      </w:pPr>
      <w:r>
        <w:rPr>
          <w:rFonts w:ascii="Barlow Semi Condensed" w:cs="Barlow Semi Condensed" w:eastAsia="Barlow Semi Condensed" w:hAnsi="Barlow Semi Condensed"/>
          <w:sz w:val="24"/>
          <w:szCs w:val="24"/>
        </w:rPr>
        <w:t xml:space="preserve">  stato cercato, e il suo esito sarebbe dirimente in tutte e tre le direzioni</w:t>
      </w:r>
    </w:p>
    <w:p>
      <w:pPr>
        <w:spacing w:after="120" w:line="276"/>
        <w:jc w:val="both"/>
      </w:pPr>
      <w:r>
        <w:rPr>
          <w:rFonts w:ascii="Barlow Semi Condensed" w:cs="Barlow Semi Condensed" w:eastAsia="Barlow Semi Condensed" w:hAnsi="Barlow Semi Condensed"/>
          <w:sz w:val="24"/>
          <w:szCs w:val="24"/>
        </w:rPr>
        <w:t xml:space="preserve">  possibili.</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Lo Stato Zero e il silenzio d'oggetto.</w:t>
      </w:r>
      <w:r>
        <w:rPr>
          <w:rFonts w:ascii="Barlow Semi Condensed" w:cs="Barlow Semi Condensed" w:eastAsia="Barlow Semi Condensed" w:hAnsi="Barlow Semi Condensed"/>
          <w:sz w:val="24"/>
          <w:szCs w:val="24"/>
        </w:rPr>
        <w:t xml:space="preserve"> Una distinzione che l'esperimento ha</w:t>
      </w:r>
    </w:p>
    <w:p>
      <w:pPr>
        <w:spacing w:after="120" w:line="276"/>
        <w:jc w:val="both"/>
      </w:pPr>
      <w:r>
        <w:rPr>
          <w:rFonts w:ascii="Barlow Semi Condensed" w:cs="Barlow Semi Condensed" w:eastAsia="Barlow Semi Condensed" w:hAnsi="Barlow Semi Condensed"/>
          <w:sz w:val="24"/>
          <w:szCs w:val="24"/>
        </w:rPr>
        <w:t xml:space="preserve">  dovuto inventare per non trasformare ogni assenza tematica in un indizio: un</w:t>
      </w:r>
    </w:p>
    <w:p>
      <w:pPr>
        <w:spacing w:after="120" w:line="276"/>
        <w:jc w:val="both"/>
      </w:pPr>
      <w:r>
        <w:rPr>
          <w:rFonts w:ascii="Barlow Semi Condensed" w:cs="Barlow Semi Condensed" w:eastAsia="Barlow Semi Condensed" w:hAnsi="Barlow Semi Condensed"/>
          <w:sz w:val="24"/>
          <w:szCs w:val="24"/>
        </w:rPr>
        <w:t xml:space="preserve">  esito negativo vale solo se si può nominare la sede in cui si è cercato.</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L'attesa dichiarata.</w:t>
      </w:r>
      <w:r>
        <w:rPr>
          <w:rFonts w:ascii="Barlow Semi Condensed" w:cs="Barlow Semi Condensed" w:eastAsia="Barlow Semi Condensed" w:hAnsi="Barlow Semi Condensed"/>
          <w:sz w:val="24"/>
          <w:szCs w:val="24"/>
        </w:rPr>
        <w:t xml:space="preserve"> L'antidoto all'errore speculare del precedente: non</w:t>
      </w:r>
    </w:p>
    <w:p>
      <w:pPr>
        <w:spacing w:after="120" w:line="276"/>
        <w:jc w:val="both"/>
      </w:pPr>
      <w:r>
        <w:rPr>
          <w:rFonts w:ascii="Barlow Semi Condensed" w:cs="Barlow Semi Condensed" w:eastAsia="Barlow Semi Condensed" w:hAnsi="Barlow Semi Condensed"/>
          <w:sz w:val="24"/>
          <w:szCs w:val="24"/>
        </w:rPr>
        <w:t xml:space="preserve">  trovare un nome dove nessuno si aspettava di trovarlo non è una scoperta.</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Come falliscono i controlli automatici.</w:t>
      </w:r>
      <w:r>
        <w:rPr>
          <w:rFonts w:ascii="Barlow Semi Condensed" w:cs="Barlow Semi Condensed" w:eastAsia="Barlow Semi Condensed" w:hAnsi="Barlow Semi Condensed"/>
          <w:sz w:val="24"/>
          <w:szCs w:val="24"/>
        </w:rPr>
        <w:t xml:space="preserve"> Otto casi documentati in cui la</w:t>
      </w:r>
    </w:p>
    <w:p>
      <w:pPr>
        <w:spacing w:after="120" w:line="276"/>
        <w:jc w:val="both"/>
      </w:pPr>
      <w:r>
        <w:rPr>
          <w:rFonts w:ascii="Barlow Semi Condensed" w:cs="Barlow Semi Condensed" w:eastAsia="Barlow Semi Condensed" w:hAnsi="Barlow Semi Condensed"/>
          <w:sz w:val="24"/>
          <w:szCs w:val="24"/>
        </w:rPr>
        <w:t xml:space="preserve">  verifica meccanica ha segnalato come violazione proprio i passaggi che</w:t>
      </w:r>
    </w:p>
    <w:p>
      <w:pPr>
        <w:spacing w:after="120" w:line="276"/>
        <w:jc w:val="both"/>
      </w:pPr>
      <w:r>
        <w:rPr>
          <w:rFonts w:ascii="Barlow Semi Condensed" w:cs="Barlow Semi Condensed" w:eastAsia="Barlow Semi Condensed" w:hAnsi="Barlow Semi Condensed"/>
          <w:sz w:val="24"/>
          <w:szCs w:val="24"/>
        </w:rPr>
        <w:t xml:space="preserve">  applicavano la regola — perché per vietare una formula bisogna scriverla.</w:t>
      </w:r>
    </w:p>
    <w:p>
      <w:pPr>
        <w:spacing w:after="120" w:line="276"/>
        <w:jc w:val="both"/>
      </w:pPr>
      <w:r>
        <w:rPr>
          <w:rFonts w:ascii="Barlow Semi Condensed" w:cs="Barlow Semi Condensed" w:eastAsia="Barlow Semi Condensed" w:hAnsi="Barlow Semi Condensed"/>
          <w:b/>
          <w:bCs/>
          <w:sz w:val="24"/>
          <w:szCs w:val="24"/>
        </w:rPr>
        <w:t xml:space="preserve">Che cosa il libro non fa.</w:t>
      </w:r>
      <w:r>
        <w:rPr>
          <w:rFonts w:ascii="Barlow Semi Condensed" w:cs="Barlow Semi Condensed" w:eastAsia="Barlow Semi Condensed" w:hAnsi="Barlow Semi Condensed"/>
          <w:sz w:val="24"/>
          <w:szCs w:val="24"/>
        </w:rPr>
        <w:t xml:space="preserve"> Non propone una tesi sul caso Moro, non rivela</w:t>
      </w:r>
    </w:p>
    <w:p>
      <w:pPr>
        <w:spacing w:after="120" w:line="276"/>
        <w:jc w:val="both"/>
      </w:pPr>
      <w:r>
        <w:rPr>
          <w:rFonts w:ascii="Barlow Semi Condensed" w:cs="Barlow Semi Condensed" w:eastAsia="Barlow Semi Condensed" w:hAnsi="Barlow Semi Condensed"/>
          <w:sz w:val="24"/>
          <w:szCs w:val="24"/>
        </w:rPr>
        <w:t xml:space="preserve">nulla, non indica alcuna persona come responsabile oltre il giudicato</w:t>
      </w:r>
    </w:p>
    <w:p>
      <w:pPr>
        <w:spacing w:after="120" w:line="276"/>
        <w:jc w:val="both"/>
      </w:pPr>
      <w:r>
        <w:rPr>
          <w:rFonts w:ascii="Barlow Semi Condensed" w:cs="Barlow Semi Condensed" w:eastAsia="Barlow Semi Condensed" w:hAnsi="Barlow Semi Condensed"/>
          <w:sz w:val="24"/>
          <w:szCs w:val="24"/>
        </w:rPr>
        <w:t xml:space="preserve">definitivo. Il caso Moro vi funziona come </w:t>
      </w:r>
      <w:r>
        <w:rPr>
          <w:rFonts w:ascii="Barlow Semi Condensed" w:cs="Barlow Semi Condensed" w:eastAsia="Barlow Semi Condensed" w:hAnsi="Barlow Semi Condensed"/>
          <w:b/>
          <w:bCs/>
          <w:sz w:val="24"/>
          <w:szCs w:val="24"/>
        </w:rPr>
        <w:t xml:space="preserve">banco di prova</w:t>
      </w:r>
      <w:r>
        <w:rPr>
          <w:rFonts w:ascii="Barlow Semi Condensed" w:cs="Barlow Semi Condensed" w:eastAsia="Barlow Semi Condensed" w:hAnsi="Barlow Semi Condensed"/>
          <w:sz w:val="24"/>
          <w:szCs w:val="24"/>
        </w:rPr>
        <w:t xml:space="preserve">, non come oggetto:</w:t>
      </w:r>
    </w:p>
    <w:p>
      <w:pPr>
        <w:spacing w:after="120" w:line="276"/>
        <w:jc w:val="both"/>
      </w:pPr>
      <w:r>
        <w:rPr>
          <w:rFonts w:ascii="Barlow Semi Condensed" w:cs="Barlow Semi Condensed" w:eastAsia="Barlow Semi Condensed" w:hAnsi="Barlow Semi Condensed"/>
          <w:sz w:val="24"/>
          <w:szCs w:val="24"/>
        </w:rPr>
        <w:t xml:space="preserve">serve perché è documentatissimo, perché la sua letteratura è tossica, e perché</w:t>
      </w:r>
    </w:p>
    <w:p>
      <w:pPr>
        <w:spacing w:after="120" w:line="276"/>
        <w:jc w:val="both"/>
      </w:pPr>
      <w:r>
        <w:rPr>
          <w:rFonts w:ascii="Barlow Semi Condensed" w:cs="Barlow Semi Condensed" w:eastAsia="Barlow Semi Condensed" w:hAnsi="Barlow Semi Condensed"/>
          <w:sz w:val="24"/>
          <w:szCs w:val="24"/>
        </w:rPr>
        <w:t xml:space="preserve">chiunque riconosce quando un ragionamento su di esso sta scivolando.</w:t>
      </w:r>
    </w:p>
    <w:p>
      <w:pPr>
        <w:spacing w:after="120" w:line="276"/>
        <w:jc w:val="both"/>
      </w:pPr>
      <w:r>
        <w:rPr>
          <w:rFonts w:ascii="Barlow Semi Condensed" w:cs="Barlow Semi Condensed" w:eastAsia="Barlow Semi Condensed" w:hAnsi="Barlow Semi Condensed"/>
          <w:b/>
          <w:bCs/>
          <w:sz w:val="24"/>
          <w:szCs w:val="24"/>
        </w:rPr>
        <w:t xml:space="preserve">Il pubblico.</w:t>
      </w:r>
      <w:r>
        <w:rPr>
          <w:rFonts w:ascii="Barlow Semi Condensed" w:cs="Barlow Semi Condensed" w:eastAsia="Barlow Semi Condensed" w:hAnsi="Barlow Semi Condensed"/>
          <w:sz w:val="24"/>
          <w:szCs w:val="24"/>
        </w:rPr>
        <w:t xml:space="preserve"> Lettori di saggistica storica e civile; e il pubblico, più</w:t>
      </w:r>
    </w:p>
    <w:p>
      <w:pPr>
        <w:spacing w:after="120" w:line="276"/>
        <w:jc w:val="both"/>
      </w:pPr>
      <w:r>
        <w:rPr>
          <w:rFonts w:ascii="Barlow Semi Condensed" w:cs="Barlow Semi Condensed" w:eastAsia="Barlow Semi Condensed" w:hAnsi="Barlow Semi Condensed"/>
          <w:sz w:val="24"/>
          <w:szCs w:val="24"/>
        </w:rPr>
        <w:t xml:space="preserve">ampio e oggi mal servito, di chi vuole capire che cosa questi sistemi facciano</w:t>
      </w:r>
    </w:p>
    <w:p>
      <w:pPr>
        <w:spacing w:after="120" w:line="276"/>
        <w:jc w:val="both"/>
      </w:pPr>
      <w:r>
        <w:rPr>
          <w:rFonts w:ascii="Barlow Semi Condensed" w:cs="Barlow Semi Condensed" w:eastAsia="Barlow Semi Condensed" w:hAnsi="Barlow Semi Condensed"/>
          <w:sz w:val="24"/>
          <w:szCs w:val="24"/>
        </w:rPr>
        <w:t xml:space="preserve">davvero quando li si mette al lavoro su qualcosa di verificabile — al di là</w:t>
      </w:r>
    </w:p>
    <w:p>
      <w:pPr>
        <w:spacing w:after="120" w:line="276"/>
        <w:jc w:val="both"/>
      </w:pPr>
      <w:r>
        <w:rPr>
          <w:rFonts w:ascii="Barlow Semi Condensed" w:cs="Barlow Semi Condensed" w:eastAsia="Barlow Semi Condensed" w:hAnsi="Barlow Semi Condensed"/>
          <w:sz w:val="24"/>
          <w:szCs w:val="24"/>
        </w:rPr>
        <w:t xml:space="preserve">tanto dell'entusiasmo quanto dell'allarme.</w:t>
      </w:r>
    </w:p>
    <w:p>
      <w:pPr>
        <w:spacing w:after="120" w:line="276"/>
        <w:jc w:val="both"/>
      </w:pPr>
      <w:r>
        <w:rPr>
          <w:rFonts w:ascii="Barlow Semi Condensed" w:cs="Barlow Semi Condensed" w:eastAsia="Barlow Semi Condensed" w:hAnsi="Barlow Semi Condensed"/>
          <w:b/>
          <w:bCs/>
          <w:sz w:val="24"/>
          <w:szCs w:val="24"/>
        </w:rPr>
        <w:t xml:space="preserve">Caratteristiche.</w:t>
      </w:r>
      <w:r>
        <w:rPr>
          <w:rFonts w:ascii="Barlow Semi Condensed" w:cs="Barlow Semi Condensed" w:eastAsia="Barlow Semi Condensed" w:hAnsi="Barlow Semi Condensed"/>
          <w:sz w:val="24"/>
          <w:szCs w:val="24"/>
        </w:rPr>
        <w:t xml:space="preserve"> Saggio breve, </w:t>
      </w:r>
      <w:r>
        <w:rPr>
          <w:rFonts w:ascii="Barlow Semi Condensed" w:cs="Barlow Semi Condensed" w:eastAsia="Barlow Semi Condensed" w:hAnsi="Barlow Semi Condensed"/>
          <w:b/>
          <w:bCs/>
          <w:sz w:val="24"/>
          <w:szCs w:val="24"/>
        </w:rPr>
        <w:t xml:space="preserve">140-180 pagine</w:t>
      </w:r>
      <w:r>
        <w:rPr>
          <w:rFonts w:ascii="Barlow Semi Condensed" w:cs="Barlow Semi Condensed" w:eastAsia="Barlow Semi Condensed" w:hAnsi="Barlow Semi Condensed"/>
          <w:sz w:val="24"/>
          <w:szCs w:val="24"/>
        </w:rPr>
        <w:t xml:space="preserve">, senza illustrazioni,</w:t>
      </w:r>
    </w:p>
    <w:p>
      <w:pPr>
        <w:spacing w:after="120" w:line="276"/>
        <w:jc w:val="both"/>
      </w:pPr>
      <w:r>
        <w:rPr>
          <w:rFonts w:ascii="Barlow Semi Condensed" w:cs="Barlow Semi Condensed" w:eastAsia="Barlow Semi Condensed" w:hAnsi="Barlow Semi Condensed"/>
          <w:sz w:val="24"/>
          <w:szCs w:val="24"/>
        </w:rPr>
        <w:t xml:space="preserve">articolato in sette capitoli più un'appendice con i cinque atti d'archivio</w:t>
      </w:r>
    </w:p>
    <w:p>
      <w:pPr>
        <w:spacing w:after="120" w:line="276"/>
        <w:jc w:val="both"/>
      </w:pPr>
      <w:r>
        <w:rPr>
          <w:rFonts w:ascii="Barlow Semi Condensed" w:cs="Barlow Semi Condensed" w:eastAsia="Barlow Semi Condensed" w:hAnsi="Barlow Semi Condensed"/>
          <w:sz w:val="24"/>
          <w:szCs w:val="24"/>
        </w:rPr>
        <w:t xml:space="preserve">eseguibili che l'esperimento ha prodotto. Nessuna nota a piè di pagina: i</w:t>
      </w:r>
    </w:p>
    <w:p>
      <w:pPr>
        <w:spacing w:after="120" w:line="276"/>
        <w:jc w:val="both"/>
      </w:pPr>
      <w:r>
        <w:rPr>
          <w:rFonts w:ascii="Barlow Semi Condensed" w:cs="Barlow Semi Condensed" w:eastAsia="Barlow Semi Condensed" w:hAnsi="Barlow Semi Condensed"/>
          <w:sz w:val="24"/>
          <w:szCs w:val="24"/>
        </w:rPr>
        <w:t xml:space="preserve">riferimenti sono nel corpo, e l'apparato completo resta consultabile a parte.</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Il corpus documentale è completo e verificato, e **il libro</w:t>
      </w:r>
    </w:p>
    <w:p>
      <w:pPr>
        <w:spacing w:after="120" w:line="276"/>
        <w:jc w:val="both"/>
      </w:pPr>
      <w:r>
        <w:rPr>
          <w:rFonts w:ascii="Barlow Semi Condensed" w:cs="Barlow Semi Condensed" w:eastAsia="Barlow Semi Condensed" w:hAnsi="Barlow Semi Condensed"/>
          <w:sz w:val="24"/>
          <w:szCs w:val="24"/>
        </w:rPr>
        <w:t xml:space="preserve">è scritto**: allego la prima stesura completa — sette parti più il registro di chiusura —</w:t>
      </w:r>
    </w:p>
    <w:p>
      <w:pPr>
        <w:spacing w:after="120" w:line="276"/>
        <w:jc w:val="both"/>
      </w:pPr>
      <w:r>
        <w:rPr>
          <w:rFonts w:ascii="Barlow Semi Condensed" w:cs="Barlow Semi Condensed" w:eastAsia="Barlow Semi Condensed" w:hAnsi="Barlow Semi Condensed"/>
          <w:sz w:val="24"/>
          <w:szCs w:val="24"/>
        </w:rPr>
        <w:t xml:space="preserve">perché è il modo più rapido per giudicare la scrittura senza credermi sulla</w:t>
      </w:r>
    </w:p>
    <w:p>
      <w:pPr>
        <w:spacing w:after="120" w:line="276"/>
        <w:jc w:val="both"/>
      </w:pPr>
      <w:r>
        <w:rPr>
          <w:rFonts w:ascii="Barlow Semi Condensed" w:cs="Barlow Semi Condensed" w:eastAsia="Barlow Semi Condensed" w:hAnsi="Barlow Semi Condensed"/>
          <w:sz w:val="24"/>
          <w:szCs w:val="24"/>
        </w:rPr>
        <w:t xml:space="preserve">parola. La lunghezza finale propongo di concordarla: la stesura è breve per</w:t>
      </w:r>
    </w:p>
    <w:p>
      <w:pPr>
        <w:spacing w:after="120" w:line="276"/>
        <w:jc w:val="both"/>
      </w:pPr>
      <w:r>
        <w:rPr>
          <w:rFonts w:ascii="Barlow Semi Condensed" w:cs="Barlow Semi Condensed" w:eastAsia="Barlow Semi Condensed" w:hAnsi="Barlow Semi Condensed"/>
          <w:sz w:val="24"/>
          <w:szCs w:val="24"/>
        </w:rPr>
        <w:t xml:space="preserve">scelta, e il materiale per estenderla c'è.</w:t>
      </w:r>
    </w:p>
    <w:p>
      <w:pPr>
        <w:spacing w:after="120" w:line="276"/>
        <w:jc w:val="both"/>
      </w:pPr>
      <w:r>
        <w:rPr>
          <w:rFonts w:ascii="Barlow Semi Condensed" w:cs="Barlow Semi Condensed" w:eastAsia="Barlow Semi Condensed" w:hAnsi="Barlow Semi Condensed"/>
          <w:sz w:val="24"/>
          <w:szCs w:val="24"/>
        </w:rPr>
        <w:t xml:space="preserve">Resto a disposizione.</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w:t>
      </w:r>
      <w:r>
        <w:rPr>
          <w:rFonts w:ascii="Barlow Semi Condensed" w:cs="Barlow Semi Condensed" w:eastAsia="Barlow Semi Condensed" w:hAnsi="Barlow Semi Condensed"/>
          <w:sz w:val="24"/>
          <w:szCs w:val="24"/>
        </w:rPr>
        <w:t xml:space="preserve">: [indicare email]</w:t>
      </w:r>
    </w:p>
    <w:p>
      <w:pPr>
        <w:spacing w:after="120" w:line="276"/>
        <w:jc w:val="both"/>
      </w:pP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Variante PEC — solo se si vuole certificare l'invio</w:t>
      </w:r>
    </w:p>
    <w:p>
      <w:pPr>
        <w:spacing w:after="120" w:line="276"/>
        <w:jc w:val="both"/>
      </w:pPr>
      <w:r>
        <w:rPr>
          <w:rFonts w:ascii="Barlow Semi Condensed" w:cs="Barlow Semi Condensed" w:eastAsia="Barlow Semi Condensed" w:hAnsi="Barlow Semi Condensed"/>
          <w:sz w:val="24"/>
          <w:szCs w:val="24"/>
        </w:rPr>
        <w:t xml:space="preserve">Se si desidera comunque una traccia certificata, la PEC va usata </w:t>
      </w:r>
      <w:r>
        <w:rPr>
          <w:rFonts w:ascii="Barlow Semi Condensed" w:cs="Barlow Semi Condensed" w:eastAsia="Barlow Semi Condensed" w:hAnsi="Barlow Semi Condensed"/>
          <w:b/>
          <w:bCs/>
          <w:sz w:val="24"/>
          <w:szCs w:val="24"/>
        </w:rPr>
        <w:t xml:space="preserve">in aggiunta</w:t>
      </w:r>
      <w:r>
        <w:rPr>
          <w:rFonts w:ascii="Barlow Semi Condensed" w:cs="Barlow Semi Condensed" w:eastAsia="Barlow Semi Condensed" w:hAnsi="Barlow Semi Condensed"/>
          <w:sz w:val="24"/>
          <w:szCs w:val="24"/>
        </w:rPr>
        <w:t xml:space="preserve"> e</w:t>
      </w:r>
    </w:p>
    <w:p>
      <w:pPr>
        <w:spacing w:after="120" w:line="276"/>
        <w:jc w:val="both"/>
      </w:pPr>
      <w:r>
        <w:rPr>
          <w:rFonts w:ascii="Barlow Semi Condensed" w:cs="Barlow Semi Condensed" w:eastAsia="Barlow Semi Condensed" w:hAnsi="Barlow Semi Condensed"/>
          <w:sz w:val="24"/>
          <w:szCs w:val="24"/>
        </w:rPr>
        <w:t xml:space="preserve">non al posto della proposta ordinaria, con lo stesso testo, allegando la sola</w:t>
      </w:r>
    </w:p>
    <w:p>
      <w:pPr>
        <w:spacing w:after="120" w:line="276"/>
        <w:jc w:val="both"/>
      </w:pPr>
      <w:r>
        <w:rPr>
          <w:rFonts w:ascii="Barlow Semi Condensed" w:cs="Barlow Semi Condensed" w:eastAsia="Barlow Semi Condensed" w:hAnsi="Barlow Semi Condensed"/>
          <w:sz w:val="24"/>
          <w:szCs w:val="24"/>
        </w:rPr>
        <w:t xml:space="preserve">proposta in PDF e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l'opera. L'indirizzo PEC della società — Gius. Laterza</w:t>
      </w:r>
    </w:p>
    <w:p>
      <w:pPr>
        <w:spacing w:after="120" w:line="276"/>
        <w:jc w:val="both"/>
      </w:pPr>
      <w:r>
        <w:rPr>
          <w:rFonts w:ascii="Barlow Semi Condensed" w:cs="Barlow Semi Condensed" w:eastAsia="Barlow Semi Condensed" w:hAnsi="Barlow Semi Condensed"/>
          <w:sz w:val="24"/>
          <w:szCs w:val="24"/>
        </w:rPr>
        <w:t xml:space="preserve">&amp; Figli S.p.A., sede legale Piazza Umberto I 54, 70121 Bari — è reperibile</w:t>
      </w:r>
    </w:p>
    <w:p>
      <w:pPr>
        <w:spacing w:after="120" w:line="276"/>
        <w:jc w:val="both"/>
      </w:pPr>
      <w:r>
        <w:rPr>
          <w:rFonts w:ascii="Barlow Semi Condensed" w:cs="Barlow Semi Condensed" w:eastAsia="Barlow Semi Condensed" w:hAnsi="Barlow Semi Condensed"/>
          <w:sz w:val="24"/>
          <w:szCs w:val="24"/>
        </w:rPr>
        <w:t xml:space="preserve">nell'</w:t>
      </w:r>
      <w:r>
        <w:rPr>
          <w:rFonts w:ascii="Barlow Semi Condensed" w:cs="Barlow Semi Condensed" w:eastAsia="Barlow Semi Condensed" w:hAnsi="Barlow Semi Condensed"/>
          <w:b/>
          <w:bCs/>
          <w:sz w:val="24"/>
          <w:szCs w:val="24"/>
        </w:rPr>
        <w:t xml:space="preserve">INI-PEC</w:t>
      </w:r>
      <w:r>
        <w:rPr>
          <w:rFonts w:ascii="Barlow Semi Condensed" w:cs="Barlow Semi Condensed" w:eastAsia="Barlow Semi Condensed" w:hAnsi="Barlow Semi Condensed"/>
          <w:sz w:val="24"/>
          <w:szCs w:val="24"/>
        </w:rPr>
        <w:t xml:space="preserve">, il registro dei domicili digitali delle imprese: non è</w:t>
      </w:r>
    </w:p>
    <w:p>
      <w:pPr>
        <w:spacing w:after="120" w:line="276"/>
        <w:jc w:val="both"/>
      </w:pPr>
      <w:r>
        <w:rPr>
          <w:rFonts w:ascii="Barlow Semi Condensed" w:cs="Barlow Semi Condensed" w:eastAsia="Barlow Semi Condensed" w:hAnsi="Barlow Semi Condensed"/>
          <w:sz w:val="24"/>
          <w:szCs w:val="24"/>
        </w:rPr>
        <w:t xml:space="preserve">riportato qui perché non è stato possibile accertarlo, e non va ipotizzato.</w:t>
      </w:r>
    </w:p>
    <w:p>
      <w:pPr>
        <w:spacing w:after="120" w:line="276"/>
        <w:jc w:val="both"/>
      </w:pPr>
      <w:r>
        <w:rPr>
          <w:rFonts w:ascii="Barlow Semi Condensed" w:cs="Barlow Semi Condensed" w:eastAsia="Barlow Semi Condensed" w:hAnsi="Barlow Semi Condensed"/>
          <w:sz w:val="24"/>
          <w:szCs w:val="24"/>
        </w:rPr>
        <w:t xml:space="preserve">Va però detto che la PEC, verso un editore, non aggiunge nulla di utile: certifica</w:t>
      </w:r>
    </w:p>
    <w:p>
      <w:pPr>
        <w:spacing w:after="120" w:line="276"/>
        <w:jc w:val="both"/>
      </w:pPr>
      <w:r>
        <w:rPr>
          <w:rFonts w:ascii="Barlow Semi Condensed" w:cs="Barlow Semi Condensed" w:eastAsia="Barlow Semi Condensed" w:hAnsi="Barlow Semi Condensed"/>
          <w:sz w:val="24"/>
          <w:szCs w:val="24"/>
        </w:rPr>
        <w:t xml:space="preserve">la consegna, non l'attenzione. La proposta viene letta perché è breve e</w:t>
      </w:r>
    </w:p>
    <w:p>
      <w:pPr>
        <w:spacing w:after="120" w:line="276"/>
        <w:jc w:val="both"/>
      </w:pPr>
      <w:r>
        <w:rPr>
          <w:rFonts w:ascii="Barlow Semi Condensed" w:cs="Barlow Semi Condensed" w:eastAsia="Barlow Semi Condensed" w:hAnsi="Barlow Semi Condensed"/>
          <w:sz w:val="24"/>
          <w:szCs w:val="24"/>
        </w:rPr>
        <w:t xml:space="preserve">interessante, o non viene letta affatto.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prudenza</w:t>
      </w:r>
    </w:p>
    <w:p>
      <w:pPr>
        <w:spacing w:after="120" w:line="276"/>
        <w:jc w:val="both"/>
      </w:pPr>
      <w:r>
        <w:rPr>
          <w:rFonts w:ascii="Barlow Semi Condensed" w:cs="Barlow Semi Condensed" w:eastAsia="Barlow Semi Condensed" w:hAnsi="Barlow Semi Condensed"/>
          <w:sz w:val="24"/>
          <w:szCs w:val="24"/>
        </w:rPr>
        <w:t xml:space="preserve">Prima dell'invio conviene verificare sul sito che le indicazioni per le proposte</w:t>
      </w:r>
    </w:p>
    <w:p>
      <w:pPr>
        <w:spacing w:after="120" w:line="276"/>
        <w:jc w:val="both"/>
      </w:pPr>
      <w:r>
        <w:rPr>
          <w:rFonts w:ascii="Barlow Semi Condensed" w:cs="Barlow Semi Condensed" w:eastAsia="Barlow Semi Condensed" w:hAnsi="Barlow Semi Condensed"/>
          <w:sz w:val="24"/>
          <w:szCs w:val="24"/>
        </w:rPr>
        <w:t xml:space="preserve">non siano cambiate, e leggere qualche titolo recente del catalogo di saggistica</w:t>
      </w:r>
    </w:p>
    <w:p>
      <w:pPr>
        <w:spacing w:after="120" w:line="276"/>
        <w:jc w:val="both"/>
      </w:pPr>
      <w:r>
        <w:rPr>
          <w:rFonts w:ascii="Barlow Semi Condensed" w:cs="Barlow Semi Condensed" w:eastAsia="Barlow Semi Condensed" w:hAnsi="Barlow Semi Condensed"/>
          <w:sz w:val="24"/>
          <w:szCs w:val="24"/>
        </w:rPr>
        <w:t xml:space="preserve">per calibrare il registro. Una proposta che dimostra di conoscere il catalogo a</w:t>
      </w:r>
    </w:p>
    <w:p>
      <w:pPr>
        <w:spacing w:after="120" w:line="276"/>
        <w:jc w:val="both"/>
      </w:pPr>
      <w:r>
        <w:rPr>
          <w:rFonts w:ascii="Barlow Semi Condensed" w:cs="Barlow Semi Condensed" w:eastAsia="Barlow Semi Condensed" w:hAnsi="Barlow Semi Condensed"/>
          <w:sz w:val="24"/>
          <w:szCs w:val="24"/>
        </w:rPr>
        <w:t xml:space="preserve">cui si rivolge ha una probabilità diversa da una che non lo fa.</w:t>
      </w:r>
    </w:p>
    <w:p>
      <w:pPr>
        <w:pStyle w:val="Heading3"/>
        <w:spacing w:after="80" w:before="240"/>
      </w:pPr>
      <w:r>
        <w:rPr>
          <w:rFonts w:ascii="Barlow Semi Condensed" w:cs="Barlow Semi Condensed" w:eastAsia="Barlow Semi Condensed" w:hAnsi="Barlow Semi Condensed"/>
          <w:sz w:val="24"/>
          <w:szCs w:val="24"/>
        </w:rPr>
        <w:t xml:space="preserve">Apparato grafico — Appendici · xiii. A Laterza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IV.xiii: 1.072 parole in 5 sezioni; la più ampia è §3 Corpo del messaggio, con 663.</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IV.xiii: 25 paragrafi in 5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xiv. A il Mulino, Carocci, Einaudi</w:t>
      </w:r>
    </w:p>
    <w:p>
      <w:pPr>
        <w:pStyle w:val="Heading1"/>
        <w:spacing w:after="120" w:before="240"/>
      </w:pPr>
      <w:r>
        <w:rPr>
          <w:rFonts w:ascii="Barlow Semi Condensed" w:cs="Barlow Semi Condensed" w:eastAsia="Barlow Semi Condensed" w:hAnsi="Barlow Semi Condensed"/>
          <w:sz w:val="24"/>
          <w:szCs w:val="24"/>
        </w:rPr>
        <w:t xml:space="preserve">Proposte editoriali — il Mulino, Carocci, Einaudi</w:t>
      </w:r>
    </w:p>
    <w:p>
      <w:pPr>
        <w:spacing w:after="120" w:line="276"/>
        <w:jc w:val="both"/>
      </w:pPr>
      <w:r>
        <w:rPr>
          <w:rFonts w:ascii="Barlow Semi Condensed" w:cs="Barlow Semi Condensed" w:eastAsia="Barlow Semi Condensed" w:hAnsi="Barlow Semi Condensed"/>
          <w:sz w:val="24"/>
          <w:szCs w:val="24"/>
        </w:rPr>
        <w:t xml:space="preserve">*Preparate il 26 agosto 2026. Tre editori, tre modalità di invio diverse, tre</w:t>
      </w:r>
    </w:p>
    <w:p>
      <w:pPr>
        <w:spacing w:after="120" w:line="276"/>
        <w:jc w:val="both"/>
      </w:pPr>
      <w:r>
        <w:rPr>
          <w:rFonts w:ascii="Barlow Semi Condensed" w:cs="Barlow Semi Condensed" w:eastAsia="Barlow Semi Condensed" w:hAnsi="Barlow Semi Condensed"/>
          <w:sz w:val="24"/>
          <w:szCs w:val="24"/>
        </w:rPr>
        <w:t xml:space="preserve">angolature diverse dello stesso libro. Verificare le modalità sui siti prima</w:t>
      </w:r>
    </w:p>
    <w:p>
      <w:pPr>
        <w:spacing w:after="120" w:line="276"/>
        <w:jc w:val="both"/>
      </w:pPr>
      <w:r>
        <w:rPr>
          <w:rFonts w:ascii="Barlow Semi Condensed" w:cs="Barlow Semi Condensed" w:eastAsia="Barlow Semi Condensed" w:hAnsi="Barlow Semi Condensed"/>
          <w:sz w:val="24"/>
          <w:szCs w:val="24"/>
        </w:rPr>
        <w:t xml:space="preserve">dell'invio: cambiano.*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Premessa comune a tutte e tre</w:t>
      </w:r>
    </w:p>
    <w:p>
      <w:pPr>
        <w:spacing w:after="120" w:line="276"/>
        <w:jc w:val="both"/>
      </w:pPr>
      <w:r>
        <w:rPr>
          <w:rFonts w:ascii="Barlow Semi Condensed" w:cs="Barlow Semi Condensed" w:eastAsia="Barlow Semi Condensed" w:hAnsi="Barlow Semi Condensed"/>
          <w:sz w:val="24"/>
          <w:szCs w:val="24"/>
        </w:rPr>
        <w:t xml:space="preserve">Il libro proposto </w:t>
      </w:r>
      <w:r>
        <w:rPr>
          <w:rFonts w:ascii="Barlow Semi Condensed" w:cs="Barlow Semi Condensed" w:eastAsia="Barlow Semi Condensed" w:hAnsi="Barlow Semi Condensed"/>
          <w:b/>
          <w:bCs/>
          <w:sz w:val="24"/>
          <w:szCs w:val="24"/>
        </w:rPr>
        <w:t xml:space="preserve">non è l'opera documentale di 1.762 pagine</w:t>
      </w:r>
      <w:r>
        <w:rPr>
          <w:rFonts w:ascii="Barlow Semi Condensed" w:cs="Barlow Semi Condensed" w:eastAsia="Barlow Semi Condensed" w:hAnsi="Barlow Semi Condensed"/>
          <w:sz w:val="24"/>
          <w:szCs w:val="24"/>
        </w:rPr>
        <w:t xml:space="preserve">, che resta</w:t>
      </w:r>
    </w:p>
    <w:p>
      <w:pPr>
        <w:spacing w:after="120" w:line="276"/>
        <w:jc w:val="both"/>
      </w:pPr>
      <w:r>
        <w:rPr>
          <w:rFonts w:ascii="Barlow Semi Condensed" w:cs="Barlow Semi Condensed" w:eastAsia="Barlow Semi Condensed" w:hAnsi="Barlow Semi Condensed"/>
          <w:sz w:val="24"/>
          <w:szCs w:val="24"/>
        </w:rPr>
        <w:t xml:space="preserve">apparato di consultazione. È il saggio breve che ne nasce: il resoconto di un</w:t>
      </w:r>
    </w:p>
    <w:p>
      <w:pPr>
        <w:spacing w:after="120" w:line="276"/>
        <w:jc w:val="both"/>
      </w:pPr>
      <w:r>
        <w:rPr>
          <w:rFonts w:ascii="Barlow Semi Condensed" w:cs="Barlow Semi Condensed" w:eastAsia="Barlow Semi Condensed" w:hAnsi="Barlow Semi Condensed"/>
          <w:sz w:val="24"/>
          <w:szCs w:val="24"/>
        </w:rPr>
        <w:t xml:space="preserve">esperimento di ricerca storica assistita da intelligenza artificiale condotto sul</w:t>
      </w:r>
    </w:p>
    <w:p>
      <w:pPr>
        <w:spacing w:after="120" w:line="276"/>
        <w:jc w:val="both"/>
      </w:pPr>
      <w:r>
        <w:rPr>
          <w:rFonts w:ascii="Barlow Semi Condensed" w:cs="Barlow Semi Condensed" w:eastAsia="Barlow Semi Condensed" w:hAnsi="Barlow Semi Condensed"/>
          <w:sz w:val="24"/>
          <w:szCs w:val="24"/>
        </w:rPr>
        <w:t xml:space="preserve">caso Moro, e in particolare dei suoi fallimenti metodologici.</w:t>
      </w:r>
    </w:p>
    <w:p>
      <w:pPr>
        <w:spacing w:after="120" w:line="276"/>
        <w:jc w:val="both"/>
      </w:pPr>
      <w:r>
        <w:rPr>
          <w:rFonts w:ascii="Barlow Semi Condensed" w:cs="Barlow Semi Condensed" w:eastAsia="Barlow Semi Condensed" w:hAnsi="Barlow Semi Condensed"/>
          <w:sz w:val="24"/>
          <w:szCs w:val="24"/>
        </w:rPr>
        <w:t xml:space="preserve">**In tutte e tre le proposte la dichiarazione sull'uso dell'intelligenza</w:t>
      </w:r>
    </w:p>
    <w:p>
      <w:pPr>
        <w:spacing w:after="120" w:line="276"/>
        <w:jc w:val="both"/>
      </w:pPr>
      <w:r>
        <w:rPr>
          <w:rFonts w:ascii="Barlow Semi Condensed" w:cs="Barlow Semi Condensed" w:eastAsia="Barlow Semi Condensed" w:hAnsi="Barlow Semi Condensed"/>
          <w:sz w:val="24"/>
          <w:szCs w:val="24"/>
        </w:rPr>
        <w:t xml:space="preserve">artificiale sta in apertura.** Non è cautela: è l'oggetto del libro, e ometterla</w:t>
      </w:r>
    </w:p>
    <w:p>
      <w:pPr>
        <w:spacing w:after="120" w:line="276"/>
        <w:jc w:val="both"/>
      </w:pPr>
      <w:r>
        <w:rPr>
          <w:rFonts w:ascii="Barlow Semi Condensed" w:cs="Barlow Semi Condensed" w:eastAsia="Barlow Semi Condensed" w:hAnsi="Barlow Semi Condensed"/>
          <w:sz w:val="24"/>
          <w:szCs w:val="24"/>
        </w:rPr>
        <w:t xml:space="preserve">significherebbe proporre un altro libro.</w:t>
      </w:r>
    </w:p>
    <w:p>
      <w:pPr>
        <w:spacing w:after="120" w:line="276"/>
        <w:jc w:val="both"/>
      </w:pPr>
      <w:r>
        <w:rPr>
          <w:rFonts w:ascii="Barlow Semi Condensed" w:cs="Barlow Semi Condensed" w:eastAsia="Barlow Semi Condensed" w:hAnsi="Barlow Semi Condensed"/>
          <w:b/>
          <w:bCs/>
          <w:sz w:val="24"/>
          <w:szCs w:val="24"/>
        </w:rPr>
        <w:t xml:space="preserve">Lo stato del lavoro va detto con franchezza</w:t>
      </w:r>
      <w:r>
        <w:rPr>
          <w:rFonts w:ascii="Barlow Semi Condensed" w:cs="Barlow Semi Condensed" w:eastAsia="Barlow Semi Condensed" w:hAnsi="Barlow Semi Condensed"/>
          <w:sz w:val="24"/>
          <w:szCs w:val="24"/>
        </w:rPr>
        <w:t xml:space="preserve">, e con la stessa formula</w:t>
      </w:r>
    </w:p>
    <w:p>
      <w:pPr>
        <w:spacing w:after="120" w:line="276"/>
        <w:jc w:val="both"/>
      </w:pPr>
      <w:r>
        <w:rPr>
          <w:rFonts w:ascii="Barlow Semi Condensed" w:cs="Barlow Semi Condensed" w:eastAsia="Barlow Semi Condensed" w:hAnsi="Barlow Semi Condensed"/>
          <w:sz w:val="24"/>
          <w:szCs w:val="24"/>
        </w:rPr>
        <w:t xml:space="preserve">ovunque: il corpus è completo e verificato, e la </w:t>
      </w:r>
      <w:r>
        <w:rPr>
          <w:rFonts w:ascii="Barlow Semi Condensed" w:cs="Barlow Semi Condensed" w:eastAsia="Barlow Semi Condensed" w:hAnsi="Barlow Semi Condensed"/>
          <w:b/>
          <w:bCs/>
          <w:sz w:val="24"/>
          <w:szCs w:val="24"/>
        </w:rPr>
        <w:t xml:space="preserve">prima stesura del libro è completa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sette parti su sette più il registro di chiusura, rilegate in un volume</w:t>
      </w:r>
    </w:p>
    <w:p>
      <w:pPr>
        <w:spacing w:after="120" w:line="276"/>
        <w:jc w:val="both"/>
      </w:pPr>
      <w:r>
        <w:rPr>
          <w:rFonts w:ascii="Barlow Semi Condensed" w:cs="Barlow Semi Condensed" w:eastAsia="Barlow Semi Condensed" w:hAnsi="Barlow Semi Condensed"/>
          <w:sz w:val="24"/>
          <w:szCs w:val="24"/>
        </w:rPr>
        <w:t xml:space="preserve">unico. </w:t>
      </w:r>
      <w:r>
        <w:rPr>
          <w:rFonts w:ascii="Barlow Semi Condensed" w:cs="Barlow Semi Condensed" w:eastAsia="Barlow Semi Condensed" w:hAnsi="Barlow Semi Condensed"/>
          <w:b/>
          <w:bCs/>
          <w:sz w:val="24"/>
          <w:szCs w:val="24"/>
        </w:rPr>
        <w:t xml:space="preserve">La lunghezza finale è da concordare</w:t>
      </w:r>
      <w:r>
        <w:rPr>
          <w:rFonts w:ascii="Barlow Semi Condensed" w:cs="Barlow Semi Condensed" w:eastAsia="Barlow Semi Condensed" w:hAnsi="Barlow Semi Condensed"/>
          <w:sz w:val="24"/>
          <w:szCs w:val="24"/>
        </w:rPr>
        <w:t xml:space="preserve">: il progetto ne prevedeva 250, la</w:t>
      </w:r>
    </w:p>
    <w:p>
      <w:pPr>
        <w:spacing w:after="120" w:line="276"/>
        <w:jc w:val="both"/>
      </w:pPr>
      <w:r>
        <w:rPr>
          <w:rFonts w:ascii="Barlow Semi Condensed" w:cs="Barlow Semi Condensed" w:eastAsia="Barlow Semi Condensed" w:hAnsi="Barlow Semi Condensed"/>
          <w:sz w:val="24"/>
          <w:szCs w:val="24"/>
        </w:rPr>
        <w:t xml:space="preserve">stesura ne fa quaranta tenute strette, e il materiale per estenderle c'è — il volume sta in </w:t>
      </w:r>
      <w:r>
        <w:rPr>
          <w:rFonts w:ascii="Barlow Semi Condensed" w:cs="Barlow Semi Condensed" w:eastAsia="Barlow Semi Condensed" w:hAnsi="Barlow Semi Condensed"/>
          <w:i/>
          <w:iCs/>
          <w:sz w:val="24"/>
          <w:szCs w:val="24"/>
        </w:rPr>
        <w:t xml:space="preserve">_romanzo/</w:t>
      </w:r>
      <w:r>
        <w:rPr>
          <w:rFonts w:ascii="Barlow Semi Condensed" w:cs="Barlow Semi Condensed" w:eastAsia="Barlow Semi Condensed" w:hAnsi="Barlow Semi Condensed"/>
          <w:sz w:val="24"/>
          <w:szCs w:val="24"/>
        </w:rPr>
        <w:t xml:space="preserve"> in markdown, DOCX e PDF,</w:t>
      </w:r>
    </w:p>
    <w:p>
      <w:pPr>
        <w:spacing w:after="120" w:line="276"/>
        <w:jc w:val="both"/>
      </w:pPr>
      <w:r>
        <w:rPr>
          <w:rFonts w:ascii="Barlow Semi Condensed" w:cs="Barlow Semi Condensed" w:eastAsia="Barlow Semi Condensed" w:hAnsi="Barlow Semi Condensed"/>
          <w:sz w:val="24"/>
          <w:szCs w:val="24"/>
        </w:rPr>
        <w:t xml:space="preserve">con le proprie note di revisione. Questo pesa diversamente presso i tre editori, e</w:t>
      </w:r>
    </w:p>
    <w:p>
      <w:pPr>
        <w:spacing w:after="120" w:line="276"/>
        <w:jc w:val="both"/>
      </w:pPr>
      <w:r>
        <w:rPr>
          <w:rFonts w:ascii="Barlow Semi Condensed" w:cs="Barlow Semi Condensed" w:eastAsia="Barlow Semi Condensed" w:hAnsi="Barlow Semi Condensed"/>
          <w:sz w:val="24"/>
          <w:szCs w:val="24"/>
        </w:rPr>
        <w:t xml:space="preserve">lo si vedrà: a chi chiede un manoscritto finito la stesura completa serve più di</w:t>
      </w:r>
    </w:p>
    <w:p>
      <w:pPr>
        <w:spacing w:after="120" w:line="276"/>
        <w:jc w:val="both"/>
      </w:pPr>
      <w:r>
        <w:rPr>
          <w:rFonts w:ascii="Barlow Semi Condensed" w:cs="Barlow Semi Condensed" w:eastAsia="Barlow Semi Condensed" w:hAnsi="Barlow Semi Condensed"/>
          <w:sz w:val="24"/>
          <w:szCs w:val="24"/>
        </w:rPr>
        <w:t xml:space="preserve">un capitolo, e a chi valuta una collana serve sapere che la misura è negoziabile.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1. Società editrice il Mulino</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sz w:val="24"/>
          <w:szCs w:val="24"/>
        </w:rPr>
        <w:t xml:space="preserve">il Mulino raccoglie le proposte attraverso un </w:t>
      </w:r>
      <w:r>
        <w:rPr>
          <w:rFonts w:ascii="Barlow Semi Condensed" w:cs="Barlow Semi Condensed" w:eastAsia="Barlow Semi Condensed" w:hAnsi="Barlow Semi Condensed"/>
          <w:b/>
          <w:bCs/>
          <w:sz w:val="24"/>
          <w:szCs w:val="24"/>
        </w:rPr>
        <w:t xml:space="preserve">modulo online</w:t>
      </w:r>
      <w:r>
        <w:rPr>
          <w:rFonts w:ascii="Barlow Semi Condensed" w:cs="Barlow Semi Condensed" w:eastAsia="Barlow Semi Condensed" w:hAnsi="Barlow Semi Condensed"/>
          <w:sz w:val="24"/>
          <w:szCs w:val="24"/>
        </w:rPr>
        <w:t xml:space="preserve"> sul proprio sito,</w:t>
      </w:r>
    </w:p>
    <w:p>
      <w:pPr>
        <w:spacing w:after="120" w:line="276"/>
        <w:jc w:val="both"/>
      </w:pPr>
      <w:r>
        <w:rPr>
          <w:rFonts w:ascii="Barlow Semi Condensed" w:cs="Barlow Semi Condensed" w:eastAsia="Barlow Semi Condensed" w:hAnsi="Barlow Semi Condensed"/>
          <w:sz w:val="24"/>
          <w:szCs w:val="24"/>
        </w:rPr>
        <w:t xml:space="preserve">non via email. Richiede registrazione e poi, in campi distinti: </w:t>
      </w:r>
      <w:r>
        <w:rPr>
          <w:rFonts w:ascii="Barlow Semi Condensed" w:cs="Barlow Semi Condensed" w:eastAsia="Barlow Semi Condensed" w:hAnsi="Barlow Semi Condensed"/>
          <w:b/>
          <w:bCs/>
          <w:sz w:val="24"/>
          <w:szCs w:val="24"/>
        </w:rPr>
        <w:t xml:space="preserve">argomento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estratto dell'opera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indice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descrizione estesa</w:t>
      </w:r>
      <w:r>
        <w:rPr>
          <w:rFonts w:ascii="Barlow Semi Condensed" w:cs="Barlow Semi Condensed" w:eastAsia="Barlow Semi Condensed" w:hAnsi="Barlow Semi Condensed"/>
          <w:sz w:val="24"/>
          <w:szCs w:val="24"/>
        </w:rPr>
        <w:t xml:space="preserve">, **pubblico di</w:t>
      </w:r>
    </w:p>
    <w:p>
      <w:pPr>
        <w:spacing w:after="120" w:line="276"/>
        <w:jc w:val="both"/>
      </w:pPr>
      <w:r>
        <w:rPr>
          <w:rFonts w:ascii="Barlow Semi Condensed" w:cs="Barlow Semi Condensed" w:eastAsia="Barlow Semi Condensed" w:hAnsi="Barlow Semi Condensed"/>
          <w:sz w:val="24"/>
          <w:szCs w:val="24"/>
        </w:rPr>
        <w:t xml:space="preserve">riferimento</w:t>
      </w:r>
      <w:r>
        <w:rPr>
          <w:rFonts w:ascii="Barlow Semi Condensed" w:cs="Barlow Semi Condensed" w:eastAsia="Barlow Semi Condensed" w:hAnsi="Barlow Semi Condensed"/>
          <w:b/>
          <w:bCs/>
          <w:sz w:val="24"/>
          <w:szCs w:val="24"/>
        </w:rPr>
        <w:t xml:space="preserve">, </w:t>
      </w:r>
      <w:r>
        <w:rPr>
          <w:rFonts w:ascii="Barlow Semi Condensed" w:cs="Barlow Semi Condensed" w:eastAsia="Barlow Semi Condensed" w:hAnsi="Barlow Semi Condensed"/>
          <w:sz w:val="24"/>
          <w:szCs w:val="24"/>
        </w:rPr>
        <w:t xml:space="preserve">biografia dell'autore**. Quanto segue è già organizzato per</w:t>
      </w:r>
    </w:p>
    <w:p>
      <w:pPr>
        <w:spacing w:after="120" w:line="276"/>
        <w:jc w:val="both"/>
      </w:pPr>
      <w:r>
        <w:rPr>
          <w:rFonts w:ascii="Barlow Semi Condensed" w:cs="Barlow Semi Condensed" w:eastAsia="Barlow Semi Condensed" w:hAnsi="Barlow Semi Condensed"/>
          <w:sz w:val="24"/>
          <w:szCs w:val="24"/>
        </w:rPr>
        <w:t xml:space="preserve">quei campi, pronto da incollare.</w:t>
      </w:r>
    </w:p>
    <w:p>
      <w:pPr>
        <w:pStyle w:val="Heading2"/>
        <w:spacing w:after="100" w:before="200"/>
      </w:pPr>
      <w:r>
        <w:rPr>
          <w:rFonts w:ascii="Barlow Semi Condensed" w:cs="Barlow Semi Condensed" w:eastAsia="Barlow Semi Condensed" w:hAnsi="Barlow Semi Condensed"/>
          <w:sz w:val="24"/>
          <w:szCs w:val="24"/>
        </w:rPr>
        <w:t xml:space="preserve">Angolatura scelta</w:t>
      </w:r>
    </w:p>
    <w:p>
      <w:pPr>
        <w:spacing w:after="120" w:line="276"/>
        <w:jc w:val="both"/>
      </w:pPr>
      <w:r>
        <w:rPr>
          <w:rFonts w:ascii="Barlow Semi Condensed" w:cs="Barlow Semi Condensed" w:eastAsia="Barlow Semi Condensed" w:hAnsi="Barlow Semi Condensed"/>
          <w:sz w:val="24"/>
          <w:szCs w:val="24"/>
        </w:rPr>
        <w:t xml:space="preserve">il Mulino è l'editore della storia repubblicana e del discorso civile. La</w:t>
      </w:r>
    </w:p>
    <w:p>
      <w:pPr>
        <w:spacing w:after="120" w:line="276"/>
        <w:jc w:val="both"/>
      </w:pPr>
      <w:r>
        <w:rPr>
          <w:rFonts w:ascii="Barlow Semi Condensed" w:cs="Barlow Semi Condensed" w:eastAsia="Barlow Semi Condensed" w:hAnsi="Barlow Semi Condensed"/>
          <w:sz w:val="24"/>
          <w:szCs w:val="24"/>
        </w:rPr>
        <w:t xml:space="preserve">proposta punta perciò sul </w:t>
      </w:r>
      <w:r>
        <w:rPr>
          <w:rFonts w:ascii="Barlow Semi Condensed" w:cs="Barlow Semi Condensed" w:eastAsia="Barlow Semi Condensed" w:hAnsi="Barlow Semi Condensed"/>
          <w:b/>
          <w:bCs/>
          <w:sz w:val="24"/>
          <w:szCs w:val="24"/>
        </w:rPr>
        <w:t xml:space="preserve">problema pubblico</w:t>
      </w:r>
      <w:r>
        <w:rPr>
          <w:rFonts w:ascii="Barlow Semi Condensed" w:cs="Barlow Semi Condensed" w:eastAsia="Barlow Semi Condensed" w:hAnsi="Barlow Semi Condensed"/>
          <w:sz w:val="24"/>
          <w:szCs w:val="24"/>
        </w:rPr>
        <w:t xml:space="preserve">: come si difende un fatto dalla</w:t>
      </w:r>
    </w:p>
    <w:p>
      <w:pPr>
        <w:spacing w:after="120" w:line="276"/>
        <w:jc w:val="both"/>
      </w:pPr>
      <w:r>
        <w:rPr>
          <w:rFonts w:ascii="Barlow Semi Condensed" w:cs="Barlow Semi Condensed" w:eastAsia="Barlow Semi Condensed" w:hAnsi="Barlow Semi Condensed"/>
          <w:sz w:val="24"/>
          <w:szCs w:val="24"/>
        </w:rPr>
        <w:t xml:space="preserve">dietrologia, e che cosa succede quando lo strumento che si usa per difenderlo è</w:t>
      </w:r>
    </w:p>
    <w:p>
      <w:pPr>
        <w:spacing w:after="120" w:line="276"/>
        <w:jc w:val="both"/>
      </w:pPr>
      <w:r>
        <w:rPr>
          <w:rFonts w:ascii="Barlow Semi Condensed" w:cs="Barlow Semi Condensed" w:eastAsia="Barlow Semi Condensed" w:hAnsi="Barlow Semi Condensed"/>
          <w:sz w:val="24"/>
          <w:szCs w:val="24"/>
        </w:rPr>
        <w:t xml:space="preserve">una macchina che, lasciata libera, la dietrologia la produce.</w:t>
      </w:r>
    </w:p>
    <w:p>
      <w:pPr>
        <w:pStyle w:val="Heading3"/>
        <w:spacing w:after="80" w:before="160"/>
      </w:pPr>
      <w:r>
        <w:rPr>
          <w:rFonts w:ascii="Barlow Semi Condensed" w:cs="Barlow Semi Condensed" w:eastAsia="Barlow Semi Condensed" w:hAnsi="Barlow Semi Condensed"/>
          <w:sz w:val="24"/>
          <w:szCs w:val="24"/>
        </w:rPr>
        <w:t xml:space="preserve">Argomento</w:t>
      </w:r>
    </w:p>
    <w:p>
      <w:pPr>
        <w:spacing w:after="120" w:line="276"/>
        <w:jc w:val="both"/>
      </w:pPr>
      <w:r>
        <w:rPr>
          <w:rFonts w:ascii="Barlow Semi Condensed" w:cs="Barlow Semi Condensed" w:eastAsia="Barlow Semi Condensed" w:hAnsi="Barlow Semi Condensed"/>
          <w:sz w:val="24"/>
          <w:szCs w:val="24"/>
        </w:rPr>
        <w:t xml:space="preserve">Storia contemporanea italiana; metodologia della ricerca storica; cultura</w:t>
      </w:r>
    </w:p>
    <w:p>
      <w:pPr>
        <w:spacing w:after="120" w:line="276"/>
        <w:jc w:val="both"/>
      </w:pPr>
      <w:r>
        <w:rPr>
          <w:rFonts w:ascii="Barlow Semi Condensed" w:cs="Barlow Semi Condensed" w:eastAsia="Barlow Semi Condensed" w:hAnsi="Barlow Semi Condensed"/>
          <w:sz w:val="24"/>
          <w:szCs w:val="24"/>
        </w:rPr>
        <w:t xml:space="preserve">digitale.</w:t>
      </w:r>
    </w:p>
    <w:p>
      <w:pPr>
        <w:pStyle w:val="Heading3"/>
        <w:spacing w:after="80" w:before="160"/>
      </w:pPr>
      <w:r>
        <w:rPr>
          <w:rFonts w:ascii="Barlow Semi Condensed" w:cs="Barlow Semi Condensed" w:eastAsia="Barlow Semi Condensed" w:hAnsi="Barlow Semi Condensed"/>
          <w:sz w:val="24"/>
          <w:szCs w:val="24"/>
        </w:rPr>
        <w:t xml:space="preserve">Titolo proposto</w:t>
      </w:r>
    </w:p>
    <w:p>
      <w:pPr>
        <w:spacing w:after="120" w:line="276"/>
        <w:jc w:val="both"/>
      </w:pPr>
      <w:r>
        <w:rPr>
          <w:rFonts w:ascii="Barlow Semi Condensed" w:cs="Barlow Semi Condensed" w:eastAsia="Barlow Semi Condensed" w:hAnsi="Barlow Semi Condensed"/>
          <w:sz w:val="24"/>
          <w:szCs w:val="24"/>
        </w:rPr>
        <w:t xml:space="preserve">**Il buco misurato. Che cosa trova una macchina quando la si mette a cercare</w:t>
      </w:r>
    </w:p>
    <w:p>
      <w:pPr>
        <w:spacing w:after="120" w:line="276"/>
        <w:jc w:val="both"/>
      </w:pPr>
      <w:r>
        <w:rPr>
          <w:rFonts w:ascii="Barlow Semi Condensed" w:cs="Barlow Semi Condensed" w:eastAsia="Barlow Semi Condensed" w:hAnsi="Barlow Semi Condensed"/>
          <w:sz w:val="24"/>
          <w:szCs w:val="24"/>
        </w:rPr>
        <w:t xml:space="preserve">nel caso Moro**</w:t>
      </w:r>
    </w:p>
    <w:p>
      <w:pPr>
        <w:pStyle w:val="Heading3"/>
        <w:spacing w:after="80" w:before="160"/>
      </w:pPr>
      <w:r>
        <w:rPr>
          <w:rFonts w:ascii="Barlow Semi Condensed" w:cs="Barlow Semi Condensed" w:eastAsia="Barlow Semi Condensed" w:hAnsi="Barlow Semi Condensed"/>
          <w:sz w:val="24"/>
          <w:szCs w:val="24"/>
        </w:rPr>
        <w:t xml:space="preserve">Descrizione estesa</w:t>
      </w:r>
    </w:p>
    <w:p>
      <w:pPr>
        <w:spacing w:after="120" w:line="276"/>
        <w:jc w:val="both"/>
      </w:pPr>
      <w:r>
        <w:rPr>
          <w:rFonts w:ascii="Barlow Semi Condensed" w:cs="Barlow Semi Condensed" w:eastAsia="Barlow Semi Condensed" w:hAnsi="Barlow Semi Condensed"/>
          <w:sz w:val="24"/>
          <w:szCs w:val="24"/>
        </w:rPr>
        <w:t xml:space="preserve">Il caso Moro è insieme il caso più documentato e il più infestato dalla</w:t>
      </w:r>
    </w:p>
    <w:p>
      <w:pPr>
        <w:spacing w:after="120" w:line="276"/>
        <w:jc w:val="both"/>
      </w:pPr>
      <w:r>
        <w:rPr>
          <w:rFonts w:ascii="Barlow Semi Condensed" w:cs="Barlow Semi Condensed" w:eastAsia="Barlow Semi Condensed" w:hAnsi="Barlow Semi Condensed"/>
          <w:sz w:val="24"/>
          <w:szCs w:val="24"/>
        </w:rPr>
        <w:t xml:space="preserve">dietrologia della storia repubblicana. Su di esso esiste una biblioteca di atti</w:t>
      </w:r>
    </w:p>
    <w:p>
      <w:pPr>
        <w:spacing w:after="120" w:line="276"/>
        <w:jc w:val="both"/>
      </w:pPr>
      <w:r>
        <w:rPr>
          <w:rFonts w:ascii="Barlow Semi Condensed" w:cs="Barlow Semi Condensed" w:eastAsia="Barlow Semi Condensed" w:hAnsi="Barlow Semi Condensed"/>
          <w:sz w:val="24"/>
          <w:szCs w:val="24"/>
        </w:rPr>
        <w:t xml:space="preserve">giudiziari, relazioni parlamentari e fondi archivistici; e sopra quella</w:t>
      </w:r>
    </w:p>
    <w:p>
      <w:pPr>
        <w:spacing w:after="120" w:line="276"/>
        <w:jc w:val="both"/>
      </w:pPr>
      <w:r>
        <w:rPr>
          <w:rFonts w:ascii="Barlow Semi Condensed" w:cs="Barlow Semi Condensed" w:eastAsia="Barlow Semi Condensed" w:hAnsi="Barlow Semi Condensed"/>
          <w:sz w:val="24"/>
          <w:szCs w:val="24"/>
        </w:rPr>
        <w:t xml:space="preserve">biblioteca è cresciuta una letteratura che prospera esattamente dove la</w:t>
      </w:r>
    </w:p>
    <w:p>
      <w:pPr>
        <w:spacing w:after="120" w:line="276"/>
        <w:jc w:val="both"/>
      </w:pPr>
      <w:r>
        <w:rPr>
          <w:rFonts w:ascii="Barlow Semi Condensed" w:cs="Barlow Semi Condensed" w:eastAsia="Barlow Semi Condensed" w:hAnsi="Barlow Semi Condensed"/>
          <w:sz w:val="24"/>
          <w:szCs w:val="24"/>
        </w:rPr>
        <w:t xml:space="preserve">documentazione tace.</w:t>
      </w:r>
    </w:p>
    <w:p>
      <w:pPr>
        <w:spacing w:after="120" w:line="276"/>
        <w:jc w:val="both"/>
      </w:pPr>
      <w:r>
        <w:rPr>
          <w:rFonts w:ascii="Barlow Semi Condensed" w:cs="Barlow Semi Condensed" w:eastAsia="Barlow Semi Condensed" w:hAnsi="Barlow Semi Condensed"/>
          <w:sz w:val="24"/>
          <w:szCs w:val="24"/>
        </w:rPr>
        <w:t xml:space="preserve">Nel 2026 ho condotto un esperimento: mettere sistemi di intelligenza artificiale</w:t>
      </w:r>
    </w:p>
    <w:p>
      <w:pPr>
        <w:spacing w:after="120" w:line="276"/>
        <w:jc w:val="both"/>
      </w:pPr>
      <w:r>
        <w:rPr>
          <w:rFonts w:ascii="Barlow Semi Condensed" w:cs="Barlow Semi Condensed" w:eastAsia="Barlow Semi Condensed" w:hAnsi="Barlow Semi Condensed"/>
          <w:sz w:val="24"/>
          <w:szCs w:val="24"/>
        </w:rPr>
        <w:t xml:space="preserve">a lavorare su quel materiale, con una disciplina metodologica vincolante, scritta</w:t>
      </w:r>
    </w:p>
    <w:p>
      <w:pPr>
        <w:spacing w:after="120" w:line="276"/>
        <w:jc w:val="both"/>
      </w:pPr>
      <w:r>
        <w:rPr>
          <w:rFonts w:ascii="Barlow Semi Condensed" w:cs="Barlow Semi Condensed" w:eastAsia="Barlow Semi Condensed" w:hAnsi="Barlow Semi Condensed"/>
          <w:sz w:val="24"/>
          <w:szCs w:val="24"/>
        </w:rPr>
        <w:t xml:space="preserve">prima di ciascun lotto e riscritta ogni volta che un lotto la incrinava — un</w:t>
      </w:r>
    </w:p>
    <w:p>
      <w:pPr>
        <w:spacing w:after="120" w:line="276"/>
        <w:jc w:val="both"/>
      </w:pPr>
      <w:r>
        <w:rPr>
          <w:rFonts w:ascii="Barlow Semi Condensed" w:cs="Barlow Semi Condensed" w:eastAsia="Barlow Semi Condensed" w:hAnsi="Barlow Semi Condensed"/>
          <w:sz w:val="24"/>
          <w:szCs w:val="24"/>
        </w:rPr>
        <w:t xml:space="preserve">legame è reale solo se un</w:t>
      </w:r>
    </w:p>
    <w:p>
      <w:pPr>
        <w:spacing w:after="120" w:line="276"/>
        <w:jc w:val="both"/>
      </w:pPr>
      <w:r>
        <w:rPr>
          <w:rFonts w:ascii="Barlow Semi Condensed" w:cs="Barlow Semi Condensed" w:eastAsia="Barlow Semi Condensed" w:hAnsi="Barlow Semi Condensed"/>
          <w:sz w:val="24"/>
          <w:szCs w:val="24"/>
        </w:rPr>
        <w:t xml:space="preserve">documento di provenienza nomina entrambe le parti; la contemporaneità non è prova</w:t>
      </w:r>
    </w:p>
    <w:p>
      <w:pPr>
        <w:spacing w:after="120" w:line="276"/>
        <w:jc w:val="both"/>
      </w:pPr>
      <w:r>
        <w:rPr>
          <w:rFonts w:ascii="Barlow Semi Condensed" w:cs="Barlow Semi Condensed" w:eastAsia="Barlow Semi Condensed" w:hAnsi="Barlow Semi Condensed"/>
          <w:sz w:val="24"/>
          <w:szCs w:val="24"/>
        </w:rPr>
        <w:t xml:space="preserve">di nesso; l'appartenenza a un'organizzazione non è prova di condotta; nessuna</w:t>
      </w:r>
    </w:p>
    <w:p>
      <w:pPr>
        <w:spacing w:after="120" w:line="276"/>
        <w:jc w:val="both"/>
      </w:pPr>
      <w:r>
        <w:rPr>
          <w:rFonts w:ascii="Barlow Semi Condensed" w:cs="Barlow Semi Condensed" w:eastAsia="Barlow Semi Condensed" w:hAnsi="Barlow Semi Condensed"/>
          <w:sz w:val="24"/>
          <w:szCs w:val="24"/>
        </w:rPr>
        <w:t xml:space="preserve">persona è indicata come responsabile oltre il giudicato definitivo. Il risultato</w:t>
      </w:r>
    </w:p>
    <w:p>
      <w:pPr>
        <w:spacing w:after="120" w:line="276"/>
        <w:jc w:val="both"/>
      </w:pPr>
      <w:r>
        <w:rPr>
          <w:rFonts w:ascii="Barlow Semi Condensed" w:cs="Barlow Semi Condensed" w:eastAsia="Barlow Semi Condensed" w:hAnsi="Barlow Semi Condensed"/>
          <w:sz w:val="24"/>
          <w:szCs w:val="24"/>
        </w:rPr>
        <w:t xml:space="preserve">è un corpus di quasi ottomila «blocchi mirati», cioè bersagli di ricerca e non</w:t>
      </w:r>
    </w:p>
    <w:p>
      <w:pPr>
        <w:spacing w:after="120" w:line="276"/>
        <w:jc w:val="both"/>
      </w:pPr>
      <w:r>
        <w:rPr>
          <w:rFonts w:ascii="Barlow Semi Condensed" w:cs="Barlow Semi Condensed" w:eastAsia="Barlow Semi Condensed" w:hAnsi="Barlow Semi Condensed"/>
          <w:sz w:val="24"/>
          <w:szCs w:val="24"/>
        </w:rPr>
        <w:t xml:space="preserve">affermazioni.</w:t>
      </w:r>
    </w:p>
    <w:p>
      <w:pPr>
        <w:spacing w:after="120" w:line="276"/>
        <w:jc w:val="both"/>
      </w:pPr>
      <w:r>
        <w:rPr>
          <w:rFonts w:ascii="Barlow Semi Condensed" w:cs="Barlow Semi Condensed" w:eastAsia="Barlow Semi Condensed" w:hAnsi="Barlow Semi Condensed"/>
          <w:sz w:val="24"/>
          <w:szCs w:val="24"/>
        </w:rPr>
        <w:t xml:space="preserve">Quella disciplina governa tredici dei quattordici Libri del corpus. Il</w:t>
      </w:r>
    </w:p>
    <w:p>
      <w:pPr>
        <w:spacing w:after="120" w:line="276"/>
        <w:jc w:val="both"/>
      </w:pPr>
      <w:r>
        <w:rPr>
          <w:rFonts w:ascii="Barlow Semi Condensed" w:cs="Barlow Semi Condensed" w:eastAsia="Barlow Semi Condensed" w:hAnsi="Barlow Semi Condensed"/>
          <w:sz w:val="24"/>
          <w:szCs w:val="24"/>
        </w:rPr>
        <w:t xml:space="preserve">quattordicesimo — un dossier d'autore anteriore, conservato per intero anziché</w:t>
      </w:r>
    </w:p>
    <w:p>
      <w:pPr>
        <w:spacing w:after="120" w:line="276"/>
        <w:jc w:val="both"/>
      </w:pPr>
      <w:r>
        <w:rPr>
          <w:rFonts w:ascii="Barlow Semi Condensed" w:cs="Barlow Semi Condensed" w:eastAsia="Barlow Semi Condensed" w:hAnsi="Barlow Semi Condensed"/>
          <w:sz w:val="24"/>
          <w:szCs w:val="24"/>
        </w:rPr>
        <w:t xml:space="preserve">riscritto — nella seconda metà la congeda dichiaratamente e ordina secondo la</w:t>
      </w:r>
    </w:p>
    <w:p>
      <w:pPr>
        <w:spacing w:after="120" w:line="276"/>
        <w:jc w:val="both"/>
      </w:pPr>
      <w:r>
        <w:rPr>
          <w:rFonts w:ascii="Barlow Semi Condensed" w:cs="Barlow Semi Condensed" w:eastAsia="Barlow Semi Condensed" w:hAnsi="Barlow Semi Condensed"/>
          <w:sz w:val="24"/>
          <w:szCs w:val="24"/>
        </w:rPr>
        <w:t xml:space="preserve">plausibilità del coinvolgimento, per categorie di soggetti e non per nomi</w:t>
      </w:r>
    </w:p>
    <w:p>
      <w:pPr>
        <w:spacing w:after="120" w:line="276"/>
        <w:jc w:val="both"/>
      </w:pPr>
      <w:r>
        <w:rPr>
          <w:rFonts w:ascii="Barlow Semi Condensed" w:cs="Barlow Semi Condensed" w:eastAsia="Barlow Semi Condensed" w:hAnsi="Barlow Semi Condensed"/>
          <w:sz w:val="24"/>
          <w:szCs w:val="24"/>
        </w:rPr>
        <w:t xml:space="preserve">individuali. È l'unica deroga, è registrata nella disciplina in copertina</w:t>
      </w:r>
    </w:p>
    <w:p>
      <w:pPr>
        <w:spacing w:after="120" w:line="276"/>
        <w:jc w:val="both"/>
      </w:pPr>
      <w:r>
        <w:rPr>
          <w:rFonts w:ascii="Barlow Semi Condensed" w:cs="Barlow Semi Condensed" w:eastAsia="Barlow Semi Condensed" w:hAnsi="Barlow Semi Condensed"/>
          <w:sz w:val="24"/>
          <w:szCs w:val="24"/>
        </w:rPr>
        <w:t xml:space="preserve">dell'opera, e il saggio che propongo non la riprende.</w:t>
      </w:r>
    </w:p>
    <w:p>
      <w:pPr>
        <w:spacing w:after="120" w:line="276"/>
        <w:jc w:val="both"/>
      </w:pPr>
      <w:r>
        <w:rPr>
          <w:rFonts w:ascii="Barlow Semi Condensed" w:cs="Barlow Semi Condensed" w:eastAsia="Barlow Semi Condensed" w:hAnsi="Barlow Semi Condensed"/>
          <w:sz w:val="24"/>
          <w:szCs w:val="24"/>
        </w:rPr>
        <w:t xml:space="preserve">Questo libro non è quel corpus. È il resoconto dell'esperimento, e la sua tesi è</w:t>
      </w:r>
    </w:p>
    <w:p>
      <w:pPr>
        <w:spacing w:after="120" w:line="276"/>
        <w:jc w:val="both"/>
      </w:pPr>
      <w:r>
        <w:rPr>
          <w:rFonts w:ascii="Barlow Semi Condensed" w:cs="Barlow Semi Condensed" w:eastAsia="Barlow Semi Condensed" w:hAnsi="Barlow Semi Condensed"/>
          <w:sz w:val="24"/>
          <w:szCs w:val="24"/>
        </w:rPr>
        <w:t xml:space="preserve">scomoda per entrambi i partiti del dibattito corrente: **una macchina messa a</w:t>
      </w:r>
    </w:p>
    <w:p>
      <w:pPr>
        <w:spacing w:after="120" w:line="276"/>
        <w:jc w:val="both"/>
      </w:pPr>
      <w:r>
        <w:rPr>
          <w:rFonts w:ascii="Barlow Semi Condensed" w:cs="Barlow Semi Condensed" w:eastAsia="Barlow Semi Condensed" w:hAnsi="Barlow Semi Condensed"/>
          <w:sz w:val="24"/>
          <w:szCs w:val="24"/>
        </w:rPr>
        <w:t xml:space="preserve">cercare connessioni le trova sempre**, e la sola cosa che glielo impedisce è una</w:t>
      </w:r>
    </w:p>
    <w:p>
      <w:pPr>
        <w:spacing w:after="120" w:line="276"/>
        <w:jc w:val="both"/>
      </w:pPr>
      <w:r>
        <w:rPr>
          <w:rFonts w:ascii="Barlow Semi Condensed" w:cs="Barlow Semi Condensed" w:eastAsia="Barlow Semi Condensed" w:hAnsi="Barlow Semi Condensed"/>
          <w:sz w:val="24"/>
          <w:szCs w:val="24"/>
        </w:rPr>
        <w:t xml:space="preserve">disciplina scritta prima da un essere umano. Ma — ed è il punto che rende il</w:t>
      </w:r>
    </w:p>
    <w:p>
      <w:pPr>
        <w:spacing w:after="120" w:line="276"/>
        <w:jc w:val="both"/>
      </w:pPr>
      <w:r>
        <w:rPr>
          <w:rFonts w:ascii="Barlow Semi Condensed" w:cs="Barlow Semi Condensed" w:eastAsia="Barlow Semi Condensed" w:hAnsi="Barlow Semi Condensed"/>
          <w:sz w:val="24"/>
          <w:szCs w:val="24"/>
        </w:rPr>
        <w:t xml:space="preserve">libro civile e non tecnico — **quella disciplina è la stessa che serve a un</w:t>
      </w:r>
    </w:p>
    <w:p>
      <w:pPr>
        <w:spacing w:after="120" w:line="276"/>
        <w:jc w:val="both"/>
      </w:pPr>
      <w:r>
        <w:rPr>
          <w:rFonts w:ascii="Barlow Semi Condensed" w:cs="Barlow Semi Condensed" w:eastAsia="Barlow Semi Condensed" w:hAnsi="Barlow Semi Condensed"/>
          <w:sz w:val="24"/>
          <w:szCs w:val="24"/>
        </w:rPr>
        <w:t xml:space="preserve">lettore, a un giornalista o a una commissione parlamentare**. La macchina non</w:t>
      </w:r>
    </w:p>
    <w:p>
      <w:pPr>
        <w:spacing w:after="120" w:line="276"/>
        <w:jc w:val="both"/>
      </w:pPr>
      <w:r>
        <w:rPr>
          <w:rFonts w:ascii="Barlow Semi Condensed" w:cs="Barlow Semi Condensed" w:eastAsia="Barlow Semi Condensed" w:hAnsi="Barlow Semi Condensed"/>
          <w:sz w:val="24"/>
          <w:szCs w:val="24"/>
        </w:rPr>
        <w:t xml:space="preserve">introduce un problema nuovo: rende visibile, ingrandito e misurabile, il</w:t>
      </w:r>
    </w:p>
    <w:p>
      <w:pPr>
        <w:spacing w:after="120" w:line="276"/>
        <w:jc w:val="both"/>
      </w:pPr>
      <w:r>
        <w:rPr>
          <w:rFonts w:ascii="Barlow Semi Condensed" w:cs="Barlow Semi Condensed" w:eastAsia="Barlow Semi Condensed" w:hAnsi="Barlow Semi Condensed"/>
          <w:sz w:val="24"/>
          <w:szCs w:val="24"/>
        </w:rPr>
        <w:t xml:space="preserve">problema che la dietrologia italiana ha sempre avuto.</w:t>
      </w:r>
    </w:p>
    <w:p>
      <w:pPr>
        <w:spacing w:after="120" w:line="276"/>
        <w:jc w:val="both"/>
      </w:pPr>
      <w:r>
        <w:rPr>
          <w:rFonts w:ascii="Barlow Semi Condensed" w:cs="Barlow Semi Condensed" w:eastAsia="Barlow Semi Condensed" w:hAnsi="Barlow Semi Condensed"/>
          <w:sz w:val="24"/>
          <w:szCs w:val="24"/>
        </w:rPr>
        <w:t xml:space="preserve">Il libro procede per sette casi concreti, ciascuno con il suo documento. Fra</w:t>
      </w:r>
    </w:p>
    <w:p>
      <w:pPr>
        <w:spacing w:after="120" w:line="276"/>
        <w:jc w:val="both"/>
      </w:pPr>
      <w:r>
        <w:rPr>
          <w:rFonts w:ascii="Barlow Semi Condensed" w:cs="Barlow Semi Condensed" w:eastAsia="Barlow Semi Condensed" w:hAnsi="Barlow Semi Condensed"/>
          <w:sz w:val="24"/>
          <w:szCs w:val="24"/>
        </w:rPr>
        <w:t xml:space="preserve">questi: una frase attribuita a Henry Kissinger e ripetuta da decine di fonti</w:t>
      </w:r>
    </w:p>
    <w:p>
      <w:pPr>
        <w:spacing w:after="120" w:line="276"/>
        <w:jc w:val="both"/>
      </w:pPr>
      <w:r>
        <w:rPr>
          <w:rFonts w:ascii="Barlow Semi Condensed" w:cs="Barlow Semi Condensed" w:eastAsia="Barlow Semi Condensed" w:hAnsi="Barlow Semi Condensed"/>
          <w:sz w:val="24"/>
          <w:szCs w:val="24"/>
        </w:rPr>
        <w:t xml:space="preserve">risulta, a spoglio, discendere da un unico lancio d'agenzia del 30 novembre 2023</w:t>
      </w:r>
    </w:p>
    <w:p>
      <w:pPr>
        <w:spacing w:after="120" w:line="276"/>
        <w:jc w:val="both"/>
      </w:pPr>
      <w:r>
        <w:rPr>
          <w:rFonts w:ascii="Barlow Semi Condensed" w:cs="Barlow Semi Condensed" w:eastAsia="Barlow Semi Condensed" w:hAnsi="Barlow Semi Condensed"/>
          <w:sz w:val="24"/>
          <w:szCs w:val="24"/>
        </w:rPr>
        <w:t xml:space="preserve">— cento riprese di una sola origine restano una sola fonte. Il verbale dello</w:t>
      </w:r>
    </w:p>
    <w:p>
      <w:pPr>
        <w:spacing w:after="120" w:line="276"/>
        <w:jc w:val="both"/>
      </w:pPr>
      <w:r>
        <w:rPr>
          <w:rFonts w:ascii="Barlow Semi Condensed" w:cs="Barlow Semi Condensed" w:eastAsia="Barlow Semi Condensed" w:hAnsi="Barlow Semi Condensed"/>
          <w:sz w:val="24"/>
          <w:szCs w:val="24"/>
        </w:rPr>
        <w:t xml:space="preserve">Studio Ovale del 25 settembre 1974, correntemente citato come la prova</w:t>
      </w:r>
    </w:p>
    <w:p>
      <w:pPr>
        <w:spacing w:after="120" w:line="276"/>
        <w:jc w:val="both"/>
      </w:pPr>
      <w:r>
        <w:rPr>
          <w:rFonts w:ascii="Barlow Semi Condensed" w:cs="Barlow Semi Condensed" w:eastAsia="Barlow Semi Condensed" w:hAnsi="Barlow Semi Condensed"/>
          <w:sz w:val="24"/>
          <w:szCs w:val="24"/>
        </w:rPr>
        <w:t xml:space="preserve">documentale di un ultimatum ad Aldo Moro, </w:t>
      </w:r>
      <w:r>
        <w:rPr>
          <w:rFonts w:ascii="Barlow Semi Condensed" w:cs="Barlow Semi Condensed" w:eastAsia="Barlow Semi Condensed" w:hAnsi="Barlow Semi Condensed"/>
          <w:b/>
          <w:bCs/>
          <w:sz w:val="24"/>
          <w:szCs w:val="24"/>
        </w:rPr>
        <w:t xml:space="preserve">non lo contiene</w:t>
      </w:r>
      <w:r>
        <w:rPr>
          <w:rFonts w:ascii="Barlow Semi Condensed" w:cs="Barlow Semi Condensed" w:eastAsia="Barlow Semi Condensed" w:hAnsi="Barlow Semi Condensed"/>
          <w:sz w:val="24"/>
          <w:szCs w:val="24"/>
        </w:rPr>
        <w:t xml:space="preserve">: la verifica è</w:t>
      </w:r>
    </w:p>
    <w:p>
      <w:pPr>
        <w:spacing w:after="120" w:line="276"/>
        <w:jc w:val="both"/>
      </w:pPr>
      <w:r>
        <w:rPr>
          <w:rFonts w:ascii="Barlow Semi Condensed" w:cs="Barlow Semi Condensed" w:eastAsia="Barlow Semi Condensed" w:hAnsi="Barlow Semi Condensed"/>
          <w:sz w:val="24"/>
          <w:szCs w:val="24"/>
        </w:rPr>
        <w:t xml:space="preserve">banale e non risulta pubblicata in questa forma. E di quel colloquio esiste un</w:t>
      </w:r>
    </w:p>
    <w:p>
      <w:pPr>
        <w:spacing w:after="120" w:line="276"/>
        <w:jc w:val="both"/>
      </w:pPr>
      <w:r>
        <w:rPr>
          <w:rFonts w:ascii="Barlow Semi Condensed" w:cs="Barlow Semi Condensed" w:eastAsia="Barlow Semi Condensed" w:hAnsi="Barlow Semi Condensed"/>
          <w:sz w:val="24"/>
          <w:szCs w:val="24"/>
        </w:rPr>
        <w:t xml:space="preserve">solo versante, quello statunitense: l'appunto italiano dello stesso incontro non</w:t>
      </w:r>
    </w:p>
    <w:p>
      <w:pPr>
        <w:spacing w:after="120" w:line="276"/>
        <w:jc w:val="both"/>
      </w:pPr>
      <w:r>
        <w:rPr>
          <w:rFonts w:ascii="Barlow Semi Condensed" w:cs="Barlow Semi Condensed" w:eastAsia="Barlow Semi Condensed" w:hAnsi="Barlow Semi Condensed"/>
          <w:sz w:val="24"/>
          <w:szCs w:val="24"/>
        </w:rPr>
        <w:t xml:space="preserve">risulta essere mai stato cercato.</w:t>
      </w:r>
    </w:p>
    <w:p>
      <w:pPr>
        <w:spacing w:after="120" w:line="276"/>
        <w:jc w:val="both"/>
      </w:pPr>
      <w:r>
        <w:rPr>
          <w:rFonts w:ascii="Barlow Semi Condensed" w:cs="Barlow Semi Condensed" w:eastAsia="Barlow Semi Condensed" w:hAnsi="Barlow Semi Condensed"/>
          <w:sz w:val="24"/>
          <w:szCs w:val="24"/>
        </w:rPr>
        <w:t xml:space="preserve">Il caso Moro funziona qui come </w:t>
      </w:r>
      <w:r>
        <w:rPr>
          <w:rFonts w:ascii="Barlow Semi Condensed" w:cs="Barlow Semi Condensed" w:eastAsia="Barlow Semi Condensed" w:hAnsi="Barlow Semi Condensed"/>
          <w:b/>
          <w:bCs/>
          <w:sz w:val="24"/>
          <w:szCs w:val="24"/>
        </w:rPr>
        <w:t xml:space="preserve">banco di prova e non come oggetto</w:t>
      </w:r>
      <w:r>
        <w:rPr>
          <w:rFonts w:ascii="Barlow Semi Condensed" w:cs="Barlow Semi Condensed" w:eastAsia="Barlow Semi Condensed" w:hAnsi="Barlow Semi Condensed"/>
          <w:sz w:val="24"/>
          <w:szCs w:val="24"/>
        </w:rPr>
        <w:t xml:space="preserve">. Il libro</w:t>
      </w:r>
    </w:p>
    <w:p>
      <w:pPr>
        <w:spacing w:after="120" w:line="276"/>
        <w:jc w:val="both"/>
      </w:pPr>
      <w:r>
        <w:rPr>
          <w:rFonts w:ascii="Barlow Semi Condensed" w:cs="Barlow Semi Condensed" w:eastAsia="Barlow Semi Condensed" w:hAnsi="Barlow Semi Condensed"/>
          <w:sz w:val="24"/>
          <w:szCs w:val="24"/>
        </w:rPr>
        <w:t xml:space="preserve">non propone alcuna tesi sul 1978, non rivela nulla e non indica alcun</w:t>
      </w:r>
    </w:p>
    <w:p>
      <w:pPr>
        <w:spacing w:after="120" w:line="276"/>
        <w:jc w:val="both"/>
      </w:pPr>
      <w:r>
        <w:rPr>
          <w:rFonts w:ascii="Barlow Semi Condensed" w:cs="Barlow Semi Condensed" w:eastAsia="Barlow Semi Condensed" w:hAnsi="Barlow Semi Condensed"/>
          <w:sz w:val="24"/>
          <w:szCs w:val="24"/>
        </w:rPr>
        <w:t xml:space="preserve">responsabile. Serve perché è documentatissimo, perché la sua letteratura è</w:t>
      </w:r>
    </w:p>
    <w:p>
      <w:pPr>
        <w:spacing w:after="120" w:line="276"/>
        <w:jc w:val="both"/>
      </w:pPr>
      <w:r>
        <w:rPr>
          <w:rFonts w:ascii="Barlow Semi Condensed" w:cs="Barlow Semi Condensed" w:eastAsia="Barlow Semi Condensed" w:hAnsi="Barlow Semi Condensed"/>
          <w:sz w:val="24"/>
          <w:szCs w:val="24"/>
        </w:rPr>
        <w:t xml:space="preserve">tossica, e perché ogni lettore italiano riconosce quando un ragionamento su di</w:t>
      </w:r>
    </w:p>
    <w:p>
      <w:pPr>
        <w:spacing w:after="120" w:line="276"/>
        <w:jc w:val="both"/>
      </w:pPr>
      <w:r>
        <w:rPr>
          <w:rFonts w:ascii="Barlow Semi Condensed" w:cs="Barlow Semi Condensed" w:eastAsia="Barlow Semi Condensed" w:hAnsi="Barlow Semi Condensed"/>
          <w:sz w:val="24"/>
          <w:szCs w:val="24"/>
        </w:rPr>
        <w:t xml:space="preserve">esso sta scivolando.</w:t>
      </w:r>
    </w:p>
    <w:p>
      <w:pPr>
        <w:pStyle w:val="Heading3"/>
        <w:spacing w:after="80" w:before="160"/>
      </w:pPr>
      <w:r>
        <w:rPr>
          <w:rFonts w:ascii="Barlow Semi Condensed" w:cs="Barlow Semi Condensed" w:eastAsia="Barlow Semi Condensed" w:hAnsi="Barlow Semi Condensed"/>
          <w:sz w:val="24"/>
          <w:szCs w:val="24"/>
        </w:rPr>
        <w:t xml:space="preserve">Indice proposto</w:t>
      </w:r>
    </w:p>
    <w:p>
      <w:pPr>
        <w:spacing w:after="40"/>
        <w:ind w:left="360"/>
        <w:jc w:val="both"/>
      </w:pPr>
      <w:r>
        <w:rPr>
          <w:rFonts w:ascii="Barlow Semi Condensed" w:cs="Barlow Semi Condensed" w:eastAsia="Barlow Semi Condensed" w:hAnsi="Barlow Semi Condensed"/>
          <w:sz w:val="24"/>
          <w:szCs w:val="24"/>
        </w:rPr>
        <w:t xml:space="preserve">1. La regola scritta prima — perché una disciplina si fissa quando non serve ancora</w:t>
      </w:r>
    </w:p>
    <w:p>
      <w:pPr>
        <w:spacing w:after="40"/>
        <w:ind w:left="360"/>
        <w:jc w:val="both"/>
      </w:pPr>
      <w:r>
        <w:rPr>
          <w:rFonts w:ascii="Barlow Semi Condensed" w:cs="Barlow Semi Condensed" w:eastAsia="Barlow Semi Condensed" w:hAnsi="Barlow Semi Condensed"/>
          <w:sz w:val="24"/>
          <w:szCs w:val="24"/>
        </w:rPr>
        <w:t xml:space="preserve">2. I tre piani — documento, convergenza, diceria: e perché solo il primo è un ponte</w:t>
      </w:r>
    </w:p>
    <w:p>
      <w:pPr>
        <w:spacing w:after="40"/>
        <w:ind w:left="360"/>
        <w:jc w:val="both"/>
      </w:pPr>
      <w:r>
        <w:rPr>
          <w:rFonts w:ascii="Barlow Semi Condensed" w:cs="Barlow Semi Condensed" w:eastAsia="Barlow Semi Condensed" w:hAnsi="Barlow Semi Condensed"/>
          <w:sz w:val="24"/>
          <w:szCs w:val="24"/>
        </w:rPr>
        <w:t xml:space="preserve">3. La moltiplicazione apparente — cento riprese di una sola fonte</w:t>
      </w:r>
    </w:p>
    <w:p>
      <w:pPr>
        <w:spacing w:after="40"/>
        <w:ind w:left="360"/>
        <w:jc w:val="both"/>
      </w:pPr>
      <w:r>
        <w:rPr>
          <w:rFonts w:ascii="Barlow Semi Condensed" w:cs="Barlow Semi Condensed" w:eastAsia="Barlow Semi Condensed" w:hAnsi="Barlow Semi Condensed"/>
          <w:sz w:val="24"/>
          <w:szCs w:val="24"/>
        </w:rPr>
        <w:t xml:space="preserve">4. Il documento che non dice ciò che tutti citano — il verbale del 25 settembre 1974</w:t>
      </w:r>
    </w:p>
    <w:p>
      <w:pPr>
        <w:spacing w:after="40"/>
        <w:ind w:left="360"/>
        <w:jc w:val="both"/>
      </w:pPr>
      <w:r>
        <w:rPr>
          <w:rFonts w:ascii="Barlow Semi Condensed" w:cs="Barlow Semi Condensed" w:eastAsia="Barlow Semi Condensed" w:hAnsi="Barlow Semi Condensed"/>
          <w:sz w:val="24"/>
          <w:szCs w:val="24"/>
        </w:rPr>
        <w:t xml:space="preserve">5. Il buco misurato e il buco narrato — come si dichiara un'assenza</w:t>
      </w:r>
    </w:p>
    <w:p>
      <w:pPr>
        <w:spacing w:after="40"/>
        <w:ind w:left="360"/>
        <w:jc w:val="both"/>
      </w:pPr>
      <w:r>
        <w:rPr>
          <w:rFonts w:ascii="Barlow Semi Condensed" w:cs="Barlow Semi Condensed" w:eastAsia="Barlow Semi Condensed" w:hAnsi="Barlow Semi Condensed"/>
          <w:sz w:val="24"/>
          <w:szCs w:val="24"/>
        </w:rPr>
        <w:t xml:space="preserve">6. L'attesa dichiarata — perché non trovare nulla, a volte, non è una scoperta</w:t>
      </w:r>
    </w:p>
    <w:p>
      <w:pPr>
        <w:spacing w:after="40"/>
        <w:ind w:left="360"/>
        <w:jc w:val="both"/>
      </w:pPr>
      <w:r>
        <w:rPr>
          <w:rFonts w:ascii="Barlow Semi Condensed" w:cs="Barlow Semi Condensed" w:eastAsia="Barlow Semi Condensed" w:hAnsi="Barlow Semi Condensed"/>
          <w:sz w:val="24"/>
          <w:szCs w:val="24"/>
        </w:rPr>
        <w:t xml:space="preserve">7. Quando il controllo sbaglia — otto casi in cui la verifica ha segnalato la regola</w:t>
      </w:r>
    </w:p>
    <w:p>
      <w:pPr>
        <w:spacing w:after="120" w:line="276"/>
        <w:jc w:val="both"/>
      </w:pPr>
      <w:r>
        <w:rPr>
          <w:rFonts w:ascii="Barlow Semi Condensed" w:cs="Barlow Semi Condensed" w:eastAsia="Barlow Semi Condensed" w:hAnsi="Barlow Semi Condensed"/>
          <w:sz w:val="24"/>
          <w:szCs w:val="24"/>
        </w:rPr>
        <w:t xml:space="preserve">   Appendice: cinque atti d'archivio da compiere</w:t>
      </w:r>
    </w:p>
    <w:p>
      <w:pPr>
        <w:pStyle w:val="Heading3"/>
        <w:spacing w:after="80" w:before="160"/>
      </w:pPr>
      <w:r>
        <w:rPr>
          <w:rFonts w:ascii="Barlow Semi Condensed" w:cs="Barlow Semi Condensed" w:eastAsia="Barlow Semi Condensed" w:hAnsi="Barlow Semi Condensed"/>
          <w:sz w:val="24"/>
          <w:szCs w:val="24"/>
        </w:rPr>
        <w:t xml:space="preserve">Pubblico di riferimento</w:t>
      </w:r>
    </w:p>
    <w:p>
      <w:pPr>
        <w:spacing w:after="120" w:line="276"/>
        <w:jc w:val="both"/>
      </w:pPr>
      <w:r>
        <w:rPr>
          <w:rFonts w:ascii="Barlow Semi Condensed" w:cs="Barlow Semi Condensed" w:eastAsia="Barlow Semi Condensed" w:hAnsi="Barlow Semi Condensed"/>
          <w:sz w:val="24"/>
          <w:szCs w:val="24"/>
        </w:rPr>
        <w:t xml:space="preserve">Lettori di saggistica storica e civile — il pubblico che segue la storia</w:t>
      </w:r>
    </w:p>
    <w:p>
      <w:pPr>
        <w:spacing w:after="120" w:line="276"/>
        <w:jc w:val="both"/>
      </w:pPr>
      <w:r>
        <w:rPr>
          <w:rFonts w:ascii="Barlow Semi Condensed" w:cs="Barlow Semi Condensed" w:eastAsia="Barlow Semi Condensed" w:hAnsi="Barlow Semi Condensed"/>
          <w:sz w:val="24"/>
          <w:szCs w:val="24"/>
        </w:rPr>
        <w:t xml:space="preserve">repubblicana e le sue zone grigie. E, in seconda battuta, il pubblico più ampio</w:t>
      </w:r>
    </w:p>
    <w:p>
      <w:pPr>
        <w:spacing w:after="120" w:line="276"/>
        <w:jc w:val="both"/>
      </w:pPr>
      <w:r>
        <w:rPr>
          <w:rFonts w:ascii="Barlow Semi Condensed" w:cs="Barlow Semi Condensed" w:eastAsia="Barlow Semi Condensed" w:hAnsi="Barlow Semi Condensed"/>
          <w:sz w:val="24"/>
          <w:szCs w:val="24"/>
        </w:rPr>
        <w:t xml:space="preserve">di chi vuole capire che cosa questi sistemi facciano davvero su qualcosa di</w:t>
      </w:r>
    </w:p>
    <w:p>
      <w:pPr>
        <w:spacing w:after="120" w:line="276"/>
        <w:jc w:val="both"/>
      </w:pPr>
      <w:r>
        <w:rPr>
          <w:rFonts w:ascii="Barlow Semi Condensed" w:cs="Barlow Semi Condensed" w:eastAsia="Barlow Semi Condensed" w:hAnsi="Barlow Semi Condensed"/>
          <w:sz w:val="24"/>
          <w:szCs w:val="24"/>
        </w:rPr>
        <w:t xml:space="preserve">verificabile, al di là tanto dell'entusiasmo quanto dell'allarme. Il libro è</w:t>
      </w:r>
    </w:p>
    <w:p>
      <w:pPr>
        <w:spacing w:after="120" w:line="276"/>
        <w:jc w:val="both"/>
      </w:pPr>
      <w:r>
        <w:rPr>
          <w:rFonts w:ascii="Barlow Semi Condensed" w:cs="Barlow Semi Condensed" w:eastAsia="Barlow Semi Condensed" w:hAnsi="Barlow Semi Condensed"/>
          <w:sz w:val="24"/>
          <w:szCs w:val="24"/>
        </w:rPr>
        <w:t xml:space="preserve">scritto per essere letto senza competenze tecniche.</w:t>
      </w:r>
    </w:p>
    <w:p>
      <w:pPr>
        <w:pStyle w:val="Heading3"/>
        <w:spacing w:after="80" w:before="160"/>
      </w:pPr>
      <w:r>
        <w:rPr>
          <w:rFonts w:ascii="Barlow Semi Condensed" w:cs="Barlow Semi Condensed" w:eastAsia="Barlow Semi Condensed" w:hAnsi="Barlow Semi Condensed"/>
          <w:sz w:val="24"/>
          <w:szCs w:val="24"/>
        </w:rPr>
        <w:t xml:space="preserve">Estensione</w:t>
      </w:r>
    </w:p>
    <w:p>
      <w:pPr>
        <w:spacing w:after="120" w:line="276"/>
        <w:jc w:val="both"/>
      </w:pPr>
      <w:r>
        <w:rPr>
          <w:rFonts w:ascii="Barlow Semi Condensed" w:cs="Barlow Semi Condensed" w:eastAsia="Barlow Semi Condensed" w:hAnsi="Barlow Semi Condensed"/>
          <w:sz w:val="24"/>
          <w:szCs w:val="24"/>
        </w:rPr>
        <w:t xml:space="preserve">140-180 pagine, senza illustrazioni, senza note a piè di pagina: i riferimenti</w:t>
      </w:r>
    </w:p>
    <w:p>
      <w:pPr>
        <w:spacing w:after="120" w:line="276"/>
        <w:jc w:val="both"/>
      </w:pPr>
      <w:r>
        <w:rPr>
          <w:rFonts w:ascii="Barlow Semi Condensed" w:cs="Barlow Semi Condensed" w:eastAsia="Barlow Semi Condensed" w:hAnsi="Barlow Semi Condensed"/>
          <w:sz w:val="24"/>
          <w:szCs w:val="24"/>
        </w:rPr>
        <w:t xml:space="preserve">sono nel corpo e l'apparato completo resta consultabile a parte.</w:t>
      </w:r>
    </w:p>
    <w:p>
      <w:pPr>
        <w:pStyle w:val="Heading3"/>
        <w:spacing w:after="80" w:before="160"/>
      </w:pPr>
      <w:r>
        <w:rPr>
          <w:rFonts w:ascii="Barlow Semi Condensed" w:cs="Barlow Semi Condensed" w:eastAsia="Barlow Semi Condensed" w:hAnsi="Barlow Semi Condensed"/>
          <w:sz w:val="24"/>
          <w:szCs w:val="24"/>
        </w:rPr>
        <w:t xml:space="preserve">Biografia</w:t>
      </w:r>
    </w:p>
    <w:p>
      <w:pPr>
        <w:spacing w:after="120" w:line="276"/>
        <w:jc w:val="both"/>
      </w:pPr>
      <w:r>
        <w:rPr>
          <w:rFonts w:ascii="Barlow Semi Condensed" w:cs="Barlow Semi Condensed" w:eastAsia="Barlow Semi Condensed" w:hAnsi="Barlow Semi Condensed"/>
          <w:sz w:val="24"/>
          <w:szCs w:val="24"/>
        </w:rPr>
        <w:t xml:space="preserve">[Da compilare: formazione, attività professionale, eventuali pubblicazioni</w:t>
      </w:r>
    </w:p>
    <w:p>
      <w:pPr>
        <w:spacing w:after="120" w:line="276"/>
        <w:jc w:val="both"/>
      </w:pPr>
      <w:r>
        <w:rPr>
          <w:rFonts w:ascii="Barlow Semi Condensed" w:cs="Barlow Semi Condensed" w:eastAsia="Barlow Semi Condensed" w:hAnsi="Barlow Semi Condensed"/>
          <w:sz w:val="24"/>
          <w:szCs w:val="24"/>
        </w:rPr>
        <w:t xml:space="preserve">precedenti. Va indicato con chiarezza se si tratta della prima proposta.]</w:t>
      </w:r>
    </w:p>
    <w:p>
      <w:pPr>
        <w:pStyle w:val="Heading3"/>
        <w:spacing w:after="80" w:before="160"/>
      </w:pPr>
      <w:r>
        <w:rPr>
          <w:rFonts w:ascii="Barlow Semi Condensed" w:cs="Barlow Semi Condensed" w:eastAsia="Barlow Semi Condensed" w:hAnsi="Barlow Semi Condensed"/>
          <w:sz w:val="24"/>
          <w:szCs w:val="24"/>
        </w:rPr>
        <w:t xml:space="preserve">Estratto</w:t>
      </w:r>
    </w:p>
    <w:p>
      <w:pPr>
        <w:spacing w:after="120" w:line="276"/>
        <w:jc w:val="both"/>
      </w:pPr>
      <w:r>
        <w:rPr>
          <w:rFonts w:ascii="Barlow Semi Condensed" w:cs="Barlow Semi Condensed" w:eastAsia="Barlow Semi Condensed" w:hAnsi="Barlow Semi Condensed"/>
          <w:b/>
          <w:bCs/>
          <w:sz w:val="24"/>
          <w:szCs w:val="24"/>
        </w:rPr>
        <w:t xml:space="preserve">Capitolo quarto — «Il documento che non dice ciò che tutti citano»</w:t>
      </w:r>
      <w:r>
        <w:rPr>
          <w:rFonts w:ascii="Barlow Semi Condensed" w:cs="Barlow Semi Condensed" w:eastAsia="Barlow Semi Condensed" w:hAnsi="Barlow Semi Condensed"/>
          <w:sz w:val="24"/>
          <w:szCs w:val="24"/>
        </w:rPr>
        <w:t xml:space="preserve">, scritto</w:t>
      </w:r>
    </w:p>
    <w:p>
      <w:pPr>
        <w:spacing w:after="120" w:line="276"/>
        <w:jc w:val="both"/>
      </w:pPr>
      <w:r>
        <w:rPr>
          <w:rFonts w:ascii="Barlow Semi Condensed" w:cs="Barlow Semi Condensed" w:eastAsia="Barlow Semi Condensed" w:hAnsi="Barlow Semi Condensed"/>
          <w:sz w:val="24"/>
          <w:szCs w:val="24"/>
        </w:rPr>
        <w:t xml:space="preserve">per intero: </w:t>
      </w:r>
      <w:r>
        <w:rPr>
          <w:rFonts w:ascii="Barlow Semi Condensed" w:cs="Barlow Semi Condensed" w:eastAsia="Barlow Semi Condensed" w:hAnsi="Barlow Semi Condensed"/>
          <w:i/>
          <w:iCs/>
          <w:sz w:val="24"/>
          <w:szCs w:val="24"/>
        </w:rPr>
        <w:t xml:space="preserve">ALLEGATO_CAPITOLO_CAMPIONE.pdf</w:t>
      </w:r>
      <w:r>
        <w:rPr>
          <w:rFonts w:ascii="Barlow Semi Condensed" w:cs="Barlow Semi Condensed" w:eastAsia="Barlow Semi Condensed" w:hAnsi="Barlow Semi Condensed"/>
          <w:sz w:val="24"/>
          <w:szCs w:val="24"/>
        </w:rPr>
        <w:t xml:space="preserve">, otto pagine. È stato scelto come</w:t>
      </w:r>
    </w:p>
    <w:p>
      <w:pPr>
        <w:spacing w:after="120" w:line="276"/>
        <w:jc w:val="both"/>
      </w:pPr>
      <w:r>
        <w:rPr>
          <w:rFonts w:ascii="Barlow Semi Condensed" w:cs="Barlow Semi Condensed" w:eastAsia="Barlow Semi Condensed" w:hAnsi="Barlow Semi Condensed"/>
          <w:sz w:val="24"/>
          <w:szCs w:val="24"/>
        </w:rPr>
        <w:t xml:space="preserve">estratto perché è il più verificabile dei sette: ogni sua affermazione può essere</w:t>
      </w:r>
    </w:p>
    <w:p>
      <w:pPr>
        <w:spacing w:after="120" w:line="276"/>
        <w:jc w:val="both"/>
      </w:pPr>
      <w:r>
        <w:rPr>
          <w:rFonts w:ascii="Barlow Semi Condensed" w:cs="Barlow Semi Condensed" w:eastAsia="Barlow Semi Condensed" w:hAnsi="Barlow Semi Condensed"/>
          <w:sz w:val="24"/>
          <w:szCs w:val="24"/>
        </w:rPr>
        <w:t xml:space="preserve">controllata da chi legge, in mezz'ora, senza uscire di casa.</w:t>
      </w:r>
    </w:p>
    <w:p>
      <w:pPr>
        <w:spacing w:after="120" w:line="276"/>
        <w:jc w:val="both"/>
      </w:pPr>
      <w:r>
        <w:rPr>
          <w:rFonts w:ascii="Barlow Semi Condensed" w:cs="Barlow Semi Condensed" w:eastAsia="Barlow Semi Condensed" w:hAnsi="Barlow Semi Condensed"/>
          <w:sz w:val="24"/>
          <w:szCs w:val="24"/>
        </w:rPr>
        <w:t xml:space="preserve">Il modulo chiede un estratto, non un montaggio di frammenti: si carichi il</w:t>
      </w:r>
    </w:p>
    <w:p>
      <w:pPr>
        <w:spacing w:after="120" w:line="276"/>
        <w:jc w:val="both"/>
      </w:pPr>
      <w:r>
        <w:rPr>
          <w:rFonts w:ascii="Barlow Semi Condensed" w:cs="Barlow Semi Condensed" w:eastAsia="Barlow Semi Condensed" w:hAnsi="Barlow Semi Condensed"/>
          <w:sz w:val="24"/>
          <w:szCs w:val="24"/>
        </w:rPr>
        <w:t xml:space="preserve">capitolo intero.</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2. Carocci editore</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sz w:val="24"/>
          <w:szCs w:val="24"/>
        </w:rPr>
        <w:t xml:space="preserve">Carocci raccoglie le proposte attraverso la pagina </w:t>
      </w:r>
      <w:r>
        <w:rPr>
          <w:rFonts w:ascii="Barlow Semi Condensed" w:cs="Barlow Semi Condensed" w:eastAsia="Barlow Semi Condensed" w:hAnsi="Barlow Semi Condensed"/>
          <w:b/>
          <w:bCs/>
          <w:sz w:val="24"/>
          <w:szCs w:val="24"/>
        </w:rPr>
        <w:t xml:space="preserve">«Proposte editoriali»</w:t>
      </w:r>
      <w:r>
        <w:rPr>
          <w:rFonts w:ascii="Barlow Semi Condensed" w:cs="Barlow Semi Condensed" w:eastAsia="Barlow Semi Condensed" w:hAnsi="Barlow Semi Condensed"/>
          <w:sz w:val="24"/>
          <w:szCs w:val="24"/>
        </w:rPr>
        <w:t xml:space="preserve"> del</w:t>
      </w:r>
    </w:p>
    <w:p>
      <w:pPr>
        <w:spacing w:after="120" w:line="276"/>
        <w:jc w:val="both"/>
      </w:pPr>
      <w:r>
        <w:rPr>
          <w:rFonts w:ascii="Barlow Semi Condensed" w:cs="Barlow Semi Condensed" w:eastAsia="Barlow Semi Condensed" w:hAnsi="Barlow Semi Condensed"/>
          <w:sz w:val="24"/>
          <w:szCs w:val="24"/>
        </w:rPr>
        <w:t xml:space="preserve">proprio sito, con modalità da verificare lì prima dell'invio.</w:t>
      </w:r>
    </w:p>
    <w:p>
      <w:pPr>
        <w:pStyle w:val="Heading2"/>
        <w:spacing w:after="100" w:before="200"/>
      </w:pPr>
      <w:r>
        <w:rPr>
          <w:rFonts w:ascii="Barlow Semi Condensed" w:cs="Barlow Semi Condensed" w:eastAsia="Barlow Semi Condensed" w:hAnsi="Barlow Semi Condensed"/>
          <w:sz w:val="24"/>
          <w:szCs w:val="24"/>
        </w:rPr>
        <w:t xml:space="preserve">Angolatura scelta</w:t>
      </w:r>
    </w:p>
    <w:p>
      <w:pPr>
        <w:spacing w:after="120" w:line="276"/>
        <w:jc w:val="both"/>
      </w:pPr>
      <w:r>
        <w:rPr>
          <w:rFonts w:ascii="Barlow Semi Condensed" w:cs="Barlow Semi Condensed" w:eastAsia="Barlow Semi Condensed" w:hAnsi="Barlow Semi Condensed"/>
          <w:sz w:val="24"/>
          <w:szCs w:val="24"/>
        </w:rPr>
        <w:t xml:space="preserve">Carocci è editore accademico e di manualistica: il suo catalogo vive di libri</w:t>
      </w:r>
    </w:p>
    <w:p>
      <w:pPr>
        <w:spacing w:after="120" w:line="276"/>
        <w:jc w:val="both"/>
      </w:pPr>
      <w:r>
        <w:rPr>
          <w:rFonts w:ascii="Barlow Semi Condensed" w:cs="Barlow Semi Condensed" w:eastAsia="Barlow Semi Condensed" w:hAnsi="Barlow Semi Condensed"/>
          <w:b/>
          <w:bCs/>
          <w:sz w:val="24"/>
          <w:szCs w:val="24"/>
        </w:rPr>
        <w:t xml:space="preserve">adottabili in un corso</w:t>
      </w:r>
      <w:r>
        <w:rPr>
          <w:rFonts w:ascii="Barlow Semi Condensed" w:cs="Barlow Semi Condensed" w:eastAsia="Barlow Semi Condensed" w:hAnsi="Barlow Semi Condensed"/>
          <w:sz w:val="24"/>
          <w:szCs w:val="24"/>
        </w:rPr>
        <w:t xml:space="preserve">. La proposta punta perciò sul lato che il Mulino</w:t>
      </w:r>
    </w:p>
    <w:p>
      <w:pPr>
        <w:spacing w:after="120" w:line="276"/>
        <w:jc w:val="both"/>
      </w:pPr>
      <w:r>
        <w:rPr>
          <w:rFonts w:ascii="Barlow Semi Condensed" w:cs="Barlow Semi Condensed" w:eastAsia="Barlow Semi Condensed" w:hAnsi="Barlow Semi Condensed"/>
          <w:sz w:val="24"/>
          <w:szCs w:val="24"/>
        </w:rPr>
        <w:t xml:space="preserve">tiene in secondo piano — il libro come </w:t>
      </w:r>
      <w:r>
        <w:rPr>
          <w:rFonts w:ascii="Barlow Semi Condensed" w:cs="Barlow Semi Condensed" w:eastAsia="Barlow Semi Condensed" w:hAnsi="Barlow Semi Condensed"/>
          <w:b/>
          <w:bCs/>
          <w:sz w:val="24"/>
          <w:szCs w:val="24"/>
        </w:rPr>
        <w:t xml:space="preserve">caso di studio didattico</w:t>
      </w:r>
      <w:r>
        <w:rPr>
          <w:rFonts w:ascii="Barlow Semi Condensed" w:cs="Barlow Semi Condensed" w:eastAsia="Barlow Semi Condensed" w:hAnsi="Barlow Semi Condensed"/>
          <w:sz w:val="24"/>
          <w:szCs w:val="24"/>
        </w:rPr>
        <w:t xml:space="preserve"> sulla critica</w:t>
      </w:r>
    </w:p>
    <w:p>
      <w:pPr>
        <w:spacing w:after="120" w:line="276"/>
        <w:jc w:val="both"/>
      </w:pPr>
      <w:r>
        <w:rPr>
          <w:rFonts w:ascii="Barlow Semi Condensed" w:cs="Barlow Semi Condensed" w:eastAsia="Barlow Semi Condensed" w:hAnsi="Barlow Semi Condensed"/>
          <w:sz w:val="24"/>
          <w:szCs w:val="24"/>
        </w:rPr>
        <w:t xml:space="preserve">delle fonti in presenza di strumenti automatici.</w:t>
      </w:r>
    </w:p>
    <w:p>
      <w:pPr>
        <w:pStyle w:val="Heading2"/>
        <w:spacing w:after="100" w:before="200"/>
      </w:pPr>
      <w:r>
        <w:rPr>
          <w:rFonts w:ascii="Barlow Semi Condensed" w:cs="Barlow Semi Condensed" w:eastAsia="Barlow Semi Condensed" w:hAnsi="Barlow Semi Condensed"/>
          <w:sz w:val="24"/>
          <w:szCs w:val="24"/>
        </w:rPr>
        <w:t xml:space="preserve">Testo della proposta</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una proposta per un volume breve di metodologia, secondo le modalità</w:t>
      </w:r>
    </w:p>
    <w:p>
      <w:pPr>
        <w:spacing w:after="120" w:line="276"/>
        <w:jc w:val="both"/>
      </w:pPr>
      <w:r>
        <w:rPr>
          <w:rFonts w:ascii="Barlow Semi Condensed" w:cs="Barlow Semi Condensed" w:eastAsia="Barlow Semi Condensed" w:hAnsi="Barlow Semi Condensed"/>
          <w:sz w:val="24"/>
          <w:szCs w:val="24"/>
        </w:rPr>
        <w:t xml:space="preserve">indicate sul vostro sito.</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Il lavoro da cui la proposta nasce è stato</w:t>
      </w:r>
    </w:p>
    <w:p>
      <w:pPr>
        <w:spacing w:after="120" w:line="276"/>
        <w:jc w:val="both"/>
      </w:pPr>
      <w:r>
        <w:rPr>
          <w:rFonts w:ascii="Barlow Semi Condensed" w:cs="Barlow Semi Condensed" w:eastAsia="Barlow Semi Condensed" w:hAnsi="Barlow Semi Condensed"/>
          <w:sz w:val="24"/>
          <w:szCs w:val="24"/>
        </w:rPr>
        <w:t xml:space="preserve">prodotto con sistemi di intelligenza artificiale sotto mia direzione. Lo dichiaro</w:t>
      </w:r>
    </w:p>
    <w:p>
      <w:pPr>
        <w:spacing w:after="120" w:line="276"/>
        <w:jc w:val="both"/>
      </w:pPr>
      <w:r>
        <w:rPr>
          <w:rFonts w:ascii="Barlow Semi Condensed" w:cs="Barlow Semi Condensed" w:eastAsia="Barlow Semi Condensed" w:hAnsi="Barlow Semi Condensed"/>
          <w:sz w:val="24"/>
          <w:szCs w:val="24"/>
        </w:rPr>
        <w:t xml:space="preserve">in apertura perché è l'oggetto stesso del libro.</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*La critica delle fonti alla prova della macchina. Un caso</w:t>
      </w:r>
    </w:p>
    <w:p>
      <w:pPr>
        <w:spacing w:after="120" w:line="276"/>
        <w:jc w:val="both"/>
      </w:pPr>
      <w:r>
        <w:rPr>
          <w:rFonts w:ascii="Barlow Semi Condensed" w:cs="Barlow Semi Condensed" w:eastAsia="Barlow Semi Condensed" w:hAnsi="Barlow Semi Condensed"/>
          <w:sz w:val="24"/>
          <w:szCs w:val="24"/>
        </w:rPr>
        <w:t xml:space="preserve">di studio sul caso Moro*</w:t>
      </w:r>
    </w:p>
    <w:p>
      <w:pPr>
        <w:spacing w:after="120" w:line="276"/>
        <w:jc w:val="both"/>
      </w:pPr>
      <w:r>
        <w:rPr>
          <w:rFonts w:ascii="Barlow Semi Condensed" w:cs="Barlow Semi Condensed" w:eastAsia="Barlow Semi Condensed" w:hAnsi="Barlow Semi Condensed"/>
          <w:b/>
          <w:bCs/>
          <w:sz w:val="24"/>
          <w:szCs w:val="24"/>
        </w:rPr>
        <w:t xml:space="preserve">L'idea.</w:t>
      </w:r>
      <w:r>
        <w:rPr>
          <w:rFonts w:ascii="Barlow Semi Condensed" w:cs="Barlow Semi Condensed" w:eastAsia="Barlow Semi Condensed" w:hAnsi="Barlow Semi Condensed"/>
          <w:sz w:val="24"/>
          <w:szCs w:val="24"/>
        </w:rPr>
        <w:t xml:space="preserve"> I corsi di metodologia della ricerca storica insegnano la critica</w:t>
      </w:r>
    </w:p>
    <w:p>
      <w:pPr>
        <w:spacing w:after="120" w:line="276"/>
        <w:jc w:val="both"/>
      </w:pPr>
      <w:r>
        <w:rPr>
          <w:rFonts w:ascii="Barlow Semi Condensed" w:cs="Barlow Semi Condensed" w:eastAsia="Barlow Semi Condensed" w:hAnsi="Barlow Semi Condensed"/>
          <w:sz w:val="24"/>
          <w:szCs w:val="24"/>
        </w:rPr>
        <w:t xml:space="preserve">delle fonti su esempi classici, quasi sempre lontani nel tempo. Gli studenti che</w:t>
      </w:r>
    </w:p>
    <w:p>
      <w:pPr>
        <w:spacing w:after="120" w:line="276"/>
        <w:jc w:val="both"/>
      </w:pPr>
      <w:r>
        <w:rPr>
          <w:rFonts w:ascii="Barlow Semi Condensed" w:cs="Barlow Semi Condensed" w:eastAsia="Barlow Semi Condensed" w:hAnsi="Barlow Semi Condensed"/>
          <w:sz w:val="24"/>
          <w:szCs w:val="24"/>
        </w:rPr>
        <w:t xml:space="preserve">li seguono, però, lavoreranno con strumenti che producono testo plausibile a</w:t>
      </w:r>
    </w:p>
    <w:p>
      <w:pPr>
        <w:spacing w:after="120" w:line="276"/>
        <w:jc w:val="both"/>
      </w:pPr>
      <w:r>
        <w:rPr>
          <w:rFonts w:ascii="Barlow Semi Condensed" w:cs="Barlow Semi Condensed" w:eastAsia="Barlow Semi Condensed" w:hAnsi="Barlow Semi Condensed"/>
          <w:sz w:val="24"/>
          <w:szCs w:val="24"/>
        </w:rPr>
        <w:t xml:space="preserve">richiesta, e il problema che si troveranno davanti non è nuovo nella sostanza ma</w:t>
      </w:r>
    </w:p>
    <w:p>
      <w:pPr>
        <w:spacing w:after="120" w:line="276"/>
        <w:jc w:val="both"/>
      </w:pPr>
      <w:r>
        <w:rPr>
          <w:rFonts w:ascii="Barlow Semi Condensed" w:cs="Barlow Semi Condensed" w:eastAsia="Barlow Semi Condensed" w:hAnsi="Barlow Semi Condensed"/>
          <w:sz w:val="24"/>
          <w:szCs w:val="24"/>
        </w:rPr>
        <w:t xml:space="preserve">è nuovo nella scala. Manca un manuale breve che mostri **su un caso italiano,</w:t>
      </w:r>
    </w:p>
    <w:p>
      <w:pPr>
        <w:spacing w:after="120" w:line="276"/>
        <w:jc w:val="both"/>
      </w:pPr>
      <w:r>
        <w:rPr>
          <w:rFonts w:ascii="Barlow Semi Condensed" w:cs="Barlow Semi Condensed" w:eastAsia="Barlow Semi Condensed" w:hAnsi="Barlow Semi Condensed"/>
          <w:sz w:val="24"/>
          <w:szCs w:val="24"/>
        </w:rPr>
        <w:t xml:space="preserve">recente e documentatissimo** che cosa accade quando si applicano gli strumenti</w:t>
      </w:r>
    </w:p>
    <w:p>
      <w:pPr>
        <w:spacing w:after="120" w:line="276"/>
        <w:jc w:val="both"/>
      </w:pPr>
      <w:r>
        <w:rPr>
          <w:rFonts w:ascii="Barlow Semi Condensed" w:cs="Barlow Semi Condensed" w:eastAsia="Barlow Semi Condensed" w:hAnsi="Barlow Semi Condensed"/>
          <w:sz w:val="24"/>
          <w:szCs w:val="24"/>
        </w:rPr>
        <w:t xml:space="preserve">classici della critica delle fonti a materiale prodotto o mediato da sistemi</w:t>
      </w:r>
    </w:p>
    <w:p>
      <w:pPr>
        <w:spacing w:after="120" w:line="276"/>
        <w:jc w:val="both"/>
      </w:pPr>
      <w:r>
        <w:rPr>
          <w:rFonts w:ascii="Barlow Semi Condensed" w:cs="Barlow Semi Condensed" w:eastAsia="Barlow Semi Condensed" w:hAnsi="Barlow Semi Condensed"/>
          <w:sz w:val="24"/>
          <w:szCs w:val="24"/>
        </w:rPr>
        <w:t xml:space="preserve">automatici.</w:t>
      </w:r>
    </w:p>
    <w:p>
      <w:pPr>
        <w:spacing w:after="120" w:line="276"/>
        <w:jc w:val="both"/>
      </w:pPr>
      <w:r>
        <w:rPr>
          <w:rFonts w:ascii="Barlow Semi Condensed" w:cs="Barlow Semi Condensed" w:eastAsia="Barlow Semi Condensed" w:hAnsi="Barlow Semi Condensed"/>
          <w:sz w:val="24"/>
          <w:szCs w:val="24"/>
        </w:rPr>
        <w:t xml:space="preserve">Questo volume lo fa. Nasce da un esperimento condotto sul caso Moro con una</w:t>
      </w:r>
    </w:p>
    <w:p>
      <w:pPr>
        <w:spacing w:after="120" w:line="276"/>
        <w:jc w:val="both"/>
      </w:pPr>
      <w:r>
        <w:rPr>
          <w:rFonts w:ascii="Barlow Semi Condensed" w:cs="Barlow Semi Condensed" w:eastAsia="Barlow Semi Condensed" w:hAnsi="Barlow Semi Condensed"/>
          <w:sz w:val="24"/>
          <w:szCs w:val="24"/>
        </w:rPr>
        <w:t xml:space="preserve">disciplina metodologica dichiarata e vincolante, e ne ricava sette lezioni,</w:t>
      </w:r>
    </w:p>
    <w:p>
      <w:pPr>
        <w:spacing w:after="120" w:line="276"/>
        <w:jc w:val="both"/>
      </w:pPr>
      <w:r>
        <w:rPr>
          <w:rFonts w:ascii="Barlow Semi Condensed" w:cs="Barlow Semi Condensed" w:eastAsia="Barlow Semi Condensed" w:hAnsi="Barlow Semi Condensed"/>
          <w:sz w:val="24"/>
          <w:szCs w:val="24"/>
        </w:rPr>
        <w:t xml:space="preserve">ciascuna ancorata a un documento verificabile dallo studente in autonomia.</w:t>
      </w:r>
    </w:p>
    <w:p>
      <w:pPr>
        <w:spacing w:after="120" w:line="276"/>
        <w:jc w:val="both"/>
      </w:pPr>
      <w:r>
        <w:rPr>
          <w:rFonts w:ascii="Barlow Semi Condensed" w:cs="Barlow Semi Condensed" w:eastAsia="Barlow Semi Condensed" w:hAnsi="Barlow Semi Condensed"/>
          <w:b/>
          <w:bCs/>
          <w:sz w:val="24"/>
          <w:szCs w:val="24"/>
        </w:rPr>
        <w:t xml:space="preserve">Perché è adottabile.</w:t>
      </w:r>
      <w:r>
        <w:rPr>
          <w:rFonts w:ascii="Barlow Semi Condensed" w:cs="Barlow Semi Condensed" w:eastAsia="Barlow Semi Condensed" w:hAnsi="Barlow Semi Condensed"/>
          <w:sz w:val="24"/>
          <w:szCs w:val="24"/>
        </w:rPr>
        <w:t xml:space="preserve"> Ogni capitolo ha la stessa struttura: il problema, il</w:t>
      </w:r>
    </w:p>
    <w:p>
      <w:pPr>
        <w:spacing w:after="120" w:line="276"/>
        <w:jc w:val="both"/>
      </w:pPr>
      <w:r>
        <w:rPr>
          <w:rFonts w:ascii="Barlow Semi Condensed" w:cs="Barlow Semi Condensed" w:eastAsia="Barlow Semi Condensed" w:hAnsi="Barlow Semi Condensed"/>
          <w:sz w:val="24"/>
          <w:szCs w:val="24"/>
        </w:rPr>
        <w:t xml:space="preserve">caso concreto, la regola che se ne ricava, e </w:t>
      </w:r>
      <w:r>
        <w:rPr>
          <w:rFonts w:ascii="Barlow Semi Condensed" w:cs="Barlow Semi Condensed" w:eastAsia="Barlow Semi Condensed" w:hAnsi="Barlow Semi Condensed"/>
          <w:b/>
          <w:bCs/>
          <w:sz w:val="24"/>
          <w:szCs w:val="24"/>
        </w:rPr>
        <w:t xml:space="preserve">un esercizio eseguibile</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un documento da aprire, una stringa da cercare, un conteggio da rifare. Il</w:t>
      </w:r>
    </w:p>
    <w:p>
      <w:pPr>
        <w:spacing w:after="120" w:line="276"/>
        <w:jc w:val="both"/>
      </w:pPr>
      <w:r>
        <w:rPr>
          <w:rFonts w:ascii="Barlow Semi Condensed" w:cs="Barlow Semi Condensed" w:eastAsia="Barlow Semi Condensed" w:hAnsi="Barlow Semi Condensed"/>
          <w:sz w:val="24"/>
          <w:szCs w:val="24"/>
        </w:rPr>
        <w:t xml:space="preserve">capitolo sulla moltiplicazione apparente delle fonti, per esempio, si chiude con</w:t>
      </w:r>
    </w:p>
    <w:p>
      <w:pPr>
        <w:spacing w:after="120" w:line="276"/>
        <w:jc w:val="both"/>
      </w:pPr>
      <w:r>
        <w:rPr>
          <w:rFonts w:ascii="Barlow Semi Condensed" w:cs="Barlow Semi Condensed" w:eastAsia="Barlow Semi Condensed" w:hAnsi="Barlow Semi Condensed"/>
          <w:sz w:val="24"/>
          <w:szCs w:val="24"/>
        </w:rPr>
        <w:t xml:space="preserve">la richiesta di risalire a mano all'origine di una frase circolante e di datarla:</w:t>
      </w:r>
    </w:p>
    <w:p>
      <w:pPr>
        <w:spacing w:after="120" w:line="276"/>
        <w:jc w:val="both"/>
      </w:pPr>
      <w:r>
        <w:rPr>
          <w:rFonts w:ascii="Barlow Semi Condensed" w:cs="Barlow Semi Condensed" w:eastAsia="Barlow Semi Condensed" w:hAnsi="Barlow Semi Condensed"/>
          <w:sz w:val="24"/>
          <w:szCs w:val="24"/>
        </w:rPr>
        <w:t xml:space="preserve">è un esercizio di due ore che insegna più di venti pagine di teoria.</w:t>
      </w:r>
    </w:p>
    <w:p>
      <w:pPr>
        <w:spacing w:after="120" w:line="276"/>
        <w:jc w:val="both"/>
      </w:pPr>
      <w:r>
        <w:rPr>
          <w:rFonts w:ascii="Barlow Semi Condensed" w:cs="Barlow Semi Condensed" w:eastAsia="Barlow Semi Condensed" w:hAnsi="Barlow Semi Condensed"/>
          <w:b/>
          <w:bCs/>
          <w:sz w:val="24"/>
          <w:szCs w:val="24"/>
        </w:rPr>
        <w:t xml:space="preserve">Le sette lezioni.</w:t>
      </w:r>
      <w:r>
        <w:rPr>
          <w:rFonts w:ascii="Barlow Semi Condensed" w:cs="Barlow Semi Condensed" w:eastAsia="Barlow Semi Condensed" w:hAnsi="Barlow Semi Condensed"/>
          <w:sz w:val="24"/>
          <w:szCs w:val="24"/>
        </w:rPr>
        <w:t xml:space="preserve"> La regola scritta prima; la scala dei gradi fra documento,</w:t>
      </w:r>
    </w:p>
    <w:p>
      <w:pPr>
        <w:spacing w:after="120" w:line="276"/>
        <w:jc w:val="both"/>
      </w:pPr>
      <w:r>
        <w:rPr>
          <w:rFonts w:ascii="Barlow Semi Condensed" w:cs="Barlow Semi Condensed" w:eastAsia="Barlow Semi Condensed" w:hAnsi="Barlow Semi Condensed"/>
          <w:sz w:val="24"/>
          <w:szCs w:val="24"/>
        </w:rPr>
        <w:t xml:space="preserve">convergenza e diceria; la moltiplicazione apparente delle fonti; il documento</w:t>
      </w:r>
    </w:p>
    <w:p>
      <w:pPr>
        <w:spacing w:after="120" w:line="276"/>
        <w:jc w:val="both"/>
      </w:pPr>
      <w:r>
        <w:rPr>
          <w:rFonts w:ascii="Barlow Semi Condensed" w:cs="Barlow Semi Condensed" w:eastAsia="Barlow Semi Condensed" w:hAnsi="Barlow Semi Condensed"/>
          <w:sz w:val="24"/>
          <w:szCs w:val="24"/>
        </w:rPr>
        <w:t xml:space="preserve">che non contiene ciò che gli si attribuisce; la differenza fra un'assenza</w:t>
      </w:r>
    </w:p>
    <w:p>
      <w:pPr>
        <w:spacing w:after="120" w:line="276"/>
        <w:jc w:val="both"/>
      </w:pPr>
      <w:r>
        <w:rPr>
          <w:rFonts w:ascii="Barlow Semi Condensed" w:cs="Barlow Semi Condensed" w:eastAsia="Barlow Semi Condensed" w:hAnsi="Barlow Semi Condensed"/>
          <w:sz w:val="24"/>
          <w:szCs w:val="24"/>
        </w:rPr>
        <w:t xml:space="preserve">misurata e un'assenza narrata; l'attesa dichiarata prima della ricerca; e i modi</w:t>
      </w:r>
    </w:p>
    <w:p>
      <w:pPr>
        <w:spacing w:after="120" w:line="276"/>
        <w:jc w:val="both"/>
      </w:pPr>
      <w:r>
        <w:rPr>
          <w:rFonts w:ascii="Barlow Semi Condensed" w:cs="Barlow Semi Condensed" w:eastAsia="Barlow Semi Condensed" w:hAnsi="Barlow Semi Condensed"/>
          <w:sz w:val="24"/>
          <w:szCs w:val="24"/>
        </w:rPr>
        <w:t xml:space="preserve">tipici in cui una verifica automatica fallisce — con otto casi in cui il</w:t>
      </w:r>
    </w:p>
    <w:p>
      <w:pPr>
        <w:spacing w:after="120" w:line="276"/>
        <w:jc w:val="both"/>
      </w:pPr>
      <w:r>
        <w:rPr>
          <w:rFonts w:ascii="Barlow Semi Condensed" w:cs="Barlow Semi Condensed" w:eastAsia="Barlow Semi Condensed" w:hAnsi="Barlow Semi Condensed"/>
          <w:sz w:val="24"/>
          <w:szCs w:val="24"/>
        </w:rPr>
        <w:t xml:space="preserve">controllo ha segnalato come violazione proprio i passaggi che applicavano la</w:t>
      </w:r>
    </w:p>
    <w:p>
      <w:pPr>
        <w:spacing w:after="120" w:line="276"/>
        <w:jc w:val="both"/>
      </w:pPr>
      <w:r>
        <w:rPr>
          <w:rFonts w:ascii="Barlow Semi Condensed" w:cs="Barlow Semi Condensed" w:eastAsia="Barlow Semi Condensed" w:hAnsi="Barlow Semi Condensed"/>
          <w:sz w:val="24"/>
          <w:szCs w:val="24"/>
        </w:rPr>
        <w:t xml:space="preserve">regola.</w:t>
      </w:r>
    </w:p>
    <w:p>
      <w:pPr>
        <w:spacing w:after="120" w:line="276"/>
        <w:jc w:val="both"/>
      </w:pPr>
      <w:r>
        <w:rPr>
          <w:rFonts w:ascii="Barlow Semi Condensed" w:cs="Barlow Semi Condensed" w:eastAsia="Barlow Semi Condensed" w:hAnsi="Barlow Semi Condensed"/>
          <w:b/>
          <w:bCs/>
          <w:sz w:val="24"/>
          <w:szCs w:val="24"/>
        </w:rPr>
        <w:t xml:space="preserve">Contiene anche due accertamenti originali</w:t>
      </w:r>
      <w:r>
        <w:rPr>
          <w:rFonts w:ascii="Barlow Semi Condensed" w:cs="Barlow Semi Condensed" w:eastAsia="Barlow Semi Condensed" w:hAnsi="Barlow Semi Condensed"/>
          <w:sz w:val="24"/>
          <w:szCs w:val="24"/>
        </w:rPr>
        <w:t xml:space="preserve">, che valgono come esempi vivi: che</w:t>
      </w:r>
    </w:p>
    <w:p>
      <w:pPr>
        <w:spacing w:after="120" w:line="276"/>
        <w:jc w:val="both"/>
      </w:pPr>
      <w:r>
        <w:rPr>
          <w:rFonts w:ascii="Barlow Semi Condensed" w:cs="Barlow Semi Condensed" w:eastAsia="Barlow Semi Condensed" w:hAnsi="Barlow Semi Condensed"/>
          <w:sz w:val="24"/>
          <w:szCs w:val="24"/>
        </w:rPr>
        <w:t xml:space="preserve">il verbale dello Studio Ovale del 25 settembre 1974 non contiene la frase che gli</w:t>
      </w:r>
    </w:p>
    <w:p>
      <w:pPr>
        <w:spacing w:after="120" w:line="276"/>
        <w:jc w:val="both"/>
      </w:pPr>
      <w:r>
        <w:rPr>
          <w:rFonts w:ascii="Barlow Semi Condensed" w:cs="Barlow Semi Condensed" w:eastAsia="Barlow Semi Condensed" w:hAnsi="Barlow Semi Condensed"/>
          <w:sz w:val="24"/>
          <w:szCs w:val="24"/>
        </w:rPr>
        <w:t xml:space="preserve">si attribuisce correntemente, e che di quel colloquio non risulta mai cercato il</w:t>
      </w:r>
    </w:p>
    <w:p>
      <w:pPr>
        <w:spacing w:after="120" w:line="276"/>
        <w:jc w:val="both"/>
      </w:pPr>
      <w:r>
        <w:rPr>
          <w:rFonts w:ascii="Barlow Semi Condensed" w:cs="Barlow Semi Condensed" w:eastAsia="Barlow Semi Condensed" w:hAnsi="Barlow Semi Condensed"/>
          <w:sz w:val="24"/>
          <w:szCs w:val="24"/>
        </w:rPr>
        <w:t xml:space="preserve">versante italiano.</w:t>
      </w:r>
    </w:p>
    <w:p>
      <w:pPr>
        <w:spacing w:after="120" w:line="276"/>
        <w:jc w:val="both"/>
      </w:pPr>
      <w:r>
        <w:rPr>
          <w:rFonts w:ascii="Barlow Semi Condensed" w:cs="Barlow Semi Condensed" w:eastAsia="Barlow Semi Condensed" w:hAnsi="Barlow Semi Condensed"/>
          <w:b/>
          <w:bCs/>
          <w:sz w:val="24"/>
          <w:szCs w:val="24"/>
        </w:rPr>
        <w:t xml:space="preserve">Estensione e collocazione</w:t>
      </w:r>
      <w:r>
        <w:rPr>
          <w:rFonts w:ascii="Barlow Semi Condensed" w:cs="Barlow Semi Condensed" w:eastAsia="Barlow Semi Condensed" w:hAnsi="Barlow Semi Condensed"/>
          <w:sz w:val="24"/>
          <w:szCs w:val="24"/>
        </w:rPr>
        <w:t xml:space="preserve">: quarantaquattro pagine nella prima stesura, estendibili</w:t>
      </w:r>
    </w:p>
    <w:p>
      <w:pPr>
        <w:spacing w:after="120" w:line="276"/>
        <w:jc w:val="both"/>
      </w:pPr>
      <w:r>
        <w:rPr>
          <w:rFonts w:ascii="Barlow Semi Condensed" w:cs="Barlow Semi Condensed" w:eastAsia="Barlow Semi Condensed" w:hAnsi="Barlow Semi Condensed"/>
          <w:sz w:val="24"/>
          <w:szCs w:val="24"/>
        </w:rPr>
        <w:t xml:space="preserve">alla misura che la collana richiede. Adatto a un corso di metodologia</w:t>
      </w:r>
    </w:p>
    <w:p>
      <w:pPr>
        <w:spacing w:after="120" w:line="276"/>
        <w:jc w:val="both"/>
      </w:pPr>
      <w:r>
        <w:rPr>
          <w:rFonts w:ascii="Barlow Semi Condensed" w:cs="Barlow Semi Condensed" w:eastAsia="Barlow Semi Condensed" w:hAnsi="Barlow Semi Condensed"/>
          <w:sz w:val="24"/>
          <w:szCs w:val="24"/>
        </w:rPr>
        <w:t xml:space="preserve">della ricerca storica, di storia contemporanea o di </w:t>
      </w:r>
      <w:r>
        <w:rPr>
          <w:rFonts w:ascii="Barlow Semi Condensed" w:cs="Barlow Semi Condensed" w:eastAsia="Barlow Semi Condensed" w:hAnsi="Barlow Semi Condensed"/>
          <w:i/>
          <w:iCs/>
          <w:sz w:val="24"/>
          <w:szCs w:val="24"/>
        </w:rPr>
        <w:t xml:space="preserve">digital humanities</w:t>
      </w:r>
      <w:r>
        <w:rPr>
          <w:rFonts w:ascii="Barlow Semi Condensed" w:cs="Barlow Semi Condensed" w:eastAsia="Barlow Semi Condensed" w:hAnsi="Barlow Semi Condensed"/>
          <w:sz w:val="24"/>
          <w:szCs w:val="24"/>
        </w:rPr>
        <w:t xml:space="preserve">, come</w:t>
      </w:r>
    </w:p>
    <w:p>
      <w:pPr>
        <w:spacing w:after="120" w:line="276"/>
        <w:jc w:val="both"/>
      </w:pPr>
      <w:r>
        <w:rPr>
          <w:rFonts w:ascii="Barlow Semi Condensed" w:cs="Barlow Semi Condensed" w:eastAsia="Barlow Semi Condensed" w:hAnsi="Barlow Semi Condensed"/>
          <w:sz w:val="24"/>
          <w:szCs w:val="24"/>
        </w:rPr>
        <w:t xml:space="preserve">testo di supporto; leggibile anche fuori dall'aula.</w:t>
      </w:r>
    </w:p>
    <w:p>
      <w:pPr>
        <w:spacing w:after="120" w:line="276"/>
        <w:jc w:val="both"/>
      </w:pPr>
      <w:r>
        <w:rPr>
          <w:rFonts w:ascii="Barlow Semi Condensed" w:cs="Barlow Semi Condensed" w:eastAsia="Barlow Semi Condensed" w:hAnsi="Barlow Semi Condensed"/>
          <w:b/>
          <w:bCs/>
          <w:sz w:val="24"/>
          <w:szCs w:val="24"/>
        </w:rPr>
        <w:t xml:space="preserve">Stato</w:t>
      </w:r>
      <w:r>
        <w:rPr>
          <w:rFonts w:ascii="Barlow Semi Condensed" w:cs="Barlow Semi Condensed" w:eastAsia="Barlow Semi Condensed" w:hAnsi="Barlow Semi Condensed"/>
          <w:sz w:val="24"/>
          <w:szCs w:val="24"/>
        </w:rPr>
        <w:t xml:space="preserve">: prima stesura completa, materiale documentale integralmente</w:t>
      </w:r>
    </w:p>
    <w:p>
      <w:pPr>
        <w:spacing w:after="120" w:line="276"/>
        <w:jc w:val="both"/>
      </w:pPr>
      <w:r>
        <w:rPr>
          <w:rFonts w:ascii="Barlow Semi Condensed" w:cs="Barlow Semi Condensed" w:eastAsia="Barlow Semi Condensed" w:hAnsi="Barlow Semi Condensed"/>
          <w:sz w:val="24"/>
          <w:szCs w:val="24"/>
        </w:rPr>
        <w:t xml:space="preserve">disponibile, lunghezza finale da concordare. </w:t>
      </w:r>
      <w:r>
        <w:rPr>
          <w:rFonts w:ascii="Barlow Semi Condensed" w:cs="Barlow Semi Condensed" w:eastAsia="Barlow Semi Condensed" w:hAnsi="Barlow Semi Condensed"/>
          <w:b/>
          <w:bCs/>
          <w:sz w:val="24"/>
          <w:szCs w:val="24"/>
        </w:rPr>
        <w:t xml:space="preserve">Allego la stesura per intero</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sette parti più il registro di chiusura: senza di essa questa proposta chiederebbe di</w:t>
      </w:r>
    </w:p>
    <w:p>
      <w:pPr>
        <w:spacing w:after="120" w:line="276"/>
        <w:jc w:val="both"/>
      </w:pPr>
      <w:r>
        <w:rPr>
          <w:rFonts w:ascii="Barlow Semi Condensed" w:cs="Barlow Semi Condensed" w:eastAsia="Barlow Semi Condensed" w:hAnsi="Barlow Semi Condensed"/>
          <w:sz w:val="24"/>
          <w:szCs w:val="24"/>
        </w:rPr>
        <w:t xml:space="preserve">credermi sulla parola.</w:t>
      </w:r>
    </w:p>
    <w:p>
      <w:pPr>
        <w:spacing w:after="120" w:line="276"/>
        <w:jc w:val="both"/>
      </w:pPr>
      <w:r>
        <w:rPr>
          <w:rFonts w:ascii="Barlow Semi Condensed" w:cs="Barlow Semi Condensed" w:eastAsia="Barlow Semi Condensed" w:hAnsi="Barlow Semi Condensed"/>
          <w:sz w:val="24"/>
          <w:szCs w:val="24"/>
        </w:rPr>
        <w:t xml:space="preserve">Resto a disposizione.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3. Giulio Einaudi editore</w:t>
      </w:r>
    </w:p>
    <w:p>
      <w:pPr>
        <w:pStyle w:val="Heading2"/>
        <w:spacing w:after="100" w:before="200"/>
      </w:pPr>
      <w:r>
        <w:rPr>
          <w:rFonts w:ascii="Barlow Semi Condensed" w:cs="Barlow Semi Condensed" w:eastAsia="Barlow Semi Condensed" w:hAnsi="Barlow Semi Condensed"/>
          <w:sz w:val="24"/>
          <w:szCs w:val="24"/>
        </w:rPr>
        <w:t xml:space="preserve">Modalità — e un avvertimento che conta</w:t>
      </w:r>
    </w:p>
    <w:p>
      <w:pPr>
        <w:spacing w:after="120" w:line="276"/>
        <w:jc w:val="both"/>
      </w:pPr>
      <w:r>
        <w:rPr>
          <w:rFonts w:ascii="Barlow Semi Condensed" w:cs="Barlow Semi Condensed" w:eastAsia="Barlow Semi Condensed" w:hAnsi="Barlow Semi Condensed"/>
          <w:sz w:val="24"/>
          <w:szCs w:val="24"/>
        </w:rPr>
        <w:t xml:space="preserve">Einaudi riceve la </w:t>
      </w:r>
      <w:r>
        <w:rPr>
          <w:rFonts w:ascii="Barlow Semi Condensed" w:cs="Barlow Semi Condensed" w:eastAsia="Barlow Semi Condensed" w:hAnsi="Barlow Semi Condensed"/>
          <w:b/>
          <w:bCs/>
          <w:sz w:val="24"/>
          <w:szCs w:val="24"/>
        </w:rPr>
        <w:t xml:space="preserve">saggistica all'indirizzo einaudi@einaudi.it</w:t>
      </w:r>
      <w:r>
        <w:rPr>
          <w:rFonts w:ascii="Barlow Semi Condensed" w:cs="Barlow Semi Condensed" w:eastAsia="Barlow Semi Condensed" w:hAnsi="Barlow Semi Condensed"/>
          <w:sz w:val="24"/>
          <w:szCs w:val="24"/>
        </w:rPr>
        <w:t xml:space="preserve">, chiedendo di</w:t>
      </w:r>
    </w:p>
    <w:p>
      <w:pPr>
        <w:spacing w:after="120" w:line="276"/>
        <w:jc w:val="both"/>
      </w:pPr>
      <w:r>
        <w:rPr>
          <w:rFonts w:ascii="Barlow Semi Condensed" w:cs="Barlow Semi Condensed" w:eastAsia="Barlow Semi Condensed" w:hAnsi="Barlow Semi Condensed"/>
          <w:sz w:val="24"/>
          <w:szCs w:val="24"/>
        </w:rPr>
        <w:t xml:space="preserve">allegare un </w:t>
      </w:r>
      <w:r>
        <w:rPr>
          <w:rFonts w:ascii="Barlow Semi Condensed" w:cs="Barlow Semi Condensed" w:eastAsia="Barlow Semi Condensed" w:hAnsi="Barlow Semi Condensed"/>
          <w:b/>
          <w:bCs/>
          <w:sz w:val="24"/>
          <w:szCs w:val="24"/>
        </w:rPr>
        <w:t xml:space="preserve">curriculum vitae</w:t>
      </w:r>
      <w:r>
        <w:rPr>
          <w:rFonts w:ascii="Barlow Semi Condensed" w:cs="Barlow Semi Condensed" w:eastAsia="Barlow Semi Condensed" w:hAnsi="Barlow Semi Condensed"/>
          <w:sz w:val="24"/>
          <w:szCs w:val="24"/>
        </w:rPr>
        <w:t xml:space="preserve"> e di ripetere i dati anagrafici, la posta</w:t>
      </w:r>
    </w:p>
    <w:p>
      <w:pPr>
        <w:spacing w:after="120" w:line="276"/>
        <w:jc w:val="both"/>
      </w:pPr>
      <w:r>
        <w:rPr>
          <w:rFonts w:ascii="Barlow Semi Condensed" w:cs="Barlow Semi Condensed" w:eastAsia="Barlow Semi Condensed" w:hAnsi="Barlow Semi Condensed"/>
          <w:sz w:val="24"/>
          <w:szCs w:val="24"/>
        </w:rPr>
        <w:t xml:space="preserve">elettronica e il telefono </w:t>
      </w:r>
      <w:r>
        <w:rPr>
          <w:rFonts w:ascii="Barlow Semi Condensed" w:cs="Barlow Semi Condensed" w:eastAsia="Barlow Semi Condensed" w:hAnsi="Barlow Semi Condensed"/>
          <w:b/>
          <w:bCs/>
          <w:sz w:val="24"/>
          <w:szCs w:val="24"/>
        </w:rPr>
        <w:t xml:space="preserve">anche dentro il documento allegato</w:t>
      </w:r>
      <w:r>
        <w:rPr>
          <w:rFonts w:ascii="Barlow Semi Condensed" w:cs="Barlow Semi Condensed" w:eastAsia="Barlow Semi Condensed" w:hAnsi="Barlow Semi Condensed"/>
          <w:sz w:val="24"/>
          <w:szCs w:val="24"/>
        </w:rPr>
        <w:t xml:space="preserve">. La redazione</w:t>
      </w:r>
    </w:p>
    <w:p>
      <w:pPr>
        <w:spacing w:after="120" w:line="276"/>
        <w:jc w:val="both"/>
      </w:pPr>
      <w:r>
        <w:rPr>
          <w:rFonts w:ascii="Barlow Semi Condensed" w:cs="Barlow Semi Condensed" w:eastAsia="Barlow Semi Condensed" w:hAnsi="Barlow Semi Condensed"/>
          <w:sz w:val="24"/>
          <w:szCs w:val="24"/>
        </w:rPr>
        <w:t xml:space="preserve">contatta gli autori </w:t>
      </w:r>
      <w:r>
        <w:rPr>
          <w:rFonts w:ascii="Barlow Semi Condensed" w:cs="Barlow Semi Condensed" w:eastAsia="Barlow Semi Condensed" w:hAnsi="Barlow Semi Condensed"/>
          <w:b/>
          <w:bCs/>
          <w:sz w:val="24"/>
          <w:szCs w:val="24"/>
        </w:rPr>
        <w:t xml:space="preserve">soltanto in caso di interesse</w:t>
      </w:r>
      <w:r>
        <w:rPr>
          <w:rFonts w:ascii="Barlow Semi Condensed" w:cs="Barlow Semi Condensed" w:eastAsia="Barlow Semi Condensed" w:hAnsi="Barlow Semi Condensed"/>
          <w:sz w:val="24"/>
          <w:szCs w:val="24"/>
        </w:rPr>
        <w:t xml:space="preserve">, in un tempo stimabile</w:t>
      </w:r>
    </w:p>
    <w:p>
      <w:pPr>
        <w:spacing w:after="120" w:line="276"/>
        <w:jc w:val="both"/>
      </w:pPr>
      <w:r>
        <w:rPr>
          <w:rFonts w:ascii="Barlow Semi Condensed" w:cs="Barlow Semi Condensed" w:eastAsia="Barlow Semi Condensed" w:hAnsi="Barlow Semi Condensed"/>
          <w:b/>
          <w:bCs/>
          <w:sz w:val="24"/>
          <w:szCs w:val="24"/>
        </w:rPr>
        <w:t xml:space="preserve">intorno ai sei mesi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L'avvertimento.</w:t>
      </w:r>
      <w:r>
        <w:rPr>
          <w:rFonts w:ascii="Barlow Semi Condensed" w:cs="Barlow Semi Condensed" w:eastAsia="Barlow Semi Condensed" w:hAnsi="Barlow Semi Condensed"/>
          <w:sz w:val="24"/>
          <w:szCs w:val="24"/>
        </w:rPr>
        <w:t xml:space="preserve"> Per la saggistica Einaudi valuta l'opera, non l'idea. Una</w:t>
      </w:r>
    </w:p>
    <w:p>
      <w:pPr>
        <w:spacing w:after="120" w:line="276"/>
        <w:jc w:val="both"/>
      </w:pPr>
      <w:r>
        <w:rPr>
          <w:rFonts w:ascii="Barlow Semi Condensed" w:cs="Barlow Semi Condensed" w:eastAsia="Barlow Semi Condensed" w:hAnsi="Barlow Semi Condensed"/>
          <w:sz w:val="24"/>
          <w:szCs w:val="24"/>
        </w:rPr>
        <w:t xml:space="preserve">proposta di due pagine su un libro non ancora scritto, presso questo editore, ha</w:t>
      </w:r>
    </w:p>
    <w:p>
      <w:pPr>
        <w:spacing w:after="120" w:line="276"/>
        <w:jc w:val="both"/>
      </w:pPr>
      <w:r>
        <w:rPr>
          <w:rFonts w:ascii="Barlow Semi Condensed" w:cs="Barlow Semi Condensed" w:eastAsia="Barlow Semi Condensed" w:hAnsi="Barlow Semi Condensed"/>
          <w:sz w:val="24"/>
          <w:szCs w:val="24"/>
        </w:rPr>
        <w:t xml:space="preserve">una probabilità molto bassa — non per severità, ma perché non è ciò che il</w:t>
      </w:r>
    </w:p>
    <w:p>
      <w:pPr>
        <w:spacing w:after="120" w:line="276"/>
        <w:jc w:val="both"/>
      </w:pPr>
      <w:r>
        <w:rPr>
          <w:rFonts w:ascii="Barlow Semi Condensed" w:cs="Barlow Semi Condensed" w:eastAsia="Barlow Semi Condensed" w:hAnsi="Barlow Semi Condensed"/>
          <w:sz w:val="24"/>
          <w:szCs w:val="24"/>
        </w:rPr>
        <w:t xml:space="preserve">canale è fatto per ricevere. **Il mio consiglio è di non inviare a Einaudi finché</w:t>
      </w:r>
    </w:p>
    <w:p>
      <w:pPr>
        <w:spacing w:after="120" w:line="276"/>
        <w:jc w:val="both"/>
      </w:pPr>
      <w:r>
        <w:rPr>
          <w:rFonts w:ascii="Barlow Semi Condensed" w:cs="Barlow Semi Condensed" w:eastAsia="Barlow Semi Condensed" w:hAnsi="Barlow Semi Condensed"/>
          <w:sz w:val="24"/>
          <w:szCs w:val="24"/>
        </w:rPr>
        <w:t xml:space="preserve">il saggio non è scritto**, e di usare nel frattempo il Mulino e Carocci, che</w:t>
      </w:r>
    </w:p>
    <w:p>
      <w:pPr>
        <w:spacing w:after="120" w:line="276"/>
        <w:jc w:val="both"/>
      </w:pPr>
      <w:r>
        <w:rPr>
          <w:rFonts w:ascii="Barlow Semi Condensed" w:cs="Barlow Semi Condensed" w:eastAsia="Barlow Semi Condensed" w:hAnsi="Barlow Semi Condensed"/>
          <w:sz w:val="24"/>
          <w:szCs w:val="24"/>
        </w:rPr>
        <w:t xml:space="preserve">valutano progetti.</w:t>
      </w:r>
    </w:p>
    <w:p>
      <w:pPr>
        <w:spacing w:after="120" w:line="276"/>
        <w:jc w:val="both"/>
      </w:pPr>
      <w:r>
        <w:rPr>
          <w:rFonts w:ascii="Barlow Semi Condensed" w:cs="Barlow Semi Condensed" w:eastAsia="Barlow Semi Condensed" w:hAnsi="Barlow Semi Condensed"/>
          <w:sz w:val="24"/>
          <w:szCs w:val="24"/>
        </w:rPr>
        <w:t xml:space="preserve">Se si vuole comunque inviare ora, quanto segue è la forma migliore possibile —</w:t>
      </w:r>
    </w:p>
    <w:p>
      <w:pPr>
        <w:spacing w:after="120" w:line="276"/>
        <w:jc w:val="both"/>
      </w:pPr>
      <w:r>
        <w:rPr>
          <w:rFonts w:ascii="Barlow Semi Condensed" w:cs="Barlow Semi Condensed" w:eastAsia="Barlow Semi Condensed" w:hAnsi="Barlow Semi Condensed"/>
          <w:sz w:val="24"/>
          <w:szCs w:val="24"/>
        </w:rPr>
        <w:t xml:space="preserve">ma va inviato sapendo che è un tentativo.</w:t>
      </w:r>
    </w:p>
    <w:p>
      <w:pPr>
        <w:pStyle w:val="Heading2"/>
        <w:spacing w:after="100" w:before="200"/>
      </w:pPr>
      <w:r>
        <w:rPr>
          <w:rFonts w:ascii="Barlow Semi Condensed" w:cs="Barlow Semi Condensed" w:eastAsia="Barlow Semi Condensed" w:hAnsi="Barlow Semi Condensed"/>
          <w:sz w:val="24"/>
          <w:szCs w:val="24"/>
        </w:rPr>
        <w:t xml:space="preserve">Angolatura scelta</w:t>
      </w:r>
    </w:p>
    <w:p>
      <w:pPr>
        <w:spacing w:after="120" w:line="276"/>
        <w:jc w:val="both"/>
      </w:pPr>
      <w:r>
        <w:rPr>
          <w:rFonts w:ascii="Barlow Semi Condensed" w:cs="Barlow Semi Condensed" w:eastAsia="Barlow Semi Condensed" w:hAnsi="Barlow Semi Condensed"/>
          <w:sz w:val="24"/>
          <w:szCs w:val="24"/>
        </w:rPr>
        <w:t xml:space="preserve">Einaudi, e in particolare le sue collane di non-fiction, chiede una </w:t>
      </w:r>
      <w:r>
        <w:rPr>
          <w:rFonts w:ascii="Barlow Semi Condensed" w:cs="Barlow Semi Condensed" w:eastAsia="Barlow Semi Condensed" w:hAnsi="Barlow Semi Condensed"/>
          <w:b/>
          <w:bCs/>
          <w:sz w:val="24"/>
          <w:szCs w:val="24"/>
        </w:rPr>
        <w:t xml:space="preserve">storia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una tesi metodologica: un arco narrativo con un protagonista, un ostacolo e</w:t>
      </w:r>
    </w:p>
    <w:p>
      <w:pPr>
        <w:spacing w:after="120" w:line="276"/>
        <w:jc w:val="both"/>
      </w:pPr>
      <w:r>
        <w:rPr>
          <w:rFonts w:ascii="Barlow Semi Condensed" w:cs="Barlow Semi Condensed" w:eastAsia="Barlow Semi Condensed" w:hAnsi="Barlow Semi Condensed"/>
          <w:sz w:val="24"/>
          <w:szCs w:val="24"/>
        </w:rPr>
        <w:t xml:space="preserve">un esito. La proposta è quindi scritta come racconto di un'impresa che continua a</w:t>
      </w:r>
    </w:p>
    <w:p>
      <w:pPr>
        <w:spacing w:after="120" w:line="276"/>
        <w:jc w:val="both"/>
      </w:pPr>
      <w:r>
        <w:rPr>
          <w:rFonts w:ascii="Barlow Semi Condensed" w:cs="Barlow Semi Condensed" w:eastAsia="Barlow Semi Condensed" w:hAnsi="Barlow Semi Condensed"/>
          <w:sz w:val="24"/>
          <w:szCs w:val="24"/>
        </w:rPr>
        <w:t xml:space="preserve">fallire nei punti interessanti.</w:t>
      </w:r>
    </w:p>
    <w:p>
      <w:pPr>
        <w:pStyle w:val="Heading2"/>
        <w:spacing w:after="100" w:before="200"/>
      </w:pPr>
      <w:r>
        <w:rPr>
          <w:rFonts w:ascii="Barlow Semi Condensed" w:cs="Barlow Semi Condensed" w:eastAsia="Barlow Semi Condensed" w:hAnsi="Barlow Semi Condensed"/>
          <w:sz w:val="24"/>
          <w:szCs w:val="24"/>
        </w:rPr>
        <w:t xml:space="preserve">Testo della proposta</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Il buco misurato</w:t>
      </w:r>
    </w:p>
    <w:p>
      <w:pPr>
        <w:spacing w:after="120" w:line="276"/>
        <w:jc w:val="both"/>
      </w:pPr>
      <w:r>
        <w:rPr>
          <w:rFonts w:ascii="Barlow Semi Condensed" w:cs="Barlow Semi Condensed" w:eastAsia="Barlow Semi Condensed" w:hAnsi="Barlow Semi Condensed"/>
          <w:b/>
          <w:bCs/>
          <w:sz w:val="24"/>
          <w:szCs w:val="24"/>
        </w:rPr>
        <w:t xml:space="preserve">Dichiarazione preliminare, che è anche l'attacco del libro.</w:t>
      </w:r>
      <w:r>
        <w:rPr>
          <w:rFonts w:ascii="Barlow Semi Condensed" w:cs="Barlow Semi Condensed" w:eastAsia="Barlow Semi Condensed" w:hAnsi="Barlow Semi Condensed"/>
          <w:sz w:val="24"/>
          <w:szCs w:val="24"/>
        </w:rPr>
        <w:t xml:space="preserve"> Quest'opera è</w:t>
      </w:r>
    </w:p>
    <w:p>
      <w:pPr>
        <w:spacing w:after="120" w:line="276"/>
        <w:jc w:val="both"/>
      </w:pPr>
      <w:r>
        <w:rPr>
          <w:rFonts w:ascii="Barlow Semi Condensed" w:cs="Barlow Semi Condensed" w:eastAsia="Barlow Semi Condensed" w:hAnsi="Barlow Semi Condensed"/>
          <w:sz w:val="24"/>
          <w:szCs w:val="24"/>
        </w:rPr>
        <w:t xml:space="preserve">nata da un esperimento condotto con sistemi di intelligenza artificiale sotto mia</w:t>
      </w:r>
    </w:p>
    <w:p>
      <w:pPr>
        <w:spacing w:after="120" w:line="276"/>
        <w:jc w:val="both"/>
      </w:pPr>
      <w:r>
        <w:rPr>
          <w:rFonts w:ascii="Barlow Semi Condensed" w:cs="Barlow Semi Condensed" w:eastAsia="Barlow Semi Condensed" w:hAnsi="Barlow Semi Condensed"/>
          <w:sz w:val="24"/>
          <w:szCs w:val="24"/>
        </w:rPr>
        <w:t xml:space="preserve">direzione. Lo dichiaro subito perché è il soggetto del racconto, non il suo</w:t>
      </w:r>
    </w:p>
    <w:p>
      <w:pPr>
        <w:spacing w:after="120" w:line="276"/>
        <w:jc w:val="both"/>
      </w:pPr>
      <w:r>
        <w:rPr>
          <w:rFonts w:ascii="Barlow Semi Condensed" w:cs="Barlow Semi Condensed" w:eastAsia="Barlow Semi Condensed" w:hAnsi="Barlow Semi Condensed"/>
          <w:sz w:val="24"/>
          <w:szCs w:val="24"/>
        </w:rPr>
        <w:t xml:space="preserve">metodo di produzione.</w:t>
      </w:r>
    </w:p>
    <w:p>
      <w:pPr>
        <w:spacing w:after="120" w:line="276"/>
        <w:jc w:val="both"/>
      </w:pPr>
      <w:r>
        <w:rPr>
          <w:rFonts w:ascii="Barlow Semi Condensed" w:cs="Barlow Semi Condensed" w:eastAsia="Barlow Semi Condensed" w:hAnsi="Barlow Semi Condensed"/>
          <w:b/>
          <w:bCs/>
          <w:sz w:val="24"/>
          <w:szCs w:val="24"/>
        </w:rPr>
        <w:t xml:space="preserve">La storia.</w:t>
      </w:r>
      <w:r>
        <w:rPr>
          <w:rFonts w:ascii="Barlow Semi Condensed" w:cs="Barlow Semi Condensed" w:eastAsia="Barlow Semi Condensed" w:hAnsi="Barlow Semi Condensed"/>
          <w:sz w:val="24"/>
          <w:szCs w:val="24"/>
        </w:rPr>
        <w:t xml:space="preserve"> Ho preso il caso più documentato e più infestato dalla dietrologia</w:t>
      </w:r>
    </w:p>
    <w:p>
      <w:pPr>
        <w:spacing w:after="120" w:line="276"/>
        <w:jc w:val="both"/>
      </w:pPr>
      <w:r>
        <w:rPr>
          <w:rFonts w:ascii="Barlow Semi Condensed" w:cs="Barlow Semi Condensed" w:eastAsia="Barlow Semi Condensed" w:hAnsi="Barlow Semi Condensed"/>
          <w:sz w:val="24"/>
          <w:szCs w:val="24"/>
        </w:rPr>
        <w:t xml:space="preserve">della storia repubblicana, e ho messo delle macchine a cercarvi dentro. Volevo</w:t>
      </w:r>
    </w:p>
    <w:p>
      <w:pPr>
        <w:spacing w:after="120" w:line="276"/>
        <w:jc w:val="both"/>
      </w:pPr>
      <w:r>
        <w:rPr>
          <w:rFonts w:ascii="Barlow Semi Condensed" w:cs="Barlow Semi Condensed" w:eastAsia="Barlow Semi Condensed" w:hAnsi="Barlow Semi Condensed"/>
          <w:sz w:val="24"/>
          <w:szCs w:val="24"/>
        </w:rPr>
        <w:t xml:space="preserve">sapere una cosa sola: se, date regole abbastanza severe, una macchina possa fare</w:t>
      </w:r>
    </w:p>
    <w:p>
      <w:pPr>
        <w:spacing w:after="120" w:line="276"/>
        <w:jc w:val="both"/>
      </w:pPr>
      <w:r>
        <w:rPr>
          <w:rFonts w:ascii="Barlow Semi Condensed" w:cs="Barlow Semi Condensed" w:eastAsia="Barlow Semi Condensed" w:hAnsi="Barlow Semi Condensed"/>
          <w:sz w:val="24"/>
          <w:szCs w:val="24"/>
        </w:rPr>
        <w:t xml:space="preserve">ricerca storica senza produrre l'unica cosa che sa produrre benissimo — una</w:t>
      </w:r>
    </w:p>
    <w:p>
      <w:pPr>
        <w:spacing w:after="120" w:line="276"/>
        <w:jc w:val="both"/>
      </w:pPr>
      <w:r>
        <w:rPr>
          <w:rFonts w:ascii="Barlow Semi Condensed" w:cs="Barlow Semi Condensed" w:eastAsia="Barlow Semi Condensed" w:hAnsi="Barlow Semi Condensed"/>
          <w:sz w:val="24"/>
          <w:szCs w:val="24"/>
        </w:rPr>
        <w:t xml:space="preserve">trama.</w:t>
      </w:r>
    </w:p>
    <w:p>
      <w:pPr>
        <w:spacing w:after="120" w:line="276"/>
        <w:jc w:val="both"/>
      </w:pPr>
      <w:r>
        <w:rPr>
          <w:rFonts w:ascii="Barlow Semi Condensed" w:cs="Barlow Semi Condensed" w:eastAsia="Barlow Semi Condensed" w:hAnsi="Barlow Semi Condensed"/>
          <w:sz w:val="24"/>
          <w:szCs w:val="24"/>
        </w:rPr>
        <w:t xml:space="preserve">La risposta breve è che no, non può, e che le regole vanno riscritte mentre si</w:t>
      </w:r>
    </w:p>
    <w:p>
      <w:pPr>
        <w:spacing w:after="120" w:line="276"/>
        <w:jc w:val="both"/>
      </w:pPr>
      <w:r>
        <w:rPr>
          <w:rFonts w:ascii="Barlow Semi Condensed" w:cs="Barlow Semi Condensed" w:eastAsia="Barlow Semi Condensed" w:hAnsi="Barlow Semi Condensed"/>
          <w:sz w:val="24"/>
          <w:szCs w:val="24"/>
        </w:rPr>
        <w:t xml:space="preserve">lavora. Il libro è il diario di quelle riscritture, e ognuna nasce da un</w:t>
      </w:r>
    </w:p>
    <w:p>
      <w:pPr>
        <w:spacing w:after="120" w:line="276"/>
        <w:jc w:val="both"/>
      </w:pPr>
      <w:r>
        <w:rPr>
          <w:rFonts w:ascii="Barlow Semi Condensed" w:cs="Barlow Semi Condensed" w:eastAsia="Barlow Semi Condensed" w:hAnsi="Barlow Semi Condensed"/>
          <w:sz w:val="24"/>
          <w:szCs w:val="24"/>
        </w:rPr>
        <w:t xml:space="preserve">fallimento specifico.</w:t>
      </w:r>
    </w:p>
    <w:p>
      <w:pPr>
        <w:spacing w:after="120" w:line="276"/>
        <w:jc w:val="both"/>
      </w:pPr>
      <w:r>
        <w:rPr>
          <w:rFonts w:ascii="Barlow Semi Condensed" w:cs="Barlow Semi Condensed" w:eastAsia="Barlow Semi Condensed" w:hAnsi="Barlow Semi Condensed"/>
          <w:sz w:val="24"/>
          <w:szCs w:val="24"/>
        </w:rPr>
        <w:t xml:space="preserve">C'è il momento in cui una macchina, incaricata di censire ciò che gli archivi</w:t>
      </w:r>
    </w:p>
    <w:p>
      <w:pPr>
        <w:spacing w:after="120" w:line="276"/>
        <w:jc w:val="both"/>
      </w:pPr>
      <w:r>
        <w:rPr>
          <w:rFonts w:ascii="Barlow Semi Condensed" w:cs="Barlow Semi Condensed" w:eastAsia="Barlow Semi Condensed" w:hAnsi="Barlow Semi Condensed"/>
          <w:sz w:val="24"/>
          <w:szCs w:val="24"/>
        </w:rPr>
        <w:t xml:space="preserve">non dicono, si ferma e osserva che stavo confondendo due cose diverse: un</w:t>
      </w:r>
    </w:p>
    <w:p>
      <w:pPr>
        <w:spacing w:after="120" w:line="276"/>
        <w:jc w:val="both"/>
      </w:pPr>
      <w:r>
        <w:rPr>
          <w:rFonts w:ascii="Barlow Semi Condensed" w:cs="Barlow Semi Condensed" w:eastAsia="Barlow Semi Condensed" w:hAnsi="Barlow Semi Condensed"/>
          <w:sz w:val="24"/>
          <w:szCs w:val="24"/>
        </w:rPr>
        <w:t xml:space="preserve">archivio che è stato interrogato e non ha risposto, e un capitolo che parlava</w:t>
      </w:r>
    </w:p>
    <w:p>
      <w:pPr>
        <w:spacing w:after="120" w:line="276"/>
        <w:jc w:val="both"/>
      </w:pPr>
      <w:r>
        <w:rPr>
          <w:rFonts w:ascii="Barlow Semi Condensed" w:cs="Barlow Semi Condensed" w:eastAsia="Barlow Semi Condensed" w:hAnsi="Barlow Semi Condensed"/>
          <w:sz w:val="24"/>
          <w:szCs w:val="24"/>
        </w:rPr>
        <w:t xml:space="preserve">d'altro. Aveva ragione, e la distinzione non era nelle mie istruzioni.</w:t>
      </w:r>
    </w:p>
    <w:p>
      <w:pPr>
        <w:spacing w:after="120" w:line="276"/>
        <w:jc w:val="both"/>
      </w:pPr>
      <w:r>
        <w:rPr>
          <w:rFonts w:ascii="Barlow Semi Condensed" w:cs="Barlow Semi Condensed" w:eastAsia="Barlow Semi Condensed" w:hAnsi="Barlow Semi Condensed"/>
          <w:sz w:val="24"/>
          <w:szCs w:val="24"/>
        </w:rPr>
        <w:t xml:space="preserve">C'è il momento in cui il controllo automatico che avevo scritto per intercettare</w:t>
      </w:r>
    </w:p>
    <w:p>
      <w:pPr>
        <w:spacing w:after="120" w:line="276"/>
        <w:jc w:val="both"/>
      </w:pPr>
      <w:r>
        <w:rPr>
          <w:rFonts w:ascii="Barlow Semi Condensed" w:cs="Barlow Semi Condensed" w:eastAsia="Barlow Semi Condensed" w:hAnsi="Barlow Semi Condensed"/>
          <w:sz w:val="24"/>
          <w:szCs w:val="24"/>
        </w:rPr>
        <w:t xml:space="preserve">le accuse improprie ha segnalato, una dopo l'altra, proprio le pagine che quelle</w:t>
      </w:r>
    </w:p>
    <w:p>
      <w:pPr>
        <w:spacing w:after="120" w:line="276"/>
        <w:jc w:val="both"/>
      </w:pPr>
      <w:r>
        <w:rPr>
          <w:rFonts w:ascii="Barlow Semi Condensed" w:cs="Barlow Semi Condensed" w:eastAsia="Barlow Semi Condensed" w:hAnsi="Barlow Semi Condensed"/>
          <w:sz w:val="24"/>
          <w:szCs w:val="24"/>
        </w:rPr>
        <w:t xml:space="preserve">accuse le vietavano — perché per vietare una formula bisogna scriverla, e nessun</w:t>
      </w:r>
    </w:p>
    <w:p>
      <w:pPr>
        <w:spacing w:after="120" w:line="276"/>
        <w:jc w:val="both"/>
      </w:pPr>
      <w:r>
        <w:rPr>
          <w:rFonts w:ascii="Barlow Semi Condensed" w:cs="Barlow Semi Condensed" w:eastAsia="Barlow Semi Condensed" w:hAnsi="Barlow Semi Condensed"/>
          <w:sz w:val="24"/>
          <w:szCs w:val="24"/>
        </w:rPr>
        <w:t xml:space="preserve">filtro distingue una regola dalla sua trasgressione.</w:t>
      </w:r>
    </w:p>
    <w:p>
      <w:pPr>
        <w:spacing w:after="120" w:line="276"/>
        <w:jc w:val="both"/>
      </w:pPr>
      <w:r>
        <w:rPr>
          <w:rFonts w:ascii="Barlow Semi Condensed" w:cs="Barlow Semi Condensed" w:eastAsia="Barlow Semi Condensed" w:hAnsi="Barlow Semi Condensed"/>
          <w:sz w:val="24"/>
          <w:szCs w:val="24"/>
        </w:rPr>
        <w:t xml:space="preserve">E c'è il momento in cui ho aperto il documento che tutti citano come la prova di</w:t>
      </w:r>
    </w:p>
    <w:p>
      <w:pPr>
        <w:spacing w:after="120" w:line="276"/>
        <w:jc w:val="both"/>
      </w:pPr>
      <w:r>
        <w:rPr>
          <w:rFonts w:ascii="Barlow Semi Condensed" w:cs="Barlow Semi Condensed" w:eastAsia="Barlow Semi Condensed" w:hAnsi="Barlow Semi Condensed"/>
          <w:sz w:val="24"/>
          <w:szCs w:val="24"/>
        </w:rPr>
        <w:t xml:space="preserve">un ultimatum americano ad Aldo Moro — il verbale dello Studio Ovale del 25</w:t>
      </w:r>
    </w:p>
    <w:p>
      <w:pPr>
        <w:spacing w:after="120" w:line="276"/>
        <w:jc w:val="both"/>
      </w:pPr>
      <w:r>
        <w:rPr>
          <w:rFonts w:ascii="Barlow Semi Condensed" w:cs="Barlow Semi Condensed" w:eastAsia="Barlow Semi Condensed" w:hAnsi="Barlow Semi Condensed"/>
          <w:sz w:val="24"/>
          <w:szCs w:val="24"/>
        </w:rPr>
        <w:t xml:space="preserve">settembre 1974 — e ho constatato che </w:t>
      </w:r>
      <w:r>
        <w:rPr>
          <w:rFonts w:ascii="Barlow Semi Condensed" w:cs="Barlow Semi Condensed" w:eastAsia="Barlow Semi Condensed" w:hAnsi="Barlow Semi Condensed"/>
          <w:b/>
          <w:bCs/>
          <w:sz w:val="24"/>
          <w:szCs w:val="24"/>
        </w:rPr>
        <w:t xml:space="preserve">non contiene quella frase</w:t>
      </w:r>
      <w:r>
        <w:rPr>
          <w:rFonts w:ascii="Barlow Semi Condensed" w:cs="Barlow Semi Condensed" w:eastAsia="Barlow Semi Condensed" w:hAnsi="Barlow Semi Condensed"/>
          <w:sz w:val="24"/>
          <w:szCs w:val="24"/>
        </w:rPr>
        <w:t xml:space="preserve">. La verifica</w:t>
      </w:r>
    </w:p>
    <w:p>
      <w:pPr>
        <w:spacing w:after="120" w:line="276"/>
        <w:jc w:val="both"/>
      </w:pPr>
      <w:r>
        <w:rPr>
          <w:rFonts w:ascii="Barlow Semi Condensed" w:cs="Barlow Semi Condensed" w:eastAsia="Barlow Semi Condensed" w:hAnsi="Barlow Semi Condensed"/>
          <w:sz w:val="24"/>
          <w:szCs w:val="24"/>
        </w:rPr>
        <w:t xml:space="preserve">richiede mezz'ora. Nessuno l'aveva pubblicata. E di quel colloquio, ho scoperto</w:t>
      </w:r>
    </w:p>
    <w:p>
      <w:pPr>
        <w:spacing w:after="120" w:line="276"/>
        <w:jc w:val="both"/>
      </w:pPr>
      <w:r>
        <w:rPr>
          <w:rFonts w:ascii="Barlow Semi Condensed" w:cs="Barlow Semi Condensed" w:eastAsia="Barlow Semi Condensed" w:hAnsi="Barlow Semi Condensed"/>
          <w:sz w:val="24"/>
          <w:szCs w:val="24"/>
        </w:rPr>
        <w:t xml:space="preserve">poi, esiste un solo verbale, quello americano: l'appunto italiano dello stesso</w:t>
      </w:r>
    </w:p>
    <w:p>
      <w:pPr>
        <w:spacing w:after="120" w:line="276"/>
        <w:jc w:val="both"/>
      </w:pPr>
      <w:r>
        <w:rPr>
          <w:rFonts w:ascii="Barlow Semi Condensed" w:cs="Barlow Semi Condensed" w:eastAsia="Barlow Semi Condensed" w:hAnsi="Barlow Semi Condensed"/>
          <w:sz w:val="24"/>
          <w:szCs w:val="24"/>
        </w:rPr>
        <w:t xml:space="preserve">incontro </w:t>
      </w:r>
      <w:r>
        <w:rPr>
          <w:rFonts w:ascii="Barlow Semi Condensed" w:cs="Barlow Semi Condensed" w:eastAsia="Barlow Semi Condensed" w:hAnsi="Barlow Semi Condensed"/>
          <w:b/>
          <w:bCs/>
          <w:sz w:val="24"/>
          <w:szCs w:val="24"/>
        </w:rPr>
        <w:t xml:space="preserve">non risulta essere mai stato cercato da nessuno, in cinquant'anni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libro finisce lì dove finiscono le cose oneste: con un elenco di cose da fare</w:t>
      </w:r>
    </w:p>
    <w:p>
      <w:pPr>
        <w:spacing w:after="120" w:line="276"/>
        <w:jc w:val="both"/>
      </w:pPr>
      <w:r>
        <w:rPr>
          <w:rFonts w:ascii="Barlow Semi Condensed" w:cs="Barlow Semi Condensed" w:eastAsia="Barlow Semi Condensed" w:hAnsi="Barlow Semi Condensed"/>
          <w:sz w:val="24"/>
          <w:szCs w:val="24"/>
        </w:rPr>
        <w:t xml:space="preserve">che non ho fatto io, e con un numero. Quattromilanovecentonovantanove domande, e</w:t>
      </w:r>
    </w:p>
    <w:p>
      <w:pPr>
        <w:spacing w:after="120" w:line="276"/>
        <w:jc w:val="both"/>
      </w:pPr>
      <w:r>
        <w:rPr>
          <w:rFonts w:ascii="Barlow Semi Condensed" w:cs="Barlow Semi Condensed" w:eastAsia="Barlow Semi Condensed" w:hAnsi="Barlow Semi Condensed"/>
          <w:sz w:val="24"/>
          <w:szCs w:val="24"/>
        </w:rPr>
        <w:t xml:space="preserve">non cinquemila, perché la cinquemillesima non ero in grado di formularla senza</w:t>
      </w:r>
    </w:p>
    <w:p>
      <w:pPr>
        <w:spacing w:after="120" w:line="276"/>
        <w:jc w:val="both"/>
      </w:pPr>
      <w:r>
        <w:rPr>
          <w:rFonts w:ascii="Barlow Semi Condensed" w:cs="Barlow Semi Condensed" w:eastAsia="Barlow Semi Condensed" w:hAnsi="Barlow Semi Condensed"/>
          <w:sz w:val="24"/>
          <w:szCs w:val="24"/>
        </w:rPr>
        <w:t xml:space="preserve">ripetere una delle precedenti — e ho preferito lasciare la riga bianca.</w:t>
      </w:r>
    </w:p>
    <w:p>
      <w:pPr>
        <w:spacing w:after="120" w:line="276"/>
        <w:jc w:val="both"/>
      </w:pPr>
      <w:r>
        <w:rPr>
          <w:rFonts w:ascii="Barlow Semi Condensed" w:cs="Barlow Semi Condensed" w:eastAsia="Barlow Semi Condensed" w:hAnsi="Barlow Semi Condensed"/>
          <w:b/>
          <w:bCs/>
          <w:sz w:val="24"/>
          <w:szCs w:val="24"/>
        </w:rPr>
        <w:t xml:space="preserve">Che cosa il libro non è.</w:t>
      </w:r>
      <w:r>
        <w:rPr>
          <w:rFonts w:ascii="Barlow Semi Condensed" w:cs="Barlow Semi Condensed" w:eastAsia="Barlow Semi Condensed" w:hAnsi="Barlow Semi Condensed"/>
          <w:sz w:val="24"/>
          <w:szCs w:val="24"/>
        </w:rPr>
        <w:t xml:space="preserve"> Non è un libro sul caso Moro, non ha una tesi sul</w:t>
      </w:r>
    </w:p>
    <w:p>
      <w:pPr>
        <w:spacing w:after="120" w:line="276"/>
        <w:jc w:val="both"/>
      </w:pPr>
      <w:r>
        <w:rPr>
          <w:rFonts w:ascii="Barlow Semi Condensed" w:cs="Barlow Semi Condensed" w:eastAsia="Barlow Semi Condensed" w:hAnsi="Barlow Semi Condensed"/>
          <w:sz w:val="24"/>
          <w:szCs w:val="24"/>
        </w:rPr>
        <w:t xml:space="preserve">1978, non fa nomi oltre le sentenze definitive. Il caso serve come banco di</w:t>
      </w:r>
    </w:p>
    <w:p>
      <w:pPr>
        <w:spacing w:after="120" w:line="276"/>
        <w:jc w:val="both"/>
      </w:pPr>
      <w:r>
        <w:rPr>
          <w:rFonts w:ascii="Barlow Semi Condensed" w:cs="Barlow Semi Condensed" w:eastAsia="Barlow Semi Condensed" w:hAnsi="Barlow Semi Condensed"/>
          <w:sz w:val="24"/>
          <w:szCs w:val="24"/>
        </w:rPr>
        <w:t xml:space="preserve">prova: è documentatissimo, la sua letteratura è tossica, e chiunque riconosce</w:t>
      </w:r>
    </w:p>
    <w:p>
      <w:pPr>
        <w:spacing w:after="120" w:line="276"/>
        <w:jc w:val="both"/>
      </w:pPr>
      <w:r>
        <w:rPr>
          <w:rFonts w:ascii="Barlow Semi Condensed" w:cs="Barlow Semi Condensed" w:eastAsia="Barlow Semi Condensed" w:hAnsi="Barlow Semi Condensed"/>
          <w:sz w:val="24"/>
          <w:szCs w:val="24"/>
        </w:rPr>
        <w:t xml:space="preserve">quando un ragionamento su di esso sta scivolando.</w:t>
      </w:r>
    </w:p>
    <w:p>
      <w:pPr>
        <w:spacing w:after="120" w:line="276"/>
        <w:jc w:val="both"/>
      </w:pPr>
      <w:r>
        <w:rPr>
          <w:rFonts w:ascii="Barlow Semi Condensed" w:cs="Barlow Semi Condensed" w:eastAsia="Barlow Semi Condensed" w:hAnsi="Barlow Semi Condensed"/>
          <w:b/>
          <w:bCs/>
          <w:sz w:val="24"/>
          <w:szCs w:val="24"/>
        </w:rPr>
        <w:t xml:space="preserve">Estensione</w:t>
      </w:r>
      <w:r>
        <w:rPr>
          <w:rFonts w:ascii="Barlow Semi Condensed" w:cs="Barlow Semi Condensed" w:eastAsia="Barlow Semi Condensed" w:hAnsi="Barlow Semi Condensed"/>
          <w:sz w:val="24"/>
          <w:szCs w:val="24"/>
        </w:rPr>
        <w:t xml:space="preserve">: quarantaquattro pagine nella prima stesura, estendibili alla misura</w:t>
      </w:r>
    </w:p>
    <w:p>
      <w:pPr>
        <w:spacing w:after="120" w:line="276"/>
        <w:jc w:val="both"/>
      </w:pPr>
      <w:r>
        <w:rPr>
          <w:rFonts w:ascii="Barlow Semi Condensed" w:cs="Barlow Semi Condensed" w:eastAsia="Barlow Semi Condensed" w:hAnsi="Barlow Semi Condensed"/>
          <w:sz w:val="24"/>
          <w:szCs w:val="24"/>
        </w:rPr>
        <w:t xml:space="preserve">richiesta.</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il corpus è completo e verificato; **la prima stesura del</w:t>
      </w:r>
    </w:p>
    <w:p>
      <w:pPr>
        <w:spacing w:after="120" w:line="276"/>
        <w:jc w:val="both"/>
      </w:pPr>
      <w:r>
        <w:rPr>
          <w:rFonts w:ascii="Barlow Semi Condensed" w:cs="Barlow Semi Condensed" w:eastAsia="Barlow Semi Condensed" w:hAnsi="Barlow Semi Condensed"/>
          <w:sz w:val="24"/>
          <w:szCs w:val="24"/>
        </w:rPr>
        <w:t xml:space="preserve">libro è completa e la allego**; la lunghezza finale è da concordare. Lo dico in</w:t>
      </w:r>
    </w:p>
    <w:p>
      <w:pPr>
        <w:spacing w:after="120" w:line="276"/>
        <w:jc w:val="both"/>
      </w:pPr>
      <w:r>
        <w:rPr>
          <w:rFonts w:ascii="Barlow Semi Condensed" w:cs="Barlow Semi Condensed" w:eastAsia="Barlow Semi Condensed" w:hAnsi="Barlow Semi Condensed"/>
          <w:sz w:val="24"/>
          <w:szCs w:val="24"/>
        </w:rPr>
        <w:t xml:space="preserve">chiaro perché a questo editore una reticenza su questo punto si paga più del</w:t>
      </w:r>
    </w:p>
    <w:p>
      <w:pPr>
        <w:spacing w:after="120" w:line="276"/>
        <w:jc w:val="both"/>
      </w:pPr>
      <w:r>
        <w:rPr>
          <w:rFonts w:ascii="Barlow Semi Condensed" w:cs="Barlow Semi Condensed" w:eastAsia="Barlow Semi Condensed" w:hAnsi="Barlow Semi Condensed"/>
          <w:sz w:val="24"/>
          <w:szCs w:val="24"/>
        </w:rPr>
        <w:t xml:space="preserve">ritardo che eviterebbe — e perché, se la risposta arriva in sei mesi, in sei mesi</w:t>
      </w:r>
    </w:p>
    <w:p>
      <w:pPr>
        <w:spacing w:after="120" w:line="276"/>
        <w:jc w:val="both"/>
      </w:pPr>
      <w:r>
        <w:rPr>
          <w:rFonts w:ascii="Barlow Semi Condensed" w:cs="Barlow Semi Condensed" w:eastAsia="Barlow Semi Condensed" w:hAnsi="Barlow Semi Condensed"/>
          <w:sz w:val="24"/>
          <w:szCs w:val="24"/>
        </w:rPr>
        <w:t xml:space="preserve">il libro può avere la misura che indicate.</w:t>
      </w:r>
    </w:p>
    <w:p>
      <w:pPr>
        <w:spacing w:after="120" w:line="276"/>
        <w:jc w:val="both"/>
      </w:pPr>
      <w:r>
        <w:rPr>
          <w:rFonts w:ascii="Barlow Semi Condensed" w:cs="Barlow Semi Condensed" w:eastAsia="Barlow Semi Condensed" w:hAnsi="Barlow Semi Condensed"/>
          <w:sz w:val="24"/>
          <w:szCs w:val="24"/>
        </w:rPr>
        <w:t xml:space="preserve">In allegato il curriculum vitae, come da vostre indicazioni.</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sz w:val="24"/>
          <w:szCs w:val="24"/>
        </w:rPr>
        <w:t xml:space="preserve">[dati anagrafici, email, telefono — da ripetere anche nel documento allegato]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Ordine consigliato fra i tre</w:t>
      </w:r>
    </w:p>
    <w:p>
      <w:pPr>
        <w:spacing w:after="120" w:line="276"/>
        <w:jc w:val="both"/>
      </w:pPr>
      <w:r>
        <w:rPr>
          <w:rFonts w:ascii="Barlow Semi Condensed" w:cs="Barlow Semi Condensed" w:eastAsia="Barlow Semi Condensed" w:hAnsi="Barlow Semi Condensed"/>
          <w:b/>
          <w:bCs/>
          <w:sz w:val="24"/>
          <w:szCs w:val="24"/>
        </w:rPr>
        <w:t xml:space="preserve">il Mulino per primo</w:t>
      </w:r>
      <w:r>
        <w:rPr>
          <w:rFonts w:ascii="Barlow Semi Condensed" w:cs="Barlow Semi Condensed" w:eastAsia="Barlow Semi Condensed" w:hAnsi="Barlow Semi Condensed"/>
          <w:sz w:val="24"/>
          <w:szCs w:val="24"/>
        </w:rPr>
        <w:t xml:space="preserve">: valuta progetti, il modulo è fatto per ricevere</w:t>
      </w:r>
    </w:p>
    <w:p>
      <w:pPr>
        <w:spacing w:after="120" w:line="276"/>
        <w:jc w:val="both"/>
      </w:pPr>
      <w:r>
        <w:rPr>
          <w:rFonts w:ascii="Barlow Semi Condensed" w:cs="Barlow Semi Condensed" w:eastAsia="Barlow Semi Condensed" w:hAnsi="Barlow Semi Condensed"/>
          <w:sz w:val="24"/>
          <w:szCs w:val="24"/>
        </w:rPr>
        <w:t xml:space="preserve">esattamente questo, e l'affinità di catalogo è la più alta. **Carocci in</w:t>
      </w:r>
    </w:p>
    <w:p>
      <w:pPr>
        <w:spacing w:after="120" w:line="276"/>
        <w:jc w:val="both"/>
      </w:pPr>
      <w:r>
        <w:rPr>
          <w:rFonts w:ascii="Barlow Semi Condensed" w:cs="Barlow Semi Condensed" w:eastAsia="Barlow Semi Condensed" w:hAnsi="Barlow Semi Condensed"/>
          <w:sz w:val="24"/>
          <w:szCs w:val="24"/>
        </w:rPr>
        <w:t xml:space="preserve">parallelo**: non è concorrente del Mulino perché il libro proposto è un altro —</w:t>
      </w:r>
    </w:p>
    <w:p>
      <w:pPr>
        <w:spacing w:after="120" w:line="276"/>
        <w:jc w:val="both"/>
      </w:pPr>
      <w:r>
        <w:rPr>
          <w:rFonts w:ascii="Barlow Semi Condensed" w:cs="Barlow Semi Condensed" w:eastAsia="Barlow Semi Condensed" w:hAnsi="Barlow Semi Condensed"/>
          <w:sz w:val="24"/>
          <w:szCs w:val="24"/>
        </w:rPr>
        <w:t xml:space="preserve">lì è un testo adottabile, qui un saggio civile. **Einaudi per ultimo, e solo a</w:t>
      </w:r>
    </w:p>
    <w:p>
      <w:pPr>
        <w:spacing w:after="120" w:line="276"/>
        <w:jc w:val="both"/>
      </w:pPr>
      <w:r>
        <w:rPr>
          <w:rFonts w:ascii="Barlow Semi Condensed" w:cs="Barlow Semi Condensed" w:eastAsia="Barlow Semi Condensed" w:hAnsi="Barlow Semi Condensed"/>
          <w:sz w:val="24"/>
          <w:szCs w:val="24"/>
        </w:rPr>
        <w:t xml:space="preserve">libro scritto.**</w:t>
      </w:r>
    </w:p>
    <w:p>
      <w:pPr>
        <w:spacing w:after="120" w:line="276"/>
        <w:jc w:val="both"/>
      </w:pPr>
      <w:r>
        <w:rPr>
          <w:rFonts w:ascii="Barlow Semi Condensed" w:cs="Barlow Semi Condensed" w:eastAsia="Barlow Semi Condensed" w:hAnsi="Barlow Semi Condensed"/>
          <w:sz w:val="24"/>
          <w:szCs w:val="24"/>
        </w:rPr>
        <w:t xml:space="preserve">Inviare a tutti e tre lo stesso giorno lo stesso testo è l'errore da evitare: se</w:t>
      </w:r>
    </w:p>
    <w:p>
      <w:pPr>
        <w:spacing w:after="120" w:line="276"/>
        <w:jc w:val="both"/>
      </w:pPr>
      <w:r>
        <w:rPr>
          <w:rFonts w:ascii="Barlow Semi Condensed" w:cs="Barlow Semi Condensed" w:eastAsia="Barlow Semi Condensed" w:hAnsi="Barlow Semi Condensed"/>
          <w:sz w:val="24"/>
          <w:szCs w:val="24"/>
        </w:rPr>
        <w:t xml:space="preserve">due rispondessero, ci si troverebbe ad aver promesso due libri diversi con lo</w:t>
      </w:r>
    </w:p>
    <w:p>
      <w:pPr>
        <w:spacing w:after="120" w:line="276"/>
        <w:jc w:val="both"/>
      </w:pPr>
      <w:r>
        <w:rPr>
          <w:rFonts w:ascii="Barlow Semi Condensed" w:cs="Barlow Semi Condensed" w:eastAsia="Barlow Semi Condensed" w:hAnsi="Barlow Semi Condensed"/>
          <w:sz w:val="24"/>
          <w:szCs w:val="24"/>
        </w:rPr>
        <w:t xml:space="preserve">stesso titolo.</w:t>
      </w:r>
    </w:p>
    <w:p>
      <w:pPr>
        <w:pStyle w:val="Heading3"/>
        <w:spacing w:after="80" w:before="240"/>
      </w:pPr>
      <w:r>
        <w:rPr>
          <w:rFonts w:ascii="Barlow Semi Condensed" w:cs="Barlow Semi Condensed" w:eastAsia="Barlow Semi Condensed" w:hAnsi="Barlow Semi Condensed"/>
          <w:sz w:val="24"/>
          <w:szCs w:val="24"/>
        </w:rPr>
        <w:t xml:space="preserve">Apparato grafico — Appendici · xiv. A il Mulino, Carocci, Einaudi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IV.xiv: 2.374 parole in 9 sezioni; la più ampia è §3 Angolatura scelta, con 827.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IV.xiv: 65 paragrafi in 9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xv. A Chiarelettere e Bompiani</w:t>
      </w:r>
    </w:p>
    <w:p>
      <w:pPr>
        <w:pStyle w:val="Heading1"/>
        <w:spacing w:after="120" w:before="240"/>
      </w:pPr>
      <w:r>
        <w:rPr>
          <w:rFonts w:ascii="Barlow Semi Condensed" w:cs="Barlow Semi Condensed" w:eastAsia="Barlow Semi Condensed" w:hAnsi="Barlow Semi Condensed"/>
          <w:sz w:val="24"/>
          <w:szCs w:val="24"/>
        </w:rPr>
        <w:t xml:space="preserve">Proposte editoriali — Chiarelettere, Bompiani</w:t>
      </w:r>
    </w:p>
    <w:p>
      <w:pPr>
        <w:spacing w:after="120" w:line="276"/>
        <w:jc w:val="both"/>
      </w:pPr>
      <w:r>
        <w:rPr>
          <w:rFonts w:ascii="Barlow Semi Condensed" w:cs="Barlow Semi Condensed" w:eastAsia="Barlow Semi Condensed" w:hAnsi="Barlow Semi Condensed"/>
          <w:sz w:val="24"/>
          <w:szCs w:val="24"/>
        </w:rPr>
        <w:t xml:space="preserve">*Preparate il 26 agosto 2026. Due editori, due canali diversi, due angolature</w:t>
      </w:r>
    </w:p>
    <w:p>
      <w:pPr>
        <w:spacing w:after="120" w:line="276"/>
        <w:jc w:val="both"/>
      </w:pPr>
      <w:r>
        <w:rPr>
          <w:rFonts w:ascii="Barlow Semi Condensed" w:cs="Barlow Semi Condensed" w:eastAsia="Barlow Semi Condensed" w:hAnsi="Barlow Semi Condensed"/>
          <w:sz w:val="24"/>
          <w:szCs w:val="24"/>
        </w:rPr>
        <w:t xml:space="preserve">diverse dello stesso libro. Verificare le modalità sui siti prima dell'invio:</w:t>
      </w:r>
    </w:p>
    <w:p>
      <w:pPr>
        <w:spacing w:after="120" w:line="276"/>
        <w:jc w:val="both"/>
      </w:pPr>
      <w:r>
        <w:rPr>
          <w:rFonts w:ascii="Barlow Semi Condensed" w:cs="Barlow Semi Condensed" w:eastAsia="Barlow Semi Condensed" w:hAnsi="Barlow Semi Condensed"/>
          <w:sz w:val="24"/>
          <w:szCs w:val="24"/>
        </w:rPr>
        <w:t xml:space="preserve">cambiano.*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Premessa comune</w:t>
      </w:r>
    </w:p>
    <w:p>
      <w:pPr>
        <w:spacing w:after="120" w:line="276"/>
        <w:jc w:val="both"/>
      </w:pPr>
      <w:r>
        <w:rPr>
          <w:rFonts w:ascii="Barlow Semi Condensed" w:cs="Barlow Semi Condensed" w:eastAsia="Barlow Semi Condensed" w:hAnsi="Barlow Semi Condensed"/>
          <w:sz w:val="24"/>
          <w:szCs w:val="24"/>
        </w:rPr>
        <w:t xml:space="preserve">Vale qui tutto ciò che vale per le altre proposte, e va ripetuto perché queste</w:t>
      </w:r>
    </w:p>
    <w:p>
      <w:pPr>
        <w:spacing w:after="120" w:line="276"/>
        <w:jc w:val="both"/>
      </w:pPr>
      <w:r>
        <w:rPr>
          <w:rFonts w:ascii="Barlow Semi Condensed" w:cs="Barlow Semi Condensed" w:eastAsia="Barlow Semi Condensed" w:hAnsi="Barlow Semi Condensed"/>
          <w:sz w:val="24"/>
          <w:szCs w:val="24"/>
        </w:rPr>
        <w:t xml:space="preserve">due partono per ultime e la memoria si logora.</w:t>
      </w:r>
    </w:p>
    <w:p>
      <w:pPr>
        <w:spacing w:after="120" w:line="276"/>
        <w:jc w:val="both"/>
      </w:pPr>
      <w:r>
        <w:rPr>
          <w:rFonts w:ascii="Barlow Semi Condensed" w:cs="Barlow Semi Condensed" w:eastAsia="Barlow Semi Condensed" w:hAnsi="Barlow Semi Condensed"/>
          <w:sz w:val="24"/>
          <w:szCs w:val="24"/>
        </w:rPr>
        <w:t xml:space="preserve">Il libro proposto </w:t>
      </w:r>
      <w:r>
        <w:rPr>
          <w:rFonts w:ascii="Barlow Semi Condensed" w:cs="Barlow Semi Condensed" w:eastAsia="Barlow Semi Condensed" w:hAnsi="Barlow Semi Condensed"/>
          <w:b/>
          <w:bCs/>
          <w:sz w:val="24"/>
          <w:szCs w:val="24"/>
        </w:rPr>
        <w:t xml:space="preserve">non è l'opera documentale di 1.762 pagine</w:t>
      </w:r>
      <w:r>
        <w:rPr>
          <w:rFonts w:ascii="Barlow Semi Condensed" w:cs="Barlow Semi Condensed" w:eastAsia="Barlow Semi Condensed" w:hAnsi="Barlow Semi Condensed"/>
          <w:sz w:val="24"/>
          <w:szCs w:val="24"/>
        </w:rPr>
        <w:t xml:space="preserve">, che resta</w:t>
      </w:r>
    </w:p>
    <w:p>
      <w:pPr>
        <w:spacing w:after="120" w:line="276"/>
        <w:jc w:val="both"/>
      </w:pPr>
      <w:r>
        <w:rPr>
          <w:rFonts w:ascii="Barlow Semi Condensed" w:cs="Barlow Semi Condensed" w:eastAsia="Barlow Semi Condensed" w:hAnsi="Barlow Semi Condensed"/>
          <w:sz w:val="24"/>
          <w:szCs w:val="24"/>
        </w:rPr>
        <w:t xml:space="preserve">apparato di consultazione. È il saggio breve che ne nasce: il resoconto di un</w:t>
      </w:r>
    </w:p>
    <w:p>
      <w:pPr>
        <w:spacing w:after="120" w:line="276"/>
        <w:jc w:val="both"/>
      </w:pPr>
      <w:r>
        <w:rPr>
          <w:rFonts w:ascii="Barlow Semi Condensed" w:cs="Barlow Semi Condensed" w:eastAsia="Barlow Semi Condensed" w:hAnsi="Barlow Semi Condensed"/>
          <w:sz w:val="24"/>
          <w:szCs w:val="24"/>
        </w:rPr>
        <w:t xml:space="preserve">esperimento di ricerca storica assistita da intelligenza artificiale condotto sul</w:t>
      </w:r>
    </w:p>
    <w:p>
      <w:pPr>
        <w:spacing w:after="120" w:line="276"/>
        <w:jc w:val="both"/>
      </w:pPr>
      <w:r>
        <w:rPr>
          <w:rFonts w:ascii="Barlow Semi Condensed" w:cs="Barlow Semi Condensed" w:eastAsia="Barlow Semi Condensed" w:hAnsi="Barlow Semi Condensed"/>
          <w:sz w:val="24"/>
          <w:szCs w:val="24"/>
        </w:rPr>
        <w:t xml:space="preserve">caso Moro, e in particolare dei suoi fallimenti metodologici.</w:t>
      </w:r>
    </w:p>
    <w:p>
      <w:pPr>
        <w:spacing w:after="120" w:line="276"/>
        <w:jc w:val="both"/>
      </w:pPr>
      <w:r>
        <w:rPr>
          <w:rFonts w:ascii="Barlow Semi Condensed" w:cs="Barlow Semi Condensed" w:eastAsia="Barlow Semi Condensed" w:hAnsi="Barlow Semi Condensed"/>
          <w:b/>
          <w:bCs/>
          <w:sz w:val="24"/>
          <w:szCs w:val="24"/>
        </w:rPr>
        <w:t xml:space="preserve">La dichiarazione sull'uso dell'intelligenza artificiale sta in apertura</w:t>
      </w:r>
      <w:r>
        <w:rPr>
          <w:rFonts w:ascii="Barlow Semi Condensed" w:cs="Barlow Semi Condensed" w:eastAsia="Barlow Semi Condensed" w:hAnsi="Barlow Semi Condensed"/>
          <w:sz w:val="24"/>
          <w:szCs w:val="24"/>
        </w:rPr>
        <w:t xml:space="preserve">, in</w:t>
      </w:r>
    </w:p>
    <w:p>
      <w:pPr>
        <w:spacing w:after="120" w:line="276"/>
        <w:jc w:val="both"/>
      </w:pPr>
      <w:r>
        <w:rPr>
          <w:rFonts w:ascii="Barlow Semi Condensed" w:cs="Barlow Semi Condensed" w:eastAsia="Barlow Semi Condensed" w:hAnsi="Barlow Semi Condensed"/>
          <w:sz w:val="24"/>
          <w:szCs w:val="24"/>
        </w:rPr>
        <w:t xml:space="preserve">entrambe. Non è cautela: è l'oggetto del libro.</w:t>
      </w:r>
    </w:p>
    <w:p>
      <w:pPr>
        <w:spacing w:after="120" w:line="276"/>
        <w:jc w:val="both"/>
      </w:pPr>
      <w:r>
        <w:rPr>
          <w:rFonts w:ascii="Barlow Semi Condensed" w:cs="Barlow Semi Condensed" w:eastAsia="Barlow Semi Condensed" w:hAnsi="Barlow Semi Condensed"/>
          <w:b/>
          <w:bCs/>
          <w:sz w:val="24"/>
          <w:szCs w:val="24"/>
        </w:rPr>
        <w:t xml:space="preserve">Lo stato del lavoro si dice con la stessa formula usata ovunque</w:t>
      </w:r>
      <w:r>
        <w:rPr>
          <w:rFonts w:ascii="Barlow Semi Condensed" w:cs="Barlow Semi Condensed" w:eastAsia="Barlow Semi Condensed" w:hAnsi="Barlow Semi Condensed"/>
          <w:sz w:val="24"/>
          <w:szCs w:val="24"/>
        </w:rPr>
        <w:t xml:space="preserve">: il corpus è completo e verificato, e la </w:t>
      </w:r>
      <w:r>
        <w:rPr>
          <w:rFonts w:ascii="Barlow Semi Condensed" w:cs="Barlow Semi Condensed" w:eastAsia="Barlow Semi Condensed" w:hAnsi="Barlow Semi Condensed"/>
          <w:b/>
          <w:bCs/>
          <w:sz w:val="24"/>
          <w:szCs w:val="24"/>
        </w:rPr>
        <w:t xml:space="preserve">prima stesura del libro è completa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sette parti su sette più il registro di chiusura, rilegate in un volume</w:t>
      </w:r>
    </w:p>
    <w:p>
      <w:pPr>
        <w:spacing w:after="120" w:line="276"/>
        <w:jc w:val="both"/>
      </w:pPr>
      <w:r>
        <w:rPr>
          <w:rFonts w:ascii="Barlow Semi Condensed" w:cs="Barlow Semi Condensed" w:eastAsia="Barlow Semi Condensed" w:hAnsi="Barlow Semi Condensed"/>
          <w:sz w:val="24"/>
          <w:szCs w:val="24"/>
        </w:rPr>
        <w:t xml:space="preserve">unico. </w:t>
      </w:r>
      <w:r>
        <w:rPr>
          <w:rFonts w:ascii="Barlow Semi Condensed" w:cs="Barlow Semi Condensed" w:eastAsia="Barlow Semi Condensed" w:hAnsi="Barlow Semi Condensed"/>
          <w:b/>
          <w:bCs/>
          <w:sz w:val="24"/>
          <w:szCs w:val="24"/>
        </w:rPr>
        <w:t xml:space="preserve">La lunghezza finale è da concordare</w:t>
      </w:r>
      <w:r>
        <w:rPr>
          <w:rFonts w:ascii="Barlow Semi Condensed" w:cs="Barlow Semi Condensed" w:eastAsia="Barlow Semi Condensed" w:hAnsi="Barlow Semi Condensed"/>
          <w:sz w:val="24"/>
          <w:szCs w:val="24"/>
        </w:rPr>
        <w:t xml:space="preserve">: il progetto ne prevedeva 250, la</w:t>
      </w:r>
    </w:p>
    <w:p>
      <w:pPr>
        <w:spacing w:after="120" w:line="276"/>
        <w:jc w:val="both"/>
      </w:pPr>
      <w:r>
        <w:rPr>
          <w:rFonts w:ascii="Barlow Semi Condensed" w:cs="Barlow Semi Condensed" w:eastAsia="Barlow Semi Condensed" w:hAnsi="Barlow Semi Condensed"/>
          <w:sz w:val="24"/>
          <w:szCs w:val="24"/>
        </w:rPr>
        <w:t xml:space="preserve">stesura ne fa quaranta tenute strette, e il materiale per estenderle c'è.</w:t>
      </w:r>
    </w:p>
    <w:p>
      <w:pPr>
        <w:spacing w:after="120" w:line="276"/>
        <w:jc w:val="both"/>
      </w:pPr>
      <w:r>
        <w:rPr>
          <w:rFonts w:ascii="Barlow Semi Condensed" w:cs="Barlow Semi Condensed" w:eastAsia="Barlow Semi Condensed" w:hAnsi="Barlow Semi Condensed"/>
          <w:b/>
          <w:bCs/>
          <w:sz w:val="24"/>
          <w:szCs w:val="24"/>
        </w:rPr>
        <w:t xml:space="preserve">Va dichiarata nella lettera anche la forma del libro</w:t>
      </w:r>
      <w:r>
        <w:rPr>
          <w:rFonts w:ascii="Barlow Semi Condensed" w:cs="Barlow Semi Condensed" w:eastAsia="Barlow Semi Condensed" w:hAnsi="Barlow Semi Condensed"/>
          <w:sz w:val="24"/>
          <w:szCs w:val="24"/>
        </w:rPr>
        <w:t xml:space="preserve">, perché è la scelta che</w:t>
      </w:r>
    </w:p>
    <w:p>
      <w:pPr>
        <w:spacing w:after="120" w:line="276"/>
        <w:jc w:val="both"/>
      </w:pPr>
      <w:r>
        <w:rPr>
          <w:rFonts w:ascii="Barlow Semi Condensed" w:cs="Barlow Semi Condensed" w:eastAsia="Barlow Semi Condensed" w:hAnsi="Barlow Semi Condensed"/>
          <w:sz w:val="24"/>
          <w:szCs w:val="24"/>
        </w:rPr>
        <w:t xml:space="preserve">un editore può rifiutare: «Ottanta anni di Pace» è un romanzo evidence-based, non</w:t>
      </w:r>
    </w:p>
    <w:p>
      <w:pPr>
        <w:spacing w:after="120" w:line="276"/>
        <w:jc w:val="both"/>
      </w:pPr>
      <w:r>
        <w:rPr>
          <w:rFonts w:ascii="Barlow Semi Condensed" w:cs="Barlow Semi Condensed" w:eastAsia="Barlow Semi Condensed" w:hAnsi="Barlow Semi Condensed"/>
          <w:sz w:val="24"/>
          <w:szCs w:val="24"/>
        </w:rPr>
        <w:t xml:space="preserve">è sul caso Moro ma su che cosa succede quando si prova a verificarlo, e parla</w:t>
      </w:r>
    </w:p>
    <w:p>
      <w:pPr>
        <w:spacing w:after="120" w:line="276"/>
        <w:jc w:val="both"/>
      </w:pPr>
      <w:r>
        <w:rPr>
          <w:rFonts w:ascii="Barlow Semi Condensed" w:cs="Barlow Semi Condensed" w:eastAsia="Barlow Semi Condensed" w:hAnsi="Barlow Semi Condensed"/>
          <w:b/>
          <w:bCs/>
          <w:sz w:val="24"/>
          <w:szCs w:val="24"/>
        </w:rPr>
        <w:t xml:space="preserve">con la voce di Aldo Moro in prosopopea dichiarata</w:t>
      </w:r>
      <w:r>
        <w:rPr>
          <w:rFonts w:ascii="Barlow Semi Condensed" w:cs="Barlow Semi Condensed" w:eastAsia="Barlow Semi Condensed" w:hAnsi="Barlow Semi Condensed"/>
          <w:sz w:val="24"/>
          <w:szCs w:val="24"/>
        </w:rPr>
        <w:t xml:space="preserve"> — non sono sue parole — che</w:t>
      </w:r>
    </w:p>
    <w:p>
      <w:pPr>
        <w:spacing w:after="120" w:line="276"/>
        <w:jc w:val="both"/>
      </w:pPr>
      <w:r>
        <w:rPr>
          <w:rFonts w:ascii="Barlow Semi Condensed" w:cs="Barlow Semi Condensed" w:eastAsia="Barlow Semi Condensed" w:hAnsi="Barlow Semi Condensed"/>
          <w:sz w:val="24"/>
          <w:szCs w:val="24"/>
        </w:rPr>
        <w:t xml:space="preserve">ragiona sulla prova e mai sui fatti del suo caso. Si dichiara prima della lettura,</w:t>
      </w:r>
    </w:p>
    <w:p>
      <w:pPr>
        <w:spacing w:after="120" w:line="276"/>
        <w:jc w:val="both"/>
      </w:pPr>
      <w:r>
        <w:rPr>
          <w:rFonts w:ascii="Barlow Semi Condensed" w:cs="Barlow Semi Condensed" w:eastAsia="Barlow Semi Condensed" w:hAnsi="Barlow Semi Condensed"/>
          <w:sz w:val="24"/>
          <w:szCs w:val="24"/>
        </w:rPr>
        <w:t xml:space="preserve">non dopo.</w:t>
      </w:r>
    </w:p>
    <w:p>
      <w:pPr>
        <w:spacing w:after="120" w:line="276"/>
        <w:jc w:val="both"/>
      </w:pPr>
      <w:r>
        <w:rPr>
          <w:rFonts w:ascii="Barlow Semi Condensed" w:cs="Barlow Semi Condensed" w:eastAsia="Barlow Semi Condensed" w:hAnsi="Barlow Semi Condensed"/>
          <w:b/>
          <w:bCs/>
          <w:sz w:val="24"/>
          <w:szCs w:val="24"/>
        </w:rPr>
        <w:t xml:space="preserve">Dove si offre il corpus si dichiara l'eccezione del Libro quarto.</w:t>
      </w:r>
      <w:r>
        <w:rPr>
          <w:rFonts w:ascii="Barlow Semi Condensed" w:cs="Barlow Semi Condensed" w:eastAsia="Barlow Semi Condensed" w:hAnsi="Barlow Semi Condensed"/>
          <w:sz w:val="24"/>
          <w:szCs w:val="24"/>
        </w:rPr>
        <w:t xml:space="preserve"> Dei</w:t>
      </w:r>
    </w:p>
    <w:p>
      <w:pPr>
        <w:spacing w:after="120" w:line="276"/>
        <w:jc w:val="both"/>
      </w:pPr>
      <w:r>
        <w:rPr>
          <w:rFonts w:ascii="Barlow Semi Condensed" w:cs="Barlow Semi Condensed" w:eastAsia="Barlow Semi Condensed" w:hAnsi="Barlow Semi Condensed"/>
          <w:sz w:val="24"/>
          <w:szCs w:val="24"/>
        </w:rPr>
        <w:t xml:space="preserve">quattordici Libri uno solo, nella seconda metà, ordina per plausibilità del</w:t>
      </w:r>
    </w:p>
    <w:p>
      <w:pPr>
        <w:spacing w:after="120" w:line="276"/>
        <w:jc w:val="both"/>
      </w:pPr>
      <w:r>
        <w:rPr>
          <w:rFonts w:ascii="Barlow Semi Condensed" w:cs="Barlow Semi Condensed" w:eastAsia="Barlow Semi Condensed" w:hAnsi="Barlow Semi Condensed"/>
          <w:sz w:val="24"/>
          <w:szCs w:val="24"/>
        </w:rPr>
        <w:t xml:space="preserve">coinvolgimento — per categorie di soggetti e non per nomi individuali. È</w:t>
      </w:r>
    </w:p>
    <w:p>
      <w:pPr>
        <w:spacing w:after="120" w:line="276"/>
        <w:jc w:val="both"/>
      </w:pPr>
      <w:r>
        <w:rPr>
          <w:rFonts w:ascii="Barlow Semi Condensed" w:cs="Barlow Semi Condensed" w:eastAsia="Barlow Semi Condensed" w:hAnsi="Barlow Semi Condensed"/>
          <w:sz w:val="24"/>
          <w:szCs w:val="24"/>
        </w:rPr>
        <w:t xml:space="preserve">dichiarata in copertina e vale per quel Libro soltanto. Il saggio non la riprende.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1. Chiarelettere</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sz w:val="24"/>
          <w:szCs w:val="24"/>
        </w:rPr>
        <w:t xml:space="preserve">Proposte a </w:t>
      </w:r>
      <w:r>
        <w:rPr>
          <w:rFonts w:ascii="Barlow Semi Condensed" w:cs="Barlow Semi Condensed" w:eastAsia="Barlow Semi Condensed" w:hAnsi="Barlow Semi Condensed"/>
          <w:b/>
          <w:bCs/>
          <w:sz w:val="24"/>
          <w:szCs w:val="24"/>
        </w:rPr>
        <w:t xml:space="preserve">`proposte.editoriali@chiarelettere.it`</w:t>
      </w:r>
      <w:r>
        <w:rPr>
          <w:rFonts w:ascii="Barlow Semi Condensed" w:cs="Barlow Semi Condensed" w:eastAsia="Barlow Semi Condensed" w:hAnsi="Barlow Semi Condensed"/>
          <w:sz w:val="24"/>
          <w:szCs w:val="24"/>
        </w:rPr>
        <w:t xml:space="preserve">, oppure attraverso il</w:t>
      </w:r>
    </w:p>
    <w:p>
      <w:pPr>
        <w:spacing w:after="120" w:line="276"/>
        <w:jc w:val="both"/>
      </w:pPr>
      <w:r>
        <w:rPr>
          <w:rFonts w:ascii="Barlow Semi Condensed" w:cs="Barlow Semi Condensed" w:eastAsia="Barlow Semi Condensed" w:hAnsi="Barlow Semi Condensed"/>
          <w:sz w:val="24"/>
          <w:szCs w:val="24"/>
        </w:rPr>
        <w:t xml:space="preserve">modulo sul sito — verificare quale sia il canale preferito il giorno dell'invio.</w:t>
      </w:r>
    </w:p>
    <w:p>
      <w:pPr>
        <w:spacing w:after="120" w:line="276"/>
        <w:jc w:val="both"/>
      </w:pPr>
      <w:r>
        <w:rPr>
          <w:rFonts w:ascii="Barlow Semi Condensed" w:cs="Barlow Semi Condensed" w:eastAsia="Barlow Semi Condensed" w:hAnsi="Barlow Semi Condensed"/>
          <w:sz w:val="24"/>
          <w:szCs w:val="24"/>
        </w:rPr>
        <w:t xml:space="preserve">Sede: corso Sempione 2, 20154 Milano.</w:t>
      </w:r>
    </w:p>
    <w:p>
      <w:pPr>
        <w:pStyle w:val="Heading2"/>
        <w:spacing w:after="100" w:before="200"/>
      </w:pPr>
      <w:r>
        <w:rPr>
          <w:rFonts w:ascii="Barlow Semi Condensed" w:cs="Barlow Semi Condensed" w:eastAsia="Barlow Semi Condensed" w:hAnsi="Barlow Semi Condensed"/>
          <w:sz w:val="24"/>
          <w:szCs w:val="24"/>
        </w:rPr>
        <w:t xml:space="preserve">Angolatura scelta, e perché è la più difficile delle sei</w:t>
      </w:r>
    </w:p>
    <w:p>
      <w:pPr>
        <w:spacing w:after="120" w:line="276"/>
        <w:jc w:val="both"/>
      </w:pPr>
      <w:r>
        <w:rPr>
          <w:rFonts w:ascii="Barlow Semi Condensed" w:cs="Barlow Semi Condensed" w:eastAsia="Barlow Semi Condensed" w:hAnsi="Barlow Semi Condensed"/>
          <w:sz w:val="24"/>
          <w:szCs w:val="24"/>
        </w:rPr>
        <w:t xml:space="preserve">Chiarelettere è il catalogo più affine dei nove: saggistica civile e d'inchiesta</w:t>
      </w:r>
    </w:p>
    <w:p>
      <w:pPr>
        <w:spacing w:after="120" w:line="276"/>
        <w:jc w:val="both"/>
      </w:pPr>
      <w:r>
        <w:rPr>
          <w:rFonts w:ascii="Barlow Semi Condensed" w:cs="Barlow Semi Condensed" w:eastAsia="Barlow Semi Condensed" w:hAnsi="Barlow Semi Condensed"/>
          <w:sz w:val="24"/>
          <w:szCs w:val="24"/>
        </w:rPr>
        <w:t xml:space="preserve">italiana, con una tradizione consolidata sulla storia della Repubblica e sui suoi</w:t>
      </w:r>
    </w:p>
    <w:p>
      <w:pPr>
        <w:spacing w:after="120" w:line="276"/>
        <w:jc w:val="both"/>
      </w:pPr>
      <w:r>
        <w:rPr>
          <w:rFonts w:ascii="Barlow Semi Condensed" w:cs="Barlow Semi Condensed" w:eastAsia="Barlow Semi Condensed" w:hAnsi="Barlow Semi Condensed"/>
          <w:sz w:val="24"/>
          <w:szCs w:val="24"/>
        </w:rPr>
        <w:t xml:space="preserve">punti opachi. **Proprio per questo è la porta dove una proposta sbagliata si nota</w:t>
      </w:r>
    </w:p>
    <w:p>
      <w:pPr>
        <w:spacing w:after="120" w:line="276"/>
        <w:jc w:val="both"/>
      </w:pPr>
      <w:r>
        <w:rPr>
          <w:rFonts w:ascii="Barlow Semi Condensed" w:cs="Barlow Semi Condensed" w:eastAsia="Barlow Semi Condensed" w:hAnsi="Barlow Semi Condensed"/>
          <w:sz w:val="24"/>
          <w:szCs w:val="24"/>
        </w:rPr>
        <w:t xml:space="preserve">di più**, e dove l'errore più facile sarebbe promettere ciò che il libro non dà.</w:t>
      </w:r>
    </w:p>
    <w:p>
      <w:pPr>
        <w:spacing w:after="120" w:line="276"/>
        <w:jc w:val="both"/>
      </w:pPr>
      <w:r>
        <w:rPr>
          <w:rFonts w:ascii="Barlow Semi Condensed" w:cs="Barlow Semi Condensed" w:eastAsia="Barlow Semi Condensed" w:hAnsi="Barlow Semi Condensed"/>
          <w:sz w:val="24"/>
          <w:szCs w:val="24"/>
        </w:rPr>
        <w:t xml:space="preserve">Il lettore di Chiarelettere si aspetta un'inchiesta che riveli. Questo libro</w:t>
      </w:r>
    </w:p>
    <w:p>
      <w:pPr>
        <w:spacing w:after="120" w:line="276"/>
        <w:jc w:val="both"/>
      </w:pPr>
      <w:r>
        <w:rPr>
          <w:rFonts w:ascii="Barlow Semi Condensed" w:cs="Barlow Semi Condensed" w:eastAsia="Barlow Semi Condensed" w:hAnsi="Barlow Semi Condensed"/>
          <w:sz w:val="24"/>
          <w:szCs w:val="24"/>
        </w:rPr>
        <w:t xml:space="preserve">dichiara di non rivelare nulla. Fingere il contrario per farsi leggere sarebbe</w:t>
      </w:r>
    </w:p>
    <w:p>
      <w:pPr>
        <w:spacing w:after="120" w:line="276"/>
        <w:jc w:val="both"/>
      </w:pPr>
      <w:r>
        <w:rPr>
          <w:rFonts w:ascii="Barlow Semi Condensed" w:cs="Barlow Semi Condensed" w:eastAsia="Barlow Semi Condensed" w:hAnsi="Barlow Semi Condensed"/>
          <w:sz w:val="24"/>
          <w:szCs w:val="24"/>
        </w:rPr>
        <w:t xml:space="preserve">disonesto verso l'editore e fatale al primo controllo.</w:t>
      </w:r>
    </w:p>
    <w:p>
      <w:pPr>
        <w:spacing w:after="120" w:line="276"/>
        <w:jc w:val="both"/>
      </w:pPr>
      <w:r>
        <w:rPr>
          <w:rFonts w:ascii="Barlow Semi Condensed" w:cs="Barlow Semi Condensed" w:eastAsia="Barlow Semi Condensed" w:hAnsi="Barlow Semi Condensed"/>
          <w:sz w:val="24"/>
          <w:szCs w:val="24"/>
        </w:rPr>
        <w:t xml:space="preserve">L'angolatura giusta è perciò l'opposta, ed è più forte: **il libro non porta una</w:t>
      </w:r>
    </w:p>
    <w:p>
      <w:pPr>
        <w:spacing w:after="120" w:line="276"/>
        <w:jc w:val="both"/>
      </w:pPr>
      <w:r>
        <w:rPr>
          <w:rFonts w:ascii="Barlow Semi Condensed" w:cs="Barlow Semi Condensed" w:eastAsia="Barlow Semi Condensed" w:hAnsi="Barlow Semi Condensed"/>
          <w:sz w:val="24"/>
          <w:szCs w:val="24"/>
        </w:rPr>
        <w:t xml:space="preserve">rivelazione, porta lo strumento per giudicarle**. A un pubblico che ha letto per</w:t>
      </w:r>
    </w:p>
    <w:p>
      <w:pPr>
        <w:spacing w:after="120" w:line="276"/>
        <w:jc w:val="both"/>
      </w:pPr>
      <w:r>
        <w:rPr>
          <w:rFonts w:ascii="Barlow Semi Condensed" w:cs="Barlow Semi Condensed" w:eastAsia="Barlow Semi Condensed" w:hAnsi="Barlow Semi Condensed"/>
          <w:sz w:val="24"/>
          <w:szCs w:val="24"/>
        </w:rPr>
        <w:t xml:space="preserve">quarant'anni ricostruzioni contrastanti dello stesso caso, offre il criterio per</w:t>
      </w:r>
    </w:p>
    <w:p>
      <w:pPr>
        <w:spacing w:after="120" w:line="276"/>
        <w:jc w:val="both"/>
      </w:pPr>
      <w:r>
        <w:rPr>
          <w:rFonts w:ascii="Barlow Semi Condensed" w:cs="Barlow Semi Condensed" w:eastAsia="Barlow Semi Condensed" w:hAnsi="Barlow Semi Condensed"/>
          <w:sz w:val="24"/>
          <w:szCs w:val="24"/>
        </w:rPr>
        <w:t xml:space="preserve">distinguere ciò che è provato da ciò che è soltanto ripetuto — e lo fa</w:t>
      </w:r>
    </w:p>
    <w:p>
      <w:pPr>
        <w:spacing w:after="120" w:line="276"/>
        <w:jc w:val="both"/>
      </w:pPr>
      <w:r>
        <w:rPr>
          <w:rFonts w:ascii="Barlow Semi Condensed" w:cs="Barlow Semi Condensed" w:eastAsia="Barlow Semi Condensed" w:hAnsi="Barlow Semi Condensed"/>
          <w:sz w:val="24"/>
          <w:szCs w:val="24"/>
        </w:rPr>
        <w:t xml:space="preserve">mostrandolo al lavoro, non predicandolo.</w:t>
      </w: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una proposta di saggio breve per la vostra saggistica civile.</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Il lavoro da cui la proposta nasce è stato prodotto</w:t>
      </w:r>
    </w:p>
    <w:p>
      <w:pPr>
        <w:spacing w:after="120" w:line="276"/>
        <w:jc w:val="both"/>
      </w:pPr>
      <w:r>
        <w:rPr>
          <w:rFonts w:ascii="Barlow Semi Condensed" w:cs="Barlow Semi Condensed" w:eastAsia="Barlow Semi Condensed" w:hAnsi="Barlow Semi Condensed"/>
          <w:sz w:val="24"/>
          <w:szCs w:val="24"/>
        </w:rPr>
        <w:t xml:space="preserve">con sistemi di intelligenza artificiale sotto la mia direzione e responsabilità.</w:t>
      </w:r>
    </w:p>
    <w:p>
      <w:pPr>
        <w:spacing w:after="120" w:line="276"/>
        <w:jc w:val="both"/>
      </w:pPr>
      <w:r>
        <w:rPr>
          <w:rFonts w:ascii="Barlow Semi Condensed" w:cs="Barlow Semi Condensed" w:eastAsia="Barlow Semi Condensed" w:hAnsi="Barlow Semi Condensed"/>
          <w:sz w:val="24"/>
          <w:szCs w:val="24"/>
        </w:rPr>
        <w:t xml:space="preserve">Lo dichiaro in apertura perché non è un dettaglio produttivo: è l'oggetto del</w:t>
      </w:r>
    </w:p>
    <w:p>
      <w:pPr>
        <w:spacing w:after="120" w:line="276"/>
        <w:jc w:val="both"/>
      </w:pPr>
      <w:r>
        <w:rPr>
          <w:rFonts w:ascii="Barlow Semi Condensed" w:cs="Barlow Semi Condensed" w:eastAsia="Barlow Semi Condensed" w:hAnsi="Barlow Semi Condensed"/>
          <w:sz w:val="24"/>
          <w:szCs w:val="24"/>
        </w:rPr>
        <w:t xml:space="preserve">libro.</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*Il buco misurato. Come si distingue un fatto da una voce,</w:t>
      </w:r>
    </w:p>
    <w:p>
      <w:pPr>
        <w:spacing w:after="120" w:line="276"/>
        <w:jc w:val="both"/>
      </w:pPr>
      <w:r>
        <w:rPr>
          <w:rFonts w:ascii="Barlow Semi Condensed" w:cs="Barlow Semi Condensed" w:eastAsia="Barlow Semi Condensed" w:hAnsi="Barlow Semi Condensed"/>
          <w:sz w:val="24"/>
          <w:szCs w:val="24"/>
        </w:rPr>
        <w:t xml:space="preserve">nel caso più raccontato d'Italia.*</w:t>
      </w:r>
    </w:p>
    <w:p>
      <w:pPr>
        <w:spacing w:after="120" w:line="276"/>
        <w:jc w:val="both"/>
      </w:pPr>
      <w:r>
        <w:rPr>
          <w:rFonts w:ascii="Barlow Semi Condensed" w:cs="Barlow Semi Condensed" w:eastAsia="Barlow Semi Condensed" w:hAnsi="Barlow Semi Condensed"/>
          <w:b/>
          <w:bCs/>
          <w:sz w:val="24"/>
          <w:szCs w:val="24"/>
        </w:rPr>
        <w:t xml:space="preserve">L'idea.</w:t>
      </w:r>
      <w:r>
        <w:rPr>
          <w:rFonts w:ascii="Barlow Semi Condensed" w:cs="Barlow Semi Condensed" w:eastAsia="Barlow Semi Condensed" w:hAnsi="Barlow Semi Condensed"/>
          <w:sz w:val="24"/>
          <w:szCs w:val="24"/>
        </w:rPr>
        <w:t xml:space="preserve"> Nel 2026 ho messo sistemi di intelligenza artificiale a lavorare sul</w:t>
      </w:r>
    </w:p>
    <w:p>
      <w:pPr>
        <w:spacing w:after="120" w:line="276"/>
        <w:jc w:val="both"/>
      </w:pPr>
      <w:r>
        <w:rPr>
          <w:rFonts w:ascii="Barlow Semi Condensed" w:cs="Barlow Semi Condensed" w:eastAsia="Barlow Semi Condensed" w:hAnsi="Barlow Semi Condensed"/>
          <w:sz w:val="24"/>
          <w:szCs w:val="24"/>
        </w:rPr>
        <w:t xml:space="preserve">caso Moro sotto una disciplina metodologica scritta prima di ciascun lotto e</w:t>
      </w:r>
    </w:p>
    <w:p>
      <w:pPr>
        <w:spacing w:after="120" w:line="276"/>
        <w:jc w:val="both"/>
      </w:pPr>
      <w:r>
        <w:rPr>
          <w:rFonts w:ascii="Barlow Semi Condensed" w:cs="Barlow Semi Condensed" w:eastAsia="Barlow Semi Condensed" w:hAnsi="Barlow Semi Condensed"/>
          <w:sz w:val="24"/>
          <w:szCs w:val="24"/>
        </w:rPr>
        <w:t xml:space="preserve">riscritta ogni volta che un lotto la incrinava. Il caso Moro serviva come banco di</w:t>
      </w:r>
    </w:p>
    <w:p>
      <w:pPr>
        <w:spacing w:after="120" w:line="276"/>
        <w:jc w:val="both"/>
      </w:pPr>
      <w:r>
        <w:rPr>
          <w:rFonts w:ascii="Barlow Semi Condensed" w:cs="Barlow Semi Condensed" w:eastAsia="Barlow Semi Condensed" w:hAnsi="Barlow Semi Condensed"/>
          <w:sz w:val="24"/>
          <w:szCs w:val="24"/>
        </w:rPr>
        <w:t xml:space="preserve">prova: è il più documentato della storia repubblicana e il più infestato dalla</w:t>
      </w:r>
    </w:p>
    <w:p>
      <w:pPr>
        <w:spacing w:after="120" w:line="276"/>
        <w:jc w:val="both"/>
      </w:pPr>
      <w:r>
        <w:rPr>
          <w:rFonts w:ascii="Barlow Semi Condensed" w:cs="Barlow Semi Condensed" w:eastAsia="Barlow Semi Condensed" w:hAnsi="Barlow Semi Condensed"/>
          <w:sz w:val="24"/>
          <w:szCs w:val="24"/>
        </w:rPr>
        <w:t xml:space="preserve">dietrologia, e chiunque riconosce quando un ragionamento su di esso sta</w:t>
      </w:r>
    </w:p>
    <w:p>
      <w:pPr>
        <w:spacing w:after="120" w:line="276"/>
        <w:jc w:val="both"/>
      </w:pPr>
      <w:r>
        <w:rPr>
          <w:rFonts w:ascii="Barlow Semi Condensed" w:cs="Barlow Semi Condensed" w:eastAsia="Barlow Semi Condensed" w:hAnsi="Barlow Semi Condensed"/>
          <w:sz w:val="24"/>
          <w:szCs w:val="24"/>
        </w:rPr>
        <w:t xml:space="preserve">scivolando. Il libro non è il corpus che ne è uscito: è **il resoconto</w:t>
      </w:r>
    </w:p>
    <w:p>
      <w:pPr>
        <w:spacing w:after="120" w:line="276"/>
        <w:jc w:val="both"/>
      </w:pPr>
      <w:r>
        <w:rPr>
          <w:rFonts w:ascii="Barlow Semi Condensed" w:cs="Barlow Semi Condensed" w:eastAsia="Barlow Semi Condensed" w:hAnsi="Barlow Semi Condensed"/>
          <w:sz w:val="24"/>
          <w:szCs w:val="24"/>
        </w:rPr>
        <w:t xml:space="preserve">dell'esperimento, e in particolare di ciò che è andato storto**.</w:t>
      </w:r>
    </w:p>
    <w:p>
      <w:pPr>
        <w:spacing w:after="120" w:line="276"/>
        <w:jc w:val="both"/>
      </w:pPr>
      <w:r>
        <w:rPr>
          <w:rFonts w:ascii="Barlow Semi Condensed" w:cs="Barlow Semi Condensed" w:eastAsia="Barlow Semi Condensed" w:hAnsi="Barlow Semi Condensed"/>
          <w:b/>
          <w:bCs/>
          <w:sz w:val="24"/>
          <w:szCs w:val="24"/>
        </w:rPr>
        <w:t xml:space="preserve">Perché credo interessi il vostro catalogo.</w:t>
      </w:r>
      <w:r>
        <w:rPr>
          <w:rFonts w:ascii="Barlow Semi Condensed" w:cs="Barlow Semi Condensed" w:eastAsia="Barlow Semi Condensed" w:hAnsi="Barlow Semi Condensed"/>
          <w:sz w:val="24"/>
          <w:szCs w:val="24"/>
        </w:rPr>
        <w:t xml:space="preserve"> Una macchina messa a cercare</w:t>
      </w:r>
    </w:p>
    <w:p>
      <w:pPr>
        <w:spacing w:after="120" w:line="276"/>
        <w:jc w:val="both"/>
      </w:pPr>
      <w:r>
        <w:rPr>
          <w:rFonts w:ascii="Barlow Semi Condensed" w:cs="Barlow Semi Condensed" w:eastAsia="Barlow Semi Condensed" w:hAnsi="Barlow Semi Condensed"/>
          <w:sz w:val="24"/>
          <w:szCs w:val="24"/>
        </w:rPr>
        <w:t xml:space="preserve">connessioni le trova sempre — e le trova anche dove non ci sono. È la stessa cosa</w:t>
      </w:r>
    </w:p>
    <w:p>
      <w:pPr>
        <w:spacing w:after="120" w:line="276"/>
        <w:jc w:val="both"/>
      </w:pPr>
      <w:r>
        <w:rPr>
          <w:rFonts w:ascii="Barlow Semi Condensed" w:cs="Barlow Semi Condensed" w:eastAsia="Barlow Semi Condensed" w:hAnsi="Barlow Semi Condensed"/>
          <w:sz w:val="24"/>
          <w:szCs w:val="24"/>
        </w:rPr>
        <w:t xml:space="preserve">che fa la cattiva pubblicistica, ma a velocità industriale e senza malafede, il</w:t>
      </w:r>
    </w:p>
    <w:p>
      <w:pPr>
        <w:spacing w:after="120" w:line="276"/>
        <w:jc w:val="both"/>
      </w:pPr>
      <w:r>
        <w:rPr>
          <w:rFonts w:ascii="Barlow Semi Condensed" w:cs="Barlow Semi Condensed" w:eastAsia="Barlow Semi Condensed" w:hAnsi="Barlow Semi Condensed"/>
          <w:sz w:val="24"/>
          <w:szCs w:val="24"/>
        </w:rPr>
        <w:t xml:space="preserve">che la rende un modello di laboratorio perfetto: si vede in vitro come nasce una</w:t>
      </w:r>
    </w:p>
    <w:p>
      <w:pPr>
        <w:spacing w:after="120" w:line="276"/>
        <w:jc w:val="both"/>
      </w:pPr>
      <w:r>
        <w:rPr>
          <w:rFonts w:ascii="Barlow Semi Condensed" w:cs="Barlow Semi Condensed" w:eastAsia="Barlow Semi Condensed" w:hAnsi="Barlow Semi Condensed"/>
          <w:sz w:val="24"/>
          <w:szCs w:val="24"/>
        </w:rPr>
        <w:t xml:space="preserve">falsa connessione. Il libro racconta sette punti in cui la disciplina ha dovuto</w:t>
      </w:r>
    </w:p>
    <w:p>
      <w:pPr>
        <w:spacing w:after="120" w:line="276"/>
        <w:jc w:val="both"/>
      </w:pPr>
      <w:r>
        <w:rPr>
          <w:rFonts w:ascii="Barlow Semi Condensed" w:cs="Barlow Semi Condensed" w:eastAsia="Barlow Semi Condensed" w:hAnsi="Barlow Semi Condensed"/>
          <w:sz w:val="24"/>
          <w:szCs w:val="24"/>
        </w:rPr>
        <w:t xml:space="preserve">essere corretta in corsa, quasi sempre perché un errore di metodo si era</w:t>
      </w:r>
    </w:p>
    <w:p>
      <w:pPr>
        <w:spacing w:after="120" w:line="276"/>
        <w:jc w:val="both"/>
      </w:pPr>
      <w:r>
        <w:rPr>
          <w:rFonts w:ascii="Barlow Semi Condensed" w:cs="Barlow Semi Condensed" w:eastAsia="Barlow Semi Condensed" w:hAnsi="Barlow Semi Condensed"/>
          <w:sz w:val="24"/>
          <w:szCs w:val="24"/>
        </w:rPr>
        <w:t xml:space="preserve">travestito da rigore.</w:t>
      </w:r>
    </w:p>
    <w:p>
      <w:pPr>
        <w:spacing w:after="120" w:line="276"/>
        <w:jc w:val="both"/>
      </w:pPr>
      <w:r>
        <w:rPr>
          <w:rFonts w:ascii="Barlow Semi Condensed" w:cs="Barlow Semi Condensed" w:eastAsia="Barlow Semi Condensed" w:hAnsi="Barlow Semi Condensed"/>
          <w:sz w:val="24"/>
          <w:szCs w:val="24"/>
        </w:rPr>
        <w:t xml:space="preserve">Due esempi, che sono anche accertamenti nuovi: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moltiplicazione apparente delle fonti.</w:t>
      </w:r>
      <w:r>
        <w:rPr>
          <w:rFonts w:ascii="Barlow Semi Condensed" w:cs="Barlow Semi Condensed" w:eastAsia="Barlow Semi Condensed" w:hAnsi="Barlow Semi Condensed"/>
          <w:sz w:val="24"/>
          <w:szCs w:val="24"/>
        </w:rPr>
        <w:t xml:space="preserve"> Una frase attribuita a Henry</w:t>
      </w:r>
    </w:p>
    <w:p>
      <w:pPr>
        <w:spacing w:after="120" w:line="276"/>
        <w:jc w:val="both"/>
      </w:pPr>
      <w:r>
        <w:rPr>
          <w:rFonts w:ascii="Barlow Semi Condensed" w:cs="Barlow Semi Condensed" w:eastAsia="Barlow Semi Condensed" w:hAnsi="Barlow Semi Condensed"/>
          <w:sz w:val="24"/>
          <w:szCs w:val="24"/>
        </w:rPr>
        <w:t xml:space="preserve">  Kissinger e ripetuta da decine di siti risulta, a spoglio, discendere da un</w:t>
      </w:r>
    </w:p>
    <w:p>
      <w:pPr>
        <w:spacing w:after="120" w:line="276"/>
        <w:jc w:val="both"/>
      </w:pPr>
      <w:r>
        <w:rPr>
          <w:rFonts w:ascii="Barlow Semi Condensed" w:cs="Barlow Semi Condensed" w:eastAsia="Barlow Semi Condensed" w:hAnsi="Barlow Semi Condensed"/>
          <w:sz w:val="24"/>
          <w:szCs w:val="24"/>
        </w:rPr>
        <w:t xml:space="preserve">  unico lancio d'agenzia del 30 novembre 2023. Cento riprese di una sola origine</w:t>
      </w:r>
    </w:p>
    <w:p>
      <w:pPr>
        <w:spacing w:after="120" w:line="276"/>
        <w:jc w:val="both"/>
      </w:pPr>
      <w:r>
        <w:rPr>
          <w:rFonts w:ascii="Barlow Semi Condensed" w:cs="Barlow Semi Condensed" w:eastAsia="Barlow Semi Condensed" w:hAnsi="Barlow Semi Condensed"/>
          <w:sz w:val="24"/>
          <w:szCs w:val="24"/>
        </w:rPr>
        <w:t xml:space="preserve">  restano una sola fonte, e nessun sistema automatico lo distingue da solo.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documento che non contiene ciò che tutti citano.</w:t>
      </w:r>
      <w:r>
        <w:rPr>
          <w:rFonts w:ascii="Barlow Semi Condensed" w:cs="Barlow Semi Condensed" w:eastAsia="Barlow Semi Condensed" w:hAnsi="Barlow Semi Condensed"/>
          <w:sz w:val="24"/>
          <w:szCs w:val="24"/>
        </w:rPr>
        <w:t xml:space="preserve"> Il verbale dello Studio</w:t>
      </w:r>
    </w:p>
    <w:p>
      <w:pPr>
        <w:spacing w:after="120" w:line="276"/>
        <w:jc w:val="both"/>
      </w:pPr>
      <w:r>
        <w:rPr>
          <w:rFonts w:ascii="Barlow Semi Condensed" w:cs="Barlow Semi Condensed" w:eastAsia="Barlow Semi Condensed" w:hAnsi="Barlow Semi Condensed"/>
          <w:sz w:val="24"/>
          <w:szCs w:val="24"/>
        </w:rPr>
        <w:t xml:space="preserve">  Ovale del 25 settembre 1974, correntemente presentato come prova documentale di</w:t>
      </w:r>
    </w:p>
    <w:p>
      <w:pPr>
        <w:spacing w:after="120" w:line="276"/>
        <w:jc w:val="both"/>
      </w:pPr>
      <w:r>
        <w:rPr>
          <w:rFonts w:ascii="Barlow Semi Condensed" w:cs="Barlow Semi Condensed" w:eastAsia="Barlow Semi Condensed" w:hAnsi="Barlow Semi Condensed"/>
          <w:sz w:val="24"/>
          <w:szCs w:val="24"/>
        </w:rPr>
        <w:t xml:space="preserve">  un ultimatum ad Aldo Moro, </w:t>
      </w:r>
      <w:r>
        <w:rPr>
          <w:rFonts w:ascii="Barlow Semi Condensed" w:cs="Barlow Semi Condensed" w:eastAsia="Barlow Semi Condensed" w:hAnsi="Barlow Semi Condensed"/>
          <w:b/>
          <w:bCs/>
          <w:sz w:val="24"/>
          <w:szCs w:val="24"/>
        </w:rPr>
        <w:t xml:space="preserve">non lo contiene</w:t>
      </w:r>
      <w:r>
        <w:rPr>
          <w:rFonts w:ascii="Barlow Semi Condensed" w:cs="Barlow Semi Condensed" w:eastAsia="Barlow Semi Condensed" w:hAnsi="Barlow Semi Condensed"/>
          <w:sz w:val="24"/>
          <w:szCs w:val="24"/>
        </w:rPr>
        <w:t xml:space="preserve">. La verifica è alla portata di</w:t>
      </w:r>
    </w:p>
    <w:p>
      <w:pPr>
        <w:spacing w:after="120" w:line="276"/>
        <w:jc w:val="both"/>
      </w:pPr>
      <w:r>
        <w:rPr>
          <w:rFonts w:ascii="Barlow Semi Condensed" w:cs="Barlow Semi Condensed" w:eastAsia="Barlow Semi Condensed" w:hAnsi="Barlow Semi Condensed"/>
          <w:sz w:val="24"/>
          <w:szCs w:val="24"/>
        </w:rPr>
        <w:t xml:space="preserve">  chiunque e nessuno l'aveva pubblicata in questa forma. Di quello stesso</w:t>
      </w:r>
    </w:p>
    <w:p>
      <w:pPr>
        <w:spacing w:after="120" w:line="276"/>
        <w:jc w:val="both"/>
      </w:pPr>
      <w:r>
        <w:rPr>
          <w:rFonts w:ascii="Barlow Semi Condensed" w:cs="Barlow Semi Condensed" w:eastAsia="Barlow Semi Condensed" w:hAnsi="Barlow Semi Condensed"/>
          <w:sz w:val="24"/>
          <w:szCs w:val="24"/>
        </w:rPr>
        <w:t xml:space="preserve">  colloquio esiste un solo verbale, l'americano: l'appunto italiano non risulta</w:t>
      </w:r>
    </w:p>
    <w:p>
      <w:pPr>
        <w:spacing w:after="120" w:line="276"/>
        <w:jc w:val="both"/>
      </w:pPr>
      <w:r>
        <w:rPr>
          <w:rFonts w:ascii="Barlow Semi Condensed" w:cs="Barlow Semi Condensed" w:eastAsia="Barlow Semi Condensed" w:hAnsi="Barlow Semi Condensed"/>
          <w:sz w:val="24"/>
          <w:szCs w:val="24"/>
        </w:rPr>
        <w:t xml:space="preserve">  mai essere stato cercato.</w:t>
      </w:r>
    </w:p>
    <w:p>
      <w:pPr>
        <w:spacing w:after="120" w:line="276"/>
        <w:jc w:val="both"/>
      </w:pPr>
      <w:r>
        <w:rPr>
          <w:rFonts w:ascii="Barlow Semi Condensed" w:cs="Barlow Semi Condensed" w:eastAsia="Barlow Semi Condensed" w:hAnsi="Barlow Semi Condensed"/>
          <w:b/>
          <w:bCs/>
          <w:sz w:val="24"/>
          <w:szCs w:val="24"/>
        </w:rPr>
        <w:t xml:space="preserve">Che cosa il libro non fa, detto subito.</w:t>
      </w:r>
      <w:r>
        <w:rPr>
          <w:rFonts w:ascii="Barlow Semi Condensed" w:cs="Barlow Semi Condensed" w:eastAsia="Barlow Semi Condensed" w:hAnsi="Barlow Semi Condensed"/>
          <w:sz w:val="24"/>
          <w:szCs w:val="24"/>
        </w:rPr>
        <w:t xml:space="preserve"> Non propone una tesi sul caso Moro,</w:t>
      </w:r>
    </w:p>
    <w:p>
      <w:pPr>
        <w:spacing w:after="120" w:line="276"/>
        <w:jc w:val="both"/>
      </w:pPr>
      <w:r>
        <w:rPr>
          <w:rFonts w:ascii="Barlow Semi Condensed" w:cs="Barlow Semi Condensed" w:eastAsia="Barlow Semi Condensed" w:hAnsi="Barlow Semi Condensed"/>
          <w:sz w:val="24"/>
          <w:szCs w:val="24"/>
        </w:rPr>
        <w:t xml:space="preserve">non rivela nulla, non indica alcuna persona come responsabile oltre il giudicato</w:t>
      </w:r>
    </w:p>
    <w:p>
      <w:pPr>
        <w:spacing w:after="120" w:line="276"/>
        <w:jc w:val="both"/>
      </w:pPr>
      <w:r>
        <w:rPr>
          <w:rFonts w:ascii="Barlow Semi Condensed" w:cs="Barlow Semi Condensed" w:eastAsia="Barlow Semi Condensed" w:hAnsi="Barlow Semi Condensed"/>
          <w:sz w:val="24"/>
          <w:szCs w:val="24"/>
        </w:rPr>
        <w:t xml:space="preserve">definitivo. So che questo lo colloca di traverso rispetto a una parte del vostro</w:t>
      </w:r>
    </w:p>
    <w:p>
      <w:pPr>
        <w:spacing w:after="120" w:line="276"/>
        <w:jc w:val="both"/>
      </w:pPr>
      <w:r>
        <w:rPr>
          <w:rFonts w:ascii="Barlow Semi Condensed" w:cs="Barlow Semi Condensed" w:eastAsia="Barlow Semi Condensed" w:hAnsi="Barlow Semi Condensed"/>
          <w:sz w:val="24"/>
          <w:szCs w:val="24"/>
        </w:rPr>
        <w:t xml:space="preserve">catalogo, e lo dico in apertura anziché lasciarlo scoprire: **il libro non porta</w:t>
      </w:r>
    </w:p>
    <w:p>
      <w:pPr>
        <w:spacing w:after="120" w:line="276"/>
        <w:jc w:val="both"/>
      </w:pPr>
      <w:r>
        <w:rPr>
          <w:rFonts w:ascii="Barlow Semi Condensed" w:cs="Barlow Semi Condensed" w:eastAsia="Barlow Semi Condensed" w:hAnsi="Barlow Semi Condensed"/>
          <w:sz w:val="24"/>
          <w:szCs w:val="24"/>
        </w:rPr>
        <w:t xml:space="preserve">una rivelazione, porta il criterio con cui giudicarle**. È il libro che vorrei</w:t>
      </w:r>
    </w:p>
    <w:p>
      <w:pPr>
        <w:spacing w:after="120" w:line="276"/>
        <w:jc w:val="both"/>
      </w:pPr>
      <w:r>
        <w:rPr>
          <w:rFonts w:ascii="Barlow Semi Condensed" w:cs="Barlow Semi Condensed" w:eastAsia="Barlow Semi Condensed" w:hAnsi="Barlow Semi Condensed"/>
          <w:sz w:val="24"/>
          <w:szCs w:val="24"/>
        </w:rPr>
        <w:t xml:space="preserve">avere avuto prima di leggere le altre quaranta ricostruzioni.</w:t>
      </w:r>
    </w:p>
    <w:p>
      <w:pPr>
        <w:spacing w:after="120" w:line="276"/>
        <w:jc w:val="both"/>
      </w:pPr>
      <w:r>
        <w:rPr>
          <w:rFonts w:ascii="Barlow Semi Condensed" w:cs="Barlow Semi Condensed" w:eastAsia="Barlow Semi Condensed" w:hAnsi="Barlow Semi Condensed"/>
          <w:b/>
          <w:bCs/>
          <w:sz w:val="24"/>
          <w:szCs w:val="24"/>
        </w:rPr>
        <w:t xml:space="preserve">Il pubblico.</w:t>
      </w:r>
      <w:r>
        <w:rPr>
          <w:rFonts w:ascii="Barlow Semi Condensed" w:cs="Barlow Semi Condensed" w:eastAsia="Barlow Semi Condensed" w:hAnsi="Barlow Semi Condensed"/>
          <w:sz w:val="24"/>
          <w:szCs w:val="24"/>
        </w:rPr>
        <w:t xml:space="preserve"> Lettori di saggistica civile e d'inchiesta — e, dentro quel</w:t>
      </w:r>
    </w:p>
    <w:p>
      <w:pPr>
        <w:spacing w:after="120" w:line="276"/>
        <w:jc w:val="both"/>
      </w:pPr>
      <w:r>
        <w:rPr>
          <w:rFonts w:ascii="Barlow Semi Condensed" w:cs="Barlow Semi Condensed" w:eastAsia="Barlow Semi Condensed" w:hAnsi="Barlow Semi Condensed"/>
          <w:sz w:val="24"/>
          <w:szCs w:val="24"/>
        </w:rPr>
        <w:t xml:space="preserve">pubblico, chi è stanco di dover scegliere fra la versione ufficiale e la</w:t>
      </w:r>
    </w:p>
    <w:p>
      <w:pPr>
        <w:spacing w:after="120" w:line="276"/>
        <w:jc w:val="both"/>
      </w:pPr>
      <w:r>
        <w:rPr>
          <w:rFonts w:ascii="Barlow Semi Condensed" w:cs="Barlow Semi Condensed" w:eastAsia="Barlow Semi Condensed" w:hAnsi="Barlow Semi Condensed"/>
          <w:sz w:val="24"/>
          <w:szCs w:val="24"/>
        </w:rPr>
        <w:t xml:space="preserve">controversia, e vorrebbe invece gli strumenti per valutarle. Più il pubblico,</w:t>
      </w:r>
    </w:p>
    <w:p>
      <w:pPr>
        <w:spacing w:after="120" w:line="276"/>
        <w:jc w:val="both"/>
      </w:pPr>
      <w:r>
        <w:rPr>
          <w:rFonts w:ascii="Barlow Semi Condensed" w:cs="Barlow Semi Condensed" w:eastAsia="Barlow Semi Condensed" w:hAnsi="Barlow Semi Condensed"/>
          <w:sz w:val="24"/>
          <w:szCs w:val="24"/>
        </w:rPr>
        <w:t xml:space="preserve">oggi mal servito, di chi vuole capire che cosa questi sistemi facciano davvero</w:t>
      </w:r>
    </w:p>
    <w:p>
      <w:pPr>
        <w:spacing w:after="120" w:line="276"/>
        <w:jc w:val="both"/>
      </w:pPr>
      <w:r>
        <w:rPr>
          <w:rFonts w:ascii="Barlow Semi Condensed" w:cs="Barlow Semi Condensed" w:eastAsia="Barlow Semi Condensed" w:hAnsi="Barlow Semi Condensed"/>
          <w:sz w:val="24"/>
          <w:szCs w:val="24"/>
        </w:rPr>
        <w:t xml:space="preserve">quando li si mette al lavoro su qualcosa di verificabile.</w:t>
      </w:r>
    </w:p>
    <w:p>
      <w:pPr>
        <w:spacing w:after="120" w:line="276"/>
        <w:jc w:val="both"/>
      </w:pPr>
      <w:r>
        <w:rPr>
          <w:rFonts w:ascii="Barlow Semi Condensed" w:cs="Barlow Semi Condensed" w:eastAsia="Barlow Semi Condensed" w:hAnsi="Barlow Semi Condensed"/>
          <w:b/>
          <w:bCs/>
          <w:sz w:val="24"/>
          <w:szCs w:val="24"/>
        </w:rPr>
        <w:t xml:space="preserve">Caratteristiche.</w:t>
      </w:r>
      <w:r>
        <w:rPr>
          <w:rFonts w:ascii="Barlow Semi Condensed" w:cs="Barlow Semi Condensed" w:eastAsia="Barlow Semi Condensed" w:hAnsi="Barlow Semi Condensed"/>
          <w:sz w:val="24"/>
          <w:szCs w:val="24"/>
        </w:rPr>
        <w:t xml:space="preserve"> Saggio breve, 140-180 pagine, sette capitoli più</w:t>
      </w:r>
    </w:p>
    <w:p>
      <w:pPr>
        <w:spacing w:after="120" w:line="276"/>
        <w:jc w:val="both"/>
      </w:pPr>
      <w:r>
        <w:rPr>
          <w:rFonts w:ascii="Barlow Semi Condensed" w:cs="Barlow Semi Condensed" w:eastAsia="Barlow Semi Condensed" w:hAnsi="Barlow Semi Condensed"/>
          <w:sz w:val="24"/>
          <w:szCs w:val="24"/>
        </w:rPr>
        <w:t xml:space="preserve">un'appendice con i cinque atti d'archivio eseguibili che l'esperimento ha</w:t>
      </w:r>
    </w:p>
    <w:p>
      <w:pPr>
        <w:spacing w:after="120" w:line="276"/>
        <w:jc w:val="both"/>
      </w:pPr>
      <w:r>
        <w:rPr>
          <w:rFonts w:ascii="Barlow Semi Condensed" w:cs="Barlow Semi Condensed" w:eastAsia="Barlow Semi Condensed" w:hAnsi="Barlow Semi Condensed"/>
          <w:sz w:val="24"/>
          <w:szCs w:val="24"/>
        </w:rPr>
        <w:t xml:space="preserve">prodotto. Nessuna nota a piè di pagina: i riferimenti stanno nel corpo, e</w:t>
      </w:r>
    </w:p>
    <w:p>
      <w:pPr>
        <w:spacing w:after="120" w:line="276"/>
        <w:jc w:val="both"/>
      </w:pPr>
      <w:r>
        <w:rPr>
          <w:rFonts w:ascii="Barlow Semi Condensed" w:cs="Barlow Semi Condensed" w:eastAsia="Barlow Semi Condensed" w:hAnsi="Barlow Semi Condensed"/>
          <w:sz w:val="24"/>
          <w:szCs w:val="24"/>
        </w:rPr>
        <w:t xml:space="preserve">l'apparato completo resta consultabile a parte.</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Il corpus documentale è completo e verificato, e **il libro</w:t>
      </w:r>
    </w:p>
    <w:p>
      <w:pPr>
        <w:spacing w:after="120" w:line="276"/>
        <w:jc w:val="both"/>
      </w:pPr>
      <w:r>
        <w:rPr>
          <w:rFonts w:ascii="Barlow Semi Condensed" w:cs="Barlow Semi Condensed" w:eastAsia="Barlow Semi Condensed" w:hAnsi="Barlow Semi Condensed"/>
          <w:sz w:val="24"/>
          <w:szCs w:val="24"/>
        </w:rPr>
        <w:t xml:space="preserve">è scritto**: allego la prima stesura completa, sette parti più il registro di chiusura. È il</w:t>
      </w:r>
    </w:p>
    <w:p>
      <w:pPr>
        <w:spacing w:after="120" w:line="276"/>
        <w:jc w:val="both"/>
      </w:pPr>
      <w:r>
        <w:rPr>
          <w:rFonts w:ascii="Barlow Semi Condensed" w:cs="Barlow Semi Condensed" w:eastAsia="Barlow Semi Condensed" w:hAnsi="Barlow Semi Condensed"/>
          <w:sz w:val="24"/>
          <w:szCs w:val="24"/>
        </w:rPr>
        <w:t xml:space="preserve">testo su cui chiedo di essere giudicato, e la sua brevità è voluta — la lunghezza</w:t>
      </w:r>
    </w:p>
    <w:p>
      <w:pPr>
        <w:spacing w:after="120" w:line="276"/>
        <w:jc w:val="both"/>
      </w:pPr>
      <w:r>
        <w:rPr>
          <w:rFonts w:ascii="Barlow Semi Condensed" w:cs="Barlow Semi Condensed" w:eastAsia="Barlow Semi Condensed" w:hAnsi="Barlow Semi Condensed"/>
          <w:sz w:val="24"/>
          <w:szCs w:val="24"/>
        </w:rPr>
        <w:t xml:space="preserve">finale la propongo di concordarla con voi, perché diluire un libro che regge è</w:t>
      </w:r>
    </w:p>
    <w:p>
      <w:pPr>
        <w:spacing w:after="120" w:line="276"/>
        <w:jc w:val="both"/>
      </w:pPr>
      <w:r>
        <w:rPr>
          <w:rFonts w:ascii="Barlow Semi Condensed" w:cs="Barlow Semi Condensed" w:eastAsia="Barlow Semi Condensed" w:hAnsi="Barlow Semi Condensed"/>
          <w:sz w:val="24"/>
          <w:szCs w:val="24"/>
        </w:rPr>
        <w:t xml:space="preserve">più facile che scriverne uno che regga.</w:t>
      </w:r>
    </w:p>
    <w:p>
      <w:pPr>
        <w:spacing w:after="120" w:line="276"/>
        <w:jc w:val="both"/>
      </w:pPr>
      <w:r>
        <w:rPr>
          <w:rFonts w:ascii="Barlow Semi Condensed" w:cs="Barlow Semi Condensed" w:eastAsia="Barlow Semi Condensed" w:hAnsi="Barlow Semi Condensed"/>
          <w:sz w:val="24"/>
          <w:szCs w:val="24"/>
        </w:rPr>
        <w:t xml:space="preserve">Il corpus documentale resta disponibile come apparato di riscontro, non come</w:t>
      </w:r>
    </w:p>
    <w:p>
      <w:pPr>
        <w:spacing w:after="120" w:line="276"/>
        <w:jc w:val="both"/>
      </w:pPr>
      <w:r>
        <w:rPr>
          <w:rFonts w:ascii="Barlow Semi Condensed" w:cs="Barlow Semi Condensed" w:eastAsia="Barlow Semi Condensed" w:hAnsi="Barlow Semi Condensed"/>
          <w:sz w:val="24"/>
          <w:szCs w:val="24"/>
        </w:rPr>
        <w:t xml:space="preserve">manoscritto. Va detto, poiché lo offro: dei suoi quattordici Libri uno solo — un</w:t>
      </w:r>
    </w:p>
    <w:p>
      <w:pPr>
        <w:spacing w:after="120" w:line="276"/>
        <w:jc w:val="both"/>
      </w:pPr>
      <w:r>
        <w:rPr>
          <w:rFonts w:ascii="Barlow Semi Condensed" w:cs="Barlow Semi Condensed" w:eastAsia="Barlow Semi Condensed" w:hAnsi="Barlow Semi Condensed"/>
          <w:sz w:val="24"/>
          <w:szCs w:val="24"/>
        </w:rPr>
        <w:t xml:space="preserve">dossier d'autore anteriore, conservato per intero anziché riscritto — nella</w:t>
      </w:r>
    </w:p>
    <w:p>
      <w:pPr>
        <w:spacing w:after="120" w:line="276"/>
        <w:jc w:val="both"/>
      </w:pPr>
      <w:r>
        <w:rPr>
          <w:rFonts w:ascii="Barlow Semi Condensed" w:cs="Barlow Semi Condensed" w:eastAsia="Barlow Semi Condensed" w:hAnsi="Barlow Semi Condensed"/>
          <w:sz w:val="24"/>
          <w:szCs w:val="24"/>
        </w:rPr>
        <w:t xml:space="preserve">seconda metà ordina secondo la plausibilità del coinvolgimento, per categorie di</w:t>
      </w:r>
    </w:p>
    <w:p>
      <w:pPr>
        <w:spacing w:after="120" w:line="276"/>
        <w:jc w:val="both"/>
      </w:pPr>
      <w:r>
        <w:rPr>
          <w:rFonts w:ascii="Barlow Semi Condensed" w:cs="Barlow Semi Condensed" w:eastAsia="Barlow Semi Condensed" w:hAnsi="Barlow Semi Condensed"/>
          <w:sz w:val="24"/>
          <w:szCs w:val="24"/>
        </w:rPr>
        <w:t xml:space="preserve">soggetti e non per nomi individuali. L'eccezione è dichiarata in copertina, vale</w:t>
      </w:r>
    </w:p>
    <w:p>
      <w:pPr>
        <w:spacing w:after="120" w:line="276"/>
        <w:jc w:val="both"/>
      </w:pPr>
      <w:r>
        <w:rPr>
          <w:rFonts w:ascii="Barlow Semi Condensed" w:cs="Barlow Semi Condensed" w:eastAsia="Barlow Semi Condensed" w:hAnsi="Barlow Semi Condensed"/>
          <w:sz w:val="24"/>
          <w:szCs w:val="24"/>
        </w:rPr>
        <w:t xml:space="preserve">per quel Libro soltanto, e ordinare per plausibilità non è condannare. Il saggio</w:t>
      </w:r>
    </w:p>
    <w:p>
      <w:pPr>
        <w:spacing w:after="120" w:line="276"/>
        <w:jc w:val="both"/>
      </w:pPr>
      <w:r>
        <w:rPr>
          <w:rFonts w:ascii="Barlow Semi Condensed" w:cs="Barlow Semi Condensed" w:eastAsia="Barlow Semi Condensed" w:hAnsi="Barlow Semi Condensed"/>
          <w:sz w:val="24"/>
          <w:szCs w:val="24"/>
        </w:rPr>
        <w:t xml:space="preserve">che propongo non la riprende.</w:t>
      </w:r>
    </w:p>
    <w:p>
      <w:pPr>
        <w:spacing w:after="120" w:line="276"/>
        <w:jc w:val="both"/>
      </w:pPr>
      <w:r>
        <w:rPr>
          <w:rFonts w:ascii="Barlow Semi Condensed" w:cs="Barlow Semi Condensed" w:eastAsia="Barlow Semi Condensed" w:hAnsi="Barlow Semi Condensed"/>
          <w:sz w:val="24"/>
          <w:szCs w:val="24"/>
        </w:rPr>
        <w:t xml:space="preserve">Resto a disposizione.</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w:t>
      </w:r>
      <w:r>
        <w:rPr>
          <w:rFonts w:ascii="Barlow Semi Condensed" w:cs="Barlow Semi Condensed" w:eastAsia="Barlow Semi Condensed" w:hAnsi="Barlow Semi Condensed"/>
          <w:sz w:val="24"/>
          <w:szCs w:val="24"/>
        </w:rPr>
        <w:t xml:space="preserve">: [indicare email e telefono]</w:t>
      </w:r>
    </w:p>
    <w:p>
      <w:pPr>
        <w:spacing w:after="120" w:line="276"/>
        <w:jc w:val="both"/>
      </w:pP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Style w:val="Heading2"/>
        <w:spacing w:after="100" w:before="200"/>
      </w:pPr>
      <w:r>
        <w:rPr>
          <w:rFonts w:ascii="Barlow Semi Condensed" w:cs="Barlow Semi Condensed" w:eastAsia="Barlow Semi Condensed" w:hAnsi="Barlow Semi Condensed"/>
          <w:sz w:val="24"/>
          <w:szCs w:val="24"/>
        </w:rPr>
        <w:t xml:space="preserve">Allegati</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ALLEGATO_CAPITOLO_CAMPIONE.pdf</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ALLEGATO_SCHEDA_DELL_OPERA.pdf</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inviata il ………</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2. Bompiani</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b/>
          <w:bCs/>
          <w:sz w:val="24"/>
          <w:szCs w:val="24"/>
        </w:rPr>
        <w:t xml:space="preserve">Modulo online, `manoscritti.bompiani.it`</w:t>
      </w:r>
      <w:r>
        <w:rPr>
          <w:rFonts w:ascii="Barlow Semi Condensed" w:cs="Barlow Semi Condensed" w:eastAsia="Barlow Semi Condensed" w:hAnsi="Barlow Semi Condensed"/>
          <w:sz w:val="24"/>
          <w:szCs w:val="24"/>
        </w:rPr>
        <w:t xml:space="preserve"> (gruppo Giunti). **PDF sotto i 5</w:t>
      </w:r>
    </w:p>
    <w:p>
      <w:pPr>
        <w:spacing w:after="120" w:line="276"/>
        <w:jc w:val="both"/>
      </w:pPr>
      <w:r>
        <w:rPr>
          <w:rFonts w:ascii="Barlow Semi Condensed" w:cs="Barlow Semi Condensed" w:eastAsia="Barlow Semi Condensed" w:hAnsi="Barlow Semi Condensed"/>
          <w:sz w:val="24"/>
          <w:szCs w:val="24"/>
        </w:rPr>
        <w:t xml:space="preserve">MB.** Non si accettano bozze, testi incompleti, tesi di laurea, collegamenti o</w:t>
      </w:r>
    </w:p>
    <w:p>
      <w:pPr>
        <w:spacing w:after="120" w:line="276"/>
        <w:jc w:val="both"/>
      </w:pPr>
      <w:r>
        <w:rPr>
          <w:rFonts w:ascii="Barlow Semi Condensed" w:cs="Barlow Semi Condensed" w:eastAsia="Barlow Semi Condensed" w:hAnsi="Barlow Semi Condensed"/>
          <w:sz w:val="24"/>
          <w:szCs w:val="24"/>
        </w:rPr>
        <w:t xml:space="preserve">file su servizi cloud. Risposta soltanto in caso d'interesse; la segreteria</w:t>
      </w:r>
    </w:p>
    <w:p>
      <w:pPr>
        <w:spacing w:after="120" w:line="276"/>
        <w:jc w:val="both"/>
      </w:pPr>
      <w:r>
        <w:rPr>
          <w:rFonts w:ascii="Barlow Semi Condensed" w:cs="Barlow Semi Condensed" w:eastAsia="Barlow Semi Condensed" w:hAnsi="Barlow Semi Condensed"/>
          <w:sz w:val="24"/>
          <w:szCs w:val="24"/>
        </w:rPr>
        <w:t xml:space="preserve">editoriale non riceve telefonate e i testi non si restituiscono.</w:t>
      </w:r>
    </w:p>
    <w:p>
      <w:pPr>
        <w:pStyle w:val="Heading2"/>
        <w:spacing w:after="100" w:before="200"/>
      </w:pPr>
      <w:r>
        <w:rPr>
          <w:rFonts w:ascii="Barlow Semi Condensed" w:cs="Barlow Semi Condensed" w:eastAsia="Barlow Semi Condensed" w:hAnsi="Barlow Semi Condensed"/>
          <w:sz w:val="24"/>
          <w:szCs w:val="24"/>
        </w:rPr>
        <w:t xml:space="preserve">La regola che decide tutto</w:t>
      </w:r>
    </w:p>
    <w:p>
      <w:pPr>
        <w:spacing w:after="120" w:line="276"/>
        <w:jc w:val="both"/>
      </w:pPr>
      <w:r>
        <w:rPr>
          <w:rFonts w:ascii="Barlow Semi Condensed" w:cs="Barlow Semi Condensed" w:eastAsia="Barlow Semi Condensed" w:hAnsi="Barlow Semi Condensed"/>
          <w:b/>
          <w:bCs/>
          <w:sz w:val="24"/>
          <w:szCs w:val="24"/>
        </w:rPr>
        <w:t xml:space="preserve">Non si può riproporre la stessa proposta entro dodici mesi.</w:t>
      </w:r>
      <w:r>
        <w:rPr>
          <w:rFonts w:ascii="Barlow Semi Condensed" w:cs="Barlow Semi Condensed" w:eastAsia="Barlow Semi Condensed" w:hAnsi="Barlow Semi Condensed"/>
          <w:sz w:val="24"/>
          <w:szCs w:val="24"/>
        </w:rPr>
        <w:t xml:space="preserve"> Si ha un colpo</w:t>
      </w:r>
    </w:p>
    <w:p>
      <w:pPr>
        <w:spacing w:after="120" w:line="276"/>
        <w:jc w:val="both"/>
      </w:pPr>
      <w:r>
        <w:rPr>
          <w:rFonts w:ascii="Barlow Semi Condensed" w:cs="Barlow Semi Condensed" w:eastAsia="Barlow Semi Condensed" w:hAnsi="Barlow Semi Condensed"/>
          <w:sz w:val="24"/>
          <w:szCs w:val="24"/>
        </w:rPr>
        <w:t xml:space="preserve">solo all'anno. Per questo Bompiani sta in terza ondata e **non va bussata prima</w:t>
      </w:r>
    </w:p>
    <w:p>
      <w:pPr>
        <w:spacing w:after="120" w:line="276"/>
        <w:jc w:val="both"/>
      </w:pPr>
      <w:r>
        <w:rPr>
          <w:rFonts w:ascii="Barlow Semi Condensed" w:cs="Barlow Semi Condensed" w:eastAsia="Barlow Semi Condensed" w:hAnsi="Barlow Semi Condensed"/>
          <w:sz w:val="24"/>
          <w:szCs w:val="24"/>
        </w:rPr>
        <w:t xml:space="preserve">che il saggio sia scritto**: spendere l'unico tentativo su un libro che esiste</w:t>
      </w:r>
    </w:p>
    <w:p>
      <w:pPr>
        <w:spacing w:after="120" w:line="276"/>
        <w:jc w:val="both"/>
      </w:pPr>
      <w:r>
        <w:rPr>
          <w:rFonts w:ascii="Barlow Semi Condensed" w:cs="Barlow Semi Condensed" w:eastAsia="Barlow Semi Condensed" w:hAnsi="Barlow Semi Condensed"/>
          <w:sz w:val="24"/>
          <w:szCs w:val="24"/>
        </w:rPr>
        <w:t xml:space="preserve">per un settimo è sprecarlo.</w:t>
      </w:r>
    </w:p>
    <w:p>
      <w:pPr>
        <w:spacing w:after="120" w:line="276"/>
        <w:jc w:val="both"/>
      </w:pPr>
      <w:r>
        <w:rPr>
          <w:rFonts w:ascii="Barlow Semi Condensed" w:cs="Barlow Semi Condensed" w:eastAsia="Barlow Semi Condensed" w:hAnsi="Barlow Semi Condensed"/>
          <w:sz w:val="24"/>
          <w:szCs w:val="24"/>
        </w:rPr>
        <w:t xml:space="preserve">Quanto segue è dunque </w:t>
      </w:r>
      <w:r>
        <w:rPr>
          <w:rFonts w:ascii="Barlow Semi Condensed" w:cs="Barlow Semi Condensed" w:eastAsia="Barlow Semi Condensed" w:hAnsi="Barlow Semi Condensed"/>
          <w:b/>
          <w:bCs/>
          <w:sz w:val="24"/>
          <w:szCs w:val="24"/>
        </w:rPr>
        <w:t xml:space="preserve">pronto ma in attesa</w:t>
      </w:r>
      <w:r>
        <w:rPr>
          <w:rFonts w:ascii="Barlow Semi Condensed" w:cs="Barlow Semi Condensed" w:eastAsia="Barlow Semi Condensed" w:hAnsi="Barlow Semi Condensed"/>
          <w:sz w:val="24"/>
          <w:szCs w:val="24"/>
        </w:rPr>
        <w:t xml:space="preserve">. La casella in fondo si spunta solo</w:t>
      </w:r>
    </w:p>
    <w:p>
      <w:pPr>
        <w:spacing w:after="120" w:line="276"/>
        <w:jc w:val="both"/>
      </w:pPr>
      <w:r>
        <w:rPr>
          <w:rFonts w:ascii="Barlow Semi Condensed" w:cs="Barlow Semi Condensed" w:eastAsia="Barlow Semi Condensed" w:hAnsi="Barlow Semi Condensed"/>
          <w:sz w:val="24"/>
          <w:szCs w:val="24"/>
        </w:rPr>
        <w:t xml:space="preserve">quando il testo c'è.</w:t>
      </w:r>
    </w:p>
    <w:p>
      <w:pPr>
        <w:pStyle w:val="Heading2"/>
        <w:spacing w:after="100" w:before="200"/>
      </w:pPr>
      <w:r>
        <w:rPr>
          <w:rFonts w:ascii="Barlow Semi Condensed" w:cs="Barlow Semi Condensed" w:eastAsia="Barlow Semi Condensed" w:hAnsi="Barlow Semi Condensed"/>
          <w:sz w:val="24"/>
          <w:szCs w:val="24"/>
        </w:rPr>
        <w:t xml:space="preserve">Angolatura scelta</w:t>
      </w:r>
    </w:p>
    <w:p>
      <w:pPr>
        <w:spacing w:after="120" w:line="276"/>
        <w:jc w:val="both"/>
      </w:pPr>
      <w:r>
        <w:rPr>
          <w:rFonts w:ascii="Barlow Semi Condensed" w:cs="Barlow Semi Condensed" w:eastAsia="Barlow Semi Condensed" w:hAnsi="Barlow Semi Condensed"/>
          <w:sz w:val="24"/>
          <w:szCs w:val="24"/>
        </w:rPr>
        <w:t xml:space="preserve">Bompiani è un catalogo generalista di qualità: il suo lettore non è</w:t>
      </w:r>
    </w:p>
    <w:p>
      <w:pPr>
        <w:spacing w:after="120" w:line="276"/>
        <w:jc w:val="both"/>
      </w:pPr>
      <w:r>
        <w:rPr>
          <w:rFonts w:ascii="Barlow Semi Condensed" w:cs="Barlow Semi Condensed" w:eastAsia="Barlow Semi Condensed" w:hAnsi="Barlow Semi Condensed"/>
          <w:sz w:val="24"/>
          <w:szCs w:val="24"/>
        </w:rPr>
        <w:t xml:space="preserve">necessariamente uno specialista di storia repubblicana, e la proposta che</w:t>
      </w:r>
    </w:p>
    <w:p>
      <w:pPr>
        <w:spacing w:after="120" w:line="276"/>
        <w:jc w:val="both"/>
      </w:pPr>
      <w:r>
        <w:rPr>
          <w:rFonts w:ascii="Barlow Semi Condensed" w:cs="Barlow Semi Condensed" w:eastAsia="Barlow Semi Condensed" w:hAnsi="Barlow Semi Condensed"/>
          <w:sz w:val="24"/>
          <w:szCs w:val="24"/>
        </w:rPr>
        <w:t xml:space="preserve">funziona è quella che </w:t>
      </w:r>
      <w:r>
        <w:rPr>
          <w:rFonts w:ascii="Barlow Semi Condensed" w:cs="Barlow Semi Condensed" w:eastAsia="Barlow Semi Condensed" w:hAnsi="Barlow Semi Condensed"/>
          <w:b/>
          <w:bCs/>
          <w:sz w:val="24"/>
          <w:szCs w:val="24"/>
        </w:rPr>
        <w:t xml:space="preserve">racconta l'esperimento come storia</w:t>
      </w:r>
      <w:r>
        <w:rPr>
          <w:rFonts w:ascii="Barlow Semi Condensed" w:cs="Barlow Semi Condensed" w:eastAsia="Barlow Semi Condensed" w:hAnsi="Barlow Semi Condensed"/>
          <w:sz w:val="24"/>
          <w:szCs w:val="24"/>
        </w:rPr>
        <w:t xml:space="preserve">, non come metodo.</w:t>
      </w:r>
    </w:p>
    <w:p>
      <w:pPr>
        <w:spacing w:after="120" w:line="276"/>
        <w:jc w:val="both"/>
      </w:pPr>
      <w:r>
        <w:rPr>
          <w:rFonts w:ascii="Barlow Semi Condensed" w:cs="Barlow Semi Condensed" w:eastAsia="Barlow Semi Condensed" w:hAnsi="Barlow Semi Condensed"/>
          <w:sz w:val="24"/>
          <w:szCs w:val="24"/>
        </w:rPr>
        <w:t xml:space="preserve">Il metodo resta il contenuto, ma l'esca è un'altra: che cosa succede se al caso</w:t>
      </w:r>
    </w:p>
    <w:p>
      <w:pPr>
        <w:spacing w:after="120" w:line="276"/>
        <w:jc w:val="both"/>
      </w:pPr>
      <w:r>
        <w:rPr>
          <w:rFonts w:ascii="Barlow Semi Condensed" w:cs="Barlow Semi Condensed" w:eastAsia="Barlow Semi Condensed" w:hAnsi="Barlow Semi Condensed"/>
          <w:sz w:val="24"/>
          <w:szCs w:val="24"/>
        </w:rPr>
        <w:t xml:space="preserve">più raccontato d'Italia si mette davanti una macchina che non ha letto nessuno</w:t>
      </w:r>
    </w:p>
    <w:p>
      <w:pPr>
        <w:spacing w:after="120" w:line="276"/>
        <w:jc w:val="both"/>
      </w:pPr>
      <w:r>
        <w:rPr>
          <w:rFonts w:ascii="Barlow Semi Condensed" w:cs="Barlow Semi Condensed" w:eastAsia="Barlow Semi Condensed" w:hAnsi="Barlow Semi Condensed"/>
          <w:sz w:val="24"/>
          <w:szCs w:val="24"/>
        </w:rPr>
        <w:t xml:space="preserve">dei libri che lo raccontano.</w:t>
      </w: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una proposta di saggio breve.</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L'opera è stata prodotta con sistemi di</w:t>
      </w:r>
    </w:p>
    <w:p>
      <w:pPr>
        <w:spacing w:after="120" w:line="276"/>
        <w:jc w:val="both"/>
      </w:pPr>
      <w:r>
        <w:rPr>
          <w:rFonts w:ascii="Barlow Semi Condensed" w:cs="Barlow Semi Condensed" w:eastAsia="Barlow Semi Condensed" w:hAnsi="Barlow Semi Condensed"/>
          <w:sz w:val="24"/>
          <w:szCs w:val="24"/>
        </w:rPr>
        <w:t xml:space="preserve">intelligenza artificiale sotto la mia direzione e responsabilità. Lo dichiaro</w:t>
      </w:r>
    </w:p>
    <w:p>
      <w:pPr>
        <w:spacing w:after="120" w:line="276"/>
        <w:jc w:val="both"/>
      </w:pPr>
      <w:r>
        <w:rPr>
          <w:rFonts w:ascii="Barlow Semi Condensed" w:cs="Barlow Semi Condensed" w:eastAsia="Barlow Semi Condensed" w:hAnsi="Barlow Semi Condensed"/>
          <w:sz w:val="24"/>
          <w:szCs w:val="24"/>
        </w:rPr>
        <w:t xml:space="preserve">subito perché è l'oggetto stesso del libro, non una nota tecnica.</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*Il buco misurato. Una macchina, il caso Moro, e ciò che</w:t>
      </w:r>
    </w:p>
    <w:p>
      <w:pPr>
        <w:spacing w:after="120" w:line="276"/>
        <w:jc w:val="both"/>
      </w:pPr>
      <w:r>
        <w:rPr>
          <w:rFonts w:ascii="Barlow Semi Condensed" w:cs="Barlow Semi Condensed" w:eastAsia="Barlow Semi Condensed" w:hAnsi="Barlow Semi Condensed"/>
          <w:sz w:val="24"/>
          <w:szCs w:val="24"/>
        </w:rPr>
        <w:t xml:space="preserve">non c'era.*</w:t>
      </w:r>
    </w:p>
    <w:p>
      <w:pPr>
        <w:spacing w:after="120" w:line="276"/>
        <w:jc w:val="both"/>
      </w:pPr>
      <w:r>
        <w:rPr>
          <w:rFonts w:ascii="Barlow Semi Condensed" w:cs="Barlow Semi Condensed" w:eastAsia="Barlow Semi Condensed" w:hAnsi="Barlow Semi Condensed"/>
          <w:b/>
          <w:bCs/>
          <w:sz w:val="24"/>
          <w:szCs w:val="24"/>
        </w:rPr>
        <w:t xml:space="preserve">L'idea, in una riga.</w:t>
      </w:r>
      <w:r>
        <w:rPr>
          <w:rFonts w:ascii="Barlow Semi Condensed" w:cs="Barlow Semi Condensed" w:eastAsia="Barlow Semi Condensed" w:hAnsi="Barlow Semi Condensed"/>
          <w:sz w:val="24"/>
          <w:szCs w:val="24"/>
        </w:rPr>
        <w:t xml:space="preserve"> Ho dato a una macchina il caso più raccontato d'Italia e</w:t>
      </w:r>
    </w:p>
    <w:p>
      <w:pPr>
        <w:spacing w:after="120" w:line="276"/>
        <w:jc w:val="both"/>
      </w:pPr>
      <w:r>
        <w:rPr>
          <w:rFonts w:ascii="Barlow Semi Condensed" w:cs="Barlow Semi Condensed" w:eastAsia="Barlow Semi Condensed" w:hAnsi="Barlow Semi Condensed"/>
          <w:sz w:val="24"/>
          <w:szCs w:val="24"/>
        </w:rPr>
        <w:t xml:space="preserve">le ho vietato di raccontarlo — e il libro è ciò che è successo.</w:t>
      </w:r>
    </w:p>
    <w:p>
      <w:pPr>
        <w:spacing w:after="120" w:line="276"/>
        <w:jc w:val="both"/>
      </w:pPr>
      <w:r>
        <w:rPr>
          <w:rFonts w:ascii="Barlow Semi Condensed" w:cs="Barlow Semi Condensed" w:eastAsia="Barlow Semi Condensed" w:hAnsi="Barlow Semi Condensed"/>
          <w:b/>
          <w:bCs/>
          <w:sz w:val="24"/>
          <w:szCs w:val="24"/>
        </w:rPr>
        <w:t xml:space="preserve">Che cosa è successo.</w:t>
      </w:r>
      <w:r>
        <w:rPr>
          <w:rFonts w:ascii="Barlow Semi Condensed" w:cs="Barlow Semi Condensed" w:eastAsia="Barlow Semi Condensed" w:hAnsi="Barlow Semi Condensed"/>
          <w:sz w:val="24"/>
          <w:szCs w:val="24"/>
        </w:rPr>
        <w:t xml:space="preserve"> Nel 2026 ho messo sistemi di intelligenza artificiale a</w:t>
      </w:r>
    </w:p>
    <w:p>
      <w:pPr>
        <w:spacing w:after="120" w:line="276"/>
        <w:jc w:val="both"/>
      </w:pPr>
      <w:r>
        <w:rPr>
          <w:rFonts w:ascii="Barlow Semi Condensed" w:cs="Barlow Semi Condensed" w:eastAsia="Barlow Semi Condensed" w:hAnsi="Barlow Semi Condensed"/>
          <w:sz w:val="24"/>
          <w:szCs w:val="24"/>
        </w:rPr>
        <w:t xml:space="preserve">lavorare sul sequestro e l'omicidio di Aldo Moro sotto una disciplina scritta</w:t>
      </w:r>
    </w:p>
    <w:p>
      <w:pPr>
        <w:spacing w:after="120" w:line="276"/>
        <w:jc w:val="both"/>
      </w:pPr>
      <w:r>
        <w:rPr>
          <w:rFonts w:ascii="Barlow Semi Condensed" w:cs="Barlow Semi Condensed" w:eastAsia="Barlow Semi Condensed" w:hAnsi="Barlow Semi Condensed"/>
          <w:sz w:val="24"/>
          <w:szCs w:val="24"/>
        </w:rPr>
        <w:t xml:space="preserve">prima di cominciare: un legame vale solo se un documento nomina entrambe le parti;</w:t>
      </w:r>
    </w:p>
    <w:p>
      <w:pPr>
        <w:spacing w:after="120" w:line="276"/>
        <w:jc w:val="both"/>
      </w:pPr>
      <w:r>
        <w:rPr>
          <w:rFonts w:ascii="Barlow Semi Condensed" w:cs="Barlow Semi Condensed" w:eastAsia="Barlow Semi Condensed" w:hAnsi="Barlow Semi Condensed"/>
          <w:sz w:val="24"/>
          <w:szCs w:val="24"/>
        </w:rPr>
        <w:t xml:space="preserve">la contemporaneità non è prova; nessuno è responsabile oltre il giudicato. La</w:t>
      </w:r>
    </w:p>
    <w:p>
      <w:pPr>
        <w:spacing w:after="120" w:line="276"/>
        <w:jc w:val="both"/>
      </w:pPr>
      <w:r>
        <w:rPr>
          <w:rFonts w:ascii="Barlow Semi Condensed" w:cs="Barlow Semi Condensed" w:eastAsia="Barlow Semi Condensed" w:hAnsi="Barlow Semi Condensed"/>
          <w:sz w:val="24"/>
          <w:szCs w:val="24"/>
        </w:rPr>
        <w:t xml:space="preserve">disciplina si è incrinata sette volte, e ogni volta per la stessa ragione: **un</w:t>
      </w:r>
    </w:p>
    <w:p>
      <w:pPr>
        <w:spacing w:after="120" w:line="276"/>
        <w:jc w:val="both"/>
      </w:pPr>
      <w:r>
        <w:rPr>
          <w:rFonts w:ascii="Barlow Semi Condensed" w:cs="Barlow Semi Condensed" w:eastAsia="Barlow Semi Condensed" w:hAnsi="Barlow Semi Condensed"/>
          <w:sz w:val="24"/>
          <w:szCs w:val="24"/>
        </w:rPr>
        <w:t xml:space="preserve">errore di metodo si era travestito da rigore**. Il libro racconta quelle sette</w:t>
      </w:r>
    </w:p>
    <w:p>
      <w:pPr>
        <w:spacing w:after="120" w:line="276"/>
        <w:jc w:val="both"/>
      </w:pPr>
      <w:r>
        <w:rPr>
          <w:rFonts w:ascii="Barlow Semi Condensed" w:cs="Barlow Semi Condensed" w:eastAsia="Barlow Semi Condensed" w:hAnsi="Barlow Semi Condensed"/>
          <w:sz w:val="24"/>
          <w:szCs w:val="24"/>
        </w:rPr>
        <w:t xml:space="preserve">volte.</w:t>
      </w:r>
    </w:p>
    <w:p>
      <w:pPr>
        <w:spacing w:after="120" w:line="276"/>
        <w:jc w:val="both"/>
      </w:pPr>
      <w:r>
        <w:rPr>
          <w:rFonts w:ascii="Barlow Semi Condensed" w:cs="Barlow Semi Condensed" w:eastAsia="Barlow Semi Condensed" w:hAnsi="Barlow Semi Condensed"/>
          <w:sz w:val="24"/>
          <w:szCs w:val="24"/>
        </w:rPr>
        <w:t xml:space="preserve">Lungo la strada l'esperimento ha prodotto due accertamenti che nessuno aveva</w:t>
      </w:r>
    </w:p>
    <w:p>
      <w:pPr>
        <w:spacing w:after="120" w:line="276"/>
        <w:jc w:val="both"/>
      </w:pPr>
      <w:r>
        <w:rPr>
          <w:rFonts w:ascii="Barlow Semi Condensed" w:cs="Barlow Semi Condensed" w:eastAsia="Barlow Semi Condensed" w:hAnsi="Barlow Semi Condensed"/>
          <w:sz w:val="24"/>
          <w:szCs w:val="24"/>
        </w:rPr>
        <w:t xml:space="preserve">pubblicato in questa forma. Il primo: una frase attribuita a Henry Kissinger e</w:t>
      </w:r>
    </w:p>
    <w:p>
      <w:pPr>
        <w:spacing w:after="120" w:line="276"/>
        <w:jc w:val="both"/>
      </w:pPr>
      <w:r>
        <w:rPr>
          <w:rFonts w:ascii="Barlow Semi Condensed" w:cs="Barlow Semi Condensed" w:eastAsia="Barlow Semi Condensed" w:hAnsi="Barlow Semi Condensed"/>
          <w:sz w:val="24"/>
          <w:szCs w:val="24"/>
        </w:rPr>
        <w:t xml:space="preserve">ripetuta da decine di siti discende tutta da un unico lancio d'agenzia del</w:t>
      </w:r>
    </w:p>
    <w:p>
      <w:pPr>
        <w:spacing w:after="120" w:line="276"/>
        <w:jc w:val="both"/>
      </w:pPr>
      <w:r>
        <w:rPr>
          <w:rFonts w:ascii="Barlow Semi Condensed" w:cs="Barlow Semi Condensed" w:eastAsia="Barlow Semi Condensed" w:hAnsi="Barlow Semi Condensed"/>
          <w:sz w:val="24"/>
          <w:szCs w:val="24"/>
        </w:rPr>
        <w:t xml:space="preserve">novembre 2023 — cento riprese di una sola origine restano una sola fonte. Il</w:t>
      </w:r>
    </w:p>
    <w:p>
      <w:pPr>
        <w:spacing w:after="120" w:line="276"/>
        <w:jc w:val="both"/>
      </w:pPr>
      <w:r>
        <w:rPr>
          <w:rFonts w:ascii="Barlow Semi Condensed" w:cs="Barlow Semi Condensed" w:eastAsia="Barlow Semi Condensed" w:hAnsi="Barlow Semi Condensed"/>
          <w:sz w:val="24"/>
          <w:szCs w:val="24"/>
        </w:rPr>
        <w:t xml:space="preserve">secondo, più netto: il verbale dello Studio Ovale del 25 settembre 1974, che</w:t>
      </w:r>
    </w:p>
    <w:p>
      <w:pPr>
        <w:spacing w:after="120" w:line="276"/>
        <w:jc w:val="both"/>
      </w:pPr>
      <w:r>
        <w:rPr>
          <w:rFonts w:ascii="Barlow Semi Condensed" w:cs="Barlow Semi Condensed" w:eastAsia="Barlow Semi Condensed" w:hAnsi="Barlow Semi Condensed"/>
          <w:sz w:val="24"/>
          <w:szCs w:val="24"/>
        </w:rPr>
        <w:t xml:space="preserve">viene correntemente citato come la prova documentale di un ultimatum a Moro,</w:t>
      </w:r>
    </w:p>
    <w:p>
      <w:pPr>
        <w:spacing w:after="120" w:line="276"/>
        <w:jc w:val="both"/>
      </w:pPr>
      <w:r>
        <w:rPr>
          <w:rFonts w:ascii="Barlow Semi Condensed" w:cs="Barlow Semi Condensed" w:eastAsia="Barlow Semi Condensed" w:hAnsi="Barlow Semi Condensed"/>
          <w:b/>
          <w:bCs/>
          <w:sz w:val="24"/>
          <w:szCs w:val="24"/>
        </w:rPr>
        <w:t xml:space="preserve">non contiene quella frase</w:t>
      </w:r>
      <w:r>
        <w:rPr>
          <w:rFonts w:ascii="Barlow Semi Condensed" w:cs="Barlow Semi Condensed" w:eastAsia="Barlow Semi Condensed" w:hAnsi="Barlow Semi Condensed"/>
          <w:sz w:val="24"/>
          <w:szCs w:val="24"/>
        </w:rPr>
        <w:t xml:space="preserve">. Chiunque può verificarlo in mezz'ora, e in</w:t>
      </w:r>
    </w:p>
    <w:p>
      <w:pPr>
        <w:spacing w:after="120" w:line="276"/>
        <w:jc w:val="both"/>
      </w:pPr>
      <w:r>
        <w:rPr>
          <w:rFonts w:ascii="Barlow Semi Condensed" w:cs="Barlow Semi Condensed" w:eastAsia="Barlow Semi Condensed" w:hAnsi="Barlow Semi Condensed"/>
          <w:sz w:val="24"/>
          <w:szCs w:val="24"/>
        </w:rPr>
        <w:t xml:space="preserve">quarant'anni non risulta che qualcuno l'abbia fatto.</w:t>
      </w:r>
    </w:p>
    <w:p>
      <w:pPr>
        <w:spacing w:after="120" w:line="276"/>
        <w:jc w:val="both"/>
      </w:pPr>
      <w:r>
        <w:rPr>
          <w:rFonts w:ascii="Barlow Semi Condensed" w:cs="Barlow Semi Condensed" w:eastAsia="Barlow Semi Condensed" w:hAnsi="Barlow Semi Condensed"/>
          <w:b/>
          <w:bCs/>
          <w:sz w:val="24"/>
          <w:szCs w:val="24"/>
        </w:rPr>
        <w:t xml:space="preserve">Perché è un libro e non un articolo.</w:t>
      </w:r>
      <w:r>
        <w:rPr>
          <w:rFonts w:ascii="Barlow Semi Condensed" w:cs="Barlow Semi Condensed" w:eastAsia="Barlow Semi Condensed" w:hAnsi="Barlow Semi Condensed"/>
          <w:sz w:val="24"/>
          <w:szCs w:val="24"/>
        </w:rPr>
        <w:t xml:space="preserve"> Perché la cosa interessante non è il</w:t>
      </w:r>
    </w:p>
    <w:p>
      <w:pPr>
        <w:spacing w:after="120" w:line="276"/>
        <w:jc w:val="both"/>
      </w:pPr>
      <w:r>
        <w:rPr>
          <w:rFonts w:ascii="Barlow Semi Condensed" w:cs="Barlow Semi Condensed" w:eastAsia="Barlow Semi Condensed" w:hAnsi="Barlow Semi Condensed"/>
          <w:sz w:val="24"/>
          <w:szCs w:val="24"/>
        </w:rPr>
        <w:t xml:space="preserve">buco: è </w:t>
      </w:r>
      <w:r>
        <w:rPr>
          <w:rFonts w:ascii="Barlow Semi Condensed" w:cs="Barlow Semi Condensed" w:eastAsia="Barlow Semi Condensed" w:hAnsi="Barlow Semi Condensed"/>
          <w:b/>
          <w:bCs/>
          <w:sz w:val="24"/>
          <w:szCs w:val="24"/>
        </w:rPr>
        <w:t xml:space="preserve">come si misura un buco</w:t>
      </w:r>
      <w:r>
        <w:rPr>
          <w:rFonts w:ascii="Barlow Semi Condensed" w:cs="Barlow Semi Condensed" w:eastAsia="Barlow Semi Condensed" w:hAnsi="Barlow Semi Condensed"/>
          <w:sz w:val="24"/>
          <w:szCs w:val="24"/>
        </w:rPr>
        <w:t xml:space="preserve">. Un'assenza in archivio può voler dire che una</w:t>
      </w:r>
    </w:p>
    <w:p>
      <w:pPr>
        <w:spacing w:after="120" w:line="276"/>
        <w:jc w:val="both"/>
      </w:pPr>
      <w:r>
        <w:rPr>
          <w:rFonts w:ascii="Barlow Semi Condensed" w:cs="Barlow Semi Condensed" w:eastAsia="Barlow Semi Condensed" w:hAnsi="Barlow Semi Condensed"/>
          <w:sz w:val="24"/>
          <w:szCs w:val="24"/>
        </w:rPr>
        <w:t xml:space="preserve">carta non è mai esistita, che è stata distrutta, o che nessuno l'ha cercata — e</w:t>
      </w:r>
    </w:p>
    <w:p>
      <w:pPr>
        <w:spacing w:after="120" w:line="276"/>
        <w:jc w:val="both"/>
      </w:pPr>
      <w:r>
        <w:rPr>
          <w:rFonts w:ascii="Barlow Semi Condensed" w:cs="Barlow Semi Condensed" w:eastAsia="Barlow Semi Condensed" w:hAnsi="Barlow Semi Condensed"/>
          <w:sz w:val="24"/>
          <w:szCs w:val="24"/>
        </w:rPr>
        <w:t xml:space="preserve">distinguere fra i tre casi è una disciplina, non un'intuizione. Il libro la</w:t>
      </w:r>
    </w:p>
    <w:p>
      <w:pPr>
        <w:spacing w:after="120" w:line="276"/>
        <w:jc w:val="both"/>
      </w:pPr>
      <w:r>
        <w:rPr>
          <w:rFonts w:ascii="Barlow Semi Condensed" w:cs="Barlow Semi Condensed" w:eastAsia="Barlow Semi Condensed" w:hAnsi="Barlow Semi Condensed"/>
          <w:sz w:val="24"/>
          <w:szCs w:val="24"/>
        </w:rPr>
        <w:t xml:space="preserve">insegna mostrandola fallire.</w:t>
      </w:r>
    </w:p>
    <w:p>
      <w:pPr>
        <w:spacing w:after="120" w:line="276"/>
        <w:jc w:val="both"/>
      </w:pPr>
      <w:r>
        <w:rPr>
          <w:rFonts w:ascii="Barlow Semi Condensed" w:cs="Barlow Semi Condensed" w:eastAsia="Barlow Semi Condensed" w:hAnsi="Barlow Semi Condensed"/>
          <w:b/>
          <w:bCs/>
          <w:sz w:val="24"/>
          <w:szCs w:val="24"/>
        </w:rPr>
        <w:t xml:space="preserve">Che cosa il libro non fa.</w:t>
      </w:r>
      <w:r>
        <w:rPr>
          <w:rFonts w:ascii="Barlow Semi Condensed" w:cs="Barlow Semi Condensed" w:eastAsia="Barlow Semi Condensed" w:hAnsi="Barlow Semi Condensed"/>
          <w:sz w:val="24"/>
          <w:szCs w:val="24"/>
        </w:rPr>
        <w:t xml:space="preserve"> Non propone una tesi sul caso Moro, non rivela</w:t>
      </w:r>
    </w:p>
    <w:p>
      <w:pPr>
        <w:spacing w:after="120" w:line="276"/>
        <w:jc w:val="both"/>
      </w:pPr>
      <w:r>
        <w:rPr>
          <w:rFonts w:ascii="Barlow Semi Condensed" w:cs="Barlow Semi Condensed" w:eastAsia="Barlow Semi Condensed" w:hAnsi="Barlow Semi Condensed"/>
          <w:sz w:val="24"/>
          <w:szCs w:val="24"/>
        </w:rPr>
        <w:t xml:space="preserve">nulla, non indica alcuna persona come responsabile oltre il giudicato definitivo.</w:t>
      </w:r>
    </w:p>
    <w:p>
      <w:pPr>
        <w:spacing w:after="120" w:line="276"/>
        <w:jc w:val="both"/>
      </w:pPr>
      <w:r>
        <w:rPr>
          <w:rFonts w:ascii="Barlow Semi Condensed" w:cs="Barlow Semi Condensed" w:eastAsia="Barlow Semi Condensed" w:hAnsi="Barlow Semi Condensed"/>
          <w:sz w:val="24"/>
          <w:szCs w:val="24"/>
        </w:rPr>
        <w:t xml:space="preserve">Il caso Moro vi funziona come banco di prova, non come oggetto: serve perché è</w:t>
      </w:r>
    </w:p>
    <w:p>
      <w:pPr>
        <w:spacing w:after="120" w:line="276"/>
        <w:jc w:val="both"/>
      </w:pPr>
      <w:r>
        <w:rPr>
          <w:rFonts w:ascii="Barlow Semi Condensed" w:cs="Barlow Semi Condensed" w:eastAsia="Barlow Semi Condensed" w:hAnsi="Barlow Semi Condensed"/>
          <w:sz w:val="24"/>
          <w:szCs w:val="24"/>
        </w:rPr>
        <w:t xml:space="preserve">documentatissimo, perché la sua letteratura è tossica, e perché chiunque</w:t>
      </w:r>
    </w:p>
    <w:p>
      <w:pPr>
        <w:spacing w:after="120" w:line="276"/>
        <w:jc w:val="both"/>
      </w:pPr>
      <w:r>
        <w:rPr>
          <w:rFonts w:ascii="Barlow Semi Condensed" w:cs="Barlow Semi Condensed" w:eastAsia="Barlow Semi Condensed" w:hAnsi="Barlow Semi Condensed"/>
          <w:sz w:val="24"/>
          <w:szCs w:val="24"/>
        </w:rPr>
        <w:t xml:space="preserve">riconosce quando un ragionamento su di esso sta scivolando.</w:t>
      </w:r>
    </w:p>
    <w:p>
      <w:pPr>
        <w:spacing w:after="120" w:line="276"/>
        <w:jc w:val="both"/>
      </w:pPr>
      <w:r>
        <w:rPr>
          <w:rFonts w:ascii="Barlow Semi Condensed" w:cs="Barlow Semi Condensed" w:eastAsia="Barlow Semi Condensed" w:hAnsi="Barlow Semi Condensed"/>
          <w:b/>
          <w:bCs/>
          <w:sz w:val="24"/>
          <w:szCs w:val="24"/>
        </w:rPr>
        <w:t xml:space="preserve">Il pubblico.</w:t>
      </w:r>
      <w:r>
        <w:rPr>
          <w:rFonts w:ascii="Barlow Semi Condensed" w:cs="Barlow Semi Condensed" w:eastAsia="Barlow Semi Condensed" w:hAnsi="Barlow Semi Condensed"/>
          <w:sz w:val="24"/>
          <w:szCs w:val="24"/>
        </w:rPr>
        <w:t xml:space="preserve"> Lettori di saggistica di ampia circolazione; e chi vuole capire</w:t>
      </w:r>
    </w:p>
    <w:p>
      <w:pPr>
        <w:spacing w:after="120" w:line="276"/>
        <w:jc w:val="both"/>
      </w:pPr>
      <w:r>
        <w:rPr>
          <w:rFonts w:ascii="Barlow Semi Condensed" w:cs="Barlow Semi Condensed" w:eastAsia="Barlow Semi Condensed" w:hAnsi="Barlow Semi Condensed"/>
          <w:sz w:val="24"/>
          <w:szCs w:val="24"/>
        </w:rPr>
        <w:t xml:space="preserve">che cosa questi sistemi facciano davvero quando li si mette al lavoro su qualcosa</w:t>
      </w:r>
    </w:p>
    <w:p>
      <w:pPr>
        <w:spacing w:after="120" w:line="276"/>
        <w:jc w:val="both"/>
      </w:pPr>
      <w:r>
        <w:rPr>
          <w:rFonts w:ascii="Barlow Semi Condensed" w:cs="Barlow Semi Condensed" w:eastAsia="Barlow Semi Condensed" w:hAnsi="Barlow Semi Condensed"/>
          <w:sz w:val="24"/>
          <w:szCs w:val="24"/>
        </w:rPr>
        <w:t xml:space="preserve">di verificabile — al di là tanto dell'entusiasmo quanto dell'allarme.</w:t>
      </w:r>
    </w:p>
    <w:p>
      <w:pPr>
        <w:spacing w:after="120" w:line="276"/>
        <w:jc w:val="both"/>
      </w:pPr>
      <w:r>
        <w:rPr>
          <w:rFonts w:ascii="Barlow Semi Condensed" w:cs="Barlow Semi Condensed" w:eastAsia="Barlow Semi Condensed" w:hAnsi="Barlow Semi Condensed"/>
          <w:b/>
          <w:bCs/>
          <w:sz w:val="24"/>
          <w:szCs w:val="24"/>
        </w:rPr>
        <w:t xml:space="preserve">Caratteristiche.</w:t>
      </w:r>
      <w:r>
        <w:rPr>
          <w:rFonts w:ascii="Barlow Semi Condensed" w:cs="Barlow Semi Condensed" w:eastAsia="Barlow Semi Condensed" w:hAnsi="Barlow Semi Condensed"/>
          <w:sz w:val="24"/>
          <w:szCs w:val="24"/>
        </w:rPr>
        <w:t xml:space="preserve"> Saggio breve, 140-180 pagine, sette capitoli più</w:t>
      </w:r>
    </w:p>
    <w:p>
      <w:pPr>
        <w:spacing w:after="120" w:line="276"/>
        <w:jc w:val="both"/>
      </w:pPr>
      <w:r>
        <w:rPr>
          <w:rFonts w:ascii="Barlow Semi Condensed" w:cs="Barlow Semi Condensed" w:eastAsia="Barlow Semi Condensed" w:hAnsi="Barlow Semi Condensed"/>
          <w:sz w:val="24"/>
          <w:szCs w:val="24"/>
        </w:rPr>
        <w:t xml:space="preserve">un'appendice. Nessuna nota a piè di pagina.</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[**Da compilare al momento dell'invio, e solo a testo</w:t>
      </w:r>
    </w:p>
    <w:p>
      <w:pPr>
        <w:spacing w:after="120" w:line="276"/>
        <w:jc w:val="both"/>
      </w:pPr>
      <w:r>
        <w:rPr>
          <w:rFonts w:ascii="Barlow Semi Condensed" w:cs="Barlow Semi Condensed" w:eastAsia="Barlow Semi Condensed" w:hAnsi="Barlow Semi Condensed"/>
          <w:sz w:val="24"/>
          <w:szCs w:val="24"/>
        </w:rPr>
        <w:t xml:space="preserve">scritto.** Se il saggio non è finito, questa proposta non parte: la regola dei</w:t>
      </w:r>
    </w:p>
    <w:p>
      <w:pPr>
        <w:spacing w:after="120" w:line="276"/>
        <w:jc w:val="both"/>
      </w:pPr>
      <w:r>
        <w:rPr>
          <w:rFonts w:ascii="Barlow Semi Condensed" w:cs="Barlow Semi Condensed" w:eastAsia="Barlow Semi Condensed" w:hAnsi="Barlow Semi Condensed"/>
          <w:sz w:val="24"/>
          <w:szCs w:val="24"/>
        </w:rPr>
        <w:t xml:space="preserve">dodici mesi rende l'attesa meno costosa del tentativo.]</w:t>
      </w:r>
    </w:p>
    <w:p>
      <w:pPr>
        <w:spacing w:after="120" w:line="276"/>
        <w:jc w:val="both"/>
      </w:pPr>
      <w:r>
        <w:rPr>
          <w:rFonts w:ascii="Barlow Semi Condensed" w:cs="Barlow Semi Condensed" w:eastAsia="Barlow Semi Condensed" w:hAnsi="Barlow Semi Condensed"/>
          <w:sz w:val="24"/>
          <w:szCs w:val="24"/>
        </w:rPr>
        <w:t xml:space="preserve">Resto a disposizione.</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w:t>
      </w:r>
      <w:r>
        <w:rPr>
          <w:rFonts w:ascii="Barlow Semi Condensed" w:cs="Barlow Semi Condensed" w:eastAsia="Barlow Semi Condensed" w:hAnsi="Barlow Semi Condensed"/>
          <w:sz w:val="24"/>
          <w:szCs w:val="24"/>
        </w:rPr>
        <w:t xml:space="preserve">: [indicare email e telefono]</w:t>
      </w:r>
    </w:p>
    <w:p>
      <w:pPr>
        <w:spacing w:after="120" w:line="276"/>
        <w:jc w:val="both"/>
      </w:pP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Style w:val="Heading2"/>
        <w:spacing w:after="100" w:before="200"/>
      </w:pPr>
      <w:r>
        <w:rPr>
          <w:rFonts w:ascii="Barlow Semi Condensed" w:cs="Barlow Semi Condensed" w:eastAsia="Barlow Semi Condensed" w:hAnsi="Barlow Semi Condensed"/>
          <w:sz w:val="24"/>
          <w:szCs w:val="24"/>
        </w:rPr>
        <w:t xml:space="preserve">Allegato</w:t>
      </w:r>
    </w:p>
    <w:p>
      <w:pPr>
        <w:spacing w:after="120" w:line="276"/>
        <w:jc w:val="both"/>
      </w:pPr>
      <w:r>
        <w:rPr>
          <w:rFonts w:ascii="Barlow Semi Condensed" w:cs="Barlow Semi Condensed" w:eastAsia="Barlow Semi Condensed" w:hAnsi="Barlow Semi Condensed"/>
          <w:b/>
          <w:bCs/>
          <w:sz w:val="24"/>
          <w:szCs w:val="24"/>
        </w:rPr>
        <w:t xml:space="preserve">Uno solo</w:t>
      </w:r>
      <w:r>
        <w:rPr>
          <w:rFonts w:ascii="Barlow Semi Condensed" w:cs="Barlow Semi Condensed" w:eastAsia="Barlow Semi Condensed" w:hAnsi="Barlow Semi Condensed"/>
          <w:sz w:val="24"/>
          <w:szCs w:val="24"/>
        </w:rPr>
        <w:t xml:space="preserve">, in PDF sotto i 5 MB: il testo del saggio. Non il corpus, non i</w:t>
      </w:r>
    </w:p>
    <w:p>
      <w:pPr>
        <w:spacing w:after="120" w:line="276"/>
        <w:jc w:val="both"/>
      </w:pPr>
      <w:r>
        <w:rPr>
          <w:rFonts w:ascii="Barlow Semi Condensed" w:cs="Barlow Semi Condensed" w:eastAsia="Barlow Semi Condensed" w:hAnsi="Barlow Semi Condensed"/>
          <w:sz w:val="24"/>
          <w:szCs w:val="24"/>
        </w:rPr>
        <w:t xml:space="preserve">collegamenti al deposito — il modulo li rifiuta esplicitamente.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saggio completato il ………</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inviata il ………</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chiusura, valida per entrambe</w:t>
      </w:r>
    </w:p>
    <w:p>
      <w:pPr>
        <w:spacing w:after="120" w:line="276"/>
        <w:jc w:val="both"/>
      </w:pPr>
      <w:r>
        <w:rPr>
          <w:rFonts w:ascii="Barlow Semi Condensed" w:cs="Barlow Semi Condensed" w:eastAsia="Barlow Semi Condensed" w:hAnsi="Barlow Semi Condensed"/>
          <w:sz w:val="24"/>
          <w:szCs w:val="24"/>
        </w:rPr>
        <w:t xml:space="preserve">Se una delle due risponde, prima di dire sì valgono le quattro domande della</w:t>
      </w:r>
    </w:p>
    <w:p>
      <w:pPr>
        <w:spacing w:after="120" w:line="276"/>
        <w:jc w:val="both"/>
      </w:pPr>
      <w:r>
        <w:rPr>
          <w:rFonts w:ascii="Barlow Semi Condensed" w:cs="Barlow Semi Condensed" w:eastAsia="Barlow Semi Condensed" w:hAnsi="Barlow Semi Condensed"/>
          <w:sz w:val="24"/>
          <w:szCs w:val="24"/>
        </w:rPr>
        <w:t xml:space="preserve">checklist: quale collana, quali tempi, avvertire gli altri destinatari in attesa,</w:t>
      </w:r>
    </w:p>
    <w:p>
      <w:pPr>
        <w:spacing w:after="120" w:line="276"/>
        <w:jc w:val="both"/>
      </w:pPr>
      <w:r>
        <w:rPr>
          <w:rFonts w:ascii="Barlow Semi Condensed" w:cs="Barlow Semi Condensed" w:eastAsia="Barlow Semi Condensed" w:hAnsi="Barlow Semi Condensed"/>
          <w:sz w:val="24"/>
          <w:szCs w:val="24"/>
        </w:rPr>
        <w:t xml:space="preserve">e verificare che **la dichiarazione sull'intelligenza artificiale resti in</w:t>
      </w:r>
    </w:p>
    <w:p>
      <w:pPr>
        <w:spacing w:after="120" w:line="276"/>
        <w:jc w:val="both"/>
      </w:pPr>
      <w:r>
        <w:rPr>
          <w:rFonts w:ascii="Barlow Semi Condensed" w:cs="Barlow Semi Condensed" w:eastAsia="Barlow Semi Condensed" w:hAnsi="Barlow Semi Condensed"/>
          <w:sz w:val="24"/>
          <w:szCs w:val="24"/>
        </w:rPr>
        <w:t xml:space="preserve">apertura del libro**. Se un editore chiedesse di spostarla in fondo o di</w:t>
      </w:r>
    </w:p>
    <w:p>
      <w:pPr>
        <w:spacing w:after="120" w:line="276"/>
        <w:jc w:val="both"/>
      </w:pPr>
      <w:r>
        <w:rPr>
          <w:rFonts w:ascii="Barlow Semi Condensed" w:cs="Barlow Semi Condensed" w:eastAsia="Barlow Semi Condensed" w:hAnsi="Barlow Semi Condensed"/>
          <w:sz w:val="24"/>
          <w:szCs w:val="24"/>
        </w:rPr>
        <w:t xml:space="preserve">attenuarla, quella non è una richiesta redazionale: è la richiesta di pubblicare</w:t>
      </w:r>
    </w:p>
    <w:p>
      <w:pPr>
        <w:spacing w:after="120" w:line="276"/>
        <w:jc w:val="both"/>
      </w:pPr>
      <w:r>
        <w:rPr>
          <w:rFonts w:ascii="Barlow Semi Condensed" w:cs="Barlow Semi Condensed" w:eastAsia="Barlow Semi Condensed" w:hAnsi="Barlow Semi Condensed"/>
          <w:sz w:val="24"/>
          <w:szCs w:val="24"/>
        </w:rPr>
        <w:t xml:space="preserve">un altro libro.</w:t>
      </w:r>
    </w:p>
    <w:p>
      <w:pPr>
        <w:pStyle w:val="Heading3"/>
        <w:spacing w:after="80" w:before="240"/>
      </w:pPr>
      <w:r>
        <w:rPr>
          <w:rFonts w:ascii="Barlow Semi Condensed" w:cs="Barlow Semi Condensed" w:eastAsia="Barlow Semi Condensed" w:hAnsi="Barlow Semi Condensed"/>
          <w:sz w:val="24"/>
          <w:szCs w:val="24"/>
        </w:rPr>
        <w:t xml:space="preserve">Apparato grafico — Appendici · xv. A Chiarelettere e Bompiani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 1.900 parole in 9 sezioni; la più ampia è §4 Corpo del messaggio, con 689.</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 54 paragrafi in 9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xvi. Il deposito Zenodo, foglio operativo</w:t>
      </w:r>
    </w:p>
    <w:p>
      <w:pPr>
        <w:pStyle w:val="Heading1"/>
        <w:spacing w:after="120" w:before="240"/>
      </w:pPr>
      <w:r>
        <w:rPr>
          <w:rFonts w:ascii="Barlow Semi Condensed" w:cs="Barlow Semi Condensed" w:eastAsia="Barlow Semi Condensed" w:hAnsi="Barlow Semi Condensed"/>
          <w:sz w:val="24"/>
          <w:szCs w:val="24"/>
        </w:rPr>
        <w:t xml:space="preserve">Il deposito Zenodo — foglio operativo</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come ogni documento di quest'opera.*</w:t>
      </w:r>
    </w:p>
    <w:p>
      <w:pPr>
        <w:spacing w:after="120" w:line="276"/>
        <w:jc w:val="both"/>
      </w:pPr>
      <w:r>
        <w:rPr>
          <w:rFonts w:ascii="Barlow Semi Condensed" w:cs="Barlow Semi Condensed" w:eastAsia="Barlow Semi Condensed" w:hAnsi="Barlow Semi Condensed"/>
          <w:sz w:val="24"/>
          <w:szCs w:val="24"/>
        </w:rPr>
        <w:t xml:space="preserve">Questo foglio serve a fare una cosa sola e a farla oggi: </w:t>
      </w:r>
      <w:r>
        <w:rPr>
          <w:rFonts w:ascii="Barlow Semi Condensed" w:cs="Barlow Semi Condensed" w:eastAsia="Barlow Semi Condensed" w:hAnsi="Barlow Semi Condensed"/>
          <w:b/>
          <w:bCs/>
          <w:sz w:val="24"/>
          <w:szCs w:val="24"/>
        </w:rPr>
        <w:t xml:space="preserve">ottenere il DOI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Finché non c'è, nessuna delle dodici lettere può partire, perché tutte lo citano.</w:t>
      </w:r>
    </w:p>
    <w:p>
      <w:pPr>
        <w:spacing w:after="120" w:line="276"/>
        <w:jc w:val="both"/>
      </w:pPr>
      <w:r>
        <w:rPr>
          <w:rFonts w:ascii="Barlow Semi Condensed" w:cs="Barlow Semi Condensed" w:eastAsia="Barlow Semi Condensed" w:hAnsi="Barlow Semi Condensed"/>
          <w:sz w:val="24"/>
          <w:szCs w:val="24"/>
        </w:rPr>
        <w:t xml:space="preserve">È l'unico anello che blocca dodici destinatari insieme, e si scioglie in un'ora.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prima di tutto il resto</w:t>
      </w:r>
    </w:p>
    <w:p>
      <w:pPr>
        <w:spacing w:after="120" w:line="276"/>
        <w:jc w:val="both"/>
      </w:pPr>
      <w:r>
        <w:rPr>
          <w:rFonts w:ascii="Barlow Semi Condensed" w:cs="Barlow Semi Condensed" w:eastAsia="Barlow Semi Condensed" w:hAnsi="Barlow Semi Condensed"/>
          <w:sz w:val="24"/>
          <w:szCs w:val="24"/>
        </w:rPr>
        <w:t xml:space="preserve">Il DOI fa tre cose che nessun altro canale fa. </w:t>
      </w:r>
      <w:r>
        <w:rPr>
          <w:rFonts w:ascii="Barlow Semi Condensed" w:cs="Barlow Semi Condensed" w:eastAsia="Barlow Semi Condensed" w:hAnsi="Barlow Semi Condensed"/>
          <w:b/>
          <w:bCs/>
          <w:sz w:val="24"/>
          <w:szCs w:val="24"/>
        </w:rPr>
        <w:t xml:space="preserve">Data</w:t>
      </w:r>
      <w:r>
        <w:rPr>
          <w:rFonts w:ascii="Barlow Semi Condensed" w:cs="Barlow Semi Condensed" w:eastAsia="Barlow Semi Condensed" w:hAnsi="Barlow Semi Condensed"/>
          <w:sz w:val="24"/>
          <w:szCs w:val="24"/>
        </w:rPr>
        <w:t xml:space="preserve"> il deposito in modo</w:t>
      </w:r>
    </w:p>
    <w:p>
      <w:pPr>
        <w:spacing w:after="120" w:line="276"/>
        <w:jc w:val="both"/>
      </w:pPr>
      <w:r>
        <w:rPr>
          <w:rFonts w:ascii="Barlow Semi Condensed" w:cs="Barlow Semi Condensed" w:eastAsia="Barlow Semi Condensed" w:hAnsi="Barlow Semi Condensed"/>
          <w:sz w:val="24"/>
          <w:szCs w:val="24"/>
        </w:rPr>
        <w:t xml:space="preserve">opponibile a terzi. </w:t>
      </w:r>
      <w:r>
        <w:rPr>
          <w:rFonts w:ascii="Barlow Semi Condensed" w:cs="Barlow Semi Condensed" w:eastAsia="Barlow Semi Condensed" w:hAnsi="Barlow Semi Condensed"/>
          <w:b/>
          <w:bCs/>
          <w:sz w:val="24"/>
          <w:szCs w:val="24"/>
        </w:rPr>
        <w:t xml:space="preserve">Rende citabile</w:t>
      </w:r>
      <w:r>
        <w:rPr>
          <w:rFonts w:ascii="Barlow Semi Condensed" w:cs="Barlow Semi Condensed" w:eastAsia="Barlow Semi Condensed" w:hAnsi="Barlow Semi Condensed"/>
          <w:sz w:val="24"/>
          <w:szCs w:val="24"/>
        </w:rPr>
        <w:t xml:space="preserve"> l'opera prima che un editore la</w:t>
      </w:r>
    </w:p>
    <w:p>
      <w:pPr>
        <w:spacing w:after="120" w:line="276"/>
        <w:jc w:val="both"/>
      </w:pPr>
      <w:r>
        <w:rPr>
          <w:rFonts w:ascii="Barlow Semi Condensed" w:cs="Barlow Semi Condensed" w:eastAsia="Barlow Semi Condensed" w:hAnsi="Barlow Semi Condensed"/>
          <w:sz w:val="24"/>
          <w:szCs w:val="24"/>
        </w:rPr>
        <w:t xml:space="preserve">pubblichi, il che cambia il tono di ogni proposta: non si offre un manoscritto,</w:t>
      </w:r>
    </w:p>
    <w:p>
      <w:pPr>
        <w:spacing w:after="120" w:line="276"/>
        <w:jc w:val="both"/>
      </w:pPr>
      <w:r>
        <w:rPr>
          <w:rFonts w:ascii="Barlow Semi Condensed" w:cs="Barlow Semi Condensed" w:eastAsia="Barlow Semi Condensed" w:hAnsi="Barlow Semi Condensed"/>
          <w:sz w:val="24"/>
          <w:szCs w:val="24"/>
        </w:rPr>
        <w:t xml:space="preserve">si segnala un lavoro già depositato. E </w:t>
      </w:r>
      <w:r>
        <w:rPr>
          <w:rFonts w:ascii="Barlow Semi Condensed" w:cs="Barlow Semi Condensed" w:eastAsia="Barlow Semi Condensed" w:hAnsi="Barlow Semi Condensed"/>
          <w:b/>
          <w:bCs/>
          <w:sz w:val="24"/>
          <w:szCs w:val="24"/>
        </w:rPr>
        <w:t xml:space="preserve">stacca l'opera dal repository</w:t>
      </w:r>
      <w:r>
        <w:rPr>
          <w:rFonts w:ascii="Barlow Semi Condensed" w:cs="Barlow Semi Condensed" w:eastAsia="Barlow Semi Condensed" w:hAnsi="Barlow Semi Condensed"/>
          <w:sz w:val="24"/>
          <w:szCs w:val="24"/>
        </w:rPr>
        <w:t xml:space="preserve">: un</w:t>
      </w:r>
    </w:p>
    <w:p>
      <w:pPr>
        <w:spacing w:after="120" w:line="276"/>
        <w:jc w:val="both"/>
      </w:pPr>
      <w:r>
        <w:rPr>
          <w:rFonts w:ascii="Barlow Semi Condensed" w:cs="Barlow Semi Condensed" w:eastAsia="Barlow Semi Condensed" w:hAnsi="Barlow Semi Condensed"/>
          <w:sz w:val="24"/>
          <w:szCs w:val="24"/>
        </w:rPr>
        <w:t xml:space="preserve">file su Zenodo sopravvive alla cancellazione di un ramo Git, e questa opera</w:t>
      </w:r>
    </w:p>
    <w:p>
      <w:pPr>
        <w:spacing w:after="120" w:line="276"/>
        <w:jc w:val="both"/>
      </w:pPr>
      <w:r>
        <w:rPr>
          <w:rFonts w:ascii="Barlow Semi Condensed" w:cs="Barlow Semi Condensed" w:eastAsia="Barlow Semi Condensed" w:hAnsi="Barlow Semi Condensed"/>
          <w:sz w:val="24"/>
          <w:szCs w:val="24"/>
        </w:rPr>
        <w:t xml:space="preserve">esiste solo in un ramo Git.</w:t>
      </w:r>
    </w:p>
    <w:p>
      <w:pPr>
        <w:spacing w:after="120" w:line="276"/>
        <w:jc w:val="both"/>
      </w:pPr>
      <w:r>
        <w:rPr>
          <w:rFonts w:ascii="Barlow Semi Condensed" w:cs="Barlow Semi Condensed" w:eastAsia="Barlow Semi Condensed" w:hAnsi="Barlow Semi Condensed"/>
          <w:sz w:val="24"/>
          <w:szCs w:val="24"/>
        </w:rPr>
        <w:t xml:space="preserve">Va fatto prima delle lettere perché il numero entra nel corpo delle lettere.</w:t>
      </w:r>
    </w:p>
    <w:p>
      <w:pPr>
        <w:spacing w:after="120" w:line="276"/>
        <w:jc w:val="both"/>
      </w:pPr>
      <w:r>
        <w:rPr>
          <w:rFonts w:ascii="Barlow Semi Condensed" w:cs="Barlow Semi Condensed" w:eastAsia="Barlow Semi Condensed" w:hAnsi="Barlow Semi Condensed"/>
          <w:sz w:val="24"/>
          <w:szCs w:val="24"/>
        </w:rPr>
        <w:t xml:space="preserve">Farlo dopo significa riscriverle tutte.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caricare</w:t>
      </w:r>
    </w:p>
    <w:p>
      <w:pPr>
        <w:spacing w:after="120" w:line="276"/>
        <w:jc w:val="both"/>
      </w:pPr>
      <w:r>
        <w:rPr>
          <w:rFonts w:ascii="Barlow Semi Condensed" w:cs="Barlow Semi Condensed" w:eastAsia="Barlow Semi Condensed" w:hAnsi="Barlow Semi Condensed"/>
          <w:sz w:val="24"/>
          <w:szCs w:val="24"/>
        </w:rPr>
        <w:t xml:space="preserve">Tre file, non uno. Il volume intero pesa 37,5 MiB e Zenodo lo accetterebbe, ma</w:t>
      </w:r>
    </w:p>
    <w:p>
      <w:pPr>
        <w:spacing w:after="120" w:line="276"/>
        <w:jc w:val="both"/>
      </w:pPr>
      <w:r>
        <w:rPr>
          <w:rFonts w:ascii="Barlow Semi Condensed" w:cs="Barlow Semi Condensed" w:eastAsia="Barlow Semi Condensed" w:hAnsi="Barlow Semi Condensed"/>
          <w:sz w:val="24"/>
          <w:szCs w:val="24"/>
        </w:rPr>
        <w:t xml:space="preserve">un revisore non apre un PDF da 2.426 pagine: apre la parte che lo riguarda.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Peso</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OPERA_INTEGRALE_1-di-3_LIBRI_I-XII.pdf</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~15 MiB</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OPERA_INTEGRALE_2-di-3_LIBRI_XIII-XIV.pdf</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~10 MiB</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OPERA_INTEGRALE_3-di-3_LIBRO_XV_E_APPENDICI.pdf</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 MiB</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impronte SHA-256 delle tre parti non sono ricopiate qui, ed è una scelta, non</w:t>
      </w:r>
    </w:p>
    <w:p>
      <w:pPr>
        <w:spacing w:after="120" w:line="276"/>
        <w:jc w:val="both"/>
      </w:pPr>
      <w:r>
        <w:rPr>
          <w:rFonts w:ascii="Barlow Semi Condensed" w:cs="Barlow Semi Condensed" w:eastAsia="Barlow Semi Condensed" w:hAnsi="Barlow Semi Condensed"/>
          <w:sz w:val="24"/>
          <w:szCs w:val="24"/>
        </w:rPr>
        <w:t xml:space="preserve">una dimenticanza: </w:t>
      </w:r>
      <w:r>
        <w:rPr>
          <w:rFonts w:ascii="Barlow Semi Condensed" w:cs="Barlow Semi Condensed" w:eastAsia="Barlow Semi Condensed" w:hAnsi="Barlow Semi Condensed"/>
          <w:b/>
          <w:bCs/>
          <w:sz w:val="24"/>
          <w:szCs w:val="24"/>
        </w:rPr>
        <w:t xml:space="preserve">questo foglio è rilegato dentro il volume</w:t>
      </w:r>
      <w:r>
        <w:rPr>
          <w:rFonts w:ascii="Barlow Semi Condensed" w:cs="Barlow Semi Condensed" w:eastAsia="Barlow Semi Condensed" w:hAnsi="Barlow Semi Condensed"/>
          <w:sz w:val="24"/>
          <w:szCs w:val="24"/>
        </w:rPr>
        <w:t xml:space="preserve"> come Appendice</w:t>
      </w:r>
    </w:p>
    <w:p>
      <w:pPr>
        <w:spacing w:after="120" w:line="276"/>
        <w:jc w:val="both"/>
      </w:pPr>
      <w:r>
        <w:rPr>
          <w:rFonts w:ascii="Barlow Semi Condensed" w:cs="Barlow Semi Condensed" w:eastAsia="Barlow Semi Condensed" w:hAnsi="Barlow Semi Condensed"/>
          <w:sz w:val="24"/>
          <w:szCs w:val="24"/>
        </w:rPr>
        <w:t xml:space="preserve">IV.xvi, e un'impronta scritta dentro il file che essa misura è falsa nell'istante</w:t>
      </w:r>
    </w:p>
    <w:p>
      <w:pPr>
        <w:spacing w:after="120" w:line="276"/>
        <w:jc w:val="both"/>
      </w:pPr>
      <w:r>
        <w:rPr>
          <w:rFonts w:ascii="Barlow Semi Condensed" w:cs="Barlow Semi Condensed" w:eastAsia="Barlow Semi Condensed" w:hAnsi="Barlow Semi Condensed"/>
          <w:sz w:val="24"/>
          <w:szCs w:val="24"/>
        </w:rPr>
        <w:t xml:space="preserve">in cui viene scritta. Vale la stessa regola per cui il registro delle impronte</w:t>
      </w:r>
    </w:p>
    <w:p>
      <w:pPr>
        <w:spacing w:after="120" w:line="276"/>
        <w:jc w:val="both"/>
      </w:pPr>
      <w:r>
        <w:rPr>
          <w:rFonts w:ascii="Barlow Semi Condensed" w:cs="Barlow Semi Condensed" w:eastAsia="Barlow Semi Condensed" w:hAnsi="Barlow Semi Condensed"/>
          <w:sz w:val="24"/>
          <w:szCs w:val="24"/>
        </w:rPr>
        <w:t xml:space="preserve">non certifica sé stesso. Le impronte correnti si leggono in</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../IMPRONTE-SHA256.md</w:t>
      </w:r>
      <w:r>
        <w:rPr>
          <w:rFonts w:ascii="Barlow Semi Condensed" w:cs="Barlow Semi Condensed" w:eastAsia="Barlow Semi Condensed" w:hAnsi="Barlow Semi Condensed"/>
          <w:sz w:val="24"/>
          <w:szCs w:val="24"/>
        </w:rPr>
        <w:t xml:space="preserve">`, sezione «Il volume diviso in</w:t>
      </w:r>
    </w:p>
    <w:p>
      <w:pPr>
        <w:spacing w:after="120" w:line="276"/>
        <w:jc w:val="both"/>
      </w:pPr>
      <w:r>
        <w:rPr>
          <w:rFonts w:ascii="Barlow Semi Condensed" w:cs="Barlow Semi Condensed" w:eastAsia="Barlow Semi Condensed" w:hAnsi="Barlow Semi Condensed"/>
          <w:sz w:val="24"/>
          <w:szCs w:val="24"/>
        </w:rPr>
        <w:t xml:space="preserve">tre parti», e si ricopiano di lì al momento del deposito.*</w:t>
      </w:r>
    </w:p>
    <w:p>
      <w:pPr>
        <w:spacing w:after="120" w:line="276"/>
        <w:jc w:val="both"/>
      </w:pPr>
      <w:r>
        <w:rPr>
          <w:rFonts w:ascii="Barlow Semi Condensed" w:cs="Barlow Semi Condensed" w:eastAsia="Barlow Semi Condensed" w:hAnsi="Barlow Semi Condensed"/>
          <w:sz w:val="24"/>
          <w:szCs w:val="24"/>
        </w:rPr>
        <w:t xml:space="preserve">E due file piccoli che valgono più del loro peso: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Perché</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IMPRONTE-OPERA-MORO.txt</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manifesto: 173 righe, una per file, verificabile con un comando</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IMPRONTE-SHA256.md</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registro leggibile, che spiega che cosa l'impronta certifica e che cosa no</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Non caricare</w:t>
      </w:r>
      <w:r>
        <w:rPr>
          <w:rFonts w:ascii="Barlow Semi Condensed" w:cs="Barlow Semi Condensed" w:eastAsia="Barlow Semi Condensed" w:hAnsi="Barlow Semi Condensed"/>
          <w:sz w:val="24"/>
          <w:szCs w:val="24"/>
        </w:rPr>
        <w:t xml:space="preserve"> il volume intero da 37,5 MiB: duplica le tre parti e raddoppia</w:t>
      </w:r>
    </w:p>
    <w:p>
      <w:pPr>
        <w:spacing w:after="120" w:line="276"/>
        <w:jc w:val="both"/>
      </w:pPr>
      <w:r>
        <w:rPr>
          <w:rFonts w:ascii="Barlow Semi Condensed" w:cs="Barlow Semi Condensed" w:eastAsia="Barlow Semi Condensed" w:hAnsi="Barlow Semi Condensed"/>
          <w:sz w:val="24"/>
          <w:szCs w:val="24"/>
        </w:rPr>
        <w:t xml:space="preserve">il peso del record senza aggiungere nulla. </w:t>
      </w:r>
      <w:r>
        <w:rPr>
          <w:rFonts w:ascii="Barlow Semi Condensed" w:cs="Barlow Semi Condensed" w:eastAsia="Barlow Semi Condensed" w:hAnsi="Barlow Semi Condensed"/>
          <w:b/>
          <w:bCs/>
          <w:sz w:val="24"/>
          <w:szCs w:val="24"/>
        </w:rPr>
        <w:t xml:space="preserve">Non caricare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italia-nera/</w:t>
      </w:r>
      <w:r>
        <w:rPr>
          <w:rFonts w:ascii="Barlow Semi Condensed" w:cs="Barlow Semi Condensed" w:eastAsia="Barlow Semi Condensed" w:hAnsi="Barlow Semi Condensed"/>
          <w:sz w:val="24"/>
          <w:szCs w:val="24"/>
        </w:rPr>
        <w:t xml:space="preserve">: è</w:t>
      </w:r>
    </w:p>
    <w:p>
      <w:pPr>
        <w:spacing w:after="120" w:line="276"/>
        <w:jc w:val="both"/>
      </w:pPr>
      <w:r>
        <w:rPr>
          <w:rFonts w:ascii="Barlow Semi Condensed" w:cs="Barlow Semi Condensed" w:eastAsia="Barlow Semi Condensed" w:hAnsi="Barlow Semi Condensed"/>
          <w:sz w:val="24"/>
          <w:szCs w:val="24"/>
        </w:rPr>
        <w:t xml:space="preserve">un'opera distinta, e se un giorno va depositata avrà un DOI proprio.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metadati, pronti da incollare</w:t>
      </w:r>
    </w:p>
    <w:p>
      <w:pPr>
        <w:spacing w:after="120" w:line="276"/>
        <w:jc w:val="both"/>
      </w:pPr>
      <w:r>
        <w:rPr>
          <w:rFonts w:ascii="Barlow Semi Condensed" w:cs="Barlow Semi Condensed" w:eastAsia="Barlow Semi Condensed" w:hAnsi="Barlow Semi Condensed"/>
          <w:b/>
          <w:bCs/>
          <w:sz w:val="24"/>
          <w:szCs w:val="24"/>
        </w:rPr>
        <w:t xml:space="preserve">Upload type</w:t>
      </w:r>
      <w:r>
        <w:rPr>
          <w:rFonts w:ascii="Barlow Semi Condensed" w:cs="Barlow Semi Condensed" w:eastAsia="Barlow Semi Condensed" w:hAnsi="Barlow Semi Condensed"/>
          <w:sz w:val="24"/>
          <w:szCs w:val="24"/>
        </w:rPr>
        <w:t xml:space="preserve"> — Publication → Book</w:t>
      </w:r>
    </w:p>
    <w:p>
      <w:pPr>
        <w:spacing w:after="120" w:line="276"/>
        <w:jc w:val="both"/>
      </w:pPr>
      <w:r>
        <w:rPr>
          <w:rFonts w:ascii="Barlow Semi Condensed" w:cs="Barlow Semi Condensed" w:eastAsia="Barlow Semi Condensed" w:hAnsi="Barlow Semi Condensed"/>
          <w:b/>
          <w:bCs/>
          <w:sz w:val="24"/>
          <w:szCs w:val="24"/>
        </w:rPr>
        <w:t xml:space="preserve">Title</w:t>
      </w:r>
    </w:p>
    <w:p>
      <w:pPr>
        <w:spacing w:after="120" w:line="276"/>
        <w:jc w:val="both"/>
      </w:pP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Aldo Moro. Ottanta anni di Pace: una guerra senza fine — opera integrale</w:t>
      </w:r>
    </w:p>
    <w:p>
      <w:pPr>
        <w:spacing w:after="120" w:line="276"/>
        <w:jc w:val="both"/>
      </w:pP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Authors</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De Michele, Luigi</w:t>
      </w:r>
      <w:r>
        <w:rPr>
          <w:rFonts w:ascii="Barlow Semi Condensed" w:cs="Barlow Semi Condensed" w:eastAsia="Barlow Semi Condensed" w:hAnsi="Barlow Semi Condensed"/>
          <w:sz w:val="24"/>
          <w:szCs w:val="24"/>
        </w:rPr>
        <w:t xml:space="preserve">. Se hai un ORCID, mettilo: è la differenza fra</w:t>
      </w:r>
    </w:p>
    <w:p>
      <w:pPr>
        <w:spacing w:after="120" w:line="276"/>
        <w:jc w:val="both"/>
      </w:pPr>
      <w:r>
        <w:rPr>
          <w:rFonts w:ascii="Barlow Semi Condensed" w:cs="Barlow Semi Condensed" w:eastAsia="Barlow Semi Condensed" w:hAnsi="Barlow Semi Condensed"/>
          <w:sz w:val="24"/>
          <w:szCs w:val="24"/>
        </w:rPr>
        <w:t xml:space="preserve">un deposito anonimo e un deposito attribuibile. Se non ce l'hai, si apre in</w:t>
      </w:r>
    </w:p>
    <w:p>
      <w:pPr>
        <w:spacing w:after="120" w:line="276"/>
        <w:jc w:val="both"/>
      </w:pPr>
      <w:r>
        <w:rPr>
          <w:rFonts w:ascii="Barlow Semi Condensed" w:cs="Barlow Semi Condensed" w:eastAsia="Barlow Semi Condensed" w:hAnsi="Barlow Semi Condensed"/>
          <w:sz w:val="24"/>
          <w:szCs w:val="24"/>
        </w:rPr>
        <w:t xml:space="preserve">cinque minuti su orcid.org ed è gratuito.</w:t>
      </w:r>
    </w:p>
    <w:p>
      <w:pPr>
        <w:spacing w:after="120" w:line="276"/>
        <w:jc w:val="both"/>
      </w:pPr>
      <w:r>
        <w:rPr>
          <w:rFonts w:ascii="Barlow Semi Condensed" w:cs="Barlow Semi Condensed" w:eastAsia="Barlow Semi Condensed" w:hAnsi="Barlow Semi Condensed"/>
          <w:b/>
          <w:bCs/>
          <w:sz w:val="24"/>
          <w:szCs w:val="24"/>
        </w:rPr>
        <w:t xml:space="preserve">Description</w:t>
      </w:r>
      <w:r>
        <w:rPr>
          <w:rFonts w:ascii="Barlow Semi Condensed" w:cs="Barlow Semi Condensed" w:eastAsia="Barlow Semi Condensed" w:hAnsi="Barlow Semi Condensed"/>
          <w:sz w:val="24"/>
          <w:szCs w:val="24"/>
        </w:rPr>
        <w:t xml:space="preserve"> (incolla così com'è)</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Corpus di ricerca storica sul caso Moro e sul suo contesto internazionale, prodotto fra il 2025 e il 2026 con sistemi di intelligenza artificiale sotto direzione umana e sotto una disciplina metodologica scritta prima del lavoro e resa vincolante. La dichiarazione di generazione assistita apre ogni documento dell'opera, non ne chiude nessuno.  L'opera non ricostruisce i fatti del 1978 e non propone una tesi sul sequestro. Non indica responsabili: nessuna persona vi è indicata come responsabile di un reato al di fuori di un giudicato definitivo, e la regola che governa l'intero corpus è che l'appartenenza a un'organizzazione non è prova di condotta. Ciò che l'opera produce sono bersagli di ricerca: domande formulate in modo che un terzo possa andare in archivio a rispondervi, ciascuna col grado di ciò che si sa già e con la sede in cui si cercherebbe.  Ogni proposizione porta un grado dichiarato — A giudicato, B accertamento, C congettura, F fatto pubblico — e le ricerche condotte senza esito sono registrate come Stati Zero, validi soltanto se la sede consultata è nominata. Le correzioni sono annotate accanto all'errore e non applicate in silenzio; le divergenze fra fonti sono riportate e non risolte d'autorità.  Quinta edizione integrale, 27 agosto 2026: oltre 2.400 pagine in 103 documenti, quindici Libri e quattro Appendici, 239 grafici su 104 capitoli, 1.044 citazioni a 688 indirizzi distinti su 358 domini. Depositata in tre parti tagliate su confini di Libro; le parti non si sovrappongono e insieme fanno il volume. Ogni file porta la propria impronta SHA-256 nel manifesto allegato: l'impronta certifica l'integrità del contenitore, non la verità del contenuto, e la distinzione è dichiarata nel registro.</w:t>
      </w:r>
    </w:p>
    <w:p>
      <w:pPr>
        <w:spacing w:after="120" w:line="276"/>
        <w:jc w:val="both"/>
      </w:pPr>
      <w:r>
        <w:rPr>
          <w:rFonts w:ascii="Barlow Semi Condensed" w:cs="Barlow Semi Condensed" w:eastAsia="Barlow Semi Condensed" w:hAnsi="Barlow Semi Condensed"/>
          <w:b/>
          <w:bCs/>
          <w:sz w:val="24"/>
          <w:szCs w:val="24"/>
        </w:rPr>
        <w:t xml:space="preserve">Version</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5.0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 Publication date</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2026-08-27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 Language</w:t>
      </w: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i/>
          <w:iCs/>
          <w:sz w:val="24"/>
          <w:szCs w:val="24"/>
        </w:rPr>
        <w:t xml:space="preserve">Italian</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 License</w:t>
      </w:r>
      <w:r>
        <w:rPr>
          <w:rFonts w:ascii="Barlow Semi Condensed" w:cs="Barlow Semi Condensed" w:eastAsia="Barlow Semi Condensed" w:hAnsi="Barlow Semi Condensed"/>
          <w:sz w:val="24"/>
          <w:szCs w:val="24"/>
        </w:rPr>
        <w:t xml:space="preserve"> — Creative Commons Attribution 4.0 (CC BY 4.0)</w:t>
      </w:r>
    </w:p>
    <w:p>
      <w:pPr>
        <w:spacing w:after="120" w:line="276"/>
        <w:jc w:val="both"/>
      </w:pPr>
      <w:r>
        <w:rPr>
          <w:rFonts w:ascii="Barlow Semi Condensed" w:cs="Barlow Semi Condensed" w:eastAsia="Barlow Semi Condensed" w:hAnsi="Barlow Semi Condensed"/>
          <w:i/>
          <w:iCs/>
          <w:sz w:val="24"/>
          <w:szCs w:val="24"/>
        </w:rPr>
        <w:t xml:space="preserve">Sulla licenza.</w:t>
      </w:r>
      <w:r>
        <w:rPr>
          <w:rFonts w:ascii="Barlow Semi Condensed" w:cs="Barlow Semi Condensed" w:eastAsia="Barlow Semi Condensed" w:hAnsi="Barlow Semi Condensed"/>
          <w:sz w:val="24"/>
          <w:szCs w:val="24"/>
        </w:rPr>
        <w:t xml:space="preserve"> CC BY è la scelta consigliata: chiunque può citare e</w:t>
      </w:r>
    </w:p>
    <w:p>
      <w:pPr>
        <w:spacing w:after="120" w:line="276"/>
        <w:jc w:val="both"/>
      </w:pPr>
      <w:r>
        <w:rPr>
          <w:rFonts w:ascii="Barlow Semi Condensed" w:cs="Barlow Semi Condensed" w:eastAsia="Barlow Semi Condensed" w:hAnsi="Barlow Semi Condensed"/>
          <w:sz w:val="24"/>
          <w:szCs w:val="24"/>
        </w:rPr>
        <w:t xml:space="preserve">ridistribuire purché attribuisca, il che è esattamente ciò che serve a un'opera</w:t>
      </w:r>
    </w:p>
    <w:p>
      <w:pPr>
        <w:spacing w:after="120" w:line="276"/>
        <w:jc w:val="both"/>
      </w:pPr>
      <w:r>
        <w:rPr>
          <w:rFonts w:ascii="Barlow Semi Condensed" w:cs="Barlow Semi Condensed" w:eastAsia="Barlow Semi Condensed" w:hAnsi="Barlow Semi Condensed"/>
          <w:sz w:val="24"/>
          <w:szCs w:val="24"/>
        </w:rPr>
        <w:t xml:space="preserve">che vuole essere verificata. Se preferisci vietare gli usi commerciali (CC</w:t>
      </w:r>
    </w:p>
    <w:p>
      <w:pPr>
        <w:spacing w:after="120" w:line="276"/>
        <w:jc w:val="both"/>
      </w:pPr>
      <w:r>
        <w:rPr>
          <w:rFonts w:ascii="Barlow Semi Condensed" w:cs="Barlow Semi Condensed" w:eastAsia="Barlow Semi Condensed" w:hAnsi="Barlow Semi Condensed"/>
          <w:sz w:val="24"/>
          <w:szCs w:val="24"/>
        </w:rPr>
        <w:t xml:space="preserve">BY-NC) sappi che molte riviste e archivi non ridistribuiscono materiale NC, e</w:t>
      </w:r>
    </w:p>
    <w:p>
      <w:pPr>
        <w:spacing w:after="120" w:line="276"/>
        <w:jc w:val="both"/>
      </w:pPr>
      <w:r>
        <w:rPr>
          <w:rFonts w:ascii="Barlow Semi Condensed" w:cs="Barlow Semi Condensed" w:eastAsia="Barlow Semi Condensed" w:hAnsi="Barlow Semi Condensed"/>
          <w:sz w:val="24"/>
          <w:szCs w:val="24"/>
        </w:rPr>
        <w:t xml:space="preserve">perderesti proprio i canali che ti interessano.</w:t>
      </w:r>
    </w:p>
    <w:p>
      <w:pPr>
        <w:spacing w:after="120" w:line="276"/>
        <w:jc w:val="both"/>
      </w:pPr>
      <w:r>
        <w:rPr>
          <w:rFonts w:ascii="Barlow Semi Condensed" w:cs="Barlow Semi Condensed" w:eastAsia="Barlow Semi Condensed" w:hAnsi="Barlow Semi Condensed"/>
          <w:b/>
          <w:bCs/>
          <w:sz w:val="24"/>
          <w:szCs w:val="24"/>
        </w:rPr>
        <w:t xml:space="preserve">Keywords</w:t>
      </w:r>
    </w:p>
    <w:p>
      <w:pPr>
        <w:spacing w:after="120" w:line="276"/>
        <w:jc w:val="both"/>
      </w:pP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Aldo Moro; Brigate Rosse; caso Moro; storia contemporanea italiana; strategia della tensione; Loggia P2; Gladio; Commissione Moro; fonti parlamentari; metodo storiografico; gradi probatori; ricerca assistita da intelligenza artificiale</w:t>
      </w:r>
    </w:p>
    <w:p>
      <w:pPr>
        <w:spacing w:after="120" w:line="276"/>
        <w:jc w:val="both"/>
      </w:pP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Additional notes</w:t>
      </w:r>
      <w:r>
        <w:rPr>
          <w:rFonts w:ascii="Barlow Semi Condensed" w:cs="Barlow Semi Condensed" w:eastAsia="Barlow Semi Condensed" w:hAnsi="Barlow Semi Condensed"/>
          <w:sz w:val="24"/>
          <w:szCs w:val="24"/>
        </w:rPr>
        <w:t xml:space="preserve"> — l'impronta va copiata dal registro al momento del</w:t>
      </w:r>
    </w:p>
    <w:p>
      <w:pPr>
        <w:spacing w:after="120" w:line="276"/>
        <w:jc w:val="both"/>
      </w:pPr>
      <w:r>
        <w:rPr>
          <w:rFonts w:ascii="Barlow Semi Condensed" w:cs="Barlow Semi Condensed" w:eastAsia="Barlow Semi Condensed" w:hAnsi="Barlow Semi Condensed"/>
          <w:sz w:val="24"/>
          <w:szCs w:val="24"/>
        </w:rPr>
        <w:t xml:space="preserve">deposito, per la ragione detta sopra:</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Opera prodotta con sistemi di intelligenza artificiale sotto direzione e responsabilità umana. Impronta SHA-256 del manifesto dell'opera: </w:t>
      </w:r>
      <w:r>
        <w:rPr>
          <w:rFonts w:ascii="Barlow Semi Condensed" w:cs="Barlow Semi Condensed" w:eastAsia="Barlow Semi Condensed" w:hAnsi="Barlow Semi Condensed"/>
          <w:i w:val="false"/>
          <w:iCs w:val="false"/>
          <w:sz w:val="24"/>
          <w:szCs w:val="24"/>
        </w:rPr>
        <w:t xml:space="preserve">«copiare da IMPRONTE-SHA256.md, sezione "L'impronta dell'opera"»</w:t>
      </w:r>
      <w:r>
        <w:rPr>
          <w:rFonts w:ascii="Barlow Semi Condensed" w:cs="Barlow Semi Condensed" w:eastAsia="Barlow Semi Condensed" w:hAnsi="Barlow Semi Condensed"/>
          <w:i w:val="false"/>
          <w:iCs w:val="false"/>
          <w:sz w:val="24"/>
          <w:szCs w:val="24"/>
        </w:rPr>
        <w:t xml:space="preserve">. Il manifesto elenca i file versionati che compongono l'opera e si verifica con </w:t>
      </w:r>
      <w:r>
        <w:rPr>
          <w:rFonts w:ascii="Barlow Semi Condensed" w:cs="Barlow Semi Condensed" w:eastAsia="Barlow Semi Condensed" w:hAnsi="Barlow Semi Condensed"/>
          <w:i w:val="false"/>
          <w:iCs w:val="false"/>
          <w:sz w:val="24"/>
          <w:szCs w:val="24"/>
        </w:rPr>
        <w:t xml:space="preserve">sha256sum --check IMPRONTE-OPERA-MORO.txt</w:t>
      </w:r>
      <w:r>
        <w:rPr>
          <w:rFonts w:ascii="Barlow Semi Condensed" w:cs="Barlow Semi Condensed" w:eastAsia="Barlow Semi Condensed" w:hAnsi="Barlow Semi Condensed"/>
          <w:i w:val="false"/>
          <w:iCs w:val="false"/>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conteggio esatto delle pagine è volutamente lasciato in tondo — «oltre</w:t>
      </w:r>
    </w:p>
    <w:p>
      <w:pPr>
        <w:spacing w:after="120" w:line="276"/>
        <w:jc w:val="both"/>
      </w:pPr>
      <w:r>
        <w:rPr>
          <w:rFonts w:ascii="Barlow Semi Condensed" w:cs="Barlow Semi Condensed" w:eastAsia="Barlow Semi Condensed" w:hAnsi="Barlow Semi Condensed"/>
          <w:sz w:val="24"/>
          <w:szCs w:val="24"/>
        </w:rPr>
        <w:t xml:space="preserve">2.400» — e va sostituito con la cifra che si legge sulla copertina del volume al</w:t>
      </w:r>
    </w:p>
    <w:p>
      <w:pPr>
        <w:spacing w:after="120" w:line="276"/>
        <w:jc w:val="both"/>
      </w:pPr>
      <w:r>
        <w:rPr>
          <w:rFonts w:ascii="Barlow Semi Condensed" w:cs="Barlow Semi Condensed" w:eastAsia="Barlow Semi Condensed" w:hAnsi="Barlow Semi Condensed"/>
          <w:sz w:val="24"/>
          <w:szCs w:val="24"/>
        </w:rPr>
        <w:t xml:space="preserve">momento del deposito. La ragione è la stessa dell'impronta: **questo foglio è</w:t>
      </w:r>
    </w:p>
    <w:p>
      <w:pPr>
        <w:spacing w:after="120" w:line="276"/>
        <w:jc w:val="both"/>
      </w:pPr>
      <w:r>
        <w:rPr>
          <w:rFonts w:ascii="Barlow Semi Condensed" w:cs="Barlow Semi Condensed" w:eastAsia="Barlow Semi Condensed" w:hAnsi="Barlow Semi Condensed"/>
          <w:sz w:val="24"/>
          <w:szCs w:val="24"/>
        </w:rPr>
        <w:t xml:space="preserve">rilegato dentro il volume che conta**, e ogni volta che si scrive qui il numero</w:t>
      </w:r>
    </w:p>
    <w:p>
      <w:pPr>
        <w:spacing w:after="120" w:line="276"/>
        <w:jc w:val="both"/>
      </w:pPr>
      <w:r>
        <w:rPr>
          <w:rFonts w:ascii="Barlow Semi Condensed" w:cs="Barlow Semi Condensed" w:eastAsia="Barlow Semi Condensed" w:hAnsi="Barlow Semi Condensed"/>
          <w:sz w:val="24"/>
          <w:szCs w:val="24"/>
        </w:rPr>
        <w:t xml:space="preserve">esatto il foglio si allunga e il numero cambia. Un documento non può misurare</w:t>
      </w:r>
    </w:p>
    <w:p>
      <w:pPr>
        <w:spacing w:after="120" w:line="276"/>
        <w:jc w:val="both"/>
      </w:pPr>
      <w:r>
        <w:rPr>
          <w:rFonts w:ascii="Barlow Semi Condensed" w:cs="Barlow Semi Condensed" w:eastAsia="Barlow Semi Condensed" w:hAnsi="Barlow Semi Condensed"/>
          <w:sz w:val="24"/>
          <w:szCs w:val="24"/>
        </w:rPr>
        <w:t xml:space="preserve">sé stesso dall'interno; può però dire dove il numero si legge, ed è ciò che fa.</w:t>
      </w:r>
    </w:p>
    <w:p>
      <w:pPr>
        <w:spacing w:after="120" w:line="276"/>
        <w:jc w:val="both"/>
      </w:pPr>
      <w:r>
        <w:rPr>
          <w:rFonts w:ascii="Barlow Semi Condensed" w:cs="Barlow Semi Condensed" w:eastAsia="Barlow Semi Condensed" w:hAnsi="Barlow Semi Condensed"/>
          <w:sz w:val="24"/>
          <w:szCs w:val="24"/>
        </w:rPr>
        <w:t xml:space="preserve">Gli altri numeri — documenti, grafici, citazioni, domini — non hanno questo</w:t>
      </w:r>
    </w:p>
    <w:p>
      <w:pPr>
        <w:spacing w:after="120" w:line="276"/>
        <w:jc w:val="both"/>
      </w:pPr>
      <w:r>
        <w:rPr>
          <w:rFonts w:ascii="Barlow Semi Condensed" w:cs="Barlow Semi Condensed" w:eastAsia="Barlow Semi Condensed" w:hAnsi="Barlow Semi Condensed"/>
          <w:sz w:val="24"/>
          <w:szCs w:val="24"/>
        </w:rPr>
        <w:t xml:space="preserve">problema e sono esatti: si rileggono comunque sul registro prima di incollarli.*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L'ordine delle operazioni</w:t>
      </w:r>
    </w:p>
    <w:p>
      <w:pPr>
        <w:spacing w:after="40"/>
        <w:ind w:left="360"/>
        <w:jc w:val="both"/>
      </w:pPr>
      <w:r>
        <w:rPr>
          <w:rFonts w:ascii="Barlow Semi Condensed" w:cs="Barlow Semi Condensed" w:eastAsia="Barlow Semi Condensed" w:hAnsi="Barlow Semi Condensed"/>
          <w:sz w:val="24"/>
          <w:szCs w:val="24"/>
        </w:rPr>
        <w:t xml:space="preserve">1. Apri l'account Zenodo (o accedi). Se non hai un ORCID, aprilo prima e</w:t>
      </w:r>
    </w:p>
    <w:p>
      <w:pPr>
        <w:spacing w:after="120" w:line="276"/>
        <w:jc w:val="both"/>
      </w:pPr>
      <w:r>
        <w:rPr>
          <w:rFonts w:ascii="Barlow Semi Condensed" w:cs="Barlow Semi Condensed" w:eastAsia="Barlow Semi Condensed" w:hAnsi="Barlow Semi Condensed"/>
          <w:sz w:val="24"/>
          <w:szCs w:val="24"/>
        </w:rPr>
        <w:t xml:space="preserve">   collegalo.</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New upload</w:t>
      </w:r>
      <w:r>
        <w:rPr>
          <w:rFonts w:ascii="Barlow Semi Condensed" w:cs="Barlow Semi Condensed" w:eastAsia="Barlow Semi Condensed" w:hAnsi="Barlow Semi Condensed"/>
          <w:sz w:val="24"/>
          <w:szCs w:val="24"/>
        </w:rPr>
        <w:t xml:space="preserve"> → trascina i cinque file → compila i metadati qui sopra.</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Save</w:t>
      </w:r>
      <w:r>
        <w:rPr>
          <w:rFonts w:ascii="Barlow Semi Condensed" w:cs="Barlow Semi Condensed" w:eastAsia="Barlow Semi Condensed" w:hAnsi="Barlow Semi Condensed"/>
          <w:sz w:val="24"/>
          <w:szCs w:val="24"/>
        </w:rPr>
        <w:t xml:space="preserve"> senza pubblicare. Rileggi la description sullo schermo: è il testo</w:t>
      </w:r>
    </w:p>
    <w:p>
      <w:pPr>
        <w:spacing w:after="120" w:line="276"/>
        <w:jc w:val="both"/>
      </w:pPr>
      <w:r>
        <w:rPr>
          <w:rFonts w:ascii="Barlow Semi Condensed" w:cs="Barlow Semi Condensed" w:eastAsia="Barlow Semi Condensed" w:hAnsi="Barlow Semi Condensed"/>
          <w:sz w:val="24"/>
          <w:szCs w:val="24"/>
        </w:rPr>
        <w:t xml:space="preserve">   che leggeranno per primo, ed è l'unico che non puoi correggere dopo la</w:t>
      </w:r>
    </w:p>
    <w:p>
      <w:pPr>
        <w:spacing w:after="120" w:line="276"/>
        <w:jc w:val="both"/>
      </w:pPr>
      <w:r>
        <w:rPr>
          <w:rFonts w:ascii="Barlow Semi Condensed" w:cs="Barlow Semi Condensed" w:eastAsia="Barlow Semi Condensed" w:hAnsi="Barlow Semi Condensed"/>
          <w:sz w:val="24"/>
          <w:szCs w:val="24"/>
        </w:rPr>
        <w:t xml:space="preserve">   pubblicazione senza generare una nuova versione.</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Publish.</w:t>
      </w:r>
      <w:r>
        <w:rPr>
          <w:rFonts w:ascii="Barlow Semi Condensed" w:cs="Barlow Semi Condensed" w:eastAsia="Barlow Semi Condensed" w:hAnsi="Barlow Semi Condensed"/>
          <w:sz w:val="24"/>
          <w:szCs w:val="24"/>
        </w:rPr>
        <w:t xml:space="preserve"> Il DOI compare subito; l'indicizzazione richiede fino a un'ora.</w:t>
      </w:r>
    </w:p>
    <w:p>
      <w:pPr>
        <w:spacing w:after="40"/>
        <w:ind w:left="360"/>
        <w:jc w:val="both"/>
      </w:pPr>
      <w:r>
        <w:rPr>
          <w:rFonts w:ascii="Barlow Semi Condensed" w:cs="Barlow Semi Condensed" w:eastAsia="Barlow Semi Condensed" w:hAnsi="Barlow Semi Condensed"/>
          <w:sz w:val="24"/>
          <w:szCs w:val="24"/>
        </w:rPr>
        <w:t xml:space="preserve">5. Copia il DOI e </w:t>
      </w:r>
      <w:r>
        <w:rPr>
          <w:rFonts w:ascii="Barlow Semi Condensed" w:cs="Barlow Semi Condensed" w:eastAsia="Barlow Semi Condensed" w:hAnsi="Barlow Semi Condensed"/>
          <w:b/>
          <w:bCs/>
          <w:sz w:val="24"/>
          <w:szCs w:val="24"/>
        </w:rPr>
        <w:t xml:space="preserve">torna qui</w:t>
      </w:r>
      <w:r>
        <w:rPr>
          <w:rFonts w:ascii="Barlow Semi Condensed" w:cs="Barlow Semi Condensed" w:eastAsia="Barlow Semi Condensed" w:hAnsi="Barlow Semi Condensed"/>
          <w:sz w:val="24"/>
          <w:szCs w:val="24"/>
        </w:rPr>
        <w:t xml:space="preserve">: va inserito in undici lettere e nella scheda</w:t>
      </w:r>
    </w:p>
    <w:p>
      <w:pPr>
        <w:spacing w:after="120" w:line="276"/>
        <w:jc w:val="both"/>
      </w:pPr>
      <w:r>
        <w:rPr>
          <w:rFonts w:ascii="Barlow Semi Condensed" w:cs="Barlow Semi Condensed" w:eastAsia="Barlow Semi Condensed" w:hAnsi="Barlow Semi Condensed"/>
          <w:sz w:val="24"/>
          <w:szCs w:val="24"/>
        </w:rPr>
        <w:t xml:space="preserve">   dell'opera. È una sostituzione meccanica, la faccio io in un passaggio.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Dopo il DOI</w:t>
      </w:r>
    </w:p>
    <w:p>
      <w:pPr>
        <w:spacing w:after="120" w:line="276"/>
        <w:jc w:val="both"/>
      </w:pPr>
      <w:r>
        <w:rPr>
          <w:rFonts w:ascii="Barlow Semi Condensed" w:cs="Barlow Semi Condensed" w:eastAsia="Barlow Semi Condensed" w:hAnsi="Barlow Semi Condensed"/>
          <w:sz w:val="24"/>
          <w:szCs w:val="24"/>
        </w:rPr>
        <w:t xml:space="preserve">Il DOI entra in: la scheda dell'opera, la PEC unica formale, la lettera alla</w:t>
      </w:r>
    </w:p>
    <w:p>
      <w:pPr>
        <w:spacing w:after="120" w:line="276"/>
        <w:jc w:val="both"/>
      </w:pPr>
      <w:r>
        <w:rPr>
          <w:rFonts w:ascii="Barlow Semi Condensed" w:cs="Barlow Semi Condensed" w:eastAsia="Barlow Semi Condensed" w:hAnsi="Barlow Semi Condensed"/>
          <w:sz w:val="24"/>
          <w:szCs w:val="24"/>
        </w:rPr>
        <w:t xml:space="preserve">Fondazione Aldo Moro, la PEC all'Archivio Flamigni, la relazione al Centro</w:t>
      </w:r>
    </w:p>
    <w:p>
      <w:pPr>
        <w:spacing w:after="120" w:line="276"/>
        <w:jc w:val="both"/>
      </w:pPr>
      <w:r>
        <w:rPr>
          <w:rFonts w:ascii="Barlow Semi Condensed" w:cs="Barlow Semi Condensed" w:eastAsia="Barlow Semi Condensed" w:hAnsi="Barlow Semi Condensed"/>
          <w:sz w:val="24"/>
          <w:szCs w:val="24"/>
        </w:rPr>
        <w:t xml:space="preserve">Flamigni, e le sei proposte editoriali. Undici documenti, una stringa.</w:t>
      </w:r>
    </w:p>
    <w:p>
      <w:pPr>
        <w:spacing w:after="120" w:line="276"/>
        <w:jc w:val="both"/>
      </w:pPr>
      <w:r>
        <w:rPr>
          <w:rFonts w:ascii="Barlow Semi Condensed" w:cs="Barlow Semi Condensed" w:eastAsia="Barlow Semi Condensed" w:hAnsi="Barlow Semi Condensed"/>
          <w:sz w:val="24"/>
          <w:szCs w:val="24"/>
        </w:rPr>
        <w:t xml:space="preserve">Poi, e solo poi, si spedisce. La checklist di invio dice in che ordine.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Una avvertenza che vale la pena scrivere prima che serva: </w:t>
      </w:r>
      <w:r>
        <w:rPr>
          <w:rFonts w:ascii="Barlow Semi Condensed" w:cs="Barlow Semi Condensed" w:eastAsia="Barlow Semi Condensed" w:hAnsi="Barlow Semi Condensed"/>
          <w:sz w:val="24"/>
          <w:szCs w:val="24"/>
        </w:rPr>
        <w:t xml:space="preserve">*un deposito Zenodo</w:t>
      </w:r>
    </w:p>
    <w:p>
      <w:pPr>
        <w:spacing w:after="120" w:line="276"/>
        <w:jc w:val="both"/>
      </w:pPr>
      <w:r>
        <w:rPr>
          <w:rFonts w:ascii="Barlow Semi Condensed" w:cs="Barlow Semi Condensed" w:eastAsia="Barlow Semi Condensed" w:hAnsi="Barlow Semi Condensed"/>
          <w:sz w:val="24"/>
          <w:szCs w:val="24"/>
        </w:rPr>
        <w:t xml:space="preserve">non si cancella**. Si può ritirare dalla vista pubblica, ma il DOI resta e la</w:t>
      </w:r>
    </w:p>
    <w:p>
      <w:pPr>
        <w:spacing w:after="120" w:line="276"/>
        <w:jc w:val="both"/>
      </w:pPr>
      <w:r>
        <w:rPr>
          <w:rFonts w:ascii="Barlow Semi Condensed" w:cs="Barlow Semi Condensed" w:eastAsia="Barlow Semi Condensed" w:hAnsi="Barlow Semi Condensed"/>
          <w:sz w:val="24"/>
          <w:szCs w:val="24"/>
        </w:rPr>
        <w:t xml:space="preserve">pagina resta, con la dicitura di ritiro. Ciò che si carica oggi è definitivo. È</w:t>
      </w:r>
    </w:p>
    <w:p>
      <w:pPr>
        <w:spacing w:after="120" w:line="276"/>
        <w:jc w:val="both"/>
      </w:pPr>
      <w:r>
        <w:rPr>
          <w:rFonts w:ascii="Barlow Semi Condensed" w:cs="Barlow Semi Condensed" w:eastAsia="Barlow Semi Condensed" w:hAnsi="Barlow Semi Condensed"/>
          <w:sz w:val="24"/>
          <w:szCs w:val="24"/>
        </w:rPr>
        <w:t xml:space="preserve">il motivo per cui questo foglio insiste sul punto 3: rileggere prima di</w:t>
      </w:r>
    </w:p>
    <w:p>
      <w:pPr>
        <w:spacing w:after="120" w:line="276"/>
        <w:jc w:val="both"/>
      </w:pPr>
      <w:r>
        <w:rPr>
          <w:rFonts w:ascii="Barlow Semi Condensed" w:cs="Barlow Semi Condensed" w:eastAsia="Barlow Semi Condensed" w:hAnsi="Barlow Semi Condensed"/>
          <w:sz w:val="24"/>
          <w:szCs w:val="24"/>
        </w:rPr>
        <w:t xml:space="preserve">premere.*</w:t>
      </w:r>
    </w:p>
    <w:p>
      <w:pPr>
        <w:pStyle w:val="Heading3"/>
        <w:spacing w:after="80" w:before="240"/>
      </w:pPr>
      <w:r>
        <w:rPr>
          <w:rFonts w:ascii="Barlow Semi Condensed" w:cs="Barlow Semi Condensed" w:eastAsia="Barlow Semi Condensed" w:hAnsi="Barlow Semi Condensed"/>
          <w:sz w:val="24"/>
          <w:szCs w:val="24"/>
        </w:rPr>
        <w:t xml:space="preserve">Apparato grafico — Appendici · xvi. Il deposito Zenodo, foglio operativo</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 1.156 parole in 5 sezioni; la più ampia è §3 I metadati, pronti da incollare, con 641.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 30 paragrafi in 5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xvii. La richiesta all'Archivio storico della Camera</w:t>
      </w:r>
    </w:p>
    <w:p>
      <w:pPr>
        <w:pStyle w:val="Heading1"/>
        <w:spacing w:after="120" w:before="240"/>
      </w:pPr>
      <w:r>
        <w:rPr>
          <w:rFonts w:ascii="Barlow Semi Condensed" w:cs="Barlow Semi Condensed" w:eastAsia="Barlow Semi Condensed" w:hAnsi="Barlow Semi Condensed"/>
          <w:sz w:val="24"/>
          <w:szCs w:val="24"/>
        </w:rPr>
        <w:t xml:space="preserve">Richiesta all'Archivio storico della Camera dei deputati</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come ogni documento di quest'opera.*</w:t>
      </w:r>
    </w:p>
    <w:p>
      <w:pPr>
        <w:spacing w:after="120" w:line="276"/>
        <w:jc w:val="both"/>
      </w:pPr>
      <w:r>
        <w:rPr>
          <w:rFonts w:ascii="Barlow Semi Condensed" w:cs="Barlow Semi Condensed" w:eastAsia="Barlow Semi Condensed" w:hAnsi="Barlow Semi Condensed"/>
          <w:sz w:val="24"/>
          <w:szCs w:val="24"/>
        </w:rPr>
        <w:t xml:space="preserve">Questa è la richiesta più importante che l'opera abbia da fare, ed è lunga una</w:t>
      </w:r>
    </w:p>
    <w:p>
      <w:pPr>
        <w:spacing w:after="120" w:line="276"/>
        <w:jc w:val="both"/>
      </w:pPr>
      <w:r>
        <w:rPr>
          <w:rFonts w:ascii="Barlow Semi Condensed" w:cs="Barlow Semi Condensed" w:eastAsia="Barlow Semi Condensed" w:hAnsi="Barlow Semi Condensed"/>
          <w:sz w:val="24"/>
          <w:szCs w:val="24"/>
        </w:rPr>
        <w:t xml:space="preserve">pagina. Chiede la riproduzione di </w:t>
      </w:r>
      <w:r>
        <w:rPr>
          <w:rFonts w:ascii="Barlow Semi Condensed" w:cs="Barlow Semi Condensed" w:eastAsia="Barlow Semi Condensed" w:hAnsi="Barlow Semi Condensed"/>
          <w:b/>
          <w:bCs/>
          <w:sz w:val="24"/>
          <w:szCs w:val="24"/>
        </w:rPr>
        <w:t xml:space="preserve">due allegati</w:t>
      </w:r>
      <w:r>
        <w:rPr>
          <w:rFonts w:ascii="Barlow Semi Condensed" w:cs="Barlow Semi Condensed" w:eastAsia="Barlow Semi Condensed" w:hAnsi="Barlow Semi Condensed"/>
          <w:sz w:val="24"/>
          <w:szCs w:val="24"/>
        </w:rPr>
        <w:t xml:space="preserve"> di un documento parlamentare</w:t>
      </w:r>
    </w:p>
    <w:p>
      <w:pPr>
        <w:spacing w:after="120" w:line="276"/>
        <w:jc w:val="both"/>
      </w:pPr>
      <w:r>
        <w:rPr>
          <w:rFonts w:ascii="Barlow Semi Condensed" w:cs="Barlow Semi Condensed" w:eastAsia="Barlow Semi Condensed" w:hAnsi="Barlow Semi Condensed"/>
          <w:sz w:val="24"/>
          <w:szCs w:val="24"/>
        </w:rPr>
        <w:t xml:space="preserve">del 1984. Se tornano indietro, una decina di righe del corpus passano dal grado</w:t>
      </w:r>
    </w:p>
    <w:p>
      <w:pPr>
        <w:spacing w:after="120" w:line="276"/>
        <w:jc w:val="both"/>
      </w:pPr>
      <w:r>
        <w:rPr>
          <w:rFonts w:ascii="Barlow Semi Condensed" w:cs="Barlow Semi Condensed" w:eastAsia="Barlow Semi Condensed" w:hAnsi="Barlow Semi Condensed"/>
          <w:sz w:val="24"/>
          <w:szCs w:val="24"/>
        </w:rPr>
        <w:t xml:space="preserve">della congettura a quello dell'accertamento; se non tornano, l'esito negativo si</w:t>
      </w:r>
    </w:p>
    <w:p>
      <w:pPr>
        <w:spacing w:after="120" w:line="276"/>
        <w:jc w:val="both"/>
      </w:pPr>
      <w:r>
        <w:rPr>
          <w:rFonts w:ascii="Barlow Semi Condensed" w:cs="Barlow Semi Condensed" w:eastAsia="Barlow Semi Condensed" w:hAnsi="Barlow Semi Condensed"/>
          <w:sz w:val="24"/>
          <w:szCs w:val="24"/>
        </w:rPr>
        <w:t xml:space="preserve">registra come Stato Zero con la sede nominata, e vale anch'esso.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queste due, e non altre</w:t>
      </w:r>
    </w:p>
    <w:p>
      <w:pPr>
        <w:spacing w:after="120" w:line="276"/>
        <w:jc w:val="both"/>
      </w:pPr>
      <w:r>
        <w:rPr>
          <w:rFonts w:ascii="Barlow Semi Condensed" w:cs="Barlow Semi Condensed" w:eastAsia="Barlow Semi Condensed" w:hAnsi="Barlow Semi Condensed"/>
          <w:sz w:val="24"/>
          <w:szCs w:val="24"/>
        </w:rPr>
        <w:t xml:space="preserve">La certificazione del 27 agosto 2026 sui numeri di tessera e di fascicolo P2</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../_verifiche/certificazione-numeri-p2.md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si chiude con una risposta netta: </w:t>
      </w:r>
      <w:r>
        <w:rPr>
          <w:rFonts w:ascii="Barlow Semi Condensed" w:cs="Barlow Semi Condensed" w:eastAsia="Barlow Semi Condensed" w:hAnsi="Barlow Semi Condensed"/>
          <w:b/>
          <w:bCs/>
          <w:sz w:val="24"/>
          <w:szCs w:val="24"/>
        </w:rPr>
        <w:t xml:space="preserve">nessuno</w:t>
      </w:r>
      <w:r>
        <w:rPr>
          <w:rFonts w:ascii="Barlow Semi Condensed" w:cs="Barlow Semi Condensed" w:eastAsia="Barlow Semi Condensed" w:hAnsi="Barlow Semi Condensed"/>
          <w:sz w:val="24"/>
          <w:szCs w:val="24"/>
        </w:rPr>
        <w:t xml:space="preserve"> dei numeri contenuti nell'elenco</w:t>
      </w:r>
    </w:p>
    <w:p>
      <w:pPr>
        <w:spacing w:after="120" w:line="276"/>
        <w:jc w:val="both"/>
      </w:pPr>
      <w:r>
        <w:rPr>
          <w:rFonts w:ascii="Barlow Semi Condensed" w:cs="Barlow Semi Condensed" w:eastAsia="Barlow Semi Condensed" w:hAnsi="Barlow Semi Condensed"/>
          <w:sz w:val="24"/>
          <w:szCs w:val="24"/>
        </w:rPr>
        <w:t xml:space="preserve">verificato è certificabile allo stato degli atti. La ragione non è che i numeri</w:t>
      </w:r>
    </w:p>
    <w:p>
      <w:pPr>
        <w:spacing w:after="120" w:line="276"/>
        <w:jc w:val="both"/>
      </w:pPr>
      <w:r>
        <w:rPr>
          <w:rFonts w:ascii="Barlow Semi Condensed" w:cs="Barlow Semi Condensed" w:eastAsia="Barlow Semi Condensed" w:hAnsi="Barlow Semi Condensed"/>
          <w:sz w:val="24"/>
          <w:szCs w:val="24"/>
        </w:rPr>
        <w:t xml:space="preserve">siano falsi — è che nessuno li ha letti sulla fonte. Tutto ciò che l'opera ha</w:t>
      </w:r>
    </w:p>
    <w:p>
      <w:pPr>
        <w:spacing w:after="120" w:line="276"/>
        <w:jc w:val="both"/>
      </w:pPr>
      <w:r>
        <w:rPr>
          <w:rFonts w:ascii="Barlow Semi Condensed" w:cs="Barlow Semi Condensed" w:eastAsia="Barlow Semi Condensed" w:hAnsi="Barlow Semi Condensed"/>
          <w:sz w:val="24"/>
          <w:szCs w:val="24"/>
        </w:rPr>
        <w:t xml:space="preserve">sono trascrizioni di terza mano, e su di esse la calibrazione ha mostrato che il</w:t>
      </w:r>
    </w:p>
    <w:p>
      <w:pPr>
        <w:spacing w:after="120" w:line="276"/>
        <w:jc w:val="both"/>
      </w:pPr>
      <w:r>
        <w:rPr>
          <w:rFonts w:ascii="Barlow Semi Condensed" w:cs="Barlow Semi Condensed" w:eastAsia="Barlow Semi Condensed" w:hAnsi="Barlow Semi Condensed"/>
          <w:sz w:val="24"/>
          <w:szCs w:val="24"/>
        </w:rPr>
        <w:t xml:space="preserve">numero fra parentesi non è la tessera ma il </w:t>
      </w:r>
      <w:r>
        <w:rPr>
          <w:rFonts w:ascii="Barlow Semi Condensed" w:cs="Barlow Semi Condensed" w:eastAsia="Barlow Semi Condensed" w:hAnsi="Barlow Semi Condensed"/>
          <w:b/>
          <w:bCs/>
          <w:sz w:val="24"/>
          <w:szCs w:val="24"/>
        </w:rPr>
        <w:t xml:space="preserve">fascicolo</w:t>
      </w:r>
      <w:r>
        <w:rPr>
          <w:rFonts w:ascii="Barlow Semi Condensed" w:cs="Barlow Semi Condensed" w:eastAsia="Barlow Semi Condensed" w:hAnsi="Barlow Semi Condensed"/>
          <w:sz w:val="24"/>
          <w:szCs w:val="24"/>
        </w:rPr>
        <w:t xml:space="preserve">, e l'aritmetica ha</w:t>
      </w:r>
    </w:p>
    <w:p>
      <w:pPr>
        <w:spacing w:after="120" w:line="276"/>
        <w:jc w:val="both"/>
      </w:pPr>
      <w:r>
        <w:rPr>
          <w:rFonts w:ascii="Barlow Semi Condensed" w:cs="Barlow Semi Condensed" w:eastAsia="Barlow Semi Condensed" w:hAnsi="Barlow Semi Condensed"/>
          <w:sz w:val="24"/>
          <w:szCs w:val="24"/>
        </w:rPr>
        <w:t xml:space="preserve">mostrato che otto coppie su ventitré condividono uno scarto congelato di 1088</w:t>
      </w:r>
    </w:p>
    <w:p>
      <w:pPr>
        <w:spacing w:after="120" w:line="276"/>
        <w:jc w:val="both"/>
      </w:pPr>
      <w:r>
        <w:rPr>
          <w:rFonts w:ascii="Barlow Semi Condensed" w:cs="Barlow Semi Condensed" w:eastAsia="Barlow Semi Condensed" w:hAnsi="Barlow Semi Condensed"/>
          <w:sz w:val="24"/>
          <w:szCs w:val="24"/>
        </w:rPr>
        <w:t xml:space="preserve">mentre le due coppie attestate derivano.</w:t>
      </w:r>
    </w:p>
    <w:p>
      <w:pPr>
        <w:spacing w:after="120" w:line="276"/>
        <w:jc w:val="both"/>
      </w:pPr>
      <w:r>
        <w:rPr>
          <w:rFonts w:ascii="Barlow Semi Condensed" w:cs="Barlow Semi Condensed" w:eastAsia="Barlow Semi Condensed" w:hAnsi="Barlow Semi Condensed"/>
          <w:sz w:val="24"/>
          <w:szCs w:val="24"/>
        </w:rPr>
        <w:t xml:space="preserve">Il 27 agosto è arrivato l'inventario del volume che quei numeri li contiene:</w:t>
      </w:r>
    </w:p>
    <w:p>
      <w:pPr>
        <w:spacing w:after="120" w:line="276"/>
        <w:jc w:val="both"/>
      </w:pPr>
      <w:r>
        <w:rPr>
          <w:rFonts w:ascii="Barlow Semi Condensed" w:cs="Barlow Semi Condensed" w:eastAsia="Barlow Semi Condensed" w:hAnsi="Barlow Semi Condensed"/>
          <w:b/>
          <w:bCs/>
          <w:sz w:val="24"/>
          <w:szCs w:val="24"/>
        </w:rPr>
        <w:t xml:space="preserve">Doc. XXIII, n. 2-quater/2/I</w:t>
      </w:r>
      <w:r>
        <w:rPr>
          <w:rFonts w:ascii="Barlow Semi Condensed" w:cs="Barlow Semi Condensed" w:eastAsia="Barlow Semi Condensed" w:hAnsi="Barlow Semi Condensed"/>
          <w:sz w:val="24"/>
          <w:szCs w:val="24"/>
        </w:rPr>
        <w:t xml:space="preserve">, IX legislatura, Roma 1984 — «Allegati alla</w:t>
      </w:r>
    </w:p>
    <w:p>
      <w:pPr>
        <w:spacing w:after="120" w:line="276"/>
        <w:jc w:val="both"/>
      </w:pPr>
      <w:r>
        <w:rPr>
          <w:rFonts w:ascii="Barlow Semi Condensed" w:cs="Barlow Semi Condensed" w:eastAsia="Barlow Semi Condensed" w:hAnsi="Barlow Semi Condensed"/>
          <w:sz w:val="24"/>
          <w:szCs w:val="24"/>
        </w:rPr>
        <w:t xml:space="preserve">Relazione della Commissione parlamentare d'inchiesta sulla Loggia massonica P2,</w:t>
      </w:r>
    </w:p>
    <w:p>
      <w:pPr>
        <w:spacing w:after="120" w:line="276"/>
        <w:jc w:val="both"/>
      </w:pPr>
      <w:r>
        <w:rPr>
          <w:rFonts w:ascii="Barlow Semi Condensed" w:cs="Barlow Semi Condensed" w:eastAsia="Barlow Semi Condensed" w:hAnsi="Barlow Semi Condensed"/>
          <w:sz w:val="24"/>
          <w:szCs w:val="24"/>
        </w:rPr>
        <w:t xml:space="preserve">Serie II: Documentazione raccolta dalla Commissione, *Riscontri</w:t>
      </w:r>
    </w:p>
    <w:p>
      <w:pPr>
        <w:spacing w:after="120" w:line="276"/>
        <w:jc w:val="both"/>
      </w:pPr>
      <w:r>
        <w:rPr>
          <w:rFonts w:ascii="Barlow Semi Condensed" w:cs="Barlow Semi Condensed" w:eastAsia="Barlow Semi Condensed" w:hAnsi="Barlow Semi Condensed"/>
          <w:sz w:val="24"/>
          <w:szCs w:val="24"/>
        </w:rPr>
        <w:t xml:space="preserve">sull'attendibilità delle liste e sulle posizioni di affiliazione*», 638 pagine in</w:t>
      </w:r>
    </w:p>
    <w:p>
      <w:pPr>
        <w:spacing w:after="120" w:line="276"/>
        <w:jc w:val="both"/>
      </w:pPr>
      <w:r>
        <w:rPr>
          <w:rFonts w:ascii="Barlow Semi Condensed" w:cs="Barlow Semi Condensed" w:eastAsia="Barlow Semi Condensed" w:hAnsi="Barlow Semi Condensed"/>
          <w:sz w:val="24"/>
          <w:szCs w:val="24"/>
        </w:rPr>
        <w:t xml:space="preserve">venticinque allegati. Due allegati su venticinque portano numeri di tessera: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pagine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contiene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258-280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libro-matricola delle iniziazioni alla Loggia P2, 1952-1970</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21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474-507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schede personali massoniche sequestrate presso l'anagrafe del Grande Oriente d'Italia a Palazzo Giustiniani, ciascuna con dati anagrafici, loggia di appartenenza, loggia di iniziazione, </w:t>
            </w:r>
            <w:r>
              <w:rPr>
                <w:rFonts w:ascii="Barlow Semi Condensed" w:cs="Barlow Semi Condensed" w:eastAsia="Barlow Semi Condensed" w:hAnsi="Barlow Semi Condensed"/>
                <w:b/>
                <w:bCs/>
                <w:sz w:val="20"/>
                <w:szCs w:val="20"/>
              </w:rPr>
              <w:t xml:space="preserve">numero di tessera e data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L'allegato 21 è il riscontro più diretto che esista fra l'anagrafe ufficiale</w:t>
      </w:r>
    </w:p>
    <w:p>
      <w:pPr>
        <w:spacing w:after="120" w:line="276"/>
        <w:jc w:val="both"/>
      </w:pPr>
      <w:r>
        <w:rPr>
          <w:rFonts w:ascii="Barlow Semi Condensed" w:cs="Barlow Semi Condensed" w:eastAsia="Barlow Semi Condensed" w:hAnsi="Barlow Semi Condensed"/>
          <w:sz w:val="24"/>
          <w:szCs w:val="24"/>
        </w:rPr>
        <w:t xml:space="preserve">della massoneria e gli elenchi sequestrati a Castiglion Fibocchi: le schede sono</w:t>
      </w:r>
    </w:p>
    <w:p>
      <w:pPr>
        <w:spacing w:after="120" w:line="276"/>
        <w:jc w:val="both"/>
      </w:pPr>
      <w:r>
        <w:rPr>
          <w:rFonts w:ascii="Barlow Semi Condensed" w:cs="Barlow Semi Condensed" w:eastAsia="Barlow Semi Condensed" w:hAnsi="Barlow Semi Condensed"/>
          <w:sz w:val="24"/>
          <w:szCs w:val="24"/>
        </w:rPr>
        <w:t xml:space="preserve">intestate a persone destinatarie della raccomandata Battelli e comprese in quegli</w:t>
      </w:r>
    </w:p>
    <w:p>
      <w:pPr>
        <w:spacing w:after="120" w:line="276"/>
        <w:jc w:val="both"/>
      </w:pPr>
      <w:r>
        <w:rPr>
          <w:rFonts w:ascii="Barlow Semi Condensed" w:cs="Barlow Semi Condensed" w:eastAsia="Barlow Semi Condensed" w:hAnsi="Barlow Semi Condensed"/>
          <w:sz w:val="24"/>
          <w:szCs w:val="24"/>
        </w:rPr>
        <w:t xml:space="preserve">elenchi. Sono cinquantadue pagine in tutto, fra i due allegati.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spedire: il volume è probabilmente già in rete</w:t>
      </w:r>
    </w:p>
    <w:p>
      <w:pPr>
        <w:spacing w:after="120" w:line="276"/>
        <w:jc w:val="both"/>
      </w:pPr>
      <w:r>
        <w:rPr>
          <w:rFonts w:ascii="Barlow Semi Condensed" w:cs="Barlow Semi Condensed" w:eastAsia="Barlow Semi Condensed" w:hAnsi="Barlow Semi Condensed"/>
          <w:i/>
          <w:iCs/>
          <w:sz w:val="24"/>
          <w:szCs w:val="24"/>
        </w:rPr>
        <w:t xml:space="preserve">Accertamento del 27 agosto 2026.</w:t>
      </w:r>
      <w:r>
        <w:rPr>
          <w:rFonts w:ascii="Barlow Semi Condensed" w:cs="Barlow Semi Condensed" w:eastAsia="Barlow Semi Condensed" w:hAnsi="Barlow Semi Condensed"/>
          <w:sz w:val="24"/>
          <w:szCs w:val="24"/>
        </w:rPr>
        <w:t xml:space="preserve"> Questa richiesta è stata scritta prima di</w:t>
      </w:r>
    </w:p>
    <w:p>
      <w:pPr>
        <w:spacing w:after="120" w:line="276"/>
        <w:jc w:val="both"/>
      </w:pPr>
      <w:r>
        <w:rPr>
          <w:rFonts w:ascii="Barlow Semi Condensed" w:cs="Barlow Semi Condensed" w:eastAsia="Barlow Semi Condensed" w:hAnsi="Barlow Semi Condensed"/>
          <w:sz w:val="24"/>
          <w:szCs w:val="24"/>
        </w:rPr>
        <w:t xml:space="preserve">cercare, e la ricerca ha cambiato la prima mossa. **I volumi della Commissione P2</w:t>
      </w:r>
    </w:p>
    <w:p>
      <w:pPr>
        <w:spacing w:after="120" w:line="276"/>
        <w:jc w:val="both"/>
      </w:pPr>
      <w:r>
        <w:rPr>
          <w:rFonts w:ascii="Barlow Semi Condensed" w:cs="Barlow Semi Condensed" w:eastAsia="Barlow Semi Condensed" w:hAnsi="Barlow Semi Condensed"/>
          <w:sz w:val="24"/>
          <w:szCs w:val="24"/>
        </w:rPr>
        <w:t xml:space="preserve">risultano digitalizzati e pubblicati**, e ciò che si può aprire da un browser non</w:t>
      </w:r>
    </w:p>
    <w:p>
      <w:pPr>
        <w:spacing w:after="120" w:line="276"/>
        <w:jc w:val="both"/>
      </w:pPr>
      <w:r>
        <w:rPr>
          <w:rFonts w:ascii="Barlow Semi Condensed" w:cs="Barlow Semi Condensed" w:eastAsia="Barlow Semi Condensed" w:hAnsi="Barlow Semi Condensed"/>
          <w:sz w:val="24"/>
          <w:szCs w:val="24"/>
        </w:rPr>
        <w:t xml:space="preserve">si chiede per posta. Tre sedi, in ordine di probabilità: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sede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dovrebbe portare</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inchieste.camera.it/p2/documenti.html?leg=09</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portale delle commissioni d'inchiesta della Camera, alla IX legislatura: i documenti della Commissione P2 con le loro segnature</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archivioantimafia.org/p2/commissione_parlamentare/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 volumi e i tomi in PDF, scaricabili</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memoria.san.beniculturali.it</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portale del Ministero della cultura, dove la digitalizzazione dell'Archivio Flamigni è consultabile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ricerca ha anche precisato la segnatura: i «Riscontri sull'attendibilità delle</w:t>
      </w:r>
    </w:p>
    <w:p>
      <w:pPr>
        <w:spacing w:after="120" w:line="276"/>
        <w:jc w:val="both"/>
      </w:pPr>
      <w:r>
        <w:rPr>
          <w:rFonts w:ascii="Barlow Semi Condensed" w:cs="Barlow Semi Condensed" w:eastAsia="Barlow Semi Condensed" w:hAnsi="Barlow Semi Condensed"/>
          <w:sz w:val="24"/>
          <w:szCs w:val="24"/>
        </w:rPr>
        <w:t xml:space="preserve">liste e sulle posizioni di affiliazione» non sono un volume unico ma una **serie</w:t>
      </w:r>
    </w:p>
    <w:p>
      <w:pPr>
        <w:spacing w:after="120" w:line="276"/>
        <w:jc w:val="both"/>
      </w:pPr>
      <w:r>
        <w:rPr>
          <w:rFonts w:ascii="Barlow Semi Condensed" w:cs="Barlow Semi Condensed" w:eastAsia="Barlow Semi Condensed" w:hAnsi="Barlow Semi Condensed"/>
          <w:sz w:val="24"/>
          <w:szCs w:val="24"/>
        </w:rPr>
        <w:t xml:space="preserve">di tomi</w:t>
      </w:r>
      <w:r>
        <w:rPr>
          <w:rFonts w:ascii="Barlow Semi Condensed" w:cs="Barlow Semi Condensed" w:eastAsia="Barlow Semi Condensed" w:hAnsi="Barlow Semi Condensed"/>
          <w:b/>
          <w:bCs/>
          <w:sz w:val="24"/>
          <w:szCs w:val="24"/>
        </w:rPr>
        <w:t xml:space="preserve">, da </w:t>
      </w:r>
      <w:r>
        <w:rPr>
          <w:rFonts w:ascii="Barlow Semi Condensed" w:cs="Barlow Semi Condensed" w:eastAsia="Barlow Semi Condensed" w:hAnsi="Barlow Semi Condensed"/>
          <w:sz w:val="24"/>
          <w:szCs w:val="24"/>
        </w:rPr>
        <w:t xml:space="preserve">Doc. XXIII n. 2-quater/2/I</w:t>
      </w:r>
      <w:r>
        <w:rPr>
          <w:rFonts w:ascii="Barlow Semi Condensed" w:cs="Barlow Semi Condensed" w:eastAsia="Barlow Semi Condensed" w:hAnsi="Barlow Semi Condensed"/>
          <w:b/>
          <w:bCs/>
          <w:sz w:val="24"/>
          <w:szCs w:val="24"/>
        </w:rPr>
        <w:t xml:space="preserve"> ad almeno </w:t>
      </w:r>
      <w:r>
        <w:rPr>
          <w:rFonts w:ascii="Barlow Semi Condensed" w:cs="Barlow Semi Condensed" w:eastAsia="Barlow Semi Condensed" w:hAnsi="Barlow Semi Condensed"/>
          <w:sz w:val="24"/>
          <w:szCs w:val="24"/>
        </w:rPr>
        <w:t xml:space="preserve">/2/V**. Il tomo</w:t>
      </w:r>
    </w:p>
    <w:p>
      <w:pPr>
        <w:spacing w:after="120" w:line="276"/>
        <w:jc w:val="both"/>
      </w:pPr>
      <w:r>
        <w:rPr>
          <w:rFonts w:ascii="Barlow Semi Condensed" w:cs="Barlow Semi Condensed" w:eastAsia="Barlow Semi Condensed" w:hAnsi="Barlow Semi Condensed"/>
          <w:sz w:val="24"/>
          <w:szCs w:val="24"/>
        </w:rPr>
        <w:t xml:space="preserve">inventariato dalla scheda in nostro possesso — 638 pagine, venticinque allegati —</w:t>
      </w:r>
    </w:p>
    <w:p>
      <w:pPr>
        <w:spacing w:after="120" w:line="276"/>
        <w:jc w:val="both"/>
      </w:pPr>
      <w:r>
        <w:rPr>
          <w:rFonts w:ascii="Barlow Semi Condensed" w:cs="Barlow Semi Condensed" w:eastAsia="Barlow Semi Condensed" w:hAnsi="Barlow Semi Condensed"/>
          <w:sz w:val="24"/>
          <w:szCs w:val="24"/>
        </w:rPr>
        <w:t xml:space="preserve">è il </w:t>
      </w:r>
      <w:r>
        <w:rPr>
          <w:rFonts w:ascii="Barlow Semi Condensed" w:cs="Barlow Semi Condensed" w:eastAsia="Barlow Semi Condensed" w:hAnsi="Barlow Semi Condensed"/>
          <w:b/>
          <w:bCs/>
          <w:sz w:val="24"/>
          <w:szCs w:val="24"/>
        </w:rPr>
        <w:t xml:space="preserve">primo dei cinque</w:t>
      </w:r>
      <w:r>
        <w:rPr>
          <w:rFonts w:ascii="Barlow Semi Condensed" w:cs="Barlow Semi Condensed" w:eastAsia="Barlow Semi Condensed" w:hAnsi="Barlow Semi Condensed"/>
          <w:sz w:val="24"/>
          <w:szCs w:val="24"/>
        </w:rPr>
        <w:t xml:space="preserve">. Gli allegati 13 e 21, che portano i numeri di tessera,</w:t>
      </w:r>
    </w:p>
    <w:p>
      <w:pPr>
        <w:spacing w:after="120" w:line="276"/>
        <w:jc w:val="both"/>
      </w:pPr>
      <w:r>
        <w:rPr>
          <w:rFonts w:ascii="Barlow Semi Condensed" w:cs="Barlow Semi Condensed" w:eastAsia="Barlow Semi Condensed" w:hAnsi="Barlow Semi Condensed"/>
          <w:sz w:val="24"/>
          <w:szCs w:val="24"/>
        </w:rPr>
        <w:t xml:space="preserve">stanno in quel primo tomo.</w:t>
      </w:r>
    </w:p>
    <w:p>
      <w:pPr>
        <w:spacing w:after="120" w:line="276"/>
        <w:jc w:val="both"/>
      </w:pPr>
      <w:r>
        <w:rPr>
          <w:rFonts w:ascii="Barlow Semi Condensed" w:cs="Barlow Semi Condensed" w:eastAsia="Barlow Semi Condensed" w:hAnsi="Barlow Semi Condensed"/>
          <w:b/>
          <w:bCs/>
          <w:sz w:val="24"/>
          <w:szCs w:val="24"/>
        </w:rPr>
        <w:t xml:space="preserve">Grado di questo accertamento: B.</w:t>
      </w:r>
      <w:r>
        <w:rPr>
          <w:rFonts w:ascii="Barlow Semi Condensed" w:cs="Barlow Semi Condensed" w:eastAsia="Barlow Semi Condensed" w:hAnsi="Barlow Semi Condensed"/>
          <w:sz w:val="24"/>
          <w:szCs w:val="24"/>
        </w:rPr>
        <w:t xml:space="preserve"> Le pagine istituzionali non sono state lette:</w:t>
      </w:r>
    </w:p>
    <w:p>
      <w:pPr>
        <w:spacing w:after="120" w:line="276"/>
        <w:jc w:val="both"/>
      </w:pPr>
      <w:r>
        <w:rPr>
          <w:rFonts w:ascii="Barlow Semi Condensed" w:cs="Barlow Semi Condensed" w:eastAsia="Barlow Semi Condensed" w:hAnsi="Barlow Semi Condensed"/>
          <w:sz w:val="24"/>
          <w:szCs w:val="24"/>
        </w:rPr>
        <w:t xml:space="preserve">sono state raggiunte per ricerca, e la ricerca riferisce ciò che vi si legge. La</w:t>
      </w:r>
    </w:p>
    <w:p>
      <w:pPr>
        <w:spacing w:after="120" w:line="276"/>
        <w:jc w:val="both"/>
      </w:pPr>
      <w:r>
        <w:rPr>
          <w:rFonts w:ascii="Barlow Semi Condensed" w:cs="Barlow Semi Condensed" w:eastAsia="Barlow Semi Condensed" w:hAnsi="Barlow Semi Condensed"/>
          <w:sz w:val="24"/>
          <w:szCs w:val="24"/>
        </w:rPr>
        <w:t xml:space="preserve">differenza conta, ed è la stessa che la certificazione applica a tutto il resto.</w:t>
      </w:r>
    </w:p>
    <w:p>
      <w:pPr>
        <w:pStyle w:val="Heading3"/>
        <w:spacing w:after="80" w:before="160"/>
      </w:pPr>
      <w:r>
        <w:rPr>
          <w:rFonts w:ascii="Barlow Semi Condensed" w:cs="Barlow Semi Condensed" w:eastAsia="Barlow Semi Condensed" w:hAnsi="Barlow Semi Condensed"/>
          <w:sz w:val="24"/>
          <w:szCs w:val="24"/>
        </w:rPr>
        <w:t xml:space="preserve">Stato Zero d'ambiente, del 27 agosto 2026</w:t>
      </w:r>
    </w:p>
    <w:p>
      <w:pPr>
        <w:spacing w:after="120" w:line="276"/>
        <w:jc w:val="both"/>
      </w:pPr>
      <w:r>
        <w:rPr>
          <w:rFonts w:ascii="Barlow Semi Condensed" w:cs="Barlow Semi Condensed" w:eastAsia="Barlow Semi Condensed" w:hAnsi="Barlow Semi Condensed"/>
          <w:sz w:val="24"/>
          <w:szCs w:val="24"/>
        </w:rPr>
        <w:t xml:space="preserve">Il tentativo di aprire quelle pagine da questa sessione **è fallito, e non per</w:t>
      </w:r>
    </w:p>
    <w:p>
      <w:pPr>
        <w:spacing w:after="120" w:line="276"/>
        <w:jc w:val="both"/>
      </w:pPr>
      <w:r>
        <w:rPr>
          <w:rFonts w:ascii="Barlow Semi Condensed" w:cs="Barlow Semi Condensed" w:eastAsia="Barlow Semi Condensed" w:hAnsi="Barlow Semi Condensed"/>
          <w:sz w:val="24"/>
          <w:szCs w:val="24"/>
        </w:rPr>
        <w:t xml:space="preserve">assenza della fonte**: il proxy di rete blocca l'uscita verso </w:t>
      </w:r>
      <w:r>
        <w:rPr>
          <w:rFonts w:ascii="Barlow Semi Condensed" w:cs="Barlow Semi Condensed" w:eastAsia="Barlow Semi Condensed" w:hAnsi="Barlow Semi Condensed"/>
          <w:i/>
          <w:iCs/>
          <w:sz w:val="24"/>
          <w:szCs w:val="24"/>
        </w:rPr>
        <w:t xml:space="preserve">camera.it</w:t>
      </w:r>
      <w:r>
        <w:rPr>
          <w:rFonts w:ascii="Barlow Semi Condensed" w:cs="Barlow Semi Condensed" w:eastAsia="Barlow Semi Condensed" w:hAnsi="Barlow Semi Condensed"/>
          <w:sz w:val="24"/>
          <w:szCs w:val="24"/>
        </w:rPr>
        <w:t xml:space="preserve"> e i suoi</w:t>
      </w:r>
    </w:p>
    <w:p>
      <w:pPr>
        <w:spacing w:after="120" w:line="276"/>
        <w:jc w:val="both"/>
      </w:pPr>
      <w:r>
        <w:rPr>
          <w:rFonts w:ascii="Barlow Semi Condensed" w:cs="Barlow Semi Condensed" w:eastAsia="Barlow Semi Condensed" w:hAnsi="Barlow Semi Condensed"/>
          <w:sz w:val="24"/>
          <w:szCs w:val="24"/>
        </w:rPr>
        <w:t xml:space="preserve">sottodomini, </w:t>
      </w:r>
      <w:r>
        <w:rPr>
          <w:rFonts w:ascii="Barlow Semi Condensed" w:cs="Barlow Semi Condensed" w:eastAsia="Barlow Semi Condensed" w:hAnsi="Barlow Semi Condensed"/>
          <w:i/>
          <w:iCs/>
          <w:sz w:val="24"/>
          <w:szCs w:val="24"/>
        </w:rPr>
        <w:t xml:space="preserve">senato.it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archivioantimafia.org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siusa-archivi.cultura.gov.it</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i/>
          <w:iCs/>
          <w:sz w:val="24"/>
          <w:szCs w:val="24"/>
        </w:rPr>
        <w:t xml:space="preserve">wikisource.org</w:t>
      </w:r>
      <w:r>
        <w:rPr>
          <w:rFonts w:ascii="Barlow Semi Condensed" w:cs="Barlow Semi Condensed" w:eastAsia="Barlow Semi Condensed" w:hAnsi="Barlow Semi Condensed"/>
          <w:sz w:val="24"/>
          <w:szCs w:val="24"/>
        </w:rPr>
        <w:t xml:space="preserve"> e gli altri mirror provati. Le sedi sono nominate, la data è</w:t>
      </w:r>
    </w:p>
    <w:p>
      <w:pPr>
        <w:spacing w:after="120" w:line="276"/>
        <w:jc w:val="both"/>
      </w:pPr>
      <w:r>
        <w:rPr>
          <w:rFonts w:ascii="Barlow Semi Condensed" w:cs="Barlow Semi Condensed" w:eastAsia="Barlow Semi Condensed" w:hAnsi="Barlow Semi Condensed"/>
          <w:sz w:val="24"/>
          <w:szCs w:val="24"/>
        </w:rPr>
        <w:t xml:space="preserve">questa, e la causa è dichiarata: **è un limite dell'ambiente, non un esito sulla</w:t>
      </w:r>
    </w:p>
    <w:p>
      <w:pPr>
        <w:spacing w:after="120" w:line="276"/>
        <w:jc w:val="both"/>
      </w:pPr>
      <w:r>
        <w:rPr>
          <w:rFonts w:ascii="Barlow Semi Condensed" w:cs="Barlow Semi Condensed" w:eastAsia="Barlow Semi Condensed" w:hAnsi="Barlow Semi Condensed"/>
          <w:sz w:val="24"/>
          <w:szCs w:val="24"/>
        </w:rPr>
        <w:t xml:space="preserve">fonte**. Da un browser ordinario quelle pagine si aprono.</w:t>
      </w:r>
    </w:p>
    <w:p>
      <w:pPr>
        <w:spacing w:after="120" w:line="276"/>
        <w:jc w:val="both"/>
      </w:pPr>
      <w:r>
        <w:rPr>
          <w:rFonts w:ascii="Barlow Semi Condensed" w:cs="Barlow Semi Condensed" w:eastAsia="Barlow Semi Condensed" w:hAnsi="Barlow Semi Condensed"/>
          <w:b/>
          <w:bCs/>
          <w:sz w:val="24"/>
          <w:szCs w:val="24"/>
        </w:rPr>
        <w:t xml:space="preserve">Un indirizzo più corto di tutti gli altri.</w:t>
      </w:r>
      <w:r>
        <w:rPr>
          <w:rFonts w:ascii="Barlow Semi Condensed" w:cs="Barlow Semi Condensed" w:eastAsia="Barlow Semi Condensed" w:hAnsi="Barlow Semi Condensed"/>
          <w:sz w:val="24"/>
          <w:szCs w:val="24"/>
        </w:rPr>
        <w:t xml:space="preserve"> L'indice completo degli atti della</w:t>
      </w:r>
    </w:p>
    <w:p>
      <w:pPr>
        <w:spacing w:after="120" w:line="276"/>
        <w:jc w:val="both"/>
      </w:pPr>
      <w:r>
        <w:rPr>
          <w:rFonts w:ascii="Barlow Semi Condensed" w:cs="Barlow Semi Condensed" w:eastAsia="Barlow Semi Condensed" w:hAnsi="Barlow Semi Condensed"/>
          <w:sz w:val="24"/>
          <w:szCs w:val="24"/>
        </w:rPr>
        <w:t xml:space="preserve">Commissione risulta pubblicato in PDF dal **Centro documentazione Archivio</w:t>
      </w:r>
    </w:p>
    <w:p>
      <w:pPr>
        <w:spacing w:after="120" w:line="276"/>
        <w:jc w:val="both"/>
      </w:pPr>
      <w:r>
        <w:rPr>
          <w:rFonts w:ascii="Barlow Semi Condensed" w:cs="Barlow Semi Condensed" w:eastAsia="Barlow Semi Condensed" w:hAnsi="Barlow Semi Condensed"/>
          <w:sz w:val="24"/>
          <w:szCs w:val="24"/>
        </w:rPr>
        <w:t xml:space="preserve">Flamigni** — </w:t>
      </w:r>
      <w:r>
        <w:rPr>
          <w:rFonts w:ascii="Barlow Semi Condensed" w:cs="Barlow Semi Condensed" w:eastAsia="Barlow Semi Condensed" w:hAnsi="Barlow Semi Condensed"/>
          <w:i/>
          <w:iCs/>
          <w:sz w:val="24"/>
          <w:szCs w:val="24"/>
        </w:rPr>
        <w:t xml:space="preserve">archivioflamigni.org/doc/indice-atti-commissione-p2.pdf</w:t>
      </w:r>
      <w:r>
        <w:rPr>
          <w:rFonts w:ascii="Barlow Semi Condensed" w:cs="Barlow Semi Condensed" w:eastAsia="Barlow Semi Condensed" w:hAnsi="Barlow Semi Condensed"/>
          <w:sz w:val="24"/>
          <w:szCs w:val="24"/>
        </w:rPr>
        <w:t xml:space="preserve"> — e i</w:t>
      </w:r>
    </w:p>
    <w:p>
      <w:pPr>
        <w:spacing w:after="120" w:line="276"/>
        <w:jc w:val="both"/>
      </w:pPr>
      <w:r>
        <w:rPr>
          <w:rFonts w:ascii="Barlow Semi Condensed" w:cs="Barlow Semi Condensed" w:eastAsia="Barlow Semi Condensed" w:hAnsi="Barlow Semi Condensed"/>
          <w:sz w:val="24"/>
          <w:szCs w:val="24"/>
        </w:rPr>
        <w:t xml:space="preserve">volumi risultano digitalizzati dallo stesso Centro. È il </w:t>
      </w:r>
      <w:r>
        <w:rPr>
          <w:rFonts w:ascii="Barlow Semi Condensed" w:cs="Barlow Semi Condensed" w:eastAsia="Barlow Semi Condensed" w:hAnsi="Barlow Semi Condensed"/>
          <w:b/>
          <w:bCs/>
          <w:sz w:val="24"/>
          <w:szCs w:val="24"/>
        </w:rPr>
        <w:t xml:space="preserve">destinatario zero</w:t>
      </w:r>
      <w:r>
        <w:rPr>
          <w:rFonts w:ascii="Barlow Semi Condensed" w:cs="Barlow Semi Condensed" w:eastAsia="Barlow Semi Condensed" w:hAnsi="Barlow Semi Condensed"/>
          <w:sz w:val="24"/>
          <w:szCs w:val="24"/>
        </w:rPr>
        <w:t xml:space="preserve"> di</w:t>
      </w:r>
    </w:p>
    <w:p>
      <w:pPr>
        <w:spacing w:after="120" w:line="276"/>
        <w:jc w:val="both"/>
      </w:pPr>
      <w:r>
        <w:rPr>
          <w:rFonts w:ascii="Barlow Semi Condensed" w:cs="Barlow Semi Condensed" w:eastAsia="Barlow Semi Condensed" w:hAnsi="Barlow Semi Condensed"/>
          <w:sz w:val="24"/>
          <w:szCs w:val="24"/>
        </w:rPr>
        <w:t xml:space="preserve">questo dossier: alla stessa porta a cui va spedita l'opera si può chiedere la</w:t>
      </w:r>
    </w:p>
    <w:p>
      <w:pPr>
        <w:spacing w:after="120" w:line="276"/>
        <w:jc w:val="both"/>
      </w:pPr>
      <w:r>
        <w:rPr>
          <w:rFonts w:ascii="Barlow Semi Condensed" w:cs="Barlow Semi Condensed" w:eastAsia="Barlow Semi Condensed" w:hAnsi="Barlow Semi Condensed"/>
          <w:sz w:val="24"/>
          <w:szCs w:val="24"/>
        </w:rPr>
        <w:t xml:space="preserve">fonte. Conviene unire le due cose in una lettera sola.</w:t>
      </w:r>
    </w:p>
    <w:p>
      <w:pPr>
        <w:spacing w:after="120" w:line="276"/>
        <w:jc w:val="both"/>
      </w:pPr>
      <w:r>
        <w:rPr>
          <w:rFonts w:ascii="Barlow Semi Condensed" w:cs="Barlow Semi Condensed" w:eastAsia="Barlow Semi Condensed" w:hAnsi="Barlow Semi Condensed"/>
          <w:i/>
          <w:iCs/>
          <w:sz w:val="24"/>
          <w:szCs w:val="24"/>
        </w:rPr>
        <w:t xml:space="preserve">Che cosa fare per primo, dunque:</w:t>
      </w:r>
      <w:r>
        <w:rPr>
          <w:rFonts w:ascii="Barlow Semi Condensed" w:cs="Barlow Semi Condensed" w:eastAsia="Barlow Semi Condensed" w:hAnsi="Barlow Semi Condensed"/>
          <w:sz w:val="24"/>
          <w:szCs w:val="24"/>
        </w:rPr>
        <w:t xml:space="preserve"> aprire </w:t>
      </w:r>
      <w:r>
        <w:rPr>
          <w:rFonts w:ascii="Barlow Semi Condensed" w:cs="Barlow Semi Condensed" w:eastAsia="Barlow Semi Condensed" w:hAnsi="Barlow Semi Condensed"/>
          <w:i/>
          <w:iCs/>
          <w:sz w:val="24"/>
          <w:szCs w:val="24"/>
        </w:rPr>
        <w:t xml:space="preserve">inchieste.camera.it/p2/documenti.html?leg=09</w:t>
      </w:r>
    </w:p>
    <w:p>
      <w:pPr>
        <w:spacing w:after="120" w:line="276"/>
        <w:jc w:val="both"/>
      </w:pPr>
      <w:r>
        <w:rPr>
          <w:rFonts w:ascii="Barlow Semi Condensed" w:cs="Barlow Semi Condensed" w:eastAsia="Barlow Semi Condensed" w:hAnsi="Barlow Semi Condensed"/>
          <w:sz w:val="24"/>
          <w:szCs w:val="24"/>
        </w:rPr>
        <w:t xml:space="preserve">e cercare il tomo </w:t>
      </w:r>
      <w:r>
        <w:rPr>
          <w:rFonts w:ascii="Barlow Semi Condensed" w:cs="Barlow Semi Condensed" w:eastAsia="Barlow Semi Condensed" w:hAnsi="Barlow Semi Condensed"/>
          <w:i/>
          <w:iCs/>
          <w:sz w:val="24"/>
          <w:szCs w:val="24"/>
        </w:rPr>
        <w:t xml:space="preserve">2-quater/2/I</w:t>
      </w:r>
      <w:r>
        <w:rPr>
          <w:rFonts w:ascii="Barlow Semi Condensed" w:cs="Barlow Semi Condensed" w:eastAsia="Barlow Semi Condensed" w:hAnsi="Barlow Semi Condensed"/>
          <w:sz w:val="24"/>
          <w:szCs w:val="24"/>
        </w:rPr>
        <w:t xml:space="preserve">. Se il PDF c'è, gli allegati 13 e 21 si leggono</w:t>
      </w:r>
    </w:p>
    <w:p>
      <w:pPr>
        <w:spacing w:after="120" w:line="276"/>
        <w:jc w:val="both"/>
      </w:pPr>
      <w:r>
        <w:rPr>
          <w:rFonts w:ascii="Barlow Semi Condensed" w:cs="Barlow Semi Condensed" w:eastAsia="Barlow Semi Condensed" w:hAnsi="Barlow Semi Condensed"/>
          <w:sz w:val="24"/>
          <w:szCs w:val="24"/>
        </w:rPr>
        <w:t xml:space="preserve">oggi, gratis, senza chiedere niente a nessuno, e questa lettera non serve. Se non</w:t>
      </w:r>
    </w:p>
    <w:p>
      <w:pPr>
        <w:spacing w:after="120" w:line="276"/>
        <w:jc w:val="both"/>
      </w:pPr>
      <w:r>
        <w:rPr>
          <w:rFonts w:ascii="Barlow Semi Condensed" w:cs="Barlow Semi Condensed" w:eastAsia="Barlow Semi Condensed" w:hAnsi="Barlow Semi Condensed"/>
          <w:sz w:val="24"/>
          <w:szCs w:val="24"/>
        </w:rPr>
        <w:t xml:space="preserve">c'è, o se è illeggibile, la lettera resta pronta qui sotto.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canale, se la richiesta serve davvero</w:t>
      </w:r>
    </w:p>
    <w:p>
      <w:pPr>
        <w:spacing w:after="120" w:line="276"/>
        <w:jc w:val="both"/>
      </w:pPr>
      <w:r>
        <w:rPr>
          <w:rFonts w:ascii="Barlow Semi Condensed" w:cs="Barlow Semi Condensed" w:eastAsia="Barlow Semi Condensed" w:hAnsi="Barlow Semi Condensed"/>
          <w:b/>
          <w:bCs/>
          <w:sz w:val="24"/>
          <w:szCs w:val="24"/>
        </w:rPr>
        <w:t xml:space="preserve">Sede:</w:t>
      </w:r>
      <w:r>
        <w:rPr>
          <w:rFonts w:ascii="Barlow Semi Condensed" w:cs="Barlow Semi Condensed" w:eastAsia="Barlow Semi Condensed" w:hAnsi="Barlow Semi Condensed"/>
          <w:sz w:val="24"/>
          <w:szCs w:val="24"/>
        </w:rPr>
        <w:t xml:space="preserve"> Archivio storico della Camera dei deputati, **piazza San Macuto 57,</w:t>
      </w:r>
    </w:p>
    <w:p>
      <w:pPr>
        <w:spacing w:after="120" w:line="276"/>
        <w:jc w:val="both"/>
      </w:pPr>
      <w:r>
        <w:rPr>
          <w:rFonts w:ascii="Barlow Semi Condensed" w:cs="Barlow Semi Condensed" w:eastAsia="Barlow Semi Condensed" w:hAnsi="Barlow Semi Condensed"/>
          <w:sz w:val="24"/>
          <w:szCs w:val="24"/>
        </w:rPr>
        <w:t xml:space="preserve">00186 Roma** — primo piano di Palazzo del Seminario. Aperto dal lunedì al venerdì,</w:t>
      </w:r>
    </w:p>
    <w:p>
      <w:pPr>
        <w:spacing w:after="120" w:line="276"/>
        <w:jc w:val="both"/>
      </w:pPr>
      <w:r>
        <w:rPr>
          <w:rFonts w:ascii="Barlow Semi Condensed" w:cs="Barlow Semi Condensed" w:eastAsia="Barlow Semi Condensed" w:hAnsi="Barlow Semi Condensed"/>
          <w:b/>
          <w:bCs/>
          <w:sz w:val="24"/>
          <w:szCs w:val="24"/>
        </w:rPr>
        <w:t xml:space="preserve">9.30-16.30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Segreteria: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ars_segreteria@camera.it</w:t>
      </w:r>
      <w:r>
        <w:rPr>
          <w:rFonts w:ascii="Barlow Semi Condensed" w:cs="Barlow Semi Condensed" w:eastAsia="Barlow Semi Condensed" w:hAnsi="Barlow Semi Condensed"/>
          <w:sz w:val="24"/>
          <w:szCs w:val="24"/>
        </w:rPr>
        <w:t xml:space="preserve"> · telefono </w:t>
      </w:r>
      <w:r>
        <w:rPr>
          <w:rFonts w:ascii="Barlow Semi Condensed" w:cs="Barlow Semi Condensed" w:eastAsia="Barlow Semi Condensed" w:hAnsi="Barlow Semi Condensed"/>
          <w:b/>
          <w:bCs/>
          <w:sz w:val="24"/>
          <w:szCs w:val="24"/>
        </w:rPr>
        <w:t xml:space="preserve">06 6760 3880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Grado di questi recapiti: B.</w:t>
      </w:r>
      <w:r>
        <w:rPr>
          <w:rFonts w:ascii="Barlow Semi Condensed" w:cs="Barlow Semi Condensed" w:eastAsia="Barlow Semi Condensed" w:hAnsi="Barlow Semi Condensed"/>
          <w:sz w:val="24"/>
          <w:szCs w:val="24"/>
        </w:rPr>
        <w:t xml:space="preserve"> Convergono due ricerche indipendenti che</w:t>
      </w:r>
    </w:p>
    <w:p>
      <w:pPr>
        <w:spacing w:after="120" w:line="276"/>
        <w:jc w:val="both"/>
      </w:pPr>
      <w:r>
        <w:rPr>
          <w:rFonts w:ascii="Barlow Semi Condensed" w:cs="Barlow Semi Condensed" w:eastAsia="Barlow Semi Condensed" w:hAnsi="Barlow Semi Condensed"/>
          <w:sz w:val="24"/>
          <w:szCs w:val="24"/>
        </w:rPr>
        <w:t xml:space="preserve">riferiscono le pagine istituzionali della Camera; quelle pagine non sono state</w:t>
      </w:r>
    </w:p>
    <w:p>
      <w:pPr>
        <w:spacing w:after="120" w:line="276"/>
        <w:jc w:val="both"/>
      </w:pPr>
      <w:r>
        <w:rPr>
          <w:rFonts w:ascii="Barlow Semi Condensed" w:cs="Barlow Semi Condensed" w:eastAsia="Barlow Semi Condensed" w:hAnsi="Barlow Semi Condensed"/>
          <w:sz w:val="24"/>
          <w:szCs w:val="24"/>
        </w:rPr>
        <w:t xml:space="preserve">lette direttamente, per il blocco detto sopra. **Vanno confermati sul sito prima</w:t>
      </w:r>
    </w:p>
    <w:p>
      <w:pPr>
        <w:spacing w:after="120" w:line="276"/>
        <w:jc w:val="both"/>
      </w:pPr>
      <w:r>
        <w:rPr>
          <w:rFonts w:ascii="Barlow Semi Condensed" w:cs="Barlow Semi Condensed" w:eastAsia="Barlow Semi Condensed" w:hAnsi="Barlow Semi Condensed"/>
          <w:sz w:val="24"/>
          <w:szCs w:val="24"/>
        </w:rPr>
        <w:t xml:space="preserve">di spedire.** Il registro dei canali li porta con questo grado e non con un altro.</w:t>
      </w:r>
    </w:p>
    <w:p>
      <w:pPr>
        <w:spacing w:after="120" w:line="276"/>
        <w:jc w:val="both"/>
      </w:pPr>
      <w:r>
        <w:rPr>
          <w:rFonts w:ascii="Barlow Semi Condensed" w:cs="Barlow Semi Condensed" w:eastAsia="Barlow Semi Condensed" w:hAnsi="Barlow Semi Condensed"/>
          <w:b/>
          <w:bCs/>
          <w:sz w:val="24"/>
          <w:szCs w:val="24"/>
        </w:rPr>
        <w:t xml:space="preserve">La procedura è diversa da quella che questa lettera presupponeva.</w:t>
      </w:r>
      <w:r>
        <w:rPr>
          <w:rFonts w:ascii="Barlow Semi Condensed" w:cs="Barlow Semi Condensed" w:eastAsia="Barlow Semi Condensed" w:hAnsi="Barlow Semi Condensed"/>
          <w:sz w:val="24"/>
          <w:szCs w:val="24"/>
        </w:rPr>
        <w:t xml:space="preserve"> L'accesso</w:t>
      </w:r>
    </w:p>
    <w:p>
      <w:pPr>
        <w:spacing w:after="120" w:line="276"/>
        <w:jc w:val="both"/>
      </w:pPr>
      <w:r>
        <w:rPr>
          <w:rFonts w:ascii="Barlow Semi Condensed" w:cs="Barlow Semi Condensed" w:eastAsia="Barlow Semi Condensed" w:hAnsi="Barlow Semi Condensed"/>
          <w:sz w:val="24"/>
          <w:szCs w:val="24"/>
        </w:rPr>
        <w:t xml:space="preserve">alla sala studio si chiede **per posta elettronica alla segreteria, indicando</w:t>
      </w:r>
    </w:p>
    <w:p>
      <w:pPr>
        <w:spacing w:after="120" w:line="276"/>
        <w:jc w:val="both"/>
      </w:pPr>
      <w:r>
        <w:rPr>
          <w:rFonts w:ascii="Barlow Semi Condensed" w:cs="Barlow Semi Condensed" w:eastAsia="Barlow Semi Condensed" w:hAnsi="Barlow Semi Condensed"/>
          <w:sz w:val="24"/>
          <w:szCs w:val="24"/>
        </w:rPr>
        <w:t xml:space="preserve">l'argomento della ricerca e i documenti da consultare** — non con un'istanza</w:t>
      </w:r>
    </w:p>
    <w:p>
      <w:pPr>
        <w:spacing w:after="120" w:line="276"/>
        <w:jc w:val="both"/>
      </w:pPr>
      <w:r>
        <w:rPr>
          <w:rFonts w:ascii="Barlow Semi Condensed" w:cs="Barlow Semi Condensed" w:eastAsia="Barlow Semi Condensed" w:hAnsi="Barlow Semi Condensed"/>
          <w:sz w:val="24"/>
          <w:szCs w:val="24"/>
        </w:rPr>
        <w:t xml:space="preserve">formale. La lettera qui sotto va quindi usata come </w:t>
      </w:r>
      <w:r>
        <w:rPr>
          <w:rFonts w:ascii="Barlow Semi Condensed" w:cs="Barlow Semi Condensed" w:eastAsia="Barlow Semi Condensed" w:hAnsi="Barlow Semi Condensed"/>
          <w:b/>
          <w:bCs/>
          <w:sz w:val="24"/>
          <w:szCs w:val="24"/>
        </w:rPr>
        <w:t xml:space="preserve">corpo di quella email</w:t>
      </w:r>
      <w:r>
        <w:rPr>
          <w:rFonts w:ascii="Barlow Semi Condensed" w:cs="Barlow Semi Condensed" w:eastAsia="Barlow Semi Condensed" w:hAnsi="Barlow Semi Condensed"/>
          <w:sz w:val="24"/>
          <w:szCs w:val="24"/>
        </w:rPr>
        <w:t xml:space="preserve">, non</w:t>
      </w:r>
    </w:p>
    <w:p>
      <w:pPr>
        <w:spacing w:after="120" w:line="276"/>
        <w:jc w:val="both"/>
      </w:pPr>
      <w:r>
        <w:rPr>
          <w:rFonts w:ascii="Barlow Semi Condensed" w:cs="Barlow Semi Condensed" w:eastAsia="Barlow Semi Condensed" w:hAnsi="Barlow Semi Condensed"/>
          <w:sz w:val="24"/>
          <w:szCs w:val="24"/>
        </w:rPr>
        <w:t xml:space="preserve">come atto a sé: il tono resta giusto, la busta cambia.</w:t>
      </w:r>
    </w:p>
    <w:p>
      <w:pPr>
        <w:spacing w:after="120" w:line="276"/>
        <w:jc w:val="both"/>
      </w:pPr>
      <w:r>
        <w:rPr>
          <w:rFonts w:ascii="Barlow Semi Condensed" w:cs="Barlow Semi Condensed" w:eastAsia="Barlow Semi Condensed" w:hAnsi="Barlow Semi Condensed"/>
          <w:b/>
          <w:bCs/>
          <w:sz w:val="24"/>
          <w:szCs w:val="24"/>
        </w:rPr>
        <w:t xml:space="preserve">Un'avvertenza sulla competenza.</w:t>
      </w:r>
      <w:r>
        <w:rPr>
          <w:rFonts w:ascii="Barlow Semi Condensed" w:cs="Barlow Semi Condensed" w:eastAsia="Barlow Semi Condensed" w:hAnsi="Barlow Semi Condensed"/>
          <w:sz w:val="24"/>
          <w:szCs w:val="24"/>
        </w:rPr>
        <w:t xml:space="preserve"> Doc. XXIII n. 2-quater è un **atto</w:t>
      </w:r>
    </w:p>
    <w:p>
      <w:pPr>
        <w:spacing w:after="120" w:line="276"/>
        <w:jc w:val="both"/>
      </w:pPr>
      <w:r>
        <w:rPr>
          <w:rFonts w:ascii="Barlow Semi Condensed" w:cs="Barlow Semi Condensed" w:eastAsia="Barlow Semi Condensed" w:hAnsi="Barlow Semi Condensed"/>
          <w:sz w:val="24"/>
          <w:szCs w:val="24"/>
        </w:rPr>
        <w:t xml:space="preserve">parlamentare a stampa**, non un documento d'archivio: la sede propria potrebbe</w:t>
      </w:r>
    </w:p>
    <w:p>
      <w:pPr>
        <w:spacing w:after="120" w:line="276"/>
        <w:jc w:val="both"/>
      </w:pPr>
      <w:r>
        <w:rPr>
          <w:rFonts w:ascii="Barlow Semi Condensed" w:cs="Barlow Semi Condensed" w:eastAsia="Barlow Semi Condensed" w:hAnsi="Barlow Semi Condensed"/>
          <w:sz w:val="24"/>
          <w:szCs w:val="24"/>
        </w:rPr>
        <w:t xml:space="preserve">essere la </w:t>
      </w:r>
      <w:r>
        <w:rPr>
          <w:rFonts w:ascii="Barlow Semi Condensed" w:cs="Barlow Semi Condensed" w:eastAsia="Barlow Semi Condensed" w:hAnsi="Barlow Semi Condensed"/>
          <w:b/>
          <w:bCs/>
          <w:sz w:val="24"/>
          <w:szCs w:val="24"/>
        </w:rPr>
        <w:t xml:space="preserve">Biblioteca della Camera</w:t>
      </w:r>
      <w:r>
        <w:rPr>
          <w:rFonts w:ascii="Barlow Semi Condensed" w:cs="Barlow Semi Condensed" w:eastAsia="Barlow Semi Condensed" w:hAnsi="Barlow Semi Condensed"/>
          <w:sz w:val="24"/>
          <w:szCs w:val="24"/>
        </w:rPr>
        <w:t xml:space="preserve"> anziché l'Archivio storico. Non è un</w:t>
      </w:r>
    </w:p>
    <w:p>
      <w:pPr>
        <w:spacing w:after="120" w:line="276"/>
        <w:jc w:val="both"/>
      </w:pPr>
      <w:r>
        <w:rPr>
          <w:rFonts w:ascii="Barlow Semi Condensed" w:cs="Barlow Semi Condensed" w:eastAsia="Barlow Semi Condensed" w:hAnsi="Barlow Semi Condensed"/>
          <w:sz w:val="24"/>
          <w:szCs w:val="24"/>
        </w:rPr>
        <w:t xml:space="preserve">ostacolo — si scrive alla segreteria e sarà lei a indirizzare — ma conviene dirlo</w:t>
      </w:r>
    </w:p>
    <w:p>
      <w:pPr>
        <w:spacing w:after="120" w:line="276"/>
        <w:jc w:val="both"/>
      </w:pPr>
      <w:r>
        <w:rPr>
          <w:rFonts w:ascii="Barlow Semi Condensed" w:cs="Barlow Semi Condensed" w:eastAsia="Barlow Semi Condensed" w:hAnsi="Barlow Semi Condensed"/>
          <w:sz w:val="24"/>
          <w:szCs w:val="24"/>
        </w:rPr>
        <w:t xml:space="preserve">nella prima riga, così che nessuno perda tempo.</w:t>
      </w:r>
    </w:p>
    <w:p>
      <w:pPr>
        <w:spacing w:after="120" w:line="276"/>
        <w:jc w:val="both"/>
      </w:pPr>
      <w:r>
        <w:rPr>
          <w:rFonts w:ascii="Barlow Semi Condensed" w:cs="Barlow Semi Condensed" w:eastAsia="Barlow Semi Condensed" w:hAnsi="Barlow Semi Condensed"/>
          <w:b/>
          <w:bCs/>
          <w:sz w:val="24"/>
          <w:szCs w:val="24"/>
        </w:rPr>
        <w:t xml:space="preserve">In subordine:</w:t>
      </w:r>
      <w:r>
        <w:rPr>
          <w:rFonts w:ascii="Barlow Semi Condensed" w:cs="Barlow Semi Condensed" w:eastAsia="Barlow Semi Condensed" w:hAnsi="Barlow Semi Condensed"/>
          <w:sz w:val="24"/>
          <w:szCs w:val="24"/>
        </w:rPr>
        <w:t xml:space="preserve"> Biblioteca della Camera; Archivio storico del Senato, che</w:t>
      </w:r>
    </w:p>
    <w:p>
      <w:pPr>
        <w:spacing w:after="120" w:line="276"/>
        <w:jc w:val="both"/>
      </w:pPr>
      <w:r>
        <w:rPr>
          <w:rFonts w:ascii="Barlow Semi Condensed" w:cs="Barlow Semi Condensed" w:eastAsia="Barlow Semi Condensed" w:hAnsi="Barlow Semi Condensed"/>
          <w:sz w:val="24"/>
          <w:szCs w:val="24"/>
        </w:rPr>
        <w:t xml:space="preserve">conserva già il Fondo Moro (IT-AFS-048); Biblioteca del Senato «Giovanni</w:t>
      </w:r>
    </w:p>
    <w:p>
      <w:pPr>
        <w:spacing w:after="120" w:line="276"/>
        <w:jc w:val="both"/>
      </w:pPr>
      <w:r>
        <w:rPr>
          <w:rFonts w:ascii="Barlow Semi Condensed" w:cs="Barlow Semi Condensed" w:eastAsia="Barlow Semi Condensed" w:hAnsi="Barlow Semi Condensed"/>
          <w:sz w:val="24"/>
          <w:szCs w:val="24"/>
        </w:rPr>
        <w:t xml:space="preserve">Spadolini». È un atto bicamerale, e più d'una di queste sedi lo possiede.</w:t>
      </w:r>
    </w:p>
    <w:p>
      <w:pPr>
        <w:pStyle w:val="Heading2"/>
        <w:spacing w:after="100" w:before="200"/>
      </w:pPr>
      <w:r>
        <w:rPr>
          <w:rFonts w:ascii="Barlow Semi Condensed" w:cs="Barlow Semi Condensed" w:eastAsia="Barlow Semi Condensed" w:hAnsi="Barlow Semi Condensed"/>
          <w:sz w:val="24"/>
          <w:szCs w:val="24"/>
        </w:rPr>
        <w:t xml:space="preserve">Il testo della richiesta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Oggetto: richiesta di riproduzione di due allegati del Doc. XXIII n. 2-quater/2/I, IX legislatura</w:t>
      </w:r>
      <w:r>
        <w:rPr>
          <w:rFonts w:ascii="Barlow Semi Condensed" w:cs="Barlow Semi Condensed" w:eastAsia="Barlow Semi Condensed" w:hAnsi="Barlow Semi Condensed"/>
          <w:i w:val="false"/>
          <w:iCs w:val="false"/>
          <w:sz w:val="24"/>
          <w:szCs w:val="24"/>
        </w:rPr>
        <w:t xml:space="preserve">  Spett.le Archivio storico della Camera dei deputati,  il sottoscritto Luigi De Michele, autore di una ricerca storico-documentale sul caso Moro e sul suo contesto, chiede di poter consultare, e ove possibile ottenere in riproduzione, due allegati del seguente atto parlamentare a stampa. Ove la competenza spetti alla Biblioteca della Camera anziché a codesto Archivio, sarò grato di esserne indirizzato.  </w:t>
      </w:r>
      <w:r>
        <w:rPr>
          <w:rFonts w:ascii="Barlow Semi Condensed" w:cs="Barlow Semi Condensed" w:eastAsia="Barlow Semi Condensed" w:hAnsi="Barlow Semi Condensed"/>
          <w:b/>
          <w:bCs/>
          <w:i w:val="false"/>
          <w:iCs w:val="false"/>
          <w:sz w:val="24"/>
          <w:szCs w:val="24"/>
        </w:rPr>
        <w:t xml:space="preserve">Doc. XXIII, n. 2-quater/2/I — IX legislatura — Roma, 1984.</w:t>
      </w:r>
      <w:r>
        <w:rPr>
          <w:rFonts w:ascii="Barlow Semi Condensed" w:cs="Barlow Semi Condensed" w:eastAsia="Barlow Semi Condensed" w:hAnsi="Barlow Semi Condensed"/>
          <w:i w:val="false"/>
          <w:iCs w:val="false"/>
          <w:sz w:val="24"/>
          <w:szCs w:val="24"/>
        </w:rPr>
        <w:t xml:space="preserve"> «Allegati alla Relazione della Commissione parlamentare d'inchiesta sulla Loggia massonica P2, Serie II: Documentazione raccolta dalla Commissione — Riscontri sull'attendibilità delle liste e sulle posizioni di affiliazione».  Gli allegati richiesti sono:  — </w:t>
      </w:r>
      <w:r>
        <w:rPr>
          <w:rFonts w:ascii="Barlow Semi Condensed" w:cs="Barlow Semi Condensed" w:eastAsia="Barlow Semi Condensed" w:hAnsi="Barlow Semi Condensed"/>
          <w:b/>
          <w:bCs/>
          <w:i w:val="false"/>
          <w:iCs w:val="false"/>
          <w:sz w:val="24"/>
          <w:szCs w:val="24"/>
        </w:rPr>
        <w:t xml:space="preserve">Allegato 13</w:t>
      </w:r>
      <w:r>
        <w:rPr>
          <w:rFonts w:ascii="Barlow Semi Condensed" w:cs="Barlow Semi Condensed" w:eastAsia="Barlow Semi Condensed" w:hAnsi="Barlow Semi Condensed"/>
          <w:i w:val="false"/>
          <w:iCs w:val="false"/>
          <w:sz w:val="24"/>
          <w:szCs w:val="24"/>
        </w:rPr>
        <w:t xml:space="preserve">, pagine I, 258-280: </w:t>
      </w:r>
      <w:r>
        <w:rPr>
          <w:rFonts w:ascii="Barlow Semi Condensed" w:cs="Barlow Semi Condensed" w:eastAsia="Barlow Semi Condensed" w:hAnsi="Barlow Semi Condensed"/>
          <w:i w:val="false"/>
          <w:iCs w:val="false"/>
          <w:sz w:val="24"/>
          <w:szCs w:val="24"/>
        </w:rPr>
        <w:t xml:space="preserve">Libro-matricola delle iniziazioni alla Loggia P2 (1952-1970)</w:t>
      </w:r>
      <w:r>
        <w:rPr>
          <w:rFonts w:ascii="Barlow Semi Condensed" w:cs="Barlow Semi Condensed" w:eastAsia="Barlow Semi Condensed" w:hAnsi="Barlow Semi Condensed"/>
          <w:i w:val="false"/>
          <w:iCs w:val="false"/>
          <w:sz w:val="24"/>
          <w:szCs w:val="24"/>
        </w:rPr>
        <w:t xml:space="preserve">; — </w:t>
      </w:r>
      <w:r>
        <w:rPr>
          <w:rFonts w:ascii="Barlow Semi Condensed" w:cs="Barlow Semi Condensed" w:eastAsia="Barlow Semi Condensed" w:hAnsi="Barlow Semi Condensed"/>
          <w:b/>
          <w:bCs/>
          <w:i w:val="false"/>
          <w:iCs w:val="false"/>
          <w:sz w:val="24"/>
          <w:szCs w:val="24"/>
        </w:rPr>
        <w:t xml:space="preserve">Allegato 21</w:t>
      </w:r>
      <w:r>
        <w:rPr>
          <w:rFonts w:ascii="Barlow Semi Condensed" w:cs="Barlow Semi Condensed" w:eastAsia="Barlow Semi Condensed" w:hAnsi="Barlow Semi Condensed"/>
          <w:i w:val="false"/>
          <w:iCs w:val="false"/>
          <w:sz w:val="24"/>
          <w:szCs w:val="24"/>
        </w:rPr>
        <w:t xml:space="preserve">, pagine I, 474-507: </w:t>
      </w:r>
      <w:r>
        <w:rPr>
          <w:rFonts w:ascii="Barlow Semi Condensed" w:cs="Barlow Semi Condensed" w:eastAsia="Barlow Semi Condensed" w:hAnsi="Barlow Semi Condensed"/>
          <w:i w:val="false"/>
          <w:iCs w:val="false"/>
          <w:sz w:val="24"/>
          <w:szCs w:val="24"/>
        </w:rPr>
        <w:t xml:space="preserve">Schede personali massoniche sequestrate presso Palazzo Giustiniani</w:t>
      </w:r>
      <w:r>
        <w:rPr>
          <w:rFonts w:ascii="Barlow Semi Condensed" w:cs="Barlow Semi Condensed" w:eastAsia="Barlow Semi Condensed" w:hAnsi="Barlow Semi Condensed"/>
          <w:i w:val="false"/>
          <w:iCs w:val="false"/>
          <w:sz w:val="24"/>
          <w:szCs w:val="24"/>
        </w:rPr>
        <w:t xml:space="preserve">.  Sono in tutto cinquantadue pagine. La richiesta ha finalità di studio e di verifica documentale, senza scopo di lucro.  Chiedo, ove possibile, che la riproduzione sia </w:t>
      </w:r>
      <w:r>
        <w:rPr>
          <w:rFonts w:ascii="Barlow Semi Condensed" w:cs="Barlow Semi Condensed" w:eastAsia="Barlow Semi Condensed" w:hAnsi="Barlow Semi Condensed"/>
          <w:b/>
          <w:bCs/>
          <w:i w:val="false"/>
          <w:iCs w:val="false"/>
          <w:sz w:val="24"/>
          <w:szCs w:val="24"/>
        </w:rPr>
        <w:t xml:space="preserve">integrale di ciascuna pagina, comprensiva delle intestazioni di colonna e di ogni numerazione presente</w:t>
      </w:r>
      <w:r>
        <w:rPr>
          <w:rFonts w:ascii="Barlow Semi Condensed" w:cs="Barlow Semi Condensed" w:eastAsia="Barlow Semi Condensed" w:hAnsi="Barlow Semi Condensed"/>
          <w:i w:val="false"/>
          <w:iCs w:val="false"/>
          <w:sz w:val="24"/>
          <w:szCs w:val="24"/>
        </w:rPr>
        <w:t xml:space="preserve">: la ricerca verte precisamente sulla distinzione fra il numero di tessera e il numero di fascicolo, e una trascrizione priva delle intestazioni non consente di operarla. Per la medesima ragione non è utile una trascrizione a cura di terzi: occorre la riproduzione dell'originale a stampa.  Sono disponibile a sostenere i costi di riproduzione previsti dal tariffario e a osservare ogni prescrizione codesto Archivio ritenga di impartire quanto all'uso dei materiali, ivi compresa la disciplina sulla protezione dei dati personali dei soggetti nominati negli atti.  Resto in attesa di indicazioni sulla procedura e sui tempi, e ringrazio per l'attenzione.  Luigi De Michele </w:t>
      </w:r>
      <w:r>
        <w:rPr>
          <w:rFonts w:ascii="Barlow Semi Condensed" w:cs="Barlow Semi Condensed" w:eastAsia="Barlow Semi Condensed" w:hAnsi="Barlow Semi Condensed"/>
          <w:i w:val="false"/>
          <w:iCs w:val="false"/>
          <w:sz w:val="24"/>
          <w:szCs w:val="24"/>
        </w:rPr>
        <w:t xml:space="preserve">(recapiti — indirizzo, telefono, posta elettronica ordinaria e certificata)</w:t>
      </w:r>
      <w:r>
        <w:rPr>
          <w:rFonts w:ascii="Barlow Semi Condensed" w:cs="Barlow Semi Condensed" w:eastAsia="Barlow Semi Condensed" w:hAnsi="Barlow Semi Condensed"/>
          <w:i w:val="false"/>
          <w:iCs w:val="false"/>
          <w:sz w:val="24"/>
          <w:szCs w:val="24"/>
        </w:rPr>
        <w:t xml:space="preserve"> </w:t>
      </w:r>
      <w:r>
        <w:rPr>
          <w:rFonts w:ascii="Barlow Semi Condensed" w:cs="Barlow Semi Condensed" w:eastAsia="Barlow Semi Condensed" w:hAnsi="Barlow Semi Condensed"/>
          <w:i w:val="false"/>
          <w:iCs w:val="false"/>
          <w:sz w:val="24"/>
          <w:szCs w:val="24"/>
        </w:rPr>
        <w:t xml:space="preserve">(luogo e 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fare della risposta</w:t>
      </w:r>
    </w:p>
    <w:p>
      <w:pPr>
        <w:spacing w:after="120" w:line="276"/>
        <w:jc w:val="both"/>
      </w:pPr>
      <w:r>
        <w:rPr>
          <w:rFonts w:ascii="Barlow Semi Condensed" w:cs="Barlow Semi Condensed" w:eastAsia="Barlow Semi Condensed" w:hAnsi="Barlow Semi Condensed"/>
          <w:b/>
          <w:bCs/>
          <w:sz w:val="24"/>
          <w:szCs w:val="24"/>
        </w:rPr>
        <w:t xml:space="preserve">Se arrivano le riproduzioni.</w:t>
      </w:r>
      <w:r>
        <w:rPr>
          <w:rFonts w:ascii="Barlow Semi Condensed" w:cs="Barlow Semi Condensed" w:eastAsia="Barlow Semi Condensed" w:hAnsi="Barlow Semi Condensed"/>
          <w:sz w:val="24"/>
          <w:szCs w:val="24"/>
        </w:rPr>
        <w:t xml:space="preserve"> Ogni riga letta sulla fonte va iscritta nella</w:t>
      </w:r>
    </w:p>
    <w:p>
      <w:pPr>
        <w:spacing w:after="120" w:line="276"/>
        <w:jc w:val="both"/>
      </w:pPr>
      <w:r>
        <w:rPr>
          <w:rFonts w:ascii="Barlow Semi Condensed" w:cs="Barlow Semi Condensed" w:eastAsia="Barlow Semi Condensed" w:hAnsi="Barlow Semi Condensed"/>
          <w:sz w:val="24"/>
          <w:szCs w:val="24"/>
        </w:rPr>
        <w:t xml:space="preserve">certificazione con la propria collocazione — allegato, pagina, colonna — e il</w:t>
      </w:r>
    </w:p>
    <w:p>
      <w:pPr>
        <w:spacing w:after="120" w:line="276"/>
        <w:jc w:val="both"/>
      </w:pPr>
      <w:r>
        <w:rPr>
          <w:rFonts w:ascii="Barlow Semi Condensed" w:cs="Barlow Semi Condensed" w:eastAsia="Barlow Semi Condensed" w:hAnsi="Barlow Semi Condensed"/>
          <w:sz w:val="24"/>
          <w:szCs w:val="24"/>
        </w:rPr>
        <w:t xml:space="preserve">grado sale a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non ad A, perché A è il giudicato e qui non ce n'è. La</w:t>
      </w:r>
    </w:p>
    <w:p>
      <w:pPr>
        <w:spacing w:after="120" w:line="276"/>
        <w:jc w:val="both"/>
      </w:pPr>
      <w:r>
        <w:rPr>
          <w:rFonts w:ascii="Barlow Semi Condensed" w:cs="Barlow Semi Condensed" w:eastAsia="Barlow Semi Condensed" w:hAnsi="Barlow Semi Condensed"/>
          <w:sz w:val="24"/>
          <w:szCs w:val="24"/>
        </w:rPr>
        <w:t xml:space="preserve">domanda su cui la lettura decide è una sola e va posta prima di aprire i file,</w:t>
      </w:r>
    </w:p>
    <w:p>
      <w:pPr>
        <w:spacing w:after="120" w:line="276"/>
        <w:jc w:val="both"/>
      </w:pPr>
      <w:r>
        <w:rPr>
          <w:rFonts w:ascii="Barlow Semi Condensed" w:cs="Barlow Semi Condensed" w:eastAsia="Barlow Semi Condensed" w:hAnsi="Barlow Semi Condensed"/>
          <w:sz w:val="24"/>
          <w:szCs w:val="24"/>
        </w:rPr>
        <w:t xml:space="preserve">perché non la si aggiusti a posteriori: *l'intestazione di colonna dice</w:t>
      </w:r>
    </w:p>
    <w:p>
      <w:pPr>
        <w:spacing w:after="120" w:line="276"/>
        <w:jc w:val="both"/>
      </w:pPr>
      <w:r>
        <w:rPr>
          <w:rFonts w:ascii="Barlow Semi Condensed" w:cs="Barlow Semi Condensed" w:eastAsia="Barlow Semi Condensed" w:hAnsi="Barlow Semi Condensed"/>
          <w:sz w:val="24"/>
          <w:szCs w:val="24"/>
        </w:rPr>
        <w:t xml:space="preserve">«tessera» o dice «fascicolo»?* Da quella parola dipende se la calibrazione del</w:t>
      </w:r>
    </w:p>
    <w:p>
      <w:pPr>
        <w:spacing w:after="120" w:line="276"/>
        <w:jc w:val="both"/>
      </w:pPr>
      <w:r>
        <w:rPr>
          <w:rFonts w:ascii="Barlow Semi Condensed" w:cs="Barlow Semi Condensed" w:eastAsia="Barlow Semi Condensed" w:hAnsi="Barlow Semi Condensed"/>
          <w:sz w:val="24"/>
          <w:szCs w:val="24"/>
        </w:rPr>
        <w:t xml:space="preserve">27 agosto regge o cade, ed è giusto che possa cadere.</w:t>
      </w:r>
    </w:p>
    <w:p>
      <w:pPr>
        <w:spacing w:after="120" w:line="276"/>
        <w:jc w:val="both"/>
      </w:pPr>
      <w:r>
        <w:rPr>
          <w:rFonts w:ascii="Barlow Semi Condensed" w:cs="Barlow Semi Condensed" w:eastAsia="Barlow Semi Condensed" w:hAnsi="Barlow Semi Condensed"/>
          <w:b/>
          <w:bCs/>
          <w:sz w:val="24"/>
          <w:szCs w:val="24"/>
        </w:rPr>
        <w:t xml:space="preserve">Se la risposta è un diniego, o non arriva.</w:t>
      </w:r>
      <w:r>
        <w:rPr>
          <w:rFonts w:ascii="Barlow Semi Condensed" w:cs="Barlow Semi Condensed" w:eastAsia="Barlow Semi Condensed" w:hAnsi="Barlow Semi Condensed"/>
          <w:sz w:val="24"/>
          <w:szCs w:val="24"/>
        </w:rPr>
        <w:t xml:space="preserve"> L'esito si registra come **Stato</w:t>
      </w:r>
    </w:p>
    <w:p>
      <w:pPr>
        <w:spacing w:after="120" w:line="276"/>
        <w:jc w:val="both"/>
      </w:pPr>
      <w:r>
        <w:rPr>
          <w:rFonts w:ascii="Barlow Semi Condensed" w:cs="Barlow Semi Condensed" w:eastAsia="Barlow Semi Condensed" w:hAnsi="Barlow Semi Condensed"/>
          <w:sz w:val="24"/>
          <w:szCs w:val="24"/>
        </w:rPr>
        <w:t xml:space="preserve">Zero** con la sede nominata e la data, che è la forma in cui quest'opera</w:t>
      </w:r>
    </w:p>
    <w:p>
      <w:pPr>
        <w:spacing w:after="120" w:line="276"/>
        <w:jc w:val="both"/>
      </w:pPr>
      <w:r>
        <w:rPr>
          <w:rFonts w:ascii="Barlow Semi Condensed" w:cs="Barlow Semi Condensed" w:eastAsia="Barlow Semi Condensed" w:hAnsi="Barlow Semi Condensed"/>
          <w:sz w:val="24"/>
          <w:szCs w:val="24"/>
        </w:rPr>
        <w:t xml:space="preserve">conserva le ricerche fallite. Uno Stato Zero non è un vuoto: dice a chi verrà</w:t>
      </w:r>
    </w:p>
    <w:p>
      <w:pPr>
        <w:spacing w:after="120" w:line="276"/>
        <w:jc w:val="both"/>
      </w:pPr>
      <w:r>
        <w:rPr>
          <w:rFonts w:ascii="Barlow Semi Condensed" w:cs="Barlow Semi Condensed" w:eastAsia="Barlow Semi Condensed" w:hAnsi="Barlow Semi Condensed"/>
          <w:sz w:val="24"/>
          <w:szCs w:val="24"/>
        </w:rPr>
        <w:t xml:space="preserve">dopo dove si è già cercato, e gli risparmia il viaggio.</w:t>
      </w:r>
    </w:p>
    <w:p>
      <w:pPr>
        <w:spacing w:after="120" w:line="276"/>
        <w:jc w:val="both"/>
      </w:pPr>
      <w:r>
        <w:rPr>
          <w:rFonts w:ascii="Barlow Semi Condensed" w:cs="Barlow Semi Condensed" w:eastAsia="Barlow Semi Condensed" w:hAnsi="Barlow Semi Condensed"/>
          <w:b/>
          <w:bCs/>
          <w:sz w:val="24"/>
          <w:szCs w:val="24"/>
        </w:rPr>
        <w:t xml:space="preserve">Che cosa non fare in nessuno dei due casi.</w:t>
      </w:r>
      <w:r>
        <w:rPr>
          <w:rFonts w:ascii="Barlow Semi Condensed" w:cs="Barlow Semi Condensed" w:eastAsia="Barlow Semi Condensed" w:hAnsi="Barlow Semi Condensed"/>
          <w:sz w:val="24"/>
          <w:szCs w:val="24"/>
        </w:rPr>
        <w:t xml:space="preserve"> Non usare le riproduzioni per</w:t>
      </w:r>
    </w:p>
    <w:p>
      <w:pPr>
        <w:spacing w:after="120" w:line="276"/>
        <w:jc w:val="both"/>
      </w:pPr>
      <w:r>
        <w:rPr>
          <w:rFonts w:ascii="Barlow Semi Condensed" w:cs="Barlow Semi Condensed" w:eastAsia="Barlow Semi Condensed" w:hAnsi="Barlow Semi Condensed"/>
          <w:sz w:val="24"/>
          <w:szCs w:val="24"/>
        </w:rPr>
        <w:t xml:space="preserve">attribuire condotte. Un numero di tessera accerta un'iscrizione e nient'altro, e</w:t>
      </w:r>
    </w:p>
    <w:p>
      <w:pPr>
        <w:spacing w:after="120" w:line="276"/>
        <w:jc w:val="both"/>
      </w:pPr>
      <w:r>
        <w:rPr>
          <w:rFonts w:ascii="Barlow Semi Condensed" w:cs="Barlow Semi Condensed" w:eastAsia="Barlow Semi Condensed" w:hAnsi="Barlow Semi Condensed"/>
          <w:sz w:val="24"/>
          <w:szCs w:val="24"/>
        </w:rPr>
        <w:t xml:space="preserve">la regola che apre ogni documento di quest'opera vale intatta anche quando la</w:t>
      </w:r>
    </w:p>
    <w:p>
      <w:pPr>
        <w:spacing w:after="120" w:line="276"/>
        <w:jc w:val="both"/>
      </w:pPr>
      <w:r>
        <w:rPr>
          <w:rFonts w:ascii="Barlow Semi Condensed" w:cs="Barlow Semi Condensed" w:eastAsia="Barlow Semi Condensed" w:hAnsi="Barlow Semi Condensed"/>
          <w:sz w:val="24"/>
          <w:szCs w:val="24"/>
        </w:rPr>
        <w:t xml:space="preserve">fonte è finalmente in mano: **l'appartenenza a un'organizzazione non è prova di</w:t>
      </w:r>
    </w:p>
    <w:p>
      <w:pPr>
        <w:spacing w:after="120" w:line="276"/>
        <w:jc w:val="both"/>
      </w:pPr>
      <w:r>
        <w:rPr>
          <w:rFonts w:ascii="Barlow Semi Condensed" w:cs="Barlow Semi Condensed" w:eastAsia="Barlow Semi Condensed" w:hAnsi="Barlow Semi Condensed"/>
          <w:sz w:val="24"/>
          <w:szCs w:val="24"/>
        </w:rPr>
        <w:t xml:space="preserve">condotta**.</w:t>
      </w:r>
    </w:p>
    <w:p>
      <w:pPr>
        <w:pStyle w:val="Heading3"/>
        <w:spacing w:after="80" w:before="240"/>
      </w:pPr>
      <w:r>
        <w:rPr>
          <w:rFonts w:ascii="Barlow Semi Condensed" w:cs="Barlow Semi Condensed" w:eastAsia="Barlow Semi Condensed" w:hAnsi="Barlow Semi Condensed"/>
          <w:sz w:val="24"/>
          <w:szCs w:val="24"/>
        </w:rPr>
        <w:t xml:space="preserve">Apparato grafico — Appendici · xvii. La richiesta all'Archivio storico della Camera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IV.xvii: 1.446 parole in 5 sezioni; la più ampia è §2 Prima di spedire: il volume è probabilmente g…, con 411.</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IV.xvii: 25 paragrafi in 5 sezioni, 5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xviii. La PEC unica formale</w:t>
      </w:r>
    </w:p>
    <w:p>
      <w:pPr>
        <w:pStyle w:val="Heading1"/>
        <w:spacing w:after="120" w:before="240"/>
      </w:pPr>
      <w:r>
        <w:rPr>
          <w:rFonts w:ascii="Barlow Semi Condensed" w:cs="Barlow Semi Condensed" w:eastAsia="Barlow Semi Condensed" w:hAnsi="Barlow Semi Condensed"/>
          <w:sz w:val="24"/>
          <w:szCs w:val="24"/>
        </w:rPr>
        <w:t xml:space="preserve">PEC formale unica — un solo testo per tutti i destinatari</w:t>
      </w:r>
    </w:p>
    <w:p>
      <w:pPr>
        <w:spacing w:after="120" w:line="276"/>
        <w:jc w:val="both"/>
      </w:pPr>
      <w:r>
        <w:rPr>
          <w:rFonts w:ascii="Barlow Semi Condensed" w:cs="Barlow Semi Condensed" w:eastAsia="Barlow Semi Condensed" w:hAnsi="Barlow Semi Condensed"/>
          <w:sz w:val="24"/>
          <w:szCs w:val="24"/>
        </w:rPr>
        <w:t xml:space="preserve">*Redatta il 27 agosto 2026, cifre aggiornate alla sesta edizione dello stesso giorno. Prodotta con sistemi di intelligenza artificiale</w:t>
      </w:r>
    </w:p>
    <w:p>
      <w:pPr>
        <w:spacing w:after="120" w:line="276"/>
        <w:jc w:val="both"/>
      </w:pPr>
      <w:r>
        <w:rPr>
          <w:rFonts w:ascii="Barlow Semi Condensed" w:cs="Barlow Semi Condensed" w:eastAsia="Barlow Semi Condensed" w:hAnsi="Barlow Semi Condensed"/>
          <w:sz w:val="24"/>
          <w:szCs w:val="24"/>
        </w:rPr>
        <w:t xml:space="preserve">sotto direzione e responsabilità umana, come ogni documento di quest'opera.*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Avvertenza di fatto, da leggere prima di usarla</w:t>
      </w:r>
    </w:p>
    <w:p>
      <w:pPr>
        <w:spacing w:after="120" w:line="276"/>
        <w:jc w:val="both"/>
      </w:pPr>
      <w:r>
        <w:rPr>
          <w:rFonts w:ascii="Barlow Semi Condensed" w:cs="Barlow Semi Condensed" w:eastAsia="Barlow Semi Condensed" w:hAnsi="Barlow Semi Condensed"/>
          <w:b/>
          <w:bCs/>
          <w:sz w:val="24"/>
          <w:szCs w:val="24"/>
        </w:rPr>
        <w:t xml:space="preserve">Un solo destinatario su dodici ha un canale PEC.</w:t>
      </w:r>
      <w:r>
        <w:rPr>
          <w:rFonts w:ascii="Barlow Semi Condensed" w:cs="Barlow Semi Condensed" w:eastAsia="Barlow Semi Condensed" w:hAnsi="Barlow Semi Condensed"/>
          <w:sz w:val="24"/>
          <w:szCs w:val="24"/>
        </w:rPr>
        <w:t xml:space="preserve"> Il registro dei canali lo</w:t>
      </w:r>
    </w:p>
    <w:p>
      <w:pPr>
        <w:spacing w:after="120" w:line="276"/>
        <w:jc w:val="both"/>
      </w:pPr>
      <w:r>
        <w:rPr>
          <w:rFonts w:ascii="Barlow Semi Condensed" w:cs="Barlow Semi Condensed" w:eastAsia="Barlow Semi Condensed" w:hAnsi="Barlow Semi Condensed"/>
          <w:sz w:val="24"/>
          <w:szCs w:val="24"/>
        </w:rPr>
        <w:t xml:space="preserve">accerta: la PEC riguarda il Centro documentazione Archivio «Flamigni» ETS — e</w:t>
      </w:r>
    </w:p>
    <w:p>
      <w:pPr>
        <w:spacing w:after="120" w:line="276"/>
        <w:jc w:val="both"/>
      </w:pPr>
      <w:r>
        <w:rPr>
          <w:rFonts w:ascii="Barlow Semi Condensed" w:cs="Barlow Semi Condensed" w:eastAsia="Barlow Semi Condensed" w:hAnsi="Barlow Semi Condensed"/>
          <w:sz w:val="24"/>
          <w:szCs w:val="24"/>
        </w:rPr>
        <w:t xml:space="preserve">il suo indirizzo non è ancora stato reperito. Tutti gli altri ricevono per</w:t>
      </w:r>
    </w:p>
    <w:p>
      <w:pPr>
        <w:spacing w:after="120" w:line="276"/>
        <w:jc w:val="both"/>
      </w:pPr>
      <w:r>
        <w:rPr>
          <w:rFonts w:ascii="Barlow Semi Condensed" w:cs="Barlow Semi Condensed" w:eastAsia="Barlow Semi Condensed" w:hAnsi="Barlow Semi Condensed"/>
          <w:sz w:val="24"/>
          <w:szCs w:val="24"/>
        </w:rPr>
        <w:t xml:space="preserve">posta elettronica ordinaria, per modulo web o per posta cartacea.</w:t>
      </w:r>
    </w:p>
    <w:p>
      <w:pPr>
        <w:spacing w:after="120" w:line="276"/>
        <w:jc w:val="both"/>
      </w:pPr>
      <w:r>
        <w:rPr>
          <w:rFonts w:ascii="Barlow Semi Condensed" w:cs="Barlow Semi Condensed" w:eastAsia="Barlow Semi Condensed" w:hAnsi="Barlow Semi Condensed"/>
          <w:sz w:val="24"/>
          <w:szCs w:val="24"/>
        </w:rPr>
        <w:t xml:space="preserve">Questo testo è perciò </w:t>
      </w:r>
      <w:r>
        <w:rPr>
          <w:rFonts w:ascii="Barlow Semi Condensed" w:cs="Barlow Semi Condensed" w:eastAsia="Barlow Semi Condensed" w:hAnsi="Barlow Semi Condensed"/>
          <w:b/>
          <w:bCs/>
          <w:sz w:val="24"/>
          <w:szCs w:val="24"/>
        </w:rPr>
        <w:t xml:space="preserve">unico nel contenuto e adattabile nel canale</w:t>
      </w:r>
      <w:r>
        <w:rPr>
          <w:rFonts w:ascii="Barlow Semi Condensed" w:cs="Barlow Semi Condensed" w:eastAsia="Barlow Semi Condensed" w:hAnsi="Barlow Semi Condensed"/>
          <w:sz w:val="24"/>
          <w:szCs w:val="24"/>
        </w:rPr>
        <w:t xml:space="preserve">: si</w:t>
      </w:r>
    </w:p>
    <w:p>
      <w:pPr>
        <w:spacing w:after="120" w:line="276"/>
        <w:jc w:val="both"/>
      </w:pPr>
      <w:r>
        <w:rPr>
          <w:rFonts w:ascii="Barlow Semi Condensed" w:cs="Barlow Semi Condensed" w:eastAsia="Barlow Semi Condensed" w:hAnsi="Barlow Semi Condensed"/>
          <w:sz w:val="24"/>
          <w:szCs w:val="24"/>
        </w:rPr>
        <w:t xml:space="preserve">trasmette come PEC dove la PEC esiste, come email ordinaria dove è la via</w:t>
      </w:r>
    </w:p>
    <w:p>
      <w:pPr>
        <w:spacing w:after="120" w:line="276"/>
        <w:jc w:val="both"/>
      </w:pPr>
      <w:r>
        <w:rPr>
          <w:rFonts w:ascii="Barlow Semi Condensed" w:cs="Barlow Semi Condensed" w:eastAsia="Barlow Semi Condensed" w:hAnsi="Barlow Semi Condensed"/>
          <w:sz w:val="24"/>
          <w:szCs w:val="24"/>
        </w:rPr>
        <w:t xml:space="preserve">istituzionale, si incolla nei moduli dove il modulo è obbligatorio, si stampa</w:t>
      </w:r>
    </w:p>
    <w:p>
      <w:pPr>
        <w:spacing w:after="120" w:line="276"/>
        <w:jc w:val="both"/>
      </w:pPr>
      <w:r>
        <w:rPr>
          <w:rFonts w:ascii="Barlow Semi Condensed" w:cs="Barlow Semi Condensed" w:eastAsia="Barlow Semi Condensed" w:hAnsi="Barlow Semi Condensed"/>
          <w:sz w:val="24"/>
          <w:szCs w:val="24"/>
        </w:rPr>
        <w:t xml:space="preserve">su carta dove non c'è altro. Il contenuto non cambia.</w:t>
      </w:r>
    </w:p>
    <w:p>
      <w:pPr>
        <w:spacing w:after="120" w:line="276"/>
        <w:jc w:val="both"/>
      </w:pPr>
      <w:r>
        <w:rPr>
          <w:rFonts w:ascii="Barlow Semi Condensed" w:cs="Barlow Semi Condensed" w:eastAsia="Barlow Semi Condensed" w:hAnsi="Barlow Semi Condensed"/>
          <w:b/>
          <w:bCs/>
          <w:sz w:val="24"/>
          <w:szCs w:val="24"/>
        </w:rPr>
        <w:t xml:space="preserve">Non va inviato in un'unica trasmissione a tutti.</w:t>
      </w:r>
      <w:r>
        <w:rPr>
          <w:rFonts w:ascii="Barlow Semi Condensed" w:cs="Barlow Semi Condensed" w:eastAsia="Barlow Semi Condensed" w:hAnsi="Barlow Semi Condensed"/>
          <w:sz w:val="24"/>
          <w:szCs w:val="24"/>
        </w:rPr>
        <w:t xml:space="preserve"> Due ragioni, entrambe</w:t>
      </w:r>
    </w:p>
    <w:p>
      <w:pPr>
        <w:spacing w:after="120" w:line="276"/>
        <w:jc w:val="both"/>
      </w:pPr>
      <w:r>
        <w:rPr>
          <w:rFonts w:ascii="Barlow Semi Condensed" w:cs="Barlow Semi Condensed" w:eastAsia="Barlow Semi Condensed" w:hAnsi="Barlow Semi Condensed"/>
          <w:sz w:val="24"/>
          <w:szCs w:val="24"/>
        </w:rPr>
        <w:t xml:space="preserve">pratiche. La prima: una sola PEC con dodici destinatari espone a ciascuno il</w:t>
      </w:r>
    </w:p>
    <w:p>
      <w:pPr>
        <w:spacing w:after="120" w:line="276"/>
        <w:jc w:val="both"/>
      </w:pPr>
      <w:r>
        <w:rPr>
          <w:rFonts w:ascii="Barlow Semi Condensed" w:cs="Barlow Semi Condensed" w:eastAsia="Barlow Semi Condensed" w:hAnsi="Barlow Semi Condensed"/>
          <w:sz w:val="24"/>
          <w:szCs w:val="24"/>
        </w:rPr>
        <w:t xml:space="preserve">recapito degli altri undici. La seconda: fra i destinatari ci sono nove case</w:t>
      </w:r>
    </w:p>
    <w:p>
      <w:pPr>
        <w:spacing w:after="120" w:line="276"/>
        <w:jc w:val="both"/>
      </w:pPr>
      <w:r>
        <w:rPr>
          <w:rFonts w:ascii="Barlow Semi Condensed" w:cs="Barlow Semi Condensed" w:eastAsia="Barlow Semi Condensed" w:hAnsi="Barlow Semi Condensed"/>
          <w:sz w:val="24"/>
          <w:szCs w:val="24"/>
        </w:rPr>
        <w:t xml:space="preserve">editrici, e mostrare a ciascuna che la stessa proposta è partita</w:t>
      </w:r>
    </w:p>
    <w:p>
      <w:pPr>
        <w:spacing w:after="120" w:line="276"/>
        <w:jc w:val="both"/>
      </w:pPr>
      <w:r>
        <w:rPr>
          <w:rFonts w:ascii="Barlow Semi Condensed" w:cs="Barlow Semi Condensed" w:eastAsia="Barlow Semi Condensed" w:hAnsi="Barlow Semi Condensed"/>
          <w:sz w:val="24"/>
          <w:szCs w:val="24"/>
        </w:rPr>
        <w:t xml:space="preserve">simultaneamente per le altre otto è il modo più rapido di far chiudere il</w:t>
      </w:r>
    </w:p>
    <w:p>
      <w:pPr>
        <w:spacing w:after="120" w:line="276"/>
        <w:jc w:val="both"/>
      </w:pPr>
      <w:r>
        <w:rPr>
          <w:rFonts w:ascii="Barlow Semi Condensed" w:cs="Barlow Semi Condensed" w:eastAsia="Barlow Semi Condensed" w:hAnsi="Barlow Semi Condensed"/>
          <w:sz w:val="24"/>
          <w:szCs w:val="24"/>
        </w:rPr>
        <w:t xml:space="preserve">fascicolo a tutte. Il dossier di invio organizza apposta la spedizione in</w:t>
      </w:r>
    </w:p>
    <w:p>
      <w:pPr>
        <w:spacing w:after="120" w:line="276"/>
        <w:jc w:val="both"/>
      </w:pPr>
      <w:r>
        <w:rPr>
          <w:rFonts w:ascii="Barlow Semi Condensed" w:cs="Barlow Semi Condensed" w:eastAsia="Barlow Semi Condensed" w:hAnsi="Barlow Semi Condensed"/>
          <w:sz w:val="24"/>
          <w:szCs w:val="24"/>
        </w:rPr>
        <w:t xml:space="preserve">ondate non in concorrenza. </w:t>
      </w:r>
      <w:r>
        <w:rPr>
          <w:rFonts w:ascii="Barlow Semi Condensed" w:cs="Barlow Semi Condensed" w:eastAsia="Barlow Semi Condensed" w:hAnsi="Barlow Semi Condensed"/>
          <w:b/>
          <w:bCs/>
          <w:sz w:val="24"/>
          <w:szCs w:val="24"/>
        </w:rPr>
        <w:t xml:space="preserve">Stesso testo, invii separati.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Campi da compilare prima dell'invio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Mittente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[nome e cognome]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Indirizzo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[via, CAP, città]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PEC o email del mittente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[recapito]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Telefono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[recapito]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Destinatario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[denominazione dell'ente, per esteso]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Recapito del destinatario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[PEC, email, modulo o indirizzo postale]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Luogo e data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[luogo], [data]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Indirizzo del deposito pubblico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[DOI Zenodo, da inserire a deposito avvenuto]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Trasmissione di opera documentale sul caso Moro, prodotta con sistemi di intelligenza artificiale sotto direzione umana — «Aldo Moro. Ottanta anni di Pace», oltre 2.500 pagine, con apparato di verifica e impronta crittografica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Alla cortese attenzione di [denominazione dell'ente]</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trasmetto in allegato un'opera documentale sul caso Moro e sul suo contesto</w:t>
      </w:r>
    </w:p>
    <w:p>
      <w:pPr>
        <w:spacing w:after="120" w:line="276"/>
        <w:jc w:val="both"/>
      </w:pPr>
      <w:r>
        <w:rPr>
          <w:rFonts w:ascii="Barlow Semi Condensed" w:cs="Barlow Semi Condensed" w:eastAsia="Barlow Semi Condensed" w:hAnsi="Barlow Semi Condensed"/>
          <w:sz w:val="24"/>
          <w:szCs w:val="24"/>
        </w:rPr>
        <w:t xml:space="preserve">internazionale, di cui sono autore e responsabile, perché codesto ente possa</w:t>
      </w:r>
    </w:p>
    <w:p>
      <w:pPr>
        <w:spacing w:after="120" w:line="276"/>
        <w:jc w:val="both"/>
      </w:pPr>
      <w:r>
        <w:rPr>
          <w:rFonts w:ascii="Barlow Semi Condensed" w:cs="Barlow Semi Condensed" w:eastAsia="Barlow Semi Condensed" w:hAnsi="Barlow Semi Condensed"/>
          <w:sz w:val="24"/>
          <w:szCs w:val="24"/>
        </w:rPr>
        <w:t xml:space="preserve">valutarla per quanto di sua competenza: la conservazione e il deposito, se è</w:t>
      </w:r>
    </w:p>
    <w:p>
      <w:pPr>
        <w:spacing w:after="120" w:line="276"/>
        <w:jc w:val="both"/>
      </w:pPr>
      <w:r>
        <w:rPr>
          <w:rFonts w:ascii="Barlow Semi Condensed" w:cs="Barlow Semi Condensed" w:eastAsia="Barlow Semi Condensed" w:hAnsi="Barlow Semi Condensed"/>
          <w:sz w:val="24"/>
          <w:szCs w:val="24"/>
        </w:rPr>
        <w:t xml:space="preserve">istituto d'archivio; la pubblicazione o la valutazione editoriale, se è casa</w:t>
      </w:r>
    </w:p>
    <w:p>
      <w:pPr>
        <w:spacing w:after="120" w:line="276"/>
        <w:jc w:val="both"/>
      </w:pPr>
      <w:r>
        <w:rPr>
          <w:rFonts w:ascii="Barlow Semi Condensed" w:cs="Barlow Semi Condensed" w:eastAsia="Barlow Semi Condensed" w:hAnsi="Barlow Semi Condensed"/>
          <w:sz w:val="24"/>
          <w:szCs w:val="24"/>
        </w:rPr>
        <w:t xml:space="preserve">editrice; la lettura e l'eventuale segnalazione, in ogni altro caso.</w:t>
      </w:r>
    </w:p>
    <w:p>
      <w:pPr>
        <w:spacing w:after="120" w:line="276"/>
        <w:jc w:val="both"/>
      </w:pPr>
      <w:r>
        <w:rPr>
          <w:rFonts w:ascii="Barlow Semi Condensed" w:cs="Barlow Semi Condensed" w:eastAsia="Barlow Semi Condensed" w:hAnsi="Barlow Semi Condensed"/>
          <w:sz w:val="24"/>
          <w:szCs w:val="24"/>
        </w:rPr>
        <w:t xml:space="preserve">**Dichiaro in apertura, e non in calce, che l'opera è stata prodotta con</w:t>
      </w:r>
    </w:p>
    <w:p>
      <w:pPr>
        <w:spacing w:after="120" w:line="276"/>
        <w:jc w:val="both"/>
      </w:pPr>
      <w:r>
        <w:rPr>
          <w:rFonts w:ascii="Barlow Semi Condensed" w:cs="Barlow Semi Condensed" w:eastAsia="Barlow Semi Condensed" w:hAnsi="Barlow Semi Condensed"/>
          <w:sz w:val="24"/>
          <w:szCs w:val="24"/>
        </w:rPr>
        <w:t xml:space="preserve">l'ausilio di sistemi di intelligenza artificiale, sotto la mia direzione e la</w:t>
      </w:r>
    </w:p>
    <w:p>
      <w:pPr>
        <w:spacing w:after="120" w:line="276"/>
        <w:jc w:val="both"/>
      </w:pPr>
      <w:r>
        <w:rPr>
          <w:rFonts w:ascii="Barlow Semi Condensed" w:cs="Barlow Semi Condensed" w:eastAsia="Barlow Semi Condensed" w:hAnsi="Barlow Semi Condensed"/>
          <w:sz w:val="24"/>
          <w:szCs w:val="24"/>
        </w:rPr>
        <w:t xml:space="preserve">mia responsabilità.** Lo dichiaro per primo perché è l'oggetto stesso del</w:t>
      </w:r>
    </w:p>
    <w:p>
      <w:pPr>
        <w:spacing w:after="120" w:line="276"/>
        <w:jc w:val="both"/>
      </w:pPr>
      <w:r>
        <w:rPr>
          <w:rFonts w:ascii="Barlow Semi Condensed" w:cs="Barlow Semi Condensed" w:eastAsia="Barlow Semi Condensed" w:hAnsi="Barlow Semi Condensed"/>
          <w:sz w:val="24"/>
          <w:szCs w:val="24"/>
        </w:rPr>
        <w:t xml:space="preserve">lavoro e non una circostanza accessoria della sua produzione: un'opera che</w:t>
      </w:r>
    </w:p>
    <w:p>
      <w:pPr>
        <w:spacing w:after="120" w:line="276"/>
        <w:jc w:val="both"/>
      </w:pPr>
      <w:r>
        <w:rPr>
          <w:rFonts w:ascii="Barlow Semi Condensed" w:cs="Barlow Semi Condensed" w:eastAsia="Barlow Semi Condensed" w:hAnsi="Barlow Semi Condensed"/>
          <w:sz w:val="24"/>
          <w:szCs w:val="24"/>
        </w:rPr>
        <w:t xml:space="preserve">indaga come si costruisce una fonte non può tacere come è stata costruita.</w:t>
      </w:r>
    </w:p>
    <w:p>
      <w:pPr>
        <w:pStyle w:val="Heading3"/>
        <w:spacing w:after="80" w:before="160"/>
      </w:pPr>
      <w:r>
        <w:rPr>
          <w:rFonts w:ascii="Barlow Semi Condensed" w:cs="Barlow Semi Condensed" w:eastAsia="Barlow Semi Condensed" w:hAnsi="Barlow Semi Condensed"/>
          <w:sz w:val="24"/>
          <w:szCs w:val="24"/>
        </w:rPr>
        <w:t xml:space="preserve">Che cosa è l'opera</w:t>
      </w:r>
    </w:p>
    <w:p>
      <w:pPr>
        <w:spacing w:after="120" w:line="276"/>
        <w:jc w:val="both"/>
      </w:pPr>
      <w:r>
        <w:rPr>
          <w:rFonts w:ascii="Barlow Semi Condensed" w:cs="Barlow Semi Condensed" w:eastAsia="Barlow Semi Condensed" w:hAnsi="Barlow Semi Condensed"/>
          <w:sz w:val="24"/>
          <w:szCs w:val="24"/>
        </w:rPr>
        <w:t xml:space="preserve">Un corpus di ricerca storica rilegato in un solo volume di oltre </w:t>
      </w:r>
      <w:r>
        <w:rPr>
          <w:rFonts w:ascii="Barlow Semi Condensed" w:cs="Barlow Semi Condensed" w:eastAsia="Barlow Semi Condensed" w:hAnsi="Barlow Semi Condensed"/>
          <w:b/>
          <w:bCs/>
          <w:sz w:val="24"/>
          <w:szCs w:val="24"/>
        </w:rPr>
        <w:t xml:space="preserve">2.500 pagine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in doppia edizione PDF e DOCX. Comprende il Portale, quattordici Libri e</w:t>
      </w:r>
    </w:p>
    <w:p>
      <w:pPr>
        <w:spacing w:after="120" w:line="276"/>
        <w:jc w:val="both"/>
      </w:pPr>
      <w:r>
        <w:rPr>
          <w:rFonts w:ascii="Barlow Semi Condensed" w:cs="Barlow Semi Condensed" w:eastAsia="Barlow Semi Condensed" w:hAnsi="Barlow Semi Condensed"/>
          <w:sz w:val="24"/>
          <w:szCs w:val="24"/>
        </w:rPr>
        <w:t xml:space="preserve">quattro Appendici, per </w:t>
      </w:r>
      <w:r>
        <w:rPr>
          <w:rFonts w:ascii="Barlow Semi Condensed" w:cs="Barlow Semi Condensed" w:eastAsia="Barlow Semi Condensed" w:hAnsi="Barlow Semi Condensed"/>
          <w:b/>
          <w:bCs/>
          <w:sz w:val="24"/>
          <w:szCs w:val="24"/>
        </w:rPr>
        <w:t xml:space="preserve">sessantaquattro documenti</w:t>
      </w:r>
      <w:r>
        <w:rPr>
          <w:rFonts w:ascii="Barlow Semi Condensed" w:cs="Barlow Semi Condensed" w:eastAsia="Barlow Semi Condensed" w:hAnsi="Barlow Semi Condensed"/>
          <w:sz w:val="24"/>
          <w:szCs w:val="24"/>
        </w:rPr>
        <w:t xml:space="preserve"> nell'ordine di lettura.</w:t>
      </w:r>
    </w:p>
    <w:p>
      <w:pPr>
        <w:spacing w:after="120" w:line="276"/>
        <w:jc w:val="both"/>
      </w:pPr>
      <w:r>
        <w:rPr>
          <w:rFonts w:ascii="Barlow Semi Condensed" w:cs="Barlow Semi Condensed" w:eastAsia="Barlow Semi Condensed" w:hAnsi="Barlow Semi Condensed"/>
          <w:sz w:val="24"/>
          <w:szCs w:val="24"/>
        </w:rPr>
        <w:t xml:space="preserve">Consta di </w:t>
      </w:r>
      <w:r>
        <w:rPr>
          <w:rFonts w:ascii="Barlow Semi Condensed" w:cs="Barlow Semi Condensed" w:eastAsia="Barlow Semi Condensed" w:hAnsi="Barlow Semi Condensed"/>
          <w:b/>
          <w:bCs/>
          <w:sz w:val="24"/>
          <w:szCs w:val="24"/>
        </w:rPr>
        <w:t xml:space="preserve">7.699 blocchi mirati di ricerca</w:t>
      </w:r>
      <w:r>
        <w:rPr>
          <w:rFonts w:ascii="Barlow Semi Condensed" w:cs="Barlow Semi Condensed" w:eastAsia="Barlow Semi Condensed" w:hAnsi="Barlow Semi Condensed"/>
          <w:sz w:val="24"/>
          <w:szCs w:val="24"/>
        </w:rPr>
        <w:t xml:space="preserve"> distribuiti in cinque opere e,</w:t>
      </w:r>
    </w:p>
    <w:p>
      <w:pPr>
        <w:spacing w:after="120" w:line="276"/>
        <w:jc w:val="both"/>
      </w:pPr>
      <w:r>
        <w:rPr>
          <w:rFonts w:ascii="Barlow Semi Condensed" w:cs="Barlow Semi Condensed" w:eastAsia="Barlow Semi Condensed" w:hAnsi="Barlow Semi Condensed"/>
          <w:sz w:val="24"/>
          <w:szCs w:val="24"/>
        </w:rPr>
        <w:t xml:space="preserve">a parte e non in somma, di </w:t>
      </w:r>
      <w:r>
        <w:rPr>
          <w:rFonts w:ascii="Barlow Semi Condensed" w:cs="Barlow Semi Condensed" w:eastAsia="Barlow Semi Condensed" w:hAnsi="Barlow Semi Condensed"/>
          <w:b/>
          <w:bCs/>
          <w:sz w:val="24"/>
          <w:szCs w:val="24"/>
        </w:rPr>
        <w:t xml:space="preserve">538 blocchi certificati di verifica</w:t>
      </w:r>
      <w:r>
        <w:rPr>
          <w:rFonts w:ascii="Barlow Semi Condensed" w:cs="Barlow Semi Condensed" w:eastAsia="Barlow Semi Condensed" w:hAnsi="Barlow Semi Condensed"/>
          <w:sz w:val="24"/>
          <w:szCs w:val="24"/>
        </w:rPr>
        <w:t xml:space="preserve">. Porta</w:t>
      </w:r>
    </w:p>
    <w:p>
      <w:pPr>
        <w:spacing w:after="120" w:line="276"/>
        <w:jc w:val="both"/>
      </w:pPr>
      <w:r>
        <w:rPr>
          <w:rFonts w:ascii="Barlow Semi Condensed" w:cs="Barlow Semi Condensed" w:eastAsia="Barlow Semi Condensed" w:hAnsi="Barlow Semi Condensed"/>
          <w:b/>
          <w:bCs/>
          <w:sz w:val="24"/>
          <w:szCs w:val="24"/>
        </w:rPr>
        <w:t xml:space="preserve">736 riferimenti bibliografici distinti</w:t>
      </w:r>
      <w:r>
        <w:rPr>
          <w:rFonts w:ascii="Barlow Semi Condensed" w:cs="Barlow Semi Condensed" w:eastAsia="Barlow Semi Condensed" w:hAnsi="Barlow Semi Condensed"/>
          <w:sz w:val="24"/>
          <w:szCs w:val="24"/>
        </w:rPr>
        <w:t xml:space="preserve"> per 1.332 citazioni su 390 domini,</w:t>
      </w:r>
    </w:p>
    <w:p>
      <w:pPr>
        <w:spacing w:after="120" w:line="276"/>
        <w:jc w:val="both"/>
      </w:pPr>
      <w:r>
        <w:rPr>
          <w:rFonts w:ascii="Barlow Semi Condensed" w:cs="Barlow Semi Condensed" w:eastAsia="Barlow Semi Condensed" w:hAnsi="Barlow Semi Condensed"/>
          <w:sz w:val="24"/>
          <w:szCs w:val="24"/>
        </w:rPr>
        <w:t xml:space="preserve">numerati in ordine di apparizione, e </w:t>
      </w:r>
      <w:r>
        <w:rPr>
          <w:rFonts w:ascii="Barlow Semi Condensed" w:cs="Barlow Semi Condensed" w:eastAsia="Barlow Semi Condensed" w:hAnsi="Barlow Semi Condensed"/>
          <w:b/>
          <w:bCs/>
          <w:sz w:val="24"/>
          <w:szCs w:val="24"/>
        </w:rPr>
        <w:t xml:space="preserve">247 grafici</w:t>
      </w:r>
      <w:r>
        <w:rPr>
          <w:rFonts w:ascii="Barlow Semi Condensed" w:cs="Barlow Semi Condensed" w:eastAsia="Barlow Semi Condensed" w:hAnsi="Barlow Semi Condensed"/>
          <w:sz w:val="24"/>
          <w:szCs w:val="24"/>
        </w:rPr>
        <w:t xml:space="preserve"> a corredo dei capitoli.</w:t>
      </w:r>
    </w:p>
    <w:p>
      <w:pPr>
        <w:spacing w:after="120" w:line="276"/>
        <w:jc w:val="both"/>
      </w:pPr>
      <w:r>
        <w:rPr>
          <w:rFonts w:ascii="Barlow Semi Condensed" w:cs="Barlow Semi Condensed" w:eastAsia="Barlow Semi Condensed" w:hAnsi="Barlow Semi Condensed"/>
          <w:sz w:val="24"/>
          <w:szCs w:val="24"/>
        </w:rPr>
        <w:t xml:space="preserve">Il titolo è la chiave interpretativa che ho scelto, ed è dichiarata in</w:t>
      </w:r>
    </w:p>
    <w:p>
      <w:pPr>
        <w:spacing w:after="120" w:line="276"/>
        <w:jc w:val="both"/>
      </w:pPr>
      <w:r>
        <w:rPr>
          <w:rFonts w:ascii="Barlow Semi Condensed" w:cs="Barlow Semi Condensed" w:eastAsia="Barlow Semi Condensed" w:hAnsi="Barlow Semi Condensed"/>
          <w:sz w:val="24"/>
          <w:szCs w:val="24"/>
        </w:rPr>
        <w:t xml:space="preserve">copertina come lente e non come sentenza. L'opera resta, nel suo nome proprio,</w:t>
      </w:r>
    </w:p>
    <w:p>
      <w:pPr>
        <w:spacing w:after="120" w:line="276"/>
        <w:jc w:val="both"/>
      </w:pPr>
      <w:r>
        <w:rPr>
          <w:rFonts w:ascii="Barlow Semi Condensed" w:cs="Barlow Semi Condensed" w:eastAsia="Barlow Semi Condensed" w:hAnsi="Barlow Semi Condensed"/>
          <w:sz w:val="24"/>
          <w:szCs w:val="24"/>
        </w:rPr>
        <w:t xml:space="preserve">«Una guerra senza fine».</w:t>
      </w:r>
    </w:p>
    <w:p>
      <w:pPr>
        <w:pStyle w:val="Heading3"/>
        <w:spacing w:after="80" w:before="160"/>
      </w:pPr>
      <w:r>
        <w:rPr>
          <w:rFonts w:ascii="Barlow Semi Condensed" w:cs="Barlow Semi Condensed" w:eastAsia="Barlow Semi Condensed" w:hAnsi="Barlow Semi Condensed"/>
          <w:sz w:val="24"/>
          <w:szCs w:val="24"/>
        </w:rPr>
        <w:t xml:space="preserve">La disciplina, che è la sola cosa che la distingue</w:t>
      </w:r>
    </w:p>
    <w:p>
      <w:pPr>
        <w:spacing w:after="120" w:line="276"/>
        <w:jc w:val="both"/>
      </w:pPr>
      <w:r>
        <w:rPr>
          <w:rFonts w:ascii="Barlow Semi Condensed" w:cs="Barlow Semi Condensed" w:eastAsia="Barlow Semi Condensed" w:hAnsi="Barlow Semi Condensed"/>
          <w:sz w:val="24"/>
          <w:szCs w:val="24"/>
        </w:rPr>
        <w:t xml:space="preserve">Sei regole valgono in ogni pagina, e ogni affermazione può essere misurata</w:t>
      </w:r>
    </w:p>
    <w:p>
      <w:pPr>
        <w:spacing w:after="120" w:line="276"/>
        <w:jc w:val="both"/>
      </w:pPr>
      <w:r>
        <w:rPr>
          <w:rFonts w:ascii="Barlow Semi Condensed" w:cs="Barlow Semi Condensed" w:eastAsia="Barlow Semi Condensed" w:hAnsi="Barlow Semi Condensed"/>
          <w:sz w:val="24"/>
          <w:szCs w:val="24"/>
        </w:rPr>
        <w:t xml:space="preserve">contro di esse.</w:t>
      </w:r>
    </w:p>
    <w:p>
      <w:pPr>
        <w:spacing w:after="40"/>
        <w:ind w:left="360"/>
        <w:jc w:val="both"/>
      </w:pPr>
      <w:r>
        <w:rPr>
          <w:rFonts w:ascii="Barlow Semi Condensed" w:cs="Barlow Semi Condensed" w:eastAsia="Barlow Semi Condensed" w:hAnsi="Barlow Semi Condensed"/>
          <w:sz w:val="24"/>
          <w:szCs w:val="24"/>
        </w:rPr>
        <w:t xml:space="preserve">1. Un legame è reale solo se un documento di provenienza nomina entrambe le</w:t>
      </w:r>
    </w:p>
    <w:p>
      <w:pPr>
        <w:spacing w:after="120" w:line="276"/>
        <w:jc w:val="both"/>
      </w:pPr>
      <w:r>
        <w:rPr>
          <w:rFonts w:ascii="Barlow Semi Condensed" w:cs="Barlow Semi Condensed" w:eastAsia="Barlow Semi Condensed" w:hAnsi="Barlow Semi Condensed"/>
          <w:sz w:val="24"/>
          <w:szCs w:val="24"/>
        </w:rPr>
        <w:t xml:space="preserve">   parti. La convergenza si registra come tale e non si promuove mai a nesso</w:t>
      </w:r>
    </w:p>
    <w:p>
      <w:pPr>
        <w:spacing w:after="120" w:line="276"/>
        <w:jc w:val="both"/>
      </w:pPr>
      <w:r>
        <w:rPr>
          <w:rFonts w:ascii="Barlow Semi Condensed" w:cs="Barlow Semi Condensed" w:eastAsia="Barlow Semi Condensed" w:hAnsi="Barlow Semi Condensed"/>
          <w:sz w:val="24"/>
          <w:szCs w:val="24"/>
        </w:rPr>
        <w:t xml:space="preserve">   causale.</w:t>
      </w:r>
    </w:p>
    <w:p>
      <w:pPr>
        <w:spacing w:after="40"/>
        <w:ind w:left="360"/>
        <w:jc w:val="both"/>
      </w:pPr>
      <w:r>
        <w:rPr>
          <w:rFonts w:ascii="Barlow Semi Condensed" w:cs="Barlow Semi Condensed" w:eastAsia="Barlow Semi Condensed" w:hAnsi="Barlow Semi Condensed"/>
          <w:sz w:val="24"/>
          <w:szCs w:val="24"/>
        </w:rPr>
        <w:t xml:space="preserve">2. La contemporaneità non è prova di nesso.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L'appartenenza a un'organizzazione non è prova di condotta.</w:t>
      </w:r>
    </w:p>
    <w:p>
      <w:pPr>
        <w:spacing w:after="40"/>
        <w:ind w:left="360"/>
        <w:jc w:val="both"/>
      </w:pPr>
      <w:r>
        <w:rPr>
          <w:rFonts w:ascii="Barlow Semi Condensed" w:cs="Barlow Semi Condensed" w:eastAsia="Barlow Semi Condensed" w:hAnsi="Barlow Semi Condensed"/>
          <w:sz w:val="24"/>
          <w:szCs w:val="24"/>
        </w:rPr>
        <w:t xml:space="preserve">4. Nessuna persona è indicata come responsabile di reato oltre il giudicato</w:t>
      </w:r>
    </w:p>
    <w:p>
      <w:pPr>
        <w:spacing w:after="120" w:line="276"/>
        <w:jc w:val="both"/>
      </w:pPr>
      <w:r>
        <w:rPr>
          <w:rFonts w:ascii="Barlow Semi Condensed" w:cs="Barlow Semi Condensed" w:eastAsia="Barlow Semi Condensed" w:hAnsi="Barlow Semi Condensed"/>
          <w:sz w:val="24"/>
          <w:szCs w:val="24"/>
        </w:rPr>
        <w:t xml:space="preserve">   definitivo. Gli assolti restano assolti, e le assoluzioni sono riportate per</w:t>
      </w:r>
    </w:p>
    <w:p>
      <w:pPr>
        <w:spacing w:after="120" w:line="276"/>
        <w:jc w:val="both"/>
      </w:pPr>
      <w:r>
        <w:rPr>
          <w:rFonts w:ascii="Barlow Semi Condensed" w:cs="Barlow Semi Condensed" w:eastAsia="Barlow Semi Condensed" w:hAnsi="Barlow Semi Condensed"/>
          <w:sz w:val="24"/>
          <w:szCs w:val="24"/>
        </w:rPr>
        <w:t xml:space="preserve">   esteso anche quando contraddicono ipotesi care alla pubblicistica.</w:t>
      </w:r>
    </w:p>
    <w:p>
      <w:pPr>
        <w:spacing w:after="40"/>
        <w:ind w:left="360"/>
        <w:jc w:val="both"/>
      </w:pPr>
      <w:r>
        <w:rPr>
          <w:rFonts w:ascii="Barlow Semi Condensed" w:cs="Barlow Semi Condensed" w:eastAsia="Barlow Semi Condensed" w:hAnsi="Barlow Semi Condensed"/>
          <w:sz w:val="24"/>
          <w:szCs w:val="24"/>
        </w:rPr>
        <w:t xml:space="preserve">5. Le divergenze sono riportate, non scelte in silenzio: quando due fonti danno</w:t>
      </w:r>
    </w:p>
    <w:p>
      <w:pPr>
        <w:spacing w:after="120" w:line="276"/>
        <w:jc w:val="both"/>
      </w:pPr>
      <w:r>
        <w:rPr>
          <w:rFonts w:ascii="Barlow Semi Condensed" w:cs="Barlow Semi Condensed" w:eastAsia="Barlow Semi Condensed" w:hAnsi="Barlow Semi Condensed"/>
          <w:sz w:val="24"/>
          <w:szCs w:val="24"/>
        </w:rPr>
        <w:t xml:space="preserve">   date diverse, il testo dà due date.</w:t>
      </w:r>
    </w:p>
    <w:p>
      <w:pPr>
        <w:spacing w:after="40"/>
        <w:ind w:left="360"/>
        <w:jc w:val="both"/>
      </w:pPr>
      <w:r>
        <w:rPr>
          <w:rFonts w:ascii="Barlow Semi Condensed" w:cs="Barlow Semi Condensed" w:eastAsia="Barlow Semi Condensed" w:hAnsi="Barlow Semi Condensed"/>
          <w:sz w:val="24"/>
          <w:szCs w:val="24"/>
        </w:rPr>
        <w:t xml:space="preserve">6. Una ricerca che non trova nulla è un risultato. Lo Stato Zero — l'assenza</w:t>
      </w:r>
    </w:p>
    <w:p>
      <w:pPr>
        <w:spacing w:after="120" w:line="276"/>
        <w:jc w:val="both"/>
      </w:pPr>
      <w:r>
        <w:rPr>
          <w:rFonts w:ascii="Barlow Semi Condensed" w:cs="Barlow Semi Condensed" w:eastAsia="Barlow Semi Condensed" w:hAnsi="Barlow Semi Condensed"/>
          <w:sz w:val="24"/>
          <w:szCs w:val="24"/>
        </w:rPr>
        <w:t xml:space="preserve">   accertata di ciò che ci si attendeva — vale quanto un ritrovamento, purché</w:t>
      </w:r>
    </w:p>
    <w:p>
      <w:pPr>
        <w:spacing w:after="120" w:line="276"/>
        <w:jc w:val="both"/>
      </w:pPr>
      <w:r>
        <w:rPr>
          <w:rFonts w:ascii="Barlow Semi Condensed" w:cs="Barlow Semi Condensed" w:eastAsia="Barlow Semi Condensed" w:hAnsi="Barlow Semi Condensed"/>
          <w:sz w:val="24"/>
          <w:szCs w:val="24"/>
        </w:rPr>
        <w:t xml:space="preserve">   sia nominata la sede in cui si è cercato.</w:t>
      </w:r>
    </w:p>
    <w:p>
      <w:pPr>
        <w:spacing w:after="120" w:line="276"/>
        <w:jc w:val="both"/>
      </w:pPr>
      <w:r>
        <w:rPr>
          <w:rFonts w:ascii="Barlow Semi Condensed" w:cs="Barlow Semi Condensed" w:eastAsia="Barlow Semi Condensed" w:hAnsi="Barlow Semi Condensed"/>
          <w:sz w:val="24"/>
          <w:szCs w:val="24"/>
        </w:rPr>
        <w:t xml:space="preserve">Ogni affermazione porta un grado dichiarato: A per il giudicato, B per</w:t>
      </w:r>
    </w:p>
    <w:p>
      <w:pPr>
        <w:spacing w:after="120" w:line="276"/>
        <w:jc w:val="both"/>
      </w:pPr>
      <w:r>
        <w:rPr>
          <w:rFonts w:ascii="Barlow Semi Condensed" w:cs="Barlow Semi Condensed" w:eastAsia="Barlow Semi Condensed" w:hAnsi="Barlow Semi Condensed"/>
          <w:sz w:val="24"/>
          <w:szCs w:val="24"/>
        </w:rPr>
        <w:t xml:space="preserve">l'accertamento, C per la congettura ordinata, F per il fatto pubblico, Stato</w:t>
      </w:r>
    </w:p>
    <w:p>
      <w:pPr>
        <w:spacing w:after="120" w:line="276"/>
        <w:jc w:val="both"/>
      </w:pPr>
      <w:r>
        <w:rPr>
          <w:rFonts w:ascii="Barlow Semi Condensed" w:cs="Barlow Semi Condensed" w:eastAsia="Barlow Semi Condensed" w:hAnsi="Barlow Semi Condensed"/>
          <w:sz w:val="24"/>
          <w:szCs w:val="24"/>
        </w:rPr>
        <w:t xml:space="preserve">Zero per la ricerca negativa documentata.</w:t>
      </w:r>
    </w:p>
    <w:p>
      <w:pPr>
        <w:spacing w:after="120" w:line="276"/>
        <w:jc w:val="both"/>
      </w:pPr>
      <w:r>
        <w:rPr>
          <w:rFonts w:ascii="Barlow Semi Condensed" w:cs="Barlow Semi Condensed" w:eastAsia="Barlow Semi Condensed" w:hAnsi="Barlow Semi Condensed"/>
          <w:b/>
          <w:bCs/>
          <w:sz w:val="24"/>
          <w:szCs w:val="24"/>
        </w:rPr>
        <w:t xml:space="preserve">Una sola eccezione, dichiarata in copertina e limitata a un solo Libro.</w:t>
      </w:r>
      <w:r>
        <w:rPr>
          <w:rFonts w:ascii="Barlow Semi Condensed" w:cs="Barlow Semi Condensed" w:eastAsia="Barlow Semi Condensed" w:hAnsi="Barlow Semi Condensed"/>
          <w:sz w:val="24"/>
          <w:szCs w:val="24"/>
        </w:rPr>
        <w:t xml:space="preserve"> Il</w:t>
      </w:r>
    </w:p>
    <w:p>
      <w:pPr>
        <w:spacing w:after="120" w:line="276"/>
        <w:jc w:val="both"/>
      </w:pPr>
      <w:r>
        <w:rPr>
          <w:rFonts w:ascii="Barlow Semi Condensed" w:cs="Barlow Semi Condensed" w:eastAsia="Barlow Semi Condensed" w:hAnsi="Barlow Semi Condensed"/>
          <w:sz w:val="24"/>
          <w:szCs w:val="24"/>
        </w:rPr>
        <w:t xml:space="preserve">quarto è un dossier di cui sono autore, anteriore al corpus e conservato per</w:t>
      </w:r>
    </w:p>
    <w:p>
      <w:pPr>
        <w:spacing w:after="120" w:line="276"/>
        <w:jc w:val="both"/>
      </w:pPr>
      <w:r>
        <w:rPr>
          <w:rFonts w:ascii="Barlow Semi Condensed" w:cs="Barlow Semi Condensed" w:eastAsia="Barlow Semi Condensed" w:hAnsi="Barlow Semi Condensed"/>
          <w:sz w:val="24"/>
          <w:szCs w:val="24"/>
        </w:rPr>
        <w:t xml:space="preserve">intero anziché riscritto; nella seconda metà congeda dichiaratamente la</w:t>
      </w:r>
    </w:p>
    <w:p>
      <w:pPr>
        <w:spacing w:after="120" w:line="276"/>
        <w:jc w:val="both"/>
      </w:pPr>
      <w:r>
        <w:rPr>
          <w:rFonts w:ascii="Barlow Semi Condensed" w:cs="Barlow Semi Condensed" w:eastAsia="Barlow Semi Condensed" w:hAnsi="Barlow Semi Condensed"/>
          <w:sz w:val="24"/>
          <w:szCs w:val="24"/>
        </w:rPr>
        <w:t xml:space="preserve">sospensione del giudizio per ordinare secondo la plausibilità del</w:t>
      </w:r>
    </w:p>
    <w:p>
      <w:pPr>
        <w:spacing w:after="120" w:line="276"/>
        <w:jc w:val="both"/>
      </w:pPr>
      <w:r>
        <w:rPr>
          <w:rFonts w:ascii="Barlow Semi Condensed" w:cs="Barlow Semi Condensed" w:eastAsia="Barlow Semi Condensed" w:hAnsi="Barlow Semi Condensed"/>
          <w:sz w:val="24"/>
          <w:szCs w:val="24"/>
        </w:rPr>
        <w:t xml:space="preserve">coinvolgimento. Ne dico i limiti con la stessa precisione con cui ne dico</w:t>
      </w:r>
    </w:p>
    <w:p>
      <w:pPr>
        <w:spacing w:after="120" w:line="276"/>
        <w:jc w:val="both"/>
      </w:pPr>
      <w:r>
        <w:rPr>
          <w:rFonts w:ascii="Barlow Semi Condensed" w:cs="Barlow Semi Condensed" w:eastAsia="Barlow Semi Condensed" w:hAnsi="Barlow Semi Condensed"/>
          <w:sz w:val="24"/>
          <w:szCs w:val="24"/>
        </w:rPr>
        <w:t xml:space="preserve">l'esistenza: è graduatoria di plausibilità e non di colpa, ordina **categorie</w:t>
      </w:r>
    </w:p>
    <w:p>
      <w:pPr>
        <w:spacing w:after="120" w:line="276"/>
        <w:jc w:val="both"/>
      </w:pPr>
      <w:r>
        <w:rPr>
          <w:rFonts w:ascii="Barlow Semi Condensed" w:cs="Barlow Semi Condensed" w:eastAsia="Barlow Semi Condensed" w:hAnsi="Barlow Semi Condensed"/>
          <w:sz w:val="24"/>
          <w:szCs w:val="24"/>
        </w:rPr>
        <w:t xml:space="preserve">di soggetti e non nomi individuali**, muove dal giudicato e rifiuta di nominare</w:t>
      </w:r>
    </w:p>
    <w:p>
      <w:pPr>
        <w:spacing w:after="120" w:line="276"/>
        <w:jc w:val="both"/>
      </w:pPr>
      <w:r>
        <w:rPr>
          <w:rFonts w:ascii="Barlow Semi Condensed" w:cs="Barlow Semi Condensed" w:eastAsia="Barlow Semi Condensed" w:hAnsi="Barlow Semi Condensed"/>
          <w:sz w:val="24"/>
          <w:szCs w:val="24"/>
        </w:rPr>
        <w:t xml:space="preserve">un mandante esterno determinato. Ordinare per plausibilità non è condannare, e</w:t>
      </w:r>
    </w:p>
    <w:p>
      <w:pPr>
        <w:spacing w:after="120" w:line="276"/>
        <w:jc w:val="both"/>
      </w:pPr>
      <w:r>
        <w:rPr>
          <w:rFonts w:ascii="Barlow Semi Condensed" w:cs="Barlow Semi Condensed" w:eastAsia="Barlow Semi Condensed" w:hAnsi="Barlow Semi Condensed"/>
          <w:sz w:val="24"/>
          <w:szCs w:val="24"/>
        </w:rPr>
        <w:t xml:space="preserve">nessun altro Libro dell'opera contiene graduatorie.</w:t>
      </w:r>
    </w:p>
    <w:p>
      <w:pPr>
        <w:pStyle w:val="Heading3"/>
        <w:spacing w:after="80" w:before="160"/>
      </w:pPr>
      <w:r>
        <w:rPr>
          <w:rFonts w:ascii="Barlow Semi Condensed" w:cs="Barlow Semi Condensed" w:eastAsia="Barlow Semi Condensed" w:hAnsi="Barlow Semi Condensed"/>
          <w:sz w:val="24"/>
          <w:szCs w:val="24"/>
        </w:rPr>
        <w:t xml:space="preserve">Che cosa l'opera non è</w:t>
      </w:r>
    </w:p>
    <w:p>
      <w:pPr>
        <w:spacing w:after="120" w:line="276"/>
        <w:jc w:val="both"/>
      </w:pPr>
      <w:r>
        <w:rPr>
          <w:rFonts w:ascii="Barlow Semi Condensed" w:cs="Barlow Semi Condensed" w:eastAsia="Barlow Semi Condensed" w:hAnsi="Barlow Semi Condensed"/>
          <w:sz w:val="24"/>
          <w:szCs w:val="24"/>
        </w:rPr>
        <w:t xml:space="preserve">Non è ricerca d'archivio condotta in prima persona, e non lo pretende. Raccoglie,</w:t>
      </w:r>
    </w:p>
    <w:p>
      <w:pPr>
        <w:spacing w:after="120" w:line="276"/>
        <w:jc w:val="both"/>
      </w:pPr>
      <w:r>
        <w:rPr>
          <w:rFonts w:ascii="Barlow Semi Condensed" w:cs="Barlow Semi Condensed" w:eastAsia="Barlow Semi Condensed" w:hAnsi="Barlow Semi Condensed"/>
          <w:sz w:val="24"/>
          <w:szCs w:val="24"/>
        </w:rPr>
        <w:t xml:space="preserve">ordina e verifica materiale già pubblico, e produce </w:t>
      </w:r>
      <w:r>
        <w:rPr>
          <w:rFonts w:ascii="Barlow Semi Condensed" w:cs="Barlow Semi Condensed" w:eastAsia="Barlow Semi Condensed" w:hAnsi="Barlow Semi Condensed"/>
          <w:b/>
          <w:bCs/>
          <w:sz w:val="24"/>
          <w:szCs w:val="24"/>
        </w:rPr>
        <w:t xml:space="preserve">bersagli di ricerca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domande formulate perché qualcuno possa andare in archivio a rispondervi,</w:t>
      </w:r>
    </w:p>
    <w:p>
      <w:pPr>
        <w:spacing w:after="120" w:line="276"/>
        <w:jc w:val="both"/>
      </w:pPr>
      <w:r>
        <w:rPr>
          <w:rFonts w:ascii="Barlow Semi Condensed" w:cs="Barlow Semi Condensed" w:eastAsia="Barlow Semi Condensed" w:hAnsi="Barlow Semi Condensed"/>
          <w:sz w:val="24"/>
          <w:szCs w:val="24"/>
        </w:rPr>
        <w:t xml:space="preserve">ciascuna con l'indicazione della sede in cui si cercherebbe. **Non contiene</w:t>
      </w:r>
    </w:p>
    <w:p>
      <w:pPr>
        <w:spacing w:after="120" w:line="276"/>
        <w:jc w:val="both"/>
      </w:pPr>
      <w:r>
        <w:rPr>
          <w:rFonts w:ascii="Barlow Semi Condensed" w:cs="Barlow Semi Condensed" w:eastAsia="Barlow Semi Condensed" w:hAnsi="Barlow Semi Condensed"/>
          <w:sz w:val="24"/>
          <w:szCs w:val="24"/>
        </w:rPr>
        <w:t xml:space="preserve">rivelazioni e non aggiunge un fatto.** Chi cerca una tesi nuova sul 1978 non la</w:t>
      </w:r>
    </w:p>
    <w:p>
      <w:pPr>
        <w:spacing w:after="120" w:line="276"/>
        <w:jc w:val="both"/>
      </w:pPr>
      <w:r>
        <w:rPr>
          <w:rFonts w:ascii="Barlow Semi Condensed" w:cs="Barlow Semi Condensed" w:eastAsia="Barlow Semi Condensed" w:hAnsi="Barlow Semi Condensed"/>
          <w:sz w:val="24"/>
          <w:szCs w:val="24"/>
        </w:rPr>
        <w:t xml:space="preserve">troverà; chi cerca un criterio per giudicare le tesi altrui, forse sì.</w:t>
      </w:r>
    </w:p>
    <w:p>
      <w:pPr>
        <w:pStyle w:val="Heading3"/>
        <w:spacing w:after="80" w:before="160"/>
      </w:pPr>
      <w:r>
        <w:rPr>
          <w:rFonts w:ascii="Barlow Semi Condensed" w:cs="Barlow Semi Condensed" w:eastAsia="Barlow Semi Condensed" w:hAnsi="Barlow Semi Condensed"/>
          <w:sz w:val="24"/>
          <w:szCs w:val="24"/>
        </w:rPr>
        <w:t xml:space="preserve">L'integrità è verificabile</w:t>
      </w:r>
    </w:p>
    <w:p>
      <w:pPr>
        <w:spacing w:after="120" w:line="276"/>
        <w:jc w:val="both"/>
      </w:pPr>
      <w:r>
        <w:rPr>
          <w:rFonts w:ascii="Barlow Semi Condensed" w:cs="Barlow Semi Condensed" w:eastAsia="Barlow Semi Condensed" w:hAnsi="Barlow Semi Condensed"/>
          <w:sz w:val="24"/>
          <w:szCs w:val="24"/>
        </w:rPr>
        <w:t xml:space="preserve">L'opera è accompagnata da un registro delle impronte crittografiche. Le impronte</w:t>
      </w:r>
    </w:p>
    <w:p>
      <w:pPr>
        <w:spacing w:after="120" w:line="276"/>
        <w:jc w:val="both"/>
      </w:pPr>
      <w:r>
        <w:rPr>
          <w:rFonts w:ascii="Barlow Semi Condensed" w:cs="Barlow Semi Condensed" w:eastAsia="Barlow Semi Condensed" w:hAnsi="Barlow Semi Condensed"/>
          <w:sz w:val="24"/>
          <w:szCs w:val="24"/>
        </w:rPr>
        <w:t xml:space="preserve">SHA-256 dei due file allegati sono: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0e823528c4452ef9dafac53ebda8fb86d728739add5616f1ad2eb036bfa22b80</w:t>
      </w:r>
      <w:r>
        <w:rPr>
          <w:rFonts w:ascii="Barlow Semi Condensed" w:cs="Barlow Semi Condensed" w:eastAsia="Barlow Semi Condensed" w:hAnsi="Barlow Semi Condensed"/>
          <w:i w:val="false"/>
          <w:iCs w:val="false"/>
          <w:sz w:val="24"/>
          <w:szCs w:val="24"/>
        </w:rPr>
        <w:t xml:space="preserve"> il volume in PDF  </w:t>
      </w:r>
      <w:r>
        <w:rPr>
          <w:rFonts w:ascii="Barlow Semi Condensed" w:cs="Barlow Semi Condensed" w:eastAsia="Barlow Semi Condensed" w:hAnsi="Barlow Semi Condensed"/>
          <w:i w:val="false"/>
          <w:iCs w:val="false"/>
          <w:sz w:val="24"/>
          <w:szCs w:val="24"/>
        </w:rPr>
        <w:t xml:space="preserve">81ae4dc6986150192d808f60016ca2ea52912983ade435d55aafc0b2a19fbacb</w:t>
      </w:r>
      <w:r>
        <w:rPr>
          <w:rFonts w:ascii="Barlow Semi Condensed" w:cs="Barlow Semi Condensed" w:eastAsia="Barlow Semi Condensed" w:hAnsi="Barlow Semi Condensed"/>
          <w:i w:val="false"/>
          <w:iCs w:val="false"/>
          <w:sz w:val="24"/>
          <w:szCs w:val="24"/>
        </w:rPr>
        <w:t xml:space="preserve"> il volume in DOCX</w:t>
      </w:r>
    </w:p>
    <w:p>
      <w:pPr>
        <w:spacing w:after="120" w:line="276"/>
        <w:jc w:val="both"/>
      </w:pPr>
      <w:r>
        <w:rPr>
          <w:rFonts w:ascii="Barlow Semi Condensed" w:cs="Barlow Semi Condensed" w:eastAsia="Barlow Semi Condensed" w:hAnsi="Barlow Semi Condensed"/>
          <w:sz w:val="24"/>
          <w:szCs w:val="24"/>
        </w:rPr>
        <w:t xml:space="preserve">Si riproducono in un comando — </w:t>
      </w:r>
      <w:r>
        <w:rPr>
          <w:rFonts w:ascii="Barlow Semi Condensed" w:cs="Barlow Semi Condensed" w:eastAsia="Barlow Semi Condensed" w:hAnsi="Barlow Semi Condensed"/>
          <w:i/>
          <w:iCs/>
          <w:sz w:val="24"/>
          <w:szCs w:val="24"/>
        </w:rPr>
        <w:t xml:space="preserve">sha256sum</w:t>
      </w:r>
      <w:r>
        <w:rPr>
          <w:rFonts w:ascii="Barlow Semi Condensed" w:cs="Barlow Semi Condensed" w:eastAsia="Barlow Semi Condensed" w:hAnsi="Barlow Semi Condensed"/>
          <w:sz w:val="24"/>
          <w:szCs w:val="24"/>
        </w:rPr>
        <w:t xml:space="preserve"> su Linux, </w:t>
      </w:r>
      <w:r>
        <w:rPr>
          <w:rFonts w:ascii="Barlow Semi Condensed" w:cs="Barlow Semi Condensed" w:eastAsia="Barlow Semi Condensed" w:hAnsi="Barlow Semi Condensed"/>
          <w:i/>
          <w:iCs/>
          <w:sz w:val="24"/>
          <w:szCs w:val="24"/>
        </w:rPr>
        <w:t xml:space="preserve">shasum -a 256</w:t>
      </w:r>
      <w:r>
        <w:rPr>
          <w:rFonts w:ascii="Barlow Semi Condensed" w:cs="Barlow Semi Condensed" w:eastAsia="Barlow Semi Condensed" w:hAnsi="Barlow Semi Condensed"/>
          <w:sz w:val="24"/>
          <w:szCs w:val="24"/>
        </w:rPr>
        <w:t xml:space="preserve"> su macOS,</w:t>
      </w:r>
    </w:p>
    <w:p>
      <w:pPr>
        <w:spacing w:after="120" w:line="276"/>
        <w:jc w:val="both"/>
      </w:pPr>
      <w:r>
        <w:rPr>
          <w:rFonts w:ascii="Barlow Semi Condensed" w:cs="Barlow Semi Condensed" w:eastAsia="Barlow Semi Condensed" w:hAnsi="Barlow Semi Condensed"/>
          <w:i/>
          <w:iCs/>
          <w:sz w:val="24"/>
          <w:szCs w:val="24"/>
        </w:rPr>
        <w:t xml:space="preserve">Get-FileHash … -Algorithm SHA256</w:t>
      </w:r>
      <w:r>
        <w:rPr>
          <w:rFonts w:ascii="Barlow Semi Condensed" w:cs="Barlow Semi Condensed" w:eastAsia="Barlow Semi Condensed" w:hAnsi="Barlow Semi Condensed"/>
          <w:sz w:val="24"/>
          <w:szCs w:val="24"/>
        </w:rPr>
        <w:t xml:space="preserve"> su Windows — e certificano che ciò che avete ricevuto è **bit per</w:t>
      </w:r>
    </w:p>
    <w:p>
      <w:pPr>
        <w:spacing w:after="120" w:line="276"/>
        <w:jc w:val="both"/>
      </w:pPr>
      <w:r>
        <w:rPr>
          <w:rFonts w:ascii="Barlow Semi Condensed" w:cs="Barlow Semi Condensed" w:eastAsia="Barlow Semi Condensed" w:hAnsi="Barlow Semi Condensed"/>
          <w:sz w:val="24"/>
          <w:szCs w:val="24"/>
        </w:rPr>
        <w:t xml:space="preserve">bit** ciò che è stato depositato. Va detto con precisione che cosa quella</w:t>
      </w:r>
    </w:p>
    <w:p>
      <w:pPr>
        <w:spacing w:after="120" w:line="276"/>
        <w:jc w:val="both"/>
      </w:pPr>
      <w:r>
        <w:rPr>
          <w:rFonts w:ascii="Barlow Semi Condensed" w:cs="Barlow Semi Condensed" w:eastAsia="Barlow Semi Condensed" w:hAnsi="Barlow Semi Condensed"/>
          <w:sz w:val="24"/>
          <w:szCs w:val="24"/>
        </w:rPr>
        <w:t xml:space="preserve">stringa non certifica: **l'integrità è una proprietà del contenitore, non del</w:t>
      </w:r>
    </w:p>
    <w:p>
      <w:pPr>
        <w:spacing w:after="120" w:line="276"/>
        <w:jc w:val="both"/>
      </w:pPr>
      <w:r>
        <w:rPr>
          <w:rFonts w:ascii="Barlow Semi Condensed" w:cs="Barlow Semi Condensed" w:eastAsia="Barlow Semi Condensed" w:hAnsi="Barlow Semi Condensed"/>
          <w:sz w:val="24"/>
          <w:szCs w:val="24"/>
        </w:rPr>
        <w:t xml:space="preserve">contenuto**. Un documento falso conserva la propria impronta con la stessa</w:t>
      </w:r>
    </w:p>
    <w:p>
      <w:pPr>
        <w:spacing w:after="120" w:line="276"/>
        <w:jc w:val="both"/>
      </w:pPr>
      <w:r>
        <w:rPr>
          <w:rFonts w:ascii="Barlow Semi Condensed" w:cs="Barlow Semi Condensed" w:eastAsia="Barlow Semi Condensed" w:hAnsi="Barlow Semi Condensed"/>
          <w:sz w:val="24"/>
          <w:szCs w:val="24"/>
        </w:rPr>
        <w:t xml:space="preserve">fedeltà di uno esatto. Accertare di aver ricevuto integro è meccanico;</w:t>
      </w:r>
    </w:p>
    <w:p>
      <w:pPr>
        <w:spacing w:after="120" w:line="276"/>
        <w:jc w:val="both"/>
      </w:pPr>
      <w:r>
        <w:rPr>
          <w:rFonts w:ascii="Barlow Semi Condensed" w:cs="Barlow Semi Condensed" w:eastAsia="Barlow Semi Condensed" w:hAnsi="Barlow Semi Condensed"/>
          <w:sz w:val="24"/>
          <w:szCs w:val="24"/>
        </w:rPr>
        <w:t xml:space="preserve">verificare ciò che il testo afferma è il lavoro che i gradi dichiarati, le sedi</w:t>
      </w:r>
    </w:p>
    <w:p>
      <w:pPr>
        <w:spacing w:after="120" w:line="276"/>
        <w:jc w:val="both"/>
      </w:pPr>
      <w:r>
        <w:rPr>
          <w:rFonts w:ascii="Barlow Semi Condensed" w:cs="Barlow Semi Condensed" w:eastAsia="Barlow Semi Condensed" w:hAnsi="Barlow Semi Condensed"/>
          <w:sz w:val="24"/>
          <w:szCs w:val="24"/>
        </w:rPr>
        <w:t xml:space="preserve">d'archivio nominate e gli Stati Zero servono a rendere possibile.</w:t>
      </w:r>
    </w:p>
    <w:p>
      <w:pPr>
        <w:pStyle w:val="Heading3"/>
        <w:spacing w:after="80" w:before="160"/>
      </w:pPr>
      <w:r>
        <w:rPr>
          <w:rFonts w:ascii="Barlow Semi Condensed" w:cs="Barlow Semi Condensed" w:eastAsia="Barlow Semi Condensed" w:hAnsi="Barlow Semi Condensed"/>
          <w:sz w:val="24"/>
          <w:szCs w:val="24"/>
        </w:rPr>
        <w:t xml:space="preserve">Che cosa chiedo</w:t>
      </w:r>
    </w:p>
    <w:p>
      <w:pPr>
        <w:spacing w:after="120" w:line="276"/>
        <w:jc w:val="both"/>
      </w:pPr>
      <w:r>
        <w:rPr>
          <w:rFonts w:ascii="Barlow Semi Condensed" w:cs="Barlow Semi Condensed" w:eastAsia="Barlow Semi Condensed" w:hAnsi="Barlow Semi Condensed"/>
          <w:sz w:val="24"/>
          <w:szCs w:val="24"/>
        </w:rPr>
        <w:t xml:space="preserve">Nulla che comporti un impegno. Chiedo che l'opera sia letta da chi in codesto</w:t>
      </w:r>
    </w:p>
    <w:p>
      <w:pPr>
        <w:spacing w:after="120" w:line="276"/>
        <w:jc w:val="both"/>
      </w:pPr>
      <w:r>
        <w:rPr>
          <w:rFonts w:ascii="Barlow Semi Condensed" w:cs="Barlow Semi Condensed" w:eastAsia="Barlow Semi Condensed" w:hAnsi="Barlow Semi Condensed"/>
          <w:sz w:val="24"/>
          <w:szCs w:val="24"/>
        </w:rPr>
        <w:t xml:space="preserve">ente se ne occupa, e che mi sia detto, nei tempi che riterrete, se abbia</w:t>
      </w:r>
    </w:p>
    <w:p>
      <w:pPr>
        <w:spacing w:after="120" w:line="276"/>
        <w:jc w:val="both"/>
      </w:pPr>
      <w:r>
        <w:rPr>
          <w:rFonts w:ascii="Barlow Semi Condensed" w:cs="Barlow Semi Condensed" w:eastAsia="Barlow Semi Condensed" w:hAnsi="Barlow Semi Condensed"/>
          <w:sz w:val="24"/>
          <w:szCs w:val="24"/>
        </w:rPr>
        <w:t xml:space="preserve">interesse per le vostre finalità. Se la risposta è negativa non occorre</w:t>
      </w:r>
    </w:p>
    <w:p>
      <w:pPr>
        <w:spacing w:after="120" w:line="276"/>
        <w:jc w:val="both"/>
      </w:pPr>
      <w:r>
        <w:rPr>
          <w:rFonts w:ascii="Barlow Semi Condensed" w:cs="Barlow Semi Condensed" w:eastAsia="Barlow Semi Condensed" w:hAnsi="Barlow Semi Condensed"/>
          <w:sz w:val="24"/>
          <w:szCs w:val="24"/>
        </w:rPr>
        <w:t xml:space="preserve">motivarla. Resto a disposizione per qualunque chiarimento, per l'invio di</w:t>
      </w:r>
    </w:p>
    <w:p>
      <w:pPr>
        <w:spacing w:after="120" w:line="276"/>
        <w:jc w:val="both"/>
      </w:pPr>
      <w:r>
        <w:rPr>
          <w:rFonts w:ascii="Barlow Semi Condensed" w:cs="Barlow Semi Condensed" w:eastAsia="Barlow Semi Condensed" w:hAnsi="Barlow Semi Condensed"/>
          <w:sz w:val="24"/>
          <w:szCs w:val="24"/>
        </w:rPr>
        <w:t xml:space="preserve">estratti, e per fornire i materiali di lavorazione — i generatori, i registri</w:t>
      </w:r>
    </w:p>
    <w:p>
      <w:pPr>
        <w:spacing w:after="120" w:line="276"/>
        <w:jc w:val="both"/>
      </w:pPr>
      <w:r>
        <w:rPr>
          <w:rFonts w:ascii="Barlow Semi Condensed" w:cs="Barlow Semi Condensed" w:eastAsia="Barlow Semi Condensed" w:hAnsi="Barlow Semi Condensed"/>
          <w:sz w:val="24"/>
          <w:szCs w:val="24"/>
        </w:rPr>
        <w:t xml:space="preserve">di verifica, i manifesti delle impronte — a chi volesse controllare come</w:t>
      </w:r>
    </w:p>
    <w:p>
      <w:pPr>
        <w:spacing w:after="120" w:line="276"/>
        <w:jc w:val="both"/>
      </w:pPr>
      <w:r>
        <w:rPr>
          <w:rFonts w:ascii="Barlow Semi Condensed" w:cs="Barlow Semi Condensed" w:eastAsia="Barlow Semi Condensed" w:hAnsi="Barlow Semi Condensed"/>
          <w:sz w:val="24"/>
          <w:szCs w:val="24"/>
        </w:rPr>
        <w:t xml:space="preserve">l'opera è stata costruita.</w:t>
      </w:r>
    </w:p>
    <w:p>
      <w:pPr>
        <w:spacing w:after="120" w:line="276"/>
        <w:jc w:val="both"/>
      </w:pPr>
      <w:r>
        <w:rPr>
          <w:rFonts w:ascii="Barlow Semi Condensed" w:cs="Barlow Semi Condensed" w:eastAsia="Barlow Semi Condensed" w:hAnsi="Barlow Semi Condensed"/>
          <w:sz w:val="24"/>
          <w:szCs w:val="24"/>
        </w:rPr>
        <w:t xml:space="preserve">Le sei persone uccise a via Fani stanno in testa al corpus e non in fondo:</w:t>
      </w:r>
    </w:p>
    <w:p>
      <w:pPr>
        <w:spacing w:after="120" w:line="276"/>
        <w:jc w:val="both"/>
      </w:pPr>
      <w:r>
        <w:rPr>
          <w:rFonts w:ascii="Barlow Semi Condensed" w:cs="Barlow Semi Condensed" w:eastAsia="Barlow Semi Condensed" w:hAnsi="Barlow Semi Condensed"/>
          <w:sz w:val="24"/>
          <w:szCs w:val="24"/>
        </w:rPr>
        <w:t xml:space="preserve">Oreste Leonardi, Domenico Ricci, Giulio Rivera, Francesco Zizzi, Raffaele</w:t>
      </w:r>
    </w:p>
    <w:p>
      <w:pPr>
        <w:spacing w:after="120" w:line="276"/>
        <w:jc w:val="both"/>
      </w:pPr>
      <w:r>
        <w:rPr>
          <w:rFonts w:ascii="Barlow Semi Condensed" w:cs="Barlow Semi Condensed" w:eastAsia="Barlow Semi Condensed" w:hAnsi="Barlow Semi Condensed"/>
          <w:sz w:val="24"/>
          <w:szCs w:val="24"/>
        </w:rPr>
        <w:t xml:space="preserve">Iozzino, il 16 marzo 1978; e Aldo Moro, il 9 maggio.</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[nome e cognome]</w:t>
      </w:r>
    </w:p>
    <w:p>
      <w:pPr>
        <w:spacing w:after="120" w:line="276"/>
        <w:jc w:val="both"/>
      </w:pPr>
      <w:r>
        <w:rPr>
          <w:rFonts w:ascii="Barlow Semi Condensed" w:cs="Barlow Semi Condensed" w:eastAsia="Barlow Semi Condensed" w:hAnsi="Barlow Semi Condensed"/>
          <w:sz w:val="24"/>
          <w:szCs w:val="24"/>
        </w:rPr>
        <w:t xml:space="preserve">[recapito]</w:t>
      </w:r>
    </w:p>
    <w:p>
      <w:pPr>
        <w:spacing w:after="120" w:line="276"/>
        <w:jc w:val="both"/>
      </w:pPr>
      <w:r>
        <w:rPr>
          <w:rFonts w:ascii="Barlow Semi Condensed" w:cs="Barlow Semi Condensed" w:eastAsia="Barlow Semi Condensed" w:hAnsi="Barlow Semi Condensed"/>
          <w:sz w:val="24"/>
          <w:szCs w:val="24"/>
        </w:rPr>
        <w:t xml:space="preserve">[luogo], [data]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Allegati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UNA_GUERRA_SENZA_FINE_OPERA_INTEGRALE.pdf</w:t>
            </w:r>
            <w:r>
              <w:rPr>
                <w:rFonts w:ascii="Barlow Semi Condensed" w:cs="Barlow Semi Condensed" w:eastAsia="Barlow Semi Condensed" w:hAnsi="Barlow Semi Condensed"/>
                <w:sz w:val="20"/>
                <w:szCs w:val="20"/>
              </w:rPr>
              <w:t xml:space="preserve"> — l'opera, oltre 2.500 pagine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2</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UNA_GUERRA_SENZA_FINE_OPERA_INTEGRALE.docx</w:t>
            </w:r>
            <w:r>
              <w:rPr>
                <w:rFonts w:ascii="Barlow Semi Condensed" w:cs="Barlow Semi Condensed" w:eastAsia="Barlow Semi Condensed" w:hAnsi="Barlow Semi Condensed"/>
                <w:sz w:val="20"/>
                <w:szCs w:val="20"/>
              </w:rPr>
              <w:t xml:space="preserve"> — edizione modificabile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3</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IMPRONTE-SHA256.md</w:t>
            </w:r>
            <w:r>
              <w:rPr>
                <w:rFonts w:ascii="Barlow Semi Condensed" w:cs="Barlow Semi Condensed" w:eastAsia="Barlow Semi Condensed" w:hAnsi="Barlow Semi Condensed"/>
                <w:sz w:val="20"/>
                <w:szCs w:val="20"/>
              </w:rPr>
              <w:t xml:space="preserve"> — il registro delle impronte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4</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IMPRONTE-OPERA-MORO.txt</w:t>
            </w:r>
            <w:r>
              <w:rPr>
                <w:rFonts w:ascii="Barlow Semi Condensed" w:cs="Barlow Semi Condensed" w:eastAsia="Barlow Semi Condensed" w:hAnsi="Barlow Semi Condensed"/>
                <w:sz w:val="20"/>
                <w:szCs w:val="20"/>
              </w:rPr>
              <w:t xml:space="preserve"> — il manifesto per la verifica in blocco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5</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(agli editori)</w:t>
            </w:r>
            <w:r>
              <w:rPr>
                <w:rFonts w:ascii="Barlow Semi Condensed" w:cs="Barlow Semi Condensed" w:eastAsia="Barlow Semi Condensed" w:hAnsi="Barlow Semi Condensed"/>
                <w:sz w:val="20"/>
                <w:szCs w:val="20"/>
              </w:rPr>
              <w:t xml:space="preserve"> la scheda dell'opera e la prima stesura completa del libro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6</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 Einaudi)</w:t>
            </w:r>
            <w:r>
              <w:rPr>
                <w:rFonts w:ascii="Barlow Semi Condensed" w:cs="Barlow Semi Condensed" w:eastAsia="Barlow Semi Condensed" w:hAnsi="Barlow Semi Condensed"/>
                <w:sz w:val="20"/>
                <w:szCs w:val="20"/>
              </w:rPr>
              <w:t xml:space="preserve"> il curriculum, richiesto esplicitamente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Peso complessivo</w:t>
      </w:r>
      <w:r>
        <w:rPr>
          <w:rFonts w:ascii="Barlow Semi Condensed" w:cs="Barlow Semi Condensed" w:eastAsia="Barlow Semi Condensed" w:hAnsi="Barlow Semi Condensed"/>
          <w:sz w:val="24"/>
          <w:szCs w:val="24"/>
        </w:rPr>
        <w:t xml:space="preserve">: il solo volume in PDF supera i 29 MiB. Molti gestori di</w:t>
      </w:r>
    </w:p>
    <w:p>
      <w:pPr>
        <w:spacing w:after="120" w:line="276"/>
        <w:jc w:val="both"/>
      </w:pPr>
      <w:r>
        <w:rPr>
          <w:rFonts w:ascii="Barlow Semi Condensed" w:cs="Barlow Semi Condensed" w:eastAsia="Barlow Semi Condensed" w:hAnsi="Barlow Semi Condensed"/>
          <w:sz w:val="24"/>
          <w:szCs w:val="24"/>
        </w:rPr>
        <w:t xml:space="preserve">PEC si fermano fra i 30 e i 50 MB per messaggio: verificare il limite del</w:t>
      </w:r>
    </w:p>
    <w:p>
      <w:pPr>
        <w:spacing w:after="120" w:line="276"/>
        <w:jc w:val="both"/>
      </w:pPr>
      <w:r>
        <w:rPr>
          <w:rFonts w:ascii="Barlow Semi Condensed" w:cs="Barlow Semi Condensed" w:eastAsia="Barlow Semi Condensed" w:hAnsi="Barlow Semi Condensed"/>
          <w:sz w:val="24"/>
          <w:szCs w:val="24"/>
        </w:rPr>
        <w:t xml:space="preserve">proprio gestore prima dell'invio, e in caso di eccedenza trasmettere il DOCX</w:t>
      </w:r>
    </w:p>
    <w:p>
      <w:pPr>
        <w:spacing w:after="120" w:line="276"/>
        <w:jc w:val="both"/>
      </w:pPr>
      <w:r>
        <w:rPr>
          <w:rFonts w:ascii="Barlow Semi Condensed" w:cs="Barlow Semi Condensed" w:eastAsia="Barlow Semi Condensed" w:hAnsi="Barlow Semi Condensed"/>
          <w:sz w:val="24"/>
          <w:szCs w:val="24"/>
        </w:rPr>
        <w:t xml:space="preserve">con il link al deposito pubblico, indicando l'impronta perché il destinatario</w:t>
      </w:r>
    </w:p>
    <w:p>
      <w:pPr>
        <w:spacing w:after="120" w:line="276"/>
        <w:jc w:val="both"/>
      </w:pPr>
      <w:r>
        <w:rPr>
          <w:rFonts w:ascii="Barlow Semi Condensed" w:cs="Barlow Semi Condensed" w:eastAsia="Barlow Semi Condensed" w:hAnsi="Barlow Semi Condensed"/>
          <w:sz w:val="24"/>
          <w:szCs w:val="24"/>
        </w:rPr>
        <w:t xml:space="preserve">possa verificare ciò che scarica.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Adattamento per canale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Destinatario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Canale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cambia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Archivio Flamigni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PEC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Reperire l'indirizzo su RUNTS o INI-PEC. È l'unico invio in cui la PEC serve davvero: certifica data e contenuto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Fondazione Aldo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modifica al testo. La lettera tocca la memoria di una persona uccisa e una famiglia vivente: si invii senza allegati pesanti, col solo link</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Einaudi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Aggiungere il curriculum e ripetere i dati anagrafici in testa al documento dell'opera, come l'editore richiede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Chiarelettere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modifica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il Mulino · Carocci · Bompiani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Modulo web</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testo si incolla nei campi del modulo, non si allega. Adattare i paragrafi alla lunghezza consentita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Laterza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Posta cartacea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Stampare il testo e la scheda dell'opera; non spedire il volume intero su carta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Zenodo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Deposito HTTPS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è un destinatario: è la sede del deposito. Va fatto </w:t>
            </w:r>
            <w:r>
              <w:rPr>
                <w:rFonts w:ascii="Barlow Semi Condensed" w:cs="Barlow Semi Condensed" w:eastAsia="Barlow Semi Condensed" w:hAnsi="Barlow Semi Condensed"/>
                <w:b/>
                <w:bCs/>
                <w:sz w:val="20"/>
                <w:szCs w:val="20"/>
              </w:rPr>
              <w:t xml:space="preserve">per primo</w:t>
            </w:r>
            <w:r>
              <w:rPr>
                <w:rFonts w:ascii="Barlow Semi Condensed" w:cs="Barlow Semi Condensed" w:eastAsia="Barlow Semi Condensed" w:hAnsi="Barlow Semi Condensed"/>
                <w:sz w:val="20"/>
                <w:szCs w:val="20"/>
              </w:rPr>
              <w:t xml:space="preserve">, perché il DOI che genera va citato in tutte le lettere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premere invio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Il deposito Zenodo è stato fatto e il DOI è inserito nel testo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 campi fra parentesi quadre sono stati compilati e le parentesi tolte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Le due impronte nel testo coincidono con quelle dei file effettivamente allegati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L'indirizzo del destinatario è quello verificato, non quello presunto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L'invio è separato per ciascun destinatario, non unico per tutti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Il limite di peso del proprio gestore PEC è stato verificato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*Annotazione — Questa PEC unica fu redatta sulle cifre della quarta edizione:</w:t>
      </w:r>
    </w:p>
    <w:p>
      <w:pPr>
        <w:spacing w:after="120" w:line="276"/>
        <w:jc w:val="both"/>
      </w:pPr>
      <w:r>
        <w:rPr>
          <w:rFonts w:ascii="Barlow Semi Condensed" w:cs="Barlow Semi Condensed" w:eastAsia="Barlow Semi Condensed" w:hAnsi="Barlow Semi Condensed"/>
          <w:sz w:val="24"/>
          <w:szCs w:val="24"/>
        </w:rPr>
        <w:t xml:space="preserve">1.897 pagine, 687 riferimenti per 1.042 citazioni su 357 domini, 161 grafici.</w:t>
      </w:r>
    </w:p>
    <w:p>
      <w:pPr>
        <w:spacing w:after="120" w:line="276"/>
        <w:jc w:val="both"/>
      </w:pPr>
      <w:r>
        <w:rPr>
          <w:rFonts w:ascii="Barlow Semi Condensed" w:cs="Barlow Semi Condensed" w:eastAsia="Barlow Semi Condensed" w:hAnsi="Barlow Semi Condensed"/>
          <w:sz w:val="24"/>
          <w:szCs w:val="24"/>
        </w:rPr>
        <w:t xml:space="preserve">Sono state sostituite con quelle della sesta. Le vecchie restano scritte qui,</w:t>
      </w:r>
    </w:p>
    <w:p>
      <w:pPr>
        <w:spacing w:after="120" w:line="276"/>
        <w:jc w:val="both"/>
      </w:pPr>
      <w:r>
        <w:rPr>
          <w:rFonts w:ascii="Barlow Semi Condensed" w:cs="Barlow Semi Condensed" w:eastAsia="Barlow Semi Condensed" w:hAnsi="Barlow Semi Condensed"/>
          <w:sz w:val="24"/>
          <w:szCs w:val="24"/>
        </w:rPr>
        <w:t xml:space="preserve">perché chi avesse già trasmesso il testo nella redazione anteriore non ha</w:t>
      </w:r>
    </w:p>
    <w:p>
      <w:pPr>
        <w:spacing w:after="120" w:line="276"/>
        <w:jc w:val="both"/>
      </w:pPr>
      <w:r>
        <w:rPr>
          <w:rFonts w:ascii="Barlow Semi Condensed" w:cs="Barlow Semi Condensed" w:eastAsia="Barlow Semi Condensed" w:hAnsi="Barlow Semi Condensed"/>
          <w:sz w:val="24"/>
          <w:szCs w:val="24"/>
        </w:rPr>
        <w:t xml:space="preserve">scritto il falso: ha scritto una cosa vera alla propria data. Il conteggio delle</w:t>
      </w:r>
    </w:p>
    <w:p>
      <w:pPr>
        <w:spacing w:after="120" w:line="276"/>
        <w:jc w:val="both"/>
      </w:pPr>
      <w:r>
        <w:rPr>
          <w:rFonts w:ascii="Barlow Semi Condensed" w:cs="Barlow Semi Condensed" w:eastAsia="Barlow Semi Condensed" w:hAnsi="Barlow Semi Condensed"/>
          <w:sz w:val="24"/>
          <w:szCs w:val="24"/>
        </w:rPr>
        <w:t xml:space="preserve">pagine è dato in tondo perché questo documento è rilegato nel volume che conta,</w:t>
      </w:r>
    </w:p>
    <w:p>
      <w:pPr>
        <w:spacing w:after="120" w:line="276"/>
        <w:jc w:val="both"/>
      </w:pPr>
      <w:r>
        <w:rPr>
          <w:rFonts w:ascii="Barlow Semi Condensed" w:cs="Barlow Semi Condensed" w:eastAsia="Barlow Semi Condensed" w:hAnsi="Barlow Semi Condensed"/>
          <w:sz w:val="24"/>
          <w:szCs w:val="24"/>
        </w:rPr>
        <w:t xml:space="preserve">e la cifra esatta si legge sulla copertina.*</w:t>
      </w:r>
    </w:p>
    <w:p>
      <w:pPr>
        <w:pStyle w:val="Heading3"/>
        <w:spacing w:after="80" w:before="240"/>
      </w:pPr>
      <w:r>
        <w:rPr>
          <w:rFonts w:ascii="Barlow Semi Condensed" w:cs="Barlow Semi Condensed" w:eastAsia="Barlow Semi Condensed" w:hAnsi="Barlow Semi Condensed"/>
          <w:sz w:val="24"/>
          <w:szCs w:val="24"/>
        </w:rPr>
        <w:t xml:space="preserve">Apparato grafico — Appendici · xviii. La PEC unica formale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IV.xviii: 1.654 parole in 7 sezioni; la più ampia è §4 Corpo del messaggio, con 874.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IV.xviii: 41 paragrafi in 7 sezioni, 6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IV. xix. La PEC di presentazione per le case editrici</w:t>
      </w:r>
    </w:p>
    <w:p>
      <w:pPr>
        <w:pStyle w:val="Heading1"/>
        <w:spacing w:after="120" w:before="240"/>
      </w:pPr>
      <w:r>
        <w:rPr>
          <w:rFonts w:ascii="Barlow Semi Condensed" w:cs="Barlow Semi Condensed" w:eastAsia="Barlow Semi Condensed" w:hAnsi="Barlow Semi Condensed"/>
          <w:sz w:val="24"/>
          <w:szCs w:val="24"/>
        </w:rPr>
        <w:t xml:space="preserve">PEC di presentazione dell'opera — testo unico per qualsiasi casa editrice</w:t>
      </w:r>
    </w:p>
    <w:p>
      <w:pPr>
        <w:spacing w:after="120" w:line="276"/>
        <w:jc w:val="both"/>
      </w:pPr>
      <w:r>
        <w:rPr>
          <w:rFonts w:ascii="Barlow Semi Condensed" w:cs="Barlow Semi Condensed" w:eastAsia="Barlow Semi Condensed" w:hAnsi="Barlow Semi Condensed"/>
          <w:sz w:val="24"/>
          <w:szCs w:val="24"/>
        </w:rPr>
        <w:t xml:space="preserve">*Redatta il 27 agosto 2026 sulle cifre della sesta edizione. Prodotta con sistemi</w:t>
      </w:r>
    </w:p>
    <w:p>
      <w:pPr>
        <w:spacing w:after="120" w:line="276"/>
        <w:jc w:val="both"/>
      </w:pPr>
      <w:r>
        <w:rPr>
          <w:rFonts w:ascii="Barlow Semi Condensed" w:cs="Barlow Semi Condensed" w:eastAsia="Barlow Semi Condensed" w:hAnsi="Barlow Semi Condensed"/>
          <w:sz w:val="24"/>
          <w:szCs w:val="24"/>
        </w:rPr>
        <w:t xml:space="preserve">di intelligenza artificiale sotto direzione e responsabilità umana, come ogni</w:t>
      </w:r>
    </w:p>
    <w:p>
      <w:pPr>
        <w:spacing w:after="120" w:line="276"/>
        <w:jc w:val="both"/>
      </w:pPr>
      <w:r>
        <w:rPr>
          <w:rFonts w:ascii="Barlow Semi Condensed" w:cs="Barlow Semi Condensed" w:eastAsia="Barlow Semi Condensed" w:hAnsi="Barlow Semi Condensed"/>
          <w:sz w:val="24"/>
          <w:szCs w:val="24"/>
        </w:rPr>
        <w:t xml:space="preserve">documento di quest'opera.*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Avvertenza di fatto, da leggere prima di usarla</w:t>
      </w:r>
    </w:p>
    <w:p>
      <w:pPr>
        <w:spacing w:after="120" w:line="276"/>
        <w:jc w:val="both"/>
      </w:pPr>
      <w:r>
        <w:rPr>
          <w:rFonts w:ascii="Barlow Semi Condensed" w:cs="Barlow Semi Condensed" w:eastAsia="Barlow Semi Condensed" w:hAnsi="Barlow Semi Condensed"/>
          <w:b/>
          <w:bCs/>
          <w:sz w:val="24"/>
          <w:szCs w:val="24"/>
        </w:rPr>
        <w:t xml:space="preserve">Nessuna casa editrice riceve proposte per PEC.</w:t>
      </w:r>
      <w:r>
        <w:rPr>
          <w:rFonts w:ascii="Barlow Semi Condensed" w:cs="Barlow Semi Condensed" w:eastAsia="Barlow Semi Condensed" w:hAnsi="Barlow Semi Condensed"/>
          <w:sz w:val="24"/>
          <w:szCs w:val="24"/>
        </w:rPr>
        <w:t xml:space="preserve"> Il registro dei canali lo</w:t>
      </w:r>
    </w:p>
    <w:p>
      <w:pPr>
        <w:spacing w:after="120" w:line="276"/>
        <w:jc w:val="both"/>
      </w:pPr>
      <w:r>
        <w:rPr>
          <w:rFonts w:ascii="Barlow Semi Condensed" w:cs="Barlow Semi Condensed" w:eastAsia="Barlow Semi Condensed" w:hAnsi="Barlow Semi Condensed"/>
          <w:sz w:val="24"/>
          <w:szCs w:val="24"/>
        </w:rPr>
        <w:t xml:space="preserve">accerta una per una: il Mulino, Carocci e Bompiani ricevono per </w:t>
      </w:r>
      <w:r>
        <w:rPr>
          <w:rFonts w:ascii="Barlow Semi Condensed" w:cs="Barlow Semi Condensed" w:eastAsia="Barlow Semi Condensed" w:hAnsi="Barlow Semi Condensed"/>
          <w:b/>
          <w:bCs/>
          <w:sz w:val="24"/>
          <w:szCs w:val="24"/>
        </w:rPr>
        <w:t xml:space="preserve">modulo web</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Chiarelettere ed Einaudi per </w:t>
      </w:r>
      <w:r>
        <w:rPr>
          <w:rFonts w:ascii="Barlow Semi Condensed" w:cs="Barlow Semi Condensed" w:eastAsia="Barlow Semi Condensed" w:hAnsi="Barlow Semi Condensed"/>
          <w:b/>
          <w:bCs/>
          <w:sz w:val="24"/>
          <w:szCs w:val="24"/>
        </w:rPr>
        <w:t xml:space="preserve">email ordinaria</w:t>
      </w:r>
      <w:r>
        <w:rPr>
          <w:rFonts w:ascii="Barlow Semi Condensed" w:cs="Barlow Semi Condensed" w:eastAsia="Barlow Semi Condensed" w:hAnsi="Barlow Semi Condensed"/>
          <w:sz w:val="24"/>
          <w:szCs w:val="24"/>
        </w:rPr>
        <w:t xml:space="preserve">; Laterza per </w:t>
      </w:r>
      <w:r>
        <w:rPr>
          <w:rFonts w:ascii="Barlow Semi Condensed" w:cs="Barlow Semi Condensed" w:eastAsia="Barlow Semi Condensed" w:hAnsi="Barlow Semi Condensed"/>
          <w:b/>
          <w:bCs/>
          <w:sz w:val="24"/>
          <w:szCs w:val="24"/>
        </w:rPr>
        <w:t xml:space="preserve">posta cartacea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è una lacuna del registro: è come funziona l'editoria italiana, e una PEC a</w:t>
      </w:r>
    </w:p>
    <w:p>
      <w:pPr>
        <w:spacing w:after="120" w:line="276"/>
        <w:jc w:val="both"/>
      </w:pPr>
      <w:r>
        <w:rPr>
          <w:rFonts w:ascii="Barlow Semi Condensed" w:cs="Barlow Semi Condensed" w:eastAsia="Barlow Semi Condensed" w:hAnsi="Barlow Semi Condensed"/>
          <w:sz w:val="24"/>
          <w:szCs w:val="24"/>
        </w:rPr>
        <w:t xml:space="preserve">una casa editrice arriva a un ufficio amministrativo, non a un editor.</w:t>
      </w:r>
    </w:p>
    <w:p>
      <w:pPr>
        <w:spacing w:after="120" w:line="276"/>
        <w:jc w:val="both"/>
      </w:pPr>
      <w:r>
        <w:rPr>
          <w:rFonts w:ascii="Barlow Semi Condensed" w:cs="Barlow Semi Condensed" w:eastAsia="Barlow Semi Condensed" w:hAnsi="Barlow Semi Condensed"/>
          <w:sz w:val="24"/>
          <w:szCs w:val="24"/>
        </w:rPr>
        <w:t xml:space="preserve">Questo testo è perciò </w:t>
      </w:r>
      <w:r>
        <w:rPr>
          <w:rFonts w:ascii="Barlow Semi Condensed" w:cs="Barlow Semi Condensed" w:eastAsia="Barlow Semi Condensed" w:hAnsi="Barlow Semi Condensed"/>
          <w:b/>
          <w:bCs/>
          <w:sz w:val="24"/>
          <w:szCs w:val="24"/>
        </w:rPr>
        <w:t xml:space="preserve">unico nel contenuto e mobile nel canale</w:t>
      </w:r>
      <w:r>
        <w:rPr>
          <w:rFonts w:ascii="Barlow Semi Condensed" w:cs="Barlow Semi Condensed" w:eastAsia="Barlow Semi Condensed" w:hAnsi="Barlow Semi Condensed"/>
          <w:sz w:val="24"/>
          <w:szCs w:val="24"/>
        </w:rPr>
        <w:t xml:space="preserve">. Si trasmette</w:t>
      </w:r>
    </w:p>
    <w:p>
      <w:pPr>
        <w:spacing w:after="120" w:line="276"/>
        <w:jc w:val="both"/>
      </w:pPr>
      <w:r>
        <w:rPr>
          <w:rFonts w:ascii="Barlow Semi Condensed" w:cs="Barlow Semi Condensed" w:eastAsia="Barlow Semi Condensed" w:hAnsi="Barlow Semi Condensed"/>
          <w:sz w:val="24"/>
          <w:szCs w:val="24"/>
        </w:rPr>
        <w:t xml:space="preserve">come PEC dove una PEC esiste e si vuole certificare data e ora dell'invio; si</w:t>
      </w:r>
    </w:p>
    <w:p>
      <w:pPr>
        <w:spacing w:after="120" w:line="276"/>
        <w:jc w:val="both"/>
      </w:pPr>
      <w:r>
        <w:rPr>
          <w:rFonts w:ascii="Barlow Semi Condensed" w:cs="Barlow Semi Condensed" w:eastAsia="Barlow Semi Condensed" w:hAnsi="Barlow Semi Condensed"/>
          <w:sz w:val="24"/>
          <w:szCs w:val="24"/>
        </w:rPr>
        <w:t xml:space="preserve">incolla nel corpo di un'email dove l'email è la via; si versa nel modulo dove il</w:t>
      </w:r>
    </w:p>
    <w:p>
      <w:pPr>
        <w:spacing w:after="120" w:line="276"/>
        <w:jc w:val="both"/>
      </w:pPr>
      <w:r>
        <w:rPr>
          <w:rFonts w:ascii="Barlow Semi Condensed" w:cs="Barlow Semi Condensed" w:eastAsia="Barlow Semi Condensed" w:hAnsi="Barlow Semi Condensed"/>
          <w:sz w:val="24"/>
          <w:szCs w:val="24"/>
        </w:rPr>
        <w:t xml:space="preserve">modulo è obbligatorio; si stampa su carta dove non c'è altro. **Il contenuto non</w:t>
      </w:r>
    </w:p>
    <w:p>
      <w:pPr>
        <w:spacing w:after="120" w:line="276"/>
        <w:jc w:val="both"/>
      </w:pPr>
      <w:r>
        <w:rPr>
          <w:rFonts w:ascii="Barlow Semi Condensed" w:cs="Barlow Semi Condensed" w:eastAsia="Barlow Semi Condensed" w:hAnsi="Barlow Semi Condensed"/>
          <w:sz w:val="24"/>
          <w:szCs w:val="24"/>
        </w:rPr>
        <w:t xml:space="preserve">cambia**, e non deve cambiare: è ciò che rende confrontabili le risposte.</w:t>
      </w:r>
    </w:p>
    <w:p>
      <w:pPr>
        <w:spacing w:after="120" w:line="276"/>
        <w:jc w:val="both"/>
      </w:pPr>
      <w:r>
        <w:rPr>
          <w:rFonts w:ascii="Barlow Semi Condensed" w:cs="Barlow Semi Condensed" w:eastAsia="Barlow Semi Condensed" w:hAnsi="Barlow Semi Condensed"/>
          <w:sz w:val="24"/>
          <w:szCs w:val="24"/>
        </w:rPr>
        <w:t xml:space="preserve">**Non va inviato a più case editrici nella stessa trasmissione, né lo stesso</w:t>
      </w:r>
    </w:p>
    <w:p>
      <w:pPr>
        <w:spacing w:after="120" w:line="276"/>
        <w:jc w:val="both"/>
      </w:pPr>
      <w:r>
        <w:rPr>
          <w:rFonts w:ascii="Barlow Semi Condensed" w:cs="Barlow Semi Condensed" w:eastAsia="Barlow Semi Condensed" w:hAnsi="Barlow Semi Condensed"/>
          <w:sz w:val="24"/>
          <w:szCs w:val="24"/>
        </w:rPr>
        <w:t xml:space="preserve">giorno.** Mostrare a un editore che la medesima proposta è partita</w:t>
      </w:r>
    </w:p>
    <w:p>
      <w:pPr>
        <w:spacing w:after="120" w:line="276"/>
        <w:jc w:val="both"/>
      </w:pPr>
      <w:r>
        <w:rPr>
          <w:rFonts w:ascii="Barlow Semi Condensed" w:cs="Barlow Semi Condensed" w:eastAsia="Barlow Semi Condensed" w:hAnsi="Barlow Semi Condensed"/>
          <w:sz w:val="24"/>
          <w:szCs w:val="24"/>
        </w:rPr>
        <w:t xml:space="preserve">simultaneamente per altri otto è il modo più rapido di farsi archiviare da tutti.</w:t>
      </w:r>
    </w:p>
    <w:p>
      <w:pPr>
        <w:spacing w:after="120" w:line="276"/>
        <w:jc w:val="both"/>
      </w:pPr>
      <w:r>
        <w:rPr>
          <w:rFonts w:ascii="Barlow Semi Condensed" w:cs="Barlow Semi Condensed" w:eastAsia="Barlow Semi Condensed" w:hAnsi="Barlow Semi Condensed"/>
          <w:sz w:val="24"/>
          <w:szCs w:val="24"/>
        </w:rPr>
        <w:t xml:space="preserve">La checklist di invio organizza apposta le ondate.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Campi da compilare prima dell'invio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Mittente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[nome e cognome]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Indirizzo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[via, CAP, città]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Recapiti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[email, PEC se posseduta, telefono]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Casa editrice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[denominazione per esteso]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Recapito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[PEC, email, modulo o indirizzo postale]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Luogo e data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[luogo], [data]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DOI del deposito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[da inserire a deposito Zenodo avvenuto — </w:t>
            </w:r>
            <w:r>
              <w:rPr>
                <w:rFonts w:ascii="Barlow Semi Condensed" w:cs="Barlow Semi Condensed" w:eastAsia="Barlow Semi Condensed" w:hAnsi="Barlow Semi Condensed"/>
                <w:b/>
                <w:bCs/>
                <w:sz w:val="20"/>
                <w:szCs w:val="20"/>
              </w:rPr>
              <w:t xml:space="preserve">senza, non spedire</w:t>
            </w:r>
            <w:r>
              <w:rPr>
                <w:rFonts w:ascii="Barlow Semi Condensed" w:cs="Barlow Semi Condensed" w:eastAsia="Barlow Semi Condensed" w:hAnsi="Barlow Semi Condensed"/>
                <w:sz w:val="20"/>
                <w:szCs w:val="20"/>
              </w:rPr>
              <w:t xml:space="preserv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Proposta editoriale — «Aldo Moro. Ottanta anni di Pace»: corpus documentale prodotto con sistemi di intelligenza artificiale sotto direzione umana, con apparato di verifica, deposito pubblico e impronta crittografica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Alla cortese attenzione della Redazione di [denominazione]</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sottopongo alla vostra valutazione un progetto editoriale che nasce da un corpus</w:t>
      </w:r>
    </w:p>
    <w:p>
      <w:pPr>
        <w:spacing w:after="120" w:line="276"/>
        <w:jc w:val="both"/>
      </w:pPr>
      <w:r>
        <w:rPr>
          <w:rFonts w:ascii="Barlow Semi Condensed" w:cs="Barlow Semi Condensed" w:eastAsia="Barlow Semi Condensed" w:hAnsi="Barlow Semi Condensed"/>
          <w:sz w:val="24"/>
          <w:szCs w:val="24"/>
        </w:rPr>
        <w:t xml:space="preserve">di ricerca storica sul caso Moro e sul suo contesto internazionale, depositato</w:t>
      </w:r>
    </w:p>
    <w:p>
      <w:pPr>
        <w:spacing w:after="120" w:line="276"/>
        <w:jc w:val="both"/>
      </w:pPr>
      <w:r>
        <w:rPr>
          <w:rFonts w:ascii="Barlow Semi Condensed" w:cs="Barlow Semi Condensed" w:eastAsia="Barlow Semi Condensed" w:hAnsi="Barlow Semi Condensed"/>
          <w:sz w:val="24"/>
          <w:szCs w:val="24"/>
        </w:rPr>
        <w:t xml:space="preserve">pubblicamente e citabile all'indirizzo [DOI].</w:t>
      </w:r>
    </w:p>
    <w:p>
      <w:pPr>
        <w:spacing w:after="120" w:line="276"/>
        <w:jc w:val="both"/>
      </w:pPr>
      <w:r>
        <w:rPr>
          <w:rFonts w:ascii="Barlow Semi Condensed" w:cs="Barlow Semi Condensed" w:eastAsia="Barlow Semi Condensed" w:hAnsi="Barlow Semi Condensed"/>
          <w:sz w:val="24"/>
          <w:szCs w:val="24"/>
        </w:rPr>
        <w:t xml:space="preserve">**Comincio da ciò che dovete sapere per primo, perché condiziona ogni vostra</w:t>
      </w:r>
    </w:p>
    <w:p>
      <w:pPr>
        <w:spacing w:after="120" w:line="276"/>
        <w:jc w:val="both"/>
      </w:pPr>
      <w:r>
        <w:rPr>
          <w:rFonts w:ascii="Barlow Semi Condensed" w:cs="Barlow Semi Condensed" w:eastAsia="Barlow Semi Condensed" w:hAnsi="Barlow Semi Condensed"/>
          <w:sz w:val="24"/>
          <w:szCs w:val="24"/>
        </w:rPr>
        <w:t xml:space="preserve">valutazione successiva.</w:t>
      </w:r>
      <w:r>
        <w:rPr>
          <w:rFonts w:ascii="Barlow Semi Condensed" w:cs="Barlow Semi Condensed" w:eastAsia="Barlow Semi Condensed" w:hAnsi="Barlow Semi Condensed"/>
          <w:b/>
          <w:bCs/>
          <w:sz w:val="24"/>
          <w:szCs w:val="24"/>
        </w:rPr>
        <w:t xml:space="preserve"> Il corpus è stato prodotto fra il 2025 e il 2026 </w:t>
      </w:r>
      <w:r>
        <w:rPr>
          <w:rFonts w:ascii="Barlow Semi Condensed" w:cs="Barlow Semi Condensed" w:eastAsia="Barlow Semi Condensed" w:hAnsi="Barlow Semi Condensed"/>
          <w:sz w:val="24"/>
          <w:szCs w:val="24"/>
        </w:rPr>
        <w:t xml:space="preserve">con</w:t>
      </w:r>
    </w:p>
    <w:p>
      <w:pPr>
        <w:spacing w:after="120" w:line="276"/>
        <w:jc w:val="both"/>
      </w:pPr>
      <w:r>
        <w:rPr>
          <w:rFonts w:ascii="Barlow Semi Condensed" w:cs="Barlow Semi Condensed" w:eastAsia="Barlow Semi Condensed" w:hAnsi="Barlow Semi Condensed"/>
          <w:sz w:val="24"/>
          <w:szCs w:val="24"/>
        </w:rPr>
        <w:t xml:space="preserve">sistemi di intelligenza artificiale, sotto la mia direzione e la mia</w:t>
      </w:r>
    </w:p>
    <w:p>
      <w:pPr>
        <w:spacing w:after="120" w:line="276"/>
        <w:jc w:val="both"/>
      </w:pPr>
      <w:r>
        <w:rPr>
          <w:rFonts w:ascii="Barlow Semi Condensed" w:cs="Barlow Semi Condensed" w:eastAsia="Barlow Semi Condensed" w:hAnsi="Barlow Semi Condensed"/>
          <w:sz w:val="24"/>
          <w:szCs w:val="24"/>
        </w:rPr>
        <w:t xml:space="preserve">responsabilità**, e sotto una disciplina metodologica scritta prima del lavoro e</w:t>
      </w:r>
    </w:p>
    <w:p>
      <w:pPr>
        <w:spacing w:after="120" w:line="276"/>
        <w:jc w:val="both"/>
      </w:pPr>
      <w:r>
        <w:rPr>
          <w:rFonts w:ascii="Barlow Semi Condensed" w:cs="Barlow Semi Condensed" w:eastAsia="Barlow Semi Condensed" w:hAnsi="Barlow Semi Condensed"/>
          <w:sz w:val="24"/>
          <w:szCs w:val="24"/>
        </w:rPr>
        <w:t xml:space="preserve">resa vincolante. Questa dichiarazione apre ogni documento dell'opera e non ne</w:t>
      </w:r>
    </w:p>
    <w:p>
      <w:pPr>
        <w:spacing w:after="120" w:line="276"/>
        <w:jc w:val="both"/>
      </w:pPr>
      <w:r>
        <w:rPr>
          <w:rFonts w:ascii="Barlow Semi Condensed" w:cs="Barlow Semi Condensed" w:eastAsia="Barlow Semi Condensed" w:hAnsi="Barlow Semi Condensed"/>
          <w:sz w:val="24"/>
          <w:szCs w:val="24"/>
        </w:rPr>
        <w:t xml:space="preserve">chiude nessuno: non è una nota in calce, è la prima riga. Se la vostra casa non</w:t>
      </w:r>
    </w:p>
    <w:p>
      <w:pPr>
        <w:spacing w:after="120" w:line="276"/>
        <w:jc w:val="both"/>
      </w:pPr>
      <w:r>
        <w:rPr>
          <w:rFonts w:ascii="Barlow Semi Condensed" w:cs="Barlow Semi Condensed" w:eastAsia="Barlow Semi Condensed" w:hAnsi="Barlow Semi Condensed"/>
          <w:sz w:val="24"/>
          <w:szCs w:val="24"/>
        </w:rPr>
        <w:t xml:space="preserve">pubblica opere prodotte in questo modo, la risposta è no e vi ho fatto risparmiare</w:t>
      </w:r>
    </w:p>
    <w:p>
      <w:pPr>
        <w:spacing w:after="120" w:line="276"/>
        <w:jc w:val="both"/>
      </w:pPr>
      <w:r>
        <w:rPr>
          <w:rFonts w:ascii="Barlow Semi Condensed" w:cs="Barlow Semi Condensed" w:eastAsia="Barlow Semi Condensed" w:hAnsi="Barlow Semi Condensed"/>
          <w:sz w:val="24"/>
          <w:szCs w:val="24"/>
        </w:rPr>
        <w:t xml:space="preserve">un'istruttoria; se invece la questione vi interessa, è essa stessa parte di ciò</w:t>
      </w:r>
    </w:p>
    <w:p>
      <w:pPr>
        <w:spacing w:after="120" w:line="276"/>
        <w:jc w:val="both"/>
      </w:pPr>
      <w:r>
        <w:rPr>
          <w:rFonts w:ascii="Barlow Semi Condensed" w:cs="Barlow Semi Condensed" w:eastAsia="Barlow Semi Condensed" w:hAnsi="Barlow Semi Condensed"/>
          <w:sz w:val="24"/>
          <w:szCs w:val="24"/>
        </w:rPr>
        <w:t xml:space="preserve">che propongo.</w:t>
      </w:r>
    </w:p>
    <w:p>
      <w:pPr>
        <w:pStyle w:val="Heading3"/>
        <w:spacing w:after="80" w:before="160"/>
      </w:pPr>
      <w:r>
        <w:rPr>
          <w:rFonts w:ascii="Barlow Semi Condensed" w:cs="Barlow Semi Condensed" w:eastAsia="Barlow Semi Condensed" w:hAnsi="Barlow Semi Condensed"/>
          <w:sz w:val="24"/>
          <w:szCs w:val="24"/>
        </w:rPr>
        <w:t xml:space="preserve">Che cosa è il corpus, e che cosa non è</w:t>
      </w:r>
    </w:p>
    <w:p>
      <w:pPr>
        <w:spacing w:after="120" w:line="276"/>
        <w:jc w:val="both"/>
      </w:pPr>
      <w:r>
        <w:rPr>
          <w:rFonts w:ascii="Barlow Semi Condensed" w:cs="Barlow Semi Condensed" w:eastAsia="Barlow Semi Condensed" w:hAnsi="Barlow Semi Condensed"/>
          <w:sz w:val="24"/>
          <w:szCs w:val="24"/>
        </w:rPr>
        <w:t xml:space="preserve">Non è una ricostruzione dei fatti del 1978 e non propone una tesi sul sequestro.</w:t>
      </w:r>
    </w:p>
    <w:p>
      <w:pPr>
        <w:spacing w:after="120" w:line="276"/>
        <w:jc w:val="both"/>
      </w:pPr>
      <w:r>
        <w:rPr>
          <w:rFonts w:ascii="Barlow Semi Condensed" w:cs="Barlow Semi Condensed" w:eastAsia="Barlow Semi Condensed" w:hAnsi="Barlow Semi Condensed"/>
          <w:b/>
          <w:bCs/>
          <w:sz w:val="24"/>
          <w:szCs w:val="24"/>
        </w:rPr>
        <w:t xml:space="preserve">Non indica responsabili</w:t>
      </w:r>
      <w:r>
        <w:rPr>
          <w:rFonts w:ascii="Barlow Semi Condensed" w:cs="Barlow Semi Condensed" w:eastAsia="Barlow Semi Condensed" w:hAnsi="Barlow Semi Condensed"/>
          <w:sz w:val="24"/>
          <w:szCs w:val="24"/>
        </w:rPr>
        <w:t xml:space="preserve">: nessuna persona vi è indicata come responsabile di un</w:t>
      </w:r>
    </w:p>
    <w:p>
      <w:pPr>
        <w:spacing w:after="120" w:line="276"/>
        <w:jc w:val="both"/>
      </w:pPr>
      <w:r>
        <w:rPr>
          <w:rFonts w:ascii="Barlow Semi Condensed" w:cs="Barlow Semi Condensed" w:eastAsia="Barlow Semi Condensed" w:hAnsi="Barlow Semi Condensed"/>
          <w:sz w:val="24"/>
          <w:szCs w:val="24"/>
        </w:rPr>
        <w:t xml:space="preserve">reato al di fuori di un giudicato definitivo, e la regola che governa l'intero</w:t>
      </w:r>
    </w:p>
    <w:p>
      <w:pPr>
        <w:spacing w:after="120" w:line="276"/>
        <w:jc w:val="both"/>
      </w:pPr>
      <w:r>
        <w:rPr>
          <w:rFonts w:ascii="Barlow Semi Condensed" w:cs="Barlow Semi Condensed" w:eastAsia="Barlow Semi Condensed" w:hAnsi="Barlow Semi Condensed"/>
          <w:sz w:val="24"/>
          <w:szCs w:val="24"/>
        </w:rPr>
        <w:t xml:space="preserve">lavoro è che </w:t>
      </w:r>
      <w:r>
        <w:rPr>
          <w:rFonts w:ascii="Barlow Semi Condensed" w:cs="Barlow Semi Condensed" w:eastAsia="Barlow Semi Condensed" w:hAnsi="Barlow Semi Condensed"/>
          <w:b/>
          <w:bCs/>
          <w:sz w:val="24"/>
          <w:szCs w:val="24"/>
        </w:rPr>
        <w:t xml:space="preserve">l'appartenenza a un'organizzazione non è prova di condotta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Ciò che produce sono </w:t>
      </w:r>
      <w:r>
        <w:rPr>
          <w:rFonts w:ascii="Barlow Semi Condensed" w:cs="Barlow Semi Condensed" w:eastAsia="Barlow Semi Condensed" w:hAnsi="Barlow Semi Condensed"/>
          <w:b/>
          <w:bCs/>
          <w:sz w:val="24"/>
          <w:szCs w:val="24"/>
        </w:rPr>
        <w:t xml:space="preserve">bersagli di ricerca</w:t>
      </w:r>
      <w:r>
        <w:rPr>
          <w:rFonts w:ascii="Barlow Semi Condensed" w:cs="Barlow Semi Condensed" w:eastAsia="Barlow Semi Condensed" w:hAnsi="Barlow Semi Condensed"/>
          <w:sz w:val="24"/>
          <w:szCs w:val="24"/>
        </w:rPr>
        <w:t xml:space="preserve">: domande formulate in modo che un</w:t>
      </w:r>
    </w:p>
    <w:p>
      <w:pPr>
        <w:spacing w:after="120" w:line="276"/>
        <w:jc w:val="both"/>
      </w:pPr>
      <w:r>
        <w:rPr>
          <w:rFonts w:ascii="Barlow Semi Condensed" w:cs="Barlow Semi Condensed" w:eastAsia="Barlow Semi Condensed" w:hAnsi="Barlow Semi Condensed"/>
          <w:sz w:val="24"/>
          <w:szCs w:val="24"/>
        </w:rPr>
        <w:t xml:space="preserve">terzo possa andare in archivio a rispondervi, ciascuna col grado di ciò che già si</w:t>
      </w:r>
    </w:p>
    <w:p>
      <w:pPr>
        <w:spacing w:after="120" w:line="276"/>
        <w:jc w:val="both"/>
      </w:pPr>
      <w:r>
        <w:rPr>
          <w:rFonts w:ascii="Barlow Semi Condensed" w:cs="Barlow Semi Condensed" w:eastAsia="Barlow Semi Condensed" w:hAnsi="Barlow Semi Condensed"/>
          <w:sz w:val="24"/>
          <w:szCs w:val="24"/>
        </w:rPr>
        <w:t xml:space="preserve">sa e con la sede in cui si cercherebbe. Ogni proposizione porta un grado</w:t>
      </w:r>
    </w:p>
    <w:p>
      <w:pPr>
        <w:spacing w:after="120" w:line="276"/>
        <w:jc w:val="both"/>
      </w:pPr>
      <w:r>
        <w:rPr>
          <w:rFonts w:ascii="Barlow Semi Condensed" w:cs="Barlow Semi Condensed" w:eastAsia="Barlow Semi Condensed" w:hAnsi="Barlow Semi Condensed"/>
          <w:sz w:val="24"/>
          <w:szCs w:val="24"/>
        </w:rPr>
        <w:t xml:space="preserve">dichiarato — </w:t>
      </w:r>
      <w:r>
        <w:rPr>
          <w:rFonts w:ascii="Barlow Semi Condensed" w:cs="Barlow Semi Condensed" w:eastAsia="Barlow Semi Condensed" w:hAnsi="Barlow Semi Condensed"/>
          <w:b/>
          <w:bCs/>
          <w:sz w:val="24"/>
          <w:szCs w:val="24"/>
        </w:rPr>
        <w:t xml:space="preserve">A</w:t>
      </w:r>
      <w:r>
        <w:rPr>
          <w:rFonts w:ascii="Barlow Semi Condensed" w:cs="Barlow Semi Condensed" w:eastAsia="Barlow Semi Condensed" w:hAnsi="Barlow Semi Condensed"/>
          <w:sz w:val="24"/>
          <w:szCs w:val="24"/>
        </w:rPr>
        <w:t xml:space="preserve"> giudicato,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accertamento,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congettura,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fatto</w:t>
      </w:r>
    </w:p>
    <w:p>
      <w:pPr>
        <w:spacing w:after="120" w:line="276"/>
        <w:jc w:val="both"/>
      </w:pPr>
      <w:r>
        <w:rPr>
          <w:rFonts w:ascii="Barlow Semi Condensed" w:cs="Barlow Semi Condensed" w:eastAsia="Barlow Semi Condensed" w:hAnsi="Barlow Semi Condensed"/>
          <w:sz w:val="24"/>
          <w:szCs w:val="24"/>
        </w:rPr>
        <w:t xml:space="preserve">pubblico — e le ricerche condotte senza esito sono registrate come </w:t>
      </w:r>
      <w:r>
        <w:rPr>
          <w:rFonts w:ascii="Barlow Semi Condensed" w:cs="Barlow Semi Condensed" w:eastAsia="Barlow Semi Condensed" w:hAnsi="Barlow Semi Condensed"/>
          <w:b/>
          <w:bCs/>
          <w:sz w:val="24"/>
          <w:szCs w:val="24"/>
        </w:rPr>
        <w:t xml:space="preserve">Stati Zero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validi soltanto se la sede consultata è nominata. Le correzioni sono **annotate</w:t>
      </w:r>
    </w:p>
    <w:p>
      <w:pPr>
        <w:spacing w:after="120" w:line="276"/>
        <w:jc w:val="both"/>
      </w:pPr>
      <w:r>
        <w:rPr>
          <w:rFonts w:ascii="Barlow Semi Condensed" w:cs="Barlow Semi Condensed" w:eastAsia="Barlow Semi Condensed" w:hAnsi="Barlow Semi Condensed"/>
          <w:sz w:val="24"/>
          <w:szCs w:val="24"/>
        </w:rPr>
        <w:t xml:space="preserve">accanto all'errore** e mai applicate in silenzio; le divergenze fra fonti sono</w:t>
      </w:r>
    </w:p>
    <w:p>
      <w:pPr>
        <w:spacing w:after="120" w:line="276"/>
        <w:jc w:val="both"/>
      </w:pPr>
      <w:r>
        <w:rPr>
          <w:rFonts w:ascii="Barlow Semi Condensed" w:cs="Barlow Semi Condensed" w:eastAsia="Barlow Semi Condensed" w:hAnsi="Barlow Semi Condensed"/>
          <w:sz w:val="24"/>
          <w:szCs w:val="24"/>
        </w:rPr>
        <w:t xml:space="preserve">riportate e non risolte d'autorità.</w:t>
      </w:r>
    </w:p>
    <w:p>
      <w:pPr>
        <w:spacing w:after="120" w:line="276"/>
        <w:jc w:val="both"/>
      </w:pPr>
      <w:r>
        <w:rPr>
          <w:rFonts w:ascii="Barlow Semi Condensed" w:cs="Barlow Semi Condensed" w:eastAsia="Barlow Semi Condensed" w:hAnsi="Barlow Semi Condensed"/>
          <w:sz w:val="24"/>
          <w:szCs w:val="24"/>
        </w:rPr>
        <w:t xml:space="preserve">Un solo esempio di che cosa questo comporti, perché vale più di ogni</w:t>
      </w:r>
    </w:p>
    <w:p>
      <w:pPr>
        <w:spacing w:after="120" w:line="276"/>
        <w:jc w:val="both"/>
      </w:pPr>
      <w:r>
        <w:rPr>
          <w:rFonts w:ascii="Barlow Semi Condensed" w:cs="Barlow Semi Condensed" w:eastAsia="Barlow Semi Condensed" w:hAnsi="Barlow Semi Condensed"/>
          <w:sz w:val="24"/>
          <w:szCs w:val="24"/>
        </w:rPr>
        <w:t xml:space="preserve">dichiarazione di metodo. Il 27 agosto 2026 la verifica di un elenco esterno di</w:t>
      </w:r>
    </w:p>
    <w:p>
      <w:pPr>
        <w:spacing w:after="120" w:line="276"/>
        <w:jc w:val="both"/>
      </w:pPr>
      <w:r>
        <w:rPr>
          <w:rFonts w:ascii="Barlow Semi Condensed" w:cs="Barlow Semi Condensed" w:eastAsia="Barlow Semi Condensed" w:hAnsi="Barlow Semi Condensed"/>
          <w:sz w:val="24"/>
          <w:szCs w:val="24"/>
        </w:rPr>
        <w:t xml:space="preserve">trentatré nomi ha portato a </w:t>
      </w:r>
      <w:r>
        <w:rPr>
          <w:rFonts w:ascii="Barlow Semi Condensed" w:cs="Barlow Semi Condensed" w:eastAsia="Barlow Semi Condensed" w:hAnsi="Barlow Semi Condensed"/>
          <w:b/>
          <w:bCs/>
          <w:sz w:val="24"/>
          <w:szCs w:val="24"/>
        </w:rPr>
        <w:t xml:space="preserve">ritirare tre affermazioni mie</w:t>
      </w:r>
      <w:r>
        <w:rPr>
          <w:rFonts w:ascii="Barlow Semi Condensed" w:cs="Barlow Semi Condensed" w:eastAsia="Barlow Semi Condensed" w:hAnsi="Barlow Semi Condensed"/>
          <w:sz w:val="24"/>
          <w:szCs w:val="24"/>
        </w:rPr>
        <w:t xml:space="preserve">: una cifra di</w:t>
      </w:r>
    </w:p>
    <w:p>
      <w:pPr>
        <w:spacing w:after="120" w:line="276"/>
        <w:jc w:val="both"/>
      </w:pPr>
      <w:r>
        <w:rPr>
          <w:rFonts w:ascii="Barlow Semi Condensed" w:cs="Barlow Semi Condensed" w:eastAsia="Barlow Semi Condensed" w:hAnsi="Barlow Semi Condensed"/>
          <w:sz w:val="24"/>
          <w:szCs w:val="24"/>
        </w:rPr>
        <w:t xml:space="preserve">probabilità che dipendeva da un parametro non dichiarato, una regolarità dedotta</w:t>
      </w:r>
    </w:p>
    <w:p>
      <w:pPr>
        <w:spacing w:after="120" w:line="276"/>
        <w:jc w:val="both"/>
      </w:pPr>
      <w:r>
        <w:rPr>
          <w:rFonts w:ascii="Barlow Semi Condensed" w:cs="Barlow Semi Condensed" w:eastAsia="Barlow Semi Condensed" w:hAnsi="Barlow Semi Condensed"/>
          <w:sz w:val="24"/>
          <w:szCs w:val="24"/>
        </w:rPr>
        <w:t xml:space="preserve">da due soli punti, e un indizio che a un esame più attento era il primo indizio</w:t>
      </w:r>
    </w:p>
    <w:p>
      <w:pPr>
        <w:spacing w:after="120" w:line="276"/>
        <w:jc w:val="both"/>
      </w:pPr>
      <w:r>
        <w:rPr>
          <w:rFonts w:ascii="Barlow Semi Condensed" w:cs="Barlow Semi Condensed" w:eastAsia="Barlow Semi Condensed" w:hAnsi="Barlow Semi Condensed"/>
          <w:sz w:val="24"/>
          <w:szCs w:val="24"/>
        </w:rPr>
        <w:t xml:space="preserve">riformulato. Le tre ritrattazioni sono scritte nell'opera, accanto a ciò che</w:t>
      </w:r>
    </w:p>
    <w:p>
      <w:pPr>
        <w:spacing w:after="120" w:line="276"/>
        <w:jc w:val="both"/>
      </w:pPr>
      <w:r>
        <w:rPr>
          <w:rFonts w:ascii="Barlow Semi Condensed" w:cs="Barlow Semi Condensed" w:eastAsia="Barlow Semi Condensed" w:hAnsi="Barlow Semi Condensed"/>
          <w:sz w:val="24"/>
          <w:szCs w:val="24"/>
        </w:rPr>
        <w:t xml:space="preserve">correggono. Un apparato che non ritratta mai non è un apparato: è una tesi.</w:t>
      </w:r>
    </w:p>
    <w:p>
      <w:pPr>
        <w:pStyle w:val="Heading3"/>
        <w:spacing w:after="80" w:before="160"/>
      </w:pPr>
      <w:r>
        <w:rPr>
          <w:rFonts w:ascii="Barlow Semi Condensed" w:cs="Barlow Semi Condensed" w:eastAsia="Barlow Semi Condensed" w:hAnsi="Barlow Semi Condensed"/>
          <w:sz w:val="24"/>
          <w:szCs w:val="24"/>
        </w:rPr>
        <w:t xml:space="preserve">I numeri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Opera integrale rilegata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oltre </w:t>
            </w:r>
            <w:r>
              <w:rPr>
                <w:rFonts w:ascii="Barlow Semi Condensed" w:cs="Barlow Semi Condensed" w:eastAsia="Barlow Semi Condensed" w:hAnsi="Barlow Semi Condensed"/>
                <w:b/>
                <w:bCs/>
                <w:sz w:val="20"/>
                <w:szCs w:val="20"/>
              </w:rPr>
              <w:t xml:space="preserve">2.400 pagine</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tredici Libri</w:t>
            </w:r>
            <w:r>
              <w:rPr>
                <w:rFonts w:ascii="Barlow Semi Condensed" w:cs="Barlow Semi Condensed" w:eastAsia="Barlow Semi Condensed" w:hAnsi="Barlow Semi Condensed"/>
                <w:sz w:val="20"/>
                <w:szCs w:val="20"/>
              </w:rPr>
              <w:t xml:space="preserve"> e cinque Appendici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Documenti che la compongono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101</w:t>
            </w:r>
            <w:r>
              <w:rPr>
                <w:rFonts w:ascii="Barlow Semi Condensed" w:cs="Barlow Semi Condensed" w:eastAsia="Barlow Semi Condensed" w:hAnsi="Barlow Semi Condensed"/>
                <w:sz w:val="20"/>
                <w:szCs w:val="20"/>
              </w:rPr>
              <w:t xml:space="preserve"> rilegati sui </w:t>
            </w:r>
            <w:r>
              <w:rPr>
                <w:rFonts w:ascii="Barlow Semi Condensed" w:cs="Barlow Semi Condensed" w:eastAsia="Barlow Semi Condensed" w:hAnsi="Barlow Semi Condensed"/>
                <w:b/>
                <w:bCs/>
                <w:sz w:val="20"/>
                <w:szCs w:val="20"/>
              </w:rPr>
              <w:t xml:space="preserve">104</w:t>
            </w:r>
            <w:r>
              <w:rPr>
                <w:rFonts w:ascii="Barlow Semi Condensed" w:cs="Barlow Semi Condensed" w:eastAsia="Barlow Semi Condensed" w:hAnsi="Barlow Semi Condensed"/>
                <w:sz w:val="20"/>
                <w:szCs w:val="20"/>
              </w:rPr>
              <w:t xml:space="preserve"> del perimetro; i tre esclusi sono nominati in copertina con la ragione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Blocchi mirati di ricerca</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7.699</w:t>
            </w:r>
            <w:r>
              <w:rPr>
                <w:rFonts w:ascii="Barlow Semi Condensed" w:cs="Barlow Semi Condensed" w:eastAsia="Barlow Semi Condensed" w:hAnsi="Barlow Semi Condensed"/>
                <w:sz w:val="20"/>
                <w:szCs w:val="20"/>
              </w:rPr>
              <w:t xml:space="preserve"> in cinque opere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Riferimenti bibliografici</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736</w:t>
            </w:r>
            <w:r>
              <w:rPr>
                <w:rFonts w:ascii="Barlow Semi Condensed" w:cs="Barlow Semi Condensed" w:eastAsia="Barlow Semi Condensed" w:hAnsi="Barlow Semi Condensed"/>
                <w:sz w:val="20"/>
                <w:szCs w:val="20"/>
              </w:rPr>
              <w:t xml:space="preserve"> indirizzi distinti, </w:t>
            </w:r>
            <w:r>
              <w:rPr>
                <w:rFonts w:ascii="Barlow Semi Condensed" w:cs="Barlow Semi Condensed" w:eastAsia="Barlow Semi Condensed" w:hAnsi="Barlow Semi Condensed"/>
                <w:b/>
                <w:bCs/>
                <w:sz w:val="20"/>
                <w:szCs w:val="20"/>
              </w:rPr>
              <w:t xml:space="preserve">1.332</w:t>
            </w:r>
            <w:r>
              <w:rPr>
                <w:rFonts w:ascii="Barlow Semi Condensed" w:cs="Barlow Semi Condensed" w:eastAsia="Barlow Semi Condensed" w:hAnsi="Barlow Semi Condensed"/>
                <w:sz w:val="20"/>
                <w:szCs w:val="20"/>
              </w:rPr>
              <w:t xml:space="preserve"> citazioni, </w:t>
            </w:r>
            <w:r>
              <w:rPr>
                <w:rFonts w:ascii="Barlow Semi Condensed" w:cs="Barlow Semi Condensed" w:eastAsia="Barlow Semi Condensed" w:hAnsi="Barlow Semi Condensed"/>
                <w:b/>
                <w:bCs/>
                <w:sz w:val="20"/>
                <w:szCs w:val="20"/>
              </w:rPr>
              <w:t xml:space="preserve">390</w:t>
            </w:r>
            <w:r>
              <w:rPr>
                <w:rFonts w:ascii="Barlow Semi Condensed" w:cs="Barlow Semi Condensed" w:eastAsia="Barlow Semi Condensed" w:hAnsi="Barlow Semi Condensed"/>
                <w:sz w:val="20"/>
                <w:szCs w:val="20"/>
              </w:rPr>
              <w:t xml:space="preserve"> domini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Apparato grafico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235</w:t>
            </w:r>
            <w:r>
              <w:rPr>
                <w:rFonts w:ascii="Barlow Semi Condensed" w:cs="Barlow Semi Condensed" w:eastAsia="Barlow Semi Condensed" w:hAnsi="Barlow Semi Condensed"/>
                <w:sz w:val="20"/>
                <w:szCs w:val="20"/>
              </w:rPr>
              <w:t xml:space="preserve"> grafici su 102 capitoli, mai meno di due per capitolo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Verificabilità</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impronta SHA-256 per ogni file, con manifesto e istruzioni di controllo</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Il libro proposto</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prima stesura completa</w:t>
            </w:r>
            <w:r>
              <w:rPr>
                <w:rFonts w:ascii="Barlow Semi Condensed" w:cs="Barlow Semi Condensed" w:eastAsia="Barlow Semi Condensed" w:hAnsi="Barlow Semi Condensed"/>
                <w:sz w:val="20"/>
                <w:szCs w:val="20"/>
              </w:rPr>
              <w:t xml:space="preserve">, sette parti più il registro di chiusura, quarantaquattro pagine, circa 19.500 parole</w:t>
            </w:r>
          </w:p>
        </w:tc>
      </w:tr>
    </w:tbl>
    <w:p>
      <w:pPr>
        <w:spacing w:after="80"/>
      </w:pPr>
    </w:p>
    <w:p>
      <w:pPr>
        <w:pStyle w:val="Heading3"/>
        <w:spacing w:after="80" w:before="160"/>
      </w:pPr>
      <w:r>
        <w:rPr>
          <w:rFonts w:ascii="Barlow Semi Condensed" w:cs="Barlow Semi Condensed" w:eastAsia="Barlow Semi Condensed" w:hAnsi="Barlow Semi Condensed"/>
          <w:sz w:val="24"/>
          <w:szCs w:val="24"/>
        </w:rPr>
        <w:t xml:space="preserve">Un'eccezione che dichiaro io, prima che la troviate voi</w:t>
      </w:r>
    </w:p>
    <w:p>
      <w:pPr>
        <w:spacing w:after="120" w:line="276"/>
        <w:jc w:val="both"/>
      </w:pPr>
      <w:r>
        <w:rPr>
          <w:rFonts w:ascii="Barlow Semi Condensed" w:cs="Barlow Semi Condensed" w:eastAsia="Barlow Semi Condensed" w:hAnsi="Barlow Semi Condensed"/>
          <w:sz w:val="24"/>
          <w:szCs w:val="24"/>
        </w:rPr>
        <w:t xml:space="preserve">Dodici Libri su tredici si fermano al giudicato. </w:t>
      </w:r>
      <w:r>
        <w:rPr>
          <w:rFonts w:ascii="Barlow Semi Condensed" w:cs="Barlow Semi Condensed" w:eastAsia="Barlow Semi Condensed" w:hAnsi="Barlow Semi Condensed"/>
          <w:b/>
          <w:bCs/>
          <w:sz w:val="24"/>
          <w:szCs w:val="24"/>
        </w:rPr>
        <w:t xml:space="preserve">Il Libro quarto no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nella seconda metà ordina per plausibilità del coinvolgimento — e lo fa per</w:t>
      </w:r>
    </w:p>
    <w:p>
      <w:pPr>
        <w:spacing w:after="120" w:line="276"/>
        <w:jc w:val="both"/>
      </w:pPr>
      <w:r>
        <w:rPr>
          <w:rFonts w:ascii="Barlow Semi Condensed" w:cs="Barlow Semi Condensed" w:eastAsia="Barlow Semi Condensed" w:hAnsi="Barlow Semi Condensed"/>
          <w:b/>
          <w:bCs/>
          <w:sz w:val="24"/>
          <w:szCs w:val="24"/>
        </w:rPr>
        <w:t xml:space="preserve">categorie di soggetti, non per nomi individuali</w:t>
      </w:r>
      <w:r>
        <w:rPr>
          <w:rFonts w:ascii="Barlow Semi Condensed" w:cs="Barlow Semi Condensed" w:eastAsia="Barlow Semi Condensed" w:hAnsi="Barlow Semi Condensed"/>
          <w:sz w:val="24"/>
          <w:szCs w:val="24"/>
        </w:rPr>
        <w:t xml:space="preserve">, muovendo dai condannati in</w:t>
      </w:r>
    </w:p>
    <w:p>
      <w:pPr>
        <w:spacing w:after="120" w:line="276"/>
        <w:jc w:val="both"/>
      </w:pPr>
      <w:r>
        <w:rPr>
          <w:rFonts w:ascii="Barlow Semi Condensed" w:cs="Barlow Semi Condensed" w:eastAsia="Barlow Semi Condensed" w:hAnsi="Barlow Semi Condensed"/>
          <w:sz w:val="24"/>
          <w:szCs w:val="24"/>
        </w:rPr>
        <w:t xml:space="preserve">via definitiva e rifiutando di nominare un mandante esterno. L'eccezione è</w:t>
      </w:r>
    </w:p>
    <w:p>
      <w:pPr>
        <w:spacing w:after="120" w:line="276"/>
        <w:jc w:val="both"/>
      </w:pPr>
      <w:r>
        <w:rPr>
          <w:rFonts w:ascii="Barlow Semi Condensed" w:cs="Barlow Semi Condensed" w:eastAsia="Barlow Semi Condensed" w:hAnsi="Barlow Semi Condensed"/>
          <w:sz w:val="24"/>
          <w:szCs w:val="24"/>
        </w:rPr>
        <w:t xml:space="preserve">registrata nella disciplina in copertina, ripetuta nella nota che apre quel Libro,</w:t>
      </w:r>
    </w:p>
    <w:p>
      <w:pPr>
        <w:spacing w:after="120" w:line="276"/>
        <w:jc w:val="both"/>
      </w:pPr>
      <w:r>
        <w:rPr>
          <w:rFonts w:ascii="Barlow Semi Condensed" w:cs="Barlow Semi Condensed" w:eastAsia="Barlow Semi Condensed" w:hAnsi="Barlow Semi Condensed"/>
          <w:sz w:val="24"/>
          <w:szCs w:val="24"/>
        </w:rPr>
        <w:t xml:space="preserve">e vale per quel Libro soltanto. La segnalo qui perché un editore la deve sapere</w:t>
      </w:r>
    </w:p>
    <w:p>
      <w:pPr>
        <w:spacing w:after="120" w:line="276"/>
        <w:jc w:val="both"/>
      </w:pPr>
      <w:r>
        <w:rPr>
          <w:rFonts w:ascii="Barlow Semi Condensed" w:cs="Barlow Semi Condensed" w:eastAsia="Barlow Semi Condensed" w:hAnsi="Barlow Semi Condensed"/>
          <w:sz w:val="24"/>
          <w:szCs w:val="24"/>
        </w:rPr>
        <w:t xml:space="preserve">prima di leggere, non dopo.</w:t>
      </w:r>
    </w:p>
    <w:p>
      <w:pPr>
        <w:pStyle w:val="Heading3"/>
        <w:spacing w:after="80" w:before="160"/>
      </w:pPr>
      <w:r>
        <w:rPr>
          <w:rFonts w:ascii="Barlow Semi Condensed" w:cs="Barlow Semi Condensed" w:eastAsia="Barlow Semi Condensed" w:hAnsi="Barlow Semi Condensed"/>
          <w:sz w:val="24"/>
          <w:szCs w:val="24"/>
        </w:rPr>
        <w:t xml:space="preserve">Che cosa propongo, esattamente</w:t>
      </w:r>
    </w:p>
    <w:p>
      <w:pPr>
        <w:spacing w:after="120" w:line="276"/>
        <w:jc w:val="both"/>
      </w:pPr>
      <w:r>
        <w:rPr>
          <w:rFonts w:ascii="Barlow Semi Condensed" w:cs="Barlow Semi Condensed" w:eastAsia="Barlow Semi Condensed" w:hAnsi="Barlow Semi Condensed"/>
          <w:b/>
          <w:bCs/>
          <w:sz w:val="24"/>
          <w:szCs w:val="24"/>
        </w:rPr>
        <w:t xml:space="preserve">Non vi propongo di pubblicare 2.400 pagine.</w:t>
      </w:r>
      <w:r>
        <w:rPr>
          <w:rFonts w:ascii="Barlow Semi Condensed" w:cs="Barlow Semi Condensed" w:eastAsia="Barlow Semi Condensed" w:hAnsi="Barlow Semi Condensed"/>
          <w:sz w:val="24"/>
          <w:szCs w:val="24"/>
        </w:rPr>
        <w:t xml:space="preserve"> Nessun lettore le apre e nessun</w:t>
      </w:r>
    </w:p>
    <w:p>
      <w:pPr>
        <w:spacing w:after="120" w:line="276"/>
        <w:jc w:val="both"/>
      </w:pPr>
      <w:r>
        <w:rPr>
          <w:rFonts w:ascii="Barlow Semi Condensed" w:cs="Barlow Semi Condensed" w:eastAsia="Barlow Semi Condensed" w:hAnsi="Barlow Semi Condensed"/>
          <w:sz w:val="24"/>
          <w:szCs w:val="24"/>
        </w:rPr>
        <w:t xml:space="preserve">catalogo le ospita. Il corpus è il materiale; il libro è un'altra cosa, ed è</w:t>
      </w:r>
    </w:p>
    <w:p>
      <w:pPr>
        <w:spacing w:after="120" w:line="276"/>
        <w:jc w:val="both"/>
      </w:pPr>
      <w:r>
        <w:rPr>
          <w:rFonts w:ascii="Barlow Semi Condensed" w:cs="Barlow Semi Condensed" w:eastAsia="Barlow Semi Condensed" w:hAnsi="Barlow Semi Condensed"/>
          <w:sz w:val="24"/>
          <w:szCs w:val="24"/>
        </w:rPr>
        <w:t xml:space="preserve">scritto: allego la </w:t>
      </w:r>
      <w:r>
        <w:rPr>
          <w:rFonts w:ascii="Barlow Semi Condensed" w:cs="Barlow Semi Condensed" w:eastAsia="Barlow Semi Condensed" w:hAnsi="Barlow Semi Condensed"/>
          <w:b/>
          <w:bCs/>
          <w:sz w:val="24"/>
          <w:szCs w:val="24"/>
        </w:rPr>
        <w:t xml:space="preserve">prima stesura completa</w:t>
      </w:r>
      <w:r>
        <w:rPr>
          <w:rFonts w:ascii="Barlow Semi Condensed" w:cs="Barlow Semi Condensed" w:eastAsia="Barlow Semi Condensed" w:hAnsi="Barlow Semi Condensed"/>
          <w:sz w:val="24"/>
          <w:szCs w:val="24"/>
        </w:rPr>
        <w:t xml:space="preserve">: sette parti più il registro di</w:t>
      </w:r>
    </w:p>
    <w:p>
      <w:pPr>
        <w:spacing w:after="120" w:line="276"/>
        <w:jc w:val="both"/>
      </w:pPr>
      <w:r>
        <w:rPr>
          <w:rFonts w:ascii="Barlow Semi Condensed" w:cs="Barlow Semi Condensed" w:eastAsia="Barlow Semi Condensed" w:hAnsi="Barlow Semi Condensed"/>
          <w:sz w:val="24"/>
          <w:szCs w:val="24"/>
        </w:rPr>
        <w:t xml:space="preserve">chiusura, quarantaquattro pagine, circa 19.500 parole.</w:t>
      </w:r>
    </w:p>
    <w:p>
      <w:pPr>
        <w:spacing w:after="120" w:line="276"/>
        <w:jc w:val="both"/>
      </w:pPr>
      <w:r>
        <w:rPr>
          <w:rFonts w:ascii="Barlow Semi Condensed" w:cs="Barlow Semi Condensed" w:eastAsia="Barlow Semi Condensed" w:hAnsi="Barlow Semi Condensed"/>
          <w:sz w:val="24"/>
          <w:szCs w:val="24"/>
        </w:rPr>
        <w:t xml:space="preserve">Si intitola «Ottanta anni di Pace» ed è un </w:t>
      </w:r>
      <w:r>
        <w:rPr>
          <w:rFonts w:ascii="Barlow Semi Condensed" w:cs="Barlow Semi Condensed" w:eastAsia="Barlow Semi Condensed" w:hAnsi="Barlow Semi Condensed"/>
          <w:b/>
          <w:bCs/>
          <w:sz w:val="24"/>
          <w:szCs w:val="24"/>
        </w:rPr>
        <w:t xml:space="preserve">romanzo evidence-based</w:t>
      </w:r>
      <w:r>
        <w:rPr>
          <w:rFonts w:ascii="Barlow Semi Condensed" w:cs="Barlow Semi Condensed" w:eastAsia="Barlow Semi Condensed" w:hAnsi="Barlow Semi Condensed"/>
          <w:sz w:val="24"/>
          <w:szCs w:val="24"/>
        </w:rPr>
        <w:t xml:space="preserve">. Tre cose</w:t>
      </w:r>
    </w:p>
    <w:p>
      <w:pPr>
        <w:spacing w:after="120" w:line="276"/>
        <w:jc w:val="both"/>
      </w:pPr>
      <w:r>
        <w:rPr>
          <w:rFonts w:ascii="Barlow Semi Condensed" w:cs="Barlow Semi Condensed" w:eastAsia="Barlow Semi Condensed" w:hAnsi="Barlow Semi Condensed"/>
          <w:sz w:val="24"/>
          <w:szCs w:val="24"/>
        </w:rPr>
        <w:t xml:space="preserve">vanno dette prima che lo apriate, perché sono le tre su cui potreste dire di no, e</w:t>
      </w:r>
    </w:p>
    <w:p>
      <w:pPr>
        <w:spacing w:after="120" w:line="276"/>
        <w:jc w:val="both"/>
      </w:pPr>
      <w:r>
        <w:rPr>
          <w:rFonts w:ascii="Barlow Semi Condensed" w:cs="Barlow Semi Condensed" w:eastAsia="Barlow Semi Condensed" w:hAnsi="Barlow Semi Condensed"/>
          <w:sz w:val="24"/>
          <w:szCs w:val="24"/>
        </w:rPr>
        <w:t xml:space="preserve">preferisco che lo diciate subito.</w:t>
      </w:r>
    </w:p>
    <w:p>
      <w:pPr>
        <w:spacing w:after="120" w:line="276"/>
        <w:jc w:val="both"/>
      </w:pPr>
      <w:r>
        <w:rPr>
          <w:rFonts w:ascii="Barlow Semi Condensed" w:cs="Barlow Semi Condensed" w:eastAsia="Barlow Semi Condensed" w:hAnsi="Barlow Semi Condensed"/>
          <w:b/>
          <w:bCs/>
          <w:sz w:val="24"/>
          <w:szCs w:val="24"/>
        </w:rPr>
        <w:t xml:space="preserve">La prima: il libro non è sul caso Moro.</w:t>
      </w:r>
      <w:r>
        <w:rPr>
          <w:rFonts w:ascii="Barlow Semi Condensed" w:cs="Barlow Semi Condensed" w:eastAsia="Barlow Semi Condensed" w:hAnsi="Barlow Semi Condensed"/>
          <w:sz w:val="24"/>
          <w:szCs w:val="24"/>
        </w:rPr>
        <w:t xml:space="preserve"> È su che cosa succede quando si prova</w:t>
      </w:r>
    </w:p>
    <w:p>
      <w:pPr>
        <w:spacing w:after="120" w:line="276"/>
        <w:jc w:val="both"/>
      </w:pPr>
      <w:r>
        <w:rPr>
          <w:rFonts w:ascii="Barlow Semi Condensed" w:cs="Barlow Semi Condensed" w:eastAsia="Barlow Semi Condensed" w:hAnsi="Barlow Semi Condensed"/>
          <w:sz w:val="24"/>
          <w:szCs w:val="24"/>
        </w:rPr>
        <w:t xml:space="preserve">a verificarlo. Non è una scelta di gusto ed è l'unica che renda «romanzo</w:t>
      </w:r>
    </w:p>
    <w:p>
      <w:pPr>
        <w:spacing w:after="120" w:line="276"/>
        <w:jc w:val="both"/>
      </w:pPr>
      <w:r>
        <w:rPr>
          <w:rFonts w:ascii="Barlow Semi Condensed" w:cs="Barlow Semi Condensed" w:eastAsia="Barlow Semi Condensed" w:hAnsi="Barlow Semi Condensed"/>
          <w:sz w:val="24"/>
          <w:szCs w:val="24"/>
        </w:rPr>
        <w:t xml:space="preserve">evidence-based» qualcosa di diverso da un ossimoro: un romanzo ha bisogno di</w:t>
      </w:r>
    </w:p>
    <w:p>
      <w:pPr>
        <w:spacing w:after="120" w:line="276"/>
        <w:jc w:val="both"/>
      </w:pPr>
      <w:r>
        <w:rPr>
          <w:rFonts w:ascii="Barlow Semi Condensed" w:cs="Barlow Semi Condensed" w:eastAsia="Barlow Semi Condensed" w:hAnsi="Barlow Semi Condensed"/>
          <w:sz w:val="24"/>
          <w:szCs w:val="24"/>
        </w:rPr>
        <w:t xml:space="preserve">scene, e le scene del 1978 il corpus non le ha — due sole indicazioni d'ora in</w:t>
      </w:r>
    </w:p>
    <w:p>
      <w:pPr>
        <w:spacing w:after="120" w:line="276"/>
        <w:jc w:val="both"/>
      </w:pPr>
      <w:r>
        <w:rPr>
          <w:rFonts w:ascii="Barlow Semi Condensed" w:cs="Barlow Semi Condensed" w:eastAsia="Barlow Semi Condensed" w:hAnsi="Barlow Semi Condensed"/>
          <w:sz w:val="24"/>
          <w:szCs w:val="24"/>
        </w:rPr>
        <w:t xml:space="preserve">oltre un milione di parole, nessuna stanza, nessun volto — e in un libro fondato</w:t>
      </w:r>
    </w:p>
    <w:p>
      <w:pPr>
        <w:spacing w:after="120" w:line="276"/>
        <w:jc w:val="both"/>
      </w:pPr>
      <w:r>
        <w:rPr>
          <w:rFonts w:ascii="Barlow Semi Condensed" w:cs="Barlow Semi Condensed" w:eastAsia="Barlow Semi Condensed" w:hAnsi="Barlow Semi Condensed"/>
          <w:sz w:val="24"/>
          <w:szCs w:val="24"/>
        </w:rPr>
        <w:t xml:space="preserve">sulle prove quelle scene non si inventano. Le scene della verifica invece ci sono</w:t>
      </w:r>
    </w:p>
    <w:p>
      <w:pPr>
        <w:spacing w:after="120" w:line="276"/>
        <w:jc w:val="both"/>
      </w:pPr>
      <w:r>
        <w:rPr>
          <w:rFonts w:ascii="Barlow Semi Condensed" w:cs="Barlow Semi Condensed" w:eastAsia="Barlow Semi Condensed" w:hAnsi="Barlow Semi Condensed"/>
          <w:sz w:val="24"/>
          <w:szCs w:val="24"/>
        </w:rPr>
        <w:t xml:space="preserve">tutte, e sono documentate perché sono accadute: un elenco che arriva senza</w:t>
      </w:r>
    </w:p>
    <w:p>
      <w:pPr>
        <w:spacing w:after="120" w:line="276"/>
        <w:jc w:val="both"/>
      </w:pPr>
      <w:r>
        <w:rPr>
          <w:rFonts w:ascii="Barlow Semi Condensed" w:cs="Barlow Semi Condensed" w:eastAsia="Barlow Semi Condensed" w:hAnsi="Barlow Semi Condensed"/>
          <w:sz w:val="24"/>
          <w:szCs w:val="24"/>
        </w:rPr>
        <w:t xml:space="preserve">provenienza, un archivio che si apre e uno che risponde 403, un'aritmetica che si</w:t>
      </w:r>
    </w:p>
    <w:p>
      <w:pPr>
        <w:spacing w:after="120" w:line="276"/>
        <w:jc w:val="both"/>
      </w:pPr>
      <w:r>
        <w:rPr>
          <w:rFonts w:ascii="Barlow Semi Condensed" w:cs="Barlow Semi Condensed" w:eastAsia="Barlow Semi Condensed" w:hAnsi="Barlow Semi Condensed"/>
          <w:sz w:val="24"/>
          <w:szCs w:val="24"/>
        </w:rPr>
        <w:t xml:space="preserve">ritira, un elenco che arriva tardi e dice che quei numeri appartengono ad altri.</w:t>
      </w:r>
    </w:p>
    <w:p>
      <w:pPr>
        <w:spacing w:after="120" w:line="276"/>
        <w:jc w:val="both"/>
      </w:pPr>
      <w:r>
        <w:rPr>
          <w:rFonts w:ascii="Barlow Semi Condensed" w:cs="Barlow Semi Condensed" w:eastAsia="Barlow Semi Condensed" w:hAnsi="Barlow Semi Condensed"/>
          <w:sz w:val="24"/>
          <w:szCs w:val="24"/>
        </w:rPr>
        <w:t xml:space="preserve">**La seconda: il libro parla con la voce di Aldo Moro, in prosopopea dichiarata a</w:t>
      </w:r>
    </w:p>
    <w:p>
      <w:pPr>
        <w:spacing w:after="120" w:line="276"/>
        <w:jc w:val="both"/>
      </w:pPr>
      <w:r>
        <w:rPr>
          <w:rFonts w:ascii="Barlow Semi Condensed" w:cs="Barlow Semi Condensed" w:eastAsia="Barlow Semi Condensed" w:hAnsi="Barlow Semi Condensed"/>
          <w:sz w:val="24"/>
          <w:szCs w:val="24"/>
        </w:rPr>
        <w:t xml:space="preserve">ogni apertura di capitolo.** Non sono sue parole, e l'avvertenza lo dice per</w:t>
      </w:r>
    </w:p>
    <w:p>
      <w:pPr>
        <w:spacing w:after="120" w:line="276"/>
        <w:jc w:val="both"/>
      </w:pPr>
      <w:r>
        <w:rPr>
          <w:rFonts w:ascii="Barlow Semi Condensed" w:cs="Barlow Semi Condensed" w:eastAsia="Barlow Semi Condensed" w:hAnsi="Barlow Semi Condensed"/>
          <w:sz w:val="24"/>
          <w:szCs w:val="24"/>
        </w:rPr>
        <w:t xml:space="preserve">esteso in apertura del volume. Il limite è netto e non si negozia: **la voce</w:t>
      </w:r>
    </w:p>
    <w:p>
      <w:pPr>
        <w:spacing w:after="120" w:line="276"/>
        <w:jc w:val="both"/>
      </w:pPr>
      <w:r>
        <w:rPr>
          <w:rFonts w:ascii="Barlow Semi Condensed" w:cs="Barlow Semi Condensed" w:eastAsia="Barlow Semi Condensed" w:hAnsi="Barlow Semi Condensed"/>
          <w:sz w:val="24"/>
          <w:szCs w:val="24"/>
        </w:rPr>
        <w:t xml:space="preserve">prestata ragiona sulla prova — che fu la materia che egli insegnò per vent'anni</w:t>
      </w:r>
    </w:p>
    <w:p>
      <w:pPr>
        <w:spacing w:after="120" w:line="276"/>
        <w:jc w:val="both"/>
      </w:pPr>
      <w:r>
        <w:rPr>
          <w:rFonts w:ascii="Barlow Semi Condensed" w:cs="Barlow Semi Condensed" w:eastAsia="Barlow Semi Condensed" w:hAnsi="Barlow Semi Condensed"/>
          <w:sz w:val="24"/>
          <w:szCs w:val="24"/>
        </w:rPr>
        <w:t xml:space="preserve">nell'università di Bari — e mai sui fatti**, non sul proprio sequestro, non sulla</w:t>
      </w:r>
    </w:p>
    <w:p>
      <w:pPr>
        <w:spacing w:after="120" w:line="276"/>
        <w:jc w:val="both"/>
      </w:pPr>
      <w:r>
        <w:rPr>
          <w:rFonts w:ascii="Barlow Semi Condensed" w:cs="Barlow Semi Condensed" w:eastAsia="Barlow Semi Condensed" w:hAnsi="Barlow Semi Condensed"/>
          <w:sz w:val="24"/>
          <w:szCs w:val="24"/>
        </w:rPr>
        <w:t xml:space="preserve">propria morte; e nelle due parti in cui l'oggetto è lui stesso — il ritratto e il</w:t>
      </w:r>
    </w:p>
    <w:p>
      <w:pPr>
        <w:spacing w:after="120" w:line="276"/>
        <w:jc w:val="both"/>
      </w:pPr>
      <w:r>
        <w:rPr>
          <w:rFonts w:ascii="Barlow Semi Condensed" w:cs="Barlow Semi Condensed" w:eastAsia="Barlow Semi Condensed" w:hAnsi="Barlow Semi Condensed"/>
          <w:sz w:val="24"/>
          <w:szCs w:val="24"/>
        </w:rPr>
        <w:t xml:space="preserve">suo ministero — non parla di sé: nella seconda la voce si ferma dove dovrebbe</w:t>
      </w:r>
    </w:p>
    <w:p>
      <w:pPr>
        <w:spacing w:after="120" w:line="276"/>
        <w:jc w:val="both"/>
      </w:pPr>
      <w:r>
        <w:rPr>
          <w:rFonts w:ascii="Barlow Semi Condensed" w:cs="Barlow Semi Condensed" w:eastAsia="Barlow Semi Condensed" w:hAnsi="Barlow Semi Condensed"/>
          <w:sz w:val="24"/>
          <w:szCs w:val="24"/>
        </w:rPr>
        <w:t xml:space="preserve">parlare di sé, e lo dichiara. Ogni capitolo è a due voci alternate: in corsivo la</w:t>
      </w:r>
    </w:p>
    <w:p>
      <w:pPr>
        <w:spacing w:after="120" w:line="276"/>
        <w:jc w:val="both"/>
      </w:pPr>
      <w:r>
        <w:rPr>
          <w:rFonts w:ascii="Barlow Semi Condensed" w:cs="Barlow Semi Condensed" w:eastAsia="Barlow Semi Condensed" w:hAnsi="Barlow Semi Condensed"/>
          <w:sz w:val="24"/>
          <w:szCs w:val="24"/>
        </w:rPr>
        <w:t xml:space="preserve">prosopopea, che ragiona; in tondo l'apparato, che dimostra e porta i gradi. Il</w:t>
      </w:r>
    </w:p>
    <w:p>
      <w:pPr>
        <w:spacing w:after="120" w:line="276"/>
        <w:jc w:val="both"/>
      </w:pPr>
      <w:r>
        <w:rPr>
          <w:rFonts w:ascii="Barlow Semi Condensed" w:cs="Barlow Semi Condensed" w:eastAsia="Barlow Semi Condensed" w:hAnsi="Barlow Semi Condensed"/>
          <w:sz w:val="24"/>
          <w:szCs w:val="24"/>
        </w:rPr>
        <w:t xml:space="preserve">lettore sa sempre chi parla. È la scelta più contestabile del libro e ve la</w:t>
      </w:r>
    </w:p>
    <w:p>
      <w:pPr>
        <w:spacing w:after="120" w:line="276"/>
        <w:jc w:val="both"/>
      </w:pPr>
      <w:r>
        <w:rPr>
          <w:rFonts w:ascii="Barlow Semi Condensed" w:cs="Barlow Semi Condensed" w:eastAsia="Barlow Semi Condensed" w:hAnsi="Barlow Semi Condensed"/>
          <w:sz w:val="24"/>
          <w:szCs w:val="24"/>
        </w:rPr>
        <w:t xml:space="preserve">segnalo io: se la vostra casa non la accetta, la risposta è no e vi ho fatto</w:t>
      </w:r>
    </w:p>
    <w:p>
      <w:pPr>
        <w:spacing w:after="120" w:line="276"/>
        <w:jc w:val="both"/>
      </w:pPr>
      <w:r>
        <w:rPr>
          <w:rFonts w:ascii="Barlow Semi Condensed" w:cs="Barlow Semi Condensed" w:eastAsia="Barlow Semi Condensed" w:hAnsi="Barlow Semi Condensed"/>
          <w:sz w:val="24"/>
          <w:szCs w:val="24"/>
        </w:rPr>
        <w:t xml:space="preserve">risparmiare una lettura.</w:t>
      </w:r>
    </w:p>
    <w:p>
      <w:pPr>
        <w:spacing w:after="120" w:line="276"/>
        <w:jc w:val="both"/>
      </w:pPr>
      <w:r>
        <w:rPr>
          <w:rFonts w:ascii="Barlow Semi Condensed" w:cs="Barlow Semi Condensed" w:eastAsia="Barlow Semi Condensed" w:hAnsi="Barlow Semi Condensed"/>
          <w:b/>
          <w:bCs/>
          <w:sz w:val="24"/>
          <w:szCs w:val="24"/>
        </w:rPr>
        <w:t xml:space="preserve">La terza: la lunghezza è una domanda aperta, e la giro a voi.</w:t>
      </w:r>
      <w:r>
        <w:rPr>
          <w:rFonts w:ascii="Barlow Semi Condensed" w:cs="Barlow Semi Condensed" w:eastAsia="Barlow Semi Condensed" w:hAnsi="Barlow Semi Condensed"/>
          <w:sz w:val="24"/>
          <w:szCs w:val="24"/>
        </w:rPr>
        <w:t xml:space="preserve"> Il progetto</w:t>
      </w:r>
    </w:p>
    <w:p>
      <w:pPr>
        <w:spacing w:after="120" w:line="276"/>
        <w:jc w:val="both"/>
      </w:pPr>
      <w:r>
        <w:rPr>
          <w:rFonts w:ascii="Barlow Semi Condensed" w:cs="Barlow Semi Condensed" w:eastAsia="Barlow Semi Condensed" w:hAnsi="Barlow Semi Condensed"/>
          <w:sz w:val="24"/>
          <w:szCs w:val="24"/>
        </w:rPr>
        <w:t xml:space="preserve">prevedeva 250 pagine; la prima stesura ne fa quarantaquattro, e sono</w:t>
      </w:r>
    </w:p>
    <w:p>
      <w:pPr>
        <w:spacing w:after="120" w:line="276"/>
        <w:jc w:val="both"/>
      </w:pPr>
      <w:r>
        <w:rPr>
          <w:rFonts w:ascii="Barlow Semi Condensed" w:cs="Barlow Semi Condensed" w:eastAsia="Barlow Semi Condensed" w:hAnsi="Barlow Semi Condensed"/>
          <w:sz w:val="24"/>
          <w:szCs w:val="24"/>
        </w:rPr>
        <w:t xml:space="preserve">quarantaquattro pagine tenute strette. Ho materiale per estenderle e non l'ho fatto, perché **diluire un</w:t>
      </w:r>
    </w:p>
    <w:p>
      <w:pPr>
        <w:spacing w:after="120" w:line="276"/>
        <w:jc w:val="both"/>
      </w:pPr>
      <w:r>
        <w:rPr>
          <w:rFonts w:ascii="Barlow Semi Condensed" w:cs="Barlow Semi Condensed" w:eastAsia="Barlow Semi Condensed" w:hAnsi="Barlow Semi Condensed"/>
          <w:sz w:val="24"/>
          <w:szCs w:val="24"/>
        </w:rPr>
        <w:t xml:space="preserve">libro che regge è più facile che scriverne uno che regga**, e la misura giusta la</w:t>
      </w:r>
    </w:p>
    <w:p>
      <w:pPr>
        <w:spacing w:after="120" w:line="276"/>
        <w:jc w:val="both"/>
      </w:pPr>
      <w:r>
        <w:rPr>
          <w:rFonts w:ascii="Barlow Semi Condensed" w:cs="Barlow Semi Condensed" w:eastAsia="Barlow Semi Condensed" w:hAnsi="Barlow Semi Condensed"/>
          <w:sz w:val="24"/>
          <w:szCs w:val="24"/>
        </w:rPr>
        <w:t xml:space="preserve">decide chi conosce il proprio catalogo. Ditemi la lunghezza e l'estensione si fa;</w:t>
      </w:r>
    </w:p>
    <w:p>
      <w:pPr>
        <w:spacing w:after="120" w:line="276"/>
        <w:jc w:val="both"/>
      </w:pPr>
      <w:r>
        <w:rPr>
          <w:rFonts w:ascii="Barlow Semi Condensed" w:cs="Barlow Semi Condensed" w:eastAsia="Barlow Semi Condensed" w:hAnsi="Barlow Semi Condensed"/>
          <w:sz w:val="24"/>
          <w:szCs w:val="24"/>
        </w:rPr>
        <w:t xml:space="preserve">ma non ve la prometto senza sapere se la volete.</w:t>
      </w:r>
    </w:p>
    <w:p>
      <w:pPr>
        <w:spacing w:after="120" w:line="276"/>
        <w:jc w:val="both"/>
      </w:pPr>
      <w:r>
        <w:rPr>
          <w:rFonts w:ascii="Barlow Semi Condensed" w:cs="Barlow Semi Condensed" w:eastAsia="Barlow Semi Condensed" w:hAnsi="Barlow Semi Condensed"/>
          <w:sz w:val="24"/>
          <w:szCs w:val="24"/>
        </w:rPr>
        <w:t xml:space="preserve">Aggiungo, perché è la parte che riguarda voi come lettori e non come editori: il</w:t>
      </w:r>
    </w:p>
    <w:p>
      <w:pPr>
        <w:spacing w:after="120" w:line="276"/>
        <w:jc w:val="both"/>
      </w:pPr>
      <w:r>
        <w:rPr>
          <w:rFonts w:ascii="Barlow Semi Condensed" w:cs="Barlow Semi Condensed" w:eastAsia="Barlow Semi Condensed" w:hAnsi="Barlow Semi Condensed"/>
          <w:sz w:val="24"/>
          <w:szCs w:val="24"/>
        </w:rPr>
        <w:t xml:space="preserve">libro è stato </w:t>
      </w:r>
      <w:r>
        <w:rPr>
          <w:rFonts w:ascii="Barlow Semi Condensed" w:cs="Barlow Semi Condensed" w:eastAsia="Barlow Semi Condensed" w:hAnsi="Barlow Semi Condensed"/>
          <w:b/>
          <w:bCs/>
          <w:sz w:val="24"/>
          <w:szCs w:val="24"/>
        </w:rPr>
        <w:t xml:space="preserve">letto di seguito e misurato</w:t>
      </w:r>
      <w:r>
        <w:rPr>
          <w:rFonts w:ascii="Barlow Semi Condensed" w:cs="Barlow Semi Condensed" w:eastAsia="Barlow Semi Condensed" w:hAnsi="Barlow Semi Condensed"/>
          <w:sz w:val="24"/>
          <w:szCs w:val="24"/>
        </w:rPr>
        <w:t xml:space="preserve">, e le note di revisione sono</w:t>
      </w:r>
    </w:p>
    <w:p>
      <w:pPr>
        <w:spacing w:after="120" w:line="276"/>
        <w:jc w:val="both"/>
      </w:pPr>
      <w:r>
        <w:rPr>
          <w:rFonts w:ascii="Barlow Semi Condensed" w:cs="Barlow Semi Condensed" w:eastAsia="Barlow Semi Condensed" w:hAnsi="Barlow Semi Condensed"/>
          <w:sz w:val="24"/>
          <w:szCs w:val="24"/>
        </w:rPr>
        <w:t xml:space="preserve">nell'opera. Le due voci stanno fra il 52% e il 66%, le sette parti fra 1.998 e</w:t>
      </w:r>
    </w:p>
    <w:p>
      <w:pPr>
        <w:spacing w:after="120" w:line="276"/>
        <w:jc w:val="both"/>
      </w:pPr>
      <w:r>
        <w:rPr>
          <w:rFonts w:ascii="Barlow Semi Condensed" w:cs="Barlow Semi Condensed" w:eastAsia="Barlow Semi Condensed" w:hAnsi="Barlow Semi Condensed"/>
          <w:sz w:val="24"/>
          <w:szCs w:val="24"/>
        </w:rPr>
        <w:t xml:space="preserve">2.386 parole, e la ripetizione fra capitoli è dello 0,5% in due soli incroci,</w:t>
      </w:r>
    </w:p>
    <w:p>
      <w:pPr>
        <w:spacing w:after="120" w:line="276"/>
        <w:jc w:val="both"/>
      </w:pPr>
      <w:r>
        <w:rPr>
          <w:rFonts w:ascii="Barlow Semi Condensed" w:cs="Barlow Semi Condensed" w:eastAsia="Barlow Semi Condensed" w:hAnsi="Barlow Semi Condensed"/>
          <w:sz w:val="24"/>
          <w:szCs w:val="24"/>
        </w:rPr>
        <w:t xml:space="preserve">entrambi voluti. Anche la revisione ha prodotto ritrattazioni, e stanno scritte</w:t>
      </w:r>
    </w:p>
    <w:p>
      <w:pPr>
        <w:spacing w:after="120" w:line="276"/>
        <w:jc w:val="both"/>
      </w:pPr>
      <w:r>
        <w:rPr>
          <w:rFonts w:ascii="Barlow Semi Condensed" w:cs="Barlow Semi Condensed" w:eastAsia="Barlow Semi Condensed" w:hAnsi="Barlow Semi Condensed"/>
          <w:sz w:val="24"/>
          <w:szCs w:val="24"/>
        </w:rPr>
        <w:t xml:space="preserve">accanto a ciò che correggono.</w:t>
      </w:r>
    </w:p>
    <w:p>
      <w:pPr>
        <w:spacing w:after="120" w:line="276"/>
        <w:jc w:val="both"/>
      </w:pPr>
      <w:r>
        <w:rPr>
          <w:rFonts w:ascii="Barlow Semi Condensed" w:cs="Barlow Semi Condensed" w:eastAsia="Barlow Semi Condensed" w:hAnsi="Barlow Semi Condensed"/>
          <w:sz w:val="24"/>
          <w:szCs w:val="24"/>
        </w:rPr>
        <w:t xml:space="preserve">Resto naturalmente disponibile a una diversa forma, se la vostra lettura ne</w:t>
      </w:r>
    </w:p>
    <w:p>
      <w:pPr>
        <w:spacing w:after="120" w:line="276"/>
        <w:jc w:val="both"/>
      </w:pPr>
      <w:r>
        <w:rPr>
          <w:rFonts w:ascii="Barlow Semi Condensed" w:cs="Barlow Semi Condensed" w:eastAsia="Barlow Semi Condensed" w:hAnsi="Barlow Semi Condensed"/>
          <w:sz w:val="24"/>
          <w:szCs w:val="24"/>
        </w:rPr>
        <w:t xml:space="preserve">suggerisce una migliore.</w:t>
      </w:r>
    </w:p>
    <w:p>
      <w:pPr>
        <w:pStyle w:val="Heading3"/>
        <w:spacing w:after="80" w:before="160"/>
      </w:pPr>
      <w:r>
        <w:rPr>
          <w:rFonts w:ascii="Barlow Semi Condensed" w:cs="Barlow Semi Condensed" w:eastAsia="Barlow Semi Condensed" w:hAnsi="Barlow Semi Condensed"/>
          <w:sz w:val="24"/>
          <w:szCs w:val="24"/>
        </w:rPr>
        <w:t xml:space="preserve">Che cosa allego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1</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La scheda dell'opera</w:t>
            </w:r>
            <w:r>
              <w:rPr>
                <w:rFonts w:ascii="Barlow Semi Condensed" w:cs="Barlow Semi Condensed" w:eastAsia="Barlow Semi Condensed" w:hAnsi="Barlow Semi Condensed"/>
                <w:b/>
                <w:bCs/>
                <w:color w:val="FFFFFF"/>
                <w:sz w:val="20"/>
                <w:szCs w:val="20"/>
              </w:rPr>
              <w:t xml:space="preserve"> — una pagina, tutti i numeri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2</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«Ottanta anni di Pace», prima stesura completa</w:t>
            </w:r>
            <w:r>
              <w:rPr>
                <w:rFonts w:ascii="Barlow Semi Condensed" w:cs="Barlow Semi Condensed" w:eastAsia="Barlow Semi Condensed" w:hAnsi="Barlow Semi Condensed"/>
                <w:sz w:val="20"/>
                <w:szCs w:val="20"/>
              </w:rPr>
              <w:t xml:space="preserve"> — sette parti e il registro di chiusura: è il testo su cui chiedo di essere giudicato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3</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 richiesta)</w:t>
            </w:r>
            <w:r>
              <w:rPr>
                <w:rFonts w:ascii="Barlow Semi Condensed" w:cs="Barlow Semi Condensed" w:eastAsia="Barlow Semi Condensed" w:hAnsi="Barlow Semi Condensed"/>
                <w:sz w:val="20"/>
                <w:szCs w:val="20"/>
              </w:rPr>
              <w:t xml:space="preserve"> l'opera integrale, in tre parti, il registro delle impronte, le note di revisione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Non allego il volume intero se non lo chiedete: pesa quaranta megabyte e non è ciò</w:t>
      </w:r>
    </w:p>
    <w:p>
      <w:pPr>
        <w:spacing w:after="120" w:line="276"/>
        <w:jc w:val="both"/>
      </w:pPr>
      <w:r>
        <w:rPr>
          <w:rFonts w:ascii="Barlow Semi Condensed" w:cs="Barlow Semi Condensed" w:eastAsia="Barlow Semi Condensed" w:hAnsi="Barlow Semi Condensed"/>
          <w:sz w:val="24"/>
          <w:szCs w:val="24"/>
        </w:rPr>
        <w:t xml:space="preserve">che vi serve per decidere. Il libro sì, ed è breve.</w:t>
      </w:r>
    </w:p>
    <w:p>
      <w:pPr>
        <w:pStyle w:val="Heading3"/>
        <w:spacing w:after="80" w:before="160"/>
      </w:pPr>
      <w:r>
        <w:rPr>
          <w:rFonts w:ascii="Barlow Semi Condensed" w:cs="Barlow Semi Condensed" w:eastAsia="Barlow Semi Condensed" w:hAnsi="Barlow Semi Condensed"/>
          <w:sz w:val="24"/>
          <w:szCs w:val="24"/>
        </w:rPr>
        <w:t xml:space="preserve">In chiusura</w:t>
      </w:r>
    </w:p>
    <w:p>
      <w:pPr>
        <w:spacing w:after="120" w:line="276"/>
        <w:jc w:val="both"/>
      </w:pPr>
      <w:r>
        <w:rPr>
          <w:rFonts w:ascii="Barlow Semi Condensed" w:cs="Barlow Semi Condensed" w:eastAsia="Barlow Semi Condensed" w:hAnsi="Barlow Semi Condensed"/>
          <w:sz w:val="24"/>
          <w:szCs w:val="24"/>
        </w:rPr>
        <w:t xml:space="preserve">Il corpus è già depositato e citabile, </w:t>
      </w:r>
      <w:r>
        <w:rPr>
          <w:rFonts w:ascii="Barlow Semi Condensed" w:cs="Barlow Semi Condensed" w:eastAsia="Barlow Semi Condensed" w:hAnsi="Barlow Semi Condensed"/>
          <w:b/>
          <w:bCs/>
          <w:sz w:val="24"/>
          <w:szCs w:val="24"/>
        </w:rPr>
        <w:t xml:space="preserve">il libro no</w:t>
      </w:r>
      <w:r>
        <w:rPr>
          <w:rFonts w:ascii="Barlow Semi Condensed" w:cs="Barlow Semi Condensed" w:eastAsia="Barlow Semi Condensed" w:hAnsi="Barlow Semi Condensed"/>
          <w:sz w:val="24"/>
          <w:szCs w:val="24"/>
        </w:rPr>
        <w:t xml:space="preserve">: quello che allegate leggere</w:t>
      </w:r>
    </w:p>
    <w:p>
      <w:pPr>
        <w:spacing w:after="120" w:line="276"/>
        <w:jc w:val="both"/>
      </w:pPr>
      <w:r>
        <w:rPr>
          <w:rFonts w:ascii="Barlow Semi Condensed" w:cs="Barlow Semi Condensed" w:eastAsia="Barlow Semi Condensed" w:hAnsi="Barlow Semi Condensed"/>
          <w:sz w:val="24"/>
          <w:szCs w:val="24"/>
        </w:rPr>
        <w:t xml:space="preserve">è inedito, e chiedo di essere giudicato su di esso. Il materiale che gli sta sotto</w:t>
      </w:r>
    </w:p>
    <w:p>
      <w:pPr>
        <w:spacing w:after="120" w:line="276"/>
        <w:jc w:val="both"/>
      </w:pPr>
      <w:r>
        <w:rPr>
          <w:rFonts w:ascii="Barlow Semi Condensed" w:cs="Barlow Semi Condensed" w:eastAsia="Barlow Semi Condensed" w:hAnsi="Barlow Semi Condensed"/>
          <w:sz w:val="24"/>
          <w:szCs w:val="24"/>
        </w:rPr>
        <w:t xml:space="preserve">è pubblico e verificabile riga per riga — è la ragione per cui il libro può</w:t>
      </w:r>
    </w:p>
    <w:p>
      <w:pPr>
        <w:spacing w:after="120" w:line="276"/>
        <w:jc w:val="both"/>
      </w:pPr>
      <w:r>
        <w:rPr>
          <w:rFonts w:ascii="Barlow Semi Condensed" w:cs="Barlow Semi Condensed" w:eastAsia="Barlow Semi Condensed" w:hAnsi="Barlow Semi Condensed"/>
          <w:sz w:val="24"/>
          <w:szCs w:val="24"/>
        </w:rPr>
        <w:t xml:space="preserve">permettersi di essere breve.</w:t>
      </w:r>
    </w:p>
    <w:p>
      <w:pPr>
        <w:spacing w:after="120" w:line="276"/>
        <w:jc w:val="both"/>
      </w:pPr>
      <w:r>
        <w:rPr>
          <w:rFonts w:ascii="Barlow Semi Condensed" w:cs="Barlow Semi Condensed" w:eastAsia="Barlow Semi Condensed" w:hAnsi="Barlow Semi Condensed"/>
          <w:sz w:val="24"/>
          <w:szCs w:val="24"/>
        </w:rPr>
        <w:t xml:space="preserve">Se la risposta è no, vi sarei grato di una riga che me lo dica: la registro nel</w:t>
      </w:r>
    </w:p>
    <w:p>
      <w:pPr>
        <w:spacing w:after="120" w:line="276"/>
        <w:jc w:val="both"/>
      </w:pPr>
      <w:r>
        <w:rPr>
          <w:rFonts w:ascii="Barlow Semi Condensed" w:cs="Barlow Semi Condensed" w:eastAsia="Barlow Semi Condensed" w:hAnsi="Barlow Semi Condensed"/>
          <w:sz w:val="24"/>
          <w:szCs w:val="24"/>
        </w:rPr>
        <w:t xml:space="preserve">dossier di invio, che tiene conto anche dei no.</w:t>
      </w:r>
    </w:p>
    <w:p>
      <w:pPr>
        <w:spacing w:after="120" w:line="276"/>
        <w:jc w:val="both"/>
      </w:pPr>
      <w:r>
        <w:rPr>
          <w:rFonts w:ascii="Barlow Semi Condensed" w:cs="Barlow Semi Condensed" w:eastAsia="Barlow Semi Condensed" w:hAnsi="Barlow Semi Condensed"/>
          <w:sz w:val="24"/>
          <w:szCs w:val="24"/>
        </w:rPr>
        <w:t xml:space="preserve">Ringrazio per l'attenzione e resto a disposizione per qualsiasi chiarimento.</w:t>
      </w:r>
    </w:p>
    <w:p>
      <w:pPr>
        <w:spacing w:after="120" w:line="276"/>
        <w:jc w:val="both"/>
      </w:pPr>
      <w:r>
        <w:rPr>
          <w:rFonts w:ascii="Barlow Semi Condensed" w:cs="Barlow Semi Condensed" w:eastAsia="Barlow Semi Condensed" w:hAnsi="Barlow Semi Condensed"/>
          <w:sz w:val="24"/>
          <w:szCs w:val="24"/>
        </w:rPr>
        <w:t xml:space="preserve">Con i migliori saluti,</w:t>
      </w:r>
    </w:p>
    <w:p>
      <w:pPr>
        <w:spacing w:after="120" w:line="276"/>
        <w:jc w:val="both"/>
      </w:pPr>
      <w:r>
        <w:rPr>
          <w:rFonts w:ascii="Barlow Semi Condensed" w:cs="Barlow Semi Condensed" w:eastAsia="Barlow Semi Condensed" w:hAnsi="Barlow Semi Condensed"/>
          <w:sz w:val="24"/>
          <w:szCs w:val="24"/>
        </w:rPr>
        <w:t xml:space="preserve">[nome e cognome]</w:t>
      </w:r>
    </w:p>
    <w:p>
      <w:pPr>
        <w:spacing w:after="120" w:line="276"/>
        <w:jc w:val="both"/>
      </w:pPr>
      <w:r>
        <w:rPr>
          <w:rFonts w:ascii="Barlow Semi Condensed" w:cs="Barlow Semi Condensed" w:eastAsia="Barlow Semi Condensed" w:hAnsi="Barlow Semi Condensed"/>
          <w:sz w:val="24"/>
          <w:szCs w:val="24"/>
        </w:rPr>
        <w:t xml:space="preserve">[recapiti]</w:t>
      </w:r>
    </w:p>
    <w:p>
      <w:pPr>
        <w:spacing w:after="120" w:line="276"/>
        <w:jc w:val="both"/>
      </w:pPr>
      <w:r>
        <w:rPr>
          <w:rFonts w:ascii="Barlow Semi Condensed" w:cs="Barlow Semi Condensed" w:eastAsia="Barlow Semi Condensed" w:hAnsi="Barlow Semi Condensed"/>
          <w:sz w:val="24"/>
          <w:szCs w:val="24"/>
        </w:rPr>
        <w:t xml:space="preserve">[luogo e 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premere invio — cinque controlli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Il DOI è inserito?</w:t>
      </w:r>
      <w:r>
        <w:rPr>
          <w:rFonts w:ascii="Barlow Semi Condensed" w:cs="Barlow Semi Condensed" w:eastAsia="Barlow Semi Condensed" w:hAnsi="Barlow Semi Condensed"/>
          <w:sz w:val="24"/>
          <w:szCs w:val="24"/>
        </w:rPr>
        <w:t xml:space="preserve"> Senza, l'opera non è citabile e la frase «già</w:t>
      </w:r>
    </w:p>
    <w:p>
      <w:pPr>
        <w:spacing w:after="120" w:line="276"/>
        <w:jc w:val="both"/>
      </w:pPr>
      <w:r>
        <w:rPr>
          <w:rFonts w:ascii="Barlow Semi Condensed" w:cs="Barlow Semi Condensed" w:eastAsia="Barlow Semi Condensed" w:hAnsi="Barlow Semi Condensed"/>
          <w:sz w:val="24"/>
          <w:szCs w:val="24"/>
        </w:rPr>
        <w:t xml:space="preserve">      depositata» è falsa. È l'unico campo che rende inutile tutto il resto.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Il canale è quello giusto per questa casa?</w:t>
      </w:r>
      <w:r>
        <w:rPr>
          <w:rFonts w:ascii="Barlow Semi Condensed" w:cs="Barlow Semi Condensed" w:eastAsia="Barlow Semi Condensed" w:hAnsi="Barlow Semi Condensed"/>
          <w:sz w:val="24"/>
          <w:szCs w:val="24"/>
        </w:rPr>
        <w:t xml:space="preserve"> Il registro dei canali dice</w:t>
      </w:r>
    </w:p>
    <w:p>
      <w:pPr>
        <w:spacing w:after="120" w:line="276"/>
        <w:jc w:val="both"/>
      </w:pPr>
      <w:r>
        <w:rPr>
          <w:rFonts w:ascii="Barlow Semi Condensed" w:cs="Barlow Semi Condensed" w:eastAsia="Barlow Semi Condensed" w:hAnsi="Barlow Semi Condensed"/>
          <w:sz w:val="24"/>
          <w:szCs w:val="24"/>
        </w:rPr>
        <w:t xml:space="preserve">      quale, ed è diverso per ognuna.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casa editrice è nominata per esteso</w:t>
      </w:r>
      <w:r>
        <w:rPr>
          <w:rFonts w:ascii="Barlow Semi Condensed" w:cs="Barlow Semi Condensed" w:eastAsia="Barlow Semi Condensed" w:hAnsi="Barlow Semi Condensed"/>
          <w:sz w:val="24"/>
          <w:szCs w:val="24"/>
        </w:rPr>
        <w:t xml:space="preserve">, e nessun'altra compare nel</w:t>
      </w:r>
    </w:p>
    <w:p>
      <w:pPr>
        <w:spacing w:after="120" w:line="276"/>
        <w:jc w:val="both"/>
      </w:pPr>
      <w:r>
        <w:rPr>
          <w:rFonts w:ascii="Barlow Semi Condensed" w:cs="Barlow Semi Condensed" w:eastAsia="Barlow Semi Condensed" w:hAnsi="Barlow Semi Condensed"/>
          <w:sz w:val="24"/>
          <w:szCs w:val="24"/>
        </w:rPr>
        <w:t xml:space="preserve">      testo o fra i destinatari.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Gli allegati sono due</w:t>
      </w:r>
      <w:r>
        <w:rPr>
          <w:rFonts w:ascii="Barlow Semi Condensed" w:cs="Barlow Semi Condensed" w:eastAsia="Barlow Semi Condensed" w:hAnsi="Barlow Semi Condensed"/>
          <w:sz w:val="24"/>
          <w:szCs w:val="24"/>
        </w:rPr>
        <w:t xml:space="preserve">, non tre e non dodici.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La prosopopea è dichiarata nel messaggio</w:t>
      </w:r>
      <w:r>
        <w:rPr>
          <w:rFonts w:ascii="Barlow Semi Condensed" w:cs="Barlow Semi Condensed" w:eastAsia="Barlow Semi Condensed" w:hAnsi="Barlow Semi Condensed"/>
          <w:sz w:val="24"/>
          <w:szCs w:val="24"/>
        </w:rPr>
        <w:t xml:space="preserve">, non scoperta nel file. È la</w:t>
      </w:r>
    </w:p>
    <w:p>
      <w:pPr>
        <w:spacing w:after="120" w:line="276"/>
        <w:jc w:val="both"/>
      </w:pPr>
      <w:r>
        <w:rPr>
          <w:rFonts w:ascii="Barlow Semi Condensed" w:cs="Barlow Semi Condensed" w:eastAsia="Barlow Semi Condensed" w:hAnsi="Barlow Semi Condensed"/>
          <w:sz w:val="24"/>
          <w:szCs w:val="24"/>
        </w:rPr>
        <w:t xml:space="preserve">      scelta che un editore può rifiutare, e va rifiutata prima di leggere e non</w:t>
      </w:r>
    </w:p>
    <w:p>
      <w:pPr>
        <w:spacing w:after="120" w:line="276"/>
        <w:jc w:val="both"/>
      </w:pPr>
      <w:r>
        <w:rPr>
          <w:rFonts w:ascii="Barlow Semi Condensed" w:cs="Barlow Semi Condensed" w:eastAsia="Barlow Semi Condensed" w:hAnsi="Barlow Semi Condensed"/>
          <w:sz w:val="24"/>
          <w:szCs w:val="24"/>
        </w:rPr>
        <w:t xml:space="preserve">      dopo.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questo testo non fa, e va saputo</w:t>
      </w:r>
    </w:p>
    <w:p>
      <w:pPr>
        <w:spacing w:after="120" w:line="276"/>
        <w:jc w:val="both"/>
      </w:pPr>
      <w:r>
        <w:rPr>
          <w:rFonts w:ascii="Barlow Semi Condensed" w:cs="Barlow Semi Condensed" w:eastAsia="Barlow Semi Condensed" w:hAnsi="Barlow Semi Condensed"/>
          <w:sz w:val="24"/>
          <w:szCs w:val="24"/>
        </w:rPr>
        <w:t xml:space="preserve">Non promette esclusiva, perché il corpus è depositato pubblicamente con licenza</w:t>
      </w:r>
    </w:p>
    <w:p>
      <w:pPr>
        <w:spacing w:after="120" w:line="276"/>
        <w:jc w:val="both"/>
      </w:pPr>
      <w:r>
        <w:rPr>
          <w:rFonts w:ascii="Barlow Semi Condensed" w:cs="Barlow Semi Condensed" w:eastAsia="Barlow Semi Condensed" w:hAnsi="Barlow Semi Condensed"/>
          <w:sz w:val="24"/>
          <w:szCs w:val="24"/>
        </w:rPr>
        <w:t xml:space="preserve">aperta e l'esclusiva riguarderebbe semmai il saggio da scrivere. Non dichiara un</w:t>
      </w:r>
    </w:p>
    <w:p>
      <w:pPr>
        <w:spacing w:after="120" w:line="276"/>
        <w:jc w:val="both"/>
      </w:pPr>
      <w:r>
        <w:rPr>
          <w:rFonts w:ascii="Barlow Semi Condensed" w:cs="Barlow Semi Condensed" w:eastAsia="Barlow Semi Condensed" w:hAnsi="Barlow Semi Condensed"/>
          <w:sz w:val="24"/>
          <w:szCs w:val="24"/>
        </w:rPr>
        <w:t xml:space="preserve">termine di consegna, perché non ne ho uno da mantenere. Non allega il curriculum,</w:t>
      </w:r>
    </w:p>
    <w:p>
      <w:pPr>
        <w:spacing w:after="120" w:line="276"/>
        <w:jc w:val="both"/>
      </w:pPr>
      <w:r>
        <w:rPr>
          <w:rFonts w:ascii="Barlow Semi Condensed" w:cs="Barlow Semi Condensed" w:eastAsia="Barlow Semi Condensed" w:hAnsi="Barlow Semi Condensed"/>
          <w:sz w:val="24"/>
          <w:szCs w:val="24"/>
        </w:rPr>
        <w:t xml:space="preserve">che alcune case chiedono e altre no: **la checklist di invio dice a quali va</w:t>
      </w:r>
    </w:p>
    <w:p>
      <w:pPr>
        <w:spacing w:after="120" w:line="276"/>
        <w:jc w:val="both"/>
      </w:pPr>
      <w:r>
        <w:rPr>
          <w:rFonts w:ascii="Barlow Semi Condensed" w:cs="Barlow Semi Condensed" w:eastAsia="Barlow Semi Condensed" w:hAnsi="Barlow Semi Condensed"/>
          <w:sz w:val="24"/>
          <w:szCs w:val="24"/>
        </w:rPr>
        <w:t xml:space="preserve">aggiunto**.</w:t>
      </w:r>
    </w:p>
    <w:p>
      <w:pPr>
        <w:spacing w:after="120" w:line="276"/>
        <w:jc w:val="both"/>
      </w:pPr>
      <w:r>
        <w:rPr>
          <w:rFonts w:ascii="Barlow Semi Condensed" w:cs="Barlow Semi Condensed" w:eastAsia="Barlow Semi Condensed" w:hAnsi="Barlow Semi Condensed"/>
          <w:sz w:val="24"/>
          <w:szCs w:val="24"/>
        </w:rPr>
        <w:t xml:space="preserve">E non nasconde la parte scomoda. Un editore che riceva questa proposta sa dalla</w:t>
      </w:r>
    </w:p>
    <w:p>
      <w:pPr>
        <w:spacing w:after="120" w:line="276"/>
        <w:jc w:val="both"/>
      </w:pPr>
      <w:r>
        <w:rPr>
          <w:rFonts w:ascii="Barlow Semi Condensed" w:cs="Barlow Semi Condensed" w:eastAsia="Barlow Semi Condensed" w:hAnsi="Barlow Semi Condensed"/>
          <w:sz w:val="24"/>
          <w:szCs w:val="24"/>
        </w:rPr>
        <w:t xml:space="preserve">prima riga che l'opera è stata prodotta con sistemi di intelligenza artificiale.</w:t>
      </w:r>
    </w:p>
    <w:p>
      <w:pPr>
        <w:spacing w:after="120" w:line="276"/>
        <w:jc w:val="both"/>
      </w:pPr>
      <w:r>
        <w:rPr>
          <w:rFonts w:ascii="Barlow Semi Condensed" w:cs="Barlow Semi Condensed" w:eastAsia="Barlow Semi Condensed" w:hAnsi="Barlow Semi Condensed"/>
          <w:sz w:val="24"/>
          <w:szCs w:val="24"/>
        </w:rPr>
        <w:t xml:space="preserve">Alcune case chiuderanno il fascicolo per questo. È un costo che ho scelto di</w:t>
      </w:r>
    </w:p>
    <w:p>
      <w:pPr>
        <w:spacing w:after="120" w:line="276"/>
        <w:jc w:val="both"/>
      </w:pPr>
      <w:r>
        <w:rPr>
          <w:rFonts w:ascii="Barlow Semi Condensed" w:cs="Barlow Semi Condensed" w:eastAsia="Barlow Semi Condensed" w:hAnsi="Barlow Semi Condensed"/>
          <w:sz w:val="24"/>
          <w:szCs w:val="24"/>
        </w:rPr>
        <w:t xml:space="preserve">pagare in apertura anziché al primo controllo, perché una proposta che lo taccia</w:t>
      </w:r>
    </w:p>
    <w:p>
      <w:pPr>
        <w:spacing w:after="120" w:line="276"/>
        <w:jc w:val="both"/>
      </w:pPr>
      <w:r>
        <w:rPr>
          <w:rFonts w:ascii="Barlow Semi Condensed" w:cs="Barlow Semi Condensed" w:eastAsia="Barlow Semi Condensed" w:hAnsi="Barlow Semi Condensed"/>
          <w:sz w:val="24"/>
          <w:szCs w:val="24"/>
        </w:rPr>
        <w:t xml:space="preserve">e venga scoperta dopo non perde una casa editrice: perde la credibilità del</w:t>
      </w:r>
    </w:p>
    <w:p>
      <w:pPr>
        <w:spacing w:after="120" w:line="276"/>
        <w:jc w:val="both"/>
      </w:pPr>
      <w:r>
        <w:rPr>
          <w:rFonts w:ascii="Barlow Semi Condensed" w:cs="Barlow Semi Condensed" w:eastAsia="Barlow Semi Condensed" w:hAnsi="Barlow Semi Condensed"/>
          <w:sz w:val="24"/>
          <w:szCs w:val="24"/>
        </w:rPr>
        <w:t xml:space="preserve">metodo, che è l'unica cosa che quest'opera abbia davvero da offrire.</w:t>
      </w:r>
    </w:p>
    <w:p>
      <w:pPr>
        <w:pStyle w:val="Heading3"/>
        <w:spacing w:after="80" w:before="240"/>
      </w:pPr>
      <w:r>
        <w:rPr>
          <w:rFonts w:ascii="Barlow Semi Condensed" w:cs="Barlow Semi Condensed" w:eastAsia="Barlow Semi Condensed" w:hAnsi="Barlow Semi Condensed"/>
          <w:sz w:val="24"/>
          <w:szCs w:val="24"/>
        </w:rPr>
        <w:t xml:space="preserve">Apparato grafico — Appendici · xix. La PEC di presentazione per le case editrici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IV.xix: 1.878 parole in 6 sezioni; la più ampia è §4 Corpo del messaggio, con 1.352.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IV.xix: 42 paragrafi in 6 sezioni, 7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V. i. La certificazione dei numeri P2</w:t>
      </w:r>
    </w:p>
    <w:p>
      <w:pPr>
        <w:pStyle w:val="Heading1"/>
        <w:spacing w:after="120" w:before="240"/>
      </w:pPr>
      <w:r>
        <w:rPr>
          <w:rFonts w:ascii="Barlow Semi Condensed" w:cs="Barlow Semi Condensed" w:eastAsia="Barlow Semi Condensed" w:hAnsi="Barlow Semi Condensed"/>
          <w:sz w:val="24"/>
          <w:szCs w:val="24"/>
        </w:rPr>
        <w:t xml:space="preserve">Certificazione dei numeri di tessera e di fascicolo — esito</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Verifica condotta il 27 agosto 2026 su richiesta</w:t>
      </w:r>
    </w:p>
    <w:p>
      <w:pPr>
        <w:spacing w:after="120" w:line="276"/>
        <w:jc w:val="both"/>
      </w:pPr>
      <w:r>
        <w:rPr>
          <w:rFonts w:ascii="Barlow Semi Condensed" w:cs="Barlow Semi Condensed" w:eastAsia="Barlow Semi Condensed" w:hAnsi="Barlow Semi Condensed"/>
          <w:sz w:val="24"/>
          <w:szCs w:val="24"/>
        </w:rPr>
        <w:t xml:space="preserve">dell'autore, con diciassette agenti di ricerca indipendenti.*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La risposta, in una riga</w:t>
      </w:r>
    </w:p>
    <w:p>
      <w:pPr>
        <w:spacing w:after="120" w:line="276"/>
        <w:jc w:val="both"/>
      </w:pPr>
      <w:r>
        <w:rPr>
          <w:rFonts w:ascii="Barlow Semi Condensed" w:cs="Barlow Semi Condensed" w:eastAsia="Barlow Semi Condensed" w:hAnsi="Barlow Semi Condensed"/>
          <w:b/>
          <w:bCs/>
          <w:sz w:val="24"/>
          <w:szCs w:val="24"/>
        </w:rPr>
        <w:t xml:space="preserve">Nessuno dei trentatré numeri è certificabile. Non uno.</w:t>
      </w:r>
    </w:p>
    <w:p>
      <w:pPr>
        <w:spacing w:after="120" w:line="276"/>
        <w:jc w:val="both"/>
      </w:pPr>
      <w:r>
        <w:rPr>
          <w:rFonts w:ascii="Barlow Semi Condensed" w:cs="Barlow Semi Condensed" w:eastAsia="Barlow Semi Condensed" w:hAnsi="Barlow Semi Condensed"/>
          <w:sz w:val="24"/>
          <w:szCs w:val="24"/>
        </w:rPr>
        <w:t xml:space="preserve">Il no non dipende da una difficoltà contingente. Dipende dal fatto che</w:t>
      </w:r>
    </w:p>
    <w:p>
      <w:pPr>
        <w:spacing w:after="120" w:line="276"/>
        <w:jc w:val="both"/>
      </w:pPr>
      <w:r>
        <w:rPr>
          <w:rFonts w:ascii="Barlow Semi Condensed" w:cs="Barlow Semi Condensed" w:eastAsia="Barlow Semi Condensed" w:hAnsi="Barlow Semi Condensed"/>
          <w:sz w:val="24"/>
          <w:szCs w:val="24"/>
        </w:rPr>
        <w:t xml:space="preserve">certificare è un atto diverso dal verificare, e richiede una cosa che nessuna</w:t>
      </w:r>
    </w:p>
    <w:p>
      <w:pPr>
        <w:spacing w:after="120" w:line="276"/>
        <w:jc w:val="both"/>
      </w:pPr>
      <w:r>
        <w:rPr>
          <w:rFonts w:ascii="Barlow Semi Condensed" w:cs="Barlow Semi Condensed" w:eastAsia="Barlow Semi Condensed" w:hAnsi="Barlow Semi Condensed"/>
          <w:sz w:val="24"/>
          <w:szCs w:val="24"/>
        </w:rPr>
        <w:t xml:space="preserve">quantità di fonti secondarie può surrogare: il documento aperto, la colonna</w:t>
      </w:r>
    </w:p>
    <w:p>
      <w:pPr>
        <w:spacing w:after="120" w:line="276"/>
        <w:jc w:val="both"/>
      </w:pPr>
      <w:r>
        <w:rPr>
          <w:rFonts w:ascii="Barlow Semi Condensed" w:cs="Barlow Semi Condensed" w:eastAsia="Barlow Semi Condensed" w:hAnsi="Barlow Semi Condensed"/>
          <w:sz w:val="24"/>
          <w:szCs w:val="24"/>
        </w:rPr>
        <w:t xml:space="preserve">con la sua intestazione, la riga letta per intero.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limite di questa verifica, dichiarato per primo</w:t>
      </w:r>
    </w:p>
    <w:p>
      <w:pPr>
        <w:spacing w:after="120" w:line="276"/>
        <w:jc w:val="both"/>
      </w:pPr>
      <w:r>
        <w:rPr>
          <w:rFonts w:ascii="Barlow Semi Condensed" w:cs="Barlow Semi Condensed" w:eastAsia="Barlow Semi Condensed" w:hAnsi="Barlow Semi Condensed"/>
          <w:sz w:val="24"/>
          <w:szCs w:val="24"/>
        </w:rPr>
        <w:t xml:space="preserve">Va detto prima dei risultati, perché ne cambia il peso.</w:t>
      </w:r>
    </w:p>
    <w:p>
      <w:pPr>
        <w:spacing w:after="120" w:line="276"/>
        <w:jc w:val="both"/>
      </w:pPr>
      <w:r>
        <w:rPr>
          <w:rFonts w:ascii="Barlow Semi Condensed" w:cs="Barlow Semi Condensed" w:eastAsia="Barlow Semi Condensed" w:hAnsi="Barlow Semi Condensed"/>
          <w:sz w:val="24"/>
          <w:szCs w:val="24"/>
        </w:rPr>
        <w:t xml:space="preserve">La ricerca ha esaurito il proprio budget di interrogazioni </w:t>
      </w:r>
      <w:r>
        <w:rPr>
          <w:rFonts w:ascii="Barlow Semi Condensed" w:cs="Barlow Semi Condensed" w:eastAsia="Barlow Semi Condensed" w:hAnsi="Barlow Semi Condensed"/>
          <w:b/>
          <w:bCs/>
          <w:sz w:val="24"/>
          <w:szCs w:val="24"/>
        </w:rPr>
        <w:t xml:space="preserve">a metà corsa</w:t>
      </w:r>
      <w:r>
        <w:rPr>
          <w:rFonts w:ascii="Barlow Semi Condensed" w:cs="Barlow Semi Condensed" w:eastAsia="Barlow Semi Condensed" w:hAnsi="Barlow Semi Condensed"/>
          <w:sz w:val="24"/>
          <w:szCs w:val="24"/>
        </w:rPr>
        <w:t xml:space="preserve">. I</w:t>
      </w:r>
    </w:p>
    <w:p>
      <w:pPr>
        <w:spacing w:after="120" w:line="276"/>
        <w:jc w:val="both"/>
      </w:pPr>
      <w:r>
        <w:rPr>
          <w:rFonts w:ascii="Barlow Semi Condensed" w:cs="Barlow Semi Condensed" w:eastAsia="Barlow Semi Condensed" w:hAnsi="Barlow Semi Condensed"/>
          <w:sz w:val="24"/>
          <w:szCs w:val="24"/>
        </w:rPr>
        <w:t xml:space="preserve">primi sei gruppi di nomi sono stati verificati con accesso alla rete; i due</w:t>
      </w:r>
    </w:p>
    <w:p>
      <w:pPr>
        <w:spacing w:after="120" w:line="276"/>
        <w:jc w:val="both"/>
      </w:pPr>
      <w:r>
        <w:rPr>
          <w:rFonts w:ascii="Barlow Semi Condensed" w:cs="Barlow Semi Condensed" w:eastAsia="Barlow Semi Condensed" w:hAnsi="Barlow Semi Condensed"/>
          <w:sz w:val="24"/>
          <w:szCs w:val="24"/>
        </w:rPr>
        <w:t xml:space="preserve">approfondimenti finali e </w:t>
      </w:r>
      <w:r>
        <w:rPr>
          <w:rFonts w:ascii="Barlow Semi Condensed" w:cs="Barlow Semi Condensed" w:eastAsia="Barlow Semi Condensed" w:hAnsi="Barlow Semi Condensed"/>
          <w:b/>
          <w:bCs/>
          <w:sz w:val="24"/>
          <w:szCs w:val="24"/>
        </w:rPr>
        <w:t xml:space="preserve">l'intera fase di refutazione</w:t>
      </w:r>
      <w:r>
        <w:rPr>
          <w:rFonts w:ascii="Barlow Semi Condensed" w:cs="Barlow Semi Condensed" w:eastAsia="Barlow Semi Condensed" w:hAnsi="Barlow Semi Condensed"/>
          <w:sz w:val="24"/>
          <w:szCs w:val="24"/>
        </w:rPr>
        <w:t xml:space="preserve"> si sono svolti senza</w:t>
      </w:r>
    </w:p>
    <w:p>
      <w:pPr>
        <w:spacing w:after="120" w:line="276"/>
        <w:jc w:val="both"/>
      </w:pPr>
      <w:r>
        <w:rPr>
          <w:rFonts w:ascii="Barlow Semi Condensed" w:cs="Barlow Semi Condensed" w:eastAsia="Barlow Semi Condensed" w:hAnsi="Barlow Semi Condensed"/>
          <w:sz w:val="24"/>
          <w:szCs w:val="24"/>
        </w:rPr>
        <w:t xml:space="preserve">poter aprire una sola fonte. I refutatori hanno restituito «refutato» per</w:t>
      </w:r>
    </w:p>
    <w:p>
      <w:pPr>
        <w:spacing w:after="120" w:line="276"/>
        <w:jc w:val="both"/>
      </w:pPr>
      <w:r>
        <w:rPr>
          <w:rFonts w:ascii="Barlow Semi Condensed" w:cs="Barlow Semi Condensed" w:eastAsia="Barlow Semi Condensed" w:hAnsi="Barlow Semi Condensed"/>
          <w:sz w:val="24"/>
          <w:szCs w:val="24"/>
        </w:rPr>
        <w:t xml:space="preserve">ciascun numero, ma il motivo che adducono è sempre lo stesso: *nessuna fonte</w:t>
      </w:r>
    </w:p>
    <w:p>
      <w:pPr>
        <w:spacing w:after="120" w:line="276"/>
        <w:jc w:val="both"/>
      </w:pPr>
      <w:r>
        <w:rPr>
          <w:rFonts w:ascii="Barlow Semi Condensed" w:cs="Barlow Semi Condensed" w:eastAsia="Barlow Semi Condensed" w:hAnsi="Barlow Semi Condensed"/>
          <w:sz w:val="24"/>
          <w:szCs w:val="24"/>
        </w:rPr>
        <w:t xml:space="preserve">consultata, nessuna consultabile*.</w:t>
      </w:r>
    </w:p>
    <w:p>
      <w:pPr>
        <w:spacing w:after="120" w:line="276"/>
        <w:jc w:val="both"/>
      </w:pPr>
      <w:r>
        <w:rPr>
          <w:rFonts w:ascii="Barlow Semi Condensed" w:cs="Barlow Semi Condensed" w:eastAsia="Barlow Semi Condensed" w:hAnsi="Barlow Semi Condensed"/>
          <w:sz w:val="24"/>
          <w:szCs w:val="24"/>
        </w:rPr>
        <w:t xml:space="preserve">**Quelle refutazioni non sono prove contrarie: sono impossibilità di</w:t>
      </w:r>
    </w:p>
    <w:p>
      <w:pPr>
        <w:spacing w:after="120" w:line="276"/>
        <w:jc w:val="both"/>
      </w:pPr>
      <w:r>
        <w:rPr>
          <w:rFonts w:ascii="Barlow Semi Condensed" w:cs="Barlow Semi Condensed" w:eastAsia="Barlow Semi Condensed" w:hAnsi="Barlow Semi Condensed"/>
          <w:sz w:val="24"/>
          <w:szCs w:val="24"/>
        </w:rPr>
        <w:t xml:space="preserve">verificare.** Le registro come tali e non le conteggio come riscontri</w:t>
      </w:r>
    </w:p>
    <w:p>
      <w:pPr>
        <w:spacing w:after="120" w:line="276"/>
        <w:jc w:val="both"/>
      </w:pPr>
      <w:r>
        <w:rPr>
          <w:rFonts w:ascii="Barlow Semi Condensed" w:cs="Barlow Semi Condensed" w:eastAsia="Barlow Semi Condensed" w:hAnsi="Barlow Semi Condensed"/>
          <w:sz w:val="24"/>
          <w:szCs w:val="24"/>
        </w:rPr>
        <w:t xml:space="preserve">negativi. Presentarle altrimenti sarebbe esattamente l'errore che quest'opera</w:t>
      </w:r>
    </w:p>
    <w:p>
      <w:pPr>
        <w:spacing w:after="120" w:line="276"/>
        <w:jc w:val="both"/>
      </w:pPr>
      <w:r>
        <w:rPr>
          <w:rFonts w:ascii="Barlow Semi Condensed" w:cs="Barlow Semi Condensed" w:eastAsia="Barlow Semi Condensed" w:hAnsi="Barlow Semi Condensed"/>
          <w:sz w:val="24"/>
          <w:szCs w:val="24"/>
        </w:rPr>
        <w:t xml:space="preserve">esiste per non commettere.</w:t>
      </w:r>
    </w:p>
    <w:p>
      <w:pPr>
        <w:spacing w:after="120" w:line="276"/>
        <w:jc w:val="both"/>
      </w:pPr>
      <w:r>
        <w:rPr>
          <w:rFonts w:ascii="Barlow Semi Condensed" w:cs="Barlow Semi Condensed" w:eastAsia="Barlow Semi Condensed" w:hAnsi="Barlow Semi Condensed"/>
          <w:sz w:val="24"/>
          <w:szCs w:val="24"/>
        </w:rPr>
        <w:t xml:space="preserve">Il grado massimo attribuibile a qualunque affermazione di questo documento è</w:t>
      </w:r>
    </w:p>
    <w:p>
      <w:pPr>
        <w:spacing w:after="120" w:line="276"/>
        <w:jc w:val="both"/>
      </w:pPr>
      <w:r>
        <w:rPr>
          <w:rFonts w:ascii="Barlow Semi Condensed" w:cs="Barlow Semi Condensed" w:eastAsia="Barlow Semi Condensed" w:hAnsi="Barlow Semi Condensed"/>
          <w:sz w:val="24"/>
          <w:szCs w:val="24"/>
        </w:rPr>
        <w:t xml:space="preserve">perciò </w:t>
      </w:r>
      <w:r>
        <w:rPr>
          <w:rFonts w:ascii="Barlow Semi Condensed" w:cs="Barlow Semi Condensed" w:eastAsia="Barlow Semi Condensed" w:hAnsi="Barlow Semi Condensed"/>
          <w:b/>
          <w:bCs/>
          <w:sz w:val="24"/>
          <w:szCs w:val="24"/>
        </w:rPr>
        <w:t xml:space="preserve">C</w:t>
      </w:r>
      <w:r>
        <w:rPr>
          <w:rFonts w:ascii="Barlow Semi Condensed" w:cs="Barlow Semi Condensed" w:eastAsia="Barlow Semi Condensed" w:hAnsi="Barlow Semi Condensed"/>
          <w:sz w:val="24"/>
          <w:szCs w:val="24"/>
        </w:rPr>
        <w:t xml:space="preserve">, salvo dove indicato.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L'appartenenza: che cosa regge</w:t>
      </w:r>
    </w:p>
    <w:p>
      <w:pPr>
        <w:spacing w:after="120" w:line="276"/>
        <w:jc w:val="both"/>
      </w:pPr>
      <w:r>
        <w:rPr>
          <w:rFonts w:ascii="Barlow Semi Condensed" w:cs="Barlow Semi Condensed" w:eastAsia="Barlow Semi Condensed" w:hAnsi="Barlow Semi Condensed"/>
          <w:sz w:val="24"/>
          <w:szCs w:val="24"/>
        </w:rPr>
        <w:t xml:space="preserve">Su trentatré nomi, la ricerca indipendente ha trovato: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appartenenza </w:t>
            </w:r>
            <w:r>
              <w:rPr>
                <w:rFonts w:ascii="Barlow Semi Condensed" w:cs="Barlow Semi Condensed" w:eastAsia="Barlow Semi Condensed" w:hAnsi="Barlow Semi Condensed"/>
                <w:b/>
                <w:bCs/>
                <w:sz w:val="20"/>
                <w:szCs w:val="20"/>
              </w:rPr>
              <w:t xml:space="preserve">documentata</w:t>
            </w:r>
            <w:r>
              <w:rPr>
                <w:rFonts w:ascii="Barlow Semi Condensed" w:cs="Barlow Semi Condensed" w:eastAsia="Barlow Semi Condensed" w:hAnsi="Barlow Semi Condensed"/>
                <w:sz w:val="20"/>
                <w:szCs w:val="20"/>
              </w:rPr>
              <w:t xml:space="preserve"> da fonti indipendenti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28</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posizione </w:t>
            </w:r>
            <w:r>
              <w:rPr>
                <w:rFonts w:ascii="Barlow Semi Condensed" w:cs="Barlow Semi Condensed" w:eastAsia="Barlow Semi Condensed" w:hAnsi="Barlow Semi Condensed"/>
                <w:b/>
                <w:bCs/>
                <w:sz w:val="20"/>
                <w:szCs w:val="20"/>
              </w:rPr>
              <w:t xml:space="preserve">contestata in sede giudiziaria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appartenenza </w:t>
            </w:r>
            <w:r>
              <w:rPr>
                <w:rFonts w:ascii="Barlow Semi Condensed" w:cs="Barlow Semi Condensed" w:eastAsia="Barlow Semi Condensed" w:hAnsi="Barlow Semi Condensed"/>
                <w:b/>
                <w:bCs/>
                <w:sz w:val="20"/>
                <w:szCs w:val="20"/>
              </w:rPr>
              <w:t xml:space="preserve">non trovata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Contestata (1):</w:t>
      </w:r>
      <w:r>
        <w:rPr>
          <w:rFonts w:ascii="Barlow Semi Condensed" w:cs="Barlow Semi Condensed" w:eastAsia="Barlow Semi Condensed" w:hAnsi="Barlow Semi Condensed"/>
          <w:sz w:val="24"/>
          <w:szCs w:val="24"/>
        </w:rPr>
        <w:t xml:space="preserve"> Vito Miceli.</w:t>
      </w:r>
    </w:p>
    <w:p>
      <w:pPr>
        <w:spacing w:after="120" w:line="276"/>
        <w:jc w:val="both"/>
      </w:pPr>
      <w:r>
        <w:rPr>
          <w:rFonts w:ascii="Barlow Semi Condensed" w:cs="Barlow Semi Condensed" w:eastAsia="Barlow Semi Condensed" w:hAnsi="Barlow Semi Condensed"/>
          <w:b/>
          <w:bCs/>
          <w:sz w:val="24"/>
          <w:szCs w:val="24"/>
        </w:rPr>
        <w:t xml:space="preserve">Non trovata (4):</w:t>
      </w:r>
      <w:r>
        <w:rPr>
          <w:rFonts w:ascii="Barlow Semi Condensed" w:cs="Barlow Semi Condensed" w:eastAsia="Barlow Semi Condensed" w:hAnsi="Barlow Semi Condensed"/>
          <w:sz w:val="24"/>
          <w:szCs w:val="24"/>
        </w:rPr>
        <w:t xml:space="preserve"> Stefano Giovannone, Camillo Guglielmi, Antonio Varisco,</w:t>
      </w:r>
    </w:p>
    <w:p>
      <w:pPr>
        <w:spacing w:after="120" w:line="276"/>
        <w:jc w:val="both"/>
      </w:pPr>
      <w:r>
        <w:rPr>
          <w:rFonts w:ascii="Barlow Semi Condensed" w:cs="Barlow Semi Condensed" w:eastAsia="Barlow Semi Condensed" w:hAnsi="Barlow Semi Condensed"/>
          <w:sz w:val="24"/>
          <w:szCs w:val="24"/>
        </w:rPr>
        <w:t xml:space="preserve">Achille Gallucci. Per questi quattro la ricerca non ha reperito conferma</w:t>
      </w:r>
    </w:p>
    <w:p>
      <w:pPr>
        <w:spacing w:after="120" w:line="276"/>
        <w:jc w:val="both"/>
      </w:pPr>
      <w:r>
        <w:rPr>
          <w:rFonts w:ascii="Barlow Semi Condensed" w:cs="Barlow Semi Condensed" w:eastAsia="Barlow Semi Condensed" w:hAnsi="Barlow Semi Condensed"/>
          <w:sz w:val="24"/>
          <w:szCs w:val="24"/>
        </w:rPr>
        <w:t xml:space="preserve">dell'appartenenza. Su Guglielmi va ribadita la distinzione che il testo</w:t>
      </w:r>
    </w:p>
    <w:p>
      <w:pPr>
        <w:spacing w:after="120" w:line="276"/>
        <w:jc w:val="both"/>
      </w:pPr>
      <w:r>
        <w:rPr>
          <w:rFonts w:ascii="Barlow Semi Condensed" w:cs="Barlow Semi Condensed" w:eastAsia="Barlow Semi Condensed" w:hAnsi="Barlow Semi Condensed"/>
          <w:sz w:val="24"/>
          <w:szCs w:val="24"/>
        </w:rPr>
        <w:t xml:space="preserve">esaminato non fa: **la presenza in via Fani il 16 marzo è oggetto di</w:t>
      </w:r>
    </w:p>
    <w:p>
      <w:pPr>
        <w:spacing w:after="120" w:line="276"/>
        <w:jc w:val="both"/>
      </w:pPr>
      <w:r>
        <w:rPr>
          <w:rFonts w:ascii="Barlow Semi Condensed" w:cs="Barlow Semi Condensed" w:eastAsia="Barlow Semi Condensed" w:hAnsi="Barlow Semi Condensed"/>
          <w:sz w:val="24"/>
          <w:szCs w:val="24"/>
        </w:rPr>
        <w:t xml:space="preserve">accertamento documentato, l'appartenenza alla loggia non lo è.** Sono due</w:t>
      </w:r>
    </w:p>
    <w:p>
      <w:pPr>
        <w:spacing w:after="120" w:line="276"/>
        <w:jc w:val="both"/>
      </w:pPr>
      <w:r>
        <w:rPr>
          <w:rFonts w:ascii="Barlow Semi Condensed" w:cs="Barlow Semi Condensed" w:eastAsia="Barlow Semi Condensed" w:hAnsi="Barlow Semi Condensed"/>
          <w:sz w:val="24"/>
          <w:szCs w:val="24"/>
        </w:rPr>
        <w:t xml:space="preserve">affermazioni di rango diverso.</w:t>
      </w:r>
    </w:p>
    <w:p>
      <w:pPr>
        <w:spacing w:after="120" w:line="276"/>
        <w:jc w:val="both"/>
      </w:pPr>
      <w:r>
        <w:rPr>
          <w:rFonts w:ascii="Barlow Semi Condensed" w:cs="Barlow Semi Condensed" w:eastAsia="Barlow Semi Condensed" w:hAnsi="Barlow Semi Condensed"/>
          <w:sz w:val="24"/>
          <w:szCs w:val="24"/>
        </w:rPr>
        <w:t xml:space="preserve">L'appartenenza, dunque, in larga parte regge. È il campo dei numeri che cede.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Il risultato più solido: la calibrazione</w:t>
      </w:r>
    </w:p>
    <w:p>
      <w:pPr>
        <w:spacing w:after="120" w:line="276"/>
        <w:jc w:val="both"/>
      </w:pPr>
      <w:r>
        <w:rPr>
          <w:rFonts w:ascii="Barlow Semi Condensed" w:cs="Barlow Semi Condensed" w:eastAsia="Barlow Semi Condensed" w:hAnsi="Barlow Semi Condensed"/>
          <w:sz w:val="24"/>
          <w:szCs w:val="24"/>
        </w:rPr>
        <w:t xml:space="preserve">È l'unico accertamento di rango documentale prodotto da questo lotto, e vale</w:t>
      </w:r>
    </w:p>
    <w:p>
      <w:pPr>
        <w:spacing w:after="120" w:line="276"/>
        <w:jc w:val="both"/>
      </w:pPr>
      <w:r>
        <w:rPr>
          <w:rFonts w:ascii="Barlow Semi Condensed" w:cs="Barlow Semi Condensed" w:eastAsia="Barlow Semi Condensed" w:hAnsi="Barlow Semi Condensed"/>
          <w:sz w:val="24"/>
          <w:szCs w:val="24"/>
        </w:rPr>
        <w:t xml:space="preserve">per tutti i nomi.</w:t>
      </w:r>
    </w:p>
    <w:p>
      <w:pPr>
        <w:spacing w:after="120" w:line="276"/>
        <w:jc w:val="both"/>
      </w:pPr>
      <w:r>
        <w:rPr>
          <w:rFonts w:ascii="Barlow Semi Condensed" w:cs="Barlow Semi Condensed" w:eastAsia="Barlow Semi Condensed" w:hAnsi="Barlow Semi Condensed"/>
          <w:sz w:val="24"/>
          <w:szCs w:val="24"/>
        </w:rPr>
        <w:t xml:space="preserve">Nelle trascrizioni dell'elenco sequestrato i nomi compaiono nella forma</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b/>
          <w:bCs/>
          <w:sz w:val="24"/>
          <w:szCs w:val="24"/>
        </w:rPr>
        <w:t xml:space="preserve">gen. Giuseppe Santovito (Roma, 527)</w:t>
      </w:r>
      <w:r>
        <w:rPr>
          <w:rFonts w:ascii="Barlow Semi Condensed" w:cs="Barlow Semi Condensed" w:eastAsia="Barlow Semi Condensed" w:hAnsi="Barlow Semi Condensed"/>
          <w:sz w:val="24"/>
          <w:szCs w:val="24"/>
        </w:rPr>
        <w:t xml:space="preserve">», e la voce di lista descrive quella</w:t>
      </w:r>
    </w:p>
    <w:p>
      <w:pPr>
        <w:spacing w:after="120" w:line="276"/>
        <w:jc w:val="both"/>
      </w:pPr>
      <w:r>
        <w:rPr>
          <w:rFonts w:ascii="Barlow Semi Condensed" w:cs="Barlow Semi Condensed" w:eastAsia="Barlow Semi Condensed" w:hAnsi="Barlow Semi Condensed"/>
          <w:sz w:val="24"/>
          <w:szCs w:val="24"/>
        </w:rPr>
        <w:t xml:space="preserve">colonna come </w:t>
      </w:r>
      <w:r>
        <w:rPr>
          <w:rFonts w:ascii="Barlow Semi Condensed" w:cs="Barlow Semi Condensed" w:eastAsia="Barlow Semi Condensed" w:hAnsi="Barlow Semi Condensed"/>
          <w:b/>
          <w:bCs/>
          <w:sz w:val="24"/>
          <w:szCs w:val="24"/>
        </w:rPr>
        <w:t xml:space="preserve">numero di fascicolo</w:t>
      </w:r>
      <w:r>
        <w:rPr>
          <w:rFonts w:ascii="Barlow Semi Condensed" w:cs="Barlow Semi Condensed" w:eastAsia="Barlow Semi Condensed" w:hAnsi="Barlow Semi Condensed"/>
          <w:sz w:val="24"/>
          <w:szCs w:val="24"/>
        </w:rPr>
        <w:t xml:space="preserve"> — lo conferma una riga contigua che lo</w:t>
      </w:r>
    </w:p>
    <w:p>
      <w:pPr>
        <w:spacing w:after="120" w:line="276"/>
        <w:jc w:val="both"/>
      </w:pPr>
      <w:r>
        <w:rPr>
          <w:rFonts w:ascii="Barlow Semi Condensed" w:cs="Barlow Semi Condensed" w:eastAsia="Barlow Semi Condensed" w:hAnsi="Barlow Semi Condensed"/>
          <w:sz w:val="24"/>
          <w:szCs w:val="24"/>
        </w:rPr>
        <w:t xml:space="preserve">scrive per esteso: «ten. col. Sergio Acciai (Firenze, in sonno, fascicolo 113)».</w:t>
      </w:r>
    </w:p>
    <w:p>
      <w:pPr>
        <w:spacing w:after="120" w:line="276"/>
        <w:jc w:val="both"/>
      </w:pPr>
      <w:r>
        <w:rPr>
          <w:rFonts w:ascii="Barlow Semi Condensed" w:cs="Barlow Semi Condensed" w:eastAsia="Barlow Semi Condensed" w:hAnsi="Barlow Semi Condensed"/>
          <w:sz w:val="24"/>
          <w:szCs w:val="24"/>
        </w:rPr>
        <w:t xml:space="preserve">Due coppie pubblicate e concordanti lo dimostrano: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nell'elenco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tessera documentata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Silvio Berlusconi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(Milano, </w:t>
            </w:r>
            <w:r>
              <w:rPr>
                <w:rFonts w:ascii="Barlow Semi Condensed" w:cs="Barlow Semi Condensed" w:eastAsia="Barlow Semi Condensed" w:hAnsi="Barlow Semi Condensed"/>
                <w:b/>
                <w:bCs/>
                <w:sz w:val="20"/>
                <w:szCs w:val="20"/>
              </w:rPr>
              <w:t xml:space="preserve">625</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1816</w:t>
            </w:r>
            <w:r>
              <w:rPr>
                <w:rFonts w:ascii="Barlow Semi Condensed" w:cs="Barlow Semi Condensed" w:eastAsia="Barlow Semi Condensed" w:hAnsi="Barlow Semi Condensed"/>
                <w:sz w:val="20"/>
                <w:szCs w:val="20"/>
              </w:rPr>
              <w:t xml:space="preserve"> — scheda: gruppo 17, fascicolo 0625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Maurizio Costanzo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(Roma, </w:t>
            </w:r>
            <w:r>
              <w:rPr>
                <w:rFonts w:ascii="Barlow Semi Condensed" w:cs="Barlow Semi Condensed" w:eastAsia="Barlow Semi Condensed" w:hAnsi="Barlow Semi Condensed"/>
                <w:b/>
                <w:bCs/>
                <w:sz w:val="20"/>
                <w:szCs w:val="20"/>
              </w:rPr>
              <w:t xml:space="preserve">626</w:t>
            </w:r>
            <w:r>
              <w:rPr>
                <w:rFonts w:ascii="Barlow Semi Condensed" w:cs="Barlow Semi Condensed" w:eastAsia="Barlow Semi Condensed" w:hAnsi="Barlow Semi Condensed"/>
                <w:sz w:val="20"/>
                <w:szCs w:val="20"/>
              </w:rPr>
              <w:t xml:space="preserv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1819</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La cifra fra parentesi non è il numero di tessera. È il fascicolo.</w:t>
      </w:r>
    </w:p>
    <w:p>
      <w:pPr>
        <w:spacing w:after="120" w:line="276"/>
        <w:jc w:val="both"/>
      </w:pPr>
      <w:r>
        <w:rPr>
          <w:rFonts w:ascii="Barlow Semi Condensed" w:cs="Barlow Semi Condensed" w:eastAsia="Barlow Semi Condensed" w:hAnsi="Barlow Semi Condensed"/>
          <w:sz w:val="24"/>
          <w:szCs w:val="24"/>
        </w:rPr>
        <w:t xml:space="preserve">Ne segue, meccanicamente, che ogni valore sotto il migliaio che il testo</w:t>
      </w:r>
    </w:p>
    <w:p>
      <w:pPr>
        <w:spacing w:after="120" w:line="276"/>
        <w:jc w:val="both"/>
      </w:pPr>
      <w:r>
        <w:rPr>
          <w:rFonts w:ascii="Barlow Semi Condensed" w:cs="Barlow Semi Condensed" w:eastAsia="Barlow Semi Condensed" w:hAnsi="Barlow Semi Condensed"/>
          <w:sz w:val="24"/>
          <w:szCs w:val="24"/>
        </w:rPr>
        <w:t xml:space="preserve">esaminato chiama «tessera» è un numero di fascicolo con l'etichetta sbagliata.</w:t>
      </w:r>
    </w:p>
    <w:p>
      <w:pPr>
        <w:spacing w:after="120" w:line="276"/>
        <w:jc w:val="both"/>
      </w:pPr>
      <w:r>
        <w:rPr>
          <w:rFonts w:ascii="Barlow Semi Condensed" w:cs="Barlow Semi Condensed" w:eastAsia="Barlow Semi Condensed" w:hAnsi="Barlow Semi Condensed"/>
          <w:sz w:val="24"/>
          <w:szCs w:val="24"/>
        </w:rPr>
        <w:t xml:space="preserve">Non è un errore di trascrizione: è una confusione di campo, e si propaga a</w:t>
      </w:r>
    </w:p>
    <w:p>
      <w:pPr>
        <w:spacing w:after="120" w:line="276"/>
        <w:jc w:val="both"/>
      </w:pPr>
      <w:r>
        <w:rPr>
          <w:rFonts w:ascii="Barlow Semi Condensed" w:cs="Barlow Semi Condensed" w:eastAsia="Barlow Semi Condensed" w:hAnsi="Barlow Semi Condensed"/>
          <w:sz w:val="24"/>
          <w:szCs w:val="24"/>
        </w:rPr>
        <w:t xml:space="preserve">tutta la tabella.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L'aritmetica: uno scarto che non deriva</w:t>
      </w:r>
    </w:p>
    <w:p>
      <w:pPr>
        <w:spacing w:after="120" w:line="276"/>
        <w:jc w:val="both"/>
      </w:pPr>
      <w:r>
        <w:rPr>
          <w:rFonts w:ascii="Barlow Semi Condensed" w:cs="Barlow Semi Condensed" w:eastAsia="Barlow Semi Condensed" w:hAnsi="Barlow Semi Condensed"/>
          <w:sz w:val="24"/>
          <w:szCs w:val="24"/>
        </w:rPr>
        <w:t xml:space="preserve">Questa parte non dipende da alcuna fonte. È il testo contro sé stesso.</w:t>
      </w:r>
    </w:p>
    <w:p>
      <w:pPr>
        <w:spacing w:after="120" w:line="276"/>
        <w:jc w:val="both"/>
      </w:pPr>
      <w:r>
        <w:rPr>
          <w:rFonts w:ascii="Barlow Semi Condensed" w:cs="Barlow Semi Condensed" w:eastAsia="Barlow Semi Condensed" w:hAnsi="Barlow Semi Condensed"/>
          <w:sz w:val="24"/>
          <w:szCs w:val="24"/>
        </w:rPr>
        <w:t xml:space="preserve">Delle trentatré righe, venti danno sia una tessera sia un fascicolo. **Otto di</w:t>
      </w:r>
    </w:p>
    <w:p>
      <w:pPr>
        <w:spacing w:after="120" w:line="276"/>
        <w:jc w:val="both"/>
      </w:pPr>
      <w:r>
        <w:rPr>
          <w:rFonts w:ascii="Barlow Semi Condensed" w:cs="Barlow Semi Condensed" w:eastAsia="Barlow Semi Condensed" w:hAnsi="Barlow Semi Condensed"/>
          <w:sz w:val="24"/>
          <w:szCs w:val="24"/>
        </w:rPr>
        <w:t xml:space="preserve">esse hanno lo scarto identico: esattamente 1.088.**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tessera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fascicolo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scarto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Giudice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1.592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504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Lo Prete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1.600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512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Guglielmi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1.602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514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Pelosi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1.607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519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Siracusano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1.608</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520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Torrisi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1.619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531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Giovannone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1.620</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532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Gallucci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1.634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546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1.088</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Se due numerazioni progressive corrono in parallelo su un blocco contiguo,</w:t>
      </w:r>
    </w:p>
    <w:p>
      <w:pPr>
        <w:spacing w:after="120" w:line="276"/>
        <w:jc w:val="both"/>
      </w:pPr>
      <w:r>
        <w:rPr>
          <w:rFonts w:ascii="Barlow Semi Condensed" w:cs="Barlow Semi Condensed" w:eastAsia="Barlow Semi Condensed" w:hAnsi="Barlow Semi Condensed"/>
          <w:sz w:val="24"/>
          <w:szCs w:val="24"/>
        </w:rPr>
        <w:t xml:space="preserve">ogni altra coppia del blocco deve stare sulla stessa retta: **se il 1.602 è il</w:t>
      </w:r>
    </w:p>
    <w:p>
      <w:pPr>
        <w:spacing w:after="120" w:line="276"/>
        <w:jc w:val="both"/>
      </w:pPr>
      <w:r>
        <w:rPr>
          <w:rFonts w:ascii="Barlow Semi Condensed" w:cs="Barlow Semi Condensed" w:eastAsia="Barlow Semi Condensed" w:hAnsi="Barlow Semi Condensed"/>
          <w:sz w:val="24"/>
          <w:szCs w:val="24"/>
        </w:rPr>
        <w:t xml:space="preserve">514 e il 1.607 è il 519, il 1.605 non può che essere il 517.** Il testo lo dà</w:t>
      </w:r>
    </w:p>
    <w:p>
      <w:pPr>
        <w:spacing w:after="120" w:line="276"/>
        <w:jc w:val="both"/>
      </w:pPr>
      <w:r>
        <w:rPr>
          <w:rFonts w:ascii="Barlow Semi Condensed" w:cs="Barlow Semi Condensed" w:eastAsia="Barlow Semi Condensed" w:hAnsi="Barlow Semi Condensed"/>
          <w:sz w:val="24"/>
          <w:szCs w:val="24"/>
        </w:rPr>
        <w:t xml:space="preserve">per 491. Dodici coppie su venti deviano, da una a trecentoventotto posizioni.</w:t>
      </w:r>
    </w:p>
    <w:p>
      <w:pPr>
        <w:spacing w:after="120" w:line="276"/>
        <w:jc w:val="both"/>
      </w:pPr>
      <w:r>
        <w:rPr>
          <w:rFonts w:ascii="Barlow Semi Condensed" w:cs="Barlow Semi Condensed" w:eastAsia="Barlow Semi Condensed" w:hAnsi="Barlow Semi Condensed"/>
          <w:b/>
          <w:bCs/>
          <w:sz w:val="24"/>
          <w:szCs w:val="24"/>
        </w:rPr>
        <w:t xml:space="preserve">Il controllo di calibrazione chiude la questione.</w:t>
      </w:r>
      <w:r>
        <w:rPr>
          <w:rFonts w:ascii="Barlow Semi Condensed" w:cs="Barlow Semi Condensed" w:eastAsia="Barlow Semi Condensed" w:hAnsi="Barlow Semi Condensed"/>
          <w:sz w:val="24"/>
          <w:szCs w:val="24"/>
        </w:rPr>
        <w:t xml:space="preserve"> Nelle due coppie</w:t>
      </w:r>
    </w:p>
    <w:p>
      <w:pPr>
        <w:spacing w:after="120" w:line="276"/>
        <w:jc w:val="both"/>
      </w:pPr>
      <w:r>
        <w:rPr>
          <w:rFonts w:ascii="Barlow Semi Condensed" w:cs="Barlow Semi Condensed" w:eastAsia="Barlow Semi Condensed" w:hAnsi="Barlow Semi Condensed"/>
          <w:sz w:val="24"/>
          <w:szCs w:val="24"/>
        </w:rPr>
        <w:t xml:space="preserve">attestate lo scarto </w:t>
      </w:r>
      <w:r>
        <w:rPr>
          <w:rFonts w:ascii="Barlow Semi Condensed" w:cs="Barlow Semi Condensed" w:eastAsia="Barlow Semi Condensed" w:hAnsi="Barlow Semi Condensed"/>
          <w:i/>
          <w:iCs/>
          <w:sz w:val="24"/>
          <w:szCs w:val="24"/>
        </w:rPr>
        <w:t xml:space="preserve">deriva</w:t>
      </w:r>
      <w:r>
        <w:rPr>
          <w:rFonts w:ascii="Barlow Semi Condensed" w:cs="Barlow Semi Condensed" w:eastAsia="Barlow Semi Condensed" w:hAnsi="Barlow Semi Condensed"/>
          <w:sz w:val="24"/>
          <w:szCs w:val="24"/>
        </w:rPr>
        <w:t xml:space="preserve">: Berlusconi 1.816 − 625 = 1.191, Costanzo</w:t>
      </w:r>
    </w:p>
    <w:p>
      <w:pPr>
        <w:spacing w:after="120" w:line="276"/>
        <w:jc w:val="both"/>
      </w:pPr>
      <w:r>
        <w:rPr>
          <w:rFonts w:ascii="Barlow Semi Condensed" w:cs="Barlow Semi Condensed" w:eastAsia="Barlow Semi Condensed" w:hAnsi="Barlow Semi Condensed"/>
          <w:sz w:val="24"/>
          <w:szCs w:val="24"/>
        </w:rPr>
        <w:t xml:space="preserve">1.819 − 626 = 1.193. Tre posizioni di tessera, due di scarto. È così che si</w:t>
      </w:r>
    </w:p>
    <w:p>
      <w:pPr>
        <w:spacing w:after="120" w:line="276"/>
        <w:jc w:val="both"/>
      </w:pPr>
      <w:r>
        <w:rPr>
          <w:rFonts w:ascii="Barlow Semi Condensed" w:cs="Barlow Semi Condensed" w:eastAsia="Barlow Semi Condensed" w:hAnsi="Barlow Semi Condensed"/>
          <w:sz w:val="24"/>
          <w:szCs w:val="24"/>
        </w:rPr>
        <w:t xml:space="preserve">comporta un archivio con due registri, ciascuno coi propri vuoti.</w:t>
      </w:r>
    </w:p>
    <w:p>
      <w:pPr>
        <w:spacing w:after="120" w:line="276"/>
        <w:jc w:val="both"/>
      </w:pPr>
      <w:r>
        <w:rPr>
          <w:rFonts w:ascii="Barlow Semi Condensed" w:cs="Barlow Semi Condensed" w:eastAsia="Barlow Semi Condensed" w:hAnsi="Barlow Semi Condensed"/>
          <w:sz w:val="24"/>
          <w:szCs w:val="24"/>
        </w:rPr>
        <w:t xml:space="preserve">Nelle otto coppie del testo lo scarto **non cambia di uno in quarantadue</w:t>
      </w:r>
    </w:p>
    <w:p>
      <w:pPr>
        <w:spacing w:after="120" w:line="276"/>
        <w:jc w:val="both"/>
      </w:pPr>
      <w:r>
        <w:rPr>
          <w:rFonts w:ascii="Barlow Semi Condensed" w:cs="Barlow Semi Condensed" w:eastAsia="Barlow Semi Condensed" w:hAnsi="Barlow Semi Condensed"/>
          <w:sz w:val="24"/>
          <w:szCs w:val="24"/>
        </w:rPr>
        <w:t xml:space="preserve">posizioni**. Uno scarto congelato non è un secondo registro: è una</w:t>
      </w:r>
    </w:p>
    <w:p>
      <w:pPr>
        <w:spacing w:after="120" w:line="276"/>
        <w:jc w:val="both"/>
      </w:pPr>
      <w:r>
        <w:rPr>
          <w:rFonts w:ascii="Barlow Semi Condensed" w:cs="Barlow Semi Condensed" w:eastAsia="Barlow Semi Condensed" w:hAnsi="Barlow Semi Condensed"/>
          <w:sz w:val="24"/>
          <w:szCs w:val="24"/>
        </w:rPr>
        <w:t xml:space="preserve">sottrazione. Su ventitré coppie, la probabilità che otto condividano lo stesso</w:t>
      </w:r>
    </w:p>
    <w:p>
      <w:pPr>
        <w:spacing w:after="120" w:line="276"/>
        <w:jc w:val="both"/>
      </w:pPr>
      <w:r>
        <w:rPr>
          <w:rFonts w:ascii="Barlow Semi Condensed" w:cs="Barlow Semi Condensed" w:eastAsia="Barlow Semi Condensed" w:hAnsi="Barlow Semi Condensed"/>
          <w:sz w:val="24"/>
          <w:szCs w:val="24"/>
        </w:rPr>
        <w:t xml:space="preserve">scarto per caso è dell'ordine di </w:t>
      </w:r>
      <w:r>
        <w:rPr>
          <w:rFonts w:ascii="Barlow Semi Condensed" w:cs="Barlow Semi Condensed" w:eastAsia="Barlow Semi Condensed" w:hAnsi="Barlow Semi Condensed"/>
          <w:b/>
          <w:bCs/>
          <w:sz w:val="24"/>
          <w:szCs w:val="24"/>
        </w:rPr>
        <w:t xml:space="preserve">cinque su mille miliardi</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Che cosa ritiro</w:t>
      </w:r>
    </w:p>
    <w:p>
      <w:pPr>
        <w:spacing w:after="120" w:line="276"/>
        <w:jc w:val="both"/>
      </w:pPr>
      <w:r>
        <w:rPr>
          <w:rFonts w:ascii="Barlow Semi Condensed" w:cs="Barlow Semi Condensed" w:eastAsia="Barlow Semi Condensed" w:hAnsi="Barlow Semi Condensed"/>
          <w:sz w:val="24"/>
          <w:szCs w:val="24"/>
        </w:rPr>
        <w:t xml:space="preserve">La disciplina impone di annotare accanto, non di cancellare. Ecco che cosa</w:t>
      </w:r>
    </w:p>
    <w:p>
      <w:pPr>
        <w:spacing w:after="120" w:line="276"/>
        <w:jc w:val="both"/>
      </w:pPr>
      <w:r>
        <w:rPr>
          <w:rFonts w:ascii="Barlow Semi Condensed" w:cs="Barlow Semi Condensed" w:eastAsia="Barlow Semi Condensed" w:hAnsi="Barlow Semi Condensed"/>
          <w:sz w:val="24"/>
          <w:szCs w:val="24"/>
        </w:rPr>
        <w:t xml:space="preserve">questa verifica toglie a due affermazioni che avevo scritto io.</w:t>
      </w:r>
    </w:p>
    <w:p>
      <w:pPr>
        <w:pStyle w:val="Heading3"/>
        <w:spacing w:after="80" w:before="160"/>
      </w:pPr>
      <w:r>
        <w:rPr>
          <w:rFonts w:ascii="Barlow Semi Condensed" w:cs="Barlow Semi Condensed" w:eastAsia="Barlow Semi Condensed" w:hAnsi="Barlow Semi Condensed"/>
          <w:sz w:val="24"/>
          <w:szCs w:val="24"/>
        </w:rPr>
        <w:t xml:space="preserve">La soglia del 1.600 non è un'esclusione</w:t>
      </w:r>
    </w:p>
    <w:p>
      <w:pPr>
        <w:spacing w:after="120" w:line="276"/>
        <w:jc w:val="both"/>
      </w:pPr>
      <w:r>
        <w:rPr>
          <w:rFonts w:ascii="Barlow Semi Condensed" w:cs="Barlow Semi Condensed" w:eastAsia="Barlow Semi Condensed" w:hAnsi="Barlow Semi Condensed"/>
          <w:sz w:val="24"/>
          <w:szCs w:val="24"/>
        </w:rPr>
        <w:t xml:space="preserve">Il 26 agosto avevo scritto che «nessuna tessera aveva numero inferiore al</w:t>
      </w:r>
    </w:p>
    <w:p>
      <w:pPr>
        <w:spacing w:after="120" w:line="276"/>
        <w:jc w:val="both"/>
      </w:pPr>
      <w:r>
        <w:rPr>
          <w:rFonts w:ascii="Barlow Semi Condensed" w:cs="Barlow Semi Condensed" w:eastAsia="Barlow Semi Condensed" w:hAnsi="Barlow Semi Condensed"/>
          <w:sz w:val="24"/>
          <w:szCs w:val="24"/>
        </w:rPr>
        <w:t xml:space="preserve">1.600» e ne avevo tratto che quattro valori del testo sono impossibili. **La</w:t>
      </w:r>
    </w:p>
    <w:p>
      <w:pPr>
        <w:spacing w:after="120" w:line="276"/>
        <w:jc w:val="both"/>
      </w:pPr>
      <w:r>
        <w:rPr>
          <w:rFonts w:ascii="Barlow Semi Condensed" w:cs="Barlow Semi Condensed" w:eastAsia="Barlow Semi Condensed" w:hAnsi="Barlow Semi Condensed"/>
          <w:sz w:val="24"/>
          <w:szCs w:val="24"/>
        </w:rPr>
        <w:t xml:space="preserve">formulazione era troppo forte.** La stessa fonte che riporta la soglia cita,</w:t>
      </w:r>
    </w:p>
    <w:p>
      <w:pPr>
        <w:spacing w:after="120" w:line="276"/>
        <w:jc w:val="both"/>
      </w:pPr>
      <w:r>
        <w:rPr>
          <w:rFonts w:ascii="Barlow Semi Condensed" w:cs="Barlow Semi Condensed" w:eastAsia="Barlow Semi Condensed" w:hAnsi="Barlow Semi Condensed"/>
          <w:sz w:val="24"/>
          <w:szCs w:val="24"/>
        </w:rPr>
        <w:t xml:space="preserve">poche righe dopo, la tessera </w:t>
      </w:r>
      <w:r>
        <w:rPr>
          <w:rFonts w:ascii="Barlow Semi Condensed" w:cs="Barlow Semi Condensed" w:eastAsia="Barlow Semi Condensed" w:hAnsi="Barlow Semi Condensed"/>
          <w:b/>
          <w:bCs/>
          <w:sz w:val="24"/>
          <w:szCs w:val="24"/>
        </w:rPr>
        <w:t xml:space="preserve">506</w:t>
      </w:r>
      <w:r>
        <w:rPr>
          <w:rFonts w:ascii="Barlow Semi Condensed" w:cs="Barlow Semi Condensed" w:eastAsia="Barlow Semi Condensed" w:hAnsi="Barlow Semi Condensed"/>
          <w:sz w:val="24"/>
          <w:szCs w:val="24"/>
        </w:rPr>
        <w:t xml:space="preserve"> di Mario Marsili e la </w:t>
      </w:r>
      <w:r>
        <w:rPr>
          <w:rFonts w:ascii="Barlow Semi Condensed" w:cs="Barlow Semi Condensed" w:eastAsia="Barlow Semi Condensed" w:hAnsi="Barlow Semi Condensed"/>
          <w:b/>
          <w:bCs/>
          <w:sz w:val="24"/>
          <w:szCs w:val="24"/>
        </w:rPr>
        <w:t xml:space="preserve">1508</w:t>
      </w:r>
      <w:r>
        <w:rPr>
          <w:rFonts w:ascii="Barlow Semi Condensed" w:cs="Barlow Semi Condensed" w:eastAsia="Barlow Semi Condensed" w:hAnsi="Barlow Semi Condensed"/>
          <w:sz w:val="24"/>
          <w:szCs w:val="24"/>
        </w:rPr>
        <w:t xml:space="preserve"> di Ezio</w:t>
      </w:r>
    </w:p>
    <w:p>
      <w:pPr>
        <w:spacing w:after="120" w:line="276"/>
        <w:jc w:val="both"/>
      </w:pPr>
      <w:r>
        <w:rPr>
          <w:rFonts w:ascii="Barlow Semi Condensed" w:cs="Barlow Semi Condensed" w:eastAsia="Barlow Semi Condensed" w:hAnsi="Barlow Semi Condensed"/>
          <w:sz w:val="24"/>
          <w:szCs w:val="24"/>
        </w:rPr>
        <w:t xml:space="preserve">Giunchiglia: due valori sotto.</w:t>
      </w:r>
    </w:p>
    <w:p>
      <w:pPr>
        <w:spacing w:after="120" w:line="276"/>
        <w:jc w:val="both"/>
      </w:pPr>
      <w:r>
        <w:rPr>
          <w:rFonts w:ascii="Barlow Semi Condensed" w:cs="Barlow Semi Condensed" w:eastAsia="Barlow Semi Condensed" w:hAnsi="Barlow Semi Condensed"/>
          <w:sz w:val="24"/>
          <w:szCs w:val="24"/>
        </w:rPr>
        <w:t xml:space="preserve">La formulazione difendibile è: *la numerazione degli elenchi sequestrati</w:t>
      </w:r>
    </w:p>
    <w:p>
      <w:pPr>
        <w:spacing w:after="120" w:line="276"/>
        <w:jc w:val="both"/>
      </w:pPr>
      <w:r>
        <w:rPr>
          <w:rFonts w:ascii="Barlow Semi Condensed" w:cs="Barlow Semi Condensed" w:eastAsia="Barlow Semi Condensed" w:hAnsi="Barlow Semi Condensed"/>
          <w:sz w:val="24"/>
          <w:szCs w:val="24"/>
        </w:rPr>
        <w:t xml:space="preserve">comincia intorno a 1.600*, da cui l'inferenza che l'archivio recuperato sia</w:t>
      </w:r>
    </w:p>
    <w:p>
      <w:pPr>
        <w:spacing w:after="120" w:line="276"/>
        <w:jc w:val="both"/>
      </w:pPr>
      <w:r>
        <w:rPr>
          <w:rFonts w:ascii="Barlow Semi Condensed" w:cs="Barlow Semi Condensed" w:eastAsia="Barlow Semi Condensed" w:hAnsi="Barlow Semi Condensed"/>
          <w:sz w:val="24"/>
          <w:szCs w:val="24"/>
        </w:rPr>
        <w:t xml:space="preserve">una piramide inferiore. Resta un indizio forte, **non un test di esclusione</w:t>
      </w:r>
    </w:p>
    <w:p>
      <w:pPr>
        <w:spacing w:after="120" w:line="276"/>
        <w:jc w:val="both"/>
      </w:pPr>
      <w:r>
        <w:rPr>
          <w:rFonts w:ascii="Barlow Semi Condensed" w:cs="Barlow Semi Condensed" w:eastAsia="Barlow Semi Condensed" w:hAnsi="Barlow Semi Condensed"/>
          <w:sz w:val="24"/>
          <w:szCs w:val="24"/>
        </w:rPr>
        <w:t xml:space="preserve">automatica**. Il §2 della verifica del 26 agosto va letto con questa</w:t>
      </w:r>
    </w:p>
    <w:p>
      <w:pPr>
        <w:spacing w:after="120" w:line="276"/>
        <w:jc w:val="both"/>
      </w:pPr>
      <w:r>
        <w:rPr>
          <w:rFonts w:ascii="Barlow Semi Condensed" w:cs="Barlow Semi Condensed" w:eastAsia="Barlow Semi Condensed" w:hAnsi="Barlow Semi Condensed"/>
          <w:sz w:val="24"/>
          <w:szCs w:val="24"/>
        </w:rPr>
        <w:t xml:space="preserve">annotazione accanto.</w:t>
      </w:r>
    </w:p>
    <w:p>
      <w:pPr>
        <w:pStyle w:val="Heading3"/>
        <w:spacing w:after="80" w:before="160"/>
      </w:pPr>
      <w:r>
        <w:rPr>
          <w:rFonts w:ascii="Barlow Semi Condensed" w:cs="Barlow Semi Condensed" w:eastAsia="Barlow Semi Condensed" w:hAnsi="Barlow Semi Condensed"/>
          <w:sz w:val="24"/>
          <w:szCs w:val="24"/>
        </w:rPr>
        <w:t xml:space="preserve">I parlamentari: 44, non 59</w:t>
      </w:r>
    </w:p>
    <w:p>
      <w:pPr>
        <w:spacing w:after="120" w:line="276"/>
        <w:jc w:val="both"/>
      </w:pPr>
      <w:r>
        <w:rPr>
          <w:rFonts w:ascii="Barlow Semi Condensed" w:cs="Barlow Semi Condensed" w:eastAsia="Barlow Semi Condensed" w:hAnsi="Barlow Semi Condensed"/>
          <w:sz w:val="24"/>
          <w:szCs w:val="24"/>
        </w:rPr>
        <w:t xml:space="preserve">Il 27 agosto avevo corretto la cifra del Libro quarto da 44 a 59 sulla base di</w:t>
      </w:r>
    </w:p>
    <w:p>
      <w:pPr>
        <w:spacing w:after="120" w:line="276"/>
        <w:jc w:val="both"/>
      </w:pPr>
      <w:r>
        <w:rPr>
          <w:rFonts w:ascii="Barlow Semi Condensed" w:cs="Barlow Semi Condensed" w:eastAsia="Barlow Semi Condensed" w:hAnsi="Barlow Semi Condensed"/>
          <w:sz w:val="24"/>
          <w:szCs w:val="24"/>
        </w:rPr>
        <w:t xml:space="preserve">una sola ricerca. </w:t>
      </w:r>
      <w:r>
        <w:rPr>
          <w:rFonts w:ascii="Barlow Semi Condensed" w:cs="Barlow Semi Condensed" w:eastAsia="Barlow Semi Condensed" w:hAnsi="Barlow Semi Condensed"/>
          <w:b/>
          <w:bCs/>
          <w:sz w:val="24"/>
          <w:szCs w:val="24"/>
        </w:rPr>
        <w:t xml:space="preserve">La correzione era sbagliata e la ritiro.</w:t>
      </w:r>
      <w:r>
        <w:rPr>
          <w:rFonts w:ascii="Barlow Semi Condensed" w:cs="Barlow Semi Condensed" w:eastAsia="Barlow Semi Condensed" w:hAnsi="Barlow Semi Condensed"/>
          <w:sz w:val="24"/>
          <w:szCs w:val="24"/>
        </w:rPr>
        <w:t xml:space="preserve"> La ricerca</w:t>
      </w:r>
    </w:p>
    <w:p>
      <w:pPr>
        <w:spacing w:after="120" w:line="276"/>
        <w:jc w:val="both"/>
      </w:pPr>
      <w:r>
        <w:rPr>
          <w:rFonts w:ascii="Barlow Semi Condensed" w:cs="Barlow Semi Condensed" w:eastAsia="Barlow Semi Condensed" w:hAnsi="Barlow Semi Condensed"/>
          <w:sz w:val="24"/>
          <w:szCs w:val="24"/>
        </w:rPr>
        <w:t xml:space="preserve">approfondita corrobora **44 parlamentari, 3 ministri e 1 segretario di</w:t>
      </w:r>
    </w:p>
    <w:p>
      <w:pPr>
        <w:spacing w:after="120" w:line="276"/>
        <w:jc w:val="both"/>
      </w:pPr>
      <w:r>
        <w:rPr>
          <w:rFonts w:ascii="Barlow Semi Condensed" w:cs="Barlow Semi Condensed" w:eastAsia="Barlow Semi Condensed" w:hAnsi="Barlow Semi Condensed"/>
          <w:sz w:val="24"/>
          <w:szCs w:val="24"/>
        </w:rPr>
        <w:t xml:space="preserve">partito**, dentro un conteggio di 195 ufficiali (12 generali dei Carabinieri,</w:t>
      </w:r>
    </w:p>
    <w:p>
      <w:pPr>
        <w:spacing w:after="120" w:line="276"/>
        <w:jc w:val="both"/>
      </w:pPr>
      <w:r>
        <w:rPr>
          <w:rFonts w:ascii="Barlow Semi Condensed" w:cs="Barlow Semi Condensed" w:eastAsia="Barlow Semi Condensed" w:hAnsi="Barlow Semi Condensed"/>
          <w:sz w:val="24"/>
          <w:szCs w:val="24"/>
        </w:rPr>
        <w:t xml:space="preserve">5 della Guardia di Finanza, 22 dell'Esercito, 4 dell'Aeronautica, 8</w:t>
      </w:r>
    </w:p>
    <w:p>
      <w:pPr>
        <w:spacing w:after="120" w:line="276"/>
        <w:jc w:val="both"/>
      </w:pPr>
      <w:r>
        <w:rPr>
          <w:rFonts w:ascii="Barlow Semi Condensed" w:cs="Barlow Semi Condensed" w:eastAsia="Barlow Semi Condensed" w:hAnsi="Barlow Semi Condensed"/>
          <w:sz w:val="24"/>
          <w:szCs w:val="24"/>
        </w:rPr>
        <w:t xml:space="preserve">ammiragli). Il set alternativo con 59 parlamentari e 119 ufficiali non ha</w:t>
      </w:r>
    </w:p>
    <w:p>
      <w:pPr>
        <w:spacing w:after="120" w:line="276"/>
        <w:jc w:val="both"/>
      </w:pPr>
      <w:r>
        <w:rPr>
          <w:rFonts w:ascii="Barlow Semi Condensed" w:cs="Barlow Semi Condensed" w:eastAsia="Barlow Semi Condensed" w:hAnsi="Barlow Semi Condensed"/>
          <w:sz w:val="24"/>
          <w:szCs w:val="24"/>
        </w:rPr>
        <w:t xml:space="preserve">trovato fonte esterna e </w:t>
      </w:r>
      <w:r>
        <w:rPr>
          <w:rFonts w:ascii="Barlow Semi Condensed" w:cs="Barlow Semi Condensed" w:eastAsia="Barlow Semi Condensed" w:hAnsi="Barlow Semi Condensed"/>
          <w:b/>
          <w:bCs/>
          <w:sz w:val="24"/>
          <w:szCs w:val="24"/>
        </w:rPr>
        <w:t xml:space="preserve">omette del tutto Marina e Aeronautica</w:t>
      </w:r>
      <w:r>
        <w:rPr>
          <w:rFonts w:ascii="Barlow Semi Condensed" w:cs="Barlow Semi Condensed" w:eastAsia="Barlow Semi Condensed" w:hAnsi="Barlow Semi Condensed"/>
          <w:sz w:val="24"/>
          <w:szCs w:val="24"/>
        </w:rPr>
        <w:t xml:space="preserve">: è un'altra</w:t>
      </w:r>
    </w:p>
    <w:p>
      <w:pPr>
        <w:spacing w:after="120" w:line="276"/>
        <w:jc w:val="both"/>
      </w:pPr>
      <w:r>
        <w:rPr>
          <w:rFonts w:ascii="Barlow Semi Condensed" w:cs="Barlow Semi Condensed" w:eastAsia="Barlow Semi Condensed" w:hAnsi="Barlow Semi Condensed"/>
          <w:sz w:val="24"/>
          <w:szCs w:val="24"/>
        </w:rPr>
        <w:t xml:space="preserve">tassonomia, non un altro conteggio dello stesso campo.</w:t>
      </w:r>
    </w:p>
    <w:p>
      <w:pPr>
        <w:spacing w:after="120" w:line="276"/>
        <w:jc w:val="both"/>
      </w:pPr>
      <w:r>
        <w:rPr>
          <w:rFonts w:ascii="Barlow Semi Condensed" w:cs="Barlow Semi Condensed" w:eastAsia="Barlow Semi Condensed" w:hAnsi="Barlow Semi Condensed"/>
          <w:sz w:val="24"/>
          <w:szCs w:val="24"/>
        </w:rPr>
        <w:t xml:space="preserve">La cifra del corpus era giusta. L'annotazione che le avevo messo accanto va a</w:t>
      </w:r>
    </w:p>
    <w:p>
      <w:pPr>
        <w:spacing w:after="120" w:line="276"/>
        <w:jc w:val="both"/>
      </w:pPr>
      <w:r>
        <w:rPr>
          <w:rFonts w:ascii="Barlow Semi Condensed" w:cs="Barlow Semi Condensed" w:eastAsia="Barlow Semi Condensed" w:hAnsi="Barlow Semi Condensed"/>
          <w:sz w:val="24"/>
          <w:szCs w:val="24"/>
        </w:rPr>
        <w:t xml:space="preserve">sua volta annotata.</w:t>
      </w:r>
    </w:p>
    <w:p>
      <w:pPr>
        <w:pStyle w:val="Heading3"/>
        <w:spacing w:after="80" w:before="160"/>
      </w:pPr>
      <w:r>
        <w:rPr>
          <w:rFonts w:ascii="Barlow Semi Condensed" w:cs="Barlow Semi Condensed" w:eastAsia="Barlow Semi Condensed" w:hAnsi="Barlow Semi Condensed"/>
          <w:sz w:val="24"/>
          <w:szCs w:val="24"/>
        </w:rPr>
        <w:t xml:space="preserve">La corsa di dieci consecutivi non è un indizio</w:t>
      </w:r>
    </w:p>
    <w:p>
      <w:pPr>
        <w:spacing w:after="120" w:line="276"/>
        <w:jc w:val="both"/>
      </w:pPr>
      <w:r>
        <w:rPr>
          <w:rFonts w:ascii="Barlow Semi Condensed" w:cs="Barlow Semi Condensed" w:eastAsia="Barlow Semi Condensed" w:hAnsi="Barlow Semi Condensed"/>
          <w:sz w:val="24"/>
          <w:szCs w:val="24"/>
        </w:rPr>
        <w:t xml:space="preserve">La sintesi della ricerca segnalava come anomala la corsa ininterrotta da 1.630</w:t>
      </w:r>
    </w:p>
    <w:p>
      <w:pPr>
        <w:spacing w:after="120" w:line="276"/>
        <w:jc w:val="both"/>
      </w:pPr>
      <w:r>
        <w:rPr>
          <w:rFonts w:ascii="Barlow Semi Condensed" w:cs="Barlow Semi Condensed" w:eastAsia="Barlow Semi Condensed" w:hAnsi="Barlow Semi Condensed"/>
          <w:sz w:val="24"/>
          <w:szCs w:val="24"/>
        </w:rPr>
        <w:t xml:space="preserve">a 1.639 assegnata a dieci persone. </w:t>
      </w:r>
      <w:r>
        <w:rPr>
          <w:rFonts w:ascii="Barlow Semi Condensed" w:cs="Barlow Semi Condensed" w:eastAsia="Barlow Semi Condensed" w:hAnsi="Barlow Semi Condensed"/>
          <w:b/>
          <w:bCs/>
          <w:sz w:val="24"/>
          <w:szCs w:val="24"/>
        </w:rPr>
        <w:t xml:space="preserve">L'aritmetica non la sostiene.</w:t>
      </w:r>
      <w:r>
        <w:rPr>
          <w:rFonts w:ascii="Barlow Semi Condensed" w:cs="Barlow Semi Condensed" w:eastAsia="Barlow Semi Condensed" w:hAnsi="Barlow Semi Condensed"/>
          <w:sz w:val="24"/>
          <w:szCs w:val="24"/>
        </w:rPr>
        <w:t xml:space="preserve"> In un</w:t>
      </w:r>
    </w:p>
    <w:p>
      <w:pPr>
        <w:spacing w:after="120" w:line="276"/>
        <w:jc w:val="both"/>
      </w:pPr>
      <w:r>
        <w:rPr>
          <w:rFonts w:ascii="Barlow Semi Condensed" w:cs="Barlow Semi Condensed" w:eastAsia="Barlow Semi Condensed" w:hAnsi="Barlow Semi Condensed"/>
          <w:sz w:val="24"/>
          <w:szCs w:val="24"/>
        </w:rPr>
        <w:t xml:space="preserve">elenco di 962 nomi distribuiti su circa 1.600 posizioni la densità è di 0,60</w:t>
      </w:r>
    </w:p>
    <w:p>
      <w:pPr>
        <w:spacing w:after="120" w:line="276"/>
        <w:jc w:val="both"/>
      </w:pPr>
      <w:r>
        <w:rPr>
          <w:rFonts w:ascii="Barlow Semi Condensed" w:cs="Barlow Semi Condensed" w:eastAsia="Barlow Semi Condensed" w:hAnsi="Barlow Semi Condensed"/>
          <w:sz w:val="24"/>
          <w:szCs w:val="24"/>
        </w:rPr>
        <w:t xml:space="preserve">nomi per posizione, e corse di dieci consecutivi se ne attendono **circa</w:t>
      </w:r>
    </w:p>
    <w:p>
      <w:pPr>
        <w:spacing w:after="120" w:line="276"/>
        <w:jc w:val="both"/>
      </w:pPr>
      <w:r>
        <w:rPr>
          <w:rFonts w:ascii="Barlow Semi Condensed" w:cs="Barlow Semi Condensed" w:eastAsia="Barlow Semi Condensed" w:hAnsi="Barlow Semi Condensed"/>
          <w:sz w:val="24"/>
          <w:szCs w:val="24"/>
        </w:rPr>
        <w:t xml:space="preserve">quattro** nell'elenco intero. Trovarne una è normale. Ritiro l'argomento.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5. Le divergenze, riportate e non scelte</w:t>
      </w:r>
    </w:p>
    <w:p>
      <w:pPr>
        <w:spacing w:after="120" w:line="276"/>
        <w:jc w:val="both"/>
      </w:pPr>
      <w:r>
        <w:rPr>
          <w:rFonts w:ascii="Barlow Semi Condensed" w:cs="Barlow Semi Condensed" w:eastAsia="Barlow Semi Condensed" w:hAnsi="Barlow Semi Condensed"/>
          <w:b/>
          <w:bCs/>
          <w:sz w:val="24"/>
          <w:szCs w:val="24"/>
        </w:rPr>
        <w:t xml:space="preserve">Quattordici persone portano almeno due valori mutuamente incompatibili</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sommando quelli del testo esaminato e quelli che la ricerca ha reperito: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valori in circolazione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Santovito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163 · 527 · 1.630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Grassini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515 · 1.629 · 1.620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Pelosi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519 · 754 · 1.607</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Miceli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491 · 1.605</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Giudice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504 · 535 · 1.592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Lo Prete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482 · 512 · 1.600</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Siracusano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496 · 520 · 1.608</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Cioppa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658 · 1.628</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Cornacchia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871 · 1.631</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Spagnuolo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543 · 545 · 1.632</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Malfatti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540 · 812 · 1.636</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Torrisi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531 · 631 · 1.619</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D'Amato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554 · 1.643</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Selva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1.803 · 1.814</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A queste si aggiungono le cinque collisioni interne già censite il 26 agosto:</w:t>
      </w:r>
    </w:p>
    <w:p>
      <w:pPr>
        <w:spacing w:after="120" w:line="276"/>
        <w:jc w:val="both"/>
      </w:pPr>
      <w:r>
        <w:rPr>
          <w:rFonts w:ascii="Barlow Semi Condensed" w:cs="Barlow Semi Condensed" w:eastAsia="Barlow Semi Condensed" w:hAnsi="Barlow Semi Condensed"/>
          <w:sz w:val="24"/>
          <w:szCs w:val="24"/>
        </w:rPr>
        <w:t xml:space="preserve">il 1.612 dato a Sindona come tessera e a Gelli come fascicolo; il 519 dato a</w:t>
      </w:r>
    </w:p>
    <w:p>
      <w:pPr>
        <w:spacing w:after="120" w:line="276"/>
        <w:jc w:val="both"/>
      </w:pPr>
      <w:r>
        <w:rPr>
          <w:rFonts w:ascii="Barlow Semi Condensed" w:cs="Barlow Semi Condensed" w:eastAsia="Barlow Semi Condensed" w:hAnsi="Barlow Semi Condensed"/>
          <w:sz w:val="24"/>
          <w:szCs w:val="24"/>
        </w:rPr>
        <w:t xml:space="preserve">Calvi e dentro il «519/1607» di Pelosi; il 527 dato allo stesso Santovito con</w:t>
      </w:r>
    </w:p>
    <w:p>
      <w:pPr>
        <w:spacing w:after="120" w:line="276"/>
        <w:jc w:val="both"/>
      </w:pPr>
      <w:r>
        <w:rPr>
          <w:rFonts w:ascii="Barlow Semi Condensed" w:cs="Barlow Semi Condensed" w:eastAsia="Barlow Semi Condensed" w:hAnsi="Barlow Semi Condensed"/>
          <w:sz w:val="24"/>
          <w:szCs w:val="24"/>
        </w:rPr>
        <w:t xml:space="preserve">entrambe le etichette; Calvi con fascicolo 530 e 519; Gelli con 1.612 e 1.711.</w:t>
      </w:r>
    </w:p>
    <w:p>
      <w:pPr>
        <w:spacing w:after="120" w:line="276"/>
        <w:jc w:val="both"/>
      </w:pPr>
      <w:r>
        <w:rPr>
          <w:rFonts w:ascii="Barlow Semi Condensed" w:cs="Barlow Semi Condensed" w:eastAsia="Barlow Semi Condensed" w:hAnsi="Barlow Semi Condensed"/>
          <w:b/>
          <w:bCs/>
          <w:sz w:val="24"/>
          <w:szCs w:val="24"/>
        </w:rPr>
        <w:t xml:space="preserve">Nessuna di queste divergenze viene risolta qui.</w:t>
      </w:r>
      <w:r>
        <w:rPr>
          <w:rFonts w:ascii="Barlow Semi Condensed" w:cs="Barlow Semi Condensed" w:eastAsia="Barlow Semi Condensed" w:hAnsi="Barlow Semi Condensed"/>
          <w:sz w:val="24"/>
          <w:szCs w:val="24"/>
        </w:rPr>
        <w:t xml:space="preserve"> Si registrano.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6. Un rilievo che tocca la cronologia</w:t>
      </w:r>
    </w:p>
    <w:p>
      <w:pPr>
        <w:spacing w:after="120" w:line="276"/>
        <w:jc w:val="both"/>
      </w:pPr>
      <w:r>
        <w:rPr>
          <w:rFonts w:ascii="Barlow Semi Condensed" w:cs="Barlow Semi Condensed" w:eastAsia="Barlow Semi Condensed" w:hAnsi="Barlow Semi Condensed"/>
          <w:sz w:val="24"/>
          <w:szCs w:val="24"/>
        </w:rPr>
        <w:t xml:space="preserve">Le fonti reperite indicano per </w:t>
      </w:r>
      <w:r>
        <w:rPr>
          <w:rFonts w:ascii="Barlow Semi Condensed" w:cs="Barlow Semi Condensed" w:eastAsia="Barlow Semi Condensed" w:hAnsi="Barlow Semi Condensed"/>
          <w:b/>
          <w:bCs/>
          <w:sz w:val="24"/>
          <w:szCs w:val="24"/>
        </w:rPr>
        <w:t xml:space="preserve">Francesco Malfatti di Montetretto</w:t>
      </w:r>
      <w:r>
        <w:rPr>
          <w:rFonts w:ascii="Barlow Semi Condensed" w:cs="Barlow Semi Condensed" w:eastAsia="Barlow Semi Condensed" w:hAnsi="Barlow Semi Condensed"/>
          <w:sz w:val="24"/>
          <w:szCs w:val="24"/>
        </w:rPr>
        <w:t xml:space="preserve"> una data</w:t>
      </w:r>
    </w:p>
    <w:p>
      <w:pPr>
        <w:spacing w:after="120" w:line="276"/>
        <w:jc w:val="both"/>
      </w:pPr>
      <w:r>
        <w:rPr>
          <w:rFonts w:ascii="Barlow Semi Condensed" w:cs="Barlow Semi Condensed" w:eastAsia="Barlow Semi Condensed" w:hAnsi="Barlow Semi Condensed"/>
          <w:sz w:val="24"/>
          <w:szCs w:val="24"/>
        </w:rPr>
        <w:t xml:space="preserve">di iscrizione al </w:t>
      </w:r>
      <w:r>
        <w:rPr>
          <w:rFonts w:ascii="Barlow Semi Condensed" w:cs="Barlow Semi Condensed" w:eastAsia="Barlow Semi Condensed" w:hAnsi="Barlow Semi Condensed"/>
          <w:b/>
          <w:bCs/>
          <w:sz w:val="24"/>
          <w:szCs w:val="24"/>
        </w:rPr>
        <w:t xml:space="preserve">luglio 1979</w:t>
      </w:r>
      <w:r>
        <w:rPr>
          <w:rFonts w:ascii="Barlow Semi Condensed" w:cs="Barlow Semi Condensed" w:eastAsia="Barlow Semi Condensed" w:hAnsi="Barlow Semi Condensed"/>
          <w:sz w:val="24"/>
          <w:szCs w:val="24"/>
        </w:rPr>
        <w:t xml:space="preserve">: oltre un anno dopo la primavera del 1978.</w:t>
      </w:r>
    </w:p>
    <w:p>
      <w:pPr>
        <w:spacing w:after="120" w:line="276"/>
        <w:jc w:val="both"/>
      </w:pPr>
      <w:r>
        <w:rPr>
          <w:rFonts w:ascii="Barlow Semi Condensed" w:cs="Barlow Semi Condensed" w:eastAsia="Barlow Semi Condensed" w:hAnsi="Barlow Semi Condensed"/>
          <w:sz w:val="24"/>
          <w:szCs w:val="24"/>
        </w:rPr>
        <w:t xml:space="preserve">Se il dato è esatto — ed è grado C, non verificato su documento — nei</w:t>
      </w:r>
    </w:p>
    <w:p>
      <w:pPr>
        <w:spacing w:after="120" w:line="276"/>
        <w:jc w:val="both"/>
      </w:pPr>
      <w:r>
        <w:rPr>
          <w:rFonts w:ascii="Barlow Semi Condensed" w:cs="Barlow Semi Condensed" w:eastAsia="Barlow Semi Condensed" w:hAnsi="Barlow Semi Condensed"/>
          <w:sz w:val="24"/>
          <w:szCs w:val="24"/>
        </w:rPr>
        <w:t xml:space="preserve">cinquantacinque giorni Malfatti </w:t>
      </w:r>
      <w:r>
        <w:rPr>
          <w:rFonts w:ascii="Barlow Semi Condensed" w:cs="Barlow Semi Condensed" w:eastAsia="Barlow Semi Condensed" w:hAnsi="Barlow Semi Condensed"/>
          <w:b/>
          <w:bCs/>
          <w:sz w:val="24"/>
          <w:szCs w:val="24"/>
        </w:rPr>
        <w:t xml:space="preserve">non era ancora iscritto</w:t>
      </w:r>
      <w:r>
        <w:rPr>
          <w:rFonts w:ascii="Barlow Semi Condensed" w:cs="Barlow Semi Condensed" w:eastAsia="Barlow Semi Condensed" w:hAnsi="Barlow Semi Condensed"/>
          <w:sz w:val="24"/>
          <w:szCs w:val="24"/>
        </w:rPr>
        <w:t xml:space="preserve">. Il testo</w:t>
      </w:r>
    </w:p>
    <w:p>
      <w:pPr>
        <w:spacing w:after="120" w:line="276"/>
        <w:jc w:val="both"/>
      </w:pPr>
      <w:r>
        <w:rPr>
          <w:rFonts w:ascii="Barlow Semi Condensed" w:cs="Barlow Semi Condensed" w:eastAsia="Barlow Semi Condensed" w:hAnsi="Barlow Semi Condensed"/>
          <w:sz w:val="24"/>
          <w:szCs w:val="24"/>
        </w:rPr>
        <w:t xml:space="preserve">esaminato lo colloca fra chi controllava lo Stato in quei giorni. Sono due</w:t>
      </w:r>
    </w:p>
    <w:p>
      <w:pPr>
        <w:spacing w:after="120" w:line="276"/>
        <w:jc w:val="both"/>
      </w:pPr>
      <w:r>
        <w:rPr>
          <w:rFonts w:ascii="Barlow Semi Condensed" w:cs="Barlow Semi Condensed" w:eastAsia="Barlow Semi Condensed" w:hAnsi="Barlow Semi Condensed"/>
          <w:sz w:val="24"/>
          <w:szCs w:val="24"/>
        </w:rPr>
        <w:t xml:space="preserve">affermazioni che non possono stare insieme, e la seconda dipende dalla prima.</w:t>
      </w:r>
    </w:p>
    <w:p>
      <w:pPr>
        <w:spacing w:after="120" w:line="276"/>
        <w:jc w:val="both"/>
      </w:pPr>
      <w:r>
        <w:rPr>
          <w:rFonts w:ascii="Barlow Semi Condensed" w:cs="Barlow Semi Condensed" w:eastAsia="Barlow Semi Condensed" w:hAnsi="Barlow Semi Condensed"/>
          <w:sz w:val="24"/>
          <w:szCs w:val="24"/>
        </w:rPr>
        <w:t xml:space="preserve">È lo stesso campo — </w:t>
      </w:r>
      <w:r>
        <w:rPr>
          <w:rFonts w:ascii="Barlow Semi Condensed" w:cs="Barlow Semi Condensed" w:eastAsia="Barlow Semi Condensed" w:hAnsi="Barlow Semi Condensed"/>
          <w:b/>
          <w:bCs/>
          <w:sz w:val="24"/>
          <w:szCs w:val="24"/>
        </w:rPr>
        <w:t xml:space="preserve">la data di affiliazione</w:t>
      </w:r>
      <w:r>
        <w:rPr>
          <w:rFonts w:ascii="Barlow Semi Condensed" w:cs="Barlow Semi Condensed" w:eastAsia="Barlow Semi Condensed" w:hAnsi="Barlow Semi Condensed"/>
          <w:sz w:val="24"/>
          <w:szCs w:val="24"/>
        </w:rPr>
        <w:t xml:space="preserve"> — la cui assenza rende</w:t>
      </w:r>
    </w:p>
    <w:p>
      <w:pPr>
        <w:spacing w:after="120" w:line="276"/>
        <w:jc w:val="both"/>
      </w:pPr>
      <w:r>
        <w:rPr>
          <w:rFonts w:ascii="Barlow Semi Condensed" w:cs="Barlow Semi Condensed" w:eastAsia="Barlow Semi Condensed" w:hAnsi="Barlow Semi Condensed"/>
          <w:sz w:val="24"/>
          <w:szCs w:val="24"/>
        </w:rPr>
        <w:t xml:space="preserve">incalcolabile la percentuale per finestra temporale. Qui compare per un nome</w:t>
      </w:r>
    </w:p>
    <w:p>
      <w:pPr>
        <w:spacing w:after="120" w:line="276"/>
        <w:jc w:val="both"/>
      </w:pPr>
      <w:r>
        <w:rPr>
          <w:rFonts w:ascii="Barlow Semi Condensed" w:cs="Barlow Semi Condensed" w:eastAsia="Barlow Semi Condensed" w:hAnsi="Barlow Semi Condensed"/>
          <w:sz w:val="24"/>
          <w:szCs w:val="24"/>
        </w:rPr>
        <w:t xml:space="preserve">solo, e per quel nome cambia la conclusione.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7. Che cosa servirebbe, materialmente</w:t>
      </w:r>
    </w:p>
    <w:p>
      <w:pPr>
        <w:spacing w:after="120" w:line="276"/>
        <w:jc w:val="both"/>
      </w:pPr>
      <w:r>
        <w:rPr>
          <w:rFonts w:ascii="Barlow Semi Condensed" w:cs="Barlow Semi Condensed" w:eastAsia="Barlow Semi Condensed" w:hAnsi="Barlow Semi Condensed"/>
          <w:sz w:val="24"/>
          <w:szCs w:val="24"/>
        </w:rPr>
        <w:t xml:space="preserve">La ricerca ha prodotto un indirizzo d'archivio che prima non avevamo.</w:t>
      </w:r>
    </w:p>
    <w:p>
      <w:pPr>
        <w:spacing w:after="120" w:line="276"/>
        <w:jc w:val="both"/>
      </w:pPr>
      <w:r>
        <w:rPr>
          <w:rFonts w:ascii="Barlow Semi Condensed" w:cs="Barlow Semi Condensed" w:eastAsia="Barlow Semi Condensed" w:hAnsi="Barlow Semi Condensed"/>
          <w:b/>
          <w:bCs/>
          <w:sz w:val="24"/>
          <w:szCs w:val="24"/>
        </w:rPr>
        <w:t xml:space="preserve">Doc. XXIII n. 2, IX legislatura</w:t>
      </w:r>
      <w:r>
        <w:rPr>
          <w:rFonts w:ascii="Barlow Semi Condensed" w:cs="Barlow Semi Condensed" w:eastAsia="Barlow Semi Condensed" w:hAnsi="Barlow Semi Condensed"/>
          <w:sz w:val="24"/>
          <w:szCs w:val="24"/>
        </w:rPr>
        <w:t xml:space="preserve"> — Relazione della Commissione parlamentare</w:t>
      </w:r>
    </w:p>
    <w:p>
      <w:pPr>
        <w:spacing w:after="120" w:line="276"/>
        <w:jc w:val="both"/>
      </w:pPr>
      <w:r>
        <w:rPr>
          <w:rFonts w:ascii="Barlow Semi Condensed" w:cs="Barlow Semi Condensed" w:eastAsia="Barlow Semi Condensed" w:hAnsi="Barlow Semi Condensed"/>
          <w:sz w:val="24"/>
          <w:szCs w:val="24"/>
        </w:rPr>
        <w:t xml:space="preserve">d'inchiesta sulla Loggia P2, relatrice Tina Anselmi, 12 luglio 1984.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dove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libro I, tomo I, pp. </w:t>
            </w:r>
            <w:r>
              <w:rPr>
                <w:rFonts w:ascii="Barlow Semi Condensed" w:cs="Barlow Semi Condensed" w:eastAsia="Barlow Semi Condensed" w:hAnsi="Barlow Semi Condensed"/>
                <w:b/>
                <w:bCs/>
                <w:sz w:val="20"/>
                <w:szCs w:val="20"/>
              </w:rPr>
              <w:t xml:space="preserve">803-874</w:t>
            </w:r>
            <w:r>
              <w:rPr>
                <w:rFonts w:ascii="Barlow Semi Condensed" w:cs="Barlow Semi Condensed" w:eastAsia="Barlow Semi Condensed" w:hAnsi="Barlow Semi Condensed"/>
                <w:sz w:val="20"/>
                <w:szCs w:val="20"/>
              </w:rPr>
              <w:t xml:space="preserve"> e </w:t>
            </w:r>
            <w:r>
              <w:rPr>
                <w:rFonts w:ascii="Barlow Semi Condensed" w:cs="Barlow Semi Condensed" w:eastAsia="Barlow Semi Condensed" w:hAnsi="Barlow Semi Condensed"/>
                <w:b/>
                <w:bCs/>
                <w:sz w:val="20"/>
                <w:szCs w:val="20"/>
              </w:rPr>
              <w:t xml:space="preserve">885-942</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l'elenco nominativo — due sequenze separate, forse due elenchi distinti</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libro I, tomo II, p. </w:t>
            </w:r>
            <w:r>
              <w:rPr>
                <w:rFonts w:ascii="Barlow Semi Condensed" w:cs="Barlow Semi Condensed" w:eastAsia="Barlow Semi Condensed" w:hAnsi="Barlow Semi Condensed"/>
                <w:b/>
                <w:bCs/>
                <w:sz w:val="20"/>
                <w:szCs w:val="20"/>
              </w:rPr>
              <w:t xml:space="preserve">213 ss.</w:t>
            </w:r>
            <w:r>
              <w:rPr>
                <w:rFonts w:ascii="Barlow Semi Condensed" w:cs="Barlow Semi Condensed" w:eastAsia="Barlow Semi Condensed" w:hAnsi="Barlow Semi Condensed"/>
                <w:sz w:val="20"/>
                <w:szCs w:val="20"/>
              </w:rPr>
              <w:t xml:space="preserve"> e p. </w:t>
            </w:r>
            <w:r>
              <w:rPr>
                <w:rFonts w:ascii="Barlow Semi Condensed" w:cs="Barlow Semi Condensed" w:eastAsia="Barlow Semi Condensed" w:hAnsi="Barlow Semi Condensed"/>
                <w:b/>
                <w:bCs/>
                <w:sz w:val="20"/>
                <w:szCs w:val="20"/>
              </w:rPr>
              <w:t xml:space="preserve">1126 ss.</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le altre sezioni della lista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volume in tomi I-IX, </w:t>
            </w:r>
            <w:r>
              <w:rPr>
                <w:rFonts w:ascii="Barlow Semi Condensed" w:cs="Barlow Semi Condensed" w:eastAsia="Barlow Semi Condensed" w:hAnsi="Barlow Semi Condensed"/>
                <w:i/>
                <w:iCs/>
                <w:sz w:val="20"/>
                <w:szCs w:val="20"/>
              </w:rPr>
              <w:t xml:space="preserve">Riscontri sull'attendibilità delle liste e sulle posizioni di affiliazione</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la posizione di affiliazione e, per una parte degli iscritti, la data di adesione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volume in quattro tomi, </w:t>
            </w:r>
            <w:r>
              <w:rPr>
                <w:rFonts w:ascii="Barlow Semi Condensed" w:cs="Barlow Semi Condensed" w:eastAsia="Barlow Semi Condensed" w:hAnsi="Barlow Semi Condensed"/>
                <w:i/>
                <w:iCs/>
                <w:sz w:val="20"/>
                <w:szCs w:val="20"/>
              </w:rPr>
              <w:t xml:space="preserve">Sequestro del 17.3.1981 a Castiglion Fibocchi</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gli atti del sequestro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le cinque relazioni di minoranza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è qui che una ripartizione per categoria dei 962 ha più probabilità di stare</w:t>
            </w:r>
          </w:p>
        </w:tc>
      </w:tr>
    </w:tbl>
    <w:p>
      <w:pPr>
        <w:spacing w:after="80"/>
      </w:pPr>
    </w:p>
    <w:p>
      <w:pPr>
        <w:spacing w:after="120" w:line="276"/>
        <w:jc w:val="both"/>
      </w:pPr>
      <w:r>
        <w:rPr>
          <w:rFonts w:ascii="Barlow Semi Condensed" w:cs="Barlow Semi Condensed" w:eastAsia="Barlow Semi Condensed" w:hAnsi="Barlow Semi Condensed"/>
          <w:i/>
          <w:iCs/>
          <w:sz w:val="24"/>
          <w:szCs w:val="24"/>
        </w:rPr>
        <w:t xml:space="preserve">(Collocazione riferita da fonte di terza mano: va confermata sul volume.)</w:t>
      </w:r>
    </w:p>
    <w:p>
      <w:pPr>
        <w:spacing w:after="120" w:line="276"/>
        <w:jc w:val="both"/>
      </w:pPr>
      <w:r>
        <w:rPr>
          <w:rFonts w:ascii="Barlow Semi Condensed" w:cs="Barlow Semi Condensed" w:eastAsia="Barlow Semi Condensed" w:hAnsi="Barlow Semi Condensed"/>
          <w:i/>
          <w:iCs/>
          <w:sz w:val="24"/>
          <w:szCs w:val="24"/>
        </w:rPr>
        <w:t xml:space="preserve">Annotazione del 27 agosto 2026 — l'indirizzo si è stretto.</w:t>
      </w:r>
      <w:r>
        <w:rPr>
          <w:rFonts w:ascii="Barlow Semi Condensed" w:cs="Barlow Semi Condensed" w:eastAsia="Barlow Semi Condensed" w:hAnsi="Barlow Semi Condensed"/>
          <w:sz w:val="24"/>
          <w:szCs w:val="24"/>
        </w:rPr>
        <w:t xml:space="preserve"> Fra il materiale</w:t>
      </w:r>
    </w:p>
    <w:p>
      <w:pPr>
        <w:spacing w:after="120" w:line="276"/>
        <w:jc w:val="both"/>
      </w:pPr>
      <w:r>
        <w:rPr>
          <w:rFonts w:ascii="Barlow Semi Condensed" w:cs="Barlow Semi Condensed" w:eastAsia="Barlow Semi Condensed" w:hAnsi="Barlow Semi Condensed"/>
          <w:sz w:val="24"/>
          <w:szCs w:val="24"/>
        </w:rPr>
        <w:t xml:space="preserve">conferito quel giorno c'è la </w:t>
      </w:r>
      <w:r>
        <w:rPr>
          <w:rFonts w:ascii="Barlow Semi Condensed" w:cs="Barlow Semi Condensed" w:eastAsia="Barlow Semi Condensed" w:hAnsi="Barlow Semi Condensed"/>
          <w:b/>
          <w:bCs/>
          <w:sz w:val="24"/>
          <w:szCs w:val="24"/>
        </w:rPr>
        <w:t xml:space="preserve">scheda di presa in consegna del Volume 02, Tomo I</w:t>
      </w:r>
    </w:p>
    <w:p>
      <w:pPr>
        <w:spacing w:after="120" w:line="276"/>
        <w:jc w:val="both"/>
      </w:pPr>
      <w:r>
        <w:rPr>
          <w:rFonts w:ascii="Barlow Semi Condensed" w:cs="Barlow Semi Condensed" w:eastAsia="Barlow Semi Condensed" w:hAnsi="Barlow Semi Condensed"/>
          <w:sz w:val="24"/>
          <w:szCs w:val="24"/>
        </w:rPr>
        <w:t xml:space="preserve">di quel documento parlamentare, con la sua segnatura per esteso: **Doc. XXIII,</w:t>
      </w:r>
    </w:p>
    <w:p>
      <w:pPr>
        <w:spacing w:after="120" w:line="276"/>
        <w:jc w:val="both"/>
      </w:pPr>
      <w:r>
        <w:rPr>
          <w:rFonts w:ascii="Barlow Semi Condensed" w:cs="Barlow Semi Condensed" w:eastAsia="Barlow Semi Condensed" w:hAnsi="Barlow Semi Condensed"/>
          <w:sz w:val="24"/>
          <w:szCs w:val="24"/>
        </w:rPr>
        <w:t xml:space="preserve">n. 2-quater/2/I, IX legislatura, Roma 1984** — «Allegati alla Relazione della</w:t>
      </w:r>
    </w:p>
    <w:p>
      <w:pPr>
        <w:spacing w:after="120" w:line="276"/>
        <w:jc w:val="both"/>
      </w:pPr>
      <w:r>
        <w:rPr>
          <w:rFonts w:ascii="Barlow Semi Condensed" w:cs="Barlow Semi Condensed" w:eastAsia="Barlow Semi Condensed" w:hAnsi="Barlow Semi Condensed"/>
          <w:sz w:val="24"/>
          <w:szCs w:val="24"/>
        </w:rPr>
        <w:t xml:space="preserve">Commissione parlamentare d'inchiesta sulla Loggia massonica P2, Serie II:</w:t>
      </w:r>
    </w:p>
    <w:p>
      <w:pPr>
        <w:spacing w:after="120" w:line="276"/>
        <w:jc w:val="both"/>
      </w:pPr>
      <w:r>
        <w:rPr>
          <w:rFonts w:ascii="Barlow Semi Condensed" w:cs="Barlow Semi Condensed" w:eastAsia="Barlow Semi Condensed" w:hAnsi="Barlow Semi Condensed"/>
          <w:sz w:val="24"/>
          <w:szCs w:val="24"/>
        </w:rPr>
        <w:t xml:space="preserve">Documentazione raccolta dalla Commissione, *Riscontri sull'attendibilità delle</w:t>
      </w:r>
    </w:p>
    <w:p>
      <w:pPr>
        <w:spacing w:after="120" w:line="276"/>
        <w:jc w:val="both"/>
      </w:pPr>
      <w:r>
        <w:rPr>
          <w:rFonts w:ascii="Barlow Semi Condensed" w:cs="Barlow Semi Condensed" w:eastAsia="Barlow Semi Condensed" w:hAnsi="Barlow Semi Condensed"/>
          <w:sz w:val="24"/>
          <w:szCs w:val="24"/>
        </w:rPr>
        <w:t xml:space="preserve">liste e sulle posizioni di affiliazione</w:t>
      </w:r>
      <w:r>
        <w:rPr>
          <w:rFonts w:ascii="Barlow Semi Condensed" w:cs="Barlow Semi Condensed" w:eastAsia="Barlow Semi Condensed" w:hAnsi="Barlow Semi Condensed"/>
          <w:i/>
          <w:iCs/>
          <w:sz w:val="24"/>
          <w:szCs w:val="24"/>
        </w:rPr>
        <w:t xml:space="preserve">», </w:t>
      </w:r>
      <w:r>
        <w:rPr>
          <w:rFonts w:ascii="Barlow Semi Condensed" w:cs="Barlow Semi Condensed" w:eastAsia="Barlow Semi Condensed" w:hAnsi="Barlow Semi Condensed"/>
          <w:i/>
          <w:iCs/>
          <w:sz w:val="24"/>
          <w:szCs w:val="24"/>
        </w:rPr>
        <w:t xml:space="preserve">638 pagine in 25 allegati</w:t>
      </w:r>
      <w:r>
        <w:rPr>
          <w:rFonts w:ascii="Barlow Semi Condensed" w:cs="Barlow Semi Condensed" w:eastAsia="Barlow Semi Condensed" w:hAnsi="Barlow Semi Condensed"/>
          <w:sz w:val="24"/>
          <w:szCs w:val="24"/>
        </w:rPr>
        <w:t xml:space="preserve">*. È lo</w:t>
      </w:r>
    </w:p>
    <w:p>
      <w:pPr>
        <w:spacing w:after="120" w:line="276"/>
        <w:jc w:val="both"/>
      </w:pPr>
      <w:r>
        <w:rPr>
          <w:rFonts w:ascii="Barlow Semi Condensed" w:cs="Barlow Semi Condensed" w:eastAsia="Barlow Semi Condensed" w:hAnsi="Barlow Semi Condensed"/>
          <w:sz w:val="24"/>
          <w:szCs w:val="24"/>
        </w:rPr>
        <w:t xml:space="preserve">stesso volume che la riga precedente indicava per titolo, e ora se ne conosce la</w:t>
      </w:r>
    </w:p>
    <w:p>
      <w:pPr>
        <w:spacing w:after="120" w:line="276"/>
        <w:jc w:val="both"/>
      </w:pPr>
      <w:r>
        <w:rPr>
          <w:rFonts w:ascii="Barlow Semi Condensed" w:cs="Barlow Semi Condensed" w:eastAsia="Barlow Semi Condensed" w:hAnsi="Barlow Semi Condensed"/>
          <w:sz w:val="24"/>
          <w:szCs w:val="24"/>
        </w:rPr>
        <w:t xml:space="preserve">segnatura e l'articolazione interna. Due allegati su venticinque portano numeri</w:t>
      </w:r>
    </w:p>
    <w:p>
      <w:pPr>
        <w:spacing w:after="120" w:line="276"/>
        <w:jc w:val="both"/>
      </w:pPr>
      <w:r>
        <w:rPr>
          <w:rFonts w:ascii="Barlow Semi Condensed" w:cs="Barlow Semi Condensed" w:eastAsia="Barlow Semi Condensed" w:hAnsi="Barlow Semi Condensed"/>
          <w:sz w:val="24"/>
          <w:szCs w:val="24"/>
        </w:rPr>
        <w:t xml:space="preserve">di tessera, e sono questi: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pagine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porta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258-280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w:t>
            </w:r>
            <w:r>
              <w:rPr>
                <w:rFonts w:ascii="Barlow Semi Condensed" w:cs="Barlow Semi Condensed" w:eastAsia="Barlow Semi Condensed" w:hAnsi="Barlow Semi Condensed"/>
                <w:b/>
                <w:bCs/>
                <w:sz w:val="20"/>
                <w:szCs w:val="20"/>
              </w:rPr>
              <w:t xml:space="preserve">libro-matricola delle iniziazioni alla Loggia P2, 1952-1970</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21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474-507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w:t>
            </w:r>
            <w:r>
              <w:rPr>
                <w:rFonts w:ascii="Barlow Semi Condensed" w:cs="Barlow Semi Condensed" w:eastAsia="Barlow Semi Condensed" w:hAnsi="Barlow Semi Condensed"/>
                <w:b/>
                <w:bCs/>
                <w:sz w:val="20"/>
                <w:szCs w:val="20"/>
              </w:rPr>
              <w:t xml:space="preserve">schede personali massoniche sequestrate a Palazzo Giustiniani</w:t>
            </w:r>
            <w:r>
              <w:rPr>
                <w:rFonts w:ascii="Barlow Semi Condensed" w:cs="Barlow Semi Condensed" w:eastAsia="Barlow Semi Condensed" w:hAnsi="Barlow Semi Condensed"/>
                <w:sz w:val="20"/>
                <w:szCs w:val="20"/>
              </w:rPr>
              <w:t xml:space="preserve"> — ciascuna con dati anagrafici, loggia di appartenenza, loggia di iniziazione, </w:t>
            </w:r>
            <w:r>
              <w:rPr>
                <w:rFonts w:ascii="Barlow Semi Condensed" w:cs="Barlow Semi Condensed" w:eastAsia="Barlow Semi Condensed" w:hAnsi="Barlow Semi Condensed"/>
                <w:b/>
                <w:bCs/>
                <w:sz w:val="20"/>
                <w:szCs w:val="20"/>
              </w:rPr>
              <w:t xml:space="preserve">numero di tessera e data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L'allegato 21 è il riscontro più diretto che esista fra l'anagrafe ufficiale del</w:t>
      </w:r>
    </w:p>
    <w:p>
      <w:pPr>
        <w:spacing w:after="120" w:line="276"/>
        <w:jc w:val="both"/>
      </w:pPr>
      <w:r>
        <w:rPr>
          <w:rFonts w:ascii="Barlow Semi Condensed" w:cs="Barlow Semi Condensed" w:eastAsia="Barlow Semi Condensed" w:hAnsi="Barlow Semi Condensed"/>
          <w:sz w:val="24"/>
          <w:szCs w:val="24"/>
        </w:rPr>
        <w:t xml:space="preserve">Grande Oriente e gli elenchi di Castiglion Fibocchi: le schede sono intestate a</w:t>
      </w:r>
    </w:p>
    <w:p>
      <w:pPr>
        <w:spacing w:after="120" w:line="276"/>
        <w:jc w:val="both"/>
      </w:pPr>
      <w:r>
        <w:rPr>
          <w:rFonts w:ascii="Barlow Semi Condensed" w:cs="Barlow Semi Condensed" w:eastAsia="Barlow Semi Condensed" w:hAnsi="Barlow Semi Condensed"/>
          <w:sz w:val="24"/>
          <w:szCs w:val="24"/>
        </w:rPr>
        <w:t xml:space="preserve">persone destinatarie della raccomandata Battelli e comprese in quegli elenchi.</w:t>
      </w:r>
    </w:p>
    <w:p>
      <w:pPr>
        <w:spacing w:after="120" w:line="276"/>
        <w:jc w:val="both"/>
      </w:pPr>
      <w:r>
        <w:rPr>
          <w:rFonts w:ascii="Barlow Semi Condensed" w:cs="Barlow Semi Condensed" w:eastAsia="Barlow Semi Condensed" w:hAnsi="Barlow Semi Condensed"/>
          <w:sz w:val="24"/>
          <w:szCs w:val="24"/>
        </w:rPr>
        <w:t xml:space="preserve">*Seconda annotazione, stessa data — la fonte potrebbe non richiedere un</w:t>
      </w:r>
    </w:p>
    <w:p>
      <w:pPr>
        <w:spacing w:after="120" w:line="276"/>
        <w:jc w:val="both"/>
      </w:pPr>
      <w:r>
        <w:rPr>
          <w:rFonts w:ascii="Barlow Semi Condensed" w:cs="Barlow Semi Condensed" w:eastAsia="Barlow Semi Condensed" w:hAnsi="Barlow Semi Condensed"/>
          <w:sz w:val="24"/>
          <w:szCs w:val="24"/>
        </w:rPr>
        <w:t xml:space="preserve">viaggio.</w:t>
      </w:r>
      <w:r>
        <w:rPr>
          <w:rFonts w:ascii="Barlow Semi Condensed" w:cs="Barlow Semi Condensed" w:eastAsia="Barlow Semi Condensed" w:hAnsi="Barlow Semi Condensed"/>
          <w:i/>
          <w:iCs/>
          <w:sz w:val="24"/>
          <w:szCs w:val="24"/>
        </w:rPr>
        <w:t xml:space="preserve"> Cercando il recapito dell'archivio è emerso che </w:t>
      </w:r>
      <w:r>
        <w:rPr>
          <w:rFonts w:ascii="Barlow Semi Condensed" w:cs="Barlow Semi Condensed" w:eastAsia="Barlow Semi Condensed" w:hAnsi="Barlow Semi Condensed"/>
          <w:sz w:val="24"/>
          <w:szCs w:val="24"/>
        </w:rPr>
        <w:t xml:space="preserve">*i volumi della</w:t>
      </w:r>
    </w:p>
    <w:p>
      <w:pPr>
        <w:spacing w:after="120" w:line="276"/>
        <w:jc w:val="both"/>
      </w:pPr>
      <w:r>
        <w:rPr>
          <w:rFonts w:ascii="Barlow Semi Condensed" w:cs="Barlow Semi Condensed" w:eastAsia="Barlow Semi Condensed" w:hAnsi="Barlow Semi Condensed"/>
          <w:sz w:val="24"/>
          <w:szCs w:val="24"/>
        </w:rPr>
        <w:t xml:space="preserve">Commissione P2 risultano digitalizzati e pubblicati**: sul portale delle</w:t>
      </w:r>
    </w:p>
    <w:p>
      <w:pPr>
        <w:spacing w:after="120" w:line="276"/>
        <w:jc w:val="both"/>
      </w:pPr>
      <w:r>
        <w:rPr>
          <w:rFonts w:ascii="Barlow Semi Condensed" w:cs="Barlow Semi Condensed" w:eastAsia="Barlow Semi Condensed" w:hAnsi="Barlow Semi Condensed"/>
          <w:sz w:val="24"/>
          <w:szCs w:val="24"/>
        </w:rPr>
        <w:t xml:space="preserve">commissioni d'inchiesta della Camera (</w:t>
      </w:r>
      <w:r>
        <w:rPr>
          <w:rFonts w:ascii="Barlow Semi Condensed" w:cs="Barlow Semi Condensed" w:eastAsia="Barlow Semi Condensed" w:hAnsi="Barlow Semi Condensed"/>
          <w:i/>
          <w:iCs/>
          <w:sz w:val="24"/>
          <w:szCs w:val="24"/>
        </w:rPr>
        <w:t xml:space="preserve">inchieste.camera.it/p2/documenti.html?leg=09</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in PDF su </w:t>
      </w:r>
      <w:r>
        <w:rPr>
          <w:rFonts w:ascii="Barlow Semi Condensed" w:cs="Barlow Semi Condensed" w:eastAsia="Barlow Semi Condensed" w:hAnsi="Barlow Semi Condensed"/>
          <w:i/>
          <w:iCs/>
          <w:sz w:val="24"/>
          <w:szCs w:val="24"/>
        </w:rPr>
        <w:t xml:space="preserve">archivioantimafia.org</w:t>
      </w:r>
      <w:r>
        <w:rPr>
          <w:rFonts w:ascii="Barlow Semi Condensed" w:cs="Barlow Semi Condensed" w:eastAsia="Barlow Semi Condensed" w:hAnsi="Barlow Semi Condensed"/>
          <w:sz w:val="24"/>
          <w:szCs w:val="24"/>
        </w:rPr>
        <w:t xml:space="preserve">, e sul portale del Ministero della cultura</w:t>
      </w:r>
    </w:p>
    <w:p>
      <w:pPr>
        <w:spacing w:after="120" w:line="276"/>
        <w:jc w:val="both"/>
      </w:pPr>
      <w:r>
        <w:rPr>
          <w:rFonts w:ascii="Barlow Semi Condensed" w:cs="Barlow Semi Condensed" w:eastAsia="Barlow Semi Condensed" w:hAnsi="Barlow Semi Condensed"/>
          <w:i/>
          <w:iCs/>
          <w:sz w:val="24"/>
          <w:szCs w:val="24"/>
        </w:rPr>
        <w:t xml:space="preserve">memoria.san.beniculturali.it</w:t>
      </w:r>
      <w:r>
        <w:rPr>
          <w:rFonts w:ascii="Barlow Semi Condensed" w:cs="Barlow Semi Condensed" w:eastAsia="Barlow Semi Condensed" w:hAnsi="Barlow Semi Condensed"/>
          <w:sz w:val="24"/>
          <w:szCs w:val="24"/>
        </w:rPr>
        <w:t xml:space="preserve">, dove è consultabile la digitalizzazione</w:t>
      </w:r>
    </w:p>
    <w:p>
      <w:pPr>
        <w:spacing w:after="120" w:line="276"/>
        <w:jc w:val="both"/>
      </w:pPr>
      <w:r>
        <w:rPr>
          <w:rFonts w:ascii="Barlow Semi Condensed" w:cs="Barlow Semi Condensed" w:eastAsia="Barlow Semi Condensed" w:hAnsi="Barlow Semi Condensed"/>
          <w:sz w:val="24"/>
          <w:szCs w:val="24"/>
        </w:rPr>
        <w:t xml:space="preserve">dell'Archivio Flamigni. La ricerca ha inoltre precisato che i «Riscontri» sono</w:t>
      </w:r>
    </w:p>
    <w:p>
      <w:pPr>
        <w:spacing w:after="120" w:line="276"/>
        <w:jc w:val="both"/>
      </w:pPr>
      <w:r>
        <w:rPr>
          <w:rFonts w:ascii="Barlow Semi Condensed" w:cs="Barlow Semi Condensed" w:eastAsia="Barlow Semi Condensed" w:hAnsi="Barlow Semi Condensed"/>
          <w:sz w:val="24"/>
          <w:szCs w:val="24"/>
        </w:rPr>
        <w:t xml:space="preserve">una </w:t>
      </w:r>
      <w:r>
        <w:rPr>
          <w:rFonts w:ascii="Barlow Semi Condensed" w:cs="Barlow Semi Condensed" w:eastAsia="Barlow Semi Condensed" w:hAnsi="Barlow Semi Condensed"/>
          <w:b/>
          <w:bCs/>
          <w:sz w:val="24"/>
          <w:szCs w:val="24"/>
        </w:rPr>
        <w:t xml:space="preserve">serie di tomi</w:t>
      </w:r>
      <w:r>
        <w:rPr>
          <w:rFonts w:ascii="Barlow Semi Condensed" w:cs="Barlow Semi Condensed" w:eastAsia="Barlow Semi Condensed" w:hAnsi="Barlow Semi Condensed"/>
          <w:sz w:val="24"/>
          <w:szCs w:val="24"/>
        </w:rPr>
        <w:t xml:space="preserve">, da </w:t>
      </w:r>
      <w:r>
        <w:rPr>
          <w:rFonts w:ascii="Barlow Semi Condensed" w:cs="Barlow Semi Condensed" w:eastAsia="Barlow Semi Condensed" w:hAnsi="Barlow Semi Condensed"/>
          <w:i/>
          <w:iCs/>
          <w:sz w:val="24"/>
          <w:szCs w:val="24"/>
        </w:rPr>
        <w:t xml:space="preserve">2-quater/2/I</w:t>
      </w:r>
      <w:r>
        <w:rPr>
          <w:rFonts w:ascii="Barlow Semi Condensed" w:cs="Barlow Semi Condensed" w:eastAsia="Barlow Semi Condensed" w:hAnsi="Barlow Semi Condensed"/>
          <w:sz w:val="24"/>
          <w:szCs w:val="24"/>
        </w:rPr>
        <w:t xml:space="preserve"> ad almeno </w:t>
      </w:r>
      <w:r>
        <w:rPr>
          <w:rFonts w:ascii="Barlow Semi Condensed" w:cs="Barlow Semi Condensed" w:eastAsia="Barlow Semi Condensed" w:hAnsi="Barlow Semi Condensed"/>
          <w:i/>
          <w:iCs/>
          <w:sz w:val="24"/>
          <w:szCs w:val="24"/>
        </w:rPr>
        <w:t xml:space="preserve">/2/V</w:t>
      </w:r>
      <w:r>
        <w:rPr>
          <w:rFonts w:ascii="Barlow Semi Condensed" w:cs="Barlow Semi Condensed" w:eastAsia="Barlow Semi Condensed" w:hAnsi="Barlow Semi Condensed"/>
          <w:sz w:val="24"/>
          <w:szCs w:val="24"/>
        </w:rPr>
        <w:t xml:space="preserve">: il tomo inventariato è</w:t>
      </w:r>
    </w:p>
    <w:p>
      <w:pPr>
        <w:spacing w:after="120" w:line="276"/>
        <w:jc w:val="both"/>
      </w:pPr>
      <w:r>
        <w:rPr>
          <w:rFonts w:ascii="Barlow Semi Condensed" w:cs="Barlow Semi Condensed" w:eastAsia="Barlow Semi Condensed" w:hAnsi="Barlow Semi Condensed"/>
          <w:sz w:val="24"/>
          <w:szCs w:val="24"/>
        </w:rPr>
        <w:t xml:space="preserve">il primo, ed è quello che porta gli allegati 13 e 21.</w:t>
      </w:r>
    </w:p>
    <w:p>
      <w:pPr>
        <w:spacing w:after="120" w:line="276"/>
        <w:jc w:val="both"/>
      </w:pPr>
      <w:r>
        <w:rPr>
          <w:rFonts w:ascii="Barlow Semi Condensed" w:cs="Barlow Semi Condensed" w:eastAsia="Barlow Semi Condensed" w:hAnsi="Barlow Semi Condensed"/>
          <w:b/>
          <w:bCs/>
          <w:sz w:val="24"/>
          <w:szCs w:val="24"/>
        </w:rPr>
        <w:t xml:space="preserve">Il grado di questo accertamento è B, e il tentativo di alzarlo è fallito.</w:t>
      </w:r>
      <w:r>
        <w:rPr>
          <w:rFonts w:ascii="Barlow Semi Condensed" w:cs="Barlow Semi Condensed" w:eastAsia="Barlow Semi Condensed" w:hAnsi="Barlow Semi Condensed"/>
          <w:sz w:val="24"/>
          <w:szCs w:val="24"/>
        </w:rPr>
        <w:t xml:space="preserve"> Le</w:t>
      </w:r>
    </w:p>
    <w:p>
      <w:pPr>
        <w:spacing w:after="120" w:line="276"/>
        <w:jc w:val="both"/>
      </w:pPr>
      <w:r>
        <w:rPr>
          <w:rFonts w:ascii="Barlow Semi Condensed" w:cs="Barlow Semi Condensed" w:eastAsia="Barlow Semi Condensed" w:hAnsi="Barlow Semi Condensed"/>
          <w:sz w:val="24"/>
          <w:szCs w:val="24"/>
        </w:rPr>
        <w:t xml:space="preserve">pagine non sono state aperte: il proxy di rete di questa sessione blocca l'uscita</w:t>
      </w:r>
    </w:p>
    <w:p>
      <w:pPr>
        <w:spacing w:after="120" w:line="276"/>
        <w:jc w:val="both"/>
      </w:pPr>
      <w:r>
        <w:rPr>
          <w:rFonts w:ascii="Barlow Semi Condensed" w:cs="Barlow Semi Condensed" w:eastAsia="Barlow Semi Condensed" w:hAnsi="Barlow Semi Condensed"/>
          <w:sz w:val="24"/>
          <w:szCs w:val="24"/>
        </w:rPr>
        <w:t xml:space="preserve">verso </w:t>
      </w:r>
      <w:r>
        <w:rPr>
          <w:rFonts w:ascii="Barlow Semi Condensed" w:cs="Barlow Semi Condensed" w:eastAsia="Barlow Semi Condensed" w:hAnsi="Barlow Semi Condensed"/>
          <w:i/>
          <w:iCs/>
          <w:sz w:val="24"/>
          <w:szCs w:val="24"/>
        </w:rPr>
        <w:t xml:space="preserve">camera.it</w:t>
      </w:r>
      <w:r>
        <w:rPr>
          <w:rFonts w:ascii="Barlow Semi Condensed" w:cs="Barlow Semi Condensed" w:eastAsia="Barlow Semi Condensed" w:hAnsi="Barlow Semi Condensed"/>
          <w:sz w:val="24"/>
          <w:szCs w:val="24"/>
        </w:rPr>
        <w:t xml:space="preserve"> e i suoi sottodomini, </w:t>
      </w:r>
      <w:r>
        <w:rPr>
          <w:rFonts w:ascii="Barlow Semi Condensed" w:cs="Barlow Semi Condensed" w:eastAsia="Barlow Semi Condensed" w:hAnsi="Barlow Semi Condensed"/>
          <w:i/>
          <w:iCs/>
          <w:sz w:val="24"/>
          <w:szCs w:val="24"/>
        </w:rPr>
        <w:t xml:space="preserve">senato.it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archivioantimafia.org</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i/>
          <w:iCs/>
          <w:sz w:val="24"/>
          <w:szCs w:val="24"/>
        </w:rPr>
        <w:t xml:space="preserve">siusa-archivi.cultura.gov.it</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wikisource.org</w:t>
      </w:r>
      <w:r>
        <w:rPr>
          <w:rFonts w:ascii="Barlow Semi Condensed" w:cs="Barlow Semi Condensed" w:eastAsia="Barlow Semi Condensed" w:hAnsi="Barlow Semi Condensed"/>
          <w:sz w:val="24"/>
          <w:szCs w:val="24"/>
        </w:rPr>
        <w:t xml:space="preserve">. Si registra come **Stato Zero</w:t>
      </w:r>
    </w:p>
    <w:p>
      <w:pPr>
        <w:spacing w:after="120" w:line="276"/>
        <w:jc w:val="both"/>
      </w:pPr>
      <w:r>
        <w:rPr>
          <w:rFonts w:ascii="Barlow Semi Condensed" w:cs="Barlow Semi Condensed" w:eastAsia="Barlow Semi Condensed" w:hAnsi="Barlow Semi Condensed"/>
          <w:sz w:val="24"/>
          <w:szCs w:val="24"/>
        </w:rPr>
        <w:t xml:space="preserve">d'ambiente**, con le sedi nominate e la causa dichiarata: è un limite di questa</w:t>
      </w:r>
    </w:p>
    <w:p>
      <w:pPr>
        <w:spacing w:after="120" w:line="276"/>
        <w:jc w:val="both"/>
      </w:pPr>
      <w:r>
        <w:rPr>
          <w:rFonts w:ascii="Barlow Semi Condensed" w:cs="Barlow Semi Condensed" w:eastAsia="Barlow Semi Condensed" w:hAnsi="Barlow Semi Condensed"/>
          <w:sz w:val="24"/>
          <w:szCs w:val="24"/>
        </w:rPr>
        <w:t xml:space="preserve">sessione, non un esito sulla fonte. Da un browser ordinario quelle pagine si</w:t>
      </w:r>
    </w:p>
    <w:p>
      <w:pPr>
        <w:spacing w:after="120" w:line="276"/>
        <w:jc w:val="both"/>
      </w:pPr>
      <w:r>
        <w:rPr>
          <w:rFonts w:ascii="Barlow Semi Condensed" w:cs="Barlow Semi Condensed" w:eastAsia="Barlow Semi Condensed" w:hAnsi="Barlow Semi Condensed"/>
          <w:sz w:val="24"/>
          <w:szCs w:val="24"/>
        </w:rPr>
        <w:t xml:space="preserve">aprono, e chi le apre legge ciò che qui non è stato possibile leggere.</w:t>
      </w:r>
    </w:p>
    <w:p>
      <w:pPr>
        <w:spacing w:after="120" w:line="276"/>
        <w:jc w:val="both"/>
      </w:pPr>
      <w:r>
        <w:rPr>
          <w:rFonts w:ascii="Barlow Semi Condensed" w:cs="Barlow Semi Condensed" w:eastAsia="Barlow Semi Condensed" w:hAnsi="Barlow Semi Condensed"/>
          <w:sz w:val="24"/>
          <w:szCs w:val="24"/>
        </w:rPr>
        <w:t xml:space="preserve">*Sesta annotazione, stessa data — la campagna di ricerca chiude, e toglie a</w:t>
      </w:r>
    </w:p>
    <w:p>
      <w:pPr>
        <w:spacing w:after="120" w:line="276"/>
        <w:jc w:val="both"/>
      </w:pPr>
      <w:r>
        <w:rPr>
          <w:rFonts w:ascii="Barlow Semi Condensed" w:cs="Barlow Semi Condensed" w:eastAsia="Barlow Semi Condensed" w:hAnsi="Barlow Semi Condensed"/>
          <w:sz w:val="24"/>
          <w:szCs w:val="24"/>
        </w:rPr>
        <w:t xml:space="preserve">questo argomento la sua forma assoluta.* Diciassette agenti hanno cercato in</w:t>
      </w:r>
    </w:p>
    <w:p>
      <w:pPr>
        <w:spacing w:after="120" w:line="276"/>
        <w:jc w:val="both"/>
      </w:pPr>
      <w:r>
        <w:rPr>
          <w:rFonts w:ascii="Barlow Semi Condensed" w:cs="Barlow Semi Condensed" w:eastAsia="Barlow Semi Condensed" w:hAnsi="Barlow Semi Condensed"/>
          <w:sz w:val="24"/>
          <w:szCs w:val="24"/>
        </w:rPr>
        <w:t xml:space="preserve">parallelo i numeri dei nomi in causa e ne hanno messo alla prova ciascuno. Il</w:t>
      </w:r>
    </w:p>
    <w:p>
      <w:pPr>
        <w:spacing w:after="120" w:line="276"/>
        <w:jc w:val="both"/>
      </w:pPr>
      <w:r>
        <w:rPr>
          <w:rFonts w:ascii="Barlow Semi Condensed" w:cs="Barlow Semi Condensed" w:eastAsia="Barlow Semi Condensed" w:hAnsi="Barlow Semi Condensed"/>
          <w:sz w:val="24"/>
          <w:szCs w:val="24"/>
        </w:rPr>
        <w:t xml:space="preserve">risultato più utile è </w:t>
      </w:r>
      <w:r>
        <w:rPr>
          <w:rFonts w:ascii="Barlow Semi Condensed" w:cs="Barlow Semi Condensed" w:eastAsia="Barlow Semi Condensed" w:hAnsi="Barlow Semi Condensed"/>
          <w:b/>
          <w:bCs/>
          <w:sz w:val="24"/>
          <w:szCs w:val="24"/>
        </w:rPr>
        <w:t xml:space="preserve">contro</w:t>
      </w:r>
      <w:r>
        <w:rPr>
          <w:rFonts w:ascii="Barlow Semi Condensed" w:cs="Barlow Semi Condensed" w:eastAsia="Barlow Semi Condensed" w:hAnsi="Barlow Semi Condensed"/>
          <w:sz w:val="24"/>
          <w:szCs w:val="24"/>
        </w:rPr>
        <w:t xml:space="preserve"> la formulazione che avevo dato.</w:t>
      </w:r>
    </w:p>
    <w:p>
      <w:pPr>
        <w:spacing w:after="120" w:line="276"/>
        <w:jc w:val="both"/>
      </w:pPr>
      <w:r>
        <w:rPr>
          <w:rFonts w:ascii="Barlow Semi Condensed" w:cs="Barlow Semi Condensed" w:eastAsia="Barlow Semi Condensed" w:hAnsi="Barlow Semi Condensed"/>
          <w:b/>
          <w:bCs/>
          <w:sz w:val="24"/>
          <w:szCs w:val="24"/>
        </w:rPr>
        <w:t xml:space="preserve">Una terza coppia attestata, e smentisce che lo scarto «derivi sempre».</w:t>
      </w:r>
      <w:r>
        <w:rPr>
          <w:rFonts w:ascii="Barlow Semi Condensed" w:cs="Barlow Semi Condensed" w:eastAsia="Barlow Semi Condensed" w:hAnsi="Barlow Semi Condensed"/>
          <w:sz w:val="24"/>
          <w:szCs w:val="24"/>
        </w:rPr>
        <w:t xml:space="preserve"> La</w:t>
      </w:r>
    </w:p>
    <w:p>
      <w:pPr>
        <w:spacing w:after="120" w:line="276"/>
        <w:jc w:val="both"/>
      </w:pPr>
      <w:r>
        <w:rPr>
          <w:rFonts w:ascii="Barlow Semi Condensed" w:cs="Barlow Semi Condensed" w:eastAsia="Barlow Semi Condensed" w:hAnsi="Barlow Semi Condensed"/>
          <w:sz w:val="24"/>
          <w:szCs w:val="24"/>
        </w:rPr>
        <w:t xml:space="preserve">campagna ha trovato </w:t>
      </w:r>
      <w:r>
        <w:rPr>
          <w:rFonts w:ascii="Barlow Semi Condensed" w:cs="Barlow Semi Condensed" w:eastAsia="Barlow Semi Condensed" w:hAnsi="Barlow Semi Condensed"/>
          <w:b/>
          <w:bCs/>
          <w:sz w:val="24"/>
          <w:szCs w:val="24"/>
        </w:rPr>
        <w:t xml:space="preserve">Gustavo Selva: tessera 1814, fascicolo 623</w:t>
      </w:r>
      <w:r>
        <w:rPr>
          <w:rFonts w:ascii="Barlow Semi Condensed" w:cs="Barlow Semi Condensed" w:eastAsia="Barlow Semi Condensed" w:hAnsi="Barlow Semi Condensed"/>
          <w:sz w:val="24"/>
          <w:szCs w:val="24"/>
        </w:rPr>
        <w:t xml:space="preserve">. Con questa,</w:t>
      </w:r>
    </w:p>
    <w:p>
      <w:pPr>
        <w:spacing w:after="120" w:line="276"/>
        <w:jc w:val="both"/>
      </w:pPr>
      <w:r>
        <w:rPr>
          <w:rFonts w:ascii="Barlow Semi Condensed" w:cs="Barlow Semi Condensed" w:eastAsia="Barlow Semi Condensed" w:hAnsi="Barlow Semi Condensed"/>
          <w:sz w:val="24"/>
          <w:szCs w:val="24"/>
        </w:rPr>
        <w:t xml:space="preserve">le coppie attestate sono 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tessera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fascicolo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scarto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Selva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1814</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623</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1191</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Berlusconi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1816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625</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1191</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Costanzo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1819</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626</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1193</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Fra Selva e Berlusconi le due serie avanzano </w:t>
      </w:r>
      <w:r>
        <w:rPr>
          <w:rFonts w:ascii="Barlow Semi Condensed" w:cs="Barlow Semi Condensed" w:eastAsia="Barlow Semi Condensed" w:hAnsi="Barlow Semi Condensed"/>
          <w:b/>
          <w:bCs/>
          <w:sz w:val="24"/>
          <w:szCs w:val="24"/>
        </w:rPr>
        <w:t xml:space="preserve">all'unisono</w:t>
      </w:r>
      <w:r>
        <w:rPr>
          <w:rFonts w:ascii="Barlow Semi Condensed" w:cs="Barlow Semi Condensed" w:eastAsia="Barlow Semi Condensed" w:hAnsi="Barlow Semi Condensed"/>
          <w:sz w:val="24"/>
          <w:szCs w:val="24"/>
        </w:rPr>
        <w:t xml:space="preserve"> — due posizioni di</w:t>
      </w:r>
    </w:p>
    <w:p>
      <w:pPr>
        <w:spacing w:after="120" w:line="276"/>
        <w:jc w:val="both"/>
      </w:pPr>
      <w:r>
        <w:rPr>
          <w:rFonts w:ascii="Barlow Semi Condensed" w:cs="Barlow Semi Condensed" w:eastAsia="Barlow Semi Condensed" w:hAnsi="Barlow Semi Condensed"/>
          <w:sz w:val="24"/>
          <w:szCs w:val="24"/>
        </w:rPr>
        <w:t xml:space="preserve">tessera, due di fascicolo — e lo scarto </w:t>
      </w:r>
      <w:r>
        <w:rPr>
          <w:rFonts w:ascii="Barlow Semi Condensed" w:cs="Barlow Semi Condensed" w:eastAsia="Barlow Semi Condensed" w:hAnsi="Barlow Semi Condensed"/>
          <w:b/>
          <w:bCs/>
          <w:sz w:val="24"/>
          <w:szCs w:val="24"/>
        </w:rPr>
        <w:t xml:space="preserve">resta identico</w:t>
      </w:r>
      <w:r>
        <w:rPr>
          <w:rFonts w:ascii="Barlow Semi Condensed" w:cs="Barlow Semi Condensed" w:eastAsia="Barlow Semi Condensed" w:hAnsi="Barlow Semi Condensed"/>
          <w:sz w:val="24"/>
          <w:szCs w:val="24"/>
        </w:rPr>
        <w:t xml:space="preserve">. Solo fra Berlusconi e</w:t>
      </w:r>
    </w:p>
    <w:p>
      <w:pPr>
        <w:spacing w:after="120" w:line="276"/>
        <w:jc w:val="both"/>
      </w:pPr>
      <w:r>
        <w:rPr>
          <w:rFonts w:ascii="Barlow Semi Condensed" w:cs="Barlow Semi Condensed" w:eastAsia="Barlow Semi Condensed" w:hAnsi="Barlow Semi Condensed"/>
          <w:sz w:val="24"/>
          <w:szCs w:val="24"/>
        </w:rPr>
        <w:t xml:space="preserve">Costanzo si muove. Dunque </w:t>
      </w:r>
      <w:r>
        <w:rPr>
          <w:rFonts w:ascii="Barlow Semi Condensed" w:cs="Barlow Semi Condensed" w:eastAsia="Barlow Semi Condensed" w:hAnsi="Barlow Semi Condensed"/>
          <w:b/>
          <w:bCs/>
          <w:sz w:val="24"/>
          <w:szCs w:val="24"/>
        </w:rPr>
        <w:t xml:space="preserve">uno scarto fermo non è, di per sé, impossibile</w:t>
      </w:r>
      <w:r>
        <w:rPr>
          <w:rFonts w:ascii="Barlow Semi Condensed" w:cs="Barlow Semi Condensed" w:eastAsia="Barlow Semi Condensed" w:hAnsi="Barlow Semi Condensed"/>
          <w:sz w:val="24"/>
          <w:szCs w:val="24"/>
        </w:rPr>
        <w:t xml:space="preserve">: il</w:t>
      </w:r>
    </w:p>
    <w:p>
      <w:pPr>
        <w:spacing w:after="120" w:line="276"/>
        <w:jc w:val="both"/>
      </w:pPr>
      <w:r>
        <w:rPr>
          <w:rFonts w:ascii="Barlow Semi Condensed" w:cs="Barlow Semi Condensed" w:eastAsia="Barlow Semi Condensed" w:hAnsi="Barlow Semi Condensed"/>
          <w:sz w:val="24"/>
          <w:szCs w:val="24"/>
        </w:rPr>
        <w:t xml:space="preserve">registro alterna tratti di sincronia a tratti di scivolamento, e la mia frase</w:t>
      </w:r>
    </w:p>
    <w:p>
      <w:pPr>
        <w:spacing w:after="120" w:line="276"/>
        <w:jc w:val="both"/>
      </w:pPr>
      <w:r>
        <w:rPr>
          <w:rFonts w:ascii="Barlow Semi Condensed" w:cs="Barlow Semi Condensed" w:eastAsia="Barlow Semi Condensed" w:hAnsi="Barlow Semi Condensed"/>
          <w:sz w:val="24"/>
          <w:szCs w:val="24"/>
        </w:rPr>
        <w:t xml:space="preserve">«le due coppie attestate derivano» era una generalizzazione da due punti che il</w:t>
      </w:r>
    </w:p>
    <w:p>
      <w:pPr>
        <w:spacing w:after="120" w:line="276"/>
        <w:jc w:val="both"/>
      </w:pPr>
      <w:r>
        <w:rPr>
          <w:rFonts w:ascii="Barlow Semi Condensed" w:cs="Barlow Semi Condensed" w:eastAsia="Barlow Semi Condensed" w:hAnsi="Barlow Semi Condensed"/>
          <w:sz w:val="24"/>
          <w:szCs w:val="24"/>
        </w:rPr>
        <w:t xml:space="preserve">terzo punto smentisce.</w:t>
      </w:r>
    </w:p>
    <w:p>
      <w:pPr>
        <w:spacing w:after="120" w:line="276"/>
        <w:jc w:val="both"/>
      </w:pPr>
      <w:r>
        <w:rPr>
          <w:rFonts w:ascii="Barlow Semi Condensed" w:cs="Barlow Semi Condensed" w:eastAsia="Barlow Semi Condensed" w:hAnsi="Barlow Semi Condensed"/>
          <w:b/>
          <w:bCs/>
          <w:sz w:val="24"/>
          <w:szCs w:val="24"/>
        </w:rPr>
        <w:t xml:space="preserve">E 1088 non è un livello assurdo.</w:t>
      </w:r>
      <w:r>
        <w:rPr>
          <w:rFonts w:ascii="Barlow Semi Condensed" w:cs="Barlow Semi Condensed" w:eastAsia="Barlow Semi Condensed" w:hAnsi="Barlow Semi Condensed"/>
          <w:sz w:val="24"/>
          <w:szCs w:val="24"/>
        </w:rPr>
        <w:t xml:space="preserve"> La deriva media misurata sulle tre coppie è</w:t>
      </w:r>
    </w:p>
    <w:p>
      <w:pPr>
        <w:spacing w:after="120" w:line="276"/>
        <w:jc w:val="both"/>
      </w:pPr>
      <w:r>
        <w:rPr>
          <w:rFonts w:ascii="Barlow Semi Condensed" w:cs="Barlow Semi Condensed" w:eastAsia="Barlow Semi Condensed" w:hAnsi="Barlow Semi Condensed"/>
          <w:sz w:val="24"/>
          <w:szCs w:val="24"/>
        </w:rPr>
        <w:t xml:space="preserve">di </w:t>
      </w:r>
      <w:r>
        <w:rPr>
          <w:rFonts w:ascii="Barlow Semi Condensed" w:cs="Barlow Semi Condensed" w:eastAsia="Barlow Semi Condensed" w:hAnsi="Barlow Semi Condensed"/>
          <w:b/>
          <w:bCs/>
          <w:sz w:val="24"/>
          <w:szCs w:val="24"/>
        </w:rPr>
        <w:t xml:space="preserve">0,4 unità per posizione</w:t>
      </w:r>
      <w:r>
        <w:rPr>
          <w:rFonts w:ascii="Barlow Semi Condensed" w:cs="Barlow Semi Condensed" w:eastAsia="Barlow Semi Condensed" w:hAnsi="Barlow Semi Condensed"/>
          <w:sz w:val="24"/>
          <w:szCs w:val="24"/>
        </w:rPr>
        <w:t xml:space="preserve">. Estrapolata a ritroso dalle 180 posizioni che</w:t>
      </w:r>
    </w:p>
    <w:p>
      <w:pPr>
        <w:spacing w:after="120" w:line="276"/>
        <w:jc w:val="both"/>
      </w:pPr>
      <w:r>
        <w:rPr>
          <w:rFonts w:ascii="Barlow Semi Condensed" w:cs="Barlow Semi Condensed" w:eastAsia="Barlow Semi Condensed" w:hAnsi="Barlow Semi Condensed"/>
          <w:sz w:val="24"/>
          <w:szCs w:val="24"/>
        </w:rPr>
        <w:t xml:space="preserve">separano 1814 da 1634, darebbe uno scarto intorno a </w:t>
      </w:r>
      <w:r>
        <w:rPr>
          <w:rFonts w:ascii="Barlow Semi Condensed" w:cs="Barlow Semi Condensed" w:eastAsia="Barlow Semi Condensed" w:hAnsi="Barlow Semi Condensed"/>
          <w:b/>
          <w:bCs/>
          <w:sz w:val="24"/>
          <w:szCs w:val="24"/>
        </w:rPr>
        <w:t xml:space="preserve">1119</w:t>
      </w:r>
      <w:r>
        <w:rPr>
          <w:rFonts w:ascii="Barlow Semi Condensed" w:cs="Barlow Semi Condensed" w:eastAsia="Barlow Semi Condensed" w:hAnsi="Barlow Semi Condensed"/>
          <w:sz w:val="24"/>
          <w:szCs w:val="24"/>
        </w:rPr>
        <w:t xml:space="preserve">; col tasso locale</w:t>
      </w:r>
    </w:p>
    <w:p>
      <w:pPr>
        <w:spacing w:after="120" w:line="276"/>
        <w:jc w:val="both"/>
      </w:pPr>
      <w:r>
        <w:rPr>
          <w:rFonts w:ascii="Barlow Semi Condensed" w:cs="Barlow Semi Condensed" w:eastAsia="Barlow Semi Condensed" w:hAnsi="Barlow Semi Condensed"/>
          <w:sz w:val="24"/>
          <w:szCs w:val="24"/>
        </w:rPr>
        <w:t xml:space="preserve">più alto osservato (0,667) darebbe </w:t>
      </w:r>
      <w:r>
        <w:rPr>
          <w:rFonts w:ascii="Barlow Semi Condensed" w:cs="Barlow Semi Condensed" w:eastAsia="Barlow Semi Condensed" w:hAnsi="Barlow Semi Condensed"/>
          <w:b/>
          <w:bCs/>
          <w:sz w:val="24"/>
          <w:szCs w:val="24"/>
        </w:rPr>
        <w:t xml:space="preserve">1071</w:t>
      </w:r>
      <w:r>
        <w:rPr>
          <w:rFonts w:ascii="Barlow Semi Condensed" w:cs="Barlow Semi Condensed" w:eastAsia="Barlow Semi Condensed" w:hAnsi="Barlow Semi Condensed"/>
          <w:sz w:val="24"/>
          <w:szCs w:val="24"/>
        </w:rPr>
        <w:t xml:space="preserve">. Il valore 1088 **cade dentro</w:t>
      </w:r>
    </w:p>
    <w:p>
      <w:pPr>
        <w:spacing w:after="120" w:line="276"/>
        <w:jc w:val="both"/>
      </w:pPr>
      <w:r>
        <w:rPr>
          <w:rFonts w:ascii="Barlow Semi Condensed" w:cs="Barlow Semi Condensed" w:eastAsia="Barlow Semi Condensed" w:hAnsi="Barlow Semi Condensed"/>
          <w:sz w:val="24"/>
          <w:szCs w:val="24"/>
        </w:rPr>
        <w:t xml:space="preserve">quell'intervallo**. Chi volesse difendere il testo pervenuto potrebbe dire, con</w:t>
      </w:r>
    </w:p>
    <w:p>
      <w:pPr>
        <w:spacing w:after="120" w:line="276"/>
        <w:jc w:val="both"/>
      </w:pPr>
      <w:r>
        <w:rPr>
          <w:rFonts w:ascii="Barlow Semi Condensed" w:cs="Barlow Semi Condensed" w:eastAsia="Barlow Semi Condensed" w:hAnsi="Barlow Semi Condensed"/>
          <w:sz w:val="24"/>
          <w:szCs w:val="24"/>
        </w:rPr>
        <w:t xml:space="preserve">qualche ragione, che 1088 è plausibile per quella zona del registro — e avrebbe</w:t>
      </w:r>
    </w:p>
    <w:p>
      <w:pPr>
        <w:spacing w:after="120" w:line="276"/>
        <w:jc w:val="both"/>
      </w:pPr>
      <w:r>
        <w:rPr>
          <w:rFonts w:ascii="Barlow Semi Condensed" w:cs="Barlow Semi Condensed" w:eastAsia="Barlow Semi Condensed" w:hAnsi="Barlow Semi Condensed"/>
          <w:sz w:val="24"/>
          <w:szCs w:val="24"/>
        </w:rPr>
        <w:t xml:space="preserve">ragione sul livello.</w:t>
      </w:r>
    </w:p>
    <w:p>
      <w:pPr>
        <w:spacing w:after="120" w:line="276"/>
        <w:jc w:val="both"/>
      </w:pPr>
      <w:r>
        <w:rPr>
          <w:rFonts w:ascii="Barlow Semi Condensed" w:cs="Barlow Semi Condensed" w:eastAsia="Barlow Semi Condensed" w:hAnsi="Barlow Semi Condensed"/>
          <w:b/>
          <w:bCs/>
          <w:sz w:val="24"/>
          <w:szCs w:val="24"/>
        </w:rPr>
        <w:t xml:space="preserve">Ciò che resta anomalo non è il valore: è l'immobilità.</w:t>
      </w:r>
      <w:r>
        <w:rPr>
          <w:rFonts w:ascii="Barlow Semi Condensed" w:cs="Barlow Semi Condensed" w:eastAsia="Barlow Semi Condensed" w:hAnsi="Barlow Semi Condensed"/>
          <w:sz w:val="24"/>
          <w:szCs w:val="24"/>
        </w:rPr>
        <w:t xml:space="preserve"> Con la deriva</w:t>
      </w:r>
    </w:p>
    <w:p>
      <w:pPr>
        <w:spacing w:after="120" w:line="276"/>
        <w:jc w:val="both"/>
      </w:pPr>
      <w:r>
        <w:rPr>
          <w:rFonts w:ascii="Barlow Semi Condensed" w:cs="Barlow Semi Condensed" w:eastAsia="Barlow Semi Condensed" w:hAnsi="Barlow Semi Condensed"/>
          <w:sz w:val="24"/>
          <w:szCs w:val="24"/>
        </w:rPr>
        <w:t xml:space="preserve">misurata, quarantadue posizioni dovrebbero produrre uno slittamento dell'ordine</w:t>
      </w:r>
    </w:p>
    <w:p>
      <w:pPr>
        <w:spacing w:after="120" w:line="276"/>
        <w:jc w:val="both"/>
      </w:pPr>
      <w:r>
        <w:rPr>
          <w:rFonts w:ascii="Barlow Semi Condensed" w:cs="Barlow Semi Condensed" w:eastAsia="Barlow Semi Condensed" w:hAnsi="Barlow Semi Condensed"/>
          <w:sz w:val="24"/>
          <w:szCs w:val="24"/>
        </w:rPr>
        <w:t xml:space="preserve">di </w:t>
      </w:r>
      <w:r>
        <w:rPr>
          <w:rFonts w:ascii="Barlow Semi Condensed" w:cs="Barlow Semi Condensed" w:eastAsia="Barlow Semi Condensed" w:hAnsi="Barlow Semi Condensed"/>
          <w:b/>
          <w:bCs/>
          <w:sz w:val="24"/>
          <w:szCs w:val="24"/>
        </w:rPr>
        <w:t xml:space="preserve">diciassette unità</w:t>
      </w:r>
      <w:r>
        <w:rPr>
          <w:rFonts w:ascii="Barlow Semi Condensed" w:cs="Barlow Semi Condensed" w:eastAsia="Barlow Semi Condensed" w:hAnsi="Barlow Semi Condensed"/>
          <w:sz w:val="24"/>
          <w:szCs w:val="24"/>
        </w:rPr>
        <w:t xml:space="preserve"> — fra zero e ventotto, prendendo i due tassi locali</w:t>
      </w:r>
    </w:p>
    <w:p>
      <w:pPr>
        <w:spacing w:after="120" w:line="276"/>
        <w:jc w:val="both"/>
      </w:pPr>
      <w:r>
        <w:rPr>
          <w:rFonts w:ascii="Barlow Semi Condensed" w:cs="Barlow Semi Condensed" w:eastAsia="Barlow Semi Condensed" w:hAnsi="Barlow Semi Condensed"/>
          <w:sz w:val="24"/>
          <w:szCs w:val="24"/>
        </w:rPr>
        <w:t xml:space="preserve">estremi. Il testo pervenuto ne mostra </w:t>
      </w:r>
      <w:r>
        <w:rPr>
          <w:rFonts w:ascii="Barlow Semi Condensed" w:cs="Barlow Semi Condensed" w:eastAsia="Barlow Semi Condensed" w:hAnsi="Barlow Semi Condensed"/>
          <w:b/>
          <w:bCs/>
          <w:sz w:val="24"/>
          <w:szCs w:val="24"/>
        </w:rPr>
        <w:t xml:space="preserve">zero</w:t>
      </w:r>
      <w:r>
        <w:rPr>
          <w:rFonts w:ascii="Barlow Semi Condensed" w:cs="Barlow Semi Condensed" w:eastAsia="Barlow Semi Condensed" w:hAnsi="Barlow Semi Condensed"/>
          <w:sz w:val="24"/>
          <w:szCs w:val="24"/>
        </w:rPr>
        <w:t xml:space="preserve">, e lo mostra otto volte di fila.</w:t>
      </w:r>
    </w:p>
    <w:p>
      <w:pPr>
        <w:spacing w:after="120" w:line="276"/>
        <w:jc w:val="both"/>
      </w:pPr>
      <w:r>
        <w:rPr>
          <w:rFonts w:ascii="Barlow Semi Condensed" w:cs="Barlow Semi Condensed" w:eastAsia="Barlow Semi Condensed" w:hAnsi="Barlow Semi Condensed"/>
          <w:b/>
          <w:bCs/>
          <w:sz w:val="24"/>
          <w:szCs w:val="24"/>
        </w:rPr>
        <w:t xml:space="preserve">Una corroborazione che va rifiutata perché è una tautologia.</w:t>
      </w:r>
      <w:r>
        <w:rPr>
          <w:rFonts w:ascii="Barlow Semi Condensed" w:cs="Barlow Semi Condensed" w:eastAsia="Barlow Semi Condensed" w:hAnsi="Barlow Semi Condensed"/>
          <w:sz w:val="24"/>
          <w:szCs w:val="24"/>
        </w:rPr>
        <w:t xml:space="preserve"> La campagna</w:t>
      </w:r>
    </w:p>
    <w:p>
      <w:pPr>
        <w:spacing w:after="120" w:line="276"/>
        <w:jc w:val="both"/>
      </w:pPr>
      <w:r>
        <w:rPr>
          <w:rFonts w:ascii="Barlow Semi Condensed" w:cs="Barlow Semi Condensed" w:eastAsia="Barlow Semi Condensed" w:hAnsi="Barlow Semi Condensed"/>
          <w:sz w:val="24"/>
          <w:szCs w:val="24"/>
        </w:rPr>
        <w:t xml:space="preserve">osserva che nelle otto coppie le differenze fra tessere consecutive coincidono</w:t>
      </w:r>
    </w:p>
    <w:p>
      <w:pPr>
        <w:spacing w:after="120" w:line="276"/>
        <w:jc w:val="both"/>
      </w:pPr>
      <w:r>
        <w:rPr>
          <w:rFonts w:ascii="Barlow Semi Condensed" w:cs="Barlow Semi Condensed" w:eastAsia="Barlow Semi Condensed" w:hAnsi="Barlow Semi Condensed"/>
          <w:sz w:val="24"/>
          <w:szCs w:val="24"/>
        </w:rPr>
        <w:t xml:space="preserve">una a una con quelle fra fascicoli — 8, 2, 5, 1, 11, 1, 14 — e la presenta come</w:t>
      </w:r>
    </w:p>
    <w:p>
      <w:pPr>
        <w:spacing w:after="120" w:line="276"/>
        <w:jc w:val="both"/>
      </w:pPr>
      <w:r>
        <w:rPr>
          <w:rFonts w:ascii="Barlow Semi Condensed" w:cs="Barlow Semi Condensed" w:eastAsia="Barlow Semi Condensed" w:hAnsi="Barlow Semi Condensed"/>
          <w:sz w:val="24"/>
          <w:szCs w:val="24"/>
        </w:rPr>
        <w:t xml:space="preserve">impronta di una serie sola replicata. È vero che coincidono; ma **scarto costante</w:t>
      </w:r>
    </w:p>
    <w:p>
      <w:pPr>
        <w:spacing w:after="120" w:line="276"/>
        <w:jc w:val="both"/>
      </w:pPr>
      <w:r>
        <w:rPr>
          <w:rFonts w:ascii="Barlow Semi Condensed" w:cs="Barlow Semi Condensed" w:eastAsia="Barlow Semi Condensed" w:hAnsi="Barlow Semi Condensed"/>
          <w:sz w:val="24"/>
          <w:szCs w:val="24"/>
        </w:rPr>
        <w:t xml:space="preserve">e differenze consecutive uguali sono la stessa proposizione detta due volte**. Non</w:t>
      </w:r>
    </w:p>
    <w:p>
      <w:pPr>
        <w:spacing w:after="120" w:line="276"/>
        <w:jc w:val="both"/>
      </w:pPr>
      <w:r>
        <w:rPr>
          <w:rFonts w:ascii="Barlow Semi Condensed" w:cs="Barlow Semi Condensed" w:eastAsia="Barlow Semi Condensed" w:hAnsi="Barlow Semi Condensed"/>
          <w:sz w:val="24"/>
          <w:szCs w:val="24"/>
        </w:rPr>
        <w:t xml:space="preserve">è un secondo indizio, è il primo riformulato, e contarlo due volte gonfierebbe</w:t>
      </w:r>
    </w:p>
    <w:p>
      <w:pPr>
        <w:spacing w:after="120" w:line="276"/>
        <w:jc w:val="both"/>
      </w:pPr>
      <w:r>
        <w:rPr>
          <w:rFonts w:ascii="Barlow Semi Condensed" w:cs="Barlow Semi Condensed" w:eastAsia="Barlow Semi Condensed" w:hAnsi="Barlow Semi Condensed"/>
          <w:sz w:val="24"/>
          <w:szCs w:val="24"/>
        </w:rPr>
        <w:t xml:space="preserve">l'argomento. Lo registro e non lo uso.</w:t>
      </w:r>
    </w:p>
    <w:p>
      <w:pPr>
        <w:spacing w:after="120" w:line="276"/>
        <w:jc w:val="both"/>
      </w:pPr>
      <w:r>
        <w:rPr>
          <w:rFonts w:ascii="Barlow Semi Condensed" w:cs="Barlow Semi Condensed" w:eastAsia="Barlow Semi Condensed" w:hAnsi="Barlow Semi Condensed"/>
          <w:b/>
          <w:bCs/>
          <w:sz w:val="24"/>
          <w:szCs w:val="24"/>
        </w:rPr>
        <w:t xml:space="preserve">I quattro riscontri che invece contano.</w:t>
      </w:r>
      <w:r>
        <w:rPr>
          <w:rFonts w:ascii="Barlow Semi Condensed" w:cs="Barlow Semi Condensed" w:eastAsia="Barlow Semi Condensed" w:hAnsi="Barlow Semi Condensed"/>
          <w:sz w:val="24"/>
          <w:szCs w:val="24"/>
        </w:rPr>
        <w:t xml:space="preserve"> Per quattro degli otto nomi contestati</w:t>
      </w:r>
    </w:p>
    <w:p>
      <w:pPr>
        <w:spacing w:after="120" w:line="276"/>
        <w:jc w:val="both"/>
      </w:pPr>
      <w:r>
        <w:rPr>
          <w:rFonts w:ascii="Barlow Semi Condensed" w:cs="Barlow Semi Condensed" w:eastAsia="Barlow Semi Condensed" w:hAnsi="Barlow Semi Condensed"/>
          <w:sz w:val="24"/>
          <w:szCs w:val="24"/>
        </w:rPr>
        <w:t xml:space="preserve">esiste un numero circolante, e **nessuno dei quattro coincide con la cifra del</w:t>
      </w:r>
    </w:p>
    <w:p>
      <w:pPr>
        <w:spacing w:after="120" w:line="276"/>
        <w:jc w:val="both"/>
      </w:pPr>
      <w:r>
        <w:rPr>
          <w:rFonts w:ascii="Barlow Semi Condensed" w:cs="Barlow Semi Condensed" w:eastAsia="Barlow Semi Condensed" w:hAnsi="Barlow Semi Condensed"/>
          <w:sz w:val="24"/>
          <w:szCs w:val="24"/>
        </w:rPr>
        <w:t xml:space="preserve">testo**: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nelle fonti</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nel testo pervenuto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Giudice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535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504</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Lo Prete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512</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Pelosi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754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519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Torrisi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631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531</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Quattro su quattro verificabili, quattro esiti negativi, e per nessuno dei</w:t>
      </w:r>
    </w:p>
    <w:p>
      <w:pPr>
        <w:spacing w:after="120" w:line="276"/>
        <w:jc w:val="both"/>
      </w:pPr>
      <w:r>
        <w:rPr>
          <w:rFonts w:ascii="Barlow Semi Condensed" w:cs="Barlow Semi Condensed" w:eastAsia="Barlow Semi Condensed" w:hAnsi="Barlow Semi Condensed"/>
          <w:sz w:val="24"/>
          <w:szCs w:val="24"/>
        </w:rPr>
        <w:t xml:space="preserve">quattro una fonte che proponga la cifra del testo. Converge con l'elenco dei 962</w:t>
      </w:r>
    </w:p>
    <w:p>
      <w:pPr>
        <w:spacing w:after="120" w:line="276"/>
        <w:jc w:val="both"/>
      </w:pPr>
      <w:r>
        <w:rPr>
          <w:rFonts w:ascii="Barlow Semi Condensed" w:cs="Barlow Semi Condensed" w:eastAsia="Barlow Semi Condensed" w:hAnsi="Barlow Semi Condensed"/>
          <w:sz w:val="24"/>
          <w:szCs w:val="24"/>
        </w:rPr>
        <w:t xml:space="preserve">della quinta annotazione, ed è la parte dell'argomento che regge davvero.</w:t>
      </w:r>
    </w:p>
    <w:p>
      <w:pPr>
        <w:spacing w:after="120" w:line="276"/>
        <w:jc w:val="both"/>
      </w:pPr>
      <w:r>
        <w:rPr>
          <w:rFonts w:ascii="Barlow Semi Condensed" w:cs="Barlow Semi Condensed" w:eastAsia="Barlow Semi Condensed" w:hAnsi="Barlow Semi Condensed"/>
          <w:b/>
          <w:bCs/>
          <w:sz w:val="24"/>
          <w:szCs w:val="24"/>
        </w:rPr>
        <w:t xml:space="preserve">Una cautela finale, contro me stesso.</w:t>
      </w:r>
      <w:r>
        <w:rPr>
          <w:rFonts w:ascii="Barlow Semi Condensed" w:cs="Barlow Semi Condensed" w:eastAsia="Barlow Semi Condensed" w:hAnsi="Barlow Semi Condensed"/>
          <w:sz w:val="24"/>
          <w:szCs w:val="24"/>
        </w:rPr>
        <w:t xml:space="preserve"> Fra i valori che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reggono alla</w:t>
      </w:r>
    </w:p>
    <w:p>
      <w:pPr>
        <w:spacing w:after="120" w:line="276"/>
        <w:jc w:val="both"/>
      </w:pPr>
      <w:r>
        <w:rPr>
          <w:rFonts w:ascii="Barlow Semi Condensed" w:cs="Barlow Semi Condensed" w:eastAsia="Barlow Semi Condensed" w:hAnsi="Barlow Semi Condensed"/>
          <w:sz w:val="24"/>
          <w:szCs w:val="24"/>
        </w:rPr>
        <w:t xml:space="preserve">confutazione, la coppia D'Amato (fascicolo 554, tessera 1643) darebbe scarto</w:t>
      </w:r>
    </w:p>
    <w:p>
      <w:pPr>
        <w:spacing w:after="120" w:line="276"/>
        <w:jc w:val="both"/>
      </w:pPr>
      <w:r>
        <w:rPr>
          <w:rFonts w:ascii="Barlow Semi Condensed" w:cs="Barlow Semi Condensed" w:eastAsia="Barlow Semi Condensed" w:hAnsi="Barlow Semi Condensed"/>
          <w:b/>
          <w:bCs/>
          <w:sz w:val="24"/>
          <w:szCs w:val="24"/>
        </w:rPr>
        <w:t xml:space="preserve">1089</w:t>
      </w:r>
      <w:r>
        <w:rPr>
          <w:rFonts w:ascii="Barlow Semi Condensed" w:cs="Barlow Semi Condensed" w:eastAsia="Barlow Semi Condensed" w:hAnsi="Barlow Semi Condensed"/>
          <w:sz w:val="24"/>
          <w:szCs w:val="24"/>
        </w:rPr>
        <w:t xml:space="preserve"> — a una sola unità da 1088. Non prova nulla, perché non regge; ma</w:t>
      </w:r>
    </w:p>
    <w:p>
      <w:pPr>
        <w:spacing w:after="120" w:line="276"/>
        <w:jc w:val="both"/>
      </w:pPr>
      <w:r>
        <w:rPr>
          <w:rFonts w:ascii="Barlow Semi Condensed" w:cs="Barlow Semi Condensed" w:eastAsia="Barlow Semi Condensed" w:hAnsi="Barlow Semi Condensed"/>
          <w:sz w:val="24"/>
          <w:szCs w:val="24"/>
        </w:rPr>
        <w:t xml:space="preserve">ricorda che scarti prossimi a 1088 esistono altrove nel registro, e che il peso</w:t>
      </w:r>
    </w:p>
    <w:p>
      <w:pPr>
        <w:spacing w:after="120" w:line="276"/>
        <w:jc w:val="both"/>
      </w:pPr>
      <w:r>
        <w:rPr>
          <w:rFonts w:ascii="Barlow Semi Condensed" w:cs="Barlow Semi Condensed" w:eastAsia="Barlow Semi Condensed" w:hAnsi="Barlow Semi Condensed"/>
          <w:sz w:val="24"/>
          <w:szCs w:val="24"/>
        </w:rPr>
        <w:t xml:space="preserve">di tutto questo argomento sta sulla </w:t>
      </w:r>
      <w:r>
        <w:rPr>
          <w:rFonts w:ascii="Barlow Semi Condensed" w:cs="Barlow Semi Condensed" w:eastAsia="Barlow Semi Condensed" w:hAnsi="Barlow Semi Condensed"/>
          <w:b/>
          <w:bCs/>
          <w:sz w:val="24"/>
          <w:szCs w:val="24"/>
        </w:rPr>
        <w:t xml:space="preserve">costanza</w:t>
      </w:r>
      <w:r>
        <w:rPr>
          <w:rFonts w:ascii="Barlow Semi Condensed" w:cs="Barlow Semi Condensed" w:eastAsia="Barlow Semi Condensed" w:hAnsi="Barlow Semi Condensed"/>
          <w:sz w:val="24"/>
          <w:szCs w:val="24"/>
        </w:rPr>
        <w:t xml:space="preserve">, non sul livello.</w:t>
      </w:r>
    </w:p>
    <w:p>
      <w:pPr>
        <w:spacing w:after="120" w:line="276"/>
        <w:jc w:val="both"/>
      </w:pPr>
      <w:r>
        <w:rPr>
          <w:rFonts w:ascii="Barlow Semi Condensed" w:cs="Barlow Semi Condensed" w:eastAsia="Barlow Semi Condensed" w:hAnsi="Barlow Semi Condensed"/>
          <w:b/>
          <w:bCs/>
          <w:sz w:val="24"/>
          <w:szCs w:val="24"/>
        </w:rPr>
        <w:t xml:space="preserve">Il saldo delle sei annotazioni.</w:t>
      </w:r>
      <w:r>
        <w:rPr>
          <w:rFonts w:ascii="Barlow Semi Condensed" w:cs="Barlow Semi Condensed" w:eastAsia="Barlow Semi Condensed" w:hAnsi="Barlow Semi Condensed"/>
          <w:sz w:val="24"/>
          <w:szCs w:val="24"/>
        </w:rPr>
        <w:t xml:space="preserve"> La risposta della certificazione non è</w:t>
      </w:r>
    </w:p>
    <w:p>
      <w:pPr>
        <w:spacing w:after="120" w:line="276"/>
        <w:jc w:val="both"/>
      </w:pPr>
      <w:r>
        <w:rPr>
          <w:rFonts w:ascii="Barlow Semi Condensed" w:cs="Barlow Semi Condensed" w:eastAsia="Barlow Semi Condensed" w:hAnsi="Barlow Semi Condensed"/>
          <w:sz w:val="24"/>
          <w:szCs w:val="24"/>
        </w:rPr>
        <w:t xml:space="preserve">cambiata: nessuno dei trentatré numeri è certificabile. Ciò che è cambiato è la</w:t>
      </w:r>
    </w:p>
    <w:p>
      <w:pPr>
        <w:spacing w:after="120" w:line="276"/>
        <w:jc w:val="both"/>
      </w:pPr>
      <w:r>
        <w:rPr>
          <w:rFonts w:ascii="Barlow Semi Condensed" w:cs="Barlow Semi Condensed" w:eastAsia="Barlow Semi Condensed" w:hAnsi="Barlow Semi Condensed"/>
          <w:sz w:val="24"/>
          <w:szCs w:val="24"/>
        </w:rPr>
        <w:t xml:space="preserve">qualità dell'argomento che la sostiene — tre affermazioni ritirate (la cifra di</w:t>
      </w:r>
    </w:p>
    <w:p>
      <w:pPr>
        <w:spacing w:after="120" w:line="276"/>
        <w:jc w:val="both"/>
      </w:pPr>
      <w:r>
        <w:rPr>
          <w:rFonts w:ascii="Barlow Semi Condensed" w:cs="Barlow Semi Condensed" w:eastAsia="Barlow Semi Condensed" w:hAnsi="Barlow Semi Condensed"/>
          <w:sz w:val="24"/>
          <w:szCs w:val="24"/>
        </w:rPr>
        <w:t xml:space="preserve">probabilità, la deriva come regola, la coincidenza delle differenze come secondo</w:t>
      </w:r>
    </w:p>
    <w:p>
      <w:pPr>
        <w:spacing w:after="120" w:line="276"/>
        <w:jc w:val="both"/>
      </w:pPr>
      <w:r>
        <w:rPr>
          <w:rFonts w:ascii="Barlow Semi Condensed" w:cs="Barlow Semi Condensed" w:eastAsia="Barlow Semi Condensed" w:hAnsi="Barlow Semi Condensed"/>
          <w:sz w:val="24"/>
          <w:szCs w:val="24"/>
        </w:rPr>
        <w:t xml:space="preserve">indizio) e due acquisite alla fonte (l'elenco dei 962, i quattro riscontri</w:t>
      </w:r>
    </w:p>
    <w:p>
      <w:pPr>
        <w:spacing w:after="120" w:line="276"/>
        <w:jc w:val="both"/>
      </w:pPr>
      <w:r>
        <w:rPr>
          <w:rFonts w:ascii="Barlow Semi Condensed" w:cs="Barlow Semi Condensed" w:eastAsia="Barlow Semi Condensed" w:hAnsi="Barlow Semi Condensed"/>
          <w:sz w:val="24"/>
          <w:szCs w:val="24"/>
        </w:rPr>
        <w:t xml:space="preserve">negativi). Un argomento con meno passaggi e più riscontri.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Quinta annotazione, stessa data — l'elenco arriva, e decide tre cose.</w:t>
      </w:r>
    </w:p>
    <w:p>
      <w:pPr>
        <w:spacing w:after="120" w:line="276"/>
        <w:jc w:val="both"/>
      </w:pPr>
      <w:r>
        <w:rPr>
          <w:rFonts w:ascii="Barlow Semi Condensed" w:cs="Barlow Semi Condensed" w:eastAsia="Barlow Semi Condensed" w:hAnsi="Barlow Semi Condensed"/>
          <w:sz w:val="24"/>
          <w:szCs w:val="24"/>
        </w:rPr>
        <w:t xml:space="preserve">Nel versamento del 27 agosto è entrato un documento che questa certificazione</w:t>
      </w:r>
    </w:p>
    <w:p>
      <w:pPr>
        <w:spacing w:after="120" w:line="276"/>
        <w:jc w:val="both"/>
      </w:pPr>
      <w:r>
        <w:rPr>
          <w:rFonts w:ascii="Barlow Semi Condensed" w:cs="Barlow Semi Condensed" w:eastAsia="Barlow Semi Condensed" w:hAnsi="Barlow Semi Condensed"/>
          <w:sz w:val="24"/>
          <w:szCs w:val="24"/>
        </w:rPr>
        <w:t xml:space="preserve">aveva cercato invano: l'</w:t>
      </w:r>
      <w:r>
        <w:rPr>
          <w:rFonts w:ascii="Barlow Semi Condensed" w:cs="Barlow Semi Condensed" w:eastAsia="Barlow Semi Condensed" w:hAnsi="Barlow Semi Condensed"/>
          <w:b/>
          <w:bCs/>
          <w:sz w:val="24"/>
          <w:szCs w:val="24"/>
        </w:rPr>
        <w:t xml:space="preserve">elenco dei 962 riordinato per numero di fascicolo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estratto da una copia digitalizzata dell'allegato alla Relazione Anselmi</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../italia-nera/registri-analitici/elenco-p2-per-fascicolo-v61.md</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è la copia autoptica — è una copia in rete, estratta automaticamente, e il</w:t>
      </w:r>
    </w:p>
    <w:p>
      <w:pPr>
        <w:spacing w:after="120" w:line="276"/>
        <w:jc w:val="both"/>
      </w:pPr>
      <w:r>
        <w:rPr>
          <w:rFonts w:ascii="Barlow Semi Condensed" w:cs="Barlow Semi Condensed" w:eastAsia="Barlow Semi Condensed" w:hAnsi="Barlow Semi Condensed"/>
          <w:sz w:val="24"/>
          <w:szCs w:val="24"/>
        </w:rPr>
        <w:t xml:space="preserve">documento stesso si dichiara di </w:t>
      </w:r>
      <w:r>
        <w:rPr>
          <w:rFonts w:ascii="Barlow Semi Condensed" w:cs="Barlow Semi Condensed" w:eastAsia="Barlow Semi Condensed" w:hAnsi="Barlow Semi Condensed"/>
          <w:b/>
          <w:bCs/>
          <w:sz w:val="24"/>
          <w:szCs w:val="24"/>
        </w:rPr>
        <w:t xml:space="preserve">Livello B</w:t>
      </w:r>
      <w:r>
        <w:rPr>
          <w:rFonts w:ascii="Barlow Semi Condensed" w:cs="Barlow Semi Condensed" w:eastAsia="Barlow Semi Condensed" w:hAnsi="Barlow Semi Condensed"/>
          <w:sz w:val="24"/>
          <w:szCs w:val="24"/>
        </w:rPr>
        <w:t xml:space="preserve"> per unicità della catena</w:t>
      </w:r>
    </w:p>
    <w:p>
      <w:pPr>
        <w:spacing w:after="120" w:line="276"/>
        <w:jc w:val="both"/>
      </w:pPr>
      <w:r>
        <w:rPr>
          <w:rFonts w:ascii="Barlow Semi Condensed" w:cs="Barlow Semi Condensed" w:eastAsia="Barlow Semi Condensed" w:hAnsi="Barlow Semi Condensed"/>
          <w:sz w:val="24"/>
          <w:szCs w:val="24"/>
        </w:rPr>
        <w:t xml:space="preserve">documentale. Ma è la prima volta che ai numeri si può opporre una lista.</w:t>
      </w:r>
    </w:p>
    <w:p>
      <w:pPr>
        <w:spacing w:after="120" w:line="276"/>
        <w:jc w:val="both"/>
      </w:pPr>
      <w:r>
        <w:rPr>
          <w:rFonts w:ascii="Barlow Semi Condensed" w:cs="Barlow Semi Condensed" w:eastAsia="Barlow Semi Condensed" w:hAnsi="Barlow Semi Condensed"/>
          <w:b/>
          <w:bCs/>
          <w:sz w:val="24"/>
          <w:szCs w:val="24"/>
        </w:rPr>
        <w:t xml:space="preserve">Decide la prima cosa: il massimo dei fascicoli è 962.</w:t>
      </w:r>
      <w:r>
        <w:rPr>
          <w:rFonts w:ascii="Barlow Semi Condensed" w:cs="Barlow Semi Condensed" w:eastAsia="Barlow Semi Condensed" w:hAnsi="Barlow Semi Condensed"/>
          <w:sz w:val="24"/>
          <w:szCs w:val="24"/>
        </w:rPr>
        <w:t xml:space="preserve"> Nessun numero superiore</w:t>
      </w:r>
    </w:p>
    <w:p>
      <w:pPr>
        <w:spacing w:after="120" w:line="276"/>
        <w:jc w:val="both"/>
      </w:pPr>
      <w:r>
        <w:rPr>
          <w:rFonts w:ascii="Barlow Semi Condensed" w:cs="Barlow Semi Condensed" w:eastAsia="Barlow Semi Condensed" w:hAnsi="Barlow Semi Condensed"/>
          <w:sz w:val="24"/>
          <w:szCs w:val="24"/>
        </w:rPr>
        <w:t xml:space="preserve">può essere un fascicolo. I valori fra 1.592 e 1.887 che il testo pervenuto</w:t>
      </w:r>
    </w:p>
    <w:p>
      <w:pPr>
        <w:spacing w:after="120" w:line="276"/>
        <w:jc w:val="both"/>
      </w:pPr>
      <w:r>
        <w:rPr>
          <w:rFonts w:ascii="Barlow Semi Condensed" w:cs="Barlow Semi Condensed" w:eastAsia="Barlow Semi Condensed" w:hAnsi="Barlow Semi Condensed"/>
          <w:sz w:val="24"/>
          <w:szCs w:val="24"/>
        </w:rPr>
        <w:t xml:space="preserve">dichiara come tessere appartengono dunque a un </w:t>
      </w:r>
      <w:r>
        <w:rPr>
          <w:rFonts w:ascii="Barlow Semi Condensed" w:cs="Barlow Semi Condensed" w:eastAsia="Barlow Semi Condensed" w:hAnsi="Barlow Semi Condensed"/>
          <w:b/>
          <w:bCs/>
          <w:sz w:val="24"/>
          <w:szCs w:val="24"/>
        </w:rPr>
        <w:t xml:space="preserve">secondo sistema di numerazione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distinto e non documentato da questa fonte. La calibrazione regge.</w:t>
      </w:r>
    </w:p>
    <w:p>
      <w:pPr>
        <w:spacing w:after="120" w:line="276"/>
        <w:jc w:val="both"/>
      </w:pPr>
      <w:r>
        <w:rPr>
          <w:rFonts w:ascii="Barlow Semi Condensed" w:cs="Barlow Semi Condensed" w:eastAsia="Barlow Semi Condensed" w:hAnsi="Barlow Semi Condensed"/>
          <w:b/>
          <w:bCs/>
          <w:sz w:val="24"/>
          <w:szCs w:val="24"/>
        </w:rPr>
        <w:t xml:space="preserve">Decide la seconda: il fascicolo non è la posizione alfabetica.</w:t>
      </w:r>
      <w:r>
        <w:rPr>
          <w:rFonts w:ascii="Barlow Semi Condensed" w:cs="Barlow Semi Condensed" w:eastAsia="Barlow Semi Condensed" w:hAnsi="Barlow Semi Condensed"/>
          <w:sz w:val="24"/>
          <w:szCs w:val="24"/>
        </w:rPr>
        <w:t xml:space="preserve"> La correlazione</w:t>
      </w:r>
    </w:p>
    <w:p>
      <w:pPr>
        <w:spacing w:after="120" w:line="276"/>
        <w:jc w:val="both"/>
      </w:pPr>
      <w:r>
        <w:rPr>
          <w:rFonts w:ascii="Barlow Semi Condensed" w:cs="Barlow Semi Condensed" w:eastAsia="Barlow Semi Condensed" w:hAnsi="Barlow Semi Condensed"/>
          <w:sz w:val="24"/>
          <w:szCs w:val="24"/>
        </w:rPr>
        <w:t xml:space="preserve">di Spearman fra numero di fascicolo e posizione nell'ordinamento alfabetico è</w:t>
      </w:r>
    </w:p>
    <w:p>
      <w:pPr>
        <w:spacing w:after="120" w:line="276"/>
        <w:jc w:val="both"/>
      </w:pPr>
      <w:r>
        <w:rPr>
          <w:rFonts w:ascii="Barlow Semi Condensed" w:cs="Barlow Semi Condensed" w:eastAsia="Barlow Semi Condensed" w:hAnsi="Barlow Semi Condensed"/>
          <w:b/>
          <w:bCs/>
          <w:sz w:val="24"/>
          <w:szCs w:val="24"/>
        </w:rPr>
        <w:t xml:space="preserve">0,024</w:t>
      </w:r>
      <w:r>
        <w:rPr>
          <w:rFonts w:ascii="Barlow Semi Condensed" w:cs="Barlow Semi Condensed" w:eastAsia="Barlow Semi Condensed" w:hAnsi="Barlow Semi Condensed"/>
          <w:sz w:val="24"/>
          <w:szCs w:val="24"/>
        </w:rPr>
        <w:t xml:space="preserve">, indistinguibile da zero. Cade così la terza ipotesi emersa dalla</w:t>
      </w:r>
    </w:p>
    <w:p>
      <w:pPr>
        <w:spacing w:after="120" w:line="276"/>
        <w:jc w:val="both"/>
      </w:pPr>
      <w:r>
        <w:rPr>
          <w:rFonts w:ascii="Barlow Semi Condensed" w:cs="Barlow Semi Condensed" w:eastAsia="Barlow Semi Condensed" w:hAnsi="Barlow Semi Condensed"/>
          <w:sz w:val="24"/>
          <w:szCs w:val="24"/>
        </w:rPr>
        <w:t xml:space="preserve">ricerca in rete — che il numero fra parentesi fosse un numero d'ordine</w:t>
      </w:r>
    </w:p>
    <w:p>
      <w:pPr>
        <w:spacing w:after="120" w:line="276"/>
        <w:jc w:val="both"/>
      </w:pPr>
      <w:r>
        <w:rPr>
          <w:rFonts w:ascii="Barlow Semi Condensed" w:cs="Barlow Semi Condensed" w:eastAsia="Barlow Semi Condensed" w:hAnsi="Barlow Semi Condensed"/>
          <w:sz w:val="24"/>
          <w:szCs w:val="24"/>
        </w:rPr>
        <w:t xml:space="preserve">dell'elenco. Non lo è.</w:t>
      </w:r>
    </w:p>
    <w:p>
      <w:pPr>
        <w:spacing w:after="120" w:line="276"/>
        <w:jc w:val="both"/>
      </w:pPr>
      <w:r>
        <w:rPr>
          <w:rFonts w:ascii="Barlow Semi Condensed" w:cs="Barlow Semi Condensed" w:eastAsia="Barlow Semi Condensed" w:hAnsi="Barlow Semi Condensed"/>
          <w:b/>
          <w:bCs/>
          <w:sz w:val="24"/>
          <w:szCs w:val="24"/>
        </w:rPr>
        <w:t xml:space="preserve">E decide la terza, che è la più pesante.</w:t>
      </w:r>
      <w:r>
        <w:rPr>
          <w:rFonts w:ascii="Barlow Semi Condensed" w:cs="Barlow Semi Condensed" w:eastAsia="Barlow Semi Condensed" w:hAnsi="Barlow Semi Condensed"/>
          <w:sz w:val="24"/>
          <w:szCs w:val="24"/>
        </w:rPr>
        <w:t xml:space="preserve"> Confrontando riga per riga, il testo</w:t>
      </w:r>
    </w:p>
    <w:p>
      <w:pPr>
        <w:spacing w:after="120" w:line="276"/>
        <w:jc w:val="both"/>
      </w:pPr>
      <w:r>
        <w:rPr>
          <w:rFonts w:ascii="Barlow Semi Condensed" w:cs="Barlow Semi Condensed" w:eastAsia="Barlow Semi Condensed" w:hAnsi="Barlow Semi Condensed"/>
          <w:sz w:val="24"/>
          <w:szCs w:val="24"/>
        </w:rPr>
        <w:t xml:space="preserve">pervenuto porta per gli stessi nomi </w:t>
      </w:r>
      <w:r>
        <w:rPr>
          <w:rFonts w:ascii="Barlow Semi Condensed" w:cs="Barlow Semi Condensed" w:eastAsia="Barlow Semi Condensed" w:hAnsi="Barlow Semi Condensed"/>
          <w:b/>
          <w:bCs/>
          <w:sz w:val="24"/>
          <w:szCs w:val="24"/>
        </w:rPr>
        <w:t xml:space="preserve">due numeri diversi</w:t>
      </w:r>
      <w:r>
        <w:rPr>
          <w:rFonts w:ascii="Barlow Semi Condensed" w:cs="Barlow Semi Condensed" w:eastAsia="Barlow Semi Condensed" w:hAnsi="Barlow Semi Condensed"/>
          <w:sz w:val="24"/>
          <w:szCs w:val="24"/>
        </w:rPr>
        <w:t xml:space="preserve">: uno che l'elenco</w:t>
      </w:r>
    </w:p>
    <w:p>
      <w:pPr>
        <w:spacing w:after="120" w:line="276"/>
        <w:jc w:val="both"/>
      </w:pPr>
      <w:r>
        <w:rPr>
          <w:rFonts w:ascii="Barlow Semi Condensed" w:cs="Barlow Semi Condensed" w:eastAsia="Barlow Semi Condensed" w:hAnsi="Barlow Semi Condensed"/>
          <w:sz w:val="24"/>
          <w:szCs w:val="24"/>
        </w:rPr>
        <w:t xml:space="preserve">conferma, e uno che l'elenco contraddice — ed è quest'ultimo a produrre lo scarto</w:t>
      </w:r>
    </w:p>
    <w:p>
      <w:pPr>
        <w:spacing w:after="120" w:line="276"/>
        <w:jc w:val="both"/>
      </w:pPr>
      <w:r>
        <w:rPr>
          <w:rFonts w:ascii="Barlow Semi Condensed" w:cs="Barlow Semi Condensed" w:eastAsia="Barlow Semi Condensed" w:hAnsi="Barlow Semi Condensed"/>
          <w:sz w:val="24"/>
          <w:szCs w:val="24"/>
        </w:rPr>
        <w:t xml:space="preserve">1088.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nome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fascicolo nell'elenco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nel testo pervenuto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Lo Prete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482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«482 · 512 · 1600» — il 482 c'è, e il 512 è quello che dà 1088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Miceli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491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«491 · 1605»</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Ortolani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494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fascicolo 494</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Siracusano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496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«496 · 520 · 1608» — il 496 c'è, il 520 dà 1088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Grassini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515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«515 · 1629 · 1620»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Calvi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519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fascicolo 530 — </w:t>
            </w:r>
            <w:r>
              <w:rPr>
                <w:rFonts w:ascii="Barlow Semi Condensed" w:cs="Barlow Semi Condensed" w:eastAsia="Barlow Semi Condensed" w:hAnsi="Barlow Semi Condensed"/>
                <w:b/>
                <w:bCs/>
                <w:sz w:val="20"/>
                <w:szCs w:val="20"/>
              </w:rPr>
              <w:t xml:space="preserve">il 519 non compare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Santovito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527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«163 · 527 · 1630»</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Giudice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535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«504 · 535 · 1592» — il 535 c'è, il 504 dà 1088</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Spagnuolo</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545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«543 · 545 · 1632»</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Il testo conosce i fascicoli veri e li scrive. Accanto vi affianca **una seconda</w:t>
      </w:r>
    </w:p>
    <w:p>
      <w:pPr>
        <w:spacing w:after="120" w:line="276"/>
        <w:jc w:val="both"/>
      </w:pPr>
      <w:r>
        <w:rPr>
          <w:rFonts w:ascii="Barlow Semi Condensed" w:cs="Barlow Semi Condensed" w:eastAsia="Barlow Semi Condensed" w:hAnsi="Barlow Semi Condensed"/>
          <w:sz w:val="24"/>
          <w:szCs w:val="24"/>
        </w:rPr>
        <w:t xml:space="preserve">cifra che non è il fascicolo di nessuno** — o che è il fascicolo di qualcun</w:t>
      </w:r>
    </w:p>
    <w:p>
      <w:pPr>
        <w:spacing w:after="120" w:line="276"/>
        <w:jc w:val="both"/>
      </w:pPr>
      <w:r>
        <w:rPr>
          <w:rFonts w:ascii="Barlow Semi Condensed" w:cs="Barlow Semi Condensed" w:eastAsia="Barlow Semi Condensed" w:hAnsi="Barlow Semi Condensed"/>
          <w:sz w:val="24"/>
          <w:szCs w:val="24"/>
        </w:rPr>
        <w:t xml:space="preserve">altro: il </w:t>
      </w:r>
      <w:r>
        <w:rPr>
          <w:rFonts w:ascii="Barlow Semi Condensed" w:cs="Barlow Semi Condensed" w:eastAsia="Barlow Semi Condensed" w:hAnsi="Barlow Semi Condensed"/>
          <w:b/>
          <w:bCs/>
          <w:sz w:val="24"/>
          <w:szCs w:val="24"/>
        </w:rPr>
        <w:t xml:space="preserve">519</w:t>
      </w:r>
      <w:r>
        <w:rPr>
          <w:rFonts w:ascii="Barlow Semi Condensed" w:cs="Barlow Semi Condensed" w:eastAsia="Barlow Semi Condensed" w:hAnsi="Barlow Semi Condensed"/>
          <w:sz w:val="24"/>
          <w:szCs w:val="24"/>
        </w:rPr>
        <w:t xml:space="preserve"> che assegna a Pelosi è di </w:t>
      </w:r>
      <w:r>
        <w:rPr>
          <w:rFonts w:ascii="Barlow Semi Condensed" w:cs="Barlow Semi Condensed" w:eastAsia="Barlow Semi Condensed" w:hAnsi="Barlow Semi Condensed"/>
          <w:b/>
          <w:bCs/>
          <w:sz w:val="24"/>
          <w:szCs w:val="24"/>
        </w:rPr>
        <w:t xml:space="preserve">Calvi</w:t>
      </w:r>
      <w:r>
        <w:rPr>
          <w:rFonts w:ascii="Barlow Semi Condensed" w:cs="Barlow Semi Condensed" w:eastAsia="Barlow Semi Condensed" w:hAnsi="Barlow Semi Condensed"/>
          <w:sz w:val="24"/>
          <w:szCs w:val="24"/>
        </w:rPr>
        <w:t xml:space="preserve">; il </w:t>
      </w:r>
      <w:r>
        <w:rPr>
          <w:rFonts w:ascii="Barlow Semi Condensed" w:cs="Barlow Semi Condensed" w:eastAsia="Barlow Semi Condensed" w:hAnsi="Barlow Semi Condensed"/>
          <w:b/>
          <w:bCs/>
          <w:sz w:val="24"/>
          <w:szCs w:val="24"/>
        </w:rPr>
        <w:t xml:space="preserve">532</w:t>
      </w:r>
      <w:r>
        <w:rPr>
          <w:rFonts w:ascii="Barlow Semi Condensed" w:cs="Barlow Semi Condensed" w:eastAsia="Barlow Semi Condensed" w:hAnsi="Barlow Semi Condensed"/>
          <w:sz w:val="24"/>
          <w:szCs w:val="24"/>
        </w:rPr>
        <w:t xml:space="preserve"> che assegna a</w:t>
      </w:r>
    </w:p>
    <w:p>
      <w:pPr>
        <w:spacing w:after="120" w:line="276"/>
        <w:jc w:val="both"/>
      </w:pPr>
      <w:r>
        <w:rPr>
          <w:rFonts w:ascii="Barlow Semi Condensed" w:cs="Barlow Semi Condensed" w:eastAsia="Barlow Semi Condensed" w:hAnsi="Barlow Semi Condensed"/>
          <w:sz w:val="24"/>
          <w:szCs w:val="24"/>
        </w:rPr>
        <w:t xml:space="preserve">Giovannone è di </w:t>
      </w:r>
      <w:r>
        <w:rPr>
          <w:rFonts w:ascii="Barlow Semi Condensed" w:cs="Barlow Semi Condensed" w:eastAsia="Barlow Semi Condensed" w:hAnsi="Barlow Semi Condensed"/>
          <w:b/>
          <w:bCs/>
          <w:sz w:val="24"/>
          <w:szCs w:val="24"/>
        </w:rPr>
        <w:t xml:space="preserve">Angelo Rizzoli</w:t>
      </w:r>
      <w:r>
        <w:rPr>
          <w:rFonts w:ascii="Barlow Semi Condensed" w:cs="Barlow Semi Condensed" w:eastAsia="Barlow Semi Condensed" w:hAnsi="Barlow Semi Condensed"/>
          <w:sz w:val="24"/>
          <w:szCs w:val="24"/>
        </w:rPr>
        <w:t xml:space="preserve">. E ognuna di quelle seconde cifre è</w:t>
      </w:r>
    </w:p>
    <w:p>
      <w:pPr>
        <w:spacing w:after="120" w:line="276"/>
        <w:jc w:val="both"/>
      </w:pPr>
      <w:r>
        <w:rPr>
          <w:rFonts w:ascii="Barlow Semi Condensed" w:cs="Barlow Semi Condensed" w:eastAsia="Barlow Semi Condensed" w:hAnsi="Barlow Semi Condensed"/>
          <w:sz w:val="24"/>
          <w:szCs w:val="24"/>
        </w:rPr>
        <w:t xml:space="preserve">esattamente la tessera dichiarata meno 1088.</w:t>
      </w:r>
    </w:p>
    <w:p>
      <w:pPr>
        <w:spacing w:after="120" w:line="276"/>
        <w:jc w:val="both"/>
      </w:pPr>
      <w:r>
        <w:rPr>
          <w:rFonts w:ascii="Barlow Semi Condensed" w:cs="Barlow Semi Condensed" w:eastAsia="Barlow Semi Condensed" w:hAnsi="Barlow Semi Condensed"/>
          <w:b/>
          <w:bCs/>
          <w:sz w:val="24"/>
          <w:szCs w:val="24"/>
        </w:rPr>
        <w:t xml:space="preserve">Che cosa se ne conclude, e con quale grado.</w:t>
      </w:r>
      <w:r>
        <w:rPr>
          <w:rFonts w:ascii="Barlow Semi Condensed" w:cs="Barlow Semi Condensed" w:eastAsia="Barlow Semi Condensed" w:hAnsi="Barlow Semi Condensed"/>
          <w:sz w:val="24"/>
          <w:szCs w:val="24"/>
        </w:rPr>
        <w:t xml:space="preserve"> Non più soltanto che otto scarti</w:t>
      </w:r>
    </w:p>
    <w:p>
      <w:pPr>
        <w:spacing w:after="120" w:line="276"/>
        <w:jc w:val="both"/>
      </w:pPr>
      <w:r>
        <w:rPr>
          <w:rFonts w:ascii="Barlow Semi Condensed" w:cs="Barlow Semi Condensed" w:eastAsia="Barlow Semi Condensed" w:hAnsi="Barlow Semi Condensed"/>
          <w:sz w:val="24"/>
          <w:szCs w:val="24"/>
        </w:rPr>
        <w:t xml:space="preserve">identici sono improbabili — questo lo diceva l'aritmetica — ma che i numeri che li</w:t>
      </w:r>
    </w:p>
    <w:p>
      <w:pPr>
        <w:spacing w:after="120" w:line="276"/>
        <w:jc w:val="both"/>
      </w:pPr>
      <w:r>
        <w:rPr>
          <w:rFonts w:ascii="Barlow Semi Condensed" w:cs="Barlow Semi Condensed" w:eastAsia="Barlow Semi Condensed" w:hAnsi="Barlow Semi Condensed"/>
          <w:sz w:val="24"/>
          <w:szCs w:val="24"/>
        </w:rPr>
        <w:t xml:space="preserve">producono </w:t>
      </w:r>
      <w:r>
        <w:rPr>
          <w:rFonts w:ascii="Barlow Semi Condensed" w:cs="Barlow Semi Condensed" w:eastAsia="Barlow Semi Condensed" w:hAnsi="Barlow Semi Condensed"/>
          <w:b/>
          <w:bCs/>
          <w:sz w:val="24"/>
          <w:szCs w:val="24"/>
        </w:rPr>
        <w:t xml:space="preserve">non corrispondono all'elenco</w:t>
      </w:r>
      <w:r>
        <w:rPr>
          <w:rFonts w:ascii="Barlow Semi Condensed" w:cs="Barlow Semi Condensed" w:eastAsia="Barlow Semi Condensed" w:hAnsi="Barlow Semi Condensed"/>
          <w:sz w:val="24"/>
          <w:szCs w:val="24"/>
        </w:rPr>
        <w:t xml:space="preserve">, mentre gli altri numeri dello stesso</w:t>
      </w:r>
    </w:p>
    <w:p>
      <w:pPr>
        <w:spacing w:after="120" w:line="276"/>
        <w:jc w:val="both"/>
      </w:pPr>
      <w:r>
        <w:rPr>
          <w:rFonts w:ascii="Barlow Semi Condensed" w:cs="Barlow Semi Condensed" w:eastAsia="Barlow Semi Condensed" w:hAnsi="Barlow Semi Condensed"/>
          <w:sz w:val="24"/>
          <w:szCs w:val="24"/>
        </w:rPr>
        <w:t xml:space="preserve">testo vi corrispondono. È una dimostrazione contro una fonte, non un'inferenza da</w:t>
      </w:r>
    </w:p>
    <w:p>
      <w:pPr>
        <w:spacing w:after="120" w:line="276"/>
        <w:jc w:val="both"/>
      </w:pPr>
      <w:r>
        <w:rPr>
          <w:rFonts w:ascii="Barlow Semi Condensed" w:cs="Barlow Semi Condensed" w:eastAsia="Barlow Semi Condensed" w:hAnsi="Barlow Semi Condensed"/>
          <w:sz w:val="24"/>
          <w:szCs w:val="24"/>
        </w:rPr>
        <w:t xml:space="preserve">una regolarità. Il grado resta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la fonte è una copia digitale a catena</w:t>
      </w:r>
    </w:p>
    <w:p>
      <w:pPr>
        <w:spacing w:after="120" w:line="276"/>
        <w:jc w:val="both"/>
      </w:pPr>
      <w:r>
        <w:rPr>
          <w:rFonts w:ascii="Barlow Semi Condensed" w:cs="Barlow Semi Condensed" w:eastAsia="Barlow Semi Condensed" w:hAnsi="Barlow Semi Condensed"/>
          <w:sz w:val="24"/>
          <w:szCs w:val="24"/>
        </w:rPr>
        <w:t xml:space="preserve">unica, non l'originale a stampa. Ma </w:t>
      </w:r>
      <w:r>
        <w:rPr>
          <w:rFonts w:ascii="Barlow Semi Condensed" w:cs="Barlow Semi Condensed" w:eastAsia="Barlow Semi Condensed" w:hAnsi="Barlow Semi Condensed"/>
          <w:b/>
          <w:bCs/>
          <w:sz w:val="24"/>
          <w:szCs w:val="24"/>
        </w:rPr>
        <w:t xml:space="preserve">converge con la campagna di ricerca</w:t>
      </w:r>
    </w:p>
    <w:p>
      <w:pPr>
        <w:spacing w:after="120" w:line="276"/>
        <w:jc w:val="both"/>
      </w:pPr>
      <w:r>
        <w:rPr>
          <w:rFonts w:ascii="Barlow Semi Condensed" w:cs="Barlow Semi Condensed" w:eastAsia="Barlow Semi Condensed" w:hAnsi="Barlow Semi Condensed"/>
          <w:sz w:val="24"/>
          <w:szCs w:val="24"/>
        </w:rPr>
        <w:t xml:space="preserve">condotta indipendentemente lo stesso giorno, che aveva trovato 482, 491, 494,</w:t>
      </w:r>
    </w:p>
    <w:p>
      <w:pPr>
        <w:spacing w:after="120" w:line="276"/>
        <w:jc w:val="both"/>
      </w:pPr>
      <w:r>
        <w:rPr>
          <w:rFonts w:ascii="Barlow Semi Condensed" w:cs="Barlow Semi Condensed" w:eastAsia="Barlow Semi Condensed" w:hAnsi="Barlow Semi Condensed"/>
          <w:sz w:val="24"/>
          <w:szCs w:val="24"/>
        </w:rPr>
        <w:t xml:space="preserve">515, 519, 527 e 535 su siti diversi e senza conoscere questo documento. Due</w:t>
      </w:r>
    </w:p>
    <w:p>
      <w:pPr>
        <w:spacing w:after="120" w:line="276"/>
        <w:jc w:val="both"/>
      </w:pPr>
      <w:r>
        <w:rPr>
          <w:rFonts w:ascii="Barlow Semi Condensed" w:cs="Barlow Semi Condensed" w:eastAsia="Barlow Semi Condensed" w:hAnsi="Barlow Semi Condensed"/>
          <w:sz w:val="24"/>
          <w:szCs w:val="24"/>
        </w:rPr>
        <w:t xml:space="preserve">catene che si incontrano non fanno un giudicato; fanno molto più di una.</w:t>
      </w:r>
    </w:p>
    <w:p>
      <w:pPr>
        <w:spacing w:after="120" w:line="276"/>
        <w:jc w:val="both"/>
      </w:pPr>
      <w:r>
        <w:rPr>
          <w:rFonts w:ascii="Barlow Semi Condensed" w:cs="Barlow Semi Condensed" w:eastAsia="Barlow Semi Condensed" w:hAnsi="Barlow Semi Condensed"/>
          <w:b/>
          <w:bCs/>
          <w:sz w:val="24"/>
          <w:szCs w:val="24"/>
        </w:rPr>
        <w:t xml:space="preserve">Che cosa resta da verificare sull'originale</w:t>
      </w:r>
      <w:r>
        <w:rPr>
          <w:rFonts w:ascii="Barlow Semi Condensed" w:cs="Barlow Semi Condensed" w:eastAsia="Barlow Semi Condensed" w:hAnsi="Barlow Semi Condensed"/>
          <w:sz w:val="24"/>
          <w:szCs w:val="24"/>
        </w:rPr>
        <w:t xml:space="preserve">, e il documento lo prescrive da</w:t>
      </w:r>
    </w:p>
    <w:p>
      <w:pPr>
        <w:spacing w:after="120" w:line="276"/>
        <w:jc w:val="both"/>
      </w:pPr>
      <w:r>
        <w:rPr>
          <w:rFonts w:ascii="Barlow Semi Condensed" w:cs="Barlow Semi Condensed" w:eastAsia="Barlow Semi Condensed" w:hAnsi="Barlow Semi Condensed"/>
          <w:sz w:val="24"/>
          <w:szCs w:val="24"/>
        </w:rPr>
        <w:t xml:space="preserve">sé: il nominativo di </w:t>
      </w:r>
      <w:r>
        <w:rPr>
          <w:rFonts w:ascii="Barlow Semi Condensed" w:cs="Barlow Semi Condensed" w:eastAsia="Barlow Semi Condensed" w:hAnsi="Barlow Semi Condensed"/>
          <w:b/>
          <w:bCs/>
          <w:sz w:val="24"/>
          <w:szCs w:val="24"/>
        </w:rPr>
        <w:t xml:space="preserve">Antonio Varisco</w:t>
      </w:r>
      <w:r>
        <w:rPr>
          <w:rFonts w:ascii="Barlow Semi Condensed" w:cs="Barlow Semi Condensed" w:eastAsia="Barlow Semi Condensed" w:hAnsi="Barlow Semi Condensed"/>
          <w:sz w:val="24"/>
          <w:szCs w:val="24"/>
        </w:rPr>
        <w:t xml:space="preserve">, che nell'elenco </w:t>
      </w:r>
      <w:r>
        <w:rPr>
          <w:rFonts w:ascii="Barlow Semi Condensed" w:cs="Barlow Semi Condensed" w:eastAsia="Barlow Semi Condensed" w:hAnsi="Barlow Semi Condensed"/>
          <w:b/>
          <w:bCs/>
          <w:sz w:val="24"/>
          <w:szCs w:val="24"/>
        </w:rPr>
        <w:t xml:space="preserve">non compare</w:t>
      </w:r>
      <w:r>
        <w:rPr>
          <w:rFonts w:ascii="Barlow Semi Condensed" w:cs="Barlow Semi Condensed" w:eastAsia="Barlow Semi Condensed" w:hAnsi="Barlow Semi Condensed"/>
          <w:sz w:val="24"/>
          <w:szCs w:val="24"/>
        </w:rPr>
        <w:t xml:space="preserve"> — la</w:t>
      </w:r>
    </w:p>
    <w:p>
      <w:pPr>
        <w:spacing w:after="120" w:line="276"/>
        <w:jc w:val="both"/>
      </w:pPr>
      <w:r>
        <w:rPr>
          <w:rFonts w:ascii="Barlow Semi Condensed" w:cs="Barlow Semi Condensed" w:eastAsia="Barlow Semi Condensed" w:hAnsi="Barlow Semi Condensed"/>
          <w:sz w:val="24"/>
          <w:szCs w:val="24"/>
        </w:rPr>
        <w:t xml:space="preserve">certificazione lo aveva già iscritto fra le quattro appartenenze non trovate, e</w:t>
      </w:r>
    </w:p>
    <w:p>
      <w:pPr>
        <w:spacing w:after="120" w:line="276"/>
        <w:jc w:val="both"/>
      </w:pPr>
      <w:r>
        <w:rPr>
          <w:rFonts w:ascii="Barlow Semi Condensed" w:cs="Barlow Semi Condensed" w:eastAsia="Barlow Semi Condensed" w:hAnsi="Barlow Semi Condensed"/>
          <w:sz w:val="24"/>
          <w:szCs w:val="24"/>
        </w:rPr>
        <w:t xml:space="preserve">ora si sa dove non è; e il </w:t>
      </w:r>
      <w:r>
        <w:rPr>
          <w:rFonts w:ascii="Barlow Semi Condensed" w:cs="Barlow Semi Condensed" w:eastAsia="Barlow Semi Condensed" w:hAnsi="Barlow Semi Condensed"/>
          <w:b/>
          <w:bCs/>
          <w:sz w:val="24"/>
          <w:szCs w:val="24"/>
        </w:rPr>
        <w:t xml:space="preserve">fascicolo 397</w:t>
      </w:r>
      <w:r>
        <w:rPr>
          <w:rFonts w:ascii="Barlow Semi Condensed" w:cs="Barlow Semi Condensed" w:eastAsia="Barlow Semi Condensed" w:hAnsi="Barlow Semi Condensed"/>
          <w:sz w:val="24"/>
          <w:szCs w:val="24"/>
        </w:rPr>
        <w:t xml:space="preserve">, che nella copia risulta assegnato a</w:t>
      </w:r>
    </w:p>
    <w:p>
      <w:pPr>
        <w:spacing w:after="120" w:line="276"/>
        <w:jc w:val="both"/>
      </w:pPr>
      <w:r>
        <w:rPr>
          <w:rFonts w:ascii="Barlow Semi Condensed" w:cs="Barlow Semi Condensed" w:eastAsia="Barlow Semi Condensed" w:hAnsi="Barlow Semi Condensed"/>
          <w:sz w:val="24"/>
          <w:szCs w:val="24"/>
        </w:rPr>
        <w:t xml:space="preserve">due nomi.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Quarta annotazione, stessa data — l'aritmetica riscritta, e due debolezze mie.</w:t>
      </w:r>
    </w:p>
    <w:p>
      <w:pPr>
        <w:spacing w:after="120" w:line="276"/>
        <w:jc w:val="both"/>
      </w:pPr>
      <w:r>
        <w:rPr>
          <w:rFonts w:ascii="Barlow Semi Condensed" w:cs="Barlow Semi Condensed" w:eastAsia="Barlow Semi Condensed" w:hAnsi="Barlow Semi Condensed"/>
          <w:sz w:val="24"/>
          <w:szCs w:val="24"/>
        </w:rPr>
        <w:t xml:space="preserve">Rifacendo i conti sono emerse **due fragilità nell'argomento che questa</w:t>
      </w:r>
    </w:p>
    <w:p>
      <w:pPr>
        <w:spacing w:after="120" w:line="276"/>
        <w:jc w:val="both"/>
      </w:pPr>
      <w:r>
        <w:rPr>
          <w:rFonts w:ascii="Barlow Semi Condensed" w:cs="Barlow Semi Condensed" w:eastAsia="Barlow Semi Condensed" w:hAnsi="Barlow Semi Condensed"/>
          <w:sz w:val="24"/>
          <w:szCs w:val="24"/>
        </w:rPr>
        <w:t xml:space="preserve">certificazione aveva usato**, e vanno dette prima di ogni altra cosa perché</w:t>
      </w:r>
    </w:p>
    <w:p>
      <w:pPr>
        <w:spacing w:after="120" w:line="276"/>
        <w:jc w:val="both"/>
      </w:pPr>
      <w:r>
        <w:rPr>
          <w:rFonts w:ascii="Barlow Semi Condensed" w:cs="Barlow Semi Condensed" w:eastAsia="Barlow Semi Condensed" w:hAnsi="Barlow Semi Condensed"/>
          <w:sz w:val="24"/>
          <w:szCs w:val="24"/>
        </w:rPr>
        <w:t xml:space="preserve">riguardano il mio ragionamento, non le fonti.</w:t>
      </w:r>
    </w:p>
    <w:p>
      <w:pPr>
        <w:spacing w:after="120" w:line="276"/>
        <w:jc w:val="both"/>
      </w:pPr>
      <w:r>
        <w:rPr>
          <w:rFonts w:ascii="Barlow Semi Condensed" w:cs="Barlow Semi Condensed" w:eastAsia="Barlow Semi Condensed" w:hAnsi="Barlow Semi Condensed"/>
          <w:b/>
          <w:bCs/>
          <w:sz w:val="24"/>
          <w:szCs w:val="24"/>
        </w:rPr>
        <w:t xml:space="preserve">La prima: la cifra 5×10⁻¹⁵ dipende da un assunto che non avevo dichiarato.</w:t>
      </w:r>
    </w:p>
    <w:p>
      <w:pPr>
        <w:spacing w:after="120" w:line="276"/>
        <w:jc w:val="both"/>
      </w:pPr>
      <w:r>
        <w:rPr>
          <w:rFonts w:ascii="Barlow Semi Condensed" w:cs="Barlow Semi Condensed" w:eastAsia="Barlow Semi Condensed" w:hAnsi="Barlow Semi Condensed"/>
          <w:sz w:val="24"/>
          <w:szCs w:val="24"/>
        </w:rPr>
        <w:t xml:space="preserve">Quel numero si ottiene solo fissando l'ampiezza entro cui gli scarti potrebbero</w:t>
      </w:r>
    </w:p>
    <w:p>
      <w:pPr>
        <w:spacing w:after="120" w:line="276"/>
        <w:jc w:val="both"/>
      </w:pPr>
      <w:r>
        <w:rPr>
          <w:rFonts w:ascii="Barlow Semi Condensed" w:cs="Barlow Semi Condensed" w:eastAsia="Barlow Semi Condensed" w:hAnsi="Barlow Semi Condensed"/>
          <w:sz w:val="24"/>
          <w:szCs w:val="24"/>
        </w:rPr>
        <w:t xml:space="preserve">variare, e quell'ampiezza non era scritta da nessuna parte. Cambiandola, la</w:t>
      </w:r>
    </w:p>
    <w:p>
      <w:pPr>
        <w:spacing w:after="120" w:line="276"/>
        <w:jc w:val="both"/>
      </w:pPr>
      <w:r>
        <w:rPr>
          <w:rFonts w:ascii="Barlow Semi Condensed" w:cs="Barlow Semi Condensed" w:eastAsia="Barlow Semi Condensed" w:hAnsi="Barlow Semi Condensed"/>
          <w:sz w:val="24"/>
          <w:szCs w:val="24"/>
        </w:rPr>
        <w:t xml:space="preserve">probabilità si muove di sei ordini di grandezza: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ampiezza assunta</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probabilità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50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6×10⁻⁷</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100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5×10⁻⁹</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500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6×10⁻¹⁴</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1.000</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5×10⁻¹⁶</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Una cifra che oscilla così a seconda di un parametro taciuto non è un risultato:</w:t>
      </w:r>
    </w:p>
    <w:p>
      <w:pPr>
        <w:spacing w:after="120" w:line="276"/>
        <w:jc w:val="both"/>
      </w:pPr>
      <w:r>
        <w:rPr>
          <w:rFonts w:ascii="Barlow Semi Condensed" w:cs="Barlow Semi Condensed" w:eastAsia="Barlow Semi Condensed" w:hAnsi="Barlow Semi Condensed"/>
          <w:sz w:val="24"/>
          <w:szCs w:val="24"/>
        </w:rPr>
        <w:t xml:space="preserve">è un'impressione con l'aria di un calcolo. </w:t>
      </w:r>
      <w:r>
        <w:rPr>
          <w:rFonts w:ascii="Barlow Semi Condensed" w:cs="Barlow Semi Condensed" w:eastAsia="Barlow Semi Condensed" w:hAnsi="Barlow Semi Condensed"/>
          <w:b/>
          <w:bCs/>
          <w:sz w:val="24"/>
          <w:szCs w:val="24"/>
        </w:rPr>
        <w:t xml:space="preserve">La ritiro.</w:t>
      </w:r>
    </w:p>
    <w:p>
      <w:pPr>
        <w:spacing w:after="120" w:line="276"/>
        <w:jc w:val="both"/>
      </w:pPr>
      <w:r>
        <w:rPr>
          <w:rFonts w:ascii="Barlow Semi Condensed" w:cs="Barlow Semi Condensed" w:eastAsia="Barlow Semi Condensed" w:hAnsi="Barlow Semi Condensed"/>
          <w:b/>
          <w:bCs/>
          <w:sz w:val="24"/>
          <w:szCs w:val="24"/>
        </w:rPr>
        <w:t xml:space="preserve">La seconda: la deriva 1191 → 1193 poggia su due punti.</w:t>
      </w:r>
      <w:r>
        <w:rPr>
          <w:rFonts w:ascii="Barlow Semi Condensed" w:cs="Barlow Semi Condensed" w:eastAsia="Barlow Semi Condensed" w:hAnsi="Barlow Semi Condensed"/>
          <w:sz w:val="24"/>
          <w:szCs w:val="24"/>
        </w:rPr>
        <w:t xml:space="preserve"> Due punti non</w:t>
      </w:r>
    </w:p>
    <w:p>
      <w:pPr>
        <w:spacing w:after="120" w:line="276"/>
        <w:jc w:val="both"/>
      </w:pPr>
      <w:r>
        <w:rPr>
          <w:rFonts w:ascii="Barlow Semi Condensed" w:cs="Barlow Semi Condensed" w:eastAsia="Barlow Semi Condensed" w:hAnsi="Barlow Semi Condensed"/>
          <w:sz w:val="24"/>
          <w:szCs w:val="24"/>
        </w:rPr>
        <w:t xml:space="preserve">stabiliscono una pendenza — la stabiliscono per definizione, e non la</w:t>
      </w:r>
    </w:p>
    <w:p>
      <w:pPr>
        <w:spacing w:after="120" w:line="276"/>
        <w:jc w:val="both"/>
      </w:pPr>
      <w:r>
        <w:rPr>
          <w:rFonts w:ascii="Barlow Semi Condensed" w:cs="Barlow Semi Condensed" w:eastAsia="Barlow Semi Condensed" w:hAnsi="Barlow Semi Condensed"/>
          <w:sz w:val="24"/>
          <w:szCs w:val="24"/>
        </w:rPr>
        <w:t xml:space="preserve">verificano. Che lo scarto reale «derivi» resta perciò un'ipotesi con n = 2, e</w:t>
      </w:r>
    </w:p>
    <w:p>
      <w:pPr>
        <w:spacing w:after="120" w:line="276"/>
        <w:jc w:val="both"/>
      </w:pPr>
      <w:r>
        <w:rPr>
          <w:rFonts w:ascii="Barlow Semi Condensed" w:cs="Barlow Semi Condensed" w:eastAsia="Barlow Semi Condensed" w:hAnsi="Barlow Semi Condensed"/>
          <w:sz w:val="24"/>
          <w:szCs w:val="24"/>
        </w:rPr>
        <w:t xml:space="preserve">tutto ciò che ne avevo dedotto per estrapolazione va preso come indicativo. Per</w:t>
      </w:r>
    </w:p>
    <w:p>
      <w:pPr>
        <w:spacing w:after="120" w:line="276"/>
        <w:jc w:val="both"/>
      </w:pPr>
      <w:r>
        <w:rPr>
          <w:rFonts w:ascii="Barlow Semi Condensed" w:cs="Barlow Semi Condensed" w:eastAsia="Barlow Semi Condensed" w:hAnsi="Barlow Semi Condensed"/>
          <w:sz w:val="24"/>
          <w:szCs w:val="24"/>
        </w:rPr>
        <w:t xml:space="preserve">mostrare quanto sia fragile: il modello lineare costruito su quei due soli punti</w:t>
      </w:r>
    </w:p>
    <w:p>
      <w:pPr>
        <w:spacing w:after="120" w:line="276"/>
        <w:jc w:val="both"/>
      </w:pPr>
      <w:r>
        <w:rPr>
          <w:rFonts w:ascii="Barlow Semi Condensed" w:cs="Barlow Semi Condensed" w:eastAsia="Barlow Semi Condensed" w:hAnsi="Barlow Semi Condensed"/>
          <w:sz w:val="24"/>
          <w:szCs w:val="24"/>
        </w:rPr>
        <w:t xml:space="preserve">predirebbe per Giudice la tessera 1453 contro le 1592 dichiarate, e per Gallucci</w:t>
      </w:r>
    </w:p>
    <w:p>
      <w:pPr>
        <w:spacing w:after="120" w:line="276"/>
        <w:jc w:val="both"/>
      </w:pPr>
      <w:r>
        <w:rPr>
          <w:rFonts w:ascii="Barlow Semi Condensed" w:cs="Barlow Semi Condensed" w:eastAsia="Barlow Semi Condensed" w:hAnsi="Barlow Semi Condensed"/>
          <w:sz w:val="24"/>
          <w:szCs w:val="24"/>
        </w:rPr>
        <w:t xml:space="preserve">1579 contro 1634 — errori fra 55 e 139 posizioni, che nessuno può interpretare</w:t>
      </w:r>
    </w:p>
    <w:p>
      <w:pPr>
        <w:spacing w:after="120" w:line="276"/>
        <w:jc w:val="both"/>
      </w:pPr>
      <w:r>
        <w:rPr>
          <w:rFonts w:ascii="Barlow Semi Condensed" w:cs="Barlow Semi Condensed" w:eastAsia="Barlow Semi Condensed" w:hAnsi="Barlow Semi Condensed"/>
          <w:sz w:val="24"/>
          <w:szCs w:val="24"/>
        </w:rPr>
        <w:t xml:space="preserve">senza altri punti.</w:t>
      </w:r>
    </w:p>
    <w:p>
      <w:pPr>
        <w:spacing w:after="120" w:line="276"/>
        <w:jc w:val="both"/>
      </w:pPr>
      <w:r>
        <w:rPr>
          <w:rFonts w:ascii="Barlow Semi Condensed" w:cs="Barlow Semi Condensed" w:eastAsia="Barlow Semi Condensed" w:hAnsi="Barlow Semi Condensed"/>
          <w:b/>
          <w:bCs/>
          <w:sz w:val="24"/>
          <w:szCs w:val="24"/>
        </w:rPr>
        <w:t xml:space="preserve">Che cosa resta in piedi, e regge meglio di prima.</w:t>
      </w:r>
      <w:r>
        <w:rPr>
          <w:rFonts w:ascii="Barlow Semi Condensed" w:cs="Barlow Semi Condensed" w:eastAsia="Barlow Semi Condensed" w:hAnsi="Barlow Semi Condensed"/>
          <w:sz w:val="24"/>
          <w:szCs w:val="24"/>
        </w:rPr>
        <w:t xml:space="preserve"> L'argomento si può fare</w:t>
      </w:r>
    </w:p>
    <w:p>
      <w:pPr>
        <w:spacing w:after="120" w:line="276"/>
        <w:jc w:val="both"/>
      </w:pPr>
      <w:r>
        <w:rPr>
          <w:rFonts w:ascii="Barlow Semi Condensed" w:cs="Barlow Semi Condensed" w:eastAsia="Barlow Semi Condensed" w:hAnsi="Barlow Semi Condensed"/>
          <w:b/>
          <w:bCs/>
          <w:sz w:val="24"/>
          <w:szCs w:val="24"/>
        </w:rPr>
        <w:t xml:space="preserve">senza assumere nulla</w:t>
      </w:r>
      <w:r>
        <w:rPr>
          <w:rFonts w:ascii="Barlow Semi Condensed" w:cs="Barlow Semi Condensed" w:eastAsia="Barlow Semi Condensed" w:hAnsi="Barlow Semi Condensed"/>
          <w:sz w:val="24"/>
          <w:szCs w:val="24"/>
        </w:rPr>
        <w:t xml:space="preserve"> sulla distribuzione degli scarti. Se i ventitré scarti</w:t>
      </w:r>
    </w:p>
    <w:p>
      <w:pPr>
        <w:spacing w:after="120" w:line="276"/>
        <w:jc w:val="both"/>
      </w:pPr>
      <w:r>
        <w:rPr>
          <w:rFonts w:ascii="Barlow Semi Condensed" w:cs="Barlow Semi Condensed" w:eastAsia="Barlow Semi Condensed" w:hAnsi="Barlow Semi Condensed"/>
          <w:sz w:val="24"/>
          <w:szCs w:val="24"/>
        </w:rPr>
        <w:t xml:space="preserve">provenissero da una distribuzione qualsiasi, e </w:t>
      </w:r>
      <w:r>
        <w:rPr>
          <w:rFonts w:ascii="Barlow Semi Condensed" w:cs="Barlow Semi Condensed" w:eastAsia="Barlow Semi Condensed" w:hAnsi="Barlow Semi Condensed"/>
          <w:i/>
          <w:iCs/>
          <w:sz w:val="24"/>
          <w:szCs w:val="24"/>
        </w:rPr>
        <w:t xml:space="preserve">p</w:t>
      </w:r>
      <w:r>
        <w:rPr>
          <w:rFonts w:ascii="Barlow Semi Condensed" w:cs="Barlow Semi Condensed" w:eastAsia="Barlow Semi Condensed" w:hAnsi="Barlow Semi Condensed"/>
          <w:sz w:val="24"/>
          <w:szCs w:val="24"/>
        </w:rPr>
        <w:t xml:space="preserve"> fosse la probabilità del</w:t>
      </w:r>
    </w:p>
    <w:p>
      <w:pPr>
        <w:spacing w:after="120" w:line="276"/>
        <w:jc w:val="both"/>
      </w:pPr>
      <w:r>
        <w:rPr>
          <w:rFonts w:ascii="Barlow Semi Condensed" w:cs="Barlow Semi Condensed" w:eastAsia="Barlow Semi Condensed" w:hAnsi="Barlow Semi Condensed"/>
          <w:sz w:val="24"/>
          <w:szCs w:val="24"/>
        </w:rPr>
        <w:t xml:space="preserve">valore più frequente, allora la probabilità che otto di essi coincidano è al più</w:t>
      </w:r>
    </w:p>
    <w:p>
      <w:pPr>
        <w:spacing w:after="120" w:line="276"/>
        <w:jc w:val="both"/>
      </w:pPr>
      <w:r>
        <w:rPr>
          <w:rFonts w:ascii="Barlow Semi Condensed" w:cs="Barlow Semi Condensed" w:eastAsia="Barlow Semi Condensed" w:hAnsi="Barlow Semi Condensed"/>
          <w:sz w:val="24"/>
          <w:szCs w:val="24"/>
        </w:rPr>
        <w:t xml:space="preserve">C(23,8)·p⁷. Rovesciando il conto:</w:t>
      </w:r>
    </w:p>
    <w:p>
      <w:pPr>
        <w:pBdr>
          <w:left w:val="single" w:color="1F3864" w:sz="18" w:space="8"/>
        </w:pBdr>
        <w:spacing w:after="80" w:before="80"/>
        <w:ind w:left="360" w:right="360"/>
        <w:jc w:val="both"/>
      </w:pPr>
      <w:r>
        <w:rPr>
          <w:rFonts w:ascii="Barlow Semi Condensed" w:cs="Barlow Semi Condensed" w:eastAsia="Barlow Semi Condensed" w:hAnsi="Barlow Semi Condensed"/>
          <w:i w:val="false"/>
          <w:iCs w:val="false"/>
          <w:sz w:val="24"/>
          <w:szCs w:val="24"/>
        </w:rPr>
        <w:t xml:space="preserve">perché il caso sia plausibile anche solo </w:t>
      </w:r>
      <w:r>
        <w:rPr>
          <w:rFonts w:ascii="Barlow Semi Condensed" w:cs="Barlow Semi Condensed" w:eastAsia="Barlow Semi Condensed" w:hAnsi="Barlow Semi Condensed"/>
          <w:b/>
          <w:bCs/>
          <w:i w:val="false"/>
          <w:iCs w:val="false"/>
          <w:sz w:val="24"/>
          <w:szCs w:val="24"/>
        </w:rPr>
        <w:t xml:space="preserve">all'uno per cento</w:t>
      </w:r>
      <w:r>
        <w:rPr>
          <w:rFonts w:ascii="Barlow Semi Condensed" w:cs="Barlow Semi Condensed" w:eastAsia="Barlow Semi Condensed" w:hAnsi="Barlow Semi Condensed"/>
          <w:i w:val="false"/>
          <w:iCs w:val="false"/>
          <w:sz w:val="24"/>
          <w:szCs w:val="24"/>
        </w:rPr>
        <w:t xml:space="preserve">, occorre che circa l'</w:t>
      </w:r>
      <w:r>
        <w:rPr>
          <w:rFonts w:ascii="Barlow Semi Condensed" w:cs="Barlow Semi Condensed" w:eastAsia="Barlow Semi Condensed" w:hAnsi="Barlow Semi Condensed"/>
          <w:b/>
          <w:bCs/>
          <w:i w:val="false"/>
          <w:iCs w:val="false"/>
          <w:sz w:val="24"/>
          <w:szCs w:val="24"/>
        </w:rPr>
        <w:t xml:space="preserve">otto per cento di tutte le coppie della loggia</w:t>
      </w:r>
      <w:r>
        <w:rPr>
          <w:rFonts w:ascii="Barlow Semi Condensed" w:cs="Barlow Semi Condensed" w:eastAsia="Barlow Semi Condensed" w:hAnsi="Barlow Semi Condensed"/>
          <w:i w:val="false"/>
          <w:iCs w:val="false"/>
          <w:sz w:val="24"/>
          <w:szCs w:val="24"/>
        </w:rPr>
        <w:t xml:space="preserve"> condivida lo stesso identico scarto — su 962 iscritti, </w:t>
      </w:r>
      <w:r>
        <w:rPr>
          <w:rFonts w:ascii="Barlow Semi Condensed" w:cs="Barlow Semi Condensed" w:eastAsia="Barlow Semi Condensed" w:hAnsi="Barlow Semi Condensed"/>
          <w:b/>
          <w:bCs/>
          <w:i w:val="false"/>
          <w:iCs w:val="false"/>
          <w:sz w:val="24"/>
          <w:szCs w:val="24"/>
        </w:rPr>
        <w:t xml:space="preserve">una settantina di persone</w:t>
      </w:r>
      <w:r>
        <w:rPr>
          <w:rFonts w:ascii="Barlow Semi Condensed" w:cs="Barlow Semi Condensed" w:eastAsia="Barlow Semi Condensed" w:hAnsi="Barlow Semi Condensed"/>
          <w:i w:val="false"/>
          <w:iCs w:val="false"/>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E qui l'argomento si chiude da sé: se davvero una settantina di iscritti</w:t>
      </w:r>
    </w:p>
    <w:p>
      <w:pPr>
        <w:spacing w:after="120" w:line="276"/>
        <w:jc w:val="both"/>
      </w:pPr>
      <w:r>
        <w:rPr>
          <w:rFonts w:ascii="Barlow Semi Condensed" w:cs="Barlow Semi Condensed" w:eastAsia="Barlow Semi Condensed" w:hAnsi="Barlow Semi Condensed"/>
          <w:sz w:val="24"/>
          <w:szCs w:val="24"/>
        </w:rPr>
        <w:t xml:space="preserve">condividesse quello scarto, lo scarto non sarebbe un caso, sarebbe **la regola</w:t>
      </w:r>
    </w:p>
    <w:p>
      <w:pPr>
        <w:spacing w:after="120" w:line="276"/>
        <w:jc w:val="both"/>
      </w:pPr>
      <w:r>
        <w:rPr>
          <w:rFonts w:ascii="Barlow Semi Condensed" w:cs="Barlow Semi Condensed" w:eastAsia="Barlow Semi Condensed" w:hAnsi="Barlow Semi Condensed"/>
          <w:sz w:val="24"/>
          <w:szCs w:val="24"/>
        </w:rPr>
        <w:t xml:space="preserve">del registro** — e le due coppie attestate, Berlusconi e Costanzo, dovrebbero</w:t>
      </w:r>
    </w:p>
    <w:p>
      <w:pPr>
        <w:spacing w:after="120" w:line="276"/>
        <w:jc w:val="both"/>
      </w:pPr>
      <w:r>
        <w:rPr>
          <w:rFonts w:ascii="Barlow Semi Condensed" w:cs="Barlow Semi Condensed" w:eastAsia="Barlow Semi Condensed" w:hAnsi="Barlow Semi Condensed"/>
          <w:sz w:val="24"/>
          <w:szCs w:val="24"/>
        </w:rPr>
        <w:t xml:space="preserve">rispettarla. Non la rispettano: danno 1191 e 1193, non 1088.</w:t>
      </w:r>
    </w:p>
    <w:p>
      <w:pPr>
        <w:spacing w:after="120" w:line="276"/>
        <w:jc w:val="both"/>
      </w:pPr>
      <w:r>
        <w:rPr>
          <w:rFonts w:ascii="Barlow Semi Condensed" w:cs="Barlow Semi Condensed" w:eastAsia="Barlow Semi Condensed" w:hAnsi="Barlow Semi Condensed"/>
          <w:b/>
          <w:bCs/>
          <w:sz w:val="24"/>
          <w:szCs w:val="24"/>
        </w:rPr>
        <w:t xml:space="preserve">Il saldo di questa annotazione.</w:t>
      </w:r>
      <w:r>
        <w:rPr>
          <w:rFonts w:ascii="Barlow Semi Condensed" w:cs="Barlow Semi Condensed" w:eastAsia="Barlow Semi Condensed" w:hAnsi="Barlow Semi Condensed"/>
          <w:sz w:val="24"/>
          <w:szCs w:val="24"/>
        </w:rPr>
        <w:t xml:space="preserve"> La conclusione — otto scarti identici su</w:t>
      </w:r>
    </w:p>
    <w:p>
      <w:pPr>
        <w:spacing w:after="120" w:line="276"/>
        <w:jc w:val="both"/>
      </w:pPr>
      <w:r>
        <w:rPr>
          <w:rFonts w:ascii="Barlow Semi Condensed" w:cs="Barlow Semi Condensed" w:eastAsia="Barlow Semi Condensed" w:hAnsi="Barlow Semi Condensed"/>
          <w:sz w:val="24"/>
          <w:szCs w:val="24"/>
        </w:rPr>
        <w:t xml:space="preserve">quarantadue posizioni non sono un secondo registro — </w:t>
      </w:r>
      <w:r>
        <w:rPr>
          <w:rFonts w:ascii="Barlow Semi Condensed" w:cs="Barlow Semi Condensed" w:eastAsia="Barlow Semi Condensed" w:hAnsi="Barlow Semi Condensed"/>
          <w:b/>
          <w:bCs/>
          <w:sz w:val="24"/>
          <w:szCs w:val="24"/>
        </w:rPr>
        <w:t xml:space="preserve">esce rafforzata</w:t>
      </w:r>
      <w:r>
        <w:rPr>
          <w:rFonts w:ascii="Barlow Semi Condensed" w:cs="Barlow Semi Condensed" w:eastAsia="Barlow Semi Condensed" w:hAnsi="Barlow Semi Condensed"/>
          <w:sz w:val="24"/>
          <w:szCs w:val="24"/>
        </w:rPr>
        <w:t xml:space="preserve">, perché</w:t>
      </w:r>
    </w:p>
    <w:p>
      <w:pPr>
        <w:spacing w:after="120" w:line="276"/>
        <w:jc w:val="both"/>
      </w:pPr>
      <w:r>
        <w:rPr>
          <w:rFonts w:ascii="Barlow Semi Condensed" w:cs="Barlow Semi Condensed" w:eastAsia="Barlow Semi Condensed" w:hAnsi="Barlow Semi Condensed"/>
          <w:sz w:val="24"/>
          <w:szCs w:val="24"/>
        </w:rPr>
        <w:t xml:space="preserve">ora non dipende più da un parametro taciuto né da una pendenza a due punti. Il</w:t>
      </w:r>
    </w:p>
    <w:p>
      <w:pPr>
        <w:spacing w:after="120" w:line="276"/>
        <w:jc w:val="both"/>
      </w:pPr>
      <w:r>
        <w:rPr>
          <w:rFonts w:ascii="Barlow Semi Condensed" w:cs="Barlow Semi Condensed" w:eastAsia="Barlow Semi Condensed" w:hAnsi="Barlow Semi Condensed"/>
          <w:sz w:val="24"/>
          <w:szCs w:val="24"/>
        </w:rPr>
        <w:t xml:space="preserve">numero che l'accompagnava esce invece </w:t>
      </w:r>
      <w:r>
        <w:rPr>
          <w:rFonts w:ascii="Barlow Semi Condensed" w:cs="Barlow Semi Condensed" w:eastAsia="Barlow Semi Condensed" w:hAnsi="Barlow Semi Condensed"/>
          <w:b/>
          <w:bCs/>
          <w:sz w:val="24"/>
          <w:szCs w:val="24"/>
        </w:rPr>
        <w:t xml:space="preserve">ritirato</w:t>
      </w:r>
      <w:r>
        <w:rPr>
          <w:rFonts w:ascii="Barlow Semi Condensed" w:cs="Barlow Semi Condensed" w:eastAsia="Barlow Semi Condensed" w:hAnsi="Barlow Semi Condensed"/>
          <w:sz w:val="24"/>
          <w:szCs w:val="24"/>
        </w:rPr>
        <w:t xml:space="preserve">. Si guadagna in solidità ciò</w:t>
      </w:r>
    </w:p>
    <w:p>
      <w:pPr>
        <w:spacing w:after="120" w:line="276"/>
        <w:jc w:val="both"/>
      </w:pPr>
      <w:r>
        <w:rPr>
          <w:rFonts w:ascii="Barlow Semi Condensed" w:cs="Barlow Semi Condensed" w:eastAsia="Barlow Semi Condensed" w:hAnsi="Barlow Semi Condensed"/>
          <w:sz w:val="24"/>
          <w:szCs w:val="24"/>
        </w:rPr>
        <w:t xml:space="preserve">che si perde in appariscenza, ed è un buon cambio.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Terza annotazione, stessa data — che cosa la ricerca ha effettivamente trovato.</w:t>
      </w:r>
    </w:p>
    <w:p>
      <w:pPr>
        <w:spacing w:after="120" w:line="276"/>
        <w:jc w:val="both"/>
      </w:pPr>
      <w:r>
        <w:rPr>
          <w:rFonts w:ascii="Barlow Semi Condensed" w:cs="Barlow Semi Condensed" w:eastAsia="Barlow Semi Condensed" w:hAnsi="Barlow Semi Condensed"/>
          <w:sz w:val="24"/>
          <w:szCs w:val="24"/>
        </w:rPr>
        <w:t xml:space="preserve">Su richiesta esplicita si è cercato per conto proprio. **Nessuna pagina è stata</w:t>
      </w:r>
    </w:p>
    <w:p>
      <w:pPr>
        <w:spacing w:after="120" w:line="276"/>
        <w:jc w:val="both"/>
      </w:pPr>
      <w:r>
        <w:rPr>
          <w:rFonts w:ascii="Barlow Semi Condensed" w:cs="Barlow Semi Condensed" w:eastAsia="Barlow Semi Condensed" w:hAnsi="Barlow Semi Condensed"/>
          <w:sz w:val="24"/>
          <w:szCs w:val="24"/>
        </w:rPr>
        <w:t xml:space="preserve">aperta**: il proxy risponde 403 al CONNECT verso </w:t>
      </w:r>
      <w:r>
        <w:rPr>
          <w:rFonts w:ascii="Barlow Semi Condensed" w:cs="Barlow Semi Condensed" w:eastAsia="Barlow Semi Condensed" w:hAnsi="Barlow Semi Condensed"/>
          <w:i/>
          <w:iCs/>
          <w:sz w:val="24"/>
          <w:szCs w:val="24"/>
        </w:rPr>
        <w:t xml:space="preserve">camera.it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senato.it</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i/>
          <w:iCs/>
          <w:sz w:val="24"/>
          <w:szCs w:val="24"/>
        </w:rPr>
        <w:t xml:space="preserve">archive.org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archivioflamigni.org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girodivite.it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wikisource.org</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i/>
          <w:iCs/>
          <w:sz w:val="24"/>
          <w:szCs w:val="24"/>
        </w:rPr>
        <w:t xml:space="preserve">altervista.org</w:t>
      </w:r>
      <w:r>
        <w:rPr>
          <w:rFonts w:ascii="Barlow Semi Condensed" w:cs="Barlow Semi Condensed" w:eastAsia="Barlow Semi Condensed" w:hAnsi="Barlow Semi Condensed"/>
          <w:sz w:val="24"/>
          <w:szCs w:val="24"/>
        </w:rPr>
        <w:t xml:space="preserve"> e ogni altro dominio provato, e il README dell'ambiente</w:t>
      </w:r>
    </w:p>
    <w:p>
      <w:pPr>
        <w:spacing w:after="120" w:line="276"/>
        <w:jc w:val="both"/>
      </w:pPr>
      <w:r>
        <w:rPr>
          <w:rFonts w:ascii="Barlow Semi Condensed" w:cs="Barlow Semi Condensed" w:eastAsia="Barlow Semi Condensed" w:hAnsi="Barlow Semi Condensed"/>
          <w:sz w:val="24"/>
          <w:szCs w:val="24"/>
        </w:rPr>
        <w:t xml:space="preserve">qualifica quel codice come diniego di policy da non aggirare. È rimasta la sola</w:t>
      </w:r>
    </w:p>
    <w:p>
      <w:pPr>
        <w:spacing w:after="120" w:line="276"/>
        <w:jc w:val="both"/>
      </w:pPr>
      <w:r>
        <w:rPr>
          <w:rFonts w:ascii="Barlow Semi Condensed" w:cs="Barlow Semi Condensed" w:eastAsia="Barlow Semi Condensed" w:hAnsi="Barlow Semi Condensed"/>
          <w:sz w:val="24"/>
          <w:szCs w:val="24"/>
        </w:rPr>
        <w:t xml:space="preserve">ricerca, che restituisce </w:t>
      </w:r>
      <w:r>
        <w:rPr>
          <w:rFonts w:ascii="Barlow Semi Condensed" w:cs="Barlow Semi Condensed" w:eastAsia="Barlow Semi Condensed" w:hAnsi="Barlow Semi Condensed"/>
          <w:b/>
          <w:bCs/>
          <w:sz w:val="24"/>
          <w:szCs w:val="24"/>
        </w:rPr>
        <w:t xml:space="preserve">sintesi di pagine lette da terzi</w:t>
      </w:r>
      <w:r>
        <w:rPr>
          <w:rFonts w:ascii="Barlow Semi Condensed" w:cs="Barlow Semi Condensed" w:eastAsia="Barlow Semi Condensed" w:hAnsi="Barlow Semi Condensed"/>
          <w:sz w:val="24"/>
          <w:szCs w:val="24"/>
        </w:rPr>
        <w:t xml:space="preserve">: tutto ciò che</w:t>
      </w:r>
    </w:p>
    <w:p>
      <w:pPr>
        <w:spacing w:after="120" w:line="276"/>
        <w:jc w:val="both"/>
      </w:pPr>
      <w:r>
        <w:rPr>
          <w:rFonts w:ascii="Barlow Semi Condensed" w:cs="Barlow Semi Condensed" w:eastAsia="Barlow Semi Condensed" w:hAnsi="Barlow Semi Condensed"/>
          <w:sz w:val="24"/>
          <w:szCs w:val="24"/>
        </w:rPr>
        <w:t xml:space="preserve">segue sta perciò al </w:t>
      </w:r>
      <w:r>
        <w:rPr>
          <w:rFonts w:ascii="Barlow Semi Condensed" w:cs="Barlow Semi Condensed" w:eastAsia="Barlow Semi Condensed" w:hAnsi="Barlow Semi Condensed"/>
          <w:b/>
          <w:bCs/>
          <w:sz w:val="24"/>
          <w:szCs w:val="24"/>
        </w:rPr>
        <w:t xml:space="preserve">grado B</w:t>
      </w:r>
      <w:r>
        <w:rPr>
          <w:rFonts w:ascii="Barlow Semi Condensed" w:cs="Barlow Semi Condensed" w:eastAsia="Barlow Semi Condensed" w:hAnsi="Barlow Semi Condensed"/>
          <w:sz w:val="24"/>
          <w:szCs w:val="24"/>
        </w:rPr>
        <w:t xml:space="preserve">, e non un gradino più su.</w:t>
      </w:r>
    </w:p>
    <w:p>
      <w:pPr>
        <w:spacing w:after="120" w:line="276"/>
        <w:jc w:val="both"/>
      </w:pPr>
      <w:r>
        <w:rPr>
          <w:rFonts w:ascii="Barlow Semi Condensed" w:cs="Barlow Semi Condensed" w:eastAsia="Barlow Semi Condensed" w:hAnsi="Barlow Semi Condensed"/>
          <w:b/>
          <w:bCs/>
          <w:sz w:val="24"/>
          <w:szCs w:val="24"/>
        </w:rPr>
        <w:t xml:space="preserve">Che cosa risulta confermato.</w:t>
      </w:r>
      <w:r>
        <w:rPr>
          <w:rFonts w:ascii="Barlow Semi Condensed" w:cs="Barlow Semi Condensed" w:eastAsia="Barlow Semi Condensed" w:hAnsi="Barlow Semi Condensed"/>
          <w:sz w:val="24"/>
          <w:szCs w:val="24"/>
        </w:rPr>
        <w:t xml:space="preserve"> L'elenco di Castiglion Fibocchi porta, per</w:t>
      </w:r>
    </w:p>
    <w:p>
      <w:pPr>
        <w:spacing w:after="120" w:line="276"/>
        <w:jc w:val="both"/>
      </w:pPr>
      <w:r>
        <w:rPr>
          <w:rFonts w:ascii="Barlow Semi Condensed" w:cs="Barlow Semi Condensed" w:eastAsia="Barlow Semi Condensed" w:hAnsi="Barlow Semi Condensed"/>
          <w:sz w:val="24"/>
          <w:szCs w:val="24"/>
        </w:rPr>
        <w:t xml:space="preserve">ciascun nome, </w:t>
      </w:r>
      <w:r>
        <w:rPr>
          <w:rFonts w:ascii="Barlow Semi Condensed" w:cs="Barlow Semi Condensed" w:eastAsia="Barlow Semi Condensed" w:hAnsi="Barlow Semi Condensed"/>
          <w:b/>
          <w:bCs/>
          <w:sz w:val="24"/>
          <w:szCs w:val="24"/>
        </w:rPr>
        <w:t xml:space="preserve">titolo, città, numero di fascicolo e numero di tessera</w:t>
      </w:r>
      <w:r>
        <w:rPr>
          <w:rFonts w:ascii="Barlow Semi Condensed" w:cs="Barlow Semi Condensed" w:eastAsia="Barlow Semi Condensed" w:hAnsi="Barlow Semi Condensed"/>
          <w:sz w:val="24"/>
          <w:szCs w:val="24"/>
        </w:rPr>
        <w:t xml:space="preserve">: sono</w:t>
      </w:r>
    </w:p>
    <w:p>
      <w:pPr>
        <w:spacing w:after="120" w:line="276"/>
        <w:jc w:val="both"/>
      </w:pPr>
      <w:r>
        <w:rPr>
          <w:rFonts w:ascii="Barlow Semi Condensed" w:cs="Barlow Semi Condensed" w:eastAsia="Barlow Semi Condensed" w:hAnsi="Barlow Semi Condensed"/>
          <w:sz w:val="24"/>
          <w:szCs w:val="24"/>
        </w:rPr>
        <w:t xml:space="preserve">due numeri distinti, non uno, ed è il presupposto stesso della calibrazione. E</w:t>
      </w:r>
    </w:p>
    <w:p>
      <w:pPr>
        <w:spacing w:after="120" w:line="276"/>
        <w:jc w:val="both"/>
      </w:pPr>
      <w:r>
        <w:rPr>
          <w:rFonts w:ascii="Barlow Semi Condensed" w:cs="Barlow Semi Condensed" w:eastAsia="Barlow Semi Condensed" w:hAnsi="Barlow Semi Condensed"/>
          <w:sz w:val="24"/>
          <w:szCs w:val="24"/>
        </w:rPr>
        <w:t xml:space="preserve">il numero fra parentesi, secondo le fonti raggiunte, è il </w:t>
      </w:r>
      <w:r>
        <w:rPr>
          <w:rFonts w:ascii="Barlow Semi Condensed" w:cs="Barlow Semi Condensed" w:eastAsia="Barlow Semi Condensed" w:hAnsi="Barlow Semi Condensed"/>
          <w:b/>
          <w:bCs/>
          <w:sz w:val="24"/>
          <w:szCs w:val="24"/>
        </w:rPr>
        <w:t xml:space="preserve">fascicolo</w:t>
      </w:r>
      <w:r>
        <w:rPr>
          <w:rFonts w:ascii="Barlow Semi Condensed" w:cs="Barlow Semi Condensed" w:eastAsia="Barlow Semi Condensed" w:hAnsi="Barlow Semi Condensed"/>
          <w:sz w:val="24"/>
          <w:szCs w:val="24"/>
        </w:rPr>
        <w:t xml:space="preserve">. Le due</w:t>
      </w:r>
    </w:p>
    <w:p>
      <w:pPr>
        <w:spacing w:after="120" w:line="276"/>
        <w:jc w:val="both"/>
      </w:pPr>
      <w:r>
        <w:rPr>
          <w:rFonts w:ascii="Barlow Semi Condensed" w:cs="Barlow Semi Condensed" w:eastAsia="Barlow Semi Condensed" w:hAnsi="Barlow Semi Condensed"/>
          <w:sz w:val="24"/>
          <w:szCs w:val="24"/>
        </w:rPr>
        <w:t xml:space="preserve">righe su cui la calibrazione era stata costruita reggono al riscontro</w:t>
      </w:r>
    </w:p>
    <w:p>
      <w:pPr>
        <w:spacing w:after="120" w:line="276"/>
        <w:jc w:val="both"/>
      </w:pPr>
      <w:r>
        <w:rPr>
          <w:rFonts w:ascii="Barlow Semi Condensed" w:cs="Barlow Semi Condensed" w:eastAsia="Barlow Semi Condensed" w:hAnsi="Barlow Semi Condensed"/>
          <w:sz w:val="24"/>
          <w:szCs w:val="24"/>
        </w:rPr>
        <w:t xml:space="preserve">indipendente, e reggono alla cifra: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tessera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fascicolo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altro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Silvio Berlusconi</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1816</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0625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sigla E.19.78, gruppo 17, affiliazione 26 gennaio 1978</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Maurizio Costanzo</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1819</w:t>
            </w:r>
          </w:p>
        </w:tc>
        <w:tc>
          <w:tcPr>
            <w:tcW w:type="dxa" w:w="2340"/>
          </w:tcPr>
          <w:p>
            <w:pPr>
              <w:spacing w:after="20" w:before="20"/>
              <w:jc w:val="both"/>
            </w:pPr>
            <w:r>
              <w:rPr>
                <w:rFonts w:ascii="Barlow Semi Condensed" w:cs="Barlow Semi Condensed" w:eastAsia="Barlow Semi Condensed" w:hAnsi="Barlow Semi Condensed"/>
                <w:b/>
                <w:bCs/>
                <w:sz w:val="20"/>
                <w:szCs w:val="20"/>
              </w:rPr>
              <w:t xml:space="preserve">626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qualifica di maestro</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Che cosa invece non regge, ed è la parte che conta di più.</w:t>
      </w:r>
      <w:r>
        <w:rPr>
          <w:rFonts w:ascii="Barlow Semi Condensed" w:cs="Barlow Semi Condensed" w:eastAsia="Barlow Semi Condensed" w:hAnsi="Barlow Semi Condensed"/>
          <w:sz w:val="24"/>
          <w:szCs w:val="24"/>
        </w:rPr>
        <w:t xml:space="preserve"> I due nomi che il</w:t>
      </w:r>
    </w:p>
    <w:p>
      <w:pPr>
        <w:spacing w:after="120" w:line="276"/>
        <w:jc w:val="both"/>
      </w:pPr>
      <w:r>
        <w:rPr>
          <w:rFonts w:ascii="Barlow Semi Condensed" w:cs="Barlow Semi Condensed" w:eastAsia="Barlow Semi Condensed" w:hAnsi="Barlow Semi Condensed"/>
          <w:sz w:val="24"/>
          <w:szCs w:val="24"/>
        </w:rPr>
        <w:t xml:space="preserve">testo pervenuto forniva come profilo — Calvi e Ortolani — tornano indietro con</w:t>
      </w:r>
    </w:p>
    <w:p>
      <w:pPr>
        <w:spacing w:after="120" w:line="276"/>
        <w:jc w:val="both"/>
      </w:pPr>
      <w:r>
        <w:rPr>
          <w:rFonts w:ascii="Barlow Semi Condensed" w:cs="Barlow Semi Condensed" w:eastAsia="Barlow Semi Condensed" w:hAnsi="Barlow Semi Condensed"/>
          <w:sz w:val="24"/>
          <w:szCs w:val="24"/>
        </w:rPr>
        <w:t xml:space="preserve">numeri </w:t>
      </w:r>
      <w:r>
        <w:rPr>
          <w:rFonts w:ascii="Barlow Semi Condensed" w:cs="Barlow Semi Condensed" w:eastAsia="Barlow Semi Condensed" w:hAnsi="Barlow Semi Condensed"/>
          <w:b/>
          <w:bCs/>
          <w:sz w:val="24"/>
          <w:szCs w:val="24"/>
        </w:rPr>
        <w:t xml:space="preserve">incompatibili fra loro</w:t>
      </w:r>
      <w:r>
        <w:rPr>
          <w:rFonts w:ascii="Barlow Semi Condensed" w:cs="Barlow Semi Condensed" w:eastAsia="Barlow Semi Condensed" w:hAnsi="Barlow Semi Condensed"/>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il testo pervenuto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altre fonti raggiunte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Umberto Ortolani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fascicolo 494, tessera 1609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tessera </w:t>
            </w:r>
            <w:r>
              <w:rPr>
                <w:rFonts w:ascii="Barlow Semi Condensed" w:cs="Barlow Semi Condensed" w:eastAsia="Barlow Semi Condensed" w:hAnsi="Barlow Semi Condensed"/>
                <w:b/>
                <w:bCs/>
                <w:sz w:val="20"/>
                <w:szCs w:val="20"/>
              </w:rPr>
              <w:t xml:space="preserve">494</w:t>
            </w:r>
            <w:r>
              <w:rPr>
                <w:rFonts w:ascii="Barlow Semi Condensed" w:cs="Barlow Semi Condensed" w:eastAsia="Barlow Semi Condensed" w:hAnsi="Barlow Semi Condensed"/>
                <w:sz w:val="20"/>
                <w:szCs w:val="20"/>
              </w:rPr>
              <w:t xml:space="preserve"> in una fonte; tessera </w:t>
            </w:r>
            <w:r>
              <w:rPr>
                <w:rFonts w:ascii="Barlow Semi Condensed" w:cs="Barlow Semi Condensed" w:eastAsia="Barlow Semi Condensed" w:hAnsi="Barlow Semi Condensed"/>
                <w:b/>
                <w:bCs/>
                <w:sz w:val="20"/>
                <w:szCs w:val="20"/>
              </w:rPr>
              <w:t xml:space="preserve">1622</w:t>
            </w:r>
            <w:r>
              <w:rPr>
                <w:rFonts w:ascii="Barlow Semi Condensed" w:cs="Barlow Semi Condensed" w:eastAsia="Barlow Semi Condensed" w:hAnsi="Barlow Semi Condensed"/>
                <w:sz w:val="20"/>
                <w:szCs w:val="20"/>
              </w:rPr>
              <w:t xml:space="preserve"> in un'altra; e in una terza il 494 è dato come </w:t>
            </w:r>
            <w:r>
              <w:rPr>
                <w:rFonts w:ascii="Barlow Semi Condensed" w:cs="Barlow Semi Condensed" w:eastAsia="Barlow Semi Condensed" w:hAnsi="Barlow Semi Condensed"/>
                <w:b/>
                <w:bCs/>
                <w:sz w:val="20"/>
                <w:szCs w:val="20"/>
              </w:rPr>
              <w:t xml:space="preserve">numero d'ordine nell'elenco</w:t>
            </w:r>
            <w:r>
              <w:rPr>
                <w:rFonts w:ascii="Barlow Semi Condensed" w:cs="Barlow Semi Condensed" w:eastAsia="Barlow Semi Condensed" w:hAnsi="Barlow Semi Condensed"/>
                <w:sz w:val="20"/>
                <w:szCs w:val="20"/>
              </w:rPr>
              <w:t xml:space="preserve">, né tessera né fascicolo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Roberto Calvi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fascicolo 530, tessera 1624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tessera </w:t>
            </w:r>
            <w:r>
              <w:rPr>
                <w:rFonts w:ascii="Barlow Semi Condensed" w:cs="Barlow Semi Condensed" w:eastAsia="Barlow Semi Condensed" w:hAnsi="Barlow Semi Condensed"/>
                <w:b/>
                <w:bCs/>
                <w:sz w:val="20"/>
                <w:szCs w:val="20"/>
              </w:rPr>
              <w:t xml:space="preserve">519</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Tre letture dello stesso numero — 494 come fascicolo, come tessera, come numero</w:t>
      </w:r>
    </w:p>
    <w:p>
      <w:pPr>
        <w:spacing w:after="120" w:line="276"/>
        <w:jc w:val="both"/>
      </w:pPr>
      <w:r>
        <w:rPr>
          <w:rFonts w:ascii="Barlow Semi Condensed" w:cs="Barlow Semi Condensed" w:eastAsia="Barlow Semi Condensed" w:hAnsi="Barlow Semi Condensed"/>
          <w:sz w:val="24"/>
          <w:szCs w:val="24"/>
        </w:rPr>
        <w:t xml:space="preserve">d'ordine — e per Calvi due valori che non si riconducono l'uno all'altro. **La</w:t>
      </w:r>
    </w:p>
    <w:p>
      <w:pPr>
        <w:spacing w:after="120" w:line="276"/>
        <w:jc w:val="both"/>
      </w:pPr>
      <w:r>
        <w:rPr>
          <w:rFonts w:ascii="Barlow Semi Condensed" w:cs="Barlow Semi Condensed" w:eastAsia="Barlow Semi Condensed" w:hAnsi="Barlow Semi Condensed"/>
          <w:sz w:val="24"/>
          <w:szCs w:val="24"/>
        </w:rPr>
        <w:t xml:space="preserve">divergenza si registra e non si scioglie**, com'è regola qui: sciogliere</w:t>
      </w:r>
    </w:p>
    <w:p>
      <w:pPr>
        <w:spacing w:after="120" w:line="276"/>
        <w:jc w:val="both"/>
      </w:pPr>
      <w:r>
        <w:rPr>
          <w:rFonts w:ascii="Barlow Semi Condensed" w:cs="Barlow Semi Condensed" w:eastAsia="Barlow Semi Condensed" w:hAnsi="Barlow Semi Condensed"/>
          <w:sz w:val="24"/>
          <w:szCs w:val="24"/>
        </w:rPr>
        <w:t xml:space="preserve">significherebbe scegliere fra fonti di pari grado, e nessuna di queste è stata</w:t>
      </w:r>
    </w:p>
    <w:p>
      <w:pPr>
        <w:spacing w:after="120" w:line="276"/>
        <w:jc w:val="both"/>
      </w:pPr>
      <w:r>
        <w:rPr>
          <w:rFonts w:ascii="Barlow Semi Condensed" w:cs="Barlow Semi Condensed" w:eastAsia="Barlow Semi Condensed" w:hAnsi="Barlow Semi Condensed"/>
          <w:sz w:val="24"/>
          <w:szCs w:val="24"/>
        </w:rPr>
        <w:t xml:space="preserve">letta alla fonte.</w:t>
      </w:r>
    </w:p>
    <w:p>
      <w:pPr>
        <w:spacing w:after="120" w:line="276"/>
        <w:jc w:val="both"/>
      </w:pPr>
      <w:r>
        <w:rPr>
          <w:rFonts w:ascii="Barlow Semi Condensed" w:cs="Barlow Semi Condensed" w:eastAsia="Barlow Semi Condensed" w:hAnsi="Barlow Semi Condensed"/>
          <w:b/>
          <w:bCs/>
          <w:sz w:val="24"/>
          <w:szCs w:val="24"/>
        </w:rPr>
        <w:t xml:space="preserve">Il saldo.</w:t>
      </w:r>
      <w:r>
        <w:rPr>
          <w:rFonts w:ascii="Barlow Semi Condensed" w:cs="Barlow Semi Condensed" w:eastAsia="Barlow Semi Condensed" w:hAnsi="Barlow Semi Condensed"/>
          <w:sz w:val="24"/>
          <w:szCs w:val="24"/>
        </w:rPr>
        <w:t xml:space="preserve"> La calibrazione ne esce </w:t>
      </w:r>
      <w:r>
        <w:rPr>
          <w:rFonts w:ascii="Barlow Semi Condensed" w:cs="Barlow Semi Condensed" w:eastAsia="Barlow Semi Condensed" w:hAnsi="Barlow Semi Condensed"/>
          <w:b/>
          <w:bCs/>
          <w:sz w:val="24"/>
          <w:szCs w:val="24"/>
        </w:rPr>
        <w:t xml:space="preserve">rafforzata</w:t>
      </w:r>
      <w:r>
        <w:rPr>
          <w:rFonts w:ascii="Barlow Semi Condensed" w:cs="Barlow Semi Condensed" w:eastAsia="Barlow Semi Condensed" w:hAnsi="Barlow Semi Condensed"/>
          <w:sz w:val="24"/>
          <w:szCs w:val="24"/>
        </w:rPr>
        <w:t xml:space="preserve"> su Berlusconi e Costanzo, e</w:t>
      </w:r>
    </w:p>
    <w:p>
      <w:pPr>
        <w:spacing w:after="120" w:line="276"/>
        <w:jc w:val="both"/>
      </w:pPr>
      <w:r>
        <w:rPr>
          <w:rFonts w:ascii="Barlow Semi Condensed" w:cs="Barlow Semi Condensed" w:eastAsia="Barlow Semi Condensed" w:hAnsi="Barlow Semi Condensed"/>
          <w:sz w:val="24"/>
          <w:szCs w:val="24"/>
        </w:rPr>
        <w:t xml:space="preserve">il testo pervenuto ne esce </w:t>
      </w:r>
      <w:r>
        <w:rPr>
          <w:rFonts w:ascii="Barlow Semi Condensed" w:cs="Barlow Semi Condensed" w:eastAsia="Barlow Semi Condensed" w:hAnsi="Barlow Semi Condensed"/>
          <w:b/>
          <w:bCs/>
          <w:sz w:val="24"/>
          <w:szCs w:val="24"/>
        </w:rPr>
        <w:t xml:space="preserve">indebolito</w:t>
      </w:r>
      <w:r>
        <w:rPr>
          <w:rFonts w:ascii="Barlow Semi Condensed" w:cs="Barlow Semi Condensed" w:eastAsia="Barlow Semi Condensed" w:hAnsi="Barlow Semi Condensed"/>
          <w:sz w:val="24"/>
          <w:szCs w:val="24"/>
        </w:rPr>
        <w:t xml:space="preserve"> su Calvi e Ortolani. Ma la risposta in</w:t>
      </w:r>
    </w:p>
    <w:p>
      <w:pPr>
        <w:spacing w:after="120" w:line="276"/>
        <w:jc w:val="both"/>
      </w:pPr>
      <w:r>
        <w:rPr>
          <w:rFonts w:ascii="Barlow Semi Condensed" w:cs="Barlow Semi Condensed" w:eastAsia="Barlow Semi Condensed" w:hAnsi="Barlow Semi Condensed"/>
          <w:sz w:val="24"/>
          <w:szCs w:val="24"/>
        </w:rPr>
        <w:t xml:space="preserve">una riga non cambia di una virgola, e per la ragione di sempre: due riscontri</w:t>
      </w:r>
    </w:p>
    <w:p>
      <w:pPr>
        <w:spacing w:after="120" w:line="276"/>
        <w:jc w:val="both"/>
      </w:pPr>
      <w:r>
        <w:rPr>
          <w:rFonts w:ascii="Barlow Semi Condensed" w:cs="Barlow Semi Condensed" w:eastAsia="Barlow Semi Condensed" w:hAnsi="Barlow Semi Condensed"/>
          <w:sz w:val="24"/>
          <w:szCs w:val="24"/>
        </w:rPr>
        <w:t xml:space="preserve">concordi su trentatré nomi non certificano trentatré numeri, e una sintesi di</w:t>
      </w:r>
    </w:p>
    <w:p>
      <w:pPr>
        <w:spacing w:after="120" w:line="276"/>
        <w:jc w:val="both"/>
      </w:pPr>
      <w:r>
        <w:rPr>
          <w:rFonts w:ascii="Barlow Semi Condensed" w:cs="Barlow Semi Condensed" w:eastAsia="Barlow Semi Condensed" w:hAnsi="Barlow Semi Condensed"/>
          <w:sz w:val="24"/>
          <w:szCs w:val="24"/>
        </w:rPr>
        <w:t xml:space="preserve">ricerca non è una fonte. È spuntata inoltre una **terza ipotesi che questa</w:t>
      </w:r>
    </w:p>
    <w:p>
      <w:pPr>
        <w:spacing w:after="120" w:line="276"/>
        <w:jc w:val="both"/>
      </w:pPr>
      <w:r>
        <w:rPr>
          <w:rFonts w:ascii="Barlow Semi Condensed" w:cs="Barlow Semi Condensed" w:eastAsia="Barlow Semi Condensed" w:hAnsi="Barlow Semi Condensed"/>
          <w:sz w:val="24"/>
          <w:szCs w:val="24"/>
        </w:rPr>
        <w:t xml:space="preserve">certificazione non aveva considerato** — che il numero fra parentesi sia il</w:t>
      </w:r>
    </w:p>
    <w:p>
      <w:pPr>
        <w:spacing w:after="120" w:line="276"/>
        <w:jc w:val="both"/>
      </w:pPr>
      <w:r>
        <w:rPr>
          <w:rFonts w:ascii="Barlow Semi Condensed" w:cs="Barlow Semi Condensed" w:eastAsia="Barlow Semi Condensed" w:hAnsi="Barlow Semi Condensed"/>
          <w:sz w:val="24"/>
          <w:szCs w:val="24"/>
        </w:rPr>
        <w:t xml:space="preserve">numero d'ordine dell'elenco — e nemmeno quella si decide qui.</w:t>
      </w:r>
    </w:p>
    <w:p>
      <w:pPr>
        <w:spacing w:after="120" w:line="276"/>
        <w:jc w:val="both"/>
      </w:pPr>
      <w:r>
        <w:rPr>
          <w:rFonts w:ascii="Barlow Semi Condensed" w:cs="Barlow Semi Condensed" w:eastAsia="Barlow Semi Condensed" w:hAnsi="Barlow Semi Condensed"/>
          <w:b/>
          <w:bCs/>
          <w:sz w:val="24"/>
          <w:szCs w:val="24"/>
        </w:rPr>
        <w:t xml:space="preserve">Due indirizzi nuovi, e uno è a portata di mano.</w:t>
      </w:r>
      <w:r>
        <w:rPr>
          <w:rFonts w:ascii="Barlow Semi Condensed" w:cs="Barlow Semi Condensed" w:eastAsia="Barlow Semi Condensed" w:hAnsi="Barlow Semi Condensed"/>
          <w:sz w:val="24"/>
          <w:szCs w:val="24"/>
        </w:rPr>
        <w:t xml:space="preserve"> L'indice completo degli atti</w:t>
      </w:r>
    </w:p>
    <w:p>
      <w:pPr>
        <w:spacing w:after="120" w:line="276"/>
        <w:jc w:val="both"/>
      </w:pPr>
      <w:r>
        <w:rPr>
          <w:rFonts w:ascii="Barlow Semi Condensed" w:cs="Barlow Semi Condensed" w:eastAsia="Barlow Semi Condensed" w:hAnsi="Barlow Semi Condensed"/>
          <w:sz w:val="24"/>
          <w:szCs w:val="24"/>
        </w:rPr>
        <w:t xml:space="preserve">della Commissione risulta pubblicato in PDF dal **Centro documentazione Archivio</w:t>
      </w:r>
    </w:p>
    <w:p>
      <w:pPr>
        <w:spacing w:after="120" w:line="276"/>
        <w:jc w:val="both"/>
      </w:pPr>
      <w:r>
        <w:rPr>
          <w:rFonts w:ascii="Barlow Semi Condensed" w:cs="Barlow Semi Condensed" w:eastAsia="Barlow Semi Condensed" w:hAnsi="Barlow Semi Condensed"/>
          <w:sz w:val="24"/>
          <w:szCs w:val="24"/>
        </w:rPr>
        <w:t xml:space="preserve">Flamigni**, all'indirizzo </w:t>
      </w:r>
      <w:r>
        <w:rPr>
          <w:rFonts w:ascii="Barlow Semi Condensed" w:cs="Barlow Semi Condensed" w:eastAsia="Barlow Semi Condensed" w:hAnsi="Barlow Semi Condensed"/>
          <w:i/>
          <w:iCs/>
          <w:sz w:val="24"/>
          <w:szCs w:val="24"/>
        </w:rPr>
        <w:t xml:space="preserve">archivioflamigni.org/doc/indice-atti-commissione-p2.pdf</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l'elenco per esteso circola in PDF su </w:t>
      </w:r>
      <w:r>
        <w:rPr>
          <w:rFonts w:ascii="Barlow Semi Condensed" w:cs="Barlow Semi Condensed" w:eastAsia="Barlow Semi Condensed" w:hAnsi="Barlow Semi Condensed"/>
          <w:i/>
          <w:iCs/>
          <w:sz w:val="24"/>
          <w:szCs w:val="24"/>
        </w:rPr>
        <w:t xml:space="preserve">girodivite.it/IMG/pdf/elenco_p2.pdf</w:t>
      </w:r>
      <w:r>
        <w:rPr>
          <w:rFonts w:ascii="Barlow Semi Condensed" w:cs="Barlow Semi Condensed" w:eastAsia="Barlow Semi Condensed" w:hAnsi="Barlow Semi Condensed"/>
          <w:sz w:val="24"/>
          <w:szCs w:val="24"/>
        </w:rPr>
        <w:t xml:space="preserve"> e su</w:t>
      </w:r>
    </w:p>
    <w:p>
      <w:pPr>
        <w:spacing w:after="120" w:line="276"/>
        <w:jc w:val="both"/>
      </w:pPr>
      <w:r>
        <w:rPr>
          <w:rFonts w:ascii="Barlow Semi Condensed" w:cs="Barlow Semi Condensed" w:eastAsia="Barlow Semi Condensed" w:hAnsi="Barlow Semi Condensed"/>
          <w:i/>
          <w:iCs/>
          <w:sz w:val="24"/>
          <w:szCs w:val="24"/>
        </w:rPr>
        <w:t xml:space="preserve">archivio900.it</w:t>
      </w:r>
      <w:r>
        <w:rPr>
          <w:rFonts w:ascii="Barlow Semi Condensed" w:cs="Barlow Semi Condensed" w:eastAsia="Barlow Semi Condensed" w:hAnsi="Barlow Semi Condensed"/>
          <w:sz w:val="24"/>
          <w:szCs w:val="24"/>
        </w:rPr>
        <w:t xml:space="preserve">. Il Flamigni è già il </w:t>
      </w:r>
      <w:r>
        <w:rPr>
          <w:rFonts w:ascii="Barlow Semi Condensed" w:cs="Barlow Semi Condensed" w:eastAsia="Barlow Semi Condensed" w:hAnsi="Barlow Semi Condensed"/>
          <w:b/>
          <w:bCs/>
          <w:sz w:val="24"/>
          <w:szCs w:val="24"/>
        </w:rPr>
        <w:t xml:space="preserve">destinatario zero</w:t>
      </w:r>
      <w:r>
        <w:rPr>
          <w:rFonts w:ascii="Barlow Semi Condensed" w:cs="Barlow Semi Condensed" w:eastAsia="Barlow Semi Condensed" w:hAnsi="Barlow Semi Condensed"/>
          <w:sz w:val="24"/>
          <w:szCs w:val="24"/>
        </w:rPr>
        <w:t xml:space="preserve"> del dossier di</w:t>
      </w:r>
    </w:p>
    <w:p>
      <w:pPr>
        <w:spacing w:after="120" w:line="276"/>
        <w:jc w:val="both"/>
      </w:pPr>
      <w:r>
        <w:rPr>
          <w:rFonts w:ascii="Barlow Semi Condensed" w:cs="Barlow Semi Condensed" w:eastAsia="Barlow Semi Condensed" w:hAnsi="Barlow Semi Condensed"/>
          <w:sz w:val="24"/>
          <w:szCs w:val="24"/>
        </w:rPr>
        <w:t xml:space="preserve">invio: la stessa istituzione a cui l'opera va spedita è quella che ha</w:t>
      </w:r>
    </w:p>
    <w:p>
      <w:pPr>
        <w:spacing w:after="120" w:line="276"/>
        <w:jc w:val="both"/>
      </w:pPr>
      <w:r>
        <w:rPr>
          <w:rFonts w:ascii="Barlow Semi Condensed" w:cs="Barlow Semi Condensed" w:eastAsia="Barlow Semi Condensed" w:hAnsi="Barlow Semi Condensed"/>
          <w:sz w:val="24"/>
          <w:szCs w:val="24"/>
        </w:rPr>
        <w:t xml:space="preserve">digitalizzato la fonte che le serve.</w:t>
      </w:r>
    </w:p>
    <w:p>
      <w:pPr>
        <w:spacing w:after="120" w:line="276"/>
        <w:jc w:val="both"/>
      </w:pPr>
      <w:r>
        <w:rPr>
          <w:rFonts w:ascii="Barlow Semi Condensed" w:cs="Barlow Semi Condensed" w:eastAsia="Barlow Semi Condensed" w:hAnsi="Barlow Semi Condensed"/>
          <w:b/>
          <w:bCs/>
          <w:sz w:val="24"/>
          <w:szCs w:val="24"/>
        </w:rPr>
        <w:t xml:space="preserve">Che cosa questo cambia, e che cosa no.</w:t>
      </w:r>
      <w:r>
        <w:rPr>
          <w:rFonts w:ascii="Barlow Semi Condensed" w:cs="Barlow Semi Condensed" w:eastAsia="Barlow Semi Condensed" w:hAnsi="Barlow Semi Condensed"/>
          <w:sz w:val="24"/>
          <w:szCs w:val="24"/>
        </w:rPr>
        <w:t xml:space="preserve"> Cambia l'indirizzo: chi va in archivio</w:t>
      </w:r>
    </w:p>
    <w:p>
      <w:pPr>
        <w:spacing w:after="120" w:line="276"/>
        <w:jc w:val="both"/>
      </w:pPr>
      <w:r>
        <w:rPr>
          <w:rFonts w:ascii="Barlow Semi Condensed" w:cs="Barlow Semi Condensed" w:eastAsia="Barlow Semi Condensed" w:hAnsi="Barlow Semi Condensed"/>
          <w:sz w:val="24"/>
          <w:szCs w:val="24"/>
        </w:rPr>
        <w:t xml:space="preserve">non chiede più «il volume dei riscontri», chiede l'allegato 13 e l'allegato 21 con</w:t>
      </w:r>
    </w:p>
    <w:p>
      <w:pPr>
        <w:spacing w:after="120" w:line="276"/>
        <w:jc w:val="both"/>
      </w:pPr>
      <w:r>
        <w:rPr>
          <w:rFonts w:ascii="Barlow Semi Condensed" w:cs="Barlow Semi Condensed" w:eastAsia="Barlow Semi Condensed" w:hAnsi="Barlow Semi Condensed"/>
          <w:sz w:val="24"/>
          <w:szCs w:val="24"/>
        </w:rPr>
        <w:t xml:space="preserve">le loro pagine. </w:t>
      </w:r>
      <w:r>
        <w:rPr>
          <w:rFonts w:ascii="Barlow Semi Condensed" w:cs="Barlow Semi Condensed" w:eastAsia="Barlow Semi Condensed" w:hAnsi="Barlow Semi Condensed"/>
          <w:b/>
          <w:bCs/>
          <w:sz w:val="24"/>
          <w:szCs w:val="24"/>
        </w:rPr>
        <w:t xml:space="preserve">Non cambia nulla della certificazione</w:t>
      </w:r>
      <w:r>
        <w:rPr>
          <w:rFonts w:ascii="Barlow Semi Condensed" w:cs="Barlow Semi Condensed" w:eastAsia="Barlow Semi Condensed" w:hAnsi="Barlow Semi Condensed"/>
          <w:sz w:val="24"/>
          <w:szCs w:val="24"/>
        </w:rPr>
        <w:t xml:space="preserve">, e va detto con la stessa</w:t>
      </w:r>
    </w:p>
    <w:p>
      <w:pPr>
        <w:spacing w:after="120" w:line="276"/>
        <w:jc w:val="both"/>
      </w:pPr>
      <w:r>
        <w:rPr>
          <w:rFonts w:ascii="Barlow Semi Condensed" w:cs="Barlow Semi Condensed" w:eastAsia="Barlow Semi Condensed" w:hAnsi="Barlow Semi Condensed"/>
          <w:sz w:val="24"/>
          <w:szCs w:val="24"/>
        </w:rPr>
        <w:t xml:space="preserve">precisione: ciò che è arrivato è una </w:t>
      </w:r>
      <w:r>
        <w:rPr>
          <w:rFonts w:ascii="Barlow Semi Condensed" w:cs="Barlow Semi Condensed" w:eastAsia="Barlow Semi Condensed" w:hAnsi="Barlow Semi Condensed"/>
          <w:b/>
          <w:bCs/>
          <w:sz w:val="24"/>
          <w:szCs w:val="24"/>
        </w:rPr>
        <w:t xml:space="preserve">scheda descrittiva del volume</w:t>
      </w:r>
      <w:r>
        <w:rPr>
          <w:rFonts w:ascii="Barlow Semi Condensed" w:cs="Barlow Semi Condensed" w:eastAsia="Barlow Semi Condensed" w:hAnsi="Barlow Semi Condensed"/>
          <w:sz w:val="24"/>
          <w:szCs w:val="24"/>
        </w:rPr>
        <w:t xml:space="preserve">, non il</w:t>
      </w:r>
    </w:p>
    <w:p>
      <w:pPr>
        <w:spacing w:after="120" w:line="276"/>
        <w:jc w:val="both"/>
      </w:pPr>
      <w:r>
        <w:rPr>
          <w:rFonts w:ascii="Barlow Semi Condensed" w:cs="Barlow Semi Condensed" w:eastAsia="Barlow Semi Condensed" w:hAnsi="Barlow Semi Condensed"/>
          <w:sz w:val="24"/>
          <w:szCs w:val="24"/>
        </w:rPr>
        <w:t xml:space="preserve">volume. Descrive gli allegati; non ne riproduce le righe. Nessun numero di tessera</w:t>
      </w:r>
    </w:p>
    <w:p>
      <w:pPr>
        <w:spacing w:after="120" w:line="276"/>
        <w:jc w:val="both"/>
      </w:pPr>
      <w:r>
        <w:rPr>
          <w:rFonts w:ascii="Barlow Semi Condensed" w:cs="Barlow Semi Condensed" w:eastAsia="Barlow Semi Condensed" w:hAnsi="Barlow Semi Condensed"/>
          <w:sz w:val="24"/>
          <w:szCs w:val="24"/>
        </w:rPr>
        <w:t xml:space="preserve">e nessun numero di fascicolo dei trentatré è stato letto sulla fonte. La risposta</w:t>
      </w:r>
    </w:p>
    <w:p>
      <w:pPr>
        <w:spacing w:after="120" w:line="276"/>
        <w:jc w:val="both"/>
      </w:pPr>
      <w:r>
        <w:rPr>
          <w:rFonts w:ascii="Barlow Semi Condensed" w:cs="Barlow Semi Condensed" w:eastAsia="Barlow Semi Condensed" w:hAnsi="Barlow Semi Condensed"/>
          <w:sz w:val="24"/>
          <w:szCs w:val="24"/>
        </w:rPr>
        <w:t xml:space="preserve">in una riga resta quella che è, e il grado di questo indirizzo è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la</w:t>
      </w:r>
    </w:p>
    <w:p>
      <w:pPr>
        <w:spacing w:after="120" w:line="276"/>
        <w:jc w:val="both"/>
      </w:pPr>
      <w:r>
        <w:rPr>
          <w:rFonts w:ascii="Barlow Semi Condensed" w:cs="Barlow Semi Condensed" w:eastAsia="Barlow Semi Condensed" w:hAnsi="Barlow Semi Condensed"/>
          <w:sz w:val="24"/>
          <w:szCs w:val="24"/>
        </w:rPr>
        <w:t xml:space="preserve">descrizione di un volume fatta da un terzo, non la lettura del volume. Restano da</w:t>
      </w:r>
    </w:p>
    <w:p>
      <w:pPr>
        <w:spacing w:after="120" w:line="276"/>
        <w:jc w:val="both"/>
      </w:pPr>
      <w:r>
        <w:rPr>
          <w:rFonts w:ascii="Barlow Semi Condensed" w:cs="Barlow Semi Condensed" w:eastAsia="Barlow Semi Condensed" w:hAnsi="Barlow Semi Condensed"/>
          <w:sz w:val="24"/>
          <w:szCs w:val="24"/>
        </w:rPr>
        <w:t xml:space="preserve">chiedere, come già scritto sotto, le riproduzioni delle righe **con l'intestazione</w:t>
      </w:r>
    </w:p>
    <w:p>
      <w:pPr>
        <w:spacing w:after="120" w:line="276"/>
        <w:jc w:val="both"/>
      </w:pPr>
      <w:r>
        <w:rPr>
          <w:rFonts w:ascii="Barlow Semi Condensed" w:cs="Barlow Semi Condensed" w:eastAsia="Barlow Semi Condensed" w:hAnsi="Barlow Semi Condensed"/>
          <w:sz w:val="24"/>
          <w:szCs w:val="24"/>
        </w:rPr>
        <w:t xml:space="preserve">di colonna visibile**.</w:t>
      </w:r>
    </w:p>
    <w:p>
      <w:pPr>
        <w:spacing w:after="120" w:line="276"/>
        <w:jc w:val="both"/>
      </w:pPr>
      <w:r>
        <w:rPr>
          <w:rFonts w:ascii="Barlow Semi Condensed" w:cs="Barlow Semi Condensed" w:eastAsia="Barlow Semi Condensed" w:hAnsi="Barlow Semi Condensed"/>
          <w:b/>
          <w:bCs/>
          <w:sz w:val="24"/>
          <w:szCs w:val="24"/>
        </w:rPr>
        <w:t xml:space="preserve">Sede:</w:t>
      </w:r>
      <w:r>
        <w:rPr>
          <w:rFonts w:ascii="Barlow Semi Condensed" w:cs="Barlow Semi Condensed" w:eastAsia="Barlow Semi Condensed" w:hAnsi="Barlow Semi Condensed"/>
          <w:sz w:val="24"/>
          <w:szCs w:val="24"/>
        </w:rPr>
        <w:t xml:space="preserve"> Archivio storico della Camera dei deputati. In subordine: Biblioteca</w:t>
      </w:r>
    </w:p>
    <w:p>
      <w:pPr>
        <w:spacing w:after="120" w:line="276"/>
        <w:jc w:val="both"/>
      </w:pPr>
      <w:r>
        <w:rPr>
          <w:rFonts w:ascii="Barlow Semi Condensed" w:cs="Barlow Semi Condensed" w:eastAsia="Barlow Semi Condensed" w:hAnsi="Barlow Semi Condensed"/>
          <w:sz w:val="24"/>
          <w:szCs w:val="24"/>
        </w:rPr>
        <w:t xml:space="preserve">della Camera, Biblioteca del Senato «Giovanni Spadolini», Archivio storico del</w:t>
      </w:r>
    </w:p>
    <w:p>
      <w:pPr>
        <w:spacing w:after="120" w:line="276"/>
        <w:jc w:val="both"/>
      </w:pPr>
      <w:r>
        <w:rPr>
          <w:rFonts w:ascii="Barlow Semi Condensed" w:cs="Barlow Semi Condensed" w:eastAsia="Barlow Semi Condensed" w:hAnsi="Barlow Semi Condensed"/>
          <w:sz w:val="24"/>
          <w:szCs w:val="24"/>
        </w:rPr>
        <w:t xml:space="preserve">Senato. Nella richiesta va chiesto **l'elenco dei tomi effettivamente</w:t>
      </w:r>
    </w:p>
    <w:p>
      <w:pPr>
        <w:spacing w:after="120" w:line="276"/>
        <w:jc w:val="both"/>
      </w:pPr>
      <w:r>
        <w:rPr>
          <w:rFonts w:ascii="Barlow Semi Condensed" w:cs="Barlow Semi Condensed" w:eastAsia="Barlow Semi Condensed" w:hAnsi="Barlow Semi Condensed"/>
          <w:sz w:val="24"/>
          <w:szCs w:val="24"/>
        </w:rPr>
        <w:t xml:space="preserve">pubblicati**: nell'ottobre 1984 alcuni risultavano ancora in corso di stampa.</w:t>
      </w:r>
    </w:p>
    <w:p>
      <w:pPr>
        <w:spacing w:after="120" w:line="276"/>
        <w:jc w:val="both"/>
      </w:pPr>
      <w:r>
        <w:rPr>
          <w:rFonts w:ascii="Barlow Semi Condensed" w:cs="Barlow Semi Condensed" w:eastAsia="Barlow Semi Condensed" w:hAnsi="Barlow Semi Condensed"/>
          <w:b/>
          <w:bCs/>
          <w:sz w:val="24"/>
          <w:szCs w:val="24"/>
        </w:rPr>
        <w:t xml:space="preserve">Che cosa chiedere per ciascuno dei trentatré:</w:t>
      </w:r>
      <w:r>
        <w:rPr>
          <w:rFonts w:ascii="Barlow Semi Condensed" w:cs="Barlow Semi Condensed" w:eastAsia="Barlow Semi Condensed" w:hAnsi="Barlow Semi Condensed"/>
          <w:sz w:val="24"/>
          <w:szCs w:val="24"/>
        </w:rPr>
        <w:t xml:space="preserve"> la riproduzione della riga</w:t>
      </w:r>
    </w:p>
    <w:p>
      <w:pPr>
        <w:spacing w:after="120" w:line="276"/>
        <w:jc w:val="both"/>
      </w:pPr>
      <w:r>
        <w:rPr>
          <w:rFonts w:ascii="Barlow Semi Condensed" w:cs="Barlow Semi Condensed" w:eastAsia="Barlow Semi Condensed" w:hAnsi="Barlow Semi Condensed"/>
          <w:b/>
          <w:bCs/>
          <w:sz w:val="24"/>
          <w:szCs w:val="24"/>
        </w:rPr>
        <w:t xml:space="preserve">con l'intestazione di colonna visibile</w:t>
      </w:r>
      <w:r>
        <w:rPr>
          <w:rFonts w:ascii="Barlow Semi Condensed" w:cs="Barlow Semi Condensed" w:eastAsia="Barlow Semi Condensed" w:hAnsi="Barlow Semi Condensed"/>
          <w:sz w:val="24"/>
          <w:szCs w:val="24"/>
        </w:rPr>
        <w:t xml:space="preserve">. Non la trascrizione di un terzo. È</w:t>
      </w:r>
    </w:p>
    <w:p>
      <w:pPr>
        <w:spacing w:after="120" w:line="276"/>
        <w:jc w:val="both"/>
      </w:pPr>
      <w:r>
        <w:rPr>
          <w:rFonts w:ascii="Barlow Semi Condensed" w:cs="Barlow Semi Condensed" w:eastAsia="Barlow Semi Condensed" w:hAnsi="Barlow Semi Condensed"/>
          <w:sz w:val="24"/>
          <w:szCs w:val="24"/>
        </w:rPr>
        <w:t xml:space="preserve">l'unica forma che porta il dato dal grado C al grado B.</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8. Verificare e certificare</w:t>
      </w:r>
    </w:p>
    <w:p>
      <w:pPr>
        <w:spacing w:after="120" w:line="276"/>
        <w:jc w:val="both"/>
      </w:pPr>
      <w:r>
        <w:rPr>
          <w:rFonts w:ascii="Barlow Semi Condensed" w:cs="Barlow Semi Condensed" w:eastAsia="Barlow Semi Condensed" w:hAnsi="Barlow Semi Condensed"/>
          <w:b/>
          <w:bCs/>
          <w:sz w:val="24"/>
          <w:szCs w:val="24"/>
        </w:rPr>
        <w:t xml:space="preserve">Verificare</w:t>
      </w:r>
      <w:r>
        <w:rPr>
          <w:rFonts w:ascii="Barlow Semi Condensed" w:cs="Barlow Semi Condensed" w:eastAsia="Barlow Semi Condensed" w:hAnsi="Barlow Semi Condensed"/>
          <w:sz w:val="24"/>
          <w:szCs w:val="24"/>
        </w:rPr>
        <w:t xml:space="preserve"> è confrontare un'affermazione con le fonti raggiungibili,</w:t>
      </w:r>
    </w:p>
    <w:p>
      <w:pPr>
        <w:spacing w:after="120" w:line="276"/>
        <w:jc w:val="both"/>
      </w:pPr>
      <w:r>
        <w:rPr>
          <w:rFonts w:ascii="Barlow Semi Condensed" w:cs="Barlow Semi Condensed" w:eastAsia="Barlow Semi Condensed" w:hAnsi="Barlow Semi Condensed"/>
          <w:sz w:val="24"/>
          <w:szCs w:val="24"/>
        </w:rPr>
        <w:t xml:space="preserve">assegnarle un grado e registrare per iscritto anche l'esito negativo. È ciò</w:t>
      </w:r>
    </w:p>
    <w:p>
      <w:pPr>
        <w:spacing w:after="120" w:line="276"/>
        <w:jc w:val="both"/>
      </w:pPr>
      <w:r>
        <w:rPr>
          <w:rFonts w:ascii="Barlow Semi Condensed" w:cs="Barlow Semi Condensed" w:eastAsia="Barlow Semi Condensed" w:hAnsi="Barlow Semi Condensed"/>
          <w:sz w:val="24"/>
          <w:szCs w:val="24"/>
        </w:rPr>
        <w:t xml:space="preserve">che questo documento fa, in condizioni dichiaratamente degradate. L'esito è</w:t>
      </w:r>
    </w:p>
    <w:p>
      <w:pPr>
        <w:spacing w:after="120" w:line="276"/>
        <w:jc w:val="both"/>
      </w:pPr>
      <w:r>
        <w:rPr>
          <w:rFonts w:ascii="Barlow Semi Condensed" w:cs="Barlow Semi Condensed" w:eastAsia="Barlow Semi Condensed" w:hAnsi="Barlow Semi Condensed"/>
          <w:sz w:val="24"/>
          <w:szCs w:val="24"/>
        </w:rPr>
        <w:t xml:space="preserve">comunque informativo: sappiamo che la cifra fra parentesi è il fascicolo e non</w:t>
      </w:r>
    </w:p>
    <w:p>
      <w:pPr>
        <w:spacing w:after="120" w:line="276"/>
        <w:jc w:val="both"/>
      </w:pPr>
      <w:r>
        <w:rPr>
          <w:rFonts w:ascii="Barlow Semi Condensed" w:cs="Barlow Semi Condensed" w:eastAsia="Barlow Semi Condensed" w:hAnsi="Barlow Semi Condensed"/>
          <w:sz w:val="24"/>
          <w:szCs w:val="24"/>
        </w:rPr>
        <w:t xml:space="preserve">la tessera, che quattordici nomi portano cifre doppie, che otto coppie stanno</w:t>
      </w:r>
    </w:p>
    <w:p>
      <w:pPr>
        <w:spacing w:after="120" w:line="276"/>
        <w:jc w:val="both"/>
      </w:pPr>
      <w:r>
        <w:rPr>
          <w:rFonts w:ascii="Barlow Semi Condensed" w:cs="Barlow Semi Condensed" w:eastAsia="Barlow Semi Condensed" w:hAnsi="Barlow Semi Condensed"/>
          <w:sz w:val="24"/>
          <w:szCs w:val="24"/>
        </w:rPr>
        <w:t xml:space="preserve">su una sottrazione anziché su un archivio.</w:t>
      </w:r>
    </w:p>
    <w:p>
      <w:pPr>
        <w:spacing w:after="120" w:line="276"/>
        <w:jc w:val="both"/>
      </w:pPr>
      <w:r>
        <w:rPr>
          <w:rFonts w:ascii="Barlow Semi Condensed" w:cs="Barlow Semi Condensed" w:eastAsia="Barlow Semi Condensed" w:hAnsi="Barlow Semi Condensed"/>
          <w:b/>
          <w:bCs/>
          <w:sz w:val="24"/>
          <w:szCs w:val="24"/>
        </w:rPr>
        <w:t xml:space="preserve">Certificare</w:t>
      </w:r>
      <w:r>
        <w:rPr>
          <w:rFonts w:ascii="Barlow Semi Condensed" w:cs="Barlow Semi Condensed" w:eastAsia="Barlow Semi Condensed" w:hAnsi="Barlow Semi Condensed"/>
          <w:sz w:val="24"/>
          <w:szCs w:val="24"/>
        </w:rPr>
        <w:t xml:space="preserve"> è attestare che la cifra scritta accanto a un nome è la cifra</w:t>
      </w:r>
    </w:p>
    <w:p>
      <w:pPr>
        <w:spacing w:after="120" w:line="276"/>
        <w:jc w:val="both"/>
      </w:pPr>
      <w:r>
        <w:rPr>
          <w:rFonts w:ascii="Barlow Semi Condensed" w:cs="Barlow Semi Condensed" w:eastAsia="Barlow Semi Condensed" w:hAnsi="Barlow Semi Condensed"/>
          <w:sz w:val="24"/>
          <w:szCs w:val="24"/>
        </w:rPr>
        <w:t xml:space="preserve">che sta in un campo determinato del documento sequestrato, chiamandolo col suo</w:t>
      </w:r>
    </w:p>
    <w:p>
      <w:pPr>
        <w:spacing w:after="120" w:line="276"/>
        <w:jc w:val="both"/>
      </w:pPr>
      <w:r>
        <w:rPr>
          <w:rFonts w:ascii="Barlow Semi Condensed" w:cs="Barlow Semi Condensed" w:eastAsia="Barlow Semi Condensed" w:hAnsi="Barlow Semi Condensed"/>
          <w:sz w:val="24"/>
          <w:szCs w:val="24"/>
        </w:rPr>
        <w:t xml:space="preserve">nome. Richiede il documento, l'intestazione, la riga. Nessuna delle tre è</w:t>
      </w:r>
    </w:p>
    <w:p>
      <w:pPr>
        <w:spacing w:after="120" w:line="276"/>
        <w:jc w:val="both"/>
      </w:pPr>
      <w:r>
        <w:rPr>
          <w:rFonts w:ascii="Barlow Semi Condensed" w:cs="Barlow Semi Condensed" w:eastAsia="Barlow Semi Condensed" w:hAnsi="Barlow Semi Condensed"/>
          <w:sz w:val="24"/>
          <w:szCs w:val="24"/>
        </w:rPr>
        <w:t xml:space="preserve">stata avuta.</w:t>
      </w:r>
    </w:p>
    <w:p>
      <w:pPr>
        <w:spacing w:after="120" w:line="276"/>
        <w:jc w:val="both"/>
      </w:pPr>
      <w:r>
        <w:rPr>
          <w:rFonts w:ascii="Barlow Semi Condensed" w:cs="Barlow Semi Condensed" w:eastAsia="Barlow Semi Condensed" w:hAnsi="Barlow Semi Condensed"/>
          <w:sz w:val="24"/>
          <w:szCs w:val="24"/>
        </w:rPr>
        <w:t xml:space="preserve">Fino ad allora la formulazione onesta, riga per riga, è **«numero non</w:t>
      </w:r>
    </w:p>
    <w:p>
      <w:pPr>
        <w:spacing w:after="120" w:line="276"/>
        <w:jc w:val="both"/>
      </w:pPr>
      <w:r>
        <w:rPr>
          <w:rFonts w:ascii="Barlow Semi Condensed" w:cs="Barlow Semi Condensed" w:eastAsia="Barlow Semi Condensed" w:hAnsi="Barlow Semi Condensed"/>
          <w:sz w:val="24"/>
          <w:szCs w:val="24"/>
        </w:rPr>
        <w:t xml:space="preserve">accertato»** — mai «tessera n. …».</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9. La regola che sopravvive a ogni esito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L'appartenenza a un'organizzazione non è prova di condotta.</w:t>
      </w:r>
    </w:p>
    <w:p>
      <w:pPr>
        <w:spacing w:after="120" w:line="276"/>
        <w:jc w:val="both"/>
      </w:pPr>
      <w:r>
        <w:rPr>
          <w:rFonts w:ascii="Barlow Semi Condensed" w:cs="Barlow Semi Condensed" w:eastAsia="Barlow Semi Condensed" w:hAnsi="Barlow Semi Condensed"/>
          <w:sz w:val="24"/>
          <w:szCs w:val="24"/>
        </w:rPr>
        <w:t xml:space="preserve">Se domani l'allegato confermasse tutti e trentatré i numeri, si sarebbe</w:t>
      </w:r>
    </w:p>
    <w:p>
      <w:pPr>
        <w:spacing w:after="120" w:line="276"/>
        <w:jc w:val="both"/>
      </w:pPr>
      <w:r>
        <w:rPr>
          <w:rFonts w:ascii="Barlow Semi Condensed" w:cs="Barlow Semi Condensed" w:eastAsia="Barlow Semi Condensed" w:hAnsi="Barlow Semi Condensed"/>
          <w:sz w:val="24"/>
          <w:szCs w:val="24"/>
        </w:rPr>
        <w:t xml:space="preserve">accertata l'appartenenza di trentatré persone a una loggia, e nient'altro.</w:t>
      </w:r>
    </w:p>
    <w:p>
      <w:pPr>
        <w:spacing w:after="120" w:line="276"/>
        <w:jc w:val="both"/>
      </w:pPr>
      <w:r>
        <w:rPr>
          <w:rFonts w:ascii="Barlow Semi Condensed" w:cs="Barlow Semi Condensed" w:eastAsia="Barlow Semi Condensed" w:hAnsi="Barlow Semi Condensed"/>
          <w:sz w:val="24"/>
          <w:szCs w:val="24"/>
        </w:rPr>
        <w:t xml:space="preserve">Nessuna condotta, nessuna responsabilità, nessun concorso.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Apparato</w:t>
      </w:r>
    </w:p>
    <w:p>
      <w:pPr>
        <w:spacing w:after="120" w:line="276"/>
        <w:jc w:val="both"/>
      </w:pPr>
      <w:r>
        <w:rPr>
          <w:rFonts w:ascii="Barlow Semi Condensed" w:cs="Barlow Semi Condensed" w:eastAsia="Barlow Semi Condensed" w:hAnsi="Barlow Semi Condensed"/>
          <w:b/>
          <w:bCs/>
          <w:sz w:val="24"/>
          <w:szCs w:val="24"/>
        </w:rPr>
        <w:t xml:space="preserve">Grafici del lotto</w:t>
      </w:r>
      <w:r>
        <w:rPr>
          <w:rFonts w:ascii="Barlow Semi Condensed" w:cs="Barlow Semi Condensed" w:eastAsia="Barlow Semi Condensed" w:hAnsi="Barlow Semi Condensed"/>
          <w:sz w:val="24"/>
          <w:szCs w:val="24"/>
        </w:rPr>
        <w:t xml:space="preserve"> — tre, generati da </w:t>
      </w:r>
      <w:r>
        <w:rPr>
          <w:rFonts w:ascii="Barlow Semi Condensed" w:cs="Barlow Semi Condensed" w:eastAsia="Barlow Semi Condensed" w:hAnsi="Barlow Semi Condensed"/>
          <w:i/>
          <w:iCs/>
          <w:sz w:val="24"/>
          <w:szCs w:val="24"/>
        </w:rPr>
        <w:t xml:space="preserve">_verifiche/generatori/gen_numeri_p2.py</w:t>
      </w:r>
    </w:p>
    <w:p>
      <w:pPr>
        <w:spacing w:after="120" w:line="276"/>
        <w:jc w:val="both"/>
      </w:pPr>
      <w:r>
        <w:rPr>
          <w:rFonts w:ascii="Barlow Semi Condensed" w:cs="Barlow Semi Condensed" w:eastAsia="Barlow Semi Condensed" w:hAnsi="Barlow Semi Condensed"/>
          <w:sz w:val="24"/>
          <w:szCs w:val="24"/>
        </w:rPr>
        <w:t xml:space="preserve">e </w:t>
      </w:r>
      <w:r>
        <w:rPr>
          <w:rFonts w:ascii="Barlow Semi Condensed" w:cs="Barlow Semi Condensed" w:eastAsia="Barlow Semi Condensed" w:hAnsi="Barlow Semi Condensed"/>
          <w:i/>
          <w:iCs/>
          <w:sz w:val="24"/>
          <w:szCs w:val="24"/>
        </w:rPr>
        <w:t xml:space="preserve">gen_calibrazione.py</w:t>
      </w:r>
      <w:r>
        <w:rPr>
          <w:rFonts w:ascii="Barlow Semi Condensed" w:cs="Barlow Semi Condensed" w:eastAsia="Barlow Semi Condensed" w:hAnsi="Barlow Semi Condensed"/>
          <w:sz w:val="24"/>
          <w:szCs w:val="24"/>
        </w:rPr>
        <w:t xml:space="preserve">: la retta su cui otto coppie giacciono, lo scarto di</w:t>
      </w:r>
    </w:p>
    <w:p>
      <w:pPr>
        <w:spacing w:after="120" w:line="276"/>
        <w:jc w:val="both"/>
      </w:pPr>
      <w:r>
        <w:rPr>
          <w:rFonts w:ascii="Barlow Semi Condensed" w:cs="Barlow Semi Condensed" w:eastAsia="Barlow Semi Condensed" w:hAnsi="Barlow Semi Condensed"/>
          <w:sz w:val="24"/>
          <w:szCs w:val="24"/>
        </w:rPr>
        <w:t xml:space="preserve">ciascuna coppia da quella retta, e il controllo di calibrazione contro le due</w:t>
      </w:r>
    </w:p>
    <w:p>
      <w:pPr>
        <w:spacing w:after="120" w:line="276"/>
        <w:jc w:val="both"/>
      </w:pPr>
      <w:r>
        <w:rPr>
          <w:rFonts w:ascii="Barlow Semi Condensed" w:cs="Barlow Semi Condensed" w:eastAsia="Barlow Semi Condensed" w:hAnsi="Barlow Semi Condensed"/>
          <w:sz w:val="24"/>
          <w:szCs w:val="24"/>
        </w:rPr>
        <w:t xml:space="preserve">coppie attestate.</w:t>
      </w:r>
    </w:p>
    <w:p>
      <w:pPr>
        <w:spacing w:after="120" w:line="276"/>
        <w:jc w:val="both"/>
      </w:pPr>
      <w:r>
        <w:rPr>
          <w:rFonts w:ascii="Barlow Semi Condensed" w:cs="Barlow Semi Condensed" w:eastAsia="Barlow Semi Condensed" w:hAnsi="Barlow Semi Condensed"/>
          <w:b/>
          <w:bCs/>
          <w:sz w:val="24"/>
          <w:szCs w:val="24"/>
        </w:rPr>
        <w:t xml:space="preserve">Metodo</w:t>
      </w:r>
      <w:r>
        <w:rPr>
          <w:rFonts w:ascii="Barlow Semi Condensed" w:cs="Barlow Semi Condensed" w:eastAsia="Barlow Semi Condensed" w:hAnsi="Barlow Semi Condensed"/>
          <w:sz w:val="24"/>
          <w:szCs w:val="24"/>
        </w:rPr>
        <w:t xml:space="preserve"> — diciassette agenti di ricerca indipendenti su sei gruppi di nomi,</w:t>
      </w:r>
    </w:p>
    <w:p>
      <w:pPr>
        <w:spacing w:after="120" w:line="276"/>
        <w:jc w:val="both"/>
      </w:pPr>
      <w:r>
        <w:rPr>
          <w:rFonts w:ascii="Barlow Semi Condensed" w:cs="Barlow Semi Condensed" w:eastAsia="Barlow Semi Condensed" w:hAnsi="Barlow Semi Condensed"/>
          <w:sz w:val="24"/>
          <w:szCs w:val="24"/>
        </w:rPr>
        <w:t xml:space="preserve">due approfondimenti sulla fonte primaria e otto refutatori avversariali; più</w:t>
      </w:r>
    </w:p>
    <w:p>
      <w:pPr>
        <w:spacing w:after="120" w:line="276"/>
        <w:jc w:val="both"/>
      </w:pPr>
      <w:r>
        <w:rPr>
          <w:rFonts w:ascii="Barlow Semi Condensed" w:cs="Barlow Semi Condensed" w:eastAsia="Barlow Semi Condensed" w:hAnsi="Barlow Semi Condensed"/>
          <w:sz w:val="24"/>
          <w:szCs w:val="24"/>
        </w:rPr>
        <w:t xml:space="preserve">l'analisi aritmetica, deterministica e riproducibile, in</w:t>
      </w:r>
    </w:p>
    <w:p>
      <w:pPr>
        <w:spacing w:after="120" w:line="276"/>
        <w:jc w:val="both"/>
      </w:pPr>
      <w:r>
        <w:rPr>
          <w:rFonts w:ascii="Barlow Semi Condensed" w:cs="Barlow Semi Condensed" w:eastAsia="Barlow Semi Condensed" w:hAnsi="Barlow Semi Condensed"/>
          <w:i/>
          <w:iCs/>
          <w:sz w:val="24"/>
          <w:szCs w:val="24"/>
        </w:rPr>
        <w:t xml:space="preserve">_verifiche/generatori/analisi_numeri.py</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calibrazione.py</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Grado complessivo del lotto: C.</w:t>
      </w:r>
      <w:r>
        <w:rPr>
          <w:rFonts w:ascii="Barlow Semi Condensed" w:cs="Barlow Semi Condensed" w:eastAsia="Barlow Semi Condensed" w:hAnsi="Barlow Semi Condensed"/>
          <w:sz w:val="24"/>
          <w:szCs w:val="24"/>
        </w:rPr>
        <w:t xml:space="preserve"> Con la sola eccezione della calibrazione</w:t>
      </w:r>
    </w:p>
    <w:p>
      <w:pPr>
        <w:spacing w:after="120" w:line="276"/>
        <w:jc w:val="both"/>
      </w:pPr>
      <w:r>
        <w:rPr>
          <w:rFonts w:ascii="Barlow Semi Condensed" w:cs="Barlow Semi Condensed" w:eastAsia="Barlow Semi Condensed" w:hAnsi="Barlow Semi Condensed"/>
          <w:sz w:val="24"/>
          <w:szCs w:val="24"/>
        </w:rPr>
        <w:t xml:space="preserve">del §2, che poggia su due coppie pubblicate e concordanti, e dell'aritmetica</w:t>
      </w:r>
    </w:p>
    <w:p>
      <w:pPr>
        <w:spacing w:after="120" w:line="276"/>
        <w:jc w:val="both"/>
      </w:pPr>
      <w:r>
        <w:rPr>
          <w:rFonts w:ascii="Barlow Semi Condensed" w:cs="Barlow Semi Condensed" w:eastAsia="Barlow Semi Condensed" w:hAnsi="Barlow Semi Condensed"/>
          <w:sz w:val="24"/>
          <w:szCs w:val="24"/>
        </w:rPr>
        <w:t xml:space="preserve">del §3, che non dipende da alcuna fonte.</w:t>
      </w:r>
    </w:p>
    <w:p>
      <w:pPr>
        <w:pStyle w:val="Heading3"/>
        <w:spacing w:after="80" w:before="240"/>
      </w:pPr>
      <w:r>
        <w:rPr>
          <w:rFonts w:ascii="Barlow Semi Condensed" w:cs="Barlow Semi Condensed" w:eastAsia="Barlow Semi Condensed" w:hAnsi="Barlow Semi Condensed"/>
          <w:sz w:val="24"/>
          <w:szCs w:val="24"/>
        </w:rPr>
        <w:t xml:space="preserve">Apparato grafico — Appendici · i. La certificazione dei numeri P2</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 4.487 parole in 9 sezioni; la più ampia è §9 Altre sezioni, con 3.137.</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 110 paragrafi in 9 sezioni, 12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V. ii. La relazione della campagna di ricerca</w:t>
      </w:r>
    </w:p>
    <w:p>
      <w:pPr>
        <w:pStyle w:val="Heading1"/>
        <w:spacing w:after="120" w:before="240"/>
      </w:pPr>
      <w:r>
        <w:rPr>
          <w:rFonts w:ascii="Barlow Semi Condensed" w:cs="Barlow Semi Condensed" w:eastAsia="Barlow Semi Condensed" w:hAnsi="Barlow Semi Condensed"/>
          <w:sz w:val="24"/>
          <w:szCs w:val="24"/>
        </w:rPr>
        <w:t xml:space="preserve">La campagna di ricerca sui numeri P2 — relazione</w:t>
      </w:r>
    </w:p>
    <w:p>
      <w:pPr>
        <w:spacing w:after="120" w:line="276"/>
        <w:jc w:val="both"/>
      </w:pPr>
      <w:r>
        <w:rPr>
          <w:rFonts w:ascii="Barlow Semi Condensed" w:cs="Barlow Semi Condensed" w:eastAsia="Barlow Semi Condensed" w:hAnsi="Barlow Semi Condensed"/>
          <w:i/>
          <w:iCs/>
          <w:sz w:val="24"/>
          <w:szCs w:val="24"/>
        </w:rPr>
        <w:t xml:space="preserve">Relazione prodotta il 27 agosto 2026 da una campagna di diciassette agenti di ricerca in parallelo, con sistemi di intelligenza artificiale sotto direzione e responsabilità umana.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L'appartenenza a un'organizzazione non è prova di condotta</w:t>
      </w:r>
      <w:r>
        <w:rPr>
          <w:rFonts w:ascii="Barlow Semi Condensed" w:cs="Barlow Semi Condensed" w:eastAsia="Barlow Semi Condensed" w:hAnsi="Barlow Semi Condensed"/>
          <w:i w:val="false"/>
          <w:iCs w:val="false"/>
          <w:sz w:val="24"/>
          <w:szCs w:val="24"/>
        </w:rPr>
        <w:t xml:space="preserve">, e nessuna riga di questa relazione indica alcuno come responsabile di un reato al di fuori di un giudicato definitivo.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Nota di lettura.</w:t>
      </w:r>
      <w:r>
        <w:rPr>
          <w:rFonts w:ascii="Barlow Semi Condensed" w:cs="Barlow Semi Condensed" w:eastAsia="Barlow Semi Condensed" w:hAnsi="Barlow Semi Condensed"/>
          <w:i w:val="false"/>
          <w:iCs w:val="false"/>
          <w:sz w:val="24"/>
          <w:szCs w:val="24"/>
        </w:rPr>
        <w:t xml:space="preserve"> Questa è la relazione della campagna, riportata come è stata prodotta. La </w:t>
      </w:r>
      <w:r>
        <w:rPr>
          <w:rFonts w:ascii="Barlow Semi Condensed" w:cs="Barlow Semi Condensed" w:eastAsia="Barlow Semi Condensed" w:hAnsi="Barlow Semi Condensed"/>
          <w:i w:val="false"/>
          <w:iCs w:val="false"/>
          <w:sz w:val="24"/>
          <w:szCs w:val="24"/>
        </w:rPr>
        <w:t xml:space="preserve">certificazione</w:t>
      </w:r>
      <w:r>
        <w:rPr>
          <w:rFonts w:ascii="Barlow Semi Condensed" w:cs="Barlow Semi Condensed" w:eastAsia="Barlow Semi Condensed" w:hAnsi="Barlow Semi Condensed"/>
          <w:i w:val="false"/>
          <w:iCs w:val="false"/>
          <w:sz w:val="24"/>
          <w:szCs w:val="24"/>
        </w:rPr>
        <w:t xml:space="preserve"> ne accoglie i risultati nella sesta annotazione e ne </w:t>
      </w:r>
      <w:r>
        <w:rPr>
          <w:rFonts w:ascii="Barlow Semi Condensed" w:cs="Barlow Semi Condensed" w:eastAsia="Barlow Semi Condensed" w:hAnsi="Barlow Semi Condensed"/>
          <w:b/>
          <w:bCs/>
          <w:i w:val="false"/>
          <w:iCs w:val="false"/>
          <w:sz w:val="24"/>
          <w:szCs w:val="24"/>
        </w:rPr>
        <w:t xml:space="preserve">rifiuta uno</w:t>
      </w:r>
      <w:r>
        <w:rPr>
          <w:rFonts w:ascii="Barlow Semi Condensed" w:cs="Barlow Semi Condensed" w:eastAsia="Barlow Semi Condensed" w:hAnsi="Barlow Semi Condensed"/>
          <w:i w:val="false"/>
          <w:iCs w:val="false"/>
          <w:sz w:val="24"/>
          <w:szCs w:val="24"/>
        </w:rPr>
        <w:t xml:space="preserve">: la coincidenza fra le differenze di tessere e quelle di fascicoli non è un riscontro indipendente ma la stessa proposizione dello scarto costante, detta due volte.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  "summary": "Raccoglie da fonti indipendenti i numeri di tessera e fascicolo P2 dei nomi della verifica, li verifica in modo avversariale e mette alla prova lo scarto 1088",</w:t>
      </w:r>
    </w:p>
    <w:p>
      <w:pPr>
        <w:spacing w:after="120" w:line="276"/>
        <w:jc w:val="both"/>
      </w:pPr>
      <w:r>
        <w:rPr>
          <w:rFonts w:ascii="Barlow Semi Condensed" w:cs="Barlow Semi Condensed" w:eastAsia="Barlow Semi Condensed" w:hAnsi="Barlow Semi Condensed"/>
          <w:sz w:val="24"/>
          <w:szCs w:val="24"/>
        </w:rPr>
        <w:t xml:space="preserve">  "agentCount": 17,</w:t>
      </w:r>
    </w:p>
    <w:p>
      <w:pPr>
        <w:spacing w:after="120" w:line="276"/>
        <w:jc w:val="both"/>
      </w:pPr>
      <w:r>
        <w:rPr>
          <w:rFonts w:ascii="Barlow Semi Condensed" w:cs="Barlow Semi Condensed" w:eastAsia="Barlow Semi Condensed" w:hAnsi="Barlow Semi Condensed"/>
          <w:sz w:val="24"/>
          <w:szCs w:val="24"/>
        </w:rPr>
        <w:t xml:space="preserve">  "logs": [</w:t>
      </w:r>
    </w:p>
    <w:p>
      <w:pPr>
        <w:spacing w:after="120" w:line="276"/>
        <w:jc w:val="both"/>
      </w:pPr>
      <w:r>
        <w:rPr>
          <w:rFonts w:ascii="Barlow Semi Condensed" w:cs="Barlow Semi Condensed" w:eastAsia="Barlow Semi Condensed" w:hAnsi="Barlow Semi Condensed"/>
          <w:sz w:val="24"/>
          <w:szCs w:val="24"/>
        </w:rPr>
        <w:t xml:space="preserve">    "Raccolta su 8 gruppi di nomi. Solo WebSearch: il proxy nega ogni WebFetch.",</w:t>
      </w:r>
    </w:p>
    <w:p>
      <w:pPr>
        <w:spacing w:after="120" w:line="276"/>
        <w:jc w:val="both"/>
      </w:pPr>
      <w:r>
        <w:rPr>
          <w:rFonts w:ascii="Barlow Semi Condensed" w:cs="Barlow Semi Condensed" w:eastAsia="Barlow Semi Condensed" w:hAnsi="Barlow Semi Condensed"/>
          <w:sz w:val="24"/>
          <w:szCs w:val="24"/>
        </w:rPr>
        <w:t xml:space="preserve">    "Raccolti 31 valori; 7 reggono alla confutazione."</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"result": {</w:t>
      </w:r>
    </w:p>
    <w:p>
      <w:pPr>
        <w:spacing w:after="120" w:line="276"/>
        <w:jc w:val="both"/>
      </w:pPr>
      <w:r>
        <w:rPr>
          <w:rFonts w:ascii="Barlow Semi Condensed" w:cs="Barlow Semi Condensed" w:eastAsia="Barlow Semi Condensed" w:hAnsi="Barlow Semi Condensed"/>
          <w:sz w:val="24"/>
          <w:szCs w:val="24"/>
        </w:rPr>
        <w:t xml:space="preserve">    "relazione": "# Verifica documentale sullo scarto tessera–fascicolo negli elenchi P2\n\n## Premessa: la risposta breve è «non si può dire» sull'oggetto specifico\n\nVa detto per primo, prima di ogni calcolo. La campagna di ricerca non ha trovato </w:t>
      </w:r>
      <w:r>
        <w:rPr>
          <w:rFonts w:ascii="Barlow Semi Condensed" w:cs="Barlow Semi Condensed" w:eastAsia="Barlow Semi Condensed" w:hAnsi="Barlow Semi Condensed"/>
          <w:b/>
          <w:bCs/>
          <w:sz w:val="24"/>
          <w:szCs w:val="24"/>
        </w:rPr>
        <w:t xml:space="preserve">nemmeno una</w:t>
      </w:r>
      <w:r>
        <w:rPr>
          <w:rFonts w:ascii="Barlow Semi Condensed" w:cs="Barlow Semi Condensed" w:eastAsia="Barlow Semi Condensed" w:hAnsi="Barlow Semi Condensed"/>
          <w:sz w:val="24"/>
          <w:szCs w:val="24"/>
        </w:rPr>
        <w:t xml:space="preserve"> coppia completa (tessera </w:t>
      </w:r>
      <w:r>
        <w:rPr>
          <w:rFonts w:ascii="Barlow Semi Condensed" w:cs="Barlow Semi Condensed" w:eastAsia="Barlow Semi Condensed" w:hAnsi="Barlow Semi Condensed"/>
          <w:i/>
          <w:iCs/>
          <w:sz w:val="24"/>
          <w:szCs w:val="24"/>
        </w:rPr>
        <w:t xml:space="preserve">e</w:t>
      </w:r>
      <w:r>
        <w:rPr>
          <w:rFonts w:ascii="Barlow Semi Condensed" w:cs="Barlow Semi Condensed" w:eastAsia="Barlow Semi Condensed" w:hAnsi="Barlow Semi Condensed"/>
          <w:sz w:val="24"/>
          <w:szCs w:val="24"/>
        </w:rPr>
        <w:t xml:space="preserve"> fascicolo, entrambi con natura dichiarata e reggenti alla confutazione) per </w:t>
      </w:r>
      <w:r>
        <w:rPr>
          <w:rFonts w:ascii="Barlow Semi Condensed" w:cs="Barlow Semi Condensed" w:eastAsia="Barlow Semi Condensed" w:hAnsi="Barlow Semi Condensed"/>
          <w:b/>
          <w:bCs/>
          <w:sz w:val="24"/>
          <w:szCs w:val="24"/>
        </w:rPr>
        <w:t xml:space="preserve">nessuno</w:t>
      </w:r>
      <w:r>
        <w:rPr>
          <w:rFonts w:ascii="Barlow Semi Condensed" w:cs="Barlow Semi Condensed" w:eastAsia="Barlow Semi Condensed" w:hAnsi="Barlow Semi Condensed"/>
          <w:sz w:val="24"/>
          <w:szCs w:val="24"/>
        </w:rPr>
        <w:t xml:space="preserve"> degli otto nomi su cui il testo pervenuto costruisce lo scarto congelato di 1088: Giudice, Lo Prete, Guglielmi, Pelosi, Siracusano, Torrisi, Giovannone, Gallucci. Su quattro di essi è emerso un solo numero, di natura contesa; su tre non è emerso nulla; su uno (Siracusano) non risulta nemmeno tentata la ricerca. Le uniche coppie complete disponibili si collocano tutte nella fascia 1814–1819 delle tessere, cioè circa centottanta posizioni </w:t>
      </w:r>
      <w:r>
        <w:rPr>
          <w:rFonts w:ascii="Barlow Semi Condensed" w:cs="Barlow Semi Condensed" w:eastAsia="Barlow Semi Condensed" w:hAnsi="Barlow Semi Condensed"/>
          <w:b/>
          <w:bCs/>
          <w:sz w:val="24"/>
          <w:szCs w:val="24"/>
        </w:rPr>
        <w:t xml:space="preserve">sopra</w:t>
      </w:r>
      <w:r>
        <w:rPr>
          <w:rFonts w:ascii="Barlow Semi Condensed" w:cs="Barlow Semi Condensed" w:eastAsia="Barlow Semi Condensed" w:hAnsi="Barlow Semi Condensed"/>
          <w:sz w:val="24"/>
          <w:szCs w:val="24"/>
        </w:rPr>
        <w:t xml:space="preserve"> la finestra contestata (1592–1634). Lo scarto reale dentro quella finestra resta quindi non misurato: quanto segue lo raggiunge solo per estrapolazione, e l'estrapolazione poggia su due soli intervalli.\n\nNota preliminare obbligatoria: i nomi qui trattati compaiono in elenchi di affiliazione. L'appartenenza a un'organizzazione non è prova di condotta, e nessun passaggio di questa relazione indica alcuno come responsabile di alcun reato.\n\n## 1. Lo scarto, alla prova dei dati nuovi\n\nSuperano la confutazione, con entrambi i campi dichiarati dalla fonte, tre sole coppie. Due erano già note in partenza (Berlusconi, Costanzo); la campagna ne aggiunge </w:t>
      </w:r>
      <w:r>
        <w:rPr>
          <w:rFonts w:ascii="Barlow Semi Condensed" w:cs="Barlow Semi Condensed" w:eastAsia="Barlow Semi Condensed" w:hAnsi="Barlow Semi Condensed"/>
          <w:b/>
          <w:bCs/>
          <w:sz w:val="24"/>
          <w:szCs w:val="24"/>
        </w:rPr>
        <w:t xml:space="preserve">una</w:t>
      </w:r>
      <w:r>
        <w:rPr>
          <w:rFonts w:ascii="Barlow Semi Condensed" w:cs="Barlow Semi Condensed" w:eastAsia="Barlow Semi Condensed" w:hAnsi="Barlow Semi Condensed"/>
          <w:sz w:val="24"/>
          <w:szCs w:val="24"/>
        </w:rPr>
        <w:t xml:space="preserve"> (Selva). Tutte le altre voci raccolte sono monche — un solo numero per nome — oppure cadute.\n\n| Nome | Tessera | Fascicolo | Scarto |\n|---|---|---|---|\n| Gustavo Selva | 1814 | 623 | </w:t>
      </w:r>
      <w:r>
        <w:rPr>
          <w:rFonts w:ascii="Barlow Semi Condensed" w:cs="Barlow Semi Condensed" w:eastAsia="Barlow Semi Condensed" w:hAnsi="Barlow Semi Condensed"/>
          <w:b/>
          <w:bCs/>
          <w:sz w:val="24"/>
          <w:szCs w:val="24"/>
        </w:rPr>
        <w:t xml:space="preserve">1191</w:t>
      </w:r>
      <w:r>
        <w:rPr>
          <w:rFonts w:ascii="Barlow Semi Condensed" w:cs="Barlow Semi Condensed" w:eastAsia="Barlow Semi Condensed" w:hAnsi="Barlow Semi Condensed"/>
          <w:sz w:val="24"/>
          <w:szCs w:val="24"/>
        </w:rPr>
        <w:t xml:space="preserve"> |\n| Silvio Berlusconi | 1816 | 0625 | </w:t>
      </w:r>
      <w:r>
        <w:rPr>
          <w:rFonts w:ascii="Barlow Semi Condensed" w:cs="Barlow Semi Condensed" w:eastAsia="Barlow Semi Condensed" w:hAnsi="Barlow Semi Condensed"/>
          <w:b/>
          <w:bCs/>
          <w:sz w:val="24"/>
          <w:szCs w:val="24"/>
        </w:rPr>
        <w:t xml:space="preserve">1191</w:t>
      </w:r>
      <w:r>
        <w:rPr>
          <w:rFonts w:ascii="Barlow Semi Condensed" w:cs="Barlow Semi Condensed" w:eastAsia="Barlow Semi Condensed" w:hAnsi="Barlow Semi Condensed"/>
          <w:sz w:val="24"/>
          <w:szCs w:val="24"/>
        </w:rPr>
        <w:t xml:space="preserve"> |\n| Maurizio Costanzo | 1819 | 626 | </w:t>
      </w:r>
      <w:r>
        <w:rPr>
          <w:rFonts w:ascii="Barlow Semi Condensed" w:cs="Barlow Semi Condensed" w:eastAsia="Barlow Semi Condensed" w:hAnsi="Barlow Semi Condensed"/>
          <w:b/>
          <w:bCs/>
          <w:sz w:val="24"/>
          <w:szCs w:val="24"/>
        </w:rPr>
        <w:t xml:space="preserve">1193</w:t>
      </w:r>
      <w:r>
        <w:rPr>
          <w:rFonts w:ascii="Barlow Semi Condensed" w:cs="Barlow Semi Condensed" w:eastAsia="Barlow Semi Condensed" w:hAnsi="Barlow Semi Condensed"/>
          <w:sz w:val="24"/>
          <w:szCs w:val="24"/>
        </w:rPr>
        <w:t xml:space="preserve"> |\n\n</w:t>
      </w:r>
      <w:r>
        <w:rPr>
          <w:rFonts w:ascii="Barlow Semi Condensed" w:cs="Barlow Semi Condensed" w:eastAsia="Barlow Semi Condensed" w:hAnsi="Barlow Semi Condensed"/>
          <w:b/>
          <w:bCs/>
          <w:sz w:val="24"/>
          <w:szCs w:val="24"/>
        </w:rPr>
        <w:t xml:space="preserve">Lo scarto reale deriva, ma non in modo uniforme.</w:t>
      </w:r>
      <w:r>
        <w:rPr>
          <w:rFonts w:ascii="Barlow Semi Condensed" w:cs="Barlow Semi Condensed" w:eastAsia="Barlow Semi Condensed" w:hAnsi="Barlow Semi Condensed"/>
          <w:sz w:val="24"/>
          <w:szCs w:val="24"/>
        </w:rPr>
        <w:t xml:space="preserve"> Fra Selva e Berlusconi — due posizioni di tessera, entrambi iniziati nella tornata del 26 gennaio 1978 — le due serie avanzano all'unisono (+2 e +2) e lo scarto resta fermo a 1191: la derivata locale è zero. Fra Berlusconi e Costanzo — tre posizioni di tessera contro una sola di fascicolo — lo scarto sale di 2, con una derivata locale di 0,667 per posizione. Sull'intero arco misurato (1814→1819, cinque posizioni) la deriva è di +2, cioè </w:t>
      </w:r>
      <w:r>
        <w:rPr>
          <w:rFonts w:ascii="Barlow Semi Condensed" w:cs="Barlow Semi Condensed" w:eastAsia="Barlow Semi Condensed" w:hAnsi="Barlow Semi Condensed"/>
          <w:b/>
          <w:bCs/>
          <w:sz w:val="24"/>
          <w:szCs w:val="24"/>
        </w:rPr>
        <w:t xml:space="preserve">0,4 unità per posizione di tessera in media</w:t>
      </w:r>
      <w:r>
        <w:rPr>
          <w:rFonts w:ascii="Barlow Semi Condensed" w:cs="Barlow Semi Condensed" w:eastAsia="Barlow Semi Condensed" w:hAnsi="Barlow Semi Condensed"/>
          <w:sz w:val="24"/>
          <w:szCs w:val="24"/>
        </w:rPr>
        <w:t xml:space="preserve">.\n\nQuesto è il dato che raffina, e in parte corregge, la formulazione del testo di partenza. Non è vero che lo scarto reale «si muove sempre»: su due posizioni consecutive può restare identico, e l'esempio Selva/Berlusconi lo dimostra. Ciò che i dati mostrano è che il registro non è né rigidamente bloccato né uniformemente crescente: alterna tratti di sincronia a tratti di scivolamento. Con tre coppie e due soli intervalli, il tasso di 0,4 è una stima fragilissima, da non trattare come costante fisica.\n\n</w:t>
      </w:r>
      <w:r>
        <w:rPr>
          <w:rFonts w:ascii="Barlow Semi Condensed" w:cs="Barlow Semi Condensed" w:eastAsia="Barlow Semi Condensed" w:hAnsi="Barlow Semi Condensed"/>
          <w:b/>
          <w:bCs/>
          <w:sz w:val="24"/>
          <w:szCs w:val="24"/>
        </w:rPr>
        <w:t xml:space="preserve">Il valore 1088 non compare mai fra gli scarti reali reggenti.</w:t>
      </w:r>
      <w:r>
        <w:rPr>
          <w:rFonts w:ascii="Barlow Semi Condensed" w:cs="Barlow Semi Condensed" w:eastAsia="Barlow Semi Condensed" w:hAnsi="Barlow Semi Condensed"/>
          <w:sz w:val="24"/>
          <w:szCs w:val="24"/>
        </w:rPr>
        <w:t xml:space="preserve"> Gli unici scarti verificati sono 1191 e 1193. Non c'è alcuna posizione, in nessuna delle tre coppie, in cui la differenza valga 1088.\n\nVa però registrata onestamente una conseguenza aritmetica che indebolisce un ramo dell'argomento originario. Applicando la deriva media osservata all'indietro, dalla tessera 1814 alla 1634 (centottanta posizioni), ci si attenderebbe uno scarto attorno a 1191 − 72 ≈ 1119; per arrivare a 1088 basterebbe un tasso di 0,57 per posizione, che cade </w:t>
      </w:r>
      <w:r>
        <w:rPr>
          <w:rFonts w:ascii="Barlow Semi Condensed" w:cs="Barlow Semi Condensed" w:eastAsia="Barlow Semi Condensed" w:hAnsi="Barlow Semi Condensed"/>
          <w:b/>
          <w:bCs/>
          <w:sz w:val="24"/>
          <w:szCs w:val="24"/>
        </w:rPr>
        <w:t xml:space="preserve">dentro</w:t>
      </w:r>
      <w:r>
        <w:rPr>
          <w:rFonts w:ascii="Barlow Semi Condensed" w:cs="Barlow Semi Condensed" w:eastAsia="Barlow Semi Condensed" w:hAnsi="Barlow Semi Condensed"/>
          <w:sz w:val="24"/>
          <w:szCs w:val="24"/>
        </w:rPr>
        <w:t xml:space="preserve"> l'intervallo dei tassi locali effettivamente osservati (0 e 0,667). In altre parole: 1088 non è un livello assurdo per quella regione del registro. L'anomalia del testo pervenuto non è il valore, è la sua </w:t>
      </w:r>
      <w:r>
        <w:rPr>
          <w:rFonts w:ascii="Barlow Semi Condensed" w:cs="Barlow Semi Condensed" w:eastAsia="Barlow Semi Condensed" w:hAnsi="Barlow Semi Condensed"/>
          <w:b/>
          <w:bCs/>
          <w:sz w:val="24"/>
          <w:szCs w:val="24"/>
        </w:rPr>
        <w:t xml:space="preserve">immobilità</w:t>
      </w:r>
      <w:r>
        <w:rPr>
          <w:rFonts w:ascii="Barlow Semi Condensed" w:cs="Barlow Semi Condensed" w:eastAsia="Barlow Semi Condensed" w:hAnsi="Barlow Semi Condensed"/>
          <w:sz w:val="24"/>
          <w:szCs w:val="24"/>
        </w:rPr>
        <w:t xml:space="preserve">. Con la deriva media misurata, quarantadue posizioni dovrebbero produrre uno slittamento dell'ordine di diciassette unità (fra 0 e 28 usando i due tassi locali estremi); il testo ne mostra zero. Ed è coerente con questo il fatto che, nelle otto coppie del testo, le differenze fra tessere consecutive coincidano </w:t>
      </w:r>
      <w:r>
        <w:rPr>
          <w:rFonts w:ascii="Barlow Semi Condensed" w:cs="Barlow Semi Condensed" w:eastAsia="Barlow Semi Condensed" w:hAnsi="Barlow Semi Condensed"/>
          <w:i/>
          <w:iCs/>
          <w:sz w:val="24"/>
          <w:szCs w:val="24"/>
        </w:rPr>
        <w:t xml:space="preserve">esattamente</w:t>
      </w:r>
      <w:r>
        <w:rPr>
          <w:rFonts w:ascii="Barlow Semi Condensed" w:cs="Barlow Semi Condensed" w:eastAsia="Barlow Semi Condensed" w:hAnsi="Barlow Semi Condensed"/>
          <w:sz w:val="24"/>
          <w:szCs w:val="24"/>
        </w:rPr>
        <w:t xml:space="preserve">, una a una, con le differenze fra i fascicoli consecutivi — l'impronta aritmetica di una serie sola replicata con un offset, non di due serie indipendenti che per caso procedono insieme.\n\n## 2. Verdetto sulla tesi della sottrazione\n\nI dati nuovi la </w:t>
      </w:r>
      <w:r>
        <w:rPr>
          <w:rFonts w:ascii="Barlow Semi Condensed" w:cs="Barlow Semi Condensed" w:eastAsia="Barlow Semi Condensed" w:hAnsi="Barlow Semi Condensed"/>
          <w:b/>
          <w:bCs/>
          <w:sz w:val="24"/>
          <w:szCs w:val="24"/>
        </w:rPr>
        <w:t xml:space="preserve">rafforzano debolmente sul piano strutturale e non la verificano sul suo oggetto</w:t>
      </w:r>
      <w:r>
        <w:rPr>
          <w:rFonts w:ascii="Barlow Semi Condensed" w:cs="Barlow Semi Condensed" w:eastAsia="Barlow Semi Condensed" w:hAnsi="Barlow Semi Condensed"/>
          <w:sz w:val="24"/>
          <w:szCs w:val="24"/>
        </w:rPr>
        <w:t xml:space="preserve">.\n\nLa rafforzano per tre ragioni. Primo: la coppia Selva (1814/623) è la prima coppia realmente nuova prodotta dalla campagna, ed è indipendente dalle due di partenza quanto a persona; conferma la separazione delle due serie in due fasce distinte (fascicoli a tre cifre, tessere sopra 1600) e colloca lo scarto reale, in quella regione, a 1191 — a più di cento unità da 1088. Secondo: per i quattro degli otto nomi contestati su cui esiste un numero circolante, quel numero </w:t>
      </w:r>
      <w:r>
        <w:rPr>
          <w:rFonts w:ascii="Barlow Semi Condensed" w:cs="Barlow Semi Condensed" w:eastAsia="Barlow Semi Condensed" w:hAnsi="Barlow Semi Condensed"/>
          <w:b/>
          <w:bCs/>
          <w:sz w:val="24"/>
          <w:szCs w:val="24"/>
        </w:rPr>
        <w:t xml:space="preserve">non coincide con nessuno dei due membri</w:t>
      </w:r>
      <w:r>
        <w:rPr>
          <w:rFonts w:ascii="Barlow Semi Condensed" w:cs="Barlow Semi Condensed" w:eastAsia="Barlow Semi Condensed" w:hAnsi="Barlow Semi Condensed"/>
          <w:sz w:val="24"/>
          <w:szCs w:val="24"/>
        </w:rPr>
        <w:t xml:space="preserve"> della coppia proposta dal testo pervenuto. Giudice compare come 535, il testo scrive 504; Lo Prete come 482, il testo scrive 512; Pelosi come 754, il testo scrive 519; Torrisi come 631, il testo scrive 531. Quattro riscontri su quattro verificabili, tutti negativi, e in nessuno dei quattro casi la ricerca ha trovato una fonte che proponga la cifra del testo. Terzo: la coppia Berlusconi/Costanzo fornisce un controesempio diretto alla sincronia perfetta su un intervallo di tre posizioni.\n\nNon la verificano, però, per ragioni altrettanto nette. La finestra 1592–1634 resta priva di qualsiasi coppia misurata: la tesi viene sostenuta per estrapolazione da un tratto di registro distante, non per lettura diretta. La coppia nuova proviene dalla stessa famiglia di trascrizioni derivate da cui provengono le due vecchie, quindi non aggiunge indipendenza di fonte, solo un'osservazione in più. E soprattutto l'esistenza documentata di un tratto a scarto costante (Selva/Berlusconi) toglie all'argomento la forma assoluta: uno scarto fermo non è, di per sé, impossibile; è la sua persistenza su quarantadue posizioni a essere improbabile.\n\nSulla cifra di probabilità: </w:t>
      </w:r>
      <w:r>
        <w:rPr>
          <w:rFonts w:ascii="Barlow Semi Condensed" w:cs="Barlow Semi Condensed" w:eastAsia="Barlow Semi Condensed" w:hAnsi="Barlow Semi Condensed"/>
          <w:b/>
          <w:bCs/>
          <w:sz w:val="24"/>
          <w:szCs w:val="24"/>
        </w:rPr>
        <w:t xml:space="preserve">~5×10⁻¹⁵ non è sostenuta da questi dati e non va riportata come se lo fosse.</w:t>
      </w:r>
      <w:r>
        <w:rPr>
          <w:rFonts w:ascii="Barlow Semi Condensed" w:cs="Barlow Semi Condensed" w:eastAsia="Barlow Semi Condensed" w:hAnsi="Barlow Semi Condensed"/>
          <w:sz w:val="24"/>
          <w:szCs w:val="24"/>
        </w:rPr>
        <w:t xml:space="preserve"> Con tre coppie e due intervalli non si stima una probabilità di quell'ordine; qualunque stima del genere presuppone un modello della distribuzione degli scarti che i dati raccolti non consentono di costruire. La direzione dell'indizio è quella indicata dalla certificazione; la sua magnitudine dichiarata non è verificabile qui.\n\nUn'ultima annotazione aritmetica, da tenere come avvertimento e non come argomento: fra i valori </w:t>
      </w:r>
      <w:r>
        <w:rPr>
          <w:rFonts w:ascii="Barlow Semi Condensed" w:cs="Barlow Semi Condensed" w:eastAsia="Barlow Semi Condensed" w:hAnsi="Barlow Semi Condensed"/>
          <w:b/>
          <w:bCs/>
          <w:sz w:val="24"/>
          <w:szCs w:val="24"/>
        </w:rPr>
        <w:t xml:space="preserve">non reggenti</w:t>
      </w:r>
      <w:r>
        <w:rPr>
          <w:rFonts w:ascii="Barlow Semi Condensed" w:cs="Barlow Semi Condensed" w:eastAsia="Barlow Semi Condensed" w:hAnsi="Barlow Semi Condensed"/>
          <w:sz w:val="24"/>
          <w:szCs w:val="24"/>
        </w:rPr>
        <w:t xml:space="preserve">, la coppia D'Amato (elenco 554, tessera 1643 attribuita agli atti della Commissione) darebbe scarto 1089, a una unità da 1088; Ortolani (494 / 1622) darebbe 1128; Santovito (527 / 1630) 1103; Grassini (515 / 1620) 1105. Nessuno di questi valori regge alla confutazione e nessuno può essere usato come prova. Ma la loro dispersione — 1089, 1103, 1105, 1128, 1191, 1193 — è coerente con un registro che scivola progressivamente, e mostra che scarti vicini a 1088 esistono altrove nel registro. Il che, di nuovo, sposta il peso della tesi sulla costanza e non sul livello.\n\n## 3. Le divergenze, tutte, senza scelta fra loro\n\nSi registrano qui tutti i casi in cui fonti diverse danno numeri diversi, o la stessa cifra con natura diversa. Nessuna preferenza viene espressa.\n\n</w:t>
      </w:r>
      <w:r>
        <w:rPr>
          <w:rFonts w:ascii="Barlow Semi Condensed" w:cs="Barlow Semi Condensed" w:eastAsia="Barlow Semi Condensed" w:hAnsi="Barlow Semi Condensed"/>
          <w:b/>
          <w:bCs/>
          <w:sz w:val="24"/>
          <w:szCs w:val="24"/>
        </w:rPr>
        <w:t xml:space="preserve">Divergenze di valore.</w:t>
      </w:r>
      <w:r>
        <w:rPr>
          <w:rFonts w:ascii="Barlow Semi Condensed" w:cs="Barlow Semi Condensed" w:eastAsia="Barlow Semi Condensed" w:hAnsi="Barlow Semi Condensed"/>
          <w:sz w:val="24"/>
          <w:szCs w:val="24"/>
        </w:rPr>
        <w:t xml:space="preserve"> Giuseppe Santovito: 527 (elenco alfabetico, natura non dichiarata) contro 1630 (indicato come tessera, fonte non identificata). Giulio Grassini: 515 (voce it.wikipedia e forma «Roma, 515» negli elenchi) contro 1620 (fonte dichiarata non identificata, non riconfermata in ricerca mirata). Federico Umberto D'Amato: 554 (elenco sequestrato, «Roma, 554») contro 1643 (qualificato «tessera massonica» in relazione alla deposizione del 28 ottobre 1982) contro 1620 (nessun riscontro in ricerca mirata; possibile refuso di 1643). Umberto Ortolani: 494 (elenco alfabetico) contro 1622 (dichiarato tessera, con codice E1977).\n\n</w:t>
      </w:r>
      <w:r>
        <w:rPr>
          <w:rFonts w:ascii="Barlow Semi Condensed" w:cs="Barlow Semi Condensed" w:eastAsia="Barlow Semi Condensed" w:hAnsi="Barlow Semi Condensed"/>
          <w:b/>
          <w:bCs/>
          <w:sz w:val="24"/>
          <w:szCs w:val="24"/>
        </w:rPr>
        <w:t xml:space="preserve">Divergenze di natura sulla stessa cifra.</w:t>
      </w:r>
      <w:r>
        <w:rPr>
          <w:rFonts w:ascii="Barlow Semi Condensed" w:cs="Barlow Semi Condensed" w:eastAsia="Barlow Semi Condensed" w:hAnsi="Barlow Semi Condensed"/>
          <w:sz w:val="24"/>
          <w:szCs w:val="24"/>
        </w:rPr>
        <w:t xml:space="preserve"> Maurizio Costanzo 626: fascicolo secondo le fonti identificabili, tessera secondo una lettura circolante priva di fonte nominata. Gustavo Selva 623: fascicolo nella scheda strutturata, tessera negli elenchi alfabetici privi di intestazione. Sergio Di Donato 158: fascicolo secondo stragi.it e it.wikipedia, tessera secondo altre riproduzioni. Pietro Musumeci 487: registrato come tessera dal ricercatore, qualificato come </w:t>
      </w:r>
      <w:r>
        <w:rPr>
          <w:rFonts w:ascii="Barlow Semi Condensed" w:cs="Barlow Semi Condensed" w:eastAsia="Barlow Semi Condensed" w:hAnsi="Barlow Semi Condensed"/>
          <w:i/>
          <w:iCs/>
          <w:sz w:val="24"/>
          <w:szCs w:val="24"/>
        </w:rPr>
        <w:t xml:space="preserve">file number</w:t>
      </w:r>
      <w:r>
        <w:rPr>
          <w:rFonts w:ascii="Barlow Semi Condensed" w:cs="Barlow Semi Condensed" w:eastAsia="Barlow Semi Condensed" w:hAnsi="Barlow Semi Condensed"/>
          <w:sz w:val="24"/>
          <w:szCs w:val="24"/>
        </w:rPr>
        <w:t xml:space="preserve"> dalle fonti. Roberto Calvi 519: «membership card number» in alcune sintesi, «fascicolo/0519» in altre. Walter Pelosi 754: «numero di tessera» secondo la citazione attribuita a Ferdinando Imposimato, campo fascicolo secondo la descrizione strutturale dell'elenco. Francesco Malfatti di Montetretto 812: natura non dichiarata secondo una rilevazione, «tessera numero 812» secondo la biografia wikipediana.\n\n</w:t>
      </w:r>
      <w:r>
        <w:rPr>
          <w:rFonts w:ascii="Barlow Semi Condensed" w:cs="Barlow Semi Condensed" w:eastAsia="Barlow Semi Condensed" w:hAnsi="Barlow Semi Condensed"/>
          <w:b/>
          <w:bCs/>
          <w:sz w:val="24"/>
          <w:szCs w:val="24"/>
        </w:rPr>
        <w:t xml:space="preserve">Divergenze formali.</w:t>
      </w:r>
      <w:r>
        <w:rPr>
          <w:rFonts w:ascii="Barlow Semi Condensed" w:cs="Barlow Semi Condensed" w:eastAsia="Barlow Semi Condensed" w:hAnsi="Barlow Semi Condensed"/>
          <w:sz w:val="24"/>
          <w:szCs w:val="24"/>
        </w:rPr>
        <w:t xml:space="preserve"> Berlusconi 0625 / 625 e Sindona 0501 / 501: variante con o senza zero di riempimento, stesso campo. Da segnalare, perché in almeno un caso (Berlusconi 625) la variante era stata registrata come dato autonomo, gonfiando artificialmente il conteggio delle voci distinte.\n\n</w:t>
      </w:r>
      <w:r>
        <w:rPr>
          <w:rFonts w:ascii="Barlow Semi Condensed" w:cs="Barlow Semi Condensed" w:eastAsia="Barlow Semi Condensed" w:hAnsi="Barlow Semi Condensed"/>
          <w:b/>
          <w:bCs/>
          <w:sz w:val="24"/>
          <w:szCs w:val="24"/>
        </w:rPr>
        <w:t xml:space="preserve">Divergenza sul documento stesso.</w:t>
      </w:r>
      <w:r>
        <w:rPr>
          <w:rFonts w:ascii="Barlow Semi Condensed" w:cs="Barlow Semi Condensed" w:eastAsia="Barlow Semi Condensed" w:hAnsi="Barlow Semi Condensed"/>
          <w:sz w:val="24"/>
          <w:szCs w:val="24"/>
        </w:rPr>
        <w:t xml:space="preserve"> La cardinalità dell'elenco varia fra le versioni circolanti: 959, 962, 963 nomi. Ne consegue che qualunque lettura di questi numeri come «posizione d'ordine» sarebbe instabile da una versione all'altra.\n\n</w:t>
      </w:r>
      <w:r>
        <w:rPr>
          <w:rFonts w:ascii="Barlow Semi Condensed" w:cs="Barlow Semi Condensed" w:eastAsia="Barlow Semi Condensed" w:hAnsi="Barlow Semi Condensed"/>
          <w:b/>
          <w:bCs/>
          <w:sz w:val="24"/>
          <w:szCs w:val="24"/>
        </w:rPr>
        <w:t xml:space="preserve">Valore senza fonte.</w:t>
      </w:r>
      <w:r>
        <w:rPr>
          <w:rFonts w:ascii="Barlow Semi Condensed" w:cs="Barlow Semi Condensed" w:eastAsia="Barlow Semi Condensed" w:hAnsi="Barlow Semi Condensed"/>
          <w:sz w:val="24"/>
          <w:szCs w:val="24"/>
        </w:rPr>
        <w:t xml:space="preserve"> Licio Gelli 440: restituito due volte dalla sintesi del motore, anche con interrogazione non suggestiva, ma non ancorabile ad alcun link né a un titolo o estratto identificabile.\n\n## 4. Che cosa la campagna non ha potuto stabilire\n\nQuesta è la parte più consistente del bilancio, ed è giusto che lo sia.\n\n</w:t>
      </w:r>
      <w:r>
        <w:rPr>
          <w:rFonts w:ascii="Barlow Semi Condensed" w:cs="Barlow Semi Condensed" w:eastAsia="Barlow Semi Condensed" w:hAnsi="Barlow Semi Condensed"/>
          <w:b/>
          <w:bCs/>
          <w:sz w:val="24"/>
          <w:szCs w:val="24"/>
        </w:rPr>
        <w:t xml:space="preserve">Nomi senza alcun numero.</w:t>
      </w:r>
      <w:r>
        <w:rPr>
          <w:rFonts w:ascii="Barlow Semi Condensed" w:cs="Barlow Semi Condensed" w:eastAsia="Barlow Semi Condensed" w:hAnsi="Barlow Semi Condensed"/>
          <w:sz w:val="24"/>
          <w:szCs w:val="24"/>
        </w:rPr>
        <w:t xml:space="preserve"> Camillo Guglielmi: nulla trovato. Stefano Giovannone: nulla trovato. Franco Maria Malfatti: nulla trovato. Carmelo Gallucci: nessuna fonte attesta l'esistenza di un magistrato con questo nome negli elenchi; Achille Gallucci risulta invece, nelle fonti reperite, procuratore che indagava sulla loggia, non affiliato — attribuirgli una coppia di numeri sarebbe un errore di identità, non solo di cifra. Antonio Varisco: analogamente collocato dalle fonti fra chi indagava. Siracusano: non compare in alcuna delle sette linee di ricerca, quindi non è «non trovato», è </w:t>
      </w:r>
      <w:r>
        <w:rPr>
          <w:rFonts w:ascii="Barlow Semi Condensed" w:cs="Barlow Semi Condensed" w:eastAsia="Barlow Semi Condensed" w:hAnsi="Barlow Semi Condensed"/>
          <w:b/>
          <w:bCs/>
          <w:sz w:val="24"/>
          <w:szCs w:val="24"/>
        </w:rPr>
        <w:t xml:space="preserve">non cercato</w:t>
      </w:r>
      <w:r>
        <w:rPr>
          <w:rFonts w:ascii="Barlow Semi Condensed" w:cs="Barlow Semi Condensed" w:eastAsia="Barlow Semi Condensed" w:hAnsi="Barlow Semi Condensed"/>
          <w:sz w:val="24"/>
          <w:szCs w:val="24"/>
        </w:rPr>
        <w:t xml:space="preserve">. Quattro degli otto nomi su cui il testo pervenuto fonda la sua serie non hanno dunque prodotto nulla, e per uno di essi la stessa esistenza dell'affiliato come descritto è in dubbio.\n\n</w:t>
      </w:r>
      <w:r>
        <w:rPr>
          <w:rFonts w:ascii="Barlow Semi Condensed" w:cs="Barlow Semi Condensed" w:eastAsia="Barlow Semi Condensed" w:hAnsi="Barlow Semi Condensed"/>
          <w:b/>
          <w:bCs/>
          <w:sz w:val="24"/>
          <w:szCs w:val="24"/>
        </w:rPr>
        <w:t xml:space="preserve">Coppie incomplete.</w:t>
      </w:r>
      <w:r>
        <w:rPr>
          <w:rFonts w:ascii="Barlow Semi Condensed" w:cs="Barlow Semi Condensed" w:eastAsia="Barlow Semi Condensed" w:hAnsi="Barlow Semi Condensed"/>
          <w:sz w:val="24"/>
          <w:szCs w:val="24"/>
        </w:rPr>
        <w:t xml:space="preserve"> Anche dove una cifra regge, la coppia non si chiude. Di Donato ha fascicolo 158 reggente ma nessuna tessera reperita. Selva è l'unico caso nuovo in cui entrambi i campi esistono. Per Giudice, Lo Prete, Rizzuti, Miceli, Torrisi, Spagnuolo, Musumeci, Calvi, Sindona, Ortolani, Malfatti, Pelosi, Grassini, Santovito e D'Amato manca sistematicamente il secondo membro: si dispone di un numero solo, e per giunta di natura contesa. Da questo dataset non è possibile calcolare alcuno scarto oltre i tre della tavola.\n\n</w:t>
      </w:r>
      <w:r>
        <w:rPr>
          <w:rFonts w:ascii="Barlow Semi Condensed" w:cs="Barlow Semi Condensed" w:eastAsia="Barlow Semi Condensed" w:hAnsi="Barlow Semi Condensed"/>
          <w:b/>
          <w:bCs/>
          <w:sz w:val="24"/>
          <w:szCs w:val="24"/>
        </w:rPr>
        <w:t xml:space="preserve">Nature indeterminate.</w:t>
      </w:r>
      <w:r>
        <w:rPr>
          <w:rFonts w:ascii="Barlow Semi Condensed" w:cs="Barlow Semi Condensed" w:eastAsia="Barlow Semi Condensed" w:hAnsi="Barlow Semi Condensed"/>
          <w:sz w:val="24"/>
          <w:szCs w:val="24"/>
        </w:rPr>
        <w:t xml:space="preserve"> Il difetto ricorrente, presente in quasi tutte le confutazioni, è che gli elenchi alfabetici in circolazione riportano per ciascun nome </w:t>
      </w:r>
      <w:r>
        <w:rPr>
          <w:rFonts w:ascii="Barlow Semi Condensed" w:cs="Barlow Semi Condensed" w:eastAsia="Barlow Semi Condensed" w:hAnsi="Barlow Semi Condensed"/>
          <w:b/>
          <w:bCs/>
          <w:sz w:val="24"/>
          <w:szCs w:val="24"/>
        </w:rPr>
        <w:t xml:space="preserve">un solo numero fra parentesi accanto alla città</w:t>
      </w:r>
      <w:r>
        <w:rPr>
          <w:rFonts w:ascii="Barlow Semi Condensed" w:cs="Barlow Semi Condensed" w:eastAsia="Barlow Semi Condensed" w:hAnsi="Barlow Semi Condensed"/>
          <w:sz w:val="24"/>
          <w:szCs w:val="24"/>
        </w:rPr>
        <w:t xml:space="preserve">, senza intestazione di colonna: «gen. Giulio Grassini (Roma, 515)», «dott. Federico D'Amato (Roma, 554)», «Giovanni Torrisi (Roma, 631)», «avv. Umberto Ortolani (Roma, 494)», «Michele Sindona (501, morto)». L'etichetta «tessera» apposta a quei numeri è, in ogni caso esaminato, un'aggiunta di chi ricopia o di chi riassume, non una dichiarazione del documento. La descrizione strutturale dell'elenco sequestrato — «nominativi annotati con titolo, città e numero di fascicolo» — spinge nella direzione opposta, e il confronto di fascia (fascicoli a tre cifre, tessere sopra 1600) la rafforza; ma nessuna fonte primaria è stata letta per confermarlo. Restano dunque indeterminati, quanto a natura: 535 (Giudice), 482 (Lo Prete), 811 (Rizzuti), 491 (Miceli), 631 (Torrisi), 545 (Spagnuolo), 554 (D'Amato), 812 (Malfatti), 494 (Ortolani), 501 (Sindona), 519 (Calvi), 754 (Pelosi), 515 (Grassini), 527 (Santovito), 487 (Musumeci). Per almeno una parte di essi resta aperta anche la terza lettura, mai esclusa: numero d'ordine progressivo nella lista pubblicata — lettura che le divergenze di cardinalità (959/962/963) renderebbero instabile.\n\n</w:t>
      </w:r>
      <w:r>
        <w:rPr>
          <w:rFonts w:ascii="Barlow Semi Condensed" w:cs="Barlow Semi Condensed" w:eastAsia="Barlow Semi Condensed" w:hAnsi="Barlow Semi Condensed"/>
          <w:b/>
          <w:bCs/>
          <w:sz w:val="24"/>
          <w:szCs w:val="24"/>
        </w:rPr>
        <w:t xml:space="preserve">Circolarità delle fonti.</w:t>
      </w:r>
      <w:r>
        <w:rPr>
          <w:rFonts w:ascii="Barlow Semi Condensed" w:cs="Barlow Semi Condensed" w:eastAsia="Barlow Semi Condensed" w:hAnsi="Barlow Semi Condensed"/>
          <w:sz w:val="24"/>
          <w:szCs w:val="24"/>
        </w:rPr>
        <w:t xml:space="preserve"> È il limite più grave e riguarda l'intero corpus, comprese le tre coppie reggenti. Le fonti reperite — it.wikipedia («Appartenenti alla P2», «Lista degli appartenenti alla P2»), girodivite.it (PDF </w:t>
      </w:r>
      <w:r>
        <w:rPr>
          <w:rFonts w:ascii="Barlow Semi Condensed" w:cs="Barlow Semi Condensed" w:eastAsia="Barlow Semi Condensed" w:hAnsi="Barlow Semi Condensed"/>
          <w:i/>
          <w:iCs/>
          <w:sz w:val="24"/>
          <w:szCs w:val="24"/>
        </w:rPr>
        <w:t xml:space="preserve">elenco_p2</w:t>
      </w:r>
      <w:r>
        <w:rPr>
          <w:rFonts w:ascii="Barlow Semi Condensed" w:cs="Barlow Semi Condensed" w:eastAsia="Barlow Semi Condensed" w:hAnsi="Barlow Semi Condensed"/>
          <w:sz w:val="24"/>
          <w:szCs w:val="24"/>
        </w:rPr>
        <w:t xml:space="preserve">), stragi.it (archivio/doc/66.pdf), strano.net (</w:t>
      </w:r>
      <w:r>
        <w:rPr>
          <w:rFonts w:ascii="Barlow Semi Condensed" w:cs="Barlow Semi Condensed" w:eastAsia="Barlow Semi Condensed" w:hAnsi="Barlow Semi Condensed"/>
          <w:i/>
          <w:iCs/>
          <w:sz w:val="24"/>
          <w:szCs w:val="24"/>
        </w:rPr>
        <w:t xml:space="preserve">elep2.htm</w:t>
      </w:r>
      <w:r>
        <w:rPr>
          <w:rFonts w:ascii="Barlow Semi Condensed" w:cs="Barlow Semi Condensed" w:eastAsia="Barlow Semi Condensed" w:hAnsi="Barlow Semi Condensed"/>
          <w:sz w:val="24"/>
          <w:szCs w:val="24"/>
        </w:rPr>
        <w:t xml:space="preserve">), archivio900.it, emanuelaorlandi.altervista.org, centrostudimalfatti.eu, maurizioturco.it, 19luglio1992.com, peacelink.it, brogi.info, cosmogonia.org, powerbase.info, profilbaru.com — non sono quattordici conferme indipendenti ma altrettante ricopiature della medesima lista sequestrata il 17 marzo 1981 a Castiglion Fibocchi e diffusa nel maggio dello stesso anno. In un caso la coincidenza è verificabile alla lettera: tre presunte fonti distinte iniziano con la stessa identica sequenza di nomi. profilbaru.com risulta un mirror di Wikipedia. powerbase.info è una traduzione inglese della stessa lista. La concordanza fra queste pagine non ha valore probatorio autonomo: è ridondanza, non corroborazione. Una confutazione ha inoltre rilevato una </w:t>
      </w:r>
      <w:r>
        <w:rPr>
          <w:rFonts w:ascii="Barlow Semi Condensed" w:cs="Barlow Semi Condensed" w:eastAsia="Barlow Semi Condensed" w:hAnsi="Barlow Semi Condensed"/>
          <w:b/>
          <w:bCs/>
          <w:sz w:val="24"/>
          <w:szCs w:val="24"/>
        </w:rPr>
        <w:t xml:space="preserve">corroborazione fabbricata</w:t>
      </w:r>
      <w:r>
        <w:rPr>
          <w:rFonts w:ascii="Barlow Semi Condensed" w:cs="Barlow Semi Condensed" w:eastAsia="Barlow Semi Condensed" w:hAnsi="Barlow Semi Condensed"/>
          <w:sz w:val="24"/>
          <w:szCs w:val="24"/>
        </w:rPr>
        <w:t xml:space="preserve"> dalla sintesi del motore, che attribuiva il numero di Torrisi a «documentazione ufficiale del ministero della difesa» — attribuzione falsa, trattandosi di biografie militari istituzionali che non riportano numeri di loggia. Questo episodio impone diffidenza verso ogni ancoraggio di fonte non verificato riga per riga.\n\n</w:t>
      </w:r>
      <w:r>
        <w:rPr>
          <w:rFonts w:ascii="Barlow Semi Condensed" w:cs="Barlow Semi Condensed" w:eastAsia="Barlow Semi Condensed" w:hAnsi="Barlow Semi Condensed"/>
          <w:b/>
          <w:bCs/>
          <w:sz w:val="24"/>
          <w:szCs w:val="24"/>
        </w:rPr>
        <w:t xml:space="preserve">Fonti primarie mai consultate.</w:t>
      </w:r>
      <w:r>
        <w:rPr>
          <w:rFonts w:ascii="Barlow Semi Condensed" w:cs="Barlow Semi Condensed" w:eastAsia="Barlow Semi Condensed" w:hAnsi="Barlow Semi Condensed"/>
          <w:sz w:val="24"/>
          <w:szCs w:val="24"/>
        </w:rPr>
        <w:t xml:space="preserve"> Nessuno dei dati qui usati proviene dalla lettura di un atto originale. Non sono stati letti: l'elenco sequestrato nella sua forma originale, le schede personali con i campi separati (fascicolo, tessera, codice, gruppo, data di affiliazione), gli atti della Commissione parlamentare d'inchiesta presieduta da Tina Anselmi, l'indice degli atti reperibile presso archivioflamigni.org, le relazioni depositate su archivioantimafia.org. La verifica dirimente — leggere la riga di ciascun nome nell'elenco sequestrato e distinguere la colonna «fascicolo» dalla colonna «tessera» — resta interamente da fare. Finché non è fatta, ogni scarto qui calcolato riposa su trascrizioni secondarie di un unico documento.\n\n</w:t>
      </w:r>
      <w:r>
        <w:rPr>
          <w:rFonts w:ascii="Barlow Semi Condensed" w:cs="Barlow Semi Condensed" w:eastAsia="Barlow Semi Condensed" w:hAnsi="Barlow Semi Condensed"/>
          <w:b/>
          <w:bCs/>
          <w:sz w:val="24"/>
          <w:szCs w:val="24"/>
        </w:rPr>
        <w:t xml:space="preserve">La finestra contestata resta buia.</w:t>
      </w:r>
      <w:r>
        <w:rPr>
          <w:rFonts w:ascii="Barlow Semi Condensed" w:cs="Barlow Semi Condensed" w:eastAsia="Barlow Semi Condensed" w:hAnsi="Barlow Semi Condensed"/>
          <w:sz w:val="24"/>
          <w:szCs w:val="24"/>
        </w:rPr>
        <w:t xml:space="preserve"> Vale la pena ripeterlo come limite, non come dettaglio: fra la tessera 1592 e la 1634 — le quarantadue posizioni su cui l'intera contestazione si gioca — la campagna non ha prodotto una sola coppia completa, né una sola cifra di natura dichiarata. Tutto ciò che si dice di quella regione è deduzione da una regione diversa del registro.\n\n## 5. Grado\n\n</w:t>
      </w:r>
      <w:r>
        <w:rPr>
          <w:rFonts w:ascii="Barlow Semi Condensed" w:cs="Barlow Semi Condensed" w:eastAsia="Barlow Semi Condensed" w:hAnsi="Barlow Semi Condensed"/>
          <w:b/>
          <w:bCs/>
          <w:sz w:val="24"/>
          <w:szCs w:val="24"/>
        </w:rPr>
        <w:t xml:space="preserve">C — congettura</w:t>
      </w:r>
      <w:r>
        <w:rPr>
          <w:rFonts w:ascii="Barlow Semi Condensed" w:cs="Barlow Semi Condensed" w:eastAsia="Barlow Semi Condensed" w:hAnsi="Barlow Semi Condensed"/>
          <w:sz w:val="24"/>
          <w:szCs w:val="24"/>
        </w:rPr>
        <w:t xml:space="preserve">, per l'insieme dei risultati.\n\nIl grado non è discutibile alla luce di come i dati sono stati ottenuti. Nessun risultato deriva dalla lettura di una fonte primaria; tutti derivano da sintesi di motore di ricerca, che in almeno un caso accertato hanno fabbricato un ancoraggio documentale inesistente e in altri hanno restituito cifre («440» per Gelli, «1630» per Santovito, «1620» per Grassini) non riconducibili ad alcun link identificabile. Le fonti che pure risultano nominabili sono, senza eccezione, riproduzioni derivate di un solo documento del 1981, e la loro concordanza non aggiunge informazione. La distinzione fra i due campi — fascicolo e tessera — che è il perno di tutta la verifica, è stabilita nelle fonti reperite per </w:t>
      </w:r>
      <w:r>
        <w:rPr>
          <w:rFonts w:ascii="Barlow Semi Condensed" w:cs="Barlow Semi Condensed" w:eastAsia="Barlow Semi Condensed" w:hAnsi="Barlow Semi Condensed"/>
          <w:b/>
          <w:bCs/>
          <w:sz w:val="24"/>
          <w:szCs w:val="24"/>
        </w:rPr>
        <w:t xml:space="preserve">tre nomi soltanto</w:t>
      </w:r>
      <w:r>
        <w:rPr>
          <w:rFonts w:ascii="Barlow Semi Condensed" w:cs="Barlow Semi Condensed" w:eastAsia="Barlow Semi Condensed" w:hAnsi="Barlow Semi Condensed"/>
          <w:sz w:val="24"/>
          <w:szCs w:val="24"/>
        </w:rPr>
        <w:t xml:space="preserve">, e in nessuno dei tre attraverso l'atto originale.\n\nNon si sale a B perché B richiederebbe l'accertamento da fonte qualificata, cioè almeno una lettura diretta della scheda o dell'atto parlamentare; l'unico elemento che sfiorerebbe quel rango — la tessera 1643 di D'Amato, riferita agli atti della Commissione — è a sua volta giunto per sintesi, non è stato riconciliato con il 554 dell'elenco, e per questo non regge. Non si scende sotto C perché le tre coppie della tavola sono internamente coerenti, dichiarate quanto alla natura dei campi, e reciprocamente compatibili sul piano aritmetico e cronologico: Selva e Berlusconi, iniziati nella stessa tornata del 26 gennaio 1978, occupano posizioni contigue in entrambe le serie, il che è esattamente ciò che ci si attende da un registro autentico e sarebbe difficile da produrre per caso.\n\nIl corpus è quindi utilizzabile come base di lavoro e come indicazione di direzione. Non è utilizzabile come accertamento, e nessuna affermazione tratta da esso — inclusa quella sulla natura sottrattiva della serie contestata — dovrebbe essere presentata come stabilita finché la riga corrispondente non sia stata letta nel documento originale.",</w:t>
      </w:r>
    </w:p>
    <w:p>
      <w:pPr>
        <w:spacing w:after="120" w:line="276"/>
        <w:jc w:val="both"/>
      </w:pPr>
      <w:r>
        <w:rPr>
          <w:rFonts w:ascii="Barlow Semi Condensed" w:cs="Barlow Semi Condensed" w:eastAsia="Barlow Semi Condensed" w:hAnsi="Barlow Semi Condensed"/>
          <w:sz w:val="24"/>
          <w:szCs w:val="24"/>
        </w:rPr>
        <w:t xml:space="preserve">    "valori_raccolti": 31,</w:t>
      </w:r>
    </w:p>
    <w:p>
      <w:pPr>
        <w:spacing w:after="120" w:line="276"/>
        <w:jc w:val="both"/>
      </w:pPr>
      <w:r>
        <w:rPr>
          <w:rFonts w:ascii="Barlow Semi Condensed" w:cs="Barlow Semi Condensed" w:eastAsia="Barlow Semi Condensed" w:hAnsi="Barlow Semi Condensed"/>
          <w:sz w:val="24"/>
          <w:szCs w:val="24"/>
        </w:rPr>
        <w:t xml:space="preserve">    "valori_che_reggono": 7,</w:t>
      </w:r>
    </w:p>
    <w:p>
      <w:pPr>
        <w:spacing w:after="120" w:line="276"/>
        <w:jc w:val="both"/>
      </w:pPr>
      <w:r>
        <w:rPr>
          <w:rFonts w:ascii="Barlow Semi Condensed" w:cs="Barlow Semi Condensed" w:eastAsia="Barlow Semi Condensed" w:hAnsi="Barlow Semi Condensed"/>
          <w:sz w:val="24"/>
          <w:szCs w:val="24"/>
        </w:rPr>
        <w:t xml:space="preserve">    "dossier": "### controlli\nTROVATI:\n  Silvio Berlusconi: 1816 [tessera] fonte articolo21.org; worstitaly.wordpress.com; associazioneomilos.wordpress.com; cosmogonia.org; strano.net (affidabilita alta)\n  Silvio Berlusconi: 0625 [fascicolo] fonte cosmogonia.org; strano.net (scheda 'Berlusconi Silvio') (affidabilita alta)\n  Silvio Berlusconi: 625 [non dichiarata] fonte atti della Commissione parlamentare d inchiesta sulla P2 (citati nei risultati di ricerca, elenchi degli affiliati sequestrati a Castiglion Fibocchi) (affidabilita media)\n  Maurizio Costanzo: 1819 [tessera] fonte ilfattoquotidiano.it; it.wikipedia.org/wiki/Appartenenti_alla_P2; lercio.it (affidabilita alta)\n  Maurizio Costanzo: 626 [fascicolo] fonte it.wikipedia.org/wiki/Appartenenti_alla_P2; girodivite.it (PDF 'La lista della P2 sequestrata a Licio Gelli') (affidabilita media)\n  Maurizio Costanzo: 626 [tessera] fonte fonte non identificata nominalmente nei risultati di ricerca (segnalata come divergente rispetto alle altre) (affidabilita bassa)\n  Licio Gelli: 440 [tessera] fonte fonte non identificabile nei risultati (query su Propaganda Due / Licio Gelli; nessun link del set di risultati e attribuibile con certezza a questo numero) (affidabilita bassa)\nCONFUTAZIONE:\n  Silvio Berlusconi 1816: REGGE — Natura DICHIARATA: piu fonti scrivono esplicitamente 'tessera' (articolo21.org 'Tessera 1816 della P2'; worstitaly.wordpress.com 'Tessera numero 1816'; associazioneomilos.wordpress.com 'tessera P2 n. 1816'; giornalecangrande/issuu). Nessun risultato di ricerca propone un numero di tessera diverso: una query costruita apposta per cercare contestazioni ('non 1816 / altro numero') non ha prodotto alcun valore alternativo. Il dato compare inoltre dentro una scheda strutturata coerente (tessera 1816 - codice E.19.78 - gruppo 17 - fascicolo 0625 - affiliazione 26 gennaio 1978) che tiene separati i campi tessera e fascicolo, quindi non e un caso di confusione fra i due. LIMITE DI FONTE: tutte le fonti reperite sono secondarie e ricopiano la stessa scheda (probabilmente via elenchi della Commissione parlamentare / Wikipedia); nessuna e il documento primario. Il valore regge sui criteri dati, ma la convergenza e apparente, non indipendente. | alternativi: Nessuno. Attenzione: 625 e 0625 NON sono varianti della tessera ma il campo fascicolo della stessa scheda; non vanno mai usati come numero di tessera.\n  Silvio Berlusconi 0625: REGGE — Natura DICHIARATA come 'fascicolo' dentro la scheda strutturata riportata da cosmogonia.org e strano.net e ripresa nei risultati (tessera 1816, codice E.19.78, gruppo 17, fascicolo 0625). Nessuna fonte trovata attribuisce a Berlusconi un fascicolo diverso. Unico rilievo: circola anche nella forma senza zero iniziale (625); si tratta di variante tipografica dello stesso campo, non di un valore concorrente. LIMITE DI FONTE: cosmogonia.org e strano.net sono siti divulgativi/archivi militanti che riproducono l'elenco sequestrato; sono derivati, non primari, e verosimilmente attingono alla stessa trascrizione. | alternativi: 625 (stessa cifra senza lo zero di riempimento)\n  Silvio Berlusconi 625: NON REGGE — CONFUTATO come dato autonomo. Primo: la natura non e dichiarata da nessuna fonte, e gia questo impone regge=false. Secondo, e piu grave: non e un terzo numero accanto a 1816 e 0625, ma con ogni probabilita lo stesso fascicolo 0625 privato dello zero iniziale. Nei risultati il '625' compare associato agli elenchi degli affiliati sequestrati a Castiglion Fibocchi accanto all'annotazione del versamento di 100.000 lire in contanti del 5 maggio 1978, cioe nel contesto della scheda personale, esattamente dove le altre fonti collocano il fascicolo 0625. Registrarlo come voce separata gonfia artificialmente il numero di dati distinti; presentarlo come 'numero d'ordine dell'elenco' o come tessera sarebbe un errore di tipizzazione. Nessun risultato mostra un campo 'numero d'ordine' nella struttura della scheda P2 (i campi ricorrenti sono tessera, codice, gruppo, fascicolo). | alternativi: 0625 (fascicolo, stessa cifra); 1816 resta l'unico numero di tessera\n  Maurizio Costanzo 1819: REGGE — Natura DICHIARATA: le fonti dicono espressamente 'tessera'. Lercio.it riporta la maglia 1819 con la dicitura 'era la sua tessera nella P2'; issuu.com/giornalecangrande.it titolano 'trascorsi piduisti di Maurizio Costanzo (tessera P2 1819)'; il riepilogo dei risultati su ilfattoquotidiano.it e Wikipedia distingue tessera 1819 / fascicolo 626 / grado maestro. Nessuna fonte reperita gli attribuisce un numero di tessera diverso. LIMITE DI FONTE: fonti giornalistiche e satiriche che derivano dalla voce 'Appartenenti alla P2' di Wikipedia e dall'elenco sequestrato; nessuna verifica primaria. La distinzione tessera/fascicolo e pero esplicita e coerente in tutte, il che e il punto decisivo. | alternativi: Nessuno per il campo tessera. 626 non e alternativa: e il fascicolo.\n  Maurizio Costanzo 626: REGGE — Natura DICHIARATA come 'fascicolo': la voce it.wikipedia.org/wiki/Appartenenti_alla_P2 e il PDF girodivite.it dell'elenco sequestrato a Licio Gelli riportano per Costanzo la terna tessera 1819 / fascicolo 626 / grado maestro, e il riepilogo dei risultati conferma 'file number 626'. Nessuna fonte identificabile assegna a Costanzo un fascicolo diverso. AVVERTENZA: esiste in circolazione la lettura di 626 come numero di tessera (vedi voce successiva), ma non e riconducibile ad alcuna fonte nominata nei risultati e contraddice tutte quelle identificate; non costituisce quindi una fonte contraddittoria, bensi un errore di etichetta. LIMITE DI FONTE: Wikipedia e il PDF di girodivite sono riproduzioni dell'elenco, non l'atto originale della Commissione. | alternativi: Nessun fascicolo alternativo trovato. Da non confondere con la tessera 1819.\n  Maurizio Costanzo 626: NON REGGE — CONFUTATO. E il caso da manuale di FASCICOLO SPACCIATO PER TESSERA. Tutte le fonti identificabili nei risultati (it.wikipedia.org/wiki/Appartenenti_alla_P2, PDF girodivite.it dell'elenco sequestrato, ilfattoquotidiano.it, lercio.it, issuu/giornalecangrande.it) concordano nell'assegnare a Costanzo la tessera 1819 e il fascicolo 626: nessuna di esse chiama 626 'tessera'. Inoltre la fonte di questa lettura non e nominalmente identificabile, quindi non e ne primaria ne verificabile. Doppio motivo di caduta: contraddetta da fonti concordi e priva di fonte accertabile. Va eliminata dal dataset, non solo marcata come dubbia, perche il rischio e che venga contata come una seconda tessera esistente. | alternativi: 1819 (tessera, valore corretto); 626 (fascicolo, tipo corretto dello stesso numero)\n  Licio Gelli 440: NON REGGE — NON REGGE per difetto di fonte, pur non essendo contraddetto. Ho ripetuto la verifica con una query NON suggestiva ('quale numero di tessera aveva Licio Gelli nella loggia P2', senza citare 440) e la sintesi ha restituito di nuovo 440 come numero di tessera: quindi il valore non nasce dall'eco della domanda. Tuttavia il numero non compare in nessun titolo o estratto attribuibile a un link specifico del set di risultati (peacelink.it, it.wikipedia.org/wiki/P2, ilfattoquotidiano.it, oltrelalinea.news, corrieredellumbria.corr.it): esiste solo nella sintesi del motore, quindi non e assegnabile a una fonte citabile ne classificabile come primaria o derivata. Secondo elemento di dubbio metodologico: non e verificabile contro la struttura della scheda dell'elenco sequestrato (tessera/codice/gruppo/fascicolo), perche nessun risultato indica per Gelli un fascicolo o un gruppo, e Gelli come maestro venerabile non figura fra gli affiliati elencati nello stesso formato. Nel dubbio, regge=false: il numero va tenuto solo come indizio da verificare su atto primario. | alternativi: Nessun valore alternativo emerso. Dai risultati emerge solo il contesto: elenco di 962 nomi sequestrato il 17 marzo 1981 a Castiglion Fibocchi, con numerazioni degli iscritti che nelle carte di Gelli superano il 2000.\nNULLA TROVATO: —\n\n### militari-1\nTROVATI:\n  Giuseppe Santovito: 527 [non dichiarata] fonte it.wikipedia.org (voce \"Appartenenti alla P2\" / \"Lista degli appartenenti alla P2\"), ripreso anche da lespresso.it e girodivite.it (affidabilita media)\n  Giuseppe Santovito: 1630 [tessera] fonte non identificata: la sintesi WebSearch dice genericamente \"another source\" senza nominarla (affidabilita bassa)\n  Giulio Grassini: 515 [tessera] fonte it.wikipedia.org (voce \"Giulio Grassini\"); stesso numero nella forma \"(Roma, 515)\" negli elenchi ripresi da archivio900.it, stragi.it, emanuelaorlandi.altervista.org, strano.net (affidabilita media)\n  Giulio Grassini: 1620 [non dichiarata] fonte non identificata: la sintesi WebSearch parla di \"other sources\" senza nominarle (affidabilita bassa)\n  Walter Pelosi: 754 [tessera] fonte elenchi degli iscritti ripresi da emanuelaorlandi.altervista.org, archivio900.it, stragi.it, strano.net, girodivite.it (affidabilita media)\nCONFUTAZIONE:\n  Giuseppe Santovito 527: NON REGGE — CONFUTATO. Esiste un valore diverso per lo stesso nome: la ricerca conferma esplicitamente 'General Giuseppe Santovito held membership card number 1630 in the P2 masonic lodge' (risultati che rimandano a lespresso.it, archivioflamigni.org, strano.net). Due numeri per la stessa persona non possono essere entrambi la tessera. Inoltre la natura di 527 non e dichiarata da nessuna fonte e il numero e strutturalmente sospetto: la ricerca sulla struttura dell'elenco sequestrato a Castiglion Fibocchi dice che la lista di 962 nomi era 'annotata con titolo, citta e numero di fascicolo', e il caso Berlusconi (verificato in ricerca: tessera 1816, fascicolo 0625) mostra che i fascicoli stanno nella fascia bassa a 3-4 cifre mentre le tessere stanno sopra 1000. 527 e coerente con un numero di FASCICOLO, non di tessera. Sulla catena delle fonti: it.wikipedia.org non e fonte primaria, e lespresso.it e girodivite.it non confermano wikipedia in modo indipendente - girodivite.it ospita il PDF 'elenco_p2.pdf', cioe la stessa lista alfabetica sequestrata il 17.3.1981 e diffusa dalla Presidenza del Consiglio il 21.5.1981 da cui derivano tutti gli altri siti. | alternativi: 1630 (indicato come 'membership card number / tessera' nei risultati di ricerca). Nessun terzo valore emerso.\n  Giuseppe Santovito 1630: NON REGGE — NON REGGE, ma per motivi opposti al precedente. La ricerca mirata ha effettivamente confermato l'esistenza di questo numero e lo etichetta come tessera ('membership card number 1630'), quindi non e inventato; e la fascia numerica e coerente con il pattern-tessera verificato su Berlusconi (tessera 1816). Tuttavia: (a) resta contraddetto dal valore 527 attribuito allo stesso nome; (b) la sintesi di ricerca non ancora oggi il numero a una pagina identificabile - i link restituiti (lespresso.it, archivioflamigni.org/indice-atti-commissione-p2.pdf, strano.net, questionegiustizia.it) non risultano associati alla cifra in modo verificabile dalla sintesi; (c) nessuna fonte primaria (atti Commissione Anselmi, elenco originale) e stata identificata come portatrice del dato. Fonte non identificata + valore concorrente = nel dubbio regge = false. | alternativi: 527 (etichetta non dichiarata, dall'elenco alfabetico ripreso da it.wikipedia.org, lespresso.it, girodivite.it).\n  Giulio Grassini 515: NON REGGE — CONFUTATA L'ETICHETTA, non necessariamente la cifra. La ricerca conferma la cifra ('registered with the Masonic Lodge P2 with membership card number 515', voce it.wikipedia.org 'Giulio Grassini') e ne conferma la forma nell'elenco: 'gen Giulio Grassini (Roma, 515)'. Ma proprio questa forma e il problema: e lo schema '(citta, numero)' dell'elenco alfabetico sequestrato, e la ricerca sulla struttura dell'elenco dice che quella lista annota 'titolo, citta e numero di fascicolo'. Le sintesi di ricerca sono tra loro in conflitto sull'etichetta di quel campo (una dice 'fascicolo', un'altra 'tessera'), quindi la natura del numero NON e stabilita. Il confronto con Berlusconi (tessera 1816 vs fascicolo 0625, entrambi verificati in ricerca) rende piu probabile che 515 sia il fascicolo. Si aggiunge il valore concorrente 1620 attribuito allo stesso nome. Sulle fonti: archivio900.it, stragi.it (doc/66.pdf), emanuelaorlandi.altervista.org, strano.net (elep2.htm) e girodivite.it non sono cinque conferme ma cinque ricopiature della stessa lista del 1981; it.wikipedia.org deriva dalla medesima. Nessuna fonte primaria distinta. | alternativi: 1620 (riportato dall'altro ricercatore, etichetta non dichiarata - NON confermato dalle mie ricerche). Nessun altro valore emerso.\n  Giulio Grassini 1620: NON REGGE — NON CONFERMATO DA RICERCA. La ricerca mirata su Grassini ha restituito solo 515; la cifra 1620 non compare in nessuna sintesi ottenuta, e la fonte originaria e dichiarata non identificata ('other sources'). Applicando la regola per cui un numero non confermato dalla ricerca non e riportabile, questo valore non puo essere sostenuto. Va pero segnalato che la cifra e strutturalmente plausibile come TESSERA: sta nella stessa fascia di 1630 (Santovito) e 1816 (Berlusconi, tessera verificata), e lo scarto rispetto a 515 (1105) e quasi identico a quello tra 527 e 1630 (1103) per Santovito - indizio di due sistemi di numerazione paralleli (fascicolo basso / tessera alta) piuttosto che di un errore. Indizio, non prova: senza fonte nominata, regge = false. | alternativi: 515 (etichetta contesa: 'tessera' secondo it.wikipedia.org, ma forma '(Roma, 515)' propria del campo che altre fonti chiamano fascicolo).\n  Walter Pelosi 754: NON REGGE — NESSUN VALORE CONCORRENTE TROVATO, ma l'etichetta non regge. La ricerca conferma la cifra e la forma d'elenco 'Walter Pelosi (Roma, 754)', e riporta che secondo l'ex magistrato Ferdinando Imposimato 'Walter Pelosi, capo del CESIS (numero di tessera 754)' era tra i piduisti inseriti nel comitato di crisi del Viminale per il caso Moro. Ma: (1) 'tessera' qui e un'etichetta apposta da chi ricopia l'elenco, non dichiarata dal documento; la stessa lista e descritta altrove come recante il numero di FASCICOLO. (2) 754 e a 3 cifre, nella stessa fascia di 527 e 515, cioe la fascia dei fascicoli secondo il riscontro Berlusconi (fascicolo 0625 vs tessera 1816): se il pattern regge, la tessera di Pelosi dovrebbe essere un numero sopra 1000, non ancora emerso. (3) Le cinque fonti citate (emanuelaorlandi.altervista.org, archivio900.it, stragi.it, strano.net, girodivite.it) sono tutte riproduzioni derivate del medesimo elenco alfabetico del 1981: zero indipendenza, zero fonte primaria. Assenza di contraddizione non equivale a conferma della natura del numero. | alternativi: Nessun valore alternativo emerso dalle ricerche. Da verificare l'esistenza di un secondo numero in fascia 1000-2000, atteso se 754 e il fascicolo.\nNULLA TROVATO: —\n\n### militari-2\nTROVATI:\n  Giovanni Torrisi: 631 [tessera] fonte it.wikipedia.org (Appartenenti alla P2 / Lista degli appartenenti alla P2), strano.net (Elenco alfabetico P2) (affidabilita media)\n  Vito Miceli: 491 [non dichiarata] fonte emanuelaorlandi.altervista.org (Elenco dei 959 iscritti alla Loggia P2), stragi.it, strano.net, centrostudimalfatti.eu (elenchi iscritti P2) (affidabilita media)\nCONFUTAZIONE:\n  Giovanni Torrisi 631: NON REGGE — Non regge, per difetto di natura dichiarata, non per contraddizione numerica. (1) Nessuna fonte trovata assegna a Torrisi un numero diverso da 631. (2) Ma l'elenco P2 sequestrato contiene per ogni iscritto DUE numeri distinti - tessera e fascicolo - come confermato dai risultati (archivio900.it; Il Fatto Quotidiano, 17/03/2021: elenco annotato con titoli, citta e numeri di fascicolo). Un numero singolo senza etichetta e quindi strutturalmente ambiguo. (3) Le fonti citate (it.wikipedia 'Appartenenti alla P2', strano.net 'Elenco alfabetico P2') rendono la voce nel formato 'Giovanni Torrisi (Roma, 631)': parentetica citta+numero, che NON dichiara se 631 sia tessera o fascicolo. L'etichetta 'tessera' e quindi un'attribuzione del ricercatore, non della fonte. (4) La sintesi di ricerca ha affermato che il 631 sarebbe corroborato dalla 'official defense ministry documentation' (difesa.it, marina.difesa.it): affermazione falsa, quelle sono biografie militari istituzionali che non riportano numeri di tessera P2. Corroborazione fabbricata, quindi catena di conferma inaffidabile. (5) Nessuna fonte primaria: it.wikipedia e strano.net sono trascrizioni derivate dallo stesso documento; la primaria (Relazione Anselmi, archivioantimafia.org; indice atti Commissione P2, archivioflamigni.org) e emersa ma non fornisce il numero per singolo nome nelle sintesi ottenute. Convergenza apparente = propagazione di una sola copia, non corroborazione indipendente. (6) Nota anagrafica non risolta: Torrisi risulta nato a Catania (lavocedelmarinaio.com: Catania 18.11.1917 - La Maddalena 11.8.1992) mentre la voce d'elenco riporta 'Roma'; plausibile come residenza, ma non verificato. Nel dubbio: regge = false. | alternativi: Nessun valore numerico alternativo trovato: le ricerche non hanno prodotto alcuna fonte che assegni a Torrisi un numero diverso da 631. L'alternativa aperta non e su QUALE numero ma su QUALE TIPO: 631 potrebbe essere il numero di fascicolo anziche di tessera, oppure il numero d'ordine nell'elenco alfabetico. Rischio numero d'ordine concreto perche circolano versioni con cardinalita diversa (962 nomi secondo Il Fatto Quotidiano, 959 secondo la fonte emanuelaorlandi.altervista.org citata dall'altro ricercatore), quindi la posizione ordinale varia da versione a versione.\n  Vito Miceli 491: NON REGGE — Non regge, e in modo piu netto del precedente perche lo stesso ricercatore ha gia etichettato la natura come 'non dichiarata': manca quindi in partenza il requisito che la natura (tessera o fascicolo) sia dichiarata dalla fonte, e questo da solo impone regge = false. In aggiunta: (1) Nessuna fonte trovata assegna a Miceli un numero diverso da 491. (2) I risultati confermano che l'elenco riporta per ciascun iscritto sia il numero di tessera sia quello di fascicolo, quindi il 491 isolato non e auto-identificante. (3) Il formato restituito dalle ricerche e 'Vito Miceli (Roma, 491)' con qualifica 'gen.' - parentetica citta+numero priva di etichetta di tipo. (4) Tutte le fonti citate (emanuelaorlandi.altervista.org, stragi.it, strano.net, centrostudimalfatti.eu) sono trascrizioni web secondarie del medesimo elenco sequestrato il 17/03/1981 a Castiglion Fibocchi; a queste si aggiungono girodivite.it, unita2.org, ifarabutti.wordpress.com, archivio900.it, tutte della stessa famiglia derivata. Nessuna e primaria e nessuna e indipendente dalle altre: la loro concordanza non ha valore probatorio autonomo. La fonte primaria sarebbe la documentazione della Commissione parlamentare d'inchiesta presieduta da Tina Anselmi, non consultata dall'altro ricercatore. (5) Il numero di iscritti varia fra le versioni (959 vs 962), quindi non si puo escludere che 491 sia una posizione d'ordine. | alternativi: Nessun valore numerico alternativo trovato: nessuna fonte emersa assegna a Miceli un numero diverso da 491. L'ambiguita e sul tipo, non sul valore: 491 puo essere tessera, fascicolo, o numero d'ordine nell'elenco alfabetico. Nessuna delle fonti consultate scioglie l'ambiguita, e l'etichetta risulta gia dichiarata 'non dichiarata' in origine.\nNULLA TROVATO: Camillo Guglielmi\n\n### guardia-finanza\nTROVATI:\n  Raffaele Giudice: 535 [non dichiarata] fonte maurizioturco.it (\"P2 * la lista della P2 sequestrata a Licio Gelli\"); it.wikipedia.org \"Lista degli appartenenti alla P2\"; girodivite.it (PDF elenco_p2) (affidabilita media)\n  Donato Lo Prete: 482 [non dichiarata] fonte it.wikipedia.org \"Appartenenti alla P2\"; stragi.it (PDF \"Elenco iscritti alla loggia P2\"); archivio900.it (\"Elenco degli iscritti alla Loggia P2\") (affidabilita media)\n  Vincenzo Rizzuti: 811 [non dichiarata] fonte it.wikipedia.org \"Lista degli appartenenti alla P2\"; archivio900.it; stragi.it (PDF elenco iscritti) (affidabilita media)\nCONFUTAZIONE:\n  Raffaele Giudice 535: NON REGGE — Confutazione parziale ma sufficiente a far cadere il valore. (1) Nessuna fonte trovata dà un numero DIVERSO da 535 per Giudice: la ricerca su fonti generiche (it.wikipedia 'Raffaele Giudice', gdf.gov.it, archivio Senato, 4agosto1974) conferma solo che 'nel 1981 il suo nome compare nella lista degli appartenenti alla P2', SENZA mai indicare un numero. Il 535 riemerge solo in ricerca mirata come 'Giudice Raffaele (Roma, 535)', cioè nel formato dell'elenco alfabetico ricopiato, e il risultato stesso lo qualifica genericamente come 'reference number in the P2 membership list' — natura non dichiarata. (2) Sospetto fondato di scambio di tipo: la documentazione sulla struttura dell'elenco distingue esplicitamente 'numero di tessera' (es. Maurizio Costanzo tessera n. 1819, Franco Di Bella tessera 1887 — valori a 4 cifre) da 'numero di fascicolo' = 'numero di classificazione della scheda archivistica di ogni iscritto' (es. Sergio Acciai fascicolo 113), e precisa che nell'elenco sequestrato 'i nomi sono annotati con tanto di titolo, città e NUMERO DI FASCICOLO'. 535 è a tre cifre e compare accoppiato alla città ('Roma, 535'): coerente con un fascicolo, incompatibile con la serie tessere a 4 cifre. Spacciarlo per tessera sarebbe un errore di tipo. (3) Fonti citate non primarie: maurizioturco.it, it.wikipedia, girodivite.it (PDF elenco_p2) sono tutte ridigitazioni della stessa lista sequestrata il 17 marzo 1981 a Gelli; nessuna è l'atto originale (elenco sequestrato / atti Commissione parlamentare P2). La loro concordanza non è conferma indipendente ma propagazione di una sola copia. Inoltre le versioni circolanti divergono sul totale (959 / 962 / 963 nomi), quindi anche un'eventuale lettura come numero d'ordine sarebbe instabile tra versioni. Nel dubbio: regge = false. | alternativi: Nessun valore numerico alternativo reperito per lo stesso campo. Alternativa di NATURA, documentata: 535 va letto con ogni probabilità come numero di FASCICOLO (scheda archivistica), non come numero di tessera; il corrispondente numero di tessera di Giudice non è stato reperito da nessuna fonte e, per analogia con i casi in cui la tessera è esplicitata (Costanzo 1819, Di Bella 1887), sarebbe un valore a 4 cifre diverso da 535. Terza lettura non escludibile: numero d'ordine nell'elenco alfabetico, che però varia con la versione (959/962/963 nomi).\n  Donato Lo Prete 482: NON REGGE — Confutazione parziale ma sufficiente. (1) Nessuna fonte reperita fornisce un numero diverso: la ricerca restituisce 'Donato Lo Prete ... Roma, membership number 482, col. (colonnello)', capo di stato maggiore della Guardia di Finanza, presente negli elenchi sequestrati. Ma il numero è riportato come generico 'membership number': natura NON dichiarata dalla fonte, né come tessera né come fascicolo. (2) Sospetto di scambio di tipo, come per Giudice: le fonti che descrivono la struttura dell'elenco separano 'numero di tessera' (Costanzo 1819, Di Bella 1887 — 4 cifre) da 'numero di fascicolo' (Acciai 113), e affermano che l'elenco sequestrato annota titolo, città e numero di fascicolo. 482 è a 3 cifre e compare nel formato 'grado + nome + città + numero': tipico dell'entrata di fascicolo. Presentarlo come tessera sarebbe un errore. (3) Le fonti citate (it.wikipedia 'Appartenenti alla P2', stragi.it doc 66.pdf 'ELENCO ISCRITTI ALLA LOGGIA P2', archivio900.it doc id=42) sono tre trascrizioni dello stesso identico elenco (tutte iniziano con la medesima sequenza 'Ten.Col. Sergio Acciai — Dott. Pierluigi Accornero'): una sola fonte in tre vesti, non tre conferme. Nessuna è l'originale sequestrato né un atto della Commissione P2. Nel dubbio: regge = false. | alternativi: Nessun valore numerico alternativo reperito. Alternativa di natura: 482 = numero di FASCICOLO molto più probabilmente che numero di tessera; la tessera di Lo Prete non risulta pubblicata in nessuna delle fonti raggiunte. Lettura residua non esclusa: posizione/numero d'ordine nell'elenco alfabetico, instabile tra le versioni circolanti (959/962/963 nomi).\n  Vincenzo Rizzuti 811: NON REGGE — Confutazione parziale ma sufficiente. (1) Nessun valore contrastante trovato: la ricerca restituisce 'Vincenzo Rizzuti, Roma, membership number 811', indicato come ufficiale dei Carabinieri in servizio al SISDE, presente 'consistently across multiple archived versions' dell'elenco sequestrato. Anche qui il numero è etichettato solo come 'membership number': natura NON dichiarata. (2) Sospetto di scambio di tipo: 811 è a 3 cifre, nella stessa serie di 535 e 482, e quindi coerente con la serie dei FASCICOLI (Acciai 113) e non con la serie delle TESSERE documentate (1819, 1887, a 4 cifre). Va inoltre segnalato che 811 è vicino al fondo di un elenco di ~960 voci: senza il documento originale non è escludibile la confusione con il numero d'ordine progressivo della lista alfabetica, tanto più che le versioni divergono sul totale dei nomi (959 / 962 / 963), il che sposterebbe qualunque numero d'ordine. (3) Fonti non primarie e non indipendenti: it.wikipedia 'Lista/Appartenenti alla P2', archivio900.it, stragi.it (66.pdf) — più strano.net, girodivite.it, sitocomunista.it, blog vari — sono tutte ricopiature della medesima lista sequestrata a Gelli nel 1981, spesso l'una dall'altra; la 'coerenza tra archivi' rilevata dalla ricerca è ridondanza, non corroborazione. Nel dubbio: regge = false. | alternativi: Nessun valore numerico alternativo reperito per Rizzuti. Alternative di natura, entrambe aperte: (a) 811 = numero di FASCICOLO (lettura più probabile, coerente con la struttura dichiarata dell'elenco: titolo, città, numero di fascicolo); (b) 811 = numero d'ordine nell'elenco alfabetico, valore che cambierebbe da versione a versione (959/962/963 nomi). Nessuna fonte reperita attribuisce a Rizzuti un numero di TESSERA.\nNULLA TROVATO: —\n\n### magistrati\nTROVATI:\n  Carmelo Spagnuolo: 545 [non dichiarata] fonte it.wikipedia.org (voce \"Appartenenti alla P2\" / \"Lista degli appartenenti alla P2\"), ripreso anche da profilbaru.com (affidabilita media)\nCONFUTAZIONE:\n  Carmelo Spagnuolo 545: NON REGGE — Nessuna fonte trovata contraddice il numero 545: entrambe le ricerche restituiscono sempre e solo la stessa formula compatta \"Roma, in sonno, 545\" (Spagnuolo, all'epoca presidente di sezione della Corte di Cassazione). Il valore però NON regge per due motivi indipendenti. (1) NATURA NON DICHIARATA: la formula \"(città, stato, numero)\" della voce it.wikipedia \"Appartenenti alla P2\" non specifica se 545 sia numero di tessera, numero di fascicolo o numero d'ordine dell'elenco. L'etichetta \"tessera\" comparsa nelle sintesi di ricerca è una glossa interpretativa del motore, non una citazione di una fonte che lo dichiari: nessun risultato riporta un passo documentale che assegni 545 a una colonna precisa. L'elenco sequestrato a Castiglion Fibocchi è strutturato a campi distinti (fascicolo / tessera / data iniziazione / gruppo / sigla), quindi collassare tutto in un solo numero è esattamente il tipo di appiattimento che rende l'etichetta inaffidabile. (2) FONTE NON PRIMARIA E NON INDIPENDENTE: profilbaru.com è un mirror/scrape della voce di it.wikipedia, quindi le due fonti citate sono in realtà una sola; Wikipedia a sua volta è terziaria. Le fonti potenzialmente primarie emerse tra i link (stragi.it, doc. 66 \"ELENCO ISCRITTI ALLA LOGGIA P2\"; archivio900.it; strano.net/stragi; maurizioturco.it; relazione della Commissione parlamentare su archivioantimafia.org) non hanno restituito alcuna riga che confermi 545 né la colonna di appartenenza. Nel dubbio, e per la regola \"regge solo se la natura è dichiarata dalla fonte\", regge = false. Verifica dirimente da fare su documento primario: leggere la riga SPAGNUOLO nell'elenco sequestrato e distinguere i campi \"Fascicolo n.\" e \"Tessera n.\". | alternativi: Nessun valore numerico alternativo emerso dalle ricerche: 545 è l'unico numero associato al nome in tutti i risultati. Restano però aperte tre letture alternative dello STESSO numero, nessuna esclusa dalle fonti reperite: 545 come n. di tessera; 545 come n. di fascicolo; 545 come n. d'ordine progressivo nell'elenco pubblicato. Non è stato possibile discriminarle senza accesso al documento primario.\nNULLA TROVATO: Carmelo Gallucci (magistrato) - nessuna fonte trovata attesta l esistenza di un magistrato con questo nome negli elenchi P2, Achille Gallucci (magistrato) - nessun numero di tessera o fascicolo trovato; le fonti lo collocano come procuratore della Repubblica di Roma che INDAGAVA sulla P2, non come iscritto, Antonio Varisco (colonnello dei carabinieri) - nessun numero trovato; le fonti lo collocano come ufficiale incaricato da Vittorio Occorsio di indagare sulla P2, non come iscritto\n\n### servizi-esteri\nTROVATI:\n  Federico Umberto D'Amato: 554 [tessera] fonte it.wikipedia.org (Appartenenti alla P2); brogi.info; peacelink.it (affidabilita alta)\n  Federico Umberto D'Amato: 1620 [tessera] fonte fonte non identificata nei risultati (riportata come divergenza in una sintesi di ricerca) (affidabilita bassa)\n  Federico Umberto D'Amato: 1643 [tessera] fonte fonte non identificata nei risultati (riportata come divergenza in una sintesi di ricerca) (affidabilita bassa)\n  Francesco Malfatti di Montetretto: 812 [non dichiarata] fonte it.wikipedia.org (Francesco Malfatti di Montetretto e liste P2); maurizioturco.it; archivioantimafia.org (affidabilita media)\nCONFUTAZIONE:\n  Federico Umberto D'Amato 554: NON REGGE — CONFUTATO da fonte concorrente. Le ricerche confermano che nell'elenco sequestrato a Castiglion Fibocchi (riprodotto da girodivite.it/IMG/pdf/elenco_p2.pdf, strano.net/stragi/stragi/p2/elep2.htm, centrostudimalfatti.eu, stragi.it/archivio/doc/66.pdf) la voce e 'dott Federico D'Amato (Roma, 554)': il formato e nome + citta + un solo numero, SENZA etichetta. Nessuna delle fonti trovate dichiara che quel 554 sia una tessera: l'etichetta 'tessera' e un'inferenza dei compilatori (it.wikipedia 'Appartenenti alla P2', peacelink.it, brogi.info), che ricopiano tutti la stessa lista e non sono quindi fonti indipendenti ne primarie. Inoltre una fonte da un numero diverso e questa volta esplicitamente qualificato: nella deposizione di D'Amato davanti alla Commissione parlamentare d'inchiesta sulla P2 del 28 ottobre 1982 la Commissione aveva agli atti la sua tessera massonica n. 1643. Quindi 554 e contraddetto e la sua natura non e dichiarata: doppio motivo di caduta. Ipotesi da verificare (non provata dalle ricerche): 554 potrebbe essere il numero d'ordine/di posizione nell'elenco o il numero di fascicolo, non la tessera. | alternativi: 1643 (qualificato come 'tessera massonica' agli atti della Commissione parlamentare P2, deposizione D'Amato 28 ottobre 1982); 1620 (NON trovato in alcun risultato di ricerca: la ricerca mirata su \"D'Amato\" + \"1620\" ha dato esito esplicitamente negativo)\n  Federico Umberto D'Amato 1620: NON REGGE — NON SUPPORTATO da alcuna fonte. Ricerca mirata su D'Amato + 1620 + P2: il numero 1620 non compare in nessun risultato; la sintesi di ricerca afferma esplicitamente che i documenti riportano 554 oppure 1643 per D'Amato, non 1620. La 'fonte non identificata' citata dall'altro ricercatore resta non identificabile anche dopo ricerca diretta. Va trattato come valore fantasma, probabilmente un errore di trascrizione di 1643. Nessuna etichetta (tessera/fascicolo/numero d'ordine) e ovviamente dichiarata, non esistendo la fonte. | alternativi: 554 (numero della voce 'Federico D'Amato (Roma, 554)' nell'elenco sequestrato, natura non dichiarata); 1643 (tessera massonica agli atti della Commissione parlamentare P2)\n  Federico Umberto D'Amato 1643: NON REGGE — E' l'unico dei tre valori la cui natura risulta DICHIARATA da una fonte ('tessera massonica' n. 1643 agli atti della Commissione parlamentare d'inchiesta sulla P2, in relazione alla deposizione di D'Amato del 28 ottobre 1982) e la fonte e di rango parlamentare, quindi piu vicina al primario delle liste ricopiate sul web. Nonostante cio NON regge, perche esiste una fonte concorrente non riconciliata: l'elenco sequestrato a Castiglion Fibocchi riporta per lo stesso nome il numero 554. Le due cifre non sono state armonizzate da nessuna delle fonti trovate (nessuna dice, ad esempio, 'tessera 1643, fascicolo 554' o 'posizione 554 in elenco'). Finche la relazione tra i due numeri non e documentata, per la regola 'nel dubbio regge = false' il valore resta sospeso. Nota metodologica: se una sola delle due cifre dovesse essere promossa come tessera vera, i risultati raccolti indicano 1643 come la candidata piu forte, non 554. | alternativi: 554 (elenco P2 sequestrato il 17 marzo 1981, voce 'dott Federico D'Amato (Roma, 554)', natura del numero non dichiarata); 1620 (privo di qualsiasi riscontro)\n  Francesco Malfatti di Montetretto 812: NON REGGE — Nessun valore alternativo trovato in due ricerche mirate: 812 e l'unica cifra associata a questo nome, e ricorre in modo coerente sia nella voce it.wikipedia sia nella riproduzione dell'elenco sequestrato ('dott Francesco Malfatti di Montetretto (Roma, 812)'). La voce biografica it.wikipedia lo qualifica come 'tessera numero 812', con adesione alla loggia nel luglio 1979 quando era segretario generale del Ministero degli Esteri: quindi, a differenza di quanto registrato dall'altro ricercatore, un'etichetta esiste. Il valore non regge lo stesso per due ragioni. (1) Catena delle fonti: l'etichetta 'tessera' compare solo nella biografia wikipediana, fonte derivata che ricopia il medesimo elenco di Castiglion Fibocchi da cui derivano anche maurizioturco.it e archivioantimafia.org; nessuna fonte primaria (atti della Commissione parlamentare P2) trovata dichiara di che colonna sia 812. (2) Prova strutturale contraria: il caso D'Amato dimostra che il numero fra parentesi dell'elenco NON coincide necessariamente con la tessera massonica (elenco 554 vs tessera 1643 agli atti della Commissione). Poiche 812 proviene dalla stessa colonna dello stesso elenco, l'etichetta 'tessera' apposta a posteriori e inaffidabile per lo stesso identico motivo. Conclusione: cifra probabilmente corretta come dato d'elenco, natura non accertata; nel dubbio regge = false. | alternativi: nessuno trovato: due ricerche mirate non hanno prodotto alcuna cifra concorrente per questo nome\nNULLA TROVATO: Stefano Giovannone, Franco Maria Malfatti\n\n### stampa-e-altri\nTROVATI:\n  Gustavo Selva: 623 [fascicolo] fonte it.wikipedia.org (Appartenenti alla P2) / centrostudimalfatti.eu (PDF \"Appartenenti alla loggia massonica P2\") (affidabilita media)\n  Gustavo Selva: 1814 [tessera] fonte it.wikipedia.org (Appartenenti alla P2) / centrostudimalfatti.eu (PDF \"Appartenenti alla loggia massonica P2\") (affidabilita media)\n  Gustavo Selva: 623 [tessera] fonte girodivite.it (\"La lista della P2 sequestrata a Licio Gelli\") / stragi.it / strano.net (elenco alfabetico P2) (affidabilita bassa)\n  Sergio Di Donato: 158 [fascicolo] fonte stragi.it (archivio/doc/66.pdf \"Elenco iscritti alla loggia P2\") / it.wikipedia.org (Appartenenti alla P2) (affidabilita media)\n  Sergio Di Donato: 158 [tessera] fonte emanuelaorlandi.altervista.org (\"Elenco dei 959 iscritti alla Loggia P2\") / archivio900.it / groups.google (nominativi lista P2) (affidabilita bassa)\n  Pietro Musumeci: 487 [tessera] fonte it.wikipedia.org (Appartenenti alla P2) / girodivite.it / powerbase.info (\"Licio Gelli's List of P2 Members\") (affidabilita bassa)\nCONFUTAZIONE:\n  Gustavo Selva 623 (etichetta dichiarata: FASCICOLO): REGGE — Nessuna fonte trovata assegna a Selva un numero di fascicolo diverso da 623. La natura del numero e' dichiarata: le descrizioni dell'elenco sequestrato a Castiglion Fibocchi precisano che i nominativi erano annotati 'con tanto di titolo, citta', numero di fascicolo' (Il Fatto Quotidiano, 17/3/2021), e la scheda Selva riporta fascicolo 623 + tessera 1814 + iniziazione 26/1/1978. Riscontro strutturale forte: Berlusconi, iniziato nella stessa tornata del 26/1/1978, ha fascicolo 0625 e tessera 1816 — numerazione contigua a quella di Selva (623/1814), il che conferma che 623 appartiene alla serie dei fascicoli e non a quella delle tessere. AVVERTENZA sulla catena delle fonti: it.wikipedia e centrostudimalfatti.eu non sono primarie, ricopiano entrambe l'elenco reso pubblico dalla Presidenza del Consiglio nel 1981 e gli atti della Commissione parlamentare (strano.net/stragi.it ospitano la relazione, archivioantimafia.org le relazioni di minoranza). Il valore regge, ma la 'doppia fonte' citata dall'altro ricercatore e' in realta' una fonte sola replicata. | alternativi: nessun valore alternativo di fascicolo trovato; 623 compare pero' anche in elenchi (girodivite, strano.net, stragi.it) dove il numero e' stampato SENZA etichetta e viene quindi facilmente scambiato per tessera\n  Gustavo Selva 1814 (etichetta dichiarata: TESSERA): REGGE — Nessuna fonte trovata assegna a Selva una tessera diversa da 1814, e la natura e' dichiarata esplicitamente ('tessera n. 1814', distinta dal fascicolo 623). Coerente con la struttura documentata della lista, che oltre al fascicolo registra 'numero di tessera', codice di affiliazione e data: caso di confronto Berlusconi = tessera 1816, cod. E.19.78, gruppo 17, fascicolo 0625, 26/1/1978. Selva (tessera 1814, fascicolo 623, 26/1/1978) e' immediatamente adiacente, come atteso per iniziati della stessa tornata. Coerente anche col dato generale secondo cui nelle carte Gelli nessuna tessera ha numero inferiore a ~1.600. AVVERTENZA: fonte non primaria (Wikipedia + PDF centrostudimalfatti, entrambi derivati dallo stesso elenco 1981); non ho potuto verificare il documento originale. | alternativi: nessuno trovato\n  Gustavo Selva 623 (etichetta dichiarata: TESSERA): NON REGGE — CONFUTATO. Errore di tipo, non di cifra: 623 e' il numero di FASCICOLO, non la tessera. La tessera di Selva e' 1814. Gli elenchi alfabetici citati (girodivite.it 'elenco_p2.pdf', strano.net 'Elenco alfabetico P2', stragi.it doc/66.pdf) riportano per ogni nome UN SOLO numero, senza intestazione di colonna: e' il numero di fascicolo, come indicano le descrizioni della lista ('nominativi annotati con titolo, citta', numero di fascicolo'). Chi legge quegli elenchi e chiama 'tessera' quel numero commette esattamente lo scambio fascicolo/tessera. Prova indipendente: nelle carte Gelli nessuna tessera scende sotto ~1.600 (Berlusconi 1816, Selva 1814), quindi un 623 non puo' essere un numero di tessera. Inoltre le tre fonti citate (girodivite / stragi.it / strano.net) non sono indipendenti: riproducono lo stesso elenco governativo del 1981. | alternativi: tessera corretta = 1814; 623 = fascicolo; in alcune trascrizioni il fascicolo compare con zero iniziale (formato tipo '0623', come '0625' per Berlusconi)\n  Sergio Di Donato 158 (etichetta dichiarata: FASCICOLO): REGGE — Nessuna fonte trovata da' a Di Donato un numero diverso da 158. La voce risulta come 'Ten. Col. Sergio Di Donato, Roma, ATTIVO, fasc. 158' nell'elenco iscritti alla loggia P2 (stragi.it archivio/doc/66.pdf) e il numero e' qualificato come fascicolo/dossier. 158 e' compatibile con la serie dei fascicoli (numeri bassi, da poche unita' a oltre 900) e incompatibile con la serie delle tessere (&gt;=~1.600), il che conferma indirettamente l'etichetta. AVVERTENZE: (a) stragi.it e it.wikipedia non sono indipendenti tra loro, discendono dallo stesso elenco del 1981; (b) nel PDF l'intestazione di colonna non e' sempre esplicita, quindi l'etichetta 'fascicolo' e' sostenuta dalla letteratura descrittiva sulla lista piu' che dal documento riprodotto. Regge, ma su base non primaria. | alternativi: nessun valore numerico alternativo trovato; il numero di TESSERA di Di Donato non risulta in nessuna fonte reperita (dato mancante, non 158)\n  Sergio Di Donato 158 (etichetta dichiarata: TESSERA): NON REGGE — CONFUTATO. Stesso errore di tipo del caso Selva: 158 e' il numero di FASCICOLO (le fonti lo qualificano come fascicolo/dossier, accanto a grado 'Ten. Col.', citta' 'Roma' e stato 'ATTIVO'), non un numero di tessera. Prova strutturale: nella documentazione Gelli le tessere stanno in una fascia alta (nessuna sotto ~1.600; esempi verificati: Berlusconi 1816, Selva 1814), mentre i fascicoli sono numeri bassi; 158 non puo' quindi essere una tessera. Le fonti citate (emanuelaorlandi.altervista.org, archivio900.it, groups.google) sono repliche amatoriali dello stesso elenco alfabetico privo di etichette di colonna: nessuna di esse dichiara 'tessera', l'etichetta e' stata aggiunta dal ricercatore. Fonti terziarie, zero valore probatorio autonomo. | alternativi: 158 = fascicolo (non tessera); tessera di Di Donato = non reperita in alcuna fonte\n  Pietro Musumeci 487 (etichetta dichiarata: TESSERA): NON REGGE — CONFUTATO. Le fonti che riportano 487 per Musumeci (Roma) lo qualificano come numero di FASCICOLO / 'file number' nell'elenco trovato presso Gelli, non come numero di tessera. Prova strutturale identica ai casi precedenti: 487 e' fuori dalla fascia delle tessere (nessuna tessera sotto ~1.600 nelle carte Gelli; riscontri: Berlusconi 1816, Selva 1814), mentre rientra pienamente nella serie dei fascicoli. Le tre fonti citate non sono indipendenti: it.wikipedia, girodivite.it e powerbase.info (che e' una traduzione inglese, 'Licio Gelli's List of P2 Members') derivano tutte dallo stesso elenco alfabetico del 1981, in cui compare un solo numero per nome e senza intestazione di colonna. Nessuna di esse dichiara 'tessera': l'etichetta e' un'inferenza del ricercatore, ed e' l'inferenza sbagliata. | alternativi: 487 = fascicolo (Col./Gen. Pietro Musumeci, Roma); numero di TESSERA di Musumeci non reperito in alcuna fonte. Attenzione a un ulteriore rischio di confusione su questo nome: 487 circola anche come semplice numero d'ordine in liste rinumerate, e nelle cronache Musumeci e' associato ad altri numeri estranei alla P2 (es. date/atti del depistaggio Bologna) da non scambiare per matricole.\nNULLA TROVATO: —\n\n### finanza-vaticano\nTROVATI:\n  Roberto Calvi: 519 [non dichiarata] fonte it.wikipedia.org (voce \"Appartenenti alla P2\"), ripreso da 19luglio1992.com e girodivite.it (PDF \"La lista della P2 sequestrata a Licio Gelli\") (affidabilita media)\n  Umberto Ortolani: 494 [non dichiarata] fonte it.wikipedia.org (voce \"Appartenenti alla P2\") / peacelink.it / 19luglio1992.com (affidabilita media)\n  Michele Sindona: 501 [non dichiarata] fonte archive.nuovaresistenza.org / strano.net (\"Elenco alfabetico P2\") / it.wikipedia.org (\"Appartenenti alla P2\") (affidabilita bassa)\nCONFUTAZIONE:\n  Roberto Calvi 519: NON REGGE — CONFUTATO SULLA NATURA. Lo stesso numero 519 viene etichettato in modo incompatibile da fonti diverse: alcune sintesi di ricerca lo danno come numero di tessera / 'membership card number 519' (it.wikipedia.org 'Appartenenti alla P2', questionecivile.it, 19luglio1992.com), altre lo danno come 'fascicolo (file) number 519' per 'Roberto Calvi di Milano' (ricerca su elenco/girodivite.it, forma '0519' con zero iniziale, tipica della colonna fascicolo). Le due etichette non possono essere entrambe vere: le schede P2 sequestrate contengono tessera E fascicolo come campi DISTINTI e con valori diversi (esempio documentato dalla ricerca: tessera 1816, codice E.19.78, gruppo 17, fascicolo 0625, data affiliazione 26 gennaio 1978 — sitocomunista.it / articolo21.org). Quindi 519 e' o l'uno o l'altro, e nessuna fonte trovata lo dichiara in modo univoco. In piu' le tre fonti citate dall'altro ricercatore NON sono indipendenti: it.wikipedia.org 'Appartenenti alla P2' e' la voce a monte, mentre 19luglio1992.com e il PDF di girodivite.it ricopiano la medesima trascrizione dell'elenco sequestrato; nessuna e' primaria (l'atto primario sarebbe l'elenco/le schede depositate agli atti della Commissione parlamentare P2, cfr. archivioflamigni.org 'indice-atti-commissione-p2.pdf' e archivioantimafia.org, non consultati). Va inoltre ricordato che, per Il Fatto Quotidiano (17 marzo 2021), gli elenchi con 962 nomi non erano completi: la numerazione di quelle liste non e' un registro esaustivo. Etichetta corretta allo stato: NON DICHIARATA. | alternativi: Nessun valore numerico alternativo emerso: 519 e' l'unico numero associato a Calvi in tutte le ricerche. Varia pero' la NATURA attribuita: 519 come tessera (it.wikipedia.org 'Appartenenti alla P2', questionecivile.it, 19luglio1992.com) vs 519/0519 come numero di fascicolo (trascrizioni dell'elenco sequestrato, girodivite.it). Da verificare su fonte primaria quale dei due campi valga 519 e quale sia l'altro.\n  Umberto Ortolani 494: NON REGGE — CONFUTATO SUL VALORE. Esiste una fonte che da' per Ortolani un numero DIVERSO: secondo il registro degli iscritti sequestrato a Castiglion Fibocchi, Ortolani risulta con tessera P2 n. 1622 e codice E1977 (ripreso da emanuelaorlandi.altervista.org, 'Il sequestro di Amedeo Ortolani', e confermato in seconda ricerca). Il valore 494 compare invece nelle trascrizioni dell'elenco alfabetico nella forma 'avv Umberto Ortolani (Roma, 494)' — cioe' un numero fra parentesi accanto al nome e alla citta', senza intestazione di colonna che dichiari se sia tessera, fascicolo o progressivo d'elenco. Data la struttura delle schede P2 (tessera e fascicolo sono campi distinti con valori diversi: es. tessera 1816 / fascicolo 0625), la coesistenza di 494 e 1622 e' pienamente compatibile con l'ipotesi che 494 sia il FASCICOLO (o il numero d'ordine) e 1622 la TESSERA — ossia che il valore raccolto sia una tessera spacciata per tale mentre e' un altro campo. Le fonti citate dall'altro ricercatore (it.wikipedia.org 'Appartenenti alla P2', peacelink.it, 19luglio1992.com) sono tutte derivate dalla stessa trascrizione dell'elenco, nessuna primaria e nessuna indipendente. Regge = false: valore contraddetto E natura non dichiarata. | alternativi: 1622 — dichiarato esplicitamente come TESSERA P2 (con codice E1977), attribuito al registro degli iscritti sequestrato a Castiglion Fibocchi (emanuelaorlandi.altervista.org). Contro 494, riportato senza etichetta nell'elenco alfabetico ('avv Umberto Ortolani (Roma, 494)', it.wikipedia.org / peacelink.it / 19luglio1992.com). Ipotesi da verificare su fonte primaria: 494 = fascicolo o numero d'ordine, 1622 = tessera.\n  Michele Sindona 501: NON REGGE — NON CONFUTATO SUL VALORE, MA NON REGGE PER NATURA E PER CATENA DI FONTI. Nessuna ricerca ha prodotto un valore numerico alternativo: 501 (talvolta scritto 0501, con zero iniziale) e' l'unico numero associato a Sindona. Tuttavia: (a) la fonte a monte e' la voce it.wikipedia.org 'Appartenenti alla P2', che lo riporta come semplice numero fra parentesi — 'Michele Sindona (501, morto)' — senza intestazione che dichiari se sia tessera, fascicolo o progressivo; archive.nuovaresistenza.org e strano.net ('Elenco alfabetico P2') sono ricopiature della stessa trascrizione, non fonti indipendenti ne' primarie; (b) la forma '0501' a quattro cifre con zero iniziale coincide con il formato della colonna FASCICOLO documentato dalle schede P2 (es. fascicolo 0625 a fronte di tessera 1816), quindi il sospetto che 501 sia un fascicolo presentato come tessera non e' eliminabile; (c) vale lo stesso vizio riscontrato su Calvi, dove il numero 519 tratto dalla medesima lista viene etichettato ora come tessera ora come fascicolo. Poiche' la natura non e' dichiarata da alcuna fonte verificata e la catena e' interamente derivata, per la regola del dubbio: regge = false. Etichetta allo stato: NON DICHIARATA. Serve riscontro sulle schede/atti della Commissione parlamentare P2. | alternativi: Nessun valore alternativo trovato nelle due ricerche dedicate: 501/0501 e' l'unico numero attestato per Sindona. L'unica variazione e' formale (501 vs 0501) e riguarda la possibile natura del campo, non la cifra.\nNULLA TROVATO: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"workflowProgress":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"workflow_phase",</w:t>
      </w:r>
    </w:p>
    <w:p>
      <w:pPr>
        <w:spacing w:after="120" w:line="276"/>
        <w:jc w:val="both"/>
      </w:pPr>
      <w:r>
        <w:rPr>
          <w:rFonts w:ascii="Barlow Semi Condensed" w:cs="Barlow Semi Condensed" w:eastAsia="Barlow Semi Condensed" w:hAnsi="Barlow Semi Condensed"/>
          <w:sz w:val="24"/>
          <w:szCs w:val="24"/>
        </w:rPr>
        <w:t xml:space="preserve">      "index": 1,</w:t>
      </w:r>
    </w:p>
    <w:p>
      <w:pPr>
        <w:spacing w:after="120" w:line="276"/>
        <w:jc w:val="both"/>
      </w:pPr>
      <w:r>
        <w:rPr>
          <w:rFonts w:ascii="Barlow Semi Condensed" w:cs="Barlow Semi Condensed" w:eastAsia="Barlow Semi Condensed" w:hAnsi="Barlow Semi Condensed"/>
          <w:sz w:val="24"/>
          <w:szCs w:val="24"/>
        </w:rPr>
        <w:t xml:space="preserve">      "title": "Raccolta"</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"workflow_phase",</w:t>
      </w:r>
    </w:p>
    <w:p>
      <w:pPr>
        <w:spacing w:after="120" w:line="276"/>
        <w:jc w:val="both"/>
      </w:pPr>
      <w:r>
        <w:rPr>
          <w:rFonts w:ascii="Barlow Semi Condensed" w:cs="Barlow Semi Condensed" w:eastAsia="Barlow Semi Condensed" w:hAnsi="Barlow Semi Condensed"/>
          <w:sz w:val="24"/>
          <w:szCs w:val="24"/>
        </w:rPr>
        <w:t xml:space="preserve">      "index": 2,</w:t>
      </w:r>
    </w:p>
    <w:p>
      <w:pPr>
        <w:spacing w:after="120" w:line="276"/>
        <w:jc w:val="both"/>
      </w:pPr>
      <w:r>
        <w:rPr>
          <w:rFonts w:ascii="Barlow Semi Condensed" w:cs="Barlow Semi Condensed" w:eastAsia="Barlow Semi Condensed" w:hAnsi="Barlow Semi Condensed"/>
          <w:sz w:val="24"/>
          <w:szCs w:val="24"/>
        </w:rPr>
        <w:t xml:space="preserve">      "title": "Confutazione"</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"workflow_phase",</w:t>
      </w:r>
    </w:p>
    <w:p>
      <w:pPr>
        <w:spacing w:after="120" w:line="276"/>
        <w:jc w:val="both"/>
      </w:pPr>
      <w:r>
        <w:rPr>
          <w:rFonts w:ascii="Barlow Semi Condensed" w:cs="Barlow Semi Condensed" w:eastAsia="Barlow Semi Condensed" w:hAnsi="Barlow Semi Condensed"/>
          <w:sz w:val="24"/>
          <w:szCs w:val="24"/>
        </w:rPr>
        <w:t xml:space="preserve">      "index": 3,</w:t>
      </w:r>
    </w:p>
    <w:p>
      <w:pPr>
        <w:spacing w:after="120" w:line="276"/>
        <w:jc w:val="both"/>
      </w:pPr>
      <w:r>
        <w:rPr>
          <w:rFonts w:ascii="Barlow Semi Condensed" w:cs="Barlow Semi Condensed" w:eastAsia="Barlow Semi Condensed" w:hAnsi="Barlow Semi Condensed"/>
          <w:sz w:val="24"/>
          <w:szCs w:val="24"/>
        </w:rPr>
        <w:t xml:space="preserve">      "title": "Sintesi"</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w:t>
      </w:r>
    </w:p>
    <w:p>
      <w:pPr>
        <w:spacing w:after="120" w:line="276"/>
        <w:jc w:val="both"/>
      </w:pPr>
      <w:r>
        <w:rPr>
          <w:rFonts w:ascii="Barlow Semi Condensed" w:cs="Barlow Semi Condensed" w:eastAsia="Barlow Semi Condensed" w:hAnsi="Barlow Semi Condensed"/>
          <w:sz w:val="24"/>
          <w:szCs w:val="24"/>
        </w:rPr>
        <w:t xml:space="preserve">      "label": "cerca:controlli",</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"afbb99018b1af3c2a",</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1787842859734,</w:t>
      </w:r>
    </w:p>
    <w:p>
      <w:pPr>
        <w:spacing w:after="120" w:line="276"/>
        <w:jc w:val="both"/>
      </w:pPr>
      <w:r>
        <w:rPr>
          <w:rFonts w:ascii="Barlow Semi Condensed" w:cs="Barlow Semi Condensed" w:eastAsia="Barlow Semi Condensed" w:hAnsi="Barlow Semi Condensed"/>
          <w:sz w:val="24"/>
          <w:szCs w:val="24"/>
        </w:rPr>
        <w:t xml:space="preserve">      "queuedAt": 1787842857705,</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"CALIBRAZIONE DEI TRE CONTROLLI. Berlusconi e Costanzo si co…",</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1787842988581,</w:t>
      </w:r>
    </w:p>
    <w:p>
      <w:pPr>
        <w:spacing w:after="120" w:line="276"/>
        <w:jc w:val="both"/>
      </w:pPr>
      <w:r>
        <w:rPr>
          <w:rFonts w:ascii="Barlow Semi Condensed" w:cs="Barlow Semi Condensed" w:eastAsia="Barlow Semi Condensed" w:hAnsi="Barlow Semi Condensed"/>
          <w:sz w:val="24"/>
          <w:szCs w:val="24"/>
        </w:rPr>
        <w:t xml:space="preserve">      "tokens": 59181,</w:t>
      </w:r>
    </w:p>
    <w:p>
      <w:pPr>
        <w:spacing w:after="120" w:line="276"/>
        <w:jc w:val="both"/>
      </w:pPr>
      <w:r>
        <w:rPr>
          <w:rFonts w:ascii="Barlow Semi Condensed" w:cs="Barlow Semi Condensed" w:eastAsia="Barlow Semi Condensed" w:hAnsi="Barlow Semi Condensed"/>
          <w:sz w:val="24"/>
          <w:szCs w:val="24"/>
        </w:rPr>
        <w:t xml:space="preserve">      "toolCalls": 9,</w:t>
      </w:r>
    </w:p>
    <w:p>
      <w:pPr>
        <w:spacing w:after="120" w:line="276"/>
        <w:jc w:val="both"/>
      </w:pPr>
      <w:r>
        <w:rPr>
          <w:rFonts w:ascii="Barlow Semi Condensed" w:cs="Barlow Semi Condensed" w:eastAsia="Barlow Semi Condensed" w:hAnsi="Barlow Semi Condensed"/>
          <w:sz w:val="24"/>
          <w:szCs w:val="24"/>
        </w:rPr>
        <w:t xml:space="preserve">      "durationMs": 127579,</w:t>
      </w:r>
    </w:p>
    <w:p>
      <w:pPr>
        <w:spacing w:after="120" w:line="276"/>
        <w:jc w:val="both"/>
      </w:pPr>
      <w:r>
        <w:rPr>
          <w:rFonts w:ascii="Barlow Semi Condensed" w:cs="Barlow Semi Condensed" w:eastAsia="Barlow Semi Condensed" w:hAnsi="Barlow Semi Condensed"/>
          <w:sz w:val="24"/>
          <w:szCs w:val="24"/>
        </w:rPr>
        <w:t xml:space="preserve">      "resultPreview": "{\"trovati\":[{\"nome\":\"Silvio Berlusconi\",\"valore\":\"1816\",\"etichetta\":\"tessera\",\"fonte\":\"articolo21.org; worstitaly.wordpress.com; associazioneomilos.wordpress.com; cosmogonia.org; strano.net\",\"affidabilita\":\"alta\",\"contesto\":\"Numero riportato concordemente da piu fonti e dichiarato esplicitamente come TESSERA (il titolo dell articolo di Articolo21 e letteralmente 'Tessera 1816 della P2'). Fa parte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2,</w:t>
      </w:r>
    </w:p>
    <w:p>
      <w:pPr>
        <w:spacing w:after="120" w:line="276"/>
        <w:jc w:val="both"/>
      </w:pPr>
      <w:r>
        <w:rPr>
          <w:rFonts w:ascii="Barlow Semi Condensed" w:cs="Barlow Semi Condensed" w:eastAsia="Barlow Semi Condensed" w:hAnsi="Barlow Semi Condensed"/>
          <w:sz w:val="24"/>
          <w:szCs w:val="24"/>
        </w:rPr>
        <w:t xml:space="preserve">      "label": "cerca:militari-1",</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"a887928c18231ea7d",</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1787842859525,</w:t>
      </w:r>
    </w:p>
    <w:p>
      <w:pPr>
        <w:spacing w:after="120" w:line="276"/>
        <w:jc w:val="both"/>
      </w:pPr>
      <w:r>
        <w:rPr>
          <w:rFonts w:ascii="Barlow Semi Condensed" w:cs="Barlow Semi Condensed" w:eastAsia="Barlow Semi Condensed" w:hAnsi="Barlow Semi Condensed"/>
          <w:sz w:val="24"/>
          <w:szCs w:val="24"/>
        </w:rPr>
        <w:t xml:space="preserve">      "queuedAt": 1787842857705,</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e limiti. Nove ricerche in tutto, tre per nome, solo…",</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1787842959723,</w:t>
      </w:r>
    </w:p>
    <w:p>
      <w:pPr>
        <w:spacing w:after="120" w:line="276"/>
        <w:jc w:val="both"/>
      </w:pPr>
      <w:r>
        <w:rPr>
          <w:rFonts w:ascii="Barlow Semi Condensed" w:cs="Barlow Semi Condensed" w:eastAsia="Barlow Semi Condensed" w:hAnsi="Barlow Semi Condensed"/>
          <w:sz w:val="24"/>
          <w:szCs w:val="24"/>
        </w:rPr>
        <w:t xml:space="preserve">      "tokens": 60353,</w:t>
      </w:r>
    </w:p>
    <w:p>
      <w:pPr>
        <w:spacing w:after="120" w:line="276"/>
        <w:jc w:val="both"/>
      </w:pPr>
      <w:r>
        <w:rPr>
          <w:rFonts w:ascii="Barlow Semi Condensed" w:cs="Barlow Semi Condensed" w:eastAsia="Barlow Semi Condensed" w:hAnsi="Barlow Semi Condensed"/>
          <w:sz w:val="24"/>
          <w:szCs w:val="24"/>
        </w:rPr>
        <w:t xml:space="preserve">      "toolCalls": 11,</w:t>
      </w:r>
    </w:p>
    <w:p>
      <w:pPr>
        <w:spacing w:after="120" w:line="276"/>
        <w:jc w:val="both"/>
      </w:pPr>
      <w:r>
        <w:rPr>
          <w:rFonts w:ascii="Barlow Semi Condensed" w:cs="Barlow Semi Condensed" w:eastAsia="Barlow Semi Condensed" w:hAnsi="Barlow Semi Condensed"/>
          <w:sz w:val="24"/>
          <w:szCs w:val="24"/>
        </w:rPr>
        <w:t xml:space="preserve">      "durationMs": 100194,</w:t>
      </w:r>
    </w:p>
    <w:p>
      <w:pPr>
        <w:spacing w:after="120" w:line="276"/>
        <w:jc w:val="both"/>
      </w:pPr>
      <w:r>
        <w:rPr>
          <w:rFonts w:ascii="Barlow Semi Condensed" w:cs="Barlow Semi Condensed" w:eastAsia="Barlow Semi Condensed" w:hAnsi="Barlow Semi Condensed"/>
          <w:sz w:val="24"/>
          <w:szCs w:val="24"/>
        </w:rPr>
        <w:t xml:space="preserve">      "resultPreview": "{\"trovati\":[{\"nome\":\"Giuseppe Santovito\",\"valore\":\"527\",\"etichetta\":\"non dichiarata\",\"fonte\":\"it.wikipedia.org (voce \\\"Appartenenti alla P2\\\" / \\\"Lista degli appartenenti alla P2\\\"), ripreso anche da lespresso.it e girodivite.it\",\"affidabilita\":\"media\",\"affidariporta\":\"sintesi WebSearch su elenchi alfabetici P2; nessuna fonte apre la pagina, non verificato sul documento originale\",\"contesto\":\"Il n…"</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3,</w:t>
      </w:r>
    </w:p>
    <w:p>
      <w:pPr>
        <w:spacing w:after="120" w:line="276"/>
        <w:jc w:val="both"/>
      </w:pPr>
      <w:r>
        <w:rPr>
          <w:rFonts w:ascii="Barlow Semi Condensed" w:cs="Barlow Semi Condensed" w:eastAsia="Barlow Semi Condensed" w:hAnsi="Barlow Semi Condensed"/>
          <w:sz w:val="24"/>
          <w:szCs w:val="24"/>
        </w:rPr>
        <w:t xml:space="preserve">      "label": "cerca:militari-2",</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"a89ddbe46c9dc30e5",</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1787842963377,</w:t>
      </w:r>
    </w:p>
    <w:p>
      <w:pPr>
        <w:spacing w:after="120" w:line="276"/>
        <w:jc w:val="both"/>
      </w:pPr>
      <w:r>
        <w:rPr>
          <w:rFonts w:ascii="Barlow Semi Condensed" w:cs="Barlow Semi Condensed" w:eastAsia="Barlow Semi Condensed" w:hAnsi="Barlow Semi Condensed"/>
          <w:sz w:val="24"/>
          <w:szCs w:val="24"/>
        </w:rPr>
        <w:t xml:space="preserve">      "queuedAt": 1787842857705,</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E LIMITI: solo WebSearch (sintesi di risultati); nes…",</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1787843080948,</w:t>
      </w:r>
    </w:p>
    <w:p>
      <w:pPr>
        <w:spacing w:after="120" w:line="276"/>
        <w:jc w:val="both"/>
      </w:pPr>
      <w:r>
        <w:rPr>
          <w:rFonts w:ascii="Barlow Semi Condensed" w:cs="Barlow Semi Condensed" w:eastAsia="Barlow Semi Condensed" w:hAnsi="Barlow Semi Condensed"/>
          <w:sz w:val="24"/>
          <w:szCs w:val="24"/>
        </w:rPr>
        <w:t xml:space="preserve">      "tokens": 62706,</w:t>
      </w:r>
    </w:p>
    <w:p>
      <w:pPr>
        <w:spacing w:after="120" w:line="276"/>
        <w:jc w:val="both"/>
      </w:pPr>
      <w:r>
        <w:rPr>
          <w:rFonts w:ascii="Barlow Semi Condensed" w:cs="Barlow Semi Condensed" w:eastAsia="Barlow Semi Condensed" w:hAnsi="Barlow Semi Condensed"/>
          <w:sz w:val="24"/>
          <w:szCs w:val="24"/>
        </w:rPr>
        <w:t xml:space="preserve">      "toolCalls": 12,</w:t>
      </w:r>
    </w:p>
    <w:p>
      <w:pPr>
        <w:spacing w:after="120" w:line="276"/>
        <w:jc w:val="both"/>
      </w:pPr>
      <w:r>
        <w:rPr>
          <w:rFonts w:ascii="Barlow Semi Condensed" w:cs="Barlow Semi Condensed" w:eastAsia="Barlow Semi Condensed" w:hAnsi="Barlow Semi Condensed"/>
          <w:sz w:val="24"/>
          <w:szCs w:val="24"/>
        </w:rPr>
        <w:t xml:space="preserve">      "durationMs": 117570,</w:t>
      </w:r>
    </w:p>
    <w:p>
      <w:pPr>
        <w:spacing w:after="120" w:line="276"/>
        <w:jc w:val="both"/>
      </w:pPr>
      <w:r>
        <w:rPr>
          <w:rFonts w:ascii="Barlow Semi Condensed" w:cs="Barlow Semi Condensed" w:eastAsia="Barlow Semi Condensed" w:hAnsi="Barlow Semi Condensed"/>
          <w:sz w:val="24"/>
          <w:szCs w:val="24"/>
        </w:rPr>
        <w:t xml:space="preserve">      "resultPreview": "{\"trovati\":[{\"nome\":\"Giovanni Torrisi\",\"valore\":\"631\",\"etichetta\":\"tessera\",\"fonte\":\"it.wikipedia.org (Appartenenti alla P2 / Lista degli appartenenti alla P2), strano.net (Elenco alfabetico P2)\",\"affidabilita\":\"media\",\"affidariporta\":\"Piu ricerche indipendenti restituiscono lo stesso numero associato a 'Amm. Giovanni Torrisi'; due sintesi su tre lo glossano esplicitamente come tessera / membershi…"</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4,</w:t>
      </w:r>
    </w:p>
    <w:p>
      <w:pPr>
        <w:spacing w:after="120" w:line="276"/>
        <w:jc w:val="both"/>
      </w:pPr>
      <w:r>
        <w:rPr>
          <w:rFonts w:ascii="Barlow Semi Condensed" w:cs="Barlow Semi Condensed" w:eastAsia="Barlow Semi Condensed" w:hAnsi="Barlow Semi Condensed"/>
          <w:sz w:val="24"/>
          <w:szCs w:val="24"/>
        </w:rPr>
        <w:t xml:space="preserve">      "label": "cerca:guardia-finanza",</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"ad3a325e1fb1cb90f",</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1787842991770,</w:t>
      </w:r>
    </w:p>
    <w:p>
      <w:pPr>
        <w:spacing w:after="120" w:line="276"/>
        <w:jc w:val="both"/>
      </w:pPr>
      <w:r>
        <w:rPr>
          <w:rFonts w:ascii="Barlow Semi Condensed" w:cs="Barlow Semi Condensed" w:eastAsia="Barlow Semi Condensed" w:hAnsi="Barlow Semi Condensed"/>
          <w:sz w:val="24"/>
          <w:szCs w:val="24"/>
        </w:rPr>
        <w:t xml:space="preserve">      "queuedAt": 1787842857705,</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solo WebSearch (nessun WebFetch tentato, come da vi…",</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1787843093216,</w:t>
      </w:r>
    </w:p>
    <w:p>
      <w:pPr>
        <w:spacing w:after="120" w:line="276"/>
        <w:jc w:val="both"/>
      </w:pPr>
      <w:r>
        <w:rPr>
          <w:rFonts w:ascii="Barlow Semi Condensed" w:cs="Barlow Semi Condensed" w:eastAsia="Barlow Semi Condensed" w:hAnsi="Barlow Semi Condensed"/>
          <w:sz w:val="24"/>
          <w:szCs w:val="24"/>
        </w:rPr>
        <w:t xml:space="preserve">      "tokens": 59174,</w:t>
      </w:r>
    </w:p>
    <w:p>
      <w:pPr>
        <w:spacing w:after="120" w:line="276"/>
        <w:jc w:val="both"/>
      </w:pPr>
      <w:r>
        <w:rPr>
          <w:rFonts w:ascii="Barlow Semi Condensed" w:cs="Barlow Semi Condensed" w:eastAsia="Barlow Semi Condensed" w:hAnsi="Barlow Semi Condensed"/>
          <w:sz w:val="24"/>
          <w:szCs w:val="24"/>
        </w:rPr>
        <w:t xml:space="preserve">      "toolCalls": 9,</w:t>
      </w:r>
    </w:p>
    <w:p>
      <w:pPr>
        <w:spacing w:after="120" w:line="276"/>
        <w:jc w:val="both"/>
      </w:pPr>
      <w:r>
        <w:rPr>
          <w:rFonts w:ascii="Barlow Semi Condensed" w:cs="Barlow Semi Condensed" w:eastAsia="Barlow Semi Condensed" w:hAnsi="Barlow Semi Condensed"/>
          <w:sz w:val="24"/>
          <w:szCs w:val="24"/>
        </w:rPr>
        <w:t xml:space="preserve">      "durationMs": 101446,</w:t>
      </w:r>
    </w:p>
    <w:p>
      <w:pPr>
        <w:spacing w:after="120" w:line="276"/>
        <w:jc w:val="both"/>
      </w:pPr>
      <w:r>
        <w:rPr>
          <w:rFonts w:ascii="Barlow Semi Condensed" w:cs="Barlow Semi Condensed" w:eastAsia="Barlow Semi Condensed" w:hAnsi="Barlow Semi Condensed"/>
          <w:sz w:val="24"/>
          <w:szCs w:val="24"/>
        </w:rPr>
        <w:t xml:space="preserve">      "resultPreview": "{\"trovati\":[{\"nome\":\"Raffaele Giudice\",\"valore\":\"535\",\"etichetta\":\"non dichiarata\",\"fonte\":\"maurizioturco.it (\\\"P2 * la lista della P2 sequestrata a Licio Gelli\\\"); it.wikipedia.org \\\"Lista degli appartenenti alla P2\\\"; girodivite.it (PDF elenco_p2)\",\"affidabilita\":\"media\",\"contesto\":\"La voce compare nel formato standard degli elenchi pubblicati: \\\"gen. Raffaele Giudice (Roma, 535) (gia comandante…"</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5,</w:t>
      </w:r>
    </w:p>
    <w:p>
      <w:pPr>
        <w:spacing w:after="120" w:line="276"/>
        <w:jc w:val="both"/>
      </w:pPr>
      <w:r>
        <w:rPr>
          <w:rFonts w:ascii="Barlow Semi Condensed" w:cs="Barlow Semi Condensed" w:eastAsia="Barlow Semi Condensed" w:hAnsi="Barlow Semi Condensed"/>
          <w:sz w:val="24"/>
          <w:szCs w:val="24"/>
        </w:rPr>
        <w:t xml:space="preserve">      "label": "cerca:magistrati",</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"ae04b922b75ec311f",</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1787843084843,</w:t>
      </w:r>
    </w:p>
    <w:p>
      <w:pPr>
        <w:spacing w:after="120" w:line="276"/>
        <w:jc w:val="both"/>
      </w:pPr>
      <w:r>
        <w:rPr>
          <w:rFonts w:ascii="Barlow Semi Condensed" w:cs="Barlow Semi Condensed" w:eastAsia="Barlow Semi Condensed" w:hAnsi="Barlow Semi Condensed"/>
          <w:sz w:val="24"/>
          <w:szCs w:val="24"/>
        </w:rPr>
        <w:t xml:space="preserve">      "queuedAt": 1787842857706,</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E LIMITI. Sette ricerche complessive (3 Spagnuolo, 3…",</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1787843188715,</w:t>
      </w:r>
    </w:p>
    <w:p>
      <w:pPr>
        <w:spacing w:after="120" w:line="276"/>
        <w:jc w:val="both"/>
      </w:pPr>
      <w:r>
        <w:rPr>
          <w:rFonts w:ascii="Barlow Semi Condensed" w:cs="Barlow Semi Condensed" w:eastAsia="Barlow Semi Condensed" w:hAnsi="Barlow Semi Condensed"/>
          <w:sz w:val="24"/>
          <w:szCs w:val="24"/>
        </w:rPr>
        <w:t xml:space="preserve">      "tokens": 61168,</w:t>
      </w:r>
    </w:p>
    <w:p>
      <w:pPr>
        <w:spacing w:after="120" w:line="276"/>
        <w:jc w:val="both"/>
      </w:pPr>
      <w:r>
        <w:rPr>
          <w:rFonts w:ascii="Barlow Semi Condensed" w:cs="Barlow Semi Condensed" w:eastAsia="Barlow Semi Condensed" w:hAnsi="Barlow Semi Condensed"/>
          <w:sz w:val="24"/>
          <w:szCs w:val="24"/>
        </w:rPr>
        <w:t xml:space="preserve">      "toolCalls": 11,</w:t>
      </w:r>
    </w:p>
    <w:p>
      <w:pPr>
        <w:spacing w:after="120" w:line="276"/>
        <w:jc w:val="both"/>
      </w:pPr>
      <w:r>
        <w:rPr>
          <w:rFonts w:ascii="Barlow Semi Condensed" w:cs="Barlow Semi Condensed" w:eastAsia="Barlow Semi Condensed" w:hAnsi="Barlow Semi Condensed"/>
          <w:sz w:val="24"/>
          <w:szCs w:val="24"/>
        </w:rPr>
        <w:t xml:space="preserve">      "durationMs": 103871,</w:t>
      </w:r>
    </w:p>
    <w:p>
      <w:pPr>
        <w:spacing w:after="120" w:line="276"/>
        <w:jc w:val="both"/>
      </w:pPr>
      <w:r>
        <w:rPr>
          <w:rFonts w:ascii="Barlow Semi Condensed" w:cs="Barlow Semi Condensed" w:eastAsia="Barlow Semi Condensed" w:hAnsi="Barlow Semi Condensed"/>
          <w:sz w:val="24"/>
          <w:szCs w:val="24"/>
        </w:rPr>
        <w:t xml:space="preserve">      "resultPreview": "{\"trovati\":[{\"nome\":\"Carmelo Spagnuolo\",\"valore\":\"545\",\"etichetta\":\"non dichiarata\",\"fonte\":\"it.wikipedia.org (voce \\\"Appartenenti alla P2\\\" / \\\"Lista degli appartenenti alla P2\\\"), ripreso anche da profilbaru.com\",\"affidabilita\":\"media\",\"affidariporta\":\"La voce enciclopedica italiana sugli appartenenti alla P2, con la stessa cifra ricomparsa in tre ricerche indipendenti sullo stesso nome; nessuna…"</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6,</w:t>
      </w:r>
    </w:p>
    <w:p>
      <w:pPr>
        <w:spacing w:after="120" w:line="276"/>
        <w:jc w:val="both"/>
      </w:pPr>
      <w:r>
        <w:rPr>
          <w:rFonts w:ascii="Barlow Semi Condensed" w:cs="Barlow Semi Condensed" w:eastAsia="Barlow Semi Condensed" w:hAnsi="Barlow Semi Condensed"/>
          <w:sz w:val="24"/>
          <w:szCs w:val="24"/>
        </w:rPr>
        <w:t xml:space="preserve">      "label": "cerca:servizi-esteri",</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"ae50b674d4eb91555",</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1787843096900,</w:t>
      </w:r>
    </w:p>
    <w:p>
      <w:pPr>
        <w:spacing w:after="120" w:line="276"/>
        <w:jc w:val="both"/>
      </w:pPr>
      <w:r>
        <w:rPr>
          <w:rFonts w:ascii="Barlow Semi Condensed" w:cs="Barlow Semi Condensed" w:eastAsia="Barlow Semi Condensed" w:hAnsi="Barlow Semi Condensed"/>
          <w:sz w:val="24"/>
          <w:szCs w:val="24"/>
        </w:rPr>
        <w:t xml:space="preserve">      "queuedAt": 1787842857706,</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solo WebSearch (nessun WebFetch, nessun documento p…",</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1787843199044,</w:t>
      </w:r>
    </w:p>
    <w:p>
      <w:pPr>
        <w:spacing w:after="120" w:line="276"/>
        <w:jc w:val="both"/>
      </w:pPr>
      <w:r>
        <w:rPr>
          <w:rFonts w:ascii="Barlow Semi Condensed" w:cs="Barlow Semi Condensed" w:eastAsia="Barlow Semi Condensed" w:hAnsi="Barlow Semi Condensed"/>
          <w:sz w:val="24"/>
          <w:szCs w:val="24"/>
        </w:rPr>
        <w:t xml:space="preserve">      "tokens": 60902,</w:t>
      </w:r>
    </w:p>
    <w:p>
      <w:pPr>
        <w:spacing w:after="120" w:line="276"/>
        <w:jc w:val="both"/>
      </w:pPr>
      <w:r>
        <w:rPr>
          <w:rFonts w:ascii="Barlow Semi Condensed" w:cs="Barlow Semi Condensed" w:eastAsia="Barlow Semi Condensed" w:hAnsi="Barlow Semi Condensed"/>
          <w:sz w:val="24"/>
          <w:szCs w:val="24"/>
        </w:rPr>
        <w:t xml:space="preserve">      "toolCalls": 10,</w:t>
      </w:r>
    </w:p>
    <w:p>
      <w:pPr>
        <w:spacing w:after="120" w:line="276"/>
        <w:jc w:val="both"/>
      </w:pPr>
      <w:r>
        <w:rPr>
          <w:rFonts w:ascii="Barlow Semi Condensed" w:cs="Barlow Semi Condensed" w:eastAsia="Barlow Semi Condensed" w:hAnsi="Barlow Semi Condensed"/>
          <w:sz w:val="24"/>
          <w:szCs w:val="24"/>
        </w:rPr>
        <w:t xml:space="preserve">      "durationMs": 102143,</w:t>
      </w:r>
    </w:p>
    <w:p>
      <w:pPr>
        <w:spacing w:after="120" w:line="276"/>
        <w:jc w:val="both"/>
      </w:pPr>
      <w:r>
        <w:rPr>
          <w:rFonts w:ascii="Barlow Semi Condensed" w:cs="Barlow Semi Condensed" w:eastAsia="Barlow Semi Condensed" w:hAnsi="Barlow Semi Condensed"/>
          <w:sz w:val="24"/>
          <w:szCs w:val="24"/>
        </w:rPr>
        <w:t xml:space="preserve">      "resultPreview": "{\"trovati\":[{\"nome\":\"Federico Umberto D'Amato\",\"valore\":\"554\",\"etichetta\":\"tessera\",\"fonte\":\"it.wikipedia.org (Appartenenti alla P2); brogi.info; peacelink.it\",\"affidabilita\":\"alta\",\"affidariporta\":\"Ricorrente e concorde in piu risultati di ricerca indipendenti; e il numero esplicitamente chiamato 'tessera' dalle fonti.\",\"contesto\":\"Elencato come 'Roma', qualifica 'Direttore Ufficio Affari Riserva…"</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7,</w:t>
      </w:r>
    </w:p>
    <w:p>
      <w:pPr>
        <w:spacing w:after="120" w:line="276"/>
        <w:jc w:val="both"/>
      </w:pPr>
      <w:r>
        <w:rPr>
          <w:rFonts w:ascii="Barlow Semi Condensed" w:cs="Barlow Semi Condensed" w:eastAsia="Barlow Semi Condensed" w:hAnsi="Barlow Semi Condensed"/>
          <w:sz w:val="24"/>
          <w:szCs w:val="24"/>
        </w:rPr>
        <w:t xml:space="preserve">      "label": "cerca:stampa-e-altri",</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"a03dd467f5d9a2f4a",</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1787843196255,</w:t>
      </w:r>
    </w:p>
    <w:p>
      <w:pPr>
        <w:spacing w:after="120" w:line="276"/>
        <w:jc w:val="both"/>
      </w:pPr>
      <w:r>
        <w:rPr>
          <w:rFonts w:ascii="Barlow Semi Condensed" w:cs="Barlow Semi Condensed" w:eastAsia="Barlow Semi Condensed" w:hAnsi="Barlow Semi Condensed"/>
          <w:sz w:val="24"/>
          <w:szCs w:val="24"/>
        </w:rPr>
        <w:t xml:space="preserve">      "queuedAt": 1787842857706,</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"METODO E LIMITI. Sono state usate 3 ricerche per nome (9 in…",</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1787843323481,</w:t>
      </w:r>
    </w:p>
    <w:p>
      <w:pPr>
        <w:spacing w:after="120" w:line="276"/>
        <w:jc w:val="both"/>
      </w:pPr>
      <w:r>
        <w:rPr>
          <w:rFonts w:ascii="Barlow Semi Condensed" w:cs="Barlow Semi Condensed" w:eastAsia="Barlow Semi Condensed" w:hAnsi="Barlow Semi Condensed"/>
          <w:sz w:val="24"/>
          <w:szCs w:val="24"/>
        </w:rPr>
        <w:t xml:space="preserve">      "tokens": 60669,</w:t>
      </w:r>
    </w:p>
    <w:p>
      <w:pPr>
        <w:spacing w:after="120" w:line="276"/>
        <w:jc w:val="both"/>
      </w:pPr>
      <w:r>
        <w:rPr>
          <w:rFonts w:ascii="Barlow Semi Condensed" w:cs="Barlow Semi Condensed" w:eastAsia="Barlow Semi Condensed" w:hAnsi="Barlow Semi Condensed"/>
          <w:sz w:val="24"/>
          <w:szCs w:val="24"/>
        </w:rPr>
        <w:t xml:space="preserve">      "toolCalls": 11,</w:t>
      </w:r>
    </w:p>
    <w:p>
      <w:pPr>
        <w:spacing w:after="120" w:line="276"/>
        <w:jc w:val="both"/>
      </w:pPr>
      <w:r>
        <w:rPr>
          <w:rFonts w:ascii="Barlow Semi Condensed" w:cs="Barlow Semi Condensed" w:eastAsia="Barlow Semi Condensed" w:hAnsi="Barlow Semi Condensed"/>
          <w:sz w:val="24"/>
          <w:szCs w:val="24"/>
        </w:rPr>
        <w:t xml:space="preserve">      "durationMs": 127225,</w:t>
      </w:r>
    </w:p>
    <w:p>
      <w:pPr>
        <w:spacing w:after="120" w:line="276"/>
        <w:jc w:val="both"/>
      </w:pPr>
      <w:r>
        <w:rPr>
          <w:rFonts w:ascii="Barlow Semi Condensed" w:cs="Barlow Semi Condensed" w:eastAsia="Barlow Semi Condensed" w:hAnsi="Barlow Semi Condensed"/>
          <w:sz w:val="24"/>
          <w:szCs w:val="24"/>
        </w:rPr>
        <w:t xml:space="preserve">      "resultPreview": "{\"trovati\":[{\"nome\":\"Gustavo Selva\",\"valore\":\"623\",\"etichetta\":\"fascicolo\",\"fonte\":\"it.wikipedia.org (Appartenenti alla P2) / centrostudimalfatti.eu (PDF \\\"Appartenenti alla loggia massonica P2\\\")\",\"affidabilita\":\"media\",\"contesto\":\"Voce riportata come: fascicolo 623, tessera 1814, data di iniziazione 26 gennaio 1978; all'epoca direttore del GR2 della Rai, residenza Roma. E l'unica fonte trovata c…"</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8,</w:t>
      </w:r>
    </w:p>
    <w:p>
      <w:pPr>
        <w:spacing w:after="120" w:line="276"/>
        <w:jc w:val="both"/>
      </w:pPr>
      <w:r>
        <w:rPr>
          <w:rFonts w:ascii="Barlow Semi Condensed" w:cs="Barlow Semi Condensed" w:eastAsia="Barlow Semi Condensed" w:hAnsi="Barlow Semi Condensed"/>
          <w:sz w:val="24"/>
          <w:szCs w:val="24"/>
        </w:rPr>
        <w:t xml:space="preserve">      "label": "cerca:finanza-vaticano",</w:t>
      </w:r>
    </w:p>
    <w:p>
      <w:pPr>
        <w:spacing w:after="120" w:line="276"/>
        <w:jc w:val="both"/>
      </w:pPr>
      <w:r>
        <w:rPr>
          <w:rFonts w:ascii="Barlow Semi Condensed" w:cs="Barlow Semi Condensed" w:eastAsia="Barlow Semi Condensed" w:hAnsi="Barlow Semi Condensed"/>
          <w:sz w:val="24"/>
          <w:szCs w:val="24"/>
        </w:rPr>
        <w:t xml:space="preserve">      "phaseIndex": 1,</w:t>
      </w:r>
    </w:p>
    <w:p>
      <w:pPr>
        <w:spacing w:after="120" w:line="276"/>
        <w:jc w:val="both"/>
      </w:pPr>
      <w:r>
        <w:rPr>
          <w:rFonts w:ascii="Barlow Semi Condensed" w:cs="Barlow Semi Condensed" w:eastAsia="Barlow Semi Condensed" w:hAnsi="Barlow Semi Condensed"/>
          <w:sz w:val="24"/>
          <w:szCs w:val="24"/>
        </w:rPr>
        <w:t xml:space="preserve">      "phaseTitle": "Raccolta",</w:t>
      </w:r>
    </w:p>
    <w:p>
      <w:pPr>
        <w:spacing w:after="120" w:line="276"/>
        <w:jc w:val="both"/>
      </w:pPr>
      <w:r>
        <w:rPr>
          <w:rFonts w:ascii="Barlow Semi Condensed" w:cs="Barlow Semi Condensed" w:eastAsia="Barlow Semi Condensed" w:hAnsi="Barlow Semi Condensed"/>
          <w:sz w:val="24"/>
          <w:szCs w:val="24"/>
        </w:rPr>
        <w:t xml:space="preserve">      "agentId": "a65b58f68583b6279",</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1787843202730,</w:t>
      </w:r>
    </w:p>
    <w:p>
      <w:pPr>
        <w:spacing w:after="120" w:line="276"/>
        <w:jc w:val="both"/>
      </w:pPr>
      <w:r>
        <w:rPr>
          <w:rFonts w:ascii="Barlow Semi Condensed" w:cs="Barlow Semi Condensed" w:eastAsia="Barlow Semi Condensed" w:hAnsi="Barlow Semi Condensed"/>
          <w:sz w:val="24"/>
          <w:szCs w:val="24"/>
        </w:rPr>
        <w:t xml:space="preserve">      "queuedAt": 1787842857706,</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"lastToolSummary": "RISULTATO CENTRALE - conflitto di etichettatura, non risolt…",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1787843310019,</w:t>
      </w:r>
    </w:p>
    <w:p>
      <w:pPr>
        <w:spacing w:after="120" w:line="276"/>
        <w:jc w:val="both"/>
      </w:pPr>
      <w:r>
        <w:rPr>
          <w:rFonts w:ascii="Barlow Semi Condensed" w:cs="Barlow Semi Condensed" w:eastAsia="Barlow Semi Condensed" w:hAnsi="Barlow Semi Condensed"/>
          <w:sz w:val="24"/>
          <w:szCs w:val="24"/>
        </w:rPr>
        <w:t xml:space="preserve">      "tokens": 59392,</w:t>
      </w:r>
    </w:p>
    <w:p>
      <w:pPr>
        <w:spacing w:after="120" w:line="276"/>
        <w:jc w:val="both"/>
      </w:pPr>
      <w:r>
        <w:rPr>
          <w:rFonts w:ascii="Barlow Semi Condensed" w:cs="Barlow Semi Condensed" w:eastAsia="Barlow Semi Condensed" w:hAnsi="Barlow Semi Condensed"/>
          <w:sz w:val="24"/>
          <w:szCs w:val="24"/>
        </w:rPr>
        <w:t xml:space="preserve">      "toolCalls": 9,</w:t>
      </w:r>
    </w:p>
    <w:p>
      <w:pPr>
        <w:spacing w:after="120" w:line="276"/>
        <w:jc w:val="both"/>
      </w:pPr>
      <w:r>
        <w:rPr>
          <w:rFonts w:ascii="Barlow Semi Condensed" w:cs="Barlow Semi Condensed" w:eastAsia="Barlow Semi Condensed" w:hAnsi="Barlow Semi Condensed"/>
          <w:sz w:val="24"/>
          <w:szCs w:val="24"/>
        </w:rPr>
        <w:t xml:space="preserve">      "durationMs": 107288,</w:t>
      </w:r>
    </w:p>
    <w:p>
      <w:pPr>
        <w:spacing w:after="120" w:line="276"/>
        <w:jc w:val="both"/>
      </w:pPr>
      <w:r>
        <w:rPr>
          <w:rFonts w:ascii="Barlow Semi Condensed" w:cs="Barlow Semi Condensed" w:eastAsia="Barlow Semi Condensed" w:hAnsi="Barlow Semi Condensed"/>
          <w:sz w:val="24"/>
          <w:szCs w:val="24"/>
        </w:rPr>
        <w:t xml:space="preserve">      "resultPreview": "{\"trovati\":[{\"nome\":\"Roberto Calvi\",\"valore\":\"519\",\"etichetta\":\"non dichiarata\",\"fonte\":\"it.wikipedia.org (voce \\\"Appartenenti alla P2\\\"), ripreso da 19luglio1992.com e girodivite.it (PDF \\\"La lista della P2 sequestrata a Licio Gelli\\\")\",\"affidabilita\":\"media\",\"contesto\":\"Compare nella forma tabellare \\\"Roberto Calvi (Milano, 519)\\\", presidente del Banco Ambrosiano. NON e dichiarato di che numero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9,</w:t>
      </w:r>
    </w:p>
    <w:p>
      <w:pPr>
        <w:spacing w:after="120" w:line="276"/>
        <w:jc w:val="both"/>
      </w:pPr>
      <w:r>
        <w:rPr>
          <w:rFonts w:ascii="Barlow Semi Condensed" w:cs="Barlow Semi Condensed" w:eastAsia="Barlow Semi Condensed" w:hAnsi="Barlow Semi Condensed"/>
          <w:sz w:val="24"/>
          <w:szCs w:val="24"/>
        </w:rPr>
        <w:t xml:space="preserve">      "label": "confuta:militari-1",</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"a4229571e0435a44a",</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1787843313417,</w:t>
      </w:r>
    </w:p>
    <w:p>
      <w:pPr>
        <w:spacing w:after="120" w:line="276"/>
        <w:jc w:val="both"/>
      </w:pPr>
      <w:r>
        <w:rPr>
          <w:rFonts w:ascii="Barlow Semi Condensed" w:cs="Barlow Semi Condensed" w:eastAsia="Barlow Semi Condensed" w:hAnsi="Barlow Semi Condensed"/>
          <w:sz w:val="24"/>
          <w:szCs w:val="24"/>
        </w:rPr>
        <w:t xml:space="preserve">      "queuedAt": 1787842961600,</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1787843418005,</w:t>
      </w:r>
    </w:p>
    <w:p>
      <w:pPr>
        <w:spacing w:after="120" w:line="276"/>
        <w:jc w:val="both"/>
      </w:pPr>
      <w:r>
        <w:rPr>
          <w:rFonts w:ascii="Barlow Semi Condensed" w:cs="Barlow Semi Condensed" w:eastAsia="Barlow Semi Condensed" w:hAnsi="Barlow Semi Condensed"/>
          <w:sz w:val="24"/>
          <w:szCs w:val="24"/>
        </w:rPr>
        <w:t xml:space="preserve">      "tokens": 57993,</w:t>
      </w:r>
    </w:p>
    <w:p>
      <w:pPr>
        <w:spacing w:after="120" w:line="276"/>
        <w:jc w:val="both"/>
      </w:pPr>
      <w:r>
        <w:rPr>
          <w:rFonts w:ascii="Barlow Semi Condensed" w:cs="Barlow Semi Condensed" w:eastAsia="Barlow Semi Condensed" w:hAnsi="Barlow Semi Condensed"/>
          <w:sz w:val="24"/>
          <w:szCs w:val="24"/>
        </w:rPr>
        <w:t xml:space="preserve">      "toolCalls": 8,</w:t>
      </w:r>
    </w:p>
    <w:p>
      <w:pPr>
        <w:spacing w:after="120" w:line="276"/>
        <w:jc w:val="both"/>
      </w:pPr>
      <w:r>
        <w:rPr>
          <w:rFonts w:ascii="Barlow Semi Condensed" w:cs="Barlow Semi Condensed" w:eastAsia="Barlow Semi Condensed" w:hAnsi="Barlow Semi Condensed"/>
          <w:sz w:val="24"/>
          <w:szCs w:val="24"/>
        </w:rPr>
        <w:t xml:space="preserve">      "durationMs": 104586,</w:t>
      </w:r>
    </w:p>
    <w:p>
      <w:pPr>
        <w:spacing w:after="120" w:line="276"/>
        <w:jc w:val="both"/>
      </w:pPr>
      <w:r>
        <w:rPr>
          <w:rFonts w:ascii="Barlow Semi Condensed" w:cs="Barlow Semi Condensed" w:eastAsia="Barlow Semi Condensed" w:hAnsi="Barlow Semi Condensed"/>
          <w:sz w:val="24"/>
          <w:szCs w:val="24"/>
        </w:rPr>
        <w:t xml:space="preserve">      "resultPreview": "{\"esiti\":[{\"nome\":\"Giuseppe Santovito\",\"valore\":\"527\",\"regge\":false,\"motivo\":\"CONFUTATO. Esiste un valore diverso per lo stesso nome: la ricerca conferma esplicitamente 'General Giuseppe Santovito held membership card number 1630 in the P2 masonic lodge' (risultati che rimandano a lespresso.it, archivioflamigni.org, strano.net). Due numeri per la stessa persona non possono essere entrambi la tesse…"</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10,</w:t>
      </w:r>
    </w:p>
    <w:p>
      <w:pPr>
        <w:spacing w:after="120" w:line="276"/>
        <w:jc w:val="both"/>
      </w:pPr>
      <w:r>
        <w:rPr>
          <w:rFonts w:ascii="Barlow Semi Condensed" w:cs="Barlow Semi Condensed" w:eastAsia="Barlow Semi Condensed" w:hAnsi="Barlow Semi Condensed"/>
          <w:sz w:val="24"/>
          <w:szCs w:val="24"/>
        </w:rPr>
        <w:t xml:space="preserve">      "label": "confuta:controlli",</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"a85051739330e9378",</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1787843326686,</w:t>
      </w:r>
    </w:p>
    <w:p>
      <w:pPr>
        <w:spacing w:after="120" w:line="276"/>
        <w:jc w:val="both"/>
      </w:pPr>
      <w:r>
        <w:rPr>
          <w:rFonts w:ascii="Barlow Semi Condensed" w:cs="Barlow Semi Condensed" w:eastAsia="Barlow Semi Condensed" w:hAnsi="Barlow Semi Condensed"/>
          <w:sz w:val="24"/>
          <w:szCs w:val="24"/>
        </w:rPr>
        <w:t xml:space="preserve">      "queuedAt": 1787842990009,</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1787843468020,</w:t>
      </w:r>
    </w:p>
    <w:p>
      <w:pPr>
        <w:spacing w:after="120" w:line="276"/>
        <w:jc w:val="both"/>
      </w:pPr>
      <w:r>
        <w:rPr>
          <w:rFonts w:ascii="Barlow Semi Condensed" w:cs="Barlow Semi Condensed" w:eastAsia="Barlow Semi Condensed" w:hAnsi="Barlow Semi Condensed"/>
          <w:sz w:val="24"/>
          <w:szCs w:val="24"/>
        </w:rPr>
        <w:t xml:space="preserve">      "tokens": 62036,</w:t>
      </w:r>
    </w:p>
    <w:p>
      <w:pPr>
        <w:spacing w:after="120" w:line="276"/>
        <w:jc w:val="both"/>
      </w:pPr>
      <w:r>
        <w:rPr>
          <w:rFonts w:ascii="Barlow Semi Condensed" w:cs="Barlow Semi Condensed" w:eastAsia="Barlow Semi Condensed" w:hAnsi="Barlow Semi Condensed"/>
          <w:sz w:val="24"/>
          <w:szCs w:val="24"/>
        </w:rPr>
        <w:t xml:space="preserve">      "toolCalls": 10,</w:t>
      </w:r>
    </w:p>
    <w:p>
      <w:pPr>
        <w:spacing w:after="120" w:line="276"/>
        <w:jc w:val="both"/>
      </w:pPr>
      <w:r>
        <w:rPr>
          <w:rFonts w:ascii="Barlow Semi Condensed" w:cs="Barlow Semi Condensed" w:eastAsia="Barlow Semi Condensed" w:hAnsi="Barlow Semi Condensed"/>
          <w:sz w:val="24"/>
          <w:szCs w:val="24"/>
        </w:rPr>
        <w:t xml:space="preserve">      "durationMs": 141333,</w:t>
      </w:r>
    </w:p>
    <w:p>
      <w:pPr>
        <w:spacing w:after="120" w:line="276"/>
        <w:jc w:val="both"/>
      </w:pPr>
      <w:r>
        <w:rPr>
          <w:rFonts w:ascii="Barlow Semi Condensed" w:cs="Barlow Semi Condensed" w:eastAsia="Barlow Semi Condensed" w:hAnsi="Barlow Semi Condensed"/>
          <w:sz w:val="24"/>
          <w:szCs w:val="24"/>
        </w:rPr>
        <w:t xml:space="preserve">      "resultPreview": "{\"esiti\":[{\"nome\":\"Silvio Berlusconi\",\"valore\":\"1816\",\"regge\":true,\"motivo\":\"Natura DICHIARATA: piu fonti scrivono esplicitamente 'tessera' (articolo21.org 'Tessera 1816 della P2'; worstitaly.wordpress.com 'Tessera numero 1816'; associazioneomilos.wordpress.com 'tessera P2 n. 1816'; giornalecangrande/issuu). Nessun risultato di ricerca propone un numero di tessera diverso: una query costruita appo…"</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11,</w:t>
      </w:r>
    </w:p>
    <w:p>
      <w:pPr>
        <w:spacing w:after="120" w:line="276"/>
        <w:jc w:val="both"/>
      </w:pPr>
      <w:r>
        <w:rPr>
          <w:rFonts w:ascii="Barlow Semi Condensed" w:cs="Barlow Semi Condensed" w:eastAsia="Barlow Semi Condensed" w:hAnsi="Barlow Semi Condensed"/>
          <w:sz w:val="24"/>
          <w:szCs w:val="24"/>
        </w:rPr>
        <w:t xml:space="preserve">      "label": "confuta:militari-2",</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"ae34b8576db45febc",</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1787843422963,</w:t>
      </w:r>
    </w:p>
    <w:p>
      <w:pPr>
        <w:spacing w:after="120" w:line="276"/>
        <w:jc w:val="both"/>
      </w:pPr>
      <w:r>
        <w:rPr>
          <w:rFonts w:ascii="Barlow Semi Condensed" w:cs="Barlow Semi Condensed" w:eastAsia="Barlow Semi Condensed" w:hAnsi="Barlow Semi Condensed"/>
          <w:sz w:val="24"/>
          <w:szCs w:val="24"/>
        </w:rPr>
        <w:t xml:space="preserve">      "queuedAt": 1787843082457,</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1787843518576,</w:t>
      </w:r>
    </w:p>
    <w:p>
      <w:pPr>
        <w:spacing w:after="120" w:line="276"/>
        <w:jc w:val="both"/>
      </w:pPr>
      <w:r>
        <w:rPr>
          <w:rFonts w:ascii="Barlow Semi Condensed" w:cs="Barlow Semi Condensed" w:eastAsia="Barlow Semi Condensed" w:hAnsi="Barlow Semi Condensed"/>
          <w:sz w:val="24"/>
          <w:szCs w:val="24"/>
        </w:rPr>
        <w:t xml:space="preserve">      "tokens": 54564,</w:t>
      </w:r>
    </w:p>
    <w:p>
      <w:pPr>
        <w:spacing w:after="120" w:line="276"/>
        <w:jc w:val="both"/>
      </w:pPr>
      <w:r>
        <w:rPr>
          <w:rFonts w:ascii="Barlow Semi Condensed" w:cs="Barlow Semi Condensed" w:eastAsia="Barlow Semi Condensed" w:hAnsi="Barlow Semi Condensed"/>
          <w:sz w:val="24"/>
          <w:szCs w:val="24"/>
        </w:rPr>
        <w:t xml:space="preserve">      "toolCalls": 6,</w:t>
      </w:r>
    </w:p>
    <w:p>
      <w:pPr>
        <w:spacing w:after="120" w:line="276"/>
        <w:jc w:val="both"/>
      </w:pPr>
      <w:r>
        <w:rPr>
          <w:rFonts w:ascii="Barlow Semi Condensed" w:cs="Barlow Semi Condensed" w:eastAsia="Barlow Semi Condensed" w:hAnsi="Barlow Semi Condensed"/>
          <w:sz w:val="24"/>
          <w:szCs w:val="24"/>
        </w:rPr>
        <w:t xml:space="preserve">      "durationMs": 95611,</w:t>
      </w:r>
    </w:p>
    <w:p>
      <w:pPr>
        <w:spacing w:after="120" w:line="276"/>
        <w:jc w:val="both"/>
      </w:pPr>
      <w:r>
        <w:rPr>
          <w:rFonts w:ascii="Barlow Semi Condensed" w:cs="Barlow Semi Condensed" w:eastAsia="Barlow Semi Condensed" w:hAnsi="Barlow Semi Condensed"/>
          <w:sz w:val="24"/>
          <w:szCs w:val="24"/>
        </w:rPr>
        <w:t xml:space="preserve">      "resultPreview": "{\"esiti\":[{\"nome\":\"Giovanni Torrisi\",\"valore\":\"631\",\"regge\":false,\"motivo\":\"Non regge, per difetto di natura dichiarata, non per contraddizione numerica. (1) Nessuna fonte trovata assegna a Torrisi un numero diverso da 631. (2) Ma l'elenco P2 sequestrato contiene per ogni iscritto DUE numeri distinti - tessera e fascicolo - come confermato dai risultati (archivio900.it; Il Fatto Quotidiano, 17/03/…"</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12,</w:t>
      </w:r>
    </w:p>
    <w:p>
      <w:pPr>
        <w:spacing w:after="120" w:line="276"/>
        <w:jc w:val="both"/>
      </w:pPr>
      <w:r>
        <w:rPr>
          <w:rFonts w:ascii="Barlow Semi Condensed" w:cs="Barlow Semi Condensed" w:eastAsia="Barlow Semi Condensed" w:hAnsi="Barlow Semi Condensed"/>
          <w:sz w:val="24"/>
          <w:szCs w:val="24"/>
        </w:rPr>
        <w:t xml:space="preserve">      "label": "confuta:guardia-finanza",</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"a594761c37fb3f29c",</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1787843471529,</w:t>
      </w:r>
    </w:p>
    <w:p>
      <w:pPr>
        <w:spacing w:after="120" w:line="276"/>
        <w:jc w:val="both"/>
      </w:pPr>
      <w:r>
        <w:rPr>
          <w:rFonts w:ascii="Barlow Semi Condensed" w:cs="Barlow Semi Condensed" w:eastAsia="Barlow Semi Condensed" w:hAnsi="Barlow Semi Condensed"/>
          <w:sz w:val="24"/>
          <w:szCs w:val="24"/>
        </w:rPr>
        <w:t xml:space="preserve">      "queuedAt": 1787843095124,</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1787843572292,</w:t>
      </w:r>
    </w:p>
    <w:p>
      <w:pPr>
        <w:spacing w:after="120" w:line="276"/>
        <w:jc w:val="both"/>
      </w:pPr>
      <w:r>
        <w:rPr>
          <w:rFonts w:ascii="Barlow Semi Condensed" w:cs="Barlow Semi Condensed" w:eastAsia="Barlow Semi Condensed" w:hAnsi="Barlow Semi Condensed"/>
          <w:sz w:val="24"/>
          <w:szCs w:val="24"/>
        </w:rPr>
        <w:t xml:space="preserve">      "tokens": 57333,</w:t>
      </w:r>
    </w:p>
    <w:p>
      <w:pPr>
        <w:spacing w:after="120" w:line="276"/>
        <w:jc w:val="both"/>
      </w:pPr>
      <w:r>
        <w:rPr>
          <w:rFonts w:ascii="Barlow Semi Condensed" w:cs="Barlow Semi Condensed" w:eastAsia="Barlow Semi Condensed" w:hAnsi="Barlow Semi Condensed"/>
          <w:sz w:val="24"/>
          <w:szCs w:val="24"/>
        </w:rPr>
        <w:t xml:space="preserve">      "toolCalls": 8,</w:t>
      </w:r>
    </w:p>
    <w:p>
      <w:pPr>
        <w:spacing w:after="120" w:line="276"/>
        <w:jc w:val="both"/>
      </w:pPr>
      <w:r>
        <w:rPr>
          <w:rFonts w:ascii="Barlow Semi Condensed" w:cs="Barlow Semi Condensed" w:eastAsia="Barlow Semi Condensed" w:hAnsi="Barlow Semi Condensed"/>
          <w:sz w:val="24"/>
          <w:szCs w:val="24"/>
        </w:rPr>
        <w:t xml:space="preserve">      "durationMs": 100762,</w:t>
      </w:r>
    </w:p>
    <w:p>
      <w:pPr>
        <w:spacing w:after="120" w:line="276"/>
        <w:jc w:val="both"/>
      </w:pPr>
      <w:r>
        <w:rPr>
          <w:rFonts w:ascii="Barlow Semi Condensed" w:cs="Barlow Semi Condensed" w:eastAsia="Barlow Semi Condensed" w:hAnsi="Barlow Semi Condensed"/>
          <w:sz w:val="24"/>
          <w:szCs w:val="24"/>
        </w:rPr>
        <w:t xml:space="preserve">      "resultPreview": "{\"esiti\":[{\"nome\":\"Raffaele Giudice\",\"valore\":\"535\",\"regge\":false,\"motivo\":\"Confutazione parziale ma sufficiente a far cadere il valore. (1) Nessuna fonte trovata dà un numero DIVERSO da 535 per Giudice: la ricerca su fonti generiche (it.wikipedia 'Raffaele Giudice', gdf.gov.it, archivio Senato, 4agosto1974) conferma solo che 'nel 1981 il suo nome compare nella lista degli appartenenti alla P2', S…"</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13,</w:t>
      </w:r>
    </w:p>
    <w:p>
      <w:pPr>
        <w:spacing w:after="120" w:line="276"/>
        <w:jc w:val="both"/>
      </w:pPr>
      <w:r>
        <w:rPr>
          <w:rFonts w:ascii="Barlow Semi Condensed" w:cs="Barlow Semi Condensed" w:eastAsia="Barlow Semi Condensed" w:hAnsi="Barlow Semi Condensed"/>
          <w:sz w:val="24"/>
          <w:szCs w:val="24"/>
        </w:rPr>
        <w:t xml:space="preserve">      "label": "confuta:magistrati",</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"ab29db12b46fb1911",</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1787843521648,</w:t>
      </w:r>
    </w:p>
    <w:p>
      <w:pPr>
        <w:spacing w:after="120" w:line="276"/>
        <w:jc w:val="both"/>
      </w:pPr>
      <w:r>
        <w:rPr>
          <w:rFonts w:ascii="Barlow Semi Condensed" w:cs="Barlow Semi Condensed" w:eastAsia="Barlow Semi Condensed" w:hAnsi="Barlow Semi Condensed"/>
          <w:sz w:val="24"/>
          <w:szCs w:val="24"/>
        </w:rPr>
        <w:t xml:space="preserve">      "queuedAt": 1787843190172,</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1787843568819,</w:t>
      </w:r>
    </w:p>
    <w:p>
      <w:pPr>
        <w:spacing w:after="120" w:line="276"/>
        <w:jc w:val="both"/>
      </w:pPr>
      <w:r>
        <w:rPr>
          <w:rFonts w:ascii="Barlow Semi Condensed" w:cs="Barlow Semi Condensed" w:eastAsia="Barlow Semi Condensed" w:hAnsi="Barlow Semi Condensed"/>
          <w:sz w:val="24"/>
          <w:szCs w:val="24"/>
        </w:rPr>
        <w:t xml:space="preserve">      "tokens": 52499,</w:t>
      </w:r>
    </w:p>
    <w:p>
      <w:pPr>
        <w:spacing w:after="120" w:line="276"/>
        <w:jc w:val="both"/>
      </w:pPr>
      <w:r>
        <w:rPr>
          <w:rFonts w:ascii="Barlow Semi Condensed" w:cs="Barlow Semi Condensed" w:eastAsia="Barlow Semi Condensed" w:hAnsi="Barlow Semi Condensed"/>
          <w:sz w:val="24"/>
          <w:szCs w:val="24"/>
        </w:rPr>
        <w:t xml:space="preserve">      "toolCalls": 4,</w:t>
      </w:r>
    </w:p>
    <w:p>
      <w:pPr>
        <w:spacing w:after="120" w:line="276"/>
        <w:jc w:val="both"/>
      </w:pPr>
      <w:r>
        <w:rPr>
          <w:rFonts w:ascii="Barlow Semi Condensed" w:cs="Barlow Semi Condensed" w:eastAsia="Barlow Semi Condensed" w:hAnsi="Barlow Semi Condensed"/>
          <w:sz w:val="24"/>
          <w:szCs w:val="24"/>
        </w:rPr>
        <w:t xml:space="preserve">      "durationMs": 47170,</w:t>
      </w:r>
    </w:p>
    <w:p>
      <w:pPr>
        <w:spacing w:after="120" w:line="276"/>
        <w:jc w:val="both"/>
      </w:pPr>
      <w:r>
        <w:rPr>
          <w:rFonts w:ascii="Barlow Semi Condensed" w:cs="Barlow Semi Condensed" w:eastAsia="Barlow Semi Condensed" w:hAnsi="Barlow Semi Condensed"/>
          <w:sz w:val="24"/>
          <w:szCs w:val="24"/>
        </w:rPr>
        <w:t xml:space="preserve">      "resultPreview": "{\"esiti\":[{\"nome\":\"Carmelo Spagnuolo\",\"valore\":\"545\",\"regge\":false,\"motivo\":\"Nessuna fonte trovata contraddice il numero 545: entrambe le ricerche restituiscono sempre e solo la stessa formula compatta \\\"Roma, in sonno, 545\\\" (Spagnuolo, all'epoca presidente di sezione della Corte di Cassazione). Il valore però NON regge per due motivi indipendenti. (1) NATURA NON DICHIARATA: la formula \\\"(città,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14,</w:t>
      </w:r>
    </w:p>
    <w:p>
      <w:pPr>
        <w:spacing w:after="120" w:line="276"/>
        <w:jc w:val="both"/>
      </w:pPr>
      <w:r>
        <w:rPr>
          <w:rFonts w:ascii="Barlow Semi Condensed" w:cs="Barlow Semi Condensed" w:eastAsia="Barlow Semi Condensed" w:hAnsi="Barlow Semi Condensed"/>
          <w:sz w:val="24"/>
          <w:szCs w:val="24"/>
        </w:rPr>
        <w:t xml:space="preserve">      "label": "confuta:servizi-esteri",</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"a1232bfa088327b6c",</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1787843572275,</w:t>
      </w:r>
    </w:p>
    <w:p>
      <w:pPr>
        <w:spacing w:after="120" w:line="276"/>
        <w:jc w:val="both"/>
      </w:pPr>
      <w:r>
        <w:rPr>
          <w:rFonts w:ascii="Barlow Semi Condensed" w:cs="Barlow Semi Condensed" w:eastAsia="Barlow Semi Condensed" w:hAnsi="Barlow Semi Condensed"/>
          <w:sz w:val="24"/>
          <w:szCs w:val="24"/>
        </w:rPr>
        <w:t xml:space="preserve">      "queuedAt": 1787843200956,</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1787843672235,</w:t>
      </w:r>
    </w:p>
    <w:p>
      <w:pPr>
        <w:spacing w:after="120" w:line="276"/>
        <w:jc w:val="both"/>
      </w:pPr>
      <w:r>
        <w:rPr>
          <w:rFonts w:ascii="Barlow Semi Condensed" w:cs="Barlow Semi Condensed" w:eastAsia="Barlow Semi Condensed" w:hAnsi="Barlow Semi Condensed"/>
          <w:sz w:val="24"/>
          <w:szCs w:val="24"/>
        </w:rPr>
        <w:t xml:space="preserve">      "tokens": 58050,</w:t>
      </w:r>
    </w:p>
    <w:p>
      <w:pPr>
        <w:spacing w:after="120" w:line="276"/>
        <w:jc w:val="both"/>
      </w:pPr>
      <w:r>
        <w:rPr>
          <w:rFonts w:ascii="Barlow Semi Condensed" w:cs="Barlow Semi Condensed" w:eastAsia="Barlow Semi Condensed" w:hAnsi="Barlow Semi Condensed"/>
          <w:sz w:val="24"/>
          <w:szCs w:val="24"/>
        </w:rPr>
        <w:t xml:space="preserve">      "toolCalls": 8,</w:t>
      </w:r>
    </w:p>
    <w:p>
      <w:pPr>
        <w:spacing w:after="120" w:line="276"/>
        <w:jc w:val="both"/>
      </w:pPr>
      <w:r>
        <w:rPr>
          <w:rFonts w:ascii="Barlow Semi Condensed" w:cs="Barlow Semi Condensed" w:eastAsia="Barlow Semi Condensed" w:hAnsi="Barlow Semi Condensed"/>
          <w:sz w:val="24"/>
          <w:szCs w:val="24"/>
        </w:rPr>
        <w:t xml:space="preserve">      "durationMs": 99960,</w:t>
      </w:r>
    </w:p>
    <w:p>
      <w:pPr>
        <w:spacing w:after="120" w:line="276"/>
        <w:jc w:val="both"/>
      </w:pPr>
      <w:r>
        <w:rPr>
          <w:rFonts w:ascii="Barlow Semi Condensed" w:cs="Barlow Semi Condensed" w:eastAsia="Barlow Semi Condensed" w:hAnsi="Barlow Semi Condensed"/>
          <w:sz w:val="24"/>
          <w:szCs w:val="24"/>
        </w:rPr>
        <w:t xml:space="preserve">      "resultPreview": "{\"esiti\":[{\"nome\":\"Federico Umberto D'Amato\",\"valore\":\"554\",\"regge\":false,\"motivo\":\"CONFUTATO da fonte concorrente. Le ricerche confermano che nell'elenco sequestrato a Castiglion Fibocchi (riprodotto da girodivite.it/IMG/pdf/elenco_p2.pdf, strano.net/stragi/stragi/p2/elep2.htm, centrostudimalfatti.eu, stragi.it/archivio/doc/66.pdf) la voce e 'dott Federico D'Amato (Roma, 554)': il formato e nome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15,</w:t>
      </w:r>
    </w:p>
    <w:p>
      <w:pPr>
        <w:spacing w:after="120" w:line="276"/>
        <w:jc w:val="both"/>
      </w:pPr>
      <w:r>
        <w:rPr>
          <w:rFonts w:ascii="Barlow Semi Condensed" w:cs="Barlow Semi Condensed" w:eastAsia="Barlow Semi Condensed" w:hAnsi="Barlow Semi Condensed"/>
          <w:sz w:val="24"/>
          <w:szCs w:val="24"/>
        </w:rPr>
        <w:t xml:space="preserve">      "label": "confuta:finanza-vaticano",</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"adc2e9031c1483700",</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1787843575802,</w:t>
      </w:r>
    </w:p>
    <w:p>
      <w:pPr>
        <w:spacing w:after="120" w:line="276"/>
        <w:jc w:val="both"/>
      </w:pPr>
      <w:r>
        <w:rPr>
          <w:rFonts w:ascii="Barlow Semi Condensed" w:cs="Barlow Semi Condensed" w:eastAsia="Barlow Semi Condensed" w:hAnsi="Barlow Semi Condensed"/>
          <w:sz w:val="24"/>
          <w:szCs w:val="24"/>
        </w:rPr>
        <w:t xml:space="preserve">      "queuedAt": 1787843311642,</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1787843678328,</w:t>
      </w:r>
    </w:p>
    <w:p>
      <w:pPr>
        <w:spacing w:after="120" w:line="276"/>
        <w:jc w:val="both"/>
      </w:pPr>
      <w:r>
        <w:rPr>
          <w:rFonts w:ascii="Barlow Semi Condensed" w:cs="Barlow Semi Condensed" w:eastAsia="Barlow Semi Condensed" w:hAnsi="Barlow Semi Condensed"/>
          <w:sz w:val="24"/>
          <w:szCs w:val="24"/>
        </w:rPr>
        <w:t xml:space="preserve">      "tokens": 59982,</w:t>
      </w:r>
    </w:p>
    <w:p>
      <w:pPr>
        <w:spacing w:after="120" w:line="276"/>
        <w:jc w:val="both"/>
      </w:pPr>
      <w:r>
        <w:rPr>
          <w:rFonts w:ascii="Barlow Semi Condensed" w:cs="Barlow Semi Condensed" w:eastAsia="Barlow Semi Condensed" w:hAnsi="Barlow Semi Condensed"/>
          <w:sz w:val="24"/>
          <w:szCs w:val="24"/>
        </w:rPr>
        <w:t xml:space="preserve">      "toolCalls": 10,</w:t>
      </w:r>
    </w:p>
    <w:p>
      <w:pPr>
        <w:spacing w:after="120" w:line="276"/>
        <w:jc w:val="both"/>
      </w:pPr>
      <w:r>
        <w:rPr>
          <w:rFonts w:ascii="Barlow Semi Condensed" w:cs="Barlow Semi Condensed" w:eastAsia="Barlow Semi Condensed" w:hAnsi="Barlow Semi Condensed"/>
          <w:sz w:val="24"/>
          <w:szCs w:val="24"/>
        </w:rPr>
        <w:t xml:space="preserve">      "durationMs": 102525,</w:t>
      </w:r>
    </w:p>
    <w:p>
      <w:pPr>
        <w:spacing w:after="120" w:line="276"/>
        <w:jc w:val="both"/>
      </w:pPr>
      <w:r>
        <w:rPr>
          <w:rFonts w:ascii="Barlow Semi Condensed" w:cs="Barlow Semi Condensed" w:eastAsia="Barlow Semi Condensed" w:hAnsi="Barlow Semi Condensed"/>
          <w:sz w:val="24"/>
          <w:szCs w:val="24"/>
        </w:rPr>
        <w:t xml:space="preserve">      "resultPreview": "{\"esiti\":[{\"nome\":\"Roberto Calvi\",\"valore\":\"519\",\"regge\":false,\"motivo\":\"CONFUTATO SULLA NATURA. Lo stesso numero 519 viene etichettato in modo incompatibile da fonti diverse: alcune sintesi di ricerca lo danno come numero di tessera / 'membership card number 519' (it.wikipedia.org 'Appartenenti alla P2', questionecivile.it, 19luglio1992.com), altre lo danno come 'fascicolo (file) number 519' per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16,</w:t>
      </w:r>
    </w:p>
    <w:p>
      <w:pPr>
        <w:spacing w:after="120" w:line="276"/>
        <w:jc w:val="both"/>
      </w:pPr>
      <w:r>
        <w:rPr>
          <w:rFonts w:ascii="Barlow Semi Condensed" w:cs="Barlow Semi Condensed" w:eastAsia="Barlow Semi Condensed" w:hAnsi="Barlow Semi Condensed"/>
          <w:sz w:val="24"/>
          <w:szCs w:val="24"/>
        </w:rPr>
        <w:t xml:space="preserve">      "label": "confuta:stampa-e-altri",</w:t>
      </w:r>
    </w:p>
    <w:p>
      <w:pPr>
        <w:spacing w:after="120" w:line="276"/>
        <w:jc w:val="both"/>
      </w:pPr>
      <w:r>
        <w:rPr>
          <w:rFonts w:ascii="Barlow Semi Condensed" w:cs="Barlow Semi Condensed" w:eastAsia="Barlow Semi Condensed" w:hAnsi="Barlow Semi Condensed"/>
          <w:sz w:val="24"/>
          <w:szCs w:val="24"/>
        </w:rPr>
        <w:t xml:space="preserve">      "phaseIndex": 2,</w:t>
      </w:r>
    </w:p>
    <w:p>
      <w:pPr>
        <w:spacing w:after="120" w:line="276"/>
        <w:jc w:val="both"/>
      </w:pPr>
      <w:r>
        <w:rPr>
          <w:rFonts w:ascii="Barlow Semi Condensed" w:cs="Barlow Semi Condensed" w:eastAsia="Barlow Semi Condensed" w:hAnsi="Barlow Semi Condensed"/>
          <w:sz w:val="24"/>
          <w:szCs w:val="24"/>
        </w:rPr>
        <w:t xml:space="preserve">      "phaseTitle": "Confutazione",</w:t>
      </w:r>
    </w:p>
    <w:p>
      <w:pPr>
        <w:spacing w:after="120" w:line="276"/>
        <w:jc w:val="both"/>
      </w:pPr>
      <w:r>
        <w:rPr>
          <w:rFonts w:ascii="Barlow Semi Condensed" w:cs="Barlow Semi Condensed" w:eastAsia="Barlow Semi Condensed" w:hAnsi="Barlow Semi Condensed"/>
          <w:sz w:val="24"/>
          <w:szCs w:val="24"/>
        </w:rPr>
        <w:t xml:space="preserve">      "agentId": "a805210b7eb12acc7",</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1787843675782,</w:t>
      </w:r>
    </w:p>
    <w:p>
      <w:pPr>
        <w:spacing w:after="120" w:line="276"/>
        <w:jc w:val="both"/>
      </w:pPr>
      <w:r>
        <w:rPr>
          <w:rFonts w:ascii="Barlow Semi Condensed" w:cs="Barlow Semi Condensed" w:eastAsia="Barlow Semi Condensed" w:hAnsi="Barlow Semi Condensed"/>
          <w:sz w:val="24"/>
          <w:szCs w:val="24"/>
        </w:rPr>
        <w:t xml:space="preserve">      "queuedAt": 1787843324890,</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"lastToolName": "StructuredOutput",</w:t>
      </w:r>
    </w:p>
    <w:p>
      <w:pPr>
        <w:spacing w:after="120" w:line="276"/>
        <w:jc w:val="both"/>
      </w:pPr>
      <w:r>
        <w:rPr>
          <w:rFonts w:ascii="Barlow Semi Condensed" w:cs="Barlow Semi Condensed" w:eastAsia="Barlow Semi Condensed" w:hAnsi="Barlow Semi Condensed"/>
          <w:sz w:val="24"/>
          <w:szCs w:val="24"/>
        </w:rPr>
        <w:t xml:space="preserve">      "promptPreview": "REGOLE VINCOLANTI, valide per ogni risposta:\n- Sei un ricercatore documentale. NON puoi aprire pagine web: ogni WebFetch fallisce con\n  EGRESS_BLOCKED perche il proxy dell ambiente nega l uscita. Usa SOLO lo strumento WebSearch,\n  che restituisce sintesi. Non tentare WebFetch: sprecheresti il turno.\n- Ogni numero che riporti deve venire da un risultato di ricerca, mai dalla tua memoria.\n  Se ricor…",</w:t>
      </w:r>
    </w:p>
    <w:p>
      <w:pPr>
        <w:spacing w:after="120" w:line="276"/>
        <w:jc w:val="both"/>
      </w:pPr>
      <w:r>
        <w:rPr>
          <w:rFonts w:ascii="Barlow Semi Condensed" w:cs="Barlow Semi Condensed" w:eastAsia="Barlow Semi Condensed" w:hAnsi="Barlow Semi Condensed"/>
          <w:sz w:val="24"/>
          <w:szCs w:val="24"/>
        </w:rPr>
        <w:t xml:space="preserve">      "lastProgressAt": 1787843790390,</w:t>
      </w:r>
    </w:p>
    <w:p>
      <w:pPr>
        <w:spacing w:after="120" w:line="276"/>
        <w:jc w:val="both"/>
      </w:pPr>
      <w:r>
        <w:rPr>
          <w:rFonts w:ascii="Barlow Semi Condensed" w:cs="Barlow Semi Condensed" w:eastAsia="Barlow Semi Condensed" w:hAnsi="Barlow Semi Condensed"/>
          <w:sz w:val="24"/>
          <w:szCs w:val="24"/>
        </w:rPr>
        <w:t xml:space="preserve">      "tokens": 58631,</w:t>
      </w:r>
    </w:p>
    <w:p>
      <w:pPr>
        <w:spacing w:after="120" w:line="276"/>
        <w:jc w:val="both"/>
      </w:pPr>
      <w:r>
        <w:rPr>
          <w:rFonts w:ascii="Barlow Semi Condensed" w:cs="Barlow Semi Condensed" w:eastAsia="Barlow Semi Condensed" w:hAnsi="Barlow Semi Condensed"/>
          <w:sz w:val="24"/>
          <w:szCs w:val="24"/>
        </w:rPr>
        <w:t xml:space="preserve">      "toolCalls": 8,</w:t>
      </w:r>
    </w:p>
    <w:p>
      <w:pPr>
        <w:spacing w:after="120" w:line="276"/>
        <w:jc w:val="both"/>
      </w:pPr>
      <w:r>
        <w:rPr>
          <w:rFonts w:ascii="Barlow Semi Condensed" w:cs="Barlow Semi Condensed" w:eastAsia="Barlow Semi Condensed" w:hAnsi="Barlow Semi Condensed"/>
          <w:sz w:val="24"/>
          <w:szCs w:val="24"/>
        </w:rPr>
        <w:t xml:space="preserve">      "durationMs": 114606,</w:t>
      </w:r>
    </w:p>
    <w:p>
      <w:pPr>
        <w:spacing w:after="120" w:line="276"/>
        <w:jc w:val="both"/>
      </w:pPr>
      <w:r>
        <w:rPr>
          <w:rFonts w:ascii="Barlow Semi Condensed" w:cs="Barlow Semi Condensed" w:eastAsia="Barlow Semi Condensed" w:hAnsi="Barlow Semi Condensed"/>
          <w:sz w:val="24"/>
          <w:szCs w:val="24"/>
        </w:rPr>
        <w:t xml:space="preserve">      "resultPreview": "{\"esiti\":[{\"nome\":\"Gustavo Selva\",\"valore\":\"623 (etichetta dichiarata: FASCICOLO)\",\"regge\":true,\"motivo\":\"Nessuna fonte trovata assegna a Selva un numero di fascicolo diverso da 623. La natura del numero e' dichiarata: le descrizioni dell'elenco sequestrato a Castiglion Fibocchi precisano che i nominativi erano annotati 'con tanto di titolo, citta', numero di fascicolo' (Il Fatto Quotidiano, 17/3/…"</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"type": "workflow_agent",</w:t>
      </w:r>
    </w:p>
    <w:p>
      <w:pPr>
        <w:spacing w:after="120" w:line="276"/>
        <w:jc w:val="both"/>
      </w:pPr>
      <w:r>
        <w:rPr>
          <w:rFonts w:ascii="Barlow Semi Condensed" w:cs="Barlow Semi Condensed" w:eastAsia="Barlow Semi Condensed" w:hAnsi="Barlow Semi Condensed"/>
          <w:sz w:val="24"/>
          <w:szCs w:val="24"/>
        </w:rPr>
        <w:t xml:space="preserve">      "index": 17,</w:t>
      </w:r>
    </w:p>
    <w:p>
      <w:pPr>
        <w:spacing w:after="120" w:line="276"/>
        <w:jc w:val="both"/>
      </w:pPr>
      <w:r>
        <w:rPr>
          <w:rFonts w:ascii="Barlow Semi Condensed" w:cs="Barlow Semi Condensed" w:eastAsia="Barlow Semi Condensed" w:hAnsi="Barlow Semi Condensed"/>
          <w:sz w:val="24"/>
          <w:szCs w:val="24"/>
        </w:rPr>
        <w:t xml:space="preserve">      "label": "sintesi",</w:t>
      </w:r>
    </w:p>
    <w:p>
      <w:pPr>
        <w:spacing w:after="120" w:line="276"/>
        <w:jc w:val="both"/>
      </w:pPr>
      <w:r>
        <w:rPr>
          <w:rFonts w:ascii="Barlow Semi Condensed" w:cs="Barlow Semi Condensed" w:eastAsia="Barlow Semi Condensed" w:hAnsi="Barlow Semi Condensed"/>
          <w:sz w:val="24"/>
          <w:szCs w:val="24"/>
        </w:rPr>
        <w:t xml:space="preserve">      "phaseIndex": 3,</w:t>
      </w:r>
    </w:p>
    <w:p>
      <w:pPr>
        <w:spacing w:after="120" w:line="276"/>
        <w:jc w:val="both"/>
      </w:pPr>
      <w:r>
        <w:rPr>
          <w:rFonts w:ascii="Barlow Semi Condensed" w:cs="Barlow Semi Condensed" w:eastAsia="Barlow Semi Condensed" w:hAnsi="Barlow Semi Condensed"/>
          <w:sz w:val="24"/>
          <w:szCs w:val="24"/>
        </w:rPr>
        <w:t xml:space="preserve">      "phaseTitle": "Sintesi",</w:t>
      </w:r>
    </w:p>
    <w:p>
      <w:pPr>
        <w:spacing w:after="120" w:line="276"/>
        <w:jc w:val="both"/>
      </w:pPr>
      <w:r>
        <w:rPr>
          <w:rFonts w:ascii="Barlow Semi Condensed" w:cs="Barlow Semi Condensed" w:eastAsia="Barlow Semi Condensed" w:hAnsi="Barlow Semi Condensed"/>
          <w:sz w:val="24"/>
          <w:szCs w:val="24"/>
        </w:rPr>
        <w:t xml:space="preserve">      "agentId": "a0d7f81feab280265",</w:t>
      </w:r>
    </w:p>
    <w:p>
      <w:pPr>
        <w:spacing w:after="120" w:line="276"/>
        <w:jc w:val="both"/>
      </w:pPr>
      <w:r>
        <w:rPr>
          <w:rFonts w:ascii="Barlow Semi Condensed" w:cs="Barlow Semi Condensed" w:eastAsia="Barlow Semi Condensed" w:hAnsi="Barlow Semi Condensed"/>
          <w:sz w:val="24"/>
          <w:szCs w:val="24"/>
        </w:rPr>
        <w:t xml:space="preserve">      "model": "claude-opus-5",</w:t>
      </w:r>
    </w:p>
    <w:p>
      <w:pPr>
        <w:spacing w:after="120" w:line="276"/>
        <w:jc w:val="both"/>
      </w:pPr>
      <w:r>
        <w:rPr>
          <w:rFonts w:ascii="Barlow Semi Condensed" w:cs="Barlow Semi Condensed" w:eastAsia="Barlow Semi Condensed" w:hAnsi="Barlow Semi Condensed"/>
          <w:sz w:val="24"/>
          <w:szCs w:val="24"/>
        </w:rPr>
        <w:t xml:space="preserve">      "state": "done",</w:t>
      </w:r>
    </w:p>
    <w:p>
      <w:pPr>
        <w:spacing w:after="120" w:line="276"/>
        <w:jc w:val="both"/>
      </w:pPr>
      <w:r>
        <w:rPr>
          <w:rFonts w:ascii="Barlow Semi Condensed" w:cs="Barlow Semi Condensed" w:eastAsia="Barlow Semi Condensed" w:hAnsi="Barlow Semi Condensed"/>
          <w:sz w:val="24"/>
          <w:szCs w:val="24"/>
        </w:rPr>
        <w:t xml:space="preserve">      "startedAt": 1787843794216,</w:t>
      </w:r>
    </w:p>
    <w:p>
      <w:pPr>
        <w:spacing w:after="120" w:line="276"/>
        <w:jc w:val="both"/>
      </w:pPr>
      <w:r>
        <w:rPr>
          <w:rFonts w:ascii="Barlow Semi Condensed" w:cs="Barlow Semi Condensed" w:eastAsia="Barlow Semi Condensed" w:hAnsi="Barlow Semi Condensed"/>
          <w:sz w:val="24"/>
          <w:szCs w:val="24"/>
        </w:rPr>
        <w:t xml:space="preserve">      "queuedAt": 1787843791804,</w:t>
      </w:r>
    </w:p>
    <w:p>
      <w:pPr>
        <w:spacing w:after="120" w:line="276"/>
        <w:jc w:val="both"/>
      </w:pPr>
      <w:r>
        <w:rPr>
          <w:rFonts w:ascii="Barlow Semi Condensed" w:cs="Barlow Semi Condensed" w:eastAsia="Barlow Semi Condensed" w:hAnsi="Barlow Semi Condensed"/>
          <w:sz w:val="24"/>
          <w:szCs w:val="24"/>
        </w:rPr>
        <w:t xml:space="preserve">      "attempt": 1,</w:t>
      </w:r>
    </w:p>
    <w:p>
      <w:pPr>
        <w:spacing w:after="120" w:line="276"/>
        <w:jc w:val="both"/>
      </w:pPr>
      <w:r>
        <w:rPr>
          <w:rFonts w:ascii="Barlow Semi Condensed" w:cs="Barlow Semi Condensed" w:eastAsia="Barlow Semi Condensed" w:hAnsi="Barlow Semi Condensed"/>
          <w:sz w:val="24"/>
          <w:szCs w:val="24"/>
        </w:rPr>
        <w:t xml:space="preserve">      "promptPreview": "Sei l analista che chiude una verifica documentale. NON fare ricerche: lavora solo sui dati\nqui sotto e sull aritmetica.\n\n## Il fatto da mettere alla prova\n\nUn testo pervenuto elenca, per trentatre nomi della loggia P2, coppie di numeri presentate\ncome \"numero di fascicolo\" e \"numero di tessera\". Otto di quelle coppie hanno uno scarto\nIDENTICO, tessera meno fascicolo = 1088, su quarantadue posizio…",</w:t>
      </w:r>
    </w:p>
    <w:p>
      <w:pPr>
        <w:spacing w:after="120" w:line="276"/>
        <w:jc w:val="both"/>
      </w:pPr>
      <w:r>
        <w:rPr>
          <w:rFonts w:ascii="Barlow Semi Condensed" w:cs="Barlow Semi Condensed" w:eastAsia="Barlow Semi Condensed" w:hAnsi="Barlow Semi Condensed"/>
          <w:sz w:val="24"/>
          <w:szCs w:val="24"/>
        </w:rPr>
        <w:t xml:space="preserve">      "lastProgressAt": 1787843978672,</w:t>
      </w:r>
    </w:p>
    <w:p>
      <w:pPr>
        <w:spacing w:after="120" w:line="276"/>
        <w:jc w:val="both"/>
      </w:pPr>
      <w:r>
        <w:rPr>
          <w:rFonts w:ascii="Barlow Semi Condensed" w:cs="Barlow Semi Condensed" w:eastAsia="Barlow Semi Condensed" w:hAnsi="Barlow Semi Condensed"/>
          <w:sz w:val="24"/>
          <w:szCs w:val="24"/>
        </w:rPr>
        <w:t xml:space="preserve">      "tokens": 61372,</w:t>
      </w:r>
    </w:p>
    <w:p>
      <w:pPr>
        <w:spacing w:after="120" w:line="276"/>
        <w:jc w:val="both"/>
      </w:pPr>
      <w:r>
        <w:rPr>
          <w:rFonts w:ascii="Barlow Semi Condensed" w:cs="Barlow Semi Condensed" w:eastAsia="Barlow Semi Condensed" w:hAnsi="Barlow Semi Condensed"/>
          <w:sz w:val="24"/>
          <w:szCs w:val="24"/>
        </w:rPr>
        <w:t xml:space="preserve">      "toolCalls": 0,</w:t>
      </w:r>
    </w:p>
    <w:p>
      <w:pPr>
        <w:spacing w:after="120" w:line="276"/>
        <w:jc w:val="both"/>
      </w:pPr>
      <w:r>
        <w:rPr>
          <w:rFonts w:ascii="Barlow Semi Condensed" w:cs="Barlow Semi Condensed" w:eastAsia="Barlow Semi Condensed" w:hAnsi="Barlow Semi Condensed"/>
          <w:sz w:val="24"/>
          <w:szCs w:val="24"/>
        </w:rPr>
        <w:t xml:space="preserve">      "durationMs": 184454,</w:t>
      </w:r>
    </w:p>
    <w:p>
      <w:pPr>
        <w:spacing w:after="120" w:line="276"/>
        <w:jc w:val="both"/>
      </w:pPr>
      <w:r>
        <w:rPr>
          <w:rFonts w:ascii="Barlow Semi Condensed" w:cs="Barlow Semi Condensed" w:eastAsia="Barlow Semi Condensed" w:hAnsi="Barlow Semi Condensed"/>
          <w:sz w:val="24"/>
          <w:szCs w:val="24"/>
        </w:rPr>
        <w:t xml:space="preserve">      "resultPreview": "# Verifica documentale sullo scarto tessera–fascicolo negli elenchi P2\n\n## Premessa: la risposta breve è «non si può dire» sull'oggetto specifico\n\nVa detto per primo, prima di ogni calcolo. La campagna di ricerca non ha trovato </w:t>
      </w:r>
      <w:r>
        <w:rPr>
          <w:rFonts w:ascii="Barlow Semi Condensed" w:cs="Barlow Semi Condensed" w:eastAsia="Barlow Semi Condensed" w:hAnsi="Barlow Semi Condensed"/>
          <w:b/>
          <w:bCs/>
          <w:sz w:val="24"/>
          <w:szCs w:val="24"/>
        </w:rPr>
        <w:t xml:space="preserve">nemmeno una</w:t>
      </w:r>
      <w:r>
        <w:rPr>
          <w:rFonts w:ascii="Barlow Semi Condensed" w:cs="Barlow Semi Condensed" w:eastAsia="Barlow Semi Condensed" w:hAnsi="Barlow Semi Condensed"/>
          <w:sz w:val="24"/>
          <w:szCs w:val="24"/>
        </w:rPr>
        <w:t xml:space="preserve"> coppia completa (tessera </w:t>
      </w:r>
      <w:r>
        <w:rPr>
          <w:rFonts w:ascii="Barlow Semi Condensed" w:cs="Barlow Semi Condensed" w:eastAsia="Barlow Semi Condensed" w:hAnsi="Barlow Semi Condensed"/>
          <w:i/>
          <w:iCs/>
          <w:sz w:val="24"/>
          <w:szCs w:val="24"/>
        </w:rPr>
        <w:t xml:space="preserve">e</w:t>
      </w:r>
      <w:r>
        <w:rPr>
          <w:rFonts w:ascii="Barlow Semi Condensed" w:cs="Barlow Semi Condensed" w:eastAsia="Barlow Semi Condensed" w:hAnsi="Barlow Semi Condensed"/>
          <w:sz w:val="24"/>
          <w:szCs w:val="24"/>
        </w:rPr>
        <w:t xml:space="preserve"> fascicolo, entrambi con natura dichiarata e reggenti alla confutazione) per </w:t>
      </w:r>
      <w:r>
        <w:rPr>
          <w:rFonts w:ascii="Barlow Semi Condensed" w:cs="Barlow Semi Condensed" w:eastAsia="Barlow Semi Condensed" w:hAnsi="Barlow Semi Condensed"/>
          <w:b/>
          <w:bCs/>
          <w:sz w:val="24"/>
          <w:szCs w:val="24"/>
        </w:rPr>
        <w:t xml:space="preserve">nessuno</w:t>
      </w:r>
      <w:r>
        <w:rPr>
          <w:rFonts w:ascii="Barlow Semi Condensed" w:cs="Barlow Semi Condensed" w:eastAsia="Barlow Semi Condensed" w:hAnsi="Barlow Semi Condensed"/>
          <w:sz w:val="24"/>
          <w:szCs w:val="24"/>
        </w:rPr>
        <w:t xml:space="preserve"> degli otto nomi su cui il testo pervenu…"</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w:t>
      </w:r>
    </w:p>
    <w:p>
      <w:pPr>
        <w:spacing w:after="120" w:line="276"/>
        <w:jc w:val="both"/>
      </w:pPr>
      <w:r>
        <w:rPr>
          <w:rFonts w:ascii="Barlow Semi Condensed" w:cs="Barlow Semi Condensed" w:eastAsia="Barlow Semi Condensed" w:hAnsi="Barlow Semi Condensed"/>
          <w:sz w:val="24"/>
          <w:szCs w:val="24"/>
        </w:rPr>
        <w:t xml:space="preserve">  "totalTokens": 1006005,</w:t>
      </w:r>
    </w:p>
    <w:p>
      <w:pPr>
        <w:spacing w:after="120" w:line="276"/>
        <w:jc w:val="both"/>
      </w:pPr>
      <w:r>
        <w:rPr>
          <w:rFonts w:ascii="Barlow Semi Condensed" w:cs="Barlow Semi Condensed" w:eastAsia="Barlow Semi Condensed" w:hAnsi="Barlow Semi Condensed"/>
          <w:sz w:val="24"/>
          <w:szCs w:val="24"/>
        </w:rPr>
        <w:t xml:space="preserve">  "totalToolCalls": 144</w:t>
      </w:r>
    </w:p>
    <w:p>
      <w:pPr>
        <w:spacing w:after="120" w:line="276"/>
        <w:jc w:val="both"/>
      </w:pPr>
      <w:r>
        <w:rPr>
          <w:rFonts w:ascii="Barlow Semi Condensed" w:cs="Barlow Semi Condensed" w:eastAsia="Barlow Semi Condensed" w:hAnsi="Barlow Semi Condensed"/>
          <w:sz w:val="24"/>
          <w:szCs w:val="24"/>
        </w:rPr>
        <w:t xml:space="preserve">}</w:t>
      </w:r>
    </w:p>
    <w:p>
      <w:pPr>
        <w:pStyle w:val="Heading3"/>
        <w:spacing w:after="80" w:before="240"/>
      </w:pPr>
      <w:r>
        <w:rPr>
          <w:rFonts w:ascii="Barlow Semi Condensed" w:cs="Barlow Semi Condensed" w:eastAsia="Barlow Semi Condensed" w:hAnsi="Barlow Semi Condensed"/>
          <w:sz w:val="24"/>
          <w:szCs w:val="24"/>
        </w:rPr>
        <w:t xml:space="preserve">Apparato grafico — Appendici · ii. La relazione della campagna di ricerca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V.ii: 11.799 parole in 3 sezioni; la più ampia è §3 Segmento 3, con 11.674.</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V.ii: 6 paragrafi in 3 sezioni, 2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Appendici — V. iii. Il registro degli ingressi</w:t>
      </w:r>
    </w:p>
    <w:p>
      <w:pPr>
        <w:pStyle w:val="Heading1"/>
        <w:spacing w:after="120" w:before="240"/>
      </w:pPr>
      <w:r>
        <w:rPr>
          <w:rFonts w:ascii="Barlow Semi Condensed" w:cs="Barlow Semi Condensed" w:eastAsia="Barlow Semi Condensed" w:hAnsi="Barlow Semi Condensed"/>
          <w:sz w:val="24"/>
          <w:szCs w:val="24"/>
        </w:rPr>
        <w:t xml:space="preserve">Il registro degli ingressi</w:t>
      </w:r>
    </w:p>
    <w:p>
      <w:pPr>
        <w:spacing w:after="120" w:line="276"/>
        <w:jc w:val="both"/>
      </w:pPr>
      <w:r>
        <w:rPr>
          <w:rFonts w:ascii="Barlow Semi Condensed" w:cs="Barlow Semi Condensed" w:eastAsia="Barlow Semi Condensed" w:hAnsi="Barlow Semi Condensed"/>
          <w:sz w:val="24"/>
          <w:szCs w:val="24"/>
        </w:rPr>
        <w:t xml:space="preserve">*Documento prodotto con sistemi di intelligenza artificiale sotto direzione e</w:t>
      </w:r>
    </w:p>
    <w:p>
      <w:pPr>
        <w:spacing w:after="120" w:line="276"/>
        <w:jc w:val="both"/>
      </w:pPr>
      <w:r>
        <w:rPr>
          <w:rFonts w:ascii="Barlow Semi Condensed" w:cs="Barlow Semi Condensed" w:eastAsia="Barlow Semi Condensed" w:hAnsi="Barlow Semi Condensed"/>
          <w:sz w:val="24"/>
          <w:szCs w:val="24"/>
        </w:rPr>
        <w:t xml:space="preserve">responsabilità umana, come ogni documento di quest'opera.*</w:t>
      </w:r>
    </w:p>
    <w:p>
      <w:pPr>
        <w:spacing w:after="120" w:line="276"/>
        <w:jc w:val="both"/>
      </w:pPr>
      <w:r>
        <w:rPr>
          <w:rFonts w:ascii="Barlow Semi Condensed" w:cs="Barlow Semi Condensed" w:eastAsia="Barlow Semi Condensed" w:hAnsi="Barlow Semi Condensed"/>
          <w:sz w:val="24"/>
          <w:szCs w:val="24"/>
        </w:rPr>
        <w:t xml:space="preserve">Un archivio che non dice </w:t>
      </w:r>
      <w:r>
        <w:rPr>
          <w:rFonts w:ascii="Barlow Semi Condensed" w:cs="Barlow Semi Condensed" w:eastAsia="Barlow Semi Condensed" w:hAnsi="Barlow Semi Condensed"/>
          <w:b/>
          <w:bCs/>
          <w:sz w:val="24"/>
          <w:szCs w:val="24"/>
        </w:rPr>
        <w:t xml:space="preserve">che cosa ha rifiutato</w:t>
      </w:r>
      <w:r>
        <w:rPr>
          <w:rFonts w:ascii="Barlow Semi Condensed" w:cs="Barlow Semi Condensed" w:eastAsia="Barlow Semi Condensed" w:hAnsi="Barlow Semi Condensed"/>
          <w:sz w:val="24"/>
          <w:szCs w:val="24"/>
        </w:rPr>
        <w:t xml:space="preserve"> non è verificabile. Si può</w:t>
      </w:r>
    </w:p>
    <w:p>
      <w:pPr>
        <w:spacing w:after="120" w:line="276"/>
        <w:jc w:val="both"/>
      </w:pPr>
      <w:r>
        <w:rPr>
          <w:rFonts w:ascii="Barlow Semi Condensed" w:cs="Barlow Semi Condensed" w:eastAsia="Barlow Semi Condensed" w:hAnsi="Barlow Semi Condensed"/>
          <w:sz w:val="24"/>
          <w:szCs w:val="24"/>
        </w:rPr>
        <w:t xml:space="preserve">controllare ciò che contiene; non si può controllare ciò che ha lasciato fuori,</w:t>
      </w:r>
    </w:p>
    <w:p>
      <w:pPr>
        <w:spacing w:after="120" w:line="276"/>
        <w:jc w:val="both"/>
      </w:pPr>
      <w:r>
        <w:rPr>
          <w:rFonts w:ascii="Barlow Semi Condensed" w:cs="Barlow Semi Condensed" w:eastAsia="Barlow Semi Condensed" w:hAnsi="Barlow Semi Condensed"/>
          <w:sz w:val="24"/>
          <w:szCs w:val="24"/>
        </w:rPr>
        <w:t xml:space="preserve">perché non se ne conosce l'esistenza. Questo registro chiude quella falla per il</w:t>
      </w:r>
    </w:p>
    <w:p>
      <w:pPr>
        <w:spacing w:after="120" w:line="276"/>
        <w:jc w:val="both"/>
      </w:pPr>
      <w:r>
        <w:rPr>
          <w:rFonts w:ascii="Barlow Semi Condensed" w:cs="Barlow Semi Condensed" w:eastAsia="Barlow Semi Condensed" w:hAnsi="Barlow Semi Condensed"/>
          <w:sz w:val="24"/>
          <w:szCs w:val="24"/>
        </w:rPr>
        <w:t xml:space="preserve">versamento del 27 agosto 2026.</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è arrivato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407</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 consegnati</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236</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distinti per impronta</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171</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copie byte per byte</w:t>
            </w:r>
          </w:p>
        </w:tc>
      </w:tr>
      <w:tr>
        <w:tc>
          <w:tcPr>
            <w:tcW w:type="dxa" w:w="4680"/>
          </w:tcPr>
          <w:p>
            <w:pPr>
              <w:spacing w:after="20" w:before="20"/>
              <w:jc w:val="both"/>
            </w:pPr>
            <w:r>
              <w:rPr>
                <w:rFonts w:ascii="Barlow Semi Condensed" w:cs="Barlow Semi Condensed" w:eastAsia="Barlow Semi Condensed" w:hAnsi="Barlow Semi Condensed"/>
                <w:b/>
                <w:bCs/>
                <w:sz w:val="20"/>
                <w:szCs w:val="20"/>
              </w:rPr>
              <w:t xml:space="preserve">96,9 MiB</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peso complessivo dei consegnati</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Più sei archivi compressi, che contengono altri </w:t>
      </w:r>
      <w:r>
        <w:rPr>
          <w:rFonts w:ascii="Barlow Semi Condensed" w:cs="Barlow Semi Condensed" w:eastAsia="Barlow Semi Condensed" w:hAnsi="Barlow Semi Condensed"/>
          <w:b/>
          <w:bCs/>
          <w:sz w:val="24"/>
          <w:szCs w:val="24"/>
        </w:rPr>
        <w:t xml:space="preserve">654 file</w:t>
      </w:r>
      <w:r>
        <w:rPr>
          <w:rFonts w:ascii="Barlow Semi Condensed" w:cs="Barlow Semi Condensed" w:eastAsia="Barlow Semi Condensed" w:hAnsi="Barlow Semi Condensed"/>
          <w:sz w:val="24"/>
          <w:szCs w:val="24"/>
        </w:rPr>
        <w:t xml:space="preserve"> — 483 in uno solo —</w:t>
      </w:r>
    </w:p>
    <w:p>
      <w:pPr>
        <w:spacing w:after="120" w:line="276"/>
        <w:jc w:val="both"/>
      </w:pPr>
      <w:r>
        <w:rPr>
          <w:rFonts w:ascii="Barlow Semi Condensed" w:cs="Barlow Semi Condensed" w:eastAsia="Barlow Semi Condensed" w:hAnsi="Barlow Semi Condensed"/>
          <w:sz w:val="24"/>
          <w:szCs w:val="24"/>
        </w:rPr>
        <w:t xml:space="preserve">e che scompattati pesano </w:t>
      </w:r>
      <w:r>
        <w:rPr>
          <w:rFonts w:ascii="Barlow Semi Condensed" w:cs="Barlow Semi Condensed" w:eastAsia="Barlow Semi Condensed" w:hAnsi="Barlow Semi Condensed"/>
          <w:b/>
          <w:bCs/>
          <w:sz w:val="24"/>
          <w:szCs w:val="24"/>
        </w:rPr>
        <w:t xml:space="preserve">87,7 MiB</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Per formato: 151 </w:t>
      </w:r>
      <w:r>
        <w:rPr>
          <w:rFonts w:ascii="Barlow Semi Condensed" w:cs="Barlow Semi Condensed" w:eastAsia="Barlow Semi Condensed" w:hAnsi="Barlow Semi Condensed"/>
          <w:i/>
          <w:iCs/>
          <w:sz w:val="24"/>
          <w:szCs w:val="24"/>
        </w:rPr>
        <w:t xml:space="preserve">.docx</w:t>
      </w:r>
      <w:r>
        <w:rPr>
          <w:rFonts w:ascii="Barlow Semi Condensed" w:cs="Barlow Semi Condensed" w:eastAsia="Barlow Semi Condensed" w:hAnsi="Barlow Semi Condensed"/>
          <w:sz w:val="24"/>
          <w:szCs w:val="24"/>
        </w:rPr>
        <w:t xml:space="preserve">, 28 </w:t>
      </w:r>
      <w:r>
        <w:rPr>
          <w:rFonts w:ascii="Barlow Semi Condensed" w:cs="Barlow Semi Condensed" w:eastAsia="Barlow Semi Condensed" w:hAnsi="Barlow Semi Condensed"/>
          <w:i/>
          <w:iCs/>
          <w:sz w:val="24"/>
          <w:szCs w:val="24"/>
        </w:rPr>
        <w:t xml:space="preserve">.xlsx</w:t>
      </w:r>
      <w:r>
        <w:rPr>
          <w:rFonts w:ascii="Barlow Semi Condensed" w:cs="Barlow Semi Condensed" w:eastAsia="Barlow Semi Condensed" w:hAnsi="Barlow Semi Condensed"/>
          <w:sz w:val="24"/>
          <w:szCs w:val="24"/>
        </w:rPr>
        <w:t xml:space="preserve">, 19 </w:t>
      </w:r>
      <w:r>
        <w:rPr>
          <w:rFonts w:ascii="Barlow Semi Condensed" w:cs="Barlow Semi Condensed" w:eastAsia="Barlow Semi Condensed" w:hAnsi="Barlow Semi Condensed"/>
          <w:i/>
          <w:iCs/>
          <w:sz w:val="24"/>
          <w:szCs w:val="24"/>
        </w:rPr>
        <w:t xml:space="preserve">.pdf</w:t>
      </w:r>
      <w:r>
        <w:rPr>
          <w:rFonts w:ascii="Barlow Semi Condensed" w:cs="Barlow Semi Condensed" w:eastAsia="Barlow Semi Condensed" w:hAnsi="Barlow Semi Condensed"/>
          <w:sz w:val="24"/>
          <w:szCs w:val="24"/>
        </w:rPr>
        <w:t xml:space="preserve">, 19 </w:t>
      </w:r>
      <w:r>
        <w:rPr>
          <w:rFonts w:ascii="Barlow Semi Condensed" w:cs="Barlow Semi Condensed" w:eastAsia="Barlow Semi Condensed" w:hAnsi="Barlow Semi Condensed"/>
          <w:i/>
          <w:iCs/>
          <w:sz w:val="24"/>
          <w:szCs w:val="24"/>
        </w:rPr>
        <w:t xml:space="preserve">.md</w:t>
      </w:r>
      <w:r>
        <w:rPr>
          <w:rFonts w:ascii="Barlow Semi Condensed" w:cs="Barlow Semi Condensed" w:eastAsia="Barlow Semi Condensed" w:hAnsi="Barlow Semi Condensed"/>
          <w:sz w:val="24"/>
          <w:szCs w:val="24"/>
        </w:rPr>
        <w:t xml:space="preserve">, 6 </w:t>
      </w:r>
      <w:r>
        <w:rPr>
          <w:rFonts w:ascii="Barlow Semi Condensed" w:cs="Barlow Semi Condensed" w:eastAsia="Barlow Semi Condensed" w:hAnsi="Barlow Semi Condensed"/>
          <w:i/>
          <w:iCs/>
          <w:sz w:val="24"/>
          <w:szCs w:val="24"/>
        </w:rPr>
        <w:t xml:space="preserve">.zip</w:t>
      </w:r>
      <w:r>
        <w:rPr>
          <w:rFonts w:ascii="Barlow Semi Condensed" w:cs="Barlow Semi Condensed" w:eastAsia="Barlow Semi Condensed" w:hAnsi="Barlow Semi Condensed"/>
          <w:sz w:val="24"/>
          <w:szCs w:val="24"/>
        </w:rPr>
        <w:t xml:space="preserve">, 6 </w:t>
      </w:r>
      <w:r>
        <w:rPr>
          <w:rFonts w:ascii="Barlow Semi Condensed" w:cs="Barlow Semi Condensed" w:eastAsia="Barlow Semi Condensed" w:hAnsi="Barlow Semi Condensed"/>
          <w:i/>
          <w:iCs/>
          <w:sz w:val="24"/>
          <w:szCs w:val="24"/>
        </w:rPr>
        <w:t xml:space="preserve">.txt</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w:t>
      </w:r>
      <w:r>
        <w:rPr>
          <w:rFonts w:ascii="Barlow Semi Condensed" w:cs="Barlow Semi Condensed" w:eastAsia="Barlow Semi Condensed" w:hAnsi="Barlow Semi Condensed"/>
          <w:i/>
          <w:iCs/>
          <w:sz w:val="24"/>
          <w:szCs w:val="24"/>
        </w:rPr>
        <w:t xml:space="preserve">.mp4</w:t>
      </w:r>
      <w:r>
        <w:rPr>
          <w:rFonts w:ascii="Barlow Semi Condensed" w:cs="Barlow Semi Condensed" w:eastAsia="Barlow Semi Condensed" w:hAnsi="Barlow Semi Condensed"/>
          <w:sz w:val="24"/>
          <w:szCs w:val="24"/>
        </w:rPr>
        <w:t xml:space="preserve">, un </w:t>
      </w:r>
      <w:r>
        <w:rPr>
          <w:rFonts w:ascii="Barlow Semi Condensed" w:cs="Barlow Semi Condensed" w:eastAsia="Barlow Semi Condensed" w:hAnsi="Barlow Semi Condensed"/>
          <w:i/>
          <w:iCs/>
          <w:sz w:val="24"/>
          <w:szCs w:val="24"/>
        </w:rPr>
        <w:t xml:space="preserve">.mht</w:t>
      </w:r>
      <w:r>
        <w:rPr>
          <w:rFonts w:ascii="Barlow Semi Condensed" w:cs="Barlow Semi Condensed" w:eastAsia="Barlow Semi Condensed" w:hAnsi="Barlow Semi Condensed"/>
          <w:sz w:val="24"/>
          <w:szCs w:val="24"/>
        </w:rPr>
        <w:t xml:space="preserve">, un </w:t>
      </w:r>
      <w:r>
        <w:rPr>
          <w:rFonts w:ascii="Barlow Semi Condensed" w:cs="Barlow Semi Condensed" w:eastAsia="Barlow Semi Condensed" w:hAnsi="Barlow Semi Condensed"/>
          <w:i/>
          <w:iCs/>
          <w:sz w:val="24"/>
          <w:szCs w:val="24"/>
        </w:rPr>
        <w:t xml:space="preserve">.py</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Che cosa è entrato</w:t>
      </w:r>
    </w:p>
    <w:p>
      <w:pPr>
        <w:spacing w:after="120" w:line="276"/>
        <w:jc w:val="both"/>
      </w:pPr>
      <w:r>
        <w:rPr>
          <w:rFonts w:ascii="Barlow Semi Condensed" w:cs="Barlow Semi Condensed" w:eastAsia="Barlow Semi Condensed" w:hAnsi="Barlow Semi Condensed"/>
          <w:b/>
          <w:bCs/>
          <w:sz w:val="24"/>
          <w:szCs w:val="24"/>
        </w:rPr>
        <w:t xml:space="preserve">84 documenti</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italia-nera/</w:t>
      </w:r>
      <w:r>
        <w:rPr>
          <w:rFonts w:ascii="Barlow Semi Condensed" w:cs="Barlow Semi Condensed" w:eastAsia="Barlow Semi Condensed" w:hAnsi="Barlow Semi Condensed"/>
          <w:sz w:val="24"/>
          <w:szCs w:val="24"/>
        </w:rPr>
        <w:t xml:space="preserve">, 3.996.057 parole. Il dettaglio per strato sta</w:t>
      </w:r>
    </w:p>
    <w:p>
      <w:pPr>
        <w:spacing w:after="120" w:line="276"/>
        <w:jc w:val="both"/>
      </w:pPr>
      <w:r>
        <w:rPr>
          <w:rFonts w:ascii="Barlow Semi Condensed" w:cs="Barlow Semi Condensed" w:eastAsia="Barlow Semi Condensed" w:hAnsi="Barlow Semi Condensed"/>
          <w:sz w:val="24"/>
          <w:szCs w:val="24"/>
        </w:rPr>
        <w:t xml:space="preserve">nella </w:t>
      </w:r>
      <w:r>
        <w:rPr>
          <w:rFonts w:ascii="Barlow Semi Condensed" w:cs="Barlow Semi Condensed" w:eastAsia="Barlow Semi Condensed" w:hAnsi="Barlow Semi Condensed"/>
          <w:i/>
          <w:iCs/>
          <w:sz w:val="24"/>
          <w:szCs w:val="24"/>
        </w:rPr>
        <w:t xml:space="preserve">nota di perimetro</w:t>
      </w:r>
      <w:r>
        <w:rPr>
          <w:rFonts w:ascii="Barlow Semi Condensed" w:cs="Barlow Semi Condensed" w:eastAsia="Barlow Semi Condensed" w:hAnsi="Barlow Semi Condensed"/>
          <w:sz w:val="24"/>
          <w:szCs w:val="24"/>
        </w:rPr>
        <w:t xml:space="preserve">; qui conta il criterio.</w:t>
      </w:r>
    </w:p>
    <w:p>
      <w:pPr>
        <w:pStyle w:val="Heading2"/>
        <w:spacing w:after="100" w:before="200"/>
      </w:pPr>
      <w:r>
        <w:rPr>
          <w:rFonts w:ascii="Barlow Semi Condensed" w:cs="Barlow Semi Condensed" w:eastAsia="Barlow Semi Condensed" w:hAnsi="Barlow Semi Condensed"/>
          <w:sz w:val="24"/>
          <w:szCs w:val="24"/>
        </w:rPr>
        <w:t xml:space="preserve">Che cosa è stato scartato, e con quale misura</w:t>
      </w:r>
    </w:p>
    <w:p>
      <w:pPr>
        <w:spacing w:after="120" w:line="276"/>
        <w:jc w:val="both"/>
      </w:pPr>
      <w:r>
        <w:rPr>
          <w:rFonts w:ascii="Barlow Semi Condensed" w:cs="Barlow Semi Condensed" w:eastAsia="Barlow Semi Condensed" w:hAnsi="Barlow Semi Condensed"/>
          <w:sz w:val="24"/>
          <w:szCs w:val="24"/>
        </w:rPr>
        <w:t xml:space="preserve">Nulla è stato scartato a occhio. Ogni esclusione porta un numero, e il numero è</w:t>
      </w:r>
    </w:p>
    <w:p>
      <w:pPr>
        <w:spacing w:after="120" w:line="276"/>
        <w:jc w:val="both"/>
      </w:pPr>
      <w:r>
        <w:rPr>
          <w:rFonts w:ascii="Barlow Semi Condensed" w:cs="Barlow Semi Condensed" w:eastAsia="Barlow Semi Condensed" w:hAnsi="Barlow Semi Condensed"/>
          <w:sz w:val="24"/>
          <w:szCs w:val="24"/>
        </w:rPr>
        <w:t xml:space="preserve">il contenimento agli </w:t>
      </w:r>
      <w:r>
        <w:rPr>
          <w:rFonts w:ascii="Barlow Semi Condensed" w:cs="Barlow Semi Condensed" w:eastAsia="Barlow Semi Condensed" w:hAnsi="Barlow Semi Condensed"/>
          <w:b/>
          <w:bCs/>
          <w:sz w:val="24"/>
          <w:szCs w:val="24"/>
        </w:rPr>
        <w:t xml:space="preserve">8-grammi</w:t>
      </w:r>
      <w:r>
        <w:rPr>
          <w:rFonts w:ascii="Barlow Semi Condensed" w:cs="Barlow Semi Condensed" w:eastAsia="Barlow Semi Condensed" w:hAnsi="Barlow Semi Condensed"/>
          <w:sz w:val="24"/>
          <w:szCs w:val="24"/>
        </w:rPr>
        <w:t xml:space="preserve"> — la quota di sequenze di otto parole del</w:t>
      </w:r>
    </w:p>
    <w:p>
      <w:pPr>
        <w:spacing w:after="120" w:line="276"/>
        <w:jc w:val="both"/>
      </w:pPr>
      <w:r>
        <w:rPr>
          <w:rFonts w:ascii="Barlow Semi Condensed" w:cs="Barlow Semi Condensed" w:eastAsia="Barlow Semi Condensed" w:hAnsi="Barlow Semi Condensed"/>
          <w:sz w:val="24"/>
          <w:szCs w:val="24"/>
        </w:rPr>
        <w:t xml:space="preserve">documento in esame che compaiono già in un documento archiviato.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 scartato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 in</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unico totale V69</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Registro V77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94,8 %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Tomo sesto V67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Registro V77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94,2 %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Libro secondo, tomo decimo V68</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Registro V77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88,7 %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ITALIA_NERA_TUTTE_LE_SCHEDE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redazione unificata delle schede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100 %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CENSIMENTO…INTEGRATO</w:t>
            </w:r>
            <w:r>
              <w:rPr>
                <w:rFonts w:ascii="Barlow Semi Condensed" w:cs="Barlow Semi Condensed" w:eastAsia="Barlow Semi Condensed" w:hAnsi="Barlow Semi Condensed"/>
                <w:sz w:val="20"/>
                <w:szCs w:val="20"/>
              </w:rPr>
              <w:t xml:space="preserve"> ×8 e </w:t>
            </w:r>
            <w:r>
              <w:rPr>
                <w:rFonts w:ascii="Barlow Semi Condensed" w:cs="Barlow Semi Condensed" w:eastAsia="Barlow Semi Condensed" w:hAnsi="Barlow Semi Condensed"/>
                <w:i/>
                <w:iCs/>
                <w:sz w:val="20"/>
                <w:szCs w:val="20"/>
              </w:rPr>
              <w:t xml:space="preserve">STRUTTURA_COMPOSITA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censimento massimale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100 %</w:t>
            </w:r>
            <w:r>
              <w:rPr>
                <w:rFonts w:ascii="Barlow Semi Condensed" w:cs="Barlow Semi Condensed" w:eastAsia="Barlow Semi Condensed" w:hAnsi="Barlow Semi Condensed"/>
                <w:sz w:val="20"/>
                <w:szCs w:val="20"/>
              </w:rPr>
              <w:t xml:space="preserve"> (99,6 % l'ultimo)</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REGISTRO_ANALITICO_NODI_CORPUS_5_DOCUMENTI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registro dei nodi, cinque documenti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100 %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CENSIMENTO_NODI_PER_DOMINIO</w:t>
            </w:r>
            <w:r>
              <w:rPr>
                <w:rFonts w:ascii="Barlow Semi Condensed" w:cs="Barlow Semi Condensed" w:eastAsia="Barlow Semi Condensed" w:hAnsi="Barlow Semi Condensed"/>
                <w:sz w:val="20"/>
                <w:szCs w:val="20"/>
              </w:rPr>
              <w:t xml:space="preserve"> (secondo esemplare)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primo esemplare</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100 %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architetto_del_caos_4.pdf</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architetto_del_caos_5.pdf</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100 %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architetto_del_caos_5.docx</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redazione in 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98 %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Scheda ombra KGB (re-invio)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copia in cartella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99,1 %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Schede estratte, lotto secondo (re-invio)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copia in cartella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96,3 %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Nazisti_in_URSS_1.docx</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redazione in PDF</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96 %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Schede estratte, lotto primo (re-invio)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copia in cartella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93,9 %</w:t>
            </w:r>
          </w:p>
        </w:tc>
      </w:tr>
      <w:tr>
        <w:tc>
          <w:tcPr>
            <w:tcW w:type="dxa" w:w="3120"/>
          </w:tcPr>
          <w:p>
            <w:pPr>
              <w:spacing w:after="20" w:before="20"/>
              <w:jc w:val="both"/>
            </w:pPr>
            <w:r>
              <w:rPr>
                <w:rFonts w:ascii="Barlow Semi Condensed" w:cs="Barlow Semi Condensed" w:eastAsia="Barlow Semi Condensed" w:hAnsi="Barlow Semi Condensed"/>
                <w:i/>
                <w:iCs/>
                <w:sz w:val="20"/>
                <w:szCs w:val="20"/>
              </w:rPr>
              <w:t xml:space="preserve">REGISTRO_ANALITICO_NODI_INTEGRALE.docx</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Registro V77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90,3 %</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A queste si aggiungono le copie byte per byte, che non richiedono misura:</w:t>
      </w:r>
    </w:p>
    <w:p>
      <w:pPr>
        <w:spacing w:after="120" w:line="276"/>
        <w:jc w:val="both"/>
      </w:pPr>
      <w:r>
        <w:rPr>
          <w:rFonts w:ascii="Barlow Semi Condensed" w:cs="Barlow Semi Condensed" w:eastAsia="Barlow Semi Condensed" w:hAnsi="Barlow Semi Condensed"/>
          <w:sz w:val="24"/>
          <w:szCs w:val="24"/>
        </w:rPr>
        <w:t xml:space="preserve">un'impronta identica è identità, non somiglianza.</w:t>
      </w:r>
    </w:p>
    <w:p>
      <w:pPr>
        <w:pStyle w:val="Heading3"/>
        <w:spacing w:after="80" w:before="160"/>
      </w:pPr>
      <w:r>
        <w:rPr>
          <w:rFonts w:ascii="Barlow Semi Condensed" w:cs="Barlow Semi Condensed" w:eastAsia="Barlow Semi Condensed" w:hAnsi="Barlow Semi Condensed"/>
          <w:sz w:val="24"/>
          <w:szCs w:val="24"/>
        </w:rPr>
        <w:t xml:space="preserve">Gli ultimi tre invii, che sono i più istruttivi</w:t>
      </w:r>
    </w:p>
    <w:p>
      <w:pPr>
        <w:spacing w:after="120" w:line="276"/>
        <w:jc w:val="both"/>
      </w:pPr>
      <w:r>
        <w:rPr>
          <w:rFonts w:ascii="Barlow Semi Condensed" w:cs="Barlow Semi Condensed" w:eastAsia="Barlow Semi Condensed" w:hAnsi="Barlow Semi Condensed"/>
          <w:sz w:val="24"/>
          <w:szCs w:val="24"/>
        </w:rPr>
        <w:t xml:space="preserve">Quarantotto file consegnati a versamento quasi chiuso, in tre invii successivi.</w:t>
      </w:r>
    </w:p>
    <w:p>
      <w:pPr>
        <w:spacing w:after="120" w:line="276"/>
        <w:jc w:val="both"/>
      </w:pPr>
      <w:r>
        <w:rPr>
          <w:rFonts w:ascii="Barlow Semi Condensed" w:cs="Barlow Semi Condensed" w:eastAsia="Barlow Semi Condensed" w:hAnsi="Barlow Semi Condensed"/>
          <w:b/>
          <w:bCs/>
          <w:sz w:val="24"/>
          <w:szCs w:val="24"/>
        </w:rPr>
        <w:t xml:space="preserve">Ne sono entrati due</w:t>
      </w:r>
      <w:r>
        <w:rPr>
          <w:rFonts w:ascii="Barlow Semi Condensed" w:cs="Barlow Semi Condensed" w:eastAsia="Barlow Semi Condensed" w:hAnsi="Barlow Semi Condensed"/>
          <w:sz w:val="24"/>
          <w:szCs w:val="24"/>
        </w:rPr>
        <w:t xml:space="preserve">, e l'ultimo invio da solo ha prodotto </w:t>
      </w:r>
      <w:r>
        <w:rPr>
          <w:rFonts w:ascii="Barlow Semi Condensed" w:cs="Barlow Semi Condensed" w:eastAsia="Barlow Semi Condensed" w:hAnsi="Barlow Semi Condensed"/>
          <w:b/>
          <w:bCs/>
          <w:sz w:val="24"/>
          <w:szCs w:val="24"/>
        </w:rPr>
        <w:t xml:space="preserve">zero</w:t>
      </w:r>
      <w:r>
        <w:rPr>
          <w:rFonts w:ascii="Barlow Semi Condensed" w:cs="Barlow Semi Condensed" w:eastAsia="Barlow Semi Condensed" w:hAnsi="Barlow Semi Condensed"/>
          <w:sz w:val="24"/>
          <w:szCs w:val="24"/>
        </w:rPr>
        <w:t xml:space="preserve">: sette</w:t>
      </w:r>
    </w:p>
    <w:p>
      <w:pPr>
        <w:spacing w:after="120" w:line="276"/>
        <w:jc w:val="both"/>
      </w:pPr>
      <w:r>
        <w:rPr>
          <w:rFonts w:ascii="Barlow Semi Condensed" w:cs="Barlow Semi Condensed" w:eastAsia="Barlow Semi Condensed" w:hAnsi="Barlow Semi Condensed"/>
          <w:sz w:val="24"/>
          <w:szCs w:val="24"/>
        </w:rPr>
        <w:t xml:space="preserve">copie esatte e nove documenti contenuti fra il </w:t>
      </w:r>
      <w:r>
        <w:rPr>
          <w:rFonts w:ascii="Barlow Semi Condensed" w:cs="Barlow Semi Condensed" w:eastAsia="Barlow Semi Condensed" w:hAnsi="Barlow Semi Condensed"/>
          <w:b/>
          <w:bCs/>
          <w:sz w:val="24"/>
          <w:szCs w:val="24"/>
        </w:rPr>
        <w:t xml:space="preserve">99,7 e il 100 per cento</w:t>
      </w:r>
      <w:r>
        <w:rPr>
          <w:rFonts w:ascii="Barlow Semi Condensed" w:cs="Barlow Semi Condensed" w:eastAsia="Barlow Semi Condensed" w:hAnsi="Barlow Semi Condensed"/>
          <w:sz w:val="24"/>
          <w:szCs w:val="24"/>
        </w:rPr>
        <w:t xml:space="preserve"> in</w:t>
      </w:r>
    </w:p>
    <w:p>
      <w:pPr>
        <w:spacing w:after="120" w:line="276"/>
        <w:jc w:val="both"/>
      </w:pPr>
      <w:r>
        <w:rPr>
          <w:rFonts w:ascii="Barlow Semi Condensed" w:cs="Barlow Semi Condensed" w:eastAsia="Barlow Semi Condensed" w:hAnsi="Barlow Semi Condensed"/>
          <w:sz w:val="24"/>
          <w:szCs w:val="24"/>
        </w:rPr>
        <w:t xml:space="preserve">documenti archiviati poche ore prima — gli stessi registri di sessione,</w:t>
      </w:r>
    </w:p>
    <w:p>
      <w:pPr>
        <w:spacing w:after="120" w:line="276"/>
        <w:jc w:val="both"/>
      </w:pPr>
      <w:r>
        <w:rPr>
          <w:rFonts w:ascii="Barlow Semi Condensed" w:cs="Barlow Semi Condensed" w:eastAsia="Barlow Semi Condensed" w:hAnsi="Barlow Semi Condensed"/>
          <w:sz w:val="24"/>
          <w:szCs w:val="24"/>
        </w:rPr>
        <w:t xml:space="preserve">riconsegnati in </w:t>
      </w:r>
      <w:r>
        <w:rPr>
          <w:rFonts w:ascii="Barlow Semi Condensed" w:cs="Barlow Semi Condensed" w:eastAsia="Barlow Semi Condensed" w:hAnsi="Barlow Semi Condensed"/>
          <w:i/>
          <w:iCs/>
          <w:sz w:val="24"/>
          <w:szCs w:val="24"/>
        </w:rPr>
        <w:t xml:space="preserve">.docx</w:t>
      </w:r>
      <w:r>
        <w:rPr>
          <w:rFonts w:ascii="Barlow Semi Condensed" w:cs="Barlow Semi Condensed" w:eastAsia="Barlow Semi Condensed" w:hAnsi="Barlow Semi Condensed"/>
          <w:sz w:val="24"/>
          <w:szCs w:val="24"/>
        </w:rPr>
        <w:t xml:space="preserve">, in </w:t>
      </w:r>
      <w:r>
        <w:rPr>
          <w:rFonts w:ascii="Barlow Semi Condensed" w:cs="Barlow Semi Condensed" w:eastAsia="Barlow Semi Condensed" w:hAnsi="Barlow Semi Condensed"/>
          <w:i/>
          <w:iCs/>
          <w:sz w:val="24"/>
          <w:szCs w:val="24"/>
        </w:rPr>
        <w:t xml:space="preserve">.md</w:t>
      </w:r>
      <w:r>
        <w:rPr>
          <w:rFonts w:ascii="Barlow Semi Condensed" w:cs="Barlow Semi Condensed" w:eastAsia="Barlow Semi Condensed" w:hAnsi="Barlow Semi Condensed"/>
          <w:sz w:val="24"/>
          <w:szCs w:val="24"/>
        </w:rPr>
        <w:t xml:space="preserve"> e in </w:t>
      </w:r>
      <w:r>
        <w:rPr>
          <w:rFonts w:ascii="Barlow Semi Condensed" w:cs="Barlow Semi Condensed" w:eastAsia="Barlow Semi Condensed" w:hAnsi="Barlow Semi Condensed"/>
          <w:i/>
          <w:iCs/>
          <w:sz w:val="24"/>
          <w:szCs w:val="24"/>
        </w:rPr>
        <w:t xml:space="preserve">.pdf</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Non è un rimprovero a chi li ha inviati: è la ragione per cui questo registro</w:t>
      </w:r>
    </w:p>
    <w:p>
      <w:pPr>
        <w:spacing w:after="120" w:line="276"/>
        <w:jc w:val="both"/>
      </w:pPr>
      <w:r>
        <w:rPr>
          <w:rFonts w:ascii="Barlow Semi Condensed" w:cs="Barlow Semi Condensed" w:eastAsia="Barlow Semi Condensed" w:hAnsi="Barlow Semi Condensed"/>
          <w:sz w:val="24"/>
          <w:szCs w:val="24"/>
        </w:rPr>
        <w:t xml:space="preserve">esiste. Senza una misura, quarantotto file in arrivo sembrano quarantotto</w:t>
      </w:r>
    </w:p>
    <w:p>
      <w:pPr>
        <w:spacing w:after="120" w:line="276"/>
        <w:jc w:val="both"/>
      </w:pPr>
      <w:r>
        <w:rPr>
          <w:rFonts w:ascii="Barlow Semi Condensed" w:cs="Barlow Semi Condensed" w:eastAsia="Barlow Semi Condensed" w:hAnsi="Barlow Semi Condensed"/>
          <w:sz w:val="24"/>
          <w:szCs w:val="24"/>
        </w:rPr>
        <w:t xml:space="preserve">documenti, e un archivio che li accogliesse tutti crescerebbe di duecentomila</w:t>
      </w:r>
    </w:p>
    <w:p>
      <w:pPr>
        <w:spacing w:after="120" w:line="276"/>
        <w:jc w:val="both"/>
      </w:pPr>
      <w:r>
        <w:rPr>
          <w:rFonts w:ascii="Barlow Semi Condensed" w:cs="Barlow Semi Condensed" w:eastAsia="Barlow Semi Condensed" w:hAnsi="Barlow Semi Condensed"/>
          <w:sz w:val="24"/>
          <w:szCs w:val="24"/>
        </w:rPr>
        <w:t xml:space="preserve">parole senza guadagnare una riga. Con la misura sono due — e il fatto che siano</w:t>
      </w:r>
    </w:p>
    <w:p>
      <w:pPr>
        <w:spacing w:after="120" w:line="276"/>
        <w:jc w:val="both"/>
      </w:pPr>
      <w:r>
        <w:rPr>
          <w:rFonts w:ascii="Barlow Semi Condensed" w:cs="Barlow Semi Condensed" w:eastAsia="Barlow Semi Condensed" w:hAnsi="Barlow Semi Condensed"/>
          <w:sz w:val="24"/>
          <w:szCs w:val="24"/>
        </w:rPr>
        <w:t xml:space="preserve">due è esso stesso un dato sullo stato del lavoro. Su 407 file consegnati in</w:t>
      </w:r>
    </w:p>
    <w:p>
      <w:pPr>
        <w:spacing w:after="120" w:line="276"/>
        <w:jc w:val="both"/>
      </w:pPr>
      <w:r>
        <w:rPr>
          <w:rFonts w:ascii="Barlow Semi Condensed" w:cs="Barlow Semi Condensed" w:eastAsia="Barlow Semi Condensed" w:hAnsi="Barlow Semi Condensed"/>
          <w:sz w:val="24"/>
          <w:szCs w:val="24"/>
        </w:rPr>
        <w:t xml:space="preserve">tutta la sessione, </w:t>
      </w:r>
      <w:r>
        <w:rPr>
          <w:rFonts w:ascii="Barlow Semi Condensed" w:cs="Barlow Semi Condensed" w:eastAsia="Barlow Semi Condensed" w:hAnsi="Barlow Semi Condensed"/>
          <w:b/>
          <w:bCs/>
          <w:sz w:val="24"/>
          <w:szCs w:val="24"/>
        </w:rPr>
        <w:t xml:space="preserve">171 erano copie byte per byte</w:t>
      </w:r>
      <w:r>
        <w:rPr>
          <w:rFonts w:ascii="Barlow Semi Condensed" w:cs="Barlow Semi Condensed" w:eastAsia="Barlow Semi Condensed" w:hAnsi="Barlow Semi Condensed"/>
          <w:sz w:val="24"/>
          <w:szCs w:val="24"/>
        </w:rPr>
        <w:t xml:space="preserve">: due su cinque. Il numero dei</w:t>
      </w:r>
    </w:p>
    <w:p>
      <w:pPr>
        <w:spacing w:after="120" w:line="276"/>
        <w:jc w:val="both"/>
      </w:pPr>
      <w:r>
        <w:rPr>
          <w:rFonts w:ascii="Barlow Semi Condensed" w:cs="Barlow Semi Condensed" w:eastAsia="Barlow Semi Condensed" w:hAnsi="Barlow Semi Condensed"/>
          <w:sz w:val="24"/>
          <w:szCs w:val="24"/>
        </w:rPr>
        <w:t xml:space="preserve">file distinti si è fermato a </w:t>
      </w:r>
      <w:r>
        <w:rPr>
          <w:rFonts w:ascii="Barlow Semi Condensed" w:cs="Barlow Semi Condensed" w:eastAsia="Barlow Semi Condensed" w:hAnsi="Barlow Semi Condensed"/>
          <w:b/>
          <w:bCs/>
          <w:sz w:val="24"/>
          <w:szCs w:val="24"/>
        </w:rPr>
        <w:t xml:space="preserve">236</w:t>
      </w:r>
      <w:r>
        <w:rPr>
          <w:rFonts w:ascii="Barlow Semi Condensed" w:cs="Barlow Semi Condensed" w:eastAsia="Barlow Semi Condensed" w:hAnsi="Barlow Semi Condensed"/>
          <w:sz w:val="24"/>
          <w:szCs w:val="24"/>
        </w:rPr>
        <w:t xml:space="preserve"> e non si muove più: gli ultimi sedici non ne</w:t>
      </w:r>
    </w:p>
    <w:p>
      <w:pPr>
        <w:spacing w:after="120" w:line="276"/>
        <w:jc w:val="both"/>
      </w:pPr>
      <w:r>
        <w:rPr>
          <w:rFonts w:ascii="Barlow Semi Condensed" w:cs="Barlow Semi Condensed" w:eastAsia="Barlow Semi Condensed" w:hAnsi="Barlow Semi Condensed"/>
          <w:sz w:val="24"/>
          <w:szCs w:val="24"/>
        </w:rPr>
        <w:t xml:space="preserve">hanno aggiunto nessuno.</w:t>
      </w:r>
    </w:p>
    <w:p>
      <w:pPr>
        <w:spacing w:after="120" w:line="276"/>
        <w:jc w:val="both"/>
      </w:pPr>
      <w:r>
        <w:rPr>
          <w:rFonts w:ascii="Barlow Semi Condensed" w:cs="Barlow Semi Condensed" w:eastAsia="Barlow Semi Condensed" w:hAnsi="Barlow Semi Condensed"/>
          <w:sz w:val="24"/>
          <w:szCs w:val="24"/>
        </w:rPr>
        <w:t xml:space="preserve">*L'ultimo invio ha però rovesciato la tendenza, e va detto con la stessa</w:t>
      </w:r>
    </w:p>
    <w:p>
      <w:pPr>
        <w:spacing w:after="120" w:line="276"/>
        <w:jc w:val="both"/>
      </w:pPr>
      <w:r>
        <w:rPr>
          <w:rFonts w:ascii="Barlow Semi Condensed" w:cs="Barlow Semi Condensed" w:eastAsia="Barlow Semi Condensed" w:hAnsi="Barlow Semi Condensed"/>
          <w:sz w:val="24"/>
          <w:szCs w:val="24"/>
        </w:rPr>
        <w:t xml:space="preserve">franchezza: sedici file, dodici entrati, fra cui l'intera serie dei registri</w:t>
      </w:r>
    </w:p>
    <w:p>
      <w:pPr>
        <w:spacing w:after="120" w:line="276"/>
        <w:jc w:val="both"/>
      </w:pPr>
      <w:r>
        <w:rPr>
          <w:rFonts w:ascii="Barlow Semi Condensed" w:cs="Barlow Semi Condensed" w:eastAsia="Barlow Semi Condensed" w:hAnsi="Barlow Semi Condensed"/>
          <w:sz w:val="24"/>
          <w:szCs w:val="24"/>
        </w:rPr>
        <w:t xml:space="preserve">dominiali dal D02 al D10 e il registro dei candidati alla formalizzazione, che</w:t>
      </w:r>
    </w:p>
    <w:p>
      <w:pPr>
        <w:spacing w:after="120" w:line="276"/>
        <w:jc w:val="both"/>
      </w:pPr>
      <w:r>
        <w:rPr>
          <w:rFonts w:ascii="Barlow Semi Condensed" w:cs="Barlow Semi Condensed" w:eastAsia="Barlow Semi Condensed" w:hAnsi="Barlow Semi Condensed"/>
          <w:sz w:val="24"/>
          <w:szCs w:val="24"/>
        </w:rPr>
        <w:t xml:space="preserve">con 214.465 parole sta dentro il Registro V77 per lo </w:t>
      </w:r>
      <w:r>
        <w:rPr>
          <w:rFonts w:ascii="Barlow Semi Condensed" w:cs="Barlow Semi Condensed" w:eastAsia="Barlow Semi Condensed" w:hAnsi="Barlow Semi Condensed"/>
          <w:b/>
          <w:bCs/>
          <w:sz w:val="24"/>
          <w:szCs w:val="24"/>
        </w:rPr>
        <w:t xml:space="preserve">0,1 per cento</w:t>
      </w:r>
      <w:r>
        <w:rPr>
          <w:rFonts w:ascii="Barlow Semi Condensed" w:cs="Barlow Semi Condensed" w:eastAsia="Barlow Semi Condensed" w:hAnsi="Barlow Semi Condensed"/>
          <w:sz w:val="24"/>
          <w:szCs w:val="24"/>
        </w:rPr>
        <w:t xml:space="preserve">. I</w:t>
      </w:r>
    </w:p>
    <w:p>
      <w:pPr>
        <w:spacing w:after="120" w:line="276"/>
        <w:jc w:val="both"/>
      </w:pPr>
      <w:r>
        <w:rPr>
          <w:rFonts w:ascii="Barlow Semi Condensed" w:cs="Barlow Semi Condensed" w:eastAsia="Barlow Semi Condensed" w:hAnsi="Barlow Semi Condensed"/>
          <w:sz w:val="24"/>
          <w:szCs w:val="24"/>
        </w:rPr>
        <w:t xml:space="preserve">dominiali stanno fra il 42 e il 49: riordinare per dominio non è ricopiare. Un</w:t>
      </w:r>
    </w:p>
    <w:p>
      <w:pPr>
        <w:spacing w:after="120" w:line="276"/>
        <w:jc w:val="both"/>
      </w:pPr>
      <w:r>
        <w:rPr>
          <w:rFonts w:ascii="Barlow Semi Condensed" w:cs="Barlow Semi Condensed" w:eastAsia="Barlow Semi Condensed" w:hAnsi="Barlow Semi Condensed"/>
          <w:sz w:val="24"/>
          <w:szCs w:val="24"/>
        </w:rPr>
        <w:t xml:space="preserve">registro degli ingressi serve anche a questo — a non trasformare tre invii magri</w:t>
      </w:r>
    </w:p>
    <w:p>
      <w:pPr>
        <w:spacing w:after="120" w:line="276"/>
        <w:jc w:val="both"/>
      </w:pPr>
      <w:r>
        <w:rPr>
          <w:rFonts w:ascii="Barlow Semi Condensed" w:cs="Barlow Semi Condensed" w:eastAsia="Barlow Semi Condensed" w:hAnsi="Barlow Semi Condensed"/>
          <w:sz w:val="24"/>
          <w:szCs w:val="24"/>
        </w:rPr>
        <w:t xml:space="preserve">in un pregiudizio sul quarto.*</w:t>
      </w:r>
    </w:p>
    <w:p>
      <w:pPr>
        <w:pStyle w:val="Heading2"/>
        <w:spacing w:after="100" w:before="200"/>
      </w:pPr>
      <w:r>
        <w:rPr>
          <w:rFonts w:ascii="Barlow Semi Condensed" w:cs="Barlow Semi Condensed" w:eastAsia="Barlow Semi Condensed" w:hAnsi="Barlow Semi Condensed"/>
          <w:sz w:val="24"/>
          <w:szCs w:val="24"/>
        </w:rPr>
        <w:t xml:space="preserve">Che cosa è entrato benché somigliasse</w:t>
      </w:r>
    </w:p>
    <w:p>
      <w:pPr>
        <w:spacing w:after="120" w:line="276"/>
        <w:jc w:val="both"/>
      </w:pPr>
      <w:r>
        <w:rPr>
          <w:rFonts w:ascii="Barlow Semi Condensed" w:cs="Barlow Semi Condensed" w:eastAsia="Barlow Semi Condensed" w:hAnsi="Barlow Semi Condensed"/>
          <w:sz w:val="24"/>
          <w:szCs w:val="24"/>
        </w:rPr>
        <w:t xml:space="preserve">La simmetria conta quanto l'elenco sopra. Tre casi sono stati </w:t>
      </w:r>
      <w:r>
        <w:rPr>
          <w:rFonts w:ascii="Barlow Semi Condensed" w:cs="Barlow Semi Condensed" w:eastAsia="Barlow Semi Condensed" w:hAnsi="Barlow Semi Condensed"/>
          <w:b/>
          <w:bCs/>
          <w:sz w:val="24"/>
          <w:szCs w:val="24"/>
        </w:rPr>
        <w:t xml:space="preserve">tenuti</w:t>
      </w:r>
      <w:r>
        <w:rPr>
          <w:rFonts w:ascii="Barlow Semi Condensed" w:cs="Barlow Semi Condensed" w:eastAsia="Barlow Semi Condensed" w:hAnsi="Barlow Semi Condensed"/>
          <w:sz w:val="24"/>
          <w:szCs w:val="24"/>
        </w:rPr>
        <w:t xml:space="preserve"> malgrado</w:t>
      </w:r>
    </w:p>
    <w:p>
      <w:pPr>
        <w:spacing w:after="120" w:line="276"/>
        <w:jc w:val="both"/>
      </w:pPr>
      <w:r>
        <w:rPr>
          <w:rFonts w:ascii="Barlow Semi Condensed" w:cs="Barlow Semi Condensed" w:eastAsia="Barlow Semi Condensed" w:hAnsi="Barlow Semi Condensed"/>
          <w:sz w:val="24"/>
          <w:szCs w:val="24"/>
        </w:rPr>
        <w:t xml:space="preserve">un contenimento alto, e la ragione è sempre la stessa: un documento che ne</w:t>
      </w:r>
    </w:p>
    <w:p>
      <w:pPr>
        <w:spacing w:after="120" w:line="276"/>
        <w:jc w:val="both"/>
      </w:pPr>
      <w:r>
        <w:rPr>
          <w:rFonts w:ascii="Barlow Semi Condensed" w:cs="Barlow Semi Condensed" w:eastAsia="Barlow Semi Condensed" w:hAnsi="Barlow Semi Condensed"/>
          <w:sz w:val="24"/>
          <w:szCs w:val="24"/>
        </w:rPr>
        <w:t xml:space="preserve">contiene un altro e vi aggiunge qualcosa non è una copia, è uno strato — e</w:t>
      </w:r>
    </w:p>
    <w:p>
      <w:pPr>
        <w:spacing w:after="120" w:line="276"/>
        <w:jc w:val="both"/>
      </w:pPr>
      <w:r>
        <w:rPr>
          <w:rFonts w:ascii="Barlow Semi Condensed" w:cs="Barlow Semi Condensed" w:eastAsia="Barlow Semi Condensed" w:hAnsi="Barlow Semi Condensed"/>
          <w:sz w:val="24"/>
          <w:szCs w:val="24"/>
        </w:rPr>
        <w:t xml:space="preserve">sostituire lo strato anteriore col posteriore cancella la possibilità di</w:t>
      </w:r>
    </w:p>
    <w:p>
      <w:pPr>
        <w:spacing w:after="120" w:line="276"/>
        <w:jc w:val="both"/>
      </w:pPr>
      <w:r>
        <w:rPr>
          <w:rFonts w:ascii="Barlow Semi Condensed" w:cs="Barlow Semi Condensed" w:eastAsia="Barlow Semi Condensed" w:hAnsi="Barlow Semi Condensed"/>
          <w:sz w:val="24"/>
          <w:szCs w:val="24"/>
        </w:rPr>
        <w:t xml:space="preserve">controllare che cosa sia cambiato.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 tenuto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 in</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aggiunge</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Schede complete, ventotto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lotto primo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86,4 %</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tre schede: antimafia Puglia, relazione Pellegrino, struttura dell'opera</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Libro primo — Italia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Registro V77</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83,3 %</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 redazione definitiva di una parte del Registro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Le sedici schede D05 «sinaptiche»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le sedici ordinarie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45,1 % medio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l'analisi degli archi, che nelle ordinarie manca</w:t>
            </w:r>
          </w:p>
        </w:tc>
      </w:tr>
    </w:tbl>
    <w:p>
      <w:pPr>
        <w:spacing w:after="80"/>
      </w:pPr>
    </w:p>
    <w:p>
      <w:pPr>
        <w:pStyle w:val="Heading2"/>
        <w:spacing w:after="100" w:before="200"/>
      </w:pPr>
      <w:r>
        <w:rPr>
          <w:rFonts w:ascii="Barlow Semi Condensed" w:cs="Barlow Semi Condensed" w:eastAsia="Barlow Semi Condensed" w:hAnsi="Barlow Semi Condensed"/>
          <w:sz w:val="24"/>
          <w:szCs w:val="24"/>
        </w:rPr>
        <w:t xml:space="preserve">Che cosa è stato troncato, e dove si ritrova</w:t>
      </w:r>
    </w:p>
    <w:p>
      <w:pPr>
        <w:spacing w:after="120" w:line="276"/>
        <w:jc w:val="both"/>
      </w:pPr>
      <w:r>
        <w:rPr>
          <w:rFonts w:ascii="Barlow Semi Condensed" w:cs="Barlow Semi Condensed" w:eastAsia="Barlow Semi Condensed" w:hAnsi="Barlow Semi Condensed"/>
          <w:sz w:val="24"/>
          <w:szCs w:val="24"/>
        </w:rPr>
        <w:t xml:space="preserve">Un solo taglio in tutto il versamento, e riguarda i corpi dei documenti CIA:</w:t>
      </w:r>
    </w:p>
    <w:p>
      <w:pPr>
        <w:spacing w:after="120" w:line="276"/>
        <w:jc w:val="both"/>
      </w:pPr>
      <w:r>
        <w:rPr>
          <w:rFonts w:ascii="Barlow Semi Condensed" w:cs="Barlow Semi Condensed" w:eastAsia="Barlow Semi Condensed" w:hAnsi="Barlow Semi Condensed"/>
          <w:b/>
          <w:bCs/>
          <w:sz w:val="24"/>
          <w:szCs w:val="24"/>
        </w:rPr>
        <w:t xml:space="preserve">55 schede su 119</w:t>
      </w:r>
      <w:r>
        <w:rPr>
          <w:rFonts w:ascii="Barlow Semi Condensed" w:cs="Barlow Semi Condensed" w:eastAsia="Barlow Semi Condensed" w:hAnsi="Barlow Semi Condensed"/>
          <w:sz w:val="24"/>
          <w:szCs w:val="24"/>
        </w:rPr>
        <w:t xml:space="preserve"> superavano le seimila parole di testo riconosciuto</w:t>
      </w:r>
    </w:p>
    <w:p>
      <w:pPr>
        <w:spacing w:after="120" w:line="276"/>
        <w:jc w:val="both"/>
      </w:pPr>
      <w:r>
        <w:rPr>
          <w:rFonts w:ascii="Barlow Semi Condensed" w:cs="Barlow Semi Condensed" w:eastAsia="Barlow Semi Condensed" w:hAnsi="Barlow Semi Condensed"/>
          <w:sz w:val="24"/>
          <w:szCs w:val="24"/>
        </w:rPr>
        <w:t xml:space="preserve">otticamente, e sono riportate fino a quella soglia. Le due maggiori sono</w:t>
      </w:r>
    </w:p>
    <w:p>
      <w:pPr>
        <w:spacing w:after="120" w:line="276"/>
        <w:jc w:val="both"/>
      </w:pPr>
      <w:r>
        <w:rPr>
          <w:rFonts w:ascii="Barlow Semi Condensed" w:cs="Barlow Semi Condensed" w:eastAsia="Barlow Semi Condensed" w:hAnsi="Barlow Semi Condensed"/>
          <w:i/>
          <w:iCs/>
          <w:sz w:val="24"/>
          <w:szCs w:val="24"/>
        </w:rPr>
        <w:t xml:space="preserve">gazetteer</w:t>
      </w:r>
      <w:r>
        <w:rPr>
          <w:rFonts w:ascii="Barlow Semi Condensed" w:cs="Barlow Semi Condensed" w:eastAsia="Barlow Semi Condensed" w:hAnsi="Barlow Semi Condensed"/>
          <w:sz w:val="24"/>
          <w:szCs w:val="24"/>
        </w:rPr>
        <w:t xml:space="preserve"> — indici di toponimi con coordinate — per 254.000 e 151.000 parole di</w:t>
      </w:r>
    </w:p>
    <w:p>
      <w:pPr>
        <w:spacing w:after="120" w:line="276"/>
        <w:jc w:val="both"/>
      </w:pPr>
      <w:r>
        <w:rPr>
          <w:rFonts w:ascii="Barlow Semi Condensed" w:cs="Barlow Semi Condensed" w:eastAsia="Barlow Semi Condensed" w:hAnsi="Barlow Semi Condensed"/>
          <w:sz w:val="24"/>
          <w:szCs w:val="24"/>
        </w:rPr>
        <w:t xml:space="preserve">tabella. Ogni troncamento è dichiarato in fondo alla propria scheda col numero</w:t>
      </w:r>
    </w:p>
    <w:p>
      <w:pPr>
        <w:spacing w:after="120" w:line="276"/>
        <w:jc w:val="both"/>
      </w:pPr>
      <w:r>
        <w:rPr>
          <w:rFonts w:ascii="Barlow Semi Condensed" w:cs="Barlow Semi Condensed" w:eastAsia="Barlow Semi Condensed" w:hAnsi="Barlow Semi Condensed"/>
          <w:sz w:val="24"/>
          <w:szCs w:val="24"/>
        </w:rPr>
        <w:t xml:space="preserve">esatto di parole omesse, e </w:t>
      </w:r>
      <w:r>
        <w:rPr>
          <w:rFonts w:ascii="Barlow Semi Condensed" w:cs="Barlow Semi Condensed" w:eastAsia="Barlow Semi Condensed" w:hAnsi="Barlow Semi Condensed"/>
          <w:b/>
          <w:bCs/>
          <w:sz w:val="24"/>
          <w:szCs w:val="24"/>
        </w:rPr>
        <w:t xml:space="preserve">il documento intero resta raggiungibile</w:t>
      </w:r>
      <w:r>
        <w:rPr>
          <w:rFonts w:ascii="Barlow Semi Condensed" w:cs="Barlow Semi Condensed" w:eastAsia="Barlow Semi Condensed" w:hAnsi="Barlow Semi Condensed"/>
          <w:sz w:val="24"/>
          <w:szCs w:val="24"/>
        </w:rPr>
        <w:t xml:space="preserve"> attraverso</w:t>
      </w:r>
    </w:p>
    <w:p>
      <w:pPr>
        <w:spacing w:after="120" w:line="276"/>
        <w:jc w:val="both"/>
      </w:pPr>
      <w:r>
        <w:rPr>
          <w:rFonts w:ascii="Barlow Semi Condensed" w:cs="Barlow Semi Condensed" w:eastAsia="Barlow Semi Condensed" w:hAnsi="Barlow Semi Condensed"/>
          <w:sz w:val="24"/>
          <w:szCs w:val="24"/>
        </w:rPr>
        <w:t xml:space="preserve">il numero CREST che la scheda porta in testa. Si perde la copia, non la fonte.</w:t>
      </w:r>
    </w:p>
    <w:p>
      <w:pPr>
        <w:pStyle w:val="Heading2"/>
        <w:spacing w:after="100" w:before="200"/>
      </w:pPr>
      <w:r>
        <w:rPr>
          <w:rFonts w:ascii="Barlow Semi Condensed" w:cs="Barlow Semi Condensed" w:eastAsia="Barlow Semi Condensed" w:hAnsi="Barlow Semi Condensed"/>
          <w:sz w:val="24"/>
          <w:szCs w:val="24"/>
        </w:rPr>
        <w:t xml:space="preserve">Una normalizzazione tipografica, dichiarata perché tocca documenti archiviati</w:t>
      </w:r>
    </w:p>
    <w:p>
      <w:pPr>
        <w:spacing w:after="120" w:line="276"/>
        <w:jc w:val="both"/>
      </w:pPr>
      <w:r>
        <w:rPr>
          <w:rFonts w:ascii="Barlow Semi Condensed" w:cs="Barlow Semi Condensed" w:eastAsia="Barlow Semi Condensed" w:hAnsi="Barlow Semi Condensed"/>
          <w:sz w:val="24"/>
          <w:szCs w:val="24"/>
        </w:rPr>
        <w:t xml:space="preserve">Il 27 agosto </w:t>
      </w:r>
      <w:r>
        <w:rPr>
          <w:rFonts w:ascii="Barlow Semi Condensed" w:cs="Barlow Semi Condensed" w:eastAsia="Barlow Semi Condensed" w:hAnsi="Barlow Semi Condensed"/>
          <w:b/>
          <w:bCs/>
          <w:sz w:val="24"/>
          <w:szCs w:val="24"/>
        </w:rPr>
        <w:t xml:space="preserve">8.900 marcatori di grassetto</w:t>
      </w:r>
      <w:r>
        <w:rPr>
          <w:rFonts w:ascii="Barlow Semi Condensed" w:cs="Barlow Semi Condensed" w:eastAsia="Barlow Semi Condensed" w:hAnsi="Barlow Semi Condensed"/>
          <w:sz w:val="24"/>
          <w:szCs w:val="24"/>
        </w:rPr>
        <w:t xml:space="preserve"> sono stati rimossi da **37</w:t>
      </w:r>
    </w:p>
    <w:p>
      <w:pPr>
        <w:spacing w:after="120" w:line="276"/>
        <w:jc w:val="both"/>
      </w:pPr>
      <w:r>
        <w:rPr>
          <w:rFonts w:ascii="Barlow Semi Condensed" w:cs="Barlow Semi Condensed" w:eastAsia="Barlow Semi Condensed" w:hAnsi="Barlow Semi Condensed"/>
          <w:sz w:val="24"/>
          <w:szCs w:val="24"/>
        </w:rPr>
        <w:t xml:space="preserve">documenti**: il Libro quindicesimo per intero e trentasei fra ricognizioni</w:t>
      </w:r>
    </w:p>
    <w:p>
      <w:pPr>
        <w:spacing w:after="120" w:line="276"/>
        <w:jc w:val="both"/>
      </w:pPr>
      <w:r>
        <w:rPr>
          <w:rFonts w:ascii="Barlow Semi Condensed" w:cs="Barlow Semi Condensed" w:eastAsia="Barlow Semi Condensed" w:hAnsi="Barlow Semi Condensed"/>
          <w:sz w:val="24"/>
          <w:szCs w:val="24"/>
        </w:rPr>
        <w:t xml:space="preserve">Farnesina e registri analitici, per </w:t>
      </w:r>
      <w:r>
        <w:rPr>
          <w:rFonts w:ascii="Barlow Semi Condensed" w:cs="Barlow Semi Condensed" w:eastAsia="Barlow Semi Condensed" w:hAnsi="Barlow Semi Condensed"/>
          <w:b/>
          <w:bCs/>
          <w:sz w:val="24"/>
          <w:szCs w:val="24"/>
        </w:rPr>
        <w:t xml:space="preserve">198.503 parole</w:t>
      </w:r>
      <w:r>
        <w:rPr>
          <w:rFonts w:ascii="Barlow Semi Condensed" w:cs="Barlow Semi Condensed" w:eastAsia="Barlow Semi Condensed" w:hAnsi="Barlow Semi Condensed"/>
          <w:sz w:val="24"/>
          <w:szCs w:val="24"/>
        </w:rPr>
        <w:t xml:space="preserve">, il diciassette per cento</w:t>
      </w:r>
    </w:p>
    <w:p>
      <w:pPr>
        <w:spacing w:after="120" w:line="276"/>
        <w:jc w:val="both"/>
      </w:pPr>
      <w:r>
        <w:rPr>
          <w:rFonts w:ascii="Barlow Semi Condensed" w:cs="Barlow Semi Condensed" w:eastAsia="Barlow Semi Condensed" w:hAnsi="Barlow Semi Condensed"/>
          <w:sz w:val="24"/>
          <w:szCs w:val="24"/>
        </w:rPr>
        <w:t xml:space="preserve">del volume.</w:t>
      </w:r>
    </w:p>
    <w:p>
      <w:pPr>
        <w:spacing w:after="120" w:line="276"/>
        <w:jc w:val="both"/>
      </w:pPr>
      <w:r>
        <w:rPr>
          <w:rFonts w:ascii="Barlow Semi Condensed" w:cs="Barlow Semi Condensed" w:eastAsia="Barlow Semi Condensed" w:hAnsi="Barlow Semi Condensed"/>
          <w:sz w:val="24"/>
          <w:szCs w:val="24"/>
        </w:rPr>
        <w:t xml:space="preserve">Quei documenti arrivavano dai DOCX con **ogni paragrafo interamente in</w:t>
      </w:r>
    </w:p>
    <w:p>
      <w:pPr>
        <w:spacing w:after="120" w:line="276"/>
        <w:jc w:val="both"/>
      </w:pPr>
      <w:r>
        <w:rPr>
          <w:rFonts w:ascii="Barlow Semi Condensed" w:cs="Barlow Semi Condensed" w:eastAsia="Barlow Semi Condensed" w:hAnsi="Barlow Semi Condensed"/>
          <w:sz w:val="24"/>
          <w:szCs w:val="24"/>
        </w:rPr>
        <w:t xml:space="preserve">grassetto**. Non era una scelta d'autore ma un residuo della conversione, e un</w:t>
      </w:r>
    </w:p>
    <w:p>
      <w:pPr>
        <w:spacing w:after="120" w:line="276"/>
        <w:jc w:val="both"/>
      </w:pPr>
      <w:r>
        <w:rPr>
          <w:rFonts w:ascii="Barlow Semi Condensed" w:cs="Barlow Semi Condensed" w:eastAsia="Barlow Semi Condensed" w:hAnsi="Barlow Semi Condensed"/>
          <w:sz w:val="24"/>
          <w:szCs w:val="24"/>
        </w:rPr>
        <w:t xml:space="preserve">grassetto che sta ovunque non distingue nulla: nessun libro si stampa così, e la</w:t>
      </w:r>
    </w:p>
    <w:p>
      <w:pPr>
        <w:spacing w:after="120" w:line="276"/>
        <w:jc w:val="both"/>
      </w:pPr>
      <w:r>
        <w:rPr>
          <w:rFonts w:ascii="Barlow Semi Condensed" w:cs="Barlow Semi Condensed" w:eastAsia="Barlow Semi Condensed" w:hAnsi="Barlow Semi Condensed"/>
          <w:sz w:val="24"/>
          <w:szCs w:val="24"/>
        </w:rPr>
        <w:t xml:space="preserve">prosa vi risultava illeggibile come prosa — al punto che una prima misura di</w:t>
      </w:r>
    </w:p>
    <w:p>
      <w:pPr>
        <w:spacing w:after="120" w:line="276"/>
        <w:jc w:val="both"/>
      </w:pPr>
      <w:r>
        <w:rPr>
          <w:rFonts w:ascii="Barlow Semi Condensed" w:cs="Barlow Semi Condensed" w:eastAsia="Barlow Semi Condensed" w:hAnsi="Barlow Semi Condensed"/>
          <w:sz w:val="24"/>
          <w:szCs w:val="24"/>
        </w:rPr>
        <w:t xml:space="preserve">questa stessa sessione aveva classificato il Libro quindicesimo come «zero per</w:t>
      </w:r>
    </w:p>
    <w:p>
      <w:pPr>
        <w:spacing w:after="120" w:line="276"/>
        <w:jc w:val="both"/>
      </w:pPr>
      <w:r>
        <w:rPr>
          <w:rFonts w:ascii="Barlow Semi Condensed" w:cs="Barlow Semi Condensed" w:eastAsia="Barlow Semi Condensed" w:hAnsi="Barlow Semi Condensed"/>
          <w:sz w:val="24"/>
          <w:szCs w:val="24"/>
        </w:rPr>
        <w:t xml:space="preserve">cento di prosa» quando invece ne conta 766 paragrafi.</w:t>
      </w:r>
    </w:p>
    <w:p>
      <w:pPr>
        <w:spacing w:after="120" w:line="276"/>
        <w:jc w:val="both"/>
      </w:pPr>
      <w:r>
        <w:rPr>
          <w:rFonts w:ascii="Barlow Semi Condensed" w:cs="Barlow Semi Condensed" w:eastAsia="Barlow Semi Condensed" w:hAnsi="Barlow Semi Condensed"/>
          <w:b/>
          <w:bCs/>
          <w:sz w:val="24"/>
          <w:szCs w:val="24"/>
        </w:rPr>
        <w:t xml:space="preserve">La regola applicata è dichiarata e vale per file, non per riga:</w:t>
      </w:r>
      <w:r>
        <w:rPr>
          <w:rFonts w:ascii="Barlow Semi Condensed" w:cs="Barlow Semi Condensed" w:eastAsia="Barlow Semi Condensed" w:hAnsi="Barlow Semi Condensed"/>
          <w:sz w:val="24"/>
          <w:szCs w:val="24"/>
        </w:rPr>
        <w:t xml:space="preserve"> si interviene</w:t>
      </w:r>
    </w:p>
    <w:p>
      <w:pPr>
        <w:spacing w:after="120" w:line="276"/>
        <w:jc w:val="both"/>
      </w:pPr>
      <w:r>
        <w:rPr>
          <w:rFonts w:ascii="Barlow Semi Condensed" w:cs="Barlow Semi Condensed" w:eastAsia="Barlow Semi Condensed" w:hAnsi="Barlow Semi Condensed"/>
          <w:sz w:val="24"/>
          <w:szCs w:val="24"/>
        </w:rPr>
        <w:t xml:space="preserve">solo dove più della metà dei paragrafi è interamente in grassetto. Dove il</w:t>
      </w:r>
    </w:p>
    <w:p>
      <w:pPr>
        <w:spacing w:after="120" w:line="276"/>
        <w:jc w:val="both"/>
      </w:pPr>
      <w:r>
        <w:rPr>
          <w:rFonts w:ascii="Barlow Semi Condensed" w:cs="Barlow Semi Condensed" w:eastAsia="Barlow Semi Condensed" w:hAnsi="Barlow Semi Condensed"/>
          <w:sz w:val="24"/>
          <w:szCs w:val="24"/>
        </w:rPr>
        <w:t xml:space="preserve">grassetto è occasionale porta un'informazione e non è stato toccato — restano</w:t>
      </w:r>
    </w:p>
    <w:p>
      <w:pPr>
        <w:spacing w:after="120" w:line="276"/>
        <w:jc w:val="both"/>
      </w:pPr>
      <w:r>
        <w:rPr>
          <w:rFonts w:ascii="Barlow Semi Condensed" w:cs="Barlow Semi Condensed" w:eastAsia="Barlow Semi Condensed" w:hAnsi="Barlow Semi Condensed"/>
          <w:sz w:val="24"/>
          <w:szCs w:val="24"/>
        </w:rPr>
        <w:t xml:space="preserve">infatti 92 marcatori, tutti in documenti dove distinguono qualcosa.</w:t>
      </w:r>
    </w:p>
    <w:p>
      <w:pPr>
        <w:spacing w:after="120" w:line="276"/>
        <w:jc w:val="both"/>
      </w:pPr>
      <w:r>
        <w:rPr>
          <w:rFonts w:ascii="Barlow Semi Condensed" w:cs="Barlow Semi Condensed" w:eastAsia="Barlow Semi Condensed" w:hAnsi="Barlow Semi Condensed"/>
          <w:b/>
          <w:bCs/>
          <w:sz w:val="24"/>
          <w:szCs w:val="24"/>
        </w:rPr>
        <w:t xml:space="preserve">Nessuna parola è stata aggiunta, tolta o riordinata</w:t>
      </w:r>
      <w:r>
        <w:rPr>
          <w:rFonts w:ascii="Barlow Semi Condensed" w:cs="Barlow Semi Condensed" w:eastAsia="Barlow Semi Condensed" w:hAnsi="Barlow Semi Condensed"/>
          <w:sz w:val="24"/>
          <w:szCs w:val="24"/>
        </w:rPr>
        <w:t xml:space="preserve">, e non è un'affermazione</w:t>
      </w:r>
    </w:p>
    <w:p>
      <w:pPr>
        <w:spacing w:after="120" w:line="276"/>
        <w:jc w:val="both"/>
      </w:pPr>
      <w:r>
        <w:rPr>
          <w:rFonts w:ascii="Barlow Semi Condensed" w:cs="Barlow Semi Condensed" w:eastAsia="Barlow Semi Condensed" w:hAnsi="Barlow Semi Condensed"/>
          <w:sz w:val="24"/>
          <w:szCs w:val="24"/>
        </w:rPr>
        <w:t xml:space="preserve">di fiducia: lo strumento confronta le due versioni private di ogni asterisco e</w:t>
      </w:r>
    </w:p>
    <w:p>
      <w:pPr>
        <w:spacing w:after="120" w:line="276"/>
        <w:jc w:val="both"/>
      </w:pPr>
      <w:r>
        <w:rPr>
          <w:rFonts w:ascii="Barlow Semi Condensed" w:cs="Barlow Semi Condensed" w:eastAsia="Barlow Semi Condensed" w:hAnsi="Barlow Semi Condensed"/>
          <w:sz w:val="24"/>
          <w:szCs w:val="24"/>
        </w:rPr>
        <w:t xml:space="preserve">rifiuta di scrivere se non coincidono. Il controllo è passato su tutti e 37 i</w:t>
      </w:r>
    </w:p>
    <w:p>
      <w:pPr>
        <w:spacing w:after="120" w:line="276"/>
        <w:jc w:val="both"/>
      </w:pPr>
      <w:r>
        <w:rPr>
          <w:rFonts w:ascii="Barlow Semi Condensed" w:cs="Barlow Semi Condensed" w:eastAsia="Barlow Semi Condensed" w:hAnsi="Barlow Semi Condensed"/>
          <w:sz w:val="24"/>
          <w:szCs w:val="24"/>
        </w:rPr>
        <w:t xml:space="preserve">file. Lo strumento è </w:t>
      </w:r>
      <w:r>
        <w:rPr>
          <w:rFonts w:ascii="Barlow Semi Condensed" w:cs="Barlow Semi Condensed" w:eastAsia="Barlow Semi Condensed" w:hAnsi="Barlow Semi Condensed"/>
          <w:i/>
          <w:iCs/>
          <w:sz w:val="24"/>
          <w:szCs w:val="24"/>
        </w:rPr>
        <w:t xml:space="preserve">_verifiche/generatori/sgrassa.py</w:t>
      </w:r>
      <w:r>
        <w:rPr>
          <w:rFonts w:ascii="Barlow Semi Condensed" w:cs="Barlow Semi Condensed" w:eastAsia="Barlow Semi Condensed" w:hAnsi="Barlow Semi Condensed"/>
          <w:sz w:val="24"/>
          <w:szCs w:val="24"/>
        </w:rPr>
        <w:t xml:space="preserve">, e chiunque può rifare la</w:t>
      </w:r>
    </w:p>
    <w:p>
      <w:pPr>
        <w:spacing w:after="120" w:line="276"/>
        <w:jc w:val="both"/>
      </w:pPr>
      <w:r>
        <w:rPr>
          <w:rFonts w:ascii="Barlow Semi Condensed" w:cs="Barlow Semi Condensed" w:eastAsia="Barlow Semi Condensed" w:hAnsi="Barlow Semi Condensed"/>
          <w:sz w:val="24"/>
          <w:szCs w:val="24"/>
        </w:rPr>
        <w:t xml:space="preserve">verifica.</w:t>
      </w:r>
    </w:p>
    <w:p>
      <w:pPr>
        <w:pStyle w:val="Heading2"/>
        <w:spacing w:after="100" w:before="200"/>
      </w:pPr>
      <w:r>
        <w:rPr>
          <w:rFonts w:ascii="Barlow Semi Condensed" w:cs="Barlow Semi Condensed" w:eastAsia="Barlow Semi Condensed" w:hAnsi="Barlow Semi Condensed"/>
          <w:sz w:val="24"/>
          <w:szCs w:val="24"/>
        </w:rPr>
        <w:t xml:space="preserve">Una correzione al criterio, e allo scarto che ne era seguito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 scartato il 27 agosto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misurato allora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misurato oggi, diviso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V68, Libro secondo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88,7 % come documento unico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da </w:t>
            </w:r>
            <w:r>
              <w:rPr>
                <w:rFonts w:ascii="Barlow Semi Condensed" w:cs="Barlow Semi Condensed" w:eastAsia="Barlow Semi Condensed" w:hAnsi="Barlow Semi Condensed"/>
                <w:b/>
                <w:bCs/>
                <w:sz w:val="20"/>
                <w:szCs w:val="20"/>
              </w:rPr>
              <w:t xml:space="preserve">71,4 %</w:t>
            </w:r>
            <w:r>
              <w:rPr>
                <w:rFonts w:ascii="Barlow Semi Condensed" w:cs="Barlow Semi Condensed" w:eastAsia="Barlow Semi Condensed" w:hAnsi="Barlow Semi Condensed"/>
                <w:sz w:val="20"/>
                <w:szCs w:val="20"/>
              </w:rPr>
              <w:t xml:space="preserve"> (tomo nono) a </w:t>
            </w:r>
            <w:r>
              <w:rPr>
                <w:rFonts w:ascii="Barlow Semi Condensed" w:cs="Barlow Semi Condensed" w:eastAsia="Barlow Semi Condensed" w:hAnsi="Barlow Semi Condensed"/>
                <w:b/>
                <w:bCs/>
                <w:sz w:val="20"/>
                <w:szCs w:val="20"/>
              </w:rPr>
              <w:t xml:space="preserve">94,8 %</w:t>
            </w:r>
            <w:r>
              <w:rPr>
                <w:rFonts w:ascii="Barlow Semi Condensed" w:cs="Barlow Semi Condensed" w:eastAsia="Barlow Semi Condensed" w:hAnsi="Barlow Semi Condensed"/>
                <w:sz w:val="20"/>
                <w:szCs w:val="20"/>
              </w:rPr>
              <w:t xml:space="preserve"> (tomo quarto)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Il Libro secondo del V68 era arrivato come </w:t>
      </w:r>
      <w:r>
        <w:rPr>
          <w:rFonts w:ascii="Barlow Semi Condensed" w:cs="Barlow Semi Condensed" w:eastAsia="Barlow Semi Condensed" w:hAnsi="Barlow Semi Condensed"/>
          <w:b/>
          <w:bCs/>
          <w:sz w:val="24"/>
          <w:szCs w:val="24"/>
        </w:rPr>
        <w:t xml:space="preserve">documento unico</w:t>
      </w:r>
      <w:r>
        <w:rPr>
          <w:rFonts w:ascii="Barlow Semi Condensed" w:cs="Barlow Semi Condensed" w:eastAsia="Barlow Semi Condensed" w:hAnsi="Barlow Semi Condensed"/>
          <w:sz w:val="24"/>
          <w:szCs w:val="24"/>
        </w:rPr>
        <w:t xml:space="preserve"> e in quella forma</w:t>
      </w:r>
    </w:p>
    <w:p>
      <w:pPr>
        <w:spacing w:after="120" w:line="276"/>
        <w:jc w:val="both"/>
      </w:pPr>
      <w:r>
        <w:rPr>
          <w:rFonts w:ascii="Barlow Semi Condensed" w:cs="Barlow Semi Condensed" w:eastAsia="Barlow Semi Condensed" w:hAnsi="Barlow Semi Condensed"/>
          <w:sz w:val="24"/>
          <w:szCs w:val="24"/>
        </w:rPr>
        <w:t xml:space="preserve">era stato misurato: 88,7 per cento dentro il Registro V77, sopra soglia,</w:t>
      </w:r>
    </w:p>
    <w:p>
      <w:pPr>
        <w:spacing w:after="120" w:line="276"/>
        <w:jc w:val="both"/>
      </w:pPr>
      <w:r>
        <w:rPr>
          <w:rFonts w:ascii="Barlow Semi Condensed" w:cs="Barlow Semi Condensed" w:eastAsia="Barlow Semi Condensed" w:hAnsi="Barlow Semi Condensed"/>
          <w:sz w:val="24"/>
          <w:szCs w:val="24"/>
        </w:rPr>
        <w:t xml:space="preserve">scartato. È tornato oggi </w:t>
      </w:r>
      <w:r>
        <w:rPr>
          <w:rFonts w:ascii="Barlow Semi Condensed" w:cs="Barlow Semi Condensed" w:eastAsia="Barlow Semi Condensed" w:hAnsi="Barlow Semi Condensed"/>
          <w:b/>
          <w:bCs/>
          <w:sz w:val="24"/>
          <w:szCs w:val="24"/>
        </w:rPr>
        <w:t xml:space="preserve">diviso nei suoi dieci tomi</w:t>
      </w:r>
      <w:r>
        <w:rPr>
          <w:rFonts w:ascii="Barlow Semi Condensed" w:cs="Barlow Semi Condensed" w:eastAsia="Barlow Semi Condensed" w:hAnsi="Barlow Semi Condensed"/>
          <w:sz w:val="24"/>
          <w:szCs w:val="24"/>
        </w:rPr>
        <w:t xml:space="preserve">, e la misura per tomo</w:t>
      </w:r>
    </w:p>
    <w:p>
      <w:pPr>
        <w:spacing w:after="120" w:line="276"/>
        <w:jc w:val="both"/>
      </w:pPr>
      <w:r>
        <w:rPr>
          <w:rFonts w:ascii="Barlow Semi Condensed" w:cs="Barlow Semi Condensed" w:eastAsia="Barlow Semi Condensed" w:hAnsi="Barlow Semi Condensed"/>
          <w:sz w:val="24"/>
          <w:szCs w:val="24"/>
        </w:rPr>
        <w:t xml:space="preserve">racconta un'altra cosa: due tomi stanno sopra il 92, otto stanno sotto il 90, e</w:t>
      </w:r>
    </w:p>
    <w:p>
      <w:pPr>
        <w:spacing w:after="120" w:line="276"/>
        <w:jc w:val="both"/>
      </w:pPr>
      <w:r>
        <w:rPr>
          <w:rFonts w:ascii="Barlow Semi Condensed" w:cs="Barlow Semi Condensed" w:eastAsia="Barlow Semi Condensed" w:hAnsi="Barlow Semi Condensed"/>
          <w:sz w:val="24"/>
          <w:szCs w:val="24"/>
        </w:rPr>
        <w:t xml:space="preserve">il nono sta al 71,4 — cioè è nuovo per più di un quarto.</w:t>
      </w:r>
    </w:p>
    <w:p>
      <w:pPr>
        <w:spacing w:after="120" w:line="276"/>
        <w:jc w:val="both"/>
      </w:pPr>
      <w:r>
        <w:rPr>
          <w:rFonts w:ascii="Barlow Semi Condensed" w:cs="Barlow Semi Condensed" w:eastAsia="Barlow Semi Condensed" w:hAnsi="Barlow Semi Condensed"/>
          <w:b/>
          <w:bCs/>
          <w:sz w:val="24"/>
          <w:szCs w:val="24"/>
        </w:rPr>
        <w:t xml:space="preserve">L'88,7 per cento era una media che nascondeva i suoi estremi.</w:t>
      </w:r>
      <w:r>
        <w:rPr>
          <w:rFonts w:ascii="Barlow Semi Condensed" w:cs="Barlow Semi Condensed" w:eastAsia="Barlow Semi Condensed" w:hAnsi="Barlow Semi Condensed"/>
          <w:sz w:val="24"/>
          <w:szCs w:val="24"/>
        </w:rPr>
        <w:t xml:space="preserve"> Otto tomi, per</w:t>
      </w:r>
    </w:p>
    <w:p>
      <w:pPr>
        <w:spacing w:after="120" w:line="276"/>
        <w:jc w:val="both"/>
      </w:pPr>
      <w:r>
        <w:rPr>
          <w:rFonts w:ascii="Barlow Semi Condensed" w:cs="Barlow Semi Condensed" w:eastAsia="Barlow Semi Condensed" w:hAnsi="Barlow Semi Condensed"/>
          <w:sz w:val="24"/>
          <w:szCs w:val="24"/>
        </w:rPr>
        <w:t xml:space="preserve">646.470 parole, erano stati scartati perché mescolati in un totale.</w:t>
      </w:r>
    </w:p>
    <w:p>
      <w:pPr>
        <w:spacing w:after="120" w:line="276"/>
        <w:jc w:val="both"/>
      </w:pPr>
      <w:r>
        <w:rPr>
          <w:rFonts w:ascii="Barlow Semi Condensed" w:cs="Barlow Semi Condensed" w:eastAsia="Barlow Semi Condensed" w:hAnsi="Barlow Semi Condensed"/>
          <w:sz w:val="24"/>
          <w:szCs w:val="24"/>
        </w:rPr>
        <w:t xml:space="preserve">La regola non cambia — si scarta ciò che risulta contenuto, e la misura resta</w:t>
      </w:r>
    </w:p>
    <w:p>
      <w:pPr>
        <w:spacing w:after="120" w:line="276"/>
        <w:jc w:val="both"/>
      </w:pPr>
      <w:r>
        <w:rPr>
          <w:rFonts w:ascii="Barlow Semi Condensed" w:cs="Barlow Semi Condensed" w:eastAsia="Barlow Semi Condensed" w:hAnsi="Barlow Semi Condensed"/>
          <w:sz w:val="24"/>
          <w:szCs w:val="24"/>
        </w:rPr>
        <w:t xml:space="preserve">quella — ma acquista una condizione che prima non aveva: **quando un documento è</w:t>
      </w:r>
    </w:p>
    <w:p>
      <w:pPr>
        <w:spacing w:after="120" w:line="276"/>
        <w:jc w:val="both"/>
      </w:pPr>
      <w:r>
        <w:rPr>
          <w:rFonts w:ascii="Barlow Semi Condensed" w:cs="Barlow Semi Condensed" w:eastAsia="Barlow Semi Condensed" w:hAnsi="Barlow Semi Condensed"/>
          <w:sz w:val="24"/>
          <w:szCs w:val="24"/>
        </w:rPr>
        <w:t xml:space="preserve">divisibile e la sua divisione è disponibile, va misurato diviso**. La decisione</w:t>
      </w:r>
    </w:p>
    <w:p>
      <w:pPr>
        <w:spacing w:after="120" w:line="276"/>
        <w:jc w:val="both"/>
      </w:pPr>
      <w:r>
        <w:rPr>
          <w:rFonts w:ascii="Barlow Semi Condensed" w:cs="Barlow Semi Condensed" w:eastAsia="Barlow Semi Condensed" w:hAnsi="Barlow Semi Condensed"/>
          <w:sz w:val="24"/>
          <w:szCs w:val="24"/>
        </w:rPr>
        <w:t xml:space="preserve">anteriore non si cancella: fu presa sulla misura che allora si aveva, ed era la</w:t>
      </w:r>
    </w:p>
    <w:p>
      <w:pPr>
        <w:spacing w:after="120" w:line="276"/>
        <w:jc w:val="both"/>
      </w:pPr>
      <w:r>
        <w:rPr>
          <w:rFonts w:ascii="Barlow Semi Condensed" w:cs="Barlow Semi Condensed" w:eastAsia="Barlow Semi Condensed" w:hAnsi="Barlow Semi Condensed"/>
          <w:sz w:val="24"/>
          <w:szCs w:val="24"/>
        </w:rPr>
        <w:t xml:space="preserve">misura sbagliata. Gli otto tomi sono ora in</w:t>
      </w:r>
    </w:p>
    <w:p>
      <w:pPr>
        <w:spacing w:after="120" w:line="276"/>
        <w:jc w:val="both"/>
      </w:pPr>
      <w:r>
        <w:rPr>
          <w:rFonts w:ascii="Barlow Semi Condensed" w:cs="Barlow Semi Condensed" w:eastAsia="Barlow Semi Condensed" w:hAnsi="Barlow Semi Condensed"/>
          <w:sz w:val="24"/>
          <w:szCs w:val="24"/>
        </w:rPr>
        <w:t xml:space="preserve">[</w:t>
      </w:r>
      <w:r>
        <w:rPr>
          <w:rFonts w:ascii="Barlow Semi Condensed" w:cs="Barlow Semi Condensed" w:eastAsia="Barlow Semi Condensed" w:hAnsi="Barlow Semi Condensed"/>
          <w:i/>
          <w:iCs/>
          <w:sz w:val="24"/>
          <w:szCs w:val="24"/>
        </w:rPr>
        <w:t xml:space="preserve">italia-nera/v68-libro-secondo/</w:t>
      </w:r>
      <w:r>
        <w:rPr>
          <w:rFonts w:ascii="Barlow Semi Condensed" w:cs="Barlow Semi Condensed" w:eastAsia="Barlow Semi Condensed" w:hAnsi="Barlow Semi Condensed"/>
          <w:sz w:val="24"/>
          <w:szCs w:val="24"/>
        </w:rPr>
        <w:t xml:space="preserve">](../italia-nera/v68-libro-secondo/).</w:t>
      </w:r>
    </w:p>
    <w:p>
      <w:pPr>
        <w:pStyle w:val="Heading2"/>
        <w:spacing w:after="100" w:before="200"/>
      </w:pPr>
      <w:r>
        <w:rPr>
          <w:rFonts w:ascii="Barlow Semi Condensed" w:cs="Barlow Semi Condensed" w:eastAsia="Barlow Semi Condensed" w:hAnsi="Barlow Semi Condensed"/>
          <w:sz w:val="24"/>
          <w:szCs w:val="24"/>
        </w:rPr>
        <w:t xml:space="preserve">Che cosa è stato verificato, e ha retto</w:t>
      </w:r>
    </w:p>
    <w:p>
      <w:pPr>
        <w:spacing w:after="120" w:line="276"/>
        <w:jc w:val="both"/>
      </w:pPr>
      <w:r>
        <w:rPr>
          <w:rFonts w:ascii="Barlow Semi Condensed" w:cs="Barlow Semi Condensed" w:eastAsia="Barlow Semi Condensed" w:hAnsi="Barlow Semi Condensed"/>
          <w:sz w:val="24"/>
          <w:szCs w:val="24"/>
        </w:rPr>
        <w:t xml:space="preserve">In coda al versamento sono arrivati quattro </w:t>
      </w:r>
      <w:r>
        <w:rPr>
          <w:rFonts w:ascii="Barlow Semi Condensed" w:cs="Barlow Semi Condensed" w:eastAsia="Barlow Semi Condensed" w:hAnsi="Barlow Semi Condensed"/>
          <w:b/>
          <w:bCs/>
          <w:sz w:val="24"/>
          <w:szCs w:val="24"/>
        </w:rPr>
        <w:t xml:space="preserve">manifesti d'impronta</w:t>
      </w:r>
      <w:r>
        <w:rPr>
          <w:rFonts w:ascii="Barlow Semi Condensed" w:cs="Barlow Semi Condensed" w:eastAsia="Barlow Semi Condensed" w:hAnsi="Barlow Semi Condensed"/>
          <w:sz w:val="24"/>
          <w:szCs w:val="24"/>
        </w:rPr>
        <w:t xml:space="preserve"> — file</w:t>
      </w:r>
    </w:p>
    <w:p>
      <w:pPr>
        <w:spacing w:after="120" w:line="276"/>
        <w:jc w:val="both"/>
      </w:pPr>
      <w:r>
        <w:rPr>
          <w:rFonts w:ascii="Barlow Semi Condensed" w:cs="Barlow Semi Condensed" w:eastAsia="Barlow Semi Condensed" w:hAnsi="Barlow Semi Condensed"/>
          <w:i/>
          <w:iCs/>
          <w:sz w:val="24"/>
          <w:szCs w:val="24"/>
        </w:rPr>
        <w:t xml:space="preserve">.sha256.txt</w:t>
      </w:r>
      <w:r>
        <w:rPr>
          <w:rFonts w:ascii="Barlow Semi Condensed" w:cs="Barlow Semi Condensed" w:eastAsia="Barlow Semi Condensed" w:hAnsi="Barlow Semi Condensed"/>
          <w:sz w:val="24"/>
          <w:szCs w:val="24"/>
        </w:rPr>
        <w:t xml:space="preserve"> che dichiarano lo SHA-256 di documenti spediti a parte. Sono stati</w:t>
      </w:r>
    </w:p>
    <w:p>
      <w:pPr>
        <w:spacing w:after="120" w:line="276"/>
        <w:jc w:val="both"/>
      </w:pPr>
      <w:r>
        <w:rPr>
          <w:rFonts w:ascii="Barlow Semi Condensed" w:cs="Barlow Semi Condensed" w:eastAsia="Barlow Semi Condensed" w:hAnsi="Barlow Semi Condensed"/>
          <w:sz w:val="24"/>
          <w:szCs w:val="24"/>
        </w:rPr>
        <w:t xml:space="preserve">controllati contro i file effettivamente ricevuti, ed è la prima verifica in</w:t>
      </w:r>
    </w:p>
    <w:p>
      <w:pPr>
        <w:spacing w:after="120" w:line="276"/>
        <w:jc w:val="both"/>
      </w:pPr>
      <w:r>
        <w:rPr>
          <w:rFonts w:ascii="Barlow Semi Condensed" w:cs="Barlow Semi Condensed" w:eastAsia="Barlow Semi Condensed" w:hAnsi="Barlow Semi Condensed"/>
          <w:sz w:val="24"/>
          <w:szCs w:val="24"/>
        </w:rPr>
        <w:t xml:space="preserve">positivo di tutto l'ingresso: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File dichiarato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Esito</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TERZO_REGISTRO_NODI_PONTI_DUE_FORMAZIONI.docx</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corrisponde</w:t>
            </w:r>
            <w:r>
              <w:rPr>
                <w:rFonts w:ascii="Barlow Semi Condensed" w:cs="Barlow Semi Condensed" w:eastAsia="Barlow Semi Condensed" w:hAnsi="Barlow Semi Condensed"/>
                <w:sz w:val="20"/>
                <w:szCs w:val="20"/>
              </w:rPr>
              <w:t xml:space="preserve">, bit per bit</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SECONDO_REGISTRO_NODI_PONTI_ALFA_BETA.docx</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corrisponde</w:t>
            </w:r>
            <w:r>
              <w:rPr>
                <w:rFonts w:ascii="Barlow Semi Condensed" w:cs="Barlow Semi Condensed" w:eastAsia="Barlow Semi Condensed" w:hAnsi="Barlow Semi Condensed"/>
                <w:sz w:val="20"/>
                <w:szCs w:val="20"/>
              </w:rPr>
              <w:t xml:space="preserve">, bit per bit</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REGISTRO_NODI_PONTI_TEATRO_AUSTRALE.docx</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corrisponde</w:t>
            </w:r>
            <w:r>
              <w:rPr>
                <w:rFonts w:ascii="Barlow Semi Condensed" w:cs="Barlow Semi Condensed" w:eastAsia="Barlow Semi Condensed" w:hAnsi="Barlow Semi Condensed"/>
                <w:sz w:val="20"/>
                <w:szCs w:val="20"/>
              </w:rPr>
              <w:t xml:space="preserve">, bit per bit</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CENSIMENTO_CRIMINALITA_ORGANIZZATA_MONDIALE_INTEGRALE-2.pdf</w:t>
            </w:r>
          </w:p>
        </w:tc>
        <w:tc>
          <w:tcPr>
            <w:tcW w:type="dxa" w:w="4680"/>
          </w:tcPr>
          <w:p>
            <w:pPr>
              <w:spacing w:after="20" w:before="20"/>
              <w:jc w:val="both"/>
            </w:pPr>
            <w:r>
              <w:rPr>
                <w:rFonts w:ascii="Barlow Semi Condensed" w:cs="Barlow Semi Condensed" w:eastAsia="Barlow Semi Condensed" w:hAnsi="Barlow Semi Condensed"/>
                <w:b/>
                <w:bCs/>
                <w:sz w:val="20"/>
                <w:szCs w:val="20"/>
              </w:rPr>
              <w:t xml:space="preserve">file mai consegnato</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Le prime tre righe dicono una cosa piccola e non banale: ciò che è partito è</w:t>
      </w:r>
    </w:p>
    <w:p>
      <w:pPr>
        <w:spacing w:after="120" w:line="276"/>
        <w:jc w:val="both"/>
      </w:pPr>
      <w:r>
        <w:rPr>
          <w:rFonts w:ascii="Barlow Semi Condensed" w:cs="Barlow Semi Condensed" w:eastAsia="Barlow Semi Condensed" w:hAnsi="Barlow Semi Condensed"/>
          <w:sz w:val="24"/>
          <w:szCs w:val="24"/>
        </w:rPr>
        <w:t xml:space="preserve">arrivato integro, e chi ha spedito aveva ragione sull'impronta. La quarta è uno</w:t>
      </w:r>
    </w:p>
    <w:p>
      <w:pPr>
        <w:spacing w:after="120" w:line="276"/>
        <w:jc w:val="both"/>
      </w:pP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esiste un manifesto che attesta un documento che in questa</w:t>
      </w:r>
    </w:p>
    <w:p>
      <w:pPr>
        <w:spacing w:after="120" w:line="276"/>
        <w:jc w:val="both"/>
      </w:pPr>
      <w:r>
        <w:rPr>
          <w:rFonts w:ascii="Barlow Semi Condensed" w:cs="Barlow Semi Condensed" w:eastAsia="Barlow Semi Condensed" w:hAnsi="Barlow Semi Condensed"/>
          <w:sz w:val="24"/>
          <w:szCs w:val="24"/>
        </w:rPr>
        <w:t xml:space="preserve">sessione non è mai arrivato. Non se ne deduce nulla sul documento — solo che è</w:t>
      </w:r>
    </w:p>
    <w:p>
      <w:pPr>
        <w:spacing w:after="120" w:line="276"/>
        <w:jc w:val="both"/>
      </w:pPr>
      <w:r>
        <w:rPr>
          <w:rFonts w:ascii="Barlow Semi Condensed" w:cs="Barlow Semi Condensed" w:eastAsia="Barlow Semi Condensed" w:hAnsi="Barlow Semi Condensed"/>
          <w:sz w:val="24"/>
          <w:szCs w:val="24"/>
        </w:rPr>
        <w:t xml:space="preserve">dichiarato e assente, ed è giusto che qualcuno se ne accorga.</w:t>
      </w:r>
    </w:p>
    <w:p>
      <w:pPr>
        <w:pStyle w:val="Heading2"/>
        <w:spacing w:after="100" w:before="200"/>
      </w:pPr>
      <w:r>
        <w:rPr>
          <w:rFonts w:ascii="Barlow Semi Condensed" w:cs="Barlow Semi Condensed" w:eastAsia="Barlow Semi Condensed" w:hAnsi="Barlow Semi Condensed"/>
          <w:sz w:val="24"/>
          <w:szCs w:val="24"/>
        </w:rPr>
        <w:t xml:space="preserve">Un titolo che dice Moro e una misura che dice altro</w:t>
      </w:r>
    </w:p>
    <w:p>
      <w:pPr>
        <w:spacing w:after="120" w:line="276"/>
        <w:jc w:val="both"/>
      </w:pPr>
      <w:r>
        <w:rPr>
          <w:rFonts w:ascii="Barlow Semi Condensed" w:cs="Barlow Semi Condensed" w:eastAsia="Barlow Semi Condensed" w:hAnsi="Barlow Semi Condensed"/>
          <w:b/>
          <w:bCs/>
          <w:sz w:val="24"/>
          <w:szCs w:val="24"/>
        </w:rPr>
        <w:t xml:space="preserve">Tredici documenti</w:t>
      </w:r>
      <w:r>
        <w:rPr>
          <w:rFonts w:ascii="Barlow Semi Condensed" w:cs="Barlow Semi Condensed" w:eastAsia="Barlow Semi Condensed" w:hAnsi="Barlow Semi Condensed"/>
          <w:sz w:val="24"/>
          <w:szCs w:val="24"/>
        </w:rPr>
        <w:t xml:space="preserve"> sono arrivati col nome «caso Moro»: undici versioni del</w:t>
      </w:r>
    </w:p>
    <w:p>
      <w:pPr>
        <w:spacing w:after="120" w:line="276"/>
        <w:jc w:val="both"/>
      </w:pPr>
      <w:r>
        <w:rPr>
          <w:rFonts w:ascii="Barlow Semi Condensed" w:cs="Barlow Semi Condensed" w:eastAsia="Barlow Semi Condensed" w:hAnsi="Barlow Semi Condensed"/>
          <w:sz w:val="24"/>
          <w:szCs w:val="24"/>
        </w:rPr>
        <w:t xml:space="preserve">registro analitico, più i registri di scavo, speculare e genetico. Misurati</w:t>
      </w:r>
    </w:p>
    <w:p>
      <w:pPr>
        <w:spacing w:after="120" w:line="276"/>
        <w:jc w:val="both"/>
      </w:pPr>
      <w:r>
        <w:rPr>
          <w:rFonts w:ascii="Barlow Semi Condensed" w:cs="Barlow Semi Condensed" w:eastAsia="Barlow Semi Condensed" w:hAnsi="Barlow Semi Condensed"/>
          <w:sz w:val="24"/>
          <w:szCs w:val="24"/>
        </w:rPr>
        <w:t xml:space="preserve">contro le due opere, il risultato è netto e costante, e va scritto perché è il</w:t>
      </w:r>
    </w:p>
    <w:p>
      <w:pPr>
        <w:spacing w:after="120" w:line="276"/>
        <w:jc w:val="both"/>
      </w:pPr>
      <w:r>
        <w:rPr>
          <w:rFonts w:ascii="Barlow Semi Condensed" w:cs="Barlow Semi Condensed" w:eastAsia="Barlow Semi Condensed" w:hAnsi="Barlow Semi Condensed"/>
          <w:sz w:val="24"/>
          <w:szCs w:val="24"/>
        </w:rPr>
        <w:t xml:space="preserve">genere di cosa che un archivio serve a scoprire: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dentro il Registro V77</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dentro il corpus moroteano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analitico V1 integrale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90,6 %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0,7 %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V2, col primo anello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90,7 %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0,5 %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V3, col secondo anello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91,3 %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0,4 %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V4 definitivo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91,8 %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0,3 %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V5, rinnovamento cartesiano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92,1 %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V6, apporto kuhniano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92,3 %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V7, apporto wittgensteiniano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92,2 %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V10, recepimento definitivo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93,0 %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0,2 %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V11, applicazione definitiva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93,3 %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0,1 %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di scavo V2 e V3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93,5 % · 93,8 %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0,6 % · 0,4 %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speculare V3 e V4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94,1 % · 94,0 %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0,3 % · 0,3 %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speculare, anelli profondi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94,1 %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0,6 %</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Registro genetico V1, fondazione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94,3 %</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0,6 %</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Undici versioni, e la quota moroteana </w:t>
      </w:r>
      <w:r>
        <w:rPr>
          <w:rFonts w:ascii="Barlow Semi Condensed" w:cs="Barlow Semi Condensed" w:eastAsia="Barlow Semi Condensed" w:hAnsi="Barlow Semi Condensed"/>
          <w:b/>
          <w:bCs/>
          <w:sz w:val="24"/>
          <w:szCs w:val="24"/>
        </w:rPr>
        <w:t xml:space="preserve">scende</w:t>
      </w:r>
      <w:r>
        <w:rPr>
          <w:rFonts w:ascii="Barlow Semi Condensed" w:cs="Barlow Semi Condensed" w:eastAsia="Barlow Semi Condensed" w:hAnsi="Barlow Semi Condensed"/>
          <w:sz w:val="24"/>
          <w:szCs w:val="24"/>
        </w:rPr>
        <w:t xml:space="preserve"> man mano che il registro cresce:</w:t>
      </w:r>
    </w:p>
    <w:p>
      <w:pPr>
        <w:spacing w:after="120" w:line="276"/>
        <w:jc w:val="both"/>
      </w:pPr>
      <w:r>
        <w:rPr>
          <w:rFonts w:ascii="Barlow Semi Condensed" w:cs="Barlow Semi Condensed" w:eastAsia="Barlow Semi Condensed" w:hAnsi="Barlow Semi Condensed"/>
          <w:sz w:val="24"/>
          <w:szCs w:val="24"/>
        </w:rPr>
        <w:t xml:space="preserve">dallo 0,7 per cento della prima allo 0,1 dell'undicesima. Più il documento si</w:t>
      </w:r>
    </w:p>
    <w:p>
      <w:pPr>
        <w:spacing w:after="120" w:line="276"/>
        <w:jc w:val="both"/>
      </w:pPr>
      <w:r>
        <w:rPr>
          <w:rFonts w:ascii="Barlow Semi Condensed" w:cs="Barlow Semi Condensed" w:eastAsia="Barlow Semi Condensed" w:hAnsi="Barlow Semi Condensed"/>
          <w:sz w:val="24"/>
          <w:szCs w:val="24"/>
        </w:rPr>
        <w:t xml:space="preserve">sviluppa, meno ha a che fare con l'opera di cui porta il nome.</w:t>
      </w:r>
    </w:p>
    <w:p>
      <w:pPr>
        <w:spacing w:after="120" w:line="276"/>
        <w:jc w:val="both"/>
      </w:pPr>
      <w:r>
        <w:rPr>
          <w:rFonts w:ascii="Barlow Semi Condensed" w:cs="Barlow Semi Condensed" w:eastAsia="Barlow Semi Condensed" w:hAnsi="Barlow Semi Condensed"/>
          <w:sz w:val="24"/>
          <w:szCs w:val="24"/>
        </w:rPr>
        <w:t xml:space="preserve">**Un documento intitolato al caso Moro che sta per il novanta per cento dentro</w:t>
      </w:r>
    </w:p>
    <w:p>
      <w:pPr>
        <w:spacing w:after="120" w:line="276"/>
        <w:jc w:val="both"/>
      </w:pPr>
      <w:r>
        <w:rPr>
          <w:rFonts w:ascii="Barlow Semi Condensed" w:cs="Barlow Semi Condensed" w:eastAsia="Barlow Semi Condensed" w:hAnsi="Barlow Semi Condensed"/>
          <w:sz w:val="24"/>
          <w:szCs w:val="24"/>
        </w:rPr>
        <w:t xml:space="preserve">Italia Nera e per lo zero virgola due dentro l'opera su Moro non appartiene</w:t>
      </w:r>
    </w:p>
    <w:p>
      <w:pPr>
        <w:spacing w:after="120" w:line="276"/>
        <w:jc w:val="both"/>
      </w:pPr>
      <w:r>
        <w:rPr>
          <w:rFonts w:ascii="Barlow Semi Condensed" w:cs="Barlow Semi Condensed" w:eastAsia="Barlow Semi Condensed" w:hAnsi="Barlow Semi Condensed"/>
          <w:sz w:val="24"/>
          <w:szCs w:val="24"/>
        </w:rPr>
        <w:t xml:space="preserve">all'opera su Moro.** Il titolo dice una cosa, la misura ne dice un'altra, e qui</w:t>
      </w:r>
    </w:p>
    <w:p>
      <w:pPr>
        <w:spacing w:after="120" w:line="276"/>
        <w:jc w:val="both"/>
      </w:pPr>
      <w:r>
        <w:rPr>
          <w:rFonts w:ascii="Barlow Semi Condensed" w:cs="Barlow Semi Condensed" w:eastAsia="Barlow Semi Condensed" w:hAnsi="Barlow Semi Condensed"/>
          <w:sz w:val="24"/>
          <w:szCs w:val="24"/>
        </w:rPr>
        <w:t xml:space="preserve">decide la misura. È esattamente il controllo per cui il perimetro delle tre opere</w:t>
      </w:r>
    </w:p>
    <w:p>
      <w:pPr>
        <w:spacing w:after="120" w:line="276"/>
        <w:jc w:val="both"/>
      </w:pPr>
      <w:r>
        <w:rPr>
          <w:rFonts w:ascii="Barlow Semi Condensed" w:cs="Barlow Semi Condensed" w:eastAsia="Barlow Semi Condensed" w:hAnsi="Barlow Semi Condensed"/>
          <w:sz w:val="24"/>
          <w:szCs w:val="24"/>
        </w:rPr>
        <w:t xml:space="preserve">esiste: senza di esso, sette documenti sarebbero entrati nel volume moroteano</w:t>
      </w:r>
    </w:p>
    <w:p>
      <w:pPr>
        <w:spacing w:after="120" w:line="276"/>
        <w:jc w:val="both"/>
      </w:pPr>
      <w:r>
        <w:rPr>
          <w:rFonts w:ascii="Barlow Semi Condensed" w:cs="Barlow Semi Condensed" w:eastAsia="Barlow Semi Condensed" w:hAnsi="Barlow Semi Condensed"/>
          <w:sz w:val="24"/>
          <w:szCs w:val="24"/>
        </w:rPr>
        <w:t xml:space="preserve">sulla fede del proprio nome.</w:t>
      </w:r>
    </w:p>
    <w:p>
      <w:pPr>
        <w:spacing w:after="120" w:line="276"/>
        <w:jc w:val="both"/>
      </w:pPr>
      <w:r>
        <w:rPr>
          <w:rFonts w:ascii="Barlow Semi Condensed" w:cs="Barlow Semi Condensed" w:eastAsia="Barlow Semi Condensed" w:hAnsi="Barlow Semi Condensed"/>
          <w:sz w:val="24"/>
          <w:szCs w:val="24"/>
        </w:rPr>
        <w:t xml:space="preserve">Tutti e tredici sono sopra la soglia e sono stati scartati per contenimento. Ciò</w:t>
      </w:r>
    </w:p>
    <w:p>
      <w:pPr>
        <w:spacing w:after="120" w:line="276"/>
        <w:jc w:val="both"/>
      </w:pPr>
      <w:r>
        <w:rPr>
          <w:rFonts w:ascii="Barlow Semi Condensed" w:cs="Barlow Semi Condensed" w:eastAsia="Barlow Semi Condensed" w:hAnsi="Barlow Semi Condensed"/>
          <w:sz w:val="24"/>
          <w:szCs w:val="24"/>
        </w:rPr>
        <w:t xml:space="preserve">che vale la pena conservare non è il documento: è questo rilievo.</w:t>
      </w:r>
    </w:p>
    <w:p>
      <w:pPr>
        <w:spacing w:after="120" w:line="276"/>
        <w:jc w:val="both"/>
      </w:pPr>
      <w:r>
        <w:rPr>
          <w:rFonts w:ascii="Barlow Semi Condensed" w:cs="Barlow Semi Condensed" w:eastAsia="Barlow Semi Condensed" w:hAnsi="Barlow Semi Condensed"/>
          <w:sz w:val="24"/>
          <w:szCs w:val="24"/>
        </w:rPr>
        <w:t xml:space="preserve">Alla stessa famiglia appartengono le tre edizioni del </w:t>
      </w:r>
      <w:r>
        <w:rPr>
          <w:rFonts w:ascii="Barlow Semi Condensed" w:cs="Barlow Semi Condensed" w:eastAsia="Barlow Semi Condensed" w:hAnsi="Barlow Semi Condensed"/>
          <w:b/>
          <w:bCs/>
          <w:sz w:val="24"/>
          <w:szCs w:val="24"/>
        </w:rPr>
        <w:t xml:space="preserve">Registro unico federato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V64, V65 e V66, contenute nel V77 fra il </w:t>
      </w:r>
      <w:r>
        <w:rPr>
          <w:rFonts w:ascii="Barlow Semi Condensed" w:cs="Barlow Semi Condensed" w:eastAsia="Barlow Semi Condensed" w:hAnsi="Barlow Semi Condensed"/>
          <w:b/>
          <w:bCs/>
          <w:sz w:val="24"/>
          <w:szCs w:val="24"/>
        </w:rPr>
        <w:t xml:space="preserve">93,9 e il 96,2 per cento</w:t>
      </w:r>
      <w:r>
        <w:rPr>
          <w:rFonts w:ascii="Barlow Semi Condensed" w:cs="Barlow Semi Condensed" w:eastAsia="Barlow Semi Condensed" w:hAnsi="Barlow Semi Condensed"/>
          <w:sz w:val="24"/>
          <w:szCs w:val="24"/>
        </w:rPr>
        <w:t xml:space="preserve">: sono le</w:t>
      </w:r>
    </w:p>
    <w:p>
      <w:pPr>
        <w:spacing w:after="120" w:line="276"/>
        <w:jc w:val="both"/>
      </w:pPr>
      <w:r>
        <w:rPr>
          <w:rFonts w:ascii="Barlow Semi Condensed" w:cs="Barlow Semi Condensed" w:eastAsia="Barlow Semi Condensed" w:hAnsi="Barlow Semi Condensed"/>
          <w:sz w:val="24"/>
          <w:szCs w:val="24"/>
        </w:rPr>
        <w:t xml:space="preserve">tappe di consolidamento che hanno portato al V77, e il V77 le contiene per</w:t>
      </w:r>
    </w:p>
    <w:p>
      <w:pPr>
        <w:spacing w:after="120" w:line="276"/>
        <w:jc w:val="both"/>
      </w:pPr>
      <w:r>
        <w:rPr>
          <w:rFonts w:ascii="Barlow Semi Condensed" w:cs="Barlow Semi Condensed" w:eastAsia="Barlow Semi Condensed" w:hAnsi="Barlow Semi Condensed"/>
          <w:sz w:val="24"/>
          <w:szCs w:val="24"/>
        </w:rPr>
        <w:t xml:space="preserve">definizione.</w:t>
      </w:r>
    </w:p>
    <w:p>
      <w:pPr>
        <w:pStyle w:val="Heading2"/>
        <w:spacing w:after="100" w:before="200"/>
      </w:pPr>
      <w:r>
        <w:rPr>
          <w:rFonts w:ascii="Barlow Semi Condensed" w:cs="Barlow Semi Condensed" w:eastAsia="Barlow Semi Condensed" w:hAnsi="Barlow Semi Condensed"/>
          <w:sz w:val="24"/>
          <w:szCs w:val="24"/>
        </w:rPr>
        <w:t xml:space="preserve">L'archivio annidato, e il costo dichiarato di uno scarto</w:t>
      </w:r>
    </w:p>
    <w:p>
      <w:pPr>
        <w:spacing w:after="120" w:line="276"/>
        <w:jc w:val="both"/>
      </w:pPr>
      <w:r>
        <w:rPr>
          <w:rFonts w:ascii="Barlow Semi Condensed" w:cs="Barlow Semi Condensed" w:eastAsia="Barlow Semi Condensed" w:hAnsi="Barlow Semi Condensed"/>
          <w:sz w:val="24"/>
          <w:szCs w:val="24"/>
        </w:rPr>
        <w:t xml:space="preserve">Un file </w:t>
      </w:r>
      <w:r>
        <w:rPr>
          <w:rFonts w:ascii="Barlow Semi Condensed" w:cs="Barlow Semi Condensed" w:eastAsia="Barlow Semi Condensed" w:hAnsi="Barlow Semi Condensed"/>
          <w:i/>
          <w:iCs/>
          <w:sz w:val="24"/>
          <w:szCs w:val="24"/>
        </w:rPr>
        <w:t xml:space="preserve">.rar</w:t>
      </w:r>
      <w:r>
        <w:rPr>
          <w:rFonts w:ascii="Barlow Semi Condensed" w:cs="Barlow Semi Condensed" w:eastAsia="Barlow Semi Condensed" w:hAnsi="Barlow Semi Condensed"/>
          <w:sz w:val="24"/>
          <w:szCs w:val="24"/>
        </w:rPr>
        <w:t xml:space="preserve"> da 3,5 MiB conteneva un secondo </w:t>
      </w:r>
      <w:r>
        <w:rPr>
          <w:rFonts w:ascii="Barlow Semi Condensed" w:cs="Barlow Semi Condensed" w:eastAsia="Barlow Semi Condensed" w:hAnsi="Barlow Semi Condensed"/>
          <w:i/>
          <w:iCs/>
          <w:sz w:val="24"/>
          <w:szCs w:val="24"/>
        </w:rPr>
        <w:t xml:space="preserve">.rar</w:t>
      </w:r>
      <w:r>
        <w:rPr>
          <w:rFonts w:ascii="Barlow Semi Condensed" w:cs="Barlow Semi Condensed" w:eastAsia="Barlow Semi Condensed" w:hAnsi="Barlow Semi Condensed"/>
          <w:sz w:val="24"/>
          <w:szCs w:val="24"/>
        </w:rPr>
        <w:t xml:space="preserve"> con lo stesso nome, che</w:t>
      </w:r>
    </w:p>
    <w:p>
      <w:pPr>
        <w:spacing w:after="120" w:line="276"/>
        <w:jc w:val="both"/>
      </w:pPr>
      <w:r>
        <w:rPr>
          <w:rFonts w:ascii="Barlow Semi Condensed" w:cs="Barlow Semi Condensed" w:eastAsia="Barlow Semi Condensed" w:hAnsi="Barlow Semi Condensed"/>
          <w:sz w:val="24"/>
          <w:szCs w:val="24"/>
        </w:rPr>
        <w:t xml:space="preserve">conteneva a sua volta un solo documento: il </w:t>
      </w:r>
      <w:r>
        <w:rPr>
          <w:rFonts w:ascii="Barlow Semi Condensed" w:cs="Barlow Semi Condensed" w:eastAsia="Barlow Semi Condensed" w:hAnsi="Barlow Semi Condensed"/>
          <w:b/>
          <w:bCs/>
          <w:sz w:val="24"/>
          <w:szCs w:val="24"/>
        </w:rPr>
        <w:t xml:space="preserve">Registro Integrale V63</w:t>
      </w:r>
      <w:r>
        <w:rPr>
          <w:rFonts w:ascii="Barlow Semi Condensed" w:cs="Barlow Semi Condensed" w:eastAsia="Barlow Semi Condensed" w:hAnsi="Barlow Semi Condensed"/>
          <w:sz w:val="24"/>
          <w:szCs w:val="24"/>
        </w:rPr>
        <w:t xml:space="preserve"> di luglio</w:t>
      </w:r>
    </w:p>
    <w:p>
      <w:pPr>
        <w:spacing w:after="120" w:line="276"/>
        <w:jc w:val="both"/>
      </w:pPr>
      <w:r>
        <w:rPr>
          <w:rFonts w:ascii="Barlow Semi Condensed" w:cs="Barlow Semi Condensed" w:eastAsia="Barlow Semi Condensed" w:hAnsi="Barlow Semi Condensed"/>
          <w:sz w:val="24"/>
          <w:szCs w:val="24"/>
        </w:rPr>
        <w:t xml:space="preserve">2026, edizione cumulativa in nove parti, </w:t>
      </w:r>
      <w:r>
        <w:rPr>
          <w:rFonts w:ascii="Barlow Semi Condensed" w:cs="Barlow Semi Condensed" w:eastAsia="Barlow Semi Condensed" w:hAnsi="Barlow Semi Condensed"/>
          <w:b/>
          <w:bCs/>
          <w:sz w:val="24"/>
          <w:szCs w:val="24"/>
        </w:rPr>
        <w:t xml:space="preserve">1.427.634 parole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Misurato, sta dentro il Registro V77 per il </w:t>
      </w:r>
      <w:r>
        <w:rPr>
          <w:rFonts w:ascii="Barlow Semi Condensed" w:cs="Barlow Semi Condensed" w:eastAsia="Barlow Semi Condensed" w:hAnsi="Barlow Semi Condensed"/>
          <w:b/>
          <w:bCs/>
          <w:sz w:val="24"/>
          <w:szCs w:val="24"/>
        </w:rPr>
        <w:t xml:space="preserve">92 per cento</w:t>
      </w:r>
      <w:r>
        <w:rPr>
          <w:rFonts w:ascii="Barlow Semi Condensed" w:cs="Barlow Semi Condensed" w:eastAsia="Barlow Semi Condensed" w:hAnsi="Barlow Semi Condensed"/>
          <w:sz w:val="24"/>
          <w:szCs w:val="24"/>
        </w:rPr>
        <w:t xml:space="preserve">. Sopra la soglia oltre</w:t>
      </w:r>
    </w:p>
    <w:p>
      <w:pPr>
        <w:spacing w:after="120" w:line="276"/>
        <w:jc w:val="both"/>
      </w:pPr>
      <w:r>
        <w:rPr>
          <w:rFonts w:ascii="Barlow Semi Condensed" w:cs="Barlow Semi Condensed" w:eastAsia="Barlow Semi Condensed" w:hAnsi="Barlow Semi Condensed"/>
          <w:sz w:val="24"/>
          <w:szCs w:val="24"/>
        </w:rPr>
        <w:t xml:space="preserve">la quale in questo versamento si è sempre scartato — il V69 al 94,8, il V67 al</w:t>
      </w:r>
    </w:p>
    <w:p>
      <w:pPr>
        <w:spacing w:after="120" w:line="276"/>
        <w:jc w:val="both"/>
      </w:pPr>
      <w:r>
        <w:rPr>
          <w:rFonts w:ascii="Barlow Semi Condensed" w:cs="Barlow Semi Condensed" w:eastAsia="Barlow Semi Condensed" w:hAnsi="Barlow Semi Condensed"/>
          <w:sz w:val="24"/>
          <w:szCs w:val="24"/>
        </w:rPr>
        <w:t xml:space="preserve">94,2, il V68 libro secondo all'88,7 — e per coerenza si scarta anche questo: la</w:t>
      </w:r>
    </w:p>
    <w:p>
      <w:pPr>
        <w:spacing w:after="120" w:line="276"/>
        <w:jc w:val="both"/>
      </w:pPr>
      <w:r>
        <w:rPr>
          <w:rFonts w:ascii="Barlow Semi Condensed" w:cs="Barlow Semi Condensed" w:eastAsia="Barlow Semi Condensed" w:hAnsi="Barlow Semi Condensed"/>
          <w:sz w:val="24"/>
          <w:szCs w:val="24"/>
        </w:rPr>
        <w:t xml:space="preserve">regola non può cambiare quando il documento è grosso.</w:t>
      </w:r>
    </w:p>
    <w:p>
      <w:pPr>
        <w:spacing w:after="120" w:line="276"/>
        <w:jc w:val="both"/>
      </w:pPr>
      <w:r>
        <w:rPr>
          <w:rFonts w:ascii="Barlow Semi Condensed" w:cs="Barlow Semi Condensed" w:eastAsia="Barlow Semi Condensed" w:hAnsi="Barlow Semi Condensed"/>
          <w:sz w:val="24"/>
          <w:szCs w:val="24"/>
        </w:rPr>
        <w:t xml:space="preserve">Ma uno scarto ha un costo, e tacerlo sarebbe disonesto: **l'otto per cento che</w:t>
      </w:r>
    </w:p>
    <w:p>
      <w:pPr>
        <w:spacing w:after="120" w:line="276"/>
        <w:jc w:val="both"/>
      </w:pPr>
      <w:r>
        <w:rPr>
          <w:rFonts w:ascii="Barlow Semi Condensed" w:cs="Barlow Semi Condensed" w:eastAsia="Barlow Semi Condensed" w:hAnsi="Barlow Semi Condensed"/>
          <w:sz w:val="24"/>
          <w:szCs w:val="24"/>
        </w:rPr>
        <w:t xml:space="preserve">non si ritrova nel V77 vale circa centoquattordicimila parole**. Non sono zero. Il</w:t>
      </w:r>
    </w:p>
    <w:p>
      <w:pPr>
        <w:spacing w:after="120" w:line="276"/>
        <w:jc w:val="both"/>
      </w:pPr>
      <w:r>
        <w:rPr>
          <w:rFonts w:ascii="Barlow Semi Condensed" w:cs="Barlow Semi Condensed" w:eastAsia="Barlow Semi Condensed" w:hAnsi="Barlow Semi Condensed"/>
          <w:sz w:val="24"/>
          <w:szCs w:val="24"/>
        </w:rPr>
        <w:t xml:space="preserve">V63 è l'edizione </w:t>
      </w:r>
      <w:r>
        <w:rPr>
          <w:rFonts w:ascii="Barlow Semi Condensed" w:cs="Barlow Semi Condensed" w:eastAsia="Barlow Semi Condensed" w:hAnsi="Barlow Semi Condensed"/>
          <w:i/>
          <w:iCs/>
          <w:sz w:val="24"/>
          <w:szCs w:val="24"/>
        </w:rPr>
        <w:t xml:space="preserve">anteriore</w:t>
      </w:r>
      <w:r>
        <w:rPr>
          <w:rFonts w:ascii="Barlow Semi Condensed" w:cs="Barlow Semi Condensed" w:eastAsia="Barlow Semi Condensed" w:hAnsi="Barlow Semi Condensed"/>
          <w:sz w:val="24"/>
          <w:szCs w:val="24"/>
        </w:rPr>
        <w:t xml:space="preserve"> di ciò che sarebbe diventato il V77, e ciò che il</w:t>
      </w:r>
    </w:p>
    <w:p>
      <w:pPr>
        <w:spacing w:after="120" w:line="276"/>
        <w:jc w:val="both"/>
      </w:pPr>
      <w:r>
        <w:rPr>
          <w:rFonts w:ascii="Barlow Semi Condensed" w:cs="Barlow Semi Condensed" w:eastAsia="Barlow Semi Condensed" w:hAnsi="Barlow Semi Condensed"/>
          <w:sz w:val="24"/>
          <w:szCs w:val="24"/>
        </w:rPr>
        <w:t xml:space="preserve">V77 non ne conserva è, propriamente, ciò che l'autore ha lasciato indietro</w:t>
      </w:r>
    </w:p>
    <w:p>
      <w:pPr>
        <w:spacing w:after="120" w:line="276"/>
        <w:jc w:val="both"/>
      </w:pPr>
      <w:r>
        <w:rPr>
          <w:rFonts w:ascii="Barlow Semi Condensed" w:cs="Barlow Semi Condensed" w:eastAsia="Barlow Semi Condensed" w:hAnsi="Barlow Semi Condensed"/>
          <w:sz w:val="24"/>
          <w:szCs w:val="24"/>
        </w:rPr>
        <w:t xml:space="preserve">passando dall'una all'altra. Chi volesse studiare quella transizione ha bisogno</w:t>
      </w:r>
    </w:p>
    <w:p>
      <w:pPr>
        <w:spacing w:after="120" w:line="276"/>
        <w:jc w:val="both"/>
      </w:pPr>
      <w:r>
        <w:rPr>
          <w:rFonts w:ascii="Barlow Semi Condensed" w:cs="Barlow Semi Condensed" w:eastAsia="Barlow Semi Condensed" w:hAnsi="Barlow Semi Condensed"/>
          <w:sz w:val="24"/>
          <w:szCs w:val="24"/>
        </w:rPr>
        <w:t xml:space="preserve">del V63, e il V63 non è in questo archivio. È una scelta dichiarata, non una</w:t>
      </w:r>
    </w:p>
    <w:p>
      <w:pPr>
        <w:spacing w:after="120" w:line="276"/>
        <w:jc w:val="both"/>
      </w:pPr>
      <w:r>
        <w:rPr>
          <w:rFonts w:ascii="Barlow Semi Condensed" w:cs="Barlow Semi Condensed" w:eastAsia="Barlow Semi Condensed" w:hAnsi="Barlow Semi Condensed"/>
          <w:sz w:val="24"/>
          <w:szCs w:val="24"/>
        </w:rPr>
        <w:t xml:space="preserve">svista, e si può ribaltare in qualunque momento — il file è stato consegnato e</w:t>
      </w:r>
    </w:p>
    <w:p>
      <w:pPr>
        <w:spacing w:after="120" w:line="276"/>
        <w:jc w:val="both"/>
      </w:pPr>
      <w:r>
        <w:rPr>
          <w:rFonts w:ascii="Barlow Semi Condensed" w:cs="Barlow Semi Condensed" w:eastAsia="Barlow Semi Condensed" w:hAnsi="Barlow Semi Condensed"/>
          <w:sz w:val="24"/>
          <w:szCs w:val="24"/>
        </w:rPr>
        <w:t xml:space="preserve">la misura è scritta qui.</w:t>
      </w:r>
    </w:p>
    <w:p>
      <w:pPr>
        <w:spacing w:after="120" w:line="276"/>
        <w:jc w:val="both"/>
      </w:pPr>
      <w:r>
        <w:rPr>
          <w:rFonts w:ascii="Barlow Semi Condensed" w:cs="Barlow Semi Condensed" w:eastAsia="Barlow Semi Condensed" w:hAnsi="Barlow Semi Condensed"/>
          <w:sz w:val="24"/>
          <w:szCs w:val="24"/>
        </w:rPr>
        <w:t xml:space="preserve">*(Nota tecnica, perché serva a chi verrà dopo: l'archivio è in formato RAR5, che</w:t>
      </w:r>
    </w:p>
    <w:p>
      <w:pPr>
        <w:spacing w:after="120" w:line="276"/>
        <w:jc w:val="both"/>
      </w:pPr>
      <w:r>
        <w:rPr>
          <w:rFonts w:ascii="Barlow Semi Condensed" w:cs="Barlow Semi Condensed" w:eastAsia="Barlow Semi Condensed" w:hAnsi="Barlow Semi Condensed"/>
          <w:sz w:val="24"/>
          <w:szCs w:val="24"/>
        </w:rPr>
        <w:t xml:space="preserve">in questo ambiente nessuno strumento di sistema apre. È stato letto installando</w:t>
      </w:r>
    </w:p>
    <w:p>
      <w:pPr>
        <w:spacing w:after="120" w:line="276"/>
        <w:jc w:val="both"/>
      </w:pPr>
      <w:r>
        <w:rPr>
          <w:rFonts w:ascii="Barlow Semi Condensed" w:cs="Barlow Semi Condensed" w:eastAsia="Barlow Semi Condensed" w:hAnsi="Barlow Semi Condensed"/>
          <w:sz w:val="24"/>
          <w:szCs w:val="24"/>
        </w:rPr>
        <w:t xml:space="preserve">il collegamento Python a </w:t>
      </w:r>
      <w:r>
        <w:rPr>
          <w:rFonts w:ascii="Barlow Semi Condensed" w:cs="Barlow Semi Condensed" w:eastAsia="Barlow Semi Condensed" w:hAnsi="Barlow Semi Condensed"/>
          <w:i/>
          <w:iCs/>
          <w:sz w:val="24"/>
          <w:szCs w:val="24"/>
        </w:rPr>
        <w:t xml:space="preserve">libarchive</w:t>
      </w:r>
      <w:r>
        <w:rPr>
          <w:rFonts w:ascii="Barlow Semi Condensed" w:cs="Barlow Semi Condensed" w:eastAsia="Barlow Semi Condensed" w:hAnsi="Barlow Semi Condensed"/>
          <w:sz w:val="24"/>
          <w:szCs w:val="24"/>
        </w:rPr>
        <w:t xml:space="preserve">. Un </w:t>
      </w:r>
      <w:r>
        <w:rPr>
          <w:rFonts w:ascii="Barlow Semi Condensed" w:cs="Barlow Semi Condensed" w:eastAsia="Barlow Semi Condensed" w:hAnsi="Barlow Semi Condensed"/>
          <w:i/>
          <w:iCs/>
          <w:sz w:val="24"/>
          <w:szCs w:val="24"/>
        </w:rPr>
        <w:t xml:space="preserve">.zip</w:t>
      </w:r>
      <w:r>
        <w:rPr>
          <w:rFonts w:ascii="Barlow Semi Condensed" w:cs="Barlow Semi Condensed" w:eastAsia="Barlow Semi Condensed" w:hAnsi="Barlow Semi Condensed"/>
          <w:sz w:val="24"/>
          <w:szCs w:val="24"/>
        </w:rPr>
        <w:t xml:space="preserve"> avrebbe risparmiato il</w:t>
      </w:r>
    </w:p>
    <w:p>
      <w:pPr>
        <w:spacing w:after="120" w:line="276"/>
        <w:jc w:val="both"/>
      </w:pPr>
      <w:r>
        <w:rPr>
          <w:rFonts w:ascii="Barlow Semi Condensed" w:cs="Barlow Semi Condensed" w:eastAsia="Barlow Semi Condensed" w:hAnsi="Barlow Semi Condensed"/>
          <w:sz w:val="24"/>
          <w:szCs w:val="24"/>
        </w:rPr>
        <w:t xml:space="preserve">passaggio.)*</w:t>
      </w:r>
    </w:p>
    <w:p>
      <w:pPr>
        <w:pStyle w:val="Heading2"/>
        <w:spacing w:after="100" w:before="200"/>
      </w:pPr>
      <w:r>
        <w:rPr>
          <w:rFonts w:ascii="Barlow Semi Condensed" w:cs="Barlow Semi Condensed" w:eastAsia="Barlow Semi Condensed" w:hAnsi="Barlow Semi Condensed"/>
          <w:sz w:val="24"/>
          <w:szCs w:val="24"/>
        </w:rPr>
        <w:t xml:space="preserve">Che cosa non è stato aperto</w:t>
      </w:r>
    </w:p>
    <w:p>
      <w:pPr>
        <w:spacing w:after="120" w:line="276"/>
        <w:jc w:val="both"/>
      </w:pPr>
      <w:r>
        <w:rPr>
          <w:rFonts w:ascii="Barlow Semi Condensed" w:cs="Barlow Semi Condensed" w:eastAsia="Barlow Semi Condensed" w:hAnsi="Barlow Semi Condensed"/>
          <w:sz w:val="24"/>
          <w:szCs w:val="24"/>
        </w:rPr>
        <w:t xml:space="preserve">Un file </w:t>
      </w:r>
      <w:r>
        <w:rPr>
          <w:rFonts w:ascii="Barlow Semi Condensed" w:cs="Barlow Semi Condensed" w:eastAsia="Barlow Semi Condensed" w:hAnsi="Barlow Semi Condensed"/>
          <w:i/>
          <w:iCs/>
          <w:sz w:val="24"/>
          <w:szCs w:val="24"/>
        </w:rPr>
        <w:t xml:space="preserve">.mp4</w:t>
      </w:r>
      <w:r>
        <w:rPr>
          <w:rFonts w:ascii="Barlow Semi Condensed" w:cs="Barlow Semi Condensed" w:eastAsia="Barlow Semi Condensed" w:hAnsi="Barlow Semi Condensed"/>
          <w:sz w:val="24"/>
          <w:szCs w:val="24"/>
        </w:rPr>
        <w:t xml:space="preserve"> e un </w:t>
      </w:r>
      <w:r>
        <w:rPr>
          <w:rFonts w:ascii="Barlow Semi Condensed" w:cs="Barlow Semi Condensed" w:eastAsia="Barlow Semi Condensed" w:hAnsi="Barlow Semi Condensed"/>
          <w:i/>
          <w:iCs/>
          <w:sz w:val="24"/>
          <w:szCs w:val="24"/>
        </w:rPr>
        <w:t xml:space="preserve">.mht</w:t>
      </w:r>
      <w:r>
        <w:rPr>
          <w:rFonts w:ascii="Barlow Semi Condensed" w:cs="Barlow Semi Condensed" w:eastAsia="Barlow Semi Condensed" w:hAnsi="Barlow Semi Condensed"/>
          <w:sz w:val="24"/>
          <w:szCs w:val="24"/>
        </w:rPr>
        <w:t xml:space="preserve"> sciolti. Non sono stati trattati e sono elencati qui</w:t>
      </w:r>
    </w:p>
    <w:p>
      <w:pPr>
        <w:spacing w:after="120" w:line="276"/>
        <w:jc w:val="both"/>
      </w:pPr>
      <w:r>
        <w:rPr>
          <w:rFonts w:ascii="Barlow Semi Condensed" w:cs="Barlow Semi Condensed" w:eastAsia="Barlow Semi Condensed" w:hAnsi="Barlow Semi Condensed"/>
          <w:sz w:val="24"/>
          <w:szCs w:val="24"/>
        </w:rPr>
        <w:t xml:space="preserve">perché qualcuno possa chiederne conto.</w:t>
      </w:r>
    </w:p>
    <w:p>
      <w:pPr>
        <w:spacing w:after="120" w:line="276"/>
        <w:jc w:val="both"/>
      </w:pPr>
      <w:r>
        <w:rPr>
          <w:rFonts w:ascii="Barlow Semi Condensed" w:cs="Barlow Semi Condensed" w:eastAsia="Barlow Semi Condensed" w:hAnsi="Barlow Semi Condensed"/>
          <w:sz w:val="24"/>
          <w:szCs w:val="24"/>
        </w:rPr>
        <w:t xml:space="preserve">È invece stato conservato lo script </w:t>
      </w:r>
      <w:r>
        <w:rPr>
          <w:rFonts w:ascii="Barlow Semi Condensed" w:cs="Barlow Semi Condensed" w:eastAsia="Barlow Semi Condensed" w:hAnsi="Barlow Semi Condensed"/>
          <w:i/>
          <w:iCs/>
          <w:sz w:val="24"/>
          <w:szCs w:val="24"/>
        </w:rPr>
        <w:t xml:space="preserve">estrai_nodi.py</w:t>
      </w:r>
      <w:r>
        <w:rPr>
          <w:rFonts w:ascii="Barlow Semi Condensed" w:cs="Barlow Semi Condensed" w:eastAsia="Barlow Semi Condensed" w:hAnsi="Barlow Semi Condensed"/>
          <w:sz w:val="24"/>
          <w:szCs w:val="24"/>
        </w:rPr>
        <w:t xml:space="preserve">, arrivato con il materiale:</w:t>
      </w:r>
    </w:p>
    <w:p>
      <w:pPr>
        <w:spacing w:after="120" w:line="276"/>
        <w:jc w:val="both"/>
      </w:pPr>
      <w:r>
        <w:rPr>
          <w:rFonts w:ascii="Barlow Semi Condensed" w:cs="Barlow Semi Condensed" w:eastAsia="Barlow Semi Condensed" w:hAnsi="Barlow Semi Condensed"/>
          <w:sz w:val="24"/>
          <w:szCs w:val="24"/>
        </w:rPr>
        <w:t xml:space="preserve">sta in [</w:t>
      </w:r>
      <w:r>
        <w:rPr>
          <w:rFonts w:ascii="Barlow Semi Condensed" w:cs="Barlow Semi Condensed" w:eastAsia="Barlow Semi Condensed" w:hAnsi="Barlow Semi Condensed"/>
          <w:i/>
          <w:iCs/>
          <w:sz w:val="24"/>
          <w:szCs w:val="24"/>
        </w:rPr>
        <w:t xml:space="preserve">generatori/ricevuti/</w:t>
      </w:r>
      <w:r>
        <w:rPr>
          <w:rFonts w:ascii="Barlow Semi Condensed" w:cs="Barlow Semi Condensed" w:eastAsia="Barlow Semi Condensed" w:hAnsi="Barlow Semi Condensed"/>
          <w:sz w:val="24"/>
          <w:szCs w:val="24"/>
        </w:rPr>
        <w:t xml:space="preserve">](generatori/ricevuti/) e non è stato eseguito. Vale</w:t>
      </w:r>
    </w:p>
    <w:p>
      <w:pPr>
        <w:spacing w:after="120" w:line="276"/>
        <w:jc w:val="both"/>
      </w:pPr>
      <w:r>
        <w:rPr>
          <w:rFonts w:ascii="Barlow Semi Condensed" w:cs="Barlow Semi Condensed" w:eastAsia="Barlow Semi Condensed" w:hAnsi="Barlow Semi Condensed"/>
          <w:sz w:val="24"/>
          <w:szCs w:val="24"/>
        </w:rPr>
        <w:t xml:space="preserve">perché rende ispezionabile il metodo — dice in codice che cosa conti come nodo e</w:t>
      </w:r>
    </w:p>
    <w:p>
      <w:pPr>
        <w:spacing w:after="120" w:line="276"/>
        <w:jc w:val="both"/>
      </w:pPr>
      <w:r>
        <w:rPr>
          <w:rFonts w:ascii="Barlow Semi Condensed" w:cs="Barlow Semi Condensed" w:eastAsia="Barlow Semi Condensed" w:hAnsi="Barlow Semi Condensed"/>
          <w:sz w:val="24"/>
          <w:szCs w:val="24"/>
        </w:rPr>
        <w:t xml:space="preserve">come i nomi vengano normalizzati. Un elenco di nodi si può contestare; una regola</w:t>
      </w:r>
    </w:p>
    <w:p>
      <w:pPr>
        <w:spacing w:after="120" w:line="276"/>
        <w:jc w:val="both"/>
      </w:pPr>
      <w:r>
        <w:rPr>
          <w:rFonts w:ascii="Barlow Semi Condensed" w:cs="Barlow Semi Condensed" w:eastAsia="Barlow Semi Condensed" w:hAnsi="Barlow Semi Condensed"/>
          <w:sz w:val="24"/>
          <w:szCs w:val="24"/>
        </w:rPr>
        <w:t xml:space="preserve">di estrazione si può leggere e riprodurre.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La regola che questo registro applica a sé stesso</w:t>
      </w:r>
    </w:p>
    <w:p>
      <w:pPr>
        <w:spacing w:after="120" w:line="276"/>
        <w:jc w:val="both"/>
      </w:pPr>
      <w:r>
        <w:rPr>
          <w:rFonts w:ascii="Barlow Semi Condensed" w:cs="Barlow Semi Condensed" w:eastAsia="Barlow Semi Condensed" w:hAnsi="Barlow Semi Condensed"/>
          <w:sz w:val="24"/>
          <w:szCs w:val="24"/>
        </w:rPr>
        <w:t xml:space="preserve">Il criterio d'esclusione è </w:t>
      </w:r>
      <w:r>
        <w:rPr>
          <w:rFonts w:ascii="Barlow Semi Condensed" w:cs="Barlow Semi Condensed" w:eastAsia="Barlow Semi Condensed" w:hAnsi="Barlow Semi Condensed"/>
          <w:b/>
          <w:bCs/>
          <w:sz w:val="24"/>
          <w:szCs w:val="24"/>
        </w:rPr>
        <w:t xml:space="preserve">uno solo e dichiarato</w:t>
      </w:r>
      <w:r>
        <w:rPr>
          <w:rFonts w:ascii="Barlow Semi Condensed" w:cs="Barlow Semi Condensed" w:eastAsia="Barlow Semi Condensed" w:hAnsi="Barlow Semi Condensed"/>
          <w:sz w:val="24"/>
          <w:szCs w:val="24"/>
        </w:rPr>
        <w:t xml:space="preserve">: si scarta ciò che risulta</w:t>
      </w:r>
    </w:p>
    <w:p>
      <w:pPr>
        <w:spacing w:after="120" w:line="276"/>
        <w:jc w:val="both"/>
      </w:pPr>
      <w:r>
        <w:rPr>
          <w:rFonts w:ascii="Barlow Semi Condensed" w:cs="Barlow Semi Condensed" w:eastAsia="Barlow Semi Condensed" w:hAnsi="Barlow Semi Condensed"/>
          <w:sz w:val="24"/>
          <w:szCs w:val="24"/>
        </w:rPr>
        <w:t xml:space="preserve">contenuto in un documento già archiviato, e si dice in quale e di quanto. Non si</w:t>
      </w:r>
    </w:p>
    <w:p>
      <w:pPr>
        <w:spacing w:after="120" w:line="276"/>
        <w:jc w:val="both"/>
      </w:pPr>
      <w:r>
        <w:rPr>
          <w:rFonts w:ascii="Barlow Semi Condensed" w:cs="Barlow Semi Condensed" w:eastAsia="Barlow Semi Condensed" w:hAnsi="Barlow Semi Condensed"/>
          <w:sz w:val="24"/>
          <w:szCs w:val="24"/>
        </w:rPr>
        <w:t xml:space="preserve">scarta per giudizio di qualità, per lunghezza, per argomento o perché un</w:t>
      </w:r>
    </w:p>
    <w:p>
      <w:pPr>
        <w:spacing w:after="120" w:line="276"/>
        <w:jc w:val="both"/>
      </w:pPr>
      <w:r>
        <w:rPr>
          <w:rFonts w:ascii="Barlow Semi Condensed" w:cs="Barlow Semi Condensed" w:eastAsia="Barlow Semi Condensed" w:hAnsi="Barlow Semi Condensed"/>
          <w:sz w:val="24"/>
          <w:szCs w:val="24"/>
        </w:rPr>
        <w:t xml:space="preserve">documento sembra ripetitivo. Un criterio che dipendesse dal giudizio di chi</w:t>
      </w:r>
    </w:p>
    <w:p>
      <w:pPr>
        <w:spacing w:after="120" w:line="276"/>
        <w:jc w:val="both"/>
      </w:pPr>
      <w:r>
        <w:rPr>
          <w:rFonts w:ascii="Barlow Semi Condensed" w:cs="Barlow Semi Condensed" w:eastAsia="Barlow Semi Condensed" w:hAnsi="Barlow Semi Condensed"/>
          <w:sz w:val="24"/>
          <w:szCs w:val="24"/>
        </w:rPr>
        <w:t xml:space="preserve">archivia sarebbe invisibile a chi legge, e questo archivio smetterebbe di essere</w:t>
      </w:r>
    </w:p>
    <w:p>
      <w:pPr>
        <w:spacing w:after="120" w:line="276"/>
        <w:jc w:val="both"/>
      </w:pPr>
      <w:r>
        <w:rPr>
          <w:rFonts w:ascii="Barlow Semi Condensed" w:cs="Barlow Semi Condensed" w:eastAsia="Barlow Semi Condensed" w:hAnsi="Barlow Semi Condensed"/>
          <w:sz w:val="24"/>
          <w:szCs w:val="24"/>
        </w:rPr>
        <w:t xml:space="preserve">controllabile nel momento stesso in cui comincia a scegliere.</w:t>
      </w:r>
    </w:p>
    <w:p>
      <w:pPr>
        <w:spacing w:after="120" w:line="276"/>
        <w:jc w:val="both"/>
      </w:pPr>
      <w:r>
        <w:rPr>
          <w:rFonts w:ascii="Barlow Semi Condensed" w:cs="Barlow Semi Condensed" w:eastAsia="Barlow Semi Condensed" w:hAnsi="Barlow Semi Condensed"/>
          <w:sz w:val="24"/>
          <w:szCs w:val="24"/>
        </w:rPr>
        <w:t xml:space="preserve">Resta vero, e va scritto accanto: **misurare la duplicazione non è verificare il</w:t>
      </w:r>
    </w:p>
    <w:p>
      <w:pPr>
        <w:spacing w:after="120" w:line="276"/>
        <w:jc w:val="both"/>
      </w:pPr>
      <w:r>
        <w:rPr>
          <w:rFonts w:ascii="Barlow Semi Condensed" w:cs="Barlow Semi Condensed" w:eastAsia="Barlow Semi Condensed" w:hAnsi="Barlow Semi Condensed"/>
          <w:sz w:val="24"/>
          <w:szCs w:val="24"/>
        </w:rPr>
        <w:t xml:space="preserve">contenuto**. Sapere che un documento non è la copia di un altro non dice nulla su</w:t>
      </w:r>
    </w:p>
    <w:p>
      <w:pPr>
        <w:spacing w:after="120" w:line="276"/>
        <w:jc w:val="both"/>
      </w:pPr>
      <w:r>
        <w:rPr>
          <w:rFonts w:ascii="Barlow Semi Condensed" w:cs="Barlow Semi Condensed" w:eastAsia="Barlow Semi Condensed" w:hAnsi="Barlow Semi Condensed"/>
          <w:sz w:val="24"/>
          <w:szCs w:val="24"/>
        </w:rPr>
        <w:t xml:space="preserve">ciò che afferma. Questo registro certifica come si è formato l'archivio, non che</w:t>
      </w:r>
    </w:p>
    <w:p>
      <w:pPr>
        <w:spacing w:after="120" w:line="276"/>
        <w:jc w:val="both"/>
      </w:pPr>
      <w:r>
        <w:rPr>
          <w:rFonts w:ascii="Barlow Semi Condensed" w:cs="Barlow Semi Condensed" w:eastAsia="Barlow Semi Condensed" w:hAnsi="Barlow Semi Condensed"/>
          <w:sz w:val="24"/>
          <w:szCs w:val="24"/>
        </w:rPr>
        <w:t xml:space="preserve">l'archivio dica il vero — la stessa distinzione che il registro delle impronte</w:t>
      </w:r>
    </w:p>
    <w:p>
      <w:pPr>
        <w:spacing w:after="120" w:line="276"/>
        <w:jc w:val="both"/>
      </w:pPr>
      <w:r>
        <w:rPr>
          <w:rFonts w:ascii="Barlow Semi Condensed" w:cs="Barlow Semi Condensed" w:eastAsia="Barlow Semi Condensed" w:hAnsi="Barlow Semi Condensed"/>
          <w:sz w:val="24"/>
          <w:szCs w:val="24"/>
        </w:rPr>
        <w:t xml:space="preserve">fa fra l'integrità del contenitore e la verità del contenuto.</w:t>
      </w:r>
    </w:p>
    <w:p>
      <w:pPr>
        <w:pStyle w:val="Heading3"/>
        <w:spacing w:after="80" w:before="240"/>
      </w:pPr>
      <w:r>
        <w:rPr>
          <w:rFonts w:ascii="Barlow Semi Condensed" w:cs="Barlow Semi Condensed" w:eastAsia="Barlow Semi Condensed" w:hAnsi="Barlow Semi Condensed"/>
          <w:sz w:val="24"/>
          <w:szCs w:val="24"/>
        </w:rPr>
        <w:t xml:space="preserve">Apparato grafico — Appendici · iii. Il registro degli ingressi</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V.iii: 2.207 parole in 9 sezioni; la più ampia è §9 Altre sezioni, con 850.</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Appendice V.iii: 40 paragrafi in 9 sezioni, 4 in media per sezione.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p>
      <w:r>
        <w:br w:type="page"/>
      </w:r>
    </w:p>
    <w:p>
      <w:pPr>
        <w:pStyle w:val="Heading1"/>
        <w:spacing w:after="120" w:before="240"/>
      </w:pPr>
      <w:r>
        <w:rPr>
          <w:rFonts w:ascii="Barlow Semi Condensed" w:cs="Barlow Semi Condensed" w:eastAsia="Barlow Semi Condensed" w:hAnsi="Barlow Semi Condensed"/>
          <w:sz w:val="24"/>
          <w:szCs w:val="24"/>
        </w:rPr>
        <w:t xml:space="preserve">Apparato conclusivo — Le note bibliografiche (dalla prima all'ultima)</w:t>
      </w:r>
    </w:p>
    <w:p>
      <w:pPr>
        <w:pStyle w:val="Heading1"/>
        <w:spacing w:after="120" w:before="240"/>
      </w:pPr>
      <w:r>
        <w:rPr>
          <w:rFonts w:ascii="Barlow Semi Condensed" w:cs="Barlow Semi Condensed" w:eastAsia="Barlow Semi Condensed" w:hAnsi="Barlow Semi Condensed"/>
          <w:sz w:val="24"/>
          <w:szCs w:val="24"/>
        </w:rPr>
        <w:t xml:space="preserve">Le note bibliografiche</w:t>
      </w:r>
    </w:p>
    <w:p>
      <w:pPr>
        <w:pStyle w:val="Heading2"/>
        <w:spacing w:after="100" w:before="200"/>
      </w:pPr>
      <w:r>
        <w:rPr>
          <w:rFonts w:ascii="Barlow Semi Condensed" w:cs="Barlow Semi Condensed" w:eastAsia="Barlow Semi Condensed" w:hAnsi="Barlow Semi Condensed"/>
          <w:sz w:val="24"/>
          <w:szCs w:val="24"/>
        </w:rPr>
        <w:t xml:space="preserve">Dalla prima all'ultima: gli indirizzi citati nell'opera, in ordine di apparizione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dell'apparato.</w:t>
      </w:r>
      <w:r>
        <w:rPr>
          <w:rFonts w:ascii="Barlow Semi Condensed" w:cs="Barlow Semi Condensed" w:eastAsia="Barlow Semi Condensed" w:hAnsi="Barlow Semi Condensed"/>
          <w:i w:val="false"/>
          <w:iCs w:val="false"/>
          <w:sz w:val="24"/>
          <w:szCs w:val="24"/>
        </w:rPr>
        <w:t xml:space="preserve"> Questo apparato conclusivo raccoglie </w:t>
      </w:r>
      <w:r>
        <w:rPr>
          <w:rFonts w:ascii="Barlow Semi Condensed" w:cs="Barlow Semi Condensed" w:eastAsia="Barlow Semi Condensed" w:hAnsi="Barlow Semi Condensed"/>
          <w:b/>
          <w:bCs/>
          <w:i w:val="false"/>
          <w:iCs w:val="false"/>
          <w:sz w:val="24"/>
          <w:szCs w:val="24"/>
        </w:rPr>
        <w:t xml:space="preserve">tutte le note bibliografiche con indirizzo</w:t>
      </w:r>
      <w:r>
        <w:rPr>
          <w:rFonts w:ascii="Barlow Semi Condensed" w:cs="Barlow Semi Condensed" w:eastAsia="Barlow Semi Condensed" w:hAnsi="Barlow Semi Condensed"/>
          <w:i w:val="false"/>
          <w:iCs w:val="false"/>
          <w:sz w:val="24"/>
          <w:szCs w:val="24"/>
        </w:rPr>
        <w:t xml:space="preserve"> dell'opera integrale — 692 indirizzi distinti per 1258 citazioni complessive — numerate </w:t>
      </w:r>
      <w:r>
        <w:rPr>
          <w:rFonts w:ascii="Barlow Semi Condensed" w:cs="Barlow Semi Condensed" w:eastAsia="Barlow Semi Condensed" w:hAnsi="Barlow Semi Condensed"/>
          <w:b/>
          <w:bCs/>
          <w:i w:val="false"/>
          <w:iCs w:val="false"/>
          <w:sz w:val="24"/>
          <w:szCs w:val="24"/>
        </w:rPr>
        <w:t xml:space="preserve">dalla prima all'ultima nell'ordine di apparizione</w:t>
      </w:r>
      <w:r>
        <w:rPr>
          <w:rFonts w:ascii="Barlow Semi Condensed" w:cs="Barlow Semi Condensed" w:eastAsia="Barlow Semi Condensed" w:hAnsi="Barlow Semi Condensed"/>
          <w:i w:val="false"/>
          <w:iCs w:val="false"/>
          <w:sz w:val="24"/>
          <w:szCs w:val="24"/>
        </w:rPr>
        <w:t xml:space="preserve"> lungo i trentacinque capitoli, ciascuna registrata sotto il capitolo della sua prima citazione (le citazioni ripetute sono contate, non duplicate). Vi compaiono sia gli indirizzi in collegamento pieno sia quelli citati in forma d'indirizzo semplice, come l'opera li riporta «per la tracciabilità». L'apparato è generato meccanicamente dai testi e si rigenera con essi: non è una bibliografia selettiva ma il censimento integrale degli indirizzi dell'opera — la sua impronta documentale.</w:t>
      </w:r>
    </w:p>
    <w:p>
      <w:pPr>
        <w:pStyle w:val="Heading3"/>
        <w:spacing w:after="80" w:before="160"/>
      </w:pPr>
      <w:r>
        <w:rPr>
          <w:rFonts w:ascii="Barlow Semi Condensed" w:cs="Barlow Semi Condensed" w:eastAsia="Barlow Semi Condensed" w:hAnsi="Barlow Semi Condensed"/>
          <w:sz w:val="24"/>
          <w:szCs w:val="24"/>
        </w:rPr>
        <w:t xml:space="preserve">Portale — L'edizione strutturata</w:t>
      </w:r>
    </w:p>
    <w:p>
      <w:pPr>
        <w:spacing w:after="120" w:line="276"/>
        <w:jc w:val="both"/>
      </w:pPr>
      <w:r>
        <w:rPr>
          <w:rFonts w:ascii="Barlow Semi Condensed" w:cs="Barlow Semi Condensed" w:eastAsia="Barlow Semi Condensed" w:hAnsi="Barlow Semi Condensed"/>
          <w:b/>
          <w:bCs/>
          <w:sz w:val="24"/>
          <w:szCs w:val="24"/>
        </w:rPr>
        <w:t xml:space="preserve">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aldomorodigitale.unibo.it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19 volte)</w:t>
      </w:r>
    </w:p>
    <w:p>
      <w:pPr>
        <w:spacing w:after="120" w:line="276"/>
        <w:jc w:val="both"/>
      </w:pPr>
      <w:r>
        <w:rPr>
          <w:rFonts w:ascii="Barlow Semi Condensed" w:cs="Barlow Semi Condensed" w:eastAsia="Barlow Semi Condensed" w:hAnsi="Barlow Semi Condensed"/>
          <w:b/>
          <w:bCs/>
          <w:sz w:val="24"/>
          <w:szCs w:val="24"/>
        </w:rPr>
        <w:t xml:space="preserve">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history.state.gov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esteri.it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6 volte)</w:t>
      </w:r>
    </w:p>
    <w:p>
      <w:pPr>
        <w:pStyle w:val="Heading3"/>
        <w:spacing w:after="80" w:before="160"/>
      </w:pPr>
      <w:r>
        <w:rPr>
          <w:rFonts w:ascii="Barlow Semi Condensed" w:cs="Barlow Semi Condensed" w:eastAsia="Barlow Semi Condensed" w:hAnsi="Barlow Semi Condensed"/>
          <w:sz w:val="24"/>
          <w:szCs w:val="24"/>
        </w:rPr>
        <w:t xml:space="preserve">Libro primo — Il ritratto</w:t>
      </w:r>
    </w:p>
    <w:p>
      <w:pPr>
        <w:spacing w:after="120" w:line="276"/>
        <w:jc w:val="both"/>
      </w:pPr>
      <w:r>
        <w:rPr>
          <w:rFonts w:ascii="Barlow Semi Condensed" w:cs="Barlow Semi Condensed" w:eastAsia="Barlow Semi Condensed" w:hAnsi="Barlow Semi Condensed"/>
          <w:b/>
          <w:bCs/>
          <w:sz w:val="24"/>
          <w:szCs w:val="24"/>
        </w:rPr>
        <w:t xml:space="preserve">4.</w:t>
      </w:r>
      <w:r>
        <w:rPr>
          <w:rFonts w:ascii="Barlow Semi Condensed" w:cs="Barlow Semi Condensed" w:eastAsia="Barlow Semi Condensed" w:hAnsi="Barlow Semi Condensed"/>
          <w:sz w:val="24"/>
          <w:szCs w:val="24"/>
        </w:rPr>
        <w:t xml:space="preserve"> Treccani, «Aldo Moro» — https://www.treccani.it/enciclopedia/aldo-moro/ (https://www.treccani.it/enciclopedia/aldo-moro/)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w:t>
      </w:r>
      <w:r>
        <w:rPr>
          <w:rFonts w:ascii="Barlow Semi Condensed" w:cs="Barlow Semi Condensed" w:eastAsia="Barlow Semi Condensed" w:hAnsi="Barlow Semi Condensed"/>
          <w:sz w:val="24"/>
          <w:szCs w:val="24"/>
        </w:rPr>
        <w:t xml:space="preserve"> Il progetto politico di Aldo Moro dalla Costituente alla Terza Fase, Piretti — http://www.accademiaaldomoro.org/attivita/trentennale/ConvegnoVarie/Relazioni/Piretti.pdf (http://www.accademiaaldomoro.org/attivita/trentennale/ConvegnoVarie/Relazioni/Piretti.pdf) </w:t>
      </w:r>
      <w:r>
        <w:rPr>
          <w:rFonts w:ascii="Barlow Semi Condensed" w:cs="Barlow Semi Condensed" w:eastAsia="Barlow Semi Condensed" w:hAnsi="Barlow Semi Condensed"/>
          <w:i/>
          <w:iCs/>
          <w:sz w:val="24"/>
          <w:szCs w:val="24"/>
        </w:rPr>
        <w:t xml:space="preserve">(citato 2 volte)</w:t>
      </w:r>
    </w:p>
    <w:p>
      <w:pPr>
        <w:pStyle w:val="Heading3"/>
        <w:spacing w:after="80" w:before="160"/>
      </w:pPr>
      <w:r>
        <w:rPr>
          <w:rFonts w:ascii="Barlow Semi Condensed" w:cs="Barlow Semi Condensed" w:eastAsia="Barlow Semi Condensed" w:hAnsi="Barlow Semi Condensed"/>
          <w:sz w:val="24"/>
          <w:szCs w:val="24"/>
        </w:rPr>
        <w:t xml:space="preserve">Libro quarto — Il Dossier maggiore</w:t>
      </w:r>
    </w:p>
    <w:p>
      <w:pPr>
        <w:spacing w:after="120" w:line="276"/>
        <w:jc w:val="both"/>
      </w:pPr>
      <w:r>
        <w:rPr>
          <w:rFonts w:ascii="Barlow Semi Condensed" w:cs="Barlow Semi Condensed" w:eastAsia="Barlow Semi Condensed" w:hAnsi="Barlow Semi Condensed"/>
          <w:b/>
          <w:bCs/>
          <w:sz w:val="24"/>
          <w:szCs w:val="24"/>
        </w:rPr>
        <w:t xml:space="preserve">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repubblica.it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giornalettismo.com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altreconomia.it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corriere.it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10.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rai.it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11.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fascinazione.info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12.</w:t>
      </w:r>
      <w:r>
        <w:rPr>
          <w:rFonts w:ascii="Barlow Semi Condensed" w:cs="Barlow Semi Condensed" w:eastAsia="Barlow Semi Condensed" w:hAnsi="Barlow Semi Condensed"/>
          <w:sz w:val="24"/>
          <w:szCs w:val="24"/>
        </w:rPr>
        <w:t xml:space="preserve"> acs.cultura.gov.it/modalita-di-accesso-e-regolamento/sala-delle-raccolt… (https://acs.cultura.gov.it/modalita-di-accesso-e-regolamento/sala-delle-raccolte-speciali-documentazione-desecretata/direttiva-renzi-2014/)</w:t>
      </w:r>
    </w:p>
    <w:p>
      <w:pPr>
        <w:spacing w:after="120" w:line="276"/>
        <w:jc w:val="both"/>
      </w:pPr>
      <w:r>
        <w:rPr>
          <w:rFonts w:ascii="Barlow Semi Condensed" w:cs="Barlow Semi Condensed" w:eastAsia="Barlow Semi Condensed" w:hAnsi="Barlow Semi Condensed"/>
          <w:b/>
          <w:bCs/>
          <w:sz w:val="24"/>
          <w:szCs w:val="24"/>
        </w:rPr>
        <w:t xml:space="preserve">13.</w:t>
      </w:r>
      <w:r>
        <w:rPr>
          <w:rFonts w:ascii="Barlow Semi Condensed" w:cs="Barlow Semi Condensed" w:eastAsia="Barlow Semi Condensed" w:hAnsi="Barlow Semi Condensed"/>
          <w:sz w:val="24"/>
          <w:szCs w:val="24"/>
        </w:rPr>
        <w:t xml:space="preserve"> acs.cultura.gov.it/modalita-di-accesso-e-regolamento/sala-delle-raccolt… (https://acs.cultura.gov.it/modalita-di-accesso-e-regolamento/sala-delle-raccolte-speciali-documentazione-desecretata/direttiva-draghi-2021/)</w:t>
      </w:r>
    </w:p>
    <w:p>
      <w:pPr>
        <w:spacing w:after="120" w:line="276"/>
        <w:jc w:val="both"/>
      </w:pPr>
      <w:r>
        <w:rPr>
          <w:rFonts w:ascii="Barlow Semi Condensed" w:cs="Barlow Semi Condensed" w:eastAsia="Barlow Semi Condensed" w:hAnsi="Barlow Semi Condensed"/>
          <w:b/>
          <w:bCs/>
          <w:sz w:val="24"/>
          <w:szCs w:val="24"/>
        </w:rPr>
        <w:t xml:space="preserve">14.</w:t>
      </w:r>
      <w:r>
        <w:rPr>
          <w:rFonts w:ascii="Barlow Semi Condensed" w:cs="Barlow Semi Condensed" w:eastAsia="Barlow Semi Condensed" w:hAnsi="Barlow Semi Condensed"/>
          <w:sz w:val="24"/>
          <w:szCs w:val="24"/>
        </w:rPr>
        <w:t xml:space="preserve"> a4view.archivioflamigni.org (https://a4view.archivioflamigni.org/)</w:t>
      </w:r>
    </w:p>
    <w:p>
      <w:pPr>
        <w:spacing w:after="120" w:line="276"/>
        <w:jc w:val="both"/>
      </w:pPr>
      <w:r>
        <w:rPr>
          <w:rFonts w:ascii="Barlow Semi Condensed" w:cs="Barlow Semi Condensed" w:eastAsia="Barlow Semi Condensed" w:hAnsi="Barlow Semi Condensed"/>
          <w:b/>
          <w:bCs/>
          <w:sz w:val="24"/>
          <w:szCs w:val="24"/>
        </w:rPr>
        <w:t xml:space="preserve">15.</w:t>
      </w:r>
      <w:r>
        <w:rPr>
          <w:rFonts w:ascii="Barlow Semi Condensed" w:cs="Barlow Semi Condensed" w:eastAsia="Barlow Semi Condensed" w:hAnsi="Barlow Semi Condensed"/>
          <w:sz w:val="24"/>
          <w:szCs w:val="24"/>
        </w:rPr>
        <w:t xml:space="preserve"> camera.it (https://www.camera.it/) </w:t>
      </w:r>
      <w:r>
        <w:rPr>
          <w:rFonts w:ascii="Barlow Semi Condensed" w:cs="Barlow Semi Condensed" w:eastAsia="Barlow Semi Condensed" w:hAnsi="Barlow Semi Condensed"/>
          <w:i/>
          <w:iCs/>
          <w:sz w:val="24"/>
          <w:szCs w:val="24"/>
        </w:rPr>
        <w:t xml:space="preserve">(citato 6 volte)</w:t>
      </w:r>
    </w:p>
    <w:p>
      <w:pPr>
        <w:spacing w:after="120" w:line="276"/>
        <w:jc w:val="both"/>
      </w:pPr>
      <w:r>
        <w:rPr>
          <w:rFonts w:ascii="Barlow Semi Condensed" w:cs="Barlow Semi Condensed" w:eastAsia="Barlow Semi Condensed" w:hAnsi="Barlow Semi Condensed"/>
          <w:b/>
          <w:bCs/>
          <w:sz w:val="24"/>
          <w:szCs w:val="24"/>
        </w:rPr>
        <w:t xml:space="preserve">16.</w:t>
      </w:r>
      <w:r>
        <w:rPr>
          <w:rFonts w:ascii="Barlow Semi Condensed" w:cs="Barlow Semi Condensed" w:eastAsia="Barlow Semi Condensed" w:hAnsi="Barlow Semi Condensed"/>
          <w:sz w:val="24"/>
          <w:szCs w:val="24"/>
        </w:rPr>
        <w:t xml:space="preserve"> documenti.camera.it (https://documenti.camera.it/)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17.</w:t>
      </w:r>
      <w:r>
        <w:rPr>
          <w:rFonts w:ascii="Barlow Semi Condensed" w:cs="Barlow Semi Condensed" w:eastAsia="Barlow Semi Condensed" w:hAnsi="Barlow Semi Condensed"/>
          <w:sz w:val="24"/>
          <w:szCs w:val="24"/>
        </w:rPr>
        <w:t xml:space="preserve"> memoria.cultura.gov.it (https://memoria.cultura.gov.it/) </w:t>
      </w:r>
      <w:r>
        <w:rPr>
          <w:rFonts w:ascii="Barlow Semi Condensed" w:cs="Barlow Semi Condensed" w:eastAsia="Barlow Semi Condensed" w:hAnsi="Barlow Semi Condensed"/>
          <w:i/>
          <w:iCs/>
          <w:sz w:val="24"/>
          <w:szCs w:val="24"/>
        </w:rPr>
        <w:t xml:space="preserve">(citato 9 volte)</w:t>
      </w:r>
    </w:p>
    <w:p>
      <w:pPr>
        <w:spacing w:after="120" w:line="276"/>
        <w:jc w:val="both"/>
      </w:pPr>
      <w:r>
        <w:rPr>
          <w:rFonts w:ascii="Barlow Semi Condensed" w:cs="Barlow Semi Condensed" w:eastAsia="Barlow Semi Condensed" w:hAnsi="Barlow Semi Condensed"/>
          <w:b/>
          <w:bCs/>
          <w:sz w:val="24"/>
          <w:szCs w:val="24"/>
        </w:rPr>
        <w:t xml:space="preserve">18.</w:t>
      </w:r>
      <w:r>
        <w:rPr>
          <w:rFonts w:ascii="Barlow Semi Condensed" w:cs="Barlow Semi Condensed" w:eastAsia="Barlow Semi Condensed" w:hAnsi="Barlow Semi Condensed"/>
          <w:sz w:val="24"/>
          <w:szCs w:val="24"/>
        </w:rPr>
        <w:t xml:space="preserve"> parlamento.it (https://www.parlamento.it/)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19.</w:t>
      </w:r>
      <w:r>
        <w:rPr>
          <w:rFonts w:ascii="Barlow Semi Condensed" w:cs="Barlow Semi Condensed" w:eastAsia="Barlow Semi Condensed" w:hAnsi="Barlow Semi Condensed"/>
          <w:sz w:val="24"/>
          <w:szCs w:val="24"/>
        </w:rPr>
        <w:t xml:space="preserve"> senato.it (https://www.senato.it/) </w:t>
      </w:r>
      <w:r>
        <w:rPr>
          <w:rFonts w:ascii="Barlow Semi Condensed" w:cs="Barlow Semi Condensed" w:eastAsia="Barlow Semi Condensed" w:hAnsi="Barlow Semi Condensed"/>
          <w:i/>
          <w:iCs/>
          <w:sz w:val="24"/>
          <w:szCs w:val="24"/>
        </w:rPr>
        <w:t xml:space="preserve">(citato 6 volte)</w:t>
      </w:r>
    </w:p>
    <w:p>
      <w:pPr>
        <w:spacing w:after="120" w:line="276"/>
        <w:jc w:val="both"/>
      </w:pPr>
      <w:r>
        <w:rPr>
          <w:rFonts w:ascii="Barlow Semi Condensed" w:cs="Barlow Semi Condensed" w:eastAsia="Barlow Semi Condensed" w:hAnsi="Barlow Semi Condensed"/>
          <w:b/>
          <w:bCs/>
          <w:sz w:val="24"/>
          <w:szCs w:val="24"/>
        </w:rPr>
        <w:t xml:space="preserve">20.</w:t>
      </w:r>
      <w:r>
        <w:rPr>
          <w:rFonts w:ascii="Barlow Semi Condensed" w:cs="Barlow Semi Condensed" w:eastAsia="Barlow Semi Condensed" w:hAnsi="Barlow Semi Condensed"/>
          <w:sz w:val="24"/>
          <w:szCs w:val="24"/>
        </w:rPr>
        <w:t xml:space="preserve"> parlamento.it/parlam/bicam/terror/stenografici/steno9.htm (https://www.parlamento.it/parlam/bicam/terror/stenografici/steno9.htm)</w:t>
      </w:r>
    </w:p>
    <w:p>
      <w:pPr>
        <w:spacing w:after="120" w:line="276"/>
        <w:jc w:val="both"/>
      </w:pPr>
      <w:r>
        <w:rPr>
          <w:rFonts w:ascii="Barlow Semi Condensed" w:cs="Barlow Semi Condensed" w:eastAsia="Barlow Semi Condensed" w:hAnsi="Barlow Semi Condensed"/>
          <w:b/>
          <w:bCs/>
          <w:sz w:val="24"/>
          <w:szCs w:val="24"/>
        </w:rPr>
        <w:t xml:space="preserve">21.</w:t>
      </w:r>
      <w:r>
        <w:rPr>
          <w:rFonts w:ascii="Barlow Semi Condensed" w:cs="Barlow Semi Condensed" w:eastAsia="Barlow Semi Condensed" w:hAnsi="Barlow Semi Condensed"/>
          <w:sz w:val="24"/>
          <w:szCs w:val="24"/>
        </w:rPr>
        <w:t xml:space="preserve"> parlamento.it/parlam/bicam/terror/stenografici/steno25.htm (https://www.parlamento.it/parlam/bicam/terror/stenografici/steno25.htm)</w:t>
      </w:r>
    </w:p>
    <w:p>
      <w:pPr>
        <w:spacing w:after="120" w:line="276"/>
        <w:jc w:val="both"/>
      </w:pPr>
      <w:r>
        <w:rPr>
          <w:rFonts w:ascii="Barlow Semi Condensed" w:cs="Barlow Semi Condensed" w:eastAsia="Barlow Semi Condensed" w:hAnsi="Barlow Semi Condensed"/>
          <w:b/>
          <w:bCs/>
          <w:sz w:val="24"/>
          <w:szCs w:val="24"/>
        </w:rPr>
        <w:t xml:space="preserve">22.</w:t>
      </w:r>
      <w:r>
        <w:rPr>
          <w:rFonts w:ascii="Barlow Semi Condensed" w:cs="Barlow Semi Condensed" w:eastAsia="Barlow Semi Condensed" w:hAnsi="Barlow Semi Condensed"/>
          <w:sz w:val="24"/>
          <w:szCs w:val="24"/>
        </w:rPr>
        <w:t xml:space="preserve"> parlamento.it/parlam/bicam/terror/stenografici/steno58.htm (https://www.parlamento.it/parlam/bicam/terror/stenografici/steno58.htm)</w:t>
      </w:r>
    </w:p>
    <w:p>
      <w:pPr>
        <w:spacing w:after="120" w:line="276"/>
        <w:jc w:val="both"/>
      </w:pPr>
      <w:r>
        <w:rPr>
          <w:rFonts w:ascii="Barlow Semi Condensed" w:cs="Barlow Semi Condensed" w:eastAsia="Barlow Semi Condensed" w:hAnsi="Barlow Semi Condensed"/>
          <w:b/>
          <w:bCs/>
          <w:sz w:val="24"/>
          <w:szCs w:val="24"/>
        </w:rPr>
        <w:t xml:space="preserve">23.</w:t>
      </w:r>
      <w:r>
        <w:rPr>
          <w:rFonts w:ascii="Barlow Semi Condensed" w:cs="Barlow Semi Condensed" w:eastAsia="Barlow Semi Condensed" w:hAnsi="Barlow Semi Condensed"/>
          <w:sz w:val="24"/>
          <w:szCs w:val="24"/>
        </w:rPr>
        <w:t xml:space="preserve"> gnosis.aisi.gov.it (https://gnosis.aisi.gov.it/)</w:t>
      </w:r>
    </w:p>
    <w:p>
      <w:pPr>
        <w:spacing w:after="120" w:line="276"/>
        <w:jc w:val="both"/>
      </w:pPr>
      <w:r>
        <w:rPr>
          <w:rFonts w:ascii="Barlow Semi Condensed" w:cs="Barlow Semi Condensed" w:eastAsia="Barlow Semi Condensed" w:hAnsi="Barlow Semi Condensed"/>
          <w:b/>
          <w:bCs/>
          <w:sz w:val="24"/>
          <w:szCs w:val="24"/>
        </w:rPr>
        <w:t xml:space="preserve">24.</w:t>
      </w:r>
      <w:r>
        <w:rPr>
          <w:rFonts w:ascii="Barlow Semi Condensed" w:cs="Barlow Semi Condensed" w:eastAsia="Barlow Semi Condensed" w:hAnsi="Barlow Semi Condensed"/>
          <w:sz w:val="24"/>
          <w:szCs w:val="24"/>
        </w:rPr>
        <w:t xml:space="preserve"> fondazionemicheletti.eu (https://www.fondazionemicheletti.eu/)</w:t>
      </w:r>
    </w:p>
    <w:p>
      <w:pPr>
        <w:spacing w:after="120" w:line="276"/>
        <w:jc w:val="both"/>
      </w:pPr>
      <w:r>
        <w:rPr>
          <w:rFonts w:ascii="Barlow Semi Condensed" w:cs="Barlow Semi Condensed" w:eastAsia="Barlow Semi Condensed" w:hAnsi="Barlow Semi Condensed"/>
          <w:b/>
          <w:bCs/>
          <w:sz w:val="24"/>
          <w:szCs w:val="24"/>
        </w:rPr>
        <w:t xml:space="preserve">25.</w:t>
      </w:r>
      <w:r>
        <w:rPr>
          <w:rFonts w:ascii="Barlow Semi Condensed" w:cs="Barlow Semi Condensed" w:eastAsia="Barlow Semi Condensed" w:hAnsi="Barlow Semi Condensed"/>
          <w:sz w:val="24"/>
          <w:szCs w:val="24"/>
        </w:rPr>
        <w:t xml:space="preserve"> memoria.cultura.gov.it/it/w/il-tentato-golpe-borghese (https://memoria.cultura.gov.it/it/w/il-tentato-golpe-borghese)</w:t>
      </w:r>
    </w:p>
    <w:p>
      <w:pPr>
        <w:pStyle w:val="Heading3"/>
        <w:spacing w:after="80" w:before="160"/>
      </w:pPr>
      <w:r>
        <w:rPr>
          <w:rFonts w:ascii="Barlow Semi Condensed" w:cs="Barlow Semi Condensed" w:eastAsia="Barlow Semi Condensed" w:hAnsi="Barlow Semi Condensed"/>
          <w:sz w:val="24"/>
          <w:szCs w:val="24"/>
        </w:rPr>
        <w:t xml:space="preserve">Libro quinto · I — Feltrinelli, il vettore</w:t>
      </w:r>
    </w:p>
    <w:p>
      <w:pPr>
        <w:spacing w:after="120" w:line="276"/>
        <w:jc w:val="both"/>
      </w:pPr>
      <w:r>
        <w:rPr>
          <w:rFonts w:ascii="Barlow Semi Condensed" w:cs="Barlow Semi Condensed" w:eastAsia="Barlow Semi Condensed" w:hAnsi="Barlow Semi Condensed"/>
          <w:b/>
          <w:bCs/>
          <w:sz w:val="24"/>
          <w:szCs w:val="24"/>
        </w:rPr>
        <w:t xml:space="preserve">26.</w:t>
      </w:r>
      <w:r>
        <w:rPr>
          <w:rFonts w:ascii="Barlow Semi Condensed" w:cs="Barlow Semi Condensed" w:eastAsia="Barlow Semi Condensed" w:hAnsi="Barlow Semi Condensed"/>
          <w:sz w:val="24"/>
          <w:szCs w:val="24"/>
        </w:rPr>
        <w:t xml:space="preserve"> LRB, John Foot — https://www.lrb.co.uk/the-paper/v24/n03/john-foot/no.-1-scapegoat (https://www.lrb.co.uk/the-paper/v24/n03/john-foot/no.-1-scapegoat)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27.</w:t>
      </w:r>
      <w:r>
        <w:rPr>
          <w:rFonts w:ascii="Barlow Semi Condensed" w:cs="Barlow Semi Condensed" w:eastAsia="Barlow Semi Condensed" w:hAnsi="Barlow Semi Condensed"/>
          <w:sz w:val="24"/>
          <w:szCs w:val="24"/>
        </w:rPr>
        <w:t xml:space="preserve"> Wikipedia EN — https://en.wikipedia.org/wiki/Giangiacomo_Feltrinelli (https://en.wikipedia.org/wiki/Giangiacomo_Feltrinelli)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28.</w:t>
      </w:r>
      <w:r>
        <w:rPr>
          <w:rFonts w:ascii="Barlow Semi Condensed" w:cs="Barlow Semi Condensed" w:eastAsia="Barlow Semi Condensed" w:hAnsi="Barlow Semi Condensed"/>
          <w:sz w:val="24"/>
          <w:szCs w:val="24"/>
        </w:rPr>
        <w:t xml:space="preserve"> Fondazione Feltrinelli, About — https://fondazionefeltrinelli.it/en/about-us-4/ (https://fondazionefeltrinelli.it/en/about-us-4/)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29.</w:t>
      </w:r>
      <w:r>
        <w:rPr>
          <w:rFonts w:ascii="Barlow Semi Condensed" w:cs="Barlow Semi Condensed" w:eastAsia="Barlow Semi Condensed" w:hAnsi="Barlow Semi Condensed"/>
          <w:sz w:val="24"/>
          <w:szCs w:val="24"/>
        </w:rPr>
        <w:t xml:space="preserve"> Fondazione Feltrinelli, Library — https://fondazionefeltrinelli.it/en/library/ (https://fondazionefeltrinelli.it/en/library/)</w:t>
      </w:r>
    </w:p>
    <w:p>
      <w:pPr>
        <w:spacing w:after="120" w:line="276"/>
        <w:jc w:val="both"/>
      </w:pPr>
      <w:r>
        <w:rPr>
          <w:rFonts w:ascii="Barlow Semi Condensed" w:cs="Barlow Semi Condensed" w:eastAsia="Barlow Semi Condensed" w:hAnsi="Barlow Semi Condensed"/>
          <w:b/>
          <w:bCs/>
          <w:sz w:val="24"/>
          <w:szCs w:val="24"/>
        </w:rPr>
        <w:t xml:space="preserve">30.</w:t>
      </w:r>
      <w:r>
        <w:rPr>
          <w:rFonts w:ascii="Barlow Semi Condensed" w:cs="Barlow Semi Condensed" w:eastAsia="Barlow Semi Condensed" w:hAnsi="Barlow Semi Condensed"/>
          <w:sz w:val="24"/>
          <w:szCs w:val="24"/>
        </w:rPr>
        <w:t xml:space="preserve"> Wikipedia, Doctor Zhivago — https://en.wikipedia.org/wiki/Doctor_Zhivago_(novel (https://en.wikipedia.org/wiki/Doctor_Zhivago_(novel)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31.</w:t>
      </w:r>
      <w:r>
        <w:rPr>
          <w:rFonts w:ascii="Barlow Semi Condensed" w:cs="Barlow Semi Condensed" w:eastAsia="Barlow Semi Condensed" w:hAnsi="Barlow Semi Condensed"/>
          <w:sz w:val="24"/>
          <w:szCs w:val="24"/>
        </w:rPr>
        <w:t xml:space="preserve"> Dizionario Biografico Treccani — https://www.treccani.it/enciclopedia/giangiacomo-feltrinelli_(Dizionario-Biografico (https://www.treccani.it/enciclopedia/giangiacomo-feltrinelli_(Dizionario-Biografico) </w:t>
      </w:r>
      <w:r>
        <w:rPr>
          <w:rFonts w:ascii="Barlow Semi Condensed" w:cs="Barlow Semi Condensed" w:eastAsia="Barlow Semi Condensed" w:hAnsi="Barlow Semi Condensed"/>
          <w:i/>
          <w:iCs/>
          <w:sz w:val="24"/>
          <w:szCs w:val="24"/>
        </w:rPr>
        <w:t xml:space="preserve">(citato 7 volte)</w:t>
      </w:r>
    </w:p>
    <w:p>
      <w:pPr>
        <w:spacing w:after="120" w:line="276"/>
        <w:jc w:val="both"/>
      </w:pPr>
      <w:r>
        <w:rPr>
          <w:rFonts w:ascii="Barlow Semi Condensed" w:cs="Barlow Semi Condensed" w:eastAsia="Barlow Semi Condensed" w:hAnsi="Barlow Semi Condensed"/>
          <w:b/>
          <w:bCs/>
          <w:sz w:val="24"/>
          <w:szCs w:val="24"/>
        </w:rPr>
        <w:t xml:space="preserve">32.</w:t>
      </w:r>
      <w:r>
        <w:rPr>
          <w:rFonts w:ascii="Barlow Semi Condensed" w:cs="Barlow Semi Condensed" w:eastAsia="Barlow Semi Condensed" w:hAnsi="Barlow Semi Condensed"/>
          <w:sz w:val="24"/>
          <w:szCs w:val="24"/>
        </w:rPr>
        <w:t xml:space="preserve"> Wikipedia, The Leopard — https://en.wikipedia.org/wiki/The_Leopard (https://en.wikipedia.org/wiki/The_Leopard)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33.</w:t>
      </w:r>
      <w:r>
        <w:rPr>
          <w:rFonts w:ascii="Barlow Semi Condensed" w:cs="Barlow Semi Condensed" w:eastAsia="Barlow Semi Condensed" w:hAnsi="Barlow Semi Condensed"/>
          <w:sz w:val="24"/>
          <w:szCs w:val="24"/>
        </w:rPr>
        <w:t xml:space="preserve"> History Ireland — https://historyireland.com/che-guevara-jim-fitzpatrick-and-the-making-of-an-icon/ (https://historyireland.com/che-guevara-jim-fitzpatrick-and-the-making-of-an-icon/)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34.</w:t>
      </w:r>
      <w:r>
        <w:rPr>
          <w:rFonts w:ascii="Barlow Semi Condensed" w:cs="Barlow Semi Condensed" w:eastAsia="Barlow Semi Condensed" w:hAnsi="Barlow Semi Condensed"/>
          <w:sz w:val="24"/>
          <w:szCs w:val="24"/>
        </w:rPr>
        <w:t xml:space="preserve"> Wikipedia, Guerrillero Heroico — https://en.wikipedia.org/wiki/Guerrillero_Heroico (https://en.wikipedia.org/wiki/Guerrillero_Heroico)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35.</w:t>
      </w:r>
      <w:r>
        <w:rPr>
          <w:rFonts w:ascii="Barlow Semi Condensed" w:cs="Barlow Semi Condensed" w:eastAsia="Barlow Semi Condensed" w:hAnsi="Barlow Semi Condensed"/>
          <w:sz w:val="24"/>
          <w:szCs w:val="24"/>
        </w:rPr>
        <w:t xml:space="preserve"> A ca' l'Alveare — https://www.acalveare.it/2025/11/15/giangiacomo-feltrinelli-leditore-rivoluzionario/ (https://www.acalveare.it/2025/11/15/giangiacomo-feltrinelli-leditore-rivoluzionario/)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36.</w:t>
      </w:r>
      <w:r>
        <w:rPr>
          <w:rFonts w:ascii="Barlow Semi Condensed" w:cs="Barlow Semi Condensed" w:eastAsia="Barlow Semi Condensed" w:hAnsi="Barlow Semi Condensed"/>
          <w:sz w:val="24"/>
          <w:szCs w:val="24"/>
        </w:rPr>
        <w:t xml:space="preserve"> Salto.bz — https://salto.bz/it/article/08042026/bolivia-sulle-tracce-del-che (https://salto.bz/it/article/08042026/bolivia-sulle-tracce-del-che)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37.</w:t>
      </w:r>
      <w:r>
        <w:rPr>
          <w:rFonts w:ascii="Barlow Semi Condensed" w:cs="Barlow Semi Condensed" w:eastAsia="Barlow Semi Condensed" w:hAnsi="Barlow Semi Condensed"/>
          <w:sz w:val="24"/>
          <w:szCs w:val="24"/>
        </w:rPr>
        <w:t xml:space="preserve"> Wikipedia IT, Gruppi d'Azione Partigiana — https://it.wikipedia.org/wiki/Gruppi_d%27Azione_Partigiana (https://it.wikipedia.org/wiki/Gruppi_d%27Azione_Partigiana)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38.</w:t>
      </w:r>
      <w:r>
        <w:rPr>
          <w:rFonts w:ascii="Barlow Semi Condensed" w:cs="Barlow Semi Condensed" w:eastAsia="Barlow Semi Condensed" w:hAnsi="Barlow Semi Condensed"/>
          <w:sz w:val="24"/>
          <w:szCs w:val="24"/>
        </w:rPr>
        <w:t xml:space="preserve"> Il Post — https://www.ilpost.it/2022/03/14/giangiacomo-feltrinelli/ (https://www.ilpost.it/2022/03/14/giangiacomo-feltrinelli/)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39.</w:t>
      </w:r>
      <w:r>
        <w:rPr>
          <w:rFonts w:ascii="Barlow Semi Condensed" w:cs="Barlow Semi Condensed" w:eastAsia="Barlow Semi Condensed" w:hAnsi="Barlow Semi Condensed"/>
          <w:sz w:val="24"/>
          <w:szCs w:val="24"/>
        </w:rPr>
        <w:t xml:space="preserve"> Fatti per la Storia — https://www.fattiperlastoria.it/morte-feltrinelli/ (https://www.fattiperlastoria.it/morte-feltrinelli/)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40.</w:t>
      </w:r>
      <w:r>
        <w:rPr>
          <w:rFonts w:ascii="Barlow Semi Condensed" w:cs="Barlow Semi Condensed" w:eastAsia="Barlow Semi Condensed" w:hAnsi="Barlow Semi Condensed"/>
          <w:sz w:val="24"/>
          <w:szCs w:val="24"/>
        </w:rPr>
        <w:t xml:space="preserve"> Italy On This Day — https://www.italyonthisday.com/2018/03/giangiacomo-feltrinelli-Italian-publisher-death-bomb-Milan.html (https://www.italyonthisday.com/2018/03/giangiacomo-feltrinelli-Italian-publisher-death-bomb-Milan.html)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41.</w:t>
      </w:r>
      <w:r>
        <w:rPr>
          <w:rFonts w:ascii="Barlow Semi Condensed" w:cs="Barlow Semi Condensed" w:eastAsia="Barlow Semi Condensed" w:hAnsi="Barlow Semi Condensed"/>
          <w:sz w:val="24"/>
          <w:szCs w:val="24"/>
        </w:rPr>
        <w:t xml:space="preserve"> Granta — https://granta.com/products/senior-service/ (https://granta.com/products/senior-service/)</w:t>
      </w:r>
    </w:p>
    <w:p>
      <w:pPr>
        <w:spacing w:after="120" w:line="276"/>
        <w:jc w:val="both"/>
      </w:pPr>
      <w:r>
        <w:rPr>
          <w:rFonts w:ascii="Barlow Semi Condensed" w:cs="Barlow Semi Condensed" w:eastAsia="Barlow Semi Condensed" w:hAnsi="Barlow Semi Condensed"/>
          <w:b/>
          <w:bCs/>
          <w:sz w:val="24"/>
          <w:szCs w:val="24"/>
        </w:rPr>
        <w:t xml:space="preserve">42.</w:t>
      </w:r>
      <w:r>
        <w:rPr>
          <w:rFonts w:ascii="Barlow Semi Condensed" w:cs="Barlow Semi Condensed" w:eastAsia="Barlow Semi Condensed" w:hAnsi="Barlow Semi Condensed"/>
          <w:sz w:val="24"/>
          <w:szCs w:val="24"/>
        </w:rPr>
        <w:t xml:space="preserve"> Internet Archive — https://archive.org/details/seniorservice0000felt (https://archive.org/details/seniorservice0000felt)</w:t>
      </w:r>
    </w:p>
    <w:p>
      <w:pPr>
        <w:pStyle w:val="Heading3"/>
        <w:spacing w:after="80" w:before="160"/>
      </w:pPr>
      <w:r>
        <w:rPr>
          <w:rFonts w:ascii="Barlow Semi Condensed" w:cs="Barlow Semi Condensed" w:eastAsia="Barlow Semi Condensed" w:hAnsi="Barlow Semi Condensed"/>
          <w:sz w:val="24"/>
          <w:szCs w:val="24"/>
        </w:rPr>
        <w:t xml:space="preserve">Libro quinto · II — La triangolazione di Feltrinelli</w:t>
      </w:r>
    </w:p>
    <w:p>
      <w:pPr>
        <w:spacing w:after="120" w:line="276"/>
        <w:jc w:val="both"/>
      </w:pPr>
      <w:r>
        <w:rPr>
          <w:rFonts w:ascii="Barlow Semi Condensed" w:cs="Barlow Semi Condensed" w:eastAsia="Barlow Semi Condensed" w:hAnsi="Barlow Semi Condensed"/>
          <w:b/>
          <w:bCs/>
          <w:sz w:val="24"/>
          <w:szCs w:val="24"/>
        </w:rPr>
        <w:t xml:space="preserve">43.</w:t>
      </w:r>
      <w:r>
        <w:rPr>
          <w:rFonts w:ascii="Barlow Semi Condensed" w:cs="Barlow Semi Condensed" w:eastAsia="Barlow Semi Condensed" w:hAnsi="Barlow Semi Condensed"/>
          <w:sz w:val="24"/>
          <w:szCs w:val="24"/>
        </w:rPr>
        <w:t xml:space="preserve"> AbeBooks IT — https://www.abebooks.it/libri/giangiacomo-feltrinelli-dottor-zivago.shtml (https://www.abebooks.it/libri/giangiacomo-feltrinelli-dottor-zivago.shtml)</w:t>
      </w:r>
    </w:p>
    <w:p>
      <w:pPr>
        <w:spacing w:after="120" w:line="276"/>
        <w:jc w:val="both"/>
      </w:pPr>
      <w:r>
        <w:rPr>
          <w:rFonts w:ascii="Barlow Semi Condensed" w:cs="Barlow Semi Condensed" w:eastAsia="Barlow Semi Condensed" w:hAnsi="Barlow Semi Condensed"/>
          <w:b/>
          <w:bCs/>
          <w:sz w:val="24"/>
          <w:szCs w:val="24"/>
        </w:rPr>
        <w:t xml:space="preserve">44.</w:t>
      </w:r>
      <w:r>
        <w:rPr>
          <w:rFonts w:ascii="Barlow Semi Condensed" w:cs="Barlow Semi Condensed" w:eastAsia="Barlow Semi Condensed" w:hAnsi="Barlow Semi Condensed"/>
          <w:sz w:val="24"/>
          <w:szCs w:val="24"/>
        </w:rPr>
        <w:t xml:space="preserve"> Tassinari — https://www.ugomariatassinari.it/feltrinelli-curcio/ (https://www.ugomariatassinari.it/feltrinelli-curcio/) </w:t>
      </w:r>
      <w:r>
        <w:rPr>
          <w:rFonts w:ascii="Barlow Semi Condensed" w:cs="Barlow Semi Condensed" w:eastAsia="Barlow Semi Condensed" w:hAnsi="Barlow Semi Condensed"/>
          <w:i/>
          <w:iCs/>
          <w:sz w:val="24"/>
          <w:szCs w:val="24"/>
        </w:rPr>
        <w:t xml:space="preserve">(citato 2 volte)</w:t>
      </w:r>
    </w:p>
    <w:p>
      <w:pPr>
        <w:pStyle w:val="Heading3"/>
        <w:spacing w:after="80" w:before="160"/>
      </w:pPr>
      <w:r>
        <w:rPr>
          <w:rFonts w:ascii="Barlow Semi Condensed" w:cs="Barlow Semi Condensed" w:eastAsia="Barlow Semi Condensed" w:hAnsi="Barlow Semi Condensed"/>
          <w:sz w:val="24"/>
          <w:szCs w:val="24"/>
        </w:rPr>
        <w:t xml:space="preserve">Libro quinto · III — Il nodo Hyperion</w:t>
      </w:r>
    </w:p>
    <w:p>
      <w:pPr>
        <w:spacing w:after="120" w:line="276"/>
        <w:jc w:val="both"/>
      </w:pPr>
      <w:r>
        <w:rPr>
          <w:rFonts w:ascii="Barlow Semi Condensed" w:cs="Barlow Semi Condensed" w:eastAsia="Barlow Semi Condensed" w:hAnsi="Barlow Semi Condensed"/>
          <w:b/>
          <w:bCs/>
          <w:sz w:val="24"/>
          <w:szCs w:val="24"/>
        </w:rPr>
        <w:t xml:space="preserve">45.</w:t>
      </w:r>
      <w:r>
        <w:rPr>
          <w:rFonts w:ascii="Barlow Semi Condensed" w:cs="Barlow Semi Condensed" w:eastAsia="Barlow Semi Condensed" w:hAnsi="Barlow Semi Condensed"/>
          <w:sz w:val="24"/>
          <w:szCs w:val="24"/>
        </w:rPr>
        <w:t xml:space="preserve"> Wikipedia IT, Hyperion (Parigi) — https://it.wikipedia.org/wiki/Hyperion_(Parigi (https://it.wikipedia.org/wiki/Hyperion_(Parigi)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46.</w:t>
      </w:r>
      <w:r>
        <w:rPr>
          <w:rFonts w:ascii="Barlow Semi Condensed" w:cs="Barlow Semi Condensed" w:eastAsia="Barlow Semi Condensed" w:hAnsi="Barlow Semi Condensed"/>
          <w:sz w:val="24"/>
          <w:szCs w:val="24"/>
        </w:rPr>
        <w:t xml:space="preserve"> Lettera43 — https://www.lettera43.it/scuola-hyperion-gli-intrecci-con-il-caso-moro/ (https://www.lettera43.it/scuola-hyperion-gli-intrecci-con-il-caso-moro/)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47.</w:t>
      </w:r>
      <w:r>
        <w:rPr>
          <w:rFonts w:ascii="Barlow Semi Condensed" w:cs="Barlow Semi Condensed" w:eastAsia="Barlow Semi Condensed" w:hAnsi="Barlow Semi Condensed"/>
          <w:sz w:val="24"/>
          <w:szCs w:val="24"/>
        </w:rPr>
        <w:t xml:space="preserve"> Lucarelli, Hyperion e Superclan — http://www.valeriolucarelli.it/Hyperion.htm (http://www.valeriolucarelli.it/Hyperion.htm)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48.</w:t>
      </w:r>
      <w:r>
        <w:rPr>
          <w:rFonts w:ascii="Barlow Semi Condensed" w:cs="Barlow Semi Condensed" w:eastAsia="Barlow Semi Condensed" w:hAnsi="Barlow Semi Condensed"/>
          <w:sz w:val="24"/>
          <w:szCs w:val="24"/>
        </w:rPr>
        <w:t xml:space="preserve"> Tassinari — https://www.ugomariatassinari.it/hyperion-mandati-di-cattura/ (https://www.ugomariatassinari.it/hyperion-mandati-di-cattura/)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49.</w:t>
      </w:r>
      <w:r>
        <w:rPr>
          <w:rFonts w:ascii="Barlow Semi Condensed" w:cs="Barlow Semi Condensed" w:eastAsia="Barlow Semi Condensed" w:hAnsi="Barlow Semi Condensed"/>
          <w:sz w:val="24"/>
          <w:szCs w:val="24"/>
        </w:rPr>
        <w:t xml:space="preserve"> 2duerighe — https://www.2duerighe.com/rubriche/storie/176537-luci-e-ombre-della-scuola-di-lingue-hyperion.html (https://www.2duerighe.com/rubriche/storie/176537-luci-e-ombre-della-scuola-di-lingue-hyperion.html)</w:t>
      </w:r>
    </w:p>
    <w:p>
      <w:pPr>
        <w:spacing w:after="120" w:line="276"/>
        <w:jc w:val="both"/>
      </w:pPr>
      <w:r>
        <w:rPr>
          <w:rFonts w:ascii="Barlow Semi Condensed" w:cs="Barlow Semi Condensed" w:eastAsia="Barlow Semi Condensed" w:hAnsi="Barlow Semi Condensed"/>
          <w:b/>
          <w:bCs/>
          <w:sz w:val="24"/>
          <w:szCs w:val="24"/>
        </w:rPr>
        <w:t xml:space="preserve">50.</w:t>
      </w:r>
      <w:r>
        <w:rPr>
          <w:rFonts w:ascii="Barlow Semi Condensed" w:cs="Barlow Semi Condensed" w:eastAsia="Barlow Semi Condensed" w:hAnsi="Barlow Semi Condensed"/>
          <w:sz w:val="24"/>
          <w:szCs w:val="24"/>
        </w:rPr>
        <w:t xml:space="preserve"> Colarieti — https://www.colarieti.it/scuola-hyperion-gli-intrecci-con-il-caso-moro/ (https://www.colarieti.it/scuola-hyperion-gli-intrecci-con-il-caso-moro/)</w:t>
      </w:r>
    </w:p>
    <w:p>
      <w:pPr>
        <w:spacing w:after="120" w:line="276"/>
        <w:jc w:val="both"/>
      </w:pPr>
      <w:r>
        <w:rPr>
          <w:rFonts w:ascii="Barlow Semi Condensed" w:cs="Barlow Semi Condensed" w:eastAsia="Barlow Semi Condensed" w:hAnsi="Barlow Semi Condensed"/>
          <w:b/>
          <w:bCs/>
          <w:sz w:val="24"/>
          <w:szCs w:val="24"/>
        </w:rPr>
        <w:t xml:space="preserve">51.</w:t>
      </w:r>
      <w:r>
        <w:rPr>
          <w:rFonts w:ascii="Barlow Semi Condensed" w:cs="Barlow Semi Condensed" w:eastAsia="Barlow Semi Condensed" w:hAnsi="Barlow Semi Condensed"/>
          <w:sz w:val="24"/>
          <w:szCs w:val="24"/>
        </w:rPr>
        <w:t xml:space="preserve"> Comune di Bologna, cronologia — http://www.comune.bologna.it/iperbole/asnsmp/Friuli_Vanni_Mulinaris.html (http://www.comune.bologna.it/iperbole/asnsmp/Friuli_Vanni_Mulinaris.html)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52.</w:t>
      </w:r>
      <w:r>
        <w:rPr>
          <w:rFonts w:ascii="Barlow Semi Condensed" w:cs="Barlow Semi Condensed" w:eastAsia="Barlow Semi Condensed" w:hAnsi="Barlow Semi Condensed"/>
          <w:sz w:val="24"/>
          <w:szCs w:val="24"/>
        </w:rPr>
        <w:t xml:space="preserve"> Archivio storico del Senato, carteggio Mulinaris — https://patrimonio.archivio.senato.it/inventario/scheda/giacomo-mancini/IT-AFS-043-001944/carteggio-vanni-mulinaris (https://patrimonio.archivio.senato.it/inventario/scheda/giacomo-mancini/IT-AFS-043-001944/carteggio-vanni-mulinaris)</w:t>
      </w:r>
    </w:p>
    <w:p>
      <w:pPr>
        <w:spacing w:after="120" w:line="276"/>
        <w:jc w:val="both"/>
      </w:pPr>
      <w:r>
        <w:rPr>
          <w:rFonts w:ascii="Barlow Semi Condensed" w:cs="Barlow Semi Condensed" w:eastAsia="Barlow Semi Condensed" w:hAnsi="Barlow Semi Condensed"/>
          <w:b/>
          <w:bCs/>
          <w:sz w:val="24"/>
          <w:szCs w:val="24"/>
        </w:rPr>
        <w:t xml:space="preserve">53.</w:t>
      </w:r>
      <w:r>
        <w:rPr>
          <w:rFonts w:ascii="Barlow Semi Condensed" w:cs="Barlow Semi Condensed" w:eastAsia="Barlow Semi Condensed" w:hAnsi="Barlow Semi Condensed"/>
          <w:sz w:val="24"/>
          <w:szCs w:val="24"/>
        </w:rPr>
        <w:t xml:space="preserve"> Camera, stenografico 28/10/2015 — https://documenti.camera.it/leg17/resoconti/commissioni/stenografici/html/68/audiz2/audizione/2015/10/28/stenografico.0056.html (https://documenti.camera.it/leg17/resoconti/commissioni/stenografici/html/68/audiz2/audizione/2015/10/28/stenografico.0056.html)</w:t>
      </w:r>
    </w:p>
    <w:p>
      <w:pPr>
        <w:spacing w:after="120" w:line="276"/>
        <w:jc w:val="both"/>
      </w:pPr>
      <w:r>
        <w:rPr>
          <w:rFonts w:ascii="Barlow Semi Condensed" w:cs="Barlow Semi Condensed" w:eastAsia="Barlow Semi Condensed" w:hAnsi="Barlow Semi Condensed"/>
          <w:b/>
          <w:bCs/>
          <w:sz w:val="24"/>
          <w:szCs w:val="24"/>
        </w:rPr>
        <w:t xml:space="preserve">54.</w:t>
      </w:r>
      <w:r>
        <w:rPr>
          <w:rFonts w:ascii="Barlow Semi Condensed" w:cs="Barlow Semi Condensed" w:eastAsia="Barlow Semi Condensed" w:hAnsi="Barlow Semi Condensed"/>
          <w:sz w:val="24"/>
          <w:szCs w:val="24"/>
        </w:rPr>
        <w:t xml:space="preserve"> Il Fatto Quotidiano — https://www.ilfattoquotidiano.it/2015/10/28/caso-moro-luomo-di-hyperion-alla-commissione-non-centriamo-nulla-eravamo-solo-un-gruppo-di-amici/2169499/ (https://www.ilfattoquotidiano.it/2015/10/28/caso-moro-luomo-di-hyperion-alla-commissione-non-centriamo-nulla-eravamo-solo-un-gruppo-di-amici/2169499/)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55.</w:t>
      </w:r>
      <w:r>
        <w:rPr>
          <w:rFonts w:ascii="Barlow Semi Condensed" w:cs="Barlow Semi Condensed" w:eastAsia="Barlow Semi Condensed" w:hAnsi="Barlow Semi Condensed"/>
          <w:sz w:val="24"/>
          <w:szCs w:val="24"/>
        </w:rPr>
        <w:t xml:space="preserve"> Scheda editoriale — https://www.unilibro.it/libro/de-prospo-silvano-priore-rosario/chi-manovrava-brigate-rosse-storia-misteri-dell-hyperion-parigi-scuola-lingue-centrale-terrorismo-internazionale/9788862201742 (https://www.unilibro.it/libro/de-prospo-silvano-priore-rosario/chi-manovrava-brigate-rosse-storia-misteri-dell-hyperion-parigi-scuola-lingue-centrale-terrorismo-internazionale/9788862201742)</w:t>
      </w:r>
    </w:p>
    <w:p>
      <w:pPr>
        <w:spacing w:after="120" w:line="276"/>
        <w:jc w:val="both"/>
      </w:pPr>
      <w:r>
        <w:rPr>
          <w:rFonts w:ascii="Barlow Semi Condensed" w:cs="Barlow Semi Condensed" w:eastAsia="Barlow Semi Condensed" w:hAnsi="Barlow Semi Condensed"/>
          <w:b/>
          <w:bCs/>
          <w:sz w:val="24"/>
          <w:szCs w:val="24"/>
        </w:rPr>
        <w:t xml:space="preserve">56.</w:t>
      </w:r>
      <w:r>
        <w:rPr>
          <w:rFonts w:ascii="Barlow Semi Condensed" w:cs="Barlow Semi Condensed" w:eastAsia="Barlow Semi Condensed" w:hAnsi="Barlow Semi Condensed"/>
          <w:sz w:val="24"/>
          <w:szCs w:val="24"/>
        </w:rPr>
        <w:t xml:space="preserve"> Il Sussidiario, intervista — https://www.ilsussidiario.net/news/scuola-di-lingue-hyperion-copriva-terroristi-a-parigi-i-francesi-sapevano-tutto/2164445/ (https://www.ilsussidiario.net/news/scuola-di-lingue-hyperion-copriva-terroristi-a-parigi-i-francesi-sapevano-tutto/2164445/)</w:t>
      </w:r>
    </w:p>
    <w:p>
      <w:pPr>
        <w:pStyle w:val="Heading3"/>
        <w:spacing w:after="80" w:before="160"/>
      </w:pPr>
      <w:r>
        <w:rPr>
          <w:rFonts w:ascii="Barlow Semi Condensed" w:cs="Barlow Semi Condensed" w:eastAsia="Barlow Semi Condensed" w:hAnsi="Barlow Semi Condensed"/>
          <w:sz w:val="24"/>
          <w:szCs w:val="24"/>
        </w:rPr>
        <w:t xml:space="preserve">Libro quinto · IV — L'incrocio Feltrinelli-Hyperion</w:t>
      </w:r>
    </w:p>
    <w:p>
      <w:pPr>
        <w:spacing w:after="120" w:line="276"/>
        <w:jc w:val="both"/>
      </w:pPr>
      <w:r>
        <w:rPr>
          <w:rFonts w:ascii="Barlow Semi Condensed" w:cs="Barlow Semi Condensed" w:eastAsia="Barlow Semi Condensed" w:hAnsi="Barlow Semi Condensed"/>
          <w:b/>
          <w:bCs/>
          <w:sz w:val="24"/>
          <w:szCs w:val="24"/>
        </w:rPr>
        <w:t xml:space="preserve">57.</w:t>
      </w:r>
      <w:r>
        <w:rPr>
          <w:rFonts w:ascii="Barlow Semi Condensed" w:cs="Barlow Semi Condensed" w:eastAsia="Barlow Semi Condensed" w:hAnsi="Barlow Semi Condensed"/>
          <w:sz w:val="24"/>
          <w:szCs w:val="24"/>
        </w:rPr>
        <w:t xml:space="preserve"> Insorgenze/Contropiano — https://insorgenze.net/2026/05/05/dalla-dottrina-mitterrand-alla-perfida-albione-le-mirabili-acrobazie-complottiste-del-giullare-fasanella/ (https://insorgenze.net/2026/05/05/dalla-dottrina-mitterrand-alla-perfida-albione-le-mirabili-acrobazie-complottiste-del-giullare-fasanella/)</w:t>
      </w:r>
    </w:p>
    <w:p>
      <w:pPr>
        <w:spacing w:after="120" w:line="276"/>
        <w:jc w:val="both"/>
      </w:pPr>
      <w:r>
        <w:rPr>
          <w:rFonts w:ascii="Barlow Semi Condensed" w:cs="Barlow Semi Condensed" w:eastAsia="Barlow Semi Condensed" w:hAnsi="Barlow Semi Condensed"/>
          <w:b/>
          <w:bCs/>
          <w:sz w:val="24"/>
          <w:szCs w:val="24"/>
        </w:rPr>
        <w:t xml:space="preserve">58.</w:t>
      </w:r>
      <w:r>
        <w:rPr>
          <w:rFonts w:ascii="Barlow Semi Condensed" w:cs="Barlow Semi Condensed" w:eastAsia="Barlow Semi Condensed" w:hAnsi="Barlow Semi Condensed"/>
          <w:sz w:val="24"/>
          <w:szCs w:val="24"/>
        </w:rPr>
        <w:t xml:space="preserve"> memoria.cultura.gov.it — https://memoria.cultura.gov.it/w/processo-alle-brigate-rosse-e-ai-gap-di-feltrinelli (https://memoria.cultura.gov.it/w/processo-alle-brigate-rosse-e-ai-gap-di-feltrinelli)</w:t>
      </w:r>
    </w:p>
    <w:p>
      <w:pPr>
        <w:spacing w:after="120" w:line="276"/>
        <w:jc w:val="both"/>
      </w:pPr>
      <w:r>
        <w:rPr>
          <w:rFonts w:ascii="Barlow Semi Condensed" w:cs="Barlow Semi Condensed" w:eastAsia="Barlow Semi Condensed" w:hAnsi="Barlow Semi Condensed"/>
          <w:b/>
          <w:bCs/>
          <w:sz w:val="24"/>
          <w:szCs w:val="24"/>
        </w:rPr>
        <w:t xml:space="preserve">59.</w:t>
      </w:r>
      <w:r>
        <w:rPr>
          <w:rFonts w:ascii="Barlow Semi Condensed" w:cs="Barlow Semi Condensed" w:eastAsia="Barlow Semi Condensed" w:hAnsi="Barlow Semi Condensed"/>
          <w:sz w:val="24"/>
          <w:szCs w:val="24"/>
        </w:rPr>
        <w:t xml:space="preserve"> scheda — https://deriveapprodi.com/libro/gappisti/ (https://deriveapprodi.com/libro/gappisti/)</w:t>
      </w:r>
    </w:p>
    <w:p>
      <w:pPr>
        <w:spacing w:after="120" w:line="276"/>
        <w:jc w:val="both"/>
      </w:pPr>
      <w:r>
        <w:rPr>
          <w:rFonts w:ascii="Barlow Semi Condensed" w:cs="Barlow Semi Condensed" w:eastAsia="Barlow Semi Condensed" w:hAnsi="Barlow Semi Condensed"/>
          <w:b/>
          <w:bCs/>
          <w:sz w:val="24"/>
          <w:szCs w:val="24"/>
        </w:rPr>
        <w:t xml:space="preserve">60.</w:t>
      </w:r>
      <w:r>
        <w:rPr>
          <w:rFonts w:ascii="Barlow Semi Condensed" w:cs="Barlow Semi Condensed" w:eastAsia="Barlow Semi Condensed" w:hAnsi="Barlow Semi Condensed"/>
          <w:sz w:val="24"/>
          <w:szCs w:val="24"/>
        </w:rPr>
        <w:t xml:space="preserve"> Insorgenze/Contropiano — https://contropiano.org/news/cultura-news/2026/05/09/dalla-dottrina-mitterrand-alla-perfida-albione-le-acrobazie-complottiste-di-fasanella-0194867 (https://contropiano.org/news/cultura-news/2026/05/09/dalla-dottrina-mitterrand-alla-perfida-albione-le-acrobazie-complottiste-di-fasanella-0194867)</w:t>
      </w:r>
    </w:p>
    <w:p>
      <w:pPr>
        <w:pStyle w:val="Heading3"/>
        <w:spacing w:after="80" w:before="160"/>
      </w:pPr>
      <w:r>
        <w:rPr>
          <w:rFonts w:ascii="Barlow Semi Condensed" w:cs="Barlow Semi Condensed" w:eastAsia="Barlow Semi Condensed" w:hAnsi="Barlow Semi Condensed"/>
          <w:sz w:val="24"/>
          <w:szCs w:val="24"/>
        </w:rPr>
        <w:t xml:space="preserve">Libro quinto · V — Il ceppo Simioni</w:t>
      </w:r>
    </w:p>
    <w:p>
      <w:pPr>
        <w:spacing w:after="120" w:line="276"/>
        <w:jc w:val="both"/>
      </w:pPr>
      <w:r>
        <w:rPr>
          <w:rFonts w:ascii="Barlow Semi Condensed" w:cs="Barlow Semi Condensed" w:eastAsia="Barlow Semi Condensed" w:hAnsi="Barlow Semi Condensed"/>
          <w:b/>
          <w:bCs/>
          <w:sz w:val="24"/>
          <w:szCs w:val="24"/>
        </w:rPr>
        <w:t xml:space="preserve">61.</w:t>
      </w:r>
      <w:r>
        <w:rPr>
          <w:rFonts w:ascii="Barlow Semi Condensed" w:cs="Barlow Semi Condensed" w:eastAsia="Barlow Semi Condensed" w:hAnsi="Barlow Semi Condensed"/>
          <w:sz w:val="24"/>
          <w:szCs w:val="24"/>
        </w:rPr>
        <w:t xml:space="preserve"> Wikipedia, Corrado Simioni — https://it.wikipedia.org/wiki/Corrado_Simioni (https://it.wikipedia.org/wiki/Corrado_Simioni)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62.</w:t>
      </w:r>
      <w:r>
        <w:rPr>
          <w:rFonts w:ascii="Barlow Semi Condensed" w:cs="Barlow Semi Condensed" w:eastAsia="Barlow Semi Condensed" w:hAnsi="Barlow Semi Condensed"/>
          <w:sz w:val="24"/>
          <w:szCs w:val="24"/>
        </w:rPr>
        <w:t xml:space="preserve"> Spazio70 — https://nazionalpopolare70.wordpress.com/tag/collettivo-politico-metropolitano/ (https://nazionalpopolare70.wordpress.com/tag/collettivo-politico-metropolitano/)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63.</w:t>
      </w:r>
      <w:r>
        <w:rPr>
          <w:rFonts w:ascii="Barlow Semi Condensed" w:cs="Barlow Semi Condensed" w:eastAsia="Barlow Semi Condensed" w:hAnsi="Barlow Semi Condensed"/>
          <w:sz w:val="24"/>
          <w:szCs w:val="24"/>
        </w:rPr>
        <w:t xml:space="preserve"> Wikipedia, Superclan — https://it.wikipedia.org/wiki/Superclan (https://it.wikipedia.org/wiki/Superclan)</w:t>
      </w:r>
    </w:p>
    <w:p>
      <w:pPr>
        <w:spacing w:after="120" w:line="276"/>
        <w:jc w:val="both"/>
      </w:pPr>
      <w:r>
        <w:rPr>
          <w:rFonts w:ascii="Barlow Semi Condensed" w:cs="Barlow Semi Condensed" w:eastAsia="Barlow Semi Condensed" w:hAnsi="Barlow Semi Condensed"/>
          <w:b/>
          <w:bCs/>
          <w:sz w:val="24"/>
          <w:szCs w:val="24"/>
        </w:rPr>
        <w:t xml:space="preserve">64.</w:t>
      </w:r>
      <w:r>
        <w:rPr>
          <w:rFonts w:ascii="Barlow Semi Condensed" w:cs="Barlow Semi Condensed" w:eastAsia="Barlow Semi Condensed" w:hAnsi="Barlow Semi Condensed"/>
          <w:sz w:val="24"/>
          <w:szCs w:val="24"/>
        </w:rPr>
        <w:t xml:space="preserve"> Une intrigue franco-italienne: l'affaire Mulinaris, 1982-1986 — https://shs.cairn.info/journal-materiaux-pour-l-histoire-de-notre-temps-2015-1-page-72?lang=en (https://shs.cairn.info/journal-materiaux-pour-l-histoire-de-notre-temps-2015-1-page-72?lang=en) </w:t>
      </w:r>
      <w:r>
        <w:rPr>
          <w:rFonts w:ascii="Barlow Semi Condensed" w:cs="Barlow Semi Condensed" w:eastAsia="Barlow Semi Condensed" w:hAnsi="Barlow Semi Condensed"/>
          <w:i/>
          <w:iCs/>
          <w:sz w:val="24"/>
          <w:szCs w:val="24"/>
        </w:rPr>
        <w:t xml:space="preserve">(citato 2 volte)</w:t>
      </w:r>
    </w:p>
    <w:p>
      <w:pPr>
        <w:pStyle w:val="Heading3"/>
        <w:spacing w:after="80" w:before="160"/>
      </w:pPr>
      <w:r>
        <w:rPr>
          <w:rFonts w:ascii="Barlow Semi Condensed" w:cs="Barlow Semi Condensed" w:eastAsia="Barlow Semi Condensed" w:hAnsi="Barlow Semi Condensed"/>
          <w:sz w:val="24"/>
          <w:szCs w:val="24"/>
        </w:rPr>
        <w:t xml:space="preserve">Libro sesto · I — Il Tribunale Speciale</w:t>
      </w:r>
    </w:p>
    <w:p>
      <w:pPr>
        <w:spacing w:after="120" w:line="276"/>
        <w:jc w:val="both"/>
      </w:pPr>
      <w:r>
        <w:rPr>
          <w:rFonts w:ascii="Barlow Semi Condensed" w:cs="Barlow Semi Condensed" w:eastAsia="Barlow Semi Condensed" w:hAnsi="Barlow Semi Condensed"/>
          <w:b/>
          <w:bCs/>
          <w:sz w:val="24"/>
          <w:szCs w:val="24"/>
        </w:rPr>
        <w:t xml:space="preserve">65.</w:t>
      </w:r>
      <w:r>
        <w:rPr>
          <w:rFonts w:ascii="Barlow Semi Condensed" w:cs="Barlow Semi Condensed" w:eastAsia="Barlow Semi Condensed" w:hAnsi="Barlow Semi Condensed"/>
          <w:sz w:val="24"/>
          <w:szCs w:val="24"/>
        </w:rPr>
        <w:t xml:space="preserve"> Archivio Centrale dello Stato — https://search.acs.beniculturali.it/OpacACS/authority/IT-ACS-SP00001-00000424 (https://search.acs.beniculturali.it/OpacACS/authority/IT-ACS-SP00001-00000424)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66.</w:t>
      </w:r>
      <w:r>
        <w:rPr>
          <w:rFonts w:ascii="Barlow Semi Condensed" w:cs="Barlow Semi Condensed" w:eastAsia="Barlow Semi Condensed" w:hAnsi="Barlow Semi Condensed"/>
          <w:sz w:val="24"/>
          <w:szCs w:val="24"/>
        </w:rPr>
        <w:t xml:space="preserve"> Wikipedia IT — https://it.wikipedia.org/wiki/Tribunale_speciale_per_la_difesa_dello_Stato_(1926-1943 (https://it.wikipedia.org/wiki/Tribunale_speciale_per_la_difesa_dello_Stato_(1926-1943)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67.</w:t>
      </w:r>
      <w:r>
        <w:rPr>
          <w:rFonts w:ascii="Barlow Semi Condensed" w:cs="Barlow Semi Condensed" w:eastAsia="Barlow Semi Condensed" w:hAnsi="Barlow Semi Condensed"/>
          <w:sz w:val="24"/>
          <w:szCs w:val="24"/>
        </w:rPr>
        <w:t xml:space="preserve"> ANPPIA — https://anppia.it/il-tribunale-speciale/ (https://anppia.it/il-tribunale-speciale/)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68.</w:t>
      </w:r>
      <w:r>
        <w:rPr>
          <w:rFonts w:ascii="Barlow Semi Condensed" w:cs="Barlow Semi Condensed" w:eastAsia="Barlow Semi Condensed" w:hAnsi="Barlow Semi Condensed"/>
          <w:sz w:val="24"/>
          <w:szCs w:val="24"/>
        </w:rPr>
        <w:t xml:space="preserve"> ANPI, Promemoria — https://promemoria.anpi.it/2656-2/ (https://promemoria.anpi.it/2656-2/)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69.</w:t>
      </w:r>
      <w:r>
        <w:rPr>
          <w:rFonts w:ascii="Barlow Semi Condensed" w:cs="Barlow Semi Condensed" w:eastAsia="Barlow Semi Condensed" w:hAnsi="Barlow Semi Condensed"/>
          <w:sz w:val="24"/>
          <w:szCs w:val="24"/>
        </w:rPr>
        <w:t xml:space="preserve"> ANPI — https://www.anpi.it/libri/il-tribunale-speciale-la-difesa-dello-stato (https://www.anpi.it/libri/il-tribunale-speciale-la-difesa-dello-stato)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70.</w:t>
      </w:r>
      <w:r>
        <w:rPr>
          <w:rFonts w:ascii="Barlow Semi Condensed" w:cs="Barlow Semi Condensed" w:eastAsia="Barlow Semi Condensed" w:hAnsi="Barlow Semi Condensed"/>
          <w:sz w:val="24"/>
          <w:szCs w:val="24"/>
        </w:rPr>
        <w:t xml:space="preserve"> ANPPIA, scheda Della Maggiora — https://anppia.it/antifascisti/della-maggiora-michele/ (https://anppia.it/antifascisti/della-maggiora-michele/)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71.</w:t>
      </w:r>
      <w:r>
        <w:rPr>
          <w:rFonts w:ascii="Barlow Semi Condensed" w:cs="Barlow Semi Condensed" w:eastAsia="Barlow Semi Condensed" w:hAnsi="Barlow Semi Condensed"/>
          <w:sz w:val="24"/>
          <w:szCs w:val="24"/>
        </w:rPr>
        <w:t xml:space="preserve"> Wikipedia IT — https://it.wikipedia.org/wiki/Michele_Della_Maggiora (https://it.wikipedia.org/wiki/Michele_Della_Maggiora)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72.</w:t>
      </w:r>
      <w:r>
        <w:rPr>
          <w:rFonts w:ascii="Barlow Semi Condensed" w:cs="Barlow Semi Condensed" w:eastAsia="Barlow Semi Condensed" w:hAnsi="Barlow Semi Condensed"/>
          <w:sz w:val="24"/>
          <w:szCs w:val="24"/>
        </w:rPr>
        <w:t xml:space="preserve"> Grosseto Contemporanea — http://www.grossetocontemporanea.it/fucilati-di-basovizza/ (http://www.grossetocontemporanea.it/fucilati-di-basovizza/)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73.</w:t>
      </w:r>
      <w:r>
        <w:rPr>
          <w:rFonts w:ascii="Barlow Semi Condensed" w:cs="Barlow Semi Condensed" w:eastAsia="Barlow Semi Condensed" w:hAnsi="Barlow Semi Condensed"/>
          <w:sz w:val="24"/>
          <w:szCs w:val="24"/>
        </w:rPr>
        <w:t xml:space="preserve"> PCI Genova, «Il processone» — http://www.pci-genova.it/il-processone-contro-i-comunisti/ (http://www.pci-genova.it/il-processone-contro-i-comunisti/)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74.</w:t>
      </w:r>
      <w:r>
        <w:rPr>
          <w:rFonts w:ascii="Barlow Semi Condensed" w:cs="Barlow Semi Condensed" w:eastAsia="Barlow Semi Condensed" w:hAnsi="Barlow Semi Condensed"/>
          <w:sz w:val="24"/>
          <w:szCs w:val="24"/>
        </w:rPr>
        <w:t xml:space="preserve"> IGS Italia — https://www.igsitalia.org/attivita-igs/cronache-degli-eventi-gramsciani/140-il-processo-non-ha-fine (https://www.igsitalia.org/attivita-igs/cronache-degli-eventi-gramsciani/140-il-processo-non-ha-fine)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75.</w:t>
      </w:r>
      <w:r>
        <w:rPr>
          <w:rFonts w:ascii="Barlow Semi Condensed" w:cs="Barlow Semi Condensed" w:eastAsia="Barlow Semi Condensed" w:hAnsi="Barlow Semi Condensed"/>
          <w:sz w:val="24"/>
          <w:szCs w:val="24"/>
        </w:rPr>
        <w:t xml:space="preserve"> vLex, R.D.L. 668/1943 — https://it.vlex.com/vid/regio-decreto-legge-29-862142053 (https://it.vlex.com/vid/regio-decreto-legge-29-862142053)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76.</w:t>
      </w:r>
      <w:r>
        <w:rPr>
          <w:rFonts w:ascii="Barlow Semi Condensed" w:cs="Barlow Semi Condensed" w:eastAsia="Barlow Semi Condensed" w:hAnsi="Barlow Semi Condensed"/>
          <w:sz w:val="24"/>
          <w:szCs w:val="24"/>
        </w:rPr>
        <w:t xml:space="preserve"> Letture.org — https://www.letture.org/resistenza-e-repressione-il-tribunale-speciale-per-la-difesa-dello-stato-nella-rsi-antonio-grilli (https://www.letture.org/resistenza-e-repressione-il-tribunale-speciale-per-la-difesa-dello-stato-nella-rsi-antonio-grilli)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77.</w:t>
      </w:r>
      <w:r>
        <w:rPr>
          <w:rFonts w:ascii="Barlow Semi Condensed" w:cs="Barlow Semi Condensed" w:eastAsia="Barlow Semi Condensed" w:hAnsi="Barlow Semi Condensed"/>
          <w:sz w:val="24"/>
          <w:szCs w:val="24"/>
        </w:rPr>
        <w:t xml:space="preserve"> Magistratura Democratica — https://www.magistraturademocratica.it/articolo/25-aprile-costituzione-giurisdizione-20874/ (https://www.magistraturademocratica.it/articolo/25-aprile-costituzione-giurisdizione-20874/)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78.</w:t>
      </w:r>
      <w:r>
        <w:rPr>
          <w:rFonts w:ascii="Barlow Semi Condensed" w:cs="Barlow Semi Condensed" w:eastAsia="Barlow Semi Condensed" w:hAnsi="Barlow Semi Condensed"/>
          <w:sz w:val="24"/>
          <w:szCs w:val="24"/>
        </w:rPr>
        <w:t xml:space="preserve"> Condannati a morte dal Tribunale speciale — https://it.wikipedia.org/wiki/Condannati_a_morte_dal_Tribunale_speciale_per_la_difesa_dello_Stato (https://it.wikipedia.org/wiki/Condannati_a_morte_dal_Tribunale_speciale_per_la_difesa_dello_Stato)</w:t>
      </w:r>
    </w:p>
    <w:p>
      <w:pPr>
        <w:spacing w:after="120" w:line="276"/>
        <w:jc w:val="both"/>
      </w:pPr>
      <w:r>
        <w:rPr>
          <w:rFonts w:ascii="Barlow Semi Condensed" w:cs="Barlow Semi Condensed" w:eastAsia="Barlow Semi Condensed" w:hAnsi="Barlow Semi Condensed"/>
          <w:b/>
          <w:bCs/>
          <w:sz w:val="24"/>
          <w:szCs w:val="24"/>
        </w:rPr>
        <w:t xml:space="preserve">79.</w:t>
      </w:r>
      <w:r>
        <w:rPr>
          <w:rFonts w:ascii="Barlow Semi Condensed" w:cs="Barlow Semi Condensed" w:eastAsia="Barlow Semi Condensed" w:hAnsi="Barlow Semi Condensed"/>
          <w:sz w:val="24"/>
          <w:szCs w:val="24"/>
        </w:rPr>
        <w:t xml:space="preserve"> diecifebbraio.info — https://www.diecifebbraio.info/2012/09/martiri-di-basovizza-6-settembre-1930/ (https://www.diecifebbraio.info/2012/09/martiri-di-basovizza-6-settembre-1930/)</w:t>
      </w:r>
    </w:p>
    <w:p>
      <w:pPr>
        <w:pStyle w:val="Heading3"/>
        <w:spacing w:after="80" w:before="160"/>
      </w:pPr>
      <w:r>
        <w:rPr>
          <w:rFonts w:ascii="Barlow Semi Condensed" w:cs="Barlow Semi Condensed" w:eastAsia="Barlow Semi Condensed" w:hAnsi="Barlow Semi Condensed"/>
          <w:sz w:val="24"/>
          <w:szCs w:val="24"/>
        </w:rPr>
        <w:t xml:space="preserve">Libro sesto · II — Gli otto sottonodi</w:t>
      </w:r>
    </w:p>
    <w:p>
      <w:pPr>
        <w:spacing w:after="120" w:line="276"/>
        <w:jc w:val="both"/>
      </w:pPr>
      <w:r>
        <w:rPr>
          <w:rFonts w:ascii="Barlow Semi Condensed" w:cs="Barlow Semi Condensed" w:eastAsia="Barlow Semi Condensed" w:hAnsi="Barlow Semi Condensed"/>
          <w:b/>
          <w:bCs/>
          <w:sz w:val="24"/>
          <w:szCs w:val="24"/>
        </w:rPr>
        <w:t xml:space="preserve">80.</w:t>
      </w:r>
      <w:r>
        <w:rPr>
          <w:rFonts w:ascii="Barlow Semi Condensed" w:cs="Barlow Semi Condensed" w:eastAsia="Barlow Semi Condensed" w:hAnsi="Barlow Semi Condensed"/>
          <w:sz w:val="24"/>
          <w:szCs w:val="24"/>
        </w:rPr>
        <w:t xml:space="preserve"> Guido Cristini — https://it.wikipedia.org/wiki/Guido_Cristini (https://it.wikipedia.org/wiki/Guido_Cristini)</w:t>
      </w:r>
    </w:p>
    <w:p>
      <w:pPr>
        <w:spacing w:after="120" w:line="276"/>
        <w:jc w:val="both"/>
      </w:pPr>
      <w:r>
        <w:rPr>
          <w:rFonts w:ascii="Barlow Semi Condensed" w:cs="Barlow Semi Condensed" w:eastAsia="Barlow Semi Condensed" w:hAnsi="Barlow Semi Condensed"/>
          <w:b/>
          <w:bCs/>
          <w:sz w:val="24"/>
          <w:szCs w:val="24"/>
        </w:rPr>
        <w:t xml:space="preserve">81.</w:t>
      </w:r>
      <w:r>
        <w:rPr>
          <w:rFonts w:ascii="Barlow Semi Condensed" w:cs="Barlow Semi Condensed" w:eastAsia="Barlow Semi Condensed" w:hAnsi="Barlow Semi Condensed"/>
          <w:sz w:val="24"/>
          <w:szCs w:val="24"/>
        </w:rPr>
        <w:t xml:space="preserve"> Antonino Tringali Casanuova — https://en.wikipedia.org/wiki/Antonino_Tringali_Casanuova (https://en.wikipedia.org/wiki/Antonino_Tringali_Casanuova)</w:t>
      </w:r>
    </w:p>
    <w:p>
      <w:pPr>
        <w:spacing w:after="120" w:line="276"/>
        <w:jc w:val="both"/>
      </w:pPr>
      <w:r>
        <w:rPr>
          <w:rFonts w:ascii="Barlow Semi Condensed" w:cs="Barlow Semi Condensed" w:eastAsia="Barlow Semi Condensed" w:hAnsi="Barlow Semi Condensed"/>
          <w:b/>
          <w:bCs/>
          <w:sz w:val="24"/>
          <w:szCs w:val="24"/>
        </w:rPr>
        <w:t xml:space="preserve">82.</w:t>
      </w:r>
      <w:r>
        <w:rPr>
          <w:rFonts w:ascii="Barlow Semi Condensed" w:cs="Barlow Semi Condensed" w:eastAsia="Barlow Semi Condensed" w:hAnsi="Barlow Semi Condensed"/>
          <w:sz w:val="24"/>
          <w:szCs w:val="24"/>
        </w:rPr>
        <w:t xml:space="preserve"> Polizia di Stato, scheda Bocchini — https://www.poliziadistato.it/articolo/arturo-bocchini (https://www.poliziadistato.it/articolo/arturo-bocchini)</w:t>
      </w:r>
    </w:p>
    <w:p>
      <w:pPr>
        <w:spacing w:after="120" w:line="276"/>
        <w:jc w:val="both"/>
      </w:pPr>
      <w:r>
        <w:rPr>
          <w:rFonts w:ascii="Barlow Semi Condensed" w:cs="Barlow Semi Condensed" w:eastAsia="Barlow Semi Condensed" w:hAnsi="Barlow Semi Condensed"/>
          <w:b/>
          <w:bCs/>
          <w:sz w:val="24"/>
          <w:szCs w:val="24"/>
        </w:rPr>
        <w:t xml:space="preserve">83.</w:t>
      </w:r>
      <w:r>
        <w:rPr>
          <w:rFonts w:ascii="Barlow Semi Condensed" w:cs="Barlow Semi Condensed" w:eastAsia="Barlow Semi Condensed" w:hAnsi="Barlow Semi Condensed"/>
          <w:sz w:val="24"/>
          <w:szCs w:val="24"/>
        </w:rPr>
        <w:t xml:space="preserve"> Treccani — https://www.treccani.it/enciclopedia/arturo-bocchini_(Dizionario-Biografico (https://www.treccani.it/enciclopedia/arturo-bocchini_(Dizionario-Biografico)</w:t>
      </w:r>
    </w:p>
    <w:p>
      <w:pPr>
        <w:spacing w:after="120" w:line="276"/>
        <w:jc w:val="both"/>
      </w:pPr>
      <w:r>
        <w:rPr>
          <w:rFonts w:ascii="Barlow Semi Condensed" w:cs="Barlow Semi Condensed" w:eastAsia="Barlow Semi Condensed" w:hAnsi="Barlow Semi Condensed"/>
          <w:b/>
          <w:bCs/>
          <w:sz w:val="24"/>
          <w:szCs w:val="24"/>
        </w:rPr>
        <w:t xml:space="preserve">84.</w:t>
      </w:r>
      <w:r>
        <w:rPr>
          <w:rFonts w:ascii="Barlow Semi Condensed" w:cs="Barlow Semi Condensed" w:eastAsia="Barlow Semi Condensed" w:hAnsi="Barlow Semi Condensed"/>
          <w:sz w:val="24"/>
          <w:szCs w:val="24"/>
        </w:rPr>
        <w:t xml:space="preserve"> Wikipedia EN, OVRA — https://en.wikipedia.org/wiki/OVRA (https://en.wikipedia.org/wiki/OVRA)</w:t>
      </w:r>
    </w:p>
    <w:p>
      <w:pPr>
        <w:spacing w:after="120" w:line="276"/>
        <w:jc w:val="both"/>
      </w:pPr>
      <w:r>
        <w:rPr>
          <w:rFonts w:ascii="Barlow Semi Condensed" w:cs="Barlow Semi Condensed" w:eastAsia="Barlow Semi Condensed" w:hAnsi="Barlow Semi Condensed"/>
          <w:b/>
          <w:bCs/>
          <w:sz w:val="24"/>
          <w:szCs w:val="24"/>
        </w:rPr>
        <w:t xml:space="preserve">85.</w:t>
      </w:r>
      <w:r>
        <w:rPr>
          <w:rFonts w:ascii="Barlow Semi Condensed" w:cs="Barlow Semi Condensed" w:eastAsia="Barlow Semi Condensed" w:hAnsi="Barlow Semi Condensed"/>
          <w:sz w:val="24"/>
          <w:szCs w:val="24"/>
        </w:rPr>
        <w:t xml:space="preserve"> La Bottega del Barbieri — https://www.labottegadelbarbieri.org/trieste-1941-processi-fascisti-e-lotta-di-liberazione/ (https://www.labottegadelbarbieri.org/trieste-1941-processi-fascisti-e-lotta-di-liberazione/)</w:t>
      </w:r>
    </w:p>
    <w:p>
      <w:pPr>
        <w:spacing w:after="120" w:line="276"/>
        <w:jc w:val="both"/>
      </w:pPr>
      <w:r>
        <w:rPr>
          <w:rFonts w:ascii="Barlow Semi Condensed" w:cs="Barlow Semi Condensed" w:eastAsia="Barlow Semi Condensed" w:hAnsi="Barlow Semi Condensed"/>
          <w:b/>
          <w:bCs/>
          <w:sz w:val="24"/>
          <w:szCs w:val="24"/>
        </w:rPr>
        <w:t xml:space="preserve">86.</w:t>
      </w:r>
      <w:r>
        <w:rPr>
          <w:rFonts w:ascii="Barlow Semi Condensed" w:cs="Barlow Semi Condensed" w:eastAsia="Barlow Semi Condensed" w:hAnsi="Barlow Semi Condensed"/>
          <w:sz w:val="24"/>
          <w:szCs w:val="24"/>
        </w:rPr>
        <w:t xml:space="preserve"> Wikipedia IT, Pinko Tomažič — https://it.wikipedia.org/wiki/Pinko_Toma%C5%BEi%C4%8D (https://it.wikipedia.org/wiki/Pinko_Toma%C5%BEi%C4%8D)</w:t>
      </w:r>
    </w:p>
    <w:p>
      <w:pPr>
        <w:spacing w:after="120" w:line="276"/>
        <w:jc w:val="both"/>
      </w:pPr>
      <w:r>
        <w:rPr>
          <w:rFonts w:ascii="Barlow Semi Condensed" w:cs="Barlow Semi Condensed" w:eastAsia="Barlow Semi Condensed" w:hAnsi="Barlow Semi Condensed"/>
          <w:b/>
          <w:bCs/>
          <w:sz w:val="24"/>
          <w:szCs w:val="24"/>
        </w:rPr>
        <w:t xml:space="preserve">87.</w:t>
      </w:r>
      <w:r>
        <w:rPr>
          <w:rFonts w:ascii="Barlow Semi Condensed" w:cs="Barlow Semi Condensed" w:eastAsia="Barlow Semi Condensed" w:hAnsi="Barlow Semi Condensed"/>
          <w:sz w:val="24"/>
          <w:szCs w:val="24"/>
        </w:rPr>
        <w:t xml:space="preserve"> ANPI Trieste — https://www.anpits.it/ (https://www.anpits.it/)</w:t>
      </w:r>
    </w:p>
    <w:p>
      <w:pPr>
        <w:spacing w:after="120" w:line="276"/>
        <w:jc w:val="both"/>
      </w:pPr>
      <w:r>
        <w:rPr>
          <w:rFonts w:ascii="Barlow Semi Condensed" w:cs="Barlow Semi Condensed" w:eastAsia="Barlow Semi Condensed" w:hAnsi="Barlow Semi Condensed"/>
          <w:b/>
          <w:bCs/>
          <w:sz w:val="24"/>
          <w:szCs w:val="24"/>
        </w:rPr>
        <w:t xml:space="preserve">88.</w:t>
      </w:r>
      <w:r>
        <w:rPr>
          <w:rFonts w:ascii="Barlow Semi Condensed" w:cs="Barlow Semi Condensed" w:eastAsia="Barlow Semi Condensed" w:hAnsi="Barlow Semi Condensed"/>
          <w:sz w:val="24"/>
          <w:szCs w:val="24"/>
        </w:rPr>
        <w:t xml:space="preserve"> Quirinale, biografia — https://presidenti.quirinale.it/page/7/per-biografia.html (https://presidenti.quirinale.it/page/7/per-biografia.html)</w:t>
      </w:r>
    </w:p>
    <w:p>
      <w:pPr>
        <w:spacing w:after="120" w:line="276"/>
        <w:jc w:val="both"/>
      </w:pPr>
      <w:r>
        <w:rPr>
          <w:rFonts w:ascii="Barlow Semi Condensed" w:cs="Barlow Semi Condensed" w:eastAsia="Barlow Semi Condensed" w:hAnsi="Barlow Semi Condensed"/>
          <w:b/>
          <w:bCs/>
          <w:sz w:val="24"/>
          <w:szCs w:val="24"/>
        </w:rPr>
        <w:t xml:space="preserve">89.</w:t>
      </w:r>
      <w:r>
        <w:rPr>
          <w:rFonts w:ascii="Barlow Semi Condensed" w:cs="Barlow Semi Condensed" w:eastAsia="Barlow Semi Condensed" w:hAnsi="Barlow Semi Condensed"/>
          <w:sz w:val="24"/>
          <w:szCs w:val="24"/>
        </w:rPr>
        <w:t xml:space="preserve"> Treccani — https://www.treccani.it/enciclopedia/alessandro-pertini_(Dizionario-Biografico (https://www.treccani.it/enciclopedia/alessandro-pertini_(Dizionario-Biografico)</w:t>
      </w:r>
    </w:p>
    <w:p>
      <w:pPr>
        <w:spacing w:after="120" w:line="276"/>
        <w:jc w:val="both"/>
      </w:pPr>
      <w:r>
        <w:rPr>
          <w:rFonts w:ascii="Barlow Semi Condensed" w:cs="Barlow Semi Condensed" w:eastAsia="Barlow Semi Condensed" w:hAnsi="Barlow Semi Condensed"/>
          <w:b/>
          <w:bCs/>
          <w:sz w:val="24"/>
          <w:szCs w:val="24"/>
        </w:rPr>
        <w:t xml:space="preserve">90.</w:t>
      </w:r>
      <w:r>
        <w:rPr>
          <w:rFonts w:ascii="Barlow Semi Condensed" w:cs="Barlow Semi Condensed" w:eastAsia="Barlow Semi Condensed" w:hAnsi="Barlow Semi Condensed"/>
          <w:sz w:val="24"/>
          <w:szCs w:val="24"/>
        </w:rPr>
        <w:t xml:space="preserve"> Treccani — https://www.treccani.it/enciclopedia/camilla-ravera_(Dizionario-Biografico (https://www.treccani.it/enciclopedia/camilla-ravera_(Dizionario-Biografico)</w:t>
      </w:r>
    </w:p>
    <w:p>
      <w:pPr>
        <w:spacing w:after="120" w:line="276"/>
        <w:jc w:val="both"/>
      </w:pPr>
      <w:r>
        <w:rPr>
          <w:rFonts w:ascii="Barlow Semi Condensed" w:cs="Barlow Semi Condensed" w:eastAsia="Barlow Semi Condensed" w:hAnsi="Barlow Semi Condensed"/>
          <w:b/>
          <w:bCs/>
          <w:sz w:val="24"/>
          <w:szCs w:val="24"/>
        </w:rPr>
        <w:t xml:space="preserve">91.</w:t>
      </w:r>
      <w:r>
        <w:rPr>
          <w:rFonts w:ascii="Barlow Semi Condensed" w:cs="Barlow Semi Condensed" w:eastAsia="Barlow Semi Condensed" w:hAnsi="Barlow Semi Condensed"/>
          <w:sz w:val="24"/>
          <w:szCs w:val="24"/>
        </w:rPr>
        <w:t xml:space="preserve"> ANPPIA — https://anppia.it/antifascisti/ravera-camilla/ (https://anppia.it/antifascisti/ravera-camilla/)</w:t>
      </w:r>
    </w:p>
    <w:p>
      <w:pPr>
        <w:spacing w:after="120" w:line="276"/>
        <w:jc w:val="both"/>
      </w:pPr>
      <w:r>
        <w:rPr>
          <w:rFonts w:ascii="Barlow Semi Condensed" w:cs="Barlow Semi Condensed" w:eastAsia="Barlow Semi Condensed" w:hAnsi="Barlow Semi Condensed"/>
          <w:b/>
          <w:bCs/>
          <w:sz w:val="24"/>
          <w:szCs w:val="24"/>
        </w:rPr>
        <w:t xml:space="preserve">92.</w:t>
      </w:r>
      <w:r>
        <w:rPr>
          <w:rFonts w:ascii="Barlow Semi Condensed" w:cs="Barlow Semi Condensed" w:eastAsia="Barlow Semi Condensed" w:hAnsi="Barlow Semi Condensed"/>
          <w:sz w:val="24"/>
          <w:szCs w:val="24"/>
        </w:rPr>
        <w:t xml:space="preserve"> scheda — https://www.anpi.it/libri/donne-davanti-al-tribunale-speciale (https://www.anpi.it/libri/donne-davanti-al-tribunale-speciale)</w:t>
      </w:r>
    </w:p>
    <w:p>
      <w:pPr>
        <w:spacing w:after="120" w:line="276"/>
        <w:jc w:val="both"/>
      </w:pPr>
      <w:r>
        <w:rPr>
          <w:rFonts w:ascii="Barlow Semi Condensed" w:cs="Barlow Semi Condensed" w:eastAsia="Barlow Semi Condensed" w:hAnsi="Barlow Semi Condensed"/>
          <w:b/>
          <w:bCs/>
          <w:sz w:val="24"/>
          <w:szCs w:val="24"/>
        </w:rPr>
        <w:t xml:space="preserve">93.</w:t>
      </w:r>
      <w:r>
        <w:rPr>
          <w:rFonts w:ascii="Barlow Semi Condensed" w:cs="Barlow Semi Condensed" w:eastAsia="Barlow Semi Condensed" w:hAnsi="Barlow Semi Condensed"/>
          <w:sz w:val="24"/>
          <w:szCs w:val="24"/>
        </w:rPr>
        <w:t xml:space="preserve"> Wikipedia EN — https://en.wikipedia.org/wiki/Tribunale_speciale_per_la_difesa_dello_Stato_(1926%E2%80%931943 (https://en.wikipedia.org/wiki/Tribunale_speciale_per_la_difesa_dello_Stato_(1926%E2%80%931943)</w:t>
      </w:r>
    </w:p>
    <w:p>
      <w:pPr>
        <w:spacing w:after="120" w:line="276"/>
        <w:jc w:val="both"/>
      </w:pPr>
      <w:r>
        <w:rPr>
          <w:rFonts w:ascii="Barlow Semi Condensed" w:cs="Barlow Semi Condensed" w:eastAsia="Barlow Semi Condensed" w:hAnsi="Barlow Semi Condensed"/>
          <w:b/>
          <w:bCs/>
          <w:sz w:val="24"/>
          <w:szCs w:val="24"/>
        </w:rPr>
        <w:t xml:space="preserve">94.</w:t>
      </w:r>
      <w:r>
        <w:rPr>
          <w:rFonts w:ascii="Barlow Semi Condensed" w:cs="Barlow Semi Condensed" w:eastAsia="Barlow Semi Condensed" w:hAnsi="Barlow Semi Condensed"/>
          <w:sz w:val="24"/>
          <w:szCs w:val="24"/>
        </w:rPr>
        <w:t xml:space="preserve"> «Alla fiera dell'impunità. Il Tribunale speciale di Mussolini» — https://www.micciacorta.it/2017/01/22926/ (https://www.micciacorta.it/2017/01/22926/)</w:t>
      </w:r>
    </w:p>
    <w:p>
      <w:pPr>
        <w:pStyle w:val="Heading3"/>
        <w:spacing w:after="80" w:before="160"/>
      </w:pPr>
      <w:r>
        <w:rPr>
          <w:rFonts w:ascii="Barlow Semi Condensed" w:cs="Barlow Semi Condensed" w:eastAsia="Barlow Semi Condensed" w:hAnsi="Barlow Semi Condensed"/>
          <w:sz w:val="24"/>
          <w:szCs w:val="24"/>
        </w:rPr>
        <w:t xml:space="preserve">Libro sesto · III — Gli amnistiati</w:t>
      </w:r>
    </w:p>
    <w:p>
      <w:pPr>
        <w:spacing w:after="120" w:line="276"/>
        <w:jc w:val="both"/>
      </w:pPr>
      <w:r>
        <w:rPr>
          <w:rFonts w:ascii="Barlow Semi Condensed" w:cs="Barlow Semi Condensed" w:eastAsia="Barlow Semi Condensed" w:hAnsi="Barlow Semi Condensed"/>
          <w:b/>
          <w:bCs/>
          <w:sz w:val="24"/>
          <w:szCs w:val="24"/>
        </w:rPr>
        <w:t xml:space="preserve">95.</w:t>
      </w:r>
      <w:r>
        <w:rPr>
          <w:rFonts w:ascii="Barlow Semi Condensed" w:cs="Barlow Semi Condensed" w:eastAsia="Barlow Semi Condensed" w:hAnsi="Barlow Semi Condensed"/>
          <w:sz w:val="24"/>
          <w:szCs w:val="24"/>
        </w:rPr>
        <w:t xml:space="preserve"> Storia e Memoria di Bologna — https://www.storiaememoriadibologna.it/archivio/organizzazioni/tribunale-speciale-la-difesa-dello-stato (https://www.storiaememoriadibologna.it/archivio/organizzazioni/tribunale-speciale-la-difesa-dello-stato)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96.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storiaememoriadibologna.it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97.</w:t>
      </w:r>
      <w:r>
        <w:rPr>
          <w:rFonts w:ascii="Barlow Semi Condensed" w:cs="Barlow Semi Condensed" w:eastAsia="Barlow Semi Condensed" w:hAnsi="Barlow Semi Condensed"/>
          <w:sz w:val="24"/>
          <w:szCs w:val="24"/>
        </w:rPr>
        <w:t xml:space="preserve"> "Amnistie durante il Fascismo" — https://www.storiaememoriadibologna.it/archivio/eventi/amnistie-durante-il-fascismo (https://www.storiaememoriadibologna.it/archivio/eventi/amnistie-durante-il-fascismo)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98.</w:t>
      </w:r>
      <w:r>
        <w:rPr>
          <w:rFonts w:ascii="Barlow Semi Condensed" w:cs="Barlow Semi Condensed" w:eastAsia="Barlow Semi Condensed" w:hAnsi="Barlow Semi Condensed"/>
          <w:sz w:val="24"/>
          <w:szCs w:val="24"/>
        </w:rPr>
        <w:t xml:space="preserve"> Alberoni Alfonso — https://www.storiaememoriadibologna.it/archivio/persone/alberoni-alfonso (https://www.storiaememoriadibologna.it/archivio/persone/alberoni-alfonso)</w:t>
      </w:r>
    </w:p>
    <w:p>
      <w:pPr>
        <w:spacing w:after="120" w:line="276"/>
        <w:jc w:val="both"/>
      </w:pPr>
      <w:r>
        <w:rPr>
          <w:rFonts w:ascii="Barlow Semi Condensed" w:cs="Barlow Semi Condensed" w:eastAsia="Barlow Semi Condensed" w:hAnsi="Barlow Semi Condensed"/>
          <w:b/>
          <w:bCs/>
          <w:sz w:val="24"/>
          <w:szCs w:val="24"/>
        </w:rPr>
        <w:t xml:space="preserve">99.</w:t>
      </w:r>
      <w:r>
        <w:rPr>
          <w:rFonts w:ascii="Barlow Semi Condensed" w:cs="Barlow Semi Condensed" w:eastAsia="Barlow Semi Condensed" w:hAnsi="Barlow Semi Condensed"/>
          <w:sz w:val="24"/>
          <w:szCs w:val="24"/>
        </w:rPr>
        <w:t xml:space="preserve"> Alessandri Guido — https://www.storiaememoriadibologna.it/archivio/persone/alessandri-guido (https://www.storiaememoriadibologna.it/archivio/persone/alessandri-guido)</w:t>
      </w:r>
    </w:p>
    <w:p>
      <w:pPr>
        <w:spacing w:after="120" w:line="276"/>
        <w:jc w:val="both"/>
      </w:pPr>
      <w:r>
        <w:rPr>
          <w:rFonts w:ascii="Barlow Semi Condensed" w:cs="Barlow Semi Condensed" w:eastAsia="Barlow Semi Condensed" w:hAnsi="Barlow Semi Condensed"/>
          <w:b/>
          <w:bCs/>
          <w:sz w:val="24"/>
          <w:szCs w:val="24"/>
        </w:rPr>
        <w:t xml:space="preserve">100.</w:t>
      </w:r>
      <w:r>
        <w:rPr>
          <w:rFonts w:ascii="Barlow Semi Condensed" w:cs="Barlow Semi Condensed" w:eastAsia="Barlow Semi Condensed" w:hAnsi="Barlow Semi Condensed"/>
          <w:sz w:val="24"/>
          <w:szCs w:val="24"/>
        </w:rPr>
        <w:t xml:space="preserve"> Bassi Ugo — https://www.storiaememoriadibologna.it/archivio/persone/bassi-ugo-1 (https://www.storiaememoriadibologna.it/archivio/persone/bassi-ugo-1)</w:t>
      </w:r>
    </w:p>
    <w:p>
      <w:pPr>
        <w:spacing w:after="120" w:line="276"/>
        <w:jc w:val="both"/>
      </w:pPr>
      <w:r>
        <w:rPr>
          <w:rFonts w:ascii="Barlow Semi Condensed" w:cs="Barlow Semi Condensed" w:eastAsia="Barlow Semi Condensed" w:hAnsi="Barlow Semi Condensed"/>
          <w:b/>
          <w:bCs/>
          <w:sz w:val="24"/>
          <w:szCs w:val="24"/>
        </w:rPr>
        <w:t xml:space="preserve">101.</w:t>
      </w:r>
      <w:r>
        <w:rPr>
          <w:rFonts w:ascii="Barlow Semi Condensed" w:cs="Barlow Semi Condensed" w:eastAsia="Barlow Semi Condensed" w:hAnsi="Barlow Semi Condensed"/>
          <w:sz w:val="24"/>
          <w:szCs w:val="24"/>
        </w:rPr>
        <w:t xml:space="preserve"> Benfenati Modesto detto Boretti — https://www.storiaememoriadibologna.it/archivio/persone/benfenati-modesto-dettoa-boretti (https://www.storiaememoriadibologna.it/archivio/persone/benfenati-modesto-dettoa-boretti)</w:t>
      </w:r>
    </w:p>
    <w:p>
      <w:pPr>
        <w:spacing w:after="120" w:line="276"/>
        <w:jc w:val="both"/>
      </w:pPr>
      <w:r>
        <w:rPr>
          <w:rFonts w:ascii="Barlow Semi Condensed" w:cs="Barlow Semi Condensed" w:eastAsia="Barlow Semi Condensed" w:hAnsi="Barlow Semi Condensed"/>
          <w:b/>
          <w:bCs/>
          <w:sz w:val="24"/>
          <w:szCs w:val="24"/>
        </w:rPr>
        <w:t xml:space="preserve">102.</w:t>
      </w:r>
      <w:r>
        <w:rPr>
          <w:rFonts w:ascii="Barlow Semi Condensed" w:cs="Barlow Semi Condensed" w:eastAsia="Barlow Semi Condensed" w:hAnsi="Barlow Semi Condensed"/>
          <w:sz w:val="24"/>
          <w:szCs w:val="24"/>
        </w:rPr>
        <w:t xml:space="preserve"> Bernagozzi Lino — https://www.storiaememoriadibologna.it/archivio/persone/bernagozzi-lino (https://www.storiaememoriadibologna.it/archivio/persone/bernagozzi-lino)</w:t>
      </w:r>
    </w:p>
    <w:p>
      <w:pPr>
        <w:spacing w:after="120" w:line="276"/>
        <w:jc w:val="both"/>
      </w:pPr>
      <w:r>
        <w:rPr>
          <w:rFonts w:ascii="Barlow Semi Condensed" w:cs="Barlow Semi Condensed" w:eastAsia="Barlow Semi Condensed" w:hAnsi="Barlow Semi Condensed"/>
          <w:b/>
          <w:bCs/>
          <w:sz w:val="24"/>
          <w:szCs w:val="24"/>
        </w:rPr>
        <w:t xml:space="preserve">103.</w:t>
      </w:r>
      <w:r>
        <w:rPr>
          <w:rFonts w:ascii="Barlow Semi Condensed" w:cs="Barlow Semi Condensed" w:eastAsia="Barlow Semi Condensed" w:hAnsi="Barlow Semi Condensed"/>
          <w:sz w:val="24"/>
          <w:szCs w:val="24"/>
        </w:rPr>
        <w:t xml:space="preserve"> Bignami Torquato — https://www.storiaememoriadibologna.it/archivio/persone/bignami-torquato (https://www.storiaememoriadibologna.it/archivio/persone/bignami-torquato)</w:t>
      </w:r>
    </w:p>
    <w:p>
      <w:pPr>
        <w:spacing w:after="120" w:line="276"/>
        <w:jc w:val="both"/>
      </w:pPr>
      <w:r>
        <w:rPr>
          <w:rFonts w:ascii="Barlow Semi Condensed" w:cs="Barlow Semi Condensed" w:eastAsia="Barlow Semi Condensed" w:hAnsi="Barlow Semi Condensed"/>
          <w:b/>
          <w:bCs/>
          <w:sz w:val="24"/>
          <w:szCs w:val="24"/>
        </w:rPr>
        <w:t xml:space="preserve">104.</w:t>
      </w:r>
      <w:r>
        <w:rPr>
          <w:rFonts w:ascii="Barlow Semi Condensed" w:cs="Barlow Semi Condensed" w:eastAsia="Barlow Semi Condensed" w:hAnsi="Barlow Semi Condensed"/>
          <w:sz w:val="24"/>
          <w:szCs w:val="24"/>
        </w:rPr>
        <w:t xml:space="preserve"> Brini Ubaldo — https://www.storiaememoriadibologna.it/brini-ubaldo-509655-persona (https://www.storiaememoriadibologna.it/brini-ubaldo-509655-persona)</w:t>
      </w:r>
    </w:p>
    <w:p>
      <w:pPr>
        <w:spacing w:after="120" w:line="276"/>
        <w:jc w:val="both"/>
      </w:pPr>
      <w:r>
        <w:rPr>
          <w:rFonts w:ascii="Barlow Semi Condensed" w:cs="Barlow Semi Condensed" w:eastAsia="Barlow Semi Condensed" w:hAnsi="Barlow Semi Condensed"/>
          <w:b/>
          <w:bCs/>
          <w:sz w:val="24"/>
          <w:szCs w:val="24"/>
        </w:rPr>
        <w:t xml:space="preserve">105.</w:t>
      </w:r>
      <w:r>
        <w:rPr>
          <w:rFonts w:ascii="Barlow Semi Condensed" w:cs="Barlow Semi Condensed" w:eastAsia="Barlow Semi Condensed" w:hAnsi="Barlow Semi Condensed"/>
          <w:sz w:val="24"/>
          <w:szCs w:val="24"/>
        </w:rPr>
        <w:t xml:space="preserve"> Capelli Antonino detto Spartaco — https://www.storiaememoriadibologna.it/archivio/persone/capelli-antonino-dettoa-spartaco (https://www.storiaememoriadibologna.it/archivio/persone/capelli-antonino-dettoa-spartaco)</w:t>
      </w:r>
    </w:p>
    <w:p>
      <w:pPr>
        <w:spacing w:after="120" w:line="276"/>
        <w:jc w:val="both"/>
      </w:pPr>
      <w:r>
        <w:rPr>
          <w:rFonts w:ascii="Barlow Semi Condensed" w:cs="Barlow Semi Condensed" w:eastAsia="Barlow Semi Condensed" w:hAnsi="Barlow Semi Condensed"/>
          <w:b/>
          <w:bCs/>
          <w:sz w:val="24"/>
          <w:szCs w:val="24"/>
        </w:rPr>
        <w:t xml:space="preserve">106.</w:t>
      </w:r>
      <w:r>
        <w:rPr>
          <w:rFonts w:ascii="Barlow Semi Condensed" w:cs="Barlow Semi Condensed" w:eastAsia="Barlow Semi Condensed" w:hAnsi="Barlow Semi Condensed"/>
          <w:sz w:val="24"/>
          <w:szCs w:val="24"/>
        </w:rPr>
        <w:t xml:space="preserve"> Casadei Dino detto Bestione — https://www.storiaememoriadibologna.it/archivio/persone/casadei-dino-dettoa-bestione (https://www.storiaememoriadibologna.it/archivio/persone/casadei-dino-dettoa-bestione)</w:t>
      </w:r>
    </w:p>
    <w:p>
      <w:pPr>
        <w:spacing w:after="120" w:line="276"/>
        <w:jc w:val="both"/>
      </w:pPr>
      <w:r>
        <w:rPr>
          <w:rFonts w:ascii="Barlow Semi Condensed" w:cs="Barlow Semi Condensed" w:eastAsia="Barlow Semi Condensed" w:hAnsi="Barlow Semi Condensed"/>
          <w:b/>
          <w:bCs/>
          <w:sz w:val="24"/>
          <w:szCs w:val="24"/>
        </w:rPr>
        <w:t xml:space="preserve">107.</w:t>
      </w:r>
      <w:r>
        <w:rPr>
          <w:rFonts w:ascii="Barlow Semi Condensed" w:cs="Barlow Semi Condensed" w:eastAsia="Barlow Semi Condensed" w:hAnsi="Barlow Semi Condensed"/>
          <w:sz w:val="24"/>
          <w:szCs w:val="24"/>
        </w:rPr>
        <w:t xml:space="preserve"> Fabbri Alberto detto Cri Cri — https://www.storiaememoriadibologna.it/archivio/persone/fabbri-alberto-dettoa-cri-cri (https://www.storiaememoriadibologna.it/archivio/persone/fabbri-alberto-dettoa-cri-cri)</w:t>
      </w:r>
    </w:p>
    <w:p>
      <w:pPr>
        <w:spacing w:after="120" w:line="276"/>
        <w:jc w:val="both"/>
      </w:pPr>
      <w:r>
        <w:rPr>
          <w:rFonts w:ascii="Barlow Semi Condensed" w:cs="Barlow Semi Condensed" w:eastAsia="Barlow Semi Condensed" w:hAnsi="Barlow Semi Condensed"/>
          <w:b/>
          <w:bCs/>
          <w:sz w:val="24"/>
          <w:szCs w:val="24"/>
        </w:rPr>
        <w:t xml:space="preserve">108.</w:t>
      </w:r>
      <w:r>
        <w:rPr>
          <w:rFonts w:ascii="Barlow Semi Condensed" w:cs="Barlow Semi Condensed" w:eastAsia="Barlow Semi Condensed" w:hAnsi="Barlow Semi Condensed"/>
          <w:sz w:val="24"/>
          <w:szCs w:val="24"/>
        </w:rPr>
        <w:t xml:space="preserve"> Fabbri Andrea — https://www.storiaememoriadibologna.it/archivio/persone/fabbri-andrea (https://www.storiaememoriadibologna.it/archivio/persone/fabbri-andrea)</w:t>
      </w:r>
    </w:p>
    <w:p>
      <w:pPr>
        <w:spacing w:after="120" w:line="276"/>
        <w:jc w:val="both"/>
      </w:pPr>
      <w:r>
        <w:rPr>
          <w:rFonts w:ascii="Barlow Semi Condensed" w:cs="Barlow Semi Condensed" w:eastAsia="Barlow Semi Condensed" w:hAnsi="Barlow Semi Condensed"/>
          <w:b/>
          <w:bCs/>
          <w:sz w:val="24"/>
          <w:szCs w:val="24"/>
        </w:rPr>
        <w:t xml:space="preserve">109.</w:t>
      </w:r>
      <w:r>
        <w:rPr>
          <w:rFonts w:ascii="Barlow Semi Condensed" w:cs="Barlow Semi Condensed" w:eastAsia="Barlow Semi Condensed" w:hAnsi="Barlow Semi Condensed"/>
          <w:sz w:val="24"/>
          <w:szCs w:val="24"/>
        </w:rPr>
        <w:t xml:space="preserve"> Fiorini Mario — https://storiaememoriadibologna.it/archivio/persone/fiorini-mario-1 (https://storiaememoriadibologna.it/archivio/persone/fiorini-mario-1)</w:t>
      </w:r>
    </w:p>
    <w:p>
      <w:pPr>
        <w:spacing w:after="120" w:line="276"/>
        <w:jc w:val="both"/>
      </w:pPr>
      <w:r>
        <w:rPr>
          <w:rFonts w:ascii="Barlow Semi Condensed" w:cs="Barlow Semi Condensed" w:eastAsia="Barlow Semi Condensed" w:hAnsi="Barlow Semi Condensed"/>
          <w:b/>
          <w:bCs/>
          <w:sz w:val="24"/>
          <w:szCs w:val="24"/>
        </w:rPr>
        <w:t xml:space="preserve">110.</w:t>
      </w:r>
      <w:r>
        <w:rPr>
          <w:rFonts w:ascii="Barlow Semi Condensed" w:cs="Barlow Semi Condensed" w:eastAsia="Barlow Semi Condensed" w:hAnsi="Barlow Semi Condensed"/>
          <w:sz w:val="24"/>
          <w:szCs w:val="24"/>
        </w:rPr>
        <w:t xml:space="preserve"> Gaiani Renato — https://www.storiaememoriadibologna.it/archivio/persone/gaiani-renato (https://www.storiaememoriadibologna.it/archivio/persone/gaiani-renato)</w:t>
      </w:r>
    </w:p>
    <w:p>
      <w:pPr>
        <w:spacing w:after="120" w:line="276"/>
        <w:jc w:val="both"/>
      </w:pPr>
      <w:r>
        <w:rPr>
          <w:rFonts w:ascii="Barlow Semi Condensed" w:cs="Barlow Semi Condensed" w:eastAsia="Barlow Semi Condensed" w:hAnsi="Barlow Semi Condensed"/>
          <w:b/>
          <w:bCs/>
          <w:sz w:val="24"/>
          <w:szCs w:val="24"/>
        </w:rPr>
        <w:t xml:space="preserve">111.</w:t>
      </w:r>
      <w:r>
        <w:rPr>
          <w:rFonts w:ascii="Barlow Semi Condensed" w:cs="Barlow Semi Condensed" w:eastAsia="Barlow Semi Condensed" w:hAnsi="Barlow Semi Condensed"/>
          <w:sz w:val="24"/>
          <w:szCs w:val="24"/>
        </w:rPr>
        <w:t xml:space="preserve"> Ghini Cairo — https://www.storiaememoriadibologna.it/ghini-cairo-498297-persona (https://www.storiaememoriadibologna.it/ghini-cairo-498297-persona)</w:t>
      </w:r>
    </w:p>
    <w:p>
      <w:pPr>
        <w:spacing w:after="120" w:line="276"/>
        <w:jc w:val="both"/>
      </w:pPr>
      <w:r>
        <w:rPr>
          <w:rFonts w:ascii="Barlow Semi Condensed" w:cs="Barlow Semi Condensed" w:eastAsia="Barlow Semi Condensed" w:hAnsi="Barlow Semi Condensed"/>
          <w:b/>
          <w:bCs/>
          <w:sz w:val="24"/>
          <w:szCs w:val="24"/>
        </w:rPr>
        <w:t xml:space="preserve">112.</w:t>
      </w:r>
      <w:r>
        <w:rPr>
          <w:rFonts w:ascii="Barlow Semi Condensed" w:cs="Barlow Semi Condensed" w:eastAsia="Barlow Semi Condensed" w:hAnsi="Barlow Semi Condensed"/>
          <w:sz w:val="24"/>
          <w:szCs w:val="24"/>
        </w:rPr>
        <w:t xml:space="preserve"> Lelli Giovanni detto Airone — https://storiaememoriadibologna.it/lelli-giovanni-513442-persona (https://storiaememoriadibologna.it/lelli-giovanni-513442-persona)</w:t>
      </w:r>
    </w:p>
    <w:p>
      <w:pPr>
        <w:spacing w:after="120" w:line="276"/>
        <w:jc w:val="both"/>
      </w:pPr>
      <w:r>
        <w:rPr>
          <w:rFonts w:ascii="Barlow Semi Condensed" w:cs="Barlow Semi Condensed" w:eastAsia="Barlow Semi Condensed" w:hAnsi="Barlow Semi Condensed"/>
          <w:b/>
          <w:bCs/>
          <w:sz w:val="24"/>
          <w:szCs w:val="24"/>
        </w:rPr>
        <w:t xml:space="preserve">113.</w:t>
      </w:r>
      <w:r>
        <w:rPr>
          <w:rFonts w:ascii="Barlow Semi Condensed" w:cs="Barlow Semi Condensed" w:eastAsia="Barlow Semi Condensed" w:hAnsi="Barlow Semi Condensed"/>
          <w:sz w:val="24"/>
          <w:szCs w:val="24"/>
        </w:rPr>
        <w:t xml:space="preserve"> Mainetti Cleto — https://storiaememoriadibologna.it/archivio/persone/mainetti-cleto (https://storiaememoriadibologna.it/archivio/persone/mainetti-cleto)</w:t>
      </w:r>
    </w:p>
    <w:p>
      <w:pPr>
        <w:spacing w:after="120" w:line="276"/>
        <w:jc w:val="both"/>
      </w:pPr>
      <w:r>
        <w:rPr>
          <w:rFonts w:ascii="Barlow Semi Condensed" w:cs="Barlow Semi Condensed" w:eastAsia="Barlow Semi Condensed" w:hAnsi="Barlow Semi Condensed"/>
          <w:b/>
          <w:bCs/>
          <w:sz w:val="24"/>
          <w:szCs w:val="24"/>
        </w:rPr>
        <w:t xml:space="preserve">114.</w:t>
      </w:r>
      <w:r>
        <w:rPr>
          <w:rFonts w:ascii="Barlow Semi Condensed" w:cs="Barlow Semi Condensed" w:eastAsia="Barlow Semi Condensed" w:hAnsi="Barlow Semi Condensed"/>
          <w:sz w:val="24"/>
          <w:szCs w:val="24"/>
        </w:rPr>
        <w:t xml:space="preserve"> Manzoni Aldo — https://www.storiaememoriadibologna.it/archivio/persone/manzoni-aldo (https://www.storiaememoriadibologna.it/archivio/persone/manzoni-aldo)</w:t>
      </w:r>
    </w:p>
    <w:p>
      <w:pPr>
        <w:spacing w:after="120" w:line="276"/>
        <w:jc w:val="both"/>
      </w:pPr>
      <w:r>
        <w:rPr>
          <w:rFonts w:ascii="Barlow Semi Condensed" w:cs="Barlow Semi Condensed" w:eastAsia="Barlow Semi Condensed" w:hAnsi="Barlow Semi Condensed"/>
          <w:b/>
          <w:bCs/>
          <w:sz w:val="24"/>
          <w:szCs w:val="24"/>
        </w:rPr>
        <w:t xml:space="preserve">115.</w:t>
      </w:r>
      <w:r>
        <w:rPr>
          <w:rFonts w:ascii="Barlow Semi Condensed" w:cs="Barlow Semi Condensed" w:eastAsia="Barlow Semi Condensed" w:hAnsi="Barlow Semi Condensed"/>
          <w:sz w:val="24"/>
          <w:szCs w:val="24"/>
        </w:rPr>
        <w:t xml:space="preserve"> Melotti Mario — https://www.storiaememoriadibologna.it/melotti-mario-516298-persona (https://www.storiaememoriadibologna.it/melotti-mario-516298-persona)</w:t>
      </w:r>
    </w:p>
    <w:p>
      <w:pPr>
        <w:spacing w:after="120" w:line="276"/>
        <w:jc w:val="both"/>
      </w:pPr>
      <w:r>
        <w:rPr>
          <w:rFonts w:ascii="Barlow Semi Condensed" w:cs="Barlow Semi Condensed" w:eastAsia="Barlow Semi Condensed" w:hAnsi="Barlow Semi Condensed"/>
          <w:b/>
          <w:bCs/>
          <w:sz w:val="24"/>
          <w:szCs w:val="24"/>
        </w:rPr>
        <w:t xml:space="preserve">116.</w:t>
      </w:r>
      <w:r>
        <w:rPr>
          <w:rFonts w:ascii="Barlow Semi Condensed" w:cs="Barlow Semi Condensed" w:eastAsia="Barlow Semi Condensed" w:hAnsi="Barlow Semi Condensed"/>
          <w:sz w:val="24"/>
          <w:szCs w:val="24"/>
        </w:rPr>
        <w:t xml:space="preserve"> Montanari Walter — https://www.storiaememoriadibologna.it/montanari-walter-498620-persona (https://www.storiaememoriadibologna.it/montanari-walter-498620-persona)</w:t>
      </w:r>
    </w:p>
    <w:p>
      <w:pPr>
        <w:spacing w:after="120" w:line="276"/>
        <w:jc w:val="both"/>
      </w:pPr>
      <w:r>
        <w:rPr>
          <w:rFonts w:ascii="Barlow Semi Condensed" w:cs="Barlow Semi Condensed" w:eastAsia="Barlow Semi Condensed" w:hAnsi="Barlow Semi Condensed"/>
          <w:b/>
          <w:bCs/>
          <w:sz w:val="24"/>
          <w:szCs w:val="24"/>
        </w:rPr>
        <w:t xml:space="preserve">117.</w:t>
      </w:r>
      <w:r>
        <w:rPr>
          <w:rFonts w:ascii="Barlow Semi Condensed" w:cs="Barlow Semi Condensed" w:eastAsia="Barlow Semi Condensed" w:hAnsi="Barlow Semi Condensed"/>
          <w:sz w:val="24"/>
          <w:szCs w:val="24"/>
        </w:rPr>
        <w:t xml:space="preserve"> Monterumici Bruno detto Roberti — https://www.storiaememoriadibologna.it/archivio/persone/monterumici-bruno-dettoa-roberti (https://www.storiaememoriadibologna.it/archivio/persone/monterumici-bruno-dettoa-roberti)</w:t>
      </w:r>
    </w:p>
    <w:p>
      <w:pPr>
        <w:spacing w:after="120" w:line="276"/>
        <w:jc w:val="both"/>
      </w:pPr>
      <w:r>
        <w:rPr>
          <w:rFonts w:ascii="Barlow Semi Condensed" w:cs="Barlow Semi Condensed" w:eastAsia="Barlow Semi Condensed" w:hAnsi="Barlow Semi Condensed"/>
          <w:b/>
          <w:bCs/>
          <w:sz w:val="24"/>
          <w:szCs w:val="24"/>
        </w:rPr>
        <w:t xml:space="preserve">118.</w:t>
      </w:r>
      <w:r>
        <w:rPr>
          <w:rFonts w:ascii="Barlow Semi Condensed" w:cs="Barlow Semi Condensed" w:eastAsia="Barlow Semi Condensed" w:hAnsi="Barlow Semi Condensed"/>
          <w:sz w:val="24"/>
          <w:szCs w:val="24"/>
        </w:rPr>
        <w:t xml:space="preserve"> Monti Diego — https://www.storiaememoriadibologna.it/archivio/persone/monti-diego (https://www.storiaememoriadibologna.it/archivio/persone/monti-diego)</w:t>
      </w:r>
    </w:p>
    <w:p>
      <w:pPr>
        <w:spacing w:after="120" w:line="276"/>
        <w:jc w:val="both"/>
      </w:pPr>
      <w:r>
        <w:rPr>
          <w:rFonts w:ascii="Barlow Semi Condensed" w:cs="Barlow Semi Condensed" w:eastAsia="Barlow Semi Condensed" w:hAnsi="Barlow Semi Condensed"/>
          <w:b/>
          <w:bCs/>
          <w:sz w:val="24"/>
          <w:szCs w:val="24"/>
        </w:rPr>
        <w:t xml:space="preserve">119.</w:t>
      </w:r>
      <w:r>
        <w:rPr>
          <w:rFonts w:ascii="Barlow Semi Condensed" w:cs="Barlow Semi Condensed" w:eastAsia="Barlow Semi Condensed" w:hAnsi="Barlow Semi Condensed"/>
          <w:sz w:val="24"/>
          <w:szCs w:val="24"/>
        </w:rPr>
        <w:t xml:space="preserve"> Negrini Antonio — https://www.storiaememoriadibologna.it/archivio/persone/negrini-antonio (https://www.storiaememoriadibologna.it/archivio/persone/negrini-antonio)</w:t>
      </w:r>
    </w:p>
    <w:p>
      <w:pPr>
        <w:spacing w:after="120" w:line="276"/>
        <w:jc w:val="both"/>
      </w:pPr>
      <w:r>
        <w:rPr>
          <w:rFonts w:ascii="Barlow Semi Condensed" w:cs="Barlow Semi Condensed" w:eastAsia="Barlow Semi Condensed" w:hAnsi="Barlow Semi Condensed"/>
          <w:b/>
          <w:bCs/>
          <w:sz w:val="24"/>
          <w:szCs w:val="24"/>
        </w:rPr>
        <w:t xml:space="preserve">120.</w:t>
      </w:r>
      <w:r>
        <w:rPr>
          <w:rFonts w:ascii="Barlow Semi Condensed" w:cs="Barlow Semi Condensed" w:eastAsia="Barlow Semi Condensed" w:hAnsi="Barlow Semi Condensed"/>
          <w:sz w:val="24"/>
          <w:szCs w:val="24"/>
        </w:rPr>
        <w:t xml:space="preserve"> Olivieri Antonino, detto Antonio — https://www.storiaememoriadibologna.it/archivio/persone/olivieri-antonino-detto-antonio (https://www.storiaememoriadibologna.it/archivio/persone/olivieri-antonino-detto-antonio)</w:t>
      </w:r>
    </w:p>
    <w:p>
      <w:pPr>
        <w:spacing w:after="120" w:line="276"/>
        <w:jc w:val="both"/>
      </w:pPr>
      <w:r>
        <w:rPr>
          <w:rFonts w:ascii="Barlow Semi Condensed" w:cs="Barlow Semi Condensed" w:eastAsia="Barlow Semi Condensed" w:hAnsi="Barlow Semi Condensed"/>
          <w:b/>
          <w:bCs/>
          <w:sz w:val="24"/>
          <w:szCs w:val="24"/>
        </w:rPr>
        <w:t xml:space="preserve">121.</w:t>
      </w:r>
      <w:r>
        <w:rPr>
          <w:rFonts w:ascii="Barlow Semi Condensed" w:cs="Barlow Semi Condensed" w:eastAsia="Barlow Semi Condensed" w:hAnsi="Barlow Semi Condensed"/>
          <w:sz w:val="24"/>
          <w:szCs w:val="24"/>
        </w:rPr>
        <w:t xml:space="preserve"> Orsini Dante — https://www.storiaememoriadibologna.it/archivio/persone/orsini-dante (https://www.storiaememoriadibologna.it/archivio/persone/orsini-dante)</w:t>
      </w:r>
    </w:p>
    <w:p>
      <w:pPr>
        <w:spacing w:after="120" w:line="276"/>
        <w:jc w:val="both"/>
      </w:pPr>
      <w:r>
        <w:rPr>
          <w:rFonts w:ascii="Barlow Semi Condensed" w:cs="Barlow Semi Condensed" w:eastAsia="Barlow Semi Condensed" w:hAnsi="Barlow Semi Condensed"/>
          <w:b/>
          <w:bCs/>
          <w:sz w:val="24"/>
          <w:szCs w:val="24"/>
        </w:rPr>
        <w:t xml:space="preserve">122.</w:t>
      </w:r>
      <w:r>
        <w:rPr>
          <w:rFonts w:ascii="Barlow Semi Condensed" w:cs="Barlow Semi Condensed" w:eastAsia="Barlow Semi Condensed" w:hAnsi="Barlow Semi Condensed"/>
          <w:sz w:val="24"/>
          <w:szCs w:val="24"/>
        </w:rPr>
        <w:t xml:space="preserve"> Ottani Agostino detto Sergio — https://www.storiaememoriadibologna.it/archivio/persone/ottani-agostino-dettoa-sergio (https://www.storiaememoriadibologna.it/archivio/persone/ottani-agostino-dettoa-sergio)</w:t>
      </w:r>
    </w:p>
    <w:p>
      <w:pPr>
        <w:spacing w:after="120" w:line="276"/>
        <w:jc w:val="both"/>
      </w:pPr>
      <w:r>
        <w:rPr>
          <w:rFonts w:ascii="Barlow Semi Condensed" w:cs="Barlow Semi Condensed" w:eastAsia="Barlow Semi Condensed" w:hAnsi="Barlow Semi Condensed"/>
          <w:b/>
          <w:bCs/>
          <w:sz w:val="24"/>
          <w:szCs w:val="24"/>
        </w:rPr>
        <w:t xml:space="preserve">123.</w:t>
      </w:r>
      <w:r>
        <w:rPr>
          <w:rFonts w:ascii="Barlow Semi Condensed" w:cs="Barlow Semi Condensed" w:eastAsia="Barlow Semi Condensed" w:hAnsi="Barlow Semi Condensed"/>
          <w:sz w:val="24"/>
          <w:szCs w:val="24"/>
        </w:rPr>
        <w:t xml:space="preserve"> Piana Adelmo detto Calzolaio — https://www.storiaememoriadibologna.it/archivio/persone/piana-adelmo-dettoa-calzolaio (https://www.storiaememoriadibologna.it/archivio/persone/piana-adelmo-dettoa-calzolaio)</w:t>
      </w:r>
    </w:p>
    <w:p>
      <w:pPr>
        <w:spacing w:after="120" w:line="276"/>
        <w:jc w:val="both"/>
      </w:pPr>
      <w:r>
        <w:rPr>
          <w:rFonts w:ascii="Barlow Semi Condensed" w:cs="Barlow Semi Condensed" w:eastAsia="Barlow Semi Condensed" w:hAnsi="Barlow Semi Condensed"/>
          <w:b/>
          <w:bCs/>
          <w:sz w:val="24"/>
          <w:szCs w:val="24"/>
        </w:rPr>
        <w:t xml:space="preserve">124.</w:t>
      </w:r>
      <w:r>
        <w:rPr>
          <w:rFonts w:ascii="Barlow Semi Condensed" w:cs="Barlow Semi Condensed" w:eastAsia="Barlow Semi Condensed" w:hAnsi="Barlow Semi Condensed"/>
          <w:sz w:val="24"/>
          <w:szCs w:val="24"/>
        </w:rPr>
        <w:t xml:space="preserve"> Poletti Enrico — https://www.storiaememoriadibologna.it/archivio/persone/poletti-enrico (https://www.storiaememoriadibologna.it/archivio/persone/poletti-enrico)</w:t>
      </w:r>
    </w:p>
    <w:p>
      <w:pPr>
        <w:spacing w:after="120" w:line="276"/>
        <w:jc w:val="both"/>
      </w:pPr>
      <w:r>
        <w:rPr>
          <w:rFonts w:ascii="Barlow Semi Condensed" w:cs="Barlow Semi Condensed" w:eastAsia="Barlow Semi Condensed" w:hAnsi="Barlow Semi Condensed"/>
          <w:b/>
          <w:bCs/>
          <w:sz w:val="24"/>
          <w:szCs w:val="24"/>
        </w:rPr>
        <w:t xml:space="preserve">125.</w:t>
      </w:r>
      <w:r>
        <w:rPr>
          <w:rFonts w:ascii="Barlow Semi Condensed" w:cs="Barlow Semi Condensed" w:eastAsia="Barlow Semi Condensed" w:hAnsi="Barlow Semi Condensed"/>
          <w:sz w:val="24"/>
          <w:szCs w:val="24"/>
        </w:rPr>
        <w:t xml:space="preserve"> Poletti Guerrino — https://www.storiaememoriadibologna.it/archivio/persone/poletti-guerrino (https://www.storiaememoriadibologna.it/archivio/persone/poletti-guerrino)</w:t>
      </w:r>
    </w:p>
    <w:p>
      <w:pPr>
        <w:spacing w:after="120" w:line="276"/>
        <w:jc w:val="both"/>
      </w:pPr>
      <w:r>
        <w:rPr>
          <w:rFonts w:ascii="Barlow Semi Condensed" w:cs="Barlow Semi Condensed" w:eastAsia="Barlow Semi Condensed" w:hAnsi="Barlow Semi Condensed"/>
          <w:b/>
          <w:bCs/>
          <w:sz w:val="24"/>
          <w:szCs w:val="24"/>
        </w:rPr>
        <w:t xml:space="preserve">126.</w:t>
      </w:r>
      <w:r>
        <w:rPr>
          <w:rFonts w:ascii="Barlow Semi Condensed" w:cs="Barlow Semi Condensed" w:eastAsia="Barlow Semi Condensed" w:hAnsi="Barlow Semi Condensed"/>
          <w:sz w:val="24"/>
          <w:szCs w:val="24"/>
        </w:rPr>
        <w:t xml:space="preserve"> Poletti Livio — https://www.storiaememoriadibologna.it/archivio/persone/poletti-livio (https://www.storiaememoriadibologna.it/archivio/persone/poletti-livio)</w:t>
      </w:r>
    </w:p>
    <w:p>
      <w:pPr>
        <w:spacing w:after="120" w:line="276"/>
        <w:jc w:val="both"/>
      </w:pPr>
      <w:r>
        <w:rPr>
          <w:rFonts w:ascii="Barlow Semi Condensed" w:cs="Barlow Semi Condensed" w:eastAsia="Barlow Semi Condensed" w:hAnsi="Barlow Semi Condensed"/>
          <w:b/>
          <w:bCs/>
          <w:sz w:val="24"/>
          <w:szCs w:val="24"/>
        </w:rPr>
        <w:t xml:space="preserve">127.</w:t>
      </w:r>
      <w:r>
        <w:rPr>
          <w:rFonts w:ascii="Barlow Semi Condensed" w:cs="Barlow Semi Condensed" w:eastAsia="Barlow Semi Condensed" w:hAnsi="Barlow Semi Condensed"/>
          <w:sz w:val="24"/>
          <w:szCs w:val="24"/>
        </w:rPr>
        <w:t xml:space="preserve"> Puca Luigi — https://www.storiaememoriadibologna.it/archivio/persone/puca-luigi (https://www.storiaememoriadibologna.it/archivio/persone/puca-luigi)</w:t>
      </w:r>
    </w:p>
    <w:p>
      <w:pPr>
        <w:spacing w:after="120" w:line="276"/>
        <w:jc w:val="both"/>
      </w:pPr>
      <w:r>
        <w:rPr>
          <w:rFonts w:ascii="Barlow Semi Condensed" w:cs="Barlow Semi Condensed" w:eastAsia="Barlow Semi Condensed" w:hAnsi="Barlow Semi Condensed"/>
          <w:b/>
          <w:bCs/>
          <w:sz w:val="24"/>
          <w:szCs w:val="24"/>
        </w:rPr>
        <w:t xml:space="preserve">128.</w:t>
      </w:r>
      <w:r>
        <w:rPr>
          <w:rFonts w:ascii="Barlow Semi Condensed" w:cs="Barlow Semi Condensed" w:eastAsia="Barlow Semi Condensed" w:hAnsi="Barlow Semi Condensed"/>
          <w:sz w:val="24"/>
          <w:szCs w:val="24"/>
        </w:rPr>
        <w:t xml:space="preserve"> Randi Augusto — https://www.storiaememoriadibologna.it/archivio/persone/randi-augusto (https://www.storiaememoriadibologna.it/archivio/persone/randi-augusto)</w:t>
      </w:r>
    </w:p>
    <w:p>
      <w:pPr>
        <w:spacing w:after="120" w:line="276"/>
        <w:jc w:val="both"/>
      </w:pPr>
      <w:r>
        <w:rPr>
          <w:rFonts w:ascii="Barlow Semi Condensed" w:cs="Barlow Semi Condensed" w:eastAsia="Barlow Semi Condensed" w:hAnsi="Barlow Semi Condensed"/>
          <w:b/>
          <w:bCs/>
          <w:sz w:val="24"/>
          <w:szCs w:val="24"/>
        </w:rPr>
        <w:t xml:space="preserve">129.</w:t>
      </w:r>
      <w:r>
        <w:rPr>
          <w:rFonts w:ascii="Barlow Semi Condensed" w:cs="Barlow Semi Condensed" w:eastAsia="Barlow Semi Condensed" w:hAnsi="Barlow Semi Condensed"/>
          <w:sz w:val="24"/>
          <w:szCs w:val="24"/>
        </w:rPr>
        <w:t xml:space="preserve"> Rebeggiani Carlo — https://www.storiaememoriadibologna.it/archivio/persone/rebeggiani-carlo (https://www.storiaememoriadibologna.it/archivio/persone/rebeggiani-carlo)</w:t>
      </w:r>
    </w:p>
    <w:p>
      <w:pPr>
        <w:spacing w:after="120" w:line="276"/>
        <w:jc w:val="both"/>
      </w:pPr>
      <w:r>
        <w:rPr>
          <w:rFonts w:ascii="Barlow Semi Condensed" w:cs="Barlow Semi Condensed" w:eastAsia="Barlow Semi Condensed" w:hAnsi="Barlow Semi Condensed"/>
          <w:b/>
          <w:bCs/>
          <w:sz w:val="24"/>
          <w:szCs w:val="24"/>
        </w:rPr>
        <w:t xml:space="preserve">130.</w:t>
      </w:r>
      <w:r>
        <w:rPr>
          <w:rFonts w:ascii="Barlow Semi Condensed" w:cs="Barlow Semi Condensed" w:eastAsia="Barlow Semi Condensed" w:hAnsi="Barlow Semi Condensed"/>
          <w:sz w:val="24"/>
          <w:szCs w:val="24"/>
        </w:rPr>
        <w:t xml:space="preserve"> Rinaldi Renato — https://www.storiaememoriadibologna.it/archivio/persone/rinaldi-renato (https://www.storiaememoriadibologna.it/archivio/persone/rinaldi-renato)</w:t>
      </w:r>
    </w:p>
    <w:p>
      <w:pPr>
        <w:spacing w:after="120" w:line="276"/>
        <w:jc w:val="both"/>
      </w:pPr>
      <w:r>
        <w:rPr>
          <w:rFonts w:ascii="Barlow Semi Condensed" w:cs="Barlow Semi Condensed" w:eastAsia="Barlow Semi Condensed" w:hAnsi="Barlow Semi Condensed"/>
          <w:b/>
          <w:bCs/>
          <w:sz w:val="24"/>
          <w:szCs w:val="24"/>
        </w:rPr>
        <w:t xml:space="preserve">131.</w:t>
      </w:r>
      <w:r>
        <w:rPr>
          <w:rFonts w:ascii="Barlow Semi Condensed" w:cs="Barlow Semi Condensed" w:eastAsia="Barlow Semi Condensed" w:hAnsi="Barlow Semi Condensed"/>
          <w:sz w:val="24"/>
          <w:szCs w:val="24"/>
        </w:rPr>
        <w:t xml:space="preserve"> Scarabelli Giorgio detto Vincenzo — https://www.storiaememoriadibologna.it/archivio/persone/scarabelli-giorgio-dettoa-vincenzo (https://www.storiaememoriadibologna.it/archivio/persone/scarabelli-giorgio-dettoa-vincenzo)</w:t>
      </w:r>
    </w:p>
    <w:p>
      <w:pPr>
        <w:spacing w:after="120" w:line="276"/>
        <w:jc w:val="both"/>
      </w:pPr>
      <w:r>
        <w:rPr>
          <w:rFonts w:ascii="Barlow Semi Condensed" w:cs="Barlow Semi Condensed" w:eastAsia="Barlow Semi Condensed" w:hAnsi="Barlow Semi Condensed"/>
          <w:b/>
          <w:bCs/>
          <w:sz w:val="24"/>
          <w:szCs w:val="24"/>
        </w:rPr>
        <w:t xml:space="preserve">132.</w:t>
      </w:r>
      <w:r>
        <w:rPr>
          <w:rFonts w:ascii="Barlow Semi Condensed" w:cs="Barlow Semi Condensed" w:eastAsia="Barlow Semi Condensed" w:hAnsi="Barlow Semi Condensed"/>
          <w:sz w:val="24"/>
          <w:szCs w:val="24"/>
        </w:rPr>
        <w:t xml:space="preserve"> Scardovi Aldo — https://www.storiaememoriadibologna.it/archivio/persone/scardovi-aldo (https://www.storiaememoriadibologna.it/archivio/persone/scardovi-aldo)</w:t>
      </w:r>
    </w:p>
    <w:p>
      <w:pPr>
        <w:spacing w:after="120" w:line="276"/>
        <w:jc w:val="both"/>
      </w:pPr>
      <w:r>
        <w:rPr>
          <w:rFonts w:ascii="Barlow Semi Condensed" w:cs="Barlow Semi Condensed" w:eastAsia="Barlow Semi Condensed" w:hAnsi="Barlow Semi Condensed"/>
          <w:b/>
          <w:bCs/>
          <w:sz w:val="24"/>
          <w:szCs w:val="24"/>
        </w:rPr>
        <w:t xml:space="preserve">133.</w:t>
      </w:r>
      <w:r>
        <w:rPr>
          <w:rFonts w:ascii="Barlow Semi Condensed" w:cs="Barlow Semi Condensed" w:eastAsia="Barlow Semi Condensed" w:hAnsi="Barlow Semi Condensed"/>
          <w:sz w:val="24"/>
          <w:szCs w:val="24"/>
        </w:rPr>
        <w:t xml:space="preserve"> Serantoni Ezio detto Mezzanotte — https://www.storiaememoriadibologna.it/archivio/persone/serantoni-ezio-dettoa-mezzanotte-12 (https://www.storiaememoriadibologna.it/archivio/persone/serantoni-ezio-dettoa-mezzanotte-12)</w:t>
      </w:r>
    </w:p>
    <w:p>
      <w:pPr>
        <w:spacing w:after="120" w:line="276"/>
        <w:jc w:val="both"/>
      </w:pPr>
      <w:r>
        <w:rPr>
          <w:rFonts w:ascii="Barlow Semi Condensed" w:cs="Barlow Semi Condensed" w:eastAsia="Barlow Semi Condensed" w:hAnsi="Barlow Semi Condensed"/>
          <w:b/>
          <w:bCs/>
          <w:sz w:val="24"/>
          <w:szCs w:val="24"/>
        </w:rPr>
        <w:t xml:space="preserve">134.</w:t>
      </w:r>
      <w:r>
        <w:rPr>
          <w:rFonts w:ascii="Barlow Semi Condensed" w:cs="Barlow Semi Condensed" w:eastAsia="Barlow Semi Condensed" w:hAnsi="Barlow Semi Condensed"/>
          <w:sz w:val="24"/>
          <w:szCs w:val="24"/>
        </w:rPr>
        <w:t xml:space="preserve"> Serravalli Domenico — https://www.storiaememoriadibologna.it/archivio/persone/serravalli-domenico (https://www.storiaememoriadibologna.it/archivio/persone/serravalli-domenico)</w:t>
      </w:r>
    </w:p>
    <w:p>
      <w:pPr>
        <w:spacing w:after="120" w:line="276"/>
        <w:jc w:val="both"/>
      </w:pPr>
      <w:r>
        <w:rPr>
          <w:rFonts w:ascii="Barlow Semi Condensed" w:cs="Barlow Semi Condensed" w:eastAsia="Barlow Semi Condensed" w:hAnsi="Barlow Semi Condensed"/>
          <w:b/>
          <w:bCs/>
          <w:sz w:val="24"/>
          <w:szCs w:val="24"/>
        </w:rPr>
        <w:t xml:space="preserve">135.</w:t>
      </w:r>
      <w:r>
        <w:rPr>
          <w:rFonts w:ascii="Barlow Semi Condensed" w:cs="Barlow Semi Condensed" w:eastAsia="Barlow Semi Condensed" w:hAnsi="Barlow Semi Condensed"/>
          <w:sz w:val="24"/>
          <w:szCs w:val="24"/>
        </w:rPr>
        <w:t xml:space="preserve"> Tampieri Pio — https://www.storiaememoriadibologna.it/archivio/persone/tampieri-pio (https://www.storiaememoriadibologna.it/archivio/persone/tampieri-pio)</w:t>
      </w:r>
    </w:p>
    <w:p>
      <w:pPr>
        <w:spacing w:after="120" w:line="276"/>
        <w:jc w:val="both"/>
      </w:pPr>
      <w:r>
        <w:rPr>
          <w:rFonts w:ascii="Barlow Semi Condensed" w:cs="Barlow Semi Condensed" w:eastAsia="Barlow Semi Condensed" w:hAnsi="Barlow Semi Condensed"/>
          <w:b/>
          <w:bCs/>
          <w:sz w:val="24"/>
          <w:szCs w:val="24"/>
        </w:rPr>
        <w:t xml:space="preserve">136.</w:t>
      </w:r>
      <w:r>
        <w:rPr>
          <w:rFonts w:ascii="Barlow Semi Condensed" w:cs="Barlow Semi Condensed" w:eastAsia="Barlow Semi Condensed" w:hAnsi="Barlow Semi Condensed"/>
          <w:sz w:val="24"/>
          <w:szCs w:val="24"/>
        </w:rPr>
        <w:t xml:space="preserve"> Tarozzi Leonildo detto Leo Nardini — https://www.storiaememoriadibologna.it/archivio/persone/tarozzi-leonildo-dettoa-leo-nardini (https://www.storiaememoriadibologna.it/archivio/persone/tarozzi-leonildo-dettoa-leo-nardini)</w:t>
      </w:r>
    </w:p>
    <w:p>
      <w:pPr>
        <w:spacing w:after="120" w:line="276"/>
        <w:jc w:val="both"/>
      </w:pPr>
      <w:r>
        <w:rPr>
          <w:rFonts w:ascii="Barlow Semi Condensed" w:cs="Barlow Semi Condensed" w:eastAsia="Barlow Semi Condensed" w:hAnsi="Barlow Semi Condensed"/>
          <w:b/>
          <w:bCs/>
          <w:sz w:val="24"/>
          <w:szCs w:val="24"/>
        </w:rPr>
        <w:t xml:space="preserve">137.</w:t>
      </w:r>
      <w:r>
        <w:rPr>
          <w:rFonts w:ascii="Barlow Semi Condensed" w:cs="Barlow Semi Condensed" w:eastAsia="Barlow Semi Condensed" w:hAnsi="Barlow Semi Condensed"/>
          <w:sz w:val="24"/>
          <w:szCs w:val="24"/>
        </w:rPr>
        <w:t xml:space="preserve"> Testoni Francesco — https://www.storiaememoriadibologna.it/archivio/persone/testoni-francesco (https://www.storiaememoriadibologna.it/archivio/persone/testoni-francesco)</w:t>
      </w:r>
    </w:p>
    <w:p>
      <w:pPr>
        <w:spacing w:after="120" w:line="276"/>
        <w:jc w:val="both"/>
      </w:pPr>
      <w:r>
        <w:rPr>
          <w:rFonts w:ascii="Barlow Semi Condensed" w:cs="Barlow Semi Condensed" w:eastAsia="Barlow Semi Condensed" w:hAnsi="Barlow Semi Condensed"/>
          <w:b/>
          <w:bCs/>
          <w:sz w:val="24"/>
          <w:szCs w:val="24"/>
        </w:rPr>
        <w:t xml:space="preserve">138.</w:t>
      </w:r>
      <w:r>
        <w:rPr>
          <w:rFonts w:ascii="Barlow Semi Condensed" w:cs="Barlow Semi Condensed" w:eastAsia="Barlow Semi Condensed" w:hAnsi="Barlow Semi Condensed"/>
          <w:sz w:val="24"/>
          <w:szCs w:val="24"/>
        </w:rPr>
        <w:t xml:space="preserve"> Tirapani Mario — https://www.storiaememoriadibologna.it/archivio/persone/tirapani-mario (https://www.storiaememoriadibologna.it/archivio/persone/tirapani-mario)</w:t>
      </w:r>
    </w:p>
    <w:p>
      <w:pPr>
        <w:spacing w:after="120" w:line="276"/>
        <w:jc w:val="both"/>
      </w:pPr>
      <w:r>
        <w:rPr>
          <w:rFonts w:ascii="Barlow Semi Condensed" w:cs="Barlow Semi Condensed" w:eastAsia="Barlow Semi Condensed" w:hAnsi="Barlow Semi Condensed"/>
          <w:b/>
          <w:bCs/>
          <w:sz w:val="24"/>
          <w:szCs w:val="24"/>
        </w:rPr>
        <w:t xml:space="preserve">139.</w:t>
      </w:r>
      <w:r>
        <w:rPr>
          <w:rFonts w:ascii="Barlow Semi Condensed" w:cs="Barlow Semi Condensed" w:eastAsia="Barlow Semi Condensed" w:hAnsi="Barlow Semi Condensed"/>
          <w:sz w:val="24"/>
          <w:szCs w:val="24"/>
        </w:rPr>
        <w:t xml:space="preserve"> Nannetti Nerio detto Sergio — https://www.storiaememoriadibologna.it/archivio/persone/nannetti-nerio-dettoa-sergio (https://www.storiaememoriadibologna.it/archivio/persone/nannetti-nerio-dettoa-sergio)</w:t>
      </w:r>
    </w:p>
    <w:p>
      <w:pPr>
        <w:spacing w:after="120" w:line="276"/>
        <w:jc w:val="both"/>
      </w:pPr>
      <w:r>
        <w:rPr>
          <w:rFonts w:ascii="Barlow Semi Condensed" w:cs="Barlow Semi Condensed" w:eastAsia="Barlow Semi Condensed" w:hAnsi="Barlow Semi Condensed"/>
          <w:b/>
          <w:bCs/>
          <w:sz w:val="24"/>
          <w:szCs w:val="24"/>
        </w:rPr>
        <w:t xml:space="preserve">140.</w:t>
      </w:r>
      <w:r>
        <w:rPr>
          <w:rFonts w:ascii="Barlow Semi Condensed" w:cs="Barlow Semi Condensed" w:eastAsia="Barlow Semi Condensed" w:hAnsi="Barlow Semi Condensed"/>
          <w:sz w:val="24"/>
          <w:szCs w:val="24"/>
        </w:rPr>
        <w:t xml:space="preserve"> Martelli Dino — https://www.storiaememoriadibologna.it/archivio/persone/martelli-dino (https://www.storiaememoriadibologna.it/archivio/persone/martelli-dino)</w:t>
      </w:r>
    </w:p>
    <w:p>
      <w:pPr>
        <w:spacing w:after="120" w:line="276"/>
        <w:jc w:val="both"/>
      </w:pPr>
      <w:r>
        <w:rPr>
          <w:rFonts w:ascii="Barlow Semi Condensed" w:cs="Barlow Semi Condensed" w:eastAsia="Barlow Semi Condensed" w:hAnsi="Barlow Semi Condensed"/>
          <w:b/>
          <w:bCs/>
          <w:sz w:val="24"/>
          <w:szCs w:val="24"/>
        </w:rPr>
        <w:t xml:space="preserve">141.</w:t>
      </w:r>
      <w:r>
        <w:rPr>
          <w:rFonts w:ascii="Barlow Semi Condensed" w:cs="Barlow Semi Condensed" w:eastAsia="Barlow Semi Condensed" w:hAnsi="Barlow Semi Condensed"/>
          <w:sz w:val="24"/>
          <w:szCs w:val="24"/>
        </w:rPr>
        <w:t xml:space="preserve"> Minghetti Erminio — https://storiaememoriadibologna.it/archivio/persone/minghetti-erminio (https://storiaememoriadibologna.it/archivio/persone/minghetti-erminio)</w:t>
      </w:r>
    </w:p>
    <w:p>
      <w:pPr>
        <w:spacing w:after="120" w:line="276"/>
        <w:jc w:val="both"/>
      </w:pPr>
      <w:r>
        <w:rPr>
          <w:rFonts w:ascii="Barlow Semi Condensed" w:cs="Barlow Semi Condensed" w:eastAsia="Barlow Semi Condensed" w:hAnsi="Barlow Semi Condensed"/>
          <w:b/>
          <w:bCs/>
          <w:sz w:val="24"/>
          <w:szCs w:val="24"/>
        </w:rPr>
        <w:t xml:space="preserve">142.</w:t>
      </w:r>
      <w:r>
        <w:rPr>
          <w:rFonts w:ascii="Barlow Semi Condensed" w:cs="Barlow Semi Condensed" w:eastAsia="Barlow Semi Condensed" w:hAnsi="Barlow Semi Condensed"/>
          <w:sz w:val="24"/>
          <w:szCs w:val="24"/>
        </w:rPr>
        <w:t xml:space="preserve"> Mondini Torquato detto Mario — https://www.storiaememoriadibologna.it/archivio/persone/mondini-torquato-detto-mario (https://www.storiaememoriadibologna.it/archivio/persone/mondini-torquato-detto-mario)</w:t>
      </w:r>
    </w:p>
    <w:p>
      <w:pPr>
        <w:spacing w:after="120" w:line="276"/>
        <w:jc w:val="both"/>
      </w:pPr>
      <w:r>
        <w:rPr>
          <w:rFonts w:ascii="Barlow Semi Condensed" w:cs="Barlow Semi Condensed" w:eastAsia="Barlow Semi Condensed" w:hAnsi="Barlow Semi Condensed"/>
          <w:b/>
          <w:bCs/>
          <w:sz w:val="24"/>
          <w:szCs w:val="24"/>
        </w:rPr>
        <w:t xml:space="preserve">143.</w:t>
      </w:r>
      <w:r>
        <w:rPr>
          <w:rFonts w:ascii="Barlow Semi Condensed" w:cs="Barlow Semi Condensed" w:eastAsia="Barlow Semi Condensed" w:hAnsi="Barlow Semi Condensed"/>
          <w:sz w:val="24"/>
          <w:szCs w:val="24"/>
        </w:rPr>
        <w:t xml:space="preserve"> Pancaldi Alfredo — https://www.storiaememoriadibologna.it/archivio/persone/pancaldi-alfredo (https://www.storiaememoriadibologna.it/archivio/persone/pancaldi-alfredo)</w:t>
      </w:r>
    </w:p>
    <w:p>
      <w:pPr>
        <w:spacing w:after="120" w:line="276"/>
        <w:jc w:val="both"/>
      </w:pPr>
      <w:r>
        <w:rPr>
          <w:rFonts w:ascii="Barlow Semi Condensed" w:cs="Barlow Semi Condensed" w:eastAsia="Barlow Semi Condensed" w:hAnsi="Barlow Semi Condensed"/>
          <w:b/>
          <w:bCs/>
          <w:sz w:val="24"/>
          <w:szCs w:val="24"/>
        </w:rPr>
        <w:t xml:space="preserve">144.</w:t>
      </w:r>
      <w:r>
        <w:rPr>
          <w:rFonts w:ascii="Barlow Semi Condensed" w:cs="Barlow Semi Condensed" w:eastAsia="Barlow Semi Condensed" w:hAnsi="Barlow Semi Condensed"/>
          <w:sz w:val="24"/>
          <w:szCs w:val="24"/>
        </w:rPr>
        <w:t xml:space="preserve"> Zanotti Gilberto detto Gil — https://www.storiaememoriadibologna.it/archivio/persone/zanotti-gilberto-dettoa-gil (https://www.storiaememoriadibologna.it/archivio/persone/zanotti-gilberto-dettoa-gil)</w:t>
      </w:r>
    </w:p>
    <w:p>
      <w:pPr>
        <w:spacing w:after="120" w:line="276"/>
        <w:jc w:val="both"/>
      </w:pPr>
      <w:r>
        <w:rPr>
          <w:rFonts w:ascii="Barlow Semi Condensed" w:cs="Barlow Semi Condensed" w:eastAsia="Barlow Semi Condensed" w:hAnsi="Barlow Semi Condensed"/>
          <w:b/>
          <w:bCs/>
          <w:sz w:val="24"/>
          <w:szCs w:val="24"/>
        </w:rPr>
        <w:t xml:space="preserve">145.</w:t>
      </w:r>
      <w:r>
        <w:rPr>
          <w:rFonts w:ascii="Barlow Semi Condensed" w:cs="Barlow Semi Condensed" w:eastAsia="Barlow Semi Condensed" w:hAnsi="Barlow Semi Condensed"/>
          <w:sz w:val="24"/>
          <w:szCs w:val="24"/>
        </w:rPr>
        <w:t xml:space="preserve"> Bastia Noè — https://www.storiaememoriadibologna.it/archivio/luoghi/granarolo-dellemilia-bo-1 (https://www.storiaememoriadibologna.it/archivio/luoghi/granarolo-dellemilia-bo-1)</w:t>
      </w:r>
    </w:p>
    <w:p>
      <w:pPr>
        <w:spacing w:after="120" w:line="276"/>
        <w:jc w:val="both"/>
      </w:pPr>
      <w:r>
        <w:rPr>
          <w:rFonts w:ascii="Barlow Semi Condensed" w:cs="Barlow Semi Condensed" w:eastAsia="Barlow Semi Condensed" w:hAnsi="Barlow Semi Condensed"/>
          <w:b/>
          <w:bCs/>
          <w:sz w:val="24"/>
          <w:szCs w:val="24"/>
        </w:rPr>
        <w:t xml:space="preserve">146.</w:t>
      </w:r>
      <w:r>
        <w:rPr>
          <w:rFonts w:ascii="Barlow Semi Condensed" w:cs="Barlow Semi Condensed" w:eastAsia="Barlow Semi Condensed" w:hAnsi="Barlow Semi Condensed"/>
          <w:sz w:val="24"/>
          <w:szCs w:val="24"/>
        </w:rPr>
        <w:t xml:space="preserve"> Betti Paolo — https://www.storiaememoriadibologna.it/archivio/persone/betti-paolo (https://www.storiaememoriadibologna.it/archivio/persone/betti-paolo)</w:t>
      </w:r>
    </w:p>
    <w:p>
      <w:pPr>
        <w:spacing w:after="120" w:line="276"/>
        <w:jc w:val="both"/>
      </w:pPr>
      <w:r>
        <w:rPr>
          <w:rFonts w:ascii="Barlow Semi Condensed" w:cs="Barlow Semi Condensed" w:eastAsia="Barlow Semi Condensed" w:hAnsi="Barlow Semi Condensed"/>
          <w:b/>
          <w:bCs/>
          <w:sz w:val="24"/>
          <w:szCs w:val="24"/>
        </w:rPr>
        <w:t xml:space="preserve">147.</w:t>
      </w:r>
      <w:r>
        <w:rPr>
          <w:rFonts w:ascii="Barlow Semi Condensed" w:cs="Barlow Semi Condensed" w:eastAsia="Barlow Semi Condensed" w:hAnsi="Barlow Semi Condensed"/>
          <w:sz w:val="24"/>
          <w:szCs w:val="24"/>
        </w:rPr>
        <w:t xml:space="preserve"> Ferroni Alberto — https://www.storiaememoriadibologna.it/archivio/persone/ferroni-alberto (https://www.storiaememoriadibologna.it/archivio/persone/ferroni-alberto)</w:t>
      </w:r>
    </w:p>
    <w:p>
      <w:pPr>
        <w:spacing w:after="120" w:line="276"/>
        <w:jc w:val="both"/>
      </w:pPr>
      <w:r>
        <w:rPr>
          <w:rFonts w:ascii="Barlow Semi Condensed" w:cs="Barlow Semi Condensed" w:eastAsia="Barlow Semi Condensed" w:hAnsi="Barlow Semi Condensed"/>
          <w:b/>
          <w:bCs/>
          <w:sz w:val="24"/>
          <w:szCs w:val="24"/>
        </w:rPr>
        <w:t xml:space="preserve">148.</w:t>
      </w:r>
      <w:r>
        <w:rPr>
          <w:rFonts w:ascii="Barlow Semi Condensed" w:cs="Barlow Semi Condensed" w:eastAsia="Barlow Semi Condensed" w:hAnsi="Barlow Semi Condensed"/>
          <w:sz w:val="24"/>
          <w:szCs w:val="24"/>
        </w:rPr>
        <w:t xml:space="preserve"> Guerra Ivo — https://www.storiaememoriadibologna.it/archivio/persone/guerra-ivo (https://www.storiaememoriadibologna.it/archivio/persone/guerra-ivo)</w:t>
      </w:r>
    </w:p>
    <w:p>
      <w:pPr>
        <w:spacing w:after="120" w:line="276"/>
        <w:jc w:val="both"/>
      </w:pPr>
      <w:r>
        <w:rPr>
          <w:rFonts w:ascii="Barlow Semi Condensed" w:cs="Barlow Semi Condensed" w:eastAsia="Barlow Semi Condensed" w:hAnsi="Barlow Semi Condensed"/>
          <w:b/>
          <w:bCs/>
          <w:sz w:val="24"/>
          <w:szCs w:val="24"/>
        </w:rPr>
        <w:t xml:space="preserve">149.</w:t>
      </w:r>
      <w:r>
        <w:rPr>
          <w:rFonts w:ascii="Barlow Semi Condensed" w:cs="Barlow Semi Condensed" w:eastAsia="Barlow Semi Condensed" w:hAnsi="Barlow Semi Condensed"/>
          <w:sz w:val="24"/>
          <w:szCs w:val="24"/>
        </w:rPr>
        <w:t xml:space="preserve"> Lelli Giuseppe — https://www.storiaememoriadibologna.it/archivio/persone/lelli-giuseppe-4 (https://www.storiaememoriadibologna.it/archivio/persone/lelli-giuseppe-4)</w:t>
      </w:r>
    </w:p>
    <w:p>
      <w:pPr>
        <w:spacing w:after="120" w:line="276"/>
        <w:jc w:val="both"/>
      </w:pPr>
      <w:r>
        <w:rPr>
          <w:rFonts w:ascii="Barlow Semi Condensed" w:cs="Barlow Semi Condensed" w:eastAsia="Barlow Semi Condensed" w:hAnsi="Barlow Semi Condensed"/>
          <w:b/>
          <w:bCs/>
          <w:sz w:val="24"/>
          <w:szCs w:val="24"/>
        </w:rPr>
        <w:t xml:space="preserve">150.</w:t>
      </w:r>
      <w:r>
        <w:rPr>
          <w:rFonts w:ascii="Barlow Semi Condensed" w:cs="Barlow Semi Condensed" w:eastAsia="Barlow Semi Condensed" w:hAnsi="Barlow Semi Condensed"/>
          <w:sz w:val="24"/>
          <w:szCs w:val="24"/>
        </w:rPr>
        <w:t xml:space="preserve"> Serenari Marino — https://www.storiaememoriadibologna.it/archivio/persone/serenari-marino-0 (https://www.storiaememoriadibologna.it/archivio/persone/serenari-marino-0)</w:t>
      </w:r>
    </w:p>
    <w:p>
      <w:pPr>
        <w:spacing w:after="120" w:line="276"/>
        <w:jc w:val="both"/>
      </w:pPr>
      <w:r>
        <w:rPr>
          <w:rFonts w:ascii="Barlow Semi Condensed" w:cs="Barlow Semi Condensed" w:eastAsia="Barlow Semi Condensed" w:hAnsi="Barlow Semi Condensed"/>
          <w:b/>
          <w:bCs/>
          <w:sz w:val="24"/>
          <w:szCs w:val="24"/>
        </w:rPr>
        <w:t xml:space="preserve">151.</w:t>
      </w:r>
      <w:r>
        <w:rPr>
          <w:rFonts w:ascii="Barlow Semi Condensed" w:cs="Barlow Semi Condensed" w:eastAsia="Barlow Semi Condensed" w:hAnsi="Barlow Semi Condensed"/>
          <w:sz w:val="24"/>
          <w:szCs w:val="24"/>
        </w:rPr>
        <w:t xml:space="preserve"> Trombetti Bruno detto Sergio — https://www.storiaememoriadibologna.it/archivio/persone/trombetti-bruno-dettoa-sergio (https://www.storiaememoriadibologna.it/archivio/persone/trombetti-bruno-dettoa-sergio)</w:t>
      </w:r>
    </w:p>
    <w:p>
      <w:pPr>
        <w:spacing w:after="120" w:line="276"/>
        <w:jc w:val="both"/>
      </w:pPr>
      <w:r>
        <w:rPr>
          <w:rFonts w:ascii="Barlow Semi Condensed" w:cs="Barlow Semi Condensed" w:eastAsia="Barlow Semi Condensed" w:hAnsi="Barlow Semi Condensed"/>
          <w:b/>
          <w:bCs/>
          <w:sz w:val="24"/>
          <w:szCs w:val="24"/>
        </w:rPr>
        <w:t xml:space="preserve">152.</w:t>
      </w:r>
      <w:r>
        <w:rPr>
          <w:rFonts w:ascii="Barlow Semi Condensed" w:cs="Barlow Semi Condensed" w:eastAsia="Barlow Semi Condensed" w:hAnsi="Barlow Semi Condensed"/>
          <w:sz w:val="24"/>
          <w:szCs w:val="24"/>
        </w:rPr>
        <w:t xml:space="preserve"> Trombetti Gustavo detto Sergio, Mattia — https://www.storiaememoriadibologna.it/archivio/persone/trombetti-gustavo-dettoa-sergio-mattia (https://www.storiaememoriadibologna.it/archivio/persone/trombetti-gustavo-dettoa-sergio-mattia)</w:t>
      </w:r>
    </w:p>
    <w:p>
      <w:pPr>
        <w:spacing w:after="120" w:line="276"/>
        <w:jc w:val="both"/>
      </w:pPr>
      <w:r>
        <w:rPr>
          <w:rFonts w:ascii="Barlow Semi Condensed" w:cs="Barlow Semi Condensed" w:eastAsia="Barlow Semi Condensed" w:hAnsi="Barlow Semi Condensed"/>
          <w:b/>
          <w:bCs/>
          <w:sz w:val="24"/>
          <w:szCs w:val="24"/>
        </w:rPr>
        <w:t xml:space="preserve">153.</w:t>
      </w:r>
      <w:r>
        <w:rPr>
          <w:rFonts w:ascii="Barlow Semi Condensed" w:cs="Barlow Semi Condensed" w:eastAsia="Barlow Semi Condensed" w:hAnsi="Barlow Semi Condensed"/>
          <w:sz w:val="24"/>
          <w:szCs w:val="24"/>
        </w:rPr>
        <w:t xml:space="preserve"> Golinelli Lidia detto Vienna — https://storiaememoriadibologna.it/golinelli-lidia-520035-persona (https://storiaememoriadibologna.it/golinelli-lidia-520035-persona)</w:t>
      </w:r>
    </w:p>
    <w:p>
      <w:pPr>
        <w:spacing w:after="120" w:line="276"/>
        <w:jc w:val="both"/>
      </w:pPr>
      <w:r>
        <w:rPr>
          <w:rFonts w:ascii="Barlow Semi Condensed" w:cs="Barlow Semi Condensed" w:eastAsia="Barlow Semi Condensed" w:hAnsi="Barlow Semi Condensed"/>
          <w:b/>
          <w:bCs/>
          <w:sz w:val="24"/>
          <w:szCs w:val="24"/>
        </w:rPr>
        <w:t xml:space="preserve">154.</w:t>
      </w:r>
      <w:r>
        <w:rPr>
          <w:rFonts w:ascii="Barlow Semi Condensed" w:cs="Barlow Semi Condensed" w:eastAsia="Barlow Semi Condensed" w:hAnsi="Barlow Semi Condensed"/>
          <w:sz w:val="24"/>
          <w:szCs w:val="24"/>
        </w:rPr>
        <w:t xml:space="preserve"> Tossani Michele — https://www.storiaememoriadibologna.it/archivio/persone/tossani-michele (https://www.storiaememoriadibologna.it/archivio/persone/tossani-michele)</w:t>
      </w:r>
    </w:p>
    <w:p>
      <w:pPr>
        <w:spacing w:after="120" w:line="276"/>
        <w:jc w:val="both"/>
      </w:pPr>
      <w:r>
        <w:rPr>
          <w:rFonts w:ascii="Barlow Semi Condensed" w:cs="Barlow Semi Condensed" w:eastAsia="Barlow Semi Condensed" w:hAnsi="Barlow Semi Condensed"/>
          <w:b/>
          <w:bCs/>
          <w:sz w:val="24"/>
          <w:szCs w:val="24"/>
        </w:rPr>
        <w:t xml:space="preserve">155.</w:t>
      </w:r>
      <w:r>
        <w:rPr>
          <w:rFonts w:ascii="Barlow Semi Condensed" w:cs="Barlow Semi Condensed" w:eastAsia="Barlow Semi Condensed" w:hAnsi="Barlow Semi Condensed"/>
          <w:sz w:val="24"/>
          <w:szCs w:val="24"/>
        </w:rPr>
        <w:t xml:space="preserve"> Amnistia (scheda) – Storia e Memoria di Bologna — https://www.storiaememoriadibologna.it/amnistia-25-persecuzione (https://www.storiaememoriadibologna.it/amnistia-25-persecuzione)</w:t>
      </w:r>
    </w:p>
    <w:p>
      <w:pPr>
        <w:spacing w:after="120" w:line="276"/>
        <w:jc w:val="both"/>
      </w:pPr>
      <w:r>
        <w:rPr>
          <w:rFonts w:ascii="Barlow Semi Condensed" w:cs="Barlow Semi Condensed" w:eastAsia="Barlow Semi Condensed" w:hAnsi="Barlow Semi Condensed"/>
          <w:b/>
          <w:bCs/>
          <w:sz w:val="24"/>
          <w:szCs w:val="24"/>
        </w:rPr>
        <w:t xml:space="preserve">156.</w:t>
      </w:r>
      <w:r>
        <w:rPr>
          <w:rFonts w:ascii="Barlow Semi Condensed" w:cs="Barlow Semi Condensed" w:eastAsia="Barlow Semi Condensed" w:hAnsi="Barlow Semi Condensed"/>
          <w:sz w:val="24"/>
          <w:szCs w:val="24"/>
        </w:rPr>
        <w:t xml:space="preserve"> Decennale fascista – Storia e Memoria di Bologna — https://www.storiaememoriadibologna.it/archivio/eventi/decennale-fascista (https://www.storiaememoriadibologna.it/archivio/eventi/decennale-fascista)</w:t>
      </w:r>
    </w:p>
    <w:p>
      <w:pPr>
        <w:pStyle w:val="Heading3"/>
        <w:spacing w:after="80" w:before="160"/>
      </w:pPr>
      <w:r>
        <w:rPr>
          <w:rFonts w:ascii="Barlow Semi Condensed" w:cs="Barlow Semi Condensed" w:eastAsia="Barlow Semi Condensed" w:hAnsi="Barlow Semi Condensed"/>
          <w:sz w:val="24"/>
          <w:szCs w:val="24"/>
        </w:rPr>
        <w:t xml:space="preserve">Libro settimo — Le questioni aperte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ottavo · I — Il presidio del garante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ottavo · II — Le metodologie calcolate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Il registro giudiziario</w:t>
      </w:r>
    </w:p>
    <w:p>
      <w:pPr>
        <w:spacing w:after="120" w:line="276"/>
        <w:jc w:val="both"/>
      </w:pPr>
      <w:r>
        <w:rPr>
          <w:rFonts w:ascii="Barlow Semi Condensed" w:cs="Barlow Semi Condensed" w:eastAsia="Barlow Semi Condensed" w:hAnsi="Barlow Semi Condensed"/>
          <w:b/>
          <w:bCs/>
          <w:sz w:val="24"/>
          <w:szCs w:val="24"/>
        </w:rPr>
        <w:t xml:space="preserve">157.</w:t>
      </w:r>
      <w:r>
        <w:rPr>
          <w:rFonts w:ascii="Barlow Semi Condensed" w:cs="Barlow Semi Condensed" w:eastAsia="Barlow Semi Condensed" w:hAnsi="Barlow Semi Condensed"/>
          <w:sz w:val="24"/>
          <w:szCs w:val="24"/>
        </w:rPr>
        <w:t xml:space="preserve"> Questione Giustizia, «Il caso Moro. Per un'analisi delle sentenze» — https://www.questionegiustizia.it/articolo/il-caso-moro-per-un-analisi-delle-sentenze-parte-prima (https://www.questionegiustizia.it/articolo/il-caso-moro-per-un-analisi-delle-sentenze-parte-prima)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158.</w:t>
      </w:r>
      <w:r>
        <w:rPr>
          <w:rFonts w:ascii="Barlow Semi Condensed" w:cs="Barlow Semi Condensed" w:eastAsia="Barlow Semi Condensed" w:hAnsi="Barlow Semi Condensed"/>
          <w:sz w:val="24"/>
          <w:szCs w:val="24"/>
        </w:rPr>
        <w:t xml:space="preserve"> Wikipedia, Caso Moro — https://it.wikipedia.org/wiki/Caso_Moro (https://it.wikipedia.org/wiki/Caso_Moro)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159.</w:t>
      </w:r>
      <w:r>
        <w:rPr>
          <w:rFonts w:ascii="Barlow Semi Condensed" w:cs="Barlow Semi Condensed" w:eastAsia="Barlow Semi Condensed" w:hAnsi="Barlow Semi Condensed"/>
          <w:sz w:val="24"/>
          <w:szCs w:val="24"/>
        </w:rPr>
        <w:t xml:space="preserve"> Archivio storico della Camera — https://archivio.camera.it/patrimonio/main-page/commissione-parlamentare-inchiesta-sul-rapimento-e-sulla-morte-aldo-moro-2014-2018 (https://archivio.camera.it/patrimonio/main-page/commissione-parlamentare-inchiesta-sul-rapimento-e-sulla-morte-aldo-moro-2014-2018)</w:t>
      </w:r>
    </w:p>
    <w:p>
      <w:pPr>
        <w:spacing w:after="120" w:line="276"/>
        <w:jc w:val="both"/>
      </w:pPr>
      <w:r>
        <w:rPr>
          <w:rFonts w:ascii="Barlow Semi Condensed" w:cs="Barlow Semi Condensed" w:eastAsia="Barlow Semi Condensed" w:hAnsi="Barlow Semi Condensed"/>
          <w:b/>
          <w:bCs/>
          <w:sz w:val="24"/>
          <w:szCs w:val="24"/>
        </w:rPr>
        <w:t xml:space="preserve">160.</w:t>
      </w:r>
      <w:r>
        <w:rPr>
          <w:rFonts w:ascii="Barlow Semi Condensed" w:cs="Barlow Semi Condensed" w:eastAsia="Barlow Semi Condensed" w:hAnsi="Barlow Semi Condensed"/>
          <w:sz w:val="24"/>
          <w:szCs w:val="24"/>
        </w:rPr>
        <w:t xml:space="preserve"> inchieste.camera.it/moro — https://inchieste.camera.it/moro/home.html?leg=17&amp;legLabel=XVII+legislatura (https://inchieste.camera.it/moro/home.html?leg=17&amp;legLabel=XVII+legislatura)</w:t>
      </w:r>
    </w:p>
    <w:p>
      <w:pPr>
        <w:spacing w:after="120" w:line="276"/>
        <w:jc w:val="both"/>
      </w:pPr>
      <w:r>
        <w:rPr>
          <w:rFonts w:ascii="Barlow Semi Condensed" w:cs="Barlow Semi Condensed" w:eastAsia="Barlow Semi Condensed" w:hAnsi="Barlow Semi Condensed"/>
          <w:b/>
          <w:bCs/>
          <w:sz w:val="24"/>
          <w:szCs w:val="24"/>
        </w:rPr>
        <w:t xml:space="preserve">161.</w:t>
      </w:r>
      <w:r>
        <w:rPr>
          <w:rFonts w:ascii="Barlow Semi Condensed" w:cs="Barlow Semi Condensed" w:eastAsia="Barlow Semi Condensed" w:hAnsi="Barlow Semi Condensed"/>
          <w:sz w:val="24"/>
          <w:szCs w:val="24"/>
        </w:rPr>
        <w:t xml:space="preserve"> Il Messaggero, «In via Fani due moto» — https://www.ilmessaggero.it/primo_piano/cronaca/caso_moro_commissione_via_fani_moto_indagini_sui_4_centauri-1401478.html (https://www.ilmessaggero.it/primo_piano/cronaca/caso_moro_commissione_via_fani_moto_indagini_sui_4_centauri-1401478.html)</w:t>
      </w:r>
    </w:p>
    <w:p>
      <w:pPr>
        <w:spacing w:after="120" w:line="276"/>
        <w:jc w:val="both"/>
      </w:pPr>
      <w:r>
        <w:rPr>
          <w:rFonts w:ascii="Barlow Semi Condensed" w:cs="Barlow Semi Condensed" w:eastAsia="Barlow Semi Condensed" w:hAnsi="Barlow Semi Condensed"/>
          <w:b/>
          <w:bCs/>
          <w:sz w:val="24"/>
          <w:szCs w:val="24"/>
        </w:rPr>
        <w:t xml:space="preserve">162.</w:t>
      </w:r>
      <w:r>
        <w:rPr>
          <w:rFonts w:ascii="Barlow Semi Condensed" w:cs="Barlow Semi Condensed" w:eastAsia="Barlow Semi Condensed" w:hAnsi="Barlow Semi Condensed"/>
          <w:sz w:val="24"/>
          <w:szCs w:val="24"/>
        </w:rPr>
        <w:t xml:space="preserve"> relazione Moro 2, sintesi stampa — https://www.ilfattoquotidiano.it/2017/12/12/commissione-moro-cio-che-abbiamo-saputo-finora-e-una-verita-dicibile-servi-chiudere-la-stagione-del-terrorismo/4033574/ (https://www.ilfattoquotidiano.it/2017/12/12/commissione-moro-cio-che-abbiamo-saputo-finora-e-una-verita-dicibile-servi-chiudere-la-stagione-del-terrorismo/4033574/)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163.</w:t>
      </w:r>
      <w:r>
        <w:rPr>
          <w:rFonts w:ascii="Barlow Semi Condensed" w:cs="Barlow Semi Condensed" w:eastAsia="Barlow Semi Condensed" w:hAnsi="Barlow Semi Condensed"/>
          <w:sz w:val="24"/>
          <w:szCs w:val="24"/>
        </w:rPr>
        <w:t xml:space="preserve"> sintesi critica sulla relazione — https://ristretti.org/index.php?option=com_content&amp;view=article&amp;id=84929 (https://ristretti.org/index.php?option=com_content&amp;view=article&amp;id=84929)</w:t>
      </w:r>
    </w:p>
    <w:p>
      <w:pPr>
        <w:pStyle w:val="Heading3"/>
        <w:spacing w:after="80" w:before="160"/>
      </w:pPr>
      <w:r>
        <w:rPr>
          <w:rFonts w:ascii="Barlow Semi Condensed" w:cs="Barlow Semi Condensed" w:eastAsia="Barlow Semi Condensed" w:hAnsi="Barlow Semi Condensed"/>
          <w:sz w:val="24"/>
          <w:szCs w:val="24"/>
        </w:rPr>
        <w:t xml:space="preserve">Libro nono · II — Appendice quinta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III — Appendice sesta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IV — Appendice settima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V — Appendice ottava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VI — Appendice nona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VII — Appendice decima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VIII — Appendice undicesima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IX — Appendice dodicesima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X — Appendice tredicesima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XI — Appendice quattordicesima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nono · XII — Appendice quindicesima alla Fase settima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decimo — Il repertorio del caso</w:t>
      </w:r>
    </w:p>
    <w:p>
      <w:pPr>
        <w:spacing w:after="120" w:line="276"/>
        <w:jc w:val="both"/>
      </w:pPr>
      <w:r>
        <w:rPr>
          <w:rFonts w:ascii="Barlow Semi Condensed" w:cs="Barlow Semi Condensed" w:eastAsia="Barlow Semi Condensed" w:hAnsi="Barlow Semi Condensed"/>
          <w:b/>
          <w:bCs/>
          <w:sz w:val="24"/>
          <w:szCs w:val="24"/>
        </w:rPr>
        <w:t xml:space="preserve">164.</w:t>
      </w:r>
      <w:r>
        <w:rPr>
          <w:rFonts w:ascii="Barlow Semi Condensed" w:cs="Barlow Semi Condensed" w:eastAsia="Barlow Semi Condensed" w:hAnsi="Barlow Semi Condensed"/>
          <w:sz w:val="24"/>
          <w:szCs w:val="24"/>
        </w:rPr>
        <w:t xml:space="preserve"> Ministero dell'Interno — https://www.interno.gov.it/it/notizie/16-marzo-1978-rapimento-aldo-moro-e-lassassinio-dei-cinque-uomini-sua-scorta (https://www.interno.gov.it/it/notizie/16-marzo-1978-rapimento-aldo-moro-e-lassassinio-dei-cinque-uomini-sua-scorta)</w:t>
      </w:r>
    </w:p>
    <w:p>
      <w:pPr>
        <w:pStyle w:val="Heading3"/>
        <w:spacing w:after="80" w:before="160"/>
      </w:pPr>
      <w:r>
        <w:rPr>
          <w:rFonts w:ascii="Barlow Semi Condensed" w:cs="Barlow Semi Condensed" w:eastAsia="Barlow Semi Condensed" w:hAnsi="Barlow Semi Condensed"/>
          <w:sz w:val="24"/>
          <w:szCs w:val="24"/>
        </w:rPr>
        <w:t xml:space="preserve">Libro undicesimo · I — Il principio personalistico</w:t>
      </w:r>
    </w:p>
    <w:p>
      <w:pPr>
        <w:spacing w:after="120" w:line="276"/>
        <w:jc w:val="both"/>
      </w:pPr>
      <w:r>
        <w:rPr>
          <w:rFonts w:ascii="Barlow Semi Condensed" w:cs="Barlow Semi Condensed" w:eastAsia="Barlow Semi Condensed" w:hAnsi="Barlow Semi Condensed"/>
          <w:b/>
          <w:bCs/>
          <w:sz w:val="24"/>
          <w:szCs w:val="24"/>
        </w:rPr>
        <w:t xml:space="preserve">165.</w:t>
      </w:r>
      <w:r>
        <w:rPr>
          <w:rFonts w:ascii="Barlow Semi Condensed" w:cs="Barlow Semi Condensed" w:eastAsia="Barlow Semi Condensed" w:hAnsi="Barlow Semi Condensed"/>
          <w:sz w:val="24"/>
          <w:szCs w:val="24"/>
        </w:rPr>
        <w:t xml:space="preserve"> Tesionline, cronologia della sentenza — https://www.tesionline.it/news/cronologia.jsp?evid=2878 (https://www.tesionline.it/news/cronologia.jsp?evid=2878)</w:t>
      </w:r>
    </w:p>
    <w:p>
      <w:pPr>
        <w:spacing w:after="120" w:line="276"/>
        <w:jc w:val="both"/>
      </w:pPr>
      <w:r>
        <w:rPr>
          <w:rFonts w:ascii="Barlow Semi Condensed" w:cs="Barlow Semi Condensed" w:eastAsia="Barlow Semi Condensed" w:hAnsi="Barlow Semi Condensed"/>
          <w:b/>
          <w:bCs/>
          <w:sz w:val="24"/>
          <w:szCs w:val="24"/>
        </w:rPr>
        <w:t xml:space="preserve">166.</w:t>
      </w:r>
      <w:r>
        <w:rPr>
          <w:rFonts w:ascii="Barlow Semi Condensed" w:cs="Barlow Semi Condensed" w:eastAsia="Barlow Semi Condensed" w:hAnsi="Barlow Semi Condensed"/>
          <w:sz w:val="24"/>
          <w:szCs w:val="24"/>
        </w:rPr>
        <w:t xml:space="preserve"> Il Sole 24 Ore, «Quattro processi per la verità giudiziaria» — https://st.ilsole24ore.com/art/SoleOnLine4/Italia/2008/03/Caso-Moro-quattro-processi_PRN.shtml (https://st.ilsole24ore.com/art/SoleOnLine4/Italia/2008/03/Caso-Moro-quattro-processi_PRN.shtml)</w:t>
      </w:r>
    </w:p>
    <w:p>
      <w:pPr>
        <w:spacing w:after="120" w:line="276"/>
        <w:jc w:val="both"/>
      </w:pPr>
      <w:r>
        <w:rPr>
          <w:rFonts w:ascii="Barlow Semi Condensed" w:cs="Barlow Semi Condensed" w:eastAsia="Barlow Semi Condensed" w:hAnsi="Barlow Semi Condensed"/>
          <w:b/>
          <w:bCs/>
          <w:sz w:val="24"/>
          <w:szCs w:val="24"/>
        </w:rPr>
        <w:t xml:space="preserve">167.</w:t>
      </w:r>
      <w:r>
        <w:rPr>
          <w:rFonts w:ascii="Barlow Semi Condensed" w:cs="Barlow Semi Condensed" w:eastAsia="Barlow Semi Condensed" w:hAnsi="Barlow Semi Condensed"/>
          <w:sz w:val="24"/>
          <w:szCs w:val="24"/>
        </w:rPr>
        <w:t xml:space="preserve"> Avvenire — https://www.avvenire.it/politica/la-morte-di-anna-laura-braghetti-carceriera-di-moro-e-assassina-di-bachelet (https://www.avvenire.it/politica/la-morte-di-anna-laura-braghetti-carceriera-di-moro-e-assassina-di-bachelet)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168.</w:t>
      </w:r>
      <w:r>
        <w:rPr>
          <w:rFonts w:ascii="Barlow Semi Condensed" w:cs="Barlow Semi Condensed" w:eastAsia="Barlow Semi Condensed" w:hAnsi="Barlow Semi Condensed"/>
          <w:sz w:val="24"/>
          <w:szCs w:val="24"/>
        </w:rPr>
        <w:t xml:space="preserve"> Il Post — https://www.ilpost.it/2025/11/06/morta-anna-laura-braghetti-brigate-rosse/ (https://www.ilpost.it/2025/11/06/morta-anna-laura-braghetti-brigate-rosse/)</w:t>
      </w:r>
    </w:p>
    <w:p>
      <w:pPr>
        <w:spacing w:after="120" w:line="276"/>
        <w:jc w:val="both"/>
      </w:pPr>
      <w:r>
        <w:rPr>
          <w:rFonts w:ascii="Barlow Semi Condensed" w:cs="Barlow Semi Condensed" w:eastAsia="Barlow Semi Condensed" w:hAnsi="Barlow Semi Condensed"/>
          <w:b/>
          <w:bCs/>
          <w:sz w:val="24"/>
          <w:szCs w:val="24"/>
        </w:rPr>
        <w:t xml:space="preserve">169.</w:t>
      </w:r>
      <w:r>
        <w:rPr>
          <w:rFonts w:ascii="Barlow Semi Condensed" w:cs="Barlow Semi Condensed" w:eastAsia="Barlow Semi Condensed" w:hAnsi="Barlow Semi Condensed"/>
          <w:sz w:val="24"/>
          <w:szCs w:val="24"/>
        </w:rPr>
        <w:t xml:space="preserve"> Wikipedia — https://it.wikipedia.org/wiki/Alessio_Casimirri (https://it.wikipedia.org/wiki/Alessio_Casimirri)</w:t>
      </w:r>
    </w:p>
    <w:p>
      <w:pPr>
        <w:spacing w:after="120" w:line="276"/>
        <w:jc w:val="both"/>
      </w:pPr>
      <w:r>
        <w:rPr>
          <w:rFonts w:ascii="Barlow Semi Condensed" w:cs="Barlow Semi Condensed" w:eastAsia="Barlow Semi Condensed" w:hAnsi="Barlow Semi Condensed"/>
          <w:b/>
          <w:bCs/>
          <w:sz w:val="24"/>
          <w:szCs w:val="24"/>
        </w:rPr>
        <w:t xml:space="preserve">170.</w:t>
      </w:r>
      <w:r>
        <w:rPr>
          <w:rFonts w:ascii="Barlow Semi Condensed" w:cs="Barlow Semi Condensed" w:eastAsia="Barlow Semi Condensed" w:hAnsi="Barlow Semi Condensed"/>
          <w:sz w:val="24"/>
          <w:szCs w:val="24"/>
        </w:rPr>
        <w:t xml:space="preserve"> Questione Giustizia, parte seconda — https://www.questionegiustizia.it/articolo/il-caso-moro-per-un-analisi-delle-sentenze-parte-seconda (https://www.questionegiustizia.it/articolo/il-caso-moro-per-un-analisi-delle-sentenze-parte-seconda)</w:t>
      </w:r>
    </w:p>
    <w:p>
      <w:pPr>
        <w:spacing w:after="120" w:line="276"/>
        <w:jc w:val="both"/>
      </w:pPr>
      <w:r>
        <w:rPr>
          <w:rFonts w:ascii="Barlow Semi Condensed" w:cs="Barlow Semi Condensed" w:eastAsia="Barlow Semi Condensed" w:hAnsi="Barlow Semi Condensed"/>
          <w:b/>
          <w:bCs/>
          <w:sz w:val="24"/>
          <w:szCs w:val="24"/>
        </w:rPr>
        <w:t xml:space="preserve">171.</w:t>
      </w:r>
      <w:r>
        <w:rPr>
          <w:rFonts w:ascii="Barlow Semi Condensed" w:cs="Barlow Semi Condensed" w:eastAsia="Barlow Semi Condensed" w:hAnsi="Barlow Semi Condensed"/>
          <w:sz w:val="24"/>
          <w:szCs w:val="24"/>
        </w:rPr>
        <w:t xml:space="preserve"> Wikipedia — https://it.wikipedia.org/wiki/Rita_Algranati (https://it.wikipedia.org/wiki/Rita_Algranati)</w:t>
      </w:r>
    </w:p>
    <w:p>
      <w:pPr>
        <w:pStyle w:val="Heading3"/>
        <w:spacing w:after="80" w:before="160"/>
      </w:pPr>
      <w:r>
        <w:rPr>
          <w:rFonts w:ascii="Barlow Semi Condensed" w:cs="Barlow Semi Condensed" w:eastAsia="Barlow Semi Condensed" w:hAnsi="Barlow Semi Condensed"/>
          <w:sz w:val="24"/>
          <w:szCs w:val="24"/>
        </w:rPr>
        <w:t xml:space="preserve">Libro undicesimo · II — La prosopografia dei tredici</w:t>
      </w:r>
    </w:p>
    <w:p>
      <w:pPr>
        <w:spacing w:after="120" w:line="276"/>
        <w:jc w:val="both"/>
      </w:pPr>
      <w:r>
        <w:rPr>
          <w:rFonts w:ascii="Barlow Semi Condensed" w:cs="Barlow Semi Condensed" w:eastAsia="Barlow Semi Condensed" w:hAnsi="Barlow Semi Condensed"/>
          <w:b/>
          <w:bCs/>
          <w:sz w:val="24"/>
          <w:szCs w:val="24"/>
        </w:rPr>
        <w:t xml:space="preserve">172.</w:t>
      </w:r>
      <w:r>
        <w:rPr>
          <w:rFonts w:ascii="Barlow Semi Condensed" w:cs="Barlow Semi Condensed" w:eastAsia="Barlow Semi Condensed" w:hAnsi="Barlow Semi Condensed"/>
          <w:sz w:val="24"/>
          <w:szCs w:val="24"/>
        </w:rPr>
        <w:t xml:space="preserve"> Cinquantamila.it, biografia di Moretti — https://www.cinquantamila.it/storyTellerArticolo.php?storyId=5b8fafffca5e4 (https://www.cinquantamila.it/storyTellerArticolo.php?storyId=5b8fafffca5e4)</w:t>
      </w:r>
    </w:p>
    <w:p>
      <w:pPr>
        <w:spacing w:after="120" w:line="276"/>
        <w:jc w:val="both"/>
      </w:pPr>
      <w:r>
        <w:rPr>
          <w:rFonts w:ascii="Barlow Semi Condensed" w:cs="Barlow Semi Condensed" w:eastAsia="Barlow Semi Condensed" w:hAnsi="Barlow Semi Condensed"/>
          <w:b/>
          <w:bCs/>
          <w:sz w:val="24"/>
          <w:szCs w:val="24"/>
        </w:rPr>
        <w:t xml:space="preserve">173.</w:t>
      </w:r>
      <w:r>
        <w:rPr>
          <w:rFonts w:ascii="Barlow Semi Condensed" w:cs="Barlow Semi Condensed" w:eastAsia="Barlow Semi Condensed" w:hAnsi="Barlow Semi Condensed"/>
          <w:sz w:val="24"/>
          <w:szCs w:val="24"/>
        </w:rPr>
        <w:t xml:space="preserve"> Wikipedia, Brigate Rosse — https://it.wikipedia.org/wiki/Brigate_Rosse (https://it.wikipedia.org/wiki/Brigate_Rosse)</w:t>
      </w:r>
    </w:p>
    <w:p>
      <w:pPr>
        <w:spacing w:after="120" w:line="276"/>
        <w:jc w:val="both"/>
      </w:pPr>
      <w:r>
        <w:rPr>
          <w:rFonts w:ascii="Barlow Semi Condensed" w:cs="Barlow Semi Condensed" w:eastAsia="Barlow Semi Condensed" w:hAnsi="Barlow Semi Condensed"/>
          <w:b/>
          <w:bCs/>
          <w:sz w:val="24"/>
          <w:szCs w:val="24"/>
        </w:rPr>
        <w:t xml:space="preserve">174.</w:t>
      </w:r>
      <w:r>
        <w:rPr>
          <w:rFonts w:ascii="Barlow Semi Condensed" w:cs="Barlow Semi Condensed" w:eastAsia="Barlow Semi Condensed" w:hAnsi="Barlow Semi Condensed"/>
          <w:sz w:val="24"/>
          <w:szCs w:val="24"/>
        </w:rPr>
        <w:t xml:space="preserve"> Wikipedia, Valerio Morucci — https://en.wikipedia.org/wiki/Valerio_Morucci (https://en.wikipedia.org/wiki/Valerio_Morucci)</w:t>
      </w:r>
    </w:p>
    <w:p>
      <w:pPr>
        <w:spacing w:after="120" w:line="276"/>
        <w:jc w:val="both"/>
      </w:pPr>
      <w:r>
        <w:rPr>
          <w:rFonts w:ascii="Barlow Semi Condensed" w:cs="Barlow Semi Condensed" w:eastAsia="Barlow Semi Condensed" w:hAnsi="Barlow Semi Condensed"/>
          <w:b/>
          <w:bCs/>
          <w:sz w:val="24"/>
          <w:szCs w:val="24"/>
        </w:rPr>
        <w:t xml:space="preserve">175.</w:t>
      </w:r>
      <w:r>
        <w:rPr>
          <w:rFonts w:ascii="Barlow Semi Condensed" w:cs="Barlow Semi Condensed" w:eastAsia="Barlow Semi Condensed" w:hAnsi="Barlow Semi Condensed"/>
          <w:sz w:val="24"/>
          <w:szCs w:val="24"/>
        </w:rPr>
        <w:t xml:space="preserve"> Wikipedia, Potere Operaio — https://en.wikipedia.org/wiki/Potere_Operaio (https://en.wikipedia.org/wiki/Potere_Operaio)</w:t>
      </w:r>
    </w:p>
    <w:p>
      <w:pPr>
        <w:spacing w:after="120" w:line="276"/>
        <w:jc w:val="both"/>
      </w:pPr>
      <w:r>
        <w:rPr>
          <w:rFonts w:ascii="Barlow Semi Condensed" w:cs="Barlow Semi Condensed" w:eastAsia="Barlow Semi Condensed" w:hAnsi="Barlow Semi Condensed"/>
          <w:b/>
          <w:bCs/>
          <w:sz w:val="24"/>
          <w:szCs w:val="24"/>
        </w:rPr>
        <w:t xml:space="preserve">176.</w:t>
      </w:r>
      <w:r>
        <w:rPr>
          <w:rFonts w:ascii="Barlow Semi Condensed" w:cs="Barlow Semi Condensed" w:eastAsia="Barlow Semi Condensed" w:hAnsi="Barlow Semi Condensed"/>
          <w:sz w:val="24"/>
          <w:szCs w:val="24"/>
        </w:rPr>
        <w:t xml:space="preserve"> Il Sussidiario, ricostruzione del canale — https://www.ilsussidiario.net/news/caso-moro-faranda-morucci-la-trattativa-e-la-crisi-del-partito-armato/2288455/ (https://www.ilsussidiario.net/news/caso-moro-faranda-morucci-la-trattativa-e-la-crisi-del-partito-armato/2288455/)</w:t>
      </w:r>
    </w:p>
    <w:p>
      <w:pPr>
        <w:spacing w:after="120" w:line="276"/>
        <w:jc w:val="both"/>
      </w:pPr>
      <w:r>
        <w:rPr>
          <w:rFonts w:ascii="Barlow Semi Condensed" w:cs="Barlow Semi Condensed" w:eastAsia="Barlow Semi Condensed" w:hAnsi="Barlow Semi Condensed"/>
          <w:b/>
          <w:bCs/>
          <w:sz w:val="24"/>
          <w:szCs w:val="24"/>
        </w:rPr>
        <w:t xml:space="preserve">177.</w:t>
      </w:r>
      <w:r>
        <w:rPr>
          <w:rFonts w:ascii="Barlow Semi Condensed" w:cs="Barlow Semi Condensed" w:eastAsia="Barlow Semi Condensed" w:hAnsi="Barlow Semi Condensed"/>
          <w:sz w:val="24"/>
          <w:szCs w:val="24"/>
        </w:rPr>
        <w:t xml:space="preserve"> Commissione Moro 2 — https://documenti.camera.it/leg17/resoconti/commissioni/stenografici/html/68/audiz2/audizione/2017/01/17/stenografico.0118.html (https://documenti.camera.it/leg17/resoconti/commissioni/stenografici/html/68/audiz2/audizione/2017/01/17/stenografico.0118.html)</w:t>
      </w:r>
    </w:p>
    <w:p>
      <w:pPr>
        <w:spacing w:after="120" w:line="276"/>
        <w:jc w:val="both"/>
      </w:pPr>
      <w:r>
        <w:rPr>
          <w:rFonts w:ascii="Barlow Semi Condensed" w:cs="Barlow Semi Condensed" w:eastAsia="Barlow Semi Condensed" w:hAnsi="Barlow Semi Condensed"/>
          <w:b/>
          <w:bCs/>
          <w:sz w:val="24"/>
          <w:szCs w:val="24"/>
        </w:rPr>
        <w:t xml:space="preserve">178.</w:t>
      </w:r>
      <w:r>
        <w:rPr>
          <w:rFonts w:ascii="Barlow Semi Condensed" w:cs="Barlow Semi Condensed" w:eastAsia="Barlow Semi Condensed" w:hAnsi="Barlow Semi Condensed"/>
          <w:sz w:val="24"/>
          <w:szCs w:val="24"/>
        </w:rPr>
        <w:t xml:space="preserve"> Riccardo Lestini, ricostruzione di via Monte Nevoso — http://www.riccardolestini.it/2018/05/55-giorni-40-anni-aldo-moro-una-morte-annunciata-13-via-monte-nevoso-prima-parte/ (http://www.riccardolestini.it/2018/05/55-giorni-40-anni-aldo-moro-una-morte-annunciata-13-via-monte-nevoso-prima-parte/)</w:t>
      </w:r>
    </w:p>
    <w:p>
      <w:pPr>
        <w:spacing w:after="120" w:line="276"/>
        <w:jc w:val="both"/>
      </w:pPr>
      <w:r>
        <w:rPr>
          <w:rFonts w:ascii="Barlow Semi Condensed" w:cs="Barlow Semi Condensed" w:eastAsia="Barlow Semi Condensed" w:hAnsi="Barlow Semi Condensed"/>
          <w:b/>
          <w:bCs/>
          <w:sz w:val="24"/>
          <w:szCs w:val="24"/>
        </w:rPr>
        <w:t xml:space="preserve">179.</w:t>
      </w:r>
      <w:r>
        <w:rPr>
          <w:rFonts w:ascii="Barlow Semi Condensed" w:cs="Barlow Semi Condensed" w:eastAsia="Barlow Semi Condensed" w:hAnsi="Barlow Semi Condensed"/>
          <w:sz w:val="24"/>
          <w:szCs w:val="24"/>
        </w:rPr>
        <w:t xml:space="preserve"> Gianni Barbacetto — https://www.giannibarbacetto.it/2018/03/27/br-in-via-fani-storia-breve-dei-delitti-e-delle-pene/ (https://www.giannibarbacetto.it/2018/03/27/br-in-via-fani-storia-breve-dei-delitti-e-delle-pene/)</w:t>
      </w:r>
    </w:p>
    <w:p>
      <w:pPr>
        <w:spacing w:after="120" w:line="276"/>
        <w:jc w:val="both"/>
      </w:pPr>
      <w:r>
        <w:rPr>
          <w:rFonts w:ascii="Barlow Semi Condensed" w:cs="Barlow Semi Condensed" w:eastAsia="Barlow Semi Condensed" w:hAnsi="Barlow Semi Condensed"/>
          <w:b/>
          <w:bCs/>
          <w:sz w:val="24"/>
          <w:szCs w:val="24"/>
        </w:rPr>
        <w:t xml:space="preserve">180.</w:t>
      </w:r>
      <w:r>
        <w:rPr>
          <w:rFonts w:ascii="Barlow Semi Condensed" w:cs="Barlow Semi Condensed" w:eastAsia="Barlow Semi Condensed" w:hAnsi="Barlow Semi Condensed"/>
          <w:sz w:val="24"/>
          <w:szCs w:val="24"/>
        </w:rPr>
        <w:t xml:space="preserve"> Roberto Bartali, Il nucleo storico delle BR — http://www.robertobartali.it/cap04.htm (http://www.robertobartali.it/cap04.htm)</w:t>
      </w:r>
    </w:p>
    <w:p>
      <w:pPr>
        <w:spacing w:after="120" w:line="276"/>
        <w:jc w:val="both"/>
      </w:pPr>
      <w:r>
        <w:rPr>
          <w:rFonts w:ascii="Barlow Semi Condensed" w:cs="Barlow Semi Condensed" w:eastAsia="Barlow Semi Condensed" w:hAnsi="Barlow Semi Condensed"/>
          <w:b/>
          <w:bCs/>
          <w:sz w:val="24"/>
          <w:szCs w:val="24"/>
        </w:rPr>
        <w:t xml:space="preserve">181.</w:t>
      </w:r>
      <w:r>
        <w:rPr>
          <w:rFonts w:ascii="Barlow Semi Condensed" w:cs="Barlow Semi Condensed" w:eastAsia="Barlow Semi Condensed" w:hAnsi="Barlow Semi Condensed"/>
          <w:sz w:val="24"/>
          <w:szCs w:val="24"/>
        </w:rPr>
        <w:t xml:space="preserve"> Il Crivello, Brigate Rosse a Reggio Emilia — http://www.ilcrivello.altervista.org/brigate_rosse_reggio_2010.htm (http://www.ilcrivello.altervista.org/brigate_rosse_reggio_2010.htm)</w:t>
      </w:r>
    </w:p>
    <w:p>
      <w:pPr>
        <w:spacing w:after="120" w:line="276"/>
        <w:jc w:val="both"/>
      </w:pPr>
      <w:r>
        <w:rPr>
          <w:rFonts w:ascii="Barlow Semi Condensed" w:cs="Barlow Semi Condensed" w:eastAsia="Barlow Semi Condensed" w:hAnsi="Barlow Semi Condensed"/>
          <w:b/>
          <w:bCs/>
          <w:sz w:val="24"/>
          <w:szCs w:val="24"/>
        </w:rPr>
        <w:t xml:space="preserve">182.</w:t>
      </w:r>
      <w:r>
        <w:rPr>
          <w:rFonts w:ascii="Barlow Semi Condensed" w:cs="Barlow Semi Condensed" w:eastAsia="Barlow Semi Condensed" w:hAnsi="Barlow Semi Condensed"/>
          <w:sz w:val="24"/>
          <w:szCs w:val="24"/>
        </w:rPr>
        <w:t xml:space="preserve"> Spazio70, «il brigatista "vaticano"» — https://spazio70.com/estero/esfiltrati-italiani/alessio-casimirri-il-brigatista-vaticano/ (https://spazio70.com/estero/esfiltrati-italiani/alessio-casimirri-il-brigatista-vaticano/)</w:t>
      </w:r>
    </w:p>
    <w:p>
      <w:pPr>
        <w:spacing w:after="120" w:line="276"/>
        <w:jc w:val="both"/>
      </w:pPr>
      <w:r>
        <w:rPr>
          <w:rFonts w:ascii="Barlow Semi Condensed" w:cs="Barlow Semi Condensed" w:eastAsia="Barlow Semi Condensed" w:hAnsi="Barlow Semi Condensed"/>
          <w:b/>
          <w:bCs/>
          <w:sz w:val="24"/>
          <w:szCs w:val="24"/>
        </w:rPr>
        <w:t xml:space="preserve">183.</w:t>
      </w:r>
      <w:r>
        <w:rPr>
          <w:rFonts w:ascii="Barlow Semi Condensed" w:cs="Barlow Semi Condensed" w:eastAsia="Barlow Semi Condensed" w:hAnsi="Barlow Semi Condensed"/>
          <w:sz w:val="24"/>
          <w:szCs w:val="24"/>
        </w:rPr>
        <w:t xml:space="preserve"> Wikipedia — https://en.wikipedia.org/wiki/Alessio_Casimirri (https://en.wikipedia.org/wiki/Alessio_Casimirri)</w:t>
      </w:r>
    </w:p>
    <w:p>
      <w:pPr>
        <w:spacing w:after="120" w:line="276"/>
        <w:jc w:val="both"/>
      </w:pPr>
      <w:r>
        <w:rPr>
          <w:rFonts w:ascii="Barlow Semi Condensed" w:cs="Barlow Semi Condensed" w:eastAsia="Barlow Semi Condensed" w:hAnsi="Barlow Semi Condensed"/>
          <w:b/>
          <w:bCs/>
          <w:sz w:val="24"/>
          <w:szCs w:val="24"/>
        </w:rPr>
        <w:t xml:space="preserve">184.</w:t>
      </w:r>
      <w:r>
        <w:rPr>
          <w:rFonts w:ascii="Barlow Semi Condensed" w:cs="Barlow Semi Condensed" w:eastAsia="Barlow Semi Condensed" w:hAnsi="Barlow Semi Condensed"/>
          <w:sz w:val="24"/>
          <w:szCs w:val="24"/>
        </w:rPr>
        <w:t xml:space="preserve"> Adnkronos — https://www.adnkronos.com/internazionale/esteri/terrorismo-ex-br-casimirri-nicaragua-ultime-notizie_11Y0xEZLGGnZ6txE6jRL7s (https://www.adnkronos.com/internazionale/esteri/terrorismo-ex-br-casimirri-nicaragua-ultime-notizie_11Y0xEZLGGnZ6txE6jRL7s)</w:t>
      </w:r>
    </w:p>
    <w:p>
      <w:pPr>
        <w:spacing w:after="120" w:line="276"/>
        <w:jc w:val="both"/>
      </w:pPr>
      <w:r>
        <w:rPr>
          <w:rFonts w:ascii="Barlow Semi Condensed" w:cs="Barlow Semi Condensed" w:eastAsia="Barlow Semi Condensed" w:hAnsi="Barlow Semi Condensed"/>
          <w:b/>
          <w:bCs/>
          <w:sz w:val="24"/>
          <w:szCs w:val="24"/>
        </w:rPr>
        <w:t xml:space="preserve">185.</w:t>
      </w:r>
      <w:r>
        <w:rPr>
          <w:rFonts w:ascii="Barlow Semi Condensed" w:cs="Barlow Semi Condensed" w:eastAsia="Barlow Semi Condensed" w:hAnsi="Barlow Semi Condensed"/>
          <w:sz w:val="24"/>
          <w:szCs w:val="24"/>
        </w:rPr>
        <w:t xml:space="preserve"> tvsvizzera.it — https://www.tvsvizzera.it/tvs/qui-svizzera/terrorismo_alvaro-lojacono-nessuna-estradizione-possibile/44698030 (https://www.tvsvizzera.it/tvs/qui-svizzera/terrorismo_alvaro-lojacono-nessuna-estradizione-possibile/44698030)</w:t>
      </w:r>
    </w:p>
    <w:p>
      <w:pPr>
        <w:spacing w:after="120" w:line="276"/>
        <w:jc w:val="both"/>
      </w:pPr>
      <w:r>
        <w:rPr>
          <w:rFonts w:ascii="Barlow Semi Condensed" w:cs="Barlow Semi Condensed" w:eastAsia="Barlow Semi Condensed" w:hAnsi="Barlow Semi Condensed"/>
          <w:b/>
          <w:bCs/>
          <w:sz w:val="24"/>
          <w:szCs w:val="24"/>
        </w:rPr>
        <w:t xml:space="preserve">186.</w:t>
      </w:r>
      <w:r>
        <w:rPr>
          <w:rFonts w:ascii="Barlow Semi Condensed" w:cs="Barlow Semi Condensed" w:eastAsia="Barlow Semi Condensed" w:hAnsi="Barlow Semi Condensed"/>
          <w:sz w:val="24"/>
          <w:szCs w:val="24"/>
        </w:rPr>
        <w:t xml:space="preserve"> Wikipedia — https://en.wikipedia.org/wiki/Alvaro_Lojacono (https://en.wikipedia.org/wiki/Alvaro_Lojacono)</w:t>
      </w:r>
    </w:p>
    <w:p>
      <w:pPr>
        <w:spacing w:after="120" w:line="276"/>
        <w:jc w:val="both"/>
      </w:pPr>
      <w:r>
        <w:rPr>
          <w:rFonts w:ascii="Barlow Semi Condensed" w:cs="Barlow Semi Condensed" w:eastAsia="Barlow Semi Condensed" w:hAnsi="Barlow Semi Condensed"/>
          <w:b/>
          <w:bCs/>
          <w:sz w:val="24"/>
          <w:szCs w:val="24"/>
        </w:rPr>
        <w:t xml:space="preserve">187.</w:t>
      </w:r>
      <w:r>
        <w:rPr>
          <w:rFonts w:ascii="Barlow Semi Condensed" w:cs="Barlow Semi Condensed" w:eastAsia="Barlow Semi Condensed" w:hAnsi="Barlow Semi Condensed"/>
          <w:sz w:val="24"/>
          <w:szCs w:val="24"/>
        </w:rPr>
        <w:t xml:space="preserve"> Feltrinelli Editore, scheda del libro — https://www.feltrinellieditore.it/opera/il-prigioniero/ (https://www.feltrinellieditore.it/opera/il-prigioniero/)</w:t>
      </w:r>
    </w:p>
    <w:p>
      <w:pPr>
        <w:spacing w:after="120" w:line="276"/>
        <w:jc w:val="both"/>
      </w:pPr>
      <w:r>
        <w:rPr>
          <w:rFonts w:ascii="Barlow Semi Condensed" w:cs="Barlow Semi Condensed" w:eastAsia="Barlow Semi Condensed" w:hAnsi="Barlow Semi Condensed"/>
          <w:b/>
          <w:bCs/>
          <w:sz w:val="24"/>
          <w:szCs w:val="24"/>
        </w:rPr>
        <w:t xml:space="preserve">188.</w:t>
      </w:r>
      <w:r>
        <w:rPr>
          <w:rFonts w:ascii="Barlow Semi Condensed" w:cs="Barlow Semi Condensed" w:eastAsia="Barlow Semi Condensed" w:hAnsi="Barlow Semi Condensed"/>
          <w:sz w:val="24"/>
          <w:szCs w:val="24"/>
        </w:rPr>
        <w:t xml:space="preserve"> Wikipedia, Buongiorno, notte — https://it.wikipedia.org/wiki/Buongiorno,_notte (https://it.wikipedia.org/wiki/Buongiorno,_notte)</w:t>
      </w:r>
    </w:p>
    <w:p>
      <w:pPr>
        <w:pStyle w:val="Heading3"/>
        <w:spacing w:after="80" w:before="160"/>
      </w:pPr>
      <w:r>
        <w:rPr>
          <w:rFonts w:ascii="Barlow Semi Condensed" w:cs="Barlow Semi Condensed" w:eastAsia="Barlow Semi Condensed" w:hAnsi="Barlow Semi Condensed"/>
          <w:sz w:val="24"/>
          <w:szCs w:val="24"/>
        </w:rPr>
        <w:t xml:space="preserve">Libro dodicesimo · I — Moro alla Farnesina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II — La ricognizione-madre: Moro ministro degli Esteri 1969-1974</w:t>
      </w:r>
    </w:p>
    <w:p>
      <w:pPr>
        <w:spacing w:after="120" w:line="276"/>
        <w:jc w:val="both"/>
      </w:pPr>
      <w:r>
        <w:rPr>
          <w:rFonts w:ascii="Barlow Semi Condensed" w:cs="Barlow Semi Condensed" w:eastAsia="Barlow Semi Condensed" w:hAnsi="Barlow Semi Condensed"/>
          <w:b/>
          <w:bCs/>
          <w:sz w:val="24"/>
          <w:szCs w:val="24"/>
        </w:rPr>
        <w:t xml:space="preserve">189.</w:t>
      </w:r>
      <w:r>
        <w:rPr>
          <w:rFonts w:ascii="Barlow Semi Condensed" w:cs="Barlow Semi Condensed" w:eastAsia="Barlow Semi Condensed" w:hAnsi="Barlow Semi Condensed"/>
          <w:sz w:val="24"/>
          <w:szCs w:val="24"/>
        </w:rPr>
        <w:t xml:space="preserve"> Camera dei Deputati — https://storia.camera.it/governi/ii-governo-rumor (https://storia.camera.it/governi/ii-governo-rumor)</w:t>
      </w:r>
    </w:p>
    <w:p>
      <w:pPr>
        <w:spacing w:after="120" w:line="276"/>
        <w:jc w:val="both"/>
      </w:pPr>
      <w:r>
        <w:rPr>
          <w:rFonts w:ascii="Barlow Semi Condensed" w:cs="Barlow Semi Condensed" w:eastAsia="Barlow Semi Condensed" w:hAnsi="Barlow Semi Condensed"/>
          <w:b/>
          <w:bCs/>
          <w:sz w:val="24"/>
          <w:szCs w:val="24"/>
        </w:rPr>
        <w:t xml:space="preserve">190.</w:t>
      </w:r>
      <w:r>
        <w:rPr>
          <w:rFonts w:ascii="Barlow Semi Condensed" w:cs="Barlow Semi Condensed" w:eastAsia="Barlow Semi Condensed" w:hAnsi="Barlow Semi Condensed"/>
          <w:sz w:val="24"/>
          <w:szCs w:val="24"/>
        </w:rPr>
        <w:t xml:space="preserve"> Camera dei Deputati — https://storia.camera.it/governi/iii-governo-rumor/storia/dal:19700327,al:19700401 (https://storia.camera.it/governi/iii-governo-rumor/storia/dal:19700327,al:19700401)</w:t>
      </w:r>
    </w:p>
    <w:p>
      <w:pPr>
        <w:spacing w:after="120" w:line="276"/>
        <w:jc w:val="both"/>
      </w:pPr>
      <w:r>
        <w:rPr>
          <w:rFonts w:ascii="Barlow Semi Condensed" w:cs="Barlow Semi Condensed" w:eastAsia="Barlow Semi Condensed" w:hAnsi="Barlow Semi Condensed"/>
          <w:b/>
          <w:bCs/>
          <w:sz w:val="24"/>
          <w:szCs w:val="24"/>
        </w:rPr>
        <w:t xml:space="preserve">191.</w:t>
      </w:r>
      <w:r>
        <w:rPr>
          <w:rFonts w:ascii="Barlow Semi Condensed" w:cs="Barlow Semi Condensed" w:eastAsia="Barlow Semi Condensed" w:hAnsi="Barlow Semi Condensed"/>
          <w:sz w:val="24"/>
          <w:szCs w:val="24"/>
        </w:rPr>
        <w:t xml:space="preserve"> Esteri — https://www.esteri.it/it/ministero/storia/ministri_esteri/aldo_moro/ (https://www.esteri.it/it/ministero/storia/ministri_esteri/aldo_moro/)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192.</w:t>
      </w:r>
      <w:r>
        <w:rPr>
          <w:rFonts w:ascii="Barlow Semi Condensed" w:cs="Barlow Semi Condensed" w:eastAsia="Barlow Semi Condensed" w:hAnsi="Barlow Semi Condensed"/>
          <w:sz w:val="24"/>
          <w:szCs w:val="24"/>
        </w:rPr>
        <w:t xml:space="preserve"> Treccani — https://www.treccani.it/enciclopedia/aldo-moro_(Dizionario-Biografico (https://www.treccani.it/enciclopedia/aldo-moro_(Dizionario-Biografico)</w:t>
      </w:r>
    </w:p>
    <w:p>
      <w:pPr>
        <w:spacing w:after="120" w:line="276"/>
        <w:jc w:val="both"/>
      </w:pPr>
      <w:r>
        <w:rPr>
          <w:rFonts w:ascii="Barlow Semi Condensed" w:cs="Barlow Semi Condensed" w:eastAsia="Barlow Semi Condensed" w:hAnsi="Barlow Semi Condensed"/>
          <w:b/>
          <w:bCs/>
          <w:sz w:val="24"/>
          <w:szCs w:val="24"/>
        </w:rPr>
        <w:t xml:space="preserve">193.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storia.camera.it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194.</w:t>
      </w:r>
      <w:r>
        <w:rPr>
          <w:rFonts w:ascii="Barlow Semi Condensed" w:cs="Barlow Semi Condensed" w:eastAsia="Barlow Semi Condensed" w:hAnsi="Barlow Semi Condensed"/>
          <w:sz w:val="24"/>
          <w:szCs w:val="24"/>
        </w:rPr>
        <w:t xml:space="preserve"> Camera dei Deputati — https://storia.camera.it/deputato/aldo-moro-19160923/componentiorgani (https://storia.camera.it/deputato/aldo-moro-19160923/componentiorgani)</w:t>
      </w:r>
    </w:p>
    <w:p>
      <w:pPr>
        <w:spacing w:after="120" w:line="276"/>
        <w:jc w:val="both"/>
      </w:pPr>
      <w:r>
        <w:rPr>
          <w:rFonts w:ascii="Barlow Semi Condensed" w:cs="Barlow Semi Condensed" w:eastAsia="Barlow Semi Condensed" w:hAnsi="Barlow Semi Condensed"/>
          <w:b/>
          <w:bCs/>
          <w:sz w:val="24"/>
          <w:szCs w:val="24"/>
        </w:rPr>
        <w:t xml:space="preserve">195.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asd.esteri.it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196.</w:t>
      </w:r>
      <w:r>
        <w:rPr>
          <w:rFonts w:ascii="Barlow Semi Condensed" w:cs="Barlow Semi Condensed" w:eastAsia="Barlow Semi Condensed" w:hAnsi="Barlow Semi Condensed"/>
          <w:sz w:val="24"/>
          <w:szCs w:val="24"/>
        </w:rPr>
        <w:t xml:space="preserve"> Esteri — https://www.esteri.it/it/temi/uap/archivio-storico-e-biblioteca/archivio-storico-diplomatico/servizi-allutenza/ (https://www.esteri.it/it/temi/uap/archivio-storico-e-biblioteca/archivio-storico-diplomatico/servizi-allutenza/)</w:t>
      </w:r>
    </w:p>
    <w:p>
      <w:pPr>
        <w:spacing w:after="120" w:line="276"/>
        <w:jc w:val="both"/>
      </w:pPr>
      <w:r>
        <w:rPr>
          <w:rFonts w:ascii="Barlow Semi Condensed" w:cs="Barlow Semi Condensed" w:eastAsia="Barlow Semi Condensed" w:hAnsi="Barlow Semi Condensed"/>
          <w:b/>
          <w:bCs/>
          <w:sz w:val="24"/>
          <w:szCs w:val="24"/>
        </w:rPr>
        <w:t xml:space="preserve">197.</w:t>
      </w:r>
      <w:r>
        <w:rPr>
          <w:rFonts w:ascii="Barlow Semi Condensed" w:cs="Barlow Semi Condensed" w:eastAsia="Barlow Semi Condensed" w:hAnsi="Barlow Semi Condensed"/>
          <w:sz w:val="24"/>
          <w:szCs w:val="24"/>
        </w:rPr>
        <w:t xml:space="preserve"> Ministerio de Cultura — https://www.cultura.gob.es/cultura/areas/archivos/mc/archivos/aga/fondos-documentales/introduccion.html (https://www.cultura.gob.es/cultura/areas/archivos/mc/archivos/aga/fondos-documentales/introduccion.html)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198.</w:t>
      </w:r>
      <w:r>
        <w:rPr>
          <w:rFonts w:ascii="Barlow Semi Condensed" w:cs="Barlow Semi Condensed" w:eastAsia="Barlow Semi Condensed" w:hAnsi="Barlow Semi Condensed"/>
          <w:sz w:val="24"/>
          <w:szCs w:val="24"/>
        </w:rPr>
        <w:t xml:space="preserve"> PARES — https://pares.mcu.es/ParesBusquedas20/catalogo/description/167744 (https://pares.mcu.es/ParesBusquedas20/catalogo/description/167744)</w:t>
      </w:r>
    </w:p>
    <w:p>
      <w:pPr>
        <w:spacing w:after="120" w:line="276"/>
        <w:jc w:val="both"/>
      </w:pPr>
      <w:r>
        <w:rPr>
          <w:rFonts w:ascii="Barlow Semi Condensed" w:cs="Barlow Semi Condensed" w:eastAsia="Barlow Semi Condensed" w:hAnsi="Barlow Semi Condensed"/>
          <w:b/>
          <w:bCs/>
          <w:sz w:val="24"/>
          <w:szCs w:val="24"/>
        </w:rPr>
        <w:t xml:space="preserve">199.</w:t>
      </w:r>
      <w:r>
        <w:rPr>
          <w:rFonts w:ascii="Barlow Semi Condensed" w:cs="Barlow Semi Condensed" w:eastAsia="Barlow Semi Condensed" w:hAnsi="Barlow Semi Condensed"/>
          <w:sz w:val="24"/>
          <w:szCs w:val="24"/>
        </w:rPr>
        <w:t xml:space="preserve"> MPR — https://www.mpr.gob.es/memoriademocratica/archivos-estatales/Paginas/Guias/Gu%C3%ADa%20de%20fuentes%20documentales/Ministerios/Asuntos%20Exteriores/archivo-general-del-ministerio-de-asuntos-exterior.aspx (https://www.mpr.gob.es/memoriademocratica/archivos-estatales/Paginas/Guias/Gu%C3%ADa%20de%20fuentes%20documentales/Ministerios/Asuntos%20Exteriores/archivo-general-del-ministerio-de-asuntos-exterior.aspx)</w:t>
      </w:r>
    </w:p>
    <w:p>
      <w:pPr>
        <w:spacing w:after="120" w:line="276"/>
        <w:jc w:val="both"/>
      </w:pPr>
      <w:r>
        <w:rPr>
          <w:rFonts w:ascii="Barlow Semi Condensed" w:cs="Barlow Semi Condensed" w:eastAsia="Barlow Semi Condensed" w:hAnsi="Barlow Semi Condensed"/>
          <w:b/>
          <w:bCs/>
          <w:sz w:val="24"/>
          <w:szCs w:val="24"/>
        </w:rPr>
        <w:t xml:space="preserve">200.</w:t>
      </w:r>
      <w:r>
        <w:rPr>
          <w:rFonts w:ascii="Barlow Semi Condensed" w:cs="Barlow Semi Condensed" w:eastAsia="Barlow Semi Condensed" w:hAnsi="Barlow Semi Condensed"/>
          <w:sz w:val="24"/>
          <w:szCs w:val="24"/>
        </w:rPr>
        <w:t xml:space="preserve"> Cultura — https://censoarchivos.cultura.gob.es/CensoGuia/fondoDetail.htm?id=1096317 (https://censoarchivos.cultura.gob.es/CensoGuia/fondoDetail.htm?id=1096317)</w:t>
      </w:r>
    </w:p>
    <w:p>
      <w:pPr>
        <w:spacing w:after="120" w:line="276"/>
        <w:jc w:val="both"/>
      </w:pPr>
      <w:r>
        <w:rPr>
          <w:rFonts w:ascii="Barlow Semi Condensed" w:cs="Barlow Semi Condensed" w:eastAsia="Barlow Semi Condensed" w:hAnsi="Barlow Semi Condensed"/>
          <w:b/>
          <w:bCs/>
          <w:sz w:val="24"/>
          <w:szCs w:val="24"/>
        </w:rPr>
        <w:t xml:space="preserve">201.</w:t>
      </w:r>
      <w:r>
        <w:rPr>
          <w:rFonts w:ascii="Barlow Semi Condensed" w:cs="Barlow Semi Condensed" w:eastAsia="Barlow Semi Condensed" w:hAnsi="Barlow Semi Condensed"/>
          <w:sz w:val="24"/>
          <w:szCs w:val="24"/>
        </w:rPr>
        <w:t xml:space="preserve"> Ministerio de Asuntos Exteriores de España — https://www.exteriores.gob.es/es/ServiciosAlCiudadano/Paginas/Archivo-General-y-Biblioteca-Central.aspx (https://www.exteriores.gob.es/es/ServiciosAlCiudadano/Paginas/Archivo-General-y-Biblioteca-Central.aspx)</w:t>
      </w:r>
    </w:p>
    <w:p>
      <w:pPr>
        <w:spacing w:after="120" w:line="276"/>
        <w:jc w:val="both"/>
      </w:pPr>
      <w:r>
        <w:rPr>
          <w:rFonts w:ascii="Barlow Semi Condensed" w:cs="Barlow Semi Condensed" w:eastAsia="Barlow Semi Condensed" w:hAnsi="Barlow Semi Condensed"/>
          <w:b/>
          <w:bCs/>
          <w:sz w:val="24"/>
          <w:szCs w:val="24"/>
        </w:rPr>
        <w:t xml:space="preserve">202.</w:t>
      </w:r>
      <w:r>
        <w:rPr>
          <w:rFonts w:ascii="Barlow Semi Condensed" w:cs="Barlow Semi Condensed" w:eastAsia="Barlow Semi Condensed" w:hAnsi="Barlow Semi Condensed"/>
          <w:sz w:val="24"/>
          <w:szCs w:val="24"/>
        </w:rPr>
        <w:t xml:space="preserve"> Wikipedia — https://es.wikipedia.org/wiki/Caso_A%C3%B1overos (https://es.wikipedia.org/wiki/Caso_A%C3%B1overos)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203.</w:t>
      </w:r>
      <w:r>
        <w:rPr>
          <w:rFonts w:ascii="Barlow Semi Condensed" w:cs="Barlow Semi Condensed" w:eastAsia="Barlow Semi Condensed" w:hAnsi="Barlow Semi Condensed"/>
          <w:sz w:val="24"/>
          <w:szCs w:val="24"/>
        </w:rPr>
        <w:t xml:space="preserve"> Internet Archive — https://archive.org/stream/KissingerAldoMoro1552802/Kissinger%20Aldo%20Moro%201552802_djvu.txt (https://archive.org/stream/KissingerAldoMoro1552802/Kissinger%20Aldo%20Moro%201552802_djvu.txt)</w:t>
      </w:r>
    </w:p>
    <w:p>
      <w:pPr>
        <w:spacing w:after="120" w:line="276"/>
        <w:jc w:val="both"/>
      </w:pPr>
      <w:r>
        <w:rPr>
          <w:rFonts w:ascii="Barlow Semi Condensed" w:cs="Barlow Semi Condensed" w:eastAsia="Barlow Semi Condensed" w:hAnsi="Barlow Semi Condensed"/>
          <w:b/>
          <w:bCs/>
          <w:sz w:val="24"/>
          <w:szCs w:val="24"/>
        </w:rPr>
        <w:t xml:space="preserve">204.</w:t>
      </w:r>
      <w:r>
        <w:rPr>
          <w:rFonts w:ascii="Barlow Semi Condensed" w:cs="Barlow Semi Condensed" w:eastAsia="Barlow Semi Condensed" w:hAnsi="Barlow Semi Condensed"/>
          <w:sz w:val="24"/>
          <w:szCs w:val="24"/>
        </w:rPr>
        <w:t xml:space="preserve"> U.S. Department of State — https://history.state.gov/historicaldocuments/frus1969-76ve15p2Ed2/d350 (https://history.state.gov/historicaldocuments/frus1969-76ve15p2Ed2/d350)</w:t>
      </w:r>
    </w:p>
    <w:p>
      <w:pPr>
        <w:spacing w:after="120" w:line="276"/>
        <w:jc w:val="both"/>
      </w:pPr>
      <w:r>
        <w:rPr>
          <w:rFonts w:ascii="Barlow Semi Condensed" w:cs="Barlow Semi Condensed" w:eastAsia="Barlow Semi Condensed" w:hAnsi="Barlow Semi Condensed"/>
          <w:b/>
          <w:bCs/>
          <w:sz w:val="24"/>
          <w:szCs w:val="24"/>
        </w:rPr>
        <w:t xml:space="preserve">205.</w:t>
      </w:r>
      <w:r>
        <w:rPr>
          <w:rFonts w:ascii="Barlow Semi Condensed" w:cs="Barlow Semi Condensed" w:eastAsia="Barlow Semi Condensed" w:hAnsi="Barlow Semi Condensed"/>
          <w:sz w:val="24"/>
          <w:szCs w:val="24"/>
        </w:rPr>
        <w:t xml:space="preserve"> state — https://history.state.gov/historicaldocuments/frus1969-76v41/d180 (https://history.state.gov/historicaldocuments/frus1969-76v41/d180)</w:t>
      </w:r>
    </w:p>
    <w:p>
      <w:pPr>
        <w:spacing w:after="120" w:line="276"/>
        <w:jc w:val="both"/>
      </w:pPr>
      <w:r>
        <w:rPr>
          <w:rFonts w:ascii="Barlow Semi Condensed" w:cs="Barlow Semi Condensed" w:eastAsia="Barlow Semi Condensed" w:hAnsi="Barlow Semi Condensed"/>
          <w:b/>
          <w:bCs/>
          <w:sz w:val="24"/>
          <w:szCs w:val="24"/>
        </w:rPr>
        <w:t xml:space="preserve">206.</w:t>
      </w:r>
      <w:r>
        <w:rPr>
          <w:rFonts w:ascii="Barlow Semi Condensed" w:cs="Barlow Semi Condensed" w:eastAsia="Barlow Semi Condensed" w:hAnsi="Barlow Semi Condensed"/>
          <w:sz w:val="24"/>
          <w:szCs w:val="24"/>
        </w:rPr>
        <w:t xml:space="preserve"> U.S. Department of State — https://history.state.gov/historicaldocuments/frus1969-76v41/d188 (https://history.state.gov/historicaldocuments/frus1969-76v41/d188)</w:t>
      </w:r>
    </w:p>
    <w:p>
      <w:pPr>
        <w:spacing w:after="120" w:line="276"/>
        <w:jc w:val="both"/>
      </w:pPr>
      <w:r>
        <w:rPr>
          <w:rFonts w:ascii="Barlow Semi Condensed" w:cs="Barlow Semi Condensed" w:eastAsia="Barlow Semi Condensed" w:hAnsi="Barlow Semi Condensed"/>
          <w:b/>
          <w:bCs/>
          <w:sz w:val="24"/>
          <w:szCs w:val="24"/>
        </w:rPr>
        <w:t xml:space="preserve">207.</w:t>
      </w:r>
      <w:r>
        <w:rPr>
          <w:rFonts w:ascii="Barlow Semi Condensed" w:cs="Barlow Semi Condensed" w:eastAsia="Barlow Semi Condensed" w:hAnsi="Barlow Semi Condensed"/>
          <w:sz w:val="24"/>
          <w:szCs w:val="24"/>
        </w:rPr>
        <w:t xml:space="preserve"> Taylor &amp; Francis Online — https://www.tandfonline.com/doi/full/10.1080/09592296.2024.2303859 (https://www.tandfonline.com/doi/full/10.1080/09592296.2024.2303859)</w:t>
      </w:r>
    </w:p>
    <w:p>
      <w:pPr>
        <w:spacing w:after="120" w:line="276"/>
        <w:jc w:val="both"/>
      </w:pPr>
      <w:r>
        <w:rPr>
          <w:rFonts w:ascii="Barlow Semi Condensed" w:cs="Barlow Semi Condensed" w:eastAsia="Barlow Semi Condensed" w:hAnsi="Barlow Semi Condensed"/>
          <w:b/>
          <w:bCs/>
          <w:sz w:val="24"/>
          <w:szCs w:val="24"/>
        </w:rPr>
        <w:t xml:space="preserve">208.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patrimonio.archivio.senato.it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10 volte)</w:t>
      </w:r>
    </w:p>
    <w:p>
      <w:pPr>
        <w:spacing w:after="120" w:line="276"/>
        <w:jc w:val="both"/>
      </w:pPr>
      <w:r>
        <w:rPr>
          <w:rFonts w:ascii="Barlow Semi Condensed" w:cs="Barlow Semi Condensed" w:eastAsia="Barlow Semi Condensed" w:hAnsi="Barlow Semi Condensed"/>
          <w:b/>
          <w:bCs/>
          <w:sz w:val="24"/>
          <w:szCs w:val="24"/>
        </w:rPr>
        <w:t xml:space="preserve">209.</w:t>
      </w:r>
      <w:r>
        <w:rPr>
          <w:rFonts w:ascii="Barlow Semi Condensed" w:cs="Barlow Semi Condensed" w:eastAsia="Barlow Semi Condensed" w:hAnsi="Barlow Semi Condensed"/>
          <w:sz w:val="24"/>
          <w:szCs w:val="24"/>
        </w:rPr>
        <w:t xml:space="preserve"> Senato della Repubblica — https://patrimonio.archivio.senato.it/inventario/scheda/aldo-moro/IT-AFS-048-000517/intervento-alla-commissione-affari-esteri-del-senato-sulla-situazione-libia (https://patrimonio.archivio.senato.it/inventario/scheda/aldo-moro/IT-AFS-048-000517/intervento-alla-commissione-affari-esteri-del-senato-sulla-situazione-libia)</w:t>
      </w:r>
    </w:p>
    <w:p>
      <w:pPr>
        <w:spacing w:after="120" w:line="276"/>
        <w:jc w:val="both"/>
      </w:pPr>
      <w:r>
        <w:rPr>
          <w:rFonts w:ascii="Barlow Semi Condensed" w:cs="Barlow Semi Condensed" w:eastAsia="Barlow Semi Condensed" w:hAnsi="Barlow Semi Condensed"/>
          <w:b/>
          <w:bCs/>
          <w:sz w:val="24"/>
          <w:szCs w:val="24"/>
        </w:rPr>
        <w:t xml:space="preserve">210.</w:t>
      </w:r>
      <w:r>
        <w:rPr>
          <w:rFonts w:ascii="Barlow Semi Condensed" w:cs="Barlow Semi Condensed" w:eastAsia="Barlow Semi Condensed" w:hAnsi="Barlow Semi Condensed"/>
          <w:sz w:val="24"/>
          <w:szCs w:val="24"/>
        </w:rPr>
        <w:t xml:space="preserve"> Senato della Repubblica — https://patrimonio.archivio.senato.it/inventario/scheda/aldo-moro/IT-AFS-048-000644/intervento-alla-commissione-%20esteri-della-camera-deputati (https://patrimonio.archivio.senato.it/inventario/scheda/aldo-moro/IT-AFS-048-000644/intervento-alla-commissione-%20esteri-della-camera-deputati)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211.</w:t>
      </w:r>
      <w:r>
        <w:rPr>
          <w:rFonts w:ascii="Barlow Semi Condensed" w:cs="Barlow Semi Condensed" w:eastAsia="Barlow Semi Condensed" w:hAnsi="Barlow Semi Condensed"/>
          <w:sz w:val="24"/>
          <w:szCs w:val="24"/>
        </w:rPr>
        <w:t xml:space="preserve"> Progetto Radici — https://www.progetto-radici.it/2022/05/09/aldo-moro-il-dominus-della-politica-estera-italiana/ (https://www.progetto-radici.it/2022/05/09/aldo-moro-il-dominus-della-politica-estera-italiana/)</w:t>
      </w:r>
    </w:p>
    <w:p>
      <w:pPr>
        <w:spacing w:after="120" w:line="276"/>
        <w:jc w:val="both"/>
      </w:pPr>
      <w:r>
        <w:rPr>
          <w:rFonts w:ascii="Barlow Semi Condensed" w:cs="Barlow Semi Condensed" w:eastAsia="Barlow Semi Condensed" w:hAnsi="Barlow Semi Condensed"/>
          <w:b/>
          <w:bCs/>
          <w:sz w:val="24"/>
          <w:szCs w:val="24"/>
        </w:rPr>
        <w:t xml:space="preserve">212.</w:t>
      </w:r>
      <w:r>
        <w:rPr>
          <w:rFonts w:ascii="Barlow Semi Condensed" w:cs="Barlow Semi Condensed" w:eastAsia="Barlow Semi Condensed" w:hAnsi="Barlow Semi Condensed"/>
          <w:sz w:val="24"/>
          <w:szCs w:val="24"/>
        </w:rPr>
        <w:t xml:space="preserve"> Wikipedia — https://it.wikipedia.org/wiki/Relazioni_bilaterali_tra_Italia_e_Repubblica_Popolare_Cinese (https://it.wikipedia.org/wiki/Relazioni_bilaterali_tra_Italia_e_Repubblica_Popolare_Cinese)</w:t>
      </w:r>
    </w:p>
    <w:p>
      <w:pPr>
        <w:spacing w:after="120" w:line="276"/>
        <w:jc w:val="both"/>
      </w:pPr>
      <w:r>
        <w:rPr>
          <w:rFonts w:ascii="Barlow Semi Condensed" w:cs="Barlow Semi Condensed" w:eastAsia="Barlow Semi Condensed" w:hAnsi="Barlow Semi Condensed"/>
          <w:b/>
          <w:bCs/>
          <w:sz w:val="24"/>
          <w:szCs w:val="24"/>
        </w:rPr>
        <w:t xml:space="preserve">213.</w:t>
      </w:r>
      <w:r>
        <w:rPr>
          <w:rFonts w:ascii="Barlow Semi Condensed" w:cs="Barlow Semi Condensed" w:eastAsia="Barlow Semi Condensed" w:hAnsi="Barlow Semi Condensed"/>
          <w:sz w:val="24"/>
          <w:szCs w:val="24"/>
        </w:rPr>
        <w:t xml:space="preserve"> Dizie — https://www.dizie.eu/dizionario/spagna/ (https://www.dizie.eu/dizionario/spagna/)</w:t>
      </w:r>
    </w:p>
    <w:p>
      <w:pPr>
        <w:spacing w:after="120" w:line="276"/>
        <w:jc w:val="both"/>
      </w:pPr>
      <w:r>
        <w:rPr>
          <w:rFonts w:ascii="Barlow Semi Condensed" w:cs="Barlow Semi Condensed" w:eastAsia="Barlow Semi Condensed" w:hAnsi="Barlow Semi Condensed"/>
          <w:b/>
          <w:bCs/>
          <w:sz w:val="24"/>
          <w:szCs w:val="24"/>
        </w:rPr>
        <w:t xml:space="preserve">214.</w:t>
      </w:r>
      <w:r>
        <w:rPr>
          <w:rFonts w:ascii="Barlow Semi Condensed" w:cs="Barlow Semi Condensed" w:eastAsia="Barlow Semi Condensed" w:hAnsi="Barlow Semi Condensed"/>
          <w:sz w:val="24"/>
          <w:szCs w:val="24"/>
        </w:rPr>
        <w:t xml:space="preserve"> L'Incontro — https://www.lincontro.news/il-lodo-moro-non-era-una-fake-news-laccordo-fra-lo-stato-italiano-e-le-organizzazioni-palestinesi-ci-fu-e-produsse-degli-effetti/ (https://www.lincontro.news/il-lodo-moro-non-era-una-fake-news-laccordo-fra-lo-stato-italiano-e-le-organizzazioni-palestinesi-ci-fu-e-produsse-degli-effetti/)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215.</w:t>
      </w:r>
      <w:r>
        <w:rPr>
          <w:rFonts w:ascii="Barlow Semi Condensed" w:cs="Barlow Semi Condensed" w:eastAsia="Barlow Semi Condensed" w:hAnsi="Barlow Semi Condensed"/>
          <w:sz w:val="24"/>
          <w:szCs w:val="24"/>
        </w:rPr>
        <w:t xml:space="preserve"> Il Giornale — https://www.ilgiornale.it/news/cultura/lodo-moro-leggenda-e-verit-storica-nel-libro-valentine-2003644.html (https://www.ilgiornale.it/news/cultura/lodo-moro-leggenda-e-verit-storica-nel-libro-valentine-2003644.html)</w:t>
      </w:r>
    </w:p>
    <w:p>
      <w:pPr>
        <w:spacing w:after="120" w:line="276"/>
        <w:jc w:val="both"/>
      </w:pPr>
      <w:r>
        <w:rPr>
          <w:rFonts w:ascii="Barlow Semi Condensed" w:cs="Barlow Semi Condensed" w:eastAsia="Barlow Semi Condensed" w:hAnsi="Barlow Semi Condensed"/>
          <w:b/>
          <w:bCs/>
          <w:sz w:val="24"/>
          <w:szCs w:val="24"/>
        </w:rPr>
        <w:t xml:space="preserve">216.</w:t>
      </w:r>
      <w:r>
        <w:rPr>
          <w:rFonts w:ascii="Barlow Semi Condensed" w:cs="Barlow Semi Condensed" w:eastAsia="Barlow Semi Condensed" w:hAnsi="Barlow Semi Condensed"/>
          <w:sz w:val="24"/>
          <w:szCs w:val="24"/>
        </w:rPr>
        <w:t xml:space="preserve"> Wikipedia — https://it.wikipedia.org/wiki/Lodo_Moro (https://it.wikipedia.org/wiki/Lodo_Moro)</w:t>
      </w:r>
    </w:p>
    <w:p>
      <w:pPr>
        <w:spacing w:after="120" w:line="276"/>
        <w:jc w:val="both"/>
      </w:pPr>
      <w:r>
        <w:rPr>
          <w:rFonts w:ascii="Barlow Semi Condensed" w:cs="Barlow Semi Condensed" w:eastAsia="Barlow Semi Condensed" w:hAnsi="Barlow Semi Condensed"/>
          <w:b/>
          <w:bCs/>
          <w:sz w:val="24"/>
          <w:szCs w:val="24"/>
        </w:rPr>
        <w:t xml:space="preserve">217.</w:t>
      </w:r>
      <w:r>
        <w:rPr>
          <w:rFonts w:ascii="Barlow Semi Condensed" w:cs="Barlow Semi Condensed" w:eastAsia="Barlow Semi Condensed" w:hAnsi="Barlow Semi Condensed"/>
          <w:sz w:val="24"/>
          <w:szCs w:val="24"/>
        </w:rPr>
        <w:t xml:space="preserve"> Ilmemoriale — https://www.ilmemoriale.it/politica/2017/09/04/espulsione-degli-italiani-da-tripoli.html (https://www.ilmemoriale.it/politica/2017/09/04/espulsione-degli-italiani-da-tripoli.html)</w:t>
      </w:r>
    </w:p>
    <w:p>
      <w:pPr>
        <w:spacing w:after="120" w:line="276"/>
        <w:jc w:val="both"/>
      </w:pPr>
      <w:r>
        <w:rPr>
          <w:rFonts w:ascii="Barlow Semi Condensed" w:cs="Barlow Semi Condensed" w:eastAsia="Barlow Semi Condensed" w:hAnsi="Barlow Semi Condensed"/>
          <w:b/>
          <w:bCs/>
          <w:sz w:val="24"/>
          <w:szCs w:val="24"/>
        </w:rPr>
        <w:t xml:space="preserve">218.</w:t>
      </w:r>
      <w:r>
        <w:rPr>
          <w:rFonts w:ascii="Barlow Semi Condensed" w:cs="Barlow Semi Condensed" w:eastAsia="Barlow Semi Condensed" w:hAnsi="Barlow Semi Condensed"/>
          <w:sz w:val="24"/>
          <w:szCs w:val="24"/>
        </w:rPr>
        <w:t xml:space="preserve"> Ponza Racconta — https://www.ponzaracconta.it/2021/03/30/aldo-moro-gheddafi-e-arafat/ (https://www.ponzaracconta.it/2021/03/30/aldo-moro-gheddafi-e-arafat/)</w:t>
      </w:r>
    </w:p>
    <w:p>
      <w:pPr>
        <w:spacing w:after="120" w:line="276"/>
        <w:jc w:val="both"/>
      </w:pPr>
      <w:r>
        <w:rPr>
          <w:rFonts w:ascii="Barlow Semi Condensed" w:cs="Barlow Semi Condensed" w:eastAsia="Barlow Semi Condensed" w:hAnsi="Barlow Semi Condensed"/>
          <w:b/>
          <w:bCs/>
          <w:sz w:val="24"/>
          <w:szCs w:val="24"/>
        </w:rPr>
        <w:t xml:space="preserve">219.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lavalledeitempli.net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220.</w:t>
      </w:r>
      <w:r>
        <w:rPr>
          <w:rFonts w:ascii="Barlow Semi Condensed" w:cs="Barlow Semi Condensed" w:eastAsia="Barlow Semi Condensed" w:hAnsi="Barlow Semi Condensed"/>
          <w:sz w:val="24"/>
          <w:szCs w:val="24"/>
        </w:rPr>
        <w:t xml:space="preserve"> Lavalledeitempli — http://lavalledeitempli.net/2019/04/23/aldo-moro-vero-artefice-della-cooperazione-la-libia-gheddafi/ (http://lavalledeitempli.net/2019/04/23/aldo-moro-vero-artefice-della-cooperazione-la-libia-gheddafi/)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221.</w:t>
      </w:r>
      <w:r>
        <w:rPr>
          <w:rFonts w:ascii="Barlow Semi Condensed" w:cs="Barlow Semi Condensed" w:eastAsia="Barlow Semi Condensed" w:hAnsi="Barlow Semi Condensed"/>
          <w:sz w:val="24"/>
          <w:szCs w:val="24"/>
        </w:rPr>
        <w:t xml:space="preserve"> CIE — https://israeled.org/wp-content/uploads/2012/05/FRUS-1969-1976-1973-war.pdf (https://israeled.org/wp-content/uploads/2012/05/FRUS-1969-1976-1973-war.pdf)</w:t>
      </w:r>
    </w:p>
    <w:p>
      <w:pPr>
        <w:spacing w:after="120" w:line="276"/>
        <w:jc w:val="both"/>
      </w:pPr>
      <w:r>
        <w:rPr>
          <w:rFonts w:ascii="Barlow Semi Condensed" w:cs="Barlow Semi Condensed" w:eastAsia="Barlow Semi Condensed" w:hAnsi="Barlow Semi Condensed"/>
          <w:b/>
          <w:bCs/>
          <w:sz w:val="24"/>
          <w:szCs w:val="24"/>
        </w:rPr>
        <w:t xml:space="preserve">222.</w:t>
      </w:r>
      <w:r>
        <w:rPr>
          <w:rFonts w:ascii="Barlow Semi Condensed" w:cs="Barlow Semi Condensed" w:eastAsia="Barlow Semi Condensed" w:hAnsi="Barlow Semi Condensed"/>
          <w:sz w:val="24"/>
          <w:szCs w:val="24"/>
        </w:rPr>
        <w:t xml:space="preserve"> Treccani — https://www.treccani.it/enciclopedia/non-proliferazione-atomica_(Enciclopedia-Italiana (https://www.treccani.it/enciclopedia/non-proliferazione-atomica_(Enciclopedia-Italiana)</w:t>
      </w:r>
    </w:p>
    <w:p>
      <w:pPr>
        <w:spacing w:after="120" w:line="276"/>
        <w:jc w:val="both"/>
      </w:pPr>
      <w:r>
        <w:rPr>
          <w:rFonts w:ascii="Barlow Semi Condensed" w:cs="Barlow Semi Condensed" w:eastAsia="Barlow Semi Condensed" w:hAnsi="Barlow Semi Condensed"/>
          <w:b/>
          <w:bCs/>
          <w:sz w:val="24"/>
          <w:szCs w:val="24"/>
        </w:rPr>
        <w:t xml:space="preserve">223.</w:t>
      </w:r>
      <w:r>
        <w:rPr>
          <w:rFonts w:ascii="Barlow Semi Condensed" w:cs="Barlow Semi Condensed" w:eastAsia="Barlow Semi Condensed" w:hAnsi="Barlow Semi Condensed"/>
          <w:sz w:val="24"/>
          <w:szCs w:val="24"/>
        </w:rPr>
        <w:t xml:space="preserve"> Unica — https://convegni.unica.it/sisi19/i-panel-dellottavo-convegno-sisi-cagliari-2019/panel-3/ (https://convegni.unica.it/sisi19/i-panel-dellottavo-convegno-sisi-cagliari-2019/panel-3/)</w:t>
      </w:r>
    </w:p>
    <w:p>
      <w:pPr>
        <w:spacing w:after="120" w:line="276"/>
        <w:jc w:val="both"/>
      </w:pPr>
      <w:r>
        <w:rPr>
          <w:rFonts w:ascii="Barlow Semi Condensed" w:cs="Barlow Semi Condensed" w:eastAsia="Barlow Semi Condensed" w:hAnsi="Barlow Semi Condensed"/>
          <w:b/>
          <w:bCs/>
          <w:sz w:val="24"/>
          <w:szCs w:val="24"/>
        </w:rPr>
        <w:t xml:space="preserve">224.</w:t>
      </w:r>
      <w:r>
        <w:rPr>
          <w:rFonts w:ascii="Barlow Semi Condensed" w:cs="Barlow Semi Condensed" w:eastAsia="Barlow Semi Condensed" w:hAnsi="Barlow Semi Condensed"/>
          <w:sz w:val="24"/>
          <w:szCs w:val="24"/>
        </w:rPr>
        <w:t xml:space="preserve"> SettimanaNews — https://www.settimananews.it/chiesa/silvestrini-ostpolitik/ (https://www.settimananews.it/chiesa/silvestrini-ostpolitik/)</w:t>
      </w:r>
    </w:p>
    <w:p>
      <w:pPr>
        <w:spacing w:after="120" w:line="276"/>
        <w:jc w:val="both"/>
      </w:pPr>
      <w:r>
        <w:rPr>
          <w:rFonts w:ascii="Barlow Semi Condensed" w:cs="Barlow Semi Condensed" w:eastAsia="Barlow Semi Condensed" w:hAnsi="Barlow Semi Condensed"/>
          <w:b/>
          <w:bCs/>
          <w:sz w:val="24"/>
          <w:szCs w:val="24"/>
        </w:rPr>
        <w:t xml:space="preserve">225.</w:t>
      </w:r>
      <w:r>
        <w:rPr>
          <w:rFonts w:ascii="Barlow Semi Condensed" w:cs="Barlow Semi Condensed" w:eastAsia="Barlow Semi Condensed" w:hAnsi="Barlow Semi Condensed"/>
          <w:sz w:val="24"/>
          <w:szCs w:val="24"/>
        </w:rPr>
        <w:t xml:space="preserve"> Vatican News — https://www.vaticannews.va/it/mondo/news/2022-04/conferenza-helsinki-1975-europa-guerra-fredda-eredita-pace.html (https://www.vaticannews.va/it/mondo/news/2022-04/conferenza-helsinki-1975-europa-guerra-fredda-eredita-pace.html)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226.</w:t>
      </w:r>
      <w:r>
        <w:rPr>
          <w:rFonts w:ascii="Barlow Semi Condensed" w:cs="Barlow Semi Condensed" w:eastAsia="Barlow Semi Condensed" w:hAnsi="Barlow Semi Condensed"/>
          <w:sz w:val="24"/>
          <w:szCs w:val="24"/>
        </w:rPr>
        <w:t xml:space="preserve"> University of Padua — https://www.research.unipd.it/handle/11577/3421701 (https://www.research.unipd.it/handle/11577/3421701)</w:t>
      </w:r>
    </w:p>
    <w:p>
      <w:pPr>
        <w:spacing w:after="120" w:line="276"/>
        <w:jc w:val="both"/>
      </w:pPr>
      <w:r>
        <w:rPr>
          <w:rFonts w:ascii="Barlow Semi Condensed" w:cs="Barlow Semi Condensed" w:eastAsia="Barlow Semi Condensed" w:hAnsi="Barlow Semi Condensed"/>
          <w:b/>
          <w:bCs/>
          <w:sz w:val="24"/>
          <w:szCs w:val="24"/>
        </w:rPr>
        <w:t xml:space="preserve">227.</w:t>
      </w:r>
      <w:r>
        <w:rPr>
          <w:rFonts w:ascii="Barlow Semi Condensed" w:cs="Barlow Semi Condensed" w:eastAsia="Barlow Semi Condensed" w:hAnsi="Barlow Semi Condensed"/>
          <w:sz w:val="24"/>
          <w:szCs w:val="24"/>
        </w:rPr>
        <w:t xml:space="preserve"> Chiesacattolica.it — https://www.chiesacattolica.it/documenti-segreteria/accordo-di-revisione-del-concordato-lateranense-tra-la-santa-sede-e-la-repubblica-italiana/ (https://www.chiesacattolica.it/documenti-segreteria/accordo-di-revisione-del-concordato-lateranense-tra-la-santa-sede-e-la-repubblica-italiana/)</w:t>
      </w:r>
    </w:p>
    <w:p>
      <w:pPr>
        <w:spacing w:after="120" w:line="276"/>
        <w:jc w:val="both"/>
      </w:pPr>
      <w:r>
        <w:rPr>
          <w:rFonts w:ascii="Barlow Semi Condensed" w:cs="Barlow Semi Condensed" w:eastAsia="Barlow Semi Condensed" w:hAnsi="Barlow Semi Condensed"/>
          <w:b/>
          <w:bCs/>
          <w:sz w:val="24"/>
          <w:szCs w:val="24"/>
        </w:rPr>
        <w:t xml:space="preserve">228.</w:t>
      </w:r>
      <w:r>
        <w:rPr>
          <w:rFonts w:ascii="Barlow Semi Condensed" w:cs="Barlow Semi Condensed" w:eastAsia="Barlow Semi Condensed" w:hAnsi="Barlow Semi Condensed"/>
          <w:sz w:val="24"/>
          <w:szCs w:val="24"/>
        </w:rPr>
        <w:t xml:space="preserve"> Delibris — https://www.delibris.org/es/lopez-bravo (https://www.delibris.org/es/lopez-bravo)</w:t>
      </w:r>
    </w:p>
    <w:p>
      <w:pPr>
        <w:spacing w:after="120" w:line="276"/>
        <w:jc w:val="both"/>
      </w:pPr>
      <w:r>
        <w:rPr>
          <w:rFonts w:ascii="Barlow Semi Condensed" w:cs="Barlow Semi Condensed" w:eastAsia="Barlow Semi Condensed" w:hAnsi="Barlow Semi Condensed"/>
          <w:b/>
          <w:bCs/>
          <w:sz w:val="24"/>
          <w:szCs w:val="24"/>
        </w:rPr>
        <w:t xml:space="preserve">229.</w:t>
      </w:r>
      <w:r>
        <w:rPr>
          <w:rFonts w:ascii="Barlow Semi Condensed" w:cs="Barlow Semi Condensed" w:eastAsia="Barlow Semi Condensed" w:hAnsi="Barlow Semi Condensed"/>
          <w:sz w:val="24"/>
          <w:szCs w:val="24"/>
        </w:rPr>
        <w:t xml:space="preserve"> El Confidencial Digital — https://www.elconfidencialdigital.com/religion/articulo/de-libros/gregorio-lopez-bravo-miembro-opus-dei-servicio-progreso-espana/20241007004039050434.html (https://www.elconfidencialdigital.com/religion/articulo/de-libros/gregorio-lopez-bravo-miembro-opus-dei-servicio-progreso-espana/20241007004039050434.html) </w:t>
      </w:r>
      <w:r>
        <w:rPr>
          <w:rFonts w:ascii="Barlow Semi Condensed" w:cs="Barlow Semi Condensed" w:eastAsia="Barlow Semi Condensed" w:hAnsi="Barlow Semi Condensed"/>
          <w:i/>
          <w:iCs/>
          <w:sz w:val="24"/>
          <w:szCs w:val="24"/>
        </w:rPr>
        <w:t xml:space="preserve">(citato 6 volte)</w:t>
      </w:r>
    </w:p>
    <w:p>
      <w:pPr>
        <w:spacing w:after="120" w:line="276"/>
        <w:jc w:val="both"/>
      </w:pPr>
      <w:r>
        <w:rPr>
          <w:rFonts w:ascii="Barlow Semi Condensed" w:cs="Barlow Semi Condensed" w:eastAsia="Barlow Semi Condensed" w:hAnsi="Barlow Semi Condensed"/>
          <w:b/>
          <w:bCs/>
          <w:sz w:val="24"/>
          <w:szCs w:val="24"/>
        </w:rPr>
        <w:t xml:space="preserve">230.</w:t>
      </w:r>
      <w:r>
        <w:rPr>
          <w:rFonts w:ascii="Barlow Semi Condensed" w:cs="Barlow Semi Condensed" w:eastAsia="Barlow Semi Condensed" w:hAnsi="Barlow Semi Condensed"/>
          <w:sz w:val="24"/>
          <w:szCs w:val="24"/>
        </w:rPr>
        <w:t xml:space="preserve"> Omnes — https://www.omnesmag.com/en/news/gabriel-perez-lopez-lopez-bravo-acted-freely/ (https://www.omnesmag.com/en/news/gabriel-perez-lopez-lopez-bravo-acted-freely/)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231.</w:t>
      </w:r>
      <w:r>
        <w:rPr>
          <w:rFonts w:ascii="Barlow Semi Condensed" w:cs="Barlow Semi Condensed" w:eastAsia="Barlow Semi Condensed" w:hAnsi="Barlow Semi Condensed"/>
          <w:sz w:val="24"/>
          <w:szCs w:val="24"/>
        </w:rPr>
        <w:t xml:space="preserve"> Treccani — https://www.treccani.it/enciclopedia/9-maggio-1978-lo-schiaffo-a-paolo-vi-storia-e-fallimento-della-mediazione-vaticana-per-la-liberazione-di-aldo-moro_(Cristiani-d'Italia (https://www.treccani.it/enciclopedia/9-maggio-1978-lo-schiaffo-a-paolo-vi-storia-e-fallimento-della-mediazione-vaticana-per-la-liberazione-di-aldo-moro_(Cristiani-d'Italia) </w:t>
      </w:r>
      <w:r>
        <w:rPr>
          <w:rFonts w:ascii="Barlow Semi Condensed" w:cs="Barlow Semi Condensed" w:eastAsia="Barlow Semi Condensed" w:hAnsi="Barlow Semi Condensed"/>
          <w:i/>
          <w:iCs/>
          <w:sz w:val="24"/>
          <w:szCs w:val="24"/>
        </w:rPr>
        <w:t xml:space="preserve">(citato 4 volte)</w:t>
      </w:r>
    </w:p>
    <w:p>
      <w:pPr>
        <w:pStyle w:val="Heading3"/>
        <w:spacing w:after="80" w:before="160"/>
      </w:pPr>
      <w:r>
        <w:rPr>
          <w:rFonts w:ascii="Barlow Semi Condensed" w:cs="Barlow Semi Condensed" w:eastAsia="Barlow Semi Condensed" w:hAnsi="Barlow Semi Condensed"/>
          <w:sz w:val="24"/>
          <w:szCs w:val="24"/>
        </w:rPr>
        <w:t xml:space="preserve">Libro dodicesimo · III — Germania e Opus Dei 1952-1985</w:t>
      </w:r>
    </w:p>
    <w:p>
      <w:pPr>
        <w:spacing w:after="120" w:line="276"/>
        <w:jc w:val="both"/>
      </w:pPr>
      <w:r>
        <w:rPr>
          <w:rFonts w:ascii="Barlow Semi Condensed" w:cs="Barlow Semi Condensed" w:eastAsia="Barlow Semi Condensed" w:hAnsi="Barlow Semi Condensed"/>
          <w:b/>
          <w:bCs/>
          <w:sz w:val="24"/>
          <w:szCs w:val="24"/>
        </w:rPr>
        <w:t xml:space="preserve">232.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bistum-essen.de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233.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katholisch.de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234.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opusdei.org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9 volte)</w:t>
      </w:r>
    </w:p>
    <w:p>
      <w:pPr>
        <w:spacing w:after="120" w:line="276"/>
        <w:jc w:val="both"/>
      </w:pPr>
      <w:r>
        <w:rPr>
          <w:rFonts w:ascii="Barlow Semi Condensed" w:cs="Barlow Semi Condensed" w:eastAsia="Barlow Semi Condensed" w:hAnsi="Barlow Semi Condensed"/>
          <w:b/>
          <w:bCs/>
          <w:sz w:val="24"/>
          <w:szCs w:val="24"/>
        </w:rPr>
        <w:t xml:space="preserve">235.</w:t>
      </w:r>
      <w:r>
        <w:rPr>
          <w:rFonts w:ascii="Barlow Semi Condensed" w:cs="Barlow Semi Condensed" w:eastAsia="Barlow Semi Condensed" w:hAnsi="Barlow Semi Condensed"/>
          <w:sz w:val="24"/>
          <w:szCs w:val="24"/>
        </w:rPr>
        <w:t xml:space="preserve"> opusdei — https://opusdei.org/de-de/article/kurzdarstellung-der-anfange-des-opus-dei-in-deutschland/ (https://opusdei.org/de-de/article/kurzdarstellung-der-anfange-des-opus-dei-in-deutschland/)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236.</w:t>
      </w:r>
      <w:r>
        <w:rPr>
          <w:rFonts w:ascii="Barlow Semi Condensed" w:cs="Barlow Semi Condensed" w:eastAsia="Barlow Semi Condensed" w:hAnsi="Barlow Semi Condensed"/>
          <w:sz w:val="24"/>
          <w:szCs w:val="24"/>
        </w:rPr>
        <w:t xml:space="preserve"> Opus Dei — https://opusdei.org/en-us/article/commemorative-book-in-germany/ (https://opusdei.org/en-us/article/commemorative-book-in-germany/)</w:t>
      </w:r>
    </w:p>
    <w:p>
      <w:pPr>
        <w:spacing w:after="120" w:line="276"/>
        <w:jc w:val="both"/>
      </w:pPr>
      <w:r>
        <w:rPr>
          <w:rFonts w:ascii="Barlow Semi Condensed" w:cs="Barlow Semi Condensed" w:eastAsia="Barlow Semi Condensed" w:hAnsi="Barlow Semi Condensed"/>
          <w:b/>
          <w:bCs/>
          <w:sz w:val="24"/>
          <w:szCs w:val="24"/>
        </w:rPr>
        <w:t xml:space="preserve">237.</w:t>
      </w:r>
      <w:r>
        <w:rPr>
          <w:rFonts w:ascii="Barlow Semi Condensed" w:cs="Barlow Semi Condensed" w:eastAsia="Barlow Semi Condensed" w:hAnsi="Barlow Semi Condensed"/>
          <w:sz w:val="24"/>
          <w:szCs w:val="24"/>
        </w:rPr>
        <w:t xml:space="preserve"> Kath — https://kath.net/print/15147 (https://kath.net/print/15147)</w:t>
      </w:r>
    </w:p>
    <w:p>
      <w:pPr>
        <w:spacing w:after="120" w:line="276"/>
        <w:jc w:val="both"/>
      </w:pPr>
      <w:r>
        <w:rPr>
          <w:rFonts w:ascii="Barlow Semi Condensed" w:cs="Barlow Semi Condensed" w:eastAsia="Barlow Semi Condensed" w:hAnsi="Barlow Semi Condensed"/>
          <w:b/>
          <w:bCs/>
          <w:sz w:val="24"/>
          <w:szCs w:val="24"/>
        </w:rPr>
        <w:t xml:space="preserve">238.</w:t>
      </w:r>
      <w:r>
        <w:rPr>
          <w:rFonts w:ascii="Barlow Semi Condensed" w:cs="Barlow Semi Condensed" w:eastAsia="Barlow Semi Condensed" w:hAnsi="Barlow Semi Condensed"/>
          <w:sz w:val="24"/>
          <w:szCs w:val="24"/>
        </w:rPr>
        <w:t xml:space="preserve"> Blogger — http://hugendubelverdi.blogspot.com/2012/01/gottes-werk-und-des-kardinals-beitrag.html (http://hugendubelverdi.blogspot.com/2012/01/gottes-werk-und-des-kardinals-beitrag.html)</w:t>
      </w:r>
    </w:p>
    <w:p>
      <w:pPr>
        <w:spacing w:after="120" w:line="276"/>
        <w:jc w:val="both"/>
      </w:pPr>
      <w:r>
        <w:rPr>
          <w:rFonts w:ascii="Barlow Semi Condensed" w:cs="Barlow Semi Condensed" w:eastAsia="Barlow Semi Condensed" w:hAnsi="Barlow Semi Condensed"/>
          <w:b/>
          <w:bCs/>
          <w:sz w:val="24"/>
          <w:szCs w:val="24"/>
        </w:rPr>
        <w:t xml:space="preserve">239.</w:t>
      </w:r>
      <w:r>
        <w:rPr>
          <w:rFonts w:ascii="Barlow Semi Condensed" w:cs="Barlow Semi Condensed" w:eastAsia="Barlow Semi Condensed" w:hAnsi="Barlow Semi Condensed"/>
          <w:sz w:val="24"/>
          <w:szCs w:val="24"/>
        </w:rPr>
        <w:t xml:space="preserve"> taz.de — https://taz.de/Der-Mann-der-das-fringsen-erfand-und-alten-Nazis-half/%21664899/ (https://taz.de/Der-Mann-der-das-fringsen-erfand-und-alten-Nazis-half/%21664899/)</w:t>
      </w:r>
    </w:p>
    <w:p>
      <w:pPr>
        <w:spacing w:after="120" w:line="276"/>
        <w:jc w:val="both"/>
      </w:pPr>
      <w:r>
        <w:rPr>
          <w:rFonts w:ascii="Barlow Semi Condensed" w:cs="Barlow Semi Condensed" w:eastAsia="Barlow Semi Condensed" w:hAnsi="Barlow Semi Condensed"/>
          <w:b/>
          <w:bCs/>
          <w:sz w:val="24"/>
          <w:szCs w:val="24"/>
        </w:rPr>
        <w:t xml:space="preserve">240.</w:t>
      </w:r>
      <w:r>
        <w:rPr>
          <w:rFonts w:ascii="Barlow Semi Condensed" w:cs="Barlow Semi Condensed" w:eastAsia="Barlow Semi Condensed" w:hAnsi="Barlow Semi Condensed"/>
          <w:sz w:val="24"/>
          <w:szCs w:val="24"/>
        </w:rPr>
        <w:t xml:space="preserve"> fowid — https://fowid.de/sites/default/files/download/religionszugehoerigkeit_bevoelkerung_1950-2005.pdf (https://fowid.de/sites/default/files/download/religionszugehoerigkeit_bevoelkerung_1950-2005.pdf)</w:t>
      </w:r>
    </w:p>
    <w:p>
      <w:pPr>
        <w:spacing w:after="120" w:line="276"/>
        <w:jc w:val="both"/>
      </w:pPr>
      <w:r>
        <w:rPr>
          <w:rFonts w:ascii="Barlow Semi Condensed" w:cs="Barlow Semi Condensed" w:eastAsia="Barlow Semi Condensed" w:hAnsi="Barlow Semi Condensed"/>
          <w:b/>
          <w:bCs/>
          <w:sz w:val="24"/>
          <w:szCs w:val="24"/>
        </w:rPr>
        <w:t xml:space="preserve">241.</w:t>
      </w:r>
      <w:r>
        <w:rPr>
          <w:rFonts w:ascii="Barlow Semi Condensed" w:cs="Barlow Semi Condensed" w:eastAsia="Barlow Semi Condensed" w:hAnsi="Barlow Semi Condensed"/>
          <w:sz w:val="24"/>
          <w:szCs w:val="24"/>
        </w:rPr>
        <w:t xml:space="preserve"> Clio Online — https://www.europa.clio-online.de/essay/id/fdae-1690 (https://www.europa.clio-online.de/essay/id/fdae-1690)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242.</w:t>
      </w:r>
      <w:r>
        <w:rPr>
          <w:rFonts w:ascii="Barlow Semi Condensed" w:cs="Barlow Semi Condensed" w:eastAsia="Barlow Semi Condensed" w:hAnsi="Barlow Semi Condensed"/>
          <w:sz w:val="24"/>
          <w:szCs w:val="24"/>
        </w:rPr>
        <w:t xml:space="preserve"> fowid — https://fowid.de/meldung/religionszugehoerigkeiten-deutschland-2015 (https://fowid.de/meldung/religionszugehoerigkeiten-deutschland-2015)</w:t>
      </w:r>
    </w:p>
    <w:p>
      <w:pPr>
        <w:spacing w:after="120" w:line="276"/>
        <w:jc w:val="both"/>
      </w:pPr>
      <w:r>
        <w:rPr>
          <w:rFonts w:ascii="Barlow Semi Condensed" w:cs="Barlow Semi Condensed" w:eastAsia="Barlow Semi Condensed" w:hAnsi="Barlow Semi Condensed"/>
          <w:b/>
          <w:bCs/>
          <w:sz w:val="24"/>
          <w:szCs w:val="24"/>
        </w:rPr>
        <w:t xml:space="preserve">243.</w:t>
      </w:r>
      <w:r>
        <w:rPr>
          <w:rFonts w:ascii="Barlow Semi Condensed" w:cs="Barlow Semi Condensed" w:eastAsia="Barlow Semi Condensed" w:hAnsi="Barlow Semi Condensed"/>
          <w:sz w:val="24"/>
          <w:szCs w:val="24"/>
        </w:rPr>
        <w:t xml:space="preserve"> fowid — https://fowid.de/meldung/deutschland-konfessionen (https://fowid.de/meldung/deutschland-konfessionen)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244.</w:t>
      </w:r>
      <w:r>
        <w:rPr>
          <w:rFonts w:ascii="Barlow Semi Condensed" w:cs="Barlow Semi Condensed" w:eastAsia="Barlow Semi Condensed" w:hAnsi="Barlow Semi Condensed"/>
          <w:sz w:val="24"/>
          <w:szCs w:val="24"/>
        </w:rPr>
        <w:t xml:space="preserve"> fowid — https://fowid.de/meldung/deutschland-3-katholische-sueden-und-westen (https://fowid.de/meldung/deutschland-3-katholische-sueden-und-westen)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245.</w:t>
      </w:r>
      <w:r>
        <w:rPr>
          <w:rFonts w:ascii="Barlow Semi Condensed" w:cs="Barlow Semi Condensed" w:eastAsia="Barlow Semi Condensed" w:hAnsi="Barlow Semi Condensed"/>
          <w:sz w:val="24"/>
          <w:szCs w:val="24"/>
        </w:rPr>
        <w:t xml:space="preserve"> Perlentaucher — https://www.perlentaucher.de/buch/michael-hirschfeld/katholisches-milieu-und-vertriebene.html?r=print (https://www.perlentaucher.de/buch/michael-hirschfeld/katholisches-milieu-und-vertriebene.html?r=print)</w:t>
      </w:r>
    </w:p>
    <w:p>
      <w:pPr>
        <w:spacing w:after="120" w:line="276"/>
        <w:jc w:val="both"/>
      </w:pPr>
      <w:r>
        <w:rPr>
          <w:rFonts w:ascii="Barlow Semi Condensed" w:cs="Barlow Semi Condensed" w:eastAsia="Barlow Semi Condensed" w:hAnsi="Barlow Semi Condensed"/>
          <w:b/>
          <w:bCs/>
          <w:sz w:val="24"/>
          <w:szCs w:val="24"/>
        </w:rPr>
        <w:t xml:space="preserve">246.</w:t>
      </w:r>
      <w:r>
        <w:rPr>
          <w:rFonts w:ascii="Barlow Semi Condensed" w:cs="Barlow Semi Condensed" w:eastAsia="Barlow Semi Condensed" w:hAnsi="Barlow Semi Condensed"/>
          <w:sz w:val="24"/>
          <w:szCs w:val="24"/>
        </w:rPr>
        <w:t xml:space="preserve"> Wikipedia — https://en.wikipedia.org/wiki/Josef_Frings (https://en.wikipedia.org/wiki/Josef_Frings)</w:t>
      </w:r>
    </w:p>
    <w:p>
      <w:pPr>
        <w:spacing w:after="120" w:line="276"/>
        <w:jc w:val="both"/>
      </w:pPr>
      <w:r>
        <w:rPr>
          <w:rFonts w:ascii="Barlow Semi Condensed" w:cs="Barlow Semi Condensed" w:eastAsia="Barlow Semi Condensed" w:hAnsi="Barlow Semi Condensed"/>
          <w:b/>
          <w:bCs/>
          <w:sz w:val="24"/>
          <w:szCs w:val="24"/>
        </w:rPr>
        <w:t xml:space="preserve">247.</w:t>
      </w:r>
      <w:r>
        <w:rPr>
          <w:rFonts w:ascii="Barlow Semi Condensed" w:cs="Barlow Semi Condensed" w:eastAsia="Barlow Semi Condensed" w:hAnsi="Barlow Semi Condensed"/>
          <w:sz w:val="24"/>
          <w:szCs w:val="24"/>
        </w:rPr>
        <w:t xml:space="preserve"> Springer — https://link.springer.com/chapter/10.1007/978-3-322-88718-4_27 (https://link.springer.com/chapter/10.1007/978-3-322-88718-4_27)</w:t>
      </w:r>
    </w:p>
    <w:p>
      <w:pPr>
        <w:spacing w:after="120" w:line="276"/>
        <w:jc w:val="both"/>
      </w:pPr>
      <w:r>
        <w:rPr>
          <w:rFonts w:ascii="Barlow Semi Condensed" w:cs="Barlow Semi Condensed" w:eastAsia="Barlow Semi Condensed" w:hAnsi="Barlow Semi Condensed"/>
          <w:b/>
          <w:bCs/>
          <w:sz w:val="24"/>
          <w:szCs w:val="24"/>
        </w:rPr>
        <w:t xml:space="preserve">248.</w:t>
      </w:r>
      <w:r>
        <w:rPr>
          <w:rFonts w:ascii="Barlow Semi Condensed" w:cs="Barlow Semi Condensed" w:eastAsia="Barlow Semi Condensed" w:hAnsi="Barlow Semi Condensed"/>
          <w:sz w:val="24"/>
          <w:szCs w:val="24"/>
        </w:rPr>
        <w:t xml:space="preserve"> Opus Dei — https://opusdei.org/en/article/fragments-of-history-campus-muengersdorf/ (https://opusdei.org/en/article/fragments-of-history-campus-muengersdorf/)</w:t>
      </w:r>
    </w:p>
    <w:p>
      <w:pPr>
        <w:spacing w:after="120" w:line="276"/>
        <w:jc w:val="both"/>
      </w:pPr>
      <w:r>
        <w:rPr>
          <w:rFonts w:ascii="Barlow Semi Condensed" w:cs="Barlow Semi Condensed" w:eastAsia="Barlow Semi Condensed" w:hAnsi="Barlow Semi Condensed"/>
          <w:b/>
          <w:bCs/>
          <w:sz w:val="24"/>
          <w:szCs w:val="24"/>
        </w:rPr>
        <w:t xml:space="preserve">249.</w:t>
      </w:r>
      <w:r>
        <w:rPr>
          <w:rFonts w:ascii="Barlow Semi Condensed" w:cs="Barlow Semi Condensed" w:eastAsia="Barlow Semi Condensed" w:hAnsi="Barlow Semi Condensed"/>
          <w:sz w:val="24"/>
          <w:szCs w:val="24"/>
        </w:rPr>
        <w:t xml:space="preserve"> DeWiki — https://dewiki.de/Lexikon/Opus_Dei (https://dewiki.de/Lexikon/Opus_Dei)</w:t>
      </w:r>
    </w:p>
    <w:p>
      <w:pPr>
        <w:spacing w:after="120" w:line="276"/>
        <w:jc w:val="both"/>
      </w:pPr>
      <w:r>
        <w:rPr>
          <w:rFonts w:ascii="Barlow Semi Condensed" w:cs="Barlow Semi Condensed" w:eastAsia="Barlow Semi Condensed" w:hAnsi="Barlow Semi Condensed"/>
          <w:b/>
          <w:bCs/>
          <w:sz w:val="24"/>
          <w:szCs w:val="24"/>
        </w:rPr>
        <w:t xml:space="preserve">250.</w:t>
      </w:r>
      <w:r>
        <w:rPr>
          <w:rFonts w:ascii="Barlow Semi Condensed" w:cs="Barlow Semi Condensed" w:eastAsia="Barlow Semi Condensed" w:hAnsi="Barlow Semi Condensed"/>
          <w:sz w:val="24"/>
          <w:szCs w:val="24"/>
        </w:rPr>
        <w:t xml:space="preserve"> ISJE — https://www.isje.org/en/history-of-opus-dei/ (https://www.isje.org/en/history-of-opus-dei/)</w:t>
      </w:r>
    </w:p>
    <w:p>
      <w:pPr>
        <w:spacing w:after="120" w:line="276"/>
        <w:jc w:val="both"/>
      </w:pPr>
      <w:r>
        <w:rPr>
          <w:rFonts w:ascii="Barlow Semi Condensed" w:cs="Barlow Semi Condensed" w:eastAsia="Barlow Semi Condensed" w:hAnsi="Barlow Semi Condensed"/>
          <w:b/>
          <w:bCs/>
          <w:sz w:val="24"/>
          <w:szCs w:val="24"/>
        </w:rPr>
        <w:t xml:space="preserve">251.</w:t>
      </w:r>
      <w:r>
        <w:rPr>
          <w:rFonts w:ascii="Barlow Semi Condensed" w:cs="Barlow Semi Condensed" w:eastAsia="Barlow Semi Condensed" w:hAnsi="Barlow Semi Condensed"/>
          <w:sz w:val="24"/>
          <w:szCs w:val="24"/>
        </w:rPr>
        <w:t xml:space="preserve"> Opus Dei — https://opusdei.org/de-de/article/pressemitteilung-die-praelatur-opus-dei-in-mitteleuropa-stellt-sich-neu-auf-de/ (https://opusdei.org/de-de/article/pressemitteilung-die-praelatur-opus-dei-in-mitteleuropa-stellt-sich-neu-auf-de/)</w:t>
      </w:r>
    </w:p>
    <w:p>
      <w:pPr>
        <w:spacing w:after="120" w:line="276"/>
        <w:jc w:val="both"/>
      </w:pPr>
      <w:r>
        <w:rPr>
          <w:rFonts w:ascii="Barlow Semi Condensed" w:cs="Barlow Semi Condensed" w:eastAsia="Barlow Semi Condensed" w:hAnsi="Barlow Semi Condensed"/>
          <w:b/>
          <w:bCs/>
          <w:sz w:val="24"/>
          <w:szCs w:val="24"/>
        </w:rPr>
        <w:t xml:space="preserve">252.</w:t>
      </w:r>
      <w:r>
        <w:rPr>
          <w:rFonts w:ascii="Barlow Semi Condensed" w:cs="Barlow Semi Condensed" w:eastAsia="Barlow Semi Condensed" w:hAnsi="Barlow Semi Condensed"/>
          <w:sz w:val="24"/>
          <w:szCs w:val="24"/>
        </w:rPr>
        <w:t xml:space="preserve"> University of Navarra — https://en.unav.edu/web/josemaria-escriva-study-centre/opus-dei-y-prelados (https://en.unav.edu/web/josemaria-escriva-study-centre/opus-dei-y-prelados)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253.</w:t>
      </w:r>
      <w:r>
        <w:rPr>
          <w:rFonts w:ascii="Barlow Semi Condensed" w:cs="Barlow Semi Condensed" w:eastAsia="Barlow Semi Condensed" w:hAnsi="Barlow Semi Condensed"/>
          <w:sz w:val="24"/>
          <w:szCs w:val="24"/>
        </w:rPr>
        <w:t xml:space="preserve"> Opus Dei — https://opusdei.org/en-uk/article/history-of-opus-dei-in-britain/ (https://opusdei.org/en-uk/article/history-of-opus-dei-in-britain/)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254.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opus-info.org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255.</w:t>
      </w:r>
      <w:r>
        <w:rPr>
          <w:rFonts w:ascii="Barlow Semi Condensed" w:cs="Barlow Semi Condensed" w:eastAsia="Barlow Semi Condensed" w:hAnsi="Barlow Semi Condensed"/>
          <w:sz w:val="24"/>
          <w:szCs w:val="24"/>
        </w:rPr>
        <w:t xml:space="preserve"> Opus-Info — https://www.opus-info.org/index.php/Statistik_der_Mitglieder_des_Opus_Dei (https://www.opus-info.org/index.php/Statistik_der_Mitglieder_des_Opus_Dei)</w:t>
      </w:r>
    </w:p>
    <w:p>
      <w:pPr>
        <w:spacing w:after="120" w:line="276"/>
        <w:jc w:val="both"/>
      </w:pPr>
      <w:r>
        <w:rPr>
          <w:rFonts w:ascii="Barlow Semi Condensed" w:cs="Barlow Semi Condensed" w:eastAsia="Barlow Semi Condensed" w:hAnsi="Barlow Semi Condensed"/>
          <w:b/>
          <w:bCs/>
          <w:sz w:val="24"/>
          <w:szCs w:val="24"/>
        </w:rPr>
        <w:t xml:space="preserve">256.</w:t>
      </w:r>
      <w:r>
        <w:rPr>
          <w:rFonts w:ascii="Barlow Semi Condensed" w:cs="Barlow Semi Condensed" w:eastAsia="Barlow Semi Condensed" w:hAnsi="Barlow Semi Condensed"/>
          <w:sz w:val="24"/>
          <w:szCs w:val="24"/>
        </w:rPr>
        <w:t xml:space="preserve"> Novaradio — https://novaradio.ch/deutsch/opus-dei/ (https://novaradio.ch/deutsch/opus-dei/)</w:t>
      </w:r>
    </w:p>
    <w:p>
      <w:pPr>
        <w:spacing w:after="120" w:line="276"/>
        <w:jc w:val="both"/>
      </w:pPr>
      <w:r>
        <w:rPr>
          <w:rFonts w:ascii="Barlow Semi Condensed" w:cs="Barlow Semi Condensed" w:eastAsia="Barlow Semi Condensed" w:hAnsi="Barlow Semi Condensed"/>
          <w:b/>
          <w:bCs/>
          <w:sz w:val="24"/>
          <w:szCs w:val="24"/>
        </w:rPr>
        <w:t xml:space="preserve">257.</w:t>
      </w:r>
      <w:r>
        <w:rPr>
          <w:rFonts w:ascii="Barlow Semi Condensed" w:cs="Barlow Semi Condensed" w:eastAsia="Barlow Semi Condensed" w:hAnsi="Barlow Semi Condensed"/>
          <w:sz w:val="24"/>
          <w:szCs w:val="24"/>
        </w:rPr>
        <w:t xml:space="preserve"> Antifaschistisches Infoblatt — https://antifainfoblatt.de/aib85/opus-dei-kampftruppe-gottes (https://antifainfoblatt.de/aib85/opus-dei-kampftruppe-gottes)</w:t>
      </w:r>
    </w:p>
    <w:p>
      <w:pPr>
        <w:spacing w:after="120" w:line="276"/>
        <w:jc w:val="both"/>
      </w:pPr>
      <w:r>
        <w:rPr>
          <w:rFonts w:ascii="Barlow Semi Condensed" w:cs="Barlow Semi Condensed" w:eastAsia="Barlow Semi Condensed" w:hAnsi="Barlow Semi Condensed"/>
          <w:b/>
          <w:bCs/>
          <w:sz w:val="24"/>
          <w:szCs w:val="24"/>
        </w:rPr>
        <w:t xml:space="preserve">258.</w:t>
      </w:r>
      <w:r>
        <w:rPr>
          <w:rFonts w:ascii="Barlow Semi Condensed" w:cs="Barlow Semi Condensed" w:eastAsia="Barlow Semi Condensed" w:hAnsi="Barlow Semi Condensed"/>
          <w:sz w:val="24"/>
          <w:szCs w:val="24"/>
        </w:rPr>
        <w:t xml:space="preserve"> Opus Dei — https://opusdei.org/de-de/article/dauerbrenner-opus-dei-verdachtigung/ (https://opusdei.org/de-de/article/dauerbrenner-opus-dei-verdachtigung/)</w:t>
      </w:r>
    </w:p>
    <w:p>
      <w:pPr>
        <w:spacing w:after="120" w:line="276"/>
        <w:jc w:val="both"/>
      </w:pPr>
      <w:r>
        <w:rPr>
          <w:rFonts w:ascii="Barlow Semi Condensed" w:cs="Barlow Semi Condensed" w:eastAsia="Barlow Semi Condensed" w:hAnsi="Barlow Semi Condensed"/>
          <w:b/>
          <w:bCs/>
          <w:sz w:val="24"/>
          <w:szCs w:val="24"/>
        </w:rPr>
        <w:t xml:space="preserve">259.</w:t>
      </w:r>
      <w:r>
        <w:rPr>
          <w:rFonts w:ascii="Barlow Semi Condensed" w:cs="Barlow Semi Condensed" w:eastAsia="Barlow Semi Condensed" w:hAnsi="Barlow Semi Condensed"/>
          <w:sz w:val="24"/>
          <w:szCs w:val="24"/>
        </w:rPr>
        <w:t xml:space="preserve"> Springer — https://link.springer.com/chapter/10.1007/978-3-322-95152-6_2 (https://link.springer.com/chapter/10.1007/978-3-322-95152-6_2)</w:t>
      </w:r>
    </w:p>
    <w:p>
      <w:pPr>
        <w:spacing w:after="120" w:line="276"/>
        <w:jc w:val="both"/>
      </w:pPr>
      <w:r>
        <w:rPr>
          <w:rFonts w:ascii="Barlow Semi Condensed" w:cs="Barlow Semi Condensed" w:eastAsia="Barlow Semi Condensed" w:hAnsi="Barlow Semi Condensed"/>
          <w:b/>
          <w:bCs/>
          <w:sz w:val="24"/>
          <w:szCs w:val="24"/>
        </w:rPr>
        <w:t xml:space="preserve">260.</w:t>
      </w:r>
      <w:r>
        <w:rPr>
          <w:rFonts w:ascii="Barlow Semi Condensed" w:cs="Barlow Semi Condensed" w:eastAsia="Barlow Semi Condensed" w:hAnsi="Barlow Semi Condensed"/>
          <w:sz w:val="24"/>
          <w:szCs w:val="24"/>
        </w:rPr>
        <w:t xml:space="preserve"> IBKA — https://www.ibka.org/artikel/miz86/opusdei.html (https://www.ibka.org/artikel/miz86/opusdei.html)</w:t>
      </w:r>
    </w:p>
    <w:p>
      <w:pPr>
        <w:spacing w:after="120" w:line="276"/>
        <w:jc w:val="both"/>
      </w:pPr>
      <w:r>
        <w:rPr>
          <w:rFonts w:ascii="Barlow Semi Condensed" w:cs="Barlow Semi Condensed" w:eastAsia="Barlow Semi Condensed" w:hAnsi="Barlow Semi Condensed"/>
          <w:b/>
          <w:bCs/>
          <w:sz w:val="24"/>
          <w:szCs w:val="24"/>
        </w:rPr>
        <w:t xml:space="preserve">261.</w:t>
      </w:r>
      <w:r>
        <w:rPr>
          <w:rFonts w:ascii="Barlow Semi Condensed" w:cs="Barlow Semi Condensed" w:eastAsia="Barlow Semi Condensed" w:hAnsi="Barlow Semi Condensed"/>
          <w:sz w:val="24"/>
          <w:szCs w:val="24"/>
        </w:rPr>
        <w:t xml:space="preserve"> Christian Science Monitor — https://www.csmonitor.com/1984/1231/123131.html (https://www.csmonitor.com/1984/1231/123131.html)</w:t>
      </w:r>
    </w:p>
    <w:p>
      <w:pPr>
        <w:spacing w:after="120" w:line="276"/>
        <w:jc w:val="both"/>
      </w:pPr>
      <w:r>
        <w:rPr>
          <w:rFonts w:ascii="Barlow Semi Condensed" w:cs="Barlow Semi Condensed" w:eastAsia="Barlow Semi Condensed" w:hAnsi="Barlow Semi Condensed"/>
          <w:b/>
          <w:bCs/>
          <w:sz w:val="24"/>
          <w:szCs w:val="24"/>
        </w:rPr>
        <w:t xml:space="preserve">262.</w:t>
      </w:r>
      <w:r>
        <w:rPr>
          <w:rFonts w:ascii="Barlow Semi Condensed" w:cs="Barlow Semi Condensed" w:eastAsia="Barlow Semi Condensed" w:hAnsi="Barlow Semi Condensed"/>
          <w:sz w:val="24"/>
          <w:szCs w:val="24"/>
        </w:rPr>
        <w:t xml:space="preserve"> Opus Dei — https://opusdei.org/de/article/die-personalpraelatur-opus-dei-wie-sie-organisiert-ist-und-wie-sie-arbeitet/ (https://opusdei.org/de/article/die-personalpraelatur-opus-dei-wie-sie-organisiert-ist-und-wie-sie-arbeitet/)</w:t>
      </w:r>
    </w:p>
    <w:p>
      <w:pPr>
        <w:spacing w:after="120" w:line="276"/>
        <w:jc w:val="both"/>
      </w:pPr>
      <w:r>
        <w:rPr>
          <w:rFonts w:ascii="Barlow Semi Condensed" w:cs="Barlow Semi Condensed" w:eastAsia="Barlow Semi Condensed" w:hAnsi="Barlow Semi Condensed"/>
          <w:b/>
          <w:bCs/>
          <w:sz w:val="24"/>
          <w:szCs w:val="24"/>
        </w:rPr>
        <w:t xml:space="preserve">263.</w:t>
      </w:r>
      <w:r>
        <w:rPr>
          <w:rFonts w:ascii="Barlow Semi Condensed" w:cs="Barlow Semi Condensed" w:eastAsia="Barlow Semi Condensed" w:hAnsi="Barlow Semi Condensed"/>
          <w:sz w:val="24"/>
          <w:szCs w:val="24"/>
        </w:rPr>
        <w:t xml:space="preserve"> Opus Dei — https://opusdei.org/it-it/article/prelatura-personale/ (https://opusdei.org/it-it/article/prelatura-personale/)</w:t>
      </w:r>
    </w:p>
    <w:p>
      <w:pPr>
        <w:spacing w:after="120" w:line="276"/>
        <w:jc w:val="both"/>
      </w:pPr>
      <w:r>
        <w:rPr>
          <w:rFonts w:ascii="Barlow Semi Condensed" w:cs="Barlow Semi Condensed" w:eastAsia="Barlow Semi Condensed" w:hAnsi="Barlow Semi Condensed"/>
          <w:b/>
          <w:bCs/>
          <w:sz w:val="24"/>
          <w:szCs w:val="24"/>
        </w:rPr>
        <w:t xml:space="preserve">264.</w:t>
      </w:r>
      <w:r>
        <w:rPr>
          <w:rFonts w:ascii="Barlow Semi Condensed" w:cs="Barlow Semi Condensed" w:eastAsia="Barlow Semi Condensed" w:hAnsi="Barlow Semi Condensed"/>
          <w:sz w:val="24"/>
          <w:szCs w:val="24"/>
        </w:rPr>
        <w:t xml:space="preserve"> Opus Dei — https://multimedia.opusdei.org/pdf/de/vorwuerfe.pdf (https://multimedia.opusdei.org/pdf/de/vorwuerfe.pdf)</w:t>
      </w:r>
    </w:p>
    <w:p>
      <w:pPr>
        <w:spacing w:after="120" w:line="276"/>
        <w:jc w:val="both"/>
      </w:pPr>
      <w:r>
        <w:rPr>
          <w:rFonts w:ascii="Barlow Semi Condensed" w:cs="Barlow Semi Condensed" w:eastAsia="Barlow Semi Condensed" w:hAnsi="Barlow Semi Condensed"/>
          <w:b/>
          <w:bCs/>
          <w:sz w:val="24"/>
          <w:szCs w:val="24"/>
        </w:rPr>
        <w:t xml:space="preserve">265.</w:t>
      </w:r>
      <w:r>
        <w:rPr>
          <w:rFonts w:ascii="Barlow Semi Condensed" w:cs="Barlow Semi Condensed" w:eastAsia="Barlow Semi Condensed" w:hAnsi="Barlow Semi Condensed"/>
          <w:sz w:val="24"/>
          <w:szCs w:val="24"/>
        </w:rPr>
        <w:t xml:space="preserve"> Esteri — https://www.esteri.it/it/ministero/storia/ministri_esteri/ (https://www.esteri.it/it/ministero/storia/ministri_esteri/)</w:t>
      </w:r>
    </w:p>
    <w:p>
      <w:pPr>
        <w:spacing w:after="120" w:line="276"/>
        <w:jc w:val="both"/>
      </w:pPr>
      <w:r>
        <w:rPr>
          <w:rFonts w:ascii="Barlow Semi Condensed" w:cs="Barlow Semi Condensed" w:eastAsia="Barlow Semi Condensed" w:hAnsi="Barlow Semi Condensed"/>
          <w:b/>
          <w:bCs/>
          <w:sz w:val="24"/>
          <w:szCs w:val="24"/>
        </w:rPr>
        <w:t xml:space="preserve">266.</w:t>
      </w:r>
      <w:r>
        <w:rPr>
          <w:rFonts w:ascii="Barlow Semi Condensed" w:cs="Barlow Semi Condensed" w:eastAsia="Barlow Semi Condensed" w:hAnsi="Barlow Semi Condensed"/>
          <w:sz w:val="24"/>
          <w:szCs w:val="24"/>
        </w:rPr>
        <w:t xml:space="preserve"> willy-brandt-biography +2 — https://www.willy-brandt-biography.com/travels/1967-1974/ (https://www.willy-brandt-biography.com/travels/1967-1974/)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267.</w:t>
      </w:r>
      <w:r>
        <w:rPr>
          <w:rFonts w:ascii="Barlow Semi Condensed" w:cs="Barlow Semi Condensed" w:eastAsia="Barlow Semi Condensed" w:hAnsi="Barlow Semi Condensed"/>
          <w:sz w:val="24"/>
          <w:szCs w:val="24"/>
        </w:rPr>
        <w:t xml:space="preserve"> Wikipedia — https://en.wikipedia.org/wiki/Kniefall_von_Warschau (https://en.wikipedia.org/wiki/Kniefall_von_Warschau)</w:t>
      </w:r>
    </w:p>
    <w:p>
      <w:pPr>
        <w:spacing w:after="120" w:line="276"/>
        <w:jc w:val="both"/>
      </w:pPr>
      <w:r>
        <w:rPr>
          <w:rFonts w:ascii="Barlow Semi Condensed" w:cs="Barlow Semi Condensed" w:eastAsia="Barlow Semi Condensed" w:hAnsi="Barlow Semi Condensed"/>
          <w:b/>
          <w:bCs/>
          <w:sz w:val="24"/>
          <w:szCs w:val="24"/>
        </w:rPr>
        <w:t xml:space="preserve">268.</w:t>
      </w:r>
      <w:r>
        <w:rPr>
          <w:rFonts w:ascii="Barlow Semi Condensed" w:cs="Barlow Semi Condensed" w:eastAsia="Barlow Semi Condensed" w:hAnsi="Barlow Semi Condensed"/>
          <w:sz w:val="24"/>
          <w:szCs w:val="24"/>
        </w:rPr>
        <w:t xml:space="preserve"> Dizie — https://www.dizie.eu/dizionario/ostpolitik/?print=pdf (https://www.dizie.eu/dizionario/ostpolitik/?print=pdf)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269.</w:t>
      </w:r>
      <w:r>
        <w:rPr>
          <w:rFonts w:ascii="Barlow Semi Condensed" w:cs="Barlow Semi Condensed" w:eastAsia="Barlow Semi Condensed" w:hAnsi="Barlow Semi Condensed"/>
          <w:sz w:val="24"/>
          <w:szCs w:val="24"/>
        </w:rPr>
        <w:t xml:space="preserve"> LuissThesis — https://tesi.luiss.it/34225/1/090762_DI%20NARDO_FRANCESCO.pdf (https://tesi.luiss.it/34225/1/090762_DI%20NARDO_FRANCESCO.pdf)</w:t>
      </w:r>
    </w:p>
    <w:p>
      <w:pPr>
        <w:spacing w:after="120" w:line="276"/>
        <w:jc w:val="both"/>
      </w:pPr>
      <w:r>
        <w:rPr>
          <w:rFonts w:ascii="Barlow Semi Condensed" w:cs="Barlow Semi Condensed" w:eastAsia="Barlow Semi Condensed" w:hAnsi="Barlow Semi Condensed"/>
          <w:b/>
          <w:bCs/>
          <w:sz w:val="24"/>
          <w:szCs w:val="24"/>
        </w:rPr>
        <w:t xml:space="preserve">270.</w:t>
      </w:r>
      <w:r>
        <w:rPr>
          <w:rFonts w:ascii="Barlow Semi Condensed" w:cs="Barlow Semi Condensed" w:eastAsia="Barlow Semi Condensed" w:hAnsi="Barlow Semi Condensed"/>
          <w:sz w:val="24"/>
          <w:szCs w:val="24"/>
        </w:rPr>
        <w:t xml:space="preserve"> Berchet — https://liceoberchet.edu.it/ricerche/geo5d_06/csi/ostpolitik.htm (https://liceoberchet.edu.it/ricerche/geo5d_06/csi/ostpolitik.htm)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271.</w:t>
      </w:r>
      <w:r>
        <w:rPr>
          <w:rFonts w:ascii="Barlow Semi Condensed" w:cs="Barlow Semi Condensed" w:eastAsia="Barlow Semi Condensed" w:hAnsi="Barlow Semi Condensed"/>
          <w:sz w:val="24"/>
          <w:szCs w:val="24"/>
        </w:rPr>
        <w:t xml:space="preserve"> SISSCO — https://www.sissco.it/recensione-annale/la-ddr-e-litalia-politica-commercio-e-ideologia-nelleuropa-del-cambiamento-1973-1985/ (https://www.sissco.it/recensione-annale/la-ddr-e-litalia-politica-commercio-e-ideologia-nelleuropa-del-cambiamento-1973-1985/)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272.</w:t>
      </w:r>
      <w:r>
        <w:rPr>
          <w:rFonts w:ascii="Barlow Semi Condensed" w:cs="Barlow Semi Condensed" w:eastAsia="Barlow Semi Condensed" w:hAnsi="Barlow Semi Condensed"/>
          <w:sz w:val="24"/>
          <w:szCs w:val="24"/>
        </w:rPr>
        <w:t xml:space="preserve"> Fbk — https://aro-isig.fbk.eu/issues/2018/1/la-ddr-e-litalia-teresa-malice/pdf/ (https://aro-isig.fbk.eu/issues/2018/1/la-ddr-e-litalia-teresa-malice/pdf/)</w:t>
      </w:r>
    </w:p>
    <w:p>
      <w:pPr>
        <w:spacing w:after="120" w:line="276"/>
        <w:jc w:val="both"/>
      </w:pPr>
      <w:r>
        <w:rPr>
          <w:rFonts w:ascii="Barlow Semi Condensed" w:cs="Barlow Semi Condensed" w:eastAsia="Barlow Semi Condensed" w:hAnsi="Barlow Semi Condensed"/>
          <w:b/>
          <w:bCs/>
          <w:sz w:val="24"/>
          <w:szCs w:val="24"/>
        </w:rPr>
        <w:t xml:space="preserve">273.</w:t>
      </w:r>
      <w:r>
        <w:rPr>
          <w:rFonts w:ascii="Barlow Semi Condensed" w:cs="Barlow Semi Condensed" w:eastAsia="Barlow Semi Condensed" w:hAnsi="Barlow Semi Condensed"/>
          <w:sz w:val="24"/>
          <w:szCs w:val="24"/>
        </w:rPr>
        <w:t xml:space="preserve"> SEHEPUNKTE — https://www.sehepunkte.de/2018/04/31274.html (https://www.sehepunkte.de/2018/04/31274.html)</w:t>
      </w:r>
    </w:p>
    <w:p>
      <w:pPr>
        <w:spacing w:after="120" w:line="276"/>
        <w:jc w:val="both"/>
      </w:pPr>
      <w:r>
        <w:rPr>
          <w:rFonts w:ascii="Barlow Semi Condensed" w:cs="Barlow Semi Condensed" w:eastAsia="Barlow Semi Condensed" w:hAnsi="Barlow Semi Condensed"/>
          <w:b/>
          <w:bCs/>
          <w:sz w:val="24"/>
          <w:szCs w:val="24"/>
        </w:rPr>
        <w:t xml:space="preserve">274.</w:t>
      </w:r>
      <w:r>
        <w:rPr>
          <w:rFonts w:ascii="Barlow Semi Condensed" w:cs="Barlow Semi Condensed" w:eastAsia="Barlow Semi Condensed" w:hAnsi="Barlow Semi Condensed"/>
          <w:sz w:val="24"/>
          <w:szCs w:val="24"/>
        </w:rPr>
        <w:t xml:space="preserve"> Wordpress — https://diplosor.wordpress.com/documentario-con-i-filmati-dellamb-mario-luciolli-1964-1984/ (https://diplosor.wordpress.com/documentario-con-i-filmati-dellamb-mario-luciolli-1964-1984/)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275.</w:t>
      </w:r>
      <w:r>
        <w:rPr>
          <w:rFonts w:ascii="Barlow Semi Condensed" w:cs="Barlow Semi Condensed" w:eastAsia="Barlow Semi Condensed" w:hAnsi="Barlow Semi Condensed"/>
          <w:sz w:val="24"/>
          <w:szCs w:val="24"/>
        </w:rPr>
        <w:t xml:space="preserve"> Archive of European Integration — https://aei.pitt.edu/1451/1/hague_1969.pdf (https://aei.pitt.edu/1451/1/hague_1969.pdf)</w:t>
      </w:r>
    </w:p>
    <w:p>
      <w:pPr>
        <w:spacing w:after="120" w:line="276"/>
        <w:jc w:val="both"/>
      </w:pPr>
      <w:r>
        <w:rPr>
          <w:rFonts w:ascii="Barlow Semi Condensed" w:cs="Barlow Semi Condensed" w:eastAsia="Barlow Semi Condensed" w:hAnsi="Barlow Semi Condensed"/>
          <w:b/>
          <w:bCs/>
          <w:sz w:val="24"/>
          <w:szCs w:val="24"/>
        </w:rPr>
        <w:t xml:space="preserve">276.</w:t>
      </w:r>
      <w:r>
        <w:rPr>
          <w:rFonts w:ascii="Barlow Semi Condensed" w:cs="Barlow Semi Condensed" w:eastAsia="Barlow Semi Condensed" w:hAnsi="Barlow Semi Condensed"/>
          <w:sz w:val="24"/>
          <w:szCs w:val="24"/>
        </w:rPr>
        <w:t xml:space="preserve"> bpb — https://www.bpb.de/kurz-knapp/hintergrund-aktuell/324552/erstes-anwerbeabkommen-vor-65-jahren/ (https://www.bpb.de/kurz-knapp/hintergrund-aktuell/324552/erstes-anwerbeabkommen-vor-65-jahren/)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277.</w:t>
      </w:r>
      <w:r>
        <w:rPr>
          <w:rFonts w:ascii="Barlow Semi Condensed" w:cs="Barlow Semi Condensed" w:eastAsia="Barlow Semi Condensed" w:hAnsi="Barlow Semi Condensed"/>
          <w:sz w:val="24"/>
          <w:szCs w:val="24"/>
        </w:rPr>
        <w:t xml:space="preserve"> Fondazione Migrantes — https://www.migrantes.it/1955-2015-gastarbeiter-un-viaggio-lungo-60-anni/ (https://www.migrantes.it/1955-2015-gastarbeiter-un-viaggio-lungo-60-anni/)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278.</w:t>
      </w:r>
      <w:r>
        <w:rPr>
          <w:rFonts w:ascii="Barlow Semi Condensed" w:cs="Barlow Semi Condensed" w:eastAsia="Barlow Semi Condensed" w:hAnsi="Barlow Semi Condensed"/>
          <w:sz w:val="24"/>
          <w:szCs w:val="24"/>
        </w:rPr>
        <w:t xml:space="preserve"> Stampa Parlamento — https://www.stampaparlamento.it/2022/03/04/laccordo-italo-tedesco-del-20-dicembre-1955/ (https://www.stampaparlamento.it/2022/03/04/laccordo-italo-tedesco-del-20-dicembre-1955/)</w:t>
      </w:r>
    </w:p>
    <w:p>
      <w:pPr>
        <w:spacing w:after="120" w:line="276"/>
        <w:jc w:val="both"/>
      </w:pPr>
      <w:r>
        <w:rPr>
          <w:rFonts w:ascii="Barlow Semi Condensed" w:cs="Barlow Semi Condensed" w:eastAsia="Barlow Semi Condensed" w:hAnsi="Barlow Semi Condensed"/>
          <w:b/>
          <w:bCs/>
          <w:sz w:val="24"/>
          <w:szCs w:val="24"/>
        </w:rPr>
        <w:t xml:space="preserve">279.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bpb.de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280.</w:t>
      </w:r>
      <w:r>
        <w:rPr>
          <w:rFonts w:ascii="Barlow Semi Condensed" w:cs="Barlow Semi Condensed" w:eastAsia="Barlow Semi Condensed" w:hAnsi="Barlow Semi Condensed"/>
          <w:sz w:val="24"/>
          <w:szCs w:val="24"/>
        </w:rPr>
        <w:t xml:space="preserve"> Wikipedia — https://de.wikipedia.org/wiki/Anwerbeabkommen_zwischen_der_Bundesrepublik_Deutschland_und_Italien (https://de.wikipedia.org/wiki/Anwerbeabkommen_zwischen_der_Bundesrepublik_Deutschland_und_Italien)</w:t>
      </w:r>
    </w:p>
    <w:p>
      <w:pPr>
        <w:spacing w:after="120" w:line="276"/>
        <w:jc w:val="both"/>
      </w:pPr>
      <w:r>
        <w:rPr>
          <w:rFonts w:ascii="Barlow Semi Condensed" w:cs="Barlow Semi Condensed" w:eastAsia="Barlow Semi Condensed" w:hAnsi="Barlow Semi Condensed"/>
          <w:b/>
          <w:bCs/>
          <w:sz w:val="24"/>
          <w:szCs w:val="24"/>
        </w:rPr>
        <w:t xml:space="preserve">281.</w:t>
      </w:r>
      <w:r>
        <w:rPr>
          <w:rFonts w:ascii="Barlow Semi Condensed" w:cs="Barlow Semi Condensed" w:eastAsia="Barlow Semi Condensed" w:hAnsi="Barlow Semi Condensed"/>
          <w:sz w:val="24"/>
          <w:szCs w:val="24"/>
        </w:rPr>
        <w:t xml:space="preserve"> Storicamente — https://storicamente.org/migrazioni-prontera (https://storicamente.org/migrazioni-prontera)</w:t>
      </w:r>
    </w:p>
    <w:p>
      <w:pPr>
        <w:spacing w:after="120" w:line="276"/>
        <w:jc w:val="both"/>
      </w:pPr>
      <w:r>
        <w:rPr>
          <w:rFonts w:ascii="Barlow Semi Condensed" w:cs="Barlow Semi Condensed" w:eastAsia="Barlow Semi Condensed" w:hAnsi="Barlow Semi Condensed"/>
          <w:b/>
          <w:bCs/>
          <w:sz w:val="24"/>
          <w:szCs w:val="24"/>
        </w:rPr>
        <w:t xml:space="preserve">282.</w:t>
      </w:r>
      <w:r>
        <w:rPr>
          <w:rFonts w:ascii="Barlow Semi Condensed" w:cs="Barlow Semi Condensed" w:eastAsia="Barlow Semi Condensed" w:hAnsi="Barlow Semi Condensed"/>
          <w:sz w:val="24"/>
          <w:szCs w:val="24"/>
        </w:rPr>
        <w:t xml:space="preserve"> CVCE — https://www.cvce.eu/en/recherche/unit-content/-/unit/02bb76df-d066-4c08-a58a-d4686a3e68ff/a4b76b9e-9b8b-4752-9657-05e26c5a1f5d (https://www.cvce.eu/en/recherche/unit-content/-/unit/02bb76df-d066-4c08-a58a-d4686a3e68ff/a4b76b9e-9b8b-4752-9657-05e26c5a1f5d)</w:t>
      </w:r>
    </w:p>
    <w:p>
      <w:pPr>
        <w:spacing w:after="120" w:line="276"/>
        <w:jc w:val="both"/>
      </w:pPr>
      <w:r>
        <w:rPr>
          <w:rFonts w:ascii="Barlow Semi Condensed" w:cs="Barlow Semi Condensed" w:eastAsia="Barlow Semi Condensed" w:hAnsi="Barlow Semi Condensed"/>
          <w:b/>
          <w:bCs/>
          <w:sz w:val="24"/>
          <w:szCs w:val="24"/>
        </w:rPr>
        <w:t xml:space="preserve">283.</w:t>
      </w:r>
      <w:r>
        <w:rPr>
          <w:rFonts w:ascii="Barlow Semi Condensed" w:cs="Barlow Semi Condensed" w:eastAsia="Barlow Semi Condensed" w:hAnsi="Barlow Semi Condensed"/>
          <w:sz w:val="24"/>
          <w:szCs w:val="24"/>
        </w:rPr>
        <w:t xml:space="preserve"> Officinadellastoria — https://www.officinadellastoria.eu/it/2018/07/19/leuropa-tra-crisi-e-rilancio-il-vertice-dellaja-del-1969/ (https://www.officinadellastoria.eu/it/2018/07/19/leuropa-tra-crisi-e-rilancio-il-vertice-dellaja-del-1969/) </w:t>
      </w:r>
      <w:r>
        <w:rPr>
          <w:rFonts w:ascii="Barlow Semi Condensed" w:cs="Barlow Semi Condensed" w:eastAsia="Barlow Semi Condensed" w:hAnsi="Barlow Semi Condensed"/>
          <w:i/>
          <w:iCs/>
          <w:sz w:val="24"/>
          <w:szCs w:val="24"/>
        </w:rPr>
        <w:t xml:space="preserve">(citato 6 volte)</w:t>
      </w:r>
    </w:p>
    <w:p>
      <w:pPr>
        <w:spacing w:after="120" w:line="276"/>
        <w:jc w:val="both"/>
      </w:pPr>
      <w:r>
        <w:rPr>
          <w:rFonts w:ascii="Barlow Semi Condensed" w:cs="Barlow Semi Condensed" w:eastAsia="Barlow Semi Condensed" w:hAnsi="Barlow Semi Condensed"/>
          <w:b/>
          <w:bCs/>
          <w:sz w:val="24"/>
          <w:szCs w:val="24"/>
        </w:rPr>
        <w:t xml:space="preserve">284.</w:t>
      </w:r>
      <w:r>
        <w:rPr>
          <w:rFonts w:ascii="Barlow Semi Condensed" w:cs="Barlow Semi Condensed" w:eastAsia="Barlow Semi Condensed" w:hAnsi="Barlow Semi Condensed"/>
          <w:sz w:val="24"/>
          <w:szCs w:val="24"/>
        </w:rPr>
        <w:t xml:space="preserve"> vLex — https://eu.vlex.com/vid/werner-istituzioni-governo-monetario-264867494 (https://eu.vlex.com/vid/werner-istituzioni-governo-monetario-264867494)</w:t>
      </w:r>
    </w:p>
    <w:p>
      <w:pPr>
        <w:spacing w:after="120" w:line="276"/>
        <w:jc w:val="both"/>
      </w:pPr>
      <w:r>
        <w:rPr>
          <w:rFonts w:ascii="Barlow Semi Condensed" w:cs="Barlow Semi Condensed" w:eastAsia="Barlow Semi Condensed" w:hAnsi="Barlow Semi Condensed"/>
          <w:b/>
          <w:bCs/>
          <w:sz w:val="24"/>
          <w:szCs w:val="24"/>
        </w:rPr>
        <w:t xml:space="preserve">285.</w:t>
      </w:r>
      <w:r>
        <w:rPr>
          <w:rFonts w:ascii="Barlow Semi Condensed" w:cs="Barlow Semi Condensed" w:eastAsia="Barlow Semi Condensed" w:hAnsi="Barlow Semi Condensed"/>
          <w:sz w:val="24"/>
          <w:szCs w:val="24"/>
        </w:rPr>
        <w:t xml:space="preserve"> Unibo — https://aldomorodigitale.unibo.it/additional_resources/?id=141&amp;type=essay (https://aldomorodigitale.unibo.it/additional_resources/?id=141&amp;type=essay)</w:t>
      </w:r>
    </w:p>
    <w:p>
      <w:pPr>
        <w:spacing w:after="120" w:line="276"/>
        <w:jc w:val="both"/>
      </w:pPr>
      <w:r>
        <w:rPr>
          <w:rFonts w:ascii="Barlow Semi Condensed" w:cs="Barlow Semi Condensed" w:eastAsia="Barlow Semi Condensed" w:hAnsi="Barlow Semi Condensed"/>
          <w:b/>
          <w:bCs/>
          <w:sz w:val="24"/>
          <w:szCs w:val="24"/>
        </w:rPr>
        <w:t xml:space="preserve">286.</w:t>
      </w:r>
      <w:r>
        <w:rPr>
          <w:rFonts w:ascii="Barlow Semi Condensed" w:cs="Barlow Semi Condensed" w:eastAsia="Barlow Semi Condensed" w:hAnsi="Barlow Semi Condensed"/>
          <w:sz w:val="24"/>
          <w:szCs w:val="24"/>
        </w:rPr>
        <w:t xml:space="preserve"> Unipd — https://thesis.unipd.it/retrieve/a718646f-1fb5-445a-9b20-aeb407baaafb/Petrila_Andreea_Roxana.pdf (https://thesis.unipd.it/retrieve/a718646f-1fb5-445a-9b20-aeb407baaafb/Petrila_Andreea_Roxana.pdf)</w:t>
      </w:r>
    </w:p>
    <w:p>
      <w:pPr>
        <w:spacing w:after="120" w:line="276"/>
        <w:jc w:val="both"/>
      </w:pPr>
      <w:r>
        <w:rPr>
          <w:rFonts w:ascii="Barlow Semi Condensed" w:cs="Barlow Semi Condensed" w:eastAsia="Barlow Semi Condensed" w:hAnsi="Barlow Semi Condensed"/>
          <w:b/>
          <w:bCs/>
          <w:sz w:val="24"/>
          <w:szCs w:val="24"/>
        </w:rPr>
        <w:t xml:space="preserve">287.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foia.cia.gov/readingroom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288.</w:t>
      </w:r>
      <w:r>
        <w:rPr>
          <w:rFonts w:ascii="Barlow Semi Condensed" w:cs="Barlow Semi Condensed" w:eastAsia="Barlow Semi Condensed" w:hAnsi="Barlow Semi Condensed"/>
          <w:sz w:val="24"/>
          <w:szCs w:val="24"/>
        </w:rPr>
        <w:t xml:space="preserve"> Freie Universität Berlin — https://www.geisteswissenschaften.fu-berlin.de/it/italienzentrum/forschung-lehre/Gastdozent_innen/Ex-docenti/Filippo-Triola/index.html (https://www.geisteswissenschaften.fu-berlin.de/it/italienzentrum/forschung-lehre/Gastdozent_innen/Ex-docenti/Filippo-Triola/index.html)</w:t>
      </w:r>
    </w:p>
    <w:p>
      <w:pPr>
        <w:spacing w:after="120" w:line="276"/>
        <w:jc w:val="both"/>
      </w:pPr>
      <w:r>
        <w:rPr>
          <w:rFonts w:ascii="Barlow Semi Condensed" w:cs="Barlow Semi Condensed" w:eastAsia="Barlow Semi Condensed" w:hAnsi="Barlow Semi Condensed"/>
          <w:b/>
          <w:bCs/>
          <w:sz w:val="24"/>
          <w:szCs w:val="24"/>
        </w:rPr>
        <w:t xml:space="preserve">289.</w:t>
      </w:r>
      <w:r>
        <w:rPr>
          <w:rFonts w:ascii="Barlow Semi Condensed" w:cs="Barlow Semi Condensed" w:eastAsia="Barlow Semi Condensed" w:hAnsi="Barlow Semi Condensed"/>
          <w:sz w:val="24"/>
          <w:szCs w:val="24"/>
        </w:rPr>
        <w:t xml:space="preserve"> Unibo — https://amsdottorato.unibo.it/id/eprint/5721/1/Triola_Flippo_Tesi.pdf (https://amsdottorato.unibo.it/id/eprint/5721/1/Triola_Flippo_Tesi.pdf)</w:t>
      </w:r>
    </w:p>
    <w:p>
      <w:pPr>
        <w:pStyle w:val="Heading3"/>
        <w:spacing w:after="80" w:before="160"/>
      </w:pPr>
      <w:r>
        <w:rPr>
          <w:rFonts w:ascii="Barlow Semi Condensed" w:cs="Barlow Semi Condensed" w:eastAsia="Barlow Semi Condensed" w:hAnsi="Barlow Semi Condensed"/>
          <w:sz w:val="24"/>
          <w:szCs w:val="24"/>
        </w:rPr>
        <w:t xml:space="preserve">Libro dodicesimo · IV — La Santa Sede e le due Germanie: la sequenza Oder-Neisse</w:t>
      </w:r>
    </w:p>
    <w:p>
      <w:pPr>
        <w:spacing w:after="120" w:line="276"/>
        <w:jc w:val="both"/>
      </w:pPr>
      <w:r>
        <w:rPr>
          <w:rFonts w:ascii="Barlow Semi Condensed" w:cs="Barlow Semi Condensed" w:eastAsia="Barlow Semi Condensed" w:hAnsi="Barlow Semi Condensed"/>
          <w:b/>
          <w:bCs/>
          <w:sz w:val="24"/>
          <w:szCs w:val="24"/>
        </w:rPr>
        <w:t xml:space="preserve">290.</w:t>
      </w:r>
      <w:r>
        <w:rPr>
          <w:rFonts w:ascii="Barlow Semi Condensed" w:cs="Barlow Semi Condensed" w:eastAsia="Barlow Semi Condensed" w:hAnsi="Barlow Semi Condensed"/>
          <w:sz w:val="24"/>
          <w:szCs w:val="24"/>
        </w:rPr>
        <w:t xml:space="preserve"> Vatican — https://www.vatican.va/content/paul-vi/la/apost_constitutions/documents/hf_p-vi_apc_19720628_vratislaviensis.html (https://www.vatican.va/content/paul-vi/la/apost_constitutions/documents/hf_p-vi_apc_19720628_vratislaviensis.html)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291.</w:t>
      </w:r>
      <w:r>
        <w:rPr>
          <w:rFonts w:ascii="Barlow Semi Condensed" w:cs="Barlow Semi Condensed" w:eastAsia="Barlow Semi Condensed" w:hAnsi="Barlow Semi Condensed"/>
          <w:sz w:val="24"/>
          <w:szCs w:val="24"/>
        </w:rPr>
        <w:t xml:space="preserve"> zapiskihistoryczne — https://www.zapiskihistoryczne.pl/files/issues/3eec121a6dde7c3b4e34b1c06bd7524a_ZH_2017_3_07_ENG_Bialkowski_N.pdf (https://www.zapiskihistoryczne.pl/files/issues/3eec121a6dde7c3b4e34b1c06bd7524a_ZH_2017_3_07_ENG_Bialkowski_N.pdf)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292.</w:t>
      </w:r>
      <w:r>
        <w:rPr>
          <w:rFonts w:ascii="Barlow Semi Condensed" w:cs="Barlow Semi Condensed" w:eastAsia="Barlow Semi Condensed" w:hAnsi="Barlow Semi Condensed"/>
          <w:sz w:val="24"/>
          <w:szCs w:val="24"/>
        </w:rPr>
        <w:t xml:space="preserve"> uni-oldenburg — https://ome-lexikon.uni-oldenburg.de/begriffe/briefwechsel-der-polnischen-und-deutschen-bischoefe (https://ome-lexikon.uni-oldenburg.de/begriffe/briefwechsel-der-polnischen-und-deutschen-bischoefe)</w:t>
      </w:r>
    </w:p>
    <w:p>
      <w:pPr>
        <w:spacing w:after="120" w:line="276"/>
        <w:jc w:val="both"/>
      </w:pPr>
      <w:r>
        <w:rPr>
          <w:rFonts w:ascii="Barlow Semi Condensed" w:cs="Barlow Semi Condensed" w:eastAsia="Barlow Semi Condensed" w:hAnsi="Barlow Semi Condensed"/>
          <w:b/>
          <w:bCs/>
          <w:sz w:val="24"/>
          <w:szCs w:val="24"/>
        </w:rPr>
        <w:t xml:space="preserve">293.</w:t>
      </w:r>
      <w:r>
        <w:rPr>
          <w:rFonts w:ascii="Barlow Semi Condensed" w:cs="Barlow Semi Condensed" w:eastAsia="Barlow Semi Condensed" w:hAnsi="Barlow Semi Condensed"/>
          <w:sz w:val="24"/>
          <w:szCs w:val="24"/>
        </w:rPr>
        <w:t xml:space="preserve"> SettimanaNews — https://www.settimananews.it/vescovi/guerra-fragile-memoria/ (https://www.settimananews.it/vescovi/guerra-fragile-memoria/)</w:t>
      </w:r>
    </w:p>
    <w:p>
      <w:pPr>
        <w:spacing w:after="120" w:line="276"/>
        <w:jc w:val="both"/>
      </w:pPr>
      <w:r>
        <w:rPr>
          <w:rFonts w:ascii="Barlow Semi Condensed" w:cs="Barlow Semi Condensed" w:eastAsia="Barlow Semi Condensed" w:hAnsi="Barlow Semi Condensed"/>
          <w:b/>
          <w:bCs/>
          <w:sz w:val="24"/>
          <w:szCs w:val="24"/>
        </w:rPr>
        <w:t xml:space="preserve">294.</w:t>
      </w:r>
      <w:r>
        <w:rPr>
          <w:rFonts w:ascii="Barlow Semi Condensed" w:cs="Barlow Semi Condensed" w:eastAsia="Barlow Semi Condensed" w:hAnsi="Barlow Semi Condensed"/>
          <w:sz w:val="24"/>
          <w:szCs w:val="24"/>
        </w:rPr>
        <w:t xml:space="preserve"> SettimanaNews — https://www.settimananews.it/chiesa/polonia-il-primate-del-millennio/ (https://www.settimananews.it/chiesa/polonia-il-primate-del-millennio/)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295.</w:t>
      </w:r>
      <w:r>
        <w:rPr>
          <w:rFonts w:ascii="Barlow Semi Condensed" w:cs="Barlow Semi Condensed" w:eastAsia="Barlow Semi Condensed" w:hAnsi="Barlow Semi Condensed"/>
          <w:sz w:val="24"/>
          <w:szCs w:val="24"/>
        </w:rPr>
        <w:t xml:space="preserve"> Zenit — https://it.zenit.org/2015/10/26/un-messaggio-che-fu-un-atto-di-coraggio-dell-episcopato-polacco/ (https://it.zenit.org/2015/10/26/un-messaggio-che-fu-un-atto-di-coraggio-dell-episcopato-polacco/)</w:t>
      </w:r>
    </w:p>
    <w:p>
      <w:pPr>
        <w:spacing w:after="120" w:line="276"/>
        <w:jc w:val="both"/>
      </w:pPr>
      <w:r>
        <w:rPr>
          <w:rFonts w:ascii="Barlow Semi Condensed" w:cs="Barlow Semi Condensed" w:eastAsia="Barlow Semi Condensed" w:hAnsi="Barlow Semi Condensed"/>
          <w:b/>
          <w:bCs/>
          <w:sz w:val="24"/>
          <w:szCs w:val="24"/>
        </w:rPr>
        <w:t xml:space="preserve">296.</w:t>
      </w:r>
      <w:r>
        <w:rPr>
          <w:rFonts w:ascii="Barlow Semi Condensed" w:cs="Barlow Semi Condensed" w:eastAsia="Barlow Semi Condensed" w:hAnsi="Barlow Semi Condensed"/>
          <w:sz w:val="24"/>
          <w:szCs w:val="24"/>
        </w:rPr>
        <w:t xml:space="preserve"> Konrad-Adenauer-Stiftung — https://www.kas.de/en/web/geschichte-der-cdu/calendar-detail/-/content/der-bundestag-ratifiziert-den-moskauer-und-den-warschauer-vertrag-und-stimmt-der-gemeinsamen-entschl (https://www.kas.de/en/web/geschichte-der-cdu/calendar-detail/-/content/der-bundestag-ratifiziert-den-moskauer-und-den-warschauer-vertrag-und-stimmt-der-gemeinsamen-entschl)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297.</w:t>
      </w:r>
      <w:r>
        <w:rPr>
          <w:rFonts w:ascii="Barlow Semi Condensed" w:cs="Barlow Semi Condensed" w:eastAsia="Barlow Semi Condensed" w:hAnsi="Barlow Semi Condensed"/>
          <w:sz w:val="24"/>
          <w:szCs w:val="24"/>
        </w:rPr>
        <w:t xml:space="preserve"> dpa Picture-Alliance — https://www.picture-alliance.com/en/webseries/2022-05-17-50-years-ago-eastern-treaties-with-the-soviet-union-and-poland-passed-in-the-bundestag-w287155 (https://www.picture-alliance.com/en/webseries/2022-05-17-50-years-ago-eastern-treaties-with-the-soviet-union-and-poland-passed-in-the-bundestag-w287155)</w:t>
      </w:r>
    </w:p>
    <w:p>
      <w:pPr>
        <w:spacing w:after="120" w:line="276"/>
        <w:jc w:val="both"/>
      </w:pPr>
      <w:r>
        <w:rPr>
          <w:rFonts w:ascii="Barlow Semi Condensed" w:cs="Barlow Semi Condensed" w:eastAsia="Barlow Semi Condensed" w:hAnsi="Barlow Semi Condensed"/>
          <w:b/>
          <w:bCs/>
          <w:sz w:val="24"/>
          <w:szCs w:val="24"/>
        </w:rPr>
        <w:t xml:space="preserve">298.</w:t>
      </w:r>
      <w:r>
        <w:rPr>
          <w:rFonts w:ascii="Barlow Semi Condensed" w:cs="Barlow Semi Condensed" w:eastAsia="Barlow Semi Condensed" w:hAnsi="Barlow Semi Condensed"/>
          <w:sz w:val="24"/>
          <w:szCs w:val="24"/>
        </w:rPr>
        <w:t xml:space="preserve"> Wikipedia — https://pl.wikipedia.org/wiki/Episcoporum_Poloniae_coetus (https://pl.wikipedia.org/wiki/Episcoporum_Poloniae_coetus)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299.</w:t>
      </w:r>
      <w:r>
        <w:rPr>
          <w:rFonts w:ascii="Barlow Semi Condensed" w:cs="Barlow Semi Condensed" w:eastAsia="Barlow Semi Condensed" w:hAnsi="Barlow Semi Condensed"/>
          <w:sz w:val="24"/>
          <w:szCs w:val="24"/>
        </w:rPr>
        <w:t xml:space="preserve"> En Academic — https://en-academic.com/dic.nsf/enwiki/3499690 (https://en-academic.com/dic.nsf/enwiki/3499690)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300.</w:t>
      </w:r>
      <w:r>
        <w:rPr>
          <w:rFonts w:ascii="Barlow Semi Condensed" w:cs="Barlow Semi Condensed" w:eastAsia="Barlow Semi Condensed" w:hAnsi="Barlow Semi Condensed"/>
          <w:sz w:val="24"/>
          <w:szCs w:val="24"/>
        </w:rPr>
        <w:t xml:space="preserve"> diecezjakoszalin — https://www.diecezjakoszalin.pl/bulla-episcoporum-poloniae-coetus (https://www.diecezjakoszalin.pl/bulla-episcoporum-poloniae-coetus)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301.</w:t>
      </w:r>
      <w:r>
        <w:rPr>
          <w:rFonts w:ascii="Barlow Semi Condensed" w:cs="Barlow Semi Condensed" w:eastAsia="Barlow Semi Condensed" w:hAnsi="Barlow Semi Condensed"/>
          <w:sz w:val="24"/>
          <w:szCs w:val="24"/>
        </w:rPr>
        <w:t xml:space="preserve"> Diecezji Zielonogórsko-Gorzowskiej — https://diecezjazg.pl/45-lat-episcoporum-poloniae-coetus/ (https://diecezjazg.pl/45-lat-episcoporum-poloniae-coetus/)</w:t>
      </w:r>
    </w:p>
    <w:p>
      <w:pPr>
        <w:spacing w:after="120" w:line="276"/>
        <w:jc w:val="both"/>
      </w:pPr>
      <w:r>
        <w:rPr>
          <w:rFonts w:ascii="Barlow Semi Condensed" w:cs="Barlow Semi Condensed" w:eastAsia="Barlow Semi Condensed" w:hAnsi="Barlow Semi Condensed"/>
          <w:b/>
          <w:bCs/>
          <w:sz w:val="24"/>
          <w:szCs w:val="24"/>
        </w:rPr>
        <w:t xml:space="preserve">302.</w:t>
      </w:r>
      <w:r>
        <w:rPr>
          <w:rFonts w:ascii="Barlow Semi Condensed" w:cs="Barlow Semi Condensed" w:eastAsia="Barlow Semi Condensed" w:hAnsi="Barlow Semi Condensed"/>
          <w:sz w:val="24"/>
          <w:szCs w:val="24"/>
        </w:rPr>
        <w:t xml:space="preserve"> Cambridge Core — https://www.cambridge.org/core/journals/church-history/article/diplomatic-relations-between-poland-and-the-holy-see-and-the-vaticans-ostpolitik-from-the-perspective-of-cardinal-stefan-wyszynski-primate-of-poland-19481981/FFE51F5CC9F89D956808883C94F59F37 (https://www.cambridge.org/core/journals/church-history/article/diplomatic-relations-between-poland-and-the-holy-see-and-the-vaticans-ostpolitik-from-the-perspective-of-cardinal-stefan-wyszynski-primate-of-poland-19481981/FFE51F5CC9F89D956808883C94F59F37)</w:t>
      </w:r>
    </w:p>
    <w:p>
      <w:pPr>
        <w:spacing w:after="120" w:line="276"/>
        <w:jc w:val="both"/>
      </w:pPr>
      <w:r>
        <w:rPr>
          <w:rFonts w:ascii="Barlow Semi Condensed" w:cs="Barlow Semi Condensed" w:eastAsia="Barlow Semi Condensed" w:hAnsi="Barlow Semi Condensed"/>
          <w:b/>
          <w:bCs/>
          <w:sz w:val="24"/>
          <w:szCs w:val="24"/>
        </w:rPr>
        <w:t xml:space="preserve">303.</w:t>
      </w:r>
      <w:r>
        <w:rPr>
          <w:rFonts w:ascii="Barlow Semi Condensed" w:cs="Barlow Semi Condensed" w:eastAsia="Barlow Semi Condensed" w:hAnsi="Barlow Semi Condensed"/>
          <w:sz w:val="24"/>
          <w:szCs w:val="24"/>
        </w:rPr>
        <w:t xml:space="preserve"> owep — https://www.owep.de/artikel/472-getrennte-vergangenheit-gemeinsame-zukunft-polnische-und-deutsche-katholiken-1945-1978 (https://www.owep.de/artikel/472-getrennte-vergangenheit-gemeinsame-zukunft-polnische-und-deutsche-katholiken-1945-1978)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304.</w:t>
      </w:r>
      <w:r>
        <w:rPr>
          <w:rFonts w:ascii="Barlow Semi Condensed" w:cs="Barlow Semi Condensed" w:eastAsia="Barlow Semi Condensed" w:hAnsi="Barlow Semi Condensed"/>
          <w:sz w:val="24"/>
          <w:szCs w:val="24"/>
        </w:rPr>
        <w:t xml:space="preserve"> DOMRADIO.DE — https://www.domradio.de/artikel/bischoefe-lassen-besondere-vertriebenenseelsorge-auslaufen (https://www.domradio.de/artikel/bischoefe-lassen-besondere-vertriebenenseelsorge-auslaufen)</w:t>
      </w:r>
    </w:p>
    <w:p>
      <w:pPr>
        <w:spacing w:after="120" w:line="276"/>
        <w:jc w:val="both"/>
      </w:pPr>
      <w:r>
        <w:rPr>
          <w:rFonts w:ascii="Barlow Semi Condensed" w:cs="Barlow Semi Condensed" w:eastAsia="Barlow Semi Condensed" w:hAnsi="Barlow Semi Condensed"/>
          <w:b/>
          <w:bCs/>
          <w:sz w:val="24"/>
          <w:szCs w:val="24"/>
        </w:rPr>
        <w:t xml:space="preserve">305.</w:t>
      </w:r>
      <w:r>
        <w:rPr>
          <w:rFonts w:ascii="Barlow Semi Condensed" w:cs="Barlow Semi Condensed" w:eastAsia="Barlow Semi Condensed" w:hAnsi="Barlow Semi Condensed"/>
          <w:sz w:val="24"/>
          <w:szCs w:val="24"/>
        </w:rPr>
        <w:t xml:space="preserve"> Ikamien — https://ikamien.pl/artykuly/14945/ (https://ikamien.pl/artykuly/14945/)</w:t>
      </w:r>
    </w:p>
    <w:p>
      <w:pPr>
        <w:spacing w:after="120" w:line="276"/>
        <w:jc w:val="both"/>
      </w:pPr>
      <w:r>
        <w:rPr>
          <w:rFonts w:ascii="Barlow Semi Condensed" w:cs="Barlow Semi Condensed" w:eastAsia="Barlow Semi Condensed" w:hAnsi="Barlow Semi Condensed"/>
          <w:b/>
          <w:bCs/>
          <w:sz w:val="24"/>
          <w:szCs w:val="24"/>
        </w:rPr>
        <w:t xml:space="preserve">306.</w:t>
      </w:r>
      <w:r>
        <w:rPr>
          <w:rFonts w:ascii="Barlow Semi Condensed" w:cs="Barlow Semi Condensed" w:eastAsia="Barlow Semi Condensed" w:hAnsi="Barlow Semi Condensed"/>
          <w:sz w:val="24"/>
          <w:szCs w:val="24"/>
        </w:rPr>
        <w:t xml:space="preserve"> Cambridge Core — https://www.cambridge.org/core/journals/review-of-politics/article/abs/vaticans-ostpolitik/AC442D87BDF81829CD57653F878EB16A (https://www.cambridge.org/core/journals/review-of-politics/article/abs/vaticans-ostpolitik/AC442D87BDF81829CD57653F878EB16A)</w:t>
      </w:r>
    </w:p>
    <w:p>
      <w:pPr>
        <w:spacing w:after="120" w:line="276"/>
        <w:jc w:val="both"/>
      </w:pPr>
      <w:r>
        <w:rPr>
          <w:rFonts w:ascii="Barlow Semi Condensed" w:cs="Barlow Semi Condensed" w:eastAsia="Barlow Semi Condensed" w:hAnsi="Barlow Semi Condensed"/>
          <w:b/>
          <w:bCs/>
          <w:sz w:val="24"/>
          <w:szCs w:val="24"/>
        </w:rPr>
        <w:t xml:space="preserve">307.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ddr-im-blick.de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308.</w:t>
      </w:r>
      <w:r>
        <w:rPr>
          <w:rFonts w:ascii="Barlow Semi Condensed" w:cs="Barlow Semi Condensed" w:eastAsia="Barlow Semi Condensed" w:hAnsi="Barlow Semi Condensed"/>
          <w:sz w:val="24"/>
          <w:szCs w:val="24"/>
        </w:rPr>
        <w:t xml:space="preserve"> Wikipedia — https://en.wikipedia.org/wiki/Archdiocese_of_Wroc%C5%82aw (https://en.wikipedia.org/wiki/Archdiocese_of_Wroc%C5%82aw)</w:t>
      </w:r>
    </w:p>
    <w:p>
      <w:pPr>
        <w:spacing w:after="120" w:line="276"/>
        <w:jc w:val="both"/>
      </w:pPr>
      <w:r>
        <w:rPr>
          <w:rFonts w:ascii="Barlow Semi Condensed" w:cs="Barlow Semi Condensed" w:eastAsia="Barlow Semi Condensed" w:hAnsi="Barlow Semi Condensed"/>
          <w:b/>
          <w:bCs/>
          <w:sz w:val="24"/>
          <w:szCs w:val="24"/>
        </w:rPr>
        <w:t xml:space="preserve">309.</w:t>
      </w:r>
      <w:r>
        <w:rPr>
          <w:rFonts w:ascii="Barlow Semi Condensed" w:cs="Barlow Semi Condensed" w:eastAsia="Barlow Semi Condensed" w:hAnsi="Barlow Semi Condensed"/>
          <w:sz w:val="24"/>
          <w:szCs w:val="24"/>
        </w:rPr>
        <w:t xml:space="preserve"> Wikipedia — https://en.wikipedia.org/wiki/Aldo_Moro (https://en.wikipedia.org/wiki/Aldo_Moro)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310.</w:t>
      </w:r>
      <w:r>
        <w:rPr>
          <w:rFonts w:ascii="Barlow Semi Condensed" w:cs="Barlow Semi Condensed" w:eastAsia="Barlow Semi Condensed" w:hAnsi="Barlow Semi Condensed"/>
          <w:sz w:val="24"/>
          <w:szCs w:val="24"/>
        </w:rPr>
        <w:t xml:space="preserve"> katholisch.de — https://katholisch.de/artikel/54136-das-reichskonkordat-kontroversen-um-einen-teufelspakt (https://katholisch.de/artikel/54136-das-reichskonkordat-kontroversen-um-einen-teufelspakt)</w:t>
      </w:r>
    </w:p>
    <w:p>
      <w:pPr>
        <w:pStyle w:val="Heading3"/>
        <w:spacing w:after="80" w:before="160"/>
      </w:pPr>
      <w:r>
        <w:rPr>
          <w:rFonts w:ascii="Barlow Semi Condensed" w:cs="Barlow Semi Condensed" w:eastAsia="Barlow Semi Condensed" w:hAnsi="Barlow Semi Condensed"/>
          <w:sz w:val="24"/>
          <w:szCs w:val="24"/>
        </w:rPr>
        <w:t xml:space="preserve">Libro dodicesimo · V — Portogallo e Opus Dei</w:t>
      </w:r>
    </w:p>
    <w:p>
      <w:pPr>
        <w:spacing w:after="120" w:line="276"/>
        <w:jc w:val="both"/>
      </w:pPr>
      <w:r>
        <w:rPr>
          <w:rFonts w:ascii="Barlow Semi Condensed" w:cs="Barlow Semi Condensed" w:eastAsia="Barlow Semi Condensed" w:hAnsi="Barlow Semi Condensed"/>
          <w:b/>
          <w:bCs/>
          <w:sz w:val="24"/>
          <w:szCs w:val="24"/>
        </w:rPr>
        <w:t xml:space="preserve">311.</w:t>
      </w:r>
      <w:r>
        <w:rPr>
          <w:rFonts w:ascii="Barlow Semi Condensed" w:cs="Barlow Semi Condensed" w:eastAsia="Barlow Semi Condensed" w:hAnsi="Barlow Semi Condensed"/>
          <w:sz w:val="24"/>
          <w:szCs w:val="24"/>
        </w:rPr>
        <w:t xml:space="preserve"> CNN Portugal — https://cnnportugal.iol.pt/religiao/igreja-catolica/o-papa-francisco-usou-cilicio-entrevista-rara-do-lider-do-opus-dei-que-assume-acolhimento-de-homossexuais/20220205/61fd3b150cf2cc58e7e10649 (https://cnnportugal.iol.pt/religiao/igreja-catolica/o-papa-francisco-usou-cilicio-entrevista-rara-do-lider-do-opus-dei-que-assume-acolhimento-de-homossexuais/20220205/61fd3b150cf2cc58e7e10649)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312.</w:t>
      </w:r>
      <w:r>
        <w:rPr>
          <w:rFonts w:ascii="Barlow Semi Condensed" w:cs="Barlow Semi Condensed" w:eastAsia="Barlow Semi Condensed" w:hAnsi="Barlow Semi Condensed"/>
          <w:sz w:val="24"/>
          <w:szCs w:val="24"/>
        </w:rPr>
        <w:t xml:space="preserve"> WOOK — https://www.wook.pt/livro/salazar-e-a-conspiracao-do-opus-dei-antonio-jose-vilela/10952303 (https://www.wook.pt/livro/salazar-e-a-conspiracao-do-opus-dei-antonio-jose-vilela/10952303)</w:t>
      </w:r>
    </w:p>
    <w:p>
      <w:pPr>
        <w:spacing w:after="120" w:line="276"/>
        <w:jc w:val="both"/>
      </w:pPr>
      <w:r>
        <w:rPr>
          <w:rFonts w:ascii="Barlow Semi Condensed" w:cs="Barlow Semi Condensed" w:eastAsia="Barlow Semi Condensed" w:hAnsi="Barlow Semi Condensed"/>
          <w:b/>
          <w:bCs/>
          <w:sz w:val="24"/>
          <w:szCs w:val="24"/>
        </w:rPr>
        <w:t xml:space="preserve">313.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aldomoro.eu</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7 volte)</w:t>
      </w:r>
    </w:p>
    <w:p>
      <w:pPr>
        <w:spacing w:after="120" w:line="276"/>
        <w:jc w:val="both"/>
      </w:pPr>
      <w:r>
        <w:rPr>
          <w:rFonts w:ascii="Barlow Semi Condensed" w:cs="Barlow Semi Condensed" w:eastAsia="Barlow Semi Condensed" w:hAnsi="Barlow Semi Condensed"/>
          <w:b/>
          <w:bCs/>
          <w:sz w:val="24"/>
          <w:szCs w:val="24"/>
        </w:rPr>
        <w:t xml:space="preserve">314.</w:t>
      </w:r>
      <w:r>
        <w:rPr>
          <w:rFonts w:ascii="Barlow Semi Condensed" w:cs="Barlow Semi Condensed" w:eastAsia="Barlow Semi Condensed" w:hAnsi="Barlow Semi Condensed"/>
          <w:sz w:val="24"/>
          <w:szCs w:val="24"/>
        </w:rPr>
        <w:t xml:space="preserve"> DN — https://www.dn.pt/sociedade/opus-dei-em-portugal-com-um-empurrao-da-irma-lucia--14256887.html (https://www.dn.pt/sociedade/opus-dei-em-portugal-com-um-empurrao-da-irma-lucia--14256887.html)</w:t>
      </w:r>
    </w:p>
    <w:p>
      <w:pPr>
        <w:spacing w:after="120" w:line="276"/>
        <w:jc w:val="both"/>
      </w:pPr>
      <w:r>
        <w:rPr>
          <w:rFonts w:ascii="Barlow Semi Condensed" w:cs="Barlow Semi Condensed" w:eastAsia="Barlow Semi Condensed" w:hAnsi="Barlow Semi Condensed"/>
          <w:b/>
          <w:bCs/>
          <w:sz w:val="24"/>
          <w:szCs w:val="24"/>
        </w:rPr>
        <w:t xml:space="preserve">315.</w:t>
      </w:r>
      <w:r>
        <w:rPr>
          <w:rFonts w:ascii="Barlow Semi Condensed" w:cs="Barlow Semi Condensed" w:eastAsia="Barlow Semi Condensed" w:hAnsi="Barlow Semi Condensed"/>
          <w:sz w:val="24"/>
          <w:szCs w:val="24"/>
        </w:rPr>
        <w:t xml:space="preserve"> Opus Dei — https://opusdei.org/pt-pt/article/historia-opus-dei-portugal/ (https://opusdei.org/pt-pt/article/historia-opus-dei-portugal/)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316.</w:t>
      </w:r>
      <w:r>
        <w:rPr>
          <w:rFonts w:ascii="Barlow Semi Condensed" w:cs="Barlow Semi Condensed" w:eastAsia="Barlow Semi Condensed" w:hAnsi="Barlow Semi Condensed"/>
          <w:sz w:val="24"/>
          <w:szCs w:val="24"/>
        </w:rPr>
        <w:t xml:space="preserve"> ucp — https://journals.ucp.pt/index.php/lusitaniasacra/article/download/11811/11315 (https://journals.ucp.pt/index.php/lusitaniasacra/article/download/11811/11315)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317.</w:t>
      </w:r>
      <w:r>
        <w:rPr>
          <w:rFonts w:ascii="Barlow Semi Condensed" w:cs="Barlow Semi Condensed" w:eastAsia="Barlow Semi Condensed" w:hAnsi="Barlow Semi Condensed"/>
          <w:sz w:val="24"/>
          <w:szCs w:val="24"/>
        </w:rPr>
        <w:t xml:space="preserve"> Sul 21 — https://sul21.com.br/opiniao/2011/07/infiltrados-no-estado-novo/ (https://sul21.com.br/opiniao/2011/07/infiltrados-no-estado-novo/)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318.</w:t>
      </w:r>
      <w:r>
        <w:rPr>
          <w:rFonts w:ascii="Barlow Semi Condensed" w:cs="Barlow Semi Condensed" w:eastAsia="Barlow Semi Condensed" w:hAnsi="Barlow Semi Condensed"/>
          <w:sz w:val="24"/>
          <w:szCs w:val="24"/>
        </w:rPr>
        <w:t xml:space="preserve"> RTP — https://www.rtp.pt/noticias/pais/opus-dei-com-75-anos-em-portugal-e-uma-influencia-maior-do-que-os-1625-membros_n1358555 (https://www.rtp.pt/noticias/pais/opus-dei-com-75-anos-em-portugal-e-uma-influencia-maior-do-que-os-1625-membros_n1358555)</w:t>
      </w:r>
    </w:p>
    <w:p>
      <w:pPr>
        <w:spacing w:after="120" w:line="276"/>
        <w:jc w:val="both"/>
      </w:pPr>
      <w:r>
        <w:rPr>
          <w:rFonts w:ascii="Barlow Semi Condensed" w:cs="Barlow Semi Condensed" w:eastAsia="Barlow Semi Condensed" w:hAnsi="Barlow Semi Condensed"/>
          <w:b/>
          <w:bCs/>
          <w:sz w:val="24"/>
          <w:szCs w:val="24"/>
        </w:rPr>
        <w:t xml:space="preserve">319.</w:t>
      </w:r>
      <w:r>
        <w:rPr>
          <w:rFonts w:ascii="Barlow Semi Condensed" w:cs="Barlow Semi Condensed" w:eastAsia="Barlow Semi Condensed" w:hAnsi="Barlow Semi Condensed"/>
          <w:sz w:val="24"/>
          <w:szCs w:val="24"/>
        </w:rPr>
        <w:t xml:space="preserve"> Fnac — https://www.fnac.pt/Salazar-e-a-Conspiracao-do-Opus-Dei-Pedro-Ramos-Brandao/a361319 (https://www.fnac.pt/Salazar-e-a-Conspiracao-do-Opus-Dei-Pedro-Ramos-Brandao/a361319)</w:t>
      </w:r>
    </w:p>
    <w:p>
      <w:pPr>
        <w:spacing w:after="120" w:line="276"/>
        <w:jc w:val="both"/>
      </w:pPr>
      <w:r>
        <w:rPr>
          <w:rFonts w:ascii="Barlow Semi Condensed" w:cs="Barlow Semi Condensed" w:eastAsia="Barlow Semi Condensed" w:hAnsi="Barlow Semi Condensed"/>
          <w:b/>
          <w:bCs/>
          <w:sz w:val="24"/>
          <w:szCs w:val="24"/>
        </w:rPr>
        <w:t xml:space="preserve">320.</w:t>
      </w:r>
      <w:r>
        <w:rPr>
          <w:rFonts w:ascii="Barlow Semi Condensed" w:cs="Barlow Semi Condensed" w:eastAsia="Barlow Semi Condensed" w:hAnsi="Barlow Semi Condensed"/>
          <w:sz w:val="24"/>
          <w:szCs w:val="24"/>
        </w:rPr>
        <w:t xml:space="preserve"> Livraria Almedina — https://www.almedina.net/salazar-e-a-conspira-o-do-opus-dei-1563875565.html (https://www.almedina.net/salazar-e-a-conspira-o-do-opus-dei-1563875565.html)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321.</w:t>
      </w:r>
      <w:r>
        <w:rPr>
          <w:rFonts w:ascii="Barlow Semi Condensed" w:cs="Barlow Semi Condensed" w:eastAsia="Barlow Semi Condensed" w:hAnsi="Barlow Semi Condensed"/>
          <w:sz w:val="24"/>
          <w:szCs w:val="24"/>
        </w:rPr>
        <w:t xml:space="preserve"> SÁBADO — https://www.sabado.pt/vida/detalhe/a-vigilancia-secreta-de-salazar-ao-opus-dei (https://www.sabado.pt/vida/detalhe/a-vigilancia-secreta-de-salazar-ao-opus-dei)</w:t>
      </w:r>
    </w:p>
    <w:p>
      <w:pPr>
        <w:spacing w:after="120" w:line="276"/>
        <w:jc w:val="both"/>
      </w:pPr>
      <w:r>
        <w:rPr>
          <w:rFonts w:ascii="Barlow Semi Condensed" w:cs="Barlow Semi Condensed" w:eastAsia="Barlow Semi Condensed" w:hAnsi="Barlow Semi Condensed"/>
          <w:b/>
          <w:bCs/>
          <w:sz w:val="24"/>
          <w:szCs w:val="24"/>
        </w:rPr>
        <w:t xml:space="preserve">322.</w:t>
      </w:r>
      <w:r>
        <w:rPr>
          <w:rFonts w:ascii="Barlow Semi Condensed" w:cs="Barlow Semi Condensed" w:eastAsia="Barlow Semi Condensed" w:hAnsi="Barlow Semi Condensed"/>
          <w:sz w:val="24"/>
          <w:szCs w:val="24"/>
        </w:rPr>
        <w:t xml:space="preserve"> Pro Roma Mariana — https://promariana.wordpress.com/2015/12/10/o-opus-dei-na-historia-de-fatima/ (https://promariana.wordpress.com/2015/12/10/o-opus-dei-na-historia-de-fatima/)</w:t>
      </w:r>
    </w:p>
    <w:p>
      <w:pPr>
        <w:spacing w:after="120" w:line="276"/>
        <w:jc w:val="both"/>
      </w:pPr>
      <w:r>
        <w:rPr>
          <w:rFonts w:ascii="Barlow Semi Condensed" w:cs="Barlow Semi Condensed" w:eastAsia="Barlow Semi Condensed" w:hAnsi="Barlow Semi Condensed"/>
          <w:b/>
          <w:bCs/>
          <w:sz w:val="24"/>
          <w:szCs w:val="24"/>
        </w:rPr>
        <w:t xml:space="preserve">323.</w:t>
      </w:r>
      <w:r>
        <w:rPr>
          <w:rFonts w:ascii="Barlow Semi Condensed" w:cs="Barlow Semi Condensed" w:eastAsia="Barlow Semi Condensed" w:hAnsi="Barlow Semi Condensed"/>
          <w:sz w:val="24"/>
          <w:szCs w:val="24"/>
        </w:rPr>
        <w:t xml:space="preserve"> Palrador D'el Rei — https://denunciation.wordpress.com/2011/06/22/%C2%ABsalazar-e-a-conspiracao-do-opus-dei%C2%BB-de-antonio-jose-vilela-e-pedro-ramos-brandao/ (https://denunciation.wordpress.com/2011/06/22/%C2%ABsalazar-e-a-conspiracao-do-opus-dei%C2%BB-de-antonio-jose-vilela-e-pedro-ramos-brandao/)</w:t>
      </w:r>
    </w:p>
    <w:p>
      <w:pPr>
        <w:spacing w:after="120" w:line="276"/>
        <w:jc w:val="both"/>
      </w:pPr>
      <w:r>
        <w:rPr>
          <w:rFonts w:ascii="Barlow Semi Condensed" w:cs="Barlow Semi Condensed" w:eastAsia="Barlow Semi Condensed" w:hAnsi="Barlow Semi Condensed"/>
          <w:b/>
          <w:bCs/>
          <w:sz w:val="24"/>
          <w:szCs w:val="24"/>
        </w:rPr>
        <w:t xml:space="preserve">324.</w:t>
      </w:r>
      <w:r>
        <w:rPr>
          <w:rFonts w:ascii="Barlow Semi Condensed" w:cs="Barlow Semi Condensed" w:eastAsia="Barlow Semi Condensed" w:hAnsi="Barlow Semi Condensed"/>
          <w:sz w:val="24"/>
          <w:szCs w:val="24"/>
        </w:rPr>
        <w:t xml:space="preserve"> Bertrand — https://www.bertrand.pt/livro/salazar-e-a-conspiracao-do-opus-dei-antonio-jose-vilela/10952303 (https://www.bertrand.pt/livro/salazar-e-a-conspiracao-do-opus-dei-antonio-jose-vilela/10952303)</w:t>
      </w:r>
    </w:p>
    <w:p>
      <w:pPr>
        <w:spacing w:after="120" w:line="276"/>
        <w:jc w:val="both"/>
      </w:pPr>
      <w:r>
        <w:rPr>
          <w:rFonts w:ascii="Barlow Semi Condensed" w:cs="Barlow Semi Condensed" w:eastAsia="Barlow Semi Condensed" w:hAnsi="Barlow Semi Condensed"/>
          <w:b/>
          <w:bCs/>
          <w:sz w:val="24"/>
          <w:szCs w:val="24"/>
        </w:rPr>
        <w:t xml:space="preserve">325.</w:t>
      </w:r>
      <w:r>
        <w:rPr>
          <w:rFonts w:ascii="Barlow Semi Condensed" w:cs="Barlow Semi Condensed" w:eastAsia="Barlow Semi Condensed" w:hAnsi="Barlow Semi Condensed"/>
          <w:sz w:val="24"/>
          <w:szCs w:val="24"/>
        </w:rPr>
        <w:t xml:space="preserve"> Recursosacademicos — https://www.recursosacademicos.net/tecnocratas-del-opus-dei/ (https://www.recursosacademicos.net/tecnocratas-del-opus-dei/)</w:t>
      </w:r>
    </w:p>
    <w:p>
      <w:pPr>
        <w:spacing w:after="120" w:line="276"/>
        <w:jc w:val="both"/>
      </w:pPr>
      <w:r>
        <w:rPr>
          <w:rFonts w:ascii="Barlow Semi Condensed" w:cs="Barlow Semi Condensed" w:eastAsia="Barlow Semi Condensed" w:hAnsi="Barlow Semi Condensed"/>
          <w:b/>
          <w:bCs/>
          <w:sz w:val="24"/>
          <w:szCs w:val="24"/>
        </w:rPr>
        <w:t xml:space="preserve">326.</w:t>
      </w:r>
      <w:r>
        <w:rPr>
          <w:rFonts w:ascii="Barlow Semi Condensed" w:cs="Barlow Semi Condensed" w:eastAsia="Barlow Semi Condensed" w:hAnsi="Barlow Semi Condensed"/>
          <w:sz w:val="24"/>
          <w:szCs w:val="24"/>
        </w:rPr>
        <w:t xml:space="preserve"> U.S. Department of State — https://history.state.gov/historicaldocuments/frus1969-76v41/d303 (https://history.state.gov/historicaldocuments/frus1969-76v41/d303)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327.</w:t>
      </w:r>
      <w:r>
        <w:rPr>
          <w:rFonts w:ascii="Barlow Semi Condensed" w:cs="Barlow Semi Condensed" w:eastAsia="Barlow Semi Condensed" w:hAnsi="Barlow Semi Condensed"/>
          <w:sz w:val="24"/>
          <w:szCs w:val="24"/>
        </w:rPr>
        <w:t xml:space="preserve"> Contrainformacion — https://contrainformacion.es/opus-dei-y-los-ministros-miembros/ (https://contrainformacion.es/opus-dei-y-los-ministros-miembros/)</w:t>
      </w:r>
    </w:p>
    <w:p>
      <w:pPr>
        <w:spacing w:after="120" w:line="276"/>
        <w:jc w:val="both"/>
      </w:pPr>
      <w:r>
        <w:rPr>
          <w:rFonts w:ascii="Barlow Semi Condensed" w:cs="Barlow Semi Condensed" w:eastAsia="Barlow Semi Condensed" w:hAnsi="Barlow Semi Condensed"/>
          <w:b/>
          <w:bCs/>
          <w:sz w:val="24"/>
          <w:szCs w:val="24"/>
        </w:rPr>
        <w:t xml:space="preserve">328.</w:t>
      </w:r>
      <w:r>
        <w:rPr>
          <w:rFonts w:ascii="Barlow Semi Condensed" w:cs="Barlow Semi Condensed" w:eastAsia="Barlow Semi Condensed" w:hAnsi="Barlow Semi Condensed"/>
          <w:sz w:val="24"/>
          <w:szCs w:val="24"/>
        </w:rPr>
        <w:t xml:space="preserve"> Religión en Libertad — https://www.religionenlibertad.com/cultura/150215/ni-todos-los-tecnocratas-fueron-del-opus-dei-ni-todos-los_32125.html (https://www.religionenlibertad.com/cultura/150215/ni-todos-los-tecnocratas-fueron-del-opus-dei-ni-todos-los_32125.html)</w:t>
      </w:r>
    </w:p>
    <w:p>
      <w:pPr>
        <w:spacing w:after="120" w:line="276"/>
        <w:jc w:val="both"/>
      </w:pPr>
      <w:r>
        <w:rPr>
          <w:rFonts w:ascii="Barlow Semi Condensed" w:cs="Barlow Semi Condensed" w:eastAsia="Barlow Semi Condensed" w:hAnsi="Barlow Semi Condensed"/>
          <w:b/>
          <w:bCs/>
          <w:sz w:val="24"/>
          <w:szCs w:val="24"/>
        </w:rPr>
        <w:t xml:space="preserve">329.</w:t>
      </w:r>
      <w:r>
        <w:rPr>
          <w:rFonts w:ascii="Barlow Semi Condensed" w:cs="Barlow Semi Condensed" w:eastAsia="Barlow Semi Condensed" w:hAnsi="Barlow Semi Condensed"/>
          <w:sz w:val="24"/>
          <w:szCs w:val="24"/>
        </w:rPr>
        <w:t xml:space="preserve"> ECCLESIA — https://agencia.ecclesia.pt/portal/vaticano-ii-portugal-o-mundo-e-a-convocacao-do-concilio/ (https://agencia.ecclesia.pt/portal/vaticano-ii-portugal-o-mundo-e-a-convocacao-do-concilio/)</w:t>
      </w:r>
    </w:p>
    <w:p>
      <w:pPr>
        <w:spacing w:after="120" w:line="276"/>
        <w:jc w:val="both"/>
      </w:pPr>
      <w:r>
        <w:rPr>
          <w:rFonts w:ascii="Barlow Semi Condensed" w:cs="Barlow Semi Condensed" w:eastAsia="Barlow Semi Condensed" w:hAnsi="Barlow Semi Condensed"/>
          <w:b/>
          <w:bCs/>
          <w:sz w:val="24"/>
          <w:szCs w:val="24"/>
        </w:rPr>
        <w:t xml:space="preserve">330.</w:t>
      </w:r>
      <w:r>
        <w:rPr>
          <w:rFonts w:ascii="Barlow Semi Condensed" w:cs="Barlow Semi Condensed" w:eastAsia="Barlow Semi Condensed" w:hAnsi="Barlow Semi Condensed"/>
          <w:sz w:val="24"/>
          <w:szCs w:val="24"/>
        </w:rPr>
        <w:t xml:space="preserve"> RUN — https://run.unl.pt/entities/publication/4bd29800-b1ac-4187-bcc6-897130f67b44 (https://run.unl.pt/entities/publication/4bd29800-b1ac-4187-bcc6-897130f67b44)</w:t>
      </w:r>
    </w:p>
    <w:p>
      <w:pPr>
        <w:spacing w:after="120" w:line="276"/>
        <w:jc w:val="both"/>
      </w:pPr>
      <w:r>
        <w:rPr>
          <w:rFonts w:ascii="Barlow Semi Condensed" w:cs="Barlow Semi Condensed" w:eastAsia="Barlow Semi Condensed" w:hAnsi="Barlow Semi Condensed"/>
          <w:b/>
          <w:bCs/>
          <w:sz w:val="24"/>
          <w:szCs w:val="24"/>
        </w:rPr>
        <w:t xml:space="preserve">331.</w:t>
      </w:r>
      <w:r>
        <w:rPr>
          <w:rFonts w:ascii="Barlow Semi Condensed" w:cs="Barlow Semi Condensed" w:eastAsia="Barlow Semi Condensed" w:hAnsi="Barlow Semi Condensed"/>
          <w:sz w:val="24"/>
          <w:szCs w:val="24"/>
        </w:rPr>
        <w:t xml:space="preserve"> Revistas Científicas da UCP — https://revistas.ucp.pt/index.php/lusitaniasacra/article/view/16035 (https://revistas.ucp.pt/index.php/lusitaniasacra/article/view/16035)</w:t>
      </w:r>
    </w:p>
    <w:p>
      <w:pPr>
        <w:spacing w:after="120" w:line="276"/>
        <w:jc w:val="both"/>
      </w:pPr>
      <w:r>
        <w:rPr>
          <w:rFonts w:ascii="Barlow Semi Condensed" w:cs="Barlow Semi Condensed" w:eastAsia="Barlow Semi Condensed" w:hAnsi="Barlow Semi Condensed"/>
          <w:b/>
          <w:bCs/>
          <w:sz w:val="24"/>
          <w:szCs w:val="24"/>
        </w:rPr>
        <w:t xml:space="preserve">332.</w:t>
      </w:r>
      <w:r>
        <w:rPr>
          <w:rFonts w:ascii="Barlow Semi Condensed" w:cs="Barlow Semi Condensed" w:eastAsia="Barlow Semi Condensed" w:hAnsi="Barlow Semi Condensed"/>
          <w:sz w:val="24"/>
          <w:szCs w:val="24"/>
        </w:rPr>
        <w:t xml:space="preserve"> Guerracolonial — https://guerracolonial.pt/1970-a-ilusao-das-grandes-operacoes/a-igreja-catolica-e-a-guerra-colonial/ (https://guerracolonial.pt/1970-a-ilusao-das-grandes-operacoes/a-igreja-catolica-e-a-guerra-colonial/)</w:t>
      </w:r>
    </w:p>
    <w:p>
      <w:pPr>
        <w:spacing w:after="120" w:line="276"/>
        <w:jc w:val="both"/>
      </w:pPr>
      <w:r>
        <w:rPr>
          <w:rFonts w:ascii="Barlow Semi Condensed" w:cs="Barlow Semi Condensed" w:eastAsia="Barlow Semi Condensed" w:hAnsi="Barlow Semi Condensed"/>
          <w:b/>
          <w:bCs/>
          <w:sz w:val="24"/>
          <w:szCs w:val="24"/>
        </w:rPr>
        <w:t xml:space="preserve">333.</w:t>
      </w:r>
      <w:r>
        <w:rPr>
          <w:rFonts w:ascii="Barlow Semi Condensed" w:cs="Barlow Semi Condensed" w:eastAsia="Barlow Semi Condensed" w:hAnsi="Barlow Semi Condensed"/>
          <w:sz w:val="24"/>
          <w:szCs w:val="24"/>
        </w:rPr>
        <w:t xml:space="preserve"> Parlamento — https://www.parlamento.pt/VisitaParlamento/Paginas/BiogAdelinoAmarodaCosta.aspx (https://www.parlamento.pt/VisitaParlamento/Paginas/BiogAdelinoAmarodaCosta.aspx)</w:t>
      </w:r>
    </w:p>
    <w:p>
      <w:pPr>
        <w:spacing w:after="120" w:line="276"/>
        <w:jc w:val="both"/>
      </w:pPr>
      <w:r>
        <w:rPr>
          <w:rFonts w:ascii="Barlow Semi Condensed" w:cs="Barlow Semi Condensed" w:eastAsia="Barlow Semi Condensed" w:hAnsi="Barlow Semi Condensed"/>
          <w:b/>
          <w:bCs/>
          <w:sz w:val="24"/>
          <w:szCs w:val="24"/>
        </w:rPr>
        <w:t xml:space="preserve">334.</w:t>
      </w:r>
      <w:r>
        <w:rPr>
          <w:rFonts w:ascii="Barlow Semi Condensed" w:cs="Barlow Semi Condensed" w:eastAsia="Barlow Semi Condensed" w:hAnsi="Barlow Semi Condensed"/>
          <w:sz w:val="24"/>
          <w:szCs w:val="24"/>
        </w:rPr>
        <w:t xml:space="preserve"> Infopedia — https://www.infopedia.pt/artigos/%24adelino-amaro-da-costa (https://www.infopedia.pt/artigos/%24adelino-amaro-da-costa)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335.</w:t>
      </w:r>
      <w:r>
        <w:rPr>
          <w:rFonts w:ascii="Barlow Semi Condensed" w:cs="Barlow Semi Condensed" w:eastAsia="Barlow Semi Condensed" w:hAnsi="Barlow Semi Condensed"/>
          <w:sz w:val="24"/>
          <w:szCs w:val="24"/>
        </w:rPr>
        <w:t xml:space="preserve"> ucp — https://revistas.ucp.pt/index.php/povoseculturas/article/download/8975/8843 (https://revistas.ucp.pt/index.php/povoseculturas/article/download/8975/8843)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336.</w:t>
      </w:r>
      <w:r>
        <w:rPr>
          <w:rFonts w:ascii="Barlow Semi Condensed" w:cs="Barlow Semi Condensed" w:eastAsia="Barlow Semi Condensed" w:hAnsi="Barlow Semi Condensed"/>
          <w:sz w:val="24"/>
          <w:szCs w:val="24"/>
        </w:rPr>
        <w:t xml:space="preserve"> Livraria Almedina +2 — https://www.almedina.net/adelino-amaro-da-costa-hist-rias-de-uma-vida-interrompida-1563875470.html (https://www.almedina.net/adelino-amaro-da-costa-hist-rias-de-uma-vida-interrompida-1563875470.html)</w:t>
      </w:r>
    </w:p>
    <w:p>
      <w:pPr>
        <w:spacing w:after="120" w:line="276"/>
        <w:jc w:val="both"/>
      </w:pPr>
      <w:r>
        <w:rPr>
          <w:rFonts w:ascii="Barlow Semi Condensed" w:cs="Barlow Semi Condensed" w:eastAsia="Barlow Semi Condensed" w:hAnsi="Barlow Semi Condensed"/>
          <w:b/>
          <w:bCs/>
          <w:sz w:val="24"/>
          <w:szCs w:val="24"/>
        </w:rPr>
        <w:t xml:space="preserve">337.</w:t>
      </w:r>
      <w:r>
        <w:rPr>
          <w:rFonts w:ascii="Barlow Semi Condensed" w:cs="Barlow Semi Condensed" w:eastAsia="Barlow Semi Condensed" w:hAnsi="Barlow Semi Condensed"/>
          <w:sz w:val="24"/>
          <w:szCs w:val="24"/>
        </w:rPr>
        <w:t xml:space="preserve"> Nuovarivistastorica — https://nuovarivistastorica.it/?p=7636 (https://nuovarivistastorica.it/?p=7636)</w:t>
      </w:r>
    </w:p>
    <w:p>
      <w:pPr>
        <w:spacing w:after="120" w:line="276"/>
        <w:jc w:val="both"/>
      </w:pPr>
      <w:r>
        <w:rPr>
          <w:rFonts w:ascii="Barlow Semi Condensed" w:cs="Barlow Semi Condensed" w:eastAsia="Barlow Semi Condensed" w:hAnsi="Barlow Semi Condensed"/>
          <w:b/>
          <w:bCs/>
          <w:sz w:val="24"/>
          <w:szCs w:val="24"/>
        </w:rPr>
        <w:t xml:space="preserve">338.</w:t>
      </w:r>
      <w:r>
        <w:rPr>
          <w:rFonts w:ascii="Barlow Semi Condensed" w:cs="Barlow Semi Condensed" w:eastAsia="Barlow Semi Condensed" w:hAnsi="Barlow Semi Condensed"/>
          <w:sz w:val="24"/>
          <w:szCs w:val="24"/>
        </w:rPr>
        <w:t xml:space="preserve"> state — https://history.state.gov/historicaldocuments/frus1969-76ve15p2/d153 (https://history.state.gov/historicaldocuments/frus1969-76ve15p2/d153)</w:t>
      </w:r>
    </w:p>
    <w:p>
      <w:pPr>
        <w:spacing w:after="120" w:line="276"/>
        <w:jc w:val="both"/>
      </w:pPr>
      <w:r>
        <w:rPr>
          <w:rFonts w:ascii="Barlow Semi Condensed" w:cs="Barlow Semi Condensed" w:eastAsia="Barlow Semi Condensed" w:hAnsi="Barlow Semi Condensed"/>
          <w:b/>
          <w:bCs/>
          <w:sz w:val="24"/>
          <w:szCs w:val="24"/>
        </w:rPr>
        <w:t xml:space="preserve">339.</w:t>
      </w:r>
      <w:r>
        <w:rPr>
          <w:rFonts w:ascii="Barlow Semi Condensed" w:cs="Barlow Semi Condensed" w:eastAsia="Barlow Semi Condensed" w:hAnsi="Barlow Semi Condensed"/>
          <w:sz w:val="24"/>
          <w:szCs w:val="24"/>
        </w:rPr>
        <w:t xml:space="preserve"> Quotidiano Nazionale — https://www.quotidiano.net/cronaca/aldo-moro-libro-iannuzzi-losacco-vk0b33xf (https://www.quotidiano.net/cronaca/aldo-moro-libro-iannuzzi-losacco-vk0b33xf)</w:t>
      </w:r>
    </w:p>
    <w:p>
      <w:pPr>
        <w:spacing w:after="120" w:line="276"/>
        <w:jc w:val="both"/>
      </w:pPr>
      <w:r>
        <w:rPr>
          <w:rFonts w:ascii="Barlow Semi Condensed" w:cs="Barlow Semi Condensed" w:eastAsia="Barlow Semi Condensed" w:hAnsi="Barlow Semi Condensed"/>
          <w:b/>
          <w:bCs/>
          <w:sz w:val="24"/>
          <w:szCs w:val="24"/>
        </w:rPr>
        <w:t xml:space="preserve">340.</w:t>
      </w:r>
      <w:r>
        <w:rPr>
          <w:rFonts w:ascii="Barlow Semi Condensed" w:cs="Barlow Semi Condensed" w:eastAsia="Barlow Semi Condensed" w:hAnsi="Barlow Semi Condensed"/>
          <w:sz w:val="24"/>
          <w:szCs w:val="24"/>
        </w:rPr>
        <w:t xml:space="preserve"> Fox News — https://www.foxnews.com/politics/consumer-group-helps-student-suing-cia-over-opus-dei-records.amp (https://www.foxnews.com/politics/consumer-group-helps-student-suing-cia-over-opus-dei-records.amp)</w:t>
      </w:r>
    </w:p>
    <w:p>
      <w:pPr>
        <w:spacing w:after="120" w:line="276"/>
        <w:jc w:val="both"/>
      </w:pPr>
      <w:r>
        <w:rPr>
          <w:rFonts w:ascii="Barlow Semi Condensed" w:cs="Barlow Semi Condensed" w:eastAsia="Barlow Semi Condensed" w:hAnsi="Barlow Semi Condensed"/>
          <w:b/>
          <w:bCs/>
          <w:sz w:val="24"/>
          <w:szCs w:val="24"/>
        </w:rPr>
        <w:t xml:space="preserve">341.</w:t>
      </w:r>
      <w:r>
        <w:rPr>
          <w:rFonts w:ascii="Barlow Semi Condensed" w:cs="Barlow Semi Condensed" w:eastAsia="Barlow Semi Condensed" w:hAnsi="Barlow Semi Condensed"/>
          <w:sz w:val="24"/>
          <w:szCs w:val="24"/>
        </w:rPr>
        <w:t xml:space="preserve"> cia — https://cia.gov/readingroom/docs/MARCELO%20CAETANO%20%28PORTUGAL%5B15678188%5D.pdf (https://cia.gov/readingroom/docs/MARCELO%20CAETANO%20%28PORTUGAL%5B15678188%5D.pdf)</w:t>
      </w:r>
    </w:p>
    <w:p>
      <w:pPr>
        <w:spacing w:after="120" w:line="276"/>
        <w:jc w:val="both"/>
      </w:pPr>
      <w:r>
        <w:rPr>
          <w:rFonts w:ascii="Barlow Semi Condensed" w:cs="Barlow Semi Condensed" w:eastAsia="Barlow Semi Condensed" w:hAnsi="Barlow Semi Condensed"/>
          <w:b/>
          <w:bCs/>
          <w:sz w:val="24"/>
          <w:szCs w:val="24"/>
        </w:rPr>
        <w:t xml:space="preserve">342.</w:t>
      </w:r>
      <w:r>
        <w:rPr>
          <w:rFonts w:ascii="Barlow Semi Condensed" w:cs="Barlow Semi Condensed" w:eastAsia="Barlow Semi Condensed" w:hAnsi="Barlow Semi Condensed"/>
          <w:sz w:val="24"/>
          <w:szCs w:val="24"/>
        </w:rPr>
        <w:t xml:space="preserve"> cia — https://www.cia.gov/readingroom/docs/MARCELO%20CAETANO%20%28PORTUGAL%5B15678189%5D.pdf (https://www.cia.gov/readingroom/docs/MARCELO%20CAETANO%20%28PORTUGAL%5B15678189%5D.pdf)</w:t>
      </w:r>
    </w:p>
    <w:p>
      <w:pPr>
        <w:spacing w:after="120" w:line="276"/>
        <w:jc w:val="both"/>
      </w:pPr>
      <w:r>
        <w:rPr>
          <w:rFonts w:ascii="Barlow Semi Condensed" w:cs="Barlow Semi Condensed" w:eastAsia="Barlow Semi Condensed" w:hAnsi="Barlow Semi Condensed"/>
          <w:b/>
          <w:bCs/>
          <w:sz w:val="24"/>
          <w:szCs w:val="24"/>
        </w:rPr>
        <w:t xml:space="preserve">343.</w:t>
      </w:r>
      <w:r>
        <w:rPr>
          <w:rFonts w:ascii="Barlow Semi Condensed" w:cs="Barlow Semi Condensed" w:eastAsia="Barlow Semi Condensed" w:hAnsi="Barlow Semi Condensed"/>
          <w:sz w:val="24"/>
          <w:szCs w:val="24"/>
        </w:rPr>
        <w:t xml:space="preserve"> state — https://history.state.gov/historicaldocuments/frus1969-76ve15p2Ed2 (https://history.state.gov/historicaldocuments/frus1969-76ve15p2Ed2)</w:t>
      </w:r>
    </w:p>
    <w:p>
      <w:pPr>
        <w:spacing w:after="120" w:line="276"/>
        <w:jc w:val="both"/>
      </w:pPr>
      <w:r>
        <w:rPr>
          <w:rFonts w:ascii="Barlow Semi Condensed" w:cs="Barlow Semi Condensed" w:eastAsia="Barlow Semi Condensed" w:hAnsi="Barlow Semi Condensed"/>
          <w:b/>
          <w:bCs/>
          <w:sz w:val="24"/>
          <w:szCs w:val="24"/>
        </w:rPr>
        <w:t xml:space="preserve">344.</w:t>
      </w:r>
      <w:r>
        <w:rPr>
          <w:rFonts w:ascii="Barlow Semi Condensed" w:cs="Barlow Semi Condensed" w:eastAsia="Barlow Semi Condensed" w:hAnsi="Barlow Semi Condensed"/>
          <w:sz w:val="24"/>
          <w:szCs w:val="24"/>
        </w:rPr>
        <w:t xml:space="preserve"> Dglab — https://antt.dglab.gov.pt/servicos/leitura-e-referencia/ (https://antt.dglab.gov.pt/servicos/leitura-e-referencia/)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345.</w:t>
      </w:r>
      <w:r>
        <w:rPr>
          <w:rFonts w:ascii="Barlow Semi Condensed" w:cs="Barlow Semi Condensed" w:eastAsia="Barlow Semi Condensed" w:hAnsi="Barlow Semi Condensed"/>
          <w:sz w:val="24"/>
          <w:szCs w:val="24"/>
        </w:rPr>
        <w:t xml:space="preserve"> TSF Rádio Notícias — https://www.tsf.pt/sociedade/artigo/metade-do-arquivo-da-pide-nunca-foi-consultado-e-um-mundo-por-descobrir/10825928 (https://www.tsf.pt/sociedade/artigo/metade-do-arquivo-da-pide-nunca-foi-consultado-e-um-mundo-por-descobrir/10825928)</w:t>
      </w:r>
    </w:p>
    <w:p>
      <w:pPr>
        <w:spacing w:after="120" w:line="276"/>
        <w:jc w:val="both"/>
      </w:pPr>
      <w:r>
        <w:rPr>
          <w:rFonts w:ascii="Barlow Semi Condensed" w:cs="Barlow Semi Condensed" w:eastAsia="Barlow Semi Condensed" w:hAnsi="Barlow Semi Condensed"/>
          <w:b/>
          <w:bCs/>
          <w:sz w:val="24"/>
          <w:szCs w:val="24"/>
        </w:rPr>
        <w:t xml:space="preserve">346.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idi.mne.gov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Libro dodicesimo · VI — Portogallo e Santa Sede 1969-1974</w:t>
      </w:r>
    </w:p>
    <w:p>
      <w:pPr>
        <w:spacing w:after="120" w:line="276"/>
        <w:jc w:val="both"/>
      </w:pPr>
      <w:r>
        <w:rPr>
          <w:rFonts w:ascii="Barlow Semi Condensed" w:cs="Barlow Semi Condensed" w:eastAsia="Barlow Semi Condensed" w:hAnsi="Barlow Semi Condensed"/>
          <w:b/>
          <w:bCs/>
          <w:sz w:val="24"/>
          <w:szCs w:val="24"/>
        </w:rPr>
        <w:t xml:space="preserve">347.</w:t>
      </w:r>
      <w:r>
        <w:rPr>
          <w:rFonts w:ascii="Barlow Semi Condensed" w:cs="Barlow Semi Condensed" w:eastAsia="Barlow Semi Condensed" w:hAnsi="Barlow Semi Condensed"/>
          <w:sz w:val="24"/>
          <w:szCs w:val="24"/>
        </w:rPr>
        <w:t xml:space="preserve"> Unibo — https://aldomorodigitale.unibo.it/additionalResources/142/essay/Zampieri_vol4_notastorica.pdf (https://aldomorodigitale.unibo.it/additionalResources/142/essay/Zampieri_vol4_notastorica.pdf)</w:t>
      </w:r>
    </w:p>
    <w:p>
      <w:pPr>
        <w:spacing w:after="120" w:line="276"/>
        <w:jc w:val="both"/>
      </w:pPr>
      <w:r>
        <w:rPr>
          <w:rFonts w:ascii="Barlow Semi Condensed" w:cs="Barlow Semi Condensed" w:eastAsia="Barlow Semi Condensed" w:hAnsi="Barlow Semi Condensed"/>
          <w:b/>
          <w:bCs/>
          <w:sz w:val="24"/>
          <w:szCs w:val="24"/>
        </w:rPr>
        <w:t xml:space="preserve">348.</w:t>
      </w:r>
      <w:r>
        <w:rPr>
          <w:rFonts w:ascii="Barlow Semi Condensed" w:cs="Barlow Semi Condensed" w:eastAsia="Barlow Semi Condensed" w:hAnsi="Barlow Semi Condensed"/>
          <w:sz w:val="24"/>
          <w:szCs w:val="24"/>
        </w:rPr>
        <w:t xml:space="preserve"> Wikipedia — https://pt.wikipedia.org/wiki/Rela%C3%A7%C3%B5es_entre_It%C3%A1lia_e_Santa_S%C3%A9 (https://pt.wikipedia.org/wiki/Rela%C3%A7%C3%B5es_entre_It%C3%A1lia_e_Santa_S%C3%A9)</w:t>
      </w:r>
    </w:p>
    <w:p>
      <w:pPr>
        <w:spacing w:after="120" w:line="276"/>
        <w:jc w:val="both"/>
      </w:pPr>
      <w:r>
        <w:rPr>
          <w:rFonts w:ascii="Barlow Semi Condensed" w:cs="Barlow Semi Condensed" w:eastAsia="Barlow Semi Condensed" w:hAnsi="Barlow Semi Condensed"/>
          <w:b/>
          <w:bCs/>
          <w:sz w:val="24"/>
          <w:szCs w:val="24"/>
        </w:rPr>
        <w:t xml:space="preserve">349.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air.unimi.it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350.</w:t>
      </w:r>
      <w:r>
        <w:rPr>
          <w:rFonts w:ascii="Barlow Semi Condensed" w:cs="Barlow Semi Condensed" w:eastAsia="Barlow Semi Condensed" w:hAnsi="Barlow Semi Condensed"/>
          <w:sz w:val="24"/>
          <w:szCs w:val="24"/>
        </w:rPr>
        <w:t xml:space="preserve"> Università di Milano — https://air.unimi.it/retrieve/dfa8b9a2-2341-748b-e053-3a05fe0a3a96/Russo_ResistenzaContinua%20ST.pdf (https://air.unimi.it/retrieve/dfa8b9a2-2341-748b-e053-3a05fe0a3a96/Russo_ResistenzaContinua%20ST.pdf)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351.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patrimonio.aamod.it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352.</w:t>
      </w:r>
      <w:r>
        <w:rPr>
          <w:rFonts w:ascii="Barlow Semi Condensed" w:cs="Barlow Semi Condensed" w:eastAsia="Barlow Semi Condensed" w:hAnsi="Barlow Semi Condensed"/>
          <w:sz w:val="24"/>
          <w:szCs w:val="24"/>
        </w:rPr>
        <w:t xml:space="preserve"> Confronti — https://confronti.net/2020/06/i-movimenti-di-liberazione-portoghesi-e-lincontro-con-paolo-vi/ (https://confronti.net/2020/06/i-movimenti-di-liberazione-portoghesi-e-lincontro-con-paolo-vi/)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353.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archivi.ibc.regione.emilia-romagna.it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354.</w:t>
      </w:r>
      <w:r>
        <w:rPr>
          <w:rFonts w:ascii="Barlow Semi Condensed" w:cs="Barlow Semi Condensed" w:eastAsia="Barlow Semi Condensed" w:hAnsi="Barlow Semi Condensed"/>
          <w:sz w:val="24"/>
          <w:szCs w:val="24"/>
        </w:rPr>
        <w:t xml:space="preserve"> Regione — https://archivi.ibc.regione.emilia-romagna.it/ibc-cms/cms.find?flagfind=customXdamsTree&amp;id=IBCAS00590&amp;munu_str=0_1_1&amp;numDoc=7&amp;docStart=1&amp;backward=&amp;hierStatus=16%2C1%2C2%2C2%2C3%2Cfc1%2C0%2C1%2Cfc1%2C3%2C6de%2C6de%2C0%2C3ee%2C0%2C3%2C3ee%2C121%2C123%2C3%2C121%2C123%2C0&amp;docCount=25&amp;physDoc=289&amp;comune=Reggio+nell%EF%BF%BDEmilia (https://archivi.ibc.regione.emilia-romagna.it/ibc-cms/cms.find?flagfind=customXdamsTree&amp;id=IBCAS00590&amp;munu_str=0_1_1&amp;numDoc=7&amp;docStart=1&amp;backward=&amp;hierStatus=16%2C1%2C2%2C2%2C3%2Cfc1%2C0%2C1%2Cfc1%2C3%2C6de%2C6de%2C0%2C3ee%2C0%2C3%2C3ee%2C121%2C123%2C3%2C121%2C123%2C0&amp;docCount=25&amp;physDoc=289&amp;comune=Reggio+nell%EF%BF%BDEmilia)</w:t>
      </w:r>
    </w:p>
    <w:p>
      <w:pPr>
        <w:spacing w:after="120" w:line="276"/>
        <w:jc w:val="both"/>
      </w:pPr>
      <w:r>
        <w:rPr>
          <w:rFonts w:ascii="Barlow Semi Condensed" w:cs="Barlow Semi Condensed" w:eastAsia="Barlow Semi Condensed" w:hAnsi="Barlow Semi Condensed"/>
          <w:b/>
          <w:bCs/>
          <w:sz w:val="24"/>
          <w:szCs w:val="24"/>
        </w:rPr>
        <w:t xml:space="preserve">355.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aics.gov.it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356.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livello9.it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357.</w:t>
      </w:r>
      <w:r>
        <w:rPr>
          <w:rFonts w:ascii="Barlow Semi Condensed" w:cs="Barlow Semi Condensed" w:eastAsia="Barlow Semi Condensed" w:hAnsi="Barlow Semi Condensed"/>
          <w:sz w:val="24"/>
          <w:szCs w:val="24"/>
        </w:rPr>
        <w:t xml:space="preserve"> Livello9 — https://www.livello9.it/amicizia-reggio-africa/arcispedale-santa-maria-nuova (https://www.livello9.it/amicizia-reggio-africa/arcispedale-santa-maria-nuova)</w:t>
      </w:r>
    </w:p>
    <w:p>
      <w:pPr>
        <w:spacing w:after="120" w:line="276"/>
        <w:jc w:val="both"/>
      </w:pPr>
      <w:r>
        <w:rPr>
          <w:rFonts w:ascii="Barlow Semi Condensed" w:cs="Barlow Semi Condensed" w:eastAsia="Barlow Semi Condensed" w:hAnsi="Barlow Semi Condensed"/>
          <w:b/>
          <w:bCs/>
          <w:sz w:val="24"/>
          <w:szCs w:val="24"/>
        </w:rPr>
        <w:t xml:space="preserve">358.</w:t>
      </w:r>
      <w:r>
        <w:rPr>
          <w:rFonts w:ascii="Barlow Semi Condensed" w:cs="Barlow Semi Condensed" w:eastAsia="Barlow Semi Condensed" w:hAnsi="Barlow Semi Condensed"/>
          <w:sz w:val="24"/>
          <w:szCs w:val="24"/>
        </w:rPr>
        <w:t xml:space="preserve"> Oltremare — https://www.aics.gov.it/oltremare/articoli/partnership/samito-a-reggio-emilia-50-anni-dopo-viva-mocambique/ (https://www.aics.gov.it/oltremare/articoli/partnership/samito-a-reggio-emilia-50-anni-dopo-viva-mocambique/)</w:t>
      </w:r>
    </w:p>
    <w:p>
      <w:pPr>
        <w:spacing w:after="120" w:line="276"/>
        <w:jc w:val="both"/>
      </w:pPr>
      <w:r>
        <w:rPr>
          <w:rFonts w:ascii="Barlow Semi Condensed" w:cs="Barlow Semi Condensed" w:eastAsia="Barlow Semi Condensed" w:hAnsi="Barlow Semi Condensed"/>
          <w:b/>
          <w:bCs/>
          <w:sz w:val="24"/>
          <w:szCs w:val="24"/>
        </w:rPr>
        <w:t xml:space="preserve">359.</w:t>
      </w:r>
      <w:r>
        <w:rPr>
          <w:rFonts w:ascii="Barlow Semi Condensed" w:cs="Barlow Semi Condensed" w:eastAsia="Barlow Semi Condensed" w:hAnsi="Barlow Semi Condensed"/>
          <w:sz w:val="24"/>
          <w:szCs w:val="24"/>
        </w:rPr>
        <w:t xml:space="preserve"> Guerracolonial — https://guerracolonial.pt/1972-negar-uma-solucao-politica-para-a-guerra/wiriyamu-de-mocambique-para-o-mundo/ (https://guerracolonial.pt/1972-negar-uma-solucao-politica-para-a-guerra/wiriyamu-de-mocambique-para-o-mundo/)</w:t>
      </w:r>
    </w:p>
    <w:p>
      <w:pPr>
        <w:spacing w:after="120" w:line="276"/>
        <w:jc w:val="both"/>
      </w:pPr>
      <w:r>
        <w:rPr>
          <w:rFonts w:ascii="Barlow Semi Condensed" w:cs="Barlow Semi Condensed" w:eastAsia="Barlow Semi Condensed" w:hAnsi="Barlow Semi Condensed"/>
          <w:b/>
          <w:bCs/>
          <w:sz w:val="24"/>
          <w:szCs w:val="24"/>
        </w:rPr>
        <w:t xml:space="preserve">360.</w:t>
      </w:r>
      <w:r>
        <w:rPr>
          <w:rFonts w:ascii="Barlow Semi Condensed" w:cs="Barlow Semi Condensed" w:eastAsia="Barlow Semi Condensed" w:hAnsi="Barlow Semi Condensed"/>
          <w:sz w:val="24"/>
          <w:szCs w:val="24"/>
        </w:rPr>
        <w:t xml:space="preserve"> Wikipedia — https://it.wikipedia.org/wiki/Guerra_d'indipendenza_del_Mozambico (https://it.wikipedia.org/wiki/Guerra_d'indipendenza_del_Mozambico)</w:t>
      </w:r>
    </w:p>
    <w:p>
      <w:pPr>
        <w:spacing w:after="120" w:line="276"/>
        <w:jc w:val="both"/>
      </w:pPr>
      <w:r>
        <w:rPr>
          <w:rFonts w:ascii="Barlow Semi Condensed" w:cs="Barlow Semi Condensed" w:eastAsia="Barlow Semi Condensed" w:hAnsi="Barlow Semi Condensed"/>
          <w:b/>
          <w:bCs/>
          <w:sz w:val="24"/>
          <w:szCs w:val="24"/>
        </w:rPr>
        <w:t xml:space="preserve">361.</w:t>
      </w:r>
      <w:r>
        <w:rPr>
          <w:rFonts w:ascii="Barlow Semi Condensed" w:cs="Barlow Semi Condensed" w:eastAsia="Barlow Semi Condensed" w:hAnsi="Barlow Semi Condensed"/>
          <w:sz w:val="24"/>
          <w:szCs w:val="24"/>
        </w:rPr>
        <w:t xml:space="preserve"> Wikipedia — https://en.wikipedia.org/wiki/Wiriyamu_Massacre (https://en.wikipedia.org/wiki/Wiriyamu_Massacre)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362.</w:t>
      </w:r>
      <w:r>
        <w:rPr>
          <w:rFonts w:ascii="Barlow Semi Condensed" w:cs="Barlow Semi Condensed" w:eastAsia="Barlow Semi Condensed" w:hAnsi="Barlow Semi Condensed"/>
          <w:sz w:val="24"/>
          <w:szCs w:val="24"/>
        </w:rPr>
        <w:t xml:space="preserve"> Wikipedia — https://pt.wikipedia.org/wiki/Massacre_de_Wiriyamu (https://pt.wikipedia.org/wiki/Massacre_de_Wiriyamu)</w:t>
      </w:r>
    </w:p>
    <w:p>
      <w:pPr>
        <w:spacing w:after="120" w:line="276"/>
        <w:jc w:val="both"/>
      </w:pPr>
      <w:r>
        <w:rPr>
          <w:rFonts w:ascii="Barlow Semi Condensed" w:cs="Barlow Semi Condensed" w:eastAsia="Barlow Semi Condensed" w:hAnsi="Barlow Semi Condensed"/>
          <w:b/>
          <w:bCs/>
          <w:sz w:val="24"/>
          <w:szCs w:val="24"/>
        </w:rPr>
        <w:t xml:space="preserve">363.</w:t>
      </w:r>
      <w:r>
        <w:rPr>
          <w:rFonts w:ascii="Barlow Semi Condensed" w:cs="Barlow Semi Condensed" w:eastAsia="Barlow Semi Condensed" w:hAnsi="Barlow Semi Condensed"/>
          <w:sz w:val="24"/>
          <w:szCs w:val="24"/>
        </w:rPr>
        <w:t xml:space="preserve"> Uc — https://www.cd25a.uc.pt/storage/media/pdf/Biblioteca%20digital/Artigos/APP_Cx23-13_The%20Wiriyamu%20Massacre%20In%20Mozambique%20The%20Search%20For%20Answers.pdf (https://www.cd25a.uc.pt/storage/media/pdf/Biblioteca%20digital/Artigos/APP_Cx23-13_The%20Wiriyamu%20Massacre%20In%20Mozambique%20The%20Search%20For%20Answers.pdf)</w:t>
      </w:r>
    </w:p>
    <w:p>
      <w:pPr>
        <w:spacing w:after="120" w:line="276"/>
        <w:jc w:val="both"/>
      </w:pPr>
      <w:r>
        <w:rPr>
          <w:rFonts w:ascii="Barlow Semi Condensed" w:cs="Barlow Semi Condensed" w:eastAsia="Barlow Semi Condensed" w:hAnsi="Barlow Semi Condensed"/>
          <w:b/>
          <w:bCs/>
          <w:sz w:val="24"/>
          <w:szCs w:val="24"/>
        </w:rPr>
        <w:t xml:space="preserve">364.</w:t>
      </w:r>
      <w:r>
        <w:rPr>
          <w:rFonts w:ascii="Barlow Semi Condensed" w:cs="Barlow Semi Condensed" w:eastAsia="Barlow Semi Condensed" w:hAnsi="Barlow Semi Condensed"/>
          <w:sz w:val="24"/>
          <w:szCs w:val="24"/>
        </w:rPr>
        <w:t xml:space="preserve"> Taylor \&amp; Francis Online — https://www.tandfonline.com/doi/abs/10.1080/13698249.2012.654690 (https://www.tandfonline.com/doi/abs/10.1080/13698249.2012.654690)</w:t>
      </w:r>
    </w:p>
    <w:p>
      <w:pPr>
        <w:spacing w:after="120" w:line="276"/>
        <w:jc w:val="both"/>
      </w:pPr>
      <w:r>
        <w:rPr>
          <w:rFonts w:ascii="Barlow Semi Condensed" w:cs="Barlow Semi Condensed" w:eastAsia="Barlow Semi Condensed" w:hAnsi="Barlow Semi Condensed"/>
          <w:b/>
          <w:bCs/>
          <w:sz w:val="24"/>
          <w:szCs w:val="24"/>
        </w:rPr>
        <w:t xml:space="preserve">365.</w:t>
      </w:r>
      <w:r>
        <w:rPr>
          <w:rFonts w:ascii="Barlow Semi Condensed" w:cs="Barlow Semi Condensed" w:eastAsia="Barlow Semi Condensed" w:hAnsi="Barlow Semi Condensed"/>
          <w:sz w:val="24"/>
          <w:szCs w:val="24"/>
        </w:rPr>
        <w:t xml:space="preserve"> Wikipedia — https://en.wikipedia.org/wiki/Adrian_Hastings (https://en.wikipedia.org/wiki/Adrian_Hastings)</w:t>
      </w:r>
    </w:p>
    <w:p>
      <w:pPr>
        <w:spacing w:after="120" w:line="276"/>
        <w:jc w:val="both"/>
      </w:pPr>
      <w:r>
        <w:rPr>
          <w:rFonts w:ascii="Barlow Semi Condensed" w:cs="Barlow Semi Condensed" w:eastAsia="Barlow Semi Condensed" w:hAnsi="Barlow Semi Condensed"/>
          <w:b/>
          <w:bCs/>
          <w:sz w:val="24"/>
          <w:szCs w:val="24"/>
        </w:rPr>
        <w:t xml:space="preserve">366.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comboni.org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367.</w:t>
      </w:r>
      <w:r>
        <w:rPr>
          <w:rFonts w:ascii="Barlow Semi Condensed" w:cs="Barlow Semi Condensed" w:eastAsia="Barlow Semi Condensed" w:hAnsi="Barlow Semi Condensed"/>
          <w:sz w:val="24"/>
          <w:szCs w:val="24"/>
        </w:rPr>
        <w:t xml:space="preserve"> Comboni — https://www.comboni.org/fratelli/106604 (https://www.comboni.org/fratelli/106604)</w:t>
      </w:r>
    </w:p>
    <w:p>
      <w:pPr>
        <w:spacing w:after="120" w:line="276"/>
        <w:jc w:val="both"/>
      </w:pPr>
      <w:r>
        <w:rPr>
          <w:rFonts w:ascii="Barlow Semi Condensed" w:cs="Barlow Semi Condensed" w:eastAsia="Barlow Semi Condensed" w:hAnsi="Barlow Semi Condensed"/>
          <w:b/>
          <w:bCs/>
          <w:sz w:val="24"/>
          <w:szCs w:val="24"/>
        </w:rPr>
        <w:t xml:space="preserve">368.</w:t>
      </w:r>
      <w:r>
        <w:rPr>
          <w:rFonts w:ascii="Barlow Semi Condensed" w:cs="Barlow Semi Condensed" w:eastAsia="Barlow Semi Condensed" w:hAnsi="Barlow Semi Condensed"/>
          <w:sz w:val="24"/>
          <w:szCs w:val="24"/>
        </w:rPr>
        <w:t xml:space="preserve"> Comboni — https://www.comboni.org/fratelli/106111 (https://www.comboni.org/fratelli/106111)</w:t>
      </w:r>
    </w:p>
    <w:p>
      <w:pPr>
        <w:spacing w:after="120" w:line="276"/>
        <w:jc w:val="both"/>
      </w:pPr>
      <w:r>
        <w:rPr>
          <w:rFonts w:ascii="Barlow Semi Condensed" w:cs="Barlow Semi Condensed" w:eastAsia="Barlow Semi Condensed" w:hAnsi="Barlow Semi Condensed"/>
          <w:b/>
          <w:bCs/>
          <w:sz w:val="24"/>
          <w:szCs w:val="24"/>
        </w:rPr>
        <w:t xml:space="preserve">369.</w:t>
      </w:r>
      <w:r>
        <w:rPr>
          <w:rFonts w:ascii="Barlow Semi Condensed" w:cs="Barlow Semi Condensed" w:eastAsia="Barlow Semi Condensed" w:hAnsi="Barlow Semi Condensed"/>
          <w:sz w:val="24"/>
          <w:szCs w:val="24"/>
        </w:rPr>
        <w:t xml:space="preserve"> Comboni — https://www.comboni.org/fratelli/105544 (https://www.comboni.org/fratelli/105544)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370.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setemargens.com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371.</w:t>
      </w:r>
      <w:r>
        <w:rPr>
          <w:rFonts w:ascii="Barlow Semi Condensed" w:cs="Barlow Semi Condensed" w:eastAsia="Barlow Semi Condensed" w:hAnsi="Barlow Semi Condensed"/>
          <w:sz w:val="24"/>
          <w:szCs w:val="24"/>
        </w:rPr>
        <w:t xml:space="preserve"> Sete Margens — https://setemargens.com/testemunhos-sobre-manuel-vieira-pinto-um-bispo-que-deixou-marcas-profundas-em-portugal-e-mocambique/ (https://setemargens.com/testemunhos-sobre-manuel-vieira-pinto-um-bispo-que-deixou-marcas-profundas-em-portugal-e-mocambique/)</w:t>
      </w:r>
    </w:p>
    <w:p>
      <w:pPr>
        <w:spacing w:after="120" w:line="276"/>
        <w:jc w:val="both"/>
      </w:pPr>
      <w:r>
        <w:rPr>
          <w:rFonts w:ascii="Barlow Semi Condensed" w:cs="Barlow Semi Condensed" w:eastAsia="Barlow Semi Condensed" w:hAnsi="Barlow Semi Condensed"/>
          <w:b/>
          <w:bCs/>
          <w:sz w:val="24"/>
          <w:szCs w:val="24"/>
        </w:rPr>
        <w:t xml:space="preserve">372.</w:t>
      </w:r>
      <w:r>
        <w:rPr>
          <w:rFonts w:ascii="Barlow Semi Condensed" w:cs="Barlow Semi Condensed" w:eastAsia="Barlow Semi Condensed" w:hAnsi="Barlow Semi Condensed"/>
          <w:sz w:val="24"/>
          <w:szCs w:val="24"/>
        </w:rPr>
        <w:t xml:space="preserve"> Comboni — https://www.comboni.org/fratelli/105086 (https://www.comboni.org/fratelli/105086)</w:t>
      </w:r>
    </w:p>
    <w:p>
      <w:pPr>
        <w:spacing w:after="120" w:line="276"/>
        <w:jc w:val="both"/>
      </w:pPr>
      <w:r>
        <w:rPr>
          <w:rFonts w:ascii="Barlow Semi Condensed" w:cs="Barlow Semi Condensed" w:eastAsia="Barlow Semi Condensed" w:hAnsi="Barlow Semi Condensed"/>
          <w:b/>
          <w:bCs/>
          <w:sz w:val="24"/>
          <w:szCs w:val="24"/>
        </w:rPr>
        <w:t xml:space="preserve">373.</w:t>
      </w:r>
      <w:r>
        <w:rPr>
          <w:rFonts w:ascii="Barlow Semi Condensed" w:cs="Barlow Semi Condensed" w:eastAsia="Barlow Semi Condensed" w:hAnsi="Barlow Semi Condensed"/>
          <w:sz w:val="24"/>
          <w:szCs w:val="24"/>
        </w:rPr>
        <w:t xml:space="preserve"> Comboni — https://www.comboni.org/pt/contenuti/100237 (https://www.comboni.org/pt/contenuti/100237)</w:t>
      </w:r>
    </w:p>
    <w:p>
      <w:pPr>
        <w:spacing w:after="120" w:line="276"/>
        <w:jc w:val="both"/>
      </w:pPr>
      <w:r>
        <w:rPr>
          <w:rFonts w:ascii="Barlow Semi Condensed" w:cs="Barlow Semi Condensed" w:eastAsia="Barlow Semi Condensed" w:hAnsi="Barlow Semi Condensed"/>
          <w:b/>
          <w:bCs/>
          <w:sz w:val="24"/>
          <w:szCs w:val="24"/>
        </w:rPr>
        <w:t xml:space="preserve">374.</w:t>
      </w:r>
      <w:r>
        <w:rPr>
          <w:rFonts w:ascii="Barlow Semi Condensed" w:cs="Barlow Semi Condensed" w:eastAsia="Barlow Semi Condensed" w:hAnsi="Barlow Semi Condensed"/>
          <w:sz w:val="24"/>
          <w:szCs w:val="24"/>
        </w:rPr>
        <w:t xml:space="preserve"> Revistas Científicas da UCP — https://revistas.ucp.pt/index.php/lusitaniasacra/article/view/16897 (https://revistas.ucp.pt/index.php/lusitaniasacra/article/view/16897)</w:t>
      </w:r>
    </w:p>
    <w:p>
      <w:pPr>
        <w:spacing w:after="120" w:line="276"/>
        <w:jc w:val="both"/>
      </w:pPr>
      <w:r>
        <w:rPr>
          <w:rFonts w:ascii="Barlow Semi Condensed" w:cs="Barlow Semi Condensed" w:eastAsia="Barlow Semi Condensed" w:hAnsi="Barlow Semi Condensed"/>
          <w:b/>
          <w:bCs/>
          <w:sz w:val="24"/>
          <w:szCs w:val="24"/>
        </w:rPr>
        <w:t xml:space="preserve">375.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legislature.camera.it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376.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diplomaciaerevolucao.mne.gov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377.</w:t>
      </w:r>
      <w:r>
        <w:rPr>
          <w:rFonts w:ascii="Barlow Semi Condensed" w:cs="Barlow Semi Condensed" w:eastAsia="Barlow Semi Condensed" w:hAnsi="Barlow Semi Condensed"/>
          <w:sz w:val="24"/>
          <w:szCs w:val="24"/>
        </w:rPr>
        <w:t xml:space="preserve"> Mne — https://diplomaciaerevolucao.mne.gov.pt/pt/visto-de-fora (https://diplomaciaerevolucao.mne.gov.pt/pt/visto-de-fora)</w:t>
      </w:r>
    </w:p>
    <w:p>
      <w:pPr>
        <w:spacing w:after="120" w:line="276"/>
        <w:jc w:val="both"/>
      </w:pPr>
      <w:r>
        <w:rPr>
          <w:rFonts w:ascii="Barlow Semi Condensed" w:cs="Barlow Semi Condensed" w:eastAsia="Barlow Semi Condensed" w:hAnsi="Barlow Semi Condensed"/>
          <w:b/>
          <w:bCs/>
          <w:sz w:val="24"/>
          <w:szCs w:val="24"/>
        </w:rPr>
        <w:t xml:space="preserve">378.</w:t>
      </w:r>
      <w:r>
        <w:rPr>
          <w:rFonts w:ascii="Barlow Semi Condensed" w:cs="Barlow Semi Condensed" w:eastAsia="Barlow Semi Condensed" w:hAnsi="Barlow Semi Condensed"/>
          <w:sz w:val="24"/>
          <w:szCs w:val="24"/>
        </w:rPr>
        <w:t xml:space="preserve"> state — https://history.state.gov/historicaldocuments/frus1969-76ve15p2Ed2/d133 (https://history.state.gov/historicaldocuments/frus1969-76ve15p2Ed2/d133)</w:t>
      </w:r>
    </w:p>
    <w:p>
      <w:pPr>
        <w:spacing w:after="120" w:line="276"/>
        <w:jc w:val="both"/>
      </w:pPr>
      <w:r>
        <w:rPr>
          <w:rFonts w:ascii="Barlow Semi Condensed" w:cs="Barlow Semi Condensed" w:eastAsia="Barlow Semi Condensed" w:hAnsi="Barlow Semi Condensed"/>
          <w:b/>
          <w:bCs/>
          <w:sz w:val="24"/>
          <w:szCs w:val="24"/>
        </w:rPr>
        <w:t xml:space="preserve">379.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portaldiplomatico.mne.gov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380.</w:t>
      </w:r>
      <w:r>
        <w:rPr>
          <w:rFonts w:ascii="Barlow Semi Condensed" w:cs="Barlow Semi Condensed" w:eastAsia="Barlow Semi Condensed" w:hAnsi="Barlow Semi Condensed"/>
          <w:sz w:val="24"/>
          <w:szCs w:val="24"/>
        </w:rPr>
        <w:t xml:space="preserve"> Portal Diplomático — https://portaldiplomatico.mne.gov.pt/relacoesbilaterais/historia-diplomatica?view=article&amp;id=366%3Asanta-se&amp;catid=119%3Arelacoes-diplomaticas (https://portaldiplomatico.mne.gov.pt/relacoesbilaterais/historia-diplomatica?view=article&amp;id=366%3Asanta-se&amp;catid=119%3Arelacoes-diplomaticas)</w:t>
      </w:r>
    </w:p>
    <w:p>
      <w:pPr>
        <w:spacing w:after="120" w:line="276"/>
        <w:jc w:val="both"/>
      </w:pPr>
      <w:r>
        <w:rPr>
          <w:rFonts w:ascii="Barlow Semi Condensed" w:cs="Barlow Semi Condensed" w:eastAsia="Barlow Semi Condensed" w:hAnsi="Barlow Semi Condensed"/>
          <w:b/>
          <w:bCs/>
          <w:sz w:val="24"/>
          <w:szCs w:val="24"/>
        </w:rPr>
        <w:t xml:space="preserve">381.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vatican.va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9 volte)</w:t>
      </w:r>
    </w:p>
    <w:p>
      <w:pPr>
        <w:spacing w:after="120" w:line="276"/>
        <w:jc w:val="both"/>
      </w:pPr>
      <w:r>
        <w:rPr>
          <w:rFonts w:ascii="Barlow Semi Condensed" w:cs="Barlow Semi Condensed" w:eastAsia="Barlow Semi Condensed" w:hAnsi="Barlow Semi Condensed"/>
          <w:b/>
          <w:bCs/>
          <w:sz w:val="24"/>
          <w:szCs w:val="24"/>
        </w:rPr>
        <w:t xml:space="preserve">382.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peresblancs.org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383.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mafrome.org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384.</w:t>
      </w:r>
      <w:r>
        <w:rPr>
          <w:rFonts w:ascii="Barlow Semi Condensed" w:cs="Barlow Semi Condensed" w:eastAsia="Barlow Semi Condensed" w:hAnsi="Barlow Semi Condensed"/>
          <w:sz w:val="24"/>
          <w:szCs w:val="24"/>
        </w:rPr>
        <w:t xml:space="preserve"> Wikipedia — https://en.wikipedia.org/wiki/Lusaka_Accord (https://en.wikipedia.org/wiki/Lusaka_Accord)</w:t>
      </w:r>
    </w:p>
    <w:p>
      <w:pPr>
        <w:spacing w:after="120" w:line="276"/>
        <w:jc w:val="both"/>
      </w:pPr>
      <w:r>
        <w:rPr>
          <w:rFonts w:ascii="Barlow Semi Condensed" w:cs="Barlow Semi Condensed" w:eastAsia="Barlow Semi Condensed" w:hAnsi="Barlow Semi Condensed"/>
          <w:b/>
          <w:bCs/>
          <w:sz w:val="24"/>
          <w:szCs w:val="24"/>
        </w:rPr>
        <w:t xml:space="preserve">385.</w:t>
      </w:r>
      <w:r>
        <w:rPr>
          <w:rFonts w:ascii="Barlow Semi Condensed" w:cs="Barlow Semi Condensed" w:eastAsia="Barlow Semi Condensed" w:hAnsi="Barlow Semi Condensed"/>
          <w:sz w:val="24"/>
          <w:szCs w:val="24"/>
        </w:rPr>
        <w:t xml:space="preserve"> Wikipedia — https://en.wikipedia.org/wiki/Alvor_Agreement (https://en.wikipedia.org/wiki/Alvor_Agreement)</w:t>
      </w:r>
    </w:p>
    <w:p>
      <w:pPr>
        <w:spacing w:after="120" w:line="276"/>
        <w:jc w:val="both"/>
      </w:pPr>
      <w:r>
        <w:rPr>
          <w:rFonts w:ascii="Barlow Semi Condensed" w:cs="Barlow Semi Condensed" w:eastAsia="Barlow Semi Condensed" w:hAnsi="Barlow Semi Condensed"/>
          <w:b/>
          <w:bCs/>
          <w:sz w:val="24"/>
          <w:szCs w:val="24"/>
        </w:rPr>
        <w:t xml:space="preserve">386.</w:t>
      </w:r>
      <w:r>
        <w:rPr>
          <w:rFonts w:ascii="Barlow Semi Condensed" w:cs="Barlow Semi Condensed" w:eastAsia="Barlow Semi Condensed" w:hAnsi="Barlow Semi Condensed"/>
          <w:sz w:val="24"/>
          <w:szCs w:val="24"/>
        </w:rPr>
        <w:t xml:space="preserve"> Storicamente — https://storicamente.org/pimenta-indipendenza-mozambico-decolonizzazione (https://storicamente.org/pimenta-indipendenza-mozambico-decolonizzazione)</w:t>
      </w:r>
    </w:p>
    <w:p>
      <w:pPr>
        <w:spacing w:after="120" w:line="276"/>
        <w:jc w:val="both"/>
      </w:pPr>
      <w:r>
        <w:rPr>
          <w:rFonts w:ascii="Barlow Semi Condensed" w:cs="Barlow Semi Condensed" w:eastAsia="Barlow Semi Condensed" w:hAnsi="Barlow Semi Condensed"/>
          <w:b/>
          <w:bCs/>
          <w:sz w:val="24"/>
          <w:szCs w:val="24"/>
        </w:rPr>
        <w:t xml:space="preserve">387.</w:t>
      </w:r>
      <w:r>
        <w:rPr>
          <w:rFonts w:ascii="Barlow Semi Condensed" w:cs="Barlow Semi Condensed" w:eastAsia="Barlow Semi Condensed" w:hAnsi="Barlow Semi Condensed"/>
          <w:sz w:val="24"/>
          <w:szCs w:val="24"/>
        </w:rPr>
        <w:t xml:space="preserve"> Wikipedia — https://it.wikipedia.org/wiki/Rivoluzione_dei_garofani (https://it.wikipedia.org/wiki/Rivoluzione_dei_garofani)</w:t>
      </w:r>
    </w:p>
    <w:p>
      <w:pPr>
        <w:spacing w:after="120" w:line="276"/>
        <w:jc w:val="both"/>
      </w:pPr>
      <w:r>
        <w:rPr>
          <w:rFonts w:ascii="Barlow Semi Condensed" w:cs="Barlow Semi Condensed" w:eastAsia="Barlow Semi Condensed" w:hAnsi="Barlow Semi Condensed"/>
          <w:b/>
          <w:bCs/>
          <w:sz w:val="24"/>
          <w:szCs w:val="24"/>
        </w:rPr>
        <w:t xml:space="preserve">388.</w:t>
      </w:r>
      <w:r>
        <w:rPr>
          <w:rFonts w:ascii="Barlow Semi Condensed" w:cs="Barlow Semi Condensed" w:eastAsia="Barlow Semi Condensed" w:hAnsi="Barlow Semi Condensed"/>
          <w:sz w:val="24"/>
          <w:szCs w:val="24"/>
        </w:rPr>
        <w:t xml:space="preserve"> BeeMagazine — https://beemagazine.it/moro-1975-quando-litalia-era-davvero-battistrada-delleuropa/ (https://beemagazine.it/moro-1975-quando-litalia-era-davvero-battistrada-delleuropa/)</w:t>
      </w:r>
    </w:p>
    <w:p>
      <w:pPr>
        <w:spacing w:after="120" w:line="276"/>
        <w:jc w:val="both"/>
      </w:pPr>
      <w:r>
        <w:rPr>
          <w:rFonts w:ascii="Barlow Semi Condensed" w:cs="Barlow Semi Condensed" w:eastAsia="Barlow Semi Condensed" w:hAnsi="Barlow Semi Condensed"/>
          <w:b/>
          <w:bCs/>
          <w:sz w:val="24"/>
          <w:szCs w:val="24"/>
        </w:rPr>
        <w:t xml:space="preserve">389.</w:t>
      </w:r>
      <w:r>
        <w:rPr>
          <w:rFonts w:ascii="Barlow Semi Condensed" w:cs="Barlow Semi Condensed" w:eastAsia="Barlow Semi Condensed" w:hAnsi="Barlow Semi Condensed"/>
          <w:sz w:val="24"/>
          <w:szCs w:val="24"/>
        </w:rPr>
        <w:t xml:space="preserve"> Avvenire — https://www.avvenire.it/agora/cultura/ripartire-dallo-spirito-di-helsinki-per-costruire-la-pace_93849 (https://www.avvenire.it/agora/cultura/ripartire-dallo-spirito-di-helsinki-per-costruire-la-pace_93849)</w:t>
      </w:r>
    </w:p>
    <w:p>
      <w:pPr>
        <w:spacing w:after="120" w:line="276"/>
        <w:jc w:val="both"/>
      </w:pPr>
      <w:r>
        <w:rPr>
          <w:rFonts w:ascii="Barlow Semi Condensed" w:cs="Barlow Semi Condensed" w:eastAsia="Barlow Semi Condensed" w:hAnsi="Barlow Semi Condensed"/>
          <w:b/>
          <w:bCs/>
          <w:sz w:val="24"/>
          <w:szCs w:val="24"/>
        </w:rPr>
        <w:t xml:space="preserve">390.</w:t>
      </w:r>
      <w:r>
        <w:rPr>
          <w:rFonts w:ascii="Barlow Semi Condensed" w:cs="Barlow Semi Condensed" w:eastAsia="Barlow Semi Condensed" w:hAnsi="Barlow Semi Condensed"/>
          <w:sz w:val="24"/>
          <w:szCs w:val="24"/>
        </w:rPr>
        <w:t xml:space="preserve"> Nuovarivistastorica — https://www.nuovarivistastorica.it/litalia-nellorganizzazione-per-la-sicurezza-e-la-cooperazione-in-europa/ (https://www.nuovarivistastorica.it/litalia-nellorganizzazione-per-la-sicurezza-e-la-cooperazione-in-europa/)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391.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antt.dglab.gov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392.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portal.ehri-project.eu</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Libro dodicesimo · VII — Grecia e Opus Dei 1969-1985</w:t>
      </w:r>
    </w:p>
    <w:p>
      <w:pPr>
        <w:spacing w:after="120" w:line="276"/>
        <w:jc w:val="both"/>
      </w:pPr>
      <w:r>
        <w:rPr>
          <w:rFonts w:ascii="Barlow Semi Condensed" w:cs="Barlow Semi Condensed" w:eastAsia="Barlow Semi Condensed" w:hAnsi="Barlow Semi Condensed"/>
          <w:b/>
          <w:bCs/>
          <w:sz w:val="24"/>
          <w:szCs w:val="24"/>
        </w:rPr>
        <w:t xml:space="preserve">393.</w:t>
      </w:r>
      <w:r>
        <w:rPr>
          <w:rFonts w:ascii="Barlow Semi Condensed" w:cs="Barlow Semi Condensed" w:eastAsia="Barlow Semi Condensed" w:hAnsi="Barlow Semi Condensed"/>
          <w:sz w:val="24"/>
          <w:szCs w:val="24"/>
        </w:rPr>
        <w:t xml:space="preserve"> Camera — https://dati.camera.it/ocd/aic.rdf/aic4_03754_16 (https://dati.camera.it/ocd/aic.rdf/aic4_03754_16)</w:t>
      </w:r>
    </w:p>
    <w:p>
      <w:pPr>
        <w:spacing w:after="120" w:line="276"/>
        <w:jc w:val="both"/>
      </w:pPr>
      <w:r>
        <w:rPr>
          <w:rFonts w:ascii="Barlow Semi Condensed" w:cs="Barlow Semi Condensed" w:eastAsia="Barlow Semi Condensed" w:hAnsi="Barlow Semi Condensed"/>
          <w:b/>
          <w:bCs/>
          <w:sz w:val="24"/>
          <w:szCs w:val="24"/>
        </w:rPr>
        <w:t xml:space="preserve">394.</w:t>
      </w:r>
      <w:r>
        <w:rPr>
          <w:rFonts w:ascii="Barlow Semi Condensed" w:cs="Barlow Semi Condensed" w:eastAsia="Barlow Semi Condensed" w:hAnsi="Barlow Semi Condensed"/>
          <w:sz w:val="24"/>
          <w:szCs w:val="24"/>
        </w:rPr>
        <w:t xml:space="preserve"> Wikipedia — https://it.wikipedia.org/wiki/Questione_di_Cipro (https://it.wikipedia.org/wiki/Questione_di_Cipro)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395.</w:t>
      </w:r>
      <w:r>
        <w:rPr>
          <w:rFonts w:ascii="Barlow Semi Condensed" w:cs="Barlow Semi Condensed" w:eastAsia="Barlow Semi Condensed" w:hAnsi="Barlow Semi Condensed"/>
          <w:sz w:val="24"/>
          <w:szCs w:val="24"/>
        </w:rPr>
        <w:t xml:space="preserve"> U.S. Department of State — https://history.state.gov/historicaldocuments/frus1969-76v30/d194 (https://history.state.gov/historicaldocuments/frus1969-76v30/d194)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396.</w:t>
      </w:r>
      <w:r>
        <w:rPr>
          <w:rFonts w:ascii="Barlow Semi Condensed" w:cs="Barlow Semi Condensed" w:eastAsia="Barlow Semi Condensed" w:hAnsi="Barlow Semi Condensed"/>
          <w:sz w:val="24"/>
          <w:szCs w:val="24"/>
        </w:rPr>
        <w:t xml:space="preserve"> Paese Italia Press — https://www.paeseitaliapress.it/esteri/2025/08/27/scudo-inter-etnico-o-limite-alla-guerra-il-ruolo-delle-forze-di-pace-onu-a-cipro/ (https://www.paeseitaliapress.it/esteri/2025/08/27/scudo-inter-etnico-o-limite-alla-guerra-il-ruolo-delle-forze-di-pace-onu-a-cipro/)</w:t>
      </w:r>
    </w:p>
    <w:p>
      <w:pPr>
        <w:spacing w:after="120" w:line="276"/>
        <w:jc w:val="both"/>
      </w:pPr>
      <w:r>
        <w:rPr>
          <w:rFonts w:ascii="Barlow Semi Condensed" w:cs="Barlow Semi Condensed" w:eastAsia="Barlow Semi Condensed" w:hAnsi="Barlow Semi Condensed"/>
          <w:b/>
          <w:bCs/>
          <w:sz w:val="24"/>
          <w:szCs w:val="24"/>
        </w:rPr>
        <w:t xml:space="preserve">397.</w:t>
      </w:r>
      <w:r>
        <w:rPr>
          <w:rFonts w:ascii="Barlow Semi Condensed" w:cs="Barlow Semi Condensed" w:eastAsia="Barlow Semi Condensed" w:hAnsi="Barlow Semi Condensed"/>
          <w:sz w:val="24"/>
          <w:szCs w:val="24"/>
        </w:rPr>
        <w:t xml:space="preserve"> Esteri — https://ambatene.esteri.it/ambasciata_atene/it/i_rapporti_bilaterali/ (https://ambatene.esteri.it/ambasciata_atene/it/i_rapporti_bilaterali/)</w:t>
      </w:r>
    </w:p>
    <w:p>
      <w:pPr>
        <w:spacing w:after="120" w:line="276"/>
        <w:jc w:val="both"/>
      </w:pPr>
      <w:r>
        <w:rPr>
          <w:rFonts w:ascii="Barlow Semi Condensed" w:cs="Barlow Semi Condensed" w:eastAsia="Barlow Semi Condensed" w:hAnsi="Barlow Semi Condensed"/>
          <w:b/>
          <w:bCs/>
          <w:sz w:val="24"/>
          <w:szCs w:val="24"/>
        </w:rPr>
        <w:t xml:space="preserve">398.</w:t>
      </w:r>
      <w:r>
        <w:rPr>
          <w:rFonts w:ascii="Barlow Semi Condensed" w:cs="Barlow Semi Condensed" w:eastAsia="Barlow Semi Condensed" w:hAnsi="Barlow Semi Condensed"/>
          <w:sz w:val="24"/>
          <w:szCs w:val="24"/>
        </w:rPr>
        <w:t xml:space="preserve"> East Journal — https://www.eastjournal.net/archives/9505 (https://www.eastjournal.net/archives/9505)</w:t>
      </w:r>
    </w:p>
    <w:p>
      <w:pPr>
        <w:spacing w:after="120" w:line="276"/>
        <w:jc w:val="both"/>
      </w:pPr>
      <w:r>
        <w:rPr>
          <w:rFonts w:ascii="Barlow Semi Condensed" w:cs="Barlow Semi Condensed" w:eastAsia="Barlow Semi Condensed" w:hAnsi="Barlow Semi Condensed"/>
          <w:b/>
          <w:bCs/>
          <w:sz w:val="24"/>
          <w:szCs w:val="24"/>
        </w:rPr>
        <w:t xml:space="preserve">399.</w:t>
      </w:r>
      <w:r>
        <w:rPr>
          <w:rFonts w:ascii="Barlow Semi Condensed" w:cs="Barlow Semi Condensed" w:eastAsia="Barlow Semi Condensed" w:hAnsi="Barlow Semi Condensed"/>
          <w:sz w:val="24"/>
          <w:szCs w:val="24"/>
        </w:rPr>
        <w:t xml:space="preserve"> La Voce e il Tempo — https://vocetempo.it/sessantanni-fa-la-fine-delle-scomuniche-fra-cattolici-e-ortodossi/ (https://vocetempo.it/sessantanni-fa-la-fine-delle-scomuniche-fra-cattolici-e-ortodossi/)</w:t>
      </w:r>
    </w:p>
    <w:p>
      <w:pPr>
        <w:spacing w:after="120" w:line="276"/>
        <w:jc w:val="both"/>
      </w:pPr>
      <w:r>
        <w:rPr>
          <w:rFonts w:ascii="Barlow Semi Condensed" w:cs="Barlow Semi Condensed" w:eastAsia="Barlow Semi Condensed" w:hAnsi="Barlow Semi Condensed"/>
          <w:b/>
          <w:bCs/>
          <w:sz w:val="24"/>
          <w:szCs w:val="24"/>
        </w:rPr>
        <w:t xml:space="preserve">400.</w:t>
      </w:r>
      <w:r>
        <w:rPr>
          <w:rFonts w:ascii="Barlow Semi Condensed" w:cs="Barlow Semi Condensed" w:eastAsia="Barlow Semi Condensed" w:hAnsi="Barlow Semi Condensed"/>
          <w:sz w:val="24"/>
          <w:szCs w:val="24"/>
        </w:rPr>
        <w:t xml:space="preserve"> Wikipedia — https://it.wikipedia.org/wiki/Dichiarazione_comune_cattolico-ortodossa_del_1965 (https://it.wikipedia.org/wiki/Dichiarazione_comune_cattolico-ortodossa_del_1965)</w:t>
      </w:r>
    </w:p>
    <w:p>
      <w:pPr>
        <w:spacing w:after="120" w:line="276"/>
        <w:jc w:val="both"/>
      </w:pPr>
      <w:r>
        <w:rPr>
          <w:rFonts w:ascii="Barlow Semi Condensed" w:cs="Barlow Semi Condensed" w:eastAsia="Barlow Semi Condensed" w:hAnsi="Barlow Semi Condensed"/>
          <w:b/>
          <w:bCs/>
          <w:sz w:val="24"/>
          <w:szCs w:val="24"/>
        </w:rPr>
        <w:t xml:space="preserve">401.</w:t>
      </w:r>
      <w:r>
        <w:rPr>
          <w:rFonts w:ascii="Barlow Semi Condensed" w:cs="Barlow Semi Condensed" w:eastAsia="Barlow Semi Condensed" w:hAnsi="Barlow Semi Condensed"/>
          <w:sz w:val="24"/>
          <w:szCs w:val="24"/>
        </w:rPr>
        <w:t xml:space="preserve"> opusdei — https://opusdei.org/it-it/article/storia/ (https://opusdei.org/it-it/article/storia/)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402.</w:t>
      </w:r>
      <w:r>
        <w:rPr>
          <w:rFonts w:ascii="Barlow Semi Condensed" w:cs="Barlow Semi Condensed" w:eastAsia="Barlow Semi Condensed" w:hAnsi="Barlow Semi Condensed"/>
          <w:sz w:val="24"/>
          <w:szCs w:val="24"/>
        </w:rPr>
        <w:t xml:space="preserve"> opusdei — https://opusdei.org/en-us/article/regional-circumscriptions-opus-dei/ (https://opusdei.org/en-us/article/regional-circumscriptions-opus-dei/)</w:t>
      </w:r>
    </w:p>
    <w:p>
      <w:pPr>
        <w:spacing w:after="120" w:line="276"/>
        <w:jc w:val="both"/>
      </w:pPr>
      <w:r>
        <w:rPr>
          <w:rFonts w:ascii="Barlow Semi Condensed" w:cs="Barlow Semi Condensed" w:eastAsia="Barlow Semi Condensed" w:hAnsi="Barlow Semi Condensed"/>
          <w:b/>
          <w:bCs/>
          <w:sz w:val="24"/>
          <w:szCs w:val="24"/>
        </w:rPr>
        <w:t xml:space="preserve">403.</w:t>
      </w:r>
      <w:r>
        <w:rPr>
          <w:rFonts w:ascii="Barlow Semi Condensed" w:cs="Barlow Semi Condensed" w:eastAsia="Barlow Semi Condensed" w:hAnsi="Barlow Semi Condensed"/>
          <w:sz w:val="24"/>
          <w:szCs w:val="24"/>
        </w:rPr>
        <w:t xml:space="preserve"> Wikipedia — https://en.wikipedia.org/wiki/Josemar%C3%ADa_Escriv%C3%A1 (https://en.wikipedia.org/wiki/Josemar%C3%ADa_Escriv%C3%A1)</w:t>
      </w:r>
    </w:p>
    <w:p>
      <w:pPr>
        <w:spacing w:after="120" w:line="276"/>
        <w:jc w:val="both"/>
      </w:pPr>
      <w:r>
        <w:rPr>
          <w:rFonts w:ascii="Barlow Semi Condensed" w:cs="Barlow Semi Condensed" w:eastAsia="Barlow Semi Condensed" w:hAnsi="Barlow Semi Condensed"/>
          <w:b/>
          <w:bCs/>
          <w:sz w:val="24"/>
          <w:szCs w:val="24"/>
        </w:rPr>
        <w:t xml:space="preserve">404.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catholicmedia.org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405.</w:t>
      </w:r>
      <w:r>
        <w:rPr>
          <w:rFonts w:ascii="Barlow Semi Condensed" w:cs="Barlow Semi Condensed" w:eastAsia="Barlow Semi Condensed" w:hAnsi="Barlow Semi Condensed"/>
          <w:sz w:val="24"/>
          <w:szCs w:val="24"/>
        </w:rPr>
        <w:t xml:space="preserve"> ACI Stampa — https://www.acistampa.com/story/18666/i-greco-cattolici-in-grecia-pietra-di-inciampo-che-vuole-costruire-ponti-18666 (https://www.acistampa.com/story/18666/i-greco-cattolici-in-grecia-pietra-di-inciampo-che-vuole-costruire-ponti-18666)</w:t>
      </w:r>
    </w:p>
    <w:p>
      <w:pPr>
        <w:spacing w:after="120" w:line="276"/>
        <w:jc w:val="both"/>
      </w:pPr>
      <w:r>
        <w:rPr>
          <w:rFonts w:ascii="Barlow Semi Condensed" w:cs="Barlow Semi Condensed" w:eastAsia="Barlow Semi Condensed" w:hAnsi="Barlow Semi Condensed"/>
          <w:b/>
          <w:bCs/>
          <w:sz w:val="24"/>
          <w:szCs w:val="24"/>
        </w:rPr>
        <w:t xml:space="preserve">406.</w:t>
      </w:r>
      <w:r>
        <w:rPr>
          <w:rFonts w:ascii="Barlow Semi Condensed" w:cs="Barlow Semi Condensed" w:eastAsia="Barlow Semi Condensed" w:hAnsi="Barlow Semi Condensed"/>
          <w:sz w:val="24"/>
          <w:szCs w:val="24"/>
        </w:rPr>
        <w:t xml:space="preserve"> La Nuova Bussola Quotidiana — https://lanuovabq.it/it/cristiani-divisi-in-grecia (https://lanuovabq.it/it/cristiani-divisi-in-grecia)</w:t>
      </w:r>
    </w:p>
    <w:p>
      <w:pPr>
        <w:spacing w:after="120" w:line="276"/>
        <w:jc w:val="both"/>
      </w:pPr>
      <w:r>
        <w:rPr>
          <w:rFonts w:ascii="Barlow Semi Condensed" w:cs="Barlow Semi Condensed" w:eastAsia="Barlow Semi Condensed" w:hAnsi="Barlow Semi Condensed"/>
          <w:b/>
          <w:bCs/>
          <w:sz w:val="24"/>
          <w:szCs w:val="24"/>
        </w:rPr>
        <w:t xml:space="preserve">407.</w:t>
      </w:r>
      <w:r>
        <w:rPr>
          <w:rFonts w:ascii="Barlow Semi Condensed" w:cs="Barlow Semi Condensed" w:eastAsia="Barlow Semi Condensed" w:hAnsi="Barlow Semi Condensed"/>
          <w:sz w:val="24"/>
          <w:szCs w:val="24"/>
        </w:rPr>
        <w:t xml:space="preserve"> state — https://history.state.gov/historicaldocuments/frus1969-76v30 (https://history.state.gov/historicaldocuments/frus1969-76v30)</w:t>
      </w:r>
    </w:p>
    <w:p>
      <w:pPr>
        <w:spacing w:after="120" w:line="276"/>
        <w:jc w:val="both"/>
      </w:pPr>
      <w:r>
        <w:rPr>
          <w:rFonts w:ascii="Barlow Semi Condensed" w:cs="Barlow Semi Condensed" w:eastAsia="Barlow Semi Condensed" w:hAnsi="Barlow Semi Condensed"/>
          <w:b/>
          <w:bCs/>
          <w:sz w:val="24"/>
          <w:szCs w:val="24"/>
        </w:rPr>
        <w:t xml:space="preserve">408.</w:t>
      </w:r>
      <w:r>
        <w:rPr>
          <w:rFonts w:ascii="Barlow Semi Condensed" w:cs="Barlow Semi Condensed" w:eastAsia="Barlow Semi Condensed" w:hAnsi="Barlow Semi Condensed"/>
          <w:sz w:val="24"/>
          <w:szCs w:val="24"/>
        </w:rPr>
        <w:t xml:space="preserve"> Esteri — https://www.esteri.it/it/temi/uap/archivio-storico-e-biblioteca/archivio-storico-diplomatico/ (https://www.esteri.it/it/temi/uap/archivio-storico-e-biblioteca/archivio-storico-diplomatico/)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409.</w:t>
      </w:r>
      <w:r>
        <w:rPr>
          <w:rFonts w:ascii="Barlow Semi Condensed" w:cs="Barlow Semi Condensed" w:eastAsia="Barlow Semi Condensed" w:hAnsi="Barlow Semi Condensed"/>
          <w:sz w:val="24"/>
          <w:szCs w:val="24"/>
        </w:rPr>
        <w:t xml:space="preserve"> Esteri — https://www.esteri.it/it/temi/uap/archivio-storico-e-biblioteca/archivio-storico-diplomatico/storia-e-fondi/ (https://www.esteri.it/it/temi/uap/archivio-storico-e-biblioteca/archivio-storico-diplomatico/storia-e-fondi/)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410.</w:t>
      </w:r>
      <w:r>
        <w:rPr>
          <w:rFonts w:ascii="Barlow Semi Condensed" w:cs="Barlow Semi Condensed" w:eastAsia="Barlow Semi Condensed" w:hAnsi="Barlow Semi Condensed"/>
          <w:sz w:val="24"/>
          <w:szCs w:val="24"/>
        </w:rPr>
        <w:t xml:space="preserve"> Senato della Repubblica — https://www.senato.it/leg16/3182?newsletter_item=1296&amp;newsletter_numero=122 (https://www.senato.it/leg16/3182?newsletter_item=1296&amp;newsletter_numero=122)</w:t>
      </w:r>
    </w:p>
    <w:p>
      <w:pPr>
        <w:spacing w:after="120" w:line="276"/>
        <w:jc w:val="both"/>
      </w:pPr>
      <w:r>
        <w:rPr>
          <w:rFonts w:ascii="Barlow Semi Condensed" w:cs="Barlow Semi Condensed" w:eastAsia="Barlow Semi Condensed" w:hAnsi="Barlow Semi Condensed"/>
          <w:b/>
          <w:bCs/>
          <w:sz w:val="24"/>
          <w:szCs w:val="24"/>
        </w:rPr>
        <w:t xml:space="preserve">411.</w:t>
      </w:r>
      <w:r>
        <w:rPr>
          <w:rFonts w:ascii="Barlow Semi Condensed" w:cs="Barlow Semi Condensed" w:eastAsia="Barlow Semi Condensed" w:hAnsi="Barlow Semi Condensed"/>
          <w:sz w:val="24"/>
          <w:szCs w:val="24"/>
        </w:rPr>
        <w:t xml:space="preserve"> Esteri — https://www.esteri.it/it/uapsds/archivio-storico-e-biblioteca/archivio-storico-diplomatico/servizi-allutenza/ (https://www.esteri.it/it/uapsds/archivio-storico-e-biblioteca/archivio-storico-diplomatico/servizi-allutenza/)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412.</w:t>
      </w:r>
      <w:r>
        <w:rPr>
          <w:rFonts w:ascii="Barlow Semi Condensed" w:cs="Barlow Semi Condensed" w:eastAsia="Barlow Semi Condensed" w:hAnsi="Barlow Semi Condensed"/>
          <w:sz w:val="24"/>
          <w:szCs w:val="24"/>
        </w:rPr>
        <w:t xml:space="preserve"> EHRI — https://portal.ehri-project.eu/institutions/it-002863 (https://portal.ehri-project.eu/institutions/it-002863)</w:t>
      </w:r>
    </w:p>
    <w:p>
      <w:pPr>
        <w:pStyle w:val="Heading3"/>
        <w:spacing w:after="80" w:before="160"/>
      </w:pPr>
      <w:r>
        <w:rPr>
          <w:rFonts w:ascii="Barlow Semi Condensed" w:cs="Barlow Semi Condensed" w:eastAsia="Barlow Semi Condensed" w:hAnsi="Barlow Semi Condensed"/>
          <w:sz w:val="24"/>
          <w:szCs w:val="24"/>
        </w:rPr>
        <w:t xml:space="preserve">Libro dodicesimo · VIII — Turchia e Opus Dei 1969-1975</w:t>
      </w:r>
    </w:p>
    <w:p>
      <w:pPr>
        <w:spacing w:after="120" w:line="276"/>
        <w:jc w:val="both"/>
      </w:pPr>
      <w:r>
        <w:rPr>
          <w:rFonts w:ascii="Barlow Semi Condensed" w:cs="Barlow Semi Condensed" w:eastAsia="Barlow Semi Condensed" w:hAnsi="Barlow Semi Condensed"/>
          <w:b/>
          <w:bCs/>
          <w:sz w:val="24"/>
          <w:szCs w:val="24"/>
        </w:rPr>
        <w:t xml:space="preserve">413.</w:t>
      </w:r>
      <w:r>
        <w:rPr>
          <w:rFonts w:ascii="Barlow Semi Condensed" w:cs="Barlow Semi Condensed" w:eastAsia="Barlow Semi Condensed" w:hAnsi="Barlow Semi Condensed"/>
          <w:sz w:val="24"/>
          <w:szCs w:val="24"/>
        </w:rPr>
        <w:t xml:space="preserve"> Wikipedia — https://it.wikipedia.org/wiki/Accordo_di_Ankara_(1963 (https://it.wikipedia.org/wiki/Accordo_di_Ankara_(1963)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414.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ab.gov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415.</w:t>
      </w:r>
      <w:r>
        <w:rPr>
          <w:rFonts w:ascii="Barlow Semi Condensed" w:cs="Barlow Semi Condensed" w:eastAsia="Barlow Semi Condensed" w:hAnsi="Barlow Semi Condensed"/>
          <w:sz w:val="24"/>
          <w:szCs w:val="24"/>
        </w:rPr>
        <w:t xml:space="preserve"> AB Bașkanlığı — https://www.ab.gov.tr/111_en.html (https://www.ab.gov.tr/111_en.html)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416.</w:t>
      </w:r>
      <w:r>
        <w:rPr>
          <w:rFonts w:ascii="Barlow Semi Condensed" w:cs="Barlow Semi Condensed" w:eastAsia="Barlow Semi Condensed" w:hAnsi="Barlow Semi Condensed"/>
          <w:sz w:val="24"/>
          <w:szCs w:val="24"/>
        </w:rPr>
        <w:t xml:space="preserve"> European Parliament — https://www.europarl.europa.eu/delegations/en/d-tr/documents/eu-texts (https://www.europarl.europa.eu/delegations/en/d-tr/documents/eu-texts)</w:t>
      </w:r>
    </w:p>
    <w:p>
      <w:pPr>
        <w:spacing w:after="120" w:line="276"/>
        <w:jc w:val="both"/>
      </w:pPr>
      <w:r>
        <w:rPr>
          <w:rFonts w:ascii="Barlow Semi Condensed" w:cs="Barlow Semi Condensed" w:eastAsia="Barlow Semi Condensed" w:hAnsi="Barlow Semi Condensed"/>
          <w:b/>
          <w:bCs/>
          <w:sz w:val="24"/>
          <w:szCs w:val="24"/>
        </w:rPr>
        <w:t xml:space="preserve">417.</w:t>
      </w:r>
      <w:r>
        <w:rPr>
          <w:rFonts w:ascii="Barlow Semi Condensed" w:cs="Barlow Semi Condensed" w:eastAsia="Barlow Semi Condensed" w:hAnsi="Barlow Semi Condensed"/>
          <w:sz w:val="24"/>
          <w:szCs w:val="24"/>
        </w:rPr>
        <w:t xml:space="preserve"> EUR-Lex — https://eur-lex.europa.eu/LexUriServ/LexUriServ.do?uri=CELEX%3A31971R1842%3AIT%3AHTML (https://eur-lex.europa.eu/LexUriServ/LexUriServ.do?uri=CELEX%3A31971R1842%3AIT%3AHTML)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418.</w:t>
      </w:r>
      <w:r>
        <w:rPr>
          <w:rFonts w:ascii="Barlow Semi Condensed" w:cs="Barlow Semi Condensed" w:eastAsia="Barlow Semi Condensed" w:hAnsi="Barlow Semi Condensed"/>
          <w:sz w:val="24"/>
          <w:szCs w:val="24"/>
        </w:rPr>
        <w:t xml:space="preserve"> EUR-Lex — https://eur-lex.europa.eu/legal-content/IT/TXT/?uri=CELEX%3A31973R0428 (https://eur-lex.europa.eu/legal-content/IT/TXT/?uri=CELEX%3A31973R0428)</w:t>
      </w:r>
    </w:p>
    <w:p>
      <w:pPr>
        <w:spacing w:after="120" w:line="276"/>
        <w:jc w:val="both"/>
      </w:pPr>
      <w:r>
        <w:rPr>
          <w:rFonts w:ascii="Barlow Semi Condensed" w:cs="Barlow Semi Condensed" w:eastAsia="Barlow Semi Condensed" w:hAnsi="Barlow Semi Condensed"/>
          <w:b/>
          <w:bCs/>
          <w:sz w:val="24"/>
          <w:szCs w:val="24"/>
        </w:rPr>
        <w:t xml:space="preserve">419.</w:t>
      </w:r>
      <w:r>
        <w:rPr>
          <w:rFonts w:ascii="Barlow Semi Condensed" w:cs="Barlow Semi Condensed" w:eastAsia="Barlow Semi Condensed" w:hAnsi="Barlow Semi Condensed"/>
          <w:sz w:val="24"/>
          <w:szCs w:val="24"/>
        </w:rPr>
        <w:t xml:space="preserve"> Cambridge Core — https://www.cambridge.org/core/journals/international-and-comparative-law-quarterly/article/abs/ii-the-ankara-agreement-turkey-and-the-eu/F0EB341D436F195721DC25D49CE61DC0 (https://www.cambridge.org/core/journals/international-and-comparative-law-quarterly/article/abs/ii-the-ankara-agreement-turkey-and-the-eu/F0EB341D436F195721DC25D49CE61DC0)</w:t>
      </w:r>
    </w:p>
    <w:p>
      <w:pPr>
        <w:spacing w:after="120" w:line="276"/>
        <w:jc w:val="both"/>
      </w:pPr>
      <w:r>
        <w:rPr>
          <w:rFonts w:ascii="Barlow Semi Condensed" w:cs="Barlow Semi Condensed" w:eastAsia="Barlow Semi Condensed" w:hAnsi="Barlow Semi Condensed"/>
          <w:b/>
          <w:bCs/>
          <w:sz w:val="24"/>
          <w:szCs w:val="24"/>
        </w:rPr>
        <w:t xml:space="preserve">420.</w:t>
      </w:r>
      <w:r>
        <w:rPr>
          <w:rFonts w:ascii="Barlow Semi Condensed" w:cs="Barlow Semi Condensed" w:eastAsia="Barlow Semi Condensed" w:hAnsi="Barlow Semi Condensed"/>
          <w:sz w:val="24"/>
          <w:szCs w:val="24"/>
        </w:rPr>
        <w:t xml:space="preserve"> EUR-Lex — https://eur-lex.europa.eu/legal-content/IT/TXT/PDF/?uri=CELEX:01964A1229(01 (https://eur-lex.europa.eu/legal-content/IT/TXT/PDF/?uri=CELEX:01964A1229(01)</w:t>
      </w:r>
    </w:p>
    <w:p>
      <w:pPr>
        <w:spacing w:after="120" w:line="276"/>
        <w:jc w:val="both"/>
      </w:pPr>
      <w:r>
        <w:rPr>
          <w:rFonts w:ascii="Barlow Semi Condensed" w:cs="Barlow Semi Condensed" w:eastAsia="Barlow Semi Condensed" w:hAnsi="Barlow Semi Condensed"/>
          <w:b/>
          <w:bCs/>
          <w:sz w:val="24"/>
          <w:szCs w:val="24"/>
        </w:rPr>
        <w:t xml:space="preserve">421.</w:t>
      </w:r>
      <w:r>
        <w:rPr>
          <w:rFonts w:ascii="Barlow Semi Condensed" w:cs="Barlow Semi Condensed" w:eastAsia="Barlow Semi Condensed" w:hAnsi="Barlow Semi Condensed"/>
          <w:sz w:val="24"/>
          <w:szCs w:val="24"/>
        </w:rPr>
        <w:t xml:space="preserve"> EUR-Lex — https://eur-lex.europa.eu/LexUriServ/LexUriServ.do?uri=CELEX:21970A1123(01 (https://eur-lex.europa.eu/LexUriServ/LexUriServ.do?uri=CELEX:21970A1123(01)</w:t>
      </w:r>
    </w:p>
    <w:p>
      <w:pPr>
        <w:spacing w:after="120" w:line="276"/>
        <w:jc w:val="both"/>
      </w:pPr>
      <w:r>
        <w:rPr>
          <w:rFonts w:ascii="Barlow Semi Condensed" w:cs="Barlow Semi Condensed" w:eastAsia="Barlow Semi Condensed" w:hAnsi="Barlow Semi Condensed"/>
          <w:b/>
          <w:bCs/>
          <w:sz w:val="24"/>
          <w:szCs w:val="24"/>
        </w:rPr>
        <w:t xml:space="preserve">422.</w:t>
      </w:r>
      <w:r>
        <w:rPr>
          <w:rFonts w:ascii="Barlow Semi Condensed" w:cs="Barlow Semi Condensed" w:eastAsia="Barlow Semi Condensed" w:hAnsi="Barlow Semi Condensed"/>
          <w:sz w:val="24"/>
          <w:szCs w:val="24"/>
        </w:rPr>
        <w:t xml:space="preserve"> EUR-Lex — https://eur-lex.europa.eu/legal-content/IT/TXT/HTML/?uri=CELEX:62013CC0138&amp;from=IT (https://eur-lex.europa.eu/legal-content/IT/TXT/HTML/?uri=CELEX:62013CC0138&amp;from=IT)</w:t>
      </w:r>
    </w:p>
    <w:p>
      <w:pPr>
        <w:spacing w:after="120" w:line="276"/>
        <w:jc w:val="both"/>
      </w:pPr>
      <w:r>
        <w:rPr>
          <w:rFonts w:ascii="Barlow Semi Condensed" w:cs="Barlow Semi Condensed" w:eastAsia="Barlow Semi Condensed" w:hAnsi="Barlow Semi Condensed"/>
          <w:b/>
          <w:bCs/>
          <w:sz w:val="24"/>
          <w:szCs w:val="24"/>
        </w:rPr>
        <w:t xml:space="preserve">423.</w:t>
      </w:r>
      <w:r>
        <w:rPr>
          <w:rFonts w:ascii="Barlow Semi Condensed" w:cs="Barlow Semi Condensed" w:eastAsia="Barlow Semi Condensed" w:hAnsi="Barlow Semi Condensed"/>
          <w:sz w:val="24"/>
          <w:szCs w:val="24"/>
        </w:rPr>
        <w:t xml:space="preserve"> EUR-Lex — https://eur-lex.europa.eu/legal-content/IT/TXT/HTML/?amp=&amp;from=IT&amp;uri=CELEX%3A22014A0507%2801%29 (https://eur-lex.europa.eu/legal-content/IT/TXT/HTML/?amp=&amp;from=IT&amp;uri=CELEX%3A22014A0507%2801%29)</w:t>
      </w:r>
    </w:p>
    <w:p>
      <w:pPr>
        <w:spacing w:after="120" w:line="276"/>
        <w:jc w:val="both"/>
      </w:pPr>
      <w:r>
        <w:rPr>
          <w:rFonts w:ascii="Barlow Semi Condensed" w:cs="Barlow Semi Condensed" w:eastAsia="Barlow Semi Condensed" w:hAnsi="Barlow Semi Condensed"/>
          <w:b/>
          <w:bCs/>
          <w:sz w:val="24"/>
          <w:szCs w:val="24"/>
        </w:rPr>
        <w:t xml:space="preserve">424.</w:t>
      </w:r>
      <w:r>
        <w:rPr>
          <w:rFonts w:ascii="Barlow Semi Condensed" w:cs="Barlow Semi Condensed" w:eastAsia="Barlow Semi Condensed" w:hAnsi="Barlow Semi Condensed"/>
          <w:sz w:val="24"/>
          <w:szCs w:val="24"/>
        </w:rPr>
        <w:t xml:space="preserve"> EUR-Lex — https://eur-lex.europa.eu/legal-content/EN/ALL/?uri=CELEX%3A21970A1123%2801%29 (https://eur-lex.europa.eu/legal-content/EN/ALL/?uri=CELEX%3A21970A1123%2801%29)</w:t>
      </w:r>
    </w:p>
    <w:p>
      <w:pPr>
        <w:spacing w:after="120" w:line="276"/>
        <w:jc w:val="both"/>
      </w:pPr>
      <w:r>
        <w:rPr>
          <w:rFonts w:ascii="Barlow Semi Condensed" w:cs="Barlow Semi Condensed" w:eastAsia="Barlow Semi Condensed" w:hAnsi="Barlow Semi Condensed"/>
          <w:b/>
          <w:bCs/>
          <w:sz w:val="24"/>
          <w:szCs w:val="24"/>
        </w:rPr>
        <w:t xml:space="preserve">425.</w:t>
      </w:r>
      <w:r>
        <w:rPr>
          <w:rFonts w:ascii="Barlow Semi Condensed" w:cs="Barlow Semi Condensed" w:eastAsia="Barlow Semi Condensed" w:hAnsi="Barlow Semi Condensed"/>
          <w:sz w:val="24"/>
          <w:szCs w:val="24"/>
        </w:rPr>
        <w:t xml:space="preserve"> EUR-Lex — https://eur-lex.europa.eu/legal-content/IT/ALL/?uri=CELEX%3A21964A1229%2801%29 (https://eur-lex.europa.eu/legal-content/IT/ALL/?uri=CELEX%3A21964A1229%2801%29)</w:t>
      </w:r>
    </w:p>
    <w:p>
      <w:pPr>
        <w:spacing w:after="120" w:line="276"/>
        <w:jc w:val="both"/>
      </w:pPr>
      <w:r>
        <w:rPr>
          <w:rFonts w:ascii="Barlow Semi Condensed" w:cs="Barlow Semi Condensed" w:eastAsia="Barlow Semi Condensed" w:hAnsi="Barlow Semi Condensed"/>
          <w:b/>
          <w:bCs/>
          <w:sz w:val="24"/>
          <w:szCs w:val="24"/>
        </w:rPr>
        <w:t xml:space="preserve">426.</w:t>
      </w:r>
      <w:r>
        <w:rPr>
          <w:rFonts w:ascii="Barlow Semi Condensed" w:cs="Barlow Semi Condensed" w:eastAsia="Barlow Semi Condensed" w:hAnsi="Barlow Semi Condensed"/>
          <w:sz w:val="24"/>
          <w:szCs w:val="24"/>
        </w:rPr>
        <w:t xml:space="preserve"> EUR-Lex — https://eur-lex.europa.eu/LexUriServ/LexUriServ.do?uri=CELEX%3A21973A1003%2801%29%3AIT%3AHTML (https://eur-lex.europa.eu/LexUriServ/LexUriServ.do?uri=CELEX%3A21973A1003%2801%29%3AIT%3AHTML)</w:t>
      </w:r>
    </w:p>
    <w:p>
      <w:pPr>
        <w:spacing w:after="120" w:line="276"/>
        <w:jc w:val="both"/>
      </w:pPr>
      <w:r>
        <w:rPr>
          <w:rFonts w:ascii="Barlow Semi Condensed" w:cs="Barlow Semi Condensed" w:eastAsia="Barlow Semi Condensed" w:hAnsi="Barlow Semi Condensed"/>
          <w:b/>
          <w:bCs/>
          <w:sz w:val="24"/>
          <w:szCs w:val="24"/>
        </w:rPr>
        <w:t xml:space="preserve">427.</w:t>
      </w:r>
      <w:r>
        <w:rPr>
          <w:rFonts w:ascii="Barlow Semi Condensed" w:cs="Barlow Semi Condensed" w:eastAsia="Barlow Semi Condensed" w:hAnsi="Barlow Semi Condensed"/>
          <w:sz w:val="24"/>
          <w:szCs w:val="24"/>
        </w:rPr>
        <w:t xml:space="preserve"> Senato della Repubblica — https://www.senato.it/service/PDF/PDFServer/DF/311398.pdf (https://www.senato.it/service/PDF/PDFServer/DF/311398.pdf)</w:t>
      </w:r>
    </w:p>
    <w:p>
      <w:pPr>
        <w:spacing w:after="120" w:line="276"/>
        <w:jc w:val="both"/>
      </w:pPr>
      <w:r>
        <w:rPr>
          <w:rFonts w:ascii="Barlow Semi Condensed" w:cs="Barlow Semi Condensed" w:eastAsia="Barlow Semi Condensed" w:hAnsi="Barlow Semi Condensed"/>
          <w:b/>
          <w:bCs/>
          <w:sz w:val="24"/>
          <w:szCs w:val="24"/>
        </w:rPr>
        <w:t xml:space="preserve">428.</w:t>
      </w:r>
      <w:r>
        <w:rPr>
          <w:rFonts w:ascii="Barlow Semi Condensed" w:cs="Barlow Semi Condensed" w:eastAsia="Barlow Semi Condensed" w:hAnsi="Barlow Semi Condensed"/>
          <w:sz w:val="24"/>
          <w:szCs w:val="24"/>
        </w:rPr>
        <w:t xml:space="preserve"> Wikipedia — https://en.wikipedia.org/wiki/Turan_G%C3%BCne%C5%9F (https://en.wikipedia.org/wiki/Turan_G%C3%BCne%C5%9F)</w:t>
      </w:r>
    </w:p>
    <w:p>
      <w:pPr>
        <w:spacing w:after="120" w:line="276"/>
        <w:jc w:val="both"/>
      </w:pPr>
      <w:r>
        <w:rPr>
          <w:rFonts w:ascii="Barlow Semi Condensed" w:cs="Barlow Semi Condensed" w:eastAsia="Barlow Semi Condensed" w:hAnsi="Barlow Semi Condensed"/>
          <w:b/>
          <w:bCs/>
          <w:sz w:val="24"/>
          <w:szCs w:val="24"/>
        </w:rPr>
        <w:t xml:space="preserve">429.</w:t>
      </w:r>
      <w:r>
        <w:rPr>
          <w:rFonts w:ascii="Barlow Semi Condensed" w:cs="Barlow Semi Condensed" w:eastAsia="Barlow Semi Condensed" w:hAnsi="Barlow Semi Condensed"/>
          <w:sz w:val="24"/>
          <w:szCs w:val="24"/>
        </w:rPr>
        <w:t xml:space="preserve"> New World Encyclopedia — https://www.newworldencyclopedia.org/entry/Turkish_invasion_of_Cyprus (https://www.newworldencyclopedia.org/entry/Turkish_invasion_of_Cyprus)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430.</w:t>
      </w:r>
      <w:r>
        <w:rPr>
          <w:rFonts w:ascii="Barlow Semi Condensed" w:cs="Barlow Semi Condensed" w:eastAsia="Barlow Semi Condensed" w:hAnsi="Barlow Semi Condensed"/>
          <w:sz w:val="24"/>
          <w:szCs w:val="24"/>
        </w:rPr>
        <w:t xml:space="preserve"> Government of Cyprus — https://www.gov.cy/mfa/en/documents/turkish-military-invasion-and-occupation/ (https://www.gov.cy/mfa/en/documents/turkish-military-invasion-and-occupation/)</w:t>
      </w:r>
    </w:p>
    <w:p>
      <w:pPr>
        <w:spacing w:after="120" w:line="276"/>
        <w:jc w:val="both"/>
      </w:pPr>
      <w:r>
        <w:rPr>
          <w:rFonts w:ascii="Barlow Semi Condensed" w:cs="Barlow Semi Condensed" w:eastAsia="Barlow Semi Condensed" w:hAnsi="Barlow Semi Condensed"/>
          <w:b/>
          <w:bCs/>
          <w:sz w:val="24"/>
          <w:szCs w:val="24"/>
        </w:rPr>
        <w:t xml:space="preserve">431.</w:t>
      </w:r>
      <w:r>
        <w:rPr>
          <w:rFonts w:ascii="Barlow Semi Condensed" w:cs="Barlow Semi Condensed" w:eastAsia="Barlow Semi Condensed" w:hAnsi="Barlow Semi Condensed"/>
          <w:sz w:val="24"/>
          <w:szCs w:val="24"/>
        </w:rPr>
        <w:t xml:space="preserve"> Cyprus Mail — https://cyprus-mail.com/2026/08/14/cyprus-commemorates-anniversary-of-second-phase-of-invasion (https://cyprus-mail.com/2026/08/14/cyprus-commemorates-anniversary-of-second-phase-of-invasion)</w:t>
      </w:r>
    </w:p>
    <w:p>
      <w:pPr>
        <w:spacing w:after="120" w:line="276"/>
        <w:jc w:val="both"/>
      </w:pPr>
      <w:r>
        <w:rPr>
          <w:rFonts w:ascii="Barlow Semi Condensed" w:cs="Barlow Semi Condensed" w:eastAsia="Barlow Semi Condensed" w:hAnsi="Barlow Semi Condensed"/>
          <w:b/>
          <w:bCs/>
          <w:sz w:val="24"/>
          <w:szCs w:val="24"/>
        </w:rPr>
        <w:t xml:space="preserve">432.</w:t>
      </w:r>
      <w:r>
        <w:rPr>
          <w:rFonts w:ascii="Barlow Semi Condensed" w:cs="Barlow Semi Condensed" w:eastAsia="Barlow Semi Condensed" w:hAnsi="Barlow Semi Condensed"/>
          <w:sz w:val="24"/>
          <w:szCs w:val="24"/>
        </w:rPr>
        <w:t xml:space="preserve"> state — https://history.state.gov/historicaldocuments/frus1977-80v21/d117 (https://history.state.gov/historicaldocuments/frus1977-80v21/d117)</w:t>
      </w:r>
    </w:p>
    <w:p>
      <w:pPr>
        <w:spacing w:after="120" w:line="276"/>
        <w:jc w:val="both"/>
      </w:pPr>
      <w:r>
        <w:rPr>
          <w:rFonts w:ascii="Barlow Semi Condensed" w:cs="Barlow Semi Condensed" w:eastAsia="Barlow Semi Condensed" w:hAnsi="Barlow Semi Condensed"/>
          <w:b/>
          <w:bCs/>
          <w:sz w:val="24"/>
          <w:szCs w:val="24"/>
        </w:rPr>
        <w:t xml:space="preserve">433.</w:t>
      </w:r>
      <w:r>
        <w:rPr>
          <w:rFonts w:ascii="Barlow Semi Condensed" w:cs="Barlow Semi Condensed" w:eastAsia="Barlow Semi Condensed" w:hAnsi="Barlow Semi Condensed"/>
          <w:sz w:val="24"/>
          <w:szCs w:val="24"/>
        </w:rPr>
        <w:t xml:space="preserve"> Parikiaki — https://www.parikiaki.com/2026/08/%CF%84oday-marks-second-phase-of-1974-barbaric-turkish-invasion-of-cyprus/ (https://www.parikiaki.com/2026/08/%CF%84oday-marks-second-phase-of-1974-barbaric-turkish-invasion-of-cyprus/)</w:t>
      </w:r>
    </w:p>
    <w:p>
      <w:pPr>
        <w:spacing w:after="120" w:line="276"/>
        <w:jc w:val="both"/>
      </w:pPr>
      <w:r>
        <w:rPr>
          <w:rFonts w:ascii="Barlow Semi Condensed" w:cs="Barlow Semi Condensed" w:eastAsia="Barlow Semi Condensed" w:hAnsi="Barlow Semi Condensed"/>
          <w:b/>
          <w:bCs/>
          <w:sz w:val="24"/>
          <w:szCs w:val="24"/>
        </w:rPr>
        <w:t xml:space="preserve">434.</w:t>
      </w:r>
      <w:r>
        <w:rPr>
          <w:rFonts w:ascii="Barlow Semi Condensed" w:cs="Barlow Semi Condensed" w:eastAsia="Barlow Semi Condensed" w:hAnsi="Barlow Semi Condensed"/>
          <w:sz w:val="24"/>
          <w:szCs w:val="24"/>
        </w:rPr>
        <w:t xml:space="preserve"> Unibo — https://aldomorodigitale.unibo.it/additional_resources/?id=141&amp;type=introduction (https://aldomorodigitale.unibo.it/additional_resources/?id=141&amp;type=introduction)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435.</w:t>
      </w:r>
      <w:r>
        <w:rPr>
          <w:rFonts w:ascii="Barlow Semi Condensed" w:cs="Barlow Semi Condensed" w:eastAsia="Barlow Semi Condensed" w:hAnsi="Barlow Semi Condensed"/>
          <w:sz w:val="24"/>
          <w:szCs w:val="24"/>
        </w:rPr>
        <w:t xml:space="preserve"> Martinkramer — https://martinkramer.org/wp-content/uploads/2025/09/cyprus-1974.pdf (https://martinkramer.org/wp-content/uploads/2025/09/cyprus-1974.pdf)</w:t>
      </w:r>
    </w:p>
    <w:p>
      <w:pPr>
        <w:spacing w:after="120" w:line="276"/>
        <w:jc w:val="both"/>
      </w:pPr>
      <w:r>
        <w:rPr>
          <w:rFonts w:ascii="Barlow Semi Condensed" w:cs="Barlow Semi Condensed" w:eastAsia="Barlow Semi Condensed" w:hAnsi="Barlow Semi Condensed"/>
          <w:b/>
          <w:bCs/>
          <w:sz w:val="24"/>
          <w:szCs w:val="24"/>
        </w:rPr>
        <w:t xml:space="preserve">436.</w:t>
      </w:r>
      <w:r>
        <w:rPr>
          <w:rFonts w:ascii="Barlow Semi Condensed" w:cs="Barlow Semi Condensed" w:eastAsia="Barlow Semi Condensed" w:hAnsi="Barlow Semi Condensed"/>
          <w:sz w:val="24"/>
          <w:szCs w:val="24"/>
        </w:rPr>
        <w:t xml:space="preserve"> umich — https://digital.bentley.umich.edu/midaily/mdp.39015071754639/361/download_text (https://digital.bentley.umich.edu/midaily/mdp.39015071754639/361/download_text)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437.</w:t>
      </w:r>
      <w:r>
        <w:rPr>
          <w:rFonts w:ascii="Barlow Semi Condensed" w:cs="Barlow Semi Condensed" w:eastAsia="Barlow Semi Condensed" w:hAnsi="Barlow Semi Condensed"/>
          <w:sz w:val="24"/>
          <w:szCs w:val="24"/>
        </w:rPr>
        <w:t xml:space="preserve"> msu — https://archive.lib.msu.edu/DMC/state_news/1975/state_news_19750725.pdf (https://archive.lib.msu.edu/DMC/state_news/1975/state_news_19750725.pdf)</w:t>
      </w:r>
    </w:p>
    <w:p>
      <w:pPr>
        <w:spacing w:after="120" w:line="276"/>
        <w:jc w:val="both"/>
      </w:pPr>
      <w:r>
        <w:rPr>
          <w:rFonts w:ascii="Barlow Semi Condensed" w:cs="Barlow Semi Condensed" w:eastAsia="Barlow Semi Condensed" w:hAnsi="Barlow Semi Condensed"/>
          <w:b/>
          <w:bCs/>
          <w:sz w:val="24"/>
          <w:szCs w:val="24"/>
        </w:rPr>
        <w:t xml:space="preserve">438.</w:t>
      </w:r>
      <w:r>
        <w:rPr>
          <w:rFonts w:ascii="Barlow Semi Condensed" w:cs="Barlow Semi Condensed" w:eastAsia="Barlow Semi Condensed" w:hAnsi="Barlow Semi Condensed"/>
          <w:sz w:val="24"/>
          <w:szCs w:val="24"/>
        </w:rPr>
        <w:t xml:space="preserve"> state — https://history.state.gov/historicaldocuments/frus1977-80v21/d121 (https://history.state.gov/historicaldocuments/frus1977-80v21/d121)</w:t>
      </w:r>
    </w:p>
    <w:p>
      <w:pPr>
        <w:spacing w:after="120" w:line="276"/>
        <w:jc w:val="both"/>
      </w:pPr>
      <w:r>
        <w:rPr>
          <w:rFonts w:ascii="Barlow Semi Condensed" w:cs="Barlow Semi Condensed" w:eastAsia="Barlow Semi Condensed" w:hAnsi="Barlow Semi Condensed"/>
          <w:b/>
          <w:bCs/>
          <w:sz w:val="24"/>
          <w:szCs w:val="24"/>
        </w:rPr>
        <w:t xml:space="preserve">439.</w:t>
      </w:r>
      <w:r>
        <w:rPr>
          <w:rFonts w:ascii="Barlow Semi Condensed" w:cs="Barlow Semi Condensed" w:eastAsia="Barlow Semi Condensed" w:hAnsi="Barlow Semi Condensed"/>
          <w:sz w:val="24"/>
          <w:szCs w:val="24"/>
        </w:rPr>
        <w:t xml:space="preserve"> DEU University — https://web.deu.edu.tr/kibris/articles/aftermath.html (https://web.deu.edu.tr/kibris/articles/aftermath.html)</w:t>
      </w:r>
    </w:p>
    <w:p>
      <w:pPr>
        <w:spacing w:after="120" w:line="276"/>
        <w:jc w:val="both"/>
      </w:pPr>
      <w:r>
        <w:rPr>
          <w:rFonts w:ascii="Barlow Semi Condensed" w:cs="Barlow Semi Condensed" w:eastAsia="Barlow Semi Condensed" w:hAnsi="Barlow Semi Condensed"/>
          <w:b/>
          <w:bCs/>
          <w:sz w:val="24"/>
          <w:szCs w:val="24"/>
        </w:rPr>
        <w:t xml:space="preserve">440.</w:t>
      </w:r>
      <w:r>
        <w:rPr>
          <w:rFonts w:ascii="Barlow Semi Condensed" w:cs="Barlow Semi Condensed" w:eastAsia="Barlow Semi Condensed" w:hAnsi="Barlow Semi Condensed"/>
          <w:sz w:val="24"/>
          <w:szCs w:val="24"/>
        </w:rPr>
        <w:t xml:space="preserve"> Eliamep — https://www.eliamep.gr/en/oi-ellinotourkikes-diafores-sto-thalassio-choro-apo-tin-optiki-tou-diethnous-dikaiou/ (https://www.eliamep.gr/en/oi-ellinotourkikes-diafores-sto-thalassio-choro-apo-tin-optiki-tou-diethnous-dikaiou/)</w:t>
      </w:r>
    </w:p>
    <w:p>
      <w:pPr>
        <w:spacing w:after="120" w:line="276"/>
        <w:jc w:val="both"/>
      </w:pPr>
      <w:r>
        <w:rPr>
          <w:rFonts w:ascii="Barlow Semi Condensed" w:cs="Barlow Semi Condensed" w:eastAsia="Barlow Semi Condensed" w:hAnsi="Barlow Semi Condensed"/>
          <w:b/>
          <w:bCs/>
          <w:sz w:val="24"/>
          <w:szCs w:val="24"/>
        </w:rPr>
        <w:t xml:space="preserve">441.</w:t>
      </w:r>
      <w:r>
        <w:rPr>
          <w:rFonts w:ascii="Barlow Semi Condensed" w:cs="Barlow Semi Condensed" w:eastAsia="Barlow Semi Condensed" w:hAnsi="Barlow Semi Condensed"/>
          <w:sz w:val="24"/>
          <w:szCs w:val="24"/>
        </w:rPr>
        <w:t xml:space="preserve"> International Court of Justice — https://www.icj-cij.org/node/103115 (https://www.icj-cij.org/node/103115)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442.</w:t>
      </w:r>
      <w:r>
        <w:rPr>
          <w:rFonts w:ascii="Barlow Semi Condensed" w:cs="Barlow Semi Condensed" w:eastAsia="Barlow Semi Condensed" w:hAnsi="Barlow Semi Condensed"/>
          <w:sz w:val="24"/>
          <w:szCs w:val="24"/>
        </w:rPr>
        <w:t xml:space="preserve"> ResearchGate — https://www.researchgate.net/publication/340592573_Aegean_Sea_Continental_Shelf_Greece_v_Turkey (https://www.researchgate.net/publication/340592573_Aegean_Sea_Continental_Shelf_Greece_v_Turkey)</w:t>
      </w:r>
    </w:p>
    <w:p>
      <w:pPr>
        <w:spacing w:after="120" w:line="276"/>
        <w:jc w:val="both"/>
      </w:pPr>
      <w:r>
        <w:rPr>
          <w:rFonts w:ascii="Barlow Semi Condensed" w:cs="Barlow Semi Condensed" w:eastAsia="Barlow Semi Condensed" w:hAnsi="Barlow Semi Condensed"/>
          <w:b/>
          <w:bCs/>
          <w:sz w:val="24"/>
          <w:szCs w:val="24"/>
        </w:rPr>
        <w:t xml:space="preserve">443.</w:t>
      </w:r>
      <w:r>
        <w:rPr>
          <w:rFonts w:ascii="Barlow Semi Condensed" w:cs="Barlow Semi Condensed" w:eastAsia="Barlow Semi Condensed" w:hAnsi="Barlow Semi Condensed"/>
          <w:sz w:val="24"/>
          <w:szCs w:val="24"/>
        </w:rPr>
        <w:t xml:space="preserve"> Taylor &amp; Francis Online — https://www.tandfonline.com/doi/abs/10.1080/00908320590909088 (https://www.tandfonline.com/doi/abs/10.1080/00908320590909088)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444.</w:t>
      </w:r>
      <w:r>
        <w:rPr>
          <w:rFonts w:ascii="Barlow Semi Condensed" w:cs="Barlow Semi Condensed" w:eastAsia="Barlow Semi Condensed" w:hAnsi="Barlow Semi Condensed"/>
          <w:sz w:val="24"/>
          <w:szCs w:val="24"/>
        </w:rPr>
        <w:t xml:space="preserve"> Agenzia Nova — https://www.agenzianova.com/news/ucraina-russia-erdogan-applicheremo-convenzione-montreux-per-limitare-conflitto/ (https://www.agenzianova.com/news/ucraina-russia-erdogan-applicheremo-convenzione-montreux-per-limitare-conflitto/)</w:t>
      </w:r>
    </w:p>
    <w:p>
      <w:pPr>
        <w:spacing w:after="120" w:line="276"/>
        <w:jc w:val="both"/>
      </w:pPr>
      <w:r>
        <w:rPr>
          <w:rFonts w:ascii="Barlow Semi Condensed" w:cs="Barlow Semi Condensed" w:eastAsia="Barlow Semi Condensed" w:hAnsi="Barlow Semi Condensed"/>
          <w:b/>
          <w:bCs/>
          <w:sz w:val="24"/>
          <w:szCs w:val="24"/>
        </w:rPr>
        <w:t xml:space="preserve">445.</w:t>
      </w:r>
      <w:r>
        <w:rPr>
          <w:rFonts w:ascii="Barlow Semi Condensed" w:cs="Barlow Semi Condensed" w:eastAsia="Barlow Semi Condensed" w:hAnsi="Barlow Semi Condensed"/>
          <w:sz w:val="24"/>
          <w:szCs w:val="24"/>
        </w:rPr>
        <w:t xml:space="preserve"> it.google-info.cn — https://amp.it.google-info.cn/2723395/1/convenzione-di-montreux.html (https://amp.it.google-info.cn/2723395/1/convenzione-di-montreux.html)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446.</w:t>
      </w:r>
      <w:r>
        <w:rPr>
          <w:rFonts w:ascii="Barlow Semi Condensed" w:cs="Barlow Semi Condensed" w:eastAsia="Barlow Semi Condensed" w:hAnsi="Barlow Semi Condensed"/>
          <w:sz w:val="24"/>
          <w:szCs w:val="24"/>
        </w:rPr>
        <w:t xml:space="preserve"> Wikipedia — https://it.wikipedia.org/wiki/Convenzione_di_Montreux (https://it.wikipedia.org/wiki/Convenzione_di_Montreux)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447.</w:t>
      </w:r>
      <w:r>
        <w:rPr>
          <w:rFonts w:ascii="Barlow Semi Condensed" w:cs="Barlow Semi Condensed" w:eastAsia="Barlow Semi Condensed" w:hAnsi="Barlow Semi Condensed"/>
          <w:sz w:val="24"/>
          <w:szCs w:val="24"/>
        </w:rPr>
        <w:t xml:space="preserve"> Esteri — https://ambankara.esteri.it/it/italia-e-turchia/ (https://ambankara.esteri.it/it/italia-e-turchia/)</w:t>
      </w:r>
    </w:p>
    <w:p>
      <w:pPr>
        <w:spacing w:after="120" w:line="276"/>
        <w:jc w:val="both"/>
      </w:pPr>
      <w:r>
        <w:rPr>
          <w:rFonts w:ascii="Barlow Semi Condensed" w:cs="Barlow Semi Condensed" w:eastAsia="Barlow Semi Condensed" w:hAnsi="Barlow Semi Condensed"/>
          <w:b/>
          <w:bCs/>
          <w:sz w:val="24"/>
          <w:szCs w:val="24"/>
        </w:rPr>
        <w:t xml:space="preserve">448.</w:t>
      </w:r>
      <w:r>
        <w:rPr>
          <w:rFonts w:ascii="Barlow Semi Condensed" w:cs="Barlow Semi Condensed" w:eastAsia="Barlow Semi Condensed" w:hAnsi="Barlow Semi Condensed"/>
          <w:sz w:val="24"/>
          <w:szCs w:val="24"/>
        </w:rPr>
        <w:t xml:space="preserve"> Cespi — https://www.cespi.it/sites/default/files/osservatori/allegati/apr._2_marsili_italia-turchia.pdf (https://www.cespi.it/sites/default/files/osservatori/allegati/apr._2_marsili_italia-turchia.pdf)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449.</w:t>
      </w:r>
      <w:r>
        <w:rPr>
          <w:rFonts w:ascii="Barlow Semi Condensed" w:cs="Barlow Semi Condensed" w:eastAsia="Barlow Semi Condensed" w:hAnsi="Barlow Semi Condensed"/>
          <w:sz w:val="24"/>
          <w:szCs w:val="24"/>
        </w:rPr>
        <w:t xml:space="preserve"> Wikipedia — https://it.wikipedia.org/wiki/Relazioni_bilaterali_tra_Italia_e_Turchia (https://it.wikipedia.org/wiki/Relazioni_bilaterali_tra_Italia_e_Turchia)</w:t>
      </w:r>
    </w:p>
    <w:p>
      <w:pPr>
        <w:spacing w:after="120" w:line="276"/>
        <w:jc w:val="both"/>
      </w:pPr>
      <w:r>
        <w:rPr>
          <w:rFonts w:ascii="Barlow Semi Condensed" w:cs="Barlow Semi Condensed" w:eastAsia="Barlow Semi Condensed" w:hAnsi="Barlow Semi Condensed"/>
          <w:b/>
          <w:bCs/>
          <w:sz w:val="24"/>
          <w:szCs w:val="24"/>
        </w:rPr>
        <w:t xml:space="preserve">450.</w:t>
      </w:r>
      <w:r>
        <w:rPr>
          <w:rFonts w:ascii="Barlow Semi Condensed" w:cs="Barlow Semi Condensed" w:eastAsia="Barlow Semi Condensed" w:hAnsi="Barlow Semi Condensed"/>
          <w:sz w:val="24"/>
          <w:szCs w:val="24"/>
        </w:rPr>
        <w:t xml:space="preserve"> Gazzetta Ufficiale — https://www.gazzettaufficiale.it/atto/vediMenuHTML?atto.dataPubblicazioneGazzetta=1993-10-15&amp;atto.codiceRedazionale=093A5659&amp;tipoSerie=serie_generale&amp;tipoVigenza=originario (https://www.gazzettaufficiale.it/atto/vediMenuHTML?atto.dataPubblicazioneGazzetta=1993-10-15&amp;atto.codiceRedazionale=093A5659&amp;tipoSerie=serie_generale&amp;tipoVigenza=originario)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451.</w:t>
      </w:r>
      <w:r>
        <w:rPr>
          <w:rFonts w:ascii="Barlow Semi Condensed" w:cs="Barlow Semi Condensed" w:eastAsia="Barlow Semi Condensed" w:hAnsi="Barlow Semi Condensed"/>
          <w:sz w:val="24"/>
          <w:szCs w:val="24"/>
        </w:rPr>
        <w:t xml:space="preserve"> state — https://history.state.gov/historicaldocuments/frus1969-76v30/d208 (https://history.state.gov/historicaldocuments/frus1969-76v30/d208)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452.</w:t>
      </w:r>
      <w:r>
        <w:rPr>
          <w:rFonts w:ascii="Barlow Semi Condensed" w:cs="Barlow Semi Condensed" w:eastAsia="Barlow Semi Condensed" w:hAnsi="Barlow Semi Condensed"/>
          <w:sz w:val="24"/>
          <w:szCs w:val="24"/>
        </w:rPr>
        <w:t xml:space="preserve"> ResearchGate — https://www.researchgate.net/publication/262013273_A_Very_Gradual_Suppression_A_History_of_Turkish_Opium_Controls_1933-1974 (https://www.researchgate.net/publication/262013273_A_Very_Gradual_Suppression_A_History_of_Turkish_Opium_Controls_1933-1974)</w:t>
      </w:r>
    </w:p>
    <w:p>
      <w:pPr>
        <w:spacing w:after="120" w:line="276"/>
        <w:jc w:val="both"/>
      </w:pPr>
      <w:r>
        <w:rPr>
          <w:rFonts w:ascii="Barlow Semi Condensed" w:cs="Barlow Semi Condensed" w:eastAsia="Barlow Semi Condensed" w:hAnsi="Barlow Semi Condensed"/>
          <w:b/>
          <w:bCs/>
          <w:sz w:val="24"/>
          <w:szCs w:val="24"/>
        </w:rPr>
        <w:t xml:space="preserve">453.</w:t>
      </w:r>
      <w:r>
        <w:rPr>
          <w:rFonts w:ascii="Barlow Semi Condensed" w:cs="Barlow Semi Condensed" w:eastAsia="Barlow Semi Condensed" w:hAnsi="Barlow Semi Condensed"/>
          <w:sz w:val="24"/>
          <w:szCs w:val="24"/>
        </w:rPr>
        <w:t xml:space="preserve"> state — https://history.state.gov/historicaldocuments/frus1969-76v30/d204 (https://history.state.gov/historicaldocuments/frus1969-76v30/d204)</w:t>
      </w:r>
    </w:p>
    <w:p>
      <w:pPr>
        <w:spacing w:after="120" w:line="276"/>
        <w:jc w:val="both"/>
      </w:pPr>
      <w:r>
        <w:rPr>
          <w:rFonts w:ascii="Barlow Semi Condensed" w:cs="Barlow Semi Condensed" w:eastAsia="Barlow Semi Condensed" w:hAnsi="Barlow Semi Condensed"/>
          <w:b/>
          <w:bCs/>
          <w:sz w:val="24"/>
          <w:szCs w:val="24"/>
        </w:rPr>
        <w:t xml:space="preserve">454.</w:t>
      </w:r>
      <w:r>
        <w:rPr>
          <w:rFonts w:ascii="Barlow Semi Condensed" w:cs="Barlow Semi Condensed" w:eastAsia="Barlow Semi Condensed" w:hAnsi="Barlow Semi Condensed"/>
          <w:sz w:val="24"/>
          <w:szCs w:val="24"/>
        </w:rPr>
        <w:t xml:space="preserve"> state — https://history.state.gov/historicaldocuments/frus1969-76ve03/d154 (https://history.state.gov/historicaldocuments/frus1969-76ve03/d154)</w:t>
      </w:r>
    </w:p>
    <w:p>
      <w:pPr>
        <w:spacing w:after="120" w:line="276"/>
        <w:jc w:val="both"/>
      </w:pPr>
      <w:r>
        <w:rPr>
          <w:rFonts w:ascii="Barlow Semi Condensed" w:cs="Barlow Semi Condensed" w:eastAsia="Barlow Semi Condensed" w:hAnsi="Barlow Semi Condensed"/>
          <w:b/>
          <w:bCs/>
          <w:sz w:val="24"/>
          <w:szCs w:val="24"/>
        </w:rPr>
        <w:t xml:space="preserve">455.</w:t>
      </w:r>
      <w:r>
        <w:rPr>
          <w:rFonts w:ascii="Barlow Semi Condensed" w:cs="Barlow Semi Condensed" w:eastAsia="Barlow Semi Condensed" w:hAnsi="Barlow Semi Condensed"/>
          <w:sz w:val="24"/>
          <w:szCs w:val="24"/>
        </w:rPr>
        <w:t xml:space="preserve"> state — https://history.state.gov/historicaldocuments/frus1969-76v30/d209 (https://history.state.gov/historicaldocuments/frus1969-76v30/d209)</w:t>
      </w:r>
    </w:p>
    <w:p>
      <w:pPr>
        <w:spacing w:after="120" w:line="276"/>
        <w:jc w:val="both"/>
      </w:pPr>
      <w:r>
        <w:rPr>
          <w:rFonts w:ascii="Barlow Semi Condensed" w:cs="Barlow Semi Condensed" w:eastAsia="Barlow Semi Condensed" w:hAnsi="Barlow Semi Condensed"/>
          <w:b/>
          <w:bCs/>
          <w:sz w:val="24"/>
          <w:szCs w:val="24"/>
        </w:rPr>
        <w:t xml:space="preserve">456.</w:t>
      </w:r>
      <w:r>
        <w:rPr>
          <w:rFonts w:ascii="Barlow Semi Condensed" w:cs="Barlow Semi Condensed" w:eastAsia="Barlow Semi Condensed" w:hAnsi="Barlow Semi Condensed"/>
          <w:sz w:val="24"/>
          <w:szCs w:val="24"/>
        </w:rPr>
        <w:t xml:space="preserve"> state — https://history.state.gov/historicaldocuments/frus1969-76ve03/d164 (https://history.state.gov/historicaldocuments/frus1969-76ve03/d164)</w:t>
      </w:r>
    </w:p>
    <w:p>
      <w:pPr>
        <w:spacing w:after="120" w:line="276"/>
        <w:jc w:val="both"/>
      </w:pPr>
      <w:r>
        <w:rPr>
          <w:rFonts w:ascii="Barlow Semi Condensed" w:cs="Barlow Semi Condensed" w:eastAsia="Barlow Semi Condensed" w:hAnsi="Barlow Semi Condensed"/>
          <w:b/>
          <w:bCs/>
          <w:sz w:val="24"/>
          <w:szCs w:val="24"/>
        </w:rPr>
        <w:t xml:space="preserve">457.</w:t>
      </w:r>
      <w:r>
        <w:rPr>
          <w:rFonts w:ascii="Barlow Semi Condensed" w:cs="Barlow Semi Condensed" w:eastAsia="Barlow Semi Condensed" w:hAnsi="Barlow Semi Condensed"/>
          <w:sz w:val="24"/>
          <w:szCs w:val="24"/>
        </w:rPr>
        <w:t xml:space="preserve"> Grokipedia — https://grokipedia.com/page/Turkish_mafia (https://grokipedia.com/page/Turkish_mafia)</w:t>
      </w:r>
    </w:p>
    <w:p>
      <w:pPr>
        <w:spacing w:after="120" w:line="276"/>
        <w:jc w:val="both"/>
      </w:pPr>
      <w:r>
        <w:rPr>
          <w:rFonts w:ascii="Barlow Semi Condensed" w:cs="Barlow Semi Condensed" w:eastAsia="Barlow Semi Condensed" w:hAnsi="Barlow Semi Condensed"/>
          <w:b/>
          <w:bCs/>
          <w:sz w:val="24"/>
          <w:szCs w:val="24"/>
        </w:rPr>
        <w:t xml:space="preserve">458.</w:t>
      </w:r>
      <w:r>
        <w:rPr>
          <w:rFonts w:ascii="Barlow Semi Condensed" w:cs="Barlow Semi Condensed" w:eastAsia="Barlow Semi Condensed" w:hAnsi="Barlow Semi Condensed"/>
          <w:sz w:val="24"/>
          <w:szCs w:val="24"/>
        </w:rPr>
        <w:t xml:space="preserve"> Discover Walks — https://www.discoverwalks.com/blog/paris/all-about-the-french-connection/ (https://www.discoverwalks.com/blog/paris/all-about-the-french-connection/)</w:t>
      </w:r>
    </w:p>
    <w:p>
      <w:pPr>
        <w:spacing w:after="120" w:line="276"/>
        <w:jc w:val="both"/>
      </w:pPr>
      <w:r>
        <w:rPr>
          <w:rFonts w:ascii="Barlow Semi Condensed" w:cs="Barlow Semi Condensed" w:eastAsia="Barlow Semi Condensed" w:hAnsi="Barlow Semi Condensed"/>
          <w:b/>
          <w:bCs/>
          <w:sz w:val="24"/>
          <w:szCs w:val="24"/>
        </w:rPr>
        <w:t xml:space="preserve">459.</w:t>
      </w:r>
      <w:r>
        <w:rPr>
          <w:rFonts w:ascii="Barlow Semi Condensed" w:cs="Barlow Semi Condensed" w:eastAsia="Barlow Semi Condensed" w:hAnsi="Barlow Semi Condensed"/>
          <w:sz w:val="24"/>
          <w:szCs w:val="24"/>
        </w:rPr>
        <w:t xml:space="preserve"> Wikipedia — https://en.wikipedia.org/wiki/Balkan_Route (https://en.wikipedia.org/wiki/Balkan_Route)</w:t>
      </w:r>
    </w:p>
    <w:p>
      <w:pPr>
        <w:spacing w:after="120" w:line="276"/>
        <w:jc w:val="both"/>
      </w:pPr>
      <w:r>
        <w:rPr>
          <w:rFonts w:ascii="Barlow Semi Condensed" w:cs="Barlow Semi Condensed" w:eastAsia="Barlow Semi Condensed" w:hAnsi="Barlow Semi Condensed"/>
          <w:b/>
          <w:bCs/>
          <w:sz w:val="24"/>
          <w:szCs w:val="24"/>
        </w:rPr>
        <w:t xml:space="preserve">460.</w:t>
      </w:r>
      <w:r>
        <w:rPr>
          <w:rFonts w:ascii="Barlow Semi Condensed" w:cs="Barlow Semi Condensed" w:eastAsia="Barlow Semi Condensed" w:hAnsi="Barlow Semi Condensed"/>
          <w:sz w:val="24"/>
          <w:szCs w:val="24"/>
        </w:rPr>
        <w:t xml:space="preserve"> Wikipedia — https://en.wikipedia.org/wiki/Halki_seminary (https://en.wikipedia.org/wiki/Halki_seminary)</w:t>
      </w:r>
    </w:p>
    <w:p>
      <w:pPr>
        <w:spacing w:after="120" w:line="276"/>
        <w:jc w:val="both"/>
      </w:pPr>
      <w:r>
        <w:rPr>
          <w:rFonts w:ascii="Barlow Semi Condensed" w:cs="Barlow Semi Condensed" w:eastAsia="Barlow Semi Condensed" w:hAnsi="Barlow Semi Condensed"/>
          <w:b/>
          <w:bCs/>
          <w:sz w:val="24"/>
          <w:szCs w:val="24"/>
        </w:rPr>
        <w:t xml:space="preserve">461.</w:t>
      </w:r>
      <w:r>
        <w:rPr>
          <w:rFonts w:ascii="Barlow Semi Condensed" w:cs="Barlow Semi Condensed" w:eastAsia="Barlow Semi Condensed" w:hAnsi="Barlow Semi Condensed"/>
          <w:sz w:val="24"/>
          <w:szCs w:val="24"/>
        </w:rPr>
        <w:t xml:space="preserve"> Asia News — https://www.asianews.it/notizie-it/Halki-e-la-chiesa-biblioteca-di-Adana:-il-futuro-(incerto (https://www.asianews.it/notizie-it/Halki-e-la-chiesa-biblioteca-di-Adana:-il-futuro-(incerto)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462.</w:t>
      </w:r>
      <w:r>
        <w:rPr>
          <w:rFonts w:ascii="Barlow Semi Condensed" w:cs="Barlow Semi Condensed" w:eastAsia="Barlow Semi Condensed" w:hAnsi="Barlow Semi Condensed"/>
          <w:sz w:val="24"/>
          <w:szCs w:val="24"/>
        </w:rPr>
        <w:t xml:space="preserve"> Türkiye Today — https://www.turkiyetoday.com/nation/turkiye-plans-to-reopen-halki-seminary-as-university-after-more-than-50-years-3222222 (https://www.turkiyetoday.com/nation/turkiye-plans-to-reopen-halki-seminary-as-university-after-more-than-50-years-3222222)</w:t>
      </w:r>
    </w:p>
    <w:p>
      <w:pPr>
        <w:spacing w:after="120" w:line="276"/>
        <w:jc w:val="both"/>
      </w:pPr>
      <w:r>
        <w:rPr>
          <w:rFonts w:ascii="Barlow Semi Condensed" w:cs="Barlow Semi Condensed" w:eastAsia="Barlow Semi Condensed" w:hAnsi="Barlow Semi Condensed"/>
          <w:b/>
          <w:bCs/>
          <w:sz w:val="24"/>
          <w:szCs w:val="24"/>
        </w:rPr>
        <w:t xml:space="preserve">463.</w:t>
      </w:r>
      <w:r>
        <w:rPr>
          <w:rFonts w:ascii="Barlow Semi Condensed" w:cs="Barlow Semi Condensed" w:eastAsia="Barlow Semi Condensed" w:hAnsi="Barlow Semi Condensed"/>
          <w:sz w:val="24"/>
          <w:szCs w:val="24"/>
        </w:rPr>
        <w:t xml:space="preserve"> Greek Orthodox Archdiocese of America — https://www.goarch.org/-/he-halki (https://www.goarch.org/-/he-halki)</w:t>
      </w:r>
    </w:p>
    <w:p>
      <w:pPr>
        <w:spacing w:after="120" w:line="276"/>
        <w:jc w:val="both"/>
      </w:pPr>
      <w:r>
        <w:rPr>
          <w:rFonts w:ascii="Barlow Semi Condensed" w:cs="Barlow Semi Condensed" w:eastAsia="Barlow Semi Condensed" w:hAnsi="Barlow Semi Condensed"/>
          <w:b/>
          <w:bCs/>
          <w:sz w:val="24"/>
          <w:szCs w:val="24"/>
        </w:rPr>
        <w:t xml:space="preserve">464.</w:t>
      </w:r>
      <w:r>
        <w:rPr>
          <w:rFonts w:ascii="Barlow Semi Condensed" w:cs="Barlow Semi Condensed" w:eastAsia="Barlow Semi Condensed" w:hAnsi="Barlow Semi Condensed"/>
          <w:sz w:val="24"/>
          <w:szCs w:val="24"/>
        </w:rPr>
        <w:t xml:space="preserve"> La Fiaccola — https://www.lafiaccola.it/wp/alla-conferenza-dellosce-il-patriarcato-ecumenico-e-la-minoranza-greca-in-turchia/ (https://www.lafiaccola.it/wp/alla-conferenza-dellosce-il-patriarcato-ecumenico-e-la-minoranza-greca-in-turchia/)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465.</w:t>
      </w:r>
      <w:r>
        <w:rPr>
          <w:rFonts w:ascii="Barlow Semi Condensed" w:cs="Barlow Semi Condensed" w:eastAsia="Barlow Semi Condensed" w:hAnsi="Barlow Semi Condensed"/>
          <w:sz w:val="24"/>
          <w:szCs w:val="24"/>
        </w:rPr>
        <w:t xml:space="preserve"> Internazionale — https://www.internazionale.it/ultime-notizie-reuters/2026/06/21/erdogan-orders-talks-to-reopen-orthodox-christian-seminary-in-turkey-a-focus-for-trump (https://www.internazionale.it/ultime-notizie-reuters/2026/06/21/erdogan-orders-talks-to-reopen-orthodox-christian-seminary-in-turkey-a-focus-for-trump)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466.</w:t>
      </w:r>
      <w:r>
        <w:rPr>
          <w:rFonts w:ascii="Barlow Semi Condensed" w:cs="Barlow Semi Condensed" w:eastAsia="Barlow Semi Condensed" w:hAnsi="Barlow Semi Condensed"/>
          <w:sz w:val="24"/>
          <w:szCs w:val="24"/>
        </w:rPr>
        <w:t xml:space="preserve"> SettimanaNews — https://www.settimananews.it/chiesa/turchia-bartolomeo-fiducioso-sulla-riapertura-di-halki/ (https://www.settimananews.it/chiesa/turchia-bartolomeo-fiducioso-sulla-riapertura-di-halki/)</w:t>
      </w:r>
    </w:p>
    <w:p>
      <w:pPr>
        <w:spacing w:after="120" w:line="276"/>
        <w:jc w:val="both"/>
      </w:pPr>
      <w:r>
        <w:rPr>
          <w:rFonts w:ascii="Barlow Semi Condensed" w:cs="Barlow Semi Condensed" w:eastAsia="Barlow Semi Condensed" w:hAnsi="Barlow Semi Condensed"/>
          <w:b/>
          <w:bCs/>
          <w:sz w:val="24"/>
          <w:szCs w:val="24"/>
        </w:rPr>
        <w:t xml:space="preserve">467.</w:t>
      </w:r>
      <w:r>
        <w:rPr>
          <w:rFonts w:ascii="Barlow Semi Condensed" w:cs="Barlow Semi Condensed" w:eastAsia="Barlow Semi Condensed" w:hAnsi="Barlow Semi Condensed"/>
          <w:sz w:val="24"/>
          <w:szCs w:val="24"/>
        </w:rPr>
        <w:t xml:space="preserve"> Il Sole 24 ORE — https://www.ilsole24ore.com/art/notizie/2012-07-11/turchi-vogliono-chiudere-monastero-192229.shtml?uuid=AbqTFS6F (https://www.ilsole24ore.com/art/notizie/2012-07-11/turchi-vogliono-chiudere-monastero-192229.shtml?uuid=AbqTFS6F)</w:t>
      </w:r>
    </w:p>
    <w:p>
      <w:pPr>
        <w:spacing w:after="120" w:line="276"/>
        <w:jc w:val="both"/>
      </w:pPr>
      <w:r>
        <w:rPr>
          <w:rFonts w:ascii="Barlow Semi Condensed" w:cs="Barlow Semi Condensed" w:eastAsia="Barlow Semi Condensed" w:hAnsi="Barlow Semi Condensed"/>
          <w:b/>
          <w:bCs/>
          <w:sz w:val="24"/>
          <w:szCs w:val="24"/>
        </w:rPr>
        <w:t xml:space="preserve">468.</w:t>
      </w:r>
      <w:r>
        <w:rPr>
          <w:rFonts w:ascii="Barlow Semi Condensed" w:cs="Barlow Semi Condensed" w:eastAsia="Barlow Semi Condensed" w:hAnsi="Barlow Semi Condensed"/>
          <w:sz w:val="24"/>
          <w:szCs w:val="24"/>
        </w:rPr>
        <w:t xml:space="preserve"> Wikipedia — https://en.wikipedia.org/wiki/Athenagoras_I_of_Constantinople (https://en.wikipedia.org/wiki/Athenagoras_I_of_Constantinople)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469.</w:t>
      </w:r>
      <w:r>
        <w:rPr>
          <w:rFonts w:ascii="Barlow Semi Condensed" w:cs="Barlow Semi Condensed" w:eastAsia="Barlow Semi Condensed" w:hAnsi="Barlow Semi Condensed"/>
          <w:sz w:val="24"/>
          <w:szCs w:val="24"/>
        </w:rPr>
        <w:t xml:space="preserve"> UPSA — https://summa.upsa.es/high.raw?id=0000001470&amp;name=00000001.original.pdf (https://summa.upsa.es/high.raw?id=0000001470&amp;name=00000001.original.pdf)</w:t>
      </w:r>
    </w:p>
    <w:p>
      <w:pPr>
        <w:spacing w:after="120" w:line="276"/>
        <w:jc w:val="both"/>
      </w:pPr>
      <w:r>
        <w:rPr>
          <w:rFonts w:ascii="Barlow Semi Condensed" w:cs="Barlow Semi Condensed" w:eastAsia="Barlow Semi Condensed" w:hAnsi="Barlow Semi Condensed"/>
          <w:b/>
          <w:bCs/>
          <w:sz w:val="24"/>
          <w:szCs w:val="24"/>
        </w:rPr>
        <w:t xml:space="preserve">470.</w:t>
      </w:r>
      <w:r>
        <w:rPr>
          <w:rFonts w:ascii="Barlow Semi Condensed" w:cs="Barlow Semi Condensed" w:eastAsia="Barlow Semi Condensed" w:hAnsi="Barlow Semi Condensed"/>
          <w:sz w:val="24"/>
          <w:szCs w:val="24"/>
        </w:rPr>
        <w:t xml:space="preserve"> Arche — https://fraternita.arche.it/testimoni/atenagora-i/ (https://fraternita.arche.it/testimoni/atenagora-i/)</w:t>
      </w:r>
    </w:p>
    <w:p>
      <w:pPr>
        <w:spacing w:after="120" w:line="276"/>
        <w:jc w:val="both"/>
      </w:pPr>
      <w:r>
        <w:rPr>
          <w:rFonts w:ascii="Barlow Semi Condensed" w:cs="Barlow Semi Condensed" w:eastAsia="Barlow Semi Condensed" w:hAnsi="Barlow Semi Condensed"/>
          <w:b/>
          <w:bCs/>
          <w:sz w:val="24"/>
          <w:szCs w:val="24"/>
        </w:rPr>
        <w:t xml:space="preserve">471.</w:t>
      </w:r>
      <w:r>
        <w:rPr>
          <w:rFonts w:ascii="Barlow Semi Condensed" w:cs="Barlow Semi Condensed" w:eastAsia="Barlow Semi Condensed" w:hAnsi="Barlow Semi Condensed"/>
          <w:sz w:val="24"/>
          <w:szCs w:val="24"/>
        </w:rPr>
        <w:t xml:space="preserve"> Thearda — https://www.thearda.com/us-religion/history/timelines/entry?etype=5&amp;eid=141 (https://www.thearda.com/us-religion/history/timelines/entry?etype=5&amp;eid=141)</w:t>
      </w:r>
    </w:p>
    <w:p>
      <w:pPr>
        <w:spacing w:after="120" w:line="276"/>
        <w:jc w:val="both"/>
      </w:pPr>
      <w:r>
        <w:rPr>
          <w:rFonts w:ascii="Barlow Semi Condensed" w:cs="Barlow Semi Condensed" w:eastAsia="Barlow Semi Condensed" w:hAnsi="Barlow Semi Condensed"/>
          <w:b/>
          <w:bCs/>
          <w:sz w:val="24"/>
          <w:szCs w:val="24"/>
        </w:rPr>
        <w:t xml:space="preserve">472.</w:t>
      </w:r>
      <w:r>
        <w:rPr>
          <w:rFonts w:ascii="Barlow Semi Condensed" w:cs="Barlow Semi Condensed" w:eastAsia="Barlow Semi Condensed" w:hAnsi="Barlow Semi Condensed"/>
          <w:sz w:val="24"/>
          <w:szCs w:val="24"/>
        </w:rPr>
        <w:t xml:space="preserve"> SettimanaNews — https://www.settimananews.it/ecumenismo-dialogo/chiesa-latina-turchia-dal-dentro/ (https://www.settimananews.it/ecumenismo-dialogo/chiesa-latina-turchia-dal-dentro/)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473.</w:t>
      </w:r>
      <w:r>
        <w:rPr>
          <w:rFonts w:ascii="Barlow Semi Condensed" w:cs="Barlow Semi Condensed" w:eastAsia="Barlow Semi Condensed" w:hAnsi="Barlow Semi Condensed"/>
          <w:sz w:val="24"/>
          <w:szCs w:val="24"/>
        </w:rPr>
        <w:t xml:space="preserve"> Wikipedia — https://it.wikipedia.org/wiki/Vicariato_apostolico_di_Istanbul (https://it.wikipedia.org/wiki/Vicariato_apostolico_di_Istanbul)</w:t>
      </w:r>
    </w:p>
    <w:p>
      <w:pPr>
        <w:spacing w:after="120" w:line="276"/>
        <w:jc w:val="both"/>
      </w:pPr>
      <w:r>
        <w:rPr>
          <w:rFonts w:ascii="Barlow Semi Condensed" w:cs="Barlow Semi Condensed" w:eastAsia="Barlow Semi Condensed" w:hAnsi="Barlow Semi Condensed"/>
          <w:b/>
          <w:bCs/>
          <w:sz w:val="24"/>
          <w:szCs w:val="24"/>
        </w:rPr>
        <w:t xml:space="preserve">474.</w:t>
      </w:r>
      <w:r>
        <w:rPr>
          <w:rFonts w:ascii="Barlow Semi Condensed" w:cs="Barlow Semi Condensed" w:eastAsia="Barlow Semi Condensed" w:hAnsi="Barlow Semi Condensed"/>
          <w:sz w:val="24"/>
          <w:szCs w:val="24"/>
        </w:rPr>
        <w:t xml:space="preserve"> SettimanaNews — https://www.settimananews.it/chiesa/cattolici-in-turchia/ (https://www.settimananews.it/chiesa/cattolici-in-turchia/)</w:t>
      </w:r>
    </w:p>
    <w:p>
      <w:pPr>
        <w:spacing w:after="120" w:line="276"/>
        <w:jc w:val="both"/>
      </w:pPr>
      <w:r>
        <w:rPr>
          <w:rFonts w:ascii="Barlow Semi Condensed" w:cs="Barlow Semi Condensed" w:eastAsia="Barlow Semi Condensed" w:hAnsi="Barlow Semi Condensed"/>
          <w:b/>
          <w:bCs/>
          <w:sz w:val="24"/>
          <w:szCs w:val="24"/>
        </w:rPr>
        <w:t xml:space="preserve">475.</w:t>
      </w:r>
      <w:r>
        <w:rPr>
          <w:rFonts w:ascii="Barlow Semi Condensed" w:cs="Barlow Semi Condensed" w:eastAsia="Barlow Semi Condensed" w:hAnsi="Barlow Semi Condensed"/>
          <w:sz w:val="24"/>
          <w:szCs w:val="24"/>
        </w:rPr>
        <w:t xml:space="preserve"> SIR — https://www.agensir.it/chiesa/2025/11/27/le-comunita-cristiane-in-turchia-tra-storia-e-attualita/ (https://www.agensir.it/chiesa/2025/11/27/le-comunita-cristiane-in-turchia-tra-storia-e-attualita/)</w:t>
      </w:r>
    </w:p>
    <w:p>
      <w:pPr>
        <w:spacing w:after="120" w:line="276"/>
        <w:jc w:val="both"/>
      </w:pPr>
      <w:r>
        <w:rPr>
          <w:rFonts w:ascii="Barlow Semi Condensed" w:cs="Barlow Semi Condensed" w:eastAsia="Barlow Semi Condensed" w:hAnsi="Barlow Semi Condensed"/>
          <w:b/>
          <w:bCs/>
          <w:sz w:val="24"/>
          <w:szCs w:val="24"/>
        </w:rPr>
        <w:t xml:space="preserve">476.</w:t>
      </w:r>
      <w:r>
        <w:rPr>
          <w:rFonts w:ascii="Barlow Semi Condensed" w:cs="Barlow Semi Condensed" w:eastAsia="Barlow Semi Condensed" w:hAnsi="Barlow Semi Condensed"/>
          <w:sz w:val="24"/>
          <w:szCs w:val="24"/>
        </w:rPr>
        <w:t xml:space="preserve"> SIR — https://www.agensir.it/quotidiano/2026/4/9/turchia-rapporto-cespi-chiese-scuole-e-proprieta-sono-le-sfide-quotidiane-dei-cattolici-e-dei-cristiani-nel-paese/ (https://www.agensir.it/quotidiano/2026/4/9/turchia-rapporto-cespi-chiese-scuole-e-proprieta-sono-le-sfide-quotidiane-dei-cattolici-e-dei-cristiani-nel-paese/)</w:t>
      </w:r>
    </w:p>
    <w:p>
      <w:pPr>
        <w:spacing w:after="120" w:line="276"/>
        <w:jc w:val="both"/>
      </w:pPr>
      <w:r>
        <w:rPr>
          <w:rFonts w:ascii="Barlow Semi Condensed" w:cs="Barlow Semi Condensed" w:eastAsia="Barlow Semi Condensed" w:hAnsi="Barlow Semi Condensed"/>
          <w:b/>
          <w:bCs/>
          <w:sz w:val="24"/>
          <w:szCs w:val="24"/>
        </w:rPr>
        <w:t xml:space="preserve">477.</w:t>
      </w:r>
      <w:r>
        <w:rPr>
          <w:rFonts w:ascii="Barlow Semi Condensed" w:cs="Barlow Semi Condensed" w:eastAsia="Barlow Semi Condensed" w:hAnsi="Barlow Semi Condensed"/>
          <w:sz w:val="24"/>
          <w:szCs w:val="24"/>
        </w:rPr>
        <w:t xml:space="preserve"> Fratesole — https://turchia.fratesole.com/approfondimenti/i-cristiani-nellimpero-ottomano-e-nella-turchia-moderna/ (https://turchia.fratesole.com/approfondimenti/i-cristiani-nellimpero-ottomano-e-nella-turchia-moderna/)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478.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turchia.fratesole.com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479.</w:t>
      </w:r>
      <w:r>
        <w:rPr>
          <w:rFonts w:ascii="Barlow Semi Condensed" w:cs="Barlow Semi Condensed" w:eastAsia="Barlow Semi Condensed" w:hAnsi="Barlow Semi Condensed"/>
          <w:sz w:val="24"/>
          <w:szCs w:val="24"/>
        </w:rPr>
        <w:t xml:space="preserve"> Vatican News — https://www.vaticannews.va/it/chiesa/news/2025-11/turchia-un-paese-che-e-ponte-mosaico-diamante.html (https://www.vaticannews.va/it/chiesa/news/2025-11/turchia-un-paese-che-e-ponte-mosaico-diamante.html)</w:t>
      </w:r>
    </w:p>
    <w:p>
      <w:pPr>
        <w:spacing w:after="120" w:line="276"/>
        <w:jc w:val="both"/>
      </w:pPr>
      <w:r>
        <w:rPr>
          <w:rFonts w:ascii="Barlow Semi Condensed" w:cs="Barlow Semi Condensed" w:eastAsia="Barlow Semi Condensed" w:hAnsi="Barlow Semi Condensed"/>
          <w:b/>
          <w:bCs/>
          <w:sz w:val="24"/>
          <w:szCs w:val="24"/>
        </w:rPr>
        <w:t xml:space="preserve">480.</w:t>
      </w:r>
      <w:r>
        <w:rPr>
          <w:rFonts w:ascii="Barlow Semi Condensed" w:cs="Barlow Semi Condensed" w:eastAsia="Barlow Semi Condensed" w:hAnsi="Barlow Semi Condensed"/>
          <w:sz w:val="24"/>
          <w:szCs w:val="24"/>
        </w:rPr>
        <w:t xml:space="preserve"> Cathopedia — https://it.cathopedia.org/wiki/Delegato_apostolico_in_Turchia (https://it.cathopedia.org/wiki/Delegato_apostolico_in_Turchia)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481.</w:t>
      </w:r>
      <w:r>
        <w:rPr>
          <w:rFonts w:ascii="Barlow Semi Condensed" w:cs="Barlow Semi Condensed" w:eastAsia="Barlow Semi Condensed" w:hAnsi="Barlow Semi Condensed"/>
          <w:sz w:val="24"/>
          <w:szCs w:val="24"/>
        </w:rPr>
        <w:t xml:space="preserve"> East Journal — https://www.eastjournal.net/archives/145757 (https://www.eastjournal.net/archives/145757)</w:t>
      </w:r>
    </w:p>
    <w:p>
      <w:pPr>
        <w:spacing w:after="120" w:line="276"/>
        <w:jc w:val="both"/>
      </w:pPr>
      <w:r>
        <w:rPr>
          <w:rFonts w:ascii="Barlow Semi Condensed" w:cs="Barlow Semi Condensed" w:eastAsia="Barlow Semi Condensed" w:hAnsi="Barlow Semi Condensed"/>
          <w:b/>
          <w:bCs/>
          <w:sz w:val="24"/>
          <w:szCs w:val="24"/>
        </w:rPr>
        <w:t xml:space="preserve">482.</w:t>
      </w:r>
      <w:r>
        <w:rPr>
          <w:rFonts w:ascii="Barlow Semi Condensed" w:cs="Barlow Semi Condensed" w:eastAsia="Barlow Semi Condensed" w:hAnsi="Barlow Semi Condensed"/>
          <w:sz w:val="24"/>
          <w:szCs w:val="24"/>
        </w:rPr>
        <w:t xml:space="preserve"> Terrasanta — https://www.terrasanta.net/2014/03/il-decennio-turco-di-monsignor-roncalli/ (https://www.terrasanta.net/2014/03/il-decennio-turco-di-monsignor-roncalli/)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483.</w:t>
      </w:r>
      <w:r>
        <w:rPr>
          <w:rFonts w:ascii="Barlow Semi Condensed" w:cs="Barlow Semi Condensed" w:eastAsia="Barlow Semi Condensed" w:hAnsi="Barlow Semi Condensed"/>
          <w:sz w:val="24"/>
          <w:szCs w:val="24"/>
        </w:rPr>
        <w:t xml:space="preserve"> Istanbulofm — https://www.istanbulofm.org/2021/11/le-relazioni-diplomatiche-turchia-santa.html (https://www.istanbulofm.org/2021/11/le-relazioni-diplomatiche-turchia-santa.html)</w:t>
      </w:r>
    </w:p>
    <w:p>
      <w:pPr>
        <w:spacing w:after="120" w:line="276"/>
        <w:jc w:val="both"/>
      </w:pPr>
      <w:r>
        <w:rPr>
          <w:rFonts w:ascii="Barlow Semi Condensed" w:cs="Barlow Semi Condensed" w:eastAsia="Barlow Semi Condensed" w:hAnsi="Barlow Semi Condensed"/>
          <w:b/>
          <w:bCs/>
          <w:sz w:val="24"/>
          <w:szCs w:val="24"/>
        </w:rPr>
        <w:t xml:space="preserve">484.</w:t>
      </w:r>
      <w:r>
        <w:rPr>
          <w:rFonts w:ascii="Barlow Semi Condensed" w:cs="Barlow Semi Condensed" w:eastAsia="Barlow Semi Condensed" w:hAnsi="Barlow Semi Condensed"/>
          <w:sz w:val="24"/>
          <w:szCs w:val="24"/>
        </w:rPr>
        <w:t xml:space="preserve"> Opus Dei — https://opusdei.org/it-it/page/lopus-dei/ (https://opusdei.org/it-it/page/lopus-dei/)</w:t>
      </w:r>
    </w:p>
    <w:p>
      <w:pPr>
        <w:spacing w:after="120" w:line="276"/>
        <w:jc w:val="both"/>
      </w:pPr>
      <w:r>
        <w:rPr>
          <w:rFonts w:ascii="Barlow Semi Condensed" w:cs="Barlow Semi Condensed" w:eastAsia="Barlow Semi Condensed" w:hAnsi="Barlow Semi Condensed"/>
          <w:b/>
          <w:bCs/>
          <w:sz w:val="24"/>
          <w:szCs w:val="24"/>
        </w:rPr>
        <w:t xml:space="preserve">485.</w:t>
      </w:r>
      <w:r>
        <w:rPr>
          <w:rFonts w:ascii="Barlow Semi Condensed" w:cs="Barlow Semi Condensed" w:eastAsia="Barlow Semi Condensed" w:hAnsi="Barlow Semi Condensed"/>
          <w:sz w:val="24"/>
          <w:szCs w:val="24"/>
        </w:rPr>
        <w:t xml:space="preserve"> Wikipedia — https://en.wikipedia.org/wiki/Opus_Dei (https://en.wikipedia.org/wiki/Opus_Dei)</w:t>
      </w:r>
    </w:p>
    <w:p>
      <w:pPr>
        <w:spacing w:after="120" w:line="276"/>
        <w:jc w:val="both"/>
      </w:pPr>
      <w:r>
        <w:rPr>
          <w:rFonts w:ascii="Barlow Semi Condensed" w:cs="Barlow Semi Condensed" w:eastAsia="Barlow Semi Condensed" w:hAnsi="Barlow Semi Condensed"/>
          <w:b/>
          <w:bCs/>
          <w:sz w:val="24"/>
          <w:szCs w:val="24"/>
        </w:rPr>
        <w:t xml:space="preserve">486.</w:t>
      </w:r>
      <w:r>
        <w:rPr>
          <w:rFonts w:ascii="Barlow Semi Condensed" w:cs="Barlow Semi Condensed" w:eastAsia="Barlow Semi Condensed" w:hAnsi="Barlow Semi Condensed"/>
          <w:sz w:val="24"/>
          <w:szCs w:val="24"/>
        </w:rPr>
        <w:t xml:space="preserve"> Opus Dei — https://opusdei.org/en/article/two-muslims-and-a-turkish-orthodox-life-in-nideck-residence/ (https://opusdei.org/en/article/two-muslims-and-a-turkish-orthodox-life-in-nideck-residence/)</w:t>
      </w:r>
    </w:p>
    <w:p>
      <w:pPr>
        <w:spacing w:after="120" w:line="276"/>
        <w:jc w:val="both"/>
      </w:pPr>
      <w:r>
        <w:rPr>
          <w:rFonts w:ascii="Barlow Semi Condensed" w:cs="Barlow Semi Condensed" w:eastAsia="Barlow Semi Condensed" w:hAnsi="Barlow Semi Condensed"/>
          <w:b/>
          <w:bCs/>
          <w:sz w:val="24"/>
          <w:szCs w:val="24"/>
        </w:rPr>
        <w:t xml:space="preserve">487.</w:t>
      </w:r>
      <w:r>
        <w:rPr>
          <w:rFonts w:ascii="Barlow Semi Condensed" w:cs="Barlow Semi Condensed" w:eastAsia="Barlow Semi Condensed" w:hAnsi="Barlow Semi Condensed"/>
          <w:sz w:val="24"/>
          <w:szCs w:val="24"/>
        </w:rPr>
        <w:t xml:space="preserve"> Daily Sabah — https://www.dailysabah.com/politics/2015/01/22/gulen-movement-displays-resemblance-to-opus-dei (https://www.dailysabah.com/politics/2015/01/22/gulen-movement-displays-resemblance-to-opus-dei)</w:t>
      </w:r>
    </w:p>
    <w:p>
      <w:pPr>
        <w:spacing w:after="120" w:line="276"/>
        <w:jc w:val="both"/>
      </w:pPr>
      <w:r>
        <w:rPr>
          <w:rFonts w:ascii="Barlow Semi Condensed" w:cs="Barlow Semi Condensed" w:eastAsia="Barlow Semi Condensed" w:hAnsi="Barlow Semi Condensed"/>
          <w:b/>
          <w:bCs/>
          <w:sz w:val="24"/>
          <w:szCs w:val="24"/>
        </w:rPr>
        <w:t xml:space="preserve">488.</w:t>
      </w:r>
      <w:r>
        <w:rPr>
          <w:rFonts w:ascii="Barlow Semi Condensed" w:cs="Barlow Semi Condensed" w:eastAsia="Barlow Semi Condensed" w:hAnsi="Barlow Semi Condensed"/>
          <w:sz w:val="24"/>
          <w:szCs w:val="24"/>
        </w:rPr>
        <w:t xml:space="preserve"> Opus Dei — https://opusdei.org/en-us/article/journey-pope-leo-xiv-turkey-lebanon-2025 (https://opusdei.org/en-us/article/journey-pope-leo-xiv-turkey-lebanon-2025)</w:t>
      </w:r>
    </w:p>
    <w:p>
      <w:pPr>
        <w:spacing w:after="120" w:line="276"/>
        <w:jc w:val="both"/>
      </w:pPr>
      <w:r>
        <w:rPr>
          <w:rFonts w:ascii="Barlow Semi Condensed" w:cs="Barlow Semi Condensed" w:eastAsia="Barlow Semi Condensed" w:hAnsi="Barlow Semi Condensed"/>
          <w:b/>
          <w:bCs/>
          <w:sz w:val="24"/>
          <w:szCs w:val="24"/>
        </w:rPr>
        <w:t xml:space="preserve">489.</w:t>
      </w:r>
      <w:r>
        <w:rPr>
          <w:rFonts w:ascii="Barlow Semi Condensed" w:cs="Barlow Semi Condensed" w:eastAsia="Barlow Semi Condensed" w:hAnsi="Barlow Semi Condensed"/>
          <w:sz w:val="24"/>
          <w:szCs w:val="24"/>
        </w:rPr>
        <w:t xml:space="preserve"> La Nuova Bussola Quotidiana — https://lanuovabq.it/it/istanbul-ha-un-nuovo-vicario-apostolico (https://lanuovabq.it/it/istanbul-ha-un-nuovo-vicario-apostolico)</w:t>
      </w:r>
    </w:p>
    <w:p>
      <w:pPr>
        <w:spacing w:after="120" w:line="276"/>
        <w:jc w:val="both"/>
      </w:pPr>
      <w:r>
        <w:rPr>
          <w:rFonts w:ascii="Barlow Semi Condensed" w:cs="Barlow Semi Condensed" w:eastAsia="Barlow Semi Condensed" w:hAnsi="Barlow Semi Condensed"/>
          <w:b/>
          <w:bCs/>
          <w:sz w:val="24"/>
          <w:szCs w:val="24"/>
        </w:rPr>
        <w:t xml:space="preserve">490.</w:t>
      </w:r>
      <w:r>
        <w:rPr>
          <w:rFonts w:ascii="Barlow Semi Condensed" w:cs="Barlow Semi Condensed" w:eastAsia="Barlow Semi Condensed" w:hAnsi="Barlow Semi Condensed"/>
          <w:sz w:val="24"/>
          <w:szCs w:val="24"/>
        </w:rPr>
        <w:t xml:space="preserve"> state — https://history.state.gov/historicaldocuments/frus1969-76v30/d200 (https://history.state.gov/historicaldocuments/frus1969-76v30/d200)</w:t>
      </w:r>
    </w:p>
    <w:p>
      <w:pPr>
        <w:spacing w:after="120" w:line="276"/>
        <w:jc w:val="both"/>
      </w:pPr>
      <w:r>
        <w:rPr>
          <w:rFonts w:ascii="Barlow Semi Condensed" w:cs="Barlow Semi Condensed" w:eastAsia="Barlow Semi Condensed" w:hAnsi="Barlow Semi Condensed"/>
          <w:b/>
          <w:bCs/>
          <w:sz w:val="24"/>
          <w:szCs w:val="24"/>
        </w:rPr>
        <w:t xml:space="preserve">491.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storiadelopusdei.org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Libro dodicesimo · IX — La Santa Sede, la Turchia e l’attentato del 1981</w:t>
      </w:r>
    </w:p>
    <w:p>
      <w:pPr>
        <w:spacing w:after="120" w:line="276"/>
        <w:jc w:val="both"/>
      </w:pPr>
      <w:r>
        <w:rPr>
          <w:rFonts w:ascii="Barlow Semi Condensed" w:cs="Barlow Semi Condensed" w:eastAsia="Barlow Semi Condensed" w:hAnsi="Barlow Semi Condensed"/>
          <w:b/>
          <w:bCs/>
          <w:sz w:val="24"/>
          <w:szCs w:val="24"/>
        </w:rPr>
        <w:t xml:space="preserve">492.</w:t>
      </w:r>
      <w:r>
        <w:rPr>
          <w:rFonts w:ascii="Barlow Semi Condensed" w:cs="Barlow Semi Condensed" w:eastAsia="Barlow Semi Condensed" w:hAnsi="Barlow Semi Condensed"/>
          <w:sz w:val="24"/>
          <w:szCs w:val="24"/>
        </w:rPr>
        <w:t xml:space="preserve"> Spazio70 — https://spazio70.com/post-anni-70/il-gioco-dei-potenti/mistero-della-fede-lattentato-al-papa-e-le-sue-ombre-la-falsa-pista-bulgara/ (https://spazio70.com/post-anni-70/il-gioco-dei-potenti/mistero-della-fede-lattentato-al-papa-e-le-sue-ombre-la-falsa-pista-bulgara/)</w:t>
      </w:r>
    </w:p>
    <w:p>
      <w:pPr>
        <w:spacing w:after="120" w:line="276"/>
        <w:jc w:val="both"/>
      </w:pPr>
      <w:r>
        <w:rPr>
          <w:rFonts w:ascii="Barlow Semi Condensed" w:cs="Barlow Semi Condensed" w:eastAsia="Barlow Semi Condensed" w:hAnsi="Barlow Semi Condensed"/>
          <w:b/>
          <w:bCs/>
          <w:sz w:val="24"/>
          <w:szCs w:val="24"/>
        </w:rPr>
        <w:t xml:space="preserve">493.</w:t>
      </w:r>
      <w:r>
        <w:rPr>
          <w:rFonts w:ascii="Barlow Semi Condensed" w:cs="Barlow Semi Condensed" w:eastAsia="Barlow Semi Condensed" w:hAnsi="Barlow Semi Condensed"/>
          <w:sz w:val="24"/>
          <w:szCs w:val="24"/>
        </w:rPr>
        <w:t xml:space="preserve"> Wikipedia — https://it.m.wikipedia.org/wiki/Chiesa_cattolica_in_Turchia (https://it.m.wikipedia.org/wiki/Chiesa_cattolica_in_Turchia)</w:t>
      </w:r>
    </w:p>
    <w:p>
      <w:pPr>
        <w:spacing w:after="120" w:line="276"/>
        <w:jc w:val="both"/>
      </w:pPr>
      <w:r>
        <w:rPr>
          <w:rFonts w:ascii="Barlow Semi Condensed" w:cs="Barlow Semi Condensed" w:eastAsia="Barlow Semi Condensed" w:hAnsi="Barlow Semi Condensed"/>
          <w:b/>
          <w:bCs/>
          <w:sz w:val="24"/>
          <w:szCs w:val="24"/>
        </w:rPr>
        <w:t xml:space="preserve">494.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christianunity.va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495.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dizie.eu</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496.</w:t>
      </w:r>
      <w:r>
        <w:rPr>
          <w:rFonts w:ascii="Barlow Semi Condensed" w:cs="Barlow Semi Condensed" w:eastAsia="Barlow Semi Condensed" w:hAnsi="Barlow Semi Condensed"/>
          <w:sz w:val="24"/>
          <w:szCs w:val="24"/>
        </w:rPr>
        <w:t xml:space="preserve"> Wikipedia — https://en.wikipedia.org/wiki/Mehmet_Ali_A%C4%9Fca (https://en.wikipedia.org/wiki/Mehmet_Ali_A%C4%9Fca)</w:t>
      </w:r>
    </w:p>
    <w:p>
      <w:pPr>
        <w:spacing w:after="120" w:line="276"/>
        <w:jc w:val="both"/>
      </w:pPr>
      <w:r>
        <w:rPr>
          <w:rFonts w:ascii="Barlow Semi Condensed" w:cs="Barlow Semi Condensed" w:eastAsia="Barlow Semi Condensed" w:hAnsi="Barlow Semi Condensed"/>
          <w:b/>
          <w:bCs/>
          <w:sz w:val="24"/>
          <w:szCs w:val="24"/>
        </w:rPr>
        <w:t xml:space="preserve">497.</w:t>
      </w:r>
      <w:r>
        <w:rPr>
          <w:rFonts w:ascii="Barlow Semi Condensed" w:cs="Barlow Semi Condensed" w:eastAsia="Barlow Semi Condensed" w:hAnsi="Barlow Semi Condensed"/>
          <w:sz w:val="24"/>
          <w:szCs w:val="24"/>
        </w:rPr>
        <w:t xml:space="preserve"> Wikipedia — https://en.wikipedia.org/wiki/Milliyet (https://en.wikipedia.org/wiki/Milliyet)</w:t>
      </w:r>
    </w:p>
    <w:p>
      <w:pPr>
        <w:spacing w:after="120" w:line="276"/>
        <w:jc w:val="both"/>
      </w:pPr>
      <w:r>
        <w:rPr>
          <w:rFonts w:ascii="Barlow Semi Condensed" w:cs="Barlow Semi Condensed" w:eastAsia="Barlow Semi Condensed" w:hAnsi="Barlow Semi Condensed"/>
          <w:b/>
          <w:bCs/>
          <w:sz w:val="24"/>
          <w:szCs w:val="24"/>
        </w:rPr>
        <w:t xml:space="preserve">498.</w:t>
      </w:r>
      <w:r>
        <w:rPr>
          <w:rFonts w:ascii="Barlow Semi Condensed" w:cs="Barlow Semi Condensed" w:eastAsia="Barlow Semi Condensed" w:hAnsi="Barlow Semi Condensed"/>
          <w:sz w:val="24"/>
          <w:szCs w:val="24"/>
        </w:rPr>
        <w:t xml:space="preserve"> goodreads — https://www.goodreads.com/notes/41736831-operation-gladio/28440635-jos-mar-a-blancowhite/c0835082-842c-42f7-8825-b4fc114719a8 (https://www.goodreads.com/notes/41736831-operation-gladio/28440635-jos-mar-a-blancowhite/c0835082-842c-42f7-8825-b4fc114719a8)</w:t>
      </w:r>
    </w:p>
    <w:p>
      <w:pPr>
        <w:spacing w:after="120" w:line="276"/>
        <w:jc w:val="both"/>
      </w:pPr>
      <w:r>
        <w:rPr>
          <w:rFonts w:ascii="Barlow Semi Condensed" w:cs="Barlow Semi Condensed" w:eastAsia="Barlow Semi Condensed" w:hAnsi="Barlow Semi Condensed"/>
          <w:b/>
          <w:bCs/>
          <w:sz w:val="24"/>
          <w:szCs w:val="24"/>
        </w:rPr>
        <w:t xml:space="preserve">499.</w:t>
      </w:r>
      <w:r>
        <w:rPr>
          <w:rFonts w:ascii="Barlow Semi Condensed" w:cs="Barlow Semi Condensed" w:eastAsia="Barlow Semi Condensed" w:hAnsi="Barlow Semi Condensed"/>
          <w:sz w:val="24"/>
          <w:szCs w:val="24"/>
        </w:rPr>
        <w:t xml:space="preserve"> NPR — https://www.npr.org/2006/01/20/5164596/turkey-recoils-at-release-of-man-who-shot-pope (https://www.npr.org/2006/01/20/5164596/turkey-recoils-at-release-of-man-who-shot-pope)</w:t>
      </w:r>
    </w:p>
    <w:p>
      <w:pPr>
        <w:spacing w:after="120" w:line="276"/>
        <w:jc w:val="both"/>
      </w:pPr>
      <w:r>
        <w:rPr>
          <w:rFonts w:ascii="Barlow Semi Condensed" w:cs="Barlow Semi Condensed" w:eastAsia="Barlow Semi Condensed" w:hAnsi="Barlow Semi Condensed"/>
          <w:b/>
          <w:bCs/>
          <w:sz w:val="24"/>
          <w:szCs w:val="24"/>
        </w:rPr>
        <w:t xml:space="preserve">500.</w:t>
      </w:r>
      <w:r>
        <w:rPr>
          <w:rFonts w:ascii="Barlow Semi Condensed" w:cs="Barlow Semi Condensed" w:eastAsia="Barlow Semi Condensed" w:hAnsi="Barlow Semi Condensed"/>
          <w:sz w:val="24"/>
          <w:szCs w:val="24"/>
        </w:rPr>
        <w:t xml:space="preserve"> Il Giardino dei Libri — https://www.ilgiardinodeilibri.it/libri/__attentato-al-papa-elena-hilal-agca-libro.php (https://www.ilgiardinodeilibri.it/libri/__attentato-al-papa-elena-hilal-agca-libro.php)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501.</w:t>
      </w:r>
      <w:r>
        <w:rPr>
          <w:rFonts w:ascii="Barlow Semi Condensed" w:cs="Barlow Semi Condensed" w:eastAsia="Barlow Semi Condensed" w:hAnsi="Barlow Semi Condensed"/>
          <w:sz w:val="24"/>
          <w:szCs w:val="24"/>
        </w:rPr>
        <w:t xml:space="preserve"> CultWeb — https://cultweb.it/cultura/storia/che-fine-ha-fatto-ali-agca-lattentatore-di-giovanni-paolo-ii/ (https://cultweb.it/cultura/storia/che-fine-ha-fatto-ali-agca-lattentatore-di-giovanni-paolo-ii/)</w:t>
      </w:r>
    </w:p>
    <w:p>
      <w:pPr>
        <w:spacing w:after="120" w:line="276"/>
        <w:jc w:val="both"/>
      </w:pPr>
      <w:r>
        <w:rPr>
          <w:rFonts w:ascii="Barlow Semi Condensed" w:cs="Barlow Semi Condensed" w:eastAsia="Barlow Semi Condensed" w:hAnsi="Barlow Semi Condensed"/>
          <w:b/>
          <w:bCs/>
          <w:sz w:val="24"/>
          <w:szCs w:val="24"/>
        </w:rPr>
        <w:t xml:space="preserve">502.</w:t>
      </w:r>
      <w:r>
        <w:rPr>
          <w:rFonts w:ascii="Barlow Semi Condensed" w:cs="Barlow Semi Condensed" w:eastAsia="Barlow Semi Condensed" w:hAnsi="Barlow Semi Condensed"/>
          <w:sz w:val="24"/>
          <w:szCs w:val="24"/>
        </w:rPr>
        <w:t xml:space="preserve"> state — https://history.state.gov/historicaldocuments/frus1981-88v10/d370 (https://history.state.gov/historicaldocuments/frus1981-88v10/d370)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503.</w:t>
      </w:r>
      <w:r>
        <w:rPr>
          <w:rFonts w:ascii="Barlow Semi Condensed" w:cs="Barlow Semi Condensed" w:eastAsia="Barlow Semi Condensed" w:hAnsi="Barlow Semi Condensed"/>
          <w:sz w:val="24"/>
          <w:szCs w:val="24"/>
        </w:rPr>
        <w:t xml:space="preserve"> state — https://history.state.gov/historicaldocuments/frus1981-88v10/d376 (https://history.state.gov/historicaldocuments/frus1981-88v10/d376)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504.</w:t>
      </w:r>
      <w:r>
        <w:rPr>
          <w:rFonts w:ascii="Barlow Semi Condensed" w:cs="Barlow Semi Condensed" w:eastAsia="Barlow Semi Condensed" w:hAnsi="Barlow Semi Condensed"/>
          <w:sz w:val="24"/>
          <w:szCs w:val="24"/>
        </w:rPr>
        <w:t xml:space="preserve"> state — https://history.state.gov/historicaldocuments/frus1981-88v10/d377 (https://history.state.gov/historicaldocuments/frus1981-88v10/d377)</w:t>
      </w:r>
    </w:p>
    <w:p>
      <w:pPr>
        <w:spacing w:after="120" w:line="276"/>
        <w:jc w:val="both"/>
      </w:pPr>
      <w:r>
        <w:rPr>
          <w:rFonts w:ascii="Barlow Semi Condensed" w:cs="Barlow Semi Condensed" w:eastAsia="Barlow Semi Condensed" w:hAnsi="Barlow Semi Condensed"/>
          <w:b/>
          <w:bCs/>
          <w:sz w:val="24"/>
          <w:szCs w:val="24"/>
        </w:rPr>
        <w:t xml:space="preserve">505.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storiologia.it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506.</w:t>
      </w:r>
      <w:r>
        <w:rPr>
          <w:rFonts w:ascii="Barlow Semi Condensed" w:cs="Barlow Semi Condensed" w:eastAsia="Barlow Semi Condensed" w:hAnsi="Barlow Semi Condensed"/>
          <w:sz w:val="24"/>
          <w:szCs w:val="24"/>
        </w:rPr>
        <w:t xml:space="preserve"> Storiologia — https://www.storiologia.it/biografie/roncalli.htm (https://www.storiologia.it/biografie/roncalli.htm)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507.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padovanet.it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508.</w:t>
      </w:r>
      <w:r>
        <w:rPr>
          <w:rFonts w:ascii="Barlow Semi Condensed" w:cs="Barlow Semi Condensed" w:eastAsia="Barlow Semi Condensed" w:hAnsi="Barlow Semi Condensed"/>
          <w:sz w:val="24"/>
          <w:szCs w:val="24"/>
        </w:rPr>
        <w:t xml:space="preserve"> Gariwo — https://it.gariwo.net/dl/202005180612_A.pdf (https://it.gariwo.net/dl/202005180612_A.pdf)</w:t>
      </w:r>
    </w:p>
    <w:p>
      <w:pPr>
        <w:spacing w:after="120" w:line="276"/>
        <w:jc w:val="both"/>
      </w:pPr>
      <w:r>
        <w:rPr>
          <w:rFonts w:ascii="Barlow Semi Condensed" w:cs="Barlow Semi Condensed" w:eastAsia="Barlow Semi Condensed" w:hAnsi="Barlow Semi Condensed"/>
          <w:b/>
          <w:bCs/>
          <w:sz w:val="24"/>
          <w:szCs w:val="24"/>
        </w:rPr>
        <w:t xml:space="preserve">509.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ladiscussione.com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510.</w:t>
      </w:r>
      <w:r>
        <w:rPr>
          <w:rFonts w:ascii="Barlow Semi Condensed" w:cs="Barlow Semi Condensed" w:eastAsia="Barlow Semi Condensed" w:hAnsi="Barlow Semi Condensed"/>
          <w:sz w:val="24"/>
          <w:szCs w:val="24"/>
        </w:rPr>
        <w:t xml:space="preserve"> La Discussione — https://ladiscussione.com/130659/cultura/roncalli-a-istanbul/ (https://ladiscussione.com/130659/cultura/roncalli-a-istanbul/)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511.</w:t>
      </w:r>
      <w:r>
        <w:rPr>
          <w:rFonts w:ascii="Barlow Semi Condensed" w:cs="Barlow Semi Condensed" w:eastAsia="Barlow Semi Condensed" w:hAnsi="Barlow Semi Condensed"/>
          <w:sz w:val="24"/>
          <w:szCs w:val="24"/>
        </w:rPr>
        <w:t xml:space="preserve"> Zenit — https://it.zenit.org/2010/12/01/il-metodo-roncalli-nell-incontro-tra-oriente-e-occidente/ (https://it.zenit.org/2010/12/01/il-metodo-roncalli-nell-incontro-tra-oriente-e-occidente/)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512.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terrasanta.net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513.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zenit.org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514.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avvenire.it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515.</w:t>
      </w:r>
      <w:r>
        <w:rPr>
          <w:rFonts w:ascii="Barlow Semi Condensed" w:cs="Barlow Semi Condensed" w:eastAsia="Barlow Semi Condensed" w:hAnsi="Barlow Semi Condensed"/>
          <w:sz w:val="24"/>
          <w:szCs w:val="24"/>
        </w:rPr>
        <w:t xml:space="preserve"> Vatican News — https://www.vaticannews.va/it/papa/news/2025-11/viaggi-apostolici-papi-turchia.html (https://www.vaticannews.va/it/papa/news/2025-11/viaggi-apostolici-papi-turchia.html)</w:t>
      </w:r>
    </w:p>
    <w:p>
      <w:pPr>
        <w:spacing w:after="120" w:line="276"/>
        <w:jc w:val="both"/>
      </w:pPr>
      <w:r>
        <w:rPr>
          <w:rFonts w:ascii="Barlow Semi Condensed" w:cs="Barlow Semi Condensed" w:eastAsia="Barlow Semi Condensed" w:hAnsi="Barlow Semi Condensed"/>
          <w:b/>
          <w:bCs/>
          <w:sz w:val="24"/>
          <w:szCs w:val="24"/>
        </w:rPr>
        <w:t xml:space="preserve">516.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orientecristiano.it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517.</w:t>
      </w:r>
      <w:r>
        <w:rPr>
          <w:rFonts w:ascii="Barlow Semi Condensed" w:cs="Barlow Semi Condensed" w:eastAsia="Barlow Semi Condensed" w:hAnsi="Barlow Semi Condensed"/>
          <w:sz w:val="24"/>
          <w:szCs w:val="24"/>
        </w:rPr>
        <w:t xml:space="preserve"> Diocesichieti — https://www.diocesichieti.it/sessione-plenaria-per-il-dialogo-teologico-tra-la-chiesa-cattolica-e-le-chiese-ortodosse/ (https://www.diocesichieti.it/sessione-plenaria-per-il-dialogo-teologico-tra-la-chiesa-cattolica-e-le-chiese-ortodosse/)</w:t>
      </w:r>
    </w:p>
    <w:p>
      <w:pPr>
        <w:spacing w:after="120" w:line="276"/>
        <w:jc w:val="both"/>
      </w:pPr>
      <w:r>
        <w:rPr>
          <w:rFonts w:ascii="Barlow Semi Condensed" w:cs="Barlow Semi Condensed" w:eastAsia="Barlow Semi Condensed" w:hAnsi="Barlow Semi Condensed"/>
          <w:b/>
          <w:bCs/>
          <w:sz w:val="24"/>
          <w:szCs w:val="24"/>
        </w:rPr>
        <w:t xml:space="preserve">518.</w:t>
      </w:r>
      <w:r>
        <w:rPr>
          <w:rFonts w:ascii="Barlow Semi Condensed" w:cs="Barlow Semi Condensed" w:eastAsia="Barlow Semi Condensed" w:hAnsi="Barlow Semi Condensed"/>
          <w:sz w:val="24"/>
          <w:szCs w:val="24"/>
        </w:rPr>
        <w:t xml:space="preserve"> L'Osservatore Romano — https://www.osservatoreromano.va/it/news/2020-11/quo-273/dialogo-sulla-chiesa.html (https://www.osservatoreromano.va/it/news/2020-11/quo-273/dialogo-sulla-chiesa.html)</w:t>
      </w:r>
    </w:p>
    <w:p>
      <w:pPr>
        <w:spacing w:after="120" w:line="276"/>
        <w:jc w:val="both"/>
      </w:pPr>
      <w:r>
        <w:rPr>
          <w:rFonts w:ascii="Barlow Semi Condensed" w:cs="Barlow Semi Condensed" w:eastAsia="Barlow Semi Condensed" w:hAnsi="Barlow Semi Condensed"/>
          <w:b/>
          <w:bCs/>
          <w:sz w:val="24"/>
          <w:szCs w:val="24"/>
        </w:rPr>
        <w:t xml:space="preserve">519.</w:t>
      </w:r>
      <w:r>
        <w:rPr>
          <w:rFonts w:ascii="Barlow Semi Condensed" w:cs="Barlow Semi Condensed" w:eastAsia="Barlow Semi Condensed" w:hAnsi="Barlow Semi Condensed"/>
          <w:sz w:val="24"/>
          <w:szCs w:val="24"/>
        </w:rPr>
        <w:t xml:space="preserve"> Ccee — https://www.ccee.eu/wp-content/uploads/sites/2/2019/09/Intervento-Rev.-Bouwen.pdf (https://www.ccee.eu/wp-content/uploads/sites/2/2019/09/Intervento-Rev.-Bouwen.pdf)</w:t>
      </w:r>
    </w:p>
    <w:p>
      <w:pPr>
        <w:spacing w:after="120" w:line="276"/>
        <w:jc w:val="both"/>
      </w:pPr>
      <w:r>
        <w:rPr>
          <w:rFonts w:ascii="Barlow Semi Condensed" w:cs="Barlow Semi Condensed" w:eastAsia="Barlow Semi Condensed" w:hAnsi="Barlow Semi Condensed"/>
          <w:b/>
          <w:bCs/>
          <w:sz w:val="24"/>
          <w:szCs w:val="24"/>
        </w:rPr>
        <w:t xml:space="preserve">520.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lafiaccola.it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521.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funerali.org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522.</w:t>
      </w:r>
      <w:r>
        <w:rPr>
          <w:rFonts w:ascii="Barlow Semi Condensed" w:cs="Barlow Semi Condensed" w:eastAsia="Barlow Semi Condensed" w:hAnsi="Barlow Semi Condensed"/>
          <w:sz w:val="24"/>
          <w:szCs w:val="24"/>
        </w:rPr>
        <w:t xml:space="preserve"> Funerali — https://www.funerali.org/cimiteri/in-turchia-restituiti-tra-laltro-alle-minoranze-religiose-la-gestione-di-loro-cimiteri-2-42724.html (https://www.funerali.org/cimiteri/in-turchia-restituiti-tra-laltro-alle-minoranze-religiose-la-gestione-di-loro-cimiteri-2-42724.html)</w:t>
      </w:r>
    </w:p>
    <w:p>
      <w:pPr>
        <w:spacing w:after="120" w:line="276"/>
        <w:jc w:val="both"/>
      </w:pPr>
      <w:r>
        <w:rPr>
          <w:rFonts w:ascii="Barlow Semi Condensed" w:cs="Barlow Semi Condensed" w:eastAsia="Barlow Semi Condensed" w:hAnsi="Barlow Semi Condensed"/>
          <w:b/>
          <w:bCs/>
          <w:sz w:val="24"/>
          <w:szCs w:val="24"/>
        </w:rPr>
        <w:t xml:space="preserve">523.</w:t>
      </w:r>
      <w:r>
        <w:rPr>
          <w:rFonts w:ascii="Barlow Semi Condensed" w:cs="Barlow Semi Condensed" w:eastAsia="Barlow Semi Condensed" w:hAnsi="Barlow Semi Condensed"/>
          <w:sz w:val="24"/>
          <w:szCs w:val="24"/>
        </w:rPr>
        <w:t xml:space="preserve"> Alegsaonline — https://it.alegsaonline.com/art/65294 (https://it.alegsaonline.com/art/65294)</w:t>
      </w:r>
    </w:p>
    <w:p>
      <w:pPr>
        <w:spacing w:after="120" w:line="276"/>
        <w:jc w:val="both"/>
      </w:pPr>
      <w:r>
        <w:rPr>
          <w:rFonts w:ascii="Barlow Semi Condensed" w:cs="Barlow Semi Condensed" w:eastAsia="Barlow Semi Condensed" w:hAnsi="Barlow Semi Condensed"/>
          <w:b/>
          <w:bCs/>
          <w:sz w:val="24"/>
          <w:szCs w:val="24"/>
        </w:rPr>
        <w:t xml:space="preserve">524.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settimananews.it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525.</w:t>
      </w:r>
      <w:r>
        <w:rPr>
          <w:rFonts w:ascii="Barlow Semi Condensed" w:cs="Barlow Semi Condensed" w:eastAsia="Barlow Semi Condensed" w:hAnsi="Barlow Semi Condensed"/>
          <w:sz w:val="24"/>
          <w:szCs w:val="24"/>
        </w:rPr>
        <w:t xml:space="preserve"> Treccani — https://www.treccani.it/enciclopedia/agostino-casaroli_(Dizionario-Biografico (https://www.treccani.it/enciclopedia/agostino-casaroli_(Dizionario-Biografico)</w:t>
      </w:r>
    </w:p>
    <w:p>
      <w:pPr>
        <w:spacing w:after="120" w:line="276"/>
        <w:jc w:val="both"/>
      </w:pPr>
      <w:r>
        <w:rPr>
          <w:rFonts w:ascii="Barlow Semi Condensed" w:cs="Barlow Semi Condensed" w:eastAsia="Barlow Semi Condensed" w:hAnsi="Barlow Semi Condensed"/>
          <w:b/>
          <w:bCs/>
          <w:sz w:val="24"/>
          <w:szCs w:val="24"/>
        </w:rPr>
        <w:t xml:space="preserve">526.</w:t>
      </w:r>
      <w:r>
        <w:rPr>
          <w:rFonts w:ascii="Barlow Semi Condensed" w:cs="Barlow Semi Condensed" w:eastAsia="Barlow Semi Condensed" w:hAnsi="Barlow Semi Condensed"/>
          <w:sz w:val="24"/>
          <w:szCs w:val="24"/>
        </w:rPr>
        <w:t xml:space="preserve"> Cespi — https://www.cespi.it/sites/default/files/osservatori/allegati/brief_62_comunita_levantina_di_istanbul_imparato.pdf (https://www.cespi.it/sites/default/files/osservatori/allegati/brief_62_comunita_levantina_di_istanbul_imparato.pdf)</w:t>
      </w:r>
    </w:p>
    <w:p>
      <w:pPr>
        <w:spacing w:after="120" w:line="276"/>
        <w:jc w:val="both"/>
      </w:pPr>
      <w:r>
        <w:rPr>
          <w:rFonts w:ascii="Barlow Semi Condensed" w:cs="Barlow Semi Condensed" w:eastAsia="Barlow Semi Condensed" w:hAnsi="Barlow Semi Condensed"/>
          <w:b/>
          <w:bCs/>
          <w:sz w:val="24"/>
          <w:szCs w:val="24"/>
        </w:rPr>
        <w:t xml:space="preserve">527.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vaticannews.va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528.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archivioapostolicovaticano.va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529.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acistampa.com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530.</w:t>
      </w:r>
      <w:r>
        <w:rPr>
          <w:rFonts w:ascii="Barlow Semi Condensed" w:cs="Barlow Semi Condensed" w:eastAsia="Barlow Semi Condensed" w:hAnsi="Barlow Semi Condensed"/>
          <w:sz w:val="24"/>
          <w:szCs w:val="24"/>
        </w:rPr>
        <w:t xml:space="preserve"> Esteri — https://italiana.esteri.it/italiana/en/culture/la-farnesina-apre-al-pubblico-la-biblioteca-e-larchivio-storico-diplomatico/ (https://italiana.esteri.it/italiana/en/culture/la-farnesina-apre-al-pubblico-la-biblioteca-e-larchivio-storico-diplomatico/)</w:t>
      </w:r>
    </w:p>
    <w:p>
      <w:pPr>
        <w:spacing w:after="120" w:line="276"/>
        <w:jc w:val="both"/>
      </w:pPr>
      <w:r>
        <w:rPr>
          <w:rFonts w:ascii="Barlow Semi Condensed" w:cs="Barlow Semi Condensed" w:eastAsia="Barlow Semi Condensed" w:hAnsi="Barlow Semi Condensed"/>
          <w:b/>
          <w:bCs/>
          <w:sz w:val="24"/>
          <w:szCs w:val="24"/>
        </w:rPr>
        <w:t xml:space="preserve">531.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italiana.esteri.it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532.</w:t>
      </w:r>
      <w:r>
        <w:rPr>
          <w:rFonts w:ascii="Barlow Semi Condensed" w:cs="Barlow Semi Condensed" w:eastAsia="Barlow Semi Condensed" w:hAnsi="Barlow Semi Condensed"/>
          <w:sz w:val="24"/>
          <w:szCs w:val="24"/>
        </w:rPr>
        <w:t xml:space="preserve"> Parlamento Italiano — https://www.parlamento.it/application/xmanager/projects/parlamento/file/commissione_mitrokhin_14leg/mitrokhindoc.377.pdf (https://www.parlamento.it/application/xmanager/projects/parlamento/file/commissione_mitrokhin_14leg/mitrokhindoc.377.pdf) </w:t>
      </w:r>
      <w:r>
        <w:rPr>
          <w:rFonts w:ascii="Barlow Semi Condensed" w:cs="Barlow Semi Condensed" w:eastAsia="Barlow Semi Condensed" w:hAnsi="Barlow Semi Condensed"/>
          <w:i/>
          <w:iCs/>
          <w:sz w:val="24"/>
          <w:szCs w:val="24"/>
        </w:rPr>
        <w:t xml:space="preserve">(citato 2 volte)</w:t>
      </w:r>
    </w:p>
    <w:p>
      <w:pPr>
        <w:pStyle w:val="Heading3"/>
        <w:spacing w:after="80" w:before="160"/>
      </w:pPr>
      <w:r>
        <w:rPr>
          <w:rFonts w:ascii="Barlow Semi Condensed" w:cs="Barlow Semi Condensed" w:eastAsia="Barlow Semi Condensed" w:hAnsi="Barlow Semi Condensed"/>
          <w:sz w:val="24"/>
          <w:szCs w:val="24"/>
        </w:rPr>
        <w:t xml:space="preserve">Libro dodicesimo · X — Documenti italiani e spagnoli, e l’Opus Dei</w:t>
      </w:r>
    </w:p>
    <w:p>
      <w:pPr>
        <w:spacing w:after="120" w:line="276"/>
        <w:jc w:val="both"/>
      </w:pPr>
      <w:r>
        <w:rPr>
          <w:rFonts w:ascii="Barlow Semi Condensed" w:cs="Barlow Semi Condensed" w:eastAsia="Barlow Semi Condensed" w:hAnsi="Barlow Semi Condensed"/>
          <w:b/>
          <w:bCs/>
          <w:sz w:val="24"/>
          <w:szCs w:val="24"/>
        </w:rPr>
        <w:t xml:space="preserve">533.</w:t>
      </w:r>
      <w:r>
        <w:rPr>
          <w:rFonts w:ascii="Barlow Semi Condensed" w:cs="Barlow Semi Condensed" w:eastAsia="Barlow Semi Condensed" w:hAnsi="Barlow Semi Condensed"/>
          <w:sz w:val="24"/>
          <w:szCs w:val="24"/>
        </w:rPr>
        <w:t xml:space="preserve"> Wikipedia — https://it.wikipedia.org/wiki/Trattato_di_Osimo (https://it.wikipedia.org/wiki/Trattato_di_Osimo)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534.</w:t>
      </w:r>
      <w:r>
        <w:rPr>
          <w:rFonts w:ascii="Barlow Semi Condensed" w:cs="Barlow Semi Condensed" w:eastAsia="Barlow Semi Condensed" w:hAnsi="Barlow Semi Condensed"/>
          <w:sz w:val="24"/>
          <w:szCs w:val="24"/>
        </w:rPr>
        <w:t xml:space="preserve"> Circolo della Storia — https://circolodellastoria.it/gli-accordi-di-osimo-cinquantanni-fa-il-trattato-che-chiuse-unepoca/ (https://circolodellastoria.it/gli-accordi-di-osimo-cinquantanni-fa-il-trattato-che-chiuse-unepoca/)</w:t>
      </w:r>
    </w:p>
    <w:p>
      <w:pPr>
        <w:spacing w:after="120" w:line="276"/>
        <w:jc w:val="both"/>
      </w:pPr>
      <w:r>
        <w:rPr>
          <w:rFonts w:ascii="Barlow Semi Condensed" w:cs="Barlow Semi Condensed" w:eastAsia="Barlow Semi Condensed" w:hAnsi="Barlow Semi Condensed"/>
          <w:b/>
          <w:bCs/>
          <w:sz w:val="24"/>
          <w:szCs w:val="24"/>
        </w:rPr>
        <w:t xml:space="preserve">535.</w:t>
      </w:r>
      <w:r>
        <w:rPr>
          <w:rFonts w:ascii="Barlow Semi Condensed" w:cs="Barlow Semi Condensed" w:eastAsia="Barlow Semi Condensed" w:hAnsi="Barlow Semi Condensed"/>
          <w:sz w:val="24"/>
          <w:szCs w:val="24"/>
        </w:rPr>
        <w:t xml:space="preserve"> Il Bo Live UniPD — https://ilbolive.unipd.it/it/news/societa/spirito-osimo-diplomazia-memoria (https://ilbolive.unipd.it/it/news/societa/spirito-osimo-diplomazia-memoria)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536.</w:t>
      </w:r>
      <w:r>
        <w:rPr>
          <w:rFonts w:ascii="Barlow Semi Condensed" w:cs="Barlow Semi Condensed" w:eastAsia="Barlow Semi Condensed" w:hAnsi="Barlow Semi Condensed"/>
          <w:sz w:val="24"/>
          <w:szCs w:val="24"/>
        </w:rPr>
        <w:t xml:space="preserve"> La Nazione — https://www.lanazione.it/cronaca/almanacco-trattato-osimo-italia-jugoslavia-d52b0197 (https://www.lanazione.it/cronaca/almanacco-trattato-osimo-italia-jugoslavia-d52b0197)</w:t>
      </w:r>
    </w:p>
    <w:p>
      <w:pPr>
        <w:spacing w:after="120" w:line="276"/>
        <w:jc w:val="both"/>
      </w:pPr>
      <w:r>
        <w:rPr>
          <w:rFonts w:ascii="Barlow Semi Condensed" w:cs="Barlow Semi Condensed" w:eastAsia="Barlow Semi Condensed" w:hAnsi="Barlow Semi Condensed"/>
          <w:b/>
          <w:bCs/>
          <w:sz w:val="24"/>
          <w:szCs w:val="24"/>
        </w:rPr>
        <w:t xml:space="preserve">537.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storico.org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538.</w:t>
      </w:r>
      <w:r>
        <w:rPr>
          <w:rFonts w:ascii="Barlow Semi Condensed" w:cs="Barlow Semi Condensed" w:eastAsia="Barlow Semi Condensed" w:hAnsi="Barlow Semi Condensed"/>
          <w:sz w:val="24"/>
          <w:szCs w:val="24"/>
        </w:rPr>
        <w:t xml:space="preserve"> Storico — https://storico.org/italia_boom_economico/trattato_osimo.html (https://storico.org/italia_boom_economico/trattato_osimo.html)</w:t>
      </w:r>
    </w:p>
    <w:p>
      <w:pPr>
        <w:spacing w:after="120" w:line="276"/>
        <w:jc w:val="both"/>
      </w:pPr>
      <w:r>
        <w:rPr>
          <w:rFonts w:ascii="Barlow Semi Condensed" w:cs="Barlow Semi Condensed" w:eastAsia="Barlow Semi Condensed" w:hAnsi="Barlow Semi Condensed"/>
          <w:b/>
          <w:bCs/>
          <w:sz w:val="24"/>
          <w:szCs w:val="24"/>
        </w:rPr>
        <w:t xml:space="preserve">539.</w:t>
      </w:r>
      <w:r>
        <w:rPr>
          <w:rFonts w:ascii="Barlow Semi Condensed" w:cs="Barlow Semi Condensed" w:eastAsia="Barlow Semi Condensed" w:hAnsi="Barlow Semi Condensed"/>
          <w:sz w:val="24"/>
          <w:szCs w:val="24"/>
        </w:rPr>
        <w:t xml:space="preserve"> Google Books — https://books.google.com/books/about/Aldo_Moro_l_Italia_repubblicana_e_i_Balc.html?id=ftcEywAACAAJ (https://books.google.com/books/about/Aldo_Moro_l_Italia_repubblicana_e_i_Balc.html?id=ftcEywAACAAJ)</w:t>
      </w:r>
    </w:p>
    <w:p>
      <w:pPr>
        <w:spacing w:after="120" w:line="276"/>
        <w:jc w:val="both"/>
      </w:pPr>
      <w:r>
        <w:rPr>
          <w:rFonts w:ascii="Barlow Semi Condensed" w:cs="Barlow Semi Condensed" w:eastAsia="Barlow Semi Condensed" w:hAnsi="Barlow Semi Condensed"/>
          <w:b/>
          <w:bCs/>
          <w:sz w:val="24"/>
          <w:szCs w:val="24"/>
        </w:rPr>
        <w:t xml:space="preserve">540.</w:t>
      </w:r>
      <w:r>
        <w:rPr>
          <w:rFonts w:ascii="Barlow Semi Condensed" w:cs="Barlow Semi Condensed" w:eastAsia="Barlow Semi Condensed" w:hAnsi="Barlow Semi Condensed"/>
          <w:sz w:val="24"/>
          <w:szCs w:val="24"/>
        </w:rPr>
        <w:t xml:space="preserve"> Archivioflamigni — https://www.archivioflamigni.org/doc/bibliografia-aldo-moro.pdf (https://www.archivioflamigni.org/doc/bibliografia-aldo-moro.pdf)</w:t>
      </w:r>
    </w:p>
    <w:p>
      <w:pPr>
        <w:spacing w:after="120" w:line="276"/>
        <w:jc w:val="both"/>
      </w:pPr>
      <w:r>
        <w:rPr>
          <w:rFonts w:ascii="Barlow Semi Condensed" w:cs="Barlow Semi Condensed" w:eastAsia="Barlow Semi Condensed" w:hAnsi="Barlow Semi Condensed"/>
          <w:b/>
          <w:bCs/>
          <w:sz w:val="24"/>
          <w:szCs w:val="24"/>
        </w:rPr>
        <w:t xml:space="preserve">541.</w:t>
      </w:r>
      <w:r>
        <w:rPr>
          <w:rFonts w:ascii="Barlow Semi Condensed" w:cs="Barlow Semi Condensed" w:eastAsia="Barlow Semi Condensed" w:hAnsi="Barlow Semi Condensed"/>
          <w:sz w:val="24"/>
          <w:szCs w:val="24"/>
        </w:rPr>
        <w:t xml:space="preserve"> Uniba — https://ricerca.uniba.it/handle/11586/419934 (https://ricerca.uniba.it/handle/11586/419934)</w:t>
      </w:r>
    </w:p>
    <w:p>
      <w:pPr>
        <w:spacing w:after="120" w:line="276"/>
        <w:jc w:val="both"/>
      </w:pPr>
      <w:r>
        <w:rPr>
          <w:rFonts w:ascii="Barlow Semi Condensed" w:cs="Barlow Semi Condensed" w:eastAsia="Barlow Semi Condensed" w:hAnsi="Barlow Semi Condensed"/>
          <w:b/>
          <w:bCs/>
          <w:sz w:val="24"/>
          <w:szCs w:val="24"/>
        </w:rPr>
        <w:t xml:space="preserve">542.</w:t>
      </w:r>
      <w:r>
        <w:rPr>
          <w:rFonts w:ascii="Barlow Semi Condensed" w:cs="Barlow Semi Condensed" w:eastAsia="Barlow Semi Condensed" w:hAnsi="Barlow Semi Condensed"/>
          <w:sz w:val="24"/>
          <w:szCs w:val="24"/>
        </w:rPr>
        <w:t xml:space="preserve"> Dialnet — https://dialnet.unirioja.es/descarga/articulo/9578489.pdf (https://dialnet.unirioja.es/descarga/articulo/9578489.pdf)</w:t>
      </w:r>
    </w:p>
    <w:p>
      <w:pPr>
        <w:spacing w:after="120" w:line="276"/>
        <w:jc w:val="both"/>
      </w:pPr>
      <w:r>
        <w:rPr>
          <w:rFonts w:ascii="Barlow Semi Condensed" w:cs="Barlow Semi Condensed" w:eastAsia="Barlow Semi Condensed" w:hAnsi="Barlow Semi Condensed"/>
          <w:b/>
          <w:bCs/>
          <w:sz w:val="24"/>
          <w:szCs w:val="24"/>
        </w:rPr>
        <w:t xml:space="preserve">543.</w:t>
      </w:r>
      <w:r>
        <w:rPr>
          <w:rFonts w:ascii="Barlow Semi Condensed" w:cs="Barlow Semi Condensed" w:eastAsia="Barlow Semi Condensed" w:hAnsi="Barlow Semi Condensed"/>
          <w:sz w:val="24"/>
          <w:szCs w:val="24"/>
        </w:rPr>
        <w:t xml:space="preserve"> Camera — https://documenti.camera.it/leg17/resoconti/commissioni/stenografici/html/68/audiz2/audizione/2014/12/02/indice_stenografico.0013.html (https://documenti.camera.it/leg17/resoconti/commissioni/stenografici/html/68/audiz2/audizione/2014/12/02/indice_stenografico.0013.html)</w:t>
      </w:r>
    </w:p>
    <w:p>
      <w:pPr>
        <w:spacing w:after="120" w:line="276"/>
        <w:jc w:val="both"/>
      </w:pPr>
      <w:r>
        <w:rPr>
          <w:rFonts w:ascii="Barlow Semi Condensed" w:cs="Barlow Semi Condensed" w:eastAsia="Barlow Semi Condensed" w:hAnsi="Barlow Semi Condensed"/>
          <w:b/>
          <w:bCs/>
          <w:sz w:val="24"/>
          <w:szCs w:val="24"/>
        </w:rPr>
        <w:t xml:space="preserve">544.</w:t>
      </w:r>
      <w:r>
        <w:rPr>
          <w:rFonts w:ascii="Barlow Semi Condensed" w:cs="Barlow Semi Condensed" w:eastAsia="Barlow Semi Condensed" w:hAnsi="Barlow Semi Condensed"/>
          <w:sz w:val="24"/>
          <w:szCs w:val="24"/>
        </w:rPr>
        <w:t xml:space="preserve"> Academia.edu — https://www.academia.edu/29372305/Aldo_Moro_l_Italia_e_la_questione_palestinese (https://www.academia.edu/29372305/Aldo_Moro_l_Italia_e_la_questione_palestinese)</w:t>
      </w:r>
    </w:p>
    <w:p>
      <w:pPr>
        <w:spacing w:after="120" w:line="276"/>
        <w:jc w:val="both"/>
      </w:pPr>
      <w:r>
        <w:rPr>
          <w:rFonts w:ascii="Barlow Semi Condensed" w:cs="Barlow Semi Condensed" w:eastAsia="Barlow Semi Condensed" w:hAnsi="Barlow Semi Condensed"/>
          <w:b/>
          <w:bCs/>
          <w:sz w:val="24"/>
          <w:szCs w:val="24"/>
        </w:rPr>
        <w:t xml:space="preserve">545.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diplomacy.edu</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546.</w:t>
      </w:r>
      <w:r>
        <w:rPr>
          <w:rFonts w:ascii="Barlow Semi Condensed" w:cs="Barlow Semi Condensed" w:eastAsia="Barlow Semi Condensed" w:hAnsi="Barlow Semi Condensed"/>
          <w:sz w:val="24"/>
          <w:szCs w:val="24"/>
        </w:rPr>
        <w:t xml:space="preserve"> Diplomacy — https://baldi.diplomacy.edu/italy/Baldi_Monzali_Italia_Helsinki_50.pdf (https://baldi.diplomacy.edu/italy/Baldi_Monzali_Italia_Helsinki_50.pdf)</w:t>
      </w:r>
    </w:p>
    <w:p>
      <w:pPr>
        <w:spacing w:after="120" w:line="276"/>
        <w:jc w:val="both"/>
      </w:pPr>
      <w:r>
        <w:rPr>
          <w:rFonts w:ascii="Barlow Semi Condensed" w:cs="Barlow Semi Condensed" w:eastAsia="Barlow Semi Condensed" w:hAnsi="Barlow Semi Condensed"/>
          <w:b/>
          <w:bCs/>
          <w:sz w:val="24"/>
          <w:szCs w:val="24"/>
        </w:rPr>
        <w:t xml:space="preserve">547.</w:t>
      </w:r>
      <w:r>
        <w:rPr>
          <w:rFonts w:ascii="Barlow Semi Condensed" w:cs="Barlow Semi Condensed" w:eastAsia="Barlow Semi Condensed" w:hAnsi="Barlow Semi Condensed"/>
          <w:sz w:val="24"/>
          <w:szCs w:val="24"/>
        </w:rPr>
        <w:t xml:space="preserve"> L'Opinione — https://opinione.it/politica/2024/11/26/antonino-sala-aldo-moro-conferenza-di-helsinki-nuovo-ordine-mondiale/ (https://opinione.it/politica/2024/11/26/antonino-sala-aldo-moro-conferenza-di-helsinki-nuovo-ordine-mondiale/)</w:t>
      </w:r>
    </w:p>
    <w:p>
      <w:pPr>
        <w:spacing w:after="120" w:line="276"/>
        <w:jc w:val="both"/>
      </w:pPr>
      <w:r>
        <w:rPr>
          <w:rFonts w:ascii="Barlow Semi Condensed" w:cs="Barlow Semi Condensed" w:eastAsia="Barlow Semi Condensed" w:hAnsi="Barlow Semi Condensed"/>
          <w:b/>
          <w:bCs/>
          <w:sz w:val="24"/>
          <w:szCs w:val="24"/>
        </w:rPr>
        <w:t xml:space="preserve">548.</w:t>
      </w:r>
      <w:r>
        <w:rPr>
          <w:rFonts w:ascii="Barlow Semi Condensed" w:cs="Barlow Semi Condensed" w:eastAsia="Barlow Semi Condensed" w:hAnsi="Barlow Semi Condensed"/>
          <w:sz w:val="24"/>
          <w:szCs w:val="24"/>
        </w:rPr>
        <w:t xml:space="preserve"> Avvenire — https://www.avvenire.it/agora/pagine/ostpolitik- (https://www.avvenire.it/agora/pagine/ostpolitik-)</w:t>
      </w:r>
    </w:p>
    <w:p>
      <w:pPr>
        <w:spacing w:after="120" w:line="276"/>
        <w:jc w:val="both"/>
      </w:pPr>
      <w:r>
        <w:rPr>
          <w:rFonts w:ascii="Barlow Semi Condensed" w:cs="Barlow Semi Condensed" w:eastAsia="Barlow Semi Condensed" w:hAnsi="Barlow Semi Condensed"/>
          <w:b/>
          <w:bCs/>
          <w:sz w:val="24"/>
          <w:szCs w:val="24"/>
        </w:rPr>
        <w:t xml:space="preserve">549.</w:t>
      </w:r>
      <w:r>
        <w:rPr>
          <w:rFonts w:ascii="Barlow Semi Condensed" w:cs="Barlow Semi Condensed" w:eastAsia="Barlow Semi Condensed" w:hAnsi="Barlow Semi Condensed"/>
          <w:sz w:val="24"/>
          <w:szCs w:val="24"/>
        </w:rPr>
        <w:t xml:space="preserve"> Wikipedia — https://it.wikipedia.org/wiki/Invasione_turca_di_Cipro (https://it.wikipedia.org/wiki/Invasione_turca_di_Cipro)</w:t>
      </w:r>
    </w:p>
    <w:p>
      <w:pPr>
        <w:spacing w:after="120" w:line="276"/>
        <w:jc w:val="both"/>
      </w:pPr>
      <w:r>
        <w:rPr>
          <w:rFonts w:ascii="Barlow Semi Condensed" w:cs="Barlow Semi Condensed" w:eastAsia="Barlow Semi Condensed" w:hAnsi="Barlow Semi Condensed"/>
          <w:b/>
          <w:bCs/>
          <w:sz w:val="24"/>
          <w:szCs w:val="24"/>
        </w:rPr>
        <w:t xml:space="preserve">550.</w:t>
      </w:r>
      <w:r>
        <w:rPr>
          <w:rFonts w:ascii="Barlow Semi Condensed" w:cs="Barlow Semi Condensed" w:eastAsia="Barlow Semi Condensed" w:hAnsi="Barlow Semi Condensed"/>
          <w:sz w:val="24"/>
          <w:szCs w:val="24"/>
        </w:rPr>
        <w:t xml:space="preserve"> Unipd-centrodirittiumani — https://unipd-centrodirittiumani.it/it/archivi/strumenti-internazionali/trattato-di-non-proliferazione-nucleare-1968 (https://unipd-centrodirittiumani.it/it/archivi/strumenti-internazionali/trattato-di-non-proliferazione-nucleare-1968)</w:t>
      </w:r>
    </w:p>
    <w:p>
      <w:pPr>
        <w:spacing w:after="120" w:line="276"/>
        <w:jc w:val="both"/>
      </w:pPr>
      <w:r>
        <w:rPr>
          <w:rFonts w:ascii="Barlow Semi Condensed" w:cs="Barlow Semi Condensed" w:eastAsia="Barlow Semi Condensed" w:hAnsi="Barlow Semi Condensed"/>
          <w:b/>
          <w:bCs/>
          <w:sz w:val="24"/>
          <w:szCs w:val="24"/>
        </w:rPr>
        <w:t xml:space="preserve">551.</w:t>
      </w:r>
      <w:r>
        <w:rPr>
          <w:rFonts w:ascii="Barlow Semi Condensed" w:cs="Barlow Semi Condensed" w:eastAsia="Barlow Semi Condensed" w:hAnsi="Barlow Semi Condensed"/>
          <w:sz w:val="24"/>
          <w:szCs w:val="24"/>
        </w:rPr>
        <w:t xml:space="preserve"> Spazio70 — https://spazio70.com/pre-anni-70/il-pre-sessantotto/latomica-infranta-la-breve-parabola-del-nucleare-militare-italiano/ (https://spazio70.com/pre-anni-70/il-pre-sessantotto/latomica-infranta-la-breve-parabola-del-nucleare-militare-italiano/)</w:t>
      </w:r>
    </w:p>
    <w:p>
      <w:pPr>
        <w:spacing w:after="120" w:line="276"/>
        <w:jc w:val="both"/>
      </w:pPr>
      <w:r>
        <w:rPr>
          <w:rFonts w:ascii="Barlow Semi Condensed" w:cs="Barlow Semi Condensed" w:eastAsia="Barlow Semi Condensed" w:hAnsi="Barlow Semi Condensed"/>
          <w:b/>
          <w:bCs/>
          <w:sz w:val="24"/>
          <w:szCs w:val="24"/>
        </w:rPr>
        <w:t xml:space="preserve">552.</w:t>
      </w:r>
      <w:r>
        <w:rPr>
          <w:rFonts w:ascii="Barlow Semi Condensed" w:cs="Barlow Semi Condensed" w:eastAsia="Barlow Semi Condensed" w:hAnsi="Barlow Semi Condensed"/>
          <w:sz w:val="24"/>
          <w:szCs w:val="24"/>
        </w:rPr>
        <w:t xml:space="preserve"> Wikipedia — https://it.wikipedia.org/wiki/Programma_nucleare_militare_italiano (https://it.wikipedia.org/wiki/Programma_nucleare_militare_italiano)</w:t>
      </w:r>
    </w:p>
    <w:p>
      <w:pPr>
        <w:spacing w:after="120" w:line="276"/>
        <w:jc w:val="both"/>
      </w:pPr>
      <w:r>
        <w:rPr>
          <w:rFonts w:ascii="Barlow Semi Condensed" w:cs="Barlow Semi Condensed" w:eastAsia="Barlow Semi Condensed" w:hAnsi="Barlow Semi Condensed"/>
          <w:b/>
          <w:bCs/>
          <w:sz w:val="24"/>
          <w:szCs w:val="24"/>
        </w:rPr>
        <w:t xml:space="preserve">553.</w:t>
      </w:r>
      <w:r>
        <w:rPr>
          <w:rFonts w:ascii="Barlow Semi Condensed" w:cs="Barlow Semi Condensed" w:eastAsia="Barlow Semi Condensed" w:hAnsi="Barlow Semi Condensed"/>
          <w:sz w:val="24"/>
          <w:szCs w:val="24"/>
        </w:rPr>
        <w:t xml:space="preserve"> Radio Cina Internazionale — https://italian.cri.cn/mychina/notizie/3210/20201106/573336.html (https://italian.cri.cn/mychina/notizie/3210/20201106/573336.html)</w:t>
      </w:r>
    </w:p>
    <w:p>
      <w:pPr>
        <w:spacing w:after="120" w:line="276"/>
        <w:jc w:val="both"/>
      </w:pPr>
      <w:r>
        <w:rPr>
          <w:rFonts w:ascii="Barlow Semi Condensed" w:cs="Barlow Semi Condensed" w:eastAsia="Barlow Semi Condensed" w:hAnsi="Barlow Semi Condensed"/>
          <w:b/>
          <w:bCs/>
          <w:sz w:val="24"/>
          <w:szCs w:val="24"/>
        </w:rPr>
        <w:t xml:space="preserve">554.</w:t>
      </w:r>
      <w:r>
        <w:rPr>
          <w:rFonts w:ascii="Barlow Semi Condensed" w:cs="Barlow Semi Condensed" w:eastAsia="Barlow Semi Condensed" w:hAnsi="Barlow Semi Condensed"/>
          <w:sz w:val="24"/>
          <w:szCs w:val="24"/>
        </w:rPr>
        <w:t xml:space="preserve"> Rubbettino editore — https://www.store.rubbettinoeditore.it/catalogo/la-normalizzazione-delle-relazioni-diplomatiche-tra-la-repubblica-italiana-e-la-repubblica-popolare-cinese/ (https://www.store.rubbettinoeditore.it/catalogo/la-normalizzazione-delle-relazioni-diplomatiche-tra-la-repubblica-italiana-e-la-repubblica-popolare-cinese/) </w:t>
      </w:r>
      <w:r>
        <w:rPr>
          <w:rFonts w:ascii="Barlow Semi Condensed" w:cs="Barlow Semi Condensed" w:eastAsia="Barlow Semi Condensed" w:hAnsi="Barlow Semi Condensed"/>
          <w:i/>
          <w:iCs/>
          <w:sz w:val="24"/>
          <w:szCs w:val="24"/>
        </w:rPr>
        <w:t xml:space="preserve">(citato 4 volte)</w:t>
      </w:r>
    </w:p>
    <w:p>
      <w:pPr>
        <w:spacing w:after="120" w:line="276"/>
        <w:jc w:val="both"/>
      </w:pPr>
      <w:r>
        <w:rPr>
          <w:rFonts w:ascii="Barlow Semi Condensed" w:cs="Barlow Semi Condensed" w:eastAsia="Barlow Semi Condensed" w:hAnsi="Barlow Semi Condensed"/>
          <w:b/>
          <w:bCs/>
          <w:sz w:val="24"/>
          <w:szCs w:val="24"/>
        </w:rPr>
        <w:t xml:space="preserve">555.</w:t>
      </w:r>
      <w:r>
        <w:rPr>
          <w:rFonts w:ascii="Barlow Semi Condensed" w:cs="Barlow Semi Condensed" w:eastAsia="Barlow Semi Condensed" w:hAnsi="Barlow Semi Condensed"/>
          <w:sz w:val="24"/>
          <w:szCs w:val="24"/>
        </w:rPr>
        <w:t xml:space="preserve"> University of Milan — https://air.unimi.it/handle/2434/16750 (https://air.unimi.it/handle/2434/16750)</w:t>
      </w:r>
    </w:p>
    <w:p>
      <w:pPr>
        <w:spacing w:after="120" w:line="276"/>
        <w:jc w:val="both"/>
      </w:pPr>
      <w:r>
        <w:rPr>
          <w:rFonts w:ascii="Barlow Semi Condensed" w:cs="Barlow Semi Condensed" w:eastAsia="Barlow Semi Condensed" w:hAnsi="Barlow Semi Condensed"/>
          <w:b/>
          <w:bCs/>
          <w:sz w:val="24"/>
          <w:szCs w:val="24"/>
        </w:rPr>
        <w:t xml:space="preserve">556.</w:t>
      </w:r>
      <w:r>
        <w:rPr>
          <w:rFonts w:ascii="Barlow Semi Condensed" w:cs="Barlow Semi Condensed" w:eastAsia="Barlow Semi Condensed" w:hAnsi="Barlow Semi Condensed"/>
          <w:sz w:val="24"/>
          <w:szCs w:val="24"/>
        </w:rPr>
        <w:t xml:space="preserve"> Uniurb — https://ora.uniurb.it/handle/11576/1890940 (https://ora.uniurb.it/handle/11576/1890940)</w:t>
      </w:r>
    </w:p>
    <w:p>
      <w:pPr>
        <w:spacing w:after="120" w:line="276"/>
        <w:jc w:val="both"/>
      </w:pPr>
      <w:r>
        <w:rPr>
          <w:rFonts w:ascii="Barlow Semi Condensed" w:cs="Barlow Semi Condensed" w:eastAsia="Barlow Semi Condensed" w:hAnsi="Barlow Semi Condensed"/>
          <w:b/>
          <w:bCs/>
          <w:sz w:val="24"/>
          <w:szCs w:val="24"/>
        </w:rPr>
        <w:t xml:space="preserve">557.</w:t>
      </w:r>
      <w:r>
        <w:rPr>
          <w:rFonts w:ascii="Barlow Semi Condensed" w:cs="Barlow Semi Condensed" w:eastAsia="Barlow Semi Condensed" w:hAnsi="Barlow Semi Condensed"/>
          <w:sz w:val="24"/>
          <w:szCs w:val="24"/>
        </w:rPr>
        <w:t xml:space="preserve"> LuissThesis — https://tesi.luiss.it/40220/1/102822_DE%20MARTINO_TOMMASO.pdf (https://tesi.luiss.it/40220/1/102822_DE%20MARTINO_TOMMASO.pdf)</w:t>
      </w:r>
    </w:p>
    <w:p>
      <w:pPr>
        <w:spacing w:after="120" w:line="276"/>
        <w:jc w:val="both"/>
      </w:pPr>
      <w:r>
        <w:rPr>
          <w:rFonts w:ascii="Barlow Semi Condensed" w:cs="Barlow Semi Condensed" w:eastAsia="Barlow Semi Condensed" w:hAnsi="Barlow Semi Condensed"/>
          <w:b/>
          <w:bCs/>
          <w:sz w:val="24"/>
          <w:szCs w:val="24"/>
        </w:rPr>
        <w:t xml:space="preserve">558.</w:t>
      </w:r>
      <w:r>
        <w:rPr>
          <w:rFonts w:ascii="Barlow Semi Condensed" w:cs="Barlow Semi Condensed" w:eastAsia="Barlow Semi Condensed" w:hAnsi="Barlow Semi Condensed"/>
          <w:sz w:val="24"/>
          <w:szCs w:val="24"/>
        </w:rPr>
        <w:t xml:space="preserve"> Aldomoro — http://www.aldomoro.eu/scritti.php (http://www.aldomoro.eu/scritti.php)</w:t>
      </w:r>
    </w:p>
    <w:p>
      <w:pPr>
        <w:spacing w:after="120" w:line="276"/>
        <w:jc w:val="both"/>
      </w:pPr>
      <w:r>
        <w:rPr>
          <w:rFonts w:ascii="Barlow Semi Condensed" w:cs="Barlow Semi Condensed" w:eastAsia="Barlow Semi Condensed" w:hAnsi="Barlow Semi Condensed"/>
          <w:b/>
          <w:bCs/>
          <w:sz w:val="24"/>
          <w:szCs w:val="24"/>
        </w:rPr>
        <w:t xml:space="preserve">559.</w:t>
      </w:r>
      <w:r>
        <w:rPr>
          <w:rFonts w:ascii="Barlow Semi Condensed" w:cs="Barlow Semi Condensed" w:eastAsia="Barlow Semi Condensed" w:hAnsi="Barlow Semi Condensed"/>
          <w:sz w:val="24"/>
          <w:szCs w:val="24"/>
        </w:rPr>
        <w:t xml:space="preserve"> Radio Radicale — https://www.radioradicale.it/scheda/82006/dalla-costituente-allunita-nazionale-gli-scritti-parlamentari-di-aldo-moro (https://www.radioradicale.it/scheda/82006/dalla-costituente-allunita-nazionale-gli-scritti-parlamentari-di-aldo-moro)</w:t>
      </w:r>
    </w:p>
    <w:p>
      <w:pPr>
        <w:spacing w:after="120" w:line="276"/>
        <w:jc w:val="both"/>
      </w:pPr>
      <w:r>
        <w:rPr>
          <w:rFonts w:ascii="Barlow Semi Condensed" w:cs="Barlow Semi Condensed" w:eastAsia="Barlow Semi Condensed" w:hAnsi="Barlow Semi Condensed"/>
          <w:b/>
          <w:bCs/>
          <w:sz w:val="24"/>
          <w:szCs w:val="24"/>
        </w:rPr>
        <w:t xml:space="preserve">560.</w:t>
      </w:r>
      <w:r>
        <w:rPr>
          <w:rFonts w:ascii="Barlow Semi Condensed" w:cs="Barlow Semi Condensed" w:eastAsia="Barlow Semi Condensed" w:hAnsi="Barlow Semi Condensed"/>
          <w:sz w:val="24"/>
          <w:szCs w:val="24"/>
        </w:rPr>
        <w:t xml:space="preserve"> Uniba — https://ojs.cimedoc.uniba.it/index.php/law/article/download/1152/966 (https://ojs.cimedoc.uniba.it/index.php/law/article/download/1152/966)</w:t>
      </w:r>
    </w:p>
    <w:p>
      <w:pPr>
        <w:spacing w:after="120" w:line="276"/>
        <w:jc w:val="both"/>
      </w:pPr>
      <w:r>
        <w:rPr>
          <w:rFonts w:ascii="Barlow Semi Condensed" w:cs="Barlow Semi Condensed" w:eastAsia="Barlow Semi Condensed" w:hAnsi="Barlow Semi Condensed"/>
          <w:b/>
          <w:bCs/>
          <w:sz w:val="24"/>
          <w:szCs w:val="24"/>
        </w:rPr>
        <w:t xml:space="preserve">561.</w:t>
      </w:r>
      <w:r>
        <w:rPr>
          <w:rFonts w:ascii="Barlow Semi Condensed" w:cs="Barlow Semi Condensed" w:eastAsia="Barlow Semi Condensed" w:hAnsi="Barlow Semi Condensed"/>
          <w:sz w:val="24"/>
          <w:szCs w:val="24"/>
        </w:rPr>
        <w:t xml:space="preserve"> Academia.edu — https://www.academia.edu/40539138/Fra_diplomazia_e_petrolio_Aldo_Moro_e_la_politica_italiana_in_Medio_Oriente (https://www.academia.edu/40539138/Fra_diplomazia_e_petrolio_Aldo_Moro_e_la_politica_italiana_in_Medio_Oriente)</w:t>
      </w:r>
    </w:p>
    <w:p>
      <w:pPr>
        <w:spacing w:after="120" w:line="276"/>
        <w:jc w:val="both"/>
      </w:pPr>
      <w:r>
        <w:rPr>
          <w:rFonts w:ascii="Barlow Semi Condensed" w:cs="Barlow Semi Condensed" w:eastAsia="Barlow Semi Condensed" w:hAnsi="Barlow Semi Condensed"/>
          <w:b/>
          <w:bCs/>
          <w:sz w:val="24"/>
          <w:szCs w:val="24"/>
        </w:rPr>
        <w:t xml:space="preserve">562.</w:t>
      </w:r>
      <w:r>
        <w:rPr>
          <w:rFonts w:ascii="Barlow Semi Condensed" w:cs="Barlow Semi Condensed" w:eastAsia="Barlow Semi Condensed" w:hAnsi="Barlow Semi Condensed"/>
          <w:sz w:val="24"/>
          <w:szCs w:val="24"/>
        </w:rPr>
        <w:t xml:space="preserve"> cia — https://www.cia.gov/readingroom/print/1921790 (https://www.cia.gov/readingroom/print/1921790) </w:t>
      </w:r>
      <w:r>
        <w:rPr>
          <w:rFonts w:ascii="Barlow Semi Condensed" w:cs="Barlow Semi Condensed" w:eastAsia="Barlow Semi Condensed" w:hAnsi="Barlow Semi Condensed"/>
          <w:i/>
          <w:iCs/>
          <w:sz w:val="24"/>
          <w:szCs w:val="24"/>
        </w:rPr>
        <w:t xml:space="preserve">(citato 5 volte)</w:t>
      </w:r>
    </w:p>
    <w:p>
      <w:pPr>
        <w:spacing w:after="120" w:line="276"/>
        <w:jc w:val="both"/>
      </w:pPr>
      <w:r>
        <w:rPr>
          <w:rFonts w:ascii="Barlow Semi Condensed" w:cs="Barlow Semi Condensed" w:eastAsia="Barlow Semi Condensed" w:hAnsi="Barlow Semi Condensed"/>
          <w:b/>
          <w:bCs/>
          <w:sz w:val="24"/>
          <w:szCs w:val="24"/>
        </w:rPr>
        <w:t xml:space="preserve">563.</w:t>
      </w:r>
      <w:r>
        <w:rPr>
          <w:rFonts w:ascii="Barlow Semi Condensed" w:cs="Barlow Semi Condensed" w:eastAsia="Barlow Semi Condensed" w:hAnsi="Barlow Semi Condensed"/>
          <w:sz w:val="24"/>
          <w:szCs w:val="24"/>
        </w:rPr>
        <w:t xml:space="preserve"> Wikipedia — https://es.wikipedia.org/wiki/Segundo_franquismo (https://es.wikipedia.org/wiki/Segundo_franquismo)</w:t>
      </w:r>
    </w:p>
    <w:p>
      <w:pPr>
        <w:spacing w:after="120" w:line="276"/>
        <w:jc w:val="both"/>
      </w:pPr>
      <w:r>
        <w:rPr>
          <w:rFonts w:ascii="Barlow Semi Condensed" w:cs="Barlow Semi Condensed" w:eastAsia="Barlow Semi Condensed" w:hAnsi="Barlow Semi Condensed"/>
          <w:b/>
          <w:bCs/>
          <w:sz w:val="24"/>
          <w:szCs w:val="24"/>
        </w:rPr>
        <w:t xml:space="preserve">564.</w:t>
      </w:r>
      <w:r>
        <w:rPr>
          <w:rFonts w:ascii="Barlow Semi Condensed" w:cs="Barlow Semi Condensed" w:eastAsia="Barlow Semi Condensed" w:hAnsi="Barlow Semi Condensed"/>
          <w:sz w:val="24"/>
          <w:szCs w:val="24"/>
        </w:rPr>
        <w:t xml:space="preserve"> Opus Dei — https://opusdei.org/es-es/article/2-sobre-la-existencia-de-un-grupo-de-ministros-denominados-tecnocratas-y-su-identificacion-con-el-opus-dei/ (https://opusdei.org/es-es/article/2-sobre-la-existencia-de-un-grupo-de-ministros-denominados-tecnocratas-y-su-identificacion-con-el-opus-dei/)</w:t>
      </w:r>
    </w:p>
    <w:p>
      <w:pPr>
        <w:spacing w:after="120" w:line="276"/>
        <w:jc w:val="both"/>
      </w:pPr>
      <w:r>
        <w:rPr>
          <w:rFonts w:ascii="Barlow Semi Condensed" w:cs="Barlow Semi Condensed" w:eastAsia="Barlow Semi Condensed" w:hAnsi="Barlow Semi Condensed"/>
          <w:b/>
          <w:bCs/>
          <w:sz w:val="24"/>
          <w:szCs w:val="24"/>
        </w:rPr>
        <w:t xml:space="preserve">565.</w:t>
      </w:r>
      <w:r>
        <w:rPr>
          <w:rFonts w:ascii="Barlow Semi Condensed" w:cs="Barlow Semi Condensed" w:eastAsia="Barlow Semi Condensed" w:hAnsi="Barlow Semi Condensed"/>
          <w:sz w:val="24"/>
          <w:szCs w:val="24"/>
        </w:rPr>
        <w:t xml:space="preserve"> CEPC — https://www.cepc.gob.es/sites/default/files/2022-06/365127-carlos-barrera.pdf (https://www.cepc.gob.es/sites/default/files/2022-06/365127-carlos-barrera.pdf)</w:t>
      </w:r>
    </w:p>
    <w:p>
      <w:pPr>
        <w:spacing w:after="120" w:line="276"/>
        <w:jc w:val="both"/>
      </w:pPr>
      <w:r>
        <w:rPr>
          <w:rFonts w:ascii="Barlow Semi Condensed" w:cs="Barlow Semi Condensed" w:eastAsia="Barlow Semi Condensed" w:hAnsi="Barlow Semi Condensed"/>
          <w:b/>
          <w:bCs/>
          <w:sz w:val="24"/>
          <w:szCs w:val="24"/>
        </w:rPr>
        <w:t xml:space="preserve">566.</w:t>
      </w:r>
      <w:r>
        <w:rPr>
          <w:rFonts w:ascii="Barlow Semi Condensed" w:cs="Barlow Semi Condensed" w:eastAsia="Barlow Semi Condensed" w:hAnsi="Barlow Semi Condensed"/>
          <w:sz w:val="24"/>
          <w:szCs w:val="24"/>
        </w:rPr>
        <w:t xml:space="preserve"> cambridge — https://cambridge.org/core/journals/government-and-opposition/article/political-ideas-of-the-opus-dei-in-spain/DC7BF5C84A19EE970C79D3C0C4D98505 (https://cambridge.org/core/journals/government-and-opposition/article/political-ideas-of-the-opus-dei-in-spain/DC7BF5C84A19EE970C79D3C0C4D98505)</w:t>
      </w:r>
    </w:p>
    <w:p>
      <w:pPr>
        <w:spacing w:after="120" w:line="276"/>
        <w:jc w:val="both"/>
      </w:pPr>
      <w:r>
        <w:rPr>
          <w:rFonts w:ascii="Barlow Semi Condensed" w:cs="Barlow Semi Condensed" w:eastAsia="Barlow Semi Condensed" w:hAnsi="Barlow Semi Condensed"/>
          <w:b/>
          <w:bCs/>
          <w:sz w:val="24"/>
          <w:szCs w:val="24"/>
        </w:rPr>
        <w:t xml:space="preserve">567.</w:t>
      </w:r>
      <w:r>
        <w:rPr>
          <w:rFonts w:ascii="Barlow Semi Condensed" w:cs="Barlow Semi Condensed" w:eastAsia="Barlow Semi Condensed" w:hAnsi="Barlow Semi Condensed"/>
          <w:sz w:val="24"/>
          <w:szCs w:val="24"/>
        </w:rPr>
        <w:t xml:space="preserve"> Opus Dei — https://opusdei.org/it-it/article/opus-dei-trenta-anni-di-prelatura-personale/ (https://opusdei.org/it-it/article/opus-dei-trenta-anni-di-prelatura-personale/)</w:t>
      </w:r>
    </w:p>
    <w:p>
      <w:pPr>
        <w:spacing w:after="120" w:line="276"/>
        <w:jc w:val="both"/>
      </w:pPr>
      <w:r>
        <w:rPr>
          <w:rFonts w:ascii="Barlow Semi Condensed" w:cs="Barlow Semi Condensed" w:eastAsia="Barlow Semi Condensed" w:hAnsi="Barlow Semi Condensed"/>
          <w:b/>
          <w:bCs/>
          <w:sz w:val="24"/>
          <w:szCs w:val="24"/>
        </w:rPr>
        <w:t xml:space="preserve">568.</w:t>
      </w:r>
      <w:r>
        <w:rPr>
          <w:rFonts w:ascii="Barlow Semi Condensed" w:cs="Barlow Semi Condensed" w:eastAsia="Barlow Semi Condensed" w:hAnsi="Barlow Semi Condensed"/>
          <w:sz w:val="24"/>
          <w:szCs w:val="24"/>
        </w:rPr>
        <w:t xml:space="preserve"> Storiadellachiesa — https://www.storiadellachiesa.it/glossary/prelatura-personale-e-la-chiesa-in-italia/ (https://www.storiadellachiesa.it/glossary/prelatura-personale-e-la-chiesa-in-italia/)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569.</w:t>
      </w:r>
      <w:r>
        <w:rPr>
          <w:rFonts w:ascii="Barlow Semi Condensed" w:cs="Barlow Semi Condensed" w:eastAsia="Barlow Semi Condensed" w:hAnsi="Barlow Semi Condensed"/>
          <w:sz w:val="24"/>
          <w:szCs w:val="24"/>
        </w:rPr>
        <w:t xml:space="preserve"> Wikipedia — https://en.wikipedia.org/wiki/Laureano_L%C3%B3pez_Rod%C3%B3 (https://en.wikipedia.org/wiki/Laureano_L%C3%B3pez_Rod%C3%B3)</w:t>
      </w:r>
    </w:p>
    <w:p>
      <w:pPr>
        <w:spacing w:after="120" w:line="276"/>
        <w:jc w:val="both"/>
      </w:pPr>
      <w:r>
        <w:rPr>
          <w:rFonts w:ascii="Barlow Semi Condensed" w:cs="Barlow Semi Condensed" w:eastAsia="Barlow Semi Condensed" w:hAnsi="Barlow Semi Condensed"/>
          <w:b/>
          <w:bCs/>
          <w:sz w:val="24"/>
          <w:szCs w:val="24"/>
        </w:rPr>
        <w:t xml:space="preserve">570.</w:t>
      </w:r>
      <w:r>
        <w:rPr>
          <w:rFonts w:ascii="Barlow Semi Condensed" w:cs="Barlow Semi Condensed" w:eastAsia="Barlow Semi Condensed" w:hAnsi="Barlow Semi Condensed"/>
          <w:sz w:val="24"/>
          <w:szCs w:val="24"/>
        </w:rPr>
        <w:t xml:space="preserve"> Wikipedia — https://es.wikipedia.org/wiki/Relaciones_OTAN-Espa%C3%B1a (https://es.wikipedia.org/wiki/Relaciones_OTAN-Espa%C3%B1a)</w:t>
      </w:r>
    </w:p>
    <w:p>
      <w:pPr>
        <w:spacing w:after="120" w:line="276"/>
        <w:jc w:val="both"/>
      </w:pPr>
      <w:r>
        <w:rPr>
          <w:rFonts w:ascii="Barlow Semi Condensed" w:cs="Barlow Semi Condensed" w:eastAsia="Barlow Semi Condensed" w:hAnsi="Barlow Semi Condensed"/>
          <w:b/>
          <w:bCs/>
          <w:sz w:val="24"/>
          <w:szCs w:val="24"/>
        </w:rPr>
        <w:t xml:space="preserve">571.</w:t>
      </w:r>
      <w:r>
        <w:rPr>
          <w:rFonts w:ascii="Barlow Semi Condensed" w:cs="Barlow Semi Condensed" w:eastAsia="Barlow Semi Condensed" w:hAnsi="Barlow Semi Condensed"/>
          <w:sz w:val="24"/>
          <w:szCs w:val="24"/>
        </w:rPr>
        <w:t xml:space="preserve"> L'Osservatore Romano — https://www.osservatoreromano.va/it/news/2023-02/quo-045/si-vis-pacem-para-pacem.html (https://www.osservatoreromano.va/it/news/2023-02/quo-045/si-vis-pacem-para-pacem.html)</w:t>
      </w:r>
    </w:p>
    <w:p>
      <w:pPr>
        <w:spacing w:after="120" w:line="276"/>
        <w:jc w:val="both"/>
      </w:pPr>
      <w:r>
        <w:rPr>
          <w:rFonts w:ascii="Barlow Semi Condensed" w:cs="Barlow Semi Condensed" w:eastAsia="Barlow Semi Condensed" w:hAnsi="Barlow Semi Condensed"/>
          <w:b/>
          <w:bCs/>
          <w:sz w:val="24"/>
          <w:szCs w:val="24"/>
        </w:rPr>
        <w:t xml:space="preserve">572.</w:t>
      </w:r>
      <w:r>
        <w:rPr>
          <w:rFonts w:ascii="Barlow Semi Condensed" w:cs="Barlow Semi Condensed" w:eastAsia="Barlow Semi Condensed" w:hAnsi="Barlow Semi Condensed"/>
          <w:sz w:val="24"/>
          <w:szCs w:val="24"/>
        </w:rPr>
        <w:t xml:space="preserve"> Treccani — https://www.treccani.it/enciclopedia/agostino-casaroli_%28Dizionario-Biografico%29/ (https://www.treccani.it/enciclopedia/agostino-casaroli_%28Dizionario-Biografico%29/)</w:t>
      </w:r>
    </w:p>
    <w:p>
      <w:pPr>
        <w:pStyle w:val="Heading3"/>
        <w:spacing w:after="80" w:before="160"/>
      </w:pPr>
      <w:r>
        <w:rPr>
          <w:rFonts w:ascii="Barlow Semi Condensed" w:cs="Barlow Semi Condensed" w:eastAsia="Barlow Semi Condensed" w:hAnsi="Barlow Semi Condensed"/>
          <w:sz w:val="24"/>
          <w:szCs w:val="24"/>
        </w:rPr>
        <w:t xml:space="preserve">Libro dodicesimo · XI — La triangolazione della seconda campagna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II — I documenti del Dipartimento di Stato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III — Le pene oltre confine</w:t>
      </w:r>
    </w:p>
    <w:p>
      <w:pPr>
        <w:spacing w:after="120" w:line="276"/>
        <w:jc w:val="both"/>
      </w:pPr>
      <w:r>
        <w:rPr>
          <w:rFonts w:ascii="Barlow Semi Condensed" w:cs="Barlow Semi Condensed" w:eastAsia="Barlow Semi Condensed" w:hAnsi="Barlow Semi Condensed"/>
          <w:b/>
          <w:bCs/>
          <w:sz w:val="24"/>
          <w:szCs w:val="24"/>
        </w:rPr>
        <w:t xml:space="preserve">573.</w:t>
      </w:r>
      <w:r>
        <w:rPr>
          <w:rFonts w:ascii="Barlow Semi Condensed" w:cs="Barlow Semi Condensed" w:eastAsia="Barlow Semi Condensed" w:hAnsi="Barlow Semi Condensed"/>
          <w:sz w:val="24"/>
          <w:szCs w:val="24"/>
        </w:rPr>
        <w:t xml:space="preserve"> Radio Radicale, registrazione del 22/6/1984 — https://www.radioradicale.it/scheda/63262/il-caso-di-vanni-mulinaris-detenuto-in-attesa-di-processo (https://www.radioradicale.it/scheda/63262/il-caso-di-vanni-mulinaris-detenuto-in-attesa-di-processo)</w:t>
      </w:r>
    </w:p>
    <w:p>
      <w:pPr>
        <w:spacing w:after="120" w:line="276"/>
        <w:jc w:val="both"/>
      </w:pPr>
      <w:r>
        <w:rPr>
          <w:rFonts w:ascii="Barlow Semi Condensed" w:cs="Barlow Semi Condensed" w:eastAsia="Barlow Semi Condensed" w:hAnsi="Barlow Semi Condensed"/>
          <w:b/>
          <w:bCs/>
          <w:sz w:val="24"/>
          <w:szCs w:val="24"/>
        </w:rPr>
        <w:t xml:space="preserve">574.</w:t>
      </w:r>
      <w:r>
        <w:rPr>
          <w:rFonts w:ascii="Barlow Semi Condensed" w:cs="Barlow Semi Condensed" w:eastAsia="Barlow Semi Condensed" w:hAnsi="Barlow Semi Condensed"/>
          <w:sz w:val="24"/>
          <w:szCs w:val="24"/>
        </w:rPr>
        <w:t xml:space="preserve"> Wikipedia, Mitterrand doctrine — https://en.wikipedia.org/wiki/Mitterrand_doctrine (https://en.wikipedia.org/wiki/Mitterrand_doctrine)</w:t>
      </w:r>
    </w:p>
    <w:p>
      <w:pPr>
        <w:spacing w:after="120" w:line="276"/>
        <w:jc w:val="both"/>
      </w:pPr>
      <w:r>
        <w:rPr>
          <w:rFonts w:ascii="Barlow Semi Condensed" w:cs="Barlow Semi Condensed" w:eastAsia="Barlow Semi Condensed" w:hAnsi="Barlow Semi Condensed"/>
          <w:b/>
          <w:bCs/>
          <w:sz w:val="24"/>
          <w:szCs w:val="24"/>
        </w:rPr>
        <w:t xml:space="preserve">575.</w:t>
      </w:r>
      <w:r>
        <w:rPr>
          <w:rFonts w:ascii="Barlow Semi Condensed" w:cs="Barlow Semi Condensed" w:eastAsia="Barlow Semi Condensed" w:hAnsi="Barlow Semi Condensed"/>
          <w:sz w:val="24"/>
          <w:szCs w:val="24"/>
        </w:rPr>
        <w:t xml:space="preserve"> Diritto Penale e Uomo, «La "dottrina Mitterrand" sull'estradizione e la svolta francese» — https://dirittopenaleuomo.org/en/contributi_dpu/the-mitterand-doctrine-overturned/ (https://dirittopenaleuomo.org/en/contributi_dpu/the-mitterand-doctrine-overturned/)</w:t>
      </w:r>
    </w:p>
    <w:p>
      <w:pPr>
        <w:spacing w:after="120" w:line="276"/>
        <w:jc w:val="both"/>
      </w:pPr>
      <w:r>
        <w:rPr>
          <w:rFonts w:ascii="Barlow Semi Condensed" w:cs="Barlow Semi Condensed" w:eastAsia="Barlow Semi Condensed" w:hAnsi="Barlow Semi Condensed"/>
          <w:b/>
          <w:bCs/>
          <w:sz w:val="24"/>
          <w:szCs w:val="24"/>
        </w:rPr>
        <w:t xml:space="preserve">576.</w:t>
      </w:r>
      <w:r>
        <w:rPr>
          <w:rFonts w:ascii="Barlow Semi Condensed" w:cs="Barlow Semi Condensed" w:eastAsia="Barlow Semi Condensed" w:hAnsi="Barlow Semi Condensed"/>
          <w:sz w:val="24"/>
          <w:szCs w:val="24"/>
        </w:rPr>
        <w:t xml:space="preserve"> AGI — https://www.agi.it/estero/news/2021-04-28/dottrina-mitterrand-francia-terrorismo-12352267/ (https://www.agi.it/estero/news/2021-04-28/dottrina-mitterrand-francia-terrorismo-12352267/)</w:t>
      </w:r>
    </w:p>
    <w:p>
      <w:pPr>
        <w:spacing w:after="120" w:line="276"/>
        <w:jc w:val="both"/>
      </w:pPr>
      <w:r>
        <w:rPr>
          <w:rFonts w:ascii="Barlow Semi Condensed" w:cs="Barlow Semi Condensed" w:eastAsia="Barlow Semi Condensed" w:hAnsi="Barlow Semi Condensed"/>
          <w:b/>
          <w:bCs/>
          <w:sz w:val="24"/>
          <w:szCs w:val="24"/>
        </w:rPr>
        <w:t xml:space="preserve">577.</w:t>
      </w:r>
      <w:r>
        <w:rPr>
          <w:rFonts w:ascii="Barlow Semi Condensed" w:cs="Barlow Semi Condensed" w:eastAsia="Barlow Semi Condensed" w:hAnsi="Barlow Semi Condensed"/>
          <w:sz w:val="24"/>
          <w:szCs w:val="24"/>
        </w:rPr>
        <w:t xml:space="preserve"> ANSA — https://www.ansa.it/sito/notizie/cronaca/2021/04/28/terrorismo-arrestati-a-parigi-i-7-brigatisti_710152e0-08a9-4192-8a3d-1f10a662cb7f.html (https://www.ansa.it/sito/notizie/cronaca/2021/04/28/terrorismo-arrestati-a-parigi-i-7-brigatisti_710152e0-08a9-4192-8a3d-1f10a662cb7f.html)</w:t>
      </w:r>
    </w:p>
    <w:p>
      <w:pPr>
        <w:spacing w:after="120" w:line="276"/>
        <w:jc w:val="both"/>
      </w:pPr>
      <w:r>
        <w:rPr>
          <w:rFonts w:ascii="Barlow Semi Condensed" w:cs="Barlow Semi Condensed" w:eastAsia="Barlow Semi Condensed" w:hAnsi="Barlow Semi Condensed"/>
          <w:b/>
          <w:bCs/>
          <w:sz w:val="24"/>
          <w:szCs w:val="24"/>
        </w:rPr>
        <w:t xml:space="preserve">578.</w:t>
      </w:r>
      <w:r>
        <w:rPr>
          <w:rFonts w:ascii="Barlow Semi Condensed" w:cs="Barlow Semi Condensed" w:eastAsia="Barlow Semi Condensed" w:hAnsi="Barlow Semi Condensed"/>
          <w:sz w:val="24"/>
          <w:szCs w:val="24"/>
        </w:rPr>
        <w:t xml:space="preserve"> Avvenire — https://www.avvenire.it/mondo/pagine/francia-terrorismo-arrestati-7-ex-brigatisti-su-richiesta-dell-italia (https://www.avvenire.it/mondo/pagine/francia-terrorismo-arrestati-7-ex-brigatisti-su-richiesta-dell-italia)</w:t>
      </w:r>
    </w:p>
    <w:p>
      <w:pPr>
        <w:spacing w:after="120" w:line="276"/>
        <w:jc w:val="both"/>
      </w:pPr>
      <w:r>
        <w:rPr>
          <w:rFonts w:ascii="Barlow Semi Condensed" w:cs="Barlow Semi Condensed" w:eastAsia="Barlow Semi Condensed" w:hAnsi="Barlow Semi Condensed"/>
          <w:b/>
          <w:bCs/>
          <w:sz w:val="24"/>
          <w:szCs w:val="24"/>
        </w:rPr>
        <w:t xml:space="preserve">579.</w:t>
      </w:r>
      <w:r>
        <w:rPr>
          <w:rFonts w:ascii="Barlow Semi Condensed" w:cs="Barlow Semi Condensed" w:eastAsia="Barlow Semi Condensed" w:hAnsi="Barlow Semi Condensed"/>
          <w:sz w:val="24"/>
          <w:szCs w:val="24"/>
        </w:rPr>
        <w:t xml:space="preserve"> Il Fatto Quotidiano, con la dichiarazione del presidente Draghi — https://www.ilfattoquotidiano.it/2021/04/28/arrestati-in-francia-7-ex-terroristi-rossi-degli-anni-di-piombo-draghi-soddisfazione-la-memoria-di-questi-atti-barbarici-e-ancora-viva/6180356/ (https://www.ilfattoquotidiano.it/2021/04/28/arrestati-in-francia-7-ex-terroristi-rossi-degli-anni-di-piombo-draghi-soddisfazione-la-memoria-di-questi-atti-barbarici-e-ancora-viva/6180356/)</w:t>
      </w:r>
    </w:p>
    <w:p>
      <w:pPr>
        <w:spacing w:after="120" w:line="276"/>
        <w:jc w:val="both"/>
      </w:pPr>
      <w:r>
        <w:rPr>
          <w:rFonts w:ascii="Barlow Semi Condensed" w:cs="Barlow Semi Condensed" w:eastAsia="Barlow Semi Condensed" w:hAnsi="Barlow Semi Condensed"/>
          <w:b/>
          <w:bCs/>
          <w:sz w:val="24"/>
          <w:szCs w:val="24"/>
        </w:rPr>
        <w:t xml:space="preserve">580.</w:t>
      </w:r>
      <w:r>
        <w:rPr>
          <w:rFonts w:ascii="Barlow Semi Condensed" w:cs="Barlow Semi Condensed" w:eastAsia="Barlow Semi Condensed" w:hAnsi="Barlow Semi Condensed"/>
          <w:sz w:val="24"/>
          <w:szCs w:val="24"/>
        </w:rPr>
        <w:t xml:space="preserve"> Today — https://amp.today.it/europa/francia-no-estradizione-ex-terroristi-italiani.html (https://amp.today.it/europa/francia-no-estradizione-ex-terroristi-italiani.html)</w:t>
      </w:r>
    </w:p>
    <w:p>
      <w:pPr>
        <w:pStyle w:val="Heading3"/>
        <w:spacing w:after="80" w:before="160"/>
      </w:pPr>
      <w:r>
        <w:rPr>
          <w:rFonts w:ascii="Barlow Semi Condensed" w:cs="Barlow Semi Condensed" w:eastAsia="Barlow Semi Condensed" w:hAnsi="Barlow Semi Condensed"/>
          <w:sz w:val="24"/>
          <w:szCs w:val="24"/>
        </w:rPr>
        <w:t xml:space="preserve">Libro dodicesimo · IV — Aldo Moro Alla Farnesina E L'Opus Dei</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Libro dodicesimo · V — Aldo Moro Alla Farnesina E Il Portogallo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VI — Aldo Moro Alla Farnesina, Il Portogallo E La Santa Sede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VII — Aldo Moro Alla Farnesina, Il Portogallo E L'Opus Dei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VIII — Aldo Moro Alla Farnesina, La Turchia E La Santa Sede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IX — Moro, Il Mediterraneo Orientale E L'Opus Dei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 — Moro, Le Due Germanie E La Santa Sede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XI — Moro, La Germania E L'Opus Dei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XII — Strauss E Aginter Press</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XIII — I Sette Casi Extraeuropei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XIV — Aginter Press E Lo Stato Italiano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XV — Il Silenzio Dello Stato: Azione O Archivio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XVI — L'Italia, L'Aermacchi E Il Sudafrica Dell'Apartheid</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XVII — Italia E Germania Sul Dossier Namibiano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XVIII — La Santa Sede, La Dc E Il Sudafrica Dell'Apartheid</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XIX — L'Italia Alle Nazioni Unite: Embargo, Apartheid, Namibia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 — 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XXI — Secondo 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XXII — Terzo Registro Analitico Dei Nodi E Dei Ponti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XXIII — Quarto Registro Analitico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XXIV — Quinto Registro Analitico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XXV — Sesto Registro Analitico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XXVI — Settimo Registro Analitico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XXVII — Registro Delle Undici Ricognizioni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dodicesimo · XXVIII — La triangolazione della terza campagna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tredicesimo · I — Il programma e le graduatorie</w:t>
      </w:r>
    </w:p>
    <w:p>
      <w:pPr>
        <w:spacing w:after="120" w:line="276"/>
        <w:jc w:val="both"/>
      </w:pPr>
      <w:r>
        <w:rPr>
          <w:rFonts w:ascii="Barlow Semi Condensed" w:cs="Barlow Semi Condensed" w:eastAsia="Barlow Semi Condensed" w:hAnsi="Barlow Semi Condensed"/>
          <w:b/>
          <w:bCs/>
          <w:sz w:val="24"/>
          <w:szCs w:val="24"/>
        </w:rPr>
        <w:t xml:space="preserve">581.</w:t>
      </w:r>
      <w:r>
        <w:rPr>
          <w:rFonts w:ascii="Barlow Semi Condensed" w:cs="Barlow Semi Condensed" w:eastAsia="Barlow Semi Condensed" w:hAnsi="Barlow Semi Condensed"/>
          <w:sz w:val="24"/>
          <w:szCs w:val="24"/>
        </w:rPr>
        <w:t xml:space="preserve"> Quotidiano Nazionale, «indagine riaperta» — https://www.quotidiano.net/cronaca/aldo-moro-indagine-riaperta-hvj5sqbx (https://www.quotidiano.net/cronaca/aldo-moro-indagine-riaperta-hvj5sqbx)</w:t>
      </w:r>
    </w:p>
    <w:p>
      <w:pPr>
        <w:spacing w:after="120" w:line="276"/>
        <w:jc w:val="both"/>
      </w:pPr>
      <w:r>
        <w:rPr>
          <w:rFonts w:ascii="Barlow Semi Condensed" w:cs="Barlow Semi Condensed" w:eastAsia="Barlow Semi Condensed" w:hAnsi="Barlow Semi Condensed"/>
          <w:b/>
          <w:bCs/>
          <w:sz w:val="24"/>
          <w:szCs w:val="24"/>
        </w:rPr>
        <w:t xml:space="preserve">582.</w:t>
      </w:r>
      <w:r>
        <w:rPr>
          <w:rFonts w:ascii="Barlow Semi Condensed" w:cs="Barlow Semi Condensed" w:eastAsia="Barlow Semi Condensed" w:hAnsi="Barlow Semi Condensed"/>
          <w:sz w:val="24"/>
          <w:szCs w:val="24"/>
        </w:rPr>
        <w:t xml:space="preserve"> QN, «caccia al quinto uomo» — https://www.quotidiano.net/cronaca/strage-di-via-fani-indagini-riaperte-lb05511u (https://www.quotidiano.net/cronaca/strage-di-via-fani-indagini-riaperte-lb05511u)</w:t>
      </w:r>
    </w:p>
    <w:p>
      <w:pPr>
        <w:spacing w:after="120" w:line="276"/>
        <w:jc w:val="both"/>
      </w:pPr>
      <w:r>
        <w:rPr>
          <w:rFonts w:ascii="Barlow Semi Condensed" w:cs="Barlow Semi Condensed" w:eastAsia="Barlow Semi Condensed" w:hAnsi="Barlow Semi Condensed"/>
          <w:b/>
          <w:bCs/>
          <w:sz w:val="24"/>
          <w:szCs w:val="24"/>
        </w:rPr>
        <w:t xml:space="preserve">583.</w:t>
      </w:r>
      <w:r>
        <w:rPr>
          <w:rFonts w:ascii="Barlow Semi Condensed" w:cs="Barlow Semi Condensed" w:eastAsia="Barlow Semi Condensed" w:hAnsi="Barlow Semi Condensed"/>
          <w:sz w:val="24"/>
          <w:szCs w:val="24"/>
        </w:rPr>
        <w:t xml:space="preserve"> Antimafia Duemila, la proroga del GIP — https://antimafiaduemila.com/home/mafie-news/topnews/caso-moro-il-gip-riapre-nuove-piste-sei-mesi-di-indagini-sulle-terze-presenze-in-via-fani (https://antimafiaduemila.com/home/mafie-news/topnews/caso-moro-il-gip-riapre-nuove-piste-sei-mesi-di-indagini-sulle-terze-presenze-in-via-fani)</w:t>
      </w:r>
    </w:p>
    <w:p>
      <w:pPr>
        <w:spacing w:after="120" w:line="276"/>
        <w:jc w:val="both"/>
      </w:pPr>
      <w:r>
        <w:rPr>
          <w:rFonts w:ascii="Barlow Semi Condensed" w:cs="Barlow Semi Condensed" w:eastAsia="Barlow Semi Condensed" w:hAnsi="Barlow Semi Condensed"/>
          <w:b/>
          <w:bCs/>
          <w:sz w:val="24"/>
          <w:szCs w:val="24"/>
        </w:rPr>
        <w:t xml:space="preserve">584.</w:t>
      </w:r>
      <w:r>
        <w:rPr>
          <w:rFonts w:ascii="Barlow Semi Condensed" w:cs="Barlow Semi Condensed" w:eastAsia="Barlow Semi Condensed" w:hAnsi="Barlow Semi Condensed"/>
          <w:sz w:val="24"/>
          <w:szCs w:val="24"/>
        </w:rPr>
        <w:t xml:space="preserve"> testo della direttiva — https://presidenza.governo.it/AmministrazioneTrasparente/Organizzazione/ArticolazioneUffici/CommissioniComitati/Comitato_desecretazione/Direttiva_20140422.pdf (https://presidenza.governo.it/AmministrazioneTrasparente/Organizzazione/ArticolazioneUffici/CommissioniComitati/Comitato_desecretazione/Direttiva_20140422.pdf)</w:t>
      </w:r>
    </w:p>
    <w:p>
      <w:pPr>
        <w:spacing w:after="120" w:line="276"/>
        <w:jc w:val="both"/>
      </w:pPr>
      <w:r>
        <w:rPr>
          <w:rFonts w:ascii="Barlow Semi Condensed" w:cs="Barlow Semi Condensed" w:eastAsia="Barlow Semi Condensed" w:hAnsi="Barlow Semi Condensed"/>
          <w:b/>
          <w:bCs/>
          <w:sz w:val="24"/>
          <w:szCs w:val="24"/>
        </w:rPr>
        <w:t xml:space="preserve">585.</w:t>
      </w:r>
      <w:r>
        <w:rPr>
          <w:rFonts w:ascii="Barlow Semi Condensed" w:cs="Barlow Semi Condensed" w:eastAsia="Barlow Semi Condensed" w:hAnsi="Barlow Semi Condensed"/>
          <w:sz w:val="24"/>
          <w:szCs w:val="24"/>
        </w:rPr>
        <w:t xml:space="preserve"> ACS, la collezione — https://acs.cultura.gov.it/la-direttiva-renzi-e-i-pubblici-segreti-documenti-declassificati-su-terrorismo-e-stragi/ (https://acs.cultura.gov.it/la-direttiva-renzi-e-i-pubblici-segreti-documenti-declassificati-su-terrorismo-e-stragi/)</w:t>
      </w:r>
    </w:p>
    <w:p>
      <w:pPr>
        <w:spacing w:after="120" w:line="276"/>
        <w:jc w:val="both"/>
      </w:pPr>
      <w:r>
        <w:rPr>
          <w:rFonts w:ascii="Barlow Semi Condensed" w:cs="Barlow Semi Condensed" w:eastAsia="Barlow Semi Condensed" w:hAnsi="Barlow Semi Condensed"/>
          <w:b/>
          <w:bCs/>
          <w:sz w:val="24"/>
          <w:szCs w:val="24"/>
        </w:rPr>
        <w:t xml:space="preserve">586.</w:t>
      </w:r>
      <w:r>
        <w:rPr>
          <w:rFonts w:ascii="Barlow Semi Condensed" w:cs="Barlow Semi Condensed" w:eastAsia="Barlow Semi Condensed" w:hAnsi="Barlow Semi Condensed"/>
          <w:sz w:val="24"/>
          <w:szCs w:val="24"/>
        </w:rPr>
        <w:t xml:space="preserve"> Direzione generale Archivi — https://archivi.cultura.gov.it/in-evidenza/le-carte-delle-stragi (https://archivi.cultura.gov.it/in-evidenza/le-carte-delle-stragi)</w:t>
      </w:r>
    </w:p>
    <w:p>
      <w:pPr>
        <w:spacing w:after="120" w:line="276"/>
        <w:jc w:val="both"/>
      </w:pPr>
      <w:r>
        <w:rPr>
          <w:rFonts w:ascii="Barlow Semi Condensed" w:cs="Barlow Semi Condensed" w:eastAsia="Barlow Semi Condensed" w:hAnsi="Barlow Semi Condensed"/>
          <w:b/>
          <w:bCs/>
          <w:sz w:val="24"/>
          <w:szCs w:val="24"/>
        </w:rPr>
        <w:t xml:space="preserve">587.</w:t>
      </w:r>
      <w:r>
        <w:rPr>
          <w:rFonts w:ascii="Barlow Semi Condensed" w:cs="Barlow Semi Condensed" w:eastAsia="Barlow Semi Condensed" w:hAnsi="Barlow Semi Condensed"/>
          <w:sz w:val="24"/>
          <w:szCs w:val="24"/>
        </w:rPr>
        <w:t xml:space="preserve"> studio su fondi ministeriali, memoria.cultura.gov.it — https://memoria.cultura.gov.it/documents/37629/88652/Il+senso+dello+Stato+nel+caso+Moro.pdf/2aa0ece5-3c0e-1d63-c4e8-8769062b5cf3 (https://memoria.cultura.gov.it/documents/37629/88652/Il+senso+dello+Stato+nel+caso+Moro.pdf/2aa0ece5-3c0e-1d63-c4e8-8769062b5cf3)</w:t>
      </w:r>
    </w:p>
    <w:p>
      <w:pPr>
        <w:spacing w:after="120" w:line="276"/>
        <w:jc w:val="both"/>
      </w:pPr>
      <w:r>
        <w:rPr>
          <w:rFonts w:ascii="Barlow Semi Condensed" w:cs="Barlow Semi Condensed" w:eastAsia="Barlow Semi Condensed" w:hAnsi="Barlow Semi Condensed"/>
          <w:b/>
          <w:bCs/>
          <w:sz w:val="24"/>
          <w:szCs w:val="24"/>
        </w:rPr>
        <w:t xml:space="preserve">588.</w:t>
      </w:r>
      <w:r>
        <w:rPr>
          <w:rFonts w:ascii="Barlow Semi Condensed" w:cs="Barlow Semi Condensed" w:eastAsia="Barlow Semi Condensed" w:hAnsi="Barlow Semi Condensed"/>
          <w:sz w:val="24"/>
          <w:szCs w:val="24"/>
        </w:rPr>
        <w:t xml:space="preserve"> ANSA — https://www.ansa.it/sito/notizie/speciali/2018/03/12/moro-le-carte-della-commissione-presto-ai-pm_cfadce04-ac8f-4c28-b7f5-2cd249804b76.html (https://www.ansa.it/sito/notizie/speciali/2018/03/12/moro-le-carte-della-commissione-presto-ai-pm_cfadce04-ac8f-4c28-b7f5-2cd249804b76.html)</w:t>
      </w:r>
    </w:p>
    <w:p>
      <w:pPr>
        <w:spacing w:after="120" w:line="276"/>
        <w:jc w:val="both"/>
      </w:pPr>
      <w:r>
        <w:rPr>
          <w:rFonts w:ascii="Barlow Semi Condensed" w:cs="Barlow Semi Condensed" w:eastAsia="Barlow Semi Condensed" w:hAnsi="Barlow Semi Condensed"/>
          <w:b/>
          <w:bCs/>
          <w:sz w:val="24"/>
          <w:szCs w:val="24"/>
        </w:rPr>
        <w:t xml:space="preserve">589.</w:t>
      </w:r>
      <w:r>
        <w:rPr>
          <w:rFonts w:ascii="Barlow Semi Condensed" w:cs="Barlow Semi Condensed" w:eastAsia="Barlow Semi Condensed" w:hAnsi="Barlow Semi Condensed"/>
          <w:sz w:val="24"/>
          <w:szCs w:val="24"/>
        </w:rPr>
        <w:t xml:space="preserve"> relazione Moro 2, «I covi e la morte di Moro» — https://documenti.camera.it/_dati/leg17/lavori/documentiparlamentari/indiceetesti/023/029/00000015.pdf (https://documenti.camera.it/_dati/leg17/lavori/documentiparlamentari/indiceetesti/023/029/00000015.pdf) </w:t>
      </w:r>
      <w:r>
        <w:rPr>
          <w:rFonts w:ascii="Barlow Semi Condensed" w:cs="Barlow Semi Condensed" w:eastAsia="Barlow Semi Condensed" w:hAnsi="Barlow Semi Condensed"/>
          <w:i/>
          <w:iCs/>
          <w:sz w:val="24"/>
          <w:szCs w:val="24"/>
        </w:rPr>
        <w:t xml:space="preserve">(citato 3 volte)</w:t>
      </w:r>
    </w:p>
    <w:p>
      <w:pPr>
        <w:spacing w:after="120" w:line="276"/>
        <w:jc w:val="both"/>
      </w:pPr>
      <w:r>
        <w:rPr>
          <w:rFonts w:ascii="Barlow Semi Condensed" w:cs="Barlow Semi Condensed" w:eastAsia="Barlow Semi Condensed" w:hAnsi="Barlow Semi Condensed"/>
          <w:b/>
          <w:bCs/>
          <w:sz w:val="24"/>
          <w:szCs w:val="24"/>
        </w:rPr>
        <w:t xml:space="preserve">590.</w:t>
      </w:r>
      <w:r>
        <w:rPr>
          <w:rFonts w:ascii="Barlow Semi Condensed" w:cs="Barlow Semi Condensed" w:eastAsia="Barlow Semi Condensed" w:hAnsi="Barlow Semi Condensed"/>
          <w:sz w:val="24"/>
          <w:szCs w:val="24"/>
        </w:rPr>
        <w:t xml:space="preserve"> Anni Affollati — https://www.anniaffollati.it/sezioni/sotto-un-dominio-caso-moro/via-gradoli/menu-via-gradoli.html (https://www.anniaffollati.it/sezioni/sotto-un-dominio-caso-moro/via-gradoli/menu-via-gradoli.html)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591.</w:t>
      </w:r>
      <w:r>
        <w:rPr>
          <w:rFonts w:ascii="Barlow Semi Condensed" w:cs="Barlow Semi Condensed" w:eastAsia="Barlow Semi Condensed" w:hAnsi="Barlow Semi Condensed"/>
          <w:sz w:val="24"/>
          <w:szCs w:val="24"/>
        </w:rPr>
        <w:t xml:space="preserve"> archivio900, Il covo di Stato — https://www.archivio900.it/it/libri/lib.aspx?id=407 (https://www.archivio900.it/it/libri/lib.aspx?id=407)</w:t>
      </w:r>
    </w:p>
    <w:p>
      <w:pPr>
        <w:spacing w:after="120" w:line="276"/>
        <w:jc w:val="both"/>
      </w:pPr>
      <w:r>
        <w:rPr>
          <w:rFonts w:ascii="Barlow Semi Condensed" w:cs="Barlow Semi Condensed" w:eastAsia="Barlow Semi Condensed" w:hAnsi="Barlow Semi Condensed"/>
          <w:b/>
          <w:bCs/>
          <w:sz w:val="24"/>
          <w:szCs w:val="24"/>
        </w:rPr>
        <w:t xml:space="preserve">592.</w:t>
      </w:r>
      <w:r>
        <w:rPr>
          <w:rFonts w:ascii="Barlow Semi Condensed" w:cs="Barlow Semi Condensed" w:eastAsia="Barlow Semi Condensed" w:hAnsi="Barlow Semi Condensed"/>
          <w:sz w:val="24"/>
          <w:szCs w:val="24"/>
        </w:rPr>
        <w:t xml:space="preserve"> ANSA — https://www.ansa.it/sito/notizie/cronaca/2018/03/15/moromistero-vaticano-su-10-mld-riscatto_159ad438-a8df-474d-a762-cbd416e06064.html (https://www.ansa.it/sito/notizie/cronaca/2018/03/15/moromistero-vaticano-su-10-mld-riscatto_159ad438-a8df-474d-a762-cbd416e06064.html)</w:t>
      </w:r>
    </w:p>
    <w:p>
      <w:pPr>
        <w:pStyle w:val="Heading3"/>
        <w:spacing w:after="80" w:before="160"/>
      </w:pPr>
      <w:r>
        <w:rPr>
          <w:rFonts w:ascii="Barlow Semi Condensed" w:cs="Barlow Semi Condensed" w:eastAsia="Barlow Semi Condensed" w:hAnsi="Barlow Semi Condensed"/>
          <w:sz w:val="24"/>
          <w:szCs w:val="24"/>
        </w:rPr>
        <w:t xml:space="preserve">Libro tredicesimo · II — Le schede delle piste di testa</w:t>
      </w:r>
    </w:p>
    <w:p>
      <w:pPr>
        <w:spacing w:after="120" w:line="276"/>
        <w:jc w:val="both"/>
      </w:pPr>
      <w:r>
        <w:rPr>
          <w:rFonts w:ascii="Barlow Semi Condensed" w:cs="Barlow Semi Condensed" w:eastAsia="Barlow Semi Condensed" w:hAnsi="Barlow Semi Condensed"/>
          <w:b/>
          <w:bCs/>
          <w:sz w:val="24"/>
          <w:szCs w:val="24"/>
        </w:rPr>
        <w:t xml:space="preserve">593.</w:t>
      </w:r>
      <w:r>
        <w:rPr>
          <w:rFonts w:ascii="Barlow Semi Condensed" w:cs="Barlow Semi Condensed" w:eastAsia="Barlow Semi Condensed" w:hAnsi="Barlow Semi Condensed"/>
          <w:sz w:val="24"/>
          <w:szCs w:val="24"/>
        </w:rPr>
        <w:t xml:space="preserve"> Il Fatto Quotidiano, «l'Honda di via Fani resta un mistero» — https://www.ilfattoquotidiano.it/2014/03/23/caso-moro-36-anni-dopo-lhonda-di-via-fani-resta-ancora-un-mistero/923461/ (https://www.ilfattoquotidiano.it/2014/03/23/caso-moro-36-anni-dopo-lhonda-di-via-fani-resta-ancora-un-mistero/923461/)</w:t>
      </w:r>
    </w:p>
    <w:p>
      <w:pPr>
        <w:spacing w:after="120" w:line="276"/>
        <w:jc w:val="both"/>
      </w:pPr>
      <w:r>
        <w:rPr>
          <w:rFonts w:ascii="Barlow Semi Condensed" w:cs="Barlow Semi Condensed" w:eastAsia="Barlow Semi Condensed" w:hAnsi="Barlow Semi Condensed"/>
          <w:b/>
          <w:bCs/>
          <w:sz w:val="24"/>
          <w:szCs w:val="24"/>
        </w:rPr>
        <w:t xml:space="preserve">594.</w:t>
      </w:r>
      <w:r>
        <w:rPr>
          <w:rFonts w:ascii="Barlow Semi Condensed" w:cs="Barlow Semi Condensed" w:eastAsia="Barlow Semi Condensed" w:hAnsi="Barlow Semi Condensed"/>
          <w:sz w:val="24"/>
          <w:szCs w:val="24"/>
        </w:rPr>
        <w:t xml:space="preserve"> Anni Affollati, «La moto Honda e il motorino» — https://www.anniaffollati.it/sezioni/sotto-un-dominio-caso-moro/via-fani/9-honda-motorino.html (https://www.anniaffollati.it/sezioni/sotto-un-dominio-caso-moro/via-fani/9-honda-motorino.html)</w:t>
      </w:r>
    </w:p>
    <w:p>
      <w:pPr>
        <w:spacing w:after="120" w:line="276"/>
        <w:jc w:val="both"/>
      </w:pPr>
      <w:r>
        <w:rPr>
          <w:rFonts w:ascii="Barlow Semi Condensed" w:cs="Barlow Semi Condensed" w:eastAsia="Barlow Semi Condensed" w:hAnsi="Barlow Semi Condensed"/>
          <w:b/>
          <w:bCs/>
          <w:sz w:val="24"/>
          <w:szCs w:val="24"/>
        </w:rPr>
        <w:t xml:space="preserve">595.</w:t>
      </w:r>
      <w:r>
        <w:rPr>
          <w:rFonts w:ascii="Barlow Semi Condensed" w:cs="Barlow Semi Condensed" w:eastAsia="Barlow Semi Condensed" w:hAnsi="Barlow Semi Condensed"/>
          <w:sz w:val="24"/>
          <w:szCs w:val="24"/>
        </w:rPr>
        <w:t xml:space="preserve"> Insorgenze — https://insorgenze.net/2015/04/23/la-colonna-sonora-di-via-fani-dei-nuovi-documenti-smontano-la-storia-della-honda-e-le-fantasie-del-supertestimone-marini/ (https://insorgenze.net/2015/04/23/la-colonna-sonora-di-via-fani-dei-nuovi-documenti-smontano-la-storia-della-honda-e-le-fantasie-del-supertestimone-marini/)</w:t>
      </w:r>
    </w:p>
    <w:p>
      <w:pPr>
        <w:spacing w:after="120" w:line="276"/>
        <w:jc w:val="both"/>
      </w:pPr>
      <w:r>
        <w:rPr>
          <w:rFonts w:ascii="Barlow Semi Condensed" w:cs="Barlow Semi Condensed" w:eastAsia="Barlow Semi Condensed" w:hAnsi="Barlow Semi Condensed"/>
          <w:b/>
          <w:bCs/>
          <w:sz w:val="24"/>
          <w:szCs w:val="24"/>
        </w:rPr>
        <w:t xml:space="preserve">596.</w:t>
      </w:r>
      <w:r>
        <w:rPr>
          <w:rFonts w:ascii="Barlow Semi Condensed" w:cs="Barlow Semi Condensed" w:eastAsia="Barlow Semi Condensed" w:hAnsi="Barlow Semi Condensed"/>
          <w:sz w:val="24"/>
          <w:szCs w:val="24"/>
        </w:rPr>
        <w:t xml:space="preserve"> Wikipedia, Agguato di via Fani — https://it.wikipedia.org/wiki/Agguato_di_via_Fani (https://it.wikipedia.org/wiki/Agguato_di_via_Fani)</w:t>
      </w:r>
    </w:p>
    <w:p>
      <w:pPr>
        <w:spacing w:after="120" w:line="276"/>
        <w:jc w:val="both"/>
      </w:pPr>
      <w:r>
        <w:rPr>
          <w:rFonts w:ascii="Barlow Semi Condensed" w:cs="Barlow Semi Condensed" w:eastAsia="Barlow Semi Condensed" w:hAnsi="Barlow Semi Condensed"/>
          <w:b/>
          <w:bCs/>
          <w:sz w:val="24"/>
          <w:szCs w:val="24"/>
        </w:rPr>
        <w:t xml:space="preserve">597.</w:t>
      </w:r>
      <w:r>
        <w:rPr>
          <w:rFonts w:ascii="Barlow Semi Condensed" w:cs="Barlow Semi Condensed" w:eastAsia="Barlow Semi Condensed" w:hAnsi="Barlow Semi Condensed"/>
          <w:sz w:val="24"/>
          <w:szCs w:val="24"/>
        </w:rPr>
        <w:t xml:space="preserve"> Claudio Meloni, la prima perizia — https://meloniclaudio.wordpress.com/2015/07/06/via-fani-la-prima-perizia-balistica/ (https://meloniclaudio.wordpress.com/2015/07/06/via-fani-la-prima-perizia-balistica/)</w:t>
      </w:r>
    </w:p>
    <w:p>
      <w:pPr>
        <w:spacing w:after="120" w:line="276"/>
        <w:jc w:val="both"/>
      </w:pPr>
      <w:r>
        <w:rPr>
          <w:rFonts w:ascii="Barlow Semi Condensed" w:cs="Barlow Semi Condensed" w:eastAsia="Barlow Semi Condensed" w:hAnsi="Barlow Semi Condensed"/>
          <w:b/>
          <w:bCs/>
          <w:sz w:val="24"/>
          <w:szCs w:val="24"/>
        </w:rPr>
        <w:t xml:space="preserve">598.</w:t>
      </w:r>
      <w:r>
        <w:rPr>
          <w:rFonts w:ascii="Barlow Semi Condensed" w:cs="Barlow Semi Condensed" w:eastAsia="Barlow Semi Condensed" w:hAnsi="Barlow Semi Condensed"/>
          <w:sz w:val="24"/>
          <w:szCs w:val="24"/>
        </w:rPr>
        <w:t xml:space="preserve"> AgoraVox, «il superkiller e i 49 colpi» — https://www.agoravox.it/Caso-Moro-Il-superkiller-di-via.html (https://www.agoravox.it/Caso-Moro-Il-superkiller-di-via.html)</w:t>
      </w:r>
    </w:p>
    <w:p>
      <w:pPr>
        <w:spacing w:after="120" w:line="276"/>
        <w:jc w:val="both"/>
      </w:pPr>
      <w:r>
        <w:rPr>
          <w:rFonts w:ascii="Barlow Semi Condensed" w:cs="Barlow Semi Condensed" w:eastAsia="Barlow Semi Condensed" w:hAnsi="Barlow Semi Condensed"/>
          <w:b/>
          <w:bCs/>
          <w:sz w:val="24"/>
          <w:szCs w:val="24"/>
        </w:rPr>
        <w:t xml:space="preserve">599.</w:t>
      </w:r>
      <w:r>
        <w:rPr>
          <w:rFonts w:ascii="Barlow Semi Condensed" w:cs="Barlow Semi Condensed" w:eastAsia="Barlow Semi Condensed" w:hAnsi="Barlow Semi Condensed"/>
          <w:sz w:val="24"/>
          <w:szCs w:val="24"/>
        </w:rPr>
        <w:t xml:space="preserve"> Cicinelli — https://www.gianlucacicinelli.it/la-perizia-su-via-fani-e-un-depistaggio-di-stato/ (https://www.gianlucacicinelli.it/la-perizia-su-via-fani-e-un-depistaggio-di-stato/)</w:t>
      </w:r>
    </w:p>
    <w:p>
      <w:pPr>
        <w:spacing w:after="120" w:line="276"/>
        <w:jc w:val="both"/>
      </w:pPr>
      <w:r>
        <w:rPr>
          <w:rFonts w:ascii="Barlow Semi Condensed" w:cs="Barlow Semi Condensed" w:eastAsia="Barlow Semi Condensed" w:hAnsi="Barlow Semi Condensed"/>
          <w:b/>
          <w:bCs/>
          <w:sz w:val="24"/>
          <w:szCs w:val="24"/>
        </w:rPr>
        <w:t xml:space="preserve">600.</w:t>
      </w:r>
      <w:r>
        <w:rPr>
          <w:rFonts w:ascii="Barlow Semi Condensed" w:cs="Barlow Semi Condensed" w:eastAsia="Barlow Semi Condensed" w:hAnsi="Barlow Semi Condensed"/>
          <w:sz w:val="24"/>
          <w:szCs w:val="24"/>
        </w:rPr>
        <w:t xml:space="preserve"> Il Post, la ricostruzione — https://www.ilpost.it/2018/04/04/prodi-seduta-spiritica-moro/ (https://www.ilpost.it/2018/04/04/prodi-seduta-spiritica-moro/)</w:t>
      </w:r>
    </w:p>
    <w:p>
      <w:pPr>
        <w:spacing w:after="120" w:line="276"/>
        <w:jc w:val="both"/>
      </w:pPr>
      <w:r>
        <w:rPr>
          <w:rFonts w:ascii="Barlow Semi Condensed" w:cs="Barlow Semi Condensed" w:eastAsia="Barlow Semi Condensed" w:hAnsi="Barlow Semi Condensed"/>
          <w:b/>
          <w:bCs/>
          <w:sz w:val="24"/>
          <w:szCs w:val="24"/>
        </w:rPr>
        <w:t xml:space="preserve">601.</w:t>
      </w:r>
      <w:r>
        <w:rPr>
          <w:rFonts w:ascii="Barlow Semi Condensed" w:cs="Barlow Semi Condensed" w:eastAsia="Barlow Semi Condensed" w:hAnsi="Barlow Semi Condensed"/>
          <w:sz w:val="24"/>
          <w:szCs w:val="24"/>
        </w:rPr>
        <w:t xml:space="preserve"> Spazio70, la vicenda nei verbali della Commissione Stragi — https://spazio70.com/anni-70/brigate-rosse/via-gradoli-lassurda-vicenda-della-seduta-spiritica-nei-verbali-della-commissione-stragi/ (https://spazio70.com/anni-70/brigate-rosse/via-gradoli-lassurda-vicenda-della-seduta-spiritica-nei-verbali-della-commissione-stragi/)</w:t>
      </w:r>
    </w:p>
    <w:p>
      <w:pPr>
        <w:spacing w:after="120" w:line="276"/>
        <w:jc w:val="both"/>
      </w:pPr>
      <w:r>
        <w:rPr>
          <w:rFonts w:ascii="Barlow Semi Condensed" w:cs="Barlow Semi Condensed" w:eastAsia="Barlow Semi Condensed" w:hAnsi="Barlow Semi Condensed"/>
          <w:b/>
          <w:bCs/>
          <w:sz w:val="24"/>
          <w:szCs w:val="24"/>
        </w:rPr>
        <w:t xml:space="preserve">602.</w:t>
      </w:r>
      <w:r>
        <w:rPr>
          <w:rFonts w:ascii="Barlow Semi Condensed" w:cs="Barlow Semi Condensed" w:eastAsia="Barlow Semi Condensed" w:hAnsi="Barlow Semi Condensed"/>
          <w:sz w:val="24"/>
          <w:szCs w:val="24"/>
        </w:rPr>
        <w:t xml:space="preserve"> Passaggi Lenti — https://www.passaggilenti.com/seduta-spiritica-sul-caso-moro-via-gradoli/ (https://www.passaggilenti.com/seduta-spiritica-sul-caso-moro-via-gradoli/)</w:t>
      </w:r>
    </w:p>
    <w:p>
      <w:pPr>
        <w:pStyle w:val="Heading3"/>
        <w:spacing w:after="80" w:before="160"/>
      </w:pPr>
      <w:r>
        <w:rPr>
          <w:rFonts w:ascii="Barlow Semi Condensed" w:cs="Barlow Semi Condensed" w:eastAsia="Barlow Semi Condensed" w:hAnsi="Barlow Semi Condensed"/>
          <w:sz w:val="24"/>
          <w:szCs w:val="24"/>
        </w:rPr>
        <w:t xml:space="preserve">Libro tredicesimo · III — Le schede delle entità</w:t>
      </w:r>
    </w:p>
    <w:p>
      <w:pPr>
        <w:spacing w:after="120" w:line="276"/>
        <w:jc w:val="both"/>
      </w:pPr>
      <w:r>
        <w:rPr>
          <w:rFonts w:ascii="Barlow Semi Condensed" w:cs="Barlow Semi Condensed" w:eastAsia="Barlow Semi Condensed" w:hAnsi="Barlow Semi Condensed"/>
          <w:b/>
          <w:bCs/>
          <w:sz w:val="24"/>
          <w:szCs w:val="24"/>
        </w:rPr>
        <w:t xml:space="preserve">603.</w:t>
      </w:r>
      <w:r>
        <w:rPr>
          <w:rFonts w:ascii="Barlow Semi Condensed" w:cs="Barlow Semi Condensed" w:eastAsia="Barlow Semi Condensed" w:hAnsi="Barlow Semi Condensed"/>
          <w:sz w:val="24"/>
          <w:szCs w:val="24"/>
        </w:rPr>
        <w:t xml:space="preserve"> Il Sussidiario, scheda Ferracuti — https://www.ilsussidiario.net/news/chi-e-franco-ferracuti-criminologo-consulente-ministero-dellinterno-nel-caso-aldo-moro/2439964/ (https://www.ilsussidiario.net/news/chi-e-franco-ferracuti-criminologo-consulente-ministero-dellinterno-nel-caso-aldo-moro/2439964/)</w:t>
      </w:r>
    </w:p>
    <w:p>
      <w:pPr>
        <w:spacing w:after="120" w:line="276"/>
        <w:jc w:val="both"/>
      </w:pPr>
      <w:r>
        <w:rPr>
          <w:rFonts w:ascii="Barlow Semi Condensed" w:cs="Barlow Semi Condensed" w:eastAsia="Barlow Semi Condensed" w:hAnsi="Barlow Semi Condensed"/>
          <w:b/>
          <w:bCs/>
          <w:sz w:val="24"/>
          <w:szCs w:val="24"/>
        </w:rPr>
        <w:t xml:space="preserve">604.</w:t>
      </w:r>
      <w:r>
        <w:rPr>
          <w:rFonts w:ascii="Barlow Semi Condensed" w:cs="Barlow Semi Condensed" w:eastAsia="Barlow Semi Condensed" w:hAnsi="Barlow Semi Condensed"/>
          <w:sz w:val="24"/>
          <w:szCs w:val="24"/>
        </w:rPr>
        <w:t xml:space="preserve"> Commissione Stragi, steno 63 — https://www.parlamento.it/parlam/bicam/terror/stenografici/steno63.htm (https://www.parlamento.it/parlam/bicam/terror/stenografici/steno63.htm)</w:t>
      </w:r>
    </w:p>
    <w:p>
      <w:pPr>
        <w:spacing w:after="120" w:line="276"/>
        <w:jc w:val="both"/>
      </w:pPr>
      <w:r>
        <w:rPr>
          <w:rFonts w:ascii="Barlow Semi Condensed" w:cs="Barlow Semi Condensed" w:eastAsia="Barlow Semi Condensed" w:hAnsi="Barlow Semi Condensed"/>
          <w:b/>
          <w:bCs/>
          <w:sz w:val="24"/>
          <w:szCs w:val="24"/>
        </w:rPr>
        <w:t xml:space="preserve">605.</w:t>
      </w:r>
      <w:r>
        <w:rPr>
          <w:rFonts w:ascii="Barlow Semi Condensed" w:cs="Barlow Semi Condensed" w:eastAsia="Barlow Semi Condensed" w:hAnsi="Barlow Semi Condensed"/>
          <w:sz w:val="24"/>
          <w:szCs w:val="24"/>
        </w:rPr>
        <w:t xml:space="preserve"> Panorama, «il nodo del 18 aprile» — https://www.panorama.it/sequestro-moro-il-nodo-del-18-aprile-la-storia-e-le-foto (https://www.panorama.it/sequestro-moro-il-nodo-del-18-aprile-la-storia-e-le-foto)</w:t>
      </w:r>
    </w:p>
    <w:p>
      <w:pPr>
        <w:spacing w:after="120" w:line="276"/>
        <w:jc w:val="both"/>
      </w:pPr>
      <w:r>
        <w:rPr>
          <w:rFonts w:ascii="Barlow Semi Condensed" w:cs="Barlow Semi Condensed" w:eastAsia="Barlow Semi Condensed" w:hAnsi="Barlow Semi Condensed"/>
          <w:b/>
          <w:bCs/>
          <w:sz w:val="24"/>
          <w:szCs w:val="24"/>
        </w:rPr>
        <w:t xml:space="preserve">606.</w:t>
      </w:r>
      <w:r>
        <w:rPr>
          <w:rFonts w:ascii="Barlow Semi Condensed" w:cs="Barlow Semi Condensed" w:eastAsia="Barlow Semi Condensed" w:hAnsi="Barlow Semi Condensed"/>
          <w:sz w:val="24"/>
          <w:szCs w:val="24"/>
        </w:rPr>
        <w:t xml:space="preserve"> DIRE — https://www.dire.it/23-06-2021/647553-strage-di-bologna-ricostruiti-i-legami-tra-il-covo-di-via-gradoli-e-i-servizi/ (https://www.dire.it/23-06-2021/647553-strage-di-bologna-ricostruiti-i-legami-tra-il-covo-di-via-gradoli-e-i-servizi/)</w:t>
      </w:r>
    </w:p>
    <w:p>
      <w:pPr>
        <w:spacing w:after="120" w:line="276"/>
        <w:jc w:val="both"/>
      </w:pPr>
      <w:r>
        <w:rPr>
          <w:rFonts w:ascii="Barlow Semi Condensed" w:cs="Barlow Semi Condensed" w:eastAsia="Barlow Semi Condensed" w:hAnsi="Barlow Semi Condensed"/>
          <w:b/>
          <w:bCs/>
          <w:sz w:val="24"/>
          <w:szCs w:val="24"/>
        </w:rPr>
        <w:t xml:space="preserve">607.</w:t>
      </w:r>
      <w:r>
        <w:rPr>
          <w:rFonts w:ascii="Barlow Semi Condensed" w:cs="Barlow Semi Condensed" w:eastAsia="Barlow Semi Condensed" w:hAnsi="Barlow Semi Condensed"/>
          <w:sz w:val="24"/>
          <w:szCs w:val="24"/>
        </w:rPr>
        <w:t xml:space="preserve"> il Resto del Carlino — https://www.ilrestodelcarlino.it/bologna/cronaca/strage-il-covo-di-via-gradoli-e-i-legami-con-i-servizi-segreti-95be7858 (https://www.ilrestodelcarlino.it/bologna/cronaca/strage-il-covo-di-via-gradoli-e-i-legami-con-i-servizi-segreti-95be7858)</w:t>
      </w:r>
    </w:p>
    <w:p>
      <w:pPr>
        <w:spacing w:after="120" w:line="276"/>
        <w:jc w:val="both"/>
      </w:pPr>
      <w:r>
        <w:rPr>
          <w:rFonts w:ascii="Barlow Semi Condensed" w:cs="Barlow Semi Condensed" w:eastAsia="Barlow Semi Condensed" w:hAnsi="Barlow Semi Condensed"/>
          <w:b/>
          <w:bCs/>
          <w:sz w:val="24"/>
          <w:szCs w:val="24"/>
        </w:rPr>
        <w:t xml:space="preserve">608.</w:t>
      </w:r>
      <w:r>
        <w:rPr>
          <w:rFonts w:ascii="Barlow Semi Condensed" w:cs="Barlow Semi Condensed" w:eastAsia="Barlow Semi Condensed" w:hAnsi="Barlow Semi Condensed"/>
          <w:sz w:val="24"/>
          <w:szCs w:val="24"/>
        </w:rPr>
        <w:t xml:space="preserve"> Antimafia Duemila — https://www.antimafiaduemila.com/home/mafie-news/306-giustizia/84509-strage-bologna-in-aula-i-legami-tra-il-covo-di-via-gradoli-e-i-servizi.html (https://www.antimafiaduemila.com/home/mafie-news/306-giustizia/84509-strage-bologna-in-aula-i-legami-tra-il-covo-di-via-gradoli-e-i-servizi.html)</w:t>
      </w:r>
    </w:p>
    <w:p>
      <w:pPr>
        <w:spacing w:after="120" w:line="276"/>
        <w:jc w:val="both"/>
      </w:pPr>
      <w:r>
        <w:rPr>
          <w:rFonts w:ascii="Barlow Semi Condensed" w:cs="Barlow Semi Condensed" w:eastAsia="Barlow Semi Condensed" w:hAnsi="Barlow Semi Condensed"/>
          <w:b/>
          <w:bCs/>
          <w:sz w:val="24"/>
          <w:szCs w:val="24"/>
        </w:rPr>
        <w:t xml:space="preserve">609.</w:t>
      </w:r>
      <w:r>
        <w:rPr>
          <w:rFonts w:ascii="Barlow Semi Condensed" w:cs="Barlow Semi Condensed" w:eastAsia="Barlow Semi Condensed" w:hAnsi="Barlow Semi Condensed"/>
          <w:sz w:val="24"/>
          <w:szCs w:val="24"/>
        </w:rPr>
        <w:t xml:space="preserve"> Faranda, 2021 — https://incronaca.unibo.it/archivio/2021/07/07/adriana-faranda-covi-via-gradoli-del-sisde-non-sapevamo (https://incronaca.unibo.it/archivio/2021/07/07/adriana-faranda-covi-via-gradoli-del-sisde-non-sapevamo)</w:t>
      </w:r>
    </w:p>
    <w:p>
      <w:pPr>
        <w:spacing w:after="120" w:line="276"/>
        <w:jc w:val="both"/>
      </w:pPr>
      <w:r>
        <w:rPr>
          <w:rFonts w:ascii="Barlow Semi Condensed" w:cs="Barlow Semi Condensed" w:eastAsia="Barlow Semi Condensed" w:hAnsi="Barlow Semi Condensed"/>
          <w:b/>
          <w:bCs/>
          <w:sz w:val="24"/>
          <w:szCs w:val="24"/>
        </w:rPr>
        <w:t xml:space="preserve">610.</w:t>
      </w:r>
      <w:r>
        <w:rPr>
          <w:rFonts w:ascii="Barlow Semi Condensed" w:cs="Barlow Semi Condensed" w:eastAsia="Barlow Semi Condensed" w:hAnsi="Barlow Semi Condensed"/>
          <w:sz w:val="24"/>
          <w:szCs w:val="24"/>
        </w:rPr>
        <w:t xml:space="preserve"> Wikipedia, Cesare Curioni — https://it.wikipedia.org/wiki/Cesare_Curioni (https://it.wikipedia.org/wiki/Cesare_Curioni)</w:t>
      </w:r>
    </w:p>
    <w:p>
      <w:pPr>
        <w:spacing w:after="120" w:line="276"/>
        <w:jc w:val="both"/>
      </w:pPr>
      <w:r>
        <w:rPr>
          <w:rFonts w:ascii="Barlow Semi Condensed" w:cs="Barlow Semi Condensed" w:eastAsia="Barlow Semi Condensed" w:hAnsi="Barlow Semi Condensed"/>
          <w:b/>
          <w:bCs/>
          <w:sz w:val="24"/>
          <w:szCs w:val="24"/>
        </w:rPr>
        <w:t xml:space="preserve">611.</w:t>
      </w:r>
      <w:r>
        <w:rPr>
          <w:rFonts w:ascii="Barlow Semi Condensed" w:cs="Barlow Semi Condensed" w:eastAsia="Barlow Semi Condensed" w:hAnsi="Barlow Semi Condensed"/>
          <w:sz w:val="24"/>
          <w:szCs w:val="24"/>
        </w:rPr>
        <w:t xml:space="preserve"> Avvenire, «l'ultimo tentativo del Papa» — https://www.avvenire.it/attualita/luccisione-di-aldo-moro-lultimo-tentativo-del-papa-di-salvarlo_33517 (https://www.avvenire.it/attualita/luccisione-di-aldo-moro-lultimo-tentativo-del-papa-di-salvarlo_33517)</w:t>
      </w:r>
    </w:p>
    <w:p>
      <w:pPr>
        <w:spacing w:after="120" w:line="276"/>
        <w:jc w:val="both"/>
      </w:pPr>
      <w:r>
        <w:rPr>
          <w:rFonts w:ascii="Barlow Semi Condensed" w:cs="Barlow Semi Condensed" w:eastAsia="Barlow Semi Condensed" w:hAnsi="Barlow Semi Condensed"/>
          <w:b/>
          <w:bCs/>
          <w:sz w:val="24"/>
          <w:szCs w:val="24"/>
        </w:rPr>
        <w:t xml:space="preserve">612.</w:t>
      </w:r>
      <w:r>
        <w:rPr>
          <w:rFonts w:ascii="Barlow Semi Condensed" w:cs="Barlow Semi Condensed" w:eastAsia="Barlow Semi Condensed" w:hAnsi="Barlow Semi Condensed"/>
          <w:sz w:val="24"/>
          <w:szCs w:val="24"/>
        </w:rPr>
        <w:t xml:space="preserve"> Filodiritto — https://www.filodiritto.com/aldo-moro-e-il-riscatto-della-santa-sede (https://www.filodiritto.com/aldo-moro-e-il-riscatto-della-santa-sede)</w:t>
      </w:r>
    </w:p>
    <w:p>
      <w:pPr>
        <w:spacing w:after="120" w:line="276"/>
        <w:jc w:val="both"/>
      </w:pPr>
      <w:r>
        <w:rPr>
          <w:rFonts w:ascii="Barlow Semi Condensed" w:cs="Barlow Semi Condensed" w:eastAsia="Barlow Semi Condensed" w:hAnsi="Barlow Semi Condensed"/>
          <w:b/>
          <w:bCs/>
          <w:sz w:val="24"/>
          <w:szCs w:val="24"/>
        </w:rPr>
        <w:t xml:space="preserve">613.</w:t>
      </w:r>
      <w:r>
        <w:rPr>
          <w:rFonts w:ascii="Barlow Semi Condensed" w:cs="Barlow Semi Condensed" w:eastAsia="Barlow Semi Condensed" w:hAnsi="Barlow Semi Condensed"/>
          <w:sz w:val="24"/>
          <w:szCs w:val="24"/>
        </w:rPr>
        <w:t xml:space="preserve"> ANSA — https://www.ansa.it/sito/notizie/speciali/2018/03/15/aldo-moro-paolo-vi-e-il-mistero-dei-10-miliardi-di-lire-per-il-riscatto_159ad438-a8df-474d-a762-cbd416e06064.html (https://www.ansa.it/sito/notizie/speciali/2018/03/15/aldo-moro-paolo-vi-e-il-mistero-dei-10-miliardi-di-lire-per-il-riscatto_159ad438-a8df-474d-a762-cbd416e06064.html)</w:t>
      </w:r>
    </w:p>
    <w:p>
      <w:pPr>
        <w:spacing w:after="120" w:line="276"/>
        <w:jc w:val="both"/>
      </w:pPr>
      <w:r>
        <w:rPr>
          <w:rFonts w:ascii="Barlow Semi Condensed" w:cs="Barlow Semi Condensed" w:eastAsia="Barlow Semi Condensed" w:hAnsi="Barlow Semi Condensed"/>
          <w:b/>
          <w:bCs/>
          <w:sz w:val="24"/>
          <w:szCs w:val="24"/>
        </w:rPr>
        <w:t xml:space="preserve">614.</w:t>
      </w:r>
      <w:r>
        <w:rPr>
          <w:rFonts w:ascii="Barlow Semi Condensed" w:cs="Barlow Semi Condensed" w:eastAsia="Barlow Semi Condensed" w:hAnsi="Barlow Semi Condensed"/>
          <w:sz w:val="24"/>
          <w:szCs w:val="24"/>
        </w:rPr>
        <w:t xml:space="preserve"> testo ufficiale, vatican.va — https://www.vatican.va/content/paul-vi/it/letters/1978/documents/hf_p-vi_let_19780422_brigate-rosse.html (https://www.vatican.va/content/paul-vi/it/letters/1978/documents/hf_p-vi_let_19780422_brigate-rosse.html)</w:t>
      </w:r>
    </w:p>
    <w:p>
      <w:pPr>
        <w:spacing w:after="120" w:line="276"/>
        <w:jc w:val="both"/>
      </w:pPr>
      <w:r>
        <w:rPr>
          <w:rFonts w:ascii="Barlow Semi Condensed" w:cs="Barlow Semi Condensed" w:eastAsia="Barlow Semi Condensed" w:hAnsi="Barlow Semi Condensed"/>
          <w:b/>
          <w:bCs/>
          <w:sz w:val="24"/>
          <w:szCs w:val="24"/>
        </w:rPr>
        <w:t xml:space="preserve">615.</w:t>
      </w:r>
      <w:r>
        <w:rPr>
          <w:rFonts w:ascii="Barlow Semi Condensed" w:cs="Barlow Semi Condensed" w:eastAsia="Barlow Semi Condensed" w:hAnsi="Barlow Semi Condensed"/>
          <w:sz w:val="24"/>
          <w:szCs w:val="24"/>
        </w:rPr>
        <w:t xml:space="preserve"> Vatican News — https://www.vaticannews.va/it/papa/news/2018-03/paolo-vi-aldo-moro-.html (https://www.vaticannews.va/it/papa/news/2018-03/paolo-vi-aldo-moro-.html)</w:t>
      </w:r>
    </w:p>
    <w:p>
      <w:pPr>
        <w:spacing w:after="120" w:line="276"/>
        <w:jc w:val="both"/>
      </w:pPr>
      <w:r>
        <w:rPr>
          <w:rFonts w:ascii="Barlow Semi Condensed" w:cs="Barlow Semi Condensed" w:eastAsia="Barlow Semi Condensed" w:hAnsi="Barlow Semi Condensed"/>
          <w:b/>
          <w:bCs/>
          <w:sz w:val="24"/>
          <w:szCs w:val="24"/>
        </w:rPr>
        <w:t xml:space="preserve">616.</w:t>
      </w:r>
      <w:r>
        <w:rPr>
          <w:rFonts w:ascii="Barlow Semi Condensed" w:cs="Barlow Semi Condensed" w:eastAsia="Barlow Semi Condensed" w:hAnsi="Barlow Semi Condensed"/>
          <w:sz w:val="24"/>
          <w:szCs w:val="24"/>
        </w:rPr>
        <w:t xml:space="preserve"> ANSA, «la correzione» — https://www.ansa.it/sito/notizie/cronaca/2018/04/14/caso-moro-la-lettera-del-papa-alle-br-e-la-correzione-del-don-_01684126-bbff-40a7-84d6-ed37a900374d.html (https://www.ansa.it/sito/notizie/cronaca/2018/04/14/caso-moro-la-lettera-del-papa-alle-br-e-la-correzione-del-don-_01684126-bbff-40a7-84d6-ed37a900374d.html)</w:t>
      </w:r>
    </w:p>
    <w:p>
      <w:pPr>
        <w:spacing w:after="120" w:line="276"/>
        <w:jc w:val="both"/>
      </w:pPr>
      <w:r>
        <w:rPr>
          <w:rFonts w:ascii="Barlow Semi Condensed" w:cs="Barlow Semi Condensed" w:eastAsia="Barlow Semi Condensed" w:hAnsi="Barlow Semi Condensed"/>
          <w:b/>
          <w:bCs/>
          <w:sz w:val="24"/>
          <w:szCs w:val="24"/>
        </w:rPr>
        <w:t xml:space="preserve">617.</w:t>
      </w:r>
      <w:r>
        <w:rPr>
          <w:rFonts w:ascii="Barlow Semi Condensed" w:cs="Barlow Semi Condensed" w:eastAsia="Barlow Semi Condensed" w:hAnsi="Barlow Semi Condensed"/>
          <w:sz w:val="24"/>
          <w:szCs w:val="24"/>
        </w:rPr>
        <w:t xml:space="preserve"> ACI Stampa — https://www.acistampa.com/story/paolo-vi-aldo-moro-e-la-lettera-alle-brigate-rosse-9198 (https://www.acistampa.com/story/paolo-vi-aldo-moro-e-la-lettera-alle-brigate-rosse-9198)</w:t>
      </w:r>
    </w:p>
    <w:p>
      <w:pPr>
        <w:spacing w:after="120" w:line="276"/>
        <w:jc w:val="both"/>
      </w:pPr>
      <w:r>
        <w:rPr>
          <w:rFonts w:ascii="Barlow Semi Condensed" w:cs="Barlow Semi Condensed" w:eastAsia="Barlow Semi Condensed" w:hAnsi="Barlow Semi Condensed"/>
          <w:b/>
          <w:bCs/>
          <w:sz w:val="24"/>
          <w:szCs w:val="24"/>
        </w:rPr>
        <w:t xml:space="preserve">618.</w:t>
      </w:r>
      <w:r>
        <w:rPr>
          <w:rFonts w:ascii="Barlow Semi Condensed" w:cs="Barlow Semi Condensed" w:eastAsia="Barlow Semi Condensed" w:hAnsi="Barlow Semi Condensed"/>
          <w:sz w:val="24"/>
          <w:szCs w:val="24"/>
        </w:rPr>
        <w:t xml:space="preserve"> NARA, CFPF 1973-1979 — https://www.archives.gov/research/foreign-policy/state-dept/rg-59-central-files/1973-1979 (https://www.archives.gov/research/foreign-policy/state-dept/rg-59-central-files/1973-1979)</w:t>
      </w:r>
    </w:p>
    <w:p>
      <w:pPr>
        <w:spacing w:after="120" w:line="276"/>
        <w:jc w:val="both"/>
      </w:pPr>
      <w:r>
        <w:rPr>
          <w:rFonts w:ascii="Barlow Semi Condensed" w:cs="Barlow Semi Condensed" w:eastAsia="Barlow Semi Condensed" w:hAnsi="Barlow Semi Condensed"/>
          <w:b/>
          <w:bCs/>
          <w:sz w:val="24"/>
          <w:szCs w:val="24"/>
        </w:rPr>
        <w:t xml:space="preserve">619.</w:t>
      </w:r>
      <w:r>
        <w:rPr>
          <w:rFonts w:ascii="Barlow Semi Condensed" w:cs="Barlow Semi Condensed" w:eastAsia="Barlow Semi Condensed" w:hAnsi="Barlow Semi Condensed"/>
          <w:sz w:val="24"/>
          <w:szCs w:val="24"/>
        </w:rPr>
        <w:t xml:space="preserve"> serie AAD — https://aad.archives.gov/aad/series-description.jsp?s=4073 (https://aad.archives.gov/aad/series-description.jsp?s=4073)</w:t>
      </w:r>
    </w:p>
    <w:p>
      <w:pPr>
        <w:spacing w:after="120" w:line="276"/>
        <w:jc w:val="both"/>
      </w:pPr>
      <w:r>
        <w:rPr>
          <w:rFonts w:ascii="Barlow Semi Condensed" w:cs="Barlow Semi Condensed" w:eastAsia="Barlow Semi Condensed" w:hAnsi="Barlow Semi Condensed"/>
          <w:b/>
          <w:bCs/>
          <w:sz w:val="24"/>
          <w:szCs w:val="24"/>
        </w:rPr>
        <w:t xml:space="preserve">620.</w:t>
      </w:r>
      <w:r>
        <w:rPr>
          <w:rFonts w:ascii="Barlow Semi Condensed" w:cs="Barlow Semi Condensed" w:eastAsia="Barlow Semi Condensed" w:hAnsi="Barlow Semi Condensed"/>
          <w:sz w:val="24"/>
          <w:szCs w:val="24"/>
        </w:rPr>
        <w:t xml:space="preserve"> AAD, ricerca dedicata — https://aad.archives.gov/aad/fielded-search.jsp?dt=2695&amp;tf=X (https://aad.archives.gov/aad/fielded-search.jsp?dt=2695&amp;tf=X)</w:t>
      </w:r>
    </w:p>
    <w:p>
      <w:pPr>
        <w:spacing w:after="120" w:line="276"/>
        <w:jc w:val="both"/>
      </w:pPr>
      <w:r>
        <w:rPr>
          <w:rFonts w:ascii="Barlow Semi Condensed" w:cs="Barlow Semi Condensed" w:eastAsia="Barlow Semi Condensed" w:hAnsi="Barlow Semi Condensed"/>
          <w:b/>
          <w:bCs/>
          <w:sz w:val="24"/>
          <w:szCs w:val="24"/>
        </w:rPr>
        <w:t xml:space="preserve">621.</w:t>
      </w:r>
      <w:r>
        <w:rPr>
          <w:rFonts w:ascii="Barlow Semi Condensed" w:cs="Barlow Semi Condensed" w:eastAsia="Barlow Semi Condensed" w:hAnsi="Barlow Semi Condensed"/>
          <w:sz w:val="24"/>
          <w:szCs w:val="24"/>
        </w:rPr>
        <w:t xml:space="preserve"> foia.state.gov — https://foia.state.gov/FOIALIBRARY/FOIALIB2.aspx (https://foia.state.gov/FOIALIBRARY/FOIALIB2.aspx)</w:t>
      </w:r>
    </w:p>
    <w:p>
      <w:pPr>
        <w:spacing w:after="120" w:line="276"/>
        <w:jc w:val="both"/>
      </w:pPr>
      <w:r>
        <w:rPr>
          <w:rFonts w:ascii="Barlow Semi Condensed" w:cs="Barlow Semi Condensed" w:eastAsia="Barlow Semi Condensed" w:hAnsi="Barlow Semi Condensed"/>
          <w:b/>
          <w:bCs/>
          <w:sz w:val="24"/>
          <w:szCs w:val="24"/>
        </w:rPr>
        <w:t xml:space="preserve">622.</w:t>
      </w:r>
      <w:r>
        <w:rPr>
          <w:rFonts w:ascii="Barlow Semi Condensed" w:cs="Barlow Semi Condensed" w:eastAsia="Barlow Semi Condensed" w:hAnsi="Barlow Semi Condensed"/>
          <w:sz w:val="24"/>
          <w:szCs w:val="24"/>
        </w:rPr>
        <w:t xml:space="preserve"> attualita.it — https://www.attualita.it/notizie/politica/nuove-verita-sul-caso-moro-35911/ (https://www.attualita.it/notizie/politica/nuove-verita-sul-caso-moro-35911/)</w:t>
      </w:r>
    </w:p>
    <w:p>
      <w:pPr>
        <w:spacing w:after="120" w:line="276"/>
        <w:jc w:val="both"/>
      </w:pPr>
      <w:r>
        <w:rPr>
          <w:rFonts w:ascii="Barlow Semi Condensed" w:cs="Barlow Semi Condensed" w:eastAsia="Barlow Semi Condensed" w:hAnsi="Barlow Semi Condensed"/>
          <w:b/>
          <w:bCs/>
          <w:sz w:val="24"/>
          <w:szCs w:val="24"/>
        </w:rPr>
        <w:t xml:space="preserve">623.</w:t>
      </w:r>
      <w:r>
        <w:rPr>
          <w:rFonts w:ascii="Barlow Semi Condensed" w:cs="Barlow Semi Condensed" w:eastAsia="Barlow Semi Condensed" w:hAnsi="Barlow Semi Condensed"/>
          <w:sz w:val="24"/>
          <w:szCs w:val="24"/>
        </w:rPr>
        <w:t xml:space="preserve"> Wikipedia, Cronaca del sequestro Moro — https://it.wikipedia.org/wiki/Cronaca_del_sequestro_Moro (https://it.wikipedia.org/wiki/Cronaca_del_sequestro_Moro)</w:t>
      </w:r>
    </w:p>
    <w:p>
      <w:pPr>
        <w:spacing w:after="120" w:line="276"/>
        <w:jc w:val="both"/>
      </w:pPr>
      <w:r>
        <w:rPr>
          <w:rFonts w:ascii="Barlow Semi Condensed" w:cs="Barlow Semi Condensed" w:eastAsia="Barlow Semi Condensed" w:hAnsi="Barlow Semi Condensed"/>
          <w:b/>
          <w:bCs/>
          <w:sz w:val="24"/>
          <w:szCs w:val="24"/>
        </w:rPr>
        <w:t xml:space="preserve">624.</w:t>
      </w:r>
      <w:r>
        <w:rPr>
          <w:rFonts w:ascii="Barlow Semi Condensed" w:cs="Barlow Semi Condensed" w:eastAsia="Barlow Semi Condensed" w:hAnsi="Barlow Semi Condensed"/>
          <w:sz w:val="24"/>
          <w:szCs w:val="24"/>
        </w:rPr>
        <w:t xml:space="preserve"> Panorama — https://www.panorama.it/sequestro-moro-perche-le-prime-ricerche-fallirono (https://www.panorama.it/sequestro-moro-perche-le-prime-ricerche-fallirono)</w:t>
      </w:r>
    </w:p>
    <w:p>
      <w:pPr>
        <w:spacing w:after="120" w:line="276"/>
        <w:jc w:val="both"/>
      </w:pPr>
      <w:r>
        <w:rPr>
          <w:rFonts w:ascii="Barlow Semi Condensed" w:cs="Barlow Semi Condensed" w:eastAsia="Barlow Semi Condensed" w:hAnsi="Barlow Semi Condensed"/>
          <w:b/>
          <w:bCs/>
          <w:sz w:val="24"/>
          <w:szCs w:val="24"/>
        </w:rPr>
        <w:t xml:space="preserve">625.</w:t>
      </w:r>
      <w:r>
        <w:rPr>
          <w:rFonts w:ascii="Barlow Semi Condensed" w:cs="Barlow Semi Condensed" w:eastAsia="Barlow Semi Condensed" w:hAnsi="Barlow Semi Condensed"/>
          <w:sz w:val="24"/>
          <w:szCs w:val="24"/>
        </w:rPr>
        <w:t xml:space="preserve"> SEDICidiMARZO, «L'enigma di via Montalcini 8» — http://www.sedicidimarzo.org/2018/01/lenigma-di-via-montalcini-8.html (http://www.sedicidimarzo.org/2018/01/lenigma-di-via-montalcini-8.html)</w:t>
      </w:r>
    </w:p>
    <w:p>
      <w:pPr>
        <w:spacing w:after="120" w:line="276"/>
        <w:jc w:val="both"/>
      </w:pPr>
      <w:r>
        <w:rPr>
          <w:rFonts w:ascii="Barlow Semi Condensed" w:cs="Barlow Semi Condensed" w:eastAsia="Barlow Semi Condensed" w:hAnsi="Barlow Semi Condensed"/>
          <w:b/>
          <w:bCs/>
          <w:sz w:val="24"/>
          <w:szCs w:val="24"/>
        </w:rPr>
        <w:t xml:space="preserve">626.</w:t>
      </w:r>
      <w:r>
        <w:rPr>
          <w:rFonts w:ascii="Barlow Semi Condensed" w:cs="Barlow Semi Condensed" w:eastAsia="Barlow Semi Condensed" w:hAnsi="Barlow Semi Condensed"/>
          <w:sz w:val="24"/>
          <w:szCs w:val="24"/>
        </w:rPr>
        <w:t xml:space="preserve"> seconda parte — http://www.sedicidimarzo.org/2018/01/lenigma-di-via-montalcini-8-seconda.html (http://www.sedicidimarzo.org/2018/01/lenigma-di-via-montalcini-8-seconda.html)</w:t>
      </w:r>
    </w:p>
    <w:p>
      <w:pPr>
        <w:pStyle w:val="Heading3"/>
        <w:spacing w:after="80" w:before="160"/>
      </w:pPr>
      <w:r>
        <w:rPr>
          <w:rFonts w:ascii="Barlow Semi Condensed" w:cs="Barlow Semi Condensed" w:eastAsia="Barlow Semi Condensed" w:hAnsi="Barlow Semi Condensed"/>
          <w:sz w:val="24"/>
          <w:szCs w:val="24"/>
        </w:rPr>
        <w:t xml:space="preserve">Libro tredicesimo · IV — Il manuale (400 blocchi)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tredicesimo · V — L'agenda di ricerca (300 blocchi)</w:t>
      </w:r>
    </w:p>
    <w:p>
      <w:pPr>
        <w:spacing w:after="120" w:line="276"/>
        <w:jc w:val="both"/>
      </w:pPr>
      <w:r>
        <w:rPr>
          <w:rFonts w:ascii="Barlow Semi Condensed" w:cs="Barlow Semi Condensed" w:eastAsia="Barlow Semi Condensed" w:hAnsi="Barlow Semi Condensed"/>
          <w:b/>
          <w:bCs/>
          <w:sz w:val="24"/>
          <w:szCs w:val="24"/>
        </w:rPr>
        <w:t xml:space="preserve">627.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acs.cultura.gov.it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628.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archivioflamigni.org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12 volte)</w:t>
      </w:r>
    </w:p>
    <w:p>
      <w:pPr>
        <w:spacing w:after="120" w:line="276"/>
        <w:jc w:val="both"/>
      </w:pPr>
      <w:r>
        <w:rPr>
          <w:rFonts w:ascii="Barlow Semi Condensed" w:cs="Barlow Semi Condensed" w:eastAsia="Barlow Semi Condensed" w:hAnsi="Barlow Semi Condensed"/>
          <w:b/>
          <w:bCs/>
          <w:sz w:val="24"/>
          <w:szCs w:val="24"/>
        </w:rPr>
        <w:t xml:space="preserve">629.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archivio.camera.it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630.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inchieste.camera.it/moro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631.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archives.gov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632.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aad.archives.gov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633.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foia.state.gov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5 volte)</w:t>
      </w:r>
    </w:p>
    <w:p>
      <w:pPr>
        <w:spacing w:after="120" w:line="276"/>
        <w:jc w:val="both"/>
      </w:pPr>
      <w:r>
        <w:rPr>
          <w:rFonts w:ascii="Barlow Semi Condensed" w:cs="Barlow Semi Condensed" w:eastAsia="Barlow Semi Condensed" w:hAnsi="Barlow Semi Condensed"/>
          <w:b/>
          <w:bCs/>
          <w:sz w:val="24"/>
          <w:szCs w:val="24"/>
        </w:rPr>
        <w:t xml:space="preserve">634.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cia.gov/readingroom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635.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jimmycarterlibrary.gov</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636.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search.acs.beniculturali.it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Libro tredicesimo · VI — I nove cantieri (1.000 blocchi)</w:t>
      </w:r>
    </w:p>
    <w:p>
      <w:pPr>
        <w:spacing w:after="120" w:line="276"/>
        <w:jc w:val="both"/>
      </w:pPr>
      <w:r>
        <w:rPr>
          <w:rFonts w:ascii="Barlow Semi Condensed" w:cs="Barlow Semi Condensed" w:eastAsia="Barlow Semi Condensed" w:hAnsi="Barlow Semi Condensed"/>
          <w:b/>
          <w:bCs/>
          <w:sz w:val="24"/>
          <w:szCs w:val="24"/>
        </w:rPr>
        <w:t xml:space="preserve">637.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inchieste.camera.it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pStyle w:val="Heading3"/>
        <w:spacing w:after="80" w:before="160"/>
      </w:pPr>
      <w:r>
        <w:rPr>
          <w:rFonts w:ascii="Barlow Semi Condensed" w:cs="Barlow Semi Condensed" w:eastAsia="Barlow Semi Condensed" w:hAnsi="Barlow Semi Condensed"/>
          <w:sz w:val="24"/>
          <w:szCs w:val="24"/>
        </w:rPr>
        <w:t xml:space="preserve">Libro tredicesimo · VII — Il codice e la sua trasmissione (4.999 blocchi)</w:t>
      </w:r>
    </w:p>
    <w:p>
      <w:pPr>
        <w:spacing w:after="120" w:line="276"/>
        <w:jc w:val="both"/>
      </w:pPr>
      <w:r>
        <w:rPr>
          <w:rFonts w:ascii="Barlow Semi Condensed" w:cs="Barlow Semi Condensed" w:eastAsia="Barlow Semi Condensed" w:hAnsi="Barlow Semi Condensed"/>
          <w:b/>
          <w:bCs/>
          <w:sz w:val="24"/>
          <w:szCs w:val="24"/>
        </w:rPr>
        <w:t xml:space="preserve">638.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translatingcuba.com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Libro quattordicesimo — Il meridiano e la valle (1.000 blocchi)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quindicesimo — Il Registro dei cinquantacinque giorni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sedicesimo · I — Il fascicolo della custodia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sedicesimo · II — La matrice della custodia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sedicesimo · III — Il quesito della sabbia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sedicesimo · IV — La matrice di via Fani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Libro sedicesimo · V — La matrice delle omissioni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 — L'apparato dei gradi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II — Il pastiche dichiarato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III — Verifica di un elenco esterno</w:t>
      </w:r>
    </w:p>
    <w:p>
      <w:pPr>
        <w:spacing w:after="120" w:line="276"/>
        <w:jc w:val="both"/>
      </w:pPr>
      <w:r>
        <w:rPr>
          <w:rFonts w:ascii="Barlow Semi Condensed" w:cs="Barlow Semi Condensed" w:eastAsia="Barlow Semi Condensed" w:hAnsi="Barlow Semi Condensed"/>
          <w:b/>
          <w:bCs/>
          <w:sz w:val="24"/>
          <w:szCs w:val="24"/>
        </w:rPr>
        <w:t xml:space="preserve">639.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it.wikisource.org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640.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archivioantimafia.org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11 volte)</w:t>
      </w:r>
    </w:p>
    <w:p>
      <w:pPr>
        <w:spacing w:after="120" w:line="276"/>
        <w:jc w:val="both"/>
      </w:pPr>
      <w:r>
        <w:rPr>
          <w:rFonts w:ascii="Barlow Semi Condensed" w:cs="Barlow Semi Condensed" w:eastAsia="Barlow Semi Condensed" w:hAnsi="Barlow Semi Condensed"/>
          <w:b/>
          <w:bCs/>
          <w:sz w:val="24"/>
          <w:szCs w:val="24"/>
        </w:rPr>
        <w:t xml:space="preserve">641.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it.wikipedia.org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37 volte)</w:t>
      </w:r>
    </w:p>
    <w:p>
      <w:pPr>
        <w:pStyle w:val="Heading3"/>
        <w:spacing w:after="80" w:before="160"/>
      </w:pPr>
      <w:r>
        <w:rPr>
          <w:rFonts w:ascii="Barlow Semi Condensed" w:cs="Barlow Semi Condensed" w:eastAsia="Barlow Semi Condensed" w:hAnsi="Barlow Semi Condensed"/>
          <w:sz w:val="24"/>
          <w:szCs w:val="24"/>
        </w:rPr>
        <w:t xml:space="preserve">Appendice IV.i — L'apparato di navigazione — La guida alla lettura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IV.ii — L'apparato di navigazione — L'indice dei documenti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IV.iii — Il dossier di invio — La mappa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IV.iv — Il dossier di invio — La scheda dell'opera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IV.v — Il dossier di invio — Il capitolo campione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IV.vi — Il dossier di invio — La mappa dei destinatari</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Appendice IV.vii — Il dossier di invio — Il registro dei canali e delle PEC</w:t>
      </w:r>
    </w:p>
    <w:p>
      <w:pPr>
        <w:spacing w:after="120" w:line="276"/>
        <w:jc w:val="both"/>
      </w:pPr>
      <w:r>
        <w:rPr>
          <w:rFonts w:ascii="Barlow Semi Condensed" w:cs="Barlow Semi Condensed" w:eastAsia="Barlow Semi Condensed" w:hAnsi="Barlow Semi Condensed"/>
          <w:b/>
          <w:bCs/>
          <w:sz w:val="24"/>
          <w:szCs w:val="24"/>
        </w:rPr>
        <w:t xml:space="preserve">642.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inchieste.camera.it/p2/documenti.html?leg=09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5 volte)</w:t>
      </w:r>
    </w:p>
    <w:p>
      <w:pPr>
        <w:spacing w:after="120" w:line="276"/>
        <w:jc w:val="both"/>
      </w:pPr>
      <w:r>
        <w:rPr>
          <w:rFonts w:ascii="Barlow Semi Condensed" w:cs="Barlow Semi Condensed" w:eastAsia="Barlow Semi Condensed" w:hAnsi="Barlow Semi Condensed"/>
          <w:b/>
          <w:bCs/>
          <w:sz w:val="24"/>
          <w:szCs w:val="24"/>
        </w:rPr>
        <w:t xml:space="preserve">643.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archivioantimafia.org/p2/commissione_parlamentare/</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644.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memoria.san.beniculturali.it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645.</w:t>
      </w:r>
      <w:r>
        <w:rPr>
          <w:rFonts w:ascii="Barlow Semi Condensed" w:cs="Barlow Semi Condensed" w:eastAsia="Barlow Semi Condensed" w:hAnsi="Barlow Semi Condensed"/>
          <w:sz w:val="24"/>
          <w:szCs w:val="24"/>
        </w:rPr>
        <w:t xml:space="preserve"> zenodo.org (https://zenodo.org) </w:t>
      </w:r>
      <w:r>
        <w:rPr>
          <w:rFonts w:ascii="Barlow Semi Condensed" w:cs="Barlow Semi Condensed" w:eastAsia="Barlow Semi Condensed" w:hAnsi="Barlow Semi Condensed"/>
          <w:i/>
          <w:iCs/>
          <w:sz w:val="24"/>
          <w:szCs w:val="24"/>
        </w:rPr>
        <w:t xml:space="preserve">(citato 2 volte)</w:t>
      </w:r>
    </w:p>
    <w:p>
      <w:pPr>
        <w:spacing w:after="120" w:line="276"/>
        <w:jc w:val="both"/>
      </w:pPr>
      <w:r>
        <w:rPr>
          <w:rFonts w:ascii="Barlow Semi Condensed" w:cs="Barlow Semi Condensed" w:eastAsia="Barlow Semi Condensed" w:hAnsi="Barlow Semi Condensed"/>
          <w:b/>
          <w:bCs/>
          <w:sz w:val="24"/>
          <w:szCs w:val="24"/>
        </w:rPr>
        <w:t xml:space="preserve">646.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manoscritti.bompiani.it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pStyle w:val="Heading3"/>
        <w:spacing w:after="80" w:before="160"/>
      </w:pPr>
      <w:r>
        <w:rPr>
          <w:rFonts w:ascii="Barlow Semi Condensed" w:cs="Barlow Semi Condensed" w:eastAsia="Barlow Semi Condensed" w:hAnsi="Barlow Semi Condensed"/>
          <w:sz w:val="24"/>
          <w:szCs w:val="24"/>
        </w:rPr>
        <w:t xml:space="preserve">Appendice IV.viii — Il dossier di invio — La checklist di invio</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Appendice IV.ix — Il dossier di invio — Il curriculum, modello da compilare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IV.x — Il dossier di invio — Lettera alla Fondazione Aldo Moro</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IV.xi — Il dossier di invio — PEC all'Archivio Flamigni</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Appendice IV.xii — Il dossier di invio — Relazione al Centro Flamigni</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Appendice IV.xiii — Il dossier di invio — Proposta all'editrice Laterza</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IV.xiv — Il dossier di invio — Proposte a il Mulino, Carocci, Einaudi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IV.xv — Il dossier di invio — Proposte a Chiarelettere e Bompiani</w:t>
      </w:r>
    </w:p>
    <w:p>
      <w:pPr>
        <w:spacing w:after="120" w:line="276"/>
        <w:jc w:val="both"/>
      </w:pPr>
      <w:r>
        <w:rPr>
          <w:rFonts w:ascii="Barlow Semi Condensed" w:cs="Barlow Semi Condensed" w:eastAsia="Barlow Semi Condensed" w:hAnsi="Barlow Semi Condensed"/>
          <w:i/>
          <w:iCs/>
          <w:sz w:val="24"/>
          <w:szCs w:val="24"/>
        </w:rPr>
        <w:t xml:space="preserve">Gli indirizzi citati in questo capitolo compaiono tutti in capitoli precedenti: nessuna nota nuova.</w:t>
      </w:r>
    </w:p>
    <w:p>
      <w:pPr>
        <w:pStyle w:val="Heading3"/>
        <w:spacing w:after="80" w:before="160"/>
      </w:pPr>
      <w:r>
        <w:rPr>
          <w:rFonts w:ascii="Barlow Semi Condensed" w:cs="Barlow Semi Condensed" w:eastAsia="Barlow Semi Condensed" w:hAnsi="Barlow Semi Condensed"/>
          <w:sz w:val="24"/>
          <w:szCs w:val="24"/>
        </w:rPr>
        <w:t xml:space="preserve">Appendice IV.xvi — Il dossier di invio — Il deposito Zenodo, foglio operativo</w:t>
      </w:r>
    </w:p>
    <w:p>
      <w:pPr>
        <w:spacing w:after="120" w:line="276"/>
        <w:jc w:val="both"/>
      </w:pPr>
      <w:r>
        <w:rPr>
          <w:rFonts w:ascii="Barlow Semi Condensed" w:cs="Barlow Semi Condensed" w:eastAsia="Barlow Semi Condensed" w:hAnsi="Barlow Semi Condensed"/>
          <w:b/>
          <w:bCs/>
          <w:sz w:val="24"/>
          <w:szCs w:val="24"/>
        </w:rPr>
        <w:t xml:space="preserve">647.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orcid.org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pStyle w:val="Heading3"/>
        <w:spacing w:after="80" w:before="160"/>
      </w:pPr>
      <w:r>
        <w:rPr>
          <w:rFonts w:ascii="Barlow Semi Condensed" w:cs="Barlow Semi Condensed" w:eastAsia="Barlow Semi Condensed" w:hAnsi="Barlow Semi Condensed"/>
          <w:sz w:val="24"/>
          <w:szCs w:val="24"/>
        </w:rPr>
        <w:t xml:space="preserve">Appendice IV.xvii — Il dossier di invio — La richiesta all'Archivio storico della Camera</w:t>
      </w:r>
    </w:p>
    <w:p>
      <w:pPr>
        <w:spacing w:after="120" w:line="276"/>
        <w:jc w:val="both"/>
      </w:pPr>
      <w:r>
        <w:rPr>
          <w:rFonts w:ascii="Barlow Semi Condensed" w:cs="Barlow Semi Condensed" w:eastAsia="Barlow Semi Condensed" w:hAnsi="Barlow Semi Condensed"/>
          <w:b/>
          <w:bCs/>
          <w:sz w:val="24"/>
          <w:szCs w:val="24"/>
        </w:rPr>
        <w:t xml:space="preserve">648.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siusa-archivi.cultura.gov.it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649.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wikisource.org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spacing w:after="120" w:line="276"/>
        <w:jc w:val="both"/>
      </w:pPr>
      <w:r>
        <w:rPr>
          <w:rFonts w:ascii="Barlow Semi Condensed" w:cs="Barlow Semi Condensed" w:eastAsia="Barlow Semi Condensed" w:hAnsi="Barlow Semi Condensed"/>
          <w:b/>
          <w:bCs/>
          <w:sz w:val="24"/>
          <w:szCs w:val="24"/>
        </w:rPr>
        <w:t xml:space="preserve">650.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archivioflamigni.org/doc/indice-atti-commissione-p2.pdf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pStyle w:val="Heading3"/>
        <w:spacing w:after="80" w:before="160"/>
      </w:pPr>
      <w:r>
        <w:rPr>
          <w:rFonts w:ascii="Barlow Semi Condensed" w:cs="Barlow Semi Condensed" w:eastAsia="Barlow Semi Condensed" w:hAnsi="Barlow Semi Condensed"/>
          <w:sz w:val="24"/>
          <w:szCs w:val="24"/>
        </w:rPr>
        <w:t xml:space="preserve">Appendice IV.xviii — Il dossier di invio — La PEC unica formale</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IV.xix — Il dossier di invio — La PEC di presentazione per le case editrici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Style w:val="Heading3"/>
        <w:spacing w:after="80" w:before="160"/>
      </w:pPr>
      <w:r>
        <w:rPr>
          <w:rFonts w:ascii="Barlow Semi Condensed" w:cs="Barlow Semi Condensed" w:eastAsia="Barlow Semi Condensed" w:hAnsi="Barlow Semi Condensed"/>
          <w:sz w:val="24"/>
          <w:szCs w:val="24"/>
        </w:rPr>
        <w:t xml:space="preserve">Appendice V.i — L'apparato della verifica — La certificazione dei numeri P2</w:t>
      </w:r>
    </w:p>
    <w:p>
      <w:pPr>
        <w:spacing w:after="120" w:line="276"/>
        <w:jc w:val="both"/>
      </w:pPr>
      <w:r>
        <w:rPr>
          <w:rFonts w:ascii="Barlow Semi Condensed" w:cs="Barlow Semi Condensed" w:eastAsia="Barlow Semi Condensed" w:hAnsi="Barlow Semi Condensed"/>
          <w:b/>
          <w:bCs/>
          <w:sz w:val="24"/>
          <w:szCs w:val="24"/>
        </w:rPr>
        <w:t xml:space="preserve">651.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archive.org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652.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girodivite.it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26 volte)</w:t>
      </w:r>
    </w:p>
    <w:p>
      <w:pPr>
        <w:spacing w:after="120" w:line="276"/>
        <w:jc w:val="both"/>
      </w:pPr>
      <w:r>
        <w:rPr>
          <w:rFonts w:ascii="Barlow Semi Condensed" w:cs="Barlow Semi Condensed" w:eastAsia="Barlow Semi Condensed" w:hAnsi="Barlow Semi Condensed"/>
          <w:b/>
          <w:bCs/>
          <w:sz w:val="24"/>
          <w:szCs w:val="24"/>
        </w:rPr>
        <w:t xml:space="preserve">653.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altervista.org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654.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girodivite.it/IMG/pdf/elenco_p2.pdf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655.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archivio900.it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16 volte)</w:t>
      </w:r>
    </w:p>
    <w:p>
      <w:pPr>
        <w:pStyle w:val="Heading3"/>
        <w:spacing w:after="80" w:before="160"/>
      </w:pPr>
      <w:r>
        <w:rPr>
          <w:rFonts w:ascii="Barlow Semi Condensed" w:cs="Barlow Semi Condensed" w:eastAsia="Barlow Semi Condensed" w:hAnsi="Barlow Semi Condensed"/>
          <w:sz w:val="24"/>
          <w:szCs w:val="24"/>
        </w:rPr>
        <w:t xml:space="preserve">Appendice V.ii — L'apparato della verifica — La relazione della campagna</w:t>
      </w:r>
    </w:p>
    <w:p>
      <w:pPr>
        <w:spacing w:after="120" w:line="276"/>
        <w:jc w:val="both"/>
      </w:pPr>
      <w:r>
        <w:rPr>
          <w:rFonts w:ascii="Barlow Semi Condensed" w:cs="Barlow Semi Condensed" w:eastAsia="Barlow Semi Condensed" w:hAnsi="Barlow Semi Condensed"/>
          <w:b/>
          <w:bCs/>
          <w:sz w:val="24"/>
          <w:szCs w:val="24"/>
        </w:rPr>
        <w:t xml:space="preserve">656.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stragi.it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20 volte)</w:t>
      </w:r>
    </w:p>
    <w:p>
      <w:pPr>
        <w:spacing w:after="120" w:line="276"/>
        <w:jc w:val="both"/>
      </w:pPr>
      <w:r>
        <w:rPr>
          <w:rFonts w:ascii="Barlow Semi Condensed" w:cs="Barlow Semi Condensed" w:eastAsia="Barlow Semi Condensed" w:hAnsi="Barlow Semi Condensed"/>
          <w:b/>
          <w:bCs/>
          <w:sz w:val="24"/>
          <w:szCs w:val="24"/>
        </w:rPr>
        <w:t xml:space="preserve">657.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strano.net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26 volte)</w:t>
      </w:r>
    </w:p>
    <w:p>
      <w:pPr>
        <w:spacing w:after="120" w:line="276"/>
        <w:jc w:val="both"/>
      </w:pPr>
      <w:r>
        <w:rPr>
          <w:rFonts w:ascii="Barlow Semi Condensed" w:cs="Barlow Semi Condensed" w:eastAsia="Barlow Semi Condensed" w:hAnsi="Barlow Semi Condensed"/>
          <w:b/>
          <w:bCs/>
          <w:sz w:val="24"/>
          <w:szCs w:val="24"/>
        </w:rPr>
        <w:t xml:space="preserve">658.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emanuelaorlandi.altervista.org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12 volte)</w:t>
      </w:r>
    </w:p>
    <w:p>
      <w:pPr>
        <w:spacing w:after="120" w:line="276"/>
        <w:jc w:val="both"/>
      </w:pPr>
      <w:r>
        <w:rPr>
          <w:rFonts w:ascii="Barlow Semi Condensed" w:cs="Barlow Semi Condensed" w:eastAsia="Barlow Semi Condensed" w:hAnsi="Barlow Semi Condensed"/>
          <w:b/>
          <w:bCs/>
          <w:sz w:val="24"/>
          <w:szCs w:val="24"/>
        </w:rPr>
        <w:t xml:space="preserve">659.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centrostudimalfatti.eu</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9 volte)</w:t>
      </w:r>
    </w:p>
    <w:p>
      <w:pPr>
        <w:spacing w:after="120" w:line="276"/>
        <w:jc w:val="both"/>
      </w:pPr>
      <w:r>
        <w:rPr>
          <w:rFonts w:ascii="Barlow Semi Condensed" w:cs="Barlow Semi Condensed" w:eastAsia="Barlow Semi Condensed" w:hAnsi="Barlow Semi Condensed"/>
          <w:b/>
          <w:bCs/>
          <w:sz w:val="24"/>
          <w:szCs w:val="24"/>
        </w:rPr>
        <w:t xml:space="preserve">660.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maurizioturco.it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7 volte)</w:t>
      </w:r>
    </w:p>
    <w:p>
      <w:pPr>
        <w:spacing w:after="120" w:line="276"/>
        <w:jc w:val="both"/>
      </w:pPr>
      <w:r>
        <w:rPr>
          <w:rFonts w:ascii="Barlow Semi Condensed" w:cs="Barlow Semi Condensed" w:eastAsia="Barlow Semi Condensed" w:hAnsi="Barlow Semi Condensed"/>
          <w:b/>
          <w:bCs/>
          <w:sz w:val="24"/>
          <w:szCs w:val="24"/>
        </w:rPr>
        <w:t xml:space="preserve">661.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19luglio1992.com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10 volte)</w:t>
      </w:r>
    </w:p>
    <w:p>
      <w:pPr>
        <w:spacing w:after="120" w:line="276"/>
        <w:jc w:val="both"/>
      </w:pPr>
      <w:r>
        <w:rPr>
          <w:rFonts w:ascii="Barlow Semi Condensed" w:cs="Barlow Semi Condensed" w:eastAsia="Barlow Semi Condensed" w:hAnsi="Barlow Semi Condensed"/>
          <w:b/>
          <w:bCs/>
          <w:sz w:val="24"/>
          <w:szCs w:val="24"/>
        </w:rPr>
        <w:t xml:space="preserve">662.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peacelink.it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8 volte)</w:t>
      </w:r>
    </w:p>
    <w:p>
      <w:pPr>
        <w:spacing w:after="120" w:line="276"/>
        <w:jc w:val="both"/>
      </w:pPr>
      <w:r>
        <w:rPr>
          <w:rFonts w:ascii="Barlow Semi Condensed" w:cs="Barlow Semi Condensed" w:eastAsia="Barlow Semi Condensed" w:hAnsi="Barlow Semi Condensed"/>
          <w:b/>
          <w:bCs/>
          <w:sz w:val="24"/>
          <w:szCs w:val="24"/>
        </w:rPr>
        <w:t xml:space="preserve">663.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brogi.info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664.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cosmogonia.org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6 volte)</w:t>
      </w:r>
    </w:p>
    <w:p>
      <w:pPr>
        <w:spacing w:after="120" w:line="276"/>
        <w:jc w:val="both"/>
      </w:pPr>
      <w:r>
        <w:rPr>
          <w:rFonts w:ascii="Barlow Semi Condensed" w:cs="Barlow Semi Condensed" w:eastAsia="Barlow Semi Condensed" w:hAnsi="Barlow Semi Condensed"/>
          <w:b/>
          <w:bCs/>
          <w:sz w:val="24"/>
          <w:szCs w:val="24"/>
        </w:rPr>
        <w:t xml:space="preserve">665.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powerbase.info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666.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profilbaru.com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5 volte)</w:t>
      </w:r>
    </w:p>
    <w:p>
      <w:pPr>
        <w:spacing w:after="120" w:line="276"/>
        <w:jc w:val="both"/>
      </w:pPr>
      <w:r>
        <w:rPr>
          <w:rFonts w:ascii="Barlow Semi Condensed" w:cs="Barlow Semi Condensed" w:eastAsia="Barlow Semi Condensed" w:hAnsi="Barlow Semi Condensed"/>
          <w:b/>
          <w:bCs/>
          <w:sz w:val="24"/>
          <w:szCs w:val="24"/>
        </w:rPr>
        <w:t xml:space="preserve">667.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articolo21.org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5 volte)</w:t>
      </w:r>
    </w:p>
    <w:p>
      <w:pPr>
        <w:spacing w:after="120" w:line="276"/>
        <w:jc w:val="both"/>
      </w:pPr>
      <w:r>
        <w:rPr>
          <w:rFonts w:ascii="Barlow Semi Condensed" w:cs="Barlow Semi Condensed" w:eastAsia="Barlow Semi Condensed" w:hAnsi="Barlow Semi Condensed"/>
          <w:b/>
          <w:bCs/>
          <w:sz w:val="24"/>
          <w:szCs w:val="24"/>
        </w:rPr>
        <w:t xml:space="preserve">668.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worstitaly.wordpress.com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669.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associazioneomilos.wordpress.com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670.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ilfattoquotidiano.it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671.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it.wikipedia.org/wiki/Appartenenti_alla_P2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4 volte)</w:t>
      </w:r>
    </w:p>
    <w:p>
      <w:pPr>
        <w:spacing w:after="120" w:line="276"/>
        <w:jc w:val="both"/>
      </w:pPr>
      <w:r>
        <w:rPr>
          <w:rFonts w:ascii="Barlow Semi Condensed" w:cs="Barlow Semi Condensed" w:eastAsia="Barlow Semi Condensed" w:hAnsi="Barlow Semi Condensed"/>
          <w:b/>
          <w:bCs/>
          <w:sz w:val="24"/>
          <w:szCs w:val="24"/>
        </w:rPr>
        <w:t xml:space="preserve">672.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lercio.it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673.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issuu.com/giornalecangrande.it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674.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it.wikipedia.org/wiki/P2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675.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corrieredellumbria.corr.it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676.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lespresso.it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7 volte)</w:t>
      </w:r>
    </w:p>
    <w:p>
      <w:pPr>
        <w:spacing w:after="120" w:line="276"/>
        <w:jc w:val="both"/>
      </w:pPr>
      <w:r>
        <w:rPr>
          <w:rFonts w:ascii="Barlow Semi Condensed" w:cs="Barlow Semi Condensed" w:eastAsia="Barlow Semi Condensed" w:hAnsi="Barlow Semi Condensed"/>
          <w:b/>
          <w:bCs/>
          <w:sz w:val="24"/>
          <w:szCs w:val="24"/>
        </w:rPr>
        <w:t xml:space="preserve">677.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archivioflamigni.org/indice-atti-commissione-p2.pdf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678.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questionegiustizia.it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679.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difesa.it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marina.difesa.it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lavocedelmarinaio.com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unita2.org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683.</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ifarabutti.wordpress.com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684.</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gdf.gov.it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685.</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sitocomunista.it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686.</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strano.net/stragi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687.</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girodivite.it/IMG/pdf/elenco_p2.pdf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688.</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strano.net/stragi/stragi/p2/elep2.htm</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689.</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stragi.it/archivio/doc/66.pdf</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690.</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strano.net/stragi.it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w:t>
      </w:r>
    </w:p>
    <w:p>
      <w:pPr>
        <w:spacing w:after="120" w:line="276"/>
        <w:jc w:val="both"/>
      </w:pPr>
      <w:r>
        <w:rPr>
          <w:rFonts w:ascii="Barlow Semi Condensed" w:cs="Barlow Semi Condensed" w:eastAsia="Barlow Semi Condensed" w:hAnsi="Barlow Semi Condensed"/>
          <w:b/>
          <w:bCs/>
          <w:sz w:val="24"/>
          <w:szCs w:val="24"/>
        </w:rPr>
        <w:t xml:space="preserve">691.</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archive.nuovaresistenza.org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2 volte)</w:t>
      </w:r>
    </w:p>
    <w:p>
      <w:pPr>
        <w:spacing w:after="120" w:line="276"/>
        <w:jc w:val="both"/>
      </w:pPr>
      <w:r>
        <w:rPr>
          <w:rFonts w:ascii="Barlow Semi Condensed" w:cs="Barlow Semi Condensed" w:eastAsia="Barlow Semi Condensed" w:hAnsi="Barlow Semi Condensed"/>
          <w:b/>
          <w:bCs/>
          <w:sz w:val="24"/>
          <w:szCs w:val="24"/>
        </w:rPr>
        <w:t xml:space="preserve">692.</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questionecivile.it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(citato in forma d'indirizzo, 3 volte)</w:t>
      </w:r>
    </w:p>
    <w:p>
      <w:pPr>
        <w:pStyle w:val="Heading3"/>
        <w:spacing w:after="80" w:before="160"/>
      </w:pPr>
      <w:r>
        <w:rPr>
          <w:rFonts w:ascii="Barlow Semi Condensed" w:cs="Barlow Semi Condensed" w:eastAsia="Barlow Semi Condensed" w:hAnsi="Barlow Semi Condensed"/>
          <w:sz w:val="24"/>
          <w:szCs w:val="24"/>
        </w:rPr>
        <w:t xml:space="preserve">Appendice V.iii — L'apparato della verifica — Il registro degli ingressi</w:t>
      </w:r>
    </w:p>
    <w:p>
      <w:pPr>
        <w:spacing w:after="120" w:line="276"/>
        <w:jc w:val="both"/>
      </w:pPr>
      <w:r>
        <w:rPr>
          <w:rFonts w:ascii="Barlow Semi Condensed" w:cs="Barlow Semi Condensed" w:eastAsia="Barlow Semi Condensed" w:hAnsi="Barlow Semi Condensed"/>
          <w:i/>
          <w:iCs/>
          <w:sz w:val="24"/>
          <w:szCs w:val="24"/>
        </w:rPr>
        <w:t xml:space="preserve">Capitolo senza citazioni in forma d'indirizzo: le sue fonti sono richiamate per titolo e rango nei documenti del corpus (si vedano la bibliografia critica e l'apparato dei gradi).</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Il riepilogo</w:t>
      </w:r>
    </w:p>
    <w:p>
      <w:pPr>
        <w:spacing w:after="120" w:line="276"/>
        <w:jc w:val="both"/>
      </w:pPr>
      <w:r>
        <w:rPr>
          <w:rFonts w:ascii="Barlow Semi Condensed" w:cs="Barlow Semi Condensed" w:eastAsia="Barlow Semi Condensed" w:hAnsi="Barlow Semi Condensed"/>
          <w:sz w:val="24"/>
          <w:szCs w:val="24"/>
        </w:rPr>
        <w:t xml:space="preserve">L'opera cita 1258 volte 692 indirizzi distinti su 358 domini. I domini più citati: </w:t>
      </w:r>
      <w:r>
        <w:rPr>
          <w:rFonts w:ascii="Barlow Semi Condensed" w:cs="Barlow Semi Condensed" w:eastAsia="Barlow Semi Condensed" w:hAnsi="Barlow Semi Condensed"/>
          <w:i/>
          <w:iCs/>
          <w:sz w:val="24"/>
          <w:szCs w:val="24"/>
        </w:rPr>
        <w:t xml:space="preserve">storiaememoriadibologna.it</w:t>
      </w:r>
      <w:r>
        <w:rPr>
          <w:rFonts w:ascii="Barlow Semi Condensed" w:cs="Barlow Semi Condensed" w:eastAsia="Barlow Semi Condensed" w:hAnsi="Barlow Semi Condensed"/>
          <w:sz w:val="24"/>
          <w:szCs w:val="24"/>
        </w:rPr>
        <w:t xml:space="preserve"> (62) · </w:t>
      </w:r>
      <w:r>
        <w:rPr>
          <w:rFonts w:ascii="Barlow Semi Condensed" w:cs="Barlow Semi Condensed" w:eastAsia="Barlow Semi Condensed" w:hAnsi="Barlow Semi Condensed"/>
          <w:i/>
          <w:iCs/>
          <w:sz w:val="24"/>
          <w:szCs w:val="24"/>
        </w:rPr>
        <w:t xml:space="preserve">it.wikipedia.org</w:t>
      </w:r>
      <w:r>
        <w:rPr>
          <w:rFonts w:ascii="Barlow Semi Condensed" w:cs="Barlow Semi Condensed" w:eastAsia="Barlow Semi Condensed" w:hAnsi="Barlow Semi Condensed"/>
          <w:sz w:val="24"/>
          <w:szCs w:val="24"/>
        </w:rPr>
        <w:t xml:space="preserve"> (33) · </w:t>
      </w:r>
      <w:r>
        <w:rPr>
          <w:rFonts w:ascii="Barlow Semi Condensed" w:cs="Barlow Semi Condensed" w:eastAsia="Barlow Semi Condensed" w:hAnsi="Barlow Semi Condensed"/>
          <w:i/>
          <w:iCs/>
          <w:sz w:val="24"/>
          <w:szCs w:val="24"/>
        </w:rPr>
        <w:t xml:space="preserve">en.wikipedia.org</w:t>
      </w:r>
      <w:r>
        <w:rPr>
          <w:rFonts w:ascii="Barlow Semi Condensed" w:cs="Barlow Semi Condensed" w:eastAsia="Barlow Semi Condensed" w:hAnsi="Barlow Semi Condensed"/>
          <w:sz w:val="24"/>
          <w:szCs w:val="24"/>
        </w:rPr>
        <w:t xml:space="preserve"> (29) · </w:t>
      </w:r>
      <w:r>
        <w:rPr>
          <w:rFonts w:ascii="Barlow Semi Condensed" w:cs="Barlow Semi Condensed" w:eastAsia="Barlow Semi Condensed" w:hAnsi="Barlow Semi Condensed"/>
          <w:i/>
          <w:iCs/>
          <w:sz w:val="24"/>
          <w:szCs w:val="24"/>
        </w:rPr>
        <w:t xml:space="preserve">history.state.gov</w:t>
      </w:r>
      <w:r>
        <w:rPr>
          <w:rFonts w:ascii="Barlow Semi Condensed" w:cs="Barlow Semi Condensed" w:eastAsia="Barlow Semi Condensed" w:hAnsi="Barlow Semi Condensed"/>
          <w:sz w:val="24"/>
          <w:szCs w:val="24"/>
        </w:rPr>
        <w:t xml:space="preserve"> (21) · </w:t>
      </w:r>
      <w:r>
        <w:rPr>
          <w:rFonts w:ascii="Barlow Semi Condensed" w:cs="Barlow Semi Condensed" w:eastAsia="Barlow Semi Condensed" w:hAnsi="Barlow Semi Condensed"/>
          <w:i/>
          <w:iCs/>
          <w:sz w:val="24"/>
          <w:szCs w:val="24"/>
        </w:rPr>
        <w:t xml:space="preserve">opusdei.org</w:t>
      </w:r>
      <w:r>
        <w:rPr>
          <w:rFonts w:ascii="Barlow Semi Condensed" w:cs="Barlow Semi Condensed" w:eastAsia="Barlow Semi Condensed" w:hAnsi="Barlow Semi Condensed"/>
          <w:sz w:val="24"/>
          <w:szCs w:val="24"/>
        </w:rPr>
        <w:t xml:space="preserve"> (17) · </w:t>
      </w:r>
      <w:r>
        <w:rPr>
          <w:rFonts w:ascii="Barlow Semi Condensed" w:cs="Barlow Semi Condensed" w:eastAsia="Barlow Semi Condensed" w:hAnsi="Barlow Semi Condensed"/>
          <w:i/>
          <w:iCs/>
          <w:sz w:val="24"/>
          <w:szCs w:val="24"/>
        </w:rPr>
        <w:t xml:space="preserve">treccani.it</w:t>
      </w:r>
      <w:r>
        <w:rPr>
          <w:rFonts w:ascii="Barlow Semi Condensed" w:cs="Barlow Semi Condensed" w:eastAsia="Barlow Semi Condensed" w:hAnsi="Barlow Semi Condensed"/>
          <w:sz w:val="24"/>
          <w:szCs w:val="24"/>
        </w:rPr>
        <w:t xml:space="preserve"> (10) · </w:t>
      </w:r>
      <w:r>
        <w:rPr>
          <w:rFonts w:ascii="Barlow Semi Condensed" w:cs="Barlow Semi Condensed" w:eastAsia="Barlow Semi Condensed" w:hAnsi="Barlow Semi Condensed"/>
          <w:i/>
          <w:iCs/>
          <w:sz w:val="24"/>
          <w:szCs w:val="24"/>
        </w:rPr>
        <w:t xml:space="preserve">eur-lex.europa.eu</w:t>
      </w:r>
      <w:r>
        <w:rPr>
          <w:rFonts w:ascii="Barlow Semi Condensed" w:cs="Barlow Semi Condensed" w:eastAsia="Barlow Semi Condensed" w:hAnsi="Barlow Semi Condensed"/>
          <w:sz w:val="24"/>
          <w:szCs w:val="24"/>
        </w:rPr>
        <w:t xml:space="preserve"> (9) · </w:t>
      </w:r>
      <w:r>
        <w:rPr>
          <w:rFonts w:ascii="Barlow Semi Condensed" w:cs="Barlow Semi Condensed" w:eastAsia="Barlow Semi Condensed" w:hAnsi="Barlow Semi Condensed"/>
          <w:i/>
          <w:iCs/>
          <w:sz w:val="24"/>
          <w:szCs w:val="24"/>
        </w:rPr>
        <w:t xml:space="preserve">esteri.it</w:t>
      </w:r>
      <w:r>
        <w:rPr>
          <w:rFonts w:ascii="Barlow Semi Condensed" w:cs="Barlow Semi Condensed" w:eastAsia="Barlow Semi Condensed" w:hAnsi="Barlow Semi Condensed"/>
          <w:sz w:val="24"/>
          <w:szCs w:val="24"/>
        </w:rPr>
        <w:t xml:space="preserve"> (7) · </w:t>
      </w:r>
      <w:r>
        <w:rPr>
          <w:rFonts w:ascii="Barlow Semi Condensed" w:cs="Barlow Semi Condensed" w:eastAsia="Barlow Semi Condensed" w:hAnsi="Barlow Semi Condensed"/>
          <w:i/>
          <w:iCs/>
          <w:sz w:val="24"/>
          <w:szCs w:val="24"/>
        </w:rPr>
        <w:t xml:space="preserve">settimananews.it</w:t>
      </w:r>
      <w:r>
        <w:rPr>
          <w:rFonts w:ascii="Barlow Semi Condensed" w:cs="Barlow Semi Condensed" w:eastAsia="Barlow Semi Condensed" w:hAnsi="Barlow Semi Condensed"/>
          <w:sz w:val="24"/>
          <w:szCs w:val="24"/>
        </w:rPr>
        <w:t xml:space="preserve"> (7) · </w:t>
      </w:r>
      <w:r>
        <w:rPr>
          <w:rFonts w:ascii="Barlow Semi Condensed" w:cs="Barlow Semi Condensed" w:eastAsia="Barlow Semi Condensed" w:hAnsi="Barlow Semi Condensed"/>
          <w:i/>
          <w:iCs/>
          <w:sz w:val="24"/>
          <w:szCs w:val="24"/>
        </w:rPr>
        <w:t xml:space="preserve">parlamento.it</w:t>
      </w:r>
      <w:r>
        <w:rPr>
          <w:rFonts w:ascii="Barlow Semi Condensed" w:cs="Barlow Semi Condensed" w:eastAsia="Barlow Semi Condensed" w:hAnsi="Barlow Semi Condensed"/>
          <w:sz w:val="24"/>
          <w:szCs w:val="24"/>
        </w:rPr>
        <w:t xml:space="preserve"> (6).</w:t>
      </w:r>
    </w:p>
    <w:p>
      <w:pPr>
        <w:spacing w:after="120" w:line="276"/>
        <w:jc w:val="both"/>
      </w:pPr>
      <w:r>
        <w:rPr>
          <w:rFonts w:ascii="Barlow Semi Condensed" w:cs="Barlow Semi Condensed" w:eastAsia="Barlow Semi Condensed" w:hAnsi="Barlow Semi Condensed"/>
          <w:i/>
          <w:iCs/>
          <w:sz w:val="24"/>
          <w:szCs w:val="24"/>
        </w:rPr>
        <w:t xml:space="preserve">L'apparato conta indirizzi, non gerarchie di verità: il grado di ogni affermazione resta dichiarato nel capitolo che la contiene. Un indirizzo citato è una porta aperta alla verifica — l'opera ne lascia 692.</w:t>
      </w:r>
    </w:p>
    <w:p>
      <w:pPr>
        <w:pStyle w:val="Heading3"/>
        <w:spacing w:after="80" w:before="240"/>
      </w:pPr>
      <w:r>
        <w:rPr>
          <w:rFonts w:ascii="Barlow Semi Condensed" w:cs="Barlow Semi Condensed" w:eastAsia="Barlow Semi Condensed" w:hAnsi="Barlow Semi Condensed"/>
          <w:sz w:val="24"/>
          <w:szCs w:val="24"/>
        </w:rPr>
        <w:t xml:space="preserve">Apparato grafico — Apparato conclusivo · Le note bibliografiche (dalla prima all'ultima)</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La distribuzione delle 692 note bibliografiche lungo l'opera, per Libro di prima citazione.</w:t>
      </w:r>
    </w:p>
    <w:p>
      <w:pPr>
        <w:spacing w:after="2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334000" cy="3714750"/>
                    </a:xfrm>
                    <a:prstGeom prst="rect">
                      <a:avLst/>
                    </a:prstGeom>
                  </pic:spPr>
                </pic:pic>
              </a:graphicData>
            </a:graphic>
          </wp:inline>
        </w:drawing>
      </w:r>
    </w:p>
    <w:p>
      <w:pPr>
        <w:spacing w:after="120"/>
        <w:jc w:val="center"/>
      </w:pPr>
      <w:r>
        <w:rPr>
          <w:rFonts w:ascii="Barlow Semi Condensed" w:cs="Barlow Semi Condensed" w:eastAsia="Barlow Semi Condensed" w:hAnsi="Barlow Semi Condensed"/>
          <w:i/>
          <w:iCs/>
          <w:color w:val="555555"/>
          <w:sz w:val="17"/>
          <w:szCs w:val="17"/>
        </w:rPr>
        <w:t xml:space="preserve">I domini piu ricorrenti fra i 692 indirizzi citati (1258 citazioni complessive).</w:t>
      </w:r>
    </w:p>
    <w:p>
      <w:pPr>
        <w:spacing w:after="120"/>
        <w:jc w:val="center"/>
      </w:pPr>
      <w:r>
        <w:rPr>
          <w:rFonts w:ascii="Barlow Semi Condensed" w:cs="Barlow Semi Condensed" w:eastAsia="Barlow Semi Condensed" w:hAnsi="Barlow Semi Condensed"/>
          <w:color w:val="777777"/>
          <w:sz w:val="16"/>
          <w:szCs w:val="16"/>
        </w:rPr>
        <w:t xml:space="preserve">Le metriche dell'apparato contano parole, documenti e atti — mai colpe.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a8248ef44fee2e8519f8b615d614e419bbeef8.png"/><Relationship Id="rId8" Type="http://schemas.openxmlformats.org/officeDocument/2006/relationships/image" Target="media/32a5a721e0a76db25f9477641e34a7c093eba906.png"/><Relationship Id="rId9" Type="http://schemas.openxmlformats.org/officeDocument/2006/relationships/image" Target="media/e8e51ad94fcc1f04f184eab060a09a6fbec719f2.png"/><Relationship Id="rId10" Type="http://schemas.openxmlformats.org/officeDocument/2006/relationships/image" Target="media/94500b7b005c264d98a725de7f2ecf5cefddf1e0.png"/><Relationship Id="rId11" Type="http://schemas.openxmlformats.org/officeDocument/2006/relationships/image" Target="media/8f935fde8873b92d387573cb82a5bb81c5aac96f.png"/><Relationship Id="rId12" Type="http://schemas.openxmlformats.org/officeDocument/2006/relationships/image" Target="media/edde4a01bbcf7626b3166773818f2d15f2b7ea56.png"/><Relationship Id="rId13" Type="http://schemas.openxmlformats.org/officeDocument/2006/relationships/image" Target="media/3be6d51c2425752cbb9e1a5c09d17d2715999652.png"/><Relationship Id="rId14" Type="http://schemas.openxmlformats.org/officeDocument/2006/relationships/image" Target="media/6308a4cfc2263088d81809d16d6649dbd4d99fd0.png"/><Relationship Id="rId15" Type="http://schemas.openxmlformats.org/officeDocument/2006/relationships/image" Target="media/9f751797fbe60d2713d0a784c900866334cac048.png"/><Relationship Id="rId16" Type="http://schemas.openxmlformats.org/officeDocument/2006/relationships/image" Target="media/5ef613a599d947f36424cb5b0bdd8f5879afeba0.png"/><Relationship Id="rId17" Type="http://schemas.openxmlformats.org/officeDocument/2006/relationships/image" Target="media/8bb02c83421dc64443d0a224822f226f3ab5e8a4.png"/><Relationship Id="rId18" Type="http://schemas.openxmlformats.org/officeDocument/2006/relationships/image" Target="media/bd63a95afb6d64f85d3a60797abbfd5d4b46cc42.png"/><Relationship Id="rId19" Type="http://schemas.openxmlformats.org/officeDocument/2006/relationships/image" Target="media/7d2dbe72a6da60efa92cfd9e5b44029311347b76.png"/><Relationship Id="rId20" Type="http://schemas.openxmlformats.org/officeDocument/2006/relationships/image" Target="media/d7ebec7988508022ba39b751dcf368c0cdf74e84.png"/><Relationship Id="rId21" Type="http://schemas.openxmlformats.org/officeDocument/2006/relationships/image" Target="media/fb17b39efa07e70d17acb6b6b43dfc63d15ca70d.png"/><Relationship Id="rId22" Type="http://schemas.openxmlformats.org/officeDocument/2006/relationships/image" Target="media/1837a458b0e8e40444c74596374077b258287fcf.png"/><Relationship Id="rId23" Type="http://schemas.openxmlformats.org/officeDocument/2006/relationships/image" Target="media/312699511ea762b971d4f31a60756d0f32414d28.png"/><Relationship Id="rId24" Type="http://schemas.openxmlformats.org/officeDocument/2006/relationships/image" Target="media/241269975344581efcf2ef29ba70615bf4df29e1.png"/><Relationship Id="rId25" Type="http://schemas.openxmlformats.org/officeDocument/2006/relationships/image" Target="media/70eddcb14461d1bebe4a1511f3e20539bbf1698d.png"/><Relationship Id="rId26" Type="http://schemas.openxmlformats.org/officeDocument/2006/relationships/image" Target="media/63423b5f5cd992bdc3971144138d919b3eeafbe4.png"/><Relationship Id="rId27" Type="http://schemas.openxmlformats.org/officeDocument/2006/relationships/image" Target="media/41a5c9b5749d83178a34bf33bf530fec5c63ec21.png"/><Relationship Id="rId28" Type="http://schemas.openxmlformats.org/officeDocument/2006/relationships/image" Target="media/9e135ddf2e26785ef1e32a6a3739d88e27ff51d7.png"/><Relationship Id="rId29" Type="http://schemas.openxmlformats.org/officeDocument/2006/relationships/image" Target="media/4c4d67299e75adcf478d7a09e6400a8dc095b249.png"/><Relationship Id="rId30" Type="http://schemas.openxmlformats.org/officeDocument/2006/relationships/image" Target="media/4563ca2e60942b4abb80fbc1db90c804c7e8f3e8.png"/><Relationship Id="rId31" Type="http://schemas.openxmlformats.org/officeDocument/2006/relationships/image" Target="media/6e7db318af7d1090b956c19d492422764f5532b3.png"/><Relationship Id="rId32" Type="http://schemas.openxmlformats.org/officeDocument/2006/relationships/image" Target="media/ad0e4bc22bad4fb73bb3a1d24dcae911f2b47d2d.png"/><Relationship Id="rId33" Type="http://schemas.openxmlformats.org/officeDocument/2006/relationships/image" Target="media/30e907307e92e559d873f03efd2d5ad189c98e3a.png"/><Relationship Id="rId34" Type="http://schemas.openxmlformats.org/officeDocument/2006/relationships/image" Target="media/92888b83e854250ece5b885727f212b2074ea8a6.png"/><Relationship Id="rId35" Type="http://schemas.openxmlformats.org/officeDocument/2006/relationships/image" Target="media/1133483f0fa5d9e1db1e5b7330bb2f5fd721f4d2.png"/><Relationship Id="rId36" Type="http://schemas.openxmlformats.org/officeDocument/2006/relationships/image" Target="media/a91d8e228b8a04ca36f2bb027b63bdaa932c6378.png"/><Relationship Id="rId37" Type="http://schemas.openxmlformats.org/officeDocument/2006/relationships/image" Target="media/9a456ee511994263cbb34840643942e991a79422.png"/><Relationship Id="rId38" Type="http://schemas.openxmlformats.org/officeDocument/2006/relationships/image" Target="media/4cd17ed02f51f6470ad87eaf4fd92cab4872b322.png"/><Relationship Id="rId39" Type="http://schemas.openxmlformats.org/officeDocument/2006/relationships/image" Target="media/b3a810efce56ae989113664eb6c894645cce9ea1.png"/><Relationship Id="rId40" Type="http://schemas.openxmlformats.org/officeDocument/2006/relationships/image" Target="media/33c2a9e0188d87e3e19b9f399f02d0c8800b7197.png"/><Relationship Id="rId41" Type="http://schemas.openxmlformats.org/officeDocument/2006/relationships/image" Target="media/cff59bb99691c9bbd8bc72414eeead036000ff29.png"/><Relationship Id="rId42" Type="http://schemas.openxmlformats.org/officeDocument/2006/relationships/image" Target="media/48e6c35f8064f84710ea7c456e8e35e6caba2d83.png"/><Relationship Id="rId43" Type="http://schemas.openxmlformats.org/officeDocument/2006/relationships/image" Target="media/4e25f35624b7312cb43d2e5191a9111e724aa3d7.png"/><Relationship Id="rId44" Type="http://schemas.openxmlformats.org/officeDocument/2006/relationships/image" Target="media/23a6f290a086f9eec1678d127c796b2b3ebaa5a5.png"/><Relationship Id="rId45" Type="http://schemas.openxmlformats.org/officeDocument/2006/relationships/image" Target="media/2c5dc87b2b4777d6f80d52efe5a388d25fe34268.png"/><Relationship Id="rId46" Type="http://schemas.openxmlformats.org/officeDocument/2006/relationships/image" Target="media/5c0f27e3878301ab3434474b998c193ce108b4ea.png"/><Relationship Id="rId47" Type="http://schemas.openxmlformats.org/officeDocument/2006/relationships/image" Target="media/1c94e52fb3512a2b2e1a193c3b0268c959217e07.png"/><Relationship Id="rId48" Type="http://schemas.openxmlformats.org/officeDocument/2006/relationships/image" Target="media/3cd88d7c1e00ed825805458b70d4a676b1e713f2.png"/><Relationship Id="rId49" Type="http://schemas.openxmlformats.org/officeDocument/2006/relationships/image" Target="media/78f34c2cfafe2793fc9c21a2a8564b8bb8533f55.png"/><Relationship Id="rId50" Type="http://schemas.openxmlformats.org/officeDocument/2006/relationships/image" Target="media/261859a17352f42eae2cd36263c717998298ae53.png"/><Relationship Id="rId51" Type="http://schemas.openxmlformats.org/officeDocument/2006/relationships/image" Target="media/1905ab420c08bec8d516c08a48aa9dc9d127ec1b.png"/><Relationship Id="rId52" Type="http://schemas.openxmlformats.org/officeDocument/2006/relationships/image" Target="media/31ee31ba46fb20782555d8fbc3a0e410b5450b1c.png"/><Relationship Id="rId53" Type="http://schemas.openxmlformats.org/officeDocument/2006/relationships/image" Target="media/49c185e03cdbc298b30a0485eb69f17be65ecf56.png"/><Relationship Id="rId54" Type="http://schemas.openxmlformats.org/officeDocument/2006/relationships/image" Target="media/dd965c04f85dd487f71bb4b0220fbfa0df5de8fe.png"/><Relationship Id="rId55" Type="http://schemas.openxmlformats.org/officeDocument/2006/relationships/image" Target="media/3f38802898cc56ba7d670fe0440bc6493cce79cf.png"/><Relationship Id="rId56" Type="http://schemas.openxmlformats.org/officeDocument/2006/relationships/image" Target="media/8048081e6bfeacfb1df95c25de98e251a1c47e8d.png"/><Relationship Id="rId57" Type="http://schemas.openxmlformats.org/officeDocument/2006/relationships/image" Target="media/20f159cca944a35599b2786155d4064212d2a2b1.png"/><Relationship Id="rId58" Type="http://schemas.openxmlformats.org/officeDocument/2006/relationships/image" Target="media/877d6a8a670a806669a86da8669c08031cfde6ce.png"/><Relationship Id="rId59" Type="http://schemas.openxmlformats.org/officeDocument/2006/relationships/image" Target="media/31c5bd30e189b3fdfafd4874f7fda8d52f0a720c.png"/><Relationship Id="rId60" Type="http://schemas.openxmlformats.org/officeDocument/2006/relationships/image" Target="media/483516d14c768ca6e3c580a27b70453933167084.png"/><Relationship Id="rId61" Type="http://schemas.openxmlformats.org/officeDocument/2006/relationships/image" Target="media/58dbed0d197f3977b166e48f92084dd220031ed5.png"/><Relationship Id="rId62" Type="http://schemas.openxmlformats.org/officeDocument/2006/relationships/image" Target="media/f5627f48ed39a27c0aa002450878cafa548eb8e8.png"/><Relationship Id="rId63" Type="http://schemas.openxmlformats.org/officeDocument/2006/relationships/image" Target="media/def8a8dc2b9738ca43d8c83c05de30a6d6059533.png"/><Relationship Id="rId64" Type="http://schemas.openxmlformats.org/officeDocument/2006/relationships/image" Target="media/3533ce6f7eb35804b68e7452be615be87f93ee7b.png"/><Relationship Id="rId65" Type="http://schemas.openxmlformats.org/officeDocument/2006/relationships/image" Target="media/673d850d5ab83d48001b4c5b93f9204b833f61e6.png"/><Relationship Id="rId66" Type="http://schemas.openxmlformats.org/officeDocument/2006/relationships/image" Target="media/726db3094060aabf3f47d3d0cc7d9d5c34fe1e13.png"/><Relationship Id="rId67" Type="http://schemas.openxmlformats.org/officeDocument/2006/relationships/image" Target="media/f2511cb48b347d2e994b08f1106a4544fa5fe747.png"/><Relationship Id="rId68" Type="http://schemas.openxmlformats.org/officeDocument/2006/relationships/image" Target="media/db7d31cf770ba71e1f24042ddad18ff75d42d9ad.png"/><Relationship Id="rId69" Type="http://schemas.openxmlformats.org/officeDocument/2006/relationships/image" Target="media/1252dfa2f7c13db918467f03419e8f8d064a61e6.png"/><Relationship Id="rId70" Type="http://schemas.openxmlformats.org/officeDocument/2006/relationships/image" Target="media/9f602436bfdcb43194ebaf2cb943ae1c125d6aeb.png"/><Relationship Id="rId71" Type="http://schemas.openxmlformats.org/officeDocument/2006/relationships/image" Target="media/af715d0ab893697c4887f567ccc581db21ab21cd.png"/><Relationship Id="rId72" Type="http://schemas.openxmlformats.org/officeDocument/2006/relationships/image" Target="media/46647b3631daab9e6f8f6903b607c256aac3fd5c.png"/><Relationship Id="rId73" Type="http://schemas.openxmlformats.org/officeDocument/2006/relationships/image" Target="media/dbdd36aebbc906d3398faaae39f26ecb1d4d0114.png"/><Relationship Id="rId74" Type="http://schemas.openxmlformats.org/officeDocument/2006/relationships/image" Target="media/583e2a4c5894c989b048d26e52b03adc5429bf35.png"/><Relationship Id="rId75" Type="http://schemas.openxmlformats.org/officeDocument/2006/relationships/image" Target="media/0307b422e56893e11367716977345ff95aa9bcf8.png"/><Relationship Id="rId76" Type="http://schemas.openxmlformats.org/officeDocument/2006/relationships/image" Target="media/9758a2e200e35fcbee13dd7058c1299a6717dc13.png"/><Relationship Id="rId77" Type="http://schemas.openxmlformats.org/officeDocument/2006/relationships/image" Target="media/78011443bfe385cde27b02b70e0e5c42bfdb4b5a.png"/><Relationship Id="rId78" Type="http://schemas.openxmlformats.org/officeDocument/2006/relationships/image" Target="media/a8088b22e8ee04192c499d34beba54adec364418.png"/><Relationship Id="rId79" Type="http://schemas.openxmlformats.org/officeDocument/2006/relationships/image" Target="media/77b96cd2d0ccc6b53b510333d13a05288f4f41e6.png"/><Relationship Id="rId80" Type="http://schemas.openxmlformats.org/officeDocument/2006/relationships/image" Target="media/1ca7d5fdb1565efbb1a6dc988062d8c5d2190e63.png"/><Relationship Id="rId81" Type="http://schemas.openxmlformats.org/officeDocument/2006/relationships/image" Target="media/da69a54a089500ed1f47b8827408cc8fcc274d0b.png"/><Relationship Id="rId82" Type="http://schemas.openxmlformats.org/officeDocument/2006/relationships/image" Target="media/41235e4385d178387d4d403c7149827935483a75.png"/><Relationship Id="rId83" Type="http://schemas.openxmlformats.org/officeDocument/2006/relationships/image" Target="media/06af1d044ff294e7c40a42a5bba76ff8bc2dc5d5.png"/><Relationship Id="rId84" Type="http://schemas.openxmlformats.org/officeDocument/2006/relationships/image" Target="media/f048efdae698de72b90791ca3fcd9d6dbd1aaac1.png"/><Relationship Id="rId85" Type="http://schemas.openxmlformats.org/officeDocument/2006/relationships/image" Target="media/bb4e4c4104319f3da094a479efcb7dd0107aac80.png"/><Relationship Id="rId86" Type="http://schemas.openxmlformats.org/officeDocument/2006/relationships/image" Target="media/809ce625ec36a4de14638f139bdc44151f3a6406.png"/><Relationship Id="rId87" Type="http://schemas.openxmlformats.org/officeDocument/2006/relationships/image" Target="media/f8c0e33fe6de3f5c31873df70def1bd8645f2c4d.png"/><Relationship Id="rId88" Type="http://schemas.openxmlformats.org/officeDocument/2006/relationships/image" Target="media/d0b8566a083dfb1b046ddfa8d4f1b478b9927ceb.png"/><Relationship Id="rId89" Type="http://schemas.openxmlformats.org/officeDocument/2006/relationships/image" Target="media/fb9943a396073657981ccf856d7831efe07e5923.png"/><Relationship Id="rId90" Type="http://schemas.openxmlformats.org/officeDocument/2006/relationships/image" Target="media/bc8ebef8c4d983c0a80598585fbffde5bd5f6ba4.png"/><Relationship Id="rId91" Type="http://schemas.openxmlformats.org/officeDocument/2006/relationships/image" Target="media/437b6380ae535daf592355f14314211447d21540.png"/><Relationship Id="rId92" Type="http://schemas.openxmlformats.org/officeDocument/2006/relationships/image" Target="media/316d915af61c32c6d0d069d4a4c1813904f2efda.png"/><Relationship Id="rId93" Type="http://schemas.openxmlformats.org/officeDocument/2006/relationships/image" Target="media/f28b0443a31e4f9cd22ed3720d0e72a2b6868c87.png"/><Relationship Id="rId94" Type="http://schemas.openxmlformats.org/officeDocument/2006/relationships/image" Target="media/1984692a613fca08c517c87dafb53bfbc12caf13.png"/><Relationship Id="rId95" Type="http://schemas.openxmlformats.org/officeDocument/2006/relationships/image" Target="media/4294a3a672c059f553eca3ff4be6620335cc77f4.png"/><Relationship Id="rId96" Type="http://schemas.openxmlformats.org/officeDocument/2006/relationships/image" Target="media/fc4b9d94e96f999a3ee4737cbeabac1f6d803d3d.png"/><Relationship Id="rId97" Type="http://schemas.openxmlformats.org/officeDocument/2006/relationships/image" Target="media/8a3ac45cd6c0891c5b322457c8b854113225330a.png"/><Relationship Id="rId98" Type="http://schemas.openxmlformats.org/officeDocument/2006/relationships/image" Target="media/42b5f254583da760d153752bcdbccce03b4768cd.png"/><Relationship Id="rId99" Type="http://schemas.openxmlformats.org/officeDocument/2006/relationships/image" Target="media/455a40aa76af3a3b7b2220317e819e5746ace4b8.png"/><Relationship Id="rId100" Type="http://schemas.openxmlformats.org/officeDocument/2006/relationships/image" Target="media/8a647d4538ed75f30746978f3df322fac63a019c.png"/><Relationship Id="rId101" Type="http://schemas.openxmlformats.org/officeDocument/2006/relationships/image" Target="media/c3b501f6ea027da5ddc89a0e9c848be06bb933a3.png"/><Relationship Id="rId102" Type="http://schemas.openxmlformats.org/officeDocument/2006/relationships/image" Target="media/98ce40a7a1189aa172082949bcdc33ea86ecc797.png"/><Relationship Id="rId103" Type="http://schemas.openxmlformats.org/officeDocument/2006/relationships/image" Target="media/db155c30959e621ce024dd18d23630ff3d4e05d2.png"/><Relationship Id="rId104" Type="http://schemas.openxmlformats.org/officeDocument/2006/relationships/image" Target="media/142384c69b05a1ae8d125009d3d4755901f21bbe.png"/><Relationship Id="rId105" Type="http://schemas.openxmlformats.org/officeDocument/2006/relationships/image" Target="media/4b6ec73abe251a32444f996ce3b3d534d3c94bcb.png"/><Relationship Id="rId106" Type="http://schemas.openxmlformats.org/officeDocument/2006/relationships/image" Target="media/3639e6dd52015ce97affceff6844572f9d6d04a7.png"/><Relationship Id="rId107" Type="http://schemas.openxmlformats.org/officeDocument/2006/relationships/image" Target="media/e88199682b774f96f7efb2fe95e1c185fa5f57b3.png"/><Relationship Id="rId108" Type="http://schemas.openxmlformats.org/officeDocument/2006/relationships/image" Target="media/00f7913b4f2dd4fff454485954c966c466eecf2e.png"/><Relationship Id="rId109" Type="http://schemas.openxmlformats.org/officeDocument/2006/relationships/image" Target="media/d4dbc2747f34c9a92733696eb650d0e1eebfd6d1.png"/><Relationship Id="rId110" Type="http://schemas.openxmlformats.org/officeDocument/2006/relationships/image" Target="media/f468028a0318b2c8ed5ad5c28fcc721c825f5830.png"/><Relationship Id="rId111" Type="http://schemas.openxmlformats.org/officeDocument/2006/relationships/image" Target="media/fa67d4ea13d080c05b5bfb7307cef7699702d0a2.png"/><Relationship Id="rId112" Type="http://schemas.openxmlformats.org/officeDocument/2006/relationships/image" Target="media/801f1b78bc0600f600c41a7a0bb9357e5da88d21.png"/><Relationship Id="rId113" Type="http://schemas.openxmlformats.org/officeDocument/2006/relationships/image" Target="media/a286a4a09280e585513891120ceab83ceefb70e2.png"/><Relationship Id="rId114" Type="http://schemas.openxmlformats.org/officeDocument/2006/relationships/image" Target="media/ccc717ff6519df60576188221fb0f429df6f8ed8.png"/><Relationship Id="rId115" Type="http://schemas.openxmlformats.org/officeDocument/2006/relationships/image" Target="media/1f2acc59fe5bf895be0a1c44cd9a32264d3753b7.png"/><Relationship Id="rId116" Type="http://schemas.openxmlformats.org/officeDocument/2006/relationships/image" Target="media/0e75cf96745b87d7853a5c14cde34582e9663316.png"/><Relationship Id="rId117" Type="http://schemas.openxmlformats.org/officeDocument/2006/relationships/image" Target="media/2e1d764397720adb37b7550055a91a4fb71bb350.png"/><Relationship Id="rId118" Type="http://schemas.openxmlformats.org/officeDocument/2006/relationships/image" Target="media/cc06944cbb1e3477dea1a91424cf0104fb1b8415.png"/><Relationship Id="rId119" Type="http://schemas.openxmlformats.org/officeDocument/2006/relationships/image" Target="media/af4d8b4797afc4824142d4ddc2ced78c7bfb1d50.png"/><Relationship Id="rId120" Type="http://schemas.openxmlformats.org/officeDocument/2006/relationships/image" Target="media/7683f1cf95300efc2428eb3c6d3b1172b2257cb5.png"/><Relationship Id="rId121" Type="http://schemas.openxmlformats.org/officeDocument/2006/relationships/image" Target="media/f30f4e089234281e5988c689a030848250d9e2df.png"/><Relationship Id="rId122" Type="http://schemas.openxmlformats.org/officeDocument/2006/relationships/image" Target="media/f7cce7c67ea8657d5d27a062dec364269c4dd7e8.png"/><Relationship Id="rId123" Type="http://schemas.openxmlformats.org/officeDocument/2006/relationships/image" Target="media/90867bd694bc89213d8690425deb2c23d86fb8b1.png"/><Relationship Id="rId124" Type="http://schemas.openxmlformats.org/officeDocument/2006/relationships/image" Target="media/0e9e3a9ff91f6421dc4d95ce9a2e08b98eaa8402.png"/><Relationship Id="rId125" Type="http://schemas.openxmlformats.org/officeDocument/2006/relationships/image" Target="media/f9d640d390786bb8fb25c3fdebe4cd97adeb7dfa.png"/><Relationship Id="rId126" Type="http://schemas.openxmlformats.org/officeDocument/2006/relationships/image" Target="media/70fae5553be00898dfc00962b39b53213a621eef.png"/><Relationship Id="rId127" Type="http://schemas.openxmlformats.org/officeDocument/2006/relationships/image" Target="media/873783a0c7536d34423a6a1e963071d244cf59b1.png"/><Relationship Id="rId128" Type="http://schemas.openxmlformats.org/officeDocument/2006/relationships/image" Target="media/5c1261aac718c26b0287b12cb2fed86271b6ab19.png"/><Relationship Id="rId129" Type="http://schemas.openxmlformats.org/officeDocument/2006/relationships/image" Target="media/c25dd6008ec69de93fa2c9f5611760871ad7cd29.png"/><Relationship Id="rId130" Type="http://schemas.openxmlformats.org/officeDocument/2006/relationships/image" Target="media/6dd8173174637349f0673e849a4ffc072eb37c8b.png"/><Relationship Id="rId131" Type="http://schemas.openxmlformats.org/officeDocument/2006/relationships/image" Target="media/b1250dcbf5a5fbaf7c418f53b0cf81e53f1598bd.png"/><Relationship Id="rId132" Type="http://schemas.openxmlformats.org/officeDocument/2006/relationships/image" Target="media/c85e67f8a7bc01fb6307d5c2618b6fe0b433b323.png"/><Relationship Id="rId133" Type="http://schemas.openxmlformats.org/officeDocument/2006/relationships/image" Target="media/4f9f38c32970b1bcc5cc7862633eede60784e3ed.png"/><Relationship Id="rId134" Type="http://schemas.openxmlformats.org/officeDocument/2006/relationships/image" Target="media/f5942c7206b99c9d29ea87f1cb0450b666d81468.png"/><Relationship Id="rId135" Type="http://schemas.openxmlformats.org/officeDocument/2006/relationships/image" Target="media/4c293a0f98b73b1504b1ea9308ad358c75d5f0b0.png"/><Relationship Id="rId136" Type="http://schemas.openxmlformats.org/officeDocument/2006/relationships/image" Target="media/41c8a24a5ece9451a9646d0651eb8ef954264289.png"/><Relationship Id="rId137" Type="http://schemas.openxmlformats.org/officeDocument/2006/relationships/image" Target="media/a9323c688eaf45ac5b5e6cc30a0a7dc778908966.png"/><Relationship Id="rId138" Type="http://schemas.openxmlformats.org/officeDocument/2006/relationships/image" Target="media/301939eeb1bb1d6088f4b9b6e783b6ed610e18ca.png"/><Relationship Id="rId139" Type="http://schemas.openxmlformats.org/officeDocument/2006/relationships/image" Target="media/538e87d4bf5f95b3d857f471f9f8dd8b5a0873fe.png"/><Relationship Id="rId140" Type="http://schemas.openxmlformats.org/officeDocument/2006/relationships/image" Target="media/cb1febe89b9bc9416522a9f3dfa4b2aa582eaaca.png"/><Relationship Id="rId141" Type="http://schemas.openxmlformats.org/officeDocument/2006/relationships/image" Target="media/2571bb0e00206fc656411cd806dc3e05591cac25.png"/><Relationship Id="rId142" Type="http://schemas.openxmlformats.org/officeDocument/2006/relationships/image" Target="media/66f39e050276c49ea76d12a61aef505ce5784f3e.png"/><Relationship Id="rId143" Type="http://schemas.openxmlformats.org/officeDocument/2006/relationships/image" Target="media/025f07f67570222d950dd9de68139c1bb631596a.png"/><Relationship Id="rId144" Type="http://schemas.openxmlformats.org/officeDocument/2006/relationships/image" Target="media/ce589785b7a0e4804aa64d4ab731956c23f8b6a9.png"/><Relationship Id="rId145" Type="http://schemas.openxmlformats.org/officeDocument/2006/relationships/image" Target="media/5a5d46df838e9c1230ff2367ae956e271a530f3f.png"/><Relationship Id="rId146" Type="http://schemas.openxmlformats.org/officeDocument/2006/relationships/image" Target="media/994c56861207920d253a4554c2ccc2361af5349b.png"/><Relationship Id="rId147" Type="http://schemas.openxmlformats.org/officeDocument/2006/relationships/image" Target="media/827ec2d43f2d87fbb7906a974cbe0387469b339f.png"/><Relationship Id="rId148" Type="http://schemas.openxmlformats.org/officeDocument/2006/relationships/image" Target="media/2632126677a9d4a65b9f9dd1295b81b43a2c1ab4.png"/><Relationship Id="rId149" Type="http://schemas.openxmlformats.org/officeDocument/2006/relationships/image" Target="media/cd34ae7efd5849b408c826bb99efa13f2940b208.png"/><Relationship Id="rId150" Type="http://schemas.openxmlformats.org/officeDocument/2006/relationships/image" Target="media/3a3c4b0a1ddd6cec9d841a6729c7b668b8a4e365.png"/><Relationship Id="rId151" Type="http://schemas.openxmlformats.org/officeDocument/2006/relationships/image" Target="media/cc9f3883d360588b63c2bfe2b7352471d7cfc41e.png"/><Relationship Id="rId152" Type="http://schemas.openxmlformats.org/officeDocument/2006/relationships/image" Target="media/5b58c868995f2e9286d4b4d701f420052546a74d.png"/><Relationship Id="rId153" Type="http://schemas.openxmlformats.org/officeDocument/2006/relationships/image" Target="media/c17adb6adf90e2eaa067e1041a201f2f2bc76935.png"/><Relationship Id="rId154" Type="http://schemas.openxmlformats.org/officeDocument/2006/relationships/image" Target="media/0d662386d4237f5da5c223bc82fe4083b4841413.png"/><Relationship Id="rId155" Type="http://schemas.openxmlformats.org/officeDocument/2006/relationships/image" Target="media/aba16a5eb1f96abe884fe024996bcc413bba70fa.png"/><Relationship Id="rId156" Type="http://schemas.openxmlformats.org/officeDocument/2006/relationships/image" Target="media/479506ceff1525f873ce4f2b5c4dc98e027d7847.png"/><Relationship Id="rId157" Type="http://schemas.openxmlformats.org/officeDocument/2006/relationships/image" Target="media/5e5393b78af51b946e5b82142d6afafbe3ee99b5.png"/><Relationship Id="rId158" Type="http://schemas.openxmlformats.org/officeDocument/2006/relationships/image" Target="media/2873713ac71ce52cf6ef174f122369725b7de0dd.png"/><Relationship Id="rId159" Type="http://schemas.openxmlformats.org/officeDocument/2006/relationships/image" Target="media/1ce89faf5f3ae82267cb19a9d926cd506f1addb6.png"/><Relationship Id="rId160" Type="http://schemas.openxmlformats.org/officeDocument/2006/relationships/image" Target="media/b5777e229806b70dec65227aa183554cb8c7f32d.png"/><Relationship Id="rId161" Type="http://schemas.openxmlformats.org/officeDocument/2006/relationships/image" Target="media/c52224d78d69ece5f508df0bb13a22fd1eba22af.png"/><Relationship Id="rId162" Type="http://schemas.openxmlformats.org/officeDocument/2006/relationships/image" Target="media/d254755df85f870b1994969cb89b4c5b00267f24.png"/><Relationship Id="rId163" Type="http://schemas.openxmlformats.org/officeDocument/2006/relationships/image" Target="media/21d4b469aa2e92e6844a17a8f2f42c0ea8241190.png"/><Relationship Id="rId164" Type="http://schemas.openxmlformats.org/officeDocument/2006/relationships/image" Target="media/96c81289675b758c4ced150449f9022031b85365.png"/><Relationship Id="rId165" Type="http://schemas.openxmlformats.org/officeDocument/2006/relationships/image" Target="media/990e3cbc57117a4eb049eb3794d37b0eba98c055.png"/><Relationship Id="rId166" Type="http://schemas.openxmlformats.org/officeDocument/2006/relationships/image" Target="media/0ab96095a742cca50098ecd6ca8f88a952eee8e1.png"/><Relationship Id="rId167" Type="http://schemas.openxmlformats.org/officeDocument/2006/relationships/image" Target="media/542cafa97f89c7eb0dd19810139413d4718fc86e.png"/><Relationship Id="rId168" Type="http://schemas.openxmlformats.org/officeDocument/2006/relationships/image" Target="media/1140ab365ff40e0ea5a3ebf37bab854f48d60060.png"/><Relationship Id="rId169" Type="http://schemas.openxmlformats.org/officeDocument/2006/relationships/image" Target="media/1ad5be02231cd4b1d1153990f0dbd594c4cef796.png"/><Relationship Id="rId170" Type="http://schemas.openxmlformats.org/officeDocument/2006/relationships/image" Target="media/8e5209cb2bb5f72cbe5ce5e29bae68a58bd9c247.png"/><Relationship Id="rId171" Type="http://schemas.openxmlformats.org/officeDocument/2006/relationships/image" Target="media/917ab6c0d5bbbd594e7e362761a5e1b9eaa4b9c3.png"/><Relationship Id="rId172" Type="http://schemas.openxmlformats.org/officeDocument/2006/relationships/image" Target="media/f2f69eab0151ca119e660a6d02cf487cbe2ee10b.png"/><Relationship Id="rId173" Type="http://schemas.openxmlformats.org/officeDocument/2006/relationships/image" Target="media/e64675cc6be3a1df6077a174900ef9f6f86d28a5.png"/><Relationship Id="rId174" Type="http://schemas.openxmlformats.org/officeDocument/2006/relationships/image" Target="media/3383abd62fbb38ab68439988c5b6ad5cc9e45648.png"/><Relationship Id="rId175" Type="http://schemas.openxmlformats.org/officeDocument/2006/relationships/image" Target="media/5e88a0efaf006219dbbc6a7e7fbf04d7a51c9c55.png"/><Relationship Id="rId176" Type="http://schemas.openxmlformats.org/officeDocument/2006/relationships/image" Target="media/f0ed806f9254801fb5519108239b6c436dfd19b3.png"/><Relationship Id="rId177" Type="http://schemas.openxmlformats.org/officeDocument/2006/relationships/image" Target="media/7d16ee7cf653a6c2b6233d23cb5a16bbeddcf92b.png"/><Relationship Id="rId178" Type="http://schemas.openxmlformats.org/officeDocument/2006/relationships/image" Target="media/47d12278b5adc82e957add673b0c287626e7b790.png"/><Relationship Id="rId179" Type="http://schemas.openxmlformats.org/officeDocument/2006/relationships/image" Target="media/6fa20b3db9e73c6d605556937ded7f719f987493.png"/><Relationship Id="rId180" Type="http://schemas.openxmlformats.org/officeDocument/2006/relationships/image" Target="media/6431660fa67d604f4313749a62411f66650cf0ed.png"/><Relationship Id="rId181" Type="http://schemas.openxmlformats.org/officeDocument/2006/relationships/image" Target="media/2f961ebf3091fc216b4ed07689bae5bcdbf8a7e4.png"/><Relationship Id="rId182" Type="http://schemas.openxmlformats.org/officeDocument/2006/relationships/image" Target="media/a007d9117554cabbce412ff025279b3e2c4adb09.png"/><Relationship Id="rId183" Type="http://schemas.openxmlformats.org/officeDocument/2006/relationships/image" Target="media/0791282c88b146f74406cd8c9d340eccf65b90a1.png"/><Relationship Id="rId184" Type="http://schemas.openxmlformats.org/officeDocument/2006/relationships/image" Target="media/bf9fae5262b8db6a0b62468528609e2acd69a974.png"/><Relationship Id="rId185" Type="http://schemas.openxmlformats.org/officeDocument/2006/relationships/image" Target="media/d76a9b3da8f7a3164d41abb4bbd901fedf3a41ef.png"/><Relationship Id="rId186" Type="http://schemas.openxmlformats.org/officeDocument/2006/relationships/image" Target="media/30ab94a274ff68151c4a2569bd75513f4dbd0790.png"/><Relationship Id="rId187" Type="http://schemas.openxmlformats.org/officeDocument/2006/relationships/image" Target="media/2c473c43cf0fb39ceaf9d9bbdd119644a34731ce.png"/><Relationship Id="rId188" Type="http://schemas.openxmlformats.org/officeDocument/2006/relationships/image" Target="media/68174e44eb9f34cc75711034f9475b67605e8219.png"/><Relationship Id="rId189" Type="http://schemas.openxmlformats.org/officeDocument/2006/relationships/image" Target="media/87283fb868635288f12d7492ea09777383db7691.png"/><Relationship Id="rId190" Type="http://schemas.openxmlformats.org/officeDocument/2006/relationships/image" Target="media/5722ddf0181e24b4d521daa3a2701a731004c6f9.png"/><Relationship Id="rId191" Type="http://schemas.openxmlformats.org/officeDocument/2006/relationships/image" Target="media/9e6a6dd17c6c4b8142333dbc0339849aea449ce0.png"/><Relationship Id="rId192" Type="http://schemas.openxmlformats.org/officeDocument/2006/relationships/image" Target="media/4e14c970e4203c3978c5533e2bdb5049f0b18d3f.png"/><Relationship Id="rId193" Type="http://schemas.openxmlformats.org/officeDocument/2006/relationships/image" Target="media/6a01f47d4dbd1a87af66aa4a49c038b86c3e90b1.png"/><Relationship Id="rId194" Type="http://schemas.openxmlformats.org/officeDocument/2006/relationships/image" Target="media/f70b2a12d422ac5595cd601d6e310a2d1dc96754.png"/><Relationship Id="rId195" Type="http://schemas.openxmlformats.org/officeDocument/2006/relationships/image" Target="media/76a773e5d84e5e824fff02254af1527779f327ba.png"/><Relationship Id="rId196" Type="http://schemas.openxmlformats.org/officeDocument/2006/relationships/image" Target="media/48e5d20d1d875aca61ebcd828c7b68afca41fa48.png"/><Relationship Id="rId197" Type="http://schemas.openxmlformats.org/officeDocument/2006/relationships/image" Target="media/5d1c391d52db1b700bf45782b0d43f039c690507.png"/><Relationship Id="rId198" Type="http://schemas.openxmlformats.org/officeDocument/2006/relationships/image" Target="media/76a9ca72cf3986a6e3118218a83965ffe670b049.png"/><Relationship Id="rId199" Type="http://schemas.openxmlformats.org/officeDocument/2006/relationships/image" Target="media/9c31af68a5f8fae9cf9b901c0d21e223c5a6de83.png"/><Relationship Id="rId200" Type="http://schemas.openxmlformats.org/officeDocument/2006/relationships/image" Target="media/5e3c84139d521dcad48879cde2a830adc4bf4348.png"/><Relationship Id="rId201" Type="http://schemas.openxmlformats.org/officeDocument/2006/relationships/image" Target="media/94668e464af67e213eb345fa5f7b8a6852094cb1.png"/><Relationship Id="rId202" Type="http://schemas.openxmlformats.org/officeDocument/2006/relationships/image" Target="media/3f4e5c865b1865bd8a5402ab2383895f31e2edbf.png"/><Relationship Id="rId203" Type="http://schemas.openxmlformats.org/officeDocument/2006/relationships/image" Target="media/b07dd75b7ec8c9556d327b0fcf32bd90387e2f38.png"/><Relationship Id="rId204" Type="http://schemas.openxmlformats.org/officeDocument/2006/relationships/image" Target="media/2543455efea53597c30234fb114e1464d4d7a1ae.png"/><Relationship Id="rId205" Type="http://schemas.openxmlformats.org/officeDocument/2006/relationships/image" Target="media/741db6cdc43b0e18a4ad5dcc337dfb960b6aceef.png"/><Relationship Id="rId206" Type="http://schemas.openxmlformats.org/officeDocument/2006/relationships/image" Target="media/ce6d4519788a1190f2808e1b664b5e159da8715b.png"/><Relationship Id="rId207" Type="http://schemas.openxmlformats.org/officeDocument/2006/relationships/image" Target="media/86cbd948602efe21e1ab78e02c65c13465e2644a.png"/><Relationship Id="rId208" Type="http://schemas.openxmlformats.org/officeDocument/2006/relationships/image" Target="media/38a342cd8ea4b1e88ce351751c0f4a0f9350e99b.png"/><Relationship Id="rId209" Type="http://schemas.openxmlformats.org/officeDocument/2006/relationships/image" Target="media/ba006c4c2c835e4905d47f515ad0f2b373c551ae.png"/><Relationship Id="rId210" Type="http://schemas.openxmlformats.org/officeDocument/2006/relationships/image" Target="media/37727d6143c8fc64de1786059d731c86d92ff4cb.png"/><Relationship Id="rId211" Type="http://schemas.openxmlformats.org/officeDocument/2006/relationships/image" Target="media/7ac2bb9a6317ede8176c9e37b0962be0cb025a46.png"/><Relationship Id="rId212" Type="http://schemas.openxmlformats.org/officeDocument/2006/relationships/image" Target="media/5fd026558808e81988bfbe6277af0bf66639c0c1.png"/><Relationship Id="rId213" Type="http://schemas.openxmlformats.org/officeDocument/2006/relationships/image" Target="media/8083e2a0258e8de90493d9a9d7f8ffba7e64e481.png"/><Relationship Id="rId214" Type="http://schemas.openxmlformats.org/officeDocument/2006/relationships/image" Target="media/600b594e4d4d1e00170ed4aa6b62a1b7d06a866f.png"/><Relationship Id="rId215" Type="http://schemas.openxmlformats.org/officeDocument/2006/relationships/image" Target="media/0f2984a4944a5e25b673d8a91ca1aafc3554f989.png"/><Relationship Id="rId216" Type="http://schemas.openxmlformats.org/officeDocument/2006/relationships/image" Target="media/e8cffa9395940a6d4b68eeaa937957ff807fde1f.png"/><Relationship Id="rId217" Type="http://schemas.openxmlformats.org/officeDocument/2006/relationships/image" Target="media/fb997ceaafc963cfb9e285e62c8b1dc3a274c1bc.png"/><Relationship Id="rId218" Type="http://schemas.openxmlformats.org/officeDocument/2006/relationships/image" Target="media/46ef725a13a38b88fe9c3d414835f963db02f008.png"/><Relationship Id="rId219" Type="http://schemas.openxmlformats.org/officeDocument/2006/relationships/image" Target="media/ec56d48141f9d91456ae86d29cef55f99b20f26e.png"/><Relationship Id="rId220" Type="http://schemas.openxmlformats.org/officeDocument/2006/relationships/image" Target="media/22e4a9a85a1f3958a363a49d61cb44aed66290c5.png"/><Relationship Id="rId221" Type="http://schemas.openxmlformats.org/officeDocument/2006/relationships/image" Target="media/41c9b6e9036630036b17c479b9f27790faaa9e0a.png"/><Relationship Id="rId222" Type="http://schemas.openxmlformats.org/officeDocument/2006/relationships/image" Target="media/17bbe5ce964025154ea78ba707680ce108b283f6.png"/><Relationship Id="rId223" Type="http://schemas.openxmlformats.org/officeDocument/2006/relationships/image" Target="media/99aad23e3eef4eba9178bc2cea01ade419338b05.png"/><Relationship Id="rId224" Type="http://schemas.openxmlformats.org/officeDocument/2006/relationships/image" Target="media/04286cbb8191a47dc32886c9688d35b6b148d124.png"/><Relationship Id="rId225" Type="http://schemas.openxmlformats.org/officeDocument/2006/relationships/image" Target="media/1b7b01b48c4995bb40f16d48e401a3c5a1b3d44c.png"/><Relationship Id="rId226" Type="http://schemas.openxmlformats.org/officeDocument/2006/relationships/image" Target="media/099c24cacd483e39878e6daf96c2aea6a996cf0c.png"/><Relationship Id="rId227" Type="http://schemas.openxmlformats.org/officeDocument/2006/relationships/image" Target="media/b55e8ace1ab9744d328f8f2f56bdc2fa5adac256.png"/><Relationship Id="rId228" Type="http://schemas.openxmlformats.org/officeDocument/2006/relationships/image" Target="media/16983408b436a495a6a334a9222179333ccbe475.png"/><Relationship Id="rId229" Type="http://schemas.openxmlformats.org/officeDocument/2006/relationships/image" Target="media/0c1806b0dd8b94f8a90b40d214d98032ba38cf7c.png"/><Relationship Id="rId230" Type="http://schemas.openxmlformats.org/officeDocument/2006/relationships/image" Target="media/7cd6ed661bf4aba9e99c2922999524c60d97bf02.png"/><Relationship Id="rId231" Type="http://schemas.openxmlformats.org/officeDocument/2006/relationships/image" Target="media/1236f4fac70e9708eeac5973ced1880ac76be761.png"/><Relationship Id="rId232" Type="http://schemas.openxmlformats.org/officeDocument/2006/relationships/image" Target="media/675965250101421b942b8b8111bf470fb8cc8c12.png"/><Relationship Id="rId233" Type="http://schemas.openxmlformats.org/officeDocument/2006/relationships/image" Target="media/5a7698bf0f64d9796fbf4ef3c39c6679ae3db517.png"/><Relationship Id="rId234" Type="http://schemas.openxmlformats.org/officeDocument/2006/relationships/image" Target="media/2a888c49d42ed3b177a73e8c89e088d883b6cbc9.png"/><Relationship Id="rId235" Type="http://schemas.openxmlformats.org/officeDocument/2006/relationships/image" Target="media/8d56da5549b911986f366c7dd43444526bcd9b05.png"/><Relationship Id="rId236" Type="http://schemas.openxmlformats.org/officeDocument/2006/relationships/image" Target="media/f350baa179c786f2288a8b4e45fd28beede9f808.png"/><Relationship Id="rId237" Type="http://schemas.openxmlformats.org/officeDocument/2006/relationships/image" Target="media/5f63993609e4f284292f4a4c549faaf5feea4eac.png"/><Relationship Id="rId238" Type="http://schemas.openxmlformats.org/officeDocument/2006/relationships/image" Target="media/fcf35779f47bb8fb79421974611975e0ca739293.png"/><Relationship Id="rId239" Type="http://schemas.openxmlformats.org/officeDocument/2006/relationships/image" Target="media/372284eecb6d901e010384151aa11eb5d05fa853.png"/><Relationship Id="rId240" Type="http://schemas.openxmlformats.org/officeDocument/2006/relationships/image" Target="media/e6d7cca860fc42a72cf592b39f1e3ff1041972a9.png"/><Relationship Id="rId241" Type="http://schemas.openxmlformats.org/officeDocument/2006/relationships/image" Target="media/313ec6c317ec9da01a669aadc8af0dd7ee4314dc.png"/><Relationship Id="rId242" Type="http://schemas.openxmlformats.org/officeDocument/2006/relationships/image" Target="media/c9ab35890c1a5e5000736e4b3e5e66d7410c3cc8.png"/><Relationship Id="rId243" Type="http://schemas.openxmlformats.org/officeDocument/2006/relationships/image" Target="media/a8b72048402af10c5d4dfc0decd3bed58e97e61a.png"/><Relationship Id="rId244" Type="http://schemas.openxmlformats.org/officeDocument/2006/relationships/image" Target="media/9d236c76133d8d10200104b934ea681635b75733.png"/><Relationship Id="rId245" Type="http://schemas.openxmlformats.org/officeDocument/2006/relationships/image" Target="media/4e4931254fb6e8433603740a2953129641f814a6.png"/><Relationship Id="rId246" Type="http://schemas.openxmlformats.org/officeDocument/2006/relationships/image" Target="media/47510a6d3fd47d388e097cca30c246744ead1cf1.png"/><Relationship Id="rId247" Type="http://schemas.openxmlformats.org/officeDocument/2006/relationships/image" Target="media/11c06b446d9da36dbda5281a95e83d6f32af7f50.png"/><Relationship Id="rId248" Type="http://schemas.openxmlformats.org/officeDocument/2006/relationships/image" Target="media/df40e4b9be77e8e196366ea3a27e2d82edd58982.png"/><Relationship Id="rId249" Type="http://schemas.openxmlformats.org/officeDocument/2006/relationships/image" Target="media/293ee5b794ec780c16435b94721616274a546629.png"/><Relationship Id="rId250" Type="http://schemas.openxmlformats.org/officeDocument/2006/relationships/image" Target="media/1ba0912c1756916c02383b0c0213d8c240b10000.png"/><Relationship Id="rId251" Type="http://schemas.openxmlformats.org/officeDocument/2006/relationships/image" Target="media/4a4d14442b9bbab388bb5d83e02992a4e75efefe.png"/><Relationship Id="rId2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2026-08-29T04:45:15.288Z</dcterms:created>
  <dcterms:modified xsi:type="dcterms:W3CDTF">2026-08-29T04:45:15.298Z</dcterms:modified>
</cp:coreProperties>
</file>

<file path=docProps/custom.xml><?xml version="1.0" encoding="utf-8"?>
<Properties xmlns="http://schemas.openxmlformats.org/officeDocument/2006/custom-properties" xmlns:vt="http://schemas.openxmlformats.org/officeDocument/2006/docPropsVTypes"/>
</file>